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4A29" w14:paraId="64D9B0A1" w14:textId="77777777" w:rsidTr="00454A29">
        <w:tc>
          <w:tcPr>
            <w:tcW w:w="4677" w:type="dxa"/>
            <w:tcBorders>
              <w:top w:val="nil"/>
              <w:left w:val="nil"/>
              <w:bottom w:val="nil"/>
              <w:right w:val="nil"/>
            </w:tcBorders>
          </w:tcPr>
          <w:p w14:paraId="4BFC60B0" w14:textId="77777777" w:rsidR="00454A29" w:rsidRDefault="00454A29">
            <w:pPr>
              <w:pStyle w:val="ConsPlusNormal"/>
              <w:outlineLvl w:val="0"/>
            </w:pPr>
            <w:bookmarkStart w:id="0" w:name="_GoBack"/>
            <w:bookmarkEnd w:id="0"/>
            <w:r>
              <w:t>16 декабря 2019 года</w:t>
            </w:r>
          </w:p>
        </w:tc>
        <w:tc>
          <w:tcPr>
            <w:tcW w:w="4678" w:type="dxa"/>
            <w:tcBorders>
              <w:top w:val="nil"/>
              <w:left w:val="nil"/>
              <w:bottom w:val="nil"/>
              <w:right w:val="nil"/>
            </w:tcBorders>
          </w:tcPr>
          <w:p w14:paraId="2C160C11" w14:textId="77777777" w:rsidR="00454A29" w:rsidRDefault="00454A29">
            <w:pPr>
              <w:pStyle w:val="ConsPlusNormal"/>
              <w:jc w:val="right"/>
              <w:outlineLvl w:val="0"/>
            </w:pPr>
            <w:r>
              <w:t>N 900</w:t>
            </w:r>
          </w:p>
        </w:tc>
      </w:tr>
    </w:tbl>
    <w:p w14:paraId="0E5A0322" w14:textId="77777777" w:rsidR="00454A29" w:rsidRDefault="00454A29">
      <w:pPr>
        <w:pStyle w:val="ConsPlusNormal"/>
        <w:pBdr>
          <w:top w:val="single" w:sz="6" w:space="0" w:color="auto"/>
        </w:pBdr>
        <w:spacing w:before="100" w:after="100"/>
        <w:jc w:val="both"/>
        <w:rPr>
          <w:sz w:val="2"/>
          <w:szCs w:val="2"/>
        </w:rPr>
      </w:pPr>
    </w:p>
    <w:p w14:paraId="2E36DF62" w14:textId="77777777" w:rsidR="00454A29" w:rsidRDefault="00454A29">
      <w:pPr>
        <w:pStyle w:val="ConsPlusNormal"/>
      </w:pPr>
    </w:p>
    <w:p w14:paraId="0A2476A4" w14:textId="77777777" w:rsidR="00454A29" w:rsidRDefault="00454A29">
      <w:pPr>
        <w:pStyle w:val="ConsPlusTitle"/>
        <w:jc w:val="center"/>
      </w:pPr>
      <w:r>
        <w:t>УКАЗ</w:t>
      </w:r>
    </w:p>
    <w:p w14:paraId="33E8225C" w14:textId="77777777" w:rsidR="00454A29" w:rsidRDefault="00454A29">
      <w:pPr>
        <w:pStyle w:val="ConsPlusTitle"/>
        <w:jc w:val="both"/>
      </w:pPr>
    </w:p>
    <w:p w14:paraId="6B7AE069" w14:textId="77777777" w:rsidR="00454A29" w:rsidRDefault="00454A29">
      <w:pPr>
        <w:pStyle w:val="ConsPlusTitle"/>
        <w:jc w:val="center"/>
      </w:pPr>
      <w:r>
        <w:t>ГЛАВЫ РЕСПУБЛИКИ САХА (ЯКУТИЯ)</w:t>
      </w:r>
    </w:p>
    <w:p w14:paraId="640016CD" w14:textId="77777777" w:rsidR="00454A29" w:rsidRDefault="00454A29">
      <w:pPr>
        <w:pStyle w:val="ConsPlusTitle"/>
        <w:jc w:val="both"/>
      </w:pPr>
    </w:p>
    <w:p w14:paraId="72779DA5" w14:textId="77777777" w:rsidR="00454A29" w:rsidRDefault="00454A29">
      <w:pPr>
        <w:pStyle w:val="ConsPlusTitle"/>
        <w:jc w:val="center"/>
      </w:pPr>
      <w:r>
        <w:t>О ГОСУДАРСТВЕННОЙ ПРОГРАММЕ РЕСПУБЛИКИ САХА (ЯКУТИЯ)</w:t>
      </w:r>
    </w:p>
    <w:p w14:paraId="71E7C7B6" w14:textId="77777777" w:rsidR="00454A29" w:rsidRDefault="00454A29">
      <w:pPr>
        <w:pStyle w:val="ConsPlusTitle"/>
        <w:jc w:val="center"/>
      </w:pPr>
      <w:r>
        <w:t>"РАЗВИТИЕ ОБРАЗОВАНИЯ РЕСПУБЛИКИ САХА (ЯКУТИЯ)</w:t>
      </w:r>
    </w:p>
    <w:p w14:paraId="63E58C39" w14:textId="77777777" w:rsidR="00454A29" w:rsidRDefault="00454A29">
      <w:pPr>
        <w:pStyle w:val="ConsPlusTitle"/>
        <w:jc w:val="center"/>
      </w:pPr>
      <w:r>
        <w:t>НА 2020 - 2024 ГОДЫ И НА ПЛАНОВЫЙ ПЕРИОД ДО 2026 ГОДА"</w:t>
      </w:r>
    </w:p>
    <w:p w14:paraId="78415154" w14:textId="77777777" w:rsidR="00454A29" w:rsidRDefault="00454A29">
      <w:pPr>
        <w:pStyle w:val="ConsPlusNormal"/>
      </w:pPr>
    </w:p>
    <w:p w14:paraId="7CD9EF8F" w14:textId="77777777" w:rsidR="00454A29" w:rsidRDefault="00454A29">
      <w:pPr>
        <w:pStyle w:val="ConsPlusNormal"/>
        <w:ind w:firstLine="540"/>
        <w:jc w:val="both"/>
      </w:pPr>
      <w:r>
        <w:t xml:space="preserve">В соответствии со </w:t>
      </w:r>
      <w:hyperlink r:id="rId4" w:history="1">
        <w:r>
          <w:rPr>
            <w:color w:val="0000FF"/>
          </w:rPr>
          <w:t>статьей 179</w:t>
        </w:r>
      </w:hyperlink>
      <w:r>
        <w:t xml:space="preserve"> Бюджетного кодекса Российской Федерации, </w:t>
      </w:r>
      <w:hyperlink r:id="rId5" w:history="1">
        <w:r>
          <w:rPr>
            <w:color w:val="0000FF"/>
          </w:rPr>
          <w:t>Законом</w:t>
        </w:r>
      </w:hyperlink>
      <w:r>
        <w:t xml:space="preserve"> Республики Саха (Якутия) от 5 февраля 2014 г. 1280-З N 111-V "О бюджетном устройстве и бюджетном процессе в Республике Саха (Якутия)", </w:t>
      </w:r>
      <w:hyperlink r:id="rId6" w:history="1">
        <w:r>
          <w:rPr>
            <w:color w:val="0000FF"/>
          </w:rPr>
          <w:t>Указом</w:t>
        </w:r>
      </w:hyperlink>
      <w:r>
        <w:t xml:space="preserve"> Главы Республики Саха (Якутия) от 4 июля 2016 г. N 1255 "Об утверждении Перечня государственных программ Республики Саха (Якутия)", в целях реализации единой государственной политики в сфере развития образования, ориентированной на 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 постановляю:</w:t>
      </w:r>
    </w:p>
    <w:p w14:paraId="4FC83E74" w14:textId="77777777" w:rsidR="00454A29" w:rsidRDefault="00454A29">
      <w:pPr>
        <w:pStyle w:val="ConsPlusNormal"/>
        <w:spacing w:before="220"/>
        <w:ind w:firstLine="540"/>
        <w:jc w:val="both"/>
      </w:pPr>
      <w:r>
        <w:t xml:space="preserve">1. Утвердить прилагаемую государственную </w:t>
      </w:r>
      <w:hyperlink w:anchor="P42" w:history="1">
        <w:r>
          <w:rPr>
            <w:color w:val="0000FF"/>
          </w:rPr>
          <w:t>программу</w:t>
        </w:r>
      </w:hyperlink>
      <w:r>
        <w:t xml:space="preserve"> Республики Саха (Якутия) "Развитие образования Республики Саха (Якутия) на 2020 - 2024 годы и на плановый период до 2026 года".</w:t>
      </w:r>
    </w:p>
    <w:p w14:paraId="5010CB92" w14:textId="77777777" w:rsidR="00454A29" w:rsidRDefault="00454A29">
      <w:pPr>
        <w:pStyle w:val="ConsPlusNormal"/>
        <w:spacing w:before="220"/>
        <w:ind w:firstLine="540"/>
        <w:jc w:val="both"/>
      </w:pPr>
      <w:r>
        <w:t>2. Признать утратившими силу:</w:t>
      </w:r>
    </w:p>
    <w:p w14:paraId="2F5E7B4E" w14:textId="77777777" w:rsidR="00454A29" w:rsidRDefault="00454A29">
      <w:pPr>
        <w:pStyle w:val="ConsPlusNormal"/>
        <w:spacing w:before="220"/>
        <w:ind w:firstLine="540"/>
        <w:jc w:val="both"/>
      </w:pPr>
      <w:hyperlink r:id="rId7" w:history="1">
        <w:r>
          <w:rPr>
            <w:color w:val="0000FF"/>
          </w:rPr>
          <w:t>Указ</w:t>
        </w:r>
      </w:hyperlink>
      <w:r>
        <w:t xml:space="preserve"> Главы Республики Саха (Якутия) от 15 декабря 2017 г. N 2282 "О государственной программе Республики Саха (Якутия) "Развитие образования Республики Саха (Якутия) на 2016 - 2022 годы и на плановый период до 2026 года";</w:t>
      </w:r>
    </w:p>
    <w:p w14:paraId="56AD1BF4" w14:textId="77777777" w:rsidR="00454A29" w:rsidRDefault="00454A29">
      <w:pPr>
        <w:pStyle w:val="ConsPlusNormal"/>
        <w:spacing w:before="220"/>
        <w:ind w:firstLine="540"/>
        <w:jc w:val="both"/>
      </w:pPr>
      <w:hyperlink r:id="rId8" w:history="1">
        <w:r>
          <w:rPr>
            <w:color w:val="0000FF"/>
          </w:rPr>
          <w:t>Указ</w:t>
        </w:r>
      </w:hyperlink>
      <w:r>
        <w:t xml:space="preserve"> Главы Республики Саха (Якутия) от 16 января 2018 г. N 2369 "О внесении изменений в государственную программу Республики Саха (Якутия) "Развитие образования Республики Саха (Якутия) на 2016 - 2020 годы и на плановый период до 2026 года", утвержденную Указом Главы Республики Саха (Якутия) от 15 декабря 2017 г. N 2282";</w:t>
      </w:r>
    </w:p>
    <w:p w14:paraId="4A163775" w14:textId="77777777" w:rsidR="00454A29" w:rsidRDefault="00454A29">
      <w:pPr>
        <w:pStyle w:val="ConsPlusNormal"/>
        <w:spacing w:before="220"/>
        <w:ind w:firstLine="540"/>
        <w:jc w:val="both"/>
      </w:pPr>
      <w:hyperlink r:id="rId9" w:history="1">
        <w:r>
          <w:rPr>
            <w:color w:val="0000FF"/>
          </w:rPr>
          <w:t>Указ</w:t>
        </w:r>
      </w:hyperlink>
      <w:r>
        <w:t xml:space="preserve"> Главы Республики Саха (Якутия) от 28 мая 2018 г. N 2593 "О внесении изменений в государственную программу Республики Саха (Якутия) "Развитие образования Республики Саха (Якутия) на 2016 - 2020 годы и на плановый период до 2026 года", утвержденную Указом Главы Республики Саха (Якутия) от 15 декабря 2017 г. N 2282";</w:t>
      </w:r>
    </w:p>
    <w:p w14:paraId="515A58D9" w14:textId="77777777" w:rsidR="00454A29" w:rsidRDefault="00454A29">
      <w:pPr>
        <w:pStyle w:val="ConsPlusNormal"/>
        <w:spacing w:before="220"/>
        <w:ind w:firstLine="540"/>
        <w:jc w:val="both"/>
      </w:pPr>
      <w:hyperlink r:id="rId10" w:history="1">
        <w:r>
          <w:rPr>
            <w:color w:val="0000FF"/>
          </w:rPr>
          <w:t>Указ</w:t>
        </w:r>
      </w:hyperlink>
      <w:r>
        <w:t xml:space="preserve"> Главы Республики Саха (Якутия) от 3 сентября 2018 г. N 2808 "О внесении изменений в государственную программу Республики Саха (Якутия) "Развитие образования Республики Саха (Якутия) на 2016 - 2020 годы и на плановый период до 2026 года", утвержденную Указом Главы Республики Саха (Якутия) от 15 декабря 2017 г. N 2282";</w:t>
      </w:r>
    </w:p>
    <w:p w14:paraId="120F5267" w14:textId="77777777" w:rsidR="00454A29" w:rsidRDefault="00454A29">
      <w:pPr>
        <w:pStyle w:val="ConsPlusNormal"/>
        <w:spacing w:before="220"/>
        <w:ind w:firstLine="540"/>
        <w:jc w:val="both"/>
      </w:pPr>
      <w:hyperlink r:id="rId11" w:history="1">
        <w:r>
          <w:rPr>
            <w:color w:val="0000FF"/>
          </w:rPr>
          <w:t>Указ</w:t>
        </w:r>
      </w:hyperlink>
      <w:r>
        <w:t xml:space="preserve"> Главы Республики Саха (Якутия) от 21 декабря 2018 г. N 268 "О внесении изменений в Указ Главы Республики Саха (Якутия) от 15 декабря 2017 г. N 2282 "О государственной программе Республики Саха (Якутия) "Развитие образования Республики Саха (Якутия) на 2016 - 2020 годы и на плановый период до 2026 года";</w:t>
      </w:r>
    </w:p>
    <w:p w14:paraId="70D8FD86" w14:textId="77777777" w:rsidR="00454A29" w:rsidRDefault="00454A29">
      <w:pPr>
        <w:pStyle w:val="ConsPlusNormal"/>
        <w:spacing w:before="220"/>
        <w:ind w:firstLine="540"/>
        <w:jc w:val="both"/>
      </w:pPr>
      <w:hyperlink r:id="rId12" w:history="1">
        <w:r>
          <w:rPr>
            <w:color w:val="0000FF"/>
          </w:rPr>
          <w:t>Указ</w:t>
        </w:r>
      </w:hyperlink>
      <w:r>
        <w:t xml:space="preserve"> Главы Республики Саха (Якутия) от 20 марта 2019 г. N 424 "О внесении изменений в государственную программу Республики Саха (Якутия) "Развитие образования Республики Саха (Якутия) на 2016 - 2020 годы и на плановый период до 2026 года", утвержденную Указом Главы Республики Саха (Якутия) от 15 декабря 2017 г. N 2282";</w:t>
      </w:r>
    </w:p>
    <w:p w14:paraId="4F830227" w14:textId="77777777" w:rsidR="00454A29" w:rsidRDefault="00454A29">
      <w:pPr>
        <w:pStyle w:val="ConsPlusNormal"/>
        <w:spacing w:before="220"/>
        <w:ind w:firstLine="540"/>
        <w:jc w:val="both"/>
      </w:pPr>
      <w:hyperlink r:id="rId13" w:history="1">
        <w:r>
          <w:rPr>
            <w:color w:val="0000FF"/>
          </w:rPr>
          <w:t>Указ</w:t>
        </w:r>
      </w:hyperlink>
      <w:r>
        <w:t xml:space="preserve"> Главы Республики Саха (Якутия) от 10 июня 2019 г. N 580 "О внесении изменений в </w:t>
      </w:r>
      <w:r>
        <w:lastRenderedPageBreak/>
        <w:t>государственную программу Республики Саха (Якутия) "Развитие образования Республики Саха (Якутия) на 2016 - 2020 годы и на плановый период до 2026 года", утвержденную Указом Главы Республики Саха (Якутия) от 15 декабря 2017 г. N 2282".</w:t>
      </w:r>
    </w:p>
    <w:p w14:paraId="6FF67166" w14:textId="77777777" w:rsidR="00454A29" w:rsidRDefault="00454A29">
      <w:pPr>
        <w:pStyle w:val="ConsPlusNormal"/>
        <w:spacing w:before="220"/>
        <w:ind w:firstLine="540"/>
        <w:jc w:val="both"/>
      </w:pPr>
      <w:hyperlink r:id="rId14" w:history="1">
        <w:r>
          <w:rPr>
            <w:color w:val="0000FF"/>
          </w:rPr>
          <w:t>Указ</w:t>
        </w:r>
      </w:hyperlink>
      <w:r>
        <w:t xml:space="preserve"> Главы Республики Саха (Якутия) от 23 октября 2019 г. N 795 "О внесении изменений в государственную программу Республики Саха (Якутия) "Развитие образования Республики Саха (Якутия) на 2016 - 2022 годы и на плановый период до 2026 года", утвержденную Указом Главы Республики Саха (Якутия) от 15 декабря 2017 г. N 2282".</w:t>
      </w:r>
    </w:p>
    <w:p w14:paraId="5C695116" w14:textId="77777777" w:rsidR="00454A29" w:rsidRDefault="00454A29">
      <w:pPr>
        <w:pStyle w:val="ConsPlusNormal"/>
        <w:spacing w:before="220"/>
        <w:ind w:firstLine="540"/>
        <w:jc w:val="both"/>
      </w:pPr>
      <w:r>
        <w:t>3. Настоящий Указ вступает в силу с 1 января 2020 года.</w:t>
      </w:r>
    </w:p>
    <w:p w14:paraId="4F589CB9" w14:textId="77777777" w:rsidR="00454A29" w:rsidRDefault="00454A29">
      <w:pPr>
        <w:pStyle w:val="ConsPlusNormal"/>
        <w:spacing w:before="220"/>
        <w:ind w:firstLine="540"/>
        <w:jc w:val="both"/>
      </w:pPr>
      <w:r>
        <w:t>4. Контроль исполнения настоящего Указа возложить на заместителя Председателя Правительства Республики Саха (Якутия) Балабкину О.В.</w:t>
      </w:r>
    </w:p>
    <w:p w14:paraId="158135FC" w14:textId="77777777" w:rsidR="00454A29" w:rsidRDefault="00454A29">
      <w:pPr>
        <w:pStyle w:val="ConsPlusNormal"/>
        <w:spacing w:before="220"/>
        <w:ind w:firstLine="540"/>
        <w:jc w:val="both"/>
      </w:pPr>
      <w:r>
        <w:t>5. Опубликовать настоящий Указ в официальных средствах массовой информации.</w:t>
      </w:r>
    </w:p>
    <w:p w14:paraId="1900B0AF" w14:textId="77777777" w:rsidR="00454A29" w:rsidRDefault="00454A29">
      <w:pPr>
        <w:pStyle w:val="ConsPlusNormal"/>
      </w:pPr>
    </w:p>
    <w:p w14:paraId="4A86DC86" w14:textId="77777777" w:rsidR="00454A29" w:rsidRDefault="00454A29">
      <w:pPr>
        <w:pStyle w:val="ConsPlusNormal"/>
        <w:jc w:val="right"/>
      </w:pPr>
      <w:r>
        <w:t>Глава</w:t>
      </w:r>
    </w:p>
    <w:p w14:paraId="32C6EE4D" w14:textId="77777777" w:rsidR="00454A29" w:rsidRDefault="00454A29">
      <w:pPr>
        <w:pStyle w:val="ConsPlusNormal"/>
        <w:jc w:val="right"/>
      </w:pPr>
      <w:r>
        <w:t>Республики Саха (Якутия)</w:t>
      </w:r>
    </w:p>
    <w:p w14:paraId="14B0CFD9" w14:textId="77777777" w:rsidR="00454A29" w:rsidRDefault="00454A29">
      <w:pPr>
        <w:pStyle w:val="ConsPlusNormal"/>
        <w:jc w:val="right"/>
      </w:pPr>
      <w:r>
        <w:t>А.НИКОЛАЕВ</w:t>
      </w:r>
    </w:p>
    <w:p w14:paraId="5E22836F" w14:textId="77777777" w:rsidR="00454A29" w:rsidRDefault="00454A29">
      <w:pPr>
        <w:pStyle w:val="ConsPlusNormal"/>
      </w:pPr>
      <w:r>
        <w:t>16 декабря 2019 года</w:t>
      </w:r>
    </w:p>
    <w:p w14:paraId="6D191DBA" w14:textId="77777777" w:rsidR="00454A29" w:rsidRDefault="00454A29">
      <w:pPr>
        <w:pStyle w:val="ConsPlusNormal"/>
        <w:spacing w:before="220"/>
      </w:pPr>
      <w:r>
        <w:t>N 900</w:t>
      </w:r>
    </w:p>
    <w:p w14:paraId="779651B1" w14:textId="77777777" w:rsidR="00454A29" w:rsidRDefault="00454A29">
      <w:pPr>
        <w:pStyle w:val="ConsPlusNormal"/>
      </w:pPr>
    </w:p>
    <w:p w14:paraId="5CC8ED82" w14:textId="77777777" w:rsidR="00454A29" w:rsidRDefault="00454A29">
      <w:pPr>
        <w:pStyle w:val="ConsPlusNormal"/>
      </w:pPr>
    </w:p>
    <w:p w14:paraId="234C77F5" w14:textId="77777777" w:rsidR="00454A29" w:rsidRDefault="00454A29">
      <w:pPr>
        <w:pStyle w:val="ConsPlusNormal"/>
      </w:pPr>
    </w:p>
    <w:p w14:paraId="47A2C2C7" w14:textId="77777777" w:rsidR="00454A29" w:rsidRDefault="00454A29">
      <w:pPr>
        <w:pStyle w:val="ConsPlusNormal"/>
      </w:pPr>
    </w:p>
    <w:p w14:paraId="4A171ECA" w14:textId="77777777" w:rsidR="00454A29" w:rsidRDefault="00454A29">
      <w:pPr>
        <w:pStyle w:val="ConsPlusNormal"/>
      </w:pPr>
    </w:p>
    <w:p w14:paraId="740504B2" w14:textId="77777777" w:rsidR="00454A29" w:rsidRDefault="00454A29">
      <w:pPr>
        <w:pStyle w:val="ConsPlusNormal"/>
        <w:jc w:val="right"/>
        <w:outlineLvl w:val="0"/>
      </w:pPr>
      <w:r>
        <w:t>Утверждена</w:t>
      </w:r>
    </w:p>
    <w:p w14:paraId="7F920E48" w14:textId="77777777" w:rsidR="00454A29" w:rsidRDefault="00454A29">
      <w:pPr>
        <w:pStyle w:val="ConsPlusNormal"/>
        <w:jc w:val="right"/>
      </w:pPr>
      <w:r>
        <w:t>Указом Главы</w:t>
      </w:r>
    </w:p>
    <w:p w14:paraId="213AD678" w14:textId="77777777" w:rsidR="00454A29" w:rsidRDefault="00454A29">
      <w:pPr>
        <w:pStyle w:val="ConsPlusNormal"/>
        <w:jc w:val="right"/>
      </w:pPr>
      <w:r>
        <w:t>Республики Саха (Якутия)</w:t>
      </w:r>
    </w:p>
    <w:p w14:paraId="69428C3D" w14:textId="77777777" w:rsidR="00454A29" w:rsidRDefault="00454A29">
      <w:pPr>
        <w:pStyle w:val="ConsPlusNormal"/>
        <w:jc w:val="right"/>
      </w:pPr>
      <w:r>
        <w:t>от 16 декабря 2019 г. N 900</w:t>
      </w:r>
    </w:p>
    <w:p w14:paraId="390AE769" w14:textId="77777777" w:rsidR="00454A29" w:rsidRDefault="00454A29">
      <w:pPr>
        <w:pStyle w:val="ConsPlusNormal"/>
      </w:pPr>
    </w:p>
    <w:p w14:paraId="725C8C85" w14:textId="77777777" w:rsidR="00454A29" w:rsidRDefault="00454A29">
      <w:pPr>
        <w:pStyle w:val="ConsPlusTitle"/>
        <w:jc w:val="center"/>
      </w:pPr>
      <w:bookmarkStart w:id="1" w:name="P42"/>
      <w:bookmarkEnd w:id="1"/>
      <w:r>
        <w:t>ГОСУДАРСТВЕННАЯ ПРОГРАММА</w:t>
      </w:r>
    </w:p>
    <w:p w14:paraId="6387C14D" w14:textId="77777777" w:rsidR="00454A29" w:rsidRDefault="00454A29">
      <w:pPr>
        <w:pStyle w:val="ConsPlusTitle"/>
        <w:jc w:val="center"/>
      </w:pPr>
      <w:r>
        <w:t>РЕСПУБЛИКИ САХА (ЯКУТИЯ) "РАЗВИТИЕ ОБРАЗОВАНИЯ</w:t>
      </w:r>
    </w:p>
    <w:p w14:paraId="6A0F91E5" w14:textId="77777777" w:rsidR="00454A29" w:rsidRDefault="00454A29">
      <w:pPr>
        <w:pStyle w:val="ConsPlusTitle"/>
        <w:jc w:val="center"/>
      </w:pPr>
      <w:r>
        <w:t>РЕСПУБЛИКИ САХА (ЯКУТИЯ) НА 2020 - 2024 ГОДЫ</w:t>
      </w:r>
    </w:p>
    <w:p w14:paraId="725CDFBF" w14:textId="77777777" w:rsidR="00454A29" w:rsidRDefault="00454A29">
      <w:pPr>
        <w:pStyle w:val="ConsPlusTitle"/>
        <w:jc w:val="center"/>
      </w:pPr>
      <w:r>
        <w:t>И НА ПЛАНОВЫЙ ПЕРИОД ДО 2026 ГОДА"</w:t>
      </w:r>
    </w:p>
    <w:p w14:paraId="70008F41" w14:textId="77777777" w:rsidR="00454A29" w:rsidRDefault="00454A29">
      <w:pPr>
        <w:pStyle w:val="ConsPlusNormal"/>
      </w:pPr>
    </w:p>
    <w:p w14:paraId="6084ADF7" w14:textId="77777777" w:rsidR="00454A29" w:rsidRDefault="00454A29">
      <w:pPr>
        <w:pStyle w:val="ConsPlusTitle"/>
        <w:jc w:val="center"/>
        <w:outlineLvl w:val="1"/>
      </w:pPr>
      <w:r>
        <w:t>Паспорт</w:t>
      </w:r>
    </w:p>
    <w:p w14:paraId="5D12D896" w14:textId="77777777" w:rsidR="00454A29" w:rsidRDefault="00454A29">
      <w:pPr>
        <w:pStyle w:val="ConsPlusTitle"/>
        <w:jc w:val="center"/>
      </w:pPr>
      <w:r>
        <w:t>государственной программы Республики Саха (Якутия)</w:t>
      </w:r>
    </w:p>
    <w:p w14:paraId="370BD5FF" w14:textId="77777777" w:rsidR="00454A29" w:rsidRDefault="00454A29">
      <w:pPr>
        <w:pStyle w:val="ConsPlusTitle"/>
        <w:jc w:val="center"/>
      </w:pPr>
      <w:r>
        <w:t>"Развитие образования Республики Саха (Якутия)</w:t>
      </w:r>
    </w:p>
    <w:p w14:paraId="5C1D79DE" w14:textId="77777777" w:rsidR="00454A29" w:rsidRDefault="00454A29">
      <w:pPr>
        <w:pStyle w:val="ConsPlusTitle"/>
        <w:jc w:val="center"/>
      </w:pPr>
      <w:r>
        <w:t>на 2020 - 2024 годы и на плановый период до 2026 года"</w:t>
      </w:r>
    </w:p>
    <w:p w14:paraId="71D91881"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6FA7227F" w14:textId="77777777">
        <w:tc>
          <w:tcPr>
            <w:tcW w:w="2835" w:type="dxa"/>
          </w:tcPr>
          <w:p w14:paraId="308E0B6B" w14:textId="77777777" w:rsidR="00454A29" w:rsidRDefault="00454A29">
            <w:pPr>
              <w:pStyle w:val="ConsPlusNormal"/>
            </w:pPr>
            <w:r>
              <w:t>Наименование государственной программы</w:t>
            </w:r>
          </w:p>
        </w:tc>
        <w:tc>
          <w:tcPr>
            <w:tcW w:w="6236" w:type="dxa"/>
          </w:tcPr>
          <w:p w14:paraId="5458D9C4" w14:textId="77777777" w:rsidR="00454A29" w:rsidRDefault="00454A29">
            <w:pPr>
              <w:pStyle w:val="ConsPlusNormal"/>
              <w:jc w:val="both"/>
            </w:pPr>
            <w:r>
              <w:t>Развитие образования Республики Саха (Якутия) на 2020 - 2024 годы и на плановый период до 2026 года</w:t>
            </w:r>
          </w:p>
        </w:tc>
      </w:tr>
      <w:tr w:rsidR="00454A29" w14:paraId="22DE811E" w14:textId="77777777">
        <w:tc>
          <w:tcPr>
            <w:tcW w:w="2835" w:type="dxa"/>
          </w:tcPr>
          <w:p w14:paraId="79E34A5C" w14:textId="77777777" w:rsidR="00454A29" w:rsidRDefault="00454A29">
            <w:pPr>
              <w:pStyle w:val="ConsPlusNormal"/>
            </w:pPr>
            <w:r>
              <w:t>Ответственный исполнитель программы</w:t>
            </w:r>
          </w:p>
        </w:tc>
        <w:tc>
          <w:tcPr>
            <w:tcW w:w="6236" w:type="dxa"/>
          </w:tcPr>
          <w:p w14:paraId="1FA89EBD" w14:textId="77777777" w:rsidR="00454A29" w:rsidRDefault="00454A29">
            <w:pPr>
              <w:pStyle w:val="ConsPlusNormal"/>
              <w:jc w:val="both"/>
            </w:pPr>
            <w:r>
              <w:t>Министерство образования и науки Республики Саха (Якутия)</w:t>
            </w:r>
          </w:p>
        </w:tc>
      </w:tr>
      <w:tr w:rsidR="00454A29" w14:paraId="7C4932E8" w14:textId="77777777">
        <w:tc>
          <w:tcPr>
            <w:tcW w:w="2835" w:type="dxa"/>
          </w:tcPr>
          <w:p w14:paraId="4D0C282D" w14:textId="77777777" w:rsidR="00454A29" w:rsidRDefault="00454A29">
            <w:pPr>
              <w:pStyle w:val="ConsPlusNormal"/>
            </w:pPr>
            <w:r>
              <w:t>Соисполнители программы</w:t>
            </w:r>
          </w:p>
        </w:tc>
        <w:tc>
          <w:tcPr>
            <w:tcW w:w="6236" w:type="dxa"/>
          </w:tcPr>
          <w:p w14:paraId="666E1CBD" w14:textId="77777777" w:rsidR="00454A29" w:rsidRDefault="00454A29">
            <w:pPr>
              <w:pStyle w:val="ConsPlusNormal"/>
              <w:jc w:val="both"/>
            </w:pPr>
            <w:r>
              <w:t>Министерство строительства Республики Саха (Якутия);</w:t>
            </w:r>
          </w:p>
          <w:p w14:paraId="2951690F" w14:textId="77777777" w:rsidR="00454A29" w:rsidRDefault="00454A29">
            <w:pPr>
              <w:pStyle w:val="ConsPlusNormal"/>
              <w:jc w:val="both"/>
            </w:pPr>
            <w:r>
              <w:t>Министерство инноваций, цифрового развития и инфокоммуникационных технологий Республики Саха (Якутия);</w:t>
            </w:r>
          </w:p>
          <w:p w14:paraId="33383B98" w14:textId="77777777" w:rsidR="00454A29" w:rsidRDefault="00454A29">
            <w:pPr>
              <w:pStyle w:val="ConsPlusNormal"/>
              <w:jc w:val="both"/>
            </w:pPr>
            <w:r>
              <w:t>Министерство культуры и духовного развития Республики Саха (Якутия);</w:t>
            </w:r>
          </w:p>
          <w:p w14:paraId="0F52F337" w14:textId="77777777" w:rsidR="00454A29" w:rsidRDefault="00454A29">
            <w:pPr>
              <w:pStyle w:val="ConsPlusNormal"/>
              <w:jc w:val="both"/>
            </w:pPr>
            <w:r>
              <w:lastRenderedPageBreak/>
              <w:t>Министерство экономики Республики Саха (Якутия)</w:t>
            </w:r>
          </w:p>
        </w:tc>
      </w:tr>
      <w:tr w:rsidR="00454A29" w14:paraId="19FD08F1" w14:textId="77777777">
        <w:tc>
          <w:tcPr>
            <w:tcW w:w="2835" w:type="dxa"/>
          </w:tcPr>
          <w:p w14:paraId="1F32FBC0" w14:textId="77777777" w:rsidR="00454A29" w:rsidRDefault="00454A29">
            <w:pPr>
              <w:pStyle w:val="ConsPlusNormal"/>
            </w:pPr>
            <w:r>
              <w:lastRenderedPageBreak/>
              <w:t>Участники программы</w:t>
            </w:r>
          </w:p>
        </w:tc>
        <w:tc>
          <w:tcPr>
            <w:tcW w:w="6236" w:type="dxa"/>
          </w:tcPr>
          <w:p w14:paraId="01F0A5D5" w14:textId="77777777" w:rsidR="00454A29" w:rsidRDefault="00454A29">
            <w:pPr>
              <w:pStyle w:val="ConsPlusNormal"/>
              <w:jc w:val="both"/>
            </w:pPr>
            <w:r>
              <w:t>Министерство строительства Республики Саха (Якутия);</w:t>
            </w:r>
          </w:p>
          <w:p w14:paraId="08168EE2" w14:textId="77777777" w:rsidR="00454A29" w:rsidRDefault="00454A29">
            <w:pPr>
              <w:pStyle w:val="ConsPlusNormal"/>
              <w:jc w:val="both"/>
            </w:pPr>
            <w:r>
              <w:t>Министерство инноваций, цифрового развития и инфокоммуникационных технологий Республики Саха (Якутия);</w:t>
            </w:r>
          </w:p>
          <w:p w14:paraId="647437EA" w14:textId="77777777" w:rsidR="00454A29" w:rsidRDefault="00454A29">
            <w:pPr>
              <w:pStyle w:val="ConsPlusNormal"/>
              <w:jc w:val="both"/>
            </w:pPr>
            <w:r>
              <w:t>Министерство культуры и духовного развития Республики Саха (Якутия);</w:t>
            </w:r>
          </w:p>
          <w:p w14:paraId="5991E53D" w14:textId="77777777" w:rsidR="00454A29" w:rsidRDefault="00454A29">
            <w:pPr>
              <w:pStyle w:val="ConsPlusNormal"/>
              <w:jc w:val="both"/>
            </w:pPr>
            <w:r>
              <w:t>Министерство экономики Республики Саха (Якутия);</w:t>
            </w:r>
          </w:p>
          <w:p w14:paraId="4D142C87" w14:textId="77777777" w:rsidR="00454A29" w:rsidRDefault="00454A29">
            <w:pPr>
              <w:pStyle w:val="ConsPlusNormal"/>
              <w:jc w:val="both"/>
            </w:pPr>
            <w:r>
              <w:t>органы местного самоуправления муниципальных районов и городских округов Республики Саха (Якутия)</w:t>
            </w:r>
          </w:p>
        </w:tc>
      </w:tr>
      <w:tr w:rsidR="00454A29" w14:paraId="5E293D5A" w14:textId="77777777">
        <w:tc>
          <w:tcPr>
            <w:tcW w:w="2835" w:type="dxa"/>
          </w:tcPr>
          <w:p w14:paraId="1B4CCD7C" w14:textId="77777777" w:rsidR="00454A29" w:rsidRDefault="00454A29">
            <w:pPr>
              <w:pStyle w:val="ConsPlusNormal"/>
            </w:pPr>
            <w:r>
              <w:t>Подпрограммы программы</w:t>
            </w:r>
          </w:p>
        </w:tc>
        <w:tc>
          <w:tcPr>
            <w:tcW w:w="6236" w:type="dxa"/>
          </w:tcPr>
          <w:p w14:paraId="6C73CFE8" w14:textId="77777777" w:rsidR="00454A29" w:rsidRDefault="00454A29">
            <w:pPr>
              <w:pStyle w:val="ConsPlusNormal"/>
              <w:jc w:val="both"/>
            </w:pPr>
            <w:r>
              <w:t>Подпрограмма N 1. "Обеспечивающая подпрограмма";</w:t>
            </w:r>
          </w:p>
          <w:p w14:paraId="31FBEA86" w14:textId="77777777" w:rsidR="00454A29" w:rsidRDefault="00454A29">
            <w:pPr>
              <w:pStyle w:val="ConsPlusNormal"/>
              <w:jc w:val="both"/>
            </w:pPr>
            <w:r>
              <w:t>подпрограмма N 2. "Общее образование - образование, открытое в будущее";</w:t>
            </w:r>
          </w:p>
          <w:p w14:paraId="2860D83E" w14:textId="77777777" w:rsidR="00454A29" w:rsidRDefault="00454A29">
            <w:pPr>
              <w:pStyle w:val="ConsPlusNormal"/>
              <w:jc w:val="both"/>
            </w:pPr>
            <w:r>
              <w:t>подпрограмма N 3. "Профессиональное образование";</w:t>
            </w:r>
          </w:p>
          <w:p w14:paraId="265499E4" w14:textId="77777777" w:rsidR="00454A29" w:rsidRDefault="00454A29">
            <w:pPr>
              <w:pStyle w:val="ConsPlusNormal"/>
              <w:jc w:val="both"/>
            </w:pPr>
            <w:r>
              <w:t>подпрограмма N 4. "Воспитание и дополнительное образование";</w:t>
            </w:r>
          </w:p>
          <w:p w14:paraId="16A091BA" w14:textId="77777777" w:rsidR="00454A29" w:rsidRDefault="00454A29">
            <w:pPr>
              <w:pStyle w:val="ConsPlusNormal"/>
              <w:jc w:val="both"/>
            </w:pPr>
            <w:r>
              <w:t>подпрограмма N 5. "Одаренные дети Якутии";</w:t>
            </w:r>
          </w:p>
          <w:p w14:paraId="29035481" w14:textId="77777777" w:rsidR="00454A29" w:rsidRDefault="00454A29">
            <w:pPr>
              <w:pStyle w:val="ConsPlusNormal"/>
              <w:jc w:val="both"/>
            </w:pPr>
            <w:r>
              <w:t>подпрограмма N 6. "Отдых детей и их оздоровление";</w:t>
            </w:r>
          </w:p>
          <w:p w14:paraId="7FCD9AB9" w14:textId="77777777" w:rsidR="00454A29" w:rsidRDefault="00454A29">
            <w:pPr>
              <w:pStyle w:val="ConsPlusNormal"/>
              <w:jc w:val="both"/>
            </w:pPr>
            <w:r>
              <w:t>подпрограмма N 7. "Учительский рост";</w:t>
            </w:r>
          </w:p>
          <w:p w14:paraId="0DB59E73" w14:textId="77777777" w:rsidR="00454A29" w:rsidRDefault="00454A29">
            <w:pPr>
              <w:pStyle w:val="ConsPlusNormal"/>
              <w:jc w:val="both"/>
            </w:pPr>
            <w:r>
              <w:t>подпрограмма N 8. "Дети Арктики и Севера";</w:t>
            </w:r>
          </w:p>
          <w:p w14:paraId="0B8C6358" w14:textId="77777777" w:rsidR="00454A29" w:rsidRDefault="00454A29">
            <w:pPr>
              <w:pStyle w:val="ConsPlusNormal"/>
              <w:jc w:val="both"/>
            </w:pPr>
            <w:r>
              <w:t>подпрограмма N 9. "Содействие созданию новых мест в общеобразовательных организациях Республики Саха (Якутия)";</w:t>
            </w:r>
          </w:p>
          <w:p w14:paraId="23CBD7F9" w14:textId="77777777" w:rsidR="00454A29" w:rsidRDefault="00454A29">
            <w:pPr>
              <w:pStyle w:val="ConsPlusNormal"/>
              <w:jc w:val="both"/>
            </w:pPr>
            <w:r>
              <w:t>подпрограмма N 10. "Укрепление материально-технической базы организаций образования"</w:t>
            </w:r>
          </w:p>
        </w:tc>
      </w:tr>
      <w:tr w:rsidR="00454A29" w14:paraId="3B29C0AB" w14:textId="77777777">
        <w:tc>
          <w:tcPr>
            <w:tcW w:w="2835" w:type="dxa"/>
          </w:tcPr>
          <w:p w14:paraId="6F2393FD" w14:textId="77777777" w:rsidR="00454A29" w:rsidRDefault="00454A29">
            <w:pPr>
              <w:pStyle w:val="ConsPlusNormal"/>
            </w:pPr>
            <w:r>
              <w:t>Цель программы</w:t>
            </w:r>
          </w:p>
        </w:tc>
        <w:tc>
          <w:tcPr>
            <w:tcW w:w="6236" w:type="dxa"/>
          </w:tcPr>
          <w:p w14:paraId="42F13923" w14:textId="77777777" w:rsidR="00454A29" w:rsidRDefault="00454A29">
            <w:pPr>
              <w:pStyle w:val="ConsPlusNormal"/>
              <w:jc w:val="both"/>
            </w:pPr>
            <w:r>
              <w:t>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w:t>
            </w:r>
          </w:p>
        </w:tc>
      </w:tr>
      <w:tr w:rsidR="00454A29" w14:paraId="2C6D67AD" w14:textId="77777777">
        <w:tc>
          <w:tcPr>
            <w:tcW w:w="2835" w:type="dxa"/>
          </w:tcPr>
          <w:p w14:paraId="4BD12880" w14:textId="77777777" w:rsidR="00454A29" w:rsidRDefault="00454A29">
            <w:pPr>
              <w:pStyle w:val="ConsPlusNormal"/>
            </w:pPr>
            <w:r>
              <w:t>Задачи программы</w:t>
            </w:r>
          </w:p>
        </w:tc>
        <w:tc>
          <w:tcPr>
            <w:tcW w:w="6236" w:type="dxa"/>
          </w:tcPr>
          <w:p w14:paraId="320BA22C" w14:textId="77777777" w:rsidR="00454A29" w:rsidRDefault="00454A29">
            <w:pPr>
              <w:pStyle w:val="ConsPlusNormal"/>
              <w:jc w:val="both"/>
            </w:pPr>
            <w:r>
              <w:t>1. Совершенствование содержания образования, образовательных программ общего образования детей, направленных на достижение высоких учебных результатов и успешную социализацию.</w:t>
            </w:r>
          </w:p>
          <w:p w14:paraId="03594C80" w14:textId="77777777" w:rsidR="00454A29" w:rsidRDefault="00454A29">
            <w:pPr>
              <w:pStyle w:val="ConsPlusNormal"/>
              <w:jc w:val="both"/>
            </w:pPr>
            <w:r>
              <w:t>2. Обеспечение трудовыми ресурсами потребности экономики в соответствии с прогнозом потребности в кадрах для отраслей экономики Республики Саха (Якутия).</w:t>
            </w:r>
          </w:p>
          <w:p w14:paraId="13D88E2A" w14:textId="77777777" w:rsidR="00454A29" w:rsidRDefault="00454A29">
            <w:pPr>
              <w:pStyle w:val="ConsPlusNormal"/>
              <w:jc w:val="both"/>
            </w:pPr>
            <w:r>
              <w:t>3. Создание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народов Республики Саха (Якутия); формирование современной региональной системы дополнительного образования детей.</w:t>
            </w:r>
          </w:p>
          <w:p w14:paraId="75D2958E" w14:textId="77777777" w:rsidR="00454A29" w:rsidRDefault="00454A29">
            <w:pPr>
              <w:pStyle w:val="ConsPlusNormal"/>
              <w:jc w:val="both"/>
            </w:pPr>
            <w:r>
              <w:t>4. Создание условий для выявления и развития одаренных и талантливых детей Республики Саха (Якутия).</w:t>
            </w:r>
          </w:p>
          <w:p w14:paraId="2AC0608C" w14:textId="77777777" w:rsidR="00454A29" w:rsidRDefault="00454A29">
            <w:pPr>
              <w:pStyle w:val="ConsPlusNormal"/>
              <w:jc w:val="both"/>
            </w:pPr>
            <w:r>
              <w:t>5. Обеспечение доступности отдыха и оздоровления детей.</w:t>
            </w:r>
          </w:p>
          <w:p w14:paraId="3144AD5B" w14:textId="77777777" w:rsidR="00454A29" w:rsidRDefault="00454A29">
            <w:pPr>
              <w:pStyle w:val="ConsPlusNormal"/>
              <w:jc w:val="both"/>
            </w:pPr>
            <w:r>
              <w:t>6. Создание условий для развития и укрепления потенциала педагогических работников.</w:t>
            </w:r>
          </w:p>
          <w:p w14:paraId="32BB5560" w14:textId="77777777" w:rsidR="00454A29" w:rsidRDefault="00454A29">
            <w:pPr>
              <w:pStyle w:val="ConsPlusNormal"/>
              <w:jc w:val="both"/>
            </w:pPr>
            <w:r>
              <w:t>7. Повышение доступности и качества образования для детей Арктики.</w:t>
            </w:r>
          </w:p>
          <w:p w14:paraId="57C70B21" w14:textId="77777777" w:rsidR="00454A29" w:rsidRDefault="00454A29">
            <w:pPr>
              <w:pStyle w:val="ConsPlusNormal"/>
              <w:jc w:val="both"/>
            </w:pPr>
            <w:r>
              <w:t>8.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w:t>
            </w:r>
          </w:p>
          <w:p w14:paraId="0A02E73B" w14:textId="77777777" w:rsidR="00454A29" w:rsidRDefault="00454A29">
            <w:pPr>
              <w:pStyle w:val="ConsPlusNormal"/>
              <w:jc w:val="both"/>
            </w:pPr>
            <w:r>
              <w:t xml:space="preserve">9. Создание механизма устойчивого развития системы </w:t>
            </w:r>
            <w:r>
              <w:lastRenderedPageBreak/>
              <w:t>образования, обеспечения качественного образования в соответствии с Федеральным государственным образовательным стандартом</w:t>
            </w:r>
          </w:p>
        </w:tc>
      </w:tr>
      <w:tr w:rsidR="00454A29" w14:paraId="28433DC8" w14:textId="77777777">
        <w:tc>
          <w:tcPr>
            <w:tcW w:w="2835" w:type="dxa"/>
          </w:tcPr>
          <w:p w14:paraId="7C2F15E3" w14:textId="77777777" w:rsidR="00454A29" w:rsidRDefault="00454A29">
            <w:pPr>
              <w:pStyle w:val="ConsPlusNormal"/>
            </w:pPr>
            <w:r>
              <w:lastRenderedPageBreak/>
              <w:t>Целевые показатели (индикаторы) программы</w:t>
            </w:r>
          </w:p>
        </w:tc>
        <w:tc>
          <w:tcPr>
            <w:tcW w:w="6236" w:type="dxa"/>
          </w:tcPr>
          <w:p w14:paraId="35678E97" w14:textId="77777777" w:rsidR="00454A29" w:rsidRDefault="00454A29">
            <w:pPr>
              <w:pStyle w:val="ConsPlusNormal"/>
              <w:jc w:val="both"/>
            </w:pPr>
            <w:r>
              <w:t>1.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 2020 году - 80,1%, в 2021 году - 100%, в 2022 году - 100%, в 2023 году - 100%, в 2024 году - 100%.</w:t>
            </w:r>
          </w:p>
          <w:p w14:paraId="60D60AB3" w14:textId="77777777" w:rsidR="00454A29" w:rsidRDefault="00454A29">
            <w:pPr>
              <w:pStyle w:val="ConsPlusNormal"/>
              <w:jc w:val="both"/>
            </w:pPr>
            <w:r>
              <w:t>2. Доля выпускников государственных (муниципальных) общеобразовательных организаций, получивших аттестат о среднем (полном) общем образовании: в 2020 году - 98%, в 2021 году - 98%, в 2022 году - 98,1%, в 2023 году - 98,2%, в 2024 году - 98,3%.</w:t>
            </w:r>
          </w:p>
          <w:p w14:paraId="0E6558AF" w14:textId="77777777" w:rsidR="00454A29" w:rsidRDefault="00454A29">
            <w:pPr>
              <w:pStyle w:val="ConsPlusNormal"/>
              <w:jc w:val="both"/>
            </w:pPr>
            <w:r>
              <w:t>3. Доля населения в возрасте от 15 до 19 лет, обучающегося по программам среднего профессионального образования: в 2020 году - 40%, в 2021 году - 41%, в 2022 году - 42%, в 2023 году - 43%, в 2024 году - 44%.</w:t>
            </w:r>
          </w:p>
          <w:p w14:paraId="6107FB60" w14:textId="77777777" w:rsidR="00454A29" w:rsidRDefault="00454A29">
            <w:pPr>
              <w:pStyle w:val="ConsPlusNormal"/>
              <w:jc w:val="both"/>
            </w:pPr>
            <w:r>
              <w:t>4. Доля детей в возрасте от 5 до 18 лет, охваченных дополнительным образованием: в 2020 году - 77%, в 2021 году - 78%, в 2022 году - 78,5%, в 2023 году - 79%, в 2024 году - 80%.</w:t>
            </w:r>
          </w:p>
          <w:p w14:paraId="0A438EDC" w14:textId="77777777" w:rsidR="00454A29" w:rsidRDefault="00454A29">
            <w:pPr>
              <w:pStyle w:val="ConsPlusNormal"/>
              <w:jc w:val="both"/>
            </w:pPr>
            <w:r>
              <w:t>5. Доля окончивших обучение от общего количества поступивших на условиях целевого обучения: в 2020 году - 67,6%, в 2021 году - 68,4%, в 2022 году - 69,2%, в 2023 году - 70%, в 2024 году - 70,8%.</w:t>
            </w:r>
          </w:p>
          <w:p w14:paraId="5CCC407F" w14:textId="77777777" w:rsidR="00454A29" w:rsidRDefault="00454A29">
            <w:pPr>
              <w:pStyle w:val="ConsPlusNormal"/>
              <w:jc w:val="both"/>
            </w:pPr>
            <w:r>
              <w:t>6.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в 2020 году - 46%, в 2021 году - 48%, в 2022 году - 50%, в 2023 году - 50%, в 2024 году - 50%.</w:t>
            </w:r>
          </w:p>
          <w:p w14:paraId="22D33948" w14:textId="77777777" w:rsidR="00454A29" w:rsidRDefault="00454A29">
            <w:pPr>
              <w:pStyle w:val="ConsPlusNormal"/>
              <w:jc w:val="both"/>
            </w:pPr>
            <w:r>
              <w:t>7. Доля обучающихся 1 - 11 классов, охваченных отдыхом и оздоровлением, в общей численности обучающихся 1 - 11 классов: в 2020 году - 50,5%, в 2021 году - 50,5%, в 2022 году - 50,5%, в 2023 году - 50,5%, в 2024 году - 50,5%.</w:t>
            </w:r>
          </w:p>
          <w:p w14:paraId="1C493D46" w14:textId="77777777" w:rsidR="00454A29" w:rsidRDefault="00454A29">
            <w:pPr>
              <w:pStyle w:val="ConsPlusNormal"/>
              <w:jc w:val="both"/>
            </w:pPr>
            <w:r>
              <w:t>8. Доля педагогических работников, прошедших переподготовку и повышение квалификации, от общего количества педагогических работников: в 2020 году - 30%, в 2021 году - 35%, в 2022 году - 40%, в 2023 году - 45%, в 2024 году - 50%.</w:t>
            </w:r>
          </w:p>
          <w:p w14:paraId="40C07029" w14:textId="77777777" w:rsidR="00454A29" w:rsidRDefault="00454A29">
            <w:pPr>
              <w:pStyle w:val="ConsPlusNormal"/>
              <w:jc w:val="both"/>
            </w:pPr>
            <w:r>
              <w:t>9. Количество кочевых образовательных организаций, которым созданы условия современной образовательной среды (нарастающим итогом): в 2020 году - 0, в 2021 году - 0, в 2022 году - 1, в 2023 году - 2, в 2024 году - 3.</w:t>
            </w:r>
          </w:p>
          <w:p w14:paraId="319BA48B" w14:textId="77777777" w:rsidR="00454A29" w:rsidRDefault="00454A29">
            <w:pPr>
              <w:pStyle w:val="ConsPlusNormal"/>
              <w:jc w:val="both"/>
            </w:pPr>
            <w:r>
              <w:t>10. Количество детей, изучающих языки коренных малочисленных народов Севера: в 2020 году - 3000, в 2021 году - 3000, в 2022 году - 3000, в 2023 году - 3010, в 2024 году - 3020.</w:t>
            </w:r>
          </w:p>
          <w:p w14:paraId="3B04458F" w14:textId="77777777" w:rsidR="00454A29" w:rsidRDefault="00454A29">
            <w:pPr>
              <w:pStyle w:val="ConsPlusNormal"/>
              <w:jc w:val="both"/>
            </w:pPr>
            <w:r>
              <w:t xml:space="preserve">11. Число новых мест в общеобразовательных организациях: в 2020 году - 1770, в 2021 году - 2150, в 2022 году - 0, в 2023 году - </w:t>
            </w:r>
            <w:r>
              <w:lastRenderedPageBreak/>
              <w:t>3901, в 2024 году - 1265, в 2025 году - 13438, в 2026 году - 18793.</w:t>
            </w:r>
          </w:p>
          <w:p w14:paraId="2DED495B" w14:textId="77777777" w:rsidR="00454A29" w:rsidRDefault="00454A29">
            <w:pPr>
              <w:pStyle w:val="ConsPlusNormal"/>
              <w:jc w:val="both"/>
            </w:pPr>
            <w:r>
              <w:t>12.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в 2020 году - 82%, в 2021 году - 85%, в 2022 году - 86%, в 2023 году - 90%, в 2024 году - 92%, в 2025 году - 95%, в 2026 году - 100%.</w:t>
            </w:r>
          </w:p>
          <w:p w14:paraId="0323E9B3" w14:textId="77777777" w:rsidR="00454A29" w:rsidRDefault="00454A29">
            <w:pPr>
              <w:pStyle w:val="ConsPlusNormal"/>
              <w:jc w:val="both"/>
            </w:pPr>
            <w:r>
              <w:t>13. Количество новых зданий, создаваемых путем строительства, приобретения и реконструкции образовательных организаций: в 2020 году - 1, в 2021 году - 1, в 2022 году - 0, в 2023 году - 16, в 2024 году - 40, в 2025 году - 16, в 2026 году - 4.</w:t>
            </w:r>
          </w:p>
          <w:p w14:paraId="13C93000" w14:textId="77777777" w:rsidR="00454A29" w:rsidRDefault="00454A29">
            <w:pPr>
              <w:pStyle w:val="ConsPlusNormal"/>
              <w:jc w:val="both"/>
            </w:pPr>
            <w:r>
              <w:t xml:space="preserve">Перечень целевых показателей государственной программы с указанием планируемых к достижению значений в результате реализации государственной программы представлен в </w:t>
            </w:r>
            <w:hyperlink w:anchor="P1666" w:history="1">
              <w:r>
                <w:rPr>
                  <w:color w:val="0000FF"/>
                </w:rPr>
                <w:t>приложении N 1</w:t>
              </w:r>
            </w:hyperlink>
            <w:r>
              <w:t xml:space="preserve"> к государственной программе</w:t>
            </w:r>
          </w:p>
        </w:tc>
      </w:tr>
      <w:tr w:rsidR="00454A29" w14:paraId="4CD53096" w14:textId="77777777">
        <w:tc>
          <w:tcPr>
            <w:tcW w:w="2835" w:type="dxa"/>
          </w:tcPr>
          <w:p w14:paraId="36A5DA9A" w14:textId="77777777" w:rsidR="00454A29" w:rsidRDefault="00454A29">
            <w:pPr>
              <w:pStyle w:val="ConsPlusNormal"/>
            </w:pPr>
            <w:r>
              <w:lastRenderedPageBreak/>
              <w:t>Сроки реализации программы</w:t>
            </w:r>
          </w:p>
        </w:tc>
        <w:tc>
          <w:tcPr>
            <w:tcW w:w="6236" w:type="dxa"/>
          </w:tcPr>
          <w:p w14:paraId="13C02196" w14:textId="77777777" w:rsidR="00454A29" w:rsidRDefault="00454A29">
            <w:pPr>
              <w:pStyle w:val="ConsPlusNormal"/>
              <w:jc w:val="both"/>
            </w:pPr>
            <w:r>
              <w:t>2020 - 2024 годы и плановый период до 2026 года</w:t>
            </w:r>
          </w:p>
        </w:tc>
      </w:tr>
      <w:tr w:rsidR="00454A29" w14:paraId="7D52784C" w14:textId="77777777">
        <w:tc>
          <w:tcPr>
            <w:tcW w:w="2835" w:type="dxa"/>
          </w:tcPr>
          <w:p w14:paraId="29B5D411" w14:textId="77777777" w:rsidR="00454A29" w:rsidRDefault="00454A29">
            <w:pPr>
              <w:pStyle w:val="ConsPlusNormal"/>
            </w:pPr>
            <w:r>
              <w:t>Объем финансового обеспечения программы</w:t>
            </w:r>
          </w:p>
        </w:tc>
        <w:tc>
          <w:tcPr>
            <w:tcW w:w="6236" w:type="dxa"/>
          </w:tcPr>
          <w:p w14:paraId="3F956765" w14:textId="77777777" w:rsidR="00454A29" w:rsidRDefault="00454A29">
            <w:pPr>
              <w:pStyle w:val="ConsPlusNormal"/>
              <w:jc w:val="both"/>
            </w:pPr>
            <w:r>
              <w:t>Объемы финансового обеспечения в целом на реализацию программы - 315 913 194 тыс. руб., в том числе:</w:t>
            </w:r>
          </w:p>
          <w:p w14:paraId="61AC51A6" w14:textId="77777777" w:rsidR="00454A29" w:rsidRDefault="00454A29">
            <w:pPr>
              <w:pStyle w:val="ConsPlusNormal"/>
              <w:jc w:val="both"/>
            </w:pPr>
            <w:r>
              <w:t>2020 год - 40 532 198 тыс. руб.;</w:t>
            </w:r>
          </w:p>
          <w:p w14:paraId="2AC543D8" w14:textId="77777777" w:rsidR="00454A29" w:rsidRDefault="00454A29">
            <w:pPr>
              <w:pStyle w:val="ConsPlusNormal"/>
              <w:jc w:val="both"/>
            </w:pPr>
            <w:r>
              <w:t>2021 год - 40 028 493 тыс. руб.;</w:t>
            </w:r>
          </w:p>
          <w:p w14:paraId="6CC87694" w14:textId="77777777" w:rsidR="00454A29" w:rsidRDefault="00454A29">
            <w:pPr>
              <w:pStyle w:val="ConsPlusNormal"/>
              <w:jc w:val="both"/>
            </w:pPr>
            <w:r>
              <w:t>2022 год - 36 285 810 тыс. руб.;</w:t>
            </w:r>
          </w:p>
          <w:p w14:paraId="617A060C" w14:textId="77777777" w:rsidR="00454A29" w:rsidRDefault="00454A29">
            <w:pPr>
              <w:pStyle w:val="ConsPlusNormal"/>
              <w:jc w:val="both"/>
            </w:pPr>
            <w:r>
              <w:t>2023 год - 47 797 224 тыс. руб.;</w:t>
            </w:r>
          </w:p>
          <w:p w14:paraId="2146E4FC" w14:textId="77777777" w:rsidR="00454A29" w:rsidRDefault="00454A29">
            <w:pPr>
              <w:pStyle w:val="ConsPlusNormal"/>
              <w:jc w:val="both"/>
            </w:pPr>
            <w:r>
              <w:t>2024 год - 49 256 344 тыс. руб.;</w:t>
            </w:r>
          </w:p>
          <w:p w14:paraId="37CB5D3B" w14:textId="77777777" w:rsidR="00454A29" w:rsidRDefault="00454A29">
            <w:pPr>
              <w:pStyle w:val="ConsPlusNormal"/>
              <w:jc w:val="both"/>
            </w:pPr>
            <w:r>
              <w:t>2025 год - 50 274 980 тыс. руб. &lt;*&gt;;</w:t>
            </w:r>
          </w:p>
          <w:p w14:paraId="0FC4776E" w14:textId="77777777" w:rsidR="00454A29" w:rsidRDefault="00454A29">
            <w:pPr>
              <w:pStyle w:val="ConsPlusNormal"/>
              <w:jc w:val="both"/>
            </w:pPr>
            <w:r>
              <w:t>2026 год - 51 738 145 тыс. руб. &lt;*&gt;;</w:t>
            </w:r>
          </w:p>
          <w:p w14:paraId="7F266603" w14:textId="77777777" w:rsidR="00454A29" w:rsidRDefault="00454A29">
            <w:pPr>
              <w:pStyle w:val="ConsPlusNormal"/>
              <w:jc w:val="both"/>
            </w:pPr>
            <w:r>
              <w:t>а) за счет средств государственного бюджета Республики Саха (Якутия) - 205 758 998 тыс. руб., в том числе по годам:</w:t>
            </w:r>
          </w:p>
          <w:p w14:paraId="7F2483FC" w14:textId="77777777" w:rsidR="00454A29" w:rsidRDefault="00454A29">
            <w:pPr>
              <w:pStyle w:val="ConsPlusNormal"/>
              <w:jc w:val="both"/>
            </w:pPr>
            <w:r>
              <w:t>2020 год - 37 076 545 тыс. руб.;</w:t>
            </w:r>
          </w:p>
          <w:p w14:paraId="36E86757" w14:textId="77777777" w:rsidR="00454A29" w:rsidRDefault="00454A29">
            <w:pPr>
              <w:pStyle w:val="ConsPlusNormal"/>
              <w:jc w:val="both"/>
            </w:pPr>
            <w:r>
              <w:t>2021 год - 36 017 970 тыс. руб.;</w:t>
            </w:r>
          </w:p>
          <w:p w14:paraId="0CD133C6" w14:textId="77777777" w:rsidR="00454A29" w:rsidRDefault="00454A29">
            <w:pPr>
              <w:pStyle w:val="ConsPlusNormal"/>
              <w:jc w:val="both"/>
            </w:pPr>
            <w:r>
              <w:t>2022 год - 35 209 135 тыс. руб.;</w:t>
            </w:r>
          </w:p>
          <w:p w14:paraId="50BBEB20" w14:textId="77777777" w:rsidR="00454A29" w:rsidRDefault="00454A29">
            <w:pPr>
              <w:pStyle w:val="ConsPlusNormal"/>
              <w:jc w:val="both"/>
            </w:pPr>
            <w:r>
              <w:t>2023 год - 42 524 654 тыс. руб.;</w:t>
            </w:r>
          </w:p>
          <w:p w14:paraId="54380D4E" w14:textId="77777777" w:rsidR="00454A29" w:rsidRDefault="00454A29">
            <w:pPr>
              <w:pStyle w:val="ConsPlusNormal"/>
              <w:jc w:val="both"/>
            </w:pPr>
            <w:r>
              <w:t>2024 год - 45 659 997 тыс. руб.;</w:t>
            </w:r>
          </w:p>
          <w:p w14:paraId="05634BA5" w14:textId="77777777" w:rsidR="00454A29" w:rsidRDefault="00454A29">
            <w:pPr>
              <w:pStyle w:val="ConsPlusNormal"/>
              <w:jc w:val="both"/>
            </w:pPr>
            <w:r>
              <w:t>2025 год - 7 039 353 тыс. руб.;</w:t>
            </w:r>
          </w:p>
          <w:p w14:paraId="4D59B868" w14:textId="77777777" w:rsidR="00454A29" w:rsidRDefault="00454A29">
            <w:pPr>
              <w:pStyle w:val="ConsPlusNormal"/>
              <w:jc w:val="both"/>
            </w:pPr>
            <w:r>
              <w:t>2026 год - 2 231 344 тыс. руб.;</w:t>
            </w:r>
          </w:p>
          <w:p w14:paraId="060441DB" w14:textId="77777777" w:rsidR="00454A29" w:rsidRDefault="00454A29">
            <w:pPr>
              <w:pStyle w:val="ConsPlusNormal"/>
              <w:jc w:val="both"/>
            </w:pPr>
            <w:r>
              <w:t>б) за счет средств федерального бюджета - 101 401 530 тыс. руб., в том числе по годам:</w:t>
            </w:r>
          </w:p>
          <w:p w14:paraId="6C5F1A64" w14:textId="77777777" w:rsidR="00454A29" w:rsidRDefault="00454A29">
            <w:pPr>
              <w:pStyle w:val="ConsPlusNormal"/>
              <w:jc w:val="both"/>
            </w:pPr>
            <w:r>
              <w:t>2020 год - 1 317 422 тыс. руб.;</w:t>
            </w:r>
          </w:p>
          <w:p w14:paraId="17845223" w14:textId="77777777" w:rsidR="00454A29" w:rsidRDefault="00454A29">
            <w:pPr>
              <w:pStyle w:val="ConsPlusNormal"/>
              <w:jc w:val="both"/>
            </w:pPr>
            <w:r>
              <w:t>2021 год - 2 016 123 тыс. руб.;</w:t>
            </w:r>
          </w:p>
          <w:p w14:paraId="4A4FBA18" w14:textId="77777777" w:rsidR="00454A29" w:rsidRDefault="00454A29">
            <w:pPr>
              <w:pStyle w:val="ConsPlusNormal"/>
              <w:jc w:val="both"/>
            </w:pPr>
            <w:r>
              <w:t>2022 год - 23 487 тыс. руб.;</w:t>
            </w:r>
          </w:p>
          <w:p w14:paraId="6FA2F917" w14:textId="77777777" w:rsidR="00454A29" w:rsidRDefault="00454A29">
            <w:pPr>
              <w:pStyle w:val="ConsPlusNormal"/>
              <w:jc w:val="both"/>
            </w:pPr>
            <w:r>
              <w:t>2023 год - 3 994 508 тыс. руб.;</w:t>
            </w:r>
          </w:p>
          <w:p w14:paraId="5A3AE768" w14:textId="77777777" w:rsidR="00454A29" w:rsidRDefault="00454A29">
            <w:pPr>
              <w:pStyle w:val="ConsPlusNormal"/>
              <w:jc w:val="both"/>
            </w:pPr>
            <w:r>
              <w:t>2024 год - 2 432 759 тыс. руб.;</w:t>
            </w:r>
          </w:p>
          <w:p w14:paraId="20CC6AF5" w14:textId="77777777" w:rsidR="00454A29" w:rsidRDefault="00454A29">
            <w:pPr>
              <w:pStyle w:val="ConsPlusNormal"/>
              <w:jc w:val="both"/>
            </w:pPr>
            <w:r>
              <w:t>2025 год - 42 632 643 тыс. руб.;</w:t>
            </w:r>
          </w:p>
          <w:p w14:paraId="5D2FFB3D" w14:textId="77777777" w:rsidR="00454A29" w:rsidRDefault="00454A29">
            <w:pPr>
              <w:pStyle w:val="ConsPlusNormal"/>
              <w:jc w:val="both"/>
            </w:pPr>
            <w:r>
              <w:t>2026 год - 48 984 588 тыс. руб.;</w:t>
            </w:r>
          </w:p>
          <w:p w14:paraId="14C642E2" w14:textId="77777777" w:rsidR="00454A29" w:rsidRDefault="00454A29">
            <w:pPr>
              <w:pStyle w:val="ConsPlusNormal"/>
              <w:jc w:val="both"/>
            </w:pPr>
            <w:r>
              <w:t>в) за счет средств местных бюджетов - 5 348 090 тыс. руб., в том числе по годам:</w:t>
            </w:r>
          </w:p>
          <w:p w14:paraId="150084E9" w14:textId="77777777" w:rsidR="00454A29" w:rsidRDefault="00454A29">
            <w:pPr>
              <w:pStyle w:val="ConsPlusNormal"/>
              <w:jc w:val="both"/>
            </w:pPr>
            <w:r>
              <w:t>2020 год - 1 010 933 тыс. руб.;</w:t>
            </w:r>
          </w:p>
          <w:p w14:paraId="4FF7A9F2" w14:textId="77777777" w:rsidR="00454A29" w:rsidRDefault="00454A29">
            <w:pPr>
              <w:pStyle w:val="ConsPlusNormal"/>
              <w:jc w:val="both"/>
            </w:pPr>
            <w:r>
              <w:t>2021 год - 1 013 932 тыс. руб.;</w:t>
            </w:r>
          </w:p>
          <w:p w14:paraId="6B3F97CE" w14:textId="77777777" w:rsidR="00454A29" w:rsidRDefault="00454A29">
            <w:pPr>
              <w:pStyle w:val="ConsPlusNormal"/>
              <w:jc w:val="both"/>
            </w:pPr>
            <w:r>
              <w:t>2022 год - 620 918 тыс. руб.;</w:t>
            </w:r>
          </w:p>
          <w:p w14:paraId="01AFB373" w14:textId="77777777" w:rsidR="00454A29" w:rsidRDefault="00454A29">
            <w:pPr>
              <w:pStyle w:val="ConsPlusNormal"/>
              <w:jc w:val="both"/>
            </w:pPr>
            <w:r>
              <w:t>2023 год - 845 792 тыс. руб.;</w:t>
            </w:r>
          </w:p>
          <w:p w14:paraId="4C83EEC3" w14:textId="77777777" w:rsidR="00454A29" w:rsidRDefault="00454A29">
            <w:pPr>
              <w:pStyle w:val="ConsPlusNormal"/>
              <w:jc w:val="both"/>
            </w:pPr>
            <w:r>
              <w:t>2024 год - 731 318 тыс. руб.;</w:t>
            </w:r>
          </w:p>
          <w:p w14:paraId="7C6B7A37" w14:textId="77777777" w:rsidR="00454A29" w:rsidRDefault="00454A29">
            <w:pPr>
              <w:pStyle w:val="ConsPlusNormal"/>
              <w:jc w:val="both"/>
            </w:pPr>
            <w:r>
              <w:lastRenderedPageBreak/>
              <w:t>2025 год - 602 984 тыс. руб.;</w:t>
            </w:r>
          </w:p>
          <w:p w14:paraId="423C9CD9" w14:textId="77777777" w:rsidR="00454A29" w:rsidRDefault="00454A29">
            <w:pPr>
              <w:pStyle w:val="ConsPlusNormal"/>
              <w:jc w:val="both"/>
            </w:pPr>
            <w:r>
              <w:t>2026 год - 522 213 тыс. руб.;</w:t>
            </w:r>
          </w:p>
          <w:p w14:paraId="2A59F6E4" w14:textId="77777777" w:rsidR="00454A29" w:rsidRDefault="00454A29">
            <w:pPr>
              <w:pStyle w:val="ConsPlusNormal"/>
              <w:jc w:val="both"/>
            </w:pPr>
            <w:r>
              <w:t>г) за счет внебюджетных средств - 3 404 576 тыс. руб., в том числе по годам:</w:t>
            </w:r>
          </w:p>
          <w:p w14:paraId="58615C4C" w14:textId="77777777" w:rsidR="00454A29" w:rsidRDefault="00454A29">
            <w:pPr>
              <w:pStyle w:val="ConsPlusNormal"/>
              <w:jc w:val="both"/>
            </w:pPr>
            <w:r>
              <w:t>2020 год - 1 127 298 тыс. руб.;</w:t>
            </w:r>
          </w:p>
          <w:p w14:paraId="2A1EB6CA" w14:textId="77777777" w:rsidR="00454A29" w:rsidRDefault="00454A29">
            <w:pPr>
              <w:pStyle w:val="ConsPlusNormal"/>
              <w:jc w:val="both"/>
            </w:pPr>
            <w:r>
              <w:t>2021 год - 980 468 тыс. руб.;</w:t>
            </w:r>
          </w:p>
          <w:p w14:paraId="77571B6D" w14:textId="77777777" w:rsidR="00454A29" w:rsidRDefault="00454A29">
            <w:pPr>
              <w:pStyle w:val="ConsPlusNormal"/>
              <w:jc w:val="both"/>
            </w:pPr>
            <w:r>
              <w:t>2022 год - 432 270 тыс. руб.;</w:t>
            </w:r>
          </w:p>
          <w:p w14:paraId="63C41FB4" w14:textId="77777777" w:rsidR="00454A29" w:rsidRDefault="00454A29">
            <w:pPr>
              <w:pStyle w:val="ConsPlusNormal"/>
              <w:jc w:val="both"/>
            </w:pPr>
            <w:r>
              <w:t>2023 год - 432 270 тыс. руб.;</w:t>
            </w:r>
          </w:p>
          <w:p w14:paraId="76012703" w14:textId="77777777" w:rsidR="00454A29" w:rsidRDefault="00454A29">
            <w:pPr>
              <w:pStyle w:val="ConsPlusNormal"/>
              <w:jc w:val="both"/>
            </w:pPr>
            <w:r>
              <w:t>2024 год - 432 270 тыс. руб.;</w:t>
            </w:r>
          </w:p>
          <w:p w14:paraId="25428A23" w14:textId="77777777" w:rsidR="00454A29" w:rsidRDefault="00454A29">
            <w:pPr>
              <w:pStyle w:val="ConsPlusNormal"/>
              <w:jc w:val="both"/>
            </w:pPr>
            <w:r>
              <w:t>2025 год - 0 тыс. руб.;</w:t>
            </w:r>
          </w:p>
          <w:p w14:paraId="04BA37DC" w14:textId="77777777" w:rsidR="00454A29" w:rsidRDefault="00454A29">
            <w:pPr>
              <w:pStyle w:val="ConsPlusNormal"/>
              <w:jc w:val="both"/>
            </w:pPr>
            <w:r>
              <w:t>2026 год - 0 тыс. руб.</w:t>
            </w:r>
          </w:p>
          <w:p w14:paraId="76FDAFE9" w14:textId="77777777" w:rsidR="00454A29" w:rsidRDefault="00454A29">
            <w:pPr>
              <w:pStyle w:val="ConsPlusNormal"/>
              <w:jc w:val="both"/>
            </w:pPr>
            <w:r>
              <w:t>&lt;*&gt; Подпрограмма N 9 "Содействие созданию новых мест в общеобразовательных организациях Республики Саха (Якутия)" и подпрограмма N 10 "Укрепление материально-технической базы организаций образования"</w:t>
            </w:r>
          </w:p>
        </w:tc>
      </w:tr>
      <w:tr w:rsidR="00454A29" w14:paraId="78880603" w14:textId="77777777">
        <w:tc>
          <w:tcPr>
            <w:tcW w:w="2835" w:type="dxa"/>
          </w:tcPr>
          <w:p w14:paraId="5FDE0926" w14:textId="77777777" w:rsidR="00454A29" w:rsidRDefault="00454A29">
            <w:pPr>
              <w:pStyle w:val="ConsPlusNormal"/>
            </w:pPr>
            <w:r>
              <w:lastRenderedPageBreak/>
              <w:t>Ожидаемые результаты реализации программы</w:t>
            </w:r>
          </w:p>
        </w:tc>
        <w:tc>
          <w:tcPr>
            <w:tcW w:w="6236" w:type="dxa"/>
          </w:tcPr>
          <w:p w14:paraId="6411D54A" w14:textId="77777777" w:rsidR="00454A29" w:rsidRDefault="00454A29">
            <w:pPr>
              <w:pStyle w:val="ConsPlusNormal"/>
              <w:jc w:val="both"/>
            </w:pPr>
            <w:r>
              <w:t>Реализация государственной программы позволит обеспечить достижение следующих результатов:</w:t>
            </w:r>
          </w:p>
          <w:p w14:paraId="1B305399" w14:textId="77777777" w:rsidR="00454A29" w:rsidRDefault="00454A29">
            <w:pPr>
              <w:pStyle w:val="ConsPlusNormal"/>
              <w:jc w:val="both"/>
            </w:pPr>
            <w:r>
              <w:t>к 2024 году:</w:t>
            </w:r>
          </w:p>
          <w:p w14:paraId="2803D4A6" w14:textId="77777777" w:rsidR="00454A29" w:rsidRDefault="00454A29">
            <w:pPr>
              <w:pStyle w:val="ConsPlusNormal"/>
              <w:jc w:val="both"/>
            </w:pPr>
            <w:r>
              <w:t>1. Увеличение отношения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до 100%.</w:t>
            </w:r>
          </w:p>
          <w:p w14:paraId="3601A365" w14:textId="77777777" w:rsidR="00454A29" w:rsidRDefault="00454A29">
            <w:pPr>
              <w:pStyle w:val="ConsPlusNormal"/>
              <w:jc w:val="both"/>
            </w:pPr>
            <w:r>
              <w:t>2. Увеличение доли выпускников государственных (муниципальных) общеобразовательных организаций, получивших аттестат о среднем (полном) общем образовании, до 98,3%.</w:t>
            </w:r>
          </w:p>
          <w:p w14:paraId="77E63148" w14:textId="77777777" w:rsidR="00454A29" w:rsidRDefault="00454A29">
            <w:pPr>
              <w:pStyle w:val="ConsPlusNormal"/>
              <w:jc w:val="both"/>
            </w:pPr>
            <w:r>
              <w:t>3. Увеличение доли населения в возрасте от 15 до 19 лет, обучающегося по программам среднего профессионального образования, до 44%.</w:t>
            </w:r>
          </w:p>
          <w:p w14:paraId="54FD7DF5" w14:textId="77777777" w:rsidR="00454A29" w:rsidRDefault="00454A29">
            <w:pPr>
              <w:pStyle w:val="ConsPlusNormal"/>
              <w:jc w:val="both"/>
            </w:pPr>
            <w:r>
              <w:t>4. Увеличение доли детей в возрасте от 5 до 18 лет, охваченных дополнительным образованием, до 80%.</w:t>
            </w:r>
          </w:p>
          <w:p w14:paraId="1BD601F0" w14:textId="77777777" w:rsidR="00454A29" w:rsidRDefault="00454A29">
            <w:pPr>
              <w:pStyle w:val="ConsPlusNormal"/>
              <w:jc w:val="both"/>
            </w:pPr>
            <w:r>
              <w:t>5. Увеличение доли окончивших обучение от общего количества поступивших на условиях целевого обучения, до 70,8%.</w:t>
            </w:r>
          </w:p>
          <w:p w14:paraId="7C15172C" w14:textId="77777777" w:rsidR="00454A29" w:rsidRDefault="00454A29">
            <w:pPr>
              <w:pStyle w:val="ConsPlusNormal"/>
              <w:jc w:val="both"/>
            </w:pPr>
            <w:r>
              <w:t>6. Увеличение доли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50%.</w:t>
            </w:r>
          </w:p>
          <w:p w14:paraId="5026DBA9" w14:textId="77777777" w:rsidR="00454A29" w:rsidRDefault="00454A29">
            <w:pPr>
              <w:pStyle w:val="ConsPlusNormal"/>
              <w:jc w:val="both"/>
            </w:pPr>
            <w:r>
              <w:t>7. Сохранение доли обучающихся 1 - 11 классов, охваченных отдыхом и оздоровлением, в общей численности обучающихся 1 - 11 классов, на уровне 50,5%.</w:t>
            </w:r>
          </w:p>
          <w:p w14:paraId="7DC5B2CA" w14:textId="77777777" w:rsidR="00454A29" w:rsidRDefault="00454A29">
            <w:pPr>
              <w:pStyle w:val="ConsPlusNormal"/>
              <w:jc w:val="both"/>
            </w:pPr>
            <w:r>
              <w:t>8. Увеличение доли педагогических работников, прошедших переподготовку и повышение квалификации, от общего количества педагогических работников, до 50%.</w:t>
            </w:r>
          </w:p>
          <w:p w14:paraId="2468EBC4" w14:textId="77777777" w:rsidR="00454A29" w:rsidRDefault="00454A29">
            <w:pPr>
              <w:pStyle w:val="ConsPlusNormal"/>
              <w:jc w:val="both"/>
            </w:pPr>
            <w:r>
              <w:t xml:space="preserve">9. Увеличение количества кочевых образовательных организаций, которым созданы условия современной </w:t>
            </w:r>
            <w:r>
              <w:lastRenderedPageBreak/>
              <w:t>образовательной среды, до 3.</w:t>
            </w:r>
          </w:p>
          <w:p w14:paraId="682985C2" w14:textId="77777777" w:rsidR="00454A29" w:rsidRDefault="00454A29">
            <w:pPr>
              <w:pStyle w:val="ConsPlusNormal"/>
              <w:jc w:val="both"/>
            </w:pPr>
            <w:r>
              <w:t>10. Увеличение количества детей, изучающих языки народов Севера, до 3020;</w:t>
            </w:r>
          </w:p>
          <w:p w14:paraId="1BFD4F3A" w14:textId="77777777" w:rsidR="00454A29" w:rsidRDefault="00454A29">
            <w:pPr>
              <w:pStyle w:val="ConsPlusNormal"/>
              <w:jc w:val="both"/>
            </w:pPr>
            <w:r>
              <w:t>к 2026 году:</w:t>
            </w:r>
          </w:p>
          <w:p w14:paraId="5FD51F30" w14:textId="77777777" w:rsidR="00454A29" w:rsidRDefault="00454A29">
            <w:pPr>
              <w:pStyle w:val="ConsPlusNormal"/>
              <w:jc w:val="both"/>
            </w:pPr>
            <w:r>
              <w:t>11. Создание 41677 новых мест в общеобразовательных организациях.</w:t>
            </w:r>
          </w:p>
          <w:p w14:paraId="0E1A5A58" w14:textId="77777777" w:rsidR="00454A29" w:rsidRDefault="00454A29">
            <w:pPr>
              <w:pStyle w:val="ConsPlusNormal"/>
              <w:jc w:val="both"/>
            </w:pPr>
            <w:r>
              <w:t>12. Увеличение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до 100%.</w:t>
            </w:r>
          </w:p>
          <w:p w14:paraId="240896A5" w14:textId="77777777" w:rsidR="00454A29" w:rsidRDefault="00454A29">
            <w:pPr>
              <w:pStyle w:val="ConsPlusNormal"/>
              <w:jc w:val="both"/>
            </w:pPr>
            <w:r>
              <w:t>13. Введение в эксплуатацию 78 новых зданий путем строительства, приобретения и реконструкции образовательных организаций</w:t>
            </w:r>
          </w:p>
        </w:tc>
      </w:tr>
    </w:tbl>
    <w:p w14:paraId="155BABA3" w14:textId="77777777" w:rsidR="00454A29" w:rsidRDefault="00454A29">
      <w:pPr>
        <w:pStyle w:val="ConsPlusNormal"/>
      </w:pPr>
    </w:p>
    <w:p w14:paraId="78D43A25" w14:textId="77777777" w:rsidR="00454A29" w:rsidRDefault="00454A29">
      <w:pPr>
        <w:pStyle w:val="ConsPlusTitle"/>
        <w:jc w:val="center"/>
        <w:outlineLvl w:val="1"/>
      </w:pPr>
      <w:r>
        <w:t>Паспорт подпрограммы N 1 "Обеспечивающая подпрограмма"</w:t>
      </w:r>
    </w:p>
    <w:p w14:paraId="00C7848C"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275E4F66" w14:textId="77777777">
        <w:tc>
          <w:tcPr>
            <w:tcW w:w="2835" w:type="dxa"/>
          </w:tcPr>
          <w:p w14:paraId="01349FF1" w14:textId="77777777" w:rsidR="00454A29" w:rsidRDefault="00454A29">
            <w:pPr>
              <w:pStyle w:val="ConsPlusNormal"/>
            </w:pPr>
            <w:r>
              <w:t>Наименование подпрограммы</w:t>
            </w:r>
          </w:p>
        </w:tc>
        <w:tc>
          <w:tcPr>
            <w:tcW w:w="6236" w:type="dxa"/>
          </w:tcPr>
          <w:p w14:paraId="5AE8930D" w14:textId="77777777" w:rsidR="00454A29" w:rsidRDefault="00454A29">
            <w:pPr>
              <w:pStyle w:val="ConsPlusNormal"/>
              <w:jc w:val="both"/>
            </w:pPr>
            <w:r>
              <w:t>Обеспечивающая подпрограмма</w:t>
            </w:r>
          </w:p>
        </w:tc>
      </w:tr>
      <w:tr w:rsidR="00454A29" w14:paraId="74ED5940" w14:textId="77777777">
        <w:tc>
          <w:tcPr>
            <w:tcW w:w="2835" w:type="dxa"/>
          </w:tcPr>
          <w:p w14:paraId="6818B5F9" w14:textId="77777777" w:rsidR="00454A29" w:rsidRDefault="00454A29">
            <w:pPr>
              <w:pStyle w:val="ConsPlusNormal"/>
            </w:pPr>
            <w:r>
              <w:t>Ответственный исполнитель подпрограммы</w:t>
            </w:r>
          </w:p>
        </w:tc>
        <w:tc>
          <w:tcPr>
            <w:tcW w:w="6236" w:type="dxa"/>
          </w:tcPr>
          <w:p w14:paraId="1709FAF5" w14:textId="77777777" w:rsidR="00454A29" w:rsidRDefault="00454A29">
            <w:pPr>
              <w:pStyle w:val="ConsPlusNormal"/>
              <w:jc w:val="both"/>
            </w:pPr>
            <w:r>
              <w:t>Министерство образования и науки Республики Саха (Якутия)</w:t>
            </w:r>
          </w:p>
        </w:tc>
      </w:tr>
      <w:tr w:rsidR="00454A29" w14:paraId="05EE8F9C" w14:textId="77777777">
        <w:tc>
          <w:tcPr>
            <w:tcW w:w="2835" w:type="dxa"/>
          </w:tcPr>
          <w:p w14:paraId="5085DAB2" w14:textId="77777777" w:rsidR="00454A29" w:rsidRDefault="00454A29">
            <w:pPr>
              <w:pStyle w:val="ConsPlusNormal"/>
            </w:pPr>
            <w:r>
              <w:t>Участники подпрограммы</w:t>
            </w:r>
          </w:p>
        </w:tc>
        <w:tc>
          <w:tcPr>
            <w:tcW w:w="6236" w:type="dxa"/>
          </w:tcPr>
          <w:p w14:paraId="3A23AE9D" w14:textId="77777777" w:rsidR="00454A29" w:rsidRDefault="00454A29">
            <w:pPr>
              <w:pStyle w:val="ConsPlusNormal"/>
              <w:jc w:val="both"/>
            </w:pPr>
            <w:r>
              <w:t>Государственные учреждения, обеспечивающие функционирование сферы реализации государственной программы</w:t>
            </w:r>
          </w:p>
        </w:tc>
      </w:tr>
      <w:tr w:rsidR="00454A29" w14:paraId="746ACA4E" w14:textId="77777777">
        <w:tc>
          <w:tcPr>
            <w:tcW w:w="2835" w:type="dxa"/>
          </w:tcPr>
          <w:p w14:paraId="2C080D98" w14:textId="77777777" w:rsidR="00454A29" w:rsidRDefault="00454A29">
            <w:pPr>
              <w:pStyle w:val="ConsPlusNormal"/>
            </w:pPr>
            <w:r>
              <w:t>Цель подпрограммы</w:t>
            </w:r>
          </w:p>
        </w:tc>
        <w:tc>
          <w:tcPr>
            <w:tcW w:w="6236" w:type="dxa"/>
          </w:tcPr>
          <w:p w14:paraId="4BFE435B" w14:textId="77777777" w:rsidR="00454A29" w:rsidRDefault="00454A29">
            <w:pPr>
              <w:pStyle w:val="ConsPlusNormal"/>
              <w:jc w:val="both"/>
            </w:pPr>
            <w:r>
              <w:t>Обеспечение деятельности Министерства образования и науки Республики Саха (Якутия)</w:t>
            </w:r>
          </w:p>
        </w:tc>
      </w:tr>
      <w:tr w:rsidR="00454A29" w14:paraId="5A3EB4E1" w14:textId="77777777">
        <w:tc>
          <w:tcPr>
            <w:tcW w:w="2835" w:type="dxa"/>
          </w:tcPr>
          <w:p w14:paraId="3FE000C8" w14:textId="77777777" w:rsidR="00454A29" w:rsidRDefault="00454A29">
            <w:pPr>
              <w:pStyle w:val="ConsPlusNormal"/>
            </w:pPr>
            <w:r>
              <w:t>Задачи подпрограммы</w:t>
            </w:r>
          </w:p>
        </w:tc>
        <w:tc>
          <w:tcPr>
            <w:tcW w:w="6236" w:type="dxa"/>
          </w:tcPr>
          <w:p w14:paraId="0F8AC89C" w14:textId="77777777" w:rsidR="00454A29" w:rsidRDefault="00454A29">
            <w:pPr>
              <w:pStyle w:val="ConsPlusNormal"/>
              <w:jc w:val="both"/>
            </w:pPr>
            <w:r>
              <w:t>Создание условий для реализации государственной программы, предусматривающих финансовое обеспечение деятельности ответственного исполнителя, соисполнителей и участников государственной программы, а также иные расходы обеспечивающего характера</w:t>
            </w:r>
          </w:p>
        </w:tc>
      </w:tr>
      <w:tr w:rsidR="00454A29" w14:paraId="37CC34AD" w14:textId="77777777">
        <w:tc>
          <w:tcPr>
            <w:tcW w:w="2835" w:type="dxa"/>
          </w:tcPr>
          <w:p w14:paraId="32ADFC06" w14:textId="77777777" w:rsidR="00454A29" w:rsidRDefault="00454A29">
            <w:pPr>
              <w:pStyle w:val="ConsPlusNormal"/>
            </w:pPr>
            <w:r>
              <w:t>Целевые показатели (индикаторы) подпрограммы</w:t>
            </w:r>
          </w:p>
        </w:tc>
        <w:tc>
          <w:tcPr>
            <w:tcW w:w="6236" w:type="dxa"/>
          </w:tcPr>
          <w:p w14:paraId="57AA3550" w14:textId="77777777" w:rsidR="00454A29" w:rsidRDefault="00454A29">
            <w:pPr>
              <w:pStyle w:val="ConsPlusNormal"/>
              <w:jc w:val="both"/>
            </w:pPr>
            <w:r>
              <w:t>-</w:t>
            </w:r>
          </w:p>
        </w:tc>
      </w:tr>
      <w:tr w:rsidR="00454A29" w14:paraId="59B378F9" w14:textId="77777777">
        <w:tc>
          <w:tcPr>
            <w:tcW w:w="2835" w:type="dxa"/>
          </w:tcPr>
          <w:p w14:paraId="300D98EE" w14:textId="77777777" w:rsidR="00454A29" w:rsidRDefault="00454A29">
            <w:pPr>
              <w:pStyle w:val="ConsPlusNormal"/>
            </w:pPr>
            <w:r>
              <w:t>Сроки реализации подпрограммы</w:t>
            </w:r>
          </w:p>
        </w:tc>
        <w:tc>
          <w:tcPr>
            <w:tcW w:w="6236" w:type="dxa"/>
          </w:tcPr>
          <w:p w14:paraId="14B0B243" w14:textId="77777777" w:rsidR="00454A29" w:rsidRDefault="00454A29">
            <w:pPr>
              <w:pStyle w:val="ConsPlusNormal"/>
              <w:jc w:val="both"/>
            </w:pPr>
            <w:r>
              <w:t>2020 - 2024 годы</w:t>
            </w:r>
          </w:p>
        </w:tc>
      </w:tr>
      <w:tr w:rsidR="00454A29" w14:paraId="02CEE3A6" w14:textId="77777777">
        <w:tc>
          <w:tcPr>
            <w:tcW w:w="2835" w:type="dxa"/>
          </w:tcPr>
          <w:p w14:paraId="5534D0FB" w14:textId="77777777" w:rsidR="00454A29" w:rsidRDefault="00454A29">
            <w:pPr>
              <w:pStyle w:val="ConsPlusNormal"/>
            </w:pPr>
            <w:r>
              <w:t>Объем финансового обеспечения подпрограммы</w:t>
            </w:r>
          </w:p>
        </w:tc>
        <w:tc>
          <w:tcPr>
            <w:tcW w:w="6236" w:type="dxa"/>
          </w:tcPr>
          <w:p w14:paraId="664215EE" w14:textId="77777777" w:rsidR="00454A29" w:rsidRDefault="00454A29">
            <w:pPr>
              <w:pStyle w:val="ConsPlusNormal"/>
              <w:jc w:val="both"/>
            </w:pPr>
            <w:r>
              <w:t>Объем финансового обеспечения подпрограммы - 1 384 242 тыс. руб., в том числе по годам:</w:t>
            </w:r>
          </w:p>
          <w:p w14:paraId="1050491E" w14:textId="77777777" w:rsidR="00454A29" w:rsidRDefault="00454A29">
            <w:pPr>
              <w:pStyle w:val="ConsPlusNormal"/>
              <w:jc w:val="both"/>
            </w:pPr>
            <w:r>
              <w:t>2020 год - 272 590 тыс. руб.;</w:t>
            </w:r>
          </w:p>
          <w:p w14:paraId="7311CED3" w14:textId="77777777" w:rsidR="00454A29" w:rsidRDefault="00454A29">
            <w:pPr>
              <w:pStyle w:val="ConsPlusNormal"/>
              <w:jc w:val="both"/>
            </w:pPr>
            <w:r>
              <w:t>2021 год - 272 984 тыс. руб.;</w:t>
            </w:r>
          </w:p>
          <w:p w14:paraId="0D386712" w14:textId="77777777" w:rsidR="00454A29" w:rsidRDefault="00454A29">
            <w:pPr>
              <w:pStyle w:val="ConsPlusNormal"/>
              <w:jc w:val="both"/>
            </w:pPr>
            <w:r>
              <w:t>2022 год - 272 884 тыс. руб.;</w:t>
            </w:r>
          </w:p>
          <w:p w14:paraId="47D6DF1A" w14:textId="77777777" w:rsidR="00454A29" w:rsidRDefault="00454A29">
            <w:pPr>
              <w:pStyle w:val="ConsPlusNormal"/>
              <w:jc w:val="both"/>
            </w:pPr>
            <w:r>
              <w:t>2023 год - 282 892 тыс. руб.;</w:t>
            </w:r>
          </w:p>
          <w:p w14:paraId="1939BFD0" w14:textId="77777777" w:rsidR="00454A29" w:rsidRDefault="00454A29">
            <w:pPr>
              <w:pStyle w:val="ConsPlusNormal"/>
              <w:jc w:val="both"/>
            </w:pPr>
            <w:r>
              <w:t>2024 год - 282 892 тыс. руб.;</w:t>
            </w:r>
          </w:p>
          <w:p w14:paraId="57806075" w14:textId="77777777" w:rsidR="00454A29" w:rsidRDefault="00454A29">
            <w:pPr>
              <w:pStyle w:val="ConsPlusNormal"/>
              <w:jc w:val="both"/>
            </w:pPr>
            <w:r>
              <w:t>а) за счет средств государственного бюджета Республики Саха (Якутия) - 1 267 213 тыс. руб., в том числе по годам:</w:t>
            </w:r>
          </w:p>
          <w:p w14:paraId="730156CC" w14:textId="77777777" w:rsidR="00454A29" w:rsidRDefault="00454A29">
            <w:pPr>
              <w:pStyle w:val="ConsPlusNormal"/>
              <w:jc w:val="both"/>
            </w:pPr>
            <w:r>
              <w:t>2020 год - 249 509 тыс. руб.;</w:t>
            </w:r>
          </w:p>
          <w:p w14:paraId="156BB856" w14:textId="77777777" w:rsidR="00454A29" w:rsidRDefault="00454A29">
            <w:pPr>
              <w:pStyle w:val="ConsPlusNormal"/>
              <w:jc w:val="both"/>
            </w:pPr>
            <w:r>
              <w:t>2021 год - 249 497 тыс. руб.;</w:t>
            </w:r>
          </w:p>
          <w:p w14:paraId="608B8831" w14:textId="77777777" w:rsidR="00454A29" w:rsidRDefault="00454A29">
            <w:pPr>
              <w:pStyle w:val="ConsPlusNormal"/>
              <w:jc w:val="both"/>
            </w:pPr>
            <w:r>
              <w:lastRenderedPageBreak/>
              <w:t>2022 год - 249 397 тыс. руб.;</w:t>
            </w:r>
          </w:p>
          <w:p w14:paraId="63F4AE8B" w14:textId="77777777" w:rsidR="00454A29" w:rsidRDefault="00454A29">
            <w:pPr>
              <w:pStyle w:val="ConsPlusNormal"/>
              <w:jc w:val="both"/>
            </w:pPr>
            <w:r>
              <w:t>2023 год - 259 405 тыс. руб.;</w:t>
            </w:r>
          </w:p>
          <w:p w14:paraId="3CD8F62B" w14:textId="77777777" w:rsidR="00454A29" w:rsidRDefault="00454A29">
            <w:pPr>
              <w:pStyle w:val="ConsPlusNormal"/>
              <w:jc w:val="both"/>
            </w:pPr>
            <w:r>
              <w:t>2024 год - 259 405 тыс. руб.;</w:t>
            </w:r>
          </w:p>
          <w:p w14:paraId="6A68AA22" w14:textId="77777777" w:rsidR="00454A29" w:rsidRDefault="00454A29">
            <w:pPr>
              <w:pStyle w:val="ConsPlusNormal"/>
              <w:jc w:val="both"/>
            </w:pPr>
            <w:r>
              <w:t>б) за счет средств федерального бюджета - 117 029 тыс. руб., в том числе по годам:</w:t>
            </w:r>
          </w:p>
          <w:p w14:paraId="4C53C460" w14:textId="77777777" w:rsidR="00454A29" w:rsidRDefault="00454A29">
            <w:pPr>
              <w:pStyle w:val="ConsPlusNormal"/>
              <w:jc w:val="both"/>
            </w:pPr>
            <w:r>
              <w:t>2020 год - 23 081 тыс. руб.;</w:t>
            </w:r>
          </w:p>
          <w:p w14:paraId="44A1718A" w14:textId="77777777" w:rsidR="00454A29" w:rsidRDefault="00454A29">
            <w:pPr>
              <w:pStyle w:val="ConsPlusNormal"/>
              <w:jc w:val="both"/>
            </w:pPr>
            <w:r>
              <w:t>2021 год - 23 487 тыс. руб.;</w:t>
            </w:r>
          </w:p>
          <w:p w14:paraId="008D8CBC" w14:textId="77777777" w:rsidR="00454A29" w:rsidRDefault="00454A29">
            <w:pPr>
              <w:pStyle w:val="ConsPlusNormal"/>
              <w:jc w:val="both"/>
            </w:pPr>
            <w:r>
              <w:t>2022 год - 23 487 тыс. руб.;</w:t>
            </w:r>
          </w:p>
          <w:p w14:paraId="515CB45B" w14:textId="77777777" w:rsidR="00454A29" w:rsidRDefault="00454A29">
            <w:pPr>
              <w:pStyle w:val="ConsPlusNormal"/>
              <w:jc w:val="both"/>
            </w:pPr>
            <w:r>
              <w:t>2023 год - 23 487 тыс. руб.;</w:t>
            </w:r>
          </w:p>
          <w:p w14:paraId="6C7FD967" w14:textId="77777777" w:rsidR="00454A29" w:rsidRDefault="00454A29">
            <w:pPr>
              <w:pStyle w:val="ConsPlusNormal"/>
              <w:jc w:val="both"/>
            </w:pPr>
            <w:r>
              <w:t>2024 год - 23 487 тыс. руб.;</w:t>
            </w:r>
          </w:p>
          <w:p w14:paraId="7FC4419F" w14:textId="77777777" w:rsidR="00454A29" w:rsidRDefault="00454A29">
            <w:pPr>
              <w:pStyle w:val="ConsPlusNormal"/>
              <w:jc w:val="both"/>
            </w:pPr>
            <w:r>
              <w:t>в) за счет средств местных бюджетов - 0 тыс. руб., в том числе по годам:</w:t>
            </w:r>
          </w:p>
          <w:p w14:paraId="27165EAF" w14:textId="77777777" w:rsidR="00454A29" w:rsidRDefault="00454A29">
            <w:pPr>
              <w:pStyle w:val="ConsPlusNormal"/>
              <w:jc w:val="both"/>
            </w:pPr>
            <w:r>
              <w:t>2020 год - 0 тыс. руб.;</w:t>
            </w:r>
          </w:p>
          <w:p w14:paraId="203B2509" w14:textId="77777777" w:rsidR="00454A29" w:rsidRDefault="00454A29">
            <w:pPr>
              <w:pStyle w:val="ConsPlusNormal"/>
              <w:jc w:val="both"/>
            </w:pPr>
            <w:r>
              <w:t>2021 год - 0 тыс. руб.;</w:t>
            </w:r>
          </w:p>
          <w:p w14:paraId="18088C5C" w14:textId="77777777" w:rsidR="00454A29" w:rsidRDefault="00454A29">
            <w:pPr>
              <w:pStyle w:val="ConsPlusNormal"/>
              <w:jc w:val="both"/>
            </w:pPr>
            <w:r>
              <w:t>2022 год - 0 тыс. руб.;</w:t>
            </w:r>
          </w:p>
          <w:p w14:paraId="1AFD60D8" w14:textId="77777777" w:rsidR="00454A29" w:rsidRDefault="00454A29">
            <w:pPr>
              <w:pStyle w:val="ConsPlusNormal"/>
              <w:jc w:val="both"/>
            </w:pPr>
            <w:r>
              <w:t>2023 год - 0 тыс. руб.;</w:t>
            </w:r>
          </w:p>
          <w:p w14:paraId="0578F386" w14:textId="77777777" w:rsidR="00454A29" w:rsidRDefault="00454A29">
            <w:pPr>
              <w:pStyle w:val="ConsPlusNormal"/>
              <w:jc w:val="both"/>
            </w:pPr>
            <w:r>
              <w:t>2024 год - 0 тыс. руб.;</w:t>
            </w:r>
          </w:p>
          <w:p w14:paraId="0C22FFE0" w14:textId="77777777" w:rsidR="00454A29" w:rsidRDefault="00454A29">
            <w:pPr>
              <w:pStyle w:val="ConsPlusNormal"/>
              <w:jc w:val="both"/>
            </w:pPr>
            <w:r>
              <w:t>г) за счет внебюджетных средств - 0 тыс. руб., в том числе по годам:</w:t>
            </w:r>
          </w:p>
          <w:p w14:paraId="35BEDD96" w14:textId="77777777" w:rsidR="00454A29" w:rsidRDefault="00454A29">
            <w:pPr>
              <w:pStyle w:val="ConsPlusNormal"/>
              <w:jc w:val="both"/>
            </w:pPr>
            <w:r>
              <w:t>2020 год - 0 тыс. руб.;</w:t>
            </w:r>
          </w:p>
          <w:p w14:paraId="76479995" w14:textId="77777777" w:rsidR="00454A29" w:rsidRDefault="00454A29">
            <w:pPr>
              <w:pStyle w:val="ConsPlusNormal"/>
              <w:jc w:val="both"/>
            </w:pPr>
            <w:r>
              <w:t>2021 год - 0 тыс. руб.;</w:t>
            </w:r>
          </w:p>
          <w:p w14:paraId="33DBDE05" w14:textId="77777777" w:rsidR="00454A29" w:rsidRDefault="00454A29">
            <w:pPr>
              <w:pStyle w:val="ConsPlusNormal"/>
              <w:jc w:val="both"/>
            </w:pPr>
            <w:r>
              <w:t>2022 год - 0 тыс. руб.;</w:t>
            </w:r>
          </w:p>
          <w:p w14:paraId="14E12715" w14:textId="77777777" w:rsidR="00454A29" w:rsidRDefault="00454A29">
            <w:pPr>
              <w:pStyle w:val="ConsPlusNormal"/>
              <w:jc w:val="both"/>
            </w:pPr>
            <w:r>
              <w:t>2023 год - 0 тыс. руб.;</w:t>
            </w:r>
          </w:p>
          <w:p w14:paraId="1CA50C20" w14:textId="77777777" w:rsidR="00454A29" w:rsidRDefault="00454A29">
            <w:pPr>
              <w:pStyle w:val="ConsPlusNormal"/>
              <w:jc w:val="both"/>
            </w:pPr>
            <w:r>
              <w:t>2024 год - 0 тыс. руб.</w:t>
            </w:r>
          </w:p>
        </w:tc>
      </w:tr>
      <w:tr w:rsidR="00454A29" w14:paraId="45CDA13A" w14:textId="77777777">
        <w:tc>
          <w:tcPr>
            <w:tcW w:w="2835" w:type="dxa"/>
          </w:tcPr>
          <w:p w14:paraId="55FFF75F" w14:textId="77777777" w:rsidR="00454A29" w:rsidRDefault="00454A29">
            <w:pPr>
              <w:pStyle w:val="ConsPlusNormal"/>
            </w:pPr>
            <w:r>
              <w:lastRenderedPageBreak/>
              <w:t>Ожидаемые результаты реализации подпрограммы</w:t>
            </w:r>
          </w:p>
        </w:tc>
        <w:tc>
          <w:tcPr>
            <w:tcW w:w="6236" w:type="dxa"/>
          </w:tcPr>
          <w:p w14:paraId="57C1EDD3" w14:textId="77777777" w:rsidR="00454A29" w:rsidRDefault="00454A29">
            <w:pPr>
              <w:pStyle w:val="ConsPlusNormal"/>
              <w:jc w:val="both"/>
            </w:pPr>
            <w:r>
              <w:t>-</w:t>
            </w:r>
          </w:p>
        </w:tc>
      </w:tr>
    </w:tbl>
    <w:p w14:paraId="7CAF0549" w14:textId="77777777" w:rsidR="00454A29" w:rsidRDefault="00454A29">
      <w:pPr>
        <w:pStyle w:val="ConsPlusNormal"/>
      </w:pPr>
    </w:p>
    <w:p w14:paraId="616AABD7" w14:textId="77777777" w:rsidR="00454A29" w:rsidRDefault="00454A29">
      <w:pPr>
        <w:pStyle w:val="ConsPlusTitle"/>
        <w:jc w:val="center"/>
        <w:outlineLvl w:val="1"/>
      </w:pPr>
      <w:r>
        <w:t>Паспорт подпрограммы N 2</w:t>
      </w:r>
    </w:p>
    <w:p w14:paraId="544F4DB7" w14:textId="77777777" w:rsidR="00454A29" w:rsidRDefault="00454A29">
      <w:pPr>
        <w:pStyle w:val="ConsPlusTitle"/>
        <w:jc w:val="center"/>
      </w:pPr>
      <w:r>
        <w:t>"Общее образование - образование, открытое в будущее"</w:t>
      </w:r>
    </w:p>
    <w:p w14:paraId="016553EE"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0A2FBB78" w14:textId="77777777">
        <w:tc>
          <w:tcPr>
            <w:tcW w:w="2835" w:type="dxa"/>
          </w:tcPr>
          <w:p w14:paraId="27517AE6" w14:textId="77777777" w:rsidR="00454A29" w:rsidRDefault="00454A29">
            <w:pPr>
              <w:pStyle w:val="ConsPlusNormal"/>
            </w:pPr>
            <w:r>
              <w:t>Наименование подпрограммы</w:t>
            </w:r>
          </w:p>
        </w:tc>
        <w:tc>
          <w:tcPr>
            <w:tcW w:w="6236" w:type="dxa"/>
          </w:tcPr>
          <w:p w14:paraId="7BE48E30" w14:textId="77777777" w:rsidR="00454A29" w:rsidRDefault="00454A29">
            <w:pPr>
              <w:pStyle w:val="ConsPlusNormal"/>
              <w:jc w:val="both"/>
            </w:pPr>
            <w:r>
              <w:t>Общее образование - образование, открытое в будущее</w:t>
            </w:r>
          </w:p>
        </w:tc>
      </w:tr>
      <w:tr w:rsidR="00454A29" w14:paraId="66B8F7B0" w14:textId="77777777">
        <w:tc>
          <w:tcPr>
            <w:tcW w:w="2835" w:type="dxa"/>
          </w:tcPr>
          <w:p w14:paraId="64379560" w14:textId="77777777" w:rsidR="00454A29" w:rsidRDefault="00454A29">
            <w:pPr>
              <w:pStyle w:val="ConsPlusNormal"/>
            </w:pPr>
            <w:r>
              <w:t>Ответственный исполнитель подпрограммы</w:t>
            </w:r>
          </w:p>
        </w:tc>
        <w:tc>
          <w:tcPr>
            <w:tcW w:w="6236" w:type="dxa"/>
          </w:tcPr>
          <w:p w14:paraId="436A7936" w14:textId="77777777" w:rsidR="00454A29" w:rsidRDefault="00454A29">
            <w:pPr>
              <w:pStyle w:val="ConsPlusNormal"/>
              <w:jc w:val="both"/>
            </w:pPr>
            <w:r>
              <w:t>Министерство образования и науки Республики Саха (Якутия)</w:t>
            </w:r>
          </w:p>
        </w:tc>
      </w:tr>
      <w:tr w:rsidR="00454A29" w14:paraId="57A30616" w14:textId="77777777">
        <w:tc>
          <w:tcPr>
            <w:tcW w:w="2835" w:type="dxa"/>
          </w:tcPr>
          <w:p w14:paraId="61030A6E" w14:textId="77777777" w:rsidR="00454A29" w:rsidRDefault="00454A29">
            <w:pPr>
              <w:pStyle w:val="ConsPlusNormal"/>
            </w:pPr>
            <w:r>
              <w:t>Соисполнители подпрограммы</w:t>
            </w:r>
          </w:p>
        </w:tc>
        <w:tc>
          <w:tcPr>
            <w:tcW w:w="6236" w:type="dxa"/>
          </w:tcPr>
          <w:p w14:paraId="4CB40297" w14:textId="77777777" w:rsidR="00454A29" w:rsidRDefault="00454A29">
            <w:pPr>
              <w:pStyle w:val="ConsPlusNormal"/>
              <w:jc w:val="both"/>
            </w:pPr>
            <w:r>
              <w:t>Министерство инноваций, цифрового развития и инфокоммуникационных технологий Республики Саха (Якутия);</w:t>
            </w:r>
          </w:p>
          <w:p w14:paraId="30D43286" w14:textId="77777777" w:rsidR="00454A29" w:rsidRDefault="00454A29">
            <w:pPr>
              <w:pStyle w:val="ConsPlusNormal"/>
              <w:jc w:val="both"/>
            </w:pPr>
            <w:r>
              <w:t>Министерство культуры и духовного развития Республики Саха (Якутия)</w:t>
            </w:r>
          </w:p>
        </w:tc>
      </w:tr>
      <w:tr w:rsidR="00454A29" w14:paraId="3DCE8C51" w14:textId="77777777">
        <w:tc>
          <w:tcPr>
            <w:tcW w:w="2835" w:type="dxa"/>
          </w:tcPr>
          <w:p w14:paraId="242D57CE" w14:textId="77777777" w:rsidR="00454A29" w:rsidRDefault="00454A29">
            <w:pPr>
              <w:pStyle w:val="ConsPlusNormal"/>
            </w:pPr>
            <w:r>
              <w:t>Участники подпрограммы</w:t>
            </w:r>
          </w:p>
        </w:tc>
        <w:tc>
          <w:tcPr>
            <w:tcW w:w="6236" w:type="dxa"/>
          </w:tcPr>
          <w:p w14:paraId="7A8E3D31" w14:textId="77777777" w:rsidR="00454A29" w:rsidRDefault="00454A29">
            <w:pPr>
              <w:pStyle w:val="ConsPlusNormal"/>
              <w:jc w:val="both"/>
            </w:pPr>
            <w:r>
              <w:t>Органы местного самоуправления муниципальных районов и городских округов Республики Саха (Якутия)</w:t>
            </w:r>
          </w:p>
        </w:tc>
      </w:tr>
      <w:tr w:rsidR="00454A29" w14:paraId="0E61AB06" w14:textId="77777777">
        <w:tc>
          <w:tcPr>
            <w:tcW w:w="2835" w:type="dxa"/>
          </w:tcPr>
          <w:p w14:paraId="37E9E1A8" w14:textId="77777777" w:rsidR="00454A29" w:rsidRDefault="00454A29">
            <w:pPr>
              <w:pStyle w:val="ConsPlusNormal"/>
            </w:pPr>
            <w:r>
              <w:t>Цель подпрограммы</w:t>
            </w:r>
          </w:p>
        </w:tc>
        <w:tc>
          <w:tcPr>
            <w:tcW w:w="6236" w:type="dxa"/>
          </w:tcPr>
          <w:p w14:paraId="2282C8E5" w14:textId="77777777" w:rsidR="00454A29" w:rsidRDefault="00454A29">
            <w:pPr>
              <w:pStyle w:val="ConsPlusNormal"/>
              <w:jc w:val="both"/>
            </w:pPr>
            <w:r>
              <w:t>Совершенствование содержания образования, образовательных программ общего образования детей, направленных на достижение высоких учебных результатов и успешную социализацию</w:t>
            </w:r>
          </w:p>
        </w:tc>
      </w:tr>
      <w:tr w:rsidR="00454A29" w14:paraId="1004CAAE" w14:textId="77777777">
        <w:tc>
          <w:tcPr>
            <w:tcW w:w="2835" w:type="dxa"/>
          </w:tcPr>
          <w:p w14:paraId="53EAB0A3" w14:textId="77777777" w:rsidR="00454A29" w:rsidRDefault="00454A29">
            <w:pPr>
              <w:pStyle w:val="ConsPlusNormal"/>
            </w:pPr>
            <w:r>
              <w:t>Задачи подпрограммы</w:t>
            </w:r>
          </w:p>
        </w:tc>
        <w:tc>
          <w:tcPr>
            <w:tcW w:w="6236" w:type="dxa"/>
          </w:tcPr>
          <w:p w14:paraId="6D87448A" w14:textId="77777777" w:rsidR="00454A29" w:rsidRDefault="00454A29">
            <w:pPr>
              <w:pStyle w:val="ConsPlusNormal"/>
              <w:jc w:val="both"/>
            </w:pPr>
            <w:r>
              <w:t>1. Создание условий для развития дошкольного образования в соответствии с федеральными государственными стандартами дошкольного образования.</w:t>
            </w:r>
          </w:p>
          <w:p w14:paraId="795D4E7A" w14:textId="77777777" w:rsidR="00454A29" w:rsidRDefault="00454A29">
            <w:pPr>
              <w:pStyle w:val="ConsPlusNormal"/>
              <w:jc w:val="both"/>
            </w:pPr>
            <w:r>
              <w:lastRenderedPageBreak/>
              <w:t>2.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w:t>
            </w:r>
          </w:p>
          <w:p w14:paraId="0B989157" w14:textId="77777777" w:rsidR="00454A29" w:rsidRDefault="00454A29">
            <w:pPr>
              <w:pStyle w:val="ConsPlusNormal"/>
              <w:jc w:val="both"/>
            </w:pPr>
            <w:r>
              <w:t>3. Совершенствование региональной системы оценки качества образования.</w:t>
            </w:r>
          </w:p>
          <w:p w14:paraId="770C632F" w14:textId="77777777" w:rsidR="00454A29" w:rsidRDefault="00454A29">
            <w:pPr>
              <w:pStyle w:val="ConsPlusNormal"/>
              <w:jc w:val="both"/>
            </w:pPr>
            <w:r>
              <w:t>4. Создание условий для получения детьми-инвалидами качественного образования.</w:t>
            </w:r>
          </w:p>
          <w:p w14:paraId="31460533" w14:textId="77777777" w:rsidR="00454A29" w:rsidRDefault="00454A29">
            <w:pPr>
              <w:pStyle w:val="ConsPlusNormal"/>
              <w:jc w:val="both"/>
            </w:pPr>
            <w:r>
              <w:t>5.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14:paraId="66424A92" w14:textId="77777777" w:rsidR="00454A29" w:rsidRDefault="00454A29">
            <w:pPr>
              <w:pStyle w:val="ConsPlusNormal"/>
              <w:jc w:val="both"/>
            </w:pPr>
            <w:r>
              <w:t>6.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1833A31A" w14:textId="77777777" w:rsidR="00454A29" w:rsidRDefault="00454A29">
            <w:pPr>
              <w:pStyle w:val="ConsPlusNormal"/>
              <w:jc w:val="both"/>
            </w:pPr>
            <w:r>
              <w:t>7.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454A29" w14:paraId="715BBD03" w14:textId="77777777">
        <w:tc>
          <w:tcPr>
            <w:tcW w:w="2835" w:type="dxa"/>
          </w:tcPr>
          <w:p w14:paraId="22E02B76" w14:textId="77777777" w:rsidR="00454A29" w:rsidRDefault="00454A29">
            <w:pPr>
              <w:pStyle w:val="ConsPlusNormal"/>
            </w:pPr>
            <w:r>
              <w:lastRenderedPageBreak/>
              <w:t>Целевые показатели (индикаторы) подпрограммы</w:t>
            </w:r>
          </w:p>
        </w:tc>
        <w:tc>
          <w:tcPr>
            <w:tcW w:w="6236" w:type="dxa"/>
          </w:tcPr>
          <w:p w14:paraId="0CF014D4" w14:textId="77777777" w:rsidR="00454A29" w:rsidRDefault="00454A29">
            <w:pPr>
              <w:pStyle w:val="ConsPlusNormal"/>
              <w:jc w:val="both"/>
            </w:pPr>
            <w:r>
              <w:t>Доля выпускников государственных (муниципальных) общеобразовательных организаций, получивших аттестат о среднем (полном) общем образовании: в 2020 году - 98%, в 2021 году - 98%, в 2022 году - 98,1%, в 2023 году - 98,2%, в 2024 году - 98,3%</w:t>
            </w:r>
          </w:p>
        </w:tc>
      </w:tr>
      <w:tr w:rsidR="00454A29" w14:paraId="132D6B5B" w14:textId="77777777">
        <w:tc>
          <w:tcPr>
            <w:tcW w:w="2835" w:type="dxa"/>
          </w:tcPr>
          <w:p w14:paraId="676F1E8A" w14:textId="77777777" w:rsidR="00454A29" w:rsidRDefault="00454A29">
            <w:pPr>
              <w:pStyle w:val="ConsPlusNormal"/>
            </w:pPr>
            <w:r>
              <w:t>Сроки реализации подпрограммы</w:t>
            </w:r>
          </w:p>
        </w:tc>
        <w:tc>
          <w:tcPr>
            <w:tcW w:w="6236" w:type="dxa"/>
          </w:tcPr>
          <w:p w14:paraId="2CF3771D" w14:textId="77777777" w:rsidR="00454A29" w:rsidRDefault="00454A29">
            <w:pPr>
              <w:pStyle w:val="ConsPlusNormal"/>
              <w:jc w:val="both"/>
            </w:pPr>
            <w:r>
              <w:t>2020 - 2024 годы</w:t>
            </w:r>
          </w:p>
        </w:tc>
      </w:tr>
      <w:tr w:rsidR="00454A29" w14:paraId="0EC32A2E" w14:textId="77777777">
        <w:tc>
          <w:tcPr>
            <w:tcW w:w="2835" w:type="dxa"/>
          </w:tcPr>
          <w:p w14:paraId="507C310A" w14:textId="77777777" w:rsidR="00454A29" w:rsidRDefault="00454A29">
            <w:pPr>
              <w:pStyle w:val="ConsPlusNormal"/>
            </w:pPr>
            <w:r>
              <w:t>Объем финансового обеспечения подпрограммы</w:t>
            </w:r>
          </w:p>
        </w:tc>
        <w:tc>
          <w:tcPr>
            <w:tcW w:w="6236" w:type="dxa"/>
          </w:tcPr>
          <w:p w14:paraId="47722233" w14:textId="77777777" w:rsidR="00454A29" w:rsidRDefault="00454A29">
            <w:pPr>
              <w:pStyle w:val="ConsPlusNormal"/>
              <w:jc w:val="both"/>
            </w:pPr>
            <w:r>
              <w:t>Объем финансового обеспечения подпрограммы - 146 636 154 тыс. руб., в том числе по годам:</w:t>
            </w:r>
          </w:p>
          <w:p w14:paraId="0096E901" w14:textId="77777777" w:rsidR="00454A29" w:rsidRDefault="00454A29">
            <w:pPr>
              <w:pStyle w:val="ConsPlusNormal"/>
              <w:jc w:val="both"/>
            </w:pPr>
            <w:r>
              <w:t>2020 год - 26 713 398 тыс. руб.;</w:t>
            </w:r>
          </w:p>
          <w:p w14:paraId="3875831C" w14:textId="77777777" w:rsidR="00454A29" w:rsidRDefault="00454A29">
            <w:pPr>
              <w:pStyle w:val="ConsPlusNormal"/>
              <w:jc w:val="both"/>
            </w:pPr>
            <w:r>
              <w:t>2021 год - 26 775 328 тыс. руб.;</w:t>
            </w:r>
          </w:p>
          <w:p w14:paraId="0F33A869" w14:textId="77777777" w:rsidR="00454A29" w:rsidRDefault="00454A29">
            <w:pPr>
              <w:pStyle w:val="ConsPlusNormal"/>
              <w:jc w:val="both"/>
            </w:pPr>
            <w:r>
              <w:t>2022 год - 26 775 264 тыс. руб.;</w:t>
            </w:r>
          </w:p>
          <w:p w14:paraId="4BD07DEA" w14:textId="77777777" w:rsidR="00454A29" w:rsidRDefault="00454A29">
            <w:pPr>
              <w:pStyle w:val="ConsPlusNormal"/>
              <w:jc w:val="both"/>
            </w:pPr>
            <w:r>
              <w:t>2023 год - 32 529 004 тыс. руб.;</w:t>
            </w:r>
          </w:p>
          <w:p w14:paraId="187B5593" w14:textId="77777777" w:rsidR="00454A29" w:rsidRDefault="00454A29">
            <w:pPr>
              <w:pStyle w:val="ConsPlusNormal"/>
              <w:jc w:val="both"/>
            </w:pPr>
            <w:r>
              <w:t>2024 год - 33 843 160 тыс. руб.;</w:t>
            </w:r>
          </w:p>
          <w:p w14:paraId="4E8E9A87" w14:textId="77777777" w:rsidR="00454A29" w:rsidRDefault="00454A29">
            <w:pPr>
              <w:pStyle w:val="ConsPlusNormal"/>
              <w:jc w:val="both"/>
            </w:pPr>
            <w:r>
              <w:t>а) за счет средств государственного бюджета Республики Саха (Якутия) - 146 566 404 тыс. руб., в том числе по годам:</w:t>
            </w:r>
          </w:p>
          <w:p w14:paraId="4FCB1ABD" w14:textId="77777777" w:rsidR="00454A29" w:rsidRDefault="00454A29">
            <w:pPr>
              <w:pStyle w:val="ConsPlusNormal"/>
              <w:jc w:val="both"/>
            </w:pPr>
            <w:r>
              <w:t>2020 год - 26 699 448 тыс. руб.;</w:t>
            </w:r>
          </w:p>
          <w:p w14:paraId="3DCD9B81" w14:textId="77777777" w:rsidR="00454A29" w:rsidRDefault="00454A29">
            <w:pPr>
              <w:pStyle w:val="ConsPlusNormal"/>
              <w:jc w:val="both"/>
            </w:pPr>
            <w:r>
              <w:t>2021 год - 26 761 378 тыс. руб.;</w:t>
            </w:r>
          </w:p>
          <w:p w14:paraId="13D36B59" w14:textId="77777777" w:rsidR="00454A29" w:rsidRDefault="00454A29">
            <w:pPr>
              <w:pStyle w:val="ConsPlusNormal"/>
              <w:jc w:val="both"/>
            </w:pPr>
            <w:r>
              <w:t>2022 год - 26 761 314 тыс. руб.;</w:t>
            </w:r>
          </w:p>
          <w:p w14:paraId="30C9F3C0" w14:textId="77777777" w:rsidR="00454A29" w:rsidRDefault="00454A29">
            <w:pPr>
              <w:pStyle w:val="ConsPlusNormal"/>
              <w:jc w:val="both"/>
            </w:pPr>
            <w:r>
              <w:t>2023 год - 32 515 054 тыс. руб.;</w:t>
            </w:r>
          </w:p>
          <w:p w14:paraId="4E98CBFD" w14:textId="77777777" w:rsidR="00454A29" w:rsidRDefault="00454A29">
            <w:pPr>
              <w:pStyle w:val="ConsPlusNormal"/>
              <w:jc w:val="both"/>
            </w:pPr>
            <w:r>
              <w:t>2024 год - 33 829 210 тыс. руб.;</w:t>
            </w:r>
          </w:p>
          <w:p w14:paraId="56D68E70" w14:textId="77777777" w:rsidR="00454A29" w:rsidRDefault="00454A29">
            <w:pPr>
              <w:pStyle w:val="ConsPlusNormal"/>
              <w:jc w:val="both"/>
            </w:pPr>
            <w:r>
              <w:t>б) за счет средств федерального бюджета - 0 тыс. руб., в том числе по годам:</w:t>
            </w:r>
          </w:p>
          <w:p w14:paraId="00233D40" w14:textId="77777777" w:rsidR="00454A29" w:rsidRDefault="00454A29">
            <w:pPr>
              <w:pStyle w:val="ConsPlusNormal"/>
              <w:jc w:val="both"/>
            </w:pPr>
            <w:r>
              <w:t>2020 год - 0 тыс. руб.;</w:t>
            </w:r>
          </w:p>
          <w:p w14:paraId="62F17C91" w14:textId="77777777" w:rsidR="00454A29" w:rsidRDefault="00454A29">
            <w:pPr>
              <w:pStyle w:val="ConsPlusNormal"/>
              <w:jc w:val="both"/>
            </w:pPr>
            <w:r>
              <w:t>2021 год - 0 тыс. руб.;</w:t>
            </w:r>
          </w:p>
          <w:p w14:paraId="6544A8FB" w14:textId="77777777" w:rsidR="00454A29" w:rsidRDefault="00454A29">
            <w:pPr>
              <w:pStyle w:val="ConsPlusNormal"/>
              <w:jc w:val="both"/>
            </w:pPr>
            <w:r>
              <w:t>2022 год - 0 тыс. руб.;</w:t>
            </w:r>
          </w:p>
          <w:p w14:paraId="16139966" w14:textId="77777777" w:rsidR="00454A29" w:rsidRDefault="00454A29">
            <w:pPr>
              <w:pStyle w:val="ConsPlusNormal"/>
              <w:jc w:val="both"/>
            </w:pPr>
            <w:r>
              <w:lastRenderedPageBreak/>
              <w:t>2023 год - 0 тыс. руб.;</w:t>
            </w:r>
          </w:p>
          <w:p w14:paraId="08F0AD55" w14:textId="77777777" w:rsidR="00454A29" w:rsidRDefault="00454A29">
            <w:pPr>
              <w:pStyle w:val="ConsPlusNormal"/>
              <w:jc w:val="both"/>
            </w:pPr>
            <w:r>
              <w:t>2024 год - 0 тыс. руб.;</w:t>
            </w:r>
          </w:p>
          <w:p w14:paraId="1436501A" w14:textId="77777777" w:rsidR="00454A29" w:rsidRDefault="00454A29">
            <w:pPr>
              <w:pStyle w:val="ConsPlusNormal"/>
              <w:jc w:val="both"/>
            </w:pPr>
            <w:r>
              <w:t>в) за счет средств местных бюджетов - 0 тыс. руб., в том числе по годам:</w:t>
            </w:r>
          </w:p>
          <w:p w14:paraId="02ABAE18" w14:textId="77777777" w:rsidR="00454A29" w:rsidRDefault="00454A29">
            <w:pPr>
              <w:pStyle w:val="ConsPlusNormal"/>
              <w:jc w:val="both"/>
            </w:pPr>
            <w:r>
              <w:t>2020 год - 0 тыс. руб.;</w:t>
            </w:r>
          </w:p>
          <w:p w14:paraId="0F428E7C" w14:textId="77777777" w:rsidR="00454A29" w:rsidRDefault="00454A29">
            <w:pPr>
              <w:pStyle w:val="ConsPlusNormal"/>
              <w:jc w:val="both"/>
            </w:pPr>
            <w:r>
              <w:t>2021 год - 0 тыс. руб.;</w:t>
            </w:r>
          </w:p>
          <w:p w14:paraId="0760F4A2" w14:textId="77777777" w:rsidR="00454A29" w:rsidRDefault="00454A29">
            <w:pPr>
              <w:pStyle w:val="ConsPlusNormal"/>
              <w:jc w:val="both"/>
            </w:pPr>
            <w:r>
              <w:t>2022 год - 0 тыс. руб.;</w:t>
            </w:r>
          </w:p>
          <w:p w14:paraId="2D959D34" w14:textId="77777777" w:rsidR="00454A29" w:rsidRDefault="00454A29">
            <w:pPr>
              <w:pStyle w:val="ConsPlusNormal"/>
              <w:jc w:val="both"/>
            </w:pPr>
            <w:r>
              <w:t>2023 год - 0 тыс. руб.;</w:t>
            </w:r>
          </w:p>
          <w:p w14:paraId="5FBCB020" w14:textId="77777777" w:rsidR="00454A29" w:rsidRDefault="00454A29">
            <w:pPr>
              <w:pStyle w:val="ConsPlusNormal"/>
              <w:jc w:val="both"/>
            </w:pPr>
            <w:r>
              <w:t>2024 год - 0 тыс. руб.;</w:t>
            </w:r>
          </w:p>
          <w:p w14:paraId="64BDAC77" w14:textId="77777777" w:rsidR="00454A29" w:rsidRDefault="00454A29">
            <w:pPr>
              <w:pStyle w:val="ConsPlusNormal"/>
              <w:jc w:val="both"/>
            </w:pPr>
            <w:r>
              <w:t>г) за счет внебюджетных средств - 69 750 тыс. руб., в том числе по годам:</w:t>
            </w:r>
          </w:p>
          <w:p w14:paraId="5B8E4033" w14:textId="77777777" w:rsidR="00454A29" w:rsidRDefault="00454A29">
            <w:pPr>
              <w:pStyle w:val="ConsPlusNormal"/>
              <w:jc w:val="both"/>
            </w:pPr>
            <w:r>
              <w:t>2020 год - 13 950 тыс. руб.;</w:t>
            </w:r>
          </w:p>
          <w:p w14:paraId="7B41BEBD" w14:textId="77777777" w:rsidR="00454A29" w:rsidRDefault="00454A29">
            <w:pPr>
              <w:pStyle w:val="ConsPlusNormal"/>
              <w:jc w:val="both"/>
            </w:pPr>
            <w:r>
              <w:t>2021 год - 13 950 тыс. руб.;</w:t>
            </w:r>
          </w:p>
          <w:p w14:paraId="243F4D2D" w14:textId="77777777" w:rsidR="00454A29" w:rsidRDefault="00454A29">
            <w:pPr>
              <w:pStyle w:val="ConsPlusNormal"/>
              <w:jc w:val="both"/>
            </w:pPr>
            <w:r>
              <w:t>2022 год - 13 950 тыс. руб.;</w:t>
            </w:r>
          </w:p>
          <w:p w14:paraId="2B807C35" w14:textId="77777777" w:rsidR="00454A29" w:rsidRDefault="00454A29">
            <w:pPr>
              <w:pStyle w:val="ConsPlusNormal"/>
              <w:jc w:val="both"/>
            </w:pPr>
            <w:r>
              <w:t>2023 год - 13 950 тыс. руб.;</w:t>
            </w:r>
          </w:p>
          <w:p w14:paraId="7B29D451" w14:textId="77777777" w:rsidR="00454A29" w:rsidRDefault="00454A29">
            <w:pPr>
              <w:pStyle w:val="ConsPlusNormal"/>
              <w:jc w:val="both"/>
            </w:pPr>
            <w:r>
              <w:t>2024 год - 13 950 тыс. руб.</w:t>
            </w:r>
          </w:p>
        </w:tc>
      </w:tr>
      <w:tr w:rsidR="00454A29" w14:paraId="2B0EDA88" w14:textId="77777777">
        <w:tc>
          <w:tcPr>
            <w:tcW w:w="2835" w:type="dxa"/>
          </w:tcPr>
          <w:p w14:paraId="7035D8D6" w14:textId="77777777" w:rsidR="00454A29" w:rsidRDefault="00454A29">
            <w:pPr>
              <w:pStyle w:val="ConsPlusNormal"/>
            </w:pPr>
            <w:r>
              <w:lastRenderedPageBreak/>
              <w:t>Ожидаемый результат реализации подпрограммы</w:t>
            </w:r>
          </w:p>
        </w:tc>
        <w:tc>
          <w:tcPr>
            <w:tcW w:w="6236" w:type="dxa"/>
          </w:tcPr>
          <w:p w14:paraId="5CCC7770" w14:textId="77777777" w:rsidR="00454A29" w:rsidRDefault="00454A29">
            <w:pPr>
              <w:pStyle w:val="ConsPlusNormal"/>
              <w:jc w:val="both"/>
            </w:pPr>
            <w:r>
              <w:t>Увеличение доли выпускников государственных (муниципальных) общеобразовательных организаций, получивших аттестат о среднем (полном) общем образовании, до 98,3%</w:t>
            </w:r>
          </w:p>
        </w:tc>
      </w:tr>
    </w:tbl>
    <w:p w14:paraId="73E25AE3" w14:textId="77777777" w:rsidR="00454A29" w:rsidRDefault="00454A29">
      <w:pPr>
        <w:pStyle w:val="ConsPlusNormal"/>
      </w:pPr>
    </w:p>
    <w:p w14:paraId="4DC59B3E" w14:textId="77777777" w:rsidR="00454A29" w:rsidRDefault="00454A29">
      <w:pPr>
        <w:pStyle w:val="ConsPlusTitle"/>
        <w:jc w:val="center"/>
        <w:outlineLvl w:val="1"/>
      </w:pPr>
      <w:r>
        <w:t>Паспорт подпрограммы N 3</w:t>
      </w:r>
    </w:p>
    <w:p w14:paraId="30E17F34" w14:textId="77777777" w:rsidR="00454A29" w:rsidRDefault="00454A29">
      <w:pPr>
        <w:pStyle w:val="ConsPlusTitle"/>
        <w:jc w:val="center"/>
      </w:pPr>
      <w:r>
        <w:t>"Профессиональное образование"</w:t>
      </w:r>
    </w:p>
    <w:p w14:paraId="55D9B406"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2732D4ED" w14:textId="77777777">
        <w:tc>
          <w:tcPr>
            <w:tcW w:w="2835" w:type="dxa"/>
          </w:tcPr>
          <w:p w14:paraId="1BDC249F" w14:textId="77777777" w:rsidR="00454A29" w:rsidRDefault="00454A29">
            <w:pPr>
              <w:pStyle w:val="ConsPlusNormal"/>
            </w:pPr>
            <w:r>
              <w:t>Наименование подпрограммы</w:t>
            </w:r>
          </w:p>
        </w:tc>
        <w:tc>
          <w:tcPr>
            <w:tcW w:w="6236" w:type="dxa"/>
          </w:tcPr>
          <w:p w14:paraId="6775A474" w14:textId="77777777" w:rsidR="00454A29" w:rsidRDefault="00454A29">
            <w:pPr>
              <w:pStyle w:val="ConsPlusNormal"/>
              <w:jc w:val="both"/>
            </w:pPr>
            <w:r>
              <w:t>Профессиональное образование</w:t>
            </w:r>
          </w:p>
        </w:tc>
      </w:tr>
      <w:tr w:rsidR="00454A29" w14:paraId="563510E2" w14:textId="77777777">
        <w:tc>
          <w:tcPr>
            <w:tcW w:w="2835" w:type="dxa"/>
          </w:tcPr>
          <w:p w14:paraId="641F5951" w14:textId="77777777" w:rsidR="00454A29" w:rsidRDefault="00454A29">
            <w:pPr>
              <w:pStyle w:val="ConsPlusNormal"/>
            </w:pPr>
            <w:r>
              <w:t>Ответственный исполнитель подпрограммы</w:t>
            </w:r>
          </w:p>
        </w:tc>
        <w:tc>
          <w:tcPr>
            <w:tcW w:w="6236" w:type="dxa"/>
          </w:tcPr>
          <w:p w14:paraId="21B274BC" w14:textId="77777777" w:rsidR="00454A29" w:rsidRDefault="00454A29">
            <w:pPr>
              <w:pStyle w:val="ConsPlusNormal"/>
              <w:jc w:val="both"/>
            </w:pPr>
            <w:r>
              <w:t>Министерство образования и науки Республики Саха (Якутия)</w:t>
            </w:r>
          </w:p>
        </w:tc>
      </w:tr>
      <w:tr w:rsidR="00454A29" w14:paraId="49D446EC" w14:textId="77777777">
        <w:tc>
          <w:tcPr>
            <w:tcW w:w="2835" w:type="dxa"/>
          </w:tcPr>
          <w:p w14:paraId="4CD59DF8" w14:textId="77777777" w:rsidR="00454A29" w:rsidRDefault="00454A29">
            <w:pPr>
              <w:pStyle w:val="ConsPlusNormal"/>
            </w:pPr>
            <w:r>
              <w:t>Соисполнители подпрограммы</w:t>
            </w:r>
          </w:p>
        </w:tc>
        <w:tc>
          <w:tcPr>
            <w:tcW w:w="6236" w:type="dxa"/>
          </w:tcPr>
          <w:p w14:paraId="3A1A1434" w14:textId="77777777" w:rsidR="00454A29" w:rsidRDefault="00454A29">
            <w:pPr>
              <w:pStyle w:val="ConsPlusNormal"/>
              <w:jc w:val="both"/>
            </w:pPr>
            <w:r>
              <w:t>Министерство инноваций, цифрового развития и инфокоммуникационных технологий Республики Саха (Якутия);</w:t>
            </w:r>
          </w:p>
          <w:p w14:paraId="1585D1F4" w14:textId="77777777" w:rsidR="00454A29" w:rsidRDefault="00454A29">
            <w:pPr>
              <w:pStyle w:val="ConsPlusNormal"/>
              <w:jc w:val="both"/>
            </w:pPr>
            <w:r>
              <w:t>Министерство культуры и духовного развития Республики Саха (Якутия)</w:t>
            </w:r>
          </w:p>
        </w:tc>
      </w:tr>
      <w:tr w:rsidR="00454A29" w14:paraId="51E84A91" w14:textId="77777777">
        <w:tc>
          <w:tcPr>
            <w:tcW w:w="2835" w:type="dxa"/>
          </w:tcPr>
          <w:p w14:paraId="6FB197EF" w14:textId="77777777" w:rsidR="00454A29" w:rsidRDefault="00454A29">
            <w:pPr>
              <w:pStyle w:val="ConsPlusNormal"/>
            </w:pPr>
            <w:r>
              <w:t>Участники подпрограммы</w:t>
            </w:r>
          </w:p>
        </w:tc>
        <w:tc>
          <w:tcPr>
            <w:tcW w:w="6236" w:type="dxa"/>
          </w:tcPr>
          <w:p w14:paraId="0B1EA19D" w14:textId="77777777" w:rsidR="00454A29" w:rsidRDefault="00454A29">
            <w:pPr>
              <w:pStyle w:val="ConsPlusNormal"/>
              <w:jc w:val="both"/>
            </w:pPr>
            <w:r>
              <w:t>Исполнительные органы государственной власти Республики Саха (Якутия);</w:t>
            </w:r>
          </w:p>
          <w:p w14:paraId="312ACC31" w14:textId="77777777" w:rsidR="00454A29" w:rsidRDefault="00454A29">
            <w:pPr>
              <w:pStyle w:val="ConsPlusNormal"/>
              <w:jc w:val="both"/>
            </w:pPr>
            <w:r>
              <w:t>территориальные органы федеральных органов исполнительной власти в Республике Саха (Якутия)</w:t>
            </w:r>
          </w:p>
        </w:tc>
      </w:tr>
      <w:tr w:rsidR="00454A29" w14:paraId="1352077E" w14:textId="77777777">
        <w:tc>
          <w:tcPr>
            <w:tcW w:w="2835" w:type="dxa"/>
          </w:tcPr>
          <w:p w14:paraId="5781838D" w14:textId="77777777" w:rsidR="00454A29" w:rsidRDefault="00454A29">
            <w:pPr>
              <w:pStyle w:val="ConsPlusNormal"/>
            </w:pPr>
            <w:r>
              <w:t>Цель подпрограммы</w:t>
            </w:r>
          </w:p>
        </w:tc>
        <w:tc>
          <w:tcPr>
            <w:tcW w:w="6236" w:type="dxa"/>
          </w:tcPr>
          <w:p w14:paraId="1EA0A120" w14:textId="77777777" w:rsidR="00454A29" w:rsidRDefault="00454A29">
            <w:pPr>
              <w:pStyle w:val="ConsPlusNormal"/>
              <w:jc w:val="both"/>
            </w:pPr>
            <w:r>
              <w:t>Обеспечение трудовыми ресурсами потребности экономики в соответствии с прогнозом потребности в кадрах для отраслей экономики Республики Саха (Якутия)</w:t>
            </w:r>
          </w:p>
        </w:tc>
      </w:tr>
      <w:tr w:rsidR="00454A29" w14:paraId="5428AE4E" w14:textId="77777777">
        <w:tc>
          <w:tcPr>
            <w:tcW w:w="2835" w:type="dxa"/>
          </w:tcPr>
          <w:p w14:paraId="4CF62F76" w14:textId="77777777" w:rsidR="00454A29" w:rsidRDefault="00454A29">
            <w:pPr>
              <w:pStyle w:val="ConsPlusNormal"/>
            </w:pPr>
            <w:r>
              <w:t>Задачи подпрограммы</w:t>
            </w:r>
          </w:p>
        </w:tc>
        <w:tc>
          <w:tcPr>
            <w:tcW w:w="6236" w:type="dxa"/>
          </w:tcPr>
          <w:p w14:paraId="1B878EAC" w14:textId="77777777" w:rsidR="00454A29" w:rsidRDefault="00454A29">
            <w:pPr>
              <w:pStyle w:val="ConsPlusNormal"/>
              <w:jc w:val="both"/>
            </w:pPr>
            <w:r>
              <w:t>1. Организация предоставления доступного и качественного профессионального образования.</w:t>
            </w:r>
          </w:p>
          <w:p w14:paraId="3A7916EE" w14:textId="77777777" w:rsidR="00454A29" w:rsidRDefault="00454A29">
            <w:pPr>
              <w:pStyle w:val="ConsPlusNormal"/>
              <w:jc w:val="both"/>
            </w:pPr>
            <w:r>
              <w:t>2. Внедрение регионального стандарта кадрового обеспечения промышленного (экономического) роста в Республике Саха (Якутия).</w:t>
            </w:r>
          </w:p>
          <w:p w14:paraId="52717603" w14:textId="77777777" w:rsidR="00454A29" w:rsidRDefault="00454A29">
            <w:pPr>
              <w:pStyle w:val="ConsPlusNormal"/>
              <w:jc w:val="both"/>
            </w:pPr>
            <w:r>
              <w:t>3. Развитие региональной системы инклюзивного профессионального образования для инвалидов и лиц с ограниченными возможностями здоровья.</w:t>
            </w:r>
          </w:p>
          <w:p w14:paraId="65C92ADA" w14:textId="77777777" w:rsidR="00454A29" w:rsidRDefault="00454A29">
            <w:pPr>
              <w:pStyle w:val="ConsPlusNormal"/>
              <w:jc w:val="both"/>
            </w:pPr>
            <w:r>
              <w:lastRenderedPageBreak/>
              <w:t>4. Развитие региональной системы дополнительного профессионального образования и профессионального обучения.</w:t>
            </w:r>
          </w:p>
          <w:p w14:paraId="717DDE42" w14:textId="77777777" w:rsidR="00454A29" w:rsidRDefault="00454A29">
            <w:pPr>
              <w:pStyle w:val="ConsPlusNormal"/>
              <w:jc w:val="both"/>
            </w:pPr>
            <w:r>
              <w:t>5. Подготовка квалифицированных кадров на условиях целевого обучения в российских и международных научно-образовательных центрах, передовых инновационных организациях.</w:t>
            </w:r>
          </w:p>
          <w:p w14:paraId="04C48DDB" w14:textId="77777777" w:rsidR="00454A29" w:rsidRDefault="00454A29">
            <w:pPr>
              <w:pStyle w:val="ConsPlusNormal"/>
              <w:jc w:val="both"/>
            </w:pPr>
            <w:r>
              <w:t>6. Создание условий для внедрения современной цифровой образовательной среды, обеспечивающей формирование ценности саморазвития и самообразования у обучающихся образовательных организаций.</w:t>
            </w:r>
          </w:p>
          <w:p w14:paraId="0382B20D" w14:textId="77777777" w:rsidR="00454A29" w:rsidRDefault="00454A29">
            <w:pPr>
              <w:pStyle w:val="ConsPlusNormal"/>
              <w:jc w:val="both"/>
            </w:pPr>
            <w:r>
              <w:t>7. Реализация регионального проекта "Молодые профессионалы (Повышение конкурентоспособности профессионального образования)".</w:t>
            </w:r>
          </w:p>
          <w:p w14:paraId="47F545A2" w14:textId="77777777" w:rsidR="00454A29" w:rsidRDefault="00454A29">
            <w:pPr>
              <w:pStyle w:val="ConsPlusNormal"/>
              <w:jc w:val="both"/>
            </w:pPr>
            <w:r>
              <w:t>8. Реализация регионального проекта "Социальные лифты для каждого".</w:t>
            </w:r>
          </w:p>
          <w:p w14:paraId="277D3870" w14:textId="77777777" w:rsidR="00454A29" w:rsidRDefault="00454A29">
            <w:pPr>
              <w:pStyle w:val="ConsPlusNormal"/>
              <w:jc w:val="both"/>
            </w:pPr>
            <w:r>
              <w:t>9. Реализация регионального проекта "Экспорт образования".</w:t>
            </w:r>
          </w:p>
          <w:p w14:paraId="09EAD956" w14:textId="77777777" w:rsidR="00454A29" w:rsidRDefault="00454A29">
            <w:pPr>
              <w:pStyle w:val="ConsPlusNormal"/>
              <w:jc w:val="both"/>
            </w:pPr>
            <w:r>
              <w:t>10. Реализация регионального проекта "Новые возможности для каждого".</w:t>
            </w:r>
          </w:p>
          <w:p w14:paraId="11A07802" w14:textId="77777777" w:rsidR="00454A29" w:rsidRDefault="00454A29">
            <w:pPr>
              <w:pStyle w:val="ConsPlusNormal"/>
              <w:jc w:val="both"/>
            </w:pPr>
            <w:r>
              <w:t>11. Реализация регионального проекта "Кадры для цифровой экономики"</w:t>
            </w:r>
          </w:p>
        </w:tc>
      </w:tr>
      <w:tr w:rsidR="00454A29" w14:paraId="4E8DAB01" w14:textId="77777777">
        <w:tc>
          <w:tcPr>
            <w:tcW w:w="2835" w:type="dxa"/>
          </w:tcPr>
          <w:p w14:paraId="37B3CE6A" w14:textId="77777777" w:rsidR="00454A29" w:rsidRDefault="00454A29">
            <w:pPr>
              <w:pStyle w:val="ConsPlusNormal"/>
            </w:pPr>
            <w:r>
              <w:lastRenderedPageBreak/>
              <w:t>Целевые показатели (индикаторы) подпрограммы</w:t>
            </w:r>
          </w:p>
        </w:tc>
        <w:tc>
          <w:tcPr>
            <w:tcW w:w="6236" w:type="dxa"/>
          </w:tcPr>
          <w:p w14:paraId="08027774" w14:textId="77777777" w:rsidR="00454A29" w:rsidRDefault="00454A29">
            <w:pPr>
              <w:pStyle w:val="ConsPlusNormal"/>
              <w:jc w:val="both"/>
            </w:pPr>
            <w:r>
              <w:t>1. Доля населения в возрасте от 15 до 19 лет, обучающегося по программам среднего профессионального образования: в 2020 году - 40%, в 2021 году - 41%, в 2022 году - 42%, в 2023 году - 43%, в 2024 году - 44%.</w:t>
            </w:r>
          </w:p>
          <w:p w14:paraId="61AD406E" w14:textId="77777777" w:rsidR="00454A29" w:rsidRDefault="00454A29">
            <w:pPr>
              <w:pStyle w:val="ConsPlusNormal"/>
              <w:jc w:val="both"/>
            </w:pPr>
            <w:r>
              <w:t>2. Доля окончивших обучение от общего количества поступивших на условиях целевого обучения: в 2020 году - 67,6%, в 2021 году - 68,4%, в 2022 году - 69,2%, в 2023 году - 70%, в 2024 году - 70,8%</w:t>
            </w:r>
          </w:p>
        </w:tc>
      </w:tr>
      <w:tr w:rsidR="00454A29" w14:paraId="354CF9FD" w14:textId="77777777">
        <w:tc>
          <w:tcPr>
            <w:tcW w:w="2835" w:type="dxa"/>
          </w:tcPr>
          <w:p w14:paraId="2BE6268C" w14:textId="77777777" w:rsidR="00454A29" w:rsidRDefault="00454A29">
            <w:pPr>
              <w:pStyle w:val="ConsPlusNormal"/>
            </w:pPr>
            <w:r>
              <w:t>Сроки реализации подпрограммы</w:t>
            </w:r>
          </w:p>
        </w:tc>
        <w:tc>
          <w:tcPr>
            <w:tcW w:w="6236" w:type="dxa"/>
          </w:tcPr>
          <w:p w14:paraId="376192E4" w14:textId="77777777" w:rsidR="00454A29" w:rsidRDefault="00454A29">
            <w:pPr>
              <w:pStyle w:val="ConsPlusNormal"/>
              <w:jc w:val="both"/>
            </w:pPr>
            <w:r>
              <w:t>2020 - 2024 годы</w:t>
            </w:r>
          </w:p>
        </w:tc>
      </w:tr>
      <w:tr w:rsidR="00454A29" w14:paraId="2EA4E769" w14:textId="77777777">
        <w:tc>
          <w:tcPr>
            <w:tcW w:w="2835" w:type="dxa"/>
          </w:tcPr>
          <w:p w14:paraId="651F2B7C" w14:textId="77777777" w:rsidR="00454A29" w:rsidRDefault="00454A29">
            <w:pPr>
              <w:pStyle w:val="ConsPlusNormal"/>
            </w:pPr>
            <w:r>
              <w:t>Объем финансового обеспечения подпрограммы</w:t>
            </w:r>
          </w:p>
        </w:tc>
        <w:tc>
          <w:tcPr>
            <w:tcW w:w="6236" w:type="dxa"/>
          </w:tcPr>
          <w:p w14:paraId="77D4264F" w14:textId="77777777" w:rsidR="00454A29" w:rsidRDefault="00454A29">
            <w:pPr>
              <w:pStyle w:val="ConsPlusNormal"/>
              <w:jc w:val="both"/>
            </w:pPr>
            <w:r>
              <w:t>Объем финансового обеспечения подпрограммы - 27 914 630 тыс. руб., в том числе по годам:</w:t>
            </w:r>
          </w:p>
          <w:p w14:paraId="20CEA4FB" w14:textId="77777777" w:rsidR="00454A29" w:rsidRDefault="00454A29">
            <w:pPr>
              <w:pStyle w:val="ConsPlusNormal"/>
              <w:jc w:val="both"/>
            </w:pPr>
            <w:r>
              <w:t>2020 год - 5 592 340 тыс. руб.;</w:t>
            </w:r>
          </w:p>
          <w:p w14:paraId="329BE376" w14:textId="77777777" w:rsidR="00454A29" w:rsidRDefault="00454A29">
            <w:pPr>
              <w:pStyle w:val="ConsPlusNormal"/>
              <w:jc w:val="both"/>
            </w:pPr>
            <w:r>
              <w:t>2021 год - 5 534 618 тыс. руб.;</w:t>
            </w:r>
          </w:p>
          <w:p w14:paraId="2171FB23" w14:textId="77777777" w:rsidR="00454A29" w:rsidRDefault="00454A29">
            <w:pPr>
              <w:pStyle w:val="ConsPlusNormal"/>
              <w:jc w:val="both"/>
            </w:pPr>
            <w:r>
              <w:t>2022 год - 5 533 616 тыс. руб.;</w:t>
            </w:r>
          </w:p>
          <w:p w14:paraId="2CBC3C51" w14:textId="77777777" w:rsidR="00454A29" w:rsidRDefault="00454A29">
            <w:pPr>
              <w:pStyle w:val="ConsPlusNormal"/>
              <w:jc w:val="both"/>
            </w:pPr>
            <w:r>
              <w:t>2023 год - 5 627 028 тыс. руб.;</w:t>
            </w:r>
          </w:p>
          <w:p w14:paraId="4C62B7A8" w14:textId="77777777" w:rsidR="00454A29" w:rsidRDefault="00454A29">
            <w:pPr>
              <w:pStyle w:val="ConsPlusNormal"/>
              <w:jc w:val="both"/>
            </w:pPr>
            <w:r>
              <w:t>2024 год - 5 627 028 тыс. руб.;</w:t>
            </w:r>
          </w:p>
          <w:p w14:paraId="022C85C5" w14:textId="77777777" w:rsidR="00454A29" w:rsidRDefault="00454A29">
            <w:pPr>
              <w:pStyle w:val="ConsPlusNormal"/>
              <w:jc w:val="both"/>
            </w:pPr>
            <w:r>
              <w:t>а) за счет средств государственного бюджета Республики Саха (Якутия) - 26 281 630 тыс. руб., в том числе по годам:</w:t>
            </w:r>
          </w:p>
          <w:p w14:paraId="011492F6" w14:textId="77777777" w:rsidR="00454A29" w:rsidRDefault="00454A29">
            <w:pPr>
              <w:pStyle w:val="ConsPlusNormal"/>
              <w:jc w:val="both"/>
            </w:pPr>
            <w:r>
              <w:t>2020 год - 5 265 740 тыс. руб.;</w:t>
            </w:r>
          </w:p>
          <w:p w14:paraId="0D56AA49" w14:textId="77777777" w:rsidR="00454A29" w:rsidRDefault="00454A29">
            <w:pPr>
              <w:pStyle w:val="ConsPlusNormal"/>
              <w:jc w:val="both"/>
            </w:pPr>
            <w:r>
              <w:t>2021 год - 5 208 018 тыс. руб.;</w:t>
            </w:r>
          </w:p>
          <w:p w14:paraId="50CF5E7F" w14:textId="77777777" w:rsidR="00454A29" w:rsidRDefault="00454A29">
            <w:pPr>
              <w:pStyle w:val="ConsPlusNormal"/>
              <w:jc w:val="both"/>
            </w:pPr>
            <w:r>
              <w:t>2022 год - 5 207 016 тыс. руб.;</w:t>
            </w:r>
          </w:p>
          <w:p w14:paraId="3E690CC1" w14:textId="77777777" w:rsidR="00454A29" w:rsidRDefault="00454A29">
            <w:pPr>
              <w:pStyle w:val="ConsPlusNormal"/>
              <w:jc w:val="both"/>
            </w:pPr>
            <w:r>
              <w:t>2023 год - 5 300 428 тыс. руб.;</w:t>
            </w:r>
          </w:p>
          <w:p w14:paraId="5F1B1344" w14:textId="77777777" w:rsidR="00454A29" w:rsidRDefault="00454A29">
            <w:pPr>
              <w:pStyle w:val="ConsPlusNormal"/>
              <w:jc w:val="both"/>
            </w:pPr>
            <w:r>
              <w:t>2024 год - 5 300 428 тыс. руб.;</w:t>
            </w:r>
          </w:p>
          <w:p w14:paraId="2CBEF8A9" w14:textId="77777777" w:rsidR="00454A29" w:rsidRDefault="00454A29">
            <w:pPr>
              <w:pStyle w:val="ConsPlusNormal"/>
              <w:jc w:val="both"/>
            </w:pPr>
            <w:r>
              <w:t>б) за счет средств федерального бюджета - 0 тыс. руб., в том числе по годам:</w:t>
            </w:r>
          </w:p>
          <w:p w14:paraId="355646E2" w14:textId="77777777" w:rsidR="00454A29" w:rsidRDefault="00454A29">
            <w:pPr>
              <w:pStyle w:val="ConsPlusNormal"/>
              <w:jc w:val="both"/>
            </w:pPr>
            <w:r>
              <w:t>2020 год - 0 тыс. руб.;</w:t>
            </w:r>
          </w:p>
          <w:p w14:paraId="49EA1DA0" w14:textId="77777777" w:rsidR="00454A29" w:rsidRDefault="00454A29">
            <w:pPr>
              <w:pStyle w:val="ConsPlusNormal"/>
              <w:jc w:val="both"/>
            </w:pPr>
            <w:r>
              <w:t>2021 год - 0 тыс. руб.;</w:t>
            </w:r>
          </w:p>
          <w:p w14:paraId="357F4E94" w14:textId="77777777" w:rsidR="00454A29" w:rsidRDefault="00454A29">
            <w:pPr>
              <w:pStyle w:val="ConsPlusNormal"/>
              <w:jc w:val="both"/>
            </w:pPr>
            <w:r>
              <w:t>2022 год - 0 тыс. руб.;</w:t>
            </w:r>
          </w:p>
          <w:p w14:paraId="6FF65A3B" w14:textId="77777777" w:rsidR="00454A29" w:rsidRDefault="00454A29">
            <w:pPr>
              <w:pStyle w:val="ConsPlusNormal"/>
              <w:jc w:val="both"/>
            </w:pPr>
            <w:r>
              <w:t>2023 год - 0 тыс. руб.;</w:t>
            </w:r>
          </w:p>
          <w:p w14:paraId="58F07ACD" w14:textId="77777777" w:rsidR="00454A29" w:rsidRDefault="00454A29">
            <w:pPr>
              <w:pStyle w:val="ConsPlusNormal"/>
              <w:jc w:val="both"/>
            </w:pPr>
            <w:r>
              <w:lastRenderedPageBreak/>
              <w:t>2024 год - 0 тыс. руб.;</w:t>
            </w:r>
          </w:p>
          <w:p w14:paraId="1CA3DD92" w14:textId="77777777" w:rsidR="00454A29" w:rsidRDefault="00454A29">
            <w:pPr>
              <w:pStyle w:val="ConsPlusNormal"/>
              <w:jc w:val="both"/>
            </w:pPr>
            <w:r>
              <w:t>в) за счет средств местных бюджетов - 0 тыс. руб., в том числе по годам:</w:t>
            </w:r>
          </w:p>
          <w:p w14:paraId="5577EE5F" w14:textId="77777777" w:rsidR="00454A29" w:rsidRDefault="00454A29">
            <w:pPr>
              <w:pStyle w:val="ConsPlusNormal"/>
              <w:jc w:val="both"/>
            </w:pPr>
            <w:r>
              <w:t>2020 год - 0 тыс. руб.;</w:t>
            </w:r>
          </w:p>
          <w:p w14:paraId="7500A586" w14:textId="77777777" w:rsidR="00454A29" w:rsidRDefault="00454A29">
            <w:pPr>
              <w:pStyle w:val="ConsPlusNormal"/>
              <w:jc w:val="both"/>
            </w:pPr>
            <w:r>
              <w:t>2021 год - 0 тыс. руб.;</w:t>
            </w:r>
          </w:p>
          <w:p w14:paraId="34DAFEEA" w14:textId="77777777" w:rsidR="00454A29" w:rsidRDefault="00454A29">
            <w:pPr>
              <w:pStyle w:val="ConsPlusNormal"/>
              <w:jc w:val="both"/>
            </w:pPr>
            <w:r>
              <w:t>2022 год - 0 тыс. руб.;</w:t>
            </w:r>
          </w:p>
          <w:p w14:paraId="50722CF3" w14:textId="77777777" w:rsidR="00454A29" w:rsidRDefault="00454A29">
            <w:pPr>
              <w:pStyle w:val="ConsPlusNormal"/>
              <w:jc w:val="both"/>
            </w:pPr>
            <w:r>
              <w:t>2023 год - 0 тыс. руб.;</w:t>
            </w:r>
          </w:p>
          <w:p w14:paraId="47334D3B" w14:textId="77777777" w:rsidR="00454A29" w:rsidRDefault="00454A29">
            <w:pPr>
              <w:pStyle w:val="ConsPlusNormal"/>
              <w:jc w:val="both"/>
            </w:pPr>
            <w:r>
              <w:t>2024 год - 0 тыс. руб.;</w:t>
            </w:r>
          </w:p>
          <w:p w14:paraId="162699F1" w14:textId="77777777" w:rsidR="00454A29" w:rsidRDefault="00454A29">
            <w:pPr>
              <w:pStyle w:val="ConsPlusNormal"/>
              <w:jc w:val="both"/>
            </w:pPr>
            <w:r>
              <w:t>г) за счет внебюджетных средств - 1 633 000 тыс. руб., в том числе по годам:</w:t>
            </w:r>
          </w:p>
          <w:p w14:paraId="61EC6D4B" w14:textId="77777777" w:rsidR="00454A29" w:rsidRDefault="00454A29">
            <w:pPr>
              <w:pStyle w:val="ConsPlusNormal"/>
              <w:jc w:val="both"/>
            </w:pPr>
            <w:r>
              <w:t>2020 год - 326 600 тыс. руб.;</w:t>
            </w:r>
          </w:p>
          <w:p w14:paraId="4629BFAC" w14:textId="77777777" w:rsidR="00454A29" w:rsidRDefault="00454A29">
            <w:pPr>
              <w:pStyle w:val="ConsPlusNormal"/>
              <w:jc w:val="both"/>
            </w:pPr>
            <w:r>
              <w:t>2021 год - 326 600 тыс. руб.;</w:t>
            </w:r>
          </w:p>
          <w:p w14:paraId="4AAAF2C4" w14:textId="77777777" w:rsidR="00454A29" w:rsidRDefault="00454A29">
            <w:pPr>
              <w:pStyle w:val="ConsPlusNormal"/>
              <w:jc w:val="both"/>
            </w:pPr>
            <w:r>
              <w:t>2022 год - 326 600 тыс. руб.;</w:t>
            </w:r>
          </w:p>
          <w:p w14:paraId="1B301568" w14:textId="77777777" w:rsidR="00454A29" w:rsidRDefault="00454A29">
            <w:pPr>
              <w:pStyle w:val="ConsPlusNormal"/>
              <w:jc w:val="both"/>
            </w:pPr>
            <w:r>
              <w:t>2023 год - 326 600 тыс. руб.;</w:t>
            </w:r>
          </w:p>
          <w:p w14:paraId="1EB20635" w14:textId="77777777" w:rsidR="00454A29" w:rsidRDefault="00454A29">
            <w:pPr>
              <w:pStyle w:val="ConsPlusNormal"/>
              <w:jc w:val="both"/>
            </w:pPr>
            <w:r>
              <w:t>2024 год - 326 600 тыс. руб.</w:t>
            </w:r>
          </w:p>
        </w:tc>
      </w:tr>
      <w:tr w:rsidR="00454A29" w14:paraId="67F5C835" w14:textId="77777777">
        <w:tc>
          <w:tcPr>
            <w:tcW w:w="2835" w:type="dxa"/>
          </w:tcPr>
          <w:p w14:paraId="074E7DEA" w14:textId="77777777" w:rsidR="00454A29" w:rsidRDefault="00454A29">
            <w:pPr>
              <w:pStyle w:val="ConsPlusNormal"/>
            </w:pPr>
            <w:r>
              <w:lastRenderedPageBreak/>
              <w:t>Ожидаемые результаты реализации подпрограммы</w:t>
            </w:r>
          </w:p>
        </w:tc>
        <w:tc>
          <w:tcPr>
            <w:tcW w:w="6236" w:type="dxa"/>
          </w:tcPr>
          <w:p w14:paraId="69413A85" w14:textId="77777777" w:rsidR="00454A29" w:rsidRDefault="00454A29">
            <w:pPr>
              <w:pStyle w:val="ConsPlusNormal"/>
              <w:jc w:val="both"/>
            </w:pPr>
            <w:r>
              <w:t>1. Увеличение доли населения в возрасте от 15 до 19 лет, обучающегося по программам среднего профессионального образования, до 44%.</w:t>
            </w:r>
          </w:p>
          <w:p w14:paraId="066EE938" w14:textId="77777777" w:rsidR="00454A29" w:rsidRDefault="00454A29">
            <w:pPr>
              <w:pStyle w:val="ConsPlusNormal"/>
              <w:jc w:val="both"/>
            </w:pPr>
            <w:r>
              <w:t>2. Увеличение доли окончивших обучение от общего количества поступивших на условиях целевого обучения, до 70,8%</w:t>
            </w:r>
          </w:p>
        </w:tc>
      </w:tr>
    </w:tbl>
    <w:p w14:paraId="5B0E824D" w14:textId="77777777" w:rsidR="00454A29" w:rsidRDefault="00454A29">
      <w:pPr>
        <w:pStyle w:val="ConsPlusNormal"/>
      </w:pPr>
    </w:p>
    <w:p w14:paraId="56A9B723" w14:textId="77777777" w:rsidR="00454A29" w:rsidRDefault="00454A29">
      <w:pPr>
        <w:pStyle w:val="ConsPlusTitle"/>
        <w:jc w:val="center"/>
        <w:outlineLvl w:val="1"/>
      </w:pPr>
      <w:r>
        <w:t>Паспорт подпрограммы N 4</w:t>
      </w:r>
    </w:p>
    <w:p w14:paraId="47E39A86" w14:textId="77777777" w:rsidR="00454A29" w:rsidRDefault="00454A29">
      <w:pPr>
        <w:pStyle w:val="ConsPlusTitle"/>
        <w:jc w:val="center"/>
      </w:pPr>
      <w:r>
        <w:t>"Воспитание и дополнительное образование"</w:t>
      </w:r>
    </w:p>
    <w:p w14:paraId="01ABD43C"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52AC3BF2" w14:textId="77777777">
        <w:tc>
          <w:tcPr>
            <w:tcW w:w="2835" w:type="dxa"/>
          </w:tcPr>
          <w:p w14:paraId="37F9B533" w14:textId="77777777" w:rsidR="00454A29" w:rsidRDefault="00454A29">
            <w:pPr>
              <w:pStyle w:val="ConsPlusNormal"/>
            </w:pPr>
            <w:r>
              <w:t>Наименование подпрограммы</w:t>
            </w:r>
          </w:p>
        </w:tc>
        <w:tc>
          <w:tcPr>
            <w:tcW w:w="6236" w:type="dxa"/>
          </w:tcPr>
          <w:p w14:paraId="01A9303D" w14:textId="77777777" w:rsidR="00454A29" w:rsidRDefault="00454A29">
            <w:pPr>
              <w:pStyle w:val="ConsPlusNormal"/>
              <w:jc w:val="both"/>
            </w:pPr>
            <w:r>
              <w:t>Воспитание и дополнительное образование</w:t>
            </w:r>
          </w:p>
        </w:tc>
      </w:tr>
      <w:tr w:rsidR="00454A29" w14:paraId="3A11E65E" w14:textId="77777777">
        <w:tc>
          <w:tcPr>
            <w:tcW w:w="2835" w:type="dxa"/>
          </w:tcPr>
          <w:p w14:paraId="34849E10" w14:textId="77777777" w:rsidR="00454A29" w:rsidRDefault="00454A29">
            <w:pPr>
              <w:pStyle w:val="ConsPlusNormal"/>
            </w:pPr>
            <w:r>
              <w:t>Ответственный исполнитель подпрограммы</w:t>
            </w:r>
          </w:p>
        </w:tc>
        <w:tc>
          <w:tcPr>
            <w:tcW w:w="6236" w:type="dxa"/>
          </w:tcPr>
          <w:p w14:paraId="5EB0A760" w14:textId="77777777" w:rsidR="00454A29" w:rsidRDefault="00454A29">
            <w:pPr>
              <w:pStyle w:val="ConsPlusNormal"/>
              <w:jc w:val="both"/>
            </w:pPr>
            <w:r>
              <w:t>Министерство образования и науки Республики Саха (Якутия)</w:t>
            </w:r>
          </w:p>
        </w:tc>
      </w:tr>
      <w:tr w:rsidR="00454A29" w14:paraId="4A051686" w14:textId="77777777">
        <w:tc>
          <w:tcPr>
            <w:tcW w:w="2835" w:type="dxa"/>
          </w:tcPr>
          <w:p w14:paraId="5BBF6B7B" w14:textId="77777777" w:rsidR="00454A29" w:rsidRDefault="00454A29">
            <w:pPr>
              <w:pStyle w:val="ConsPlusNormal"/>
            </w:pPr>
            <w:r>
              <w:t>Соисполнители подпрограммы</w:t>
            </w:r>
          </w:p>
        </w:tc>
        <w:tc>
          <w:tcPr>
            <w:tcW w:w="6236" w:type="dxa"/>
          </w:tcPr>
          <w:p w14:paraId="598B2486" w14:textId="77777777" w:rsidR="00454A29" w:rsidRDefault="00454A29">
            <w:pPr>
              <w:pStyle w:val="ConsPlusNormal"/>
              <w:jc w:val="both"/>
            </w:pPr>
            <w:r>
              <w:t>-</w:t>
            </w:r>
          </w:p>
        </w:tc>
      </w:tr>
      <w:tr w:rsidR="00454A29" w14:paraId="0FE6BE4E" w14:textId="77777777">
        <w:tc>
          <w:tcPr>
            <w:tcW w:w="2835" w:type="dxa"/>
          </w:tcPr>
          <w:p w14:paraId="403DF775" w14:textId="77777777" w:rsidR="00454A29" w:rsidRDefault="00454A29">
            <w:pPr>
              <w:pStyle w:val="ConsPlusNormal"/>
            </w:pPr>
            <w:r>
              <w:t>Участники подпрограммы</w:t>
            </w:r>
          </w:p>
        </w:tc>
        <w:tc>
          <w:tcPr>
            <w:tcW w:w="6236" w:type="dxa"/>
          </w:tcPr>
          <w:p w14:paraId="244B291C" w14:textId="77777777" w:rsidR="00454A29" w:rsidRDefault="00454A29">
            <w:pPr>
              <w:pStyle w:val="ConsPlusNormal"/>
              <w:jc w:val="both"/>
            </w:pPr>
            <w:r>
              <w:t>Министерство культуры и духовного развития Республики Саха (Якутия);</w:t>
            </w:r>
          </w:p>
          <w:p w14:paraId="7274D655" w14:textId="77777777" w:rsidR="00454A29" w:rsidRDefault="00454A29">
            <w:pPr>
              <w:pStyle w:val="ConsPlusNormal"/>
              <w:jc w:val="both"/>
            </w:pPr>
            <w:r>
              <w:t>Министерство по физической культуре и спорту Республики Саха (Якутия);</w:t>
            </w:r>
          </w:p>
          <w:p w14:paraId="074F7FCE" w14:textId="77777777" w:rsidR="00454A29" w:rsidRDefault="00454A29">
            <w:pPr>
              <w:pStyle w:val="ConsPlusNormal"/>
              <w:jc w:val="both"/>
            </w:pPr>
            <w:r>
              <w:t>органы местного самоуправления муниципальных районов и городских округов Республики Саха (Якутия)</w:t>
            </w:r>
          </w:p>
        </w:tc>
      </w:tr>
      <w:tr w:rsidR="00454A29" w14:paraId="200ADE7F" w14:textId="77777777">
        <w:tc>
          <w:tcPr>
            <w:tcW w:w="2835" w:type="dxa"/>
          </w:tcPr>
          <w:p w14:paraId="221F8038" w14:textId="77777777" w:rsidR="00454A29" w:rsidRDefault="00454A29">
            <w:pPr>
              <w:pStyle w:val="ConsPlusNormal"/>
            </w:pPr>
            <w:r>
              <w:t>Цель подпрограммы</w:t>
            </w:r>
          </w:p>
        </w:tc>
        <w:tc>
          <w:tcPr>
            <w:tcW w:w="6236" w:type="dxa"/>
          </w:tcPr>
          <w:p w14:paraId="2D869B91" w14:textId="77777777" w:rsidR="00454A29" w:rsidRDefault="00454A29">
            <w:pPr>
              <w:pStyle w:val="ConsPlusNormal"/>
              <w:jc w:val="both"/>
            </w:pPr>
            <w:r>
              <w:t>Создание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народов Республики Саха (Якутия); формирование современной региональной системы дополнительного образования детей</w:t>
            </w:r>
          </w:p>
        </w:tc>
      </w:tr>
      <w:tr w:rsidR="00454A29" w14:paraId="3B7CE359" w14:textId="77777777">
        <w:tc>
          <w:tcPr>
            <w:tcW w:w="2835" w:type="dxa"/>
          </w:tcPr>
          <w:p w14:paraId="5C06794A" w14:textId="77777777" w:rsidR="00454A29" w:rsidRDefault="00454A29">
            <w:pPr>
              <w:pStyle w:val="ConsPlusNormal"/>
            </w:pPr>
            <w:r>
              <w:t>Задачи подпрограммы</w:t>
            </w:r>
          </w:p>
        </w:tc>
        <w:tc>
          <w:tcPr>
            <w:tcW w:w="6236" w:type="dxa"/>
          </w:tcPr>
          <w:p w14:paraId="7F67ECD6" w14:textId="77777777" w:rsidR="00454A29" w:rsidRDefault="00454A29">
            <w:pPr>
              <w:pStyle w:val="ConsPlusNormal"/>
              <w:jc w:val="both"/>
            </w:pPr>
            <w:r>
              <w:t>1. Развитие республиканской системы дополнительного образования детей и молодежи.</w:t>
            </w:r>
          </w:p>
          <w:p w14:paraId="50F5CF98" w14:textId="77777777" w:rsidR="00454A29" w:rsidRDefault="00454A29">
            <w:pPr>
              <w:pStyle w:val="ConsPlusNormal"/>
              <w:jc w:val="both"/>
            </w:pPr>
            <w:r>
              <w:t>2. Обновление содержания и технологий воспитания.</w:t>
            </w:r>
          </w:p>
          <w:p w14:paraId="0129CBD2" w14:textId="77777777" w:rsidR="00454A29" w:rsidRDefault="00454A29">
            <w:pPr>
              <w:pStyle w:val="ConsPlusNormal"/>
              <w:jc w:val="both"/>
            </w:pPr>
            <w:r>
              <w:t>3. Реализация регионального проекта "Успех каждого ребенка"</w:t>
            </w:r>
          </w:p>
        </w:tc>
      </w:tr>
      <w:tr w:rsidR="00454A29" w14:paraId="01C7B992" w14:textId="77777777">
        <w:tc>
          <w:tcPr>
            <w:tcW w:w="2835" w:type="dxa"/>
          </w:tcPr>
          <w:p w14:paraId="412A9FAE" w14:textId="77777777" w:rsidR="00454A29" w:rsidRDefault="00454A29">
            <w:pPr>
              <w:pStyle w:val="ConsPlusNormal"/>
            </w:pPr>
            <w:r>
              <w:t xml:space="preserve">Целевые показатели </w:t>
            </w:r>
            <w:r>
              <w:lastRenderedPageBreak/>
              <w:t>(индикаторы) подпрограммы</w:t>
            </w:r>
          </w:p>
        </w:tc>
        <w:tc>
          <w:tcPr>
            <w:tcW w:w="6236" w:type="dxa"/>
          </w:tcPr>
          <w:p w14:paraId="1B3CAD0E" w14:textId="77777777" w:rsidR="00454A29" w:rsidRDefault="00454A29">
            <w:pPr>
              <w:pStyle w:val="ConsPlusNormal"/>
              <w:jc w:val="both"/>
            </w:pPr>
            <w:r>
              <w:lastRenderedPageBreak/>
              <w:t xml:space="preserve">Доля детей в возрасте от 5 до 18 лет, охваченных </w:t>
            </w:r>
            <w:r>
              <w:lastRenderedPageBreak/>
              <w:t>дополнительным образованием: в 2020 году - 77%, в 2021 году - 78%, в 2022 году - 78,5%, в 2023 году - 79%, в 2024 году - 80%</w:t>
            </w:r>
          </w:p>
        </w:tc>
      </w:tr>
      <w:tr w:rsidR="00454A29" w14:paraId="7EB3B48D" w14:textId="77777777">
        <w:tc>
          <w:tcPr>
            <w:tcW w:w="2835" w:type="dxa"/>
          </w:tcPr>
          <w:p w14:paraId="6626D474" w14:textId="77777777" w:rsidR="00454A29" w:rsidRDefault="00454A29">
            <w:pPr>
              <w:pStyle w:val="ConsPlusNormal"/>
            </w:pPr>
            <w:r>
              <w:lastRenderedPageBreak/>
              <w:t>Сроки реализации подпрограммы</w:t>
            </w:r>
          </w:p>
        </w:tc>
        <w:tc>
          <w:tcPr>
            <w:tcW w:w="6236" w:type="dxa"/>
          </w:tcPr>
          <w:p w14:paraId="7AB14BBE" w14:textId="77777777" w:rsidR="00454A29" w:rsidRDefault="00454A29">
            <w:pPr>
              <w:pStyle w:val="ConsPlusNormal"/>
              <w:jc w:val="both"/>
            </w:pPr>
            <w:r>
              <w:t>2020 - 2024 годы</w:t>
            </w:r>
          </w:p>
        </w:tc>
      </w:tr>
      <w:tr w:rsidR="00454A29" w14:paraId="550639D4" w14:textId="77777777">
        <w:tc>
          <w:tcPr>
            <w:tcW w:w="2835" w:type="dxa"/>
          </w:tcPr>
          <w:p w14:paraId="4F22813A" w14:textId="77777777" w:rsidR="00454A29" w:rsidRDefault="00454A29">
            <w:pPr>
              <w:pStyle w:val="ConsPlusNormal"/>
            </w:pPr>
            <w:r>
              <w:t>Объем финансового обеспечения подпрограммы</w:t>
            </w:r>
          </w:p>
        </w:tc>
        <w:tc>
          <w:tcPr>
            <w:tcW w:w="6236" w:type="dxa"/>
          </w:tcPr>
          <w:p w14:paraId="79C47F95" w14:textId="77777777" w:rsidR="00454A29" w:rsidRDefault="00454A29">
            <w:pPr>
              <w:pStyle w:val="ConsPlusNormal"/>
              <w:jc w:val="both"/>
            </w:pPr>
            <w:r>
              <w:t>Объем финансового обеспечения подпрограммы - 2 341 384 тыс. руб., в том числе по годам:</w:t>
            </w:r>
          </w:p>
          <w:p w14:paraId="025F7E74" w14:textId="77777777" w:rsidR="00454A29" w:rsidRDefault="00454A29">
            <w:pPr>
              <w:pStyle w:val="ConsPlusNormal"/>
              <w:jc w:val="both"/>
            </w:pPr>
            <w:r>
              <w:t>2020 год - 468 348 тыс. руб.;</w:t>
            </w:r>
          </w:p>
          <w:p w14:paraId="2482DD6B" w14:textId="77777777" w:rsidR="00454A29" w:rsidRDefault="00454A29">
            <w:pPr>
              <w:pStyle w:val="ConsPlusNormal"/>
              <w:jc w:val="both"/>
            </w:pPr>
            <w:r>
              <w:t>2021 год - 468 354 тыс. руб.;</w:t>
            </w:r>
          </w:p>
          <w:p w14:paraId="4B750AF8" w14:textId="77777777" w:rsidR="00454A29" w:rsidRDefault="00454A29">
            <w:pPr>
              <w:pStyle w:val="ConsPlusNormal"/>
              <w:jc w:val="both"/>
            </w:pPr>
            <w:r>
              <w:t>2022 год - 465 178 тыс. руб.;</w:t>
            </w:r>
          </w:p>
          <w:p w14:paraId="6432A64E" w14:textId="77777777" w:rsidR="00454A29" w:rsidRDefault="00454A29">
            <w:pPr>
              <w:pStyle w:val="ConsPlusNormal"/>
              <w:jc w:val="both"/>
            </w:pPr>
            <w:r>
              <w:t>2023 год - 469 752 тыс. руб.;</w:t>
            </w:r>
          </w:p>
          <w:p w14:paraId="0622F2DA" w14:textId="77777777" w:rsidR="00454A29" w:rsidRDefault="00454A29">
            <w:pPr>
              <w:pStyle w:val="ConsPlusNormal"/>
              <w:jc w:val="both"/>
            </w:pPr>
            <w:r>
              <w:t>2024 год - 469 752 тыс. руб.;</w:t>
            </w:r>
          </w:p>
          <w:p w14:paraId="05CB59FC" w14:textId="77777777" w:rsidR="00454A29" w:rsidRDefault="00454A29">
            <w:pPr>
              <w:pStyle w:val="ConsPlusNormal"/>
              <w:jc w:val="both"/>
            </w:pPr>
            <w:r>
              <w:t>а) за счет средств государственного бюджета Республики Саха (Якутия) - 1 882 784 тыс. руб., в том числе по годам:</w:t>
            </w:r>
          </w:p>
          <w:p w14:paraId="6547C248" w14:textId="77777777" w:rsidR="00454A29" w:rsidRDefault="00454A29">
            <w:pPr>
              <w:pStyle w:val="ConsPlusNormal"/>
              <w:jc w:val="both"/>
            </w:pPr>
            <w:r>
              <w:t>2020 год - 376 628 тыс. руб.;</w:t>
            </w:r>
          </w:p>
          <w:p w14:paraId="0CF524AB" w14:textId="77777777" w:rsidR="00454A29" w:rsidRDefault="00454A29">
            <w:pPr>
              <w:pStyle w:val="ConsPlusNormal"/>
              <w:jc w:val="both"/>
            </w:pPr>
            <w:r>
              <w:t>2021 год - 376 634 тыс. руб.;</w:t>
            </w:r>
          </w:p>
          <w:p w14:paraId="338C65CD" w14:textId="77777777" w:rsidR="00454A29" w:rsidRDefault="00454A29">
            <w:pPr>
              <w:pStyle w:val="ConsPlusNormal"/>
              <w:jc w:val="both"/>
            </w:pPr>
            <w:r>
              <w:t>2022 год - 373 458 тыс. руб.;</w:t>
            </w:r>
          </w:p>
          <w:p w14:paraId="2C2A2D5C" w14:textId="77777777" w:rsidR="00454A29" w:rsidRDefault="00454A29">
            <w:pPr>
              <w:pStyle w:val="ConsPlusNormal"/>
              <w:jc w:val="both"/>
            </w:pPr>
            <w:r>
              <w:t>2023 год - 378 032 тыс. руб.;</w:t>
            </w:r>
          </w:p>
          <w:p w14:paraId="691AEBA0" w14:textId="77777777" w:rsidR="00454A29" w:rsidRDefault="00454A29">
            <w:pPr>
              <w:pStyle w:val="ConsPlusNormal"/>
              <w:jc w:val="both"/>
            </w:pPr>
            <w:r>
              <w:t>2024 год - 378 032 тыс. руб.;</w:t>
            </w:r>
          </w:p>
          <w:p w14:paraId="48CE44B9" w14:textId="77777777" w:rsidR="00454A29" w:rsidRDefault="00454A29">
            <w:pPr>
              <w:pStyle w:val="ConsPlusNormal"/>
              <w:jc w:val="both"/>
            </w:pPr>
            <w:r>
              <w:t>б) за счет средств федерального бюджета - 0 тыс. руб., в том числе по годам:</w:t>
            </w:r>
          </w:p>
          <w:p w14:paraId="2C2F40C1" w14:textId="77777777" w:rsidR="00454A29" w:rsidRDefault="00454A29">
            <w:pPr>
              <w:pStyle w:val="ConsPlusNormal"/>
              <w:jc w:val="both"/>
            </w:pPr>
            <w:r>
              <w:t>2020 год - 0 тыс. руб.;</w:t>
            </w:r>
          </w:p>
          <w:p w14:paraId="2BD3F3E5" w14:textId="77777777" w:rsidR="00454A29" w:rsidRDefault="00454A29">
            <w:pPr>
              <w:pStyle w:val="ConsPlusNormal"/>
              <w:jc w:val="both"/>
            </w:pPr>
            <w:r>
              <w:t>2021 год - 0 тыс. руб.;</w:t>
            </w:r>
          </w:p>
          <w:p w14:paraId="7D40727A" w14:textId="77777777" w:rsidR="00454A29" w:rsidRDefault="00454A29">
            <w:pPr>
              <w:pStyle w:val="ConsPlusNormal"/>
              <w:jc w:val="both"/>
            </w:pPr>
            <w:r>
              <w:t>2022 год - 0 тыс. руб.;</w:t>
            </w:r>
          </w:p>
          <w:p w14:paraId="2C74ADCE" w14:textId="77777777" w:rsidR="00454A29" w:rsidRDefault="00454A29">
            <w:pPr>
              <w:pStyle w:val="ConsPlusNormal"/>
              <w:jc w:val="both"/>
            </w:pPr>
            <w:r>
              <w:t>2023 год - 0 тыс. руб.;</w:t>
            </w:r>
          </w:p>
          <w:p w14:paraId="133C7881" w14:textId="77777777" w:rsidR="00454A29" w:rsidRDefault="00454A29">
            <w:pPr>
              <w:pStyle w:val="ConsPlusNormal"/>
              <w:jc w:val="both"/>
            </w:pPr>
            <w:r>
              <w:t>2024 год - 0 тыс. руб.;</w:t>
            </w:r>
          </w:p>
          <w:p w14:paraId="11E796FA" w14:textId="77777777" w:rsidR="00454A29" w:rsidRDefault="00454A29">
            <w:pPr>
              <w:pStyle w:val="ConsPlusNormal"/>
              <w:jc w:val="both"/>
            </w:pPr>
            <w:r>
              <w:t>в) за счет средств местных бюджетов - 0 тыс. руб., в том числе по годам:</w:t>
            </w:r>
          </w:p>
          <w:p w14:paraId="7C97AB71" w14:textId="77777777" w:rsidR="00454A29" w:rsidRDefault="00454A29">
            <w:pPr>
              <w:pStyle w:val="ConsPlusNormal"/>
              <w:jc w:val="both"/>
            </w:pPr>
            <w:r>
              <w:t>2020 год - 0 тыс. руб.;</w:t>
            </w:r>
          </w:p>
          <w:p w14:paraId="6198F7D9" w14:textId="77777777" w:rsidR="00454A29" w:rsidRDefault="00454A29">
            <w:pPr>
              <w:pStyle w:val="ConsPlusNormal"/>
              <w:jc w:val="both"/>
            </w:pPr>
            <w:r>
              <w:t>2021 год - 0 тыс. руб.;</w:t>
            </w:r>
          </w:p>
          <w:p w14:paraId="44692BF4" w14:textId="77777777" w:rsidR="00454A29" w:rsidRDefault="00454A29">
            <w:pPr>
              <w:pStyle w:val="ConsPlusNormal"/>
              <w:jc w:val="both"/>
            </w:pPr>
            <w:r>
              <w:t>2022 год - 0 тыс. руб.;</w:t>
            </w:r>
          </w:p>
          <w:p w14:paraId="11C80D9B" w14:textId="77777777" w:rsidR="00454A29" w:rsidRDefault="00454A29">
            <w:pPr>
              <w:pStyle w:val="ConsPlusNormal"/>
              <w:jc w:val="both"/>
            </w:pPr>
            <w:r>
              <w:t>2023 год - 0 тыс. руб.;</w:t>
            </w:r>
          </w:p>
          <w:p w14:paraId="42BE9E3E" w14:textId="77777777" w:rsidR="00454A29" w:rsidRDefault="00454A29">
            <w:pPr>
              <w:pStyle w:val="ConsPlusNormal"/>
              <w:jc w:val="both"/>
            </w:pPr>
            <w:r>
              <w:t>2024 год - 0 тыс. руб.;</w:t>
            </w:r>
          </w:p>
          <w:p w14:paraId="25C98D70" w14:textId="77777777" w:rsidR="00454A29" w:rsidRDefault="00454A29">
            <w:pPr>
              <w:pStyle w:val="ConsPlusNormal"/>
              <w:jc w:val="both"/>
            </w:pPr>
            <w:r>
              <w:t>г) за счет внебюджетных средств - 458 600 тыс. руб., в том числе по годам:</w:t>
            </w:r>
          </w:p>
          <w:p w14:paraId="4043BE28" w14:textId="77777777" w:rsidR="00454A29" w:rsidRDefault="00454A29">
            <w:pPr>
              <w:pStyle w:val="ConsPlusNormal"/>
              <w:jc w:val="both"/>
            </w:pPr>
            <w:r>
              <w:t>2020 год - 91 720 тыс. руб.;</w:t>
            </w:r>
          </w:p>
          <w:p w14:paraId="01E2CE6A" w14:textId="77777777" w:rsidR="00454A29" w:rsidRDefault="00454A29">
            <w:pPr>
              <w:pStyle w:val="ConsPlusNormal"/>
              <w:jc w:val="both"/>
            </w:pPr>
            <w:r>
              <w:t>2021 год - 91 720 тыс. руб.;</w:t>
            </w:r>
          </w:p>
          <w:p w14:paraId="75156FBA" w14:textId="77777777" w:rsidR="00454A29" w:rsidRDefault="00454A29">
            <w:pPr>
              <w:pStyle w:val="ConsPlusNormal"/>
              <w:jc w:val="both"/>
            </w:pPr>
            <w:r>
              <w:t>2022 год - 91 720 тыс. руб.;</w:t>
            </w:r>
          </w:p>
          <w:p w14:paraId="526C2DC1" w14:textId="77777777" w:rsidR="00454A29" w:rsidRDefault="00454A29">
            <w:pPr>
              <w:pStyle w:val="ConsPlusNormal"/>
              <w:jc w:val="both"/>
            </w:pPr>
            <w:r>
              <w:t>2023 год - 91 720 тыс. руб.;</w:t>
            </w:r>
          </w:p>
          <w:p w14:paraId="1B242759" w14:textId="77777777" w:rsidR="00454A29" w:rsidRDefault="00454A29">
            <w:pPr>
              <w:pStyle w:val="ConsPlusNormal"/>
              <w:jc w:val="both"/>
            </w:pPr>
            <w:r>
              <w:t>2024 год - 91 720 тыс. руб.</w:t>
            </w:r>
          </w:p>
        </w:tc>
      </w:tr>
      <w:tr w:rsidR="00454A29" w14:paraId="7023F93A" w14:textId="77777777">
        <w:tc>
          <w:tcPr>
            <w:tcW w:w="2835" w:type="dxa"/>
          </w:tcPr>
          <w:p w14:paraId="6AE55234" w14:textId="77777777" w:rsidR="00454A29" w:rsidRDefault="00454A29">
            <w:pPr>
              <w:pStyle w:val="ConsPlusNormal"/>
            </w:pPr>
            <w:r>
              <w:t>Ожидаемый результат реализации подпрограммы</w:t>
            </w:r>
          </w:p>
        </w:tc>
        <w:tc>
          <w:tcPr>
            <w:tcW w:w="6236" w:type="dxa"/>
          </w:tcPr>
          <w:p w14:paraId="7A8F8D13" w14:textId="77777777" w:rsidR="00454A29" w:rsidRDefault="00454A29">
            <w:pPr>
              <w:pStyle w:val="ConsPlusNormal"/>
              <w:jc w:val="both"/>
            </w:pPr>
            <w:r>
              <w:t>Увеличение доли детей в возрасте от 5 до 18 лет, охваченных дополнительным образованием, до 80%</w:t>
            </w:r>
          </w:p>
        </w:tc>
      </w:tr>
    </w:tbl>
    <w:p w14:paraId="2F1D127E" w14:textId="77777777" w:rsidR="00454A29" w:rsidRDefault="00454A29">
      <w:pPr>
        <w:pStyle w:val="ConsPlusNormal"/>
      </w:pPr>
    </w:p>
    <w:p w14:paraId="095B3F52" w14:textId="77777777" w:rsidR="00454A29" w:rsidRDefault="00454A29">
      <w:pPr>
        <w:pStyle w:val="ConsPlusTitle"/>
        <w:jc w:val="center"/>
        <w:outlineLvl w:val="1"/>
      </w:pPr>
      <w:r>
        <w:t>Паспорт подпрограммы N 5</w:t>
      </w:r>
    </w:p>
    <w:p w14:paraId="0C98F493" w14:textId="77777777" w:rsidR="00454A29" w:rsidRDefault="00454A29">
      <w:pPr>
        <w:pStyle w:val="ConsPlusTitle"/>
        <w:jc w:val="center"/>
      </w:pPr>
      <w:r>
        <w:t>"Одаренные дети Якутии"</w:t>
      </w:r>
    </w:p>
    <w:p w14:paraId="62EB5F53"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7A22BF48" w14:textId="77777777">
        <w:tc>
          <w:tcPr>
            <w:tcW w:w="2835" w:type="dxa"/>
          </w:tcPr>
          <w:p w14:paraId="7AB4EEA2" w14:textId="77777777" w:rsidR="00454A29" w:rsidRDefault="00454A29">
            <w:pPr>
              <w:pStyle w:val="ConsPlusNormal"/>
            </w:pPr>
            <w:r>
              <w:t>Наименование подпрограммы</w:t>
            </w:r>
          </w:p>
        </w:tc>
        <w:tc>
          <w:tcPr>
            <w:tcW w:w="6236" w:type="dxa"/>
          </w:tcPr>
          <w:p w14:paraId="0A33A3E2" w14:textId="77777777" w:rsidR="00454A29" w:rsidRDefault="00454A29">
            <w:pPr>
              <w:pStyle w:val="ConsPlusNormal"/>
              <w:jc w:val="both"/>
            </w:pPr>
            <w:r>
              <w:t>Одаренные дети Якутии</w:t>
            </w:r>
          </w:p>
        </w:tc>
      </w:tr>
      <w:tr w:rsidR="00454A29" w14:paraId="0E99AD18" w14:textId="77777777">
        <w:tc>
          <w:tcPr>
            <w:tcW w:w="2835" w:type="dxa"/>
          </w:tcPr>
          <w:p w14:paraId="2211377A" w14:textId="77777777" w:rsidR="00454A29" w:rsidRDefault="00454A29">
            <w:pPr>
              <w:pStyle w:val="ConsPlusNormal"/>
            </w:pPr>
            <w:r>
              <w:t>Ответственный исполнитель подпрограммы</w:t>
            </w:r>
          </w:p>
        </w:tc>
        <w:tc>
          <w:tcPr>
            <w:tcW w:w="6236" w:type="dxa"/>
          </w:tcPr>
          <w:p w14:paraId="098A02CA" w14:textId="77777777" w:rsidR="00454A29" w:rsidRDefault="00454A29">
            <w:pPr>
              <w:pStyle w:val="ConsPlusNormal"/>
              <w:jc w:val="both"/>
            </w:pPr>
            <w:r>
              <w:t>Министерство образования и науки Республики Саха (Якутия)</w:t>
            </w:r>
          </w:p>
        </w:tc>
      </w:tr>
      <w:tr w:rsidR="00454A29" w14:paraId="70497A48" w14:textId="77777777">
        <w:tc>
          <w:tcPr>
            <w:tcW w:w="2835" w:type="dxa"/>
          </w:tcPr>
          <w:p w14:paraId="38921D8D" w14:textId="77777777" w:rsidR="00454A29" w:rsidRDefault="00454A29">
            <w:pPr>
              <w:pStyle w:val="ConsPlusNormal"/>
            </w:pPr>
            <w:r>
              <w:lastRenderedPageBreak/>
              <w:t>Соисполнители подпрограммы</w:t>
            </w:r>
          </w:p>
        </w:tc>
        <w:tc>
          <w:tcPr>
            <w:tcW w:w="6236" w:type="dxa"/>
          </w:tcPr>
          <w:p w14:paraId="58848E07" w14:textId="77777777" w:rsidR="00454A29" w:rsidRDefault="00454A29">
            <w:pPr>
              <w:pStyle w:val="ConsPlusNormal"/>
              <w:jc w:val="both"/>
            </w:pPr>
            <w:r>
              <w:t>-</w:t>
            </w:r>
          </w:p>
        </w:tc>
      </w:tr>
      <w:tr w:rsidR="00454A29" w14:paraId="313C3394" w14:textId="77777777">
        <w:tc>
          <w:tcPr>
            <w:tcW w:w="2835" w:type="dxa"/>
          </w:tcPr>
          <w:p w14:paraId="4DE510E5" w14:textId="77777777" w:rsidR="00454A29" w:rsidRDefault="00454A29">
            <w:pPr>
              <w:pStyle w:val="ConsPlusNormal"/>
            </w:pPr>
            <w:r>
              <w:t>Участники подпрограммы</w:t>
            </w:r>
          </w:p>
        </w:tc>
        <w:tc>
          <w:tcPr>
            <w:tcW w:w="6236" w:type="dxa"/>
          </w:tcPr>
          <w:p w14:paraId="67C5FB07" w14:textId="77777777" w:rsidR="00454A29" w:rsidRDefault="00454A29">
            <w:pPr>
              <w:pStyle w:val="ConsPlusNormal"/>
              <w:jc w:val="both"/>
            </w:pPr>
            <w:r>
              <w:t>Органы местного самоуправления муниципальных районов и городских округов Республики Саха (Якутия)</w:t>
            </w:r>
          </w:p>
        </w:tc>
      </w:tr>
      <w:tr w:rsidR="00454A29" w14:paraId="25F6783B" w14:textId="77777777">
        <w:tc>
          <w:tcPr>
            <w:tcW w:w="2835" w:type="dxa"/>
          </w:tcPr>
          <w:p w14:paraId="6D938E27" w14:textId="77777777" w:rsidR="00454A29" w:rsidRDefault="00454A29">
            <w:pPr>
              <w:pStyle w:val="ConsPlusNormal"/>
            </w:pPr>
            <w:r>
              <w:t>Цель подпрограммы</w:t>
            </w:r>
          </w:p>
        </w:tc>
        <w:tc>
          <w:tcPr>
            <w:tcW w:w="6236" w:type="dxa"/>
          </w:tcPr>
          <w:p w14:paraId="50C162C1" w14:textId="77777777" w:rsidR="00454A29" w:rsidRDefault="00454A29">
            <w:pPr>
              <w:pStyle w:val="ConsPlusNormal"/>
              <w:jc w:val="both"/>
            </w:pPr>
            <w:r>
              <w:t>Создание условий для выявления и развития одаренных и талантливых детей Республики Саха (Якутия)</w:t>
            </w:r>
          </w:p>
        </w:tc>
      </w:tr>
      <w:tr w:rsidR="00454A29" w14:paraId="41A53D23" w14:textId="77777777">
        <w:tc>
          <w:tcPr>
            <w:tcW w:w="2835" w:type="dxa"/>
          </w:tcPr>
          <w:p w14:paraId="7B6F3B68" w14:textId="77777777" w:rsidR="00454A29" w:rsidRDefault="00454A29">
            <w:pPr>
              <w:pStyle w:val="ConsPlusNormal"/>
            </w:pPr>
            <w:r>
              <w:t>Задачи подпрограммы</w:t>
            </w:r>
          </w:p>
        </w:tc>
        <w:tc>
          <w:tcPr>
            <w:tcW w:w="6236" w:type="dxa"/>
          </w:tcPr>
          <w:p w14:paraId="75470C06" w14:textId="77777777" w:rsidR="00454A29" w:rsidRDefault="00454A29">
            <w:pPr>
              <w:pStyle w:val="ConsPlusNormal"/>
              <w:jc w:val="both"/>
            </w:pPr>
            <w:r>
              <w:t>Выявление и развитие одаренных детей, вовлечение их в научно-исследовательскую, инновационную и творческую деятельность с целью развития потенциала подрастающих поколений</w:t>
            </w:r>
          </w:p>
        </w:tc>
      </w:tr>
      <w:tr w:rsidR="00454A29" w14:paraId="10729337" w14:textId="77777777">
        <w:tc>
          <w:tcPr>
            <w:tcW w:w="2835" w:type="dxa"/>
          </w:tcPr>
          <w:p w14:paraId="7B274466" w14:textId="77777777" w:rsidR="00454A29" w:rsidRDefault="00454A29">
            <w:pPr>
              <w:pStyle w:val="ConsPlusNormal"/>
            </w:pPr>
            <w:r>
              <w:t>Целевые показатели (индикаторы) подпрограммы</w:t>
            </w:r>
          </w:p>
        </w:tc>
        <w:tc>
          <w:tcPr>
            <w:tcW w:w="6236" w:type="dxa"/>
          </w:tcPr>
          <w:p w14:paraId="2C77F158" w14:textId="77777777" w:rsidR="00454A29" w:rsidRDefault="00454A29">
            <w:pPr>
              <w:pStyle w:val="ConsPlusNormal"/>
              <w:jc w:val="both"/>
            </w:pPr>
            <w: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в 2020 году - 46%, в 2021 году - 48%, в 2022 году - 50%, 2023 году - 50%, в 2024 году - 50%</w:t>
            </w:r>
          </w:p>
        </w:tc>
      </w:tr>
      <w:tr w:rsidR="00454A29" w14:paraId="1089DBEA" w14:textId="77777777">
        <w:tc>
          <w:tcPr>
            <w:tcW w:w="2835" w:type="dxa"/>
          </w:tcPr>
          <w:p w14:paraId="16865B15" w14:textId="77777777" w:rsidR="00454A29" w:rsidRDefault="00454A29">
            <w:pPr>
              <w:pStyle w:val="ConsPlusNormal"/>
            </w:pPr>
            <w:r>
              <w:t>Сроки реализации подпрограммы</w:t>
            </w:r>
          </w:p>
        </w:tc>
        <w:tc>
          <w:tcPr>
            <w:tcW w:w="6236" w:type="dxa"/>
          </w:tcPr>
          <w:p w14:paraId="3B60EDA6" w14:textId="77777777" w:rsidR="00454A29" w:rsidRDefault="00454A29">
            <w:pPr>
              <w:pStyle w:val="ConsPlusNormal"/>
              <w:jc w:val="both"/>
            </w:pPr>
            <w:r>
              <w:t>2020 - 2024 годы</w:t>
            </w:r>
          </w:p>
        </w:tc>
      </w:tr>
      <w:tr w:rsidR="00454A29" w14:paraId="03DCAE4D" w14:textId="77777777">
        <w:tc>
          <w:tcPr>
            <w:tcW w:w="2835" w:type="dxa"/>
          </w:tcPr>
          <w:p w14:paraId="13C654FC" w14:textId="77777777" w:rsidR="00454A29" w:rsidRDefault="00454A29">
            <w:pPr>
              <w:pStyle w:val="ConsPlusNormal"/>
            </w:pPr>
            <w:r>
              <w:t>Объем финансового обеспечения подпрограммы</w:t>
            </w:r>
          </w:p>
        </w:tc>
        <w:tc>
          <w:tcPr>
            <w:tcW w:w="6236" w:type="dxa"/>
          </w:tcPr>
          <w:p w14:paraId="3AB70B22" w14:textId="77777777" w:rsidR="00454A29" w:rsidRDefault="00454A29">
            <w:pPr>
              <w:pStyle w:val="ConsPlusNormal"/>
              <w:jc w:val="both"/>
            </w:pPr>
            <w:r>
              <w:t>Объем финансового обеспечения подпрограммы - 52 500 тыс. руб., в том числе по годам:</w:t>
            </w:r>
          </w:p>
          <w:p w14:paraId="1B32EB0D" w14:textId="77777777" w:rsidR="00454A29" w:rsidRDefault="00454A29">
            <w:pPr>
              <w:pStyle w:val="ConsPlusNormal"/>
              <w:jc w:val="both"/>
            </w:pPr>
            <w:r>
              <w:t>2020 год - 17 500 тыс. руб.;</w:t>
            </w:r>
          </w:p>
          <w:p w14:paraId="0B700115" w14:textId="77777777" w:rsidR="00454A29" w:rsidRDefault="00454A29">
            <w:pPr>
              <w:pStyle w:val="ConsPlusNormal"/>
              <w:jc w:val="both"/>
            </w:pPr>
            <w:r>
              <w:t>2021 год - 17 500 тыс. руб.;</w:t>
            </w:r>
          </w:p>
          <w:p w14:paraId="62E62E4F" w14:textId="77777777" w:rsidR="00454A29" w:rsidRDefault="00454A29">
            <w:pPr>
              <w:pStyle w:val="ConsPlusNormal"/>
              <w:jc w:val="both"/>
            </w:pPr>
            <w:r>
              <w:t>2022 год - 17 500 тыс. руб.;</w:t>
            </w:r>
          </w:p>
          <w:p w14:paraId="338B88EE" w14:textId="77777777" w:rsidR="00454A29" w:rsidRDefault="00454A29">
            <w:pPr>
              <w:pStyle w:val="ConsPlusNormal"/>
              <w:jc w:val="both"/>
            </w:pPr>
            <w:r>
              <w:t>2023 год - 0 тыс. руб.;</w:t>
            </w:r>
          </w:p>
          <w:p w14:paraId="0B10F273" w14:textId="77777777" w:rsidR="00454A29" w:rsidRDefault="00454A29">
            <w:pPr>
              <w:pStyle w:val="ConsPlusNormal"/>
              <w:jc w:val="both"/>
            </w:pPr>
            <w:r>
              <w:t>2024 год - 0 тыс. руб.;</w:t>
            </w:r>
          </w:p>
          <w:p w14:paraId="2431CD0B" w14:textId="77777777" w:rsidR="00454A29" w:rsidRDefault="00454A29">
            <w:pPr>
              <w:pStyle w:val="ConsPlusNormal"/>
              <w:jc w:val="both"/>
            </w:pPr>
            <w:r>
              <w:t>а) за счет средств государственного бюджета Республики Саха (Якутия) - 52 500 тыс. руб., в том числе по годам:</w:t>
            </w:r>
          </w:p>
          <w:p w14:paraId="2593D95E" w14:textId="77777777" w:rsidR="00454A29" w:rsidRDefault="00454A29">
            <w:pPr>
              <w:pStyle w:val="ConsPlusNormal"/>
              <w:jc w:val="both"/>
            </w:pPr>
            <w:r>
              <w:t>2020 год - 17 500 тыс. руб.;</w:t>
            </w:r>
          </w:p>
          <w:p w14:paraId="3406B1BB" w14:textId="77777777" w:rsidR="00454A29" w:rsidRDefault="00454A29">
            <w:pPr>
              <w:pStyle w:val="ConsPlusNormal"/>
              <w:jc w:val="both"/>
            </w:pPr>
            <w:r>
              <w:t>2021 год - 17 500 тыс. руб.;</w:t>
            </w:r>
          </w:p>
          <w:p w14:paraId="7FDD30D1" w14:textId="77777777" w:rsidR="00454A29" w:rsidRDefault="00454A29">
            <w:pPr>
              <w:pStyle w:val="ConsPlusNormal"/>
              <w:jc w:val="both"/>
            </w:pPr>
            <w:r>
              <w:t>2022 год - 17 500 тыс. руб.;</w:t>
            </w:r>
          </w:p>
          <w:p w14:paraId="63A6B29E" w14:textId="77777777" w:rsidR="00454A29" w:rsidRDefault="00454A29">
            <w:pPr>
              <w:pStyle w:val="ConsPlusNormal"/>
              <w:jc w:val="both"/>
            </w:pPr>
            <w:r>
              <w:t>2023 год - 0 тыс. руб.;</w:t>
            </w:r>
          </w:p>
          <w:p w14:paraId="0D1F386F" w14:textId="77777777" w:rsidR="00454A29" w:rsidRDefault="00454A29">
            <w:pPr>
              <w:pStyle w:val="ConsPlusNormal"/>
              <w:jc w:val="both"/>
            </w:pPr>
            <w:r>
              <w:t>2024 год - 0 тыс. руб.;</w:t>
            </w:r>
          </w:p>
          <w:p w14:paraId="01C4B66C" w14:textId="77777777" w:rsidR="00454A29" w:rsidRDefault="00454A29">
            <w:pPr>
              <w:pStyle w:val="ConsPlusNormal"/>
              <w:jc w:val="both"/>
            </w:pPr>
            <w:r>
              <w:t>б) за счет средств федерального бюджета - 0 тыс. руб., в том числе по годам:</w:t>
            </w:r>
          </w:p>
          <w:p w14:paraId="7296F445" w14:textId="77777777" w:rsidR="00454A29" w:rsidRDefault="00454A29">
            <w:pPr>
              <w:pStyle w:val="ConsPlusNormal"/>
              <w:jc w:val="both"/>
            </w:pPr>
            <w:r>
              <w:t>2020 год - 0 тыс. руб.;</w:t>
            </w:r>
          </w:p>
          <w:p w14:paraId="2425ED43" w14:textId="77777777" w:rsidR="00454A29" w:rsidRDefault="00454A29">
            <w:pPr>
              <w:pStyle w:val="ConsPlusNormal"/>
              <w:jc w:val="both"/>
            </w:pPr>
            <w:r>
              <w:t>2021 год - 0 тыс. руб.;</w:t>
            </w:r>
          </w:p>
          <w:p w14:paraId="5E0BE700" w14:textId="77777777" w:rsidR="00454A29" w:rsidRDefault="00454A29">
            <w:pPr>
              <w:pStyle w:val="ConsPlusNormal"/>
              <w:jc w:val="both"/>
            </w:pPr>
            <w:r>
              <w:t>2022 год - 0 тыс. руб.;</w:t>
            </w:r>
          </w:p>
          <w:p w14:paraId="09A9C5AB" w14:textId="77777777" w:rsidR="00454A29" w:rsidRDefault="00454A29">
            <w:pPr>
              <w:pStyle w:val="ConsPlusNormal"/>
              <w:jc w:val="both"/>
            </w:pPr>
            <w:r>
              <w:t>2023 год - 0 тыс. руб.;</w:t>
            </w:r>
          </w:p>
          <w:p w14:paraId="5110DC5B" w14:textId="77777777" w:rsidR="00454A29" w:rsidRDefault="00454A29">
            <w:pPr>
              <w:pStyle w:val="ConsPlusNormal"/>
              <w:jc w:val="both"/>
            </w:pPr>
            <w:r>
              <w:t>2024 год - 0 тыс. руб.;</w:t>
            </w:r>
          </w:p>
          <w:p w14:paraId="0EE2617C" w14:textId="77777777" w:rsidR="00454A29" w:rsidRDefault="00454A29">
            <w:pPr>
              <w:pStyle w:val="ConsPlusNormal"/>
              <w:jc w:val="both"/>
            </w:pPr>
            <w:r>
              <w:t>в) за счет средств местных бюджетов - 0 тыс. руб., в том числе по годам:</w:t>
            </w:r>
          </w:p>
          <w:p w14:paraId="1DC27E08" w14:textId="77777777" w:rsidR="00454A29" w:rsidRDefault="00454A29">
            <w:pPr>
              <w:pStyle w:val="ConsPlusNormal"/>
              <w:jc w:val="both"/>
            </w:pPr>
            <w:r>
              <w:t>2020 год - 0 тыс. руб.;</w:t>
            </w:r>
          </w:p>
          <w:p w14:paraId="4969C449" w14:textId="77777777" w:rsidR="00454A29" w:rsidRDefault="00454A29">
            <w:pPr>
              <w:pStyle w:val="ConsPlusNormal"/>
              <w:jc w:val="both"/>
            </w:pPr>
            <w:r>
              <w:t>2021 год - 0 тыс. руб.;</w:t>
            </w:r>
          </w:p>
          <w:p w14:paraId="799BF404" w14:textId="77777777" w:rsidR="00454A29" w:rsidRDefault="00454A29">
            <w:pPr>
              <w:pStyle w:val="ConsPlusNormal"/>
              <w:jc w:val="both"/>
            </w:pPr>
            <w:r>
              <w:t>2022 год - 0 тыс. руб.;</w:t>
            </w:r>
          </w:p>
          <w:p w14:paraId="6EED32F0" w14:textId="77777777" w:rsidR="00454A29" w:rsidRDefault="00454A29">
            <w:pPr>
              <w:pStyle w:val="ConsPlusNormal"/>
              <w:jc w:val="both"/>
            </w:pPr>
            <w:r>
              <w:t>2023 год - 0 тыс. руб.;</w:t>
            </w:r>
          </w:p>
          <w:p w14:paraId="1CC81A33" w14:textId="77777777" w:rsidR="00454A29" w:rsidRDefault="00454A29">
            <w:pPr>
              <w:pStyle w:val="ConsPlusNormal"/>
              <w:jc w:val="both"/>
            </w:pPr>
            <w:r>
              <w:t>2024 год - 0 тыс. руб.;</w:t>
            </w:r>
          </w:p>
          <w:p w14:paraId="43A1D77E" w14:textId="77777777" w:rsidR="00454A29" w:rsidRDefault="00454A29">
            <w:pPr>
              <w:pStyle w:val="ConsPlusNormal"/>
              <w:jc w:val="both"/>
            </w:pPr>
            <w:r>
              <w:lastRenderedPageBreak/>
              <w:t>г) за счет внебюджетных средств - 0 тыс. руб., в том числе по годам:</w:t>
            </w:r>
          </w:p>
          <w:p w14:paraId="32D4C2C2" w14:textId="77777777" w:rsidR="00454A29" w:rsidRDefault="00454A29">
            <w:pPr>
              <w:pStyle w:val="ConsPlusNormal"/>
              <w:jc w:val="both"/>
            </w:pPr>
            <w:r>
              <w:t>2020 год - 0 тыс. руб.;</w:t>
            </w:r>
          </w:p>
          <w:p w14:paraId="274058FB" w14:textId="77777777" w:rsidR="00454A29" w:rsidRDefault="00454A29">
            <w:pPr>
              <w:pStyle w:val="ConsPlusNormal"/>
              <w:jc w:val="both"/>
            </w:pPr>
            <w:r>
              <w:t>2021 год - 0 тыс. руб.;</w:t>
            </w:r>
          </w:p>
          <w:p w14:paraId="6AA25A1E" w14:textId="77777777" w:rsidR="00454A29" w:rsidRDefault="00454A29">
            <w:pPr>
              <w:pStyle w:val="ConsPlusNormal"/>
              <w:jc w:val="both"/>
            </w:pPr>
            <w:r>
              <w:t>2022 год - 0 тыс. руб.;</w:t>
            </w:r>
          </w:p>
          <w:p w14:paraId="71680EEE" w14:textId="77777777" w:rsidR="00454A29" w:rsidRDefault="00454A29">
            <w:pPr>
              <w:pStyle w:val="ConsPlusNormal"/>
              <w:jc w:val="both"/>
            </w:pPr>
            <w:r>
              <w:t>2023 год - 0 тыс. руб.;</w:t>
            </w:r>
          </w:p>
          <w:p w14:paraId="4011BF17" w14:textId="77777777" w:rsidR="00454A29" w:rsidRDefault="00454A29">
            <w:pPr>
              <w:pStyle w:val="ConsPlusNormal"/>
              <w:jc w:val="both"/>
            </w:pPr>
            <w:r>
              <w:t>2024 год - 0 тыс. руб.</w:t>
            </w:r>
          </w:p>
        </w:tc>
      </w:tr>
      <w:tr w:rsidR="00454A29" w14:paraId="68FDF524" w14:textId="77777777">
        <w:tc>
          <w:tcPr>
            <w:tcW w:w="2835" w:type="dxa"/>
          </w:tcPr>
          <w:p w14:paraId="44176463" w14:textId="77777777" w:rsidR="00454A29" w:rsidRDefault="00454A29">
            <w:pPr>
              <w:pStyle w:val="ConsPlusNormal"/>
            </w:pPr>
            <w:r>
              <w:lastRenderedPageBreak/>
              <w:t>Ожидаемый результат реализации подпрограммы</w:t>
            </w:r>
          </w:p>
        </w:tc>
        <w:tc>
          <w:tcPr>
            <w:tcW w:w="6236" w:type="dxa"/>
          </w:tcPr>
          <w:p w14:paraId="50730E71" w14:textId="77777777" w:rsidR="00454A29" w:rsidRDefault="00454A29">
            <w:pPr>
              <w:pStyle w:val="ConsPlusNormal"/>
              <w:jc w:val="both"/>
            </w:pPr>
            <w:r>
              <w:t>Увеличение доли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50%</w:t>
            </w:r>
          </w:p>
        </w:tc>
      </w:tr>
    </w:tbl>
    <w:p w14:paraId="71B25C16" w14:textId="77777777" w:rsidR="00454A29" w:rsidRDefault="00454A29">
      <w:pPr>
        <w:pStyle w:val="ConsPlusNormal"/>
      </w:pPr>
    </w:p>
    <w:p w14:paraId="6283BB6A" w14:textId="77777777" w:rsidR="00454A29" w:rsidRDefault="00454A29">
      <w:pPr>
        <w:pStyle w:val="ConsPlusTitle"/>
        <w:jc w:val="center"/>
        <w:outlineLvl w:val="1"/>
      </w:pPr>
      <w:r>
        <w:t>Паспорт подпрограммы N 6</w:t>
      </w:r>
    </w:p>
    <w:p w14:paraId="72B9C26C" w14:textId="77777777" w:rsidR="00454A29" w:rsidRDefault="00454A29">
      <w:pPr>
        <w:pStyle w:val="ConsPlusTitle"/>
        <w:jc w:val="center"/>
      </w:pPr>
      <w:r>
        <w:t>"Отдых детей и их оздоровление"</w:t>
      </w:r>
    </w:p>
    <w:p w14:paraId="5B649F2C"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4389F2CA" w14:textId="77777777">
        <w:tc>
          <w:tcPr>
            <w:tcW w:w="2835" w:type="dxa"/>
          </w:tcPr>
          <w:p w14:paraId="3E3B313A" w14:textId="77777777" w:rsidR="00454A29" w:rsidRDefault="00454A29">
            <w:pPr>
              <w:pStyle w:val="ConsPlusNormal"/>
            </w:pPr>
            <w:r>
              <w:t>Наименование подпрограммы</w:t>
            </w:r>
          </w:p>
        </w:tc>
        <w:tc>
          <w:tcPr>
            <w:tcW w:w="6236" w:type="dxa"/>
          </w:tcPr>
          <w:p w14:paraId="7FDC5A87" w14:textId="77777777" w:rsidR="00454A29" w:rsidRDefault="00454A29">
            <w:pPr>
              <w:pStyle w:val="ConsPlusNormal"/>
              <w:jc w:val="both"/>
            </w:pPr>
            <w:r>
              <w:t>Отдых детей и их оздоровление</w:t>
            </w:r>
          </w:p>
        </w:tc>
      </w:tr>
      <w:tr w:rsidR="00454A29" w14:paraId="4A7AAEBA" w14:textId="77777777">
        <w:tc>
          <w:tcPr>
            <w:tcW w:w="2835" w:type="dxa"/>
          </w:tcPr>
          <w:p w14:paraId="1E341211" w14:textId="77777777" w:rsidR="00454A29" w:rsidRDefault="00454A29">
            <w:pPr>
              <w:pStyle w:val="ConsPlusNormal"/>
            </w:pPr>
            <w:r>
              <w:t>Ответственный исполнитель подпрограммы</w:t>
            </w:r>
          </w:p>
        </w:tc>
        <w:tc>
          <w:tcPr>
            <w:tcW w:w="6236" w:type="dxa"/>
          </w:tcPr>
          <w:p w14:paraId="4EA5D21E" w14:textId="77777777" w:rsidR="00454A29" w:rsidRDefault="00454A29">
            <w:pPr>
              <w:pStyle w:val="ConsPlusNormal"/>
              <w:jc w:val="both"/>
            </w:pPr>
            <w:r>
              <w:t>Министерство образования и науки Республики Саха (Якутия)</w:t>
            </w:r>
          </w:p>
        </w:tc>
      </w:tr>
      <w:tr w:rsidR="00454A29" w14:paraId="272F31BC" w14:textId="77777777">
        <w:tc>
          <w:tcPr>
            <w:tcW w:w="2835" w:type="dxa"/>
          </w:tcPr>
          <w:p w14:paraId="5F8DE9A3" w14:textId="77777777" w:rsidR="00454A29" w:rsidRDefault="00454A29">
            <w:pPr>
              <w:pStyle w:val="ConsPlusNormal"/>
            </w:pPr>
            <w:r>
              <w:t>Соисполнители подпрограммы</w:t>
            </w:r>
          </w:p>
        </w:tc>
        <w:tc>
          <w:tcPr>
            <w:tcW w:w="6236" w:type="dxa"/>
          </w:tcPr>
          <w:p w14:paraId="62490AC6" w14:textId="77777777" w:rsidR="00454A29" w:rsidRDefault="00454A29">
            <w:pPr>
              <w:pStyle w:val="ConsPlusNormal"/>
              <w:jc w:val="both"/>
            </w:pPr>
            <w:r>
              <w:t>-</w:t>
            </w:r>
          </w:p>
        </w:tc>
      </w:tr>
      <w:tr w:rsidR="00454A29" w14:paraId="2B2F956B" w14:textId="77777777">
        <w:tc>
          <w:tcPr>
            <w:tcW w:w="2835" w:type="dxa"/>
          </w:tcPr>
          <w:p w14:paraId="5893D109" w14:textId="77777777" w:rsidR="00454A29" w:rsidRDefault="00454A29">
            <w:pPr>
              <w:pStyle w:val="ConsPlusNormal"/>
            </w:pPr>
            <w:r>
              <w:t>Участники подпрограммы</w:t>
            </w:r>
          </w:p>
        </w:tc>
        <w:tc>
          <w:tcPr>
            <w:tcW w:w="6236" w:type="dxa"/>
          </w:tcPr>
          <w:p w14:paraId="39C73B02" w14:textId="77777777" w:rsidR="00454A29" w:rsidRDefault="00454A29">
            <w:pPr>
              <w:pStyle w:val="ConsPlusNormal"/>
              <w:jc w:val="both"/>
            </w:pPr>
            <w:r>
              <w:t>Органы местного самоуправления муниципальных районов и городских округов Республики Саха (Якутия)</w:t>
            </w:r>
          </w:p>
        </w:tc>
      </w:tr>
      <w:tr w:rsidR="00454A29" w14:paraId="66DECF06" w14:textId="77777777">
        <w:tc>
          <w:tcPr>
            <w:tcW w:w="2835" w:type="dxa"/>
          </w:tcPr>
          <w:p w14:paraId="5B83ED9B" w14:textId="77777777" w:rsidR="00454A29" w:rsidRDefault="00454A29">
            <w:pPr>
              <w:pStyle w:val="ConsPlusNormal"/>
            </w:pPr>
            <w:r>
              <w:t>Цель подпрограммы</w:t>
            </w:r>
          </w:p>
        </w:tc>
        <w:tc>
          <w:tcPr>
            <w:tcW w:w="6236" w:type="dxa"/>
          </w:tcPr>
          <w:p w14:paraId="6F3F34F0" w14:textId="77777777" w:rsidR="00454A29" w:rsidRDefault="00454A29">
            <w:pPr>
              <w:pStyle w:val="ConsPlusNormal"/>
              <w:jc w:val="both"/>
            </w:pPr>
            <w:r>
              <w:t>Обеспечение доступности отдыха и оздоровления детей</w:t>
            </w:r>
          </w:p>
        </w:tc>
      </w:tr>
      <w:tr w:rsidR="00454A29" w14:paraId="05F877DD" w14:textId="77777777">
        <w:tc>
          <w:tcPr>
            <w:tcW w:w="2835" w:type="dxa"/>
          </w:tcPr>
          <w:p w14:paraId="0CB9127E" w14:textId="77777777" w:rsidR="00454A29" w:rsidRDefault="00454A29">
            <w:pPr>
              <w:pStyle w:val="ConsPlusNormal"/>
            </w:pPr>
            <w:r>
              <w:t>Задачи подпрограммы</w:t>
            </w:r>
          </w:p>
        </w:tc>
        <w:tc>
          <w:tcPr>
            <w:tcW w:w="6236" w:type="dxa"/>
          </w:tcPr>
          <w:p w14:paraId="3307222C" w14:textId="77777777" w:rsidR="00454A29" w:rsidRDefault="00454A29">
            <w:pPr>
              <w:pStyle w:val="ConsPlusNormal"/>
              <w:jc w:val="both"/>
            </w:pPr>
            <w:r>
              <w:t>1. Реализация комплекса мер по организации отдыха детей и их оздоровления.</w:t>
            </w:r>
          </w:p>
          <w:p w14:paraId="33B6C6E1" w14:textId="77777777" w:rsidR="00454A29" w:rsidRDefault="00454A29">
            <w:pPr>
              <w:pStyle w:val="ConsPlusNormal"/>
              <w:jc w:val="both"/>
            </w:pPr>
            <w:r>
              <w:t>2. Обеспечение инфраструктурой для организации отдыха и оздоровления детей</w:t>
            </w:r>
          </w:p>
        </w:tc>
      </w:tr>
      <w:tr w:rsidR="00454A29" w14:paraId="5AFB149B" w14:textId="77777777">
        <w:tc>
          <w:tcPr>
            <w:tcW w:w="2835" w:type="dxa"/>
          </w:tcPr>
          <w:p w14:paraId="281B0FC3" w14:textId="77777777" w:rsidR="00454A29" w:rsidRDefault="00454A29">
            <w:pPr>
              <w:pStyle w:val="ConsPlusNormal"/>
            </w:pPr>
            <w:r>
              <w:t>Целевые показатели (индикаторы) подпрограммы</w:t>
            </w:r>
          </w:p>
        </w:tc>
        <w:tc>
          <w:tcPr>
            <w:tcW w:w="6236" w:type="dxa"/>
          </w:tcPr>
          <w:p w14:paraId="31386157" w14:textId="77777777" w:rsidR="00454A29" w:rsidRDefault="00454A29">
            <w:pPr>
              <w:pStyle w:val="ConsPlusNormal"/>
              <w:jc w:val="both"/>
            </w:pPr>
            <w:r>
              <w:t>Доля обучающихся 1 - 11 классов, охваченных отдыхом и оздоровлением в общей численности обучающихся 1 - 11 классов: в 2020 году - 50,5%, в 2021 году - 50,5%, в 2022 году - 50,5%, в 2023 году - 50,5%, в 2024 году - 50,5%</w:t>
            </w:r>
          </w:p>
        </w:tc>
      </w:tr>
      <w:tr w:rsidR="00454A29" w14:paraId="5B4A6DDD" w14:textId="77777777">
        <w:tc>
          <w:tcPr>
            <w:tcW w:w="2835" w:type="dxa"/>
          </w:tcPr>
          <w:p w14:paraId="6D525B84" w14:textId="77777777" w:rsidR="00454A29" w:rsidRDefault="00454A29">
            <w:pPr>
              <w:pStyle w:val="ConsPlusNormal"/>
            </w:pPr>
            <w:r>
              <w:t>Сроки реализации подпрограммы</w:t>
            </w:r>
          </w:p>
        </w:tc>
        <w:tc>
          <w:tcPr>
            <w:tcW w:w="6236" w:type="dxa"/>
          </w:tcPr>
          <w:p w14:paraId="0B8DD5A9" w14:textId="77777777" w:rsidR="00454A29" w:rsidRDefault="00454A29">
            <w:pPr>
              <w:pStyle w:val="ConsPlusNormal"/>
              <w:jc w:val="both"/>
            </w:pPr>
            <w:r>
              <w:t>2020 - 2024 годы</w:t>
            </w:r>
          </w:p>
        </w:tc>
      </w:tr>
      <w:tr w:rsidR="00454A29" w14:paraId="3A600C10" w14:textId="77777777">
        <w:tc>
          <w:tcPr>
            <w:tcW w:w="2835" w:type="dxa"/>
          </w:tcPr>
          <w:p w14:paraId="51659D56" w14:textId="77777777" w:rsidR="00454A29" w:rsidRDefault="00454A29">
            <w:pPr>
              <w:pStyle w:val="ConsPlusNormal"/>
            </w:pPr>
            <w:r>
              <w:t>Объем финансового обеспечения подпрограммы</w:t>
            </w:r>
          </w:p>
        </w:tc>
        <w:tc>
          <w:tcPr>
            <w:tcW w:w="6236" w:type="dxa"/>
          </w:tcPr>
          <w:p w14:paraId="4251D538" w14:textId="77777777" w:rsidR="00454A29" w:rsidRDefault="00454A29">
            <w:pPr>
              <w:pStyle w:val="ConsPlusNormal"/>
              <w:jc w:val="both"/>
            </w:pPr>
            <w:r>
              <w:t>Объем финансового обеспечения подпрограммы - 745 840 тыс. руб., в том числе по годам:</w:t>
            </w:r>
          </w:p>
          <w:p w14:paraId="586D8B2D" w14:textId="77777777" w:rsidR="00454A29" w:rsidRDefault="00454A29">
            <w:pPr>
              <w:pStyle w:val="ConsPlusNormal"/>
              <w:jc w:val="both"/>
            </w:pPr>
            <w:r>
              <w:t>2020 год - 148 756 тыс. руб.;</w:t>
            </w:r>
          </w:p>
          <w:p w14:paraId="7D812246" w14:textId="77777777" w:rsidR="00454A29" w:rsidRDefault="00454A29">
            <w:pPr>
              <w:pStyle w:val="ConsPlusNormal"/>
              <w:jc w:val="both"/>
            </w:pPr>
            <w:r>
              <w:t>2021 год - 148 756 тыс. руб.;</w:t>
            </w:r>
          </w:p>
          <w:p w14:paraId="5E0CCAF8" w14:textId="77777777" w:rsidR="00454A29" w:rsidRDefault="00454A29">
            <w:pPr>
              <w:pStyle w:val="ConsPlusNormal"/>
              <w:jc w:val="both"/>
            </w:pPr>
            <w:r>
              <w:t>2022 год - 148 756 тыс. руб.;</w:t>
            </w:r>
          </w:p>
          <w:p w14:paraId="2BD36988" w14:textId="77777777" w:rsidR="00454A29" w:rsidRDefault="00454A29">
            <w:pPr>
              <w:pStyle w:val="ConsPlusNormal"/>
              <w:jc w:val="both"/>
            </w:pPr>
            <w:r>
              <w:t>2023 год - 149 786 тыс. руб.;</w:t>
            </w:r>
          </w:p>
          <w:p w14:paraId="68844D49" w14:textId="77777777" w:rsidR="00454A29" w:rsidRDefault="00454A29">
            <w:pPr>
              <w:pStyle w:val="ConsPlusNormal"/>
              <w:jc w:val="both"/>
            </w:pPr>
            <w:r>
              <w:t>2024 год - 149 786 тыс. руб.;</w:t>
            </w:r>
          </w:p>
          <w:p w14:paraId="3695E347" w14:textId="77777777" w:rsidR="00454A29" w:rsidRDefault="00454A29">
            <w:pPr>
              <w:pStyle w:val="ConsPlusNormal"/>
              <w:jc w:val="both"/>
            </w:pPr>
            <w:r>
              <w:t>а) за счет средств государственного бюджета Республики Саха (Якутия) - 745 840 тыс. руб., в том числе по годам:</w:t>
            </w:r>
          </w:p>
          <w:p w14:paraId="2F3CFB01" w14:textId="77777777" w:rsidR="00454A29" w:rsidRDefault="00454A29">
            <w:pPr>
              <w:pStyle w:val="ConsPlusNormal"/>
              <w:jc w:val="both"/>
            </w:pPr>
            <w:r>
              <w:lastRenderedPageBreak/>
              <w:t>2020 год - 148 756 тыс. руб.;</w:t>
            </w:r>
          </w:p>
          <w:p w14:paraId="51761188" w14:textId="77777777" w:rsidR="00454A29" w:rsidRDefault="00454A29">
            <w:pPr>
              <w:pStyle w:val="ConsPlusNormal"/>
              <w:jc w:val="both"/>
            </w:pPr>
            <w:r>
              <w:t>2021 год - 148 756 тыс. руб.;</w:t>
            </w:r>
          </w:p>
          <w:p w14:paraId="398B62C7" w14:textId="77777777" w:rsidR="00454A29" w:rsidRDefault="00454A29">
            <w:pPr>
              <w:pStyle w:val="ConsPlusNormal"/>
              <w:jc w:val="both"/>
            </w:pPr>
            <w:r>
              <w:t>2022 год - 148 756 тыс. руб.;</w:t>
            </w:r>
          </w:p>
          <w:p w14:paraId="33593400" w14:textId="77777777" w:rsidR="00454A29" w:rsidRDefault="00454A29">
            <w:pPr>
              <w:pStyle w:val="ConsPlusNormal"/>
              <w:jc w:val="both"/>
            </w:pPr>
            <w:r>
              <w:t>2023 год - 149 786 тыс. руб.;</w:t>
            </w:r>
          </w:p>
          <w:p w14:paraId="002CB753" w14:textId="77777777" w:rsidR="00454A29" w:rsidRDefault="00454A29">
            <w:pPr>
              <w:pStyle w:val="ConsPlusNormal"/>
              <w:jc w:val="both"/>
            </w:pPr>
            <w:r>
              <w:t>2024 год - 149 786 тыс. руб.;</w:t>
            </w:r>
          </w:p>
          <w:p w14:paraId="4E819E07" w14:textId="77777777" w:rsidR="00454A29" w:rsidRDefault="00454A29">
            <w:pPr>
              <w:pStyle w:val="ConsPlusNormal"/>
              <w:jc w:val="both"/>
            </w:pPr>
            <w:r>
              <w:t>б) за счет средств федерального бюджета - 0 тыс. руб., в том числе по годам:</w:t>
            </w:r>
          </w:p>
          <w:p w14:paraId="5D985932" w14:textId="77777777" w:rsidR="00454A29" w:rsidRDefault="00454A29">
            <w:pPr>
              <w:pStyle w:val="ConsPlusNormal"/>
              <w:jc w:val="both"/>
            </w:pPr>
            <w:r>
              <w:t>2020 год - 0 тыс. руб.;</w:t>
            </w:r>
          </w:p>
          <w:p w14:paraId="38A2B58C" w14:textId="77777777" w:rsidR="00454A29" w:rsidRDefault="00454A29">
            <w:pPr>
              <w:pStyle w:val="ConsPlusNormal"/>
              <w:jc w:val="both"/>
            </w:pPr>
            <w:r>
              <w:t>2021 год - 0 тыс. руб.;</w:t>
            </w:r>
          </w:p>
          <w:p w14:paraId="551B824A" w14:textId="77777777" w:rsidR="00454A29" w:rsidRDefault="00454A29">
            <w:pPr>
              <w:pStyle w:val="ConsPlusNormal"/>
              <w:jc w:val="both"/>
            </w:pPr>
            <w:r>
              <w:t>2022 год - 0 тыс. руб.;</w:t>
            </w:r>
          </w:p>
          <w:p w14:paraId="1B624732" w14:textId="77777777" w:rsidR="00454A29" w:rsidRDefault="00454A29">
            <w:pPr>
              <w:pStyle w:val="ConsPlusNormal"/>
              <w:jc w:val="both"/>
            </w:pPr>
            <w:r>
              <w:t>2023 год - 0 тыс. руб.;</w:t>
            </w:r>
          </w:p>
          <w:p w14:paraId="24521BBD" w14:textId="77777777" w:rsidR="00454A29" w:rsidRDefault="00454A29">
            <w:pPr>
              <w:pStyle w:val="ConsPlusNormal"/>
              <w:jc w:val="both"/>
            </w:pPr>
            <w:r>
              <w:t>2024 год - 0 тыс. руб.;</w:t>
            </w:r>
          </w:p>
          <w:p w14:paraId="7CFEDB94" w14:textId="77777777" w:rsidR="00454A29" w:rsidRDefault="00454A29">
            <w:pPr>
              <w:pStyle w:val="ConsPlusNormal"/>
              <w:jc w:val="both"/>
            </w:pPr>
            <w:r>
              <w:t>в) за счет средств местных бюджетов - 0 тыс. руб., в том числе по годам:</w:t>
            </w:r>
          </w:p>
          <w:p w14:paraId="583AA643" w14:textId="77777777" w:rsidR="00454A29" w:rsidRDefault="00454A29">
            <w:pPr>
              <w:pStyle w:val="ConsPlusNormal"/>
              <w:jc w:val="both"/>
            </w:pPr>
            <w:r>
              <w:t>2020 год - 0 тыс. руб.;</w:t>
            </w:r>
          </w:p>
          <w:p w14:paraId="5D094EF3" w14:textId="77777777" w:rsidR="00454A29" w:rsidRDefault="00454A29">
            <w:pPr>
              <w:pStyle w:val="ConsPlusNormal"/>
              <w:jc w:val="both"/>
            </w:pPr>
            <w:r>
              <w:t>2021 год - 0 тыс. руб.;</w:t>
            </w:r>
          </w:p>
          <w:p w14:paraId="4926AEB9" w14:textId="77777777" w:rsidR="00454A29" w:rsidRDefault="00454A29">
            <w:pPr>
              <w:pStyle w:val="ConsPlusNormal"/>
              <w:jc w:val="both"/>
            </w:pPr>
            <w:r>
              <w:t>2022 год - 0 тыс. руб.;</w:t>
            </w:r>
          </w:p>
          <w:p w14:paraId="6C09BF01" w14:textId="77777777" w:rsidR="00454A29" w:rsidRDefault="00454A29">
            <w:pPr>
              <w:pStyle w:val="ConsPlusNormal"/>
              <w:jc w:val="both"/>
            </w:pPr>
            <w:r>
              <w:t>2023 год - 0 тыс. руб.;</w:t>
            </w:r>
          </w:p>
          <w:p w14:paraId="4CF1745C" w14:textId="77777777" w:rsidR="00454A29" w:rsidRDefault="00454A29">
            <w:pPr>
              <w:pStyle w:val="ConsPlusNormal"/>
              <w:jc w:val="both"/>
            </w:pPr>
            <w:r>
              <w:t>2024 год - 0 тыс. руб.;</w:t>
            </w:r>
          </w:p>
          <w:p w14:paraId="6609D5F2" w14:textId="77777777" w:rsidR="00454A29" w:rsidRDefault="00454A29">
            <w:pPr>
              <w:pStyle w:val="ConsPlusNormal"/>
              <w:jc w:val="both"/>
            </w:pPr>
            <w:r>
              <w:t>г) за счет внебюджетных средств - 0 тыс. руб., в том числе по годам:</w:t>
            </w:r>
          </w:p>
          <w:p w14:paraId="22618DAA" w14:textId="77777777" w:rsidR="00454A29" w:rsidRDefault="00454A29">
            <w:pPr>
              <w:pStyle w:val="ConsPlusNormal"/>
              <w:jc w:val="both"/>
            </w:pPr>
            <w:r>
              <w:t>2020 год - 0 тыс. руб.;</w:t>
            </w:r>
          </w:p>
          <w:p w14:paraId="13848A0D" w14:textId="77777777" w:rsidR="00454A29" w:rsidRDefault="00454A29">
            <w:pPr>
              <w:pStyle w:val="ConsPlusNormal"/>
              <w:jc w:val="both"/>
            </w:pPr>
            <w:r>
              <w:t>2021 год - 0 тыс. руб.;</w:t>
            </w:r>
          </w:p>
          <w:p w14:paraId="5EB0DFA6" w14:textId="77777777" w:rsidR="00454A29" w:rsidRDefault="00454A29">
            <w:pPr>
              <w:pStyle w:val="ConsPlusNormal"/>
              <w:jc w:val="both"/>
            </w:pPr>
            <w:r>
              <w:t>2022 год - 0 тыс. руб.;</w:t>
            </w:r>
          </w:p>
          <w:p w14:paraId="4280D5B8" w14:textId="77777777" w:rsidR="00454A29" w:rsidRDefault="00454A29">
            <w:pPr>
              <w:pStyle w:val="ConsPlusNormal"/>
              <w:jc w:val="both"/>
            </w:pPr>
            <w:r>
              <w:t>2023 год - 0 тыс. руб.;</w:t>
            </w:r>
          </w:p>
          <w:p w14:paraId="6393DBB1" w14:textId="77777777" w:rsidR="00454A29" w:rsidRDefault="00454A29">
            <w:pPr>
              <w:pStyle w:val="ConsPlusNormal"/>
              <w:jc w:val="both"/>
            </w:pPr>
            <w:r>
              <w:t>2024 год - 0 тыс. руб.</w:t>
            </w:r>
          </w:p>
        </w:tc>
      </w:tr>
      <w:tr w:rsidR="00454A29" w14:paraId="309DF593" w14:textId="77777777">
        <w:tc>
          <w:tcPr>
            <w:tcW w:w="2835" w:type="dxa"/>
          </w:tcPr>
          <w:p w14:paraId="11BB97D5" w14:textId="77777777" w:rsidR="00454A29" w:rsidRDefault="00454A29">
            <w:pPr>
              <w:pStyle w:val="ConsPlusNormal"/>
            </w:pPr>
            <w:r>
              <w:lastRenderedPageBreak/>
              <w:t>Ожидаемый результат реализации подпрограммы</w:t>
            </w:r>
          </w:p>
        </w:tc>
        <w:tc>
          <w:tcPr>
            <w:tcW w:w="6236" w:type="dxa"/>
          </w:tcPr>
          <w:p w14:paraId="64BC8DEF" w14:textId="77777777" w:rsidR="00454A29" w:rsidRDefault="00454A29">
            <w:pPr>
              <w:pStyle w:val="ConsPlusNormal"/>
              <w:jc w:val="both"/>
            </w:pPr>
            <w:r>
              <w:t>Сохранение доли обучающихся 1 - 11 классов, охваченных отдыхом и оздоровлением в общей численности обучающихся 1 - 11 классов, на уровне 50,5%</w:t>
            </w:r>
          </w:p>
        </w:tc>
      </w:tr>
    </w:tbl>
    <w:p w14:paraId="36E2C386" w14:textId="77777777" w:rsidR="00454A29" w:rsidRDefault="00454A29">
      <w:pPr>
        <w:pStyle w:val="ConsPlusNormal"/>
      </w:pPr>
    </w:p>
    <w:p w14:paraId="3473AB38" w14:textId="77777777" w:rsidR="00454A29" w:rsidRDefault="00454A29">
      <w:pPr>
        <w:pStyle w:val="ConsPlusTitle"/>
        <w:jc w:val="center"/>
        <w:outlineLvl w:val="1"/>
      </w:pPr>
      <w:r>
        <w:t>Паспорт подпрограммы N 7</w:t>
      </w:r>
    </w:p>
    <w:p w14:paraId="547C5E61" w14:textId="77777777" w:rsidR="00454A29" w:rsidRDefault="00454A29">
      <w:pPr>
        <w:pStyle w:val="ConsPlusTitle"/>
        <w:jc w:val="center"/>
      </w:pPr>
      <w:r>
        <w:t>"Учительский рост"</w:t>
      </w:r>
    </w:p>
    <w:p w14:paraId="423DA3AD"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32C7C0F9" w14:textId="77777777">
        <w:tc>
          <w:tcPr>
            <w:tcW w:w="2835" w:type="dxa"/>
          </w:tcPr>
          <w:p w14:paraId="51BD0807" w14:textId="77777777" w:rsidR="00454A29" w:rsidRDefault="00454A29">
            <w:pPr>
              <w:pStyle w:val="ConsPlusNormal"/>
            </w:pPr>
            <w:r>
              <w:t>Наименование подпрограммы</w:t>
            </w:r>
          </w:p>
        </w:tc>
        <w:tc>
          <w:tcPr>
            <w:tcW w:w="6236" w:type="dxa"/>
          </w:tcPr>
          <w:p w14:paraId="5BE9C8C3" w14:textId="77777777" w:rsidR="00454A29" w:rsidRDefault="00454A29">
            <w:pPr>
              <w:pStyle w:val="ConsPlusNormal"/>
              <w:jc w:val="both"/>
            </w:pPr>
            <w:r>
              <w:t>Учительский рост</w:t>
            </w:r>
          </w:p>
        </w:tc>
      </w:tr>
      <w:tr w:rsidR="00454A29" w14:paraId="78602207" w14:textId="77777777">
        <w:tc>
          <w:tcPr>
            <w:tcW w:w="2835" w:type="dxa"/>
          </w:tcPr>
          <w:p w14:paraId="3442EC05" w14:textId="77777777" w:rsidR="00454A29" w:rsidRDefault="00454A29">
            <w:pPr>
              <w:pStyle w:val="ConsPlusNormal"/>
            </w:pPr>
            <w:r>
              <w:t>Ответственный исполнитель подпрограммы</w:t>
            </w:r>
          </w:p>
        </w:tc>
        <w:tc>
          <w:tcPr>
            <w:tcW w:w="6236" w:type="dxa"/>
          </w:tcPr>
          <w:p w14:paraId="06655450" w14:textId="77777777" w:rsidR="00454A29" w:rsidRDefault="00454A29">
            <w:pPr>
              <w:pStyle w:val="ConsPlusNormal"/>
              <w:jc w:val="both"/>
            </w:pPr>
            <w:r>
              <w:t>Министерство образования и науки Республики Саха (Якутия)</w:t>
            </w:r>
          </w:p>
        </w:tc>
      </w:tr>
      <w:tr w:rsidR="00454A29" w14:paraId="70399015" w14:textId="77777777">
        <w:tc>
          <w:tcPr>
            <w:tcW w:w="2835" w:type="dxa"/>
          </w:tcPr>
          <w:p w14:paraId="1B0663C0" w14:textId="77777777" w:rsidR="00454A29" w:rsidRDefault="00454A29">
            <w:pPr>
              <w:pStyle w:val="ConsPlusNormal"/>
            </w:pPr>
            <w:r>
              <w:t>Соисполнители подпрограммы</w:t>
            </w:r>
          </w:p>
        </w:tc>
        <w:tc>
          <w:tcPr>
            <w:tcW w:w="6236" w:type="dxa"/>
          </w:tcPr>
          <w:p w14:paraId="5F2D844E" w14:textId="77777777" w:rsidR="00454A29" w:rsidRDefault="00454A29">
            <w:pPr>
              <w:pStyle w:val="ConsPlusNormal"/>
              <w:jc w:val="both"/>
            </w:pPr>
            <w:r>
              <w:t>-</w:t>
            </w:r>
          </w:p>
        </w:tc>
      </w:tr>
      <w:tr w:rsidR="00454A29" w14:paraId="21389AE3" w14:textId="77777777">
        <w:tc>
          <w:tcPr>
            <w:tcW w:w="2835" w:type="dxa"/>
          </w:tcPr>
          <w:p w14:paraId="6B59571C" w14:textId="77777777" w:rsidR="00454A29" w:rsidRDefault="00454A29">
            <w:pPr>
              <w:pStyle w:val="ConsPlusNormal"/>
            </w:pPr>
            <w:r>
              <w:t>Участники подпрограммы</w:t>
            </w:r>
          </w:p>
        </w:tc>
        <w:tc>
          <w:tcPr>
            <w:tcW w:w="6236" w:type="dxa"/>
          </w:tcPr>
          <w:p w14:paraId="5D6FB326" w14:textId="77777777" w:rsidR="00454A29" w:rsidRDefault="00454A29">
            <w:pPr>
              <w:pStyle w:val="ConsPlusNormal"/>
              <w:jc w:val="both"/>
            </w:pPr>
            <w:r>
              <w:t>Органы местного самоуправления муниципальных районов и городских округов Республики Саха (Якутия)</w:t>
            </w:r>
          </w:p>
        </w:tc>
      </w:tr>
      <w:tr w:rsidR="00454A29" w14:paraId="33A27721" w14:textId="77777777">
        <w:tc>
          <w:tcPr>
            <w:tcW w:w="2835" w:type="dxa"/>
          </w:tcPr>
          <w:p w14:paraId="139AC764" w14:textId="77777777" w:rsidR="00454A29" w:rsidRDefault="00454A29">
            <w:pPr>
              <w:pStyle w:val="ConsPlusNormal"/>
            </w:pPr>
            <w:r>
              <w:t>Цель подпрограммы</w:t>
            </w:r>
          </w:p>
        </w:tc>
        <w:tc>
          <w:tcPr>
            <w:tcW w:w="6236" w:type="dxa"/>
          </w:tcPr>
          <w:p w14:paraId="33E00166" w14:textId="77777777" w:rsidR="00454A29" w:rsidRDefault="00454A29">
            <w:pPr>
              <w:pStyle w:val="ConsPlusNormal"/>
              <w:jc w:val="both"/>
            </w:pPr>
            <w:r>
              <w:t>Создание условий для развития и укрепления потенциала педагогических работников</w:t>
            </w:r>
          </w:p>
        </w:tc>
      </w:tr>
      <w:tr w:rsidR="00454A29" w14:paraId="699F221E" w14:textId="77777777">
        <w:tc>
          <w:tcPr>
            <w:tcW w:w="2835" w:type="dxa"/>
          </w:tcPr>
          <w:p w14:paraId="7AC0F4FE" w14:textId="77777777" w:rsidR="00454A29" w:rsidRDefault="00454A29">
            <w:pPr>
              <w:pStyle w:val="ConsPlusNormal"/>
            </w:pPr>
            <w:r>
              <w:t>Задачи подпрограммы</w:t>
            </w:r>
          </w:p>
        </w:tc>
        <w:tc>
          <w:tcPr>
            <w:tcW w:w="6236" w:type="dxa"/>
          </w:tcPr>
          <w:p w14:paraId="5783A377" w14:textId="77777777" w:rsidR="00454A29" w:rsidRDefault="00454A29">
            <w:pPr>
              <w:pStyle w:val="ConsPlusNormal"/>
              <w:jc w:val="both"/>
            </w:pPr>
            <w:r>
              <w:t>1. Осуществление мер по повышению престижа работников системы образования.</w:t>
            </w:r>
          </w:p>
          <w:p w14:paraId="7022FB59" w14:textId="77777777" w:rsidR="00454A29" w:rsidRDefault="00454A29">
            <w:pPr>
              <w:pStyle w:val="ConsPlusNormal"/>
              <w:jc w:val="both"/>
            </w:pPr>
            <w:r>
              <w:t>2. Формирование региональной системы непрерывного педагогического образования.</w:t>
            </w:r>
          </w:p>
          <w:p w14:paraId="09116D7C" w14:textId="77777777" w:rsidR="00454A29" w:rsidRDefault="00454A29">
            <w:pPr>
              <w:pStyle w:val="ConsPlusNormal"/>
              <w:jc w:val="both"/>
            </w:pPr>
            <w:r>
              <w:lastRenderedPageBreak/>
              <w:t>3. Реализация регионального проекта "Учитель будущего".</w:t>
            </w:r>
          </w:p>
          <w:p w14:paraId="7CA1F41A" w14:textId="77777777" w:rsidR="00454A29" w:rsidRDefault="00454A29">
            <w:pPr>
              <w:pStyle w:val="ConsPlusNormal"/>
              <w:jc w:val="both"/>
            </w:pPr>
            <w:r>
              <w:t>4. Реализация программы "Земский учитель".</w:t>
            </w:r>
          </w:p>
          <w:p w14:paraId="6C1E8347" w14:textId="77777777" w:rsidR="00454A29" w:rsidRDefault="00454A29">
            <w:pPr>
              <w:pStyle w:val="ConsPlusNormal"/>
              <w:jc w:val="both"/>
            </w:pPr>
            <w:r>
              <w:t>5. Реализация проекта "Учитель Арктики"</w:t>
            </w:r>
          </w:p>
        </w:tc>
      </w:tr>
      <w:tr w:rsidR="00454A29" w14:paraId="07DC0128" w14:textId="77777777">
        <w:tc>
          <w:tcPr>
            <w:tcW w:w="2835" w:type="dxa"/>
          </w:tcPr>
          <w:p w14:paraId="18ECC553" w14:textId="77777777" w:rsidR="00454A29" w:rsidRDefault="00454A29">
            <w:pPr>
              <w:pStyle w:val="ConsPlusNormal"/>
            </w:pPr>
            <w:r>
              <w:lastRenderedPageBreak/>
              <w:t>Целевые показатели (индикаторы) подпрограммы</w:t>
            </w:r>
          </w:p>
        </w:tc>
        <w:tc>
          <w:tcPr>
            <w:tcW w:w="6236" w:type="dxa"/>
          </w:tcPr>
          <w:p w14:paraId="4E5AAE42" w14:textId="77777777" w:rsidR="00454A29" w:rsidRDefault="00454A29">
            <w:pPr>
              <w:pStyle w:val="ConsPlusNormal"/>
              <w:jc w:val="both"/>
            </w:pPr>
            <w:r>
              <w:t>Доля педагогических работников, прошедших переподготовку и повышение квалификации, от общего количества педагогических работников: в 2020 году - 30%, в 2021 году - 35%, в 2022 году - 40%, в 2023 году - 45%, в 2024 году - 50%</w:t>
            </w:r>
          </w:p>
        </w:tc>
      </w:tr>
      <w:tr w:rsidR="00454A29" w14:paraId="60470AC6" w14:textId="77777777">
        <w:tc>
          <w:tcPr>
            <w:tcW w:w="2835" w:type="dxa"/>
          </w:tcPr>
          <w:p w14:paraId="1E251394" w14:textId="77777777" w:rsidR="00454A29" w:rsidRDefault="00454A29">
            <w:pPr>
              <w:pStyle w:val="ConsPlusNormal"/>
            </w:pPr>
            <w:r>
              <w:t>Сроки реализации подпрограммы</w:t>
            </w:r>
          </w:p>
        </w:tc>
        <w:tc>
          <w:tcPr>
            <w:tcW w:w="6236" w:type="dxa"/>
          </w:tcPr>
          <w:p w14:paraId="0F6CE983" w14:textId="77777777" w:rsidR="00454A29" w:rsidRDefault="00454A29">
            <w:pPr>
              <w:pStyle w:val="ConsPlusNormal"/>
              <w:jc w:val="both"/>
            </w:pPr>
            <w:r>
              <w:t>2020 - 2024 годы</w:t>
            </w:r>
          </w:p>
        </w:tc>
      </w:tr>
      <w:tr w:rsidR="00454A29" w14:paraId="7635BE4B" w14:textId="77777777">
        <w:tc>
          <w:tcPr>
            <w:tcW w:w="2835" w:type="dxa"/>
          </w:tcPr>
          <w:p w14:paraId="20753303" w14:textId="77777777" w:rsidR="00454A29" w:rsidRDefault="00454A29">
            <w:pPr>
              <w:pStyle w:val="ConsPlusNormal"/>
            </w:pPr>
            <w:r>
              <w:t>Объем финансового обеспечения подпрограммы</w:t>
            </w:r>
          </w:p>
        </w:tc>
        <w:tc>
          <w:tcPr>
            <w:tcW w:w="6236" w:type="dxa"/>
          </w:tcPr>
          <w:p w14:paraId="4B32AED7" w14:textId="77777777" w:rsidR="00454A29" w:rsidRDefault="00454A29">
            <w:pPr>
              <w:pStyle w:val="ConsPlusNormal"/>
              <w:jc w:val="both"/>
            </w:pPr>
            <w:r>
              <w:t>Объем финансового обеспечения подпрограммы - 1 058 950 тыс. руб., в том числе по годам:</w:t>
            </w:r>
          </w:p>
          <w:p w14:paraId="726A4325" w14:textId="77777777" w:rsidR="00454A29" w:rsidRDefault="00454A29">
            <w:pPr>
              <w:pStyle w:val="ConsPlusNormal"/>
              <w:jc w:val="both"/>
            </w:pPr>
            <w:r>
              <w:t>2020 год - 208 436 тыс. руб.;</w:t>
            </w:r>
          </w:p>
          <w:p w14:paraId="719EE8DC" w14:textId="77777777" w:rsidR="00454A29" w:rsidRDefault="00454A29">
            <w:pPr>
              <w:pStyle w:val="ConsPlusNormal"/>
              <w:jc w:val="both"/>
            </w:pPr>
            <w:r>
              <w:t>2021 год - 208 436 тыс. руб.;</w:t>
            </w:r>
          </w:p>
          <w:p w14:paraId="78583B07" w14:textId="77777777" w:rsidR="00454A29" w:rsidRDefault="00454A29">
            <w:pPr>
              <w:pStyle w:val="ConsPlusNormal"/>
              <w:jc w:val="both"/>
            </w:pPr>
            <w:r>
              <w:t>2022 год - 208 336 тыс. руб.;</w:t>
            </w:r>
          </w:p>
          <w:p w14:paraId="6BDD662A" w14:textId="77777777" w:rsidR="00454A29" w:rsidRDefault="00454A29">
            <w:pPr>
              <w:pStyle w:val="ConsPlusNormal"/>
              <w:jc w:val="both"/>
            </w:pPr>
            <w:r>
              <w:t>2023 год - 216 871 тыс. руб.;</w:t>
            </w:r>
          </w:p>
          <w:p w14:paraId="27A54562" w14:textId="77777777" w:rsidR="00454A29" w:rsidRDefault="00454A29">
            <w:pPr>
              <w:pStyle w:val="ConsPlusNormal"/>
              <w:jc w:val="both"/>
            </w:pPr>
            <w:r>
              <w:t>2024 год - 216 871 тыс. руб.;</w:t>
            </w:r>
          </w:p>
          <w:p w14:paraId="0A637847" w14:textId="77777777" w:rsidR="00454A29" w:rsidRDefault="00454A29">
            <w:pPr>
              <w:pStyle w:val="ConsPlusNormal"/>
              <w:jc w:val="both"/>
            </w:pPr>
            <w:r>
              <w:t>а) за счет средств государственного бюджета Республики Саха (Якутия) - 1 058 950 тыс. руб., в том числе по годам:</w:t>
            </w:r>
          </w:p>
          <w:p w14:paraId="2509EDB2" w14:textId="77777777" w:rsidR="00454A29" w:rsidRDefault="00454A29">
            <w:pPr>
              <w:pStyle w:val="ConsPlusNormal"/>
              <w:jc w:val="both"/>
            </w:pPr>
            <w:r>
              <w:t>2020 год - 208 436 тыс. руб.;</w:t>
            </w:r>
          </w:p>
          <w:p w14:paraId="08F09E75" w14:textId="77777777" w:rsidR="00454A29" w:rsidRDefault="00454A29">
            <w:pPr>
              <w:pStyle w:val="ConsPlusNormal"/>
              <w:jc w:val="both"/>
            </w:pPr>
            <w:r>
              <w:t>2021 год - 208 436 тыс. руб.;</w:t>
            </w:r>
          </w:p>
          <w:p w14:paraId="11FBAB59" w14:textId="77777777" w:rsidR="00454A29" w:rsidRDefault="00454A29">
            <w:pPr>
              <w:pStyle w:val="ConsPlusNormal"/>
              <w:jc w:val="both"/>
            </w:pPr>
            <w:r>
              <w:t>2022 год - 208 336 тыс. руб.;</w:t>
            </w:r>
          </w:p>
          <w:p w14:paraId="7EE93BB0" w14:textId="77777777" w:rsidR="00454A29" w:rsidRDefault="00454A29">
            <w:pPr>
              <w:pStyle w:val="ConsPlusNormal"/>
              <w:jc w:val="both"/>
            </w:pPr>
            <w:r>
              <w:t>2023 год - 216 871 тыс. руб.;</w:t>
            </w:r>
          </w:p>
          <w:p w14:paraId="54A3BE48" w14:textId="77777777" w:rsidR="00454A29" w:rsidRDefault="00454A29">
            <w:pPr>
              <w:pStyle w:val="ConsPlusNormal"/>
              <w:jc w:val="both"/>
            </w:pPr>
            <w:r>
              <w:t>2024 год - 216 871 тыс. руб.;</w:t>
            </w:r>
          </w:p>
          <w:p w14:paraId="28C7A700" w14:textId="77777777" w:rsidR="00454A29" w:rsidRDefault="00454A29">
            <w:pPr>
              <w:pStyle w:val="ConsPlusNormal"/>
              <w:jc w:val="both"/>
            </w:pPr>
            <w:r>
              <w:t>б) за счет средств федерального бюджета - 0 тыс. руб., в том числе по годам:</w:t>
            </w:r>
          </w:p>
          <w:p w14:paraId="0E5E727C" w14:textId="77777777" w:rsidR="00454A29" w:rsidRDefault="00454A29">
            <w:pPr>
              <w:pStyle w:val="ConsPlusNormal"/>
              <w:jc w:val="both"/>
            </w:pPr>
            <w:r>
              <w:t>2020 год - 0 тыс. руб.;</w:t>
            </w:r>
          </w:p>
          <w:p w14:paraId="585ABD76" w14:textId="77777777" w:rsidR="00454A29" w:rsidRDefault="00454A29">
            <w:pPr>
              <w:pStyle w:val="ConsPlusNormal"/>
              <w:jc w:val="both"/>
            </w:pPr>
            <w:r>
              <w:t>2021 год - 0 тыс. руб.;</w:t>
            </w:r>
          </w:p>
          <w:p w14:paraId="2C233D79" w14:textId="77777777" w:rsidR="00454A29" w:rsidRDefault="00454A29">
            <w:pPr>
              <w:pStyle w:val="ConsPlusNormal"/>
              <w:jc w:val="both"/>
            </w:pPr>
            <w:r>
              <w:t>2022 год - 0 тыс. руб.;</w:t>
            </w:r>
          </w:p>
          <w:p w14:paraId="5EFA0A1F" w14:textId="77777777" w:rsidR="00454A29" w:rsidRDefault="00454A29">
            <w:pPr>
              <w:pStyle w:val="ConsPlusNormal"/>
              <w:jc w:val="both"/>
            </w:pPr>
            <w:r>
              <w:t>2023 год - 0 тыс. руб.;</w:t>
            </w:r>
          </w:p>
          <w:p w14:paraId="396325D2" w14:textId="77777777" w:rsidR="00454A29" w:rsidRDefault="00454A29">
            <w:pPr>
              <w:pStyle w:val="ConsPlusNormal"/>
              <w:jc w:val="both"/>
            </w:pPr>
            <w:r>
              <w:t>2024 год - 0 тыс. руб.;</w:t>
            </w:r>
          </w:p>
          <w:p w14:paraId="2BAECBF9" w14:textId="77777777" w:rsidR="00454A29" w:rsidRDefault="00454A29">
            <w:pPr>
              <w:pStyle w:val="ConsPlusNormal"/>
              <w:jc w:val="both"/>
            </w:pPr>
            <w:r>
              <w:t>в) за счет средств местных бюджетов - 0 тыс. руб., в том числе по годам:</w:t>
            </w:r>
          </w:p>
          <w:p w14:paraId="6BD3CB66" w14:textId="77777777" w:rsidR="00454A29" w:rsidRDefault="00454A29">
            <w:pPr>
              <w:pStyle w:val="ConsPlusNormal"/>
              <w:jc w:val="both"/>
            </w:pPr>
            <w:r>
              <w:t>2020 год - 0 тыс. руб.;</w:t>
            </w:r>
          </w:p>
          <w:p w14:paraId="372EEDE2" w14:textId="77777777" w:rsidR="00454A29" w:rsidRDefault="00454A29">
            <w:pPr>
              <w:pStyle w:val="ConsPlusNormal"/>
              <w:jc w:val="both"/>
            </w:pPr>
            <w:r>
              <w:t>2021 год - 0 тыс. руб.;</w:t>
            </w:r>
          </w:p>
          <w:p w14:paraId="1E68CB40" w14:textId="77777777" w:rsidR="00454A29" w:rsidRDefault="00454A29">
            <w:pPr>
              <w:pStyle w:val="ConsPlusNormal"/>
              <w:jc w:val="both"/>
            </w:pPr>
            <w:r>
              <w:t>2022 год - 0 тыс. руб.;</w:t>
            </w:r>
          </w:p>
          <w:p w14:paraId="354A090D" w14:textId="77777777" w:rsidR="00454A29" w:rsidRDefault="00454A29">
            <w:pPr>
              <w:pStyle w:val="ConsPlusNormal"/>
              <w:jc w:val="both"/>
            </w:pPr>
            <w:r>
              <w:t>2023 год - 0 тыс. руб.;</w:t>
            </w:r>
          </w:p>
          <w:p w14:paraId="744A1767" w14:textId="77777777" w:rsidR="00454A29" w:rsidRDefault="00454A29">
            <w:pPr>
              <w:pStyle w:val="ConsPlusNormal"/>
              <w:jc w:val="both"/>
            </w:pPr>
            <w:r>
              <w:t>2024 год - 0 тыс. руб.;</w:t>
            </w:r>
          </w:p>
          <w:p w14:paraId="5970C8E5" w14:textId="77777777" w:rsidR="00454A29" w:rsidRDefault="00454A29">
            <w:pPr>
              <w:pStyle w:val="ConsPlusNormal"/>
              <w:jc w:val="both"/>
            </w:pPr>
            <w:r>
              <w:t>г) за счет внебюджетных средств - 0 тыс. руб., в том числе по годам:</w:t>
            </w:r>
          </w:p>
          <w:p w14:paraId="56D7EA68" w14:textId="77777777" w:rsidR="00454A29" w:rsidRDefault="00454A29">
            <w:pPr>
              <w:pStyle w:val="ConsPlusNormal"/>
              <w:jc w:val="both"/>
            </w:pPr>
            <w:r>
              <w:t>2020 год - 0 тыс. руб.;</w:t>
            </w:r>
          </w:p>
          <w:p w14:paraId="3448833B" w14:textId="77777777" w:rsidR="00454A29" w:rsidRDefault="00454A29">
            <w:pPr>
              <w:pStyle w:val="ConsPlusNormal"/>
              <w:jc w:val="both"/>
            </w:pPr>
            <w:r>
              <w:t>2021 год - 0 тыс. руб.;</w:t>
            </w:r>
          </w:p>
          <w:p w14:paraId="5CDF340A" w14:textId="77777777" w:rsidR="00454A29" w:rsidRDefault="00454A29">
            <w:pPr>
              <w:pStyle w:val="ConsPlusNormal"/>
              <w:jc w:val="both"/>
            </w:pPr>
            <w:r>
              <w:t>2022 год - 0 тыс. руб.;</w:t>
            </w:r>
          </w:p>
          <w:p w14:paraId="79DC5A04" w14:textId="77777777" w:rsidR="00454A29" w:rsidRDefault="00454A29">
            <w:pPr>
              <w:pStyle w:val="ConsPlusNormal"/>
              <w:jc w:val="both"/>
            </w:pPr>
            <w:r>
              <w:t>2023 год - 0 тыс. руб.;</w:t>
            </w:r>
          </w:p>
          <w:p w14:paraId="15764B5C" w14:textId="77777777" w:rsidR="00454A29" w:rsidRDefault="00454A29">
            <w:pPr>
              <w:pStyle w:val="ConsPlusNormal"/>
              <w:jc w:val="both"/>
            </w:pPr>
            <w:r>
              <w:t>2024 год - 0 тыс. руб.</w:t>
            </w:r>
          </w:p>
        </w:tc>
      </w:tr>
      <w:tr w:rsidR="00454A29" w14:paraId="30275D53" w14:textId="77777777">
        <w:tc>
          <w:tcPr>
            <w:tcW w:w="2835" w:type="dxa"/>
          </w:tcPr>
          <w:p w14:paraId="06D23418" w14:textId="77777777" w:rsidR="00454A29" w:rsidRDefault="00454A29">
            <w:pPr>
              <w:pStyle w:val="ConsPlusNormal"/>
            </w:pPr>
            <w:r>
              <w:t>Ожидаемый результат реализации подпрограммы</w:t>
            </w:r>
          </w:p>
        </w:tc>
        <w:tc>
          <w:tcPr>
            <w:tcW w:w="6236" w:type="dxa"/>
          </w:tcPr>
          <w:p w14:paraId="49251F1C" w14:textId="77777777" w:rsidR="00454A29" w:rsidRDefault="00454A29">
            <w:pPr>
              <w:pStyle w:val="ConsPlusNormal"/>
              <w:jc w:val="both"/>
            </w:pPr>
            <w:r>
              <w:t>Увеличение доли педагогических работников, прошедших переподготовку и повышение квалификации, от общего количества педагогических работников, до 50%</w:t>
            </w:r>
          </w:p>
        </w:tc>
      </w:tr>
    </w:tbl>
    <w:p w14:paraId="7133FF0F" w14:textId="77777777" w:rsidR="00454A29" w:rsidRDefault="00454A29">
      <w:pPr>
        <w:pStyle w:val="ConsPlusNormal"/>
      </w:pPr>
    </w:p>
    <w:p w14:paraId="72CCCE58" w14:textId="77777777" w:rsidR="00454A29" w:rsidRDefault="00454A29">
      <w:pPr>
        <w:pStyle w:val="ConsPlusTitle"/>
        <w:jc w:val="center"/>
        <w:outlineLvl w:val="1"/>
      </w:pPr>
      <w:r>
        <w:t>Паспорт подпрограммы N 8</w:t>
      </w:r>
    </w:p>
    <w:p w14:paraId="3614F563" w14:textId="77777777" w:rsidR="00454A29" w:rsidRDefault="00454A29">
      <w:pPr>
        <w:pStyle w:val="ConsPlusTitle"/>
        <w:jc w:val="center"/>
      </w:pPr>
      <w:r>
        <w:t>"Дети Арктики и Севера"</w:t>
      </w:r>
    </w:p>
    <w:p w14:paraId="5D16B4B3"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6F09EA2A" w14:textId="77777777">
        <w:tc>
          <w:tcPr>
            <w:tcW w:w="2835" w:type="dxa"/>
          </w:tcPr>
          <w:p w14:paraId="4B1F19C8" w14:textId="77777777" w:rsidR="00454A29" w:rsidRDefault="00454A29">
            <w:pPr>
              <w:pStyle w:val="ConsPlusNormal"/>
            </w:pPr>
            <w:r>
              <w:t>Наименование подпрограммы</w:t>
            </w:r>
          </w:p>
        </w:tc>
        <w:tc>
          <w:tcPr>
            <w:tcW w:w="6236" w:type="dxa"/>
          </w:tcPr>
          <w:p w14:paraId="032CF6EF" w14:textId="77777777" w:rsidR="00454A29" w:rsidRDefault="00454A29">
            <w:pPr>
              <w:pStyle w:val="ConsPlusNormal"/>
              <w:jc w:val="both"/>
            </w:pPr>
            <w:r>
              <w:t>Дети Арктики и Севера</w:t>
            </w:r>
          </w:p>
        </w:tc>
      </w:tr>
      <w:tr w:rsidR="00454A29" w14:paraId="39612CB1" w14:textId="77777777">
        <w:tc>
          <w:tcPr>
            <w:tcW w:w="2835" w:type="dxa"/>
          </w:tcPr>
          <w:p w14:paraId="6A694811" w14:textId="77777777" w:rsidR="00454A29" w:rsidRDefault="00454A29">
            <w:pPr>
              <w:pStyle w:val="ConsPlusNormal"/>
            </w:pPr>
            <w:r>
              <w:t>Ответственный исполнитель подпрограммы</w:t>
            </w:r>
          </w:p>
        </w:tc>
        <w:tc>
          <w:tcPr>
            <w:tcW w:w="6236" w:type="dxa"/>
          </w:tcPr>
          <w:p w14:paraId="63FE99DA" w14:textId="77777777" w:rsidR="00454A29" w:rsidRDefault="00454A29">
            <w:pPr>
              <w:pStyle w:val="ConsPlusNormal"/>
              <w:jc w:val="both"/>
            </w:pPr>
            <w:r>
              <w:t>Министерство образования и науки Республики Саха (Якутия)</w:t>
            </w:r>
          </w:p>
        </w:tc>
      </w:tr>
      <w:tr w:rsidR="00454A29" w14:paraId="680EC843" w14:textId="77777777">
        <w:tc>
          <w:tcPr>
            <w:tcW w:w="2835" w:type="dxa"/>
          </w:tcPr>
          <w:p w14:paraId="5FFC5CBD" w14:textId="77777777" w:rsidR="00454A29" w:rsidRDefault="00454A29">
            <w:pPr>
              <w:pStyle w:val="ConsPlusNormal"/>
            </w:pPr>
            <w:r>
              <w:t>Соисполнитель подпрограммы</w:t>
            </w:r>
          </w:p>
        </w:tc>
        <w:tc>
          <w:tcPr>
            <w:tcW w:w="6236" w:type="dxa"/>
          </w:tcPr>
          <w:p w14:paraId="6F7EA1B6" w14:textId="77777777" w:rsidR="00454A29" w:rsidRDefault="00454A29">
            <w:pPr>
              <w:pStyle w:val="ConsPlusNormal"/>
              <w:jc w:val="both"/>
            </w:pPr>
            <w:r>
              <w:t>-</w:t>
            </w:r>
          </w:p>
        </w:tc>
      </w:tr>
      <w:tr w:rsidR="00454A29" w14:paraId="0398337B" w14:textId="77777777">
        <w:tc>
          <w:tcPr>
            <w:tcW w:w="2835" w:type="dxa"/>
          </w:tcPr>
          <w:p w14:paraId="1A25AA01" w14:textId="77777777" w:rsidR="00454A29" w:rsidRDefault="00454A29">
            <w:pPr>
              <w:pStyle w:val="ConsPlusNormal"/>
            </w:pPr>
            <w:r>
              <w:t>Участники подпрограммы</w:t>
            </w:r>
          </w:p>
        </w:tc>
        <w:tc>
          <w:tcPr>
            <w:tcW w:w="6236" w:type="dxa"/>
          </w:tcPr>
          <w:p w14:paraId="31F79EEA" w14:textId="77777777" w:rsidR="00454A29" w:rsidRDefault="00454A29">
            <w:pPr>
              <w:pStyle w:val="ConsPlusNormal"/>
              <w:jc w:val="both"/>
            </w:pPr>
            <w:r>
              <w:t>Органы местного самоуправления муниципальных районов и городских округов Республики Саха (Якутия)</w:t>
            </w:r>
          </w:p>
        </w:tc>
      </w:tr>
      <w:tr w:rsidR="00454A29" w14:paraId="2950885B" w14:textId="77777777">
        <w:tc>
          <w:tcPr>
            <w:tcW w:w="2835" w:type="dxa"/>
          </w:tcPr>
          <w:p w14:paraId="00FB9934" w14:textId="77777777" w:rsidR="00454A29" w:rsidRDefault="00454A29">
            <w:pPr>
              <w:pStyle w:val="ConsPlusNormal"/>
            </w:pPr>
            <w:r>
              <w:t>Цель подпрограммы</w:t>
            </w:r>
          </w:p>
        </w:tc>
        <w:tc>
          <w:tcPr>
            <w:tcW w:w="6236" w:type="dxa"/>
          </w:tcPr>
          <w:p w14:paraId="4F31171D" w14:textId="77777777" w:rsidR="00454A29" w:rsidRDefault="00454A29">
            <w:pPr>
              <w:pStyle w:val="ConsPlusNormal"/>
              <w:jc w:val="both"/>
            </w:pPr>
            <w:r>
              <w:t>Повышение доступности и качества образования для детей Арктики</w:t>
            </w:r>
          </w:p>
        </w:tc>
      </w:tr>
      <w:tr w:rsidR="00454A29" w14:paraId="5C7CEB5F" w14:textId="77777777">
        <w:tc>
          <w:tcPr>
            <w:tcW w:w="2835" w:type="dxa"/>
          </w:tcPr>
          <w:p w14:paraId="118BE1AE" w14:textId="77777777" w:rsidR="00454A29" w:rsidRDefault="00454A29">
            <w:pPr>
              <w:pStyle w:val="ConsPlusNormal"/>
            </w:pPr>
            <w:r>
              <w:t>Задачи подпрограммы</w:t>
            </w:r>
          </w:p>
        </w:tc>
        <w:tc>
          <w:tcPr>
            <w:tcW w:w="6236" w:type="dxa"/>
          </w:tcPr>
          <w:p w14:paraId="3E5D82CA" w14:textId="77777777" w:rsidR="00454A29" w:rsidRDefault="00454A29">
            <w:pPr>
              <w:pStyle w:val="ConsPlusNormal"/>
              <w:jc w:val="both"/>
            </w:pPr>
            <w:r>
              <w:t>1. Повышение доступности образования для детей Арктики и коренных малочисленных народов Севера Республики Саха (Якутия).</w:t>
            </w:r>
          </w:p>
          <w:p w14:paraId="246F4A2A" w14:textId="77777777" w:rsidR="00454A29" w:rsidRDefault="00454A29">
            <w:pPr>
              <w:pStyle w:val="ConsPlusNormal"/>
              <w:jc w:val="both"/>
            </w:pPr>
            <w:r>
              <w:t>2. Создание современных образовательных условий с учетом специфики национальных особенностей проживания в Арктике и на Севере для устойчивого развития традиционного уклада жизни национальной идентичности коренных малочисленных народов Севера Республики Саха (Якутия)</w:t>
            </w:r>
          </w:p>
        </w:tc>
      </w:tr>
      <w:tr w:rsidR="00454A29" w14:paraId="236AE295" w14:textId="77777777">
        <w:tc>
          <w:tcPr>
            <w:tcW w:w="2835" w:type="dxa"/>
          </w:tcPr>
          <w:p w14:paraId="3F5E8B9B" w14:textId="77777777" w:rsidR="00454A29" w:rsidRDefault="00454A29">
            <w:pPr>
              <w:pStyle w:val="ConsPlusNormal"/>
            </w:pPr>
            <w:r>
              <w:t>Целевые показатели (индикаторы) подпрограммы</w:t>
            </w:r>
          </w:p>
        </w:tc>
        <w:tc>
          <w:tcPr>
            <w:tcW w:w="6236" w:type="dxa"/>
          </w:tcPr>
          <w:p w14:paraId="291E88F6" w14:textId="77777777" w:rsidR="00454A29" w:rsidRDefault="00454A29">
            <w:pPr>
              <w:pStyle w:val="ConsPlusNormal"/>
              <w:jc w:val="both"/>
            </w:pPr>
            <w:r>
              <w:t>1. Количество кочевых образовательных организаций, которым созданы условия современной образовательной среды (с нарастающим итогом): в 2020 году - 0, в 2021 году - 0, в 2022 году - 1, в 2023 году - 2, в 2024 году - 3.</w:t>
            </w:r>
          </w:p>
          <w:p w14:paraId="1378FC11" w14:textId="77777777" w:rsidR="00454A29" w:rsidRDefault="00454A29">
            <w:pPr>
              <w:pStyle w:val="ConsPlusNormal"/>
              <w:jc w:val="both"/>
            </w:pPr>
            <w:r>
              <w:t>2. Количество детей, изучающих языки коренных малочисленных народов Севера: в 2020 году - 3000, в 2021 году - 3000, в 2022 году - 3000, в 2023 году - 3010, в 2024 году - 3020</w:t>
            </w:r>
          </w:p>
        </w:tc>
      </w:tr>
      <w:tr w:rsidR="00454A29" w14:paraId="163A8BE9" w14:textId="77777777">
        <w:tc>
          <w:tcPr>
            <w:tcW w:w="2835" w:type="dxa"/>
          </w:tcPr>
          <w:p w14:paraId="56832FC4" w14:textId="77777777" w:rsidR="00454A29" w:rsidRDefault="00454A29">
            <w:pPr>
              <w:pStyle w:val="ConsPlusNormal"/>
            </w:pPr>
            <w:r>
              <w:t>Сроки реализации подпрограммы</w:t>
            </w:r>
          </w:p>
        </w:tc>
        <w:tc>
          <w:tcPr>
            <w:tcW w:w="6236" w:type="dxa"/>
          </w:tcPr>
          <w:p w14:paraId="01CC508B" w14:textId="77777777" w:rsidR="00454A29" w:rsidRDefault="00454A29">
            <w:pPr>
              <w:pStyle w:val="ConsPlusNormal"/>
              <w:jc w:val="both"/>
            </w:pPr>
            <w:r>
              <w:t>2020 - 2024 годы</w:t>
            </w:r>
          </w:p>
        </w:tc>
      </w:tr>
      <w:tr w:rsidR="00454A29" w14:paraId="49F91F6F" w14:textId="77777777">
        <w:tc>
          <w:tcPr>
            <w:tcW w:w="2835" w:type="dxa"/>
          </w:tcPr>
          <w:p w14:paraId="5F1631F3" w14:textId="77777777" w:rsidR="00454A29" w:rsidRDefault="00454A29">
            <w:pPr>
              <w:pStyle w:val="ConsPlusNormal"/>
            </w:pPr>
            <w:r>
              <w:t>Объем финансового обеспечения подпрограммы</w:t>
            </w:r>
          </w:p>
        </w:tc>
        <w:tc>
          <w:tcPr>
            <w:tcW w:w="6236" w:type="dxa"/>
          </w:tcPr>
          <w:p w14:paraId="718732FB" w14:textId="77777777" w:rsidR="00454A29" w:rsidRDefault="00454A29">
            <w:pPr>
              <w:pStyle w:val="ConsPlusNormal"/>
              <w:jc w:val="both"/>
            </w:pPr>
            <w:r>
              <w:t>Объем финансового обеспечения подпрограммы - 17 500 тыс. руб., в том числе по годам:</w:t>
            </w:r>
          </w:p>
          <w:p w14:paraId="6ABBC31D" w14:textId="77777777" w:rsidR="00454A29" w:rsidRDefault="00454A29">
            <w:pPr>
              <w:pStyle w:val="ConsPlusNormal"/>
              <w:jc w:val="both"/>
            </w:pPr>
            <w:r>
              <w:t>2020 год - 3 500 тыс. руб.;</w:t>
            </w:r>
          </w:p>
          <w:p w14:paraId="40391A29" w14:textId="77777777" w:rsidR="00454A29" w:rsidRDefault="00454A29">
            <w:pPr>
              <w:pStyle w:val="ConsPlusNormal"/>
              <w:jc w:val="both"/>
            </w:pPr>
            <w:r>
              <w:t>2021 год - 3 500 тыс. руб.;</w:t>
            </w:r>
          </w:p>
          <w:p w14:paraId="69AD5C93" w14:textId="77777777" w:rsidR="00454A29" w:rsidRDefault="00454A29">
            <w:pPr>
              <w:pStyle w:val="ConsPlusNormal"/>
              <w:jc w:val="both"/>
            </w:pPr>
            <w:r>
              <w:t>2022 год - 3 500 тыс. руб.;</w:t>
            </w:r>
          </w:p>
          <w:p w14:paraId="3AC570C2" w14:textId="77777777" w:rsidR="00454A29" w:rsidRDefault="00454A29">
            <w:pPr>
              <w:pStyle w:val="ConsPlusNormal"/>
              <w:jc w:val="both"/>
            </w:pPr>
            <w:r>
              <w:t>2023 год - 3 500 тыс. руб.;</w:t>
            </w:r>
          </w:p>
          <w:p w14:paraId="438397E5" w14:textId="77777777" w:rsidR="00454A29" w:rsidRDefault="00454A29">
            <w:pPr>
              <w:pStyle w:val="ConsPlusNormal"/>
              <w:jc w:val="both"/>
            </w:pPr>
            <w:r>
              <w:t>2024 год - 3 500 тыс. руб.;</w:t>
            </w:r>
          </w:p>
          <w:p w14:paraId="2A6708BB" w14:textId="77777777" w:rsidR="00454A29" w:rsidRDefault="00454A29">
            <w:pPr>
              <w:pStyle w:val="ConsPlusNormal"/>
              <w:jc w:val="both"/>
            </w:pPr>
            <w:r>
              <w:t>а) за счет средств государственного бюджета Республики Саха (Якутия) - 17 500 тыс. руб., в том числе по годам:</w:t>
            </w:r>
          </w:p>
          <w:p w14:paraId="4DC6ADEC" w14:textId="77777777" w:rsidR="00454A29" w:rsidRDefault="00454A29">
            <w:pPr>
              <w:pStyle w:val="ConsPlusNormal"/>
              <w:jc w:val="both"/>
            </w:pPr>
            <w:r>
              <w:t>2020 год - 3 500 тыс. руб.;</w:t>
            </w:r>
          </w:p>
          <w:p w14:paraId="5A0B1538" w14:textId="77777777" w:rsidR="00454A29" w:rsidRDefault="00454A29">
            <w:pPr>
              <w:pStyle w:val="ConsPlusNormal"/>
              <w:jc w:val="both"/>
            </w:pPr>
            <w:r>
              <w:t>2021 год - 3 500 тыс. руб.;</w:t>
            </w:r>
          </w:p>
          <w:p w14:paraId="7639E10E" w14:textId="77777777" w:rsidR="00454A29" w:rsidRDefault="00454A29">
            <w:pPr>
              <w:pStyle w:val="ConsPlusNormal"/>
              <w:jc w:val="both"/>
            </w:pPr>
            <w:r>
              <w:t>2022 год - 3 500 тыс. руб.;</w:t>
            </w:r>
          </w:p>
          <w:p w14:paraId="257BBC84" w14:textId="77777777" w:rsidR="00454A29" w:rsidRDefault="00454A29">
            <w:pPr>
              <w:pStyle w:val="ConsPlusNormal"/>
              <w:jc w:val="both"/>
            </w:pPr>
            <w:r>
              <w:t>2023 год - 3 500 тыс. руб.;</w:t>
            </w:r>
          </w:p>
          <w:p w14:paraId="16FBD31F" w14:textId="77777777" w:rsidR="00454A29" w:rsidRDefault="00454A29">
            <w:pPr>
              <w:pStyle w:val="ConsPlusNormal"/>
              <w:jc w:val="both"/>
            </w:pPr>
            <w:r>
              <w:t>2024 год - 3 500 тыс. руб.;</w:t>
            </w:r>
          </w:p>
          <w:p w14:paraId="55DF0475" w14:textId="77777777" w:rsidR="00454A29" w:rsidRDefault="00454A29">
            <w:pPr>
              <w:pStyle w:val="ConsPlusNormal"/>
              <w:jc w:val="both"/>
            </w:pPr>
            <w:r>
              <w:t>б) за счет средств федерального бюджета - 0 тыс. руб., в том числе по годам:</w:t>
            </w:r>
          </w:p>
          <w:p w14:paraId="67BADF2F" w14:textId="77777777" w:rsidR="00454A29" w:rsidRDefault="00454A29">
            <w:pPr>
              <w:pStyle w:val="ConsPlusNormal"/>
              <w:jc w:val="both"/>
            </w:pPr>
            <w:r>
              <w:t>2020 год - 0 тыс. руб.;</w:t>
            </w:r>
          </w:p>
          <w:p w14:paraId="0710F062" w14:textId="77777777" w:rsidR="00454A29" w:rsidRDefault="00454A29">
            <w:pPr>
              <w:pStyle w:val="ConsPlusNormal"/>
              <w:jc w:val="both"/>
            </w:pPr>
            <w:r>
              <w:t>2021 год - 0 тыс. руб.;</w:t>
            </w:r>
          </w:p>
          <w:p w14:paraId="2FE29F11" w14:textId="77777777" w:rsidR="00454A29" w:rsidRDefault="00454A29">
            <w:pPr>
              <w:pStyle w:val="ConsPlusNormal"/>
              <w:jc w:val="both"/>
            </w:pPr>
            <w:r>
              <w:t>2022 год - 0 тыс. руб.;</w:t>
            </w:r>
          </w:p>
          <w:p w14:paraId="23FD233F" w14:textId="77777777" w:rsidR="00454A29" w:rsidRDefault="00454A29">
            <w:pPr>
              <w:pStyle w:val="ConsPlusNormal"/>
              <w:jc w:val="both"/>
            </w:pPr>
            <w:r>
              <w:lastRenderedPageBreak/>
              <w:t>2023 год - 0 тыс. руб.;</w:t>
            </w:r>
          </w:p>
          <w:p w14:paraId="413DFA15" w14:textId="77777777" w:rsidR="00454A29" w:rsidRDefault="00454A29">
            <w:pPr>
              <w:pStyle w:val="ConsPlusNormal"/>
              <w:jc w:val="both"/>
            </w:pPr>
            <w:r>
              <w:t>2024 год - 0 тыс. руб.;</w:t>
            </w:r>
          </w:p>
          <w:p w14:paraId="01AFDB70" w14:textId="77777777" w:rsidR="00454A29" w:rsidRDefault="00454A29">
            <w:pPr>
              <w:pStyle w:val="ConsPlusNormal"/>
              <w:jc w:val="both"/>
            </w:pPr>
            <w:r>
              <w:t>в) за счет средств местных бюджетов - 0 тыс. руб., в том числе по годам:</w:t>
            </w:r>
          </w:p>
          <w:p w14:paraId="52820910" w14:textId="77777777" w:rsidR="00454A29" w:rsidRDefault="00454A29">
            <w:pPr>
              <w:pStyle w:val="ConsPlusNormal"/>
              <w:jc w:val="both"/>
            </w:pPr>
            <w:r>
              <w:t>2020 год - 0 тыс. руб.;</w:t>
            </w:r>
          </w:p>
          <w:p w14:paraId="61A29F8D" w14:textId="77777777" w:rsidR="00454A29" w:rsidRDefault="00454A29">
            <w:pPr>
              <w:pStyle w:val="ConsPlusNormal"/>
              <w:jc w:val="both"/>
            </w:pPr>
            <w:r>
              <w:t>2021 год - 0 тыс. руб.;</w:t>
            </w:r>
          </w:p>
          <w:p w14:paraId="36CFD4EA" w14:textId="77777777" w:rsidR="00454A29" w:rsidRDefault="00454A29">
            <w:pPr>
              <w:pStyle w:val="ConsPlusNormal"/>
              <w:jc w:val="both"/>
            </w:pPr>
            <w:r>
              <w:t>2022 год - 0 тыс. руб.;</w:t>
            </w:r>
          </w:p>
          <w:p w14:paraId="5E27F60A" w14:textId="77777777" w:rsidR="00454A29" w:rsidRDefault="00454A29">
            <w:pPr>
              <w:pStyle w:val="ConsPlusNormal"/>
              <w:jc w:val="both"/>
            </w:pPr>
            <w:r>
              <w:t>2023 год - 0 тыс. руб.;</w:t>
            </w:r>
          </w:p>
          <w:p w14:paraId="3E16C017" w14:textId="77777777" w:rsidR="00454A29" w:rsidRDefault="00454A29">
            <w:pPr>
              <w:pStyle w:val="ConsPlusNormal"/>
              <w:jc w:val="both"/>
            </w:pPr>
            <w:r>
              <w:t>2024 год - 0 тыс. руб.;</w:t>
            </w:r>
          </w:p>
          <w:p w14:paraId="09D3FFC3" w14:textId="77777777" w:rsidR="00454A29" w:rsidRDefault="00454A29">
            <w:pPr>
              <w:pStyle w:val="ConsPlusNormal"/>
              <w:jc w:val="both"/>
            </w:pPr>
            <w:r>
              <w:t>г) за счет внебюджетных средств - 0 тыс. руб., в том числе по годам:</w:t>
            </w:r>
          </w:p>
          <w:p w14:paraId="2507814E" w14:textId="77777777" w:rsidR="00454A29" w:rsidRDefault="00454A29">
            <w:pPr>
              <w:pStyle w:val="ConsPlusNormal"/>
              <w:jc w:val="both"/>
            </w:pPr>
            <w:r>
              <w:t>2020 год - 0 тыс. руб.;</w:t>
            </w:r>
          </w:p>
          <w:p w14:paraId="2BF86048" w14:textId="77777777" w:rsidR="00454A29" w:rsidRDefault="00454A29">
            <w:pPr>
              <w:pStyle w:val="ConsPlusNormal"/>
              <w:jc w:val="both"/>
            </w:pPr>
            <w:r>
              <w:t>2021 год - 0 тыс. руб.;</w:t>
            </w:r>
          </w:p>
          <w:p w14:paraId="729286EA" w14:textId="77777777" w:rsidR="00454A29" w:rsidRDefault="00454A29">
            <w:pPr>
              <w:pStyle w:val="ConsPlusNormal"/>
              <w:jc w:val="both"/>
            </w:pPr>
            <w:r>
              <w:t>2022 год - 0 тыс. руб.;</w:t>
            </w:r>
          </w:p>
          <w:p w14:paraId="7A4EBA43" w14:textId="77777777" w:rsidR="00454A29" w:rsidRDefault="00454A29">
            <w:pPr>
              <w:pStyle w:val="ConsPlusNormal"/>
              <w:jc w:val="both"/>
            </w:pPr>
            <w:r>
              <w:t>2023 год - 0 тыс. руб.;</w:t>
            </w:r>
          </w:p>
          <w:p w14:paraId="394C94E6" w14:textId="77777777" w:rsidR="00454A29" w:rsidRDefault="00454A29">
            <w:pPr>
              <w:pStyle w:val="ConsPlusNormal"/>
              <w:jc w:val="both"/>
            </w:pPr>
            <w:r>
              <w:t>2024 год - 0 тыс. руб.</w:t>
            </w:r>
          </w:p>
        </w:tc>
      </w:tr>
      <w:tr w:rsidR="00454A29" w14:paraId="0B9E048D" w14:textId="77777777">
        <w:tc>
          <w:tcPr>
            <w:tcW w:w="2835" w:type="dxa"/>
          </w:tcPr>
          <w:p w14:paraId="7537C408" w14:textId="77777777" w:rsidR="00454A29" w:rsidRDefault="00454A29">
            <w:pPr>
              <w:pStyle w:val="ConsPlusNormal"/>
            </w:pPr>
            <w:r>
              <w:lastRenderedPageBreak/>
              <w:t>Ожидаемый результат реализации подпрограммы</w:t>
            </w:r>
          </w:p>
        </w:tc>
        <w:tc>
          <w:tcPr>
            <w:tcW w:w="6236" w:type="dxa"/>
          </w:tcPr>
          <w:p w14:paraId="77685785" w14:textId="77777777" w:rsidR="00454A29" w:rsidRDefault="00454A29">
            <w:pPr>
              <w:pStyle w:val="ConsPlusNormal"/>
              <w:jc w:val="both"/>
            </w:pPr>
            <w:r>
              <w:t>1. Увеличение количества кочевых образовательных организаций, которым созданы условия современной образовательной среды, до 3.</w:t>
            </w:r>
          </w:p>
          <w:p w14:paraId="78F289D1" w14:textId="77777777" w:rsidR="00454A29" w:rsidRDefault="00454A29">
            <w:pPr>
              <w:pStyle w:val="ConsPlusNormal"/>
              <w:jc w:val="both"/>
            </w:pPr>
            <w:r>
              <w:t>2. Увеличение количества детей, изучающих языки народов Севера, до 3020</w:t>
            </w:r>
          </w:p>
        </w:tc>
      </w:tr>
    </w:tbl>
    <w:p w14:paraId="48213ECF" w14:textId="77777777" w:rsidR="00454A29" w:rsidRDefault="00454A29">
      <w:pPr>
        <w:pStyle w:val="ConsPlusNormal"/>
      </w:pPr>
    </w:p>
    <w:p w14:paraId="3E735DC5" w14:textId="77777777" w:rsidR="00454A29" w:rsidRDefault="00454A29">
      <w:pPr>
        <w:pStyle w:val="ConsPlusTitle"/>
        <w:jc w:val="center"/>
        <w:outlineLvl w:val="1"/>
      </w:pPr>
      <w:r>
        <w:t>Паспорт подпрограммы N 9</w:t>
      </w:r>
    </w:p>
    <w:p w14:paraId="6AE12ED9" w14:textId="77777777" w:rsidR="00454A29" w:rsidRDefault="00454A29">
      <w:pPr>
        <w:pStyle w:val="ConsPlusTitle"/>
        <w:jc w:val="center"/>
      </w:pPr>
      <w:r>
        <w:t>"Содействие созданию новых мест в общеобразовательных</w:t>
      </w:r>
    </w:p>
    <w:p w14:paraId="5BCF2454" w14:textId="77777777" w:rsidR="00454A29" w:rsidRDefault="00454A29">
      <w:pPr>
        <w:pStyle w:val="ConsPlusTitle"/>
        <w:jc w:val="center"/>
      </w:pPr>
      <w:r>
        <w:t>организациях Республики Саха (Якутия)"</w:t>
      </w:r>
    </w:p>
    <w:p w14:paraId="34B1A121"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5A85373D" w14:textId="77777777">
        <w:tc>
          <w:tcPr>
            <w:tcW w:w="2835" w:type="dxa"/>
          </w:tcPr>
          <w:p w14:paraId="1D7F3712" w14:textId="77777777" w:rsidR="00454A29" w:rsidRDefault="00454A29">
            <w:pPr>
              <w:pStyle w:val="ConsPlusNormal"/>
            </w:pPr>
            <w:r>
              <w:t>Наименование подпрограммы</w:t>
            </w:r>
          </w:p>
        </w:tc>
        <w:tc>
          <w:tcPr>
            <w:tcW w:w="6236" w:type="dxa"/>
          </w:tcPr>
          <w:p w14:paraId="34707D57" w14:textId="77777777" w:rsidR="00454A29" w:rsidRDefault="00454A29">
            <w:pPr>
              <w:pStyle w:val="ConsPlusNormal"/>
              <w:jc w:val="both"/>
            </w:pPr>
            <w:r>
              <w:t>Содействие созданию новых мест в общеобразовательных организациях Республики Саха (Якутия)</w:t>
            </w:r>
          </w:p>
        </w:tc>
      </w:tr>
      <w:tr w:rsidR="00454A29" w14:paraId="731A2071" w14:textId="77777777">
        <w:tc>
          <w:tcPr>
            <w:tcW w:w="2835" w:type="dxa"/>
          </w:tcPr>
          <w:p w14:paraId="43A507AF" w14:textId="77777777" w:rsidR="00454A29" w:rsidRDefault="00454A29">
            <w:pPr>
              <w:pStyle w:val="ConsPlusNormal"/>
            </w:pPr>
            <w:r>
              <w:t>Ответственный исполнитель подпрограммы</w:t>
            </w:r>
          </w:p>
        </w:tc>
        <w:tc>
          <w:tcPr>
            <w:tcW w:w="6236" w:type="dxa"/>
          </w:tcPr>
          <w:p w14:paraId="2D24AD53" w14:textId="77777777" w:rsidR="00454A29" w:rsidRDefault="00454A29">
            <w:pPr>
              <w:pStyle w:val="ConsPlusNormal"/>
              <w:jc w:val="both"/>
            </w:pPr>
            <w:r>
              <w:t>Министерство образования и науки Республики Саха (Якутия)</w:t>
            </w:r>
          </w:p>
        </w:tc>
      </w:tr>
      <w:tr w:rsidR="00454A29" w14:paraId="6A2277AB" w14:textId="77777777">
        <w:tc>
          <w:tcPr>
            <w:tcW w:w="2835" w:type="dxa"/>
          </w:tcPr>
          <w:p w14:paraId="4C5B8058" w14:textId="77777777" w:rsidR="00454A29" w:rsidRDefault="00454A29">
            <w:pPr>
              <w:pStyle w:val="ConsPlusNormal"/>
            </w:pPr>
            <w:r>
              <w:t>Соисполнители подпрограммы</w:t>
            </w:r>
          </w:p>
        </w:tc>
        <w:tc>
          <w:tcPr>
            <w:tcW w:w="6236" w:type="dxa"/>
          </w:tcPr>
          <w:p w14:paraId="6D577C05" w14:textId="77777777" w:rsidR="00454A29" w:rsidRDefault="00454A29">
            <w:pPr>
              <w:pStyle w:val="ConsPlusNormal"/>
              <w:jc w:val="both"/>
            </w:pPr>
            <w:r>
              <w:t>Министерство строительства Республики Саха (Якутия);</w:t>
            </w:r>
          </w:p>
          <w:p w14:paraId="503DB3AB" w14:textId="77777777" w:rsidR="00454A29" w:rsidRDefault="00454A29">
            <w:pPr>
              <w:pStyle w:val="ConsPlusNormal"/>
              <w:jc w:val="both"/>
            </w:pPr>
            <w:r>
              <w:t>Министерство экономики Республики Саха (Якутия)</w:t>
            </w:r>
          </w:p>
        </w:tc>
      </w:tr>
      <w:tr w:rsidR="00454A29" w14:paraId="17651744" w14:textId="77777777">
        <w:tc>
          <w:tcPr>
            <w:tcW w:w="2835" w:type="dxa"/>
          </w:tcPr>
          <w:p w14:paraId="4755BF13" w14:textId="77777777" w:rsidR="00454A29" w:rsidRDefault="00454A29">
            <w:pPr>
              <w:pStyle w:val="ConsPlusNormal"/>
            </w:pPr>
            <w:r>
              <w:t>Участники подпрограммы</w:t>
            </w:r>
          </w:p>
        </w:tc>
        <w:tc>
          <w:tcPr>
            <w:tcW w:w="6236" w:type="dxa"/>
          </w:tcPr>
          <w:p w14:paraId="3F902195" w14:textId="77777777" w:rsidR="00454A29" w:rsidRDefault="00454A29">
            <w:pPr>
              <w:pStyle w:val="ConsPlusNormal"/>
              <w:jc w:val="both"/>
            </w:pPr>
            <w:r>
              <w:t>Органы местного самоуправления муниципальных районов и городских округов Республики Саха (Якутия)</w:t>
            </w:r>
          </w:p>
        </w:tc>
      </w:tr>
      <w:tr w:rsidR="00454A29" w14:paraId="7BBA6D1D" w14:textId="77777777">
        <w:tc>
          <w:tcPr>
            <w:tcW w:w="2835" w:type="dxa"/>
          </w:tcPr>
          <w:p w14:paraId="1C3A3FC8" w14:textId="77777777" w:rsidR="00454A29" w:rsidRDefault="00454A29">
            <w:pPr>
              <w:pStyle w:val="ConsPlusNormal"/>
            </w:pPr>
            <w:r>
              <w:t>Цель подпрограммы</w:t>
            </w:r>
          </w:p>
        </w:tc>
        <w:tc>
          <w:tcPr>
            <w:tcW w:w="6236" w:type="dxa"/>
          </w:tcPr>
          <w:p w14:paraId="01AD985A" w14:textId="77777777" w:rsidR="00454A29" w:rsidRDefault="00454A29">
            <w:pPr>
              <w:pStyle w:val="ConsPlusNormal"/>
              <w:jc w:val="both"/>
            </w:pPr>
            <w:r>
              <w:t>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454A29" w14:paraId="411BFB4C" w14:textId="77777777">
        <w:tc>
          <w:tcPr>
            <w:tcW w:w="2835" w:type="dxa"/>
          </w:tcPr>
          <w:p w14:paraId="39F8E920" w14:textId="77777777" w:rsidR="00454A29" w:rsidRDefault="00454A29">
            <w:pPr>
              <w:pStyle w:val="ConsPlusNormal"/>
            </w:pPr>
            <w:r>
              <w:t>Задачи подпрограммы</w:t>
            </w:r>
          </w:p>
        </w:tc>
        <w:tc>
          <w:tcPr>
            <w:tcW w:w="6236" w:type="dxa"/>
          </w:tcPr>
          <w:p w14:paraId="1D143749" w14:textId="77777777" w:rsidR="00454A29" w:rsidRDefault="00454A29">
            <w:pPr>
              <w:pStyle w:val="ConsPlusNormal"/>
              <w:jc w:val="both"/>
            </w:pPr>
            <w:r>
              <w:t>1. Строительство объектов сферы образования, соответствующих современным мировым стандартам, предусматривающих комфортную образовательную среду с помощью архитектурных, дизайнерских решений, технологий и виртуального сетевого пространства.</w:t>
            </w:r>
          </w:p>
          <w:p w14:paraId="2B99AA03" w14:textId="77777777" w:rsidR="00454A29" w:rsidRDefault="00454A29">
            <w:pPr>
              <w:pStyle w:val="ConsPlusNormal"/>
              <w:jc w:val="both"/>
            </w:pPr>
            <w:r>
              <w:t>2. Реализация регионального проекта "Современная школа" (в части мероприятий по созданию новых мест в общеобразовательных организациях)</w:t>
            </w:r>
          </w:p>
        </w:tc>
      </w:tr>
      <w:tr w:rsidR="00454A29" w14:paraId="6E61D653" w14:textId="77777777">
        <w:tc>
          <w:tcPr>
            <w:tcW w:w="2835" w:type="dxa"/>
          </w:tcPr>
          <w:p w14:paraId="69847404" w14:textId="77777777" w:rsidR="00454A29" w:rsidRDefault="00454A29">
            <w:pPr>
              <w:pStyle w:val="ConsPlusNormal"/>
            </w:pPr>
            <w:r>
              <w:t xml:space="preserve">Целевые показатели (индикаторы) </w:t>
            </w:r>
            <w:r>
              <w:lastRenderedPageBreak/>
              <w:t>подпрограммы</w:t>
            </w:r>
          </w:p>
        </w:tc>
        <w:tc>
          <w:tcPr>
            <w:tcW w:w="6236" w:type="dxa"/>
          </w:tcPr>
          <w:p w14:paraId="19639C64" w14:textId="77777777" w:rsidR="00454A29" w:rsidRDefault="00454A29">
            <w:pPr>
              <w:pStyle w:val="ConsPlusNormal"/>
              <w:jc w:val="both"/>
            </w:pPr>
            <w:r>
              <w:lastRenderedPageBreak/>
              <w:t xml:space="preserve">1. Число новых мест в общеобразовательных организациях: в 2020 году - 1770, в 2021 году - 2150, в 2022 году - 0, в 2023 году - </w:t>
            </w:r>
            <w:r>
              <w:lastRenderedPageBreak/>
              <w:t>3901, в 2024 году - 1265, в 2025 году - 13438, в 2026 году - 18793.</w:t>
            </w:r>
          </w:p>
          <w:p w14:paraId="1D736120" w14:textId="77777777" w:rsidR="00454A29" w:rsidRDefault="00454A29">
            <w:pPr>
              <w:pStyle w:val="ConsPlusNormal"/>
              <w:jc w:val="both"/>
            </w:pPr>
            <w:r>
              <w:t>2.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в 2020 году - 82%, в 2021 году - 85%, в 2022 году - 86%, в 2023 году - 90%, в 2024 году - 92%, в 2025 году - 95%, в 2026 году - 100%</w:t>
            </w:r>
          </w:p>
        </w:tc>
      </w:tr>
      <w:tr w:rsidR="00454A29" w14:paraId="1CCDDF14" w14:textId="77777777">
        <w:tc>
          <w:tcPr>
            <w:tcW w:w="2835" w:type="dxa"/>
          </w:tcPr>
          <w:p w14:paraId="3A6815DB" w14:textId="77777777" w:rsidR="00454A29" w:rsidRDefault="00454A29">
            <w:pPr>
              <w:pStyle w:val="ConsPlusNormal"/>
            </w:pPr>
            <w:r>
              <w:lastRenderedPageBreak/>
              <w:t>Сроки реализации подпрограммы</w:t>
            </w:r>
          </w:p>
        </w:tc>
        <w:tc>
          <w:tcPr>
            <w:tcW w:w="6236" w:type="dxa"/>
          </w:tcPr>
          <w:p w14:paraId="461B3505" w14:textId="77777777" w:rsidR="00454A29" w:rsidRDefault="00454A29">
            <w:pPr>
              <w:pStyle w:val="ConsPlusNormal"/>
              <w:jc w:val="both"/>
            </w:pPr>
            <w:r>
              <w:t>2020 - 2026 годы</w:t>
            </w:r>
          </w:p>
        </w:tc>
      </w:tr>
      <w:tr w:rsidR="00454A29" w14:paraId="1509AB7A" w14:textId="77777777">
        <w:tc>
          <w:tcPr>
            <w:tcW w:w="2835" w:type="dxa"/>
          </w:tcPr>
          <w:p w14:paraId="20F3C913" w14:textId="77777777" w:rsidR="00454A29" w:rsidRDefault="00454A29">
            <w:pPr>
              <w:pStyle w:val="ConsPlusNormal"/>
            </w:pPr>
            <w:r>
              <w:t>Объем финансового обеспечения подпрограммы</w:t>
            </w:r>
          </w:p>
        </w:tc>
        <w:tc>
          <w:tcPr>
            <w:tcW w:w="6236" w:type="dxa"/>
          </w:tcPr>
          <w:p w14:paraId="4375AA54" w14:textId="77777777" w:rsidR="00454A29" w:rsidRDefault="00454A29">
            <w:pPr>
              <w:pStyle w:val="ConsPlusNormal"/>
              <w:jc w:val="both"/>
            </w:pPr>
            <w:r>
              <w:t>Объем финансового обеспечения подпрограммы - 109 157 388 тыс. руб., в том числе по годам:</w:t>
            </w:r>
          </w:p>
          <w:p w14:paraId="14143CD9" w14:textId="77777777" w:rsidR="00454A29" w:rsidRDefault="00454A29">
            <w:pPr>
              <w:pStyle w:val="ConsPlusNormal"/>
              <w:jc w:val="both"/>
            </w:pPr>
            <w:r>
              <w:t>2020 год - 3 863 884 тыс. руб.;</w:t>
            </w:r>
          </w:p>
          <w:p w14:paraId="676F0C9F" w14:textId="77777777" w:rsidR="00454A29" w:rsidRDefault="00454A29">
            <w:pPr>
              <w:pStyle w:val="ConsPlusNormal"/>
              <w:jc w:val="both"/>
            </w:pPr>
            <w:r>
              <w:t>2021 год - 2 978 408 тыс. руб.;</w:t>
            </w:r>
          </w:p>
          <w:p w14:paraId="2A442E04" w14:textId="77777777" w:rsidR="00454A29" w:rsidRDefault="00454A29">
            <w:pPr>
              <w:pStyle w:val="ConsPlusNormal"/>
              <w:jc w:val="both"/>
            </w:pPr>
            <w:r>
              <w:t>2022 год - 1 046 405 тыс. руб.;</w:t>
            </w:r>
          </w:p>
          <w:p w14:paraId="14A62BC5" w14:textId="77777777" w:rsidR="00454A29" w:rsidRDefault="00454A29">
            <w:pPr>
              <w:pStyle w:val="ConsPlusNormal"/>
              <w:jc w:val="both"/>
            </w:pPr>
            <w:r>
              <w:t>2023 год - 4 452 960 тыс. руб.;</w:t>
            </w:r>
          </w:p>
          <w:p w14:paraId="45E9CFA6" w14:textId="77777777" w:rsidR="00454A29" w:rsidRDefault="00454A29">
            <w:pPr>
              <w:pStyle w:val="ConsPlusNormal"/>
              <w:jc w:val="both"/>
            </w:pPr>
            <w:r>
              <w:t>2024 год - 2 894 410 тыс. руб.;</w:t>
            </w:r>
          </w:p>
          <w:p w14:paraId="35CFFE27" w14:textId="77777777" w:rsidR="00454A29" w:rsidRDefault="00454A29">
            <w:pPr>
              <w:pStyle w:val="ConsPlusNormal"/>
              <w:jc w:val="both"/>
            </w:pPr>
            <w:r>
              <w:t>2025 год - 43 795 282 тыс. руб.;</w:t>
            </w:r>
          </w:p>
          <w:p w14:paraId="0755F8C3" w14:textId="77777777" w:rsidR="00454A29" w:rsidRDefault="00454A29">
            <w:pPr>
              <w:pStyle w:val="ConsPlusNormal"/>
              <w:jc w:val="both"/>
            </w:pPr>
            <w:r>
              <w:t>2026 год - 50 126 039 тыс. руб.;</w:t>
            </w:r>
          </w:p>
          <w:p w14:paraId="0834F51C" w14:textId="77777777" w:rsidR="00454A29" w:rsidRDefault="00454A29">
            <w:pPr>
              <w:pStyle w:val="ConsPlusNormal"/>
              <w:jc w:val="both"/>
            </w:pPr>
            <w:r>
              <w:t>а) за счет средств государственного бюджета Республики Саха (Якутия) - 7 831 505 тыс. руб., в том числе по годам:</w:t>
            </w:r>
          </w:p>
          <w:p w14:paraId="72ABE359" w14:textId="77777777" w:rsidR="00454A29" w:rsidRDefault="00454A29">
            <w:pPr>
              <w:pStyle w:val="ConsPlusNormal"/>
              <w:jc w:val="both"/>
            </w:pPr>
            <w:r>
              <w:t>2020 год - 2 775 288 тыс. руб.;</w:t>
            </w:r>
          </w:p>
          <w:p w14:paraId="473DC5AB" w14:textId="77777777" w:rsidR="00454A29" w:rsidRDefault="00454A29">
            <w:pPr>
              <w:pStyle w:val="ConsPlusNormal"/>
              <w:jc w:val="both"/>
            </w:pPr>
            <w:r>
              <w:t>2021 год - 1 734 085 тыс. руб.;</w:t>
            </w:r>
          </w:p>
          <w:p w14:paraId="27D5002C" w14:textId="77777777" w:rsidR="00454A29" w:rsidRDefault="00454A29">
            <w:pPr>
              <w:pStyle w:val="ConsPlusNormal"/>
              <w:jc w:val="both"/>
            </w:pPr>
            <w:r>
              <w:t>2022 год - 891 412 тыс. руб.;</w:t>
            </w:r>
          </w:p>
          <w:p w14:paraId="317463AA" w14:textId="77777777" w:rsidR="00454A29" w:rsidRDefault="00454A29">
            <w:pPr>
              <w:pStyle w:val="ConsPlusNormal"/>
              <w:jc w:val="both"/>
            </w:pPr>
            <w:r>
              <w:t>2023 год - 280 205 тыс. руб.;</w:t>
            </w:r>
          </w:p>
          <w:p w14:paraId="592035C4" w14:textId="77777777" w:rsidR="00454A29" w:rsidRDefault="00454A29">
            <w:pPr>
              <w:pStyle w:val="ConsPlusNormal"/>
              <w:jc w:val="both"/>
            </w:pPr>
            <w:r>
              <w:t>2024 год - 303 593 тыс. руб.;</w:t>
            </w:r>
          </w:p>
          <w:p w14:paraId="43BB8535" w14:textId="77777777" w:rsidR="00454A29" w:rsidRDefault="00454A29">
            <w:pPr>
              <w:pStyle w:val="ConsPlusNormal"/>
              <w:jc w:val="both"/>
            </w:pPr>
            <w:r>
              <w:t>2025 год - 956 515 тыс. руб.;</w:t>
            </w:r>
          </w:p>
          <w:p w14:paraId="0BF21667" w14:textId="77777777" w:rsidR="00454A29" w:rsidRDefault="00454A29">
            <w:pPr>
              <w:pStyle w:val="ConsPlusNormal"/>
              <w:jc w:val="both"/>
            </w:pPr>
            <w:r>
              <w:t>2026 год - 890 407 тыс. руб.;</w:t>
            </w:r>
          </w:p>
          <w:p w14:paraId="61522038" w14:textId="77777777" w:rsidR="00454A29" w:rsidRDefault="00454A29">
            <w:pPr>
              <w:pStyle w:val="ConsPlusNormal"/>
              <w:jc w:val="both"/>
            </w:pPr>
            <w:r>
              <w:t>б) за счет средств федерального бюджета - 99 169 816 тыс. руб., в том числе по годам:</w:t>
            </w:r>
          </w:p>
          <w:p w14:paraId="26AAE407" w14:textId="77777777" w:rsidR="00454A29" w:rsidRDefault="00454A29">
            <w:pPr>
              <w:pStyle w:val="ConsPlusNormal"/>
              <w:jc w:val="both"/>
            </w:pPr>
            <w:r>
              <w:t>2020 год - 493 465 тыс. руб.;</w:t>
            </w:r>
          </w:p>
          <w:p w14:paraId="04FAB8AA" w14:textId="77777777" w:rsidR="00454A29" w:rsidRDefault="00454A29">
            <w:pPr>
              <w:pStyle w:val="ConsPlusNormal"/>
              <w:jc w:val="both"/>
            </w:pPr>
            <w:r>
              <w:t>2021 год - 678 827 тыс. руб.;</w:t>
            </w:r>
          </w:p>
          <w:p w14:paraId="218AF640" w14:textId="77777777" w:rsidR="00454A29" w:rsidRDefault="00454A29">
            <w:pPr>
              <w:pStyle w:val="ConsPlusNormal"/>
              <w:jc w:val="both"/>
            </w:pPr>
            <w:r>
              <w:t>2022 год - 0 тыс. руб.;</w:t>
            </w:r>
          </w:p>
          <w:p w14:paraId="6B15BA55" w14:textId="77777777" w:rsidR="00454A29" w:rsidRDefault="00454A29">
            <w:pPr>
              <w:pStyle w:val="ConsPlusNormal"/>
              <w:jc w:val="both"/>
            </w:pPr>
            <w:r>
              <w:t>2023 год - 3 971 021 тыс. руб.;</w:t>
            </w:r>
          </w:p>
          <w:p w14:paraId="3B9A3ADA" w14:textId="77777777" w:rsidR="00454A29" w:rsidRDefault="00454A29">
            <w:pPr>
              <w:pStyle w:val="ConsPlusNormal"/>
              <w:jc w:val="both"/>
            </w:pPr>
            <w:r>
              <w:t>2024 год - 2 409 272 тыс. руб.;</w:t>
            </w:r>
          </w:p>
          <w:p w14:paraId="26D08D4C" w14:textId="77777777" w:rsidR="00454A29" w:rsidRDefault="00454A29">
            <w:pPr>
              <w:pStyle w:val="ConsPlusNormal"/>
              <w:jc w:val="both"/>
            </w:pPr>
            <w:r>
              <w:t>2025 год - 42 632 643 тыс. руб.;</w:t>
            </w:r>
          </w:p>
          <w:p w14:paraId="29C956C1" w14:textId="77777777" w:rsidR="00454A29" w:rsidRDefault="00454A29">
            <w:pPr>
              <w:pStyle w:val="ConsPlusNormal"/>
              <w:jc w:val="both"/>
            </w:pPr>
            <w:r>
              <w:t>2026 год - 48 984 588 тыс. руб.;</w:t>
            </w:r>
          </w:p>
          <w:p w14:paraId="2C120228" w14:textId="77777777" w:rsidR="00454A29" w:rsidRDefault="00454A29">
            <w:pPr>
              <w:pStyle w:val="ConsPlusNormal"/>
              <w:jc w:val="both"/>
            </w:pPr>
            <w:r>
              <w:t>в) за счет средств местных бюджетов - 2 156 067 тыс. руб., в том числе по годам:</w:t>
            </w:r>
          </w:p>
          <w:p w14:paraId="49E97C6A" w14:textId="77777777" w:rsidR="00454A29" w:rsidRDefault="00454A29">
            <w:pPr>
              <w:pStyle w:val="ConsPlusNormal"/>
              <w:jc w:val="both"/>
            </w:pPr>
            <w:r>
              <w:t>2020 год - 595 131 тыс. руб.;</w:t>
            </w:r>
          </w:p>
          <w:p w14:paraId="1D56DE14" w14:textId="77777777" w:rsidR="00454A29" w:rsidRDefault="00454A29">
            <w:pPr>
              <w:pStyle w:val="ConsPlusNormal"/>
              <w:jc w:val="both"/>
            </w:pPr>
            <w:r>
              <w:t>2021 год - 565 496 тыс. руб.;</w:t>
            </w:r>
          </w:p>
          <w:p w14:paraId="28926A80" w14:textId="77777777" w:rsidR="00454A29" w:rsidRDefault="00454A29">
            <w:pPr>
              <w:pStyle w:val="ConsPlusNormal"/>
              <w:jc w:val="both"/>
            </w:pPr>
            <w:r>
              <w:t>2022 год - 154 993 тыс. руб.;</w:t>
            </w:r>
          </w:p>
          <w:p w14:paraId="140C840C" w14:textId="77777777" w:rsidR="00454A29" w:rsidRDefault="00454A29">
            <w:pPr>
              <w:pStyle w:val="ConsPlusNormal"/>
              <w:jc w:val="both"/>
            </w:pPr>
            <w:r>
              <w:t>2023 год - 201 734 тыс. руб.;</w:t>
            </w:r>
          </w:p>
          <w:p w14:paraId="3F328824" w14:textId="77777777" w:rsidR="00454A29" w:rsidRDefault="00454A29">
            <w:pPr>
              <w:pStyle w:val="ConsPlusNormal"/>
              <w:jc w:val="both"/>
            </w:pPr>
            <w:r>
              <w:t>2024 год - 181 545 тыс. руб.;</w:t>
            </w:r>
          </w:p>
          <w:p w14:paraId="109DA75F" w14:textId="77777777" w:rsidR="00454A29" w:rsidRDefault="00454A29">
            <w:pPr>
              <w:pStyle w:val="ConsPlusNormal"/>
              <w:jc w:val="both"/>
            </w:pPr>
            <w:r>
              <w:t>2025 год - 206 124 тыс. руб.;</w:t>
            </w:r>
          </w:p>
          <w:p w14:paraId="0B2A9645" w14:textId="77777777" w:rsidR="00454A29" w:rsidRDefault="00454A29">
            <w:pPr>
              <w:pStyle w:val="ConsPlusNormal"/>
              <w:jc w:val="both"/>
            </w:pPr>
            <w:r>
              <w:t>2026 год - 251 044 тыс. руб.;</w:t>
            </w:r>
          </w:p>
          <w:p w14:paraId="7BD395BA" w14:textId="77777777" w:rsidR="00454A29" w:rsidRDefault="00454A29">
            <w:pPr>
              <w:pStyle w:val="ConsPlusNormal"/>
              <w:jc w:val="both"/>
            </w:pPr>
            <w:r>
              <w:t>г) за счет внебюджетных средств - 0 тыс. руб., в том числе по годам:</w:t>
            </w:r>
          </w:p>
          <w:p w14:paraId="7F23F767" w14:textId="77777777" w:rsidR="00454A29" w:rsidRDefault="00454A29">
            <w:pPr>
              <w:pStyle w:val="ConsPlusNormal"/>
              <w:jc w:val="both"/>
            </w:pPr>
            <w:r>
              <w:t>2020 год - 0 тыс. руб.;</w:t>
            </w:r>
          </w:p>
          <w:p w14:paraId="21D72DEB" w14:textId="77777777" w:rsidR="00454A29" w:rsidRDefault="00454A29">
            <w:pPr>
              <w:pStyle w:val="ConsPlusNormal"/>
              <w:jc w:val="both"/>
            </w:pPr>
            <w:r>
              <w:t>2021 год - 0 тыс. руб.;</w:t>
            </w:r>
          </w:p>
          <w:p w14:paraId="570961D1" w14:textId="77777777" w:rsidR="00454A29" w:rsidRDefault="00454A29">
            <w:pPr>
              <w:pStyle w:val="ConsPlusNormal"/>
              <w:jc w:val="both"/>
            </w:pPr>
            <w:r>
              <w:t>2022 год - 0 тыс. руб.;</w:t>
            </w:r>
          </w:p>
          <w:p w14:paraId="1DFA79C7" w14:textId="77777777" w:rsidR="00454A29" w:rsidRDefault="00454A29">
            <w:pPr>
              <w:pStyle w:val="ConsPlusNormal"/>
              <w:jc w:val="both"/>
            </w:pPr>
            <w:r>
              <w:t>2023 год - 0 тыс. руб.;</w:t>
            </w:r>
          </w:p>
          <w:p w14:paraId="2D1E7B85" w14:textId="77777777" w:rsidR="00454A29" w:rsidRDefault="00454A29">
            <w:pPr>
              <w:pStyle w:val="ConsPlusNormal"/>
              <w:jc w:val="both"/>
            </w:pPr>
            <w:r>
              <w:lastRenderedPageBreak/>
              <w:t>2024 год - 0 тыс. руб.;</w:t>
            </w:r>
          </w:p>
          <w:p w14:paraId="057567F3" w14:textId="77777777" w:rsidR="00454A29" w:rsidRDefault="00454A29">
            <w:pPr>
              <w:pStyle w:val="ConsPlusNormal"/>
              <w:jc w:val="both"/>
            </w:pPr>
            <w:r>
              <w:t>2025 год - 0 тыс. руб.;</w:t>
            </w:r>
          </w:p>
          <w:p w14:paraId="04218576" w14:textId="77777777" w:rsidR="00454A29" w:rsidRDefault="00454A29">
            <w:pPr>
              <w:pStyle w:val="ConsPlusNormal"/>
              <w:jc w:val="both"/>
            </w:pPr>
            <w:r>
              <w:t>2026 год - 0 тыс. руб.</w:t>
            </w:r>
          </w:p>
        </w:tc>
      </w:tr>
      <w:tr w:rsidR="00454A29" w14:paraId="536FCBCC" w14:textId="77777777">
        <w:tc>
          <w:tcPr>
            <w:tcW w:w="2835" w:type="dxa"/>
          </w:tcPr>
          <w:p w14:paraId="2F043639" w14:textId="77777777" w:rsidR="00454A29" w:rsidRDefault="00454A29">
            <w:pPr>
              <w:pStyle w:val="ConsPlusNormal"/>
            </w:pPr>
            <w:r>
              <w:lastRenderedPageBreak/>
              <w:t>Ожидаемые результаты реализации подпрограммы</w:t>
            </w:r>
          </w:p>
        </w:tc>
        <w:tc>
          <w:tcPr>
            <w:tcW w:w="6236" w:type="dxa"/>
          </w:tcPr>
          <w:p w14:paraId="4FA0E673" w14:textId="77777777" w:rsidR="00454A29" w:rsidRDefault="00454A29">
            <w:pPr>
              <w:pStyle w:val="ConsPlusNormal"/>
              <w:jc w:val="both"/>
            </w:pPr>
            <w:r>
              <w:t>1. Создание 41677 новых мест в общеобразовательных организациях Республики Саха (Якутия).</w:t>
            </w:r>
          </w:p>
          <w:p w14:paraId="6AB59707" w14:textId="77777777" w:rsidR="00454A29" w:rsidRDefault="00454A29">
            <w:pPr>
              <w:pStyle w:val="ConsPlusNormal"/>
              <w:jc w:val="both"/>
            </w:pPr>
            <w:r>
              <w:t>2. Увеличение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до 100%</w:t>
            </w:r>
          </w:p>
        </w:tc>
      </w:tr>
    </w:tbl>
    <w:p w14:paraId="02EA2C4D" w14:textId="77777777" w:rsidR="00454A29" w:rsidRDefault="00454A29">
      <w:pPr>
        <w:pStyle w:val="ConsPlusNormal"/>
      </w:pPr>
    </w:p>
    <w:p w14:paraId="6CB23B9E" w14:textId="77777777" w:rsidR="00454A29" w:rsidRDefault="00454A29">
      <w:pPr>
        <w:pStyle w:val="ConsPlusTitle"/>
        <w:jc w:val="center"/>
        <w:outlineLvl w:val="1"/>
      </w:pPr>
      <w:r>
        <w:t>Паспорт подпрограммы N 10</w:t>
      </w:r>
    </w:p>
    <w:p w14:paraId="0CA61EB4" w14:textId="77777777" w:rsidR="00454A29" w:rsidRDefault="00454A29">
      <w:pPr>
        <w:pStyle w:val="ConsPlusTitle"/>
        <w:jc w:val="center"/>
      </w:pPr>
      <w:r>
        <w:t>"Укрепление материально-технической базы</w:t>
      </w:r>
    </w:p>
    <w:p w14:paraId="5BF4A4FF" w14:textId="77777777" w:rsidR="00454A29" w:rsidRDefault="00454A29">
      <w:pPr>
        <w:pStyle w:val="ConsPlusTitle"/>
        <w:jc w:val="center"/>
      </w:pPr>
      <w:r>
        <w:t>организаций образования"</w:t>
      </w:r>
    </w:p>
    <w:p w14:paraId="536AC106"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54A29" w14:paraId="78E31F3C" w14:textId="77777777">
        <w:tc>
          <w:tcPr>
            <w:tcW w:w="2835" w:type="dxa"/>
          </w:tcPr>
          <w:p w14:paraId="417BDCB8" w14:textId="77777777" w:rsidR="00454A29" w:rsidRDefault="00454A29">
            <w:pPr>
              <w:pStyle w:val="ConsPlusNormal"/>
            </w:pPr>
            <w:r>
              <w:t>Наименование подпрограммы</w:t>
            </w:r>
          </w:p>
        </w:tc>
        <w:tc>
          <w:tcPr>
            <w:tcW w:w="6236" w:type="dxa"/>
          </w:tcPr>
          <w:p w14:paraId="47CF5B01" w14:textId="77777777" w:rsidR="00454A29" w:rsidRDefault="00454A29">
            <w:pPr>
              <w:pStyle w:val="ConsPlusNormal"/>
              <w:jc w:val="both"/>
            </w:pPr>
            <w:r>
              <w:t>Укрепление материально-технической базы организаций образования</w:t>
            </w:r>
          </w:p>
        </w:tc>
      </w:tr>
      <w:tr w:rsidR="00454A29" w14:paraId="50243302" w14:textId="77777777">
        <w:tc>
          <w:tcPr>
            <w:tcW w:w="2835" w:type="dxa"/>
          </w:tcPr>
          <w:p w14:paraId="3C3233E3" w14:textId="77777777" w:rsidR="00454A29" w:rsidRDefault="00454A29">
            <w:pPr>
              <w:pStyle w:val="ConsPlusNormal"/>
            </w:pPr>
            <w:r>
              <w:t>Ответственный исполнитель подпрограммы</w:t>
            </w:r>
          </w:p>
        </w:tc>
        <w:tc>
          <w:tcPr>
            <w:tcW w:w="6236" w:type="dxa"/>
          </w:tcPr>
          <w:p w14:paraId="6CFD654D" w14:textId="77777777" w:rsidR="00454A29" w:rsidRDefault="00454A29">
            <w:pPr>
              <w:pStyle w:val="ConsPlusNormal"/>
              <w:jc w:val="both"/>
            </w:pPr>
            <w:r>
              <w:t>Министерство образования и науки Республики Саха (Якутия)</w:t>
            </w:r>
          </w:p>
        </w:tc>
      </w:tr>
      <w:tr w:rsidR="00454A29" w14:paraId="09F4A6A0" w14:textId="77777777">
        <w:tc>
          <w:tcPr>
            <w:tcW w:w="2835" w:type="dxa"/>
          </w:tcPr>
          <w:p w14:paraId="17C5AD45" w14:textId="77777777" w:rsidR="00454A29" w:rsidRDefault="00454A29">
            <w:pPr>
              <w:pStyle w:val="ConsPlusNormal"/>
            </w:pPr>
            <w:r>
              <w:t>Соисполнители подпрограммы</w:t>
            </w:r>
          </w:p>
        </w:tc>
        <w:tc>
          <w:tcPr>
            <w:tcW w:w="6236" w:type="dxa"/>
          </w:tcPr>
          <w:p w14:paraId="1594E5DE" w14:textId="77777777" w:rsidR="00454A29" w:rsidRDefault="00454A29">
            <w:pPr>
              <w:pStyle w:val="ConsPlusNormal"/>
              <w:jc w:val="both"/>
            </w:pPr>
            <w:r>
              <w:t>Министерство строительства Республики Саха (Якутия);</w:t>
            </w:r>
          </w:p>
          <w:p w14:paraId="0C43392A" w14:textId="77777777" w:rsidR="00454A29" w:rsidRDefault="00454A29">
            <w:pPr>
              <w:pStyle w:val="ConsPlusNormal"/>
              <w:jc w:val="both"/>
            </w:pPr>
            <w:r>
              <w:t>Министерство экономики Республики Саха (Якутия)</w:t>
            </w:r>
          </w:p>
        </w:tc>
      </w:tr>
      <w:tr w:rsidR="00454A29" w14:paraId="6728CAC9" w14:textId="77777777">
        <w:tc>
          <w:tcPr>
            <w:tcW w:w="2835" w:type="dxa"/>
          </w:tcPr>
          <w:p w14:paraId="09A8FB9B" w14:textId="77777777" w:rsidR="00454A29" w:rsidRDefault="00454A29">
            <w:pPr>
              <w:pStyle w:val="ConsPlusNormal"/>
            </w:pPr>
            <w:r>
              <w:t>Участники подпрограммы</w:t>
            </w:r>
          </w:p>
        </w:tc>
        <w:tc>
          <w:tcPr>
            <w:tcW w:w="6236" w:type="dxa"/>
          </w:tcPr>
          <w:p w14:paraId="32C9149E" w14:textId="77777777" w:rsidR="00454A29" w:rsidRDefault="00454A29">
            <w:pPr>
              <w:pStyle w:val="ConsPlusNormal"/>
              <w:jc w:val="both"/>
            </w:pPr>
            <w:r>
              <w:t>Органы местного самоуправления муниципальных районов и городских округов Республики Саха (Якутия)</w:t>
            </w:r>
          </w:p>
        </w:tc>
      </w:tr>
      <w:tr w:rsidR="00454A29" w14:paraId="043DFA94" w14:textId="77777777">
        <w:tc>
          <w:tcPr>
            <w:tcW w:w="2835" w:type="dxa"/>
          </w:tcPr>
          <w:p w14:paraId="22F8759C" w14:textId="77777777" w:rsidR="00454A29" w:rsidRDefault="00454A29">
            <w:pPr>
              <w:pStyle w:val="ConsPlusNormal"/>
            </w:pPr>
            <w:r>
              <w:t>Цель подпрограммы</w:t>
            </w:r>
          </w:p>
        </w:tc>
        <w:tc>
          <w:tcPr>
            <w:tcW w:w="6236" w:type="dxa"/>
          </w:tcPr>
          <w:p w14:paraId="30C4AD6D" w14:textId="77777777" w:rsidR="00454A29" w:rsidRDefault="00454A29">
            <w:pPr>
              <w:pStyle w:val="ConsPlusNormal"/>
              <w:jc w:val="both"/>
            </w:pPr>
            <w:r>
              <w:t>Создание механизма устойчивого развития системы образования, обеспечение качественного образования в соответствии с федеральным государственным образовательным стандартом</w:t>
            </w:r>
          </w:p>
        </w:tc>
      </w:tr>
      <w:tr w:rsidR="00454A29" w14:paraId="4C642F69" w14:textId="77777777">
        <w:tc>
          <w:tcPr>
            <w:tcW w:w="2835" w:type="dxa"/>
          </w:tcPr>
          <w:p w14:paraId="58C2BA49" w14:textId="77777777" w:rsidR="00454A29" w:rsidRDefault="00454A29">
            <w:pPr>
              <w:pStyle w:val="ConsPlusNormal"/>
            </w:pPr>
            <w:r>
              <w:t>Задачи подпрограммы</w:t>
            </w:r>
          </w:p>
        </w:tc>
        <w:tc>
          <w:tcPr>
            <w:tcW w:w="6236" w:type="dxa"/>
          </w:tcPr>
          <w:p w14:paraId="4171570A" w14:textId="77777777" w:rsidR="00454A29" w:rsidRDefault="00454A29">
            <w:pPr>
              <w:pStyle w:val="ConsPlusNormal"/>
              <w:jc w:val="both"/>
            </w:pPr>
            <w:r>
              <w:t>1. Модернизация объектов дошкольного образования.</w:t>
            </w:r>
          </w:p>
          <w:p w14:paraId="3424F047" w14:textId="77777777" w:rsidR="00454A29" w:rsidRDefault="00454A29">
            <w:pPr>
              <w:pStyle w:val="ConsPlusNormal"/>
              <w:jc w:val="both"/>
            </w:pPr>
            <w:r>
              <w:t>2. Модернизация объектов общего образования.</w:t>
            </w:r>
          </w:p>
          <w:p w14:paraId="08229EE0" w14:textId="77777777" w:rsidR="00454A29" w:rsidRDefault="00454A29">
            <w:pPr>
              <w:pStyle w:val="ConsPlusNormal"/>
              <w:jc w:val="both"/>
            </w:pPr>
            <w:r>
              <w:t>3. Модернизация объектов дополнительного образования.</w:t>
            </w:r>
          </w:p>
          <w:p w14:paraId="3335AB00" w14:textId="77777777" w:rsidR="00454A29" w:rsidRDefault="00454A29">
            <w:pPr>
              <w:pStyle w:val="ConsPlusNormal"/>
              <w:jc w:val="both"/>
            </w:pPr>
            <w:r>
              <w:t>4. Модернизация объектов профессионального образования.</w:t>
            </w:r>
          </w:p>
          <w:p w14:paraId="2CEDFE9C" w14:textId="77777777" w:rsidR="00454A29" w:rsidRDefault="00454A29">
            <w:pPr>
              <w:pStyle w:val="ConsPlusNormal"/>
              <w:jc w:val="both"/>
            </w:pPr>
            <w:r>
              <w:t>5. Капитальный ремонт образовательных организаций.</w:t>
            </w:r>
          </w:p>
          <w:p w14:paraId="414D77D2" w14:textId="77777777" w:rsidR="00454A29" w:rsidRDefault="00454A29">
            <w:pPr>
              <w:pStyle w:val="ConsPlusNormal"/>
              <w:jc w:val="both"/>
            </w:pPr>
            <w:r>
              <w:t>6. Энергосбережение и энергоэффективность государственных образовательных организаций.</w:t>
            </w:r>
          </w:p>
          <w:p w14:paraId="53FA8243" w14:textId="77777777" w:rsidR="00454A29" w:rsidRDefault="00454A29">
            <w:pPr>
              <w:pStyle w:val="ConsPlusNormal"/>
              <w:jc w:val="both"/>
            </w:pPr>
            <w:r>
              <w:t>7. Создание условий для раннего развития детей в возрасте до трех лет</w:t>
            </w:r>
          </w:p>
        </w:tc>
      </w:tr>
      <w:tr w:rsidR="00454A29" w14:paraId="0A2FD123" w14:textId="77777777">
        <w:tc>
          <w:tcPr>
            <w:tcW w:w="2835" w:type="dxa"/>
          </w:tcPr>
          <w:p w14:paraId="3A7BBEA3" w14:textId="77777777" w:rsidR="00454A29" w:rsidRDefault="00454A29">
            <w:pPr>
              <w:pStyle w:val="ConsPlusNormal"/>
            </w:pPr>
            <w:r>
              <w:t>Целевые показатели (индикаторы) подпрограммы</w:t>
            </w:r>
          </w:p>
        </w:tc>
        <w:tc>
          <w:tcPr>
            <w:tcW w:w="6236" w:type="dxa"/>
          </w:tcPr>
          <w:p w14:paraId="384D57D8" w14:textId="77777777" w:rsidR="00454A29" w:rsidRDefault="00454A29">
            <w:pPr>
              <w:pStyle w:val="ConsPlusNormal"/>
              <w:jc w:val="both"/>
            </w:pPr>
            <w:r>
              <w:t>1. Количество новых зданий, создаваемых путем строительства, приобретения и реконструкции образовательных организаций: в 2020 году - 1, в 2021 году - 1, в 2022 году - 0, в 2023 году - 16, в 2024 году - 40, в 2025 году - 16, в 2026 году - 4</w:t>
            </w:r>
          </w:p>
        </w:tc>
      </w:tr>
      <w:tr w:rsidR="00454A29" w14:paraId="64A9FE43" w14:textId="77777777">
        <w:tc>
          <w:tcPr>
            <w:tcW w:w="2835" w:type="dxa"/>
          </w:tcPr>
          <w:p w14:paraId="6776F31F" w14:textId="77777777" w:rsidR="00454A29" w:rsidRDefault="00454A29">
            <w:pPr>
              <w:pStyle w:val="ConsPlusNormal"/>
            </w:pPr>
            <w:r>
              <w:t>Сроки реализации подпрограммы</w:t>
            </w:r>
          </w:p>
        </w:tc>
        <w:tc>
          <w:tcPr>
            <w:tcW w:w="6236" w:type="dxa"/>
          </w:tcPr>
          <w:p w14:paraId="5959CA12" w14:textId="77777777" w:rsidR="00454A29" w:rsidRDefault="00454A29">
            <w:pPr>
              <w:pStyle w:val="ConsPlusNormal"/>
              <w:jc w:val="both"/>
            </w:pPr>
            <w:r>
              <w:t>2020 - 2026 годы</w:t>
            </w:r>
          </w:p>
        </w:tc>
      </w:tr>
      <w:tr w:rsidR="00454A29" w14:paraId="6AFB2903" w14:textId="77777777">
        <w:tc>
          <w:tcPr>
            <w:tcW w:w="2835" w:type="dxa"/>
          </w:tcPr>
          <w:p w14:paraId="688C357E" w14:textId="77777777" w:rsidR="00454A29" w:rsidRDefault="00454A29">
            <w:pPr>
              <w:pStyle w:val="ConsPlusNormal"/>
            </w:pPr>
            <w:r>
              <w:t>Объем финансового обеспечения подпрограммы</w:t>
            </w:r>
          </w:p>
        </w:tc>
        <w:tc>
          <w:tcPr>
            <w:tcW w:w="6236" w:type="dxa"/>
          </w:tcPr>
          <w:p w14:paraId="65ED04DA" w14:textId="77777777" w:rsidR="00454A29" w:rsidRDefault="00454A29">
            <w:pPr>
              <w:pStyle w:val="ConsPlusNormal"/>
              <w:jc w:val="both"/>
            </w:pPr>
            <w:r>
              <w:t>Объем финансового обеспечения подпрограммы - 26 604 605 тыс. руб., в том числе по годам:</w:t>
            </w:r>
          </w:p>
          <w:p w14:paraId="50E0167B" w14:textId="77777777" w:rsidR="00454A29" w:rsidRDefault="00454A29">
            <w:pPr>
              <w:pStyle w:val="ConsPlusNormal"/>
              <w:jc w:val="both"/>
            </w:pPr>
            <w:r>
              <w:t>2020 год - 3 243 446 тыс. руб.;</w:t>
            </w:r>
          </w:p>
          <w:p w14:paraId="3FCB4D1E" w14:textId="77777777" w:rsidR="00454A29" w:rsidRDefault="00454A29">
            <w:pPr>
              <w:pStyle w:val="ConsPlusNormal"/>
              <w:jc w:val="both"/>
            </w:pPr>
            <w:r>
              <w:lastRenderedPageBreak/>
              <w:t>2021 год - 3 620 609 тыс. руб.;</w:t>
            </w:r>
          </w:p>
          <w:p w14:paraId="755A48F8" w14:textId="77777777" w:rsidR="00454A29" w:rsidRDefault="00454A29">
            <w:pPr>
              <w:pStyle w:val="ConsPlusNormal"/>
              <w:jc w:val="both"/>
            </w:pPr>
            <w:r>
              <w:t>2022 год - 1 814 370 тыс. руб.;</w:t>
            </w:r>
          </w:p>
          <w:p w14:paraId="23AE4077" w14:textId="77777777" w:rsidR="00454A29" w:rsidRDefault="00454A29">
            <w:pPr>
              <w:pStyle w:val="ConsPlusNormal"/>
              <w:jc w:val="both"/>
            </w:pPr>
            <w:r>
              <w:t>2023 год - 4 065 431 тыс. руб.;</w:t>
            </w:r>
          </w:p>
          <w:p w14:paraId="6EEBDE22" w14:textId="77777777" w:rsidR="00454A29" w:rsidRDefault="00454A29">
            <w:pPr>
              <w:pStyle w:val="ConsPlusNormal"/>
              <w:jc w:val="both"/>
            </w:pPr>
            <w:r>
              <w:t>2024 год - 5 768 945 тыс. руб.;</w:t>
            </w:r>
          </w:p>
          <w:p w14:paraId="69B5B470" w14:textId="77777777" w:rsidR="00454A29" w:rsidRDefault="00454A29">
            <w:pPr>
              <w:pStyle w:val="ConsPlusNormal"/>
              <w:jc w:val="both"/>
            </w:pPr>
            <w:r>
              <w:t>2025 год - 6 479 698 тыс. руб.;</w:t>
            </w:r>
          </w:p>
          <w:p w14:paraId="7AD810B7" w14:textId="77777777" w:rsidR="00454A29" w:rsidRDefault="00454A29">
            <w:pPr>
              <w:pStyle w:val="ConsPlusNormal"/>
              <w:jc w:val="both"/>
            </w:pPr>
            <w:r>
              <w:t>2026 год - 1 612 106 тыс. руб.;</w:t>
            </w:r>
          </w:p>
          <w:p w14:paraId="4E062920" w14:textId="77777777" w:rsidR="00454A29" w:rsidRDefault="00454A29">
            <w:pPr>
              <w:pStyle w:val="ConsPlusNormal"/>
              <w:jc w:val="both"/>
            </w:pPr>
            <w:r>
              <w:t>а) за счет средств государственного бюджета Республики Саха (Якутия) - 20 054 671 тыс. руб., в том числе по годам:</w:t>
            </w:r>
          </w:p>
          <w:p w14:paraId="5D649926" w14:textId="77777777" w:rsidR="00454A29" w:rsidRDefault="00454A29">
            <w:pPr>
              <w:pStyle w:val="ConsPlusNormal"/>
              <w:jc w:val="both"/>
            </w:pPr>
            <w:r>
              <w:t>2020 год - 1 331 740 тыс. руб.;</w:t>
            </w:r>
          </w:p>
          <w:p w14:paraId="77542F8D" w14:textId="77777777" w:rsidR="00454A29" w:rsidRDefault="00454A29">
            <w:pPr>
              <w:pStyle w:val="ConsPlusNormal"/>
              <w:jc w:val="both"/>
            </w:pPr>
            <w:r>
              <w:t>2021 год - 1 310 166 тыс. руб.;</w:t>
            </w:r>
          </w:p>
          <w:p w14:paraId="73B131E0" w14:textId="77777777" w:rsidR="00454A29" w:rsidRDefault="00454A29">
            <w:pPr>
              <w:pStyle w:val="ConsPlusNormal"/>
              <w:jc w:val="both"/>
            </w:pPr>
            <w:r>
              <w:t>2022 год - 1 348 445 тыс. руб.;</w:t>
            </w:r>
          </w:p>
          <w:p w14:paraId="6FD34FBD" w14:textId="77777777" w:rsidR="00454A29" w:rsidRDefault="00454A29">
            <w:pPr>
              <w:pStyle w:val="ConsPlusNormal"/>
              <w:jc w:val="both"/>
            </w:pPr>
            <w:r>
              <w:t>2023 год - 3 421 373 тыс. руб.;</w:t>
            </w:r>
          </w:p>
          <w:p w14:paraId="18A6FF1F" w14:textId="77777777" w:rsidR="00454A29" w:rsidRDefault="00454A29">
            <w:pPr>
              <w:pStyle w:val="ConsPlusNormal"/>
              <w:jc w:val="both"/>
            </w:pPr>
            <w:r>
              <w:t>2024 год - 5 219 172 тыс. руб.;</w:t>
            </w:r>
          </w:p>
          <w:p w14:paraId="59960CAC" w14:textId="77777777" w:rsidR="00454A29" w:rsidRDefault="00454A29">
            <w:pPr>
              <w:pStyle w:val="ConsPlusNormal"/>
              <w:jc w:val="both"/>
            </w:pPr>
            <w:r>
              <w:t>2025 год - 6 082 838 тыс. руб.;</w:t>
            </w:r>
          </w:p>
          <w:p w14:paraId="6C70F61A" w14:textId="77777777" w:rsidR="00454A29" w:rsidRDefault="00454A29">
            <w:pPr>
              <w:pStyle w:val="ConsPlusNormal"/>
              <w:jc w:val="both"/>
            </w:pPr>
            <w:r>
              <w:t>2026 год - 1 340 937 тыс. руб.;</w:t>
            </w:r>
          </w:p>
          <w:p w14:paraId="449E388F" w14:textId="77777777" w:rsidR="00454A29" w:rsidRDefault="00454A29">
            <w:pPr>
              <w:pStyle w:val="ConsPlusNormal"/>
              <w:jc w:val="both"/>
            </w:pPr>
            <w:r>
              <w:t>б) за счет средств федерального бюджета - 2 114 685 тыс. руб., в том числе по годам:</w:t>
            </w:r>
          </w:p>
          <w:p w14:paraId="04EC9C32" w14:textId="77777777" w:rsidR="00454A29" w:rsidRDefault="00454A29">
            <w:pPr>
              <w:pStyle w:val="ConsPlusNormal"/>
              <w:jc w:val="both"/>
            </w:pPr>
            <w:r>
              <w:t>2020 год - 800 876 тыс. руб.;</w:t>
            </w:r>
          </w:p>
          <w:p w14:paraId="0430E044" w14:textId="77777777" w:rsidR="00454A29" w:rsidRDefault="00454A29">
            <w:pPr>
              <w:pStyle w:val="ConsPlusNormal"/>
              <w:jc w:val="both"/>
            </w:pPr>
            <w:r>
              <w:t>2021 год - 1 313 809 тыс. руб.;</w:t>
            </w:r>
          </w:p>
          <w:p w14:paraId="621849B9" w14:textId="77777777" w:rsidR="00454A29" w:rsidRDefault="00454A29">
            <w:pPr>
              <w:pStyle w:val="ConsPlusNormal"/>
              <w:jc w:val="both"/>
            </w:pPr>
            <w:r>
              <w:t>2022 год - 0 тыс. руб.;</w:t>
            </w:r>
          </w:p>
          <w:p w14:paraId="58D120D0" w14:textId="77777777" w:rsidR="00454A29" w:rsidRDefault="00454A29">
            <w:pPr>
              <w:pStyle w:val="ConsPlusNormal"/>
              <w:jc w:val="both"/>
            </w:pPr>
            <w:r>
              <w:t>2023 год - 0 тыс. руб.;</w:t>
            </w:r>
          </w:p>
          <w:p w14:paraId="69E4A6E6" w14:textId="77777777" w:rsidR="00454A29" w:rsidRDefault="00454A29">
            <w:pPr>
              <w:pStyle w:val="ConsPlusNormal"/>
              <w:jc w:val="both"/>
            </w:pPr>
            <w:r>
              <w:t>2024 год - 0 тыс. руб.;</w:t>
            </w:r>
          </w:p>
          <w:p w14:paraId="03E3AF82" w14:textId="77777777" w:rsidR="00454A29" w:rsidRDefault="00454A29">
            <w:pPr>
              <w:pStyle w:val="ConsPlusNormal"/>
              <w:jc w:val="both"/>
            </w:pPr>
            <w:r>
              <w:t>2025 год - 0 тыс. руб.;</w:t>
            </w:r>
          </w:p>
          <w:p w14:paraId="50D0BB8F" w14:textId="77777777" w:rsidR="00454A29" w:rsidRDefault="00454A29">
            <w:pPr>
              <w:pStyle w:val="ConsPlusNormal"/>
              <w:jc w:val="both"/>
            </w:pPr>
            <w:r>
              <w:t>2026 год - 0 тыс. руб.;</w:t>
            </w:r>
          </w:p>
          <w:p w14:paraId="72B832AA" w14:textId="77777777" w:rsidR="00454A29" w:rsidRDefault="00454A29">
            <w:pPr>
              <w:pStyle w:val="ConsPlusNormal"/>
              <w:jc w:val="both"/>
            </w:pPr>
            <w:r>
              <w:t>в) за счет средств местных бюджетов - 3 192 023 тыс. руб., в том числе по годам:</w:t>
            </w:r>
          </w:p>
          <w:p w14:paraId="1F7C9C2B" w14:textId="77777777" w:rsidR="00454A29" w:rsidRDefault="00454A29">
            <w:pPr>
              <w:pStyle w:val="ConsPlusNormal"/>
              <w:jc w:val="both"/>
            </w:pPr>
            <w:r>
              <w:t>2020 год - 415 802 тыс. руб.;</w:t>
            </w:r>
          </w:p>
          <w:p w14:paraId="0A7FF391" w14:textId="77777777" w:rsidR="00454A29" w:rsidRDefault="00454A29">
            <w:pPr>
              <w:pStyle w:val="ConsPlusNormal"/>
              <w:jc w:val="both"/>
            </w:pPr>
            <w:r>
              <w:t>2021 год - 448 436 тыс. руб.;</w:t>
            </w:r>
          </w:p>
          <w:p w14:paraId="69AFC243" w14:textId="77777777" w:rsidR="00454A29" w:rsidRDefault="00454A29">
            <w:pPr>
              <w:pStyle w:val="ConsPlusNormal"/>
              <w:jc w:val="both"/>
            </w:pPr>
            <w:r>
              <w:t>2022 год - 465 925 тыс. руб.;</w:t>
            </w:r>
          </w:p>
          <w:p w14:paraId="16BC7436" w14:textId="77777777" w:rsidR="00454A29" w:rsidRDefault="00454A29">
            <w:pPr>
              <w:pStyle w:val="ConsPlusNormal"/>
              <w:jc w:val="both"/>
            </w:pPr>
            <w:r>
              <w:t>2023 год - 644 058 тыс. руб.;</w:t>
            </w:r>
          </w:p>
          <w:p w14:paraId="56C2F65C" w14:textId="77777777" w:rsidR="00454A29" w:rsidRDefault="00454A29">
            <w:pPr>
              <w:pStyle w:val="ConsPlusNormal"/>
              <w:jc w:val="both"/>
            </w:pPr>
            <w:r>
              <w:t>2024 год - 549 773 тыс. руб.;</w:t>
            </w:r>
          </w:p>
          <w:p w14:paraId="107210D9" w14:textId="77777777" w:rsidR="00454A29" w:rsidRDefault="00454A29">
            <w:pPr>
              <w:pStyle w:val="ConsPlusNormal"/>
              <w:jc w:val="both"/>
            </w:pPr>
            <w:r>
              <w:t>2025 год - 396 860 тыс. руб.;</w:t>
            </w:r>
          </w:p>
          <w:p w14:paraId="02FD1E1E" w14:textId="77777777" w:rsidR="00454A29" w:rsidRDefault="00454A29">
            <w:pPr>
              <w:pStyle w:val="ConsPlusNormal"/>
              <w:jc w:val="both"/>
            </w:pPr>
            <w:r>
              <w:t>2026 год - 271 169 тыс. руб.;</w:t>
            </w:r>
          </w:p>
          <w:p w14:paraId="43790ABD" w14:textId="77777777" w:rsidR="00454A29" w:rsidRDefault="00454A29">
            <w:pPr>
              <w:pStyle w:val="ConsPlusNormal"/>
              <w:jc w:val="both"/>
            </w:pPr>
            <w:r>
              <w:t>г) за счет внебюджетных средств - 1 243 226 тыс. руб., в том числе по годам:</w:t>
            </w:r>
          </w:p>
          <w:p w14:paraId="159DC417" w14:textId="77777777" w:rsidR="00454A29" w:rsidRDefault="00454A29">
            <w:pPr>
              <w:pStyle w:val="ConsPlusNormal"/>
              <w:jc w:val="both"/>
            </w:pPr>
            <w:r>
              <w:t>2020 год - 695 028 тыс. руб.;</w:t>
            </w:r>
          </w:p>
          <w:p w14:paraId="60785F26" w14:textId="77777777" w:rsidR="00454A29" w:rsidRDefault="00454A29">
            <w:pPr>
              <w:pStyle w:val="ConsPlusNormal"/>
              <w:jc w:val="both"/>
            </w:pPr>
            <w:r>
              <w:t>2021 год - 548 198 тыс. руб.;</w:t>
            </w:r>
          </w:p>
          <w:p w14:paraId="04E728DF" w14:textId="77777777" w:rsidR="00454A29" w:rsidRDefault="00454A29">
            <w:pPr>
              <w:pStyle w:val="ConsPlusNormal"/>
              <w:jc w:val="both"/>
            </w:pPr>
            <w:r>
              <w:t>2022 год - 0 тыс. руб.;</w:t>
            </w:r>
          </w:p>
          <w:p w14:paraId="3317B45A" w14:textId="77777777" w:rsidR="00454A29" w:rsidRDefault="00454A29">
            <w:pPr>
              <w:pStyle w:val="ConsPlusNormal"/>
              <w:jc w:val="both"/>
            </w:pPr>
            <w:r>
              <w:t>2023 год - 0 тыс. руб.;</w:t>
            </w:r>
          </w:p>
          <w:p w14:paraId="2F6EA328" w14:textId="77777777" w:rsidR="00454A29" w:rsidRDefault="00454A29">
            <w:pPr>
              <w:pStyle w:val="ConsPlusNormal"/>
              <w:jc w:val="both"/>
            </w:pPr>
            <w:r>
              <w:t>2024 год - 0 тыс. руб.;</w:t>
            </w:r>
          </w:p>
          <w:p w14:paraId="427613CB" w14:textId="77777777" w:rsidR="00454A29" w:rsidRDefault="00454A29">
            <w:pPr>
              <w:pStyle w:val="ConsPlusNormal"/>
              <w:jc w:val="both"/>
            </w:pPr>
            <w:r>
              <w:t>2025 год - 0 тыс. руб.;</w:t>
            </w:r>
          </w:p>
          <w:p w14:paraId="46E2198E" w14:textId="77777777" w:rsidR="00454A29" w:rsidRDefault="00454A29">
            <w:pPr>
              <w:pStyle w:val="ConsPlusNormal"/>
              <w:jc w:val="both"/>
            </w:pPr>
            <w:r>
              <w:t>2026 год - 0 тыс. руб.</w:t>
            </w:r>
          </w:p>
        </w:tc>
      </w:tr>
      <w:tr w:rsidR="00454A29" w14:paraId="24E04180" w14:textId="77777777">
        <w:tc>
          <w:tcPr>
            <w:tcW w:w="2835" w:type="dxa"/>
          </w:tcPr>
          <w:p w14:paraId="40613C6B" w14:textId="77777777" w:rsidR="00454A29" w:rsidRDefault="00454A29">
            <w:pPr>
              <w:pStyle w:val="ConsPlusNormal"/>
            </w:pPr>
            <w:r>
              <w:lastRenderedPageBreak/>
              <w:t>Ожидаемый результат реализации подпрограммы</w:t>
            </w:r>
          </w:p>
        </w:tc>
        <w:tc>
          <w:tcPr>
            <w:tcW w:w="6236" w:type="dxa"/>
          </w:tcPr>
          <w:p w14:paraId="6D57B71A" w14:textId="77777777" w:rsidR="00454A29" w:rsidRDefault="00454A29">
            <w:pPr>
              <w:pStyle w:val="ConsPlusNormal"/>
              <w:jc w:val="both"/>
            </w:pPr>
            <w:r>
              <w:t>Введение в эксплуатацию 78 новых зданий путем строительства, приобретения и реконструкции образовательных организаций Республики Саха (Якутия), в том числе:</w:t>
            </w:r>
          </w:p>
          <w:p w14:paraId="59183F4E" w14:textId="77777777" w:rsidR="00454A29" w:rsidRDefault="00454A29">
            <w:pPr>
              <w:pStyle w:val="ConsPlusNormal"/>
              <w:jc w:val="both"/>
            </w:pPr>
            <w:r>
              <w:t>объектов дошкольного образования - 56;</w:t>
            </w:r>
          </w:p>
          <w:p w14:paraId="12416BAE" w14:textId="77777777" w:rsidR="00454A29" w:rsidRDefault="00454A29">
            <w:pPr>
              <w:pStyle w:val="ConsPlusNormal"/>
              <w:jc w:val="both"/>
            </w:pPr>
            <w:r>
              <w:t>объектов общего образования - 5;</w:t>
            </w:r>
          </w:p>
          <w:p w14:paraId="72CCAB9A" w14:textId="77777777" w:rsidR="00454A29" w:rsidRDefault="00454A29">
            <w:pPr>
              <w:pStyle w:val="ConsPlusNormal"/>
              <w:jc w:val="both"/>
            </w:pPr>
            <w:r>
              <w:t>объектов дополнительного образования - 1;</w:t>
            </w:r>
          </w:p>
          <w:p w14:paraId="30E03865" w14:textId="77777777" w:rsidR="00454A29" w:rsidRDefault="00454A29">
            <w:pPr>
              <w:pStyle w:val="ConsPlusNormal"/>
              <w:jc w:val="both"/>
            </w:pPr>
            <w:r>
              <w:t>объектов профессионального образования - 16</w:t>
            </w:r>
          </w:p>
        </w:tc>
      </w:tr>
    </w:tbl>
    <w:p w14:paraId="4A3D97ED" w14:textId="77777777" w:rsidR="00454A29" w:rsidRDefault="00454A29">
      <w:pPr>
        <w:pStyle w:val="ConsPlusNormal"/>
      </w:pPr>
    </w:p>
    <w:p w14:paraId="37FA436D" w14:textId="77777777" w:rsidR="00454A29" w:rsidRDefault="00454A29">
      <w:pPr>
        <w:pStyle w:val="ConsPlusTitle"/>
        <w:jc w:val="center"/>
        <w:outlineLvl w:val="1"/>
      </w:pPr>
      <w:r>
        <w:t>Раздел 1. ХАРАКТЕРИСТИКА ТЕКУЩЕГО СОСТОЯНИЯ СИСТЕМЫ</w:t>
      </w:r>
    </w:p>
    <w:p w14:paraId="16F98EC2" w14:textId="77777777" w:rsidR="00454A29" w:rsidRDefault="00454A29">
      <w:pPr>
        <w:pStyle w:val="ConsPlusTitle"/>
        <w:jc w:val="center"/>
      </w:pPr>
      <w:r>
        <w:t>ОБРАЗОВАНИЯ РЕСПУБЛИКИ САХА (ЯКУТИЯ), ОСНОВНЫЕ ПОКАЗАТЕЛИ</w:t>
      </w:r>
    </w:p>
    <w:p w14:paraId="7EE65A00" w14:textId="77777777" w:rsidR="00454A29" w:rsidRDefault="00454A29">
      <w:pPr>
        <w:pStyle w:val="ConsPlusTitle"/>
        <w:jc w:val="center"/>
      </w:pPr>
      <w:r>
        <w:lastRenderedPageBreak/>
        <w:t>И АНАЛИЗ СОЦИАЛЬНЫХ, ФИНАНСОВО-ЭКОНОМИЧЕСКИХ РИСКОВ</w:t>
      </w:r>
    </w:p>
    <w:p w14:paraId="6617B4AC" w14:textId="77777777" w:rsidR="00454A29" w:rsidRDefault="00454A29">
      <w:pPr>
        <w:pStyle w:val="ConsPlusNormal"/>
      </w:pPr>
    </w:p>
    <w:p w14:paraId="367B224C" w14:textId="77777777" w:rsidR="00454A29" w:rsidRDefault="00454A29">
      <w:pPr>
        <w:pStyle w:val="ConsPlusNormal"/>
        <w:ind w:firstLine="540"/>
        <w:jc w:val="both"/>
      </w:pPr>
      <w:r>
        <w:t>Образование - основа благосостояния народов. В Республике Саха (Якутия) сфере образования уделяется первостепенное внимание, реализованы проекты комплексной модернизации дошкольного, общего и профессионального образования.</w:t>
      </w:r>
    </w:p>
    <w:p w14:paraId="2CDF8218" w14:textId="77777777" w:rsidR="00454A29" w:rsidRDefault="00454A29">
      <w:pPr>
        <w:pStyle w:val="ConsPlusNormal"/>
        <w:spacing w:before="220"/>
        <w:ind w:firstLine="540"/>
        <w:jc w:val="both"/>
      </w:pPr>
      <w:r>
        <w:t xml:space="preserve">Реализация комплексного проекта модернизации образования положила начало системным изменениям: совершенствуется система нормативного финансирования, система оплаты труда, создана нормативная база для развития негосударственного сектора в сфере образования и равного финансирования вне зависимости от формы собственности, предусмотрены повышающие коэффициенты для школ, реализующих образовательные программы, учитывающие особенности республики (агропрофилированные школы, кочевые школы). Осуществляется поэтапное введение федеральных государственных образовательных стандартов (далее - ФГОС) уровней общего образования, внедрены ФГОС среднего профессионального и высшего образования. В образовательных организациях реализуется Концепция развития инклюзивного образования в Республике Саха (Якутия). В </w:t>
      </w:r>
      <w:hyperlink r:id="rId15" w:history="1">
        <w:r>
          <w:rPr>
            <w:color w:val="0000FF"/>
          </w:rPr>
          <w:t>Закон</w:t>
        </w:r>
      </w:hyperlink>
      <w:r>
        <w:t xml:space="preserve"> Республики Саха (Якутия) от 15 декабря 2014 г. 1401-З N 359-V "Об образовании в Республике Саха (Якутия)".</w:t>
      </w:r>
    </w:p>
    <w:p w14:paraId="158EAD4F" w14:textId="77777777" w:rsidR="00454A29" w:rsidRDefault="00454A29">
      <w:pPr>
        <w:pStyle w:val="ConsPlusNormal"/>
        <w:spacing w:before="220"/>
        <w:ind w:firstLine="540"/>
        <w:jc w:val="both"/>
      </w:pPr>
      <w:r>
        <w:t>Общая численность детей в возрасте от 0 до 7 лет на территории Республики Саха (Якутия) в 2018 году составляет 126 817 чел., в том числе городского населения - 77 409 чел., сельского населения - 49 408 чел.</w:t>
      </w:r>
    </w:p>
    <w:p w14:paraId="1D9B7A55" w14:textId="77777777" w:rsidR="00454A29" w:rsidRDefault="00454A29">
      <w:pPr>
        <w:pStyle w:val="ConsPlusNormal"/>
        <w:spacing w:before="220"/>
        <w:ind w:firstLine="540"/>
        <w:jc w:val="both"/>
      </w:pPr>
      <w:r>
        <w:t>Охват дошкольным образованием детей в возрасте от 0 до 7 лет составляет 68380 детей, в том числе детей в возрасте до 3 лет - 9928, детей в возрасте от 3 до 7 лет - 58451.</w:t>
      </w:r>
    </w:p>
    <w:p w14:paraId="70B0BF0E" w14:textId="77777777" w:rsidR="00454A29" w:rsidRDefault="00454A29">
      <w:pPr>
        <w:pStyle w:val="ConsPlusNormal"/>
      </w:pPr>
    </w:p>
    <w:p w14:paraId="479E746C" w14:textId="77777777" w:rsidR="00454A29" w:rsidRDefault="00454A29">
      <w:pPr>
        <w:pStyle w:val="ConsPlusTitle"/>
        <w:jc w:val="center"/>
        <w:outlineLvl w:val="2"/>
      </w:pPr>
      <w:r>
        <w:t>Система общего образования</w:t>
      </w:r>
    </w:p>
    <w:p w14:paraId="24E52249" w14:textId="77777777" w:rsidR="00454A29" w:rsidRDefault="00454A29">
      <w:pPr>
        <w:pStyle w:val="ConsPlusNormal"/>
      </w:pPr>
    </w:p>
    <w:p w14:paraId="05611633" w14:textId="77777777" w:rsidR="00454A29" w:rsidRDefault="00454A29">
      <w:pPr>
        <w:pStyle w:val="ConsPlusNormal"/>
        <w:ind w:firstLine="540"/>
        <w:jc w:val="both"/>
      </w:pPr>
      <w:r>
        <w:t>По состоянию на 1 января 2019 года в Республике Саха (Якутия), согласно данным Территориального органа федеральной службы государственной статистики по Республике Саха (Якутия), функционируют 749 организаций всех форм собственности, включая филиалы (68 380 воспитанников), осуществляющих образовательную деятельность по образовательным программам дошкольного образования, присмотр и уход за детьми, из них:</w:t>
      </w:r>
    </w:p>
    <w:p w14:paraId="789D6788" w14:textId="77777777" w:rsidR="00454A29" w:rsidRDefault="00454A29">
      <w:pPr>
        <w:pStyle w:val="ConsPlusNormal"/>
        <w:spacing w:before="220"/>
        <w:ind w:firstLine="540"/>
        <w:jc w:val="both"/>
      </w:pPr>
      <w:r>
        <w:t>593 муниципальных самостоятельных детских сада;</w:t>
      </w:r>
    </w:p>
    <w:p w14:paraId="4999D7C6" w14:textId="77777777" w:rsidR="00454A29" w:rsidRDefault="00454A29">
      <w:pPr>
        <w:pStyle w:val="ConsPlusNormal"/>
        <w:spacing w:before="220"/>
        <w:ind w:firstLine="540"/>
        <w:jc w:val="both"/>
      </w:pPr>
      <w:r>
        <w:t>31 филиал частных организаций (на 5047 воспитанников, из них 4440 АН ДОО "Алмазик" АК "АЛРОСА" в 27 филиалах, 607 - ПАО "Якутскэнерго" в 3 филиалах);</w:t>
      </w:r>
    </w:p>
    <w:p w14:paraId="2DF79B13" w14:textId="77777777" w:rsidR="00454A29" w:rsidRDefault="00454A29">
      <w:pPr>
        <w:pStyle w:val="ConsPlusNormal"/>
        <w:spacing w:before="220"/>
        <w:ind w:firstLine="540"/>
        <w:jc w:val="both"/>
      </w:pPr>
      <w:r>
        <w:t>4 обособленных подразделения общеобразовательных организаций;</w:t>
      </w:r>
    </w:p>
    <w:p w14:paraId="0F050112" w14:textId="77777777" w:rsidR="00454A29" w:rsidRDefault="00454A29">
      <w:pPr>
        <w:pStyle w:val="ConsPlusNormal"/>
        <w:spacing w:before="220"/>
        <w:ind w:firstLine="540"/>
        <w:jc w:val="both"/>
      </w:pPr>
      <w:r>
        <w:t>115 общеобразовательных организаций с дошкольными группами;</w:t>
      </w:r>
    </w:p>
    <w:p w14:paraId="4E06C8DC" w14:textId="77777777" w:rsidR="00454A29" w:rsidRDefault="00454A29">
      <w:pPr>
        <w:pStyle w:val="ConsPlusNormal"/>
        <w:spacing w:before="220"/>
        <w:ind w:firstLine="540"/>
        <w:jc w:val="both"/>
      </w:pPr>
      <w:r>
        <w:t>5 организаций на 195 детей, из них 2 организации дополнительного образования детей, 2 профессиональные образовательные организации, 1 организация - иные юридические лица с дошкольными группами;</w:t>
      </w:r>
    </w:p>
    <w:p w14:paraId="75547809" w14:textId="77777777" w:rsidR="00454A29" w:rsidRDefault="00454A29">
      <w:pPr>
        <w:pStyle w:val="ConsPlusNormal"/>
        <w:spacing w:before="220"/>
        <w:ind w:firstLine="540"/>
        <w:jc w:val="both"/>
      </w:pPr>
      <w:r>
        <w:t>1 федеральная (ведомственная) дошкольная образовательная организация.</w:t>
      </w:r>
    </w:p>
    <w:p w14:paraId="448DE27C" w14:textId="77777777" w:rsidR="00454A29" w:rsidRDefault="00454A29">
      <w:pPr>
        <w:pStyle w:val="ConsPlusNormal"/>
        <w:spacing w:before="220"/>
        <w:ind w:firstLine="540"/>
        <w:jc w:val="both"/>
      </w:pPr>
      <w:r>
        <w:t>Кроме того, образовательные программы дошкольного образования, присмотр и уход за детьми реализуют:</w:t>
      </w:r>
    </w:p>
    <w:p w14:paraId="12369A92" w14:textId="77777777" w:rsidR="00454A29" w:rsidRDefault="00454A29">
      <w:pPr>
        <w:pStyle w:val="ConsPlusNormal"/>
        <w:spacing w:before="220"/>
        <w:ind w:firstLine="540"/>
        <w:jc w:val="both"/>
      </w:pPr>
      <w:r>
        <w:t>19 индивидуальных предпринимателей по проекту "Партнерство" с охватом 295 воспитанников, в том числе в городском округе "город Якутск" 10 индивидуальных предпринимателей с охватом 121 воспитанника;</w:t>
      </w:r>
    </w:p>
    <w:p w14:paraId="53D49F9D" w14:textId="77777777" w:rsidR="00454A29" w:rsidRDefault="00454A29">
      <w:pPr>
        <w:pStyle w:val="ConsPlusNormal"/>
        <w:spacing w:before="220"/>
        <w:ind w:firstLine="540"/>
        <w:jc w:val="both"/>
      </w:pPr>
      <w:r>
        <w:t xml:space="preserve">41 индивидуальный предприниматель с лицензией на оказание образовательных услуг с </w:t>
      </w:r>
      <w:r>
        <w:lastRenderedPageBreak/>
        <w:t>охватом 4 130 воспитанников, в том числе в городском округе "город Якутск" 39 индивидуальных предпринимателей с охватом 4 070 воспитанников (плюс 23 помещения-филиала);</w:t>
      </w:r>
    </w:p>
    <w:p w14:paraId="1EFC3C4E" w14:textId="77777777" w:rsidR="00454A29" w:rsidRDefault="00454A29">
      <w:pPr>
        <w:pStyle w:val="ConsPlusNormal"/>
        <w:spacing w:before="220"/>
        <w:ind w:firstLine="540"/>
        <w:jc w:val="both"/>
      </w:pPr>
      <w:r>
        <w:t>652 общеобразовательные организации, из которых 631 является муниципальными (государственными) дневными, 14 - вечерними, 7 - негосударственными, в которых обучается 146 105 детей.</w:t>
      </w:r>
    </w:p>
    <w:p w14:paraId="4DA22FE3" w14:textId="77777777" w:rsidR="00454A29" w:rsidRDefault="00454A29">
      <w:pPr>
        <w:pStyle w:val="ConsPlusNormal"/>
        <w:spacing w:before="220"/>
        <w:ind w:firstLine="540"/>
        <w:jc w:val="both"/>
      </w:pPr>
      <w:r>
        <w:t>Основными показателями развития системы общего образования с 2012 года стали:</w:t>
      </w:r>
    </w:p>
    <w:p w14:paraId="6213F01A" w14:textId="77777777" w:rsidR="00454A29" w:rsidRDefault="00454A29">
      <w:pPr>
        <w:pStyle w:val="ConsPlusNormal"/>
        <w:spacing w:before="220"/>
        <w:ind w:firstLine="540"/>
        <w:jc w:val="both"/>
      </w:pPr>
      <w:r>
        <w:t>строительство 116 детских садов на 8632 места, 74 школы на 12 719 мест;</w:t>
      </w:r>
    </w:p>
    <w:p w14:paraId="31EF1114" w14:textId="77777777" w:rsidR="00454A29" w:rsidRDefault="00454A29">
      <w:pPr>
        <w:pStyle w:val="ConsPlusNormal"/>
        <w:spacing w:before="220"/>
        <w:ind w:firstLine="540"/>
        <w:jc w:val="both"/>
      </w:pPr>
      <w:r>
        <w:t>соответствие 78% объектов системы образования современным условиям;</w:t>
      </w:r>
    </w:p>
    <w:p w14:paraId="3B6EFADE" w14:textId="77777777" w:rsidR="00454A29" w:rsidRDefault="00454A29">
      <w:pPr>
        <w:pStyle w:val="ConsPlusNormal"/>
        <w:spacing w:before="220"/>
        <w:ind w:firstLine="540"/>
        <w:jc w:val="both"/>
      </w:pPr>
      <w:r>
        <w:t>увеличение количества учебников федерального и республиканского перечней в расчете на 1 обучающегося с 61 до 71;</w:t>
      </w:r>
    </w:p>
    <w:p w14:paraId="2B9ADEE2" w14:textId="77777777" w:rsidR="00454A29" w:rsidRDefault="00454A29">
      <w:pPr>
        <w:pStyle w:val="ConsPlusNormal"/>
        <w:spacing w:before="220"/>
        <w:ind w:firstLine="540"/>
        <w:jc w:val="both"/>
      </w:pPr>
      <w:r>
        <w:t>стопроцентный охват детей от 3 до 7 лет услугами дошкольного образования;</w:t>
      </w:r>
    </w:p>
    <w:p w14:paraId="6F653B79" w14:textId="77777777" w:rsidR="00454A29" w:rsidRDefault="00454A29">
      <w:pPr>
        <w:pStyle w:val="ConsPlusNormal"/>
        <w:spacing w:before="220"/>
        <w:ind w:firstLine="540"/>
        <w:jc w:val="both"/>
      </w:pPr>
      <w:r>
        <w:t>уменьшение численности обучающихся, приходящихся на 1 компьютер, с 5,4 до 5,3;</w:t>
      </w:r>
    </w:p>
    <w:p w14:paraId="19A773B7" w14:textId="77777777" w:rsidR="00454A29" w:rsidRDefault="00454A29">
      <w:pPr>
        <w:pStyle w:val="ConsPlusNormal"/>
        <w:spacing w:before="220"/>
        <w:ind w:firstLine="540"/>
        <w:jc w:val="both"/>
      </w:pPr>
      <w:r>
        <w:t>снижение доли обучающихся во вторую смену с 19,9% до 16,7%;</w:t>
      </w:r>
    </w:p>
    <w:p w14:paraId="480EF68B" w14:textId="77777777" w:rsidR="00454A29" w:rsidRDefault="00454A29">
      <w:pPr>
        <w:pStyle w:val="ConsPlusNormal"/>
        <w:spacing w:before="220"/>
        <w:ind w:firstLine="540"/>
        <w:jc w:val="both"/>
      </w:pPr>
      <w:r>
        <w:t>увеличение доли учащихся, обучающихся по программам профильного обучения, с 54,8% до 62,3%;</w:t>
      </w:r>
    </w:p>
    <w:p w14:paraId="0114FBC8" w14:textId="77777777" w:rsidR="00454A29" w:rsidRDefault="00454A29">
      <w:pPr>
        <w:pStyle w:val="ConsPlusNormal"/>
        <w:spacing w:before="220"/>
        <w:ind w:firstLine="540"/>
        <w:jc w:val="both"/>
      </w:pPr>
      <w:r>
        <w:t>осуществление 92 школами допрофессиональной и профессиональной подготовки обучающихся (19,5% от общего числа школ старшей ступени обучения);</w:t>
      </w:r>
    </w:p>
    <w:p w14:paraId="1D0BCD7F" w14:textId="77777777" w:rsidR="00454A29" w:rsidRDefault="00454A29">
      <w:pPr>
        <w:pStyle w:val="ConsPlusNormal"/>
        <w:spacing w:before="220"/>
        <w:ind w:firstLine="540"/>
        <w:jc w:val="both"/>
      </w:pPr>
      <w:r>
        <w:t>37 призеров заключительного этапа всероссийских олимпиад школьников;</w:t>
      </w:r>
    </w:p>
    <w:p w14:paraId="68D7508F" w14:textId="77777777" w:rsidR="00454A29" w:rsidRDefault="00454A29">
      <w:pPr>
        <w:pStyle w:val="ConsPlusNormal"/>
        <w:spacing w:before="220"/>
        <w:ind w:firstLine="540"/>
        <w:jc w:val="both"/>
      </w:pPr>
      <w:r>
        <w:t>176 выпускников, получивших 100 баллов по результатам ЕГЭ;</w:t>
      </w:r>
    </w:p>
    <w:p w14:paraId="273A77F9" w14:textId="77777777" w:rsidR="00454A29" w:rsidRDefault="00454A29">
      <w:pPr>
        <w:pStyle w:val="ConsPlusNormal"/>
        <w:spacing w:before="220"/>
        <w:ind w:firstLine="540"/>
        <w:jc w:val="both"/>
      </w:pPr>
      <w:r>
        <w:t>145 обучающихся, удостоенных премии Президента Российской Федерации по поддержке талантливой молодежи;</w:t>
      </w:r>
    </w:p>
    <w:p w14:paraId="09194A8D" w14:textId="77777777" w:rsidR="00454A29" w:rsidRDefault="00454A29">
      <w:pPr>
        <w:pStyle w:val="ConsPlusNormal"/>
        <w:spacing w:before="220"/>
        <w:ind w:firstLine="540"/>
        <w:jc w:val="both"/>
      </w:pPr>
      <w:r>
        <w:t>повышение доли педагогических работников с высшим образованием на 23,3%;</w:t>
      </w:r>
    </w:p>
    <w:p w14:paraId="2A4DB474" w14:textId="77777777" w:rsidR="00454A29" w:rsidRDefault="00454A29">
      <w:pPr>
        <w:pStyle w:val="ConsPlusNormal"/>
        <w:spacing w:before="220"/>
        <w:ind w:firstLine="540"/>
        <w:jc w:val="both"/>
      </w:pPr>
      <w:r>
        <w:t>повышение доли педагогических работников, имеющих высшую квалификационную категорию, на 7%;</w:t>
      </w:r>
    </w:p>
    <w:p w14:paraId="02108695" w14:textId="77777777" w:rsidR="00454A29" w:rsidRDefault="00454A29">
      <w:pPr>
        <w:pStyle w:val="ConsPlusNormal"/>
        <w:spacing w:before="220"/>
        <w:ind w:firstLine="540"/>
        <w:jc w:val="both"/>
      </w:pPr>
      <w:r>
        <w:t>реализация вариативных образовательных программ: профильного, дуального, инклюзивного образования, агропрофилированных, политехнических, кочевых, кадетских, ассоциированных школ и др.;</w:t>
      </w:r>
    </w:p>
    <w:p w14:paraId="4F07BDB2" w14:textId="77777777" w:rsidR="00454A29" w:rsidRDefault="00454A29">
      <w:pPr>
        <w:pStyle w:val="ConsPlusNormal"/>
        <w:spacing w:before="220"/>
        <w:ind w:firstLine="540"/>
        <w:jc w:val="both"/>
      </w:pPr>
      <w:r>
        <w:t>создание сети школ-бизнес образования, бизнес-инкубаторов;</w:t>
      </w:r>
    </w:p>
    <w:p w14:paraId="77053F03" w14:textId="77777777" w:rsidR="00454A29" w:rsidRDefault="00454A29">
      <w:pPr>
        <w:pStyle w:val="ConsPlusNormal"/>
        <w:spacing w:before="220"/>
        <w:ind w:firstLine="540"/>
        <w:jc w:val="both"/>
      </w:pPr>
      <w:r>
        <w:t>формирование инфраструктуры электронного обучения, внедрение электронного документооборота;</w:t>
      </w:r>
    </w:p>
    <w:p w14:paraId="1F4F55C5" w14:textId="77777777" w:rsidR="00454A29" w:rsidRDefault="00454A29">
      <w:pPr>
        <w:pStyle w:val="ConsPlusNormal"/>
        <w:spacing w:before="220"/>
        <w:ind w:firstLine="540"/>
        <w:jc w:val="both"/>
      </w:pPr>
      <w:r>
        <w:t>совершенствование системы поиска и поддержки талантливых детей, деятельности Малой академии наук;</w:t>
      </w:r>
    </w:p>
    <w:p w14:paraId="419A2DD3" w14:textId="77777777" w:rsidR="00454A29" w:rsidRDefault="00454A29">
      <w:pPr>
        <w:pStyle w:val="ConsPlusNormal"/>
        <w:spacing w:before="220"/>
        <w:ind w:firstLine="540"/>
        <w:jc w:val="both"/>
      </w:pPr>
      <w:r>
        <w:t>совершенствование системы профориентационной работы;</w:t>
      </w:r>
    </w:p>
    <w:p w14:paraId="52DCC786" w14:textId="77777777" w:rsidR="00454A29" w:rsidRDefault="00454A29">
      <w:pPr>
        <w:pStyle w:val="ConsPlusNormal"/>
        <w:spacing w:before="220"/>
        <w:ind w:firstLine="540"/>
        <w:jc w:val="both"/>
      </w:pPr>
      <w:r>
        <w:t>система поддержки педагогических кадров (повышение заработной платы, обеспечение жильем, грантовое стимулирование);</w:t>
      </w:r>
    </w:p>
    <w:p w14:paraId="7ADF51A4" w14:textId="77777777" w:rsidR="00454A29" w:rsidRDefault="00454A29">
      <w:pPr>
        <w:pStyle w:val="ConsPlusNormal"/>
        <w:spacing w:before="220"/>
        <w:ind w:firstLine="540"/>
        <w:jc w:val="both"/>
      </w:pPr>
      <w:r>
        <w:t xml:space="preserve">система оценки качества образования, в том числе внедрение независимой оценки качества </w:t>
      </w:r>
      <w:r>
        <w:lastRenderedPageBreak/>
        <w:t>оказания услуг;</w:t>
      </w:r>
    </w:p>
    <w:p w14:paraId="644C0B58" w14:textId="77777777" w:rsidR="00454A29" w:rsidRDefault="00454A29">
      <w:pPr>
        <w:pStyle w:val="ConsPlusNormal"/>
        <w:spacing w:before="220"/>
        <w:ind w:firstLine="540"/>
        <w:jc w:val="both"/>
      </w:pPr>
      <w:r>
        <w:t>реализация проектов "Детский сад без границ", "Раннее развитие детей", "Полилингвальный детский сад", "Виртуальный детский сад", "Одаренный ребенок", "ВеДеДо", "Точки роста", "Республиканский учебник", "Дуальное образование", "Агропрофилированные школы", "Международная олимпиада "Туймаада", "Профессиональное будущее Якутии", "Молодой хозяин земли", "Воспитание - всем обществом", "Будущий дипломат", "Кочевая школа", "Учитель Арктики", "Культура народов Республики Саха (Якутия)", "ФГОС в школах коренных малочисленных народов Севера Республики Саха (Якутия)", "Детское североведение" и др.</w:t>
      </w:r>
    </w:p>
    <w:p w14:paraId="545C1818" w14:textId="77777777" w:rsidR="00454A29" w:rsidRDefault="00454A29">
      <w:pPr>
        <w:pStyle w:val="ConsPlusNormal"/>
        <w:spacing w:before="220"/>
        <w:ind w:firstLine="540"/>
        <w:jc w:val="both"/>
      </w:pPr>
      <w:r>
        <w:t>В системе общего образования республики остаются нерешенными проблемы:</w:t>
      </w:r>
    </w:p>
    <w:p w14:paraId="6C15247C" w14:textId="77777777" w:rsidR="00454A29" w:rsidRDefault="00454A29">
      <w:pPr>
        <w:pStyle w:val="ConsPlusNormal"/>
        <w:spacing w:before="220"/>
        <w:ind w:firstLine="540"/>
        <w:jc w:val="both"/>
      </w:pPr>
      <w:r>
        <w:t>наличие 55 аварийных (8,4%) и 12 ветхих (1,8%) зданий школ, 10 аварийных (1,5%) и 5 ветхих (0,7) зданий детских садов;</w:t>
      </w:r>
    </w:p>
    <w:p w14:paraId="0225AC1A" w14:textId="77777777" w:rsidR="00454A29" w:rsidRDefault="00454A29">
      <w:pPr>
        <w:pStyle w:val="ConsPlusNormal"/>
        <w:spacing w:before="220"/>
        <w:ind w:firstLine="540"/>
        <w:jc w:val="both"/>
      </w:pPr>
      <w:r>
        <w:t>наличие 340 школ (52%), не имеющих удобств, из которых в арктической зоне - 60 (53%), 378 детских садов (56%), из них в арктической зоне - 69 (60,5%);</w:t>
      </w:r>
    </w:p>
    <w:p w14:paraId="7A480914" w14:textId="77777777" w:rsidR="00454A29" w:rsidRDefault="00454A29">
      <w:pPr>
        <w:pStyle w:val="ConsPlusNormal"/>
        <w:spacing w:before="220"/>
        <w:ind w:firstLine="540"/>
        <w:jc w:val="both"/>
      </w:pPr>
      <w:r>
        <w:t>не обеспечена доступность дошкольного образования для 35% детей от 2 месяцев до 3 лет, к общей численности детей от 2 месяцев до 3 лет, состоящих в очереди;</w:t>
      </w:r>
    </w:p>
    <w:p w14:paraId="389147D8" w14:textId="77777777" w:rsidR="00454A29" w:rsidRDefault="00454A29">
      <w:pPr>
        <w:pStyle w:val="ConsPlusNormal"/>
        <w:spacing w:before="220"/>
        <w:ind w:firstLine="540"/>
        <w:jc w:val="both"/>
      </w:pPr>
      <w:r>
        <w:t>обучение во вторую смену 16,7% обучающихся;</w:t>
      </w:r>
    </w:p>
    <w:p w14:paraId="387DF286" w14:textId="77777777" w:rsidR="00454A29" w:rsidRDefault="00454A29">
      <w:pPr>
        <w:pStyle w:val="ConsPlusNormal"/>
        <w:spacing w:before="220"/>
        <w:ind w:firstLine="540"/>
        <w:jc w:val="both"/>
      </w:pPr>
      <w:r>
        <w:t>отставание значений средних баллов ОГЭ и ЕГЭ от среднероссийских показателей;</w:t>
      </w:r>
    </w:p>
    <w:p w14:paraId="52CDDC57" w14:textId="77777777" w:rsidR="00454A29" w:rsidRDefault="00454A29">
      <w:pPr>
        <w:pStyle w:val="ConsPlusNormal"/>
        <w:spacing w:before="220"/>
        <w:ind w:firstLine="540"/>
        <w:jc w:val="both"/>
      </w:pPr>
      <w:r>
        <w:t>низкая скорость, отсутствие сети Интернет в отдаленных населенных пунктах, в том числе в северных и арктических. Высокие тарифы на обеспечение доступа к сети Интернет по спутниковой технологии;</w:t>
      </w:r>
    </w:p>
    <w:p w14:paraId="3E8AD165" w14:textId="77777777" w:rsidR="00454A29" w:rsidRDefault="00454A29">
      <w:pPr>
        <w:pStyle w:val="ConsPlusNormal"/>
        <w:spacing w:before="220"/>
        <w:ind w:firstLine="540"/>
        <w:jc w:val="both"/>
      </w:pPr>
      <w:r>
        <w:t>недостаточная обеспеченность квалифицированными кадрами в арктических и северных районах;</w:t>
      </w:r>
    </w:p>
    <w:p w14:paraId="6E8FD6B9" w14:textId="77777777" w:rsidR="00454A29" w:rsidRDefault="00454A29">
      <w:pPr>
        <w:pStyle w:val="ConsPlusNormal"/>
        <w:spacing w:before="220"/>
        <w:ind w:firstLine="540"/>
        <w:jc w:val="both"/>
      </w:pPr>
      <w:r>
        <w:t>недостаточное соответствие материально-технической базы современным требованиям;</w:t>
      </w:r>
    </w:p>
    <w:p w14:paraId="1F2D588B" w14:textId="77777777" w:rsidR="00454A29" w:rsidRDefault="00454A29">
      <w:pPr>
        <w:pStyle w:val="ConsPlusNormal"/>
        <w:spacing w:before="220"/>
        <w:ind w:firstLine="540"/>
        <w:jc w:val="both"/>
      </w:pPr>
      <w:r>
        <w:t>отсутствие детских загородных стационарных лагерей, детских стационарных баз отдыха в северных и арктических районах;</w:t>
      </w:r>
    </w:p>
    <w:p w14:paraId="29AA7E2D" w14:textId="77777777" w:rsidR="00454A29" w:rsidRDefault="00454A29">
      <w:pPr>
        <w:pStyle w:val="ConsPlusNormal"/>
        <w:spacing w:before="220"/>
        <w:ind w:firstLine="540"/>
        <w:jc w:val="both"/>
      </w:pPr>
      <w:r>
        <w:t>сложная транспортная логистика и финансово-затратное транспортное обеспечение перевозки детей от места проживания к местам отдыха и оздоровления детей (до г. Якутска и в регионы с более благоприятными климатическими условиями).</w:t>
      </w:r>
    </w:p>
    <w:p w14:paraId="0CB7483C" w14:textId="77777777" w:rsidR="00454A29" w:rsidRDefault="00454A29">
      <w:pPr>
        <w:pStyle w:val="ConsPlusNormal"/>
        <w:spacing w:before="220"/>
        <w:ind w:firstLine="540"/>
        <w:jc w:val="both"/>
      </w:pPr>
      <w:r>
        <w:t>Развитие сферы общего образования Республики Саха (Якутия) планируется в соответствии с позицией государственной политики об образовании как ресурса развития человеческого потенциала, локомотива позитивных социо-культурных и экономических изменений в Республике Саха (Якутия).</w:t>
      </w:r>
    </w:p>
    <w:p w14:paraId="6E5AEF00" w14:textId="77777777" w:rsidR="00454A29" w:rsidRDefault="00454A29">
      <w:pPr>
        <w:pStyle w:val="ConsPlusNormal"/>
        <w:spacing w:before="220"/>
        <w:ind w:firstLine="540"/>
        <w:jc w:val="both"/>
      </w:pPr>
      <w:r>
        <w:t>Задача сферы образования - формирование открытого образования, создание образовательного пространства, доступного любому желающему и обеспечивающего образование в ритме, удобном обучающемуся.</w:t>
      </w:r>
    </w:p>
    <w:p w14:paraId="318FBE99" w14:textId="77777777" w:rsidR="00454A29" w:rsidRDefault="00454A29">
      <w:pPr>
        <w:pStyle w:val="ConsPlusNormal"/>
        <w:spacing w:before="220"/>
        <w:ind w:firstLine="540"/>
        <w:jc w:val="both"/>
      </w:pPr>
      <w:r>
        <w:t>В государственной программе будут предусмотрены механизмы формирования открытого образования, мероприятия по совершенствованию содержания образования:</w:t>
      </w:r>
    </w:p>
    <w:p w14:paraId="728FC720" w14:textId="77777777" w:rsidR="00454A29" w:rsidRDefault="00454A29">
      <w:pPr>
        <w:pStyle w:val="ConsPlusNormal"/>
        <w:spacing w:before="220"/>
        <w:ind w:firstLine="540"/>
        <w:jc w:val="both"/>
      </w:pPr>
      <w:r>
        <w:t>разработка и апробация вариативных и уровневых образовательных программ, в том числе по инклюзивному образованию, в соответствии с запросами обучающихся, потребностей социокультурной среды и инфраструктуры производства;</w:t>
      </w:r>
    </w:p>
    <w:p w14:paraId="10D704C6" w14:textId="77777777" w:rsidR="00454A29" w:rsidRDefault="00454A29">
      <w:pPr>
        <w:pStyle w:val="ConsPlusNormal"/>
        <w:spacing w:before="220"/>
        <w:ind w:firstLine="540"/>
        <w:jc w:val="both"/>
      </w:pPr>
      <w:r>
        <w:lastRenderedPageBreak/>
        <w:t>совершенствование системы непрерывного национального (этнокультурного) образования (расширение сети образовательных организаций с родным языком обучения, обеспечение учебно-методическими комплектами, педагогическими кадрами);</w:t>
      </w:r>
    </w:p>
    <w:p w14:paraId="23DED402" w14:textId="77777777" w:rsidR="00454A29" w:rsidRDefault="00454A29">
      <w:pPr>
        <w:pStyle w:val="ConsPlusNormal"/>
        <w:spacing w:before="220"/>
        <w:ind w:firstLine="540"/>
        <w:jc w:val="both"/>
      </w:pPr>
      <w:r>
        <w:t>создание условий для обеспечения высокого уровня образования в сельской школе и сохранения школы как гаранта жизни села, центра хранения и развития культуры села;</w:t>
      </w:r>
    </w:p>
    <w:p w14:paraId="36780D6B" w14:textId="77777777" w:rsidR="00454A29" w:rsidRDefault="00454A29">
      <w:pPr>
        <w:pStyle w:val="ConsPlusNormal"/>
        <w:spacing w:before="220"/>
        <w:ind w:firstLine="540"/>
        <w:jc w:val="both"/>
      </w:pPr>
      <w:r>
        <w:t>внедрение индивидуальных образовательных программ обучающихся;</w:t>
      </w:r>
    </w:p>
    <w:p w14:paraId="36A7A0A8" w14:textId="77777777" w:rsidR="00454A29" w:rsidRDefault="00454A29">
      <w:pPr>
        <w:pStyle w:val="ConsPlusNormal"/>
        <w:spacing w:before="220"/>
        <w:ind w:firstLine="540"/>
        <w:jc w:val="both"/>
      </w:pPr>
      <w:r>
        <w:t>разработка и внедрение моделей эффективной образовательной сети с учетом потребностей социокультурной среды и инфраструктуры производства;</w:t>
      </w:r>
    </w:p>
    <w:p w14:paraId="57CB1E41" w14:textId="77777777" w:rsidR="00454A29" w:rsidRDefault="00454A29">
      <w:pPr>
        <w:pStyle w:val="ConsPlusNormal"/>
        <w:spacing w:before="220"/>
        <w:ind w:firstLine="540"/>
        <w:jc w:val="both"/>
      </w:pPr>
      <w:r>
        <w:t>создание интегрированных образовательных организаций, реализующих программы общего, дополнительного и профессионального образования, ресурсные центры по направлениям, в том числе совместно с производственными и бизнес-структурами (центры развития "Точки роста" и др.);</w:t>
      </w:r>
    </w:p>
    <w:p w14:paraId="2654798F" w14:textId="77777777" w:rsidR="00454A29" w:rsidRDefault="00454A29">
      <w:pPr>
        <w:pStyle w:val="ConsPlusNormal"/>
        <w:spacing w:before="220"/>
        <w:ind w:firstLine="540"/>
        <w:jc w:val="both"/>
      </w:pPr>
      <w:r>
        <w:t>внедрение сетевого образования, реализуемого несколькими организациями, в том числе необразовательными организациями (учреждения культуры, спорта, некоммерческие организации, физические лица - индивидуальные предприниматели);</w:t>
      </w:r>
    </w:p>
    <w:p w14:paraId="11C8238A" w14:textId="77777777" w:rsidR="00454A29" w:rsidRDefault="00454A29">
      <w:pPr>
        <w:pStyle w:val="ConsPlusNormal"/>
        <w:spacing w:before="220"/>
        <w:ind w:firstLine="540"/>
        <w:jc w:val="both"/>
      </w:pPr>
      <w:r>
        <w:t>развитие сотрудничества между обучающимися и практиками вне рамок системы формального образования;</w:t>
      </w:r>
    </w:p>
    <w:p w14:paraId="46082EA3" w14:textId="77777777" w:rsidR="00454A29" w:rsidRDefault="00454A29">
      <w:pPr>
        <w:pStyle w:val="ConsPlusNormal"/>
        <w:spacing w:before="220"/>
        <w:ind w:firstLine="540"/>
        <w:jc w:val="both"/>
      </w:pPr>
      <w:r>
        <w:t>осуществление систематического мониторинга качества образования (образовательных организаций и индивидуальных образовательных достижений обучающихся);</w:t>
      </w:r>
    </w:p>
    <w:p w14:paraId="42F20452" w14:textId="77777777" w:rsidR="00454A29" w:rsidRDefault="00454A29">
      <w:pPr>
        <w:pStyle w:val="ConsPlusNormal"/>
        <w:spacing w:before="220"/>
        <w:ind w:firstLine="540"/>
        <w:jc w:val="both"/>
      </w:pPr>
      <w:r>
        <w:t>создание единого информационно-образовательного пространства (онлайн-образование), электронного образования;</w:t>
      </w:r>
    </w:p>
    <w:p w14:paraId="599CA736" w14:textId="77777777" w:rsidR="00454A29" w:rsidRDefault="00454A29">
      <w:pPr>
        <w:pStyle w:val="ConsPlusNormal"/>
        <w:spacing w:before="220"/>
        <w:ind w:firstLine="540"/>
        <w:jc w:val="both"/>
      </w:pPr>
      <w:r>
        <w:t>оснащение образовательных организаций учебно-технологическими комплексами (лабораториями компьютерной графики и робототехники, биоэкологических исследований, физическими и химическими лабораториями наноисследований, планетариями, оснащенными системой приема данных со спутника, телескопами и т.д.);</w:t>
      </w:r>
    </w:p>
    <w:p w14:paraId="69C7B242" w14:textId="77777777" w:rsidR="00454A29" w:rsidRDefault="00454A29">
      <w:pPr>
        <w:pStyle w:val="ConsPlusNormal"/>
        <w:spacing w:before="220"/>
        <w:ind w:firstLine="540"/>
        <w:jc w:val="both"/>
      </w:pPr>
      <w:r>
        <w:t>обновление материально-технической базы для формирования у обучающихся современных технологических и гуманитарных навыков;</w:t>
      </w:r>
    </w:p>
    <w:p w14:paraId="2D0E808B" w14:textId="77777777" w:rsidR="00454A29" w:rsidRDefault="00454A29">
      <w:pPr>
        <w:pStyle w:val="ConsPlusNormal"/>
        <w:spacing w:before="220"/>
        <w:ind w:firstLine="540"/>
        <w:jc w:val="both"/>
      </w:pPr>
      <w:r>
        <w:t>внедрение разработанной на федеральном уровне методологии наставничества обучающихся в 70% школ, в том числе между обучающимися и привлечением представителей работодателей к этой деятельности;</w:t>
      </w:r>
    </w:p>
    <w:p w14:paraId="206623EC" w14:textId="77777777" w:rsidR="00454A29" w:rsidRDefault="00454A29">
      <w:pPr>
        <w:pStyle w:val="ConsPlusNormal"/>
        <w:spacing w:before="220"/>
        <w:ind w:firstLine="540"/>
        <w:jc w:val="both"/>
      </w:pPr>
      <w:r>
        <w:t>вовлечение общественно-деловых объединений и участие представителей работодателей в принятии решений по вопросам управления развития школ;</w:t>
      </w:r>
    </w:p>
    <w:p w14:paraId="097CDCE5" w14:textId="77777777" w:rsidR="00454A29" w:rsidRDefault="00454A29">
      <w:pPr>
        <w:pStyle w:val="ConsPlusNormal"/>
        <w:spacing w:before="220"/>
        <w:ind w:firstLine="540"/>
        <w:jc w:val="both"/>
      </w:pPr>
      <w: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14:paraId="1632ED99" w14:textId="77777777" w:rsidR="00454A29" w:rsidRDefault="00454A29">
      <w:pPr>
        <w:pStyle w:val="ConsPlusNormal"/>
        <w:spacing w:before="220"/>
        <w:ind w:firstLine="540"/>
        <w:jc w:val="both"/>
      </w:pPr>
      <w:r>
        <w:t>проведение оценки качества общего образования на основе практики международных исследований качества подготовки обучающихся с 2021 года:</w:t>
      </w:r>
    </w:p>
    <w:p w14:paraId="3AD1C719" w14:textId="77777777" w:rsidR="00454A29" w:rsidRDefault="00454A29">
      <w:pPr>
        <w:pStyle w:val="ConsPlusNormal"/>
        <w:spacing w:before="220"/>
        <w:ind w:firstLine="540"/>
        <w:jc w:val="both"/>
      </w:pPr>
      <w:r>
        <w:t xml:space="preserve">организация реализации организациями Республики Саха (Якутия), реализующими программы начального, основного и среднего общего образования, общеобразовательных </w:t>
      </w:r>
      <w:r>
        <w:lastRenderedPageBreak/>
        <w:t>программ в сетевой форме (разработка методических рекомендаций);</w:t>
      </w:r>
    </w:p>
    <w:p w14:paraId="1CCFCC9F" w14:textId="77777777" w:rsidR="00454A29" w:rsidRDefault="00454A29">
      <w:pPr>
        <w:pStyle w:val="ConsPlusNormal"/>
        <w:spacing w:before="220"/>
        <w:ind w:firstLine="540"/>
        <w:jc w:val="both"/>
      </w:pPr>
      <w: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6AE9AEA0" w14:textId="77777777" w:rsidR="00454A29" w:rsidRDefault="00454A29">
      <w:pPr>
        <w:pStyle w:val="ConsPlusNormal"/>
        <w:spacing w:before="220"/>
        <w:ind w:firstLine="540"/>
        <w:jc w:val="both"/>
      </w:pPr>
      <w:r>
        <w:t>внедрение целевой модели функционирования психологических служб во всех общеобразовательных организациях;</w:t>
      </w:r>
    </w:p>
    <w:p w14:paraId="21DD192D" w14:textId="77777777" w:rsidR="00454A29" w:rsidRDefault="00454A29">
      <w:pPr>
        <w:pStyle w:val="ConsPlusNormal"/>
        <w:spacing w:before="220"/>
        <w:ind w:firstLine="540"/>
        <w:jc w:val="both"/>
      </w:pPr>
      <w:r>
        <w:t>внедрение обновленных примерных основных общеобразовательных программ, разработанных в рамках федерального проекта;</w:t>
      </w:r>
    </w:p>
    <w:p w14:paraId="3A1BA04D" w14:textId="77777777" w:rsidR="00454A29" w:rsidRDefault="00454A29">
      <w:pPr>
        <w:pStyle w:val="ConsPlusNormal"/>
        <w:spacing w:before="220"/>
        <w:ind w:firstLine="540"/>
        <w:jc w:val="both"/>
      </w:pPr>
      <w:r>
        <w:t>модернизация технологий и содержания обучения в соответствие с новым федеральным государственным образовательным стандартом посредством разработки концепций модернизаций конкретных областей;</w:t>
      </w:r>
    </w:p>
    <w:p w14:paraId="50E1725A" w14:textId="77777777" w:rsidR="00454A29" w:rsidRDefault="00454A29">
      <w:pPr>
        <w:pStyle w:val="ConsPlusNormal"/>
        <w:spacing w:before="220"/>
        <w:ind w:firstLine="540"/>
        <w:jc w:val="both"/>
      </w:pPr>
      <w:r>
        <w:t>создание системы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 для учителей предметной области "Технология".</w:t>
      </w:r>
    </w:p>
    <w:p w14:paraId="73ECD25D" w14:textId="77777777" w:rsidR="00454A29" w:rsidRDefault="00454A29">
      <w:pPr>
        <w:pStyle w:val="ConsPlusNormal"/>
        <w:spacing w:before="220"/>
        <w:ind w:firstLine="540"/>
        <w:jc w:val="both"/>
      </w:pPr>
      <w:r>
        <w:t>Потенциалом для развития являются:</w:t>
      </w:r>
    </w:p>
    <w:p w14:paraId="5F4F3AA9" w14:textId="77777777" w:rsidR="00454A29" w:rsidRDefault="00454A29">
      <w:pPr>
        <w:pStyle w:val="ConsPlusNormal"/>
        <w:spacing w:before="220"/>
        <w:ind w:firstLine="540"/>
        <w:jc w:val="both"/>
      </w:pPr>
      <w:r>
        <w:t>разработанность концептуальных подходов по развитию сферы образования Республики Саха (Якутия) (Стратегия развития образования - 2020 "Качественное образование - надежные инвестиции в будущее", Образовательная инициатива - 2030 "Образование, открытое в будущее", Концепция социокультурной модернизации и др.); нормативной правовой базы, конкретизирующей положения федерального закона в части учета региональных особенностей;</w:t>
      </w:r>
    </w:p>
    <w:p w14:paraId="7D8A4F6A" w14:textId="77777777" w:rsidR="00454A29" w:rsidRDefault="00454A29">
      <w:pPr>
        <w:pStyle w:val="ConsPlusNormal"/>
        <w:spacing w:before="220"/>
        <w:ind w:firstLine="540"/>
        <w:jc w:val="both"/>
      </w:pPr>
      <w:r>
        <w:t>осуществление межведомственного взаимодействия в решении вопросов образования;</w:t>
      </w:r>
    </w:p>
    <w:p w14:paraId="3E159689" w14:textId="77777777" w:rsidR="00454A29" w:rsidRDefault="00454A29">
      <w:pPr>
        <w:pStyle w:val="ConsPlusNormal"/>
        <w:spacing w:before="220"/>
        <w:ind w:firstLine="540"/>
        <w:jc w:val="both"/>
      </w:pPr>
      <w:r>
        <w:t>государственно-общественный характер управления на региональном, муниципальном уровне и уровне образовательных организаций;</w:t>
      </w:r>
    </w:p>
    <w:p w14:paraId="5D3CD784" w14:textId="77777777" w:rsidR="00454A29" w:rsidRDefault="00454A29">
      <w:pPr>
        <w:pStyle w:val="ConsPlusNormal"/>
        <w:spacing w:before="220"/>
        <w:ind w:firstLine="540"/>
        <w:jc w:val="both"/>
      </w:pPr>
      <w:r>
        <w:t>разработанность финансово-экономических механизмов: нормативное финансирование, система оплаты труда педагогических работников в зависимости от результатов деятельности, механизмы государственного (муниципального) задания;</w:t>
      </w:r>
    </w:p>
    <w:p w14:paraId="0224C351" w14:textId="77777777" w:rsidR="00454A29" w:rsidRDefault="00454A29">
      <w:pPr>
        <w:pStyle w:val="ConsPlusNormal"/>
        <w:spacing w:before="220"/>
        <w:ind w:firstLine="540"/>
        <w:jc w:val="both"/>
      </w:pPr>
      <w:r>
        <w:t>использование информационных технологий в сфере образования: формирование инфраструктуры электронного обучения, внедрение электронного документооборота;</w:t>
      </w:r>
    </w:p>
    <w:p w14:paraId="57659E2A" w14:textId="77777777" w:rsidR="00454A29" w:rsidRDefault="00454A29">
      <w:pPr>
        <w:pStyle w:val="ConsPlusNormal"/>
        <w:spacing w:before="220"/>
        <w:ind w:firstLine="540"/>
        <w:jc w:val="both"/>
      </w:pPr>
      <w:r>
        <w:t>функционирование дифференцированных моделей развития образовательных организаций, муниципальных районов в соответствии с социокультурным измерением (территориально-географических, культурных, этнорегиональных особенностей, местного опыта); самоорганизация и саморазвитие образовательных сообществ, образовательных организаций;</w:t>
      </w:r>
    </w:p>
    <w:p w14:paraId="7071A3BF" w14:textId="77777777" w:rsidR="00454A29" w:rsidRDefault="00454A29">
      <w:pPr>
        <w:pStyle w:val="ConsPlusNormal"/>
        <w:spacing w:before="220"/>
        <w:ind w:firstLine="540"/>
        <w:jc w:val="both"/>
      </w:pPr>
      <w:r>
        <w:t>деятельность инновационных образовательных организаций, ставшая основой внедрения новых элементов содержания и структуры образования, педагогических технологий, учебно-методических комплектов, форм, методов и средств обучения, моделей образовательных организаций;</w:t>
      </w:r>
    </w:p>
    <w:p w14:paraId="52A3DC35" w14:textId="77777777" w:rsidR="00454A29" w:rsidRDefault="00454A29">
      <w:pPr>
        <w:pStyle w:val="ConsPlusNormal"/>
        <w:spacing w:before="220"/>
        <w:ind w:firstLine="540"/>
        <w:jc w:val="both"/>
      </w:pPr>
      <w:r>
        <w:t>реализация проектного управления, в том числе по развитию системы поиска и поддержки одаренных детей, арктического образования, формирования инфраструктуры открытого образования.</w:t>
      </w:r>
    </w:p>
    <w:p w14:paraId="7343C6FA" w14:textId="77777777" w:rsidR="00454A29" w:rsidRDefault="00454A29">
      <w:pPr>
        <w:pStyle w:val="ConsPlusNormal"/>
        <w:spacing w:before="220"/>
        <w:ind w:firstLine="540"/>
        <w:jc w:val="both"/>
      </w:pPr>
      <w:r>
        <w:t>Препятствующими факторами для развития могут стать существующие ограничения:</w:t>
      </w:r>
    </w:p>
    <w:p w14:paraId="0A3549FA" w14:textId="77777777" w:rsidR="00454A29" w:rsidRDefault="00454A29">
      <w:pPr>
        <w:pStyle w:val="ConsPlusNormal"/>
        <w:spacing w:before="220"/>
        <w:ind w:firstLine="540"/>
        <w:jc w:val="both"/>
      </w:pPr>
      <w:r>
        <w:lastRenderedPageBreak/>
        <w:t>формальный характер государственно-общественного управления; отсутствие механизмов общественного заказа;</w:t>
      </w:r>
    </w:p>
    <w:p w14:paraId="3963B7B0" w14:textId="77777777" w:rsidR="00454A29" w:rsidRDefault="00454A29">
      <w:pPr>
        <w:pStyle w:val="ConsPlusNormal"/>
        <w:spacing w:before="220"/>
        <w:ind w:firstLine="540"/>
        <w:jc w:val="both"/>
      </w:pPr>
      <w:r>
        <w:t>отсутствие финансово-экономических механизмов реализации индивидуальных образовательных программ обучающихся;</w:t>
      </w:r>
    </w:p>
    <w:p w14:paraId="418AB9CC" w14:textId="77777777" w:rsidR="00454A29" w:rsidRDefault="00454A29">
      <w:pPr>
        <w:pStyle w:val="ConsPlusNormal"/>
        <w:spacing w:before="220"/>
        <w:ind w:firstLine="540"/>
        <w:jc w:val="both"/>
      </w:pPr>
      <w:r>
        <w:t>неравномерность заработной платы педагогических работников, ее зависимость от количества обучающихся;</w:t>
      </w:r>
    </w:p>
    <w:p w14:paraId="02069F4E" w14:textId="77777777" w:rsidR="00454A29" w:rsidRDefault="00454A29">
      <w:pPr>
        <w:pStyle w:val="ConsPlusNormal"/>
        <w:spacing w:before="220"/>
        <w:ind w:firstLine="540"/>
        <w:jc w:val="both"/>
      </w:pPr>
      <w:r>
        <w:t>наличие ветхих и аварийных зданий образовательных организаций;</w:t>
      </w:r>
    </w:p>
    <w:p w14:paraId="531A1ECB" w14:textId="77777777" w:rsidR="00454A29" w:rsidRDefault="00454A29">
      <w:pPr>
        <w:pStyle w:val="ConsPlusNormal"/>
        <w:spacing w:before="220"/>
        <w:ind w:firstLine="540"/>
        <w:jc w:val="both"/>
      </w:pPr>
      <w:r>
        <w:t>недостаточность финансовых средств на развитие;</w:t>
      </w:r>
    </w:p>
    <w:p w14:paraId="2C1C3913" w14:textId="77777777" w:rsidR="00454A29" w:rsidRDefault="00454A29">
      <w:pPr>
        <w:pStyle w:val="ConsPlusNormal"/>
        <w:spacing w:before="220"/>
        <w:ind w:firstLine="540"/>
        <w:jc w:val="both"/>
      </w:pPr>
      <w:r>
        <w:t>слабая скорость сети Интернет во многих населенных пунктах республики;</w:t>
      </w:r>
    </w:p>
    <w:p w14:paraId="51C66AE3" w14:textId="77777777" w:rsidR="00454A29" w:rsidRDefault="00454A29">
      <w:pPr>
        <w:pStyle w:val="ConsPlusNormal"/>
        <w:spacing w:before="220"/>
        <w:ind w:firstLine="540"/>
        <w:jc w:val="both"/>
      </w:pPr>
      <w:r>
        <w:t>зависимость формирования образовательных программ, программ развития образования образовательных организаций, муниципальных районов от решения глав муниципальных районов и городских округов;</w:t>
      </w:r>
    </w:p>
    <w:p w14:paraId="43FF7044" w14:textId="77777777" w:rsidR="00454A29" w:rsidRDefault="00454A29">
      <w:pPr>
        <w:pStyle w:val="ConsPlusNormal"/>
        <w:spacing w:before="220"/>
        <w:ind w:firstLine="540"/>
        <w:jc w:val="both"/>
      </w:pPr>
      <w:r>
        <w:t>недостаточная реализация кадровой политики по направлению "Одаренный ребенок - успешный студент - высококвалифицированный специалист";</w:t>
      </w:r>
    </w:p>
    <w:p w14:paraId="3982A676" w14:textId="77777777" w:rsidR="00454A29" w:rsidRDefault="00454A29">
      <w:pPr>
        <w:pStyle w:val="ConsPlusNormal"/>
        <w:spacing w:before="220"/>
        <w:ind w:firstLine="540"/>
        <w:jc w:val="both"/>
      </w:pPr>
      <w:r>
        <w:t>недостаточное финансирование проезда обучающихся (дороговизна авиабилетов как внутри республики, так и за пределами - низкая доля выявленных одаренных детей в отдаленных населенных пунктах);</w:t>
      </w:r>
    </w:p>
    <w:p w14:paraId="6438DAD3" w14:textId="77777777" w:rsidR="00454A29" w:rsidRDefault="00454A29">
      <w:pPr>
        <w:pStyle w:val="ConsPlusNormal"/>
        <w:spacing w:before="220"/>
        <w:ind w:firstLine="540"/>
        <w:jc w:val="both"/>
      </w:pPr>
      <w:r>
        <w:t>структурная и территориальная несбалансированность на рынке труда, недостаточная обеспеченность педагогическими кадрами в арктических и северных улусах, малокомплектных и сельских школах.</w:t>
      </w:r>
    </w:p>
    <w:p w14:paraId="742FC84F" w14:textId="77777777" w:rsidR="00454A29" w:rsidRDefault="00454A29">
      <w:pPr>
        <w:pStyle w:val="ConsPlusNormal"/>
        <w:spacing w:before="220"/>
        <w:ind w:firstLine="540"/>
        <w:jc w:val="both"/>
      </w:pPr>
      <w:r>
        <w:t>Особое внимание в республике уделено созданию условий для развития талантов и способностей среди детей и молодежи.</w:t>
      </w:r>
    </w:p>
    <w:p w14:paraId="682481F9" w14:textId="77777777" w:rsidR="00454A29" w:rsidRDefault="00454A29">
      <w:pPr>
        <w:pStyle w:val="ConsPlusNormal"/>
        <w:spacing w:before="220"/>
        <w:ind w:firstLine="540"/>
        <w:jc w:val="both"/>
      </w:pPr>
      <w:r>
        <w:t>Система поиска и развития одаренных детей республики представлена:</w:t>
      </w:r>
    </w:p>
    <w:p w14:paraId="5B9B1049" w14:textId="77777777" w:rsidR="00454A29" w:rsidRDefault="00454A29">
      <w:pPr>
        <w:pStyle w:val="ConsPlusNormal"/>
        <w:spacing w:before="220"/>
        <w:ind w:firstLine="540"/>
        <w:jc w:val="both"/>
      </w:pPr>
      <w:r>
        <w:t>специализированными школами для детей, проявившими выдающиеся способности: республиканское хореографическое училище имени А. и Н. Посельских, Высшая школа музыки, Якутский художественный колледж имени П.П. Романова, Якутский музыкальный колледж имени М.Н. Жиркова, Якутский колледж культуры и искусств, училище олимпийского резерва;</w:t>
      </w:r>
    </w:p>
    <w:p w14:paraId="66CCB0C3" w14:textId="77777777" w:rsidR="00454A29" w:rsidRDefault="00454A29">
      <w:pPr>
        <w:pStyle w:val="ConsPlusNormal"/>
        <w:spacing w:before="220"/>
        <w:ind w:firstLine="540"/>
        <w:jc w:val="both"/>
      </w:pPr>
      <w:r>
        <w:t>45 общеобразовательными организациями повышенного уровня, реализующими образовательные программы с углубленным изучением отдельных предметов (19 лицеев и 26 гимназий);</w:t>
      </w:r>
    </w:p>
    <w:p w14:paraId="55A6066D" w14:textId="77777777" w:rsidR="00454A29" w:rsidRDefault="00454A29">
      <w:pPr>
        <w:pStyle w:val="ConsPlusNormal"/>
        <w:spacing w:before="220"/>
        <w:ind w:firstLine="540"/>
        <w:jc w:val="both"/>
      </w:pPr>
      <w:r>
        <w:t>центрами дополнительного образования детей: Малая академия наук Республики Саха (Якутия) с 36 филиалами, республиканский ресурсный центр "Юные якутяне", Центр отдыха и оздоровления детей "Сосновый бор", 215 организаций дополнительного образования детей, в том числе 82 художественные и музыкальные школы и 67 детские юношеские спортивные школы.</w:t>
      </w:r>
    </w:p>
    <w:p w14:paraId="5D51586A" w14:textId="77777777" w:rsidR="00454A29" w:rsidRDefault="00454A29">
      <w:pPr>
        <w:pStyle w:val="ConsPlusNormal"/>
        <w:spacing w:before="220"/>
        <w:ind w:firstLine="540"/>
        <w:jc w:val="both"/>
      </w:pPr>
      <w:r>
        <w:t>Создано республиканское детское движение.</w:t>
      </w:r>
    </w:p>
    <w:p w14:paraId="14B9CC07" w14:textId="77777777" w:rsidR="00454A29" w:rsidRDefault="00454A29">
      <w:pPr>
        <w:pStyle w:val="ConsPlusNormal"/>
        <w:spacing w:before="220"/>
        <w:ind w:firstLine="540"/>
        <w:jc w:val="both"/>
      </w:pPr>
      <w:r>
        <w:t>Основными показателями развития системы работы с одаренными детьми с 2012 года стали:</w:t>
      </w:r>
    </w:p>
    <w:p w14:paraId="36D4E323" w14:textId="77777777" w:rsidR="00454A29" w:rsidRDefault="00454A29">
      <w:pPr>
        <w:pStyle w:val="ConsPlusNormal"/>
        <w:spacing w:before="220"/>
        <w:ind w:firstLine="540"/>
        <w:jc w:val="both"/>
      </w:pPr>
      <w:r>
        <w:t>охват обучающихся республиканскими мероприятиями по поиску и поддержке одаренных детей - 42%;</w:t>
      </w:r>
    </w:p>
    <w:p w14:paraId="201A9134" w14:textId="77777777" w:rsidR="00454A29" w:rsidRDefault="00454A29">
      <w:pPr>
        <w:pStyle w:val="ConsPlusNormal"/>
        <w:spacing w:before="220"/>
        <w:ind w:firstLine="540"/>
        <w:jc w:val="both"/>
      </w:pPr>
      <w:r>
        <w:t xml:space="preserve">количество обучающихся, принявших участие в заключительном этапе Всероссийской </w:t>
      </w:r>
      <w:r>
        <w:lastRenderedPageBreak/>
        <w:t>олимпиады школьников, - 42 чел.;</w:t>
      </w:r>
    </w:p>
    <w:p w14:paraId="3641496A" w14:textId="77777777" w:rsidR="00454A29" w:rsidRDefault="00454A29">
      <w:pPr>
        <w:pStyle w:val="ConsPlusNormal"/>
        <w:spacing w:before="220"/>
        <w:ind w:firstLine="540"/>
        <w:jc w:val="both"/>
      </w:pPr>
      <w:r>
        <w:t>количество призеров заключительного этапа Всероссийской олимпиады школьников составило - 9 чел.;</w:t>
      </w:r>
    </w:p>
    <w:p w14:paraId="01AA32F7" w14:textId="77777777" w:rsidR="00454A29" w:rsidRDefault="00454A29">
      <w:pPr>
        <w:pStyle w:val="ConsPlusNormal"/>
        <w:spacing w:before="220"/>
        <w:ind w:firstLine="540"/>
        <w:jc w:val="both"/>
      </w:pPr>
      <w:r>
        <w:t>учреждение стипендии и грантов Малой академии наук Республики Саха (Якутия);</w:t>
      </w:r>
    </w:p>
    <w:p w14:paraId="7971DDD5" w14:textId="77777777" w:rsidR="00454A29" w:rsidRDefault="00454A29">
      <w:pPr>
        <w:pStyle w:val="ConsPlusNormal"/>
        <w:spacing w:before="220"/>
        <w:ind w:firstLine="540"/>
        <w:jc w:val="both"/>
      </w:pPr>
      <w:r>
        <w:t>реализация проектов "Будущие интеллектуальные лидеры", "Одаренный ребенок", "ВеДеДо", целевых программ "Музыка - для всех", "Рисуем все", "Шахматы детям".</w:t>
      </w:r>
    </w:p>
    <w:p w14:paraId="205825C0" w14:textId="77777777" w:rsidR="00454A29" w:rsidRDefault="00454A29">
      <w:pPr>
        <w:pStyle w:val="ConsPlusNormal"/>
        <w:spacing w:before="220"/>
        <w:ind w:firstLine="540"/>
        <w:jc w:val="both"/>
      </w:pPr>
      <w:r>
        <w:t>В системе выявления, развития и поддержки одаренных детей остаются нерешенными проблемы:</w:t>
      </w:r>
    </w:p>
    <w:p w14:paraId="70ACEF05" w14:textId="77777777" w:rsidR="00454A29" w:rsidRDefault="00454A29">
      <w:pPr>
        <w:pStyle w:val="ConsPlusNormal"/>
        <w:spacing w:before="220"/>
        <w:ind w:firstLine="540"/>
        <w:jc w:val="both"/>
      </w:pPr>
      <w:r>
        <w:t>нехватка квалифицированных специалистов по работе с одаренными детьми;</w:t>
      </w:r>
    </w:p>
    <w:p w14:paraId="355A7C77" w14:textId="77777777" w:rsidR="00454A29" w:rsidRDefault="00454A29">
      <w:pPr>
        <w:pStyle w:val="ConsPlusNormal"/>
        <w:spacing w:before="220"/>
        <w:ind w:firstLine="540"/>
        <w:jc w:val="both"/>
      </w:pPr>
      <w:r>
        <w:t>недоступность курсов повышения квалификации для специалистов с отдаленных районов;</w:t>
      </w:r>
    </w:p>
    <w:p w14:paraId="6B65BF90" w14:textId="77777777" w:rsidR="00454A29" w:rsidRDefault="00454A29">
      <w:pPr>
        <w:pStyle w:val="ConsPlusNormal"/>
        <w:spacing w:before="220"/>
        <w:ind w:firstLine="540"/>
        <w:jc w:val="both"/>
      </w:pPr>
      <w:r>
        <w:t>недостаточная оснащенность современным оборудованием;</w:t>
      </w:r>
    </w:p>
    <w:p w14:paraId="3972EB74" w14:textId="77777777" w:rsidR="00454A29" w:rsidRDefault="00454A29">
      <w:pPr>
        <w:pStyle w:val="ConsPlusNormal"/>
        <w:spacing w:before="220"/>
        <w:ind w:firstLine="540"/>
        <w:jc w:val="both"/>
      </w:pPr>
      <w:r>
        <w:t>низкая скорость, отсутствие сети Интернет в отдаленных населенных пунктах, в том числе в северных и арктических; высокие тарифы на обеспечение доступа к сети Интернет по спутниковой технологии;</w:t>
      </w:r>
    </w:p>
    <w:p w14:paraId="08BF899A" w14:textId="77777777" w:rsidR="00454A29" w:rsidRDefault="00454A29">
      <w:pPr>
        <w:pStyle w:val="ConsPlusNormal"/>
        <w:spacing w:before="220"/>
        <w:ind w:firstLine="540"/>
        <w:jc w:val="both"/>
      </w:pPr>
      <w:r>
        <w:t>отсутствие специализированных площадок для работы с одаренными детьми в северных и арктических районах;</w:t>
      </w:r>
    </w:p>
    <w:p w14:paraId="370E7EDC" w14:textId="77777777" w:rsidR="00454A29" w:rsidRDefault="00454A29">
      <w:pPr>
        <w:pStyle w:val="ConsPlusNormal"/>
        <w:spacing w:before="220"/>
        <w:ind w:firstLine="540"/>
        <w:jc w:val="both"/>
      </w:pPr>
      <w:r>
        <w:t>сложная транспортная логистика и финансово-затратное транспортное обеспечение перевозки детей от места проживания к местам проведения мероприятий.</w:t>
      </w:r>
    </w:p>
    <w:p w14:paraId="42259450" w14:textId="77777777" w:rsidR="00454A29" w:rsidRDefault="00454A29">
      <w:pPr>
        <w:pStyle w:val="ConsPlusNormal"/>
        <w:spacing w:before="220"/>
        <w:ind w:firstLine="540"/>
        <w:jc w:val="both"/>
      </w:pPr>
      <w:r>
        <w:t>Развитие системы поиска и поддержки одаренных детей планируется в соответствии с позицией приоритета государственной политики как ресурса кадрового потенциала, развития инновационной экономики Республики Саха (Якутия).</w:t>
      </w:r>
    </w:p>
    <w:p w14:paraId="36B7AB76" w14:textId="77777777" w:rsidR="00454A29" w:rsidRDefault="00454A29">
      <w:pPr>
        <w:pStyle w:val="ConsPlusNormal"/>
        <w:spacing w:before="220"/>
        <w:ind w:firstLine="540"/>
        <w:jc w:val="both"/>
      </w:pPr>
      <w:r>
        <w:t>В государственной программе будут предусмотрены механизмы развития системы поиска и поддержки одаренных детей и молодежи:</w:t>
      </w:r>
    </w:p>
    <w:p w14:paraId="3F39A502" w14:textId="77777777" w:rsidR="00454A29" w:rsidRDefault="00454A29">
      <w:pPr>
        <w:pStyle w:val="ConsPlusNormal"/>
        <w:spacing w:before="220"/>
        <w:ind w:firstLine="540"/>
        <w:jc w:val="both"/>
      </w:pPr>
      <w:r>
        <w:t>совершенствование технологий (в том числе дистанционных) поиска, выявления и обучения одаренных детей;</w:t>
      </w:r>
    </w:p>
    <w:p w14:paraId="217C2115" w14:textId="77777777" w:rsidR="00454A29" w:rsidRDefault="00454A29">
      <w:pPr>
        <w:pStyle w:val="ConsPlusNormal"/>
        <w:spacing w:before="220"/>
        <w:ind w:firstLine="540"/>
        <w:jc w:val="both"/>
      </w:pPr>
      <w:r>
        <w:t>создание системы непрерывного индивидуального сопровождения одаренных детей;</w:t>
      </w:r>
    </w:p>
    <w:p w14:paraId="320DF6ED" w14:textId="77777777" w:rsidR="00454A29" w:rsidRDefault="00454A29">
      <w:pPr>
        <w:pStyle w:val="ConsPlusNormal"/>
        <w:spacing w:before="220"/>
        <w:ind w:firstLine="540"/>
        <w:jc w:val="both"/>
      </w:pPr>
      <w:r>
        <w:t>разработка и совершенствование образовательных программ для одаренных детей;</w:t>
      </w:r>
    </w:p>
    <w:p w14:paraId="5CC6A2D6" w14:textId="77777777" w:rsidR="00454A29" w:rsidRDefault="00454A29">
      <w:pPr>
        <w:pStyle w:val="ConsPlusNormal"/>
        <w:spacing w:before="220"/>
        <w:ind w:firstLine="540"/>
        <w:jc w:val="both"/>
      </w:pPr>
      <w:r>
        <w:t>подготовка педагогических кадров к работе с одаренными детьми и внедрение нового опыта в практику работы образовательных организаций и систему повышения квалификации педагогов;</w:t>
      </w:r>
    </w:p>
    <w:p w14:paraId="4B61C32F" w14:textId="77777777" w:rsidR="00454A29" w:rsidRDefault="00454A29">
      <w:pPr>
        <w:pStyle w:val="ConsPlusNormal"/>
        <w:spacing w:before="220"/>
        <w:ind w:firstLine="540"/>
        <w:jc w:val="both"/>
      </w:pPr>
      <w:r>
        <w:t>создание системы информационного обеспечения процесса выявления и развития одаренных детей с использованием современных технологий;</w:t>
      </w:r>
    </w:p>
    <w:p w14:paraId="0089BAF2" w14:textId="77777777" w:rsidR="00454A29" w:rsidRDefault="00454A29">
      <w:pPr>
        <w:pStyle w:val="ConsPlusNormal"/>
        <w:spacing w:before="220"/>
        <w:ind w:firstLine="540"/>
        <w:jc w:val="both"/>
      </w:pPr>
      <w:r>
        <w:t>развитие инфраструктуры системообразующих компонентов системы работы с одаренными детьми;</w:t>
      </w:r>
    </w:p>
    <w:p w14:paraId="3ED5735C" w14:textId="77777777" w:rsidR="00454A29" w:rsidRDefault="00454A29">
      <w:pPr>
        <w:pStyle w:val="ConsPlusNormal"/>
        <w:spacing w:before="220"/>
        <w:ind w:firstLine="540"/>
        <w:jc w:val="both"/>
      </w:pPr>
      <w:r>
        <w:t>создание сети государственных образовательных организаций Республики Саха (Якутия) "Ил Дархан", работающих с детьми, проявившими выдающиеся способности;</w:t>
      </w:r>
    </w:p>
    <w:p w14:paraId="1DB77906" w14:textId="77777777" w:rsidR="00454A29" w:rsidRDefault="00454A29">
      <w:pPr>
        <w:pStyle w:val="ConsPlusNormal"/>
        <w:spacing w:before="220"/>
        <w:ind w:firstLine="540"/>
        <w:jc w:val="both"/>
      </w:pPr>
      <w:r>
        <w:t>реализация и развитие проектов: Международные интеллектуальные игры; Международная арктическая школа; Международный центр "Дети Арктики".</w:t>
      </w:r>
    </w:p>
    <w:p w14:paraId="22AAB000" w14:textId="77777777" w:rsidR="00454A29" w:rsidRDefault="00454A29">
      <w:pPr>
        <w:pStyle w:val="ConsPlusNormal"/>
        <w:spacing w:before="220"/>
        <w:ind w:firstLine="540"/>
        <w:jc w:val="both"/>
      </w:pPr>
      <w:r>
        <w:lastRenderedPageBreak/>
        <w:t>Потенциалом для развития являются:</w:t>
      </w:r>
    </w:p>
    <w:p w14:paraId="092EBB28" w14:textId="77777777" w:rsidR="00454A29" w:rsidRDefault="00454A29">
      <w:pPr>
        <w:pStyle w:val="ConsPlusNormal"/>
        <w:spacing w:before="220"/>
        <w:ind w:firstLine="540"/>
        <w:jc w:val="both"/>
      </w:pPr>
      <w:r>
        <w:t>наличие нормативной правовой базы;</w:t>
      </w:r>
    </w:p>
    <w:p w14:paraId="60CEA820" w14:textId="77777777" w:rsidR="00454A29" w:rsidRDefault="00454A29">
      <w:pPr>
        <w:pStyle w:val="ConsPlusNormal"/>
        <w:spacing w:before="220"/>
        <w:ind w:firstLine="540"/>
        <w:jc w:val="both"/>
      </w:pPr>
      <w:r>
        <w:t>разработанность финансовых механизмов для школ повышенного уровня;</w:t>
      </w:r>
    </w:p>
    <w:p w14:paraId="7314AF1C" w14:textId="77777777" w:rsidR="00454A29" w:rsidRDefault="00454A29">
      <w:pPr>
        <w:pStyle w:val="ConsPlusNormal"/>
        <w:spacing w:before="220"/>
        <w:ind w:firstLine="540"/>
        <w:jc w:val="both"/>
      </w:pPr>
      <w:r>
        <w:t>систематическое проведение мероприятий по работе с одаренными детьми: проведение учебно-тренировочных сборов в республике с привлечением ведущих учителей, преподавателей вузов республики и Российской Федерации; направление школьников на обучение в специализированные центры работы с одаренными детьми; проведение конкурсов и олимпиад, в том числе международной олимпиады школьников "Туймаада" по математике, физике, химии и информатике и др.;</w:t>
      </w:r>
    </w:p>
    <w:p w14:paraId="7B8EBD0E" w14:textId="77777777" w:rsidR="00454A29" w:rsidRDefault="00454A29">
      <w:pPr>
        <w:pStyle w:val="ConsPlusNormal"/>
        <w:spacing w:before="220"/>
        <w:ind w:firstLine="540"/>
        <w:jc w:val="both"/>
      </w:pPr>
      <w:r>
        <w:t>учебно-методический блок;</w:t>
      </w:r>
    </w:p>
    <w:p w14:paraId="2DF7B3E7" w14:textId="77777777" w:rsidR="00454A29" w:rsidRDefault="00454A29">
      <w:pPr>
        <w:pStyle w:val="ConsPlusNormal"/>
        <w:spacing w:before="220"/>
        <w:ind w:firstLine="540"/>
        <w:jc w:val="both"/>
      </w:pPr>
      <w:r>
        <w:t>системы поддержки педагогов, работающих с одаренными детьми.</w:t>
      </w:r>
    </w:p>
    <w:p w14:paraId="12BD7B77" w14:textId="77777777" w:rsidR="00454A29" w:rsidRDefault="00454A29">
      <w:pPr>
        <w:pStyle w:val="ConsPlusNormal"/>
        <w:spacing w:before="220"/>
        <w:ind w:firstLine="540"/>
        <w:jc w:val="both"/>
      </w:pPr>
      <w:r>
        <w:t>Препятствующими факторами для развития могут стать существующие ограничения:</w:t>
      </w:r>
    </w:p>
    <w:p w14:paraId="0A362FD8" w14:textId="77777777" w:rsidR="00454A29" w:rsidRDefault="00454A29">
      <w:pPr>
        <w:pStyle w:val="ConsPlusNormal"/>
        <w:spacing w:before="220"/>
        <w:ind w:firstLine="540"/>
        <w:jc w:val="both"/>
      </w:pPr>
      <w:r>
        <w:t>отсутствие финансово-экономических механизмов реализации индивидуальных образовательных программ обучающихся;</w:t>
      </w:r>
    </w:p>
    <w:p w14:paraId="5BD61A01" w14:textId="77777777" w:rsidR="00454A29" w:rsidRDefault="00454A29">
      <w:pPr>
        <w:pStyle w:val="ConsPlusNormal"/>
        <w:spacing w:before="220"/>
        <w:ind w:firstLine="540"/>
        <w:jc w:val="both"/>
      </w:pPr>
      <w:r>
        <w:t>слабая скорость сети Интернет во многих населенных пунктах республики;</w:t>
      </w:r>
    </w:p>
    <w:p w14:paraId="3FB07C78" w14:textId="77777777" w:rsidR="00454A29" w:rsidRDefault="00454A29">
      <w:pPr>
        <w:pStyle w:val="ConsPlusNormal"/>
        <w:spacing w:before="220"/>
        <w:ind w:firstLine="540"/>
        <w:jc w:val="both"/>
      </w:pPr>
      <w:r>
        <w:t>недостаточная реализация кадровой политики по направлению "Одаренный ребенок - успешный студент - высококвалифицированный специалист";</w:t>
      </w:r>
    </w:p>
    <w:p w14:paraId="70A3D4D8" w14:textId="77777777" w:rsidR="00454A29" w:rsidRDefault="00454A29">
      <w:pPr>
        <w:pStyle w:val="ConsPlusNormal"/>
        <w:spacing w:before="220"/>
        <w:ind w:firstLine="540"/>
        <w:jc w:val="both"/>
      </w:pPr>
      <w:r>
        <w:t>недостаточное финансирование проезда обучающихся (дороговизна авиабилетов как внутри республики, так и за пределами - низкая доля выявленных одаренных детей в отдаленных населенных пунктах).</w:t>
      </w:r>
    </w:p>
    <w:p w14:paraId="582946B9" w14:textId="77777777" w:rsidR="00454A29" w:rsidRDefault="00454A29">
      <w:pPr>
        <w:pStyle w:val="ConsPlusNormal"/>
        <w:spacing w:before="220"/>
        <w:ind w:firstLine="540"/>
        <w:jc w:val="both"/>
      </w:pPr>
      <w:r>
        <w:t>Республика Саха (Якутия) включает северные и арктические районы, которые имеют свои особенности, в том числе и в части образовательных компонентов.</w:t>
      </w:r>
    </w:p>
    <w:p w14:paraId="428B028B" w14:textId="77777777" w:rsidR="00454A29" w:rsidRDefault="00454A29">
      <w:pPr>
        <w:pStyle w:val="ConsPlusNormal"/>
        <w:spacing w:before="220"/>
        <w:ind w:firstLine="540"/>
        <w:jc w:val="both"/>
      </w:pPr>
      <w:r>
        <w:t>В 2018 году в Республике Саха (Якутия) количество детей в возрасте от 0 до 7 лет - составило 126 817 чел., в том числе в арктических и северных районах - 9 726 чел. Охват дошкольным образованием составляет 68 380 чел., в том числе в арктических и северных районах - 6 314 чел.</w:t>
      </w:r>
    </w:p>
    <w:p w14:paraId="69ED7871" w14:textId="77777777" w:rsidR="00454A29" w:rsidRDefault="00454A29">
      <w:pPr>
        <w:pStyle w:val="ConsPlusNormal"/>
        <w:spacing w:before="220"/>
        <w:ind w:firstLine="540"/>
        <w:jc w:val="both"/>
      </w:pPr>
      <w:r>
        <w:t>Система общего образования в арктических и северных районах представлена:</w:t>
      </w:r>
    </w:p>
    <w:p w14:paraId="5632811C" w14:textId="77777777" w:rsidR="00454A29" w:rsidRDefault="00454A29">
      <w:pPr>
        <w:pStyle w:val="ConsPlusNormal"/>
        <w:spacing w:before="220"/>
        <w:ind w:firstLine="540"/>
        <w:jc w:val="both"/>
      </w:pPr>
      <w:r>
        <w:t>88 дошкольными образовательными организациями, охватывающими 6314 детей. Услуги дошкольного образования предоставляются в 12 общеобразовательных организациях;</w:t>
      </w:r>
    </w:p>
    <w:p w14:paraId="6A8FE4E3" w14:textId="77777777" w:rsidR="00454A29" w:rsidRDefault="00454A29">
      <w:pPr>
        <w:pStyle w:val="ConsPlusNormal"/>
        <w:spacing w:before="220"/>
        <w:ind w:firstLine="540"/>
        <w:jc w:val="both"/>
      </w:pPr>
      <w:r>
        <w:t>99 общеобразовательными организациями, в которых обучается 10 811 детей;</w:t>
      </w:r>
    </w:p>
    <w:p w14:paraId="2D4CD0E0" w14:textId="77777777" w:rsidR="00454A29" w:rsidRDefault="00454A29">
      <w:pPr>
        <w:pStyle w:val="ConsPlusNormal"/>
        <w:spacing w:before="220"/>
        <w:ind w:firstLine="540"/>
        <w:jc w:val="both"/>
      </w:pPr>
      <w:r>
        <w:t>37 организациями дополнительного образования детей, где занимаются 8414 детей в 285 объединениях. В каждом объединении в среднем занимаются по 28 обучающихся, на одного педагога дополнительного образования приходится 31 воспитанник;</w:t>
      </w:r>
    </w:p>
    <w:p w14:paraId="76F5F73D" w14:textId="77777777" w:rsidR="00454A29" w:rsidRDefault="00454A29">
      <w:pPr>
        <w:pStyle w:val="ConsPlusNormal"/>
        <w:spacing w:before="220"/>
        <w:ind w:firstLine="540"/>
        <w:jc w:val="both"/>
      </w:pPr>
      <w:r>
        <w:t>21 агрошколами, ведущими деятельность по животноводству (оленеводству, коневодству), рыболовству, по разведению лисиц, по растениеводству;</w:t>
      </w:r>
    </w:p>
    <w:p w14:paraId="551AE581" w14:textId="77777777" w:rsidR="00454A29" w:rsidRDefault="00454A29">
      <w:pPr>
        <w:pStyle w:val="ConsPlusNormal"/>
        <w:spacing w:before="220"/>
        <w:ind w:firstLine="540"/>
        <w:jc w:val="both"/>
      </w:pPr>
      <w:r>
        <w:t>4 общеобразовательными организациями, осуществляющими профессиональную подготовку в муниципальных образованиях "Булунский улус (район)" (далее - Булунский улус), "Верхоянский район" (далее - Верхоянский район), "Жиганский улус (район)" (далее - Жиганский улус), и "Нижнеколымский улус (район)" (далее - Нижнеколымский улус);</w:t>
      </w:r>
    </w:p>
    <w:p w14:paraId="03E379EE" w14:textId="77777777" w:rsidR="00454A29" w:rsidRDefault="00454A29">
      <w:pPr>
        <w:pStyle w:val="ConsPlusNormal"/>
        <w:spacing w:before="220"/>
        <w:ind w:firstLine="540"/>
        <w:jc w:val="both"/>
      </w:pPr>
      <w:r>
        <w:lastRenderedPageBreak/>
        <w:t>50 малокомплектными образовательными организациями;</w:t>
      </w:r>
    </w:p>
    <w:p w14:paraId="48C960CC" w14:textId="77777777" w:rsidR="00454A29" w:rsidRDefault="00454A29">
      <w:pPr>
        <w:pStyle w:val="ConsPlusNormal"/>
        <w:spacing w:before="220"/>
        <w:ind w:firstLine="540"/>
        <w:jc w:val="both"/>
      </w:pPr>
      <w:r>
        <w:t>11 кочевыми школами в 10 районах, в которых обучается 147 детей.</w:t>
      </w:r>
    </w:p>
    <w:p w14:paraId="70935AEE" w14:textId="77777777" w:rsidR="00454A29" w:rsidRDefault="00454A29">
      <w:pPr>
        <w:pStyle w:val="ConsPlusNormal"/>
        <w:spacing w:before="220"/>
        <w:ind w:firstLine="540"/>
        <w:jc w:val="both"/>
      </w:pPr>
      <w:r>
        <w:t>В 52 общеобразовательных организациях из 67 в местах традиционного проживания малочисленных народов Севера 3082 обучающихся изучают родной язык. Эвенский язык преподается в 39 школах, эвенкийский - в 18, юкагирский - в 6, чукотский - в 3, долганский - в 1 школе.</w:t>
      </w:r>
    </w:p>
    <w:p w14:paraId="60146115" w14:textId="77777777" w:rsidR="00454A29" w:rsidRDefault="00454A29">
      <w:pPr>
        <w:pStyle w:val="ConsPlusNormal"/>
        <w:spacing w:before="220"/>
        <w:ind w:firstLine="540"/>
        <w:jc w:val="both"/>
      </w:pPr>
      <w:r>
        <w:t>Основными показателями развития системы общего образования в арктических и северных районах с 2012 года стали:</w:t>
      </w:r>
    </w:p>
    <w:p w14:paraId="08DD4FF4" w14:textId="77777777" w:rsidR="00454A29" w:rsidRDefault="00454A29">
      <w:pPr>
        <w:pStyle w:val="ConsPlusNormal"/>
        <w:spacing w:before="220"/>
        <w:ind w:firstLine="540"/>
        <w:jc w:val="both"/>
      </w:pPr>
      <w:r>
        <w:t>строительство 15 детских садов на 610 мест;</w:t>
      </w:r>
    </w:p>
    <w:p w14:paraId="2D50F7A4" w14:textId="77777777" w:rsidR="00454A29" w:rsidRDefault="00454A29">
      <w:pPr>
        <w:pStyle w:val="ConsPlusNormal"/>
        <w:spacing w:before="220"/>
        <w:ind w:firstLine="540"/>
        <w:jc w:val="both"/>
      </w:pPr>
      <w:r>
        <w:t>строительство 6 школ на 1310 мест;</w:t>
      </w:r>
    </w:p>
    <w:p w14:paraId="16392AAB" w14:textId="77777777" w:rsidR="00454A29" w:rsidRDefault="00454A29">
      <w:pPr>
        <w:pStyle w:val="ConsPlusNormal"/>
        <w:spacing w:before="220"/>
        <w:ind w:firstLine="540"/>
        <w:jc w:val="both"/>
      </w:pPr>
      <w:r>
        <w:t>приобретение модульных блоков для 3 кочевых школ;</w:t>
      </w:r>
    </w:p>
    <w:p w14:paraId="2A269EAA" w14:textId="77777777" w:rsidR="00454A29" w:rsidRDefault="00454A29">
      <w:pPr>
        <w:pStyle w:val="ConsPlusNormal"/>
        <w:spacing w:before="220"/>
        <w:ind w:firstLine="540"/>
        <w:jc w:val="both"/>
      </w:pPr>
      <w:r>
        <w:t>издание учебных пособий на языках коренных малочисленных народов Севера (далее - КМНС) в количестве 5900 экземпляров;</w:t>
      </w:r>
    </w:p>
    <w:p w14:paraId="26A1B09B" w14:textId="77777777" w:rsidR="00454A29" w:rsidRDefault="00454A29">
      <w:pPr>
        <w:pStyle w:val="ConsPlusNormal"/>
        <w:spacing w:before="220"/>
        <w:ind w:firstLine="540"/>
        <w:jc w:val="both"/>
      </w:pPr>
      <w:r>
        <w:t>увеличение количества участников олимпиады школьников Республики Саха (Якутия) по языкам КМНС, регионального этапа научно-практической конференции "Шаг в будущее", Республиканской олимпиады технических вузов;</w:t>
      </w:r>
    </w:p>
    <w:p w14:paraId="240103C6" w14:textId="77777777" w:rsidR="00454A29" w:rsidRDefault="00454A29">
      <w:pPr>
        <w:pStyle w:val="ConsPlusNormal"/>
        <w:spacing w:before="220"/>
        <w:ind w:firstLine="540"/>
        <w:jc w:val="both"/>
      </w:pPr>
      <w:r>
        <w:t>участие в заключительном этапе Всероссийской научно-практической конференции "Шаг в будущее", Поволжской конференции школьников им. Лобачевского, Российской конференции школьников "Открытие", Международной конференции "Колмогоровские чтения", регионального этапа Всероссийской олимпиады школьников по общеобразовательным предметам;</w:t>
      </w:r>
    </w:p>
    <w:p w14:paraId="55FA981F" w14:textId="77777777" w:rsidR="00454A29" w:rsidRDefault="00454A29">
      <w:pPr>
        <w:pStyle w:val="ConsPlusNormal"/>
        <w:spacing w:before="220"/>
        <w:ind w:firstLine="540"/>
        <w:jc w:val="both"/>
      </w:pPr>
      <w:r>
        <w:t>поддержка детей, находящихся в трудной жизненной ситуации, выезжающих в санаторно-курортные организации отдыха и оздоровления (2015 год - 337 детей, 2016 год - 350 детей);</w:t>
      </w:r>
    </w:p>
    <w:p w14:paraId="09AACB43" w14:textId="77777777" w:rsidR="00454A29" w:rsidRDefault="00454A29">
      <w:pPr>
        <w:pStyle w:val="ConsPlusNormal"/>
        <w:spacing w:before="220"/>
        <w:ind w:firstLine="540"/>
        <w:jc w:val="both"/>
      </w:pPr>
      <w:r>
        <w:t>повышение доли педагогических работников с высшим образованием в арктических и северных районах на 1%;</w:t>
      </w:r>
    </w:p>
    <w:p w14:paraId="78446F53" w14:textId="77777777" w:rsidR="00454A29" w:rsidRDefault="00454A29">
      <w:pPr>
        <w:pStyle w:val="ConsPlusNormal"/>
        <w:spacing w:before="220"/>
        <w:ind w:firstLine="540"/>
        <w:jc w:val="both"/>
      </w:pPr>
      <w:r>
        <w:t>повышение доли педагогических работников, имеющих высшую квалификационную категорию в арктических и северных районах, на 2%;</w:t>
      </w:r>
    </w:p>
    <w:p w14:paraId="746FC6E0" w14:textId="77777777" w:rsidR="00454A29" w:rsidRDefault="00454A29">
      <w:pPr>
        <w:pStyle w:val="ConsPlusNormal"/>
        <w:spacing w:before="220"/>
        <w:ind w:firstLine="540"/>
        <w:jc w:val="both"/>
      </w:pPr>
      <w:r>
        <w:t>повышение количества педагогов, прошедших курсы повышения квалификации (2014 год - 3021 чел., 2015 год - 1085 чел., 2016 год - 2411 чел.);</w:t>
      </w:r>
    </w:p>
    <w:p w14:paraId="7F2D65CC" w14:textId="77777777" w:rsidR="00454A29" w:rsidRDefault="00454A29">
      <w:pPr>
        <w:pStyle w:val="ConsPlusNormal"/>
        <w:spacing w:before="220"/>
        <w:ind w:firstLine="540"/>
        <w:jc w:val="both"/>
      </w:pPr>
      <w:r>
        <w:t>реализация проектов "Кочевая школа", "Учитель Арктики", "Педагогика Севера", "Экспериментальная школа-интернат "Арктика" с углубленным изучением предметов гуманитарно-культурологического профиля", "Детское североведение", "Электронная школа", "Дуальное образование", "Агропрофилированные школы", "Культура народов Республики Саха (Якутия)", "ФГОС в школах коренных малочисленных народов Севера Республики Саха (Якутия)" и др.</w:t>
      </w:r>
    </w:p>
    <w:p w14:paraId="0BA74F01" w14:textId="77777777" w:rsidR="00454A29" w:rsidRDefault="00454A29">
      <w:pPr>
        <w:pStyle w:val="ConsPlusNormal"/>
        <w:spacing w:before="220"/>
        <w:ind w:firstLine="540"/>
        <w:jc w:val="both"/>
      </w:pPr>
      <w:r>
        <w:t>В системе общего образования в арктических и северных районах республики остаются нерешенными проблемы:</w:t>
      </w:r>
    </w:p>
    <w:p w14:paraId="2C8E91A3" w14:textId="77777777" w:rsidR="00454A29" w:rsidRDefault="00454A29">
      <w:pPr>
        <w:pStyle w:val="ConsPlusNormal"/>
        <w:spacing w:before="220"/>
        <w:ind w:firstLine="540"/>
        <w:jc w:val="both"/>
      </w:pPr>
      <w:r>
        <w:t>наличие 13 аварийных и 4 ветхих зданий школ, 5 аварийных и 3 ветхих зданий детских садов;</w:t>
      </w:r>
    </w:p>
    <w:p w14:paraId="7475DD7F" w14:textId="77777777" w:rsidR="00454A29" w:rsidRDefault="00454A29">
      <w:pPr>
        <w:pStyle w:val="ConsPlusNormal"/>
        <w:spacing w:before="220"/>
        <w:ind w:firstLine="540"/>
        <w:jc w:val="both"/>
      </w:pPr>
      <w:r>
        <w:t>наличие 60 школ и 69 детских садов, не имеющих удобств;</w:t>
      </w:r>
    </w:p>
    <w:p w14:paraId="68BF55AF" w14:textId="77777777" w:rsidR="00454A29" w:rsidRDefault="00454A29">
      <w:pPr>
        <w:pStyle w:val="ConsPlusNormal"/>
        <w:spacing w:before="220"/>
        <w:ind w:firstLine="540"/>
        <w:jc w:val="both"/>
      </w:pPr>
      <w:r>
        <w:t>число дошкольных образовательных организаций, требующих капитального ремонта - 19, что составляет 16,5% от общего количества организаций в сфере дошкольного образования;</w:t>
      </w:r>
    </w:p>
    <w:p w14:paraId="0F4700DB" w14:textId="77777777" w:rsidR="00454A29" w:rsidRDefault="00454A29">
      <w:pPr>
        <w:pStyle w:val="ConsPlusNormal"/>
        <w:spacing w:before="220"/>
        <w:ind w:firstLine="540"/>
        <w:jc w:val="both"/>
      </w:pPr>
      <w:r>
        <w:lastRenderedPageBreak/>
        <w:t>число дошкольных образовательных организаций, находящихся в аварийном состоянии, - 3, что составляет 2,6% от общего числа объектов дошкольного образования;</w:t>
      </w:r>
    </w:p>
    <w:p w14:paraId="31F882B6" w14:textId="77777777" w:rsidR="00454A29" w:rsidRDefault="00454A29">
      <w:pPr>
        <w:pStyle w:val="ConsPlusNormal"/>
        <w:spacing w:before="220"/>
        <w:ind w:firstLine="540"/>
        <w:jc w:val="both"/>
      </w:pPr>
      <w:r>
        <w:t>капитального ремонта требует 21 здание организаций дополнительного образования детей, что составляет 48%;</w:t>
      </w:r>
    </w:p>
    <w:p w14:paraId="25BB5FF4" w14:textId="77777777" w:rsidR="00454A29" w:rsidRDefault="00454A29">
      <w:pPr>
        <w:pStyle w:val="ConsPlusNormal"/>
        <w:spacing w:before="220"/>
        <w:ind w:firstLine="540"/>
        <w:jc w:val="both"/>
      </w:pPr>
      <w:r>
        <w:t>отставание значений средних баллов ОГЭ и ЕГЭ от среднероссийских показателей;</w:t>
      </w:r>
    </w:p>
    <w:p w14:paraId="205CD355" w14:textId="77777777" w:rsidR="00454A29" w:rsidRDefault="00454A29">
      <w:pPr>
        <w:pStyle w:val="ConsPlusNormal"/>
        <w:spacing w:before="220"/>
        <w:ind w:firstLine="540"/>
        <w:jc w:val="both"/>
      </w:pPr>
      <w:r>
        <w:t>низкая скорость, отсутствие сети Интернет в отдаленных населенных пунктах. Высокие тарифы на обеспечение доступа к сети Интернет по спутниковой технологии. Из 652 школ локальная сеть установлена в 638 школах, кабинеты "Основы информатики и вычислительной техники" (ОИВТ) имеют 550 школ;</w:t>
      </w:r>
    </w:p>
    <w:p w14:paraId="2424267E" w14:textId="77777777" w:rsidR="00454A29" w:rsidRDefault="00454A29">
      <w:pPr>
        <w:pStyle w:val="ConsPlusNormal"/>
        <w:spacing w:before="220"/>
        <w:ind w:firstLine="540"/>
        <w:jc w:val="both"/>
      </w:pPr>
      <w:r>
        <w:t>недостаточная обеспеченность квалифицированными кадрами в арктических и северных районах;</w:t>
      </w:r>
    </w:p>
    <w:p w14:paraId="19E5759C" w14:textId="77777777" w:rsidR="00454A29" w:rsidRDefault="00454A29">
      <w:pPr>
        <w:pStyle w:val="ConsPlusNormal"/>
        <w:spacing w:before="220"/>
        <w:ind w:firstLine="540"/>
        <w:jc w:val="both"/>
      </w:pPr>
      <w:r>
        <w:t>недостаточное соответствие материально-технической базы современным требованиям;</w:t>
      </w:r>
    </w:p>
    <w:p w14:paraId="12DDA03D" w14:textId="77777777" w:rsidR="00454A29" w:rsidRDefault="00454A29">
      <w:pPr>
        <w:pStyle w:val="ConsPlusNormal"/>
        <w:spacing w:before="220"/>
        <w:ind w:firstLine="540"/>
        <w:jc w:val="both"/>
      </w:pPr>
      <w:r>
        <w:t>отсутствие детских стационарных лагерей, детских стационарных баз отдыха в северных и арктических районах;</w:t>
      </w:r>
    </w:p>
    <w:p w14:paraId="5B591156" w14:textId="77777777" w:rsidR="00454A29" w:rsidRDefault="00454A29">
      <w:pPr>
        <w:pStyle w:val="ConsPlusNormal"/>
        <w:spacing w:before="220"/>
        <w:ind w:firstLine="540"/>
        <w:jc w:val="both"/>
      </w:pPr>
      <w:r>
        <w:t>сложная транспортная логистика и финансово-затратное транспортное обеспечение перевозки детей от места проживания к местам отдыха и оздоровления детей (до г. Якутска и в регионы с более благоприятными климатическими условиями);</w:t>
      </w:r>
    </w:p>
    <w:p w14:paraId="02FAED88" w14:textId="77777777" w:rsidR="00454A29" w:rsidRDefault="00454A29">
      <w:pPr>
        <w:pStyle w:val="ConsPlusNormal"/>
        <w:spacing w:before="220"/>
        <w:ind w:firstLine="540"/>
        <w:jc w:val="both"/>
      </w:pPr>
      <w:r>
        <w:t>недостаточное укомплектование учебниками и методическими пособиями по родным языкам КМНС с 1 по 9 классы в соответствии с ФГОС.</w:t>
      </w:r>
    </w:p>
    <w:p w14:paraId="6F773359" w14:textId="77777777" w:rsidR="00454A29" w:rsidRDefault="00454A29">
      <w:pPr>
        <w:pStyle w:val="ConsPlusNormal"/>
        <w:spacing w:before="220"/>
        <w:ind w:firstLine="540"/>
        <w:jc w:val="both"/>
      </w:pPr>
      <w:r>
        <w:t>Развитие сферы образования в арктических и северных районах планируется для обеспечения качества образования в едином образовательном пространстве, соответствующем современным требованиям.</w:t>
      </w:r>
    </w:p>
    <w:p w14:paraId="4AF9DF56" w14:textId="77777777" w:rsidR="00454A29" w:rsidRDefault="00454A29">
      <w:pPr>
        <w:pStyle w:val="ConsPlusNormal"/>
        <w:spacing w:before="220"/>
        <w:ind w:firstLine="540"/>
        <w:jc w:val="both"/>
      </w:pPr>
      <w:r>
        <w:t>В государственной программе будут предусмотрены механизмы формирования открытого образования, мероприятия по совершенствованию содержания образования:</w:t>
      </w:r>
    </w:p>
    <w:p w14:paraId="6EF9B657" w14:textId="77777777" w:rsidR="00454A29" w:rsidRDefault="00454A29">
      <w:pPr>
        <w:pStyle w:val="ConsPlusNormal"/>
        <w:spacing w:before="220"/>
        <w:ind w:firstLine="540"/>
        <w:jc w:val="both"/>
      </w:pPr>
      <w:r>
        <w:t>совершенствование нормативно-правовой базы малокомплектных и кочевых образовательных организаций;</w:t>
      </w:r>
    </w:p>
    <w:p w14:paraId="7CD5081C" w14:textId="77777777" w:rsidR="00454A29" w:rsidRDefault="00454A29">
      <w:pPr>
        <w:pStyle w:val="ConsPlusNormal"/>
        <w:spacing w:before="220"/>
        <w:ind w:firstLine="540"/>
        <w:jc w:val="both"/>
      </w:pPr>
      <w:r>
        <w:t>совершенствование образовательных программ, учебно-методических комплектов по родным языкам КМНС и литературе, в том числе для невладеющих, по национальной культуре и фольклору;</w:t>
      </w:r>
    </w:p>
    <w:p w14:paraId="13A51894" w14:textId="77777777" w:rsidR="00454A29" w:rsidRDefault="00454A29">
      <w:pPr>
        <w:pStyle w:val="ConsPlusNormal"/>
        <w:spacing w:before="220"/>
        <w:ind w:firstLine="540"/>
        <w:jc w:val="both"/>
      </w:pPr>
      <w:r>
        <w:t>развитие сети кочевых образовательных организаций;</w:t>
      </w:r>
    </w:p>
    <w:p w14:paraId="3FACA9BA" w14:textId="77777777" w:rsidR="00454A29" w:rsidRDefault="00454A29">
      <w:pPr>
        <w:pStyle w:val="ConsPlusNormal"/>
        <w:spacing w:before="220"/>
        <w:ind w:firstLine="540"/>
        <w:jc w:val="both"/>
      </w:pPr>
      <w:r>
        <w:t>обеспечение цифровым оборудованием и техникой, интерактивными мультимедийными учебными материалами;</w:t>
      </w:r>
    </w:p>
    <w:p w14:paraId="5DF814BE" w14:textId="77777777" w:rsidR="00454A29" w:rsidRDefault="00454A29">
      <w:pPr>
        <w:pStyle w:val="ConsPlusNormal"/>
        <w:spacing w:before="220"/>
        <w:ind w:firstLine="540"/>
        <w:jc w:val="both"/>
      </w:pPr>
      <w:r>
        <w:t>реализация проекта "Каждому ученику кочевой школы - планшет";</w:t>
      </w:r>
    </w:p>
    <w:p w14:paraId="1140A481" w14:textId="77777777" w:rsidR="00454A29" w:rsidRDefault="00454A29">
      <w:pPr>
        <w:pStyle w:val="ConsPlusNormal"/>
        <w:spacing w:before="220"/>
        <w:ind w:firstLine="540"/>
        <w:jc w:val="both"/>
      </w:pPr>
      <w:r>
        <w:t>организация каналов доступа к сети Интернет;</w:t>
      </w:r>
    </w:p>
    <w:p w14:paraId="77F3966B" w14:textId="77777777" w:rsidR="00454A29" w:rsidRDefault="00454A29">
      <w:pPr>
        <w:pStyle w:val="ConsPlusNormal"/>
        <w:spacing w:before="220"/>
        <w:ind w:firstLine="540"/>
        <w:jc w:val="both"/>
      </w:pPr>
      <w:r>
        <w:t>развитие системы поддержки талантливых детей;</w:t>
      </w:r>
    </w:p>
    <w:p w14:paraId="56DE717E" w14:textId="77777777" w:rsidR="00454A29" w:rsidRDefault="00454A29">
      <w:pPr>
        <w:pStyle w:val="ConsPlusNormal"/>
        <w:spacing w:before="220"/>
        <w:ind w:firstLine="540"/>
        <w:jc w:val="both"/>
      </w:pPr>
      <w:r>
        <w:t>проведение комплексных исследований и создание инновационных образовательных программ в области этнокультурного, языкового и арктического образования детей;</w:t>
      </w:r>
    </w:p>
    <w:p w14:paraId="2EB4DAE5" w14:textId="77777777" w:rsidR="00454A29" w:rsidRDefault="00454A29">
      <w:pPr>
        <w:pStyle w:val="ConsPlusNormal"/>
        <w:spacing w:before="220"/>
        <w:ind w:firstLine="540"/>
        <w:jc w:val="both"/>
      </w:pPr>
      <w:r>
        <w:t xml:space="preserve">развитие сети языков и культур образовательных организаций в местах традиционного </w:t>
      </w:r>
      <w:r>
        <w:lastRenderedPageBreak/>
        <w:t>проживания КМНС;</w:t>
      </w:r>
    </w:p>
    <w:p w14:paraId="6B3E6126" w14:textId="77777777" w:rsidR="00454A29" w:rsidRDefault="00454A29">
      <w:pPr>
        <w:pStyle w:val="ConsPlusNormal"/>
        <w:spacing w:before="220"/>
        <w:ind w:firstLine="540"/>
        <w:jc w:val="both"/>
      </w:pPr>
      <w:r>
        <w:t>развитие системы профильного (дуального) обучения по традиционным видам хозяйствования народов Севера;</w:t>
      </w:r>
    </w:p>
    <w:p w14:paraId="5321E677" w14:textId="77777777" w:rsidR="00454A29" w:rsidRDefault="00454A29">
      <w:pPr>
        <w:pStyle w:val="ConsPlusNormal"/>
        <w:spacing w:before="220"/>
        <w:ind w:firstLine="540"/>
        <w:jc w:val="both"/>
      </w:pPr>
      <w:r>
        <w:t>развитие Международной арктической школы и сети школ-спутников;</w:t>
      </w:r>
    </w:p>
    <w:p w14:paraId="56934037" w14:textId="77777777" w:rsidR="00454A29" w:rsidRDefault="00454A29">
      <w:pPr>
        <w:pStyle w:val="ConsPlusNormal"/>
        <w:spacing w:before="220"/>
        <w:ind w:firstLine="540"/>
        <w:jc w:val="both"/>
      </w:pPr>
      <w:r>
        <w:t>создание стажировочных площадок на базе образовательных организаций для педагогов родных языков КМНС;</w:t>
      </w:r>
    </w:p>
    <w:p w14:paraId="6A1367C7" w14:textId="77777777" w:rsidR="00454A29" w:rsidRDefault="00454A29">
      <w:pPr>
        <w:pStyle w:val="ConsPlusNormal"/>
        <w:spacing w:before="220"/>
        <w:ind w:firstLine="540"/>
        <w:jc w:val="both"/>
      </w:pPr>
      <w:r>
        <w:t>подготовка педагогов кочевых образовательных организаций;</w:t>
      </w:r>
    </w:p>
    <w:p w14:paraId="0581296B" w14:textId="77777777" w:rsidR="00454A29" w:rsidRDefault="00454A29">
      <w:pPr>
        <w:pStyle w:val="ConsPlusNormal"/>
        <w:spacing w:before="220"/>
        <w:ind w:firstLine="540"/>
        <w:jc w:val="both"/>
      </w:pPr>
      <w:r>
        <w:t>модернизация инфраструктуры объектов образования;</w:t>
      </w:r>
    </w:p>
    <w:p w14:paraId="471EA578" w14:textId="77777777" w:rsidR="00454A29" w:rsidRDefault="00454A29">
      <w:pPr>
        <w:pStyle w:val="ConsPlusNormal"/>
        <w:spacing w:before="220"/>
        <w:ind w:firstLine="540"/>
        <w:jc w:val="both"/>
      </w:pPr>
      <w:r>
        <w:t>развитие дистанционного образования и внедрение "Электронной школы";</w:t>
      </w:r>
    </w:p>
    <w:p w14:paraId="7DBEBDE3" w14:textId="77777777" w:rsidR="00454A29" w:rsidRDefault="00454A29">
      <w:pPr>
        <w:pStyle w:val="ConsPlusNormal"/>
        <w:spacing w:before="220"/>
        <w:ind w:firstLine="540"/>
        <w:jc w:val="both"/>
      </w:pPr>
      <w:r>
        <w:t>создание учебных баз практики для развития учебно-опытных хозяйств (оленеводческих, рыболовецких и др.);</w:t>
      </w:r>
    </w:p>
    <w:p w14:paraId="1987B0BE" w14:textId="77777777" w:rsidR="00454A29" w:rsidRDefault="00454A29">
      <w:pPr>
        <w:pStyle w:val="ConsPlusNormal"/>
        <w:spacing w:before="220"/>
        <w:ind w:firstLine="540"/>
        <w:jc w:val="both"/>
      </w:pPr>
      <w:r>
        <w:t>развитие профилактических мер, обеспечение качественной диспансеризации и вакцинации, витаминизации;</w:t>
      </w:r>
    </w:p>
    <w:p w14:paraId="0594257F" w14:textId="77777777" w:rsidR="00454A29" w:rsidRDefault="00454A29">
      <w:pPr>
        <w:pStyle w:val="ConsPlusNormal"/>
        <w:spacing w:before="220"/>
        <w:ind w:firstLine="540"/>
        <w:jc w:val="both"/>
      </w:pPr>
      <w:r>
        <w:t>обеспечение полноценного питания детей в дошкольных и общеобразовательных организациях;</w:t>
      </w:r>
    </w:p>
    <w:p w14:paraId="1F6F1CA8" w14:textId="77777777" w:rsidR="00454A29" w:rsidRDefault="00454A29">
      <w:pPr>
        <w:pStyle w:val="ConsPlusNormal"/>
        <w:spacing w:before="220"/>
        <w:ind w:firstLine="540"/>
        <w:jc w:val="both"/>
      </w:pPr>
      <w:r>
        <w:t>укрепление психологического здоровья детей, обеспечение медико-психолого-педагогического сопровождения, кадрового обеспечения образовательных организаций (не хватает детских психиатров, психологов, психоаналитиков, логопедов, дефектологов);</w:t>
      </w:r>
    </w:p>
    <w:p w14:paraId="04AB1042" w14:textId="77777777" w:rsidR="00454A29" w:rsidRDefault="00454A29">
      <w:pPr>
        <w:pStyle w:val="ConsPlusNormal"/>
        <w:spacing w:before="220"/>
        <w:ind w:firstLine="540"/>
        <w:jc w:val="both"/>
      </w:pPr>
      <w:r>
        <w:t>приобретение учебно-лабораторного оборудования, компьютерного оборудования, ученической мебели и кабинетов;</w:t>
      </w:r>
    </w:p>
    <w:p w14:paraId="319B626F" w14:textId="77777777" w:rsidR="00454A29" w:rsidRDefault="00454A29">
      <w:pPr>
        <w:pStyle w:val="ConsPlusNormal"/>
        <w:spacing w:before="220"/>
        <w:ind w:firstLine="540"/>
        <w:jc w:val="both"/>
      </w:pPr>
      <w:r>
        <w:t>создание условий для улучшения здоровья и качества жизни детей;</w:t>
      </w:r>
    </w:p>
    <w:p w14:paraId="311C077B" w14:textId="77777777" w:rsidR="00454A29" w:rsidRDefault="00454A29">
      <w:pPr>
        <w:pStyle w:val="ConsPlusNormal"/>
        <w:spacing w:before="220"/>
        <w:ind w:firstLine="540"/>
        <w:jc w:val="both"/>
      </w:pPr>
      <w:r>
        <w:t>создание современной цифровой образовательной среды, в том числе и в кочевых школах, путем оснащения интерактивным оборудованием и сетью Интернет;</w:t>
      </w:r>
    </w:p>
    <w:p w14:paraId="1B57B448" w14:textId="77777777" w:rsidR="00454A29" w:rsidRDefault="00454A29">
      <w:pPr>
        <w:pStyle w:val="ConsPlusNormal"/>
        <w:spacing w:before="220"/>
        <w:ind w:firstLine="540"/>
        <w:jc w:val="both"/>
      </w:pPr>
      <w:r>
        <w:t>обучение родным языкам и литературе, национальной культуре и фольклору коренных народов Севера;</w:t>
      </w:r>
    </w:p>
    <w:p w14:paraId="0EABE349" w14:textId="77777777" w:rsidR="00454A29" w:rsidRDefault="00454A29">
      <w:pPr>
        <w:pStyle w:val="ConsPlusNormal"/>
        <w:spacing w:before="220"/>
        <w:ind w:firstLine="540"/>
        <w:jc w:val="both"/>
      </w:pPr>
      <w:r>
        <w:t>комплектование учебниками и методическими пособиями по родным языкам и литературе, национальной культуре и фольклору по требованиям ФГОС;</w:t>
      </w:r>
    </w:p>
    <w:p w14:paraId="733B12AD" w14:textId="77777777" w:rsidR="00454A29" w:rsidRDefault="00454A29">
      <w:pPr>
        <w:pStyle w:val="ConsPlusNormal"/>
        <w:spacing w:before="220"/>
        <w:ind w:firstLine="540"/>
        <w:jc w:val="both"/>
      </w:pPr>
      <w:r>
        <w:t>введение дополнительной образовательной программы "Оленеводство";</w:t>
      </w:r>
    </w:p>
    <w:p w14:paraId="3C4868AA" w14:textId="77777777" w:rsidR="00454A29" w:rsidRDefault="00454A29">
      <w:pPr>
        <w:pStyle w:val="ConsPlusNormal"/>
        <w:spacing w:before="220"/>
        <w:ind w:firstLine="540"/>
        <w:jc w:val="both"/>
      </w:pPr>
      <w:r>
        <w:t>организация отдыха и оздоровления детей из арктических и северных районов и представителей КМНС;</w:t>
      </w:r>
    </w:p>
    <w:p w14:paraId="40E4184D" w14:textId="77777777" w:rsidR="00454A29" w:rsidRDefault="00454A29">
      <w:pPr>
        <w:pStyle w:val="ConsPlusNormal"/>
        <w:spacing w:before="220"/>
        <w:ind w:firstLine="540"/>
        <w:jc w:val="both"/>
      </w:pPr>
      <w:r>
        <w:t>организация летней занятости детей оленеводов;</w:t>
      </w:r>
    </w:p>
    <w:p w14:paraId="098513F3" w14:textId="77777777" w:rsidR="00454A29" w:rsidRDefault="00454A29">
      <w:pPr>
        <w:pStyle w:val="ConsPlusNormal"/>
        <w:spacing w:before="220"/>
        <w:ind w:firstLine="540"/>
        <w:jc w:val="both"/>
      </w:pPr>
      <w:r>
        <w:t>организация перевозки детей к месту работы родителей в оленеводческие стада.</w:t>
      </w:r>
    </w:p>
    <w:p w14:paraId="515AF9D0" w14:textId="77777777" w:rsidR="00454A29" w:rsidRDefault="00454A29">
      <w:pPr>
        <w:pStyle w:val="ConsPlusNormal"/>
        <w:spacing w:before="220"/>
        <w:ind w:firstLine="540"/>
        <w:jc w:val="both"/>
      </w:pPr>
      <w:r>
        <w:t>Потенциалом для развития являются:</w:t>
      </w:r>
    </w:p>
    <w:p w14:paraId="2A2E84AB" w14:textId="77777777" w:rsidR="00454A29" w:rsidRDefault="00454A29">
      <w:pPr>
        <w:pStyle w:val="ConsPlusNormal"/>
        <w:spacing w:before="220"/>
        <w:ind w:firstLine="540"/>
        <w:jc w:val="both"/>
      </w:pPr>
      <w:r>
        <w:t>наличие нормативной правовой базы (законы Республики Саха (Якутия) "</w:t>
      </w:r>
      <w:hyperlink r:id="rId16" w:history="1">
        <w:r>
          <w:rPr>
            <w:color w:val="0000FF"/>
          </w:rPr>
          <w:t>О кочевых школах</w:t>
        </w:r>
      </w:hyperlink>
      <w:r>
        <w:t xml:space="preserve"> Республики Саха (Якутия)", "</w:t>
      </w:r>
      <w:hyperlink r:id="rId17" w:history="1">
        <w:r>
          <w:rPr>
            <w:color w:val="0000FF"/>
          </w:rPr>
          <w:t>О языках</w:t>
        </w:r>
      </w:hyperlink>
      <w:r>
        <w:t xml:space="preserve"> в Республике Саха (Якутия)", </w:t>
      </w:r>
      <w:hyperlink r:id="rId18" w:history="1">
        <w:r>
          <w:rPr>
            <w:color w:val="0000FF"/>
          </w:rPr>
          <w:t>Концепция</w:t>
        </w:r>
      </w:hyperlink>
      <w:r>
        <w:t xml:space="preserve"> системы кочевых образовательных учреждений Республики Саха (Якутия) и др.);</w:t>
      </w:r>
    </w:p>
    <w:p w14:paraId="55A4615F" w14:textId="77777777" w:rsidR="00454A29" w:rsidRDefault="00454A29">
      <w:pPr>
        <w:pStyle w:val="ConsPlusNormal"/>
        <w:spacing w:before="220"/>
        <w:ind w:firstLine="540"/>
        <w:jc w:val="both"/>
      </w:pPr>
      <w:r>
        <w:lastRenderedPageBreak/>
        <w:t>разработанность финансовых механизмов для школ арктических и северных районов;</w:t>
      </w:r>
    </w:p>
    <w:p w14:paraId="1E385DC5" w14:textId="77777777" w:rsidR="00454A29" w:rsidRDefault="00454A29">
      <w:pPr>
        <w:pStyle w:val="ConsPlusNormal"/>
        <w:spacing w:before="220"/>
        <w:ind w:firstLine="540"/>
        <w:jc w:val="both"/>
      </w:pPr>
      <w:r>
        <w:t>наличие научного, учебно-методического и информационного потенциала для развития системы общего образования в арктических и северных районах;</w:t>
      </w:r>
    </w:p>
    <w:p w14:paraId="73720363" w14:textId="77777777" w:rsidR="00454A29" w:rsidRDefault="00454A29">
      <w:pPr>
        <w:pStyle w:val="ConsPlusNormal"/>
        <w:spacing w:before="220"/>
        <w:ind w:firstLine="540"/>
        <w:jc w:val="both"/>
      </w:pPr>
      <w:r>
        <w:t>разработанность моделей двуязычия и многоязычия в образовательном пространстве;</w:t>
      </w:r>
    </w:p>
    <w:p w14:paraId="77F8EF56" w14:textId="77777777" w:rsidR="00454A29" w:rsidRDefault="00454A29">
      <w:pPr>
        <w:pStyle w:val="ConsPlusNormal"/>
        <w:spacing w:before="220"/>
        <w:ind w:firstLine="540"/>
        <w:jc w:val="both"/>
      </w:pPr>
      <w:r>
        <w:t>опыт реализации проектов "Кочевая школа", "Учителя Арктики" и др. в сотрудничестве с ЮНЕСКО;</w:t>
      </w:r>
    </w:p>
    <w:p w14:paraId="2402B88B" w14:textId="77777777" w:rsidR="00454A29" w:rsidRDefault="00454A29">
      <w:pPr>
        <w:pStyle w:val="ConsPlusNormal"/>
        <w:spacing w:before="220"/>
        <w:ind w:firstLine="540"/>
        <w:jc w:val="both"/>
      </w:pPr>
      <w:r>
        <w:t>систематическое проведение мероприятий: проведение олимпиад по родным языкам народов Севера, конкурсов, фестивалей и др.;</w:t>
      </w:r>
    </w:p>
    <w:p w14:paraId="176E818B" w14:textId="77777777" w:rsidR="00454A29" w:rsidRDefault="00454A29">
      <w:pPr>
        <w:pStyle w:val="ConsPlusNormal"/>
        <w:spacing w:before="220"/>
        <w:ind w:firstLine="540"/>
        <w:jc w:val="both"/>
      </w:pPr>
      <w:r>
        <w:t>система поддержки педагогов, работающих в арктических и северных районах.</w:t>
      </w:r>
    </w:p>
    <w:p w14:paraId="056C6B32" w14:textId="77777777" w:rsidR="00454A29" w:rsidRDefault="00454A29">
      <w:pPr>
        <w:pStyle w:val="ConsPlusNormal"/>
        <w:spacing w:before="220"/>
        <w:ind w:firstLine="540"/>
        <w:jc w:val="both"/>
      </w:pPr>
      <w:r>
        <w:t>Препятствующими факторами для развития могут стать существующие ограничения:</w:t>
      </w:r>
    </w:p>
    <w:p w14:paraId="2B590B65" w14:textId="77777777" w:rsidR="00454A29" w:rsidRDefault="00454A29">
      <w:pPr>
        <w:pStyle w:val="ConsPlusNormal"/>
        <w:spacing w:before="220"/>
        <w:ind w:firstLine="540"/>
        <w:jc w:val="both"/>
      </w:pPr>
      <w:r>
        <w:t>вопросы сохранения, возрождения и развития родных языков и культуры как основы национальной идентичности КМНС;</w:t>
      </w:r>
    </w:p>
    <w:p w14:paraId="1216FE4E" w14:textId="77777777" w:rsidR="00454A29" w:rsidRDefault="00454A29">
      <w:pPr>
        <w:pStyle w:val="ConsPlusNormal"/>
        <w:spacing w:before="220"/>
        <w:ind w:firstLine="540"/>
        <w:jc w:val="both"/>
      </w:pPr>
      <w:r>
        <w:t>миграция молодежи в более благоприятные для жизни места, понижение численности населения и молодых семей;</w:t>
      </w:r>
    </w:p>
    <w:p w14:paraId="1726BD4C" w14:textId="77777777" w:rsidR="00454A29" w:rsidRDefault="00454A29">
      <w:pPr>
        <w:pStyle w:val="ConsPlusNormal"/>
        <w:spacing w:before="220"/>
        <w:ind w:firstLine="540"/>
        <w:jc w:val="both"/>
      </w:pPr>
      <w:r>
        <w:t>отсутствие условий для ведения традиционного хозяйства приводит к упадку и исчезновению традиционного вида хозяйствования - оленеводства.</w:t>
      </w:r>
    </w:p>
    <w:p w14:paraId="4438C09C" w14:textId="77777777" w:rsidR="00454A29" w:rsidRDefault="00454A29">
      <w:pPr>
        <w:pStyle w:val="ConsPlusNormal"/>
        <w:spacing w:before="220"/>
        <w:ind w:firstLine="540"/>
        <w:jc w:val="both"/>
      </w:pPr>
      <w:r>
        <w:t>Государственная программа распространяется на:</w:t>
      </w:r>
    </w:p>
    <w:p w14:paraId="5041FCC2" w14:textId="77777777" w:rsidR="00454A29" w:rsidRDefault="00454A29">
      <w:pPr>
        <w:pStyle w:val="ConsPlusNormal"/>
        <w:spacing w:before="220"/>
        <w:ind w:firstLine="540"/>
        <w:jc w:val="both"/>
      </w:pPr>
      <w:r>
        <w:t>образовательные организации, ведущие кочевой образ жизни, в местах традиционного проживания КМНС Республики Саха (Якутия);</w:t>
      </w:r>
    </w:p>
    <w:p w14:paraId="0E8A8163" w14:textId="77777777" w:rsidR="00454A29" w:rsidRDefault="00454A29">
      <w:pPr>
        <w:pStyle w:val="ConsPlusNormal"/>
        <w:spacing w:before="220"/>
        <w:ind w:firstLine="540"/>
        <w:jc w:val="both"/>
      </w:pPr>
      <w:r>
        <w:t>образовательные организации, расположенные в 70 населенных пунктах в местах традиционного проживания КМНС Республики Саха (Якутия);</w:t>
      </w:r>
    </w:p>
    <w:p w14:paraId="72925D72" w14:textId="77777777" w:rsidR="00454A29" w:rsidRDefault="00454A29">
      <w:pPr>
        <w:pStyle w:val="ConsPlusNormal"/>
        <w:spacing w:before="220"/>
        <w:ind w:firstLine="540"/>
        <w:jc w:val="both"/>
      </w:pPr>
      <w:r>
        <w:t>образовательные организации, расположенные в 13 арктических и северных районах Республики Саха (Якутия): Абыйском улусе, муниципальном образовании "Аллаиховский улус (район)" (далее - Аллаиховский улус), муниципальном образовании "Анабарский национальный (долгано-эвенкийский) улус (район)" (далее - Анабарский улус), Булунском улусе, Верхоянском районе, муниципальном районе "Верхнеколымский улус (район)" (далее - Верхнеколымский улус), муниципальном районе "Жиганский национальный эвенкийский район" (далее - Жиганский район), муниципальном районе "Момский район" (далее - Момский район), муниципальном районе "Нижнеколымский район" (далее - Нижнеколымский район), муниципальном районе "Оленекский эвенкийский национальный район" (далее - Оленекский район), муниципальном образовании "Среднеколымский улус (район)" (далее - Среднеколымский улус), муниципальном образовании "Усть-Янский улус (район)" (далее - Усть-Янский улус), муниципальном образовании "Эвено-Бытантайский национальный улус (район)" (далее - Эвено-Бытантайский улус).</w:t>
      </w:r>
    </w:p>
    <w:p w14:paraId="7417DE3D" w14:textId="77777777" w:rsidR="00454A29" w:rsidRDefault="00454A29">
      <w:pPr>
        <w:pStyle w:val="ConsPlusNormal"/>
        <w:spacing w:before="220"/>
        <w:ind w:firstLine="540"/>
        <w:jc w:val="both"/>
      </w:pPr>
      <w:r>
        <w:t>Система воспитания и дополнительного образования в целом стремится соответствовать требованиям инновационного развития республики. Факторами, содействующими соответствию системы воспитания и дополнительного образования детей требованиям инновационного развития республики, являются внедряющиеся современные управленческие и организационно-экономические механизмы в системе дополнительного образования детей; механизмы государственно-частного партнерства, государственно-общественного управления, нормативно-бюджетного финансирования, независимой оценки качества образования, и др.</w:t>
      </w:r>
    </w:p>
    <w:p w14:paraId="52B5C5DE" w14:textId="77777777" w:rsidR="00454A29" w:rsidRDefault="00454A29">
      <w:pPr>
        <w:pStyle w:val="ConsPlusNormal"/>
        <w:spacing w:before="220"/>
        <w:ind w:firstLine="540"/>
        <w:jc w:val="both"/>
      </w:pPr>
      <w:r>
        <w:t xml:space="preserve">На 1 января 2019 года в республике функционирует 215 учреждений дополнительного </w:t>
      </w:r>
      <w:r>
        <w:lastRenderedPageBreak/>
        <w:t>образования детей, в том числе в системе образования - 113 учреждений, из них расположены в сельской местности - 54 (47,8%).</w:t>
      </w:r>
    </w:p>
    <w:p w14:paraId="2274AB4B" w14:textId="77777777" w:rsidR="00454A29" w:rsidRDefault="00454A29">
      <w:pPr>
        <w:pStyle w:val="ConsPlusNormal"/>
        <w:spacing w:before="220"/>
        <w:ind w:firstLine="540"/>
        <w:jc w:val="both"/>
      </w:pPr>
      <w:r>
        <w:t>В сфере дополнительного образования действует 30 негосударственных организаций, предоставляющих образовательные услуги по дополнительному образованию детей (школы архитектуры и дизайна, клубы робототехники, вокальные студии известных артистов, киностудии и др.).</w:t>
      </w:r>
    </w:p>
    <w:p w14:paraId="70DC2752" w14:textId="77777777" w:rsidR="00454A29" w:rsidRDefault="00454A29">
      <w:pPr>
        <w:pStyle w:val="ConsPlusNormal"/>
        <w:spacing w:before="220"/>
        <w:ind w:firstLine="540"/>
        <w:jc w:val="both"/>
      </w:pPr>
      <w:r>
        <w:t>Охват детей дополнительным образованием сопоставим с показателями в Российской Федерации и составляет 75% (139 206 чел.) от численности детского населения в возрасте 5 - 18 лет; в Российской Федерации - 71% от численности детского населения в возрасте 5 - 18 лет. В большей степени услугами учреждений дополнительного образования пользуются подростки 10 - 17 лет, они составляют 41,2% от общего числа детей 5 - 18 лет, охваченных дополнительным образованием.</w:t>
      </w:r>
    </w:p>
    <w:p w14:paraId="48DD7524" w14:textId="77777777" w:rsidR="00454A29" w:rsidRDefault="00454A29">
      <w:pPr>
        <w:pStyle w:val="ConsPlusNormal"/>
        <w:spacing w:before="220"/>
        <w:ind w:firstLine="540"/>
        <w:jc w:val="both"/>
      </w:pPr>
      <w:r>
        <w:t>Реализуются гарантии на общедоступность и бесплатность дополнительного образования детей: доля обучающихся, пользующихся платными образовательными услугами, составляет 4,7% от общего количества детей, занятых в системе дополнительного образования.</w:t>
      </w:r>
    </w:p>
    <w:p w14:paraId="72E3C5C2" w14:textId="77777777" w:rsidR="00454A29" w:rsidRDefault="00454A29">
      <w:pPr>
        <w:pStyle w:val="ConsPlusNormal"/>
        <w:spacing w:before="220"/>
        <w:ind w:firstLine="540"/>
        <w:jc w:val="both"/>
      </w:pPr>
      <w:r>
        <w:t>На 1 января 2019 года в республике насчитывается более 729 детских общественных объединений с охватом 82 801 чел. Для координации детского движения в республике создан региональный ресурсный центр поддержки и развития Российского движения школьников на базе республиканского центра развития детского движения Министерства образования и науки Республики Саха (Якутия). Деятельность детских общественных объединений осуществляется на базе общеобразовательных организаций и организаций дополнительного образования детей, на республиканском уровне задействованы ресурсы республиканского ресурсного центра "Юные якутяне", Центра отдыха и оздоровления детей "Сосновый бор", Малой академии наук, Института развития образования и повышения квалификации, организаций профессионального образования педагогических колледжей.</w:t>
      </w:r>
    </w:p>
    <w:p w14:paraId="2726A1F5" w14:textId="77777777" w:rsidR="00454A29" w:rsidRDefault="00454A29">
      <w:pPr>
        <w:pStyle w:val="ConsPlusNormal"/>
        <w:spacing w:before="220"/>
        <w:ind w:firstLine="540"/>
        <w:jc w:val="both"/>
      </w:pPr>
      <w:r>
        <w:t>В республике сохранена и развивается сеть учреждений дополнительного образования детей различной направленности. Не снижается охват детей дополнительным образованием (2012 год - 58%, 2014 год - 70,3%, 2017 год - 73%, 2018 год - 75%).</w:t>
      </w:r>
    </w:p>
    <w:p w14:paraId="101FFEDC" w14:textId="77777777" w:rsidR="00454A29" w:rsidRDefault="00454A29">
      <w:pPr>
        <w:pStyle w:val="ConsPlusNormal"/>
        <w:spacing w:before="220"/>
        <w:ind w:firstLine="540"/>
        <w:jc w:val="both"/>
      </w:pPr>
      <w:r>
        <w:t>Существенно расширена, обновлена нормативная правовая база в части воспитания и развития детей и молодежи, в которой определены приоритетные направления деятельности и механизмы их реализации в сфере воспитания и дополнительного образования детей.</w:t>
      </w:r>
    </w:p>
    <w:p w14:paraId="36810302" w14:textId="77777777" w:rsidR="00454A29" w:rsidRDefault="00454A29">
      <w:pPr>
        <w:pStyle w:val="ConsPlusNormal"/>
        <w:spacing w:before="220"/>
        <w:ind w:firstLine="540"/>
        <w:jc w:val="both"/>
      </w:pPr>
      <w:r>
        <w:t>Увеличился на 30% охват детей по техническому направлению в организациях дополнительного образования республики за счет развития новых востребованных направлений: робототехника, программирование, 3D-прототипирование, виртуальная и дополненная реальность, инженерная графика, аэрокосмическая инженерия. Общее количество образовательных организаций дополнительного образования, реализующих дополнительные общеобразовательные программы технической и естественно-научной направленности, составляет 76 (33,6%).</w:t>
      </w:r>
    </w:p>
    <w:p w14:paraId="0E5D2957" w14:textId="77777777" w:rsidR="00454A29" w:rsidRDefault="00454A29">
      <w:pPr>
        <w:pStyle w:val="ConsPlusNormal"/>
        <w:spacing w:before="220"/>
        <w:ind w:firstLine="540"/>
        <w:jc w:val="both"/>
      </w:pPr>
      <w:r>
        <w:t>Реализация комплекса мер по внедрению персонифицированного финансирования дополнительного образования детей обеспечила достижение следующих результатов: увеличение численности детей в возрасте от 5 до 18 лет, охваченных дополнительными общеобразовательными программами, в том числе технического и естественно-научного направлений на 6044 ребенка; увеличение численности детей в возрасте от 5 до 18 лет, охваченных дополнительными общеобразовательными программами технической направленности, от 6,2% до 11,23%; обеспечение доступа негосударственных поставщиков услуг дополнительного образования к бюджетному финансированию.</w:t>
      </w:r>
    </w:p>
    <w:p w14:paraId="27079844" w14:textId="77777777" w:rsidR="00454A29" w:rsidRDefault="00454A29">
      <w:pPr>
        <w:pStyle w:val="ConsPlusNormal"/>
        <w:spacing w:before="220"/>
        <w:ind w:firstLine="540"/>
        <w:jc w:val="both"/>
      </w:pPr>
      <w:r>
        <w:t xml:space="preserve">В рамках развития социально значимой деятельности обучающихся, поддержки детских </w:t>
      </w:r>
      <w:r>
        <w:lastRenderedPageBreak/>
        <w:t>инициатив реализуются проекты детских общественных объединений, всего с 2012 года было реализовано 68 социально значимых проектов детских общественных объединений. Расширена категория получателей гранта Главы Республики Саха (Якутия), с 2016 года в конкурсе могут принимать участие детские общественные объединения, не имеющие государственной регистрации, подавая заявки через школы и организации дополнительного образования.</w:t>
      </w:r>
    </w:p>
    <w:p w14:paraId="6969423D" w14:textId="77777777" w:rsidR="00454A29" w:rsidRDefault="00454A29">
      <w:pPr>
        <w:pStyle w:val="ConsPlusNormal"/>
        <w:spacing w:before="220"/>
        <w:ind w:firstLine="540"/>
        <w:jc w:val="both"/>
      </w:pPr>
      <w:r>
        <w:t>Принимаются меры по повышению эффективности организации питания в образовательных организациях. Динамика охвата питанием по возрастным группам и обеспеченность нуждающихся с учетом длительности пребывания в учреждении, а также иных факторов по республике носит положительный характер. По данным мониторинга 2019 года охват горячим питанием по возрастным группам и обеспеченность нуждающихся с учетом длительности пребывания в организации составляет 98%. Охват двухразовым горячим питанием составляет в среднем по республике 65,8%.</w:t>
      </w:r>
    </w:p>
    <w:p w14:paraId="061F20B0" w14:textId="77777777" w:rsidR="00454A29" w:rsidRDefault="00454A29">
      <w:pPr>
        <w:pStyle w:val="ConsPlusNormal"/>
        <w:spacing w:before="220"/>
        <w:ind w:firstLine="540"/>
        <w:jc w:val="both"/>
      </w:pPr>
      <w:r>
        <w:t>Ведется планомерная работа по модернизации спортивной инфраструктуры, ремонту спортивных залов, обеспечению спортивным инвентарем и оборудованием общеобразовательных организаций. В период с 2012 по 2017 годы построено более 100 открытых современных спортивных площадок с искусственным покрытием, в том числе в 82 школах, расположенных в сельской местности, 480 образовательных организаций оснащены спортивным инвентарем и оборудованием.</w:t>
      </w:r>
    </w:p>
    <w:p w14:paraId="7335C372" w14:textId="77777777" w:rsidR="00454A29" w:rsidRDefault="00454A29">
      <w:pPr>
        <w:pStyle w:val="ConsPlusNormal"/>
        <w:spacing w:before="220"/>
        <w:ind w:firstLine="540"/>
        <w:jc w:val="both"/>
      </w:pPr>
      <w:r>
        <w:t>Увеличивается количество детей, занимающихся по проектам "Шахматы детям", "Рисуем все", "Музыка для всех", инициированным Первым Президентом Республики Саха (Якутия) Николаевым М.Е.</w:t>
      </w:r>
    </w:p>
    <w:p w14:paraId="7097DF80" w14:textId="77777777" w:rsidR="00454A29" w:rsidRDefault="00454A29">
      <w:pPr>
        <w:pStyle w:val="ConsPlusNormal"/>
        <w:spacing w:before="220"/>
        <w:ind w:firstLine="540"/>
        <w:jc w:val="both"/>
      </w:pPr>
      <w:r>
        <w:t>В реализации проекта "Музыка для всех" принимают участие 73,3% школ (2017 год - 65,3%), 73% детских садов (2017 год - 59,7%), 53,2% организаций дополнительного образования детей (2017 год - 40%); укрепляется материально-техническая база учреждений образования: 40% школ имеют кабинеты музыки, 35,2% детских садов, 16,4% организаций дополнительного образования детей.</w:t>
      </w:r>
    </w:p>
    <w:p w14:paraId="0D6631B5" w14:textId="77777777" w:rsidR="00454A29" w:rsidRDefault="00454A29">
      <w:pPr>
        <w:pStyle w:val="ConsPlusNormal"/>
        <w:spacing w:before="220"/>
        <w:ind w:firstLine="540"/>
        <w:jc w:val="both"/>
      </w:pPr>
      <w:r>
        <w:t>С 2015 года реализуется проект "Шахматы - детям", в реализации которого принимают участие 107 дошкольных образовательных организаций и 14 общеобразовательных организаций.</w:t>
      </w:r>
    </w:p>
    <w:p w14:paraId="248D9824" w14:textId="77777777" w:rsidR="00454A29" w:rsidRDefault="00454A29">
      <w:pPr>
        <w:pStyle w:val="ConsPlusNormal"/>
        <w:spacing w:before="220"/>
        <w:ind w:firstLine="540"/>
        <w:jc w:val="both"/>
      </w:pPr>
      <w:r>
        <w:t>Развивается инновационная деятельность педагогов и организаций дополнительного образования детей. 20 организаций дополнительного образования имеют статус опорного учреждения Министерства образования и науки Республики Саха (Якутия).</w:t>
      </w:r>
    </w:p>
    <w:p w14:paraId="67125712" w14:textId="77777777" w:rsidR="00454A29" w:rsidRDefault="00454A29">
      <w:pPr>
        <w:pStyle w:val="ConsPlusNormal"/>
        <w:spacing w:before="220"/>
        <w:ind w:firstLine="540"/>
        <w:jc w:val="both"/>
      </w:pPr>
      <w:r>
        <w:t>В системе воспитания и дополнительного образования республики остаются нерешенными проблемы:</w:t>
      </w:r>
    </w:p>
    <w:p w14:paraId="45A33E02" w14:textId="77777777" w:rsidR="00454A29" w:rsidRDefault="00454A29">
      <w:pPr>
        <w:pStyle w:val="ConsPlusNormal"/>
        <w:spacing w:before="220"/>
        <w:ind w:firstLine="540"/>
        <w:jc w:val="both"/>
      </w:pPr>
      <w:r>
        <w:t>несоответствие оснащения учреждений дополнительного образования современным требованиям по техническим направлениям;</w:t>
      </w:r>
    </w:p>
    <w:p w14:paraId="228E9EDB" w14:textId="77777777" w:rsidR="00454A29" w:rsidRDefault="00454A29">
      <w:pPr>
        <w:pStyle w:val="ConsPlusNormal"/>
        <w:spacing w:before="220"/>
        <w:ind w:firstLine="540"/>
        <w:jc w:val="both"/>
      </w:pPr>
      <w:r>
        <w:t>несформированность современных управленческих и организационно-экономических механизмов в системе дополнительного образования детей;</w:t>
      </w:r>
    </w:p>
    <w:p w14:paraId="54710003" w14:textId="77777777" w:rsidR="00454A29" w:rsidRDefault="00454A29">
      <w:pPr>
        <w:pStyle w:val="ConsPlusNormal"/>
        <w:spacing w:before="220"/>
        <w:ind w:firstLine="540"/>
        <w:jc w:val="both"/>
      </w:pPr>
      <w:r>
        <w:t>негативные проявления в молодежной среде;</w:t>
      </w:r>
    </w:p>
    <w:p w14:paraId="0E1A65BC" w14:textId="77777777" w:rsidR="00454A29" w:rsidRDefault="00454A29">
      <w:pPr>
        <w:pStyle w:val="ConsPlusNormal"/>
        <w:spacing w:before="220"/>
        <w:ind w:firstLine="540"/>
        <w:jc w:val="both"/>
      </w:pPr>
      <w:r>
        <w:t>разрыв в качестве результатов между городскими и сельскими территориями, в том числе неравные условия для реализации современных программ дополнительного образования, недостаточные кадровые, финансовые и иные ресурсные условия;</w:t>
      </w:r>
    </w:p>
    <w:p w14:paraId="25BD8D54" w14:textId="77777777" w:rsidR="00454A29" w:rsidRDefault="00454A29">
      <w:pPr>
        <w:pStyle w:val="ConsPlusNormal"/>
        <w:spacing w:before="220"/>
        <w:ind w:firstLine="540"/>
        <w:jc w:val="both"/>
      </w:pPr>
      <w:r>
        <w:t>уменьшение численности контингента обучающихся по дополнительным общеобразовательным программам физкультурно-оздоровительной направленности.</w:t>
      </w:r>
    </w:p>
    <w:p w14:paraId="73E3938C" w14:textId="77777777" w:rsidR="00454A29" w:rsidRDefault="00454A29">
      <w:pPr>
        <w:pStyle w:val="ConsPlusNormal"/>
        <w:spacing w:before="220"/>
        <w:ind w:firstLine="540"/>
        <w:jc w:val="both"/>
      </w:pPr>
      <w:r>
        <w:t xml:space="preserve">В государственной программе будут предусмотрены механизмы для решения </w:t>
      </w:r>
      <w:r>
        <w:lastRenderedPageBreak/>
        <w:t>вышеуказанных проблем:</w:t>
      </w:r>
    </w:p>
    <w:p w14:paraId="7CA05F5C" w14:textId="77777777" w:rsidR="00454A29" w:rsidRDefault="00454A29">
      <w:pPr>
        <w:pStyle w:val="ConsPlusNormal"/>
        <w:spacing w:before="220"/>
        <w:ind w:firstLine="540"/>
        <w:jc w:val="both"/>
      </w:pPr>
      <w:r>
        <w:t>реализация регионального проекта "Успех каждого ребенка";</w:t>
      </w:r>
    </w:p>
    <w:p w14:paraId="2F775637" w14:textId="77777777" w:rsidR="00454A29" w:rsidRDefault="00454A29">
      <w:pPr>
        <w:pStyle w:val="ConsPlusNormal"/>
        <w:spacing w:before="220"/>
        <w:ind w:firstLine="540"/>
        <w:jc w:val="both"/>
      </w:pPr>
      <w:r>
        <w:t>создание и развитие опорных центров дополнительного образования детей, реализующих современные дополнительные общеобразовательные программы, с целью формирования эффективной системы взаимодействия в сфере дополнительного образования детей на муниципальном уровне;</w:t>
      </w:r>
    </w:p>
    <w:p w14:paraId="10335752" w14:textId="77777777" w:rsidR="00454A29" w:rsidRDefault="00454A29">
      <w:pPr>
        <w:pStyle w:val="ConsPlusNormal"/>
        <w:spacing w:before="220"/>
        <w:ind w:firstLine="540"/>
        <w:jc w:val="both"/>
      </w:pPr>
      <w:r>
        <w:t>внедрение современных управленческих и организационно-экономических механизмов в системе дополнительного образования детей через реализацию персонифицированного финансирования дополнительного образования детей;</w:t>
      </w:r>
    </w:p>
    <w:p w14:paraId="1CA9A860" w14:textId="77777777" w:rsidR="00454A29" w:rsidRDefault="00454A29">
      <w:pPr>
        <w:pStyle w:val="ConsPlusNormal"/>
        <w:spacing w:before="220"/>
        <w:ind w:firstLine="540"/>
        <w:jc w:val="both"/>
      </w:pPr>
      <w:r>
        <w:t>создание в общеобразовательных организациях, расположенных в сельской местности, условий для занятия физической культурой и спортом.</w:t>
      </w:r>
    </w:p>
    <w:p w14:paraId="33AD3E92" w14:textId="77777777" w:rsidR="00454A29" w:rsidRDefault="00454A29">
      <w:pPr>
        <w:pStyle w:val="ConsPlusNormal"/>
        <w:spacing w:before="220"/>
        <w:ind w:firstLine="540"/>
        <w:jc w:val="both"/>
      </w:pPr>
      <w:r>
        <w:t>Потенциалом для развития системы воспитания и дополнительного образования республики являются:</w:t>
      </w:r>
    </w:p>
    <w:p w14:paraId="18463CC3" w14:textId="77777777" w:rsidR="00454A29" w:rsidRDefault="00454A29">
      <w:pPr>
        <w:pStyle w:val="ConsPlusNormal"/>
        <w:spacing w:before="220"/>
        <w:ind w:firstLine="540"/>
        <w:jc w:val="both"/>
      </w:pPr>
      <w:r>
        <w:t>расширение перечня дополнительных общеобразовательных программ и повышение их доступности для детей, в том числе технической и естественно-научной направленностей;</w:t>
      </w:r>
    </w:p>
    <w:p w14:paraId="5995B086" w14:textId="77777777" w:rsidR="00454A29" w:rsidRDefault="00454A29">
      <w:pPr>
        <w:pStyle w:val="ConsPlusNormal"/>
        <w:spacing w:before="220"/>
        <w:ind w:firstLine="540"/>
        <w:jc w:val="both"/>
      </w:pPr>
      <w:r>
        <w:t>привлечение специалистов, подготовка кадров для реализации дополнительных общеобразовательных программ технической и естественно-научной направленностей;</w:t>
      </w:r>
    </w:p>
    <w:p w14:paraId="5EA1DA8C" w14:textId="77777777" w:rsidR="00454A29" w:rsidRDefault="00454A29">
      <w:pPr>
        <w:pStyle w:val="ConsPlusNormal"/>
        <w:spacing w:before="220"/>
        <w:ind w:firstLine="540"/>
        <w:jc w:val="both"/>
      </w:pPr>
      <w:r>
        <w:t>реализация адресных мер материальной и нематериальной поддержки педагогов дополнительного образования детей;</w:t>
      </w:r>
    </w:p>
    <w:p w14:paraId="024A0CD9" w14:textId="77777777" w:rsidR="00454A29" w:rsidRDefault="00454A29">
      <w:pPr>
        <w:pStyle w:val="ConsPlusNormal"/>
        <w:spacing w:before="220"/>
        <w:ind w:firstLine="540"/>
        <w:jc w:val="both"/>
      </w:pPr>
      <w:r>
        <w:t>стимулирование механизмов государственно-частного, социального партнерства и привлечения негосударственных организаций в развитие сектора дополнительного образования детей;</w:t>
      </w:r>
    </w:p>
    <w:p w14:paraId="6DDB8818" w14:textId="77777777" w:rsidR="00454A29" w:rsidRDefault="00454A29">
      <w:pPr>
        <w:pStyle w:val="ConsPlusNormal"/>
        <w:spacing w:before="220"/>
        <w:ind w:firstLine="540"/>
        <w:jc w:val="both"/>
      </w:pPr>
      <w:r>
        <w:t>создание в сельской местности муниципальных опорных центров дополнительного образования с оснащением материально-технической базы, обновлением содержания дополнительных общеобразовательных программ;</w:t>
      </w:r>
    </w:p>
    <w:p w14:paraId="1A00E175" w14:textId="77777777" w:rsidR="00454A29" w:rsidRDefault="00454A29">
      <w:pPr>
        <w:pStyle w:val="ConsPlusNormal"/>
        <w:spacing w:before="220"/>
        <w:ind w:firstLine="540"/>
        <w:jc w:val="both"/>
      </w:pPr>
      <w:r>
        <w:t>развитие открытых информационных электронных ресурсов о системе дополнительного образования, в том числе регионального навигатора;</w:t>
      </w:r>
    </w:p>
    <w:p w14:paraId="2ED5FCBA" w14:textId="77777777" w:rsidR="00454A29" w:rsidRDefault="00454A29">
      <w:pPr>
        <w:pStyle w:val="ConsPlusNormal"/>
        <w:spacing w:before="220"/>
        <w:ind w:firstLine="540"/>
        <w:jc w:val="both"/>
      </w:pPr>
      <w:r>
        <w:t>запуск республиканского детского технопарка "Кванториум" в г. Якутске, где представлено 8 квантумов: IT, VR/AR, Аэро, Гео, Космо, Нейро, Робо, Энерджи и Хайтек-цех;</w:t>
      </w:r>
    </w:p>
    <w:p w14:paraId="624D4063" w14:textId="77777777" w:rsidR="00454A29" w:rsidRDefault="00454A29">
      <w:pPr>
        <w:pStyle w:val="ConsPlusNormal"/>
        <w:spacing w:before="220"/>
        <w:ind w:firstLine="540"/>
        <w:jc w:val="both"/>
      </w:pPr>
      <w:r>
        <w:t>создание координирующего регионального органа - республиканского ресурсного центра "Юные якутяне", который вошел в перечень федеральных инновационных площадок, осуществляющих деятельность в сфере дополнительного образования детей, на 2016 - 2020 годы (приказ Минобрнауки России от 30 декабря 2015 г. N 1563);</w:t>
      </w:r>
    </w:p>
    <w:p w14:paraId="48AC077B" w14:textId="77777777" w:rsidR="00454A29" w:rsidRDefault="00454A29">
      <w:pPr>
        <w:pStyle w:val="ConsPlusNormal"/>
        <w:spacing w:before="220"/>
        <w:ind w:firstLine="540"/>
        <w:jc w:val="both"/>
      </w:pPr>
      <w:r>
        <w:t>создание регионального ресурсного центра поддержки и развития Российского движения школьников на базе республиканского центра развития детского движения Министерства образования и науки Республики Саха (Якутия).</w:t>
      </w:r>
    </w:p>
    <w:p w14:paraId="0AA7DAA5" w14:textId="77777777" w:rsidR="00454A29" w:rsidRDefault="00454A29">
      <w:pPr>
        <w:pStyle w:val="ConsPlusNormal"/>
        <w:spacing w:before="220"/>
        <w:ind w:firstLine="540"/>
        <w:jc w:val="both"/>
      </w:pPr>
      <w:r>
        <w:t>Препятствующими факторами для развития могут стать существующие ограничения:</w:t>
      </w:r>
    </w:p>
    <w:p w14:paraId="647BA110" w14:textId="77777777" w:rsidR="00454A29" w:rsidRDefault="00454A29">
      <w:pPr>
        <w:pStyle w:val="ConsPlusNormal"/>
        <w:spacing w:before="220"/>
        <w:ind w:firstLine="540"/>
        <w:jc w:val="both"/>
      </w:pPr>
      <w:r>
        <w:t>предполагаемый в соответствии с демографическим прогнозом сдвиг возрастной структуры детей в сторону старших школьных возрастов и неготовность содержания образовательных программ и педагогических кадров к переключению на работу с этими возрастными категориями;</w:t>
      </w:r>
    </w:p>
    <w:p w14:paraId="75DEDAB2" w14:textId="77777777" w:rsidR="00454A29" w:rsidRDefault="00454A29">
      <w:pPr>
        <w:pStyle w:val="ConsPlusNormal"/>
        <w:spacing w:before="220"/>
        <w:ind w:firstLine="540"/>
        <w:jc w:val="both"/>
      </w:pPr>
      <w:r>
        <w:lastRenderedPageBreak/>
        <w:t>отсутствие достаточных стимулов для прихода молодых кадров на работу в сферу дополнительного образования детей;</w:t>
      </w:r>
    </w:p>
    <w:p w14:paraId="0178D07C" w14:textId="77777777" w:rsidR="00454A29" w:rsidRDefault="00454A29">
      <w:pPr>
        <w:pStyle w:val="ConsPlusNormal"/>
        <w:spacing w:before="220"/>
        <w:ind w:firstLine="540"/>
        <w:jc w:val="both"/>
      </w:pPr>
      <w:r>
        <w:t>разрыв в качестве результатов между городскими и сельскими территориями, в том числе неравных условий для реализации современных программ дополнительного образования, недостаточных кадровых, финансовых и иных ресурсных условий;</w:t>
      </w:r>
    </w:p>
    <w:p w14:paraId="12E2D53B" w14:textId="77777777" w:rsidR="00454A29" w:rsidRDefault="00454A29">
      <w:pPr>
        <w:pStyle w:val="ConsPlusNormal"/>
        <w:spacing w:before="220"/>
        <w:ind w:firstLine="540"/>
        <w:jc w:val="both"/>
      </w:pPr>
      <w:r>
        <w:t>отсутствие общедоступных навигаторов, позволяющих семьям выбирать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и возможностями (в том числе находящихся в трудной жизненной ситуации), обеспечивающие возможность проектирования индивидуальных образовательных траекторий ребенка;</w:t>
      </w:r>
    </w:p>
    <w:p w14:paraId="231AE40C" w14:textId="77777777" w:rsidR="00454A29" w:rsidRDefault="00454A29">
      <w:pPr>
        <w:pStyle w:val="ConsPlusNormal"/>
        <w:spacing w:before="220"/>
        <w:ind w:firstLine="540"/>
        <w:jc w:val="both"/>
      </w:pPr>
      <w:r>
        <w:t>низкие темпы обновления инфраструктуры, оборудования и средств обучения дополнительного образования детей с учетом формирования нового содержания дополнительного образования и обеспечения равного доступа к современным дополнительным общеобразовательным программам детей, в том числе из северных, арктических районов;</w:t>
      </w:r>
    </w:p>
    <w:p w14:paraId="59AB5465" w14:textId="77777777" w:rsidR="00454A29" w:rsidRDefault="00454A29">
      <w:pPr>
        <w:pStyle w:val="ConsPlusNormal"/>
        <w:spacing w:before="220"/>
        <w:ind w:firstLine="540"/>
        <w:jc w:val="both"/>
      </w:pPr>
      <w:r>
        <w:t>слабое развитие сети негосударственных образовательных организаций, реализующих вариативные и востребованные дополнительные общеобразовательные программы различных направленностей для детей. Фактически эта услуга реализуется только в г. Мирном и г. Якутске.</w:t>
      </w:r>
    </w:p>
    <w:p w14:paraId="1CD19972" w14:textId="77777777" w:rsidR="00454A29" w:rsidRDefault="00454A29">
      <w:pPr>
        <w:pStyle w:val="ConsPlusNormal"/>
        <w:spacing w:before="220"/>
        <w:ind w:firstLine="540"/>
        <w:jc w:val="both"/>
      </w:pPr>
      <w:r>
        <w:t>Организация отдыха и оздоровления детей в летний период является неотъемлемой частью социальной политики государства, с 2010 года относится к полномочиям субъектов Российской Федерации.</w:t>
      </w:r>
    </w:p>
    <w:p w14:paraId="2FF8780B" w14:textId="77777777" w:rsidR="00454A29" w:rsidRDefault="00454A29">
      <w:pPr>
        <w:pStyle w:val="ConsPlusNormal"/>
        <w:spacing w:before="220"/>
        <w:ind w:firstLine="540"/>
        <w:jc w:val="both"/>
      </w:pPr>
      <w:r>
        <w:t>Ежегодно более 70% детей и подростков республики заняты организованным отдыхом, трудом и оздоровлением, из них более 50% - дети, нуждающиеся в особой заботе государства.</w:t>
      </w:r>
    </w:p>
    <w:p w14:paraId="6A21F85D" w14:textId="77777777" w:rsidR="00454A29" w:rsidRDefault="00454A29">
      <w:pPr>
        <w:pStyle w:val="ConsPlusNormal"/>
        <w:spacing w:before="220"/>
        <w:ind w:firstLine="540"/>
        <w:jc w:val="both"/>
      </w:pPr>
      <w:r>
        <w:t>В летний сезон 2019 года в Республике Саха (Якутия) функционировала 661 организация отдыха и оздоровления детей (в 2018 году - 670), охват детей составил 63 050 детей (в 2018 году - 63 020), в том числе 46 855 детей (в 2018 году - 43 300), находящихся в трудной жизненной ситуации. Отдыхом и оздоровлением охвачено 945 детей-инвалидов и 750 детей с ограниченными возможностями здоровья. Общий охват обучающихся отдыхом, оздоровлением и занятостью до конца года составит более 110 тысяч детей (75,5% от числа обучающихся 1 - 11 классов).</w:t>
      </w:r>
    </w:p>
    <w:p w14:paraId="3441F4BB" w14:textId="77777777" w:rsidR="00454A29" w:rsidRDefault="00454A29">
      <w:pPr>
        <w:pStyle w:val="ConsPlusNormal"/>
        <w:spacing w:before="220"/>
        <w:ind w:firstLine="540"/>
        <w:jc w:val="both"/>
      </w:pPr>
      <w:r>
        <w:t>Все организации отдыха и оздоровления детей укомплектованы педагогическими кадрами и медицинским персоналом.</w:t>
      </w:r>
    </w:p>
    <w:p w14:paraId="615687D1" w14:textId="77777777" w:rsidR="00454A29" w:rsidRDefault="00454A29">
      <w:pPr>
        <w:pStyle w:val="ConsPlusNormal"/>
        <w:spacing w:before="220"/>
        <w:ind w:firstLine="540"/>
        <w:jc w:val="both"/>
      </w:pPr>
      <w:r>
        <w:t>В 2019 году за пределы республики выехало более 10 тысяч детей, в том числе по линии Министерства образования и науки Республики Саха (Якутия) более 1300 детей. Увеличение количества детей, выезжающих на отдых в регионы более с благоприятными климатическими условиями, обусловлено увеличением направлений субсидированных авиаперелетов, а также предусмотренными социальными льготами для многодетных семей.</w:t>
      </w:r>
    </w:p>
    <w:p w14:paraId="4FA54D9E" w14:textId="77777777" w:rsidR="00454A29" w:rsidRDefault="00454A29">
      <w:pPr>
        <w:pStyle w:val="ConsPlusNormal"/>
        <w:spacing w:before="220"/>
        <w:ind w:firstLine="540"/>
        <w:jc w:val="both"/>
      </w:pPr>
      <w:r>
        <w:t>По данным Государственного комитета Республики Саха (Якутия) по занятости населения на организацию летней занятости несовершеннолетних граждан в возрасте от 14 до 18 лет в оленеводческих хозяйствах Республики Саха (Якутия) предусмотрено 9,00 млн. руб. на трудоустройство 224 несовершеннолетних граждан (в 2018 году - 4,1 млн. руб., 218 чел.).</w:t>
      </w:r>
    </w:p>
    <w:p w14:paraId="139F876F" w14:textId="77777777" w:rsidR="00454A29" w:rsidRDefault="00454A29">
      <w:pPr>
        <w:pStyle w:val="ConsPlusNormal"/>
        <w:spacing w:before="220"/>
        <w:ind w:firstLine="540"/>
        <w:jc w:val="both"/>
      </w:pPr>
      <w:r>
        <w:t>Также за последние годы наблюдается тенденция роста лагерей труда и отдыха с круглосуточным пребыванием детей, детских трудовых бригад (бригады волонтеров, семейные бригады, семейные бригады в оленеводческих стадах и другие бригады) на 39% (2015-32 ЛТО, 2019-52 ЛТО).</w:t>
      </w:r>
    </w:p>
    <w:p w14:paraId="6A1B696A" w14:textId="77777777" w:rsidR="00454A29" w:rsidRDefault="00454A29">
      <w:pPr>
        <w:pStyle w:val="ConsPlusNormal"/>
        <w:spacing w:before="220"/>
        <w:ind w:firstLine="540"/>
        <w:jc w:val="both"/>
      </w:pPr>
      <w:r>
        <w:t xml:space="preserve">Приняты дополнительные меры по обеспечению комплексной безопасности во время </w:t>
      </w:r>
      <w:r>
        <w:lastRenderedPageBreak/>
        <w:t>пребывания детей в организациях отдыха и оздоровления детей, в части обеспечения противопожарной, антитеррористической безопасности, перевозки организованных групп детей на транспорте в соответствии с новыми требованиями. Проводится 100% страхование детей. Заключаются договора с частными охранными организациями.</w:t>
      </w:r>
    </w:p>
    <w:p w14:paraId="38A7FB46" w14:textId="77777777" w:rsidR="00454A29" w:rsidRDefault="00454A29">
      <w:pPr>
        <w:pStyle w:val="ConsPlusNormal"/>
        <w:spacing w:before="220"/>
        <w:ind w:firstLine="540"/>
        <w:jc w:val="both"/>
      </w:pPr>
      <w:r>
        <w:t>По итогам летней оздоровительной кампании выраженный эффект оздоровления составил - 86% (АППГ-92%).</w:t>
      </w:r>
    </w:p>
    <w:p w14:paraId="1F5F7842" w14:textId="77777777" w:rsidR="00454A29" w:rsidRDefault="00454A29">
      <w:pPr>
        <w:pStyle w:val="ConsPlusNormal"/>
      </w:pPr>
    </w:p>
    <w:p w14:paraId="2C954EEC" w14:textId="77777777" w:rsidR="00454A29" w:rsidRDefault="00454A29">
      <w:pPr>
        <w:pStyle w:val="ConsPlusNormal"/>
        <w:jc w:val="right"/>
        <w:outlineLvl w:val="2"/>
      </w:pPr>
      <w:r>
        <w:t>Таблица 1</w:t>
      </w:r>
    </w:p>
    <w:p w14:paraId="7701907E" w14:textId="77777777" w:rsidR="00454A29" w:rsidRDefault="00454A29">
      <w:pPr>
        <w:pStyle w:val="ConsPlusNormal"/>
      </w:pPr>
    </w:p>
    <w:p w14:paraId="12112D09" w14:textId="77777777" w:rsidR="00454A29" w:rsidRDefault="00454A29">
      <w:pPr>
        <w:pStyle w:val="ConsPlusTitle"/>
        <w:jc w:val="center"/>
      </w:pPr>
      <w:r>
        <w:t>Сведения</w:t>
      </w:r>
    </w:p>
    <w:p w14:paraId="37F95E1A" w14:textId="77777777" w:rsidR="00454A29" w:rsidRDefault="00454A29">
      <w:pPr>
        <w:pStyle w:val="ConsPlusTitle"/>
        <w:jc w:val="center"/>
      </w:pPr>
      <w:r>
        <w:t>об организации отдыха и оздоровления детей за период</w:t>
      </w:r>
    </w:p>
    <w:p w14:paraId="749BEF3F" w14:textId="77777777" w:rsidR="00454A29" w:rsidRDefault="00454A29">
      <w:pPr>
        <w:pStyle w:val="ConsPlusTitle"/>
        <w:jc w:val="center"/>
      </w:pPr>
      <w:r>
        <w:t>с 2015 по 2019 годы</w:t>
      </w:r>
    </w:p>
    <w:p w14:paraId="1D3641FE"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64"/>
        <w:gridCol w:w="964"/>
        <w:gridCol w:w="964"/>
        <w:gridCol w:w="964"/>
        <w:gridCol w:w="964"/>
      </w:tblGrid>
      <w:tr w:rsidR="00454A29" w14:paraId="7E44B2BF" w14:textId="77777777">
        <w:tc>
          <w:tcPr>
            <w:tcW w:w="4252" w:type="dxa"/>
            <w:vAlign w:val="center"/>
          </w:tcPr>
          <w:p w14:paraId="458E7BB9" w14:textId="77777777" w:rsidR="00454A29" w:rsidRDefault="00454A29">
            <w:pPr>
              <w:pStyle w:val="ConsPlusNormal"/>
              <w:jc w:val="center"/>
            </w:pPr>
            <w:r>
              <w:t>Наименование показателя</w:t>
            </w:r>
          </w:p>
        </w:tc>
        <w:tc>
          <w:tcPr>
            <w:tcW w:w="964" w:type="dxa"/>
            <w:vAlign w:val="center"/>
          </w:tcPr>
          <w:p w14:paraId="062D48DE" w14:textId="77777777" w:rsidR="00454A29" w:rsidRDefault="00454A29">
            <w:pPr>
              <w:pStyle w:val="ConsPlusNormal"/>
              <w:jc w:val="center"/>
            </w:pPr>
            <w:r>
              <w:t>2015</w:t>
            </w:r>
          </w:p>
        </w:tc>
        <w:tc>
          <w:tcPr>
            <w:tcW w:w="964" w:type="dxa"/>
            <w:vAlign w:val="center"/>
          </w:tcPr>
          <w:p w14:paraId="12512C44" w14:textId="77777777" w:rsidR="00454A29" w:rsidRDefault="00454A29">
            <w:pPr>
              <w:pStyle w:val="ConsPlusNormal"/>
              <w:jc w:val="center"/>
            </w:pPr>
            <w:r>
              <w:t>2016</w:t>
            </w:r>
          </w:p>
        </w:tc>
        <w:tc>
          <w:tcPr>
            <w:tcW w:w="964" w:type="dxa"/>
            <w:vAlign w:val="center"/>
          </w:tcPr>
          <w:p w14:paraId="4F1BE858" w14:textId="77777777" w:rsidR="00454A29" w:rsidRDefault="00454A29">
            <w:pPr>
              <w:pStyle w:val="ConsPlusNormal"/>
              <w:jc w:val="center"/>
            </w:pPr>
            <w:r>
              <w:t>2017</w:t>
            </w:r>
          </w:p>
        </w:tc>
        <w:tc>
          <w:tcPr>
            <w:tcW w:w="964" w:type="dxa"/>
            <w:vAlign w:val="center"/>
          </w:tcPr>
          <w:p w14:paraId="7CAD6848" w14:textId="77777777" w:rsidR="00454A29" w:rsidRDefault="00454A29">
            <w:pPr>
              <w:pStyle w:val="ConsPlusNormal"/>
              <w:jc w:val="center"/>
            </w:pPr>
            <w:r>
              <w:t>2018</w:t>
            </w:r>
          </w:p>
        </w:tc>
        <w:tc>
          <w:tcPr>
            <w:tcW w:w="964" w:type="dxa"/>
            <w:vAlign w:val="center"/>
          </w:tcPr>
          <w:p w14:paraId="23869D13" w14:textId="77777777" w:rsidR="00454A29" w:rsidRDefault="00454A29">
            <w:pPr>
              <w:pStyle w:val="ConsPlusNormal"/>
              <w:jc w:val="center"/>
            </w:pPr>
            <w:r>
              <w:t>2019 план</w:t>
            </w:r>
          </w:p>
        </w:tc>
      </w:tr>
      <w:tr w:rsidR="00454A29" w14:paraId="19F6AD09" w14:textId="77777777">
        <w:tc>
          <w:tcPr>
            <w:tcW w:w="4252" w:type="dxa"/>
            <w:vAlign w:val="center"/>
          </w:tcPr>
          <w:p w14:paraId="2C8A4937" w14:textId="77777777" w:rsidR="00454A29" w:rsidRDefault="00454A29">
            <w:pPr>
              <w:pStyle w:val="ConsPlusNormal"/>
              <w:jc w:val="both"/>
            </w:pPr>
            <w:r>
              <w:t>Численность оздоровленных детей с учетом выезда за пределы Республики Саха (Якутия), в т.ч. (чел.):</w:t>
            </w:r>
          </w:p>
        </w:tc>
        <w:tc>
          <w:tcPr>
            <w:tcW w:w="964" w:type="dxa"/>
            <w:vAlign w:val="center"/>
          </w:tcPr>
          <w:p w14:paraId="50279853" w14:textId="77777777" w:rsidR="00454A29" w:rsidRDefault="00454A29">
            <w:pPr>
              <w:pStyle w:val="ConsPlusNormal"/>
              <w:jc w:val="center"/>
            </w:pPr>
            <w:r>
              <w:t>67184</w:t>
            </w:r>
          </w:p>
        </w:tc>
        <w:tc>
          <w:tcPr>
            <w:tcW w:w="964" w:type="dxa"/>
            <w:vAlign w:val="center"/>
          </w:tcPr>
          <w:p w14:paraId="1A0B7DB9" w14:textId="77777777" w:rsidR="00454A29" w:rsidRDefault="00454A29">
            <w:pPr>
              <w:pStyle w:val="ConsPlusNormal"/>
              <w:jc w:val="center"/>
            </w:pPr>
            <w:r>
              <w:t>68023</w:t>
            </w:r>
          </w:p>
        </w:tc>
        <w:tc>
          <w:tcPr>
            <w:tcW w:w="964" w:type="dxa"/>
            <w:vAlign w:val="center"/>
          </w:tcPr>
          <w:p w14:paraId="45E2E651" w14:textId="77777777" w:rsidR="00454A29" w:rsidRDefault="00454A29">
            <w:pPr>
              <w:pStyle w:val="ConsPlusNormal"/>
              <w:jc w:val="center"/>
            </w:pPr>
            <w:r>
              <w:t>69415</w:t>
            </w:r>
          </w:p>
        </w:tc>
        <w:tc>
          <w:tcPr>
            <w:tcW w:w="964" w:type="dxa"/>
            <w:vAlign w:val="center"/>
          </w:tcPr>
          <w:p w14:paraId="2CAA8F8A" w14:textId="77777777" w:rsidR="00454A29" w:rsidRDefault="00454A29">
            <w:pPr>
              <w:pStyle w:val="ConsPlusNormal"/>
              <w:jc w:val="center"/>
            </w:pPr>
            <w:r>
              <w:t>70763</w:t>
            </w:r>
          </w:p>
        </w:tc>
        <w:tc>
          <w:tcPr>
            <w:tcW w:w="964" w:type="dxa"/>
            <w:vAlign w:val="center"/>
          </w:tcPr>
          <w:p w14:paraId="26515A01" w14:textId="77777777" w:rsidR="00454A29" w:rsidRDefault="00454A29">
            <w:pPr>
              <w:pStyle w:val="ConsPlusNormal"/>
              <w:jc w:val="center"/>
            </w:pPr>
            <w:r>
              <w:t>73783</w:t>
            </w:r>
          </w:p>
        </w:tc>
      </w:tr>
      <w:tr w:rsidR="00454A29" w14:paraId="50AA7816" w14:textId="77777777">
        <w:tc>
          <w:tcPr>
            <w:tcW w:w="4252" w:type="dxa"/>
            <w:vAlign w:val="center"/>
          </w:tcPr>
          <w:p w14:paraId="2758EF7D" w14:textId="77777777" w:rsidR="00454A29" w:rsidRDefault="00454A29">
            <w:pPr>
              <w:pStyle w:val="ConsPlusNormal"/>
              <w:jc w:val="both"/>
            </w:pPr>
            <w:r>
              <w:t>детей, находящихся в трудной жизненной ситуации</w:t>
            </w:r>
          </w:p>
        </w:tc>
        <w:tc>
          <w:tcPr>
            <w:tcW w:w="964" w:type="dxa"/>
            <w:vAlign w:val="center"/>
          </w:tcPr>
          <w:p w14:paraId="19E85140" w14:textId="77777777" w:rsidR="00454A29" w:rsidRDefault="00454A29">
            <w:pPr>
              <w:pStyle w:val="ConsPlusNormal"/>
              <w:jc w:val="center"/>
            </w:pPr>
            <w:r>
              <w:t>42501</w:t>
            </w:r>
          </w:p>
        </w:tc>
        <w:tc>
          <w:tcPr>
            <w:tcW w:w="964" w:type="dxa"/>
            <w:vAlign w:val="center"/>
          </w:tcPr>
          <w:p w14:paraId="0081B8A1" w14:textId="77777777" w:rsidR="00454A29" w:rsidRDefault="00454A29">
            <w:pPr>
              <w:pStyle w:val="ConsPlusNormal"/>
              <w:jc w:val="center"/>
            </w:pPr>
            <w:r>
              <w:t>42905</w:t>
            </w:r>
          </w:p>
        </w:tc>
        <w:tc>
          <w:tcPr>
            <w:tcW w:w="964" w:type="dxa"/>
            <w:vAlign w:val="center"/>
          </w:tcPr>
          <w:p w14:paraId="0B94AAB2" w14:textId="77777777" w:rsidR="00454A29" w:rsidRDefault="00454A29">
            <w:pPr>
              <w:pStyle w:val="ConsPlusNormal"/>
              <w:jc w:val="center"/>
            </w:pPr>
            <w:r>
              <w:t>43047</w:t>
            </w:r>
          </w:p>
        </w:tc>
        <w:tc>
          <w:tcPr>
            <w:tcW w:w="964" w:type="dxa"/>
            <w:vAlign w:val="center"/>
          </w:tcPr>
          <w:p w14:paraId="6165169A" w14:textId="77777777" w:rsidR="00454A29" w:rsidRDefault="00454A29">
            <w:pPr>
              <w:pStyle w:val="ConsPlusNormal"/>
              <w:jc w:val="center"/>
            </w:pPr>
            <w:r>
              <w:t>43300</w:t>
            </w:r>
          </w:p>
        </w:tc>
        <w:tc>
          <w:tcPr>
            <w:tcW w:w="964" w:type="dxa"/>
            <w:vAlign w:val="center"/>
          </w:tcPr>
          <w:p w14:paraId="7E20F02A" w14:textId="77777777" w:rsidR="00454A29" w:rsidRDefault="00454A29">
            <w:pPr>
              <w:pStyle w:val="ConsPlusNormal"/>
              <w:jc w:val="center"/>
            </w:pPr>
            <w:r>
              <w:t>46855</w:t>
            </w:r>
          </w:p>
        </w:tc>
      </w:tr>
      <w:tr w:rsidR="00454A29" w14:paraId="796DD300" w14:textId="77777777">
        <w:tc>
          <w:tcPr>
            <w:tcW w:w="4252" w:type="dxa"/>
            <w:vAlign w:val="center"/>
          </w:tcPr>
          <w:p w14:paraId="36CDD582" w14:textId="77777777" w:rsidR="00454A29" w:rsidRDefault="00454A29">
            <w:pPr>
              <w:pStyle w:val="ConsPlusNormal"/>
              <w:jc w:val="both"/>
            </w:pPr>
            <w:r>
              <w:t>Количество организаций отдыха и оздоровления детей (ед.)</w:t>
            </w:r>
          </w:p>
        </w:tc>
        <w:tc>
          <w:tcPr>
            <w:tcW w:w="964" w:type="dxa"/>
            <w:vAlign w:val="center"/>
          </w:tcPr>
          <w:p w14:paraId="1184BD30" w14:textId="77777777" w:rsidR="00454A29" w:rsidRDefault="00454A29">
            <w:pPr>
              <w:pStyle w:val="ConsPlusNormal"/>
              <w:jc w:val="center"/>
            </w:pPr>
            <w:r>
              <w:t>678</w:t>
            </w:r>
          </w:p>
        </w:tc>
        <w:tc>
          <w:tcPr>
            <w:tcW w:w="964" w:type="dxa"/>
            <w:vAlign w:val="center"/>
          </w:tcPr>
          <w:p w14:paraId="2C5A8F90" w14:textId="77777777" w:rsidR="00454A29" w:rsidRDefault="00454A29">
            <w:pPr>
              <w:pStyle w:val="ConsPlusNormal"/>
              <w:jc w:val="center"/>
            </w:pPr>
            <w:r>
              <w:t>680</w:t>
            </w:r>
          </w:p>
        </w:tc>
        <w:tc>
          <w:tcPr>
            <w:tcW w:w="964" w:type="dxa"/>
            <w:vAlign w:val="center"/>
          </w:tcPr>
          <w:p w14:paraId="294258D6" w14:textId="77777777" w:rsidR="00454A29" w:rsidRDefault="00454A29">
            <w:pPr>
              <w:pStyle w:val="ConsPlusNormal"/>
              <w:jc w:val="center"/>
            </w:pPr>
            <w:r>
              <w:t>680</w:t>
            </w:r>
          </w:p>
        </w:tc>
        <w:tc>
          <w:tcPr>
            <w:tcW w:w="964" w:type="dxa"/>
            <w:vAlign w:val="center"/>
          </w:tcPr>
          <w:p w14:paraId="7156D531" w14:textId="77777777" w:rsidR="00454A29" w:rsidRDefault="00454A29">
            <w:pPr>
              <w:pStyle w:val="ConsPlusNormal"/>
              <w:jc w:val="center"/>
            </w:pPr>
            <w:r>
              <w:t>670</w:t>
            </w:r>
          </w:p>
        </w:tc>
        <w:tc>
          <w:tcPr>
            <w:tcW w:w="964" w:type="dxa"/>
            <w:vAlign w:val="center"/>
          </w:tcPr>
          <w:p w14:paraId="2B3DB5A2" w14:textId="77777777" w:rsidR="00454A29" w:rsidRDefault="00454A29">
            <w:pPr>
              <w:pStyle w:val="ConsPlusNormal"/>
              <w:jc w:val="center"/>
            </w:pPr>
            <w:r>
              <w:t>661</w:t>
            </w:r>
          </w:p>
        </w:tc>
      </w:tr>
      <w:tr w:rsidR="00454A29" w14:paraId="02E570D0" w14:textId="77777777">
        <w:tc>
          <w:tcPr>
            <w:tcW w:w="4252" w:type="dxa"/>
            <w:vAlign w:val="center"/>
          </w:tcPr>
          <w:p w14:paraId="0544AE53" w14:textId="77777777" w:rsidR="00454A29" w:rsidRDefault="00454A29">
            <w:pPr>
              <w:pStyle w:val="ConsPlusNormal"/>
              <w:jc w:val="both"/>
            </w:pPr>
            <w:r>
              <w:t>Выезд детей в санаторно-оздоровительные лагеря за пределы Республики Саха (Якутия) (чел.)</w:t>
            </w:r>
          </w:p>
        </w:tc>
        <w:tc>
          <w:tcPr>
            <w:tcW w:w="964" w:type="dxa"/>
            <w:vAlign w:val="center"/>
          </w:tcPr>
          <w:p w14:paraId="36E05B6D" w14:textId="77777777" w:rsidR="00454A29" w:rsidRDefault="00454A29">
            <w:pPr>
              <w:pStyle w:val="ConsPlusNormal"/>
              <w:jc w:val="center"/>
            </w:pPr>
            <w:r>
              <w:t>5650</w:t>
            </w:r>
          </w:p>
        </w:tc>
        <w:tc>
          <w:tcPr>
            <w:tcW w:w="964" w:type="dxa"/>
            <w:vAlign w:val="center"/>
          </w:tcPr>
          <w:p w14:paraId="5820440E" w14:textId="77777777" w:rsidR="00454A29" w:rsidRDefault="00454A29">
            <w:pPr>
              <w:pStyle w:val="ConsPlusNormal"/>
              <w:jc w:val="center"/>
            </w:pPr>
            <w:r>
              <w:t>5663</w:t>
            </w:r>
          </w:p>
        </w:tc>
        <w:tc>
          <w:tcPr>
            <w:tcW w:w="964" w:type="dxa"/>
            <w:vAlign w:val="center"/>
          </w:tcPr>
          <w:p w14:paraId="68DFB6A8" w14:textId="77777777" w:rsidR="00454A29" w:rsidRDefault="00454A29">
            <w:pPr>
              <w:pStyle w:val="ConsPlusNormal"/>
              <w:jc w:val="center"/>
            </w:pPr>
            <w:r>
              <w:t>5680</w:t>
            </w:r>
          </w:p>
        </w:tc>
        <w:tc>
          <w:tcPr>
            <w:tcW w:w="964" w:type="dxa"/>
            <w:vAlign w:val="center"/>
          </w:tcPr>
          <w:p w14:paraId="696F489C" w14:textId="77777777" w:rsidR="00454A29" w:rsidRDefault="00454A29">
            <w:pPr>
              <w:pStyle w:val="ConsPlusNormal"/>
              <w:jc w:val="center"/>
            </w:pPr>
            <w:r>
              <w:t>7743</w:t>
            </w:r>
          </w:p>
        </w:tc>
        <w:tc>
          <w:tcPr>
            <w:tcW w:w="964" w:type="dxa"/>
            <w:vAlign w:val="center"/>
          </w:tcPr>
          <w:p w14:paraId="6D4172FE" w14:textId="77777777" w:rsidR="00454A29" w:rsidRDefault="00454A29">
            <w:pPr>
              <w:pStyle w:val="ConsPlusNormal"/>
              <w:jc w:val="center"/>
            </w:pPr>
            <w:r>
              <w:t>10733</w:t>
            </w:r>
          </w:p>
        </w:tc>
      </w:tr>
      <w:tr w:rsidR="00454A29" w14:paraId="44B48E6D" w14:textId="77777777">
        <w:tc>
          <w:tcPr>
            <w:tcW w:w="4252" w:type="dxa"/>
            <w:vAlign w:val="center"/>
          </w:tcPr>
          <w:p w14:paraId="37259CD3" w14:textId="77777777" w:rsidR="00454A29" w:rsidRDefault="00454A29">
            <w:pPr>
              <w:pStyle w:val="ConsPlusNormal"/>
              <w:jc w:val="both"/>
            </w:pPr>
            <w:r>
              <w:t>Доля детей, оздоровленных от общей численности детей школьного возраста (%)</w:t>
            </w:r>
          </w:p>
        </w:tc>
        <w:tc>
          <w:tcPr>
            <w:tcW w:w="964" w:type="dxa"/>
            <w:vAlign w:val="center"/>
          </w:tcPr>
          <w:p w14:paraId="38FE2C83" w14:textId="77777777" w:rsidR="00454A29" w:rsidRDefault="00454A29">
            <w:pPr>
              <w:pStyle w:val="ConsPlusNormal"/>
              <w:jc w:val="center"/>
            </w:pPr>
            <w:r>
              <w:t>50,8</w:t>
            </w:r>
          </w:p>
        </w:tc>
        <w:tc>
          <w:tcPr>
            <w:tcW w:w="964" w:type="dxa"/>
            <w:vAlign w:val="center"/>
          </w:tcPr>
          <w:p w14:paraId="09FE709D" w14:textId="77777777" w:rsidR="00454A29" w:rsidRDefault="00454A29">
            <w:pPr>
              <w:pStyle w:val="ConsPlusNormal"/>
              <w:jc w:val="center"/>
            </w:pPr>
            <w:r>
              <w:t>50,8</w:t>
            </w:r>
          </w:p>
        </w:tc>
        <w:tc>
          <w:tcPr>
            <w:tcW w:w="964" w:type="dxa"/>
            <w:vAlign w:val="center"/>
          </w:tcPr>
          <w:p w14:paraId="0132F468" w14:textId="77777777" w:rsidR="00454A29" w:rsidRDefault="00454A29">
            <w:pPr>
              <w:pStyle w:val="ConsPlusNormal"/>
              <w:jc w:val="center"/>
            </w:pPr>
            <w:r>
              <w:t>50,8</w:t>
            </w:r>
          </w:p>
        </w:tc>
        <w:tc>
          <w:tcPr>
            <w:tcW w:w="964" w:type="dxa"/>
            <w:vAlign w:val="center"/>
          </w:tcPr>
          <w:p w14:paraId="1AD6E431" w14:textId="77777777" w:rsidR="00454A29" w:rsidRDefault="00454A29">
            <w:pPr>
              <w:pStyle w:val="ConsPlusNormal"/>
              <w:jc w:val="center"/>
            </w:pPr>
            <w:r>
              <w:t>50,5</w:t>
            </w:r>
          </w:p>
        </w:tc>
        <w:tc>
          <w:tcPr>
            <w:tcW w:w="964" w:type="dxa"/>
            <w:vAlign w:val="center"/>
          </w:tcPr>
          <w:p w14:paraId="40FCFE4C" w14:textId="77777777" w:rsidR="00454A29" w:rsidRDefault="00454A29">
            <w:pPr>
              <w:pStyle w:val="ConsPlusNormal"/>
              <w:jc w:val="center"/>
            </w:pPr>
            <w:r>
              <w:t>50,5</w:t>
            </w:r>
          </w:p>
        </w:tc>
      </w:tr>
      <w:tr w:rsidR="00454A29" w14:paraId="4CBD8812" w14:textId="77777777">
        <w:tc>
          <w:tcPr>
            <w:tcW w:w="4252" w:type="dxa"/>
            <w:vAlign w:val="center"/>
          </w:tcPr>
          <w:p w14:paraId="5DC8C177" w14:textId="77777777" w:rsidR="00454A29" w:rsidRDefault="00454A29">
            <w:pPr>
              <w:pStyle w:val="ConsPlusNormal"/>
              <w:jc w:val="both"/>
            </w:pPr>
            <w:r>
              <w:t>Доля детей, находящихся в трудной жизненной ситуации, охваченных организованным отдыхом и оздоровлением (%)</w:t>
            </w:r>
          </w:p>
        </w:tc>
        <w:tc>
          <w:tcPr>
            <w:tcW w:w="964" w:type="dxa"/>
            <w:vAlign w:val="center"/>
          </w:tcPr>
          <w:p w14:paraId="79B2D236" w14:textId="77777777" w:rsidR="00454A29" w:rsidRDefault="00454A29">
            <w:pPr>
              <w:pStyle w:val="ConsPlusNormal"/>
              <w:jc w:val="center"/>
            </w:pPr>
            <w:r>
              <w:t>63,5</w:t>
            </w:r>
          </w:p>
        </w:tc>
        <w:tc>
          <w:tcPr>
            <w:tcW w:w="964" w:type="dxa"/>
            <w:vAlign w:val="center"/>
          </w:tcPr>
          <w:p w14:paraId="5C37559B" w14:textId="77777777" w:rsidR="00454A29" w:rsidRDefault="00454A29">
            <w:pPr>
              <w:pStyle w:val="ConsPlusNormal"/>
              <w:jc w:val="center"/>
            </w:pPr>
            <w:r>
              <w:t>63,5</w:t>
            </w:r>
          </w:p>
        </w:tc>
        <w:tc>
          <w:tcPr>
            <w:tcW w:w="964" w:type="dxa"/>
            <w:vAlign w:val="center"/>
          </w:tcPr>
          <w:p w14:paraId="51DBFC0A" w14:textId="77777777" w:rsidR="00454A29" w:rsidRDefault="00454A29">
            <w:pPr>
              <w:pStyle w:val="ConsPlusNormal"/>
              <w:jc w:val="center"/>
            </w:pPr>
            <w:r>
              <w:t>63,5</w:t>
            </w:r>
          </w:p>
        </w:tc>
        <w:tc>
          <w:tcPr>
            <w:tcW w:w="964" w:type="dxa"/>
            <w:vAlign w:val="center"/>
          </w:tcPr>
          <w:p w14:paraId="7F60F893" w14:textId="77777777" w:rsidR="00454A29" w:rsidRDefault="00454A29">
            <w:pPr>
              <w:pStyle w:val="ConsPlusNormal"/>
              <w:jc w:val="center"/>
            </w:pPr>
            <w:r>
              <w:t>63,5</w:t>
            </w:r>
          </w:p>
        </w:tc>
        <w:tc>
          <w:tcPr>
            <w:tcW w:w="964" w:type="dxa"/>
            <w:vAlign w:val="center"/>
          </w:tcPr>
          <w:p w14:paraId="462D23A7" w14:textId="77777777" w:rsidR="00454A29" w:rsidRDefault="00454A29">
            <w:pPr>
              <w:pStyle w:val="ConsPlusNormal"/>
              <w:jc w:val="center"/>
            </w:pPr>
            <w:r>
              <w:t>63,5</w:t>
            </w:r>
          </w:p>
        </w:tc>
      </w:tr>
      <w:tr w:rsidR="00454A29" w14:paraId="53A192E9" w14:textId="77777777">
        <w:tc>
          <w:tcPr>
            <w:tcW w:w="4252" w:type="dxa"/>
            <w:vAlign w:val="center"/>
          </w:tcPr>
          <w:p w14:paraId="1E1A028B" w14:textId="77777777" w:rsidR="00454A29" w:rsidRDefault="00454A29">
            <w:pPr>
              <w:pStyle w:val="ConsPlusNormal"/>
              <w:jc w:val="both"/>
            </w:pPr>
            <w:r>
              <w:t>Охват детей организованным отдыхом, оздоровлением и занятостью (%)</w:t>
            </w:r>
          </w:p>
        </w:tc>
        <w:tc>
          <w:tcPr>
            <w:tcW w:w="964" w:type="dxa"/>
            <w:vAlign w:val="center"/>
          </w:tcPr>
          <w:p w14:paraId="66E04677" w14:textId="77777777" w:rsidR="00454A29" w:rsidRDefault="00454A29">
            <w:pPr>
              <w:pStyle w:val="ConsPlusNormal"/>
              <w:jc w:val="center"/>
            </w:pPr>
            <w:r>
              <w:t>75</w:t>
            </w:r>
          </w:p>
        </w:tc>
        <w:tc>
          <w:tcPr>
            <w:tcW w:w="964" w:type="dxa"/>
            <w:vAlign w:val="center"/>
          </w:tcPr>
          <w:p w14:paraId="44FC375F" w14:textId="77777777" w:rsidR="00454A29" w:rsidRDefault="00454A29">
            <w:pPr>
              <w:pStyle w:val="ConsPlusNormal"/>
              <w:jc w:val="center"/>
            </w:pPr>
            <w:r>
              <w:t>75,5</w:t>
            </w:r>
          </w:p>
        </w:tc>
        <w:tc>
          <w:tcPr>
            <w:tcW w:w="964" w:type="dxa"/>
            <w:vAlign w:val="center"/>
          </w:tcPr>
          <w:p w14:paraId="1AE4FFD2" w14:textId="77777777" w:rsidR="00454A29" w:rsidRDefault="00454A29">
            <w:pPr>
              <w:pStyle w:val="ConsPlusNormal"/>
              <w:jc w:val="center"/>
            </w:pPr>
            <w:r>
              <w:t>75,5</w:t>
            </w:r>
          </w:p>
        </w:tc>
        <w:tc>
          <w:tcPr>
            <w:tcW w:w="964" w:type="dxa"/>
            <w:vAlign w:val="center"/>
          </w:tcPr>
          <w:p w14:paraId="5E36D9A1" w14:textId="77777777" w:rsidR="00454A29" w:rsidRDefault="00454A29">
            <w:pPr>
              <w:pStyle w:val="ConsPlusNormal"/>
              <w:jc w:val="center"/>
            </w:pPr>
            <w:r>
              <w:t>75,5</w:t>
            </w:r>
          </w:p>
        </w:tc>
        <w:tc>
          <w:tcPr>
            <w:tcW w:w="964" w:type="dxa"/>
            <w:vAlign w:val="center"/>
          </w:tcPr>
          <w:p w14:paraId="7947D41F" w14:textId="77777777" w:rsidR="00454A29" w:rsidRDefault="00454A29">
            <w:pPr>
              <w:pStyle w:val="ConsPlusNormal"/>
              <w:jc w:val="center"/>
            </w:pPr>
            <w:r>
              <w:t>75,5</w:t>
            </w:r>
          </w:p>
        </w:tc>
      </w:tr>
    </w:tbl>
    <w:p w14:paraId="788DD2FA" w14:textId="77777777" w:rsidR="00454A29" w:rsidRDefault="00454A29">
      <w:pPr>
        <w:pStyle w:val="ConsPlusNormal"/>
      </w:pPr>
    </w:p>
    <w:p w14:paraId="73E3B4F5" w14:textId="77777777" w:rsidR="00454A29" w:rsidRDefault="00454A29">
      <w:pPr>
        <w:pStyle w:val="ConsPlusTitle"/>
        <w:jc w:val="center"/>
        <w:outlineLvl w:val="2"/>
      </w:pPr>
      <w:r>
        <w:t>Сведения</w:t>
      </w:r>
    </w:p>
    <w:p w14:paraId="01A209D4" w14:textId="77777777" w:rsidR="00454A29" w:rsidRDefault="00454A29">
      <w:pPr>
        <w:pStyle w:val="ConsPlusTitle"/>
        <w:jc w:val="center"/>
      </w:pPr>
      <w:r>
        <w:t>о вводе новых и реконструированных стационарных</w:t>
      </w:r>
    </w:p>
    <w:p w14:paraId="405FB001" w14:textId="77777777" w:rsidR="00454A29" w:rsidRDefault="00454A29">
      <w:pPr>
        <w:pStyle w:val="ConsPlusTitle"/>
        <w:jc w:val="center"/>
      </w:pPr>
      <w:r>
        <w:t>базах за период 2015 - 2019 годов</w:t>
      </w:r>
    </w:p>
    <w:p w14:paraId="31EFF3BA"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3402"/>
        <w:gridCol w:w="3402"/>
      </w:tblGrid>
      <w:tr w:rsidR="00454A29" w14:paraId="05228535" w14:textId="77777777">
        <w:tc>
          <w:tcPr>
            <w:tcW w:w="1134" w:type="dxa"/>
            <w:vAlign w:val="center"/>
          </w:tcPr>
          <w:p w14:paraId="5D65F1F2" w14:textId="77777777" w:rsidR="00454A29" w:rsidRDefault="00454A29">
            <w:pPr>
              <w:pStyle w:val="ConsPlusNormal"/>
              <w:jc w:val="center"/>
            </w:pPr>
            <w:r>
              <w:t>Год</w:t>
            </w:r>
          </w:p>
        </w:tc>
        <w:tc>
          <w:tcPr>
            <w:tcW w:w="1134" w:type="dxa"/>
            <w:vAlign w:val="center"/>
          </w:tcPr>
          <w:p w14:paraId="2AFFC6C7" w14:textId="77777777" w:rsidR="00454A29" w:rsidRDefault="00454A29">
            <w:pPr>
              <w:pStyle w:val="ConsPlusNormal"/>
              <w:jc w:val="center"/>
            </w:pPr>
            <w:r>
              <w:t>Кол-во баз</w:t>
            </w:r>
          </w:p>
        </w:tc>
        <w:tc>
          <w:tcPr>
            <w:tcW w:w="3402" w:type="dxa"/>
            <w:vAlign w:val="center"/>
          </w:tcPr>
          <w:p w14:paraId="31798F6B" w14:textId="77777777" w:rsidR="00454A29" w:rsidRDefault="00454A29">
            <w:pPr>
              <w:pStyle w:val="ConsPlusNormal"/>
              <w:jc w:val="center"/>
            </w:pPr>
            <w:r>
              <w:t>Реконструированные</w:t>
            </w:r>
          </w:p>
        </w:tc>
        <w:tc>
          <w:tcPr>
            <w:tcW w:w="3402" w:type="dxa"/>
            <w:vAlign w:val="center"/>
          </w:tcPr>
          <w:p w14:paraId="1F7FCE85" w14:textId="77777777" w:rsidR="00454A29" w:rsidRDefault="00454A29">
            <w:pPr>
              <w:pStyle w:val="ConsPlusNormal"/>
              <w:jc w:val="center"/>
            </w:pPr>
            <w:r>
              <w:t>Новые базы</w:t>
            </w:r>
          </w:p>
        </w:tc>
      </w:tr>
      <w:tr w:rsidR="00454A29" w14:paraId="04B8B858" w14:textId="77777777">
        <w:tc>
          <w:tcPr>
            <w:tcW w:w="1134" w:type="dxa"/>
            <w:vAlign w:val="center"/>
          </w:tcPr>
          <w:p w14:paraId="185D0145" w14:textId="77777777" w:rsidR="00454A29" w:rsidRDefault="00454A29">
            <w:pPr>
              <w:pStyle w:val="ConsPlusNormal"/>
              <w:jc w:val="center"/>
            </w:pPr>
            <w:r>
              <w:t>2015</w:t>
            </w:r>
          </w:p>
        </w:tc>
        <w:tc>
          <w:tcPr>
            <w:tcW w:w="1134" w:type="dxa"/>
            <w:vAlign w:val="center"/>
          </w:tcPr>
          <w:p w14:paraId="430684B0" w14:textId="77777777" w:rsidR="00454A29" w:rsidRDefault="00454A29">
            <w:pPr>
              <w:pStyle w:val="ConsPlusNormal"/>
              <w:jc w:val="center"/>
            </w:pPr>
            <w:r>
              <w:t>3</w:t>
            </w:r>
          </w:p>
        </w:tc>
        <w:tc>
          <w:tcPr>
            <w:tcW w:w="3402" w:type="dxa"/>
          </w:tcPr>
          <w:p w14:paraId="6C1D3EDC" w14:textId="77777777" w:rsidR="00454A29" w:rsidRDefault="00454A29">
            <w:pPr>
              <w:pStyle w:val="ConsPlusNormal"/>
              <w:jc w:val="both"/>
            </w:pPr>
            <w:r>
              <w:t>"Кэскил" (Вилюйский район)</w:t>
            </w:r>
          </w:p>
        </w:tc>
        <w:tc>
          <w:tcPr>
            <w:tcW w:w="3402" w:type="dxa"/>
          </w:tcPr>
          <w:p w14:paraId="39015F7B" w14:textId="77777777" w:rsidR="00454A29" w:rsidRDefault="00454A29">
            <w:pPr>
              <w:pStyle w:val="ConsPlusNormal"/>
              <w:jc w:val="both"/>
            </w:pPr>
            <w:r>
              <w:t>"Лагерный городок" (Момский район); "Боотур" (Усть-Алданский район)</w:t>
            </w:r>
          </w:p>
        </w:tc>
      </w:tr>
      <w:tr w:rsidR="00454A29" w14:paraId="3719A0F1" w14:textId="77777777">
        <w:tc>
          <w:tcPr>
            <w:tcW w:w="1134" w:type="dxa"/>
            <w:vAlign w:val="center"/>
          </w:tcPr>
          <w:p w14:paraId="3D84C676" w14:textId="77777777" w:rsidR="00454A29" w:rsidRDefault="00454A29">
            <w:pPr>
              <w:pStyle w:val="ConsPlusNormal"/>
              <w:jc w:val="center"/>
            </w:pPr>
            <w:r>
              <w:t>2016</w:t>
            </w:r>
          </w:p>
        </w:tc>
        <w:tc>
          <w:tcPr>
            <w:tcW w:w="1134" w:type="dxa"/>
            <w:vAlign w:val="center"/>
          </w:tcPr>
          <w:p w14:paraId="29BE6314" w14:textId="77777777" w:rsidR="00454A29" w:rsidRDefault="00454A29">
            <w:pPr>
              <w:pStyle w:val="ConsPlusNormal"/>
              <w:jc w:val="center"/>
            </w:pPr>
            <w:r>
              <w:t>2</w:t>
            </w:r>
          </w:p>
        </w:tc>
        <w:tc>
          <w:tcPr>
            <w:tcW w:w="3402" w:type="dxa"/>
          </w:tcPr>
          <w:p w14:paraId="07EBB150" w14:textId="77777777" w:rsidR="00454A29" w:rsidRDefault="00454A29">
            <w:pPr>
              <w:pStyle w:val="ConsPlusNormal"/>
              <w:jc w:val="both"/>
            </w:pPr>
            <w:r>
              <w:t>"Олимп" (Среднеколымский район);</w:t>
            </w:r>
          </w:p>
          <w:p w14:paraId="77FE02A1" w14:textId="77777777" w:rsidR="00454A29" w:rsidRDefault="00454A29">
            <w:pPr>
              <w:pStyle w:val="ConsPlusNormal"/>
              <w:jc w:val="both"/>
            </w:pPr>
            <w:r>
              <w:lastRenderedPageBreak/>
              <w:t>"Эмньик" (Вилюйский район)</w:t>
            </w:r>
          </w:p>
        </w:tc>
        <w:tc>
          <w:tcPr>
            <w:tcW w:w="3402" w:type="dxa"/>
          </w:tcPr>
          <w:p w14:paraId="66B7E002" w14:textId="77777777" w:rsidR="00454A29" w:rsidRDefault="00454A29">
            <w:pPr>
              <w:pStyle w:val="ConsPlusNormal"/>
            </w:pPr>
          </w:p>
        </w:tc>
      </w:tr>
      <w:tr w:rsidR="00454A29" w14:paraId="7FD082F9" w14:textId="77777777">
        <w:tc>
          <w:tcPr>
            <w:tcW w:w="1134" w:type="dxa"/>
            <w:vAlign w:val="center"/>
          </w:tcPr>
          <w:p w14:paraId="6D400CD3" w14:textId="77777777" w:rsidR="00454A29" w:rsidRDefault="00454A29">
            <w:pPr>
              <w:pStyle w:val="ConsPlusNormal"/>
              <w:jc w:val="center"/>
            </w:pPr>
            <w:r>
              <w:t>2017</w:t>
            </w:r>
          </w:p>
        </w:tc>
        <w:tc>
          <w:tcPr>
            <w:tcW w:w="1134" w:type="dxa"/>
            <w:vAlign w:val="center"/>
          </w:tcPr>
          <w:p w14:paraId="4D38DB3C" w14:textId="77777777" w:rsidR="00454A29" w:rsidRDefault="00454A29">
            <w:pPr>
              <w:pStyle w:val="ConsPlusNormal"/>
              <w:jc w:val="center"/>
            </w:pPr>
            <w:r>
              <w:t>2</w:t>
            </w:r>
          </w:p>
        </w:tc>
        <w:tc>
          <w:tcPr>
            <w:tcW w:w="3402" w:type="dxa"/>
          </w:tcPr>
          <w:p w14:paraId="193F6BE2" w14:textId="77777777" w:rsidR="00454A29" w:rsidRDefault="00454A29">
            <w:pPr>
              <w:pStyle w:val="ConsPlusNormal"/>
              <w:jc w:val="both"/>
            </w:pPr>
            <w:r>
              <w:t>"Сасарга" (Намский район);</w:t>
            </w:r>
          </w:p>
          <w:p w14:paraId="311A83D6" w14:textId="77777777" w:rsidR="00454A29" w:rsidRDefault="00454A29">
            <w:pPr>
              <w:pStyle w:val="ConsPlusNormal"/>
              <w:jc w:val="both"/>
            </w:pPr>
            <w:r>
              <w:t>"Тюбэ" (Амгинский район)</w:t>
            </w:r>
          </w:p>
        </w:tc>
        <w:tc>
          <w:tcPr>
            <w:tcW w:w="3402" w:type="dxa"/>
          </w:tcPr>
          <w:p w14:paraId="61406E33" w14:textId="77777777" w:rsidR="00454A29" w:rsidRDefault="00454A29">
            <w:pPr>
              <w:pStyle w:val="ConsPlusNormal"/>
            </w:pPr>
          </w:p>
        </w:tc>
      </w:tr>
      <w:tr w:rsidR="00454A29" w14:paraId="542868E0" w14:textId="77777777">
        <w:tc>
          <w:tcPr>
            <w:tcW w:w="1134" w:type="dxa"/>
            <w:vAlign w:val="center"/>
          </w:tcPr>
          <w:p w14:paraId="7D3D9299" w14:textId="77777777" w:rsidR="00454A29" w:rsidRDefault="00454A29">
            <w:pPr>
              <w:pStyle w:val="ConsPlusNormal"/>
              <w:jc w:val="center"/>
            </w:pPr>
            <w:r>
              <w:t>2018</w:t>
            </w:r>
          </w:p>
        </w:tc>
        <w:tc>
          <w:tcPr>
            <w:tcW w:w="1134" w:type="dxa"/>
            <w:vAlign w:val="center"/>
          </w:tcPr>
          <w:p w14:paraId="3E2DF96F" w14:textId="77777777" w:rsidR="00454A29" w:rsidRDefault="00454A29">
            <w:pPr>
              <w:pStyle w:val="ConsPlusNormal"/>
              <w:jc w:val="center"/>
            </w:pPr>
            <w:r>
              <w:t>1</w:t>
            </w:r>
          </w:p>
        </w:tc>
        <w:tc>
          <w:tcPr>
            <w:tcW w:w="3402" w:type="dxa"/>
          </w:tcPr>
          <w:p w14:paraId="04C6E8ED" w14:textId="77777777" w:rsidR="00454A29" w:rsidRDefault="00454A29">
            <w:pPr>
              <w:pStyle w:val="ConsPlusNormal"/>
              <w:jc w:val="both"/>
            </w:pPr>
            <w:r>
              <w:t>"Уолба" (Жиганский район)</w:t>
            </w:r>
          </w:p>
        </w:tc>
        <w:tc>
          <w:tcPr>
            <w:tcW w:w="3402" w:type="dxa"/>
          </w:tcPr>
          <w:p w14:paraId="5DE27827" w14:textId="77777777" w:rsidR="00454A29" w:rsidRDefault="00454A29">
            <w:pPr>
              <w:pStyle w:val="ConsPlusNormal"/>
            </w:pPr>
          </w:p>
        </w:tc>
      </w:tr>
      <w:tr w:rsidR="00454A29" w14:paraId="30F19E50" w14:textId="77777777">
        <w:tc>
          <w:tcPr>
            <w:tcW w:w="1134" w:type="dxa"/>
            <w:vAlign w:val="center"/>
          </w:tcPr>
          <w:p w14:paraId="2D4C4B1E" w14:textId="77777777" w:rsidR="00454A29" w:rsidRDefault="00454A29">
            <w:pPr>
              <w:pStyle w:val="ConsPlusNormal"/>
              <w:jc w:val="center"/>
            </w:pPr>
            <w:r>
              <w:t>2019</w:t>
            </w:r>
          </w:p>
        </w:tc>
        <w:tc>
          <w:tcPr>
            <w:tcW w:w="1134" w:type="dxa"/>
            <w:vAlign w:val="center"/>
          </w:tcPr>
          <w:p w14:paraId="62EA8D65" w14:textId="77777777" w:rsidR="00454A29" w:rsidRDefault="00454A29">
            <w:pPr>
              <w:pStyle w:val="ConsPlusNormal"/>
              <w:jc w:val="center"/>
            </w:pPr>
            <w:r>
              <w:t>2</w:t>
            </w:r>
          </w:p>
        </w:tc>
        <w:tc>
          <w:tcPr>
            <w:tcW w:w="3402" w:type="dxa"/>
          </w:tcPr>
          <w:p w14:paraId="5B3F512D" w14:textId="77777777" w:rsidR="00454A29" w:rsidRDefault="00454A29">
            <w:pPr>
              <w:pStyle w:val="ConsPlusNormal"/>
              <w:jc w:val="both"/>
            </w:pPr>
            <w:r>
              <w:t>"Куустээх Модьуну" (Верхневилюйский район) (муниципальный бюджет)</w:t>
            </w:r>
          </w:p>
        </w:tc>
        <w:tc>
          <w:tcPr>
            <w:tcW w:w="3402" w:type="dxa"/>
          </w:tcPr>
          <w:p w14:paraId="271A245C" w14:textId="77777777" w:rsidR="00454A29" w:rsidRDefault="00454A29">
            <w:pPr>
              <w:pStyle w:val="ConsPlusNormal"/>
              <w:jc w:val="both"/>
            </w:pPr>
            <w:r>
              <w:t>"Олимп" (Амгинский район) (муниципальный бюджет)</w:t>
            </w:r>
          </w:p>
        </w:tc>
      </w:tr>
      <w:tr w:rsidR="00454A29" w14:paraId="153CCA31" w14:textId="77777777">
        <w:tc>
          <w:tcPr>
            <w:tcW w:w="1134" w:type="dxa"/>
            <w:vAlign w:val="center"/>
          </w:tcPr>
          <w:p w14:paraId="40532214" w14:textId="77777777" w:rsidR="00454A29" w:rsidRDefault="00454A29">
            <w:pPr>
              <w:pStyle w:val="ConsPlusNormal"/>
              <w:jc w:val="center"/>
            </w:pPr>
            <w:r>
              <w:t>Итого</w:t>
            </w:r>
          </w:p>
        </w:tc>
        <w:tc>
          <w:tcPr>
            <w:tcW w:w="1134" w:type="dxa"/>
            <w:vAlign w:val="center"/>
          </w:tcPr>
          <w:p w14:paraId="504F29E3" w14:textId="77777777" w:rsidR="00454A29" w:rsidRDefault="00454A29">
            <w:pPr>
              <w:pStyle w:val="ConsPlusNormal"/>
              <w:jc w:val="center"/>
            </w:pPr>
            <w:r>
              <w:t>10</w:t>
            </w:r>
          </w:p>
        </w:tc>
        <w:tc>
          <w:tcPr>
            <w:tcW w:w="3402" w:type="dxa"/>
            <w:vAlign w:val="center"/>
          </w:tcPr>
          <w:p w14:paraId="0806D464" w14:textId="77777777" w:rsidR="00454A29" w:rsidRDefault="00454A29">
            <w:pPr>
              <w:pStyle w:val="ConsPlusNormal"/>
              <w:jc w:val="center"/>
            </w:pPr>
            <w:r>
              <w:t>7</w:t>
            </w:r>
          </w:p>
        </w:tc>
        <w:tc>
          <w:tcPr>
            <w:tcW w:w="3402" w:type="dxa"/>
            <w:vAlign w:val="center"/>
          </w:tcPr>
          <w:p w14:paraId="090EBB86" w14:textId="77777777" w:rsidR="00454A29" w:rsidRDefault="00454A29">
            <w:pPr>
              <w:pStyle w:val="ConsPlusNormal"/>
              <w:jc w:val="center"/>
            </w:pPr>
            <w:r>
              <w:t>3</w:t>
            </w:r>
          </w:p>
        </w:tc>
      </w:tr>
    </w:tbl>
    <w:p w14:paraId="58256A5A" w14:textId="77777777" w:rsidR="00454A29" w:rsidRDefault="00454A29">
      <w:pPr>
        <w:pStyle w:val="ConsPlusNormal"/>
      </w:pPr>
    </w:p>
    <w:p w14:paraId="2E6DF383" w14:textId="77777777" w:rsidR="00454A29" w:rsidRDefault="00454A29">
      <w:pPr>
        <w:pStyle w:val="ConsPlusNormal"/>
        <w:ind w:firstLine="540"/>
        <w:jc w:val="both"/>
      </w:pPr>
      <w:r>
        <w:t>Предусмотренные меры государственной поддержки системы отдыха и оздоровления детей способствовали повышению качества и доступности услуг по отдыху и оздоровлению детей, увеличению доли детей, охваченных разными формами организованного отдыха, снижению уровня правонарушений среди детей и подростков.</w:t>
      </w:r>
    </w:p>
    <w:p w14:paraId="4B23A2E2" w14:textId="77777777" w:rsidR="00454A29" w:rsidRDefault="00454A29">
      <w:pPr>
        <w:pStyle w:val="ConsPlusNormal"/>
        <w:spacing w:before="220"/>
        <w:ind w:firstLine="540"/>
        <w:jc w:val="both"/>
      </w:pPr>
      <w:r>
        <w:t>В системе организации отдыха и оздоровления детей республики остаются нерешенными следующие проблемы:</w:t>
      </w:r>
    </w:p>
    <w:p w14:paraId="312C9E15" w14:textId="77777777" w:rsidR="00454A29" w:rsidRDefault="00454A29">
      <w:pPr>
        <w:pStyle w:val="ConsPlusNormal"/>
        <w:spacing w:before="220"/>
        <w:ind w:firstLine="540"/>
        <w:jc w:val="both"/>
      </w:pPr>
      <w:r>
        <w:t>материально-техническая база организаций отдыха и оздоровления детей не отвечает современным требованиям;</w:t>
      </w:r>
    </w:p>
    <w:p w14:paraId="17B94746" w14:textId="77777777" w:rsidR="00454A29" w:rsidRDefault="00454A29">
      <w:pPr>
        <w:pStyle w:val="ConsPlusNormal"/>
        <w:spacing w:before="220"/>
        <w:ind w:firstLine="540"/>
        <w:jc w:val="both"/>
      </w:pPr>
      <w:r>
        <w:t>ограниченное финансирование организованного отдыха и оздоровления детей, в том числе детей, находящихся в трудной жизненной ситуации, и детей из северных и арктических районов;</w:t>
      </w:r>
    </w:p>
    <w:p w14:paraId="39F01262" w14:textId="77777777" w:rsidR="00454A29" w:rsidRDefault="00454A29">
      <w:pPr>
        <w:pStyle w:val="ConsPlusNormal"/>
        <w:spacing w:before="220"/>
        <w:ind w:firstLine="540"/>
        <w:jc w:val="both"/>
      </w:pPr>
      <w:r>
        <w:t>слабое участие негосударственных организаций, индивидуальных предпринимателей в предоставлении услуг по отдыху и оздоровлению детей; отсутствие конкурентной среды.</w:t>
      </w:r>
    </w:p>
    <w:p w14:paraId="49FE1E28" w14:textId="77777777" w:rsidR="00454A29" w:rsidRDefault="00454A29">
      <w:pPr>
        <w:pStyle w:val="ConsPlusNormal"/>
        <w:spacing w:before="220"/>
        <w:ind w:firstLine="540"/>
        <w:jc w:val="both"/>
      </w:pPr>
      <w:r>
        <w:t>В государственной программе будут предусмотрены следующие механизмы для решения вышеуказанных проблем:</w:t>
      </w:r>
    </w:p>
    <w:p w14:paraId="34D7B53B" w14:textId="77777777" w:rsidR="00454A29" w:rsidRDefault="00454A29">
      <w:pPr>
        <w:pStyle w:val="ConsPlusNormal"/>
        <w:spacing w:before="220"/>
        <w:ind w:firstLine="540"/>
        <w:jc w:val="both"/>
      </w:pPr>
      <w:r>
        <w:t>выделение субсидий органам местного самоуправления муниципальных районов и городских округов Республики Саха (Якутия) на организацию отдыха детей в каникулярное время, в том числе на оплату труда педагогов, вожатых, педагогов-психологов; оплату услуг на медицинское сопровождение; оплату проезда детей от места проживания к месту отдыха и оздоровления; оплату проезда и путевки в санаторные лагеря Краснодарского края для детей, находящихся в трудной жизненной ситуации, в том числе детей из северных и арктических районов; компенсацию стоимости самостоятельно приобретенных путевок в стационарные оздоровительные лагеря;</w:t>
      </w:r>
    </w:p>
    <w:p w14:paraId="525063F6" w14:textId="77777777" w:rsidR="00454A29" w:rsidRDefault="00454A29">
      <w:pPr>
        <w:pStyle w:val="ConsPlusNormal"/>
        <w:spacing w:before="220"/>
        <w:ind w:firstLine="540"/>
        <w:jc w:val="both"/>
      </w:pPr>
      <w:r>
        <w:t>конкурсная поддержка организаций летнего отдыха и оздоровления детей;</w:t>
      </w:r>
    </w:p>
    <w:p w14:paraId="7117B1CD" w14:textId="77777777" w:rsidR="00454A29" w:rsidRDefault="00454A29">
      <w:pPr>
        <w:pStyle w:val="ConsPlusNormal"/>
        <w:spacing w:before="220"/>
        <w:ind w:firstLine="540"/>
        <w:jc w:val="both"/>
      </w:pPr>
      <w:r>
        <w:t>оплата проезда детей и сопровождающих лиц от г. Якутска до места отдыха и оздоровления;</w:t>
      </w:r>
    </w:p>
    <w:p w14:paraId="350CF2B8" w14:textId="77777777" w:rsidR="00454A29" w:rsidRDefault="00454A29">
      <w:pPr>
        <w:pStyle w:val="ConsPlusNormal"/>
        <w:spacing w:before="220"/>
        <w:ind w:firstLine="540"/>
        <w:jc w:val="both"/>
      </w:pPr>
      <w:r>
        <w:t>компенсация стоимости самостоятельно приобретенных путевок в санаторные учреждения.</w:t>
      </w:r>
    </w:p>
    <w:p w14:paraId="4CC85063" w14:textId="77777777" w:rsidR="00454A29" w:rsidRDefault="00454A29">
      <w:pPr>
        <w:pStyle w:val="ConsPlusNormal"/>
        <w:spacing w:before="220"/>
        <w:ind w:firstLine="540"/>
        <w:jc w:val="both"/>
      </w:pPr>
      <w:r>
        <w:t>Потенциалом для развития системы организации отдыха и оздоровления детей республики являются:</w:t>
      </w:r>
    </w:p>
    <w:p w14:paraId="3BC0D41C" w14:textId="77777777" w:rsidR="00454A29" w:rsidRDefault="00454A29">
      <w:pPr>
        <w:pStyle w:val="ConsPlusNormal"/>
        <w:spacing w:before="220"/>
        <w:ind w:firstLine="540"/>
        <w:jc w:val="both"/>
      </w:pPr>
      <w:r>
        <w:t>развитие инфраструктуры отдыха и оздоровления, прежде всего стационарных баз отдыха детей муниципальных районов и городских округов;</w:t>
      </w:r>
    </w:p>
    <w:p w14:paraId="6F961075" w14:textId="77777777" w:rsidR="00454A29" w:rsidRDefault="00454A29">
      <w:pPr>
        <w:pStyle w:val="ConsPlusNormal"/>
        <w:spacing w:before="220"/>
        <w:ind w:firstLine="540"/>
        <w:jc w:val="both"/>
      </w:pPr>
      <w:r>
        <w:t>стабильное финансовое обеспечение из государственного и муниципального бюджетов;</w:t>
      </w:r>
    </w:p>
    <w:p w14:paraId="6B0253FC" w14:textId="77777777" w:rsidR="00454A29" w:rsidRDefault="00454A29">
      <w:pPr>
        <w:pStyle w:val="ConsPlusNormal"/>
        <w:spacing w:before="220"/>
        <w:ind w:firstLine="540"/>
        <w:jc w:val="both"/>
      </w:pPr>
      <w:r>
        <w:lastRenderedPageBreak/>
        <w:t>разработанная нормативная правовая база в сфере отдыха детей и их оздоровления;</w:t>
      </w:r>
    </w:p>
    <w:p w14:paraId="535CD193" w14:textId="77777777" w:rsidR="00454A29" w:rsidRDefault="00454A29">
      <w:pPr>
        <w:pStyle w:val="ConsPlusNormal"/>
        <w:spacing w:before="220"/>
        <w:ind w:firstLine="540"/>
        <w:jc w:val="both"/>
      </w:pPr>
      <w:r>
        <w:t>система подготовки кадров.</w:t>
      </w:r>
    </w:p>
    <w:p w14:paraId="2AE0C4F4" w14:textId="77777777" w:rsidR="00454A29" w:rsidRDefault="00454A29">
      <w:pPr>
        <w:pStyle w:val="ConsPlusNormal"/>
        <w:spacing w:before="220"/>
        <w:ind w:firstLine="540"/>
        <w:jc w:val="both"/>
      </w:pPr>
      <w:r>
        <w:t>Препятствующими факторами для развития системы организации отдыха и оздоровления детей республики могут стать существующие ограничения:</w:t>
      </w:r>
    </w:p>
    <w:p w14:paraId="0BF0823C" w14:textId="77777777" w:rsidR="00454A29" w:rsidRDefault="00454A29">
      <w:pPr>
        <w:pStyle w:val="ConsPlusNormal"/>
        <w:spacing w:before="220"/>
        <w:ind w:firstLine="540"/>
        <w:jc w:val="both"/>
      </w:pPr>
      <w:r>
        <w:t>особенности географического положения и климатических условий региона;</w:t>
      </w:r>
    </w:p>
    <w:p w14:paraId="24C0F71D" w14:textId="77777777" w:rsidR="00454A29" w:rsidRDefault="00454A29">
      <w:pPr>
        <w:pStyle w:val="ConsPlusNormal"/>
        <w:spacing w:before="220"/>
        <w:ind w:firstLine="540"/>
        <w:jc w:val="both"/>
      </w:pPr>
      <w:r>
        <w:t>высокий процент износа и обветшания баз стационарных оздоровительных лагерей;</w:t>
      </w:r>
    </w:p>
    <w:p w14:paraId="19D4D9AC" w14:textId="77777777" w:rsidR="00454A29" w:rsidRDefault="00454A29">
      <w:pPr>
        <w:pStyle w:val="ConsPlusNormal"/>
        <w:spacing w:before="220"/>
        <w:ind w:firstLine="540"/>
        <w:jc w:val="both"/>
      </w:pPr>
      <w:r>
        <w:t>неразвитая инфраструктура отдыха и оздоровления детей, отсутствие летних стационарных оздоровительных лагерей в северных районах республики;</w:t>
      </w:r>
    </w:p>
    <w:p w14:paraId="15AF4F90" w14:textId="77777777" w:rsidR="00454A29" w:rsidRDefault="00454A29">
      <w:pPr>
        <w:pStyle w:val="ConsPlusNormal"/>
        <w:spacing w:before="220"/>
        <w:ind w:firstLine="540"/>
        <w:jc w:val="both"/>
      </w:pPr>
      <w:r>
        <w:t>сложная транспортная логистика и высокая стоимость авиабилетов на внутренних авиалиниях;</w:t>
      </w:r>
    </w:p>
    <w:p w14:paraId="018C0402" w14:textId="77777777" w:rsidR="00454A29" w:rsidRDefault="00454A29">
      <w:pPr>
        <w:pStyle w:val="ConsPlusNormal"/>
        <w:spacing w:before="220"/>
        <w:ind w:firstLine="540"/>
        <w:jc w:val="both"/>
      </w:pPr>
      <w:r>
        <w:t>ограниченное финансирование организованного отдыха и оздоровления детей, в том числе детей, находящихся в трудной жизненной ситуации, и детей из северных и арктических районов;</w:t>
      </w:r>
    </w:p>
    <w:p w14:paraId="73827925" w14:textId="77777777" w:rsidR="00454A29" w:rsidRDefault="00454A29">
      <w:pPr>
        <w:pStyle w:val="ConsPlusNormal"/>
        <w:spacing w:before="220"/>
        <w:ind w:firstLine="540"/>
        <w:jc w:val="both"/>
      </w:pPr>
      <w:r>
        <w:t>недостаточное участие негосударственных организаций, индивидуальных предпринимателей в предоставлении услуг по отдыху и оздоровлению детей; отсутствие конкурентной среды.</w:t>
      </w:r>
    </w:p>
    <w:p w14:paraId="6F6E7807" w14:textId="77777777" w:rsidR="00454A29" w:rsidRDefault="00454A29">
      <w:pPr>
        <w:pStyle w:val="ConsPlusNormal"/>
        <w:spacing w:before="220"/>
        <w:ind w:firstLine="540"/>
        <w:jc w:val="both"/>
      </w:pPr>
      <w:r>
        <w:t>Наличие совокупности уровней профессионального образования, а также дополнительного профессионального образования и профессиональной подготовки (профессионального обучения) позволяет реализовывать гражданам различные траектории получения профессионального образования и повышения квалификации.</w:t>
      </w:r>
    </w:p>
    <w:p w14:paraId="7BFF8605" w14:textId="77777777" w:rsidR="00454A29" w:rsidRDefault="00454A29">
      <w:pPr>
        <w:pStyle w:val="ConsPlusNormal"/>
        <w:spacing w:before="220"/>
        <w:ind w:firstLine="540"/>
        <w:jc w:val="both"/>
      </w:pPr>
      <w:r>
        <w:t>На сегодня на территории Республики Саха (Якутия) осуществляют свою деятельность 48 профессиональных образовательных организаций, реализующих программы среднего профессионального, дополнительного профессионального образования, профессионального обучения и дополнительного образования детей и взрослых, в том числе 3 негосударственных.</w:t>
      </w:r>
    </w:p>
    <w:p w14:paraId="14C57A29" w14:textId="77777777" w:rsidR="00454A29" w:rsidRDefault="00454A29">
      <w:pPr>
        <w:pStyle w:val="ConsPlusNormal"/>
        <w:spacing w:before="220"/>
        <w:ind w:firstLine="540"/>
        <w:jc w:val="both"/>
      </w:pPr>
      <w:r>
        <w:t>Ядром системы является государственный сектор, который включает 45 профессиональных образовательных организаций и 5 образовательных организаций высшего образования.</w:t>
      </w:r>
    </w:p>
    <w:p w14:paraId="76EC329C" w14:textId="77777777" w:rsidR="00454A29" w:rsidRDefault="00454A29">
      <w:pPr>
        <w:pStyle w:val="ConsPlusNormal"/>
        <w:spacing w:before="220"/>
        <w:ind w:firstLine="540"/>
        <w:jc w:val="both"/>
      </w:pPr>
      <w:r>
        <w:t>Численность обучающихся в профессиональных образовательных организациях республики составила 23290 студентов, из них по программам подготовки квалифицированных рабочих, служащих - 5372 чел., по программам подготовки специалистов среднего звена - 17918 чел.</w:t>
      </w:r>
    </w:p>
    <w:p w14:paraId="5E5E81F5" w14:textId="77777777" w:rsidR="00454A29" w:rsidRDefault="00454A29">
      <w:pPr>
        <w:pStyle w:val="ConsPlusNormal"/>
        <w:spacing w:before="220"/>
        <w:ind w:firstLine="540"/>
        <w:jc w:val="both"/>
      </w:pPr>
      <w:r>
        <w:t>В последние годы в России в сфере профессионального образования основными направлениями государственной политики являлись разработка и внедрение ФГОС, обеспечивающих гибкость образовательных программ; поддержка региональных программ развития систем профессионального образования; поддержка образовательных организаций, реализующих инновационные образовательные программы; внедрение новых финансово-экономических механизмов и организационных форм.</w:t>
      </w:r>
    </w:p>
    <w:p w14:paraId="6AAC746F" w14:textId="77777777" w:rsidR="00454A29" w:rsidRDefault="00454A29">
      <w:pPr>
        <w:pStyle w:val="ConsPlusNormal"/>
        <w:spacing w:before="220"/>
        <w:ind w:firstLine="540"/>
        <w:jc w:val="both"/>
      </w:pPr>
      <w:r>
        <w:t>Одним из механизмов развития практико-ориентированного (дуального) образования в республике является создание при содействии Торгово-промышленной палаты Республики Саха (Якутия) профессионально-образовательных кластеров в виде общественных объединений профессиональных образовательных организаций с предприятиями и организациями реального сектора экономики. Создано 10 профессионально-образовательных кластеров, в том числе:</w:t>
      </w:r>
    </w:p>
    <w:p w14:paraId="74FBBDC2" w14:textId="77777777" w:rsidR="00454A29" w:rsidRDefault="00454A29">
      <w:pPr>
        <w:pStyle w:val="ConsPlusNormal"/>
        <w:spacing w:before="220"/>
        <w:ind w:firstLine="540"/>
        <w:jc w:val="both"/>
      </w:pPr>
      <w:r>
        <w:t>строительный на базе Якутского коммунально-строительного техникума при участии Союза строителей Якутии и отраслевых работодателей (г. Якутск);</w:t>
      </w:r>
    </w:p>
    <w:p w14:paraId="78ABA9D8" w14:textId="77777777" w:rsidR="00454A29" w:rsidRDefault="00454A29">
      <w:pPr>
        <w:pStyle w:val="ConsPlusNormal"/>
        <w:spacing w:before="220"/>
        <w:ind w:firstLine="540"/>
        <w:jc w:val="both"/>
      </w:pPr>
      <w:r>
        <w:lastRenderedPageBreak/>
        <w:t>информационных технологий на базе Якутского колледжа связи и энергетики им. П.И. Дудкина при участии Ассоциации развития IT-отрасли;</w:t>
      </w:r>
    </w:p>
    <w:p w14:paraId="6C9FB2BC" w14:textId="77777777" w:rsidR="00454A29" w:rsidRDefault="00454A29">
      <w:pPr>
        <w:pStyle w:val="ConsPlusNormal"/>
        <w:spacing w:before="220"/>
        <w:ind w:firstLine="540"/>
        <w:jc w:val="both"/>
      </w:pPr>
      <w:r>
        <w:t>"Тундровое домашнее оленеводство и внедрение инновационных технологий" для взаимодействия производственных кооперативов кочевых родовых общин и Арктического колледжа народов Севера (п. Черский);</w:t>
      </w:r>
    </w:p>
    <w:p w14:paraId="4598CC75" w14:textId="77777777" w:rsidR="00454A29" w:rsidRDefault="00454A29">
      <w:pPr>
        <w:pStyle w:val="ConsPlusNormal"/>
        <w:spacing w:before="220"/>
        <w:ind w:firstLine="540"/>
        <w:jc w:val="both"/>
      </w:pPr>
      <w:r>
        <w:t>золотодобывающий, объединивший золотодобывающие компании ОАО "Алданзолото ГРК", ОАО "Золото Селигдара", ФГ ГУГГП "Якутгеология" "Алданский" и др. с Алданским политехническим техникумом (г. Алдан);</w:t>
      </w:r>
    </w:p>
    <w:p w14:paraId="11E88F94" w14:textId="77777777" w:rsidR="00454A29" w:rsidRDefault="00454A29">
      <w:pPr>
        <w:pStyle w:val="ConsPlusNormal"/>
        <w:spacing w:before="220"/>
        <w:ind w:firstLine="540"/>
        <w:jc w:val="both"/>
      </w:pPr>
      <w:r>
        <w:t>угледобывающий, объединивший угледобывающие компании "Колмар", "Якутуголь" с Южно-Якутским технологическим колледжем (г. Нерюнгри);</w:t>
      </w:r>
    </w:p>
    <w:p w14:paraId="21D8E9E6" w14:textId="77777777" w:rsidR="00454A29" w:rsidRDefault="00454A29">
      <w:pPr>
        <w:pStyle w:val="ConsPlusNormal"/>
        <w:spacing w:before="220"/>
        <w:ind w:firstLine="540"/>
        <w:jc w:val="both"/>
      </w:pPr>
      <w:r>
        <w:t>ювелирно-гранильный, объединивший 8 ювелирных и 4 гранильных компании с Якутским промышленным техникумом (г. Якутск);</w:t>
      </w:r>
    </w:p>
    <w:p w14:paraId="1991DAD3" w14:textId="77777777" w:rsidR="00454A29" w:rsidRDefault="00454A29">
      <w:pPr>
        <w:pStyle w:val="ConsPlusNormal"/>
        <w:spacing w:before="220"/>
        <w:ind w:firstLine="540"/>
        <w:jc w:val="both"/>
      </w:pPr>
      <w:r>
        <w:t>индустрии питания на базе Якутского технологического техникума сервиса при участии ассоциации рестораторов и частных предприятий (г. Якутск);</w:t>
      </w:r>
    </w:p>
    <w:p w14:paraId="0B8481F5" w14:textId="77777777" w:rsidR="00454A29" w:rsidRDefault="00454A29">
      <w:pPr>
        <w:pStyle w:val="ConsPlusNormal"/>
        <w:spacing w:before="220"/>
        <w:ind w:firstLine="540"/>
        <w:jc w:val="both"/>
      </w:pPr>
      <w:r>
        <w:t>сельскохозяйственный на базе Якутского сельскохозяйственного техникума при участии Министерства сельского хозяйства Республики Саха (Якутия) и сельхозпредприятий (г. Якутск);</w:t>
      </w:r>
    </w:p>
    <w:p w14:paraId="757A5B68" w14:textId="77777777" w:rsidR="00454A29" w:rsidRDefault="00454A29">
      <w:pPr>
        <w:pStyle w:val="ConsPlusNormal"/>
        <w:spacing w:before="220"/>
        <w:ind w:firstLine="540"/>
        <w:jc w:val="both"/>
      </w:pPr>
      <w:r>
        <w:t>транспортный на базе Транспортного техникума при участии АО АК "Железные дороги Якутии", ОАО "Ленское объединенное речное пароходство";</w:t>
      </w:r>
    </w:p>
    <w:p w14:paraId="7211A8F4" w14:textId="77777777" w:rsidR="00454A29" w:rsidRDefault="00454A29">
      <w:pPr>
        <w:pStyle w:val="ConsPlusNormal"/>
        <w:spacing w:before="220"/>
        <w:ind w:firstLine="540"/>
        <w:jc w:val="both"/>
      </w:pPr>
      <w:r>
        <w:t>нефтегазовый на базе Регионального технического колледжа в г. Мирном при участии АО "Сахатранснефтегаз", АО "Саханефтегазсбыт", ПАО "Якутская топливно-энергетическая компания".</w:t>
      </w:r>
    </w:p>
    <w:p w14:paraId="2A8B825E" w14:textId="77777777" w:rsidR="00454A29" w:rsidRDefault="00454A29">
      <w:pPr>
        <w:pStyle w:val="ConsPlusNormal"/>
        <w:spacing w:before="220"/>
        <w:ind w:firstLine="540"/>
        <w:jc w:val="both"/>
      </w:pPr>
      <w:r>
        <w:t>Выстроена территориально-отраслевая профилизация профессиональных образовательных организаций Республики Саха (Якутия), определены базовые организации по 11 приоритетным отраслям экономики республики.</w:t>
      </w:r>
    </w:p>
    <w:p w14:paraId="45150F03" w14:textId="77777777" w:rsidR="00454A29" w:rsidRDefault="00454A29">
      <w:pPr>
        <w:pStyle w:val="ConsPlusNormal"/>
        <w:spacing w:before="220"/>
        <w:ind w:firstLine="540"/>
        <w:jc w:val="both"/>
      </w:pPr>
      <w:r>
        <w:t>На основании соглашения с АНО "Агентство стратегических инициатив по продвижению новых проектов" и Союза "Агентство развития профессиональных сообществ и рабочих кадров "Ворлдскиллс Россия", подписанного со стороны Республики Саха (Якутия) 12 сентября 2018 года, внедряется Региональный стандарт кадрового обеспечения промышленного (экономического) роста, включающий в себя механизмы обеспечения высокотехнологичных отраслей промышленности по сквозным рабочим профессиям на основе международных стандартов подготовки кадров, внедрение элементов системы практико-ориентированной (дуальной) модели обучения и системы мониторинга качества подготовки кадров.</w:t>
      </w:r>
    </w:p>
    <w:p w14:paraId="53EDCF23" w14:textId="77777777" w:rsidR="00454A29" w:rsidRDefault="00454A29">
      <w:pPr>
        <w:pStyle w:val="ConsPlusNormal"/>
        <w:spacing w:before="220"/>
        <w:ind w:firstLine="540"/>
        <w:jc w:val="both"/>
      </w:pPr>
      <w:r>
        <w:t>Республика Саха (Якутия) с 2013 года внедряет движение "Ворлдскиллс Россия".</w:t>
      </w:r>
    </w:p>
    <w:p w14:paraId="653064E1" w14:textId="77777777" w:rsidR="00454A29" w:rsidRDefault="00454A29">
      <w:pPr>
        <w:pStyle w:val="ConsPlusNormal"/>
        <w:spacing w:before="220"/>
        <w:ind w:firstLine="540"/>
        <w:jc w:val="both"/>
      </w:pPr>
      <w:r>
        <w:t>Согласно показателям, количество участников растет с каждым годом. С 2013 по 2019 годы существенно увеличилось количество экспертов, вовлеченных в движение "Ворлдскиллс Россия", с 17 экспертов в 2013 году до 285 - в 2019 году, количество конкурсантов в 2019 году по трем возрастным категориям составило 902 человека.</w:t>
      </w:r>
    </w:p>
    <w:p w14:paraId="0C9AEC8D" w14:textId="77777777" w:rsidR="00454A29" w:rsidRDefault="00454A29">
      <w:pPr>
        <w:pStyle w:val="ConsPlusNormal"/>
        <w:spacing w:before="220"/>
        <w:ind w:firstLine="540"/>
        <w:jc w:val="both"/>
      </w:pPr>
      <w:r>
        <w:t>В чемпионатном цикле 2019 года среди регионов России Республика Саха (Якутия) заняла 25 место среди 85 регионов Российской Федерации, принявших участие в финале, удостоившись 1 серебряной медали по компетенции "Ювелирное дело"; 3 бронзовых медалей по компетенциям "Разработка компьютерных игр и мультимедийных приложений", "Звукорежиссура", "Эстетическая косметология"; 2 медальона за профессионализм по компетенции "Сварочные технологии" и "Геодезия". В ТОП-100 лучших профессиональных образовательных организаций вошло ГБПОУ РС(Я) "Якутский технологический техникум сервиса".</w:t>
      </w:r>
    </w:p>
    <w:p w14:paraId="2E718469" w14:textId="77777777" w:rsidR="00454A29" w:rsidRDefault="00454A29">
      <w:pPr>
        <w:pStyle w:val="ConsPlusNormal"/>
        <w:spacing w:before="220"/>
        <w:ind w:firstLine="540"/>
        <w:jc w:val="both"/>
      </w:pPr>
      <w:r>
        <w:lastRenderedPageBreak/>
        <w:t>Проводится итоговая государственная аттестация в форме демонстрационного экзамена оценивания профессиональных компетенций.</w:t>
      </w:r>
    </w:p>
    <w:p w14:paraId="53F189E8" w14:textId="77777777" w:rsidR="00454A29" w:rsidRDefault="00454A29">
      <w:pPr>
        <w:pStyle w:val="ConsPlusNormal"/>
        <w:spacing w:before="220"/>
        <w:ind w:firstLine="540"/>
        <w:jc w:val="both"/>
      </w:pPr>
      <w:r>
        <w:t>Указанные мероприятия заложили базу для обновления системы профессионального образования в соответствии с новыми экономическими реалиями и перспективами.</w:t>
      </w:r>
    </w:p>
    <w:p w14:paraId="74447A58" w14:textId="77777777" w:rsidR="00454A29" w:rsidRDefault="00454A29">
      <w:pPr>
        <w:pStyle w:val="ConsPlusNormal"/>
        <w:spacing w:before="220"/>
        <w:ind w:firstLine="540"/>
        <w:jc w:val="both"/>
      </w:pPr>
      <w:r>
        <w:t>По состоянию на 1 октября 2018 года в колледжах и техникумах республики обучается 287 студентов с инвалидностью и лица с ограниченными возможностями здоровья, что составляет 1,23% от общего контингента. В том числе студенты с инвалидностью - 268 чел. (1,15%), лица с ограниченными возможностями здоровья - 19 чел. (0,08%).</w:t>
      </w:r>
    </w:p>
    <w:p w14:paraId="021685D9" w14:textId="77777777" w:rsidR="00454A29" w:rsidRDefault="00454A29">
      <w:pPr>
        <w:pStyle w:val="ConsPlusNormal"/>
        <w:spacing w:before="220"/>
        <w:ind w:firstLine="540"/>
        <w:jc w:val="both"/>
      </w:pPr>
      <w:r>
        <w:t>Профессиональными образовательными организациями разработаны 83 адаптированные образовательные программы среднего профессионального образования по мониторингу федерального портала инклюзивного образования. Из них с применением дистанционных образовательных технологий возможно обучение по 15 основным профессиональным образовательным программам.</w:t>
      </w:r>
    </w:p>
    <w:p w14:paraId="35197D52" w14:textId="77777777" w:rsidR="00454A29" w:rsidRDefault="00454A29">
      <w:pPr>
        <w:pStyle w:val="ConsPlusNormal"/>
        <w:spacing w:before="220"/>
        <w:ind w:firstLine="540"/>
        <w:jc w:val="both"/>
      </w:pPr>
      <w:r>
        <w:t>Согласно контрольным цифрам приема на 2018/2019 учебный год, на первый курс принято 128 инвалидов и лиц с ограниченными возможностями здоровья, из них лиц с ограниченными возможностями здоровья - 14 студентов, с инвалидностью - 114 студентов.</w:t>
      </w:r>
    </w:p>
    <w:p w14:paraId="2DE98211" w14:textId="77777777" w:rsidR="00454A29" w:rsidRDefault="00454A29">
      <w:pPr>
        <w:pStyle w:val="ConsPlusNormal"/>
        <w:spacing w:before="220"/>
        <w:ind w:firstLine="540"/>
        <w:jc w:val="both"/>
      </w:pPr>
      <w:r>
        <w:t>Республика Саха (Якутия) с 2016 года активно участвует в движении Абилимпикс. В целях формирования сборной Республики Саха (Якутия) для участия в финале национального чемпионата, также для совершенствования профессионального мастерства людей с инвалидностью и ограниченными возможностями здоровья проведены три региональных отборочных этапа по 5 компетенциям в 2016 году, 8 компетенциям - в 2017 году и по 15 компетенциям - в 2018 году, где приняли участие 87 конкурсантов из 19 организаций Республики Саха (Якутия). Определен региональный координационный центр развития движения Абилимпикс.</w:t>
      </w:r>
    </w:p>
    <w:p w14:paraId="722F9765" w14:textId="77777777" w:rsidR="00454A29" w:rsidRDefault="00454A29">
      <w:pPr>
        <w:pStyle w:val="ConsPlusNormal"/>
        <w:spacing w:before="220"/>
        <w:ind w:firstLine="540"/>
        <w:jc w:val="both"/>
      </w:pPr>
      <w:r>
        <w:t>За последние десять лет структура профессионального образования в республике изменилась незначительно, однако за счет оптимизации произошло уменьшение числа профессиональных образовательных организаций от 65 до 45. Несмотря на это, сеть учреждений в эти годы претерпела значительные перемены: изменилось общее количество учреждений, их статус, ряд учреждений реорганизован, введены в эксплуатацию новые учреждения, открыты новые специальности и профессии, приостановлена подготовка по целому ряду невостребованных специальностей и профессий.</w:t>
      </w:r>
    </w:p>
    <w:p w14:paraId="26CFFA00" w14:textId="77777777" w:rsidR="00454A29" w:rsidRDefault="00454A29">
      <w:pPr>
        <w:pStyle w:val="ConsPlusNormal"/>
        <w:spacing w:before="220"/>
        <w:ind w:firstLine="540"/>
        <w:jc w:val="both"/>
      </w:pPr>
      <w:r>
        <w:t>Согласно региональному законодательству обучающимся по программам среднего профессионального образования из категории малообеспеченных семей производится оплата проезда один раз в год до места учебы и обратно, компенсация льготного питания.</w:t>
      </w:r>
    </w:p>
    <w:p w14:paraId="13B692AB" w14:textId="77777777" w:rsidR="00454A29" w:rsidRDefault="00454A29">
      <w:pPr>
        <w:pStyle w:val="ConsPlusNormal"/>
        <w:spacing w:before="220"/>
        <w:ind w:firstLine="540"/>
        <w:jc w:val="both"/>
      </w:pPr>
      <w:r>
        <w:t>Также в образовательных организациях выплачиваются обучающимся именные стипендии от работодателей и меценатов - ежемесячные и единовременные денежные поощрения.</w:t>
      </w:r>
    </w:p>
    <w:p w14:paraId="5E25543B" w14:textId="77777777" w:rsidR="00454A29" w:rsidRDefault="00454A29">
      <w:pPr>
        <w:pStyle w:val="ConsPlusNormal"/>
        <w:spacing w:before="220"/>
        <w:ind w:firstLine="540"/>
        <w:jc w:val="both"/>
      </w:pPr>
      <w:r>
        <w:t>В целом, несмотря на принимаемые меры и преимущества, проблемы профессионального образования в республике тесно связаны прежде всего с устареванием материально-технической базы и ее несоответствием предъявляемым современным требованиям. Сложившаяся система профессионального образования и структура оказываемых услуг не успевает реагировать на растущий спрос квалифицированной рабочей силы и высококвалифицированных рабочих кадров.</w:t>
      </w:r>
    </w:p>
    <w:p w14:paraId="591D386B" w14:textId="77777777" w:rsidR="00454A29" w:rsidRDefault="00454A29">
      <w:pPr>
        <w:pStyle w:val="ConsPlusNormal"/>
        <w:spacing w:before="220"/>
        <w:ind w:firstLine="540"/>
        <w:jc w:val="both"/>
      </w:pPr>
      <w:r>
        <w:t xml:space="preserve">За период с 2007 по 2012 годы начато строительство и введены в действие 8 объектов профессиональных образовательных организаций общей площадью 21 378 кв. м, открыто 2 новых учреждения и построено общежитие на 684 мест в г. Якутске. За период с 2013 по 2017 годы строительство новых объектов (учебных корпусов, общежитий) для профессиональных образовательных организаций не производилось, что привело к износу зданий. На сегодняшний день 125 объектов из 397 (31,4%) объектов профессиональных образовательных организаций было </w:t>
      </w:r>
      <w:r>
        <w:lastRenderedPageBreak/>
        <w:t>построено до 1980-х годов. 76 из них являются деревянными и не отвечают современным санитарно-техническим требованиям, а именно: 40 из 80 учебных корпусов (50%), 19 из 50 студенческих общежитий (36%), 17 из 51 учебной лаборатории и мастерской (38%).</w:t>
      </w:r>
    </w:p>
    <w:p w14:paraId="510A4AAB" w14:textId="77777777" w:rsidR="00454A29" w:rsidRDefault="00454A29">
      <w:pPr>
        <w:pStyle w:val="ConsPlusNormal"/>
        <w:spacing w:before="220"/>
        <w:ind w:firstLine="540"/>
        <w:jc w:val="both"/>
      </w:pPr>
      <w:r>
        <w:t>Республика Саха (Якутия) является одним из первых регионов Российской Федерации, в котором внедрена система прогнозирования кадровой потребности для обеспечения социально-экономического развития Республики Саха (Якутия) на среднесрочный и долгосрочный период. Согласно прогнозу, сформированному на Информационном портале "Прогнозирование кадровой потребности Республики Саха (Якутия)" на основе сведений хозяйствующих субъектов, осуществляющих деятельность на территории Республики Саха (Якутия), а также инвесторов, реализующих или планирующих к реализации на территории Республики Саха (Якутия) инвестиционных проектов, потребность в специалистах с высшим и средним профессиональным образованием с 2016 по 2025 годы составляет порядка 274,5 тыс. чел. или в среднем в год - 27 тыс. чел. При этом выпуск специалистов ожидается порядка 75 тыс. чел. (7,5 тыс. чел. в год), тем самым непокрытая потребность в кадрах за этот период составляет 200 тыс. чел. (20,0 тыс. чел. в год).</w:t>
      </w:r>
    </w:p>
    <w:p w14:paraId="12DF6E3F" w14:textId="77777777" w:rsidR="00454A29" w:rsidRDefault="00454A29">
      <w:pPr>
        <w:pStyle w:val="ConsPlusNormal"/>
        <w:spacing w:before="220"/>
        <w:ind w:firstLine="540"/>
        <w:jc w:val="both"/>
      </w:pPr>
      <w:r>
        <w:t>В условиях конкуренции за рабочие места ожидается дополнительный рост спроса на образовательные услуги, предоставляемые профессиональными образовательными организациями соответствующего профиля.</w:t>
      </w:r>
    </w:p>
    <w:p w14:paraId="20951E7C" w14:textId="77777777" w:rsidR="00454A29" w:rsidRDefault="00454A29">
      <w:pPr>
        <w:pStyle w:val="ConsPlusNormal"/>
        <w:spacing w:before="220"/>
        <w:ind w:firstLine="540"/>
        <w:jc w:val="both"/>
      </w:pPr>
      <w:r>
        <w:t>Создание инновационной экономики - главный вызов для системы профессионального образования.</w:t>
      </w:r>
    </w:p>
    <w:p w14:paraId="13BF4C59" w14:textId="77777777" w:rsidR="00454A29" w:rsidRDefault="00454A29">
      <w:pPr>
        <w:pStyle w:val="ConsPlusNormal"/>
        <w:spacing w:before="220"/>
        <w:ind w:firstLine="540"/>
        <w:jc w:val="both"/>
      </w:pPr>
      <w:r>
        <w:t>В связи с этим основными направлениями работы по модернизации системы профессионального образования являются:</w:t>
      </w:r>
    </w:p>
    <w:p w14:paraId="2CE0A8E2" w14:textId="77777777" w:rsidR="00454A29" w:rsidRDefault="00454A29">
      <w:pPr>
        <w:pStyle w:val="ConsPlusNormal"/>
        <w:spacing w:before="220"/>
        <w:ind w:firstLine="540"/>
        <w:jc w:val="both"/>
      </w:pPr>
      <w:r>
        <w:t>приведение системы профессионального образования в соответствие требованиям развивающихся рынков труда и задачам социально-экономического развития страны;</w:t>
      </w:r>
    </w:p>
    <w:p w14:paraId="41BBA292" w14:textId="77777777" w:rsidR="00454A29" w:rsidRDefault="00454A29">
      <w:pPr>
        <w:pStyle w:val="ConsPlusNormal"/>
        <w:spacing w:before="220"/>
        <w:ind w:firstLine="540"/>
        <w:jc w:val="both"/>
      </w:pPr>
      <w:r>
        <w:t>модернизация системы профессиональной ориентации, создание системы сопровождения профессионального выбора в образовательных организациях;</w:t>
      </w:r>
    </w:p>
    <w:p w14:paraId="565884EB" w14:textId="77777777" w:rsidR="00454A29" w:rsidRDefault="00454A29">
      <w:pPr>
        <w:pStyle w:val="ConsPlusNormal"/>
        <w:spacing w:before="220"/>
        <w:ind w:firstLine="540"/>
        <w:jc w:val="both"/>
      </w:pPr>
      <w:r>
        <w:t>развитие кадрового потенциала системы профессионального образования;</w:t>
      </w:r>
    </w:p>
    <w:p w14:paraId="1CF008F6" w14:textId="77777777" w:rsidR="00454A29" w:rsidRDefault="00454A29">
      <w:pPr>
        <w:pStyle w:val="ConsPlusNormal"/>
        <w:spacing w:before="220"/>
        <w:ind w:firstLine="540"/>
        <w:jc w:val="both"/>
      </w:pPr>
      <w:r>
        <w:t>создание внешней независимой системы оценки качества профессионального образования.</w:t>
      </w:r>
    </w:p>
    <w:p w14:paraId="3F9473D3" w14:textId="77777777" w:rsidR="00454A29" w:rsidRDefault="00454A29">
      <w:pPr>
        <w:pStyle w:val="ConsPlusNormal"/>
        <w:spacing w:before="220"/>
        <w:ind w:firstLine="540"/>
        <w:jc w:val="both"/>
      </w:pPr>
      <w:r>
        <w:t>Ключевыми условиями развития системы профессионального образования являются:</w:t>
      </w:r>
    </w:p>
    <w:p w14:paraId="3D2C30CE" w14:textId="77777777" w:rsidR="00454A29" w:rsidRDefault="00454A29">
      <w:pPr>
        <w:pStyle w:val="ConsPlusNormal"/>
        <w:spacing w:before="220"/>
        <w:ind w:firstLine="540"/>
        <w:jc w:val="both"/>
      </w:pPr>
      <w:r>
        <w:t>обеспечение более тесной связи системы профессионального образования с экономикой и ее реальными потребностями;</w:t>
      </w:r>
    </w:p>
    <w:p w14:paraId="63592FCB" w14:textId="77777777" w:rsidR="00454A29" w:rsidRDefault="00454A29">
      <w:pPr>
        <w:pStyle w:val="ConsPlusNormal"/>
        <w:spacing w:before="220"/>
        <w:ind w:firstLine="540"/>
        <w:jc w:val="both"/>
      </w:pPr>
      <w:r>
        <w:t>объединение усилий государства, работодателей и общества;</w:t>
      </w:r>
    </w:p>
    <w:p w14:paraId="6F8B5A3B" w14:textId="77777777" w:rsidR="00454A29" w:rsidRDefault="00454A29">
      <w:pPr>
        <w:pStyle w:val="ConsPlusNormal"/>
        <w:spacing w:before="220"/>
        <w:ind w:firstLine="540"/>
        <w:jc w:val="both"/>
      </w:pPr>
      <w:r>
        <w:t>взаимодействие всех ветвей и уровней власти;</w:t>
      </w:r>
    </w:p>
    <w:p w14:paraId="50118151" w14:textId="77777777" w:rsidR="00454A29" w:rsidRDefault="00454A29">
      <w:pPr>
        <w:pStyle w:val="ConsPlusNormal"/>
        <w:spacing w:before="220"/>
        <w:ind w:firstLine="540"/>
        <w:jc w:val="both"/>
      </w:pPr>
      <w:r>
        <w:t>повышение мотивации граждан к получению качественного профессионального образования на протяжении всей жизни;</w:t>
      </w:r>
    </w:p>
    <w:p w14:paraId="4A9AF23E" w14:textId="77777777" w:rsidR="00454A29" w:rsidRDefault="00454A29">
      <w:pPr>
        <w:pStyle w:val="ConsPlusNormal"/>
        <w:spacing w:before="220"/>
        <w:ind w:firstLine="540"/>
        <w:jc w:val="both"/>
      </w:pPr>
      <w:r>
        <w:t>создание стимулов для образовательных организаций к повышению качества профессионального образования с учетом критериев оценки, принятых как на национальном, так и на международном уровне.</w:t>
      </w:r>
    </w:p>
    <w:p w14:paraId="354C0AFE" w14:textId="77777777" w:rsidR="00454A29" w:rsidRDefault="00454A29">
      <w:pPr>
        <w:pStyle w:val="ConsPlusNormal"/>
        <w:spacing w:before="220"/>
        <w:ind w:firstLine="540"/>
        <w:jc w:val="both"/>
      </w:pPr>
      <w:r>
        <w:t>С точки зрения качества и структуры трудовых ресурсов, необходимо выравнивание подготовки кадров за счет специальных мер, на разработку и реализацию которых направлена подпрограмма "Профессиональное образование".</w:t>
      </w:r>
    </w:p>
    <w:p w14:paraId="414E7D47" w14:textId="77777777" w:rsidR="00454A29" w:rsidRDefault="00454A29">
      <w:pPr>
        <w:pStyle w:val="ConsPlusNormal"/>
        <w:spacing w:before="220"/>
        <w:ind w:firstLine="540"/>
        <w:jc w:val="both"/>
      </w:pPr>
      <w:r>
        <w:t xml:space="preserve">Профессиональные кадры с высшим образованием в Республике Саха (Якутия) готовят 7 </w:t>
      </w:r>
      <w:r>
        <w:lastRenderedPageBreak/>
        <w:t>образовательных организаций высшего образования, в том числе 4 федерального подчинения, 1 республиканского подчинения, 2 негосударственных. Также на территории республики работают 6 филиалов образовательных организаций высшего образования центральных вузов, ведущих обучение по программам высшего образования.</w:t>
      </w:r>
    </w:p>
    <w:p w14:paraId="7B28DFCF" w14:textId="77777777" w:rsidR="00454A29" w:rsidRDefault="00454A29">
      <w:pPr>
        <w:pStyle w:val="ConsPlusNormal"/>
        <w:spacing w:before="220"/>
        <w:ind w:firstLine="540"/>
        <w:jc w:val="both"/>
      </w:pPr>
      <w:r>
        <w:t>Всего проходят обучение более 23 тыс. чел.</w:t>
      </w:r>
    </w:p>
    <w:p w14:paraId="6A1F124A" w14:textId="77777777" w:rsidR="00454A29" w:rsidRDefault="00454A29">
      <w:pPr>
        <w:pStyle w:val="ConsPlusNormal"/>
        <w:spacing w:before="220"/>
        <w:ind w:firstLine="540"/>
        <w:jc w:val="both"/>
      </w:pPr>
      <w:r>
        <w:t>Ведущими образовательными организациями высшего образования на территории республики являются 4 вуза федерального подчинения:</w:t>
      </w:r>
    </w:p>
    <w:p w14:paraId="450D9818" w14:textId="77777777" w:rsidR="00454A29" w:rsidRDefault="00454A29">
      <w:pPr>
        <w:pStyle w:val="ConsPlusNormal"/>
        <w:spacing w:before="220"/>
        <w:ind w:firstLine="540"/>
        <w:jc w:val="both"/>
      </w:pPr>
      <w:r>
        <w:t>ФГАОУ ВО "Северо-Восточный федеральный университет им. М.К. Аммосова" является одним из 10 федеральных вузов страны, которые ориентированы на решение геополитических задач и удовлетворение кадровых потребностей крупных межрегиональных инвестиционных проектов;</w:t>
      </w:r>
    </w:p>
    <w:p w14:paraId="3590AA2F" w14:textId="77777777" w:rsidR="00454A29" w:rsidRDefault="00454A29">
      <w:pPr>
        <w:pStyle w:val="ConsPlusNormal"/>
        <w:spacing w:before="220"/>
        <w:ind w:firstLine="540"/>
        <w:jc w:val="both"/>
      </w:pPr>
      <w:r>
        <w:t>ФГБОУ ВО "Якутская государственная сельскохозяйственная академия" является базовым аграрным вузом на Северо-Востоке России, примыкающим к территориям Арктической зоны Российской Федерации;</w:t>
      </w:r>
    </w:p>
    <w:p w14:paraId="09DDA245" w14:textId="77777777" w:rsidR="00454A29" w:rsidRDefault="00454A29">
      <w:pPr>
        <w:pStyle w:val="ConsPlusNormal"/>
        <w:spacing w:before="220"/>
        <w:ind w:firstLine="540"/>
        <w:jc w:val="both"/>
      </w:pPr>
      <w:r>
        <w:t>ФГБОУ ВО "Арктический государственный институт культуры и искусств" является базовым вузом в сфере искусства и культуры, в том числе коренных малочисленных народов Северо-Востока России;</w:t>
      </w:r>
    </w:p>
    <w:p w14:paraId="16A6F8B3" w14:textId="77777777" w:rsidR="00454A29" w:rsidRDefault="00454A29">
      <w:pPr>
        <w:pStyle w:val="ConsPlusNormal"/>
        <w:spacing w:before="220"/>
        <w:ind w:firstLine="540"/>
        <w:jc w:val="both"/>
      </w:pPr>
      <w:r>
        <w:t>ФГБОУ ВО "Чурапчинский институт физической культуры и спорта" является базовым вузом в сфере спорта. Единственным институтом спортивного направления в Российской Федерации, расположенным в условиях Севера и сельской местности.</w:t>
      </w:r>
    </w:p>
    <w:p w14:paraId="1E9FB762" w14:textId="77777777" w:rsidR="00454A29" w:rsidRDefault="00454A29">
      <w:pPr>
        <w:pStyle w:val="ConsPlusNormal"/>
        <w:spacing w:before="220"/>
        <w:ind w:firstLine="540"/>
        <w:jc w:val="both"/>
      </w:pPr>
      <w:r>
        <w:t>Данные вузы играют важную определяющую роль в социально-экономическом, культурном и инновационном развитии региона в целом. По оценке вклада региональных систем высшего образования в социально-экономическое развитие регионов России, Республика Саха (Якутия) занимает лидирующие позиции по всем трем субиндексам вклада вузов в экономическое и инновационное развитие региона, развитие человеческого капитала. По типологии региональная система высшего образования республики входит в первый тип - "Драйверы регионального развития": все субиндексы имеют значения выше средних.</w:t>
      </w:r>
    </w:p>
    <w:p w14:paraId="704AE199" w14:textId="77777777" w:rsidR="00454A29" w:rsidRDefault="00454A29">
      <w:pPr>
        <w:pStyle w:val="ConsPlusNormal"/>
        <w:spacing w:before="220"/>
        <w:ind w:firstLine="540"/>
        <w:jc w:val="both"/>
      </w:pPr>
      <w:r>
        <w:t xml:space="preserve">Для покрытия потребности в кадрах Республика Саха (Якутия) на основании </w:t>
      </w:r>
      <w:hyperlink r:id="rId19" w:history="1">
        <w:r>
          <w:rPr>
            <w:color w:val="0000FF"/>
          </w:rPr>
          <w:t>статьи 56</w:t>
        </w:r>
      </w:hyperlink>
      <w:r>
        <w:t xml:space="preserve"> Федерального закона от 29 декабря 2012 г. N 273-ФЗ "Об образовании в Российской Федерации" осуществляется целевое обучение. Республика Саха (Якутия) на протяжении 27 лет проводит системную работу по подготовке кадров на условиях целевого обучения.</w:t>
      </w:r>
    </w:p>
    <w:p w14:paraId="03BD90DD" w14:textId="77777777" w:rsidR="00454A29" w:rsidRDefault="00454A29">
      <w:pPr>
        <w:pStyle w:val="ConsPlusNormal"/>
        <w:spacing w:before="220"/>
        <w:ind w:firstLine="540"/>
        <w:jc w:val="both"/>
      </w:pPr>
      <w:r>
        <w:t>Основной целью целевой подготовки является подготовка квалифицированных кадров в российских международных научно-образовательных центрах, передовых инновационных организациях в соответствии с потребностью в кадрах для отраслей экономики и социальной сферы Республики Саха (Якутия).</w:t>
      </w:r>
    </w:p>
    <w:p w14:paraId="1A6B1F84" w14:textId="77777777" w:rsidR="00454A29" w:rsidRDefault="00454A29">
      <w:pPr>
        <w:pStyle w:val="ConsPlusNormal"/>
        <w:spacing w:before="220"/>
        <w:ind w:firstLine="540"/>
        <w:jc w:val="both"/>
      </w:pPr>
      <w:r>
        <w:t>Целевое обучение реализуется в ведущих высокорейтинговых российских образовательных, научных и инновационных организациях как за пределами, так и на территории республики. Подготовка специалистов проводится по очной, очно-заочной, заочной формам обучения в аккредитованных образовательных организациях высшего образования и профессиональных образовательных организациях Российской Федерации и за ее пределами за счет средств федерального бюджета, государственного бюджета Республики Саха (Якутия).</w:t>
      </w:r>
    </w:p>
    <w:p w14:paraId="1AA4CB65" w14:textId="77777777" w:rsidR="00454A29" w:rsidRDefault="00454A29">
      <w:pPr>
        <w:pStyle w:val="ConsPlusNormal"/>
        <w:spacing w:before="220"/>
        <w:ind w:firstLine="540"/>
        <w:jc w:val="both"/>
      </w:pPr>
      <w:r>
        <w:t>Показателем развития является ежегодно утверждаемый решением Правительства Республики Саха (Якутия) План набора на целевое обучение на основании среднесрочного прогноза потребности предприятий и организаций социальной сферы и отраслей экономики Республики Саха (Якутия) в квалифицированных специалистах (таблица 2).</w:t>
      </w:r>
    </w:p>
    <w:p w14:paraId="3F1B9D43" w14:textId="77777777" w:rsidR="00454A29" w:rsidRDefault="00454A29">
      <w:pPr>
        <w:pStyle w:val="ConsPlusNormal"/>
      </w:pPr>
    </w:p>
    <w:p w14:paraId="216CD654" w14:textId="77777777" w:rsidR="00454A29" w:rsidRDefault="00454A29">
      <w:pPr>
        <w:pStyle w:val="ConsPlusNormal"/>
        <w:jc w:val="right"/>
        <w:outlineLvl w:val="2"/>
      </w:pPr>
      <w:r>
        <w:lastRenderedPageBreak/>
        <w:t>Таблица 2</w:t>
      </w:r>
    </w:p>
    <w:p w14:paraId="676716D3" w14:textId="77777777" w:rsidR="00454A29" w:rsidRDefault="00454A29">
      <w:pPr>
        <w:pStyle w:val="ConsPlusNormal"/>
      </w:pPr>
    </w:p>
    <w:p w14:paraId="78E39356" w14:textId="77777777" w:rsidR="00454A29" w:rsidRDefault="00454A29">
      <w:pPr>
        <w:pStyle w:val="ConsPlusTitle"/>
        <w:jc w:val="center"/>
      </w:pPr>
      <w:r>
        <w:t>Контрольные цифры приема на целевое обучение</w:t>
      </w:r>
    </w:p>
    <w:p w14:paraId="4D983FA8"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850"/>
        <w:gridCol w:w="851"/>
        <w:gridCol w:w="850"/>
        <w:gridCol w:w="851"/>
        <w:gridCol w:w="850"/>
        <w:gridCol w:w="850"/>
        <w:gridCol w:w="851"/>
        <w:gridCol w:w="850"/>
      </w:tblGrid>
      <w:tr w:rsidR="00454A29" w14:paraId="5F1238FE" w14:textId="77777777">
        <w:tc>
          <w:tcPr>
            <w:tcW w:w="2268" w:type="dxa"/>
            <w:vAlign w:val="center"/>
          </w:tcPr>
          <w:p w14:paraId="64CEDBC8" w14:textId="77777777" w:rsidR="00454A29" w:rsidRDefault="00454A29">
            <w:pPr>
              <w:pStyle w:val="ConsPlusNormal"/>
              <w:jc w:val="center"/>
            </w:pPr>
            <w:r>
              <w:t>Год</w:t>
            </w:r>
          </w:p>
        </w:tc>
        <w:tc>
          <w:tcPr>
            <w:tcW w:w="850" w:type="dxa"/>
            <w:vAlign w:val="center"/>
          </w:tcPr>
          <w:p w14:paraId="6ED279FF" w14:textId="77777777" w:rsidR="00454A29" w:rsidRDefault="00454A29">
            <w:pPr>
              <w:pStyle w:val="ConsPlusNormal"/>
              <w:jc w:val="center"/>
            </w:pPr>
            <w:r>
              <w:t>2012</w:t>
            </w:r>
          </w:p>
        </w:tc>
        <w:tc>
          <w:tcPr>
            <w:tcW w:w="851" w:type="dxa"/>
            <w:vAlign w:val="center"/>
          </w:tcPr>
          <w:p w14:paraId="1B9F0C86" w14:textId="77777777" w:rsidR="00454A29" w:rsidRDefault="00454A29">
            <w:pPr>
              <w:pStyle w:val="ConsPlusNormal"/>
              <w:jc w:val="center"/>
            </w:pPr>
            <w:r>
              <w:t>2013</w:t>
            </w:r>
          </w:p>
        </w:tc>
        <w:tc>
          <w:tcPr>
            <w:tcW w:w="850" w:type="dxa"/>
            <w:vAlign w:val="center"/>
          </w:tcPr>
          <w:p w14:paraId="3FB01EE9" w14:textId="77777777" w:rsidR="00454A29" w:rsidRDefault="00454A29">
            <w:pPr>
              <w:pStyle w:val="ConsPlusNormal"/>
              <w:jc w:val="center"/>
            </w:pPr>
            <w:r>
              <w:t>2014</w:t>
            </w:r>
          </w:p>
        </w:tc>
        <w:tc>
          <w:tcPr>
            <w:tcW w:w="851" w:type="dxa"/>
            <w:vAlign w:val="center"/>
          </w:tcPr>
          <w:p w14:paraId="629EAD41" w14:textId="77777777" w:rsidR="00454A29" w:rsidRDefault="00454A29">
            <w:pPr>
              <w:pStyle w:val="ConsPlusNormal"/>
              <w:jc w:val="center"/>
            </w:pPr>
            <w:r>
              <w:t>2015</w:t>
            </w:r>
          </w:p>
        </w:tc>
        <w:tc>
          <w:tcPr>
            <w:tcW w:w="850" w:type="dxa"/>
            <w:vAlign w:val="center"/>
          </w:tcPr>
          <w:p w14:paraId="7C6983EE" w14:textId="77777777" w:rsidR="00454A29" w:rsidRDefault="00454A29">
            <w:pPr>
              <w:pStyle w:val="ConsPlusNormal"/>
              <w:jc w:val="center"/>
            </w:pPr>
            <w:r>
              <w:t>2016</w:t>
            </w:r>
          </w:p>
        </w:tc>
        <w:tc>
          <w:tcPr>
            <w:tcW w:w="850" w:type="dxa"/>
            <w:vAlign w:val="center"/>
          </w:tcPr>
          <w:p w14:paraId="76F7422F" w14:textId="77777777" w:rsidR="00454A29" w:rsidRDefault="00454A29">
            <w:pPr>
              <w:pStyle w:val="ConsPlusNormal"/>
              <w:jc w:val="center"/>
            </w:pPr>
            <w:r>
              <w:t>2017</w:t>
            </w:r>
          </w:p>
        </w:tc>
        <w:tc>
          <w:tcPr>
            <w:tcW w:w="851" w:type="dxa"/>
            <w:vAlign w:val="center"/>
          </w:tcPr>
          <w:p w14:paraId="06B307AE" w14:textId="77777777" w:rsidR="00454A29" w:rsidRDefault="00454A29">
            <w:pPr>
              <w:pStyle w:val="ConsPlusNormal"/>
              <w:jc w:val="center"/>
            </w:pPr>
            <w:r>
              <w:t>2018</w:t>
            </w:r>
          </w:p>
        </w:tc>
        <w:tc>
          <w:tcPr>
            <w:tcW w:w="850" w:type="dxa"/>
            <w:vAlign w:val="center"/>
          </w:tcPr>
          <w:p w14:paraId="1D3A4267" w14:textId="77777777" w:rsidR="00454A29" w:rsidRDefault="00454A29">
            <w:pPr>
              <w:pStyle w:val="ConsPlusNormal"/>
              <w:jc w:val="center"/>
            </w:pPr>
            <w:r>
              <w:t>2019</w:t>
            </w:r>
          </w:p>
        </w:tc>
      </w:tr>
      <w:tr w:rsidR="00454A29" w14:paraId="4EC2A55F" w14:textId="77777777">
        <w:tc>
          <w:tcPr>
            <w:tcW w:w="2268" w:type="dxa"/>
          </w:tcPr>
          <w:p w14:paraId="59213E5D" w14:textId="77777777" w:rsidR="00454A29" w:rsidRDefault="00454A29">
            <w:pPr>
              <w:pStyle w:val="ConsPlusNormal"/>
              <w:jc w:val="both"/>
            </w:pPr>
            <w:r>
              <w:t>Количество мест за пределами Республики Саха (Якутия)</w:t>
            </w:r>
          </w:p>
        </w:tc>
        <w:tc>
          <w:tcPr>
            <w:tcW w:w="850" w:type="dxa"/>
          </w:tcPr>
          <w:p w14:paraId="6B626AAC" w14:textId="77777777" w:rsidR="00454A29" w:rsidRDefault="00454A29">
            <w:pPr>
              <w:pStyle w:val="ConsPlusNormal"/>
              <w:jc w:val="center"/>
            </w:pPr>
            <w:r>
              <w:t>708</w:t>
            </w:r>
          </w:p>
        </w:tc>
        <w:tc>
          <w:tcPr>
            <w:tcW w:w="851" w:type="dxa"/>
          </w:tcPr>
          <w:p w14:paraId="39A3301C" w14:textId="77777777" w:rsidR="00454A29" w:rsidRDefault="00454A29">
            <w:pPr>
              <w:pStyle w:val="ConsPlusNormal"/>
              <w:jc w:val="center"/>
            </w:pPr>
            <w:r>
              <w:t>813</w:t>
            </w:r>
          </w:p>
        </w:tc>
        <w:tc>
          <w:tcPr>
            <w:tcW w:w="850" w:type="dxa"/>
          </w:tcPr>
          <w:p w14:paraId="4479841A" w14:textId="77777777" w:rsidR="00454A29" w:rsidRDefault="00454A29">
            <w:pPr>
              <w:pStyle w:val="ConsPlusNormal"/>
              <w:jc w:val="center"/>
            </w:pPr>
            <w:r>
              <w:t>710</w:t>
            </w:r>
          </w:p>
        </w:tc>
        <w:tc>
          <w:tcPr>
            <w:tcW w:w="851" w:type="dxa"/>
          </w:tcPr>
          <w:p w14:paraId="04CDC2CC" w14:textId="77777777" w:rsidR="00454A29" w:rsidRDefault="00454A29">
            <w:pPr>
              <w:pStyle w:val="ConsPlusNormal"/>
              <w:jc w:val="center"/>
            </w:pPr>
            <w:r>
              <w:t>548</w:t>
            </w:r>
          </w:p>
        </w:tc>
        <w:tc>
          <w:tcPr>
            <w:tcW w:w="850" w:type="dxa"/>
          </w:tcPr>
          <w:p w14:paraId="64B6CE6B" w14:textId="77777777" w:rsidR="00454A29" w:rsidRDefault="00454A29">
            <w:pPr>
              <w:pStyle w:val="ConsPlusNormal"/>
              <w:jc w:val="center"/>
            </w:pPr>
            <w:r>
              <w:t>493</w:t>
            </w:r>
          </w:p>
        </w:tc>
        <w:tc>
          <w:tcPr>
            <w:tcW w:w="850" w:type="dxa"/>
          </w:tcPr>
          <w:p w14:paraId="5419D58E" w14:textId="77777777" w:rsidR="00454A29" w:rsidRDefault="00454A29">
            <w:pPr>
              <w:pStyle w:val="ConsPlusNormal"/>
              <w:jc w:val="center"/>
            </w:pPr>
            <w:r>
              <w:t>317</w:t>
            </w:r>
          </w:p>
        </w:tc>
        <w:tc>
          <w:tcPr>
            <w:tcW w:w="851" w:type="dxa"/>
          </w:tcPr>
          <w:p w14:paraId="7E229DFF" w14:textId="77777777" w:rsidR="00454A29" w:rsidRDefault="00454A29">
            <w:pPr>
              <w:pStyle w:val="ConsPlusNormal"/>
              <w:jc w:val="center"/>
            </w:pPr>
            <w:r>
              <w:t>207</w:t>
            </w:r>
          </w:p>
        </w:tc>
        <w:tc>
          <w:tcPr>
            <w:tcW w:w="850" w:type="dxa"/>
          </w:tcPr>
          <w:p w14:paraId="111431AE" w14:textId="77777777" w:rsidR="00454A29" w:rsidRDefault="00454A29">
            <w:pPr>
              <w:pStyle w:val="ConsPlusNormal"/>
              <w:jc w:val="center"/>
            </w:pPr>
            <w:r>
              <w:t>165</w:t>
            </w:r>
          </w:p>
        </w:tc>
      </w:tr>
      <w:tr w:rsidR="00454A29" w14:paraId="03C44BAE" w14:textId="77777777">
        <w:tc>
          <w:tcPr>
            <w:tcW w:w="2268" w:type="dxa"/>
          </w:tcPr>
          <w:p w14:paraId="1C4EFA17" w14:textId="77777777" w:rsidR="00454A29" w:rsidRDefault="00454A29">
            <w:pPr>
              <w:pStyle w:val="ConsPlusNormal"/>
              <w:jc w:val="both"/>
            </w:pPr>
            <w:r>
              <w:t>Количество мест в пределах территории Республики Саха (Якутия)</w:t>
            </w:r>
          </w:p>
        </w:tc>
        <w:tc>
          <w:tcPr>
            <w:tcW w:w="850" w:type="dxa"/>
          </w:tcPr>
          <w:p w14:paraId="1CDD1043" w14:textId="77777777" w:rsidR="00454A29" w:rsidRDefault="00454A29">
            <w:pPr>
              <w:pStyle w:val="ConsPlusNormal"/>
              <w:jc w:val="center"/>
            </w:pPr>
            <w:r>
              <w:t>349</w:t>
            </w:r>
          </w:p>
        </w:tc>
        <w:tc>
          <w:tcPr>
            <w:tcW w:w="851" w:type="dxa"/>
          </w:tcPr>
          <w:p w14:paraId="67C58DE3" w14:textId="77777777" w:rsidR="00454A29" w:rsidRDefault="00454A29">
            <w:pPr>
              <w:pStyle w:val="ConsPlusNormal"/>
              <w:jc w:val="center"/>
            </w:pPr>
            <w:r>
              <w:t>513</w:t>
            </w:r>
          </w:p>
        </w:tc>
        <w:tc>
          <w:tcPr>
            <w:tcW w:w="850" w:type="dxa"/>
          </w:tcPr>
          <w:p w14:paraId="20E13C78" w14:textId="77777777" w:rsidR="00454A29" w:rsidRDefault="00454A29">
            <w:pPr>
              <w:pStyle w:val="ConsPlusNormal"/>
              <w:jc w:val="center"/>
            </w:pPr>
            <w:r>
              <w:t>288</w:t>
            </w:r>
          </w:p>
        </w:tc>
        <w:tc>
          <w:tcPr>
            <w:tcW w:w="851" w:type="dxa"/>
          </w:tcPr>
          <w:p w14:paraId="7BD99CDC" w14:textId="77777777" w:rsidR="00454A29" w:rsidRDefault="00454A29">
            <w:pPr>
              <w:pStyle w:val="ConsPlusNormal"/>
              <w:jc w:val="center"/>
            </w:pPr>
            <w:r>
              <w:t>352</w:t>
            </w:r>
          </w:p>
        </w:tc>
        <w:tc>
          <w:tcPr>
            <w:tcW w:w="850" w:type="dxa"/>
          </w:tcPr>
          <w:p w14:paraId="666398E2" w14:textId="77777777" w:rsidR="00454A29" w:rsidRDefault="00454A29">
            <w:pPr>
              <w:pStyle w:val="ConsPlusNormal"/>
              <w:jc w:val="center"/>
            </w:pPr>
            <w:r>
              <w:t>362</w:t>
            </w:r>
          </w:p>
        </w:tc>
        <w:tc>
          <w:tcPr>
            <w:tcW w:w="850" w:type="dxa"/>
          </w:tcPr>
          <w:p w14:paraId="15ED04C6" w14:textId="77777777" w:rsidR="00454A29" w:rsidRDefault="00454A29">
            <w:pPr>
              <w:pStyle w:val="ConsPlusNormal"/>
              <w:jc w:val="center"/>
            </w:pPr>
            <w:r>
              <w:t>306</w:t>
            </w:r>
          </w:p>
        </w:tc>
        <w:tc>
          <w:tcPr>
            <w:tcW w:w="851" w:type="dxa"/>
          </w:tcPr>
          <w:p w14:paraId="40DCDE45" w14:textId="77777777" w:rsidR="00454A29" w:rsidRDefault="00454A29">
            <w:pPr>
              <w:pStyle w:val="ConsPlusNormal"/>
              <w:jc w:val="center"/>
            </w:pPr>
            <w:r>
              <w:t>-</w:t>
            </w:r>
          </w:p>
        </w:tc>
        <w:tc>
          <w:tcPr>
            <w:tcW w:w="850" w:type="dxa"/>
          </w:tcPr>
          <w:p w14:paraId="7447DBB3" w14:textId="77777777" w:rsidR="00454A29" w:rsidRDefault="00454A29">
            <w:pPr>
              <w:pStyle w:val="ConsPlusNormal"/>
              <w:jc w:val="center"/>
            </w:pPr>
            <w:r>
              <w:t>235</w:t>
            </w:r>
          </w:p>
        </w:tc>
      </w:tr>
      <w:tr w:rsidR="00454A29" w14:paraId="7013F207" w14:textId="77777777">
        <w:tc>
          <w:tcPr>
            <w:tcW w:w="2268" w:type="dxa"/>
          </w:tcPr>
          <w:p w14:paraId="1C980A2F" w14:textId="77777777" w:rsidR="00454A29" w:rsidRDefault="00454A29">
            <w:pPr>
              <w:pStyle w:val="ConsPlusNormal"/>
              <w:jc w:val="both"/>
            </w:pPr>
            <w:r>
              <w:t>Итого:</w:t>
            </w:r>
          </w:p>
        </w:tc>
        <w:tc>
          <w:tcPr>
            <w:tcW w:w="850" w:type="dxa"/>
          </w:tcPr>
          <w:p w14:paraId="0FCB7ADA" w14:textId="77777777" w:rsidR="00454A29" w:rsidRDefault="00454A29">
            <w:pPr>
              <w:pStyle w:val="ConsPlusNormal"/>
              <w:jc w:val="center"/>
            </w:pPr>
            <w:r>
              <w:t>1057</w:t>
            </w:r>
          </w:p>
        </w:tc>
        <w:tc>
          <w:tcPr>
            <w:tcW w:w="851" w:type="dxa"/>
          </w:tcPr>
          <w:p w14:paraId="0C34C581" w14:textId="77777777" w:rsidR="00454A29" w:rsidRDefault="00454A29">
            <w:pPr>
              <w:pStyle w:val="ConsPlusNormal"/>
              <w:jc w:val="center"/>
            </w:pPr>
            <w:r>
              <w:t>1326</w:t>
            </w:r>
          </w:p>
        </w:tc>
        <w:tc>
          <w:tcPr>
            <w:tcW w:w="850" w:type="dxa"/>
          </w:tcPr>
          <w:p w14:paraId="5F89A434" w14:textId="77777777" w:rsidR="00454A29" w:rsidRDefault="00454A29">
            <w:pPr>
              <w:pStyle w:val="ConsPlusNormal"/>
              <w:jc w:val="center"/>
            </w:pPr>
            <w:r>
              <w:t>998</w:t>
            </w:r>
          </w:p>
        </w:tc>
        <w:tc>
          <w:tcPr>
            <w:tcW w:w="851" w:type="dxa"/>
          </w:tcPr>
          <w:p w14:paraId="3E6D3D87" w14:textId="77777777" w:rsidR="00454A29" w:rsidRDefault="00454A29">
            <w:pPr>
              <w:pStyle w:val="ConsPlusNormal"/>
              <w:jc w:val="center"/>
            </w:pPr>
            <w:r>
              <w:t>900</w:t>
            </w:r>
          </w:p>
        </w:tc>
        <w:tc>
          <w:tcPr>
            <w:tcW w:w="850" w:type="dxa"/>
          </w:tcPr>
          <w:p w14:paraId="7FDE2753" w14:textId="77777777" w:rsidR="00454A29" w:rsidRDefault="00454A29">
            <w:pPr>
              <w:pStyle w:val="ConsPlusNormal"/>
              <w:jc w:val="center"/>
            </w:pPr>
            <w:r>
              <w:t>855</w:t>
            </w:r>
          </w:p>
        </w:tc>
        <w:tc>
          <w:tcPr>
            <w:tcW w:w="850" w:type="dxa"/>
          </w:tcPr>
          <w:p w14:paraId="08979FB4" w14:textId="77777777" w:rsidR="00454A29" w:rsidRDefault="00454A29">
            <w:pPr>
              <w:pStyle w:val="ConsPlusNormal"/>
              <w:jc w:val="center"/>
            </w:pPr>
            <w:r>
              <w:t>623</w:t>
            </w:r>
          </w:p>
        </w:tc>
        <w:tc>
          <w:tcPr>
            <w:tcW w:w="851" w:type="dxa"/>
          </w:tcPr>
          <w:p w14:paraId="3BD67C4E" w14:textId="77777777" w:rsidR="00454A29" w:rsidRDefault="00454A29">
            <w:pPr>
              <w:pStyle w:val="ConsPlusNormal"/>
              <w:jc w:val="center"/>
            </w:pPr>
            <w:r>
              <w:t>207</w:t>
            </w:r>
          </w:p>
        </w:tc>
        <w:tc>
          <w:tcPr>
            <w:tcW w:w="850" w:type="dxa"/>
          </w:tcPr>
          <w:p w14:paraId="2E6B93DB" w14:textId="77777777" w:rsidR="00454A29" w:rsidRDefault="00454A29">
            <w:pPr>
              <w:pStyle w:val="ConsPlusNormal"/>
              <w:jc w:val="center"/>
            </w:pPr>
            <w:r>
              <w:t>400</w:t>
            </w:r>
          </w:p>
        </w:tc>
      </w:tr>
    </w:tbl>
    <w:p w14:paraId="4838DC98" w14:textId="77777777" w:rsidR="00454A29" w:rsidRDefault="00454A29">
      <w:pPr>
        <w:pStyle w:val="ConsPlusNormal"/>
      </w:pPr>
    </w:p>
    <w:p w14:paraId="48739C58" w14:textId="77777777" w:rsidR="00454A29" w:rsidRDefault="00454A29">
      <w:pPr>
        <w:pStyle w:val="ConsPlusNormal"/>
        <w:ind w:firstLine="540"/>
        <w:jc w:val="both"/>
      </w:pPr>
      <w:r>
        <w:t>Потребности в специалистах прогнозируются заказчиками целевого обучения - отраслевыми министерствами и ведомствами путем проведения мониторинга рынка труда конкретной отрасли, изучения потребности в квалифицированных специалистах предприятий и организаций курируемой отрасли.</w:t>
      </w:r>
    </w:p>
    <w:p w14:paraId="1641AFBE" w14:textId="77777777" w:rsidR="00454A29" w:rsidRDefault="00454A29">
      <w:pPr>
        <w:pStyle w:val="ConsPlusNormal"/>
        <w:spacing w:before="220"/>
        <w:ind w:firstLine="540"/>
        <w:jc w:val="both"/>
      </w:pPr>
      <w:r>
        <w:t>Министерство образования и науки Республики Саха (Якутия) на основании согласованного плана набора заключает договор о целевом приеме с высокорейтинговыми образовательными организациями, выделяющими места в пределах квоты контрольных цифр приема за счет бюджетных ассигнований, с такими как: Финансовый университет при Правительстве Российской Федерации, Российский государственный университет нефти и газа им. Губкина, Национальный исследовательский технологический университет "МИСиС" (НИТУ МИСиС), Московский энергетический институт (технический университет), Первый Санкт-Петербургский государственный медицинский университет им. И.П. Павлова, Санкт-Петербургский государственный университет гражданской авиации, Санкт-Петербургский горный университет, Санкт-Петербургский национальный исследовательский университет информационных технологий, механики и оптики (НИУ ИТМО), Национальный исследовательский Томский политехнический университет, Сибирский государственный медицинский университет и др.</w:t>
      </w:r>
    </w:p>
    <w:p w14:paraId="70FFC258" w14:textId="77777777" w:rsidR="00454A29" w:rsidRDefault="00454A29">
      <w:pPr>
        <w:pStyle w:val="ConsPlusNormal"/>
        <w:spacing w:before="220"/>
        <w:ind w:firstLine="540"/>
        <w:jc w:val="both"/>
      </w:pPr>
      <w:r>
        <w:t>К основным приоритетным направлениям подготовки относятся: клиническая медицина; прикладная геология, горное дело, нефтегазовое дело и геодезия; образование и педагогические науки; электроника, радиотехника и системы связи; техника и технологии наземного транспорта; сводное направление агропромышленного профиля; электро и теплотехника и др.</w:t>
      </w:r>
    </w:p>
    <w:p w14:paraId="1ECF9E43" w14:textId="77777777" w:rsidR="00454A29" w:rsidRDefault="00454A29">
      <w:pPr>
        <w:pStyle w:val="ConsPlusNormal"/>
        <w:spacing w:before="220"/>
        <w:ind w:firstLine="540"/>
        <w:jc w:val="both"/>
      </w:pPr>
      <w:r>
        <w:t>Конкурсный отбор на целевое обучение проводится республиканской приемной комиссией совместно с приемными комиссиями образовательных организаций в соответствии с правилами приема в образовательные организации.</w:t>
      </w:r>
    </w:p>
    <w:p w14:paraId="1DF72039" w14:textId="77777777" w:rsidR="00454A29" w:rsidRDefault="00454A29">
      <w:pPr>
        <w:pStyle w:val="ConsPlusNormal"/>
        <w:spacing w:before="220"/>
        <w:ind w:firstLine="540"/>
        <w:jc w:val="both"/>
      </w:pPr>
      <w:r>
        <w:t>В республике отбор проводится в 2 этапа:</w:t>
      </w:r>
    </w:p>
    <w:p w14:paraId="2C9BE0CF" w14:textId="77777777" w:rsidR="00454A29" w:rsidRDefault="00454A29">
      <w:pPr>
        <w:pStyle w:val="ConsPlusNormal"/>
        <w:spacing w:before="220"/>
        <w:ind w:firstLine="540"/>
        <w:jc w:val="both"/>
      </w:pPr>
      <w:r>
        <w:t>1. Республиканская предметная олимпиада (март).</w:t>
      </w:r>
    </w:p>
    <w:p w14:paraId="730C1E38" w14:textId="77777777" w:rsidR="00454A29" w:rsidRDefault="00454A29">
      <w:pPr>
        <w:pStyle w:val="ConsPlusNormal"/>
        <w:spacing w:before="220"/>
        <w:ind w:firstLine="540"/>
        <w:jc w:val="both"/>
      </w:pPr>
      <w:r>
        <w:t>2. Республиканская приемная комиссия (июнь - июль).</w:t>
      </w:r>
    </w:p>
    <w:p w14:paraId="32F02CF3" w14:textId="77777777" w:rsidR="00454A29" w:rsidRDefault="00454A29">
      <w:pPr>
        <w:pStyle w:val="ConsPlusNormal"/>
        <w:spacing w:before="220"/>
        <w:ind w:firstLine="540"/>
        <w:jc w:val="both"/>
      </w:pPr>
      <w:r>
        <w:t>Первый этап. Республиканская предметная олимпиада.</w:t>
      </w:r>
    </w:p>
    <w:p w14:paraId="42F9419D" w14:textId="77777777" w:rsidR="00454A29" w:rsidRDefault="00454A29">
      <w:pPr>
        <w:pStyle w:val="ConsPlusNormal"/>
        <w:spacing w:before="220"/>
        <w:ind w:firstLine="540"/>
        <w:jc w:val="both"/>
      </w:pPr>
      <w:r>
        <w:t xml:space="preserve">В период весенних каникул (март) Министерство образования и науки Республики Саха (Якутия) проводит республиканскую предметную олимпиаду, с победителями которой </w:t>
      </w:r>
      <w:r>
        <w:lastRenderedPageBreak/>
        <w:t>заключаются договора о целевом обучении.</w:t>
      </w:r>
    </w:p>
    <w:p w14:paraId="6F570DFB" w14:textId="77777777" w:rsidR="00454A29" w:rsidRDefault="00454A29">
      <w:pPr>
        <w:pStyle w:val="ConsPlusNormal"/>
        <w:spacing w:before="220"/>
        <w:ind w:firstLine="540"/>
        <w:jc w:val="both"/>
      </w:pPr>
      <w:r>
        <w:t>За четырнадцать лет, с 2006 по 2019 годы, в олимпиадах участвовали 10 392 учащихся школ республики, в основном из сельских школ. По результатам олимпиад 2 997 выпускников получили возможность обучаться в престижных вузах Российской Федерации.</w:t>
      </w:r>
    </w:p>
    <w:p w14:paraId="79C0503D" w14:textId="77777777" w:rsidR="00454A29" w:rsidRDefault="00454A29">
      <w:pPr>
        <w:pStyle w:val="ConsPlusNormal"/>
        <w:spacing w:before="220"/>
        <w:ind w:firstLine="540"/>
        <w:jc w:val="both"/>
      </w:pPr>
      <w:r>
        <w:t>Второй этап. Республиканская приемная комиссия.</w:t>
      </w:r>
    </w:p>
    <w:p w14:paraId="61D33051" w14:textId="77777777" w:rsidR="00454A29" w:rsidRDefault="00454A29">
      <w:pPr>
        <w:pStyle w:val="ConsPlusNormal"/>
        <w:spacing w:before="220"/>
        <w:ind w:firstLine="540"/>
        <w:jc w:val="both"/>
      </w:pPr>
      <w:r>
        <w:t>Второй этап отбора проводится республиканской приемной комиссией совместно с приемными комиссиями образовательных организаций по итогам полученных результатов Единого государственного экзамена абитуриентами, прошедшими предварительный отбор по итогам республиканской предметной олимпиады (таблица 3).</w:t>
      </w:r>
    </w:p>
    <w:p w14:paraId="7DF16C83" w14:textId="77777777" w:rsidR="00454A29" w:rsidRDefault="00454A29">
      <w:pPr>
        <w:pStyle w:val="ConsPlusNormal"/>
      </w:pPr>
    </w:p>
    <w:p w14:paraId="31DCDCAB" w14:textId="77777777" w:rsidR="00454A29" w:rsidRDefault="00454A29">
      <w:pPr>
        <w:pStyle w:val="ConsPlusNormal"/>
        <w:jc w:val="right"/>
        <w:outlineLvl w:val="2"/>
      </w:pPr>
      <w:r>
        <w:t>Таблица 3</w:t>
      </w:r>
    </w:p>
    <w:p w14:paraId="010A685D" w14:textId="77777777" w:rsidR="00454A29" w:rsidRDefault="00454A29">
      <w:pPr>
        <w:pStyle w:val="ConsPlusNormal"/>
      </w:pPr>
    </w:p>
    <w:p w14:paraId="07525BE8" w14:textId="77777777" w:rsidR="00454A29" w:rsidRDefault="00454A29">
      <w:pPr>
        <w:pStyle w:val="ConsPlusTitle"/>
        <w:jc w:val="center"/>
      </w:pPr>
      <w:r>
        <w:t>Показатели ЕГЭ кандидатов на целевое обучение</w:t>
      </w:r>
    </w:p>
    <w:p w14:paraId="7D9C7585"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276"/>
        <w:gridCol w:w="1276"/>
        <w:gridCol w:w="1304"/>
        <w:gridCol w:w="1276"/>
        <w:gridCol w:w="1276"/>
      </w:tblGrid>
      <w:tr w:rsidR="00454A29" w14:paraId="3B01919D" w14:textId="77777777">
        <w:tc>
          <w:tcPr>
            <w:tcW w:w="567" w:type="dxa"/>
            <w:vMerge w:val="restart"/>
            <w:vAlign w:val="center"/>
          </w:tcPr>
          <w:p w14:paraId="76557B64" w14:textId="77777777" w:rsidR="00454A29" w:rsidRDefault="00454A29">
            <w:pPr>
              <w:pStyle w:val="ConsPlusNormal"/>
              <w:jc w:val="center"/>
            </w:pPr>
            <w:r>
              <w:t>N п/п</w:t>
            </w:r>
          </w:p>
        </w:tc>
        <w:tc>
          <w:tcPr>
            <w:tcW w:w="2098" w:type="dxa"/>
            <w:vMerge w:val="restart"/>
            <w:vAlign w:val="center"/>
          </w:tcPr>
          <w:p w14:paraId="486BAE87" w14:textId="77777777" w:rsidR="00454A29" w:rsidRDefault="00454A29">
            <w:pPr>
              <w:pStyle w:val="ConsPlusNormal"/>
              <w:jc w:val="center"/>
            </w:pPr>
            <w:r>
              <w:t>Предмет</w:t>
            </w:r>
          </w:p>
        </w:tc>
        <w:tc>
          <w:tcPr>
            <w:tcW w:w="1276" w:type="dxa"/>
            <w:vAlign w:val="center"/>
          </w:tcPr>
          <w:p w14:paraId="66134CFA" w14:textId="77777777" w:rsidR="00454A29" w:rsidRDefault="00454A29">
            <w:pPr>
              <w:pStyle w:val="ConsPlusNormal"/>
              <w:jc w:val="center"/>
            </w:pPr>
            <w:r>
              <w:t>2015 г.</w:t>
            </w:r>
          </w:p>
        </w:tc>
        <w:tc>
          <w:tcPr>
            <w:tcW w:w="1276" w:type="dxa"/>
            <w:vAlign w:val="center"/>
          </w:tcPr>
          <w:p w14:paraId="0D7D0E28" w14:textId="77777777" w:rsidR="00454A29" w:rsidRDefault="00454A29">
            <w:pPr>
              <w:pStyle w:val="ConsPlusNormal"/>
              <w:jc w:val="center"/>
            </w:pPr>
            <w:r>
              <w:t>2016 г.</w:t>
            </w:r>
          </w:p>
        </w:tc>
        <w:tc>
          <w:tcPr>
            <w:tcW w:w="1304" w:type="dxa"/>
            <w:vAlign w:val="center"/>
          </w:tcPr>
          <w:p w14:paraId="1194C743" w14:textId="77777777" w:rsidR="00454A29" w:rsidRDefault="00454A29">
            <w:pPr>
              <w:pStyle w:val="ConsPlusNormal"/>
              <w:jc w:val="center"/>
            </w:pPr>
            <w:r>
              <w:t>2017 г.</w:t>
            </w:r>
          </w:p>
        </w:tc>
        <w:tc>
          <w:tcPr>
            <w:tcW w:w="1276" w:type="dxa"/>
            <w:vAlign w:val="center"/>
          </w:tcPr>
          <w:p w14:paraId="13AD07B2" w14:textId="77777777" w:rsidR="00454A29" w:rsidRDefault="00454A29">
            <w:pPr>
              <w:pStyle w:val="ConsPlusNormal"/>
              <w:jc w:val="center"/>
            </w:pPr>
            <w:r>
              <w:t>2018 г.</w:t>
            </w:r>
          </w:p>
        </w:tc>
        <w:tc>
          <w:tcPr>
            <w:tcW w:w="1276" w:type="dxa"/>
            <w:vAlign w:val="center"/>
          </w:tcPr>
          <w:p w14:paraId="700CED89" w14:textId="77777777" w:rsidR="00454A29" w:rsidRDefault="00454A29">
            <w:pPr>
              <w:pStyle w:val="ConsPlusNormal"/>
              <w:jc w:val="center"/>
            </w:pPr>
            <w:r>
              <w:t>2019 г.</w:t>
            </w:r>
          </w:p>
        </w:tc>
      </w:tr>
      <w:tr w:rsidR="00454A29" w14:paraId="1B2F6E51" w14:textId="77777777">
        <w:tc>
          <w:tcPr>
            <w:tcW w:w="567" w:type="dxa"/>
            <w:vMerge/>
          </w:tcPr>
          <w:p w14:paraId="463BFCCA" w14:textId="77777777" w:rsidR="00454A29" w:rsidRDefault="00454A29"/>
        </w:tc>
        <w:tc>
          <w:tcPr>
            <w:tcW w:w="2098" w:type="dxa"/>
            <w:vMerge/>
          </w:tcPr>
          <w:p w14:paraId="065DB989" w14:textId="77777777" w:rsidR="00454A29" w:rsidRDefault="00454A29"/>
        </w:tc>
        <w:tc>
          <w:tcPr>
            <w:tcW w:w="1276" w:type="dxa"/>
            <w:vAlign w:val="center"/>
          </w:tcPr>
          <w:p w14:paraId="54A382AD" w14:textId="77777777" w:rsidR="00454A29" w:rsidRDefault="00454A29">
            <w:pPr>
              <w:pStyle w:val="ConsPlusNormal"/>
              <w:jc w:val="center"/>
            </w:pPr>
            <w:r>
              <w:t>Ср. балл</w:t>
            </w:r>
          </w:p>
        </w:tc>
        <w:tc>
          <w:tcPr>
            <w:tcW w:w="1276" w:type="dxa"/>
            <w:vAlign w:val="center"/>
          </w:tcPr>
          <w:p w14:paraId="1FD912BF" w14:textId="77777777" w:rsidR="00454A29" w:rsidRDefault="00454A29">
            <w:pPr>
              <w:pStyle w:val="ConsPlusNormal"/>
              <w:jc w:val="center"/>
            </w:pPr>
            <w:r>
              <w:t>Ср. балл</w:t>
            </w:r>
          </w:p>
        </w:tc>
        <w:tc>
          <w:tcPr>
            <w:tcW w:w="1304" w:type="dxa"/>
            <w:vAlign w:val="center"/>
          </w:tcPr>
          <w:p w14:paraId="65B0F271" w14:textId="77777777" w:rsidR="00454A29" w:rsidRDefault="00454A29">
            <w:pPr>
              <w:pStyle w:val="ConsPlusNormal"/>
              <w:jc w:val="center"/>
            </w:pPr>
            <w:r>
              <w:t>Ср. балл</w:t>
            </w:r>
          </w:p>
        </w:tc>
        <w:tc>
          <w:tcPr>
            <w:tcW w:w="1276" w:type="dxa"/>
            <w:vAlign w:val="center"/>
          </w:tcPr>
          <w:p w14:paraId="5051B6B6" w14:textId="77777777" w:rsidR="00454A29" w:rsidRDefault="00454A29">
            <w:pPr>
              <w:pStyle w:val="ConsPlusNormal"/>
              <w:jc w:val="center"/>
            </w:pPr>
            <w:r>
              <w:t>Ср. балл</w:t>
            </w:r>
          </w:p>
        </w:tc>
        <w:tc>
          <w:tcPr>
            <w:tcW w:w="1276" w:type="dxa"/>
            <w:vAlign w:val="center"/>
          </w:tcPr>
          <w:p w14:paraId="69DB3FE7" w14:textId="77777777" w:rsidR="00454A29" w:rsidRDefault="00454A29">
            <w:pPr>
              <w:pStyle w:val="ConsPlusNormal"/>
              <w:jc w:val="center"/>
            </w:pPr>
            <w:r>
              <w:t>Ср. балл</w:t>
            </w:r>
          </w:p>
        </w:tc>
      </w:tr>
      <w:tr w:rsidR="00454A29" w14:paraId="5D8ED1AA" w14:textId="77777777">
        <w:tc>
          <w:tcPr>
            <w:tcW w:w="567" w:type="dxa"/>
            <w:vAlign w:val="center"/>
          </w:tcPr>
          <w:p w14:paraId="05A7D466" w14:textId="77777777" w:rsidR="00454A29" w:rsidRDefault="00454A29">
            <w:pPr>
              <w:pStyle w:val="ConsPlusNormal"/>
              <w:jc w:val="center"/>
            </w:pPr>
            <w:r>
              <w:t>1</w:t>
            </w:r>
          </w:p>
        </w:tc>
        <w:tc>
          <w:tcPr>
            <w:tcW w:w="2098" w:type="dxa"/>
            <w:vAlign w:val="center"/>
          </w:tcPr>
          <w:p w14:paraId="128BFEA9" w14:textId="77777777" w:rsidR="00454A29" w:rsidRDefault="00454A29">
            <w:pPr>
              <w:pStyle w:val="ConsPlusNormal"/>
            </w:pPr>
            <w:r>
              <w:t>Математика</w:t>
            </w:r>
          </w:p>
        </w:tc>
        <w:tc>
          <w:tcPr>
            <w:tcW w:w="1276" w:type="dxa"/>
            <w:vAlign w:val="center"/>
          </w:tcPr>
          <w:p w14:paraId="1FB55650" w14:textId="77777777" w:rsidR="00454A29" w:rsidRDefault="00454A29">
            <w:pPr>
              <w:pStyle w:val="ConsPlusNormal"/>
              <w:jc w:val="center"/>
            </w:pPr>
            <w:r>
              <w:t>51,34</w:t>
            </w:r>
          </w:p>
        </w:tc>
        <w:tc>
          <w:tcPr>
            <w:tcW w:w="1276" w:type="dxa"/>
            <w:vAlign w:val="center"/>
          </w:tcPr>
          <w:p w14:paraId="0ABD0864" w14:textId="77777777" w:rsidR="00454A29" w:rsidRDefault="00454A29">
            <w:pPr>
              <w:pStyle w:val="ConsPlusNormal"/>
              <w:jc w:val="center"/>
            </w:pPr>
            <w:r>
              <w:t>55,5</w:t>
            </w:r>
          </w:p>
        </w:tc>
        <w:tc>
          <w:tcPr>
            <w:tcW w:w="1304" w:type="dxa"/>
            <w:vAlign w:val="center"/>
          </w:tcPr>
          <w:p w14:paraId="10F7A931" w14:textId="77777777" w:rsidR="00454A29" w:rsidRDefault="00454A29">
            <w:pPr>
              <w:pStyle w:val="ConsPlusNormal"/>
              <w:jc w:val="center"/>
            </w:pPr>
            <w:r>
              <w:t>63</w:t>
            </w:r>
          </w:p>
        </w:tc>
        <w:tc>
          <w:tcPr>
            <w:tcW w:w="1276" w:type="dxa"/>
            <w:vAlign w:val="center"/>
          </w:tcPr>
          <w:p w14:paraId="08226D82" w14:textId="77777777" w:rsidR="00454A29" w:rsidRDefault="00454A29">
            <w:pPr>
              <w:pStyle w:val="ConsPlusNormal"/>
              <w:jc w:val="center"/>
            </w:pPr>
            <w:r>
              <w:t>53,66</w:t>
            </w:r>
          </w:p>
        </w:tc>
        <w:tc>
          <w:tcPr>
            <w:tcW w:w="1276" w:type="dxa"/>
            <w:vAlign w:val="center"/>
          </w:tcPr>
          <w:p w14:paraId="2BCFCA40" w14:textId="77777777" w:rsidR="00454A29" w:rsidRDefault="00454A29">
            <w:pPr>
              <w:pStyle w:val="ConsPlusNormal"/>
              <w:jc w:val="center"/>
            </w:pPr>
            <w:r>
              <w:t>64,9</w:t>
            </w:r>
          </w:p>
        </w:tc>
      </w:tr>
      <w:tr w:rsidR="00454A29" w14:paraId="2AB3B71A" w14:textId="77777777">
        <w:tc>
          <w:tcPr>
            <w:tcW w:w="567" w:type="dxa"/>
            <w:vAlign w:val="center"/>
          </w:tcPr>
          <w:p w14:paraId="4B0E4D7C" w14:textId="77777777" w:rsidR="00454A29" w:rsidRDefault="00454A29">
            <w:pPr>
              <w:pStyle w:val="ConsPlusNormal"/>
              <w:jc w:val="center"/>
            </w:pPr>
            <w:r>
              <w:t>2</w:t>
            </w:r>
          </w:p>
        </w:tc>
        <w:tc>
          <w:tcPr>
            <w:tcW w:w="2098" w:type="dxa"/>
            <w:vAlign w:val="center"/>
          </w:tcPr>
          <w:p w14:paraId="7EBF6902" w14:textId="77777777" w:rsidR="00454A29" w:rsidRDefault="00454A29">
            <w:pPr>
              <w:pStyle w:val="ConsPlusNormal"/>
            </w:pPr>
            <w:r>
              <w:t>Русский язык</w:t>
            </w:r>
          </w:p>
        </w:tc>
        <w:tc>
          <w:tcPr>
            <w:tcW w:w="1276" w:type="dxa"/>
            <w:vAlign w:val="center"/>
          </w:tcPr>
          <w:p w14:paraId="102C5F33" w14:textId="77777777" w:rsidR="00454A29" w:rsidRDefault="00454A29">
            <w:pPr>
              <w:pStyle w:val="ConsPlusNormal"/>
              <w:jc w:val="center"/>
            </w:pPr>
            <w:r>
              <w:t>68,16</w:t>
            </w:r>
          </w:p>
        </w:tc>
        <w:tc>
          <w:tcPr>
            <w:tcW w:w="1276" w:type="dxa"/>
            <w:vAlign w:val="center"/>
          </w:tcPr>
          <w:p w14:paraId="114CE98B" w14:textId="77777777" w:rsidR="00454A29" w:rsidRDefault="00454A29">
            <w:pPr>
              <w:pStyle w:val="ConsPlusNormal"/>
              <w:jc w:val="center"/>
            </w:pPr>
            <w:r>
              <w:t>70,7</w:t>
            </w:r>
          </w:p>
        </w:tc>
        <w:tc>
          <w:tcPr>
            <w:tcW w:w="1304" w:type="dxa"/>
            <w:vAlign w:val="center"/>
          </w:tcPr>
          <w:p w14:paraId="4EA82DF2" w14:textId="77777777" w:rsidR="00454A29" w:rsidRDefault="00454A29">
            <w:pPr>
              <w:pStyle w:val="ConsPlusNormal"/>
              <w:jc w:val="center"/>
            </w:pPr>
            <w:r>
              <w:t>73</w:t>
            </w:r>
          </w:p>
        </w:tc>
        <w:tc>
          <w:tcPr>
            <w:tcW w:w="1276" w:type="dxa"/>
            <w:vAlign w:val="center"/>
          </w:tcPr>
          <w:p w14:paraId="24F77C73" w14:textId="77777777" w:rsidR="00454A29" w:rsidRDefault="00454A29">
            <w:pPr>
              <w:pStyle w:val="ConsPlusNormal"/>
              <w:jc w:val="center"/>
            </w:pPr>
            <w:r>
              <w:t>72,14</w:t>
            </w:r>
          </w:p>
        </w:tc>
        <w:tc>
          <w:tcPr>
            <w:tcW w:w="1276" w:type="dxa"/>
            <w:vAlign w:val="center"/>
          </w:tcPr>
          <w:p w14:paraId="456E11F5" w14:textId="77777777" w:rsidR="00454A29" w:rsidRDefault="00454A29">
            <w:pPr>
              <w:pStyle w:val="ConsPlusNormal"/>
              <w:jc w:val="center"/>
            </w:pPr>
            <w:r>
              <w:t>74,6</w:t>
            </w:r>
          </w:p>
        </w:tc>
      </w:tr>
      <w:tr w:rsidR="00454A29" w14:paraId="08B29F78" w14:textId="77777777">
        <w:tc>
          <w:tcPr>
            <w:tcW w:w="567" w:type="dxa"/>
            <w:vAlign w:val="center"/>
          </w:tcPr>
          <w:p w14:paraId="4B8424C8" w14:textId="77777777" w:rsidR="00454A29" w:rsidRDefault="00454A29">
            <w:pPr>
              <w:pStyle w:val="ConsPlusNormal"/>
              <w:jc w:val="center"/>
            </w:pPr>
            <w:r>
              <w:t>3</w:t>
            </w:r>
          </w:p>
        </w:tc>
        <w:tc>
          <w:tcPr>
            <w:tcW w:w="2098" w:type="dxa"/>
            <w:vAlign w:val="center"/>
          </w:tcPr>
          <w:p w14:paraId="2783D94F" w14:textId="77777777" w:rsidR="00454A29" w:rsidRDefault="00454A29">
            <w:pPr>
              <w:pStyle w:val="ConsPlusNormal"/>
            </w:pPr>
            <w:r>
              <w:t>Физика</w:t>
            </w:r>
          </w:p>
        </w:tc>
        <w:tc>
          <w:tcPr>
            <w:tcW w:w="1276" w:type="dxa"/>
            <w:vAlign w:val="center"/>
          </w:tcPr>
          <w:p w14:paraId="08347E93" w14:textId="77777777" w:rsidR="00454A29" w:rsidRDefault="00454A29">
            <w:pPr>
              <w:pStyle w:val="ConsPlusNormal"/>
              <w:jc w:val="center"/>
            </w:pPr>
            <w:r>
              <w:t>51,9</w:t>
            </w:r>
          </w:p>
        </w:tc>
        <w:tc>
          <w:tcPr>
            <w:tcW w:w="1276" w:type="dxa"/>
            <w:vAlign w:val="center"/>
          </w:tcPr>
          <w:p w14:paraId="60E87CD5" w14:textId="77777777" w:rsidR="00454A29" w:rsidRDefault="00454A29">
            <w:pPr>
              <w:pStyle w:val="ConsPlusNormal"/>
              <w:jc w:val="center"/>
            </w:pPr>
            <w:r>
              <w:t>48,9</w:t>
            </w:r>
          </w:p>
        </w:tc>
        <w:tc>
          <w:tcPr>
            <w:tcW w:w="1304" w:type="dxa"/>
            <w:vAlign w:val="center"/>
          </w:tcPr>
          <w:p w14:paraId="5209D065" w14:textId="77777777" w:rsidR="00454A29" w:rsidRDefault="00454A29">
            <w:pPr>
              <w:pStyle w:val="ConsPlusNormal"/>
              <w:jc w:val="center"/>
            </w:pPr>
            <w:r>
              <w:t>58</w:t>
            </w:r>
          </w:p>
        </w:tc>
        <w:tc>
          <w:tcPr>
            <w:tcW w:w="1276" w:type="dxa"/>
            <w:vAlign w:val="center"/>
          </w:tcPr>
          <w:p w14:paraId="5D8C8470" w14:textId="77777777" w:rsidR="00454A29" w:rsidRDefault="00454A29">
            <w:pPr>
              <w:pStyle w:val="ConsPlusNormal"/>
              <w:jc w:val="center"/>
            </w:pPr>
            <w:r>
              <w:t>50,32</w:t>
            </w:r>
          </w:p>
        </w:tc>
        <w:tc>
          <w:tcPr>
            <w:tcW w:w="1276" w:type="dxa"/>
            <w:vAlign w:val="center"/>
          </w:tcPr>
          <w:p w14:paraId="72C19D0B" w14:textId="77777777" w:rsidR="00454A29" w:rsidRDefault="00454A29">
            <w:pPr>
              <w:pStyle w:val="ConsPlusNormal"/>
              <w:jc w:val="center"/>
            </w:pPr>
            <w:r>
              <w:t>55</w:t>
            </w:r>
          </w:p>
        </w:tc>
      </w:tr>
      <w:tr w:rsidR="00454A29" w14:paraId="7D1A90C4" w14:textId="77777777">
        <w:tc>
          <w:tcPr>
            <w:tcW w:w="567" w:type="dxa"/>
            <w:vAlign w:val="center"/>
          </w:tcPr>
          <w:p w14:paraId="479C646F" w14:textId="77777777" w:rsidR="00454A29" w:rsidRDefault="00454A29">
            <w:pPr>
              <w:pStyle w:val="ConsPlusNormal"/>
              <w:jc w:val="center"/>
            </w:pPr>
            <w:r>
              <w:t>4</w:t>
            </w:r>
          </w:p>
        </w:tc>
        <w:tc>
          <w:tcPr>
            <w:tcW w:w="2098" w:type="dxa"/>
            <w:vAlign w:val="center"/>
          </w:tcPr>
          <w:p w14:paraId="55C5C5BF" w14:textId="77777777" w:rsidR="00454A29" w:rsidRDefault="00454A29">
            <w:pPr>
              <w:pStyle w:val="ConsPlusNormal"/>
            </w:pPr>
            <w:r>
              <w:t>Информатика</w:t>
            </w:r>
          </w:p>
        </w:tc>
        <w:tc>
          <w:tcPr>
            <w:tcW w:w="1276" w:type="dxa"/>
            <w:vAlign w:val="center"/>
          </w:tcPr>
          <w:p w14:paraId="1F401EE9" w14:textId="77777777" w:rsidR="00454A29" w:rsidRDefault="00454A29">
            <w:pPr>
              <w:pStyle w:val="ConsPlusNormal"/>
              <w:jc w:val="center"/>
            </w:pPr>
            <w:r>
              <w:t>56,7</w:t>
            </w:r>
          </w:p>
        </w:tc>
        <w:tc>
          <w:tcPr>
            <w:tcW w:w="1276" w:type="dxa"/>
            <w:vAlign w:val="center"/>
          </w:tcPr>
          <w:p w14:paraId="79EE810C" w14:textId="77777777" w:rsidR="00454A29" w:rsidRDefault="00454A29">
            <w:pPr>
              <w:pStyle w:val="ConsPlusNormal"/>
              <w:jc w:val="center"/>
            </w:pPr>
            <w:r>
              <w:t>64,3</w:t>
            </w:r>
          </w:p>
        </w:tc>
        <w:tc>
          <w:tcPr>
            <w:tcW w:w="1304" w:type="dxa"/>
            <w:vAlign w:val="center"/>
          </w:tcPr>
          <w:p w14:paraId="4DD9903C" w14:textId="77777777" w:rsidR="00454A29" w:rsidRDefault="00454A29">
            <w:pPr>
              <w:pStyle w:val="ConsPlusNormal"/>
              <w:jc w:val="center"/>
            </w:pPr>
            <w:r>
              <w:t>63</w:t>
            </w:r>
          </w:p>
        </w:tc>
        <w:tc>
          <w:tcPr>
            <w:tcW w:w="1276" w:type="dxa"/>
            <w:vAlign w:val="center"/>
          </w:tcPr>
          <w:p w14:paraId="2E7F36C6" w14:textId="77777777" w:rsidR="00454A29" w:rsidRDefault="00454A29">
            <w:pPr>
              <w:pStyle w:val="ConsPlusNormal"/>
              <w:jc w:val="center"/>
            </w:pPr>
            <w:r>
              <w:t>68,16</w:t>
            </w:r>
          </w:p>
        </w:tc>
        <w:tc>
          <w:tcPr>
            <w:tcW w:w="1276" w:type="dxa"/>
            <w:vAlign w:val="center"/>
          </w:tcPr>
          <w:p w14:paraId="61650FC3" w14:textId="77777777" w:rsidR="00454A29" w:rsidRDefault="00454A29">
            <w:pPr>
              <w:pStyle w:val="ConsPlusNormal"/>
              <w:jc w:val="center"/>
            </w:pPr>
            <w:r>
              <w:t>65,5</w:t>
            </w:r>
          </w:p>
        </w:tc>
      </w:tr>
      <w:tr w:rsidR="00454A29" w14:paraId="4A8CAE0A" w14:textId="77777777">
        <w:tc>
          <w:tcPr>
            <w:tcW w:w="567" w:type="dxa"/>
            <w:vAlign w:val="center"/>
          </w:tcPr>
          <w:p w14:paraId="7F30A2BD" w14:textId="77777777" w:rsidR="00454A29" w:rsidRDefault="00454A29">
            <w:pPr>
              <w:pStyle w:val="ConsPlusNormal"/>
              <w:jc w:val="center"/>
            </w:pPr>
            <w:r>
              <w:t>5</w:t>
            </w:r>
          </w:p>
        </w:tc>
        <w:tc>
          <w:tcPr>
            <w:tcW w:w="2098" w:type="dxa"/>
            <w:vAlign w:val="center"/>
          </w:tcPr>
          <w:p w14:paraId="07E03076" w14:textId="77777777" w:rsidR="00454A29" w:rsidRDefault="00454A29">
            <w:pPr>
              <w:pStyle w:val="ConsPlusNormal"/>
            </w:pPr>
            <w:r>
              <w:t>Биология</w:t>
            </w:r>
          </w:p>
        </w:tc>
        <w:tc>
          <w:tcPr>
            <w:tcW w:w="1276" w:type="dxa"/>
            <w:vAlign w:val="center"/>
          </w:tcPr>
          <w:p w14:paraId="3EAFE5D3" w14:textId="77777777" w:rsidR="00454A29" w:rsidRDefault="00454A29">
            <w:pPr>
              <w:pStyle w:val="ConsPlusNormal"/>
              <w:jc w:val="center"/>
            </w:pPr>
            <w:r>
              <w:t>53,5</w:t>
            </w:r>
          </w:p>
        </w:tc>
        <w:tc>
          <w:tcPr>
            <w:tcW w:w="1276" w:type="dxa"/>
            <w:vAlign w:val="center"/>
          </w:tcPr>
          <w:p w14:paraId="7D10AA03" w14:textId="77777777" w:rsidR="00454A29" w:rsidRDefault="00454A29">
            <w:pPr>
              <w:pStyle w:val="ConsPlusNormal"/>
              <w:jc w:val="center"/>
            </w:pPr>
            <w:r>
              <w:t>60,0</w:t>
            </w:r>
          </w:p>
        </w:tc>
        <w:tc>
          <w:tcPr>
            <w:tcW w:w="1304" w:type="dxa"/>
            <w:vAlign w:val="center"/>
          </w:tcPr>
          <w:p w14:paraId="0357378B" w14:textId="77777777" w:rsidR="00454A29" w:rsidRDefault="00454A29">
            <w:pPr>
              <w:pStyle w:val="ConsPlusNormal"/>
              <w:jc w:val="center"/>
            </w:pPr>
            <w:r>
              <w:t>54</w:t>
            </w:r>
          </w:p>
        </w:tc>
        <w:tc>
          <w:tcPr>
            <w:tcW w:w="1276" w:type="dxa"/>
            <w:vAlign w:val="center"/>
          </w:tcPr>
          <w:p w14:paraId="43FA8C1D" w14:textId="77777777" w:rsidR="00454A29" w:rsidRDefault="00454A29">
            <w:pPr>
              <w:pStyle w:val="ConsPlusNormal"/>
              <w:jc w:val="center"/>
            </w:pPr>
            <w:r>
              <w:t>55,21</w:t>
            </w:r>
          </w:p>
        </w:tc>
        <w:tc>
          <w:tcPr>
            <w:tcW w:w="1276" w:type="dxa"/>
            <w:vAlign w:val="center"/>
          </w:tcPr>
          <w:p w14:paraId="7DDE0C59" w14:textId="77777777" w:rsidR="00454A29" w:rsidRDefault="00454A29">
            <w:pPr>
              <w:pStyle w:val="ConsPlusNormal"/>
              <w:jc w:val="center"/>
            </w:pPr>
            <w:r>
              <w:t>54,18</w:t>
            </w:r>
          </w:p>
        </w:tc>
      </w:tr>
      <w:tr w:rsidR="00454A29" w14:paraId="335BDF88" w14:textId="77777777">
        <w:tc>
          <w:tcPr>
            <w:tcW w:w="567" w:type="dxa"/>
            <w:vAlign w:val="center"/>
          </w:tcPr>
          <w:p w14:paraId="11FD8B47" w14:textId="77777777" w:rsidR="00454A29" w:rsidRDefault="00454A29">
            <w:pPr>
              <w:pStyle w:val="ConsPlusNormal"/>
              <w:jc w:val="center"/>
            </w:pPr>
            <w:r>
              <w:t>6</w:t>
            </w:r>
          </w:p>
        </w:tc>
        <w:tc>
          <w:tcPr>
            <w:tcW w:w="2098" w:type="dxa"/>
            <w:vAlign w:val="center"/>
          </w:tcPr>
          <w:p w14:paraId="46D4EDDF" w14:textId="77777777" w:rsidR="00454A29" w:rsidRDefault="00454A29">
            <w:pPr>
              <w:pStyle w:val="ConsPlusNormal"/>
            </w:pPr>
            <w:r>
              <w:t>Химия</w:t>
            </w:r>
          </w:p>
        </w:tc>
        <w:tc>
          <w:tcPr>
            <w:tcW w:w="1276" w:type="dxa"/>
            <w:vAlign w:val="center"/>
          </w:tcPr>
          <w:p w14:paraId="71B65DFF" w14:textId="77777777" w:rsidR="00454A29" w:rsidRDefault="00454A29">
            <w:pPr>
              <w:pStyle w:val="ConsPlusNormal"/>
              <w:jc w:val="center"/>
            </w:pPr>
            <w:r>
              <w:t>58,4</w:t>
            </w:r>
          </w:p>
        </w:tc>
        <w:tc>
          <w:tcPr>
            <w:tcW w:w="1276" w:type="dxa"/>
            <w:vAlign w:val="center"/>
          </w:tcPr>
          <w:p w14:paraId="7C41059B" w14:textId="77777777" w:rsidR="00454A29" w:rsidRDefault="00454A29">
            <w:pPr>
              <w:pStyle w:val="ConsPlusNormal"/>
              <w:jc w:val="center"/>
            </w:pPr>
            <w:r>
              <w:t>54,1</w:t>
            </w:r>
          </w:p>
        </w:tc>
        <w:tc>
          <w:tcPr>
            <w:tcW w:w="1304" w:type="dxa"/>
            <w:vAlign w:val="center"/>
          </w:tcPr>
          <w:p w14:paraId="658102D1" w14:textId="77777777" w:rsidR="00454A29" w:rsidRDefault="00454A29">
            <w:pPr>
              <w:pStyle w:val="ConsPlusNormal"/>
              <w:jc w:val="center"/>
            </w:pPr>
            <w:r>
              <w:t>55</w:t>
            </w:r>
          </w:p>
        </w:tc>
        <w:tc>
          <w:tcPr>
            <w:tcW w:w="1276" w:type="dxa"/>
            <w:vAlign w:val="center"/>
          </w:tcPr>
          <w:p w14:paraId="21560157" w14:textId="77777777" w:rsidR="00454A29" w:rsidRDefault="00454A29">
            <w:pPr>
              <w:pStyle w:val="ConsPlusNormal"/>
              <w:jc w:val="center"/>
            </w:pPr>
            <w:r>
              <w:t>56,41</w:t>
            </w:r>
          </w:p>
        </w:tc>
        <w:tc>
          <w:tcPr>
            <w:tcW w:w="1276" w:type="dxa"/>
            <w:vAlign w:val="center"/>
          </w:tcPr>
          <w:p w14:paraId="7B7E3248" w14:textId="77777777" w:rsidR="00454A29" w:rsidRDefault="00454A29">
            <w:pPr>
              <w:pStyle w:val="ConsPlusNormal"/>
              <w:jc w:val="center"/>
            </w:pPr>
            <w:r>
              <w:t>52,77</w:t>
            </w:r>
          </w:p>
        </w:tc>
      </w:tr>
      <w:tr w:rsidR="00454A29" w14:paraId="3F373369" w14:textId="77777777">
        <w:tc>
          <w:tcPr>
            <w:tcW w:w="567" w:type="dxa"/>
            <w:vAlign w:val="center"/>
          </w:tcPr>
          <w:p w14:paraId="669B231F" w14:textId="77777777" w:rsidR="00454A29" w:rsidRDefault="00454A29">
            <w:pPr>
              <w:pStyle w:val="ConsPlusNormal"/>
              <w:jc w:val="center"/>
            </w:pPr>
            <w:r>
              <w:t>7</w:t>
            </w:r>
          </w:p>
        </w:tc>
        <w:tc>
          <w:tcPr>
            <w:tcW w:w="2098" w:type="dxa"/>
            <w:vAlign w:val="center"/>
          </w:tcPr>
          <w:p w14:paraId="689F375F" w14:textId="77777777" w:rsidR="00454A29" w:rsidRDefault="00454A29">
            <w:pPr>
              <w:pStyle w:val="ConsPlusNormal"/>
            </w:pPr>
            <w:r>
              <w:t>История</w:t>
            </w:r>
          </w:p>
        </w:tc>
        <w:tc>
          <w:tcPr>
            <w:tcW w:w="1276" w:type="dxa"/>
            <w:vAlign w:val="center"/>
          </w:tcPr>
          <w:p w14:paraId="3F1C32EB" w14:textId="77777777" w:rsidR="00454A29" w:rsidRDefault="00454A29">
            <w:pPr>
              <w:pStyle w:val="ConsPlusNormal"/>
              <w:jc w:val="center"/>
            </w:pPr>
            <w:r>
              <w:t>46,2</w:t>
            </w:r>
          </w:p>
        </w:tc>
        <w:tc>
          <w:tcPr>
            <w:tcW w:w="1276" w:type="dxa"/>
            <w:vAlign w:val="center"/>
          </w:tcPr>
          <w:p w14:paraId="37DA416E" w14:textId="77777777" w:rsidR="00454A29" w:rsidRDefault="00454A29">
            <w:pPr>
              <w:pStyle w:val="ConsPlusNormal"/>
              <w:jc w:val="center"/>
            </w:pPr>
            <w:r>
              <w:t>61,6</w:t>
            </w:r>
          </w:p>
        </w:tc>
        <w:tc>
          <w:tcPr>
            <w:tcW w:w="1304" w:type="dxa"/>
            <w:vAlign w:val="center"/>
          </w:tcPr>
          <w:p w14:paraId="4B0CED8E" w14:textId="77777777" w:rsidR="00454A29" w:rsidRDefault="00454A29">
            <w:pPr>
              <w:pStyle w:val="ConsPlusNormal"/>
              <w:jc w:val="center"/>
            </w:pPr>
            <w:r>
              <w:t>65</w:t>
            </w:r>
          </w:p>
        </w:tc>
        <w:tc>
          <w:tcPr>
            <w:tcW w:w="1276" w:type="dxa"/>
            <w:vAlign w:val="center"/>
          </w:tcPr>
          <w:p w14:paraId="4A023D32" w14:textId="77777777" w:rsidR="00454A29" w:rsidRDefault="00454A29">
            <w:pPr>
              <w:pStyle w:val="ConsPlusNormal"/>
              <w:jc w:val="center"/>
            </w:pPr>
            <w:r>
              <w:t>60,0</w:t>
            </w:r>
          </w:p>
        </w:tc>
        <w:tc>
          <w:tcPr>
            <w:tcW w:w="1276" w:type="dxa"/>
            <w:vAlign w:val="center"/>
          </w:tcPr>
          <w:p w14:paraId="52F2947C" w14:textId="77777777" w:rsidR="00454A29" w:rsidRDefault="00454A29">
            <w:pPr>
              <w:pStyle w:val="ConsPlusNormal"/>
              <w:jc w:val="center"/>
            </w:pPr>
            <w:r>
              <w:t>67,58</w:t>
            </w:r>
          </w:p>
        </w:tc>
      </w:tr>
      <w:tr w:rsidR="00454A29" w14:paraId="1B2695C6" w14:textId="77777777">
        <w:tc>
          <w:tcPr>
            <w:tcW w:w="567" w:type="dxa"/>
            <w:vAlign w:val="center"/>
          </w:tcPr>
          <w:p w14:paraId="43BC1F3B" w14:textId="77777777" w:rsidR="00454A29" w:rsidRDefault="00454A29">
            <w:pPr>
              <w:pStyle w:val="ConsPlusNormal"/>
              <w:jc w:val="center"/>
            </w:pPr>
            <w:r>
              <w:t>8</w:t>
            </w:r>
          </w:p>
        </w:tc>
        <w:tc>
          <w:tcPr>
            <w:tcW w:w="2098" w:type="dxa"/>
            <w:vAlign w:val="center"/>
          </w:tcPr>
          <w:p w14:paraId="2306FD57" w14:textId="77777777" w:rsidR="00454A29" w:rsidRDefault="00454A29">
            <w:pPr>
              <w:pStyle w:val="ConsPlusNormal"/>
            </w:pPr>
            <w:r>
              <w:t>Обществознание</w:t>
            </w:r>
          </w:p>
        </w:tc>
        <w:tc>
          <w:tcPr>
            <w:tcW w:w="1276" w:type="dxa"/>
            <w:vAlign w:val="center"/>
          </w:tcPr>
          <w:p w14:paraId="5E31C374" w14:textId="77777777" w:rsidR="00454A29" w:rsidRDefault="00454A29">
            <w:pPr>
              <w:pStyle w:val="ConsPlusNormal"/>
              <w:jc w:val="center"/>
            </w:pPr>
            <w:r>
              <w:t>53,6</w:t>
            </w:r>
          </w:p>
        </w:tc>
        <w:tc>
          <w:tcPr>
            <w:tcW w:w="1276" w:type="dxa"/>
            <w:vAlign w:val="center"/>
          </w:tcPr>
          <w:p w14:paraId="3624129B" w14:textId="77777777" w:rsidR="00454A29" w:rsidRDefault="00454A29">
            <w:pPr>
              <w:pStyle w:val="ConsPlusNormal"/>
              <w:jc w:val="center"/>
            </w:pPr>
            <w:r>
              <w:t>54,0</w:t>
            </w:r>
          </w:p>
        </w:tc>
        <w:tc>
          <w:tcPr>
            <w:tcW w:w="1304" w:type="dxa"/>
            <w:vAlign w:val="center"/>
          </w:tcPr>
          <w:p w14:paraId="20EA9981" w14:textId="77777777" w:rsidR="00454A29" w:rsidRDefault="00454A29">
            <w:pPr>
              <w:pStyle w:val="ConsPlusNormal"/>
              <w:jc w:val="center"/>
            </w:pPr>
            <w:r>
              <w:t>56</w:t>
            </w:r>
          </w:p>
        </w:tc>
        <w:tc>
          <w:tcPr>
            <w:tcW w:w="1276" w:type="dxa"/>
            <w:vAlign w:val="center"/>
          </w:tcPr>
          <w:p w14:paraId="630FB17E" w14:textId="77777777" w:rsidR="00454A29" w:rsidRDefault="00454A29">
            <w:pPr>
              <w:pStyle w:val="ConsPlusNormal"/>
              <w:jc w:val="center"/>
            </w:pPr>
            <w:r>
              <w:t>72,0</w:t>
            </w:r>
          </w:p>
        </w:tc>
        <w:tc>
          <w:tcPr>
            <w:tcW w:w="1276" w:type="dxa"/>
            <w:vAlign w:val="center"/>
          </w:tcPr>
          <w:p w14:paraId="6C19217C" w14:textId="77777777" w:rsidR="00454A29" w:rsidRDefault="00454A29">
            <w:pPr>
              <w:pStyle w:val="ConsPlusNormal"/>
              <w:jc w:val="center"/>
            </w:pPr>
            <w:r>
              <w:t>60,0</w:t>
            </w:r>
          </w:p>
        </w:tc>
      </w:tr>
      <w:tr w:rsidR="00454A29" w14:paraId="72914573" w14:textId="77777777">
        <w:tc>
          <w:tcPr>
            <w:tcW w:w="567" w:type="dxa"/>
            <w:vAlign w:val="center"/>
          </w:tcPr>
          <w:p w14:paraId="324C8CFF" w14:textId="77777777" w:rsidR="00454A29" w:rsidRDefault="00454A29">
            <w:pPr>
              <w:pStyle w:val="ConsPlusNormal"/>
              <w:jc w:val="center"/>
            </w:pPr>
            <w:r>
              <w:t>9</w:t>
            </w:r>
          </w:p>
        </w:tc>
        <w:tc>
          <w:tcPr>
            <w:tcW w:w="2098" w:type="dxa"/>
            <w:vAlign w:val="center"/>
          </w:tcPr>
          <w:p w14:paraId="3DC9D1BA" w14:textId="77777777" w:rsidR="00454A29" w:rsidRDefault="00454A29">
            <w:pPr>
              <w:pStyle w:val="ConsPlusNormal"/>
            </w:pPr>
            <w:r>
              <w:t>География</w:t>
            </w:r>
          </w:p>
        </w:tc>
        <w:tc>
          <w:tcPr>
            <w:tcW w:w="1276" w:type="dxa"/>
            <w:vAlign w:val="center"/>
          </w:tcPr>
          <w:p w14:paraId="027FA42A" w14:textId="77777777" w:rsidR="00454A29" w:rsidRDefault="00454A29">
            <w:pPr>
              <w:pStyle w:val="ConsPlusNormal"/>
              <w:jc w:val="center"/>
            </w:pPr>
            <w:r>
              <w:t>59,2</w:t>
            </w:r>
          </w:p>
        </w:tc>
        <w:tc>
          <w:tcPr>
            <w:tcW w:w="1276" w:type="dxa"/>
            <w:vAlign w:val="center"/>
          </w:tcPr>
          <w:p w14:paraId="75C99FB1" w14:textId="77777777" w:rsidR="00454A29" w:rsidRDefault="00454A29">
            <w:pPr>
              <w:pStyle w:val="ConsPlusNormal"/>
              <w:jc w:val="center"/>
            </w:pPr>
            <w:r>
              <w:t>62,6</w:t>
            </w:r>
          </w:p>
        </w:tc>
        <w:tc>
          <w:tcPr>
            <w:tcW w:w="1304" w:type="dxa"/>
            <w:vAlign w:val="center"/>
          </w:tcPr>
          <w:p w14:paraId="53005199" w14:textId="77777777" w:rsidR="00454A29" w:rsidRDefault="00454A29">
            <w:pPr>
              <w:pStyle w:val="ConsPlusNormal"/>
              <w:jc w:val="center"/>
            </w:pPr>
            <w:r>
              <w:t>60</w:t>
            </w:r>
          </w:p>
        </w:tc>
        <w:tc>
          <w:tcPr>
            <w:tcW w:w="1276" w:type="dxa"/>
            <w:vAlign w:val="center"/>
          </w:tcPr>
          <w:p w14:paraId="4E473492" w14:textId="77777777" w:rsidR="00454A29" w:rsidRDefault="00454A29">
            <w:pPr>
              <w:pStyle w:val="ConsPlusNormal"/>
              <w:jc w:val="center"/>
            </w:pPr>
            <w:r>
              <w:t>53,87</w:t>
            </w:r>
          </w:p>
        </w:tc>
        <w:tc>
          <w:tcPr>
            <w:tcW w:w="1276" w:type="dxa"/>
            <w:vAlign w:val="center"/>
          </w:tcPr>
          <w:p w14:paraId="1CB8A4A6" w14:textId="77777777" w:rsidR="00454A29" w:rsidRDefault="00454A29">
            <w:pPr>
              <w:pStyle w:val="ConsPlusNormal"/>
              <w:jc w:val="center"/>
            </w:pPr>
            <w:r>
              <w:t>-</w:t>
            </w:r>
          </w:p>
        </w:tc>
      </w:tr>
    </w:tbl>
    <w:p w14:paraId="4A22421D" w14:textId="77777777" w:rsidR="00454A29" w:rsidRDefault="00454A29">
      <w:pPr>
        <w:pStyle w:val="ConsPlusNormal"/>
      </w:pPr>
    </w:p>
    <w:p w14:paraId="1F4F3DC3" w14:textId="77777777" w:rsidR="00454A29" w:rsidRDefault="00454A29">
      <w:pPr>
        <w:pStyle w:val="ConsPlusNormal"/>
        <w:ind w:firstLine="540"/>
        <w:jc w:val="both"/>
      </w:pPr>
      <w:r>
        <w:t>С абитуриентами, прошедшими конкурсный отбор, заключается договор о целевой подготовке специалиста, согласно которому прописываются и утверждаются обязательства сторон.</w:t>
      </w:r>
    </w:p>
    <w:p w14:paraId="3E01128B" w14:textId="77777777" w:rsidR="00454A29" w:rsidRDefault="00454A29">
      <w:pPr>
        <w:pStyle w:val="ConsPlusNormal"/>
        <w:spacing w:before="220"/>
        <w:ind w:firstLine="540"/>
        <w:jc w:val="both"/>
      </w:pPr>
      <w:r>
        <w:t>По окончании обучения выпускник в течение двух месяцев обязан прибыть для работы в распоряжение отраслевого заказчика и отработать по его направлению три года.</w:t>
      </w:r>
    </w:p>
    <w:p w14:paraId="4A313AE2" w14:textId="77777777" w:rsidR="00454A29" w:rsidRDefault="00454A29">
      <w:pPr>
        <w:pStyle w:val="ConsPlusNormal"/>
        <w:spacing w:before="220"/>
        <w:ind w:firstLine="540"/>
        <w:jc w:val="both"/>
      </w:pPr>
      <w:r>
        <w:t>Лица, не исполнившие обязательства по трудоустройству, обязаны в двухмесячный срок с момента неисполнения обязательств возместить в полном объеме расходы, связанные с предоставлением им мер социальной поддержки, а также выплатить штраф в двукратном размере относительно указанных расходов согласно положениям законодательства Российской Федерации.</w:t>
      </w:r>
    </w:p>
    <w:p w14:paraId="5DACC884" w14:textId="77777777" w:rsidR="00454A29" w:rsidRDefault="00454A29">
      <w:pPr>
        <w:pStyle w:val="ConsPlusNormal"/>
        <w:spacing w:before="220"/>
        <w:ind w:firstLine="540"/>
        <w:jc w:val="both"/>
      </w:pPr>
      <w:r>
        <w:t>В настоящее время в рамках целевого обучения проходят обучение 2178 чел. Из них за пределами Республики Саха (Якутия) в 128 образовательных организациях в 26 городах обучается 1115 чел. В пределах территории Республики Саха (Якутия) в рамках целевой подготовки проходят обучение 1063 чел.</w:t>
      </w:r>
    </w:p>
    <w:p w14:paraId="489556AE" w14:textId="77777777" w:rsidR="00454A29" w:rsidRDefault="00454A29">
      <w:pPr>
        <w:pStyle w:val="ConsPlusNormal"/>
        <w:spacing w:before="220"/>
        <w:ind w:firstLine="540"/>
        <w:jc w:val="both"/>
      </w:pPr>
      <w:r>
        <w:t xml:space="preserve">В период обучения студентам, обучающимся на условиях целевого обучения, оказываются </w:t>
      </w:r>
      <w:r>
        <w:lastRenderedPageBreak/>
        <w:t>меры социальной поддержки, предусмотренные в рамках государственной программы:</w:t>
      </w:r>
    </w:p>
    <w:p w14:paraId="242B2C2D" w14:textId="77777777" w:rsidR="00454A29" w:rsidRDefault="00454A29">
      <w:pPr>
        <w:pStyle w:val="ConsPlusNormal"/>
        <w:spacing w:before="220"/>
        <w:ind w:firstLine="540"/>
        <w:jc w:val="both"/>
      </w:pPr>
      <w:r>
        <w:t>а) выплата стипендии;</w:t>
      </w:r>
    </w:p>
    <w:p w14:paraId="274A8175" w14:textId="77777777" w:rsidR="00454A29" w:rsidRDefault="00454A29">
      <w:pPr>
        <w:pStyle w:val="ConsPlusNormal"/>
        <w:spacing w:before="220"/>
        <w:ind w:firstLine="540"/>
        <w:jc w:val="both"/>
      </w:pPr>
      <w:r>
        <w:t>б) оплата проездных;</w:t>
      </w:r>
    </w:p>
    <w:p w14:paraId="70552770" w14:textId="77777777" w:rsidR="00454A29" w:rsidRDefault="00454A29">
      <w:pPr>
        <w:pStyle w:val="ConsPlusNormal"/>
        <w:spacing w:before="220"/>
        <w:ind w:firstLine="540"/>
        <w:jc w:val="both"/>
      </w:pPr>
      <w:r>
        <w:t>в) оплата проживания на период обучения;</w:t>
      </w:r>
    </w:p>
    <w:p w14:paraId="0DD6EDE6" w14:textId="77777777" w:rsidR="00454A29" w:rsidRDefault="00454A29">
      <w:pPr>
        <w:pStyle w:val="ConsPlusNormal"/>
        <w:spacing w:before="220"/>
        <w:ind w:firstLine="540"/>
        <w:jc w:val="both"/>
      </w:pPr>
      <w:r>
        <w:t>г) оплата обучения;</w:t>
      </w:r>
    </w:p>
    <w:p w14:paraId="09714DED" w14:textId="77777777" w:rsidR="00454A29" w:rsidRDefault="00454A29">
      <w:pPr>
        <w:pStyle w:val="ConsPlusNormal"/>
        <w:spacing w:before="220"/>
        <w:ind w:firstLine="540"/>
        <w:jc w:val="both"/>
      </w:pPr>
      <w:r>
        <w:t>д) оказание единовременной материальной помощи.</w:t>
      </w:r>
    </w:p>
    <w:p w14:paraId="5AC72781" w14:textId="77777777" w:rsidR="00454A29" w:rsidRDefault="00454A29">
      <w:pPr>
        <w:pStyle w:val="ConsPlusNormal"/>
        <w:spacing w:before="220"/>
        <w:ind w:firstLine="540"/>
        <w:jc w:val="both"/>
      </w:pPr>
      <w:r>
        <w:t>Среди мер, которые способствуют адаптации студентов в вузе, можно назвать поддержку студентов с низкой успеваемостью и повышение интереса к специальности (через лучших студентов, мастер-классы и пр.).</w:t>
      </w:r>
    </w:p>
    <w:p w14:paraId="254378B9" w14:textId="77777777" w:rsidR="00454A29" w:rsidRDefault="00454A29">
      <w:pPr>
        <w:pStyle w:val="ConsPlusNormal"/>
        <w:spacing w:before="220"/>
        <w:ind w:firstLine="540"/>
        <w:jc w:val="both"/>
      </w:pPr>
      <w:r>
        <w:t>Система подготовки кадров на условиях целевого обучения, реализуемая в республике, является отличительной особенностью, данная практика подготовки кадров уникальна для Российской Федерации и не имеет аналогов в других регионах, эксперты относят ее к одной из лучших среди субъектов Российской Федерации.</w:t>
      </w:r>
    </w:p>
    <w:p w14:paraId="287B2A86" w14:textId="77777777" w:rsidR="00454A29" w:rsidRDefault="00454A29">
      <w:pPr>
        <w:pStyle w:val="ConsPlusNormal"/>
        <w:spacing w:before="220"/>
        <w:ind w:firstLine="540"/>
        <w:jc w:val="both"/>
      </w:pPr>
      <w:r>
        <w:t>Качественное обучение и обеспечение равного доступа к нему для всех детей, независимо от социального, экономического и культурного уровня их семей - одна из ключевых задач системы образования Республики Саха (Якутия).</w:t>
      </w:r>
    </w:p>
    <w:p w14:paraId="181B1DF0" w14:textId="77777777" w:rsidR="00454A29" w:rsidRDefault="00454A29">
      <w:pPr>
        <w:pStyle w:val="ConsPlusNormal"/>
        <w:spacing w:before="220"/>
        <w:ind w:firstLine="540"/>
        <w:jc w:val="both"/>
      </w:pPr>
      <w:r>
        <w:t>По статистическим данным, в системе образования Республики Саха (Якутия) работают 31641 педагог, в том числе 18182 - в общеобразовательных организациях, 3479 - в организациях дополнительного образования детей, 7989 - в дошкольных образовательных организациях, 1991 - в средних специальных образовательных организациях.</w:t>
      </w:r>
    </w:p>
    <w:p w14:paraId="6358500F" w14:textId="77777777" w:rsidR="00454A29" w:rsidRDefault="00454A29">
      <w:pPr>
        <w:pStyle w:val="ConsPlusNormal"/>
        <w:spacing w:before="220"/>
        <w:ind w:firstLine="540"/>
        <w:jc w:val="both"/>
      </w:pPr>
      <w:r>
        <w:t>В общеобразовательных организациях доля педагогических работников с высшим образованием составляет 82,5%, в дошкольных образовательных организациях - 56,9%, в организациях дополнительного образования - 64%. Несмотря на реализацию комплекса мер по привлечению молодых специалистов, доля учителей со стажем работы до 5 лет составляет 14% (по Российской Федерации - 9%).</w:t>
      </w:r>
    </w:p>
    <w:p w14:paraId="4E04416A" w14:textId="77777777" w:rsidR="00454A29" w:rsidRDefault="00454A29">
      <w:pPr>
        <w:pStyle w:val="ConsPlusNormal"/>
        <w:spacing w:before="220"/>
        <w:ind w:firstLine="540"/>
        <w:jc w:val="both"/>
      </w:pPr>
      <w:r>
        <w:t>Доля педагогов пенсионного возраста сохраняется, что соответствует общероссийской тенденции старения педагогических кадров. Одной из главных причин медленного темпа обновления педагогического корпуса является различие доходов работающего учителя и пенсионера.</w:t>
      </w:r>
    </w:p>
    <w:p w14:paraId="144E63EA" w14:textId="77777777" w:rsidR="00454A29" w:rsidRDefault="00454A29">
      <w:pPr>
        <w:pStyle w:val="ConsPlusNormal"/>
        <w:spacing w:before="220"/>
        <w:ind w:firstLine="540"/>
        <w:jc w:val="both"/>
      </w:pPr>
      <w:r>
        <w:t>По итогам комплектования образовательных организаций ежегодно отмечается наличие до 900 вакансий. В 2019 году по итогам комплектования образовательных учреждений республики открыто 860 вакансий, из них: 756 в общеобразовательных учреждениях и учреждениях дополнительного образования, 104 - в дошкольных образовательных организациях. Наибольшее количество вакансий по должностям наблюдается по следующим предметам: начальные классы (76), английский язык (76), русский язык и литература (73), математика (66), педагог-психолог (36), воспитатель ДОУ (48).</w:t>
      </w:r>
    </w:p>
    <w:p w14:paraId="1E5BCAC5" w14:textId="77777777" w:rsidR="00454A29" w:rsidRDefault="00454A29">
      <w:pPr>
        <w:pStyle w:val="ConsPlusNormal"/>
      </w:pPr>
    </w:p>
    <w:p w14:paraId="427EBB56" w14:textId="77777777" w:rsidR="00454A29" w:rsidRDefault="00454A29">
      <w:pPr>
        <w:pStyle w:val="ConsPlusNormal"/>
        <w:jc w:val="right"/>
        <w:outlineLvl w:val="2"/>
      </w:pPr>
      <w:r>
        <w:t>Таблица 4</w:t>
      </w:r>
    </w:p>
    <w:p w14:paraId="12E5AEEE" w14:textId="77777777" w:rsidR="00454A29" w:rsidRDefault="00454A29">
      <w:pPr>
        <w:pStyle w:val="ConsPlusNormal"/>
      </w:pPr>
    </w:p>
    <w:p w14:paraId="1074AE64" w14:textId="77777777" w:rsidR="00454A29" w:rsidRDefault="00454A29">
      <w:pPr>
        <w:pStyle w:val="ConsPlusTitle"/>
        <w:jc w:val="center"/>
      </w:pPr>
      <w:r>
        <w:t>Количество вакансий в образовательных организациях</w:t>
      </w:r>
    </w:p>
    <w:p w14:paraId="6752E235" w14:textId="77777777" w:rsidR="00454A29" w:rsidRDefault="00454A29">
      <w:pPr>
        <w:pStyle w:val="ConsPlusNormal"/>
      </w:pPr>
    </w:p>
    <w:p w14:paraId="71BCE7B6" w14:textId="77777777" w:rsidR="00454A29" w:rsidRDefault="00454A29">
      <w:pPr>
        <w:sectPr w:rsidR="00454A29" w:rsidSect="00B771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94"/>
        <w:gridCol w:w="774"/>
        <w:gridCol w:w="774"/>
        <w:gridCol w:w="774"/>
        <w:gridCol w:w="774"/>
        <w:gridCol w:w="774"/>
        <w:gridCol w:w="774"/>
        <w:gridCol w:w="794"/>
        <w:gridCol w:w="794"/>
        <w:gridCol w:w="794"/>
      </w:tblGrid>
      <w:tr w:rsidR="00454A29" w14:paraId="08124C1D" w14:textId="77777777">
        <w:tc>
          <w:tcPr>
            <w:tcW w:w="2381" w:type="dxa"/>
            <w:vMerge w:val="restart"/>
            <w:vAlign w:val="center"/>
          </w:tcPr>
          <w:p w14:paraId="771236DC" w14:textId="77777777" w:rsidR="00454A29" w:rsidRDefault="00454A29">
            <w:pPr>
              <w:pStyle w:val="ConsPlusNormal"/>
              <w:jc w:val="center"/>
            </w:pPr>
            <w:r>
              <w:lastRenderedPageBreak/>
              <w:t>Районы</w:t>
            </w:r>
          </w:p>
        </w:tc>
        <w:tc>
          <w:tcPr>
            <w:tcW w:w="7820" w:type="dxa"/>
            <w:gridSpan w:val="10"/>
          </w:tcPr>
          <w:p w14:paraId="10CF9EF8" w14:textId="77777777" w:rsidR="00454A29" w:rsidRDefault="00454A29">
            <w:pPr>
              <w:pStyle w:val="ConsPlusNormal"/>
              <w:jc w:val="center"/>
            </w:pPr>
            <w:r>
              <w:t>Учебный год</w:t>
            </w:r>
          </w:p>
        </w:tc>
      </w:tr>
      <w:tr w:rsidR="00454A29" w14:paraId="61FF4ECB" w14:textId="77777777">
        <w:tc>
          <w:tcPr>
            <w:tcW w:w="2381" w:type="dxa"/>
            <w:vMerge/>
          </w:tcPr>
          <w:p w14:paraId="40FEBAF8" w14:textId="77777777" w:rsidR="00454A29" w:rsidRDefault="00454A29"/>
        </w:tc>
        <w:tc>
          <w:tcPr>
            <w:tcW w:w="794" w:type="dxa"/>
            <w:vAlign w:val="center"/>
          </w:tcPr>
          <w:p w14:paraId="07578C0C" w14:textId="77777777" w:rsidR="00454A29" w:rsidRDefault="00454A29">
            <w:pPr>
              <w:pStyle w:val="ConsPlusNormal"/>
              <w:jc w:val="center"/>
            </w:pPr>
            <w:r>
              <w:t>2010 - 2011</w:t>
            </w:r>
          </w:p>
        </w:tc>
        <w:tc>
          <w:tcPr>
            <w:tcW w:w="774" w:type="dxa"/>
            <w:vAlign w:val="center"/>
          </w:tcPr>
          <w:p w14:paraId="44A45491" w14:textId="77777777" w:rsidR="00454A29" w:rsidRDefault="00454A29">
            <w:pPr>
              <w:pStyle w:val="ConsPlusNormal"/>
              <w:jc w:val="center"/>
            </w:pPr>
            <w:r>
              <w:t>2011 - 2012</w:t>
            </w:r>
          </w:p>
        </w:tc>
        <w:tc>
          <w:tcPr>
            <w:tcW w:w="774" w:type="dxa"/>
            <w:vAlign w:val="center"/>
          </w:tcPr>
          <w:p w14:paraId="6F4D1EF5" w14:textId="77777777" w:rsidR="00454A29" w:rsidRDefault="00454A29">
            <w:pPr>
              <w:pStyle w:val="ConsPlusNormal"/>
              <w:jc w:val="center"/>
            </w:pPr>
            <w:r>
              <w:t>2012 - 2013</w:t>
            </w:r>
          </w:p>
        </w:tc>
        <w:tc>
          <w:tcPr>
            <w:tcW w:w="774" w:type="dxa"/>
            <w:vAlign w:val="center"/>
          </w:tcPr>
          <w:p w14:paraId="7CA98680" w14:textId="77777777" w:rsidR="00454A29" w:rsidRDefault="00454A29">
            <w:pPr>
              <w:pStyle w:val="ConsPlusNormal"/>
              <w:jc w:val="center"/>
            </w:pPr>
            <w:r>
              <w:t>2013 - 2014</w:t>
            </w:r>
          </w:p>
        </w:tc>
        <w:tc>
          <w:tcPr>
            <w:tcW w:w="774" w:type="dxa"/>
            <w:vAlign w:val="center"/>
          </w:tcPr>
          <w:p w14:paraId="0E99D31D" w14:textId="77777777" w:rsidR="00454A29" w:rsidRDefault="00454A29">
            <w:pPr>
              <w:pStyle w:val="ConsPlusNormal"/>
              <w:jc w:val="center"/>
            </w:pPr>
            <w:r>
              <w:t>2014 - 2015</w:t>
            </w:r>
          </w:p>
        </w:tc>
        <w:tc>
          <w:tcPr>
            <w:tcW w:w="774" w:type="dxa"/>
            <w:vAlign w:val="center"/>
          </w:tcPr>
          <w:p w14:paraId="3E44C7B1" w14:textId="77777777" w:rsidR="00454A29" w:rsidRDefault="00454A29">
            <w:pPr>
              <w:pStyle w:val="ConsPlusNormal"/>
              <w:jc w:val="center"/>
            </w:pPr>
            <w:r>
              <w:t>2015 - 2016</w:t>
            </w:r>
          </w:p>
        </w:tc>
        <w:tc>
          <w:tcPr>
            <w:tcW w:w="774" w:type="dxa"/>
            <w:vAlign w:val="center"/>
          </w:tcPr>
          <w:p w14:paraId="6FADA811" w14:textId="77777777" w:rsidR="00454A29" w:rsidRDefault="00454A29">
            <w:pPr>
              <w:pStyle w:val="ConsPlusNormal"/>
              <w:jc w:val="center"/>
            </w:pPr>
            <w:r>
              <w:t>2016 - 2017</w:t>
            </w:r>
          </w:p>
        </w:tc>
        <w:tc>
          <w:tcPr>
            <w:tcW w:w="794" w:type="dxa"/>
            <w:vAlign w:val="center"/>
          </w:tcPr>
          <w:p w14:paraId="74157B0D" w14:textId="77777777" w:rsidR="00454A29" w:rsidRDefault="00454A29">
            <w:pPr>
              <w:pStyle w:val="ConsPlusNormal"/>
              <w:jc w:val="center"/>
            </w:pPr>
            <w:r>
              <w:t>2017 - 2018</w:t>
            </w:r>
          </w:p>
        </w:tc>
        <w:tc>
          <w:tcPr>
            <w:tcW w:w="794" w:type="dxa"/>
            <w:vAlign w:val="center"/>
          </w:tcPr>
          <w:p w14:paraId="771E8AB2" w14:textId="77777777" w:rsidR="00454A29" w:rsidRDefault="00454A29">
            <w:pPr>
              <w:pStyle w:val="ConsPlusNormal"/>
              <w:jc w:val="center"/>
            </w:pPr>
            <w:r>
              <w:t>2018 - 2019</w:t>
            </w:r>
          </w:p>
        </w:tc>
        <w:tc>
          <w:tcPr>
            <w:tcW w:w="794" w:type="dxa"/>
            <w:vAlign w:val="center"/>
          </w:tcPr>
          <w:p w14:paraId="69BBBAEF" w14:textId="77777777" w:rsidR="00454A29" w:rsidRDefault="00454A29">
            <w:pPr>
              <w:pStyle w:val="ConsPlusNormal"/>
              <w:jc w:val="center"/>
            </w:pPr>
            <w:r>
              <w:t>2019 - 2020</w:t>
            </w:r>
          </w:p>
        </w:tc>
      </w:tr>
      <w:tr w:rsidR="00454A29" w14:paraId="04EBE686" w14:textId="77777777">
        <w:tc>
          <w:tcPr>
            <w:tcW w:w="2381" w:type="dxa"/>
            <w:vAlign w:val="center"/>
          </w:tcPr>
          <w:p w14:paraId="1A7EB823" w14:textId="77777777" w:rsidR="00454A29" w:rsidRDefault="00454A29">
            <w:pPr>
              <w:pStyle w:val="ConsPlusNormal"/>
              <w:jc w:val="both"/>
            </w:pPr>
            <w:r>
              <w:t>Северные и арктические районы</w:t>
            </w:r>
          </w:p>
        </w:tc>
        <w:tc>
          <w:tcPr>
            <w:tcW w:w="794" w:type="dxa"/>
          </w:tcPr>
          <w:p w14:paraId="0A6AC9E5" w14:textId="77777777" w:rsidR="00454A29" w:rsidRDefault="00454A29">
            <w:pPr>
              <w:pStyle w:val="ConsPlusNormal"/>
              <w:jc w:val="center"/>
            </w:pPr>
            <w:r>
              <w:t>148</w:t>
            </w:r>
          </w:p>
        </w:tc>
        <w:tc>
          <w:tcPr>
            <w:tcW w:w="774" w:type="dxa"/>
          </w:tcPr>
          <w:p w14:paraId="3DD00BFE" w14:textId="77777777" w:rsidR="00454A29" w:rsidRDefault="00454A29">
            <w:pPr>
              <w:pStyle w:val="ConsPlusNormal"/>
              <w:jc w:val="center"/>
            </w:pPr>
            <w:r>
              <w:t>180</w:t>
            </w:r>
          </w:p>
        </w:tc>
        <w:tc>
          <w:tcPr>
            <w:tcW w:w="774" w:type="dxa"/>
          </w:tcPr>
          <w:p w14:paraId="7168D2C8" w14:textId="77777777" w:rsidR="00454A29" w:rsidRDefault="00454A29">
            <w:pPr>
              <w:pStyle w:val="ConsPlusNormal"/>
              <w:jc w:val="center"/>
            </w:pPr>
            <w:r>
              <w:t>283</w:t>
            </w:r>
          </w:p>
        </w:tc>
        <w:tc>
          <w:tcPr>
            <w:tcW w:w="774" w:type="dxa"/>
          </w:tcPr>
          <w:p w14:paraId="5D6B35BF" w14:textId="77777777" w:rsidR="00454A29" w:rsidRDefault="00454A29">
            <w:pPr>
              <w:pStyle w:val="ConsPlusNormal"/>
              <w:jc w:val="center"/>
            </w:pPr>
            <w:r>
              <w:t>289</w:t>
            </w:r>
          </w:p>
        </w:tc>
        <w:tc>
          <w:tcPr>
            <w:tcW w:w="774" w:type="dxa"/>
          </w:tcPr>
          <w:p w14:paraId="74F9BA39" w14:textId="77777777" w:rsidR="00454A29" w:rsidRDefault="00454A29">
            <w:pPr>
              <w:pStyle w:val="ConsPlusNormal"/>
              <w:jc w:val="center"/>
            </w:pPr>
            <w:r>
              <w:t>254</w:t>
            </w:r>
          </w:p>
        </w:tc>
        <w:tc>
          <w:tcPr>
            <w:tcW w:w="774" w:type="dxa"/>
          </w:tcPr>
          <w:p w14:paraId="2B6A14BE" w14:textId="77777777" w:rsidR="00454A29" w:rsidRDefault="00454A29">
            <w:pPr>
              <w:pStyle w:val="ConsPlusNormal"/>
              <w:jc w:val="center"/>
            </w:pPr>
            <w:r>
              <w:t>248</w:t>
            </w:r>
          </w:p>
        </w:tc>
        <w:tc>
          <w:tcPr>
            <w:tcW w:w="774" w:type="dxa"/>
          </w:tcPr>
          <w:p w14:paraId="1FAA9691" w14:textId="77777777" w:rsidR="00454A29" w:rsidRDefault="00454A29">
            <w:pPr>
              <w:pStyle w:val="ConsPlusNormal"/>
              <w:jc w:val="center"/>
            </w:pPr>
            <w:r>
              <w:t>266</w:t>
            </w:r>
          </w:p>
        </w:tc>
        <w:tc>
          <w:tcPr>
            <w:tcW w:w="794" w:type="dxa"/>
          </w:tcPr>
          <w:p w14:paraId="6E5EEE79" w14:textId="77777777" w:rsidR="00454A29" w:rsidRDefault="00454A29">
            <w:pPr>
              <w:pStyle w:val="ConsPlusNormal"/>
              <w:jc w:val="center"/>
            </w:pPr>
            <w:r>
              <w:t>278</w:t>
            </w:r>
          </w:p>
        </w:tc>
        <w:tc>
          <w:tcPr>
            <w:tcW w:w="794" w:type="dxa"/>
          </w:tcPr>
          <w:p w14:paraId="4AEF81D5" w14:textId="77777777" w:rsidR="00454A29" w:rsidRDefault="00454A29">
            <w:pPr>
              <w:pStyle w:val="ConsPlusNormal"/>
              <w:jc w:val="center"/>
            </w:pPr>
            <w:r>
              <w:t>224</w:t>
            </w:r>
          </w:p>
        </w:tc>
        <w:tc>
          <w:tcPr>
            <w:tcW w:w="794" w:type="dxa"/>
          </w:tcPr>
          <w:p w14:paraId="6154952E" w14:textId="77777777" w:rsidR="00454A29" w:rsidRDefault="00454A29">
            <w:pPr>
              <w:pStyle w:val="ConsPlusNormal"/>
              <w:jc w:val="center"/>
            </w:pPr>
            <w:r>
              <w:t>263</w:t>
            </w:r>
          </w:p>
        </w:tc>
      </w:tr>
      <w:tr w:rsidR="00454A29" w14:paraId="10BA3BA4" w14:textId="77777777">
        <w:tc>
          <w:tcPr>
            <w:tcW w:w="2381" w:type="dxa"/>
            <w:vAlign w:val="center"/>
          </w:tcPr>
          <w:p w14:paraId="68F749DD" w14:textId="77777777" w:rsidR="00454A29" w:rsidRDefault="00454A29">
            <w:pPr>
              <w:pStyle w:val="ConsPlusNormal"/>
              <w:jc w:val="both"/>
            </w:pPr>
            <w:r>
              <w:t>Вилюйская группа улусов</w:t>
            </w:r>
          </w:p>
        </w:tc>
        <w:tc>
          <w:tcPr>
            <w:tcW w:w="794" w:type="dxa"/>
          </w:tcPr>
          <w:p w14:paraId="71D9A369" w14:textId="77777777" w:rsidR="00454A29" w:rsidRDefault="00454A29">
            <w:pPr>
              <w:pStyle w:val="ConsPlusNormal"/>
              <w:jc w:val="center"/>
            </w:pPr>
            <w:r>
              <w:t>76</w:t>
            </w:r>
          </w:p>
        </w:tc>
        <w:tc>
          <w:tcPr>
            <w:tcW w:w="774" w:type="dxa"/>
          </w:tcPr>
          <w:p w14:paraId="455EE436" w14:textId="77777777" w:rsidR="00454A29" w:rsidRDefault="00454A29">
            <w:pPr>
              <w:pStyle w:val="ConsPlusNormal"/>
              <w:jc w:val="center"/>
            </w:pPr>
            <w:r>
              <w:t>82</w:t>
            </w:r>
          </w:p>
        </w:tc>
        <w:tc>
          <w:tcPr>
            <w:tcW w:w="774" w:type="dxa"/>
          </w:tcPr>
          <w:p w14:paraId="6465C933" w14:textId="77777777" w:rsidR="00454A29" w:rsidRDefault="00454A29">
            <w:pPr>
              <w:pStyle w:val="ConsPlusNormal"/>
              <w:jc w:val="center"/>
            </w:pPr>
            <w:r>
              <w:t>112</w:t>
            </w:r>
          </w:p>
        </w:tc>
        <w:tc>
          <w:tcPr>
            <w:tcW w:w="774" w:type="dxa"/>
          </w:tcPr>
          <w:p w14:paraId="2FE4A4B6" w14:textId="77777777" w:rsidR="00454A29" w:rsidRDefault="00454A29">
            <w:pPr>
              <w:pStyle w:val="ConsPlusNormal"/>
              <w:jc w:val="center"/>
            </w:pPr>
            <w:r>
              <w:t>213</w:t>
            </w:r>
          </w:p>
        </w:tc>
        <w:tc>
          <w:tcPr>
            <w:tcW w:w="774" w:type="dxa"/>
          </w:tcPr>
          <w:p w14:paraId="718FA544" w14:textId="77777777" w:rsidR="00454A29" w:rsidRDefault="00454A29">
            <w:pPr>
              <w:pStyle w:val="ConsPlusNormal"/>
              <w:jc w:val="center"/>
            </w:pPr>
            <w:r>
              <w:t>122</w:t>
            </w:r>
          </w:p>
        </w:tc>
        <w:tc>
          <w:tcPr>
            <w:tcW w:w="774" w:type="dxa"/>
          </w:tcPr>
          <w:p w14:paraId="2EC42906" w14:textId="77777777" w:rsidR="00454A29" w:rsidRDefault="00454A29">
            <w:pPr>
              <w:pStyle w:val="ConsPlusNormal"/>
              <w:jc w:val="center"/>
            </w:pPr>
            <w:r>
              <w:t>132</w:t>
            </w:r>
          </w:p>
        </w:tc>
        <w:tc>
          <w:tcPr>
            <w:tcW w:w="774" w:type="dxa"/>
          </w:tcPr>
          <w:p w14:paraId="3666A6D1" w14:textId="77777777" w:rsidR="00454A29" w:rsidRDefault="00454A29">
            <w:pPr>
              <w:pStyle w:val="ConsPlusNormal"/>
              <w:jc w:val="center"/>
            </w:pPr>
            <w:r>
              <w:t>172</w:t>
            </w:r>
          </w:p>
        </w:tc>
        <w:tc>
          <w:tcPr>
            <w:tcW w:w="794" w:type="dxa"/>
          </w:tcPr>
          <w:p w14:paraId="1B1A7F63" w14:textId="77777777" w:rsidR="00454A29" w:rsidRDefault="00454A29">
            <w:pPr>
              <w:pStyle w:val="ConsPlusNormal"/>
              <w:jc w:val="center"/>
            </w:pPr>
            <w:r>
              <w:t>144</w:t>
            </w:r>
          </w:p>
        </w:tc>
        <w:tc>
          <w:tcPr>
            <w:tcW w:w="794" w:type="dxa"/>
          </w:tcPr>
          <w:p w14:paraId="6295BC2C" w14:textId="77777777" w:rsidR="00454A29" w:rsidRDefault="00454A29">
            <w:pPr>
              <w:pStyle w:val="ConsPlusNormal"/>
              <w:jc w:val="center"/>
            </w:pPr>
            <w:r>
              <w:t>174</w:t>
            </w:r>
          </w:p>
        </w:tc>
        <w:tc>
          <w:tcPr>
            <w:tcW w:w="794" w:type="dxa"/>
          </w:tcPr>
          <w:p w14:paraId="2560E191" w14:textId="77777777" w:rsidR="00454A29" w:rsidRDefault="00454A29">
            <w:pPr>
              <w:pStyle w:val="ConsPlusNormal"/>
              <w:jc w:val="center"/>
            </w:pPr>
            <w:r>
              <w:t>159</w:t>
            </w:r>
          </w:p>
        </w:tc>
      </w:tr>
      <w:tr w:rsidR="00454A29" w14:paraId="43A344E1" w14:textId="77777777">
        <w:tc>
          <w:tcPr>
            <w:tcW w:w="2381" w:type="dxa"/>
            <w:vAlign w:val="center"/>
          </w:tcPr>
          <w:p w14:paraId="538EAC63" w14:textId="77777777" w:rsidR="00454A29" w:rsidRDefault="00454A29">
            <w:pPr>
              <w:pStyle w:val="ConsPlusNormal"/>
              <w:jc w:val="both"/>
            </w:pPr>
            <w:r>
              <w:t>Центральная группа улусов</w:t>
            </w:r>
          </w:p>
        </w:tc>
        <w:tc>
          <w:tcPr>
            <w:tcW w:w="794" w:type="dxa"/>
          </w:tcPr>
          <w:p w14:paraId="23783971" w14:textId="77777777" w:rsidR="00454A29" w:rsidRDefault="00454A29">
            <w:pPr>
              <w:pStyle w:val="ConsPlusNormal"/>
              <w:jc w:val="center"/>
            </w:pPr>
            <w:r>
              <w:t>174</w:t>
            </w:r>
          </w:p>
        </w:tc>
        <w:tc>
          <w:tcPr>
            <w:tcW w:w="774" w:type="dxa"/>
          </w:tcPr>
          <w:p w14:paraId="564077F8" w14:textId="77777777" w:rsidR="00454A29" w:rsidRDefault="00454A29">
            <w:pPr>
              <w:pStyle w:val="ConsPlusNormal"/>
              <w:jc w:val="center"/>
            </w:pPr>
            <w:r>
              <w:t>206</w:t>
            </w:r>
          </w:p>
        </w:tc>
        <w:tc>
          <w:tcPr>
            <w:tcW w:w="774" w:type="dxa"/>
          </w:tcPr>
          <w:p w14:paraId="02474FB9" w14:textId="77777777" w:rsidR="00454A29" w:rsidRDefault="00454A29">
            <w:pPr>
              <w:pStyle w:val="ConsPlusNormal"/>
              <w:jc w:val="center"/>
            </w:pPr>
            <w:r>
              <w:t>217</w:t>
            </w:r>
          </w:p>
        </w:tc>
        <w:tc>
          <w:tcPr>
            <w:tcW w:w="774" w:type="dxa"/>
          </w:tcPr>
          <w:p w14:paraId="04CA0B88" w14:textId="77777777" w:rsidR="00454A29" w:rsidRDefault="00454A29">
            <w:pPr>
              <w:pStyle w:val="ConsPlusNormal"/>
              <w:jc w:val="center"/>
            </w:pPr>
            <w:r>
              <w:t>297</w:t>
            </w:r>
          </w:p>
        </w:tc>
        <w:tc>
          <w:tcPr>
            <w:tcW w:w="774" w:type="dxa"/>
          </w:tcPr>
          <w:p w14:paraId="56291109" w14:textId="77777777" w:rsidR="00454A29" w:rsidRDefault="00454A29">
            <w:pPr>
              <w:pStyle w:val="ConsPlusNormal"/>
              <w:jc w:val="center"/>
            </w:pPr>
            <w:r>
              <w:t>180</w:t>
            </w:r>
          </w:p>
        </w:tc>
        <w:tc>
          <w:tcPr>
            <w:tcW w:w="774" w:type="dxa"/>
          </w:tcPr>
          <w:p w14:paraId="007F72B0" w14:textId="77777777" w:rsidR="00454A29" w:rsidRDefault="00454A29">
            <w:pPr>
              <w:pStyle w:val="ConsPlusNormal"/>
              <w:jc w:val="center"/>
            </w:pPr>
            <w:r>
              <w:t>156</w:t>
            </w:r>
          </w:p>
        </w:tc>
        <w:tc>
          <w:tcPr>
            <w:tcW w:w="774" w:type="dxa"/>
          </w:tcPr>
          <w:p w14:paraId="345F67C3" w14:textId="77777777" w:rsidR="00454A29" w:rsidRDefault="00454A29">
            <w:pPr>
              <w:pStyle w:val="ConsPlusNormal"/>
              <w:jc w:val="center"/>
            </w:pPr>
            <w:r>
              <w:t>205</w:t>
            </w:r>
          </w:p>
        </w:tc>
        <w:tc>
          <w:tcPr>
            <w:tcW w:w="794" w:type="dxa"/>
          </w:tcPr>
          <w:p w14:paraId="4B1C628E" w14:textId="77777777" w:rsidR="00454A29" w:rsidRDefault="00454A29">
            <w:pPr>
              <w:pStyle w:val="ConsPlusNormal"/>
              <w:jc w:val="center"/>
            </w:pPr>
            <w:r>
              <w:t>200</w:t>
            </w:r>
          </w:p>
        </w:tc>
        <w:tc>
          <w:tcPr>
            <w:tcW w:w="794" w:type="dxa"/>
          </w:tcPr>
          <w:p w14:paraId="1AFDC834" w14:textId="77777777" w:rsidR="00454A29" w:rsidRDefault="00454A29">
            <w:pPr>
              <w:pStyle w:val="ConsPlusNormal"/>
              <w:jc w:val="center"/>
            </w:pPr>
            <w:r>
              <w:t>176</w:t>
            </w:r>
          </w:p>
        </w:tc>
        <w:tc>
          <w:tcPr>
            <w:tcW w:w="794" w:type="dxa"/>
          </w:tcPr>
          <w:p w14:paraId="14F6302F" w14:textId="77777777" w:rsidR="00454A29" w:rsidRDefault="00454A29">
            <w:pPr>
              <w:pStyle w:val="ConsPlusNormal"/>
              <w:jc w:val="center"/>
            </w:pPr>
            <w:r>
              <w:t>167</w:t>
            </w:r>
          </w:p>
        </w:tc>
      </w:tr>
      <w:tr w:rsidR="00454A29" w14:paraId="165C826E" w14:textId="77777777">
        <w:tc>
          <w:tcPr>
            <w:tcW w:w="2381" w:type="dxa"/>
            <w:vAlign w:val="center"/>
          </w:tcPr>
          <w:p w14:paraId="6996425A" w14:textId="77777777" w:rsidR="00454A29" w:rsidRDefault="00454A29">
            <w:pPr>
              <w:pStyle w:val="ConsPlusNormal"/>
              <w:jc w:val="both"/>
            </w:pPr>
            <w:r>
              <w:t>Промышленная группа</w:t>
            </w:r>
          </w:p>
        </w:tc>
        <w:tc>
          <w:tcPr>
            <w:tcW w:w="794" w:type="dxa"/>
          </w:tcPr>
          <w:p w14:paraId="447C7600" w14:textId="77777777" w:rsidR="00454A29" w:rsidRDefault="00454A29">
            <w:pPr>
              <w:pStyle w:val="ConsPlusNormal"/>
              <w:jc w:val="center"/>
            </w:pPr>
            <w:r>
              <w:t>61</w:t>
            </w:r>
          </w:p>
        </w:tc>
        <w:tc>
          <w:tcPr>
            <w:tcW w:w="774" w:type="dxa"/>
          </w:tcPr>
          <w:p w14:paraId="75C7A8C7" w14:textId="77777777" w:rsidR="00454A29" w:rsidRDefault="00454A29">
            <w:pPr>
              <w:pStyle w:val="ConsPlusNormal"/>
              <w:jc w:val="center"/>
            </w:pPr>
            <w:r>
              <w:t>95</w:t>
            </w:r>
          </w:p>
        </w:tc>
        <w:tc>
          <w:tcPr>
            <w:tcW w:w="774" w:type="dxa"/>
          </w:tcPr>
          <w:p w14:paraId="07A2BEC7" w14:textId="77777777" w:rsidR="00454A29" w:rsidRDefault="00454A29">
            <w:pPr>
              <w:pStyle w:val="ConsPlusNormal"/>
              <w:jc w:val="center"/>
            </w:pPr>
            <w:r>
              <w:t>144</w:t>
            </w:r>
          </w:p>
        </w:tc>
        <w:tc>
          <w:tcPr>
            <w:tcW w:w="774" w:type="dxa"/>
          </w:tcPr>
          <w:p w14:paraId="097D7BBD" w14:textId="77777777" w:rsidR="00454A29" w:rsidRDefault="00454A29">
            <w:pPr>
              <w:pStyle w:val="ConsPlusNormal"/>
              <w:jc w:val="center"/>
            </w:pPr>
            <w:r>
              <w:t>171</w:t>
            </w:r>
          </w:p>
        </w:tc>
        <w:tc>
          <w:tcPr>
            <w:tcW w:w="774" w:type="dxa"/>
          </w:tcPr>
          <w:p w14:paraId="2E00B1EA" w14:textId="77777777" w:rsidR="00454A29" w:rsidRDefault="00454A29">
            <w:pPr>
              <w:pStyle w:val="ConsPlusNormal"/>
              <w:jc w:val="center"/>
            </w:pPr>
            <w:r>
              <w:t>171</w:t>
            </w:r>
          </w:p>
        </w:tc>
        <w:tc>
          <w:tcPr>
            <w:tcW w:w="774" w:type="dxa"/>
          </w:tcPr>
          <w:p w14:paraId="6BB636F2" w14:textId="77777777" w:rsidR="00454A29" w:rsidRDefault="00454A29">
            <w:pPr>
              <w:pStyle w:val="ConsPlusNormal"/>
              <w:jc w:val="center"/>
            </w:pPr>
            <w:r>
              <w:t>145</w:t>
            </w:r>
          </w:p>
        </w:tc>
        <w:tc>
          <w:tcPr>
            <w:tcW w:w="774" w:type="dxa"/>
          </w:tcPr>
          <w:p w14:paraId="4866D30E" w14:textId="77777777" w:rsidR="00454A29" w:rsidRDefault="00454A29">
            <w:pPr>
              <w:pStyle w:val="ConsPlusNormal"/>
              <w:jc w:val="center"/>
            </w:pPr>
            <w:r>
              <w:t>150</w:t>
            </w:r>
          </w:p>
        </w:tc>
        <w:tc>
          <w:tcPr>
            <w:tcW w:w="794" w:type="dxa"/>
          </w:tcPr>
          <w:p w14:paraId="2BBBA4B7" w14:textId="77777777" w:rsidR="00454A29" w:rsidRDefault="00454A29">
            <w:pPr>
              <w:pStyle w:val="ConsPlusNormal"/>
              <w:jc w:val="center"/>
            </w:pPr>
            <w:r>
              <w:t>159</w:t>
            </w:r>
          </w:p>
        </w:tc>
        <w:tc>
          <w:tcPr>
            <w:tcW w:w="794" w:type="dxa"/>
          </w:tcPr>
          <w:p w14:paraId="58AAD825" w14:textId="77777777" w:rsidR="00454A29" w:rsidRDefault="00454A29">
            <w:pPr>
              <w:pStyle w:val="ConsPlusNormal"/>
              <w:jc w:val="center"/>
            </w:pPr>
            <w:r>
              <w:t>178</w:t>
            </w:r>
          </w:p>
        </w:tc>
        <w:tc>
          <w:tcPr>
            <w:tcW w:w="794" w:type="dxa"/>
          </w:tcPr>
          <w:p w14:paraId="2D32F136" w14:textId="77777777" w:rsidR="00454A29" w:rsidRDefault="00454A29">
            <w:pPr>
              <w:pStyle w:val="ConsPlusNormal"/>
              <w:jc w:val="center"/>
            </w:pPr>
            <w:r>
              <w:t>173</w:t>
            </w:r>
          </w:p>
        </w:tc>
      </w:tr>
      <w:tr w:rsidR="00454A29" w14:paraId="0F3D36A6" w14:textId="77777777">
        <w:tc>
          <w:tcPr>
            <w:tcW w:w="2381" w:type="dxa"/>
            <w:vAlign w:val="center"/>
          </w:tcPr>
          <w:p w14:paraId="76047952" w14:textId="77777777" w:rsidR="00454A29" w:rsidRDefault="00454A29">
            <w:pPr>
              <w:pStyle w:val="ConsPlusNormal"/>
              <w:jc w:val="both"/>
            </w:pPr>
            <w:r>
              <w:t>ГО "город Якутск"</w:t>
            </w:r>
          </w:p>
        </w:tc>
        <w:tc>
          <w:tcPr>
            <w:tcW w:w="794" w:type="dxa"/>
          </w:tcPr>
          <w:p w14:paraId="24AF23F2" w14:textId="77777777" w:rsidR="00454A29" w:rsidRDefault="00454A29">
            <w:pPr>
              <w:pStyle w:val="ConsPlusNormal"/>
              <w:jc w:val="center"/>
            </w:pPr>
            <w:r>
              <w:t>123</w:t>
            </w:r>
          </w:p>
        </w:tc>
        <w:tc>
          <w:tcPr>
            <w:tcW w:w="774" w:type="dxa"/>
          </w:tcPr>
          <w:p w14:paraId="6E02B6C7" w14:textId="77777777" w:rsidR="00454A29" w:rsidRDefault="00454A29">
            <w:pPr>
              <w:pStyle w:val="ConsPlusNormal"/>
              <w:jc w:val="center"/>
            </w:pPr>
            <w:r>
              <w:t>133</w:t>
            </w:r>
          </w:p>
        </w:tc>
        <w:tc>
          <w:tcPr>
            <w:tcW w:w="774" w:type="dxa"/>
          </w:tcPr>
          <w:p w14:paraId="792AF583" w14:textId="77777777" w:rsidR="00454A29" w:rsidRDefault="00454A29">
            <w:pPr>
              <w:pStyle w:val="ConsPlusNormal"/>
              <w:jc w:val="center"/>
            </w:pPr>
            <w:r>
              <w:t>134</w:t>
            </w:r>
          </w:p>
        </w:tc>
        <w:tc>
          <w:tcPr>
            <w:tcW w:w="774" w:type="dxa"/>
          </w:tcPr>
          <w:p w14:paraId="0019A14C" w14:textId="77777777" w:rsidR="00454A29" w:rsidRDefault="00454A29">
            <w:pPr>
              <w:pStyle w:val="ConsPlusNormal"/>
              <w:jc w:val="center"/>
            </w:pPr>
            <w:r>
              <w:t>174</w:t>
            </w:r>
          </w:p>
        </w:tc>
        <w:tc>
          <w:tcPr>
            <w:tcW w:w="774" w:type="dxa"/>
          </w:tcPr>
          <w:p w14:paraId="724D9A14" w14:textId="77777777" w:rsidR="00454A29" w:rsidRDefault="00454A29">
            <w:pPr>
              <w:pStyle w:val="ConsPlusNormal"/>
              <w:jc w:val="center"/>
            </w:pPr>
            <w:r>
              <w:t>147</w:t>
            </w:r>
          </w:p>
        </w:tc>
        <w:tc>
          <w:tcPr>
            <w:tcW w:w="774" w:type="dxa"/>
          </w:tcPr>
          <w:p w14:paraId="261CD752" w14:textId="77777777" w:rsidR="00454A29" w:rsidRDefault="00454A29">
            <w:pPr>
              <w:pStyle w:val="ConsPlusNormal"/>
              <w:jc w:val="center"/>
            </w:pPr>
            <w:r>
              <w:t>148</w:t>
            </w:r>
          </w:p>
        </w:tc>
        <w:tc>
          <w:tcPr>
            <w:tcW w:w="774" w:type="dxa"/>
          </w:tcPr>
          <w:p w14:paraId="3B7D3530" w14:textId="77777777" w:rsidR="00454A29" w:rsidRDefault="00454A29">
            <w:pPr>
              <w:pStyle w:val="ConsPlusNormal"/>
              <w:jc w:val="center"/>
            </w:pPr>
            <w:r>
              <w:t>114</w:t>
            </w:r>
          </w:p>
        </w:tc>
        <w:tc>
          <w:tcPr>
            <w:tcW w:w="794" w:type="dxa"/>
          </w:tcPr>
          <w:p w14:paraId="4D6E4874" w14:textId="77777777" w:rsidR="00454A29" w:rsidRDefault="00454A29">
            <w:pPr>
              <w:pStyle w:val="ConsPlusNormal"/>
              <w:jc w:val="center"/>
            </w:pPr>
            <w:r>
              <w:t>75</w:t>
            </w:r>
          </w:p>
        </w:tc>
        <w:tc>
          <w:tcPr>
            <w:tcW w:w="794" w:type="dxa"/>
          </w:tcPr>
          <w:p w14:paraId="1ADE7810" w14:textId="77777777" w:rsidR="00454A29" w:rsidRDefault="00454A29">
            <w:pPr>
              <w:pStyle w:val="ConsPlusNormal"/>
              <w:jc w:val="center"/>
            </w:pPr>
            <w:r>
              <w:t>54</w:t>
            </w:r>
          </w:p>
        </w:tc>
        <w:tc>
          <w:tcPr>
            <w:tcW w:w="794" w:type="dxa"/>
          </w:tcPr>
          <w:p w14:paraId="63B0C332" w14:textId="77777777" w:rsidR="00454A29" w:rsidRDefault="00454A29">
            <w:pPr>
              <w:pStyle w:val="ConsPlusNormal"/>
              <w:jc w:val="center"/>
            </w:pPr>
            <w:r>
              <w:t>98</w:t>
            </w:r>
          </w:p>
        </w:tc>
      </w:tr>
    </w:tbl>
    <w:p w14:paraId="3A663DD8" w14:textId="77777777" w:rsidR="00454A29" w:rsidRDefault="00454A29">
      <w:pPr>
        <w:sectPr w:rsidR="00454A29">
          <w:pgSz w:w="16838" w:h="11905" w:orient="landscape"/>
          <w:pgMar w:top="1701" w:right="1134" w:bottom="850" w:left="1134" w:header="0" w:footer="0" w:gutter="0"/>
          <w:cols w:space="720"/>
        </w:sectPr>
      </w:pPr>
    </w:p>
    <w:p w14:paraId="7F5F6281" w14:textId="77777777" w:rsidR="00454A29" w:rsidRDefault="00454A29">
      <w:pPr>
        <w:pStyle w:val="ConsPlusNormal"/>
      </w:pPr>
    </w:p>
    <w:p w14:paraId="0952E34E" w14:textId="77777777" w:rsidR="00454A29" w:rsidRDefault="00454A29">
      <w:pPr>
        <w:pStyle w:val="ConsPlusNormal"/>
        <w:ind w:firstLine="540"/>
        <w:jc w:val="both"/>
      </w:pPr>
      <w:r>
        <w:t>Недостаток специалистов особенно испытывают малокомплектные школы в отдаленных и арктических районах, что объясняется низкой нагрузкой по предмету, удаленностью населенных пунктов от центра, слабой инфраструктурой сел, сложной транспортной схемой.</w:t>
      </w:r>
    </w:p>
    <w:p w14:paraId="4BE6E54D" w14:textId="77777777" w:rsidR="00454A29" w:rsidRDefault="00454A29">
      <w:pPr>
        <w:pStyle w:val="ConsPlusNormal"/>
        <w:spacing w:before="220"/>
        <w:ind w:firstLine="540"/>
        <w:jc w:val="both"/>
      </w:pPr>
      <w:r>
        <w:t>В республике в рамках государственной программы "Развитие образования Республики Саха (Якутия) на 2020 - 2024 годы и плановый период до 2026 года" действует ряд целевых подпрограмм, направленных на совершенствование, обновление и развитие кадрового потенциала системы образования:</w:t>
      </w:r>
    </w:p>
    <w:p w14:paraId="73F79D20" w14:textId="77777777" w:rsidR="00454A29" w:rsidRDefault="00454A29">
      <w:pPr>
        <w:pStyle w:val="ConsPlusNormal"/>
        <w:spacing w:before="220"/>
        <w:ind w:firstLine="540"/>
        <w:jc w:val="both"/>
      </w:pPr>
      <w:r>
        <w:t xml:space="preserve">мероприятие "О мерах по обеспечению жильем педагогических работников общеобразовательных организаций, расположенных в сельских населенных пунктах арктических и северных улусов, и медицинских работников учреждений здравоохранения арктических и северных улусов" основного мероприятия "Обеспечение жильем отдельных категорий граждан" государственной </w:t>
      </w:r>
      <w:hyperlink r:id="rId20" w:history="1">
        <w:r>
          <w:rPr>
            <w:color w:val="0000FF"/>
          </w:rPr>
          <w:t>программы</w:t>
        </w:r>
      </w:hyperlink>
      <w:r>
        <w:t xml:space="preserve"> Республики Саха (Якутия) "Обеспечение качественным жильем и повышение качества жилищно-коммунальных услуг на 2018 - 2022 годы", согласно которой учителя, отработавшие 5 лет в сельских школах Арктики и Севера, получают социальные выплаты в размере более 1 млн. 600 тыс. руб. на приобретение жилья;</w:t>
      </w:r>
    </w:p>
    <w:p w14:paraId="7D53D2E0" w14:textId="77777777" w:rsidR="00454A29" w:rsidRDefault="00454A29">
      <w:pPr>
        <w:pStyle w:val="ConsPlusNormal"/>
        <w:spacing w:before="220"/>
        <w:ind w:firstLine="540"/>
        <w:jc w:val="both"/>
      </w:pPr>
      <w:r>
        <w:t>подпрограмма "Учительский рост", ключевой задачей которой является обеспечение условий для развития кадрового потенциала с учетом новых подходов к повышению квалификации и переподготовке педагогических работников;</w:t>
      </w:r>
    </w:p>
    <w:p w14:paraId="13CDDE21" w14:textId="77777777" w:rsidR="00454A29" w:rsidRDefault="00454A29">
      <w:pPr>
        <w:pStyle w:val="ConsPlusNormal"/>
        <w:spacing w:before="220"/>
        <w:ind w:firstLine="540"/>
        <w:jc w:val="both"/>
      </w:pPr>
      <w:r>
        <w:t>проект "Учитель Арктики", направленный на повышение доступности качественного образования для обучающихся труднодоступных мест региона, закрепление и профессиональный рост педагогов, работающих в арктических и северных районах республики.</w:t>
      </w:r>
    </w:p>
    <w:p w14:paraId="5BCF4A1D" w14:textId="77777777" w:rsidR="00454A29" w:rsidRDefault="00454A29">
      <w:pPr>
        <w:pStyle w:val="ConsPlusNormal"/>
        <w:spacing w:before="220"/>
        <w:ind w:firstLine="540"/>
        <w:jc w:val="both"/>
      </w:pPr>
      <w:r>
        <w:t>Вместе с тем сегодня в обеспечении системы образования педагогическими кадрами остаются нерешенными следующие проблемы:</w:t>
      </w:r>
    </w:p>
    <w:p w14:paraId="3A5B283B" w14:textId="77777777" w:rsidR="00454A29" w:rsidRDefault="00454A29">
      <w:pPr>
        <w:pStyle w:val="ConsPlusNormal"/>
        <w:spacing w:before="220"/>
        <w:ind w:firstLine="540"/>
        <w:jc w:val="both"/>
      </w:pPr>
      <w:r>
        <w:t>снижение доли выпускников, трудоустраивающихся по специальности;</w:t>
      </w:r>
    </w:p>
    <w:p w14:paraId="56233646" w14:textId="77777777" w:rsidR="00454A29" w:rsidRDefault="00454A29">
      <w:pPr>
        <w:pStyle w:val="ConsPlusNormal"/>
        <w:spacing w:before="220"/>
        <w:ind w:firstLine="540"/>
        <w:jc w:val="both"/>
      </w:pPr>
      <w:r>
        <w:t>низкая доля молодых педагогов в образовательных организациях;</w:t>
      </w:r>
    </w:p>
    <w:p w14:paraId="1FE60947" w14:textId="77777777" w:rsidR="00454A29" w:rsidRDefault="00454A29">
      <w:pPr>
        <w:pStyle w:val="ConsPlusNormal"/>
        <w:spacing w:before="220"/>
        <w:ind w:firstLine="540"/>
        <w:jc w:val="both"/>
      </w:pPr>
      <w:r>
        <w:t>преобладание доли педагогов пенсионного возраста;</w:t>
      </w:r>
    </w:p>
    <w:p w14:paraId="56FEA735" w14:textId="77777777" w:rsidR="00454A29" w:rsidRDefault="00454A29">
      <w:pPr>
        <w:pStyle w:val="ConsPlusNormal"/>
        <w:spacing w:before="220"/>
        <w:ind w:firstLine="540"/>
        <w:jc w:val="both"/>
      </w:pPr>
      <w:r>
        <w:t>недостаток специалистов (в том числе смежных дисциплин) в малокомплектных школах, а также в школах отдаленных и арктических районов.</w:t>
      </w:r>
    </w:p>
    <w:p w14:paraId="026181DC" w14:textId="77777777" w:rsidR="00454A29" w:rsidRDefault="00454A29">
      <w:pPr>
        <w:pStyle w:val="ConsPlusNormal"/>
        <w:spacing w:before="220"/>
        <w:ind w:firstLine="540"/>
        <w:jc w:val="both"/>
      </w:pPr>
      <w:r>
        <w:t>Результаты международных и российских исследований показывают, что, несмотря на положительные тенденции, качество обученности школьников в республике остается ниже среднероссийских показателей.</w:t>
      </w:r>
    </w:p>
    <w:p w14:paraId="71BF9415" w14:textId="77777777" w:rsidR="00454A29" w:rsidRDefault="00454A29">
      <w:pPr>
        <w:pStyle w:val="ConsPlusNormal"/>
        <w:spacing w:before="220"/>
        <w:ind w:firstLine="540"/>
        <w:jc w:val="both"/>
      </w:pPr>
      <w:r>
        <w:t>Результаты государственной итоговой аттестации обучающихся, освоивших общеобразовательные программы среднего общего образования, показывают, что средний балл выпускников школ республики ниже среднероссийского по всем предметам ЕГЭ.</w:t>
      </w:r>
    </w:p>
    <w:p w14:paraId="5DA0EE8D" w14:textId="77777777" w:rsidR="00454A29" w:rsidRDefault="00454A29">
      <w:pPr>
        <w:pStyle w:val="ConsPlusNormal"/>
        <w:spacing w:before="220"/>
        <w:ind w:firstLine="540"/>
        <w:jc w:val="both"/>
      </w:pPr>
      <w:r>
        <w:t>В республике немало образовательных организаций, стойко демонстрирующих высокие результаты по комплексу учебных показателей, но имеются и устойчиво неуспешные школы, в течение ряда лет не ликвидирующие своего отставания, что обусловлено рядом проблем. Нерешенными являются проблемы создания региональной инфраструктуры, разработки механизмов взаимодействия всех служб для обеспечения лучшего результата, повышения квалификации учителей-предметников, управленческих команд школ.</w:t>
      </w:r>
    </w:p>
    <w:p w14:paraId="01EC90FC" w14:textId="77777777" w:rsidR="00454A29" w:rsidRDefault="00454A29">
      <w:pPr>
        <w:pStyle w:val="ConsPlusNormal"/>
        <w:spacing w:before="220"/>
        <w:ind w:firstLine="540"/>
        <w:jc w:val="both"/>
      </w:pPr>
      <w:r>
        <w:t xml:space="preserve">Региональная специфика Республики Саха (Якутия) показывает, что 70% общеобразовательных учреждений республики находятся в сельской местности, 204 из них </w:t>
      </w:r>
      <w:r>
        <w:lastRenderedPageBreak/>
        <w:t>являются малокомплектными. В районах, расположенных в арктической зоне, число неуспешных школ не сокращается. В этих школах существует неустойчивая внутренняя политика (слабое руководство, недостаточная квалификация педагогов и т.п.), проблемный социальный контекст.</w:t>
      </w:r>
    </w:p>
    <w:p w14:paraId="6B82CD64" w14:textId="77777777" w:rsidR="00454A29" w:rsidRDefault="00454A29">
      <w:pPr>
        <w:pStyle w:val="ConsPlusNormal"/>
        <w:spacing w:before="220"/>
        <w:ind w:firstLine="540"/>
        <w:jc w:val="both"/>
      </w:pPr>
      <w:r>
        <w:t>Особое внимание в условиях модернизации образования уделяется повышению профессиональной квалификации учителей.</w:t>
      </w:r>
    </w:p>
    <w:p w14:paraId="140E57DD" w14:textId="77777777" w:rsidR="00454A29" w:rsidRDefault="00454A29">
      <w:pPr>
        <w:pStyle w:val="ConsPlusNormal"/>
        <w:spacing w:before="220"/>
        <w:ind w:firstLine="540"/>
        <w:jc w:val="both"/>
      </w:pPr>
      <w:r>
        <w:t>Информационно-методическая поддержка и научно-методическое сопровождение профессионального развития педагогов осуществляется Институтом развития образования и повышения квалификации имени С.Н. Донского-II. Созданы условия для обеспечения права педагогов на повышение квалификации 1 раз в 3 года.</w:t>
      </w:r>
    </w:p>
    <w:p w14:paraId="054D7E4C" w14:textId="77777777" w:rsidR="00454A29" w:rsidRDefault="00454A29">
      <w:pPr>
        <w:pStyle w:val="ConsPlusNormal"/>
      </w:pPr>
    </w:p>
    <w:p w14:paraId="08F2E841" w14:textId="77777777" w:rsidR="00454A29" w:rsidRDefault="00454A29">
      <w:pPr>
        <w:pStyle w:val="ConsPlusNormal"/>
        <w:jc w:val="right"/>
        <w:outlineLvl w:val="2"/>
      </w:pPr>
      <w:r>
        <w:t>Таблица 5</w:t>
      </w:r>
    </w:p>
    <w:p w14:paraId="69C4B364" w14:textId="77777777" w:rsidR="00454A29" w:rsidRDefault="00454A29">
      <w:pPr>
        <w:pStyle w:val="ConsPlusNormal"/>
      </w:pPr>
    </w:p>
    <w:p w14:paraId="3A2302DB" w14:textId="77777777" w:rsidR="00454A29" w:rsidRDefault="00454A29">
      <w:pPr>
        <w:pStyle w:val="ConsPlusTitle"/>
        <w:jc w:val="center"/>
      </w:pPr>
      <w:r>
        <w:t>Информация о прохождении педагогическими работниками</w:t>
      </w:r>
    </w:p>
    <w:p w14:paraId="6C316B3D" w14:textId="77777777" w:rsidR="00454A29" w:rsidRDefault="00454A29">
      <w:pPr>
        <w:pStyle w:val="ConsPlusTitle"/>
        <w:jc w:val="center"/>
      </w:pPr>
      <w:r>
        <w:t>организаций, осуществляющих деятельность</w:t>
      </w:r>
    </w:p>
    <w:p w14:paraId="3EEC01A4" w14:textId="77777777" w:rsidR="00454A29" w:rsidRDefault="00454A29">
      <w:pPr>
        <w:pStyle w:val="ConsPlusTitle"/>
        <w:jc w:val="center"/>
      </w:pPr>
      <w:r>
        <w:t>по общеобразовательным программам, повышения квалификации</w:t>
      </w:r>
    </w:p>
    <w:p w14:paraId="7F07BB6E" w14:textId="77777777" w:rsidR="00454A29" w:rsidRDefault="00454A29">
      <w:pPr>
        <w:pStyle w:val="ConsPlusTitle"/>
        <w:jc w:val="center"/>
      </w:pPr>
      <w:r>
        <w:t>в разрезе по годам начиная с 2015 года (% от общего числа)</w:t>
      </w:r>
    </w:p>
    <w:p w14:paraId="66AE5668"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454A29" w14:paraId="3AAF4C8B" w14:textId="77777777">
        <w:tc>
          <w:tcPr>
            <w:tcW w:w="2268" w:type="dxa"/>
            <w:vAlign w:val="center"/>
          </w:tcPr>
          <w:p w14:paraId="4935BFE7" w14:textId="77777777" w:rsidR="00454A29" w:rsidRDefault="00454A29">
            <w:pPr>
              <w:pStyle w:val="ConsPlusNormal"/>
              <w:jc w:val="center"/>
            </w:pPr>
            <w:r>
              <w:t>год</w:t>
            </w:r>
          </w:p>
        </w:tc>
        <w:tc>
          <w:tcPr>
            <w:tcW w:w="2268" w:type="dxa"/>
            <w:vAlign w:val="center"/>
          </w:tcPr>
          <w:p w14:paraId="2E0FDEE1" w14:textId="77777777" w:rsidR="00454A29" w:rsidRDefault="00454A29">
            <w:pPr>
              <w:pStyle w:val="ConsPlusNormal"/>
              <w:jc w:val="center"/>
            </w:pPr>
            <w:r>
              <w:t>Общее количество</w:t>
            </w:r>
          </w:p>
        </w:tc>
        <w:tc>
          <w:tcPr>
            <w:tcW w:w="2268" w:type="dxa"/>
            <w:vAlign w:val="center"/>
          </w:tcPr>
          <w:p w14:paraId="31E62F09" w14:textId="77777777" w:rsidR="00454A29" w:rsidRDefault="00454A29">
            <w:pPr>
              <w:pStyle w:val="ConsPlusNormal"/>
              <w:jc w:val="center"/>
            </w:pPr>
            <w:r>
              <w:t>Количество пед. работников, прошедших ПК</w:t>
            </w:r>
          </w:p>
        </w:tc>
        <w:tc>
          <w:tcPr>
            <w:tcW w:w="2268" w:type="dxa"/>
            <w:vAlign w:val="center"/>
          </w:tcPr>
          <w:p w14:paraId="66A7492E" w14:textId="77777777" w:rsidR="00454A29" w:rsidRDefault="00454A29">
            <w:pPr>
              <w:pStyle w:val="ConsPlusNormal"/>
              <w:jc w:val="center"/>
            </w:pPr>
            <w:r>
              <w:t>% от общего числа</w:t>
            </w:r>
          </w:p>
        </w:tc>
      </w:tr>
      <w:tr w:rsidR="00454A29" w14:paraId="7C44D133" w14:textId="77777777">
        <w:tc>
          <w:tcPr>
            <w:tcW w:w="2268" w:type="dxa"/>
          </w:tcPr>
          <w:p w14:paraId="72183A5F" w14:textId="77777777" w:rsidR="00454A29" w:rsidRDefault="00454A29">
            <w:pPr>
              <w:pStyle w:val="ConsPlusNormal"/>
              <w:jc w:val="center"/>
            </w:pPr>
            <w:r>
              <w:t>2015</w:t>
            </w:r>
          </w:p>
        </w:tc>
        <w:tc>
          <w:tcPr>
            <w:tcW w:w="2268" w:type="dxa"/>
          </w:tcPr>
          <w:p w14:paraId="26845276" w14:textId="77777777" w:rsidR="00454A29" w:rsidRDefault="00454A29">
            <w:pPr>
              <w:pStyle w:val="ConsPlusNormal"/>
              <w:jc w:val="center"/>
            </w:pPr>
            <w:r>
              <w:t>26 794</w:t>
            </w:r>
          </w:p>
        </w:tc>
        <w:tc>
          <w:tcPr>
            <w:tcW w:w="2268" w:type="dxa"/>
          </w:tcPr>
          <w:p w14:paraId="3D5C4DC3" w14:textId="77777777" w:rsidR="00454A29" w:rsidRDefault="00454A29">
            <w:pPr>
              <w:pStyle w:val="ConsPlusNormal"/>
              <w:jc w:val="center"/>
            </w:pPr>
            <w:r>
              <w:t>13 879</w:t>
            </w:r>
          </w:p>
        </w:tc>
        <w:tc>
          <w:tcPr>
            <w:tcW w:w="2268" w:type="dxa"/>
          </w:tcPr>
          <w:p w14:paraId="192003F7" w14:textId="77777777" w:rsidR="00454A29" w:rsidRDefault="00454A29">
            <w:pPr>
              <w:pStyle w:val="ConsPlusNormal"/>
              <w:jc w:val="center"/>
            </w:pPr>
            <w:r>
              <w:t>51,8</w:t>
            </w:r>
          </w:p>
        </w:tc>
      </w:tr>
      <w:tr w:rsidR="00454A29" w14:paraId="525D46C6" w14:textId="77777777">
        <w:tc>
          <w:tcPr>
            <w:tcW w:w="2268" w:type="dxa"/>
          </w:tcPr>
          <w:p w14:paraId="771A93C0" w14:textId="77777777" w:rsidR="00454A29" w:rsidRDefault="00454A29">
            <w:pPr>
              <w:pStyle w:val="ConsPlusNormal"/>
              <w:jc w:val="center"/>
            </w:pPr>
            <w:r>
              <w:t>2016</w:t>
            </w:r>
          </w:p>
        </w:tc>
        <w:tc>
          <w:tcPr>
            <w:tcW w:w="2268" w:type="dxa"/>
          </w:tcPr>
          <w:p w14:paraId="51A32143" w14:textId="77777777" w:rsidR="00454A29" w:rsidRDefault="00454A29">
            <w:pPr>
              <w:pStyle w:val="ConsPlusNormal"/>
              <w:jc w:val="center"/>
            </w:pPr>
            <w:r>
              <w:t>27 000</w:t>
            </w:r>
          </w:p>
        </w:tc>
        <w:tc>
          <w:tcPr>
            <w:tcW w:w="2268" w:type="dxa"/>
          </w:tcPr>
          <w:p w14:paraId="7A3FF28F" w14:textId="77777777" w:rsidR="00454A29" w:rsidRDefault="00454A29">
            <w:pPr>
              <w:pStyle w:val="ConsPlusNormal"/>
              <w:jc w:val="center"/>
            </w:pPr>
            <w:r>
              <w:t>12 316</w:t>
            </w:r>
          </w:p>
        </w:tc>
        <w:tc>
          <w:tcPr>
            <w:tcW w:w="2268" w:type="dxa"/>
          </w:tcPr>
          <w:p w14:paraId="02495562" w14:textId="77777777" w:rsidR="00454A29" w:rsidRDefault="00454A29">
            <w:pPr>
              <w:pStyle w:val="ConsPlusNormal"/>
              <w:jc w:val="center"/>
            </w:pPr>
            <w:r>
              <w:t>45,6</w:t>
            </w:r>
          </w:p>
        </w:tc>
      </w:tr>
      <w:tr w:rsidR="00454A29" w14:paraId="18304267" w14:textId="77777777">
        <w:tc>
          <w:tcPr>
            <w:tcW w:w="2268" w:type="dxa"/>
          </w:tcPr>
          <w:p w14:paraId="5F710048" w14:textId="77777777" w:rsidR="00454A29" w:rsidRDefault="00454A29">
            <w:pPr>
              <w:pStyle w:val="ConsPlusNormal"/>
              <w:jc w:val="center"/>
            </w:pPr>
            <w:r>
              <w:t>2017</w:t>
            </w:r>
          </w:p>
        </w:tc>
        <w:tc>
          <w:tcPr>
            <w:tcW w:w="2268" w:type="dxa"/>
          </w:tcPr>
          <w:p w14:paraId="0D24BFA6" w14:textId="77777777" w:rsidR="00454A29" w:rsidRDefault="00454A29">
            <w:pPr>
              <w:pStyle w:val="ConsPlusNormal"/>
              <w:jc w:val="center"/>
            </w:pPr>
            <w:r>
              <w:t>29 021</w:t>
            </w:r>
          </w:p>
        </w:tc>
        <w:tc>
          <w:tcPr>
            <w:tcW w:w="2268" w:type="dxa"/>
          </w:tcPr>
          <w:p w14:paraId="55D8EF96" w14:textId="77777777" w:rsidR="00454A29" w:rsidRDefault="00454A29">
            <w:pPr>
              <w:pStyle w:val="ConsPlusNormal"/>
              <w:jc w:val="center"/>
            </w:pPr>
            <w:r>
              <w:t>14 040</w:t>
            </w:r>
          </w:p>
        </w:tc>
        <w:tc>
          <w:tcPr>
            <w:tcW w:w="2268" w:type="dxa"/>
          </w:tcPr>
          <w:p w14:paraId="7E6C34BD" w14:textId="77777777" w:rsidR="00454A29" w:rsidRDefault="00454A29">
            <w:pPr>
              <w:pStyle w:val="ConsPlusNormal"/>
              <w:jc w:val="center"/>
            </w:pPr>
            <w:r>
              <w:t>48,4</w:t>
            </w:r>
          </w:p>
        </w:tc>
      </w:tr>
      <w:tr w:rsidR="00454A29" w14:paraId="25A439A5" w14:textId="77777777">
        <w:tc>
          <w:tcPr>
            <w:tcW w:w="2268" w:type="dxa"/>
          </w:tcPr>
          <w:p w14:paraId="0E703A1E" w14:textId="77777777" w:rsidR="00454A29" w:rsidRDefault="00454A29">
            <w:pPr>
              <w:pStyle w:val="ConsPlusNormal"/>
              <w:jc w:val="center"/>
            </w:pPr>
            <w:r>
              <w:t>2018</w:t>
            </w:r>
          </w:p>
        </w:tc>
        <w:tc>
          <w:tcPr>
            <w:tcW w:w="2268" w:type="dxa"/>
          </w:tcPr>
          <w:p w14:paraId="02725C6E" w14:textId="77777777" w:rsidR="00454A29" w:rsidRDefault="00454A29">
            <w:pPr>
              <w:pStyle w:val="ConsPlusNormal"/>
              <w:jc w:val="center"/>
            </w:pPr>
            <w:r>
              <w:t>31 641</w:t>
            </w:r>
          </w:p>
        </w:tc>
        <w:tc>
          <w:tcPr>
            <w:tcW w:w="2268" w:type="dxa"/>
          </w:tcPr>
          <w:p w14:paraId="78509F08" w14:textId="77777777" w:rsidR="00454A29" w:rsidRDefault="00454A29">
            <w:pPr>
              <w:pStyle w:val="ConsPlusNormal"/>
              <w:jc w:val="center"/>
            </w:pPr>
            <w:r>
              <w:t>12 335</w:t>
            </w:r>
          </w:p>
        </w:tc>
        <w:tc>
          <w:tcPr>
            <w:tcW w:w="2268" w:type="dxa"/>
          </w:tcPr>
          <w:p w14:paraId="47F1E327" w14:textId="77777777" w:rsidR="00454A29" w:rsidRDefault="00454A29">
            <w:pPr>
              <w:pStyle w:val="ConsPlusNormal"/>
              <w:jc w:val="center"/>
            </w:pPr>
            <w:r>
              <w:t>38,9</w:t>
            </w:r>
          </w:p>
        </w:tc>
      </w:tr>
      <w:tr w:rsidR="00454A29" w14:paraId="6E7D6915" w14:textId="77777777">
        <w:tc>
          <w:tcPr>
            <w:tcW w:w="2268" w:type="dxa"/>
          </w:tcPr>
          <w:p w14:paraId="284426B1" w14:textId="77777777" w:rsidR="00454A29" w:rsidRDefault="00454A29">
            <w:pPr>
              <w:pStyle w:val="ConsPlusNormal"/>
              <w:jc w:val="center"/>
            </w:pPr>
            <w:r>
              <w:t>2019 на 1 июня</w:t>
            </w:r>
          </w:p>
        </w:tc>
        <w:tc>
          <w:tcPr>
            <w:tcW w:w="2268" w:type="dxa"/>
          </w:tcPr>
          <w:p w14:paraId="598D0D2C" w14:textId="77777777" w:rsidR="00454A29" w:rsidRDefault="00454A29">
            <w:pPr>
              <w:pStyle w:val="ConsPlusNormal"/>
              <w:jc w:val="center"/>
            </w:pPr>
            <w:r>
              <w:t>31 641</w:t>
            </w:r>
          </w:p>
        </w:tc>
        <w:tc>
          <w:tcPr>
            <w:tcW w:w="2268" w:type="dxa"/>
          </w:tcPr>
          <w:p w14:paraId="133F25A8" w14:textId="77777777" w:rsidR="00454A29" w:rsidRDefault="00454A29">
            <w:pPr>
              <w:pStyle w:val="ConsPlusNormal"/>
              <w:jc w:val="center"/>
            </w:pPr>
            <w:r>
              <w:t>5 409</w:t>
            </w:r>
          </w:p>
        </w:tc>
        <w:tc>
          <w:tcPr>
            <w:tcW w:w="2268" w:type="dxa"/>
          </w:tcPr>
          <w:p w14:paraId="78945B3F" w14:textId="77777777" w:rsidR="00454A29" w:rsidRDefault="00454A29">
            <w:pPr>
              <w:pStyle w:val="ConsPlusNormal"/>
              <w:jc w:val="center"/>
            </w:pPr>
            <w:r>
              <w:t>17,1</w:t>
            </w:r>
          </w:p>
        </w:tc>
      </w:tr>
    </w:tbl>
    <w:p w14:paraId="5C354BBB" w14:textId="77777777" w:rsidR="00454A29" w:rsidRDefault="00454A29">
      <w:pPr>
        <w:pStyle w:val="ConsPlusNormal"/>
      </w:pPr>
    </w:p>
    <w:p w14:paraId="03A71D94" w14:textId="77777777" w:rsidR="00454A29" w:rsidRDefault="00454A29">
      <w:pPr>
        <w:pStyle w:val="ConsPlusNormal"/>
        <w:ind w:firstLine="540"/>
        <w:jc w:val="both"/>
      </w:pPr>
      <w:r>
        <w:t>Анализ современной ситуации в системе повышения квалификации педагогических работников позволяет также вычленить ряд проблем, дефицитов и противоречий:</w:t>
      </w:r>
    </w:p>
    <w:p w14:paraId="3D2665AC" w14:textId="77777777" w:rsidR="00454A29" w:rsidRDefault="00454A29">
      <w:pPr>
        <w:pStyle w:val="ConsPlusNormal"/>
        <w:spacing w:before="220"/>
        <w:ind w:firstLine="540"/>
        <w:jc w:val="both"/>
      </w:pPr>
      <w:r>
        <w:t>между необходимостью обеспечить персонифицированное повышение квалификации педагога с использованием современных форм и технологий (сетевое повышение, цифровые технологии и др.) и неразработанностью механизмов и норматива финансирования повышения квалификации по индивидуальному образовательному маршруту по сетевой программе дополнительного профессионального образования;</w:t>
      </w:r>
    </w:p>
    <w:p w14:paraId="05174617" w14:textId="77777777" w:rsidR="00454A29" w:rsidRDefault="00454A29">
      <w:pPr>
        <w:pStyle w:val="ConsPlusNormal"/>
        <w:spacing w:before="220"/>
        <w:ind w:firstLine="540"/>
        <w:jc w:val="both"/>
      </w:pPr>
      <w:r>
        <w:t>между необходимостью создания условий для приобретения и повышения человеком профессиональных и надпрофессиональных компетенций в течение всей жизни и отсутствием надлежащих подходов в системе методической работы в межкурсовой период;</w:t>
      </w:r>
    </w:p>
    <w:p w14:paraId="68E88239" w14:textId="77777777" w:rsidR="00454A29" w:rsidRDefault="00454A29">
      <w:pPr>
        <w:pStyle w:val="ConsPlusNormal"/>
        <w:spacing w:before="220"/>
        <w:ind w:firstLine="540"/>
        <w:jc w:val="both"/>
      </w:pPr>
      <w:r>
        <w:t>между достаточно высокой долей педагогических работников с высшей и первой квалификационными категориями по результатам аттестации и недостаточно качественными результатами государственной итоговой аттестации обучающихся республики в форме ЕГЭ по сравнению с общероссийскими показателями;</w:t>
      </w:r>
    </w:p>
    <w:p w14:paraId="3AD8A271" w14:textId="77777777" w:rsidR="00454A29" w:rsidRDefault="00454A29">
      <w:pPr>
        <w:pStyle w:val="ConsPlusNormal"/>
        <w:spacing w:before="220"/>
        <w:ind w:firstLine="540"/>
        <w:jc w:val="both"/>
      </w:pPr>
      <w:r>
        <w:t>между необходимостью кардинального улучшения качества работы педагогических кадров, непрерывного профессионального роста педагогов и отсутствием независимой оценки качества образования, профессионально-общественной аккредитации дополнительных профессиональных программ и общественной аккредитации организаций и специалистов;</w:t>
      </w:r>
    </w:p>
    <w:p w14:paraId="23DCABCF" w14:textId="77777777" w:rsidR="00454A29" w:rsidRDefault="00454A29">
      <w:pPr>
        <w:pStyle w:val="ConsPlusNormal"/>
        <w:spacing w:before="220"/>
        <w:ind w:firstLine="540"/>
        <w:jc w:val="both"/>
      </w:pPr>
      <w:r>
        <w:lastRenderedPageBreak/>
        <w:t>между необходимостью трансформации аттестации педагогов в реальный механизм профессионального роста и отсутствием новых должностей педагогических работников, отражающих их профессиональные успехи и обеспечивающих переход к горизонтальной системе карьерного роста;</w:t>
      </w:r>
    </w:p>
    <w:p w14:paraId="63B7E71C" w14:textId="77777777" w:rsidR="00454A29" w:rsidRDefault="00454A29">
      <w:pPr>
        <w:pStyle w:val="ConsPlusNormal"/>
        <w:spacing w:before="220"/>
        <w:ind w:firstLine="540"/>
        <w:jc w:val="both"/>
      </w:pPr>
      <w:r>
        <w:t>между необходимостью достижения планируемых в ФГОС результатов и несформированностью у педагогов необходимых навыков организации образовательного процесса на деятельностном подходе; отсутствием критериев оценки качества образования на деятельностной основе.</w:t>
      </w:r>
    </w:p>
    <w:p w14:paraId="2129FEE1" w14:textId="77777777" w:rsidR="00454A29" w:rsidRDefault="00454A29">
      <w:pPr>
        <w:pStyle w:val="ConsPlusNormal"/>
        <w:spacing w:before="220"/>
        <w:ind w:firstLine="540"/>
        <w:jc w:val="both"/>
      </w:pPr>
      <w:r>
        <w:t>Для разрешения этих дефицитов и противоречий необходимо изменить подходы к системе подготовки и повышения квалификации управленческого и педагогического корпуса, осуществить разработку новых программ повышения квалификации, соответствующих требованиям профессионального стандарта, модернизировать системы методических служб, интегрировать системы повышения квалификации и аттестации педагогов.</w:t>
      </w:r>
    </w:p>
    <w:p w14:paraId="6323D22E" w14:textId="77777777" w:rsidR="00454A29" w:rsidRDefault="00454A29">
      <w:pPr>
        <w:pStyle w:val="ConsPlusNormal"/>
        <w:spacing w:before="220"/>
        <w:ind w:firstLine="540"/>
        <w:jc w:val="both"/>
      </w:pPr>
      <w:r>
        <w:t>На решение этих задач направлена подпрограмма N 7 "Учительский рост", включающая основные направления регионального проекта "Учитель будущего" национального проекта "Образование".</w:t>
      </w:r>
    </w:p>
    <w:p w14:paraId="704323BF" w14:textId="77777777" w:rsidR="00454A29" w:rsidRDefault="00454A29">
      <w:pPr>
        <w:pStyle w:val="ConsPlusNormal"/>
        <w:spacing w:before="220"/>
        <w:ind w:firstLine="540"/>
        <w:jc w:val="both"/>
      </w:pPr>
      <w:r>
        <w:t>В связи с внедрением профессионального стандарта педагога, введением Национальной системы учительского роста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основанной на единых рамках профессиональных умений, отвечающей на персональные запросы педагогов и школ. Формирование эффективной системы непрерывного профессионального развития педагогов предполагает разработку новых программ повышения квалификации, соответствующих требованиям профессионального стандарта, модернизацию системы методических служб, интеграцию систем повышения квалификации и аттестации педагогов.</w:t>
      </w:r>
    </w:p>
    <w:p w14:paraId="5ABF4BF3" w14:textId="77777777" w:rsidR="00454A29" w:rsidRDefault="00454A29">
      <w:pPr>
        <w:pStyle w:val="ConsPlusNormal"/>
        <w:spacing w:before="220"/>
        <w:ind w:firstLine="540"/>
        <w:jc w:val="both"/>
      </w:pPr>
      <w:r>
        <w:t>Согласно Стратегии социально-экономического развития Республики Саха (Якутия) до 2032 года с определением целевого видения до 2050 года, одним из важных направлений развития системы образования является создание условий для развития и укрепления потенциала педагогических работников, преподавателей; формирование "портфеля компетенций" по информационным коммуникациям.</w:t>
      </w:r>
    </w:p>
    <w:p w14:paraId="77D182F7" w14:textId="77777777" w:rsidR="00454A29" w:rsidRDefault="00454A29">
      <w:pPr>
        <w:pStyle w:val="ConsPlusNormal"/>
        <w:spacing w:before="220"/>
        <w:ind w:firstLine="540"/>
        <w:jc w:val="both"/>
      </w:pPr>
      <w:r>
        <w:t>Необходима концентрация усилий для обеспечения условий развития кадрового потенциала региональной системы образования, которая осуществляется на комплексной основе, объединяющей новые подходы к организации работы с руководителями и с педагогами образовательных организаций.</w:t>
      </w:r>
    </w:p>
    <w:p w14:paraId="3B9A27D4" w14:textId="77777777" w:rsidR="00454A29" w:rsidRDefault="00454A29">
      <w:pPr>
        <w:pStyle w:val="ConsPlusNormal"/>
        <w:spacing w:before="220"/>
        <w:ind w:firstLine="540"/>
        <w:jc w:val="both"/>
      </w:pPr>
      <w:r>
        <w:t>Особое внимание уделяется созданию в Республике Саха (Якутия) новых мест в общеобразовательных организациях в соответствии с прогнозируемой потребностью и современными требованиями к условиям обучения.</w:t>
      </w:r>
    </w:p>
    <w:p w14:paraId="23F6D1A6" w14:textId="77777777" w:rsidR="00454A29" w:rsidRDefault="00454A29">
      <w:pPr>
        <w:pStyle w:val="ConsPlusNormal"/>
        <w:spacing w:before="220"/>
        <w:ind w:firstLine="540"/>
        <w:jc w:val="both"/>
      </w:pPr>
      <w:r>
        <w:t>В связи с региональными особенностями республики сеть общеобразовательных организаций является довольно разветвленной: по состоянию на 20 сентября 2018 г. из 652 организаций 631 является муниципальной (государственной) организацией, 14 - муниципальными организациями, реализующими программы общего образования в заочной и очно-заочной форме, 7 - негосударственными (частными) общеобразовательными организациями. Сельские школы составляют 71% от общего числа школ в республике.</w:t>
      </w:r>
    </w:p>
    <w:p w14:paraId="4ED59AC8" w14:textId="77777777" w:rsidR="00454A29" w:rsidRDefault="00454A29">
      <w:pPr>
        <w:pStyle w:val="ConsPlusNormal"/>
        <w:spacing w:before="220"/>
        <w:ind w:firstLine="540"/>
        <w:jc w:val="both"/>
      </w:pPr>
      <w:r>
        <w:t xml:space="preserve">В Республике Саха (Якутия) демографическую ситуацию можно оценить как достаточно благоприятную. В этой связи сохраняется положительная динамика роста численности обучающихся. На начало 2018 - 2019 учебного года в Республике Саха (Якутия) 24 416 детей (в 87 </w:t>
      </w:r>
      <w:r>
        <w:lastRenderedPageBreak/>
        <w:t>учебных заведениях) обучаются во вторую смену, в том числе 17 897 детей на территории городского округа "город Якутск", или 73,3% от общего числа обучающихся во вторую смену. Обучение в третью смену не осуществляется.</w:t>
      </w:r>
    </w:p>
    <w:p w14:paraId="739FBD73" w14:textId="77777777" w:rsidR="00454A29" w:rsidRDefault="00454A29">
      <w:pPr>
        <w:pStyle w:val="ConsPlusNormal"/>
        <w:spacing w:before="220"/>
        <w:ind w:firstLine="540"/>
        <w:jc w:val="both"/>
      </w:pPr>
      <w:r>
        <w:t>Удельный вес численности обучающихся, занимающихся в первую (одну) смену, в общей численности обучающихся в общеобразовательных организациях, составляет на 20 июня 2018 г. - 80,2%.</w:t>
      </w:r>
    </w:p>
    <w:p w14:paraId="5233D9F7" w14:textId="77777777" w:rsidR="00454A29" w:rsidRDefault="00454A29">
      <w:pPr>
        <w:pStyle w:val="ConsPlusNormal"/>
        <w:spacing w:before="220"/>
        <w:ind w:firstLine="540"/>
        <w:jc w:val="both"/>
      </w:pPr>
      <w:r>
        <w:t>Основное количество обучающихся во вторую смену в городском округе "город Якутск". Кроме того, наибольшее количество обучающихся во вторую смену в центрах муниципальных образований: Мирнинский район, Ленский район, Нюрбинский район, Верхноянский район, Чурапчинский улус.</w:t>
      </w:r>
    </w:p>
    <w:p w14:paraId="2A3DB5DE" w14:textId="77777777" w:rsidR="00454A29" w:rsidRDefault="00454A29">
      <w:pPr>
        <w:pStyle w:val="ConsPlusNormal"/>
        <w:spacing w:before="220"/>
        <w:ind w:firstLine="540"/>
        <w:jc w:val="both"/>
      </w:pPr>
      <w:r>
        <w:t>70,5% дневных школ находятся в сельской местности, в них обучается 36,8% от общей численности детей. Более трети общеобразовательных организаций являются малокомплектными (207 школы) и финансируются вне зависимости от количества обучающихся. Сокращение численности обучающихся в сельской местности за счет внутренней миграции населения привело к сокращению численности школьников на селе с 68 070 в 2006 году до 54 005 в 2018 году и, соответственно, к увеличению перечня малокомплектных школ с 183 в 2007 году до 207 школ в 2018 году.</w:t>
      </w:r>
    </w:p>
    <w:p w14:paraId="1C76D706" w14:textId="77777777" w:rsidR="00454A29" w:rsidRDefault="00454A29">
      <w:pPr>
        <w:pStyle w:val="ConsPlusNormal"/>
        <w:spacing w:before="220"/>
        <w:ind w:firstLine="540"/>
        <w:jc w:val="both"/>
      </w:pPr>
      <w:r>
        <w:t>В 2018 году создано 11 019 новых учебных мест, в том числе путем модернизации существующей инфраструктуры общего образования - 2417, оптимизации загруженности школ - 8602. В целях укрепления материально-технической базы общеобразовательных организаций построено 10 школ на 2135 ученических мест. Целевой характер вложений обеспечил существенное обновление инфраструктуры образования. Доля школьников, обучающихся в современных условиях, повысилась до 79,5% в 2016 году. Из 652 общеобразовательных школ 325 (49,8%) размещены в каменных зданиях и 327 (50,2%) - в деревянных зданиях.</w:t>
      </w:r>
    </w:p>
    <w:p w14:paraId="1623BEB3" w14:textId="77777777" w:rsidR="00454A29" w:rsidRDefault="00454A29">
      <w:pPr>
        <w:pStyle w:val="ConsPlusNormal"/>
        <w:spacing w:before="220"/>
        <w:ind w:firstLine="540"/>
        <w:jc w:val="both"/>
      </w:pPr>
      <w:r>
        <w:t>Вопрос улучшения материально-технической базы остается актуальным. По данным Росстата, на начало 2018 года в республике 140 школ (21,8%) имеют физический износ более 50%, 63 - признаны ветхими и аварийными (9,6% от общего количества). По состоянию на 1 сентября 2018 г. в аварийном состоянии находится 55 школ (8,4%).</w:t>
      </w:r>
    </w:p>
    <w:p w14:paraId="7457915F" w14:textId="77777777" w:rsidR="00454A29" w:rsidRDefault="00454A29">
      <w:pPr>
        <w:pStyle w:val="ConsPlusNormal"/>
        <w:spacing w:before="220"/>
        <w:ind w:firstLine="540"/>
        <w:jc w:val="both"/>
      </w:pPr>
      <w:r>
        <w:t>Это связано с тем, что большая часть зданий построена в 1950 - 1970 годах в деревянном исполнении и не имеет всех видов благоустройства. По данным статистики, в республике самая высокая доля неблагоустроенности зданий школ среди субъектов Дальнего Востока. Удельный вес численности обучающихся в зданиях, имеющих все виды благоустройства, по состоянию на 1 июня 2018 г. составляет 60,8%.</w:t>
      </w:r>
    </w:p>
    <w:p w14:paraId="5E70DA21" w14:textId="77777777" w:rsidR="00454A29" w:rsidRDefault="00454A29">
      <w:pPr>
        <w:pStyle w:val="ConsPlusNormal"/>
        <w:spacing w:before="220"/>
        <w:ind w:firstLine="540"/>
        <w:jc w:val="both"/>
      </w:pPr>
      <w:r>
        <w:t>Необходимость обеспечения равных условий при получении образования школьниками обуславливает проведение мероприятий по оптимизации сети образовательных организаций с учетом транспортной удаленности населенных пунктов, что в некоторых случаях невозможно в условиях Якутии.</w:t>
      </w:r>
    </w:p>
    <w:p w14:paraId="2A6CFE21" w14:textId="77777777" w:rsidR="00454A29" w:rsidRDefault="00454A29">
      <w:pPr>
        <w:pStyle w:val="ConsPlusNormal"/>
        <w:spacing w:before="220"/>
        <w:ind w:firstLine="540"/>
        <w:jc w:val="both"/>
      </w:pPr>
      <w:r>
        <w:t>Небольшие образовательные организации остаются востребованными в сельских труднодоступных и удаленных территориях. В масштабах Российской Федерации их доля может и не иметь критического значения, но для республики остается важным их сохранение и развитие, равно как и поддержка кочевых школ в местах традиционного природопользования и традиционной хозяйственной деятельности коренных малочисленных народов Севера Республики Саха (Якутия).</w:t>
      </w:r>
    </w:p>
    <w:p w14:paraId="325DFF2C" w14:textId="77777777" w:rsidR="00454A29" w:rsidRDefault="00454A29">
      <w:pPr>
        <w:pStyle w:val="ConsPlusNormal"/>
        <w:spacing w:before="220"/>
        <w:ind w:firstLine="540"/>
        <w:jc w:val="both"/>
      </w:pPr>
      <w:r>
        <w:t>Препятствующими факторами для создания в Республике Саха (Якутия) новых мест в общеобразовательных организациях могут стать следующие финансово-экономические риски:</w:t>
      </w:r>
    </w:p>
    <w:p w14:paraId="5B1303E3" w14:textId="77777777" w:rsidR="00454A29" w:rsidRDefault="00454A29">
      <w:pPr>
        <w:pStyle w:val="ConsPlusNormal"/>
        <w:spacing w:before="220"/>
        <w:ind w:firstLine="540"/>
        <w:jc w:val="both"/>
      </w:pPr>
      <w:r>
        <w:t xml:space="preserve">неполное выделение бюджетных средств в рамках одного года и на плановый период </w:t>
      </w:r>
      <w:r>
        <w:lastRenderedPageBreak/>
        <w:t>последующих годов на реализацию подпрограммных мероприятий, вследствие чего могут измениться запланированные сроки выполнения мероприятий;</w:t>
      </w:r>
    </w:p>
    <w:p w14:paraId="0389118E" w14:textId="77777777" w:rsidR="00454A29" w:rsidRDefault="00454A29">
      <w:pPr>
        <w:pStyle w:val="ConsPlusNormal"/>
        <w:spacing w:before="220"/>
        <w:ind w:firstLine="540"/>
        <w:jc w:val="both"/>
      </w:pPr>
      <w:r>
        <w:t>увеличение затрат на отдельные подпрограммные мероприятия;</w:t>
      </w:r>
    </w:p>
    <w:p w14:paraId="3C733241" w14:textId="77777777" w:rsidR="00454A29" w:rsidRDefault="00454A29">
      <w:pPr>
        <w:pStyle w:val="ConsPlusNormal"/>
        <w:spacing w:before="220"/>
        <w:ind w:firstLine="540"/>
        <w:jc w:val="both"/>
      </w:pPr>
      <w:r>
        <w:t>более высокий рост цен на отдельные виды услуг, оказание которых предусмотрено в рамках подпрограммных мероприятий, что повлечет увеличение затрат на отдельные подпрограммные мероприятия;</w:t>
      </w:r>
    </w:p>
    <w:p w14:paraId="2A5BADE6" w14:textId="77777777" w:rsidR="00454A29" w:rsidRDefault="00454A29">
      <w:pPr>
        <w:pStyle w:val="ConsPlusNormal"/>
        <w:spacing w:before="220"/>
        <w:ind w:firstLine="540"/>
        <w:jc w:val="both"/>
      </w:pPr>
      <w:r>
        <w:t>рост социальной напряженности, обусловленный сохранением неравной доступности образования и дифференциацией качества образования для различных групп населения.</w:t>
      </w:r>
    </w:p>
    <w:p w14:paraId="1A2B1292" w14:textId="77777777" w:rsidR="00454A29" w:rsidRDefault="00454A29">
      <w:pPr>
        <w:pStyle w:val="ConsPlusNormal"/>
        <w:spacing w:before="220"/>
        <w:ind w:firstLine="540"/>
        <w:jc w:val="both"/>
      </w:pPr>
      <w:r>
        <w:t>Для регулирования и устранения возможных рисков необходимо принять комплекс мер по их устранению:</w:t>
      </w:r>
    </w:p>
    <w:p w14:paraId="01741F7E" w14:textId="77777777" w:rsidR="00454A29" w:rsidRDefault="00454A29">
      <w:pPr>
        <w:pStyle w:val="ConsPlusNormal"/>
        <w:spacing w:before="220"/>
        <w:ind w:firstLine="540"/>
        <w:jc w:val="both"/>
      </w:pPr>
      <w:r>
        <w:t>проведение анализа состояния материально-технической базы общеобразовательных организаций и принятие мер по их укреплению;</w:t>
      </w:r>
    </w:p>
    <w:p w14:paraId="5EE8DDF1" w14:textId="77777777" w:rsidR="00454A29" w:rsidRDefault="00454A29">
      <w:pPr>
        <w:pStyle w:val="ConsPlusNormal"/>
        <w:spacing w:before="220"/>
        <w:ind w:firstLine="540"/>
        <w:jc w:val="both"/>
      </w:pPr>
      <w:r>
        <w:t>разработка и принятие нормативных и правовых документов о внесении необходимых изменений в программные мероприятия.</w:t>
      </w:r>
    </w:p>
    <w:p w14:paraId="26975719" w14:textId="77777777" w:rsidR="00454A29" w:rsidRDefault="00454A29">
      <w:pPr>
        <w:pStyle w:val="ConsPlusNormal"/>
        <w:spacing w:before="220"/>
        <w:ind w:firstLine="540"/>
        <w:jc w:val="both"/>
      </w:pPr>
      <w:r>
        <w:t>Укрепление материально-технической базы дошкольных образовательных организаций, общеобразовательных организаций, организаций дополнительного образования и профессиональных образовательных организаций в республике является необходимым условием обеспечения доступности качественных образовательных услуг для населения.</w:t>
      </w:r>
    </w:p>
    <w:p w14:paraId="16F51248" w14:textId="77777777" w:rsidR="00454A29" w:rsidRDefault="00454A29">
      <w:pPr>
        <w:pStyle w:val="ConsPlusNormal"/>
        <w:spacing w:before="220"/>
        <w:ind w:firstLine="540"/>
        <w:jc w:val="both"/>
      </w:pPr>
      <w:r>
        <w:t>По состоянию на 20 сентября 2018 г. в республике:</w:t>
      </w:r>
    </w:p>
    <w:p w14:paraId="52CB1079" w14:textId="77777777" w:rsidR="00454A29" w:rsidRDefault="00454A29">
      <w:pPr>
        <w:pStyle w:val="ConsPlusNormal"/>
        <w:spacing w:before="220"/>
        <w:ind w:firstLine="540"/>
        <w:jc w:val="both"/>
      </w:pPr>
      <w:r>
        <w:t>652 общеобразовательных школ, в том числе: 613 муниципальных общеобразовательных школ, 4 ведомственных, 14 вечерних и 7 негосударственных школ. Сельские школы составляют значительную часть - 71% от общего числа школ в Республике Саха (Якутия). Из 652 общеобразовательных школ 325 (49,8%) размещены в каменных зданиях, 327 (50,2%) - в деревянных зданиях;</w:t>
      </w:r>
    </w:p>
    <w:p w14:paraId="5343D443" w14:textId="77777777" w:rsidR="00454A29" w:rsidRDefault="00454A29">
      <w:pPr>
        <w:pStyle w:val="ConsPlusNormal"/>
        <w:spacing w:before="220"/>
        <w:ind w:firstLine="540"/>
        <w:jc w:val="both"/>
      </w:pPr>
      <w:r>
        <w:t>629 дошкольных образовательных организаций, из них: расположены в сельской местности - 410 (65%), размещены в каменных зданиях - 225 (35%), в деревянных зданиях - 422 (65%), типовые здания представляют собой 403 (62,3%) дошкольных образовательных организаций и приспособленные здания - 244 (37,7%). Все виды благоустройства имеют всего 267 (41%) зданий дошкольных учреждений.</w:t>
      </w:r>
    </w:p>
    <w:p w14:paraId="6C32F42A" w14:textId="77777777" w:rsidR="00454A29" w:rsidRDefault="00454A29">
      <w:pPr>
        <w:pStyle w:val="ConsPlusNormal"/>
        <w:spacing w:before="220"/>
        <w:ind w:firstLine="540"/>
        <w:jc w:val="both"/>
      </w:pPr>
      <w:r>
        <w:t>В 2018 году в 215 организациях дополнительного образования детей свои способности развивают более 110 тыс. воспитанников в секциях, студиях и объединениях различных направлений, из них в сельской местности занимаются более 37 тыс. детей.</w:t>
      </w:r>
    </w:p>
    <w:p w14:paraId="79CDE9B0" w14:textId="77777777" w:rsidR="00454A29" w:rsidRDefault="00454A29">
      <w:pPr>
        <w:pStyle w:val="ConsPlusNormal"/>
        <w:spacing w:before="220"/>
        <w:ind w:firstLine="540"/>
        <w:jc w:val="both"/>
      </w:pPr>
      <w:r>
        <w:t>На сегодня на территории республики осуществляют свою деятельность 48 профессиональных образовательных организаций, реализующих программы среднего профессионального, дополнительного профессионального образования, профессионального обучения и дополнительного образования детей и взрослых, в том числе 3 негосударственных.</w:t>
      </w:r>
    </w:p>
    <w:p w14:paraId="6B8AFDA5" w14:textId="77777777" w:rsidR="00454A29" w:rsidRDefault="00454A29">
      <w:pPr>
        <w:pStyle w:val="ConsPlusNormal"/>
        <w:spacing w:before="220"/>
        <w:ind w:firstLine="540"/>
        <w:jc w:val="both"/>
      </w:pPr>
      <w:r>
        <w:t>В результате проводимой целенаправленной системной работы по укреплению, обновлению материально-технической базы образовательных организаций в республике сокращается количество ветхих и аварийных зданий образовательных организаций, увеличилось количество каменных типовых благоустроенных объектов образования.</w:t>
      </w:r>
    </w:p>
    <w:p w14:paraId="4E3194C2" w14:textId="77777777" w:rsidR="00454A29" w:rsidRDefault="00454A29">
      <w:pPr>
        <w:pStyle w:val="ConsPlusNormal"/>
        <w:spacing w:before="220"/>
        <w:ind w:firstLine="540"/>
        <w:jc w:val="both"/>
      </w:pPr>
      <w:r>
        <w:t xml:space="preserve">Ежегодно в республике вводится в эксплуатацию не менее 10-ти школ, в том числе школ-садов, малокомплектных школ. В результате ввода новых школ, проведения реконструкций и </w:t>
      </w:r>
      <w:r>
        <w:lastRenderedPageBreak/>
        <w:t>капитального ремонта на 11% сократилось количество ветхих и аварийных зданий. Увеличилось количество типовых школьных зданий - 509 зданий (78%), 142 школы размещены в приспособленных зданиях. Все виды благоустройства (отопление, водопровод, канализацию) имеют 397 школ (60%).</w:t>
      </w:r>
    </w:p>
    <w:p w14:paraId="5F24AD04" w14:textId="77777777" w:rsidR="00454A29" w:rsidRDefault="00454A29">
      <w:pPr>
        <w:pStyle w:val="ConsPlusNormal"/>
        <w:spacing w:before="220"/>
        <w:ind w:firstLine="540"/>
        <w:jc w:val="both"/>
      </w:pPr>
      <w:r>
        <w:t>В республике по состоянию на 1 января 2016 г. ликвидирована очередность по потребности в определении детей в возрасте от 3 до 7 лет в дошкольные образовательные организации.</w:t>
      </w:r>
    </w:p>
    <w:p w14:paraId="1D0E6ACA" w14:textId="77777777" w:rsidR="00454A29" w:rsidRDefault="00454A29">
      <w:pPr>
        <w:pStyle w:val="ConsPlusNormal"/>
        <w:spacing w:before="220"/>
        <w:ind w:firstLine="540"/>
        <w:jc w:val="both"/>
      </w:pPr>
      <w:r>
        <w:t>За последние 5 лет введено в действие 7 основных объектов профессиональных образовательных организаций - 3 общежития (Транспортный техникум, Горно-геологический, общежитие на 684 мест в г. Якутске), 4 учебно-лабораторных корпуса (Транспортный техникум, Аграрный техникум, Горно-геологический, Вилюйский педагогический колледж).</w:t>
      </w:r>
    </w:p>
    <w:p w14:paraId="4D239648" w14:textId="77777777" w:rsidR="00454A29" w:rsidRDefault="00454A29">
      <w:pPr>
        <w:pStyle w:val="ConsPlusNormal"/>
        <w:spacing w:before="220"/>
        <w:ind w:firstLine="540"/>
        <w:jc w:val="both"/>
      </w:pPr>
      <w:r>
        <w:t>В то же время в аварийном состоянии находится 55 зданий (8,4%) от общего количества школ, 8 зданий уничтожены в результате пожара. Из них 33 школы размещены в приспособленных зданиях для обеспечения учебного процесса, остальные находятся в зданиях, признанных аварийными, после проведения укрепительных работ (поддерживающего ремонта).</w:t>
      </w:r>
    </w:p>
    <w:p w14:paraId="69492C42" w14:textId="77777777" w:rsidR="00454A29" w:rsidRDefault="00454A29">
      <w:pPr>
        <w:pStyle w:val="ConsPlusNormal"/>
        <w:spacing w:before="220"/>
        <w:ind w:firstLine="540"/>
        <w:jc w:val="both"/>
      </w:pPr>
      <w:r>
        <w:t>Из общего количества зданий дошкольных организаций - 25 (3,7%) находятся в аварийном состоянии и 122 (18,1%) требуют проведения капитального ремонта.</w:t>
      </w:r>
    </w:p>
    <w:p w14:paraId="3733D397" w14:textId="77777777" w:rsidR="00454A29" w:rsidRDefault="00454A29">
      <w:pPr>
        <w:pStyle w:val="ConsPlusNormal"/>
        <w:spacing w:before="220"/>
        <w:ind w:firstLine="540"/>
        <w:jc w:val="both"/>
      </w:pPr>
      <w:r>
        <w:t>В Республике Саха (Якутия) рост рождаемости ведет к соответствующему повышению потребности в услугах дошкольного образования. Рост внутренней миграции, что является следствием интенсивной урбанизации, ведет к нагрузке на дошкольные образовательные организации городов и поселков городского типа.</w:t>
      </w:r>
    </w:p>
    <w:p w14:paraId="5A492C1C" w14:textId="77777777" w:rsidR="00454A29" w:rsidRDefault="00454A29">
      <w:pPr>
        <w:pStyle w:val="ConsPlusNormal"/>
        <w:spacing w:before="220"/>
        <w:ind w:firstLine="540"/>
        <w:jc w:val="both"/>
      </w:pPr>
      <w:r>
        <w:t>Учитывая перспективы социально-экономического развития республики, характеризующиеся высокими темпами развития экономики и промышленности с положительной демографической ситуацией, а также притоком населения, возникает необходимость в строительстве и реконструкции учебно-лабораторных корпусов и инфраструктурных объектов государственных профессиональных образовательных организаций Республики Саха (Якутия).</w:t>
      </w:r>
    </w:p>
    <w:p w14:paraId="442E095C" w14:textId="77777777" w:rsidR="00454A29" w:rsidRDefault="00454A29">
      <w:pPr>
        <w:pStyle w:val="ConsPlusNormal"/>
        <w:spacing w:before="220"/>
        <w:ind w:firstLine="540"/>
        <w:jc w:val="both"/>
      </w:pPr>
      <w:r>
        <w:t>Система профессионального образования в Республике Саха (Якутия) формируется государственными и негосударственными профессиональными образовательными организациями и образовательными организациями высшего образования республиканского и федерального ведения, учебными центрами, центрами подготовки кадров предприятий, которые реализуют программы соответствующего уровня, а также послевузовского и дополнительного профессионального образования.</w:t>
      </w:r>
    </w:p>
    <w:p w14:paraId="3529EA6F" w14:textId="77777777" w:rsidR="00454A29" w:rsidRDefault="00454A29">
      <w:pPr>
        <w:pStyle w:val="ConsPlusNormal"/>
        <w:spacing w:before="220"/>
        <w:ind w:firstLine="540"/>
        <w:jc w:val="both"/>
      </w:pPr>
      <w:r>
        <w:t>Согласно проведенному анализу технического состояния объектов профессиональных образовательных организаций, подведомственных Министерству образования и науки Республики Саха (Якутия), в настоящее время общее количество объектов - 397, из них построенных более 30 лет назад (до 1980 года) - 125 объектов, в том числе: учебных корпусов - 40, общежитий - 19, учебных мастерских - 17, гаражей - 10, вспомогательных объектов - 39.</w:t>
      </w:r>
    </w:p>
    <w:p w14:paraId="24138043" w14:textId="77777777" w:rsidR="00454A29" w:rsidRDefault="00454A29">
      <w:pPr>
        <w:pStyle w:val="ConsPlusNormal"/>
        <w:spacing w:before="220"/>
        <w:ind w:firstLine="540"/>
        <w:jc w:val="both"/>
      </w:pPr>
      <w:r>
        <w:t>Из 80 учебных корпусов 31 объект (или 38,7%) - в деревянном исполнении, 49 (или 61,25%) - в каменном исполнении. Из 49 общежитий 22 объекта (или 44,8%) - в деревянном исполнении, 26 (или 53,06%) - в каменном исполнении, 1 объект - модульный (2,14%).</w:t>
      </w:r>
    </w:p>
    <w:p w14:paraId="1B2C5F50" w14:textId="77777777" w:rsidR="00454A29" w:rsidRDefault="00454A29">
      <w:pPr>
        <w:pStyle w:val="ConsPlusNormal"/>
        <w:spacing w:before="220"/>
        <w:ind w:firstLine="540"/>
        <w:jc w:val="both"/>
      </w:pPr>
      <w:r>
        <w:t>С каждым годом ухудшается техническое состояние объектов в связи с физическим износом. Так, из 80 учебных корпусов в удовлетворительном состоянии - 60 объектов (75%), требуют капремонта - 17 объектов (21,25%), аварийных - 3 объекта (3,75%).</w:t>
      </w:r>
    </w:p>
    <w:p w14:paraId="105132CB" w14:textId="77777777" w:rsidR="00454A29" w:rsidRDefault="00454A29">
      <w:pPr>
        <w:pStyle w:val="ConsPlusNormal"/>
        <w:spacing w:before="220"/>
        <w:ind w:firstLine="540"/>
        <w:jc w:val="both"/>
      </w:pPr>
      <w:r>
        <w:t>Из 50 общежитий в удовлетворительном состоянии - 34 (68%), требуют капремонта - 11 (22%), аварийных - 5 (10%).</w:t>
      </w:r>
    </w:p>
    <w:p w14:paraId="1616481A" w14:textId="77777777" w:rsidR="00454A29" w:rsidRDefault="00454A29">
      <w:pPr>
        <w:pStyle w:val="ConsPlusNormal"/>
        <w:spacing w:before="220"/>
        <w:ind w:firstLine="540"/>
        <w:jc w:val="both"/>
      </w:pPr>
      <w:r>
        <w:lastRenderedPageBreak/>
        <w:t>Всего учебных мастерских - 51, из них в удовлетворительном состоянии - 34 (66,7%), требуют капремонта - 13 (25,5%), аварийных - 4 (7,8%).</w:t>
      </w:r>
    </w:p>
    <w:p w14:paraId="6FD8C351" w14:textId="77777777" w:rsidR="00454A29" w:rsidRDefault="00454A29">
      <w:pPr>
        <w:pStyle w:val="ConsPlusNormal"/>
        <w:spacing w:before="220"/>
        <w:ind w:firstLine="540"/>
        <w:jc w:val="both"/>
      </w:pPr>
      <w:r>
        <w:t>Всего гаражей - 54, из них в удовлетворительном состоянии - 45 (83,3%), требуют капремонта - 6 (11,1%), аварийных - 3 (5,5%).</w:t>
      </w:r>
    </w:p>
    <w:p w14:paraId="69C9EB44" w14:textId="77777777" w:rsidR="00454A29" w:rsidRDefault="00454A29">
      <w:pPr>
        <w:pStyle w:val="ConsPlusNormal"/>
        <w:spacing w:before="220"/>
        <w:ind w:firstLine="540"/>
        <w:jc w:val="both"/>
      </w:pPr>
      <w:r>
        <w:t>Всего вспомогательных построек - 162, из них в удовлетворительном состоянии - 122 (75,3%), требуют капремонта - 19 (11,7%), аварийных - 21 (13%).</w:t>
      </w:r>
    </w:p>
    <w:p w14:paraId="02537ED3" w14:textId="77777777" w:rsidR="00454A29" w:rsidRDefault="00454A29">
      <w:pPr>
        <w:pStyle w:val="ConsPlusNormal"/>
        <w:spacing w:before="220"/>
        <w:ind w:firstLine="540"/>
        <w:jc w:val="both"/>
      </w:pPr>
      <w:r>
        <w:t>В настоящее время начато строительство объектов образования в рамках реализации 26 проектов государственно-частного партнерства на территории Республики Саха (Якутия):</w:t>
      </w:r>
    </w:p>
    <w:p w14:paraId="58352670" w14:textId="77777777" w:rsidR="00454A29" w:rsidRDefault="00454A29">
      <w:pPr>
        <w:pStyle w:val="ConsPlusNormal"/>
        <w:spacing w:before="220"/>
        <w:ind w:firstLine="540"/>
        <w:jc w:val="both"/>
      </w:pPr>
      <w:r>
        <w:t>дошкольных образовательных организаций - 22 детских сада всего на 4181 место, в том числе в сельской местности - 17 всего на 2481 место;</w:t>
      </w:r>
    </w:p>
    <w:p w14:paraId="0A1082F7" w14:textId="77777777" w:rsidR="00454A29" w:rsidRDefault="00454A29">
      <w:pPr>
        <w:pStyle w:val="ConsPlusNormal"/>
        <w:spacing w:before="220"/>
        <w:ind w:firstLine="540"/>
        <w:jc w:val="both"/>
      </w:pPr>
      <w:r>
        <w:t>общеобразовательных организаций на территории Республики Саха (Якутия) - 4 школы всего на 1620 мест в г. Якутске.</w:t>
      </w:r>
    </w:p>
    <w:p w14:paraId="367CF3E8" w14:textId="77777777" w:rsidR="00454A29" w:rsidRDefault="00454A29">
      <w:pPr>
        <w:pStyle w:val="ConsPlusNormal"/>
        <w:spacing w:before="220"/>
        <w:ind w:firstLine="540"/>
        <w:jc w:val="both"/>
      </w:pPr>
      <w:r>
        <w:t>Строительство дошкольных образовательных организаций и общеобразовательных организаций на принципах государственно-частного партнерства позволит обеспечить:</w:t>
      </w:r>
    </w:p>
    <w:p w14:paraId="72A5CB44" w14:textId="77777777" w:rsidR="00454A29" w:rsidRDefault="00454A29">
      <w:pPr>
        <w:pStyle w:val="ConsPlusNormal"/>
        <w:spacing w:before="220"/>
        <w:ind w:firstLine="540"/>
        <w:jc w:val="both"/>
      </w:pPr>
      <w:r>
        <w:t>ежегодный ввод новых объектов образования;</w:t>
      </w:r>
    </w:p>
    <w:p w14:paraId="5D73F48D" w14:textId="77777777" w:rsidR="00454A29" w:rsidRDefault="00454A29">
      <w:pPr>
        <w:pStyle w:val="ConsPlusNormal"/>
        <w:spacing w:before="220"/>
        <w:ind w:firstLine="540"/>
        <w:jc w:val="both"/>
      </w:pPr>
      <w:r>
        <w:t>консолидацию средств республиканского и муниципального бюджетов по сокращению количества ветхих объектов и приведению в соответствие существующим санитарным нормам и правилам;</w:t>
      </w:r>
    </w:p>
    <w:p w14:paraId="4479A103" w14:textId="77777777" w:rsidR="00454A29" w:rsidRDefault="00454A29">
      <w:pPr>
        <w:pStyle w:val="ConsPlusNormal"/>
        <w:spacing w:before="220"/>
        <w:ind w:firstLine="540"/>
        <w:jc w:val="both"/>
      </w:pPr>
      <w:r>
        <w:t>внедрение технологий энергосбережения в образовательных организациях;</w:t>
      </w:r>
    </w:p>
    <w:p w14:paraId="0922B720" w14:textId="77777777" w:rsidR="00454A29" w:rsidRDefault="00454A29">
      <w:pPr>
        <w:pStyle w:val="ConsPlusNormal"/>
        <w:spacing w:before="220"/>
        <w:ind w:firstLine="540"/>
        <w:jc w:val="both"/>
      </w:pPr>
      <w:r>
        <w:t>снижение очередности в дошкольные образовательные организации.</w:t>
      </w:r>
    </w:p>
    <w:p w14:paraId="13D80199" w14:textId="77777777" w:rsidR="00454A29" w:rsidRDefault="00454A29">
      <w:pPr>
        <w:pStyle w:val="ConsPlusNormal"/>
        <w:spacing w:before="220"/>
        <w:ind w:firstLine="540"/>
        <w:jc w:val="both"/>
      </w:pPr>
      <w:r>
        <w:t>Строительство и реконструкция зданий профессиональных образовательных организаций позволит вывести из эксплуатации аварийные здания, тем самым восполнив существующий дефицит учебных площадей и мест в общежитиях для студентов. Это станет залогом повышения качества профессионального образования и удовлетворения потребности экономики республики в квалифицированных кадрах, развития материальной базы учебных заведений, улучшения образовательной среды и повышения конкурентоспособности и доступности среднего профессионального образования.</w:t>
      </w:r>
    </w:p>
    <w:p w14:paraId="60C1FC2F" w14:textId="77777777" w:rsidR="00454A29" w:rsidRDefault="00454A29">
      <w:pPr>
        <w:pStyle w:val="ConsPlusNormal"/>
        <w:spacing w:before="220"/>
        <w:ind w:firstLine="540"/>
        <w:jc w:val="both"/>
      </w:pPr>
      <w:hyperlink w:anchor="P5723" w:history="1">
        <w:r>
          <w:rPr>
            <w:color w:val="0000FF"/>
          </w:rPr>
          <w:t>Перечень</w:t>
        </w:r>
      </w:hyperlink>
      <w:r>
        <w:t xml:space="preserve"> объектов капитального строительства, финансируемых в рамках государственной программы представлен в приложении N 3 к государственной программе.</w:t>
      </w:r>
    </w:p>
    <w:p w14:paraId="0CF47A5C" w14:textId="77777777" w:rsidR="00454A29" w:rsidRDefault="00454A29">
      <w:pPr>
        <w:pStyle w:val="ConsPlusNormal"/>
        <w:spacing w:before="220"/>
        <w:ind w:firstLine="540"/>
        <w:jc w:val="both"/>
      </w:pPr>
      <w:r>
        <w:t>Препятствующими факторами укрепления, обновления материально-технической базы образовательных организаций могут стать следующие финансово-экономические риски:</w:t>
      </w:r>
    </w:p>
    <w:p w14:paraId="1A06C263" w14:textId="77777777" w:rsidR="00454A29" w:rsidRDefault="00454A29">
      <w:pPr>
        <w:pStyle w:val="ConsPlusNormal"/>
        <w:spacing w:before="220"/>
        <w:ind w:firstLine="540"/>
        <w:jc w:val="both"/>
      </w:pPr>
      <w:r>
        <w:t>неполное выделение бюджетных средств в рамках одного года и на последующий плановый период на реализацию подпрограммных мероприятий, вследствие чего могут измениться запланированные сроки выполнения мероприятий;</w:t>
      </w:r>
    </w:p>
    <w:p w14:paraId="105C14D4" w14:textId="77777777" w:rsidR="00454A29" w:rsidRDefault="00454A29">
      <w:pPr>
        <w:pStyle w:val="ConsPlusNormal"/>
        <w:spacing w:before="220"/>
        <w:ind w:firstLine="540"/>
        <w:jc w:val="both"/>
      </w:pPr>
      <w:r>
        <w:t>увеличение затрат на строительно-монтажные работы, проведение капитального ремонта и другие отдельные подпрограммные мероприятия;</w:t>
      </w:r>
    </w:p>
    <w:p w14:paraId="3797B9B8" w14:textId="77777777" w:rsidR="00454A29" w:rsidRDefault="00454A29">
      <w:pPr>
        <w:pStyle w:val="ConsPlusNormal"/>
        <w:spacing w:before="220"/>
        <w:ind w:firstLine="540"/>
        <w:jc w:val="both"/>
      </w:pPr>
      <w:r>
        <w:t>высокий рост цен на отдельные виды услуг в строительстве, оказание которых предусмотрено в рамках подпрограммных мероприятий, что повлечет увеличение затрат на отдельные подпрограммные мероприятия;</w:t>
      </w:r>
    </w:p>
    <w:p w14:paraId="52BCA43B" w14:textId="77777777" w:rsidR="00454A29" w:rsidRDefault="00454A29">
      <w:pPr>
        <w:pStyle w:val="ConsPlusNormal"/>
        <w:spacing w:before="220"/>
        <w:ind w:firstLine="540"/>
        <w:jc w:val="both"/>
      </w:pPr>
      <w:r>
        <w:t xml:space="preserve">износ материальной инфраструктуры образования, что может потребовать принятия </w:t>
      </w:r>
      <w:r>
        <w:lastRenderedPageBreak/>
        <w:t>экстренных мер по ее воссозданию;</w:t>
      </w:r>
    </w:p>
    <w:p w14:paraId="29F543DA" w14:textId="77777777" w:rsidR="00454A29" w:rsidRDefault="00454A29">
      <w:pPr>
        <w:pStyle w:val="ConsPlusNormal"/>
        <w:spacing w:before="220"/>
        <w:ind w:firstLine="540"/>
        <w:jc w:val="both"/>
      </w:pPr>
      <w:r>
        <w:t>реорганизация и оптимизация организаций образования, вследствие чего может измениться число обучающихся, охваченных образованием;</w:t>
      </w:r>
    </w:p>
    <w:p w14:paraId="4138C28F" w14:textId="77777777" w:rsidR="00454A29" w:rsidRDefault="00454A29">
      <w:pPr>
        <w:pStyle w:val="ConsPlusNormal"/>
        <w:spacing w:before="220"/>
        <w:ind w:firstLine="540"/>
        <w:jc w:val="both"/>
      </w:pPr>
      <w:r>
        <w:t>рост социальной напряженности, обусловленный сохранением неравной доступности образования и дифференциацией качества образования для различных групп населения.</w:t>
      </w:r>
    </w:p>
    <w:p w14:paraId="398CC2EA" w14:textId="77777777" w:rsidR="00454A29" w:rsidRDefault="00454A29">
      <w:pPr>
        <w:pStyle w:val="ConsPlusNormal"/>
      </w:pPr>
    </w:p>
    <w:p w14:paraId="681E521D" w14:textId="77777777" w:rsidR="00454A29" w:rsidRDefault="00454A29">
      <w:pPr>
        <w:pStyle w:val="ConsPlusTitle"/>
        <w:jc w:val="center"/>
        <w:outlineLvl w:val="1"/>
      </w:pPr>
      <w:r>
        <w:t>Раздел 2. ЦЕЛЬ И ЗАДАЧИ ГОСУДАРСТВЕННОЙ ПРОГРАММЫ</w:t>
      </w:r>
    </w:p>
    <w:p w14:paraId="6E410AD5" w14:textId="77777777" w:rsidR="00454A29" w:rsidRDefault="00454A29">
      <w:pPr>
        <w:pStyle w:val="ConsPlusNormal"/>
      </w:pPr>
    </w:p>
    <w:p w14:paraId="50498796" w14:textId="77777777" w:rsidR="00454A29" w:rsidRDefault="00454A29">
      <w:pPr>
        <w:pStyle w:val="ConsPlusNormal"/>
        <w:ind w:firstLine="540"/>
        <w:jc w:val="both"/>
      </w:pPr>
      <w:r>
        <w:t>Система образования Республики Саха (Якутия) - неотъемлемая часть образовательного пространства Российской Федерации, поэтому стратегия и направления ее развития определяются, с одной стороны, задачами социально-экономического развития Республики Саха (Якутия) в контексте стратегии перехода экономики России на инновационную социально ориентированную модель развития, с другой стороны, стратегическими ориентирами государственной политики в области образования, особым образом реализующимися в условиях Республики Саха (Якутия).</w:t>
      </w:r>
    </w:p>
    <w:p w14:paraId="2FE36939" w14:textId="77777777" w:rsidR="00454A29" w:rsidRDefault="00454A29">
      <w:pPr>
        <w:pStyle w:val="ConsPlusNormal"/>
        <w:spacing w:before="220"/>
        <w:ind w:firstLine="540"/>
        <w:jc w:val="both"/>
      </w:pPr>
      <w:r>
        <w:t>Интегральной целью государственной программы, согласующейся с приоритетами социально-экономического развития Республики Саха (Якутия) на период до 2032 года с определением целевого видения до 2050 года и основными направлениями государственной политики в сфере образования, является 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w:t>
      </w:r>
    </w:p>
    <w:p w14:paraId="4248807B" w14:textId="77777777" w:rsidR="00454A29" w:rsidRDefault="00454A29">
      <w:pPr>
        <w:pStyle w:val="ConsPlusNormal"/>
        <w:spacing w:before="220"/>
        <w:ind w:firstLine="540"/>
        <w:jc w:val="both"/>
      </w:pPr>
      <w:r>
        <w:t>Для достижения поставленной цели государственной программы необходимо решить следующие задачи по всем уровням образования:</w:t>
      </w:r>
    </w:p>
    <w:p w14:paraId="7275C12D" w14:textId="77777777" w:rsidR="00454A29" w:rsidRDefault="00454A29">
      <w:pPr>
        <w:pStyle w:val="ConsPlusNormal"/>
        <w:spacing w:before="220"/>
        <w:ind w:firstLine="540"/>
        <w:jc w:val="both"/>
      </w:pPr>
      <w:r>
        <w:t>совершенствование содержания образования, образовательных программ общего образования детей, направленных на достижение высоких учебных результатов и успешную социализацию;</w:t>
      </w:r>
    </w:p>
    <w:p w14:paraId="2A80DB07" w14:textId="77777777" w:rsidR="00454A29" w:rsidRDefault="00454A29">
      <w:pPr>
        <w:pStyle w:val="ConsPlusNormal"/>
        <w:spacing w:before="220"/>
        <w:ind w:firstLine="540"/>
        <w:jc w:val="both"/>
      </w:pPr>
      <w:r>
        <w:t>обеспечение трудовыми ресурсами потребности экономики в соответствии с прогнозом потребности в кадрах для отраслей экономики Республики Саха (Якутия);</w:t>
      </w:r>
    </w:p>
    <w:p w14:paraId="2C5F62CD" w14:textId="77777777" w:rsidR="00454A29" w:rsidRDefault="00454A29">
      <w:pPr>
        <w:pStyle w:val="ConsPlusNormal"/>
        <w:spacing w:before="220"/>
        <w:ind w:firstLine="540"/>
        <w:jc w:val="both"/>
      </w:pPr>
      <w:r>
        <w:t>создание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народов Республики Саха (Якутия); формирование современной региональной системы дополнительного образования детей;</w:t>
      </w:r>
    </w:p>
    <w:p w14:paraId="625E2258" w14:textId="77777777" w:rsidR="00454A29" w:rsidRDefault="00454A29">
      <w:pPr>
        <w:pStyle w:val="ConsPlusNormal"/>
        <w:spacing w:before="220"/>
        <w:ind w:firstLine="540"/>
        <w:jc w:val="both"/>
      </w:pPr>
      <w:r>
        <w:t>создание условий для выявления и развития одаренных и талантливых детей Республики Саха (Якутия);</w:t>
      </w:r>
    </w:p>
    <w:p w14:paraId="50587BEF" w14:textId="77777777" w:rsidR="00454A29" w:rsidRDefault="00454A29">
      <w:pPr>
        <w:pStyle w:val="ConsPlusNormal"/>
        <w:spacing w:before="220"/>
        <w:ind w:firstLine="540"/>
        <w:jc w:val="both"/>
      </w:pPr>
      <w:r>
        <w:t>обеспечение доступности отдыха и оздоровления детей;</w:t>
      </w:r>
    </w:p>
    <w:p w14:paraId="6D97643A" w14:textId="77777777" w:rsidR="00454A29" w:rsidRDefault="00454A29">
      <w:pPr>
        <w:pStyle w:val="ConsPlusNormal"/>
        <w:spacing w:before="220"/>
        <w:ind w:firstLine="540"/>
        <w:jc w:val="both"/>
      </w:pPr>
      <w:r>
        <w:t>создание условий для развития и укрепления потенциала педагогических работников;</w:t>
      </w:r>
    </w:p>
    <w:p w14:paraId="63ECEE31" w14:textId="77777777" w:rsidR="00454A29" w:rsidRDefault="00454A29">
      <w:pPr>
        <w:pStyle w:val="ConsPlusNormal"/>
        <w:spacing w:before="220"/>
        <w:ind w:firstLine="540"/>
        <w:jc w:val="both"/>
      </w:pPr>
      <w:r>
        <w:t>повышение доступности и качества образования для детей Арктики;</w:t>
      </w:r>
    </w:p>
    <w:p w14:paraId="137AC803" w14:textId="77777777" w:rsidR="00454A29" w:rsidRDefault="00454A29">
      <w:pPr>
        <w:pStyle w:val="ConsPlusNormal"/>
        <w:spacing w:before="220"/>
        <w:ind w:firstLine="540"/>
        <w:jc w:val="both"/>
      </w:pPr>
      <w:r>
        <w:t>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w:t>
      </w:r>
    </w:p>
    <w:p w14:paraId="6857D861" w14:textId="77777777" w:rsidR="00454A29" w:rsidRDefault="00454A29">
      <w:pPr>
        <w:pStyle w:val="ConsPlusNormal"/>
        <w:spacing w:before="220"/>
        <w:ind w:firstLine="540"/>
        <w:jc w:val="both"/>
      </w:pPr>
      <w:r>
        <w:t>создание механизма устойчивого развития системы образования, обеспечения качественного образования в соответствии с ФГОС.</w:t>
      </w:r>
    </w:p>
    <w:p w14:paraId="0D14F169" w14:textId="77777777" w:rsidR="00454A29" w:rsidRDefault="00454A29">
      <w:pPr>
        <w:pStyle w:val="ConsPlusNormal"/>
        <w:spacing w:before="220"/>
        <w:ind w:firstLine="540"/>
        <w:jc w:val="both"/>
      </w:pPr>
      <w:r>
        <w:t>Состав государственной программы определен с учетом масштабности поставленной цели и комплекса мероприятий, которые сформированы в следующие подпрограммы:</w:t>
      </w:r>
    </w:p>
    <w:p w14:paraId="777DF965" w14:textId="77777777" w:rsidR="00454A29" w:rsidRDefault="00454A29">
      <w:pPr>
        <w:pStyle w:val="ConsPlusNormal"/>
        <w:spacing w:before="220"/>
        <w:ind w:firstLine="540"/>
        <w:jc w:val="both"/>
      </w:pPr>
      <w:r>
        <w:lastRenderedPageBreak/>
        <w:t>"Общее образование - образование, открытое в будущее";</w:t>
      </w:r>
    </w:p>
    <w:p w14:paraId="36D596FF" w14:textId="77777777" w:rsidR="00454A29" w:rsidRDefault="00454A29">
      <w:pPr>
        <w:pStyle w:val="ConsPlusNormal"/>
        <w:spacing w:before="220"/>
        <w:ind w:firstLine="540"/>
        <w:jc w:val="both"/>
      </w:pPr>
      <w:r>
        <w:t>"Профессиональное образование";</w:t>
      </w:r>
    </w:p>
    <w:p w14:paraId="3B0E7F7E" w14:textId="77777777" w:rsidR="00454A29" w:rsidRDefault="00454A29">
      <w:pPr>
        <w:pStyle w:val="ConsPlusNormal"/>
        <w:spacing w:before="220"/>
        <w:ind w:firstLine="540"/>
        <w:jc w:val="both"/>
      </w:pPr>
      <w:r>
        <w:t>"Воспитание и дополнительное образование";</w:t>
      </w:r>
    </w:p>
    <w:p w14:paraId="363DC9DC" w14:textId="77777777" w:rsidR="00454A29" w:rsidRDefault="00454A29">
      <w:pPr>
        <w:pStyle w:val="ConsPlusNormal"/>
        <w:spacing w:before="220"/>
        <w:ind w:firstLine="540"/>
        <w:jc w:val="both"/>
      </w:pPr>
      <w:r>
        <w:t>"Одаренные дети Якутии";</w:t>
      </w:r>
    </w:p>
    <w:p w14:paraId="7B75C287" w14:textId="77777777" w:rsidR="00454A29" w:rsidRDefault="00454A29">
      <w:pPr>
        <w:pStyle w:val="ConsPlusNormal"/>
        <w:spacing w:before="220"/>
        <w:ind w:firstLine="540"/>
        <w:jc w:val="both"/>
      </w:pPr>
      <w:r>
        <w:t>"Отдых детей и их оздоровление";</w:t>
      </w:r>
    </w:p>
    <w:p w14:paraId="6FB4AB6D" w14:textId="77777777" w:rsidR="00454A29" w:rsidRDefault="00454A29">
      <w:pPr>
        <w:pStyle w:val="ConsPlusNormal"/>
        <w:spacing w:before="220"/>
        <w:ind w:firstLine="540"/>
        <w:jc w:val="both"/>
      </w:pPr>
      <w:r>
        <w:t>"Учительский рост";</w:t>
      </w:r>
    </w:p>
    <w:p w14:paraId="01217481" w14:textId="77777777" w:rsidR="00454A29" w:rsidRDefault="00454A29">
      <w:pPr>
        <w:pStyle w:val="ConsPlusNormal"/>
        <w:spacing w:before="220"/>
        <w:ind w:firstLine="540"/>
        <w:jc w:val="both"/>
      </w:pPr>
      <w:r>
        <w:t>"Дети Арктики и Севера";</w:t>
      </w:r>
    </w:p>
    <w:p w14:paraId="7B7F2EBC" w14:textId="77777777" w:rsidR="00454A29" w:rsidRDefault="00454A29">
      <w:pPr>
        <w:pStyle w:val="ConsPlusNormal"/>
        <w:spacing w:before="220"/>
        <w:ind w:firstLine="540"/>
        <w:jc w:val="both"/>
      </w:pPr>
      <w:r>
        <w:t>"Содействие созданию новых мест в общеобразовательных организациях Республики Саха (Якутия)";</w:t>
      </w:r>
    </w:p>
    <w:p w14:paraId="5930D324" w14:textId="77777777" w:rsidR="00454A29" w:rsidRDefault="00454A29">
      <w:pPr>
        <w:pStyle w:val="ConsPlusNormal"/>
        <w:spacing w:before="220"/>
        <w:ind w:firstLine="540"/>
        <w:jc w:val="both"/>
      </w:pPr>
      <w:r>
        <w:t>"Укрепление материально-технической базы организаций образования".</w:t>
      </w:r>
    </w:p>
    <w:p w14:paraId="4120E039" w14:textId="77777777" w:rsidR="00454A29" w:rsidRDefault="00454A29">
      <w:pPr>
        <w:pStyle w:val="ConsPlusNormal"/>
        <w:spacing w:before="220"/>
        <w:ind w:firstLine="540"/>
        <w:jc w:val="both"/>
      </w:pPr>
      <w:r>
        <w:t>Выделение указанных подпрограмм связано с особенностями структуры системы образования Республики Саха (Якутия) и задачами формирования открытого образовательного пространства.</w:t>
      </w:r>
    </w:p>
    <w:p w14:paraId="2546C3E0" w14:textId="77777777" w:rsidR="00454A29" w:rsidRDefault="00454A29">
      <w:pPr>
        <w:pStyle w:val="ConsPlusNormal"/>
        <w:spacing w:before="220"/>
        <w:ind w:firstLine="540"/>
        <w:jc w:val="both"/>
      </w:pPr>
      <w:r>
        <w:t>В ходе реализации государственной программы ожидается достижение следующих результатов:</w:t>
      </w:r>
    </w:p>
    <w:p w14:paraId="26D521B2" w14:textId="77777777" w:rsidR="00454A29" w:rsidRDefault="00454A29">
      <w:pPr>
        <w:pStyle w:val="ConsPlusNormal"/>
        <w:spacing w:before="220"/>
        <w:ind w:firstLine="540"/>
        <w:jc w:val="both"/>
      </w:pPr>
      <w:r>
        <w:t>к 2024 году:</w:t>
      </w:r>
    </w:p>
    <w:p w14:paraId="597A81C7" w14:textId="77777777" w:rsidR="00454A29" w:rsidRDefault="00454A29">
      <w:pPr>
        <w:pStyle w:val="ConsPlusNormal"/>
        <w:spacing w:before="220"/>
        <w:ind w:firstLine="540"/>
        <w:jc w:val="both"/>
      </w:pPr>
      <w:r>
        <w:t>увеличение доли выпускников государственных (муниципальных) общеобразовательных организаций, получивших аттестат о среднем (полном) общем образовании, до 98,3%;</w:t>
      </w:r>
    </w:p>
    <w:p w14:paraId="4BD1A082" w14:textId="77777777" w:rsidR="00454A29" w:rsidRDefault="00454A29">
      <w:pPr>
        <w:pStyle w:val="ConsPlusNormal"/>
        <w:spacing w:before="220"/>
        <w:ind w:firstLine="540"/>
        <w:jc w:val="both"/>
      </w:pPr>
      <w:r>
        <w:t>увеличение доли населения в возрасте от 15 до 19 лет, обучающегося по программам среднего профессионального образования, до 44%;</w:t>
      </w:r>
    </w:p>
    <w:p w14:paraId="440786AC" w14:textId="77777777" w:rsidR="00454A29" w:rsidRDefault="00454A29">
      <w:pPr>
        <w:pStyle w:val="ConsPlusNormal"/>
        <w:spacing w:before="220"/>
        <w:ind w:firstLine="540"/>
        <w:jc w:val="both"/>
      </w:pPr>
      <w:r>
        <w:t>увеличение доли окончивших обучение от общего количества поступивших на условиях целевого обучения, до 70,8%;</w:t>
      </w:r>
    </w:p>
    <w:p w14:paraId="6FC66074" w14:textId="77777777" w:rsidR="00454A29" w:rsidRDefault="00454A29">
      <w:pPr>
        <w:pStyle w:val="ConsPlusNormal"/>
        <w:spacing w:before="220"/>
        <w:ind w:firstLine="540"/>
        <w:jc w:val="both"/>
      </w:pPr>
      <w:r>
        <w:t>увеличение доли детей в возрасте от 5 до 18 лет, охваченных дополнительным образованием, до 80%;</w:t>
      </w:r>
    </w:p>
    <w:p w14:paraId="286F3887" w14:textId="77777777" w:rsidR="00454A29" w:rsidRDefault="00454A29">
      <w:pPr>
        <w:pStyle w:val="ConsPlusNormal"/>
        <w:spacing w:before="220"/>
        <w:ind w:firstLine="540"/>
        <w:jc w:val="both"/>
      </w:pPr>
      <w:r>
        <w:t>увеличение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50%;</w:t>
      </w:r>
    </w:p>
    <w:p w14:paraId="4DD86C95" w14:textId="77777777" w:rsidR="00454A29" w:rsidRDefault="00454A29">
      <w:pPr>
        <w:pStyle w:val="ConsPlusNormal"/>
        <w:spacing w:before="220"/>
        <w:ind w:firstLine="540"/>
        <w:jc w:val="both"/>
      </w:pPr>
      <w:r>
        <w:t>сохранение доли обучающихся 1 - 11 классов, охваченных отдыхом и оздоровлением, в общей численности обучающихся 1 - 11 классов, на уровне 50,5%;</w:t>
      </w:r>
    </w:p>
    <w:p w14:paraId="02CA6C4B" w14:textId="77777777" w:rsidR="00454A29" w:rsidRDefault="00454A29">
      <w:pPr>
        <w:pStyle w:val="ConsPlusNormal"/>
        <w:spacing w:before="220"/>
        <w:ind w:firstLine="540"/>
        <w:jc w:val="both"/>
      </w:pPr>
      <w:r>
        <w:t>увеличение доли педагогических работников, прошедших переподготовку и повышение квалификации, от общего количества педагогических работников, до 50%;</w:t>
      </w:r>
    </w:p>
    <w:p w14:paraId="2AA93CC2" w14:textId="77777777" w:rsidR="00454A29" w:rsidRDefault="00454A29">
      <w:pPr>
        <w:pStyle w:val="ConsPlusNormal"/>
        <w:spacing w:before="220"/>
        <w:ind w:firstLine="540"/>
        <w:jc w:val="both"/>
      </w:pPr>
      <w:r>
        <w:t>увеличение количества кочевых образовательных организаций, которым созданы условия современной образовательной среды, до 3;</w:t>
      </w:r>
    </w:p>
    <w:p w14:paraId="398CAB35" w14:textId="77777777" w:rsidR="00454A29" w:rsidRDefault="00454A29">
      <w:pPr>
        <w:pStyle w:val="ConsPlusNormal"/>
        <w:spacing w:before="220"/>
        <w:ind w:firstLine="540"/>
        <w:jc w:val="both"/>
      </w:pPr>
      <w:r>
        <w:t>к 2026 году:</w:t>
      </w:r>
    </w:p>
    <w:p w14:paraId="6490DABB" w14:textId="77777777" w:rsidR="00454A29" w:rsidRDefault="00454A29">
      <w:pPr>
        <w:pStyle w:val="ConsPlusNormal"/>
        <w:spacing w:before="220"/>
        <w:ind w:firstLine="540"/>
        <w:jc w:val="both"/>
      </w:pPr>
      <w:r>
        <w:t>создание 42888 новых мест в общеобразовательных организациях;</w:t>
      </w:r>
    </w:p>
    <w:p w14:paraId="242426E8" w14:textId="77777777" w:rsidR="00454A29" w:rsidRDefault="00454A29">
      <w:pPr>
        <w:pStyle w:val="ConsPlusNormal"/>
        <w:spacing w:before="220"/>
        <w:ind w:firstLine="540"/>
        <w:jc w:val="both"/>
      </w:pPr>
      <w:r>
        <w:lastRenderedPageBreak/>
        <w:t>увеличение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до 100%;</w:t>
      </w:r>
    </w:p>
    <w:p w14:paraId="19F54622" w14:textId="77777777" w:rsidR="00454A29" w:rsidRDefault="00454A29">
      <w:pPr>
        <w:pStyle w:val="ConsPlusNormal"/>
        <w:spacing w:before="220"/>
        <w:ind w:firstLine="540"/>
        <w:jc w:val="both"/>
      </w:pPr>
      <w:r>
        <w:t>введение в эксплуатацию 87 новых зданий путем строительства, приобретения и реконструкции образовательных организаций.</w:t>
      </w:r>
    </w:p>
    <w:p w14:paraId="71905480" w14:textId="77777777" w:rsidR="00454A29" w:rsidRDefault="00454A29">
      <w:pPr>
        <w:pStyle w:val="ConsPlusNormal"/>
        <w:spacing w:before="220"/>
        <w:ind w:firstLine="540"/>
        <w:jc w:val="both"/>
      </w:pPr>
      <w:r>
        <w:t xml:space="preserve">Целевые индикаторы государственной программы носят взаимоувязанный и согласованный характер со Стратегией социально-экономического развития Республики Саха (Якутия) на период до 2032 года с определением целевого видения до 2050 года и целевым индикатором государственной </w:t>
      </w:r>
      <w:hyperlink r:id="rId21" w:history="1">
        <w:r>
          <w:rPr>
            <w:color w:val="0000FF"/>
          </w:rPr>
          <w:t>программы</w:t>
        </w:r>
      </w:hyperlink>
      <w:r>
        <w:t xml:space="preserve"> Российской Федерации "Развитие образования" на 2018 - 2025 годы, утвержденной постановлением Правительства Российской Федерации от 26 декабря 2017 г. N 1642, с </w:t>
      </w:r>
      <w:hyperlink r:id="rId22" w:history="1">
        <w:r>
          <w:rPr>
            <w:color w:val="0000FF"/>
          </w:rPr>
          <w:t>Указом</w:t>
        </w:r>
      </w:hyperlink>
      <w:r>
        <w:t xml:space="preserve"> Главы Республики Саха (Якутия) от 22 ноября 2018 г. N 190 "О стратегических направлениях развития образования в Республике Саха (Якутия)".</w:t>
      </w:r>
    </w:p>
    <w:p w14:paraId="49069DA6" w14:textId="77777777" w:rsidR="00454A29" w:rsidRDefault="00454A29">
      <w:pPr>
        <w:pStyle w:val="ConsPlusNormal"/>
        <w:spacing w:before="220"/>
        <w:ind w:firstLine="540"/>
        <w:jc w:val="both"/>
      </w:pPr>
      <w:r>
        <w:t xml:space="preserve">Перечень целевых показателей государственной программы с указанием планируемых к достижению значений в результате реализации государственной программы представлен в </w:t>
      </w:r>
      <w:hyperlink w:anchor="P1666" w:history="1">
        <w:r>
          <w:rPr>
            <w:color w:val="0000FF"/>
          </w:rPr>
          <w:t>приложении N 1</w:t>
        </w:r>
      </w:hyperlink>
      <w:r>
        <w:t xml:space="preserve"> к государственной программе.</w:t>
      </w:r>
    </w:p>
    <w:p w14:paraId="1DDAB98E" w14:textId="77777777" w:rsidR="00454A29" w:rsidRDefault="00454A29">
      <w:pPr>
        <w:pStyle w:val="ConsPlusNormal"/>
      </w:pPr>
    </w:p>
    <w:p w14:paraId="6B0D44AA" w14:textId="77777777" w:rsidR="00454A29" w:rsidRDefault="00454A29">
      <w:pPr>
        <w:pStyle w:val="ConsPlusTitle"/>
        <w:jc w:val="center"/>
        <w:outlineLvl w:val="1"/>
      </w:pPr>
      <w:r>
        <w:t>Раздел 3. ОБЩАЯ ХАРАКТЕРИСТИКА УЧАСТИЯ МУНИЦИПАЛЬНЫХ</w:t>
      </w:r>
    </w:p>
    <w:p w14:paraId="771023EB" w14:textId="77777777" w:rsidR="00454A29" w:rsidRDefault="00454A29">
      <w:pPr>
        <w:pStyle w:val="ConsPlusTitle"/>
        <w:jc w:val="center"/>
      </w:pPr>
      <w:r>
        <w:t>ОБРАЗОВАНИЙ РЕСПУБЛИКИ САХА (ЯКУТИЯ) В РЕАЛИЗАЦИИ</w:t>
      </w:r>
    </w:p>
    <w:p w14:paraId="413ED972" w14:textId="77777777" w:rsidR="00454A29" w:rsidRDefault="00454A29">
      <w:pPr>
        <w:pStyle w:val="ConsPlusTitle"/>
        <w:jc w:val="center"/>
      </w:pPr>
      <w:r>
        <w:t>ГОСУДАРСТВЕННОЙ ПРОГРАММЫ</w:t>
      </w:r>
    </w:p>
    <w:p w14:paraId="2328B39F" w14:textId="77777777" w:rsidR="00454A29" w:rsidRDefault="00454A29">
      <w:pPr>
        <w:pStyle w:val="ConsPlusNormal"/>
      </w:pPr>
    </w:p>
    <w:p w14:paraId="6B7F9FFE" w14:textId="77777777" w:rsidR="00454A29" w:rsidRDefault="00454A29">
      <w:pPr>
        <w:pStyle w:val="ConsPlusNormal"/>
        <w:ind w:firstLine="540"/>
        <w:jc w:val="both"/>
      </w:pPr>
      <w:r>
        <w:t>Во всех муниципальных районах (городских округах) республики функционируют муниципальные системы дошкольного и общего образования, дополнительного образования детей, которые на основе имеющихся практик обеспечивают реализацию дошкольных, общеобразовательных, дополнительных общеобразовательных программ различных направленностей для детей.</w:t>
      </w:r>
    </w:p>
    <w:p w14:paraId="1A29CD2F" w14:textId="77777777" w:rsidR="00454A29" w:rsidRDefault="00454A29">
      <w:pPr>
        <w:pStyle w:val="ConsPlusNormal"/>
        <w:spacing w:before="220"/>
        <w:ind w:firstLine="540"/>
        <w:jc w:val="both"/>
      </w:pPr>
      <w:r>
        <w:t>Наблюдается рост количества муниципальных районов, реализующих дополнительные общеобразовательные программы технической и естественно-научной направленностей, соответствующих интересам детей и их родителей, муниципальным особенностям и потребностям социально-экономического и технологического развития республики.</w:t>
      </w:r>
    </w:p>
    <w:p w14:paraId="50B14BEE" w14:textId="77777777" w:rsidR="00454A29" w:rsidRDefault="00454A29">
      <w:pPr>
        <w:pStyle w:val="ConsPlusNormal"/>
        <w:spacing w:before="220"/>
        <w:ind w:firstLine="540"/>
        <w:jc w:val="both"/>
      </w:pPr>
      <w:r>
        <w:t>Муниципальные образования Республики Саха (Якутия) как участники реализации подпрограммы "Содействие созданию новых мест в общеобразовательных организациях Республики Саха (Якутия)" и подпрограммы "Укрепление материально-технической базы организаций образования" (далее - подпрограмма 9, подпрограмма 10 соответственно) осуществляют строительство и приобретение объектов образования, реконструкцию и капитальный ремонт зданий общеобразовательных организаций с использованием субсидий из государственного бюджета Республики Саха (Якутия), предоставляемых местным бюджетам в целях оказания финансовой поддержки для создания новых, а также дополнительных мест, создания комфортных условий в общеобразовательных организациях и иных образовательных организациях, реализующих образовательные программы.</w:t>
      </w:r>
    </w:p>
    <w:p w14:paraId="3CBACAB8" w14:textId="77777777" w:rsidR="00454A29" w:rsidRDefault="00454A29">
      <w:pPr>
        <w:pStyle w:val="ConsPlusNormal"/>
        <w:spacing w:before="220"/>
        <w:ind w:firstLine="540"/>
        <w:jc w:val="both"/>
      </w:pPr>
      <w:r>
        <w:t>Субсидии могут быть предоставлены муниципальным районам и городским округам Республики Саха (Якутия) на реализацию муниципальных программ, направленных на достижение целей, а также целевых индикаторов, соответствующих подпрограмме 9 и подпрограмме 10.</w:t>
      </w:r>
    </w:p>
    <w:p w14:paraId="64FFC5D7" w14:textId="77777777" w:rsidR="00454A29" w:rsidRDefault="00454A29">
      <w:pPr>
        <w:pStyle w:val="ConsPlusNormal"/>
        <w:spacing w:before="220"/>
        <w:ind w:firstLine="540"/>
        <w:jc w:val="both"/>
      </w:pPr>
      <w:r>
        <w:t xml:space="preserve">Министерство образования и науки Республики Саха (Якутия) является уполномоченным органом по предоставлению субсидии из государственного бюджета Республики Саха (Якутия) местным бюджетам на реализацию мероприятий по проведению капитального ремонта, возврата в систему общего образования зданий, используемых не по назначению, приобретению (выкупу) помещений, аренде зданий и помещений, в том числе оснащению новых мест в общеобразовательных организациях средствами обучения и воспитания, необходимыми для </w:t>
      </w:r>
      <w:r>
        <w:lastRenderedPageBreak/>
        <w:t>реализации образовательных программ начального общего, основного общего и среднего общего образования.</w:t>
      </w:r>
    </w:p>
    <w:p w14:paraId="4355B082" w14:textId="77777777" w:rsidR="00454A29" w:rsidRDefault="00454A29">
      <w:pPr>
        <w:pStyle w:val="ConsPlusNormal"/>
        <w:spacing w:before="220"/>
        <w:ind w:firstLine="540"/>
        <w:jc w:val="both"/>
      </w:pPr>
      <w:r>
        <w:t>Министерство строительства Республики Саха (Якутия) является уполномоченным органом по предоставлению субсидии из государственного бюджета Республики Саха (Якутия) местным бюджетам на реализацию мероприятий по строительству зданий и пристроев к зданиям общеобразовательных организаций, реконструкции и приобретению зданий и сооружений.</w:t>
      </w:r>
    </w:p>
    <w:p w14:paraId="4961382D" w14:textId="77777777" w:rsidR="00454A29" w:rsidRDefault="00454A29">
      <w:pPr>
        <w:pStyle w:val="ConsPlusNormal"/>
        <w:spacing w:before="220"/>
        <w:ind w:firstLine="540"/>
        <w:jc w:val="both"/>
      </w:pPr>
      <w:r>
        <w:t>Органы местного самоуправления осуществляют мероприятия подпрограммы 9, подпрограммы 10 с соблюдением установленных сроков, ответственны за исполнение задач подпрограммы 9, подпрограммы 10. Представляют отчеты о реализации подпрограммы 9, подпрограммы 10 ответственному исполнителю в установленные сроки. Осуществляют контроль за качеством строящихся (приобретаемых, реконструируемых) объектов в пределах своих полномочий, за проведение работ по капитальному ремонту зданий общеобразовательных организаций. Обеспечивают своевременное финансирование строящихся (приобретаемых, реконструируемых) объектов, подготовку земельных участков под строительство с полным обеспечением инженерной инфраструктурой, а также финансирование работ по капитальному ремонту общеобразовательных организаций.</w:t>
      </w:r>
    </w:p>
    <w:p w14:paraId="31B50518" w14:textId="77777777" w:rsidR="00454A29" w:rsidRDefault="00454A29">
      <w:pPr>
        <w:pStyle w:val="ConsPlusNormal"/>
        <w:spacing w:before="220"/>
        <w:ind w:firstLine="540"/>
        <w:jc w:val="both"/>
      </w:pPr>
      <w:r>
        <w:t>Взаимодействие по реализации мероприятий подпрограммы 9, подпрограммы 10 осуществляется путем заключения соглашения между уполномоченным исполнителем подпрограммы 9, подпрограммы 10 и органами местного самоуправления, исполнение (неисполнение, ненадлежащее исполнение) обязательств по которому регулируется действующим законодательством.</w:t>
      </w:r>
    </w:p>
    <w:p w14:paraId="08912F08" w14:textId="77777777" w:rsidR="00454A29" w:rsidRDefault="00454A29">
      <w:pPr>
        <w:pStyle w:val="ConsPlusNormal"/>
        <w:spacing w:before="220"/>
        <w:ind w:firstLine="540"/>
        <w:jc w:val="both"/>
      </w:pPr>
      <w:r>
        <w:t>Выделяются следующие системные проблемы:</w:t>
      </w:r>
    </w:p>
    <w:p w14:paraId="44C5FA0E" w14:textId="77777777" w:rsidR="00454A29" w:rsidRDefault="00454A29">
      <w:pPr>
        <w:pStyle w:val="ConsPlusNormal"/>
        <w:spacing w:before="220"/>
        <w:ind w:firstLine="540"/>
        <w:jc w:val="both"/>
      </w:pPr>
      <w:r>
        <w:t>в 5 (13,8%) муниципальных районах сформирована эффективная система взаимодействия в сфере дополнительного образования детей, включающая в себя муниципальные опорные центры дополнительного образования детей, и организации, участвующие в дополнительном образовании детей;</w:t>
      </w:r>
    </w:p>
    <w:p w14:paraId="7A16D51B" w14:textId="77777777" w:rsidR="00454A29" w:rsidRDefault="00454A29">
      <w:pPr>
        <w:pStyle w:val="ConsPlusNormal"/>
        <w:spacing w:before="220"/>
        <w:ind w:firstLine="540"/>
        <w:jc w:val="both"/>
      </w:pPr>
      <w:r>
        <w:t>в 2017 году в 27 муниципальных районах начато внедрение современных организационных, правовых и финансово-экономических механизмов управления и развития системы дополнительного образования детей, учитывающих демографические, социально-экономические и социокультурные особенности муниципального района (городского округа), с использованием механизмов независимой оценки. Фактически в этом направлении результат достигается лишь в г. Якутске;</w:t>
      </w:r>
    </w:p>
    <w:p w14:paraId="58FA6DD5" w14:textId="77777777" w:rsidR="00454A29" w:rsidRDefault="00454A29">
      <w:pPr>
        <w:pStyle w:val="ConsPlusNormal"/>
        <w:spacing w:before="220"/>
        <w:ind w:firstLine="540"/>
        <w:jc w:val="both"/>
      </w:pPr>
      <w:r>
        <w:t>в 2019 году определены 20 (55,5%) опорных центров Министерства образования и науки Республики Саха (Якутия), выполняющих функции ресурсного, учебно-методического, организационного, экспертно-консультационного и социокультурного центра в муниципальной системе дополнительного образования детей, обеспечивающих согласованное развитие дополнительных общеразвивающих программ для детей различной направленности (технической, естественно-научной, художественной, социально-педагогической, туристско-краеведческой, физкультурно-спортивной);</w:t>
      </w:r>
    </w:p>
    <w:p w14:paraId="1A547C7E" w14:textId="77777777" w:rsidR="00454A29" w:rsidRDefault="00454A29">
      <w:pPr>
        <w:pStyle w:val="ConsPlusNormal"/>
        <w:spacing w:before="220"/>
        <w:ind w:firstLine="540"/>
        <w:jc w:val="both"/>
      </w:pPr>
      <w:r>
        <w:t>в муниципальных районах практически отсутствуют общедоступные навигаторы, позволяющие семьям выбирать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и возможностями (в том числе находящихся в трудной жизненной ситуации), обеспечивающие возможность проектирования индивидуальных образовательных траекторий ребенка;</w:t>
      </w:r>
    </w:p>
    <w:p w14:paraId="3638A7C5" w14:textId="77777777" w:rsidR="00454A29" w:rsidRDefault="00454A29">
      <w:pPr>
        <w:pStyle w:val="ConsPlusNormal"/>
        <w:spacing w:before="220"/>
        <w:ind w:firstLine="540"/>
        <w:jc w:val="both"/>
      </w:pPr>
      <w:r>
        <w:t xml:space="preserve">слабо обновляется инфраструктура, оборудование и средства обучения дополнительного </w:t>
      </w:r>
      <w:r>
        <w:lastRenderedPageBreak/>
        <w:t>образования детей с учетом формирования нового содержания дополнительного образования и обеспечения равного доступа к современным дополнительным общеобразовательным программам детей, в том числе из северных, арктических районов. Можно отметить только 9 (25%) муниципальных районов, в которых работа в указанном направлении системно проводится (Горный, Мегино-Кангаласский, Чурапчинский, Усть-Алданский, Амгинский, Сунтарский, Хангаласский, Нюрбинский улусы (районы) и г. Якутск);</w:t>
      </w:r>
    </w:p>
    <w:p w14:paraId="3688FAAC" w14:textId="77777777" w:rsidR="00454A29" w:rsidRDefault="00454A29">
      <w:pPr>
        <w:pStyle w:val="ConsPlusNormal"/>
        <w:spacing w:before="220"/>
        <w:ind w:firstLine="540"/>
        <w:jc w:val="both"/>
      </w:pPr>
      <w:r>
        <w:t>отмечается рост сети негосударственных образовательных организаций, реализующих вариативные и востребованные дополнительные общеобразовательные программы различных направленностей для детей. Фактически эта услуга реализуется только в г. Мирном, г. Нерюнгри, г. Якутске, г. Покровске (имеют лицензии на образовательную деятельность).</w:t>
      </w:r>
    </w:p>
    <w:p w14:paraId="4005649D" w14:textId="77777777" w:rsidR="00454A29" w:rsidRDefault="00454A29">
      <w:pPr>
        <w:pStyle w:val="ConsPlusNormal"/>
        <w:spacing w:before="220"/>
        <w:ind w:firstLine="540"/>
        <w:jc w:val="both"/>
      </w:pPr>
      <w:r>
        <w:t>В рамках реализации государственной программы органам местного самоуправления предоставляются:</w:t>
      </w:r>
    </w:p>
    <w:p w14:paraId="29F1A37E" w14:textId="77777777" w:rsidR="00454A29" w:rsidRDefault="00454A29">
      <w:pPr>
        <w:pStyle w:val="ConsPlusNormal"/>
        <w:spacing w:before="220"/>
        <w:ind w:firstLine="540"/>
        <w:jc w:val="both"/>
      </w:pPr>
      <w:r>
        <w:t>субвенции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p>
    <w:p w14:paraId="3619E50D" w14:textId="77777777" w:rsidR="00454A29" w:rsidRDefault="00454A29">
      <w:pPr>
        <w:pStyle w:val="ConsPlusNormal"/>
        <w:spacing w:before="220"/>
        <w:ind w:firstLine="540"/>
        <w:jc w:val="both"/>
      </w:pPr>
      <w:r>
        <w:t>субвенции на выполнение отдельных государственных полномочий на выплату компенсации в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14:paraId="1A74FA1E" w14:textId="77777777" w:rsidR="00454A29" w:rsidRDefault="00454A29">
      <w:pPr>
        <w:pStyle w:val="ConsPlusNormal"/>
        <w:spacing w:before="220"/>
        <w:ind w:firstLine="540"/>
        <w:jc w:val="both"/>
      </w:pPr>
      <w:r>
        <w:t>субвенции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14:paraId="14AC14F0" w14:textId="77777777" w:rsidR="00454A29" w:rsidRDefault="00454A29">
      <w:pPr>
        <w:pStyle w:val="ConsPlusNormal"/>
        <w:spacing w:before="220"/>
        <w:ind w:firstLine="540"/>
        <w:jc w:val="both"/>
      </w:pPr>
      <w:r>
        <w:t>субвенции на выполнение отдельных государственных полномочий по обеспечению деятельности отдельных организаций,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оздоровительных образовательных организаций санаторного типа для детей, нуждающихся в длительном лечении;</w:t>
      </w:r>
    </w:p>
    <w:p w14:paraId="28ABEBF8" w14:textId="77777777" w:rsidR="00454A29" w:rsidRDefault="00454A29">
      <w:pPr>
        <w:pStyle w:val="ConsPlusNormal"/>
        <w:spacing w:before="220"/>
        <w:ind w:firstLine="540"/>
        <w:jc w:val="both"/>
      </w:pPr>
      <w:r>
        <w:t>субвенции на выполнение отдельных государственных полномочий по предоставлению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14:paraId="66884615" w14:textId="77777777" w:rsidR="00454A29" w:rsidRDefault="00454A29">
      <w:pPr>
        <w:pStyle w:val="ConsPlusNormal"/>
        <w:spacing w:before="220"/>
        <w:ind w:firstLine="540"/>
        <w:jc w:val="both"/>
      </w:pPr>
      <w:r>
        <w:t>субсидии на организацию отдыха детей в каникулярное время (</w:t>
      </w:r>
      <w:hyperlink w:anchor="P32422" w:history="1">
        <w:r>
          <w:rPr>
            <w:color w:val="0000FF"/>
          </w:rPr>
          <w:t>приложение N 6</w:t>
        </w:r>
      </w:hyperlink>
      <w:r>
        <w:t xml:space="preserve"> к государственной программе);</w:t>
      </w:r>
    </w:p>
    <w:p w14:paraId="14F58E4A" w14:textId="77777777" w:rsidR="00454A29" w:rsidRDefault="00454A29">
      <w:pPr>
        <w:pStyle w:val="ConsPlusNormal"/>
        <w:spacing w:before="220"/>
        <w:ind w:firstLine="540"/>
        <w:jc w:val="both"/>
      </w:pPr>
      <w:r>
        <w:t>субсидии на восстановление и укрепление материально-технической базы организаций отдыха детей (</w:t>
      </w:r>
      <w:hyperlink w:anchor="P33075" w:history="1">
        <w:r>
          <w:rPr>
            <w:color w:val="0000FF"/>
          </w:rPr>
          <w:t>приложение N 7</w:t>
        </w:r>
      </w:hyperlink>
      <w:r>
        <w:t xml:space="preserve"> к государственной программе);</w:t>
      </w:r>
    </w:p>
    <w:p w14:paraId="2B606D9F" w14:textId="77777777" w:rsidR="00454A29" w:rsidRDefault="00454A29">
      <w:pPr>
        <w:pStyle w:val="ConsPlusNormal"/>
        <w:spacing w:before="220"/>
        <w:ind w:firstLine="540"/>
        <w:jc w:val="both"/>
      </w:pPr>
      <w:r>
        <w:t>субсидии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w:t>
      </w:r>
      <w:hyperlink w:anchor="P33301" w:history="1">
        <w:r>
          <w:rPr>
            <w:color w:val="0000FF"/>
          </w:rPr>
          <w:t>приложение N 8</w:t>
        </w:r>
      </w:hyperlink>
      <w:r>
        <w:t xml:space="preserve"> к государственной программе);</w:t>
      </w:r>
    </w:p>
    <w:p w14:paraId="2D5A4434" w14:textId="77777777" w:rsidR="00454A29" w:rsidRDefault="00454A29">
      <w:pPr>
        <w:pStyle w:val="ConsPlusNormal"/>
        <w:spacing w:before="220"/>
        <w:ind w:firstLine="540"/>
        <w:jc w:val="both"/>
      </w:pPr>
      <w:r>
        <w:t>субсидии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hyperlink w:anchor="P33475" w:history="1">
        <w:r>
          <w:rPr>
            <w:color w:val="0000FF"/>
          </w:rPr>
          <w:t>приложение N 9</w:t>
        </w:r>
      </w:hyperlink>
      <w:r>
        <w:t xml:space="preserve"> к государственной программе);</w:t>
      </w:r>
    </w:p>
    <w:p w14:paraId="7AF757C1" w14:textId="77777777" w:rsidR="00454A29" w:rsidRDefault="00454A29">
      <w:pPr>
        <w:pStyle w:val="ConsPlusNormal"/>
        <w:spacing w:before="220"/>
        <w:ind w:firstLine="540"/>
        <w:jc w:val="both"/>
      </w:pPr>
      <w:r>
        <w:lastRenderedPageBreak/>
        <w:t>субсидии в целях софинансирования мероприятий, направленных на содействие развитию субъектов малого и среднего предпринимательства, осуществляющих присмотр и уход за детьми дошкольного возраста (</w:t>
      </w:r>
      <w:hyperlink w:anchor="P33647" w:history="1">
        <w:r>
          <w:rPr>
            <w:color w:val="0000FF"/>
          </w:rPr>
          <w:t>приложение N 10</w:t>
        </w:r>
      </w:hyperlink>
      <w:r>
        <w:t xml:space="preserve"> к государственной программе);</w:t>
      </w:r>
    </w:p>
    <w:p w14:paraId="7DEE7149" w14:textId="77777777" w:rsidR="00454A29" w:rsidRDefault="00454A29">
      <w:pPr>
        <w:pStyle w:val="ConsPlusNormal"/>
        <w:spacing w:before="220"/>
        <w:ind w:firstLine="540"/>
        <w:jc w:val="both"/>
      </w:pPr>
      <w:r>
        <w:t>субсидии на осуществление капитального ремонта объектов образования, находящихся в муниципальной собственности (</w:t>
      </w:r>
      <w:hyperlink w:anchor="P33807" w:history="1">
        <w:r>
          <w:rPr>
            <w:color w:val="0000FF"/>
          </w:rPr>
          <w:t>приложение N 11</w:t>
        </w:r>
      </w:hyperlink>
      <w:r>
        <w:t xml:space="preserve"> к государственной программе);</w:t>
      </w:r>
    </w:p>
    <w:p w14:paraId="3F7CE632" w14:textId="77777777" w:rsidR="00454A29" w:rsidRDefault="00454A29">
      <w:pPr>
        <w:pStyle w:val="ConsPlusNormal"/>
        <w:spacing w:before="220"/>
        <w:ind w:firstLine="540"/>
        <w:jc w:val="both"/>
      </w:pPr>
      <w:r>
        <w:t>субсидии на реализацию подпрограммы "Содействие созданию новых мест в общеобразовательных организациях Республики Саха (Якутия)" государственной программы Республики Саха (Якутия) "Развитие образования Республики Саха (Якутия) на 2020 - 2024 годы и на плановый период до 2026 года" (</w:t>
      </w:r>
      <w:hyperlink w:anchor="P34076" w:history="1">
        <w:r>
          <w:rPr>
            <w:color w:val="0000FF"/>
          </w:rPr>
          <w:t>приложение N 12</w:t>
        </w:r>
      </w:hyperlink>
      <w:r>
        <w:t xml:space="preserve"> к государственной программе);</w:t>
      </w:r>
    </w:p>
    <w:p w14:paraId="3597DC90" w14:textId="77777777" w:rsidR="00454A29" w:rsidRDefault="00454A29">
      <w:pPr>
        <w:pStyle w:val="ConsPlusNormal"/>
        <w:spacing w:before="220"/>
        <w:ind w:firstLine="540"/>
        <w:jc w:val="both"/>
      </w:pPr>
      <w: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2020 - 2022 годах в рамках реализации федерального проекта "Успех каждого ребенка" национального проекта "Образование" (</w:t>
      </w:r>
      <w:hyperlink w:anchor="P34272" w:history="1">
        <w:r>
          <w:rPr>
            <w:color w:val="0000FF"/>
          </w:rPr>
          <w:t>приложение N 13</w:t>
        </w:r>
      </w:hyperlink>
      <w:r>
        <w:t xml:space="preserve"> к государственной программе);</w:t>
      </w:r>
    </w:p>
    <w:p w14:paraId="1DF55655" w14:textId="77777777" w:rsidR="00454A29" w:rsidRDefault="00454A29">
      <w:pPr>
        <w:pStyle w:val="ConsPlusNormal"/>
        <w:spacing w:before="220"/>
        <w:ind w:firstLine="540"/>
        <w:jc w:val="both"/>
      </w:pPr>
      <w:r>
        <w:t>субсидии на 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 (</w:t>
      </w:r>
      <w:hyperlink w:anchor="P34378" w:history="1">
        <w:r>
          <w:rPr>
            <w:color w:val="0000FF"/>
          </w:rPr>
          <w:t>приложение N 14</w:t>
        </w:r>
      </w:hyperlink>
      <w:r>
        <w:t xml:space="preserve"> к государственной программе);</w:t>
      </w:r>
    </w:p>
    <w:p w14:paraId="67FDC26F" w14:textId="77777777" w:rsidR="00454A29" w:rsidRDefault="00454A29">
      <w:pPr>
        <w:pStyle w:val="ConsPlusNormal"/>
        <w:spacing w:before="220"/>
        <w:ind w:firstLine="540"/>
        <w:jc w:val="both"/>
      </w:pPr>
      <w:r>
        <w:t>субсидии на реализацию инвестиционных проектов муниципально-частного партнерства Республики Саха (Якутия) (</w:t>
      </w:r>
      <w:hyperlink w:anchor="P34559" w:history="1">
        <w:r>
          <w:rPr>
            <w:color w:val="0000FF"/>
          </w:rPr>
          <w:t>приложение N 15</w:t>
        </w:r>
      </w:hyperlink>
      <w:r>
        <w:t xml:space="preserve"> к государственной программе).</w:t>
      </w:r>
    </w:p>
    <w:p w14:paraId="0D190813" w14:textId="77777777" w:rsidR="00454A29" w:rsidRDefault="00454A29">
      <w:pPr>
        <w:pStyle w:val="ConsPlusNormal"/>
      </w:pPr>
    </w:p>
    <w:p w14:paraId="14577C06" w14:textId="77777777" w:rsidR="00454A29" w:rsidRDefault="00454A29">
      <w:pPr>
        <w:pStyle w:val="ConsPlusTitle"/>
        <w:jc w:val="center"/>
        <w:outlineLvl w:val="1"/>
      </w:pPr>
      <w:r>
        <w:t>Раздел 4. ПЕРЕЧЕНЬ И СВЕДЕНИЯ О ЦЕЛЕВЫХ</w:t>
      </w:r>
    </w:p>
    <w:p w14:paraId="7B3DB1B7" w14:textId="77777777" w:rsidR="00454A29" w:rsidRDefault="00454A29">
      <w:pPr>
        <w:pStyle w:val="ConsPlusTitle"/>
        <w:jc w:val="center"/>
      </w:pPr>
      <w:r>
        <w:t>ПОКАЗАТЕЛЯХ (ИНДИКАТОРАХ) ГОСУДАРСТВЕННОЙ ПРОГРАММЫ</w:t>
      </w:r>
    </w:p>
    <w:p w14:paraId="08D7BAE3" w14:textId="77777777" w:rsidR="00454A29" w:rsidRDefault="00454A29">
      <w:pPr>
        <w:pStyle w:val="ConsPlusNormal"/>
      </w:pPr>
    </w:p>
    <w:p w14:paraId="57293E40" w14:textId="77777777" w:rsidR="00454A29" w:rsidRDefault="00454A29">
      <w:pPr>
        <w:pStyle w:val="ConsPlusNormal"/>
        <w:ind w:firstLine="540"/>
        <w:jc w:val="both"/>
      </w:pPr>
      <w:r>
        <w:t xml:space="preserve">Сведения о показателях (индикаторах) государственной программы, подпрограмм и основных мероприятий государственной программы и их значениях приведены в </w:t>
      </w:r>
      <w:hyperlink w:anchor="P1666" w:history="1">
        <w:r>
          <w:rPr>
            <w:color w:val="0000FF"/>
          </w:rPr>
          <w:t>приложении N 1</w:t>
        </w:r>
      </w:hyperlink>
      <w:r>
        <w:t xml:space="preserve"> к государственной программе.</w:t>
      </w:r>
    </w:p>
    <w:p w14:paraId="64460865" w14:textId="77777777" w:rsidR="00454A29" w:rsidRDefault="00454A29">
      <w:pPr>
        <w:pStyle w:val="ConsPlusNormal"/>
      </w:pPr>
    </w:p>
    <w:p w14:paraId="6DBD0127" w14:textId="77777777" w:rsidR="00454A29" w:rsidRDefault="00454A29">
      <w:pPr>
        <w:pStyle w:val="ConsPlusTitle"/>
        <w:jc w:val="center"/>
        <w:outlineLvl w:val="1"/>
      </w:pPr>
      <w:r>
        <w:t>Раздел 5. РЕСУРСНОЕ ОБЕСПЕЧЕНИЕ ГОСУДАРСТВЕННОЙ ПРОГРАММЫ</w:t>
      </w:r>
    </w:p>
    <w:p w14:paraId="06E215AE" w14:textId="77777777" w:rsidR="00454A29" w:rsidRDefault="00454A29">
      <w:pPr>
        <w:pStyle w:val="ConsPlusNormal"/>
      </w:pPr>
    </w:p>
    <w:p w14:paraId="2A6665E4" w14:textId="77777777" w:rsidR="00454A29" w:rsidRDefault="00454A29">
      <w:pPr>
        <w:pStyle w:val="ConsPlusNormal"/>
        <w:ind w:firstLine="540"/>
        <w:jc w:val="both"/>
      </w:pPr>
      <w:r>
        <w:t xml:space="preserve">Информация по ресурсному обеспечению государственной программы в разрезе источников финансирования реализации государственной программы (расшифровка подпрограмм, основных мероприятий, а также по годам реализации государственной программы) приведена в </w:t>
      </w:r>
      <w:hyperlink w:anchor="P2729" w:history="1">
        <w:r>
          <w:rPr>
            <w:color w:val="0000FF"/>
          </w:rPr>
          <w:t>приложении N 2</w:t>
        </w:r>
      </w:hyperlink>
      <w:r>
        <w:t xml:space="preserve"> к государственной программе.</w:t>
      </w:r>
    </w:p>
    <w:p w14:paraId="355F9FB7" w14:textId="77777777" w:rsidR="00454A29" w:rsidRDefault="00454A29">
      <w:pPr>
        <w:pStyle w:val="ConsPlusNormal"/>
      </w:pPr>
    </w:p>
    <w:p w14:paraId="307EF8B0" w14:textId="77777777" w:rsidR="00454A29" w:rsidRDefault="00454A29">
      <w:pPr>
        <w:pStyle w:val="ConsPlusTitle"/>
        <w:jc w:val="center"/>
        <w:outlineLvl w:val="1"/>
      </w:pPr>
      <w:r>
        <w:t>Раздел 6. ИНФОРМАЦИЯ О НАПРАВЛЕНИИ И ПАРАМЕТРАХ</w:t>
      </w:r>
    </w:p>
    <w:p w14:paraId="12173D2D" w14:textId="77777777" w:rsidR="00454A29" w:rsidRDefault="00454A29">
      <w:pPr>
        <w:pStyle w:val="ConsPlusTitle"/>
        <w:jc w:val="center"/>
      </w:pPr>
      <w:r>
        <w:t>РЕАЛИЗАЦИИ РЕГИОНАЛЬНЫХ ПРОЕКТОВ</w:t>
      </w:r>
    </w:p>
    <w:p w14:paraId="20929488" w14:textId="77777777" w:rsidR="00454A29" w:rsidRDefault="00454A29">
      <w:pPr>
        <w:pStyle w:val="ConsPlusNormal"/>
      </w:pPr>
    </w:p>
    <w:p w14:paraId="3258ED30" w14:textId="77777777" w:rsidR="00454A29" w:rsidRDefault="00454A29">
      <w:pPr>
        <w:pStyle w:val="ConsPlusNormal"/>
        <w:ind w:firstLine="540"/>
        <w:jc w:val="both"/>
      </w:pPr>
      <w:r>
        <w:t xml:space="preserve">Информация о направлении и параметрах реализации региональных проектов Республики Саха (Якутия), реализуемых в рамках государственной приведена в </w:t>
      </w:r>
      <w:hyperlink w:anchor="P26994" w:history="1">
        <w:r>
          <w:rPr>
            <w:color w:val="0000FF"/>
          </w:rPr>
          <w:t>приложении N 4</w:t>
        </w:r>
      </w:hyperlink>
      <w:r>
        <w:t xml:space="preserve"> к государственной программе.</w:t>
      </w:r>
    </w:p>
    <w:p w14:paraId="189024BB" w14:textId="77777777" w:rsidR="00454A29" w:rsidRDefault="00454A29">
      <w:pPr>
        <w:pStyle w:val="ConsPlusNormal"/>
      </w:pPr>
    </w:p>
    <w:p w14:paraId="6CDDC8B0" w14:textId="77777777" w:rsidR="00454A29" w:rsidRDefault="00454A29">
      <w:pPr>
        <w:pStyle w:val="ConsPlusTitle"/>
        <w:jc w:val="center"/>
        <w:outlineLvl w:val="1"/>
      </w:pPr>
      <w:r>
        <w:t>Раздел 7. ИНФОРМАЦИЯ О НАПРАВЛЕНИИ И ПАРАМЕТРАХ</w:t>
      </w:r>
    </w:p>
    <w:p w14:paraId="1368EEF8" w14:textId="77777777" w:rsidR="00454A29" w:rsidRDefault="00454A29">
      <w:pPr>
        <w:pStyle w:val="ConsPlusTitle"/>
        <w:jc w:val="center"/>
      </w:pPr>
      <w:r>
        <w:t>РЕАЛИЗАЦИИ АРКТИЧЕСКОГО РАЗДЕЛА</w:t>
      </w:r>
    </w:p>
    <w:p w14:paraId="3BA44A47" w14:textId="77777777" w:rsidR="00454A29" w:rsidRDefault="00454A29">
      <w:pPr>
        <w:pStyle w:val="ConsPlusNormal"/>
      </w:pPr>
    </w:p>
    <w:p w14:paraId="28C269C0" w14:textId="77777777" w:rsidR="00454A29" w:rsidRDefault="00454A29">
      <w:pPr>
        <w:pStyle w:val="ConsPlusNormal"/>
        <w:ind w:firstLine="540"/>
        <w:jc w:val="both"/>
      </w:pPr>
      <w:r>
        <w:t xml:space="preserve">Информация о направлении и параметрах реализации арктического раздела государственной программы приведена в </w:t>
      </w:r>
      <w:hyperlink w:anchor="P32014" w:history="1">
        <w:r>
          <w:rPr>
            <w:color w:val="0000FF"/>
          </w:rPr>
          <w:t>приложении N 5</w:t>
        </w:r>
      </w:hyperlink>
      <w:r>
        <w:t xml:space="preserve"> к государственной программе.</w:t>
      </w:r>
    </w:p>
    <w:p w14:paraId="455FAA10" w14:textId="77777777" w:rsidR="00454A29" w:rsidRDefault="00454A29">
      <w:pPr>
        <w:pStyle w:val="ConsPlusNormal"/>
      </w:pPr>
    </w:p>
    <w:p w14:paraId="020C1450" w14:textId="77777777" w:rsidR="00454A29" w:rsidRDefault="00454A29">
      <w:pPr>
        <w:pStyle w:val="ConsPlusNormal"/>
      </w:pPr>
    </w:p>
    <w:p w14:paraId="2473F524" w14:textId="77777777" w:rsidR="00454A29" w:rsidRDefault="00454A29">
      <w:pPr>
        <w:pStyle w:val="ConsPlusNormal"/>
      </w:pPr>
    </w:p>
    <w:p w14:paraId="0F9022C7" w14:textId="77777777" w:rsidR="00454A29" w:rsidRDefault="00454A29">
      <w:pPr>
        <w:pStyle w:val="ConsPlusNormal"/>
      </w:pPr>
    </w:p>
    <w:p w14:paraId="2792D55B" w14:textId="77777777" w:rsidR="00454A29" w:rsidRDefault="00454A29">
      <w:pPr>
        <w:pStyle w:val="ConsPlusNormal"/>
      </w:pPr>
    </w:p>
    <w:p w14:paraId="470FCC37" w14:textId="77777777" w:rsidR="00454A29" w:rsidRDefault="00454A29">
      <w:pPr>
        <w:pStyle w:val="ConsPlusNormal"/>
        <w:jc w:val="right"/>
        <w:outlineLvl w:val="1"/>
      </w:pPr>
      <w:r>
        <w:t>Приложение N 1</w:t>
      </w:r>
    </w:p>
    <w:p w14:paraId="441A30BF" w14:textId="77777777" w:rsidR="00454A29" w:rsidRDefault="00454A29">
      <w:pPr>
        <w:pStyle w:val="ConsPlusNormal"/>
        <w:jc w:val="right"/>
      </w:pPr>
      <w:r>
        <w:t>к государственной программе</w:t>
      </w:r>
    </w:p>
    <w:p w14:paraId="3BCCF644" w14:textId="77777777" w:rsidR="00454A29" w:rsidRDefault="00454A29">
      <w:pPr>
        <w:pStyle w:val="ConsPlusNormal"/>
        <w:jc w:val="right"/>
      </w:pPr>
      <w:r>
        <w:t>Республики Саха (Якутия)</w:t>
      </w:r>
    </w:p>
    <w:p w14:paraId="4110513D" w14:textId="77777777" w:rsidR="00454A29" w:rsidRDefault="00454A29">
      <w:pPr>
        <w:pStyle w:val="ConsPlusNormal"/>
        <w:jc w:val="right"/>
      </w:pPr>
      <w:r>
        <w:t>"Развитие образования</w:t>
      </w:r>
    </w:p>
    <w:p w14:paraId="2A097664" w14:textId="77777777" w:rsidR="00454A29" w:rsidRDefault="00454A29">
      <w:pPr>
        <w:pStyle w:val="ConsPlusNormal"/>
        <w:jc w:val="right"/>
      </w:pPr>
      <w:r>
        <w:t>Республики Саха (Якутия)</w:t>
      </w:r>
    </w:p>
    <w:p w14:paraId="480F9D04" w14:textId="77777777" w:rsidR="00454A29" w:rsidRDefault="00454A29">
      <w:pPr>
        <w:pStyle w:val="ConsPlusNormal"/>
        <w:jc w:val="right"/>
      </w:pPr>
      <w:r>
        <w:t>на 2020 - 2024 годы и на плановый</w:t>
      </w:r>
    </w:p>
    <w:p w14:paraId="1A076F42" w14:textId="77777777" w:rsidR="00454A29" w:rsidRDefault="00454A29">
      <w:pPr>
        <w:pStyle w:val="ConsPlusNormal"/>
        <w:jc w:val="right"/>
      </w:pPr>
      <w:r>
        <w:t>период до 2026 года"</w:t>
      </w:r>
    </w:p>
    <w:p w14:paraId="2A43F16C" w14:textId="77777777" w:rsidR="00454A29" w:rsidRDefault="00454A29">
      <w:pPr>
        <w:pStyle w:val="ConsPlusNormal"/>
      </w:pPr>
    </w:p>
    <w:p w14:paraId="0B9189CA" w14:textId="77777777" w:rsidR="00454A29" w:rsidRDefault="00454A29">
      <w:pPr>
        <w:pStyle w:val="ConsPlusTitle"/>
        <w:jc w:val="center"/>
      </w:pPr>
      <w:bookmarkStart w:id="2" w:name="P1666"/>
      <w:bookmarkEnd w:id="2"/>
      <w:r>
        <w:t>СВЕДЕНИЯ</w:t>
      </w:r>
    </w:p>
    <w:p w14:paraId="695FBDC8" w14:textId="77777777" w:rsidR="00454A29" w:rsidRDefault="00454A29">
      <w:pPr>
        <w:pStyle w:val="ConsPlusTitle"/>
        <w:jc w:val="center"/>
      </w:pPr>
      <w:r>
        <w:t>О ПОКАЗАТЕЛЯХ (ИНДИКАТОРАХ) ГОСУДАРСТВЕННОЙ ПРОГРАММЫ,</w:t>
      </w:r>
    </w:p>
    <w:p w14:paraId="190092BA" w14:textId="77777777" w:rsidR="00454A29" w:rsidRDefault="00454A29">
      <w:pPr>
        <w:pStyle w:val="ConsPlusTitle"/>
        <w:jc w:val="center"/>
      </w:pPr>
      <w:r>
        <w:t>ПОДПРОГРАММ И ОСНОВНЫХ МЕРОПРИЯТИЙ И ИХ ЗНАЧЕНИЯХ</w:t>
      </w:r>
    </w:p>
    <w:p w14:paraId="4609A0B8" w14:textId="77777777" w:rsidR="00454A29" w:rsidRDefault="00454A29">
      <w:pPr>
        <w:pStyle w:val="ConsPlusTitle"/>
        <w:jc w:val="center"/>
      </w:pPr>
      <w:r>
        <w:t>ГОСУДАРСТВЕННОЙ ПРОГРАММЫ РЕСПУБЛИКИ САХА (ЯКУТИЯ) "РАЗВИТИЕ</w:t>
      </w:r>
    </w:p>
    <w:p w14:paraId="7A6780B1" w14:textId="77777777" w:rsidR="00454A29" w:rsidRDefault="00454A29">
      <w:pPr>
        <w:pStyle w:val="ConsPlusTitle"/>
        <w:jc w:val="center"/>
      </w:pPr>
      <w:r>
        <w:t>ОБРАЗОВАНИЯ РЕСПУБЛИКИ САХА (ЯКУТИЯ) НА 2020 - 2024 ГОДЫ</w:t>
      </w:r>
    </w:p>
    <w:p w14:paraId="6FC0FBF0" w14:textId="77777777" w:rsidR="00454A29" w:rsidRDefault="00454A29">
      <w:pPr>
        <w:pStyle w:val="ConsPlusTitle"/>
        <w:jc w:val="center"/>
      </w:pPr>
      <w:r>
        <w:t>И НА ПЛАНОВЫЙ ПЕРИОД ДО 2026 ГОДА"</w:t>
      </w:r>
    </w:p>
    <w:p w14:paraId="598E06EB" w14:textId="77777777" w:rsidR="00454A29" w:rsidRDefault="00454A29">
      <w:pPr>
        <w:pStyle w:val="ConsPlusNormal"/>
      </w:pPr>
    </w:p>
    <w:p w14:paraId="38AC5264" w14:textId="77777777" w:rsidR="00454A29" w:rsidRDefault="00454A29">
      <w:pPr>
        <w:sectPr w:rsidR="00454A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304"/>
        <w:gridCol w:w="1984"/>
        <w:gridCol w:w="964"/>
        <w:gridCol w:w="964"/>
        <w:gridCol w:w="964"/>
        <w:gridCol w:w="964"/>
        <w:gridCol w:w="964"/>
        <w:gridCol w:w="964"/>
        <w:gridCol w:w="964"/>
      </w:tblGrid>
      <w:tr w:rsidR="00454A29" w14:paraId="1BD21BEF" w14:textId="77777777">
        <w:tc>
          <w:tcPr>
            <w:tcW w:w="567" w:type="dxa"/>
            <w:vMerge w:val="restart"/>
            <w:vAlign w:val="center"/>
          </w:tcPr>
          <w:p w14:paraId="45E1AB2E" w14:textId="77777777" w:rsidR="00454A29" w:rsidRDefault="00454A29">
            <w:pPr>
              <w:pStyle w:val="ConsPlusNormal"/>
              <w:jc w:val="center"/>
            </w:pPr>
            <w:r>
              <w:lastRenderedPageBreak/>
              <w:t>N п/п</w:t>
            </w:r>
          </w:p>
        </w:tc>
        <w:tc>
          <w:tcPr>
            <w:tcW w:w="3005" w:type="dxa"/>
            <w:vMerge w:val="restart"/>
            <w:vAlign w:val="center"/>
          </w:tcPr>
          <w:p w14:paraId="7D70F047" w14:textId="77777777" w:rsidR="00454A29" w:rsidRDefault="00454A29">
            <w:pPr>
              <w:pStyle w:val="ConsPlusNormal"/>
              <w:jc w:val="center"/>
            </w:pPr>
            <w:r>
              <w:t>Наименование показателя (индикатора)</w:t>
            </w:r>
          </w:p>
        </w:tc>
        <w:tc>
          <w:tcPr>
            <w:tcW w:w="1304" w:type="dxa"/>
            <w:vMerge w:val="restart"/>
            <w:vAlign w:val="center"/>
          </w:tcPr>
          <w:p w14:paraId="70BEDB8F" w14:textId="77777777" w:rsidR="00454A29" w:rsidRDefault="00454A29">
            <w:pPr>
              <w:pStyle w:val="ConsPlusNormal"/>
              <w:jc w:val="center"/>
            </w:pPr>
            <w:r>
              <w:t>Единица измерения</w:t>
            </w:r>
          </w:p>
        </w:tc>
        <w:tc>
          <w:tcPr>
            <w:tcW w:w="1984" w:type="dxa"/>
            <w:vAlign w:val="center"/>
          </w:tcPr>
          <w:p w14:paraId="64FA023F" w14:textId="77777777" w:rsidR="00454A29" w:rsidRDefault="00454A29">
            <w:pPr>
              <w:pStyle w:val="ConsPlusNormal"/>
              <w:jc w:val="center"/>
            </w:pPr>
            <w:r>
              <w:t>Ответственный исполнитель государственной программы</w:t>
            </w:r>
          </w:p>
        </w:tc>
        <w:tc>
          <w:tcPr>
            <w:tcW w:w="6748" w:type="dxa"/>
            <w:gridSpan w:val="7"/>
            <w:vAlign w:val="center"/>
          </w:tcPr>
          <w:p w14:paraId="66350A1E" w14:textId="77777777" w:rsidR="00454A29" w:rsidRDefault="00454A29">
            <w:pPr>
              <w:pStyle w:val="ConsPlusNormal"/>
              <w:jc w:val="center"/>
            </w:pPr>
            <w:r>
              <w:t>Значения показателей</w:t>
            </w:r>
          </w:p>
        </w:tc>
      </w:tr>
      <w:tr w:rsidR="00454A29" w14:paraId="2C853022" w14:textId="77777777">
        <w:tc>
          <w:tcPr>
            <w:tcW w:w="567" w:type="dxa"/>
            <w:vMerge/>
          </w:tcPr>
          <w:p w14:paraId="66865D0A" w14:textId="77777777" w:rsidR="00454A29" w:rsidRDefault="00454A29"/>
        </w:tc>
        <w:tc>
          <w:tcPr>
            <w:tcW w:w="3005" w:type="dxa"/>
            <w:vMerge/>
          </w:tcPr>
          <w:p w14:paraId="4BAC31D5" w14:textId="77777777" w:rsidR="00454A29" w:rsidRDefault="00454A29"/>
        </w:tc>
        <w:tc>
          <w:tcPr>
            <w:tcW w:w="1304" w:type="dxa"/>
            <w:vMerge/>
          </w:tcPr>
          <w:p w14:paraId="2800931E" w14:textId="77777777" w:rsidR="00454A29" w:rsidRDefault="00454A29"/>
        </w:tc>
        <w:tc>
          <w:tcPr>
            <w:tcW w:w="1984" w:type="dxa"/>
            <w:vAlign w:val="center"/>
          </w:tcPr>
          <w:p w14:paraId="3918BE77" w14:textId="77777777" w:rsidR="00454A29" w:rsidRDefault="00454A29">
            <w:pPr>
              <w:pStyle w:val="ConsPlusNormal"/>
              <w:jc w:val="center"/>
            </w:pPr>
            <w:r>
              <w:t>(ИОГВ)</w:t>
            </w:r>
          </w:p>
        </w:tc>
        <w:tc>
          <w:tcPr>
            <w:tcW w:w="964" w:type="dxa"/>
            <w:vAlign w:val="center"/>
          </w:tcPr>
          <w:p w14:paraId="054FA989" w14:textId="77777777" w:rsidR="00454A29" w:rsidRDefault="00454A29">
            <w:pPr>
              <w:pStyle w:val="ConsPlusNormal"/>
              <w:jc w:val="center"/>
            </w:pPr>
            <w:r>
              <w:t>2020</w:t>
            </w:r>
          </w:p>
        </w:tc>
        <w:tc>
          <w:tcPr>
            <w:tcW w:w="964" w:type="dxa"/>
            <w:vAlign w:val="center"/>
          </w:tcPr>
          <w:p w14:paraId="5C279920" w14:textId="77777777" w:rsidR="00454A29" w:rsidRDefault="00454A29">
            <w:pPr>
              <w:pStyle w:val="ConsPlusNormal"/>
              <w:jc w:val="center"/>
            </w:pPr>
            <w:r>
              <w:t>2021</w:t>
            </w:r>
          </w:p>
        </w:tc>
        <w:tc>
          <w:tcPr>
            <w:tcW w:w="964" w:type="dxa"/>
            <w:vAlign w:val="center"/>
          </w:tcPr>
          <w:p w14:paraId="762A4ED7" w14:textId="77777777" w:rsidR="00454A29" w:rsidRDefault="00454A29">
            <w:pPr>
              <w:pStyle w:val="ConsPlusNormal"/>
              <w:jc w:val="center"/>
            </w:pPr>
            <w:r>
              <w:t>2022</w:t>
            </w:r>
          </w:p>
        </w:tc>
        <w:tc>
          <w:tcPr>
            <w:tcW w:w="964" w:type="dxa"/>
            <w:vAlign w:val="center"/>
          </w:tcPr>
          <w:p w14:paraId="501F95BA" w14:textId="77777777" w:rsidR="00454A29" w:rsidRDefault="00454A29">
            <w:pPr>
              <w:pStyle w:val="ConsPlusNormal"/>
              <w:jc w:val="center"/>
            </w:pPr>
            <w:r>
              <w:t>2023</w:t>
            </w:r>
          </w:p>
        </w:tc>
        <w:tc>
          <w:tcPr>
            <w:tcW w:w="964" w:type="dxa"/>
            <w:vAlign w:val="center"/>
          </w:tcPr>
          <w:p w14:paraId="66BFD1B7" w14:textId="77777777" w:rsidR="00454A29" w:rsidRDefault="00454A29">
            <w:pPr>
              <w:pStyle w:val="ConsPlusNormal"/>
              <w:jc w:val="center"/>
            </w:pPr>
            <w:r>
              <w:t>2024</w:t>
            </w:r>
          </w:p>
        </w:tc>
        <w:tc>
          <w:tcPr>
            <w:tcW w:w="964" w:type="dxa"/>
            <w:vAlign w:val="center"/>
          </w:tcPr>
          <w:p w14:paraId="67DD4ED1" w14:textId="77777777" w:rsidR="00454A29" w:rsidRDefault="00454A29">
            <w:pPr>
              <w:pStyle w:val="ConsPlusNormal"/>
              <w:jc w:val="center"/>
            </w:pPr>
            <w:r>
              <w:t>2025</w:t>
            </w:r>
          </w:p>
        </w:tc>
        <w:tc>
          <w:tcPr>
            <w:tcW w:w="964" w:type="dxa"/>
            <w:vAlign w:val="center"/>
          </w:tcPr>
          <w:p w14:paraId="30259300" w14:textId="77777777" w:rsidR="00454A29" w:rsidRDefault="00454A29">
            <w:pPr>
              <w:pStyle w:val="ConsPlusNormal"/>
              <w:jc w:val="center"/>
            </w:pPr>
            <w:r>
              <w:t>2026</w:t>
            </w:r>
          </w:p>
        </w:tc>
      </w:tr>
      <w:tr w:rsidR="00454A29" w14:paraId="56B972D5" w14:textId="77777777">
        <w:tc>
          <w:tcPr>
            <w:tcW w:w="567" w:type="dxa"/>
            <w:vAlign w:val="center"/>
          </w:tcPr>
          <w:p w14:paraId="0C94469F" w14:textId="77777777" w:rsidR="00454A29" w:rsidRDefault="00454A29">
            <w:pPr>
              <w:pStyle w:val="ConsPlusNormal"/>
              <w:jc w:val="center"/>
            </w:pPr>
            <w:r>
              <w:t>1</w:t>
            </w:r>
          </w:p>
        </w:tc>
        <w:tc>
          <w:tcPr>
            <w:tcW w:w="3005" w:type="dxa"/>
            <w:vAlign w:val="center"/>
          </w:tcPr>
          <w:p w14:paraId="2F65F311" w14:textId="77777777" w:rsidR="00454A29" w:rsidRDefault="00454A29">
            <w:pPr>
              <w:pStyle w:val="ConsPlusNormal"/>
              <w:jc w:val="center"/>
            </w:pPr>
            <w:r>
              <w:t>2</w:t>
            </w:r>
          </w:p>
        </w:tc>
        <w:tc>
          <w:tcPr>
            <w:tcW w:w="1304" w:type="dxa"/>
            <w:vAlign w:val="center"/>
          </w:tcPr>
          <w:p w14:paraId="752A9A94" w14:textId="77777777" w:rsidR="00454A29" w:rsidRDefault="00454A29">
            <w:pPr>
              <w:pStyle w:val="ConsPlusNormal"/>
              <w:jc w:val="center"/>
            </w:pPr>
            <w:r>
              <w:t>3</w:t>
            </w:r>
          </w:p>
        </w:tc>
        <w:tc>
          <w:tcPr>
            <w:tcW w:w="1984" w:type="dxa"/>
            <w:vAlign w:val="center"/>
          </w:tcPr>
          <w:p w14:paraId="7E7923F0" w14:textId="77777777" w:rsidR="00454A29" w:rsidRDefault="00454A29">
            <w:pPr>
              <w:pStyle w:val="ConsPlusNormal"/>
              <w:jc w:val="center"/>
            </w:pPr>
            <w:r>
              <w:t>4</w:t>
            </w:r>
          </w:p>
        </w:tc>
        <w:tc>
          <w:tcPr>
            <w:tcW w:w="964" w:type="dxa"/>
            <w:vAlign w:val="center"/>
          </w:tcPr>
          <w:p w14:paraId="086497EA" w14:textId="77777777" w:rsidR="00454A29" w:rsidRDefault="00454A29">
            <w:pPr>
              <w:pStyle w:val="ConsPlusNormal"/>
              <w:jc w:val="center"/>
            </w:pPr>
            <w:r>
              <w:t>5</w:t>
            </w:r>
          </w:p>
        </w:tc>
        <w:tc>
          <w:tcPr>
            <w:tcW w:w="964" w:type="dxa"/>
            <w:vAlign w:val="center"/>
          </w:tcPr>
          <w:p w14:paraId="1624AAE0" w14:textId="77777777" w:rsidR="00454A29" w:rsidRDefault="00454A29">
            <w:pPr>
              <w:pStyle w:val="ConsPlusNormal"/>
              <w:jc w:val="center"/>
            </w:pPr>
            <w:r>
              <w:t>6</w:t>
            </w:r>
          </w:p>
        </w:tc>
        <w:tc>
          <w:tcPr>
            <w:tcW w:w="964" w:type="dxa"/>
            <w:vAlign w:val="center"/>
          </w:tcPr>
          <w:p w14:paraId="17BC1610" w14:textId="77777777" w:rsidR="00454A29" w:rsidRDefault="00454A29">
            <w:pPr>
              <w:pStyle w:val="ConsPlusNormal"/>
              <w:jc w:val="center"/>
            </w:pPr>
            <w:r>
              <w:t>7</w:t>
            </w:r>
          </w:p>
        </w:tc>
        <w:tc>
          <w:tcPr>
            <w:tcW w:w="964" w:type="dxa"/>
            <w:vAlign w:val="center"/>
          </w:tcPr>
          <w:p w14:paraId="25A7309E" w14:textId="77777777" w:rsidR="00454A29" w:rsidRDefault="00454A29">
            <w:pPr>
              <w:pStyle w:val="ConsPlusNormal"/>
              <w:jc w:val="center"/>
            </w:pPr>
            <w:r>
              <w:t>8</w:t>
            </w:r>
          </w:p>
        </w:tc>
        <w:tc>
          <w:tcPr>
            <w:tcW w:w="964" w:type="dxa"/>
            <w:vAlign w:val="center"/>
          </w:tcPr>
          <w:p w14:paraId="1A00D7D8" w14:textId="77777777" w:rsidR="00454A29" w:rsidRDefault="00454A29">
            <w:pPr>
              <w:pStyle w:val="ConsPlusNormal"/>
              <w:jc w:val="center"/>
            </w:pPr>
            <w:r>
              <w:t>9</w:t>
            </w:r>
          </w:p>
        </w:tc>
        <w:tc>
          <w:tcPr>
            <w:tcW w:w="964" w:type="dxa"/>
            <w:vAlign w:val="center"/>
          </w:tcPr>
          <w:p w14:paraId="2D654705" w14:textId="77777777" w:rsidR="00454A29" w:rsidRDefault="00454A29">
            <w:pPr>
              <w:pStyle w:val="ConsPlusNormal"/>
              <w:jc w:val="center"/>
            </w:pPr>
            <w:r>
              <w:t>10</w:t>
            </w:r>
          </w:p>
        </w:tc>
        <w:tc>
          <w:tcPr>
            <w:tcW w:w="964" w:type="dxa"/>
            <w:vAlign w:val="center"/>
          </w:tcPr>
          <w:p w14:paraId="21626495" w14:textId="77777777" w:rsidR="00454A29" w:rsidRDefault="00454A29">
            <w:pPr>
              <w:pStyle w:val="ConsPlusNormal"/>
              <w:jc w:val="center"/>
            </w:pPr>
            <w:r>
              <w:t>11</w:t>
            </w:r>
          </w:p>
        </w:tc>
      </w:tr>
      <w:tr w:rsidR="00454A29" w14:paraId="2EE822AE" w14:textId="77777777">
        <w:tc>
          <w:tcPr>
            <w:tcW w:w="13608" w:type="dxa"/>
            <w:gridSpan w:val="11"/>
            <w:vAlign w:val="center"/>
          </w:tcPr>
          <w:p w14:paraId="237732E4" w14:textId="77777777" w:rsidR="00454A29" w:rsidRDefault="00454A29">
            <w:pPr>
              <w:pStyle w:val="ConsPlusNormal"/>
              <w:jc w:val="center"/>
              <w:outlineLvl w:val="2"/>
            </w:pPr>
            <w:r>
              <w:t>Государственная программа "Развитие образования Республики Саха (Якутия) на 2020 - 2024 годы и на плановый период до 2026 года"</w:t>
            </w:r>
          </w:p>
        </w:tc>
      </w:tr>
      <w:tr w:rsidR="00454A29" w14:paraId="59DE357E" w14:textId="77777777">
        <w:tc>
          <w:tcPr>
            <w:tcW w:w="567" w:type="dxa"/>
            <w:vAlign w:val="center"/>
          </w:tcPr>
          <w:p w14:paraId="1A873C7D" w14:textId="77777777" w:rsidR="00454A29" w:rsidRDefault="00454A29">
            <w:pPr>
              <w:pStyle w:val="ConsPlusNormal"/>
              <w:jc w:val="center"/>
            </w:pPr>
            <w:r>
              <w:t>1</w:t>
            </w:r>
          </w:p>
        </w:tc>
        <w:tc>
          <w:tcPr>
            <w:tcW w:w="3005" w:type="dxa"/>
            <w:vAlign w:val="center"/>
          </w:tcPr>
          <w:p w14:paraId="512841A1" w14:textId="77777777" w:rsidR="00454A29" w:rsidRDefault="00454A29">
            <w:pPr>
              <w:pStyle w:val="ConsPlusNormal"/>
            </w:pPr>
            <w: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304" w:type="dxa"/>
            <w:vAlign w:val="center"/>
          </w:tcPr>
          <w:p w14:paraId="106A9C80" w14:textId="77777777" w:rsidR="00454A29" w:rsidRDefault="00454A29">
            <w:pPr>
              <w:pStyle w:val="ConsPlusNormal"/>
              <w:jc w:val="center"/>
            </w:pPr>
            <w:r>
              <w:t>%</w:t>
            </w:r>
          </w:p>
        </w:tc>
        <w:tc>
          <w:tcPr>
            <w:tcW w:w="1984" w:type="dxa"/>
            <w:vAlign w:val="center"/>
          </w:tcPr>
          <w:p w14:paraId="65029A43" w14:textId="77777777" w:rsidR="00454A29" w:rsidRDefault="00454A29">
            <w:pPr>
              <w:pStyle w:val="ConsPlusNormal"/>
              <w:jc w:val="center"/>
            </w:pPr>
            <w:r>
              <w:t>Минобрнауки РС(Я)</w:t>
            </w:r>
          </w:p>
        </w:tc>
        <w:tc>
          <w:tcPr>
            <w:tcW w:w="964" w:type="dxa"/>
            <w:vAlign w:val="center"/>
          </w:tcPr>
          <w:p w14:paraId="2FE4EC49" w14:textId="77777777" w:rsidR="00454A29" w:rsidRDefault="00454A29">
            <w:pPr>
              <w:pStyle w:val="ConsPlusNormal"/>
              <w:jc w:val="center"/>
            </w:pPr>
            <w:r>
              <w:t>80,1</w:t>
            </w:r>
          </w:p>
        </w:tc>
        <w:tc>
          <w:tcPr>
            <w:tcW w:w="964" w:type="dxa"/>
            <w:vAlign w:val="center"/>
          </w:tcPr>
          <w:p w14:paraId="7C496E3A" w14:textId="77777777" w:rsidR="00454A29" w:rsidRDefault="00454A29">
            <w:pPr>
              <w:pStyle w:val="ConsPlusNormal"/>
              <w:jc w:val="center"/>
            </w:pPr>
            <w:r>
              <w:t>100</w:t>
            </w:r>
          </w:p>
        </w:tc>
        <w:tc>
          <w:tcPr>
            <w:tcW w:w="964" w:type="dxa"/>
            <w:vAlign w:val="center"/>
          </w:tcPr>
          <w:p w14:paraId="2816B2BD" w14:textId="77777777" w:rsidR="00454A29" w:rsidRDefault="00454A29">
            <w:pPr>
              <w:pStyle w:val="ConsPlusNormal"/>
              <w:jc w:val="center"/>
            </w:pPr>
            <w:r>
              <w:t>100</w:t>
            </w:r>
          </w:p>
        </w:tc>
        <w:tc>
          <w:tcPr>
            <w:tcW w:w="964" w:type="dxa"/>
            <w:vAlign w:val="center"/>
          </w:tcPr>
          <w:p w14:paraId="09D3C651" w14:textId="77777777" w:rsidR="00454A29" w:rsidRDefault="00454A29">
            <w:pPr>
              <w:pStyle w:val="ConsPlusNormal"/>
              <w:jc w:val="center"/>
            </w:pPr>
            <w:r>
              <w:t>100</w:t>
            </w:r>
          </w:p>
        </w:tc>
        <w:tc>
          <w:tcPr>
            <w:tcW w:w="964" w:type="dxa"/>
            <w:vAlign w:val="center"/>
          </w:tcPr>
          <w:p w14:paraId="1C6BDA1C" w14:textId="77777777" w:rsidR="00454A29" w:rsidRDefault="00454A29">
            <w:pPr>
              <w:pStyle w:val="ConsPlusNormal"/>
              <w:jc w:val="center"/>
            </w:pPr>
            <w:r>
              <w:t>100</w:t>
            </w:r>
          </w:p>
        </w:tc>
        <w:tc>
          <w:tcPr>
            <w:tcW w:w="964" w:type="dxa"/>
            <w:vAlign w:val="center"/>
          </w:tcPr>
          <w:p w14:paraId="709B1EFD" w14:textId="77777777" w:rsidR="00454A29" w:rsidRDefault="00454A29">
            <w:pPr>
              <w:pStyle w:val="ConsPlusNormal"/>
              <w:jc w:val="center"/>
            </w:pPr>
            <w:r>
              <w:t>100</w:t>
            </w:r>
          </w:p>
        </w:tc>
        <w:tc>
          <w:tcPr>
            <w:tcW w:w="964" w:type="dxa"/>
            <w:vAlign w:val="center"/>
          </w:tcPr>
          <w:p w14:paraId="0A00C04E" w14:textId="77777777" w:rsidR="00454A29" w:rsidRDefault="00454A29">
            <w:pPr>
              <w:pStyle w:val="ConsPlusNormal"/>
              <w:jc w:val="center"/>
            </w:pPr>
            <w:r>
              <w:t>100</w:t>
            </w:r>
          </w:p>
        </w:tc>
      </w:tr>
      <w:tr w:rsidR="00454A29" w14:paraId="5D546D4A" w14:textId="77777777">
        <w:tc>
          <w:tcPr>
            <w:tcW w:w="567" w:type="dxa"/>
            <w:vAlign w:val="center"/>
          </w:tcPr>
          <w:p w14:paraId="3CB715B7" w14:textId="77777777" w:rsidR="00454A29" w:rsidRDefault="00454A29">
            <w:pPr>
              <w:pStyle w:val="ConsPlusNormal"/>
              <w:jc w:val="center"/>
            </w:pPr>
            <w:r>
              <w:t>2</w:t>
            </w:r>
          </w:p>
        </w:tc>
        <w:tc>
          <w:tcPr>
            <w:tcW w:w="3005" w:type="dxa"/>
            <w:vAlign w:val="center"/>
          </w:tcPr>
          <w:p w14:paraId="56C8D962" w14:textId="77777777" w:rsidR="00454A29" w:rsidRDefault="00454A29">
            <w:pPr>
              <w:pStyle w:val="ConsPlusNormal"/>
            </w:pPr>
            <w:r>
              <w:t>Доля выпускников государственных (муниципальных) общеобразовательных организаций, получивших аттестат о среднем (полном) общем образовании</w:t>
            </w:r>
          </w:p>
        </w:tc>
        <w:tc>
          <w:tcPr>
            <w:tcW w:w="1304" w:type="dxa"/>
            <w:vAlign w:val="center"/>
          </w:tcPr>
          <w:p w14:paraId="72485E83" w14:textId="77777777" w:rsidR="00454A29" w:rsidRDefault="00454A29">
            <w:pPr>
              <w:pStyle w:val="ConsPlusNormal"/>
              <w:jc w:val="center"/>
            </w:pPr>
            <w:r>
              <w:t>%</w:t>
            </w:r>
          </w:p>
        </w:tc>
        <w:tc>
          <w:tcPr>
            <w:tcW w:w="1984" w:type="dxa"/>
            <w:vAlign w:val="center"/>
          </w:tcPr>
          <w:p w14:paraId="5D5EC698" w14:textId="77777777" w:rsidR="00454A29" w:rsidRDefault="00454A29">
            <w:pPr>
              <w:pStyle w:val="ConsPlusNormal"/>
              <w:jc w:val="center"/>
            </w:pPr>
            <w:r>
              <w:t>Минобрнауки РС(Я)</w:t>
            </w:r>
          </w:p>
        </w:tc>
        <w:tc>
          <w:tcPr>
            <w:tcW w:w="964" w:type="dxa"/>
            <w:vAlign w:val="center"/>
          </w:tcPr>
          <w:p w14:paraId="17F58A91" w14:textId="77777777" w:rsidR="00454A29" w:rsidRDefault="00454A29">
            <w:pPr>
              <w:pStyle w:val="ConsPlusNormal"/>
              <w:jc w:val="center"/>
            </w:pPr>
            <w:r>
              <w:t>98</w:t>
            </w:r>
          </w:p>
        </w:tc>
        <w:tc>
          <w:tcPr>
            <w:tcW w:w="964" w:type="dxa"/>
            <w:vAlign w:val="center"/>
          </w:tcPr>
          <w:p w14:paraId="41D18BE1" w14:textId="77777777" w:rsidR="00454A29" w:rsidRDefault="00454A29">
            <w:pPr>
              <w:pStyle w:val="ConsPlusNormal"/>
              <w:jc w:val="center"/>
            </w:pPr>
            <w:r>
              <w:t>98</w:t>
            </w:r>
          </w:p>
        </w:tc>
        <w:tc>
          <w:tcPr>
            <w:tcW w:w="964" w:type="dxa"/>
            <w:vAlign w:val="center"/>
          </w:tcPr>
          <w:p w14:paraId="1EF02137" w14:textId="77777777" w:rsidR="00454A29" w:rsidRDefault="00454A29">
            <w:pPr>
              <w:pStyle w:val="ConsPlusNormal"/>
              <w:jc w:val="center"/>
            </w:pPr>
            <w:r>
              <w:t>98,1</w:t>
            </w:r>
          </w:p>
        </w:tc>
        <w:tc>
          <w:tcPr>
            <w:tcW w:w="964" w:type="dxa"/>
            <w:vAlign w:val="center"/>
          </w:tcPr>
          <w:p w14:paraId="7D36F2B9" w14:textId="77777777" w:rsidR="00454A29" w:rsidRDefault="00454A29">
            <w:pPr>
              <w:pStyle w:val="ConsPlusNormal"/>
              <w:jc w:val="center"/>
            </w:pPr>
            <w:r>
              <w:t>98,2</w:t>
            </w:r>
          </w:p>
        </w:tc>
        <w:tc>
          <w:tcPr>
            <w:tcW w:w="964" w:type="dxa"/>
            <w:vAlign w:val="center"/>
          </w:tcPr>
          <w:p w14:paraId="400AA8CE" w14:textId="77777777" w:rsidR="00454A29" w:rsidRDefault="00454A29">
            <w:pPr>
              <w:pStyle w:val="ConsPlusNormal"/>
              <w:jc w:val="center"/>
            </w:pPr>
            <w:r>
              <w:t>98,3</w:t>
            </w:r>
          </w:p>
        </w:tc>
        <w:tc>
          <w:tcPr>
            <w:tcW w:w="964" w:type="dxa"/>
            <w:vAlign w:val="center"/>
          </w:tcPr>
          <w:p w14:paraId="73FABB94" w14:textId="77777777" w:rsidR="00454A29" w:rsidRDefault="00454A29">
            <w:pPr>
              <w:pStyle w:val="ConsPlusNormal"/>
              <w:jc w:val="center"/>
            </w:pPr>
            <w:r>
              <w:t>98,4</w:t>
            </w:r>
          </w:p>
        </w:tc>
        <w:tc>
          <w:tcPr>
            <w:tcW w:w="964" w:type="dxa"/>
            <w:vAlign w:val="center"/>
          </w:tcPr>
          <w:p w14:paraId="74FB0750" w14:textId="77777777" w:rsidR="00454A29" w:rsidRDefault="00454A29">
            <w:pPr>
              <w:pStyle w:val="ConsPlusNormal"/>
              <w:jc w:val="center"/>
            </w:pPr>
            <w:r>
              <w:t>98,5</w:t>
            </w:r>
          </w:p>
        </w:tc>
      </w:tr>
      <w:tr w:rsidR="00454A29" w14:paraId="4C37E5F0" w14:textId="77777777">
        <w:tc>
          <w:tcPr>
            <w:tcW w:w="567" w:type="dxa"/>
            <w:vAlign w:val="center"/>
          </w:tcPr>
          <w:p w14:paraId="0AF19903" w14:textId="77777777" w:rsidR="00454A29" w:rsidRDefault="00454A29">
            <w:pPr>
              <w:pStyle w:val="ConsPlusNormal"/>
              <w:jc w:val="center"/>
            </w:pPr>
            <w:r>
              <w:t>3</w:t>
            </w:r>
          </w:p>
        </w:tc>
        <w:tc>
          <w:tcPr>
            <w:tcW w:w="3005" w:type="dxa"/>
            <w:vAlign w:val="center"/>
          </w:tcPr>
          <w:p w14:paraId="7187B57E" w14:textId="77777777" w:rsidR="00454A29" w:rsidRDefault="00454A29">
            <w:pPr>
              <w:pStyle w:val="ConsPlusNormal"/>
            </w:pPr>
            <w:r>
              <w:t xml:space="preserve">Доля населения в возрасте от </w:t>
            </w:r>
            <w:r>
              <w:lastRenderedPageBreak/>
              <w:t>15 до 19 лет, обучающегося по программам среднего профессионального образования</w:t>
            </w:r>
          </w:p>
        </w:tc>
        <w:tc>
          <w:tcPr>
            <w:tcW w:w="1304" w:type="dxa"/>
            <w:vAlign w:val="center"/>
          </w:tcPr>
          <w:p w14:paraId="7E4AA5D2" w14:textId="77777777" w:rsidR="00454A29" w:rsidRDefault="00454A29">
            <w:pPr>
              <w:pStyle w:val="ConsPlusNormal"/>
              <w:jc w:val="center"/>
            </w:pPr>
            <w:r>
              <w:lastRenderedPageBreak/>
              <w:t>%</w:t>
            </w:r>
          </w:p>
        </w:tc>
        <w:tc>
          <w:tcPr>
            <w:tcW w:w="1984" w:type="dxa"/>
            <w:vAlign w:val="center"/>
          </w:tcPr>
          <w:p w14:paraId="10C85DA8" w14:textId="77777777" w:rsidR="00454A29" w:rsidRDefault="00454A29">
            <w:pPr>
              <w:pStyle w:val="ConsPlusNormal"/>
              <w:jc w:val="center"/>
            </w:pPr>
            <w:r>
              <w:t>Минобрнауки РС(Я)</w:t>
            </w:r>
          </w:p>
        </w:tc>
        <w:tc>
          <w:tcPr>
            <w:tcW w:w="964" w:type="dxa"/>
            <w:vAlign w:val="center"/>
          </w:tcPr>
          <w:p w14:paraId="71BDACF3" w14:textId="77777777" w:rsidR="00454A29" w:rsidRDefault="00454A29">
            <w:pPr>
              <w:pStyle w:val="ConsPlusNormal"/>
              <w:jc w:val="center"/>
            </w:pPr>
            <w:r>
              <w:t>40</w:t>
            </w:r>
          </w:p>
        </w:tc>
        <w:tc>
          <w:tcPr>
            <w:tcW w:w="964" w:type="dxa"/>
            <w:vAlign w:val="center"/>
          </w:tcPr>
          <w:p w14:paraId="14A0EBF4" w14:textId="77777777" w:rsidR="00454A29" w:rsidRDefault="00454A29">
            <w:pPr>
              <w:pStyle w:val="ConsPlusNormal"/>
              <w:jc w:val="center"/>
            </w:pPr>
            <w:r>
              <w:t>41</w:t>
            </w:r>
          </w:p>
        </w:tc>
        <w:tc>
          <w:tcPr>
            <w:tcW w:w="964" w:type="dxa"/>
            <w:vAlign w:val="center"/>
          </w:tcPr>
          <w:p w14:paraId="7C88A4E9" w14:textId="77777777" w:rsidR="00454A29" w:rsidRDefault="00454A29">
            <w:pPr>
              <w:pStyle w:val="ConsPlusNormal"/>
              <w:jc w:val="center"/>
            </w:pPr>
            <w:r>
              <w:t>42</w:t>
            </w:r>
          </w:p>
        </w:tc>
        <w:tc>
          <w:tcPr>
            <w:tcW w:w="964" w:type="dxa"/>
            <w:vAlign w:val="center"/>
          </w:tcPr>
          <w:p w14:paraId="212B8478" w14:textId="77777777" w:rsidR="00454A29" w:rsidRDefault="00454A29">
            <w:pPr>
              <w:pStyle w:val="ConsPlusNormal"/>
              <w:jc w:val="center"/>
            </w:pPr>
            <w:r>
              <w:t>43</w:t>
            </w:r>
          </w:p>
        </w:tc>
        <w:tc>
          <w:tcPr>
            <w:tcW w:w="964" w:type="dxa"/>
            <w:vAlign w:val="center"/>
          </w:tcPr>
          <w:p w14:paraId="1D85B2F5" w14:textId="77777777" w:rsidR="00454A29" w:rsidRDefault="00454A29">
            <w:pPr>
              <w:pStyle w:val="ConsPlusNormal"/>
              <w:jc w:val="center"/>
            </w:pPr>
            <w:r>
              <w:t>44</w:t>
            </w:r>
          </w:p>
        </w:tc>
        <w:tc>
          <w:tcPr>
            <w:tcW w:w="964" w:type="dxa"/>
            <w:vAlign w:val="center"/>
          </w:tcPr>
          <w:p w14:paraId="2D2F1FCC" w14:textId="77777777" w:rsidR="00454A29" w:rsidRDefault="00454A29">
            <w:pPr>
              <w:pStyle w:val="ConsPlusNormal"/>
              <w:jc w:val="center"/>
            </w:pPr>
            <w:r>
              <w:t>45</w:t>
            </w:r>
          </w:p>
        </w:tc>
        <w:tc>
          <w:tcPr>
            <w:tcW w:w="964" w:type="dxa"/>
            <w:vAlign w:val="center"/>
          </w:tcPr>
          <w:p w14:paraId="03E390D5" w14:textId="77777777" w:rsidR="00454A29" w:rsidRDefault="00454A29">
            <w:pPr>
              <w:pStyle w:val="ConsPlusNormal"/>
              <w:jc w:val="center"/>
            </w:pPr>
            <w:r>
              <w:t>46</w:t>
            </w:r>
          </w:p>
        </w:tc>
      </w:tr>
      <w:tr w:rsidR="00454A29" w14:paraId="04874EDC" w14:textId="77777777">
        <w:tc>
          <w:tcPr>
            <w:tcW w:w="567" w:type="dxa"/>
            <w:vAlign w:val="center"/>
          </w:tcPr>
          <w:p w14:paraId="177D089F" w14:textId="77777777" w:rsidR="00454A29" w:rsidRDefault="00454A29">
            <w:pPr>
              <w:pStyle w:val="ConsPlusNormal"/>
              <w:jc w:val="center"/>
            </w:pPr>
            <w:r>
              <w:t>4</w:t>
            </w:r>
          </w:p>
        </w:tc>
        <w:tc>
          <w:tcPr>
            <w:tcW w:w="3005" w:type="dxa"/>
            <w:vAlign w:val="center"/>
          </w:tcPr>
          <w:p w14:paraId="32C08CD6" w14:textId="77777777" w:rsidR="00454A29" w:rsidRDefault="00454A29">
            <w:pPr>
              <w:pStyle w:val="ConsPlusNormal"/>
            </w:pPr>
            <w:r>
              <w:t>Доля детей в возрасте от 5 до 18 лет, обучающихся по дополнительным общеобразовательным программам, в общей численности детей этого возраста</w:t>
            </w:r>
          </w:p>
        </w:tc>
        <w:tc>
          <w:tcPr>
            <w:tcW w:w="1304" w:type="dxa"/>
            <w:vAlign w:val="center"/>
          </w:tcPr>
          <w:p w14:paraId="1FE7B5C0" w14:textId="77777777" w:rsidR="00454A29" w:rsidRDefault="00454A29">
            <w:pPr>
              <w:pStyle w:val="ConsPlusNormal"/>
              <w:jc w:val="center"/>
            </w:pPr>
            <w:r>
              <w:t>%</w:t>
            </w:r>
          </w:p>
        </w:tc>
        <w:tc>
          <w:tcPr>
            <w:tcW w:w="1984" w:type="dxa"/>
            <w:vAlign w:val="center"/>
          </w:tcPr>
          <w:p w14:paraId="17344F95" w14:textId="77777777" w:rsidR="00454A29" w:rsidRDefault="00454A29">
            <w:pPr>
              <w:pStyle w:val="ConsPlusNormal"/>
              <w:jc w:val="center"/>
            </w:pPr>
            <w:r>
              <w:t>Минобрнауки РС(Я)</w:t>
            </w:r>
          </w:p>
        </w:tc>
        <w:tc>
          <w:tcPr>
            <w:tcW w:w="964" w:type="dxa"/>
            <w:vAlign w:val="center"/>
          </w:tcPr>
          <w:p w14:paraId="4CDDCFE2" w14:textId="77777777" w:rsidR="00454A29" w:rsidRDefault="00454A29">
            <w:pPr>
              <w:pStyle w:val="ConsPlusNormal"/>
              <w:jc w:val="center"/>
            </w:pPr>
            <w:r>
              <w:t>77</w:t>
            </w:r>
          </w:p>
        </w:tc>
        <w:tc>
          <w:tcPr>
            <w:tcW w:w="964" w:type="dxa"/>
            <w:vAlign w:val="center"/>
          </w:tcPr>
          <w:p w14:paraId="747CF940" w14:textId="77777777" w:rsidR="00454A29" w:rsidRDefault="00454A29">
            <w:pPr>
              <w:pStyle w:val="ConsPlusNormal"/>
              <w:jc w:val="center"/>
            </w:pPr>
            <w:r>
              <w:t>78</w:t>
            </w:r>
          </w:p>
        </w:tc>
        <w:tc>
          <w:tcPr>
            <w:tcW w:w="964" w:type="dxa"/>
            <w:vAlign w:val="center"/>
          </w:tcPr>
          <w:p w14:paraId="7972F885" w14:textId="77777777" w:rsidR="00454A29" w:rsidRDefault="00454A29">
            <w:pPr>
              <w:pStyle w:val="ConsPlusNormal"/>
              <w:jc w:val="center"/>
            </w:pPr>
            <w:r>
              <w:t>78,5</w:t>
            </w:r>
          </w:p>
        </w:tc>
        <w:tc>
          <w:tcPr>
            <w:tcW w:w="964" w:type="dxa"/>
            <w:vAlign w:val="center"/>
          </w:tcPr>
          <w:p w14:paraId="4AB4F24A" w14:textId="77777777" w:rsidR="00454A29" w:rsidRDefault="00454A29">
            <w:pPr>
              <w:pStyle w:val="ConsPlusNormal"/>
              <w:jc w:val="center"/>
            </w:pPr>
            <w:r>
              <w:t>79</w:t>
            </w:r>
          </w:p>
        </w:tc>
        <w:tc>
          <w:tcPr>
            <w:tcW w:w="964" w:type="dxa"/>
            <w:vAlign w:val="center"/>
          </w:tcPr>
          <w:p w14:paraId="1ABFD0FC" w14:textId="77777777" w:rsidR="00454A29" w:rsidRDefault="00454A29">
            <w:pPr>
              <w:pStyle w:val="ConsPlusNormal"/>
              <w:jc w:val="center"/>
            </w:pPr>
            <w:r>
              <w:t>80</w:t>
            </w:r>
          </w:p>
        </w:tc>
        <w:tc>
          <w:tcPr>
            <w:tcW w:w="964" w:type="dxa"/>
            <w:vAlign w:val="center"/>
          </w:tcPr>
          <w:p w14:paraId="4BC10DB1" w14:textId="77777777" w:rsidR="00454A29" w:rsidRDefault="00454A29">
            <w:pPr>
              <w:pStyle w:val="ConsPlusNormal"/>
              <w:jc w:val="center"/>
            </w:pPr>
            <w:r>
              <w:t>87</w:t>
            </w:r>
          </w:p>
        </w:tc>
        <w:tc>
          <w:tcPr>
            <w:tcW w:w="964" w:type="dxa"/>
            <w:vAlign w:val="center"/>
          </w:tcPr>
          <w:p w14:paraId="48371757" w14:textId="77777777" w:rsidR="00454A29" w:rsidRDefault="00454A29">
            <w:pPr>
              <w:pStyle w:val="ConsPlusNormal"/>
              <w:jc w:val="center"/>
            </w:pPr>
            <w:r>
              <w:t>90</w:t>
            </w:r>
          </w:p>
        </w:tc>
      </w:tr>
      <w:tr w:rsidR="00454A29" w14:paraId="37D9203C" w14:textId="77777777">
        <w:tc>
          <w:tcPr>
            <w:tcW w:w="13608" w:type="dxa"/>
            <w:gridSpan w:val="11"/>
            <w:vAlign w:val="center"/>
          </w:tcPr>
          <w:p w14:paraId="55E8F0C3" w14:textId="77777777" w:rsidR="00454A29" w:rsidRDefault="00454A29">
            <w:pPr>
              <w:pStyle w:val="ConsPlusNormal"/>
              <w:jc w:val="center"/>
              <w:outlineLvl w:val="2"/>
            </w:pPr>
            <w:r>
              <w:t>Подпрограмма N 2.</w:t>
            </w:r>
          </w:p>
          <w:p w14:paraId="6469546F" w14:textId="77777777" w:rsidR="00454A29" w:rsidRDefault="00454A29">
            <w:pPr>
              <w:pStyle w:val="ConsPlusNormal"/>
              <w:jc w:val="center"/>
            </w:pPr>
            <w:r>
              <w:t>"Общее образование: Образование, открытое в будущее"</w:t>
            </w:r>
          </w:p>
        </w:tc>
      </w:tr>
      <w:tr w:rsidR="00454A29" w14:paraId="6D013972" w14:textId="77777777">
        <w:tc>
          <w:tcPr>
            <w:tcW w:w="567" w:type="dxa"/>
            <w:vAlign w:val="center"/>
          </w:tcPr>
          <w:p w14:paraId="1FB66595" w14:textId="77777777" w:rsidR="00454A29" w:rsidRDefault="00454A29">
            <w:pPr>
              <w:pStyle w:val="ConsPlusNormal"/>
              <w:jc w:val="center"/>
            </w:pPr>
            <w:r>
              <w:t>1</w:t>
            </w:r>
          </w:p>
        </w:tc>
        <w:tc>
          <w:tcPr>
            <w:tcW w:w="3005" w:type="dxa"/>
            <w:vAlign w:val="center"/>
          </w:tcPr>
          <w:p w14:paraId="3363B90E" w14:textId="77777777" w:rsidR="00454A29" w:rsidRDefault="00454A29">
            <w:pPr>
              <w:pStyle w:val="ConsPlusNormal"/>
            </w:pPr>
            <w:r>
              <w:t>Доля выпускников государственных (муниципальных) общеобразовательных организаций, получивших аттестат о среднем (полном) общем образовании</w:t>
            </w:r>
          </w:p>
        </w:tc>
        <w:tc>
          <w:tcPr>
            <w:tcW w:w="1304" w:type="dxa"/>
            <w:vAlign w:val="center"/>
          </w:tcPr>
          <w:p w14:paraId="13BF2335" w14:textId="77777777" w:rsidR="00454A29" w:rsidRDefault="00454A29">
            <w:pPr>
              <w:pStyle w:val="ConsPlusNormal"/>
              <w:jc w:val="center"/>
            </w:pPr>
            <w:r>
              <w:t>%</w:t>
            </w:r>
          </w:p>
        </w:tc>
        <w:tc>
          <w:tcPr>
            <w:tcW w:w="1984" w:type="dxa"/>
            <w:vAlign w:val="center"/>
          </w:tcPr>
          <w:p w14:paraId="26B668EB" w14:textId="77777777" w:rsidR="00454A29" w:rsidRDefault="00454A29">
            <w:pPr>
              <w:pStyle w:val="ConsPlusNormal"/>
              <w:jc w:val="center"/>
            </w:pPr>
            <w:r>
              <w:t>Минобрнауки РС(Я)</w:t>
            </w:r>
          </w:p>
        </w:tc>
        <w:tc>
          <w:tcPr>
            <w:tcW w:w="964" w:type="dxa"/>
            <w:vAlign w:val="center"/>
          </w:tcPr>
          <w:p w14:paraId="3EE3CFD8" w14:textId="77777777" w:rsidR="00454A29" w:rsidRDefault="00454A29">
            <w:pPr>
              <w:pStyle w:val="ConsPlusNormal"/>
              <w:jc w:val="center"/>
            </w:pPr>
            <w:r>
              <w:t>98</w:t>
            </w:r>
          </w:p>
        </w:tc>
        <w:tc>
          <w:tcPr>
            <w:tcW w:w="964" w:type="dxa"/>
            <w:vAlign w:val="center"/>
          </w:tcPr>
          <w:p w14:paraId="44A96E74" w14:textId="77777777" w:rsidR="00454A29" w:rsidRDefault="00454A29">
            <w:pPr>
              <w:pStyle w:val="ConsPlusNormal"/>
              <w:jc w:val="center"/>
            </w:pPr>
            <w:r>
              <w:t>98</w:t>
            </w:r>
          </w:p>
        </w:tc>
        <w:tc>
          <w:tcPr>
            <w:tcW w:w="964" w:type="dxa"/>
            <w:vAlign w:val="center"/>
          </w:tcPr>
          <w:p w14:paraId="32FF41F1" w14:textId="77777777" w:rsidR="00454A29" w:rsidRDefault="00454A29">
            <w:pPr>
              <w:pStyle w:val="ConsPlusNormal"/>
              <w:jc w:val="center"/>
            </w:pPr>
            <w:r>
              <w:t>98,1</w:t>
            </w:r>
          </w:p>
        </w:tc>
        <w:tc>
          <w:tcPr>
            <w:tcW w:w="964" w:type="dxa"/>
            <w:vAlign w:val="center"/>
          </w:tcPr>
          <w:p w14:paraId="05918050" w14:textId="77777777" w:rsidR="00454A29" w:rsidRDefault="00454A29">
            <w:pPr>
              <w:pStyle w:val="ConsPlusNormal"/>
              <w:jc w:val="center"/>
            </w:pPr>
            <w:r>
              <w:t>98,2</w:t>
            </w:r>
          </w:p>
        </w:tc>
        <w:tc>
          <w:tcPr>
            <w:tcW w:w="964" w:type="dxa"/>
            <w:vAlign w:val="center"/>
          </w:tcPr>
          <w:p w14:paraId="39F434A9" w14:textId="77777777" w:rsidR="00454A29" w:rsidRDefault="00454A29">
            <w:pPr>
              <w:pStyle w:val="ConsPlusNormal"/>
              <w:jc w:val="center"/>
            </w:pPr>
            <w:r>
              <w:t>98,3</w:t>
            </w:r>
          </w:p>
        </w:tc>
        <w:tc>
          <w:tcPr>
            <w:tcW w:w="964" w:type="dxa"/>
            <w:vAlign w:val="center"/>
          </w:tcPr>
          <w:p w14:paraId="689508B1" w14:textId="77777777" w:rsidR="00454A29" w:rsidRDefault="00454A29">
            <w:pPr>
              <w:pStyle w:val="ConsPlusNormal"/>
              <w:jc w:val="center"/>
            </w:pPr>
            <w:r>
              <w:t>98,4</w:t>
            </w:r>
          </w:p>
        </w:tc>
        <w:tc>
          <w:tcPr>
            <w:tcW w:w="964" w:type="dxa"/>
            <w:vAlign w:val="center"/>
          </w:tcPr>
          <w:p w14:paraId="387B4B36" w14:textId="77777777" w:rsidR="00454A29" w:rsidRDefault="00454A29">
            <w:pPr>
              <w:pStyle w:val="ConsPlusNormal"/>
              <w:jc w:val="center"/>
            </w:pPr>
            <w:r>
              <w:t>98,5</w:t>
            </w:r>
          </w:p>
        </w:tc>
      </w:tr>
      <w:tr w:rsidR="00454A29" w14:paraId="5D48EDF5" w14:textId="77777777">
        <w:tc>
          <w:tcPr>
            <w:tcW w:w="13608" w:type="dxa"/>
            <w:gridSpan w:val="11"/>
            <w:vAlign w:val="center"/>
          </w:tcPr>
          <w:p w14:paraId="6305BAA8" w14:textId="77777777" w:rsidR="00454A29" w:rsidRDefault="00454A29">
            <w:pPr>
              <w:pStyle w:val="ConsPlusNormal"/>
              <w:jc w:val="center"/>
            </w:pPr>
            <w:r>
              <w:t>Основное мероприятие 2.1.</w:t>
            </w:r>
          </w:p>
          <w:p w14:paraId="6DD69CC4" w14:textId="77777777" w:rsidR="00454A29" w:rsidRDefault="00454A29">
            <w:pPr>
              <w:pStyle w:val="ConsPlusNormal"/>
              <w:jc w:val="center"/>
            </w:pPr>
            <w:r>
              <w:t>Развитие дошкольного образования "Детский сад без границ"</w:t>
            </w:r>
          </w:p>
        </w:tc>
      </w:tr>
      <w:tr w:rsidR="00454A29" w14:paraId="08CAE945" w14:textId="77777777">
        <w:tc>
          <w:tcPr>
            <w:tcW w:w="567" w:type="dxa"/>
            <w:vAlign w:val="center"/>
          </w:tcPr>
          <w:p w14:paraId="51DDB96D" w14:textId="77777777" w:rsidR="00454A29" w:rsidRDefault="00454A29">
            <w:pPr>
              <w:pStyle w:val="ConsPlusNormal"/>
              <w:jc w:val="center"/>
            </w:pPr>
            <w:r>
              <w:t>1</w:t>
            </w:r>
          </w:p>
        </w:tc>
        <w:tc>
          <w:tcPr>
            <w:tcW w:w="3005" w:type="dxa"/>
            <w:vAlign w:val="center"/>
          </w:tcPr>
          <w:p w14:paraId="421F7A3E" w14:textId="77777777" w:rsidR="00454A29" w:rsidRDefault="00454A29">
            <w:pPr>
              <w:pStyle w:val="ConsPlusNormal"/>
            </w:pPr>
            <w:r>
              <w:t xml:space="preserve">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w:t>
            </w:r>
            <w:r>
              <w:lastRenderedPageBreak/>
              <w:t>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304" w:type="dxa"/>
            <w:vAlign w:val="center"/>
          </w:tcPr>
          <w:p w14:paraId="4CA168BA" w14:textId="77777777" w:rsidR="00454A29" w:rsidRDefault="00454A29">
            <w:pPr>
              <w:pStyle w:val="ConsPlusNormal"/>
              <w:jc w:val="center"/>
            </w:pPr>
            <w:r>
              <w:lastRenderedPageBreak/>
              <w:t>%</w:t>
            </w:r>
          </w:p>
        </w:tc>
        <w:tc>
          <w:tcPr>
            <w:tcW w:w="1984" w:type="dxa"/>
            <w:vAlign w:val="center"/>
          </w:tcPr>
          <w:p w14:paraId="673B76FE" w14:textId="77777777" w:rsidR="00454A29" w:rsidRDefault="00454A29">
            <w:pPr>
              <w:pStyle w:val="ConsPlusNormal"/>
              <w:jc w:val="center"/>
            </w:pPr>
            <w:r>
              <w:t>Минобрнауки РС(Я)</w:t>
            </w:r>
          </w:p>
        </w:tc>
        <w:tc>
          <w:tcPr>
            <w:tcW w:w="964" w:type="dxa"/>
            <w:vAlign w:val="center"/>
          </w:tcPr>
          <w:p w14:paraId="6F50DCCA" w14:textId="77777777" w:rsidR="00454A29" w:rsidRDefault="00454A29">
            <w:pPr>
              <w:pStyle w:val="ConsPlusNormal"/>
              <w:jc w:val="center"/>
            </w:pPr>
            <w:r>
              <w:t>80,1</w:t>
            </w:r>
          </w:p>
        </w:tc>
        <w:tc>
          <w:tcPr>
            <w:tcW w:w="964" w:type="dxa"/>
            <w:vAlign w:val="center"/>
          </w:tcPr>
          <w:p w14:paraId="0C332E84" w14:textId="77777777" w:rsidR="00454A29" w:rsidRDefault="00454A29">
            <w:pPr>
              <w:pStyle w:val="ConsPlusNormal"/>
              <w:jc w:val="center"/>
            </w:pPr>
            <w:r>
              <w:t>100</w:t>
            </w:r>
          </w:p>
        </w:tc>
        <w:tc>
          <w:tcPr>
            <w:tcW w:w="964" w:type="dxa"/>
            <w:vAlign w:val="center"/>
          </w:tcPr>
          <w:p w14:paraId="228C3E9E" w14:textId="77777777" w:rsidR="00454A29" w:rsidRDefault="00454A29">
            <w:pPr>
              <w:pStyle w:val="ConsPlusNormal"/>
              <w:jc w:val="center"/>
            </w:pPr>
            <w:r>
              <w:t>100</w:t>
            </w:r>
          </w:p>
        </w:tc>
        <w:tc>
          <w:tcPr>
            <w:tcW w:w="964" w:type="dxa"/>
            <w:vAlign w:val="center"/>
          </w:tcPr>
          <w:p w14:paraId="794B03DE" w14:textId="77777777" w:rsidR="00454A29" w:rsidRDefault="00454A29">
            <w:pPr>
              <w:pStyle w:val="ConsPlusNormal"/>
              <w:jc w:val="center"/>
            </w:pPr>
            <w:r>
              <w:t>100</w:t>
            </w:r>
          </w:p>
        </w:tc>
        <w:tc>
          <w:tcPr>
            <w:tcW w:w="964" w:type="dxa"/>
            <w:vAlign w:val="center"/>
          </w:tcPr>
          <w:p w14:paraId="4DE05EFF" w14:textId="77777777" w:rsidR="00454A29" w:rsidRDefault="00454A29">
            <w:pPr>
              <w:pStyle w:val="ConsPlusNormal"/>
              <w:jc w:val="center"/>
            </w:pPr>
            <w:r>
              <w:t>100</w:t>
            </w:r>
          </w:p>
        </w:tc>
        <w:tc>
          <w:tcPr>
            <w:tcW w:w="964" w:type="dxa"/>
            <w:vAlign w:val="center"/>
          </w:tcPr>
          <w:p w14:paraId="33A94683" w14:textId="77777777" w:rsidR="00454A29" w:rsidRDefault="00454A29">
            <w:pPr>
              <w:pStyle w:val="ConsPlusNormal"/>
              <w:jc w:val="center"/>
            </w:pPr>
            <w:r>
              <w:t>100</w:t>
            </w:r>
          </w:p>
        </w:tc>
        <w:tc>
          <w:tcPr>
            <w:tcW w:w="964" w:type="dxa"/>
            <w:vAlign w:val="center"/>
          </w:tcPr>
          <w:p w14:paraId="0002DC52" w14:textId="77777777" w:rsidR="00454A29" w:rsidRDefault="00454A29">
            <w:pPr>
              <w:pStyle w:val="ConsPlusNormal"/>
              <w:jc w:val="center"/>
            </w:pPr>
            <w:r>
              <w:t>100</w:t>
            </w:r>
          </w:p>
        </w:tc>
      </w:tr>
      <w:tr w:rsidR="00454A29" w14:paraId="4128B161" w14:textId="77777777">
        <w:tc>
          <w:tcPr>
            <w:tcW w:w="567" w:type="dxa"/>
            <w:vAlign w:val="center"/>
          </w:tcPr>
          <w:p w14:paraId="6B63A760" w14:textId="77777777" w:rsidR="00454A29" w:rsidRDefault="00454A29">
            <w:pPr>
              <w:pStyle w:val="ConsPlusNormal"/>
              <w:jc w:val="center"/>
            </w:pPr>
            <w:r>
              <w:t>2</w:t>
            </w:r>
          </w:p>
        </w:tc>
        <w:tc>
          <w:tcPr>
            <w:tcW w:w="3005" w:type="dxa"/>
            <w:vAlign w:val="center"/>
          </w:tcPr>
          <w:p w14:paraId="6918F519" w14:textId="77777777" w:rsidR="00454A29" w:rsidRDefault="00454A29">
            <w:pPr>
              <w:pStyle w:val="ConsPlusNormal"/>
            </w:pPr>
            <w:r>
              <w:t>Удельный вес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возрасте от 3 до 7 лет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304" w:type="dxa"/>
            <w:vAlign w:val="center"/>
          </w:tcPr>
          <w:p w14:paraId="7D7F9E1D" w14:textId="77777777" w:rsidR="00454A29" w:rsidRDefault="00454A29">
            <w:pPr>
              <w:pStyle w:val="ConsPlusNormal"/>
              <w:jc w:val="center"/>
            </w:pPr>
            <w:r>
              <w:t>%</w:t>
            </w:r>
          </w:p>
        </w:tc>
        <w:tc>
          <w:tcPr>
            <w:tcW w:w="1984" w:type="dxa"/>
            <w:vAlign w:val="center"/>
          </w:tcPr>
          <w:p w14:paraId="23E1BD2B" w14:textId="77777777" w:rsidR="00454A29" w:rsidRDefault="00454A29">
            <w:pPr>
              <w:pStyle w:val="ConsPlusNormal"/>
              <w:jc w:val="center"/>
            </w:pPr>
            <w:r>
              <w:t>Минобрнауки РС(Я)</w:t>
            </w:r>
          </w:p>
        </w:tc>
        <w:tc>
          <w:tcPr>
            <w:tcW w:w="964" w:type="dxa"/>
            <w:vAlign w:val="center"/>
          </w:tcPr>
          <w:p w14:paraId="2622CD33" w14:textId="77777777" w:rsidR="00454A29" w:rsidRDefault="00454A29">
            <w:pPr>
              <w:pStyle w:val="ConsPlusNormal"/>
              <w:jc w:val="center"/>
            </w:pPr>
            <w:r>
              <w:t>100</w:t>
            </w:r>
          </w:p>
        </w:tc>
        <w:tc>
          <w:tcPr>
            <w:tcW w:w="964" w:type="dxa"/>
            <w:vAlign w:val="center"/>
          </w:tcPr>
          <w:p w14:paraId="2026E84F" w14:textId="77777777" w:rsidR="00454A29" w:rsidRDefault="00454A29">
            <w:pPr>
              <w:pStyle w:val="ConsPlusNormal"/>
              <w:jc w:val="center"/>
            </w:pPr>
            <w:r>
              <w:t>100</w:t>
            </w:r>
          </w:p>
        </w:tc>
        <w:tc>
          <w:tcPr>
            <w:tcW w:w="964" w:type="dxa"/>
            <w:vAlign w:val="center"/>
          </w:tcPr>
          <w:p w14:paraId="0FAADCD1" w14:textId="77777777" w:rsidR="00454A29" w:rsidRDefault="00454A29">
            <w:pPr>
              <w:pStyle w:val="ConsPlusNormal"/>
              <w:jc w:val="center"/>
            </w:pPr>
            <w:r>
              <w:t>100</w:t>
            </w:r>
          </w:p>
        </w:tc>
        <w:tc>
          <w:tcPr>
            <w:tcW w:w="964" w:type="dxa"/>
            <w:vAlign w:val="center"/>
          </w:tcPr>
          <w:p w14:paraId="28E607A8" w14:textId="77777777" w:rsidR="00454A29" w:rsidRDefault="00454A29">
            <w:pPr>
              <w:pStyle w:val="ConsPlusNormal"/>
              <w:jc w:val="center"/>
            </w:pPr>
            <w:r>
              <w:t>100</w:t>
            </w:r>
          </w:p>
        </w:tc>
        <w:tc>
          <w:tcPr>
            <w:tcW w:w="964" w:type="dxa"/>
            <w:vAlign w:val="center"/>
          </w:tcPr>
          <w:p w14:paraId="1BC087AF" w14:textId="77777777" w:rsidR="00454A29" w:rsidRDefault="00454A29">
            <w:pPr>
              <w:pStyle w:val="ConsPlusNormal"/>
              <w:jc w:val="center"/>
            </w:pPr>
            <w:r>
              <w:t>100</w:t>
            </w:r>
          </w:p>
        </w:tc>
        <w:tc>
          <w:tcPr>
            <w:tcW w:w="964" w:type="dxa"/>
            <w:vAlign w:val="center"/>
          </w:tcPr>
          <w:p w14:paraId="4421FB46" w14:textId="77777777" w:rsidR="00454A29" w:rsidRDefault="00454A29">
            <w:pPr>
              <w:pStyle w:val="ConsPlusNormal"/>
              <w:jc w:val="center"/>
            </w:pPr>
            <w:r>
              <w:t>100</w:t>
            </w:r>
          </w:p>
        </w:tc>
        <w:tc>
          <w:tcPr>
            <w:tcW w:w="964" w:type="dxa"/>
            <w:vAlign w:val="center"/>
          </w:tcPr>
          <w:p w14:paraId="66B176D5" w14:textId="77777777" w:rsidR="00454A29" w:rsidRDefault="00454A29">
            <w:pPr>
              <w:pStyle w:val="ConsPlusNormal"/>
              <w:jc w:val="center"/>
            </w:pPr>
            <w:r>
              <w:t>100</w:t>
            </w:r>
          </w:p>
        </w:tc>
      </w:tr>
      <w:tr w:rsidR="00454A29" w14:paraId="616D5104" w14:textId="77777777">
        <w:tc>
          <w:tcPr>
            <w:tcW w:w="567" w:type="dxa"/>
            <w:vAlign w:val="center"/>
          </w:tcPr>
          <w:p w14:paraId="5129B493" w14:textId="77777777" w:rsidR="00454A29" w:rsidRDefault="00454A29">
            <w:pPr>
              <w:pStyle w:val="ConsPlusNormal"/>
              <w:jc w:val="center"/>
            </w:pPr>
            <w:r>
              <w:t>3</w:t>
            </w:r>
          </w:p>
        </w:tc>
        <w:tc>
          <w:tcPr>
            <w:tcW w:w="3005" w:type="dxa"/>
            <w:vAlign w:val="center"/>
          </w:tcPr>
          <w:p w14:paraId="4801392E" w14:textId="77777777" w:rsidR="00454A29" w:rsidRDefault="00454A29">
            <w:pPr>
              <w:pStyle w:val="ConsPlusNormal"/>
            </w:pPr>
            <w:r>
              <w:t xml:space="preserve">Удельный вес численности воспитанников от 2 месяцев до 7 лет частных дошкольных образовательных </w:t>
            </w:r>
            <w:r>
              <w:lastRenderedPageBreak/>
              <w:t>организаций к общей численности воспитанников от 2 месяцев до 7 лет дошкольных образовательных организаций</w:t>
            </w:r>
          </w:p>
        </w:tc>
        <w:tc>
          <w:tcPr>
            <w:tcW w:w="1304" w:type="dxa"/>
            <w:vAlign w:val="center"/>
          </w:tcPr>
          <w:p w14:paraId="71FB6204" w14:textId="77777777" w:rsidR="00454A29" w:rsidRDefault="00454A29">
            <w:pPr>
              <w:pStyle w:val="ConsPlusNormal"/>
              <w:jc w:val="center"/>
            </w:pPr>
            <w:r>
              <w:lastRenderedPageBreak/>
              <w:t>%</w:t>
            </w:r>
          </w:p>
        </w:tc>
        <w:tc>
          <w:tcPr>
            <w:tcW w:w="1984" w:type="dxa"/>
            <w:vAlign w:val="center"/>
          </w:tcPr>
          <w:p w14:paraId="53EC1828" w14:textId="77777777" w:rsidR="00454A29" w:rsidRDefault="00454A29">
            <w:pPr>
              <w:pStyle w:val="ConsPlusNormal"/>
              <w:jc w:val="center"/>
            </w:pPr>
            <w:r>
              <w:t>Минобрнауки РС(Я)</w:t>
            </w:r>
          </w:p>
        </w:tc>
        <w:tc>
          <w:tcPr>
            <w:tcW w:w="964" w:type="dxa"/>
            <w:vAlign w:val="center"/>
          </w:tcPr>
          <w:p w14:paraId="2367952B" w14:textId="77777777" w:rsidR="00454A29" w:rsidRDefault="00454A29">
            <w:pPr>
              <w:pStyle w:val="ConsPlusNormal"/>
              <w:jc w:val="center"/>
            </w:pPr>
            <w:r>
              <w:t>11,5</w:t>
            </w:r>
          </w:p>
        </w:tc>
        <w:tc>
          <w:tcPr>
            <w:tcW w:w="964" w:type="dxa"/>
            <w:vAlign w:val="center"/>
          </w:tcPr>
          <w:p w14:paraId="57D255E8" w14:textId="77777777" w:rsidR="00454A29" w:rsidRDefault="00454A29">
            <w:pPr>
              <w:pStyle w:val="ConsPlusNormal"/>
              <w:jc w:val="center"/>
            </w:pPr>
            <w:r>
              <w:t>12,0</w:t>
            </w:r>
          </w:p>
        </w:tc>
        <w:tc>
          <w:tcPr>
            <w:tcW w:w="964" w:type="dxa"/>
            <w:vAlign w:val="center"/>
          </w:tcPr>
          <w:p w14:paraId="3B368377" w14:textId="77777777" w:rsidR="00454A29" w:rsidRDefault="00454A29">
            <w:pPr>
              <w:pStyle w:val="ConsPlusNormal"/>
              <w:jc w:val="center"/>
            </w:pPr>
            <w:r>
              <w:t>12,5</w:t>
            </w:r>
          </w:p>
        </w:tc>
        <w:tc>
          <w:tcPr>
            <w:tcW w:w="964" w:type="dxa"/>
            <w:vAlign w:val="center"/>
          </w:tcPr>
          <w:p w14:paraId="355E526F" w14:textId="77777777" w:rsidR="00454A29" w:rsidRDefault="00454A29">
            <w:pPr>
              <w:pStyle w:val="ConsPlusNormal"/>
              <w:jc w:val="center"/>
            </w:pPr>
            <w:r>
              <w:t>13</w:t>
            </w:r>
          </w:p>
        </w:tc>
        <w:tc>
          <w:tcPr>
            <w:tcW w:w="964" w:type="dxa"/>
            <w:vAlign w:val="center"/>
          </w:tcPr>
          <w:p w14:paraId="7E8D3CDE" w14:textId="77777777" w:rsidR="00454A29" w:rsidRDefault="00454A29">
            <w:pPr>
              <w:pStyle w:val="ConsPlusNormal"/>
              <w:jc w:val="center"/>
            </w:pPr>
            <w:r>
              <w:t>13,5</w:t>
            </w:r>
          </w:p>
        </w:tc>
        <w:tc>
          <w:tcPr>
            <w:tcW w:w="964" w:type="dxa"/>
            <w:vAlign w:val="center"/>
          </w:tcPr>
          <w:p w14:paraId="0B651AF8" w14:textId="77777777" w:rsidR="00454A29" w:rsidRDefault="00454A29">
            <w:pPr>
              <w:pStyle w:val="ConsPlusNormal"/>
              <w:jc w:val="center"/>
            </w:pPr>
            <w:r>
              <w:t>14</w:t>
            </w:r>
          </w:p>
        </w:tc>
        <w:tc>
          <w:tcPr>
            <w:tcW w:w="964" w:type="dxa"/>
            <w:vAlign w:val="center"/>
          </w:tcPr>
          <w:p w14:paraId="40C85B8F" w14:textId="77777777" w:rsidR="00454A29" w:rsidRDefault="00454A29">
            <w:pPr>
              <w:pStyle w:val="ConsPlusNormal"/>
              <w:jc w:val="center"/>
            </w:pPr>
            <w:r>
              <w:t>14,5</w:t>
            </w:r>
          </w:p>
        </w:tc>
      </w:tr>
      <w:tr w:rsidR="00454A29" w14:paraId="2BA79DEF" w14:textId="77777777">
        <w:tc>
          <w:tcPr>
            <w:tcW w:w="13608" w:type="dxa"/>
            <w:gridSpan w:val="11"/>
            <w:vAlign w:val="center"/>
          </w:tcPr>
          <w:p w14:paraId="39C9FF03" w14:textId="77777777" w:rsidR="00454A29" w:rsidRDefault="00454A29">
            <w:pPr>
              <w:pStyle w:val="ConsPlusNormal"/>
              <w:jc w:val="center"/>
            </w:pPr>
            <w:r>
              <w:t>Основное мероприятие 2.2.</w:t>
            </w:r>
          </w:p>
          <w:p w14:paraId="1548F9E6" w14:textId="77777777" w:rsidR="00454A29" w:rsidRDefault="00454A29">
            <w:pPr>
              <w:pStyle w:val="ConsPlusNormal"/>
              <w:jc w:val="center"/>
            </w:pPr>
            <w:r>
              <w:t>Развитие общего образования "Открытая школа"</w:t>
            </w:r>
          </w:p>
        </w:tc>
      </w:tr>
      <w:tr w:rsidR="00454A29" w14:paraId="15A1EF62" w14:textId="77777777">
        <w:tc>
          <w:tcPr>
            <w:tcW w:w="567" w:type="dxa"/>
            <w:vAlign w:val="center"/>
          </w:tcPr>
          <w:p w14:paraId="5862A833" w14:textId="77777777" w:rsidR="00454A29" w:rsidRDefault="00454A29">
            <w:pPr>
              <w:pStyle w:val="ConsPlusNormal"/>
              <w:jc w:val="center"/>
            </w:pPr>
            <w:r>
              <w:t>1</w:t>
            </w:r>
          </w:p>
        </w:tc>
        <w:tc>
          <w:tcPr>
            <w:tcW w:w="3005" w:type="dxa"/>
            <w:vAlign w:val="center"/>
          </w:tcPr>
          <w:p w14:paraId="5BDB8637" w14:textId="77777777" w:rsidR="00454A29" w:rsidRDefault="00454A29">
            <w:pPr>
              <w:pStyle w:val="ConsPlusNormal"/>
            </w:pPr>
            <w:r>
              <w:t>Доля школьников, обучающихся по индивидуальным учебным планам, к общей численности школьников</w:t>
            </w:r>
          </w:p>
        </w:tc>
        <w:tc>
          <w:tcPr>
            <w:tcW w:w="1304" w:type="dxa"/>
            <w:vAlign w:val="center"/>
          </w:tcPr>
          <w:p w14:paraId="0FB8D615" w14:textId="77777777" w:rsidR="00454A29" w:rsidRDefault="00454A29">
            <w:pPr>
              <w:pStyle w:val="ConsPlusNormal"/>
              <w:jc w:val="center"/>
            </w:pPr>
            <w:r>
              <w:t>%</w:t>
            </w:r>
          </w:p>
        </w:tc>
        <w:tc>
          <w:tcPr>
            <w:tcW w:w="1984" w:type="dxa"/>
            <w:vAlign w:val="center"/>
          </w:tcPr>
          <w:p w14:paraId="40F99EE6" w14:textId="77777777" w:rsidR="00454A29" w:rsidRDefault="00454A29">
            <w:pPr>
              <w:pStyle w:val="ConsPlusNormal"/>
              <w:jc w:val="center"/>
            </w:pPr>
            <w:r>
              <w:t>Минобрнауки РС(Я)</w:t>
            </w:r>
          </w:p>
        </w:tc>
        <w:tc>
          <w:tcPr>
            <w:tcW w:w="964" w:type="dxa"/>
            <w:vAlign w:val="center"/>
          </w:tcPr>
          <w:p w14:paraId="4351AB08" w14:textId="77777777" w:rsidR="00454A29" w:rsidRDefault="00454A29">
            <w:pPr>
              <w:pStyle w:val="ConsPlusNormal"/>
              <w:jc w:val="center"/>
            </w:pPr>
            <w:r>
              <w:t>9</w:t>
            </w:r>
          </w:p>
        </w:tc>
        <w:tc>
          <w:tcPr>
            <w:tcW w:w="964" w:type="dxa"/>
            <w:vAlign w:val="center"/>
          </w:tcPr>
          <w:p w14:paraId="2F1B24B4" w14:textId="77777777" w:rsidR="00454A29" w:rsidRDefault="00454A29">
            <w:pPr>
              <w:pStyle w:val="ConsPlusNormal"/>
              <w:jc w:val="center"/>
            </w:pPr>
            <w:r>
              <w:t>18</w:t>
            </w:r>
          </w:p>
        </w:tc>
        <w:tc>
          <w:tcPr>
            <w:tcW w:w="964" w:type="dxa"/>
            <w:vAlign w:val="center"/>
          </w:tcPr>
          <w:p w14:paraId="3F5BDC37" w14:textId="77777777" w:rsidR="00454A29" w:rsidRDefault="00454A29">
            <w:pPr>
              <w:pStyle w:val="ConsPlusNormal"/>
              <w:jc w:val="center"/>
            </w:pPr>
            <w:r>
              <w:t>18</w:t>
            </w:r>
          </w:p>
        </w:tc>
        <w:tc>
          <w:tcPr>
            <w:tcW w:w="964" w:type="dxa"/>
            <w:vAlign w:val="center"/>
          </w:tcPr>
          <w:p w14:paraId="421C071E" w14:textId="77777777" w:rsidR="00454A29" w:rsidRDefault="00454A29">
            <w:pPr>
              <w:pStyle w:val="ConsPlusNormal"/>
              <w:jc w:val="center"/>
            </w:pPr>
            <w:r>
              <w:t>19</w:t>
            </w:r>
          </w:p>
        </w:tc>
        <w:tc>
          <w:tcPr>
            <w:tcW w:w="964" w:type="dxa"/>
            <w:vAlign w:val="center"/>
          </w:tcPr>
          <w:p w14:paraId="4849DB45" w14:textId="77777777" w:rsidR="00454A29" w:rsidRDefault="00454A29">
            <w:pPr>
              <w:pStyle w:val="ConsPlusNormal"/>
              <w:jc w:val="center"/>
            </w:pPr>
            <w:r>
              <w:t>19</w:t>
            </w:r>
          </w:p>
        </w:tc>
        <w:tc>
          <w:tcPr>
            <w:tcW w:w="964" w:type="dxa"/>
            <w:vAlign w:val="center"/>
          </w:tcPr>
          <w:p w14:paraId="546DC9F2" w14:textId="77777777" w:rsidR="00454A29" w:rsidRDefault="00454A29">
            <w:pPr>
              <w:pStyle w:val="ConsPlusNormal"/>
              <w:jc w:val="center"/>
            </w:pPr>
            <w:r>
              <w:t>20</w:t>
            </w:r>
          </w:p>
        </w:tc>
        <w:tc>
          <w:tcPr>
            <w:tcW w:w="964" w:type="dxa"/>
            <w:vAlign w:val="center"/>
          </w:tcPr>
          <w:p w14:paraId="12E927A0" w14:textId="77777777" w:rsidR="00454A29" w:rsidRDefault="00454A29">
            <w:pPr>
              <w:pStyle w:val="ConsPlusNormal"/>
              <w:jc w:val="center"/>
            </w:pPr>
            <w:r>
              <w:t>20</w:t>
            </w:r>
          </w:p>
        </w:tc>
      </w:tr>
      <w:tr w:rsidR="00454A29" w14:paraId="150BC129" w14:textId="77777777">
        <w:tc>
          <w:tcPr>
            <w:tcW w:w="567" w:type="dxa"/>
            <w:vAlign w:val="center"/>
          </w:tcPr>
          <w:p w14:paraId="0069364E" w14:textId="77777777" w:rsidR="00454A29" w:rsidRDefault="00454A29">
            <w:pPr>
              <w:pStyle w:val="ConsPlusNormal"/>
              <w:jc w:val="center"/>
            </w:pPr>
            <w:r>
              <w:t>2</w:t>
            </w:r>
          </w:p>
        </w:tc>
        <w:tc>
          <w:tcPr>
            <w:tcW w:w="3005" w:type="dxa"/>
            <w:vAlign w:val="center"/>
          </w:tcPr>
          <w:p w14:paraId="5F550E8C" w14:textId="77777777" w:rsidR="00454A29" w:rsidRDefault="00454A29">
            <w:pPr>
              <w:pStyle w:val="ConsPlusNormal"/>
            </w:pPr>
            <w:r>
              <w:t>Доля обучающихся, которым предоставлена возможность обучаться в соответствии с основными современными требованиями, к общей численности обучающихся</w:t>
            </w:r>
          </w:p>
        </w:tc>
        <w:tc>
          <w:tcPr>
            <w:tcW w:w="1304" w:type="dxa"/>
            <w:vAlign w:val="center"/>
          </w:tcPr>
          <w:p w14:paraId="5D1C0440" w14:textId="77777777" w:rsidR="00454A29" w:rsidRDefault="00454A29">
            <w:pPr>
              <w:pStyle w:val="ConsPlusNormal"/>
              <w:jc w:val="center"/>
            </w:pPr>
            <w:r>
              <w:t>%</w:t>
            </w:r>
          </w:p>
        </w:tc>
        <w:tc>
          <w:tcPr>
            <w:tcW w:w="1984" w:type="dxa"/>
            <w:vAlign w:val="center"/>
          </w:tcPr>
          <w:p w14:paraId="16DBE8FD" w14:textId="77777777" w:rsidR="00454A29" w:rsidRDefault="00454A29">
            <w:pPr>
              <w:pStyle w:val="ConsPlusNormal"/>
              <w:jc w:val="center"/>
            </w:pPr>
            <w:r>
              <w:t>Минобрнауки РС(Я)</w:t>
            </w:r>
          </w:p>
        </w:tc>
        <w:tc>
          <w:tcPr>
            <w:tcW w:w="964" w:type="dxa"/>
            <w:vAlign w:val="center"/>
          </w:tcPr>
          <w:p w14:paraId="0D85EE4E" w14:textId="77777777" w:rsidR="00454A29" w:rsidRDefault="00454A29">
            <w:pPr>
              <w:pStyle w:val="ConsPlusNormal"/>
              <w:jc w:val="center"/>
            </w:pPr>
            <w:r>
              <w:t>80</w:t>
            </w:r>
          </w:p>
        </w:tc>
        <w:tc>
          <w:tcPr>
            <w:tcW w:w="964" w:type="dxa"/>
            <w:vAlign w:val="center"/>
          </w:tcPr>
          <w:p w14:paraId="6613E93F" w14:textId="77777777" w:rsidR="00454A29" w:rsidRDefault="00454A29">
            <w:pPr>
              <w:pStyle w:val="ConsPlusNormal"/>
              <w:jc w:val="center"/>
            </w:pPr>
            <w:r>
              <w:t>81</w:t>
            </w:r>
          </w:p>
        </w:tc>
        <w:tc>
          <w:tcPr>
            <w:tcW w:w="964" w:type="dxa"/>
            <w:vAlign w:val="center"/>
          </w:tcPr>
          <w:p w14:paraId="24E7F798" w14:textId="77777777" w:rsidR="00454A29" w:rsidRDefault="00454A29">
            <w:pPr>
              <w:pStyle w:val="ConsPlusNormal"/>
              <w:jc w:val="center"/>
            </w:pPr>
            <w:r>
              <w:t>82</w:t>
            </w:r>
          </w:p>
        </w:tc>
        <w:tc>
          <w:tcPr>
            <w:tcW w:w="964" w:type="dxa"/>
            <w:vAlign w:val="center"/>
          </w:tcPr>
          <w:p w14:paraId="721256A9" w14:textId="77777777" w:rsidR="00454A29" w:rsidRDefault="00454A29">
            <w:pPr>
              <w:pStyle w:val="ConsPlusNormal"/>
              <w:jc w:val="center"/>
            </w:pPr>
            <w:r>
              <w:t>83</w:t>
            </w:r>
          </w:p>
        </w:tc>
        <w:tc>
          <w:tcPr>
            <w:tcW w:w="964" w:type="dxa"/>
            <w:vAlign w:val="center"/>
          </w:tcPr>
          <w:p w14:paraId="4493866F" w14:textId="77777777" w:rsidR="00454A29" w:rsidRDefault="00454A29">
            <w:pPr>
              <w:pStyle w:val="ConsPlusNormal"/>
              <w:jc w:val="center"/>
            </w:pPr>
            <w:r>
              <w:t>84</w:t>
            </w:r>
          </w:p>
        </w:tc>
        <w:tc>
          <w:tcPr>
            <w:tcW w:w="964" w:type="dxa"/>
            <w:vAlign w:val="center"/>
          </w:tcPr>
          <w:p w14:paraId="6A991FAC" w14:textId="77777777" w:rsidR="00454A29" w:rsidRDefault="00454A29">
            <w:pPr>
              <w:pStyle w:val="ConsPlusNormal"/>
              <w:jc w:val="center"/>
            </w:pPr>
            <w:r>
              <w:t>85</w:t>
            </w:r>
          </w:p>
        </w:tc>
        <w:tc>
          <w:tcPr>
            <w:tcW w:w="964" w:type="dxa"/>
            <w:vAlign w:val="center"/>
          </w:tcPr>
          <w:p w14:paraId="0F60F10A" w14:textId="77777777" w:rsidR="00454A29" w:rsidRDefault="00454A29">
            <w:pPr>
              <w:pStyle w:val="ConsPlusNormal"/>
              <w:jc w:val="center"/>
            </w:pPr>
            <w:r>
              <w:t>86</w:t>
            </w:r>
          </w:p>
        </w:tc>
      </w:tr>
      <w:tr w:rsidR="00454A29" w14:paraId="71A0D953" w14:textId="77777777">
        <w:tc>
          <w:tcPr>
            <w:tcW w:w="13608" w:type="dxa"/>
            <w:gridSpan w:val="11"/>
            <w:vAlign w:val="center"/>
          </w:tcPr>
          <w:p w14:paraId="7EFE0208" w14:textId="77777777" w:rsidR="00454A29" w:rsidRDefault="00454A29">
            <w:pPr>
              <w:pStyle w:val="ConsPlusNormal"/>
              <w:jc w:val="center"/>
            </w:pPr>
            <w:r>
              <w:t>Основное мероприятие 2.3. Развитие региональной системы оценки качества общего образования, независимой оценки качества образовательных услуг</w:t>
            </w:r>
          </w:p>
        </w:tc>
      </w:tr>
      <w:tr w:rsidR="00454A29" w14:paraId="099094DD" w14:textId="77777777">
        <w:tc>
          <w:tcPr>
            <w:tcW w:w="567" w:type="dxa"/>
            <w:vAlign w:val="center"/>
          </w:tcPr>
          <w:p w14:paraId="42BE3F10" w14:textId="77777777" w:rsidR="00454A29" w:rsidRDefault="00454A29">
            <w:pPr>
              <w:pStyle w:val="ConsPlusNormal"/>
              <w:jc w:val="center"/>
            </w:pPr>
            <w:r>
              <w:t>1</w:t>
            </w:r>
          </w:p>
        </w:tc>
        <w:tc>
          <w:tcPr>
            <w:tcW w:w="3005" w:type="dxa"/>
            <w:vAlign w:val="center"/>
          </w:tcPr>
          <w:p w14:paraId="178610AC" w14:textId="77777777" w:rsidR="00454A29" w:rsidRDefault="00454A29">
            <w:pPr>
              <w:pStyle w:val="ConsPlusNormal"/>
            </w:pPr>
            <w:r>
              <w:t>Доля образовательных организаций, охваченных мониторингом качества образования</w:t>
            </w:r>
          </w:p>
        </w:tc>
        <w:tc>
          <w:tcPr>
            <w:tcW w:w="1304" w:type="dxa"/>
            <w:vAlign w:val="center"/>
          </w:tcPr>
          <w:p w14:paraId="0D3A5162" w14:textId="77777777" w:rsidR="00454A29" w:rsidRDefault="00454A29">
            <w:pPr>
              <w:pStyle w:val="ConsPlusNormal"/>
              <w:jc w:val="center"/>
            </w:pPr>
            <w:r>
              <w:t>%</w:t>
            </w:r>
          </w:p>
        </w:tc>
        <w:tc>
          <w:tcPr>
            <w:tcW w:w="1984" w:type="dxa"/>
            <w:vAlign w:val="center"/>
          </w:tcPr>
          <w:p w14:paraId="1150C73D" w14:textId="77777777" w:rsidR="00454A29" w:rsidRDefault="00454A29">
            <w:pPr>
              <w:pStyle w:val="ConsPlusNormal"/>
              <w:jc w:val="center"/>
            </w:pPr>
            <w:r>
              <w:t>Минобрнауки РС(Я)</w:t>
            </w:r>
          </w:p>
        </w:tc>
        <w:tc>
          <w:tcPr>
            <w:tcW w:w="964" w:type="dxa"/>
            <w:vAlign w:val="center"/>
          </w:tcPr>
          <w:p w14:paraId="62F83032" w14:textId="77777777" w:rsidR="00454A29" w:rsidRDefault="00454A29">
            <w:pPr>
              <w:pStyle w:val="ConsPlusNormal"/>
              <w:jc w:val="center"/>
            </w:pPr>
            <w:r>
              <w:t>100</w:t>
            </w:r>
          </w:p>
        </w:tc>
        <w:tc>
          <w:tcPr>
            <w:tcW w:w="964" w:type="dxa"/>
            <w:vAlign w:val="center"/>
          </w:tcPr>
          <w:p w14:paraId="665DE17A" w14:textId="77777777" w:rsidR="00454A29" w:rsidRDefault="00454A29">
            <w:pPr>
              <w:pStyle w:val="ConsPlusNormal"/>
              <w:jc w:val="center"/>
            </w:pPr>
            <w:r>
              <w:t>100</w:t>
            </w:r>
          </w:p>
        </w:tc>
        <w:tc>
          <w:tcPr>
            <w:tcW w:w="964" w:type="dxa"/>
            <w:vAlign w:val="center"/>
          </w:tcPr>
          <w:p w14:paraId="3A9FF411" w14:textId="77777777" w:rsidR="00454A29" w:rsidRDefault="00454A29">
            <w:pPr>
              <w:pStyle w:val="ConsPlusNormal"/>
              <w:jc w:val="center"/>
            </w:pPr>
            <w:r>
              <w:t>100</w:t>
            </w:r>
          </w:p>
        </w:tc>
        <w:tc>
          <w:tcPr>
            <w:tcW w:w="964" w:type="dxa"/>
            <w:vAlign w:val="center"/>
          </w:tcPr>
          <w:p w14:paraId="2562F57D" w14:textId="77777777" w:rsidR="00454A29" w:rsidRDefault="00454A29">
            <w:pPr>
              <w:pStyle w:val="ConsPlusNormal"/>
              <w:jc w:val="center"/>
            </w:pPr>
            <w:r>
              <w:t>100</w:t>
            </w:r>
          </w:p>
        </w:tc>
        <w:tc>
          <w:tcPr>
            <w:tcW w:w="964" w:type="dxa"/>
            <w:vAlign w:val="center"/>
          </w:tcPr>
          <w:p w14:paraId="6070708F" w14:textId="77777777" w:rsidR="00454A29" w:rsidRDefault="00454A29">
            <w:pPr>
              <w:pStyle w:val="ConsPlusNormal"/>
              <w:jc w:val="center"/>
            </w:pPr>
            <w:r>
              <w:t>100</w:t>
            </w:r>
          </w:p>
        </w:tc>
        <w:tc>
          <w:tcPr>
            <w:tcW w:w="964" w:type="dxa"/>
            <w:vAlign w:val="center"/>
          </w:tcPr>
          <w:p w14:paraId="549B07F9" w14:textId="77777777" w:rsidR="00454A29" w:rsidRDefault="00454A29">
            <w:pPr>
              <w:pStyle w:val="ConsPlusNormal"/>
              <w:jc w:val="center"/>
            </w:pPr>
            <w:r>
              <w:t>100</w:t>
            </w:r>
          </w:p>
        </w:tc>
        <w:tc>
          <w:tcPr>
            <w:tcW w:w="964" w:type="dxa"/>
            <w:vAlign w:val="center"/>
          </w:tcPr>
          <w:p w14:paraId="5A8DB61E" w14:textId="77777777" w:rsidR="00454A29" w:rsidRDefault="00454A29">
            <w:pPr>
              <w:pStyle w:val="ConsPlusNormal"/>
              <w:jc w:val="center"/>
            </w:pPr>
            <w:r>
              <w:t>100</w:t>
            </w:r>
          </w:p>
        </w:tc>
      </w:tr>
      <w:tr w:rsidR="00454A29" w14:paraId="72809850" w14:textId="77777777">
        <w:tc>
          <w:tcPr>
            <w:tcW w:w="13608" w:type="dxa"/>
            <w:gridSpan w:val="11"/>
            <w:vAlign w:val="center"/>
          </w:tcPr>
          <w:p w14:paraId="0AAB8E59" w14:textId="77777777" w:rsidR="00454A29" w:rsidRDefault="00454A29">
            <w:pPr>
              <w:pStyle w:val="ConsPlusNormal"/>
              <w:jc w:val="center"/>
            </w:pPr>
            <w:r>
              <w:t>Основное мероприятие 2.4. Создание условий для получения качественного образования детьми-инвалидами в образовательных организациях</w:t>
            </w:r>
          </w:p>
        </w:tc>
      </w:tr>
      <w:tr w:rsidR="00454A29" w14:paraId="4CA675F5" w14:textId="77777777">
        <w:tc>
          <w:tcPr>
            <w:tcW w:w="567" w:type="dxa"/>
            <w:vAlign w:val="center"/>
          </w:tcPr>
          <w:p w14:paraId="4A6026CE" w14:textId="77777777" w:rsidR="00454A29" w:rsidRDefault="00454A29">
            <w:pPr>
              <w:pStyle w:val="ConsPlusNormal"/>
              <w:jc w:val="center"/>
            </w:pPr>
            <w:r>
              <w:t>1</w:t>
            </w:r>
          </w:p>
        </w:tc>
        <w:tc>
          <w:tcPr>
            <w:tcW w:w="3005" w:type="dxa"/>
            <w:vAlign w:val="center"/>
          </w:tcPr>
          <w:p w14:paraId="65BD7C7C" w14:textId="77777777" w:rsidR="00454A29" w:rsidRDefault="00454A29">
            <w:pPr>
              <w:pStyle w:val="ConsPlusNormal"/>
            </w:pPr>
            <w:r>
              <w:t xml:space="preserve">Доля образовательных </w:t>
            </w:r>
            <w:r>
              <w:lastRenderedPageBreak/>
              <w:t>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304" w:type="dxa"/>
            <w:vAlign w:val="center"/>
          </w:tcPr>
          <w:p w14:paraId="315D7E1C" w14:textId="77777777" w:rsidR="00454A29" w:rsidRDefault="00454A29">
            <w:pPr>
              <w:pStyle w:val="ConsPlusNormal"/>
              <w:jc w:val="center"/>
            </w:pPr>
            <w:r>
              <w:lastRenderedPageBreak/>
              <w:t>%</w:t>
            </w:r>
          </w:p>
        </w:tc>
        <w:tc>
          <w:tcPr>
            <w:tcW w:w="1984" w:type="dxa"/>
            <w:vAlign w:val="center"/>
          </w:tcPr>
          <w:p w14:paraId="6ABBC293" w14:textId="77777777" w:rsidR="00454A29" w:rsidRDefault="00454A29">
            <w:pPr>
              <w:pStyle w:val="ConsPlusNormal"/>
              <w:jc w:val="center"/>
            </w:pPr>
            <w:r>
              <w:t>Минобрнауки РС(Я)</w:t>
            </w:r>
          </w:p>
        </w:tc>
        <w:tc>
          <w:tcPr>
            <w:tcW w:w="964" w:type="dxa"/>
            <w:vAlign w:val="center"/>
          </w:tcPr>
          <w:p w14:paraId="40246967" w14:textId="77777777" w:rsidR="00454A29" w:rsidRDefault="00454A29">
            <w:pPr>
              <w:pStyle w:val="ConsPlusNormal"/>
              <w:jc w:val="center"/>
            </w:pPr>
            <w:r>
              <w:t>21</w:t>
            </w:r>
          </w:p>
        </w:tc>
        <w:tc>
          <w:tcPr>
            <w:tcW w:w="964" w:type="dxa"/>
            <w:vAlign w:val="center"/>
          </w:tcPr>
          <w:p w14:paraId="4FEC72C1" w14:textId="77777777" w:rsidR="00454A29" w:rsidRDefault="00454A29">
            <w:pPr>
              <w:pStyle w:val="ConsPlusNormal"/>
              <w:jc w:val="center"/>
            </w:pPr>
            <w:r>
              <w:t>22</w:t>
            </w:r>
          </w:p>
        </w:tc>
        <w:tc>
          <w:tcPr>
            <w:tcW w:w="964" w:type="dxa"/>
            <w:vAlign w:val="center"/>
          </w:tcPr>
          <w:p w14:paraId="3CFB23E4" w14:textId="77777777" w:rsidR="00454A29" w:rsidRDefault="00454A29">
            <w:pPr>
              <w:pStyle w:val="ConsPlusNormal"/>
              <w:jc w:val="center"/>
            </w:pPr>
            <w:r>
              <w:t>22</w:t>
            </w:r>
          </w:p>
        </w:tc>
        <w:tc>
          <w:tcPr>
            <w:tcW w:w="964" w:type="dxa"/>
            <w:vAlign w:val="center"/>
          </w:tcPr>
          <w:p w14:paraId="099CAA23" w14:textId="77777777" w:rsidR="00454A29" w:rsidRDefault="00454A29">
            <w:pPr>
              <w:pStyle w:val="ConsPlusNormal"/>
              <w:jc w:val="center"/>
            </w:pPr>
            <w:r>
              <w:t>23</w:t>
            </w:r>
          </w:p>
        </w:tc>
        <w:tc>
          <w:tcPr>
            <w:tcW w:w="964" w:type="dxa"/>
            <w:vAlign w:val="center"/>
          </w:tcPr>
          <w:p w14:paraId="5A37BF0E" w14:textId="77777777" w:rsidR="00454A29" w:rsidRDefault="00454A29">
            <w:pPr>
              <w:pStyle w:val="ConsPlusNormal"/>
              <w:jc w:val="center"/>
            </w:pPr>
            <w:r>
              <w:t>23</w:t>
            </w:r>
          </w:p>
        </w:tc>
        <w:tc>
          <w:tcPr>
            <w:tcW w:w="964" w:type="dxa"/>
            <w:vAlign w:val="center"/>
          </w:tcPr>
          <w:p w14:paraId="27A95AB9" w14:textId="77777777" w:rsidR="00454A29" w:rsidRDefault="00454A29">
            <w:pPr>
              <w:pStyle w:val="ConsPlusNormal"/>
              <w:jc w:val="center"/>
            </w:pPr>
            <w:r>
              <w:t>23</w:t>
            </w:r>
          </w:p>
        </w:tc>
        <w:tc>
          <w:tcPr>
            <w:tcW w:w="964" w:type="dxa"/>
            <w:vAlign w:val="center"/>
          </w:tcPr>
          <w:p w14:paraId="270A2E7F" w14:textId="77777777" w:rsidR="00454A29" w:rsidRDefault="00454A29">
            <w:pPr>
              <w:pStyle w:val="ConsPlusNormal"/>
              <w:jc w:val="center"/>
            </w:pPr>
            <w:r>
              <w:t>24</w:t>
            </w:r>
          </w:p>
        </w:tc>
      </w:tr>
      <w:tr w:rsidR="00454A29" w14:paraId="5C25E91F" w14:textId="77777777">
        <w:tc>
          <w:tcPr>
            <w:tcW w:w="567" w:type="dxa"/>
            <w:vAlign w:val="center"/>
          </w:tcPr>
          <w:p w14:paraId="29081E35" w14:textId="77777777" w:rsidR="00454A29" w:rsidRDefault="00454A29">
            <w:pPr>
              <w:pStyle w:val="ConsPlusNormal"/>
              <w:jc w:val="center"/>
            </w:pPr>
            <w:r>
              <w:t>2</w:t>
            </w:r>
          </w:p>
        </w:tc>
        <w:tc>
          <w:tcPr>
            <w:tcW w:w="3005" w:type="dxa"/>
            <w:vAlign w:val="center"/>
          </w:tcPr>
          <w:p w14:paraId="377BA7CD" w14:textId="77777777" w:rsidR="00454A29" w:rsidRDefault="00454A29">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304" w:type="dxa"/>
            <w:vAlign w:val="center"/>
          </w:tcPr>
          <w:p w14:paraId="1DE1476E" w14:textId="77777777" w:rsidR="00454A29" w:rsidRDefault="00454A29">
            <w:pPr>
              <w:pStyle w:val="ConsPlusNormal"/>
              <w:jc w:val="center"/>
            </w:pPr>
            <w:r>
              <w:t>%</w:t>
            </w:r>
          </w:p>
        </w:tc>
        <w:tc>
          <w:tcPr>
            <w:tcW w:w="1984" w:type="dxa"/>
            <w:vAlign w:val="center"/>
          </w:tcPr>
          <w:p w14:paraId="667E0646" w14:textId="77777777" w:rsidR="00454A29" w:rsidRDefault="00454A29">
            <w:pPr>
              <w:pStyle w:val="ConsPlusNormal"/>
              <w:jc w:val="center"/>
            </w:pPr>
            <w:r>
              <w:t>Минобрнауки РС(Я)</w:t>
            </w:r>
          </w:p>
        </w:tc>
        <w:tc>
          <w:tcPr>
            <w:tcW w:w="964" w:type="dxa"/>
            <w:vAlign w:val="center"/>
          </w:tcPr>
          <w:p w14:paraId="0BC397EE" w14:textId="77777777" w:rsidR="00454A29" w:rsidRDefault="00454A29">
            <w:pPr>
              <w:pStyle w:val="ConsPlusNormal"/>
              <w:jc w:val="center"/>
            </w:pPr>
            <w:r>
              <w:t>50</w:t>
            </w:r>
          </w:p>
        </w:tc>
        <w:tc>
          <w:tcPr>
            <w:tcW w:w="964" w:type="dxa"/>
            <w:vAlign w:val="center"/>
          </w:tcPr>
          <w:p w14:paraId="69A83989" w14:textId="77777777" w:rsidR="00454A29" w:rsidRDefault="00454A29">
            <w:pPr>
              <w:pStyle w:val="ConsPlusNormal"/>
              <w:jc w:val="center"/>
            </w:pPr>
            <w:r>
              <w:t>55</w:t>
            </w:r>
          </w:p>
        </w:tc>
        <w:tc>
          <w:tcPr>
            <w:tcW w:w="964" w:type="dxa"/>
            <w:vAlign w:val="center"/>
          </w:tcPr>
          <w:p w14:paraId="75B41FD2" w14:textId="77777777" w:rsidR="00454A29" w:rsidRDefault="00454A29">
            <w:pPr>
              <w:pStyle w:val="ConsPlusNormal"/>
              <w:jc w:val="center"/>
            </w:pPr>
            <w:r>
              <w:t>60</w:t>
            </w:r>
          </w:p>
        </w:tc>
        <w:tc>
          <w:tcPr>
            <w:tcW w:w="964" w:type="dxa"/>
            <w:vAlign w:val="center"/>
          </w:tcPr>
          <w:p w14:paraId="1A35C070" w14:textId="77777777" w:rsidR="00454A29" w:rsidRDefault="00454A29">
            <w:pPr>
              <w:pStyle w:val="ConsPlusNormal"/>
              <w:jc w:val="center"/>
            </w:pPr>
            <w:r>
              <w:t>65</w:t>
            </w:r>
          </w:p>
        </w:tc>
        <w:tc>
          <w:tcPr>
            <w:tcW w:w="964" w:type="dxa"/>
            <w:vAlign w:val="center"/>
          </w:tcPr>
          <w:p w14:paraId="1B2459FD" w14:textId="77777777" w:rsidR="00454A29" w:rsidRDefault="00454A29">
            <w:pPr>
              <w:pStyle w:val="ConsPlusNormal"/>
              <w:jc w:val="center"/>
            </w:pPr>
            <w:r>
              <w:t>70</w:t>
            </w:r>
          </w:p>
        </w:tc>
        <w:tc>
          <w:tcPr>
            <w:tcW w:w="964" w:type="dxa"/>
            <w:vAlign w:val="center"/>
          </w:tcPr>
          <w:p w14:paraId="5C9CF575" w14:textId="77777777" w:rsidR="00454A29" w:rsidRDefault="00454A29">
            <w:pPr>
              <w:pStyle w:val="ConsPlusNormal"/>
              <w:jc w:val="center"/>
            </w:pPr>
            <w:r>
              <w:t>75</w:t>
            </w:r>
          </w:p>
        </w:tc>
        <w:tc>
          <w:tcPr>
            <w:tcW w:w="964" w:type="dxa"/>
            <w:vAlign w:val="center"/>
          </w:tcPr>
          <w:p w14:paraId="0C816C56" w14:textId="77777777" w:rsidR="00454A29" w:rsidRDefault="00454A29">
            <w:pPr>
              <w:pStyle w:val="ConsPlusNormal"/>
              <w:jc w:val="center"/>
            </w:pPr>
            <w:r>
              <w:t>80</w:t>
            </w:r>
          </w:p>
        </w:tc>
      </w:tr>
      <w:tr w:rsidR="00454A29" w14:paraId="1907BB0D" w14:textId="77777777">
        <w:tc>
          <w:tcPr>
            <w:tcW w:w="567" w:type="dxa"/>
            <w:vAlign w:val="center"/>
          </w:tcPr>
          <w:p w14:paraId="356D27D9" w14:textId="77777777" w:rsidR="00454A29" w:rsidRDefault="00454A29">
            <w:pPr>
              <w:pStyle w:val="ConsPlusNormal"/>
              <w:jc w:val="center"/>
            </w:pPr>
            <w:r>
              <w:t>3</w:t>
            </w:r>
          </w:p>
        </w:tc>
        <w:tc>
          <w:tcPr>
            <w:tcW w:w="3005" w:type="dxa"/>
            <w:vAlign w:val="center"/>
          </w:tcPr>
          <w:p w14:paraId="379E84A7" w14:textId="77777777" w:rsidR="00454A29" w:rsidRDefault="00454A29">
            <w:pPr>
              <w:pStyle w:val="ConsPlusNormal"/>
            </w:pPr>
            <w:r>
              <w:t>Доля выпускников - инвалидов 9 и 11 классов, охваченных профориентационной работой, в общей численности выпускников-инвалидов</w:t>
            </w:r>
          </w:p>
        </w:tc>
        <w:tc>
          <w:tcPr>
            <w:tcW w:w="1304" w:type="dxa"/>
            <w:vAlign w:val="center"/>
          </w:tcPr>
          <w:p w14:paraId="5753C5D2" w14:textId="77777777" w:rsidR="00454A29" w:rsidRDefault="00454A29">
            <w:pPr>
              <w:pStyle w:val="ConsPlusNormal"/>
              <w:jc w:val="center"/>
            </w:pPr>
            <w:r>
              <w:t>%</w:t>
            </w:r>
          </w:p>
        </w:tc>
        <w:tc>
          <w:tcPr>
            <w:tcW w:w="1984" w:type="dxa"/>
            <w:vAlign w:val="center"/>
          </w:tcPr>
          <w:p w14:paraId="43D8EA3F" w14:textId="77777777" w:rsidR="00454A29" w:rsidRDefault="00454A29">
            <w:pPr>
              <w:pStyle w:val="ConsPlusNormal"/>
              <w:jc w:val="center"/>
            </w:pPr>
            <w:r>
              <w:t>Минобрнауки РС(Я)</w:t>
            </w:r>
          </w:p>
        </w:tc>
        <w:tc>
          <w:tcPr>
            <w:tcW w:w="964" w:type="dxa"/>
            <w:vAlign w:val="center"/>
          </w:tcPr>
          <w:p w14:paraId="739F4E5F" w14:textId="77777777" w:rsidR="00454A29" w:rsidRDefault="00454A29">
            <w:pPr>
              <w:pStyle w:val="ConsPlusNormal"/>
              <w:jc w:val="center"/>
            </w:pPr>
            <w:r>
              <w:t>100</w:t>
            </w:r>
          </w:p>
        </w:tc>
        <w:tc>
          <w:tcPr>
            <w:tcW w:w="964" w:type="dxa"/>
            <w:vAlign w:val="center"/>
          </w:tcPr>
          <w:p w14:paraId="418E8A66" w14:textId="77777777" w:rsidR="00454A29" w:rsidRDefault="00454A29">
            <w:pPr>
              <w:pStyle w:val="ConsPlusNormal"/>
              <w:jc w:val="center"/>
            </w:pPr>
            <w:r>
              <w:t>100</w:t>
            </w:r>
          </w:p>
        </w:tc>
        <w:tc>
          <w:tcPr>
            <w:tcW w:w="964" w:type="dxa"/>
            <w:vAlign w:val="center"/>
          </w:tcPr>
          <w:p w14:paraId="14603683" w14:textId="77777777" w:rsidR="00454A29" w:rsidRDefault="00454A29">
            <w:pPr>
              <w:pStyle w:val="ConsPlusNormal"/>
              <w:jc w:val="center"/>
            </w:pPr>
            <w:r>
              <w:t>100</w:t>
            </w:r>
          </w:p>
        </w:tc>
        <w:tc>
          <w:tcPr>
            <w:tcW w:w="964" w:type="dxa"/>
            <w:vAlign w:val="center"/>
          </w:tcPr>
          <w:p w14:paraId="4A17EFB2" w14:textId="77777777" w:rsidR="00454A29" w:rsidRDefault="00454A29">
            <w:pPr>
              <w:pStyle w:val="ConsPlusNormal"/>
              <w:jc w:val="center"/>
            </w:pPr>
            <w:r>
              <w:t>100</w:t>
            </w:r>
          </w:p>
        </w:tc>
        <w:tc>
          <w:tcPr>
            <w:tcW w:w="964" w:type="dxa"/>
            <w:vAlign w:val="center"/>
          </w:tcPr>
          <w:p w14:paraId="13534AAC" w14:textId="77777777" w:rsidR="00454A29" w:rsidRDefault="00454A29">
            <w:pPr>
              <w:pStyle w:val="ConsPlusNormal"/>
              <w:jc w:val="center"/>
            </w:pPr>
            <w:r>
              <w:t>100</w:t>
            </w:r>
          </w:p>
        </w:tc>
        <w:tc>
          <w:tcPr>
            <w:tcW w:w="964" w:type="dxa"/>
            <w:vAlign w:val="center"/>
          </w:tcPr>
          <w:p w14:paraId="7D645523" w14:textId="77777777" w:rsidR="00454A29" w:rsidRDefault="00454A29">
            <w:pPr>
              <w:pStyle w:val="ConsPlusNormal"/>
              <w:jc w:val="center"/>
            </w:pPr>
            <w:r>
              <w:t>100</w:t>
            </w:r>
          </w:p>
        </w:tc>
        <w:tc>
          <w:tcPr>
            <w:tcW w:w="964" w:type="dxa"/>
            <w:vAlign w:val="center"/>
          </w:tcPr>
          <w:p w14:paraId="0D2329D0" w14:textId="77777777" w:rsidR="00454A29" w:rsidRDefault="00454A29">
            <w:pPr>
              <w:pStyle w:val="ConsPlusNormal"/>
              <w:jc w:val="center"/>
            </w:pPr>
            <w:r>
              <w:t>100</w:t>
            </w:r>
          </w:p>
        </w:tc>
      </w:tr>
      <w:tr w:rsidR="00454A29" w14:paraId="6C6D2622" w14:textId="77777777">
        <w:tc>
          <w:tcPr>
            <w:tcW w:w="567" w:type="dxa"/>
            <w:vAlign w:val="center"/>
          </w:tcPr>
          <w:p w14:paraId="589F94D3" w14:textId="77777777" w:rsidR="00454A29" w:rsidRDefault="00454A29">
            <w:pPr>
              <w:pStyle w:val="ConsPlusNormal"/>
              <w:jc w:val="center"/>
            </w:pPr>
            <w:r>
              <w:t>4</w:t>
            </w:r>
          </w:p>
        </w:tc>
        <w:tc>
          <w:tcPr>
            <w:tcW w:w="3005" w:type="dxa"/>
            <w:vAlign w:val="center"/>
          </w:tcPr>
          <w:p w14:paraId="7D1D37D8" w14:textId="77777777" w:rsidR="00454A29" w:rsidRDefault="00454A29">
            <w:pPr>
              <w:pStyle w:val="ConsPlusNormal"/>
            </w:pPr>
            <w:r>
              <w:t>Доля общеобразовательных организаций, в которых созданы условия для получения детьми-инвалидами качественного образования, в общем количестве общеобразовательных организаций</w:t>
            </w:r>
          </w:p>
        </w:tc>
        <w:tc>
          <w:tcPr>
            <w:tcW w:w="1304" w:type="dxa"/>
            <w:vAlign w:val="center"/>
          </w:tcPr>
          <w:p w14:paraId="64F44776" w14:textId="77777777" w:rsidR="00454A29" w:rsidRDefault="00454A29">
            <w:pPr>
              <w:pStyle w:val="ConsPlusNormal"/>
              <w:jc w:val="center"/>
            </w:pPr>
            <w:r>
              <w:t>%</w:t>
            </w:r>
          </w:p>
        </w:tc>
        <w:tc>
          <w:tcPr>
            <w:tcW w:w="1984" w:type="dxa"/>
            <w:vAlign w:val="center"/>
          </w:tcPr>
          <w:p w14:paraId="0A666C96" w14:textId="77777777" w:rsidR="00454A29" w:rsidRDefault="00454A29">
            <w:pPr>
              <w:pStyle w:val="ConsPlusNormal"/>
              <w:jc w:val="center"/>
            </w:pPr>
            <w:r>
              <w:t>Минобрнауки РС(Я)</w:t>
            </w:r>
          </w:p>
        </w:tc>
        <w:tc>
          <w:tcPr>
            <w:tcW w:w="964" w:type="dxa"/>
            <w:vAlign w:val="center"/>
          </w:tcPr>
          <w:p w14:paraId="16606D7E" w14:textId="77777777" w:rsidR="00454A29" w:rsidRDefault="00454A29">
            <w:pPr>
              <w:pStyle w:val="ConsPlusNormal"/>
              <w:jc w:val="center"/>
            </w:pPr>
            <w:r>
              <w:t>24</w:t>
            </w:r>
          </w:p>
        </w:tc>
        <w:tc>
          <w:tcPr>
            <w:tcW w:w="964" w:type="dxa"/>
            <w:vAlign w:val="center"/>
          </w:tcPr>
          <w:p w14:paraId="0C553AB1" w14:textId="77777777" w:rsidR="00454A29" w:rsidRDefault="00454A29">
            <w:pPr>
              <w:pStyle w:val="ConsPlusNormal"/>
              <w:jc w:val="center"/>
            </w:pPr>
            <w:r>
              <w:t>24,8</w:t>
            </w:r>
          </w:p>
        </w:tc>
        <w:tc>
          <w:tcPr>
            <w:tcW w:w="964" w:type="dxa"/>
            <w:vAlign w:val="center"/>
          </w:tcPr>
          <w:p w14:paraId="3CB94974" w14:textId="77777777" w:rsidR="00454A29" w:rsidRDefault="00454A29">
            <w:pPr>
              <w:pStyle w:val="ConsPlusNormal"/>
              <w:jc w:val="center"/>
            </w:pPr>
            <w:r>
              <w:t>25,7</w:t>
            </w:r>
          </w:p>
        </w:tc>
        <w:tc>
          <w:tcPr>
            <w:tcW w:w="964" w:type="dxa"/>
            <w:vAlign w:val="center"/>
          </w:tcPr>
          <w:p w14:paraId="2B43C6FA" w14:textId="77777777" w:rsidR="00454A29" w:rsidRDefault="00454A29">
            <w:pPr>
              <w:pStyle w:val="ConsPlusNormal"/>
              <w:jc w:val="center"/>
            </w:pPr>
            <w:r>
              <w:t>30</w:t>
            </w:r>
          </w:p>
        </w:tc>
        <w:tc>
          <w:tcPr>
            <w:tcW w:w="964" w:type="dxa"/>
            <w:vAlign w:val="center"/>
          </w:tcPr>
          <w:p w14:paraId="62352482" w14:textId="77777777" w:rsidR="00454A29" w:rsidRDefault="00454A29">
            <w:pPr>
              <w:pStyle w:val="ConsPlusNormal"/>
              <w:jc w:val="center"/>
            </w:pPr>
            <w:r>
              <w:t>40</w:t>
            </w:r>
          </w:p>
        </w:tc>
        <w:tc>
          <w:tcPr>
            <w:tcW w:w="964" w:type="dxa"/>
            <w:vAlign w:val="center"/>
          </w:tcPr>
          <w:p w14:paraId="2BC67834" w14:textId="77777777" w:rsidR="00454A29" w:rsidRDefault="00454A29">
            <w:pPr>
              <w:pStyle w:val="ConsPlusNormal"/>
              <w:jc w:val="center"/>
            </w:pPr>
            <w:r>
              <w:t>40</w:t>
            </w:r>
          </w:p>
        </w:tc>
        <w:tc>
          <w:tcPr>
            <w:tcW w:w="964" w:type="dxa"/>
            <w:vAlign w:val="center"/>
          </w:tcPr>
          <w:p w14:paraId="77FE28B9" w14:textId="77777777" w:rsidR="00454A29" w:rsidRDefault="00454A29">
            <w:pPr>
              <w:pStyle w:val="ConsPlusNormal"/>
              <w:jc w:val="center"/>
            </w:pPr>
            <w:r>
              <w:t>40</w:t>
            </w:r>
          </w:p>
        </w:tc>
      </w:tr>
      <w:tr w:rsidR="00454A29" w14:paraId="03657A52" w14:textId="77777777">
        <w:tc>
          <w:tcPr>
            <w:tcW w:w="567" w:type="dxa"/>
            <w:vAlign w:val="center"/>
          </w:tcPr>
          <w:p w14:paraId="325CD9F8" w14:textId="77777777" w:rsidR="00454A29" w:rsidRDefault="00454A29">
            <w:pPr>
              <w:pStyle w:val="ConsPlusNormal"/>
              <w:jc w:val="center"/>
            </w:pPr>
            <w:r>
              <w:t>5</w:t>
            </w:r>
          </w:p>
        </w:tc>
        <w:tc>
          <w:tcPr>
            <w:tcW w:w="3005" w:type="dxa"/>
            <w:vAlign w:val="center"/>
          </w:tcPr>
          <w:p w14:paraId="2F22BD10" w14:textId="77777777" w:rsidR="00454A29" w:rsidRDefault="00454A29">
            <w:pPr>
              <w:pStyle w:val="ConsPlusNormal"/>
            </w:pPr>
            <w:r>
              <w:t xml:space="preserve">Доля дошкольных </w:t>
            </w:r>
            <w:r>
              <w:lastRenderedPageBreak/>
              <w:t>образовательных организаций, в которых созданы условия для получения детьми-инвалидами качественного образования, в общем количестве дошкольных образовательных организаций</w:t>
            </w:r>
          </w:p>
        </w:tc>
        <w:tc>
          <w:tcPr>
            <w:tcW w:w="1304" w:type="dxa"/>
            <w:vAlign w:val="center"/>
          </w:tcPr>
          <w:p w14:paraId="62BBCA9A" w14:textId="77777777" w:rsidR="00454A29" w:rsidRDefault="00454A29">
            <w:pPr>
              <w:pStyle w:val="ConsPlusNormal"/>
              <w:jc w:val="center"/>
            </w:pPr>
            <w:r>
              <w:lastRenderedPageBreak/>
              <w:t>%</w:t>
            </w:r>
          </w:p>
        </w:tc>
        <w:tc>
          <w:tcPr>
            <w:tcW w:w="1984" w:type="dxa"/>
            <w:vAlign w:val="center"/>
          </w:tcPr>
          <w:p w14:paraId="59587433" w14:textId="77777777" w:rsidR="00454A29" w:rsidRDefault="00454A29">
            <w:pPr>
              <w:pStyle w:val="ConsPlusNormal"/>
              <w:jc w:val="center"/>
            </w:pPr>
            <w:r>
              <w:t>Минобрнауки РС(Я)</w:t>
            </w:r>
          </w:p>
        </w:tc>
        <w:tc>
          <w:tcPr>
            <w:tcW w:w="964" w:type="dxa"/>
            <w:vAlign w:val="center"/>
          </w:tcPr>
          <w:p w14:paraId="316EA4D7" w14:textId="77777777" w:rsidR="00454A29" w:rsidRDefault="00454A29">
            <w:pPr>
              <w:pStyle w:val="ConsPlusNormal"/>
              <w:jc w:val="center"/>
            </w:pPr>
            <w:r>
              <w:t>20</w:t>
            </w:r>
          </w:p>
        </w:tc>
        <w:tc>
          <w:tcPr>
            <w:tcW w:w="964" w:type="dxa"/>
            <w:vAlign w:val="center"/>
          </w:tcPr>
          <w:p w14:paraId="7CB69D8D" w14:textId="77777777" w:rsidR="00454A29" w:rsidRDefault="00454A29">
            <w:pPr>
              <w:pStyle w:val="ConsPlusNormal"/>
              <w:jc w:val="center"/>
            </w:pPr>
            <w:r>
              <w:t>20,7</w:t>
            </w:r>
          </w:p>
        </w:tc>
        <w:tc>
          <w:tcPr>
            <w:tcW w:w="964" w:type="dxa"/>
            <w:vAlign w:val="center"/>
          </w:tcPr>
          <w:p w14:paraId="04C71513" w14:textId="77777777" w:rsidR="00454A29" w:rsidRDefault="00454A29">
            <w:pPr>
              <w:pStyle w:val="ConsPlusNormal"/>
              <w:jc w:val="center"/>
            </w:pPr>
            <w:r>
              <w:t>21,3</w:t>
            </w:r>
          </w:p>
        </w:tc>
        <w:tc>
          <w:tcPr>
            <w:tcW w:w="964" w:type="dxa"/>
            <w:vAlign w:val="center"/>
          </w:tcPr>
          <w:p w14:paraId="64802E46" w14:textId="77777777" w:rsidR="00454A29" w:rsidRDefault="00454A29">
            <w:pPr>
              <w:pStyle w:val="ConsPlusNormal"/>
              <w:jc w:val="center"/>
            </w:pPr>
            <w:r>
              <w:t>21,7</w:t>
            </w:r>
          </w:p>
        </w:tc>
        <w:tc>
          <w:tcPr>
            <w:tcW w:w="964" w:type="dxa"/>
            <w:vAlign w:val="center"/>
          </w:tcPr>
          <w:p w14:paraId="247C325C" w14:textId="77777777" w:rsidR="00454A29" w:rsidRDefault="00454A29">
            <w:pPr>
              <w:pStyle w:val="ConsPlusNormal"/>
              <w:jc w:val="center"/>
            </w:pPr>
            <w:r>
              <w:t>22</w:t>
            </w:r>
          </w:p>
        </w:tc>
        <w:tc>
          <w:tcPr>
            <w:tcW w:w="964" w:type="dxa"/>
            <w:vAlign w:val="center"/>
          </w:tcPr>
          <w:p w14:paraId="4BA4C1B9" w14:textId="77777777" w:rsidR="00454A29" w:rsidRDefault="00454A29">
            <w:pPr>
              <w:pStyle w:val="ConsPlusNormal"/>
              <w:jc w:val="center"/>
            </w:pPr>
            <w:r>
              <w:t>22,3</w:t>
            </w:r>
          </w:p>
        </w:tc>
        <w:tc>
          <w:tcPr>
            <w:tcW w:w="964" w:type="dxa"/>
            <w:vAlign w:val="center"/>
          </w:tcPr>
          <w:p w14:paraId="0AA8A8EE" w14:textId="77777777" w:rsidR="00454A29" w:rsidRDefault="00454A29">
            <w:pPr>
              <w:pStyle w:val="ConsPlusNormal"/>
              <w:jc w:val="center"/>
            </w:pPr>
            <w:r>
              <w:t>22,7</w:t>
            </w:r>
          </w:p>
        </w:tc>
      </w:tr>
      <w:tr w:rsidR="00454A29" w14:paraId="45944892" w14:textId="77777777">
        <w:tc>
          <w:tcPr>
            <w:tcW w:w="13608" w:type="dxa"/>
            <w:gridSpan w:val="11"/>
            <w:vAlign w:val="center"/>
          </w:tcPr>
          <w:p w14:paraId="671256AE" w14:textId="77777777" w:rsidR="00454A29" w:rsidRDefault="00454A29">
            <w:pPr>
              <w:pStyle w:val="ConsPlusNormal"/>
              <w:jc w:val="center"/>
            </w:pPr>
            <w:r>
              <w:t>Основное мероприятие 2.5. Реализация регионального проекта "Современная школа"</w:t>
            </w:r>
          </w:p>
        </w:tc>
      </w:tr>
      <w:tr w:rsidR="00454A29" w14:paraId="62D41B18" w14:textId="77777777">
        <w:tc>
          <w:tcPr>
            <w:tcW w:w="567" w:type="dxa"/>
            <w:vAlign w:val="center"/>
          </w:tcPr>
          <w:p w14:paraId="64B0F070" w14:textId="77777777" w:rsidR="00454A29" w:rsidRDefault="00454A29">
            <w:pPr>
              <w:pStyle w:val="ConsPlusNormal"/>
              <w:jc w:val="center"/>
            </w:pPr>
            <w:r>
              <w:t>1</w:t>
            </w:r>
          </w:p>
        </w:tc>
        <w:tc>
          <w:tcPr>
            <w:tcW w:w="3005" w:type="dxa"/>
            <w:vAlign w:val="center"/>
          </w:tcPr>
          <w:p w14:paraId="7304EC00" w14:textId="77777777" w:rsidR="00454A29" w:rsidRDefault="00454A29">
            <w:pPr>
              <w:pStyle w:val="ConsPlusNormal"/>
            </w:pPr>
            <w:r>
              <w:t>Доля муниципальных образований Республики Саха (Якутия), в которых обновлено содержание и методы обучения предметной области "Технология" и других предметных областей</w:t>
            </w:r>
          </w:p>
        </w:tc>
        <w:tc>
          <w:tcPr>
            <w:tcW w:w="1304" w:type="dxa"/>
            <w:vAlign w:val="center"/>
          </w:tcPr>
          <w:p w14:paraId="1EDEAABF" w14:textId="77777777" w:rsidR="00454A29" w:rsidRDefault="00454A29">
            <w:pPr>
              <w:pStyle w:val="ConsPlusNormal"/>
              <w:jc w:val="center"/>
            </w:pPr>
            <w:r>
              <w:t>%</w:t>
            </w:r>
          </w:p>
        </w:tc>
        <w:tc>
          <w:tcPr>
            <w:tcW w:w="1984" w:type="dxa"/>
            <w:vAlign w:val="center"/>
          </w:tcPr>
          <w:p w14:paraId="5F4926D8" w14:textId="77777777" w:rsidR="00454A29" w:rsidRDefault="00454A29">
            <w:pPr>
              <w:pStyle w:val="ConsPlusNormal"/>
              <w:jc w:val="center"/>
            </w:pPr>
            <w:r>
              <w:t>Минобрнауки РС(Я)</w:t>
            </w:r>
          </w:p>
        </w:tc>
        <w:tc>
          <w:tcPr>
            <w:tcW w:w="964" w:type="dxa"/>
            <w:vAlign w:val="center"/>
          </w:tcPr>
          <w:p w14:paraId="146414EC" w14:textId="77777777" w:rsidR="00454A29" w:rsidRDefault="00454A29">
            <w:pPr>
              <w:pStyle w:val="ConsPlusNormal"/>
              <w:jc w:val="center"/>
            </w:pPr>
            <w:r>
              <w:t>94</w:t>
            </w:r>
          </w:p>
        </w:tc>
        <w:tc>
          <w:tcPr>
            <w:tcW w:w="964" w:type="dxa"/>
            <w:vAlign w:val="center"/>
          </w:tcPr>
          <w:p w14:paraId="5E835D27" w14:textId="77777777" w:rsidR="00454A29" w:rsidRDefault="00454A29">
            <w:pPr>
              <w:pStyle w:val="ConsPlusNormal"/>
              <w:jc w:val="center"/>
            </w:pPr>
            <w:r>
              <w:t>94</w:t>
            </w:r>
          </w:p>
        </w:tc>
        <w:tc>
          <w:tcPr>
            <w:tcW w:w="964" w:type="dxa"/>
            <w:vAlign w:val="center"/>
          </w:tcPr>
          <w:p w14:paraId="70997C94" w14:textId="77777777" w:rsidR="00454A29" w:rsidRDefault="00454A29">
            <w:pPr>
              <w:pStyle w:val="ConsPlusNormal"/>
              <w:jc w:val="center"/>
            </w:pPr>
            <w:r>
              <w:t>94</w:t>
            </w:r>
          </w:p>
        </w:tc>
        <w:tc>
          <w:tcPr>
            <w:tcW w:w="964" w:type="dxa"/>
            <w:vAlign w:val="center"/>
          </w:tcPr>
          <w:p w14:paraId="4B4D2AAF" w14:textId="77777777" w:rsidR="00454A29" w:rsidRDefault="00454A29">
            <w:pPr>
              <w:pStyle w:val="ConsPlusNormal"/>
              <w:jc w:val="center"/>
            </w:pPr>
            <w:r>
              <w:t>94</w:t>
            </w:r>
          </w:p>
        </w:tc>
        <w:tc>
          <w:tcPr>
            <w:tcW w:w="964" w:type="dxa"/>
            <w:vAlign w:val="center"/>
          </w:tcPr>
          <w:p w14:paraId="6A6B4B39" w14:textId="77777777" w:rsidR="00454A29" w:rsidRDefault="00454A29">
            <w:pPr>
              <w:pStyle w:val="ConsPlusNormal"/>
              <w:jc w:val="center"/>
            </w:pPr>
            <w:r>
              <w:t>100</w:t>
            </w:r>
          </w:p>
        </w:tc>
        <w:tc>
          <w:tcPr>
            <w:tcW w:w="964" w:type="dxa"/>
            <w:vAlign w:val="center"/>
          </w:tcPr>
          <w:p w14:paraId="3131A6C5" w14:textId="77777777" w:rsidR="00454A29" w:rsidRDefault="00454A29">
            <w:pPr>
              <w:pStyle w:val="ConsPlusNormal"/>
              <w:jc w:val="center"/>
            </w:pPr>
            <w:r>
              <w:t>x</w:t>
            </w:r>
          </w:p>
        </w:tc>
        <w:tc>
          <w:tcPr>
            <w:tcW w:w="964" w:type="dxa"/>
            <w:vAlign w:val="center"/>
          </w:tcPr>
          <w:p w14:paraId="58D79DF8" w14:textId="77777777" w:rsidR="00454A29" w:rsidRDefault="00454A29">
            <w:pPr>
              <w:pStyle w:val="ConsPlusNormal"/>
              <w:jc w:val="center"/>
            </w:pPr>
            <w:r>
              <w:t>x</w:t>
            </w:r>
          </w:p>
        </w:tc>
      </w:tr>
      <w:tr w:rsidR="00454A29" w14:paraId="0A5C6A3E" w14:textId="77777777">
        <w:tc>
          <w:tcPr>
            <w:tcW w:w="567" w:type="dxa"/>
            <w:vAlign w:val="center"/>
          </w:tcPr>
          <w:p w14:paraId="7E20460D" w14:textId="77777777" w:rsidR="00454A29" w:rsidRDefault="00454A29">
            <w:pPr>
              <w:pStyle w:val="ConsPlusNormal"/>
              <w:jc w:val="center"/>
            </w:pPr>
            <w:r>
              <w:t>2</w:t>
            </w:r>
          </w:p>
        </w:tc>
        <w:tc>
          <w:tcPr>
            <w:tcW w:w="3005" w:type="dxa"/>
            <w:vAlign w:val="center"/>
          </w:tcPr>
          <w:p w14:paraId="372C54DD" w14:textId="77777777" w:rsidR="00454A29" w:rsidRDefault="00454A29">
            <w:pPr>
              <w:pStyle w:val="ConsPlusNormal"/>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году</w:t>
            </w:r>
          </w:p>
        </w:tc>
        <w:tc>
          <w:tcPr>
            <w:tcW w:w="1304" w:type="dxa"/>
            <w:vAlign w:val="center"/>
          </w:tcPr>
          <w:p w14:paraId="3AC06ABE" w14:textId="77777777" w:rsidR="00454A29" w:rsidRDefault="00454A29">
            <w:pPr>
              <w:pStyle w:val="ConsPlusNormal"/>
              <w:jc w:val="center"/>
            </w:pPr>
            <w:r>
              <w:t>ед.</w:t>
            </w:r>
          </w:p>
        </w:tc>
        <w:tc>
          <w:tcPr>
            <w:tcW w:w="1984" w:type="dxa"/>
            <w:vAlign w:val="center"/>
          </w:tcPr>
          <w:p w14:paraId="02CBC74E" w14:textId="77777777" w:rsidR="00454A29" w:rsidRDefault="00454A29">
            <w:pPr>
              <w:pStyle w:val="ConsPlusNormal"/>
              <w:jc w:val="center"/>
            </w:pPr>
            <w:r>
              <w:t>Минобрнауки РС(Я)</w:t>
            </w:r>
          </w:p>
        </w:tc>
        <w:tc>
          <w:tcPr>
            <w:tcW w:w="964" w:type="dxa"/>
            <w:vAlign w:val="center"/>
          </w:tcPr>
          <w:p w14:paraId="5EA9AB5D" w14:textId="77777777" w:rsidR="00454A29" w:rsidRDefault="00454A29">
            <w:pPr>
              <w:pStyle w:val="ConsPlusNormal"/>
              <w:jc w:val="center"/>
            </w:pPr>
            <w:r>
              <w:t>96</w:t>
            </w:r>
          </w:p>
        </w:tc>
        <w:tc>
          <w:tcPr>
            <w:tcW w:w="964" w:type="dxa"/>
            <w:vAlign w:val="center"/>
          </w:tcPr>
          <w:p w14:paraId="2E1FF930" w14:textId="77777777" w:rsidR="00454A29" w:rsidRDefault="00454A29">
            <w:pPr>
              <w:pStyle w:val="ConsPlusNormal"/>
              <w:jc w:val="center"/>
            </w:pPr>
            <w:r>
              <w:t>171</w:t>
            </w:r>
          </w:p>
        </w:tc>
        <w:tc>
          <w:tcPr>
            <w:tcW w:w="964" w:type="dxa"/>
            <w:vAlign w:val="center"/>
          </w:tcPr>
          <w:p w14:paraId="1BA76E39" w14:textId="77777777" w:rsidR="00454A29" w:rsidRDefault="00454A29">
            <w:pPr>
              <w:pStyle w:val="ConsPlusNormal"/>
              <w:jc w:val="center"/>
            </w:pPr>
            <w:r>
              <w:t>287</w:t>
            </w:r>
          </w:p>
        </w:tc>
        <w:tc>
          <w:tcPr>
            <w:tcW w:w="964" w:type="dxa"/>
            <w:vAlign w:val="center"/>
          </w:tcPr>
          <w:p w14:paraId="013C34A3" w14:textId="77777777" w:rsidR="00454A29" w:rsidRDefault="00454A29">
            <w:pPr>
              <w:pStyle w:val="ConsPlusNormal"/>
              <w:jc w:val="center"/>
            </w:pPr>
            <w:r>
              <w:t>287</w:t>
            </w:r>
          </w:p>
        </w:tc>
        <w:tc>
          <w:tcPr>
            <w:tcW w:w="964" w:type="dxa"/>
            <w:vAlign w:val="center"/>
          </w:tcPr>
          <w:p w14:paraId="7DBBFFF7" w14:textId="77777777" w:rsidR="00454A29" w:rsidRDefault="00454A29">
            <w:pPr>
              <w:pStyle w:val="ConsPlusNormal"/>
              <w:jc w:val="center"/>
            </w:pPr>
            <w:r>
              <w:t>287</w:t>
            </w:r>
          </w:p>
        </w:tc>
        <w:tc>
          <w:tcPr>
            <w:tcW w:w="964" w:type="dxa"/>
            <w:vAlign w:val="center"/>
          </w:tcPr>
          <w:p w14:paraId="3057B41F" w14:textId="77777777" w:rsidR="00454A29" w:rsidRDefault="00454A29">
            <w:pPr>
              <w:pStyle w:val="ConsPlusNormal"/>
              <w:jc w:val="center"/>
            </w:pPr>
            <w:r>
              <w:t>x</w:t>
            </w:r>
          </w:p>
        </w:tc>
        <w:tc>
          <w:tcPr>
            <w:tcW w:w="964" w:type="dxa"/>
            <w:vAlign w:val="center"/>
          </w:tcPr>
          <w:p w14:paraId="2FA5E55A" w14:textId="77777777" w:rsidR="00454A29" w:rsidRDefault="00454A29">
            <w:pPr>
              <w:pStyle w:val="ConsPlusNormal"/>
              <w:jc w:val="center"/>
            </w:pPr>
            <w:r>
              <w:t>x</w:t>
            </w:r>
          </w:p>
        </w:tc>
      </w:tr>
      <w:tr w:rsidR="00454A29" w14:paraId="68460CA5" w14:textId="77777777">
        <w:tc>
          <w:tcPr>
            <w:tcW w:w="567" w:type="dxa"/>
            <w:vAlign w:val="center"/>
          </w:tcPr>
          <w:p w14:paraId="16647703" w14:textId="77777777" w:rsidR="00454A29" w:rsidRDefault="00454A29">
            <w:pPr>
              <w:pStyle w:val="ConsPlusNormal"/>
              <w:jc w:val="center"/>
            </w:pPr>
            <w:r>
              <w:lastRenderedPageBreak/>
              <w:t>3</w:t>
            </w:r>
          </w:p>
        </w:tc>
        <w:tc>
          <w:tcPr>
            <w:tcW w:w="3005" w:type="dxa"/>
            <w:vAlign w:val="center"/>
          </w:tcPr>
          <w:p w14:paraId="27366131" w14:textId="77777777" w:rsidR="00454A29" w:rsidRDefault="00454A29">
            <w:pPr>
              <w:pStyle w:val="ConsPlusNormal"/>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к 2018 году</w:t>
            </w:r>
          </w:p>
        </w:tc>
        <w:tc>
          <w:tcPr>
            <w:tcW w:w="1304" w:type="dxa"/>
            <w:vAlign w:val="center"/>
          </w:tcPr>
          <w:p w14:paraId="6C3B69FE" w14:textId="77777777" w:rsidR="00454A29" w:rsidRDefault="00454A29">
            <w:pPr>
              <w:pStyle w:val="ConsPlusNormal"/>
              <w:jc w:val="center"/>
            </w:pPr>
            <w:r>
              <w:t>чел.</w:t>
            </w:r>
          </w:p>
        </w:tc>
        <w:tc>
          <w:tcPr>
            <w:tcW w:w="1984" w:type="dxa"/>
            <w:vAlign w:val="center"/>
          </w:tcPr>
          <w:p w14:paraId="3E5E2345" w14:textId="77777777" w:rsidR="00454A29" w:rsidRDefault="00454A29">
            <w:pPr>
              <w:pStyle w:val="ConsPlusNormal"/>
              <w:jc w:val="center"/>
            </w:pPr>
            <w:r>
              <w:t>Минобрнауки РС(Я)</w:t>
            </w:r>
          </w:p>
        </w:tc>
        <w:tc>
          <w:tcPr>
            <w:tcW w:w="964" w:type="dxa"/>
            <w:vAlign w:val="center"/>
          </w:tcPr>
          <w:p w14:paraId="3C7BDA6B" w14:textId="77777777" w:rsidR="00454A29" w:rsidRDefault="00454A29">
            <w:pPr>
              <w:pStyle w:val="ConsPlusNormal"/>
              <w:jc w:val="center"/>
            </w:pPr>
            <w:r>
              <w:t>19328</w:t>
            </w:r>
          </w:p>
        </w:tc>
        <w:tc>
          <w:tcPr>
            <w:tcW w:w="964" w:type="dxa"/>
            <w:vAlign w:val="center"/>
          </w:tcPr>
          <w:p w14:paraId="7677183B" w14:textId="77777777" w:rsidR="00454A29" w:rsidRDefault="00454A29">
            <w:pPr>
              <w:pStyle w:val="ConsPlusNormal"/>
              <w:jc w:val="center"/>
            </w:pPr>
            <w:r>
              <w:t>34428</w:t>
            </w:r>
          </w:p>
        </w:tc>
        <w:tc>
          <w:tcPr>
            <w:tcW w:w="964" w:type="dxa"/>
            <w:vAlign w:val="center"/>
          </w:tcPr>
          <w:p w14:paraId="51E975B6" w14:textId="77777777" w:rsidR="00454A29" w:rsidRDefault="00454A29">
            <w:pPr>
              <w:pStyle w:val="ConsPlusNormal"/>
              <w:jc w:val="center"/>
            </w:pPr>
            <w:r>
              <w:t>47508</w:t>
            </w:r>
          </w:p>
        </w:tc>
        <w:tc>
          <w:tcPr>
            <w:tcW w:w="964" w:type="dxa"/>
            <w:vAlign w:val="center"/>
          </w:tcPr>
          <w:p w14:paraId="04559EB6" w14:textId="77777777" w:rsidR="00454A29" w:rsidRDefault="00454A29">
            <w:pPr>
              <w:pStyle w:val="ConsPlusNormal"/>
              <w:jc w:val="center"/>
            </w:pPr>
            <w:r>
              <w:t>47508</w:t>
            </w:r>
          </w:p>
        </w:tc>
        <w:tc>
          <w:tcPr>
            <w:tcW w:w="964" w:type="dxa"/>
            <w:vAlign w:val="center"/>
          </w:tcPr>
          <w:p w14:paraId="63B66C8E" w14:textId="77777777" w:rsidR="00454A29" w:rsidRDefault="00454A29">
            <w:pPr>
              <w:pStyle w:val="ConsPlusNormal"/>
              <w:jc w:val="center"/>
            </w:pPr>
            <w:r>
              <w:t>47508</w:t>
            </w:r>
          </w:p>
        </w:tc>
        <w:tc>
          <w:tcPr>
            <w:tcW w:w="964" w:type="dxa"/>
            <w:vAlign w:val="center"/>
          </w:tcPr>
          <w:p w14:paraId="686F6584" w14:textId="77777777" w:rsidR="00454A29" w:rsidRDefault="00454A29">
            <w:pPr>
              <w:pStyle w:val="ConsPlusNormal"/>
              <w:jc w:val="center"/>
            </w:pPr>
            <w:r>
              <w:t>x</w:t>
            </w:r>
          </w:p>
        </w:tc>
        <w:tc>
          <w:tcPr>
            <w:tcW w:w="964" w:type="dxa"/>
            <w:vAlign w:val="center"/>
          </w:tcPr>
          <w:p w14:paraId="1496624E" w14:textId="77777777" w:rsidR="00454A29" w:rsidRDefault="00454A29">
            <w:pPr>
              <w:pStyle w:val="ConsPlusNormal"/>
              <w:jc w:val="center"/>
            </w:pPr>
            <w:r>
              <w:t>x</w:t>
            </w:r>
          </w:p>
        </w:tc>
      </w:tr>
      <w:tr w:rsidR="00454A29" w14:paraId="69723E46" w14:textId="77777777">
        <w:tc>
          <w:tcPr>
            <w:tcW w:w="567" w:type="dxa"/>
            <w:vAlign w:val="center"/>
          </w:tcPr>
          <w:p w14:paraId="62600CA0" w14:textId="77777777" w:rsidR="00454A29" w:rsidRDefault="00454A29">
            <w:pPr>
              <w:pStyle w:val="ConsPlusNormal"/>
              <w:jc w:val="center"/>
            </w:pPr>
            <w:r>
              <w:t>4</w:t>
            </w:r>
          </w:p>
        </w:tc>
        <w:tc>
          <w:tcPr>
            <w:tcW w:w="3005" w:type="dxa"/>
            <w:vAlign w:val="center"/>
          </w:tcPr>
          <w:p w14:paraId="19D14B8A" w14:textId="77777777" w:rsidR="00454A29" w:rsidRDefault="00454A29">
            <w:pPr>
              <w:pStyle w:val="ConsPlusNormal"/>
            </w:pPr>
            <w:r>
              <w:t>Число созданных новых мест в общеобразовательных организациях, расположенных в сельской местности и поселках городского типа, единиц нарастающим итогом к 2018 году</w:t>
            </w:r>
          </w:p>
        </w:tc>
        <w:tc>
          <w:tcPr>
            <w:tcW w:w="1304" w:type="dxa"/>
            <w:vAlign w:val="center"/>
          </w:tcPr>
          <w:p w14:paraId="0D4BB8D0" w14:textId="77777777" w:rsidR="00454A29" w:rsidRDefault="00454A29">
            <w:pPr>
              <w:pStyle w:val="ConsPlusNormal"/>
              <w:jc w:val="center"/>
            </w:pPr>
            <w:r>
              <w:t>ед.</w:t>
            </w:r>
          </w:p>
        </w:tc>
        <w:tc>
          <w:tcPr>
            <w:tcW w:w="1984" w:type="dxa"/>
            <w:vAlign w:val="center"/>
          </w:tcPr>
          <w:p w14:paraId="2CFDC893" w14:textId="77777777" w:rsidR="00454A29" w:rsidRDefault="00454A29">
            <w:pPr>
              <w:pStyle w:val="ConsPlusNormal"/>
              <w:jc w:val="center"/>
            </w:pPr>
            <w:r>
              <w:t>Минобрнауки РС(Я)</w:t>
            </w:r>
          </w:p>
        </w:tc>
        <w:tc>
          <w:tcPr>
            <w:tcW w:w="964" w:type="dxa"/>
            <w:vAlign w:val="center"/>
          </w:tcPr>
          <w:p w14:paraId="1F046E0B" w14:textId="77777777" w:rsidR="00454A29" w:rsidRDefault="00454A29">
            <w:pPr>
              <w:pStyle w:val="ConsPlusNormal"/>
              <w:jc w:val="center"/>
            </w:pPr>
            <w:r>
              <w:t>0</w:t>
            </w:r>
          </w:p>
        </w:tc>
        <w:tc>
          <w:tcPr>
            <w:tcW w:w="964" w:type="dxa"/>
            <w:vAlign w:val="center"/>
          </w:tcPr>
          <w:p w14:paraId="07FE7025" w14:textId="77777777" w:rsidR="00454A29" w:rsidRDefault="00454A29">
            <w:pPr>
              <w:pStyle w:val="ConsPlusNormal"/>
              <w:jc w:val="center"/>
            </w:pPr>
            <w:r>
              <w:t>440</w:t>
            </w:r>
          </w:p>
        </w:tc>
        <w:tc>
          <w:tcPr>
            <w:tcW w:w="964" w:type="dxa"/>
            <w:vAlign w:val="center"/>
          </w:tcPr>
          <w:p w14:paraId="4720EE3E" w14:textId="77777777" w:rsidR="00454A29" w:rsidRDefault="00454A29">
            <w:pPr>
              <w:pStyle w:val="ConsPlusNormal"/>
              <w:jc w:val="center"/>
            </w:pPr>
            <w:r>
              <w:t>440</w:t>
            </w:r>
          </w:p>
        </w:tc>
        <w:tc>
          <w:tcPr>
            <w:tcW w:w="964" w:type="dxa"/>
            <w:vAlign w:val="center"/>
          </w:tcPr>
          <w:p w14:paraId="5560A035" w14:textId="77777777" w:rsidR="00454A29" w:rsidRDefault="00454A29">
            <w:pPr>
              <w:pStyle w:val="ConsPlusNormal"/>
              <w:jc w:val="center"/>
            </w:pPr>
            <w:r>
              <w:t>440</w:t>
            </w:r>
          </w:p>
        </w:tc>
        <w:tc>
          <w:tcPr>
            <w:tcW w:w="964" w:type="dxa"/>
            <w:vAlign w:val="center"/>
          </w:tcPr>
          <w:p w14:paraId="76EEE95E" w14:textId="77777777" w:rsidR="00454A29" w:rsidRDefault="00454A29">
            <w:pPr>
              <w:pStyle w:val="ConsPlusNormal"/>
              <w:jc w:val="center"/>
            </w:pPr>
            <w:r>
              <w:t>440</w:t>
            </w:r>
          </w:p>
        </w:tc>
        <w:tc>
          <w:tcPr>
            <w:tcW w:w="964" w:type="dxa"/>
            <w:vAlign w:val="center"/>
          </w:tcPr>
          <w:p w14:paraId="467BAC5D" w14:textId="77777777" w:rsidR="00454A29" w:rsidRDefault="00454A29">
            <w:pPr>
              <w:pStyle w:val="ConsPlusNormal"/>
              <w:jc w:val="center"/>
            </w:pPr>
            <w:r>
              <w:t>x</w:t>
            </w:r>
          </w:p>
        </w:tc>
        <w:tc>
          <w:tcPr>
            <w:tcW w:w="964" w:type="dxa"/>
            <w:vAlign w:val="center"/>
          </w:tcPr>
          <w:p w14:paraId="1190574F" w14:textId="77777777" w:rsidR="00454A29" w:rsidRDefault="00454A29">
            <w:pPr>
              <w:pStyle w:val="ConsPlusNormal"/>
              <w:jc w:val="center"/>
            </w:pPr>
            <w:r>
              <w:t>x</w:t>
            </w:r>
          </w:p>
        </w:tc>
      </w:tr>
      <w:tr w:rsidR="00454A29" w14:paraId="23671168" w14:textId="77777777">
        <w:tc>
          <w:tcPr>
            <w:tcW w:w="13608" w:type="dxa"/>
            <w:gridSpan w:val="11"/>
            <w:vAlign w:val="center"/>
          </w:tcPr>
          <w:p w14:paraId="5ECBF5B2" w14:textId="77777777" w:rsidR="00454A29" w:rsidRDefault="00454A29">
            <w:pPr>
              <w:pStyle w:val="ConsPlusNormal"/>
              <w:jc w:val="center"/>
            </w:pPr>
            <w:r>
              <w:t>Основное мероприятие 2.6.</w:t>
            </w:r>
          </w:p>
          <w:p w14:paraId="519D8794" w14:textId="77777777" w:rsidR="00454A29" w:rsidRDefault="00454A29">
            <w:pPr>
              <w:pStyle w:val="ConsPlusNormal"/>
              <w:jc w:val="center"/>
            </w:pPr>
            <w:r>
              <w:t>Реализация регионального проекта "Поддержка семей, имеющих детей"</w:t>
            </w:r>
          </w:p>
        </w:tc>
      </w:tr>
      <w:tr w:rsidR="00454A29" w14:paraId="7BF85FE6" w14:textId="77777777">
        <w:tc>
          <w:tcPr>
            <w:tcW w:w="567" w:type="dxa"/>
            <w:vAlign w:val="center"/>
          </w:tcPr>
          <w:p w14:paraId="4413980D" w14:textId="77777777" w:rsidR="00454A29" w:rsidRDefault="00454A29">
            <w:pPr>
              <w:pStyle w:val="ConsPlusNormal"/>
              <w:jc w:val="center"/>
            </w:pPr>
            <w:r>
              <w:t>1</w:t>
            </w:r>
          </w:p>
        </w:tc>
        <w:tc>
          <w:tcPr>
            <w:tcW w:w="3005" w:type="dxa"/>
            <w:vAlign w:val="center"/>
          </w:tcPr>
          <w:p w14:paraId="3EBCF953" w14:textId="77777777" w:rsidR="00454A29" w:rsidRDefault="00454A29">
            <w:pPr>
              <w:pStyle w:val="ConsPlusNormal"/>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w:t>
            </w:r>
            <w:r>
              <w:lastRenderedPageBreak/>
              <w:t>организаций, нарастающим итогом с 2019 года</w:t>
            </w:r>
          </w:p>
        </w:tc>
        <w:tc>
          <w:tcPr>
            <w:tcW w:w="1304" w:type="dxa"/>
            <w:vAlign w:val="center"/>
          </w:tcPr>
          <w:p w14:paraId="72B5AD61" w14:textId="77777777" w:rsidR="00454A29" w:rsidRDefault="00454A29">
            <w:pPr>
              <w:pStyle w:val="ConsPlusNormal"/>
              <w:jc w:val="center"/>
            </w:pPr>
            <w:r>
              <w:lastRenderedPageBreak/>
              <w:t>тыс. единиц</w:t>
            </w:r>
          </w:p>
        </w:tc>
        <w:tc>
          <w:tcPr>
            <w:tcW w:w="1984" w:type="dxa"/>
            <w:vAlign w:val="center"/>
          </w:tcPr>
          <w:p w14:paraId="3EC96656" w14:textId="77777777" w:rsidR="00454A29" w:rsidRDefault="00454A29">
            <w:pPr>
              <w:pStyle w:val="ConsPlusNormal"/>
              <w:jc w:val="center"/>
            </w:pPr>
            <w:r>
              <w:t>Минобрнауки РС(Я)</w:t>
            </w:r>
          </w:p>
        </w:tc>
        <w:tc>
          <w:tcPr>
            <w:tcW w:w="964" w:type="dxa"/>
            <w:vAlign w:val="center"/>
          </w:tcPr>
          <w:p w14:paraId="4F67D412" w14:textId="77777777" w:rsidR="00454A29" w:rsidRDefault="00454A29">
            <w:pPr>
              <w:pStyle w:val="ConsPlusNormal"/>
              <w:jc w:val="center"/>
            </w:pPr>
            <w:r>
              <w:t>5,5</w:t>
            </w:r>
          </w:p>
        </w:tc>
        <w:tc>
          <w:tcPr>
            <w:tcW w:w="964" w:type="dxa"/>
            <w:vAlign w:val="center"/>
          </w:tcPr>
          <w:p w14:paraId="5D3FA6C8" w14:textId="77777777" w:rsidR="00454A29" w:rsidRDefault="00454A29">
            <w:pPr>
              <w:pStyle w:val="ConsPlusNormal"/>
              <w:jc w:val="center"/>
            </w:pPr>
            <w:r>
              <w:t>6,5</w:t>
            </w:r>
          </w:p>
        </w:tc>
        <w:tc>
          <w:tcPr>
            <w:tcW w:w="964" w:type="dxa"/>
            <w:vAlign w:val="center"/>
          </w:tcPr>
          <w:p w14:paraId="6DEE243D" w14:textId="77777777" w:rsidR="00454A29" w:rsidRDefault="00454A29">
            <w:pPr>
              <w:pStyle w:val="ConsPlusNormal"/>
              <w:jc w:val="center"/>
            </w:pPr>
            <w:r>
              <w:t>7,3</w:t>
            </w:r>
          </w:p>
        </w:tc>
        <w:tc>
          <w:tcPr>
            <w:tcW w:w="964" w:type="dxa"/>
            <w:vAlign w:val="center"/>
          </w:tcPr>
          <w:p w14:paraId="63F13357" w14:textId="77777777" w:rsidR="00454A29" w:rsidRDefault="00454A29">
            <w:pPr>
              <w:pStyle w:val="ConsPlusNormal"/>
              <w:jc w:val="center"/>
            </w:pPr>
            <w:r>
              <w:t>8,2</w:t>
            </w:r>
          </w:p>
        </w:tc>
        <w:tc>
          <w:tcPr>
            <w:tcW w:w="964" w:type="dxa"/>
            <w:vAlign w:val="center"/>
          </w:tcPr>
          <w:p w14:paraId="374B821F" w14:textId="77777777" w:rsidR="00454A29" w:rsidRDefault="00454A29">
            <w:pPr>
              <w:pStyle w:val="ConsPlusNormal"/>
              <w:jc w:val="center"/>
            </w:pPr>
            <w:r>
              <w:t>8,4</w:t>
            </w:r>
          </w:p>
        </w:tc>
        <w:tc>
          <w:tcPr>
            <w:tcW w:w="964" w:type="dxa"/>
            <w:vAlign w:val="center"/>
          </w:tcPr>
          <w:p w14:paraId="66CBC038" w14:textId="77777777" w:rsidR="00454A29" w:rsidRDefault="00454A29">
            <w:pPr>
              <w:pStyle w:val="ConsPlusNormal"/>
              <w:jc w:val="center"/>
            </w:pPr>
            <w:r>
              <w:t>x</w:t>
            </w:r>
          </w:p>
        </w:tc>
        <w:tc>
          <w:tcPr>
            <w:tcW w:w="964" w:type="dxa"/>
            <w:vAlign w:val="center"/>
          </w:tcPr>
          <w:p w14:paraId="3199FFD5" w14:textId="77777777" w:rsidR="00454A29" w:rsidRDefault="00454A29">
            <w:pPr>
              <w:pStyle w:val="ConsPlusNormal"/>
              <w:jc w:val="center"/>
            </w:pPr>
            <w:r>
              <w:t>x</w:t>
            </w:r>
          </w:p>
        </w:tc>
      </w:tr>
      <w:tr w:rsidR="00454A29" w14:paraId="47D0476A" w14:textId="77777777">
        <w:tc>
          <w:tcPr>
            <w:tcW w:w="567" w:type="dxa"/>
            <w:vAlign w:val="center"/>
          </w:tcPr>
          <w:p w14:paraId="0283EC60" w14:textId="77777777" w:rsidR="00454A29" w:rsidRDefault="00454A29">
            <w:pPr>
              <w:pStyle w:val="ConsPlusNormal"/>
              <w:jc w:val="center"/>
            </w:pPr>
            <w:r>
              <w:t>2</w:t>
            </w:r>
          </w:p>
        </w:tc>
        <w:tc>
          <w:tcPr>
            <w:tcW w:w="3005" w:type="dxa"/>
            <w:vAlign w:val="center"/>
          </w:tcPr>
          <w:p w14:paraId="1A0FCF0E" w14:textId="77777777" w:rsidR="00454A29" w:rsidRDefault="00454A29">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304" w:type="dxa"/>
            <w:vAlign w:val="center"/>
          </w:tcPr>
          <w:p w14:paraId="6B871E0F" w14:textId="77777777" w:rsidR="00454A29" w:rsidRDefault="00454A29">
            <w:pPr>
              <w:pStyle w:val="ConsPlusNormal"/>
              <w:jc w:val="center"/>
            </w:pPr>
            <w:r>
              <w:t>%</w:t>
            </w:r>
          </w:p>
        </w:tc>
        <w:tc>
          <w:tcPr>
            <w:tcW w:w="1984" w:type="dxa"/>
            <w:vAlign w:val="center"/>
          </w:tcPr>
          <w:p w14:paraId="39990B5A" w14:textId="77777777" w:rsidR="00454A29" w:rsidRDefault="00454A29">
            <w:pPr>
              <w:pStyle w:val="ConsPlusNormal"/>
              <w:jc w:val="center"/>
            </w:pPr>
            <w:r>
              <w:t>Минобрнауки РС(Я)</w:t>
            </w:r>
          </w:p>
        </w:tc>
        <w:tc>
          <w:tcPr>
            <w:tcW w:w="964" w:type="dxa"/>
            <w:vAlign w:val="center"/>
          </w:tcPr>
          <w:p w14:paraId="3F5556BC" w14:textId="77777777" w:rsidR="00454A29" w:rsidRDefault="00454A29">
            <w:pPr>
              <w:pStyle w:val="ConsPlusNormal"/>
              <w:jc w:val="center"/>
            </w:pPr>
            <w:r>
              <w:t>81</w:t>
            </w:r>
          </w:p>
        </w:tc>
        <w:tc>
          <w:tcPr>
            <w:tcW w:w="964" w:type="dxa"/>
            <w:vAlign w:val="center"/>
          </w:tcPr>
          <w:p w14:paraId="47ED385F" w14:textId="77777777" w:rsidR="00454A29" w:rsidRDefault="00454A29">
            <w:pPr>
              <w:pStyle w:val="ConsPlusNormal"/>
              <w:jc w:val="center"/>
            </w:pPr>
            <w:r>
              <w:t>82</w:t>
            </w:r>
          </w:p>
        </w:tc>
        <w:tc>
          <w:tcPr>
            <w:tcW w:w="964" w:type="dxa"/>
            <w:vAlign w:val="center"/>
          </w:tcPr>
          <w:p w14:paraId="729878B0" w14:textId="77777777" w:rsidR="00454A29" w:rsidRDefault="00454A29">
            <w:pPr>
              <w:pStyle w:val="ConsPlusNormal"/>
              <w:jc w:val="center"/>
            </w:pPr>
            <w:r>
              <w:t>83</w:t>
            </w:r>
          </w:p>
        </w:tc>
        <w:tc>
          <w:tcPr>
            <w:tcW w:w="964" w:type="dxa"/>
            <w:vAlign w:val="center"/>
          </w:tcPr>
          <w:p w14:paraId="5E5AF285" w14:textId="77777777" w:rsidR="00454A29" w:rsidRDefault="00454A29">
            <w:pPr>
              <w:pStyle w:val="ConsPlusNormal"/>
              <w:jc w:val="center"/>
            </w:pPr>
            <w:r>
              <w:t>84</w:t>
            </w:r>
          </w:p>
        </w:tc>
        <w:tc>
          <w:tcPr>
            <w:tcW w:w="964" w:type="dxa"/>
            <w:vAlign w:val="center"/>
          </w:tcPr>
          <w:p w14:paraId="6216B873" w14:textId="77777777" w:rsidR="00454A29" w:rsidRDefault="00454A29">
            <w:pPr>
              <w:pStyle w:val="ConsPlusNormal"/>
              <w:jc w:val="center"/>
            </w:pPr>
            <w:r>
              <w:t>85</w:t>
            </w:r>
          </w:p>
        </w:tc>
        <w:tc>
          <w:tcPr>
            <w:tcW w:w="964" w:type="dxa"/>
            <w:vAlign w:val="center"/>
          </w:tcPr>
          <w:p w14:paraId="1CAEEF58" w14:textId="77777777" w:rsidR="00454A29" w:rsidRDefault="00454A29">
            <w:pPr>
              <w:pStyle w:val="ConsPlusNormal"/>
              <w:jc w:val="center"/>
            </w:pPr>
            <w:r>
              <w:t>x</w:t>
            </w:r>
          </w:p>
        </w:tc>
        <w:tc>
          <w:tcPr>
            <w:tcW w:w="964" w:type="dxa"/>
            <w:vAlign w:val="center"/>
          </w:tcPr>
          <w:p w14:paraId="7E20B518" w14:textId="77777777" w:rsidR="00454A29" w:rsidRDefault="00454A29">
            <w:pPr>
              <w:pStyle w:val="ConsPlusNormal"/>
              <w:jc w:val="center"/>
            </w:pPr>
            <w:r>
              <w:t>x</w:t>
            </w:r>
          </w:p>
        </w:tc>
      </w:tr>
      <w:tr w:rsidR="00454A29" w14:paraId="0261FB21" w14:textId="77777777">
        <w:tc>
          <w:tcPr>
            <w:tcW w:w="13608" w:type="dxa"/>
            <w:gridSpan w:val="11"/>
            <w:vAlign w:val="center"/>
          </w:tcPr>
          <w:p w14:paraId="1C50845A" w14:textId="77777777" w:rsidR="00454A29" w:rsidRDefault="00454A29">
            <w:pPr>
              <w:pStyle w:val="ConsPlusNormal"/>
              <w:jc w:val="center"/>
            </w:pPr>
            <w:r>
              <w:t>Основное мероприятие 2.7.</w:t>
            </w:r>
          </w:p>
          <w:p w14:paraId="57F2382D" w14:textId="77777777" w:rsidR="00454A29" w:rsidRDefault="00454A29">
            <w:pPr>
              <w:pStyle w:val="ConsPlusNormal"/>
              <w:jc w:val="center"/>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454A29" w14:paraId="3D3A6B4B" w14:textId="77777777">
        <w:tc>
          <w:tcPr>
            <w:tcW w:w="567" w:type="dxa"/>
            <w:vAlign w:val="center"/>
          </w:tcPr>
          <w:p w14:paraId="03EBE03B" w14:textId="77777777" w:rsidR="00454A29" w:rsidRDefault="00454A29">
            <w:pPr>
              <w:pStyle w:val="ConsPlusNormal"/>
              <w:jc w:val="center"/>
            </w:pPr>
            <w:r>
              <w:t>1</w:t>
            </w:r>
          </w:p>
        </w:tc>
        <w:tc>
          <w:tcPr>
            <w:tcW w:w="3005" w:type="dxa"/>
            <w:vAlign w:val="center"/>
          </w:tcPr>
          <w:p w14:paraId="0B05F69B" w14:textId="77777777" w:rsidR="00454A29" w:rsidRDefault="00454A29">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1304" w:type="dxa"/>
            <w:vAlign w:val="center"/>
          </w:tcPr>
          <w:p w14:paraId="7ED24122" w14:textId="77777777" w:rsidR="00454A29" w:rsidRDefault="00454A29">
            <w:pPr>
              <w:pStyle w:val="ConsPlusNormal"/>
              <w:jc w:val="center"/>
            </w:pPr>
            <w:r>
              <w:t>%</w:t>
            </w:r>
          </w:p>
        </w:tc>
        <w:tc>
          <w:tcPr>
            <w:tcW w:w="1984" w:type="dxa"/>
            <w:vAlign w:val="center"/>
          </w:tcPr>
          <w:p w14:paraId="6319A612" w14:textId="77777777" w:rsidR="00454A29" w:rsidRDefault="00454A29">
            <w:pPr>
              <w:pStyle w:val="ConsPlusNormal"/>
              <w:jc w:val="center"/>
            </w:pPr>
            <w:r>
              <w:t>Минобрнауки РС(Я)</w:t>
            </w:r>
          </w:p>
        </w:tc>
        <w:tc>
          <w:tcPr>
            <w:tcW w:w="964" w:type="dxa"/>
            <w:vAlign w:val="center"/>
          </w:tcPr>
          <w:p w14:paraId="6A04E910" w14:textId="77777777" w:rsidR="00454A29" w:rsidRDefault="00454A29">
            <w:pPr>
              <w:pStyle w:val="ConsPlusNormal"/>
              <w:jc w:val="center"/>
            </w:pPr>
            <w:r>
              <w:t>100</w:t>
            </w:r>
          </w:p>
        </w:tc>
        <w:tc>
          <w:tcPr>
            <w:tcW w:w="964" w:type="dxa"/>
            <w:vAlign w:val="center"/>
          </w:tcPr>
          <w:p w14:paraId="596DF390" w14:textId="77777777" w:rsidR="00454A29" w:rsidRDefault="00454A29">
            <w:pPr>
              <w:pStyle w:val="ConsPlusNormal"/>
              <w:jc w:val="center"/>
            </w:pPr>
            <w:r>
              <w:t>100</w:t>
            </w:r>
          </w:p>
        </w:tc>
        <w:tc>
          <w:tcPr>
            <w:tcW w:w="964" w:type="dxa"/>
            <w:vAlign w:val="center"/>
          </w:tcPr>
          <w:p w14:paraId="6A25B29A" w14:textId="77777777" w:rsidR="00454A29" w:rsidRDefault="00454A29">
            <w:pPr>
              <w:pStyle w:val="ConsPlusNormal"/>
              <w:jc w:val="center"/>
            </w:pPr>
            <w:r>
              <w:t>100</w:t>
            </w:r>
          </w:p>
        </w:tc>
        <w:tc>
          <w:tcPr>
            <w:tcW w:w="964" w:type="dxa"/>
            <w:vAlign w:val="center"/>
          </w:tcPr>
          <w:p w14:paraId="4341AF3D" w14:textId="77777777" w:rsidR="00454A29" w:rsidRDefault="00454A29">
            <w:pPr>
              <w:pStyle w:val="ConsPlusNormal"/>
              <w:jc w:val="center"/>
            </w:pPr>
            <w:r>
              <w:t>100</w:t>
            </w:r>
          </w:p>
        </w:tc>
        <w:tc>
          <w:tcPr>
            <w:tcW w:w="964" w:type="dxa"/>
            <w:vAlign w:val="center"/>
          </w:tcPr>
          <w:p w14:paraId="49EC8336" w14:textId="77777777" w:rsidR="00454A29" w:rsidRDefault="00454A29">
            <w:pPr>
              <w:pStyle w:val="ConsPlusNormal"/>
              <w:jc w:val="center"/>
            </w:pPr>
            <w:r>
              <w:t>100</w:t>
            </w:r>
          </w:p>
        </w:tc>
        <w:tc>
          <w:tcPr>
            <w:tcW w:w="964" w:type="dxa"/>
            <w:vAlign w:val="center"/>
          </w:tcPr>
          <w:p w14:paraId="11729679" w14:textId="77777777" w:rsidR="00454A29" w:rsidRDefault="00454A29">
            <w:pPr>
              <w:pStyle w:val="ConsPlusNormal"/>
              <w:jc w:val="center"/>
            </w:pPr>
            <w:r>
              <w:t>100</w:t>
            </w:r>
          </w:p>
        </w:tc>
        <w:tc>
          <w:tcPr>
            <w:tcW w:w="964" w:type="dxa"/>
            <w:vAlign w:val="center"/>
          </w:tcPr>
          <w:p w14:paraId="740349FD" w14:textId="77777777" w:rsidR="00454A29" w:rsidRDefault="00454A29">
            <w:pPr>
              <w:pStyle w:val="ConsPlusNormal"/>
              <w:jc w:val="center"/>
            </w:pPr>
            <w:r>
              <w:t>100</w:t>
            </w:r>
          </w:p>
        </w:tc>
      </w:tr>
      <w:tr w:rsidR="00454A29" w14:paraId="5B80D354" w14:textId="77777777">
        <w:tc>
          <w:tcPr>
            <w:tcW w:w="567" w:type="dxa"/>
            <w:vAlign w:val="center"/>
          </w:tcPr>
          <w:p w14:paraId="0532E3CE" w14:textId="77777777" w:rsidR="00454A29" w:rsidRDefault="00454A29">
            <w:pPr>
              <w:pStyle w:val="ConsPlusNormal"/>
              <w:jc w:val="center"/>
            </w:pPr>
            <w:r>
              <w:t>2</w:t>
            </w:r>
          </w:p>
        </w:tc>
        <w:tc>
          <w:tcPr>
            <w:tcW w:w="3005" w:type="dxa"/>
            <w:vAlign w:val="center"/>
          </w:tcPr>
          <w:p w14:paraId="0C5A1B39" w14:textId="77777777" w:rsidR="00454A29" w:rsidRDefault="00454A29">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304" w:type="dxa"/>
            <w:vAlign w:val="center"/>
          </w:tcPr>
          <w:p w14:paraId="77D314D3" w14:textId="77777777" w:rsidR="00454A29" w:rsidRDefault="00454A29">
            <w:pPr>
              <w:pStyle w:val="ConsPlusNormal"/>
              <w:jc w:val="center"/>
            </w:pPr>
            <w:r>
              <w:t>%</w:t>
            </w:r>
          </w:p>
        </w:tc>
        <w:tc>
          <w:tcPr>
            <w:tcW w:w="1984" w:type="dxa"/>
            <w:vAlign w:val="center"/>
          </w:tcPr>
          <w:p w14:paraId="77D2C88D" w14:textId="77777777" w:rsidR="00454A29" w:rsidRDefault="00454A29">
            <w:pPr>
              <w:pStyle w:val="ConsPlusNormal"/>
              <w:jc w:val="center"/>
            </w:pPr>
            <w:r>
              <w:t>Минобрнауки РС(Я)</w:t>
            </w:r>
          </w:p>
        </w:tc>
        <w:tc>
          <w:tcPr>
            <w:tcW w:w="964" w:type="dxa"/>
            <w:vAlign w:val="center"/>
          </w:tcPr>
          <w:p w14:paraId="6C64CA9F" w14:textId="77777777" w:rsidR="00454A29" w:rsidRDefault="00454A29">
            <w:pPr>
              <w:pStyle w:val="ConsPlusNormal"/>
              <w:jc w:val="center"/>
            </w:pPr>
            <w:r>
              <w:t>100</w:t>
            </w:r>
          </w:p>
        </w:tc>
        <w:tc>
          <w:tcPr>
            <w:tcW w:w="964" w:type="dxa"/>
            <w:vAlign w:val="center"/>
          </w:tcPr>
          <w:p w14:paraId="71BE2A46" w14:textId="77777777" w:rsidR="00454A29" w:rsidRDefault="00454A29">
            <w:pPr>
              <w:pStyle w:val="ConsPlusNormal"/>
              <w:jc w:val="center"/>
            </w:pPr>
            <w:r>
              <w:t>100</w:t>
            </w:r>
          </w:p>
        </w:tc>
        <w:tc>
          <w:tcPr>
            <w:tcW w:w="964" w:type="dxa"/>
            <w:vAlign w:val="center"/>
          </w:tcPr>
          <w:p w14:paraId="2768AAA7" w14:textId="77777777" w:rsidR="00454A29" w:rsidRDefault="00454A29">
            <w:pPr>
              <w:pStyle w:val="ConsPlusNormal"/>
              <w:jc w:val="center"/>
            </w:pPr>
            <w:r>
              <w:t>100</w:t>
            </w:r>
          </w:p>
        </w:tc>
        <w:tc>
          <w:tcPr>
            <w:tcW w:w="964" w:type="dxa"/>
            <w:vAlign w:val="center"/>
          </w:tcPr>
          <w:p w14:paraId="75679FCE" w14:textId="77777777" w:rsidR="00454A29" w:rsidRDefault="00454A29">
            <w:pPr>
              <w:pStyle w:val="ConsPlusNormal"/>
              <w:jc w:val="center"/>
            </w:pPr>
            <w:r>
              <w:t>100</w:t>
            </w:r>
          </w:p>
        </w:tc>
        <w:tc>
          <w:tcPr>
            <w:tcW w:w="964" w:type="dxa"/>
            <w:vAlign w:val="center"/>
          </w:tcPr>
          <w:p w14:paraId="236AAB8E" w14:textId="77777777" w:rsidR="00454A29" w:rsidRDefault="00454A29">
            <w:pPr>
              <w:pStyle w:val="ConsPlusNormal"/>
              <w:jc w:val="center"/>
            </w:pPr>
            <w:r>
              <w:t>100</w:t>
            </w:r>
          </w:p>
        </w:tc>
        <w:tc>
          <w:tcPr>
            <w:tcW w:w="964" w:type="dxa"/>
            <w:vAlign w:val="center"/>
          </w:tcPr>
          <w:p w14:paraId="4E443B08" w14:textId="77777777" w:rsidR="00454A29" w:rsidRDefault="00454A29">
            <w:pPr>
              <w:pStyle w:val="ConsPlusNormal"/>
              <w:jc w:val="center"/>
            </w:pPr>
            <w:r>
              <w:t>100</w:t>
            </w:r>
          </w:p>
        </w:tc>
        <w:tc>
          <w:tcPr>
            <w:tcW w:w="964" w:type="dxa"/>
            <w:vAlign w:val="center"/>
          </w:tcPr>
          <w:p w14:paraId="2A997095" w14:textId="77777777" w:rsidR="00454A29" w:rsidRDefault="00454A29">
            <w:pPr>
              <w:pStyle w:val="ConsPlusNormal"/>
              <w:jc w:val="center"/>
            </w:pPr>
            <w:r>
              <w:t>100</w:t>
            </w:r>
          </w:p>
        </w:tc>
      </w:tr>
      <w:tr w:rsidR="00454A29" w14:paraId="0F7A1D2F" w14:textId="77777777">
        <w:tc>
          <w:tcPr>
            <w:tcW w:w="567" w:type="dxa"/>
            <w:vAlign w:val="center"/>
          </w:tcPr>
          <w:p w14:paraId="78381720" w14:textId="77777777" w:rsidR="00454A29" w:rsidRDefault="00454A29">
            <w:pPr>
              <w:pStyle w:val="ConsPlusNormal"/>
              <w:jc w:val="center"/>
            </w:pPr>
            <w:r>
              <w:t>3</w:t>
            </w:r>
          </w:p>
        </w:tc>
        <w:tc>
          <w:tcPr>
            <w:tcW w:w="3005" w:type="dxa"/>
            <w:vAlign w:val="center"/>
          </w:tcPr>
          <w:p w14:paraId="1ADC301F" w14:textId="77777777" w:rsidR="00454A29" w:rsidRDefault="00454A29">
            <w:pPr>
              <w:pStyle w:val="ConsPlusNormal"/>
            </w:pPr>
            <w:r>
              <w:t xml:space="preserve">Доля детей-инвалидов в возрасте от 5 до 18 лет, </w:t>
            </w:r>
            <w:r>
              <w:lastRenderedPageBreak/>
              <w:t>получающих дополнительное образование, от общей численности детей-инвалидов данного возраста</w:t>
            </w:r>
          </w:p>
        </w:tc>
        <w:tc>
          <w:tcPr>
            <w:tcW w:w="1304" w:type="dxa"/>
            <w:vAlign w:val="center"/>
          </w:tcPr>
          <w:p w14:paraId="0C2ED4BB" w14:textId="77777777" w:rsidR="00454A29" w:rsidRDefault="00454A29">
            <w:pPr>
              <w:pStyle w:val="ConsPlusNormal"/>
              <w:jc w:val="center"/>
            </w:pPr>
            <w:r>
              <w:lastRenderedPageBreak/>
              <w:t>%</w:t>
            </w:r>
          </w:p>
        </w:tc>
        <w:tc>
          <w:tcPr>
            <w:tcW w:w="1984" w:type="dxa"/>
            <w:vAlign w:val="center"/>
          </w:tcPr>
          <w:p w14:paraId="7BA3B7A3" w14:textId="77777777" w:rsidR="00454A29" w:rsidRDefault="00454A29">
            <w:pPr>
              <w:pStyle w:val="ConsPlusNormal"/>
              <w:jc w:val="center"/>
            </w:pPr>
            <w:r>
              <w:t>Минобрнауки РС(Я)</w:t>
            </w:r>
          </w:p>
        </w:tc>
        <w:tc>
          <w:tcPr>
            <w:tcW w:w="964" w:type="dxa"/>
            <w:vAlign w:val="center"/>
          </w:tcPr>
          <w:p w14:paraId="52C8E0C6" w14:textId="77777777" w:rsidR="00454A29" w:rsidRDefault="00454A29">
            <w:pPr>
              <w:pStyle w:val="ConsPlusNormal"/>
              <w:jc w:val="center"/>
            </w:pPr>
            <w:r>
              <w:t>50</w:t>
            </w:r>
          </w:p>
        </w:tc>
        <w:tc>
          <w:tcPr>
            <w:tcW w:w="964" w:type="dxa"/>
            <w:vAlign w:val="center"/>
          </w:tcPr>
          <w:p w14:paraId="7F63EFCE" w14:textId="77777777" w:rsidR="00454A29" w:rsidRDefault="00454A29">
            <w:pPr>
              <w:pStyle w:val="ConsPlusNormal"/>
              <w:jc w:val="center"/>
            </w:pPr>
            <w:r>
              <w:t>50</w:t>
            </w:r>
          </w:p>
        </w:tc>
        <w:tc>
          <w:tcPr>
            <w:tcW w:w="964" w:type="dxa"/>
            <w:vAlign w:val="center"/>
          </w:tcPr>
          <w:p w14:paraId="37F3B6E9" w14:textId="77777777" w:rsidR="00454A29" w:rsidRDefault="00454A29">
            <w:pPr>
              <w:pStyle w:val="ConsPlusNormal"/>
              <w:jc w:val="center"/>
            </w:pPr>
            <w:r>
              <w:t>50</w:t>
            </w:r>
          </w:p>
        </w:tc>
        <w:tc>
          <w:tcPr>
            <w:tcW w:w="964" w:type="dxa"/>
            <w:vAlign w:val="center"/>
          </w:tcPr>
          <w:p w14:paraId="1BBCD2E7" w14:textId="77777777" w:rsidR="00454A29" w:rsidRDefault="00454A29">
            <w:pPr>
              <w:pStyle w:val="ConsPlusNormal"/>
              <w:jc w:val="center"/>
            </w:pPr>
            <w:r>
              <w:t>50</w:t>
            </w:r>
          </w:p>
        </w:tc>
        <w:tc>
          <w:tcPr>
            <w:tcW w:w="964" w:type="dxa"/>
            <w:vAlign w:val="center"/>
          </w:tcPr>
          <w:p w14:paraId="35F39B9F" w14:textId="77777777" w:rsidR="00454A29" w:rsidRDefault="00454A29">
            <w:pPr>
              <w:pStyle w:val="ConsPlusNormal"/>
              <w:jc w:val="center"/>
            </w:pPr>
            <w:r>
              <w:t>50</w:t>
            </w:r>
          </w:p>
        </w:tc>
        <w:tc>
          <w:tcPr>
            <w:tcW w:w="964" w:type="dxa"/>
            <w:vAlign w:val="center"/>
          </w:tcPr>
          <w:p w14:paraId="5DA5E2F9" w14:textId="77777777" w:rsidR="00454A29" w:rsidRDefault="00454A29">
            <w:pPr>
              <w:pStyle w:val="ConsPlusNormal"/>
              <w:jc w:val="center"/>
            </w:pPr>
            <w:r>
              <w:t>50</w:t>
            </w:r>
          </w:p>
        </w:tc>
        <w:tc>
          <w:tcPr>
            <w:tcW w:w="964" w:type="dxa"/>
            <w:vAlign w:val="center"/>
          </w:tcPr>
          <w:p w14:paraId="40015DD9" w14:textId="77777777" w:rsidR="00454A29" w:rsidRDefault="00454A29">
            <w:pPr>
              <w:pStyle w:val="ConsPlusNormal"/>
              <w:jc w:val="center"/>
            </w:pPr>
            <w:r>
              <w:t>50</w:t>
            </w:r>
          </w:p>
        </w:tc>
      </w:tr>
      <w:tr w:rsidR="00454A29" w14:paraId="07968593" w14:textId="77777777">
        <w:tc>
          <w:tcPr>
            <w:tcW w:w="13608" w:type="dxa"/>
            <w:gridSpan w:val="11"/>
            <w:vAlign w:val="center"/>
          </w:tcPr>
          <w:p w14:paraId="5ABE5543" w14:textId="77777777" w:rsidR="00454A29" w:rsidRDefault="00454A29">
            <w:pPr>
              <w:pStyle w:val="ConsPlusNormal"/>
              <w:jc w:val="center"/>
              <w:outlineLvl w:val="2"/>
            </w:pPr>
            <w:r>
              <w:t>Подпрограмма N 3.</w:t>
            </w:r>
          </w:p>
          <w:p w14:paraId="52D9C63A" w14:textId="77777777" w:rsidR="00454A29" w:rsidRDefault="00454A29">
            <w:pPr>
              <w:pStyle w:val="ConsPlusNormal"/>
              <w:jc w:val="center"/>
            </w:pPr>
            <w:r>
              <w:t>"Профессиональное образование"</w:t>
            </w:r>
          </w:p>
        </w:tc>
      </w:tr>
      <w:tr w:rsidR="00454A29" w14:paraId="3CC1BA39" w14:textId="77777777">
        <w:tc>
          <w:tcPr>
            <w:tcW w:w="567" w:type="dxa"/>
            <w:vAlign w:val="center"/>
          </w:tcPr>
          <w:p w14:paraId="348F1E76" w14:textId="77777777" w:rsidR="00454A29" w:rsidRDefault="00454A29">
            <w:pPr>
              <w:pStyle w:val="ConsPlusNormal"/>
              <w:jc w:val="center"/>
            </w:pPr>
            <w:r>
              <w:t>1</w:t>
            </w:r>
          </w:p>
        </w:tc>
        <w:tc>
          <w:tcPr>
            <w:tcW w:w="3005" w:type="dxa"/>
            <w:vAlign w:val="center"/>
          </w:tcPr>
          <w:p w14:paraId="71906856" w14:textId="77777777" w:rsidR="00454A29" w:rsidRDefault="00454A29">
            <w:pPr>
              <w:pStyle w:val="ConsPlusNormal"/>
            </w:pPr>
            <w:r>
              <w:t>Доля населения в возрасте от 15 до 19 лет, обучающегося по программам среднего профессионального образования</w:t>
            </w:r>
          </w:p>
        </w:tc>
        <w:tc>
          <w:tcPr>
            <w:tcW w:w="1304" w:type="dxa"/>
            <w:vAlign w:val="center"/>
          </w:tcPr>
          <w:p w14:paraId="4BFF926B" w14:textId="77777777" w:rsidR="00454A29" w:rsidRDefault="00454A29">
            <w:pPr>
              <w:pStyle w:val="ConsPlusNormal"/>
              <w:jc w:val="center"/>
            </w:pPr>
            <w:r>
              <w:t>%</w:t>
            </w:r>
          </w:p>
        </w:tc>
        <w:tc>
          <w:tcPr>
            <w:tcW w:w="1984" w:type="dxa"/>
            <w:vAlign w:val="center"/>
          </w:tcPr>
          <w:p w14:paraId="26A0F15C" w14:textId="77777777" w:rsidR="00454A29" w:rsidRDefault="00454A29">
            <w:pPr>
              <w:pStyle w:val="ConsPlusNormal"/>
              <w:jc w:val="center"/>
            </w:pPr>
            <w:r>
              <w:t>Минобрнауки РС(Я)</w:t>
            </w:r>
          </w:p>
        </w:tc>
        <w:tc>
          <w:tcPr>
            <w:tcW w:w="964" w:type="dxa"/>
            <w:vAlign w:val="center"/>
          </w:tcPr>
          <w:p w14:paraId="07580BC6" w14:textId="77777777" w:rsidR="00454A29" w:rsidRDefault="00454A29">
            <w:pPr>
              <w:pStyle w:val="ConsPlusNormal"/>
              <w:jc w:val="center"/>
            </w:pPr>
            <w:r>
              <w:t>40</w:t>
            </w:r>
          </w:p>
        </w:tc>
        <w:tc>
          <w:tcPr>
            <w:tcW w:w="964" w:type="dxa"/>
            <w:vAlign w:val="center"/>
          </w:tcPr>
          <w:p w14:paraId="57C86AFE" w14:textId="77777777" w:rsidR="00454A29" w:rsidRDefault="00454A29">
            <w:pPr>
              <w:pStyle w:val="ConsPlusNormal"/>
              <w:jc w:val="center"/>
            </w:pPr>
            <w:r>
              <w:t>41</w:t>
            </w:r>
          </w:p>
        </w:tc>
        <w:tc>
          <w:tcPr>
            <w:tcW w:w="964" w:type="dxa"/>
            <w:vAlign w:val="center"/>
          </w:tcPr>
          <w:p w14:paraId="3EBD77BA" w14:textId="77777777" w:rsidR="00454A29" w:rsidRDefault="00454A29">
            <w:pPr>
              <w:pStyle w:val="ConsPlusNormal"/>
              <w:jc w:val="center"/>
            </w:pPr>
            <w:r>
              <w:t>42</w:t>
            </w:r>
          </w:p>
        </w:tc>
        <w:tc>
          <w:tcPr>
            <w:tcW w:w="964" w:type="dxa"/>
            <w:vAlign w:val="center"/>
          </w:tcPr>
          <w:p w14:paraId="05A6F22A" w14:textId="77777777" w:rsidR="00454A29" w:rsidRDefault="00454A29">
            <w:pPr>
              <w:pStyle w:val="ConsPlusNormal"/>
              <w:jc w:val="center"/>
            </w:pPr>
            <w:r>
              <w:t>43</w:t>
            </w:r>
          </w:p>
        </w:tc>
        <w:tc>
          <w:tcPr>
            <w:tcW w:w="964" w:type="dxa"/>
            <w:vAlign w:val="center"/>
          </w:tcPr>
          <w:p w14:paraId="70A4F5B2" w14:textId="77777777" w:rsidR="00454A29" w:rsidRDefault="00454A29">
            <w:pPr>
              <w:pStyle w:val="ConsPlusNormal"/>
              <w:jc w:val="center"/>
            </w:pPr>
            <w:r>
              <w:t>44</w:t>
            </w:r>
          </w:p>
        </w:tc>
        <w:tc>
          <w:tcPr>
            <w:tcW w:w="964" w:type="dxa"/>
            <w:vAlign w:val="center"/>
          </w:tcPr>
          <w:p w14:paraId="03728F99" w14:textId="77777777" w:rsidR="00454A29" w:rsidRDefault="00454A29">
            <w:pPr>
              <w:pStyle w:val="ConsPlusNormal"/>
              <w:jc w:val="center"/>
            </w:pPr>
            <w:r>
              <w:t>45</w:t>
            </w:r>
          </w:p>
        </w:tc>
        <w:tc>
          <w:tcPr>
            <w:tcW w:w="964" w:type="dxa"/>
            <w:vAlign w:val="center"/>
          </w:tcPr>
          <w:p w14:paraId="5CFBA3A4" w14:textId="77777777" w:rsidR="00454A29" w:rsidRDefault="00454A29">
            <w:pPr>
              <w:pStyle w:val="ConsPlusNormal"/>
              <w:jc w:val="center"/>
            </w:pPr>
            <w:r>
              <w:t>46</w:t>
            </w:r>
          </w:p>
        </w:tc>
      </w:tr>
      <w:tr w:rsidR="00454A29" w14:paraId="6DDE89FF" w14:textId="77777777">
        <w:tc>
          <w:tcPr>
            <w:tcW w:w="567" w:type="dxa"/>
            <w:vAlign w:val="center"/>
          </w:tcPr>
          <w:p w14:paraId="6F11E8E8" w14:textId="77777777" w:rsidR="00454A29" w:rsidRDefault="00454A29">
            <w:pPr>
              <w:pStyle w:val="ConsPlusNormal"/>
              <w:jc w:val="center"/>
            </w:pPr>
            <w:r>
              <w:t>2</w:t>
            </w:r>
          </w:p>
        </w:tc>
        <w:tc>
          <w:tcPr>
            <w:tcW w:w="3005" w:type="dxa"/>
            <w:vAlign w:val="center"/>
          </w:tcPr>
          <w:p w14:paraId="1D210212" w14:textId="77777777" w:rsidR="00454A29" w:rsidRDefault="00454A29">
            <w:pPr>
              <w:pStyle w:val="ConsPlusNormal"/>
            </w:pPr>
            <w:r>
              <w:t>Доля окончивших обучение от общего количества поступивших на условиях целевого обучения</w:t>
            </w:r>
          </w:p>
        </w:tc>
        <w:tc>
          <w:tcPr>
            <w:tcW w:w="1304" w:type="dxa"/>
            <w:vAlign w:val="center"/>
          </w:tcPr>
          <w:p w14:paraId="165934B3" w14:textId="77777777" w:rsidR="00454A29" w:rsidRDefault="00454A29">
            <w:pPr>
              <w:pStyle w:val="ConsPlusNormal"/>
              <w:jc w:val="center"/>
            </w:pPr>
            <w:r>
              <w:t>%</w:t>
            </w:r>
          </w:p>
        </w:tc>
        <w:tc>
          <w:tcPr>
            <w:tcW w:w="1984" w:type="dxa"/>
            <w:vAlign w:val="center"/>
          </w:tcPr>
          <w:p w14:paraId="7747676E" w14:textId="77777777" w:rsidR="00454A29" w:rsidRDefault="00454A29">
            <w:pPr>
              <w:pStyle w:val="ConsPlusNormal"/>
              <w:jc w:val="center"/>
            </w:pPr>
            <w:r>
              <w:t>Минобрнауки РС(Я)</w:t>
            </w:r>
          </w:p>
        </w:tc>
        <w:tc>
          <w:tcPr>
            <w:tcW w:w="964" w:type="dxa"/>
            <w:vAlign w:val="center"/>
          </w:tcPr>
          <w:p w14:paraId="0957CDD7" w14:textId="77777777" w:rsidR="00454A29" w:rsidRDefault="00454A29">
            <w:pPr>
              <w:pStyle w:val="ConsPlusNormal"/>
              <w:jc w:val="center"/>
            </w:pPr>
            <w:r>
              <w:t>67,6</w:t>
            </w:r>
          </w:p>
        </w:tc>
        <w:tc>
          <w:tcPr>
            <w:tcW w:w="964" w:type="dxa"/>
            <w:vAlign w:val="center"/>
          </w:tcPr>
          <w:p w14:paraId="088073B8" w14:textId="77777777" w:rsidR="00454A29" w:rsidRDefault="00454A29">
            <w:pPr>
              <w:pStyle w:val="ConsPlusNormal"/>
              <w:jc w:val="center"/>
            </w:pPr>
            <w:r>
              <w:t>68,4</w:t>
            </w:r>
          </w:p>
        </w:tc>
        <w:tc>
          <w:tcPr>
            <w:tcW w:w="964" w:type="dxa"/>
            <w:vAlign w:val="center"/>
          </w:tcPr>
          <w:p w14:paraId="42E41FAD" w14:textId="77777777" w:rsidR="00454A29" w:rsidRDefault="00454A29">
            <w:pPr>
              <w:pStyle w:val="ConsPlusNormal"/>
              <w:jc w:val="center"/>
            </w:pPr>
            <w:r>
              <w:t>69,2</w:t>
            </w:r>
          </w:p>
        </w:tc>
        <w:tc>
          <w:tcPr>
            <w:tcW w:w="964" w:type="dxa"/>
            <w:vAlign w:val="center"/>
          </w:tcPr>
          <w:p w14:paraId="44A014C7" w14:textId="77777777" w:rsidR="00454A29" w:rsidRDefault="00454A29">
            <w:pPr>
              <w:pStyle w:val="ConsPlusNormal"/>
              <w:jc w:val="center"/>
            </w:pPr>
            <w:r>
              <w:t>70</w:t>
            </w:r>
          </w:p>
        </w:tc>
        <w:tc>
          <w:tcPr>
            <w:tcW w:w="964" w:type="dxa"/>
            <w:vAlign w:val="center"/>
          </w:tcPr>
          <w:p w14:paraId="4C49E378" w14:textId="77777777" w:rsidR="00454A29" w:rsidRDefault="00454A29">
            <w:pPr>
              <w:pStyle w:val="ConsPlusNormal"/>
              <w:jc w:val="center"/>
            </w:pPr>
            <w:r>
              <w:t>70,8</w:t>
            </w:r>
          </w:p>
        </w:tc>
        <w:tc>
          <w:tcPr>
            <w:tcW w:w="964" w:type="dxa"/>
            <w:vAlign w:val="center"/>
          </w:tcPr>
          <w:p w14:paraId="49A84FE1" w14:textId="77777777" w:rsidR="00454A29" w:rsidRDefault="00454A29">
            <w:pPr>
              <w:pStyle w:val="ConsPlusNormal"/>
              <w:jc w:val="center"/>
            </w:pPr>
            <w:r>
              <w:t>70,8</w:t>
            </w:r>
          </w:p>
        </w:tc>
        <w:tc>
          <w:tcPr>
            <w:tcW w:w="964" w:type="dxa"/>
            <w:vAlign w:val="center"/>
          </w:tcPr>
          <w:p w14:paraId="590D4A0C" w14:textId="77777777" w:rsidR="00454A29" w:rsidRDefault="00454A29">
            <w:pPr>
              <w:pStyle w:val="ConsPlusNormal"/>
              <w:jc w:val="center"/>
            </w:pPr>
            <w:r>
              <w:t>70,8</w:t>
            </w:r>
          </w:p>
        </w:tc>
      </w:tr>
      <w:tr w:rsidR="00454A29" w14:paraId="57C21171" w14:textId="77777777">
        <w:tc>
          <w:tcPr>
            <w:tcW w:w="13608" w:type="dxa"/>
            <w:gridSpan w:val="11"/>
            <w:vAlign w:val="center"/>
          </w:tcPr>
          <w:p w14:paraId="0D60DB19" w14:textId="77777777" w:rsidR="00454A29" w:rsidRDefault="00454A29">
            <w:pPr>
              <w:pStyle w:val="ConsPlusNormal"/>
              <w:jc w:val="center"/>
            </w:pPr>
            <w:r>
              <w:t>Основное мероприятие 3.1. Организация предоставления доступного и качественного профессионального образования</w:t>
            </w:r>
          </w:p>
        </w:tc>
      </w:tr>
      <w:tr w:rsidR="00454A29" w14:paraId="5ECAA015" w14:textId="77777777">
        <w:tc>
          <w:tcPr>
            <w:tcW w:w="567" w:type="dxa"/>
            <w:vAlign w:val="center"/>
          </w:tcPr>
          <w:p w14:paraId="4B240134" w14:textId="77777777" w:rsidR="00454A29" w:rsidRDefault="00454A29">
            <w:pPr>
              <w:pStyle w:val="ConsPlusNormal"/>
              <w:jc w:val="center"/>
            </w:pPr>
            <w:r>
              <w:t>1</w:t>
            </w:r>
          </w:p>
        </w:tc>
        <w:tc>
          <w:tcPr>
            <w:tcW w:w="3005" w:type="dxa"/>
            <w:vAlign w:val="center"/>
          </w:tcPr>
          <w:p w14:paraId="3F4F09F9" w14:textId="77777777" w:rsidR="00454A29" w:rsidRDefault="00454A29">
            <w:pPr>
              <w:pStyle w:val="ConsPlusNormal"/>
            </w:pPr>
            <w:r>
              <w:t>Удельный вес численности выпускников, трудоустроившихся в течение календарного года, следующего за годом выпуска, в общей численности выпускников, обучавшихся по образовательным программам среднего профессионального образования</w:t>
            </w:r>
          </w:p>
        </w:tc>
        <w:tc>
          <w:tcPr>
            <w:tcW w:w="1304" w:type="dxa"/>
            <w:vAlign w:val="center"/>
          </w:tcPr>
          <w:p w14:paraId="563E6661" w14:textId="77777777" w:rsidR="00454A29" w:rsidRDefault="00454A29">
            <w:pPr>
              <w:pStyle w:val="ConsPlusNormal"/>
              <w:jc w:val="center"/>
            </w:pPr>
            <w:r>
              <w:t>%</w:t>
            </w:r>
          </w:p>
        </w:tc>
        <w:tc>
          <w:tcPr>
            <w:tcW w:w="1984" w:type="dxa"/>
            <w:vAlign w:val="center"/>
          </w:tcPr>
          <w:p w14:paraId="32EA77AC" w14:textId="77777777" w:rsidR="00454A29" w:rsidRDefault="00454A29">
            <w:pPr>
              <w:pStyle w:val="ConsPlusNormal"/>
              <w:jc w:val="center"/>
            </w:pPr>
            <w:r>
              <w:t>Минобрнауки РС(Я)</w:t>
            </w:r>
          </w:p>
        </w:tc>
        <w:tc>
          <w:tcPr>
            <w:tcW w:w="964" w:type="dxa"/>
            <w:vAlign w:val="center"/>
          </w:tcPr>
          <w:p w14:paraId="67FDD28E" w14:textId="77777777" w:rsidR="00454A29" w:rsidRDefault="00454A29">
            <w:pPr>
              <w:pStyle w:val="ConsPlusNormal"/>
              <w:jc w:val="center"/>
            </w:pPr>
            <w:r>
              <w:t>55</w:t>
            </w:r>
          </w:p>
        </w:tc>
        <w:tc>
          <w:tcPr>
            <w:tcW w:w="964" w:type="dxa"/>
            <w:vAlign w:val="center"/>
          </w:tcPr>
          <w:p w14:paraId="0F837FF5" w14:textId="77777777" w:rsidR="00454A29" w:rsidRDefault="00454A29">
            <w:pPr>
              <w:pStyle w:val="ConsPlusNormal"/>
              <w:jc w:val="center"/>
            </w:pPr>
            <w:r>
              <w:t>56</w:t>
            </w:r>
          </w:p>
        </w:tc>
        <w:tc>
          <w:tcPr>
            <w:tcW w:w="964" w:type="dxa"/>
            <w:vAlign w:val="center"/>
          </w:tcPr>
          <w:p w14:paraId="42D0A2D6" w14:textId="77777777" w:rsidR="00454A29" w:rsidRDefault="00454A29">
            <w:pPr>
              <w:pStyle w:val="ConsPlusNormal"/>
              <w:jc w:val="center"/>
            </w:pPr>
            <w:r>
              <w:t>57</w:t>
            </w:r>
          </w:p>
        </w:tc>
        <w:tc>
          <w:tcPr>
            <w:tcW w:w="964" w:type="dxa"/>
            <w:vAlign w:val="center"/>
          </w:tcPr>
          <w:p w14:paraId="5903B47F" w14:textId="77777777" w:rsidR="00454A29" w:rsidRDefault="00454A29">
            <w:pPr>
              <w:pStyle w:val="ConsPlusNormal"/>
              <w:jc w:val="center"/>
            </w:pPr>
            <w:r>
              <w:t>58</w:t>
            </w:r>
          </w:p>
        </w:tc>
        <w:tc>
          <w:tcPr>
            <w:tcW w:w="964" w:type="dxa"/>
            <w:vAlign w:val="center"/>
          </w:tcPr>
          <w:p w14:paraId="7E305449" w14:textId="77777777" w:rsidR="00454A29" w:rsidRDefault="00454A29">
            <w:pPr>
              <w:pStyle w:val="ConsPlusNormal"/>
              <w:jc w:val="center"/>
            </w:pPr>
            <w:r>
              <w:t>59</w:t>
            </w:r>
          </w:p>
        </w:tc>
        <w:tc>
          <w:tcPr>
            <w:tcW w:w="964" w:type="dxa"/>
            <w:vAlign w:val="center"/>
          </w:tcPr>
          <w:p w14:paraId="1F1E60CB" w14:textId="77777777" w:rsidR="00454A29" w:rsidRDefault="00454A29">
            <w:pPr>
              <w:pStyle w:val="ConsPlusNormal"/>
              <w:jc w:val="center"/>
            </w:pPr>
            <w:r>
              <w:t>60</w:t>
            </w:r>
          </w:p>
        </w:tc>
        <w:tc>
          <w:tcPr>
            <w:tcW w:w="964" w:type="dxa"/>
            <w:vAlign w:val="center"/>
          </w:tcPr>
          <w:p w14:paraId="6B74115A" w14:textId="77777777" w:rsidR="00454A29" w:rsidRDefault="00454A29">
            <w:pPr>
              <w:pStyle w:val="ConsPlusNormal"/>
              <w:jc w:val="center"/>
            </w:pPr>
            <w:r>
              <w:t>61</w:t>
            </w:r>
          </w:p>
        </w:tc>
      </w:tr>
      <w:tr w:rsidR="00454A29" w14:paraId="34F490C9" w14:textId="77777777">
        <w:tc>
          <w:tcPr>
            <w:tcW w:w="13608" w:type="dxa"/>
            <w:gridSpan w:val="11"/>
            <w:vAlign w:val="center"/>
          </w:tcPr>
          <w:p w14:paraId="1E6C1F2C" w14:textId="77777777" w:rsidR="00454A29" w:rsidRDefault="00454A29">
            <w:pPr>
              <w:pStyle w:val="ConsPlusNormal"/>
              <w:jc w:val="center"/>
            </w:pPr>
            <w:r>
              <w:t xml:space="preserve">Основное мероприятие 3.2. Внедрение регионального стандарта кадрового обеспечения промышленного (экономического) роста в </w:t>
            </w:r>
            <w:r>
              <w:lastRenderedPageBreak/>
              <w:t>Республике Саха (Якутия)</w:t>
            </w:r>
          </w:p>
        </w:tc>
      </w:tr>
      <w:tr w:rsidR="00454A29" w14:paraId="4E5C9DF8" w14:textId="77777777">
        <w:tc>
          <w:tcPr>
            <w:tcW w:w="567" w:type="dxa"/>
            <w:vAlign w:val="center"/>
          </w:tcPr>
          <w:p w14:paraId="25633288" w14:textId="77777777" w:rsidR="00454A29" w:rsidRDefault="00454A29">
            <w:pPr>
              <w:pStyle w:val="ConsPlusNormal"/>
              <w:jc w:val="center"/>
            </w:pPr>
            <w:r>
              <w:lastRenderedPageBreak/>
              <w:t>1</w:t>
            </w:r>
          </w:p>
        </w:tc>
        <w:tc>
          <w:tcPr>
            <w:tcW w:w="3005" w:type="dxa"/>
            <w:vAlign w:val="center"/>
          </w:tcPr>
          <w:p w14:paraId="69965821" w14:textId="77777777" w:rsidR="00454A29" w:rsidRDefault="00454A29">
            <w:pPr>
              <w:pStyle w:val="ConsPlusNormal"/>
            </w:pPr>
            <w:r>
              <w:t>Доля профессиональных образовательных организаций, реализующих практико-ориентированные (дуальные) формы обучения</w:t>
            </w:r>
          </w:p>
        </w:tc>
        <w:tc>
          <w:tcPr>
            <w:tcW w:w="1304" w:type="dxa"/>
            <w:vAlign w:val="center"/>
          </w:tcPr>
          <w:p w14:paraId="47BFEA31" w14:textId="77777777" w:rsidR="00454A29" w:rsidRDefault="00454A29">
            <w:pPr>
              <w:pStyle w:val="ConsPlusNormal"/>
              <w:jc w:val="center"/>
            </w:pPr>
            <w:r>
              <w:t>%</w:t>
            </w:r>
          </w:p>
        </w:tc>
        <w:tc>
          <w:tcPr>
            <w:tcW w:w="1984" w:type="dxa"/>
            <w:vAlign w:val="center"/>
          </w:tcPr>
          <w:p w14:paraId="28882B79" w14:textId="77777777" w:rsidR="00454A29" w:rsidRDefault="00454A29">
            <w:pPr>
              <w:pStyle w:val="ConsPlusNormal"/>
              <w:jc w:val="center"/>
            </w:pPr>
            <w:r>
              <w:t>Минобрнауки РС(Я)</w:t>
            </w:r>
          </w:p>
        </w:tc>
        <w:tc>
          <w:tcPr>
            <w:tcW w:w="964" w:type="dxa"/>
            <w:vAlign w:val="center"/>
          </w:tcPr>
          <w:p w14:paraId="0AF89A5A" w14:textId="77777777" w:rsidR="00454A29" w:rsidRDefault="00454A29">
            <w:pPr>
              <w:pStyle w:val="ConsPlusNormal"/>
              <w:jc w:val="center"/>
            </w:pPr>
            <w:r>
              <w:t>40</w:t>
            </w:r>
          </w:p>
        </w:tc>
        <w:tc>
          <w:tcPr>
            <w:tcW w:w="964" w:type="dxa"/>
            <w:vAlign w:val="center"/>
          </w:tcPr>
          <w:p w14:paraId="7E46168E" w14:textId="77777777" w:rsidR="00454A29" w:rsidRDefault="00454A29">
            <w:pPr>
              <w:pStyle w:val="ConsPlusNormal"/>
              <w:jc w:val="center"/>
            </w:pPr>
            <w:r>
              <w:t>45</w:t>
            </w:r>
          </w:p>
        </w:tc>
        <w:tc>
          <w:tcPr>
            <w:tcW w:w="964" w:type="dxa"/>
            <w:vAlign w:val="center"/>
          </w:tcPr>
          <w:p w14:paraId="61DC37B3" w14:textId="77777777" w:rsidR="00454A29" w:rsidRDefault="00454A29">
            <w:pPr>
              <w:pStyle w:val="ConsPlusNormal"/>
              <w:jc w:val="center"/>
            </w:pPr>
            <w:r>
              <w:t>50</w:t>
            </w:r>
          </w:p>
        </w:tc>
        <w:tc>
          <w:tcPr>
            <w:tcW w:w="964" w:type="dxa"/>
            <w:vAlign w:val="center"/>
          </w:tcPr>
          <w:p w14:paraId="5851C071" w14:textId="77777777" w:rsidR="00454A29" w:rsidRDefault="00454A29">
            <w:pPr>
              <w:pStyle w:val="ConsPlusNormal"/>
              <w:jc w:val="center"/>
            </w:pPr>
            <w:r>
              <w:t>55</w:t>
            </w:r>
          </w:p>
        </w:tc>
        <w:tc>
          <w:tcPr>
            <w:tcW w:w="964" w:type="dxa"/>
            <w:vAlign w:val="center"/>
          </w:tcPr>
          <w:p w14:paraId="535096E7" w14:textId="77777777" w:rsidR="00454A29" w:rsidRDefault="00454A29">
            <w:pPr>
              <w:pStyle w:val="ConsPlusNormal"/>
              <w:jc w:val="center"/>
            </w:pPr>
            <w:r>
              <w:t>60</w:t>
            </w:r>
          </w:p>
        </w:tc>
        <w:tc>
          <w:tcPr>
            <w:tcW w:w="964" w:type="dxa"/>
            <w:vAlign w:val="center"/>
          </w:tcPr>
          <w:p w14:paraId="55B9EC51" w14:textId="77777777" w:rsidR="00454A29" w:rsidRDefault="00454A29">
            <w:pPr>
              <w:pStyle w:val="ConsPlusNormal"/>
              <w:jc w:val="center"/>
            </w:pPr>
            <w:r>
              <w:t>65</w:t>
            </w:r>
          </w:p>
        </w:tc>
        <w:tc>
          <w:tcPr>
            <w:tcW w:w="964" w:type="dxa"/>
            <w:vAlign w:val="center"/>
          </w:tcPr>
          <w:p w14:paraId="58ABB571" w14:textId="77777777" w:rsidR="00454A29" w:rsidRDefault="00454A29">
            <w:pPr>
              <w:pStyle w:val="ConsPlusNormal"/>
              <w:jc w:val="center"/>
            </w:pPr>
            <w:r>
              <w:t>70</w:t>
            </w:r>
          </w:p>
        </w:tc>
      </w:tr>
      <w:tr w:rsidR="00454A29" w14:paraId="751CFF96" w14:textId="77777777">
        <w:tc>
          <w:tcPr>
            <w:tcW w:w="13608" w:type="dxa"/>
            <w:gridSpan w:val="11"/>
            <w:vAlign w:val="center"/>
          </w:tcPr>
          <w:p w14:paraId="52251ED7" w14:textId="77777777" w:rsidR="00454A29" w:rsidRDefault="00454A29">
            <w:pPr>
              <w:pStyle w:val="ConsPlusNormal"/>
              <w:jc w:val="center"/>
            </w:pPr>
            <w:r>
              <w:t>Основное мероприятие 3.3. Развитие региональной системы инклюзивного профессионального образования для инвалидов и лиц с ограниченными возможностями здоровья</w:t>
            </w:r>
          </w:p>
        </w:tc>
      </w:tr>
      <w:tr w:rsidR="00454A29" w14:paraId="4B0BC231" w14:textId="77777777">
        <w:tc>
          <w:tcPr>
            <w:tcW w:w="567" w:type="dxa"/>
            <w:vAlign w:val="center"/>
          </w:tcPr>
          <w:p w14:paraId="74860364" w14:textId="77777777" w:rsidR="00454A29" w:rsidRDefault="00454A29">
            <w:pPr>
              <w:pStyle w:val="ConsPlusNormal"/>
              <w:jc w:val="center"/>
            </w:pPr>
            <w:r>
              <w:t>1</w:t>
            </w:r>
          </w:p>
        </w:tc>
        <w:tc>
          <w:tcPr>
            <w:tcW w:w="3005" w:type="dxa"/>
            <w:vAlign w:val="center"/>
          </w:tcPr>
          <w:p w14:paraId="543D14BA" w14:textId="77777777" w:rsidR="00454A29" w:rsidRDefault="00454A29">
            <w:pPr>
              <w:pStyle w:val="ConsPlusNormal"/>
            </w:pPr>
            <w:r>
              <w:t>Доля инвалидов, принятых на обучение по программам среднего профессионального образования (по отношению к 2016 году)</w:t>
            </w:r>
          </w:p>
        </w:tc>
        <w:tc>
          <w:tcPr>
            <w:tcW w:w="1304" w:type="dxa"/>
            <w:vAlign w:val="center"/>
          </w:tcPr>
          <w:p w14:paraId="46511815" w14:textId="77777777" w:rsidR="00454A29" w:rsidRDefault="00454A29">
            <w:pPr>
              <w:pStyle w:val="ConsPlusNormal"/>
              <w:jc w:val="center"/>
            </w:pPr>
            <w:r>
              <w:t>%</w:t>
            </w:r>
          </w:p>
        </w:tc>
        <w:tc>
          <w:tcPr>
            <w:tcW w:w="1984" w:type="dxa"/>
            <w:vAlign w:val="center"/>
          </w:tcPr>
          <w:p w14:paraId="3015C8C7" w14:textId="77777777" w:rsidR="00454A29" w:rsidRDefault="00454A29">
            <w:pPr>
              <w:pStyle w:val="ConsPlusNormal"/>
              <w:jc w:val="center"/>
            </w:pPr>
            <w:r>
              <w:t>Минобрнауки РС(Я)</w:t>
            </w:r>
          </w:p>
        </w:tc>
        <w:tc>
          <w:tcPr>
            <w:tcW w:w="964" w:type="dxa"/>
            <w:vAlign w:val="center"/>
          </w:tcPr>
          <w:p w14:paraId="4EC44A64" w14:textId="77777777" w:rsidR="00454A29" w:rsidRDefault="00454A29">
            <w:pPr>
              <w:pStyle w:val="ConsPlusNormal"/>
              <w:jc w:val="center"/>
            </w:pPr>
            <w:r>
              <w:t>104</w:t>
            </w:r>
          </w:p>
        </w:tc>
        <w:tc>
          <w:tcPr>
            <w:tcW w:w="964" w:type="dxa"/>
            <w:vAlign w:val="center"/>
          </w:tcPr>
          <w:p w14:paraId="5B66BED6" w14:textId="77777777" w:rsidR="00454A29" w:rsidRDefault="00454A29">
            <w:pPr>
              <w:pStyle w:val="ConsPlusNormal"/>
              <w:jc w:val="center"/>
            </w:pPr>
            <w:r>
              <w:t>105</w:t>
            </w:r>
          </w:p>
        </w:tc>
        <w:tc>
          <w:tcPr>
            <w:tcW w:w="964" w:type="dxa"/>
            <w:vAlign w:val="center"/>
          </w:tcPr>
          <w:p w14:paraId="0FB3EFC9" w14:textId="77777777" w:rsidR="00454A29" w:rsidRDefault="00454A29">
            <w:pPr>
              <w:pStyle w:val="ConsPlusNormal"/>
              <w:jc w:val="center"/>
            </w:pPr>
            <w:r>
              <w:t>106</w:t>
            </w:r>
          </w:p>
        </w:tc>
        <w:tc>
          <w:tcPr>
            <w:tcW w:w="964" w:type="dxa"/>
            <w:vAlign w:val="center"/>
          </w:tcPr>
          <w:p w14:paraId="0502B5E9" w14:textId="77777777" w:rsidR="00454A29" w:rsidRDefault="00454A29">
            <w:pPr>
              <w:pStyle w:val="ConsPlusNormal"/>
              <w:jc w:val="center"/>
            </w:pPr>
            <w:r>
              <w:t>107</w:t>
            </w:r>
          </w:p>
        </w:tc>
        <w:tc>
          <w:tcPr>
            <w:tcW w:w="964" w:type="dxa"/>
            <w:vAlign w:val="center"/>
          </w:tcPr>
          <w:p w14:paraId="54094E7C" w14:textId="77777777" w:rsidR="00454A29" w:rsidRDefault="00454A29">
            <w:pPr>
              <w:pStyle w:val="ConsPlusNormal"/>
              <w:jc w:val="center"/>
            </w:pPr>
            <w:r>
              <w:t>108</w:t>
            </w:r>
          </w:p>
        </w:tc>
        <w:tc>
          <w:tcPr>
            <w:tcW w:w="964" w:type="dxa"/>
            <w:vAlign w:val="center"/>
          </w:tcPr>
          <w:p w14:paraId="0414D6A6" w14:textId="77777777" w:rsidR="00454A29" w:rsidRDefault="00454A29">
            <w:pPr>
              <w:pStyle w:val="ConsPlusNormal"/>
              <w:jc w:val="center"/>
            </w:pPr>
            <w:r>
              <w:t>109</w:t>
            </w:r>
          </w:p>
        </w:tc>
        <w:tc>
          <w:tcPr>
            <w:tcW w:w="964" w:type="dxa"/>
            <w:vAlign w:val="center"/>
          </w:tcPr>
          <w:p w14:paraId="2E7B4B7D" w14:textId="77777777" w:rsidR="00454A29" w:rsidRDefault="00454A29">
            <w:pPr>
              <w:pStyle w:val="ConsPlusNormal"/>
              <w:jc w:val="center"/>
            </w:pPr>
            <w:r>
              <w:t>110</w:t>
            </w:r>
          </w:p>
        </w:tc>
      </w:tr>
      <w:tr w:rsidR="00454A29" w14:paraId="78AD2434" w14:textId="77777777">
        <w:tc>
          <w:tcPr>
            <w:tcW w:w="567" w:type="dxa"/>
            <w:vAlign w:val="center"/>
          </w:tcPr>
          <w:p w14:paraId="1D25AC18" w14:textId="77777777" w:rsidR="00454A29" w:rsidRDefault="00454A29">
            <w:pPr>
              <w:pStyle w:val="ConsPlusNormal"/>
              <w:jc w:val="center"/>
            </w:pPr>
            <w:r>
              <w:t>2</w:t>
            </w:r>
          </w:p>
        </w:tc>
        <w:tc>
          <w:tcPr>
            <w:tcW w:w="3005" w:type="dxa"/>
            <w:vAlign w:val="center"/>
          </w:tcPr>
          <w:p w14:paraId="4947C379" w14:textId="77777777" w:rsidR="00454A29" w:rsidRDefault="00454A29">
            <w:pPr>
              <w:pStyle w:val="ConsPlusNormal"/>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tc>
        <w:tc>
          <w:tcPr>
            <w:tcW w:w="1304" w:type="dxa"/>
            <w:vAlign w:val="center"/>
          </w:tcPr>
          <w:p w14:paraId="6122DFFB" w14:textId="77777777" w:rsidR="00454A29" w:rsidRDefault="00454A29">
            <w:pPr>
              <w:pStyle w:val="ConsPlusNormal"/>
              <w:jc w:val="center"/>
            </w:pPr>
            <w:r>
              <w:t>ед.</w:t>
            </w:r>
          </w:p>
        </w:tc>
        <w:tc>
          <w:tcPr>
            <w:tcW w:w="1984" w:type="dxa"/>
            <w:vAlign w:val="center"/>
          </w:tcPr>
          <w:p w14:paraId="11F79706" w14:textId="77777777" w:rsidR="00454A29" w:rsidRDefault="00454A29">
            <w:pPr>
              <w:pStyle w:val="ConsPlusNormal"/>
              <w:jc w:val="center"/>
            </w:pPr>
            <w:r>
              <w:t>Минобрнауки РС(Я)</w:t>
            </w:r>
          </w:p>
        </w:tc>
        <w:tc>
          <w:tcPr>
            <w:tcW w:w="964" w:type="dxa"/>
            <w:vAlign w:val="center"/>
          </w:tcPr>
          <w:p w14:paraId="626977CD" w14:textId="77777777" w:rsidR="00454A29" w:rsidRDefault="00454A29">
            <w:pPr>
              <w:pStyle w:val="ConsPlusNormal"/>
              <w:jc w:val="center"/>
            </w:pPr>
            <w:r>
              <w:t>23</w:t>
            </w:r>
          </w:p>
        </w:tc>
        <w:tc>
          <w:tcPr>
            <w:tcW w:w="964" w:type="dxa"/>
            <w:vAlign w:val="center"/>
          </w:tcPr>
          <w:p w14:paraId="0325DD47" w14:textId="77777777" w:rsidR="00454A29" w:rsidRDefault="00454A29">
            <w:pPr>
              <w:pStyle w:val="ConsPlusNormal"/>
              <w:jc w:val="center"/>
            </w:pPr>
            <w:r>
              <w:t>25</w:t>
            </w:r>
          </w:p>
        </w:tc>
        <w:tc>
          <w:tcPr>
            <w:tcW w:w="964" w:type="dxa"/>
            <w:vAlign w:val="center"/>
          </w:tcPr>
          <w:p w14:paraId="5EA68C30" w14:textId="77777777" w:rsidR="00454A29" w:rsidRDefault="00454A29">
            <w:pPr>
              <w:pStyle w:val="ConsPlusNormal"/>
              <w:jc w:val="center"/>
            </w:pPr>
            <w:r>
              <w:t>27</w:t>
            </w:r>
          </w:p>
        </w:tc>
        <w:tc>
          <w:tcPr>
            <w:tcW w:w="964" w:type="dxa"/>
            <w:vAlign w:val="center"/>
          </w:tcPr>
          <w:p w14:paraId="365CEB67" w14:textId="77777777" w:rsidR="00454A29" w:rsidRDefault="00454A29">
            <w:pPr>
              <w:pStyle w:val="ConsPlusNormal"/>
              <w:jc w:val="center"/>
            </w:pPr>
            <w:r>
              <w:t>29</w:t>
            </w:r>
          </w:p>
        </w:tc>
        <w:tc>
          <w:tcPr>
            <w:tcW w:w="964" w:type="dxa"/>
            <w:vAlign w:val="center"/>
          </w:tcPr>
          <w:p w14:paraId="25BF905B" w14:textId="77777777" w:rsidR="00454A29" w:rsidRDefault="00454A29">
            <w:pPr>
              <w:pStyle w:val="ConsPlusNormal"/>
              <w:jc w:val="center"/>
            </w:pPr>
            <w:r>
              <w:t>31</w:t>
            </w:r>
          </w:p>
        </w:tc>
        <w:tc>
          <w:tcPr>
            <w:tcW w:w="964" w:type="dxa"/>
            <w:vAlign w:val="center"/>
          </w:tcPr>
          <w:p w14:paraId="4111C6E7" w14:textId="77777777" w:rsidR="00454A29" w:rsidRDefault="00454A29">
            <w:pPr>
              <w:pStyle w:val="ConsPlusNormal"/>
              <w:jc w:val="center"/>
            </w:pPr>
            <w:r>
              <w:t>33</w:t>
            </w:r>
          </w:p>
        </w:tc>
        <w:tc>
          <w:tcPr>
            <w:tcW w:w="964" w:type="dxa"/>
            <w:vAlign w:val="center"/>
          </w:tcPr>
          <w:p w14:paraId="62086F92" w14:textId="77777777" w:rsidR="00454A29" w:rsidRDefault="00454A29">
            <w:pPr>
              <w:pStyle w:val="ConsPlusNormal"/>
              <w:jc w:val="center"/>
            </w:pPr>
            <w:r>
              <w:t>35</w:t>
            </w:r>
          </w:p>
        </w:tc>
      </w:tr>
      <w:tr w:rsidR="00454A29" w14:paraId="1627030F" w14:textId="77777777">
        <w:tc>
          <w:tcPr>
            <w:tcW w:w="567" w:type="dxa"/>
            <w:vAlign w:val="center"/>
          </w:tcPr>
          <w:p w14:paraId="2552DBDF" w14:textId="77777777" w:rsidR="00454A29" w:rsidRDefault="00454A29">
            <w:pPr>
              <w:pStyle w:val="ConsPlusNormal"/>
              <w:jc w:val="center"/>
            </w:pPr>
            <w:r>
              <w:t>3</w:t>
            </w:r>
          </w:p>
        </w:tc>
        <w:tc>
          <w:tcPr>
            <w:tcW w:w="3005" w:type="dxa"/>
            <w:vAlign w:val="center"/>
          </w:tcPr>
          <w:p w14:paraId="76C9D2F3" w14:textId="77777777" w:rsidR="00454A29" w:rsidRDefault="00454A29">
            <w:pPr>
              <w:pStyle w:val="ConsPlusNormal"/>
            </w:pPr>
            <w:r>
              <w:t xml:space="preserve">Доля студентов из числа инвалидов, обучавшихся по программам среднего профессионального </w:t>
            </w:r>
            <w:r>
              <w:lastRenderedPageBreak/>
              <w:t>образования, выбывших по причине академической неуспеваемости</w:t>
            </w:r>
          </w:p>
        </w:tc>
        <w:tc>
          <w:tcPr>
            <w:tcW w:w="1304" w:type="dxa"/>
            <w:vAlign w:val="center"/>
          </w:tcPr>
          <w:p w14:paraId="37AEA56B" w14:textId="77777777" w:rsidR="00454A29" w:rsidRDefault="00454A29">
            <w:pPr>
              <w:pStyle w:val="ConsPlusNormal"/>
              <w:jc w:val="center"/>
            </w:pPr>
            <w:r>
              <w:lastRenderedPageBreak/>
              <w:t>%</w:t>
            </w:r>
          </w:p>
        </w:tc>
        <w:tc>
          <w:tcPr>
            <w:tcW w:w="1984" w:type="dxa"/>
            <w:vAlign w:val="center"/>
          </w:tcPr>
          <w:p w14:paraId="420CDE80" w14:textId="77777777" w:rsidR="00454A29" w:rsidRDefault="00454A29">
            <w:pPr>
              <w:pStyle w:val="ConsPlusNormal"/>
              <w:jc w:val="center"/>
            </w:pPr>
            <w:r>
              <w:t>Минобрнауки РС(Я)</w:t>
            </w:r>
          </w:p>
        </w:tc>
        <w:tc>
          <w:tcPr>
            <w:tcW w:w="964" w:type="dxa"/>
            <w:vAlign w:val="center"/>
          </w:tcPr>
          <w:p w14:paraId="02C0AC2C" w14:textId="77777777" w:rsidR="00454A29" w:rsidRDefault="00454A29">
            <w:pPr>
              <w:pStyle w:val="ConsPlusNormal"/>
              <w:jc w:val="center"/>
            </w:pPr>
            <w:r>
              <w:t>7</w:t>
            </w:r>
          </w:p>
        </w:tc>
        <w:tc>
          <w:tcPr>
            <w:tcW w:w="964" w:type="dxa"/>
            <w:vAlign w:val="center"/>
          </w:tcPr>
          <w:p w14:paraId="3499B507" w14:textId="77777777" w:rsidR="00454A29" w:rsidRDefault="00454A29">
            <w:pPr>
              <w:pStyle w:val="ConsPlusNormal"/>
              <w:jc w:val="center"/>
            </w:pPr>
            <w:r>
              <w:t>7</w:t>
            </w:r>
          </w:p>
        </w:tc>
        <w:tc>
          <w:tcPr>
            <w:tcW w:w="964" w:type="dxa"/>
            <w:vAlign w:val="center"/>
          </w:tcPr>
          <w:p w14:paraId="07C2AB5C" w14:textId="77777777" w:rsidR="00454A29" w:rsidRDefault="00454A29">
            <w:pPr>
              <w:pStyle w:val="ConsPlusNormal"/>
              <w:jc w:val="center"/>
            </w:pPr>
            <w:r>
              <w:t>7</w:t>
            </w:r>
          </w:p>
        </w:tc>
        <w:tc>
          <w:tcPr>
            <w:tcW w:w="964" w:type="dxa"/>
            <w:vAlign w:val="center"/>
          </w:tcPr>
          <w:p w14:paraId="52349C6C" w14:textId="77777777" w:rsidR="00454A29" w:rsidRDefault="00454A29">
            <w:pPr>
              <w:pStyle w:val="ConsPlusNormal"/>
              <w:jc w:val="center"/>
            </w:pPr>
            <w:r>
              <w:t>7</w:t>
            </w:r>
          </w:p>
        </w:tc>
        <w:tc>
          <w:tcPr>
            <w:tcW w:w="964" w:type="dxa"/>
            <w:vAlign w:val="center"/>
          </w:tcPr>
          <w:p w14:paraId="4761B752" w14:textId="77777777" w:rsidR="00454A29" w:rsidRDefault="00454A29">
            <w:pPr>
              <w:pStyle w:val="ConsPlusNormal"/>
              <w:jc w:val="center"/>
            </w:pPr>
            <w:r>
              <w:t>7</w:t>
            </w:r>
          </w:p>
        </w:tc>
        <w:tc>
          <w:tcPr>
            <w:tcW w:w="964" w:type="dxa"/>
            <w:vAlign w:val="center"/>
          </w:tcPr>
          <w:p w14:paraId="0AC2A7B3" w14:textId="77777777" w:rsidR="00454A29" w:rsidRDefault="00454A29">
            <w:pPr>
              <w:pStyle w:val="ConsPlusNormal"/>
              <w:jc w:val="center"/>
            </w:pPr>
            <w:r>
              <w:t>7</w:t>
            </w:r>
          </w:p>
        </w:tc>
        <w:tc>
          <w:tcPr>
            <w:tcW w:w="964" w:type="dxa"/>
            <w:vAlign w:val="center"/>
          </w:tcPr>
          <w:p w14:paraId="68A82882" w14:textId="77777777" w:rsidR="00454A29" w:rsidRDefault="00454A29">
            <w:pPr>
              <w:pStyle w:val="ConsPlusNormal"/>
              <w:jc w:val="center"/>
            </w:pPr>
            <w:r>
              <w:t>7</w:t>
            </w:r>
          </w:p>
        </w:tc>
      </w:tr>
      <w:tr w:rsidR="00454A29" w14:paraId="15B062CA" w14:textId="77777777">
        <w:tc>
          <w:tcPr>
            <w:tcW w:w="13608" w:type="dxa"/>
            <w:gridSpan w:val="11"/>
            <w:vAlign w:val="center"/>
          </w:tcPr>
          <w:p w14:paraId="71AD0547" w14:textId="77777777" w:rsidR="00454A29" w:rsidRDefault="00454A29">
            <w:pPr>
              <w:pStyle w:val="ConsPlusNormal"/>
              <w:jc w:val="center"/>
            </w:pPr>
            <w:r>
              <w:t>Основное мероприятие 3.4. Развитие региональной системы дополнительного профессионального образования и профессионального обучения</w:t>
            </w:r>
          </w:p>
        </w:tc>
      </w:tr>
      <w:tr w:rsidR="00454A29" w14:paraId="42CB167B" w14:textId="77777777">
        <w:tc>
          <w:tcPr>
            <w:tcW w:w="567" w:type="dxa"/>
            <w:vAlign w:val="center"/>
          </w:tcPr>
          <w:p w14:paraId="2ACAABBD" w14:textId="77777777" w:rsidR="00454A29" w:rsidRDefault="00454A29">
            <w:pPr>
              <w:pStyle w:val="ConsPlusNormal"/>
              <w:jc w:val="center"/>
            </w:pPr>
            <w:r>
              <w:t>1</w:t>
            </w:r>
          </w:p>
        </w:tc>
        <w:tc>
          <w:tcPr>
            <w:tcW w:w="3005" w:type="dxa"/>
            <w:vAlign w:val="center"/>
          </w:tcPr>
          <w:p w14:paraId="3C2B28A8" w14:textId="77777777" w:rsidR="00454A29" w:rsidRDefault="00454A29">
            <w:pPr>
              <w:pStyle w:val="ConsPlusNormal"/>
            </w:pPr>
            <w:r>
              <w:t>Доля руководителей и педагогических работников профессиональных образовательных организаций, прошедших повышение квалификации и (или) профессиональную переподготовку, в общей численности руководителей и педагогических работников этих организаций</w:t>
            </w:r>
          </w:p>
        </w:tc>
        <w:tc>
          <w:tcPr>
            <w:tcW w:w="1304" w:type="dxa"/>
            <w:vAlign w:val="center"/>
          </w:tcPr>
          <w:p w14:paraId="5EC39B4F" w14:textId="77777777" w:rsidR="00454A29" w:rsidRDefault="00454A29">
            <w:pPr>
              <w:pStyle w:val="ConsPlusNormal"/>
              <w:jc w:val="center"/>
            </w:pPr>
            <w:r>
              <w:t>%</w:t>
            </w:r>
          </w:p>
        </w:tc>
        <w:tc>
          <w:tcPr>
            <w:tcW w:w="1984" w:type="dxa"/>
            <w:vAlign w:val="center"/>
          </w:tcPr>
          <w:p w14:paraId="1129FD38" w14:textId="77777777" w:rsidR="00454A29" w:rsidRDefault="00454A29">
            <w:pPr>
              <w:pStyle w:val="ConsPlusNormal"/>
              <w:jc w:val="center"/>
            </w:pPr>
            <w:r>
              <w:t>Минобрнауки РС(Я)</w:t>
            </w:r>
          </w:p>
        </w:tc>
        <w:tc>
          <w:tcPr>
            <w:tcW w:w="964" w:type="dxa"/>
            <w:vAlign w:val="center"/>
          </w:tcPr>
          <w:p w14:paraId="12E406D1" w14:textId="77777777" w:rsidR="00454A29" w:rsidRDefault="00454A29">
            <w:pPr>
              <w:pStyle w:val="ConsPlusNormal"/>
              <w:jc w:val="center"/>
            </w:pPr>
            <w:r>
              <w:t>33</w:t>
            </w:r>
          </w:p>
        </w:tc>
        <w:tc>
          <w:tcPr>
            <w:tcW w:w="964" w:type="dxa"/>
            <w:vAlign w:val="center"/>
          </w:tcPr>
          <w:p w14:paraId="50E63F9D" w14:textId="77777777" w:rsidR="00454A29" w:rsidRDefault="00454A29">
            <w:pPr>
              <w:pStyle w:val="ConsPlusNormal"/>
              <w:jc w:val="center"/>
            </w:pPr>
            <w:r>
              <w:t>33</w:t>
            </w:r>
          </w:p>
        </w:tc>
        <w:tc>
          <w:tcPr>
            <w:tcW w:w="964" w:type="dxa"/>
            <w:vAlign w:val="center"/>
          </w:tcPr>
          <w:p w14:paraId="2C235303" w14:textId="77777777" w:rsidR="00454A29" w:rsidRDefault="00454A29">
            <w:pPr>
              <w:pStyle w:val="ConsPlusNormal"/>
              <w:jc w:val="center"/>
            </w:pPr>
            <w:r>
              <w:t>33</w:t>
            </w:r>
          </w:p>
        </w:tc>
        <w:tc>
          <w:tcPr>
            <w:tcW w:w="964" w:type="dxa"/>
            <w:vAlign w:val="center"/>
          </w:tcPr>
          <w:p w14:paraId="62345FEC" w14:textId="77777777" w:rsidR="00454A29" w:rsidRDefault="00454A29">
            <w:pPr>
              <w:pStyle w:val="ConsPlusNormal"/>
              <w:jc w:val="center"/>
            </w:pPr>
            <w:r>
              <w:t>33</w:t>
            </w:r>
          </w:p>
        </w:tc>
        <w:tc>
          <w:tcPr>
            <w:tcW w:w="964" w:type="dxa"/>
            <w:vAlign w:val="center"/>
          </w:tcPr>
          <w:p w14:paraId="0E50C5AB" w14:textId="77777777" w:rsidR="00454A29" w:rsidRDefault="00454A29">
            <w:pPr>
              <w:pStyle w:val="ConsPlusNormal"/>
              <w:jc w:val="center"/>
            </w:pPr>
            <w:r>
              <w:t>33</w:t>
            </w:r>
          </w:p>
        </w:tc>
        <w:tc>
          <w:tcPr>
            <w:tcW w:w="964" w:type="dxa"/>
            <w:vAlign w:val="center"/>
          </w:tcPr>
          <w:p w14:paraId="4BBBD7EF" w14:textId="77777777" w:rsidR="00454A29" w:rsidRDefault="00454A29">
            <w:pPr>
              <w:pStyle w:val="ConsPlusNormal"/>
              <w:jc w:val="center"/>
            </w:pPr>
            <w:r>
              <w:t>33</w:t>
            </w:r>
          </w:p>
        </w:tc>
        <w:tc>
          <w:tcPr>
            <w:tcW w:w="964" w:type="dxa"/>
            <w:vAlign w:val="center"/>
          </w:tcPr>
          <w:p w14:paraId="0057C91D" w14:textId="77777777" w:rsidR="00454A29" w:rsidRDefault="00454A29">
            <w:pPr>
              <w:pStyle w:val="ConsPlusNormal"/>
              <w:jc w:val="center"/>
            </w:pPr>
            <w:r>
              <w:t>33</w:t>
            </w:r>
          </w:p>
        </w:tc>
      </w:tr>
      <w:tr w:rsidR="00454A29" w14:paraId="277FCEE2" w14:textId="77777777">
        <w:tc>
          <w:tcPr>
            <w:tcW w:w="567" w:type="dxa"/>
            <w:vAlign w:val="center"/>
          </w:tcPr>
          <w:p w14:paraId="042A4854" w14:textId="77777777" w:rsidR="00454A29" w:rsidRDefault="00454A29">
            <w:pPr>
              <w:pStyle w:val="ConsPlusNormal"/>
              <w:jc w:val="center"/>
            </w:pPr>
            <w:r>
              <w:t>2</w:t>
            </w:r>
          </w:p>
        </w:tc>
        <w:tc>
          <w:tcPr>
            <w:tcW w:w="3005" w:type="dxa"/>
            <w:vAlign w:val="center"/>
          </w:tcPr>
          <w:p w14:paraId="65255FA2" w14:textId="77777777" w:rsidR="00454A29" w:rsidRDefault="00454A29">
            <w:pPr>
              <w:pStyle w:val="ConsPlusNormal"/>
            </w:pPr>
            <w:r>
              <w:t>Число созданных многофункциональных центров прикладных квалификаций</w:t>
            </w:r>
          </w:p>
        </w:tc>
        <w:tc>
          <w:tcPr>
            <w:tcW w:w="1304" w:type="dxa"/>
            <w:vAlign w:val="center"/>
          </w:tcPr>
          <w:p w14:paraId="65D2AEA1" w14:textId="77777777" w:rsidR="00454A29" w:rsidRDefault="00454A29">
            <w:pPr>
              <w:pStyle w:val="ConsPlusNormal"/>
              <w:jc w:val="center"/>
            </w:pPr>
            <w:r>
              <w:t>ед.</w:t>
            </w:r>
          </w:p>
        </w:tc>
        <w:tc>
          <w:tcPr>
            <w:tcW w:w="1984" w:type="dxa"/>
            <w:vAlign w:val="center"/>
          </w:tcPr>
          <w:p w14:paraId="5E823C17" w14:textId="77777777" w:rsidR="00454A29" w:rsidRDefault="00454A29">
            <w:pPr>
              <w:pStyle w:val="ConsPlusNormal"/>
              <w:jc w:val="center"/>
            </w:pPr>
            <w:r>
              <w:t>Минобрнауки РС(Я)</w:t>
            </w:r>
          </w:p>
        </w:tc>
        <w:tc>
          <w:tcPr>
            <w:tcW w:w="964" w:type="dxa"/>
            <w:vAlign w:val="center"/>
          </w:tcPr>
          <w:p w14:paraId="454823E2" w14:textId="77777777" w:rsidR="00454A29" w:rsidRDefault="00454A29">
            <w:pPr>
              <w:pStyle w:val="ConsPlusNormal"/>
              <w:jc w:val="center"/>
            </w:pPr>
            <w:r>
              <w:t>10</w:t>
            </w:r>
          </w:p>
        </w:tc>
        <w:tc>
          <w:tcPr>
            <w:tcW w:w="964" w:type="dxa"/>
            <w:vAlign w:val="center"/>
          </w:tcPr>
          <w:p w14:paraId="7B9573A8" w14:textId="77777777" w:rsidR="00454A29" w:rsidRDefault="00454A29">
            <w:pPr>
              <w:pStyle w:val="ConsPlusNormal"/>
              <w:jc w:val="center"/>
            </w:pPr>
            <w:r>
              <w:t>11</w:t>
            </w:r>
          </w:p>
        </w:tc>
        <w:tc>
          <w:tcPr>
            <w:tcW w:w="964" w:type="dxa"/>
            <w:vAlign w:val="center"/>
          </w:tcPr>
          <w:p w14:paraId="2F82FD14" w14:textId="77777777" w:rsidR="00454A29" w:rsidRDefault="00454A29">
            <w:pPr>
              <w:pStyle w:val="ConsPlusNormal"/>
              <w:jc w:val="center"/>
            </w:pPr>
            <w:r>
              <w:t>12</w:t>
            </w:r>
          </w:p>
        </w:tc>
        <w:tc>
          <w:tcPr>
            <w:tcW w:w="964" w:type="dxa"/>
            <w:vAlign w:val="center"/>
          </w:tcPr>
          <w:p w14:paraId="4F33A448" w14:textId="77777777" w:rsidR="00454A29" w:rsidRDefault="00454A29">
            <w:pPr>
              <w:pStyle w:val="ConsPlusNormal"/>
              <w:jc w:val="center"/>
            </w:pPr>
            <w:r>
              <w:t>13</w:t>
            </w:r>
          </w:p>
        </w:tc>
        <w:tc>
          <w:tcPr>
            <w:tcW w:w="964" w:type="dxa"/>
            <w:vAlign w:val="center"/>
          </w:tcPr>
          <w:p w14:paraId="0B324AF5" w14:textId="77777777" w:rsidR="00454A29" w:rsidRDefault="00454A29">
            <w:pPr>
              <w:pStyle w:val="ConsPlusNormal"/>
              <w:jc w:val="center"/>
            </w:pPr>
            <w:r>
              <w:t>14</w:t>
            </w:r>
          </w:p>
        </w:tc>
        <w:tc>
          <w:tcPr>
            <w:tcW w:w="964" w:type="dxa"/>
            <w:vAlign w:val="center"/>
          </w:tcPr>
          <w:p w14:paraId="23724297" w14:textId="77777777" w:rsidR="00454A29" w:rsidRDefault="00454A29">
            <w:pPr>
              <w:pStyle w:val="ConsPlusNormal"/>
              <w:jc w:val="center"/>
            </w:pPr>
            <w:r>
              <w:t>15</w:t>
            </w:r>
          </w:p>
        </w:tc>
        <w:tc>
          <w:tcPr>
            <w:tcW w:w="964" w:type="dxa"/>
            <w:vAlign w:val="center"/>
          </w:tcPr>
          <w:p w14:paraId="71716D6C" w14:textId="77777777" w:rsidR="00454A29" w:rsidRDefault="00454A29">
            <w:pPr>
              <w:pStyle w:val="ConsPlusNormal"/>
              <w:jc w:val="center"/>
            </w:pPr>
            <w:r>
              <w:t>16</w:t>
            </w:r>
          </w:p>
        </w:tc>
      </w:tr>
      <w:tr w:rsidR="00454A29" w14:paraId="775E0F47" w14:textId="77777777">
        <w:tc>
          <w:tcPr>
            <w:tcW w:w="13608" w:type="dxa"/>
            <w:gridSpan w:val="11"/>
            <w:vAlign w:val="center"/>
          </w:tcPr>
          <w:p w14:paraId="6D30774F" w14:textId="77777777" w:rsidR="00454A29" w:rsidRDefault="00454A29">
            <w:pPr>
              <w:pStyle w:val="ConsPlusNormal"/>
              <w:jc w:val="center"/>
            </w:pPr>
            <w:r>
              <w:t>Основное мероприятие 3.5. Подготовка квалифицированных кадров на условиях целевого обучения в российских и международных научно-образовательных центрах, передовых инновационных организациях</w:t>
            </w:r>
          </w:p>
        </w:tc>
      </w:tr>
      <w:tr w:rsidR="00454A29" w14:paraId="669F6F36" w14:textId="77777777">
        <w:tc>
          <w:tcPr>
            <w:tcW w:w="567" w:type="dxa"/>
            <w:vAlign w:val="center"/>
          </w:tcPr>
          <w:p w14:paraId="6E7D011D" w14:textId="77777777" w:rsidR="00454A29" w:rsidRDefault="00454A29">
            <w:pPr>
              <w:pStyle w:val="ConsPlusNormal"/>
              <w:jc w:val="center"/>
            </w:pPr>
            <w:r>
              <w:t>1</w:t>
            </w:r>
          </w:p>
        </w:tc>
        <w:tc>
          <w:tcPr>
            <w:tcW w:w="3005" w:type="dxa"/>
            <w:vAlign w:val="center"/>
          </w:tcPr>
          <w:p w14:paraId="4CA0AC25" w14:textId="77777777" w:rsidR="00454A29" w:rsidRDefault="00454A29">
            <w:pPr>
              <w:pStyle w:val="ConsPlusNormal"/>
            </w:pPr>
            <w:r>
              <w:t>Доля окончивших обучение от общего количества поступивших на условиях целевого обучения</w:t>
            </w:r>
          </w:p>
        </w:tc>
        <w:tc>
          <w:tcPr>
            <w:tcW w:w="1304" w:type="dxa"/>
            <w:vAlign w:val="center"/>
          </w:tcPr>
          <w:p w14:paraId="4AF8F5F6" w14:textId="77777777" w:rsidR="00454A29" w:rsidRDefault="00454A29">
            <w:pPr>
              <w:pStyle w:val="ConsPlusNormal"/>
              <w:jc w:val="center"/>
            </w:pPr>
            <w:r>
              <w:t>%</w:t>
            </w:r>
          </w:p>
        </w:tc>
        <w:tc>
          <w:tcPr>
            <w:tcW w:w="1984" w:type="dxa"/>
            <w:vAlign w:val="center"/>
          </w:tcPr>
          <w:p w14:paraId="4C00B522" w14:textId="77777777" w:rsidR="00454A29" w:rsidRDefault="00454A29">
            <w:pPr>
              <w:pStyle w:val="ConsPlusNormal"/>
              <w:jc w:val="center"/>
            </w:pPr>
            <w:r>
              <w:t>Минобрнауки РС(Я)</w:t>
            </w:r>
          </w:p>
        </w:tc>
        <w:tc>
          <w:tcPr>
            <w:tcW w:w="964" w:type="dxa"/>
            <w:vAlign w:val="center"/>
          </w:tcPr>
          <w:p w14:paraId="5231C03A" w14:textId="77777777" w:rsidR="00454A29" w:rsidRDefault="00454A29">
            <w:pPr>
              <w:pStyle w:val="ConsPlusNormal"/>
              <w:jc w:val="center"/>
            </w:pPr>
            <w:r>
              <w:t>67,6</w:t>
            </w:r>
          </w:p>
        </w:tc>
        <w:tc>
          <w:tcPr>
            <w:tcW w:w="964" w:type="dxa"/>
            <w:vAlign w:val="center"/>
          </w:tcPr>
          <w:p w14:paraId="59A859F8" w14:textId="77777777" w:rsidR="00454A29" w:rsidRDefault="00454A29">
            <w:pPr>
              <w:pStyle w:val="ConsPlusNormal"/>
              <w:jc w:val="center"/>
            </w:pPr>
            <w:r>
              <w:t>68,4</w:t>
            </w:r>
          </w:p>
        </w:tc>
        <w:tc>
          <w:tcPr>
            <w:tcW w:w="964" w:type="dxa"/>
            <w:vAlign w:val="center"/>
          </w:tcPr>
          <w:p w14:paraId="2A906453" w14:textId="77777777" w:rsidR="00454A29" w:rsidRDefault="00454A29">
            <w:pPr>
              <w:pStyle w:val="ConsPlusNormal"/>
              <w:jc w:val="center"/>
            </w:pPr>
            <w:r>
              <w:t>69,7</w:t>
            </w:r>
          </w:p>
        </w:tc>
        <w:tc>
          <w:tcPr>
            <w:tcW w:w="964" w:type="dxa"/>
            <w:vAlign w:val="center"/>
          </w:tcPr>
          <w:p w14:paraId="006586D8" w14:textId="77777777" w:rsidR="00454A29" w:rsidRDefault="00454A29">
            <w:pPr>
              <w:pStyle w:val="ConsPlusNormal"/>
              <w:jc w:val="center"/>
            </w:pPr>
            <w:r>
              <w:t>70</w:t>
            </w:r>
          </w:p>
        </w:tc>
        <w:tc>
          <w:tcPr>
            <w:tcW w:w="964" w:type="dxa"/>
            <w:vAlign w:val="center"/>
          </w:tcPr>
          <w:p w14:paraId="51F2B2E8" w14:textId="77777777" w:rsidR="00454A29" w:rsidRDefault="00454A29">
            <w:pPr>
              <w:pStyle w:val="ConsPlusNormal"/>
              <w:jc w:val="center"/>
            </w:pPr>
            <w:r>
              <w:t>70,8</w:t>
            </w:r>
          </w:p>
        </w:tc>
        <w:tc>
          <w:tcPr>
            <w:tcW w:w="964" w:type="dxa"/>
            <w:vAlign w:val="center"/>
          </w:tcPr>
          <w:p w14:paraId="66C64F17" w14:textId="77777777" w:rsidR="00454A29" w:rsidRDefault="00454A29">
            <w:pPr>
              <w:pStyle w:val="ConsPlusNormal"/>
              <w:jc w:val="center"/>
            </w:pPr>
            <w:r>
              <w:t>70,8</w:t>
            </w:r>
          </w:p>
        </w:tc>
        <w:tc>
          <w:tcPr>
            <w:tcW w:w="964" w:type="dxa"/>
            <w:vAlign w:val="center"/>
          </w:tcPr>
          <w:p w14:paraId="60D5014A" w14:textId="77777777" w:rsidR="00454A29" w:rsidRDefault="00454A29">
            <w:pPr>
              <w:pStyle w:val="ConsPlusNormal"/>
              <w:jc w:val="center"/>
            </w:pPr>
            <w:r>
              <w:t>70,8</w:t>
            </w:r>
          </w:p>
        </w:tc>
      </w:tr>
      <w:tr w:rsidR="00454A29" w14:paraId="2C440D41" w14:textId="77777777">
        <w:tc>
          <w:tcPr>
            <w:tcW w:w="13608" w:type="dxa"/>
            <w:gridSpan w:val="11"/>
            <w:vAlign w:val="center"/>
          </w:tcPr>
          <w:p w14:paraId="0D7A6A13" w14:textId="77777777" w:rsidR="00454A29" w:rsidRDefault="00454A29">
            <w:pPr>
              <w:pStyle w:val="ConsPlusNormal"/>
              <w:jc w:val="center"/>
            </w:pPr>
            <w:r>
              <w:t>Основное мероприятие 3.6. Реализация регионального проекта "Цифровая образовательная среда"</w:t>
            </w:r>
          </w:p>
        </w:tc>
      </w:tr>
      <w:tr w:rsidR="00454A29" w14:paraId="04E622FA" w14:textId="77777777">
        <w:tc>
          <w:tcPr>
            <w:tcW w:w="567" w:type="dxa"/>
            <w:vAlign w:val="center"/>
          </w:tcPr>
          <w:p w14:paraId="49BD52DA" w14:textId="77777777" w:rsidR="00454A29" w:rsidRDefault="00454A29">
            <w:pPr>
              <w:pStyle w:val="ConsPlusNormal"/>
              <w:jc w:val="center"/>
            </w:pPr>
            <w:r>
              <w:t>1</w:t>
            </w:r>
          </w:p>
        </w:tc>
        <w:tc>
          <w:tcPr>
            <w:tcW w:w="3005" w:type="dxa"/>
            <w:vAlign w:val="center"/>
          </w:tcPr>
          <w:p w14:paraId="7F203FAC" w14:textId="77777777" w:rsidR="00454A29" w:rsidRDefault="00454A29">
            <w:pPr>
              <w:pStyle w:val="ConsPlusNormal"/>
            </w:pPr>
            <w:r>
              <w:t xml:space="preserve">Доля муниципальных </w:t>
            </w:r>
            <w:r>
              <w:lastRenderedPageBreak/>
              <w:t>образований Республики Саха (Якутия),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304" w:type="dxa"/>
            <w:vAlign w:val="center"/>
          </w:tcPr>
          <w:p w14:paraId="13379875" w14:textId="77777777" w:rsidR="00454A29" w:rsidRDefault="00454A29">
            <w:pPr>
              <w:pStyle w:val="ConsPlusNormal"/>
              <w:jc w:val="center"/>
            </w:pPr>
            <w:r>
              <w:lastRenderedPageBreak/>
              <w:t>%</w:t>
            </w:r>
          </w:p>
        </w:tc>
        <w:tc>
          <w:tcPr>
            <w:tcW w:w="1984" w:type="dxa"/>
            <w:vAlign w:val="center"/>
          </w:tcPr>
          <w:p w14:paraId="56E0746E" w14:textId="77777777" w:rsidR="00454A29" w:rsidRDefault="00454A29">
            <w:pPr>
              <w:pStyle w:val="ConsPlusNormal"/>
              <w:jc w:val="center"/>
            </w:pPr>
            <w:r>
              <w:t xml:space="preserve">Минобрнауки </w:t>
            </w:r>
            <w:r>
              <w:lastRenderedPageBreak/>
              <w:t>РС(Я), Мининноваций РС(Я)</w:t>
            </w:r>
          </w:p>
        </w:tc>
        <w:tc>
          <w:tcPr>
            <w:tcW w:w="964" w:type="dxa"/>
            <w:vAlign w:val="center"/>
          </w:tcPr>
          <w:p w14:paraId="7BDF7513" w14:textId="77777777" w:rsidR="00454A29" w:rsidRDefault="00454A29">
            <w:pPr>
              <w:pStyle w:val="ConsPlusNormal"/>
              <w:jc w:val="center"/>
            </w:pPr>
            <w:r>
              <w:lastRenderedPageBreak/>
              <w:t>30</w:t>
            </w:r>
          </w:p>
        </w:tc>
        <w:tc>
          <w:tcPr>
            <w:tcW w:w="964" w:type="dxa"/>
            <w:vAlign w:val="center"/>
          </w:tcPr>
          <w:p w14:paraId="469B674B" w14:textId="77777777" w:rsidR="00454A29" w:rsidRDefault="00454A29">
            <w:pPr>
              <w:pStyle w:val="ConsPlusNormal"/>
              <w:jc w:val="center"/>
            </w:pPr>
            <w:r>
              <w:t>50</w:t>
            </w:r>
          </w:p>
        </w:tc>
        <w:tc>
          <w:tcPr>
            <w:tcW w:w="964" w:type="dxa"/>
            <w:vAlign w:val="center"/>
          </w:tcPr>
          <w:p w14:paraId="52D678CB" w14:textId="77777777" w:rsidR="00454A29" w:rsidRDefault="00454A29">
            <w:pPr>
              <w:pStyle w:val="ConsPlusNormal"/>
              <w:jc w:val="center"/>
            </w:pPr>
            <w:r>
              <w:t>70</w:t>
            </w:r>
          </w:p>
        </w:tc>
        <w:tc>
          <w:tcPr>
            <w:tcW w:w="964" w:type="dxa"/>
            <w:vAlign w:val="center"/>
          </w:tcPr>
          <w:p w14:paraId="08E4E7B4" w14:textId="77777777" w:rsidR="00454A29" w:rsidRDefault="00454A29">
            <w:pPr>
              <w:pStyle w:val="ConsPlusNormal"/>
              <w:jc w:val="center"/>
            </w:pPr>
            <w:r>
              <w:t>85</w:t>
            </w:r>
          </w:p>
        </w:tc>
        <w:tc>
          <w:tcPr>
            <w:tcW w:w="964" w:type="dxa"/>
            <w:vAlign w:val="center"/>
          </w:tcPr>
          <w:p w14:paraId="5099A3B4" w14:textId="77777777" w:rsidR="00454A29" w:rsidRDefault="00454A29">
            <w:pPr>
              <w:pStyle w:val="ConsPlusNormal"/>
              <w:jc w:val="center"/>
            </w:pPr>
            <w:r>
              <w:t>100</w:t>
            </w:r>
          </w:p>
        </w:tc>
        <w:tc>
          <w:tcPr>
            <w:tcW w:w="964" w:type="dxa"/>
            <w:vAlign w:val="center"/>
          </w:tcPr>
          <w:p w14:paraId="312A1CE3" w14:textId="77777777" w:rsidR="00454A29" w:rsidRDefault="00454A29">
            <w:pPr>
              <w:pStyle w:val="ConsPlusNormal"/>
              <w:jc w:val="center"/>
            </w:pPr>
            <w:r>
              <w:t>х</w:t>
            </w:r>
          </w:p>
        </w:tc>
        <w:tc>
          <w:tcPr>
            <w:tcW w:w="964" w:type="dxa"/>
            <w:vAlign w:val="center"/>
          </w:tcPr>
          <w:p w14:paraId="37A30AE7" w14:textId="77777777" w:rsidR="00454A29" w:rsidRDefault="00454A29">
            <w:pPr>
              <w:pStyle w:val="ConsPlusNormal"/>
              <w:jc w:val="center"/>
            </w:pPr>
            <w:r>
              <w:t>х</w:t>
            </w:r>
          </w:p>
        </w:tc>
      </w:tr>
      <w:tr w:rsidR="00454A29" w14:paraId="754A4D46" w14:textId="77777777">
        <w:tc>
          <w:tcPr>
            <w:tcW w:w="567" w:type="dxa"/>
            <w:vAlign w:val="center"/>
          </w:tcPr>
          <w:p w14:paraId="0BD8893F" w14:textId="77777777" w:rsidR="00454A29" w:rsidRDefault="00454A29">
            <w:pPr>
              <w:pStyle w:val="ConsPlusNormal"/>
              <w:jc w:val="center"/>
            </w:pPr>
            <w:r>
              <w:t>2</w:t>
            </w:r>
          </w:p>
        </w:tc>
        <w:tc>
          <w:tcPr>
            <w:tcW w:w="3005" w:type="dxa"/>
            <w:vAlign w:val="center"/>
          </w:tcPr>
          <w:p w14:paraId="0D15E0C0" w14:textId="77777777" w:rsidR="00454A29" w:rsidRDefault="00454A29">
            <w:pPr>
              <w:pStyle w:val="ConsPlusNormal"/>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304" w:type="dxa"/>
            <w:vAlign w:val="center"/>
          </w:tcPr>
          <w:p w14:paraId="1B5BD555" w14:textId="77777777" w:rsidR="00454A29" w:rsidRDefault="00454A29">
            <w:pPr>
              <w:pStyle w:val="ConsPlusNormal"/>
              <w:jc w:val="center"/>
            </w:pPr>
            <w:r>
              <w:t>%</w:t>
            </w:r>
          </w:p>
        </w:tc>
        <w:tc>
          <w:tcPr>
            <w:tcW w:w="1984" w:type="dxa"/>
            <w:vAlign w:val="center"/>
          </w:tcPr>
          <w:p w14:paraId="2D13DE78" w14:textId="77777777" w:rsidR="00454A29" w:rsidRDefault="00454A29">
            <w:pPr>
              <w:pStyle w:val="ConsPlusNormal"/>
              <w:jc w:val="center"/>
            </w:pPr>
            <w:r>
              <w:t>Минобрнауки РС(Я), Мининноваций РС(Я)</w:t>
            </w:r>
          </w:p>
        </w:tc>
        <w:tc>
          <w:tcPr>
            <w:tcW w:w="964" w:type="dxa"/>
            <w:vAlign w:val="center"/>
          </w:tcPr>
          <w:p w14:paraId="6E4A6B19" w14:textId="77777777" w:rsidR="00454A29" w:rsidRDefault="00454A29">
            <w:pPr>
              <w:pStyle w:val="ConsPlusNormal"/>
              <w:jc w:val="center"/>
            </w:pPr>
            <w:r>
              <w:t>15</w:t>
            </w:r>
          </w:p>
        </w:tc>
        <w:tc>
          <w:tcPr>
            <w:tcW w:w="964" w:type="dxa"/>
            <w:vAlign w:val="center"/>
          </w:tcPr>
          <w:p w14:paraId="37FB7F31" w14:textId="77777777" w:rsidR="00454A29" w:rsidRDefault="00454A29">
            <w:pPr>
              <w:pStyle w:val="ConsPlusNormal"/>
              <w:jc w:val="center"/>
            </w:pPr>
            <w:r>
              <w:t>30</w:t>
            </w:r>
          </w:p>
        </w:tc>
        <w:tc>
          <w:tcPr>
            <w:tcW w:w="964" w:type="dxa"/>
            <w:vAlign w:val="center"/>
          </w:tcPr>
          <w:p w14:paraId="464B3DDD" w14:textId="77777777" w:rsidR="00454A29" w:rsidRDefault="00454A29">
            <w:pPr>
              <w:pStyle w:val="ConsPlusNormal"/>
              <w:jc w:val="center"/>
            </w:pPr>
            <w:r>
              <w:t>50</w:t>
            </w:r>
          </w:p>
        </w:tc>
        <w:tc>
          <w:tcPr>
            <w:tcW w:w="964" w:type="dxa"/>
            <w:vAlign w:val="center"/>
          </w:tcPr>
          <w:p w14:paraId="4F911090" w14:textId="77777777" w:rsidR="00454A29" w:rsidRDefault="00454A29">
            <w:pPr>
              <w:pStyle w:val="ConsPlusNormal"/>
              <w:jc w:val="center"/>
            </w:pPr>
            <w:r>
              <w:t>80</w:t>
            </w:r>
          </w:p>
        </w:tc>
        <w:tc>
          <w:tcPr>
            <w:tcW w:w="964" w:type="dxa"/>
            <w:vAlign w:val="center"/>
          </w:tcPr>
          <w:p w14:paraId="0B3556E2" w14:textId="77777777" w:rsidR="00454A29" w:rsidRDefault="00454A29">
            <w:pPr>
              <w:pStyle w:val="ConsPlusNormal"/>
              <w:jc w:val="center"/>
            </w:pPr>
            <w:r>
              <w:t>90</w:t>
            </w:r>
          </w:p>
        </w:tc>
        <w:tc>
          <w:tcPr>
            <w:tcW w:w="964" w:type="dxa"/>
            <w:vAlign w:val="center"/>
          </w:tcPr>
          <w:p w14:paraId="1852C52A" w14:textId="77777777" w:rsidR="00454A29" w:rsidRDefault="00454A29">
            <w:pPr>
              <w:pStyle w:val="ConsPlusNormal"/>
              <w:jc w:val="center"/>
            </w:pPr>
            <w:r>
              <w:t>х</w:t>
            </w:r>
          </w:p>
        </w:tc>
        <w:tc>
          <w:tcPr>
            <w:tcW w:w="964" w:type="dxa"/>
            <w:vAlign w:val="center"/>
          </w:tcPr>
          <w:p w14:paraId="3A62A46A" w14:textId="77777777" w:rsidR="00454A29" w:rsidRDefault="00454A29">
            <w:pPr>
              <w:pStyle w:val="ConsPlusNormal"/>
              <w:jc w:val="center"/>
            </w:pPr>
            <w:r>
              <w:t>х</w:t>
            </w:r>
          </w:p>
        </w:tc>
      </w:tr>
      <w:tr w:rsidR="00454A29" w14:paraId="262C5A89" w14:textId="77777777">
        <w:tc>
          <w:tcPr>
            <w:tcW w:w="567" w:type="dxa"/>
            <w:vAlign w:val="center"/>
          </w:tcPr>
          <w:p w14:paraId="3E835D4F" w14:textId="77777777" w:rsidR="00454A29" w:rsidRDefault="00454A29">
            <w:pPr>
              <w:pStyle w:val="ConsPlusNormal"/>
              <w:jc w:val="center"/>
            </w:pPr>
            <w:r>
              <w:t>3</w:t>
            </w:r>
          </w:p>
        </w:tc>
        <w:tc>
          <w:tcPr>
            <w:tcW w:w="3005" w:type="dxa"/>
            <w:vAlign w:val="center"/>
          </w:tcPr>
          <w:p w14:paraId="509F624F" w14:textId="77777777" w:rsidR="00454A29" w:rsidRDefault="00454A29">
            <w:pPr>
              <w:pStyle w:val="ConsPlusNormal"/>
            </w:pPr>
            <w:r>
              <w:t xml:space="preserve">Доля обучающихся, по программам общего образования, дополнительного образования для детей и </w:t>
            </w:r>
            <w:r>
              <w:lastRenderedPageBreak/>
              <w:t>среднего профессионального образования, для которых на Едином портале государственных услуг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tc>
        <w:tc>
          <w:tcPr>
            <w:tcW w:w="1304" w:type="dxa"/>
            <w:vAlign w:val="center"/>
          </w:tcPr>
          <w:p w14:paraId="0D8B5CE6" w14:textId="77777777" w:rsidR="00454A29" w:rsidRDefault="00454A29">
            <w:pPr>
              <w:pStyle w:val="ConsPlusNormal"/>
              <w:jc w:val="center"/>
            </w:pPr>
            <w:r>
              <w:lastRenderedPageBreak/>
              <w:t>%</w:t>
            </w:r>
          </w:p>
        </w:tc>
        <w:tc>
          <w:tcPr>
            <w:tcW w:w="1984" w:type="dxa"/>
            <w:vAlign w:val="center"/>
          </w:tcPr>
          <w:p w14:paraId="3677A21F" w14:textId="77777777" w:rsidR="00454A29" w:rsidRDefault="00454A29">
            <w:pPr>
              <w:pStyle w:val="ConsPlusNormal"/>
              <w:jc w:val="center"/>
            </w:pPr>
            <w:r>
              <w:t>Минобрнауки РС(Я)</w:t>
            </w:r>
          </w:p>
        </w:tc>
        <w:tc>
          <w:tcPr>
            <w:tcW w:w="964" w:type="dxa"/>
            <w:vAlign w:val="center"/>
          </w:tcPr>
          <w:p w14:paraId="26934C71" w14:textId="77777777" w:rsidR="00454A29" w:rsidRDefault="00454A29">
            <w:pPr>
              <w:pStyle w:val="ConsPlusNormal"/>
              <w:jc w:val="center"/>
            </w:pPr>
            <w:r>
              <w:t>15</w:t>
            </w:r>
          </w:p>
        </w:tc>
        <w:tc>
          <w:tcPr>
            <w:tcW w:w="964" w:type="dxa"/>
            <w:vAlign w:val="center"/>
          </w:tcPr>
          <w:p w14:paraId="7BE841F8" w14:textId="77777777" w:rsidR="00454A29" w:rsidRDefault="00454A29">
            <w:pPr>
              <w:pStyle w:val="ConsPlusNormal"/>
              <w:jc w:val="center"/>
            </w:pPr>
            <w:r>
              <w:t>30</w:t>
            </w:r>
          </w:p>
        </w:tc>
        <w:tc>
          <w:tcPr>
            <w:tcW w:w="964" w:type="dxa"/>
            <w:vAlign w:val="center"/>
          </w:tcPr>
          <w:p w14:paraId="1837CCC5" w14:textId="77777777" w:rsidR="00454A29" w:rsidRDefault="00454A29">
            <w:pPr>
              <w:pStyle w:val="ConsPlusNormal"/>
              <w:jc w:val="center"/>
            </w:pPr>
            <w:r>
              <w:t>50</w:t>
            </w:r>
          </w:p>
        </w:tc>
        <w:tc>
          <w:tcPr>
            <w:tcW w:w="964" w:type="dxa"/>
            <w:vAlign w:val="center"/>
          </w:tcPr>
          <w:p w14:paraId="2FB756D7" w14:textId="77777777" w:rsidR="00454A29" w:rsidRDefault="00454A29">
            <w:pPr>
              <w:pStyle w:val="ConsPlusNormal"/>
              <w:jc w:val="center"/>
            </w:pPr>
            <w:r>
              <w:t>60</w:t>
            </w:r>
          </w:p>
        </w:tc>
        <w:tc>
          <w:tcPr>
            <w:tcW w:w="964" w:type="dxa"/>
            <w:vAlign w:val="center"/>
          </w:tcPr>
          <w:p w14:paraId="278B5591" w14:textId="77777777" w:rsidR="00454A29" w:rsidRDefault="00454A29">
            <w:pPr>
              <w:pStyle w:val="ConsPlusNormal"/>
              <w:jc w:val="center"/>
            </w:pPr>
            <w:r>
              <w:t>70</w:t>
            </w:r>
          </w:p>
        </w:tc>
        <w:tc>
          <w:tcPr>
            <w:tcW w:w="964" w:type="dxa"/>
            <w:vAlign w:val="center"/>
          </w:tcPr>
          <w:p w14:paraId="275E5EE3" w14:textId="77777777" w:rsidR="00454A29" w:rsidRDefault="00454A29">
            <w:pPr>
              <w:pStyle w:val="ConsPlusNormal"/>
              <w:jc w:val="center"/>
            </w:pPr>
            <w:r>
              <w:t>х</w:t>
            </w:r>
          </w:p>
        </w:tc>
        <w:tc>
          <w:tcPr>
            <w:tcW w:w="964" w:type="dxa"/>
            <w:vAlign w:val="center"/>
          </w:tcPr>
          <w:p w14:paraId="6A6B01AE" w14:textId="77777777" w:rsidR="00454A29" w:rsidRDefault="00454A29">
            <w:pPr>
              <w:pStyle w:val="ConsPlusNormal"/>
              <w:jc w:val="center"/>
            </w:pPr>
            <w:r>
              <w:t>х</w:t>
            </w:r>
          </w:p>
        </w:tc>
      </w:tr>
      <w:tr w:rsidR="00454A29" w14:paraId="68CC42F8" w14:textId="77777777">
        <w:tc>
          <w:tcPr>
            <w:tcW w:w="567" w:type="dxa"/>
            <w:vAlign w:val="center"/>
          </w:tcPr>
          <w:p w14:paraId="0E9A09F2" w14:textId="77777777" w:rsidR="00454A29" w:rsidRDefault="00454A29">
            <w:pPr>
              <w:pStyle w:val="ConsPlusNormal"/>
              <w:jc w:val="center"/>
            </w:pPr>
            <w:r>
              <w:t>4</w:t>
            </w:r>
          </w:p>
        </w:tc>
        <w:tc>
          <w:tcPr>
            <w:tcW w:w="3005" w:type="dxa"/>
            <w:vAlign w:val="center"/>
          </w:tcPr>
          <w:p w14:paraId="467C4A07" w14:textId="77777777" w:rsidR="00454A29" w:rsidRDefault="00454A29">
            <w:pPr>
              <w:pStyle w:val="ConsPlusNormal"/>
            </w:pPr>
            <w: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w:t>
            </w:r>
            <w:r>
              <w:lastRenderedPageBreak/>
              <w:t>информационно-сервисной платформы цифровой образовательной среды, в общем числе образовательных организаций</w:t>
            </w:r>
          </w:p>
        </w:tc>
        <w:tc>
          <w:tcPr>
            <w:tcW w:w="1304" w:type="dxa"/>
            <w:vAlign w:val="center"/>
          </w:tcPr>
          <w:p w14:paraId="2930C277" w14:textId="77777777" w:rsidR="00454A29" w:rsidRDefault="00454A29">
            <w:pPr>
              <w:pStyle w:val="ConsPlusNormal"/>
              <w:jc w:val="center"/>
            </w:pPr>
            <w:r>
              <w:lastRenderedPageBreak/>
              <w:t>%</w:t>
            </w:r>
          </w:p>
        </w:tc>
        <w:tc>
          <w:tcPr>
            <w:tcW w:w="1984" w:type="dxa"/>
            <w:vAlign w:val="center"/>
          </w:tcPr>
          <w:p w14:paraId="4EA1137D" w14:textId="77777777" w:rsidR="00454A29" w:rsidRDefault="00454A29">
            <w:pPr>
              <w:pStyle w:val="ConsPlusNormal"/>
              <w:jc w:val="center"/>
            </w:pPr>
            <w:r>
              <w:t>Минобрнауки РС(Я)</w:t>
            </w:r>
          </w:p>
        </w:tc>
        <w:tc>
          <w:tcPr>
            <w:tcW w:w="964" w:type="dxa"/>
            <w:vAlign w:val="center"/>
          </w:tcPr>
          <w:p w14:paraId="14758E76" w14:textId="77777777" w:rsidR="00454A29" w:rsidRDefault="00454A29">
            <w:pPr>
              <w:pStyle w:val="ConsPlusNormal"/>
              <w:jc w:val="center"/>
            </w:pPr>
            <w:r>
              <w:t>15</w:t>
            </w:r>
          </w:p>
        </w:tc>
        <w:tc>
          <w:tcPr>
            <w:tcW w:w="964" w:type="dxa"/>
            <w:vAlign w:val="center"/>
          </w:tcPr>
          <w:p w14:paraId="7CE6F57E" w14:textId="77777777" w:rsidR="00454A29" w:rsidRDefault="00454A29">
            <w:pPr>
              <w:pStyle w:val="ConsPlusNormal"/>
              <w:jc w:val="center"/>
            </w:pPr>
            <w:r>
              <w:t>40</w:t>
            </w:r>
          </w:p>
        </w:tc>
        <w:tc>
          <w:tcPr>
            <w:tcW w:w="964" w:type="dxa"/>
            <w:vAlign w:val="center"/>
          </w:tcPr>
          <w:p w14:paraId="4364DE8E" w14:textId="77777777" w:rsidR="00454A29" w:rsidRDefault="00454A29">
            <w:pPr>
              <w:pStyle w:val="ConsPlusNormal"/>
              <w:jc w:val="center"/>
            </w:pPr>
            <w:r>
              <w:t>60</w:t>
            </w:r>
          </w:p>
        </w:tc>
        <w:tc>
          <w:tcPr>
            <w:tcW w:w="964" w:type="dxa"/>
            <w:vAlign w:val="center"/>
          </w:tcPr>
          <w:p w14:paraId="0FBACA20" w14:textId="77777777" w:rsidR="00454A29" w:rsidRDefault="00454A29">
            <w:pPr>
              <w:pStyle w:val="ConsPlusNormal"/>
              <w:jc w:val="center"/>
            </w:pPr>
            <w:r>
              <w:t>85</w:t>
            </w:r>
          </w:p>
        </w:tc>
        <w:tc>
          <w:tcPr>
            <w:tcW w:w="964" w:type="dxa"/>
            <w:vAlign w:val="center"/>
          </w:tcPr>
          <w:p w14:paraId="0BE8ED9E" w14:textId="77777777" w:rsidR="00454A29" w:rsidRDefault="00454A29">
            <w:pPr>
              <w:pStyle w:val="ConsPlusNormal"/>
              <w:jc w:val="center"/>
            </w:pPr>
            <w:r>
              <w:t>95</w:t>
            </w:r>
          </w:p>
        </w:tc>
        <w:tc>
          <w:tcPr>
            <w:tcW w:w="964" w:type="dxa"/>
            <w:vAlign w:val="center"/>
          </w:tcPr>
          <w:p w14:paraId="01F07E86" w14:textId="77777777" w:rsidR="00454A29" w:rsidRDefault="00454A29">
            <w:pPr>
              <w:pStyle w:val="ConsPlusNormal"/>
              <w:jc w:val="center"/>
            </w:pPr>
            <w:r>
              <w:t>х</w:t>
            </w:r>
          </w:p>
        </w:tc>
        <w:tc>
          <w:tcPr>
            <w:tcW w:w="964" w:type="dxa"/>
            <w:vAlign w:val="center"/>
          </w:tcPr>
          <w:p w14:paraId="02329008" w14:textId="77777777" w:rsidR="00454A29" w:rsidRDefault="00454A29">
            <w:pPr>
              <w:pStyle w:val="ConsPlusNormal"/>
              <w:jc w:val="center"/>
            </w:pPr>
            <w:r>
              <w:t>х</w:t>
            </w:r>
          </w:p>
        </w:tc>
      </w:tr>
      <w:tr w:rsidR="00454A29" w14:paraId="1C48B3A7" w14:textId="77777777">
        <w:tc>
          <w:tcPr>
            <w:tcW w:w="567" w:type="dxa"/>
            <w:vAlign w:val="center"/>
          </w:tcPr>
          <w:p w14:paraId="7F32208B" w14:textId="77777777" w:rsidR="00454A29" w:rsidRDefault="00454A29">
            <w:pPr>
              <w:pStyle w:val="ConsPlusNormal"/>
              <w:jc w:val="center"/>
            </w:pPr>
            <w:r>
              <w:t>5</w:t>
            </w:r>
          </w:p>
        </w:tc>
        <w:tc>
          <w:tcPr>
            <w:tcW w:w="3005" w:type="dxa"/>
            <w:vAlign w:val="center"/>
          </w:tcPr>
          <w:p w14:paraId="411761BE" w14:textId="77777777" w:rsidR="00454A29" w:rsidRDefault="00454A29">
            <w:pPr>
              <w:pStyle w:val="ConsPlusNormal"/>
            </w:pPr>
            <w:r>
              <w:t>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w:t>
            </w:r>
          </w:p>
        </w:tc>
        <w:tc>
          <w:tcPr>
            <w:tcW w:w="1304" w:type="dxa"/>
            <w:vAlign w:val="center"/>
          </w:tcPr>
          <w:p w14:paraId="390D8992" w14:textId="77777777" w:rsidR="00454A29" w:rsidRDefault="00454A29">
            <w:pPr>
              <w:pStyle w:val="ConsPlusNormal"/>
              <w:jc w:val="center"/>
            </w:pPr>
            <w:r>
              <w:t>%</w:t>
            </w:r>
          </w:p>
        </w:tc>
        <w:tc>
          <w:tcPr>
            <w:tcW w:w="1984" w:type="dxa"/>
            <w:vAlign w:val="center"/>
          </w:tcPr>
          <w:p w14:paraId="57636DD2" w14:textId="77777777" w:rsidR="00454A29" w:rsidRDefault="00454A29">
            <w:pPr>
              <w:pStyle w:val="ConsPlusNormal"/>
              <w:jc w:val="center"/>
            </w:pPr>
            <w:r>
              <w:t>Минобрнауки РС(Я)</w:t>
            </w:r>
          </w:p>
        </w:tc>
        <w:tc>
          <w:tcPr>
            <w:tcW w:w="964" w:type="dxa"/>
            <w:vAlign w:val="center"/>
          </w:tcPr>
          <w:p w14:paraId="1C78EB95" w14:textId="77777777" w:rsidR="00454A29" w:rsidRDefault="00454A29">
            <w:pPr>
              <w:pStyle w:val="ConsPlusNormal"/>
              <w:jc w:val="center"/>
            </w:pPr>
            <w:r>
              <w:t>20</w:t>
            </w:r>
          </w:p>
        </w:tc>
        <w:tc>
          <w:tcPr>
            <w:tcW w:w="964" w:type="dxa"/>
            <w:vAlign w:val="center"/>
          </w:tcPr>
          <w:p w14:paraId="65F261E2" w14:textId="77777777" w:rsidR="00454A29" w:rsidRDefault="00454A29">
            <w:pPr>
              <w:pStyle w:val="ConsPlusNormal"/>
              <w:jc w:val="center"/>
            </w:pPr>
            <w:r>
              <w:t>50</w:t>
            </w:r>
          </w:p>
        </w:tc>
        <w:tc>
          <w:tcPr>
            <w:tcW w:w="964" w:type="dxa"/>
            <w:vAlign w:val="center"/>
          </w:tcPr>
          <w:p w14:paraId="1EA20221" w14:textId="77777777" w:rsidR="00454A29" w:rsidRDefault="00454A29">
            <w:pPr>
              <w:pStyle w:val="ConsPlusNormal"/>
              <w:jc w:val="center"/>
            </w:pPr>
            <w:r>
              <w:t>70</w:t>
            </w:r>
          </w:p>
        </w:tc>
        <w:tc>
          <w:tcPr>
            <w:tcW w:w="964" w:type="dxa"/>
            <w:vAlign w:val="center"/>
          </w:tcPr>
          <w:p w14:paraId="48387C76" w14:textId="77777777" w:rsidR="00454A29" w:rsidRDefault="00454A29">
            <w:pPr>
              <w:pStyle w:val="ConsPlusNormal"/>
              <w:jc w:val="center"/>
            </w:pPr>
            <w:r>
              <w:t>80</w:t>
            </w:r>
          </w:p>
        </w:tc>
        <w:tc>
          <w:tcPr>
            <w:tcW w:w="964" w:type="dxa"/>
            <w:vAlign w:val="center"/>
          </w:tcPr>
          <w:p w14:paraId="3A0B97DB" w14:textId="77777777" w:rsidR="00454A29" w:rsidRDefault="00454A29">
            <w:pPr>
              <w:pStyle w:val="ConsPlusNormal"/>
              <w:jc w:val="center"/>
            </w:pPr>
            <w:r>
              <w:t>90</w:t>
            </w:r>
          </w:p>
        </w:tc>
        <w:tc>
          <w:tcPr>
            <w:tcW w:w="964" w:type="dxa"/>
            <w:vAlign w:val="center"/>
          </w:tcPr>
          <w:p w14:paraId="69CD6FFE" w14:textId="77777777" w:rsidR="00454A29" w:rsidRDefault="00454A29">
            <w:pPr>
              <w:pStyle w:val="ConsPlusNormal"/>
              <w:jc w:val="center"/>
            </w:pPr>
            <w:r>
              <w:t>х</w:t>
            </w:r>
          </w:p>
        </w:tc>
        <w:tc>
          <w:tcPr>
            <w:tcW w:w="964" w:type="dxa"/>
            <w:vAlign w:val="center"/>
          </w:tcPr>
          <w:p w14:paraId="094E4F66" w14:textId="77777777" w:rsidR="00454A29" w:rsidRDefault="00454A29">
            <w:pPr>
              <w:pStyle w:val="ConsPlusNormal"/>
              <w:jc w:val="center"/>
            </w:pPr>
            <w:r>
              <w:t>х</w:t>
            </w:r>
          </w:p>
        </w:tc>
      </w:tr>
      <w:tr w:rsidR="00454A29" w14:paraId="3430BEE3" w14:textId="77777777">
        <w:tc>
          <w:tcPr>
            <w:tcW w:w="567" w:type="dxa"/>
            <w:vAlign w:val="center"/>
          </w:tcPr>
          <w:p w14:paraId="2C20DEF7" w14:textId="77777777" w:rsidR="00454A29" w:rsidRDefault="00454A29">
            <w:pPr>
              <w:pStyle w:val="ConsPlusNormal"/>
              <w:jc w:val="center"/>
            </w:pPr>
            <w:r>
              <w:t>6</w:t>
            </w:r>
          </w:p>
        </w:tc>
        <w:tc>
          <w:tcPr>
            <w:tcW w:w="3005" w:type="dxa"/>
            <w:vAlign w:val="center"/>
          </w:tcPr>
          <w:p w14:paraId="041686A5" w14:textId="77777777" w:rsidR="00454A29" w:rsidRDefault="00454A29">
            <w:pPr>
              <w:pStyle w:val="ConsPlusNormal"/>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304" w:type="dxa"/>
            <w:vAlign w:val="center"/>
          </w:tcPr>
          <w:p w14:paraId="6F382468" w14:textId="77777777" w:rsidR="00454A29" w:rsidRDefault="00454A29">
            <w:pPr>
              <w:pStyle w:val="ConsPlusNormal"/>
              <w:jc w:val="center"/>
            </w:pPr>
            <w:r>
              <w:t>%</w:t>
            </w:r>
          </w:p>
        </w:tc>
        <w:tc>
          <w:tcPr>
            <w:tcW w:w="1984" w:type="dxa"/>
            <w:vAlign w:val="center"/>
          </w:tcPr>
          <w:p w14:paraId="57D99A06" w14:textId="77777777" w:rsidR="00454A29" w:rsidRDefault="00454A29">
            <w:pPr>
              <w:pStyle w:val="ConsPlusNormal"/>
              <w:jc w:val="center"/>
            </w:pPr>
            <w:r>
              <w:t>Минобрнауки РС(Я)</w:t>
            </w:r>
          </w:p>
        </w:tc>
        <w:tc>
          <w:tcPr>
            <w:tcW w:w="964" w:type="dxa"/>
            <w:vAlign w:val="center"/>
          </w:tcPr>
          <w:p w14:paraId="51F6B5EA" w14:textId="77777777" w:rsidR="00454A29" w:rsidRDefault="00454A29">
            <w:pPr>
              <w:pStyle w:val="ConsPlusNormal"/>
              <w:jc w:val="center"/>
            </w:pPr>
            <w:r>
              <w:t>3</w:t>
            </w:r>
          </w:p>
        </w:tc>
        <w:tc>
          <w:tcPr>
            <w:tcW w:w="964" w:type="dxa"/>
            <w:vAlign w:val="center"/>
          </w:tcPr>
          <w:p w14:paraId="00ADB4C4" w14:textId="77777777" w:rsidR="00454A29" w:rsidRDefault="00454A29">
            <w:pPr>
              <w:pStyle w:val="ConsPlusNormal"/>
              <w:jc w:val="center"/>
            </w:pPr>
            <w:r>
              <w:t>5</w:t>
            </w:r>
          </w:p>
        </w:tc>
        <w:tc>
          <w:tcPr>
            <w:tcW w:w="964" w:type="dxa"/>
            <w:vAlign w:val="center"/>
          </w:tcPr>
          <w:p w14:paraId="22FC861E" w14:textId="77777777" w:rsidR="00454A29" w:rsidRDefault="00454A29">
            <w:pPr>
              <w:pStyle w:val="ConsPlusNormal"/>
              <w:jc w:val="center"/>
            </w:pPr>
            <w:r>
              <w:t>10</w:t>
            </w:r>
          </w:p>
        </w:tc>
        <w:tc>
          <w:tcPr>
            <w:tcW w:w="964" w:type="dxa"/>
            <w:vAlign w:val="center"/>
          </w:tcPr>
          <w:p w14:paraId="4CB1E83E" w14:textId="77777777" w:rsidR="00454A29" w:rsidRDefault="00454A29">
            <w:pPr>
              <w:pStyle w:val="ConsPlusNormal"/>
              <w:jc w:val="center"/>
            </w:pPr>
            <w:r>
              <w:t>15</w:t>
            </w:r>
          </w:p>
        </w:tc>
        <w:tc>
          <w:tcPr>
            <w:tcW w:w="964" w:type="dxa"/>
            <w:vAlign w:val="center"/>
          </w:tcPr>
          <w:p w14:paraId="60277278" w14:textId="77777777" w:rsidR="00454A29" w:rsidRDefault="00454A29">
            <w:pPr>
              <w:pStyle w:val="ConsPlusNormal"/>
              <w:jc w:val="center"/>
            </w:pPr>
            <w:r>
              <w:t>20</w:t>
            </w:r>
          </w:p>
        </w:tc>
        <w:tc>
          <w:tcPr>
            <w:tcW w:w="964" w:type="dxa"/>
            <w:vAlign w:val="center"/>
          </w:tcPr>
          <w:p w14:paraId="645F42F4" w14:textId="77777777" w:rsidR="00454A29" w:rsidRDefault="00454A29">
            <w:pPr>
              <w:pStyle w:val="ConsPlusNormal"/>
              <w:jc w:val="center"/>
            </w:pPr>
            <w:r>
              <w:t>х</w:t>
            </w:r>
          </w:p>
        </w:tc>
        <w:tc>
          <w:tcPr>
            <w:tcW w:w="964" w:type="dxa"/>
            <w:vAlign w:val="center"/>
          </w:tcPr>
          <w:p w14:paraId="359870EB" w14:textId="77777777" w:rsidR="00454A29" w:rsidRDefault="00454A29">
            <w:pPr>
              <w:pStyle w:val="ConsPlusNormal"/>
              <w:jc w:val="center"/>
            </w:pPr>
            <w:r>
              <w:t>х</w:t>
            </w:r>
          </w:p>
        </w:tc>
      </w:tr>
      <w:tr w:rsidR="00454A29" w14:paraId="43153182" w14:textId="77777777">
        <w:tc>
          <w:tcPr>
            <w:tcW w:w="567" w:type="dxa"/>
            <w:vAlign w:val="center"/>
          </w:tcPr>
          <w:p w14:paraId="4D17EA4C" w14:textId="77777777" w:rsidR="00454A29" w:rsidRDefault="00454A29">
            <w:pPr>
              <w:pStyle w:val="ConsPlusNormal"/>
              <w:jc w:val="center"/>
            </w:pPr>
            <w:r>
              <w:t>7</w:t>
            </w:r>
          </w:p>
        </w:tc>
        <w:tc>
          <w:tcPr>
            <w:tcW w:w="3005" w:type="dxa"/>
            <w:vAlign w:val="center"/>
          </w:tcPr>
          <w:p w14:paraId="29844BAA" w14:textId="77777777" w:rsidR="00454A29" w:rsidRDefault="00454A29">
            <w:pPr>
              <w:pStyle w:val="ConsPlusNormal"/>
            </w:pPr>
            <w:r>
              <w:t xml:space="preserve">Доля педагогических работников общего образования, прошедших повышение квалификации в </w:t>
            </w:r>
            <w:r>
              <w:lastRenderedPageBreak/>
              <w:t>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304" w:type="dxa"/>
            <w:vAlign w:val="center"/>
          </w:tcPr>
          <w:p w14:paraId="53577B5E" w14:textId="77777777" w:rsidR="00454A29" w:rsidRDefault="00454A29">
            <w:pPr>
              <w:pStyle w:val="ConsPlusNormal"/>
              <w:jc w:val="center"/>
            </w:pPr>
            <w:r>
              <w:lastRenderedPageBreak/>
              <w:t>%</w:t>
            </w:r>
          </w:p>
        </w:tc>
        <w:tc>
          <w:tcPr>
            <w:tcW w:w="1984" w:type="dxa"/>
            <w:vAlign w:val="center"/>
          </w:tcPr>
          <w:p w14:paraId="5E24B158" w14:textId="77777777" w:rsidR="00454A29" w:rsidRDefault="00454A29">
            <w:pPr>
              <w:pStyle w:val="ConsPlusNormal"/>
              <w:jc w:val="center"/>
            </w:pPr>
            <w:r>
              <w:t>Минобрнауки РС(Я)</w:t>
            </w:r>
          </w:p>
        </w:tc>
        <w:tc>
          <w:tcPr>
            <w:tcW w:w="964" w:type="dxa"/>
            <w:vAlign w:val="center"/>
          </w:tcPr>
          <w:p w14:paraId="40B461E6" w14:textId="77777777" w:rsidR="00454A29" w:rsidRDefault="00454A29">
            <w:pPr>
              <w:pStyle w:val="ConsPlusNormal"/>
              <w:jc w:val="center"/>
            </w:pPr>
            <w:r>
              <w:t>5</w:t>
            </w:r>
          </w:p>
        </w:tc>
        <w:tc>
          <w:tcPr>
            <w:tcW w:w="964" w:type="dxa"/>
            <w:vAlign w:val="center"/>
          </w:tcPr>
          <w:p w14:paraId="631C81BB" w14:textId="77777777" w:rsidR="00454A29" w:rsidRDefault="00454A29">
            <w:pPr>
              <w:pStyle w:val="ConsPlusNormal"/>
              <w:jc w:val="center"/>
            </w:pPr>
            <w:r>
              <w:t>10</w:t>
            </w:r>
          </w:p>
        </w:tc>
        <w:tc>
          <w:tcPr>
            <w:tcW w:w="964" w:type="dxa"/>
            <w:vAlign w:val="center"/>
          </w:tcPr>
          <w:p w14:paraId="57A9C038" w14:textId="77777777" w:rsidR="00454A29" w:rsidRDefault="00454A29">
            <w:pPr>
              <w:pStyle w:val="ConsPlusNormal"/>
              <w:jc w:val="center"/>
            </w:pPr>
            <w:r>
              <w:t>25</w:t>
            </w:r>
          </w:p>
        </w:tc>
        <w:tc>
          <w:tcPr>
            <w:tcW w:w="964" w:type="dxa"/>
            <w:vAlign w:val="center"/>
          </w:tcPr>
          <w:p w14:paraId="264003A8" w14:textId="77777777" w:rsidR="00454A29" w:rsidRDefault="00454A29">
            <w:pPr>
              <w:pStyle w:val="ConsPlusNormal"/>
              <w:jc w:val="center"/>
            </w:pPr>
            <w:r>
              <w:t>35</w:t>
            </w:r>
          </w:p>
        </w:tc>
        <w:tc>
          <w:tcPr>
            <w:tcW w:w="964" w:type="dxa"/>
            <w:vAlign w:val="center"/>
          </w:tcPr>
          <w:p w14:paraId="00D8F94F" w14:textId="77777777" w:rsidR="00454A29" w:rsidRDefault="00454A29">
            <w:pPr>
              <w:pStyle w:val="ConsPlusNormal"/>
              <w:jc w:val="center"/>
            </w:pPr>
            <w:r>
              <w:t>50</w:t>
            </w:r>
          </w:p>
        </w:tc>
        <w:tc>
          <w:tcPr>
            <w:tcW w:w="964" w:type="dxa"/>
            <w:vAlign w:val="center"/>
          </w:tcPr>
          <w:p w14:paraId="1EE104CC" w14:textId="77777777" w:rsidR="00454A29" w:rsidRDefault="00454A29">
            <w:pPr>
              <w:pStyle w:val="ConsPlusNormal"/>
              <w:jc w:val="center"/>
            </w:pPr>
            <w:r>
              <w:t>х</w:t>
            </w:r>
          </w:p>
        </w:tc>
        <w:tc>
          <w:tcPr>
            <w:tcW w:w="964" w:type="dxa"/>
            <w:vAlign w:val="center"/>
          </w:tcPr>
          <w:p w14:paraId="3981C952" w14:textId="77777777" w:rsidR="00454A29" w:rsidRDefault="00454A29">
            <w:pPr>
              <w:pStyle w:val="ConsPlusNormal"/>
              <w:jc w:val="center"/>
            </w:pPr>
            <w:r>
              <w:t>х</w:t>
            </w:r>
          </w:p>
        </w:tc>
      </w:tr>
      <w:tr w:rsidR="00454A29" w14:paraId="45B7B9D4" w14:textId="77777777">
        <w:tc>
          <w:tcPr>
            <w:tcW w:w="13608" w:type="dxa"/>
            <w:gridSpan w:val="11"/>
            <w:vAlign w:val="center"/>
          </w:tcPr>
          <w:p w14:paraId="1F191ACD" w14:textId="77777777" w:rsidR="00454A29" w:rsidRDefault="00454A29">
            <w:pPr>
              <w:pStyle w:val="ConsPlusNormal"/>
              <w:jc w:val="center"/>
            </w:pPr>
            <w:r>
              <w:t>Основное мероприятие 3.7.</w:t>
            </w:r>
          </w:p>
          <w:p w14:paraId="2125E465" w14:textId="77777777" w:rsidR="00454A29" w:rsidRDefault="00454A29">
            <w:pPr>
              <w:pStyle w:val="ConsPlusNormal"/>
              <w:jc w:val="center"/>
            </w:pPr>
            <w:r>
              <w:t>Реализация регионального проекта "Молодые профессионалы (Повышение конкурентоспособности профессионального образования)</w:t>
            </w:r>
          </w:p>
        </w:tc>
      </w:tr>
      <w:tr w:rsidR="00454A29" w14:paraId="2046FB56" w14:textId="77777777">
        <w:tc>
          <w:tcPr>
            <w:tcW w:w="567" w:type="dxa"/>
            <w:vAlign w:val="center"/>
          </w:tcPr>
          <w:p w14:paraId="3460CA44" w14:textId="77777777" w:rsidR="00454A29" w:rsidRDefault="00454A29">
            <w:pPr>
              <w:pStyle w:val="ConsPlusNormal"/>
              <w:jc w:val="center"/>
            </w:pPr>
            <w:r>
              <w:t>1</w:t>
            </w:r>
          </w:p>
        </w:tc>
        <w:tc>
          <w:tcPr>
            <w:tcW w:w="3005" w:type="dxa"/>
            <w:vAlign w:val="center"/>
          </w:tcPr>
          <w:p w14:paraId="003C5ACA" w14:textId="77777777" w:rsidR="00454A29" w:rsidRDefault="00454A29">
            <w:pPr>
              <w:pStyle w:val="ConsPlusNormal"/>
            </w:pPr>
            <w:r>
              <w:t>Число центров опережающей профессиональной подготовки накопительным итогом</w:t>
            </w:r>
          </w:p>
        </w:tc>
        <w:tc>
          <w:tcPr>
            <w:tcW w:w="1304" w:type="dxa"/>
            <w:vAlign w:val="center"/>
          </w:tcPr>
          <w:p w14:paraId="2673A0D2" w14:textId="77777777" w:rsidR="00454A29" w:rsidRDefault="00454A29">
            <w:pPr>
              <w:pStyle w:val="ConsPlusNormal"/>
              <w:jc w:val="center"/>
            </w:pPr>
            <w:r>
              <w:t>ед.</w:t>
            </w:r>
          </w:p>
        </w:tc>
        <w:tc>
          <w:tcPr>
            <w:tcW w:w="1984" w:type="dxa"/>
            <w:vAlign w:val="center"/>
          </w:tcPr>
          <w:p w14:paraId="3CED5CED" w14:textId="77777777" w:rsidR="00454A29" w:rsidRDefault="00454A29">
            <w:pPr>
              <w:pStyle w:val="ConsPlusNormal"/>
              <w:jc w:val="center"/>
            </w:pPr>
            <w:r>
              <w:t>Минобрнауки РС(Я)</w:t>
            </w:r>
          </w:p>
        </w:tc>
        <w:tc>
          <w:tcPr>
            <w:tcW w:w="964" w:type="dxa"/>
            <w:vAlign w:val="center"/>
          </w:tcPr>
          <w:p w14:paraId="7912C0A4" w14:textId="77777777" w:rsidR="00454A29" w:rsidRDefault="00454A29">
            <w:pPr>
              <w:pStyle w:val="ConsPlusNormal"/>
              <w:jc w:val="center"/>
            </w:pPr>
            <w:r>
              <w:t>1</w:t>
            </w:r>
          </w:p>
        </w:tc>
        <w:tc>
          <w:tcPr>
            <w:tcW w:w="964" w:type="dxa"/>
            <w:vAlign w:val="center"/>
          </w:tcPr>
          <w:p w14:paraId="5F755DE5" w14:textId="77777777" w:rsidR="00454A29" w:rsidRDefault="00454A29">
            <w:pPr>
              <w:pStyle w:val="ConsPlusNormal"/>
              <w:jc w:val="center"/>
            </w:pPr>
            <w:r>
              <w:t>1</w:t>
            </w:r>
          </w:p>
        </w:tc>
        <w:tc>
          <w:tcPr>
            <w:tcW w:w="964" w:type="dxa"/>
            <w:vAlign w:val="center"/>
          </w:tcPr>
          <w:p w14:paraId="34A00005" w14:textId="77777777" w:rsidR="00454A29" w:rsidRDefault="00454A29">
            <w:pPr>
              <w:pStyle w:val="ConsPlusNormal"/>
              <w:jc w:val="center"/>
            </w:pPr>
            <w:r>
              <w:t>1</w:t>
            </w:r>
          </w:p>
        </w:tc>
        <w:tc>
          <w:tcPr>
            <w:tcW w:w="964" w:type="dxa"/>
            <w:vAlign w:val="center"/>
          </w:tcPr>
          <w:p w14:paraId="792D93E2" w14:textId="77777777" w:rsidR="00454A29" w:rsidRDefault="00454A29">
            <w:pPr>
              <w:pStyle w:val="ConsPlusNormal"/>
              <w:jc w:val="center"/>
            </w:pPr>
            <w:r>
              <w:t>1</w:t>
            </w:r>
          </w:p>
        </w:tc>
        <w:tc>
          <w:tcPr>
            <w:tcW w:w="964" w:type="dxa"/>
            <w:vAlign w:val="center"/>
          </w:tcPr>
          <w:p w14:paraId="648F3DA9" w14:textId="77777777" w:rsidR="00454A29" w:rsidRDefault="00454A29">
            <w:pPr>
              <w:pStyle w:val="ConsPlusNormal"/>
              <w:jc w:val="center"/>
            </w:pPr>
            <w:r>
              <w:t>1</w:t>
            </w:r>
          </w:p>
        </w:tc>
        <w:tc>
          <w:tcPr>
            <w:tcW w:w="964" w:type="dxa"/>
            <w:vAlign w:val="center"/>
          </w:tcPr>
          <w:p w14:paraId="663D6046" w14:textId="77777777" w:rsidR="00454A29" w:rsidRDefault="00454A29">
            <w:pPr>
              <w:pStyle w:val="ConsPlusNormal"/>
              <w:jc w:val="center"/>
            </w:pPr>
            <w:r>
              <w:t>x</w:t>
            </w:r>
          </w:p>
        </w:tc>
        <w:tc>
          <w:tcPr>
            <w:tcW w:w="964" w:type="dxa"/>
            <w:vAlign w:val="center"/>
          </w:tcPr>
          <w:p w14:paraId="5BA33C23" w14:textId="77777777" w:rsidR="00454A29" w:rsidRDefault="00454A29">
            <w:pPr>
              <w:pStyle w:val="ConsPlusNormal"/>
              <w:jc w:val="center"/>
            </w:pPr>
            <w:r>
              <w:t>x</w:t>
            </w:r>
          </w:p>
        </w:tc>
      </w:tr>
      <w:tr w:rsidR="00454A29" w14:paraId="69A822C4" w14:textId="77777777">
        <w:tc>
          <w:tcPr>
            <w:tcW w:w="567" w:type="dxa"/>
            <w:vAlign w:val="center"/>
          </w:tcPr>
          <w:p w14:paraId="5E24C5F1" w14:textId="77777777" w:rsidR="00454A29" w:rsidRDefault="00454A29">
            <w:pPr>
              <w:pStyle w:val="ConsPlusNormal"/>
              <w:jc w:val="center"/>
            </w:pPr>
            <w:r>
              <w:t>2</w:t>
            </w:r>
          </w:p>
        </w:tc>
        <w:tc>
          <w:tcPr>
            <w:tcW w:w="3005" w:type="dxa"/>
            <w:vAlign w:val="center"/>
          </w:tcPr>
          <w:p w14:paraId="43CA9521" w14:textId="77777777" w:rsidR="00454A29" w:rsidRDefault="00454A29">
            <w:pPr>
              <w:pStyle w:val="ConsPlusNormal"/>
            </w:pPr>
            <w:r>
              <w:t>Число мастерских, оснащенных современной материально-технической базой по одной из компетенций накопительным итогом</w:t>
            </w:r>
          </w:p>
        </w:tc>
        <w:tc>
          <w:tcPr>
            <w:tcW w:w="1304" w:type="dxa"/>
            <w:vAlign w:val="center"/>
          </w:tcPr>
          <w:p w14:paraId="4DC7E004" w14:textId="77777777" w:rsidR="00454A29" w:rsidRDefault="00454A29">
            <w:pPr>
              <w:pStyle w:val="ConsPlusNormal"/>
              <w:jc w:val="center"/>
            </w:pPr>
            <w:r>
              <w:t>ед.</w:t>
            </w:r>
          </w:p>
        </w:tc>
        <w:tc>
          <w:tcPr>
            <w:tcW w:w="1984" w:type="dxa"/>
            <w:vAlign w:val="center"/>
          </w:tcPr>
          <w:p w14:paraId="07E9C8CE" w14:textId="77777777" w:rsidR="00454A29" w:rsidRDefault="00454A29">
            <w:pPr>
              <w:pStyle w:val="ConsPlusNormal"/>
              <w:jc w:val="center"/>
            </w:pPr>
            <w:r>
              <w:t>Минобрнауки РС(Я)</w:t>
            </w:r>
          </w:p>
        </w:tc>
        <w:tc>
          <w:tcPr>
            <w:tcW w:w="964" w:type="dxa"/>
            <w:vAlign w:val="center"/>
          </w:tcPr>
          <w:p w14:paraId="2EC94806" w14:textId="77777777" w:rsidR="00454A29" w:rsidRDefault="00454A29">
            <w:pPr>
              <w:pStyle w:val="ConsPlusNormal"/>
              <w:jc w:val="center"/>
            </w:pPr>
            <w:r>
              <w:t>15</w:t>
            </w:r>
          </w:p>
        </w:tc>
        <w:tc>
          <w:tcPr>
            <w:tcW w:w="964" w:type="dxa"/>
            <w:vAlign w:val="center"/>
          </w:tcPr>
          <w:p w14:paraId="7ADCE910" w14:textId="77777777" w:rsidR="00454A29" w:rsidRDefault="00454A29">
            <w:pPr>
              <w:pStyle w:val="ConsPlusNormal"/>
              <w:jc w:val="center"/>
            </w:pPr>
            <w:r>
              <w:t>20</w:t>
            </w:r>
          </w:p>
        </w:tc>
        <w:tc>
          <w:tcPr>
            <w:tcW w:w="964" w:type="dxa"/>
            <w:vAlign w:val="center"/>
          </w:tcPr>
          <w:p w14:paraId="07E617AE" w14:textId="77777777" w:rsidR="00454A29" w:rsidRDefault="00454A29">
            <w:pPr>
              <w:pStyle w:val="ConsPlusNormal"/>
              <w:jc w:val="center"/>
            </w:pPr>
            <w:r>
              <w:t>30</w:t>
            </w:r>
          </w:p>
        </w:tc>
        <w:tc>
          <w:tcPr>
            <w:tcW w:w="964" w:type="dxa"/>
            <w:vAlign w:val="center"/>
          </w:tcPr>
          <w:p w14:paraId="21273445" w14:textId="77777777" w:rsidR="00454A29" w:rsidRDefault="00454A29">
            <w:pPr>
              <w:pStyle w:val="ConsPlusNormal"/>
              <w:jc w:val="center"/>
            </w:pPr>
            <w:r>
              <w:t>40</w:t>
            </w:r>
          </w:p>
        </w:tc>
        <w:tc>
          <w:tcPr>
            <w:tcW w:w="964" w:type="dxa"/>
            <w:vAlign w:val="center"/>
          </w:tcPr>
          <w:p w14:paraId="780D0E89" w14:textId="77777777" w:rsidR="00454A29" w:rsidRDefault="00454A29">
            <w:pPr>
              <w:pStyle w:val="ConsPlusNormal"/>
              <w:jc w:val="center"/>
            </w:pPr>
            <w:r>
              <w:t>50</w:t>
            </w:r>
          </w:p>
        </w:tc>
        <w:tc>
          <w:tcPr>
            <w:tcW w:w="964" w:type="dxa"/>
            <w:vAlign w:val="center"/>
          </w:tcPr>
          <w:p w14:paraId="27F384F3" w14:textId="77777777" w:rsidR="00454A29" w:rsidRDefault="00454A29">
            <w:pPr>
              <w:pStyle w:val="ConsPlusNormal"/>
              <w:jc w:val="center"/>
            </w:pPr>
            <w:r>
              <w:t>x</w:t>
            </w:r>
          </w:p>
        </w:tc>
        <w:tc>
          <w:tcPr>
            <w:tcW w:w="964" w:type="dxa"/>
            <w:vAlign w:val="center"/>
          </w:tcPr>
          <w:p w14:paraId="44401666" w14:textId="77777777" w:rsidR="00454A29" w:rsidRDefault="00454A29">
            <w:pPr>
              <w:pStyle w:val="ConsPlusNormal"/>
              <w:jc w:val="center"/>
            </w:pPr>
            <w:r>
              <w:t>x</w:t>
            </w:r>
          </w:p>
        </w:tc>
      </w:tr>
      <w:tr w:rsidR="00454A29" w14:paraId="52DF851D" w14:textId="77777777">
        <w:tc>
          <w:tcPr>
            <w:tcW w:w="567" w:type="dxa"/>
            <w:vAlign w:val="center"/>
          </w:tcPr>
          <w:p w14:paraId="724A9FA1" w14:textId="77777777" w:rsidR="00454A29" w:rsidRDefault="00454A29">
            <w:pPr>
              <w:pStyle w:val="ConsPlusNormal"/>
              <w:jc w:val="center"/>
            </w:pPr>
            <w:r>
              <w:t>3</w:t>
            </w:r>
          </w:p>
        </w:tc>
        <w:tc>
          <w:tcPr>
            <w:tcW w:w="3005" w:type="dxa"/>
            <w:vAlign w:val="center"/>
          </w:tcPr>
          <w:p w14:paraId="33DAC8F1" w14:textId="77777777" w:rsidR="00454A29" w:rsidRDefault="00454A29">
            <w:pPr>
              <w:pStyle w:val="ConsPlusNormal"/>
            </w:pPr>
            <w: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w:t>
            </w:r>
            <w:r>
              <w:lastRenderedPageBreak/>
              <w:t>аттестация в которых проводится в форме демонстрационного экзамена</w:t>
            </w:r>
          </w:p>
        </w:tc>
        <w:tc>
          <w:tcPr>
            <w:tcW w:w="1304" w:type="dxa"/>
            <w:vAlign w:val="center"/>
          </w:tcPr>
          <w:p w14:paraId="6B5B9D4A" w14:textId="77777777" w:rsidR="00454A29" w:rsidRDefault="00454A29">
            <w:pPr>
              <w:pStyle w:val="ConsPlusNormal"/>
              <w:jc w:val="center"/>
            </w:pPr>
            <w:r>
              <w:lastRenderedPageBreak/>
              <w:t>%</w:t>
            </w:r>
          </w:p>
        </w:tc>
        <w:tc>
          <w:tcPr>
            <w:tcW w:w="1984" w:type="dxa"/>
            <w:vAlign w:val="center"/>
          </w:tcPr>
          <w:p w14:paraId="34AE149F" w14:textId="77777777" w:rsidR="00454A29" w:rsidRDefault="00454A29">
            <w:pPr>
              <w:pStyle w:val="ConsPlusNormal"/>
              <w:jc w:val="center"/>
            </w:pPr>
            <w:r>
              <w:t>Минобрнауки РС(Я)</w:t>
            </w:r>
          </w:p>
        </w:tc>
        <w:tc>
          <w:tcPr>
            <w:tcW w:w="964" w:type="dxa"/>
            <w:vAlign w:val="center"/>
          </w:tcPr>
          <w:p w14:paraId="1559F19B" w14:textId="77777777" w:rsidR="00454A29" w:rsidRDefault="00454A29">
            <w:pPr>
              <w:pStyle w:val="ConsPlusNormal"/>
              <w:jc w:val="center"/>
            </w:pPr>
            <w:r>
              <w:t>30</w:t>
            </w:r>
          </w:p>
        </w:tc>
        <w:tc>
          <w:tcPr>
            <w:tcW w:w="964" w:type="dxa"/>
            <w:vAlign w:val="center"/>
          </w:tcPr>
          <w:p w14:paraId="3696729E" w14:textId="77777777" w:rsidR="00454A29" w:rsidRDefault="00454A29">
            <w:pPr>
              <w:pStyle w:val="ConsPlusNormal"/>
              <w:jc w:val="center"/>
            </w:pPr>
            <w:r>
              <w:t>35</w:t>
            </w:r>
          </w:p>
        </w:tc>
        <w:tc>
          <w:tcPr>
            <w:tcW w:w="964" w:type="dxa"/>
            <w:vAlign w:val="center"/>
          </w:tcPr>
          <w:p w14:paraId="44B7F0CA" w14:textId="77777777" w:rsidR="00454A29" w:rsidRDefault="00454A29">
            <w:pPr>
              <w:pStyle w:val="ConsPlusNormal"/>
              <w:jc w:val="center"/>
            </w:pPr>
            <w:r>
              <w:t>40</w:t>
            </w:r>
          </w:p>
        </w:tc>
        <w:tc>
          <w:tcPr>
            <w:tcW w:w="964" w:type="dxa"/>
            <w:vAlign w:val="center"/>
          </w:tcPr>
          <w:p w14:paraId="5F9D439B" w14:textId="77777777" w:rsidR="00454A29" w:rsidRDefault="00454A29">
            <w:pPr>
              <w:pStyle w:val="ConsPlusNormal"/>
              <w:jc w:val="center"/>
            </w:pPr>
            <w:r>
              <w:t>45</w:t>
            </w:r>
          </w:p>
        </w:tc>
        <w:tc>
          <w:tcPr>
            <w:tcW w:w="964" w:type="dxa"/>
            <w:vAlign w:val="center"/>
          </w:tcPr>
          <w:p w14:paraId="2F37836D" w14:textId="77777777" w:rsidR="00454A29" w:rsidRDefault="00454A29">
            <w:pPr>
              <w:pStyle w:val="ConsPlusNormal"/>
              <w:jc w:val="center"/>
            </w:pPr>
            <w:r>
              <w:t>50</w:t>
            </w:r>
          </w:p>
        </w:tc>
        <w:tc>
          <w:tcPr>
            <w:tcW w:w="964" w:type="dxa"/>
            <w:vAlign w:val="center"/>
          </w:tcPr>
          <w:p w14:paraId="7FB9B892" w14:textId="77777777" w:rsidR="00454A29" w:rsidRDefault="00454A29">
            <w:pPr>
              <w:pStyle w:val="ConsPlusNormal"/>
              <w:jc w:val="center"/>
            </w:pPr>
            <w:r>
              <w:t>x</w:t>
            </w:r>
          </w:p>
        </w:tc>
        <w:tc>
          <w:tcPr>
            <w:tcW w:w="964" w:type="dxa"/>
            <w:vAlign w:val="center"/>
          </w:tcPr>
          <w:p w14:paraId="12EAC04A" w14:textId="77777777" w:rsidR="00454A29" w:rsidRDefault="00454A29">
            <w:pPr>
              <w:pStyle w:val="ConsPlusNormal"/>
              <w:jc w:val="center"/>
            </w:pPr>
            <w:r>
              <w:t>x</w:t>
            </w:r>
          </w:p>
        </w:tc>
      </w:tr>
      <w:tr w:rsidR="00454A29" w14:paraId="596B1B9D" w14:textId="77777777">
        <w:tc>
          <w:tcPr>
            <w:tcW w:w="567" w:type="dxa"/>
            <w:vAlign w:val="center"/>
          </w:tcPr>
          <w:p w14:paraId="64028625" w14:textId="77777777" w:rsidR="00454A29" w:rsidRDefault="00454A29">
            <w:pPr>
              <w:pStyle w:val="ConsPlusNormal"/>
              <w:jc w:val="center"/>
            </w:pPr>
            <w:r>
              <w:t>4</w:t>
            </w:r>
          </w:p>
        </w:tc>
        <w:tc>
          <w:tcPr>
            <w:tcW w:w="3005" w:type="dxa"/>
            <w:vAlign w:val="center"/>
          </w:tcPr>
          <w:p w14:paraId="4FE126C3" w14:textId="77777777" w:rsidR="00454A29" w:rsidRDefault="00454A29">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304" w:type="dxa"/>
            <w:vAlign w:val="center"/>
          </w:tcPr>
          <w:p w14:paraId="0B98E135" w14:textId="77777777" w:rsidR="00454A29" w:rsidRDefault="00454A29">
            <w:pPr>
              <w:pStyle w:val="ConsPlusNormal"/>
              <w:jc w:val="center"/>
            </w:pPr>
            <w:r>
              <w:t>%</w:t>
            </w:r>
          </w:p>
        </w:tc>
        <w:tc>
          <w:tcPr>
            <w:tcW w:w="1984" w:type="dxa"/>
            <w:vAlign w:val="center"/>
          </w:tcPr>
          <w:p w14:paraId="030463FB" w14:textId="77777777" w:rsidR="00454A29" w:rsidRDefault="00454A29">
            <w:pPr>
              <w:pStyle w:val="ConsPlusNormal"/>
              <w:jc w:val="center"/>
            </w:pPr>
            <w:r>
              <w:t>Минобрнауки РС(Я)</w:t>
            </w:r>
          </w:p>
        </w:tc>
        <w:tc>
          <w:tcPr>
            <w:tcW w:w="964" w:type="dxa"/>
            <w:vAlign w:val="center"/>
          </w:tcPr>
          <w:p w14:paraId="5A7C50B9" w14:textId="77777777" w:rsidR="00454A29" w:rsidRDefault="00454A29">
            <w:pPr>
              <w:pStyle w:val="ConsPlusNormal"/>
              <w:jc w:val="center"/>
            </w:pPr>
            <w:r>
              <w:t>6</w:t>
            </w:r>
          </w:p>
        </w:tc>
        <w:tc>
          <w:tcPr>
            <w:tcW w:w="964" w:type="dxa"/>
            <w:vAlign w:val="center"/>
          </w:tcPr>
          <w:p w14:paraId="6E31C06B" w14:textId="77777777" w:rsidR="00454A29" w:rsidRDefault="00454A29">
            <w:pPr>
              <w:pStyle w:val="ConsPlusNormal"/>
              <w:jc w:val="center"/>
            </w:pPr>
            <w:r>
              <w:t>8</w:t>
            </w:r>
          </w:p>
        </w:tc>
        <w:tc>
          <w:tcPr>
            <w:tcW w:w="964" w:type="dxa"/>
            <w:vAlign w:val="center"/>
          </w:tcPr>
          <w:p w14:paraId="05AFB958" w14:textId="77777777" w:rsidR="00454A29" w:rsidRDefault="00454A29">
            <w:pPr>
              <w:pStyle w:val="ConsPlusNormal"/>
              <w:jc w:val="center"/>
            </w:pPr>
            <w:r>
              <w:t>13</w:t>
            </w:r>
          </w:p>
        </w:tc>
        <w:tc>
          <w:tcPr>
            <w:tcW w:w="964" w:type="dxa"/>
            <w:vAlign w:val="center"/>
          </w:tcPr>
          <w:p w14:paraId="41660ACF" w14:textId="77777777" w:rsidR="00454A29" w:rsidRDefault="00454A29">
            <w:pPr>
              <w:pStyle w:val="ConsPlusNormal"/>
              <w:jc w:val="center"/>
            </w:pPr>
            <w:r>
              <w:t>18</w:t>
            </w:r>
          </w:p>
        </w:tc>
        <w:tc>
          <w:tcPr>
            <w:tcW w:w="964" w:type="dxa"/>
            <w:vAlign w:val="center"/>
          </w:tcPr>
          <w:p w14:paraId="02B976A1" w14:textId="77777777" w:rsidR="00454A29" w:rsidRDefault="00454A29">
            <w:pPr>
              <w:pStyle w:val="ConsPlusNormal"/>
              <w:jc w:val="center"/>
            </w:pPr>
            <w:r>
              <w:t>25</w:t>
            </w:r>
          </w:p>
        </w:tc>
        <w:tc>
          <w:tcPr>
            <w:tcW w:w="964" w:type="dxa"/>
            <w:vAlign w:val="center"/>
          </w:tcPr>
          <w:p w14:paraId="2008A049" w14:textId="77777777" w:rsidR="00454A29" w:rsidRDefault="00454A29">
            <w:pPr>
              <w:pStyle w:val="ConsPlusNormal"/>
              <w:jc w:val="center"/>
            </w:pPr>
            <w:r>
              <w:t>x</w:t>
            </w:r>
          </w:p>
        </w:tc>
        <w:tc>
          <w:tcPr>
            <w:tcW w:w="964" w:type="dxa"/>
            <w:vAlign w:val="center"/>
          </w:tcPr>
          <w:p w14:paraId="05F9C0EE" w14:textId="77777777" w:rsidR="00454A29" w:rsidRDefault="00454A29">
            <w:pPr>
              <w:pStyle w:val="ConsPlusNormal"/>
              <w:jc w:val="center"/>
            </w:pPr>
            <w:r>
              <w:t>x</w:t>
            </w:r>
          </w:p>
        </w:tc>
      </w:tr>
      <w:tr w:rsidR="00454A29" w14:paraId="4B3A9B27" w14:textId="77777777">
        <w:tc>
          <w:tcPr>
            <w:tcW w:w="13608" w:type="dxa"/>
            <w:gridSpan w:val="11"/>
            <w:vAlign w:val="center"/>
          </w:tcPr>
          <w:p w14:paraId="7D0F35DD" w14:textId="77777777" w:rsidR="00454A29" w:rsidRDefault="00454A29">
            <w:pPr>
              <w:pStyle w:val="ConsPlusNormal"/>
              <w:jc w:val="center"/>
            </w:pPr>
            <w:r>
              <w:t>Основное мероприятие 3.8.</w:t>
            </w:r>
          </w:p>
          <w:p w14:paraId="4B926BB3" w14:textId="77777777" w:rsidR="00454A29" w:rsidRDefault="00454A29">
            <w:pPr>
              <w:pStyle w:val="ConsPlusNormal"/>
              <w:jc w:val="center"/>
            </w:pPr>
            <w:r>
              <w:t>Реализация регионального проекта "Социальные лифты для каждого"</w:t>
            </w:r>
          </w:p>
        </w:tc>
      </w:tr>
      <w:tr w:rsidR="00454A29" w14:paraId="318203F1" w14:textId="77777777">
        <w:tc>
          <w:tcPr>
            <w:tcW w:w="567" w:type="dxa"/>
            <w:vAlign w:val="center"/>
          </w:tcPr>
          <w:p w14:paraId="225EFAF1" w14:textId="77777777" w:rsidR="00454A29" w:rsidRDefault="00454A29">
            <w:pPr>
              <w:pStyle w:val="ConsPlusNormal"/>
              <w:jc w:val="center"/>
            </w:pPr>
            <w:r>
              <w:t>1</w:t>
            </w:r>
          </w:p>
        </w:tc>
        <w:tc>
          <w:tcPr>
            <w:tcW w:w="3005" w:type="dxa"/>
            <w:vAlign w:val="center"/>
          </w:tcPr>
          <w:p w14:paraId="30CDA5E0" w14:textId="77777777" w:rsidR="00454A29" w:rsidRDefault="00454A29">
            <w:pPr>
              <w:pStyle w:val="ConsPlusNormal"/>
            </w:pPr>
            <w:r>
              <w:t>Число граждан, охваченных проведением профессиональных конкурсов, в целях предоставления возможностей для профессионального и карьерного роста, нарастающим итогом</w:t>
            </w:r>
          </w:p>
        </w:tc>
        <w:tc>
          <w:tcPr>
            <w:tcW w:w="1304" w:type="dxa"/>
            <w:vAlign w:val="center"/>
          </w:tcPr>
          <w:p w14:paraId="5C61504D" w14:textId="77777777" w:rsidR="00454A29" w:rsidRDefault="00454A29">
            <w:pPr>
              <w:pStyle w:val="ConsPlusNormal"/>
              <w:jc w:val="center"/>
            </w:pPr>
            <w:r>
              <w:t>тыс. чел.</w:t>
            </w:r>
          </w:p>
        </w:tc>
        <w:tc>
          <w:tcPr>
            <w:tcW w:w="1984" w:type="dxa"/>
            <w:vAlign w:val="center"/>
          </w:tcPr>
          <w:p w14:paraId="1C527038" w14:textId="77777777" w:rsidR="00454A29" w:rsidRDefault="00454A29">
            <w:pPr>
              <w:pStyle w:val="ConsPlusNormal"/>
              <w:jc w:val="center"/>
            </w:pPr>
            <w:r>
              <w:t>Минобрнауки РС(Я)</w:t>
            </w:r>
          </w:p>
        </w:tc>
        <w:tc>
          <w:tcPr>
            <w:tcW w:w="964" w:type="dxa"/>
            <w:vAlign w:val="center"/>
          </w:tcPr>
          <w:p w14:paraId="21A7CA72" w14:textId="77777777" w:rsidR="00454A29" w:rsidRDefault="00454A29">
            <w:pPr>
              <w:pStyle w:val="ConsPlusNormal"/>
              <w:jc w:val="center"/>
            </w:pPr>
            <w:r>
              <w:t>3</w:t>
            </w:r>
          </w:p>
        </w:tc>
        <w:tc>
          <w:tcPr>
            <w:tcW w:w="964" w:type="dxa"/>
            <w:vAlign w:val="center"/>
          </w:tcPr>
          <w:p w14:paraId="3D0E306F" w14:textId="77777777" w:rsidR="00454A29" w:rsidRDefault="00454A29">
            <w:pPr>
              <w:pStyle w:val="ConsPlusNormal"/>
              <w:jc w:val="center"/>
            </w:pPr>
            <w:r>
              <w:t>5</w:t>
            </w:r>
          </w:p>
        </w:tc>
        <w:tc>
          <w:tcPr>
            <w:tcW w:w="964" w:type="dxa"/>
            <w:vAlign w:val="center"/>
          </w:tcPr>
          <w:p w14:paraId="6464F4EE" w14:textId="77777777" w:rsidR="00454A29" w:rsidRDefault="00454A29">
            <w:pPr>
              <w:pStyle w:val="ConsPlusNormal"/>
              <w:jc w:val="center"/>
            </w:pPr>
            <w:r>
              <w:t>7</w:t>
            </w:r>
          </w:p>
        </w:tc>
        <w:tc>
          <w:tcPr>
            <w:tcW w:w="964" w:type="dxa"/>
            <w:vAlign w:val="center"/>
          </w:tcPr>
          <w:p w14:paraId="101529CD" w14:textId="77777777" w:rsidR="00454A29" w:rsidRDefault="00454A29">
            <w:pPr>
              <w:pStyle w:val="ConsPlusNormal"/>
              <w:jc w:val="center"/>
            </w:pPr>
            <w:r>
              <w:t>9</w:t>
            </w:r>
          </w:p>
        </w:tc>
        <w:tc>
          <w:tcPr>
            <w:tcW w:w="964" w:type="dxa"/>
            <w:vAlign w:val="center"/>
          </w:tcPr>
          <w:p w14:paraId="16F16110" w14:textId="77777777" w:rsidR="00454A29" w:rsidRDefault="00454A29">
            <w:pPr>
              <w:pStyle w:val="ConsPlusNormal"/>
              <w:jc w:val="center"/>
            </w:pPr>
            <w:r>
              <w:t>11</w:t>
            </w:r>
          </w:p>
        </w:tc>
        <w:tc>
          <w:tcPr>
            <w:tcW w:w="964" w:type="dxa"/>
            <w:vAlign w:val="center"/>
          </w:tcPr>
          <w:p w14:paraId="45255025" w14:textId="77777777" w:rsidR="00454A29" w:rsidRDefault="00454A29">
            <w:pPr>
              <w:pStyle w:val="ConsPlusNormal"/>
              <w:jc w:val="center"/>
            </w:pPr>
            <w:r>
              <w:t>х</w:t>
            </w:r>
          </w:p>
        </w:tc>
        <w:tc>
          <w:tcPr>
            <w:tcW w:w="964" w:type="dxa"/>
            <w:vAlign w:val="center"/>
          </w:tcPr>
          <w:p w14:paraId="43807129" w14:textId="77777777" w:rsidR="00454A29" w:rsidRDefault="00454A29">
            <w:pPr>
              <w:pStyle w:val="ConsPlusNormal"/>
              <w:jc w:val="center"/>
            </w:pPr>
            <w:r>
              <w:t>х</w:t>
            </w:r>
          </w:p>
        </w:tc>
      </w:tr>
      <w:tr w:rsidR="00454A29" w14:paraId="0BD5C130" w14:textId="77777777">
        <w:tc>
          <w:tcPr>
            <w:tcW w:w="13608" w:type="dxa"/>
            <w:gridSpan w:val="11"/>
            <w:vAlign w:val="center"/>
          </w:tcPr>
          <w:p w14:paraId="63DE0A6B" w14:textId="77777777" w:rsidR="00454A29" w:rsidRDefault="00454A29">
            <w:pPr>
              <w:pStyle w:val="ConsPlusNormal"/>
              <w:jc w:val="center"/>
            </w:pPr>
            <w:r>
              <w:t>Основное мероприятие 3.9.</w:t>
            </w:r>
          </w:p>
          <w:p w14:paraId="58428ADA" w14:textId="77777777" w:rsidR="00454A29" w:rsidRDefault="00454A29">
            <w:pPr>
              <w:pStyle w:val="ConsPlusNormal"/>
              <w:jc w:val="center"/>
            </w:pPr>
            <w:r>
              <w:t>Реализация регионального проекта "Экспорт образования"</w:t>
            </w:r>
          </w:p>
        </w:tc>
      </w:tr>
      <w:tr w:rsidR="00454A29" w14:paraId="2339D708" w14:textId="77777777">
        <w:tc>
          <w:tcPr>
            <w:tcW w:w="567" w:type="dxa"/>
            <w:vAlign w:val="center"/>
          </w:tcPr>
          <w:p w14:paraId="226108CF" w14:textId="77777777" w:rsidR="00454A29" w:rsidRDefault="00454A29">
            <w:pPr>
              <w:pStyle w:val="ConsPlusNormal"/>
              <w:jc w:val="center"/>
            </w:pPr>
            <w:r>
              <w:t>1</w:t>
            </w:r>
          </w:p>
        </w:tc>
        <w:tc>
          <w:tcPr>
            <w:tcW w:w="3005" w:type="dxa"/>
            <w:vAlign w:val="center"/>
          </w:tcPr>
          <w:p w14:paraId="7F9BB3C7" w14:textId="77777777" w:rsidR="00454A29" w:rsidRDefault="00454A29">
            <w:pPr>
              <w:pStyle w:val="ConsPlusNormal"/>
            </w:pPr>
            <w:r>
              <w:t xml:space="preserve">Доля иностранных граждан, </w:t>
            </w:r>
            <w:r>
              <w:lastRenderedPageBreak/>
              <w:t>обучающихся в образовательных организациях высшего образования и научных организациях</w:t>
            </w:r>
          </w:p>
        </w:tc>
        <w:tc>
          <w:tcPr>
            <w:tcW w:w="1304" w:type="dxa"/>
            <w:vAlign w:val="center"/>
          </w:tcPr>
          <w:p w14:paraId="134CDD8B" w14:textId="77777777" w:rsidR="00454A29" w:rsidRDefault="00454A29">
            <w:pPr>
              <w:pStyle w:val="ConsPlusNormal"/>
              <w:jc w:val="center"/>
            </w:pPr>
            <w:r>
              <w:lastRenderedPageBreak/>
              <w:t>%</w:t>
            </w:r>
          </w:p>
        </w:tc>
        <w:tc>
          <w:tcPr>
            <w:tcW w:w="1984" w:type="dxa"/>
            <w:vAlign w:val="center"/>
          </w:tcPr>
          <w:p w14:paraId="06DBE7E7" w14:textId="77777777" w:rsidR="00454A29" w:rsidRDefault="00454A29">
            <w:pPr>
              <w:pStyle w:val="ConsPlusNormal"/>
              <w:jc w:val="center"/>
            </w:pPr>
            <w:r>
              <w:t>Минобрнауки РС(Я)</w:t>
            </w:r>
          </w:p>
        </w:tc>
        <w:tc>
          <w:tcPr>
            <w:tcW w:w="964" w:type="dxa"/>
            <w:vAlign w:val="center"/>
          </w:tcPr>
          <w:p w14:paraId="3D5C4A8E" w14:textId="77777777" w:rsidR="00454A29" w:rsidRDefault="00454A29">
            <w:pPr>
              <w:pStyle w:val="ConsPlusNormal"/>
              <w:jc w:val="center"/>
            </w:pPr>
            <w:r>
              <w:t>2,5</w:t>
            </w:r>
          </w:p>
        </w:tc>
        <w:tc>
          <w:tcPr>
            <w:tcW w:w="964" w:type="dxa"/>
            <w:vAlign w:val="center"/>
          </w:tcPr>
          <w:p w14:paraId="18A507EC" w14:textId="77777777" w:rsidR="00454A29" w:rsidRDefault="00454A29">
            <w:pPr>
              <w:pStyle w:val="ConsPlusNormal"/>
              <w:jc w:val="center"/>
            </w:pPr>
            <w:r>
              <w:t>3</w:t>
            </w:r>
          </w:p>
        </w:tc>
        <w:tc>
          <w:tcPr>
            <w:tcW w:w="964" w:type="dxa"/>
            <w:vAlign w:val="center"/>
          </w:tcPr>
          <w:p w14:paraId="0E2DB683" w14:textId="77777777" w:rsidR="00454A29" w:rsidRDefault="00454A29">
            <w:pPr>
              <w:pStyle w:val="ConsPlusNormal"/>
              <w:jc w:val="center"/>
            </w:pPr>
            <w:r>
              <w:t>3,5</w:t>
            </w:r>
          </w:p>
        </w:tc>
        <w:tc>
          <w:tcPr>
            <w:tcW w:w="964" w:type="dxa"/>
            <w:vAlign w:val="center"/>
          </w:tcPr>
          <w:p w14:paraId="0ABF87E6" w14:textId="77777777" w:rsidR="00454A29" w:rsidRDefault="00454A29">
            <w:pPr>
              <w:pStyle w:val="ConsPlusNormal"/>
              <w:jc w:val="center"/>
            </w:pPr>
            <w:r>
              <w:t>4</w:t>
            </w:r>
          </w:p>
        </w:tc>
        <w:tc>
          <w:tcPr>
            <w:tcW w:w="964" w:type="dxa"/>
            <w:vAlign w:val="center"/>
          </w:tcPr>
          <w:p w14:paraId="70CD40E4" w14:textId="77777777" w:rsidR="00454A29" w:rsidRDefault="00454A29">
            <w:pPr>
              <w:pStyle w:val="ConsPlusNormal"/>
              <w:jc w:val="center"/>
            </w:pPr>
            <w:r>
              <w:t>4,5</w:t>
            </w:r>
          </w:p>
        </w:tc>
        <w:tc>
          <w:tcPr>
            <w:tcW w:w="964" w:type="dxa"/>
            <w:vAlign w:val="center"/>
          </w:tcPr>
          <w:p w14:paraId="0D3F6FD4" w14:textId="77777777" w:rsidR="00454A29" w:rsidRDefault="00454A29">
            <w:pPr>
              <w:pStyle w:val="ConsPlusNormal"/>
              <w:jc w:val="center"/>
            </w:pPr>
            <w:r>
              <w:t>х</w:t>
            </w:r>
          </w:p>
        </w:tc>
        <w:tc>
          <w:tcPr>
            <w:tcW w:w="964" w:type="dxa"/>
            <w:vAlign w:val="center"/>
          </w:tcPr>
          <w:p w14:paraId="55B1DB60" w14:textId="77777777" w:rsidR="00454A29" w:rsidRDefault="00454A29">
            <w:pPr>
              <w:pStyle w:val="ConsPlusNormal"/>
              <w:jc w:val="center"/>
            </w:pPr>
            <w:r>
              <w:t>х</w:t>
            </w:r>
          </w:p>
        </w:tc>
      </w:tr>
      <w:tr w:rsidR="00454A29" w14:paraId="1B4D7CCB" w14:textId="77777777">
        <w:tc>
          <w:tcPr>
            <w:tcW w:w="13608" w:type="dxa"/>
            <w:gridSpan w:val="11"/>
            <w:vAlign w:val="center"/>
          </w:tcPr>
          <w:p w14:paraId="7CFB099F" w14:textId="77777777" w:rsidR="00454A29" w:rsidRDefault="00454A29">
            <w:pPr>
              <w:pStyle w:val="ConsPlusNormal"/>
              <w:jc w:val="center"/>
            </w:pPr>
            <w:r>
              <w:t>Основное мероприятие 3.10.</w:t>
            </w:r>
          </w:p>
          <w:p w14:paraId="45AD100C" w14:textId="77777777" w:rsidR="00454A29" w:rsidRDefault="00454A29">
            <w:pPr>
              <w:pStyle w:val="ConsPlusNormal"/>
              <w:jc w:val="center"/>
            </w:pPr>
            <w:r>
              <w:t>Реализация регионального проекта "Новые возможности для каждого"</w:t>
            </w:r>
          </w:p>
        </w:tc>
      </w:tr>
      <w:tr w:rsidR="00454A29" w14:paraId="3140F5E9" w14:textId="77777777">
        <w:tc>
          <w:tcPr>
            <w:tcW w:w="567" w:type="dxa"/>
            <w:vAlign w:val="center"/>
          </w:tcPr>
          <w:p w14:paraId="06B948D3" w14:textId="77777777" w:rsidR="00454A29" w:rsidRDefault="00454A29">
            <w:pPr>
              <w:pStyle w:val="ConsPlusNormal"/>
              <w:jc w:val="center"/>
            </w:pPr>
            <w:r>
              <w:t>1</w:t>
            </w:r>
          </w:p>
        </w:tc>
        <w:tc>
          <w:tcPr>
            <w:tcW w:w="3005" w:type="dxa"/>
            <w:vAlign w:val="center"/>
          </w:tcPr>
          <w:p w14:paraId="0D2B684C" w14:textId="77777777" w:rsidR="00454A29" w:rsidRDefault="00454A29">
            <w:pPr>
              <w:pStyle w:val="ConsPlusNormal"/>
            </w:pPr>
            <w:r>
              <w:t>Количество граждан Республики Саха (Якутия),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среднего профессионального образования, дополнительного профессионального</w:t>
            </w:r>
          </w:p>
        </w:tc>
        <w:tc>
          <w:tcPr>
            <w:tcW w:w="1304" w:type="dxa"/>
            <w:vAlign w:val="center"/>
          </w:tcPr>
          <w:p w14:paraId="554CF470" w14:textId="77777777" w:rsidR="00454A29" w:rsidRDefault="00454A29">
            <w:pPr>
              <w:pStyle w:val="ConsPlusNormal"/>
              <w:jc w:val="center"/>
            </w:pPr>
            <w:r>
              <w:t>тыс. чел.</w:t>
            </w:r>
          </w:p>
        </w:tc>
        <w:tc>
          <w:tcPr>
            <w:tcW w:w="1984" w:type="dxa"/>
            <w:vAlign w:val="center"/>
          </w:tcPr>
          <w:p w14:paraId="044A5BCF" w14:textId="77777777" w:rsidR="00454A29" w:rsidRDefault="00454A29">
            <w:pPr>
              <w:pStyle w:val="ConsPlusNormal"/>
              <w:jc w:val="center"/>
            </w:pPr>
            <w:r>
              <w:t>Минобрнауки РС(Я)</w:t>
            </w:r>
          </w:p>
        </w:tc>
        <w:tc>
          <w:tcPr>
            <w:tcW w:w="964" w:type="dxa"/>
            <w:vAlign w:val="center"/>
          </w:tcPr>
          <w:p w14:paraId="33B0D5FD" w14:textId="77777777" w:rsidR="00454A29" w:rsidRDefault="00454A29">
            <w:pPr>
              <w:pStyle w:val="ConsPlusNormal"/>
              <w:jc w:val="center"/>
            </w:pPr>
            <w:r>
              <w:t>48,5</w:t>
            </w:r>
          </w:p>
        </w:tc>
        <w:tc>
          <w:tcPr>
            <w:tcW w:w="964" w:type="dxa"/>
            <w:vAlign w:val="center"/>
          </w:tcPr>
          <w:p w14:paraId="220E10D2" w14:textId="77777777" w:rsidR="00454A29" w:rsidRDefault="00454A29">
            <w:pPr>
              <w:pStyle w:val="ConsPlusNormal"/>
              <w:jc w:val="center"/>
            </w:pPr>
            <w:r>
              <w:t>49</w:t>
            </w:r>
          </w:p>
        </w:tc>
        <w:tc>
          <w:tcPr>
            <w:tcW w:w="964" w:type="dxa"/>
            <w:vAlign w:val="center"/>
          </w:tcPr>
          <w:p w14:paraId="10A80DD3" w14:textId="77777777" w:rsidR="00454A29" w:rsidRDefault="00454A29">
            <w:pPr>
              <w:pStyle w:val="ConsPlusNormal"/>
              <w:jc w:val="center"/>
            </w:pPr>
            <w:r>
              <w:t>49,5</w:t>
            </w:r>
          </w:p>
        </w:tc>
        <w:tc>
          <w:tcPr>
            <w:tcW w:w="964" w:type="dxa"/>
            <w:vAlign w:val="center"/>
          </w:tcPr>
          <w:p w14:paraId="1A2720B6" w14:textId="77777777" w:rsidR="00454A29" w:rsidRDefault="00454A29">
            <w:pPr>
              <w:pStyle w:val="ConsPlusNormal"/>
              <w:jc w:val="center"/>
            </w:pPr>
            <w:r>
              <w:t>50</w:t>
            </w:r>
          </w:p>
        </w:tc>
        <w:tc>
          <w:tcPr>
            <w:tcW w:w="964" w:type="dxa"/>
            <w:vAlign w:val="center"/>
          </w:tcPr>
          <w:p w14:paraId="6A1E9D69" w14:textId="77777777" w:rsidR="00454A29" w:rsidRDefault="00454A29">
            <w:pPr>
              <w:pStyle w:val="ConsPlusNormal"/>
              <w:jc w:val="center"/>
            </w:pPr>
            <w:r>
              <w:t>50,5</w:t>
            </w:r>
          </w:p>
        </w:tc>
        <w:tc>
          <w:tcPr>
            <w:tcW w:w="964" w:type="dxa"/>
            <w:vAlign w:val="center"/>
          </w:tcPr>
          <w:p w14:paraId="3389C74C" w14:textId="77777777" w:rsidR="00454A29" w:rsidRDefault="00454A29">
            <w:pPr>
              <w:pStyle w:val="ConsPlusNormal"/>
              <w:jc w:val="center"/>
            </w:pPr>
            <w:r>
              <w:t>х</w:t>
            </w:r>
          </w:p>
        </w:tc>
        <w:tc>
          <w:tcPr>
            <w:tcW w:w="964" w:type="dxa"/>
            <w:vAlign w:val="center"/>
          </w:tcPr>
          <w:p w14:paraId="47AF75A4" w14:textId="77777777" w:rsidR="00454A29" w:rsidRDefault="00454A29">
            <w:pPr>
              <w:pStyle w:val="ConsPlusNormal"/>
              <w:jc w:val="center"/>
            </w:pPr>
            <w:r>
              <w:t>х</w:t>
            </w:r>
          </w:p>
        </w:tc>
      </w:tr>
      <w:tr w:rsidR="00454A29" w14:paraId="56B5CFF7" w14:textId="77777777">
        <w:tc>
          <w:tcPr>
            <w:tcW w:w="13608" w:type="dxa"/>
            <w:gridSpan w:val="11"/>
            <w:vAlign w:val="center"/>
          </w:tcPr>
          <w:p w14:paraId="2426C39D" w14:textId="77777777" w:rsidR="00454A29" w:rsidRDefault="00454A29">
            <w:pPr>
              <w:pStyle w:val="ConsPlusNormal"/>
              <w:jc w:val="center"/>
            </w:pPr>
            <w:r>
              <w:t>Основное мероприятие 3.11.</w:t>
            </w:r>
          </w:p>
          <w:p w14:paraId="7E2B1AF3" w14:textId="77777777" w:rsidR="00454A29" w:rsidRDefault="00454A29">
            <w:pPr>
              <w:pStyle w:val="ConsPlusNormal"/>
              <w:jc w:val="center"/>
            </w:pPr>
            <w:r>
              <w:t>Реализация регионального проекта "Кадры для цифровой экономики"</w:t>
            </w:r>
          </w:p>
        </w:tc>
      </w:tr>
      <w:tr w:rsidR="00454A29" w14:paraId="38D6A00F" w14:textId="77777777">
        <w:tc>
          <w:tcPr>
            <w:tcW w:w="567" w:type="dxa"/>
            <w:vAlign w:val="center"/>
          </w:tcPr>
          <w:p w14:paraId="17F821F5" w14:textId="77777777" w:rsidR="00454A29" w:rsidRDefault="00454A29">
            <w:pPr>
              <w:pStyle w:val="ConsPlusNormal"/>
              <w:jc w:val="center"/>
            </w:pPr>
            <w:r>
              <w:t>1</w:t>
            </w:r>
          </w:p>
        </w:tc>
        <w:tc>
          <w:tcPr>
            <w:tcW w:w="3005" w:type="dxa"/>
            <w:vAlign w:val="center"/>
          </w:tcPr>
          <w:p w14:paraId="253B64B6" w14:textId="77777777" w:rsidR="00454A29" w:rsidRDefault="00454A29">
            <w:pPr>
              <w:pStyle w:val="ConsPlusNormal"/>
            </w:pPr>
            <w:r>
              <w:t>Количество выпускников системы профессионального образования с ключевыми компетенциями цифровой экономики</w:t>
            </w:r>
          </w:p>
        </w:tc>
        <w:tc>
          <w:tcPr>
            <w:tcW w:w="1304" w:type="dxa"/>
            <w:vAlign w:val="center"/>
          </w:tcPr>
          <w:p w14:paraId="72935023" w14:textId="77777777" w:rsidR="00454A29" w:rsidRDefault="00454A29">
            <w:pPr>
              <w:pStyle w:val="ConsPlusNormal"/>
              <w:jc w:val="center"/>
            </w:pPr>
            <w:r>
              <w:t>тыс. чел.</w:t>
            </w:r>
          </w:p>
        </w:tc>
        <w:tc>
          <w:tcPr>
            <w:tcW w:w="1984" w:type="dxa"/>
            <w:vAlign w:val="center"/>
          </w:tcPr>
          <w:p w14:paraId="18764D7F" w14:textId="77777777" w:rsidR="00454A29" w:rsidRDefault="00454A29">
            <w:pPr>
              <w:pStyle w:val="ConsPlusNormal"/>
              <w:jc w:val="center"/>
            </w:pPr>
            <w:r>
              <w:t>Минобрнауки РС(Я)</w:t>
            </w:r>
          </w:p>
        </w:tc>
        <w:tc>
          <w:tcPr>
            <w:tcW w:w="964" w:type="dxa"/>
            <w:vAlign w:val="center"/>
          </w:tcPr>
          <w:p w14:paraId="0D87C181" w14:textId="77777777" w:rsidR="00454A29" w:rsidRDefault="00454A29">
            <w:pPr>
              <w:pStyle w:val="ConsPlusNormal"/>
              <w:jc w:val="center"/>
            </w:pPr>
            <w:r>
              <w:t>2,084</w:t>
            </w:r>
          </w:p>
        </w:tc>
        <w:tc>
          <w:tcPr>
            <w:tcW w:w="964" w:type="dxa"/>
            <w:vAlign w:val="center"/>
          </w:tcPr>
          <w:p w14:paraId="2C172677" w14:textId="77777777" w:rsidR="00454A29" w:rsidRDefault="00454A29">
            <w:pPr>
              <w:pStyle w:val="ConsPlusNormal"/>
              <w:jc w:val="center"/>
            </w:pPr>
            <w:r>
              <w:t>2,78</w:t>
            </w:r>
          </w:p>
        </w:tc>
        <w:tc>
          <w:tcPr>
            <w:tcW w:w="964" w:type="dxa"/>
            <w:vAlign w:val="center"/>
          </w:tcPr>
          <w:p w14:paraId="0F2B6A57" w14:textId="77777777" w:rsidR="00454A29" w:rsidRDefault="00454A29">
            <w:pPr>
              <w:pStyle w:val="ConsPlusNormal"/>
              <w:jc w:val="center"/>
            </w:pPr>
            <w:r>
              <w:t>2,84</w:t>
            </w:r>
          </w:p>
        </w:tc>
        <w:tc>
          <w:tcPr>
            <w:tcW w:w="964" w:type="dxa"/>
            <w:vAlign w:val="center"/>
          </w:tcPr>
          <w:p w14:paraId="0F9B4D8C" w14:textId="77777777" w:rsidR="00454A29" w:rsidRDefault="00454A29">
            <w:pPr>
              <w:pStyle w:val="ConsPlusNormal"/>
              <w:jc w:val="center"/>
            </w:pPr>
            <w:r>
              <w:t>2,92</w:t>
            </w:r>
          </w:p>
        </w:tc>
        <w:tc>
          <w:tcPr>
            <w:tcW w:w="964" w:type="dxa"/>
            <w:vAlign w:val="center"/>
          </w:tcPr>
          <w:p w14:paraId="53FAA157" w14:textId="77777777" w:rsidR="00454A29" w:rsidRDefault="00454A29">
            <w:pPr>
              <w:pStyle w:val="ConsPlusNormal"/>
              <w:jc w:val="center"/>
            </w:pPr>
            <w:r>
              <w:t>2,99</w:t>
            </w:r>
          </w:p>
        </w:tc>
        <w:tc>
          <w:tcPr>
            <w:tcW w:w="964" w:type="dxa"/>
            <w:vAlign w:val="center"/>
          </w:tcPr>
          <w:p w14:paraId="510C6A42" w14:textId="77777777" w:rsidR="00454A29" w:rsidRDefault="00454A29">
            <w:pPr>
              <w:pStyle w:val="ConsPlusNormal"/>
              <w:jc w:val="center"/>
            </w:pPr>
            <w:r>
              <w:t>х</w:t>
            </w:r>
          </w:p>
        </w:tc>
        <w:tc>
          <w:tcPr>
            <w:tcW w:w="964" w:type="dxa"/>
            <w:vAlign w:val="center"/>
          </w:tcPr>
          <w:p w14:paraId="64555624" w14:textId="77777777" w:rsidR="00454A29" w:rsidRDefault="00454A29">
            <w:pPr>
              <w:pStyle w:val="ConsPlusNormal"/>
              <w:jc w:val="center"/>
            </w:pPr>
            <w:r>
              <w:t>х</w:t>
            </w:r>
          </w:p>
        </w:tc>
      </w:tr>
      <w:tr w:rsidR="00454A29" w14:paraId="7503293C" w14:textId="77777777">
        <w:tc>
          <w:tcPr>
            <w:tcW w:w="567" w:type="dxa"/>
            <w:vAlign w:val="center"/>
          </w:tcPr>
          <w:p w14:paraId="1CC73864" w14:textId="77777777" w:rsidR="00454A29" w:rsidRDefault="00454A29">
            <w:pPr>
              <w:pStyle w:val="ConsPlusNormal"/>
              <w:jc w:val="center"/>
            </w:pPr>
            <w:r>
              <w:lastRenderedPageBreak/>
              <w:t>2</w:t>
            </w:r>
          </w:p>
        </w:tc>
        <w:tc>
          <w:tcPr>
            <w:tcW w:w="3005" w:type="dxa"/>
            <w:vAlign w:val="center"/>
          </w:tcPr>
          <w:p w14:paraId="21CB1F1C" w14:textId="77777777" w:rsidR="00454A29" w:rsidRDefault="00454A29">
            <w:pPr>
              <w:pStyle w:val="ConsPlusNormal"/>
            </w:pPr>
            <w:r>
              <w:t>Количество специалистов, прошедших переобучение по компетенциям цифровой экономики в рамках дополнительного образования</w:t>
            </w:r>
          </w:p>
        </w:tc>
        <w:tc>
          <w:tcPr>
            <w:tcW w:w="1304" w:type="dxa"/>
            <w:vAlign w:val="center"/>
          </w:tcPr>
          <w:p w14:paraId="0875334B" w14:textId="77777777" w:rsidR="00454A29" w:rsidRDefault="00454A29">
            <w:pPr>
              <w:pStyle w:val="ConsPlusNormal"/>
              <w:jc w:val="center"/>
            </w:pPr>
            <w:r>
              <w:t>тыс. чел.</w:t>
            </w:r>
          </w:p>
        </w:tc>
        <w:tc>
          <w:tcPr>
            <w:tcW w:w="1984" w:type="dxa"/>
            <w:vAlign w:val="center"/>
          </w:tcPr>
          <w:p w14:paraId="133D679E" w14:textId="77777777" w:rsidR="00454A29" w:rsidRDefault="00454A29">
            <w:pPr>
              <w:pStyle w:val="ConsPlusNormal"/>
              <w:jc w:val="center"/>
            </w:pPr>
            <w:r>
              <w:t>Минобрнауки РС(Я)</w:t>
            </w:r>
          </w:p>
        </w:tc>
        <w:tc>
          <w:tcPr>
            <w:tcW w:w="964" w:type="dxa"/>
            <w:vAlign w:val="center"/>
          </w:tcPr>
          <w:p w14:paraId="35BCC1AF" w14:textId="77777777" w:rsidR="00454A29" w:rsidRDefault="00454A29">
            <w:pPr>
              <w:pStyle w:val="ConsPlusNormal"/>
              <w:jc w:val="center"/>
            </w:pPr>
            <w:r>
              <w:t>3</w:t>
            </w:r>
          </w:p>
        </w:tc>
        <w:tc>
          <w:tcPr>
            <w:tcW w:w="964" w:type="dxa"/>
            <w:vAlign w:val="center"/>
          </w:tcPr>
          <w:p w14:paraId="255F33A3" w14:textId="77777777" w:rsidR="00454A29" w:rsidRDefault="00454A29">
            <w:pPr>
              <w:pStyle w:val="ConsPlusNormal"/>
              <w:jc w:val="center"/>
            </w:pPr>
            <w:r>
              <w:t>3,94</w:t>
            </w:r>
          </w:p>
        </w:tc>
        <w:tc>
          <w:tcPr>
            <w:tcW w:w="964" w:type="dxa"/>
            <w:vAlign w:val="center"/>
          </w:tcPr>
          <w:p w14:paraId="504CBE9E" w14:textId="77777777" w:rsidR="00454A29" w:rsidRDefault="00454A29">
            <w:pPr>
              <w:pStyle w:val="ConsPlusNormal"/>
              <w:jc w:val="center"/>
            </w:pPr>
            <w:r>
              <w:t>3,96</w:t>
            </w:r>
          </w:p>
        </w:tc>
        <w:tc>
          <w:tcPr>
            <w:tcW w:w="964" w:type="dxa"/>
            <w:vAlign w:val="center"/>
          </w:tcPr>
          <w:p w14:paraId="2B399B67" w14:textId="77777777" w:rsidR="00454A29" w:rsidRDefault="00454A29">
            <w:pPr>
              <w:pStyle w:val="ConsPlusNormal"/>
              <w:jc w:val="center"/>
            </w:pPr>
            <w:r>
              <w:t>3,98</w:t>
            </w:r>
          </w:p>
        </w:tc>
        <w:tc>
          <w:tcPr>
            <w:tcW w:w="964" w:type="dxa"/>
            <w:vAlign w:val="center"/>
          </w:tcPr>
          <w:p w14:paraId="5C0B7663" w14:textId="77777777" w:rsidR="00454A29" w:rsidRDefault="00454A29">
            <w:pPr>
              <w:pStyle w:val="ConsPlusNormal"/>
              <w:jc w:val="center"/>
            </w:pPr>
            <w:r>
              <w:t>4</w:t>
            </w:r>
          </w:p>
        </w:tc>
        <w:tc>
          <w:tcPr>
            <w:tcW w:w="964" w:type="dxa"/>
            <w:vAlign w:val="center"/>
          </w:tcPr>
          <w:p w14:paraId="3EC9A81B" w14:textId="77777777" w:rsidR="00454A29" w:rsidRDefault="00454A29">
            <w:pPr>
              <w:pStyle w:val="ConsPlusNormal"/>
              <w:jc w:val="center"/>
            </w:pPr>
            <w:r>
              <w:t>х</w:t>
            </w:r>
          </w:p>
        </w:tc>
        <w:tc>
          <w:tcPr>
            <w:tcW w:w="964" w:type="dxa"/>
            <w:vAlign w:val="center"/>
          </w:tcPr>
          <w:p w14:paraId="5942DC1D" w14:textId="77777777" w:rsidR="00454A29" w:rsidRDefault="00454A29">
            <w:pPr>
              <w:pStyle w:val="ConsPlusNormal"/>
              <w:jc w:val="center"/>
            </w:pPr>
            <w:r>
              <w:t>х</w:t>
            </w:r>
          </w:p>
        </w:tc>
      </w:tr>
      <w:tr w:rsidR="00454A29" w14:paraId="02364079" w14:textId="77777777">
        <w:tc>
          <w:tcPr>
            <w:tcW w:w="13608" w:type="dxa"/>
            <w:gridSpan w:val="11"/>
            <w:vAlign w:val="center"/>
          </w:tcPr>
          <w:p w14:paraId="1551E7CC" w14:textId="77777777" w:rsidR="00454A29" w:rsidRDefault="00454A29">
            <w:pPr>
              <w:pStyle w:val="ConsPlusNormal"/>
              <w:jc w:val="center"/>
              <w:outlineLvl w:val="2"/>
            </w:pPr>
            <w:r>
              <w:t>Подпрограмма N 4. "Воспитание и дополнительное образование"</w:t>
            </w:r>
          </w:p>
        </w:tc>
      </w:tr>
      <w:tr w:rsidR="00454A29" w14:paraId="7E572640" w14:textId="77777777">
        <w:tc>
          <w:tcPr>
            <w:tcW w:w="567" w:type="dxa"/>
            <w:vAlign w:val="center"/>
          </w:tcPr>
          <w:p w14:paraId="765420BE" w14:textId="77777777" w:rsidR="00454A29" w:rsidRDefault="00454A29">
            <w:pPr>
              <w:pStyle w:val="ConsPlusNormal"/>
              <w:jc w:val="center"/>
            </w:pPr>
            <w:r>
              <w:t>1</w:t>
            </w:r>
          </w:p>
        </w:tc>
        <w:tc>
          <w:tcPr>
            <w:tcW w:w="3005" w:type="dxa"/>
            <w:vAlign w:val="center"/>
          </w:tcPr>
          <w:p w14:paraId="14792179" w14:textId="77777777" w:rsidR="00454A29" w:rsidRDefault="00454A29">
            <w:pPr>
              <w:pStyle w:val="ConsPlusNormal"/>
            </w:pPr>
            <w:r>
              <w:t>Доля детей в возрасте от 5 до 18 лет, охваченных дополнительным образованием</w:t>
            </w:r>
          </w:p>
        </w:tc>
        <w:tc>
          <w:tcPr>
            <w:tcW w:w="1304" w:type="dxa"/>
            <w:vAlign w:val="center"/>
          </w:tcPr>
          <w:p w14:paraId="0605E086" w14:textId="77777777" w:rsidR="00454A29" w:rsidRDefault="00454A29">
            <w:pPr>
              <w:pStyle w:val="ConsPlusNormal"/>
              <w:jc w:val="center"/>
            </w:pPr>
            <w:r>
              <w:t>%</w:t>
            </w:r>
          </w:p>
        </w:tc>
        <w:tc>
          <w:tcPr>
            <w:tcW w:w="1984" w:type="dxa"/>
            <w:vAlign w:val="center"/>
          </w:tcPr>
          <w:p w14:paraId="2A8325AF" w14:textId="77777777" w:rsidR="00454A29" w:rsidRDefault="00454A29">
            <w:pPr>
              <w:pStyle w:val="ConsPlusNormal"/>
              <w:jc w:val="center"/>
            </w:pPr>
            <w:r>
              <w:t>Минобрнауки РС(Я)</w:t>
            </w:r>
          </w:p>
        </w:tc>
        <w:tc>
          <w:tcPr>
            <w:tcW w:w="964" w:type="dxa"/>
            <w:vAlign w:val="center"/>
          </w:tcPr>
          <w:p w14:paraId="04497C7A" w14:textId="77777777" w:rsidR="00454A29" w:rsidRDefault="00454A29">
            <w:pPr>
              <w:pStyle w:val="ConsPlusNormal"/>
              <w:jc w:val="center"/>
            </w:pPr>
            <w:r>
              <w:t>77</w:t>
            </w:r>
          </w:p>
        </w:tc>
        <w:tc>
          <w:tcPr>
            <w:tcW w:w="964" w:type="dxa"/>
            <w:vAlign w:val="center"/>
          </w:tcPr>
          <w:p w14:paraId="1238F5E4" w14:textId="77777777" w:rsidR="00454A29" w:rsidRDefault="00454A29">
            <w:pPr>
              <w:pStyle w:val="ConsPlusNormal"/>
              <w:jc w:val="center"/>
            </w:pPr>
            <w:r>
              <w:t>78</w:t>
            </w:r>
          </w:p>
        </w:tc>
        <w:tc>
          <w:tcPr>
            <w:tcW w:w="964" w:type="dxa"/>
            <w:vAlign w:val="center"/>
          </w:tcPr>
          <w:p w14:paraId="2E3DEDB1" w14:textId="77777777" w:rsidR="00454A29" w:rsidRDefault="00454A29">
            <w:pPr>
              <w:pStyle w:val="ConsPlusNormal"/>
              <w:jc w:val="center"/>
            </w:pPr>
            <w:r>
              <w:t>78,5</w:t>
            </w:r>
          </w:p>
        </w:tc>
        <w:tc>
          <w:tcPr>
            <w:tcW w:w="964" w:type="dxa"/>
            <w:vAlign w:val="center"/>
          </w:tcPr>
          <w:p w14:paraId="18D46C2E" w14:textId="77777777" w:rsidR="00454A29" w:rsidRDefault="00454A29">
            <w:pPr>
              <w:pStyle w:val="ConsPlusNormal"/>
              <w:jc w:val="center"/>
            </w:pPr>
            <w:r>
              <w:t>79</w:t>
            </w:r>
          </w:p>
        </w:tc>
        <w:tc>
          <w:tcPr>
            <w:tcW w:w="964" w:type="dxa"/>
            <w:vAlign w:val="center"/>
          </w:tcPr>
          <w:p w14:paraId="2846E220" w14:textId="77777777" w:rsidR="00454A29" w:rsidRDefault="00454A29">
            <w:pPr>
              <w:pStyle w:val="ConsPlusNormal"/>
              <w:jc w:val="center"/>
            </w:pPr>
            <w:r>
              <w:t>80</w:t>
            </w:r>
          </w:p>
        </w:tc>
        <w:tc>
          <w:tcPr>
            <w:tcW w:w="964" w:type="dxa"/>
            <w:vAlign w:val="center"/>
          </w:tcPr>
          <w:p w14:paraId="425DAF0E" w14:textId="77777777" w:rsidR="00454A29" w:rsidRDefault="00454A29">
            <w:pPr>
              <w:pStyle w:val="ConsPlusNormal"/>
              <w:jc w:val="center"/>
            </w:pPr>
            <w:r>
              <w:t>87</w:t>
            </w:r>
          </w:p>
        </w:tc>
        <w:tc>
          <w:tcPr>
            <w:tcW w:w="964" w:type="dxa"/>
            <w:vAlign w:val="center"/>
          </w:tcPr>
          <w:p w14:paraId="1F11863A" w14:textId="77777777" w:rsidR="00454A29" w:rsidRDefault="00454A29">
            <w:pPr>
              <w:pStyle w:val="ConsPlusNormal"/>
              <w:jc w:val="center"/>
            </w:pPr>
            <w:r>
              <w:t>90</w:t>
            </w:r>
          </w:p>
        </w:tc>
      </w:tr>
      <w:tr w:rsidR="00454A29" w14:paraId="2DAE421E" w14:textId="77777777">
        <w:tc>
          <w:tcPr>
            <w:tcW w:w="13608" w:type="dxa"/>
            <w:gridSpan w:val="11"/>
            <w:vAlign w:val="center"/>
          </w:tcPr>
          <w:p w14:paraId="70635484" w14:textId="77777777" w:rsidR="00454A29" w:rsidRDefault="00454A29">
            <w:pPr>
              <w:pStyle w:val="ConsPlusNormal"/>
              <w:jc w:val="center"/>
            </w:pPr>
            <w:r>
              <w:t>Основное мероприятие 4.1. Развитие республиканской системы дополнительного образования детей и молодежи</w:t>
            </w:r>
          </w:p>
        </w:tc>
      </w:tr>
      <w:tr w:rsidR="00454A29" w14:paraId="0122AC5B" w14:textId="77777777">
        <w:tc>
          <w:tcPr>
            <w:tcW w:w="567" w:type="dxa"/>
            <w:vAlign w:val="center"/>
          </w:tcPr>
          <w:p w14:paraId="112B3D9C" w14:textId="77777777" w:rsidR="00454A29" w:rsidRDefault="00454A29">
            <w:pPr>
              <w:pStyle w:val="ConsPlusNormal"/>
              <w:jc w:val="center"/>
            </w:pPr>
            <w:r>
              <w:t>1</w:t>
            </w:r>
          </w:p>
        </w:tc>
        <w:tc>
          <w:tcPr>
            <w:tcW w:w="3005" w:type="dxa"/>
            <w:vAlign w:val="center"/>
          </w:tcPr>
          <w:p w14:paraId="42E752CD" w14:textId="77777777" w:rsidR="00454A29" w:rsidRDefault="00454A29">
            <w:pPr>
              <w:pStyle w:val="ConsPlusNormal"/>
            </w:pPr>
            <w:r>
              <w:t>Доля детей в возрасте от 5 до 18 лет, охваченных дополнительным образованием</w:t>
            </w:r>
          </w:p>
        </w:tc>
        <w:tc>
          <w:tcPr>
            <w:tcW w:w="1304" w:type="dxa"/>
            <w:vAlign w:val="center"/>
          </w:tcPr>
          <w:p w14:paraId="3F60671A" w14:textId="77777777" w:rsidR="00454A29" w:rsidRDefault="00454A29">
            <w:pPr>
              <w:pStyle w:val="ConsPlusNormal"/>
              <w:jc w:val="center"/>
            </w:pPr>
            <w:r>
              <w:t>%</w:t>
            </w:r>
          </w:p>
        </w:tc>
        <w:tc>
          <w:tcPr>
            <w:tcW w:w="1984" w:type="dxa"/>
            <w:vAlign w:val="center"/>
          </w:tcPr>
          <w:p w14:paraId="7060281C" w14:textId="77777777" w:rsidR="00454A29" w:rsidRDefault="00454A29">
            <w:pPr>
              <w:pStyle w:val="ConsPlusNormal"/>
              <w:jc w:val="center"/>
            </w:pPr>
            <w:r>
              <w:t>Минобрнауки РС(Я)</w:t>
            </w:r>
          </w:p>
        </w:tc>
        <w:tc>
          <w:tcPr>
            <w:tcW w:w="964" w:type="dxa"/>
            <w:vAlign w:val="center"/>
          </w:tcPr>
          <w:p w14:paraId="33EFA7F1" w14:textId="77777777" w:rsidR="00454A29" w:rsidRDefault="00454A29">
            <w:pPr>
              <w:pStyle w:val="ConsPlusNormal"/>
              <w:jc w:val="center"/>
            </w:pPr>
            <w:r>
              <w:t>77</w:t>
            </w:r>
          </w:p>
        </w:tc>
        <w:tc>
          <w:tcPr>
            <w:tcW w:w="964" w:type="dxa"/>
            <w:vAlign w:val="center"/>
          </w:tcPr>
          <w:p w14:paraId="0C0AA670" w14:textId="77777777" w:rsidR="00454A29" w:rsidRDefault="00454A29">
            <w:pPr>
              <w:pStyle w:val="ConsPlusNormal"/>
              <w:jc w:val="center"/>
            </w:pPr>
            <w:r>
              <w:t>78</w:t>
            </w:r>
          </w:p>
        </w:tc>
        <w:tc>
          <w:tcPr>
            <w:tcW w:w="964" w:type="dxa"/>
            <w:vAlign w:val="center"/>
          </w:tcPr>
          <w:p w14:paraId="0F9FE105" w14:textId="77777777" w:rsidR="00454A29" w:rsidRDefault="00454A29">
            <w:pPr>
              <w:pStyle w:val="ConsPlusNormal"/>
              <w:jc w:val="center"/>
            </w:pPr>
            <w:r>
              <w:t>78,5</w:t>
            </w:r>
          </w:p>
        </w:tc>
        <w:tc>
          <w:tcPr>
            <w:tcW w:w="964" w:type="dxa"/>
            <w:vAlign w:val="center"/>
          </w:tcPr>
          <w:p w14:paraId="0388377D" w14:textId="77777777" w:rsidR="00454A29" w:rsidRDefault="00454A29">
            <w:pPr>
              <w:pStyle w:val="ConsPlusNormal"/>
              <w:jc w:val="center"/>
            </w:pPr>
            <w:r>
              <w:t>79</w:t>
            </w:r>
          </w:p>
        </w:tc>
        <w:tc>
          <w:tcPr>
            <w:tcW w:w="964" w:type="dxa"/>
            <w:vAlign w:val="center"/>
          </w:tcPr>
          <w:p w14:paraId="1BC57281" w14:textId="77777777" w:rsidR="00454A29" w:rsidRDefault="00454A29">
            <w:pPr>
              <w:pStyle w:val="ConsPlusNormal"/>
              <w:jc w:val="center"/>
            </w:pPr>
            <w:r>
              <w:t>80</w:t>
            </w:r>
          </w:p>
        </w:tc>
        <w:tc>
          <w:tcPr>
            <w:tcW w:w="964" w:type="dxa"/>
            <w:vAlign w:val="center"/>
          </w:tcPr>
          <w:p w14:paraId="00C68C45" w14:textId="77777777" w:rsidR="00454A29" w:rsidRDefault="00454A29">
            <w:pPr>
              <w:pStyle w:val="ConsPlusNormal"/>
              <w:jc w:val="center"/>
            </w:pPr>
            <w:r>
              <w:t>87</w:t>
            </w:r>
          </w:p>
        </w:tc>
        <w:tc>
          <w:tcPr>
            <w:tcW w:w="964" w:type="dxa"/>
            <w:vAlign w:val="center"/>
          </w:tcPr>
          <w:p w14:paraId="5BFFD887" w14:textId="77777777" w:rsidR="00454A29" w:rsidRDefault="00454A29">
            <w:pPr>
              <w:pStyle w:val="ConsPlusNormal"/>
              <w:jc w:val="center"/>
            </w:pPr>
            <w:r>
              <w:t>90</w:t>
            </w:r>
          </w:p>
        </w:tc>
      </w:tr>
      <w:tr w:rsidR="00454A29" w14:paraId="2FD38A9D" w14:textId="77777777">
        <w:tc>
          <w:tcPr>
            <w:tcW w:w="13608" w:type="dxa"/>
            <w:gridSpan w:val="11"/>
            <w:vAlign w:val="center"/>
          </w:tcPr>
          <w:p w14:paraId="2A3AE0EC" w14:textId="77777777" w:rsidR="00454A29" w:rsidRDefault="00454A29">
            <w:pPr>
              <w:pStyle w:val="ConsPlusNormal"/>
              <w:jc w:val="center"/>
            </w:pPr>
            <w:r>
              <w:t>Основное мероприятие 4.2. Обновление содержания и технологий воспитания</w:t>
            </w:r>
          </w:p>
        </w:tc>
      </w:tr>
      <w:tr w:rsidR="00454A29" w14:paraId="20655C77" w14:textId="77777777">
        <w:tc>
          <w:tcPr>
            <w:tcW w:w="567" w:type="dxa"/>
            <w:vAlign w:val="center"/>
          </w:tcPr>
          <w:p w14:paraId="617975F3" w14:textId="77777777" w:rsidR="00454A29" w:rsidRDefault="00454A29">
            <w:pPr>
              <w:pStyle w:val="ConsPlusNormal"/>
              <w:jc w:val="center"/>
            </w:pPr>
            <w:r>
              <w:t>1</w:t>
            </w:r>
          </w:p>
        </w:tc>
        <w:tc>
          <w:tcPr>
            <w:tcW w:w="3005" w:type="dxa"/>
            <w:vAlign w:val="center"/>
          </w:tcPr>
          <w:p w14:paraId="0BAEC35C" w14:textId="77777777" w:rsidR="00454A29" w:rsidRDefault="00454A29">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1304" w:type="dxa"/>
            <w:vAlign w:val="center"/>
          </w:tcPr>
          <w:p w14:paraId="4A895492" w14:textId="77777777" w:rsidR="00454A29" w:rsidRDefault="00454A29">
            <w:pPr>
              <w:pStyle w:val="ConsPlusNormal"/>
              <w:jc w:val="center"/>
            </w:pPr>
            <w:r>
              <w:t>тыс. чел.</w:t>
            </w:r>
          </w:p>
        </w:tc>
        <w:tc>
          <w:tcPr>
            <w:tcW w:w="1984" w:type="dxa"/>
            <w:vAlign w:val="center"/>
          </w:tcPr>
          <w:p w14:paraId="117E4F11" w14:textId="77777777" w:rsidR="00454A29" w:rsidRDefault="00454A29">
            <w:pPr>
              <w:pStyle w:val="ConsPlusNormal"/>
              <w:jc w:val="center"/>
            </w:pPr>
            <w:r>
              <w:t>Минобрнауки РС(Я)</w:t>
            </w:r>
          </w:p>
        </w:tc>
        <w:tc>
          <w:tcPr>
            <w:tcW w:w="964" w:type="dxa"/>
            <w:vAlign w:val="center"/>
          </w:tcPr>
          <w:p w14:paraId="35ABF37A" w14:textId="77777777" w:rsidR="00454A29" w:rsidRDefault="00454A29">
            <w:pPr>
              <w:pStyle w:val="ConsPlusNormal"/>
              <w:jc w:val="center"/>
            </w:pPr>
            <w:r>
              <w:t>70</w:t>
            </w:r>
          </w:p>
        </w:tc>
        <w:tc>
          <w:tcPr>
            <w:tcW w:w="964" w:type="dxa"/>
            <w:vAlign w:val="center"/>
          </w:tcPr>
          <w:p w14:paraId="20A860EB" w14:textId="77777777" w:rsidR="00454A29" w:rsidRDefault="00454A29">
            <w:pPr>
              <w:pStyle w:val="ConsPlusNormal"/>
              <w:jc w:val="center"/>
            </w:pPr>
            <w:r>
              <w:t>73</w:t>
            </w:r>
          </w:p>
        </w:tc>
        <w:tc>
          <w:tcPr>
            <w:tcW w:w="964" w:type="dxa"/>
            <w:vAlign w:val="center"/>
          </w:tcPr>
          <w:p w14:paraId="769AE9CA" w14:textId="77777777" w:rsidR="00454A29" w:rsidRDefault="00454A29">
            <w:pPr>
              <w:pStyle w:val="ConsPlusNormal"/>
              <w:jc w:val="center"/>
            </w:pPr>
            <w:r>
              <w:t>75</w:t>
            </w:r>
          </w:p>
        </w:tc>
        <w:tc>
          <w:tcPr>
            <w:tcW w:w="964" w:type="dxa"/>
            <w:vAlign w:val="center"/>
          </w:tcPr>
          <w:p w14:paraId="3007E318" w14:textId="77777777" w:rsidR="00454A29" w:rsidRDefault="00454A29">
            <w:pPr>
              <w:pStyle w:val="ConsPlusNormal"/>
              <w:jc w:val="center"/>
            </w:pPr>
            <w:r>
              <w:t>77</w:t>
            </w:r>
          </w:p>
        </w:tc>
        <w:tc>
          <w:tcPr>
            <w:tcW w:w="964" w:type="dxa"/>
            <w:vAlign w:val="center"/>
          </w:tcPr>
          <w:p w14:paraId="399FDB2C" w14:textId="77777777" w:rsidR="00454A29" w:rsidRDefault="00454A29">
            <w:pPr>
              <w:pStyle w:val="ConsPlusNormal"/>
              <w:jc w:val="center"/>
            </w:pPr>
            <w:r>
              <w:t>78,5</w:t>
            </w:r>
          </w:p>
        </w:tc>
        <w:tc>
          <w:tcPr>
            <w:tcW w:w="964" w:type="dxa"/>
            <w:vAlign w:val="center"/>
          </w:tcPr>
          <w:p w14:paraId="44A7FD74" w14:textId="77777777" w:rsidR="00454A29" w:rsidRDefault="00454A29">
            <w:pPr>
              <w:pStyle w:val="ConsPlusNormal"/>
              <w:jc w:val="center"/>
            </w:pPr>
            <w:r>
              <w:t>80</w:t>
            </w:r>
          </w:p>
        </w:tc>
        <w:tc>
          <w:tcPr>
            <w:tcW w:w="964" w:type="dxa"/>
            <w:vAlign w:val="center"/>
          </w:tcPr>
          <w:p w14:paraId="7BB31624" w14:textId="77777777" w:rsidR="00454A29" w:rsidRDefault="00454A29">
            <w:pPr>
              <w:pStyle w:val="ConsPlusNormal"/>
              <w:jc w:val="center"/>
            </w:pPr>
            <w:r>
              <w:t>80</w:t>
            </w:r>
          </w:p>
        </w:tc>
      </w:tr>
      <w:tr w:rsidR="00454A29" w14:paraId="676C045A" w14:textId="77777777">
        <w:tc>
          <w:tcPr>
            <w:tcW w:w="13608" w:type="dxa"/>
            <w:gridSpan w:val="11"/>
            <w:vAlign w:val="center"/>
          </w:tcPr>
          <w:p w14:paraId="6B98FE98" w14:textId="77777777" w:rsidR="00454A29" w:rsidRDefault="00454A29">
            <w:pPr>
              <w:pStyle w:val="ConsPlusNormal"/>
              <w:jc w:val="center"/>
            </w:pPr>
            <w:r>
              <w:t>Основное мероприятие 4.3. Реализация регионального проекта "Успех каждого ребенка"</w:t>
            </w:r>
          </w:p>
        </w:tc>
      </w:tr>
      <w:tr w:rsidR="00454A29" w14:paraId="74274706" w14:textId="77777777">
        <w:tc>
          <w:tcPr>
            <w:tcW w:w="567" w:type="dxa"/>
            <w:vAlign w:val="center"/>
          </w:tcPr>
          <w:p w14:paraId="35EFE9B5" w14:textId="77777777" w:rsidR="00454A29" w:rsidRDefault="00454A29">
            <w:pPr>
              <w:pStyle w:val="ConsPlusNormal"/>
              <w:jc w:val="center"/>
            </w:pPr>
            <w:r>
              <w:t>1</w:t>
            </w:r>
          </w:p>
        </w:tc>
        <w:tc>
          <w:tcPr>
            <w:tcW w:w="3005" w:type="dxa"/>
            <w:vAlign w:val="center"/>
          </w:tcPr>
          <w:p w14:paraId="4FE585A4" w14:textId="77777777" w:rsidR="00454A29" w:rsidRDefault="00454A29">
            <w:pPr>
              <w:pStyle w:val="ConsPlusNormal"/>
            </w:pPr>
            <w:r>
              <w:t xml:space="preserve">Доля детей в возрасте от 5 до </w:t>
            </w:r>
            <w:r>
              <w:lastRenderedPageBreak/>
              <w:t>18 лет, охваченных дополнительным образованием</w:t>
            </w:r>
          </w:p>
        </w:tc>
        <w:tc>
          <w:tcPr>
            <w:tcW w:w="1304" w:type="dxa"/>
            <w:vAlign w:val="center"/>
          </w:tcPr>
          <w:p w14:paraId="3344C9F5" w14:textId="77777777" w:rsidR="00454A29" w:rsidRDefault="00454A29">
            <w:pPr>
              <w:pStyle w:val="ConsPlusNormal"/>
              <w:jc w:val="center"/>
            </w:pPr>
            <w:r>
              <w:lastRenderedPageBreak/>
              <w:t>%</w:t>
            </w:r>
          </w:p>
        </w:tc>
        <w:tc>
          <w:tcPr>
            <w:tcW w:w="1984" w:type="dxa"/>
            <w:vAlign w:val="center"/>
          </w:tcPr>
          <w:p w14:paraId="71048CA0" w14:textId="77777777" w:rsidR="00454A29" w:rsidRDefault="00454A29">
            <w:pPr>
              <w:pStyle w:val="ConsPlusNormal"/>
              <w:jc w:val="center"/>
            </w:pPr>
            <w:r>
              <w:t>Минобрнауки РС(Я)</w:t>
            </w:r>
          </w:p>
        </w:tc>
        <w:tc>
          <w:tcPr>
            <w:tcW w:w="964" w:type="dxa"/>
            <w:vAlign w:val="center"/>
          </w:tcPr>
          <w:p w14:paraId="5693C10C" w14:textId="77777777" w:rsidR="00454A29" w:rsidRDefault="00454A29">
            <w:pPr>
              <w:pStyle w:val="ConsPlusNormal"/>
              <w:jc w:val="center"/>
            </w:pPr>
            <w:r>
              <w:t>77</w:t>
            </w:r>
          </w:p>
        </w:tc>
        <w:tc>
          <w:tcPr>
            <w:tcW w:w="964" w:type="dxa"/>
            <w:vAlign w:val="center"/>
          </w:tcPr>
          <w:p w14:paraId="7D61CAFD" w14:textId="77777777" w:rsidR="00454A29" w:rsidRDefault="00454A29">
            <w:pPr>
              <w:pStyle w:val="ConsPlusNormal"/>
              <w:jc w:val="center"/>
            </w:pPr>
            <w:r>
              <w:t>78</w:t>
            </w:r>
          </w:p>
        </w:tc>
        <w:tc>
          <w:tcPr>
            <w:tcW w:w="964" w:type="dxa"/>
            <w:vAlign w:val="center"/>
          </w:tcPr>
          <w:p w14:paraId="2BB53FC0" w14:textId="77777777" w:rsidR="00454A29" w:rsidRDefault="00454A29">
            <w:pPr>
              <w:pStyle w:val="ConsPlusNormal"/>
              <w:jc w:val="center"/>
            </w:pPr>
            <w:r>
              <w:t>78,5</w:t>
            </w:r>
          </w:p>
        </w:tc>
        <w:tc>
          <w:tcPr>
            <w:tcW w:w="964" w:type="dxa"/>
            <w:vAlign w:val="center"/>
          </w:tcPr>
          <w:p w14:paraId="635B7BB2" w14:textId="77777777" w:rsidR="00454A29" w:rsidRDefault="00454A29">
            <w:pPr>
              <w:pStyle w:val="ConsPlusNormal"/>
              <w:jc w:val="center"/>
            </w:pPr>
            <w:r>
              <w:t>79</w:t>
            </w:r>
          </w:p>
        </w:tc>
        <w:tc>
          <w:tcPr>
            <w:tcW w:w="964" w:type="dxa"/>
            <w:vAlign w:val="center"/>
          </w:tcPr>
          <w:p w14:paraId="47A5386D" w14:textId="77777777" w:rsidR="00454A29" w:rsidRDefault="00454A29">
            <w:pPr>
              <w:pStyle w:val="ConsPlusNormal"/>
              <w:jc w:val="center"/>
            </w:pPr>
            <w:r>
              <w:t>80</w:t>
            </w:r>
          </w:p>
        </w:tc>
        <w:tc>
          <w:tcPr>
            <w:tcW w:w="964" w:type="dxa"/>
            <w:vAlign w:val="center"/>
          </w:tcPr>
          <w:p w14:paraId="2872827E" w14:textId="77777777" w:rsidR="00454A29" w:rsidRDefault="00454A29">
            <w:pPr>
              <w:pStyle w:val="ConsPlusNormal"/>
              <w:jc w:val="center"/>
            </w:pPr>
            <w:r>
              <w:t>x</w:t>
            </w:r>
          </w:p>
        </w:tc>
        <w:tc>
          <w:tcPr>
            <w:tcW w:w="964" w:type="dxa"/>
            <w:vAlign w:val="center"/>
          </w:tcPr>
          <w:p w14:paraId="4C04EDE5" w14:textId="77777777" w:rsidR="00454A29" w:rsidRDefault="00454A29">
            <w:pPr>
              <w:pStyle w:val="ConsPlusNormal"/>
              <w:jc w:val="center"/>
            </w:pPr>
            <w:r>
              <w:t>x</w:t>
            </w:r>
          </w:p>
        </w:tc>
      </w:tr>
      <w:tr w:rsidR="00454A29" w14:paraId="602C249C" w14:textId="77777777">
        <w:tc>
          <w:tcPr>
            <w:tcW w:w="567" w:type="dxa"/>
            <w:vAlign w:val="center"/>
          </w:tcPr>
          <w:p w14:paraId="21DCB368" w14:textId="77777777" w:rsidR="00454A29" w:rsidRDefault="00454A29">
            <w:pPr>
              <w:pStyle w:val="ConsPlusNormal"/>
              <w:jc w:val="center"/>
            </w:pPr>
            <w:r>
              <w:t>2</w:t>
            </w:r>
          </w:p>
        </w:tc>
        <w:tc>
          <w:tcPr>
            <w:tcW w:w="3005" w:type="dxa"/>
            <w:vAlign w:val="center"/>
          </w:tcPr>
          <w:p w14:paraId="2ADB6AEF" w14:textId="77777777" w:rsidR="00454A29" w:rsidRDefault="00454A29">
            <w:pPr>
              <w:pStyle w:val="ConsPlusNormal"/>
            </w:pPr>
            <w:r>
              <w:t>Число детей, проживающих в Республике Саха (Якутия),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304" w:type="dxa"/>
            <w:vAlign w:val="center"/>
          </w:tcPr>
          <w:p w14:paraId="3EA2179C" w14:textId="77777777" w:rsidR="00454A29" w:rsidRDefault="00454A29">
            <w:pPr>
              <w:pStyle w:val="ConsPlusNormal"/>
              <w:jc w:val="center"/>
            </w:pPr>
            <w:r>
              <w:t>тыс. чел.</w:t>
            </w:r>
          </w:p>
        </w:tc>
        <w:tc>
          <w:tcPr>
            <w:tcW w:w="1984" w:type="dxa"/>
            <w:vAlign w:val="center"/>
          </w:tcPr>
          <w:p w14:paraId="6B708BC5" w14:textId="77777777" w:rsidR="00454A29" w:rsidRDefault="00454A29">
            <w:pPr>
              <w:pStyle w:val="ConsPlusNormal"/>
              <w:jc w:val="center"/>
            </w:pPr>
            <w:r>
              <w:t>Минобрнауки РС(Я)</w:t>
            </w:r>
          </w:p>
        </w:tc>
        <w:tc>
          <w:tcPr>
            <w:tcW w:w="964" w:type="dxa"/>
            <w:vAlign w:val="center"/>
          </w:tcPr>
          <w:p w14:paraId="57AEE513" w14:textId="77777777" w:rsidR="00454A29" w:rsidRDefault="00454A29">
            <w:pPr>
              <w:pStyle w:val="ConsPlusNormal"/>
              <w:jc w:val="center"/>
            </w:pPr>
            <w:r>
              <w:t>8</w:t>
            </w:r>
          </w:p>
        </w:tc>
        <w:tc>
          <w:tcPr>
            <w:tcW w:w="964" w:type="dxa"/>
            <w:vAlign w:val="center"/>
          </w:tcPr>
          <w:p w14:paraId="6B96E1F1" w14:textId="77777777" w:rsidR="00454A29" w:rsidRDefault="00454A29">
            <w:pPr>
              <w:pStyle w:val="ConsPlusNormal"/>
              <w:jc w:val="center"/>
            </w:pPr>
            <w:r>
              <w:t>12</w:t>
            </w:r>
          </w:p>
        </w:tc>
        <w:tc>
          <w:tcPr>
            <w:tcW w:w="964" w:type="dxa"/>
            <w:vAlign w:val="center"/>
          </w:tcPr>
          <w:p w14:paraId="1666C4CD" w14:textId="77777777" w:rsidR="00454A29" w:rsidRDefault="00454A29">
            <w:pPr>
              <w:pStyle w:val="ConsPlusNormal"/>
              <w:jc w:val="center"/>
            </w:pPr>
            <w:r>
              <w:t>16</w:t>
            </w:r>
          </w:p>
        </w:tc>
        <w:tc>
          <w:tcPr>
            <w:tcW w:w="964" w:type="dxa"/>
            <w:vAlign w:val="center"/>
          </w:tcPr>
          <w:p w14:paraId="7F98B5D3" w14:textId="77777777" w:rsidR="00454A29" w:rsidRDefault="00454A29">
            <w:pPr>
              <w:pStyle w:val="ConsPlusNormal"/>
              <w:jc w:val="center"/>
            </w:pPr>
            <w:r>
              <w:t>20</w:t>
            </w:r>
          </w:p>
        </w:tc>
        <w:tc>
          <w:tcPr>
            <w:tcW w:w="964" w:type="dxa"/>
            <w:vAlign w:val="center"/>
          </w:tcPr>
          <w:p w14:paraId="20845930" w14:textId="77777777" w:rsidR="00454A29" w:rsidRDefault="00454A29">
            <w:pPr>
              <w:pStyle w:val="ConsPlusNormal"/>
              <w:jc w:val="center"/>
            </w:pPr>
            <w:r>
              <w:t>24</w:t>
            </w:r>
          </w:p>
        </w:tc>
        <w:tc>
          <w:tcPr>
            <w:tcW w:w="964" w:type="dxa"/>
            <w:vAlign w:val="center"/>
          </w:tcPr>
          <w:p w14:paraId="105E51E5" w14:textId="77777777" w:rsidR="00454A29" w:rsidRDefault="00454A29">
            <w:pPr>
              <w:pStyle w:val="ConsPlusNormal"/>
              <w:jc w:val="center"/>
            </w:pPr>
            <w:r>
              <w:t>x</w:t>
            </w:r>
          </w:p>
        </w:tc>
        <w:tc>
          <w:tcPr>
            <w:tcW w:w="964" w:type="dxa"/>
            <w:vAlign w:val="center"/>
          </w:tcPr>
          <w:p w14:paraId="0D786E4C" w14:textId="77777777" w:rsidR="00454A29" w:rsidRDefault="00454A29">
            <w:pPr>
              <w:pStyle w:val="ConsPlusNormal"/>
              <w:jc w:val="center"/>
            </w:pPr>
            <w:r>
              <w:t>x</w:t>
            </w:r>
          </w:p>
        </w:tc>
      </w:tr>
      <w:tr w:rsidR="00454A29" w14:paraId="67305CDA" w14:textId="77777777">
        <w:tc>
          <w:tcPr>
            <w:tcW w:w="567" w:type="dxa"/>
            <w:vAlign w:val="center"/>
          </w:tcPr>
          <w:p w14:paraId="18856E0F" w14:textId="77777777" w:rsidR="00454A29" w:rsidRDefault="00454A29">
            <w:pPr>
              <w:pStyle w:val="ConsPlusNormal"/>
              <w:jc w:val="center"/>
            </w:pPr>
            <w:r>
              <w:t>3</w:t>
            </w:r>
          </w:p>
        </w:tc>
        <w:tc>
          <w:tcPr>
            <w:tcW w:w="3005" w:type="dxa"/>
            <w:vAlign w:val="center"/>
          </w:tcPr>
          <w:p w14:paraId="51DBF2D1" w14:textId="77777777" w:rsidR="00454A29" w:rsidRDefault="00454A29">
            <w:pPr>
              <w:pStyle w:val="ConsPlusNormal"/>
            </w:pPr>
            <w: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w:t>
            </w:r>
            <w:r>
              <w:lastRenderedPageBreak/>
              <w:t>профориентацию</w:t>
            </w:r>
          </w:p>
        </w:tc>
        <w:tc>
          <w:tcPr>
            <w:tcW w:w="1304" w:type="dxa"/>
            <w:vAlign w:val="center"/>
          </w:tcPr>
          <w:p w14:paraId="7DFF0CB2" w14:textId="77777777" w:rsidR="00454A29" w:rsidRDefault="00454A29">
            <w:pPr>
              <w:pStyle w:val="ConsPlusNormal"/>
              <w:jc w:val="center"/>
            </w:pPr>
            <w:r>
              <w:lastRenderedPageBreak/>
              <w:t>тыс. чел.</w:t>
            </w:r>
          </w:p>
        </w:tc>
        <w:tc>
          <w:tcPr>
            <w:tcW w:w="1984" w:type="dxa"/>
            <w:vAlign w:val="center"/>
          </w:tcPr>
          <w:p w14:paraId="3C970186" w14:textId="77777777" w:rsidR="00454A29" w:rsidRDefault="00454A29">
            <w:pPr>
              <w:pStyle w:val="ConsPlusNormal"/>
              <w:jc w:val="center"/>
            </w:pPr>
            <w:r>
              <w:t>Минобрнауки РС(Я)</w:t>
            </w:r>
          </w:p>
        </w:tc>
        <w:tc>
          <w:tcPr>
            <w:tcW w:w="964" w:type="dxa"/>
            <w:vAlign w:val="center"/>
          </w:tcPr>
          <w:p w14:paraId="08224B13" w14:textId="77777777" w:rsidR="00454A29" w:rsidRDefault="00454A29">
            <w:pPr>
              <w:pStyle w:val="ConsPlusNormal"/>
              <w:jc w:val="center"/>
            </w:pPr>
            <w:r>
              <w:t>54,8</w:t>
            </w:r>
          </w:p>
        </w:tc>
        <w:tc>
          <w:tcPr>
            <w:tcW w:w="964" w:type="dxa"/>
            <w:vAlign w:val="center"/>
          </w:tcPr>
          <w:p w14:paraId="26A6BFC4" w14:textId="77777777" w:rsidR="00454A29" w:rsidRDefault="00454A29">
            <w:pPr>
              <w:pStyle w:val="ConsPlusNormal"/>
              <w:jc w:val="center"/>
            </w:pPr>
            <w:r>
              <w:t>93,7</w:t>
            </w:r>
          </w:p>
        </w:tc>
        <w:tc>
          <w:tcPr>
            <w:tcW w:w="964" w:type="dxa"/>
            <w:vAlign w:val="center"/>
          </w:tcPr>
          <w:p w14:paraId="66178DF4" w14:textId="77777777" w:rsidR="00454A29" w:rsidRDefault="00454A29">
            <w:pPr>
              <w:pStyle w:val="ConsPlusNormal"/>
              <w:jc w:val="center"/>
            </w:pPr>
            <w:r>
              <w:t>93,7</w:t>
            </w:r>
          </w:p>
        </w:tc>
        <w:tc>
          <w:tcPr>
            <w:tcW w:w="964" w:type="dxa"/>
            <w:vAlign w:val="center"/>
          </w:tcPr>
          <w:p w14:paraId="30ADBBFC" w14:textId="77777777" w:rsidR="00454A29" w:rsidRDefault="00454A29">
            <w:pPr>
              <w:pStyle w:val="ConsPlusNormal"/>
              <w:jc w:val="center"/>
            </w:pPr>
            <w:r>
              <w:t>93,7</w:t>
            </w:r>
          </w:p>
        </w:tc>
        <w:tc>
          <w:tcPr>
            <w:tcW w:w="964" w:type="dxa"/>
            <w:vAlign w:val="center"/>
          </w:tcPr>
          <w:p w14:paraId="14116D12" w14:textId="77777777" w:rsidR="00454A29" w:rsidRDefault="00454A29">
            <w:pPr>
              <w:pStyle w:val="ConsPlusNormal"/>
              <w:jc w:val="center"/>
            </w:pPr>
            <w:r>
              <w:t>108,1</w:t>
            </w:r>
          </w:p>
        </w:tc>
        <w:tc>
          <w:tcPr>
            <w:tcW w:w="964" w:type="dxa"/>
            <w:vAlign w:val="center"/>
          </w:tcPr>
          <w:p w14:paraId="7B91F9B1" w14:textId="77777777" w:rsidR="00454A29" w:rsidRDefault="00454A29">
            <w:pPr>
              <w:pStyle w:val="ConsPlusNormal"/>
              <w:jc w:val="center"/>
            </w:pPr>
            <w:r>
              <w:t>x</w:t>
            </w:r>
          </w:p>
        </w:tc>
        <w:tc>
          <w:tcPr>
            <w:tcW w:w="964" w:type="dxa"/>
            <w:vAlign w:val="center"/>
          </w:tcPr>
          <w:p w14:paraId="2A24F74F" w14:textId="77777777" w:rsidR="00454A29" w:rsidRDefault="00454A29">
            <w:pPr>
              <w:pStyle w:val="ConsPlusNormal"/>
              <w:jc w:val="center"/>
            </w:pPr>
            <w:r>
              <w:t>x</w:t>
            </w:r>
          </w:p>
        </w:tc>
      </w:tr>
      <w:tr w:rsidR="00454A29" w14:paraId="56D3321A" w14:textId="77777777">
        <w:tc>
          <w:tcPr>
            <w:tcW w:w="567" w:type="dxa"/>
            <w:vAlign w:val="center"/>
          </w:tcPr>
          <w:p w14:paraId="4566F827" w14:textId="77777777" w:rsidR="00454A29" w:rsidRDefault="00454A29">
            <w:pPr>
              <w:pStyle w:val="ConsPlusNormal"/>
              <w:jc w:val="center"/>
            </w:pPr>
            <w:r>
              <w:t>4</w:t>
            </w:r>
          </w:p>
        </w:tc>
        <w:tc>
          <w:tcPr>
            <w:tcW w:w="3005" w:type="dxa"/>
            <w:vAlign w:val="center"/>
          </w:tcPr>
          <w:p w14:paraId="1A4ACBA8" w14:textId="77777777" w:rsidR="00454A29" w:rsidRDefault="00454A29">
            <w:pPr>
              <w:pStyle w:val="ConsPlusNormal"/>
            </w:pPr>
            <w:r>
              <w:t>Число детей, проживающих в Республике Саха (Якутия),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w:t>
            </w:r>
          </w:p>
        </w:tc>
        <w:tc>
          <w:tcPr>
            <w:tcW w:w="1304" w:type="dxa"/>
            <w:vAlign w:val="center"/>
          </w:tcPr>
          <w:p w14:paraId="4273BD8E" w14:textId="77777777" w:rsidR="00454A29" w:rsidRDefault="00454A29">
            <w:pPr>
              <w:pStyle w:val="ConsPlusNormal"/>
              <w:jc w:val="center"/>
            </w:pPr>
            <w:r>
              <w:t>тыс. чел.</w:t>
            </w:r>
          </w:p>
        </w:tc>
        <w:tc>
          <w:tcPr>
            <w:tcW w:w="1984" w:type="dxa"/>
            <w:vAlign w:val="center"/>
          </w:tcPr>
          <w:p w14:paraId="6D3BBC09" w14:textId="77777777" w:rsidR="00454A29" w:rsidRDefault="00454A29">
            <w:pPr>
              <w:pStyle w:val="ConsPlusNormal"/>
              <w:jc w:val="center"/>
            </w:pPr>
            <w:r>
              <w:t>Минобрнауки РС(Я)</w:t>
            </w:r>
          </w:p>
        </w:tc>
        <w:tc>
          <w:tcPr>
            <w:tcW w:w="964" w:type="dxa"/>
            <w:vAlign w:val="center"/>
          </w:tcPr>
          <w:p w14:paraId="27A9A21A" w14:textId="77777777" w:rsidR="00454A29" w:rsidRDefault="00454A29">
            <w:pPr>
              <w:pStyle w:val="ConsPlusNormal"/>
              <w:jc w:val="center"/>
            </w:pPr>
            <w:r>
              <w:t>2,4</w:t>
            </w:r>
          </w:p>
        </w:tc>
        <w:tc>
          <w:tcPr>
            <w:tcW w:w="964" w:type="dxa"/>
            <w:vAlign w:val="center"/>
          </w:tcPr>
          <w:p w14:paraId="31BC8A99" w14:textId="77777777" w:rsidR="00454A29" w:rsidRDefault="00454A29">
            <w:pPr>
              <w:pStyle w:val="ConsPlusNormal"/>
              <w:jc w:val="center"/>
            </w:pPr>
            <w:r>
              <w:t>3,4</w:t>
            </w:r>
          </w:p>
        </w:tc>
        <w:tc>
          <w:tcPr>
            <w:tcW w:w="964" w:type="dxa"/>
            <w:vAlign w:val="center"/>
          </w:tcPr>
          <w:p w14:paraId="291DF08A" w14:textId="77777777" w:rsidR="00454A29" w:rsidRDefault="00454A29">
            <w:pPr>
              <w:pStyle w:val="ConsPlusNormal"/>
              <w:jc w:val="center"/>
            </w:pPr>
            <w:r>
              <w:t>4,4</w:t>
            </w:r>
          </w:p>
        </w:tc>
        <w:tc>
          <w:tcPr>
            <w:tcW w:w="964" w:type="dxa"/>
            <w:vAlign w:val="center"/>
          </w:tcPr>
          <w:p w14:paraId="7CA1B99E" w14:textId="77777777" w:rsidR="00454A29" w:rsidRDefault="00454A29">
            <w:pPr>
              <w:pStyle w:val="ConsPlusNormal"/>
              <w:jc w:val="center"/>
            </w:pPr>
            <w:r>
              <w:t>5,4</w:t>
            </w:r>
          </w:p>
        </w:tc>
        <w:tc>
          <w:tcPr>
            <w:tcW w:w="964" w:type="dxa"/>
            <w:vAlign w:val="center"/>
          </w:tcPr>
          <w:p w14:paraId="635ADA48" w14:textId="77777777" w:rsidR="00454A29" w:rsidRDefault="00454A29">
            <w:pPr>
              <w:pStyle w:val="ConsPlusNormal"/>
              <w:jc w:val="center"/>
            </w:pPr>
            <w:r>
              <w:t>6,4</w:t>
            </w:r>
          </w:p>
        </w:tc>
        <w:tc>
          <w:tcPr>
            <w:tcW w:w="964" w:type="dxa"/>
            <w:vAlign w:val="center"/>
          </w:tcPr>
          <w:p w14:paraId="2F74EDF9" w14:textId="77777777" w:rsidR="00454A29" w:rsidRDefault="00454A29">
            <w:pPr>
              <w:pStyle w:val="ConsPlusNormal"/>
              <w:jc w:val="center"/>
            </w:pPr>
            <w:r>
              <w:t>x</w:t>
            </w:r>
          </w:p>
        </w:tc>
        <w:tc>
          <w:tcPr>
            <w:tcW w:w="964" w:type="dxa"/>
            <w:vAlign w:val="center"/>
          </w:tcPr>
          <w:p w14:paraId="33DA3FED" w14:textId="77777777" w:rsidR="00454A29" w:rsidRDefault="00454A29">
            <w:pPr>
              <w:pStyle w:val="ConsPlusNormal"/>
              <w:jc w:val="center"/>
            </w:pPr>
            <w:r>
              <w:t>x</w:t>
            </w:r>
          </w:p>
        </w:tc>
      </w:tr>
      <w:tr w:rsidR="00454A29" w14:paraId="513DD2F6" w14:textId="77777777">
        <w:tc>
          <w:tcPr>
            <w:tcW w:w="13608" w:type="dxa"/>
            <w:gridSpan w:val="11"/>
            <w:vAlign w:val="center"/>
          </w:tcPr>
          <w:p w14:paraId="7F35E276" w14:textId="77777777" w:rsidR="00454A29" w:rsidRDefault="00454A29">
            <w:pPr>
              <w:pStyle w:val="ConsPlusNormal"/>
              <w:jc w:val="center"/>
              <w:outlineLvl w:val="2"/>
            </w:pPr>
            <w:r>
              <w:t>Подпрограмма N 5. "Одаренные дети Якутии"</w:t>
            </w:r>
          </w:p>
        </w:tc>
      </w:tr>
      <w:tr w:rsidR="00454A29" w14:paraId="735866E2" w14:textId="77777777">
        <w:tc>
          <w:tcPr>
            <w:tcW w:w="567" w:type="dxa"/>
            <w:vAlign w:val="center"/>
          </w:tcPr>
          <w:p w14:paraId="4BD2F837" w14:textId="77777777" w:rsidR="00454A29" w:rsidRDefault="00454A29">
            <w:pPr>
              <w:pStyle w:val="ConsPlusNormal"/>
              <w:jc w:val="center"/>
            </w:pPr>
            <w:r>
              <w:t>1</w:t>
            </w:r>
          </w:p>
        </w:tc>
        <w:tc>
          <w:tcPr>
            <w:tcW w:w="3005" w:type="dxa"/>
            <w:vAlign w:val="center"/>
          </w:tcPr>
          <w:p w14:paraId="77892F71" w14:textId="77777777" w:rsidR="00454A29" w:rsidRDefault="00454A29">
            <w:pPr>
              <w:pStyle w:val="ConsPlusNormal"/>
            </w:pPr>
            <w: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1304" w:type="dxa"/>
            <w:vAlign w:val="center"/>
          </w:tcPr>
          <w:p w14:paraId="64EDFD9B" w14:textId="77777777" w:rsidR="00454A29" w:rsidRDefault="00454A29">
            <w:pPr>
              <w:pStyle w:val="ConsPlusNormal"/>
              <w:jc w:val="center"/>
            </w:pPr>
            <w:r>
              <w:t>%</w:t>
            </w:r>
          </w:p>
        </w:tc>
        <w:tc>
          <w:tcPr>
            <w:tcW w:w="1984" w:type="dxa"/>
            <w:vAlign w:val="center"/>
          </w:tcPr>
          <w:p w14:paraId="19271162" w14:textId="77777777" w:rsidR="00454A29" w:rsidRDefault="00454A29">
            <w:pPr>
              <w:pStyle w:val="ConsPlusNormal"/>
              <w:jc w:val="center"/>
            </w:pPr>
            <w:r>
              <w:t>Минобрнауки РС(Я)</w:t>
            </w:r>
          </w:p>
        </w:tc>
        <w:tc>
          <w:tcPr>
            <w:tcW w:w="964" w:type="dxa"/>
            <w:vAlign w:val="center"/>
          </w:tcPr>
          <w:p w14:paraId="0AD28990" w14:textId="77777777" w:rsidR="00454A29" w:rsidRDefault="00454A29">
            <w:pPr>
              <w:pStyle w:val="ConsPlusNormal"/>
              <w:jc w:val="center"/>
            </w:pPr>
            <w:r>
              <w:t>46</w:t>
            </w:r>
          </w:p>
        </w:tc>
        <w:tc>
          <w:tcPr>
            <w:tcW w:w="964" w:type="dxa"/>
            <w:vAlign w:val="center"/>
          </w:tcPr>
          <w:p w14:paraId="49F40C30" w14:textId="77777777" w:rsidR="00454A29" w:rsidRDefault="00454A29">
            <w:pPr>
              <w:pStyle w:val="ConsPlusNormal"/>
              <w:jc w:val="center"/>
            </w:pPr>
            <w:r>
              <w:t>48</w:t>
            </w:r>
          </w:p>
        </w:tc>
        <w:tc>
          <w:tcPr>
            <w:tcW w:w="964" w:type="dxa"/>
            <w:vAlign w:val="center"/>
          </w:tcPr>
          <w:p w14:paraId="32847417" w14:textId="77777777" w:rsidR="00454A29" w:rsidRDefault="00454A29">
            <w:pPr>
              <w:pStyle w:val="ConsPlusNormal"/>
              <w:jc w:val="center"/>
            </w:pPr>
            <w:r>
              <w:t>50</w:t>
            </w:r>
          </w:p>
        </w:tc>
        <w:tc>
          <w:tcPr>
            <w:tcW w:w="964" w:type="dxa"/>
            <w:vAlign w:val="center"/>
          </w:tcPr>
          <w:p w14:paraId="1E666A5A" w14:textId="77777777" w:rsidR="00454A29" w:rsidRDefault="00454A29">
            <w:pPr>
              <w:pStyle w:val="ConsPlusNormal"/>
              <w:jc w:val="center"/>
            </w:pPr>
            <w:r>
              <w:t>50</w:t>
            </w:r>
          </w:p>
        </w:tc>
        <w:tc>
          <w:tcPr>
            <w:tcW w:w="964" w:type="dxa"/>
            <w:vAlign w:val="center"/>
          </w:tcPr>
          <w:p w14:paraId="5A0AC9EC" w14:textId="77777777" w:rsidR="00454A29" w:rsidRDefault="00454A29">
            <w:pPr>
              <w:pStyle w:val="ConsPlusNormal"/>
              <w:jc w:val="center"/>
            </w:pPr>
            <w:r>
              <w:t>50</w:t>
            </w:r>
          </w:p>
        </w:tc>
        <w:tc>
          <w:tcPr>
            <w:tcW w:w="964" w:type="dxa"/>
            <w:vAlign w:val="center"/>
          </w:tcPr>
          <w:p w14:paraId="6AF14AA8" w14:textId="77777777" w:rsidR="00454A29" w:rsidRDefault="00454A29">
            <w:pPr>
              <w:pStyle w:val="ConsPlusNormal"/>
              <w:jc w:val="center"/>
            </w:pPr>
            <w:r>
              <w:t>50</w:t>
            </w:r>
          </w:p>
        </w:tc>
        <w:tc>
          <w:tcPr>
            <w:tcW w:w="964" w:type="dxa"/>
            <w:vAlign w:val="center"/>
          </w:tcPr>
          <w:p w14:paraId="45CA0CC3" w14:textId="77777777" w:rsidR="00454A29" w:rsidRDefault="00454A29">
            <w:pPr>
              <w:pStyle w:val="ConsPlusNormal"/>
              <w:jc w:val="center"/>
            </w:pPr>
            <w:r>
              <w:t>50</w:t>
            </w:r>
          </w:p>
        </w:tc>
      </w:tr>
      <w:tr w:rsidR="00454A29" w14:paraId="5D30E503" w14:textId="77777777">
        <w:tc>
          <w:tcPr>
            <w:tcW w:w="13608" w:type="dxa"/>
            <w:gridSpan w:val="11"/>
            <w:vAlign w:val="center"/>
          </w:tcPr>
          <w:p w14:paraId="216FE856" w14:textId="77777777" w:rsidR="00454A29" w:rsidRDefault="00454A29">
            <w:pPr>
              <w:pStyle w:val="ConsPlusNormal"/>
              <w:jc w:val="center"/>
            </w:pPr>
            <w:r>
              <w:t>Основное мероприятие 5.1. Совершенствование системы выявления, развития и поддержки одаренных детей</w:t>
            </w:r>
          </w:p>
        </w:tc>
      </w:tr>
      <w:tr w:rsidR="00454A29" w14:paraId="2D5A5F5B" w14:textId="77777777">
        <w:tc>
          <w:tcPr>
            <w:tcW w:w="567" w:type="dxa"/>
            <w:vAlign w:val="center"/>
          </w:tcPr>
          <w:p w14:paraId="37CE7FA7" w14:textId="77777777" w:rsidR="00454A29" w:rsidRDefault="00454A29">
            <w:pPr>
              <w:pStyle w:val="ConsPlusNormal"/>
              <w:jc w:val="center"/>
            </w:pPr>
            <w:r>
              <w:lastRenderedPageBreak/>
              <w:t>1</w:t>
            </w:r>
          </w:p>
        </w:tc>
        <w:tc>
          <w:tcPr>
            <w:tcW w:w="3005" w:type="dxa"/>
            <w:vAlign w:val="center"/>
          </w:tcPr>
          <w:p w14:paraId="08040229" w14:textId="77777777" w:rsidR="00454A29" w:rsidRDefault="00454A29">
            <w:pPr>
              <w:pStyle w:val="ConsPlusNormal"/>
            </w:pPr>
            <w:r>
              <w:t>Количество призеров заключительного этапа Всероссийской олимпиады школьников</w:t>
            </w:r>
          </w:p>
        </w:tc>
        <w:tc>
          <w:tcPr>
            <w:tcW w:w="1304" w:type="dxa"/>
            <w:vAlign w:val="center"/>
          </w:tcPr>
          <w:p w14:paraId="1CD3A63B" w14:textId="77777777" w:rsidR="00454A29" w:rsidRDefault="00454A29">
            <w:pPr>
              <w:pStyle w:val="ConsPlusNormal"/>
              <w:jc w:val="center"/>
            </w:pPr>
            <w:r>
              <w:t>чел.</w:t>
            </w:r>
          </w:p>
        </w:tc>
        <w:tc>
          <w:tcPr>
            <w:tcW w:w="1984" w:type="dxa"/>
            <w:vAlign w:val="center"/>
          </w:tcPr>
          <w:p w14:paraId="7E9CD5E9" w14:textId="77777777" w:rsidR="00454A29" w:rsidRDefault="00454A29">
            <w:pPr>
              <w:pStyle w:val="ConsPlusNormal"/>
              <w:jc w:val="center"/>
            </w:pPr>
            <w:r>
              <w:t>Минобрнауки РС(Я)</w:t>
            </w:r>
          </w:p>
        </w:tc>
        <w:tc>
          <w:tcPr>
            <w:tcW w:w="964" w:type="dxa"/>
            <w:vAlign w:val="center"/>
          </w:tcPr>
          <w:p w14:paraId="61C7397D" w14:textId="77777777" w:rsidR="00454A29" w:rsidRDefault="00454A29">
            <w:pPr>
              <w:pStyle w:val="ConsPlusNormal"/>
              <w:jc w:val="center"/>
            </w:pPr>
            <w:r>
              <w:t>7</w:t>
            </w:r>
          </w:p>
        </w:tc>
        <w:tc>
          <w:tcPr>
            <w:tcW w:w="964" w:type="dxa"/>
            <w:vAlign w:val="center"/>
          </w:tcPr>
          <w:p w14:paraId="32F55557" w14:textId="77777777" w:rsidR="00454A29" w:rsidRDefault="00454A29">
            <w:pPr>
              <w:pStyle w:val="ConsPlusNormal"/>
              <w:jc w:val="center"/>
            </w:pPr>
            <w:r>
              <w:t>8</w:t>
            </w:r>
          </w:p>
        </w:tc>
        <w:tc>
          <w:tcPr>
            <w:tcW w:w="964" w:type="dxa"/>
            <w:vAlign w:val="center"/>
          </w:tcPr>
          <w:p w14:paraId="08D7B7C9" w14:textId="77777777" w:rsidR="00454A29" w:rsidRDefault="00454A29">
            <w:pPr>
              <w:pStyle w:val="ConsPlusNormal"/>
              <w:jc w:val="center"/>
            </w:pPr>
            <w:r>
              <w:t>8</w:t>
            </w:r>
          </w:p>
        </w:tc>
        <w:tc>
          <w:tcPr>
            <w:tcW w:w="964" w:type="dxa"/>
            <w:vAlign w:val="center"/>
          </w:tcPr>
          <w:p w14:paraId="56B250F1" w14:textId="77777777" w:rsidR="00454A29" w:rsidRDefault="00454A29">
            <w:pPr>
              <w:pStyle w:val="ConsPlusNormal"/>
              <w:jc w:val="center"/>
            </w:pPr>
            <w:r>
              <w:t>8</w:t>
            </w:r>
          </w:p>
        </w:tc>
        <w:tc>
          <w:tcPr>
            <w:tcW w:w="964" w:type="dxa"/>
            <w:vAlign w:val="center"/>
          </w:tcPr>
          <w:p w14:paraId="11D80CDD" w14:textId="77777777" w:rsidR="00454A29" w:rsidRDefault="00454A29">
            <w:pPr>
              <w:pStyle w:val="ConsPlusNormal"/>
              <w:jc w:val="center"/>
            </w:pPr>
            <w:r>
              <w:t>9</w:t>
            </w:r>
          </w:p>
        </w:tc>
        <w:tc>
          <w:tcPr>
            <w:tcW w:w="964" w:type="dxa"/>
            <w:vAlign w:val="center"/>
          </w:tcPr>
          <w:p w14:paraId="28722F90" w14:textId="77777777" w:rsidR="00454A29" w:rsidRDefault="00454A29">
            <w:pPr>
              <w:pStyle w:val="ConsPlusNormal"/>
              <w:jc w:val="center"/>
            </w:pPr>
            <w:r>
              <w:t>9</w:t>
            </w:r>
          </w:p>
        </w:tc>
        <w:tc>
          <w:tcPr>
            <w:tcW w:w="964" w:type="dxa"/>
            <w:vAlign w:val="center"/>
          </w:tcPr>
          <w:p w14:paraId="3F976069" w14:textId="77777777" w:rsidR="00454A29" w:rsidRDefault="00454A29">
            <w:pPr>
              <w:pStyle w:val="ConsPlusNormal"/>
              <w:jc w:val="center"/>
            </w:pPr>
            <w:r>
              <w:t>10</w:t>
            </w:r>
          </w:p>
        </w:tc>
      </w:tr>
      <w:tr w:rsidR="00454A29" w14:paraId="16E950C1" w14:textId="77777777">
        <w:tc>
          <w:tcPr>
            <w:tcW w:w="13608" w:type="dxa"/>
            <w:gridSpan w:val="11"/>
            <w:vAlign w:val="center"/>
          </w:tcPr>
          <w:p w14:paraId="7F08FD46" w14:textId="77777777" w:rsidR="00454A29" w:rsidRDefault="00454A29">
            <w:pPr>
              <w:pStyle w:val="ConsPlusNormal"/>
              <w:jc w:val="center"/>
              <w:outlineLvl w:val="2"/>
            </w:pPr>
            <w:r>
              <w:t>Подпрограмма N 6. "Отдых детей и их оздоровление"</w:t>
            </w:r>
          </w:p>
        </w:tc>
      </w:tr>
      <w:tr w:rsidR="00454A29" w14:paraId="3851F315" w14:textId="77777777">
        <w:tc>
          <w:tcPr>
            <w:tcW w:w="567" w:type="dxa"/>
            <w:vAlign w:val="center"/>
          </w:tcPr>
          <w:p w14:paraId="0FCBCC5D" w14:textId="77777777" w:rsidR="00454A29" w:rsidRDefault="00454A29">
            <w:pPr>
              <w:pStyle w:val="ConsPlusNormal"/>
              <w:jc w:val="center"/>
            </w:pPr>
            <w:r>
              <w:t>1</w:t>
            </w:r>
          </w:p>
        </w:tc>
        <w:tc>
          <w:tcPr>
            <w:tcW w:w="3005" w:type="dxa"/>
            <w:vAlign w:val="center"/>
          </w:tcPr>
          <w:p w14:paraId="186BD3DE" w14:textId="77777777" w:rsidR="00454A29" w:rsidRDefault="00454A29">
            <w:pPr>
              <w:pStyle w:val="ConsPlusNormal"/>
            </w:pPr>
            <w:r>
              <w:t>Доля обучающихся 1 - 11 классов, охваченных отдыхом и оздоровлением в общей численности обучающихся 1 - 11 классов</w:t>
            </w:r>
          </w:p>
        </w:tc>
        <w:tc>
          <w:tcPr>
            <w:tcW w:w="1304" w:type="dxa"/>
            <w:vAlign w:val="center"/>
          </w:tcPr>
          <w:p w14:paraId="7BABBB72" w14:textId="77777777" w:rsidR="00454A29" w:rsidRDefault="00454A29">
            <w:pPr>
              <w:pStyle w:val="ConsPlusNormal"/>
              <w:jc w:val="center"/>
            </w:pPr>
            <w:r>
              <w:t>%</w:t>
            </w:r>
          </w:p>
        </w:tc>
        <w:tc>
          <w:tcPr>
            <w:tcW w:w="1984" w:type="dxa"/>
            <w:vAlign w:val="center"/>
          </w:tcPr>
          <w:p w14:paraId="0642EF6A" w14:textId="77777777" w:rsidR="00454A29" w:rsidRDefault="00454A29">
            <w:pPr>
              <w:pStyle w:val="ConsPlusNormal"/>
              <w:jc w:val="center"/>
            </w:pPr>
            <w:r>
              <w:t>Минобрнауки РС(Я)</w:t>
            </w:r>
          </w:p>
        </w:tc>
        <w:tc>
          <w:tcPr>
            <w:tcW w:w="964" w:type="dxa"/>
            <w:vAlign w:val="center"/>
          </w:tcPr>
          <w:p w14:paraId="50E777AB" w14:textId="77777777" w:rsidR="00454A29" w:rsidRDefault="00454A29">
            <w:pPr>
              <w:pStyle w:val="ConsPlusNormal"/>
              <w:jc w:val="center"/>
            </w:pPr>
            <w:r>
              <w:t>50,5</w:t>
            </w:r>
          </w:p>
        </w:tc>
        <w:tc>
          <w:tcPr>
            <w:tcW w:w="964" w:type="dxa"/>
            <w:vAlign w:val="center"/>
          </w:tcPr>
          <w:p w14:paraId="5AE6C3DF" w14:textId="77777777" w:rsidR="00454A29" w:rsidRDefault="00454A29">
            <w:pPr>
              <w:pStyle w:val="ConsPlusNormal"/>
              <w:jc w:val="center"/>
            </w:pPr>
            <w:r>
              <w:t>50,5</w:t>
            </w:r>
          </w:p>
        </w:tc>
        <w:tc>
          <w:tcPr>
            <w:tcW w:w="964" w:type="dxa"/>
            <w:vAlign w:val="center"/>
          </w:tcPr>
          <w:p w14:paraId="61F5194D" w14:textId="77777777" w:rsidR="00454A29" w:rsidRDefault="00454A29">
            <w:pPr>
              <w:pStyle w:val="ConsPlusNormal"/>
              <w:jc w:val="center"/>
            </w:pPr>
            <w:r>
              <w:t>50,5</w:t>
            </w:r>
          </w:p>
        </w:tc>
        <w:tc>
          <w:tcPr>
            <w:tcW w:w="964" w:type="dxa"/>
            <w:vAlign w:val="center"/>
          </w:tcPr>
          <w:p w14:paraId="12D89044" w14:textId="77777777" w:rsidR="00454A29" w:rsidRDefault="00454A29">
            <w:pPr>
              <w:pStyle w:val="ConsPlusNormal"/>
              <w:jc w:val="center"/>
            </w:pPr>
            <w:r>
              <w:t>50,5</w:t>
            </w:r>
          </w:p>
        </w:tc>
        <w:tc>
          <w:tcPr>
            <w:tcW w:w="964" w:type="dxa"/>
            <w:vAlign w:val="center"/>
          </w:tcPr>
          <w:p w14:paraId="19234CC2" w14:textId="77777777" w:rsidR="00454A29" w:rsidRDefault="00454A29">
            <w:pPr>
              <w:pStyle w:val="ConsPlusNormal"/>
              <w:jc w:val="center"/>
            </w:pPr>
            <w:r>
              <w:t>50,5</w:t>
            </w:r>
          </w:p>
        </w:tc>
        <w:tc>
          <w:tcPr>
            <w:tcW w:w="964" w:type="dxa"/>
            <w:vAlign w:val="center"/>
          </w:tcPr>
          <w:p w14:paraId="7A446FF6" w14:textId="77777777" w:rsidR="00454A29" w:rsidRDefault="00454A29">
            <w:pPr>
              <w:pStyle w:val="ConsPlusNormal"/>
              <w:jc w:val="center"/>
            </w:pPr>
            <w:r>
              <w:t>50,5</w:t>
            </w:r>
          </w:p>
        </w:tc>
        <w:tc>
          <w:tcPr>
            <w:tcW w:w="964" w:type="dxa"/>
            <w:vAlign w:val="center"/>
          </w:tcPr>
          <w:p w14:paraId="2E882721" w14:textId="77777777" w:rsidR="00454A29" w:rsidRDefault="00454A29">
            <w:pPr>
              <w:pStyle w:val="ConsPlusNormal"/>
              <w:jc w:val="center"/>
            </w:pPr>
            <w:r>
              <w:t>50,5</w:t>
            </w:r>
          </w:p>
        </w:tc>
      </w:tr>
      <w:tr w:rsidR="00454A29" w14:paraId="53D52ECB" w14:textId="77777777">
        <w:tc>
          <w:tcPr>
            <w:tcW w:w="13608" w:type="dxa"/>
            <w:gridSpan w:val="11"/>
            <w:vAlign w:val="center"/>
          </w:tcPr>
          <w:p w14:paraId="3AE73B28" w14:textId="77777777" w:rsidR="00454A29" w:rsidRDefault="00454A29">
            <w:pPr>
              <w:pStyle w:val="ConsPlusNormal"/>
              <w:jc w:val="center"/>
            </w:pPr>
            <w:r>
              <w:t>Основное мероприятие 6.1. Реализация комплекса мер по организации отдыха детей и их оздоровления</w:t>
            </w:r>
          </w:p>
        </w:tc>
      </w:tr>
      <w:tr w:rsidR="00454A29" w14:paraId="3215B1A1" w14:textId="77777777">
        <w:tc>
          <w:tcPr>
            <w:tcW w:w="567" w:type="dxa"/>
            <w:vAlign w:val="center"/>
          </w:tcPr>
          <w:p w14:paraId="3471039A" w14:textId="77777777" w:rsidR="00454A29" w:rsidRDefault="00454A29">
            <w:pPr>
              <w:pStyle w:val="ConsPlusNormal"/>
              <w:jc w:val="center"/>
            </w:pPr>
            <w:r>
              <w:t>1</w:t>
            </w:r>
          </w:p>
        </w:tc>
        <w:tc>
          <w:tcPr>
            <w:tcW w:w="3005" w:type="dxa"/>
            <w:vAlign w:val="center"/>
          </w:tcPr>
          <w:p w14:paraId="6EA40D53" w14:textId="77777777" w:rsidR="00454A29" w:rsidRDefault="00454A29">
            <w:pPr>
              <w:pStyle w:val="ConsPlusNormal"/>
            </w:pPr>
            <w:r>
              <w:t>Доля обучающихся 1 - 11 классов, охваченных отдыхом и оздоровлением, в общей численности обучающихся 1 - 11 классов</w:t>
            </w:r>
          </w:p>
        </w:tc>
        <w:tc>
          <w:tcPr>
            <w:tcW w:w="1304" w:type="dxa"/>
            <w:vAlign w:val="center"/>
          </w:tcPr>
          <w:p w14:paraId="26A015F3" w14:textId="77777777" w:rsidR="00454A29" w:rsidRDefault="00454A29">
            <w:pPr>
              <w:pStyle w:val="ConsPlusNormal"/>
              <w:jc w:val="center"/>
            </w:pPr>
            <w:r>
              <w:t>%</w:t>
            </w:r>
          </w:p>
        </w:tc>
        <w:tc>
          <w:tcPr>
            <w:tcW w:w="1984" w:type="dxa"/>
            <w:vAlign w:val="center"/>
          </w:tcPr>
          <w:p w14:paraId="6676DB39" w14:textId="77777777" w:rsidR="00454A29" w:rsidRDefault="00454A29">
            <w:pPr>
              <w:pStyle w:val="ConsPlusNormal"/>
              <w:jc w:val="center"/>
            </w:pPr>
            <w:r>
              <w:t>Минобрнауки РС(Я)</w:t>
            </w:r>
          </w:p>
        </w:tc>
        <w:tc>
          <w:tcPr>
            <w:tcW w:w="964" w:type="dxa"/>
            <w:vAlign w:val="center"/>
          </w:tcPr>
          <w:p w14:paraId="78C512A3" w14:textId="77777777" w:rsidR="00454A29" w:rsidRDefault="00454A29">
            <w:pPr>
              <w:pStyle w:val="ConsPlusNormal"/>
              <w:jc w:val="center"/>
            </w:pPr>
            <w:r>
              <w:t>50,5</w:t>
            </w:r>
          </w:p>
        </w:tc>
        <w:tc>
          <w:tcPr>
            <w:tcW w:w="964" w:type="dxa"/>
            <w:vAlign w:val="center"/>
          </w:tcPr>
          <w:p w14:paraId="3B68FDDD" w14:textId="77777777" w:rsidR="00454A29" w:rsidRDefault="00454A29">
            <w:pPr>
              <w:pStyle w:val="ConsPlusNormal"/>
              <w:jc w:val="center"/>
            </w:pPr>
            <w:r>
              <w:t>50,5</w:t>
            </w:r>
          </w:p>
        </w:tc>
        <w:tc>
          <w:tcPr>
            <w:tcW w:w="964" w:type="dxa"/>
            <w:vAlign w:val="center"/>
          </w:tcPr>
          <w:p w14:paraId="45DFCA7F" w14:textId="77777777" w:rsidR="00454A29" w:rsidRDefault="00454A29">
            <w:pPr>
              <w:pStyle w:val="ConsPlusNormal"/>
              <w:jc w:val="center"/>
            </w:pPr>
            <w:r>
              <w:t>50,5</w:t>
            </w:r>
          </w:p>
        </w:tc>
        <w:tc>
          <w:tcPr>
            <w:tcW w:w="964" w:type="dxa"/>
            <w:vAlign w:val="center"/>
          </w:tcPr>
          <w:p w14:paraId="3568415B" w14:textId="77777777" w:rsidR="00454A29" w:rsidRDefault="00454A29">
            <w:pPr>
              <w:pStyle w:val="ConsPlusNormal"/>
              <w:jc w:val="center"/>
            </w:pPr>
            <w:r>
              <w:t>50,5</w:t>
            </w:r>
          </w:p>
        </w:tc>
        <w:tc>
          <w:tcPr>
            <w:tcW w:w="964" w:type="dxa"/>
            <w:vAlign w:val="center"/>
          </w:tcPr>
          <w:p w14:paraId="7BA00404" w14:textId="77777777" w:rsidR="00454A29" w:rsidRDefault="00454A29">
            <w:pPr>
              <w:pStyle w:val="ConsPlusNormal"/>
              <w:jc w:val="center"/>
            </w:pPr>
            <w:r>
              <w:t>50,5</w:t>
            </w:r>
          </w:p>
        </w:tc>
        <w:tc>
          <w:tcPr>
            <w:tcW w:w="964" w:type="dxa"/>
            <w:vAlign w:val="center"/>
          </w:tcPr>
          <w:p w14:paraId="44C703FD" w14:textId="77777777" w:rsidR="00454A29" w:rsidRDefault="00454A29">
            <w:pPr>
              <w:pStyle w:val="ConsPlusNormal"/>
              <w:jc w:val="center"/>
            </w:pPr>
            <w:r>
              <w:t>50,5</w:t>
            </w:r>
          </w:p>
        </w:tc>
        <w:tc>
          <w:tcPr>
            <w:tcW w:w="964" w:type="dxa"/>
            <w:vAlign w:val="center"/>
          </w:tcPr>
          <w:p w14:paraId="21F0E88A" w14:textId="77777777" w:rsidR="00454A29" w:rsidRDefault="00454A29">
            <w:pPr>
              <w:pStyle w:val="ConsPlusNormal"/>
              <w:jc w:val="center"/>
            </w:pPr>
            <w:r>
              <w:t>50,5</w:t>
            </w:r>
          </w:p>
        </w:tc>
      </w:tr>
      <w:tr w:rsidR="00454A29" w14:paraId="55E126A8" w14:textId="77777777">
        <w:tc>
          <w:tcPr>
            <w:tcW w:w="13608" w:type="dxa"/>
            <w:gridSpan w:val="11"/>
            <w:vAlign w:val="center"/>
          </w:tcPr>
          <w:p w14:paraId="054C2982" w14:textId="77777777" w:rsidR="00454A29" w:rsidRDefault="00454A29">
            <w:pPr>
              <w:pStyle w:val="ConsPlusNormal"/>
              <w:jc w:val="center"/>
            </w:pPr>
            <w:r>
              <w:t>Основное мероприятие 6.2. Обеспечение инфраструктурой для организации отдыха и оздоровления детей</w:t>
            </w:r>
          </w:p>
        </w:tc>
      </w:tr>
      <w:tr w:rsidR="00454A29" w14:paraId="466DE925" w14:textId="77777777">
        <w:tc>
          <w:tcPr>
            <w:tcW w:w="567" w:type="dxa"/>
            <w:vAlign w:val="center"/>
          </w:tcPr>
          <w:p w14:paraId="3994F158" w14:textId="77777777" w:rsidR="00454A29" w:rsidRDefault="00454A29">
            <w:pPr>
              <w:pStyle w:val="ConsPlusNormal"/>
              <w:jc w:val="center"/>
            </w:pPr>
            <w:r>
              <w:t>1</w:t>
            </w:r>
          </w:p>
        </w:tc>
        <w:tc>
          <w:tcPr>
            <w:tcW w:w="3005" w:type="dxa"/>
            <w:vAlign w:val="center"/>
          </w:tcPr>
          <w:p w14:paraId="21FB8F8B" w14:textId="77777777" w:rsidR="00454A29" w:rsidRDefault="00454A29">
            <w:pPr>
              <w:pStyle w:val="ConsPlusNormal"/>
            </w:pPr>
            <w:r>
              <w:t>Число стационарных организаций отдыха и оздоровления детей, в которых укреплена материально-техническая база (за исключением санаториев)</w:t>
            </w:r>
          </w:p>
        </w:tc>
        <w:tc>
          <w:tcPr>
            <w:tcW w:w="1304" w:type="dxa"/>
            <w:vAlign w:val="center"/>
          </w:tcPr>
          <w:p w14:paraId="4ABE816A" w14:textId="77777777" w:rsidR="00454A29" w:rsidRDefault="00454A29">
            <w:pPr>
              <w:pStyle w:val="ConsPlusNormal"/>
              <w:jc w:val="center"/>
            </w:pPr>
            <w:r>
              <w:t>ед.</w:t>
            </w:r>
          </w:p>
        </w:tc>
        <w:tc>
          <w:tcPr>
            <w:tcW w:w="1984" w:type="dxa"/>
            <w:vAlign w:val="center"/>
          </w:tcPr>
          <w:p w14:paraId="0977A903" w14:textId="77777777" w:rsidR="00454A29" w:rsidRDefault="00454A29">
            <w:pPr>
              <w:pStyle w:val="ConsPlusNormal"/>
              <w:jc w:val="center"/>
            </w:pPr>
            <w:r>
              <w:t>Минобрнауки РС(Я)</w:t>
            </w:r>
          </w:p>
        </w:tc>
        <w:tc>
          <w:tcPr>
            <w:tcW w:w="964" w:type="dxa"/>
            <w:vAlign w:val="center"/>
          </w:tcPr>
          <w:p w14:paraId="4E9B81F9" w14:textId="77777777" w:rsidR="00454A29" w:rsidRDefault="00454A29">
            <w:pPr>
              <w:pStyle w:val="ConsPlusNormal"/>
              <w:jc w:val="center"/>
            </w:pPr>
            <w:r>
              <w:t>0</w:t>
            </w:r>
          </w:p>
        </w:tc>
        <w:tc>
          <w:tcPr>
            <w:tcW w:w="964" w:type="dxa"/>
            <w:vAlign w:val="center"/>
          </w:tcPr>
          <w:p w14:paraId="3ED61BE7" w14:textId="77777777" w:rsidR="00454A29" w:rsidRDefault="00454A29">
            <w:pPr>
              <w:pStyle w:val="ConsPlusNormal"/>
              <w:jc w:val="center"/>
            </w:pPr>
            <w:r>
              <w:t>0</w:t>
            </w:r>
          </w:p>
        </w:tc>
        <w:tc>
          <w:tcPr>
            <w:tcW w:w="964" w:type="dxa"/>
            <w:vAlign w:val="center"/>
          </w:tcPr>
          <w:p w14:paraId="36F93CB8" w14:textId="77777777" w:rsidR="00454A29" w:rsidRDefault="00454A29">
            <w:pPr>
              <w:pStyle w:val="ConsPlusNormal"/>
              <w:jc w:val="center"/>
            </w:pPr>
            <w:r>
              <w:t>1</w:t>
            </w:r>
          </w:p>
        </w:tc>
        <w:tc>
          <w:tcPr>
            <w:tcW w:w="964" w:type="dxa"/>
            <w:vAlign w:val="center"/>
          </w:tcPr>
          <w:p w14:paraId="129B237B" w14:textId="77777777" w:rsidR="00454A29" w:rsidRDefault="00454A29">
            <w:pPr>
              <w:pStyle w:val="ConsPlusNormal"/>
              <w:jc w:val="center"/>
            </w:pPr>
            <w:r>
              <w:t>0</w:t>
            </w:r>
          </w:p>
        </w:tc>
        <w:tc>
          <w:tcPr>
            <w:tcW w:w="964" w:type="dxa"/>
            <w:vAlign w:val="center"/>
          </w:tcPr>
          <w:p w14:paraId="64ACE7D8" w14:textId="77777777" w:rsidR="00454A29" w:rsidRDefault="00454A29">
            <w:pPr>
              <w:pStyle w:val="ConsPlusNormal"/>
              <w:jc w:val="center"/>
            </w:pPr>
            <w:r>
              <w:t>0</w:t>
            </w:r>
          </w:p>
        </w:tc>
        <w:tc>
          <w:tcPr>
            <w:tcW w:w="964" w:type="dxa"/>
            <w:vAlign w:val="center"/>
          </w:tcPr>
          <w:p w14:paraId="58473238" w14:textId="77777777" w:rsidR="00454A29" w:rsidRDefault="00454A29">
            <w:pPr>
              <w:pStyle w:val="ConsPlusNormal"/>
              <w:jc w:val="center"/>
            </w:pPr>
            <w:r>
              <w:t>0</w:t>
            </w:r>
          </w:p>
        </w:tc>
        <w:tc>
          <w:tcPr>
            <w:tcW w:w="964" w:type="dxa"/>
            <w:vAlign w:val="center"/>
          </w:tcPr>
          <w:p w14:paraId="3E5E65A3" w14:textId="77777777" w:rsidR="00454A29" w:rsidRDefault="00454A29">
            <w:pPr>
              <w:pStyle w:val="ConsPlusNormal"/>
              <w:jc w:val="center"/>
            </w:pPr>
            <w:r>
              <w:t>0</w:t>
            </w:r>
          </w:p>
        </w:tc>
      </w:tr>
      <w:tr w:rsidR="00454A29" w14:paraId="7204559F" w14:textId="77777777">
        <w:tc>
          <w:tcPr>
            <w:tcW w:w="13608" w:type="dxa"/>
            <w:gridSpan w:val="11"/>
            <w:vAlign w:val="center"/>
          </w:tcPr>
          <w:p w14:paraId="0195FC7F" w14:textId="77777777" w:rsidR="00454A29" w:rsidRDefault="00454A29">
            <w:pPr>
              <w:pStyle w:val="ConsPlusNormal"/>
              <w:jc w:val="center"/>
              <w:outlineLvl w:val="2"/>
            </w:pPr>
            <w:r>
              <w:t>Подпрограмма N 7. "Учительский рост"</w:t>
            </w:r>
          </w:p>
        </w:tc>
      </w:tr>
      <w:tr w:rsidR="00454A29" w14:paraId="3F70EAD3" w14:textId="77777777">
        <w:tc>
          <w:tcPr>
            <w:tcW w:w="567" w:type="dxa"/>
            <w:vAlign w:val="center"/>
          </w:tcPr>
          <w:p w14:paraId="2B55AB87" w14:textId="77777777" w:rsidR="00454A29" w:rsidRDefault="00454A29">
            <w:pPr>
              <w:pStyle w:val="ConsPlusNormal"/>
              <w:jc w:val="center"/>
            </w:pPr>
            <w:r>
              <w:t>1</w:t>
            </w:r>
          </w:p>
        </w:tc>
        <w:tc>
          <w:tcPr>
            <w:tcW w:w="3005" w:type="dxa"/>
            <w:vAlign w:val="center"/>
          </w:tcPr>
          <w:p w14:paraId="10A21551" w14:textId="77777777" w:rsidR="00454A29" w:rsidRDefault="00454A29">
            <w:pPr>
              <w:pStyle w:val="ConsPlusNormal"/>
            </w:pPr>
            <w:r>
              <w:t xml:space="preserve">Доля педагогических работников, прошедших </w:t>
            </w:r>
            <w:r>
              <w:lastRenderedPageBreak/>
              <w:t>переподготовку и повышение квалификации, от общего количества педагогических работников</w:t>
            </w:r>
          </w:p>
        </w:tc>
        <w:tc>
          <w:tcPr>
            <w:tcW w:w="1304" w:type="dxa"/>
            <w:vAlign w:val="center"/>
          </w:tcPr>
          <w:p w14:paraId="35186B8A" w14:textId="77777777" w:rsidR="00454A29" w:rsidRDefault="00454A29">
            <w:pPr>
              <w:pStyle w:val="ConsPlusNormal"/>
              <w:jc w:val="center"/>
            </w:pPr>
            <w:r>
              <w:lastRenderedPageBreak/>
              <w:t>%</w:t>
            </w:r>
          </w:p>
        </w:tc>
        <w:tc>
          <w:tcPr>
            <w:tcW w:w="1984" w:type="dxa"/>
            <w:vAlign w:val="center"/>
          </w:tcPr>
          <w:p w14:paraId="04E25FEF" w14:textId="77777777" w:rsidR="00454A29" w:rsidRDefault="00454A29">
            <w:pPr>
              <w:pStyle w:val="ConsPlusNormal"/>
              <w:jc w:val="center"/>
            </w:pPr>
            <w:r>
              <w:t>Минобрнауки РС(Я)</w:t>
            </w:r>
          </w:p>
        </w:tc>
        <w:tc>
          <w:tcPr>
            <w:tcW w:w="964" w:type="dxa"/>
            <w:vAlign w:val="center"/>
          </w:tcPr>
          <w:p w14:paraId="7B86FC48" w14:textId="77777777" w:rsidR="00454A29" w:rsidRDefault="00454A29">
            <w:pPr>
              <w:pStyle w:val="ConsPlusNormal"/>
              <w:jc w:val="center"/>
            </w:pPr>
            <w:r>
              <w:t>30</w:t>
            </w:r>
          </w:p>
        </w:tc>
        <w:tc>
          <w:tcPr>
            <w:tcW w:w="964" w:type="dxa"/>
            <w:vAlign w:val="center"/>
          </w:tcPr>
          <w:p w14:paraId="048959A9" w14:textId="77777777" w:rsidR="00454A29" w:rsidRDefault="00454A29">
            <w:pPr>
              <w:pStyle w:val="ConsPlusNormal"/>
              <w:jc w:val="center"/>
            </w:pPr>
            <w:r>
              <w:t>35</w:t>
            </w:r>
          </w:p>
        </w:tc>
        <w:tc>
          <w:tcPr>
            <w:tcW w:w="964" w:type="dxa"/>
            <w:vAlign w:val="center"/>
          </w:tcPr>
          <w:p w14:paraId="2441537B" w14:textId="77777777" w:rsidR="00454A29" w:rsidRDefault="00454A29">
            <w:pPr>
              <w:pStyle w:val="ConsPlusNormal"/>
              <w:jc w:val="center"/>
            </w:pPr>
            <w:r>
              <w:t>40</w:t>
            </w:r>
          </w:p>
        </w:tc>
        <w:tc>
          <w:tcPr>
            <w:tcW w:w="964" w:type="dxa"/>
            <w:vAlign w:val="center"/>
          </w:tcPr>
          <w:p w14:paraId="792C5A2A" w14:textId="77777777" w:rsidR="00454A29" w:rsidRDefault="00454A29">
            <w:pPr>
              <w:pStyle w:val="ConsPlusNormal"/>
              <w:jc w:val="center"/>
            </w:pPr>
            <w:r>
              <w:t>45</w:t>
            </w:r>
          </w:p>
        </w:tc>
        <w:tc>
          <w:tcPr>
            <w:tcW w:w="964" w:type="dxa"/>
            <w:vAlign w:val="center"/>
          </w:tcPr>
          <w:p w14:paraId="358BFE36" w14:textId="77777777" w:rsidR="00454A29" w:rsidRDefault="00454A29">
            <w:pPr>
              <w:pStyle w:val="ConsPlusNormal"/>
              <w:jc w:val="center"/>
            </w:pPr>
            <w:r>
              <w:t>50</w:t>
            </w:r>
          </w:p>
        </w:tc>
        <w:tc>
          <w:tcPr>
            <w:tcW w:w="964" w:type="dxa"/>
            <w:vAlign w:val="center"/>
          </w:tcPr>
          <w:p w14:paraId="56A42852" w14:textId="77777777" w:rsidR="00454A29" w:rsidRDefault="00454A29">
            <w:pPr>
              <w:pStyle w:val="ConsPlusNormal"/>
              <w:jc w:val="center"/>
            </w:pPr>
            <w:r>
              <w:t>55</w:t>
            </w:r>
          </w:p>
        </w:tc>
        <w:tc>
          <w:tcPr>
            <w:tcW w:w="964" w:type="dxa"/>
            <w:vAlign w:val="center"/>
          </w:tcPr>
          <w:p w14:paraId="72ABAF4C" w14:textId="77777777" w:rsidR="00454A29" w:rsidRDefault="00454A29">
            <w:pPr>
              <w:pStyle w:val="ConsPlusNormal"/>
              <w:jc w:val="center"/>
            </w:pPr>
            <w:r>
              <w:t>60</w:t>
            </w:r>
          </w:p>
        </w:tc>
      </w:tr>
      <w:tr w:rsidR="00454A29" w14:paraId="54EE978D" w14:textId="77777777">
        <w:tc>
          <w:tcPr>
            <w:tcW w:w="13608" w:type="dxa"/>
            <w:gridSpan w:val="11"/>
            <w:vAlign w:val="center"/>
          </w:tcPr>
          <w:p w14:paraId="69ED7000" w14:textId="77777777" w:rsidR="00454A29" w:rsidRDefault="00454A29">
            <w:pPr>
              <w:pStyle w:val="ConsPlusNormal"/>
              <w:jc w:val="center"/>
            </w:pPr>
            <w:r>
              <w:t>Основное мероприятие 7.1. Повышение престижа работников системы образования</w:t>
            </w:r>
          </w:p>
        </w:tc>
      </w:tr>
      <w:tr w:rsidR="00454A29" w14:paraId="6F449C69" w14:textId="77777777">
        <w:tc>
          <w:tcPr>
            <w:tcW w:w="567" w:type="dxa"/>
            <w:vAlign w:val="center"/>
          </w:tcPr>
          <w:p w14:paraId="6038D71C" w14:textId="77777777" w:rsidR="00454A29" w:rsidRDefault="00454A29">
            <w:pPr>
              <w:pStyle w:val="ConsPlusNormal"/>
              <w:jc w:val="center"/>
            </w:pPr>
            <w:r>
              <w:t>1</w:t>
            </w:r>
          </w:p>
        </w:tc>
        <w:tc>
          <w:tcPr>
            <w:tcW w:w="3005" w:type="dxa"/>
            <w:vAlign w:val="center"/>
          </w:tcPr>
          <w:p w14:paraId="7FA133AC" w14:textId="77777777" w:rsidR="00454A29" w:rsidRDefault="00454A29">
            <w:pPr>
              <w:pStyle w:val="ConsPlusNormal"/>
            </w:pPr>
            <w:r>
              <w:t>Доля работников системы образования и науки, добившихся высоких показателей в педагогической, научной и общественной деятельности, в общей численности работников системы образования и науки</w:t>
            </w:r>
          </w:p>
        </w:tc>
        <w:tc>
          <w:tcPr>
            <w:tcW w:w="1304" w:type="dxa"/>
            <w:vAlign w:val="center"/>
          </w:tcPr>
          <w:p w14:paraId="664839E7" w14:textId="77777777" w:rsidR="00454A29" w:rsidRDefault="00454A29">
            <w:pPr>
              <w:pStyle w:val="ConsPlusNormal"/>
              <w:jc w:val="center"/>
            </w:pPr>
            <w:r>
              <w:t>%</w:t>
            </w:r>
          </w:p>
        </w:tc>
        <w:tc>
          <w:tcPr>
            <w:tcW w:w="1984" w:type="dxa"/>
            <w:vAlign w:val="center"/>
          </w:tcPr>
          <w:p w14:paraId="7BE24CD3" w14:textId="77777777" w:rsidR="00454A29" w:rsidRDefault="00454A29">
            <w:pPr>
              <w:pStyle w:val="ConsPlusNormal"/>
              <w:jc w:val="center"/>
            </w:pPr>
            <w:r>
              <w:t>Минобрнауки РС(Я)</w:t>
            </w:r>
          </w:p>
        </w:tc>
        <w:tc>
          <w:tcPr>
            <w:tcW w:w="964" w:type="dxa"/>
            <w:vAlign w:val="center"/>
          </w:tcPr>
          <w:p w14:paraId="33AA28CC" w14:textId="77777777" w:rsidR="00454A29" w:rsidRDefault="00454A29">
            <w:pPr>
              <w:pStyle w:val="ConsPlusNormal"/>
              <w:jc w:val="center"/>
            </w:pPr>
            <w:r>
              <w:t>6,5</w:t>
            </w:r>
          </w:p>
        </w:tc>
        <w:tc>
          <w:tcPr>
            <w:tcW w:w="964" w:type="dxa"/>
            <w:vAlign w:val="center"/>
          </w:tcPr>
          <w:p w14:paraId="21EBF48D" w14:textId="77777777" w:rsidR="00454A29" w:rsidRDefault="00454A29">
            <w:pPr>
              <w:pStyle w:val="ConsPlusNormal"/>
              <w:jc w:val="center"/>
            </w:pPr>
            <w:r>
              <w:t>6,5</w:t>
            </w:r>
          </w:p>
        </w:tc>
        <w:tc>
          <w:tcPr>
            <w:tcW w:w="964" w:type="dxa"/>
            <w:vAlign w:val="center"/>
          </w:tcPr>
          <w:p w14:paraId="741181E9" w14:textId="77777777" w:rsidR="00454A29" w:rsidRDefault="00454A29">
            <w:pPr>
              <w:pStyle w:val="ConsPlusNormal"/>
              <w:jc w:val="center"/>
            </w:pPr>
            <w:r>
              <w:t>6,5</w:t>
            </w:r>
          </w:p>
        </w:tc>
        <w:tc>
          <w:tcPr>
            <w:tcW w:w="964" w:type="dxa"/>
            <w:vAlign w:val="center"/>
          </w:tcPr>
          <w:p w14:paraId="5EB1CCCA" w14:textId="77777777" w:rsidR="00454A29" w:rsidRDefault="00454A29">
            <w:pPr>
              <w:pStyle w:val="ConsPlusNormal"/>
              <w:jc w:val="center"/>
            </w:pPr>
            <w:r>
              <w:t>6,5</w:t>
            </w:r>
          </w:p>
        </w:tc>
        <w:tc>
          <w:tcPr>
            <w:tcW w:w="964" w:type="dxa"/>
            <w:vAlign w:val="center"/>
          </w:tcPr>
          <w:p w14:paraId="660A590B" w14:textId="77777777" w:rsidR="00454A29" w:rsidRDefault="00454A29">
            <w:pPr>
              <w:pStyle w:val="ConsPlusNormal"/>
              <w:jc w:val="center"/>
            </w:pPr>
            <w:r>
              <w:t>6,5</w:t>
            </w:r>
          </w:p>
        </w:tc>
        <w:tc>
          <w:tcPr>
            <w:tcW w:w="964" w:type="dxa"/>
            <w:vAlign w:val="center"/>
          </w:tcPr>
          <w:p w14:paraId="3606D7E8" w14:textId="77777777" w:rsidR="00454A29" w:rsidRDefault="00454A29">
            <w:pPr>
              <w:pStyle w:val="ConsPlusNormal"/>
              <w:jc w:val="center"/>
            </w:pPr>
            <w:r>
              <w:t>6,5</w:t>
            </w:r>
          </w:p>
        </w:tc>
        <w:tc>
          <w:tcPr>
            <w:tcW w:w="964" w:type="dxa"/>
            <w:vAlign w:val="center"/>
          </w:tcPr>
          <w:p w14:paraId="3F95C21D" w14:textId="77777777" w:rsidR="00454A29" w:rsidRDefault="00454A29">
            <w:pPr>
              <w:pStyle w:val="ConsPlusNormal"/>
              <w:jc w:val="center"/>
            </w:pPr>
            <w:r>
              <w:t>6,5</w:t>
            </w:r>
          </w:p>
        </w:tc>
      </w:tr>
      <w:tr w:rsidR="00454A29" w14:paraId="210CA99D" w14:textId="77777777">
        <w:tc>
          <w:tcPr>
            <w:tcW w:w="13608" w:type="dxa"/>
            <w:gridSpan w:val="11"/>
            <w:vAlign w:val="center"/>
          </w:tcPr>
          <w:p w14:paraId="36316C18" w14:textId="77777777" w:rsidR="00454A29" w:rsidRDefault="00454A29">
            <w:pPr>
              <w:pStyle w:val="ConsPlusNormal"/>
              <w:jc w:val="center"/>
            </w:pPr>
            <w:r>
              <w:t>Основное мероприятие 7.2. Формирование региональной системы непрерывного педагогического образования</w:t>
            </w:r>
          </w:p>
        </w:tc>
      </w:tr>
      <w:tr w:rsidR="00454A29" w14:paraId="502D4A99" w14:textId="77777777">
        <w:tc>
          <w:tcPr>
            <w:tcW w:w="567" w:type="dxa"/>
            <w:vAlign w:val="center"/>
          </w:tcPr>
          <w:p w14:paraId="7DD3BE27" w14:textId="77777777" w:rsidR="00454A29" w:rsidRDefault="00454A29">
            <w:pPr>
              <w:pStyle w:val="ConsPlusNormal"/>
              <w:jc w:val="center"/>
            </w:pPr>
            <w:r>
              <w:t>1</w:t>
            </w:r>
          </w:p>
        </w:tc>
        <w:tc>
          <w:tcPr>
            <w:tcW w:w="3005" w:type="dxa"/>
            <w:vAlign w:val="center"/>
          </w:tcPr>
          <w:p w14:paraId="3F32E15E" w14:textId="77777777" w:rsidR="00454A29" w:rsidRDefault="00454A29">
            <w:pPr>
              <w:pStyle w:val="ConsPlusNormal"/>
            </w:pPr>
            <w:r>
              <w:t>Количество педагогических классов, открытых в рамках проекта "Педагогические классы"</w:t>
            </w:r>
          </w:p>
        </w:tc>
        <w:tc>
          <w:tcPr>
            <w:tcW w:w="1304" w:type="dxa"/>
            <w:vAlign w:val="center"/>
          </w:tcPr>
          <w:p w14:paraId="1DFCAF16" w14:textId="77777777" w:rsidR="00454A29" w:rsidRDefault="00454A29">
            <w:pPr>
              <w:pStyle w:val="ConsPlusNormal"/>
              <w:jc w:val="center"/>
            </w:pPr>
            <w:r>
              <w:t>%</w:t>
            </w:r>
          </w:p>
        </w:tc>
        <w:tc>
          <w:tcPr>
            <w:tcW w:w="1984" w:type="dxa"/>
            <w:vAlign w:val="center"/>
          </w:tcPr>
          <w:p w14:paraId="01D5B3F7" w14:textId="77777777" w:rsidR="00454A29" w:rsidRDefault="00454A29">
            <w:pPr>
              <w:pStyle w:val="ConsPlusNormal"/>
              <w:jc w:val="center"/>
            </w:pPr>
            <w:r>
              <w:t>Минобрнауки РС(Я)</w:t>
            </w:r>
          </w:p>
        </w:tc>
        <w:tc>
          <w:tcPr>
            <w:tcW w:w="964" w:type="dxa"/>
            <w:vAlign w:val="center"/>
          </w:tcPr>
          <w:p w14:paraId="7E65BD74" w14:textId="77777777" w:rsidR="00454A29" w:rsidRDefault="00454A29">
            <w:pPr>
              <w:pStyle w:val="ConsPlusNormal"/>
              <w:jc w:val="center"/>
            </w:pPr>
            <w:r>
              <w:t>7</w:t>
            </w:r>
          </w:p>
        </w:tc>
        <w:tc>
          <w:tcPr>
            <w:tcW w:w="964" w:type="dxa"/>
            <w:vAlign w:val="center"/>
          </w:tcPr>
          <w:p w14:paraId="20220A39" w14:textId="77777777" w:rsidR="00454A29" w:rsidRDefault="00454A29">
            <w:pPr>
              <w:pStyle w:val="ConsPlusNormal"/>
              <w:jc w:val="center"/>
            </w:pPr>
            <w:r>
              <w:t>14</w:t>
            </w:r>
          </w:p>
        </w:tc>
        <w:tc>
          <w:tcPr>
            <w:tcW w:w="964" w:type="dxa"/>
            <w:vAlign w:val="center"/>
          </w:tcPr>
          <w:p w14:paraId="54EEF9A8" w14:textId="77777777" w:rsidR="00454A29" w:rsidRDefault="00454A29">
            <w:pPr>
              <w:pStyle w:val="ConsPlusNormal"/>
              <w:jc w:val="center"/>
            </w:pPr>
            <w:r>
              <w:t>21</w:t>
            </w:r>
          </w:p>
        </w:tc>
        <w:tc>
          <w:tcPr>
            <w:tcW w:w="964" w:type="dxa"/>
            <w:vAlign w:val="center"/>
          </w:tcPr>
          <w:p w14:paraId="6EEC90C6" w14:textId="77777777" w:rsidR="00454A29" w:rsidRDefault="00454A29">
            <w:pPr>
              <w:pStyle w:val="ConsPlusNormal"/>
              <w:jc w:val="center"/>
            </w:pPr>
            <w:r>
              <w:t>28</w:t>
            </w:r>
          </w:p>
        </w:tc>
        <w:tc>
          <w:tcPr>
            <w:tcW w:w="964" w:type="dxa"/>
            <w:vAlign w:val="center"/>
          </w:tcPr>
          <w:p w14:paraId="047AE79B" w14:textId="77777777" w:rsidR="00454A29" w:rsidRDefault="00454A29">
            <w:pPr>
              <w:pStyle w:val="ConsPlusNormal"/>
              <w:jc w:val="center"/>
            </w:pPr>
            <w:r>
              <w:t>36</w:t>
            </w:r>
          </w:p>
        </w:tc>
        <w:tc>
          <w:tcPr>
            <w:tcW w:w="964" w:type="dxa"/>
            <w:vAlign w:val="center"/>
          </w:tcPr>
          <w:p w14:paraId="7A13D988" w14:textId="77777777" w:rsidR="00454A29" w:rsidRDefault="00454A29">
            <w:pPr>
              <w:pStyle w:val="ConsPlusNormal"/>
              <w:jc w:val="center"/>
            </w:pPr>
            <w:r>
              <w:t>х</w:t>
            </w:r>
          </w:p>
        </w:tc>
        <w:tc>
          <w:tcPr>
            <w:tcW w:w="964" w:type="dxa"/>
            <w:vAlign w:val="center"/>
          </w:tcPr>
          <w:p w14:paraId="668D2765" w14:textId="77777777" w:rsidR="00454A29" w:rsidRDefault="00454A29">
            <w:pPr>
              <w:pStyle w:val="ConsPlusNormal"/>
              <w:jc w:val="center"/>
            </w:pPr>
            <w:r>
              <w:t>х</w:t>
            </w:r>
          </w:p>
        </w:tc>
      </w:tr>
      <w:tr w:rsidR="00454A29" w14:paraId="5EA9937C" w14:textId="77777777">
        <w:tc>
          <w:tcPr>
            <w:tcW w:w="13608" w:type="dxa"/>
            <w:gridSpan w:val="11"/>
            <w:vAlign w:val="center"/>
          </w:tcPr>
          <w:p w14:paraId="7493A18D" w14:textId="77777777" w:rsidR="00454A29" w:rsidRDefault="00454A29">
            <w:pPr>
              <w:pStyle w:val="ConsPlusNormal"/>
              <w:jc w:val="center"/>
            </w:pPr>
            <w:r>
              <w:t>Основное мероприятие 7.3. Реализация регионального проекта "Учитель будущего"</w:t>
            </w:r>
          </w:p>
        </w:tc>
      </w:tr>
      <w:tr w:rsidR="00454A29" w14:paraId="1F38ED4F" w14:textId="77777777">
        <w:tc>
          <w:tcPr>
            <w:tcW w:w="567" w:type="dxa"/>
            <w:vAlign w:val="center"/>
          </w:tcPr>
          <w:p w14:paraId="2A8BE03A" w14:textId="77777777" w:rsidR="00454A29" w:rsidRDefault="00454A29">
            <w:pPr>
              <w:pStyle w:val="ConsPlusNormal"/>
              <w:jc w:val="center"/>
            </w:pPr>
            <w:r>
              <w:t>1</w:t>
            </w:r>
          </w:p>
        </w:tc>
        <w:tc>
          <w:tcPr>
            <w:tcW w:w="3005" w:type="dxa"/>
            <w:vAlign w:val="center"/>
          </w:tcPr>
          <w:p w14:paraId="5325E54A" w14:textId="77777777" w:rsidR="00454A29" w:rsidRDefault="00454A29">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4" w:type="dxa"/>
            <w:vAlign w:val="center"/>
          </w:tcPr>
          <w:p w14:paraId="6FDA2803" w14:textId="77777777" w:rsidR="00454A29" w:rsidRDefault="00454A29">
            <w:pPr>
              <w:pStyle w:val="ConsPlusNormal"/>
              <w:jc w:val="center"/>
            </w:pPr>
            <w:r>
              <w:t>%</w:t>
            </w:r>
          </w:p>
        </w:tc>
        <w:tc>
          <w:tcPr>
            <w:tcW w:w="1984" w:type="dxa"/>
            <w:vAlign w:val="center"/>
          </w:tcPr>
          <w:p w14:paraId="1F3DFD05" w14:textId="77777777" w:rsidR="00454A29" w:rsidRDefault="00454A29">
            <w:pPr>
              <w:pStyle w:val="ConsPlusNormal"/>
              <w:jc w:val="center"/>
            </w:pPr>
            <w:r>
              <w:t>Минобрнауки РС(Я)</w:t>
            </w:r>
          </w:p>
        </w:tc>
        <w:tc>
          <w:tcPr>
            <w:tcW w:w="964" w:type="dxa"/>
            <w:vAlign w:val="center"/>
          </w:tcPr>
          <w:p w14:paraId="28205B18" w14:textId="77777777" w:rsidR="00454A29" w:rsidRDefault="00454A29">
            <w:pPr>
              <w:pStyle w:val="ConsPlusNormal"/>
              <w:jc w:val="center"/>
            </w:pPr>
            <w:r>
              <w:t>0</w:t>
            </w:r>
          </w:p>
        </w:tc>
        <w:tc>
          <w:tcPr>
            <w:tcW w:w="964" w:type="dxa"/>
            <w:vAlign w:val="center"/>
          </w:tcPr>
          <w:p w14:paraId="7C537CFC" w14:textId="77777777" w:rsidR="00454A29" w:rsidRDefault="00454A29">
            <w:pPr>
              <w:pStyle w:val="ConsPlusNormal"/>
              <w:jc w:val="center"/>
            </w:pPr>
            <w:r>
              <w:t>0</w:t>
            </w:r>
          </w:p>
        </w:tc>
        <w:tc>
          <w:tcPr>
            <w:tcW w:w="964" w:type="dxa"/>
            <w:vAlign w:val="center"/>
          </w:tcPr>
          <w:p w14:paraId="29EEC483" w14:textId="77777777" w:rsidR="00454A29" w:rsidRDefault="00454A29">
            <w:pPr>
              <w:pStyle w:val="ConsPlusNormal"/>
              <w:jc w:val="center"/>
            </w:pPr>
            <w:r>
              <w:t>0</w:t>
            </w:r>
          </w:p>
        </w:tc>
        <w:tc>
          <w:tcPr>
            <w:tcW w:w="964" w:type="dxa"/>
            <w:vAlign w:val="center"/>
          </w:tcPr>
          <w:p w14:paraId="47F59DE5" w14:textId="77777777" w:rsidR="00454A29" w:rsidRDefault="00454A29">
            <w:pPr>
              <w:pStyle w:val="ConsPlusNormal"/>
              <w:jc w:val="center"/>
            </w:pPr>
            <w:r>
              <w:t>30</w:t>
            </w:r>
          </w:p>
        </w:tc>
        <w:tc>
          <w:tcPr>
            <w:tcW w:w="964" w:type="dxa"/>
            <w:vAlign w:val="center"/>
          </w:tcPr>
          <w:p w14:paraId="34B73EE5" w14:textId="77777777" w:rsidR="00454A29" w:rsidRDefault="00454A29">
            <w:pPr>
              <w:pStyle w:val="ConsPlusNormal"/>
              <w:jc w:val="center"/>
            </w:pPr>
            <w:r>
              <w:t>50</w:t>
            </w:r>
          </w:p>
        </w:tc>
        <w:tc>
          <w:tcPr>
            <w:tcW w:w="964" w:type="dxa"/>
            <w:vAlign w:val="center"/>
          </w:tcPr>
          <w:p w14:paraId="74F4B5D3" w14:textId="77777777" w:rsidR="00454A29" w:rsidRDefault="00454A29">
            <w:pPr>
              <w:pStyle w:val="ConsPlusNormal"/>
              <w:jc w:val="center"/>
            </w:pPr>
            <w:r>
              <w:t>х</w:t>
            </w:r>
          </w:p>
        </w:tc>
        <w:tc>
          <w:tcPr>
            <w:tcW w:w="964" w:type="dxa"/>
            <w:vAlign w:val="center"/>
          </w:tcPr>
          <w:p w14:paraId="6AF0494D" w14:textId="77777777" w:rsidR="00454A29" w:rsidRDefault="00454A29">
            <w:pPr>
              <w:pStyle w:val="ConsPlusNormal"/>
              <w:jc w:val="center"/>
            </w:pPr>
            <w:r>
              <w:t>х</w:t>
            </w:r>
          </w:p>
        </w:tc>
      </w:tr>
      <w:tr w:rsidR="00454A29" w14:paraId="7918997E" w14:textId="77777777">
        <w:tc>
          <w:tcPr>
            <w:tcW w:w="13608" w:type="dxa"/>
            <w:gridSpan w:val="11"/>
            <w:vAlign w:val="center"/>
          </w:tcPr>
          <w:p w14:paraId="65F4BD8C" w14:textId="77777777" w:rsidR="00454A29" w:rsidRDefault="00454A29">
            <w:pPr>
              <w:pStyle w:val="ConsPlusNormal"/>
              <w:jc w:val="center"/>
            </w:pPr>
            <w:r>
              <w:t>Основное мероприятие 7.4. Реализация программы "Земский учитель"</w:t>
            </w:r>
          </w:p>
        </w:tc>
      </w:tr>
      <w:tr w:rsidR="00454A29" w14:paraId="2DA2B33F" w14:textId="77777777">
        <w:tc>
          <w:tcPr>
            <w:tcW w:w="567" w:type="dxa"/>
            <w:vAlign w:val="center"/>
          </w:tcPr>
          <w:p w14:paraId="3FC57DB8" w14:textId="77777777" w:rsidR="00454A29" w:rsidRDefault="00454A29">
            <w:pPr>
              <w:pStyle w:val="ConsPlusNormal"/>
              <w:jc w:val="center"/>
            </w:pPr>
            <w:r>
              <w:lastRenderedPageBreak/>
              <w:t>1</w:t>
            </w:r>
          </w:p>
        </w:tc>
        <w:tc>
          <w:tcPr>
            <w:tcW w:w="3005" w:type="dxa"/>
            <w:vAlign w:val="center"/>
          </w:tcPr>
          <w:p w14:paraId="1674DAEE" w14:textId="77777777" w:rsidR="00454A29" w:rsidRDefault="00454A29">
            <w:pPr>
              <w:pStyle w:val="ConsPlusNormal"/>
            </w:pPr>
            <w:r>
              <w:t>Количество учителей, получивших единовременных компенсационных выплат</w:t>
            </w:r>
          </w:p>
        </w:tc>
        <w:tc>
          <w:tcPr>
            <w:tcW w:w="1304" w:type="dxa"/>
            <w:vAlign w:val="center"/>
          </w:tcPr>
          <w:p w14:paraId="1BFFA332" w14:textId="77777777" w:rsidR="00454A29" w:rsidRDefault="00454A29">
            <w:pPr>
              <w:pStyle w:val="ConsPlusNormal"/>
              <w:jc w:val="center"/>
            </w:pPr>
            <w:r>
              <w:t>чел.</w:t>
            </w:r>
          </w:p>
        </w:tc>
        <w:tc>
          <w:tcPr>
            <w:tcW w:w="1984" w:type="dxa"/>
            <w:vAlign w:val="center"/>
          </w:tcPr>
          <w:p w14:paraId="39247AA0" w14:textId="77777777" w:rsidR="00454A29" w:rsidRDefault="00454A29">
            <w:pPr>
              <w:pStyle w:val="ConsPlusNormal"/>
              <w:jc w:val="center"/>
            </w:pPr>
            <w:r>
              <w:t>Минобрнауки РС(Я)</w:t>
            </w:r>
          </w:p>
        </w:tc>
        <w:tc>
          <w:tcPr>
            <w:tcW w:w="964" w:type="dxa"/>
            <w:vAlign w:val="center"/>
          </w:tcPr>
          <w:p w14:paraId="47810E36" w14:textId="77777777" w:rsidR="00454A29" w:rsidRDefault="00454A29">
            <w:pPr>
              <w:pStyle w:val="ConsPlusNormal"/>
              <w:jc w:val="center"/>
            </w:pPr>
            <w:r>
              <w:t>19</w:t>
            </w:r>
          </w:p>
        </w:tc>
        <w:tc>
          <w:tcPr>
            <w:tcW w:w="964" w:type="dxa"/>
            <w:vAlign w:val="center"/>
          </w:tcPr>
          <w:p w14:paraId="3D0B0F66" w14:textId="77777777" w:rsidR="00454A29" w:rsidRDefault="00454A29">
            <w:pPr>
              <w:pStyle w:val="ConsPlusNormal"/>
              <w:jc w:val="center"/>
            </w:pPr>
            <w:r>
              <w:t>16</w:t>
            </w:r>
          </w:p>
        </w:tc>
        <w:tc>
          <w:tcPr>
            <w:tcW w:w="964" w:type="dxa"/>
            <w:vAlign w:val="center"/>
          </w:tcPr>
          <w:p w14:paraId="6C5A9777" w14:textId="77777777" w:rsidR="00454A29" w:rsidRDefault="00454A29">
            <w:pPr>
              <w:pStyle w:val="ConsPlusNormal"/>
              <w:jc w:val="center"/>
            </w:pPr>
            <w:r>
              <w:t>15</w:t>
            </w:r>
          </w:p>
        </w:tc>
        <w:tc>
          <w:tcPr>
            <w:tcW w:w="964" w:type="dxa"/>
            <w:vAlign w:val="center"/>
          </w:tcPr>
          <w:p w14:paraId="6A71A125" w14:textId="77777777" w:rsidR="00454A29" w:rsidRDefault="00454A29">
            <w:pPr>
              <w:pStyle w:val="ConsPlusNormal"/>
              <w:jc w:val="center"/>
            </w:pPr>
            <w:r>
              <w:t>х</w:t>
            </w:r>
          </w:p>
        </w:tc>
        <w:tc>
          <w:tcPr>
            <w:tcW w:w="964" w:type="dxa"/>
            <w:vAlign w:val="center"/>
          </w:tcPr>
          <w:p w14:paraId="243FFE75" w14:textId="77777777" w:rsidR="00454A29" w:rsidRDefault="00454A29">
            <w:pPr>
              <w:pStyle w:val="ConsPlusNormal"/>
              <w:jc w:val="center"/>
            </w:pPr>
            <w:r>
              <w:t>х</w:t>
            </w:r>
          </w:p>
        </w:tc>
        <w:tc>
          <w:tcPr>
            <w:tcW w:w="964" w:type="dxa"/>
            <w:vAlign w:val="center"/>
          </w:tcPr>
          <w:p w14:paraId="46118534" w14:textId="77777777" w:rsidR="00454A29" w:rsidRDefault="00454A29">
            <w:pPr>
              <w:pStyle w:val="ConsPlusNormal"/>
              <w:jc w:val="center"/>
            </w:pPr>
            <w:r>
              <w:t>х</w:t>
            </w:r>
          </w:p>
        </w:tc>
        <w:tc>
          <w:tcPr>
            <w:tcW w:w="964" w:type="dxa"/>
            <w:vAlign w:val="center"/>
          </w:tcPr>
          <w:p w14:paraId="292FE64C" w14:textId="77777777" w:rsidR="00454A29" w:rsidRDefault="00454A29">
            <w:pPr>
              <w:pStyle w:val="ConsPlusNormal"/>
              <w:jc w:val="center"/>
            </w:pPr>
            <w:r>
              <w:t>х</w:t>
            </w:r>
          </w:p>
        </w:tc>
      </w:tr>
      <w:tr w:rsidR="00454A29" w14:paraId="41CF967C" w14:textId="77777777">
        <w:tc>
          <w:tcPr>
            <w:tcW w:w="13608" w:type="dxa"/>
            <w:gridSpan w:val="11"/>
            <w:vAlign w:val="center"/>
          </w:tcPr>
          <w:p w14:paraId="55C35638" w14:textId="77777777" w:rsidR="00454A29" w:rsidRDefault="00454A29">
            <w:pPr>
              <w:pStyle w:val="ConsPlusNormal"/>
              <w:jc w:val="center"/>
            </w:pPr>
            <w:r>
              <w:t>Основное мероприятие 7.5. Реализация проекта "Учитель Арктики"</w:t>
            </w:r>
          </w:p>
        </w:tc>
      </w:tr>
      <w:tr w:rsidR="00454A29" w14:paraId="56B82AE5" w14:textId="77777777">
        <w:tc>
          <w:tcPr>
            <w:tcW w:w="567" w:type="dxa"/>
            <w:vAlign w:val="center"/>
          </w:tcPr>
          <w:p w14:paraId="53CCDB5A" w14:textId="77777777" w:rsidR="00454A29" w:rsidRDefault="00454A29">
            <w:pPr>
              <w:pStyle w:val="ConsPlusNormal"/>
              <w:jc w:val="center"/>
            </w:pPr>
            <w:r>
              <w:t>1</w:t>
            </w:r>
          </w:p>
        </w:tc>
        <w:tc>
          <w:tcPr>
            <w:tcW w:w="3005" w:type="dxa"/>
            <w:vAlign w:val="center"/>
          </w:tcPr>
          <w:p w14:paraId="7507F065" w14:textId="77777777" w:rsidR="00454A29" w:rsidRDefault="00454A29">
            <w:pPr>
              <w:pStyle w:val="ConsPlusNormal"/>
            </w:pPr>
            <w:r>
              <w:t>Количество выпускников с педагогической специальностью Республики Саха (Якутия), трудоустроившихся в год завершения обучения в общеобразовательных организациях арктических улусов Республики Саха (Якутия)</w:t>
            </w:r>
          </w:p>
        </w:tc>
        <w:tc>
          <w:tcPr>
            <w:tcW w:w="1304" w:type="dxa"/>
            <w:vAlign w:val="center"/>
          </w:tcPr>
          <w:p w14:paraId="4C9E57B0" w14:textId="77777777" w:rsidR="00454A29" w:rsidRDefault="00454A29">
            <w:pPr>
              <w:pStyle w:val="ConsPlusNormal"/>
              <w:jc w:val="center"/>
            </w:pPr>
            <w:r>
              <w:t>чел.</w:t>
            </w:r>
          </w:p>
        </w:tc>
        <w:tc>
          <w:tcPr>
            <w:tcW w:w="1984" w:type="dxa"/>
            <w:vAlign w:val="center"/>
          </w:tcPr>
          <w:p w14:paraId="7196E4A9" w14:textId="77777777" w:rsidR="00454A29" w:rsidRDefault="00454A29">
            <w:pPr>
              <w:pStyle w:val="ConsPlusNormal"/>
              <w:jc w:val="center"/>
            </w:pPr>
            <w:r>
              <w:t>Минобрнауки РС(Я)</w:t>
            </w:r>
          </w:p>
        </w:tc>
        <w:tc>
          <w:tcPr>
            <w:tcW w:w="964" w:type="dxa"/>
            <w:vAlign w:val="center"/>
          </w:tcPr>
          <w:p w14:paraId="44CF0C8C" w14:textId="77777777" w:rsidR="00454A29" w:rsidRDefault="00454A29">
            <w:pPr>
              <w:pStyle w:val="ConsPlusNormal"/>
              <w:jc w:val="center"/>
            </w:pPr>
            <w:r>
              <w:t>90</w:t>
            </w:r>
          </w:p>
        </w:tc>
        <w:tc>
          <w:tcPr>
            <w:tcW w:w="964" w:type="dxa"/>
            <w:vAlign w:val="center"/>
          </w:tcPr>
          <w:p w14:paraId="56213917" w14:textId="77777777" w:rsidR="00454A29" w:rsidRDefault="00454A29">
            <w:pPr>
              <w:pStyle w:val="ConsPlusNormal"/>
              <w:jc w:val="center"/>
            </w:pPr>
            <w:r>
              <w:t>90</w:t>
            </w:r>
          </w:p>
        </w:tc>
        <w:tc>
          <w:tcPr>
            <w:tcW w:w="964" w:type="dxa"/>
            <w:vAlign w:val="center"/>
          </w:tcPr>
          <w:p w14:paraId="53980637" w14:textId="77777777" w:rsidR="00454A29" w:rsidRDefault="00454A29">
            <w:pPr>
              <w:pStyle w:val="ConsPlusNormal"/>
              <w:jc w:val="center"/>
            </w:pPr>
            <w:r>
              <w:t>90</w:t>
            </w:r>
          </w:p>
        </w:tc>
        <w:tc>
          <w:tcPr>
            <w:tcW w:w="964" w:type="dxa"/>
            <w:vAlign w:val="center"/>
          </w:tcPr>
          <w:p w14:paraId="0A33442D" w14:textId="77777777" w:rsidR="00454A29" w:rsidRDefault="00454A29">
            <w:pPr>
              <w:pStyle w:val="ConsPlusNormal"/>
              <w:jc w:val="center"/>
            </w:pPr>
            <w:r>
              <w:t>90</w:t>
            </w:r>
          </w:p>
        </w:tc>
        <w:tc>
          <w:tcPr>
            <w:tcW w:w="964" w:type="dxa"/>
            <w:vAlign w:val="center"/>
          </w:tcPr>
          <w:p w14:paraId="6BCB1DCE" w14:textId="77777777" w:rsidR="00454A29" w:rsidRDefault="00454A29">
            <w:pPr>
              <w:pStyle w:val="ConsPlusNormal"/>
              <w:jc w:val="center"/>
            </w:pPr>
            <w:r>
              <w:t>90</w:t>
            </w:r>
          </w:p>
        </w:tc>
        <w:tc>
          <w:tcPr>
            <w:tcW w:w="964" w:type="dxa"/>
            <w:vAlign w:val="center"/>
          </w:tcPr>
          <w:p w14:paraId="6A434F29" w14:textId="77777777" w:rsidR="00454A29" w:rsidRDefault="00454A29">
            <w:pPr>
              <w:pStyle w:val="ConsPlusNormal"/>
              <w:jc w:val="center"/>
            </w:pPr>
            <w:r>
              <w:t>х</w:t>
            </w:r>
          </w:p>
        </w:tc>
        <w:tc>
          <w:tcPr>
            <w:tcW w:w="964" w:type="dxa"/>
            <w:vAlign w:val="center"/>
          </w:tcPr>
          <w:p w14:paraId="3340C451" w14:textId="77777777" w:rsidR="00454A29" w:rsidRDefault="00454A29">
            <w:pPr>
              <w:pStyle w:val="ConsPlusNormal"/>
              <w:jc w:val="center"/>
            </w:pPr>
            <w:r>
              <w:t>х</w:t>
            </w:r>
          </w:p>
        </w:tc>
      </w:tr>
      <w:tr w:rsidR="00454A29" w14:paraId="612D468E" w14:textId="77777777">
        <w:tc>
          <w:tcPr>
            <w:tcW w:w="13608" w:type="dxa"/>
            <w:gridSpan w:val="11"/>
            <w:vAlign w:val="center"/>
          </w:tcPr>
          <w:p w14:paraId="72527A5D" w14:textId="77777777" w:rsidR="00454A29" w:rsidRDefault="00454A29">
            <w:pPr>
              <w:pStyle w:val="ConsPlusNormal"/>
              <w:jc w:val="center"/>
              <w:outlineLvl w:val="2"/>
            </w:pPr>
            <w:r>
              <w:t>Подпрограмма N 8. "Дети Арктики и Севера"</w:t>
            </w:r>
          </w:p>
        </w:tc>
      </w:tr>
      <w:tr w:rsidR="00454A29" w14:paraId="7D87A3A3" w14:textId="77777777">
        <w:tc>
          <w:tcPr>
            <w:tcW w:w="567" w:type="dxa"/>
            <w:vAlign w:val="center"/>
          </w:tcPr>
          <w:p w14:paraId="20F8B0B2" w14:textId="77777777" w:rsidR="00454A29" w:rsidRDefault="00454A29">
            <w:pPr>
              <w:pStyle w:val="ConsPlusNormal"/>
              <w:jc w:val="center"/>
            </w:pPr>
            <w:r>
              <w:t>1</w:t>
            </w:r>
          </w:p>
        </w:tc>
        <w:tc>
          <w:tcPr>
            <w:tcW w:w="3005" w:type="dxa"/>
            <w:vAlign w:val="center"/>
          </w:tcPr>
          <w:p w14:paraId="7F9F60D8" w14:textId="77777777" w:rsidR="00454A29" w:rsidRDefault="00454A29">
            <w:pPr>
              <w:pStyle w:val="ConsPlusNormal"/>
            </w:pPr>
            <w:r>
              <w:t>Количество кочевых образовательных организаций, которым созданы условия современной образовательной среды (нарастающим итогом)</w:t>
            </w:r>
          </w:p>
        </w:tc>
        <w:tc>
          <w:tcPr>
            <w:tcW w:w="1304" w:type="dxa"/>
            <w:vAlign w:val="center"/>
          </w:tcPr>
          <w:p w14:paraId="205349EA" w14:textId="77777777" w:rsidR="00454A29" w:rsidRDefault="00454A29">
            <w:pPr>
              <w:pStyle w:val="ConsPlusNormal"/>
              <w:jc w:val="center"/>
            </w:pPr>
            <w:r>
              <w:t>ед.</w:t>
            </w:r>
          </w:p>
        </w:tc>
        <w:tc>
          <w:tcPr>
            <w:tcW w:w="1984" w:type="dxa"/>
            <w:vAlign w:val="center"/>
          </w:tcPr>
          <w:p w14:paraId="36474AD5" w14:textId="77777777" w:rsidR="00454A29" w:rsidRDefault="00454A29">
            <w:pPr>
              <w:pStyle w:val="ConsPlusNormal"/>
              <w:jc w:val="center"/>
            </w:pPr>
            <w:r>
              <w:t>Минобрнауки РС(Я)</w:t>
            </w:r>
          </w:p>
        </w:tc>
        <w:tc>
          <w:tcPr>
            <w:tcW w:w="964" w:type="dxa"/>
            <w:vAlign w:val="center"/>
          </w:tcPr>
          <w:p w14:paraId="680EA964" w14:textId="77777777" w:rsidR="00454A29" w:rsidRDefault="00454A29">
            <w:pPr>
              <w:pStyle w:val="ConsPlusNormal"/>
              <w:jc w:val="center"/>
            </w:pPr>
            <w:r>
              <w:t>0</w:t>
            </w:r>
          </w:p>
        </w:tc>
        <w:tc>
          <w:tcPr>
            <w:tcW w:w="964" w:type="dxa"/>
            <w:vAlign w:val="center"/>
          </w:tcPr>
          <w:p w14:paraId="15853D45" w14:textId="77777777" w:rsidR="00454A29" w:rsidRDefault="00454A29">
            <w:pPr>
              <w:pStyle w:val="ConsPlusNormal"/>
              <w:jc w:val="center"/>
            </w:pPr>
            <w:r>
              <w:t>0</w:t>
            </w:r>
          </w:p>
        </w:tc>
        <w:tc>
          <w:tcPr>
            <w:tcW w:w="964" w:type="dxa"/>
            <w:vAlign w:val="center"/>
          </w:tcPr>
          <w:p w14:paraId="338C2EAC" w14:textId="77777777" w:rsidR="00454A29" w:rsidRDefault="00454A29">
            <w:pPr>
              <w:pStyle w:val="ConsPlusNormal"/>
              <w:jc w:val="center"/>
            </w:pPr>
            <w:r>
              <w:t>1</w:t>
            </w:r>
          </w:p>
        </w:tc>
        <w:tc>
          <w:tcPr>
            <w:tcW w:w="964" w:type="dxa"/>
            <w:vAlign w:val="center"/>
          </w:tcPr>
          <w:p w14:paraId="23E75593" w14:textId="77777777" w:rsidR="00454A29" w:rsidRDefault="00454A29">
            <w:pPr>
              <w:pStyle w:val="ConsPlusNormal"/>
              <w:jc w:val="center"/>
            </w:pPr>
            <w:r>
              <w:t>2</w:t>
            </w:r>
          </w:p>
        </w:tc>
        <w:tc>
          <w:tcPr>
            <w:tcW w:w="964" w:type="dxa"/>
            <w:vAlign w:val="center"/>
          </w:tcPr>
          <w:p w14:paraId="7CCAC11D" w14:textId="77777777" w:rsidR="00454A29" w:rsidRDefault="00454A29">
            <w:pPr>
              <w:pStyle w:val="ConsPlusNormal"/>
              <w:jc w:val="center"/>
            </w:pPr>
            <w:r>
              <w:t>3</w:t>
            </w:r>
          </w:p>
        </w:tc>
        <w:tc>
          <w:tcPr>
            <w:tcW w:w="964" w:type="dxa"/>
            <w:vAlign w:val="center"/>
          </w:tcPr>
          <w:p w14:paraId="095F7824" w14:textId="77777777" w:rsidR="00454A29" w:rsidRDefault="00454A29">
            <w:pPr>
              <w:pStyle w:val="ConsPlusNormal"/>
              <w:jc w:val="center"/>
            </w:pPr>
            <w:r>
              <w:t>4</w:t>
            </w:r>
          </w:p>
        </w:tc>
        <w:tc>
          <w:tcPr>
            <w:tcW w:w="964" w:type="dxa"/>
            <w:vAlign w:val="center"/>
          </w:tcPr>
          <w:p w14:paraId="2E90A145" w14:textId="77777777" w:rsidR="00454A29" w:rsidRDefault="00454A29">
            <w:pPr>
              <w:pStyle w:val="ConsPlusNormal"/>
              <w:jc w:val="center"/>
            </w:pPr>
            <w:r>
              <w:t>5</w:t>
            </w:r>
          </w:p>
        </w:tc>
      </w:tr>
      <w:tr w:rsidR="00454A29" w14:paraId="7A83CEF4" w14:textId="77777777">
        <w:tc>
          <w:tcPr>
            <w:tcW w:w="567" w:type="dxa"/>
            <w:vAlign w:val="center"/>
          </w:tcPr>
          <w:p w14:paraId="579DA0AB" w14:textId="77777777" w:rsidR="00454A29" w:rsidRDefault="00454A29">
            <w:pPr>
              <w:pStyle w:val="ConsPlusNormal"/>
              <w:jc w:val="center"/>
            </w:pPr>
            <w:r>
              <w:t>2</w:t>
            </w:r>
          </w:p>
        </w:tc>
        <w:tc>
          <w:tcPr>
            <w:tcW w:w="3005" w:type="dxa"/>
            <w:vAlign w:val="center"/>
          </w:tcPr>
          <w:p w14:paraId="5529B515" w14:textId="77777777" w:rsidR="00454A29" w:rsidRDefault="00454A29">
            <w:pPr>
              <w:pStyle w:val="ConsPlusNormal"/>
            </w:pPr>
            <w:r>
              <w:t>Количество детей, изучающих языки коренных малочисленных народов Севера</w:t>
            </w:r>
          </w:p>
        </w:tc>
        <w:tc>
          <w:tcPr>
            <w:tcW w:w="1304" w:type="dxa"/>
            <w:vAlign w:val="center"/>
          </w:tcPr>
          <w:p w14:paraId="3C14D539" w14:textId="77777777" w:rsidR="00454A29" w:rsidRDefault="00454A29">
            <w:pPr>
              <w:pStyle w:val="ConsPlusNormal"/>
              <w:jc w:val="center"/>
            </w:pPr>
            <w:r>
              <w:t>чел.</w:t>
            </w:r>
          </w:p>
        </w:tc>
        <w:tc>
          <w:tcPr>
            <w:tcW w:w="1984" w:type="dxa"/>
            <w:vAlign w:val="center"/>
          </w:tcPr>
          <w:p w14:paraId="0644C972" w14:textId="77777777" w:rsidR="00454A29" w:rsidRDefault="00454A29">
            <w:pPr>
              <w:pStyle w:val="ConsPlusNormal"/>
              <w:jc w:val="center"/>
            </w:pPr>
            <w:r>
              <w:t>Минобрнауки РС(Я)</w:t>
            </w:r>
          </w:p>
        </w:tc>
        <w:tc>
          <w:tcPr>
            <w:tcW w:w="964" w:type="dxa"/>
            <w:vAlign w:val="center"/>
          </w:tcPr>
          <w:p w14:paraId="17F0D6CF" w14:textId="77777777" w:rsidR="00454A29" w:rsidRDefault="00454A29">
            <w:pPr>
              <w:pStyle w:val="ConsPlusNormal"/>
              <w:jc w:val="center"/>
            </w:pPr>
            <w:r>
              <w:t>3000</w:t>
            </w:r>
          </w:p>
        </w:tc>
        <w:tc>
          <w:tcPr>
            <w:tcW w:w="964" w:type="dxa"/>
            <w:vAlign w:val="center"/>
          </w:tcPr>
          <w:p w14:paraId="0D6D861D" w14:textId="77777777" w:rsidR="00454A29" w:rsidRDefault="00454A29">
            <w:pPr>
              <w:pStyle w:val="ConsPlusNormal"/>
              <w:jc w:val="center"/>
            </w:pPr>
            <w:r>
              <w:t>3000</w:t>
            </w:r>
          </w:p>
        </w:tc>
        <w:tc>
          <w:tcPr>
            <w:tcW w:w="964" w:type="dxa"/>
            <w:vAlign w:val="center"/>
          </w:tcPr>
          <w:p w14:paraId="3DBEC1E1" w14:textId="77777777" w:rsidR="00454A29" w:rsidRDefault="00454A29">
            <w:pPr>
              <w:pStyle w:val="ConsPlusNormal"/>
              <w:jc w:val="center"/>
            </w:pPr>
            <w:r>
              <w:t>3000</w:t>
            </w:r>
          </w:p>
        </w:tc>
        <w:tc>
          <w:tcPr>
            <w:tcW w:w="964" w:type="dxa"/>
            <w:vAlign w:val="center"/>
          </w:tcPr>
          <w:p w14:paraId="5A20A92E" w14:textId="77777777" w:rsidR="00454A29" w:rsidRDefault="00454A29">
            <w:pPr>
              <w:pStyle w:val="ConsPlusNormal"/>
              <w:jc w:val="center"/>
            </w:pPr>
            <w:r>
              <w:t>3010</w:t>
            </w:r>
          </w:p>
        </w:tc>
        <w:tc>
          <w:tcPr>
            <w:tcW w:w="964" w:type="dxa"/>
            <w:vAlign w:val="center"/>
          </w:tcPr>
          <w:p w14:paraId="32073EC0" w14:textId="77777777" w:rsidR="00454A29" w:rsidRDefault="00454A29">
            <w:pPr>
              <w:pStyle w:val="ConsPlusNormal"/>
              <w:jc w:val="center"/>
            </w:pPr>
            <w:r>
              <w:t>3020</w:t>
            </w:r>
          </w:p>
        </w:tc>
        <w:tc>
          <w:tcPr>
            <w:tcW w:w="964" w:type="dxa"/>
            <w:vAlign w:val="center"/>
          </w:tcPr>
          <w:p w14:paraId="5AFF1AF3" w14:textId="77777777" w:rsidR="00454A29" w:rsidRDefault="00454A29">
            <w:pPr>
              <w:pStyle w:val="ConsPlusNormal"/>
              <w:jc w:val="center"/>
            </w:pPr>
            <w:r>
              <w:t>3030</w:t>
            </w:r>
          </w:p>
        </w:tc>
        <w:tc>
          <w:tcPr>
            <w:tcW w:w="964" w:type="dxa"/>
            <w:vAlign w:val="center"/>
          </w:tcPr>
          <w:p w14:paraId="07B9B5E5" w14:textId="77777777" w:rsidR="00454A29" w:rsidRDefault="00454A29">
            <w:pPr>
              <w:pStyle w:val="ConsPlusNormal"/>
              <w:jc w:val="center"/>
            </w:pPr>
            <w:r>
              <w:t>3040</w:t>
            </w:r>
          </w:p>
        </w:tc>
      </w:tr>
      <w:tr w:rsidR="00454A29" w14:paraId="0BEA49BB" w14:textId="77777777">
        <w:tc>
          <w:tcPr>
            <w:tcW w:w="13608" w:type="dxa"/>
            <w:gridSpan w:val="11"/>
            <w:vAlign w:val="center"/>
          </w:tcPr>
          <w:p w14:paraId="2DA772C2" w14:textId="77777777" w:rsidR="00454A29" w:rsidRDefault="00454A29">
            <w:pPr>
              <w:pStyle w:val="ConsPlusNormal"/>
              <w:jc w:val="center"/>
            </w:pPr>
            <w:r>
              <w:t>Основное мероприятие 8.1. Создание современной образовательной среды, электронного и дистанционного обучения</w:t>
            </w:r>
          </w:p>
        </w:tc>
      </w:tr>
      <w:tr w:rsidR="00454A29" w14:paraId="03CC1172" w14:textId="77777777">
        <w:tc>
          <w:tcPr>
            <w:tcW w:w="567" w:type="dxa"/>
            <w:vAlign w:val="center"/>
          </w:tcPr>
          <w:p w14:paraId="361B48D3" w14:textId="77777777" w:rsidR="00454A29" w:rsidRDefault="00454A29">
            <w:pPr>
              <w:pStyle w:val="ConsPlusNormal"/>
              <w:jc w:val="center"/>
            </w:pPr>
            <w:r>
              <w:t>1</w:t>
            </w:r>
          </w:p>
        </w:tc>
        <w:tc>
          <w:tcPr>
            <w:tcW w:w="3005" w:type="dxa"/>
            <w:vAlign w:val="center"/>
          </w:tcPr>
          <w:p w14:paraId="4FC5A1D7" w14:textId="77777777" w:rsidR="00454A29" w:rsidRDefault="00454A29">
            <w:pPr>
              <w:pStyle w:val="ConsPlusNormal"/>
            </w:pPr>
            <w:r>
              <w:t xml:space="preserve">Создание современной </w:t>
            </w:r>
            <w:r>
              <w:lastRenderedPageBreak/>
              <w:t>образовательной среды, электронного и дистанционного обучения</w:t>
            </w:r>
          </w:p>
        </w:tc>
        <w:tc>
          <w:tcPr>
            <w:tcW w:w="1304" w:type="dxa"/>
            <w:vAlign w:val="center"/>
          </w:tcPr>
          <w:p w14:paraId="6BDE911D" w14:textId="77777777" w:rsidR="00454A29" w:rsidRDefault="00454A29">
            <w:pPr>
              <w:pStyle w:val="ConsPlusNormal"/>
              <w:jc w:val="center"/>
            </w:pPr>
            <w:r>
              <w:lastRenderedPageBreak/>
              <w:t>ед.</w:t>
            </w:r>
          </w:p>
        </w:tc>
        <w:tc>
          <w:tcPr>
            <w:tcW w:w="1984" w:type="dxa"/>
            <w:vAlign w:val="center"/>
          </w:tcPr>
          <w:p w14:paraId="547207D6" w14:textId="77777777" w:rsidR="00454A29" w:rsidRDefault="00454A29">
            <w:pPr>
              <w:pStyle w:val="ConsPlusNormal"/>
              <w:jc w:val="center"/>
            </w:pPr>
            <w:r>
              <w:t>Минобрнауки РС(Я)</w:t>
            </w:r>
          </w:p>
        </w:tc>
        <w:tc>
          <w:tcPr>
            <w:tcW w:w="964" w:type="dxa"/>
            <w:vAlign w:val="center"/>
          </w:tcPr>
          <w:p w14:paraId="35A371C9" w14:textId="77777777" w:rsidR="00454A29" w:rsidRDefault="00454A29">
            <w:pPr>
              <w:pStyle w:val="ConsPlusNormal"/>
              <w:jc w:val="center"/>
            </w:pPr>
            <w:r>
              <w:t>0</w:t>
            </w:r>
          </w:p>
        </w:tc>
        <w:tc>
          <w:tcPr>
            <w:tcW w:w="964" w:type="dxa"/>
            <w:vAlign w:val="center"/>
          </w:tcPr>
          <w:p w14:paraId="5A510C14" w14:textId="77777777" w:rsidR="00454A29" w:rsidRDefault="00454A29">
            <w:pPr>
              <w:pStyle w:val="ConsPlusNormal"/>
              <w:jc w:val="center"/>
            </w:pPr>
            <w:r>
              <w:t>6</w:t>
            </w:r>
          </w:p>
        </w:tc>
        <w:tc>
          <w:tcPr>
            <w:tcW w:w="964" w:type="dxa"/>
            <w:vAlign w:val="center"/>
          </w:tcPr>
          <w:p w14:paraId="72492FDB" w14:textId="77777777" w:rsidR="00454A29" w:rsidRDefault="00454A29">
            <w:pPr>
              <w:pStyle w:val="ConsPlusNormal"/>
              <w:jc w:val="center"/>
            </w:pPr>
            <w:r>
              <w:t>8</w:t>
            </w:r>
          </w:p>
        </w:tc>
        <w:tc>
          <w:tcPr>
            <w:tcW w:w="964" w:type="dxa"/>
            <w:vAlign w:val="center"/>
          </w:tcPr>
          <w:p w14:paraId="7CBDE788" w14:textId="77777777" w:rsidR="00454A29" w:rsidRDefault="00454A29">
            <w:pPr>
              <w:pStyle w:val="ConsPlusNormal"/>
              <w:jc w:val="center"/>
            </w:pPr>
            <w:r>
              <w:t>10</w:t>
            </w:r>
          </w:p>
        </w:tc>
        <w:tc>
          <w:tcPr>
            <w:tcW w:w="964" w:type="dxa"/>
            <w:vAlign w:val="center"/>
          </w:tcPr>
          <w:p w14:paraId="1C6839BB" w14:textId="77777777" w:rsidR="00454A29" w:rsidRDefault="00454A29">
            <w:pPr>
              <w:pStyle w:val="ConsPlusNormal"/>
              <w:jc w:val="center"/>
            </w:pPr>
            <w:r>
              <w:t>12</w:t>
            </w:r>
          </w:p>
        </w:tc>
        <w:tc>
          <w:tcPr>
            <w:tcW w:w="964" w:type="dxa"/>
            <w:vAlign w:val="center"/>
          </w:tcPr>
          <w:p w14:paraId="657B6F02" w14:textId="77777777" w:rsidR="00454A29" w:rsidRDefault="00454A29">
            <w:pPr>
              <w:pStyle w:val="ConsPlusNormal"/>
              <w:jc w:val="center"/>
            </w:pPr>
            <w:r>
              <w:t>14</w:t>
            </w:r>
          </w:p>
        </w:tc>
        <w:tc>
          <w:tcPr>
            <w:tcW w:w="964" w:type="dxa"/>
            <w:vAlign w:val="center"/>
          </w:tcPr>
          <w:p w14:paraId="4B5E82C8" w14:textId="77777777" w:rsidR="00454A29" w:rsidRDefault="00454A29">
            <w:pPr>
              <w:pStyle w:val="ConsPlusNormal"/>
              <w:jc w:val="center"/>
            </w:pPr>
            <w:r>
              <w:t>16</w:t>
            </w:r>
          </w:p>
        </w:tc>
      </w:tr>
      <w:tr w:rsidR="00454A29" w14:paraId="6D465F76" w14:textId="77777777">
        <w:tc>
          <w:tcPr>
            <w:tcW w:w="567" w:type="dxa"/>
            <w:vAlign w:val="center"/>
          </w:tcPr>
          <w:p w14:paraId="46C5ED46" w14:textId="77777777" w:rsidR="00454A29" w:rsidRDefault="00454A29">
            <w:pPr>
              <w:pStyle w:val="ConsPlusNormal"/>
            </w:pPr>
          </w:p>
        </w:tc>
        <w:tc>
          <w:tcPr>
            <w:tcW w:w="13041" w:type="dxa"/>
            <w:gridSpan w:val="10"/>
          </w:tcPr>
          <w:p w14:paraId="322C6C60" w14:textId="77777777" w:rsidR="00454A29" w:rsidRDefault="00454A29">
            <w:pPr>
              <w:pStyle w:val="ConsPlusNormal"/>
              <w:jc w:val="center"/>
            </w:pPr>
            <w:r>
              <w:t>Основное мероприятие 8.2. Внедрение образовательной инициативы "Арктическое образование"</w:t>
            </w:r>
          </w:p>
        </w:tc>
      </w:tr>
      <w:tr w:rsidR="00454A29" w14:paraId="356552BC" w14:textId="77777777">
        <w:tc>
          <w:tcPr>
            <w:tcW w:w="567" w:type="dxa"/>
            <w:vAlign w:val="center"/>
          </w:tcPr>
          <w:p w14:paraId="3FC921BC" w14:textId="77777777" w:rsidR="00454A29" w:rsidRDefault="00454A29">
            <w:pPr>
              <w:pStyle w:val="ConsPlusNormal"/>
              <w:jc w:val="center"/>
            </w:pPr>
            <w:r>
              <w:t>1</w:t>
            </w:r>
          </w:p>
        </w:tc>
        <w:tc>
          <w:tcPr>
            <w:tcW w:w="3005" w:type="dxa"/>
            <w:vAlign w:val="center"/>
          </w:tcPr>
          <w:p w14:paraId="22200A7B" w14:textId="77777777" w:rsidR="00454A29" w:rsidRDefault="00454A29">
            <w:pPr>
              <w:pStyle w:val="ConsPlusNormal"/>
            </w:pPr>
            <w:r>
              <w:t>Количество учителей Арктики, повысивших квалификацию и распространивших передовой педагогический опыт</w:t>
            </w:r>
          </w:p>
        </w:tc>
        <w:tc>
          <w:tcPr>
            <w:tcW w:w="1304" w:type="dxa"/>
            <w:vAlign w:val="center"/>
          </w:tcPr>
          <w:p w14:paraId="423EDAB7" w14:textId="77777777" w:rsidR="00454A29" w:rsidRDefault="00454A29">
            <w:pPr>
              <w:pStyle w:val="ConsPlusNormal"/>
              <w:jc w:val="center"/>
            </w:pPr>
            <w:r>
              <w:t>чел.</w:t>
            </w:r>
          </w:p>
        </w:tc>
        <w:tc>
          <w:tcPr>
            <w:tcW w:w="1984" w:type="dxa"/>
            <w:vAlign w:val="center"/>
          </w:tcPr>
          <w:p w14:paraId="005963A5" w14:textId="77777777" w:rsidR="00454A29" w:rsidRDefault="00454A29">
            <w:pPr>
              <w:pStyle w:val="ConsPlusNormal"/>
              <w:jc w:val="center"/>
            </w:pPr>
            <w:r>
              <w:t>Минобрнауки РС(Я)</w:t>
            </w:r>
          </w:p>
        </w:tc>
        <w:tc>
          <w:tcPr>
            <w:tcW w:w="964" w:type="dxa"/>
            <w:vAlign w:val="center"/>
          </w:tcPr>
          <w:p w14:paraId="00505729" w14:textId="77777777" w:rsidR="00454A29" w:rsidRDefault="00454A29">
            <w:pPr>
              <w:pStyle w:val="ConsPlusNormal"/>
              <w:jc w:val="center"/>
            </w:pPr>
            <w:r>
              <w:t>30</w:t>
            </w:r>
          </w:p>
        </w:tc>
        <w:tc>
          <w:tcPr>
            <w:tcW w:w="964" w:type="dxa"/>
            <w:vAlign w:val="center"/>
          </w:tcPr>
          <w:p w14:paraId="252C6570" w14:textId="77777777" w:rsidR="00454A29" w:rsidRDefault="00454A29">
            <w:pPr>
              <w:pStyle w:val="ConsPlusNormal"/>
              <w:jc w:val="center"/>
            </w:pPr>
            <w:r>
              <w:t>30</w:t>
            </w:r>
          </w:p>
        </w:tc>
        <w:tc>
          <w:tcPr>
            <w:tcW w:w="964" w:type="dxa"/>
            <w:vAlign w:val="center"/>
          </w:tcPr>
          <w:p w14:paraId="333C3B9D" w14:textId="77777777" w:rsidR="00454A29" w:rsidRDefault="00454A29">
            <w:pPr>
              <w:pStyle w:val="ConsPlusNormal"/>
              <w:jc w:val="center"/>
            </w:pPr>
            <w:r>
              <w:t>60</w:t>
            </w:r>
          </w:p>
        </w:tc>
        <w:tc>
          <w:tcPr>
            <w:tcW w:w="964" w:type="dxa"/>
            <w:vAlign w:val="center"/>
          </w:tcPr>
          <w:p w14:paraId="28C7C439" w14:textId="77777777" w:rsidR="00454A29" w:rsidRDefault="00454A29">
            <w:pPr>
              <w:pStyle w:val="ConsPlusNormal"/>
              <w:jc w:val="center"/>
            </w:pPr>
            <w:r>
              <w:t>90</w:t>
            </w:r>
          </w:p>
        </w:tc>
        <w:tc>
          <w:tcPr>
            <w:tcW w:w="964" w:type="dxa"/>
            <w:vAlign w:val="center"/>
          </w:tcPr>
          <w:p w14:paraId="12BF9A29" w14:textId="77777777" w:rsidR="00454A29" w:rsidRDefault="00454A29">
            <w:pPr>
              <w:pStyle w:val="ConsPlusNormal"/>
              <w:jc w:val="center"/>
            </w:pPr>
            <w:r>
              <w:t>120</w:t>
            </w:r>
          </w:p>
        </w:tc>
        <w:tc>
          <w:tcPr>
            <w:tcW w:w="964" w:type="dxa"/>
            <w:vAlign w:val="center"/>
          </w:tcPr>
          <w:p w14:paraId="5B89D1C0" w14:textId="77777777" w:rsidR="00454A29" w:rsidRDefault="00454A29">
            <w:pPr>
              <w:pStyle w:val="ConsPlusNormal"/>
              <w:jc w:val="center"/>
            </w:pPr>
            <w:r>
              <w:t>150</w:t>
            </w:r>
          </w:p>
        </w:tc>
        <w:tc>
          <w:tcPr>
            <w:tcW w:w="964" w:type="dxa"/>
            <w:vAlign w:val="center"/>
          </w:tcPr>
          <w:p w14:paraId="51409372" w14:textId="77777777" w:rsidR="00454A29" w:rsidRDefault="00454A29">
            <w:pPr>
              <w:pStyle w:val="ConsPlusNormal"/>
              <w:jc w:val="center"/>
            </w:pPr>
            <w:r>
              <w:t>180</w:t>
            </w:r>
          </w:p>
        </w:tc>
      </w:tr>
      <w:tr w:rsidR="00454A29" w14:paraId="73A4D20C" w14:textId="77777777">
        <w:tc>
          <w:tcPr>
            <w:tcW w:w="13608" w:type="dxa"/>
            <w:gridSpan w:val="11"/>
            <w:vAlign w:val="center"/>
          </w:tcPr>
          <w:p w14:paraId="0B23B35E" w14:textId="77777777" w:rsidR="00454A29" w:rsidRDefault="00454A29">
            <w:pPr>
              <w:pStyle w:val="ConsPlusNormal"/>
              <w:jc w:val="center"/>
              <w:outlineLvl w:val="2"/>
            </w:pPr>
            <w:r>
              <w:t>Подпрограмма N 9. "Содействие созданию новых мест в общеобразовательных организациях Республики Саха (Якутия)"</w:t>
            </w:r>
          </w:p>
        </w:tc>
      </w:tr>
      <w:tr w:rsidR="00454A29" w14:paraId="1EBD0DB7" w14:textId="77777777">
        <w:tc>
          <w:tcPr>
            <w:tcW w:w="567" w:type="dxa"/>
            <w:vAlign w:val="center"/>
          </w:tcPr>
          <w:p w14:paraId="151AF958" w14:textId="77777777" w:rsidR="00454A29" w:rsidRDefault="00454A29">
            <w:pPr>
              <w:pStyle w:val="ConsPlusNormal"/>
              <w:jc w:val="center"/>
            </w:pPr>
            <w:r>
              <w:t>1</w:t>
            </w:r>
          </w:p>
        </w:tc>
        <w:tc>
          <w:tcPr>
            <w:tcW w:w="3005" w:type="dxa"/>
            <w:vAlign w:val="center"/>
          </w:tcPr>
          <w:p w14:paraId="46DC567F" w14:textId="77777777" w:rsidR="00454A29" w:rsidRDefault="00454A29">
            <w:pPr>
              <w:pStyle w:val="ConsPlusNormal"/>
            </w:pPr>
            <w:r>
              <w:t>Число новых мест в общеобразовательных организациях</w:t>
            </w:r>
          </w:p>
        </w:tc>
        <w:tc>
          <w:tcPr>
            <w:tcW w:w="1304" w:type="dxa"/>
            <w:vAlign w:val="center"/>
          </w:tcPr>
          <w:p w14:paraId="0DEF2274" w14:textId="77777777" w:rsidR="00454A29" w:rsidRDefault="00454A29">
            <w:pPr>
              <w:pStyle w:val="ConsPlusNormal"/>
              <w:jc w:val="center"/>
            </w:pPr>
            <w:r>
              <w:t>ед.</w:t>
            </w:r>
          </w:p>
        </w:tc>
        <w:tc>
          <w:tcPr>
            <w:tcW w:w="1984" w:type="dxa"/>
            <w:vAlign w:val="center"/>
          </w:tcPr>
          <w:p w14:paraId="2A09673A" w14:textId="77777777" w:rsidR="00454A29" w:rsidRDefault="00454A29">
            <w:pPr>
              <w:pStyle w:val="ConsPlusNormal"/>
              <w:jc w:val="center"/>
            </w:pPr>
            <w:r>
              <w:t>Минобрнауки РС(Я) Минстрой РС(Я) Минэкономики РС(Я)</w:t>
            </w:r>
          </w:p>
        </w:tc>
        <w:tc>
          <w:tcPr>
            <w:tcW w:w="964" w:type="dxa"/>
            <w:vAlign w:val="center"/>
          </w:tcPr>
          <w:p w14:paraId="45C9E08E" w14:textId="77777777" w:rsidR="00454A29" w:rsidRDefault="00454A29">
            <w:pPr>
              <w:pStyle w:val="ConsPlusNormal"/>
              <w:jc w:val="center"/>
            </w:pPr>
            <w:r>
              <w:t>1770</w:t>
            </w:r>
          </w:p>
        </w:tc>
        <w:tc>
          <w:tcPr>
            <w:tcW w:w="964" w:type="dxa"/>
            <w:vAlign w:val="center"/>
          </w:tcPr>
          <w:p w14:paraId="6CB8822C" w14:textId="77777777" w:rsidR="00454A29" w:rsidRDefault="00454A29">
            <w:pPr>
              <w:pStyle w:val="ConsPlusNormal"/>
              <w:jc w:val="center"/>
            </w:pPr>
            <w:r>
              <w:t>2510</w:t>
            </w:r>
          </w:p>
        </w:tc>
        <w:tc>
          <w:tcPr>
            <w:tcW w:w="964" w:type="dxa"/>
            <w:vAlign w:val="center"/>
          </w:tcPr>
          <w:p w14:paraId="7D66C2F9" w14:textId="77777777" w:rsidR="00454A29" w:rsidRDefault="00454A29">
            <w:pPr>
              <w:pStyle w:val="ConsPlusNormal"/>
              <w:jc w:val="center"/>
            </w:pPr>
            <w:r>
              <w:t>0</w:t>
            </w:r>
          </w:p>
        </w:tc>
        <w:tc>
          <w:tcPr>
            <w:tcW w:w="964" w:type="dxa"/>
            <w:vAlign w:val="center"/>
          </w:tcPr>
          <w:p w14:paraId="6A52C75C" w14:textId="77777777" w:rsidR="00454A29" w:rsidRDefault="00454A29">
            <w:pPr>
              <w:pStyle w:val="ConsPlusNormal"/>
              <w:jc w:val="center"/>
            </w:pPr>
            <w:r>
              <w:t>3901</w:t>
            </w:r>
          </w:p>
        </w:tc>
        <w:tc>
          <w:tcPr>
            <w:tcW w:w="964" w:type="dxa"/>
            <w:vAlign w:val="center"/>
          </w:tcPr>
          <w:p w14:paraId="04B70CD6" w14:textId="77777777" w:rsidR="00454A29" w:rsidRDefault="00454A29">
            <w:pPr>
              <w:pStyle w:val="ConsPlusNormal"/>
              <w:jc w:val="center"/>
            </w:pPr>
            <w:r>
              <w:t>1265</w:t>
            </w:r>
          </w:p>
        </w:tc>
        <w:tc>
          <w:tcPr>
            <w:tcW w:w="964" w:type="dxa"/>
            <w:vAlign w:val="center"/>
          </w:tcPr>
          <w:p w14:paraId="7D741D3E" w14:textId="77777777" w:rsidR="00454A29" w:rsidRDefault="00454A29">
            <w:pPr>
              <w:pStyle w:val="ConsPlusNormal"/>
              <w:jc w:val="center"/>
            </w:pPr>
            <w:r>
              <w:t>13438</w:t>
            </w:r>
          </w:p>
        </w:tc>
        <w:tc>
          <w:tcPr>
            <w:tcW w:w="964" w:type="dxa"/>
            <w:vAlign w:val="center"/>
          </w:tcPr>
          <w:p w14:paraId="6A92D9DE" w14:textId="77777777" w:rsidR="00454A29" w:rsidRDefault="00454A29">
            <w:pPr>
              <w:pStyle w:val="ConsPlusNormal"/>
              <w:jc w:val="center"/>
            </w:pPr>
            <w:r>
              <w:t>18793</w:t>
            </w:r>
          </w:p>
        </w:tc>
      </w:tr>
      <w:tr w:rsidR="00454A29" w14:paraId="44CC1175" w14:textId="77777777">
        <w:tc>
          <w:tcPr>
            <w:tcW w:w="567" w:type="dxa"/>
            <w:vAlign w:val="center"/>
          </w:tcPr>
          <w:p w14:paraId="55C3E6D1" w14:textId="77777777" w:rsidR="00454A29" w:rsidRDefault="00454A29">
            <w:pPr>
              <w:pStyle w:val="ConsPlusNormal"/>
              <w:jc w:val="center"/>
            </w:pPr>
            <w:r>
              <w:t>2</w:t>
            </w:r>
          </w:p>
        </w:tc>
        <w:tc>
          <w:tcPr>
            <w:tcW w:w="3005" w:type="dxa"/>
            <w:vAlign w:val="center"/>
          </w:tcPr>
          <w:p w14:paraId="577AC8C0" w14:textId="77777777" w:rsidR="00454A29" w:rsidRDefault="00454A29">
            <w:pPr>
              <w:pStyle w:val="ConsPlusNormal"/>
            </w:pPr>
            <w: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304" w:type="dxa"/>
            <w:vAlign w:val="center"/>
          </w:tcPr>
          <w:p w14:paraId="1C744C03" w14:textId="77777777" w:rsidR="00454A29" w:rsidRDefault="00454A29">
            <w:pPr>
              <w:pStyle w:val="ConsPlusNormal"/>
              <w:jc w:val="center"/>
            </w:pPr>
            <w:r>
              <w:t>%</w:t>
            </w:r>
          </w:p>
        </w:tc>
        <w:tc>
          <w:tcPr>
            <w:tcW w:w="1984" w:type="dxa"/>
            <w:vAlign w:val="center"/>
          </w:tcPr>
          <w:p w14:paraId="3494D5E6" w14:textId="77777777" w:rsidR="00454A29" w:rsidRDefault="00454A29">
            <w:pPr>
              <w:pStyle w:val="ConsPlusNormal"/>
              <w:jc w:val="center"/>
            </w:pPr>
            <w:r>
              <w:t>Минобрнауки РС(Я)</w:t>
            </w:r>
          </w:p>
        </w:tc>
        <w:tc>
          <w:tcPr>
            <w:tcW w:w="964" w:type="dxa"/>
            <w:vAlign w:val="center"/>
          </w:tcPr>
          <w:p w14:paraId="4CDEA4FB" w14:textId="77777777" w:rsidR="00454A29" w:rsidRDefault="00454A29">
            <w:pPr>
              <w:pStyle w:val="ConsPlusNormal"/>
              <w:jc w:val="center"/>
            </w:pPr>
            <w:r>
              <w:t>82</w:t>
            </w:r>
          </w:p>
        </w:tc>
        <w:tc>
          <w:tcPr>
            <w:tcW w:w="964" w:type="dxa"/>
            <w:vAlign w:val="center"/>
          </w:tcPr>
          <w:p w14:paraId="146C1584" w14:textId="77777777" w:rsidR="00454A29" w:rsidRDefault="00454A29">
            <w:pPr>
              <w:pStyle w:val="ConsPlusNormal"/>
              <w:jc w:val="center"/>
            </w:pPr>
            <w:r>
              <w:t>85</w:t>
            </w:r>
          </w:p>
        </w:tc>
        <w:tc>
          <w:tcPr>
            <w:tcW w:w="964" w:type="dxa"/>
            <w:vAlign w:val="center"/>
          </w:tcPr>
          <w:p w14:paraId="118224C0" w14:textId="77777777" w:rsidR="00454A29" w:rsidRDefault="00454A29">
            <w:pPr>
              <w:pStyle w:val="ConsPlusNormal"/>
              <w:jc w:val="center"/>
            </w:pPr>
            <w:r>
              <w:t>86</w:t>
            </w:r>
          </w:p>
        </w:tc>
        <w:tc>
          <w:tcPr>
            <w:tcW w:w="964" w:type="dxa"/>
            <w:vAlign w:val="center"/>
          </w:tcPr>
          <w:p w14:paraId="48C88B47" w14:textId="77777777" w:rsidR="00454A29" w:rsidRDefault="00454A29">
            <w:pPr>
              <w:pStyle w:val="ConsPlusNormal"/>
              <w:jc w:val="center"/>
            </w:pPr>
            <w:r>
              <w:t>90</w:t>
            </w:r>
          </w:p>
        </w:tc>
        <w:tc>
          <w:tcPr>
            <w:tcW w:w="964" w:type="dxa"/>
            <w:vAlign w:val="center"/>
          </w:tcPr>
          <w:p w14:paraId="5093FF1B" w14:textId="77777777" w:rsidR="00454A29" w:rsidRDefault="00454A29">
            <w:pPr>
              <w:pStyle w:val="ConsPlusNormal"/>
              <w:jc w:val="center"/>
            </w:pPr>
            <w:r>
              <w:t>92</w:t>
            </w:r>
          </w:p>
        </w:tc>
        <w:tc>
          <w:tcPr>
            <w:tcW w:w="964" w:type="dxa"/>
            <w:vAlign w:val="center"/>
          </w:tcPr>
          <w:p w14:paraId="58AE8041" w14:textId="77777777" w:rsidR="00454A29" w:rsidRDefault="00454A29">
            <w:pPr>
              <w:pStyle w:val="ConsPlusNormal"/>
              <w:jc w:val="center"/>
            </w:pPr>
            <w:r>
              <w:t>95</w:t>
            </w:r>
          </w:p>
        </w:tc>
        <w:tc>
          <w:tcPr>
            <w:tcW w:w="964" w:type="dxa"/>
            <w:vAlign w:val="center"/>
          </w:tcPr>
          <w:p w14:paraId="397B2876" w14:textId="77777777" w:rsidR="00454A29" w:rsidRDefault="00454A29">
            <w:pPr>
              <w:pStyle w:val="ConsPlusNormal"/>
              <w:jc w:val="center"/>
            </w:pPr>
            <w:r>
              <w:t>100</w:t>
            </w:r>
          </w:p>
        </w:tc>
      </w:tr>
      <w:tr w:rsidR="00454A29" w14:paraId="512E6EE5" w14:textId="77777777">
        <w:tc>
          <w:tcPr>
            <w:tcW w:w="13608" w:type="dxa"/>
            <w:gridSpan w:val="11"/>
            <w:vAlign w:val="center"/>
          </w:tcPr>
          <w:p w14:paraId="63C68021" w14:textId="77777777" w:rsidR="00454A29" w:rsidRDefault="00454A29">
            <w:pPr>
              <w:pStyle w:val="ConsPlusNormal"/>
              <w:jc w:val="center"/>
            </w:pPr>
            <w:r>
              <w:t>Основное мероприятие 9.1. Модернизация инфраструктуры общего образования</w:t>
            </w:r>
          </w:p>
        </w:tc>
      </w:tr>
      <w:tr w:rsidR="00454A29" w14:paraId="7672E3AB" w14:textId="77777777">
        <w:tc>
          <w:tcPr>
            <w:tcW w:w="567" w:type="dxa"/>
            <w:vAlign w:val="center"/>
          </w:tcPr>
          <w:p w14:paraId="7D611929" w14:textId="77777777" w:rsidR="00454A29" w:rsidRDefault="00454A29">
            <w:pPr>
              <w:pStyle w:val="ConsPlusNormal"/>
              <w:jc w:val="center"/>
            </w:pPr>
            <w:r>
              <w:t>1</w:t>
            </w:r>
          </w:p>
        </w:tc>
        <w:tc>
          <w:tcPr>
            <w:tcW w:w="3005" w:type="dxa"/>
            <w:vAlign w:val="center"/>
          </w:tcPr>
          <w:p w14:paraId="110F2F29" w14:textId="77777777" w:rsidR="00454A29" w:rsidRDefault="00454A29">
            <w:pPr>
              <w:pStyle w:val="ConsPlusNormal"/>
            </w:pPr>
            <w:r>
              <w:t>Число новых мест в общеобразовательных организациях</w:t>
            </w:r>
          </w:p>
        </w:tc>
        <w:tc>
          <w:tcPr>
            <w:tcW w:w="1304" w:type="dxa"/>
            <w:vAlign w:val="center"/>
          </w:tcPr>
          <w:p w14:paraId="0E90F5B7" w14:textId="77777777" w:rsidR="00454A29" w:rsidRDefault="00454A29">
            <w:pPr>
              <w:pStyle w:val="ConsPlusNormal"/>
              <w:jc w:val="center"/>
            </w:pPr>
            <w:r>
              <w:t>ед.</w:t>
            </w:r>
          </w:p>
        </w:tc>
        <w:tc>
          <w:tcPr>
            <w:tcW w:w="1984" w:type="dxa"/>
            <w:vAlign w:val="center"/>
          </w:tcPr>
          <w:p w14:paraId="6A2F1B56" w14:textId="77777777" w:rsidR="00454A29" w:rsidRDefault="00454A29">
            <w:pPr>
              <w:pStyle w:val="ConsPlusNormal"/>
              <w:jc w:val="center"/>
            </w:pPr>
            <w:r>
              <w:t xml:space="preserve">Минобрнауки РС(Я) Минстрой РС(Я) Минэкономики </w:t>
            </w:r>
            <w:r>
              <w:lastRenderedPageBreak/>
              <w:t>РС(Я)</w:t>
            </w:r>
          </w:p>
        </w:tc>
        <w:tc>
          <w:tcPr>
            <w:tcW w:w="964" w:type="dxa"/>
            <w:vAlign w:val="center"/>
          </w:tcPr>
          <w:p w14:paraId="2C389260" w14:textId="77777777" w:rsidR="00454A29" w:rsidRDefault="00454A29">
            <w:pPr>
              <w:pStyle w:val="ConsPlusNormal"/>
              <w:jc w:val="center"/>
            </w:pPr>
            <w:r>
              <w:lastRenderedPageBreak/>
              <w:t>1455</w:t>
            </w:r>
          </w:p>
        </w:tc>
        <w:tc>
          <w:tcPr>
            <w:tcW w:w="964" w:type="dxa"/>
            <w:vAlign w:val="center"/>
          </w:tcPr>
          <w:p w14:paraId="11544871" w14:textId="77777777" w:rsidR="00454A29" w:rsidRDefault="00454A29">
            <w:pPr>
              <w:pStyle w:val="ConsPlusNormal"/>
              <w:jc w:val="center"/>
            </w:pPr>
            <w:r>
              <w:t>1080</w:t>
            </w:r>
          </w:p>
        </w:tc>
        <w:tc>
          <w:tcPr>
            <w:tcW w:w="964" w:type="dxa"/>
            <w:vAlign w:val="center"/>
          </w:tcPr>
          <w:p w14:paraId="696BC92D" w14:textId="77777777" w:rsidR="00454A29" w:rsidRDefault="00454A29">
            <w:pPr>
              <w:pStyle w:val="ConsPlusNormal"/>
              <w:jc w:val="center"/>
            </w:pPr>
            <w:r>
              <w:t>0</w:t>
            </w:r>
          </w:p>
        </w:tc>
        <w:tc>
          <w:tcPr>
            <w:tcW w:w="964" w:type="dxa"/>
            <w:vAlign w:val="center"/>
          </w:tcPr>
          <w:p w14:paraId="6711B10A" w14:textId="77777777" w:rsidR="00454A29" w:rsidRDefault="00454A29">
            <w:pPr>
              <w:pStyle w:val="ConsPlusNormal"/>
              <w:jc w:val="center"/>
            </w:pPr>
            <w:r>
              <w:t>3901</w:t>
            </w:r>
          </w:p>
        </w:tc>
        <w:tc>
          <w:tcPr>
            <w:tcW w:w="964" w:type="dxa"/>
            <w:vAlign w:val="center"/>
          </w:tcPr>
          <w:p w14:paraId="2CC1C9D7" w14:textId="77777777" w:rsidR="00454A29" w:rsidRDefault="00454A29">
            <w:pPr>
              <w:pStyle w:val="ConsPlusNormal"/>
              <w:jc w:val="center"/>
            </w:pPr>
            <w:r>
              <w:t>1265</w:t>
            </w:r>
          </w:p>
        </w:tc>
        <w:tc>
          <w:tcPr>
            <w:tcW w:w="964" w:type="dxa"/>
            <w:vAlign w:val="center"/>
          </w:tcPr>
          <w:p w14:paraId="21690497" w14:textId="77777777" w:rsidR="00454A29" w:rsidRDefault="00454A29">
            <w:pPr>
              <w:pStyle w:val="ConsPlusNormal"/>
              <w:jc w:val="center"/>
            </w:pPr>
            <w:r>
              <w:t>13438</w:t>
            </w:r>
          </w:p>
        </w:tc>
        <w:tc>
          <w:tcPr>
            <w:tcW w:w="964" w:type="dxa"/>
            <w:vAlign w:val="center"/>
          </w:tcPr>
          <w:p w14:paraId="54E1D345" w14:textId="77777777" w:rsidR="00454A29" w:rsidRDefault="00454A29">
            <w:pPr>
              <w:pStyle w:val="ConsPlusNormal"/>
              <w:jc w:val="center"/>
            </w:pPr>
            <w:r>
              <w:t>18793</w:t>
            </w:r>
          </w:p>
        </w:tc>
      </w:tr>
      <w:tr w:rsidR="00454A29" w14:paraId="5EAD4AF0" w14:textId="77777777">
        <w:tc>
          <w:tcPr>
            <w:tcW w:w="13608" w:type="dxa"/>
            <w:gridSpan w:val="11"/>
            <w:vAlign w:val="center"/>
          </w:tcPr>
          <w:p w14:paraId="3094FCA6" w14:textId="77777777" w:rsidR="00454A29" w:rsidRDefault="00454A29">
            <w:pPr>
              <w:pStyle w:val="ConsPlusNormal"/>
              <w:jc w:val="center"/>
            </w:pPr>
            <w:r>
              <w:t>Основное мероприятие 9.2. Реализация регионального проекта "Современная школа" (в части мероприятий по созданию новых мест в общеобразовательных организациях)</w:t>
            </w:r>
          </w:p>
        </w:tc>
      </w:tr>
      <w:tr w:rsidR="00454A29" w14:paraId="4EA6CC81" w14:textId="77777777">
        <w:tc>
          <w:tcPr>
            <w:tcW w:w="567" w:type="dxa"/>
            <w:vAlign w:val="center"/>
          </w:tcPr>
          <w:p w14:paraId="3920C2D6" w14:textId="77777777" w:rsidR="00454A29" w:rsidRDefault="00454A29">
            <w:pPr>
              <w:pStyle w:val="ConsPlusNormal"/>
            </w:pPr>
          </w:p>
        </w:tc>
        <w:tc>
          <w:tcPr>
            <w:tcW w:w="3005" w:type="dxa"/>
            <w:vAlign w:val="center"/>
          </w:tcPr>
          <w:p w14:paraId="38DF69EE" w14:textId="77777777" w:rsidR="00454A29" w:rsidRDefault="00454A29">
            <w:pPr>
              <w:pStyle w:val="ConsPlusNormal"/>
            </w:pPr>
            <w:r>
              <w:t>Число новых мест в общеобразовательных организациях</w:t>
            </w:r>
          </w:p>
        </w:tc>
        <w:tc>
          <w:tcPr>
            <w:tcW w:w="1304" w:type="dxa"/>
            <w:vAlign w:val="center"/>
          </w:tcPr>
          <w:p w14:paraId="6DEF8F4C" w14:textId="77777777" w:rsidR="00454A29" w:rsidRDefault="00454A29">
            <w:pPr>
              <w:pStyle w:val="ConsPlusNormal"/>
              <w:jc w:val="center"/>
            </w:pPr>
            <w:r>
              <w:t>ед.</w:t>
            </w:r>
          </w:p>
        </w:tc>
        <w:tc>
          <w:tcPr>
            <w:tcW w:w="1984" w:type="dxa"/>
            <w:vAlign w:val="center"/>
          </w:tcPr>
          <w:p w14:paraId="1A594D86" w14:textId="77777777" w:rsidR="00454A29" w:rsidRDefault="00454A29">
            <w:pPr>
              <w:pStyle w:val="ConsPlusNormal"/>
              <w:jc w:val="center"/>
            </w:pPr>
            <w:r>
              <w:t>Минобрнауки РС(Я) Минстрой РС(Я)</w:t>
            </w:r>
          </w:p>
        </w:tc>
        <w:tc>
          <w:tcPr>
            <w:tcW w:w="964" w:type="dxa"/>
            <w:vAlign w:val="center"/>
          </w:tcPr>
          <w:p w14:paraId="6EFFCB58" w14:textId="77777777" w:rsidR="00454A29" w:rsidRDefault="00454A29">
            <w:pPr>
              <w:pStyle w:val="ConsPlusNormal"/>
              <w:jc w:val="center"/>
            </w:pPr>
            <w:r>
              <w:t>315</w:t>
            </w:r>
          </w:p>
        </w:tc>
        <w:tc>
          <w:tcPr>
            <w:tcW w:w="964" w:type="dxa"/>
            <w:vAlign w:val="center"/>
          </w:tcPr>
          <w:p w14:paraId="6628DB9D" w14:textId="77777777" w:rsidR="00454A29" w:rsidRDefault="00454A29">
            <w:pPr>
              <w:pStyle w:val="ConsPlusNormal"/>
              <w:jc w:val="center"/>
            </w:pPr>
            <w:r>
              <w:t>1430</w:t>
            </w:r>
          </w:p>
        </w:tc>
        <w:tc>
          <w:tcPr>
            <w:tcW w:w="964" w:type="dxa"/>
            <w:vAlign w:val="center"/>
          </w:tcPr>
          <w:p w14:paraId="487DFE8F" w14:textId="77777777" w:rsidR="00454A29" w:rsidRDefault="00454A29">
            <w:pPr>
              <w:pStyle w:val="ConsPlusNormal"/>
              <w:jc w:val="center"/>
            </w:pPr>
            <w:r>
              <w:t>0</w:t>
            </w:r>
          </w:p>
        </w:tc>
        <w:tc>
          <w:tcPr>
            <w:tcW w:w="964" w:type="dxa"/>
            <w:vAlign w:val="center"/>
          </w:tcPr>
          <w:p w14:paraId="249B9CB3" w14:textId="77777777" w:rsidR="00454A29" w:rsidRDefault="00454A29">
            <w:pPr>
              <w:pStyle w:val="ConsPlusNormal"/>
              <w:jc w:val="center"/>
            </w:pPr>
            <w:r>
              <w:t>0</w:t>
            </w:r>
          </w:p>
        </w:tc>
        <w:tc>
          <w:tcPr>
            <w:tcW w:w="964" w:type="dxa"/>
            <w:vAlign w:val="center"/>
          </w:tcPr>
          <w:p w14:paraId="00D75653" w14:textId="77777777" w:rsidR="00454A29" w:rsidRDefault="00454A29">
            <w:pPr>
              <w:pStyle w:val="ConsPlusNormal"/>
              <w:jc w:val="center"/>
            </w:pPr>
            <w:r>
              <w:t>0</w:t>
            </w:r>
          </w:p>
        </w:tc>
        <w:tc>
          <w:tcPr>
            <w:tcW w:w="964" w:type="dxa"/>
            <w:vAlign w:val="center"/>
          </w:tcPr>
          <w:p w14:paraId="601752B7" w14:textId="77777777" w:rsidR="00454A29" w:rsidRDefault="00454A29">
            <w:pPr>
              <w:pStyle w:val="ConsPlusNormal"/>
              <w:jc w:val="center"/>
            </w:pPr>
            <w:r>
              <w:t>0</w:t>
            </w:r>
          </w:p>
        </w:tc>
        <w:tc>
          <w:tcPr>
            <w:tcW w:w="964" w:type="dxa"/>
            <w:vAlign w:val="center"/>
          </w:tcPr>
          <w:p w14:paraId="79CD28E5" w14:textId="77777777" w:rsidR="00454A29" w:rsidRDefault="00454A29">
            <w:pPr>
              <w:pStyle w:val="ConsPlusNormal"/>
              <w:jc w:val="center"/>
            </w:pPr>
            <w:r>
              <w:t>0</w:t>
            </w:r>
          </w:p>
        </w:tc>
      </w:tr>
      <w:tr w:rsidR="00454A29" w14:paraId="596388DA" w14:textId="77777777">
        <w:tc>
          <w:tcPr>
            <w:tcW w:w="13608" w:type="dxa"/>
            <w:gridSpan w:val="11"/>
            <w:vAlign w:val="center"/>
          </w:tcPr>
          <w:p w14:paraId="70005FAE" w14:textId="77777777" w:rsidR="00454A29" w:rsidRDefault="00454A29">
            <w:pPr>
              <w:pStyle w:val="ConsPlusNormal"/>
              <w:jc w:val="center"/>
              <w:outlineLvl w:val="2"/>
            </w:pPr>
            <w:r>
              <w:t>Подпрограмма 10. "Укрепление материально-технической базы организаций образования"</w:t>
            </w:r>
          </w:p>
        </w:tc>
      </w:tr>
      <w:tr w:rsidR="00454A29" w14:paraId="226CF5CA" w14:textId="77777777">
        <w:tc>
          <w:tcPr>
            <w:tcW w:w="567" w:type="dxa"/>
            <w:vAlign w:val="center"/>
          </w:tcPr>
          <w:p w14:paraId="5A85E9BC" w14:textId="77777777" w:rsidR="00454A29" w:rsidRDefault="00454A29">
            <w:pPr>
              <w:pStyle w:val="ConsPlusNormal"/>
              <w:jc w:val="center"/>
            </w:pPr>
            <w:r>
              <w:t>1</w:t>
            </w:r>
          </w:p>
        </w:tc>
        <w:tc>
          <w:tcPr>
            <w:tcW w:w="3005" w:type="dxa"/>
            <w:vAlign w:val="center"/>
          </w:tcPr>
          <w:p w14:paraId="5E64C9A1" w14:textId="77777777" w:rsidR="00454A29" w:rsidRDefault="00454A29">
            <w:pPr>
              <w:pStyle w:val="ConsPlusNormal"/>
            </w:pPr>
            <w:r>
              <w:t>Количество новых зданий, создаваемых путем строительства, приобретения и реконструкции образовательных организаций</w:t>
            </w:r>
          </w:p>
        </w:tc>
        <w:tc>
          <w:tcPr>
            <w:tcW w:w="1304" w:type="dxa"/>
            <w:vAlign w:val="center"/>
          </w:tcPr>
          <w:p w14:paraId="5B981AC0" w14:textId="77777777" w:rsidR="00454A29" w:rsidRDefault="00454A29">
            <w:pPr>
              <w:pStyle w:val="ConsPlusNormal"/>
              <w:jc w:val="center"/>
            </w:pPr>
            <w:r>
              <w:t>ед.</w:t>
            </w:r>
          </w:p>
        </w:tc>
        <w:tc>
          <w:tcPr>
            <w:tcW w:w="1984" w:type="dxa"/>
            <w:vAlign w:val="center"/>
          </w:tcPr>
          <w:p w14:paraId="75471BDA" w14:textId="77777777" w:rsidR="00454A29" w:rsidRDefault="00454A29">
            <w:pPr>
              <w:pStyle w:val="ConsPlusNormal"/>
              <w:jc w:val="center"/>
            </w:pPr>
            <w:r>
              <w:t>Минобрнауки РС(Я) Минстрой РС(Я) Минэкономики РС(Я)</w:t>
            </w:r>
          </w:p>
        </w:tc>
        <w:tc>
          <w:tcPr>
            <w:tcW w:w="964" w:type="dxa"/>
            <w:vAlign w:val="center"/>
          </w:tcPr>
          <w:p w14:paraId="44046DCF" w14:textId="77777777" w:rsidR="00454A29" w:rsidRDefault="00454A29">
            <w:pPr>
              <w:pStyle w:val="ConsPlusNormal"/>
              <w:jc w:val="center"/>
            </w:pPr>
            <w:r>
              <w:t>1</w:t>
            </w:r>
          </w:p>
        </w:tc>
        <w:tc>
          <w:tcPr>
            <w:tcW w:w="964" w:type="dxa"/>
            <w:vAlign w:val="center"/>
          </w:tcPr>
          <w:p w14:paraId="78F58286" w14:textId="77777777" w:rsidR="00454A29" w:rsidRDefault="00454A29">
            <w:pPr>
              <w:pStyle w:val="ConsPlusNormal"/>
              <w:jc w:val="center"/>
            </w:pPr>
            <w:r>
              <w:t>1</w:t>
            </w:r>
          </w:p>
        </w:tc>
        <w:tc>
          <w:tcPr>
            <w:tcW w:w="964" w:type="dxa"/>
            <w:vAlign w:val="center"/>
          </w:tcPr>
          <w:p w14:paraId="7D9D5732" w14:textId="77777777" w:rsidR="00454A29" w:rsidRDefault="00454A29">
            <w:pPr>
              <w:pStyle w:val="ConsPlusNormal"/>
              <w:jc w:val="center"/>
            </w:pPr>
            <w:r>
              <w:t>0</w:t>
            </w:r>
          </w:p>
        </w:tc>
        <w:tc>
          <w:tcPr>
            <w:tcW w:w="964" w:type="dxa"/>
            <w:vAlign w:val="center"/>
          </w:tcPr>
          <w:p w14:paraId="18271792" w14:textId="77777777" w:rsidR="00454A29" w:rsidRDefault="00454A29">
            <w:pPr>
              <w:pStyle w:val="ConsPlusNormal"/>
              <w:jc w:val="center"/>
            </w:pPr>
            <w:r>
              <w:t>16</w:t>
            </w:r>
          </w:p>
        </w:tc>
        <w:tc>
          <w:tcPr>
            <w:tcW w:w="964" w:type="dxa"/>
            <w:vAlign w:val="center"/>
          </w:tcPr>
          <w:p w14:paraId="2EC00000" w14:textId="77777777" w:rsidR="00454A29" w:rsidRDefault="00454A29">
            <w:pPr>
              <w:pStyle w:val="ConsPlusNormal"/>
              <w:jc w:val="center"/>
            </w:pPr>
            <w:r>
              <w:t>40</w:t>
            </w:r>
          </w:p>
        </w:tc>
        <w:tc>
          <w:tcPr>
            <w:tcW w:w="964" w:type="dxa"/>
            <w:vAlign w:val="center"/>
          </w:tcPr>
          <w:p w14:paraId="16CCD02D" w14:textId="77777777" w:rsidR="00454A29" w:rsidRDefault="00454A29">
            <w:pPr>
              <w:pStyle w:val="ConsPlusNormal"/>
              <w:jc w:val="center"/>
            </w:pPr>
            <w:r>
              <w:t>16</w:t>
            </w:r>
          </w:p>
        </w:tc>
        <w:tc>
          <w:tcPr>
            <w:tcW w:w="964" w:type="dxa"/>
            <w:vAlign w:val="center"/>
          </w:tcPr>
          <w:p w14:paraId="4A5B0F76" w14:textId="77777777" w:rsidR="00454A29" w:rsidRDefault="00454A29">
            <w:pPr>
              <w:pStyle w:val="ConsPlusNormal"/>
              <w:jc w:val="center"/>
            </w:pPr>
            <w:r>
              <w:t>4</w:t>
            </w:r>
          </w:p>
        </w:tc>
      </w:tr>
      <w:tr w:rsidR="00454A29" w14:paraId="208B21A1" w14:textId="77777777">
        <w:tc>
          <w:tcPr>
            <w:tcW w:w="13608" w:type="dxa"/>
            <w:gridSpan w:val="11"/>
            <w:vAlign w:val="center"/>
          </w:tcPr>
          <w:p w14:paraId="491E0AA4" w14:textId="77777777" w:rsidR="00454A29" w:rsidRDefault="00454A29">
            <w:pPr>
              <w:pStyle w:val="ConsPlusNormal"/>
              <w:jc w:val="center"/>
            </w:pPr>
            <w:r>
              <w:t>Основное мероприятие 10.1. Модернизация объектов дошкольного образования</w:t>
            </w:r>
          </w:p>
        </w:tc>
      </w:tr>
      <w:tr w:rsidR="00454A29" w14:paraId="54FC1105" w14:textId="77777777">
        <w:tc>
          <w:tcPr>
            <w:tcW w:w="567" w:type="dxa"/>
            <w:vAlign w:val="center"/>
          </w:tcPr>
          <w:p w14:paraId="1495CE1F" w14:textId="77777777" w:rsidR="00454A29" w:rsidRDefault="00454A29">
            <w:pPr>
              <w:pStyle w:val="ConsPlusNormal"/>
              <w:jc w:val="center"/>
            </w:pPr>
            <w:r>
              <w:t>1</w:t>
            </w:r>
          </w:p>
        </w:tc>
        <w:tc>
          <w:tcPr>
            <w:tcW w:w="3005" w:type="dxa"/>
            <w:vAlign w:val="center"/>
          </w:tcPr>
          <w:p w14:paraId="52112A51" w14:textId="77777777" w:rsidR="00454A29" w:rsidRDefault="00454A29">
            <w:pPr>
              <w:pStyle w:val="ConsPlusNormal"/>
            </w:pPr>
            <w:r>
              <w:t>Количество новых зданий, создаваемых путем строительства, приобретения и реконструкции дошкольных образовательных организаций</w:t>
            </w:r>
          </w:p>
        </w:tc>
        <w:tc>
          <w:tcPr>
            <w:tcW w:w="1304" w:type="dxa"/>
            <w:vAlign w:val="center"/>
          </w:tcPr>
          <w:p w14:paraId="779141F6" w14:textId="77777777" w:rsidR="00454A29" w:rsidRDefault="00454A29">
            <w:pPr>
              <w:pStyle w:val="ConsPlusNormal"/>
              <w:jc w:val="center"/>
            </w:pPr>
            <w:r>
              <w:t>ед.</w:t>
            </w:r>
          </w:p>
        </w:tc>
        <w:tc>
          <w:tcPr>
            <w:tcW w:w="1984" w:type="dxa"/>
            <w:vAlign w:val="center"/>
          </w:tcPr>
          <w:p w14:paraId="1A9C60B9" w14:textId="77777777" w:rsidR="00454A29" w:rsidRDefault="00454A29">
            <w:pPr>
              <w:pStyle w:val="ConsPlusNormal"/>
              <w:jc w:val="center"/>
            </w:pPr>
            <w:r>
              <w:t>Минобрнауки РС(Я) Минстрой РС(Я) Минэкономики РС(Я)</w:t>
            </w:r>
          </w:p>
        </w:tc>
        <w:tc>
          <w:tcPr>
            <w:tcW w:w="964" w:type="dxa"/>
            <w:vAlign w:val="center"/>
          </w:tcPr>
          <w:p w14:paraId="7C37517A" w14:textId="77777777" w:rsidR="00454A29" w:rsidRDefault="00454A29">
            <w:pPr>
              <w:pStyle w:val="ConsPlusNormal"/>
              <w:jc w:val="center"/>
            </w:pPr>
            <w:r>
              <w:t>1</w:t>
            </w:r>
          </w:p>
        </w:tc>
        <w:tc>
          <w:tcPr>
            <w:tcW w:w="964" w:type="dxa"/>
            <w:vAlign w:val="center"/>
          </w:tcPr>
          <w:p w14:paraId="713D9EF7" w14:textId="77777777" w:rsidR="00454A29" w:rsidRDefault="00454A29">
            <w:pPr>
              <w:pStyle w:val="ConsPlusNormal"/>
              <w:jc w:val="center"/>
            </w:pPr>
            <w:r>
              <w:t>0</w:t>
            </w:r>
          </w:p>
        </w:tc>
        <w:tc>
          <w:tcPr>
            <w:tcW w:w="964" w:type="dxa"/>
            <w:vAlign w:val="center"/>
          </w:tcPr>
          <w:p w14:paraId="64086E6D" w14:textId="77777777" w:rsidR="00454A29" w:rsidRDefault="00454A29">
            <w:pPr>
              <w:pStyle w:val="ConsPlusNormal"/>
              <w:jc w:val="center"/>
            </w:pPr>
            <w:r>
              <w:t>0</w:t>
            </w:r>
          </w:p>
        </w:tc>
        <w:tc>
          <w:tcPr>
            <w:tcW w:w="964" w:type="dxa"/>
            <w:vAlign w:val="center"/>
          </w:tcPr>
          <w:p w14:paraId="32813FD0" w14:textId="77777777" w:rsidR="00454A29" w:rsidRDefault="00454A29">
            <w:pPr>
              <w:pStyle w:val="ConsPlusNormal"/>
              <w:jc w:val="center"/>
            </w:pPr>
            <w:r>
              <w:t>11</w:t>
            </w:r>
          </w:p>
        </w:tc>
        <w:tc>
          <w:tcPr>
            <w:tcW w:w="964" w:type="dxa"/>
            <w:vAlign w:val="center"/>
          </w:tcPr>
          <w:p w14:paraId="2379DDD7" w14:textId="77777777" w:rsidR="00454A29" w:rsidRDefault="00454A29">
            <w:pPr>
              <w:pStyle w:val="ConsPlusNormal"/>
              <w:jc w:val="center"/>
            </w:pPr>
            <w:r>
              <w:t>34</w:t>
            </w:r>
          </w:p>
        </w:tc>
        <w:tc>
          <w:tcPr>
            <w:tcW w:w="964" w:type="dxa"/>
            <w:vAlign w:val="center"/>
          </w:tcPr>
          <w:p w14:paraId="15403B54" w14:textId="77777777" w:rsidR="00454A29" w:rsidRDefault="00454A29">
            <w:pPr>
              <w:pStyle w:val="ConsPlusNormal"/>
              <w:jc w:val="center"/>
            </w:pPr>
            <w:r>
              <w:t>6</w:t>
            </w:r>
          </w:p>
        </w:tc>
        <w:tc>
          <w:tcPr>
            <w:tcW w:w="964" w:type="dxa"/>
            <w:vAlign w:val="center"/>
          </w:tcPr>
          <w:p w14:paraId="5C30BE29" w14:textId="77777777" w:rsidR="00454A29" w:rsidRDefault="00454A29">
            <w:pPr>
              <w:pStyle w:val="ConsPlusNormal"/>
              <w:jc w:val="center"/>
            </w:pPr>
            <w:r>
              <w:t>4</w:t>
            </w:r>
          </w:p>
        </w:tc>
      </w:tr>
      <w:tr w:rsidR="00454A29" w14:paraId="7892E68D" w14:textId="77777777">
        <w:tc>
          <w:tcPr>
            <w:tcW w:w="13608" w:type="dxa"/>
            <w:gridSpan w:val="11"/>
            <w:vAlign w:val="center"/>
          </w:tcPr>
          <w:p w14:paraId="6525DCC2" w14:textId="77777777" w:rsidR="00454A29" w:rsidRDefault="00454A29">
            <w:pPr>
              <w:pStyle w:val="ConsPlusNormal"/>
              <w:jc w:val="center"/>
            </w:pPr>
            <w:r>
              <w:t>Основное мероприятие 10.2. Модернизация объектов общего образования</w:t>
            </w:r>
          </w:p>
        </w:tc>
      </w:tr>
      <w:tr w:rsidR="00454A29" w14:paraId="48545934" w14:textId="77777777">
        <w:tc>
          <w:tcPr>
            <w:tcW w:w="567" w:type="dxa"/>
            <w:vAlign w:val="center"/>
          </w:tcPr>
          <w:p w14:paraId="36A39487" w14:textId="77777777" w:rsidR="00454A29" w:rsidRDefault="00454A29">
            <w:pPr>
              <w:pStyle w:val="ConsPlusNormal"/>
              <w:jc w:val="center"/>
            </w:pPr>
            <w:r>
              <w:t>1</w:t>
            </w:r>
          </w:p>
        </w:tc>
        <w:tc>
          <w:tcPr>
            <w:tcW w:w="3005" w:type="dxa"/>
            <w:vAlign w:val="center"/>
          </w:tcPr>
          <w:p w14:paraId="3C85C8B3" w14:textId="77777777" w:rsidR="00454A29" w:rsidRDefault="00454A29">
            <w:pPr>
              <w:pStyle w:val="ConsPlusNormal"/>
            </w:pPr>
            <w:r>
              <w:t>Количество новых зданий, создаваемых путем строительства, приобретения и реконструкции общеобразовательных организаций</w:t>
            </w:r>
          </w:p>
        </w:tc>
        <w:tc>
          <w:tcPr>
            <w:tcW w:w="1304" w:type="dxa"/>
            <w:vAlign w:val="center"/>
          </w:tcPr>
          <w:p w14:paraId="737143B4" w14:textId="77777777" w:rsidR="00454A29" w:rsidRDefault="00454A29">
            <w:pPr>
              <w:pStyle w:val="ConsPlusNormal"/>
              <w:jc w:val="center"/>
            </w:pPr>
            <w:r>
              <w:t>ед.</w:t>
            </w:r>
          </w:p>
        </w:tc>
        <w:tc>
          <w:tcPr>
            <w:tcW w:w="1984" w:type="dxa"/>
            <w:vAlign w:val="center"/>
          </w:tcPr>
          <w:p w14:paraId="5B3F57EF" w14:textId="77777777" w:rsidR="00454A29" w:rsidRDefault="00454A29">
            <w:pPr>
              <w:pStyle w:val="ConsPlusNormal"/>
              <w:jc w:val="center"/>
            </w:pPr>
            <w:r>
              <w:t>Минобрнауки РС(Я) Минстрой РС(Я)</w:t>
            </w:r>
          </w:p>
        </w:tc>
        <w:tc>
          <w:tcPr>
            <w:tcW w:w="964" w:type="dxa"/>
            <w:vAlign w:val="center"/>
          </w:tcPr>
          <w:p w14:paraId="281D5C4B" w14:textId="77777777" w:rsidR="00454A29" w:rsidRDefault="00454A29">
            <w:pPr>
              <w:pStyle w:val="ConsPlusNormal"/>
              <w:jc w:val="center"/>
            </w:pPr>
            <w:r>
              <w:t>0</w:t>
            </w:r>
          </w:p>
        </w:tc>
        <w:tc>
          <w:tcPr>
            <w:tcW w:w="964" w:type="dxa"/>
            <w:vAlign w:val="center"/>
          </w:tcPr>
          <w:p w14:paraId="096A7560" w14:textId="77777777" w:rsidR="00454A29" w:rsidRDefault="00454A29">
            <w:pPr>
              <w:pStyle w:val="ConsPlusNormal"/>
              <w:jc w:val="center"/>
            </w:pPr>
            <w:r>
              <w:t>0</w:t>
            </w:r>
          </w:p>
        </w:tc>
        <w:tc>
          <w:tcPr>
            <w:tcW w:w="964" w:type="dxa"/>
            <w:vAlign w:val="center"/>
          </w:tcPr>
          <w:p w14:paraId="5425AC54" w14:textId="77777777" w:rsidR="00454A29" w:rsidRDefault="00454A29">
            <w:pPr>
              <w:pStyle w:val="ConsPlusNormal"/>
              <w:jc w:val="center"/>
            </w:pPr>
            <w:r>
              <w:t>0</w:t>
            </w:r>
          </w:p>
        </w:tc>
        <w:tc>
          <w:tcPr>
            <w:tcW w:w="964" w:type="dxa"/>
            <w:vAlign w:val="center"/>
          </w:tcPr>
          <w:p w14:paraId="44510528" w14:textId="77777777" w:rsidR="00454A29" w:rsidRDefault="00454A29">
            <w:pPr>
              <w:pStyle w:val="ConsPlusNormal"/>
              <w:jc w:val="center"/>
            </w:pPr>
            <w:r>
              <w:t>0</w:t>
            </w:r>
          </w:p>
        </w:tc>
        <w:tc>
          <w:tcPr>
            <w:tcW w:w="964" w:type="dxa"/>
            <w:vAlign w:val="center"/>
          </w:tcPr>
          <w:p w14:paraId="733FA5EC" w14:textId="77777777" w:rsidR="00454A29" w:rsidRDefault="00454A29">
            <w:pPr>
              <w:pStyle w:val="ConsPlusNormal"/>
              <w:jc w:val="center"/>
            </w:pPr>
            <w:r>
              <w:t>4</w:t>
            </w:r>
          </w:p>
        </w:tc>
        <w:tc>
          <w:tcPr>
            <w:tcW w:w="964" w:type="dxa"/>
            <w:vAlign w:val="center"/>
          </w:tcPr>
          <w:p w14:paraId="6BCD3921" w14:textId="77777777" w:rsidR="00454A29" w:rsidRDefault="00454A29">
            <w:pPr>
              <w:pStyle w:val="ConsPlusNormal"/>
              <w:jc w:val="center"/>
            </w:pPr>
            <w:r>
              <w:t>1</w:t>
            </w:r>
          </w:p>
        </w:tc>
        <w:tc>
          <w:tcPr>
            <w:tcW w:w="964" w:type="dxa"/>
            <w:vAlign w:val="center"/>
          </w:tcPr>
          <w:p w14:paraId="3B15A47E" w14:textId="77777777" w:rsidR="00454A29" w:rsidRDefault="00454A29">
            <w:pPr>
              <w:pStyle w:val="ConsPlusNormal"/>
              <w:jc w:val="center"/>
            </w:pPr>
            <w:r>
              <w:t>0</w:t>
            </w:r>
          </w:p>
        </w:tc>
      </w:tr>
      <w:tr w:rsidR="00454A29" w14:paraId="7925EA25" w14:textId="77777777">
        <w:tc>
          <w:tcPr>
            <w:tcW w:w="13608" w:type="dxa"/>
            <w:gridSpan w:val="11"/>
            <w:vAlign w:val="center"/>
          </w:tcPr>
          <w:p w14:paraId="66EEFB27" w14:textId="77777777" w:rsidR="00454A29" w:rsidRDefault="00454A29">
            <w:pPr>
              <w:pStyle w:val="ConsPlusNormal"/>
              <w:jc w:val="center"/>
            </w:pPr>
            <w:r>
              <w:lastRenderedPageBreak/>
              <w:t>Основное мероприятие 10.3. Модернизация объектов дополнительного образования</w:t>
            </w:r>
          </w:p>
        </w:tc>
      </w:tr>
      <w:tr w:rsidR="00454A29" w14:paraId="4539965F" w14:textId="77777777">
        <w:tc>
          <w:tcPr>
            <w:tcW w:w="567" w:type="dxa"/>
            <w:vAlign w:val="center"/>
          </w:tcPr>
          <w:p w14:paraId="3E948B9F" w14:textId="77777777" w:rsidR="00454A29" w:rsidRDefault="00454A29">
            <w:pPr>
              <w:pStyle w:val="ConsPlusNormal"/>
              <w:jc w:val="center"/>
            </w:pPr>
            <w:r>
              <w:t>1</w:t>
            </w:r>
          </w:p>
        </w:tc>
        <w:tc>
          <w:tcPr>
            <w:tcW w:w="3005" w:type="dxa"/>
            <w:vAlign w:val="center"/>
          </w:tcPr>
          <w:p w14:paraId="63BD281A" w14:textId="77777777" w:rsidR="00454A29" w:rsidRDefault="00454A29">
            <w:pPr>
              <w:pStyle w:val="ConsPlusNormal"/>
            </w:pPr>
            <w:r>
              <w:t>Количество новых зданий, создаваемых путем строительства, приобретения и реконструкции объектов дополнительного образования</w:t>
            </w:r>
          </w:p>
        </w:tc>
        <w:tc>
          <w:tcPr>
            <w:tcW w:w="1304" w:type="dxa"/>
            <w:vAlign w:val="center"/>
          </w:tcPr>
          <w:p w14:paraId="6AB86960" w14:textId="77777777" w:rsidR="00454A29" w:rsidRDefault="00454A29">
            <w:pPr>
              <w:pStyle w:val="ConsPlusNormal"/>
              <w:jc w:val="center"/>
            </w:pPr>
            <w:r>
              <w:t>ед.</w:t>
            </w:r>
          </w:p>
        </w:tc>
        <w:tc>
          <w:tcPr>
            <w:tcW w:w="1984" w:type="dxa"/>
            <w:vAlign w:val="center"/>
          </w:tcPr>
          <w:p w14:paraId="3FAF7259" w14:textId="77777777" w:rsidR="00454A29" w:rsidRDefault="00454A29">
            <w:pPr>
              <w:pStyle w:val="ConsPlusNormal"/>
              <w:jc w:val="center"/>
            </w:pPr>
            <w:r>
              <w:t>Минобрнауки РС(Я) Минстрой РС(Я)</w:t>
            </w:r>
          </w:p>
        </w:tc>
        <w:tc>
          <w:tcPr>
            <w:tcW w:w="964" w:type="dxa"/>
            <w:vAlign w:val="center"/>
          </w:tcPr>
          <w:p w14:paraId="48C29E71" w14:textId="77777777" w:rsidR="00454A29" w:rsidRDefault="00454A29">
            <w:pPr>
              <w:pStyle w:val="ConsPlusNormal"/>
              <w:jc w:val="center"/>
            </w:pPr>
            <w:r>
              <w:t>0</w:t>
            </w:r>
          </w:p>
        </w:tc>
        <w:tc>
          <w:tcPr>
            <w:tcW w:w="964" w:type="dxa"/>
            <w:vAlign w:val="center"/>
          </w:tcPr>
          <w:p w14:paraId="6D453448" w14:textId="77777777" w:rsidR="00454A29" w:rsidRDefault="00454A29">
            <w:pPr>
              <w:pStyle w:val="ConsPlusNormal"/>
              <w:jc w:val="center"/>
            </w:pPr>
            <w:r>
              <w:t>1</w:t>
            </w:r>
          </w:p>
        </w:tc>
        <w:tc>
          <w:tcPr>
            <w:tcW w:w="964" w:type="dxa"/>
            <w:vAlign w:val="center"/>
          </w:tcPr>
          <w:p w14:paraId="12F3A931" w14:textId="77777777" w:rsidR="00454A29" w:rsidRDefault="00454A29">
            <w:pPr>
              <w:pStyle w:val="ConsPlusNormal"/>
              <w:jc w:val="center"/>
            </w:pPr>
            <w:r>
              <w:t>0</w:t>
            </w:r>
          </w:p>
        </w:tc>
        <w:tc>
          <w:tcPr>
            <w:tcW w:w="964" w:type="dxa"/>
            <w:vAlign w:val="center"/>
          </w:tcPr>
          <w:p w14:paraId="28AE7A2B" w14:textId="77777777" w:rsidR="00454A29" w:rsidRDefault="00454A29">
            <w:pPr>
              <w:pStyle w:val="ConsPlusNormal"/>
              <w:jc w:val="center"/>
            </w:pPr>
            <w:r>
              <w:t>0</w:t>
            </w:r>
          </w:p>
        </w:tc>
        <w:tc>
          <w:tcPr>
            <w:tcW w:w="964" w:type="dxa"/>
            <w:vAlign w:val="center"/>
          </w:tcPr>
          <w:p w14:paraId="48919465" w14:textId="77777777" w:rsidR="00454A29" w:rsidRDefault="00454A29">
            <w:pPr>
              <w:pStyle w:val="ConsPlusNormal"/>
              <w:jc w:val="center"/>
            </w:pPr>
            <w:r>
              <w:t>0</w:t>
            </w:r>
          </w:p>
        </w:tc>
        <w:tc>
          <w:tcPr>
            <w:tcW w:w="964" w:type="dxa"/>
            <w:vAlign w:val="center"/>
          </w:tcPr>
          <w:p w14:paraId="13F6B931" w14:textId="77777777" w:rsidR="00454A29" w:rsidRDefault="00454A29">
            <w:pPr>
              <w:pStyle w:val="ConsPlusNormal"/>
              <w:jc w:val="center"/>
            </w:pPr>
            <w:r>
              <w:t>0</w:t>
            </w:r>
          </w:p>
        </w:tc>
        <w:tc>
          <w:tcPr>
            <w:tcW w:w="964" w:type="dxa"/>
            <w:vAlign w:val="center"/>
          </w:tcPr>
          <w:p w14:paraId="7B2B3FC0" w14:textId="77777777" w:rsidR="00454A29" w:rsidRDefault="00454A29">
            <w:pPr>
              <w:pStyle w:val="ConsPlusNormal"/>
              <w:jc w:val="center"/>
            </w:pPr>
            <w:r>
              <w:t>0</w:t>
            </w:r>
          </w:p>
        </w:tc>
      </w:tr>
      <w:tr w:rsidR="00454A29" w14:paraId="3FAEA370" w14:textId="77777777">
        <w:tc>
          <w:tcPr>
            <w:tcW w:w="13608" w:type="dxa"/>
            <w:gridSpan w:val="11"/>
            <w:vAlign w:val="center"/>
          </w:tcPr>
          <w:p w14:paraId="4D4A8A76" w14:textId="77777777" w:rsidR="00454A29" w:rsidRDefault="00454A29">
            <w:pPr>
              <w:pStyle w:val="ConsPlusNormal"/>
              <w:jc w:val="center"/>
            </w:pPr>
            <w:r>
              <w:t>Основное мероприятие 10.4. Модернизация объектов профессионального образования</w:t>
            </w:r>
          </w:p>
        </w:tc>
      </w:tr>
      <w:tr w:rsidR="00454A29" w14:paraId="1D5303FF" w14:textId="77777777">
        <w:tc>
          <w:tcPr>
            <w:tcW w:w="567" w:type="dxa"/>
            <w:vAlign w:val="center"/>
          </w:tcPr>
          <w:p w14:paraId="29C0DFF9" w14:textId="77777777" w:rsidR="00454A29" w:rsidRDefault="00454A29">
            <w:pPr>
              <w:pStyle w:val="ConsPlusNormal"/>
              <w:jc w:val="center"/>
            </w:pPr>
            <w:r>
              <w:t>1</w:t>
            </w:r>
          </w:p>
        </w:tc>
        <w:tc>
          <w:tcPr>
            <w:tcW w:w="3005" w:type="dxa"/>
            <w:vAlign w:val="center"/>
          </w:tcPr>
          <w:p w14:paraId="675D1697" w14:textId="77777777" w:rsidR="00454A29" w:rsidRDefault="00454A29">
            <w:pPr>
              <w:pStyle w:val="ConsPlusNormal"/>
            </w:pPr>
            <w:r>
              <w:t>Количество новых зданий, создаваемых путем строительства, приобретения и реконструкции объектов профессионального образования</w:t>
            </w:r>
          </w:p>
        </w:tc>
        <w:tc>
          <w:tcPr>
            <w:tcW w:w="1304" w:type="dxa"/>
            <w:vAlign w:val="center"/>
          </w:tcPr>
          <w:p w14:paraId="79389577" w14:textId="77777777" w:rsidR="00454A29" w:rsidRDefault="00454A29">
            <w:pPr>
              <w:pStyle w:val="ConsPlusNormal"/>
              <w:jc w:val="center"/>
            </w:pPr>
            <w:r>
              <w:t>ед.</w:t>
            </w:r>
          </w:p>
        </w:tc>
        <w:tc>
          <w:tcPr>
            <w:tcW w:w="1984" w:type="dxa"/>
            <w:vAlign w:val="center"/>
          </w:tcPr>
          <w:p w14:paraId="0ACAE4AE" w14:textId="77777777" w:rsidR="00454A29" w:rsidRDefault="00454A29">
            <w:pPr>
              <w:pStyle w:val="ConsPlusNormal"/>
              <w:jc w:val="center"/>
            </w:pPr>
            <w:r>
              <w:t>Минобрнауки РС(Я) Минстрой РС(Я)</w:t>
            </w:r>
          </w:p>
        </w:tc>
        <w:tc>
          <w:tcPr>
            <w:tcW w:w="964" w:type="dxa"/>
            <w:vAlign w:val="center"/>
          </w:tcPr>
          <w:p w14:paraId="24B390CC" w14:textId="77777777" w:rsidR="00454A29" w:rsidRDefault="00454A29">
            <w:pPr>
              <w:pStyle w:val="ConsPlusNormal"/>
              <w:jc w:val="center"/>
            </w:pPr>
            <w:r>
              <w:t>0</w:t>
            </w:r>
          </w:p>
        </w:tc>
        <w:tc>
          <w:tcPr>
            <w:tcW w:w="964" w:type="dxa"/>
            <w:vAlign w:val="center"/>
          </w:tcPr>
          <w:p w14:paraId="17C6B4AF" w14:textId="77777777" w:rsidR="00454A29" w:rsidRDefault="00454A29">
            <w:pPr>
              <w:pStyle w:val="ConsPlusNormal"/>
              <w:jc w:val="center"/>
            </w:pPr>
            <w:r>
              <w:t>0</w:t>
            </w:r>
          </w:p>
        </w:tc>
        <w:tc>
          <w:tcPr>
            <w:tcW w:w="964" w:type="dxa"/>
            <w:vAlign w:val="center"/>
          </w:tcPr>
          <w:p w14:paraId="3D0E577F" w14:textId="77777777" w:rsidR="00454A29" w:rsidRDefault="00454A29">
            <w:pPr>
              <w:pStyle w:val="ConsPlusNormal"/>
              <w:jc w:val="center"/>
            </w:pPr>
            <w:r>
              <w:t>0</w:t>
            </w:r>
          </w:p>
        </w:tc>
        <w:tc>
          <w:tcPr>
            <w:tcW w:w="964" w:type="dxa"/>
            <w:vAlign w:val="center"/>
          </w:tcPr>
          <w:p w14:paraId="6A3F6645" w14:textId="77777777" w:rsidR="00454A29" w:rsidRDefault="00454A29">
            <w:pPr>
              <w:pStyle w:val="ConsPlusNormal"/>
              <w:jc w:val="center"/>
            </w:pPr>
            <w:r>
              <w:t>5</w:t>
            </w:r>
          </w:p>
        </w:tc>
        <w:tc>
          <w:tcPr>
            <w:tcW w:w="964" w:type="dxa"/>
            <w:vAlign w:val="center"/>
          </w:tcPr>
          <w:p w14:paraId="1D435BAE" w14:textId="77777777" w:rsidR="00454A29" w:rsidRDefault="00454A29">
            <w:pPr>
              <w:pStyle w:val="ConsPlusNormal"/>
              <w:jc w:val="center"/>
            </w:pPr>
            <w:r>
              <w:t>2</w:t>
            </w:r>
          </w:p>
        </w:tc>
        <w:tc>
          <w:tcPr>
            <w:tcW w:w="964" w:type="dxa"/>
            <w:vAlign w:val="center"/>
          </w:tcPr>
          <w:p w14:paraId="3C20EA4B" w14:textId="77777777" w:rsidR="00454A29" w:rsidRDefault="00454A29">
            <w:pPr>
              <w:pStyle w:val="ConsPlusNormal"/>
              <w:jc w:val="center"/>
            </w:pPr>
            <w:r>
              <w:t>9</w:t>
            </w:r>
          </w:p>
        </w:tc>
        <w:tc>
          <w:tcPr>
            <w:tcW w:w="964" w:type="dxa"/>
            <w:vAlign w:val="center"/>
          </w:tcPr>
          <w:p w14:paraId="55C90F0B" w14:textId="77777777" w:rsidR="00454A29" w:rsidRDefault="00454A29">
            <w:pPr>
              <w:pStyle w:val="ConsPlusNormal"/>
              <w:jc w:val="center"/>
            </w:pPr>
            <w:r>
              <w:t>0</w:t>
            </w:r>
          </w:p>
        </w:tc>
      </w:tr>
      <w:tr w:rsidR="00454A29" w14:paraId="19E3EDDD" w14:textId="77777777">
        <w:tc>
          <w:tcPr>
            <w:tcW w:w="13608" w:type="dxa"/>
            <w:gridSpan w:val="11"/>
            <w:vAlign w:val="center"/>
          </w:tcPr>
          <w:p w14:paraId="14CD0FCD" w14:textId="77777777" w:rsidR="00454A29" w:rsidRDefault="00454A29">
            <w:pPr>
              <w:pStyle w:val="ConsPlusNormal"/>
              <w:jc w:val="center"/>
            </w:pPr>
            <w:r>
              <w:t>Основное мероприятие 10.5. Капитальный ремонт образовательных организаций</w:t>
            </w:r>
          </w:p>
        </w:tc>
      </w:tr>
      <w:tr w:rsidR="00454A29" w14:paraId="56EE951D" w14:textId="77777777">
        <w:tc>
          <w:tcPr>
            <w:tcW w:w="567" w:type="dxa"/>
            <w:vAlign w:val="center"/>
          </w:tcPr>
          <w:p w14:paraId="5828E836" w14:textId="77777777" w:rsidR="00454A29" w:rsidRDefault="00454A29">
            <w:pPr>
              <w:pStyle w:val="ConsPlusNormal"/>
              <w:jc w:val="center"/>
            </w:pPr>
            <w:r>
              <w:t>1</w:t>
            </w:r>
          </w:p>
        </w:tc>
        <w:tc>
          <w:tcPr>
            <w:tcW w:w="3005" w:type="dxa"/>
            <w:vAlign w:val="center"/>
          </w:tcPr>
          <w:p w14:paraId="346150E9" w14:textId="77777777" w:rsidR="00454A29" w:rsidRDefault="00454A29">
            <w:pPr>
              <w:pStyle w:val="ConsPlusNormal"/>
            </w:pPr>
            <w:r>
              <w:t>Доля образовательных организаций, являющихся ветхими и аварийными</w:t>
            </w:r>
          </w:p>
        </w:tc>
        <w:tc>
          <w:tcPr>
            <w:tcW w:w="1304" w:type="dxa"/>
            <w:vAlign w:val="center"/>
          </w:tcPr>
          <w:p w14:paraId="1469C6B3" w14:textId="77777777" w:rsidR="00454A29" w:rsidRDefault="00454A29">
            <w:pPr>
              <w:pStyle w:val="ConsPlusNormal"/>
              <w:jc w:val="center"/>
            </w:pPr>
            <w:r>
              <w:t>%</w:t>
            </w:r>
          </w:p>
        </w:tc>
        <w:tc>
          <w:tcPr>
            <w:tcW w:w="1984" w:type="dxa"/>
            <w:vAlign w:val="center"/>
          </w:tcPr>
          <w:p w14:paraId="38F88284" w14:textId="77777777" w:rsidR="00454A29" w:rsidRDefault="00454A29">
            <w:pPr>
              <w:pStyle w:val="ConsPlusNormal"/>
              <w:jc w:val="center"/>
            </w:pPr>
            <w:r>
              <w:t>Минобрнауки РС(Я)</w:t>
            </w:r>
          </w:p>
        </w:tc>
        <w:tc>
          <w:tcPr>
            <w:tcW w:w="964" w:type="dxa"/>
            <w:vAlign w:val="center"/>
          </w:tcPr>
          <w:p w14:paraId="30B3D25A" w14:textId="77777777" w:rsidR="00454A29" w:rsidRDefault="00454A29">
            <w:pPr>
              <w:pStyle w:val="ConsPlusNormal"/>
              <w:jc w:val="center"/>
            </w:pPr>
            <w:r>
              <w:t>13</w:t>
            </w:r>
          </w:p>
        </w:tc>
        <w:tc>
          <w:tcPr>
            <w:tcW w:w="964" w:type="dxa"/>
            <w:vAlign w:val="center"/>
          </w:tcPr>
          <w:p w14:paraId="7D999CB6" w14:textId="77777777" w:rsidR="00454A29" w:rsidRDefault="00454A29">
            <w:pPr>
              <w:pStyle w:val="ConsPlusNormal"/>
              <w:jc w:val="center"/>
            </w:pPr>
            <w:r>
              <w:t>11</w:t>
            </w:r>
          </w:p>
        </w:tc>
        <w:tc>
          <w:tcPr>
            <w:tcW w:w="964" w:type="dxa"/>
            <w:vAlign w:val="center"/>
          </w:tcPr>
          <w:p w14:paraId="091DE00A" w14:textId="77777777" w:rsidR="00454A29" w:rsidRDefault="00454A29">
            <w:pPr>
              <w:pStyle w:val="ConsPlusNormal"/>
              <w:jc w:val="center"/>
            </w:pPr>
            <w:r>
              <w:t>9</w:t>
            </w:r>
          </w:p>
        </w:tc>
        <w:tc>
          <w:tcPr>
            <w:tcW w:w="964" w:type="dxa"/>
            <w:vAlign w:val="center"/>
          </w:tcPr>
          <w:p w14:paraId="5A28A517" w14:textId="77777777" w:rsidR="00454A29" w:rsidRDefault="00454A29">
            <w:pPr>
              <w:pStyle w:val="ConsPlusNormal"/>
              <w:jc w:val="center"/>
            </w:pPr>
            <w:r>
              <w:t>7</w:t>
            </w:r>
          </w:p>
        </w:tc>
        <w:tc>
          <w:tcPr>
            <w:tcW w:w="964" w:type="dxa"/>
            <w:vAlign w:val="center"/>
          </w:tcPr>
          <w:p w14:paraId="64524BCE" w14:textId="77777777" w:rsidR="00454A29" w:rsidRDefault="00454A29">
            <w:pPr>
              <w:pStyle w:val="ConsPlusNormal"/>
              <w:jc w:val="center"/>
            </w:pPr>
            <w:r>
              <w:t>5</w:t>
            </w:r>
          </w:p>
        </w:tc>
        <w:tc>
          <w:tcPr>
            <w:tcW w:w="964" w:type="dxa"/>
            <w:vAlign w:val="center"/>
          </w:tcPr>
          <w:p w14:paraId="4432FF9E" w14:textId="77777777" w:rsidR="00454A29" w:rsidRDefault="00454A29">
            <w:pPr>
              <w:pStyle w:val="ConsPlusNormal"/>
              <w:jc w:val="center"/>
            </w:pPr>
            <w:r>
              <w:t>4</w:t>
            </w:r>
          </w:p>
        </w:tc>
        <w:tc>
          <w:tcPr>
            <w:tcW w:w="964" w:type="dxa"/>
            <w:vAlign w:val="center"/>
          </w:tcPr>
          <w:p w14:paraId="73852BCF" w14:textId="77777777" w:rsidR="00454A29" w:rsidRDefault="00454A29">
            <w:pPr>
              <w:pStyle w:val="ConsPlusNormal"/>
              <w:jc w:val="center"/>
            </w:pPr>
            <w:r>
              <w:t>0</w:t>
            </w:r>
          </w:p>
        </w:tc>
      </w:tr>
      <w:tr w:rsidR="00454A29" w14:paraId="12532AEC" w14:textId="77777777">
        <w:tc>
          <w:tcPr>
            <w:tcW w:w="13608" w:type="dxa"/>
            <w:gridSpan w:val="11"/>
            <w:vAlign w:val="center"/>
          </w:tcPr>
          <w:p w14:paraId="19DB6F8D" w14:textId="77777777" w:rsidR="00454A29" w:rsidRDefault="00454A29">
            <w:pPr>
              <w:pStyle w:val="ConsPlusNormal"/>
              <w:jc w:val="center"/>
            </w:pPr>
            <w:r>
              <w:t>Основное мероприятие 10.6. Энергосбережение и энергоэффективность государственных образовательных организаций</w:t>
            </w:r>
          </w:p>
        </w:tc>
      </w:tr>
      <w:tr w:rsidR="00454A29" w14:paraId="4BEF069C" w14:textId="77777777">
        <w:tc>
          <w:tcPr>
            <w:tcW w:w="567" w:type="dxa"/>
            <w:vAlign w:val="center"/>
          </w:tcPr>
          <w:p w14:paraId="1BA26A24" w14:textId="77777777" w:rsidR="00454A29" w:rsidRDefault="00454A29">
            <w:pPr>
              <w:pStyle w:val="ConsPlusNormal"/>
              <w:jc w:val="center"/>
            </w:pPr>
            <w:r>
              <w:t>1</w:t>
            </w:r>
          </w:p>
        </w:tc>
        <w:tc>
          <w:tcPr>
            <w:tcW w:w="3005" w:type="dxa"/>
            <w:vAlign w:val="center"/>
          </w:tcPr>
          <w:p w14:paraId="40CEA8B7" w14:textId="77777777" w:rsidR="00454A29" w:rsidRDefault="00454A29">
            <w:pPr>
              <w:pStyle w:val="ConsPlusNormal"/>
            </w:pPr>
            <w:r>
              <w:t>Доля объектов государственных образовательных организаций, требующих проведения мероприятий по энергосбережению и энергоэффективности</w:t>
            </w:r>
          </w:p>
        </w:tc>
        <w:tc>
          <w:tcPr>
            <w:tcW w:w="1304" w:type="dxa"/>
            <w:vAlign w:val="center"/>
          </w:tcPr>
          <w:p w14:paraId="532B52D0" w14:textId="77777777" w:rsidR="00454A29" w:rsidRDefault="00454A29">
            <w:pPr>
              <w:pStyle w:val="ConsPlusNormal"/>
              <w:jc w:val="center"/>
            </w:pPr>
            <w:r>
              <w:t>%</w:t>
            </w:r>
          </w:p>
        </w:tc>
        <w:tc>
          <w:tcPr>
            <w:tcW w:w="1984" w:type="dxa"/>
            <w:vAlign w:val="center"/>
          </w:tcPr>
          <w:p w14:paraId="4014E9B4" w14:textId="77777777" w:rsidR="00454A29" w:rsidRDefault="00454A29">
            <w:pPr>
              <w:pStyle w:val="ConsPlusNormal"/>
              <w:jc w:val="center"/>
            </w:pPr>
            <w:r>
              <w:t>Минобрнауки РС(Я)</w:t>
            </w:r>
          </w:p>
        </w:tc>
        <w:tc>
          <w:tcPr>
            <w:tcW w:w="964" w:type="dxa"/>
            <w:vAlign w:val="center"/>
          </w:tcPr>
          <w:p w14:paraId="7D5666B1" w14:textId="77777777" w:rsidR="00454A29" w:rsidRDefault="00454A29">
            <w:pPr>
              <w:pStyle w:val="ConsPlusNormal"/>
              <w:jc w:val="center"/>
            </w:pPr>
            <w:r>
              <w:t>30</w:t>
            </w:r>
          </w:p>
        </w:tc>
        <w:tc>
          <w:tcPr>
            <w:tcW w:w="964" w:type="dxa"/>
            <w:vAlign w:val="center"/>
          </w:tcPr>
          <w:p w14:paraId="76AE9F5D" w14:textId="77777777" w:rsidR="00454A29" w:rsidRDefault="00454A29">
            <w:pPr>
              <w:pStyle w:val="ConsPlusNormal"/>
              <w:jc w:val="center"/>
            </w:pPr>
            <w:r>
              <w:t>35</w:t>
            </w:r>
          </w:p>
        </w:tc>
        <w:tc>
          <w:tcPr>
            <w:tcW w:w="964" w:type="dxa"/>
            <w:vAlign w:val="center"/>
          </w:tcPr>
          <w:p w14:paraId="2424B7C9" w14:textId="77777777" w:rsidR="00454A29" w:rsidRDefault="00454A29">
            <w:pPr>
              <w:pStyle w:val="ConsPlusNormal"/>
              <w:jc w:val="center"/>
            </w:pPr>
            <w:r>
              <w:t>40</w:t>
            </w:r>
          </w:p>
        </w:tc>
        <w:tc>
          <w:tcPr>
            <w:tcW w:w="964" w:type="dxa"/>
            <w:vAlign w:val="center"/>
          </w:tcPr>
          <w:p w14:paraId="2FAB5D62" w14:textId="77777777" w:rsidR="00454A29" w:rsidRDefault="00454A29">
            <w:pPr>
              <w:pStyle w:val="ConsPlusNormal"/>
              <w:jc w:val="center"/>
            </w:pPr>
            <w:r>
              <w:t>45</w:t>
            </w:r>
          </w:p>
        </w:tc>
        <w:tc>
          <w:tcPr>
            <w:tcW w:w="964" w:type="dxa"/>
            <w:vAlign w:val="center"/>
          </w:tcPr>
          <w:p w14:paraId="5C2A3764" w14:textId="77777777" w:rsidR="00454A29" w:rsidRDefault="00454A29">
            <w:pPr>
              <w:pStyle w:val="ConsPlusNormal"/>
              <w:jc w:val="center"/>
            </w:pPr>
            <w:r>
              <w:t>50</w:t>
            </w:r>
          </w:p>
        </w:tc>
        <w:tc>
          <w:tcPr>
            <w:tcW w:w="964" w:type="dxa"/>
            <w:vAlign w:val="center"/>
          </w:tcPr>
          <w:p w14:paraId="5A9BD968" w14:textId="77777777" w:rsidR="00454A29" w:rsidRDefault="00454A29">
            <w:pPr>
              <w:pStyle w:val="ConsPlusNormal"/>
              <w:jc w:val="center"/>
            </w:pPr>
            <w:r>
              <w:t>55</w:t>
            </w:r>
          </w:p>
        </w:tc>
        <w:tc>
          <w:tcPr>
            <w:tcW w:w="964" w:type="dxa"/>
            <w:vAlign w:val="center"/>
          </w:tcPr>
          <w:p w14:paraId="27F06212" w14:textId="77777777" w:rsidR="00454A29" w:rsidRDefault="00454A29">
            <w:pPr>
              <w:pStyle w:val="ConsPlusNormal"/>
              <w:jc w:val="center"/>
            </w:pPr>
            <w:r>
              <w:t>55</w:t>
            </w:r>
          </w:p>
        </w:tc>
      </w:tr>
      <w:tr w:rsidR="00454A29" w14:paraId="66AEEA64" w14:textId="77777777">
        <w:tc>
          <w:tcPr>
            <w:tcW w:w="13608" w:type="dxa"/>
            <w:gridSpan w:val="11"/>
            <w:vAlign w:val="center"/>
          </w:tcPr>
          <w:p w14:paraId="2BDD5FBF" w14:textId="77777777" w:rsidR="00454A29" w:rsidRDefault="00454A29">
            <w:pPr>
              <w:pStyle w:val="ConsPlusNormal"/>
              <w:jc w:val="center"/>
            </w:pPr>
            <w:r>
              <w:t xml:space="preserve">Основное мероприятие 10.7. Реализация регионального проекта "Содействие занятости женщин - создание условий дошкольного </w:t>
            </w:r>
            <w:r>
              <w:lastRenderedPageBreak/>
              <w:t>образования для детей в возрасте до 3 лет"</w:t>
            </w:r>
          </w:p>
        </w:tc>
      </w:tr>
      <w:tr w:rsidR="00454A29" w14:paraId="77E375C8" w14:textId="77777777">
        <w:tc>
          <w:tcPr>
            <w:tcW w:w="567" w:type="dxa"/>
            <w:vAlign w:val="center"/>
          </w:tcPr>
          <w:p w14:paraId="5F62ED85" w14:textId="77777777" w:rsidR="00454A29" w:rsidRDefault="00454A29">
            <w:pPr>
              <w:pStyle w:val="ConsPlusNormal"/>
              <w:jc w:val="center"/>
            </w:pPr>
            <w:r>
              <w:lastRenderedPageBreak/>
              <w:t>1</w:t>
            </w:r>
          </w:p>
        </w:tc>
        <w:tc>
          <w:tcPr>
            <w:tcW w:w="3005" w:type="dxa"/>
            <w:vAlign w:val="center"/>
          </w:tcPr>
          <w:p w14:paraId="713EF66F" w14:textId="77777777" w:rsidR="00454A29" w:rsidRDefault="00454A29">
            <w:pPr>
              <w:pStyle w:val="ConsPlusNormal"/>
            </w:pPr>
            <w: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w:t>
            </w:r>
          </w:p>
        </w:tc>
        <w:tc>
          <w:tcPr>
            <w:tcW w:w="1304" w:type="dxa"/>
            <w:vAlign w:val="center"/>
          </w:tcPr>
          <w:p w14:paraId="1780E87A" w14:textId="77777777" w:rsidR="00454A29" w:rsidRDefault="00454A29">
            <w:pPr>
              <w:pStyle w:val="ConsPlusNormal"/>
              <w:jc w:val="center"/>
            </w:pPr>
            <w:r>
              <w:t>чел.</w:t>
            </w:r>
          </w:p>
        </w:tc>
        <w:tc>
          <w:tcPr>
            <w:tcW w:w="1984" w:type="dxa"/>
            <w:vAlign w:val="center"/>
          </w:tcPr>
          <w:p w14:paraId="47635661" w14:textId="77777777" w:rsidR="00454A29" w:rsidRDefault="00454A29">
            <w:pPr>
              <w:pStyle w:val="ConsPlusNormal"/>
              <w:jc w:val="center"/>
            </w:pPr>
            <w:r>
              <w:t>Минобрнауки РС(Я)</w:t>
            </w:r>
          </w:p>
        </w:tc>
        <w:tc>
          <w:tcPr>
            <w:tcW w:w="964" w:type="dxa"/>
            <w:vAlign w:val="center"/>
          </w:tcPr>
          <w:p w14:paraId="48F59AB5" w14:textId="77777777" w:rsidR="00454A29" w:rsidRDefault="00454A29">
            <w:pPr>
              <w:pStyle w:val="ConsPlusNormal"/>
              <w:jc w:val="center"/>
            </w:pPr>
            <w:r>
              <w:t>12065</w:t>
            </w:r>
          </w:p>
        </w:tc>
        <w:tc>
          <w:tcPr>
            <w:tcW w:w="964" w:type="dxa"/>
            <w:vAlign w:val="center"/>
          </w:tcPr>
          <w:p w14:paraId="113CF8EF" w14:textId="77777777" w:rsidR="00454A29" w:rsidRDefault="00454A29">
            <w:pPr>
              <w:pStyle w:val="ConsPlusNormal"/>
              <w:jc w:val="center"/>
            </w:pPr>
            <w:r>
              <w:t>12665</w:t>
            </w:r>
          </w:p>
        </w:tc>
        <w:tc>
          <w:tcPr>
            <w:tcW w:w="964" w:type="dxa"/>
            <w:vAlign w:val="center"/>
          </w:tcPr>
          <w:p w14:paraId="6B26A0DE" w14:textId="77777777" w:rsidR="00454A29" w:rsidRDefault="00454A29">
            <w:pPr>
              <w:pStyle w:val="ConsPlusNormal"/>
              <w:jc w:val="center"/>
            </w:pPr>
            <w:r>
              <w:t>12665</w:t>
            </w:r>
          </w:p>
        </w:tc>
        <w:tc>
          <w:tcPr>
            <w:tcW w:w="964" w:type="dxa"/>
            <w:vAlign w:val="center"/>
          </w:tcPr>
          <w:p w14:paraId="43F65FC1" w14:textId="77777777" w:rsidR="00454A29" w:rsidRDefault="00454A29">
            <w:pPr>
              <w:pStyle w:val="ConsPlusNormal"/>
              <w:jc w:val="center"/>
            </w:pPr>
            <w:r>
              <w:t>12665</w:t>
            </w:r>
          </w:p>
        </w:tc>
        <w:tc>
          <w:tcPr>
            <w:tcW w:w="964" w:type="dxa"/>
            <w:vAlign w:val="center"/>
          </w:tcPr>
          <w:p w14:paraId="5DC459BC" w14:textId="77777777" w:rsidR="00454A29" w:rsidRDefault="00454A29">
            <w:pPr>
              <w:pStyle w:val="ConsPlusNormal"/>
              <w:jc w:val="center"/>
            </w:pPr>
            <w:r>
              <w:t>12665</w:t>
            </w:r>
          </w:p>
        </w:tc>
        <w:tc>
          <w:tcPr>
            <w:tcW w:w="964" w:type="dxa"/>
            <w:vAlign w:val="center"/>
          </w:tcPr>
          <w:p w14:paraId="50B36D58" w14:textId="77777777" w:rsidR="00454A29" w:rsidRDefault="00454A29">
            <w:pPr>
              <w:pStyle w:val="ConsPlusNormal"/>
              <w:jc w:val="center"/>
            </w:pPr>
            <w:r>
              <w:t>х</w:t>
            </w:r>
          </w:p>
        </w:tc>
        <w:tc>
          <w:tcPr>
            <w:tcW w:w="964" w:type="dxa"/>
            <w:vAlign w:val="center"/>
          </w:tcPr>
          <w:p w14:paraId="0E769FF7" w14:textId="77777777" w:rsidR="00454A29" w:rsidRDefault="00454A29">
            <w:pPr>
              <w:pStyle w:val="ConsPlusNormal"/>
              <w:jc w:val="center"/>
            </w:pPr>
            <w:r>
              <w:t>х</w:t>
            </w:r>
          </w:p>
        </w:tc>
      </w:tr>
      <w:tr w:rsidR="00454A29" w14:paraId="64D447D7" w14:textId="77777777">
        <w:tc>
          <w:tcPr>
            <w:tcW w:w="567" w:type="dxa"/>
            <w:vAlign w:val="center"/>
          </w:tcPr>
          <w:p w14:paraId="6C2A7C8E" w14:textId="77777777" w:rsidR="00454A29" w:rsidRDefault="00454A29">
            <w:pPr>
              <w:pStyle w:val="ConsPlusNormal"/>
              <w:jc w:val="center"/>
            </w:pPr>
            <w:r>
              <w:t>2</w:t>
            </w:r>
          </w:p>
        </w:tc>
        <w:tc>
          <w:tcPr>
            <w:tcW w:w="3005" w:type="dxa"/>
            <w:vAlign w:val="center"/>
          </w:tcPr>
          <w:p w14:paraId="34F93A04" w14:textId="77777777" w:rsidR="00454A29" w:rsidRDefault="00454A29">
            <w:pPr>
              <w:pStyle w:val="ConsPlusNormal"/>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304" w:type="dxa"/>
            <w:vAlign w:val="center"/>
          </w:tcPr>
          <w:p w14:paraId="58336A9E" w14:textId="77777777" w:rsidR="00454A29" w:rsidRDefault="00454A29">
            <w:pPr>
              <w:pStyle w:val="ConsPlusNormal"/>
              <w:jc w:val="center"/>
            </w:pPr>
            <w:r>
              <w:t>чел.</w:t>
            </w:r>
          </w:p>
        </w:tc>
        <w:tc>
          <w:tcPr>
            <w:tcW w:w="1984" w:type="dxa"/>
            <w:vAlign w:val="center"/>
          </w:tcPr>
          <w:p w14:paraId="478E0DF5" w14:textId="77777777" w:rsidR="00454A29" w:rsidRDefault="00454A29">
            <w:pPr>
              <w:pStyle w:val="ConsPlusNormal"/>
              <w:jc w:val="center"/>
            </w:pPr>
            <w:r>
              <w:t>Минобрнауки РС(Я)</w:t>
            </w:r>
          </w:p>
        </w:tc>
        <w:tc>
          <w:tcPr>
            <w:tcW w:w="964" w:type="dxa"/>
            <w:vAlign w:val="center"/>
          </w:tcPr>
          <w:p w14:paraId="2FBA52B0" w14:textId="77777777" w:rsidR="00454A29" w:rsidRDefault="00454A29">
            <w:pPr>
              <w:pStyle w:val="ConsPlusNormal"/>
              <w:jc w:val="center"/>
            </w:pPr>
            <w:r>
              <w:t>1597</w:t>
            </w:r>
          </w:p>
        </w:tc>
        <w:tc>
          <w:tcPr>
            <w:tcW w:w="964" w:type="dxa"/>
            <w:vAlign w:val="center"/>
          </w:tcPr>
          <w:p w14:paraId="1A02E5E2" w14:textId="77777777" w:rsidR="00454A29" w:rsidRDefault="00454A29">
            <w:pPr>
              <w:pStyle w:val="ConsPlusNormal"/>
              <w:jc w:val="center"/>
            </w:pPr>
            <w:r>
              <w:t>2097</w:t>
            </w:r>
          </w:p>
        </w:tc>
        <w:tc>
          <w:tcPr>
            <w:tcW w:w="964" w:type="dxa"/>
            <w:vAlign w:val="center"/>
          </w:tcPr>
          <w:p w14:paraId="7C39CE90" w14:textId="77777777" w:rsidR="00454A29" w:rsidRDefault="00454A29">
            <w:pPr>
              <w:pStyle w:val="ConsPlusNormal"/>
              <w:jc w:val="center"/>
            </w:pPr>
            <w:r>
              <w:t>2097</w:t>
            </w:r>
          </w:p>
        </w:tc>
        <w:tc>
          <w:tcPr>
            <w:tcW w:w="964" w:type="dxa"/>
            <w:vAlign w:val="center"/>
          </w:tcPr>
          <w:p w14:paraId="50B664BF" w14:textId="77777777" w:rsidR="00454A29" w:rsidRDefault="00454A29">
            <w:pPr>
              <w:pStyle w:val="ConsPlusNormal"/>
              <w:jc w:val="center"/>
            </w:pPr>
            <w:r>
              <w:t>2097</w:t>
            </w:r>
          </w:p>
        </w:tc>
        <w:tc>
          <w:tcPr>
            <w:tcW w:w="964" w:type="dxa"/>
            <w:vAlign w:val="center"/>
          </w:tcPr>
          <w:p w14:paraId="0043C5BD" w14:textId="77777777" w:rsidR="00454A29" w:rsidRDefault="00454A29">
            <w:pPr>
              <w:pStyle w:val="ConsPlusNormal"/>
              <w:jc w:val="center"/>
            </w:pPr>
            <w:r>
              <w:t>2097</w:t>
            </w:r>
          </w:p>
        </w:tc>
        <w:tc>
          <w:tcPr>
            <w:tcW w:w="964" w:type="dxa"/>
            <w:vAlign w:val="center"/>
          </w:tcPr>
          <w:p w14:paraId="430588AD" w14:textId="77777777" w:rsidR="00454A29" w:rsidRDefault="00454A29">
            <w:pPr>
              <w:pStyle w:val="ConsPlusNormal"/>
              <w:jc w:val="center"/>
            </w:pPr>
            <w:r>
              <w:t>х</w:t>
            </w:r>
          </w:p>
        </w:tc>
        <w:tc>
          <w:tcPr>
            <w:tcW w:w="964" w:type="dxa"/>
            <w:vAlign w:val="center"/>
          </w:tcPr>
          <w:p w14:paraId="46592459" w14:textId="77777777" w:rsidR="00454A29" w:rsidRDefault="00454A29">
            <w:pPr>
              <w:pStyle w:val="ConsPlusNormal"/>
              <w:jc w:val="center"/>
            </w:pPr>
            <w:r>
              <w:t>х</w:t>
            </w:r>
          </w:p>
        </w:tc>
      </w:tr>
      <w:tr w:rsidR="00454A29" w14:paraId="608DEDD1" w14:textId="77777777">
        <w:tc>
          <w:tcPr>
            <w:tcW w:w="567" w:type="dxa"/>
            <w:vAlign w:val="center"/>
          </w:tcPr>
          <w:p w14:paraId="3ED4F752" w14:textId="77777777" w:rsidR="00454A29" w:rsidRDefault="00454A29">
            <w:pPr>
              <w:pStyle w:val="ConsPlusNormal"/>
              <w:jc w:val="center"/>
            </w:pPr>
            <w:r>
              <w:t>3</w:t>
            </w:r>
          </w:p>
        </w:tc>
        <w:tc>
          <w:tcPr>
            <w:tcW w:w="3005" w:type="dxa"/>
            <w:vAlign w:val="center"/>
          </w:tcPr>
          <w:p w14:paraId="0B20D411" w14:textId="77777777" w:rsidR="00454A29" w:rsidRDefault="00454A29">
            <w:pPr>
              <w:pStyle w:val="ConsPlusNormal"/>
            </w:pPr>
            <w:r>
              <w:t>Доступность дошкольного образования для детей в возрасте от 1,5 лет до 3 лет</w:t>
            </w:r>
          </w:p>
        </w:tc>
        <w:tc>
          <w:tcPr>
            <w:tcW w:w="1304" w:type="dxa"/>
            <w:vAlign w:val="center"/>
          </w:tcPr>
          <w:p w14:paraId="05744A66" w14:textId="77777777" w:rsidR="00454A29" w:rsidRDefault="00454A29">
            <w:pPr>
              <w:pStyle w:val="ConsPlusNormal"/>
              <w:jc w:val="center"/>
            </w:pPr>
            <w:r>
              <w:t>%</w:t>
            </w:r>
          </w:p>
        </w:tc>
        <w:tc>
          <w:tcPr>
            <w:tcW w:w="1984" w:type="dxa"/>
            <w:vAlign w:val="center"/>
          </w:tcPr>
          <w:p w14:paraId="5956E3B3" w14:textId="77777777" w:rsidR="00454A29" w:rsidRDefault="00454A29">
            <w:pPr>
              <w:pStyle w:val="ConsPlusNormal"/>
              <w:jc w:val="center"/>
            </w:pPr>
            <w:r>
              <w:t>Минобрнауки РС(Я)</w:t>
            </w:r>
          </w:p>
        </w:tc>
        <w:tc>
          <w:tcPr>
            <w:tcW w:w="964" w:type="dxa"/>
            <w:vAlign w:val="center"/>
          </w:tcPr>
          <w:p w14:paraId="756A3027" w14:textId="77777777" w:rsidR="00454A29" w:rsidRDefault="00454A29">
            <w:pPr>
              <w:pStyle w:val="ConsPlusNormal"/>
              <w:jc w:val="center"/>
            </w:pPr>
            <w:r>
              <w:t>80,1</w:t>
            </w:r>
          </w:p>
        </w:tc>
        <w:tc>
          <w:tcPr>
            <w:tcW w:w="964" w:type="dxa"/>
            <w:vAlign w:val="center"/>
          </w:tcPr>
          <w:p w14:paraId="05C6381D" w14:textId="77777777" w:rsidR="00454A29" w:rsidRDefault="00454A29">
            <w:pPr>
              <w:pStyle w:val="ConsPlusNormal"/>
              <w:jc w:val="center"/>
            </w:pPr>
            <w:r>
              <w:t>100</w:t>
            </w:r>
          </w:p>
        </w:tc>
        <w:tc>
          <w:tcPr>
            <w:tcW w:w="964" w:type="dxa"/>
            <w:vAlign w:val="center"/>
          </w:tcPr>
          <w:p w14:paraId="20637266" w14:textId="77777777" w:rsidR="00454A29" w:rsidRDefault="00454A29">
            <w:pPr>
              <w:pStyle w:val="ConsPlusNormal"/>
              <w:jc w:val="center"/>
            </w:pPr>
            <w:r>
              <w:t>100</w:t>
            </w:r>
          </w:p>
        </w:tc>
        <w:tc>
          <w:tcPr>
            <w:tcW w:w="964" w:type="dxa"/>
            <w:vAlign w:val="center"/>
          </w:tcPr>
          <w:p w14:paraId="22287FEF" w14:textId="77777777" w:rsidR="00454A29" w:rsidRDefault="00454A29">
            <w:pPr>
              <w:pStyle w:val="ConsPlusNormal"/>
              <w:jc w:val="center"/>
            </w:pPr>
            <w:r>
              <w:t>100</w:t>
            </w:r>
          </w:p>
        </w:tc>
        <w:tc>
          <w:tcPr>
            <w:tcW w:w="964" w:type="dxa"/>
            <w:vAlign w:val="center"/>
          </w:tcPr>
          <w:p w14:paraId="06C0B53E" w14:textId="77777777" w:rsidR="00454A29" w:rsidRDefault="00454A29">
            <w:pPr>
              <w:pStyle w:val="ConsPlusNormal"/>
              <w:jc w:val="center"/>
            </w:pPr>
            <w:r>
              <w:t>100</w:t>
            </w:r>
          </w:p>
        </w:tc>
        <w:tc>
          <w:tcPr>
            <w:tcW w:w="964" w:type="dxa"/>
            <w:vAlign w:val="center"/>
          </w:tcPr>
          <w:p w14:paraId="29F5AE97" w14:textId="77777777" w:rsidR="00454A29" w:rsidRDefault="00454A29">
            <w:pPr>
              <w:pStyle w:val="ConsPlusNormal"/>
              <w:jc w:val="center"/>
            </w:pPr>
            <w:r>
              <w:t>х</w:t>
            </w:r>
          </w:p>
        </w:tc>
        <w:tc>
          <w:tcPr>
            <w:tcW w:w="964" w:type="dxa"/>
            <w:vAlign w:val="center"/>
          </w:tcPr>
          <w:p w14:paraId="5137B0FE" w14:textId="77777777" w:rsidR="00454A29" w:rsidRDefault="00454A29">
            <w:pPr>
              <w:pStyle w:val="ConsPlusNormal"/>
              <w:jc w:val="center"/>
            </w:pPr>
            <w:r>
              <w:t>х</w:t>
            </w:r>
          </w:p>
        </w:tc>
      </w:tr>
    </w:tbl>
    <w:p w14:paraId="3FE95A32" w14:textId="77777777" w:rsidR="00454A29" w:rsidRDefault="00454A29">
      <w:pPr>
        <w:sectPr w:rsidR="00454A29">
          <w:pgSz w:w="16838" w:h="11905" w:orient="landscape"/>
          <w:pgMar w:top="1701" w:right="1134" w:bottom="850" w:left="1134" w:header="0" w:footer="0" w:gutter="0"/>
          <w:cols w:space="720"/>
        </w:sectPr>
      </w:pPr>
    </w:p>
    <w:p w14:paraId="7635FFE3" w14:textId="77777777" w:rsidR="00454A29" w:rsidRDefault="00454A29">
      <w:pPr>
        <w:pStyle w:val="ConsPlusNormal"/>
      </w:pPr>
    </w:p>
    <w:p w14:paraId="10A68B7F" w14:textId="77777777" w:rsidR="00454A29" w:rsidRDefault="00454A29">
      <w:pPr>
        <w:pStyle w:val="ConsPlusNormal"/>
      </w:pPr>
    </w:p>
    <w:p w14:paraId="60424D7E" w14:textId="77777777" w:rsidR="00454A29" w:rsidRDefault="00454A29">
      <w:pPr>
        <w:pStyle w:val="ConsPlusNormal"/>
      </w:pPr>
    </w:p>
    <w:p w14:paraId="6AA3CA1D" w14:textId="77777777" w:rsidR="00454A29" w:rsidRDefault="00454A29">
      <w:pPr>
        <w:pStyle w:val="ConsPlusNormal"/>
      </w:pPr>
    </w:p>
    <w:p w14:paraId="288DB798" w14:textId="77777777" w:rsidR="00454A29" w:rsidRDefault="00454A29">
      <w:pPr>
        <w:pStyle w:val="ConsPlusNormal"/>
      </w:pPr>
    </w:p>
    <w:p w14:paraId="5FC8FBC3" w14:textId="77777777" w:rsidR="00454A29" w:rsidRDefault="00454A29">
      <w:pPr>
        <w:pStyle w:val="ConsPlusNormal"/>
        <w:jc w:val="right"/>
        <w:outlineLvl w:val="1"/>
      </w:pPr>
      <w:r>
        <w:t>Приложение N 2</w:t>
      </w:r>
    </w:p>
    <w:p w14:paraId="3C6F54DC" w14:textId="77777777" w:rsidR="00454A29" w:rsidRDefault="00454A29">
      <w:pPr>
        <w:pStyle w:val="ConsPlusNormal"/>
        <w:jc w:val="right"/>
      </w:pPr>
      <w:r>
        <w:t>к государственной программе</w:t>
      </w:r>
    </w:p>
    <w:p w14:paraId="161760C7" w14:textId="77777777" w:rsidR="00454A29" w:rsidRDefault="00454A29">
      <w:pPr>
        <w:pStyle w:val="ConsPlusNormal"/>
        <w:jc w:val="right"/>
      </w:pPr>
      <w:r>
        <w:t>Республики Саха (Якутия)</w:t>
      </w:r>
    </w:p>
    <w:p w14:paraId="19E87881" w14:textId="77777777" w:rsidR="00454A29" w:rsidRDefault="00454A29">
      <w:pPr>
        <w:pStyle w:val="ConsPlusNormal"/>
        <w:jc w:val="right"/>
      </w:pPr>
      <w:r>
        <w:t>"Развитие образования</w:t>
      </w:r>
    </w:p>
    <w:p w14:paraId="0663A7E9" w14:textId="77777777" w:rsidR="00454A29" w:rsidRDefault="00454A29">
      <w:pPr>
        <w:pStyle w:val="ConsPlusNormal"/>
        <w:jc w:val="right"/>
      </w:pPr>
      <w:r>
        <w:t>Республики Саха (Якутия)</w:t>
      </w:r>
    </w:p>
    <w:p w14:paraId="382D4E37" w14:textId="77777777" w:rsidR="00454A29" w:rsidRDefault="00454A29">
      <w:pPr>
        <w:pStyle w:val="ConsPlusNormal"/>
        <w:jc w:val="right"/>
      </w:pPr>
      <w:r>
        <w:t>на 2020 - 2024 годы и на плановый</w:t>
      </w:r>
    </w:p>
    <w:p w14:paraId="3D1E7324" w14:textId="77777777" w:rsidR="00454A29" w:rsidRDefault="00454A29">
      <w:pPr>
        <w:pStyle w:val="ConsPlusNormal"/>
        <w:jc w:val="right"/>
      </w:pPr>
      <w:r>
        <w:t>период до 2026 года"</w:t>
      </w:r>
    </w:p>
    <w:p w14:paraId="5433F9C7" w14:textId="77777777" w:rsidR="00454A29" w:rsidRDefault="00454A29">
      <w:pPr>
        <w:pStyle w:val="ConsPlusNormal"/>
      </w:pPr>
    </w:p>
    <w:p w14:paraId="69022EFE" w14:textId="77777777" w:rsidR="00454A29" w:rsidRDefault="00454A29">
      <w:pPr>
        <w:pStyle w:val="ConsPlusTitle"/>
        <w:jc w:val="center"/>
      </w:pPr>
      <w:bookmarkStart w:id="3" w:name="P2729"/>
      <w:bookmarkEnd w:id="3"/>
      <w:r>
        <w:t>РЕСУРСНОЕ ОБЕСПЕЧЕНИЕ</w:t>
      </w:r>
    </w:p>
    <w:p w14:paraId="13D1AF1A" w14:textId="77777777" w:rsidR="00454A29" w:rsidRDefault="00454A29">
      <w:pPr>
        <w:pStyle w:val="ConsPlusTitle"/>
        <w:jc w:val="center"/>
      </w:pPr>
      <w:r>
        <w:t>РЕАЛИЗАЦИИ ГОСУДАРСТВЕННОЙ ПРОГРАММЫ</w:t>
      </w:r>
    </w:p>
    <w:p w14:paraId="6E373057" w14:textId="77777777" w:rsidR="00454A29" w:rsidRDefault="00454A29">
      <w:pPr>
        <w:pStyle w:val="ConsPlusTitle"/>
        <w:jc w:val="center"/>
      </w:pPr>
      <w:r>
        <w:t>РЕСПУБЛИКИ САХА (ЯКУТИЯ) "РАЗВИТИЕ ОБРАЗОВАНИЯ</w:t>
      </w:r>
    </w:p>
    <w:p w14:paraId="564666C6" w14:textId="77777777" w:rsidR="00454A29" w:rsidRDefault="00454A29">
      <w:pPr>
        <w:pStyle w:val="ConsPlusTitle"/>
        <w:jc w:val="center"/>
      </w:pPr>
      <w:r>
        <w:t>РЕСПУБЛИКИ САХА (ЯКУТИЯ) НА 2020 - 2024 ГОДЫ</w:t>
      </w:r>
    </w:p>
    <w:p w14:paraId="65E1ACCB" w14:textId="77777777" w:rsidR="00454A29" w:rsidRDefault="00454A29">
      <w:pPr>
        <w:pStyle w:val="ConsPlusTitle"/>
        <w:jc w:val="center"/>
      </w:pPr>
      <w:r>
        <w:t>И НА ПЛАНОВЫЙ ПЕРИОД ДО 2026 ГОДА"</w:t>
      </w:r>
    </w:p>
    <w:p w14:paraId="1DAED30C"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005"/>
        <w:gridCol w:w="2778"/>
        <w:gridCol w:w="1304"/>
        <w:gridCol w:w="1247"/>
        <w:gridCol w:w="1304"/>
        <w:gridCol w:w="1304"/>
        <w:gridCol w:w="1304"/>
        <w:gridCol w:w="1304"/>
        <w:gridCol w:w="1304"/>
      </w:tblGrid>
      <w:tr w:rsidR="00454A29" w14:paraId="3D563A13" w14:textId="77777777">
        <w:tc>
          <w:tcPr>
            <w:tcW w:w="2041" w:type="dxa"/>
            <w:vMerge w:val="restart"/>
            <w:vAlign w:val="center"/>
          </w:tcPr>
          <w:p w14:paraId="56E32B08" w14:textId="77777777" w:rsidR="00454A29" w:rsidRDefault="00454A29">
            <w:pPr>
              <w:pStyle w:val="ConsPlusNormal"/>
              <w:jc w:val="center"/>
            </w:pPr>
            <w:r>
              <w:t>Статус структурного элемента</w:t>
            </w:r>
          </w:p>
        </w:tc>
        <w:tc>
          <w:tcPr>
            <w:tcW w:w="3005" w:type="dxa"/>
            <w:vMerge w:val="restart"/>
            <w:vAlign w:val="center"/>
          </w:tcPr>
          <w:p w14:paraId="63F6AA2B" w14:textId="77777777" w:rsidR="00454A29" w:rsidRDefault="00454A29">
            <w:pPr>
              <w:pStyle w:val="ConsPlusNormal"/>
              <w:jc w:val="center"/>
            </w:pPr>
            <w:r>
              <w:t>Наименование государственной программы, подпрограммы государственной программы</w:t>
            </w:r>
          </w:p>
        </w:tc>
        <w:tc>
          <w:tcPr>
            <w:tcW w:w="2778" w:type="dxa"/>
            <w:vMerge w:val="restart"/>
            <w:vAlign w:val="center"/>
          </w:tcPr>
          <w:p w14:paraId="08EB32C7" w14:textId="77777777" w:rsidR="00454A29" w:rsidRDefault="00454A29">
            <w:pPr>
              <w:pStyle w:val="ConsPlusNormal"/>
              <w:jc w:val="center"/>
            </w:pPr>
            <w:r>
              <w:t>Источник финансирования</w:t>
            </w:r>
          </w:p>
        </w:tc>
        <w:tc>
          <w:tcPr>
            <w:tcW w:w="9071" w:type="dxa"/>
            <w:gridSpan w:val="7"/>
            <w:vAlign w:val="center"/>
          </w:tcPr>
          <w:p w14:paraId="4207B923" w14:textId="77777777" w:rsidR="00454A29" w:rsidRDefault="00454A29">
            <w:pPr>
              <w:pStyle w:val="ConsPlusNormal"/>
              <w:jc w:val="center"/>
            </w:pPr>
            <w:r>
              <w:t>Объемы бюджетных ассигнований</w:t>
            </w:r>
          </w:p>
        </w:tc>
      </w:tr>
      <w:tr w:rsidR="00454A29" w14:paraId="205DA233" w14:textId="77777777">
        <w:tc>
          <w:tcPr>
            <w:tcW w:w="2041" w:type="dxa"/>
            <w:vMerge/>
          </w:tcPr>
          <w:p w14:paraId="2FFEB3E2" w14:textId="77777777" w:rsidR="00454A29" w:rsidRDefault="00454A29"/>
        </w:tc>
        <w:tc>
          <w:tcPr>
            <w:tcW w:w="3005" w:type="dxa"/>
            <w:vMerge/>
          </w:tcPr>
          <w:p w14:paraId="5947BBCB" w14:textId="77777777" w:rsidR="00454A29" w:rsidRDefault="00454A29"/>
        </w:tc>
        <w:tc>
          <w:tcPr>
            <w:tcW w:w="2778" w:type="dxa"/>
            <w:vMerge/>
          </w:tcPr>
          <w:p w14:paraId="2FFC3AA8" w14:textId="77777777" w:rsidR="00454A29" w:rsidRDefault="00454A29"/>
        </w:tc>
        <w:tc>
          <w:tcPr>
            <w:tcW w:w="1304" w:type="dxa"/>
            <w:vAlign w:val="center"/>
          </w:tcPr>
          <w:p w14:paraId="7A6305AF" w14:textId="77777777" w:rsidR="00454A29" w:rsidRDefault="00454A29">
            <w:pPr>
              <w:pStyle w:val="ConsPlusNormal"/>
              <w:jc w:val="center"/>
            </w:pPr>
            <w:r>
              <w:t>2020</w:t>
            </w:r>
          </w:p>
        </w:tc>
        <w:tc>
          <w:tcPr>
            <w:tcW w:w="1247" w:type="dxa"/>
            <w:vAlign w:val="center"/>
          </w:tcPr>
          <w:p w14:paraId="43DE15CB" w14:textId="77777777" w:rsidR="00454A29" w:rsidRDefault="00454A29">
            <w:pPr>
              <w:pStyle w:val="ConsPlusNormal"/>
              <w:jc w:val="center"/>
            </w:pPr>
            <w:r>
              <w:t>2 021</w:t>
            </w:r>
          </w:p>
        </w:tc>
        <w:tc>
          <w:tcPr>
            <w:tcW w:w="1304" w:type="dxa"/>
            <w:vAlign w:val="center"/>
          </w:tcPr>
          <w:p w14:paraId="39F6D31B" w14:textId="77777777" w:rsidR="00454A29" w:rsidRDefault="00454A29">
            <w:pPr>
              <w:pStyle w:val="ConsPlusNormal"/>
              <w:jc w:val="center"/>
            </w:pPr>
            <w:r>
              <w:t>2 022</w:t>
            </w:r>
          </w:p>
        </w:tc>
        <w:tc>
          <w:tcPr>
            <w:tcW w:w="1304" w:type="dxa"/>
            <w:vAlign w:val="center"/>
          </w:tcPr>
          <w:p w14:paraId="4D0D7BCA" w14:textId="77777777" w:rsidR="00454A29" w:rsidRDefault="00454A29">
            <w:pPr>
              <w:pStyle w:val="ConsPlusNormal"/>
              <w:jc w:val="center"/>
            </w:pPr>
            <w:r>
              <w:t>2 023</w:t>
            </w:r>
          </w:p>
        </w:tc>
        <w:tc>
          <w:tcPr>
            <w:tcW w:w="1304" w:type="dxa"/>
            <w:vAlign w:val="center"/>
          </w:tcPr>
          <w:p w14:paraId="1952CB14" w14:textId="77777777" w:rsidR="00454A29" w:rsidRDefault="00454A29">
            <w:pPr>
              <w:pStyle w:val="ConsPlusNormal"/>
              <w:jc w:val="center"/>
            </w:pPr>
            <w:r>
              <w:t>2 024</w:t>
            </w:r>
          </w:p>
        </w:tc>
        <w:tc>
          <w:tcPr>
            <w:tcW w:w="1304" w:type="dxa"/>
            <w:vAlign w:val="center"/>
          </w:tcPr>
          <w:p w14:paraId="184577D0" w14:textId="77777777" w:rsidR="00454A29" w:rsidRDefault="00454A29">
            <w:pPr>
              <w:pStyle w:val="ConsPlusNormal"/>
              <w:jc w:val="center"/>
            </w:pPr>
            <w:r>
              <w:t>2 025</w:t>
            </w:r>
          </w:p>
        </w:tc>
        <w:tc>
          <w:tcPr>
            <w:tcW w:w="1304" w:type="dxa"/>
            <w:vAlign w:val="center"/>
          </w:tcPr>
          <w:p w14:paraId="3C122D38" w14:textId="77777777" w:rsidR="00454A29" w:rsidRDefault="00454A29">
            <w:pPr>
              <w:pStyle w:val="ConsPlusNormal"/>
              <w:jc w:val="center"/>
            </w:pPr>
            <w:r>
              <w:t>2 026</w:t>
            </w:r>
          </w:p>
        </w:tc>
      </w:tr>
      <w:tr w:rsidR="00454A29" w14:paraId="71B28BBA" w14:textId="77777777">
        <w:tc>
          <w:tcPr>
            <w:tcW w:w="2041" w:type="dxa"/>
            <w:vAlign w:val="center"/>
          </w:tcPr>
          <w:p w14:paraId="432444BC" w14:textId="77777777" w:rsidR="00454A29" w:rsidRDefault="00454A29">
            <w:pPr>
              <w:pStyle w:val="ConsPlusNormal"/>
              <w:jc w:val="center"/>
            </w:pPr>
            <w:r>
              <w:t>1</w:t>
            </w:r>
          </w:p>
        </w:tc>
        <w:tc>
          <w:tcPr>
            <w:tcW w:w="3005" w:type="dxa"/>
            <w:vAlign w:val="center"/>
          </w:tcPr>
          <w:p w14:paraId="616DC1B4" w14:textId="77777777" w:rsidR="00454A29" w:rsidRDefault="00454A29">
            <w:pPr>
              <w:pStyle w:val="ConsPlusNormal"/>
              <w:jc w:val="center"/>
            </w:pPr>
            <w:r>
              <w:t>2</w:t>
            </w:r>
          </w:p>
        </w:tc>
        <w:tc>
          <w:tcPr>
            <w:tcW w:w="2778" w:type="dxa"/>
            <w:vAlign w:val="center"/>
          </w:tcPr>
          <w:p w14:paraId="4AACF553" w14:textId="77777777" w:rsidR="00454A29" w:rsidRDefault="00454A29">
            <w:pPr>
              <w:pStyle w:val="ConsPlusNormal"/>
              <w:jc w:val="center"/>
            </w:pPr>
            <w:r>
              <w:t>3</w:t>
            </w:r>
          </w:p>
        </w:tc>
        <w:tc>
          <w:tcPr>
            <w:tcW w:w="1304" w:type="dxa"/>
            <w:vAlign w:val="center"/>
          </w:tcPr>
          <w:p w14:paraId="684C504F" w14:textId="77777777" w:rsidR="00454A29" w:rsidRDefault="00454A29">
            <w:pPr>
              <w:pStyle w:val="ConsPlusNormal"/>
              <w:jc w:val="center"/>
            </w:pPr>
            <w:r>
              <w:t>4</w:t>
            </w:r>
          </w:p>
        </w:tc>
        <w:tc>
          <w:tcPr>
            <w:tcW w:w="1247" w:type="dxa"/>
            <w:vAlign w:val="center"/>
          </w:tcPr>
          <w:p w14:paraId="52B1DAC3" w14:textId="77777777" w:rsidR="00454A29" w:rsidRDefault="00454A29">
            <w:pPr>
              <w:pStyle w:val="ConsPlusNormal"/>
              <w:jc w:val="center"/>
            </w:pPr>
            <w:r>
              <w:t>5</w:t>
            </w:r>
          </w:p>
        </w:tc>
        <w:tc>
          <w:tcPr>
            <w:tcW w:w="1304" w:type="dxa"/>
            <w:vAlign w:val="center"/>
          </w:tcPr>
          <w:p w14:paraId="0C22528B" w14:textId="77777777" w:rsidR="00454A29" w:rsidRDefault="00454A29">
            <w:pPr>
              <w:pStyle w:val="ConsPlusNormal"/>
              <w:jc w:val="center"/>
            </w:pPr>
            <w:r>
              <w:t>6</w:t>
            </w:r>
          </w:p>
        </w:tc>
        <w:tc>
          <w:tcPr>
            <w:tcW w:w="1304" w:type="dxa"/>
            <w:vAlign w:val="center"/>
          </w:tcPr>
          <w:p w14:paraId="1BC560F6" w14:textId="77777777" w:rsidR="00454A29" w:rsidRDefault="00454A29">
            <w:pPr>
              <w:pStyle w:val="ConsPlusNormal"/>
              <w:jc w:val="center"/>
            </w:pPr>
            <w:r>
              <w:t>7</w:t>
            </w:r>
          </w:p>
        </w:tc>
        <w:tc>
          <w:tcPr>
            <w:tcW w:w="1304" w:type="dxa"/>
            <w:vAlign w:val="center"/>
          </w:tcPr>
          <w:p w14:paraId="7E257543" w14:textId="77777777" w:rsidR="00454A29" w:rsidRDefault="00454A29">
            <w:pPr>
              <w:pStyle w:val="ConsPlusNormal"/>
              <w:jc w:val="center"/>
            </w:pPr>
            <w:r>
              <w:t>8</w:t>
            </w:r>
          </w:p>
        </w:tc>
        <w:tc>
          <w:tcPr>
            <w:tcW w:w="1304" w:type="dxa"/>
            <w:vAlign w:val="center"/>
          </w:tcPr>
          <w:p w14:paraId="7E107882" w14:textId="77777777" w:rsidR="00454A29" w:rsidRDefault="00454A29">
            <w:pPr>
              <w:pStyle w:val="ConsPlusNormal"/>
              <w:jc w:val="center"/>
            </w:pPr>
            <w:r>
              <w:t>9</w:t>
            </w:r>
          </w:p>
        </w:tc>
        <w:tc>
          <w:tcPr>
            <w:tcW w:w="1304" w:type="dxa"/>
            <w:vAlign w:val="center"/>
          </w:tcPr>
          <w:p w14:paraId="58EC0617" w14:textId="77777777" w:rsidR="00454A29" w:rsidRDefault="00454A29">
            <w:pPr>
              <w:pStyle w:val="ConsPlusNormal"/>
              <w:jc w:val="center"/>
            </w:pPr>
            <w:r>
              <w:t>10</w:t>
            </w:r>
          </w:p>
        </w:tc>
      </w:tr>
      <w:tr w:rsidR="00454A29" w14:paraId="394650B6" w14:textId="77777777">
        <w:tc>
          <w:tcPr>
            <w:tcW w:w="2041" w:type="dxa"/>
            <w:vMerge w:val="restart"/>
            <w:vAlign w:val="center"/>
          </w:tcPr>
          <w:p w14:paraId="69A74392" w14:textId="77777777" w:rsidR="00454A29" w:rsidRDefault="00454A29">
            <w:pPr>
              <w:pStyle w:val="ConsPlusNormal"/>
              <w:jc w:val="center"/>
              <w:outlineLvl w:val="2"/>
            </w:pPr>
            <w:r>
              <w:t>Государственная программа</w:t>
            </w:r>
          </w:p>
        </w:tc>
        <w:tc>
          <w:tcPr>
            <w:tcW w:w="3005" w:type="dxa"/>
            <w:vMerge w:val="restart"/>
            <w:vAlign w:val="center"/>
          </w:tcPr>
          <w:p w14:paraId="50D8328C" w14:textId="77777777" w:rsidR="00454A29" w:rsidRDefault="00454A29">
            <w:pPr>
              <w:pStyle w:val="ConsPlusNormal"/>
              <w:jc w:val="center"/>
            </w:pPr>
            <w:r>
              <w:t>"Развитие образования Республики Саха (Якутия) на 2020 - 2024 годы и на плановый период до 2026 года"</w:t>
            </w:r>
          </w:p>
        </w:tc>
        <w:tc>
          <w:tcPr>
            <w:tcW w:w="2778" w:type="dxa"/>
            <w:vAlign w:val="center"/>
          </w:tcPr>
          <w:p w14:paraId="1117FE07" w14:textId="77777777" w:rsidR="00454A29" w:rsidRDefault="00454A29">
            <w:pPr>
              <w:pStyle w:val="ConsPlusNormal"/>
            </w:pPr>
            <w:r>
              <w:t>Всего:</w:t>
            </w:r>
          </w:p>
        </w:tc>
        <w:tc>
          <w:tcPr>
            <w:tcW w:w="1304" w:type="dxa"/>
            <w:vAlign w:val="center"/>
          </w:tcPr>
          <w:p w14:paraId="60790BDD" w14:textId="77777777" w:rsidR="00454A29" w:rsidRDefault="00454A29">
            <w:pPr>
              <w:pStyle w:val="ConsPlusNormal"/>
              <w:jc w:val="right"/>
            </w:pPr>
            <w:r>
              <w:t>40 532 198</w:t>
            </w:r>
          </w:p>
        </w:tc>
        <w:tc>
          <w:tcPr>
            <w:tcW w:w="1247" w:type="dxa"/>
            <w:vAlign w:val="center"/>
          </w:tcPr>
          <w:p w14:paraId="1EC8F567" w14:textId="77777777" w:rsidR="00454A29" w:rsidRDefault="00454A29">
            <w:pPr>
              <w:pStyle w:val="ConsPlusNormal"/>
              <w:jc w:val="right"/>
            </w:pPr>
            <w:r>
              <w:t>40 028 493</w:t>
            </w:r>
          </w:p>
        </w:tc>
        <w:tc>
          <w:tcPr>
            <w:tcW w:w="1304" w:type="dxa"/>
            <w:vAlign w:val="center"/>
          </w:tcPr>
          <w:p w14:paraId="1E7B3B46" w14:textId="77777777" w:rsidR="00454A29" w:rsidRDefault="00454A29">
            <w:pPr>
              <w:pStyle w:val="ConsPlusNormal"/>
              <w:jc w:val="right"/>
            </w:pPr>
            <w:r>
              <w:t>36 285 810</w:t>
            </w:r>
          </w:p>
        </w:tc>
        <w:tc>
          <w:tcPr>
            <w:tcW w:w="1304" w:type="dxa"/>
            <w:vAlign w:val="center"/>
          </w:tcPr>
          <w:p w14:paraId="789DB183" w14:textId="77777777" w:rsidR="00454A29" w:rsidRDefault="00454A29">
            <w:pPr>
              <w:pStyle w:val="ConsPlusNormal"/>
              <w:jc w:val="right"/>
            </w:pPr>
            <w:r>
              <w:t>47 797 224</w:t>
            </w:r>
          </w:p>
        </w:tc>
        <w:tc>
          <w:tcPr>
            <w:tcW w:w="1304" w:type="dxa"/>
            <w:vAlign w:val="center"/>
          </w:tcPr>
          <w:p w14:paraId="54AFDA90" w14:textId="77777777" w:rsidR="00454A29" w:rsidRDefault="00454A29">
            <w:pPr>
              <w:pStyle w:val="ConsPlusNormal"/>
              <w:jc w:val="right"/>
            </w:pPr>
            <w:r>
              <w:t>49 256 344</w:t>
            </w:r>
          </w:p>
        </w:tc>
        <w:tc>
          <w:tcPr>
            <w:tcW w:w="1304" w:type="dxa"/>
            <w:vAlign w:val="center"/>
          </w:tcPr>
          <w:p w14:paraId="79609668" w14:textId="77777777" w:rsidR="00454A29" w:rsidRDefault="00454A29">
            <w:pPr>
              <w:pStyle w:val="ConsPlusNormal"/>
              <w:jc w:val="right"/>
            </w:pPr>
            <w:r>
              <w:t>50 274 980</w:t>
            </w:r>
          </w:p>
        </w:tc>
        <w:tc>
          <w:tcPr>
            <w:tcW w:w="1304" w:type="dxa"/>
            <w:vAlign w:val="center"/>
          </w:tcPr>
          <w:p w14:paraId="09771AA8" w14:textId="77777777" w:rsidR="00454A29" w:rsidRDefault="00454A29">
            <w:pPr>
              <w:pStyle w:val="ConsPlusNormal"/>
              <w:jc w:val="right"/>
            </w:pPr>
            <w:r>
              <w:t>51 738 145</w:t>
            </w:r>
          </w:p>
        </w:tc>
      </w:tr>
      <w:tr w:rsidR="00454A29" w14:paraId="0F406645" w14:textId="77777777">
        <w:tc>
          <w:tcPr>
            <w:tcW w:w="2041" w:type="dxa"/>
            <w:vMerge/>
          </w:tcPr>
          <w:p w14:paraId="59931A00" w14:textId="77777777" w:rsidR="00454A29" w:rsidRDefault="00454A29"/>
        </w:tc>
        <w:tc>
          <w:tcPr>
            <w:tcW w:w="3005" w:type="dxa"/>
            <w:vMerge/>
          </w:tcPr>
          <w:p w14:paraId="7B596191" w14:textId="77777777" w:rsidR="00454A29" w:rsidRDefault="00454A29"/>
        </w:tc>
        <w:tc>
          <w:tcPr>
            <w:tcW w:w="2778" w:type="dxa"/>
            <w:vAlign w:val="center"/>
          </w:tcPr>
          <w:p w14:paraId="2F00E346" w14:textId="77777777" w:rsidR="00454A29" w:rsidRDefault="00454A29">
            <w:pPr>
              <w:pStyle w:val="ConsPlusNormal"/>
            </w:pPr>
            <w:r>
              <w:t>Государственный бюджет Республики Саха (Якутия)</w:t>
            </w:r>
          </w:p>
        </w:tc>
        <w:tc>
          <w:tcPr>
            <w:tcW w:w="1304" w:type="dxa"/>
            <w:vAlign w:val="center"/>
          </w:tcPr>
          <w:p w14:paraId="501BC7F9" w14:textId="77777777" w:rsidR="00454A29" w:rsidRDefault="00454A29">
            <w:pPr>
              <w:pStyle w:val="ConsPlusNormal"/>
              <w:jc w:val="right"/>
            </w:pPr>
            <w:r>
              <w:t>37 076 545</w:t>
            </w:r>
          </w:p>
        </w:tc>
        <w:tc>
          <w:tcPr>
            <w:tcW w:w="1247" w:type="dxa"/>
            <w:vAlign w:val="center"/>
          </w:tcPr>
          <w:p w14:paraId="54D3899A" w14:textId="77777777" w:rsidR="00454A29" w:rsidRDefault="00454A29">
            <w:pPr>
              <w:pStyle w:val="ConsPlusNormal"/>
              <w:jc w:val="right"/>
            </w:pPr>
            <w:r>
              <w:t>36 017 970</w:t>
            </w:r>
          </w:p>
        </w:tc>
        <w:tc>
          <w:tcPr>
            <w:tcW w:w="1304" w:type="dxa"/>
            <w:vAlign w:val="center"/>
          </w:tcPr>
          <w:p w14:paraId="5252B33C" w14:textId="77777777" w:rsidR="00454A29" w:rsidRDefault="00454A29">
            <w:pPr>
              <w:pStyle w:val="ConsPlusNormal"/>
              <w:jc w:val="right"/>
            </w:pPr>
            <w:r>
              <w:t>35 209 135</w:t>
            </w:r>
          </w:p>
        </w:tc>
        <w:tc>
          <w:tcPr>
            <w:tcW w:w="1304" w:type="dxa"/>
            <w:vAlign w:val="center"/>
          </w:tcPr>
          <w:p w14:paraId="49B2D9EA" w14:textId="77777777" w:rsidR="00454A29" w:rsidRDefault="00454A29">
            <w:pPr>
              <w:pStyle w:val="ConsPlusNormal"/>
              <w:jc w:val="right"/>
            </w:pPr>
            <w:r>
              <w:t>42 524 654</w:t>
            </w:r>
          </w:p>
        </w:tc>
        <w:tc>
          <w:tcPr>
            <w:tcW w:w="1304" w:type="dxa"/>
            <w:vAlign w:val="center"/>
          </w:tcPr>
          <w:p w14:paraId="6D5ECD08" w14:textId="77777777" w:rsidR="00454A29" w:rsidRDefault="00454A29">
            <w:pPr>
              <w:pStyle w:val="ConsPlusNormal"/>
              <w:jc w:val="right"/>
            </w:pPr>
            <w:r>
              <w:t>45 659 997</w:t>
            </w:r>
          </w:p>
        </w:tc>
        <w:tc>
          <w:tcPr>
            <w:tcW w:w="1304" w:type="dxa"/>
            <w:vAlign w:val="center"/>
          </w:tcPr>
          <w:p w14:paraId="68ECA2BE" w14:textId="77777777" w:rsidR="00454A29" w:rsidRDefault="00454A29">
            <w:pPr>
              <w:pStyle w:val="ConsPlusNormal"/>
              <w:jc w:val="right"/>
            </w:pPr>
            <w:r>
              <w:t>7 039 353</w:t>
            </w:r>
          </w:p>
        </w:tc>
        <w:tc>
          <w:tcPr>
            <w:tcW w:w="1304" w:type="dxa"/>
            <w:vAlign w:val="center"/>
          </w:tcPr>
          <w:p w14:paraId="592C3028" w14:textId="77777777" w:rsidR="00454A29" w:rsidRDefault="00454A29">
            <w:pPr>
              <w:pStyle w:val="ConsPlusNormal"/>
              <w:jc w:val="right"/>
            </w:pPr>
            <w:r>
              <w:t>2 231 344</w:t>
            </w:r>
          </w:p>
        </w:tc>
      </w:tr>
      <w:tr w:rsidR="00454A29" w14:paraId="29175057" w14:textId="77777777">
        <w:tc>
          <w:tcPr>
            <w:tcW w:w="2041" w:type="dxa"/>
            <w:vMerge/>
          </w:tcPr>
          <w:p w14:paraId="34A02295" w14:textId="77777777" w:rsidR="00454A29" w:rsidRDefault="00454A29"/>
        </w:tc>
        <w:tc>
          <w:tcPr>
            <w:tcW w:w="3005" w:type="dxa"/>
            <w:vMerge/>
          </w:tcPr>
          <w:p w14:paraId="7E5B8CD6" w14:textId="77777777" w:rsidR="00454A29" w:rsidRDefault="00454A29"/>
        </w:tc>
        <w:tc>
          <w:tcPr>
            <w:tcW w:w="2778" w:type="dxa"/>
            <w:vAlign w:val="center"/>
          </w:tcPr>
          <w:p w14:paraId="1936DE5D" w14:textId="77777777" w:rsidR="00454A29" w:rsidRDefault="00454A29">
            <w:pPr>
              <w:pStyle w:val="ConsPlusNormal"/>
            </w:pPr>
            <w:r>
              <w:t>ГРБС - Минобрнауки РС(Я)</w:t>
            </w:r>
          </w:p>
        </w:tc>
        <w:tc>
          <w:tcPr>
            <w:tcW w:w="1304" w:type="dxa"/>
            <w:vAlign w:val="center"/>
          </w:tcPr>
          <w:p w14:paraId="68FD498F" w14:textId="77777777" w:rsidR="00454A29" w:rsidRDefault="00454A29">
            <w:pPr>
              <w:pStyle w:val="ConsPlusNormal"/>
              <w:jc w:val="right"/>
            </w:pPr>
            <w:r>
              <w:t>32 549 412</w:t>
            </w:r>
          </w:p>
        </w:tc>
        <w:tc>
          <w:tcPr>
            <w:tcW w:w="1247" w:type="dxa"/>
            <w:vAlign w:val="center"/>
          </w:tcPr>
          <w:p w14:paraId="57FBE07E" w14:textId="77777777" w:rsidR="00454A29" w:rsidRDefault="00454A29">
            <w:pPr>
              <w:pStyle w:val="ConsPlusNormal"/>
              <w:jc w:val="right"/>
            </w:pPr>
            <w:r>
              <w:t>32 553 614</w:t>
            </w:r>
          </w:p>
        </w:tc>
        <w:tc>
          <w:tcPr>
            <w:tcW w:w="1304" w:type="dxa"/>
            <w:vAlign w:val="center"/>
          </w:tcPr>
          <w:p w14:paraId="74E0310A" w14:textId="77777777" w:rsidR="00454A29" w:rsidRDefault="00454A29">
            <w:pPr>
              <w:pStyle w:val="ConsPlusNormal"/>
              <w:jc w:val="right"/>
            </w:pPr>
            <w:r>
              <w:t>32 549 172</w:t>
            </w:r>
          </w:p>
        </w:tc>
        <w:tc>
          <w:tcPr>
            <w:tcW w:w="1304" w:type="dxa"/>
            <w:vAlign w:val="center"/>
          </w:tcPr>
          <w:p w14:paraId="57C642B8" w14:textId="77777777" w:rsidR="00454A29" w:rsidRDefault="00454A29">
            <w:pPr>
              <w:pStyle w:val="ConsPlusNormal"/>
              <w:jc w:val="right"/>
            </w:pPr>
            <w:r>
              <w:t>38 424 324</w:t>
            </w:r>
          </w:p>
        </w:tc>
        <w:tc>
          <w:tcPr>
            <w:tcW w:w="1304" w:type="dxa"/>
            <w:vAlign w:val="center"/>
          </w:tcPr>
          <w:p w14:paraId="6BFA70DF" w14:textId="77777777" w:rsidR="00454A29" w:rsidRDefault="00454A29">
            <w:pPr>
              <w:pStyle w:val="ConsPlusNormal"/>
              <w:jc w:val="right"/>
            </w:pPr>
            <w:r>
              <w:t>39 745 927</w:t>
            </w:r>
          </w:p>
        </w:tc>
        <w:tc>
          <w:tcPr>
            <w:tcW w:w="1304" w:type="dxa"/>
            <w:vAlign w:val="center"/>
          </w:tcPr>
          <w:p w14:paraId="01C907A9" w14:textId="77777777" w:rsidR="00454A29" w:rsidRDefault="00454A29">
            <w:pPr>
              <w:pStyle w:val="ConsPlusNormal"/>
              <w:jc w:val="right"/>
            </w:pPr>
            <w:r>
              <w:t>54 458</w:t>
            </w:r>
          </w:p>
        </w:tc>
        <w:tc>
          <w:tcPr>
            <w:tcW w:w="1304" w:type="dxa"/>
            <w:vAlign w:val="center"/>
          </w:tcPr>
          <w:p w14:paraId="1837A08F" w14:textId="77777777" w:rsidR="00454A29" w:rsidRDefault="00454A29">
            <w:pPr>
              <w:pStyle w:val="ConsPlusNormal"/>
              <w:jc w:val="right"/>
            </w:pPr>
            <w:r>
              <w:t>53 038</w:t>
            </w:r>
          </w:p>
        </w:tc>
      </w:tr>
      <w:tr w:rsidR="00454A29" w14:paraId="37A1D4D9" w14:textId="77777777">
        <w:tc>
          <w:tcPr>
            <w:tcW w:w="2041" w:type="dxa"/>
            <w:vMerge/>
          </w:tcPr>
          <w:p w14:paraId="7E71E188" w14:textId="77777777" w:rsidR="00454A29" w:rsidRDefault="00454A29"/>
        </w:tc>
        <w:tc>
          <w:tcPr>
            <w:tcW w:w="3005" w:type="dxa"/>
            <w:vMerge/>
          </w:tcPr>
          <w:p w14:paraId="71E62CFE" w14:textId="77777777" w:rsidR="00454A29" w:rsidRDefault="00454A29"/>
        </w:tc>
        <w:tc>
          <w:tcPr>
            <w:tcW w:w="2778" w:type="dxa"/>
            <w:vAlign w:val="center"/>
          </w:tcPr>
          <w:p w14:paraId="2658FF97" w14:textId="77777777" w:rsidR="00454A29" w:rsidRDefault="00454A29">
            <w:pPr>
              <w:pStyle w:val="ConsPlusNormal"/>
            </w:pPr>
            <w:r>
              <w:t>ГРБС - Минкультуры РС(Я)</w:t>
            </w:r>
          </w:p>
        </w:tc>
        <w:tc>
          <w:tcPr>
            <w:tcW w:w="1304" w:type="dxa"/>
            <w:vAlign w:val="center"/>
          </w:tcPr>
          <w:p w14:paraId="3F520C50" w14:textId="77777777" w:rsidR="00454A29" w:rsidRDefault="00454A29">
            <w:pPr>
              <w:pStyle w:val="ConsPlusNormal"/>
              <w:jc w:val="right"/>
            </w:pPr>
            <w:r>
              <w:t>367 305</w:t>
            </w:r>
          </w:p>
        </w:tc>
        <w:tc>
          <w:tcPr>
            <w:tcW w:w="1247" w:type="dxa"/>
            <w:vAlign w:val="center"/>
          </w:tcPr>
          <w:p w14:paraId="49AF2557" w14:textId="77777777" w:rsidR="00454A29" w:rsidRDefault="00454A29">
            <w:pPr>
              <w:pStyle w:val="ConsPlusNormal"/>
              <w:jc w:val="right"/>
            </w:pPr>
            <w:r>
              <w:t>367 305</w:t>
            </w:r>
          </w:p>
        </w:tc>
        <w:tc>
          <w:tcPr>
            <w:tcW w:w="1304" w:type="dxa"/>
            <w:vAlign w:val="center"/>
          </w:tcPr>
          <w:p w14:paraId="5F3850FF" w14:textId="77777777" w:rsidR="00454A29" w:rsidRDefault="00454A29">
            <w:pPr>
              <w:pStyle w:val="ConsPlusNormal"/>
              <w:jc w:val="right"/>
            </w:pPr>
            <w:r>
              <w:t>367 305</w:t>
            </w:r>
          </w:p>
        </w:tc>
        <w:tc>
          <w:tcPr>
            <w:tcW w:w="1304" w:type="dxa"/>
            <w:vAlign w:val="center"/>
          </w:tcPr>
          <w:p w14:paraId="0E88310A" w14:textId="77777777" w:rsidR="00454A29" w:rsidRDefault="00454A29">
            <w:pPr>
              <w:pStyle w:val="ConsPlusNormal"/>
              <w:jc w:val="right"/>
            </w:pPr>
            <w:r>
              <w:t>367 305</w:t>
            </w:r>
          </w:p>
        </w:tc>
        <w:tc>
          <w:tcPr>
            <w:tcW w:w="1304" w:type="dxa"/>
            <w:vAlign w:val="center"/>
          </w:tcPr>
          <w:p w14:paraId="19CDFD6A" w14:textId="77777777" w:rsidR="00454A29" w:rsidRDefault="00454A29">
            <w:pPr>
              <w:pStyle w:val="ConsPlusNormal"/>
              <w:jc w:val="right"/>
            </w:pPr>
            <w:r>
              <w:t>367 305</w:t>
            </w:r>
          </w:p>
        </w:tc>
        <w:tc>
          <w:tcPr>
            <w:tcW w:w="1304" w:type="dxa"/>
            <w:vAlign w:val="center"/>
          </w:tcPr>
          <w:p w14:paraId="0E7F8881" w14:textId="77777777" w:rsidR="00454A29" w:rsidRDefault="00454A29">
            <w:pPr>
              <w:pStyle w:val="ConsPlusNormal"/>
              <w:jc w:val="right"/>
            </w:pPr>
            <w:r>
              <w:t>-</w:t>
            </w:r>
          </w:p>
        </w:tc>
        <w:tc>
          <w:tcPr>
            <w:tcW w:w="1304" w:type="dxa"/>
            <w:vAlign w:val="center"/>
          </w:tcPr>
          <w:p w14:paraId="4DA46ACB" w14:textId="77777777" w:rsidR="00454A29" w:rsidRDefault="00454A29">
            <w:pPr>
              <w:pStyle w:val="ConsPlusNormal"/>
              <w:jc w:val="right"/>
            </w:pPr>
            <w:r>
              <w:t>-</w:t>
            </w:r>
          </w:p>
        </w:tc>
      </w:tr>
      <w:tr w:rsidR="00454A29" w14:paraId="3BF295ED" w14:textId="77777777">
        <w:tc>
          <w:tcPr>
            <w:tcW w:w="2041" w:type="dxa"/>
            <w:vMerge/>
          </w:tcPr>
          <w:p w14:paraId="566F6046" w14:textId="77777777" w:rsidR="00454A29" w:rsidRDefault="00454A29"/>
        </w:tc>
        <w:tc>
          <w:tcPr>
            <w:tcW w:w="3005" w:type="dxa"/>
            <w:vMerge/>
          </w:tcPr>
          <w:p w14:paraId="09CD364C" w14:textId="77777777" w:rsidR="00454A29" w:rsidRDefault="00454A29"/>
        </w:tc>
        <w:tc>
          <w:tcPr>
            <w:tcW w:w="2778" w:type="dxa"/>
            <w:vAlign w:val="center"/>
          </w:tcPr>
          <w:p w14:paraId="20A8C56C" w14:textId="77777777" w:rsidR="00454A29" w:rsidRDefault="00454A29">
            <w:pPr>
              <w:pStyle w:val="ConsPlusNormal"/>
            </w:pPr>
            <w:r>
              <w:t>ГРБС - Мининноваций РС(Я)</w:t>
            </w:r>
          </w:p>
        </w:tc>
        <w:tc>
          <w:tcPr>
            <w:tcW w:w="1304" w:type="dxa"/>
            <w:vAlign w:val="center"/>
          </w:tcPr>
          <w:p w14:paraId="05AA827A" w14:textId="77777777" w:rsidR="00454A29" w:rsidRDefault="00454A29">
            <w:pPr>
              <w:pStyle w:val="ConsPlusNormal"/>
              <w:jc w:val="right"/>
            </w:pPr>
            <w:r>
              <w:t>52 800</w:t>
            </w:r>
          </w:p>
        </w:tc>
        <w:tc>
          <w:tcPr>
            <w:tcW w:w="1247" w:type="dxa"/>
            <w:vAlign w:val="center"/>
          </w:tcPr>
          <w:p w14:paraId="795C254F" w14:textId="77777777" w:rsidR="00454A29" w:rsidRDefault="00454A29">
            <w:pPr>
              <w:pStyle w:val="ConsPlusNormal"/>
              <w:jc w:val="right"/>
            </w:pPr>
            <w:r>
              <w:t>52 800</w:t>
            </w:r>
          </w:p>
        </w:tc>
        <w:tc>
          <w:tcPr>
            <w:tcW w:w="1304" w:type="dxa"/>
            <w:vAlign w:val="center"/>
          </w:tcPr>
          <w:p w14:paraId="5F10413B" w14:textId="77777777" w:rsidR="00454A29" w:rsidRDefault="00454A29">
            <w:pPr>
              <w:pStyle w:val="ConsPlusNormal"/>
              <w:jc w:val="right"/>
            </w:pPr>
            <w:r>
              <w:t>52 800</w:t>
            </w:r>
          </w:p>
        </w:tc>
        <w:tc>
          <w:tcPr>
            <w:tcW w:w="1304" w:type="dxa"/>
            <w:vAlign w:val="center"/>
          </w:tcPr>
          <w:p w14:paraId="0DA36641" w14:textId="77777777" w:rsidR="00454A29" w:rsidRDefault="00454A29">
            <w:pPr>
              <w:pStyle w:val="ConsPlusNormal"/>
              <w:jc w:val="right"/>
            </w:pPr>
            <w:r>
              <w:t>52 800</w:t>
            </w:r>
          </w:p>
        </w:tc>
        <w:tc>
          <w:tcPr>
            <w:tcW w:w="1304" w:type="dxa"/>
            <w:vAlign w:val="center"/>
          </w:tcPr>
          <w:p w14:paraId="50967BB7" w14:textId="77777777" w:rsidR="00454A29" w:rsidRDefault="00454A29">
            <w:pPr>
              <w:pStyle w:val="ConsPlusNormal"/>
              <w:jc w:val="right"/>
            </w:pPr>
            <w:r>
              <w:t>52 800</w:t>
            </w:r>
          </w:p>
        </w:tc>
        <w:tc>
          <w:tcPr>
            <w:tcW w:w="1304" w:type="dxa"/>
            <w:vAlign w:val="center"/>
          </w:tcPr>
          <w:p w14:paraId="38150CD9" w14:textId="77777777" w:rsidR="00454A29" w:rsidRDefault="00454A29">
            <w:pPr>
              <w:pStyle w:val="ConsPlusNormal"/>
              <w:jc w:val="right"/>
            </w:pPr>
            <w:r>
              <w:t>-</w:t>
            </w:r>
          </w:p>
        </w:tc>
        <w:tc>
          <w:tcPr>
            <w:tcW w:w="1304" w:type="dxa"/>
            <w:vAlign w:val="center"/>
          </w:tcPr>
          <w:p w14:paraId="1A9AB3DB" w14:textId="77777777" w:rsidR="00454A29" w:rsidRDefault="00454A29">
            <w:pPr>
              <w:pStyle w:val="ConsPlusNormal"/>
              <w:jc w:val="right"/>
            </w:pPr>
            <w:r>
              <w:t>-</w:t>
            </w:r>
          </w:p>
        </w:tc>
      </w:tr>
      <w:tr w:rsidR="00454A29" w14:paraId="6F18FF7D" w14:textId="77777777">
        <w:tc>
          <w:tcPr>
            <w:tcW w:w="2041" w:type="dxa"/>
            <w:vMerge/>
          </w:tcPr>
          <w:p w14:paraId="646E75DE" w14:textId="77777777" w:rsidR="00454A29" w:rsidRDefault="00454A29"/>
        </w:tc>
        <w:tc>
          <w:tcPr>
            <w:tcW w:w="3005" w:type="dxa"/>
            <w:vMerge/>
          </w:tcPr>
          <w:p w14:paraId="7CACBE81" w14:textId="77777777" w:rsidR="00454A29" w:rsidRDefault="00454A29"/>
        </w:tc>
        <w:tc>
          <w:tcPr>
            <w:tcW w:w="2778" w:type="dxa"/>
            <w:vAlign w:val="center"/>
          </w:tcPr>
          <w:p w14:paraId="0A155A8B" w14:textId="77777777" w:rsidR="00454A29" w:rsidRDefault="00454A29">
            <w:pPr>
              <w:pStyle w:val="ConsPlusNormal"/>
            </w:pPr>
            <w:r>
              <w:t>ГРБС - Минстрой РС(Я)</w:t>
            </w:r>
          </w:p>
        </w:tc>
        <w:tc>
          <w:tcPr>
            <w:tcW w:w="1304" w:type="dxa"/>
            <w:vAlign w:val="center"/>
          </w:tcPr>
          <w:p w14:paraId="703F4DC0" w14:textId="77777777" w:rsidR="00454A29" w:rsidRDefault="00454A29">
            <w:pPr>
              <w:pStyle w:val="ConsPlusNormal"/>
              <w:jc w:val="right"/>
            </w:pPr>
            <w:r>
              <w:t>2 027 305</w:t>
            </w:r>
          </w:p>
        </w:tc>
        <w:tc>
          <w:tcPr>
            <w:tcW w:w="1247" w:type="dxa"/>
            <w:vAlign w:val="center"/>
          </w:tcPr>
          <w:p w14:paraId="4796B4FD" w14:textId="77777777" w:rsidR="00454A29" w:rsidRDefault="00454A29">
            <w:pPr>
              <w:pStyle w:val="ConsPlusNormal"/>
              <w:jc w:val="right"/>
            </w:pPr>
            <w:r>
              <w:t>941 645</w:t>
            </w:r>
          </w:p>
        </w:tc>
        <w:tc>
          <w:tcPr>
            <w:tcW w:w="1304" w:type="dxa"/>
            <w:vAlign w:val="center"/>
          </w:tcPr>
          <w:p w14:paraId="7BAA19A9" w14:textId="77777777" w:rsidR="00454A29" w:rsidRDefault="00454A29">
            <w:pPr>
              <w:pStyle w:val="ConsPlusNormal"/>
              <w:jc w:val="right"/>
            </w:pPr>
            <w:r>
              <w:t>175 303</w:t>
            </w:r>
          </w:p>
        </w:tc>
        <w:tc>
          <w:tcPr>
            <w:tcW w:w="1304" w:type="dxa"/>
            <w:vAlign w:val="center"/>
          </w:tcPr>
          <w:p w14:paraId="47A75ABC" w14:textId="77777777" w:rsidR="00454A29" w:rsidRDefault="00454A29">
            <w:pPr>
              <w:pStyle w:val="ConsPlusNormal"/>
              <w:jc w:val="right"/>
            </w:pPr>
            <w:r>
              <w:t>1 941 633</w:t>
            </w:r>
          </w:p>
        </w:tc>
        <w:tc>
          <w:tcPr>
            <w:tcW w:w="1304" w:type="dxa"/>
            <w:vAlign w:val="center"/>
          </w:tcPr>
          <w:p w14:paraId="7A50BF53" w14:textId="77777777" w:rsidR="00454A29" w:rsidRDefault="00454A29">
            <w:pPr>
              <w:pStyle w:val="ConsPlusNormal"/>
              <w:jc w:val="right"/>
            </w:pPr>
            <w:r>
              <w:t>3 772 144</w:t>
            </w:r>
          </w:p>
        </w:tc>
        <w:tc>
          <w:tcPr>
            <w:tcW w:w="1304" w:type="dxa"/>
            <w:vAlign w:val="center"/>
          </w:tcPr>
          <w:p w14:paraId="06C8DBFA" w14:textId="77777777" w:rsidR="00454A29" w:rsidRDefault="00454A29">
            <w:pPr>
              <w:pStyle w:val="ConsPlusNormal"/>
              <w:jc w:val="right"/>
            </w:pPr>
            <w:r>
              <w:t>5 282 572</w:t>
            </w:r>
          </w:p>
        </w:tc>
        <w:tc>
          <w:tcPr>
            <w:tcW w:w="1304" w:type="dxa"/>
            <w:vAlign w:val="center"/>
          </w:tcPr>
          <w:p w14:paraId="62ABAD02" w14:textId="77777777" w:rsidR="00454A29" w:rsidRDefault="00454A29">
            <w:pPr>
              <w:pStyle w:val="ConsPlusNormal"/>
              <w:jc w:val="right"/>
            </w:pPr>
            <w:r>
              <w:t>1 293 842</w:t>
            </w:r>
          </w:p>
        </w:tc>
      </w:tr>
      <w:tr w:rsidR="00454A29" w14:paraId="13FB71A0" w14:textId="77777777">
        <w:tc>
          <w:tcPr>
            <w:tcW w:w="2041" w:type="dxa"/>
            <w:vMerge/>
          </w:tcPr>
          <w:p w14:paraId="2D0E4F7A" w14:textId="77777777" w:rsidR="00454A29" w:rsidRDefault="00454A29"/>
        </w:tc>
        <w:tc>
          <w:tcPr>
            <w:tcW w:w="3005" w:type="dxa"/>
            <w:vMerge/>
          </w:tcPr>
          <w:p w14:paraId="190BD8E9" w14:textId="77777777" w:rsidR="00454A29" w:rsidRDefault="00454A29"/>
        </w:tc>
        <w:tc>
          <w:tcPr>
            <w:tcW w:w="2778" w:type="dxa"/>
            <w:vAlign w:val="center"/>
          </w:tcPr>
          <w:p w14:paraId="768D1119" w14:textId="77777777" w:rsidR="00454A29" w:rsidRDefault="00454A29">
            <w:pPr>
              <w:pStyle w:val="ConsPlusNormal"/>
            </w:pPr>
            <w:r>
              <w:t>ГРБС - Минэкономики РС(Я)</w:t>
            </w:r>
          </w:p>
        </w:tc>
        <w:tc>
          <w:tcPr>
            <w:tcW w:w="1304" w:type="dxa"/>
            <w:vAlign w:val="center"/>
          </w:tcPr>
          <w:p w14:paraId="1CD5DD9A" w14:textId="77777777" w:rsidR="00454A29" w:rsidRDefault="00454A29">
            <w:pPr>
              <w:pStyle w:val="ConsPlusNormal"/>
              <w:jc w:val="right"/>
            </w:pPr>
            <w:r>
              <w:t>2 079 723</w:t>
            </w:r>
          </w:p>
        </w:tc>
        <w:tc>
          <w:tcPr>
            <w:tcW w:w="1247" w:type="dxa"/>
            <w:vAlign w:val="center"/>
          </w:tcPr>
          <w:p w14:paraId="53A3179D" w14:textId="77777777" w:rsidR="00454A29" w:rsidRDefault="00454A29">
            <w:pPr>
              <w:pStyle w:val="ConsPlusNormal"/>
              <w:jc w:val="right"/>
            </w:pPr>
            <w:r>
              <w:t>2 102 606</w:t>
            </w:r>
          </w:p>
        </w:tc>
        <w:tc>
          <w:tcPr>
            <w:tcW w:w="1304" w:type="dxa"/>
            <w:vAlign w:val="center"/>
          </w:tcPr>
          <w:p w14:paraId="32CDC47E" w14:textId="77777777" w:rsidR="00454A29" w:rsidRDefault="00454A29">
            <w:pPr>
              <w:pStyle w:val="ConsPlusNormal"/>
              <w:jc w:val="right"/>
            </w:pPr>
            <w:r>
              <w:t>2 064 554</w:t>
            </w:r>
          </w:p>
        </w:tc>
        <w:tc>
          <w:tcPr>
            <w:tcW w:w="1304" w:type="dxa"/>
            <w:vAlign w:val="center"/>
          </w:tcPr>
          <w:p w14:paraId="1AF7E32D" w14:textId="77777777" w:rsidR="00454A29" w:rsidRDefault="00454A29">
            <w:pPr>
              <w:pStyle w:val="ConsPlusNormal"/>
              <w:jc w:val="right"/>
            </w:pPr>
            <w:r>
              <w:t>1 738 592</w:t>
            </w:r>
          </w:p>
        </w:tc>
        <w:tc>
          <w:tcPr>
            <w:tcW w:w="1304" w:type="dxa"/>
            <w:vAlign w:val="center"/>
          </w:tcPr>
          <w:p w14:paraId="32D3012D" w14:textId="77777777" w:rsidR="00454A29" w:rsidRDefault="00454A29">
            <w:pPr>
              <w:pStyle w:val="ConsPlusNormal"/>
              <w:jc w:val="right"/>
            </w:pPr>
            <w:r>
              <w:t>1 721 821</w:t>
            </w:r>
          </w:p>
        </w:tc>
        <w:tc>
          <w:tcPr>
            <w:tcW w:w="1304" w:type="dxa"/>
            <w:vAlign w:val="center"/>
          </w:tcPr>
          <w:p w14:paraId="63E0EE4B" w14:textId="77777777" w:rsidR="00454A29" w:rsidRDefault="00454A29">
            <w:pPr>
              <w:pStyle w:val="ConsPlusNormal"/>
              <w:jc w:val="right"/>
            </w:pPr>
            <w:r>
              <w:t>1 702 323</w:t>
            </w:r>
          </w:p>
        </w:tc>
        <w:tc>
          <w:tcPr>
            <w:tcW w:w="1304" w:type="dxa"/>
            <w:vAlign w:val="center"/>
          </w:tcPr>
          <w:p w14:paraId="47229002" w14:textId="77777777" w:rsidR="00454A29" w:rsidRDefault="00454A29">
            <w:pPr>
              <w:pStyle w:val="ConsPlusNormal"/>
              <w:jc w:val="right"/>
            </w:pPr>
            <w:r>
              <w:t>884 464</w:t>
            </w:r>
          </w:p>
        </w:tc>
      </w:tr>
      <w:tr w:rsidR="00454A29" w14:paraId="1AE9325F" w14:textId="77777777">
        <w:tc>
          <w:tcPr>
            <w:tcW w:w="2041" w:type="dxa"/>
            <w:vMerge/>
          </w:tcPr>
          <w:p w14:paraId="3042B2E2" w14:textId="77777777" w:rsidR="00454A29" w:rsidRDefault="00454A29"/>
        </w:tc>
        <w:tc>
          <w:tcPr>
            <w:tcW w:w="3005" w:type="dxa"/>
            <w:vMerge/>
          </w:tcPr>
          <w:p w14:paraId="09D564F1" w14:textId="77777777" w:rsidR="00454A29" w:rsidRDefault="00454A29"/>
        </w:tc>
        <w:tc>
          <w:tcPr>
            <w:tcW w:w="2778" w:type="dxa"/>
            <w:vAlign w:val="center"/>
          </w:tcPr>
          <w:p w14:paraId="5A8E270C" w14:textId="77777777" w:rsidR="00454A29" w:rsidRDefault="00454A29">
            <w:pPr>
              <w:pStyle w:val="ConsPlusNormal"/>
            </w:pPr>
            <w:r>
              <w:t>ГРБС - муниципальные образования РС(Я)</w:t>
            </w:r>
          </w:p>
        </w:tc>
        <w:tc>
          <w:tcPr>
            <w:tcW w:w="1304" w:type="dxa"/>
            <w:vAlign w:val="center"/>
          </w:tcPr>
          <w:p w14:paraId="1A7CEBBA" w14:textId="77777777" w:rsidR="00454A29" w:rsidRDefault="00454A29">
            <w:pPr>
              <w:pStyle w:val="ConsPlusNormal"/>
            </w:pPr>
          </w:p>
        </w:tc>
        <w:tc>
          <w:tcPr>
            <w:tcW w:w="1247" w:type="dxa"/>
            <w:vAlign w:val="center"/>
          </w:tcPr>
          <w:p w14:paraId="456BF56B" w14:textId="77777777" w:rsidR="00454A29" w:rsidRDefault="00454A29">
            <w:pPr>
              <w:pStyle w:val="ConsPlusNormal"/>
            </w:pPr>
          </w:p>
        </w:tc>
        <w:tc>
          <w:tcPr>
            <w:tcW w:w="1304" w:type="dxa"/>
            <w:vAlign w:val="center"/>
          </w:tcPr>
          <w:p w14:paraId="59B2E236" w14:textId="77777777" w:rsidR="00454A29" w:rsidRDefault="00454A29">
            <w:pPr>
              <w:pStyle w:val="ConsPlusNormal"/>
            </w:pPr>
          </w:p>
        </w:tc>
        <w:tc>
          <w:tcPr>
            <w:tcW w:w="1304" w:type="dxa"/>
            <w:vAlign w:val="center"/>
          </w:tcPr>
          <w:p w14:paraId="3E9D1160" w14:textId="77777777" w:rsidR="00454A29" w:rsidRDefault="00454A29">
            <w:pPr>
              <w:pStyle w:val="ConsPlusNormal"/>
            </w:pPr>
          </w:p>
        </w:tc>
        <w:tc>
          <w:tcPr>
            <w:tcW w:w="1304" w:type="dxa"/>
            <w:vAlign w:val="center"/>
          </w:tcPr>
          <w:p w14:paraId="2AB06EF6" w14:textId="77777777" w:rsidR="00454A29" w:rsidRDefault="00454A29">
            <w:pPr>
              <w:pStyle w:val="ConsPlusNormal"/>
            </w:pPr>
          </w:p>
        </w:tc>
        <w:tc>
          <w:tcPr>
            <w:tcW w:w="1304" w:type="dxa"/>
            <w:vAlign w:val="center"/>
          </w:tcPr>
          <w:p w14:paraId="4D9D9A19" w14:textId="77777777" w:rsidR="00454A29" w:rsidRDefault="00454A29">
            <w:pPr>
              <w:pStyle w:val="ConsPlusNormal"/>
            </w:pPr>
          </w:p>
        </w:tc>
        <w:tc>
          <w:tcPr>
            <w:tcW w:w="1304" w:type="dxa"/>
            <w:vAlign w:val="center"/>
          </w:tcPr>
          <w:p w14:paraId="322D9CE8" w14:textId="77777777" w:rsidR="00454A29" w:rsidRDefault="00454A29">
            <w:pPr>
              <w:pStyle w:val="ConsPlusNormal"/>
            </w:pPr>
          </w:p>
        </w:tc>
      </w:tr>
      <w:tr w:rsidR="00454A29" w14:paraId="4CADF7E8" w14:textId="77777777">
        <w:tc>
          <w:tcPr>
            <w:tcW w:w="2041" w:type="dxa"/>
            <w:vMerge/>
          </w:tcPr>
          <w:p w14:paraId="7F3E21ED" w14:textId="77777777" w:rsidR="00454A29" w:rsidRDefault="00454A29"/>
        </w:tc>
        <w:tc>
          <w:tcPr>
            <w:tcW w:w="3005" w:type="dxa"/>
            <w:vMerge/>
          </w:tcPr>
          <w:p w14:paraId="0DA882E0" w14:textId="77777777" w:rsidR="00454A29" w:rsidRDefault="00454A29"/>
        </w:tc>
        <w:tc>
          <w:tcPr>
            <w:tcW w:w="2778" w:type="dxa"/>
            <w:vAlign w:val="center"/>
          </w:tcPr>
          <w:p w14:paraId="14B195EE" w14:textId="77777777" w:rsidR="00454A29" w:rsidRDefault="00454A29">
            <w:pPr>
              <w:pStyle w:val="ConsPlusNormal"/>
            </w:pPr>
            <w:r>
              <w:t>Федеральный бюджет</w:t>
            </w:r>
          </w:p>
        </w:tc>
        <w:tc>
          <w:tcPr>
            <w:tcW w:w="1304" w:type="dxa"/>
            <w:vAlign w:val="center"/>
          </w:tcPr>
          <w:p w14:paraId="7BD19B08" w14:textId="77777777" w:rsidR="00454A29" w:rsidRDefault="00454A29">
            <w:pPr>
              <w:pStyle w:val="ConsPlusNormal"/>
              <w:jc w:val="right"/>
            </w:pPr>
            <w:r>
              <w:t>1 317 422</w:t>
            </w:r>
          </w:p>
        </w:tc>
        <w:tc>
          <w:tcPr>
            <w:tcW w:w="1247" w:type="dxa"/>
            <w:vAlign w:val="center"/>
          </w:tcPr>
          <w:p w14:paraId="33357E5D" w14:textId="77777777" w:rsidR="00454A29" w:rsidRDefault="00454A29">
            <w:pPr>
              <w:pStyle w:val="ConsPlusNormal"/>
              <w:jc w:val="right"/>
            </w:pPr>
            <w:r>
              <w:t>2 016 123</w:t>
            </w:r>
          </w:p>
        </w:tc>
        <w:tc>
          <w:tcPr>
            <w:tcW w:w="1304" w:type="dxa"/>
            <w:vAlign w:val="center"/>
          </w:tcPr>
          <w:p w14:paraId="263D8463" w14:textId="77777777" w:rsidR="00454A29" w:rsidRDefault="00454A29">
            <w:pPr>
              <w:pStyle w:val="ConsPlusNormal"/>
              <w:jc w:val="right"/>
            </w:pPr>
            <w:r>
              <w:t>23 487</w:t>
            </w:r>
          </w:p>
        </w:tc>
        <w:tc>
          <w:tcPr>
            <w:tcW w:w="1304" w:type="dxa"/>
            <w:vAlign w:val="center"/>
          </w:tcPr>
          <w:p w14:paraId="210C9233" w14:textId="77777777" w:rsidR="00454A29" w:rsidRDefault="00454A29">
            <w:pPr>
              <w:pStyle w:val="ConsPlusNormal"/>
              <w:jc w:val="right"/>
            </w:pPr>
            <w:r>
              <w:t>3 994 508</w:t>
            </w:r>
          </w:p>
        </w:tc>
        <w:tc>
          <w:tcPr>
            <w:tcW w:w="1304" w:type="dxa"/>
            <w:vAlign w:val="center"/>
          </w:tcPr>
          <w:p w14:paraId="7A5165E5" w14:textId="77777777" w:rsidR="00454A29" w:rsidRDefault="00454A29">
            <w:pPr>
              <w:pStyle w:val="ConsPlusNormal"/>
              <w:jc w:val="right"/>
            </w:pPr>
            <w:r>
              <w:t>2 432 759</w:t>
            </w:r>
          </w:p>
        </w:tc>
        <w:tc>
          <w:tcPr>
            <w:tcW w:w="1304" w:type="dxa"/>
            <w:vAlign w:val="center"/>
          </w:tcPr>
          <w:p w14:paraId="1FBF0B50" w14:textId="77777777" w:rsidR="00454A29" w:rsidRDefault="00454A29">
            <w:pPr>
              <w:pStyle w:val="ConsPlusNormal"/>
              <w:jc w:val="right"/>
            </w:pPr>
            <w:r>
              <w:t>42 632 643</w:t>
            </w:r>
          </w:p>
        </w:tc>
        <w:tc>
          <w:tcPr>
            <w:tcW w:w="1304" w:type="dxa"/>
            <w:vAlign w:val="center"/>
          </w:tcPr>
          <w:p w14:paraId="7F21BF1F" w14:textId="77777777" w:rsidR="00454A29" w:rsidRDefault="00454A29">
            <w:pPr>
              <w:pStyle w:val="ConsPlusNormal"/>
              <w:jc w:val="right"/>
            </w:pPr>
            <w:r>
              <w:t>48 984 588</w:t>
            </w:r>
          </w:p>
        </w:tc>
      </w:tr>
      <w:tr w:rsidR="00454A29" w14:paraId="59A95D5E" w14:textId="77777777">
        <w:tc>
          <w:tcPr>
            <w:tcW w:w="2041" w:type="dxa"/>
            <w:vMerge/>
          </w:tcPr>
          <w:p w14:paraId="490C4BA2" w14:textId="77777777" w:rsidR="00454A29" w:rsidRDefault="00454A29"/>
        </w:tc>
        <w:tc>
          <w:tcPr>
            <w:tcW w:w="3005" w:type="dxa"/>
            <w:vMerge/>
          </w:tcPr>
          <w:p w14:paraId="77BE6336" w14:textId="77777777" w:rsidR="00454A29" w:rsidRDefault="00454A29"/>
        </w:tc>
        <w:tc>
          <w:tcPr>
            <w:tcW w:w="2778" w:type="dxa"/>
            <w:vAlign w:val="center"/>
          </w:tcPr>
          <w:p w14:paraId="5DF0F4E5" w14:textId="77777777" w:rsidR="00454A29" w:rsidRDefault="00454A29">
            <w:pPr>
              <w:pStyle w:val="ConsPlusNormal"/>
            </w:pPr>
            <w:r>
              <w:t>ГРБС - Минобрнауки РС(Я)</w:t>
            </w:r>
          </w:p>
        </w:tc>
        <w:tc>
          <w:tcPr>
            <w:tcW w:w="1304" w:type="dxa"/>
            <w:vAlign w:val="center"/>
          </w:tcPr>
          <w:p w14:paraId="7FEFCCC7" w14:textId="77777777" w:rsidR="00454A29" w:rsidRDefault="00454A29">
            <w:pPr>
              <w:pStyle w:val="ConsPlusNormal"/>
              <w:jc w:val="right"/>
            </w:pPr>
            <w:r>
              <w:t>23 081</w:t>
            </w:r>
          </w:p>
        </w:tc>
        <w:tc>
          <w:tcPr>
            <w:tcW w:w="1247" w:type="dxa"/>
            <w:vAlign w:val="center"/>
          </w:tcPr>
          <w:p w14:paraId="2D8FFB76" w14:textId="77777777" w:rsidR="00454A29" w:rsidRDefault="00454A29">
            <w:pPr>
              <w:pStyle w:val="ConsPlusNormal"/>
              <w:jc w:val="right"/>
            </w:pPr>
            <w:r>
              <w:t>23 487</w:t>
            </w:r>
          </w:p>
        </w:tc>
        <w:tc>
          <w:tcPr>
            <w:tcW w:w="1304" w:type="dxa"/>
            <w:vAlign w:val="center"/>
          </w:tcPr>
          <w:p w14:paraId="07AE9970" w14:textId="77777777" w:rsidR="00454A29" w:rsidRDefault="00454A29">
            <w:pPr>
              <w:pStyle w:val="ConsPlusNormal"/>
              <w:jc w:val="right"/>
            </w:pPr>
            <w:r>
              <w:t>23 487</w:t>
            </w:r>
          </w:p>
        </w:tc>
        <w:tc>
          <w:tcPr>
            <w:tcW w:w="1304" w:type="dxa"/>
            <w:vAlign w:val="center"/>
          </w:tcPr>
          <w:p w14:paraId="504120AC" w14:textId="77777777" w:rsidR="00454A29" w:rsidRDefault="00454A29">
            <w:pPr>
              <w:pStyle w:val="ConsPlusNormal"/>
              <w:jc w:val="right"/>
            </w:pPr>
            <w:r>
              <w:t>23 487</w:t>
            </w:r>
          </w:p>
        </w:tc>
        <w:tc>
          <w:tcPr>
            <w:tcW w:w="1304" w:type="dxa"/>
            <w:vAlign w:val="center"/>
          </w:tcPr>
          <w:p w14:paraId="6D8F4F28" w14:textId="77777777" w:rsidR="00454A29" w:rsidRDefault="00454A29">
            <w:pPr>
              <w:pStyle w:val="ConsPlusNormal"/>
              <w:jc w:val="right"/>
            </w:pPr>
            <w:r>
              <w:t>23 487</w:t>
            </w:r>
          </w:p>
        </w:tc>
        <w:tc>
          <w:tcPr>
            <w:tcW w:w="1304" w:type="dxa"/>
            <w:vAlign w:val="center"/>
          </w:tcPr>
          <w:p w14:paraId="2DDCA838" w14:textId="77777777" w:rsidR="00454A29" w:rsidRDefault="00454A29">
            <w:pPr>
              <w:pStyle w:val="ConsPlusNormal"/>
              <w:jc w:val="right"/>
            </w:pPr>
            <w:r>
              <w:t>-</w:t>
            </w:r>
          </w:p>
        </w:tc>
        <w:tc>
          <w:tcPr>
            <w:tcW w:w="1304" w:type="dxa"/>
            <w:vAlign w:val="center"/>
          </w:tcPr>
          <w:p w14:paraId="052E3B66" w14:textId="77777777" w:rsidR="00454A29" w:rsidRDefault="00454A29">
            <w:pPr>
              <w:pStyle w:val="ConsPlusNormal"/>
              <w:jc w:val="right"/>
            </w:pPr>
            <w:r>
              <w:t>-</w:t>
            </w:r>
          </w:p>
        </w:tc>
      </w:tr>
      <w:tr w:rsidR="00454A29" w14:paraId="5981FD3F" w14:textId="77777777">
        <w:tc>
          <w:tcPr>
            <w:tcW w:w="2041" w:type="dxa"/>
            <w:vMerge/>
          </w:tcPr>
          <w:p w14:paraId="516FCA85" w14:textId="77777777" w:rsidR="00454A29" w:rsidRDefault="00454A29"/>
        </w:tc>
        <w:tc>
          <w:tcPr>
            <w:tcW w:w="3005" w:type="dxa"/>
            <w:vMerge/>
          </w:tcPr>
          <w:p w14:paraId="48B93552" w14:textId="77777777" w:rsidR="00454A29" w:rsidRDefault="00454A29"/>
        </w:tc>
        <w:tc>
          <w:tcPr>
            <w:tcW w:w="2778" w:type="dxa"/>
            <w:vAlign w:val="center"/>
          </w:tcPr>
          <w:p w14:paraId="043F5EF0" w14:textId="77777777" w:rsidR="00454A29" w:rsidRDefault="00454A29">
            <w:pPr>
              <w:pStyle w:val="ConsPlusNormal"/>
            </w:pPr>
            <w:r>
              <w:t>ГРБС - Минстрой РС(Я)</w:t>
            </w:r>
          </w:p>
        </w:tc>
        <w:tc>
          <w:tcPr>
            <w:tcW w:w="1304" w:type="dxa"/>
            <w:vAlign w:val="center"/>
          </w:tcPr>
          <w:p w14:paraId="0E29CFFE" w14:textId="77777777" w:rsidR="00454A29" w:rsidRDefault="00454A29">
            <w:pPr>
              <w:pStyle w:val="ConsPlusNormal"/>
              <w:jc w:val="right"/>
            </w:pPr>
            <w:r>
              <w:t>1 134 341</w:t>
            </w:r>
          </w:p>
        </w:tc>
        <w:tc>
          <w:tcPr>
            <w:tcW w:w="1247" w:type="dxa"/>
            <w:vAlign w:val="center"/>
          </w:tcPr>
          <w:p w14:paraId="751CFC97" w14:textId="77777777" w:rsidR="00454A29" w:rsidRDefault="00454A29">
            <w:pPr>
              <w:pStyle w:val="ConsPlusNormal"/>
              <w:jc w:val="right"/>
            </w:pPr>
            <w:r>
              <w:t>1 832 636</w:t>
            </w:r>
          </w:p>
        </w:tc>
        <w:tc>
          <w:tcPr>
            <w:tcW w:w="1304" w:type="dxa"/>
            <w:vAlign w:val="center"/>
          </w:tcPr>
          <w:p w14:paraId="74132B55" w14:textId="77777777" w:rsidR="00454A29" w:rsidRDefault="00454A29">
            <w:pPr>
              <w:pStyle w:val="ConsPlusNormal"/>
              <w:jc w:val="right"/>
            </w:pPr>
            <w:r>
              <w:t>-</w:t>
            </w:r>
          </w:p>
        </w:tc>
        <w:tc>
          <w:tcPr>
            <w:tcW w:w="1304" w:type="dxa"/>
            <w:vAlign w:val="center"/>
          </w:tcPr>
          <w:p w14:paraId="1E724D19" w14:textId="77777777" w:rsidR="00454A29" w:rsidRDefault="00454A29">
            <w:pPr>
              <w:pStyle w:val="ConsPlusNormal"/>
              <w:jc w:val="right"/>
            </w:pPr>
            <w:r>
              <w:t>3 971 021</w:t>
            </w:r>
          </w:p>
        </w:tc>
        <w:tc>
          <w:tcPr>
            <w:tcW w:w="1304" w:type="dxa"/>
            <w:vAlign w:val="center"/>
          </w:tcPr>
          <w:p w14:paraId="22047D3E" w14:textId="77777777" w:rsidR="00454A29" w:rsidRDefault="00454A29">
            <w:pPr>
              <w:pStyle w:val="ConsPlusNormal"/>
              <w:jc w:val="right"/>
            </w:pPr>
            <w:r>
              <w:t>2 409 272</w:t>
            </w:r>
          </w:p>
        </w:tc>
        <w:tc>
          <w:tcPr>
            <w:tcW w:w="1304" w:type="dxa"/>
            <w:vAlign w:val="center"/>
          </w:tcPr>
          <w:p w14:paraId="2145801A" w14:textId="77777777" w:rsidR="00454A29" w:rsidRDefault="00454A29">
            <w:pPr>
              <w:pStyle w:val="ConsPlusNormal"/>
              <w:jc w:val="right"/>
            </w:pPr>
            <w:r>
              <w:t>42 632 643</w:t>
            </w:r>
          </w:p>
        </w:tc>
        <w:tc>
          <w:tcPr>
            <w:tcW w:w="1304" w:type="dxa"/>
            <w:vAlign w:val="center"/>
          </w:tcPr>
          <w:p w14:paraId="0250315A" w14:textId="77777777" w:rsidR="00454A29" w:rsidRDefault="00454A29">
            <w:pPr>
              <w:pStyle w:val="ConsPlusNormal"/>
              <w:jc w:val="right"/>
            </w:pPr>
            <w:r>
              <w:t>48 984 588</w:t>
            </w:r>
          </w:p>
        </w:tc>
      </w:tr>
      <w:tr w:rsidR="00454A29" w14:paraId="7BA49BC6" w14:textId="77777777">
        <w:tc>
          <w:tcPr>
            <w:tcW w:w="2041" w:type="dxa"/>
            <w:vMerge/>
          </w:tcPr>
          <w:p w14:paraId="6ADD3287" w14:textId="77777777" w:rsidR="00454A29" w:rsidRDefault="00454A29"/>
        </w:tc>
        <w:tc>
          <w:tcPr>
            <w:tcW w:w="3005" w:type="dxa"/>
            <w:vMerge/>
          </w:tcPr>
          <w:p w14:paraId="42E85151" w14:textId="77777777" w:rsidR="00454A29" w:rsidRDefault="00454A29"/>
        </w:tc>
        <w:tc>
          <w:tcPr>
            <w:tcW w:w="2778" w:type="dxa"/>
            <w:vAlign w:val="center"/>
          </w:tcPr>
          <w:p w14:paraId="65845608" w14:textId="77777777" w:rsidR="00454A29" w:rsidRDefault="00454A29">
            <w:pPr>
              <w:pStyle w:val="ConsPlusNormal"/>
            </w:pPr>
            <w:r>
              <w:t>ГРБС - Минэкономики РС(Я)</w:t>
            </w:r>
          </w:p>
        </w:tc>
        <w:tc>
          <w:tcPr>
            <w:tcW w:w="1304" w:type="dxa"/>
            <w:vAlign w:val="center"/>
          </w:tcPr>
          <w:p w14:paraId="20E5674C" w14:textId="77777777" w:rsidR="00454A29" w:rsidRDefault="00454A29">
            <w:pPr>
              <w:pStyle w:val="ConsPlusNormal"/>
              <w:jc w:val="right"/>
            </w:pPr>
            <w:r>
              <w:t>160 000</w:t>
            </w:r>
          </w:p>
        </w:tc>
        <w:tc>
          <w:tcPr>
            <w:tcW w:w="1247" w:type="dxa"/>
            <w:vAlign w:val="center"/>
          </w:tcPr>
          <w:p w14:paraId="1BB881CA" w14:textId="77777777" w:rsidR="00454A29" w:rsidRDefault="00454A29">
            <w:pPr>
              <w:pStyle w:val="ConsPlusNormal"/>
              <w:jc w:val="right"/>
            </w:pPr>
            <w:r>
              <w:t>160 000</w:t>
            </w:r>
          </w:p>
        </w:tc>
        <w:tc>
          <w:tcPr>
            <w:tcW w:w="1304" w:type="dxa"/>
            <w:vAlign w:val="center"/>
          </w:tcPr>
          <w:p w14:paraId="1057D82F" w14:textId="77777777" w:rsidR="00454A29" w:rsidRDefault="00454A29">
            <w:pPr>
              <w:pStyle w:val="ConsPlusNormal"/>
              <w:jc w:val="right"/>
            </w:pPr>
            <w:r>
              <w:t>-</w:t>
            </w:r>
          </w:p>
        </w:tc>
        <w:tc>
          <w:tcPr>
            <w:tcW w:w="1304" w:type="dxa"/>
            <w:vAlign w:val="center"/>
          </w:tcPr>
          <w:p w14:paraId="150D4696" w14:textId="77777777" w:rsidR="00454A29" w:rsidRDefault="00454A29">
            <w:pPr>
              <w:pStyle w:val="ConsPlusNormal"/>
              <w:jc w:val="right"/>
            </w:pPr>
            <w:r>
              <w:t>-</w:t>
            </w:r>
          </w:p>
        </w:tc>
        <w:tc>
          <w:tcPr>
            <w:tcW w:w="1304" w:type="dxa"/>
            <w:vAlign w:val="center"/>
          </w:tcPr>
          <w:p w14:paraId="3959B538" w14:textId="77777777" w:rsidR="00454A29" w:rsidRDefault="00454A29">
            <w:pPr>
              <w:pStyle w:val="ConsPlusNormal"/>
              <w:jc w:val="right"/>
            </w:pPr>
            <w:r>
              <w:t>-</w:t>
            </w:r>
          </w:p>
        </w:tc>
        <w:tc>
          <w:tcPr>
            <w:tcW w:w="1304" w:type="dxa"/>
            <w:vAlign w:val="center"/>
          </w:tcPr>
          <w:p w14:paraId="4189FF2F" w14:textId="77777777" w:rsidR="00454A29" w:rsidRDefault="00454A29">
            <w:pPr>
              <w:pStyle w:val="ConsPlusNormal"/>
              <w:jc w:val="right"/>
            </w:pPr>
            <w:r>
              <w:t>-</w:t>
            </w:r>
          </w:p>
        </w:tc>
        <w:tc>
          <w:tcPr>
            <w:tcW w:w="1304" w:type="dxa"/>
            <w:vAlign w:val="center"/>
          </w:tcPr>
          <w:p w14:paraId="660F7FBE" w14:textId="77777777" w:rsidR="00454A29" w:rsidRDefault="00454A29">
            <w:pPr>
              <w:pStyle w:val="ConsPlusNormal"/>
              <w:jc w:val="right"/>
            </w:pPr>
            <w:r>
              <w:t>-</w:t>
            </w:r>
          </w:p>
        </w:tc>
      </w:tr>
      <w:tr w:rsidR="00454A29" w14:paraId="49F546CA" w14:textId="77777777">
        <w:tc>
          <w:tcPr>
            <w:tcW w:w="2041" w:type="dxa"/>
            <w:vMerge/>
          </w:tcPr>
          <w:p w14:paraId="74F8EF84" w14:textId="77777777" w:rsidR="00454A29" w:rsidRDefault="00454A29"/>
        </w:tc>
        <w:tc>
          <w:tcPr>
            <w:tcW w:w="3005" w:type="dxa"/>
            <w:vMerge/>
          </w:tcPr>
          <w:p w14:paraId="0D098D13" w14:textId="77777777" w:rsidR="00454A29" w:rsidRDefault="00454A29"/>
        </w:tc>
        <w:tc>
          <w:tcPr>
            <w:tcW w:w="2778" w:type="dxa"/>
            <w:vAlign w:val="center"/>
          </w:tcPr>
          <w:p w14:paraId="4275B797" w14:textId="77777777" w:rsidR="00454A29" w:rsidRDefault="00454A29">
            <w:pPr>
              <w:pStyle w:val="ConsPlusNormal"/>
            </w:pPr>
            <w:r>
              <w:t>ГРБС - муниципальные образования РС(Я)</w:t>
            </w:r>
          </w:p>
        </w:tc>
        <w:tc>
          <w:tcPr>
            <w:tcW w:w="1304" w:type="dxa"/>
            <w:vAlign w:val="center"/>
          </w:tcPr>
          <w:p w14:paraId="391103B5" w14:textId="77777777" w:rsidR="00454A29" w:rsidRDefault="00454A29">
            <w:pPr>
              <w:pStyle w:val="ConsPlusNormal"/>
              <w:jc w:val="right"/>
            </w:pPr>
            <w:r>
              <w:t>-</w:t>
            </w:r>
          </w:p>
        </w:tc>
        <w:tc>
          <w:tcPr>
            <w:tcW w:w="1247" w:type="dxa"/>
            <w:vAlign w:val="center"/>
          </w:tcPr>
          <w:p w14:paraId="5CC80727" w14:textId="77777777" w:rsidR="00454A29" w:rsidRDefault="00454A29">
            <w:pPr>
              <w:pStyle w:val="ConsPlusNormal"/>
              <w:jc w:val="right"/>
            </w:pPr>
            <w:r>
              <w:t>-</w:t>
            </w:r>
          </w:p>
        </w:tc>
        <w:tc>
          <w:tcPr>
            <w:tcW w:w="1304" w:type="dxa"/>
            <w:vAlign w:val="center"/>
          </w:tcPr>
          <w:p w14:paraId="00C73931" w14:textId="77777777" w:rsidR="00454A29" w:rsidRDefault="00454A29">
            <w:pPr>
              <w:pStyle w:val="ConsPlusNormal"/>
              <w:jc w:val="right"/>
            </w:pPr>
            <w:r>
              <w:t>-</w:t>
            </w:r>
          </w:p>
        </w:tc>
        <w:tc>
          <w:tcPr>
            <w:tcW w:w="1304" w:type="dxa"/>
            <w:vAlign w:val="center"/>
          </w:tcPr>
          <w:p w14:paraId="75E9ADFE" w14:textId="77777777" w:rsidR="00454A29" w:rsidRDefault="00454A29">
            <w:pPr>
              <w:pStyle w:val="ConsPlusNormal"/>
              <w:jc w:val="right"/>
            </w:pPr>
            <w:r>
              <w:t>-</w:t>
            </w:r>
          </w:p>
        </w:tc>
        <w:tc>
          <w:tcPr>
            <w:tcW w:w="1304" w:type="dxa"/>
            <w:vAlign w:val="center"/>
          </w:tcPr>
          <w:p w14:paraId="20C4D506" w14:textId="77777777" w:rsidR="00454A29" w:rsidRDefault="00454A29">
            <w:pPr>
              <w:pStyle w:val="ConsPlusNormal"/>
              <w:jc w:val="right"/>
            </w:pPr>
            <w:r>
              <w:t>-</w:t>
            </w:r>
          </w:p>
        </w:tc>
        <w:tc>
          <w:tcPr>
            <w:tcW w:w="1304" w:type="dxa"/>
            <w:vAlign w:val="center"/>
          </w:tcPr>
          <w:p w14:paraId="3A2D0DD6" w14:textId="77777777" w:rsidR="00454A29" w:rsidRDefault="00454A29">
            <w:pPr>
              <w:pStyle w:val="ConsPlusNormal"/>
              <w:jc w:val="right"/>
            </w:pPr>
            <w:r>
              <w:t>-</w:t>
            </w:r>
          </w:p>
        </w:tc>
        <w:tc>
          <w:tcPr>
            <w:tcW w:w="1304" w:type="dxa"/>
            <w:vAlign w:val="center"/>
          </w:tcPr>
          <w:p w14:paraId="6D78AF98" w14:textId="77777777" w:rsidR="00454A29" w:rsidRDefault="00454A29">
            <w:pPr>
              <w:pStyle w:val="ConsPlusNormal"/>
              <w:jc w:val="right"/>
            </w:pPr>
            <w:r>
              <w:t>-</w:t>
            </w:r>
          </w:p>
        </w:tc>
      </w:tr>
      <w:tr w:rsidR="00454A29" w14:paraId="1388C8D8" w14:textId="77777777">
        <w:tc>
          <w:tcPr>
            <w:tcW w:w="2041" w:type="dxa"/>
            <w:vMerge/>
          </w:tcPr>
          <w:p w14:paraId="61A994DD" w14:textId="77777777" w:rsidR="00454A29" w:rsidRDefault="00454A29"/>
        </w:tc>
        <w:tc>
          <w:tcPr>
            <w:tcW w:w="3005" w:type="dxa"/>
            <w:vMerge/>
          </w:tcPr>
          <w:p w14:paraId="41C0C830" w14:textId="77777777" w:rsidR="00454A29" w:rsidRDefault="00454A29"/>
        </w:tc>
        <w:tc>
          <w:tcPr>
            <w:tcW w:w="2778" w:type="dxa"/>
            <w:vAlign w:val="center"/>
          </w:tcPr>
          <w:p w14:paraId="1BCCB47A" w14:textId="77777777" w:rsidR="00454A29" w:rsidRDefault="00454A29">
            <w:pPr>
              <w:pStyle w:val="ConsPlusNormal"/>
            </w:pPr>
            <w:r>
              <w:t>Местные бюджеты</w:t>
            </w:r>
          </w:p>
        </w:tc>
        <w:tc>
          <w:tcPr>
            <w:tcW w:w="1304" w:type="dxa"/>
            <w:vAlign w:val="center"/>
          </w:tcPr>
          <w:p w14:paraId="17347A66" w14:textId="77777777" w:rsidR="00454A29" w:rsidRDefault="00454A29">
            <w:pPr>
              <w:pStyle w:val="ConsPlusNormal"/>
              <w:jc w:val="right"/>
            </w:pPr>
            <w:r>
              <w:t>1 010 933</w:t>
            </w:r>
          </w:p>
        </w:tc>
        <w:tc>
          <w:tcPr>
            <w:tcW w:w="1247" w:type="dxa"/>
            <w:vAlign w:val="center"/>
          </w:tcPr>
          <w:p w14:paraId="534858DF" w14:textId="77777777" w:rsidR="00454A29" w:rsidRDefault="00454A29">
            <w:pPr>
              <w:pStyle w:val="ConsPlusNormal"/>
              <w:jc w:val="right"/>
            </w:pPr>
            <w:r>
              <w:t>1 013 932</w:t>
            </w:r>
          </w:p>
        </w:tc>
        <w:tc>
          <w:tcPr>
            <w:tcW w:w="1304" w:type="dxa"/>
            <w:vAlign w:val="center"/>
          </w:tcPr>
          <w:p w14:paraId="1986373C" w14:textId="77777777" w:rsidR="00454A29" w:rsidRDefault="00454A29">
            <w:pPr>
              <w:pStyle w:val="ConsPlusNormal"/>
              <w:jc w:val="right"/>
            </w:pPr>
            <w:r>
              <w:t>620 918</w:t>
            </w:r>
          </w:p>
        </w:tc>
        <w:tc>
          <w:tcPr>
            <w:tcW w:w="1304" w:type="dxa"/>
            <w:vAlign w:val="center"/>
          </w:tcPr>
          <w:p w14:paraId="4D01B291" w14:textId="77777777" w:rsidR="00454A29" w:rsidRDefault="00454A29">
            <w:pPr>
              <w:pStyle w:val="ConsPlusNormal"/>
              <w:jc w:val="right"/>
            </w:pPr>
            <w:r>
              <w:t>845 792</w:t>
            </w:r>
          </w:p>
        </w:tc>
        <w:tc>
          <w:tcPr>
            <w:tcW w:w="1304" w:type="dxa"/>
            <w:vAlign w:val="center"/>
          </w:tcPr>
          <w:p w14:paraId="552C403D" w14:textId="77777777" w:rsidR="00454A29" w:rsidRDefault="00454A29">
            <w:pPr>
              <w:pStyle w:val="ConsPlusNormal"/>
              <w:jc w:val="right"/>
            </w:pPr>
            <w:r>
              <w:t>731 318</w:t>
            </w:r>
          </w:p>
        </w:tc>
        <w:tc>
          <w:tcPr>
            <w:tcW w:w="1304" w:type="dxa"/>
            <w:vAlign w:val="center"/>
          </w:tcPr>
          <w:p w14:paraId="1DA93CA7" w14:textId="77777777" w:rsidR="00454A29" w:rsidRDefault="00454A29">
            <w:pPr>
              <w:pStyle w:val="ConsPlusNormal"/>
              <w:jc w:val="right"/>
            </w:pPr>
            <w:r>
              <w:t>602 984</w:t>
            </w:r>
          </w:p>
        </w:tc>
        <w:tc>
          <w:tcPr>
            <w:tcW w:w="1304" w:type="dxa"/>
            <w:vAlign w:val="center"/>
          </w:tcPr>
          <w:p w14:paraId="00889A01" w14:textId="77777777" w:rsidR="00454A29" w:rsidRDefault="00454A29">
            <w:pPr>
              <w:pStyle w:val="ConsPlusNormal"/>
              <w:jc w:val="right"/>
            </w:pPr>
            <w:r>
              <w:t>522 213</w:t>
            </w:r>
          </w:p>
        </w:tc>
      </w:tr>
      <w:tr w:rsidR="00454A29" w14:paraId="2E414F2F" w14:textId="77777777">
        <w:tc>
          <w:tcPr>
            <w:tcW w:w="2041" w:type="dxa"/>
            <w:vMerge/>
          </w:tcPr>
          <w:p w14:paraId="018DCDF5" w14:textId="77777777" w:rsidR="00454A29" w:rsidRDefault="00454A29"/>
        </w:tc>
        <w:tc>
          <w:tcPr>
            <w:tcW w:w="3005" w:type="dxa"/>
            <w:vMerge/>
          </w:tcPr>
          <w:p w14:paraId="3822D38F" w14:textId="77777777" w:rsidR="00454A29" w:rsidRDefault="00454A29"/>
        </w:tc>
        <w:tc>
          <w:tcPr>
            <w:tcW w:w="2778" w:type="dxa"/>
            <w:vAlign w:val="center"/>
          </w:tcPr>
          <w:p w14:paraId="2B1AE2D7" w14:textId="77777777" w:rsidR="00454A29" w:rsidRDefault="00454A29">
            <w:pPr>
              <w:pStyle w:val="ConsPlusNormal"/>
            </w:pPr>
            <w:r>
              <w:t>Внебюджетные средства</w:t>
            </w:r>
          </w:p>
        </w:tc>
        <w:tc>
          <w:tcPr>
            <w:tcW w:w="1304" w:type="dxa"/>
            <w:vAlign w:val="center"/>
          </w:tcPr>
          <w:p w14:paraId="417D1D2F" w14:textId="77777777" w:rsidR="00454A29" w:rsidRDefault="00454A29">
            <w:pPr>
              <w:pStyle w:val="ConsPlusNormal"/>
              <w:jc w:val="right"/>
            </w:pPr>
            <w:r>
              <w:t>1 127 298</w:t>
            </w:r>
          </w:p>
        </w:tc>
        <w:tc>
          <w:tcPr>
            <w:tcW w:w="1247" w:type="dxa"/>
            <w:vAlign w:val="center"/>
          </w:tcPr>
          <w:p w14:paraId="77D56E0F" w14:textId="77777777" w:rsidR="00454A29" w:rsidRDefault="00454A29">
            <w:pPr>
              <w:pStyle w:val="ConsPlusNormal"/>
              <w:jc w:val="right"/>
            </w:pPr>
            <w:r>
              <w:t>980 468</w:t>
            </w:r>
          </w:p>
        </w:tc>
        <w:tc>
          <w:tcPr>
            <w:tcW w:w="1304" w:type="dxa"/>
            <w:vAlign w:val="center"/>
          </w:tcPr>
          <w:p w14:paraId="51EC3B6C" w14:textId="77777777" w:rsidR="00454A29" w:rsidRDefault="00454A29">
            <w:pPr>
              <w:pStyle w:val="ConsPlusNormal"/>
              <w:jc w:val="right"/>
            </w:pPr>
            <w:r>
              <w:t>432 270</w:t>
            </w:r>
          </w:p>
        </w:tc>
        <w:tc>
          <w:tcPr>
            <w:tcW w:w="1304" w:type="dxa"/>
            <w:vAlign w:val="center"/>
          </w:tcPr>
          <w:p w14:paraId="6EB06F61" w14:textId="77777777" w:rsidR="00454A29" w:rsidRDefault="00454A29">
            <w:pPr>
              <w:pStyle w:val="ConsPlusNormal"/>
              <w:jc w:val="right"/>
            </w:pPr>
            <w:r>
              <w:t>432 270</w:t>
            </w:r>
          </w:p>
        </w:tc>
        <w:tc>
          <w:tcPr>
            <w:tcW w:w="1304" w:type="dxa"/>
            <w:vAlign w:val="center"/>
          </w:tcPr>
          <w:p w14:paraId="01ADD195" w14:textId="77777777" w:rsidR="00454A29" w:rsidRDefault="00454A29">
            <w:pPr>
              <w:pStyle w:val="ConsPlusNormal"/>
              <w:jc w:val="right"/>
            </w:pPr>
            <w:r>
              <w:t>432 270</w:t>
            </w:r>
          </w:p>
        </w:tc>
        <w:tc>
          <w:tcPr>
            <w:tcW w:w="1304" w:type="dxa"/>
            <w:vAlign w:val="center"/>
          </w:tcPr>
          <w:p w14:paraId="044DDFA1" w14:textId="77777777" w:rsidR="00454A29" w:rsidRDefault="00454A29">
            <w:pPr>
              <w:pStyle w:val="ConsPlusNormal"/>
              <w:jc w:val="right"/>
            </w:pPr>
            <w:r>
              <w:t>-</w:t>
            </w:r>
          </w:p>
        </w:tc>
        <w:tc>
          <w:tcPr>
            <w:tcW w:w="1304" w:type="dxa"/>
            <w:vAlign w:val="center"/>
          </w:tcPr>
          <w:p w14:paraId="3A88D432" w14:textId="77777777" w:rsidR="00454A29" w:rsidRDefault="00454A29">
            <w:pPr>
              <w:pStyle w:val="ConsPlusNormal"/>
              <w:jc w:val="right"/>
            </w:pPr>
            <w:r>
              <w:t>-</w:t>
            </w:r>
          </w:p>
        </w:tc>
      </w:tr>
      <w:tr w:rsidR="00454A29" w14:paraId="13AB3A33" w14:textId="77777777">
        <w:tc>
          <w:tcPr>
            <w:tcW w:w="2041" w:type="dxa"/>
            <w:vMerge/>
          </w:tcPr>
          <w:p w14:paraId="1A877E24" w14:textId="77777777" w:rsidR="00454A29" w:rsidRDefault="00454A29"/>
        </w:tc>
        <w:tc>
          <w:tcPr>
            <w:tcW w:w="3005" w:type="dxa"/>
            <w:vMerge/>
          </w:tcPr>
          <w:p w14:paraId="5AFEEA2B" w14:textId="77777777" w:rsidR="00454A29" w:rsidRDefault="00454A29"/>
        </w:tc>
        <w:tc>
          <w:tcPr>
            <w:tcW w:w="2778" w:type="dxa"/>
            <w:vAlign w:val="center"/>
          </w:tcPr>
          <w:p w14:paraId="006A4B37" w14:textId="77777777" w:rsidR="00454A29" w:rsidRDefault="00454A29">
            <w:pPr>
              <w:pStyle w:val="ConsPlusNormal"/>
            </w:pPr>
            <w:r>
              <w:t>ГРБС - Минобрнауки РС(Я)</w:t>
            </w:r>
          </w:p>
        </w:tc>
        <w:tc>
          <w:tcPr>
            <w:tcW w:w="1304" w:type="dxa"/>
            <w:vAlign w:val="center"/>
          </w:tcPr>
          <w:p w14:paraId="08D43D6C" w14:textId="77777777" w:rsidR="00454A29" w:rsidRDefault="00454A29">
            <w:pPr>
              <w:pStyle w:val="ConsPlusNormal"/>
              <w:jc w:val="right"/>
            </w:pPr>
            <w:r>
              <w:t>432 270</w:t>
            </w:r>
          </w:p>
        </w:tc>
        <w:tc>
          <w:tcPr>
            <w:tcW w:w="1247" w:type="dxa"/>
            <w:vAlign w:val="center"/>
          </w:tcPr>
          <w:p w14:paraId="514513CE" w14:textId="77777777" w:rsidR="00454A29" w:rsidRDefault="00454A29">
            <w:pPr>
              <w:pStyle w:val="ConsPlusNormal"/>
              <w:jc w:val="right"/>
            </w:pPr>
            <w:r>
              <w:t>980 468</w:t>
            </w:r>
          </w:p>
        </w:tc>
        <w:tc>
          <w:tcPr>
            <w:tcW w:w="1304" w:type="dxa"/>
            <w:vAlign w:val="center"/>
          </w:tcPr>
          <w:p w14:paraId="62159452" w14:textId="77777777" w:rsidR="00454A29" w:rsidRDefault="00454A29">
            <w:pPr>
              <w:pStyle w:val="ConsPlusNormal"/>
              <w:jc w:val="right"/>
            </w:pPr>
            <w:r>
              <w:t>432 270</w:t>
            </w:r>
          </w:p>
        </w:tc>
        <w:tc>
          <w:tcPr>
            <w:tcW w:w="1304" w:type="dxa"/>
            <w:vAlign w:val="center"/>
          </w:tcPr>
          <w:p w14:paraId="70E80512" w14:textId="77777777" w:rsidR="00454A29" w:rsidRDefault="00454A29">
            <w:pPr>
              <w:pStyle w:val="ConsPlusNormal"/>
              <w:jc w:val="right"/>
            </w:pPr>
            <w:r>
              <w:t>432 270</w:t>
            </w:r>
          </w:p>
        </w:tc>
        <w:tc>
          <w:tcPr>
            <w:tcW w:w="1304" w:type="dxa"/>
            <w:vAlign w:val="center"/>
          </w:tcPr>
          <w:p w14:paraId="10178A57" w14:textId="77777777" w:rsidR="00454A29" w:rsidRDefault="00454A29">
            <w:pPr>
              <w:pStyle w:val="ConsPlusNormal"/>
              <w:jc w:val="right"/>
            </w:pPr>
            <w:r>
              <w:t>432 270</w:t>
            </w:r>
          </w:p>
        </w:tc>
        <w:tc>
          <w:tcPr>
            <w:tcW w:w="1304" w:type="dxa"/>
            <w:vAlign w:val="center"/>
          </w:tcPr>
          <w:p w14:paraId="7222D663" w14:textId="77777777" w:rsidR="00454A29" w:rsidRDefault="00454A29">
            <w:pPr>
              <w:pStyle w:val="ConsPlusNormal"/>
              <w:jc w:val="right"/>
            </w:pPr>
            <w:r>
              <w:t>-</w:t>
            </w:r>
          </w:p>
        </w:tc>
        <w:tc>
          <w:tcPr>
            <w:tcW w:w="1304" w:type="dxa"/>
            <w:vAlign w:val="center"/>
          </w:tcPr>
          <w:p w14:paraId="3D87894E" w14:textId="77777777" w:rsidR="00454A29" w:rsidRDefault="00454A29">
            <w:pPr>
              <w:pStyle w:val="ConsPlusNormal"/>
              <w:jc w:val="right"/>
            </w:pPr>
            <w:r>
              <w:t>-</w:t>
            </w:r>
          </w:p>
        </w:tc>
      </w:tr>
      <w:tr w:rsidR="00454A29" w14:paraId="48BEB264" w14:textId="77777777">
        <w:tc>
          <w:tcPr>
            <w:tcW w:w="2041" w:type="dxa"/>
            <w:vMerge/>
          </w:tcPr>
          <w:p w14:paraId="2AE4673B" w14:textId="77777777" w:rsidR="00454A29" w:rsidRDefault="00454A29"/>
        </w:tc>
        <w:tc>
          <w:tcPr>
            <w:tcW w:w="3005" w:type="dxa"/>
            <w:vMerge/>
          </w:tcPr>
          <w:p w14:paraId="17591ED3" w14:textId="77777777" w:rsidR="00454A29" w:rsidRDefault="00454A29"/>
        </w:tc>
        <w:tc>
          <w:tcPr>
            <w:tcW w:w="2778" w:type="dxa"/>
            <w:vAlign w:val="center"/>
          </w:tcPr>
          <w:p w14:paraId="510036B4" w14:textId="77777777" w:rsidR="00454A29" w:rsidRDefault="00454A29">
            <w:pPr>
              <w:pStyle w:val="ConsPlusNormal"/>
            </w:pPr>
            <w:r>
              <w:t>ГРБС - Участники Программы</w:t>
            </w:r>
          </w:p>
        </w:tc>
        <w:tc>
          <w:tcPr>
            <w:tcW w:w="1304" w:type="dxa"/>
            <w:vAlign w:val="center"/>
          </w:tcPr>
          <w:p w14:paraId="103F7E1F" w14:textId="77777777" w:rsidR="00454A29" w:rsidRDefault="00454A29">
            <w:pPr>
              <w:pStyle w:val="ConsPlusNormal"/>
              <w:jc w:val="right"/>
            </w:pPr>
            <w:r>
              <w:t>695 028</w:t>
            </w:r>
          </w:p>
        </w:tc>
        <w:tc>
          <w:tcPr>
            <w:tcW w:w="1247" w:type="dxa"/>
            <w:vAlign w:val="center"/>
          </w:tcPr>
          <w:p w14:paraId="6ED61FDC" w14:textId="77777777" w:rsidR="00454A29" w:rsidRDefault="00454A29">
            <w:pPr>
              <w:pStyle w:val="ConsPlusNormal"/>
              <w:jc w:val="right"/>
            </w:pPr>
            <w:r>
              <w:t>-</w:t>
            </w:r>
          </w:p>
        </w:tc>
        <w:tc>
          <w:tcPr>
            <w:tcW w:w="1304" w:type="dxa"/>
            <w:vAlign w:val="center"/>
          </w:tcPr>
          <w:p w14:paraId="27912865" w14:textId="77777777" w:rsidR="00454A29" w:rsidRDefault="00454A29">
            <w:pPr>
              <w:pStyle w:val="ConsPlusNormal"/>
              <w:jc w:val="right"/>
            </w:pPr>
            <w:r>
              <w:t>-</w:t>
            </w:r>
          </w:p>
        </w:tc>
        <w:tc>
          <w:tcPr>
            <w:tcW w:w="1304" w:type="dxa"/>
            <w:vAlign w:val="center"/>
          </w:tcPr>
          <w:p w14:paraId="06C76CB5" w14:textId="77777777" w:rsidR="00454A29" w:rsidRDefault="00454A29">
            <w:pPr>
              <w:pStyle w:val="ConsPlusNormal"/>
              <w:jc w:val="right"/>
            </w:pPr>
            <w:r>
              <w:t>-</w:t>
            </w:r>
          </w:p>
        </w:tc>
        <w:tc>
          <w:tcPr>
            <w:tcW w:w="1304" w:type="dxa"/>
            <w:vAlign w:val="center"/>
          </w:tcPr>
          <w:p w14:paraId="2BA21035" w14:textId="77777777" w:rsidR="00454A29" w:rsidRDefault="00454A29">
            <w:pPr>
              <w:pStyle w:val="ConsPlusNormal"/>
              <w:jc w:val="right"/>
            </w:pPr>
            <w:r>
              <w:t>-</w:t>
            </w:r>
          </w:p>
        </w:tc>
        <w:tc>
          <w:tcPr>
            <w:tcW w:w="1304" w:type="dxa"/>
            <w:vAlign w:val="center"/>
          </w:tcPr>
          <w:p w14:paraId="03547A6E" w14:textId="77777777" w:rsidR="00454A29" w:rsidRDefault="00454A29">
            <w:pPr>
              <w:pStyle w:val="ConsPlusNormal"/>
              <w:jc w:val="right"/>
            </w:pPr>
            <w:r>
              <w:t>-</w:t>
            </w:r>
          </w:p>
        </w:tc>
        <w:tc>
          <w:tcPr>
            <w:tcW w:w="1304" w:type="dxa"/>
            <w:vAlign w:val="center"/>
          </w:tcPr>
          <w:p w14:paraId="5AE971C6" w14:textId="77777777" w:rsidR="00454A29" w:rsidRDefault="00454A29">
            <w:pPr>
              <w:pStyle w:val="ConsPlusNormal"/>
              <w:jc w:val="right"/>
            </w:pPr>
            <w:r>
              <w:t>-</w:t>
            </w:r>
          </w:p>
        </w:tc>
      </w:tr>
      <w:tr w:rsidR="00454A29" w14:paraId="6189A1BF" w14:textId="77777777">
        <w:tc>
          <w:tcPr>
            <w:tcW w:w="2041" w:type="dxa"/>
            <w:vMerge w:val="restart"/>
            <w:vAlign w:val="center"/>
          </w:tcPr>
          <w:p w14:paraId="56CE81AA" w14:textId="77777777" w:rsidR="00454A29" w:rsidRDefault="00454A29">
            <w:pPr>
              <w:pStyle w:val="ConsPlusNormal"/>
              <w:jc w:val="center"/>
              <w:outlineLvl w:val="2"/>
            </w:pPr>
            <w:r>
              <w:t>Обеспечивающая подпрограмма</w:t>
            </w:r>
          </w:p>
        </w:tc>
        <w:tc>
          <w:tcPr>
            <w:tcW w:w="3005" w:type="dxa"/>
            <w:vMerge w:val="restart"/>
            <w:vAlign w:val="center"/>
          </w:tcPr>
          <w:p w14:paraId="4B5140B5" w14:textId="77777777" w:rsidR="00454A29" w:rsidRDefault="00454A29">
            <w:pPr>
              <w:pStyle w:val="ConsPlusNormal"/>
              <w:jc w:val="center"/>
            </w:pPr>
            <w:r>
              <w:t>Обеспечивающая подпрограмма</w:t>
            </w:r>
          </w:p>
        </w:tc>
        <w:tc>
          <w:tcPr>
            <w:tcW w:w="2778" w:type="dxa"/>
            <w:vAlign w:val="center"/>
          </w:tcPr>
          <w:p w14:paraId="072C3374" w14:textId="77777777" w:rsidR="00454A29" w:rsidRDefault="00454A29">
            <w:pPr>
              <w:pStyle w:val="ConsPlusNormal"/>
            </w:pPr>
            <w:r>
              <w:t>Всего:</w:t>
            </w:r>
          </w:p>
        </w:tc>
        <w:tc>
          <w:tcPr>
            <w:tcW w:w="1304" w:type="dxa"/>
            <w:vAlign w:val="center"/>
          </w:tcPr>
          <w:p w14:paraId="45BE987F" w14:textId="77777777" w:rsidR="00454A29" w:rsidRDefault="00454A29">
            <w:pPr>
              <w:pStyle w:val="ConsPlusNormal"/>
              <w:jc w:val="right"/>
            </w:pPr>
            <w:r>
              <w:t>272 590</w:t>
            </w:r>
          </w:p>
        </w:tc>
        <w:tc>
          <w:tcPr>
            <w:tcW w:w="1247" w:type="dxa"/>
            <w:vAlign w:val="center"/>
          </w:tcPr>
          <w:p w14:paraId="3BED122F" w14:textId="77777777" w:rsidR="00454A29" w:rsidRDefault="00454A29">
            <w:pPr>
              <w:pStyle w:val="ConsPlusNormal"/>
              <w:jc w:val="right"/>
            </w:pPr>
            <w:r>
              <w:t>272 984</w:t>
            </w:r>
          </w:p>
        </w:tc>
        <w:tc>
          <w:tcPr>
            <w:tcW w:w="1304" w:type="dxa"/>
            <w:vAlign w:val="center"/>
          </w:tcPr>
          <w:p w14:paraId="10DF6AF2" w14:textId="77777777" w:rsidR="00454A29" w:rsidRDefault="00454A29">
            <w:pPr>
              <w:pStyle w:val="ConsPlusNormal"/>
              <w:jc w:val="right"/>
            </w:pPr>
            <w:r>
              <w:t>272 884</w:t>
            </w:r>
          </w:p>
        </w:tc>
        <w:tc>
          <w:tcPr>
            <w:tcW w:w="1304" w:type="dxa"/>
            <w:vAlign w:val="center"/>
          </w:tcPr>
          <w:p w14:paraId="66167F88" w14:textId="77777777" w:rsidR="00454A29" w:rsidRDefault="00454A29">
            <w:pPr>
              <w:pStyle w:val="ConsPlusNormal"/>
              <w:jc w:val="right"/>
            </w:pPr>
            <w:r>
              <w:t>282 892</w:t>
            </w:r>
          </w:p>
        </w:tc>
        <w:tc>
          <w:tcPr>
            <w:tcW w:w="1304" w:type="dxa"/>
            <w:vAlign w:val="center"/>
          </w:tcPr>
          <w:p w14:paraId="08277866" w14:textId="77777777" w:rsidR="00454A29" w:rsidRDefault="00454A29">
            <w:pPr>
              <w:pStyle w:val="ConsPlusNormal"/>
              <w:jc w:val="right"/>
            </w:pPr>
            <w:r>
              <w:t>282 892</w:t>
            </w:r>
          </w:p>
        </w:tc>
        <w:tc>
          <w:tcPr>
            <w:tcW w:w="1304" w:type="dxa"/>
            <w:vAlign w:val="center"/>
          </w:tcPr>
          <w:p w14:paraId="6D429B6C" w14:textId="77777777" w:rsidR="00454A29" w:rsidRDefault="00454A29">
            <w:pPr>
              <w:pStyle w:val="ConsPlusNormal"/>
              <w:jc w:val="right"/>
            </w:pPr>
            <w:r>
              <w:t>-</w:t>
            </w:r>
          </w:p>
        </w:tc>
        <w:tc>
          <w:tcPr>
            <w:tcW w:w="1304" w:type="dxa"/>
            <w:vAlign w:val="center"/>
          </w:tcPr>
          <w:p w14:paraId="2F516B2E" w14:textId="77777777" w:rsidR="00454A29" w:rsidRDefault="00454A29">
            <w:pPr>
              <w:pStyle w:val="ConsPlusNormal"/>
              <w:jc w:val="right"/>
            </w:pPr>
            <w:r>
              <w:t>-</w:t>
            </w:r>
          </w:p>
        </w:tc>
      </w:tr>
      <w:tr w:rsidR="00454A29" w14:paraId="1E3A5C60" w14:textId="77777777">
        <w:tc>
          <w:tcPr>
            <w:tcW w:w="2041" w:type="dxa"/>
            <w:vMerge/>
          </w:tcPr>
          <w:p w14:paraId="780EF4A6" w14:textId="77777777" w:rsidR="00454A29" w:rsidRDefault="00454A29"/>
        </w:tc>
        <w:tc>
          <w:tcPr>
            <w:tcW w:w="3005" w:type="dxa"/>
            <w:vMerge/>
          </w:tcPr>
          <w:p w14:paraId="70CC8375" w14:textId="77777777" w:rsidR="00454A29" w:rsidRDefault="00454A29"/>
        </w:tc>
        <w:tc>
          <w:tcPr>
            <w:tcW w:w="2778" w:type="dxa"/>
            <w:vAlign w:val="center"/>
          </w:tcPr>
          <w:p w14:paraId="70DC02C8" w14:textId="77777777" w:rsidR="00454A29" w:rsidRDefault="00454A29">
            <w:pPr>
              <w:pStyle w:val="ConsPlusNormal"/>
            </w:pPr>
            <w:r>
              <w:t>Государственный бюджет Республики Саха (Якутия)</w:t>
            </w:r>
          </w:p>
        </w:tc>
        <w:tc>
          <w:tcPr>
            <w:tcW w:w="1304" w:type="dxa"/>
            <w:vAlign w:val="center"/>
          </w:tcPr>
          <w:p w14:paraId="4363A66C" w14:textId="77777777" w:rsidR="00454A29" w:rsidRDefault="00454A29">
            <w:pPr>
              <w:pStyle w:val="ConsPlusNormal"/>
              <w:jc w:val="right"/>
            </w:pPr>
            <w:r>
              <w:t>249 509</w:t>
            </w:r>
          </w:p>
        </w:tc>
        <w:tc>
          <w:tcPr>
            <w:tcW w:w="1247" w:type="dxa"/>
            <w:vAlign w:val="center"/>
          </w:tcPr>
          <w:p w14:paraId="60F44923" w14:textId="77777777" w:rsidR="00454A29" w:rsidRDefault="00454A29">
            <w:pPr>
              <w:pStyle w:val="ConsPlusNormal"/>
              <w:jc w:val="right"/>
            </w:pPr>
            <w:r>
              <w:t>249 497</w:t>
            </w:r>
          </w:p>
        </w:tc>
        <w:tc>
          <w:tcPr>
            <w:tcW w:w="1304" w:type="dxa"/>
            <w:vAlign w:val="center"/>
          </w:tcPr>
          <w:p w14:paraId="16A69DA2" w14:textId="77777777" w:rsidR="00454A29" w:rsidRDefault="00454A29">
            <w:pPr>
              <w:pStyle w:val="ConsPlusNormal"/>
              <w:jc w:val="right"/>
            </w:pPr>
            <w:r>
              <w:t>249 397</w:t>
            </w:r>
          </w:p>
        </w:tc>
        <w:tc>
          <w:tcPr>
            <w:tcW w:w="1304" w:type="dxa"/>
            <w:vAlign w:val="center"/>
          </w:tcPr>
          <w:p w14:paraId="10FA0222" w14:textId="77777777" w:rsidR="00454A29" w:rsidRDefault="00454A29">
            <w:pPr>
              <w:pStyle w:val="ConsPlusNormal"/>
              <w:jc w:val="right"/>
            </w:pPr>
            <w:r>
              <w:t>259 405</w:t>
            </w:r>
          </w:p>
        </w:tc>
        <w:tc>
          <w:tcPr>
            <w:tcW w:w="1304" w:type="dxa"/>
            <w:vAlign w:val="center"/>
          </w:tcPr>
          <w:p w14:paraId="62308141" w14:textId="77777777" w:rsidR="00454A29" w:rsidRDefault="00454A29">
            <w:pPr>
              <w:pStyle w:val="ConsPlusNormal"/>
              <w:jc w:val="right"/>
            </w:pPr>
            <w:r>
              <w:t>259 405</w:t>
            </w:r>
          </w:p>
        </w:tc>
        <w:tc>
          <w:tcPr>
            <w:tcW w:w="1304" w:type="dxa"/>
            <w:vAlign w:val="center"/>
          </w:tcPr>
          <w:p w14:paraId="79DB8F93" w14:textId="77777777" w:rsidR="00454A29" w:rsidRDefault="00454A29">
            <w:pPr>
              <w:pStyle w:val="ConsPlusNormal"/>
              <w:jc w:val="right"/>
            </w:pPr>
            <w:r>
              <w:t>-</w:t>
            </w:r>
          </w:p>
        </w:tc>
        <w:tc>
          <w:tcPr>
            <w:tcW w:w="1304" w:type="dxa"/>
            <w:vAlign w:val="center"/>
          </w:tcPr>
          <w:p w14:paraId="771FE8FE" w14:textId="77777777" w:rsidR="00454A29" w:rsidRDefault="00454A29">
            <w:pPr>
              <w:pStyle w:val="ConsPlusNormal"/>
              <w:jc w:val="right"/>
            </w:pPr>
            <w:r>
              <w:t>-</w:t>
            </w:r>
          </w:p>
        </w:tc>
      </w:tr>
      <w:tr w:rsidR="00454A29" w14:paraId="03A9F590" w14:textId="77777777">
        <w:tc>
          <w:tcPr>
            <w:tcW w:w="2041" w:type="dxa"/>
            <w:vMerge/>
          </w:tcPr>
          <w:p w14:paraId="3FF68B58" w14:textId="77777777" w:rsidR="00454A29" w:rsidRDefault="00454A29"/>
        </w:tc>
        <w:tc>
          <w:tcPr>
            <w:tcW w:w="3005" w:type="dxa"/>
            <w:vMerge/>
          </w:tcPr>
          <w:p w14:paraId="704C78D8" w14:textId="77777777" w:rsidR="00454A29" w:rsidRDefault="00454A29"/>
        </w:tc>
        <w:tc>
          <w:tcPr>
            <w:tcW w:w="2778" w:type="dxa"/>
            <w:vAlign w:val="center"/>
          </w:tcPr>
          <w:p w14:paraId="40C4FA6B" w14:textId="77777777" w:rsidR="00454A29" w:rsidRDefault="00454A29">
            <w:pPr>
              <w:pStyle w:val="ConsPlusNormal"/>
            </w:pPr>
            <w:r>
              <w:t>Минобрнауки РС(Я)</w:t>
            </w:r>
          </w:p>
        </w:tc>
        <w:tc>
          <w:tcPr>
            <w:tcW w:w="1304" w:type="dxa"/>
            <w:vAlign w:val="center"/>
          </w:tcPr>
          <w:p w14:paraId="5FC7AFC3" w14:textId="77777777" w:rsidR="00454A29" w:rsidRDefault="00454A29">
            <w:pPr>
              <w:pStyle w:val="ConsPlusNormal"/>
              <w:jc w:val="right"/>
            </w:pPr>
            <w:r>
              <w:t>249 509</w:t>
            </w:r>
          </w:p>
        </w:tc>
        <w:tc>
          <w:tcPr>
            <w:tcW w:w="1247" w:type="dxa"/>
            <w:vAlign w:val="center"/>
          </w:tcPr>
          <w:p w14:paraId="0AAEC454" w14:textId="77777777" w:rsidR="00454A29" w:rsidRDefault="00454A29">
            <w:pPr>
              <w:pStyle w:val="ConsPlusNormal"/>
              <w:jc w:val="right"/>
            </w:pPr>
            <w:r>
              <w:t>249 497</w:t>
            </w:r>
          </w:p>
        </w:tc>
        <w:tc>
          <w:tcPr>
            <w:tcW w:w="1304" w:type="dxa"/>
            <w:vAlign w:val="center"/>
          </w:tcPr>
          <w:p w14:paraId="6DAE80FC" w14:textId="77777777" w:rsidR="00454A29" w:rsidRDefault="00454A29">
            <w:pPr>
              <w:pStyle w:val="ConsPlusNormal"/>
              <w:jc w:val="right"/>
            </w:pPr>
            <w:r>
              <w:t>249 397</w:t>
            </w:r>
          </w:p>
        </w:tc>
        <w:tc>
          <w:tcPr>
            <w:tcW w:w="1304" w:type="dxa"/>
            <w:vAlign w:val="center"/>
          </w:tcPr>
          <w:p w14:paraId="5A9745C5" w14:textId="77777777" w:rsidR="00454A29" w:rsidRDefault="00454A29">
            <w:pPr>
              <w:pStyle w:val="ConsPlusNormal"/>
              <w:jc w:val="right"/>
            </w:pPr>
            <w:r>
              <w:t>259 405</w:t>
            </w:r>
          </w:p>
        </w:tc>
        <w:tc>
          <w:tcPr>
            <w:tcW w:w="1304" w:type="dxa"/>
            <w:vAlign w:val="center"/>
          </w:tcPr>
          <w:p w14:paraId="785C8B14" w14:textId="77777777" w:rsidR="00454A29" w:rsidRDefault="00454A29">
            <w:pPr>
              <w:pStyle w:val="ConsPlusNormal"/>
              <w:jc w:val="right"/>
            </w:pPr>
            <w:r>
              <w:t>259 405</w:t>
            </w:r>
          </w:p>
        </w:tc>
        <w:tc>
          <w:tcPr>
            <w:tcW w:w="1304" w:type="dxa"/>
            <w:vAlign w:val="center"/>
          </w:tcPr>
          <w:p w14:paraId="1150696B" w14:textId="77777777" w:rsidR="00454A29" w:rsidRDefault="00454A29">
            <w:pPr>
              <w:pStyle w:val="ConsPlusNormal"/>
              <w:jc w:val="right"/>
            </w:pPr>
            <w:r>
              <w:t>-</w:t>
            </w:r>
          </w:p>
        </w:tc>
        <w:tc>
          <w:tcPr>
            <w:tcW w:w="1304" w:type="dxa"/>
            <w:vAlign w:val="center"/>
          </w:tcPr>
          <w:p w14:paraId="54E8D7C1" w14:textId="77777777" w:rsidR="00454A29" w:rsidRDefault="00454A29">
            <w:pPr>
              <w:pStyle w:val="ConsPlusNormal"/>
              <w:jc w:val="right"/>
            </w:pPr>
            <w:r>
              <w:t>-</w:t>
            </w:r>
          </w:p>
        </w:tc>
      </w:tr>
      <w:tr w:rsidR="00454A29" w14:paraId="68592CBC" w14:textId="77777777">
        <w:tc>
          <w:tcPr>
            <w:tcW w:w="2041" w:type="dxa"/>
            <w:vMerge/>
          </w:tcPr>
          <w:p w14:paraId="2A3E3EC0" w14:textId="77777777" w:rsidR="00454A29" w:rsidRDefault="00454A29"/>
        </w:tc>
        <w:tc>
          <w:tcPr>
            <w:tcW w:w="3005" w:type="dxa"/>
            <w:vMerge/>
          </w:tcPr>
          <w:p w14:paraId="30FA1063" w14:textId="77777777" w:rsidR="00454A29" w:rsidRDefault="00454A29"/>
        </w:tc>
        <w:tc>
          <w:tcPr>
            <w:tcW w:w="2778" w:type="dxa"/>
            <w:vAlign w:val="center"/>
          </w:tcPr>
          <w:p w14:paraId="04536821" w14:textId="77777777" w:rsidR="00454A29" w:rsidRDefault="00454A29">
            <w:pPr>
              <w:pStyle w:val="ConsPlusNormal"/>
            </w:pPr>
            <w:r>
              <w:t>Федеральный бюджет</w:t>
            </w:r>
          </w:p>
        </w:tc>
        <w:tc>
          <w:tcPr>
            <w:tcW w:w="1304" w:type="dxa"/>
            <w:vAlign w:val="center"/>
          </w:tcPr>
          <w:p w14:paraId="0ECE7C61" w14:textId="77777777" w:rsidR="00454A29" w:rsidRDefault="00454A29">
            <w:pPr>
              <w:pStyle w:val="ConsPlusNormal"/>
              <w:jc w:val="right"/>
            </w:pPr>
            <w:r>
              <w:t>23 081</w:t>
            </w:r>
          </w:p>
        </w:tc>
        <w:tc>
          <w:tcPr>
            <w:tcW w:w="1247" w:type="dxa"/>
            <w:vAlign w:val="center"/>
          </w:tcPr>
          <w:p w14:paraId="2286462B" w14:textId="77777777" w:rsidR="00454A29" w:rsidRDefault="00454A29">
            <w:pPr>
              <w:pStyle w:val="ConsPlusNormal"/>
              <w:jc w:val="right"/>
            </w:pPr>
            <w:r>
              <w:t>23 487</w:t>
            </w:r>
          </w:p>
        </w:tc>
        <w:tc>
          <w:tcPr>
            <w:tcW w:w="1304" w:type="dxa"/>
            <w:vAlign w:val="center"/>
          </w:tcPr>
          <w:p w14:paraId="143EAA8D" w14:textId="77777777" w:rsidR="00454A29" w:rsidRDefault="00454A29">
            <w:pPr>
              <w:pStyle w:val="ConsPlusNormal"/>
              <w:jc w:val="right"/>
            </w:pPr>
            <w:r>
              <w:t>23 487</w:t>
            </w:r>
          </w:p>
        </w:tc>
        <w:tc>
          <w:tcPr>
            <w:tcW w:w="1304" w:type="dxa"/>
            <w:vAlign w:val="center"/>
          </w:tcPr>
          <w:p w14:paraId="4321AF46" w14:textId="77777777" w:rsidR="00454A29" w:rsidRDefault="00454A29">
            <w:pPr>
              <w:pStyle w:val="ConsPlusNormal"/>
              <w:jc w:val="right"/>
            </w:pPr>
            <w:r>
              <w:t>23 487</w:t>
            </w:r>
          </w:p>
        </w:tc>
        <w:tc>
          <w:tcPr>
            <w:tcW w:w="1304" w:type="dxa"/>
            <w:vAlign w:val="center"/>
          </w:tcPr>
          <w:p w14:paraId="7E4DF847" w14:textId="77777777" w:rsidR="00454A29" w:rsidRDefault="00454A29">
            <w:pPr>
              <w:pStyle w:val="ConsPlusNormal"/>
              <w:jc w:val="right"/>
            </w:pPr>
            <w:r>
              <w:t>23 487</w:t>
            </w:r>
          </w:p>
        </w:tc>
        <w:tc>
          <w:tcPr>
            <w:tcW w:w="1304" w:type="dxa"/>
            <w:vAlign w:val="center"/>
          </w:tcPr>
          <w:p w14:paraId="103AB28F" w14:textId="77777777" w:rsidR="00454A29" w:rsidRDefault="00454A29">
            <w:pPr>
              <w:pStyle w:val="ConsPlusNormal"/>
              <w:jc w:val="right"/>
            </w:pPr>
            <w:r>
              <w:t>-</w:t>
            </w:r>
          </w:p>
        </w:tc>
        <w:tc>
          <w:tcPr>
            <w:tcW w:w="1304" w:type="dxa"/>
            <w:vAlign w:val="center"/>
          </w:tcPr>
          <w:p w14:paraId="36E0C7AE" w14:textId="77777777" w:rsidR="00454A29" w:rsidRDefault="00454A29">
            <w:pPr>
              <w:pStyle w:val="ConsPlusNormal"/>
              <w:jc w:val="right"/>
            </w:pPr>
            <w:r>
              <w:t>-</w:t>
            </w:r>
          </w:p>
        </w:tc>
      </w:tr>
      <w:tr w:rsidR="00454A29" w14:paraId="00615D54" w14:textId="77777777">
        <w:tc>
          <w:tcPr>
            <w:tcW w:w="2041" w:type="dxa"/>
            <w:vMerge/>
          </w:tcPr>
          <w:p w14:paraId="40160FEC" w14:textId="77777777" w:rsidR="00454A29" w:rsidRDefault="00454A29"/>
        </w:tc>
        <w:tc>
          <w:tcPr>
            <w:tcW w:w="3005" w:type="dxa"/>
            <w:vMerge/>
          </w:tcPr>
          <w:p w14:paraId="296DB298" w14:textId="77777777" w:rsidR="00454A29" w:rsidRDefault="00454A29"/>
        </w:tc>
        <w:tc>
          <w:tcPr>
            <w:tcW w:w="2778" w:type="dxa"/>
            <w:vAlign w:val="center"/>
          </w:tcPr>
          <w:p w14:paraId="70692D3C" w14:textId="77777777" w:rsidR="00454A29" w:rsidRDefault="00454A29">
            <w:pPr>
              <w:pStyle w:val="ConsPlusNormal"/>
            </w:pPr>
            <w:r>
              <w:t>Минобрнауки РС(Я)</w:t>
            </w:r>
          </w:p>
        </w:tc>
        <w:tc>
          <w:tcPr>
            <w:tcW w:w="1304" w:type="dxa"/>
            <w:vAlign w:val="center"/>
          </w:tcPr>
          <w:p w14:paraId="0DF94399" w14:textId="77777777" w:rsidR="00454A29" w:rsidRDefault="00454A29">
            <w:pPr>
              <w:pStyle w:val="ConsPlusNormal"/>
              <w:jc w:val="right"/>
            </w:pPr>
            <w:r>
              <w:t>23 081</w:t>
            </w:r>
          </w:p>
        </w:tc>
        <w:tc>
          <w:tcPr>
            <w:tcW w:w="1247" w:type="dxa"/>
            <w:vAlign w:val="center"/>
          </w:tcPr>
          <w:p w14:paraId="2EA2EE2B" w14:textId="77777777" w:rsidR="00454A29" w:rsidRDefault="00454A29">
            <w:pPr>
              <w:pStyle w:val="ConsPlusNormal"/>
              <w:jc w:val="right"/>
            </w:pPr>
            <w:r>
              <w:t>23 487</w:t>
            </w:r>
          </w:p>
        </w:tc>
        <w:tc>
          <w:tcPr>
            <w:tcW w:w="1304" w:type="dxa"/>
            <w:vAlign w:val="center"/>
          </w:tcPr>
          <w:p w14:paraId="3B97BA31" w14:textId="77777777" w:rsidR="00454A29" w:rsidRDefault="00454A29">
            <w:pPr>
              <w:pStyle w:val="ConsPlusNormal"/>
              <w:jc w:val="right"/>
            </w:pPr>
            <w:r>
              <w:t>23 487</w:t>
            </w:r>
          </w:p>
        </w:tc>
        <w:tc>
          <w:tcPr>
            <w:tcW w:w="1304" w:type="dxa"/>
            <w:vAlign w:val="center"/>
          </w:tcPr>
          <w:p w14:paraId="46CECA15" w14:textId="77777777" w:rsidR="00454A29" w:rsidRDefault="00454A29">
            <w:pPr>
              <w:pStyle w:val="ConsPlusNormal"/>
              <w:jc w:val="right"/>
            </w:pPr>
            <w:r>
              <w:t>23 487</w:t>
            </w:r>
          </w:p>
        </w:tc>
        <w:tc>
          <w:tcPr>
            <w:tcW w:w="1304" w:type="dxa"/>
            <w:vAlign w:val="center"/>
          </w:tcPr>
          <w:p w14:paraId="062B7122" w14:textId="77777777" w:rsidR="00454A29" w:rsidRDefault="00454A29">
            <w:pPr>
              <w:pStyle w:val="ConsPlusNormal"/>
              <w:jc w:val="right"/>
            </w:pPr>
            <w:r>
              <w:t>23 487</w:t>
            </w:r>
          </w:p>
        </w:tc>
        <w:tc>
          <w:tcPr>
            <w:tcW w:w="1304" w:type="dxa"/>
            <w:vAlign w:val="center"/>
          </w:tcPr>
          <w:p w14:paraId="4B9FCF3C" w14:textId="77777777" w:rsidR="00454A29" w:rsidRDefault="00454A29">
            <w:pPr>
              <w:pStyle w:val="ConsPlusNormal"/>
              <w:jc w:val="right"/>
            </w:pPr>
            <w:r>
              <w:t>-</w:t>
            </w:r>
          </w:p>
        </w:tc>
        <w:tc>
          <w:tcPr>
            <w:tcW w:w="1304" w:type="dxa"/>
            <w:vAlign w:val="center"/>
          </w:tcPr>
          <w:p w14:paraId="4CDE1F3E" w14:textId="77777777" w:rsidR="00454A29" w:rsidRDefault="00454A29">
            <w:pPr>
              <w:pStyle w:val="ConsPlusNormal"/>
              <w:jc w:val="right"/>
            </w:pPr>
            <w:r>
              <w:t>-</w:t>
            </w:r>
          </w:p>
        </w:tc>
      </w:tr>
      <w:tr w:rsidR="00454A29" w14:paraId="4EC1FAD4" w14:textId="77777777">
        <w:tc>
          <w:tcPr>
            <w:tcW w:w="2041" w:type="dxa"/>
            <w:vMerge/>
          </w:tcPr>
          <w:p w14:paraId="3245FDCA" w14:textId="77777777" w:rsidR="00454A29" w:rsidRDefault="00454A29"/>
        </w:tc>
        <w:tc>
          <w:tcPr>
            <w:tcW w:w="3005" w:type="dxa"/>
            <w:vMerge/>
          </w:tcPr>
          <w:p w14:paraId="4225F08C" w14:textId="77777777" w:rsidR="00454A29" w:rsidRDefault="00454A29"/>
        </w:tc>
        <w:tc>
          <w:tcPr>
            <w:tcW w:w="2778" w:type="dxa"/>
            <w:vAlign w:val="center"/>
          </w:tcPr>
          <w:p w14:paraId="4489FBA2" w14:textId="77777777" w:rsidR="00454A29" w:rsidRDefault="00454A29">
            <w:pPr>
              <w:pStyle w:val="ConsPlusNormal"/>
            </w:pPr>
            <w:r>
              <w:t>Местные бюджеты</w:t>
            </w:r>
          </w:p>
        </w:tc>
        <w:tc>
          <w:tcPr>
            <w:tcW w:w="1304" w:type="dxa"/>
            <w:vAlign w:val="center"/>
          </w:tcPr>
          <w:p w14:paraId="7C874858" w14:textId="77777777" w:rsidR="00454A29" w:rsidRDefault="00454A29">
            <w:pPr>
              <w:pStyle w:val="ConsPlusNormal"/>
              <w:jc w:val="right"/>
            </w:pPr>
            <w:r>
              <w:t>-</w:t>
            </w:r>
          </w:p>
        </w:tc>
        <w:tc>
          <w:tcPr>
            <w:tcW w:w="1247" w:type="dxa"/>
            <w:vAlign w:val="center"/>
          </w:tcPr>
          <w:p w14:paraId="6CEF57A5" w14:textId="77777777" w:rsidR="00454A29" w:rsidRDefault="00454A29">
            <w:pPr>
              <w:pStyle w:val="ConsPlusNormal"/>
              <w:jc w:val="right"/>
            </w:pPr>
            <w:r>
              <w:t>-</w:t>
            </w:r>
          </w:p>
        </w:tc>
        <w:tc>
          <w:tcPr>
            <w:tcW w:w="1304" w:type="dxa"/>
            <w:vAlign w:val="center"/>
          </w:tcPr>
          <w:p w14:paraId="35024290" w14:textId="77777777" w:rsidR="00454A29" w:rsidRDefault="00454A29">
            <w:pPr>
              <w:pStyle w:val="ConsPlusNormal"/>
              <w:jc w:val="right"/>
            </w:pPr>
            <w:r>
              <w:t>-</w:t>
            </w:r>
          </w:p>
        </w:tc>
        <w:tc>
          <w:tcPr>
            <w:tcW w:w="1304" w:type="dxa"/>
            <w:vAlign w:val="center"/>
          </w:tcPr>
          <w:p w14:paraId="32C05E43" w14:textId="77777777" w:rsidR="00454A29" w:rsidRDefault="00454A29">
            <w:pPr>
              <w:pStyle w:val="ConsPlusNormal"/>
              <w:jc w:val="right"/>
            </w:pPr>
            <w:r>
              <w:t>-</w:t>
            </w:r>
          </w:p>
        </w:tc>
        <w:tc>
          <w:tcPr>
            <w:tcW w:w="1304" w:type="dxa"/>
            <w:vAlign w:val="center"/>
          </w:tcPr>
          <w:p w14:paraId="18ED02EA" w14:textId="77777777" w:rsidR="00454A29" w:rsidRDefault="00454A29">
            <w:pPr>
              <w:pStyle w:val="ConsPlusNormal"/>
              <w:jc w:val="right"/>
            </w:pPr>
            <w:r>
              <w:t>-</w:t>
            </w:r>
          </w:p>
        </w:tc>
        <w:tc>
          <w:tcPr>
            <w:tcW w:w="1304" w:type="dxa"/>
            <w:vAlign w:val="center"/>
          </w:tcPr>
          <w:p w14:paraId="579584ED" w14:textId="77777777" w:rsidR="00454A29" w:rsidRDefault="00454A29">
            <w:pPr>
              <w:pStyle w:val="ConsPlusNormal"/>
              <w:jc w:val="right"/>
            </w:pPr>
            <w:r>
              <w:t>-</w:t>
            </w:r>
          </w:p>
        </w:tc>
        <w:tc>
          <w:tcPr>
            <w:tcW w:w="1304" w:type="dxa"/>
            <w:vAlign w:val="center"/>
          </w:tcPr>
          <w:p w14:paraId="1E196199" w14:textId="77777777" w:rsidR="00454A29" w:rsidRDefault="00454A29">
            <w:pPr>
              <w:pStyle w:val="ConsPlusNormal"/>
              <w:jc w:val="right"/>
            </w:pPr>
            <w:r>
              <w:t>-</w:t>
            </w:r>
          </w:p>
        </w:tc>
      </w:tr>
      <w:tr w:rsidR="00454A29" w14:paraId="30F18564" w14:textId="77777777">
        <w:tc>
          <w:tcPr>
            <w:tcW w:w="2041" w:type="dxa"/>
            <w:vMerge/>
          </w:tcPr>
          <w:p w14:paraId="02C08577" w14:textId="77777777" w:rsidR="00454A29" w:rsidRDefault="00454A29"/>
        </w:tc>
        <w:tc>
          <w:tcPr>
            <w:tcW w:w="3005" w:type="dxa"/>
            <w:vMerge/>
          </w:tcPr>
          <w:p w14:paraId="2ECCCFAB" w14:textId="77777777" w:rsidR="00454A29" w:rsidRDefault="00454A29"/>
        </w:tc>
        <w:tc>
          <w:tcPr>
            <w:tcW w:w="2778" w:type="dxa"/>
            <w:vAlign w:val="center"/>
          </w:tcPr>
          <w:p w14:paraId="024797C3" w14:textId="77777777" w:rsidR="00454A29" w:rsidRDefault="00454A29">
            <w:pPr>
              <w:pStyle w:val="ConsPlusNormal"/>
            </w:pPr>
            <w:r>
              <w:t>Внебюджетные средства</w:t>
            </w:r>
          </w:p>
        </w:tc>
        <w:tc>
          <w:tcPr>
            <w:tcW w:w="1304" w:type="dxa"/>
            <w:vAlign w:val="center"/>
          </w:tcPr>
          <w:p w14:paraId="0F95C6A5" w14:textId="77777777" w:rsidR="00454A29" w:rsidRDefault="00454A29">
            <w:pPr>
              <w:pStyle w:val="ConsPlusNormal"/>
              <w:jc w:val="right"/>
            </w:pPr>
            <w:r>
              <w:t>-</w:t>
            </w:r>
          </w:p>
        </w:tc>
        <w:tc>
          <w:tcPr>
            <w:tcW w:w="1247" w:type="dxa"/>
            <w:vAlign w:val="center"/>
          </w:tcPr>
          <w:p w14:paraId="7FF26143" w14:textId="77777777" w:rsidR="00454A29" w:rsidRDefault="00454A29">
            <w:pPr>
              <w:pStyle w:val="ConsPlusNormal"/>
              <w:jc w:val="right"/>
            </w:pPr>
            <w:r>
              <w:t>-</w:t>
            </w:r>
          </w:p>
        </w:tc>
        <w:tc>
          <w:tcPr>
            <w:tcW w:w="1304" w:type="dxa"/>
            <w:vAlign w:val="center"/>
          </w:tcPr>
          <w:p w14:paraId="108A3676" w14:textId="77777777" w:rsidR="00454A29" w:rsidRDefault="00454A29">
            <w:pPr>
              <w:pStyle w:val="ConsPlusNormal"/>
              <w:jc w:val="right"/>
            </w:pPr>
            <w:r>
              <w:t>-</w:t>
            </w:r>
          </w:p>
        </w:tc>
        <w:tc>
          <w:tcPr>
            <w:tcW w:w="1304" w:type="dxa"/>
            <w:vAlign w:val="center"/>
          </w:tcPr>
          <w:p w14:paraId="21580EBB" w14:textId="77777777" w:rsidR="00454A29" w:rsidRDefault="00454A29">
            <w:pPr>
              <w:pStyle w:val="ConsPlusNormal"/>
              <w:jc w:val="right"/>
            </w:pPr>
            <w:r>
              <w:t>-</w:t>
            </w:r>
          </w:p>
        </w:tc>
        <w:tc>
          <w:tcPr>
            <w:tcW w:w="1304" w:type="dxa"/>
            <w:vAlign w:val="center"/>
          </w:tcPr>
          <w:p w14:paraId="4A39E8CF" w14:textId="77777777" w:rsidR="00454A29" w:rsidRDefault="00454A29">
            <w:pPr>
              <w:pStyle w:val="ConsPlusNormal"/>
              <w:jc w:val="right"/>
            </w:pPr>
            <w:r>
              <w:t>-</w:t>
            </w:r>
          </w:p>
        </w:tc>
        <w:tc>
          <w:tcPr>
            <w:tcW w:w="1304" w:type="dxa"/>
            <w:vAlign w:val="center"/>
          </w:tcPr>
          <w:p w14:paraId="2AA534FA" w14:textId="77777777" w:rsidR="00454A29" w:rsidRDefault="00454A29">
            <w:pPr>
              <w:pStyle w:val="ConsPlusNormal"/>
              <w:jc w:val="right"/>
            </w:pPr>
            <w:r>
              <w:t>-</w:t>
            </w:r>
          </w:p>
        </w:tc>
        <w:tc>
          <w:tcPr>
            <w:tcW w:w="1304" w:type="dxa"/>
            <w:vAlign w:val="center"/>
          </w:tcPr>
          <w:p w14:paraId="1EEE2441" w14:textId="77777777" w:rsidR="00454A29" w:rsidRDefault="00454A29">
            <w:pPr>
              <w:pStyle w:val="ConsPlusNormal"/>
              <w:jc w:val="right"/>
            </w:pPr>
            <w:r>
              <w:t>-</w:t>
            </w:r>
          </w:p>
        </w:tc>
      </w:tr>
      <w:tr w:rsidR="00454A29" w14:paraId="150A5130" w14:textId="77777777">
        <w:tc>
          <w:tcPr>
            <w:tcW w:w="2041" w:type="dxa"/>
            <w:vMerge w:val="restart"/>
            <w:vAlign w:val="center"/>
          </w:tcPr>
          <w:p w14:paraId="3C971483" w14:textId="77777777" w:rsidR="00454A29" w:rsidRDefault="00454A29">
            <w:pPr>
              <w:pStyle w:val="ConsPlusNormal"/>
              <w:jc w:val="center"/>
            </w:pPr>
            <w:r>
              <w:t>Основное мероприятие 1.1.</w:t>
            </w:r>
          </w:p>
        </w:tc>
        <w:tc>
          <w:tcPr>
            <w:tcW w:w="3005" w:type="dxa"/>
            <w:vMerge w:val="restart"/>
            <w:vAlign w:val="center"/>
          </w:tcPr>
          <w:p w14:paraId="0AFAAE80" w14:textId="77777777" w:rsidR="00454A29" w:rsidRDefault="00454A29">
            <w:pPr>
              <w:pStyle w:val="ConsPlusNormal"/>
              <w:jc w:val="center"/>
            </w:pPr>
            <w:r>
              <w:t>Обеспечение единой государственной политики в области образования и науки</w:t>
            </w:r>
          </w:p>
        </w:tc>
        <w:tc>
          <w:tcPr>
            <w:tcW w:w="2778" w:type="dxa"/>
            <w:vAlign w:val="center"/>
          </w:tcPr>
          <w:p w14:paraId="4E050DDC" w14:textId="77777777" w:rsidR="00454A29" w:rsidRDefault="00454A29">
            <w:pPr>
              <w:pStyle w:val="ConsPlusNormal"/>
            </w:pPr>
            <w:r>
              <w:t>Всего:</w:t>
            </w:r>
          </w:p>
        </w:tc>
        <w:tc>
          <w:tcPr>
            <w:tcW w:w="1304" w:type="dxa"/>
            <w:vAlign w:val="center"/>
          </w:tcPr>
          <w:p w14:paraId="32F194F4" w14:textId="77777777" w:rsidR="00454A29" w:rsidRDefault="00454A29">
            <w:pPr>
              <w:pStyle w:val="ConsPlusNormal"/>
              <w:jc w:val="right"/>
            </w:pPr>
            <w:r>
              <w:t>272 590</w:t>
            </w:r>
          </w:p>
        </w:tc>
        <w:tc>
          <w:tcPr>
            <w:tcW w:w="1247" w:type="dxa"/>
            <w:vAlign w:val="center"/>
          </w:tcPr>
          <w:p w14:paraId="78EC1AEC" w14:textId="77777777" w:rsidR="00454A29" w:rsidRDefault="00454A29">
            <w:pPr>
              <w:pStyle w:val="ConsPlusNormal"/>
              <w:jc w:val="right"/>
            </w:pPr>
            <w:r>
              <w:t>272 984</w:t>
            </w:r>
          </w:p>
        </w:tc>
        <w:tc>
          <w:tcPr>
            <w:tcW w:w="1304" w:type="dxa"/>
            <w:vAlign w:val="center"/>
          </w:tcPr>
          <w:p w14:paraId="14D1B81D" w14:textId="77777777" w:rsidR="00454A29" w:rsidRDefault="00454A29">
            <w:pPr>
              <w:pStyle w:val="ConsPlusNormal"/>
              <w:jc w:val="right"/>
            </w:pPr>
            <w:r>
              <w:t>272 884</w:t>
            </w:r>
          </w:p>
        </w:tc>
        <w:tc>
          <w:tcPr>
            <w:tcW w:w="1304" w:type="dxa"/>
            <w:vAlign w:val="center"/>
          </w:tcPr>
          <w:p w14:paraId="4C90E50F" w14:textId="77777777" w:rsidR="00454A29" w:rsidRDefault="00454A29">
            <w:pPr>
              <w:pStyle w:val="ConsPlusNormal"/>
              <w:jc w:val="right"/>
            </w:pPr>
            <w:r>
              <w:t>282 892</w:t>
            </w:r>
          </w:p>
        </w:tc>
        <w:tc>
          <w:tcPr>
            <w:tcW w:w="1304" w:type="dxa"/>
            <w:vAlign w:val="center"/>
          </w:tcPr>
          <w:p w14:paraId="6DB056F3" w14:textId="77777777" w:rsidR="00454A29" w:rsidRDefault="00454A29">
            <w:pPr>
              <w:pStyle w:val="ConsPlusNormal"/>
              <w:jc w:val="right"/>
            </w:pPr>
            <w:r>
              <w:t>282 892</w:t>
            </w:r>
          </w:p>
        </w:tc>
        <w:tc>
          <w:tcPr>
            <w:tcW w:w="1304" w:type="dxa"/>
            <w:vAlign w:val="center"/>
          </w:tcPr>
          <w:p w14:paraId="210494B3" w14:textId="77777777" w:rsidR="00454A29" w:rsidRDefault="00454A29">
            <w:pPr>
              <w:pStyle w:val="ConsPlusNormal"/>
              <w:jc w:val="right"/>
            </w:pPr>
            <w:r>
              <w:t>-</w:t>
            </w:r>
          </w:p>
        </w:tc>
        <w:tc>
          <w:tcPr>
            <w:tcW w:w="1304" w:type="dxa"/>
            <w:vAlign w:val="center"/>
          </w:tcPr>
          <w:p w14:paraId="47C96A92" w14:textId="77777777" w:rsidR="00454A29" w:rsidRDefault="00454A29">
            <w:pPr>
              <w:pStyle w:val="ConsPlusNormal"/>
              <w:jc w:val="right"/>
            </w:pPr>
            <w:r>
              <w:t>-</w:t>
            </w:r>
          </w:p>
        </w:tc>
      </w:tr>
      <w:tr w:rsidR="00454A29" w14:paraId="2C53B32E" w14:textId="77777777">
        <w:tc>
          <w:tcPr>
            <w:tcW w:w="2041" w:type="dxa"/>
            <w:vMerge/>
          </w:tcPr>
          <w:p w14:paraId="47D9525D" w14:textId="77777777" w:rsidR="00454A29" w:rsidRDefault="00454A29"/>
        </w:tc>
        <w:tc>
          <w:tcPr>
            <w:tcW w:w="3005" w:type="dxa"/>
            <w:vMerge/>
          </w:tcPr>
          <w:p w14:paraId="77398EE7" w14:textId="77777777" w:rsidR="00454A29" w:rsidRDefault="00454A29"/>
        </w:tc>
        <w:tc>
          <w:tcPr>
            <w:tcW w:w="2778" w:type="dxa"/>
            <w:vAlign w:val="center"/>
          </w:tcPr>
          <w:p w14:paraId="762C1AF1" w14:textId="77777777" w:rsidR="00454A29" w:rsidRDefault="00454A29">
            <w:pPr>
              <w:pStyle w:val="ConsPlusNormal"/>
            </w:pPr>
            <w:r>
              <w:t>Государственный бюджет Республики Саха (Якутия)</w:t>
            </w:r>
          </w:p>
        </w:tc>
        <w:tc>
          <w:tcPr>
            <w:tcW w:w="1304" w:type="dxa"/>
            <w:vAlign w:val="center"/>
          </w:tcPr>
          <w:p w14:paraId="15128677" w14:textId="77777777" w:rsidR="00454A29" w:rsidRDefault="00454A29">
            <w:pPr>
              <w:pStyle w:val="ConsPlusNormal"/>
              <w:jc w:val="right"/>
            </w:pPr>
            <w:r>
              <w:t>249 509</w:t>
            </w:r>
          </w:p>
        </w:tc>
        <w:tc>
          <w:tcPr>
            <w:tcW w:w="1247" w:type="dxa"/>
            <w:vAlign w:val="center"/>
          </w:tcPr>
          <w:p w14:paraId="02BD40E7" w14:textId="77777777" w:rsidR="00454A29" w:rsidRDefault="00454A29">
            <w:pPr>
              <w:pStyle w:val="ConsPlusNormal"/>
              <w:jc w:val="right"/>
            </w:pPr>
            <w:r>
              <w:t>249 497</w:t>
            </w:r>
          </w:p>
        </w:tc>
        <w:tc>
          <w:tcPr>
            <w:tcW w:w="1304" w:type="dxa"/>
            <w:vAlign w:val="center"/>
          </w:tcPr>
          <w:p w14:paraId="316F7DD7" w14:textId="77777777" w:rsidR="00454A29" w:rsidRDefault="00454A29">
            <w:pPr>
              <w:pStyle w:val="ConsPlusNormal"/>
              <w:jc w:val="right"/>
            </w:pPr>
            <w:r>
              <w:t>249 397</w:t>
            </w:r>
          </w:p>
        </w:tc>
        <w:tc>
          <w:tcPr>
            <w:tcW w:w="1304" w:type="dxa"/>
            <w:vAlign w:val="center"/>
          </w:tcPr>
          <w:p w14:paraId="1D3B631F" w14:textId="77777777" w:rsidR="00454A29" w:rsidRDefault="00454A29">
            <w:pPr>
              <w:pStyle w:val="ConsPlusNormal"/>
              <w:jc w:val="right"/>
            </w:pPr>
            <w:r>
              <w:t>259 405</w:t>
            </w:r>
          </w:p>
        </w:tc>
        <w:tc>
          <w:tcPr>
            <w:tcW w:w="1304" w:type="dxa"/>
            <w:vAlign w:val="center"/>
          </w:tcPr>
          <w:p w14:paraId="0A5667B8" w14:textId="77777777" w:rsidR="00454A29" w:rsidRDefault="00454A29">
            <w:pPr>
              <w:pStyle w:val="ConsPlusNormal"/>
              <w:jc w:val="right"/>
            </w:pPr>
            <w:r>
              <w:t>259 405</w:t>
            </w:r>
          </w:p>
        </w:tc>
        <w:tc>
          <w:tcPr>
            <w:tcW w:w="1304" w:type="dxa"/>
            <w:vAlign w:val="center"/>
          </w:tcPr>
          <w:p w14:paraId="2FD5ADF3" w14:textId="77777777" w:rsidR="00454A29" w:rsidRDefault="00454A29">
            <w:pPr>
              <w:pStyle w:val="ConsPlusNormal"/>
              <w:jc w:val="right"/>
            </w:pPr>
            <w:r>
              <w:t>-</w:t>
            </w:r>
          </w:p>
        </w:tc>
        <w:tc>
          <w:tcPr>
            <w:tcW w:w="1304" w:type="dxa"/>
            <w:vAlign w:val="center"/>
          </w:tcPr>
          <w:p w14:paraId="337F0E48" w14:textId="77777777" w:rsidR="00454A29" w:rsidRDefault="00454A29">
            <w:pPr>
              <w:pStyle w:val="ConsPlusNormal"/>
              <w:jc w:val="right"/>
            </w:pPr>
            <w:r>
              <w:t>-</w:t>
            </w:r>
          </w:p>
        </w:tc>
      </w:tr>
      <w:tr w:rsidR="00454A29" w14:paraId="3E72637F" w14:textId="77777777">
        <w:tc>
          <w:tcPr>
            <w:tcW w:w="2041" w:type="dxa"/>
            <w:vMerge/>
          </w:tcPr>
          <w:p w14:paraId="220DA914" w14:textId="77777777" w:rsidR="00454A29" w:rsidRDefault="00454A29"/>
        </w:tc>
        <w:tc>
          <w:tcPr>
            <w:tcW w:w="3005" w:type="dxa"/>
            <w:vMerge/>
          </w:tcPr>
          <w:p w14:paraId="011C350B" w14:textId="77777777" w:rsidR="00454A29" w:rsidRDefault="00454A29"/>
        </w:tc>
        <w:tc>
          <w:tcPr>
            <w:tcW w:w="2778" w:type="dxa"/>
            <w:vAlign w:val="center"/>
          </w:tcPr>
          <w:p w14:paraId="322B9321" w14:textId="77777777" w:rsidR="00454A29" w:rsidRDefault="00454A29">
            <w:pPr>
              <w:pStyle w:val="ConsPlusNormal"/>
            </w:pPr>
            <w:r>
              <w:t>Федеральный бюджет</w:t>
            </w:r>
          </w:p>
        </w:tc>
        <w:tc>
          <w:tcPr>
            <w:tcW w:w="1304" w:type="dxa"/>
            <w:vAlign w:val="center"/>
          </w:tcPr>
          <w:p w14:paraId="4CB8324E" w14:textId="77777777" w:rsidR="00454A29" w:rsidRDefault="00454A29">
            <w:pPr>
              <w:pStyle w:val="ConsPlusNormal"/>
              <w:jc w:val="right"/>
            </w:pPr>
            <w:r>
              <w:t>23 081</w:t>
            </w:r>
          </w:p>
        </w:tc>
        <w:tc>
          <w:tcPr>
            <w:tcW w:w="1247" w:type="dxa"/>
            <w:vAlign w:val="center"/>
          </w:tcPr>
          <w:p w14:paraId="516EAD18" w14:textId="77777777" w:rsidR="00454A29" w:rsidRDefault="00454A29">
            <w:pPr>
              <w:pStyle w:val="ConsPlusNormal"/>
              <w:jc w:val="right"/>
            </w:pPr>
            <w:r>
              <w:t>23 487</w:t>
            </w:r>
          </w:p>
        </w:tc>
        <w:tc>
          <w:tcPr>
            <w:tcW w:w="1304" w:type="dxa"/>
            <w:vAlign w:val="center"/>
          </w:tcPr>
          <w:p w14:paraId="1DF35048" w14:textId="77777777" w:rsidR="00454A29" w:rsidRDefault="00454A29">
            <w:pPr>
              <w:pStyle w:val="ConsPlusNormal"/>
              <w:jc w:val="right"/>
            </w:pPr>
            <w:r>
              <w:t>23 487</w:t>
            </w:r>
          </w:p>
        </w:tc>
        <w:tc>
          <w:tcPr>
            <w:tcW w:w="1304" w:type="dxa"/>
            <w:vAlign w:val="center"/>
          </w:tcPr>
          <w:p w14:paraId="1A5B967A" w14:textId="77777777" w:rsidR="00454A29" w:rsidRDefault="00454A29">
            <w:pPr>
              <w:pStyle w:val="ConsPlusNormal"/>
              <w:jc w:val="right"/>
            </w:pPr>
            <w:r>
              <w:t>23 487</w:t>
            </w:r>
          </w:p>
        </w:tc>
        <w:tc>
          <w:tcPr>
            <w:tcW w:w="1304" w:type="dxa"/>
            <w:vAlign w:val="center"/>
          </w:tcPr>
          <w:p w14:paraId="46A88243" w14:textId="77777777" w:rsidR="00454A29" w:rsidRDefault="00454A29">
            <w:pPr>
              <w:pStyle w:val="ConsPlusNormal"/>
              <w:jc w:val="right"/>
            </w:pPr>
            <w:r>
              <w:t>23 487</w:t>
            </w:r>
          </w:p>
        </w:tc>
        <w:tc>
          <w:tcPr>
            <w:tcW w:w="1304" w:type="dxa"/>
            <w:vAlign w:val="center"/>
          </w:tcPr>
          <w:p w14:paraId="499A2A2B" w14:textId="77777777" w:rsidR="00454A29" w:rsidRDefault="00454A29">
            <w:pPr>
              <w:pStyle w:val="ConsPlusNormal"/>
              <w:jc w:val="right"/>
            </w:pPr>
            <w:r>
              <w:t>-</w:t>
            </w:r>
          </w:p>
        </w:tc>
        <w:tc>
          <w:tcPr>
            <w:tcW w:w="1304" w:type="dxa"/>
            <w:vAlign w:val="center"/>
          </w:tcPr>
          <w:p w14:paraId="3A5087B1" w14:textId="77777777" w:rsidR="00454A29" w:rsidRDefault="00454A29">
            <w:pPr>
              <w:pStyle w:val="ConsPlusNormal"/>
              <w:jc w:val="right"/>
            </w:pPr>
            <w:r>
              <w:t>-</w:t>
            </w:r>
          </w:p>
        </w:tc>
      </w:tr>
      <w:tr w:rsidR="00454A29" w14:paraId="3405D532" w14:textId="77777777">
        <w:tc>
          <w:tcPr>
            <w:tcW w:w="2041" w:type="dxa"/>
            <w:vMerge/>
          </w:tcPr>
          <w:p w14:paraId="455FE2F1" w14:textId="77777777" w:rsidR="00454A29" w:rsidRDefault="00454A29"/>
        </w:tc>
        <w:tc>
          <w:tcPr>
            <w:tcW w:w="3005" w:type="dxa"/>
            <w:vMerge/>
          </w:tcPr>
          <w:p w14:paraId="0A920F4C" w14:textId="77777777" w:rsidR="00454A29" w:rsidRDefault="00454A29"/>
        </w:tc>
        <w:tc>
          <w:tcPr>
            <w:tcW w:w="2778" w:type="dxa"/>
            <w:vAlign w:val="center"/>
          </w:tcPr>
          <w:p w14:paraId="20617EA0" w14:textId="77777777" w:rsidR="00454A29" w:rsidRDefault="00454A29">
            <w:pPr>
              <w:pStyle w:val="ConsPlusNormal"/>
            </w:pPr>
            <w:r>
              <w:t>Местные бюджеты</w:t>
            </w:r>
          </w:p>
        </w:tc>
        <w:tc>
          <w:tcPr>
            <w:tcW w:w="1304" w:type="dxa"/>
            <w:vAlign w:val="center"/>
          </w:tcPr>
          <w:p w14:paraId="57437373" w14:textId="77777777" w:rsidR="00454A29" w:rsidRDefault="00454A29">
            <w:pPr>
              <w:pStyle w:val="ConsPlusNormal"/>
            </w:pPr>
          </w:p>
        </w:tc>
        <w:tc>
          <w:tcPr>
            <w:tcW w:w="1247" w:type="dxa"/>
            <w:vAlign w:val="center"/>
          </w:tcPr>
          <w:p w14:paraId="51B0ECE0" w14:textId="77777777" w:rsidR="00454A29" w:rsidRDefault="00454A29">
            <w:pPr>
              <w:pStyle w:val="ConsPlusNormal"/>
            </w:pPr>
          </w:p>
        </w:tc>
        <w:tc>
          <w:tcPr>
            <w:tcW w:w="1304" w:type="dxa"/>
            <w:vAlign w:val="center"/>
          </w:tcPr>
          <w:p w14:paraId="0B7C2F03" w14:textId="77777777" w:rsidR="00454A29" w:rsidRDefault="00454A29">
            <w:pPr>
              <w:pStyle w:val="ConsPlusNormal"/>
            </w:pPr>
          </w:p>
        </w:tc>
        <w:tc>
          <w:tcPr>
            <w:tcW w:w="1304" w:type="dxa"/>
            <w:vAlign w:val="center"/>
          </w:tcPr>
          <w:p w14:paraId="36242D34" w14:textId="77777777" w:rsidR="00454A29" w:rsidRDefault="00454A29">
            <w:pPr>
              <w:pStyle w:val="ConsPlusNormal"/>
            </w:pPr>
          </w:p>
        </w:tc>
        <w:tc>
          <w:tcPr>
            <w:tcW w:w="1304" w:type="dxa"/>
            <w:vAlign w:val="center"/>
          </w:tcPr>
          <w:p w14:paraId="24E6F6B0" w14:textId="77777777" w:rsidR="00454A29" w:rsidRDefault="00454A29">
            <w:pPr>
              <w:pStyle w:val="ConsPlusNormal"/>
            </w:pPr>
          </w:p>
        </w:tc>
        <w:tc>
          <w:tcPr>
            <w:tcW w:w="1304" w:type="dxa"/>
            <w:vAlign w:val="center"/>
          </w:tcPr>
          <w:p w14:paraId="4B928CC3" w14:textId="77777777" w:rsidR="00454A29" w:rsidRDefault="00454A29">
            <w:pPr>
              <w:pStyle w:val="ConsPlusNormal"/>
            </w:pPr>
          </w:p>
        </w:tc>
        <w:tc>
          <w:tcPr>
            <w:tcW w:w="1304" w:type="dxa"/>
            <w:vAlign w:val="center"/>
          </w:tcPr>
          <w:p w14:paraId="502EF1FA" w14:textId="77777777" w:rsidR="00454A29" w:rsidRDefault="00454A29">
            <w:pPr>
              <w:pStyle w:val="ConsPlusNormal"/>
            </w:pPr>
          </w:p>
        </w:tc>
      </w:tr>
      <w:tr w:rsidR="00454A29" w14:paraId="0DA1B2EE" w14:textId="77777777">
        <w:tc>
          <w:tcPr>
            <w:tcW w:w="2041" w:type="dxa"/>
            <w:vMerge/>
          </w:tcPr>
          <w:p w14:paraId="5ED09CAE" w14:textId="77777777" w:rsidR="00454A29" w:rsidRDefault="00454A29"/>
        </w:tc>
        <w:tc>
          <w:tcPr>
            <w:tcW w:w="3005" w:type="dxa"/>
            <w:vMerge/>
          </w:tcPr>
          <w:p w14:paraId="04179DED" w14:textId="77777777" w:rsidR="00454A29" w:rsidRDefault="00454A29"/>
        </w:tc>
        <w:tc>
          <w:tcPr>
            <w:tcW w:w="2778" w:type="dxa"/>
            <w:vAlign w:val="center"/>
          </w:tcPr>
          <w:p w14:paraId="191230FE" w14:textId="77777777" w:rsidR="00454A29" w:rsidRDefault="00454A29">
            <w:pPr>
              <w:pStyle w:val="ConsPlusNormal"/>
            </w:pPr>
            <w:r>
              <w:t>Внебюджетные средства</w:t>
            </w:r>
          </w:p>
        </w:tc>
        <w:tc>
          <w:tcPr>
            <w:tcW w:w="1304" w:type="dxa"/>
            <w:vAlign w:val="center"/>
          </w:tcPr>
          <w:p w14:paraId="69EE33F9" w14:textId="77777777" w:rsidR="00454A29" w:rsidRDefault="00454A29">
            <w:pPr>
              <w:pStyle w:val="ConsPlusNormal"/>
            </w:pPr>
          </w:p>
        </w:tc>
        <w:tc>
          <w:tcPr>
            <w:tcW w:w="1247" w:type="dxa"/>
            <w:vAlign w:val="center"/>
          </w:tcPr>
          <w:p w14:paraId="724CBE08" w14:textId="77777777" w:rsidR="00454A29" w:rsidRDefault="00454A29">
            <w:pPr>
              <w:pStyle w:val="ConsPlusNormal"/>
            </w:pPr>
          </w:p>
        </w:tc>
        <w:tc>
          <w:tcPr>
            <w:tcW w:w="1304" w:type="dxa"/>
            <w:vAlign w:val="center"/>
          </w:tcPr>
          <w:p w14:paraId="05232C4D" w14:textId="77777777" w:rsidR="00454A29" w:rsidRDefault="00454A29">
            <w:pPr>
              <w:pStyle w:val="ConsPlusNormal"/>
            </w:pPr>
          </w:p>
        </w:tc>
        <w:tc>
          <w:tcPr>
            <w:tcW w:w="1304" w:type="dxa"/>
            <w:vAlign w:val="center"/>
          </w:tcPr>
          <w:p w14:paraId="31672EF6" w14:textId="77777777" w:rsidR="00454A29" w:rsidRDefault="00454A29">
            <w:pPr>
              <w:pStyle w:val="ConsPlusNormal"/>
            </w:pPr>
          </w:p>
        </w:tc>
        <w:tc>
          <w:tcPr>
            <w:tcW w:w="1304" w:type="dxa"/>
            <w:vAlign w:val="center"/>
          </w:tcPr>
          <w:p w14:paraId="5E81548E" w14:textId="77777777" w:rsidR="00454A29" w:rsidRDefault="00454A29">
            <w:pPr>
              <w:pStyle w:val="ConsPlusNormal"/>
            </w:pPr>
          </w:p>
        </w:tc>
        <w:tc>
          <w:tcPr>
            <w:tcW w:w="1304" w:type="dxa"/>
            <w:vAlign w:val="center"/>
          </w:tcPr>
          <w:p w14:paraId="2295A67A" w14:textId="77777777" w:rsidR="00454A29" w:rsidRDefault="00454A29">
            <w:pPr>
              <w:pStyle w:val="ConsPlusNormal"/>
            </w:pPr>
          </w:p>
        </w:tc>
        <w:tc>
          <w:tcPr>
            <w:tcW w:w="1304" w:type="dxa"/>
            <w:vAlign w:val="center"/>
          </w:tcPr>
          <w:p w14:paraId="62205675" w14:textId="77777777" w:rsidR="00454A29" w:rsidRDefault="00454A29">
            <w:pPr>
              <w:pStyle w:val="ConsPlusNormal"/>
            </w:pPr>
          </w:p>
        </w:tc>
      </w:tr>
      <w:tr w:rsidR="00454A29" w14:paraId="608CCEC0" w14:textId="77777777">
        <w:tc>
          <w:tcPr>
            <w:tcW w:w="2041" w:type="dxa"/>
            <w:vMerge w:val="restart"/>
            <w:vAlign w:val="center"/>
          </w:tcPr>
          <w:p w14:paraId="0F5A0192" w14:textId="77777777" w:rsidR="00454A29" w:rsidRDefault="00454A29">
            <w:pPr>
              <w:pStyle w:val="ConsPlusNormal"/>
              <w:jc w:val="center"/>
              <w:outlineLvl w:val="2"/>
            </w:pPr>
            <w:r>
              <w:t>Подпрограмма 2</w:t>
            </w:r>
          </w:p>
        </w:tc>
        <w:tc>
          <w:tcPr>
            <w:tcW w:w="3005" w:type="dxa"/>
            <w:vMerge w:val="restart"/>
            <w:vAlign w:val="center"/>
          </w:tcPr>
          <w:p w14:paraId="0AFAFEDB" w14:textId="77777777" w:rsidR="00454A29" w:rsidRDefault="00454A29">
            <w:pPr>
              <w:pStyle w:val="ConsPlusNormal"/>
              <w:jc w:val="center"/>
            </w:pPr>
            <w:r>
              <w:t>"Общее образование: Образование, открытое в будущее"</w:t>
            </w:r>
          </w:p>
        </w:tc>
        <w:tc>
          <w:tcPr>
            <w:tcW w:w="2778" w:type="dxa"/>
            <w:vAlign w:val="center"/>
          </w:tcPr>
          <w:p w14:paraId="5A0FCF9B" w14:textId="77777777" w:rsidR="00454A29" w:rsidRDefault="00454A29">
            <w:pPr>
              <w:pStyle w:val="ConsPlusNormal"/>
            </w:pPr>
            <w:r>
              <w:t>Всего:</w:t>
            </w:r>
          </w:p>
        </w:tc>
        <w:tc>
          <w:tcPr>
            <w:tcW w:w="1304" w:type="dxa"/>
            <w:vAlign w:val="center"/>
          </w:tcPr>
          <w:p w14:paraId="2B9C420E" w14:textId="77777777" w:rsidR="00454A29" w:rsidRDefault="00454A29">
            <w:pPr>
              <w:pStyle w:val="ConsPlusNormal"/>
              <w:jc w:val="right"/>
            </w:pPr>
            <w:r>
              <w:t>26 713 398</w:t>
            </w:r>
          </w:p>
        </w:tc>
        <w:tc>
          <w:tcPr>
            <w:tcW w:w="1247" w:type="dxa"/>
            <w:vAlign w:val="center"/>
          </w:tcPr>
          <w:p w14:paraId="249ED746" w14:textId="77777777" w:rsidR="00454A29" w:rsidRDefault="00454A29">
            <w:pPr>
              <w:pStyle w:val="ConsPlusNormal"/>
              <w:jc w:val="right"/>
            </w:pPr>
            <w:r>
              <w:t>26 775 328</w:t>
            </w:r>
          </w:p>
        </w:tc>
        <w:tc>
          <w:tcPr>
            <w:tcW w:w="1304" w:type="dxa"/>
            <w:vAlign w:val="center"/>
          </w:tcPr>
          <w:p w14:paraId="7CB55724" w14:textId="77777777" w:rsidR="00454A29" w:rsidRDefault="00454A29">
            <w:pPr>
              <w:pStyle w:val="ConsPlusNormal"/>
              <w:jc w:val="right"/>
            </w:pPr>
            <w:r>
              <w:t>26 775 264</w:t>
            </w:r>
          </w:p>
        </w:tc>
        <w:tc>
          <w:tcPr>
            <w:tcW w:w="1304" w:type="dxa"/>
            <w:vAlign w:val="center"/>
          </w:tcPr>
          <w:p w14:paraId="53DD018E" w14:textId="77777777" w:rsidR="00454A29" w:rsidRDefault="00454A29">
            <w:pPr>
              <w:pStyle w:val="ConsPlusNormal"/>
              <w:jc w:val="right"/>
            </w:pPr>
            <w:r>
              <w:t>32 529 004</w:t>
            </w:r>
          </w:p>
        </w:tc>
        <w:tc>
          <w:tcPr>
            <w:tcW w:w="1304" w:type="dxa"/>
            <w:vAlign w:val="center"/>
          </w:tcPr>
          <w:p w14:paraId="609179A1" w14:textId="77777777" w:rsidR="00454A29" w:rsidRDefault="00454A29">
            <w:pPr>
              <w:pStyle w:val="ConsPlusNormal"/>
              <w:jc w:val="right"/>
            </w:pPr>
            <w:r>
              <w:t>33 843 160</w:t>
            </w:r>
          </w:p>
        </w:tc>
        <w:tc>
          <w:tcPr>
            <w:tcW w:w="1304" w:type="dxa"/>
            <w:vAlign w:val="center"/>
          </w:tcPr>
          <w:p w14:paraId="47F3F58C" w14:textId="77777777" w:rsidR="00454A29" w:rsidRDefault="00454A29">
            <w:pPr>
              <w:pStyle w:val="ConsPlusNormal"/>
              <w:jc w:val="right"/>
            </w:pPr>
            <w:r>
              <w:t>-</w:t>
            </w:r>
          </w:p>
        </w:tc>
        <w:tc>
          <w:tcPr>
            <w:tcW w:w="1304" w:type="dxa"/>
            <w:vAlign w:val="center"/>
          </w:tcPr>
          <w:p w14:paraId="751FD073" w14:textId="77777777" w:rsidR="00454A29" w:rsidRDefault="00454A29">
            <w:pPr>
              <w:pStyle w:val="ConsPlusNormal"/>
              <w:jc w:val="right"/>
            </w:pPr>
            <w:r>
              <w:t>-</w:t>
            </w:r>
          </w:p>
        </w:tc>
      </w:tr>
      <w:tr w:rsidR="00454A29" w14:paraId="6A05EF1A" w14:textId="77777777">
        <w:tc>
          <w:tcPr>
            <w:tcW w:w="2041" w:type="dxa"/>
            <w:vMerge/>
          </w:tcPr>
          <w:p w14:paraId="14E48913" w14:textId="77777777" w:rsidR="00454A29" w:rsidRDefault="00454A29"/>
        </w:tc>
        <w:tc>
          <w:tcPr>
            <w:tcW w:w="3005" w:type="dxa"/>
            <w:vMerge/>
          </w:tcPr>
          <w:p w14:paraId="1E6B51E8" w14:textId="77777777" w:rsidR="00454A29" w:rsidRDefault="00454A29"/>
        </w:tc>
        <w:tc>
          <w:tcPr>
            <w:tcW w:w="2778" w:type="dxa"/>
            <w:vAlign w:val="center"/>
          </w:tcPr>
          <w:p w14:paraId="1631E702" w14:textId="77777777" w:rsidR="00454A29" w:rsidRDefault="00454A29">
            <w:pPr>
              <w:pStyle w:val="ConsPlusNormal"/>
            </w:pPr>
            <w:r>
              <w:t>Государственный бюджет Республики Саха (Якутия)</w:t>
            </w:r>
          </w:p>
        </w:tc>
        <w:tc>
          <w:tcPr>
            <w:tcW w:w="1304" w:type="dxa"/>
            <w:vAlign w:val="center"/>
          </w:tcPr>
          <w:p w14:paraId="1377F446" w14:textId="77777777" w:rsidR="00454A29" w:rsidRDefault="00454A29">
            <w:pPr>
              <w:pStyle w:val="ConsPlusNormal"/>
              <w:jc w:val="right"/>
            </w:pPr>
            <w:r>
              <w:t>26 699 448</w:t>
            </w:r>
          </w:p>
        </w:tc>
        <w:tc>
          <w:tcPr>
            <w:tcW w:w="1247" w:type="dxa"/>
            <w:vAlign w:val="center"/>
          </w:tcPr>
          <w:p w14:paraId="7BE2CBE9" w14:textId="77777777" w:rsidR="00454A29" w:rsidRDefault="00454A29">
            <w:pPr>
              <w:pStyle w:val="ConsPlusNormal"/>
              <w:jc w:val="right"/>
            </w:pPr>
            <w:r>
              <w:t>26 761 378</w:t>
            </w:r>
          </w:p>
        </w:tc>
        <w:tc>
          <w:tcPr>
            <w:tcW w:w="1304" w:type="dxa"/>
            <w:vAlign w:val="center"/>
          </w:tcPr>
          <w:p w14:paraId="46B5A979" w14:textId="77777777" w:rsidR="00454A29" w:rsidRDefault="00454A29">
            <w:pPr>
              <w:pStyle w:val="ConsPlusNormal"/>
              <w:jc w:val="right"/>
            </w:pPr>
            <w:r>
              <w:t>26 761 314</w:t>
            </w:r>
          </w:p>
        </w:tc>
        <w:tc>
          <w:tcPr>
            <w:tcW w:w="1304" w:type="dxa"/>
            <w:vAlign w:val="center"/>
          </w:tcPr>
          <w:p w14:paraId="42335C4D" w14:textId="77777777" w:rsidR="00454A29" w:rsidRDefault="00454A29">
            <w:pPr>
              <w:pStyle w:val="ConsPlusNormal"/>
              <w:jc w:val="right"/>
            </w:pPr>
            <w:r>
              <w:t>32 515 054</w:t>
            </w:r>
          </w:p>
        </w:tc>
        <w:tc>
          <w:tcPr>
            <w:tcW w:w="1304" w:type="dxa"/>
            <w:vAlign w:val="center"/>
          </w:tcPr>
          <w:p w14:paraId="4768CB8A" w14:textId="77777777" w:rsidR="00454A29" w:rsidRDefault="00454A29">
            <w:pPr>
              <w:pStyle w:val="ConsPlusNormal"/>
              <w:jc w:val="right"/>
            </w:pPr>
            <w:r>
              <w:t>33 829 210</w:t>
            </w:r>
          </w:p>
        </w:tc>
        <w:tc>
          <w:tcPr>
            <w:tcW w:w="1304" w:type="dxa"/>
            <w:vAlign w:val="center"/>
          </w:tcPr>
          <w:p w14:paraId="1A55579C" w14:textId="77777777" w:rsidR="00454A29" w:rsidRDefault="00454A29">
            <w:pPr>
              <w:pStyle w:val="ConsPlusNormal"/>
              <w:jc w:val="right"/>
            </w:pPr>
            <w:r>
              <w:t>-</w:t>
            </w:r>
          </w:p>
        </w:tc>
        <w:tc>
          <w:tcPr>
            <w:tcW w:w="1304" w:type="dxa"/>
            <w:vAlign w:val="center"/>
          </w:tcPr>
          <w:p w14:paraId="570EB36B" w14:textId="77777777" w:rsidR="00454A29" w:rsidRDefault="00454A29">
            <w:pPr>
              <w:pStyle w:val="ConsPlusNormal"/>
              <w:jc w:val="right"/>
            </w:pPr>
            <w:r>
              <w:t>-</w:t>
            </w:r>
          </w:p>
        </w:tc>
      </w:tr>
      <w:tr w:rsidR="00454A29" w14:paraId="634DF4BB" w14:textId="77777777">
        <w:tc>
          <w:tcPr>
            <w:tcW w:w="2041" w:type="dxa"/>
            <w:vMerge/>
          </w:tcPr>
          <w:p w14:paraId="00B2B37B" w14:textId="77777777" w:rsidR="00454A29" w:rsidRDefault="00454A29"/>
        </w:tc>
        <w:tc>
          <w:tcPr>
            <w:tcW w:w="3005" w:type="dxa"/>
            <w:vMerge/>
          </w:tcPr>
          <w:p w14:paraId="629C32E6" w14:textId="77777777" w:rsidR="00454A29" w:rsidRDefault="00454A29"/>
        </w:tc>
        <w:tc>
          <w:tcPr>
            <w:tcW w:w="2778" w:type="dxa"/>
            <w:vAlign w:val="center"/>
          </w:tcPr>
          <w:p w14:paraId="1D598AC2" w14:textId="77777777" w:rsidR="00454A29" w:rsidRDefault="00454A29">
            <w:pPr>
              <w:pStyle w:val="ConsPlusNormal"/>
            </w:pPr>
            <w:r>
              <w:t>Минобрнауки РС(Я)</w:t>
            </w:r>
          </w:p>
        </w:tc>
        <w:tc>
          <w:tcPr>
            <w:tcW w:w="1304" w:type="dxa"/>
            <w:vAlign w:val="center"/>
          </w:tcPr>
          <w:p w14:paraId="0F2CF452" w14:textId="77777777" w:rsidR="00454A29" w:rsidRDefault="00454A29">
            <w:pPr>
              <w:pStyle w:val="ConsPlusNormal"/>
              <w:jc w:val="right"/>
            </w:pPr>
            <w:r>
              <w:t>26 646 648</w:t>
            </w:r>
          </w:p>
        </w:tc>
        <w:tc>
          <w:tcPr>
            <w:tcW w:w="1247" w:type="dxa"/>
            <w:vAlign w:val="center"/>
          </w:tcPr>
          <w:p w14:paraId="4AA597F9" w14:textId="77777777" w:rsidR="00454A29" w:rsidRDefault="00454A29">
            <w:pPr>
              <w:pStyle w:val="ConsPlusNormal"/>
              <w:jc w:val="right"/>
            </w:pPr>
            <w:r>
              <w:t>26 708 578</w:t>
            </w:r>
          </w:p>
        </w:tc>
        <w:tc>
          <w:tcPr>
            <w:tcW w:w="1304" w:type="dxa"/>
            <w:vAlign w:val="center"/>
          </w:tcPr>
          <w:p w14:paraId="4DC40F69" w14:textId="77777777" w:rsidR="00454A29" w:rsidRDefault="00454A29">
            <w:pPr>
              <w:pStyle w:val="ConsPlusNormal"/>
              <w:jc w:val="right"/>
            </w:pPr>
            <w:r>
              <w:t>26 708 514</w:t>
            </w:r>
          </w:p>
        </w:tc>
        <w:tc>
          <w:tcPr>
            <w:tcW w:w="1304" w:type="dxa"/>
            <w:vAlign w:val="center"/>
          </w:tcPr>
          <w:p w14:paraId="759014D2" w14:textId="77777777" w:rsidR="00454A29" w:rsidRDefault="00454A29">
            <w:pPr>
              <w:pStyle w:val="ConsPlusNormal"/>
              <w:jc w:val="right"/>
            </w:pPr>
            <w:r>
              <w:t>32 462 254</w:t>
            </w:r>
          </w:p>
        </w:tc>
        <w:tc>
          <w:tcPr>
            <w:tcW w:w="1304" w:type="dxa"/>
            <w:vAlign w:val="center"/>
          </w:tcPr>
          <w:p w14:paraId="337BA8C9" w14:textId="77777777" w:rsidR="00454A29" w:rsidRDefault="00454A29">
            <w:pPr>
              <w:pStyle w:val="ConsPlusNormal"/>
              <w:jc w:val="right"/>
            </w:pPr>
            <w:r>
              <w:t>33 776 410</w:t>
            </w:r>
          </w:p>
        </w:tc>
        <w:tc>
          <w:tcPr>
            <w:tcW w:w="1304" w:type="dxa"/>
            <w:vAlign w:val="center"/>
          </w:tcPr>
          <w:p w14:paraId="2A070176" w14:textId="77777777" w:rsidR="00454A29" w:rsidRDefault="00454A29">
            <w:pPr>
              <w:pStyle w:val="ConsPlusNormal"/>
              <w:jc w:val="right"/>
            </w:pPr>
            <w:r>
              <w:t>-</w:t>
            </w:r>
          </w:p>
        </w:tc>
        <w:tc>
          <w:tcPr>
            <w:tcW w:w="1304" w:type="dxa"/>
            <w:vAlign w:val="center"/>
          </w:tcPr>
          <w:p w14:paraId="69CFC88F" w14:textId="77777777" w:rsidR="00454A29" w:rsidRDefault="00454A29">
            <w:pPr>
              <w:pStyle w:val="ConsPlusNormal"/>
              <w:jc w:val="right"/>
            </w:pPr>
            <w:r>
              <w:t>-</w:t>
            </w:r>
          </w:p>
        </w:tc>
      </w:tr>
      <w:tr w:rsidR="00454A29" w14:paraId="750E780E" w14:textId="77777777">
        <w:tc>
          <w:tcPr>
            <w:tcW w:w="2041" w:type="dxa"/>
            <w:vMerge/>
          </w:tcPr>
          <w:p w14:paraId="40B2A185" w14:textId="77777777" w:rsidR="00454A29" w:rsidRDefault="00454A29"/>
        </w:tc>
        <w:tc>
          <w:tcPr>
            <w:tcW w:w="3005" w:type="dxa"/>
            <w:vMerge/>
          </w:tcPr>
          <w:p w14:paraId="1FEB4143" w14:textId="77777777" w:rsidR="00454A29" w:rsidRDefault="00454A29"/>
        </w:tc>
        <w:tc>
          <w:tcPr>
            <w:tcW w:w="2778" w:type="dxa"/>
            <w:vAlign w:val="center"/>
          </w:tcPr>
          <w:p w14:paraId="1F3367EE" w14:textId="77777777" w:rsidR="00454A29" w:rsidRDefault="00454A29">
            <w:pPr>
              <w:pStyle w:val="ConsPlusNormal"/>
            </w:pPr>
            <w:r>
              <w:t>Мининноваций РС(Я)</w:t>
            </w:r>
          </w:p>
        </w:tc>
        <w:tc>
          <w:tcPr>
            <w:tcW w:w="1304" w:type="dxa"/>
            <w:vAlign w:val="center"/>
          </w:tcPr>
          <w:p w14:paraId="1226DEF8" w14:textId="77777777" w:rsidR="00454A29" w:rsidRDefault="00454A29">
            <w:pPr>
              <w:pStyle w:val="ConsPlusNormal"/>
              <w:jc w:val="right"/>
            </w:pPr>
            <w:r>
              <w:t>52 800</w:t>
            </w:r>
          </w:p>
        </w:tc>
        <w:tc>
          <w:tcPr>
            <w:tcW w:w="1247" w:type="dxa"/>
            <w:vAlign w:val="center"/>
          </w:tcPr>
          <w:p w14:paraId="78448AD6" w14:textId="77777777" w:rsidR="00454A29" w:rsidRDefault="00454A29">
            <w:pPr>
              <w:pStyle w:val="ConsPlusNormal"/>
              <w:jc w:val="right"/>
            </w:pPr>
            <w:r>
              <w:t>52 800</w:t>
            </w:r>
          </w:p>
        </w:tc>
        <w:tc>
          <w:tcPr>
            <w:tcW w:w="1304" w:type="dxa"/>
            <w:vAlign w:val="center"/>
          </w:tcPr>
          <w:p w14:paraId="788F1D2A" w14:textId="77777777" w:rsidR="00454A29" w:rsidRDefault="00454A29">
            <w:pPr>
              <w:pStyle w:val="ConsPlusNormal"/>
              <w:jc w:val="right"/>
            </w:pPr>
            <w:r>
              <w:t>52 800</w:t>
            </w:r>
          </w:p>
        </w:tc>
        <w:tc>
          <w:tcPr>
            <w:tcW w:w="1304" w:type="dxa"/>
            <w:vAlign w:val="center"/>
          </w:tcPr>
          <w:p w14:paraId="255EC3FA" w14:textId="77777777" w:rsidR="00454A29" w:rsidRDefault="00454A29">
            <w:pPr>
              <w:pStyle w:val="ConsPlusNormal"/>
              <w:jc w:val="right"/>
            </w:pPr>
            <w:r>
              <w:t>52 800</w:t>
            </w:r>
          </w:p>
        </w:tc>
        <w:tc>
          <w:tcPr>
            <w:tcW w:w="1304" w:type="dxa"/>
            <w:vAlign w:val="center"/>
          </w:tcPr>
          <w:p w14:paraId="3F912111" w14:textId="77777777" w:rsidR="00454A29" w:rsidRDefault="00454A29">
            <w:pPr>
              <w:pStyle w:val="ConsPlusNormal"/>
              <w:jc w:val="right"/>
            </w:pPr>
            <w:r>
              <w:t>52 800</w:t>
            </w:r>
          </w:p>
        </w:tc>
        <w:tc>
          <w:tcPr>
            <w:tcW w:w="1304" w:type="dxa"/>
            <w:vAlign w:val="center"/>
          </w:tcPr>
          <w:p w14:paraId="3DAE5B73" w14:textId="77777777" w:rsidR="00454A29" w:rsidRDefault="00454A29">
            <w:pPr>
              <w:pStyle w:val="ConsPlusNormal"/>
              <w:jc w:val="right"/>
            </w:pPr>
            <w:r>
              <w:t>-</w:t>
            </w:r>
          </w:p>
        </w:tc>
        <w:tc>
          <w:tcPr>
            <w:tcW w:w="1304" w:type="dxa"/>
            <w:vAlign w:val="center"/>
          </w:tcPr>
          <w:p w14:paraId="64F70F2F" w14:textId="77777777" w:rsidR="00454A29" w:rsidRDefault="00454A29">
            <w:pPr>
              <w:pStyle w:val="ConsPlusNormal"/>
              <w:jc w:val="right"/>
            </w:pPr>
            <w:r>
              <w:t>-</w:t>
            </w:r>
          </w:p>
        </w:tc>
      </w:tr>
      <w:tr w:rsidR="00454A29" w14:paraId="357197C1" w14:textId="77777777">
        <w:tc>
          <w:tcPr>
            <w:tcW w:w="2041" w:type="dxa"/>
            <w:vMerge/>
          </w:tcPr>
          <w:p w14:paraId="4720A633" w14:textId="77777777" w:rsidR="00454A29" w:rsidRDefault="00454A29"/>
        </w:tc>
        <w:tc>
          <w:tcPr>
            <w:tcW w:w="3005" w:type="dxa"/>
            <w:vMerge/>
          </w:tcPr>
          <w:p w14:paraId="4A94C8C5" w14:textId="77777777" w:rsidR="00454A29" w:rsidRDefault="00454A29"/>
        </w:tc>
        <w:tc>
          <w:tcPr>
            <w:tcW w:w="2778" w:type="dxa"/>
            <w:vAlign w:val="center"/>
          </w:tcPr>
          <w:p w14:paraId="48E70A07" w14:textId="77777777" w:rsidR="00454A29" w:rsidRDefault="00454A29">
            <w:pPr>
              <w:pStyle w:val="ConsPlusNormal"/>
            </w:pPr>
            <w:r>
              <w:t>Федеральный бюджет</w:t>
            </w:r>
          </w:p>
        </w:tc>
        <w:tc>
          <w:tcPr>
            <w:tcW w:w="1304" w:type="dxa"/>
            <w:vAlign w:val="center"/>
          </w:tcPr>
          <w:p w14:paraId="62788DED" w14:textId="77777777" w:rsidR="00454A29" w:rsidRDefault="00454A29">
            <w:pPr>
              <w:pStyle w:val="ConsPlusNormal"/>
              <w:jc w:val="right"/>
            </w:pPr>
            <w:r>
              <w:t>-</w:t>
            </w:r>
          </w:p>
        </w:tc>
        <w:tc>
          <w:tcPr>
            <w:tcW w:w="1247" w:type="dxa"/>
            <w:vAlign w:val="center"/>
          </w:tcPr>
          <w:p w14:paraId="45E99FB4" w14:textId="77777777" w:rsidR="00454A29" w:rsidRDefault="00454A29">
            <w:pPr>
              <w:pStyle w:val="ConsPlusNormal"/>
              <w:jc w:val="right"/>
            </w:pPr>
            <w:r>
              <w:t>-</w:t>
            </w:r>
          </w:p>
        </w:tc>
        <w:tc>
          <w:tcPr>
            <w:tcW w:w="1304" w:type="dxa"/>
            <w:vAlign w:val="center"/>
          </w:tcPr>
          <w:p w14:paraId="2EA097BB" w14:textId="77777777" w:rsidR="00454A29" w:rsidRDefault="00454A29">
            <w:pPr>
              <w:pStyle w:val="ConsPlusNormal"/>
              <w:jc w:val="right"/>
            </w:pPr>
            <w:r>
              <w:t>-</w:t>
            </w:r>
          </w:p>
        </w:tc>
        <w:tc>
          <w:tcPr>
            <w:tcW w:w="1304" w:type="dxa"/>
            <w:vAlign w:val="center"/>
          </w:tcPr>
          <w:p w14:paraId="61E9A484" w14:textId="77777777" w:rsidR="00454A29" w:rsidRDefault="00454A29">
            <w:pPr>
              <w:pStyle w:val="ConsPlusNormal"/>
              <w:jc w:val="right"/>
            </w:pPr>
            <w:r>
              <w:t>-</w:t>
            </w:r>
          </w:p>
        </w:tc>
        <w:tc>
          <w:tcPr>
            <w:tcW w:w="1304" w:type="dxa"/>
            <w:vAlign w:val="center"/>
          </w:tcPr>
          <w:p w14:paraId="5B595603" w14:textId="77777777" w:rsidR="00454A29" w:rsidRDefault="00454A29">
            <w:pPr>
              <w:pStyle w:val="ConsPlusNormal"/>
              <w:jc w:val="right"/>
            </w:pPr>
            <w:r>
              <w:t>-</w:t>
            </w:r>
          </w:p>
        </w:tc>
        <w:tc>
          <w:tcPr>
            <w:tcW w:w="1304" w:type="dxa"/>
            <w:vAlign w:val="center"/>
          </w:tcPr>
          <w:p w14:paraId="0D4586D0" w14:textId="77777777" w:rsidR="00454A29" w:rsidRDefault="00454A29">
            <w:pPr>
              <w:pStyle w:val="ConsPlusNormal"/>
              <w:jc w:val="right"/>
            </w:pPr>
            <w:r>
              <w:t>-</w:t>
            </w:r>
          </w:p>
        </w:tc>
        <w:tc>
          <w:tcPr>
            <w:tcW w:w="1304" w:type="dxa"/>
            <w:vAlign w:val="center"/>
          </w:tcPr>
          <w:p w14:paraId="3F51853F" w14:textId="77777777" w:rsidR="00454A29" w:rsidRDefault="00454A29">
            <w:pPr>
              <w:pStyle w:val="ConsPlusNormal"/>
              <w:jc w:val="right"/>
            </w:pPr>
            <w:r>
              <w:t>-</w:t>
            </w:r>
          </w:p>
        </w:tc>
      </w:tr>
      <w:tr w:rsidR="00454A29" w14:paraId="372E6D6B" w14:textId="77777777">
        <w:tc>
          <w:tcPr>
            <w:tcW w:w="2041" w:type="dxa"/>
            <w:vMerge/>
          </w:tcPr>
          <w:p w14:paraId="61D7A718" w14:textId="77777777" w:rsidR="00454A29" w:rsidRDefault="00454A29"/>
        </w:tc>
        <w:tc>
          <w:tcPr>
            <w:tcW w:w="3005" w:type="dxa"/>
            <w:vMerge/>
          </w:tcPr>
          <w:p w14:paraId="293237B6" w14:textId="77777777" w:rsidR="00454A29" w:rsidRDefault="00454A29"/>
        </w:tc>
        <w:tc>
          <w:tcPr>
            <w:tcW w:w="2778" w:type="dxa"/>
            <w:vAlign w:val="center"/>
          </w:tcPr>
          <w:p w14:paraId="068FFB7D" w14:textId="77777777" w:rsidR="00454A29" w:rsidRDefault="00454A29">
            <w:pPr>
              <w:pStyle w:val="ConsPlusNormal"/>
            </w:pPr>
            <w:r>
              <w:t>Минобрнауки РС(Я)</w:t>
            </w:r>
          </w:p>
        </w:tc>
        <w:tc>
          <w:tcPr>
            <w:tcW w:w="1304" w:type="dxa"/>
            <w:vAlign w:val="center"/>
          </w:tcPr>
          <w:p w14:paraId="5CAFB0FE" w14:textId="77777777" w:rsidR="00454A29" w:rsidRDefault="00454A29">
            <w:pPr>
              <w:pStyle w:val="ConsPlusNormal"/>
              <w:jc w:val="right"/>
            </w:pPr>
            <w:r>
              <w:t>-</w:t>
            </w:r>
          </w:p>
        </w:tc>
        <w:tc>
          <w:tcPr>
            <w:tcW w:w="1247" w:type="dxa"/>
            <w:vAlign w:val="center"/>
          </w:tcPr>
          <w:p w14:paraId="5B25DE28" w14:textId="77777777" w:rsidR="00454A29" w:rsidRDefault="00454A29">
            <w:pPr>
              <w:pStyle w:val="ConsPlusNormal"/>
              <w:jc w:val="right"/>
            </w:pPr>
            <w:r>
              <w:t>-</w:t>
            </w:r>
          </w:p>
        </w:tc>
        <w:tc>
          <w:tcPr>
            <w:tcW w:w="1304" w:type="dxa"/>
            <w:vAlign w:val="center"/>
          </w:tcPr>
          <w:p w14:paraId="56C89539" w14:textId="77777777" w:rsidR="00454A29" w:rsidRDefault="00454A29">
            <w:pPr>
              <w:pStyle w:val="ConsPlusNormal"/>
              <w:jc w:val="right"/>
            </w:pPr>
            <w:r>
              <w:t>-</w:t>
            </w:r>
          </w:p>
        </w:tc>
        <w:tc>
          <w:tcPr>
            <w:tcW w:w="1304" w:type="dxa"/>
            <w:vAlign w:val="center"/>
          </w:tcPr>
          <w:p w14:paraId="68118CBD" w14:textId="77777777" w:rsidR="00454A29" w:rsidRDefault="00454A29">
            <w:pPr>
              <w:pStyle w:val="ConsPlusNormal"/>
              <w:jc w:val="right"/>
            </w:pPr>
            <w:r>
              <w:t>-</w:t>
            </w:r>
          </w:p>
        </w:tc>
        <w:tc>
          <w:tcPr>
            <w:tcW w:w="1304" w:type="dxa"/>
            <w:vAlign w:val="center"/>
          </w:tcPr>
          <w:p w14:paraId="0451111F" w14:textId="77777777" w:rsidR="00454A29" w:rsidRDefault="00454A29">
            <w:pPr>
              <w:pStyle w:val="ConsPlusNormal"/>
              <w:jc w:val="right"/>
            </w:pPr>
            <w:r>
              <w:t>-</w:t>
            </w:r>
          </w:p>
        </w:tc>
        <w:tc>
          <w:tcPr>
            <w:tcW w:w="1304" w:type="dxa"/>
            <w:vAlign w:val="center"/>
          </w:tcPr>
          <w:p w14:paraId="350A794D" w14:textId="77777777" w:rsidR="00454A29" w:rsidRDefault="00454A29">
            <w:pPr>
              <w:pStyle w:val="ConsPlusNormal"/>
              <w:jc w:val="right"/>
            </w:pPr>
            <w:r>
              <w:t>-</w:t>
            </w:r>
          </w:p>
        </w:tc>
        <w:tc>
          <w:tcPr>
            <w:tcW w:w="1304" w:type="dxa"/>
            <w:vAlign w:val="center"/>
          </w:tcPr>
          <w:p w14:paraId="6DDC4ACC" w14:textId="77777777" w:rsidR="00454A29" w:rsidRDefault="00454A29">
            <w:pPr>
              <w:pStyle w:val="ConsPlusNormal"/>
              <w:jc w:val="right"/>
            </w:pPr>
            <w:r>
              <w:t>-</w:t>
            </w:r>
          </w:p>
        </w:tc>
      </w:tr>
      <w:tr w:rsidR="00454A29" w14:paraId="19064158" w14:textId="77777777">
        <w:tc>
          <w:tcPr>
            <w:tcW w:w="2041" w:type="dxa"/>
            <w:vMerge/>
          </w:tcPr>
          <w:p w14:paraId="0B287EB6" w14:textId="77777777" w:rsidR="00454A29" w:rsidRDefault="00454A29"/>
        </w:tc>
        <w:tc>
          <w:tcPr>
            <w:tcW w:w="3005" w:type="dxa"/>
            <w:vMerge/>
          </w:tcPr>
          <w:p w14:paraId="2B91C19E" w14:textId="77777777" w:rsidR="00454A29" w:rsidRDefault="00454A29"/>
        </w:tc>
        <w:tc>
          <w:tcPr>
            <w:tcW w:w="2778" w:type="dxa"/>
            <w:vAlign w:val="center"/>
          </w:tcPr>
          <w:p w14:paraId="11BD9867" w14:textId="77777777" w:rsidR="00454A29" w:rsidRDefault="00454A29">
            <w:pPr>
              <w:pStyle w:val="ConsPlusNormal"/>
            </w:pPr>
            <w:r>
              <w:t>Местные бюджеты</w:t>
            </w:r>
          </w:p>
        </w:tc>
        <w:tc>
          <w:tcPr>
            <w:tcW w:w="1304" w:type="dxa"/>
            <w:vAlign w:val="center"/>
          </w:tcPr>
          <w:p w14:paraId="318C5E44" w14:textId="77777777" w:rsidR="00454A29" w:rsidRDefault="00454A29">
            <w:pPr>
              <w:pStyle w:val="ConsPlusNormal"/>
              <w:jc w:val="right"/>
            </w:pPr>
            <w:r>
              <w:t>-</w:t>
            </w:r>
          </w:p>
        </w:tc>
        <w:tc>
          <w:tcPr>
            <w:tcW w:w="1247" w:type="dxa"/>
            <w:vAlign w:val="center"/>
          </w:tcPr>
          <w:p w14:paraId="71092F0A" w14:textId="77777777" w:rsidR="00454A29" w:rsidRDefault="00454A29">
            <w:pPr>
              <w:pStyle w:val="ConsPlusNormal"/>
              <w:jc w:val="right"/>
            </w:pPr>
            <w:r>
              <w:t>-</w:t>
            </w:r>
          </w:p>
        </w:tc>
        <w:tc>
          <w:tcPr>
            <w:tcW w:w="1304" w:type="dxa"/>
            <w:vAlign w:val="center"/>
          </w:tcPr>
          <w:p w14:paraId="085E98C2" w14:textId="77777777" w:rsidR="00454A29" w:rsidRDefault="00454A29">
            <w:pPr>
              <w:pStyle w:val="ConsPlusNormal"/>
              <w:jc w:val="right"/>
            </w:pPr>
            <w:r>
              <w:t>-</w:t>
            </w:r>
          </w:p>
        </w:tc>
        <w:tc>
          <w:tcPr>
            <w:tcW w:w="1304" w:type="dxa"/>
            <w:vAlign w:val="center"/>
          </w:tcPr>
          <w:p w14:paraId="30170359" w14:textId="77777777" w:rsidR="00454A29" w:rsidRDefault="00454A29">
            <w:pPr>
              <w:pStyle w:val="ConsPlusNormal"/>
              <w:jc w:val="right"/>
            </w:pPr>
            <w:r>
              <w:t>-</w:t>
            </w:r>
          </w:p>
        </w:tc>
        <w:tc>
          <w:tcPr>
            <w:tcW w:w="1304" w:type="dxa"/>
            <w:vAlign w:val="center"/>
          </w:tcPr>
          <w:p w14:paraId="7DE841FF" w14:textId="77777777" w:rsidR="00454A29" w:rsidRDefault="00454A29">
            <w:pPr>
              <w:pStyle w:val="ConsPlusNormal"/>
              <w:jc w:val="right"/>
            </w:pPr>
            <w:r>
              <w:t>-</w:t>
            </w:r>
          </w:p>
        </w:tc>
        <w:tc>
          <w:tcPr>
            <w:tcW w:w="1304" w:type="dxa"/>
            <w:vAlign w:val="center"/>
          </w:tcPr>
          <w:p w14:paraId="5238DD94" w14:textId="77777777" w:rsidR="00454A29" w:rsidRDefault="00454A29">
            <w:pPr>
              <w:pStyle w:val="ConsPlusNormal"/>
              <w:jc w:val="right"/>
            </w:pPr>
            <w:r>
              <w:t>-</w:t>
            </w:r>
          </w:p>
        </w:tc>
        <w:tc>
          <w:tcPr>
            <w:tcW w:w="1304" w:type="dxa"/>
            <w:vAlign w:val="center"/>
          </w:tcPr>
          <w:p w14:paraId="6A99600A" w14:textId="77777777" w:rsidR="00454A29" w:rsidRDefault="00454A29">
            <w:pPr>
              <w:pStyle w:val="ConsPlusNormal"/>
              <w:jc w:val="right"/>
            </w:pPr>
            <w:r>
              <w:t>-</w:t>
            </w:r>
          </w:p>
        </w:tc>
      </w:tr>
      <w:tr w:rsidR="00454A29" w14:paraId="765C775A" w14:textId="77777777">
        <w:tc>
          <w:tcPr>
            <w:tcW w:w="2041" w:type="dxa"/>
            <w:vMerge/>
          </w:tcPr>
          <w:p w14:paraId="20057B0D" w14:textId="77777777" w:rsidR="00454A29" w:rsidRDefault="00454A29"/>
        </w:tc>
        <w:tc>
          <w:tcPr>
            <w:tcW w:w="3005" w:type="dxa"/>
            <w:vMerge/>
          </w:tcPr>
          <w:p w14:paraId="0D4E7067" w14:textId="77777777" w:rsidR="00454A29" w:rsidRDefault="00454A29"/>
        </w:tc>
        <w:tc>
          <w:tcPr>
            <w:tcW w:w="2778" w:type="dxa"/>
            <w:vAlign w:val="center"/>
          </w:tcPr>
          <w:p w14:paraId="153AC842" w14:textId="77777777" w:rsidR="00454A29" w:rsidRDefault="00454A29">
            <w:pPr>
              <w:pStyle w:val="ConsPlusNormal"/>
            </w:pPr>
            <w:r>
              <w:t>Внебюджетные средства</w:t>
            </w:r>
          </w:p>
        </w:tc>
        <w:tc>
          <w:tcPr>
            <w:tcW w:w="1304" w:type="dxa"/>
            <w:vAlign w:val="center"/>
          </w:tcPr>
          <w:p w14:paraId="0B213F3B" w14:textId="77777777" w:rsidR="00454A29" w:rsidRDefault="00454A29">
            <w:pPr>
              <w:pStyle w:val="ConsPlusNormal"/>
              <w:jc w:val="right"/>
            </w:pPr>
            <w:r>
              <w:t>13 950</w:t>
            </w:r>
          </w:p>
        </w:tc>
        <w:tc>
          <w:tcPr>
            <w:tcW w:w="1247" w:type="dxa"/>
            <w:vAlign w:val="center"/>
          </w:tcPr>
          <w:p w14:paraId="15837734" w14:textId="77777777" w:rsidR="00454A29" w:rsidRDefault="00454A29">
            <w:pPr>
              <w:pStyle w:val="ConsPlusNormal"/>
              <w:jc w:val="right"/>
            </w:pPr>
            <w:r>
              <w:t>13 950</w:t>
            </w:r>
          </w:p>
        </w:tc>
        <w:tc>
          <w:tcPr>
            <w:tcW w:w="1304" w:type="dxa"/>
            <w:vAlign w:val="center"/>
          </w:tcPr>
          <w:p w14:paraId="6F80C547" w14:textId="77777777" w:rsidR="00454A29" w:rsidRDefault="00454A29">
            <w:pPr>
              <w:pStyle w:val="ConsPlusNormal"/>
              <w:jc w:val="right"/>
            </w:pPr>
            <w:r>
              <w:t>13 950</w:t>
            </w:r>
          </w:p>
        </w:tc>
        <w:tc>
          <w:tcPr>
            <w:tcW w:w="1304" w:type="dxa"/>
            <w:vAlign w:val="center"/>
          </w:tcPr>
          <w:p w14:paraId="3A1D2842" w14:textId="77777777" w:rsidR="00454A29" w:rsidRDefault="00454A29">
            <w:pPr>
              <w:pStyle w:val="ConsPlusNormal"/>
              <w:jc w:val="right"/>
            </w:pPr>
            <w:r>
              <w:t>13 950</w:t>
            </w:r>
          </w:p>
        </w:tc>
        <w:tc>
          <w:tcPr>
            <w:tcW w:w="1304" w:type="dxa"/>
            <w:vAlign w:val="center"/>
          </w:tcPr>
          <w:p w14:paraId="0B9E425F" w14:textId="77777777" w:rsidR="00454A29" w:rsidRDefault="00454A29">
            <w:pPr>
              <w:pStyle w:val="ConsPlusNormal"/>
              <w:jc w:val="right"/>
            </w:pPr>
            <w:r>
              <w:t>13 950</w:t>
            </w:r>
          </w:p>
        </w:tc>
        <w:tc>
          <w:tcPr>
            <w:tcW w:w="1304" w:type="dxa"/>
            <w:vAlign w:val="center"/>
          </w:tcPr>
          <w:p w14:paraId="5164FA8C" w14:textId="77777777" w:rsidR="00454A29" w:rsidRDefault="00454A29">
            <w:pPr>
              <w:pStyle w:val="ConsPlusNormal"/>
              <w:jc w:val="right"/>
            </w:pPr>
            <w:r>
              <w:t>-</w:t>
            </w:r>
          </w:p>
        </w:tc>
        <w:tc>
          <w:tcPr>
            <w:tcW w:w="1304" w:type="dxa"/>
            <w:vAlign w:val="center"/>
          </w:tcPr>
          <w:p w14:paraId="29ECA401" w14:textId="77777777" w:rsidR="00454A29" w:rsidRDefault="00454A29">
            <w:pPr>
              <w:pStyle w:val="ConsPlusNormal"/>
              <w:jc w:val="right"/>
            </w:pPr>
            <w:r>
              <w:t>-</w:t>
            </w:r>
          </w:p>
        </w:tc>
      </w:tr>
      <w:tr w:rsidR="00454A29" w14:paraId="635F589E" w14:textId="77777777">
        <w:tc>
          <w:tcPr>
            <w:tcW w:w="2041" w:type="dxa"/>
            <w:vMerge/>
          </w:tcPr>
          <w:p w14:paraId="545BB25A" w14:textId="77777777" w:rsidR="00454A29" w:rsidRDefault="00454A29"/>
        </w:tc>
        <w:tc>
          <w:tcPr>
            <w:tcW w:w="3005" w:type="dxa"/>
            <w:vMerge/>
          </w:tcPr>
          <w:p w14:paraId="5CD60DDF" w14:textId="77777777" w:rsidR="00454A29" w:rsidRDefault="00454A29"/>
        </w:tc>
        <w:tc>
          <w:tcPr>
            <w:tcW w:w="2778" w:type="dxa"/>
            <w:vAlign w:val="center"/>
          </w:tcPr>
          <w:p w14:paraId="1ADF026D" w14:textId="77777777" w:rsidR="00454A29" w:rsidRDefault="00454A29">
            <w:pPr>
              <w:pStyle w:val="ConsPlusNormal"/>
            </w:pPr>
            <w:r>
              <w:t>Минобрнауки РС(Я)</w:t>
            </w:r>
          </w:p>
        </w:tc>
        <w:tc>
          <w:tcPr>
            <w:tcW w:w="1304" w:type="dxa"/>
            <w:vAlign w:val="center"/>
          </w:tcPr>
          <w:p w14:paraId="786CBDFA" w14:textId="77777777" w:rsidR="00454A29" w:rsidRDefault="00454A29">
            <w:pPr>
              <w:pStyle w:val="ConsPlusNormal"/>
              <w:jc w:val="right"/>
            </w:pPr>
            <w:r>
              <w:t>13 950</w:t>
            </w:r>
          </w:p>
        </w:tc>
        <w:tc>
          <w:tcPr>
            <w:tcW w:w="1247" w:type="dxa"/>
            <w:vAlign w:val="center"/>
          </w:tcPr>
          <w:p w14:paraId="7EC10A5D" w14:textId="77777777" w:rsidR="00454A29" w:rsidRDefault="00454A29">
            <w:pPr>
              <w:pStyle w:val="ConsPlusNormal"/>
              <w:jc w:val="right"/>
            </w:pPr>
            <w:r>
              <w:t>13 950</w:t>
            </w:r>
          </w:p>
        </w:tc>
        <w:tc>
          <w:tcPr>
            <w:tcW w:w="1304" w:type="dxa"/>
            <w:vAlign w:val="center"/>
          </w:tcPr>
          <w:p w14:paraId="4EB79D60" w14:textId="77777777" w:rsidR="00454A29" w:rsidRDefault="00454A29">
            <w:pPr>
              <w:pStyle w:val="ConsPlusNormal"/>
              <w:jc w:val="right"/>
            </w:pPr>
            <w:r>
              <w:t>13 950</w:t>
            </w:r>
          </w:p>
        </w:tc>
        <w:tc>
          <w:tcPr>
            <w:tcW w:w="1304" w:type="dxa"/>
            <w:vAlign w:val="center"/>
          </w:tcPr>
          <w:p w14:paraId="751D54FF" w14:textId="77777777" w:rsidR="00454A29" w:rsidRDefault="00454A29">
            <w:pPr>
              <w:pStyle w:val="ConsPlusNormal"/>
              <w:jc w:val="right"/>
            </w:pPr>
            <w:r>
              <w:t>13 950</w:t>
            </w:r>
          </w:p>
        </w:tc>
        <w:tc>
          <w:tcPr>
            <w:tcW w:w="1304" w:type="dxa"/>
            <w:vAlign w:val="center"/>
          </w:tcPr>
          <w:p w14:paraId="0152B4C6" w14:textId="77777777" w:rsidR="00454A29" w:rsidRDefault="00454A29">
            <w:pPr>
              <w:pStyle w:val="ConsPlusNormal"/>
              <w:jc w:val="right"/>
            </w:pPr>
            <w:r>
              <w:t>13 950</w:t>
            </w:r>
          </w:p>
        </w:tc>
        <w:tc>
          <w:tcPr>
            <w:tcW w:w="1304" w:type="dxa"/>
            <w:vAlign w:val="center"/>
          </w:tcPr>
          <w:p w14:paraId="5CEDC667" w14:textId="77777777" w:rsidR="00454A29" w:rsidRDefault="00454A29">
            <w:pPr>
              <w:pStyle w:val="ConsPlusNormal"/>
              <w:jc w:val="right"/>
            </w:pPr>
            <w:r>
              <w:t>-</w:t>
            </w:r>
          </w:p>
        </w:tc>
        <w:tc>
          <w:tcPr>
            <w:tcW w:w="1304" w:type="dxa"/>
            <w:vAlign w:val="center"/>
          </w:tcPr>
          <w:p w14:paraId="28E13948" w14:textId="77777777" w:rsidR="00454A29" w:rsidRDefault="00454A29">
            <w:pPr>
              <w:pStyle w:val="ConsPlusNormal"/>
              <w:jc w:val="right"/>
            </w:pPr>
            <w:r>
              <w:t>-</w:t>
            </w:r>
          </w:p>
        </w:tc>
      </w:tr>
      <w:tr w:rsidR="00454A29" w14:paraId="391DCA39" w14:textId="77777777">
        <w:tc>
          <w:tcPr>
            <w:tcW w:w="2041" w:type="dxa"/>
            <w:vMerge w:val="restart"/>
            <w:vAlign w:val="center"/>
          </w:tcPr>
          <w:p w14:paraId="5BD7A0F4" w14:textId="77777777" w:rsidR="00454A29" w:rsidRDefault="00454A29">
            <w:pPr>
              <w:pStyle w:val="ConsPlusNormal"/>
              <w:jc w:val="center"/>
            </w:pPr>
            <w:r>
              <w:t xml:space="preserve">Основное </w:t>
            </w:r>
            <w:r>
              <w:lastRenderedPageBreak/>
              <w:t>мероприятие 2.1.</w:t>
            </w:r>
          </w:p>
        </w:tc>
        <w:tc>
          <w:tcPr>
            <w:tcW w:w="3005" w:type="dxa"/>
            <w:vMerge w:val="restart"/>
            <w:vAlign w:val="center"/>
          </w:tcPr>
          <w:p w14:paraId="7A469EA2" w14:textId="77777777" w:rsidR="00454A29" w:rsidRDefault="00454A29">
            <w:pPr>
              <w:pStyle w:val="ConsPlusNormal"/>
              <w:jc w:val="center"/>
            </w:pPr>
            <w:r>
              <w:lastRenderedPageBreak/>
              <w:t xml:space="preserve">Развитие дошкольного </w:t>
            </w:r>
            <w:r>
              <w:lastRenderedPageBreak/>
              <w:t>образования "Детский сад без границ"</w:t>
            </w:r>
          </w:p>
        </w:tc>
        <w:tc>
          <w:tcPr>
            <w:tcW w:w="2778" w:type="dxa"/>
            <w:vAlign w:val="center"/>
          </w:tcPr>
          <w:p w14:paraId="02409F92" w14:textId="77777777" w:rsidR="00454A29" w:rsidRDefault="00454A29">
            <w:pPr>
              <w:pStyle w:val="ConsPlusNormal"/>
            </w:pPr>
            <w:r>
              <w:lastRenderedPageBreak/>
              <w:t>Всего:</w:t>
            </w:r>
          </w:p>
        </w:tc>
        <w:tc>
          <w:tcPr>
            <w:tcW w:w="1304" w:type="dxa"/>
            <w:vAlign w:val="center"/>
          </w:tcPr>
          <w:p w14:paraId="04365B1E" w14:textId="77777777" w:rsidR="00454A29" w:rsidRDefault="00454A29">
            <w:pPr>
              <w:pStyle w:val="ConsPlusNormal"/>
              <w:jc w:val="right"/>
            </w:pPr>
            <w:r>
              <w:t>8 262 861</w:t>
            </w:r>
          </w:p>
        </w:tc>
        <w:tc>
          <w:tcPr>
            <w:tcW w:w="1247" w:type="dxa"/>
            <w:vAlign w:val="center"/>
          </w:tcPr>
          <w:p w14:paraId="34522E6C" w14:textId="77777777" w:rsidR="00454A29" w:rsidRDefault="00454A29">
            <w:pPr>
              <w:pStyle w:val="ConsPlusNormal"/>
              <w:jc w:val="right"/>
            </w:pPr>
            <w:r>
              <w:t>8 262 861</w:t>
            </w:r>
          </w:p>
        </w:tc>
        <w:tc>
          <w:tcPr>
            <w:tcW w:w="1304" w:type="dxa"/>
            <w:vAlign w:val="center"/>
          </w:tcPr>
          <w:p w14:paraId="4FCBA942" w14:textId="77777777" w:rsidR="00454A29" w:rsidRDefault="00454A29">
            <w:pPr>
              <w:pStyle w:val="ConsPlusNormal"/>
              <w:jc w:val="right"/>
            </w:pPr>
            <w:r>
              <w:t>8 262 861</w:t>
            </w:r>
          </w:p>
        </w:tc>
        <w:tc>
          <w:tcPr>
            <w:tcW w:w="1304" w:type="dxa"/>
            <w:vAlign w:val="center"/>
          </w:tcPr>
          <w:p w14:paraId="5329373C" w14:textId="77777777" w:rsidR="00454A29" w:rsidRDefault="00454A29">
            <w:pPr>
              <w:pStyle w:val="ConsPlusNormal"/>
              <w:jc w:val="right"/>
            </w:pPr>
            <w:r>
              <w:t>9 023 917</w:t>
            </w:r>
          </w:p>
        </w:tc>
        <w:tc>
          <w:tcPr>
            <w:tcW w:w="1304" w:type="dxa"/>
            <w:vAlign w:val="center"/>
          </w:tcPr>
          <w:p w14:paraId="6F38CA51" w14:textId="77777777" w:rsidR="00454A29" w:rsidRDefault="00454A29">
            <w:pPr>
              <w:pStyle w:val="ConsPlusNormal"/>
              <w:jc w:val="right"/>
            </w:pPr>
            <w:r>
              <w:t>9 023 917</w:t>
            </w:r>
          </w:p>
        </w:tc>
        <w:tc>
          <w:tcPr>
            <w:tcW w:w="1304" w:type="dxa"/>
            <w:vAlign w:val="center"/>
          </w:tcPr>
          <w:p w14:paraId="70B6773D" w14:textId="77777777" w:rsidR="00454A29" w:rsidRDefault="00454A29">
            <w:pPr>
              <w:pStyle w:val="ConsPlusNormal"/>
              <w:jc w:val="right"/>
            </w:pPr>
            <w:r>
              <w:t>-</w:t>
            </w:r>
          </w:p>
        </w:tc>
        <w:tc>
          <w:tcPr>
            <w:tcW w:w="1304" w:type="dxa"/>
            <w:vAlign w:val="center"/>
          </w:tcPr>
          <w:p w14:paraId="23095C11" w14:textId="77777777" w:rsidR="00454A29" w:rsidRDefault="00454A29">
            <w:pPr>
              <w:pStyle w:val="ConsPlusNormal"/>
              <w:jc w:val="right"/>
            </w:pPr>
            <w:r>
              <w:t>-</w:t>
            </w:r>
          </w:p>
        </w:tc>
      </w:tr>
      <w:tr w:rsidR="00454A29" w14:paraId="05A6084E" w14:textId="77777777">
        <w:tc>
          <w:tcPr>
            <w:tcW w:w="2041" w:type="dxa"/>
            <w:vMerge/>
          </w:tcPr>
          <w:p w14:paraId="46E3C293" w14:textId="77777777" w:rsidR="00454A29" w:rsidRDefault="00454A29"/>
        </w:tc>
        <w:tc>
          <w:tcPr>
            <w:tcW w:w="3005" w:type="dxa"/>
            <w:vMerge/>
          </w:tcPr>
          <w:p w14:paraId="2AAC6163" w14:textId="77777777" w:rsidR="00454A29" w:rsidRDefault="00454A29"/>
        </w:tc>
        <w:tc>
          <w:tcPr>
            <w:tcW w:w="2778" w:type="dxa"/>
            <w:vAlign w:val="center"/>
          </w:tcPr>
          <w:p w14:paraId="3220E097" w14:textId="77777777" w:rsidR="00454A29" w:rsidRDefault="00454A29">
            <w:pPr>
              <w:pStyle w:val="ConsPlusNormal"/>
            </w:pPr>
            <w:r>
              <w:t>Государственный бюджет Республики Саха (Якутия)</w:t>
            </w:r>
          </w:p>
        </w:tc>
        <w:tc>
          <w:tcPr>
            <w:tcW w:w="1304" w:type="dxa"/>
            <w:vAlign w:val="center"/>
          </w:tcPr>
          <w:p w14:paraId="3254E197" w14:textId="77777777" w:rsidR="00454A29" w:rsidRDefault="00454A29">
            <w:pPr>
              <w:pStyle w:val="ConsPlusNormal"/>
              <w:jc w:val="right"/>
            </w:pPr>
            <w:r>
              <w:t>8 262 861</w:t>
            </w:r>
          </w:p>
        </w:tc>
        <w:tc>
          <w:tcPr>
            <w:tcW w:w="1247" w:type="dxa"/>
            <w:vAlign w:val="center"/>
          </w:tcPr>
          <w:p w14:paraId="7D5F246F" w14:textId="77777777" w:rsidR="00454A29" w:rsidRDefault="00454A29">
            <w:pPr>
              <w:pStyle w:val="ConsPlusNormal"/>
              <w:jc w:val="right"/>
            </w:pPr>
            <w:r>
              <w:t>8 262 861</w:t>
            </w:r>
          </w:p>
        </w:tc>
        <w:tc>
          <w:tcPr>
            <w:tcW w:w="1304" w:type="dxa"/>
            <w:vAlign w:val="center"/>
          </w:tcPr>
          <w:p w14:paraId="4605BA93" w14:textId="77777777" w:rsidR="00454A29" w:rsidRDefault="00454A29">
            <w:pPr>
              <w:pStyle w:val="ConsPlusNormal"/>
              <w:jc w:val="right"/>
            </w:pPr>
            <w:r>
              <w:t>8 262 861</w:t>
            </w:r>
          </w:p>
        </w:tc>
        <w:tc>
          <w:tcPr>
            <w:tcW w:w="1304" w:type="dxa"/>
            <w:vAlign w:val="center"/>
          </w:tcPr>
          <w:p w14:paraId="64D363CE" w14:textId="77777777" w:rsidR="00454A29" w:rsidRDefault="00454A29">
            <w:pPr>
              <w:pStyle w:val="ConsPlusNormal"/>
              <w:jc w:val="right"/>
            </w:pPr>
            <w:r>
              <w:t>9 023 917</w:t>
            </w:r>
          </w:p>
        </w:tc>
        <w:tc>
          <w:tcPr>
            <w:tcW w:w="1304" w:type="dxa"/>
            <w:vAlign w:val="center"/>
          </w:tcPr>
          <w:p w14:paraId="1CA8BDD7" w14:textId="77777777" w:rsidR="00454A29" w:rsidRDefault="00454A29">
            <w:pPr>
              <w:pStyle w:val="ConsPlusNormal"/>
              <w:jc w:val="right"/>
            </w:pPr>
            <w:r>
              <w:t>9 023 917</w:t>
            </w:r>
          </w:p>
        </w:tc>
        <w:tc>
          <w:tcPr>
            <w:tcW w:w="1304" w:type="dxa"/>
            <w:vAlign w:val="center"/>
          </w:tcPr>
          <w:p w14:paraId="10879915" w14:textId="77777777" w:rsidR="00454A29" w:rsidRDefault="00454A29">
            <w:pPr>
              <w:pStyle w:val="ConsPlusNormal"/>
              <w:jc w:val="right"/>
            </w:pPr>
            <w:r>
              <w:t>-</w:t>
            </w:r>
          </w:p>
        </w:tc>
        <w:tc>
          <w:tcPr>
            <w:tcW w:w="1304" w:type="dxa"/>
            <w:vAlign w:val="center"/>
          </w:tcPr>
          <w:p w14:paraId="3D08620B" w14:textId="77777777" w:rsidR="00454A29" w:rsidRDefault="00454A29">
            <w:pPr>
              <w:pStyle w:val="ConsPlusNormal"/>
              <w:jc w:val="right"/>
            </w:pPr>
            <w:r>
              <w:t>-</w:t>
            </w:r>
          </w:p>
        </w:tc>
      </w:tr>
      <w:tr w:rsidR="00454A29" w14:paraId="1B0F3D1E" w14:textId="77777777">
        <w:tc>
          <w:tcPr>
            <w:tcW w:w="2041" w:type="dxa"/>
            <w:vMerge/>
          </w:tcPr>
          <w:p w14:paraId="4D9956AD" w14:textId="77777777" w:rsidR="00454A29" w:rsidRDefault="00454A29"/>
        </w:tc>
        <w:tc>
          <w:tcPr>
            <w:tcW w:w="3005" w:type="dxa"/>
            <w:vMerge/>
          </w:tcPr>
          <w:p w14:paraId="0E9F097C" w14:textId="77777777" w:rsidR="00454A29" w:rsidRDefault="00454A29"/>
        </w:tc>
        <w:tc>
          <w:tcPr>
            <w:tcW w:w="2778" w:type="dxa"/>
            <w:vAlign w:val="center"/>
          </w:tcPr>
          <w:p w14:paraId="063B9D56" w14:textId="77777777" w:rsidR="00454A29" w:rsidRDefault="00454A29">
            <w:pPr>
              <w:pStyle w:val="ConsPlusNormal"/>
            </w:pPr>
            <w:r>
              <w:t>Федеральный бюджет</w:t>
            </w:r>
          </w:p>
        </w:tc>
        <w:tc>
          <w:tcPr>
            <w:tcW w:w="1304" w:type="dxa"/>
            <w:vAlign w:val="center"/>
          </w:tcPr>
          <w:p w14:paraId="380FA411" w14:textId="77777777" w:rsidR="00454A29" w:rsidRDefault="00454A29">
            <w:pPr>
              <w:pStyle w:val="ConsPlusNormal"/>
              <w:jc w:val="right"/>
            </w:pPr>
            <w:r>
              <w:t>-</w:t>
            </w:r>
          </w:p>
        </w:tc>
        <w:tc>
          <w:tcPr>
            <w:tcW w:w="1247" w:type="dxa"/>
            <w:vAlign w:val="center"/>
          </w:tcPr>
          <w:p w14:paraId="4B15E004" w14:textId="77777777" w:rsidR="00454A29" w:rsidRDefault="00454A29">
            <w:pPr>
              <w:pStyle w:val="ConsPlusNormal"/>
              <w:jc w:val="right"/>
            </w:pPr>
            <w:r>
              <w:t>-</w:t>
            </w:r>
          </w:p>
        </w:tc>
        <w:tc>
          <w:tcPr>
            <w:tcW w:w="1304" w:type="dxa"/>
            <w:vAlign w:val="center"/>
          </w:tcPr>
          <w:p w14:paraId="213FCA01" w14:textId="77777777" w:rsidR="00454A29" w:rsidRDefault="00454A29">
            <w:pPr>
              <w:pStyle w:val="ConsPlusNormal"/>
              <w:jc w:val="right"/>
            </w:pPr>
            <w:r>
              <w:t>-</w:t>
            </w:r>
          </w:p>
        </w:tc>
        <w:tc>
          <w:tcPr>
            <w:tcW w:w="1304" w:type="dxa"/>
            <w:vAlign w:val="center"/>
          </w:tcPr>
          <w:p w14:paraId="273545F5" w14:textId="77777777" w:rsidR="00454A29" w:rsidRDefault="00454A29">
            <w:pPr>
              <w:pStyle w:val="ConsPlusNormal"/>
              <w:jc w:val="right"/>
            </w:pPr>
            <w:r>
              <w:t>-</w:t>
            </w:r>
          </w:p>
        </w:tc>
        <w:tc>
          <w:tcPr>
            <w:tcW w:w="1304" w:type="dxa"/>
            <w:vAlign w:val="center"/>
          </w:tcPr>
          <w:p w14:paraId="41C98752" w14:textId="77777777" w:rsidR="00454A29" w:rsidRDefault="00454A29">
            <w:pPr>
              <w:pStyle w:val="ConsPlusNormal"/>
              <w:jc w:val="right"/>
            </w:pPr>
            <w:r>
              <w:t>-</w:t>
            </w:r>
          </w:p>
        </w:tc>
        <w:tc>
          <w:tcPr>
            <w:tcW w:w="1304" w:type="dxa"/>
            <w:vAlign w:val="center"/>
          </w:tcPr>
          <w:p w14:paraId="6B591AEB" w14:textId="77777777" w:rsidR="00454A29" w:rsidRDefault="00454A29">
            <w:pPr>
              <w:pStyle w:val="ConsPlusNormal"/>
              <w:jc w:val="right"/>
            </w:pPr>
            <w:r>
              <w:t>-</w:t>
            </w:r>
          </w:p>
        </w:tc>
        <w:tc>
          <w:tcPr>
            <w:tcW w:w="1304" w:type="dxa"/>
            <w:vAlign w:val="center"/>
          </w:tcPr>
          <w:p w14:paraId="546AAA2C" w14:textId="77777777" w:rsidR="00454A29" w:rsidRDefault="00454A29">
            <w:pPr>
              <w:pStyle w:val="ConsPlusNormal"/>
              <w:jc w:val="right"/>
            </w:pPr>
            <w:r>
              <w:t>-</w:t>
            </w:r>
          </w:p>
        </w:tc>
      </w:tr>
      <w:tr w:rsidR="00454A29" w14:paraId="31E18521" w14:textId="77777777">
        <w:tc>
          <w:tcPr>
            <w:tcW w:w="2041" w:type="dxa"/>
            <w:vMerge/>
          </w:tcPr>
          <w:p w14:paraId="32A8674A" w14:textId="77777777" w:rsidR="00454A29" w:rsidRDefault="00454A29"/>
        </w:tc>
        <w:tc>
          <w:tcPr>
            <w:tcW w:w="3005" w:type="dxa"/>
            <w:vMerge/>
          </w:tcPr>
          <w:p w14:paraId="018F4EFD" w14:textId="77777777" w:rsidR="00454A29" w:rsidRDefault="00454A29"/>
        </w:tc>
        <w:tc>
          <w:tcPr>
            <w:tcW w:w="2778" w:type="dxa"/>
            <w:vAlign w:val="center"/>
          </w:tcPr>
          <w:p w14:paraId="71D5EFDD" w14:textId="77777777" w:rsidR="00454A29" w:rsidRDefault="00454A29">
            <w:pPr>
              <w:pStyle w:val="ConsPlusNormal"/>
            </w:pPr>
            <w:r>
              <w:t>Местные бюджеты</w:t>
            </w:r>
          </w:p>
        </w:tc>
        <w:tc>
          <w:tcPr>
            <w:tcW w:w="1304" w:type="dxa"/>
            <w:vAlign w:val="center"/>
          </w:tcPr>
          <w:p w14:paraId="375FD4B8" w14:textId="77777777" w:rsidR="00454A29" w:rsidRDefault="00454A29">
            <w:pPr>
              <w:pStyle w:val="ConsPlusNormal"/>
            </w:pPr>
          </w:p>
        </w:tc>
        <w:tc>
          <w:tcPr>
            <w:tcW w:w="1247" w:type="dxa"/>
            <w:vAlign w:val="center"/>
          </w:tcPr>
          <w:p w14:paraId="7270575B" w14:textId="77777777" w:rsidR="00454A29" w:rsidRDefault="00454A29">
            <w:pPr>
              <w:pStyle w:val="ConsPlusNormal"/>
            </w:pPr>
          </w:p>
        </w:tc>
        <w:tc>
          <w:tcPr>
            <w:tcW w:w="1304" w:type="dxa"/>
            <w:vAlign w:val="center"/>
          </w:tcPr>
          <w:p w14:paraId="5AD426F5" w14:textId="77777777" w:rsidR="00454A29" w:rsidRDefault="00454A29">
            <w:pPr>
              <w:pStyle w:val="ConsPlusNormal"/>
            </w:pPr>
          </w:p>
        </w:tc>
        <w:tc>
          <w:tcPr>
            <w:tcW w:w="1304" w:type="dxa"/>
            <w:vAlign w:val="center"/>
          </w:tcPr>
          <w:p w14:paraId="17E76A3C" w14:textId="77777777" w:rsidR="00454A29" w:rsidRDefault="00454A29">
            <w:pPr>
              <w:pStyle w:val="ConsPlusNormal"/>
            </w:pPr>
          </w:p>
        </w:tc>
        <w:tc>
          <w:tcPr>
            <w:tcW w:w="1304" w:type="dxa"/>
            <w:vAlign w:val="center"/>
          </w:tcPr>
          <w:p w14:paraId="23E3427C" w14:textId="77777777" w:rsidR="00454A29" w:rsidRDefault="00454A29">
            <w:pPr>
              <w:pStyle w:val="ConsPlusNormal"/>
            </w:pPr>
          </w:p>
        </w:tc>
        <w:tc>
          <w:tcPr>
            <w:tcW w:w="1304" w:type="dxa"/>
            <w:vAlign w:val="center"/>
          </w:tcPr>
          <w:p w14:paraId="607A5BD9" w14:textId="77777777" w:rsidR="00454A29" w:rsidRDefault="00454A29">
            <w:pPr>
              <w:pStyle w:val="ConsPlusNormal"/>
            </w:pPr>
          </w:p>
        </w:tc>
        <w:tc>
          <w:tcPr>
            <w:tcW w:w="1304" w:type="dxa"/>
            <w:vAlign w:val="center"/>
          </w:tcPr>
          <w:p w14:paraId="512274A3" w14:textId="77777777" w:rsidR="00454A29" w:rsidRDefault="00454A29">
            <w:pPr>
              <w:pStyle w:val="ConsPlusNormal"/>
            </w:pPr>
          </w:p>
        </w:tc>
      </w:tr>
      <w:tr w:rsidR="00454A29" w14:paraId="1A3E00C9" w14:textId="77777777">
        <w:tc>
          <w:tcPr>
            <w:tcW w:w="2041" w:type="dxa"/>
            <w:vMerge/>
          </w:tcPr>
          <w:p w14:paraId="33BD1CC1" w14:textId="77777777" w:rsidR="00454A29" w:rsidRDefault="00454A29"/>
        </w:tc>
        <w:tc>
          <w:tcPr>
            <w:tcW w:w="3005" w:type="dxa"/>
            <w:vMerge/>
          </w:tcPr>
          <w:p w14:paraId="7904E2D0" w14:textId="77777777" w:rsidR="00454A29" w:rsidRDefault="00454A29"/>
        </w:tc>
        <w:tc>
          <w:tcPr>
            <w:tcW w:w="2778" w:type="dxa"/>
            <w:vAlign w:val="center"/>
          </w:tcPr>
          <w:p w14:paraId="4B7E4970" w14:textId="77777777" w:rsidR="00454A29" w:rsidRDefault="00454A29">
            <w:pPr>
              <w:pStyle w:val="ConsPlusNormal"/>
            </w:pPr>
            <w:r>
              <w:t>Внебюджетные средства</w:t>
            </w:r>
          </w:p>
        </w:tc>
        <w:tc>
          <w:tcPr>
            <w:tcW w:w="1304" w:type="dxa"/>
            <w:vAlign w:val="center"/>
          </w:tcPr>
          <w:p w14:paraId="46D41B8A" w14:textId="77777777" w:rsidR="00454A29" w:rsidRDefault="00454A29">
            <w:pPr>
              <w:pStyle w:val="ConsPlusNormal"/>
            </w:pPr>
          </w:p>
        </w:tc>
        <w:tc>
          <w:tcPr>
            <w:tcW w:w="1247" w:type="dxa"/>
            <w:vAlign w:val="center"/>
          </w:tcPr>
          <w:p w14:paraId="52314C68" w14:textId="77777777" w:rsidR="00454A29" w:rsidRDefault="00454A29">
            <w:pPr>
              <w:pStyle w:val="ConsPlusNormal"/>
            </w:pPr>
          </w:p>
        </w:tc>
        <w:tc>
          <w:tcPr>
            <w:tcW w:w="1304" w:type="dxa"/>
            <w:vAlign w:val="center"/>
          </w:tcPr>
          <w:p w14:paraId="484D125D" w14:textId="77777777" w:rsidR="00454A29" w:rsidRDefault="00454A29">
            <w:pPr>
              <w:pStyle w:val="ConsPlusNormal"/>
            </w:pPr>
          </w:p>
        </w:tc>
        <w:tc>
          <w:tcPr>
            <w:tcW w:w="1304" w:type="dxa"/>
            <w:vAlign w:val="center"/>
          </w:tcPr>
          <w:p w14:paraId="4FC658CB" w14:textId="77777777" w:rsidR="00454A29" w:rsidRDefault="00454A29">
            <w:pPr>
              <w:pStyle w:val="ConsPlusNormal"/>
            </w:pPr>
          </w:p>
        </w:tc>
        <w:tc>
          <w:tcPr>
            <w:tcW w:w="1304" w:type="dxa"/>
            <w:vAlign w:val="center"/>
          </w:tcPr>
          <w:p w14:paraId="074949E1" w14:textId="77777777" w:rsidR="00454A29" w:rsidRDefault="00454A29">
            <w:pPr>
              <w:pStyle w:val="ConsPlusNormal"/>
            </w:pPr>
          </w:p>
        </w:tc>
        <w:tc>
          <w:tcPr>
            <w:tcW w:w="1304" w:type="dxa"/>
            <w:vAlign w:val="center"/>
          </w:tcPr>
          <w:p w14:paraId="21A3DFF5" w14:textId="77777777" w:rsidR="00454A29" w:rsidRDefault="00454A29">
            <w:pPr>
              <w:pStyle w:val="ConsPlusNormal"/>
            </w:pPr>
          </w:p>
        </w:tc>
        <w:tc>
          <w:tcPr>
            <w:tcW w:w="1304" w:type="dxa"/>
            <w:vAlign w:val="center"/>
          </w:tcPr>
          <w:p w14:paraId="26D37BB8" w14:textId="77777777" w:rsidR="00454A29" w:rsidRDefault="00454A29">
            <w:pPr>
              <w:pStyle w:val="ConsPlusNormal"/>
            </w:pPr>
          </w:p>
        </w:tc>
      </w:tr>
      <w:tr w:rsidR="00454A29" w14:paraId="1618420B" w14:textId="77777777">
        <w:tc>
          <w:tcPr>
            <w:tcW w:w="2041" w:type="dxa"/>
            <w:vMerge w:val="restart"/>
            <w:vAlign w:val="center"/>
          </w:tcPr>
          <w:p w14:paraId="57B0E8AC" w14:textId="77777777" w:rsidR="00454A29" w:rsidRDefault="00454A29">
            <w:pPr>
              <w:pStyle w:val="ConsPlusNormal"/>
              <w:jc w:val="center"/>
            </w:pPr>
            <w:r>
              <w:t>Основное мероприятие 2.2.</w:t>
            </w:r>
          </w:p>
        </w:tc>
        <w:tc>
          <w:tcPr>
            <w:tcW w:w="3005" w:type="dxa"/>
            <w:vMerge w:val="restart"/>
            <w:vAlign w:val="center"/>
          </w:tcPr>
          <w:p w14:paraId="38DAFD87" w14:textId="77777777" w:rsidR="00454A29" w:rsidRDefault="00454A29">
            <w:pPr>
              <w:pStyle w:val="ConsPlusNormal"/>
              <w:jc w:val="center"/>
            </w:pPr>
            <w:r>
              <w:t>Развитие общего образования "Открытая школа"</w:t>
            </w:r>
          </w:p>
        </w:tc>
        <w:tc>
          <w:tcPr>
            <w:tcW w:w="2778" w:type="dxa"/>
            <w:vAlign w:val="center"/>
          </w:tcPr>
          <w:p w14:paraId="443D053A" w14:textId="77777777" w:rsidR="00454A29" w:rsidRDefault="00454A29">
            <w:pPr>
              <w:pStyle w:val="ConsPlusNormal"/>
            </w:pPr>
            <w:r>
              <w:t>Всего:</w:t>
            </w:r>
          </w:p>
        </w:tc>
        <w:tc>
          <w:tcPr>
            <w:tcW w:w="1304" w:type="dxa"/>
            <w:vAlign w:val="center"/>
          </w:tcPr>
          <w:p w14:paraId="73FE4C19" w14:textId="77777777" w:rsidR="00454A29" w:rsidRDefault="00454A29">
            <w:pPr>
              <w:pStyle w:val="ConsPlusNormal"/>
              <w:jc w:val="right"/>
            </w:pPr>
            <w:r>
              <w:t>18 425 615</w:t>
            </w:r>
          </w:p>
        </w:tc>
        <w:tc>
          <w:tcPr>
            <w:tcW w:w="1247" w:type="dxa"/>
            <w:vAlign w:val="center"/>
          </w:tcPr>
          <w:p w14:paraId="7DBA469A" w14:textId="77777777" w:rsidR="00454A29" w:rsidRDefault="00454A29">
            <w:pPr>
              <w:pStyle w:val="ConsPlusNormal"/>
              <w:jc w:val="right"/>
            </w:pPr>
            <w:r>
              <w:t>18 488 245</w:t>
            </w:r>
          </w:p>
        </w:tc>
        <w:tc>
          <w:tcPr>
            <w:tcW w:w="1304" w:type="dxa"/>
            <w:vAlign w:val="center"/>
          </w:tcPr>
          <w:p w14:paraId="6E3374F5" w14:textId="77777777" w:rsidR="00454A29" w:rsidRDefault="00454A29">
            <w:pPr>
              <w:pStyle w:val="ConsPlusNormal"/>
              <w:jc w:val="right"/>
            </w:pPr>
            <w:r>
              <w:t>18 487 709</w:t>
            </w:r>
          </w:p>
        </w:tc>
        <w:tc>
          <w:tcPr>
            <w:tcW w:w="1304" w:type="dxa"/>
            <w:vAlign w:val="center"/>
          </w:tcPr>
          <w:p w14:paraId="471AD450" w14:textId="77777777" w:rsidR="00454A29" w:rsidRDefault="00454A29">
            <w:pPr>
              <w:pStyle w:val="ConsPlusNormal"/>
              <w:jc w:val="right"/>
            </w:pPr>
            <w:r>
              <w:t>23 477 887</w:t>
            </w:r>
          </w:p>
        </w:tc>
        <w:tc>
          <w:tcPr>
            <w:tcW w:w="1304" w:type="dxa"/>
            <w:vAlign w:val="center"/>
          </w:tcPr>
          <w:p w14:paraId="6B4FDDE5" w14:textId="77777777" w:rsidR="00454A29" w:rsidRDefault="00454A29">
            <w:pPr>
              <w:pStyle w:val="ConsPlusNormal"/>
              <w:jc w:val="right"/>
            </w:pPr>
            <w:r>
              <w:t>24 792 043</w:t>
            </w:r>
          </w:p>
        </w:tc>
        <w:tc>
          <w:tcPr>
            <w:tcW w:w="1304" w:type="dxa"/>
            <w:vAlign w:val="center"/>
          </w:tcPr>
          <w:p w14:paraId="72009C6A" w14:textId="77777777" w:rsidR="00454A29" w:rsidRDefault="00454A29">
            <w:pPr>
              <w:pStyle w:val="ConsPlusNormal"/>
              <w:jc w:val="right"/>
            </w:pPr>
            <w:r>
              <w:t>-</w:t>
            </w:r>
          </w:p>
        </w:tc>
        <w:tc>
          <w:tcPr>
            <w:tcW w:w="1304" w:type="dxa"/>
            <w:vAlign w:val="center"/>
          </w:tcPr>
          <w:p w14:paraId="1C7D8306" w14:textId="77777777" w:rsidR="00454A29" w:rsidRDefault="00454A29">
            <w:pPr>
              <w:pStyle w:val="ConsPlusNormal"/>
              <w:jc w:val="right"/>
            </w:pPr>
            <w:r>
              <w:t>-</w:t>
            </w:r>
          </w:p>
        </w:tc>
      </w:tr>
      <w:tr w:rsidR="00454A29" w14:paraId="6DC85C9B" w14:textId="77777777">
        <w:tc>
          <w:tcPr>
            <w:tcW w:w="2041" w:type="dxa"/>
            <w:vMerge/>
          </w:tcPr>
          <w:p w14:paraId="3BAA50B3" w14:textId="77777777" w:rsidR="00454A29" w:rsidRDefault="00454A29"/>
        </w:tc>
        <w:tc>
          <w:tcPr>
            <w:tcW w:w="3005" w:type="dxa"/>
            <w:vMerge/>
          </w:tcPr>
          <w:p w14:paraId="0FE6BF6B" w14:textId="77777777" w:rsidR="00454A29" w:rsidRDefault="00454A29"/>
        </w:tc>
        <w:tc>
          <w:tcPr>
            <w:tcW w:w="2778" w:type="dxa"/>
            <w:vAlign w:val="center"/>
          </w:tcPr>
          <w:p w14:paraId="224A1DED" w14:textId="77777777" w:rsidR="00454A29" w:rsidRDefault="00454A29">
            <w:pPr>
              <w:pStyle w:val="ConsPlusNormal"/>
            </w:pPr>
            <w:r>
              <w:t>Государственный бюджет Республики Саха (Якутия)</w:t>
            </w:r>
          </w:p>
        </w:tc>
        <w:tc>
          <w:tcPr>
            <w:tcW w:w="1304" w:type="dxa"/>
            <w:vAlign w:val="center"/>
          </w:tcPr>
          <w:p w14:paraId="106ACD77" w14:textId="77777777" w:rsidR="00454A29" w:rsidRDefault="00454A29">
            <w:pPr>
              <w:pStyle w:val="ConsPlusNormal"/>
              <w:jc w:val="right"/>
            </w:pPr>
            <w:r>
              <w:t>18 411 665</w:t>
            </w:r>
          </w:p>
        </w:tc>
        <w:tc>
          <w:tcPr>
            <w:tcW w:w="1247" w:type="dxa"/>
            <w:vAlign w:val="center"/>
          </w:tcPr>
          <w:p w14:paraId="6C5902D4" w14:textId="77777777" w:rsidR="00454A29" w:rsidRDefault="00454A29">
            <w:pPr>
              <w:pStyle w:val="ConsPlusNormal"/>
              <w:jc w:val="right"/>
            </w:pPr>
            <w:r>
              <w:t>18 474 295</w:t>
            </w:r>
          </w:p>
        </w:tc>
        <w:tc>
          <w:tcPr>
            <w:tcW w:w="1304" w:type="dxa"/>
            <w:vAlign w:val="center"/>
          </w:tcPr>
          <w:p w14:paraId="2DCE6C7D" w14:textId="77777777" w:rsidR="00454A29" w:rsidRDefault="00454A29">
            <w:pPr>
              <w:pStyle w:val="ConsPlusNormal"/>
              <w:jc w:val="right"/>
            </w:pPr>
            <w:r>
              <w:t>18 473 759</w:t>
            </w:r>
          </w:p>
        </w:tc>
        <w:tc>
          <w:tcPr>
            <w:tcW w:w="1304" w:type="dxa"/>
            <w:vAlign w:val="center"/>
          </w:tcPr>
          <w:p w14:paraId="6324B96C" w14:textId="77777777" w:rsidR="00454A29" w:rsidRDefault="00454A29">
            <w:pPr>
              <w:pStyle w:val="ConsPlusNormal"/>
              <w:jc w:val="right"/>
            </w:pPr>
            <w:r>
              <w:t>23 463 937</w:t>
            </w:r>
          </w:p>
        </w:tc>
        <w:tc>
          <w:tcPr>
            <w:tcW w:w="1304" w:type="dxa"/>
            <w:vAlign w:val="center"/>
          </w:tcPr>
          <w:p w14:paraId="12EA3F0D" w14:textId="77777777" w:rsidR="00454A29" w:rsidRDefault="00454A29">
            <w:pPr>
              <w:pStyle w:val="ConsPlusNormal"/>
              <w:jc w:val="right"/>
            </w:pPr>
            <w:r>
              <w:t>24 778 093</w:t>
            </w:r>
          </w:p>
        </w:tc>
        <w:tc>
          <w:tcPr>
            <w:tcW w:w="1304" w:type="dxa"/>
            <w:vAlign w:val="center"/>
          </w:tcPr>
          <w:p w14:paraId="3F818EE5" w14:textId="77777777" w:rsidR="00454A29" w:rsidRDefault="00454A29">
            <w:pPr>
              <w:pStyle w:val="ConsPlusNormal"/>
              <w:jc w:val="right"/>
            </w:pPr>
            <w:r>
              <w:t>-</w:t>
            </w:r>
          </w:p>
        </w:tc>
        <w:tc>
          <w:tcPr>
            <w:tcW w:w="1304" w:type="dxa"/>
            <w:vAlign w:val="center"/>
          </w:tcPr>
          <w:p w14:paraId="6853B15E" w14:textId="77777777" w:rsidR="00454A29" w:rsidRDefault="00454A29">
            <w:pPr>
              <w:pStyle w:val="ConsPlusNormal"/>
              <w:jc w:val="right"/>
            </w:pPr>
            <w:r>
              <w:t>-</w:t>
            </w:r>
          </w:p>
        </w:tc>
      </w:tr>
      <w:tr w:rsidR="00454A29" w14:paraId="7C61C6D4" w14:textId="77777777">
        <w:tc>
          <w:tcPr>
            <w:tcW w:w="2041" w:type="dxa"/>
            <w:vMerge/>
          </w:tcPr>
          <w:p w14:paraId="3A959102" w14:textId="77777777" w:rsidR="00454A29" w:rsidRDefault="00454A29"/>
        </w:tc>
        <w:tc>
          <w:tcPr>
            <w:tcW w:w="3005" w:type="dxa"/>
            <w:vMerge/>
          </w:tcPr>
          <w:p w14:paraId="16E8C662" w14:textId="77777777" w:rsidR="00454A29" w:rsidRDefault="00454A29"/>
        </w:tc>
        <w:tc>
          <w:tcPr>
            <w:tcW w:w="2778" w:type="dxa"/>
            <w:vAlign w:val="center"/>
          </w:tcPr>
          <w:p w14:paraId="7B0F4A1B" w14:textId="77777777" w:rsidR="00454A29" w:rsidRDefault="00454A29">
            <w:pPr>
              <w:pStyle w:val="ConsPlusNormal"/>
            </w:pPr>
            <w:r>
              <w:t>Федеральный бюджет</w:t>
            </w:r>
          </w:p>
        </w:tc>
        <w:tc>
          <w:tcPr>
            <w:tcW w:w="1304" w:type="dxa"/>
            <w:vAlign w:val="center"/>
          </w:tcPr>
          <w:p w14:paraId="149AE9F8" w14:textId="77777777" w:rsidR="00454A29" w:rsidRDefault="00454A29">
            <w:pPr>
              <w:pStyle w:val="ConsPlusNormal"/>
              <w:jc w:val="right"/>
            </w:pPr>
            <w:r>
              <w:t>-</w:t>
            </w:r>
          </w:p>
        </w:tc>
        <w:tc>
          <w:tcPr>
            <w:tcW w:w="1247" w:type="dxa"/>
            <w:vAlign w:val="center"/>
          </w:tcPr>
          <w:p w14:paraId="160E81D3" w14:textId="77777777" w:rsidR="00454A29" w:rsidRDefault="00454A29">
            <w:pPr>
              <w:pStyle w:val="ConsPlusNormal"/>
              <w:jc w:val="right"/>
            </w:pPr>
            <w:r>
              <w:t>-</w:t>
            </w:r>
          </w:p>
        </w:tc>
        <w:tc>
          <w:tcPr>
            <w:tcW w:w="1304" w:type="dxa"/>
            <w:vAlign w:val="center"/>
          </w:tcPr>
          <w:p w14:paraId="45972E01" w14:textId="77777777" w:rsidR="00454A29" w:rsidRDefault="00454A29">
            <w:pPr>
              <w:pStyle w:val="ConsPlusNormal"/>
              <w:jc w:val="right"/>
            </w:pPr>
            <w:r>
              <w:t>-</w:t>
            </w:r>
          </w:p>
        </w:tc>
        <w:tc>
          <w:tcPr>
            <w:tcW w:w="1304" w:type="dxa"/>
            <w:vAlign w:val="center"/>
          </w:tcPr>
          <w:p w14:paraId="53CCB899" w14:textId="77777777" w:rsidR="00454A29" w:rsidRDefault="00454A29">
            <w:pPr>
              <w:pStyle w:val="ConsPlusNormal"/>
              <w:jc w:val="right"/>
            </w:pPr>
            <w:r>
              <w:t>-</w:t>
            </w:r>
          </w:p>
        </w:tc>
        <w:tc>
          <w:tcPr>
            <w:tcW w:w="1304" w:type="dxa"/>
            <w:vAlign w:val="center"/>
          </w:tcPr>
          <w:p w14:paraId="6FD2B66C" w14:textId="77777777" w:rsidR="00454A29" w:rsidRDefault="00454A29">
            <w:pPr>
              <w:pStyle w:val="ConsPlusNormal"/>
              <w:jc w:val="right"/>
            </w:pPr>
            <w:r>
              <w:t>-</w:t>
            </w:r>
          </w:p>
        </w:tc>
        <w:tc>
          <w:tcPr>
            <w:tcW w:w="1304" w:type="dxa"/>
            <w:vAlign w:val="center"/>
          </w:tcPr>
          <w:p w14:paraId="01AD3C35" w14:textId="77777777" w:rsidR="00454A29" w:rsidRDefault="00454A29">
            <w:pPr>
              <w:pStyle w:val="ConsPlusNormal"/>
              <w:jc w:val="right"/>
            </w:pPr>
            <w:r>
              <w:t>-</w:t>
            </w:r>
          </w:p>
        </w:tc>
        <w:tc>
          <w:tcPr>
            <w:tcW w:w="1304" w:type="dxa"/>
            <w:vAlign w:val="center"/>
          </w:tcPr>
          <w:p w14:paraId="6DEB712D" w14:textId="77777777" w:rsidR="00454A29" w:rsidRDefault="00454A29">
            <w:pPr>
              <w:pStyle w:val="ConsPlusNormal"/>
              <w:jc w:val="right"/>
            </w:pPr>
            <w:r>
              <w:t>-</w:t>
            </w:r>
          </w:p>
        </w:tc>
      </w:tr>
      <w:tr w:rsidR="00454A29" w14:paraId="366C6F00" w14:textId="77777777">
        <w:tc>
          <w:tcPr>
            <w:tcW w:w="2041" w:type="dxa"/>
            <w:vMerge/>
          </w:tcPr>
          <w:p w14:paraId="4E15B11F" w14:textId="77777777" w:rsidR="00454A29" w:rsidRDefault="00454A29"/>
        </w:tc>
        <w:tc>
          <w:tcPr>
            <w:tcW w:w="3005" w:type="dxa"/>
            <w:vMerge/>
          </w:tcPr>
          <w:p w14:paraId="3138C0B6" w14:textId="77777777" w:rsidR="00454A29" w:rsidRDefault="00454A29"/>
        </w:tc>
        <w:tc>
          <w:tcPr>
            <w:tcW w:w="2778" w:type="dxa"/>
            <w:vAlign w:val="center"/>
          </w:tcPr>
          <w:p w14:paraId="6945E6C6" w14:textId="77777777" w:rsidR="00454A29" w:rsidRDefault="00454A29">
            <w:pPr>
              <w:pStyle w:val="ConsPlusNormal"/>
            </w:pPr>
            <w:r>
              <w:t>Местные бюджеты</w:t>
            </w:r>
          </w:p>
        </w:tc>
        <w:tc>
          <w:tcPr>
            <w:tcW w:w="1304" w:type="dxa"/>
            <w:vAlign w:val="center"/>
          </w:tcPr>
          <w:p w14:paraId="39B31FE8" w14:textId="77777777" w:rsidR="00454A29" w:rsidRDefault="00454A29">
            <w:pPr>
              <w:pStyle w:val="ConsPlusNormal"/>
              <w:jc w:val="right"/>
            </w:pPr>
            <w:r>
              <w:t>-</w:t>
            </w:r>
          </w:p>
        </w:tc>
        <w:tc>
          <w:tcPr>
            <w:tcW w:w="1247" w:type="dxa"/>
            <w:vAlign w:val="center"/>
          </w:tcPr>
          <w:p w14:paraId="27DBE94A" w14:textId="77777777" w:rsidR="00454A29" w:rsidRDefault="00454A29">
            <w:pPr>
              <w:pStyle w:val="ConsPlusNormal"/>
              <w:jc w:val="right"/>
            </w:pPr>
            <w:r>
              <w:t>-</w:t>
            </w:r>
          </w:p>
        </w:tc>
        <w:tc>
          <w:tcPr>
            <w:tcW w:w="1304" w:type="dxa"/>
            <w:vAlign w:val="center"/>
          </w:tcPr>
          <w:p w14:paraId="3A9185D6" w14:textId="77777777" w:rsidR="00454A29" w:rsidRDefault="00454A29">
            <w:pPr>
              <w:pStyle w:val="ConsPlusNormal"/>
              <w:jc w:val="right"/>
            </w:pPr>
            <w:r>
              <w:t>-</w:t>
            </w:r>
          </w:p>
        </w:tc>
        <w:tc>
          <w:tcPr>
            <w:tcW w:w="1304" w:type="dxa"/>
            <w:vAlign w:val="center"/>
          </w:tcPr>
          <w:p w14:paraId="7BC8474B" w14:textId="77777777" w:rsidR="00454A29" w:rsidRDefault="00454A29">
            <w:pPr>
              <w:pStyle w:val="ConsPlusNormal"/>
              <w:jc w:val="right"/>
            </w:pPr>
            <w:r>
              <w:t>-</w:t>
            </w:r>
          </w:p>
        </w:tc>
        <w:tc>
          <w:tcPr>
            <w:tcW w:w="1304" w:type="dxa"/>
            <w:vAlign w:val="center"/>
          </w:tcPr>
          <w:p w14:paraId="4D63FF4F" w14:textId="77777777" w:rsidR="00454A29" w:rsidRDefault="00454A29">
            <w:pPr>
              <w:pStyle w:val="ConsPlusNormal"/>
              <w:jc w:val="right"/>
            </w:pPr>
            <w:r>
              <w:t>-</w:t>
            </w:r>
          </w:p>
        </w:tc>
        <w:tc>
          <w:tcPr>
            <w:tcW w:w="1304" w:type="dxa"/>
            <w:vAlign w:val="center"/>
          </w:tcPr>
          <w:p w14:paraId="1046454E" w14:textId="77777777" w:rsidR="00454A29" w:rsidRDefault="00454A29">
            <w:pPr>
              <w:pStyle w:val="ConsPlusNormal"/>
              <w:jc w:val="right"/>
            </w:pPr>
            <w:r>
              <w:t>-</w:t>
            </w:r>
          </w:p>
        </w:tc>
        <w:tc>
          <w:tcPr>
            <w:tcW w:w="1304" w:type="dxa"/>
            <w:vAlign w:val="center"/>
          </w:tcPr>
          <w:p w14:paraId="72DD7F60" w14:textId="77777777" w:rsidR="00454A29" w:rsidRDefault="00454A29">
            <w:pPr>
              <w:pStyle w:val="ConsPlusNormal"/>
              <w:jc w:val="right"/>
            </w:pPr>
            <w:r>
              <w:t>-</w:t>
            </w:r>
          </w:p>
        </w:tc>
      </w:tr>
      <w:tr w:rsidR="00454A29" w14:paraId="547BC93A" w14:textId="77777777">
        <w:tc>
          <w:tcPr>
            <w:tcW w:w="2041" w:type="dxa"/>
            <w:vMerge/>
          </w:tcPr>
          <w:p w14:paraId="78EB26D7" w14:textId="77777777" w:rsidR="00454A29" w:rsidRDefault="00454A29"/>
        </w:tc>
        <w:tc>
          <w:tcPr>
            <w:tcW w:w="3005" w:type="dxa"/>
            <w:vMerge/>
          </w:tcPr>
          <w:p w14:paraId="703E101F" w14:textId="77777777" w:rsidR="00454A29" w:rsidRDefault="00454A29"/>
        </w:tc>
        <w:tc>
          <w:tcPr>
            <w:tcW w:w="2778" w:type="dxa"/>
            <w:vAlign w:val="center"/>
          </w:tcPr>
          <w:p w14:paraId="17FD6595" w14:textId="77777777" w:rsidR="00454A29" w:rsidRDefault="00454A29">
            <w:pPr>
              <w:pStyle w:val="ConsPlusNormal"/>
            </w:pPr>
            <w:r>
              <w:t>Внебюджетные средства</w:t>
            </w:r>
          </w:p>
        </w:tc>
        <w:tc>
          <w:tcPr>
            <w:tcW w:w="1304" w:type="dxa"/>
            <w:vAlign w:val="center"/>
          </w:tcPr>
          <w:p w14:paraId="6F2EC364" w14:textId="77777777" w:rsidR="00454A29" w:rsidRDefault="00454A29">
            <w:pPr>
              <w:pStyle w:val="ConsPlusNormal"/>
              <w:jc w:val="right"/>
            </w:pPr>
            <w:r>
              <w:t>13 950</w:t>
            </w:r>
          </w:p>
        </w:tc>
        <w:tc>
          <w:tcPr>
            <w:tcW w:w="1247" w:type="dxa"/>
            <w:vAlign w:val="center"/>
          </w:tcPr>
          <w:p w14:paraId="700AD15B" w14:textId="77777777" w:rsidR="00454A29" w:rsidRDefault="00454A29">
            <w:pPr>
              <w:pStyle w:val="ConsPlusNormal"/>
              <w:jc w:val="right"/>
            </w:pPr>
            <w:r>
              <w:t>13 950</w:t>
            </w:r>
          </w:p>
        </w:tc>
        <w:tc>
          <w:tcPr>
            <w:tcW w:w="1304" w:type="dxa"/>
            <w:vAlign w:val="center"/>
          </w:tcPr>
          <w:p w14:paraId="6A0E7DFA" w14:textId="77777777" w:rsidR="00454A29" w:rsidRDefault="00454A29">
            <w:pPr>
              <w:pStyle w:val="ConsPlusNormal"/>
              <w:jc w:val="right"/>
            </w:pPr>
            <w:r>
              <w:t>13 950</w:t>
            </w:r>
          </w:p>
        </w:tc>
        <w:tc>
          <w:tcPr>
            <w:tcW w:w="1304" w:type="dxa"/>
            <w:vAlign w:val="center"/>
          </w:tcPr>
          <w:p w14:paraId="4903CBA4" w14:textId="77777777" w:rsidR="00454A29" w:rsidRDefault="00454A29">
            <w:pPr>
              <w:pStyle w:val="ConsPlusNormal"/>
              <w:jc w:val="right"/>
            </w:pPr>
            <w:r>
              <w:t>13 950</w:t>
            </w:r>
          </w:p>
        </w:tc>
        <w:tc>
          <w:tcPr>
            <w:tcW w:w="1304" w:type="dxa"/>
            <w:vAlign w:val="center"/>
          </w:tcPr>
          <w:p w14:paraId="31A83B08" w14:textId="77777777" w:rsidR="00454A29" w:rsidRDefault="00454A29">
            <w:pPr>
              <w:pStyle w:val="ConsPlusNormal"/>
              <w:jc w:val="right"/>
            </w:pPr>
            <w:r>
              <w:t>13 950</w:t>
            </w:r>
          </w:p>
        </w:tc>
        <w:tc>
          <w:tcPr>
            <w:tcW w:w="1304" w:type="dxa"/>
            <w:vAlign w:val="center"/>
          </w:tcPr>
          <w:p w14:paraId="1DED5D54" w14:textId="77777777" w:rsidR="00454A29" w:rsidRDefault="00454A29">
            <w:pPr>
              <w:pStyle w:val="ConsPlusNormal"/>
              <w:jc w:val="right"/>
            </w:pPr>
            <w:r>
              <w:t>-</w:t>
            </w:r>
          </w:p>
        </w:tc>
        <w:tc>
          <w:tcPr>
            <w:tcW w:w="1304" w:type="dxa"/>
            <w:vAlign w:val="center"/>
          </w:tcPr>
          <w:p w14:paraId="36221491" w14:textId="77777777" w:rsidR="00454A29" w:rsidRDefault="00454A29">
            <w:pPr>
              <w:pStyle w:val="ConsPlusNormal"/>
              <w:jc w:val="right"/>
            </w:pPr>
            <w:r>
              <w:t>-</w:t>
            </w:r>
          </w:p>
        </w:tc>
      </w:tr>
      <w:tr w:rsidR="00454A29" w14:paraId="40A70BF5" w14:textId="77777777">
        <w:tc>
          <w:tcPr>
            <w:tcW w:w="2041" w:type="dxa"/>
            <w:vMerge w:val="restart"/>
            <w:vAlign w:val="center"/>
          </w:tcPr>
          <w:p w14:paraId="2BE3AC02" w14:textId="77777777" w:rsidR="00454A29" w:rsidRDefault="00454A29">
            <w:pPr>
              <w:pStyle w:val="ConsPlusNormal"/>
              <w:jc w:val="center"/>
            </w:pPr>
            <w:r>
              <w:t>Основное мероприятие 2.3.</w:t>
            </w:r>
          </w:p>
        </w:tc>
        <w:tc>
          <w:tcPr>
            <w:tcW w:w="3005" w:type="dxa"/>
            <w:vMerge w:val="restart"/>
            <w:vAlign w:val="center"/>
          </w:tcPr>
          <w:p w14:paraId="584A9ED1" w14:textId="77777777" w:rsidR="00454A29" w:rsidRDefault="00454A29">
            <w:pPr>
              <w:pStyle w:val="ConsPlusNormal"/>
              <w:jc w:val="center"/>
            </w:pPr>
            <w:r>
              <w:t>Развитие региональной системы оценки качества общего образования, независимой оценки качества образовательных услуг</w:t>
            </w:r>
          </w:p>
        </w:tc>
        <w:tc>
          <w:tcPr>
            <w:tcW w:w="2778" w:type="dxa"/>
            <w:vAlign w:val="center"/>
          </w:tcPr>
          <w:p w14:paraId="41BBACD0" w14:textId="77777777" w:rsidR="00454A29" w:rsidRDefault="00454A29">
            <w:pPr>
              <w:pStyle w:val="ConsPlusNormal"/>
            </w:pPr>
            <w:r>
              <w:t>Всего:</w:t>
            </w:r>
          </w:p>
        </w:tc>
        <w:tc>
          <w:tcPr>
            <w:tcW w:w="1304" w:type="dxa"/>
            <w:vAlign w:val="center"/>
          </w:tcPr>
          <w:p w14:paraId="57E18F30" w14:textId="77777777" w:rsidR="00454A29" w:rsidRDefault="00454A29">
            <w:pPr>
              <w:pStyle w:val="ConsPlusNormal"/>
              <w:jc w:val="right"/>
            </w:pPr>
            <w:r>
              <w:t>22 176</w:t>
            </w:r>
          </w:p>
        </w:tc>
        <w:tc>
          <w:tcPr>
            <w:tcW w:w="1247" w:type="dxa"/>
            <w:vAlign w:val="center"/>
          </w:tcPr>
          <w:p w14:paraId="033F064C" w14:textId="77777777" w:rsidR="00454A29" w:rsidRDefault="00454A29">
            <w:pPr>
              <w:pStyle w:val="ConsPlusNormal"/>
              <w:jc w:val="right"/>
            </w:pPr>
            <w:r>
              <w:t>22 176</w:t>
            </w:r>
          </w:p>
        </w:tc>
        <w:tc>
          <w:tcPr>
            <w:tcW w:w="1304" w:type="dxa"/>
            <w:vAlign w:val="center"/>
          </w:tcPr>
          <w:p w14:paraId="23E14DA1" w14:textId="77777777" w:rsidR="00454A29" w:rsidRDefault="00454A29">
            <w:pPr>
              <w:pStyle w:val="ConsPlusNormal"/>
              <w:jc w:val="right"/>
            </w:pPr>
            <w:r>
              <w:t>22 176</w:t>
            </w:r>
          </w:p>
        </w:tc>
        <w:tc>
          <w:tcPr>
            <w:tcW w:w="1304" w:type="dxa"/>
            <w:vAlign w:val="center"/>
          </w:tcPr>
          <w:p w14:paraId="156BDFED" w14:textId="77777777" w:rsidR="00454A29" w:rsidRDefault="00454A29">
            <w:pPr>
              <w:pStyle w:val="ConsPlusNormal"/>
              <w:jc w:val="right"/>
            </w:pPr>
            <w:r>
              <w:t>25 200</w:t>
            </w:r>
          </w:p>
        </w:tc>
        <w:tc>
          <w:tcPr>
            <w:tcW w:w="1304" w:type="dxa"/>
            <w:vAlign w:val="center"/>
          </w:tcPr>
          <w:p w14:paraId="667A47AF" w14:textId="77777777" w:rsidR="00454A29" w:rsidRDefault="00454A29">
            <w:pPr>
              <w:pStyle w:val="ConsPlusNormal"/>
              <w:jc w:val="right"/>
            </w:pPr>
            <w:r>
              <w:t>25 200</w:t>
            </w:r>
          </w:p>
        </w:tc>
        <w:tc>
          <w:tcPr>
            <w:tcW w:w="1304" w:type="dxa"/>
            <w:vAlign w:val="center"/>
          </w:tcPr>
          <w:p w14:paraId="7C1CF470" w14:textId="77777777" w:rsidR="00454A29" w:rsidRDefault="00454A29">
            <w:pPr>
              <w:pStyle w:val="ConsPlusNormal"/>
              <w:jc w:val="right"/>
            </w:pPr>
            <w:r>
              <w:t>-</w:t>
            </w:r>
          </w:p>
        </w:tc>
        <w:tc>
          <w:tcPr>
            <w:tcW w:w="1304" w:type="dxa"/>
            <w:vAlign w:val="center"/>
          </w:tcPr>
          <w:p w14:paraId="7DDA7428" w14:textId="77777777" w:rsidR="00454A29" w:rsidRDefault="00454A29">
            <w:pPr>
              <w:pStyle w:val="ConsPlusNormal"/>
              <w:jc w:val="right"/>
            </w:pPr>
            <w:r>
              <w:t>-</w:t>
            </w:r>
          </w:p>
        </w:tc>
      </w:tr>
      <w:tr w:rsidR="00454A29" w14:paraId="3BD9D514" w14:textId="77777777">
        <w:tc>
          <w:tcPr>
            <w:tcW w:w="2041" w:type="dxa"/>
            <w:vMerge/>
          </w:tcPr>
          <w:p w14:paraId="63827F5B" w14:textId="77777777" w:rsidR="00454A29" w:rsidRDefault="00454A29"/>
        </w:tc>
        <w:tc>
          <w:tcPr>
            <w:tcW w:w="3005" w:type="dxa"/>
            <w:vMerge/>
          </w:tcPr>
          <w:p w14:paraId="205CBF98" w14:textId="77777777" w:rsidR="00454A29" w:rsidRDefault="00454A29"/>
        </w:tc>
        <w:tc>
          <w:tcPr>
            <w:tcW w:w="2778" w:type="dxa"/>
            <w:vAlign w:val="center"/>
          </w:tcPr>
          <w:p w14:paraId="212EF586" w14:textId="77777777" w:rsidR="00454A29" w:rsidRDefault="00454A29">
            <w:pPr>
              <w:pStyle w:val="ConsPlusNormal"/>
            </w:pPr>
            <w:r>
              <w:t>Государственный бюджет Республики Саха (Якутия)</w:t>
            </w:r>
          </w:p>
        </w:tc>
        <w:tc>
          <w:tcPr>
            <w:tcW w:w="1304" w:type="dxa"/>
            <w:vAlign w:val="center"/>
          </w:tcPr>
          <w:p w14:paraId="218DDE36" w14:textId="77777777" w:rsidR="00454A29" w:rsidRDefault="00454A29">
            <w:pPr>
              <w:pStyle w:val="ConsPlusNormal"/>
              <w:jc w:val="right"/>
            </w:pPr>
            <w:r>
              <w:t>22 176</w:t>
            </w:r>
          </w:p>
        </w:tc>
        <w:tc>
          <w:tcPr>
            <w:tcW w:w="1247" w:type="dxa"/>
            <w:vAlign w:val="center"/>
          </w:tcPr>
          <w:p w14:paraId="5A9290DC" w14:textId="77777777" w:rsidR="00454A29" w:rsidRDefault="00454A29">
            <w:pPr>
              <w:pStyle w:val="ConsPlusNormal"/>
              <w:jc w:val="right"/>
            </w:pPr>
            <w:r>
              <w:t>22 176</w:t>
            </w:r>
          </w:p>
        </w:tc>
        <w:tc>
          <w:tcPr>
            <w:tcW w:w="1304" w:type="dxa"/>
            <w:vAlign w:val="center"/>
          </w:tcPr>
          <w:p w14:paraId="43CC408E" w14:textId="77777777" w:rsidR="00454A29" w:rsidRDefault="00454A29">
            <w:pPr>
              <w:pStyle w:val="ConsPlusNormal"/>
              <w:jc w:val="right"/>
            </w:pPr>
            <w:r>
              <w:t>22 176</w:t>
            </w:r>
          </w:p>
        </w:tc>
        <w:tc>
          <w:tcPr>
            <w:tcW w:w="1304" w:type="dxa"/>
            <w:vAlign w:val="center"/>
          </w:tcPr>
          <w:p w14:paraId="0DD5725D" w14:textId="77777777" w:rsidR="00454A29" w:rsidRDefault="00454A29">
            <w:pPr>
              <w:pStyle w:val="ConsPlusNormal"/>
              <w:jc w:val="right"/>
            </w:pPr>
            <w:r>
              <w:t>25 200</w:t>
            </w:r>
          </w:p>
        </w:tc>
        <w:tc>
          <w:tcPr>
            <w:tcW w:w="1304" w:type="dxa"/>
            <w:vAlign w:val="center"/>
          </w:tcPr>
          <w:p w14:paraId="5091070B" w14:textId="77777777" w:rsidR="00454A29" w:rsidRDefault="00454A29">
            <w:pPr>
              <w:pStyle w:val="ConsPlusNormal"/>
              <w:jc w:val="right"/>
            </w:pPr>
            <w:r>
              <w:t>25 200</w:t>
            </w:r>
          </w:p>
        </w:tc>
        <w:tc>
          <w:tcPr>
            <w:tcW w:w="1304" w:type="dxa"/>
            <w:vAlign w:val="center"/>
          </w:tcPr>
          <w:p w14:paraId="66C7FFBE" w14:textId="77777777" w:rsidR="00454A29" w:rsidRDefault="00454A29">
            <w:pPr>
              <w:pStyle w:val="ConsPlusNormal"/>
              <w:jc w:val="right"/>
            </w:pPr>
            <w:r>
              <w:t>-</w:t>
            </w:r>
          </w:p>
        </w:tc>
        <w:tc>
          <w:tcPr>
            <w:tcW w:w="1304" w:type="dxa"/>
            <w:vAlign w:val="center"/>
          </w:tcPr>
          <w:p w14:paraId="21AB188E" w14:textId="77777777" w:rsidR="00454A29" w:rsidRDefault="00454A29">
            <w:pPr>
              <w:pStyle w:val="ConsPlusNormal"/>
              <w:jc w:val="right"/>
            </w:pPr>
            <w:r>
              <w:t>-</w:t>
            </w:r>
          </w:p>
        </w:tc>
      </w:tr>
      <w:tr w:rsidR="00454A29" w14:paraId="4BB33B1C" w14:textId="77777777">
        <w:tc>
          <w:tcPr>
            <w:tcW w:w="2041" w:type="dxa"/>
            <w:vMerge/>
          </w:tcPr>
          <w:p w14:paraId="2ED043C6" w14:textId="77777777" w:rsidR="00454A29" w:rsidRDefault="00454A29"/>
        </w:tc>
        <w:tc>
          <w:tcPr>
            <w:tcW w:w="3005" w:type="dxa"/>
            <w:vMerge/>
          </w:tcPr>
          <w:p w14:paraId="06C4BECD" w14:textId="77777777" w:rsidR="00454A29" w:rsidRDefault="00454A29"/>
        </w:tc>
        <w:tc>
          <w:tcPr>
            <w:tcW w:w="2778" w:type="dxa"/>
            <w:vAlign w:val="center"/>
          </w:tcPr>
          <w:p w14:paraId="44D876F8" w14:textId="77777777" w:rsidR="00454A29" w:rsidRDefault="00454A29">
            <w:pPr>
              <w:pStyle w:val="ConsPlusNormal"/>
            </w:pPr>
            <w:r>
              <w:t>Федеральный бюджет</w:t>
            </w:r>
          </w:p>
        </w:tc>
        <w:tc>
          <w:tcPr>
            <w:tcW w:w="1304" w:type="dxa"/>
            <w:vAlign w:val="center"/>
          </w:tcPr>
          <w:p w14:paraId="3F58E049" w14:textId="77777777" w:rsidR="00454A29" w:rsidRDefault="00454A29">
            <w:pPr>
              <w:pStyle w:val="ConsPlusNormal"/>
              <w:jc w:val="right"/>
            </w:pPr>
            <w:r>
              <w:t>-</w:t>
            </w:r>
          </w:p>
        </w:tc>
        <w:tc>
          <w:tcPr>
            <w:tcW w:w="1247" w:type="dxa"/>
            <w:vAlign w:val="center"/>
          </w:tcPr>
          <w:p w14:paraId="4FA12257" w14:textId="77777777" w:rsidR="00454A29" w:rsidRDefault="00454A29">
            <w:pPr>
              <w:pStyle w:val="ConsPlusNormal"/>
              <w:jc w:val="right"/>
            </w:pPr>
            <w:r>
              <w:t>-</w:t>
            </w:r>
          </w:p>
        </w:tc>
        <w:tc>
          <w:tcPr>
            <w:tcW w:w="1304" w:type="dxa"/>
            <w:vAlign w:val="center"/>
          </w:tcPr>
          <w:p w14:paraId="73AF4AEE" w14:textId="77777777" w:rsidR="00454A29" w:rsidRDefault="00454A29">
            <w:pPr>
              <w:pStyle w:val="ConsPlusNormal"/>
              <w:jc w:val="right"/>
            </w:pPr>
            <w:r>
              <w:t>-</w:t>
            </w:r>
          </w:p>
        </w:tc>
        <w:tc>
          <w:tcPr>
            <w:tcW w:w="1304" w:type="dxa"/>
            <w:vAlign w:val="center"/>
          </w:tcPr>
          <w:p w14:paraId="26DA78CF" w14:textId="77777777" w:rsidR="00454A29" w:rsidRDefault="00454A29">
            <w:pPr>
              <w:pStyle w:val="ConsPlusNormal"/>
              <w:jc w:val="right"/>
            </w:pPr>
            <w:r>
              <w:t>-</w:t>
            </w:r>
          </w:p>
        </w:tc>
        <w:tc>
          <w:tcPr>
            <w:tcW w:w="1304" w:type="dxa"/>
            <w:vAlign w:val="center"/>
          </w:tcPr>
          <w:p w14:paraId="265969DA" w14:textId="77777777" w:rsidR="00454A29" w:rsidRDefault="00454A29">
            <w:pPr>
              <w:pStyle w:val="ConsPlusNormal"/>
              <w:jc w:val="right"/>
            </w:pPr>
            <w:r>
              <w:t>-</w:t>
            </w:r>
          </w:p>
        </w:tc>
        <w:tc>
          <w:tcPr>
            <w:tcW w:w="1304" w:type="dxa"/>
            <w:vAlign w:val="center"/>
          </w:tcPr>
          <w:p w14:paraId="4F3EA311" w14:textId="77777777" w:rsidR="00454A29" w:rsidRDefault="00454A29">
            <w:pPr>
              <w:pStyle w:val="ConsPlusNormal"/>
              <w:jc w:val="right"/>
            </w:pPr>
            <w:r>
              <w:t>-</w:t>
            </w:r>
          </w:p>
        </w:tc>
        <w:tc>
          <w:tcPr>
            <w:tcW w:w="1304" w:type="dxa"/>
            <w:vAlign w:val="center"/>
          </w:tcPr>
          <w:p w14:paraId="310298F8" w14:textId="77777777" w:rsidR="00454A29" w:rsidRDefault="00454A29">
            <w:pPr>
              <w:pStyle w:val="ConsPlusNormal"/>
              <w:jc w:val="right"/>
            </w:pPr>
            <w:r>
              <w:t>-</w:t>
            </w:r>
          </w:p>
        </w:tc>
      </w:tr>
      <w:tr w:rsidR="00454A29" w14:paraId="760B5B9A" w14:textId="77777777">
        <w:tc>
          <w:tcPr>
            <w:tcW w:w="2041" w:type="dxa"/>
            <w:vMerge/>
          </w:tcPr>
          <w:p w14:paraId="35EF72EB" w14:textId="77777777" w:rsidR="00454A29" w:rsidRDefault="00454A29"/>
        </w:tc>
        <w:tc>
          <w:tcPr>
            <w:tcW w:w="3005" w:type="dxa"/>
            <w:vMerge/>
          </w:tcPr>
          <w:p w14:paraId="3E1881BB" w14:textId="77777777" w:rsidR="00454A29" w:rsidRDefault="00454A29"/>
        </w:tc>
        <w:tc>
          <w:tcPr>
            <w:tcW w:w="2778" w:type="dxa"/>
            <w:vAlign w:val="center"/>
          </w:tcPr>
          <w:p w14:paraId="4D35AD0A" w14:textId="77777777" w:rsidR="00454A29" w:rsidRDefault="00454A29">
            <w:pPr>
              <w:pStyle w:val="ConsPlusNormal"/>
            </w:pPr>
            <w:r>
              <w:t>Местные бюджеты</w:t>
            </w:r>
          </w:p>
        </w:tc>
        <w:tc>
          <w:tcPr>
            <w:tcW w:w="1304" w:type="dxa"/>
            <w:vAlign w:val="center"/>
          </w:tcPr>
          <w:p w14:paraId="1F3C24C3" w14:textId="77777777" w:rsidR="00454A29" w:rsidRDefault="00454A29">
            <w:pPr>
              <w:pStyle w:val="ConsPlusNormal"/>
              <w:jc w:val="right"/>
            </w:pPr>
            <w:r>
              <w:t>-</w:t>
            </w:r>
          </w:p>
        </w:tc>
        <w:tc>
          <w:tcPr>
            <w:tcW w:w="1247" w:type="dxa"/>
            <w:vAlign w:val="center"/>
          </w:tcPr>
          <w:p w14:paraId="615B154B" w14:textId="77777777" w:rsidR="00454A29" w:rsidRDefault="00454A29">
            <w:pPr>
              <w:pStyle w:val="ConsPlusNormal"/>
              <w:jc w:val="right"/>
            </w:pPr>
            <w:r>
              <w:t>-</w:t>
            </w:r>
          </w:p>
        </w:tc>
        <w:tc>
          <w:tcPr>
            <w:tcW w:w="1304" w:type="dxa"/>
            <w:vAlign w:val="center"/>
          </w:tcPr>
          <w:p w14:paraId="7E4CD0E2" w14:textId="77777777" w:rsidR="00454A29" w:rsidRDefault="00454A29">
            <w:pPr>
              <w:pStyle w:val="ConsPlusNormal"/>
              <w:jc w:val="right"/>
            </w:pPr>
            <w:r>
              <w:t>-</w:t>
            </w:r>
          </w:p>
        </w:tc>
        <w:tc>
          <w:tcPr>
            <w:tcW w:w="1304" w:type="dxa"/>
            <w:vAlign w:val="center"/>
          </w:tcPr>
          <w:p w14:paraId="63F66ADB" w14:textId="77777777" w:rsidR="00454A29" w:rsidRDefault="00454A29">
            <w:pPr>
              <w:pStyle w:val="ConsPlusNormal"/>
              <w:jc w:val="right"/>
            </w:pPr>
            <w:r>
              <w:t>-</w:t>
            </w:r>
          </w:p>
        </w:tc>
        <w:tc>
          <w:tcPr>
            <w:tcW w:w="1304" w:type="dxa"/>
            <w:vAlign w:val="center"/>
          </w:tcPr>
          <w:p w14:paraId="7F6E3E07" w14:textId="77777777" w:rsidR="00454A29" w:rsidRDefault="00454A29">
            <w:pPr>
              <w:pStyle w:val="ConsPlusNormal"/>
              <w:jc w:val="right"/>
            </w:pPr>
            <w:r>
              <w:t>-</w:t>
            </w:r>
          </w:p>
        </w:tc>
        <w:tc>
          <w:tcPr>
            <w:tcW w:w="1304" w:type="dxa"/>
            <w:vAlign w:val="center"/>
          </w:tcPr>
          <w:p w14:paraId="434E9704" w14:textId="77777777" w:rsidR="00454A29" w:rsidRDefault="00454A29">
            <w:pPr>
              <w:pStyle w:val="ConsPlusNormal"/>
              <w:jc w:val="right"/>
            </w:pPr>
            <w:r>
              <w:t>-</w:t>
            </w:r>
          </w:p>
        </w:tc>
        <w:tc>
          <w:tcPr>
            <w:tcW w:w="1304" w:type="dxa"/>
            <w:vAlign w:val="center"/>
          </w:tcPr>
          <w:p w14:paraId="390453B0" w14:textId="77777777" w:rsidR="00454A29" w:rsidRDefault="00454A29">
            <w:pPr>
              <w:pStyle w:val="ConsPlusNormal"/>
              <w:jc w:val="right"/>
            </w:pPr>
            <w:r>
              <w:t>-</w:t>
            </w:r>
          </w:p>
        </w:tc>
      </w:tr>
      <w:tr w:rsidR="00454A29" w14:paraId="61C98670" w14:textId="77777777">
        <w:tc>
          <w:tcPr>
            <w:tcW w:w="2041" w:type="dxa"/>
            <w:vMerge/>
          </w:tcPr>
          <w:p w14:paraId="2CC62CE4" w14:textId="77777777" w:rsidR="00454A29" w:rsidRDefault="00454A29"/>
        </w:tc>
        <w:tc>
          <w:tcPr>
            <w:tcW w:w="3005" w:type="dxa"/>
            <w:vMerge/>
          </w:tcPr>
          <w:p w14:paraId="49B4E9BD" w14:textId="77777777" w:rsidR="00454A29" w:rsidRDefault="00454A29"/>
        </w:tc>
        <w:tc>
          <w:tcPr>
            <w:tcW w:w="2778" w:type="dxa"/>
            <w:vAlign w:val="center"/>
          </w:tcPr>
          <w:p w14:paraId="3C77D95E" w14:textId="77777777" w:rsidR="00454A29" w:rsidRDefault="00454A29">
            <w:pPr>
              <w:pStyle w:val="ConsPlusNormal"/>
            </w:pPr>
            <w:r>
              <w:t>Внебюджетные средства</w:t>
            </w:r>
          </w:p>
        </w:tc>
        <w:tc>
          <w:tcPr>
            <w:tcW w:w="1304" w:type="dxa"/>
            <w:vAlign w:val="center"/>
          </w:tcPr>
          <w:p w14:paraId="5CDABF97" w14:textId="77777777" w:rsidR="00454A29" w:rsidRDefault="00454A29">
            <w:pPr>
              <w:pStyle w:val="ConsPlusNormal"/>
              <w:jc w:val="right"/>
            </w:pPr>
            <w:r>
              <w:t>-</w:t>
            </w:r>
          </w:p>
        </w:tc>
        <w:tc>
          <w:tcPr>
            <w:tcW w:w="1247" w:type="dxa"/>
            <w:vAlign w:val="center"/>
          </w:tcPr>
          <w:p w14:paraId="4EF4F8E5" w14:textId="77777777" w:rsidR="00454A29" w:rsidRDefault="00454A29">
            <w:pPr>
              <w:pStyle w:val="ConsPlusNormal"/>
              <w:jc w:val="right"/>
            </w:pPr>
            <w:r>
              <w:t>-</w:t>
            </w:r>
          </w:p>
        </w:tc>
        <w:tc>
          <w:tcPr>
            <w:tcW w:w="1304" w:type="dxa"/>
            <w:vAlign w:val="center"/>
          </w:tcPr>
          <w:p w14:paraId="26FD3864" w14:textId="77777777" w:rsidR="00454A29" w:rsidRDefault="00454A29">
            <w:pPr>
              <w:pStyle w:val="ConsPlusNormal"/>
              <w:jc w:val="right"/>
            </w:pPr>
            <w:r>
              <w:t>-</w:t>
            </w:r>
          </w:p>
        </w:tc>
        <w:tc>
          <w:tcPr>
            <w:tcW w:w="1304" w:type="dxa"/>
            <w:vAlign w:val="center"/>
          </w:tcPr>
          <w:p w14:paraId="5B692DF1" w14:textId="77777777" w:rsidR="00454A29" w:rsidRDefault="00454A29">
            <w:pPr>
              <w:pStyle w:val="ConsPlusNormal"/>
              <w:jc w:val="right"/>
            </w:pPr>
            <w:r>
              <w:t>-</w:t>
            </w:r>
          </w:p>
        </w:tc>
        <w:tc>
          <w:tcPr>
            <w:tcW w:w="1304" w:type="dxa"/>
            <w:vAlign w:val="center"/>
          </w:tcPr>
          <w:p w14:paraId="6D1459AE" w14:textId="77777777" w:rsidR="00454A29" w:rsidRDefault="00454A29">
            <w:pPr>
              <w:pStyle w:val="ConsPlusNormal"/>
              <w:jc w:val="right"/>
            </w:pPr>
            <w:r>
              <w:t>-</w:t>
            </w:r>
          </w:p>
        </w:tc>
        <w:tc>
          <w:tcPr>
            <w:tcW w:w="1304" w:type="dxa"/>
            <w:vAlign w:val="center"/>
          </w:tcPr>
          <w:p w14:paraId="40C14DF7" w14:textId="77777777" w:rsidR="00454A29" w:rsidRDefault="00454A29">
            <w:pPr>
              <w:pStyle w:val="ConsPlusNormal"/>
              <w:jc w:val="right"/>
            </w:pPr>
            <w:r>
              <w:t>-</w:t>
            </w:r>
          </w:p>
        </w:tc>
        <w:tc>
          <w:tcPr>
            <w:tcW w:w="1304" w:type="dxa"/>
            <w:vAlign w:val="center"/>
          </w:tcPr>
          <w:p w14:paraId="52D8C9FB" w14:textId="77777777" w:rsidR="00454A29" w:rsidRDefault="00454A29">
            <w:pPr>
              <w:pStyle w:val="ConsPlusNormal"/>
              <w:jc w:val="right"/>
            </w:pPr>
            <w:r>
              <w:t>-</w:t>
            </w:r>
          </w:p>
        </w:tc>
      </w:tr>
      <w:tr w:rsidR="00454A29" w14:paraId="113F3892" w14:textId="77777777">
        <w:tc>
          <w:tcPr>
            <w:tcW w:w="2041" w:type="dxa"/>
            <w:vMerge w:val="restart"/>
            <w:vAlign w:val="center"/>
          </w:tcPr>
          <w:p w14:paraId="0B3751E1" w14:textId="77777777" w:rsidR="00454A29" w:rsidRDefault="00454A29">
            <w:pPr>
              <w:pStyle w:val="ConsPlusNormal"/>
              <w:jc w:val="center"/>
            </w:pPr>
            <w:r>
              <w:t>Основное мероприятие 2.4.</w:t>
            </w:r>
          </w:p>
        </w:tc>
        <w:tc>
          <w:tcPr>
            <w:tcW w:w="3005" w:type="dxa"/>
            <w:vMerge w:val="restart"/>
            <w:vAlign w:val="center"/>
          </w:tcPr>
          <w:p w14:paraId="644CDA63" w14:textId="77777777" w:rsidR="00454A29" w:rsidRDefault="00454A29">
            <w:pPr>
              <w:pStyle w:val="ConsPlusNormal"/>
              <w:jc w:val="center"/>
            </w:pPr>
            <w:r>
              <w:t xml:space="preserve">Создание условий для получения качественного образования детьми-инвалидами в образовательных </w:t>
            </w:r>
            <w:r>
              <w:lastRenderedPageBreak/>
              <w:t>организациях</w:t>
            </w:r>
          </w:p>
        </w:tc>
        <w:tc>
          <w:tcPr>
            <w:tcW w:w="2778" w:type="dxa"/>
            <w:vAlign w:val="center"/>
          </w:tcPr>
          <w:p w14:paraId="7362E3E6" w14:textId="77777777" w:rsidR="00454A29" w:rsidRDefault="00454A29">
            <w:pPr>
              <w:pStyle w:val="ConsPlusNormal"/>
            </w:pPr>
            <w:r>
              <w:lastRenderedPageBreak/>
              <w:t>Всего:</w:t>
            </w:r>
          </w:p>
        </w:tc>
        <w:tc>
          <w:tcPr>
            <w:tcW w:w="1304" w:type="dxa"/>
            <w:vAlign w:val="center"/>
          </w:tcPr>
          <w:p w14:paraId="33CDE9E3" w14:textId="77777777" w:rsidR="00454A29" w:rsidRDefault="00454A29">
            <w:pPr>
              <w:pStyle w:val="ConsPlusNormal"/>
              <w:jc w:val="right"/>
            </w:pPr>
            <w:r>
              <w:t>1 401</w:t>
            </w:r>
          </w:p>
        </w:tc>
        <w:tc>
          <w:tcPr>
            <w:tcW w:w="1247" w:type="dxa"/>
            <w:vAlign w:val="center"/>
          </w:tcPr>
          <w:p w14:paraId="7D9282B3" w14:textId="77777777" w:rsidR="00454A29" w:rsidRDefault="00454A29">
            <w:pPr>
              <w:pStyle w:val="ConsPlusNormal"/>
              <w:jc w:val="right"/>
            </w:pPr>
            <w:r>
              <w:t>1 055</w:t>
            </w:r>
          </w:p>
        </w:tc>
        <w:tc>
          <w:tcPr>
            <w:tcW w:w="1304" w:type="dxa"/>
            <w:vAlign w:val="center"/>
          </w:tcPr>
          <w:p w14:paraId="78AD1A0A" w14:textId="77777777" w:rsidR="00454A29" w:rsidRDefault="00454A29">
            <w:pPr>
              <w:pStyle w:val="ConsPlusNormal"/>
              <w:jc w:val="right"/>
            </w:pPr>
            <w:r>
              <w:t>1 055</w:t>
            </w:r>
          </w:p>
        </w:tc>
        <w:tc>
          <w:tcPr>
            <w:tcW w:w="1304" w:type="dxa"/>
            <w:vAlign w:val="center"/>
          </w:tcPr>
          <w:p w14:paraId="23CCEC25" w14:textId="77777777" w:rsidR="00454A29" w:rsidRDefault="00454A29">
            <w:pPr>
              <w:pStyle w:val="ConsPlusNormal"/>
              <w:jc w:val="right"/>
            </w:pPr>
            <w:r>
              <w:t>2 000</w:t>
            </w:r>
          </w:p>
        </w:tc>
        <w:tc>
          <w:tcPr>
            <w:tcW w:w="1304" w:type="dxa"/>
            <w:vAlign w:val="center"/>
          </w:tcPr>
          <w:p w14:paraId="078BFA52" w14:textId="77777777" w:rsidR="00454A29" w:rsidRDefault="00454A29">
            <w:pPr>
              <w:pStyle w:val="ConsPlusNormal"/>
              <w:jc w:val="right"/>
            </w:pPr>
            <w:r>
              <w:t>2 000</w:t>
            </w:r>
          </w:p>
        </w:tc>
        <w:tc>
          <w:tcPr>
            <w:tcW w:w="1304" w:type="dxa"/>
            <w:vAlign w:val="center"/>
          </w:tcPr>
          <w:p w14:paraId="200EDC14" w14:textId="77777777" w:rsidR="00454A29" w:rsidRDefault="00454A29">
            <w:pPr>
              <w:pStyle w:val="ConsPlusNormal"/>
              <w:jc w:val="right"/>
            </w:pPr>
            <w:r>
              <w:t>-</w:t>
            </w:r>
          </w:p>
        </w:tc>
        <w:tc>
          <w:tcPr>
            <w:tcW w:w="1304" w:type="dxa"/>
            <w:vAlign w:val="center"/>
          </w:tcPr>
          <w:p w14:paraId="751DBF42" w14:textId="77777777" w:rsidR="00454A29" w:rsidRDefault="00454A29">
            <w:pPr>
              <w:pStyle w:val="ConsPlusNormal"/>
              <w:jc w:val="right"/>
            </w:pPr>
            <w:r>
              <w:t>-</w:t>
            </w:r>
          </w:p>
        </w:tc>
      </w:tr>
      <w:tr w:rsidR="00454A29" w14:paraId="1912390A" w14:textId="77777777">
        <w:tc>
          <w:tcPr>
            <w:tcW w:w="2041" w:type="dxa"/>
            <w:vMerge/>
          </w:tcPr>
          <w:p w14:paraId="4169FA9A" w14:textId="77777777" w:rsidR="00454A29" w:rsidRDefault="00454A29"/>
        </w:tc>
        <w:tc>
          <w:tcPr>
            <w:tcW w:w="3005" w:type="dxa"/>
            <w:vMerge/>
          </w:tcPr>
          <w:p w14:paraId="19BFBD50" w14:textId="77777777" w:rsidR="00454A29" w:rsidRDefault="00454A29"/>
        </w:tc>
        <w:tc>
          <w:tcPr>
            <w:tcW w:w="2778" w:type="dxa"/>
            <w:vAlign w:val="center"/>
          </w:tcPr>
          <w:p w14:paraId="6BCE77F5" w14:textId="77777777" w:rsidR="00454A29" w:rsidRDefault="00454A29">
            <w:pPr>
              <w:pStyle w:val="ConsPlusNormal"/>
            </w:pPr>
            <w:r>
              <w:t>Государственный бюджет Республики Саха (Якутия)</w:t>
            </w:r>
          </w:p>
        </w:tc>
        <w:tc>
          <w:tcPr>
            <w:tcW w:w="1304" w:type="dxa"/>
            <w:vAlign w:val="center"/>
          </w:tcPr>
          <w:p w14:paraId="6ADCE04C" w14:textId="77777777" w:rsidR="00454A29" w:rsidRDefault="00454A29">
            <w:pPr>
              <w:pStyle w:val="ConsPlusNormal"/>
              <w:jc w:val="right"/>
            </w:pPr>
            <w:r>
              <w:t>1 401</w:t>
            </w:r>
          </w:p>
        </w:tc>
        <w:tc>
          <w:tcPr>
            <w:tcW w:w="1247" w:type="dxa"/>
            <w:vAlign w:val="center"/>
          </w:tcPr>
          <w:p w14:paraId="3695ABD6" w14:textId="77777777" w:rsidR="00454A29" w:rsidRDefault="00454A29">
            <w:pPr>
              <w:pStyle w:val="ConsPlusNormal"/>
              <w:jc w:val="right"/>
            </w:pPr>
            <w:r>
              <w:t>1 055</w:t>
            </w:r>
          </w:p>
        </w:tc>
        <w:tc>
          <w:tcPr>
            <w:tcW w:w="1304" w:type="dxa"/>
            <w:vAlign w:val="center"/>
          </w:tcPr>
          <w:p w14:paraId="26EDFDB2" w14:textId="77777777" w:rsidR="00454A29" w:rsidRDefault="00454A29">
            <w:pPr>
              <w:pStyle w:val="ConsPlusNormal"/>
              <w:jc w:val="right"/>
            </w:pPr>
            <w:r>
              <w:t>1 055</w:t>
            </w:r>
          </w:p>
        </w:tc>
        <w:tc>
          <w:tcPr>
            <w:tcW w:w="1304" w:type="dxa"/>
            <w:vAlign w:val="center"/>
          </w:tcPr>
          <w:p w14:paraId="132A5E0C" w14:textId="77777777" w:rsidR="00454A29" w:rsidRDefault="00454A29">
            <w:pPr>
              <w:pStyle w:val="ConsPlusNormal"/>
              <w:jc w:val="right"/>
            </w:pPr>
            <w:r>
              <w:t>2 000</w:t>
            </w:r>
          </w:p>
        </w:tc>
        <w:tc>
          <w:tcPr>
            <w:tcW w:w="1304" w:type="dxa"/>
            <w:vAlign w:val="center"/>
          </w:tcPr>
          <w:p w14:paraId="5B66B7AB" w14:textId="77777777" w:rsidR="00454A29" w:rsidRDefault="00454A29">
            <w:pPr>
              <w:pStyle w:val="ConsPlusNormal"/>
              <w:jc w:val="right"/>
            </w:pPr>
            <w:r>
              <w:t>2 000</w:t>
            </w:r>
          </w:p>
        </w:tc>
        <w:tc>
          <w:tcPr>
            <w:tcW w:w="1304" w:type="dxa"/>
            <w:vAlign w:val="center"/>
          </w:tcPr>
          <w:p w14:paraId="0EA0F5A3" w14:textId="77777777" w:rsidR="00454A29" w:rsidRDefault="00454A29">
            <w:pPr>
              <w:pStyle w:val="ConsPlusNormal"/>
              <w:jc w:val="right"/>
            </w:pPr>
            <w:r>
              <w:t>-</w:t>
            </w:r>
          </w:p>
        </w:tc>
        <w:tc>
          <w:tcPr>
            <w:tcW w:w="1304" w:type="dxa"/>
            <w:vAlign w:val="center"/>
          </w:tcPr>
          <w:p w14:paraId="4FFC31E0" w14:textId="77777777" w:rsidR="00454A29" w:rsidRDefault="00454A29">
            <w:pPr>
              <w:pStyle w:val="ConsPlusNormal"/>
              <w:jc w:val="right"/>
            </w:pPr>
            <w:r>
              <w:t>-</w:t>
            </w:r>
          </w:p>
        </w:tc>
      </w:tr>
      <w:tr w:rsidR="00454A29" w14:paraId="4C2A5DA3" w14:textId="77777777">
        <w:tc>
          <w:tcPr>
            <w:tcW w:w="2041" w:type="dxa"/>
            <w:vMerge/>
          </w:tcPr>
          <w:p w14:paraId="6B23063A" w14:textId="77777777" w:rsidR="00454A29" w:rsidRDefault="00454A29"/>
        </w:tc>
        <w:tc>
          <w:tcPr>
            <w:tcW w:w="3005" w:type="dxa"/>
            <w:vMerge/>
          </w:tcPr>
          <w:p w14:paraId="39B2D7DB" w14:textId="77777777" w:rsidR="00454A29" w:rsidRDefault="00454A29"/>
        </w:tc>
        <w:tc>
          <w:tcPr>
            <w:tcW w:w="2778" w:type="dxa"/>
            <w:vAlign w:val="center"/>
          </w:tcPr>
          <w:p w14:paraId="1D0FBEE8" w14:textId="77777777" w:rsidR="00454A29" w:rsidRDefault="00454A29">
            <w:pPr>
              <w:pStyle w:val="ConsPlusNormal"/>
            </w:pPr>
            <w:r>
              <w:t>Федеральный бюджет</w:t>
            </w:r>
          </w:p>
        </w:tc>
        <w:tc>
          <w:tcPr>
            <w:tcW w:w="1304" w:type="dxa"/>
            <w:vAlign w:val="center"/>
          </w:tcPr>
          <w:p w14:paraId="001B95AA" w14:textId="77777777" w:rsidR="00454A29" w:rsidRDefault="00454A29">
            <w:pPr>
              <w:pStyle w:val="ConsPlusNormal"/>
              <w:jc w:val="right"/>
            </w:pPr>
            <w:r>
              <w:t>-</w:t>
            </w:r>
          </w:p>
        </w:tc>
        <w:tc>
          <w:tcPr>
            <w:tcW w:w="1247" w:type="dxa"/>
            <w:vAlign w:val="center"/>
          </w:tcPr>
          <w:p w14:paraId="3D4943E5" w14:textId="77777777" w:rsidR="00454A29" w:rsidRDefault="00454A29">
            <w:pPr>
              <w:pStyle w:val="ConsPlusNormal"/>
              <w:jc w:val="right"/>
            </w:pPr>
            <w:r>
              <w:t>-</w:t>
            </w:r>
          </w:p>
        </w:tc>
        <w:tc>
          <w:tcPr>
            <w:tcW w:w="1304" w:type="dxa"/>
            <w:vAlign w:val="center"/>
          </w:tcPr>
          <w:p w14:paraId="3EBE7751" w14:textId="77777777" w:rsidR="00454A29" w:rsidRDefault="00454A29">
            <w:pPr>
              <w:pStyle w:val="ConsPlusNormal"/>
              <w:jc w:val="right"/>
            </w:pPr>
            <w:r>
              <w:t>-</w:t>
            </w:r>
          </w:p>
        </w:tc>
        <w:tc>
          <w:tcPr>
            <w:tcW w:w="1304" w:type="dxa"/>
            <w:vAlign w:val="center"/>
          </w:tcPr>
          <w:p w14:paraId="2BF43F76" w14:textId="77777777" w:rsidR="00454A29" w:rsidRDefault="00454A29">
            <w:pPr>
              <w:pStyle w:val="ConsPlusNormal"/>
              <w:jc w:val="right"/>
            </w:pPr>
            <w:r>
              <w:t>-</w:t>
            </w:r>
          </w:p>
        </w:tc>
        <w:tc>
          <w:tcPr>
            <w:tcW w:w="1304" w:type="dxa"/>
            <w:vAlign w:val="center"/>
          </w:tcPr>
          <w:p w14:paraId="54334DF5" w14:textId="77777777" w:rsidR="00454A29" w:rsidRDefault="00454A29">
            <w:pPr>
              <w:pStyle w:val="ConsPlusNormal"/>
              <w:jc w:val="right"/>
            </w:pPr>
            <w:r>
              <w:t>-</w:t>
            </w:r>
          </w:p>
        </w:tc>
        <w:tc>
          <w:tcPr>
            <w:tcW w:w="1304" w:type="dxa"/>
            <w:vAlign w:val="center"/>
          </w:tcPr>
          <w:p w14:paraId="4F42A3C4" w14:textId="77777777" w:rsidR="00454A29" w:rsidRDefault="00454A29">
            <w:pPr>
              <w:pStyle w:val="ConsPlusNormal"/>
              <w:jc w:val="right"/>
            </w:pPr>
            <w:r>
              <w:t>-</w:t>
            </w:r>
          </w:p>
        </w:tc>
        <w:tc>
          <w:tcPr>
            <w:tcW w:w="1304" w:type="dxa"/>
            <w:vAlign w:val="center"/>
          </w:tcPr>
          <w:p w14:paraId="4A918865" w14:textId="77777777" w:rsidR="00454A29" w:rsidRDefault="00454A29">
            <w:pPr>
              <w:pStyle w:val="ConsPlusNormal"/>
              <w:jc w:val="right"/>
            </w:pPr>
            <w:r>
              <w:t>-</w:t>
            </w:r>
          </w:p>
        </w:tc>
      </w:tr>
      <w:tr w:rsidR="00454A29" w14:paraId="3619CA2D" w14:textId="77777777">
        <w:tc>
          <w:tcPr>
            <w:tcW w:w="2041" w:type="dxa"/>
            <w:vMerge/>
          </w:tcPr>
          <w:p w14:paraId="105712FB" w14:textId="77777777" w:rsidR="00454A29" w:rsidRDefault="00454A29"/>
        </w:tc>
        <w:tc>
          <w:tcPr>
            <w:tcW w:w="3005" w:type="dxa"/>
            <w:vMerge/>
          </w:tcPr>
          <w:p w14:paraId="777FD5B6" w14:textId="77777777" w:rsidR="00454A29" w:rsidRDefault="00454A29"/>
        </w:tc>
        <w:tc>
          <w:tcPr>
            <w:tcW w:w="2778" w:type="dxa"/>
            <w:vAlign w:val="center"/>
          </w:tcPr>
          <w:p w14:paraId="7E369F99" w14:textId="77777777" w:rsidR="00454A29" w:rsidRDefault="00454A29">
            <w:pPr>
              <w:pStyle w:val="ConsPlusNormal"/>
            </w:pPr>
            <w:r>
              <w:t>Местные бюджеты</w:t>
            </w:r>
          </w:p>
        </w:tc>
        <w:tc>
          <w:tcPr>
            <w:tcW w:w="1304" w:type="dxa"/>
            <w:vAlign w:val="center"/>
          </w:tcPr>
          <w:p w14:paraId="1095B3C9" w14:textId="77777777" w:rsidR="00454A29" w:rsidRDefault="00454A29">
            <w:pPr>
              <w:pStyle w:val="ConsPlusNormal"/>
              <w:jc w:val="right"/>
            </w:pPr>
            <w:r>
              <w:t>-</w:t>
            </w:r>
          </w:p>
        </w:tc>
        <w:tc>
          <w:tcPr>
            <w:tcW w:w="1247" w:type="dxa"/>
            <w:vAlign w:val="center"/>
          </w:tcPr>
          <w:p w14:paraId="5A1EDB98" w14:textId="77777777" w:rsidR="00454A29" w:rsidRDefault="00454A29">
            <w:pPr>
              <w:pStyle w:val="ConsPlusNormal"/>
              <w:jc w:val="right"/>
            </w:pPr>
            <w:r>
              <w:t>-</w:t>
            </w:r>
          </w:p>
        </w:tc>
        <w:tc>
          <w:tcPr>
            <w:tcW w:w="1304" w:type="dxa"/>
            <w:vAlign w:val="center"/>
          </w:tcPr>
          <w:p w14:paraId="6CDB2B2F" w14:textId="77777777" w:rsidR="00454A29" w:rsidRDefault="00454A29">
            <w:pPr>
              <w:pStyle w:val="ConsPlusNormal"/>
              <w:jc w:val="right"/>
            </w:pPr>
            <w:r>
              <w:t>-</w:t>
            </w:r>
          </w:p>
        </w:tc>
        <w:tc>
          <w:tcPr>
            <w:tcW w:w="1304" w:type="dxa"/>
            <w:vAlign w:val="center"/>
          </w:tcPr>
          <w:p w14:paraId="2F14A987" w14:textId="77777777" w:rsidR="00454A29" w:rsidRDefault="00454A29">
            <w:pPr>
              <w:pStyle w:val="ConsPlusNormal"/>
              <w:jc w:val="right"/>
            </w:pPr>
            <w:r>
              <w:t>-</w:t>
            </w:r>
          </w:p>
        </w:tc>
        <w:tc>
          <w:tcPr>
            <w:tcW w:w="1304" w:type="dxa"/>
            <w:vAlign w:val="center"/>
          </w:tcPr>
          <w:p w14:paraId="46B878D5" w14:textId="77777777" w:rsidR="00454A29" w:rsidRDefault="00454A29">
            <w:pPr>
              <w:pStyle w:val="ConsPlusNormal"/>
              <w:jc w:val="right"/>
            </w:pPr>
            <w:r>
              <w:t>-</w:t>
            </w:r>
          </w:p>
        </w:tc>
        <w:tc>
          <w:tcPr>
            <w:tcW w:w="1304" w:type="dxa"/>
            <w:vAlign w:val="center"/>
          </w:tcPr>
          <w:p w14:paraId="2E006696" w14:textId="77777777" w:rsidR="00454A29" w:rsidRDefault="00454A29">
            <w:pPr>
              <w:pStyle w:val="ConsPlusNormal"/>
              <w:jc w:val="right"/>
            </w:pPr>
            <w:r>
              <w:t>-</w:t>
            </w:r>
          </w:p>
        </w:tc>
        <w:tc>
          <w:tcPr>
            <w:tcW w:w="1304" w:type="dxa"/>
            <w:vAlign w:val="center"/>
          </w:tcPr>
          <w:p w14:paraId="606C4ED9" w14:textId="77777777" w:rsidR="00454A29" w:rsidRDefault="00454A29">
            <w:pPr>
              <w:pStyle w:val="ConsPlusNormal"/>
              <w:jc w:val="right"/>
            </w:pPr>
            <w:r>
              <w:t>-</w:t>
            </w:r>
          </w:p>
        </w:tc>
      </w:tr>
      <w:tr w:rsidR="00454A29" w14:paraId="624DDE44" w14:textId="77777777">
        <w:tc>
          <w:tcPr>
            <w:tcW w:w="2041" w:type="dxa"/>
            <w:vMerge/>
          </w:tcPr>
          <w:p w14:paraId="166DF70B" w14:textId="77777777" w:rsidR="00454A29" w:rsidRDefault="00454A29"/>
        </w:tc>
        <w:tc>
          <w:tcPr>
            <w:tcW w:w="3005" w:type="dxa"/>
            <w:vMerge/>
          </w:tcPr>
          <w:p w14:paraId="13AB1A8B" w14:textId="77777777" w:rsidR="00454A29" w:rsidRDefault="00454A29"/>
        </w:tc>
        <w:tc>
          <w:tcPr>
            <w:tcW w:w="2778" w:type="dxa"/>
            <w:vAlign w:val="center"/>
          </w:tcPr>
          <w:p w14:paraId="26260D28" w14:textId="77777777" w:rsidR="00454A29" w:rsidRDefault="00454A29">
            <w:pPr>
              <w:pStyle w:val="ConsPlusNormal"/>
            </w:pPr>
            <w:r>
              <w:t>Внебюджетные средства</w:t>
            </w:r>
          </w:p>
        </w:tc>
        <w:tc>
          <w:tcPr>
            <w:tcW w:w="1304" w:type="dxa"/>
            <w:vAlign w:val="center"/>
          </w:tcPr>
          <w:p w14:paraId="1CD37606" w14:textId="77777777" w:rsidR="00454A29" w:rsidRDefault="00454A29">
            <w:pPr>
              <w:pStyle w:val="ConsPlusNormal"/>
              <w:jc w:val="right"/>
            </w:pPr>
            <w:r>
              <w:t>-</w:t>
            </w:r>
          </w:p>
        </w:tc>
        <w:tc>
          <w:tcPr>
            <w:tcW w:w="1247" w:type="dxa"/>
            <w:vAlign w:val="center"/>
          </w:tcPr>
          <w:p w14:paraId="77638A62" w14:textId="77777777" w:rsidR="00454A29" w:rsidRDefault="00454A29">
            <w:pPr>
              <w:pStyle w:val="ConsPlusNormal"/>
              <w:jc w:val="right"/>
            </w:pPr>
            <w:r>
              <w:t>-</w:t>
            </w:r>
          </w:p>
        </w:tc>
        <w:tc>
          <w:tcPr>
            <w:tcW w:w="1304" w:type="dxa"/>
            <w:vAlign w:val="center"/>
          </w:tcPr>
          <w:p w14:paraId="40C0D95F" w14:textId="77777777" w:rsidR="00454A29" w:rsidRDefault="00454A29">
            <w:pPr>
              <w:pStyle w:val="ConsPlusNormal"/>
              <w:jc w:val="right"/>
            </w:pPr>
            <w:r>
              <w:t>-</w:t>
            </w:r>
          </w:p>
        </w:tc>
        <w:tc>
          <w:tcPr>
            <w:tcW w:w="1304" w:type="dxa"/>
            <w:vAlign w:val="center"/>
          </w:tcPr>
          <w:p w14:paraId="415FF072" w14:textId="77777777" w:rsidR="00454A29" w:rsidRDefault="00454A29">
            <w:pPr>
              <w:pStyle w:val="ConsPlusNormal"/>
              <w:jc w:val="right"/>
            </w:pPr>
            <w:r>
              <w:t>-</w:t>
            </w:r>
          </w:p>
        </w:tc>
        <w:tc>
          <w:tcPr>
            <w:tcW w:w="1304" w:type="dxa"/>
            <w:vAlign w:val="center"/>
          </w:tcPr>
          <w:p w14:paraId="18982493" w14:textId="77777777" w:rsidR="00454A29" w:rsidRDefault="00454A29">
            <w:pPr>
              <w:pStyle w:val="ConsPlusNormal"/>
              <w:jc w:val="right"/>
            </w:pPr>
            <w:r>
              <w:t>-</w:t>
            </w:r>
          </w:p>
        </w:tc>
        <w:tc>
          <w:tcPr>
            <w:tcW w:w="1304" w:type="dxa"/>
            <w:vAlign w:val="center"/>
          </w:tcPr>
          <w:p w14:paraId="1FBFE91B" w14:textId="77777777" w:rsidR="00454A29" w:rsidRDefault="00454A29">
            <w:pPr>
              <w:pStyle w:val="ConsPlusNormal"/>
              <w:jc w:val="right"/>
            </w:pPr>
            <w:r>
              <w:t>-</w:t>
            </w:r>
          </w:p>
        </w:tc>
        <w:tc>
          <w:tcPr>
            <w:tcW w:w="1304" w:type="dxa"/>
            <w:vAlign w:val="center"/>
          </w:tcPr>
          <w:p w14:paraId="205E7226" w14:textId="77777777" w:rsidR="00454A29" w:rsidRDefault="00454A29">
            <w:pPr>
              <w:pStyle w:val="ConsPlusNormal"/>
              <w:jc w:val="right"/>
            </w:pPr>
            <w:r>
              <w:t>-</w:t>
            </w:r>
          </w:p>
        </w:tc>
      </w:tr>
      <w:tr w:rsidR="00454A29" w14:paraId="7B512835" w14:textId="77777777">
        <w:tc>
          <w:tcPr>
            <w:tcW w:w="2041" w:type="dxa"/>
            <w:vMerge w:val="restart"/>
            <w:vAlign w:val="center"/>
          </w:tcPr>
          <w:p w14:paraId="6054B4F6" w14:textId="77777777" w:rsidR="00454A29" w:rsidRDefault="00454A29">
            <w:pPr>
              <w:pStyle w:val="ConsPlusNormal"/>
              <w:jc w:val="center"/>
            </w:pPr>
            <w:r>
              <w:t>Основное мероприятие 2.5.</w:t>
            </w:r>
          </w:p>
        </w:tc>
        <w:tc>
          <w:tcPr>
            <w:tcW w:w="3005" w:type="dxa"/>
            <w:vMerge w:val="restart"/>
            <w:vAlign w:val="center"/>
          </w:tcPr>
          <w:p w14:paraId="2CAF2E8A" w14:textId="77777777" w:rsidR="00454A29" w:rsidRDefault="00454A29">
            <w:pPr>
              <w:pStyle w:val="ConsPlusNormal"/>
              <w:jc w:val="center"/>
            </w:pPr>
            <w:r>
              <w:t>Реализация регионального проекта "Современная школа"</w:t>
            </w:r>
          </w:p>
        </w:tc>
        <w:tc>
          <w:tcPr>
            <w:tcW w:w="2778" w:type="dxa"/>
            <w:vAlign w:val="center"/>
          </w:tcPr>
          <w:p w14:paraId="5799308F" w14:textId="77777777" w:rsidR="00454A29" w:rsidRDefault="00454A29">
            <w:pPr>
              <w:pStyle w:val="ConsPlusNormal"/>
            </w:pPr>
            <w:r>
              <w:t>Всего:</w:t>
            </w:r>
          </w:p>
        </w:tc>
        <w:tc>
          <w:tcPr>
            <w:tcW w:w="1304" w:type="dxa"/>
            <w:vAlign w:val="center"/>
          </w:tcPr>
          <w:p w14:paraId="2AE8C248" w14:textId="77777777" w:rsidR="00454A29" w:rsidRDefault="00454A29">
            <w:pPr>
              <w:pStyle w:val="ConsPlusNormal"/>
              <w:jc w:val="right"/>
            </w:pPr>
            <w:r>
              <w:t>625,46</w:t>
            </w:r>
          </w:p>
        </w:tc>
        <w:tc>
          <w:tcPr>
            <w:tcW w:w="1247" w:type="dxa"/>
            <w:vAlign w:val="center"/>
          </w:tcPr>
          <w:p w14:paraId="3E71FFF3" w14:textId="77777777" w:rsidR="00454A29" w:rsidRDefault="00454A29">
            <w:pPr>
              <w:pStyle w:val="ConsPlusNormal"/>
              <w:jc w:val="right"/>
            </w:pPr>
            <w:r>
              <w:t>991,25</w:t>
            </w:r>
          </w:p>
        </w:tc>
        <w:tc>
          <w:tcPr>
            <w:tcW w:w="1304" w:type="dxa"/>
            <w:vAlign w:val="center"/>
          </w:tcPr>
          <w:p w14:paraId="3674E52B" w14:textId="77777777" w:rsidR="00454A29" w:rsidRDefault="00454A29">
            <w:pPr>
              <w:pStyle w:val="ConsPlusNormal"/>
              <w:jc w:val="right"/>
            </w:pPr>
            <w:r>
              <w:t>1 463,45</w:t>
            </w:r>
          </w:p>
        </w:tc>
        <w:tc>
          <w:tcPr>
            <w:tcW w:w="1304" w:type="dxa"/>
            <w:vAlign w:val="center"/>
          </w:tcPr>
          <w:p w14:paraId="3D887EEF" w14:textId="77777777" w:rsidR="00454A29" w:rsidRDefault="00454A29">
            <w:pPr>
              <w:pStyle w:val="ConsPlusNormal"/>
              <w:jc w:val="right"/>
            </w:pPr>
            <w:r>
              <w:t>-</w:t>
            </w:r>
          </w:p>
        </w:tc>
        <w:tc>
          <w:tcPr>
            <w:tcW w:w="1304" w:type="dxa"/>
            <w:vAlign w:val="center"/>
          </w:tcPr>
          <w:p w14:paraId="387A6846" w14:textId="77777777" w:rsidR="00454A29" w:rsidRDefault="00454A29">
            <w:pPr>
              <w:pStyle w:val="ConsPlusNormal"/>
              <w:jc w:val="right"/>
            </w:pPr>
            <w:r>
              <w:t>-</w:t>
            </w:r>
          </w:p>
        </w:tc>
        <w:tc>
          <w:tcPr>
            <w:tcW w:w="1304" w:type="dxa"/>
            <w:vAlign w:val="center"/>
          </w:tcPr>
          <w:p w14:paraId="4AFF09EA" w14:textId="77777777" w:rsidR="00454A29" w:rsidRDefault="00454A29">
            <w:pPr>
              <w:pStyle w:val="ConsPlusNormal"/>
              <w:jc w:val="right"/>
            </w:pPr>
            <w:r>
              <w:t>-</w:t>
            </w:r>
          </w:p>
        </w:tc>
        <w:tc>
          <w:tcPr>
            <w:tcW w:w="1304" w:type="dxa"/>
            <w:vAlign w:val="center"/>
          </w:tcPr>
          <w:p w14:paraId="352C3099" w14:textId="77777777" w:rsidR="00454A29" w:rsidRDefault="00454A29">
            <w:pPr>
              <w:pStyle w:val="ConsPlusNormal"/>
              <w:jc w:val="right"/>
            </w:pPr>
            <w:r>
              <w:t>-</w:t>
            </w:r>
          </w:p>
        </w:tc>
      </w:tr>
      <w:tr w:rsidR="00454A29" w14:paraId="37E2D3CF" w14:textId="77777777">
        <w:tc>
          <w:tcPr>
            <w:tcW w:w="2041" w:type="dxa"/>
            <w:vMerge/>
          </w:tcPr>
          <w:p w14:paraId="73807628" w14:textId="77777777" w:rsidR="00454A29" w:rsidRDefault="00454A29"/>
        </w:tc>
        <w:tc>
          <w:tcPr>
            <w:tcW w:w="3005" w:type="dxa"/>
            <w:vMerge/>
          </w:tcPr>
          <w:p w14:paraId="2241D4F1" w14:textId="77777777" w:rsidR="00454A29" w:rsidRDefault="00454A29"/>
        </w:tc>
        <w:tc>
          <w:tcPr>
            <w:tcW w:w="2778" w:type="dxa"/>
            <w:vAlign w:val="center"/>
          </w:tcPr>
          <w:p w14:paraId="5292F77E" w14:textId="77777777" w:rsidR="00454A29" w:rsidRDefault="00454A29">
            <w:pPr>
              <w:pStyle w:val="ConsPlusNormal"/>
            </w:pPr>
            <w:r>
              <w:t>Государственный бюджет Республики Саха (Якутия)</w:t>
            </w:r>
          </w:p>
        </w:tc>
        <w:tc>
          <w:tcPr>
            <w:tcW w:w="1304" w:type="dxa"/>
            <w:vAlign w:val="center"/>
          </w:tcPr>
          <w:p w14:paraId="6B2D83B9" w14:textId="77777777" w:rsidR="00454A29" w:rsidRDefault="00454A29">
            <w:pPr>
              <w:pStyle w:val="ConsPlusNormal"/>
              <w:jc w:val="right"/>
            </w:pPr>
            <w:r>
              <w:t>625,46</w:t>
            </w:r>
          </w:p>
        </w:tc>
        <w:tc>
          <w:tcPr>
            <w:tcW w:w="1247" w:type="dxa"/>
            <w:vAlign w:val="center"/>
          </w:tcPr>
          <w:p w14:paraId="4C234013" w14:textId="77777777" w:rsidR="00454A29" w:rsidRDefault="00454A29">
            <w:pPr>
              <w:pStyle w:val="ConsPlusNormal"/>
              <w:jc w:val="right"/>
            </w:pPr>
            <w:r>
              <w:t>991,25</w:t>
            </w:r>
          </w:p>
        </w:tc>
        <w:tc>
          <w:tcPr>
            <w:tcW w:w="1304" w:type="dxa"/>
            <w:vAlign w:val="center"/>
          </w:tcPr>
          <w:p w14:paraId="7F5DFA15" w14:textId="77777777" w:rsidR="00454A29" w:rsidRDefault="00454A29">
            <w:pPr>
              <w:pStyle w:val="ConsPlusNormal"/>
              <w:jc w:val="right"/>
            </w:pPr>
            <w:r>
              <w:t>1 463,45</w:t>
            </w:r>
          </w:p>
        </w:tc>
        <w:tc>
          <w:tcPr>
            <w:tcW w:w="1304" w:type="dxa"/>
            <w:vAlign w:val="center"/>
          </w:tcPr>
          <w:p w14:paraId="534FE805" w14:textId="77777777" w:rsidR="00454A29" w:rsidRDefault="00454A29">
            <w:pPr>
              <w:pStyle w:val="ConsPlusNormal"/>
              <w:jc w:val="right"/>
            </w:pPr>
            <w:r>
              <w:t>-</w:t>
            </w:r>
          </w:p>
        </w:tc>
        <w:tc>
          <w:tcPr>
            <w:tcW w:w="1304" w:type="dxa"/>
            <w:vAlign w:val="center"/>
          </w:tcPr>
          <w:p w14:paraId="3B84F357" w14:textId="77777777" w:rsidR="00454A29" w:rsidRDefault="00454A29">
            <w:pPr>
              <w:pStyle w:val="ConsPlusNormal"/>
              <w:jc w:val="right"/>
            </w:pPr>
            <w:r>
              <w:t>-</w:t>
            </w:r>
          </w:p>
        </w:tc>
        <w:tc>
          <w:tcPr>
            <w:tcW w:w="1304" w:type="dxa"/>
            <w:vAlign w:val="center"/>
          </w:tcPr>
          <w:p w14:paraId="76781D2E" w14:textId="77777777" w:rsidR="00454A29" w:rsidRDefault="00454A29">
            <w:pPr>
              <w:pStyle w:val="ConsPlusNormal"/>
              <w:jc w:val="right"/>
            </w:pPr>
            <w:r>
              <w:t>-</w:t>
            </w:r>
          </w:p>
        </w:tc>
        <w:tc>
          <w:tcPr>
            <w:tcW w:w="1304" w:type="dxa"/>
            <w:vAlign w:val="center"/>
          </w:tcPr>
          <w:p w14:paraId="79045FF9" w14:textId="77777777" w:rsidR="00454A29" w:rsidRDefault="00454A29">
            <w:pPr>
              <w:pStyle w:val="ConsPlusNormal"/>
              <w:jc w:val="right"/>
            </w:pPr>
            <w:r>
              <w:t>-</w:t>
            </w:r>
          </w:p>
        </w:tc>
      </w:tr>
      <w:tr w:rsidR="00454A29" w14:paraId="145861BB" w14:textId="77777777">
        <w:tc>
          <w:tcPr>
            <w:tcW w:w="2041" w:type="dxa"/>
            <w:vMerge/>
          </w:tcPr>
          <w:p w14:paraId="13E48BE3" w14:textId="77777777" w:rsidR="00454A29" w:rsidRDefault="00454A29"/>
        </w:tc>
        <w:tc>
          <w:tcPr>
            <w:tcW w:w="3005" w:type="dxa"/>
            <w:vMerge/>
          </w:tcPr>
          <w:p w14:paraId="41D73538" w14:textId="77777777" w:rsidR="00454A29" w:rsidRDefault="00454A29"/>
        </w:tc>
        <w:tc>
          <w:tcPr>
            <w:tcW w:w="2778" w:type="dxa"/>
            <w:vAlign w:val="center"/>
          </w:tcPr>
          <w:p w14:paraId="78217032" w14:textId="77777777" w:rsidR="00454A29" w:rsidRDefault="00454A29">
            <w:pPr>
              <w:pStyle w:val="ConsPlusNormal"/>
            </w:pPr>
            <w:r>
              <w:t>Федеральный бюджет</w:t>
            </w:r>
          </w:p>
        </w:tc>
        <w:tc>
          <w:tcPr>
            <w:tcW w:w="1304" w:type="dxa"/>
            <w:vAlign w:val="center"/>
          </w:tcPr>
          <w:p w14:paraId="35DA199D" w14:textId="77777777" w:rsidR="00454A29" w:rsidRDefault="00454A29">
            <w:pPr>
              <w:pStyle w:val="ConsPlusNormal"/>
            </w:pPr>
          </w:p>
        </w:tc>
        <w:tc>
          <w:tcPr>
            <w:tcW w:w="1247" w:type="dxa"/>
            <w:vAlign w:val="center"/>
          </w:tcPr>
          <w:p w14:paraId="0B1561CC" w14:textId="77777777" w:rsidR="00454A29" w:rsidRDefault="00454A29">
            <w:pPr>
              <w:pStyle w:val="ConsPlusNormal"/>
            </w:pPr>
          </w:p>
        </w:tc>
        <w:tc>
          <w:tcPr>
            <w:tcW w:w="1304" w:type="dxa"/>
            <w:vAlign w:val="center"/>
          </w:tcPr>
          <w:p w14:paraId="4E5586B5" w14:textId="77777777" w:rsidR="00454A29" w:rsidRDefault="00454A29">
            <w:pPr>
              <w:pStyle w:val="ConsPlusNormal"/>
            </w:pPr>
          </w:p>
        </w:tc>
        <w:tc>
          <w:tcPr>
            <w:tcW w:w="1304" w:type="dxa"/>
            <w:vAlign w:val="center"/>
          </w:tcPr>
          <w:p w14:paraId="421D9F0D" w14:textId="77777777" w:rsidR="00454A29" w:rsidRDefault="00454A29">
            <w:pPr>
              <w:pStyle w:val="ConsPlusNormal"/>
            </w:pPr>
          </w:p>
        </w:tc>
        <w:tc>
          <w:tcPr>
            <w:tcW w:w="1304" w:type="dxa"/>
            <w:vAlign w:val="center"/>
          </w:tcPr>
          <w:p w14:paraId="056B92A3" w14:textId="77777777" w:rsidR="00454A29" w:rsidRDefault="00454A29">
            <w:pPr>
              <w:pStyle w:val="ConsPlusNormal"/>
            </w:pPr>
          </w:p>
        </w:tc>
        <w:tc>
          <w:tcPr>
            <w:tcW w:w="1304" w:type="dxa"/>
            <w:vAlign w:val="center"/>
          </w:tcPr>
          <w:p w14:paraId="0AE533AF" w14:textId="77777777" w:rsidR="00454A29" w:rsidRDefault="00454A29">
            <w:pPr>
              <w:pStyle w:val="ConsPlusNormal"/>
            </w:pPr>
          </w:p>
        </w:tc>
        <w:tc>
          <w:tcPr>
            <w:tcW w:w="1304" w:type="dxa"/>
            <w:vAlign w:val="center"/>
          </w:tcPr>
          <w:p w14:paraId="15FC8A75" w14:textId="77777777" w:rsidR="00454A29" w:rsidRDefault="00454A29">
            <w:pPr>
              <w:pStyle w:val="ConsPlusNormal"/>
            </w:pPr>
          </w:p>
        </w:tc>
      </w:tr>
      <w:tr w:rsidR="00454A29" w14:paraId="7726BB90" w14:textId="77777777">
        <w:tc>
          <w:tcPr>
            <w:tcW w:w="2041" w:type="dxa"/>
            <w:vMerge/>
          </w:tcPr>
          <w:p w14:paraId="1DA9F164" w14:textId="77777777" w:rsidR="00454A29" w:rsidRDefault="00454A29"/>
        </w:tc>
        <w:tc>
          <w:tcPr>
            <w:tcW w:w="3005" w:type="dxa"/>
            <w:vMerge/>
          </w:tcPr>
          <w:p w14:paraId="1B9E547C" w14:textId="77777777" w:rsidR="00454A29" w:rsidRDefault="00454A29"/>
        </w:tc>
        <w:tc>
          <w:tcPr>
            <w:tcW w:w="2778" w:type="dxa"/>
            <w:vAlign w:val="center"/>
          </w:tcPr>
          <w:p w14:paraId="241BD3A5" w14:textId="77777777" w:rsidR="00454A29" w:rsidRDefault="00454A29">
            <w:pPr>
              <w:pStyle w:val="ConsPlusNormal"/>
            </w:pPr>
            <w:r>
              <w:t>Местные бюджеты</w:t>
            </w:r>
          </w:p>
        </w:tc>
        <w:tc>
          <w:tcPr>
            <w:tcW w:w="1304" w:type="dxa"/>
            <w:vAlign w:val="center"/>
          </w:tcPr>
          <w:p w14:paraId="5A931610" w14:textId="77777777" w:rsidR="00454A29" w:rsidRDefault="00454A29">
            <w:pPr>
              <w:pStyle w:val="ConsPlusNormal"/>
            </w:pPr>
          </w:p>
        </w:tc>
        <w:tc>
          <w:tcPr>
            <w:tcW w:w="1247" w:type="dxa"/>
            <w:vAlign w:val="center"/>
          </w:tcPr>
          <w:p w14:paraId="57C25BB2" w14:textId="77777777" w:rsidR="00454A29" w:rsidRDefault="00454A29">
            <w:pPr>
              <w:pStyle w:val="ConsPlusNormal"/>
            </w:pPr>
          </w:p>
        </w:tc>
        <w:tc>
          <w:tcPr>
            <w:tcW w:w="1304" w:type="dxa"/>
            <w:vAlign w:val="center"/>
          </w:tcPr>
          <w:p w14:paraId="5644AD7B" w14:textId="77777777" w:rsidR="00454A29" w:rsidRDefault="00454A29">
            <w:pPr>
              <w:pStyle w:val="ConsPlusNormal"/>
            </w:pPr>
          </w:p>
        </w:tc>
        <w:tc>
          <w:tcPr>
            <w:tcW w:w="1304" w:type="dxa"/>
            <w:vAlign w:val="center"/>
          </w:tcPr>
          <w:p w14:paraId="23C01E27" w14:textId="77777777" w:rsidR="00454A29" w:rsidRDefault="00454A29">
            <w:pPr>
              <w:pStyle w:val="ConsPlusNormal"/>
            </w:pPr>
          </w:p>
        </w:tc>
        <w:tc>
          <w:tcPr>
            <w:tcW w:w="1304" w:type="dxa"/>
            <w:vAlign w:val="center"/>
          </w:tcPr>
          <w:p w14:paraId="1C51892C" w14:textId="77777777" w:rsidR="00454A29" w:rsidRDefault="00454A29">
            <w:pPr>
              <w:pStyle w:val="ConsPlusNormal"/>
            </w:pPr>
          </w:p>
        </w:tc>
        <w:tc>
          <w:tcPr>
            <w:tcW w:w="1304" w:type="dxa"/>
            <w:vAlign w:val="center"/>
          </w:tcPr>
          <w:p w14:paraId="7F083000" w14:textId="77777777" w:rsidR="00454A29" w:rsidRDefault="00454A29">
            <w:pPr>
              <w:pStyle w:val="ConsPlusNormal"/>
            </w:pPr>
          </w:p>
        </w:tc>
        <w:tc>
          <w:tcPr>
            <w:tcW w:w="1304" w:type="dxa"/>
            <w:vAlign w:val="center"/>
          </w:tcPr>
          <w:p w14:paraId="78267A17" w14:textId="77777777" w:rsidR="00454A29" w:rsidRDefault="00454A29">
            <w:pPr>
              <w:pStyle w:val="ConsPlusNormal"/>
            </w:pPr>
          </w:p>
        </w:tc>
      </w:tr>
      <w:tr w:rsidR="00454A29" w14:paraId="1B9C90D6" w14:textId="77777777">
        <w:tc>
          <w:tcPr>
            <w:tcW w:w="2041" w:type="dxa"/>
            <w:vMerge/>
          </w:tcPr>
          <w:p w14:paraId="23F68338" w14:textId="77777777" w:rsidR="00454A29" w:rsidRDefault="00454A29"/>
        </w:tc>
        <w:tc>
          <w:tcPr>
            <w:tcW w:w="3005" w:type="dxa"/>
            <w:vMerge/>
          </w:tcPr>
          <w:p w14:paraId="4314B138" w14:textId="77777777" w:rsidR="00454A29" w:rsidRDefault="00454A29"/>
        </w:tc>
        <w:tc>
          <w:tcPr>
            <w:tcW w:w="2778" w:type="dxa"/>
            <w:vAlign w:val="center"/>
          </w:tcPr>
          <w:p w14:paraId="0BDF7BD3" w14:textId="77777777" w:rsidR="00454A29" w:rsidRDefault="00454A29">
            <w:pPr>
              <w:pStyle w:val="ConsPlusNormal"/>
            </w:pPr>
            <w:r>
              <w:t>Внебюджетные средства</w:t>
            </w:r>
          </w:p>
        </w:tc>
        <w:tc>
          <w:tcPr>
            <w:tcW w:w="1304" w:type="dxa"/>
            <w:vAlign w:val="center"/>
          </w:tcPr>
          <w:p w14:paraId="179E1643" w14:textId="77777777" w:rsidR="00454A29" w:rsidRDefault="00454A29">
            <w:pPr>
              <w:pStyle w:val="ConsPlusNormal"/>
            </w:pPr>
          </w:p>
        </w:tc>
        <w:tc>
          <w:tcPr>
            <w:tcW w:w="1247" w:type="dxa"/>
            <w:vAlign w:val="center"/>
          </w:tcPr>
          <w:p w14:paraId="26C8BC31" w14:textId="77777777" w:rsidR="00454A29" w:rsidRDefault="00454A29">
            <w:pPr>
              <w:pStyle w:val="ConsPlusNormal"/>
            </w:pPr>
          </w:p>
        </w:tc>
        <w:tc>
          <w:tcPr>
            <w:tcW w:w="1304" w:type="dxa"/>
            <w:vAlign w:val="center"/>
          </w:tcPr>
          <w:p w14:paraId="7DE871F3" w14:textId="77777777" w:rsidR="00454A29" w:rsidRDefault="00454A29">
            <w:pPr>
              <w:pStyle w:val="ConsPlusNormal"/>
            </w:pPr>
          </w:p>
        </w:tc>
        <w:tc>
          <w:tcPr>
            <w:tcW w:w="1304" w:type="dxa"/>
            <w:vAlign w:val="center"/>
          </w:tcPr>
          <w:p w14:paraId="5968626C" w14:textId="77777777" w:rsidR="00454A29" w:rsidRDefault="00454A29">
            <w:pPr>
              <w:pStyle w:val="ConsPlusNormal"/>
            </w:pPr>
          </w:p>
        </w:tc>
        <w:tc>
          <w:tcPr>
            <w:tcW w:w="1304" w:type="dxa"/>
            <w:vAlign w:val="center"/>
          </w:tcPr>
          <w:p w14:paraId="1494BFD9" w14:textId="77777777" w:rsidR="00454A29" w:rsidRDefault="00454A29">
            <w:pPr>
              <w:pStyle w:val="ConsPlusNormal"/>
            </w:pPr>
          </w:p>
        </w:tc>
        <w:tc>
          <w:tcPr>
            <w:tcW w:w="1304" w:type="dxa"/>
            <w:vAlign w:val="center"/>
          </w:tcPr>
          <w:p w14:paraId="2990AFEA" w14:textId="77777777" w:rsidR="00454A29" w:rsidRDefault="00454A29">
            <w:pPr>
              <w:pStyle w:val="ConsPlusNormal"/>
            </w:pPr>
          </w:p>
        </w:tc>
        <w:tc>
          <w:tcPr>
            <w:tcW w:w="1304" w:type="dxa"/>
            <w:vAlign w:val="center"/>
          </w:tcPr>
          <w:p w14:paraId="2EB973CF" w14:textId="77777777" w:rsidR="00454A29" w:rsidRDefault="00454A29">
            <w:pPr>
              <w:pStyle w:val="ConsPlusNormal"/>
            </w:pPr>
          </w:p>
        </w:tc>
      </w:tr>
      <w:tr w:rsidR="00454A29" w14:paraId="19182BF5" w14:textId="77777777">
        <w:tc>
          <w:tcPr>
            <w:tcW w:w="2041" w:type="dxa"/>
            <w:vMerge w:val="restart"/>
            <w:vAlign w:val="center"/>
          </w:tcPr>
          <w:p w14:paraId="606D23E7" w14:textId="77777777" w:rsidR="00454A29" w:rsidRDefault="00454A29">
            <w:pPr>
              <w:pStyle w:val="ConsPlusNormal"/>
              <w:jc w:val="center"/>
            </w:pPr>
            <w:r>
              <w:t>Основное мероприятие 2.6.</w:t>
            </w:r>
          </w:p>
        </w:tc>
        <w:tc>
          <w:tcPr>
            <w:tcW w:w="3005" w:type="dxa"/>
            <w:vMerge w:val="restart"/>
            <w:vAlign w:val="center"/>
          </w:tcPr>
          <w:p w14:paraId="56073DAB" w14:textId="77777777" w:rsidR="00454A29" w:rsidRDefault="00454A29">
            <w:pPr>
              <w:pStyle w:val="ConsPlusNormal"/>
              <w:jc w:val="center"/>
            </w:pPr>
            <w:r>
              <w:t>Реализация регионального проекта "Поддержка семей, имеющих детей"</w:t>
            </w:r>
          </w:p>
        </w:tc>
        <w:tc>
          <w:tcPr>
            <w:tcW w:w="2778" w:type="dxa"/>
            <w:vAlign w:val="center"/>
          </w:tcPr>
          <w:p w14:paraId="6ED5A069" w14:textId="77777777" w:rsidR="00454A29" w:rsidRDefault="00454A29">
            <w:pPr>
              <w:pStyle w:val="ConsPlusNormal"/>
            </w:pPr>
            <w:r>
              <w:t>Всего:</w:t>
            </w:r>
          </w:p>
        </w:tc>
        <w:tc>
          <w:tcPr>
            <w:tcW w:w="1304" w:type="dxa"/>
            <w:vAlign w:val="center"/>
          </w:tcPr>
          <w:p w14:paraId="1477CD70" w14:textId="77777777" w:rsidR="00454A29" w:rsidRDefault="00454A29">
            <w:pPr>
              <w:pStyle w:val="ConsPlusNormal"/>
              <w:jc w:val="right"/>
            </w:pPr>
            <w:r>
              <w:t>-</w:t>
            </w:r>
          </w:p>
        </w:tc>
        <w:tc>
          <w:tcPr>
            <w:tcW w:w="1247" w:type="dxa"/>
            <w:vAlign w:val="center"/>
          </w:tcPr>
          <w:p w14:paraId="53110DBD" w14:textId="77777777" w:rsidR="00454A29" w:rsidRDefault="00454A29">
            <w:pPr>
              <w:pStyle w:val="ConsPlusNormal"/>
              <w:jc w:val="right"/>
            </w:pPr>
            <w:r>
              <w:t>-</w:t>
            </w:r>
          </w:p>
        </w:tc>
        <w:tc>
          <w:tcPr>
            <w:tcW w:w="1304" w:type="dxa"/>
            <w:vAlign w:val="center"/>
          </w:tcPr>
          <w:p w14:paraId="5048F383" w14:textId="77777777" w:rsidR="00454A29" w:rsidRDefault="00454A29">
            <w:pPr>
              <w:pStyle w:val="ConsPlusNormal"/>
              <w:jc w:val="right"/>
            </w:pPr>
            <w:r>
              <w:t>-</w:t>
            </w:r>
          </w:p>
        </w:tc>
        <w:tc>
          <w:tcPr>
            <w:tcW w:w="1304" w:type="dxa"/>
            <w:vAlign w:val="center"/>
          </w:tcPr>
          <w:p w14:paraId="19B2B8FE" w14:textId="77777777" w:rsidR="00454A29" w:rsidRDefault="00454A29">
            <w:pPr>
              <w:pStyle w:val="ConsPlusNormal"/>
              <w:jc w:val="right"/>
            </w:pPr>
            <w:r>
              <w:t>-</w:t>
            </w:r>
          </w:p>
        </w:tc>
        <w:tc>
          <w:tcPr>
            <w:tcW w:w="1304" w:type="dxa"/>
            <w:vAlign w:val="center"/>
          </w:tcPr>
          <w:p w14:paraId="786F97ED" w14:textId="77777777" w:rsidR="00454A29" w:rsidRDefault="00454A29">
            <w:pPr>
              <w:pStyle w:val="ConsPlusNormal"/>
              <w:jc w:val="right"/>
            </w:pPr>
            <w:r>
              <w:t>-</w:t>
            </w:r>
          </w:p>
        </w:tc>
        <w:tc>
          <w:tcPr>
            <w:tcW w:w="1304" w:type="dxa"/>
            <w:vAlign w:val="center"/>
          </w:tcPr>
          <w:p w14:paraId="6C244D04" w14:textId="77777777" w:rsidR="00454A29" w:rsidRDefault="00454A29">
            <w:pPr>
              <w:pStyle w:val="ConsPlusNormal"/>
              <w:jc w:val="right"/>
            </w:pPr>
            <w:r>
              <w:t>-</w:t>
            </w:r>
          </w:p>
        </w:tc>
        <w:tc>
          <w:tcPr>
            <w:tcW w:w="1304" w:type="dxa"/>
            <w:vAlign w:val="center"/>
          </w:tcPr>
          <w:p w14:paraId="47AB7E46" w14:textId="77777777" w:rsidR="00454A29" w:rsidRDefault="00454A29">
            <w:pPr>
              <w:pStyle w:val="ConsPlusNormal"/>
              <w:jc w:val="right"/>
            </w:pPr>
            <w:r>
              <w:t>-</w:t>
            </w:r>
          </w:p>
        </w:tc>
      </w:tr>
      <w:tr w:rsidR="00454A29" w14:paraId="5BA3EBB8" w14:textId="77777777">
        <w:tc>
          <w:tcPr>
            <w:tcW w:w="2041" w:type="dxa"/>
            <w:vMerge/>
          </w:tcPr>
          <w:p w14:paraId="4F5B1864" w14:textId="77777777" w:rsidR="00454A29" w:rsidRDefault="00454A29"/>
        </w:tc>
        <w:tc>
          <w:tcPr>
            <w:tcW w:w="3005" w:type="dxa"/>
            <w:vMerge/>
          </w:tcPr>
          <w:p w14:paraId="74C38B9E" w14:textId="77777777" w:rsidR="00454A29" w:rsidRDefault="00454A29"/>
        </w:tc>
        <w:tc>
          <w:tcPr>
            <w:tcW w:w="2778" w:type="dxa"/>
            <w:vAlign w:val="center"/>
          </w:tcPr>
          <w:p w14:paraId="0CD01DB2" w14:textId="77777777" w:rsidR="00454A29" w:rsidRDefault="00454A29">
            <w:pPr>
              <w:pStyle w:val="ConsPlusNormal"/>
            </w:pPr>
            <w:r>
              <w:t>Государственный бюджет Республики Саха (Якутия)</w:t>
            </w:r>
          </w:p>
        </w:tc>
        <w:tc>
          <w:tcPr>
            <w:tcW w:w="1304" w:type="dxa"/>
            <w:vAlign w:val="center"/>
          </w:tcPr>
          <w:p w14:paraId="270FDB5B" w14:textId="77777777" w:rsidR="00454A29" w:rsidRDefault="00454A29">
            <w:pPr>
              <w:pStyle w:val="ConsPlusNormal"/>
              <w:jc w:val="right"/>
            </w:pPr>
            <w:r>
              <w:t>-</w:t>
            </w:r>
          </w:p>
        </w:tc>
        <w:tc>
          <w:tcPr>
            <w:tcW w:w="1247" w:type="dxa"/>
            <w:vAlign w:val="center"/>
          </w:tcPr>
          <w:p w14:paraId="265EF38C" w14:textId="77777777" w:rsidR="00454A29" w:rsidRDefault="00454A29">
            <w:pPr>
              <w:pStyle w:val="ConsPlusNormal"/>
              <w:jc w:val="right"/>
            </w:pPr>
            <w:r>
              <w:t>-</w:t>
            </w:r>
          </w:p>
        </w:tc>
        <w:tc>
          <w:tcPr>
            <w:tcW w:w="1304" w:type="dxa"/>
            <w:vAlign w:val="center"/>
          </w:tcPr>
          <w:p w14:paraId="23B21242" w14:textId="77777777" w:rsidR="00454A29" w:rsidRDefault="00454A29">
            <w:pPr>
              <w:pStyle w:val="ConsPlusNormal"/>
              <w:jc w:val="right"/>
            </w:pPr>
            <w:r>
              <w:t>-</w:t>
            </w:r>
          </w:p>
        </w:tc>
        <w:tc>
          <w:tcPr>
            <w:tcW w:w="1304" w:type="dxa"/>
            <w:vAlign w:val="center"/>
          </w:tcPr>
          <w:p w14:paraId="01734400" w14:textId="77777777" w:rsidR="00454A29" w:rsidRDefault="00454A29">
            <w:pPr>
              <w:pStyle w:val="ConsPlusNormal"/>
              <w:jc w:val="right"/>
            </w:pPr>
            <w:r>
              <w:t>-</w:t>
            </w:r>
          </w:p>
        </w:tc>
        <w:tc>
          <w:tcPr>
            <w:tcW w:w="1304" w:type="dxa"/>
            <w:vAlign w:val="center"/>
          </w:tcPr>
          <w:p w14:paraId="3E045532" w14:textId="77777777" w:rsidR="00454A29" w:rsidRDefault="00454A29">
            <w:pPr>
              <w:pStyle w:val="ConsPlusNormal"/>
              <w:jc w:val="right"/>
            </w:pPr>
            <w:r>
              <w:t>-</w:t>
            </w:r>
          </w:p>
        </w:tc>
        <w:tc>
          <w:tcPr>
            <w:tcW w:w="1304" w:type="dxa"/>
            <w:vAlign w:val="center"/>
          </w:tcPr>
          <w:p w14:paraId="4745248C" w14:textId="77777777" w:rsidR="00454A29" w:rsidRDefault="00454A29">
            <w:pPr>
              <w:pStyle w:val="ConsPlusNormal"/>
              <w:jc w:val="right"/>
            </w:pPr>
            <w:r>
              <w:t>-</w:t>
            </w:r>
          </w:p>
        </w:tc>
        <w:tc>
          <w:tcPr>
            <w:tcW w:w="1304" w:type="dxa"/>
            <w:vAlign w:val="center"/>
          </w:tcPr>
          <w:p w14:paraId="4297FBCE" w14:textId="77777777" w:rsidR="00454A29" w:rsidRDefault="00454A29">
            <w:pPr>
              <w:pStyle w:val="ConsPlusNormal"/>
              <w:jc w:val="right"/>
            </w:pPr>
            <w:r>
              <w:t>-</w:t>
            </w:r>
          </w:p>
        </w:tc>
      </w:tr>
      <w:tr w:rsidR="00454A29" w14:paraId="434A1959" w14:textId="77777777">
        <w:tc>
          <w:tcPr>
            <w:tcW w:w="2041" w:type="dxa"/>
            <w:vMerge/>
          </w:tcPr>
          <w:p w14:paraId="3A96E289" w14:textId="77777777" w:rsidR="00454A29" w:rsidRDefault="00454A29"/>
        </w:tc>
        <w:tc>
          <w:tcPr>
            <w:tcW w:w="3005" w:type="dxa"/>
            <w:vMerge/>
          </w:tcPr>
          <w:p w14:paraId="497D82CD" w14:textId="77777777" w:rsidR="00454A29" w:rsidRDefault="00454A29"/>
        </w:tc>
        <w:tc>
          <w:tcPr>
            <w:tcW w:w="2778" w:type="dxa"/>
            <w:vAlign w:val="center"/>
          </w:tcPr>
          <w:p w14:paraId="6F0FD4ED" w14:textId="77777777" w:rsidR="00454A29" w:rsidRDefault="00454A29">
            <w:pPr>
              <w:pStyle w:val="ConsPlusNormal"/>
            </w:pPr>
            <w:r>
              <w:t>Федеральный бюджет</w:t>
            </w:r>
          </w:p>
        </w:tc>
        <w:tc>
          <w:tcPr>
            <w:tcW w:w="1304" w:type="dxa"/>
            <w:vAlign w:val="center"/>
          </w:tcPr>
          <w:p w14:paraId="4D687BDD" w14:textId="77777777" w:rsidR="00454A29" w:rsidRDefault="00454A29">
            <w:pPr>
              <w:pStyle w:val="ConsPlusNormal"/>
              <w:jc w:val="right"/>
            </w:pPr>
            <w:r>
              <w:t>-</w:t>
            </w:r>
          </w:p>
        </w:tc>
        <w:tc>
          <w:tcPr>
            <w:tcW w:w="1247" w:type="dxa"/>
            <w:vAlign w:val="center"/>
          </w:tcPr>
          <w:p w14:paraId="3C649930" w14:textId="77777777" w:rsidR="00454A29" w:rsidRDefault="00454A29">
            <w:pPr>
              <w:pStyle w:val="ConsPlusNormal"/>
              <w:jc w:val="right"/>
            </w:pPr>
            <w:r>
              <w:t>-</w:t>
            </w:r>
          </w:p>
        </w:tc>
        <w:tc>
          <w:tcPr>
            <w:tcW w:w="1304" w:type="dxa"/>
            <w:vAlign w:val="center"/>
          </w:tcPr>
          <w:p w14:paraId="7A55A059" w14:textId="77777777" w:rsidR="00454A29" w:rsidRDefault="00454A29">
            <w:pPr>
              <w:pStyle w:val="ConsPlusNormal"/>
              <w:jc w:val="right"/>
            </w:pPr>
            <w:r>
              <w:t>-</w:t>
            </w:r>
          </w:p>
        </w:tc>
        <w:tc>
          <w:tcPr>
            <w:tcW w:w="1304" w:type="dxa"/>
            <w:vAlign w:val="center"/>
          </w:tcPr>
          <w:p w14:paraId="41F57556" w14:textId="77777777" w:rsidR="00454A29" w:rsidRDefault="00454A29">
            <w:pPr>
              <w:pStyle w:val="ConsPlusNormal"/>
              <w:jc w:val="right"/>
            </w:pPr>
            <w:r>
              <w:t>-</w:t>
            </w:r>
          </w:p>
        </w:tc>
        <w:tc>
          <w:tcPr>
            <w:tcW w:w="1304" w:type="dxa"/>
            <w:vAlign w:val="center"/>
          </w:tcPr>
          <w:p w14:paraId="00A33997" w14:textId="77777777" w:rsidR="00454A29" w:rsidRDefault="00454A29">
            <w:pPr>
              <w:pStyle w:val="ConsPlusNormal"/>
              <w:jc w:val="right"/>
            </w:pPr>
            <w:r>
              <w:t>-</w:t>
            </w:r>
          </w:p>
        </w:tc>
        <w:tc>
          <w:tcPr>
            <w:tcW w:w="1304" w:type="dxa"/>
            <w:vAlign w:val="center"/>
          </w:tcPr>
          <w:p w14:paraId="10E50510" w14:textId="77777777" w:rsidR="00454A29" w:rsidRDefault="00454A29">
            <w:pPr>
              <w:pStyle w:val="ConsPlusNormal"/>
              <w:jc w:val="right"/>
            </w:pPr>
            <w:r>
              <w:t>-</w:t>
            </w:r>
          </w:p>
        </w:tc>
        <w:tc>
          <w:tcPr>
            <w:tcW w:w="1304" w:type="dxa"/>
            <w:vAlign w:val="center"/>
          </w:tcPr>
          <w:p w14:paraId="3CFFFAED" w14:textId="77777777" w:rsidR="00454A29" w:rsidRDefault="00454A29">
            <w:pPr>
              <w:pStyle w:val="ConsPlusNormal"/>
              <w:jc w:val="right"/>
            </w:pPr>
            <w:r>
              <w:t>-</w:t>
            </w:r>
          </w:p>
        </w:tc>
      </w:tr>
      <w:tr w:rsidR="00454A29" w14:paraId="5A1CFF1F" w14:textId="77777777">
        <w:tc>
          <w:tcPr>
            <w:tcW w:w="2041" w:type="dxa"/>
            <w:vMerge/>
          </w:tcPr>
          <w:p w14:paraId="0CBB32D1" w14:textId="77777777" w:rsidR="00454A29" w:rsidRDefault="00454A29"/>
        </w:tc>
        <w:tc>
          <w:tcPr>
            <w:tcW w:w="3005" w:type="dxa"/>
            <w:vMerge/>
          </w:tcPr>
          <w:p w14:paraId="04993A58" w14:textId="77777777" w:rsidR="00454A29" w:rsidRDefault="00454A29"/>
        </w:tc>
        <w:tc>
          <w:tcPr>
            <w:tcW w:w="2778" w:type="dxa"/>
            <w:vAlign w:val="center"/>
          </w:tcPr>
          <w:p w14:paraId="05600136" w14:textId="77777777" w:rsidR="00454A29" w:rsidRDefault="00454A29">
            <w:pPr>
              <w:pStyle w:val="ConsPlusNormal"/>
            </w:pPr>
            <w:r>
              <w:t>Местные бюджеты</w:t>
            </w:r>
          </w:p>
        </w:tc>
        <w:tc>
          <w:tcPr>
            <w:tcW w:w="1304" w:type="dxa"/>
            <w:vAlign w:val="center"/>
          </w:tcPr>
          <w:p w14:paraId="4F1B33C8" w14:textId="77777777" w:rsidR="00454A29" w:rsidRDefault="00454A29">
            <w:pPr>
              <w:pStyle w:val="ConsPlusNormal"/>
              <w:jc w:val="right"/>
            </w:pPr>
            <w:r>
              <w:t>-</w:t>
            </w:r>
          </w:p>
        </w:tc>
        <w:tc>
          <w:tcPr>
            <w:tcW w:w="1247" w:type="dxa"/>
            <w:vAlign w:val="center"/>
          </w:tcPr>
          <w:p w14:paraId="619E5E37" w14:textId="77777777" w:rsidR="00454A29" w:rsidRDefault="00454A29">
            <w:pPr>
              <w:pStyle w:val="ConsPlusNormal"/>
              <w:jc w:val="right"/>
            </w:pPr>
            <w:r>
              <w:t>-</w:t>
            </w:r>
          </w:p>
        </w:tc>
        <w:tc>
          <w:tcPr>
            <w:tcW w:w="1304" w:type="dxa"/>
            <w:vAlign w:val="center"/>
          </w:tcPr>
          <w:p w14:paraId="139146AA" w14:textId="77777777" w:rsidR="00454A29" w:rsidRDefault="00454A29">
            <w:pPr>
              <w:pStyle w:val="ConsPlusNormal"/>
              <w:jc w:val="right"/>
            </w:pPr>
            <w:r>
              <w:t>-</w:t>
            </w:r>
          </w:p>
        </w:tc>
        <w:tc>
          <w:tcPr>
            <w:tcW w:w="1304" w:type="dxa"/>
            <w:vAlign w:val="center"/>
          </w:tcPr>
          <w:p w14:paraId="4750A3B3" w14:textId="77777777" w:rsidR="00454A29" w:rsidRDefault="00454A29">
            <w:pPr>
              <w:pStyle w:val="ConsPlusNormal"/>
              <w:jc w:val="right"/>
            </w:pPr>
            <w:r>
              <w:t>-</w:t>
            </w:r>
          </w:p>
        </w:tc>
        <w:tc>
          <w:tcPr>
            <w:tcW w:w="1304" w:type="dxa"/>
            <w:vAlign w:val="center"/>
          </w:tcPr>
          <w:p w14:paraId="7BA4EFDA" w14:textId="77777777" w:rsidR="00454A29" w:rsidRDefault="00454A29">
            <w:pPr>
              <w:pStyle w:val="ConsPlusNormal"/>
              <w:jc w:val="right"/>
            </w:pPr>
            <w:r>
              <w:t>-</w:t>
            </w:r>
          </w:p>
        </w:tc>
        <w:tc>
          <w:tcPr>
            <w:tcW w:w="1304" w:type="dxa"/>
            <w:vAlign w:val="center"/>
          </w:tcPr>
          <w:p w14:paraId="019278A2" w14:textId="77777777" w:rsidR="00454A29" w:rsidRDefault="00454A29">
            <w:pPr>
              <w:pStyle w:val="ConsPlusNormal"/>
              <w:jc w:val="right"/>
            </w:pPr>
            <w:r>
              <w:t>-</w:t>
            </w:r>
          </w:p>
        </w:tc>
        <w:tc>
          <w:tcPr>
            <w:tcW w:w="1304" w:type="dxa"/>
            <w:vAlign w:val="center"/>
          </w:tcPr>
          <w:p w14:paraId="6B2A8AD5" w14:textId="77777777" w:rsidR="00454A29" w:rsidRDefault="00454A29">
            <w:pPr>
              <w:pStyle w:val="ConsPlusNormal"/>
              <w:jc w:val="right"/>
            </w:pPr>
            <w:r>
              <w:t>-</w:t>
            </w:r>
          </w:p>
        </w:tc>
      </w:tr>
      <w:tr w:rsidR="00454A29" w14:paraId="09593287" w14:textId="77777777">
        <w:tc>
          <w:tcPr>
            <w:tcW w:w="2041" w:type="dxa"/>
            <w:vMerge/>
          </w:tcPr>
          <w:p w14:paraId="2574234D" w14:textId="77777777" w:rsidR="00454A29" w:rsidRDefault="00454A29"/>
        </w:tc>
        <w:tc>
          <w:tcPr>
            <w:tcW w:w="3005" w:type="dxa"/>
            <w:vMerge/>
          </w:tcPr>
          <w:p w14:paraId="737B0F0C" w14:textId="77777777" w:rsidR="00454A29" w:rsidRDefault="00454A29"/>
        </w:tc>
        <w:tc>
          <w:tcPr>
            <w:tcW w:w="2778" w:type="dxa"/>
            <w:vAlign w:val="center"/>
          </w:tcPr>
          <w:p w14:paraId="52FD238A" w14:textId="77777777" w:rsidR="00454A29" w:rsidRDefault="00454A29">
            <w:pPr>
              <w:pStyle w:val="ConsPlusNormal"/>
            </w:pPr>
            <w:r>
              <w:t>Внебюджетные средства</w:t>
            </w:r>
          </w:p>
        </w:tc>
        <w:tc>
          <w:tcPr>
            <w:tcW w:w="1304" w:type="dxa"/>
            <w:vAlign w:val="center"/>
          </w:tcPr>
          <w:p w14:paraId="5449396D" w14:textId="77777777" w:rsidR="00454A29" w:rsidRDefault="00454A29">
            <w:pPr>
              <w:pStyle w:val="ConsPlusNormal"/>
              <w:jc w:val="right"/>
            </w:pPr>
            <w:r>
              <w:t>-</w:t>
            </w:r>
          </w:p>
        </w:tc>
        <w:tc>
          <w:tcPr>
            <w:tcW w:w="1247" w:type="dxa"/>
            <w:vAlign w:val="center"/>
          </w:tcPr>
          <w:p w14:paraId="182CF1B4" w14:textId="77777777" w:rsidR="00454A29" w:rsidRDefault="00454A29">
            <w:pPr>
              <w:pStyle w:val="ConsPlusNormal"/>
              <w:jc w:val="right"/>
            </w:pPr>
            <w:r>
              <w:t>-</w:t>
            </w:r>
          </w:p>
        </w:tc>
        <w:tc>
          <w:tcPr>
            <w:tcW w:w="1304" w:type="dxa"/>
            <w:vAlign w:val="center"/>
          </w:tcPr>
          <w:p w14:paraId="0F413779" w14:textId="77777777" w:rsidR="00454A29" w:rsidRDefault="00454A29">
            <w:pPr>
              <w:pStyle w:val="ConsPlusNormal"/>
              <w:jc w:val="right"/>
            </w:pPr>
            <w:r>
              <w:t>-</w:t>
            </w:r>
          </w:p>
        </w:tc>
        <w:tc>
          <w:tcPr>
            <w:tcW w:w="1304" w:type="dxa"/>
            <w:vAlign w:val="center"/>
          </w:tcPr>
          <w:p w14:paraId="53F9CF75" w14:textId="77777777" w:rsidR="00454A29" w:rsidRDefault="00454A29">
            <w:pPr>
              <w:pStyle w:val="ConsPlusNormal"/>
              <w:jc w:val="right"/>
            </w:pPr>
            <w:r>
              <w:t>-</w:t>
            </w:r>
          </w:p>
        </w:tc>
        <w:tc>
          <w:tcPr>
            <w:tcW w:w="1304" w:type="dxa"/>
            <w:vAlign w:val="center"/>
          </w:tcPr>
          <w:p w14:paraId="3198A5AE" w14:textId="77777777" w:rsidR="00454A29" w:rsidRDefault="00454A29">
            <w:pPr>
              <w:pStyle w:val="ConsPlusNormal"/>
              <w:jc w:val="right"/>
            </w:pPr>
            <w:r>
              <w:t>-</w:t>
            </w:r>
          </w:p>
        </w:tc>
        <w:tc>
          <w:tcPr>
            <w:tcW w:w="1304" w:type="dxa"/>
            <w:vAlign w:val="center"/>
          </w:tcPr>
          <w:p w14:paraId="4818C673" w14:textId="77777777" w:rsidR="00454A29" w:rsidRDefault="00454A29">
            <w:pPr>
              <w:pStyle w:val="ConsPlusNormal"/>
              <w:jc w:val="right"/>
            </w:pPr>
            <w:r>
              <w:t>-</w:t>
            </w:r>
          </w:p>
        </w:tc>
        <w:tc>
          <w:tcPr>
            <w:tcW w:w="1304" w:type="dxa"/>
            <w:vAlign w:val="center"/>
          </w:tcPr>
          <w:p w14:paraId="7981F321" w14:textId="77777777" w:rsidR="00454A29" w:rsidRDefault="00454A29">
            <w:pPr>
              <w:pStyle w:val="ConsPlusNormal"/>
              <w:jc w:val="right"/>
            </w:pPr>
            <w:r>
              <w:t>-</w:t>
            </w:r>
          </w:p>
        </w:tc>
      </w:tr>
      <w:tr w:rsidR="00454A29" w14:paraId="347CD736" w14:textId="77777777">
        <w:tc>
          <w:tcPr>
            <w:tcW w:w="2041" w:type="dxa"/>
            <w:vMerge w:val="restart"/>
            <w:vAlign w:val="center"/>
          </w:tcPr>
          <w:p w14:paraId="3DF40A22" w14:textId="77777777" w:rsidR="00454A29" w:rsidRDefault="00454A29">
            <w:pPr>
              <w:pStyle w:val="ConsPlusNormal"/>
              <w:jc w:val="center"/>
            </w:pPr>
            <w:r>
              <w:t>Основное мероприятие 2.7.</w:t>
            </w:r>
          </w:p>
        </w:tc>
        <w:tc>
          <w:tcPr>
            <w:tcW w:w="3005" w:type="dxa"/>
            <w:vMerge w:val="restart"/>
            <w:vAlign w:val="center"/>
          </w:tcPr>
          <w:p w14:paraId="563590D1" w14:textId="77777777" w:rsidR="00454A29" w:rsidRDefault="00454A29">
            <w:pPr>
              <w:pStyle w:val="ConsPlusNormal"/>
              <w:jc w:val="center"/>
            </w:pPr>
            <w:r>
              <w:t xml:space="preserve">Создание в дошкольных образовательных,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w:t>
            </w:r>
            <w:r>
              <w:lastRenderedPageBreak/>
              <w:t>программам) условий для получения детьми-инвалидами качественного образования</w:t>
            </w:r>
          </w:p>
        </w:tc>
        <w:tc>
          <w:tcPr>
            <w:tcW w:w="2778" w:type="dxa"/>
            <w:vAlign w:val="center"/>
          </w:tcPr>
          <w:p w14:paraId="6001934A" w14:textId="77777777" w:rsidR="00454A29" w:rsidRDefault="00454A29">
            <w:pPr>
              <w:pStyle w:val="ConsPlusNormal"/>
            </w:pPr>
            <w:r>
              <w:lastRenderedPageBreak/>
              <w:t>Всего:</w:t>
            </w:r>
          </w:p>
        </w:tc>
        <w:tc>
          <w:tcPr>
            <w:tcW w:w="1304" w:type="dxa"/>
            <w:vAlign w:val="center"/>
          </w:tcPr>
          <w:p w14:paraId="377C7744" w14:textId="77777777" w:rsidR="00454A29" w:rsidRDefault="00454A29">
            <w:pPr>
              <w:pStyle w:val="ConsPlusNormal"/>
              <w:jc w:val="right"/>
            </w:pPr>
            <w:r>
              <w:t>720</w:t>
            </w:r>
          </w:p>
        </w:tc>
        <w:tc>
          <w:tcPr>
            <w:tcW w:w="1247" w:type="dxa"/>
            <w:vAlign w:val="center"/>
          </w:tcPr>
          <w:p w14:paraId="3CF84F6F" w14:textId="77777777" w:rsidR="00454A29" w:rsidRDefault="00454A29">
            <w:pPr>
              <w:pStyle w:val="ConsPlusNormal"/>
              <w:jc w:val="right"/>
            </w:pPr>
            <w:r>
              <w:t>-</w:t>
            </w:r>
          </w:p>
        </w:tc>
        <w:tc>
          <w:tcPr>
            <w:tcW w:w="1304" w:type="dxa"/>
            <w:vAlign w:val="center"/>
          </w:tcPr>
          <w:p w14:paraId="1D0C2619" w14:textId="77777777" w:rsidR="00454A29" w:rsidRDefault="00454A29">
            <w:pPr>
              <w:pStyle w:val="ConsPlusNormal"/>
              <w:jc w:val="right"/>
            </w:pPr>
            <w:r>
              <w:t>-</w:t>
            </w:r>
          </w:p>
        </w:tc>
        <w:tc>
          <w:tcPr>
            <w:tcW w:w="1304" w:type="dxa"/>
            <w:vAlign w:val="center"/>
          </w:tcPr>
          <w:p w14:paraId="761E5F93" w14:textId="77777777" w:rsidR="00454A29" w:rsidRDefault="00454A29">
            <w:pPr>
              <w:pStyle w:val="ConsPlusNormal"/>
              <w:jc w:val="right"/>
            </w:pPr>
            <w:r>
              <w:t>-</w:t>
            </w:r>
          </w:p>
        </w:tc>
        <w:tc>
          <w:tcPr>
            <w:tcW w:w="1304" w:type="dxa"/>
            <w:vAlign w:val="center"/>
          </w:tcPr>
          <w:p w14:paraId="06458A16" w14:textId="77777777" w:rsidR="00454A29" w:rsidRDefault="00454A29">
            <w:pPr>
              <w:pStyle w:val="ConsPlusNormal"/>
              <w:jc w:val="right"/>
            </w:pPr>
            <w:r>
              <w:t>-</w:t>
            </w:r>
          </w:p>
        </w:tc>
        <w:tc>
          <w:tcPr>
            <w:tcW w:w="1304" w:type="dxa"/>
            <w:vAlign w:val="center"/>
          </w:tcPr>
          <w:p w14:paraId="34CF0EE3" w14:textId="77777777" w:rsidR="00454A29" w:rsidRDefault="00454A29">
            <w:pPr>
              <w:pStyle w:val="ConsPlusNormal"/>
              <w:jc w:val="right"/>
            </w:pPr>
            <w:r>
              <w:t>-</w:t>
            </w:r>
          </w:p>
        </w:tc>
        <w:tc>
          <w:tcPr>
            <w:tcW w:w="1304" w:type="dxa"/>
            <w:vAlign w:val="center"/>
          </w:tcPr>
          <w:p w14:paraId="067AEA58" w14:textId="77777777" w:rsidR="00454A29" w:rsidRDefault="00454A29">
            <w:pPr>
              <w:pStyle w:val="ConsPlusNormal"/>
              <w:jc w:val="right"/>
            </w:pPr>
            <w:r>
              <w:t>-</w:t>
            </w:r>
          </w:p>
        </w:tc>
      </w:tr>
      <w:tr w:rsidR="00454A29" w14:paraId="136B88E8" w14:textId="77777777">
        <w:tc>
          <w:tcPr>
            <w:tcW w:w="2041" w:type="dxa"/>
            <w:vMerge/>
          </w:tcPr>
          <w:p w14:paraId="3458F0A9" w14:textId="77777777" w:rsidR="00454A29" w:rsidRDefault="00454A29"/>
        </w:tc>
        <w:tc>
          <w:tcPr>
            <w:tcW w:w="3005" w:type="dxa"/>
            <w:vMerge/>
          </w:tcPr>
          <w:p w14:paraId="53154628" w14:textId="77777777" w:rsidR="00454A29" w:rsidRDefault="00454A29"/>
        </w:tc>
        <w:tc>
          <w:tcPr>
            <w:tcW w:w="2778" w:type="dxa"/>
            <w:vAlign w:val="center"/>
          </w:tcPr>
          <w:p w14:paraId="7231404C" w14:textId="77777777" w:rsidR="00454A29" w:rsidRDefault="00454A29">
            <w:pPr>
              <w:pStyle w:val="ConsPlusNormal"/>
            </w:pPr>
            <w:r>
              <w:t>Государственный бюджет Республики Саха (Якутия)</w:t>
            </w:r>
          </w:p>
        </w:tc>
        <w:tc>
          <w:tcPr>
            <w:tcW w:w="1304" w:type="dxa"/>
            <w:vAlign w:val="center"/>
          </w:tcPr>
          <w:p w14:paraId="667CA6A8" w14:textId="77777777" w:rsidR="00454A29" w:rsidRDefault="00454A29">
            <w:pPr>
              <w:pStyle w:val="ConsPlusNormal"/>
              <w:jc w:val="right"/>
            </w:pPr>
            <w:r>
              <w:t>720</w:t>
            </w:r>
          </w:p>
        </w:tc>
        <w:tc>
          <w:tcPr>
            <w:tcW w:w="1247" w:type="dxa"/>
            <w:vAlign w:val="center"/>
          </w:tcPr>
          <w:p w14:paraId="57126F65" w14:textId="77777777" w:rsidR="00454A29" w:rsidRDefault="00454A29">
            <w:pPr>
              <w:pStyle w:val="ConsPlusNormal"/>
              <w:jc w:val="right"/>
            </w:pPr>
            <w:r>
              <w:t>-</w:t>
            </w:r>
          </w:p>
        </w:tc>
        <w:tc>
          <w:tcPr>
            <w:tcW w:w="1304" w:type="dxa"/>
            <w:vAlign w:val="center"/>
          </w:tcPr>
          <w:p w14:paraId="794852E6" w14:textId="77777777" w:rsidR="00454A29" w:rsidRDefault="00454A29">
            <w:pPr>
              <w:pStyle w:val="ConsPlusNormal"/>
              <w:jc w:val="right"/>
            </w:pPr>
            <w:r>
              <w:t>-</w:t>
            </w:r>
          </w:p>
        </w:tc>
        <w:tc>
          <w:tcPr>
            <w:tcW w:w="1304" w:type="dxa"/>
            <w:vAlign w:val="center"/>
          </w:tcPr>
          <w:p w14:paraId="66A14042" w14:textId="77777777" w:rsidR="00454A29" w:rsidRDefault="00454A29">
            <w:pPr>
              <w:pStyle w:val="ConsPlusNormal"/>
              <w:jc w:val="right"/>
            </w:pPr>
            <w:r>
              <w:t>-</w:t>
            </w:r>
          </w:p>
        </w:tc>
        <w:tc>
          <w:tcPr>
            <w:tcW w:w="1304" w:type="dxa"/>
            <w:vAlign w:val="center"/>
          </w:tcPr>
          <w:p w14:paraId="532B03CF" w14:textId="77777777" w:rsidR="00454A29" w:rsidRDefault="00454A29">
            <w:pPr>
              <w:pStyle w:val="ConsPlusNormal"/>
              <w:jc w:val="right"/>
            </w:pPr>
            <w:r>
              <w:t>-</w:t>
            </w:r>
          </w:p>
        </w:tc>
        <w:tc>
          <w:tcPr>
            <w:tcW w:w="1304" w:type="dxa"/>
            <w:vAlign w:val="center"/>
          </w:tcPr>
          <w:p w14:paraId="343E0241" w14:textId="77777777" w:rsidR="00454A29" w:rsidRDefault="00454A29">
            <w:pPr>
              <w:pStyle w:val="ConsPlusNormal"/>
              <w:jc w:val="right"/>
            </w:pPr>
            <w:r>
              <w:t>-</w:t>
            </w:r>
          </w:p>
        </w:tc>
        <w:tc>
          <w:tcPr>
            <w:tcW w:w="1304" w:type="dxa"/>
            <w:vAlign w:val="center"/>
          </w:tcPr>
          <w:p w14:paraId="49E93A39" w14:textId="77777777" w:rsidR="00454A29" w:rsidRDefault="00454A29">
            <w:pPr>
              <w:pStyle w:val="ConsPlusNormal"/>
              <w:jc w:val="right"/>
            </w:pPr>
            <w:r>
              <w:t>-</w:t>
            </w:r>
          </w:p>
        </w:tc>
      </w:tr>
      <w:tr w:rsidR="00454A29" w14:paraId="25CAAC78" w14:textId="77777777">
        <w:tc>
          <w:tcPr>
            <w:tcW w:w="2041" w:type="dxa"/>
            <w:vMerge/>
          </w:tcPr>
          <w:p w14:paraId="1F6FEAD9" w14:textId="77777777" w:rsidR="00454A29" w:rsidRDefault="00454A29"/>
        </w:tc>
        <w:tc>
          <w:tcPr>
            <w:tcW w:w="3005" w:type="dxa"/>
            <w:vMerge/>
          </w:tcPr>
          <w:p w14:paraId="23915403" w14:textId="77777777" w:rsidR="00454A29" w:rsidRDefault="00454A29"/>
        </w:tc>
        <w:tc>
          <w:tcPr>
            <w:tcW w:w="2778" w:type="dxa"/>
            <w:vAlign w:val="center"/>
          </w:tcPr>
          <w:p w14:paraId="1950AE04" w14:textId="77777777" w:rsidR="00454A29" w:rsidRDefault="00454A29">
            <w:pPr>
              <w:pStyle w:val="ConsPlusNormal"/>
            </w:pPr>
            <w:r>
              <w:t>Федеральный бюджет</w:t>
            </w:r>
          </w:p>
        </w:tc>
        <w:tc>
          <w:tcPr>
            <w:tcW w:w="1304" w:type="dxa"/>
            <w:vAlign w:val="center"/>
          </w:tcPr>
          <w:p w14:paraId="47308866" w14:textId="77777777" w:rsidR="00454A29" w:rsidRDefault="00454A29">
            <w:pPr>
              <w:pStyle w:val="ConsPlusNormal"/>
              <w:jc w:val="right"/>
            </w:pPr>
            <w:r>
              <w:t>-</w:t>
            </w:r>
          </w:p>
        </w:tc>
        <w:tc>
          <w:tcPr>
            <w:tcW w:w="1247" w:type="dxa"/>
            <w:vAlign w:val="center"/>
          </w:tcPr>
          <w:p w14:paraId="2BED8CB2" w14:textId="77777777" w:rsidR="00454A29" w:rsidRDefault="00454A29">
            <w:pPr>
              <w:pStyle w:val="ConsPlusNormal"/>
              <w:jc w:val="right"/>
            </w:pPr>
            <w:r>
              <w:t>-</w:t>
            </w:r>
          </w:p>
        </w:tc>
        <w:tc>
          <w:tcPr>
            <w:tcW w:w="1304" w:type="dxa"/>
            <w:vAlign w:val="center"/>
          </w:tcPr>
          <w:p w14:paraId="533B41C2" w14:textId="77777777" w:rsidR="00454A29" w:rsidRDefault="00454A29">
            <w:pPr>
              <w:pStyle w:val="ConsPlusNormal"/>
              <w:jc w:val="right"/>
            </w:pPr>
            <w:r>
              <w:t>-</w:t>
            </w:r>
          </w:p>
        </w:tc>
        <w:tc>
          <w:tcPr>
            <w:tcW w:w="1304" w:type="dxa"/>
            <w:vAlign w:val="center"/>
          </w:tcPr>
          <w:p w14:paraId="2356990D" w14:textId="77777777" w:rsidR="00454A29" w:rsidRDefault="00454A29">
            <w:pPr>
              <w:pStyle w:val="ConsPlusNormal"/>
              <w:jc w:val="right"/>
            </w:pPr>
            <w:r>
              <w:t>-</w:t>
            </w:r>
          </w:p>
        </w:tc>
        <w:tc>
          <w:tcPr>
            <w:tcW w:w="1304" w:type="dxa"/>
            <w:vAlign w:val="center"/>
          </w:tcPr>
          <w:p w14:paraId="4C3A5EF0" w14:textId="77777777" w:rsidR="00454A29" w:rsidRDefault="00454A29">
            <w:pPr>
              <w:pStyle w:val="ConsPlusNormal"/>
              <w:jc w:val="right"/>
            </w:pPr>
            <w:r>
              <w:t>-</w:t>
            </w:r>
          </w:p>
        </w:tc>
        <w:tc>
          <w:tcPr>
            <w:tcW w:w="1304" w:type="dxa"/>
            <w:vAlign w:val="center"/>
          </w:tcPr>
          <w:p w14:paraId="76590782" w14:textId="77777777" w:rsidR="00454A29" w:rsidRDefault="00454A29">
            <w:pPr>
              <w:pStyle w:val="ConsPlusNormal"/>
              <w:jc w:val="right"/>
            </w:pPr>
            <w:r>
              <w:t>-</w:t>
            </w:r>
          </w:p>
        </w:tc>
        <w:tc>
          <w:tcPr>
            <w:tcW w:w="1304" w:type="dxa"/>
            <w:vAlign w:val="center"/>
          </w:tcPr>
          <w:p w14:paraId="5081FCC3" w14:textId="77777777" w:rsidR="00454A29" w:rsidRDefault="00454A29">
            <w:pPr>
              <w:pStyle w:val="ConsPlusNormal"/>
              <w:jc w:val="right"/>
            </w:pPr>
            <w:r>
              <w:t>-</w:t>
            </w:r>
          </w:p>
        </w:tc>
      </w:tr>
      <w:tr w:rsidR="00454A29" w14:paraId="563924AC" w14:textId="77777777">
        <w:tc>
          <w:tcPr>
            <w:tcW w:w="2041" w:type="dxa"/>
            <w:vMerge/>
          </w:tcPr>
          <w:p w14:paraId="6B473316" w14:textId="77777777" w:rsidR="00454A29" w:rsidRDefault="00454A29"/>
        </w:tc>
        <w:tc>
          <w:tcPr>
            <w:tcW w:w="3005" w:type="dxa"/>
            <w:vMerge/>
          </w:tcPr>
          <w:p w14:paraId="257FB560" w14:textId="77777777" w:rsidR="00454A29" w:rsidRDefault="00454A29"/>
        </w:tc>
        <w:tc>
          <w:tcPr>
            <w:tcW w:w="2778" w:type="dxa"/>
            <w:vAlign w:val="center"/>
          </w:tcPr>
          <w:p w14:paraId="2F5DEA62" w14:textId="77777777" w:rsidR="00454A29" w:rsidRDefault="00454A29">
            <w:pPr>
              <w:pStyle w:val="ConsPlusNormal"/>
            </w:pPr>
            <w:r>
              <w:t>Местные бюджеты</w:t>
            </w:r>
          </w:p>
        </w:tc>
        <w:tc>
          <w:tcPr>
            <w:tcW w:w="1304" w:type="dxa"/>
            <w:vAlign w:val="center"/>
          </w:tcPr>
          <w:p w14:paraId="40F58885" w14:textId="77777777" w:rsidR="00454A29" w:rsidRDefault="00454A29">
            <w:pPr>
              <w:pStyle w:val="ConsPlusNormal"/>
              <w:jc w:val="right"/>
            </w:pPr>
            <w:r>
              <w:t>-</w:t>
            </w:r>
          </w:p>
        </w:tc>
        <w:tc>
          <w:tcPr>
            <w:tcW w:w="1247" w:type="dxa"/>
            <w:vAlign w:val="center"/>
          </w:tcPr>
          <w:p w14:paraId="268324C5" w14:textId="77777777" w:rsidR="00454A29" w:rsidRDefault="00454A29">
            <w:pPr>
              <w:pStyle w:val="ConsPlusNormal"/>
              <w:jc w:val="right"/>
            </w:pPr>
            <w:r>
              <w:t>-</w:t>
            </w:r>
          </w:p>
        </w:tc>
        <w:tc>
          <w:tcPr>
            <w:tcW w:w="1304" w:type="dxa"/>
            <w:vAlign w:val="center"/>
          </w:tcPr>
          <w:p w14:paraId="102653DD" w14:textId="77777777" w:rsidR="00454A29" w:rsidRDefault="00454A29">
            <w:pPr>
              <w:pStyle w:val="ConsPlusNormal"/>
              <w:jc w:val="right"/>
            </w:pPr>
            <w:r>
              <w:t>-</w:t>
            </w:r>
          </w:p>
        </w:tc>
        <w:tc>
          <w:tcPr>
            <w:tcW w:w="1304" w:type="dxa"/>
            <w:vAlign w:val="center"/>
          </w:tcPr>
          <w:p w14:paraId="296C04E7" w14:textId="77777777" w:rsidR="00454A29" w:rsidRDefault="00454A29">
            <w:pPr>
              <w:pStyle w:val="ConsPlusNormal"/>
              <w:jc w:val="right"/>
            </w:pPr>
            <w:r>
              <w:t>-</w:t>
            </w:r>
          </w:p>
        </w:tc>
        <w:tc>
          <w:tcPr>
            <w:tcW w:w="1304" w:type="dxa"/>
            <w:vAlign w:val="center"/>
          </w:tcPr>
          <w:p w14:paraId="3004CD90" w14:textId="77777777" w:rsidR="00454A29" w:rsidRDefault="00454A29">
            <w:pPr>
              <w:pStyle w:val="ConsPlusNormal"/>
              <w:jc w:val="right"/>
            </w:pPr>
            <w:r>
              <w:t>-</w:t>
            </w:r>
          </w:p>
        </w:tc>
        <w:tc>
          <w:tcPr>
            <w:tcW w:w="1304" w:type="dxa"/>
            <w:vAlign w:val="center"/>
          </w:tcPr>
          <w:p w14:paraId="434ED744" w14:textId="77777777" w:rsidR="00454A29" w:rsidRDefault="00454A29">
            <w:pPr>
              <w:pStyle w:val="ConsPlusNormal"/>
              <w:jc w:val="right"/>
            </w:pPr>
            <w:r>
              <w:t>-</w:t>
            </w:r>
          </w:p>
        </w:tc>
        <w:tc>
          <w:tcPr>
            <w:tcW w:w="1304" w:type="dxa"/>
            <w:vAlign w:val="center"/>
          </w:tcPr>
          <w:p w14:paraId="42A53042" w14:textId="77777777" w:rsidR="00454A29" w:rsidRDefault="00454A29">
            <w:pPr>
              <w:pStyle w:val="ConsPlusNormal"/>
              <w:jc w:val="right"/>
            </w:pPr>
            <w:r>
              <w:t>-</w:t>
            </w:r>
          </w:p>
        </w:tc>
      </w:tr>
      <w:tr w:rsidR="00454A29" w14:paraId="1721FEB3" w14:textId="77777777">
        <w:tc>
          <w:tcPr>
            <w:tcW w:w="2041" w:type="dxa"/>
            <w:vMerge/>
          </w:tcPr>
          <w:p w14:paraId="6940CC60" w14:textId="77777777" w:rsidR="00454A29" w:rsidRDefault="00454A29"/>
        </w:tc>
        <w:tc>
          <w:tcPr>
            <w:tcW w:w="3005" w:type="dxa"/>
            <w:vMerge/>
          </w:tcPr>
          <w:p w14:paraId="75ED5C4F" w14:textId="77777777" w:rsidR="00454A29" w:rsidRDefault="00454A29"/>
        </w:tc>
        <w:tc>
          <w:tcPr>
            <w:tcW w:w="2778" w:type="dxa"/>
            <w:vAlign w:val="center"/>
          </w:tcPr>
          <w:p w14:paraId="2DFB2FF2" w14:textId="77777777" w:rsidR="00454A29" w:rsidRDefault="00454A29">
            <w:pPr>
              <w:pStyle w:val="ConsPlusNormal"/>
            </w:pPr>
            <w:r>
              <w:t>Внебюджетные средства</w:t>
            </w:r>
          </w:p>
        </w:tc>
        <w:tc>
          <w:tcPr>
            <w:tcW w:w="1304" w:type="dxa"/>
            <w:vAlign w:val="center"/>
          </w:tcPr>
          <w:p w14:paraId="186B2A76" w14:textId="77777777" w:rsidR="00454A29" w:rsidRDefault="00454A29">
            <w:pPr>
              <w:pStyle w:val="ConsPlusNormal"/>
              <w:jc w:val="right"/>
            </w:pPr>
            <w:r>
              <w:t>-</w:t>
            </w:r>
          </w:p>
        </w:tc>
        <w:tc>
          <w:tcPr>
            <w:tcW w:w="1247" w:type="dxa"/>
            <w:vAlign w:val="center"/>
          </w:tcPr>
          <w:p w14:paraId="6248B8A6" w14:textId="77777777" w:rsidR="00454A29" w:rsidRDefault="00454A29">
            <w:pPr>
              <w:pStyle w:val="ConsPlusNormal"/>
              <w:jc w:val="right"/>
            </w:pPr>
            <w:r>
              <w:t>-</w:t>
            </w:r>
          </w:p>
        </w:tc>
        <w:tc>
          <w:tcPr>
            <w:tcW w:w="1304" w:type="dxa"/>
            <w:vAlign w:val="center"/>
          </w:tcPr>
          <w:p w14:paraId="1AE09299" w14:textId="77777777" w:rsidR="00454A29" w:rsidRDefault="00454A29">
            <w:pPr>
              <w:pStyle w:val="ConsPlusNormal"/>
              <w:jc w:val="right"/>
            </w:pPr>
            <w:r>
              <w:t>-</w:t>
            </w:r>
          </w:p>
        </w:tc>
        <w:tc>
          <w:tcPr>
            <w:tcW w:w="1304" w:type="dxa"/>
            <w:vAlign w:val="center"/>
          </w:tcPr>
          <w:p w14:paraId="3464A657" w14:textId="77777777" w:rsidR="00454A29" w:rsidRDefault="00454A29">
            <w:pPr>
              <w:pStyle w:val="ConsPlusNormal"/>
              <w:jc w:val="right"/>
            </w:pPr>
            <w:r>
              <w:t>-</w:t>
            </w:r>
          </w:p>
        </w:tc>
        <w:tc>
          <w:tcPr>
            <w:tcW w:w="1304" w:type="dxa"/>
            <w:vAlign w:val="center"/>
          </w:tcPr>
          <w:p w14:paraId="144E1846" w14:textId="77777777" w:rsidR="00454A29" w:rsidRDefault="00454A29">
            <w:pPr>
              <w:pStyle w:val="ConsPlusNormal"/>
              <w:jc w:val="right"/>
            </w:pPr>
            <w:r>
              <w:t>-</w:t>
            </w:r>
          </w:p>
        </w:tc>
        <w:tc>
          <w:tcPr>
            <w:tcW w:w="1304" w:type="dxa"/>
            <w:vAlign w:val="center"/>
          </w:tcPr>
          <w:p w14:paraId="1305DF8B" w14:textId="77777777" w:rsidR="00454A29" w:rsidRDefault="00454A29">
            <w:pPr>
              <w:pStyle w:val="ConsPlusNormal"/>
              <w:jc w:val="right"/>
            </w:pPr>
            <w:r>
              <w:t>-</w:t>
            </w:r>
          </w:p>
        </w:tc>
        <w:tc>
          <w:tcPr>
            <w:tcW w:w="1304" w:type="dxa"/>
            <w:vAlign w:val="center"/>
          </w:tcPr>
          <w:p w14:paraId="635D8E1E" w14:textId="77777777" w:rsidR="00454A29" w:rsidRDefault="00454A29">
            <w:pPr>
              <w:pStyle w:val="ConsPlusNormal"/>
              <w:jc w:val="right"/>
            </w:pPr>
            <w:r>
              <w:t>-</w:t>
            </w:r>
          </w:p>
        </w:tc>
      </w:tr>
      <w:tr w:rsidR="00454A29" w14:paraId="4EF2743F" w14:textId="77777777">
        <w:tc>
          <w:tcPr>
            <w:tcW w:w="2041" w:type="dxa"/>
            <w:vMerge w:val="restart"/>
            <w:vAlign w:val="center"/>
          </w:tcPr>
          <w:p w14:paraId="0E34DECA" w14:textId="77777777" w:rsidR="00454A29" w:rsidRDefault="00454A29">
            <w:pPr>
              <w:pStyle w:val="ConsPlusNormal"/>
              <w:jc w:val="center"/>
              <w:outlineLvl w:val="2"/>
            </w:pPr>
            <w:r>
              <w:t>Подпрограмма 3</w:t>
            </w:r>
          </w:p>
        </w:tc>
        <w:tc>
          <w:tcPr>
            <w:tcW w:w="3005" w:type="dxa"/>
            <w:vMerge w:val="restart"/>
            <w:vAlign w:val="center"/>
          </w:tcPr>
          <w:p w14:paraId="1D53A2FB" w14:textId="77777777" w:rsidR="00454A29" w:rsidRDefault="00454A29">
            <w:pPr>
              <w:pStyle w:val="ConsPlusNormal"/>
              <w:jc w:val="center"/>
            </w:pPr>
            <w:r>
              <w:t>"Профессиональное образование"</w:t>
            </w:r>
          </w:p>
        </w:tc>
        <w:tc>
          <w:tcPr>
            <w:tcW w:w="2778" w:type="dxa"/>
            <w:vAlign w:val="center"/>
          </w:tcPr>
          <w:p w14:paraId="2CA0487B" w14:textId="77777777" w:rsidR="00454A29" w:rsidRDefault="00454A29">
            <w:pPr>
              <w:pStyle w:val="ConsPlusNormal"/>
            </w:pPr>
            <w:r>
              <w:t>Всего:</w:t>
            </w:r>
          </w:p>
        </w:tc>
        <w:tc>
          <w:tcPr>
            <w:tcW w:w="1304" w:type="dxa"/>
            <w:vAlign w:val="center"/>
          </w:tcPr>
          <w:p w14:paraId="1C097399" w14:textId="77777777" w:rsidR="00454A29" w:rsidRDefault="00454A29">
            <w:pPr>
              <w:pStyle w:val="ConsPlusNormal"/>
              <w:jc w:val="right"/>
            </w:pPr>
            <w:r>
              <w:t>5 592 340</w:t>
            </w:r>
          </w:p>
        </w:tc>
        <w:tc>
          <w:tcPr>
            <w:tcW w:w="1247" w:type="dxa"/>
            <w:vAlign w:val="center"/>
          </w:tcPr>
          <w:p w14:paraId="31A4710D" w14:textId="77777777" w:rsidR="00454A29" w:rsidRDefault="00454A29">
            <w:pPr>
              <w:pStyle w:val="ConsPlusNormal"/>
              <w:jc w:val="right"/>
            </w:pPr>
            <w:r>
              <w:t>5 534 618</w:t>
            </w:r>
          </w:p>
        </w:tc>
        <w:tc>
          <w:tcPr>
            <w:tcW w:w="1304" w:type="dxa"/>
            <w:vAlign w:val="center"/>
          </w:tcPr>
          <w:p w14:paraId="0C91C99B" w14:textId="77777777" w:rsidR="00454A29" w:rsidRDefault="00454A29">
            <w:pPr>
              <w:pStyle w:val="ConsPlusNormal"/>
              <w:jc w:val="right"/>
            </w:pPr>
            <w:r>
              <w:t>5 533 616</w:t>
            </w:r>
          </w:p>
        </w:tc>
        <w:tc>
          <w:tcPr>
            <w:tcW w:w="1304" w:type="dxa"/>
            <w:vAlign w:val="center"/>
          </w:tcPr>
          <w:p w14:paraId="4FEFF688" w14:textId="77777777" w:rsidR="00454A29" w:rsidRDefault="00454A29">
            <w:pPr>
              <w:pStyle w:val="ConsPlusNormal"/>
              <w:jc w:val="right"/>
            </w:pPr>
            <w:r>
              <w:t>5 627 028</w:t>
            </w:r>
          </w:p>
        </w:tc>
        <w:tc>
          <w:tcPr>
            <w:tcW w:w="1304" w:type="dxa"/>
            <w:vAlign w:val="center"/>
          </w:tcPr>
          <w:p w14:paraId="43D1943A" w14:textId="77777777" w:rsidR="00454A29" w:rsidRDefault="00454A29">
            <w:pPr>
              <w:pStyle w:val="ConsPlusNormal"/>
              <w:jc w:val="right"/>
            </w:pPr>
            <w:r>
              <w:t>5 627 028</w:t>
            </w:r>
          </w:p>
        </w:tc>
        <w:tc>
          <w:tcPr>
            <w:tcW w:w="1304" w:type="dxa"/>
            <w:vAlign w:val="center"/>
          </w:tcPr>
          <w:p w14:paraId="5A304039" w14:textId="77777777" w:rsidR="00454A29" w:rsidRDefault="00454A29">
            <w:pPr>
              <w:pStyle w:val="ConsPlusNormal"/>
              <w:jc w:val="right"/>
            </w:pPr>
            <w:r>
              <w:t>-</w:t>
            </w:r>
          </w:p>
        </w:tc>
        <w:tc>
          <w:tcPr>
            <w:tcW w:w="1304" w:type="dxa"/>
            <w:vAlign w:val="center"/>
          </w:tcPr>
          <w:p w14:paraId="081CABAB" w14:textId="77777777" w:rsidR="00454A29" w:rsidRDefault="00454A29">
            <w:pPr>
              <w:pStyle w:val="ConsPlusNormal"/>
              <w:jc w:val="right"/>
            </w:pPr>
            <w:r>
              <w:t>-</w:t>
            </w:r>
          </w:p>
        </w:tc>
      </w:tr>
      <w:tr w:rsidR="00454A29" w14:paraId="65EA82D0" w14:textId="77777777">
        <w:tc>
          <w:tcPr>
            <w:tcW w:w="2041" w:type="dxa"/>
            <w:vMerge/>
          </w:tcPr>
          <w:p w14:paraId="46626669" w14:textId="77777777" w:rsidR="00454A29" w:rsidRDefault="00454A29"/>
        </w:tc>
        <w:tc>
          <w:tcPr>
            <w:tcW w:w="3005" w:type="dxa"/>
            <w:vMerge/>
          </w:tcPr>
          <w:p w14:paraId="47FF9599" w14:textId="77777777" w:rsidR="00454A29" w:rsidRDefault="00454A29"/>
        </w:tc>
        <w:tc>
          <w:tcPr>
            <w:tcW w:w="2778" w:type="dxa"/>
            <w:vAlign w:val="center"/>
          </w:tcPr>
          <w:p w14:paraId="331AE50D" w14:textId="77777777" w:rsidR="00454A29" w:rsidRDefault="00454A29">
            <w:pPr>
              <w:pStyle w:val="ConsPlusNormal"/>
            </w:pPr>
            <w:r>
              <w:t>Государственный бюджет Республики Саха (Якутия)</w:t>
            </w:r>
          </w:p>
        </w:tc>
        <w:tc>
          <w:tcPr>
            <w:tcW w:w="1304" w:type="dxa"/>
            <w:vAlign w:val="center"/>
          </w:tcPr>
          <w:p w14:paraId="29D1EEBA" w14:textId="77777777" w:rsidR="00454A29" w:rsidRDefault="00454A29">
            <w:pPr>
              <w:pStyle w:val="ConsPlusNormal"/>
              <w:jc w:val="right"/>
            </w:pPr>
            <w:r>
              <w:t>5 265 740</w:t>
            </w:r>
          </w:p>
        </w:tc>
        <w:tc>
          <w:tcPr>
            <w:tcW w:w="1247" w:type="dxa"/>
            <w:vAlign w:val="center"/>
          </w:tcPr>
          <w:p w14:paraId="75C02897" w14:textId="77777777" w:rsidR="00454A29" w:rsidRDefault="00454A29">
            <w:pPr>
              <w:pStyle w:val="ConsPlusNormal"/>
              <w:jc w:val="right"/>
            </w:pPr>
            <w:r>
              <w:t>5 208 018</w:t>
            </w:r>
          </w:p>
        </w:tc>
        <w:tc>
          <w:tcPr>
            <w:tcW w:w="1304" w:type="dxa"/>
            <w:vAlign w:val="center"/>
          </w:tcPr>
          <w:p w14:paraId="67E20C95" w14:textId="77777777" w:rsidR="00454A29" w:rsidRDefault="00454A29">
            <w:pPr>
              <w:pStyle w:val="ConsPlusNormal"/>
              <w:jc w:val="right"/>
            </w:pPr>
            <w:r>
              <w:t>5 207 016</w:t>
            </w:r>
          </w:p>
        </w:tc>
        <w:tc>
          <w:tcPr>
            <w:tcW w:w="1304" w:type="dxa"/>
            <w:vAlign w:val="center"/>
          </w:tcPr>
          <w:p w14:paraId="6609A756" w14:textId="77777777" w:rsidR="00454A29" w:rsidRDefault="00454A29">
            <w:pPr>
              <w:pStyle w:val="ConsPlusNormal"/>
              <w:jc w:val="right"/>
            </w:pPr>
            <w:r>
              <w:t>5 300 428</w:t>
            </w:r>
          </w:p>
        </w:tc>
        <w:tc>
          <w:tcPr>
            <w:tcW w:w="1304" w:type="dxa"/>
            <w:vAlign w:val="center"/>
          </w:tcPr>
          <w:p w14:paraId="1B658E13" w14:textId="77777777" w:rsidR="00454A29" w:rsidRDefault="00454A29">
            <w:pPr>
              <w:pStyle w:val="ConsPlusNormal"/>
              <w:jc w:val="right"/>
            </w:pPr>
            <w:r>
              <w:t>5 300 428</w:t>
            </w:r>
          </w:p>
        </w:tc>
        <w:tc>
          <w:tcPr>
            <w:tcW w:w="1304" w:type="dxa"/>
            <w:vAlign w:val="center"/>
          </w:tcPr>
          <w:p w14:paraId="22081DBC" w14:textId="77777777" w:rsidR="00454A29" w:rsidRDefault="00454A29">
            <w:pPr>
              <w:pStyle w:val="ConsPlusNormal"/>
              <w:jc w:val="right"/>
            </w:pPr>
            <w:r>
              <w:t>-</w:t>
            </w:r>
          </w:p>
        </w:tc>
        <w:tc>
          <w:tcPr>
            <w:tcW w:w="1304" w:type="dxa"/>
            <w:vAlign w:val="center"/>
          </w:tcPr>
          <w:p w14:paraId="2C697CEE" w14:textId="77777777" w:rsidR="00454A29" w:rsidRDefault="00454A29">
            <w:pPr>
              <w:pStyle w:val="ConsPlusNormal"/>
              <w:jc w:val="right"/>
            </w:pPr>
            <w:r>
              <w:t>-</w:t>
            </w:r>
          </w:p>
        </w:tc>
      </w:tr>
      <w:tr w:rsidR="00454A29" w14:paraId="51068D82" w14:textId="77777777">
        <w:tc>
          <w:tcPr>
            <w:tcW w:w="2041" w:type="dxa"/>
            <w:vMerge/>
          </w:tcPr>
          <w:p w14:paraId="70A942EC" w14:textId="77777777" w:rsidR="00454A29" w:rsidRDefault="00454A29"/>
        </w:tc>
        <w:tc>
          <w:tcPr>
            <w:tcW w:w="3005" w:type="dxa"/>
            <w:vMerge/>
          </w:tcPr>
          <w:p w14:paraId="28793E03" w14:textId="77777777" w:rsidR="00454A29" w:rsidRDefault="00454A29"/>
        </w:tc>
        <w:tc>
          <w:tcPr>
            <w:tcW w:w="2778" w:type="dxa"/>
            <w:vAlign w:val="center"/>
          </w:tcPr>
          <w:p w14:paraId="4E4CD0AE" w14:textId="77777777" w:rsidR="00454A29" w:rsidRDefault="00454A29">
            <w:pPr>
              <w:pStyle w:val="ConsPlusNormal"/>
            </w:pPr>
            <w:r>
              <w:t>Минобрнауки РС(Я)</w:t>
            </w:r>
          </w:p>
        </w:tc>
        <w:tc>
          <w:tcPr>
            <w:tcW w:w="1304" w:type="dxa"/>
            <w:vAlign w:val="center"/>
          </w:tcPr>
          <w:p w14:paraId="73EE8A02" w14:textId="77777777" w:rsidR="00454A29" w:rsidRDefault="00454A29">
            <w:pPr>
              <w:pStyle w:val="ConsPlusNormal"/>
              <w:jc w:val="right"/>
            </w:pPr>
            <w:r>
              <w:t>4 898 435</w:t>
            </w:r>
          </w:p>
        </w:tc>
        <w:tc>
          <w:tcPr>
            <w:tcW w:w="1247" w:type="dxa"/>
            <w:vAlign w:val="center"/>
          </w:tcPr>
          <w:p w14:paraId="21317706" w14:textId="77777777" w:rsidR="00454A29" w:rsidRDefault="00454A29">
            <w:pPr>
              <w:pStyle w:val="ConsPlusNormal"/>
              <w:jc w:val="right"/>
            </w:pPr>
            <w:r>
              <w:t>4 840 713</w:t>
            </w:r>
          </w:p>
        </w:tc>
        <w:tc>
          <w:tcPr>
            <w:tcW w:w="1304" w:type="dxa"/>
            <w:vAlign w:val="center"/>
          </w:tcPr>
          <w:p w14:paraId="01AFE43F" w14:textId="77777777" w:rsidR="00454A29" w:rsidRDefault="00454A29">
            <w:pPr>
              <w:pStyle w:val="ConsPlusNormal"/>
              <w:jc w:val="right"/>
            </w:pPr>
            <w:r>
              <w:t>4 839 711</w:t>
            </w:r>
          </w:p>
        </w:tc>
        <w:tc>
          <w:tcPr>
            <w:tcW w:w="1304" w:type="dxa"/>
            <w:vAlign w:val="center"/>
          </w:tcPr>
          <w:p w14:paraId="53D3E7CD" w14:textId="77777777" w:rsidR="00454A29" w:rsidRDefault="00454A29">
            <w:pPr>
              <w:pStyle w:val="ConsPlusNormal"/>
              <w:jc w:val="right"/>
            </w:pPr>
            <w:r>
              <w:t>4 933 123</w:t>
            </w:r>
          </w:p>
        </w:tc>
        <w:tc>
          <w:tcPr>
            <w:tcW w:w="1304" w:type="dxa"/>
            <w:vAlign w:val="center"/>
          </w:tcPr>
          <w:p w14:paraId="0370960B" w14:textId="77777777" w:rsidR="00454A29" w:rsidRDefault="00454A29">
            <w:pPr>
              <w:pStyle w:val="ConsPlusNormal"/>
              <w:jc w:val="right"/>
            </w:pPr>
            <w:r>
              <w:t>4 933 123</w:t>
            </w:r>
          </w:p>
        </w:tc>
        <w:tc>
          <w:tcPr>
            <w:tcW w:w="1304" w:type="dxa"/>
            <w:vAlign w:val="center"/>
          </w:tcPr>
          <w:p w14:paraId="1138E410" w14:textId="77777777" w:rsidR="00454A29" w:rsidRDefault="00454A29">
            <w:pPr>
              <w:pStyle w:val="ConsPlusNormal"/>
              <w:jc w:val="right"/>
            </w:pPr>
            <w:r>
              <w:t>-</w:t>
            </w:r>
          </w:p>
        </w:tc>
        <w:tc>
          <w:tcPr>
            <w:tcW w:w="1304" w:type="dxa"/>
            <w:vAlign w:val="center"/>
          </w:tcPr>
          <w:p w14:paraId="4E91F8E7" w14:textId="77777777" w:rsidR="00454A29" w:rsidRDefault="00454A29">
            <w:pPr>
              <w:pStyle w:val="ConsPlusNormal"/>
              <w:jc w:val="right"/>
            </w:pPr>
            <w:r>
              <w:t>-</w:t>
            </w:r>
          </w:p>
        </w:tc>
      </w:tr>
      <w:tr w:rsidR="00454A29" w14:paraId="3E2932B8" w14:textId="77777777">
        <w:tc>
          <w:tcPr>
            <w:tcW w:w="2041" w:type="dxa"/>
            <w:vMerge/>
          </w:tcPr>
          <w:p w14:paraId="036F9B08" w14:textId="77777777" w:rsidR="00454A29" w:rsidRDefault="00454A29"/>
        </w:tc>
        <w:tc>
          <w:tcPr>
            <w:tcW w:w="3005" w:type="dxa"/>
            <w:vMerge/>
          </w:tcPr>
          <w:p w14:paraId="6B9B3D79" w14:textId="77777777" w:rsidR="00454A29" w:rsidRDefault="00454A29"/>
        </w:tc>
        <w:tc>
          <w:tcPr>
            <w:tcW w:w="2778" w:type="dxa"/>
            <w:vAlign w:val="center"/>
          </w:tcPr>
          <w:p w14:paraId="3D92344F" w14:textId="77777777" w:rsidR="00454A29" w:rsidRDefault="00454A29">
            <w:pPr>
              <w:pStyle w:val="ConsPlusNormal"/>
            </w:pPr>
            <w:r>
              <w:t>Минкультуры РС(Я)</w:t>
            </w:r>
          </w:p>
        </w:tc>
        <w:tc>
          <w:tcPr>
            <w:tcW w:w="1304" w:type="dxa"/>
            <w:vAlign w:val="center"/>
          </w:tcPr>
          <w:p w14:paraId="2CED7D29" w14:textId="77777777" w:rsidR="00454A29" w:rsidRDefault="00454A29">
            <w:pPr>
              <w:pStyle w:val="ConsPlusNormal"/>
              <w:jc w:val="right"/>
            </w:pPr>
            <w:r>
              <w:t>367 305</w:t>
            </w:r>
          </w:p>
        </w:tc>
        <w:tc>
          <w:tcPr>
            <w:tcW w:w="1247" w:type="dxa"/>
            <w:vAlign w:val="center"/>
          </w:tcPr>
          <w:p w14:paraId="2DE76C28" w14:textId="77777777" w:rsidR="00454A29" w:rsidRDefault="00454A29">
            <w:pPr>
              <w:pStyle w:val="ConsPlusNormal"/>
              <w:jc w:val="right"/>
            </w:pPr>
            <w:r>
              <w:t>367 305</w:t>
            </w:r>
          </w:p>
        </w:tc>
        <w:tc>
          <w:tcPr>
            <w:tcW w:w="1304" w:type="dxa"/>
            <w:vAlign w:val="center"/>
          </w:tcPr>
          <w:p w14:paraId="222D0157" w14:textId="77777777" w:rsidR="00454A29" w:rsidRDefault="00454A29">
            <w:pPr>
              <w:pStyle w:val="ConsPlusNormal"/>
              <w:jc w:val="right"/>
            </w:pPr>
            <w:r>
              <w:t>367 305</w:t>
            </w:r>
          </w:p>
        </w:tc>
        <w:tc>
          <w:tcPr>
            <w:tcW w:w="1304" w:type="dxa"/>
            <w:vAlign w:val="center"/>
          </w:tcPr>
          <w:p w14:paraId="33993309" w14:textId="77777777" w:rsidR="00454A29" w:rsidRDefault="00454A29">
            <w:pPr>
              <w:pStyle w:val="ConsPlusNormal"/>
              <w:jc w:val="right"/>
            </w:pPr>
            <w:r>
              <w:t>367 305</w:t>
            </w:r>
          </w:p>
        </w:tc>
        <w:tc>
          <w:tcPr>
            <w:tcW w:w="1304" w:type="dxa"/>
            <w:vAlign w:val="center"/>
          </w:tcPr>
          <w:p w14:paraId="17479E3D" w14:textId="77777777" w:rsidR="00454A29" w:rsidRDefault="00454A29">
            <w:pPr>
              <w:pStyle w:val="ConsPlusNormal"/>
              <w:jc w:val="right"/>
            </w:pPr>
            <w:r>
              <w:t>367 305</w:t>
            </w:r>
          </w:p>
        </w:tc>
        <w:tc>
          <w:tcPr>
            <w:tcW w:w="1304" w:type="dxa"/>
            <w:vAlign w:val="center"/>
          </w:tcPr>
          <w:p w14:paraId="318E45F4" w14:textId="77777777" w:rsidR="00454A29" w:rsidRDefault="00454A29">
            <w:pPr>
              <w:pStyle w:val="ConsPlusNormal"/>
              <w:jc w:val="right"/>
            </w:pPr>
            <w:r>
              <w:t>-</w:t>
            </w:r>
          </w:p>
        </w:tc>
        <w:tc>
          <w:tcPr>
            <w:tcW w:w="1304" w:type="dxa"/>
            <w:vAlign w:val="center"/>
          </w:tcPr>
          <w:p w14:paraId="3A1E7988" w14:textId="77777777" w:rsidR="00454A29" w:rsidRDefault="00454A29">
            <w:pPr>
              <w:pStyle w:val="ConsPlusNormal"/>
              <w:jc w:val="right"/>
            </w:pPr>
            <w:r>
              <w:t>-</w:t>
            </w:r>
          </w:p>
        </w:tc>
      </w:tr>
      <w:tr w:rsidR="00454A29" w14:paraId="606CF1D9" w14:textId="77777777">
        <w:tc>
          <w:tcPr>
            <w:tcW w:w="2041" w:type="dxa"/>
            <w:vMerge/>
          </w:tcPr>
          <w:p w14:paraId="4D8B8E4A" w14:textId="77777777" w:rsidR="00454A29" w:rsidRDefault="00454A29"/>
        </w:tc>
        <w:tc>
          <w:tcPr>
            <w:tcW w:w="3005" w:type="dxa"/>
            <w:vMerge/>
          </w:tcPr>
          <w:p w14:paraId="7DDE97BA" w14:textId="77777777" w:rsidR="00454A29" w:rsidRDefault="00454A29"/>
        </w:tc>
        <w:tc>
          <w:tcPr>
            <w:tcW w:w="2778" w:type="dxa"/>
            <w:vAlign w:val="center"/>
          </w:tcPr>
          <w:p w14:paraId="5F6FBB85" w14:textId="77777777" w:rsidR="00454A29" w:rsidRDefault="00454A29">
            <w:pPr>
              <w:pStyle w:val="ConsPlusNormal"/>
            </w:pPr>
            <w:r>
              <w:t>Федеральный бюджет</w:t>
            </w:r>
          </w:p>
        </w:tc>
        <w:tc>
          <w:tcPr>
            <w:tcW w:w="1304" w:type="dxa"/>
            <w:vAlign w:val="center"/>
          </w:tcPr>
          <w:p w14:paraId="5C79CE62" w14:textId="77777777" w:rsidR="00454A29" w:rsidRDefault="00454A29">
            <w:pPr>
              <w:pStyle w:val="ConsPlusNormal"/>
            </w:pPr>
          </w:p>
        </w:tc>
        <w:tc>
          <w:tcPr>
            <w:tcW w:w="1247" w:type="dxa"/>
            <w:vAlign w:val="center"/>
          </w:tcPr>
          <w:p w14:paraId="47EF631D" w14:textId="77777777" w:rsidR="00454A29" w:rsidRDefault="00454A29">
            <w:pPr>
              <w:pStyle w:val="ConsPlusNormal"/>
            </w:pPr>
          </w:p>
        </w:tc>
        <w:tc>
          <w:tcPr>
            <w:tcW w:w="1304" w:type="dxa"/>
            <w:vAlign w:val="center"/>
          </w:tcPr>
          <w:p w14:paraId="45BA1D63" w14:textId="77777777" w:rsidR="00454A29" w:rsidRDefault="00454A29">
            <w:pPr>
              <w:pStyle w:val="ConsPlusNormal"/>
            </w:pPr>
          </w:p>
        </w:tc>
        <w:tc>
          <w:tcPr>
            <w:tcW w:w="1304" w:type="dxa"/>
            <w:vAlign w:val="center"/>
          </w:tcPr>
          <w:p w14:paraId="10062E3E" w14:textId="77777777" w:rsidR="00454A29" w:rsidRDefault="00454A29">
            <w:pPr>
              <w:pStyle w:val="ConsPlusNormal"/>
            </w:pPr>
          </w:p>
        </w:tc>
        <w:tc>
          <w:tcPr>
            <w:tcW w:w="1304" w:type="dxa"/>
            <w:vAlign w:val="center"/>
          </w:tcPr>
          <w:p w14:paraId="5828BABE" w14:textId="77777777" w:rsidR="00454A29" w:rsidRDefault="00454A29">
            <w:pPr>
              <w:pStyle w:val="ConsPlusNormal"/>
            </w:pPr>
          </w:p>
        </w:tc>
        <w:tc>
          <w:tcPr>
            <w:tcW w:w="1304" w:type="dxa"/>
            <w:vAlign w:val="center"/>
          </w:tcPr>
          <w:p w14:paraId="2D90EA09" w14:textId="77777777" w:rsidR="00454A29" w:rsidRDefault="00454A29">
            <w:pPr>
              <w:pStyle w:val="ConsPlusNormal"/>
            </w:pPr>
          </w:p>
        </w:tc>
        <w:tc>
          <w:tcPr>
            <w:tcW w:w="1304" w:type="dxa"/>
            <w:vAlign w:val="center"/>
          </w:tcPr>
          <w:p w14:paraId="2B6F1B09" w14:textId="77777777" w:rsidR="00454A29" w:rsidRDefault="00454A29">
            <w:pPr>
              <w:pStyle w:val="ConsPlusNormal"/>
            </w:pPr>
          </w:p>
        </w:tc>
      </w:tr>
      <w:tr w:rsidR="00454A29" w14:paraId="1DEA478E" w14:textId="77777777">
        <w:tc>
          <w:tcPr>
            <w:tcW w:w="2041" w:type="dxa"/>
            <w:vMerge/>
          </w:tcPr>
          <w:p w14:paraId="4E86F9E8" w14:textId="77777777" w:rsidR="00454A29" w:rsidRDefault="00454A29"/>
        </w:tc>
        <w:tc>
          <w:tcPr>
            <w:tcW w:w="3005" w:type="dxa"/>
            <w:vMerge/>
          </w:tcPr>
          <w:p w14:paraId="2B2E1E96" w14:textId="77777777" w:rsidR="00454A29" w:rsidRDefault="00454A29"/>
        </w:tc>
        <w:tc>
          <w:tcPr>
            <w:tcW w:w="2778" w:type="dxa"/>
            <w:vAlign w:val="center"/>
          </w:tcPr>
          <w:p w14:paraId="23582A26" w14:textId="77777777" w:rsidR="00454A29" w:rsidRDefault="00454A29">
            <w:pPr>
              <w:pStyle w:val="ConsPlusNormal"/>
            </w:pPr>
            <w:r>
              <w:t>Минобрнауки РС(Я)</w:t>
            </w:r>
          </w:p>
        </w:tc>
        <w:tc>
          <w:tcPr>
            <w:tcW w:w="1304" w:type="dxa"/>
            <w:vAlign w:val="center"/>
          </w:tcPr>
          <w:p w14:paraId="0855BC7D" w14:textId="77777777" w:rsidR="00454A29" w:rsidRDefault="00454A29">
            <w:pPr>
              <w:pStyle w:val="ConsPlusNormal"/>
            </w:pPr>
          </w:p>
        </w:tc>
        <w:tc>
          <w:tcPr>
            <w:tcW w:w="1247" w:type="dxa"/>
            <w:vAlign w:val="center"/>
          </w:tcPr>
          <w:p w14:paraId="5C2CC23A" w14:textId="77777777" w:rsidR="00454A29" w:rsidRDefault="00454A29">
            <w:pPr>
              <w:pStyle w:val="ConsPlusNormal"/>
            </w:pPr>
          </w:p>
        </w:tc>
        <w:tc>
          <w:tcPr>
            <w:tcW w:w="1304" w:type="dxa"/>
            <w:vAlign w:val="center"/>
          </w:tcPr>
          <w:p w14:paraId="3C241B77" w14:textId="77777777" w:rsidR="00454A29" w:rsidRDefault="00454A29">
            <w:pPr>
              <w:pStyle w:val="ConsPlusNormal"/>
            </w:pPr>
          </w:p>
        </w:tc>
        <w:tc>
          <w:tcPr>
            <w:tcW w:w="1304" w:type="dxa"/>
            <w:vAlign w:val="center"/>
          </w:tcPr>
          <w:p w14:paraId="503E6963" w14:textId="77777777" w:rsidR="00454A29" w:rsidRDefault="00454A29">
            <w:pPr>
              <w:pStyle w:val="ConsPlusNormal"/>
            </w:pPr>
          </w:p>
        </w:tc>
        <w:tc>
          <w:tcPr>
            <w:tcW w:w="1304" w:type="dxa"/>
            <w:vAlign w:val="center"/>
          </w:tcPr>
          <w:p w14:paraId="055DEDE9" w14:textId="77777777" w:rsidR="00454A29" w:rsidRDefault="00454A29">
            <w:pPr>
              <w:pStyle w:val="ConsPlusNormal"/>
            </w:pPr>
          </w:p>
        </w:tc>
        <w:tc>
          <w:tcPr>
            <w:tcW w:w="1304" w:type="dxa"/>
            <w:vAlign w:val="center"/>
          </w:tcPr>
          <w:p w14:paraId="7F7CA92E" w14:textId="77777777" w:rsidR="00454A29" w:rsidRDefault="00454A29">
            <w:pPr>
              <w:pStyle w:val="ConsPlusNormal"/>
            </w:pPr>
          </w:p>
        </w:tc>
        <w:tc>
          <w:tcPr>
            <w:tcW w:w="1304" w:type="dxa"/>
            <w:vAlign w:val="center"/>
          </w:tcPr>
          <w:p w14:paraId="6C7349FC" w14:textId="77777777" w:rsidR="00454A29" w:rsidRDefault="00454A29">
            <w:pPr>
              <w:pStyle w:val="ConsPlusNormal"/>
            </w:pPr>
          </w:p>
        </w:tc>
      </w:tr>
      <w:tr w:rsidR="00454A29" w14:paraId="4B1B8807" w14:textId="77777777">
        <w:tc>
          <w:tcPr>
            <w:tcW w:w="2041" w:type="dxa"/>
            <w:vMerge/>
          </w:tcPr>
          <w:p w14:paraId="3FC7C191" w14:textId="77777777" w:rsidR="00454A29" w:rsidRDefault="00454A29"/>
        </w:tc>
        <w:tc>
          <w:tcPr>
            <w:tcW w:w="3005" w:type="dxa"/>
            <w:vMerge/>
          </w:tcPr>
          <w:p w14:paraId="6D59AD3E" w14:textId="77777777" w:rsidR="00454A29" w:rsidRDefault="00454A29"/>
        </w:tc>
        <w:tc>
          <w:tcPr>
            <w:tcW w:w="2778" w:type="dxa"/>
            <w:vAlign w:val="center"/>
          </w:tcPr>
          <w:p w14:paraId="24580E00" w14:textId="77777777" w:rsidR="00454A29" w:rsidRDefault="00454A29">
            <w:pPr>
              <w:pStyle w:val="ConsPlusNormal"/>
            </w:pPr>
            <w:r>
              <w:t>Местные бюджеты</w:t>
            </w:r>
          </w:p>
        </w:tc>
        <w:tc>
          <w:tcPr>
            <w:tcW w:w="1304" w:type="dxa"/>
            <w:vAlign w:val="center"/>
          </w:tcPr>
          <w:p w14:paraId="611DCDD2" w14:textId="77777777" w:rsidR="00454A29" w:rsidRDefault="00454A29">
            <w:pPr>
              <w:pStyle w:val="ConsPlusNormal"/>
            </w:pPr>
          </w:p>
        </w:tc>
        <w:tc>
          <w:tcPr>
            <w:tcW w:w="1247" w:type="dxa"/>
            <w:vAlign w:val="center"/>
          </w:tcPr>
          <w:p w14:paraId="4F6DD77E" w14:textId="77777777" w:rsidR="00454A29" w:rsidRDefault="00454A29">
            <w:pPr>
              <w:pStyle w:val="ConsPlusNormal"/>
            </w:pPr>
          </w:p>
        </w:tc>
        <w:tc>
          <w:tcPr>
            <w:tcW w:w="1304" w:type="dxa"/>
            <w:vAlign w:val="center"/>
          </w:tcPr>
          <w:p w14:paraId="43F0CD52" w14:textId="77777777" w:rsidR="00454A29" w:rsidRDefault="00454A29">
            <w:pPr>
              <w:pStyle w:val="ConsPlusNormal"/>
            </w:pPr>
          </w:p>
        </w:tc>
        <w:tc>
          <w:tcPr>
            <w:tcW w:w="1304" w:type="dxa"/>
            <w:vAlign w:val="center"/>
          </w:tcPr>
          <w:p w14:paraId="0801A6BF" w14:textId="77777777" w:rsidR="00454A29" w:rsidRDefault="00454A29">
            <w:pPr>
              <w:pStyle w:val="ConsPlusNormal"/>
            </w:pPr>
          </w:p>
        </w:tc>
        <w:tc>
          <w:tcPr>
            <w:tcW w:w="1304" w:type="dxa"/>
            <w:vAlign w:val="center"/>
          </w:tcPr>
          <w:p w14:paraId="4266ACB4" w14:textId="77777777" w:rsidR="00454A29" w:rsidRDefault="00454A29">
            <w:pPr>
              <w:pStyle w:val="ConsPlusNormal"/>
            </w:pPr>
          </w:p>
        </w:tc>
        <w:tc>
          <w:tcPr>
            <w:tcW w:w="1304" w:type="dxa"/>
            <w:vAlign w:val="center"/>
          </w:tcPr>
          <w:p w14:paraId="77FC3B85" w14:textId="77777777" w:rsidR="00454A29" w:rsidRDefault="00454A29">
            <w:pPr>
              <w:pStyle w:val="ConsPlusNormal"/>
            </w:pPr>
          </w:p>
        </w:tc>
        <w:tc>
          <w:tcPr>
            <w:tcW w:w="1304" w:type="dxa"/>
            <w:vAlign w:val="center"/>
          </w:tcPr>
          <w:p w14:paraId="22845E1F" w14:textId="77777777" w:rsidR="00454A29" w:rsidRDefault="00454A29">
            <w:pPr>
              <w:pStyle w:val="ConsPlusNormal"/>
            </w:pPr>
          </w:p>
        </w:tc>
      </w:tr>
      <w:tr w:rsidR="00454A29" w14:paraId="3155F503" w14:textId="77777777">
        <w:tc>
          <w:tcPr>
            <w:tcW w:w="2041" w:type="dxa"/>
            <w:vMerge/>
          </w:tcPr>
          <w:p w14:paraId="7A3E5A4B" w14:textId="77777777" w:rsidR="00454A29" w:rsidRDefault="00454A29"/>
        </w:tc>
        <w:tc>
          <w:tcPr>
            <w:tcW w:w="3005" w:type="dxa"/>
            <w:vMerge/>
          </w:tcPr>
          <w:p w14:paraId="451AE2B6" w14:textId="77777777" w:rsidR="00454A29" w:rsidRDefault="00454A29"/>
        </w:tc>
        <w:tc>
          <w:tcPr>
            <w:tcW w:w="2778" w:type="dxa"/>
            <w:vAlign w:val="center"/>
          </w:tcPr>
          <w:p w14:paraId="33783683" w14:textId="77777777" w:rsidR="00454A29" w:rsidRDefault="00454A29">
            <w:pPr>
              <w:pStyle w:val="ConsPlusNormal"/>
            </w:pPr>
            <w:r>
              <w:t>Внебюджетные средства</w:t>
            </w:r>
          </w:p>
        </w:tc>
        <w:tc>
          <w:tcPr>
            <w:tcW w:w="1304" w:type="dxa"/>
            <w:vAlign w:val="center"/>
          </w:tcPr>
          <w:p w14:paraId="25D003A0" w14:textId="77777777" w:rsidR="00454A29" w:rsidRDefault="00454A29">
            <w:pPr>
              <w:pStyle w:val="ConsPlusNormal"/>
              <w:jc w:val="right"/>
            </w:pPr>
            <w:r>
              <w:t>326 600</w:t>
            </w:r>
          </w:p>
        </w:tc>
        <w:tc>
          <w:tcPr>
            <w:tcW w:w="1247" w:type="dxa"/>
            <w:vAlign w:val="center"/>
          </w:tcPr>
          <w:p w14:paraId="3827E844" w14:textId="77777777" w:rsidR="00454A29" w:rsidRDefault="00454A29">
            <w:pPr>
              <w:pStyle w:val="ConsPlusNormal"/>
              <w:jc w:val="right"/>
            </w:pPr>
            <w:r>
              <w:t>326 600</w:t>
            </w:r>
          </w:p>
        </w:tc>
        <w:tc>
          <w:tcPr>
            <w:tcW w:w="1304" w:type="dxa"/>
            <w:vAlign w:val="center"/>
          </w:tcPr>
          <w:p w14:paraId="6E065C0E" w14:textId="77777777" w:rsidR="00454A29" w:rsidRDefault="00454A29">
            <w:pPr>
              <w:pStyle w:val="ConsPlusNormal"/>
              <w:jc w:val="right"/>
            </w:pPr>
            <w:r>
              <w:t>326 600</w:t>
            </w:r>
          </w:p>
        </w:tc>
        <w:tc>
          <w:tcPr>
            <w:tcW w:w="1304" w:type="dxa"/>
            <w:vAlign w:val="center"/>
          </w:tcPr>
          <w:p w14:paraId="05067FBF" w14:textId="77777777" w:rsidR="00454A29" w:rsidRDefault="00454A29">
            <w:pPr>
              <w:pStyle w:val="ConsPlusNormal"/>
              <w:jc w:val="right"/>
            </w:pPr>
            <w:r>
              <w:t>326 600</w:t>
            </w:r>
          </w:p>
        </w:tc>
        <w:tc>
          <w:tcPr>
            <w:tcW w:w="1304" w:type="dxa"/>
            <w:vAlign w:val="center"/>
          </w:tcPr>
          <w:p w14:paraId="655F8333" w14:textId="77777777" w:rsidR="00454A29" w:rsidRDefault="00454A29">
            <w:pPr>
              <w:pStyle w:val="ConsPlusNormal"/>
              <w:jc w:val="right"/>
            </w:pPr>
            <w:r>
              <w:t>326 600</w:t>
            </w:r>
          </w:p>
        </w:tc>
        <w:tc>
          <w:tcPr>
            <w:tcW w:w="1304" w:type="dxa"/>
            <w:vAlign w:val="center"/>
          </w:tcPr>
          <w:p w14:paraId="1C3919F1" w14:textId="77777777" w:rsidR="00454A29" w:rsidRDefault="00454A29">
            <w:pPr>
              <w:pStyle w:val="ConsPlusNormal"/>
              <w:jc w:val="right"/>
            </w:pPr>
            <w:r>
              <w:t>-</w:t>
            </w:r>
          </w:p>
        </w:tc>
        <w:tc>
          <w:tcPr>
            <w:tcW w:w="1304" w:type="dxa"/>
            <w:vAlign w:val="center"/>
          </w:tcPr>
          <w:p w14:paraId="55A4E0EE" w14:textId="77777777" w:rsidR="00454A29" w:rsidRDefault="00454A29">
            <w:pPr>
              <w:pStyle w:val="ConsPlusNormal"/>
              <w:jc w:val="right"/>
            </w:pPr>
            <w:r>
              <w:t>-</w:t>
            </w:r>
          </w:p>
        </w:tc>
      </w:tr>
      <w:tr w:rsidR="00454A29" w14:paraId="76699F6E" w14:textId="77777777">
        <w:tc>
          <w:tcPr>
            <w:tcW w:w="2041" w:type="dxa"/>
            <w:vMerge/>
          </w:tcPr>
          <w:p w14:paraId="49A532CE" w14:textId="77777777" w:rsidR="00454A29" w:rsidRDefault="00454A29"/>
        </w:tc>
        <w:tc>
          <w:tcPr>
            <w:tcW w:w="3005" w:type="dxa"/>
            <w:vMerge/>
          </w:tcPr>
          <w:p w14:paraId="619AE3F2" w14:textId="77777777" w:rsidR="00454A29" w:rsidRDefault="00454A29"/>
        </w:tc>
        <w:tc>
          <w:tcPr>
            <w:tcW w:w="2778" w:type="dxa"/>
            <w:vAlign w:val="center"/>
          </w:tcPr>
          <w:p w14:paraId="0E27B653" w14:textId="77777777" w:rsidR="00454A29" w:rsidRDefault="00454A29">
            <w:pPr>
              <w:pStyle w:val="ConsPlusNormal"/>
            </w:pPr>
            <w:r>
              <w:t>Минобрнауки РС(Я)</w:t>
            </w:r>
          </w:p>
        </w:tc>
        <w:tc>
          <w:tcPr>
            <w:tcW w:w="1304" w:type="dxa"/>
            <w:vAlign w:val="center"/>
          </w:tcPr>
          <w:p w14:paraId="248A47D9" w14:textId="77777777" w:rsidR="00454A29" w:rsidRDefault="00454A29">
            <w:pPr>
              <w:pStyle w:val="ConsPlusNormal"/>
              <w:jc w:val="right"/>
            </w:pPr>
            <w:r>
              <w:t>326 600</w:t>
            </w:r>
          </w:p>
        </w:tc>
        <w:tc>
          <w:tcPr>
            <w:tcW w:w="1247" w:type="dxa"/>
            <w:vAlign w:val="center"/>
          </w:tcPr>
          <w:p w14:paraId="67F3246D" w14:textId="77777777" w:rsidR="00454A29" w:rsidRDefault="00454A29">
            <w:pPr>
              <w:pStyle w:val="ConsPlusNormal"/>
              <w:jc w:val="right"/>
            </w:pPr>
            <w:r>
              <w:t>326 600</w:t>
            </w:r>
          </w:p>
        </w:tc>
        <w:tc>
          <w:tcPr>
            <w:tcW w:w="1304" w:type="dxa"/>
            <w:vAlign w:val="center"/>
          </w:tcPr>
          <w:p w14:paraId="75C94635" w14:textId="77777777" w:rsidR="00454A29" w:rsidRDefault="00454A29">
            <w:pPr>
              <w:pStyle w:val="ConsPlusNormal"/>
              <w:jc w:val="right"/>
            </w:pPr>
            <w:r>
              <w:t>326 600</w:t>
            </w:r>
          </w:p>
        </w:tc>
        <w:tc>
          <w:tcPr>
            <w:tcW w:w="1304" w:type="dxa"/>
            <w:vAlign w:val="center"/>
          </w:tcPr>
          <w:p w14:paraId="45974C93" w14:textId="77777777" w:rsidR="00454A29" w:rsidRDefault="00454A29">
            <w:pPr>
              <w:pStyle w:val="ConsPlusNormal"/>
              <w:jc w:val="right"/>
            </w:pPr>
            <w:r>
              <w:t>326 600</w:t>
            </w:r>
          </w:p>
        </w:tc>
        <w:tc>
          <w:tcPr>
            <w:tcW w:w="1304" w:type="dxa"/>
            <w:vAlign w:val="center"/>
          </w:tcPr>
          <w:p w14:paraId="58617DD7" w14:textId="77777777" w:rsidR="00454A29" w:rsidRDefault="00454A29">
            <w:pPr>
              <w:pStyle w:val="ConsPlusNormal"/>
              <w:jc w:val="right"/>
            </w:pPr>
            <w:r>
              <w:t>326 600</w:t>
            </w:r>
          </w:p>
        </w:tc>
        <w:tc>
          <w:tcPr>
            <w:tcW w:w="1304" w:type="dxa"/>
            <w:vAlign w:val="center"/>
          </w:tcPr>
          <w:p w14:paraId="2F258429" w14:textId="77777777" w:rsidR="00454A29" w:rsidRDefault="00454A29">
            <w:pPr>
              <w:pStyle w:val="ConsPlusNormal"/>
              <w:jc w:val="right"/>
            </w:pPr>
            <w:r>
              <w:t>-</w:t>
            </w:r>
          </w:p>
        </w:tc>
        <w:tc>
          <w:tcPr>
            <w:tcW w:w="1304" w:type="dxa"/>
            <w:vAlign w:val="center"/>
          </w:tcPr>
          <w:p w14:paraId="4D4BF7AE" w14:textId="77777777" w:rsidR="00454A29" w:rsidRDefault="00454A29">
            <w:pPr>
              <w:pStyle w:val="ConsPlusNormal"/>
              <w:jc w:val="right"/>
            </w:pPr>
            <w:r>
              <w:t>-</w:t>
            </w:r>
          </w:p>
        </w:tc>
      </w:tr>
      <w:tr w:rsidR="00454A29" w14:paraId="53AE69A0" w14:textId="77777777">
        <w:tc>
          <w:tcPr>
            <w:tcW w:w="2041" w:type="dxa"/>
            <w:vMerge w:val="restart"/>
            <w:vAlign w:val="center"/>
          </w:tcPr>
          <w:p w14:paraId="4D163B44" w14:textId="77777777" w:rsidR="00454A29" w:rsidRDefault="00454A29">
            <w:pPr>
              <w:pStyle w:val="ConsPlusNormal"/>
              <w:jc w:val="center"/>
            </w:pPr>
            <w:r>
              <w:t>Основное мероприятие 3.1.</w:t>
            </w:r>
          </w:p>
        </w:tc>
        <w:tc>
          <w:tcPr>
            <w:tcW w:w="3005" w:type="dxa"/>
            <w:vMerge w:val="restart"/>
            <w:vAlign w:val="center"/>
          </w:tcPr>
          <w:p w14:paraId="68EC86BA" w14:textId="77777777" w:rsidR="00454A29" w:rsidRDefault="00454A29">
            <w:pPr>
              <w:pStyle w:val="ConsPlusNormal"/>
              <w:jc w:val="center"/>
            </w:pPr>
            <w:r>
              <w:t>Организация предоставления доступного и качественного профессионального образования</w:t>
            </w:r>
          </w:p>
        </w:tc>
        <w:tc>
          <w:tcPr>
            <w:tcW w:w="2778" w:type="dxa"/>
            <w:vAlign w:val="center"/>
          </w:tcPr>
          <w:p w14:paraId="54F98468" w14:textId="77777777" w:rsidR="00454A29" w:rsidRDefault="00454A29">
            <w:pPr>
              <w:pStyle w:val="ConsPlusNormal"/>
            </w:pPr>
            <w:r>
              <w:t>Всего:</w:t>
            </w:r>
          </w:p>
        </w:tc>
        <w:tc>
          <w:tcPr>
            <w:tcW w:w="1304" w:type="dxa"/>
            <w:vAlign w:val="center"/>
          </w:tcPr>
          <w:p w14:paraId="035966C5" w14:textId="77777777" w:rsidR="00454A29" w:rsidRDefault="00454A29">
            <w:pPr>
              <w:pStyle w:val="ConsPlusNormal"/>
              <w:jc w:val="right"/>
            </w:pPr>
            <w:r>
              <w:t>5 008 265</w:t>
            </w:r>
          </w:p>
        </w:tc>
        <w:tc>
          <w:tcPr>
            <w:tcW w:w="1247" w:type="dxa"/>
            <w:vAlign w:val="center"/>
          </w:tcPr>
          <w:p w14:paraId="17C85701" w14:textId="77777777" w:rsidR="00454A29" w:rsidRDefault="00454A29">
            <w:pPr>
              <w:pStyle w:val="ConsPlusNormal"/>
              <w:jc w:val="right"/>
            </w:pPr>
            <w:r>
              <w:t>5 008 638</w:t>
            </w:r>
          </w:p>
        </w:tc>
        <w:tc>
          <w:tcPr>
            <w:tcW w:w="1304" w:type="dxa"/>
            <w:vAlign w:val="center"/>
          </w:tcPr>
          <w:p w14:paraId="7BBE871E" w14:textId="77777777" w:rsidR="00454A29" w:rsidRDefault="00454A29">
            <w:pPr>
              <w:pStyle w:val="ConsPlusNormal"/>
              <w:jc w:val="right"/>
            </w:pPr>
            <w:r>
              <w:t>5 009 109</w:t>
            </w:r>
          </w:p>
        </w:tc>
        <w:tc>
          <w:tcPr>
            <w:tcW w:w="1304" w:type="dxa"/>
            <w:vAlign w:val="center"/>
          </w:tcPr>
          <w:p w14:paraId="57528E39" w14:textId="77777777" w:rsidR="00454A29" w:rsidRDefault="00454A29">
            <w:pPr>
              <w:pStyle w:val="ConsPlusNormal"/>
              <w:jc w:val="right"/>
            </w:pPr>
            <w:r>
              <w:t>5 096 090</w:t>
            </w:r>
          </w:p>
        </w:tc>
        <w:tc>
          <w:tcPr>
            <w:tcW w:w="1304" w:type="dxa"/>
            <w:vAlign w:val="center"/>
          </w:tcPr>
          <w:p w14:paraId="1526F228" w14:textId="77777777" w:rsidR="00454A29" w:rsidRDefault="00454A29">
            <w:pPr>
              <w:pStyle w:val="ConsPlusNormal"/>
              <w:jc w:val="right"/>
            </w:pPr>
            <w:r>
              <w:t>5 096 090</w:t>
            </w:r>
          </w:p>
        </w:tc>
        <w:tc>
          <w:tcPr>
            <w:tcW w:w="1304" w:type="dxa"/>
            <w:vAlign w:val="center"/>
          </w:tcPr>
          <w:p w14:paraId="1224AD05" w14:textId="77777777" w:rsidR="00454A29" w:rsidRDefault="00454A29">
            <w:pPr>
              <w:pStyle w:val="ConsPlusNormal"/>
              <w:jc w:val="right"/>
            </w:pPr>
            <w:r>
              <w:t>-</w:t>
            </w:r>
          </w:p>
        </w:tc>
        <w:tc>
          <w:tcPr>
            <w:tcW w:w="1304" w:type="dxa"/>
            <w:vAlign w:val="center"/>
          </w:tcPr>
          <w:p w14:paraId="240E4D0B" w14:textId="77777777" w:rsidR="00454A29" w:rsidRDefault="00454A29">
            <w:pPr>
              <w:pStyle w:val="ConsPlusNormal"/>
              <w:jc w:val="right"/>
            </w:pPr>
            <w:r>
              <w:t>-</w:t>
            </w:r>
          </w:p>
        </w:tc>
      </w:tr>
      <w:tr w:rsidR="00454A29" w14:paraId="109CD3C9" w14:textId="77777777">
        <w:tc>
          <w:tcPr>
            <w:tcW w:w="2041" w:type="dxa"/>
            <w:vMerge/>
          </w:tcPr>
          <w:p w14:paraId="6516F5AA" w14:textId="77777777" w:rsidR="00454A29" w:rsidRDefault="00454A29"/>
        </w:tc>
        <w:tc>
          <w:tcPr>
            <w:tcW w:w="3005" w:type="dxa"/>
            <w:vMerge/>
          </w:tcPr>
          <w:p w14:paraId="3CDB7318" w14:textId="77777777" w:rsidR="00454A29" w:rsidRDefault="00454A29"/>
        </w:tc>
        <w:tc>
          <w:tcPr>
            <w:tcW w:w="2778" w:type="dxa"/>
            <w:vAlign w:val="center"/>
          </w:tcPr>
          <w:p w14:paraId="49DB2E9E" w14:textId="77777777" w:rsidR="00454A29" w:rsidRDefault="00454A29">
            <w:pPr>
              <w:pStyle w:val="ConsPlusNormal"/>
            </w:pPr>
            <w:r>
              <w:t>Государственный бюджет Республики Саха (Якутия)</w:t>
            </w:r>
          </w:p>
        </w:tc>
        <w:tc>
          <w:tcPr>
            <w:tcW w:w="1304" w:type="dxa"/>
            <w:vAlign w:val="center"/>
          </w:tcPr>
          <w:p w14:paraId="78984780" w14:textId="77777777" w:rsidR="00454A29" w:rsidRDefault="00454A29">
            <w:pPr>
              <w:pStyle w:val="ConsPlusNormal"/>
              <w:jc w:val="right"/>
            </w:pPr>
            <w:r>
              <w:t>4 708 265</w:t>
            </w:r>
          </w:p>
        </w:tc>
        <w:tc>
          <w:tcPr>
            <w:tcW w:w="1247" w:type="dxa"/>
            <w:vAlign w:val="center"/>
          </w:tcPr>
          <w:p w14:paraId="04FBED1E" w14:textId="77777777" w:rsidR="00454A29" w:rsidRDefault="00454A29">
            <w:pPr>
              <w:pStyle w:val="ConsPlusNormal"/>
              <w:jc w:val="right"/>
            </w:pPr>
            <w:r>
              <w:t>4 708 638</w:t>
            </w:r>
          </w:p>
        </w:tc>
        <w:tc>
          <w:tcPr>
            <w:tcW w:w="1304" w:type="dxa"/>
            <w:vAlign w:val="center"/>
          </w:tcPr>
          <w:p w14:paraId="4FC455DD" w14:textId="77777777" w:rsidR="00454A29" w:rsidRDefault="00454A29">
            <w:pPr>
              <w:pStyle w:val="ConsPlusNormal"/>
              <w:jc w:val="right"/>
            </w:pPr>
            <w:r>
              <w:t>4 709 109</w:t>
            </w:r>
          </w:p>
        </w:tc>
        <w:tc>
          <w:tcPr>
            <w:tcW w:w="1304" w:type="dxa"/>
            <w:vAlign w:val="center"/>
          </w:tcPr>
          <w:p w14:paraId="3A1EE171" w14:textId="77777777" w:rsidR="00454A29" w:rsidRDefault="00454A29">
            <w:pPr>
              <w:pStyle w:val="ConsPlusNormal"/>
              <w:jc w:val="right"/>
            </w:pPr>
            <w:r>
              <w:t>4 796 090</w:t>
            </w:r>
          </w:p>
        </w:tc>
        <w:tc>
          <w:tcPr>
            <w:tcW w:w="1304" w:type="dxa"/>
            <w:vAlign w:val="center"/>
          </w:tcPr>
          <w:p w14:paraId="4DBB83F1" w14:textId="77777777" w:rsidR="00454A29" w:rsidRDefault="00454A29">
            <w:pPr>
              <w:pStyle w:val="ConsPlusNormal"/>
              <w:jc w:val="right"/>
            </w:pPr>
            <w:r>
              <w:t>4 796 090</w:t>
            </w:r>
          </w:p>
        </w:tc>
        <w:tc>
          <w:tcPr>
            <w:tcW w:w="1304" w:type="dxa"/>
            <w:vAlign w:val="center"/>
          </w:tcPr>
          <w:p w14:paraId="2DC190DD" w14:textId="77777777" w:rsidR="00454A29" w:rsidRDefault="00454A29">
            <w:pPr>
              <w:pStyle w:val="ConsPlusNormal"/>
              <w:jc w:val="right"/>
            </w:pPr>
            <w:r>
              <w:t>-</w:t>
            </w:r>
          </w:p>
        </w:tc>
        <w:tc>
          <w:tcPr>
            <w:tcW w:w="1304" w:type="dxa"/>
            <w:vAlign w:val="center"/>
          </w:tcPr>
          <w:p w14:paraId="75DF3FBB" w14:textId="77777777" w:rsidR="00454A29" w:rsidRDefault="00454A29">
            <w:pPr>
              <w:pStyle w:val="ConsPlusNormal"/>
              <w:jc w:val="right"/>
            </w:pPr>
            <w:r>
              <w:t>-</w:t>
            </w:r>
          </w:p>
        </w:tc>
      </w:tr>
      <w:tr w:rsidR="00454A29" w14:paraId="2E15E781" w14:textId="77777777">
        <w:tc>
          <w:tcPr>
            <w:tcW w:w="2041" w:type="dxa"/>
            <w:vMerge/>
          </w:tcPr>
          <w:p w14:paraId="6B757A64" w14:textId="77777777" w:rsidR="00454A29" w:rsidRDefault="00454A29"/>
        </w:tc>
        <w:tc>
          <w:tcPr>
            <w:tcW w:w="3005" w:type="dxa"/>
            <w:vMerge/>
          </w:tcPr>
          <w:p w14:paraId="14E54D42" w14:textId="77777777" w:rsidR="00454A29" w:rsidRDefault="00454A29"/>
        </w:tc>
        <w:tc>
          <w:tcPr>
            <w:tcW w:w="2778" w:type="dxa"/>
            <w:vAlign w:val="center"/>
          </w:tcPr>
          <w:p w14:paraId="3BD1AB6D" w14:textId="77777777" w:rsidR="00454A29" w:rsidRDefault="00454A29">
            <w:pPr>
              <w:pStyle w:val="ConsPlusNormal"/>
            </w:pPr>
            <w:r>
              <w:t>Минобрнауки РС(Я)</w:t>
            </w:r>
          </w:p>
        </w:tc>
        <w:tc>
          <w:tcPr>
            <w:tcW w:w="1304" w:type="dxa"/>
            <w:vAlign w:val="center"/>
          </w:tcPr>
          <w:p w14:paraId="75AA5541" w14:textId="77777777" w:rsidR="00454A29" w:rsidRDefault="00454A29">
            <w:pPr>
              <w:pStyle w:val="ConsPlusNormal"/>
              <w:jc w:val="right"/>
            </w:pPr>
            <w:r>
              <w:t>4 340 960</w:t>
            </w:r>
          </w:p>
        </w:tc>
        <w:tc>
          <w:tcPr>
            <w:tcW w:w="1247" w:type="dxa"/>
            <w:vAlign w:val="center"/>
          </w:tcPr>
          <w:p w14:paraId="22958498" w14:textId="77777777" w:rsidR="00454A29" w:rsidRDefault="00454A29">
            <w:pPr>
              <w:pStyle w:val="ConsPlusNormal"/>
              <w:jc w:val="right"/>
            </w:pPr>
            <w:r>
              <w:t>4 341 333</w:t>
            </w:r>
          </w:p>
        </w:tc>
        <w:tc>
          <w:tcPr>
            <w:tcW w:w="1304" w:type="dxa"/>
            <w:vAlign w:val="center"/>
          </w:tcPr>
          <w:p w14:paraId="5D0C76EF" w14:textId="77777777" w:rsidR="00454A29" w:rsidRDefault="00454A29">
            <w:pPr>
              <w:pStyle w:val="ConsPlusNormal"/>
              <w:jc w:val="right"/>
            </w:pPr>
            <w:r>
              <w:t>4 341 804</w:t>
            </w:r>
          </w:p>
        </w:tc>
        <w:tc>
          <w:tcPr>
            <w:tcW w:w="1304" w:type="dxa"/>
            <w:vAlign w:val="center"/>
          </w:tcPr>
          <w:p w14:paraId="423BA61C" w14:textId="77777777" w:rsidR="00454A29" w:rsidRDefault="00454A29">
            <w:pPr>
              <w:pStyle w:val="ConsPlusNormal"/>
              <w:jc w:val="right"/>
            </w:pPr>
            <w:r>
              <w:t>4 428 785</w:t>
            </w:r>
          </w:p>
        </w:tc>
        <w:tc>
          <w:tcPr>
            <w:tcW w:w="1304" w:type="dxa"/>
            <w:vAlign w:val="center"/>
          </w:tcPr>
          <w:p w14:paraId="0560609C" w14:textId="77777777" w:rsidR="00454A29" w:rsidRDefault="00454A29">
            <w:pPr>
              <w:pStyle w:val="ConsPlusNormal"/>
              <w:jc w:val="right"/>
            </w:pPr>
            <w:r>
              <w:t>4 428 785</w:t>
            </w:r>
          </w:p>
        </w:tc>
        <w:tc>
          <w:tcPr>
            <w:tcW w:w="1304" w:type="dxa"/>
            <w:vAlign w:val="center"/>
          </w:tcPr>
          <w:p w14:paraId="5D66EB61" w14:textId="77777777" w:rsidR="00454A29" w:rsidRDefault="00454A29">
            <w:pPr>
              <w:pStyle w:val="ConsPlusNormal"/>
              <w:jc w:val="right"/>
            </w:pPr>
            <w:r>
              <w:t>-</w:t>
            </w:r>
          </w:p>
        </w:tc>
        <w:tc>
          <w:tcPr>
            <w:tcW w:w="1304" w:type="dxa"/>
            <w:vAlign w:val="center"/>
          </w:tcPr>
          <w:p w14:paraId="5060D69B" w14:textId="77777777" w:rsidR="00454A29" w:rsidRDefault="00454A29">
            <w:pPr>
              <w:pStyle w:val="ConsPlusNormal"/>
              <w:jc w:val="right"/>
            </w:pPr>
            <w:r>
              <w:t>-</w:t>
            </w:r>
          </w:p>
        </w:tc>
      </w:tr>
      <w:tr w:rsidR="00454A29" w14:paraId="5553D957" w14:textId="77777777">
        <w:tc>
          <w:tcPr>
            <w:tcW w:w="2041" w:type="dxa"/>
            <w:vMerge/>
          </w:tcPr>
          <w:p w14:paraId="195F089F" w14:textId="77777777" w:rsidR="00454A29" w:rsidRDefault="00454A29"/>
        </w:tc>
        <w:tc>
          <w:tcPr>
            <w:tcW w:w="3005" w:type="dxa"/>
            <w:vMerge/>
          </w:tcPr>
          <w:p w14:paraId="6DDA7D8C" w14:textId="77777777" w:rsidR="00454A29" w:rsidRDefault="00454A29"/>
        </w:tc>
        <w:tc>
          <w:tcPr>
            <w:tcW w:w="2778" w:type="dxa"/>
            <w:vAlign w:val="center"/>
          </w:tcPr>
          <w:p w14:paraId="720F5021" w14:textId="77777777" w:rsidR="00454A29" w:rsidRDefault="00454A29">
            <w:pPr>
              <w:pStyle w:val="ConsPlusNormal"/>
            </w:pPr>
            <w:r>
              <w:t>Минкультуры РС(Я)</w:t>
            </w:r>
          </w:p>
        </w:tc>
        <w:tc>
          <w:tcPr>
            <w:tcW w:w="1304" w:type="dxa"/>
            <w:vAlign w:val="center"/>
          </w:tcPr>
          <w:p w14:paraId="5081EDF6" w14:textId="77777777" w:rsidR="00454A29" w:rsidRDefault="00454A29">
            <w:pPr>
              <w:pStyle w:val="ConsPlusNormal"/>
              <w:jc w:val="right"/>
            </w:pPr>
            <w:r>
              <w:t>367 305</w:t>
            </w:r>
          </w:p>
        </w:tc>
        <w:tc>
          <w:tcPr>
            <w:tcW w:w="1247" w:type="dxa"/>
            <w:vAlign w:val="center"/>
          </w:tcPr>
          <w:p w14:paraId="2392C678" w14:textId="77777777" w:rsidR="00454A29" w:rsidRDefault="00454A29">
            <w:pPr>
              <w:pStyle w:val="ConsPlusNormal"/>
              <w:jc w:val="right"/>
            </w:pPr>
            <w:r>
              <w:t>367 305</w:t>
            </w:r>
          </w:p>
        </w:tc>
        <w:tc>
          <w:tcPr>
            <w:tcW w:w="1304" w:type="dxa"/>
            <w:vAlign w:val="center"/>
          </w:tcPr>
          <w:p w14:paraId="50D4A3BD" w14:textId="77777777" w:rsidR="00454A29" w:rsidRDefault="00454A29">
            <w:pPr>
              <w:pStyle w:val="ConsPlusNormal"/>
              <w:jc w:val="right"/>
            </w:pPr>
            <w:r>
              <w:t>367 305</w:t>
            </w:r>
          </w:p>
        </w:tc>
        <w:tc>
          <w:tcPr>
            <w:tcW w:w="1304" w:type="dxa"/>
            <w:vAlign w:val="center"/>
          </w:tcPr>
          <w:p w14:paraId="089A61B4" w14:textId="77777777" w:rsidR="00454A29" w:rsidRDefault="00454A29">
            <w:pPr>
              <w:pStyle w:val="ConsPlusNormal"/>
              <w:jc w:val="right"/>
            </w:pPr>
            <w:r>
              <w:t>367 305</w:t>
            </w:r>
          </w:p>
        </w:tc>
        <w:tc>
          <w:tcPr>
            <w:tcW w:w="1304" w:type="dxa"/>
            <w:vAlign w:val="center"/>
          </w:tcPr>
          <w:p w14:paraId="25A2FA47" w14:textId="77777777" w:rsidR="00454A29" w:rsidRDefault="00454A29">
            <w:pPr>
              <w:pStyle w:val="ConsPlusNormal"/>
              <w:jc w:val="right"/>
            </w:pPr>
            <w:r>
              <w:t>367 305</w:t>
            </w:r>
          </w:p>
        </w:tc>
        <w:tc>
          <w:tcPr>
            <w:tcW w:w="1304" w:type="dxa"/>
            <w:vAlign w:val="center"/>
          </w:tcPr>
          <w:p w14:paraId="78683EFF" w14:textId="77777777" w:rsidR="00454A29" w:rsidRDefault="00454A29">
            <w:pPr>
              <w:pStyle w:val="ConsPlusNormal"/>
              <w:jc w:val="right"/>
            </w:pPr>
            <w:r>
              <w:t>-</w:t>
            </w:r>
          </w:p>
        </w:tc>
        <w:tc>
          <w:tcPr>
            <w:tcW w:w="1304" w:type="dxa"/>
            <w:vAlign w:val="center"/>
          </w:tcPr>
          <w:p w14:paraId="5245A83C" w14:textId="77777777" w:rsidR="00454A29" w:rsidRDefault="00454A29">
            <w:pPr>
              <w:pStyle w:val="ConsPlusNormal"/>
              <w:jc w:val="right"/>
            </w:pPr>
            <w:r>
              <w:t>-</w:t>
            </w:r>
          </w:p>
        </w:tc>
      </w:tr>
      <w:tr w:rsidR="00454A29" w14:paraId="48DB6043" w14:textId="77777777">
        <w:tc>
          <w:tcPr>
            <w:tcW w:w="2041" w:type="dxa"/>
            <w:vMerge/>
          </w:tcPr>
          <w:p w14:paraId="0CC5CCC1" w14:textId="77777777" w:rsidR="00454A29" w:rsidRDefault="00454A29"/>
        </w:tc>
        <w:tc>
          <w:tcPr>
            <w:tcW w:w="3005" w:type="dxa"/>
            <w:vMerge/>
          </w:tcPr>
          <w:p w14:paraId="1B4CBC0B" w14:textId="77777777" w:rsidR="00454A29" w:rsidRDefault="00454A29"/>
        </w:tc>
        <w:tc>
          <w:tcPr>
            <w:tcW w:w="2778" w:type="dxa"/>
            <w:vAlign w:val="center"/>
          </w:tcPr>
          <w:p w14:paraId="69D6A0C0" w14:textId="77777777" w:rsidR="00454A29" w:rsidRDefault="00454A29">
            <w:pPr>
              <w:pStyle w:val="ConsPlusNormal"/>
            </w:pPr>
            <w:r>
              <w:t>Федеральный бюджет</w:t>
            </w:r>
          </w:p>
        </w:tc>
        <w:tc>
          <w:tcPr>
            <w:tcW w:w="1304" w:type="dxa"/>
            <w:vAlign w:val="center"/>
          </w:tcPr>
          <w:p w14:paraId="69E1CCC6" w14:textId="77777777" w:rsidR="00454A29" w:rsidRDefault="00454A29">
            <w:pPr>
              <w:pStyle w:val="ConsPlusNormal"/>
            </w:pPr>
          </w:p>
        </w:tc>
        <w:tc>
          <w:tcPr>
            <w:tcW w:w="1247" w:type="dxa"/>
            <w:vAlign w:val="center"/>
          </w:tcPr>
          <w:p w14:paraId="1679BEC5" w14:textId="77777777" w:rsidR="00454A29" w:rsidRDefault="00454A29">
            <w:pPr>
              <w:pStyle w:val="ConsPlusNormal"/>
            </w:pPr>
          </w:p>
        </w:tc>
        <w:tc>
          <w:tcPr>
            <w:tcW w:w="1304" w:type="dxa"/>
            <w:vAlign w:val="center"/>
          </w:tcPr>
          <w:p w14:paraId="57984230" w14:textId="77777777" w:rsidR="00454A29" w:rsidRDefault="00454A29">
            <w:pPr>
              <w:pStyle w:val="ConsPlusNormal"/>
            </w:pPr>
          </w:p>
        </w:tc>
        <w:tc>
          <w:tcPr>
            <w:tcW w:w="1304" w:type="dxa"/>
            <w:vAlign w:val="center"/>
          </w:tcPr>
          <w:p w14:paraId="0730153D" w14:textId="77777777" w:rsidR="00454A29" w:rsidRDefault="00454A29">
            <w:pPr>
              <w:pStyle w:val="ConsPlusNormal"/>
            </w:pPr>
          </w:p>
        </w:tc>
        <w:tc>
          <w:tcPr>
            <w:tcW w:w="1304" w:type="dxa"/>
            <w:vAlign w:val="center"/>
          </w:tcPr>
          <w:p w14:paraId="5AAB8AEB" w14:textId="77777777" w:rsidR="00454A29" w:rsidRDefault="00454A29">
            <w:pPr>
              <w:pStyle w:val="ConsPlusNormal"/>
            </w:pPr>
          </w:p>
        </w:tc>
        <w:tc>
          <w:tcPr>
            <w:tcW w:w="1304" w:type="dxa"/>
            <w:vAlign w:val="center"/>
          </w:tcPr>
          <w:p w14:paraId="01FD3756" w14:textId="77777777" w:rsidR="00454A29" w:rsidRDefault="00454A29">
            <w:pPr>
              <w:pStyle w:val="ConsPlusNormal"/>
              <w:jc w:val="right"/>
            </w:pPr>
            <w:r>
              <w:t>-</w:t>
            </w:r>
          </w:p>
        </w:tc>
        <w:tc>
          <w:tcPr>
            <w:tcW w:w="1304" w:type="dxa"/>
            <w:vAlign w:val="center"/>
          </w:tcPr>
          <w:p w14:paraId="6A40892D" w14:textId="77777777" w:rsidR="00454A29" w:rsidRDefault="00454A29">
            <w:pPr>
              <w:pStyle w:val="ConsPlusNormal"/>
            </w:pPr>
          </w:p>
        </w:tc>
      </w:tr>
      <w:tr w:rsidR="00454A29" w14:paraId="6F102D04" w14:textId="77777777">
        <w:tc>
          <w:tcPr>
            <w:tcW w:w="2041" w:type="dxa"/>
            <w:vMerge/>
          </w:tcPr>
          <w:p w14:paraId="2308BDD0" w14:textId="77777777" w:rsidR="00454A29" w:rsidRDefault="00454A29"/>
        </w:tc>
        <w:tc>
          <w:tcPr>
            <w:tcW w:w="3005" w:type="dxa"/>
            <w:vMerge/>
          </w:tcPr>
          <w:p w14:paraId="21669561" w14:textId="77777777" w:rsidR="00454A29" w:rsidRDefault="00454A29"/>
        </w:tc>
        <w:tc>
          <w:tcPr>
            <w:tcW w:w="2778" w:type="dxa"/>
            <w:vAlign w:val="center"/>
          </w:tcPr>
          <w:p w14:paraId="777D6248" w14:textId="77777777" w:rsidR="00454A29" w:rsidRDefault="00454A29">
            <w:pPr>
              <w:pStyle w:val="ConsPlusNormal"/>
            </w:pPr>
            <w:r>
              <w:t>Местные бюджеты</w:t>
            </w:r>
          </w:p>
        </w:tc>
        <w:tc>
          <w:tcPr>
            <w:tcW w:w="1304" w:type="dxa"/>
            <w:vAlign w:val="center"/>
          </w:tcPr>
          <w:p w14:paraId="20305F44" w14:textId="77777777" w:rsidR="00454A29" w:rsidRDefault="00454A29">
            <w:pPr>
              <w:pStyle w:val="ConsPlusNormal"/>
            </w:pPr>
          </w:p>
        </w:tc>
        <w:tc>
          <w:tcPr>
            <w:tcW w:w="1247" w:type="dxa"/>
            <w:vAlign w:val="center"/>
          </w:tcPr>
          <w:p w14:paraId="7AC377F6" w14:textId="77777777" w:rsidR="00454A29" w:rsidRDefault="00454A29">
            <w:pPr>
              <w:pStyle w:val="ConsPlusNormal"/>
            </w:pPr>
          </w:p>
        </w:tc>
        <w:tc>
          <w:tcPr>
            <w:tcW w:w="1304" w:type="dxa"/>
            <w:vAlign w:val="center"/>
          </w:tcPr>
          <w:p w14:paraId="37DE046A" w14:textId="77777777" w:rsidR="00454A29" w:rsidRDefault="00454A29">
            <w:pPr>
              <w:pStyle w:val="ConsPlusNormal"/>
            </w:pPr>
          </w:p>
        </w:tc>
        <w:tc>
          <w:tcPr>
            <w:tcW w:w="1304" w:type="dxa"/>
            <w:vAlign w:val="center"/>
          </w:tcPr>
          <w:p w14:paraId="5B5C2DA6" w14:textId="77777777" w:rsidR="00454A29" w:rsidRDefault="00454A29">
            <w:pPr>
              <w:pStyle w:val="ConsPlusNormal"/>
            </w:pPr>
          </w:p>
        </w:tc>
        <w:tc>
          <w:tcPr>
            <w:tcW w:w="1304" w:type="dxa"/>
            <w:vAlign w:val="center"/>
          </w:tcPr>
          <w:p w14:paraId="7A501CA8" w14:textId="77777777" w:rsidR="00454A29" w:rsidRDefault="00454A29">
            <w:pPr>
              <w:pStyle w:val="ConsPlusNormal"/>
            </w:pPr>
          </w:p>
        </w:tc>
        <w:tc>
          <w:tcPr>
            <w:tcW w:w="1304" w:type="dxa"/>
            <w:vAlign w:val="center"/>
          </w:tcPr>
          <w:p w14:paraId="6E6853B0" w14:textId="77777777" w:rsidR="00454A29" w:rsidRDefault="00454A29">
            <w:pPr>
              <w:pStyle w:val="ConsPlusNormal"/>
              <w:jc w:val="right"/>
            </w:pPr>
            <w:r>
              <w:t>-</w:t>
            </w:r>
          </w:p>
        </w:tc>
        <w:tc>
          <w:tcPr>
            <w:tcW w:w="1304" w:type="dxa"/>
            <w:vAlign w:val="center"/>
          </w:tcPr>
          <w:p w14:paraId="335F6E1D" w14:textId="77777777" w:rsidR="00454A29" w:rsidRDefault="00454A29">
            <w:pPr>
              <w:pStyle w:val="ConsPlusNormal"/>
            </w:pPr>
          </w:p>
        </w:tc>
      </w:tr>
      <w:tr w:rsidR="00454A29" w14:paraId="14515B0C" w14:textId="77777777">
        <w:tc>
          <w:tcPr>
            <w:tcW w:w="2041" w:type="dxa"/>
            <w:vMerge/>
          </w:tcPr>
          <w:p w14:paraId="5A9BF487" w14:textId="77777777" w:rsidR="00454A29" w:rsidRDefault="00454A29"/>
        </w:tc>
        <w:tc>
          <w:tcPr>
            <w:tcW w:w="3005" w:type="dxa"/>
            <w:vMerge/>
          </w:tcPr>
          <w:p w14:paraId="2C00C579" w14:textId="77777777" w:rsidR="00454A29" w:rsidRDefault="00454A29"/>
        </w:tc>
        <w:tc>
          <w:tcPr>
            <w:tcW w:w="2778" w:type="dxa"/>
            <w:vAlign w:val="center"/>
          </w:tcPr>
          <w:p w14:paraId="34A4720C" w14:textId="77777777" w:rsidR="00454A29" w:rsidRDefault="00454A29">
            <w:pPr>
              <w:pStyle w:val="ConsPlusNormal"/>
            </w:pPr>
            <w:r>
              <w:t>Внебюджетные средства</w:t>
            </w:r>
          </w:p>
        </w:tc>
        <w:tc>
          <w:tcPr>
            <w:tcW w:w="1304" w:type="dxa"/>
            <w:vAlign w:val="center"/>
          </w:tcPr>
          <w:p w14:paraId="23B80DF4" w14:textId="77777777" w:rsidR="00454A29" w:rsidRDefault="00454A29">
            <w:pPr>
              <w:pStyle w:val="ConsPlusNormal"/>
              <w:jc w:val="right"/>
            </w:pPr>
            <w:r>
              <w:t>300 000</w:t>
            </w:r>
          </w:p>
        </w:tc>
        <w:tc>
          <w:tcPr>
            <w:tcW w:w="1247" w:type="dxa"/>
            <w:vAlign w:val="center"/>
          </w:tcPr>
          <w:p w14:paraId="66FC0A14" w14:textId="77777777" w:rsidR="00454A29" w:rsidRDefault="00454A29">
            <w:pPr>
              <w:pStyle w:val="ConsPlusNormal"/>
              <w:jc w:val="right"/>
            </w:pPr>
            <w:r>
              <w:t>300 000</w:t>
            </w:r>
          </w:p>
        </w:tc>
        <w:tc>
          <w:tcPr>
            <w:tcW w:w="1304" w:type="dxa"/>
            <w:vAlign w:val="center"/>
          </w:tcPr>
          <w:p w14:paraId="6E1B8332" w14:textId="77777777" w:rsidR="00454A29" w:rsidRDefault="00454A29">
            <w:pPr>
              <w:pStyle w:val="ConsPlusNormal"/>
              <w:jc w:val="right"/>
            </w:pPr>
            <w:r>
              <w:t>300 000</w:t>
            </w:r>
          </w:p>
        </w:tc>
        <w:tc>
          <w:tcPr>
            <w:tcW w:w="1304" w:type="dxa"/>
            <w:vAlign w:val="center"/>
          </w:tcPr>
          <w:p w14:paraId="3084FE84" w14:textId="77777777" w:rsidR="00454A29" w:rsidRDefault="00454A29">
            <w:pPr>
              <w:pStyle w:val="ConsPlusNormal"/>
              <w:jc w:val="right"/>
            </w:pPr>
            <w:r>
              <w:t>300 000</w:t>
            </w:r>
          </w:p>
        </w:tc>
        <w:tc>
          <w:tcPr>
            <w:tcW w:w="1304" w:type="dxa"/>
            <w:vAlign w:val="center"/>
          </w:tcPr>
          <w:p w14:paraId="7924D069" w14:textId="77777777" w:rsidR="00454A29" w:rsidRDefault="00454A29">
            <w:pPr>
              <w:pStyle w:val="ConsPlusNormal"/>
              <w:jc w:val="right"/>
            </w:pPr>
            <w:r>
              <w:t>300 000</w:t>
            </w:r>
          </w:p>
        </w:tc>
        <w:tc>
          <w:tcPr>
            <w:tcW w:w="1304" w:type="dxa"/>
            <w:vAlign w:val="center"/>
          </w:tcPr>
          <w:p w14:paraId="145C50C5" w14:textId="77777777" w:rsidR="00454A29" w:rsidRDefault="00454A29">
            <w:pPr>
              <w:pStyle w:val="ConsPlusNormal"/>
              <w:jc w:val="right"/>
            </w:pPr>
            <w:r>
              <w:t>-</w:t>
            </w:r>
          </w:p>
        </w:tc>
        <w:tc>
          <w:tcPr>
            <w:tcW w:w="1304" w:type="dxa"/>
            <w:vAlign w:val="center"/>
          </w:tcPr>
          <w:p w14:paraId="34935C86" w14:textId="77777777" w:rsidR="00454A29" w:rsidRDefault="00454A29">
            <w:pPr>
              <w:pStyle w:val="ConsPlusNormal"/>
              <w:jc w:val="right"/>
            </w:pPr>
            <w:r>
              <w:t>-</w:t>
            </w:r>
          </w:p>
        </w:tc>
      </w:tr>
      <w:tr w:rsidR="00454A29" w14:paraId="26E51DB8" w14:textId="77777777">
        <w:tc>
          <w:tcPr>
            <w:tcW w:w="2041" w:type="dxa"/>
            <w:vMerge w:val="restart"/>
            <w:vAlign w:val="center"/>
          </w:tcPr>
          <w:p w14:paraId="101E9116" w14:textId="77777777" w:rsidR="00454A29" w:rsidRDefault="00454A29">
            <w:pPr>
              <w:pStyle w:val="ConsPlusNormal"/>
              <w:jc w:val="center"/>
            </w:pPr>
            <w:r>
              <w:t>Основное мероприятие 3.2.</w:t>
            </w:r>
          </w:p>
        </w:tc>
        <w:tc>
          <w:tcPr>
            <w:tcW w:w="3005" w:type="dxa"/>
            <w:vMerge w:val="restart"/>
            <w:vAlign w:val="center"/>
          </w:tcPr>
          <w:p w14:paraId="7FB0B588" w14:textId="77777777" w:rsidR="00454A29" w:rsidRDefault="00454A29">
            <w:pPr>
              <w:pStyle w:val="ConsPlusNormal"/>
              <w:jc w:val="center"/>
            </w:pPr>
            <w:r>
              <w:t>Внедрение регионального стандарта кадрового обеспечения промышленного (экономического) роста в Республике Саха (Якутия)</w:t>
            </w:r>
          </w:p>
        </w:tc>
        <w:tc>
          <w:tcPr>
            <w:tcW w:w="2778" w:type="dxa"/>
            <w:vAlign w:val="center"/>
          </w:tcPr>
          <w:p w14:paraId="3931199E" w14:textId="77777777" w:rsidR="00454A29" w:rsidRDefault="00454A29">
            <w:pPr>
              <w:pStyle w:val="ConsPlusNormal"/>
            </w:pPr>
            <w:r>
              <w:t>Всего:</w:t>
            </w:r>
          </w:p>
        </w:tc>
        <w:tc>
          <w:tcPr>
            <w:tcW w:w="1304" w:type="dxa"/>
            <w:vAlign w:val="center"/>
          </w:tcPr>
          <w:p w14:paraId="2BB09BF0" w14:textId="77777777" w:rsidR="00454A29" w:rsidRDefault="00454A29">
            <w:pPr>
              <w:pStyle w:val="ConsPlusNormal"/>
              <w:jc w:val="right"/>
            </w:pPr>
            <w:r>
              <w:t>11 440</w:t>
            </w:r>
          </w:p>
        </w:tc>
        <w:tc>
          <w:tcPr>
            <w:tcW w:w="1247" w:type="dxa"/>
            <w:vAlign w:val="center"/>
          </w:tcPr>
          <w:p w14:paraId="315B225A" w14:textId="77777777" w:rsidR="00454A29" w:rsidRDefault="00454A29">
            <w:pPr>
              <w:pStyle w:val="ConsPlusNormal"/>
              <w:jc w:val="right"/>
            </w:pPr>
            <w:r>
              <w:t>11 440</w:t>
            </w:r>
          </w:p>
        </w:tc>
        <w:tc>
          <w:tcPr>
            <w:tcW w:w="1304" w:type="dxa"/>
            <w:vAlign w:val="center"/>
          </w:tcPr>
          <w:p w14:paraId="10419A35" w14:textId="77777777" w:rsidR="00454A29" w:rsidRDefault="00454A29">
            <w:pPr>
              <w:pStyle w:val="ConsPlusNormal"/>
              <w:jc w:val="right"/>
            </w:pPr>
            <w:r>
              <w:t>11 440</w:t>
            </w:r>
          </w:p>
        </w:tc>
        <w:tc>
          <w:tcPr>
            <w:tcW w:w="1304" w:type="dxa"/>
            <w:vAlign w:val="center"/>
          </w:tcPr>
          <w:p w14:paraId="3FC5AFFB" w14:textId="77777777" w:rsidR="00454A29" w:rsidRDefault="00454A29">
            <w:pPr>
              <w:pStyle w:val="ConsPlusNormal"/>
              <w:jc w:val="right"/>
            </w:pPr>
            <w:r>
              <w:t>13 000</w:t>
            </w:r>
          </w:p>
        </w:tc>
        <w:tc>
          <w:tcPr>
            <w:tcW w:w="1304" w:type="dxa"/>
            <w:vAlign w:val="center"/>
          </w:tcPr>
          <w:p w14:paraId="1DFD0A06" w14:textId="77777777" w:rsidR="00454A29" w:rsidRDefault="00454A29">
            <w:pPr>
              <w:pStyle w:val="ConsPlusNormal"/>
              <w:jc w:val="right"/>
            </w:pPr>
            <w:r>
              <w:t>13 000</w:t>
            </w:r>
          </w:p>
        </w:tc>
        <w:tc>
          <w:tcPr>
            <w:tcW w:w="1304" w:type="dxa"/>
            <w:vAlign w:val="center"/>
          </w:tcPr>
          <w:p w14:paraId="0F7659DB" w14:textId="77777777" w:rsidR="00454A29" w:rsidRDefault="00454A29">
            <w:pPr>
              <w:pStyle w:val="ConsPlusNormal"/>
              <w:jc w:val="right"/>
            </w:pPr>
            <w:r>
              <w:t>-</w:t>
            </w:r>
          </w:p>
        </w:tc>
        <w:tc>
          <w:tcPr>
            <w:tcW w:w="1304" w:type="dxa"/>
            <w:vAlign w:val="center"/>
          </w:tcPr>
          <w:p w14:paraId="4A61D996" w14:textId="77777777" w:rsidR="00454A29" w:rsidRDefault="00454A29">
            <w:pPr>
              <w:pStyle w:val="ConsPlusNormal"/>
              <w:jc w:val="right"/>
            </w:pPr>
            <w:r>
              <w:t>-</w:t>
            </w:r>
          </w:p>
        </w:tc>
      </w:tr>
      <w:tr w:rsidR="00454A29" w14:paraId="27A4BE7C" w14:textId="77777777">
        <w:tc>
          <w:tcPr>
            <w:tcW w:w="2041" w:type="dxa"/>
            <w:vMerge/>
          </w:tcPr>
          <w:p w14:paraId="3EB1E799" w14:textId="77777777" w:rsidR="00454A29" w:rsidRDefault="00454A29"/>
        </w:tc>
        <w:tc>
          <w:tcPr>
            <w:tcW w:w="3005" w:type="dxa"/>
            <w:vMerge/>
          </w:tcPr>
          <w:p w14:paraId="4A0EA48F" w14:textId="77777777" w:rsidR="00454A29" w:rsidRDefault="00454A29"/>
        </w:tc>
        <w:tc>
          <w:tcPr>
            <w:tcW w:w="2778" w:type="dxa"/>
            <w:vAlign w:val="center"/>
          </w:tcPr>
          <w:p w14:paraId="2ECBE2D5" w14:textId="77777777" w:rsidR="00454A29" w:rsidRDefault="00454A29">
            <w:pPr>
              <w:pStyle w:val="ConsPlusNormal"/>
            </w:pPr>
            <w:r>
              <w:t>Государственный бюджет Республики Саха (Якутия)</w:t>
            </w:r>
          </w:p>
        </w:tc>
        <w:tc>
          <w:tcPr>
            <w:tcW w:w="1304" w:type="dxa"/>
            <w:vAlign w:val="center"/>
          </w:tcPr>
          <w:p w14:paraId="5EC9D9E5" w14:textId="77777777" w:rsidR="00454A29" w:rsidRDefault="00454A29">
            <w:pPr>
              <w:pStyle w:val="ConsPlusNormal"/>
              <w:jc w:val="right"/>
            </w:pPr>
            <w:r>
              <w:t>11 440</w:t>
            </w:r>
          </w:p>
        </w:tc>
        <w:tc>
          <w:tcPr>
            <w:tcW w:w="1247" w:type="dxa"/>
            <w:vAlign w:val="center"/>
          </w:tcPr>
          <w:p w14:paraId="00B92234" w14:textId="77777777" w:rsidR="00454A29" w:rsidRDefault="00454A29">
            <w:pPr>
              <w:pStyle w:val="ConsPlusNormal"/>
              <w:jc w:val="right"/>
            </w:pPr>
            <w:r>
              <w:t>11 440</w:t>
            </w:r>
          </w:p>
        </w:tc>
        <w:tc>
          <w:tcPr>
            <w:tcW w:w="1304" w:type="dxa"/>
            <w:vAlign w:val="center"/>
          </w:tcPr>
          <w:p w14:paraId="5961C99B" w14:textId="77777777" w:rsidR="00454A29" w:rsidRDefault="00454A29">
            <w:pPr>
              <w:pStyle w:val="ConsPlusNormal"/>
              <w:jc w:val="right"/>
            </w:pPr>
            <w:r>
              <w:t>11 440</w:t>
            </w:r>
          </w:p>
        </w:tc>
        <w:tc>
          <w:tcPr>
            <w:tcW w:w="1304" w:type="dxa"/>
            <w:vAlign w:val="center"/>
          </w:tcPr>
          <w:p w14:paraId="1780194D" w14:textId="77777777" w:rsidR="00454A29" w:rsidRDefault="00454A29">
            <w:pPr>
              <w:pStyle w:val="ConsPlusNormal"/>
              <w:jc w:val="right"/>
            </w:pPr>
            <w:r>
              <w:t>13 000</w:t>
            </w:r>
          </w:p>
        </w:tc>
        <w:tc>
          <w:tcPr>
            <w:tcW w:w="1304" w:type="dxa"/>
            <w:vAlign w:val="center"/>
          </w:tcPr>
          <w:p w14:paraId="285763AF" w14:textId="77777777" w:rsidR="00454A29" w:rsidRDefault="00454A29">
            <w:pPr>
              <w:pStyle w:val="ConsPlusNormal"/>
              <w:jc w:val="right"/>
            </w:pPr>
            <w:r>
              <w:t>13 000</w:t>
            </w:r>
          </w:p>
        </w:tc>
        <w:tc>
          <w:tcPr>
            <w:tcW w:w="1304" w:type="dxa"/>
            <w:vAlign w:val="center"/>
          </w:tcPr>
          <w:p w14:paraId="3B97F9B4" w14:textId="77777777" w:rsidR="00454A29" w:rsidRDefault="00454A29">
            <w:pPr>
              <w:pStyle w:val="ConsPlusNormal"/>
              <w:jc w:val="right"/>
            </w:pPr>
            <w:r>
              <w:t>-</w:t>
            </w:r>
          </w:p>
        </w:tc>
        <w:tc>
          <w:tcPr>
            <w:tcW w:w="1304" w:type="dxa"/>
            <w:vAlign w:val="center"/>
          </w:tcPr>
          <w:p w14:paraId="50535305" w14:textId="77777777" w:rsidR="00454A29" w:rsidRDefault="00454A29">
            <w:pPr>
              <w:pStyle w:val="ConsPlusNormal"/>
              <w:jc w:val="right"/>
            </w:pPr>
            <w:r>
              <w:t>-</w:t>
            </w:r>
          </w:p>
        </w:tc>
      </w:tr>
      <w:tr w:rsidR="00454A29" w14:paraId="0B953D74" w14:textId="77777777">
        <w:tc>
          <w:tcPr>
            <w:tcW w:w="2041" w:type="dxa"/>
            <w:vMerge/>
          </w:tcPr>
          <w:p w14:paraId="762C6273" w14:textId="77777777" w:rsidR="00454A29" w:rsidRDefault="00454A29"/>
        </w:tc>
        <w:tc>
          <w:tcPr>
            <w:tcW w:w="3005" w:type="dxa"/>
            <w:vMerge/>
          </w:tcPr>
          <w:p w14:paraId="1FC9D9F4" w14:textId="77777777" w:rsidR="00454A29" w:rsidRDefault="00454A29"/>
        </w:tc>
        <w:tc>
          <w:tcPr>
            <w:tcW w:w="2778" w:type="dxa"/>
            <w:vAlign w:val="center"/>
          </w:tcPr>
          <w:p w14:paraId="1DBB2901" w14:textId="77777777" w:rsidR="00454A29" w:rsidRDefault="00454A29">
            <w:pPr>
              <w:pStyle w:val="ConsPlusNormal"/>
            </w:pPr>
            <w:r>
              <w:t>Федеральный бюджет</w:t>
            </w:r>
          </w:p>
        </w:tc>
        <w:tc>
          <w:tcPr>
            <w:tcW w:w="1304" w:type="dxa"/>
            <w:vAlign w:val="center"/>
          </w:tcPr>
          <w:p w14:paraId="3020CA28" w14:textId="77777777" w:rsidR="00454A29" w:rsidRDefault="00454A29">
            <w:pPr>
              <w:pStyle w:val="ConsPlusNormal"/>
            </w:pPr>
          </w:p>
        </w:tc>
        <w:tc>
          <w:tcPr>
            <w:tcW w:w="1247" w:type="dxa"/>
            <w:vAlign w:val="center"/>
          </w:tcPr>
          <w:p w14:paraId="74F81C3F" w14:textId="77777777" w:rsidR="00454A29" w:rsidRDefault="00454A29">
            <w:pPr>
              <w:pStyle w:val="ConsPlusNormal"/>
            </w:pPr>
          </w:p>
        </w:tc>
        <w:tc>
          <w:tcPr>
            <w:tcW w:w="1304" w:type="dxa"/>
            <w:vAlign w:val="center"/>
          </w:tcPr>
          <w:p w14:paraId="6D60942C" w14:textId="77777777" w:rsidR="00454A29" w:rsidRDefault="00454A29">
            <w:pPr>
              <w:pStyle w:val="ConsPlusNormal"/>
            </w:pPr>
          </w:p>
        </w:tc>
        <w:tc>
          <w:tcPr>
            <w:tcW w:w="1304" w:type="dxa"/>
            <w:vAlign w:val="center"/>
          </w:tcPr>
          <w:p w14:paraId="2D213C6B" w14:textId="77777777" w:rsidR="00454A29" w:rsidRDefault="00454A29">
            <w:pPr>
              <w:pStyle w:val="ConsPlusNormal"/>
            </w:pPr>
          </w:p>
        </w:tc>
        <w:tc>
          <w:tcPr>
            <w:tcW w:w="1304" w:type="dxa"/>
            <w:vAlign w:val="center"/>
          </w:tcPr>
          <w:p w14:paraId="6F17A604" w14:textId="77777777" w:rsidR="00454A29" w:rsidRDefault="00454A29">
            <w:pPr>
              <w:pStyle w:val="ConsPlusNormal"/>
            </w:pPr>
          </w:p>
        </w:tc>
        <w:tc>
          <w:tcPr>
            <w:tcW w:w="1304" w:type="dxa"/>
            <w:vAlign w:val="center"/>
          </w:tcPr>
          <w:p w14:paraId="7948DCCA" w14:textId="77777777" w:rsidR="00454A29" w:rsidRDefault="00454A29">
            <w:pPr>
              <w:pStyle w:val="ConsPlusNormal"/>
            </w:pPr>
          </w:p>
        </w:tc>
        <w:tc>
          <w:tcPr>
            <w:tcW w:w="1304" w:type="dxa"/>
            <w:vAlign w:val="center"/>
          </w:tcPr>
          <w:p w14:paraId="7B4B1C9A" w14:textId="77777777" w:rsidR="00454A29" w:rsidRDefault="00454A29">
            <w:pPr>
              <w:pStyle w:val="ConsPlusNormal"/>
            </w:pPr>
          </w:p>
        </w:tc>
      </w:tr>
      <w:tr w:rsidR="00454A29" w14:paraId="4F8DF3AD" w14:textId="77777777">
        <w:tc>
          <w:tcPr>
            <w:tcW w:w="2041" w:type="dxa"/>
            <w:vMerge/>
          </w:tcPr>
          <w:p w14:paraId="77634834" w14:textId="77777777" w:rsidR="00454A29" w:rsidRDefault="00454A29"/>
        </w:tc>
        <w:tc>
          <w:tcPr>
            <w:tcW w:w="3005" w:type="dxa"/>
            <w:vMerge/>
          </w:tcPr>
          <w:p w14:paraId="36D5F484" w14:textId="77777777" w:rsidR="00454A29" w:rsidRDefault="00454A29"/>
        </w:tc>
        <w:tc>
          <w:tcPr>
            <w:tcW w:w="2778" w:type="dxa"/>
            <w:vAlign w:val="center"/>
          </w:tcPr>
          <w:p w14:paraId="49124F15" w14:textId="77777777" w:rsidR="00454A29" w:rsidRDefault="00454A29">
            <w:pPr>
              <w:pStyle w:val="ConsPlusNormal"/>
            </w:pPr>
            <w:r>
              <w:t>Местные бюджеты</w:t>
            </w:r>
          </w:p>
        </w:tc>
        <w:tc>
          <w:tcPr>
            <w:tcW w:w="1304" w:type="dxa"/>
            <w:vAlign w:val="center"/>
          </w:tcPr>
          <w:p w14:paraId="5E70BE61" w14:textId="77777777" w:rsidR="00454A29" w:rsidRDefault="00454A29">
            <w:pPr>
              <w:pStyle w:val="ConsPlusNormal"/>
            </w:pPr>
          </w:p>
        </w:tc>
        <w:tc>
          <w:tcPr>
            <w:tcW w:w="1247" w:type="dxa"/>
            <w:vAlign w:val="center"/>
          </w:tcPr>
          <w:p w14:paraId="264482B4" w14:textId="77777777" w:rsidR="00454A29" w:rsidRDefault="00454A29">
            <w:pPr>
              <w:pStyle w:val="ConsPlusNormal"/>
            </w:pPr>
          </w:p>
        </w:tc>
        <w:tc>
          <w:tcPr>
            <w:tcW w:w="1304" w:type="dxa"/>
            <w:vAlign w:val="center"/>
          </w:tcPr>
          <w:p w14:paraId="2D5709B6" w14:textId="77777777" w:rsidR="00454A29" w:rsidRDefault="00454A29">
            <w:pPr>
              <w:pStyle w:val="ConsPlusNormal"/>
            </w:pPr>
          </w:p>
        </w:tc>
        <w:tc>
          <w:tcPr>
            <w:tcW w:w="1304" w:type="dxa"/>
            <w:vAlign w:val="center"/>
          </w:tcPr>
          <w:p w14:paraId="7F1C482E" w14:textId="77777777" w:rsidR="00454A29" w:rsidRDefault="00454A29">
            <w:pPr>
              <w:pStyle w:val="ConsPlusNormal"/>
            </w:pPr>
          </w:p>
        </w:tc>
        <w:tc>
          <w:tcPr>
            <w:tcW w:w="1304" w:type="dxa"/>
            <w:vAlign w:val="center"/>
          </w:tcPr>
          <w:p w14:paraId="7B0A0E55" w14:textId="77777777" w:rsidR="00454A29" w:rsidRDefault="00454A29">
            <w:pPr>
              <w:pStyle w:val="ConsPlusNormal"/>
            </w:pPr>
          </w:p>
        </w:tc>
        <w:tc>
          <w:tcPr>
            <w:tcW w:w="1304" w:type="dxa"/>
            <w:vAlign w:val="center"/>
          </w:tcPr>
          <w:p w14:paraId="4BD4DC5F" w14:textId="77777777" w:rsidR="00454A29" w:rsidRDefault="00454A29">
            <w:pPr>
              <w:pStyle w:val="ConsPlusNormal"/>
            </w:pPr>
          </w:p>
        </w:tc>
        <w:tc>
          <w:tcPr>
            <w:tcW w:w="1304" w:type="dxa"/>
            <w:vAlign w:val="center"/>
          </w:tcPr>
          <w:p w14:paraId="40170E57" w14:textId="77777777" w:rsidR="00454A29" w:rsidRDefault="00454A29">
            <w:pPr>
              <w:pStyle w:val="ConsPlusNormal"/>
            </w:pPr>
          </w:p>
        </w:tc>
      </w:tr>
      <w:tr w:rsidR="00454A29" w14:paraId="178E6145" w14:textId="77777777">
        <w:tc>
          <w:tcPr>
            <w:tcW w:w="2041" w:type="dxa"/>
            <w:vMerge/>
          </w:tcPr>
          <w:p w14:paraId="13CA060C" w14:textId="77777777" w:rsidR="00454A29" w:rsidRDefault="00454A29"/>
        </w:tc>
        <w:tc>
          <w:tcPr>
            <w:tcW w:w="3005" w:type="dxa"/>
            <w:vMerge/>
          </w:tcPr>
          <w:p w14:paraId="4856B7CD" w14:textId="77777777" w:rsidR="00454A29" w:rsidRDefault="00454A29"/>
        </w:tc>
        <w:tc>
          <w:tcPr>
            <w:tcW w:w="2778" w:type="dxa"/>
            <w:vAlign w:val="center"/>
          </w:tcPr>
          <w:p w14:paraId="41D60B37" w14:textId="77777777" w:rsidR="00454A29" w:rsidRDefault="00454A29">
            <w:pPr>
              <w:pStyle w:val="ConsPlusNormal"/>
            </w:pPr>
            <w:r>
              <w:t>Внебюджетные средства</w:t>
            </w:r>
          </w:p>
        </w:tc>
        <w:tc>
          <w:tcPr>
            <w:tcW w:w="1304" w:type="dxa"/>
            <w:vAlign w:val="center"/>
          </w:tcPr>
          <w:p w14:paraId="4B790B5B" w14:textId="77777777" w:rsidR="00454A29" w:rsidRDefault="00454A29">
            <w:pPr>
              <w:pStyle w:val="ConsPlusNormal"/>
            </w:pPr>
          </w:p>
        </w:tc>
        <w:tc>
          <w:tcPr>
            <w:tcW w:w="1247" w:type="dxa"/>
            <w:vAlign w:val="center"/>
          </w:tcPr>
          <w:p w14:paraId="7DB57BBF" w14:textId="77777777" w:rsidR="00454A29" w:rsidRDefault="00454A29">
            <w:pPr>
              <w:pStyle w:val="ConsPlusNormal"/>
            </w:pPr>
          </w:p>
        </w:tc>
        <w:tc>
          <w:tcPr>
            <w:tcW w:w="1304" w:type="dxa"/>
            <w:vAlign w:val="center"/>
          </w:tcPr>
          <w:p w14:paraId="3659387C" w14:textId="77777777" w:rsidR="00454A29" w:rsidRDefault="00454A29">
            <w:pPr>
              <w:pStyle w:val="ConsPlusNormal"/>
            </w:pPr>
          </w:p>
        </w:tc>
        <w:tc>
          <w:tcPr>
            <w:tcW w:w="1304" w:type="dxa"/>
            <w:vAlign w:val="center"/>
          </w:tcPr>
          <w:p w14:paraId="17D8CEAE" w14:textId="77777777" w:rsidR="00454A29" w:rsidRDefault="00454A29">
            <w:pPr>
              <w:pStyle w:val="ConsPlusNormal"/>
            </w:pPr>
          </w:p>
        </w:tc>
        <w:tc>
          <w:tcPr>
            <w:tcW w:w="1304" w:type="dxa"/>
            <w:vAlign w:val="center"/>
          </w:tcPr>
          <w:p w14:paraId="737DB6AF" w14:textId="77777777" w:rsidR="00454A29" w:rsidRDefault="00454A29">
            <w:pPr>
              <w:pStyle w:val="ConsPlusNormal"/>
            </w:pPr>
          </w:p>
        </w:tc>
        <w:tc>
          <w:tcPr>
            <w:tcW w:w="1304" w:type="dxa"/>
            <w:vAlign w:val="center"/>
          </w:tcPr>
          <w:p w14:paraId="38D650BC" w14:textId="77777777" w:rsidR="00454A29" w:rsidRDefault="00454A29">
            <w:pPr>
              <w:pStyle w:val="ConsPlusNormal"/>
            </w:pPr>
          </w:p>
        </w:tc>
        <w:tc>
          <w:tcPr>
            <w:tcW w:w="1304" w:type="dxa"/>
            <w:vAlign w:val="center"/>
          </w:tcPr>
          <w:p w14:paraId="10E40B33" w14:textId="77777777" w:rsidR="00454A29" w:rsidRDefault="00454A29">
            <w:pPr>
              <w:pStyle w:val="ConsPlusNormal"/>
            </w:pPr>
          </w:p>
        </w:tc>
      </w:tr>
      <w:tr w:rsidR="00454A29" w14:paraId="2CA37E2A" w14:textId="77777777">
        <w:tc>
          <w:tcPr>
            <w:tcW w:w="2041" w:type="dxa"/>
            <w:vMerge w:val="restart"/>
            <w:vAlign w:val="center"/>
          </w:tcPr>
          <w:p w14:paraId="4C366151" w14:textId="77777777" w:rsidR="00454A29" w:rsidRDefault="00454A29">
            <w:pPr>
              <w:pStyle w:val="ConsPlusNormal"/>
              <w:jc w:val="center"/>
            </w:pPr>
            <w:r>
              <w:t>Основное мероприятие 3.3.</w:t>
            </w:r>
          </w:p>
        </w:tc>
        <w:tc>
          <w:tcPr>
            <w:tcW w:w="3005" w:type="dxa"/>
            <w:vMerge w:val="restart"/>
            <w:vAlign w:val="center"/>
          </w:tcPr>
          <w:p w14:paraId="5D4044AE" w14:textId="77777777" w:rsidR="00454A29" w:rsidRDefault="00454A29">
            <w:pPr>
              <w:pStyle w:val="ConsPlusNormal"/>
              <w:jc w:val="center"/>
            </w:pPr>
            <w:r>
              <w:t>Развитие региональной системы инклюзивного профессионального образования для инвалидов и лиц с ограниченными возможностями здоровья</w:t>
            </w:r>
          </w:p>
        </w:tc>
        <w:tc>
          <w:tcPr>
            <w:tcW w:w="2778" w:type="dxa"/>
            <w:vAlign w:val="center"/>
          </w:tcPr>
          <w:p w14:paraId="0597A267" w14:textId="77777777" w:rsidR="00454A29" w:rsidRDefault="00454A29">
            <w:pPr>
              <w:pStyle w:val="ConsPlusNormal"/>
            </w:pPr>
            <w:r>
              <w:t>Всего:</w:t>
            </w:r>
          </w:p>
        </w:tc>
        <w:tc>
          <w:tcPr>
            <w:tcW w:w="1304" w:type="dxa"/>
            <w:vAlign w:val="center"/>
          </w:tcPr>
          <w:p w14:paraId="253DFF12" w14:textId="77777777" w:rsidR="00454A29" w:rsidRDefault="00454A29">
            <w:pPr>
              <w:pStyle w:val="ConsPlusNormal"/>
              <w:jc w:val="right"/>
            </w:pPr>
            <w:r>
              <w:t>84,3</w:t>
            </w:r>
          </w:p>
        </w:tc>
        <w:tc>
          <w:tcPr>
            <w:tcW w:w="1247" w:type="dxa"/>
            <w:vAlign w:val="center"/>
          </w:tcPr>
          <w:p w14:paraId="566F0B1D" w14:textId="77777777" w:rsidR="00454A29" w:rsidRDefault="00454A29">
            <w:pPr>
              <w:pStyle w:val="ConsPlusNormal"/>
              <w:jc w:val="right"/>
            </w:pPr>
            <w:r>
              <w:t>84,3</w:t>
            </w:r>
          </w:p>
        </w:tc>
        <w:tc>
          <w:tcPr>
            <w:tcW w:w="1304" w:type="dxa"/>
            <w:vAlign w:val="center"/>
          </w:tcPr>
          <w:p w14:paraId="7D0A2C80" w14:textId="77777777" w:rsidR="00454A29" w:rsidRDefault="00454A29">
            <w:pPr>
              <w:pStyle w:val="ConsPlusNormal"/>
              <w:jc w:val="right"/>
            </w:pPr>
            <w:r>
              <w:t>62,5</w:t>
            </w:r>
          </w:p>
        </w:tc>
        <w:tc>
          <w:tcPr>
            <w:tcW w:w="1304" w:type="dxa"/>
            <w:vAlign w:val="center"/>
          </w:tcPr>
          <w:p w14:paraId="0A5A29F5" w14:textId="77777777" w:rsidR="00454A29" w:rsidRDefault="00454A29">
            <w:pPr>
              <w:pStyle w:val="ConsPlusNormal"/>
              <w:jc w:val="right"/>
            </w:pPr>
            <w:r>
              <w:t>-</w:t>
            </w:r>
          </w:p>
        </w:tc>
        <w:tc>
          <w:tcPr>
            <w:tcW w:w="1304" w:type="dxa"/>
            <w:vAlign w:val="center"/>
          </w:tcPr>
          <w:p w14:paraId="40084E6E" w14:textId="77777777" w:rsidR="00454A29" w:rsidRDefault="00454A29">
            <w:pPr>
              <w:pStyle w:val="ConsPlusNormal"/>
              <w:jc w:val="right"/>
            </w:pPr>
            <w:r>
              <w:t>-</w:t>
            </w:r>
          </w:p>
        </w:tc>
        <w:tc>
          <w:tcPr>
            <w:tcW w:w="1304" w:type="dxa"/>
            <w:vAlign w:val="center"/>
          </w:tcPr>
          <w:p w14:paraId="19B5B52B" w14:textId="77777777" w:rsidR="00454A29" w:rsidRDefault="00454A29">
            <w:pPr>
              <w:pStyle w:val="ConsPlusNormal"/>
              <w:jc w:val="right"/>
            </w:pPr>
            <w:r>
              <w:t>-</w:t>
            </w:r>
          </w:p>
        </w:tc>
        <w:tc>
          <w:tcPr>
            <w:tcW w:w="1304" w:type="dxa"/>
            <w:vAlign w:val="center"/>
          </w:tcPr>
          <w:p w14:paraId="6AF3F8FA" w14:textId="77777777" w:rsidR="00454A29" w:rsidRDefault="00454A29">
            <w:pPr>
              <w:pStyle w:val="ConsPlusNormal"/>
              <w:jc w:val="right"/>
            </w:pPr>
            <w:r>
              <w:t>-</w:t>
            </w:r>
          </w:p>
        </w:tc>
      </w:tr>
      <w:tr w:rsidR="00454A29" w14:paraId="4D700D5D" w14:textId="77777777">
        <w:tc>
          <w:tcPr>
            <w:tcW w:w="2041" w:type="dxa"/>
            <w:vMerge/>
          </w:tcPr>
          <w:p w14:paraId="172BE81A" w14:textId="77777777" w:rsidR="00454A29" w:rsidRDefault="00454A29"/>
        </w:tc>
        <w:tc>
          <w:tcPr>
            <w:tcW w:w="3005" w:type="dxa"/>
            <w:vMerge/>
          </w:tcPr>
          <w:p w14:paraId="0A73F4EE" w14:textId="77777777" w:rsidR="00454A29" w:rsidRDefault="00454A29"/>
        </w:tc>
        <w:tc>
          <w:tcPr>
            <w:tcW w:w="2778" w:type="dxa"/>
            <w:vAlign w:val="center"/>
          </w:tcPr>
          <w:p w14:paraId="1D880CE1" w14:textId="77777777" w:rsidR="00454A29" w:rsidRDefault="00454A29">
            <w:pPr>
              <w:pStyle w:val="ConsPlusNormal"/>
            </w:pPr>
            <w:r>
              <w:t>Государственный бюджет Республики Саха (Якутия)</w:t>
            </w:r>
          </w:p>
        </w:tc>
        <w:tc>
          <w:tcPr>
            <w:tcW w:w="1304" w:type="dxa"/>
            <w:vAlign w:val="center"/>
          </w:tcPr>
          <w:p w14:paraId="0762D2FB" w14:textId="77777777" w:rsidR="00454A29" w:rsidRDefault="00454A29">
            <w:pPr>
              <w:pStyle w:val="ConsPlusNormal"/>
              <w:jc w:val="right"/>
            </w:pPr>
            <w:r>
              <w:t>84,3</w:t>
            </w:r>
          </w:p>
        </w:tc>
        <w:tc>
          <w:tcPr>
            <w:tcW w:w="1247" w:type="dxa"/>
            <w:vAlign w:val="center"/>
          </w:tcPr>
          <w:p w14:paraId="7544A658" w14:textId="77777777" w:rsidR="00454A29" w:rsidRDefault="00454A29">
            <w:pPr>
              <w:pStyle w:val="ConsPlusNormal"/>
              <w:jc w:val="right"/>
            </w:pPr>
            <w:r>
              <w:t>84,3</w:t>
            </w:r>
          </w:p>
        </w:tc>
        <w:tc>
          <w:tcPr>
            <w:tcW w:w="1304" w:type="dxa"/>
            <w:vAlign w:val="center"/>
          </w:tcPr>
          <w:p w14:paraId="65AE82E4" w14:textId="77777777" w:rsidR="00454A29" w:rsidRDefault="00454A29">
            <w:pPr>
              <w:pStyle w:val="ConsPlusNormal"/>
              <w:jc w:val="right"/>
            </w:pPr>
            <w:r>
              <w:t>62,5</w:t>
            </w:r>
          </w:p>
        </w:tc>
        <w:tc>
          <w:tcPr>
            <w:tcW w:w="1304" w:type="dxa"/>
            <w:vAlign w:val="center"/>
          </w:tcPr>
          <w:p w14:paraId="72E047A8" w14:textId="77777777" w:rsidR="00454A29" w:rsidRDefault="00454A29">
            <w:pPr>
              <w:pStyle w:val="ConsPlusNormal"/>
            </w:pPr>
          </w:p>
        </w:tc>
        <w:tc>
          <w:tcPr>
            <w:tcW w:w="1304" w:type="dxa"/>
            <w:vAlign w:val="center"/>
          </w:tcPr>
          <w:p w14:paraId="2129E847" w14:textId="77777777" w:rsidR="00454A29" w:rsidRDefault="00454A29">
            <w:pPr>
              <w:pStyle w:val="ConsPlusNormal"/>
              <w:jc w:val="right"/>
            </w:pPr>
            <w:r>
              <w:t>-</w:t>
            </w:r>
          </w:p>
        </w:tc>
        <w:tc>
          <w:tcPr>
            <w:tcW w:w="1304" w:type="dxa"/>
            <w:vAlign w:val="center"/>
          </w:tcPr>
          <w:p w14:paraId="5FC0A32A" w14:textId="77777777" w:rsidR="00454A29" w:rsidRDefault="00454A29">
            <w:pPr>
              <w:pStyle w:val="ConsPlusNormal"/>
              <w:jc w:val="right"/>
            </w:pPr>
            <w:r>
              <w:t>-</w:t>
            </w:r>
          </w:p>
        </w:tc>
        <w:tc>
          <w:tcPr>
            <w:tcW w:w="1304" w:type="dxa"/>
            <w:vAlign w:val="center"/>
          </w:tcPr>
          <w:p w14:paraId="7C406503" w14:textId="77777777" w:rsidR="00454A29" w:rsidRDefault="00454A29">
            <w:pPr>
              <w:pStyle w:val="ConsPlusNormal"/>
              <w:jc w:val="right"/>
            </w:pPr>
            <w:r>
              <w:t>-</w:t>
            </w:r>
          </w:p>
        </w:tc>
      </w:tr>
      <w:tr w:rsidR="00454A29" w14:paraId="459E991D" w14:textId="77777777">
        <w:tc>
          <w:tcPr>
            <w:tcW w:w="2041" w:type="dxa"/>
            <w:vMerge/>
          </w:tcPr>
          <w:p w14:paraId="5EBD8A91" w14:textId="77777777" w:rsidR="00454A29" w:rsidRDefault="00454A29"/>
        </w:tc>
        <w:tc>
          <w:tcPr>
            <w:tcW w:w="3005" w:type="dxa"/>
            <w:vMerge/>
          </w:tcPr>
          <w:p w14:paraId="2879B817" w14:textId="77777777" w:rsidR="00454A29" w:rsidRDefault="00454A29"/>
        </w:tc>
        <w:tc>
          <w:tcPr>
            <w:tcW w:w="2778" w:type="dxa"/>
            <w:vAlign w:val="center"/>
          </w:tcPr>
          <w:p w14:paraId="609814E8" w14:textId="77777777" w:rsidR="00454A29" w:rsidRDefault="00454A29">
            <w:pPr>
              <w:pStyle w:val="ConsPlusNormal"/>
            </w:pPr>
            <w:r>
              <w:t>Федеральный бюджет</w:t>
            </w:r>
          </w:p>
        </w:tc>
        <w:tc>
          <w:tcPr>
            <w:tcW w:w="1304" w:type="dxa"/>
            <w:vAlign w:val="center"/>
          </w:tcPr>
          <w:p w14:paraId="4566FE38" w14:textId="77777777" w:rsidR="00454A29" w:rsidRDefault="00454A29">
            <w:pPr>
              <w:pStyle w:val="ConsPlusNormal"/>
            </w:pPr>
          </w:p>
        </w:tc>
        <w:tc>
          <w:tcPr>
            <w:tcW w:w="1247" w:type="dxa"/>
            <w:vAlign w:val="center"/>
          </w:tcPr>
          <w:p w14:paraId="1B338070" w14:textId="77777777" w:rsidR="00454A29" w:rsidRDefault="00454A29">
            <w:pPr>
              <w:pStyle w:val="ConsPlusNormal"/>
            </w:pPr>
          </w:p>
        </w:tc>
        <w:tc>
          <w:tcPr>
            <w:tcW w:w="1304" w:type="dxa"/>
            <w:vAlign w:val="center"/>
          </w:tcPr>
          <w:p w14:paraId="21D31737" w14:textId="77777777" w:rsidR="00454A29" w:rsidRDefault="00454A29">
            <w:pPr>
              <w:pStyle w:val="ConsPlusNormal"/>
            </w:pPr>
          </w:p>
        </w:tc>
        <w:tc>
          <w:tcPr>
            <w:tcW w:w="1304" w:type="dxa"/>
            <w:vAlign w:val="center"/>
          </w:tcPr>
          <w:p w14:paraId="3A2E5A3E" w14:textId="77777777" w:rsidR="00454A29" w:rsidRDefault="00454A29">
            <w:pPr>
              <w:pStyle w:val="ConsPlusNormal"/>
            </w:pPr>
          </w:p>
        </w:tc>
        <w:tc>
          <w:tcPr>
            <w:tcW w:w="1304" w:type="dxa"/>
            <w:vAlign w:val="center"/>
          </w:tcPr>
          <w:p w14:paraId="1F48DE62" w14:textId="77777777" w:rsidR="00454A29" w:rsidRDefault="00454A29">
            <w:pPr>
              <w:pStyle w:val="ConsPlusNormal"/>
            </w:pPr>
          </w:p>
        </w:tc>
        <w:tc>
          <w:tcPr>
            <w:tcW w:w="1304" w:type="dxa"/>
            <w:vAlign w:val="center"/>
          </w:tcPr>
          <w:p w14:paraId="4988119E" w14:textId="77777777" w:rsidR="00454A29" w:rsidRDefault="00454A29">
            <w:pPr>
              <w:pStyle w:val="ConsPlusNormal"/>
            </w:pPr>
          </w:p>
        </w:tc>
        <w:tc>
          <w:tcPr>
            <w:tcW w:w="1304" w:type="dxa"/>
            <w:vAlign w:val="center"/>
          </w:tcPr>
          <w:p w14:paraId="0418C733" w14:textId="77777777" w:rsidR="00454A29" w:rsidRDefault="00454A29">
            <w:pPr>
              <w:pStyle w:val="ConsPlusNormal"/>
            </w:pPr>
          </w:p>
        </w:tc>
      </w:tr>
      <w:tr w:rsidR="00454A29" w14:paraId="6D8A3B5F" w14:textId="77777777">
        <w:tc>
          <w:tcPr>
            <w:tcW w:w="2041" w:type="dxa"/>
            <w:vMerge/>
          </w:tcPr>
          <w:p w14:paraId="7064C01A" w14:textId="77777777" w:rsidR="00454A29" w:rsidRDefault="00454A29"/>
        </w:tc>
        <w:tc>
          <w:tcPr>
            <w:tcW w:w="3005" w:type="dxa"/>
            <w:vMerge/>
          </w:tcPr>
          <w:p w14:paraId="642AAC17" w14:textId="77777777" w:rsidR="00454A29" w:rsidRDefault="00454A29"/>
        </w:tc>
        <w:tc>
          <w:tcPr>
            <w:tcW w:w="2778" w:type="dxa"/>
            <w:vAlign w:val="center"/>
          </w:tcPr>
          <w:p w14:paraId="5418D7EE" w14:textId="77777777" w:rsidR="00454A29" w:rsidRDefault="00454A29">
            <w:pPr>
              <w:pStyle w:val="ConsPlusNormal"/>
            </w:pPr>
            <w:r>
              <w:t>Местные бюджеты</w:t>
            </w:r>
          </w:p>
        </w:tc>
        <w:tc>
          <w:tcPr>
            <w:tcW w:w="1304" w:type="dxa"/>
            <w:vAlign w:val="center"/>
          </w:tcPr>
          <w:p w14:paraId="58209CAD" w14:textId="77777777" w:rsidR="00454A29" w:rsidRDefault="00454A29">
            <w:pPr>
              <w:pStyle w:val="ConsPlusNormal"/>
            </w:pPr>
          </w:p>
        </w:tc>
        <w:tc>
          <w:tcPr>
            <w:tcW w:w="1247" w:type="dxa"/>
            <w:vAlign w:val="center"/>
          </w:tcPr>
          <w:p w14:paraId="7627832B" w14:textId="77777777" w:rsidR="00454A29" w:rsidRDefault="00454A29">
            <w:pPr>
              <w:pStyle w:val="ConsPlusNormal"/>
            </w:pPr>
          </w:p>
        </w:tc>
        <w:tc>
          <w:tcPr>
            <w:tcW w:w="1304" w:type="dxa"/>
            <w:vAlign w:val="center"/>
          </w:tcPr>
          <w:p w14:paraId="64DFFF28" w14:textId="77777777" w:rsidR="00454A29" w:rsidRDefault="00454A29">
            <w:pPr>
              <w:pStyle w:val="ConsPlusNormal"/>
            </w:pPr>
          </w:p>
        </w:tc>
        <w:tc>
          <w:tcPr>
            <w:tcW w:w="1304" w:type="dxa"/>
            <w:vAlign w:val="center"/>
          </w:tcPr>
          <w:p w14:paraId="004C8929" w14:textId="77777777" w:rsidR="00454A29" w:rsidRDefault="00454A29">
            <w:pPr>
              <w:pStyle w:val="ConsPlusNormal"/>
            </w:pPr>
          </w:p>
        </w:tc>
        <w:tc>
          <w:tcPr>
            <w:tcW w:w="1304" w:type="dxa"/>
            <w:vAlign w:val="center"/>
          </w:tcPr>
          <w:p w14:paraId="1336A564" w14:textId="77777777" w:rsidR="00454A29" w:rsidRDefault="00454A29">
            <w:pPr>
              <w:pStyle w:val="ConsPlusNormal"/>
            </w:pPr>
          </w:p>
        </w:tc>
        <w:tc>
          <w:tcPr>
            <w:tcW w:w="1304" w:type="dxa"/>
            <w:vAlign w:val="center"/>
          </w:tcPr>
          <w:p w14:paraId="3273A959" w14:textId="77777777" w:rsidR="00454A29" w:rsidRDefault="00454A29">
            <w:pPr>
              <w:pStyle w:val="ConsPlusNormal"/>
            </w:pPr>
          </w:p>
        </w:tc>
        <w:tc>
          <w:tcPr>
            <w:tcW w:w="1304" w:type="dxa"/>
            <w:vAlign w:val="center"/>
          </w:tcPr>
          <w:p w14:paraId="1A349022" w14:textId="77777777" w:rsidR="00454A29" w:rsidRDefault="00454A29">
            <w:pPr>
              <w:pStyle w:val="ConsPlusNormal"/>
            </w:pPr>
          </w:p>
        </w:tc>
      </w:tr>
      <w:tr w:rsidR="00454A29" w14:paraId="3C11520A" w14:textId="77777777">
        <w:tc>
          <w:tcPr>
            <w:tcW w:w="2041" w:type="dxa"/>
            <w:vMerge/>
          </w:tcPr>
          <w:p w14:paraId="6B148F3D" w14:textId="77777777" w:rsidR="00454A29" w:rsidRDefault="00454A29"/>
        </w:tc>
        <w:tc>
          <w:tcPr>
            <w:tcW w:w="3005" w:type="dxa"/>
            <w:vMerge/>
          </w:tcPr>
          <w:p w14:paraId="0EC80E60" w14:textId="77777777" w:rsidR="00454A29" w:rsidRDefault="00454A29"/>
        </w:tc>
        <w:tc>
          <w:tcPr>
            <w:tcW w:w="2778" w:type="dxa"/>
            <w:vAlign w:val="center"/>
          </w:tcPr>
          <w:p w14:paraId="2BDC2C0D" w14:textId="77777777" w:rsidR="00454A29" w:rsidRDefault="00454A29">
            <w:pPr>
              <w:pStyle w:val="ConsPlusNormal"/>
            </w:pPr>
            <w:r>
              <w:t>Внебюджетные средства</w:t>
            </w:r>
          </w:p>
        </w:tc>
        <w:tc>
          <w:tcPr>
            <w:tcW w:w="1304" w:type="dxa"/>
            <w:vAlign w:val="center"/>
          </w:tcPr>
          <w:p w14:paraId="3892CAE3" w14:textId="77777777" w:rsidR="00454A29" w:rsidRDefault="00454A29">
            <w:pPr>
              <w:pStyle w:val="ConsPlusNormal"/>
            </w:pPr>
          </w:p>
        </w:tc>
        <w:tc>
          <w:tcPr>
            <w:tcW w:w="1247" w:type="dxa"/>
            <w:vAlign w:val="center"/>
          </w:tcPr>
          <w:p w14:paraId="727E29F9" w14:textId="77777777" w:rsidR="00454A29" w:rsidRDefault="00454A29">
            <w:pPr>
              <w:pStyle w:val="ConsPlusNormal"/>
            </w:pPr>
          </w:p>
        </w:tc>
        <w:tc>
          <w:tcPr>
            <w:tcW w:w="1304" w:type="dxa"/>
            <w:vAlign w:val="center"/>
          </w:tcPr>
          <w:p w14:paraId="6D1D288B" w14:textId="77777777" w:rsidR="00454A29" w:rsidRDefault="00454A29">
            <w:pPr>
              <w:pStyle w:val="ConsPlusNormal"/>
            </w:pPr>
          </w:p>
        </w:tc>
        <w:tc>
          <w:tcPr>
            <w:tcW w:w="1304" w:type="dxa"/>
            <w:vAlign w:val="center"/>
          </w:tcPr>
          <w:p w14:paraId="12A95CB4" w14:textId="77777777" w:rsidR="00454A29" w:rsidRDefault="00454A29">
            <w:pPr>
              <w:pStyle w:val="ConsPlusNormal"/>
            </w:pPr>
          </w:p>
        </w:tc>
        <w:tc>
          <w:tcPr>
            <w:tcW w:w="1304" w:type="dxa"/>
            <w:vAlign w:val="center"/>
          </w:tcPr>
          <w:p w14:paraId="065610C7" w14:textId="77777777" w:rsidR="00454A29" w:rsidRDefault="00454A29">
            <w:pPr>
              <w:pStyle w:val="ConsPlusNormal"/>
            </w:pPr>
          </w:p>
        </w:tc>
        <w:tc>
          <w:tcPr>
            <w:tcW w:w="1304" w:type="dxa"/>
            <w:vAlign w:val="center"/>
          </w:tcPr>
          <w:p w14:paraId="2ECE5C4A" w14:textId="77777777" w:rsidR="00454A29" w:rsidRDefault="00454A29">
            <w:pPr>
              <w:pStyle w:val="ConsPlusNormal"/>
            </w:pPr>
          </w:p>
        </w:tc>
        <w:tc>
          <w:tcPr>
            <w:tcW w:w="1304" w:type="dxa"/>
            <w:vAlign w:val="center"/>
          </w:tcPr>
          <w:p w14:paraId="3DB74CFD" w14:textId="77777777" w:rsidR="00454A29" w:rsidRDefault="00454A29">
            <w:pPr>
              <w:pStyle w:val="ConsPlusNormal"/>
            </w:pPr>
          </w:p>
        </w:tc>
      </w:tr>
      <w:tr w:rsidR="00454A29" w14:paraId="474024D7" w14:textId="77777777">
        <w:tc>
          <w:tcPr>
            <w:tcW w:w="2041" w:type="dxa"/>
            <w:vMerge w:val="restart"/>
            <w:vAlign w:val="center"/>
          </w:tcPr>
          <w:p w14:paraId="7F851216" w14:textId="77777777" w:rsidR="00454A29" w:rsidRDefault="00454A29">
            <w:pPr>
              <w:pStyle w:val="ConsPlusNormal"/>
              <w:jc w:val="center"/>
            </w:pPr>
            <w:r>
              <w:t>Основное мероприятие 3.4.</w:t>
            </w:r>
          </w:p>
        </w:tc>
        <w:tc>
          <w:tcPr>
            <w:tcW w:w="3005" w:type="dxa"/>
            <w:vMerge w:val="restart"/>
            <w:vAlign w:val="center"/>
          </w:tcPr>
          <w:p w14:paraId="2F13C8A2" w14:textId="77777777" w:rsidR="00454A29" w:rsidRDefault="00454A29">
            <w:pPr>
              <w:pStyle w:val="ConsPlusNormal"/>
              <w:jc w:val="center"/>
            </w:pPr>
            <w:r>
              <w:t>Развитие региональной системы дополнительного профессионального образования и профессионального обучения</w:t>
            </w:r>
          </w:p>
        </w:tc>
        <w:tc>
          <w:tcPr>
            <w:tcW w:w="2778" w:type="dxa"/>
            <w:vAlign w:val="center"/>
          </w:tcPr>
          <w:p w14:paraId="2504C565" w14:textId="77777777" w:rsidR="00454A29" w:rsidRDefault="00454A29">
            <w:pPr>
              <w:pStyle w:val="ConsPlusNormal"/>
            </w:pPr>
            <w:r>
              <w:t>Всего:</w:t>
            </w:r>
          </w:p>
        </w:tc>
        <w:tc>
          <w:tcPr>
            <w:tcW w:w="1304" w:type="dxa"/>
            <w:vAlign w:val="center"/>
          </w:tcPr>
          <w:p w14:paraId="431585AA" w14:textId="77777777" w:rsidR="00454A29" w:rsidRDefault="00454A29">
            <w:pPr>
              <w:pStyle w:val="ConsPlusNormal"/>
              <w:jc w:val="right"/>
            </w:pPr>
            <w:r>
              <w:t>231 293</w:t>
            </w:r>
          </w:p>
        </w:tc>
        <w:tc>
          <w:tcPr>
            <w:tcW w:w="1247" w:type="dxa"/>
            <w:vAlign w:val="center"/>
          </w:tcPr>
          <w:p w14:paraId="2BB599A9" w14:textId="77777777" w:rsidR="00454A29" w:rsidRDefault="00454A29">
            <w:pPr>
              <w:pStyle w:val="ConsPlusNormal"/>
              <w:jc w:val="right"/>
            </w:pPr>
            <w:r>
              <w:t>231 293</w:t>
            </w:r>
          </w:p>
        </w:tc>
        <w:tc>
          <w:tcPr>
            <w:tcW w:w="1304" w:type="dxa"/>
            <w:vAlign w:val="center"/>
          </w:tcPr>
          <w:p w14:paraId="70D4A622" w14:textId="77777777" w:rsidR="00454A29" w:rsidRDefault="00454A29">
            <w:pPr>
              <w:pStyle w:val="ConsPlusNormal"/>
              <w:jc w:val="right"/>
            </w:pPr>
            <w:r>
              <w:t>231 293</w:t>
            </w:r>
          </w:p>
        </w:tc>
        <w:tc>
          <w:tcPr>
            <w:tcW w:w="1304" w:type="dxa"/>
            <w:vAlign w:val="center"/>
          </w:tcPr>
          <w:p w14:paraId="28F659F8" w14:textId="77777777" w:rsidR="00454A29" w:rsidRDefault="00454A29">
            <w:pPr>
              <w:pStyle w:val="ConsPlusNormal"/>
              <w:jc w:val="right"/>
            </w:pPr>
            <w:r>
              <w:t>236 432</w:t>
            </w:r>
          </w:p>
        </w:tc>
        <w:tc>
          <w:tcPr>
            <w:tcW w:w="1304" w:type="dxa"/>
            <w:vAlign w:val="center"/>
          </w:tcPr>
          <w:p w14:paraId="0DE63D10" w14:textId="77777777" w:rsidR="00454A29" w:rsidRDefault="00454A29">
            <w:pPr>
              <w:pStyle w:val="ConsPlusNormal"/>
              <w:jc w:val="right"/>
            </w:pPr>
            <w:r>
              <w:t>236 432</w:t>
            </w:r>
          </w:p>
        </w:tc>
        <w:tc>
          <w:tcPr>
            <w:tcW w:w="1304" w:type="dxa"/>
            <w:vAlign w:val="center"/>
          </w:tcPr>
          <w:p w14:paraId="54C14A9B" w14:textId="77777777" w:rsidR="00454A29" w:rsidRDefault="00454A29">
            <w:pPr>
              <w:pStyle w:val="ConsPlusNormal"/>
              <w:jc w:val="right"/>
            </w:pPr>
            <w:r>
              <w:t>-</w:t>
            </w:r>
          </w:p>
        </w:tc>
        <w:tc>
          <w:tcPr>
            <w:tcW w:w="1304" w:type="dxa"/>
            <w:vAlign w:val="center"/>
          </w:tcPr>
          <w:p w14:paraId="1657F434" w14:textId="77777777" w:rsidR="00454A29" w:rsidRDefault="00454A29">
            <w:pPr>
              <w:pStyle w:val="ConsPlusNormal"/>
              <w:jc w:val="right"/>
            </w:pPr>
            <w:r>
              <w:t>-</w:t>
            </w:r>
          </w:p>
        </w:tc>
      </w:tr>
      <w:tr w:rsidR="00454A29" w14:paraId="6A356EB0" w14:textId="77777777">
        <w:tc>
          <w:tcPr>
            <w:tcW w:w="2041" w:type="dxa"/>
            <w:vMerge/>
          </w:tcPr>
          <w:p w14:paraId="02D21D8E" w14:textId="77777777" w:rsidR="00454A29" w:rsidRDefault="00454A29"/>
        </w:tc>
        <w:tc>
          <w:tcPr>
            <w:tcW w:w="3005" w:type="dxa"/>
            <w:vMerge/>
          </w:tcPr>
          <w:p w14:paraId="51C49512" w14:textId="77777777" w:rsidR="00454A29" w:rsidRDefault="00454A29"/>
        </w:tc>
        <w:tc>
          <w:tcPr>
            <w:tcW w:w="2778" w:type="dxa"/>
            <w:vAlign w:val="center"/>
          </w:tcPr>
          <w:p w14:paraId="7D97AE20" w14:textId="77777777" w:rsidR="00454A29" w:rsidRDefault="00454A29">
            <w:pPr>
              <w:pStyle w:val="ConsPlusNormal"/>
            </w:pPr>
            <w:r>
              <w:t>Государственный бюджет Республики Саха (Якутия)</w:t>
            </w:r>
          </w:p>
        </w:tc>
        <w:tc>
          <w:tcPr>
            <w:tcW w:w="1304" w:type="dxa"/>
            <w:vAlign w:val="center"/>
          </w:tcPr>
          <w:p w14:paraId="3F00099F" w14:textId="77777777" w:rsidR="00454A29" w:rsidRDefault="00454A29">
            <w:pPr>
              <w:pStyle w:val="ConsPlusNormal"/>
              <w:jc w:val="right"/>
            </w:pPr>
            <w:r>
              <w:t>204 693</w:t>
            </w:r>
          </w:p>
        </w:tc>
        <w:tc>
          <w:tcPr>
            <w:tcW w:w="1247" w:type="dxa"/>
            <w:vAlign w:val="center"/>
          </w:tcPr>
          <w:p w14:paraId="7F7DE64F" w14:textId="77777777" w:rsidR="00454A29" w:rsidRDefault="00454A29">
            <w:pPr>
              <w:pStyle w:val="ConsPlusNormal"/>
              <w:jc w:val="right"/>
            </w:pPr>
            <w:r>
              <w:t>204 693</w:t>
            </w:r>
          </w:p>
        </w:tc>
        <w:tc>
          <w:tcPr>
            <w:tcW w:w="1304" w:type="dxa"/>
            <w:vAlign w:val="center"/>
          </w:tcPr>
          <w:p w14:paraId="1BF964D4" w14:textId="77777777" w:rsidR="00454A29" w:rsidRDefault="00454A29">
            <w:pPr>
              <w:pStyle w:val="ConsPlusNormal"/>
              <w:jc w:val="right"/>
            </w:pPr>
            <w:r>
              <w:t>204 693</w:t>
            </w:r>
          </w:p>
        </w:tc>
        <w:tc>
          <w:tcPr>
            <w:tcW w:w="1304" w:type="dxa"/>
            <w:vAlign w:val="center"/>
          </w:tcPr>
          <w:p w14:paraId="499DE3DE" w14:textId="77777777" w:rsidR="00454A29" w:rsidRDefault="00454A29">
            <w:pPr>
              <w:pStyle w:val="ConsPlusNormal"/>
              <w:jc w:val="right"/>
            </w:pPr>
            <w:r>
              <w:t>209 832</w:t>
            </w:r>
          </w:p>
        </w:tc>
        <w:tc>
          <w:tcPr>
            <w:tcW w:w="1304" w:type="dxa"/>
            <w:vAlign w:val="center"/>
          </w:tcPr>
          <w:p w14:paraId="493BA718" w14:textId="77777777" w:rsidR="00454A29" w:rsidRDefault="00454A29">
            <w:pPr>
              <w:pStyle w:val="ConsPlusNormal"/>
              <w:jc w:val="right"/>
            </w:pPr>
            <w:r>
              <w:t>209 832</w:t>
            </w:r>
          </w:p>
        </w:tc>
        <w:tc>
          <w:tcPr>
            <w:tcW w:w="1304" w:type="dxa"/>
            <w:vAlign w:val="center"/>
          </w:tcPr>
          <w:p w14:paraId="10862FB2" w14:textId="77777777" w:rsidR="00454A29" w:rsidRDefault="00454A29">
            <w:pPr>
              <w:pStyle w:val="ConsPlusNormal"/>
              <w:jc w:val="right"/>
            </w:pPr>
            <w:r>
              <w:t>-</w:t>
            </w:r>
          </w:p>
        </w:tc>
        <w:tc>
          <w:tcPr>
            <w:tcW w:w="1304" w:type="dxa"/>
            <w:vAlign w:val="center"/>
          </w:tcPr>
          <w:p w14:paraId="06E06954" w14:textId="77777777" w:rsidR="00454A29" w:rsidRDefault="00454A29">
            <w:pPr>
              <w:pStyle w:val="ConsPlusNormal"/>
              <w:jc w:val="right"/>
            </w:pPr>
            <w:r>
              <w:t>-</w:t>
            </w:r>
          </w:p>
        </w:tc>
      </w:tr>
      <w:tr w:rsidR="00454A29" w14:paraId="61BB52F2" w14:textId="77777777">
        <w:tc>
          <w:tcPr>
            <w:tcW w:w="2041" w:type="dxa"/>
            <w:vMerge/>
          </w:tcPr>
          <w:p w14:paraId="1EE45877" w14:textId="77777777" w:rsidR="00454A29" w:rsidRDefault="00454A29"/>
        </w:tc>
        <w:tc>
          <w:tcPr>
            <w:tcW w:w="3005" w:type="dxa"/>
            <w:vMerge/>
          </w:tcPr>
          <w:p w14:paraId="392290BE" w14:textId="77777777" w:rsidR="00454A29" w:rsidRDefault="00454A29"/>
        </w:tc>
        <w:tc>
          <w:tcPr>
            <w:tcW w:w="2778" w:type="dxa"/>
            <w:vAlign w:val="center"/>
          </w:tcPr>
          <w:p w14:paraId="7E1795BF" w14:textId="77777777" w:rsidR="00454A29" w:rsidRDefault="00454A29">
            <w:pPr>
              <w:pStyle w:val="ConsPlusNormal"/>
            </w:pPr>
            <w:r>
              <w:t>Федеральный бюджет</w:t>
            </w:r>
          </w:p>
        </w:tc>
        <w:tc>
          <w:tcPr>
            <w:tcW w:w="1304" w:type="dxa"/>
            <w:vAlign w:val="center"/>
          </w:tcPr>
          <w:p w14:paraId="69D8C096" w14:textId="77777777" w:rsidR="00454A29" w:rsidRDefault="00454A29">
            <w:pPr>
              <w:pStyle w:val="ConsPlusNormal"/>
            </w:pPr>
          </w:p>
        </w:tc>
        <w:tc>
          <w:tcPr>
            <w:tcW w:w="1247" w:type="dxa"/>
            <w:vAlign w:val="center"/>
          </w:tcPr>
          <w:p w14:paraId="3B61329A" w14:textId="77777777" w:rsidR="00454A29" w:rsidRDefault="00454A29">
            <w:pPr>
              <w:pStyle w:val="ConsPlusNormal"/>
            </w:pPr>
          </w:p>
        </w:tc>
        <w:tc>
          <w:tcPr>
            <w:tcW w:w="1304" w:type="dxa"/>
            <w:vAlign w:val="center"/>
          </w:tcPr>
          <w:p w14:paraId="1ADF1E4E" w14:textId="77777777" w:rsidR="00454A29" w:rsidRDefault="00454A29">
            <w:pPr>
              <w:pStyle w:val="ConsPlusNormal"/>
            </w:pPr>
          </w:p>
        </w:tc>
        <w:tc>
          <w:tcPr>
            <w:tcW w:w="1304" w:type="dxa"/>
            <w:vAlign w:val="center"/>
          </w:tcPr>
          <w:p w14:paraId="7C9A6070" w14:textId="77777777" w:rsidR="00454A29" w:rsidRDefault="00454A29">
            <w:pPr>
              <w:pStyle w:val="ConsPlusNormal"/>
            </w:pPr>
          </w:p>
        </w:tc>
        <w:tc>
          <w:tcPr>
            <w:tcW w:w="1304" w:type="dxa"/>
            <w:vAlign w:val="center"/>
          </w:tcPr>
          <w:p w14:paraId="49729B2D" w14:textId="77777777" w:rsidR="00454A29" w:rsidRDefault="00454A29">
            <w:pPr>
              <w:pStyle w:val="ConsPlusNormal"/>
            </w:pPr>
          </w:p>
        </w:tc>
        <w:tc>
          <w:tcPr>
            <w:tcW w:w="1304" w:type="dxa"/>
            <w:vAlign w:val="center"/>
          </w:tcPr>
          <w:p w14:paraId="4CB7FC2B" w14:textId="77777777" w:rsidR="00454A29" w:rsidRDefault="00454A29">
            <w:pPr>
              <w:pStyle w:val="ConsPlusNormal"/>
            </w:pPr>
          </w:p>
        </w:tc>
        <w:tc>
          <w:tcPr>
            <w:tcW w:w="1304" w:type="dxa"/>
            <w:vAlign w:val="center"/>
          </w:tcPr>
          <w:p w14:paraId="4951C9E6" w14:textId="77777777" w:rsidR="00454A29" w:rsidRDefault="00454A29">
            <w:pPr>
              <w:pStyle w:val="ConsPlusNormal"/>
            </w:pPr>
          </w:p>
        </w:tc>
      </w:tr>
      <w:tr w:rsidR="00454A29" w14:paraId="032F7C5C" w14:textId="77777777">
        <w:tc>
          <w:tcPr>
            <w:tcW w:w="2041" w:type="dxa"/>
            <w:vMerge/>
          </w:tcPr>
          <w:p w14:paraId="6A69F84F" w14:textId="77777777" w:rsidR="00454A29" w:rsidRDefault="00454A29"/>
        </w:tc>
        <w:tc>
          <w:tcPr>
            <w:tcW w:w="3005" w:type="dxa"/>
            <w:vMerge/>
          </w:tcPr>
          <w:p w14:paraId="7E67EC33" w14:textId="77777777" w:rsidR="00454A29" w:rsidRDefault="00454A29"/>
        </w:tc>
        <w:tc>
          <w:tcPr>
            <w:tcW w:w="2778" w:type="dxa"/>
            <w:vAlign w:val="center"/>
          </w:tcPr>
          <w:p w14:paraId="73DD6A3E" w14:textId="77777777" w:rsidR="00454A29" w:rsidRDefault="00454A29">
            <w:pPr>
              <w:pStyle w:val="ConsPlusNormal"/>
            </w:pPr>
            <w:r>
              <w:t>Местные бюджеты</w:t>
            </w:r>
          </w:p>
        </w:tc>
        <w:tc>
          <w:tcPr>
            <w:tcW w:w="1304" w:type="dxa"/>
            <w:vAlign w:val="center"/>
          </w:tcPr>
          <w:p w14:paraId="1041C756" w14:textId="77777777" w:rsidR="00454A29" w:rsidRDefault="00454A29">
            <w:pPr>
              <w:pStyle w:val="ConsPlusNormal"/>
            </w:pPr>
          </w:p>
        </w:tc>
        <w:tc>
          <w:tcPr>
            <w:tcW w:w="1247" w:type="dxa"/>
            <w:vAlign w:val="center"/>
          </w:tcPr>
          <w:p w14:paraId="4688D6A1" w14:textId="77777777" w:rsidR="00454A29" w:rsidRDefault="00454A29">
            <w:pPr>
              <w:pStyle w:val="ConsPlusNormal"/>
            </w:pPr>
          </w:p>
        </w:tc>
        <w:tc>
          <w:tcPr>
            <w:tcW w:w="1304" w:type="dxa"/>
            <w:vAlign w:val="center"/>
          </w:tcPr>
          <w:p w14:paraId="0A9EB4A9" w14:textId="77777777" w:rsidR="00454A29" w:rsidRDefault="00454A29">
            <w:pPr>
              <w:pStyle w:val="ConsPlusNormal"/>
            </w:pPr>
          </w:p>
        </w:tc>
        <w:tc>
          <w:tcPr>
            <w:tcW w:w="1304" w:type="dxa"/>
            <w:vAlign w:val="center"/>
          </w:tcPr>
          <w:p w14:paraId="05856687" w14:textId="77777777" w:rsidR="00454A29" w:rsidRDefault="00454A29">
            <w:pPr>
              <w:pStyle w:val="ConsPlusNormal"/>
            </w:pPr>
          </w:p>
        </w:tc>
        <w:tc>
          <w:tcPr>
            <w:tcW w:w="1304" w:type="dxa"/>
            <w:vAlign w:val="center"/>
          </w:tcPr>
          <w:p w14:paraId="69BB062F" w14:textId="77777777" w:rsidR="00454A29" w:rsidRDefault="00454A29">
            <w:pPr>
              <w:pStyle w:val="ConsPlusNormal"/>
            </w:pPr>
          </w:p>
        </w:tc>
        <w:tc>
          <w:tcPr>
            <w:tcW w:w="1304" w:type="dxa"/>
            <w:vAlign w:val="center"/>
          </w:tcPr>
          <w:p w14:paraId="46E91B4E" w14:textId="77777777" w:rsidR="00454A29" w:rsidRDefault="00454A29">
            <w:pPr>
              <w:pStyle w:val="ConsPlusNormal"/>
            </w:pPr>
          </w:p>
        </w:tc>
        <w:tc>
          <w:tcPr>
            <w:tcW w:w="1304" w:type="dxa"/>
            <w:vAlign w:val="center"/>
          </w:tcPr>
          <w:p w14:paraId="77C95E31" w14:textId="77777777" w:rsidR="00454A29" w:rsidRDefault="00454A29">
            <w:pPr>
              <w:pStyle w:val="ConsPlusNormal"/>
            </w:pPr>
          </w:p>
        </w:tc>
      </w:tr>
      <w:tr w:rsidR="00454A29" w14:paraId="6E7A4BA7" w14:textId="77777777">
        <w:tc>
          <w:tcPr>
            <w:tcW w:w="2041" w:type="dxa"/>
            <w:vMerge/>
          </w:tcPr>
          <w:p w14:paraId="4FC280F4" w14:textId="77777777" w:rsidR="00454A29" w:rsidRDefault="00454A29"/>
        </w:tc>
        <w:tc>
          <w:tcPr>
            <w:tcW w:w="3005" w:type="dxa"/>
            <w:vMerge/>
          </w:tcPr>
          <w:p w14:paraId="73D9FEEF" w14:textId="77777777" w:rsidR="00454A29" w:rsidRDefault="00454A29"/>
        </w:tc>
        <w:tc>
          <w:tcPr>
            <w:tcW w:w="2778" w:type="dxa"/>
            <w:vAlign w:val="center"/>
          </w:tcPr>
          <w:p w14:paraId="0D16160E" w14:textId="77777777" w:rsidR="00454A29" w:rsidRDefault="00454A29">
            <w:pPr>
              <w:pStyle w:val="ConsPlusNormal"/>
            </w:pPr>
            <w:r>
              <w:t>Внебюджетные средства</w:t>
            </w:r>
          </w:p>
        </w:tc>
        <w:tc>
          <w:tcPr>
            <w:tcW w:w="1304" w:type="dxa"/>
            <w:vAlign w:val="center"/>
          </w:tcPr>
          <w:p w14:paraId="2358DB0C" w14:textId="77777777" w:rsidR="00454A29" w:rsidRDefault="00454A29">
            <w:pPr>
              <w:pStyle w:val="ConsPlusNormal"/>
              <w:jc w:val="right"/>
            </w:pPr>
            <w:r>
              <w:t>26 600</w:t>
            </w:r>
          </w:p>
        </w:tc>
        <w:tc>
          <w:tcPr>
            <w:tcW w:w="1247" w:type="dxa"/>
            <w:vAlign w:val="center"/>
          </w:tcPr>
          <w:p w14:paraId="22D82B89" w14:textId="77777777" w:rsidR="00454A29" w:rsidRDefault="00454A29">
            <w:pPr>
              <w:pStyle w:val="ConsPlusNormal"/>
              <w:jc w:val="right"/>
            </w:pPr>
            <w:r>
              <w:t>26 600</w:t>
            </w:r>
          </w:p>
        </w:tc>
        <w:tc>
          <w:tcPr>
            <w:tcW w:w="1304" w:type="dxa"/>
            <w:vAlign w:val="center"/>
          </w:tcPr>
          <w:p w14:paraId="5A0AE7E2" w14:textId="77777777" w:rsidR="00454A29" w:rsidRDefault="00454A29">
            <w:pPr>
              <w:pStyle w:val="ConsPlusNormal"/>
              <w:jc w:val="right"/>
            </w:pPr>
            <w:r>
              <w:t>26 600</w:t>
            </w:r>
          </w:p>
        </w:tc>
        <w:tc>
          <w:tcPr>
            <w:tcW w:w="1304" w:type="dxa"/>
            <w:vAlign w:val="center"/>
          </w:tcPr>
          <w:p w14:paraId="6F6E9D05" w14:textId="77777777" w:rsidR="00454A29" w:rsidRDefault="00454A29">
            <w:pPr>
              <w:pStyle w:val="ConsPlusNormal"/>
              <w:jc w:val="right"/>
            </w:pPr>
            <w:r>
              <w:t>26 600</w:t>
            </w:r>
          </w:p>
        </w:tc>
        <w:tc>
          <w:tcPr>
            <w:tcW w:w="1304" w:type="dxa"/>
            <w:vAlign w:val="center"/>
          </w:tcPr>
          <w:p w14:paraId="018AB372" w14:textId="77777777" w:rsidR="00454A29" w:rsidRDefault="00454A29">
            <w:pPr>
              <w:pStyle w:val="ConsPlusNormal"/>
              <w:jc w:val="right"/>
            </w:pPr>
            <w:r>
              <w:t>26 600</w:t>
            </w:r>
          </w:p>
        </w:tc>
        <w:tc>
          <w:tcPr>
            <w:tcW w:w="1304" w:type="dxa"/>
            <w:vAlign w:val="center"/>
          </w:tcPr>
          <w:p w14:paraId="4112BBCF" w14:textId="77777777" w:rsidR="00454A29" w:rsidRDefault="00454A29">
            <w:pPr>
              <w:pStyle w:val="ConsPlusNormal"/>
              <w:jc w:val="right"/>
            </w:pPr>
            <w:r>
              <w:t>-</w:t>
            </w:r>
          </w:p>
        </w:tc>
        <w:tc>
          <w:tcPr>
            <w:tcW w:w="1304" w:type="dxa"/>
            <w:vAlign w:val="center"/>
          </w:tcPr>
          <w:p w14:paraId="06BBD22A" w14:textId="77777777" w:rsidR="00454A29" w:rsidRDefault="00454A29">
            <w:pPr>
              <w:pStyle w:val="ConsPlusNormal"/>
            </w:pPr>
          </w:p>
        </w:tc>
      </w:tr>
      <w:tr w:rsidR="00454A29" w14:paraId="2A567A60" w14:textId="77777777">
        <w:tc>
          <w:tcPr>
            <w:tcW w:w="2041" w:type="dxa"/>
            <w:vMerge w:val="restart"/>
            <w:vAlign w:val="center"/>
          </w:tcPr>
          <w:p w14:paraId="64B540EC" w14:textId="77777777" w:rsidR="00454A29" w:rsidRDefault="00454A29">
            <w:pPr>
              <w:pStyle w:val="ConsPlusNormal"/>
              <w:jc w:val="center"/>
            </w:pPr>
            <w:r>
              <w:t xml:space="preserve">Основное </w:t>
            </w:r>
            <w:r>
              <w:lastRenderedPageBreak/>
              <w:t>мероприятие 3.5.</w:t>
            </w:r>
          </w:p>
        </w:tc>
        <w:tc>
          <w:tcPr>
            <w:tcW w:w="3005" w:type="dxa"/>
            <w:vMerge w:val="restart"/>
            <w:vAlign w:val="center"/>
          </w:tcPr>
          <w:p w14:paraId="1888964C" w14:textId="77777777" w:rsidR="00454A29" w:rsidRDefault="00454A29">
            <w:pPr>
              <w:pStyle w:val="ConsPlusNormal"/>
              <w:jc w:val="center"/>
            </w:pPr>
            <w:r>
              <w:lastRenderedPageBreak/>
              <w:t xml:space="preserve">Подготовка </w:t>
            </w:r>
            <w:r>
              <w:lastRenderedPageBreak/>
              <w:t>квалифицированных кадров на условиях целевого обучения в российских и международных научно-образовательных центрах, передовых инновационных организациях</w:t>
            </w:r>
          </w:p>
        </w:tc>
        <w:tc>
          <w:tcPr>
            <w:tcW w:w="2778" w:type="dxa"/>
            <w:vAlign w:val="center"/>
          </w:tcPr>
          <w:p w14:paraId="4AFA9F0D" w14:textId="77777777" w:rsidR="00454A29" w:rsidRDefault="00454A29">
            <w:pPr>
              <w:pStyle w:val="ConsPlusNormal"/>
            </w:pPr>
            <w:r>
              <w:lastRenderedPageBreak/>
              <w:t>Всего:</w:t>
            </w:r>
          </w:p>
        </w:tc>
        <w:tc>
          <w:tcPr>
            <w:tcW w:w="1304" w:type="dxa"/>
            <w:vAlign w:val="center"/>
          </w:tcPr>
          <w:p w14:paraId="0BB48D78" w14:textId="77777777" w:rsidR="00454A29" w:rsidRDefault="00454A29">
            <w:pPr>
              <w:pStyle w:val="ConsPlusNormal"/>
              <w:jc w:val="right"/>
            </w:pPr>
            <w:r>
              <w:t>281 506</w:t>
            </w:r>
          </w:p>
        </w:tc>
        <w:tc>
          <w:tcPr>
            <w:tcW w:w="1247" w:type="dxa"/>
            <w:vAlign w:val="center"/>
          </w:tcPr>
          <w:p w14:paraId="28A3DC9B" w14:textId="77777777" w:rsidR="00454A29" w:rsidRDefault="00454A29">
            <w:pPr>
              <w:pStyle w:val="ConsPlusNormal"/>
              <w:jc w:val="right"/>
            </w:pPr>
            <w:r>
              <w:t>281 506</w:t>
            </w:r>
          </w:p>
        </w:tc>
        <w:tc>
          <w:tcPr>
            <w:tcW w:w="1304" w:type="dxa"/>
            <w:vAlign w:val="center"/>
          </w:tcPr>
          <w:p w14:paraId="31530000" w14:textId="77777777" w:rsidR="00454A29" w:rsidRDefault="00454A29">
            <w:pPr>
              <w:pStyle w:val="ConsPlusNormal"/>
              <w:jc w:val="right"/>
            </w:pPr>
            <w:r>
              <w:t>281 506</w:t>
            </w:r>
          </w:p>
        </w:tc>
        <w:tc>
          <w:tcPr>
            <w:tcW w:w="1304" w:type="dxa"/>
            <w:vAlign w:val="center"/>
          </w:tcPr>
          <w:p w14:paraId="5833C3BC" w14:textId="77777777" w:rsidR="00454A29" w:rsidRDefault="00454A29">
            <w:pPr>
              <w:pStyle w:val="ConsPlusNormal"/>
              <w:jc w:val="right"/>
            </w:pPr>
            <w:r>
              <w:t>281 506</w:t>
            </w:r>
          </w:p>
        </w:tc>
        <w:tc>
          <w:tcPr>
            <w:tcW w:w="1304" w:type="dxa"/>
            <w:vAlign w:val="center"/>
          </w:tcPr>
          <w:p w14:paraId="54E8E4ED" w14:textId="77777777" w:rsidR="00454A29" w:rsidRDefault="00454A29">
            <w:pPr>
              <w:pStyle w:val="ConsPlusNormal"/>
              <w:jc w:val="right"/>
            </w:pPr>
            <w:r>
              <w:t>281 506</w:t>
            </w:r>
          </w:p>
        </w:tc>
        <w:tc>
          <w:tcPr>
            <w:tcW w:w="1304" w:type="dxa"/>
            <w:vAlign w:val="center"/>
          </w:tcPr>
          <w:p w14:paraId="05A34BF1" w14:textId="77777777" w:rsidR="00454A29" w:rsidRDefault="00454A29">
            <w:pPr>
              <w:pStyle w:val="ConsPlusNormal"/>
              <w:jc w:val="right"/>
            </w:pPr>
            <w:r>
              <w:t>-</w:t>
            </w:r>
          </w:p>
        </w:tc>
        <w:tc>
          <w:tcPr>
            <w:tcW w:w="1304" w:type="dxa"/>
            <w:vAlign w:val="center"/>
          </w:tcPr>
          <w:p w14:paraId="64A508FB" w14:textId="77777777" w:rsidR="00454A29" w:rsidRDefault="00454A29">
            <w:pPr>
              <w:pStyle w:val="ConsPlusNormal"/>
              <w:jc w:val="right"/>
            </w:pPr>
            <w:r>
              <w:t>-</w:t>
            </w:r>
          </w:p>
        </w:tc>
      </w:tr>
      <w:tr w:rsidR="00454A29" w14:paraId="7F2AB1F7" w14:textId="77777777">
        <w:tc>
          <w:tcPr>
            <w:tcW w:w="2041" w:type="dxa"/>
            <w:vMerge/>
          </w:tcPr>
          <w:p w14:paraId="52A16BA6" w14:textId="77777777" w:rsidR="00454A29" w:rsidRDefault="00454A29"/>
        </w:tc>
        <w:tc>
          <w:tcPr>
            <w:tcW w:w="3005" w:type="dxa"/>
            <w:vMerge/>
          </w:tcPr>
          <w:p w14:paraId="15AB90AE" w14:textId="77777777" w:rsidR="00454A29" w:rsidRDefault="00454A29"/>
        </w:tc>
        <w:tc>
          <w:tcPr>
            <w:tcW w:w="2778" w:type="dxa"/>
            <w:vAlign w:val="center"/>
          </w:tcPr>
          <w:p w14:paraId="71DA20B9" w14:textId="77777777" w:rsidR="00454A29" w:rsidRDefault="00454A29">
            <w:pPr>
              <w:pStyle w:val="ConsPlusNormal"/>
            </w:pPr>
            <w:r>
              <w:t>Государственный бюджет Республики Саха (Якутия)</w:t>
            </w:r>
          </w:p>
        </w:tc>
        <w:tc>
          <w:tcPr>
            <w:tcW w:w="1304" w:type="dxa"/>
            <w:vAlign w:val="center"/>
          </w:tcPr>
          <w:p w14:paraId="58265E47" w14:textId="77777777" w:rsidR="00454A29" w:rsidRDefault="00454A29">
            <w:pPr>
              <w:pStyle w:val="ConsPlusNormal"/>
              <w:jc w:val="right"/>
            </w:pPr>
            <w:r>
              <w:t>281 506</w:t>
            </w:r>
          </w:p>
        </w:tc>
        <w:tc>
          <w:tcPr>
            <w:tcW w:w="1247" w:type="dxa"/>
            <w:vAlign w:val="center"/>
          </w:tcPr>
          <w:p w14:paraId="52FBBA69" w14:textId="77777777" w:rsidR="00454A29" w:rsidRDefault="00454A29">
            <w:pPr>
              <w:pStyle w:val="ConsPlusNormal"/>
              <w:jc w:val="right"/>
            </w:pPr>
            <w:r>
              <w:t>281 506</w:t>
            </w:r>
          </w:p>
        </w:tc>
        <w:tc>
          <w:tcPr>
            <w:tcW w:w="1304" w:type="dxa"/>
            <w:vAlign w:val="center"/>
          </w:tcPr>
          <w:p w14:paraId="1E2B2836" w14:textId="77777777" w:rsidR="00454A29" w:rsidRDefault="00454A29">
            <w:pPr>
              <w:pStyle w:val="ConsPlusNormal"/>
              <w:jc w:val="right"/>
            </w:pPr>
            <w:r>
              <w:t>281 506</w:t>
            </w:r>
          </w:p>
        </w:tc>
        <w:tc>
          <w:tcPr>
            <w:tcW w:w="1304" w:type="dxa"/>
            <w:vAlign w:val="center"/>
          </w:tcPr>
          <w:p w14:paraId="78B25FD4" w14:textId="77777777" w:rsidR="00454A29" w:rsidRDefault="00454A29">
            <w:pPr>
              <w:pStyle w:val="ConsPlusNormal"/>
              <w:jc w:val="right"/>
            </w:pPr>
            <w:r>
              <w:t>281 506</w:t>
            </w:r>
          </w:p>
        </w:tc>
        <w:tc>
          <w:tcPr>
            <w:tcW w:w="1304" w:type="dxa"/>
            <w:vAlign w:val="center"/>
          </w:tcPr>
          <w:p w14:paraId="6E133B67" w14:textId="77777777" w:rsidR="00454A29" w:rsidRDefault="00454A29">
            <w:pPr>
              <w:pStyle w:val="ConsPlusNormal"/>
              <w:jc w:val="right"/>
            </w:pPr>
            <w:r>
              <w:t>281 506</w:t>
            </w:r>
          </w:p>
        </w:tc>
        <w:tc>
          <w:tcPr>
            <w:tcW w:w="1304" w:type="dxa"/>
            <w:vAlign w:val="center"/>
          </w:tcPr>
          <w:p w14:paraId="72DAD421" w14:textId="77777777" w:rsidR="00454A29" w:rsidRDefault="00454A29">
            <w:pPr>
              <w:pStyle w:val="ConsPlusNormal"/>
              <w:jc w:val="right"/>
            </w:pPr>
            <w:r>
              <w:t>-</w:t>
            </w:r>
          </w:p>
        </w:tc>
        <w:tc>
          <w:tcPr>
            <w:tcW w:w="1304" w:type="dxa"/>
            <w:vAlign w:val="center"/>
          </w:tcPr>
          <w:p w14:paraId="5008DD9D" w14:textId="77777777" w:rsidR="00454A29" w:rsidRDefault="00454A29">
            <w:pPr>
              <w:pStyle w:val="ConsPlusNormal"/>
              <w:jc w:val="right"/>
            </w:pPr>
            <w:r>
              <w:t>-</w:t>
            </w:r>
          </w:p>
        </w:tc>
      </w:tr>
      <w:tr w:rsidR="00454A29" w14:paraId="2872F23D" w14:textId="77777777">
        <w:tc>
          <w:tcPr>
            <w:tcW w:w="2041" w:type="dxa"/>
            <w:vMerge/>
          </w:tcPr>
          <w:p w14:paraId="23FA3A15" w14:textId="77777777" w:rsidR="00454A29" w:rsidRDefault="00454A29"/>
        </w:tc>
        <w:tc>
          <w:tcPr>
            <w:tcW w:w="3005" w:type="dxa"/>
            <w:vMerge/>
          </w:tcPr>
          <w:p w14:paraId="5192FA17" w14:textId="77777777" w:rsidR="00454A29" w:rsidRDefault="00454A29"/>
        </w:tc>
        <w:tc>
          <w:tcPr>
            <w:tcW w:w="2778" w:type="dxa"/>
            <w:vAlign w:val="center"/>
          </w:tcPr>
          <w:p w14:paraId="0E91229E" w14:textId="77777777" w:rsidR="00454A29" w:rsidRDefault="00454A29">
            <w:pPr>
              <w:pStyle w:val="ConsPlusNormal"/>
            </w:pPr>
            <w:r>
              <w:t>Федеральный бюджет</w:t>
            </w:r>
          </w:p>
        </w:tc>
        <w:tc>
          <w:tcPr>
            <w:tcW w:w="1304" w:type="dxa"/>
            <w:vAlign w:val="center"/>
          </w:tcPr>
          <w:p w14:paraId="70E9CE34" w14:textId="77777777" w:rsidR="00454A29" w:rsidRDefault="00454A29">
            <w:pPr>
              <w:pStyle w:val="ConsPlusNormal"/>
            </w:pPr>
          </w:p>
        </w:tc>
        <w:tc>
          <w:tcPr>
            <w:tcW w:w="1247" w:type="dxa"/>
            <w:vAlign w:val="center"/>
          </w:tcPr>
          <w:p w14:paraId="549893AE" w14:textId="77777777" w:rsidR="00454A29" w:rsidRDefault="00454A29">
            <w:pPr>
              <w:pStyle w:val="ConsPlusNormal"/>
            </w:pPr>
          </w:p>
        </w:tc>
        <w:tc>
          <w:tcPr>
            <w:tcW w:w="1304" w:type="dxa"/>
            <w:vAlign w:val="center"/>
          </w:tcPr>
          <w:p w14:paraId="7C665E89" w14:textId="77777777" w:rsidR="00454A29" w:rsidRDefault="00454A29">
            <w:pPr>
              <w:pStyle w:val="ConsPlusNormal"/>
            </w:pPr>
          </w:p>
        </w:tc>
        <w:tc>
          <w:tcPr>
            <w:tcW w:w="1304" w:type="dxa"/>
            <w:vAlign w:val="center"/>
          </w:tcPr>
          <w:p w14:paraId="7E45B649" w14:textId="77777777" w:rsidR="00454A29" w:rsidRDefault="00454A29">
            <w:pPr>
              <w:pStyle w:val="ConsPlusNormal"/>
            </w:pPr>
          </w:p>
        </w:tc>
        <w:tc>
          <w:tcPr>
            <w:tcW w:w="1304" w:type="dxa"/>
            <w:vAlign w:val="center"/>
          </w:tcPr>
          <w:p w14:paraId="536F0CEC" w14:textId="77777777" w:rsidR="00454A29" w:rsidRDefault="00454A29">
            <w:pPr>
              <w:pStyle w:val="ConsPlusNormal"/>
            </w:pPr>
          </w:p>
        </w:tc>
        <w:tc>
          <w:tcPr>
            <w:tcW w:w="1304" w:type="dxa"/>
            <w:vAlign w:val="center"/>
          </w:tcPr>
          <w:p w14:paraId="664FA40E" w14:textId="77777777" w:rsidR="00454A29" w:rsidRDefault="00454A29">
            <w:pPr>
              <w:pStyle w:val="ConsPlusNormal"/>
            </w:pPr>
          </w:p>
        </w:tc>
        <w:tc>
          <w:tcPr>
            <w:tcW w:w="1304" w:type="dxa"/>
            <w:vAlign w:val="center"/>
          </w:tcPr>
          <w:p w14:paraId="1855A3A0" w14:textId="77777777" w:rsidR="00454A29" w:rsidRDefault="00454A29">
            <w:pPr>
              <w:pStyle w:val="ConsPlusNormal"/>
            </w:pPr>
          </w:p>
        </w:tc>
      </w:tr>
      <w:tr w:rsidR="00454A29" w14:paraId="7A3C05A5" w14:textId="77777777">
        <w:tc>
          <w:tcPr>
            <w:tcW w:w="2041" w:type="dxa"/>
            <w:vMerge/>
          </w:tcPr>
          <w:p w14:paraId="5CC3E214" w14:textId="77777777" w:rsidR="00454A29" w:rsidRDefault="00454A29"/>
        </w:tc>
        <w:tc>
          <w:tcPr>
            <w:tcW w:w="3005" w:type="dxa"/>
            <w:vMerge/>
          </w:tcPr>
          <w:p w14:paraId="61C503E3" w14:textId="77777777" w:rsidR="00454A29" w:rsidRDefault="00454A29"/>
        </w:tc>
        <w:tc>
          <w:tcPr>
            <w:tcW w:w="2778" w:type="dxa"/>
            <w:vAlign w:val="center"/>
          </w:tcPr>
          <w:p w14:paraId="5E330783" w14:textId="77777777" w:rsidR="00454A29" w:rsidRDefault="00454A29">
            <w:pPr>
              <w:pStyle w:val="ConsPlusNormal"/>
            </w:pPr>
            <w:r>
              <w:t>Местные бюджеты</w:t>
            </w:r>
          </w:p>
        </w:tc>
        <w:tc>
          <w:tcPr>
            <w:tcW w:w="1304" w:type="dxa"/>
            <w:vAlign w:val="center"/>
          </w:tcPr>
          <w:p w14:paraId="66B40394" w14:textId="77777777" w:rsidR="00454A29" w:rsidRDefault="00454A29">
            <w:pPr>
              <w:pStyle w:val="ConsPlusNormal"/>
            </w:pPr>
          </w:p>
        </w:tc>
        <w:tc>
          <w:tcPr>
            <w:tcW w:w="1247" w:type="dxa"/>
            <w:vAlign w:val="center"/>
          </w:tcPr>
          <w:p w14:paraId="22FA408D" w14:textId="77777777" w:rsidR="00454A29" w:rsidRDefault="00454A29">
            <w:pPr>
              <w:pStyle w:val="ConsPlusNormal"/>
            </w:pPr>
          </w:p>
        </w:tc>
        <w:tc>
          <w:tcPr>
            <w:tcW w:w="1304" w:type="dxa"/>
            <w:vAlign w:val="center"/>
          </w:tcPr>
          <w:p w14:paraId="758B1765" w14:textId="77777777" w:rsidR="00454A29" w:rsidRDefault="00454A29">
            <w:pPr>
              <w:pStyle w:val="ConsPlusNormal"/>
            </w:pPr>
          </w:p>
        </w:tc>
        <w:tc>
          <w:tcPr>
            <w:tcW w:w="1304" w:type="dxa"/>
            <w:vAlign w:val="center"/>
          </w:tcPr>
          <w:p w14:paraId="740D640A" w14:textId="77777777" w:rsidR="00454A29" w:rsidRDefault="00454A29">
            <w:pPr>
              <w:pStyle w:val="ConsPlusNormal"/>
            </w:pPr>
          </w:p>
        </w:tc>
        <w:tc>
          <w:tcPr>
            <w:tcW w:w="1304" w:type="dxa"/>
            <w:vAlign w:val="center"/>
          </w:tcPr>
          <w:p w14:paraId="40C3D8A1" w14:textId="77777777" w:rsidR="00454A29" w:rsidRDefault="00454A29">
            <w:pPr>
              <w:pStyle w:val="ConsPlusNormal"/>
            </w:pPr>
          </w:p>
        </w:tc>
        <w:tc>
          <w:tcPr>
            <w:tcW w:w="1304" w:type="dxa"/>
            <w:vAlign w:val="center"/>
          </w:tcPr>
          <w:p w14:paraId="345A8237" w14:textId="77777777" w:rsidR="00454A29" w:rsidRDefault="00454A29">
            <w:pPr>
              <w:pStyle w:val="ConsPlusNormal"/>
            </w:pPr>
          </w:p>
        </w:tc>
        <w:tc>
          <w:tcPr>
            <w:tcW w:w="1304" w:type="dxa"/>
            <w:vAlign w:val="center"/>
          </w:tcPr>
          <w:p w14:paraId="0F4236C6" w14:textId="77777777" w:rsidR="00454A29" w:rsidRDefault="00454A29">
            <w:pPr>
              <w:pStyle w:val="ConsPlusNormal"/>
            </w:pPr>
          </w:p>
        </w:tc>
      </w:tr>
      <w:tr w:rsidR="00454A29" w14:paraId="00000215" w14:textId="77777777">
        <w:tc>
          <w:tcPr>
            <w:tcW w:w="2041" w:type="dxa"/>
            <w:vMerge/>
          </w:tcPr>
          <w:p w14:paraId="6BB1823A" w14:textId="77777777" w:rsidR="00454A29" w:rsidRDefault="00454A29"/>
        </w:tc>
        <w:tc>
          <w:tcPr>
            <w:tcW w:w="3005" w:type="dxa"/>
            <w:vMerge/>
          </w:tcPr>
          <w:p w14:paraId="13DDCB82" w14:textId="77777777" w:rsidR="00454A29" w:rsidRDefault="00454A29"/>
        </w:tc>
        <w:tc>
          <w:tcPr>
            <w:tcW w:w="2778" w:type="dxa"/>
            <w:vAlign w:val="center"/>
          </w:tcPr>
          <w:p w14:paraId="3ED4E503" w14:textId="77777777" w:rsidR="00454A29" w:rsidRDefault="00454A29">
            <w:pPr>
              <w:pStyle w:val="ConsPlusNormal"/>
            </w:pPr>
            <w:r>
              <w:t>Внебюджетные средства</w:t>
            </w:r>
          </w:p>
        </w:tc>
        <w:tc>
          <w:tcPr>
            <w:tcW w:w="1304" w:type="dxa"/>
            <w:vAlign w:val="center"/>
          </w:tcPr>
          <w:p w14:paraId="08627311" w14:textId="77777777" w:rsidR="00454A29" w:rsidRDefault="00454A29">
            <w:pPr>
              <w:pStyle w:val="ConsPlusNormal"/>
            </w:pPr>
          </w:p>
        </w:tc>
        <w:tc>
          <w:tcPr>
            <w:tcW w:w="1247" w:type="dxa"/>
            <w:vAlign w:val="center"/>
          </w:tcPr>
          <w:p w14:paraId="43E517E3" w14:textId="77777777" w:rsidR="00454A29" w:rsidRDefault="00454A29">
            <w:pPr>
              <w:pStyle w:val="ConsPlusNormal"/>
            </w:pPr>
          </w:p>
        </w:tc>
        <w:tc>
          <w:tcPr>
            <w:tcW w:w="1304" w:type="dxa"/>
            <w:vAlign w:val="center"/>
          </w:tcPr>
          <w:p w14:paraId="46D22898" w14:textId="77777777" w:rsidR="00454A29" w:rsidRDefault="00454A29">
            <w:pPr>
              <w:pStyle w:val="ConsPlusNormal"/>
            </w:pPr>
          </w:p>
        </w:tc>
        <w:tc>
          <w:tcPr>
            <w:tcW w:w="1304" w:type="dxa"/>
            <w:vAlign w:val="center"/>
          </w:tcPr>
          <w:p w14:paraId="076C33DA" w14:textId="77777777" w:rsidR="00454A29" w:rsidRDefault="00454A29">
            <w:pPr>
              <w:pStyle w:val="ConsPlusNormal"/>
            </w:pPr>
          </w:p>
        </w:tc>
        <w:tc>
          <w:tcPr>
            <w:tcW w:w="1304" w:type="dxa"/>
            <w:vAlign w:val="center"/>
          </w:tcPr>
          <w:p w14:paraId="5D0DE37F" w14:textId="77777777" w:rsidR="00454A29" w:rsidRDefault="00454A29">
            <w:pPr>
              <w:pStyle w:val="ConsPlusNormal"/>
            </w:pPr>
          </w:p>
        </w:tc>
        <w:tc>
          <w:tcPr>
            <w:tcW w:w="1304" w:type="dxa"/>
            <w:vAlign w:val="center"/>
          </w:tcPr>
          <w:p w14:paraId="78DD6CE7" w14:textId="77777777" w:rsidR="00454A29" w:rsidRDefault="00454A29">
            <w:pPr>
              <w:pStyle w:val="ConsPlusNormal"/>
            </w:pPr>
          </w:p>
        </w:tc>
        <w:tc>
          <w:tcPr>
            <w:tcW w:w="1304" w:type="dxa"/>
            <w:vAlign w:val="center"/>
          </w:tcPr>
          <w:p w14:paraId="61A7DE17" w14:textId="77777777" w:rsidR="00454A29" w:rsidRDefault="00454A29">
            <w:pPr>
              <w:pStyle w:val="ConsPlusNormal"/>
            </w:pPr>
          </w:p>
        </w:tc>
      </w:tr>
      <w:tr w:rsidR="00454A29" w14:paraId="3769ACCB" w14:textId="77777777">
        <w:tc>
          <w:tcPr>
            <w:tcW w:w="2041" w:type="dxa"/>
            <w:vMerge w:val="restart"/>
            <w:vAlign w:val="center"/>
          </w:tcPr>
          <w:p w14:paraId="1B5C9E6C" w14:textId="77777777" w:rsidR="00454A29" w:rsidRDefault="00454A29">
            <w:pPr>
              <w:pStyle w:val="ConsPlusNormal"/>
              <w:jc w:val="center"/>
            </w:pPr>
            <w:r>
              <w:t>Основное мероприятие 3.6.</w:t>
            </w:r>
          </w:p>
        </w:tc>
        <w:tc>
          <w:tcPr>
            <w:tcW w:w="3005" w:type="dxa"/>
            <w:vMerge w:val="restart"/>
            <w:vAlign w:val="center"/>
          </w:tcPr>
          <w:p w14:paraId="4B3650F4" w14:textId="77777777" w:rsidR="00454A29" w:rsidRDefault="00454A29">
            <w:pPr>
              <w:pStyle w:val="ConsPlusNormal"/>
              <w:jc w:val="center"/>
            </w:pPr>
            <w:r>
              <w:t>Реализация регионального проекта "Цифровая образовательная среда"</w:t>
            </w:r>
          </w:p>
        </w:tc>
        <w:tc>
          <w:tcPr>
            <w:tcW w:w="2778" w:type="dxa"/>
            <w:vAlign w:val="center"/>
          </w:tcPr>
          <w:p w14:paraId="7DCC7F59" w14:textId="77777777" w:rsidR="00454A29" w:rsidRDefault="00454A29">
            <w:pPr>
              <w:pStyle w:val="ConsPlusNormal"/>
            </w:pPr>
            <w:r>
              <w:t>Всего:</w:t>
            </w:r>
          </w:p>
        </w:tc>
        <w:tc>
          <w:tcPr>
            <w:tcW w:w="1304" w:type="dxa"/>
            <w:vAlign w:val="center"/>
          </w:tcPr>
          <w:p w14:paraId="293E69F3" w14:textId="77777777" w:rsidR="00454A29" w:rsidRDefault="00454A29">
            <w:pPr>
              <w:pStyle w:val="ConsPlusNormal"/>
              <w:jc w:val="right"/>
            </w:pPr>
            <w:r>
              <w:t>2 437,01</w:t>
            </w:r>
          </w:p>
        </w:tc>
        <w:tc>
          <w:tcPr>
            <w:tcW w:w="1247" w:type="dxa"/>
            <w:vAlign w:val="center"/>
          </w:tcPr>
          <w:p w14:paraId="5A73696A" w14:textId="77777777" w:rsidR="00454A29" w:rsidRDefault="00454A29">
            <w:pPr>
              <w:pStyle w:val="ConsPlusNormal"/>
              <w:jc w:val="right"/>
            </w:pPr>
            <w:r>
              <w:t>1 656,89</w:t>
            </w:r>
          </w:p>
        </w:tc>
        <w:tc>
          <w:tcPr>
            <w:tcW w:w="1304" w:type="dxa"/>
            <w:vAlign w:val="center"/>
          </w:tcPr>
          <w:p w14:paraId="189FF50E" w14:textId="77777777" w:rsidR="00454A29" w:rsidRDefault="00454A29">
            <w:pPr>
              <w:pStyle w:val="ConsPlusNormal"/>
              <w:jc w:val="right"/>
            </w:pPr>
            <w:r>
              <w:t>205,90</w:t>
            </w:r>
          </w:p>
        </w:tc>
        <w:tc>
          <w:tcPr>
            <w:tcW w:w="1304" w:type="dxa"/>
            <w:vAlign w:val="center"/>
          </w:tcPr>
          <w:p w14:paraId="4B88E2FE" w14:textId="77777777" w:rsidR="00454A29" w:rsidRDefault="00454A29">
            <w:pPr>
              <w:pStyle w:val="ConsPlusNormal"/>
              <w:jc w:val="right"/>
            </w:pPr>
            <w:r>
              <w:t>-</w:t>
            </w:r>
          </w:p>
        </w:tc>
        <w:tc>
          <w:tcPr>
            <w:tcW w:w="1304" w:type="dxa"/>
            <w:vAlign w:val="center"/>
          </w:tcPr>
          <w:p w14:paraId="5D78F9FF" w14:textId="77777777" w:rsidR="00454A29" w:rsidRDefault="00454A29">
            <w:pPr>
              <w:pStyle w:val="ConsPlusNormal"/>
              <w:jc w:val="right"/>
            </w:pPr>
            <w:r>
              <w:t>-</w:t>
            </w:r>
          </w:p>
        </w:tc>
        <w:tc>
          <w:tcPr>
            <w:tcW w:w="1304" w:type="dxa"/>
            <w:vAlign w:val="center"/>
          </w:tcPr>
          <w:p w14:paraId="051B8FAB" w14:textId="77777777" w:rsidR="00454A29" w:rsidRDefault="00454A29">
            <w:pPr>
              <w:pStyle w:val="ConsPlusNormal"/>
              <w:jc w:val="right"/>
            </w:pPr>
            <w:r>
              <w:t>-</w:t>
            </w:r>
          </w:p>
        </w:tc>
        <w:tc>
          <w:tcPr>
            <w:tcW w:w="1304" w:type="dxa"/>
            <w:vAlign w:val="center"/>
          </w:tcPr>
          <w:p w14:paraId="0D635968" w14:textId="77777777" w:rsidR="00454A29" w:rsidRDefault="00454A29">
            <w:pPr>
              <w:pStyle w:val="ConsPlusNormal"/>
              <w:jc w:val="right"/>
            </w:pPr>
            <w:r>
              <w:t>-</w:t>
            </w:r>
          </w:p>
        </w:tc>
      </w:tr>
      <w:tr w:rsidR="00454A29" w14:paraId="40314BC0" w14:textId="77777777">
        <w:tc>
          <w:tcPr>
            <w:tcW w:w="2041" w:type="dxa"/>
            <w:vMerge/>
          </w:tcPr>
          <w:p w14:paraId="6C16C28F" w14:textId="77777777" w:rsidR="00454A29" w:rsidRDefault="00454A29"/>
        </w:tc>
        <w:tc>
          <w:tcPr>
            <w:tcW w:w="3005" w:type="dxa"/>
            <w:vMerge/>
          </w:tcPr>
          <w:p w14:paraId="4032C77C" w14:textId="77777777" w:rsidR="00454A29" w:rsidRDefault="00454A29"/>
        </w:tc>
        <w:tc>
          <w:tcPr>
            <w:tcW w:w="2778" w:type="dxa"/>
            <w:vAlign w:val="center"/>
          </w:tcPr>
          <w:p w14:paraId="771BAA4C" w14:textId="77777777" w:rsidR="00454A29" w:rsidRDefault="00454A29">
            <w:pPr>
              <w:pStyle w:val="ConsPlusNormal"/>
            </w:pPr>
            <w:r>
              <w:t>Государственный бюджет Республики Саха (Якутия)</w:t>
            </w:r>
          </w:p>
        </w:tc>
        <w:tc>
          <w:tcPr>
            <w:tcW w:w="1304" w:type="dxa"/>
            <w:vAlign w:val="center"/>
          </w:tcPr>
          <w:p w14:paraId="7B612608" w14:textId="77777777" w:rsidR="00454A29" w:rsidRDefault="00454A29">
            <w:pPr>
              <w:pStyle w:val="ConsPlusNormal"/>
              <w:jc w:val="right"/>
            </w:pPr>
            <w:r>
              <w:t>2 437,01</w:t>
            </w:r>
          </w:p>
        </w:tc>
        <w:tc>
          <w:tcPr>
            <w:tcW w:w="1247" w:type="dxa"/>
            <w:vAlign w:val="center"/>
          </w:tcPr>
          <w:p w14:paraId="58FD0DFF" w14:textId="77777777" w:rsidR="00454A29" w:rsidRDefault="00454A29">
            <w:pPr>
              <w:pStyle w:val="ConsPlusNormal"/>
              <w:jc w:val="right"/>
            </w:pPr>
            <w:r>
              <w:t>1 656,89</w:t>
            </w:r>
          </w:p>
        </w:tc>
        <w:tc>
          <w:tcPr>
            <w:tcW w:w="1304" w:type="dxa"/>
            <w:vAlign w:val="center"/>
          </w:tcPr>
          <w:p w14:paraId="7F0ECAAC" w14:textId="77777777" w:rsidR="00454A29" w:rsidRDefault="00454A29">
            <w:pPr>
              <w:pStyle w:val="ConsPlusNormal"/>
              <w:jc w:val="right"/>
            </w:pPr>
            <w:r>
              <w:t>205,90</w:t>
            </w:r>
          </w:p>
        </w:tc>
        <w:tc>
          <w:tcPr>
            <w:tcW w:w="1304" w:type="dxa"/>
            <w:vAlign w:val="center"/>
          </w:tcPr>
          <w:p w14:paraId="75821CEC" w14:textId="77777777" w:rsidR="00454A29" w:rsidRDefault="00454A29">
            <w:pPr>
              <w:pStyle w:val="ConsPlusNormal"/>
            </w:pPr>
          </w:p>
        </w:tc>
        <w:tc>
          <w:tcPr>
            <w:tcW w:w="1304" w:type="dxa"/>
            <w:vAlign w:val="center"/>
          </w:tcPr>
          <w:p w14:paraId="1B9C6E11" w14:textId="77777777" w:rsidR="00454A29" w:rsidRDefault="00454A29">
            <w:pPr>
              <w:pStyle w:val="ConsPlusNormal"/>
            </w:pPr>
          </w:p>
        </w:tc>
        <w:tc>
          <w:tcPr>
            <w:tcW w:w="1304" w:type="dxa"/>
            <w:vAlign w:val="center"/>
          </w:tcPr>
          <w:p w14:paraId="5B373E0B" w14:textId="77777777" w:rsidR="00454A29" w:rsidRDefault="00454A29">
            <w:pPr>
              <w:pStyle w:val="ConsPlusNormal"/>
            </w:pPr>
          </w:p>
        </w:tc>
        <w:tc>
          <w:tcPr>
            <w:tcW w:w="1304" w:type="dxa"/>
            <w:vAlign w:val="center"/>
          </w:tcPr>
          <w:p w14:paraId="71540ADA" w14:textId="77777777" w:rsidR="00454A29" w:rsidRDefault="00454A29">
            <w:pPr>
              <w:pStyle w:val="ConsPlusNormal"/>
            </w:pPr>
          </w:p>
        </w:tc>
      </w:tr>
      <w:tr w:rsidR="00454A29" w14:paraId="13D5988C" w14:textId="77777777">
        <w:tc>
          <w:tcPr>
            <w:tcW w:w="2041" w:type="dxa"/>
            <w:vMerge/>
          </w:tcPr>
          <w:p w14:paraId="3E33D6A6" w14:textId="77777777" w:rsidR="00454A29" w:rsidRDefault="00454A29"/>
        </w:tc>
        <w:tc>
          <w:tcPr>
            <w:tcW w:w="3005" w:type="dxa"/>
            <w:vMerge/>
          </w:tcPr>
          <w:p w14:paraId="65BE663C" w14:textId="77777777" w:rsidR="00454A29" w:rsidRDefault="00454A29"/>
        </w:tc>
        <w:tc>
          <w:tcPr>
            <w:tcW w:w="2778" w:type="dxa"/>
            <w:vAlign w:val="center"/>
          </w:tcPr>
          <w:p w14:paraId="5464F405" w14:textId="77777777" w:rsidR="00454A29" w:rsidRDefault="00454A29">
            <w:pPr>
              <w:pStyle w:val="ConsPlusNormal"/>
            </w:pPr>
            <w:r>
              <w:t>Федеральный бюджет</w:t>
            </w:r>
          </w:p>
        </w:tc>
        <w:tc>
          <w:tcPr>
            <w:tcW w:w="1304" w:type="dxa"/>
            <w:vAlign w:val="center"/>
          </w:tcPr>
          <w:p w14:paraId="3FF2570E" w14:textId="77777777" w:rsidR="00454A29" w:rsidRDefault="00454A29">
            <w:pPr>
              <w:pStyle w:val="ConsPlusNormal"/>
            </w:pPr>
          </w:p>
        </w:tc>
        <w:tc>
          <w:tcPr>
            <w:tcW w:w="1247" w:type="dxa"/>
            <w:vAlign w:val="center"/>
          </w:tcPr>
          <w:p w14:paraId="4F029BDC" w14:textId="77777777" w:rsidR="00454A29" w:rsidRDefault="00454A29">
            <w:pPr>
              <w:pStyle w:val="ConsPlusNormal"/>
            </w:pPr>
          </w:p>
        </w:tc>
        <w:tc>
          <w:tcPr>
            <w:tcW w:w="1304" w:type="dxa"/>
            <w:vAlign w:val="center"/>
          </w:tcPr>
          <w:p w14:paraId="322236B7" w14:textId="77777777" w:rsidR="00454A29" w:rsidRDefault="00454A29">
            <w:pPr>
              <w:pStyle w:val="ConsPlusNormal"/>
            </w:pPr>
          </w:p>
        </w:tc>
        <w:tc>
          <w:tcPr>
            <w:tcW w:w="1304" w:type="dxa"/>
            <w:vAlign w:val="center"/>
          </w:tcPr>
          <w:p w14:paraId="6599E49E" w14:textId="77777777" w:rsidR="00454A29" w:rsidRDefault="00454A29">
            <w:pPr>
              <w:pStyle w:val="ConsPlusNormal"/>
            </w:pPr>
          </w:p>
        </w:tc>
        <w:tc>
          <w:tcPr>
            <w:tcW w:w="1304" w:type="dxa"/>
            <w:vAlign w:val="center"/>
          </w:tcPr>
          <w:p w14:paraId="5BE46EF1" w14:textId="77777777" w:rsidR="00454A29" w:rsidRDefault="00454A29">
            <w:pPr>
              <w:pStyle w:val="ConsPlusNormal"/>
            </w:pPr>
          </w:p>
        </w:tc>
        <w:tc>
          <w:tcPr>
            <w:tcW w:w="1304" w:type="dxa"/>
            <w:vAlign w:val="center"/>
          </w:tcPr>
          <w:p w14:paraId="21560204" w14:textId="77777777" w:rsidR="00454A29" w:rsidRDefault="00454A29">
            <w:pPr>
              <w:pStyle w:val="ConsPlusNormal"/>
            </w:pPr>
          </w:p>
        </w:tc>
        <w:tc>
          <w:tcPr>
            <w:tcW w:w="1304" w:type="dxa"/>
            <w:vAlign w:val="center"/>
          </w:tcPr>
          <w:p w14:paraId="7B98111E" w14:textId="77777777" w:rsidR="00454A29" w:rsidRDefault="00454A29">
            <w:pPr>
              <w:pStyle w:val="ConsPlusNormal"/>
            </w:pPr>
          </w:p>
        </w:tc>
      </w:tr>
      <w:tr w:rsidR="00454A29" w14:paraId="158A4A13" w14:textId="77777777">
        <w:tc>
          <w:tcPr>
            <w:tcW w:w="2041" w:type="dxa"/>
            <w:vMerge/>
          </w:tcPr>
          <w:p w14:paraId="0449F506" w14:textId="77777777" w:rsidR="00454A29" w:rsidRDefault="00454A29"/>
        </w:tc>
        <w:tc>
          <w:tcPr>
            <w:tcW w:w="3005" w:type="dxa"/>
            <w:vMerge/>
          </w:tcPr>
          <w:p w14:paraId="2449A991" w14:textId="77777777" w:rsidR="00454A29" w:rsidRDefault="00454A29"/>
        </w:tc>
        <w:tc>
          <w:tcPr>
            <w:tcW w:w="2778" w:type="dxa"/>
            <w:vAlign w:val="center"/>
          </w:tcPr>
          <w:p w14:paraId="38FAF6F8" w14:textId="77777777" w:rsidR="00454A29" w:rsidRDefault="00454A29">
            <w:pPr>
              <w:pStyle w:val="ConsPlusNormal"/>
            </w:pPr>
            <w:r>
              <w:t>Местные бюджеты</w:t>
            </w:r>
          </w:p>
        </w:tc>
        <w:tc>
          <w:tcPr>
            <w:tcW w:w="1304" w:type="dxa"/>
            <w:vAlign w:val="center"/>
          </w:tcPr>
          <w:p w14:paraId="0EE15306" w14:textId="77777777" w:rsidR="00454A29" w:rsidRDefault="00454A29">
            <w:pPr>
              <w:pStyle w:val="ConsPlusNormal"/>
            </w:pPr>
          </w:p>
        </w:tc>
        <w:tc>
          <w:tcPr>
            <w:tcW w:w="1247" w:type="dxa"/>
            <w:vAlign w:val="center"/>
          </w:tcPr>
          <w:p w14:paraId="753AD93B" w14:textId="77777777" w:rsidR="00454A29" w:rsidRDefault="00454A29">
            <w:pPr>
              <w:pStyle w:val="ConsPlusNormal"/>
            </w:pPr>
          </w:p>
        </w:tc>
        <w:tc>
          <w:tcPr>
            <w:tcW w:w="1304" w:type="dxa"/>
            <w:vAlign w:val="center"/>
          </w:tcPr>
          <w:p w14:paraId="6DAC9448" w14:textId="77777777" w:rsidR="00454A29" w:rsidRDefault="00454A29">
            <w:pPr>
              <w:pStyle w:val="ConsPlusNormal"/>
            </w:pPr>
          </w:p>
        </w:tc>
        <w:tc>
          <w:tcPr>
            <w:tcW w:w="1304" w:type="dxa"/>
            <w:vAlign w:val="center"/>
          </w:tcPr>
          <w:p w14:paraId="10C18512" w14:textId="77777777" w:rsidR="00454A29" w:rsidRDefault="00454A29">
            <w:pPr>
              <w:pStyle w:val="ConsPlusNormal"/>
            </w:pPr>
          </w:p>
        </w:tc>
        <w:tc>
          <w:tcPr>
            <w:tcW w:w="1304" w:type="dxa"/>
            <w:vAlign w:val="center"/>
          </w:tcPr>
          <w:p w14:paraId="6B1AC134" w14:textId="77777777" w:rsidR="00454A29" w:rsidRDefault="00454A29">
            <w:pPr>
              <w:pStyle w:val="ConsPlusNormal"/>
            </w:pPr>
          </w:p>
        </w:tc>
        <w:tc>
          <w:tcPr>
            <w:tcW w:w="1304" w:type="dxa"/>
            <w:vAlign w:val="center"/>
          </w:tcPr>
          <w:p w14:paraId="7C72D489" w14:textId="77777777" w:rsidR="00454A29" w:rsidRDefault="00454A29">
            <w:pPr>
              <w:pStyle w:val="ConsPlusNormal"/>
            </w:pPr>
          </w:p>
        </w:tc>
        <w:tc>
          <w:tcPr>
            <w:tcW w:w="1304" w:type="dxa"/>
            <w:vAlign w:val="center"/>
          </w:tcPr>
          <w:p w14:paraId="5C50744B" w14:textId="77777777" w:rsidR="00454A29" w:rsidRDefault="00454A29">
            <w:pPr>
              <w:pStyle w:val="ConsPlusNormal"/>
            </w:pPr>
          </w:p>
        </w:tc>
      </w:tr>
      <w:tr w:rsidR="00454A29" w14:paraId="04F8B9B5" w14:textId="77777777">
        <w:tc>
          <w:tcPr>
            <w:tcW w:w="2041" w:type="dxa"/>
            <w:vMerge/>
          </w:tcPr>
          <w:p w14:paraId="754872CC" w14:textId="77777777" w:rsidR="00454A29" w:rsidRDefault="00454A29"/>
        </w:tc>
        <w:tc>
          <w:tcPr>
            <w:tcW w:w="3005" w:type="dxa"/>
            <w:vMerge/>
          </w:tcPr>
          <w:p w14:paraId="7768E947" w14:textId="77777777" w:rsidR="00454A29" w:rsidRDefault="00454A29"/>
        </w:tc>
        <w:tc>
          <w:tcPr>
            <w:tcW w:w="2778" w:type="dxa"/>
            <w:vAlign w:val="center"/>
          </w:tcPr>
          <w:p w14:paraId="0ECA3BA9" w14:textId="77777777" w:rsidR="00454A29" w:rsidRDefault="00454A29">
            <w:pPr>
              <w:pStyle w:val="ConsPlusNormal"/>
            </w:pPr>
            <w:r>
              <w:t>Внебюджетные средства</w:t>
            </w:r>
          </w:p>
        </w:tc>
        <w:tc>
          <w:tcPr>
            <w:tcW w:w="1304" w:type="dxa"/>
            <w:vAlign w:val="center"/>
          </w:tcPr>
          <w:p w14:paraId="7F5F8766" w14:textId="77777777" w:rsidR="00454A29" w:rsidRDefault="00454A29">
            <w:pPr>
              <w:pStyle w:val="ConsPlusNormal"/>
            </w:pPr>
          </w:p>
        </w:tc>
        <w:tc>
          <w:tcPr>
            <w:tcW w:w="1247" w:type="dxa"/>
            <w:vAlign w:val="center"/>
          </w:tcPr>
          <w:p w14:paraId="0EDA5F6D" w14:textId="77777777" w:rsidR="00454A29" w:rsidRDefault="00454A29">
            <w:pPr>
              <w:pStyle w:val="ConsPlusNormal"/>
            </w:pPr>
          </w:p>
        </w:tc>
        <w:tc>
          <w:tcPr>
            <w:tcW w:w="1304" w:type="dxa"/>
            <w:vAlign w:val="center"/>
          </w:tcPr>
          <w:p w14:paraId="6A8B8660" w14:textId="77777777" w:rsidR="00454A29" w:rsidRDefault="00454A29">
            <w:pPr>
              <w:pStyle w:val="ConsPlusNormal"/>
            </w:pPr>
          </w:p>
        </w:tc>
        <w:tc>
          <w:tcPr>
            <w:tcW w:w="1304" w:type="dxa"/>
            <w:vAlign w:val="center"/>
          </w:tcPr>
          <w:p w14:paraId="05AF1068" w14:textId="77777777" w:rsidR="00454A29" w:rsidRDefault="00454A29">
            <w:pPr>
              <w:pStyle w:val="ConsPlusNormal"/>
            </w:pPr>
          </w:p>
        </w:tc>
        <w:tc>
          <w:tcPr>
            <w:tcW w:w="1304" w:type="dxa"/>
            <w:vAlign w:val="center"/>
          </w:tcPr>
          <w:p w14:paraId="28151F1A" w14:textId="77777777" w:rsidR="00454A29" w:rsidRDefault="00454A29">
            <w:pPr>
              <w:pStyle w:val="ConsPlusNormal"/>
            </w:pPr>
          </w:p>
        </w:tc>
        <w:tc>
          <w:tcPr>
            <w:tcW w:w="1304" w:type="dxa"/>
            <w:vAlign w:val="center"/>
          </w:tcPr>
          <w:p w14:paraId="4D57008F" w14:textId="77777777" w:rsidR="00454A29" w:rsidRDefault="00454A29">
            <w:pPr>
              <w:pStyle w:val="ConsPlusNormal"/>
            </w:pPr>
          </w:p>
        </w:tc>
        <w:tc>
          <w:tcPr>
            <w:tcW w:w="1304" w:type="dxa"/>
            <w:vAlign w:val="center"/>
          </w:tcPr>
          <w:p w14:paraId="1DBD5F2B" w14:textId="77777777" w:rsidR="00454A29" w:rsidRDefault="00454A29">
            <w:pPr>
              <w:pStyle w:val="ConsPlusNormal"/>
            </w:pPr>
          </w:p>
        </w:tc>
      </w:tr>
      <w:tr w:rsidR="00454A29" w14:paraId="7E4E3C99" w14:textId="77777777">
        <w:tc>
          <w:tcPr>
            <w:tcW w:w="2041" w:type="dxa"/>
            <w:vMerge w:val="restart"/>
            <w:vAlign w:val="center"/>
          </w:tcPr>
          <w:p w14:paraId="54F91A5D" w14:textId="77777777" w:rsidR="00454A29" w:rsidRDefault="00454A29">
            <w:pPr>
              <w:pStyle w:val="ConsPlusNormal"/>
              <w:jc w:val="center"/>
            </w:pPr>
            <w:r>
              <w:t>Основное мероприятие 3.7.</w:t>
            </w:r>
          </w:p>
        </w:tc>
        <w:tc>
          <w:tcPr>
            <w:tcW w:w="3005" w:type="dxa"/>
            <w:vMerge w:val="restart"/>
            <w:vAlign w:val="center"/>
          </w:tcPr>
          <w:p w14:paraId="737531CE" w14:textId="77777777" w:rsidR="00454A29" w:rsidRDefault="00454A29">
            <w:pPr>
              <w:pStyle w:val="ConsPlusNormal"/>
              <w:jc w:val="center"/>
            </w:pPr>
            <w:r>
              <w:t>Реализация регионального проекта "Молодые профессионалы (Повышение конкурентоспособности профессионального образования)"</w:t>
            </w:r>
          </w:p>
        </w:tc>
        <w:tc>
          <w:tcPr>
            <w:tcW w:w="2778" w:type="dxa"/>
            <w:vAlign w:val="center"/>
          </w:tcPr>
          <w:p w14:paraId="7204ABBC" w14:textId="77777777" w:rsidR="00454A29" w:rsidRDefault="00454A29">
            <w:pPr>
              <w:pStyle w:val="ConsPlusNormal"/>
            </w:pPr>
            <w:r>
              <w:t>Всего:</w:t>
            </w:r>
          </w:p>
        </w:tc>
        <w:tc>
          <w:tcPr>
            <w:tcW w:w="1304" w:type="dxa"/>
            <w:vAlign w:val="center"/>
          </w:tcPr>
          <w:p w14:paraId="383D4DE6" w14:textId="77777777" w:rsidR="00454A29" w:rsidRDefault="00454A29">
            <w:pPr>
              <w:pStyle w:val="ConsPlusNormal"/>
              <w:jc w:val="right"/>
            </w:pPr>
            <w:r>
              <w:t>57 314,06</w:t>
            </w:r>
          </w:p>
        </w:tc>
        <w:tc>
          <w:tcPr>
            <w:tcW w:w="1247" w:type="dxa"/>
            <w:vAlign w:val="center"/>
          </w:tcPr>
          <w:p w14:paraId="22E23B1C" w14:textId="77777777" w:rsidR="00454A29" w:rsidRDefault="00454A29">
            <w:pPr>
              <w:pStyle w:val="ConsPlusNormal"/>
              <w:jc w:val="right"/>
            </w:pPr>
            <w:r>
              <w:t>-</w:t>
            </w:r>
          </w:p>
        </w:tc>
        <w:tc>
          <w:tcPr>
            <w:tcW w:w="1304" w:type="dxa"/>
            <w:vAlign w:val="center"/>
          </w:tcPr>
          <w:p w14:paraId="5C0270BF" w14:textId="77777777" w:rsidR="00454A29" w:rsidRDefault="00454A29">
            <w:pPr>
              <w:pStyle w:val="ConsPlusNormal"/>
              <w:jc w:val="right"/>
            </w:pPr>
            <w:r>
              <w:t>-</w:t>
            </w:r>
          </w:p>
        </w:tc>
        <w:tc>
          <w:tcPr>
            <w:tcW w:w="1304" w:type="dxa"/>
            <w:vAlign w:val="center"/>
          </w:tcPr>
          <w:p w14:paraId="64AC257A" w14:textId="77777777" w:rsidR="00454A29" w:rsidRDefault="00454A29">
            <w:pPr>
              <w:pStyle w:val="ConsPlusNormal"/>
              <w:jc w:val="right"/>
            </w:pPr>
            <w:r>
              <w:t>-</w:t>
            </w:r>
          </w:p>
        </w:tc>
        <w:tc>
          <w:tcPr>
            <w:tcW w:w="1304" w:type="dxa"/>
            <w:vAlign w:val="center"/>
          </w:tcPr>
          <w:p w14:paraId="3B26AE36" w14:textId="77777777" w:rsidR="00454A29" w:rsidRDefault="00454A29">
            <w:pPr>
              <w:pStyle w:val="ConsPlusNormal"/>
              <w:jc w:val="right"/>
            </w:pPr>
            <w:r>
              <w:t>-</w:t>
            </w:r>
          </w:p>
        </w:tc>
        <w:tc>
          <w:tcPr>
            <w:tcW w:w="1304" w:type="dxa"/>
            <w:vAlign w:val="center"/>
          </w:tcPr>
          <w:p w14:paraId="55F60EE1" w14:textId="77777777" w:rsidR="00454A29" w:rsidRDefault="00454A29">
            <w:pPr>
              <w:pStyle w:val="ConsPlusNormal"/>
              <w:jc w:val="right"/>
            </w:pPr>
            <w:r>
              <w:t>-</w:t>
            </w:r>
          </w:p>
        </w:tc>
        <w:tc>
          <w:tcPr>
            <w:tcW w:w="1304" w:type="dxa"/>
            <w:vAlign w:val="center"/>
          </w:tcPr>
          <w:p w14:paraId="5BA5AF98" w14:textId="77777777" w:rsidR="00454A29" w:rsidRDefault="00454A29">
            <w:pPr>
              <w:pStyle w:val="ConsPlusNormal"/>
              <w:jc w:val="right"/>
            </w:pPr>
            <w:r>
              <w:t>-</w:t>
            </w:r>
          </w:p>
        </w:tc>
      </w:tr>
      <w:tr w:rsidR="00454A29" w14:paraId="43B156D6" w14:textId="77777777">
        <w:tc>
          <w:tcPr>
            <w:tcW w:w="2041" w:type="dxa"/>
            <w:vMerge/>
          </w:tcPr>
          <w:p w14:paraId="1A77A661" w14:textId="77777777" w:rsidR="00454A29" w:rsidRDefault="00454A29"/>
        </w:tc>
        <w:tc>
          <w:tcPr>
            <w:tcW w:w="3005" w:type="dxa"/>
            <w:vMerge/>
          </w:tcPr>
          <w:p w14:paraId="7B36A72F" w14:textId="77777777" w:rsidR="00454A29" w:rsidRDefault="00454A29"/>
        </w:tc>
        <w:tc>
          <w:tcPr>
            <w:tcW w:w="2778" w:type="dxa"/>
            <w:vAlign w:val="center"/>
          </w:tcPr>
          <w:p w14:paraId="7AB8AF01" w14:textId="77777777" w:rsidR="00454A29" w:rsidRDefault="00454A29">
            <w:pPr>
              <w:pStyle w:val="ConsPlusNormal"/>
            </w:pPr>
            <w:r>
              <w:t>Государственный бюджет Республики Саха (Якутия)</w:t>
            </w:r>
          </w:p>
        </w:tc>
        <w:tc>
          <w:tcPr>
            <w:tcW w:w="1304" w:type="dxa"/>
            <w:vAlign w:val="center"/>
          </w:tcPr>
          <w:p w14:paraId="1A1EC029" w14:textId="77777777" w:rsidR="00454A29" w:rsidRDefault="00454A29">
            <w:pPr>
              <w:pStyle w:val="ConsPlusNormal"/>
              <w:jc w:val="right"/>
            </w:pPr>
            <w:r>
              <w:t>57 314,06</w:t>
            </w:r>
          </w:p>
        </w:tc>
        <w:tc>
          <w:tcPr>
            <w:tcW w:w="1247" w:type="dxa"/>
            <w:vAlign w:val="center"/>
          </w:tcPr>
          <w:p w14:paraId="28BEB60B" w14:textId="77777777" w:rsidR="00454A29" w:rsidRDefault="00454A29">
            <w:pPr>
              <w:pStyle w:val="ConsPlusNormal"/>
            </w:pPr>
          </w:p>
        </w:tc>
        <w:tc>
          <w:tcPr>
            <w:tcW w:w="1304" w:type="dxa"/>
            <w:vAlign w:val="center"/>
          </w:tcPr>
          <w:p w14:paraId="375A92F9" w14:textId="77777777" w:rsidR="00454A29" w:rsidRDefault="00454A29">
            <w:pPr>
              <w:pStyle w:val="ConsPlusNormal"/>
            </w:pPr>
          </w:p>
        </w:tc>
        <w:tc>
          <w:tcPr>
            <w:tcW w:w="1304" w:type="dxa"/>
            <w:vAlign w:val="center"/>
          </w:tcPr>
          <w:p w14:paraId="28C51F2B" w14:textId="77777777" w:rsidR="00454A29" w:rsidRDefault="00454A29">
            <w:pPr>
              <w:pStyle w:val="ConsPlusNormal"/>
            </w:pPr>
          </w:p>
        </w:tc>
        <w:tc>
          <w:tcPr>
            <w:tcW w:w="1304" w:type="dxa"/>
            <w:vAlign w:val="center"/>
          </w:tcPr>
          <w:p w14:paraId="2D497DC1" w14:textId="77777777" w:rsidR="00454A29" w:rsidRDefault="00454A29">
            <w:pPr>
              <w:pStyle w:val="ConsPlusNormal"/>
            </w:pPr>
          </w:p>
        </w:tc>
        <w:tc>
          <w:tcPr>
            <w:tcW w:w="1304" w:type="dxa"/>
            <w:vAlign w:val="center"/>
          </w:tcPr>
          <w:p w14:paraId="776A1360" w14:textId="77777777" w:rsidR="00454A29" w:rsidRDefault="00454A29">
            <w:pPr>
              <w:pStyle w:val="ConsPlusNormal"/>
            </w:pPr>
          </w:p>
        </w:tc>
        <w:tc>
          <w:tcPr>
            <w:tcW w:w="1304" w:type="dxa"/>
            <w:vAlign w:val="center"/>
          </w:tcPr>
          <w:p w14:paraId="3B7647E8" w14:textId="77777777" w:rsidR="00454A29" w:rsidRDefault="00454A29">
            <w:pPr>
              <w:pStyle w:val="ConsPlusNormal"/>
            </w:pPr>
          </w:p>
        </w:tc>
      </w:tr>
      <w:tr w:rsidR="00454A29" w14:paraId="4AB9E06B" w14:textId="77777777">
        <w:tc>
          <w:tcPr>
            <w:tcW w:w="2041" w:type="dxa"/>
            <w:vMerge/>
          </w:tcPr>
          <w:p w14:paraId="055D3B7E" w14:textId="77777777" w:rsidR="00454A29" w:rsidRDefault="00454A29"/>
        </w:tc>
        <w:tc>
          <w:tcPr>
            <w:tcW w:w="3005" w:type="dxa"/>
            <w:vMerge/>
          </w:tcPr>
          <w:p w14:paraId="64C00BE4" w14:textId="77777777" w:rsidR="00454A29" w:rsidRDefault="00454A29"/>
        </w:tc>
        <w:tc>
          <w:tcPr>
            <w:tcW w:w="2778" w:type="dxa"/>
            <w:vAlign w:val="center"/>
          </w:tcPr>
          <w:p w14:paraId="36950FBB" w14:textId="77777777" w:rsidR="00454A29" w:rsidRDefault="00454A29">
            <w:pPr>
              <w:pStyle w:val="ConsPlusNormal"/>
            </w:pPr>
            <w:r>
              <w:t>Федеральный бюджет</w:t>
            </w:r>
          </w:p>
        </w:tc>
        <w:tc>
          <w:tcPr>
            <w:tcW w:w="1304" w:type="dxa"/>
            <w:vAlign w:val="center"/>
          </w:tcPr>
          <w:p w14:paraId="0F8953FA" w14:textId="77777777" w:rsidR="00454A29" w:rsidRDefault="00454A29">
            <w:pPr>
              <w:pStyle w:val="ConsPlusNormal"/>
            </w:pPr>
          </w:p>
        </w:tc>
        <w:tc>
          <w:tcPr>
            <w:tcW w:w="1247" w:type="dxa"/>
            <w:vAlign w:val="center"/>
          </w:tcPr>
          <w:p w14:paraId="22674589" w14:textId="77777777" w:rsidR="00454A29" w:rsidRDefault="00454A29">
            <w:pPr>
              <w:pStyle w:val="ConsPlusNormal"/>
            </w:pPr>
          </w:p>
        </w:tc>
        <w:tc>
          <w:tcPr>
            <w:tcW w:w="1304" w:type="dxa"/>
            <w:vAlign w:val="center"/>
          </w:tcPr>
          <w:p w14:paraId="6EE35695" w14:textId="77777777" w:rsidR="00454A29" w:rsidRDefault="00454A29">
            <w:pPr>
              <w:pStyle w:val="ConsPlusNormal"/>
            </w:pPr>
          </w:p>
        </w:tc>
        <w:tc>
          <w:tcPr>
            <w:tcW w:w="1304" w:type="dxa"/>
            <w:vAlign w:val="center"/>
          </w:tcPr>
          <w:p w14:paraId="227D8CB7" w14:textId="77777777" w:rsidR="00454A29" w:rsidRDefault="00454A29">
            <w:pPr>
              <w:pStyle w:val="ConsPlusNormal"/>
            </w:pPr>
          </w:p>
        </w:tc>
        <w:tc>
          <w:tcPr>
            <w:tcW w:w="1304" w:type="dxa"/>
            <w:vAlign w:val="center"/>
          </w:tcPr>
          <w:p w14:paraId="458C0240" w14:textId="77777777" w:rsidR="00454A29" w:rsidRDefault="00454A29">
            <w:pPr>
              <w:pStyle w:val="ConsPlusNormal"/>
            </w:pPr>
          </w:p>
        </w:tc>
        <w:tc>
          <w:tcPr>
            <w:tcW w:w="1304" w:type="dxa"/>
            <w:vAlign w:val="center"/>
          </w:tcPr>
          <w:p w14:paraId="273F2CD0" w14:textId="77777777" w:rsidR="00454A29" w:rsidRDefault="00454A29">
            <w:pPr>
              <w:pStyle w:val="ConsPlusNormal"/>
            </w:pPr>
          </w:p>
        </w:tc>
        <w:tc>
          <w:tcPr>
            <w:tcW w:w="1304" w:type="dxa"/>
            <w:vAlign w:val="center"/>
          </w:tcPr>
          <w:p w14:paraId="3DA7000E" w14:textId="77777777" w:rsidR="00454A29" w:rsidRDefault="00454A29">
            <w:pPr>
              <w:pStyle w:val="ConsPlusNormal"/>
            </w:pPr>
          </w:p>
        </w:tc>
      </w:tr>
      <w:tr w:rsidR="00454A29" w14:paraId="3739611C" w14:textId="77777777">
        <w:tc>
          <w:tcPr>
            <w:tcW w:w="2041" w:type="dxa"/>
            <w:vMerge/>
          </w:tcPr>
          <w:p w14:paraId="57E33FB6" w14:textId="77777777" w:rsidR="00454A29" w:rsidRDefault="00454A29"/>
        </w:tc>
        <w:tc>
          <w:tcPr>
            <w:tcW w:w="3005" w:type="dxa"/>
            <w:vMerge/>
          </w:tcPr>
          <w:p w14:paraId="441016F6" w14:textId="77777777" w:rsidR="00454A29" w:rsidRDefault="00454A29"/>
        </w:tc>
        <w:tc>
          <w:tcPr>
            <w:tcW w:w="2778" w:type="dxa"/>
            <w:vAlign w:val="center"/>
          </w:tcPr>
          <w:p w14:paraId="384DC026" w14:textId="77777777" w:rsidR="00454A29" w:rsidRDefault="00454A29">
            <w:pPr>
              <w:pStyle w:val="ConsPlusNormal"/>
            </w:pPr>
            <w:r>
              <w:t>Местные бюджеты</w:t>
            </w:r>
          </w:p>
        </w:tc>
        <w:tc>
          <w:tcPr>
            <w:tcW w:w="1304" w:type="dxa"/>
            <w:vAlign w:val="center"/>
          </w:tcPr>
          <w:p w14:paraId="19D1310C" w14:textId="77777777" w:rsidR="00454A29" w:rsidRDefault="00454A29">
            <w:pPr>
              <w:pStyle w:val="ConsPlusNormal"/>
            </w:pPr>
          </w:p>
        </w:tc>
        <w:tc>
          <w:tcPr>
            <w:tcW w:w="1247" w:type="dxa"/>
            <w:vAlign w:val="center"/>
          </w:tcPr>
          <w:p w14:paraId="09535887" w14:textId="77777777" w:rsidR="00454A29" w:rsidRDefault="00454A29">
            <w:pPr>
              <w:pStyle w:val="ConsPlusNormal"/>
            </w:pPr>
          </w:p>
        </w:tc>
        <w:tc>
          <w:tcPr>
            <w:tcW w:w="1304" w:type="dxa"/>
            <w:vAlign w:val="center"/>
          </w:tcPr>
          <w:p w14:paraId="5D77EB3D" w14:textId="77777777" w:rsidR="00454A29" w:rsidRDefault="00454A29">
            <w:pPr>
              <w:pStyle w:val="ConsPlusNormal"/>
            </w:pPr>
          </w:p>
        </w:tc>
        <w:tc>
          <w:tcPr>
            <w:tcW w:w="1304" w:type="dxa"/>
            <w:vAlign w:val="center"/>
          </w:tcPr>
          <w:p w14:paraId="5C8865D7" w14:textId="77777777" w:rsidR="00454A29" w:rsidRDefault="00454A29">
            <w:pPr>
              <w:pStyle w:val="ConsPlusNormal"/>
            </w:pPr>
          </w:p>
        </w:tc>
        <w:tc>
          <w:tcPr>
            <w:tcW w:w="1304" w:type="dxa"/>
            <w:vAlign w:val="center"/>
          </w:tcPr>
          <w:p w14:paraId="77B7CB69" w14:textId="77777777" w:rsidR="00454A29" w:rsidRDefault="00454A29">
            <w:pPr>
              <w:pStyle w:val="ConsPlusNormal"/>
            </w:pPr>
          </w:p>
        </w:tc>
        <w:tc>
          <w:tcPr>
            <w:tcW w:w="1304" w:type="dxa"/>
            <w:vAlign w:val="center"/>
          </w:tcPr>
          <w:p w14:paraId="610360F8" w14:textId="77777777" w:rsidR="00454A29" w:rsidRDefault="00454A29">
            <w:pPr>
              <w:pStyle w:val="ConsPlusNormal"/>
            </w:pPr>
          </w:p>
        </w:tc>
        <w:tc>
          <w:tcPr>
            <w:tcW w:w="1304" w:type="dxa"/>
            <w:vAlign w:val="center"/>
          </w:tcPr>
          <w:p w14:paraId="59AC049A" w14:textId="77777777" w:rsidR="00454A29" w:rsidRDefault="00454A29">
            <w:pPr>
              <w:pStyle w:val="ConsPlusNormal"/>
            </w:pPr>
          </w:p>
        </w:tc>
      </w:tr>
      <w:tr w:rsidR="00454A29" w14:paraId="76E3348B" w14:textId="77777777">
        <w:tc>
          <w:tcPr>
            <w:tcW w:w="2041" w:type="dxa"/>
            <w:vMerge/>
          </w:tcPr>
          <w:p w14:paraId="2F4F4EDB" w14:textId="77777777" w:rsidR="00454A29" w:rsidRDefault="00454A29"/>
        </w:tc>
        <w:tc>
          <w:tcPr>
            <w:tcW w:w="3005" w:type="dxa"/>
            <w:vMerge/>
          </w:tcPr>
          <w:p w14:paraId="1090FFAD" w14:textId="77777777" w:rsidR="00454A29" w:rsidRDefault="00454A29"/>
        </w:tc>
        <w:tc>
          <w:tcPr>
            <w:tcW w:w="2778" w:type="dxa"/>
            <w:vAlign w:val="center"/>
          </w:tcPr>
          <w:p w14:paraId="25AD5AB4" w14:textId="77777777" w:rsidR="00454A29" w:rsidRDefault="00454A29">
            <w:pPr>
              <w:pStyle w:val="ConsPlusNormal"/>
            </w:pPr>
            <w:r>
              <w:t>Внебюджетные средства</w:t>
            </w:r>
          </w:p>
        </w:tc>
        <w:tc>
          <w:tcPr>
            <w:tcW w:w="1304" w:type="dxa"/>
            <w:vAlign w:val="center"/>
          </w:tcPr>
          <w:p w14:paraId="067D707A" w14:textId="77777777" w:rsidR="00454A29" w:rsidRDefault="00454A29">
            <w:pPr>
              <w:pStyle w:val="ConsPlusNormal"/>
            </w:pPr>
          </w:p>
        </w:tc>
        <w:tc>
          <w:tcPr>
            <w:tcW w:w="1247" w:type="dxa"/>
            <w:vAlign w:val="center"/>
          </w:tcPr>
          <w:p w14:paraId="1550BDEE" w14:textId="77777777" w:rsidR="00454A29" w:rsidRDefault="00454A29">
            <w:pPr>
              <w:pStyle w:val="ConsPlusNormal"/>
            </w:pPr>
          </w:p>
        </w:tc>
        <w:tc>
          <w:tcPr>
            <w:tcW w:w="1304" w:type="dxa"/>
            <w:vAlign w:val="center"/>
          </w:tcPr>
          <w:p w14:paraId="5593237C" w14:textId="77777777" w:rsidR="00454A29" w:rsidRDefault="00454A29">
            <w:pPr>
              <w:pStyle w:val="ConsPlusNormal"/>
            </w:pPr>
          </w:p>
        </w:tc>
        <w:tc>
          <w:tcPr>
            <w:tcW w:w="1304" w:type="dxa"/>
            <w:vAlign w:val="center"/>
          </w:tcPr>
          <w:p w14:paraId="08C52597" w14:textId="77777777" w:rsidR="00454A29" w:rsidRDefault="00454A29">
            <w:pPr>
              <w:pStyle w:val="ConsPlusNormal"/>
            </w:pPr>
          </w:p>
        </w:tc>
        <w:tc>
          <w:tcPr>
            <w:tcW w:w="1304" w:type="dxa"/>
            <w:vAlign w:val="center"/>
          </w:tcPr>
          <w:p w14:paraId="0E3FC7A8" w14:textId="77777777" w:rsidR="00454A29" w:rsidRDefault="00454A29">
            <w:pPr>
              <w:pStyle w:val="ConsPlusNormal"/>
            </w:pPr>
          </w:p>
        </w:tc>
        <w:tc>
          <w:tcPr>
            <w:tcW w:w="1304" w:type="dxa"/>
            <w:vAlign w:val="center"/>
          </w:tcPr>
          <w:p w14:paraId="3FDB3B8B" w14:textId="77777777" w:rsidR="00454A29" w:rsidRDefault="00454A29">
            <w:pPr>
              <w:pStyle w:val="ConsPlusNormal"/>
            </w:pPr>
          </w:p>
        </w:tc>
        <w:tc>
          <w:tcPr>
            <w:tcW w:w="1304" w:type="dxa"/>
            <w:vAlign w:val="center"/>
          </w:tcPr>
          <w:p w14:paraId="58881039" w14:textId="77777777" w:rsidR="00454A29" w:rsidRDefault="00454A29">
            <w:pPr>
              <w:pStyle w:val="ConsPlusNormal"/>
            </w:pPr>
          </w:p>
        </w:tc>
      </w:tr>
      <w:tr w:rsidR="00454A29" w14:paraId="5F45126D" w14:textId="77777777">
        <w:tc>
          <w:tcPr>
            <w:tcW w:w="2041" w:type="dxa"/>
            <w:vMerge w:val="restart"/>
            <w:vAlign w:val="center"/>
          </w:tcPr>
          <w:p w14:paraId="0563B089" w14:textId="77777777" w:rsidR="00454A29" w:rsidRDefault="00454A29">
            <w:pPr>
              <w:pStyle w:val="ConsPlusNormal"/>
              <w:jc w:val="center"/>
            </w:pPr>
            <w:r>
              <w:t>Основное мероприятие 3.8.</w:t>
            </w:r>
          </w:p>
        </w:tc>
        <w:tc>
          <w:tcPr>
            <w:tcW w:w="3005" w:type="dxa"/>
            <w:vMerge w:val="restart"/>
            <w:vAlign w:val="center"/>
          </w:tcPr>
          <w:p w14:paraId="5C782AF2" w14:textId="77777777" w:rsidR="00454A29" w:rsidRDefault="00454A29">
            <w:pPr>
              <w:pStyle w:val="ConsPlusNormal"/>
              <w:jc w:val="center"/>
            </w:pPr>
            <w:r>
              <w:t>Реализация регионального проекта "Социальные лифты для каждого"</w:t>
            </w:r>
          </w:p>
        </w:tc>
        <w:tc>
          <w:tcPr>
            <w:tcW w:w="2778" w:type="dxa"/>
            <w:vAlign w:val="center"/>
          </w:tcPr>
          <w:p w14:paraId="09146214" w14:textId="77777777" w:rsidR="00454A29" w:rsidRDefault="00454A29">
            <w:pPr>
              <w:pStyle w:val="ConsPlusNormal"/>
            </w:pPr>
            <w:r>
              <w:t>Всего:</w:t>
            </w:r>
          </w:p>
        </w:tc>
        <w:tc>
          <w:tcPr>
            <w:tcW w:w="1304" w:type="dxa"/>
            <w:vAlign w:val="center"/>
          </w:tcPr>
          <w:p w14:paraId="6E035CC6" w14:textId="77777777" w:rsidR="00454A29" w:rsidRDefault="00454A29">
            <w:pPr>
              <w:pStyle w:val="ConsPlusNormal"/>
              <w:jc w:val="right"/>
            </w:pPr>
            <w:r>
              <w:t>-</w:t>
            </w:r>
          </w:p>
        </w:tc>
        <w:tc>
          <w:tcPr>
            <w:tcW w:w="1247" w:type="dxa"/>
            <w:vAlign w:val="center"/>
          </w:tcPr>
          <w:p w14:paraId="120B0B06" w14:textId="77777777" w:rsidR="00454A29" w:rsidRDefault="00454A29">
            <w:pPr>
              <w:pStyle w:val="ConsPlusNormal"/>
              <w:jc w:val="right"/>
            </w:pPr>
            <w:r>
              <w:t>-</w:t>
            </w:r>
          </w:p>
        </w:tc>
        <w:tc>
          <w:tcPr>
            <w:tcW w:w="1304" w:type="dxa"/>
            <w:vAlign w:val="center"/>
          </w:tcPr>
          <w:p w14:paraId="4CB298A8" w14:textId="77777777" w:rsidR="00454A29" w:rsidRDefault="00454A29">
            <w:pPr>
              <w:pStyle w:val="ConsPlusNormal"/>
              <w:jc w:val="right"/>
            </w:pPr>
            <w:r>
              <w:t>-</w:t>
            </w:r>
          </w:p>
        </w:tc>
        <w:tc>
          <w:tcPr>
            <w:tcW w:w="1304" w:type="dxa"/>
            <w:vAlign w:val="center"/>
          </w:tcPr>
          <w:p w14:paraId="7A9736B3" w14:textId="77777777" w:rsidR="00454A29" w:rsidRDefault="00454A29">
            <w:pPr>
              <w:pStyle w:val="ConsPlusNormal"/>
              <w:jc w:val="right"/>
            </w:pPr>
            <w:r>
              <w:t>-</w:t>
            </w:r>
          </w:p>
        </w:tc>
        <w:tc>
          <w:tcPr>
            <w:tcW w:w="1304" w:type="dxa"/>
            <w:vAlign w:val="center"/>
          </w:tcPr>
          <w:p w14:paraId="161A70C8" w14:textId="77777777" w:rsidR="00454A29" w:rsidRDefault="00454A29">
            <w:pPr>
              <w:pStyle w:val="ConsPlusNormal"/>
              <w:jc w:val="right"/>
            </w:pPr>
            <w:r>
              <w:t>-</w:t>
            </w:r>
          </w:p>
        </w:tc>
        <w:tc>
          <w:tcPr>
            <w:tcW w:w="1304" w:type="dxa"/>
            <w:vAlign w:val="center"/>
          </w:tcPr>
          <w:p w14:paraId="0F6576F6" w14:textId="77777777" w:rsidR="00454A29" w:rsidRDefault="00454A29">
            <w:pPr>
              <w:pStyle w:val="ConsPlusNormal"/>
              <w:jc w:val="right"/>
            </w:pPr>
            <w:r>
              <w:t>-</w:t>
            </w:r>
          </w:p>
        </w:tc>
        <w:tc>
          <w:tcPr>
            <w:tcW w:w="1304" w:type="dxa"/>
            <w:vAlign w:val="center"/>
          </w:tcPr>
          <w:p w14:paraId="429167BA" w14:textId="77777777" w:rsidR="00454A29" w:rsidRDefault="00454A29">
            <w:pPr>
              <w:pStyle w:val="ConsPlusNormal"/>
              <w:jc w:val="right"/>
            </w:pPr>
            <w:r>
              <w:t>-</w:t>
            </w:r>
          </w:p>
        </w:tc>
      </w:tr>
      <w:tr w:rsidR="00454A29" w14:paraId="438D08D1" w14:textId="77777777">
        <w:tc>
          <w:tcPr>
            <w:tcW w:w="2041" w:type="dxa"/>
            <w:vMerge/>
          </w:tcPr>
          <w:p w14:paraId="77E0C0DA" w14:textId="77777777" w:rsidR="00454A29" w:rsidRDefault="00454A29"/>
        </w:tc>
        <w:tc>
          <w:tcPr>
            <w:tcW w:w="3005" w:type="dxa"/>
            <w:vMerge/>
          </w:tcPr>
          <w:p w14:paraId="0453628F" w14:textId="77777777" w:rsidR="00454A29" w:rsidRDefault="00454A29"/>
        </w:tc>
        <w:tc>
          <w:tcPr>
            <w:tcW w:w="2778" w:type="dxa"/>
            <w:vAlign w:val="center"/>
          </w:tcPr>
          <w:p w14:paraId="0DF8C911" w14:textId="77777777" w:rsidR="00454A29" w:rsidRDefault="00454A29">
            <w:pPr>
              <w:pStyle w:val="ConsPlusNormal"/>
            </w:pPr>
            <w:r>
              <w:t>Государственный бюджет Республики Саха (Якутия)</w:t>
            </w:r>
          </w:p>
        </w:tc>
        <w:tc>
          <w:tcPr>
            <w:tcW w:w="1304" w:type="dxa"/>
            <w:vAlign w:val="center"/>
          </w:tcPr>
          <w:p w14:paraId="1C463EBC" w14:textId="77777777" w:rsidR="00454A29" w:rsidRDefault="00454A29">
            <w:pPr>
              <w:pStyle w:val="ConsPlusNormal"/>
            </w:pPr>
          </w:p>
        </w:tc>
        <w:tc>
          <w:tcPr>
            <w:tcW w:w="1247" w:type="dxa"/>
            <w:vAlign w:val="center"/>
          </w:tcPr>
          <w:p w14:paraId="4DE1768E" w14:textId="77777777" w:rsidR="00454A29" w:rsidRDefault="00454A29">
            <w:pPr>
              <w:pStyle w:val="ConsPlusNormal"/>
            </w:pPr>
          </w:p>
        </w:tc>
        <w:tc>
          <w:tcPr>
            <w:tcW w:w="1304" w:type="dxa"/>
            <w:vAlign w:val="center"/>
          </w:tcPr>
          <w:p w14:paraId="5D8E11A2" w14:textId="77777777" w:rsidR="00454A29" w:rsidRDefault="00454A29">
            <w:pPr>
              <w:pStyle w:val="ConsPlusNormal"/>
            </w:pPr>
          </w:p>
        </w:tc>
        <w:tc>
          <w:tcPr>
            <w:tcW w:w="1304" w:type="dxa"/>
            <w:vAlign w:val="center"/>
          </w:tcPr>
          <w:p w14:paraId="2E474AD8" w14:textId="77777777" w:rsidR="00454A29" w:rsidRDefault="00454A29">
            <w:pPr>
              <w:pStyle w:val="ConsPlusNormal"/>
            </w:pPr>
          </w:p>
        </w:tc>
        <w:tc>
          <w:tcPr>
            <w:tcW w:w="1304" w:type="dxa"/>
            <w:vAlign w:val="center"/>
          </w:tcPr>
          <w:p w14:paraId="000F15E4" w14:textId="77777777" w:rsidR="00454A29" w:rsidRDefault="00454A29">
            <w:pPr>
              <w:pStyle w:val="ConsPlusNormal"/>
            </w:pPr>
          </w:p>
        </w:tc>
        <w:tc>
          <w:tcPr>
            <w:tcW w:w="1304" w:type="dxa"/>
            <w:vAlign w:val="center"/>
          </w:tcPr>
          <w:p w14:paraId="5DC78200" w14:textId="77777777" w:rsidR="00454A29" w:rsidRDefault="00454A29">
            <w:pPr>
              <w:pStyle w:val="ConsPlusNormal"/>
            </w:pPr>
          </w:p>
        </w:tc>
        <w:tc>
          <w:tcPr>
            <w:tcW w:w="1304" w:type="dxa"/>
            <w:vAlign w:val="center"/>
          </w:tcPr>
          <w:p w14:paraId="49D3205A" w14:textId="77777777" w:rsidR="00454A29" w:rsidRDefault="00454A29">
            <w:pPr>
              <w:pStyle w:val="ConsPlusNormal"/>
            </w:pPr>
          </w:p>
        </w:tc>
      </w:tr>
      <w:tr w:rsidR="00454A29" w14:paraId="6E2E9190" w14:textId="77777777">
        <w:tc>
          <w:tcPr>
            <w:tcW w:w="2041" w:type="dxa"/>
            <w:vMerge/>
          </w:tcPr>
          <w:p w14:paraId="149817E4" w14:textId="77777777" w:rsidR="00454A29" w:rsidRDefault="00454A29"/>
        </w:tc>
        <w:tc>
          <w:tcPr>
            <w:tcW w:w="3005" w:type="dxa"/>
            <w:vMerge/>
          </w:tcPr>
          <w:p w14:paraId="29D930C4" w14:textId="77777777" w:rsidR="00454A29" w:rsidRDefault="00454A29"/>
        </w:tc>
        <w:tc>
          <w:tcPr>
            <w:tcW w:w="2778" w:type="dxa"/>
            <w:vAlign w:val="center"/>
          </w:tcPr>
          <w:p w14:paraId="0C3085C1" w14:textId="77777777" w:rsidR="00454A29" w:rsidRDefault="00454A29">
            <w:pPr>
              <w:pStyle w:val="ConsPlusNormal"/>
            </w:pPr>
            <w:r>
              <w:t>Федеральный бюджет</w:t>
            </w:r>
          </w:p>
        </w:tc>
        <w:tc>
          <w:tcPr>
            <w:tcW w:w="1304" w:type="dxa"/>
            <w:vAlign w:val="center"/>
          </w:tcPr>
          <w:p w14:paraId="3C87F995" w14:textId="77777777" w:rsidR="00454A29" w:rsidRDefault="00454A29">
            <w:pPr>
              <w:pStyle w:val="ConsPlusNormal"/>
            </w:pPr>
          </w:p>
        </w:tc>
        <w:tc>
          <w:tcPr>
            <w:tcW w:w="1247" w:type="dxa"/>
            <w:vAlign w:val="center"/>
          </w:tcPr>
          <w:p w14:paraId="477E9302" w14:textId="77777777" w:rsidR="00454A29" w:rsidRDefault="00454A29">
            <w:pPr>
              <w:pStyle w:val="ConsPlusNormal"/>
            </w:pPr>
          </w:p>
        </w:tc>
        <w:tc>
          <w:tcPr>
            <w:tcW w:w="1304" w:type="dxa"/>
            <w:vAlign w:val="center"/>
          </w:tcPr>
          <w:p w14:paraId="5DDA914F" w14:textId="77777777" w:rsidR="00454A29" w:rsidRDefault="00454A29">
            <w:pPr>
              <w:pStyle w:val="ConsPlusNormal"/>
            </w:pPr>
          </w:p>
        </w:tc>
        <w:tc>
          <w:tcPr>
            <w:tcW w:w="1304" w:type="dxa"/>
            <w:vAlign w:val="center"/>
          </w:tcPr>
          <w:p w14:paraId="25057EE2" w14:textId="77777777" w:rsidR="00454A29" w:rsidRDefault="00454A29">
            <w:pPr>
              <w:pStyle w:val="ConsPlusNormal"/>
            </w:pPr>
          </w:p>
        </w:tc>
        <w:tc>
          <w:tcPr>
            <w:tcW w:w="1304" w:type="dxa"/>
            <w:vAlign w:val="center"/>
          </w:tcPr>
          <w:p w14:paraId="5EE16F41" w14:textId="77777777" w:rsidR="00454A29" w:rsidRDefault="00454A29">
            <w:pPr>
              <w:pStyle w:val="ConsPlusNormal"/>
            </w:pPr>
          </w:p>
        </w:tc>
        <w:tc>
          <w:tcPr>
            <w:tcW w:w="1304" w:type="dxa"/>
            <w:vAlign w:val="center"/>
          </w:tcPr>
          <w:p w14:paraId="0975F193" w14:textId="77777777" w:rsidR="00454A29" w:rsidRDefault="00454A29">
            <w:pPr>
              <w:pStyle w:val="ConsPlusNormal"/>
            </w:pPr>
          </w:p>
        </w:tc>
        <w:tc>
          <w:tcPr>
            <w:tcW w:w="1304" w:type="dxa"/>
            <w:vAlign w:val="center"/>
          </w:tcPr>
          <w:p w14:paraId="0CC14988" w14:textId="77777777" w:rsidR="00454A29" w:rsidRDefault="00454A29">
            <w:pPr>
              <w:pStyle w:val="ConsPlusNormal"/>
            </w:pPr>
          </w:p>
        </w:tc>
      </w:tr>
      <w:tr w:rsidR="00454A29" w14:paraId="698B21AD" w14:textId="77777777">
        <w:tc>
          <w:tcPr>
            <w:tcW w:w="2041" w:type="dxa"/>
            <w:vMerge/>
          </w:tcPr>
          <w:p w14:paraId="0B933322" w14:textId="77777777" w:rsidR="00454A29" w:rsidRDefault="00454A29"/>
        </w:tc>
        <w:tc>
          <w:tcPr>
            <w:tcW w:w="3005" w:type="dxa"/>
            <w:vMerge/>
          </w:tcPr>
          <w:p w14:paraId="291D4F88" w14:textId="77777777" w:rsidR="00454A29" w:rsidRDefault="00454A29"/>
        </w:tc>
        <w:tc>
          <w:tcPr>
            <w:tcW w:w="2778" w:type="dxa"/>
            <w:vAlign w:val="center"/>
          </w:tcPr>
          <w:p w14:paraId="6480E660" w14:textId="77777777" w:rsidR="00454A29" w:rsidRDefault="00454A29">
            <w:pPr>
              <w:pStyle w:val="ConsPlusNormal"/>
            </w:pPr>
            <w:r>
              <w:t>Местные бюджеты</w:t>
            </w:r>
          </w:p>
        </w:tc>
        <w:tc>
          <w:tcPr>
            <w:tcW w:w="1304" w:type="dxa"/>
            <w:vAlign w:val="center"/>
          </w:tcPr>
          <w:p w14:paraId="4012E623" w14:textId="77777777" w:rsidR="00454A29" w:rsidRDefault="00454A29">
            <w:pPr>
              <w:pStyle w:val="ConsPlusNormal"/>
            </w:pPr>
          </w:p>
        </w:tc>
        <w:tc>
          <w:tcPr>
            <w:tcW w:w="1247" w:type="dxa"/>
            <w:vAlign w:val="center"/>
          </w:tcPr>
          <w:p w14:paraId="3013B0D2" w14:textId="77777777" w:rsidR="00454A29" w:rsidRDefault="00454A29">
            <w:pPr>
              <w:pStyle w:val="ConsPlusNormal"/>
            </w:pPr>
          </w:p>
        </w:tc>
        <w:tc>
          <w:tcPr>
            <w:tcW w:w="1304" w:type="dxa"/>
            <w:vAlign w:val="center"/>
          </w:tcPr>
          <w:p w14:paraId="7E733589" w14:textId="77777777" w:rsidR="00454A29" w:rsidRDefault="00454A29">
            <w:pPr>
              <w:pStyle w:val="ConsPlusNormal"/>
            </w:pPr>
          </w:p>
        </w:tc>
        <w:tc>
          <w:tcPr>
            <w:tcW w:w="1304" w:type="dxa"/>
            <w:vAlign w:val="center"/>
          </w:tcPr>
          <w:p w14:paraId="24D9D364" w14:textId="77777777" w:rsidR="00454A29" w:rsidRDefault="00454A29">
            <w:pPr>
              <w:pStyle w:val="ConsPlusNormal"/>
            </w:pPr>
          </w:p>
        </w:tc>
        <w:tc>
          <w:tcPr>
            <w:tcW w:w="1304" w:type="dxa"/>
            <w:vAlign w:val="center"/>
          </w:tcPr>
          <w:p w14:paraId="538F584D" w14:textId="77777777" w:rsidR="00454A29" w:rsidRDefault="00454A29">
            <w:pPr>
              <w:pStyle w:val="ConsPlusNormal"/>
            </w:pPr>
          </w:p>
        </w:tc>
        <w:tc>
          <w:tcPr>
            <w:tcW w:w="1304" w:type="dxa"/>
            <w:vAlign w:val="center"/>
          </w:tcPr>
          <w:p w14:paraId="3D3B6BEC" w14:textId="77777777" w:rsidR="00454A29" w:rsidRDefault="00454A29">
            <w:pPr>
              <w:pStyle w:val="ConsPlusNormal"/>
            </w:pPr>
          </w:p>
        </w:tc>
        <w:tc>
          <w:tcPr>
            <w:tcW w:w="1304" w:type="dxa"/>
            <w:vAlign w:val="center"/>
          </w:tcPr>
          <w:p w14:paraId="2BA8106E" w14:textId="77777777" w:rsidR="00454A29" w:rsidRDefault="00454A29">
            <w:pPr>
              <w:pStyle w:val="ConsPlusNormal"/>
            </w:pPr>
          </w:p>
        </w:tc>
      </w:tr>
      <w:tr w:rsidR="00454A29" w14:paraId="36ABDCC5" w14:textId="77777777">
        <w:tc>
          <w:tcPr>
            <w:tcW w:w="2041" w:type="dxa"/>
            <w:vMerge/>
          </w:tcPr>
          <w:p w14:paraId="1997E243" w14:textId="77777777" w:rsidR="00454A29" w:rsidRDefault="00454A29"/>
        </w:tc>
        <w:tc>
          <w:tcPr>
            <w:tcW w:w="3005" w:type="dxa"/>
            <w:vMerge/>
          </w:tcPr>
          <w:p w14:paraId="72CFD3D7" w14:textId="77777777" w:rsidR="00454A29" w:rsidRDefault="00454A29"/>
        </w:tc>
        <w:tc>
          <w:tcPr>
            <w:tcW w:w="2778" w:type="dxa"/>
            <w:vAlign w:val="center"/>
          </w:tcPr>
          <w:p w14:paraId="29FEE574" w14:textId="77777777" w:rsidR="00454A29" w:rsidRDefault="00454A29">
            <w:pPr>
              <w:pStyle w:val="ConsPlusNormal"/>
            </w:pPr>
            <w:r>
              <w:t>Внебюджетные средства</w:t>
            </w:r>
          </w:p>
        </w:tc>
        <w:tc>
          <w:tcPr>
            <w:tcW w:w="1304" w:type="dxa"/>
            <w:vAlign w:val="center"/>
          </w:tcPr>
          <w:p w14:paraId="32B560D8" w14:textId="77777777" w:rsidR="00454A29" w:rsidRDefault="00454A29">
            <w:pPr>
              <w:pStyle w:val="ConsPlusNormal"/>
            </w:pPr>
          </w:p>
        </w:tc>
        <w:tc>
          <w:tcPr>
            <w:tcW w:w="1247" w:type="dxa"/>
            <w:vAlign w:val="center"/>
          </w:tcPr>
          <w:p w14:paraId="7350FFCE" w14:textId="77777777" w:rsidR="00454A29" w:rsidRDefault="00454A29">
            <w:pPr>
              <w:pStyle w:val="ConsPlusNormal"/>
            </w:pPr>
          </w:p>
        </w:tc>
        <w:tc>
          <w:tcPr>
            <w:tcW w:w="1304" w:type="dxa"/>
            <w:vAlign w:val="center"/>
          </w:tcPr>
          <w:p w14:paraId="05726AAA" w14:textId="77777777" w:rsidR="00454A29" w:rsidRDefault="00454A29">
            <w:pPr>
              <w:pStyle w:val="ConsPlusNormal"/>
            </w:pPr>
          </w:p>
        </w:tc>
        <w:tc>
          <w:tcPr>
            <w:tcW w:w="1304" w:type="dxa"/>
            <w:vAlign w:val="center"/>
          </w:tcPr>
          <w:p w14:paraId="1172B3BB" w14:textId="77777777" w:rsidR="00454A29" w:rsidRDefault="00454A29">
            <w:pPr>
              <w:pStyle w:val="ConsPlusNormal"/>
            </w:pPr>
          </w:p>
        </w:tc>
        <w:tc>
          <w:tcPr>
            <w:tcW w:w="1304" w:type="dxa"/>
            <w:vAlign w:val="center"/>
          </w:tcPr>
          <w:p w14:paraId="7865DAB5" w14:textId="77777777" w:rsidR="00454A29" w:rsidRDefault="00454A29">
            <w:pPr>
              <w:pStyle w:val="ConsPlusNormal"/>
            </w:pPr>
          </w:p>
        </w:tc>
        <w:tc>
          <w:tcPr>
            <w:tcW w:w="1304" w:type="dxa"/>
            <w:vAlign w:val="center"/>
          </w:tcPr>
          <w:p w14:paraId="7684406C" w14:textId="77777777" w:rsidR="00454A29" w:rsidRDefault="00454A29">
            <w:pPr>
              <w:pStyle w:val="ConsPlusNormal"/>
            </w:pPr>
          </w:p>
        </w:tc>
        <w:tc>
          <w:tcPr>
            <w:tcW w:w="1304" w:type="dxa"/>
            <w:vAlign w:val="center"/>
          </w:tcPr>
          <w:p w14:paraId="4AA85403" w14:textId="77777777" w:rsidR="00454A29" w:rsidRDefault="00454A29">
            <w:pPr>
              <w:pStyle w:val="ConsPlusNormal"/>
            </w:pPr>
          </w:p>
        </w:tc>
      </w:tr>
      <w:tr w:rsidR="00454A29" w14:paraId="6C5B65AC" w14:textId="77777777">
        <w:tc>
          <w:tcPr>
            <w:tcW w:w="2041" w:type="dxa"/>
            <w:vMerge w:val="restart"/>
            <w:vAlign w:val="center"/>
          </w:tcPr>
          <w:p w14:paraId="7A4137B2" w14:textId="77777777" w:rsidR="00454A29" w:rsidRDefault="00454A29">
            <w:pPr>
              <w:pStyle w:val="ConsPlusNormal"/>
              <w:jc w:val="center"/>
            </w:pPr>
            <w:r>
              <w:t>Основное мероприятие 3.9.</w:t>
            </w:r>
          </w:p>
        </w:tc>
        <w:tc>
          <w:tcPr>
            <w:tcW w:w="3005" w:type="dxa"/>
            <w:vMerge w:val="restart"/>
            <w:vAlign w:val="center"/>
          </w:tcPr>
          <w:p w14:paraId="3302A878" w14:textId="77777777" w:rsidR="00454A29" w:rsidRDefault="00454A29">
            <w:pPr>
              <w:pStyle w:val="ConsPlusNormal"/>
              <w:jc w:val="center"/>
            </w:pPr>
            <w:r>
              <w:t>Реализация регионального проекта "Экспорт образования"</w:t>
            </w:r>
          </w:p>
        </w:tc>
        <w:tc>
          <w:tcPr>
            <w:tcW w:w="2778" w:type="dxa"/>
            <w:vAlign w:val="center"/>
          </w:tcPr>
          <w:p w14:paraId="0805C05D" w14:textId="77777777" w:rsidR="00454A29" w:rsidRDefault="00454A29">
            <w:pPr>
              <w:pStyle w:val="ConsPlusNormal"/>
            </w:pPr>
            <w:r>
              <w:t>Всего:</w:t>
            </w:r>
          </w:p>
        </w:tc>
        <w:tc>
          <w:tcPr>
            <w:tcW w:w="1304" w:type="dxa"/>
            <w:vAlign w:val="center"/>
          </w:tcPr>
          <w:p w14:paraId="5FB16F2C" w14:textId="77777777" w:rsidR="00454A29" w:rsidRDefault="00454A29">
            <w:pPr>
              <w:pStyle w:val="ConsPlusNormal"/>
              <w:jc w:val="right"/>
            </w:pPr>
            <w:r>
              <w:t>-</w:t>
            </w:r>
          </w:p>
        </w:tc>
        <w:tc>
          <w:tcPr>
            <w:tcW w:w="1247" w:type="dxa"/>
            <w:vAlign w:val="center"/>
          </w:tcPr>
          <w:p w14:paraId="3502DE73" w14:textId="77777777" w:rsidR="00454A29" w:rsidRDefault="00454A29">
            <w:pPr>
              <w:pStyle w:val="ConsPlusNormal"/>
              <w:jc w:val="right"/>
            </w:pPr>
            <w:r>
              <w:t>-</w:t>
            </w:r>
          </w:p>
        </w:tc>
        <w:tc>
          <w:tcPr>
            <w:tcW w:w="1304" w:type="dxa"/>
            <w:vAlign w:val="center"/>
          </w:tcPr>
          <w:p w14:paraId="4A1CB818" w14:textId="77777777" w:rsidR="00454A29" w:rsidRDefault="00454A29">
            <w:pPr>
              <w:pStyle w:val="ConsPlusNormal"/>
              <w:jc w:val="right"/>
            </w:pPr>
            <w:r>
              <w:t>-</w:t>
            </w:r>
          </w:p>
        </w:tc>
        <w:tc>
          <w:tcPr>
            <w:tcW w:w="1304" w:type="dxa"/>
            <w:vAlign w:val="center"/>
          </w:tcPr>
          <w:p w14:paraId="4ACF5426" w14:textId="77777777" w:rsidR="00454A29" w:rsidRDefault="00454A29">
            <w:pPr>
              <w:pStyle w:val="ConsPlusNormal"/>
              <w:jc w:val="right"/>
            </w:pPr>
            <w:r>
              <w:t>-</w:t>
            </w:r>
          </w:p>
        </w:tc>
        <w:tc>
          <w:tcPr>
            <w:tcW w:w="1304" w:type="dxa"/>
            <w:vAlign w:val="center"/>
          </w:tcPr>
          <w:p w14:paraId="0EDC1112" w14:textId="77777777" w:rsidR="00454A29" w:rsidRDefault="00454A29">
            <w:pPr>
              <w:pStyle w:val="ConsPlusNormal"/>
              <w:jc w:val="right"/>
            </w:pPr>
            <w:r>
              <w:t>-</w:t>
            </w:r>
          </w:p>
        </w:tc>
        <w:tc>
          <w:tcPr>
            <w:tcW w:w="1304" w:type="dxa"/>
            <w:vAlign w:val="center"/>
          </w:tcPr>
          <w:p w14:paraId="2B879C28" w14:textId="77777777" w:rsidR="00454A29" w:rsidRDefault="00454A29">
            <w:pPr>
              <w:pStyle w:val="ConsPlusNormal"/>
              <w:jc w:val="right"/>
            </w:pPr>
            <w:r>
              <w:t>-</w:t>
            </w:r>
          </w:p>
        </w:tc>
        <w:tc>
          <w:tcPr>
            <w:tcW w:w="1304" w:type="dxa"/>
            <w:vAlign w:val="center"/>
          </w:tcPr>
          <w:p w14:paraId="0C7E825A" w14:textId="77777777" w:rsidR="00454A29" w:rsidRDefault="00454A29">
            <w:pPr>
              <w:pStyle w:val="ConsPlusNormal"/>
              <w:jc w:val="right"/>
            </w:pPr>
            <w:r>
              <w:t>-</w:t>
            </w:r>
          </w:p>
        </w:tc>
      </w:tr>
      <w:tr w:rsidR="00454A29" w14:paraId="1FE9DA08" w14:textId="77777777">
        <w:tc>
          <w:tcPr>
            <w:tcW w:w="2041" w:type="dxa"/>
            <w:vMerge/>
          </w:tcPr>
          <w:p w14:paraId="0958736B" w14:textId="77777777" w:rsidR="00454A29" w:rsidRDefault="00454A29"/>
        </w:tc>
        <w:tc>
          <w:tcPr>
            <w:tcW w:w="3005" w:type="dxa"/>
            <w:vMerge/>
          </w:tcPr>
          <w:p w14:paraId="21509422" w14:textId="77777777" w:rsidR="00454A29" w:rsidRDefault="00454A29"/>
        </w:tc>
        <w:tc>
          <w:tcPr>
            <w:tcW w:w="2778" w:type="dxa"/>
            <w:vAlign w:val="center"/>
          </w:tcPr>
          <w:p w14:paraId="2B4FA209" w14:textId="77777777" w:rsidR="00454A29" w:rsidRDefault="00454A29">
            <w:pPr>
              <w:pStyle w:val="ConsPlusNormal"/>
            </w:pPr>
            <w:r>
              <w:t>Государственный бюджет Республики Саха (Якутия)</w:t>
            </w:r>
          </w:p>
        </w:tc>
        <w:tc>
          <w:tcPr>
            <w:tcW w:w="1304" w:type="dxa"/>
            <w:vAlign w:val="center"/>
          </w:tcPr>
          <w:p w14:paraId="29080A43" w14:textId="77777777" w:rsidR="00454A29" w:rsidRDefault="00454A29">
            <w:pPr>
              <w:pStyle w:val="ConsPlusNormal"/>
            </w:pPr>
          </w:p>
        </w:tc>
        <w:tc>
          <w:tcPr>
            <w:tcW w:w="1247" w:type="dxa"/>
            <w:vAlign w:val="center"/>
          </w:tcPr>
          <w:p w14:paraId="347E81C2" w14:textId="77777777" w:rsidR="00454A29" w:rsidRDefault="00454A29">
            <w:pPr>
              <w:pStyle w:val="ConsPlusNormal"/>
            </w:pPr>
          </w:p>
        </w:tc>
        <w:tc>
          <w:tcPr>
            <w:tcW w:w="1304" w:type="dxa"/>
            <w:vAlign w:val="center"/>
          </w:tcPr>
          <w:p w14:paraId="7444CC03" w14:textId="77777777" w:rsidR="00454A29" w:rsidRDefault="00454A29">
            <w:pPr>
              <w:pStyle w:val="ConsPlusNormal"/>
            </w:pPr>
          </w:p>
        </w:tc>
        <w:tc>
          <w:tcPr>
            <w:tcW w:w="1304" w:type="dxa"/>
            <w:vAlign w:val="center"/>
          </w:tcPr>
          <w:p w14:paraId="0E537572" w14:textId="77777777" w:rsidR="00454A29" w:rsidRDefault="00454A29">
            <w:pPr>
              <w:pStyle w:val="ConsPlusNormal"/>
            </w:pPr>
          </w:p>
        </w:tc>
        <w:tc>
          <w:tcPr>
            <w:tcW w:w="1304" w:type="dxa"/>
            <w:vAlign w:val="center"/>
          </w:tcPr>
          <w:p w14:paraId="32CD4EB0" w14:textId="77777777" w:rsidR="00454A29" w:rsidRDefault="00454A29">
            <w:pPr>
              <w:pStyle w:val="ConsPlusNormal"/>
            </w:pPr>
          </w:p>
        </w:tc>
        <w:tc>
          <w:tcPr>
            <w:tcW w:w="1304" w:type="dxa"/>
            <w:vAlign w:val="center"/>
          </w:tcPr>
          <w:p w14:paraId="0950793A" w14:textId="77777777" w:rsidR="00454A29" w:rsidRDefault="00454A29">
            <w:pPr>
              <w:pStyle w:val="ConsPlusNormal"/>
            </w:pPr>
          </w:p>
        </w:tc>
        <w:tc>
          <w:tcPr>
            <w:tcW w:w="1304" w:type="dxa"/>
            <w:vAlign w:val="center"/>
          </w:tcPr>
          <w:p w14:paraId="6F475DE4" w14:textId="77777777" w:rsidR="00454A29" w:rsidRDefault="00454A29">
            <w:pPr>
              <w:pStyle w:val="ConsPlusNormal"/>
            </w:pPr>
          </w:p>
        </w:tc>
      </w:tr>
      <w:tr w:rsidR="00454A29" w14:paraId="64A4E627" w14:textId="77777777">
        <w:tc>
          <w:tcPr>
            <w:tcW w:w="2041" w:type="dxa"/>
            <w:vMerge/>
          </w:tcPr>
          <w:p w14:paraId="695E3574" w14:textId="77777777" w:rsidR="00454A29" w:rsidRDefault="00454A29"/>
        </w:tc>
        <w:tc>
          <w:tcPr>
            <w:tcW w:w="3005" w:type="dxa"/>
            <w:vMerge/>
          </w:tcPr>
          <w:p w14:paraId="5E358718" w14:textId="77777777" w:rsidR="00454A29" w:rsidRDefault="00454A29"/>
        </w:tc>
        <w:tc>
          <w:tcPr>
            <w:tcW w:w="2778" w:type="dxa"/>
            <w:vAlign w:val="center"/>
          </w:tcPr>
          <w:p w14:paraId="468C8965" w14:textId="77777777" w:rsidR="00454A29" w:rsidRDefault="00454A29">
            <w:pPr>
              <w:pStyle w:val="ConsPlusNormal"/>
            </w:pPr>
            <w:r>
              <w:t>Федеральный бюджет</w:t>
            </w:r>
          </w:p>
        </w:tc>
        <w:tc>
          <w:tcPr>
            <w:tcW w:w="1304" w:type="dxa"/>
            <w:vAlign w:val="center"/>
          </w:tcPr>
          <w:p w14:paraId="187FD431" w14:textId="77777777" w:rsidR="00454A29" w:rsidRDefault="00454A29">
            <w:pPr>
              <w:pStyle w:val="ConsPlusNormal"/>
            </w:pPr>
          </w:p>
        </w:tc>
        <w:tc>
          <w:tcPr>
            <w:tcW w:w="1247" w:type="dxa"/>
            <w:vAlign w:val="center"/>
          </w:tcPr>
          <w:p w14:paraId="7AFC0FDF" w14:textId="77777777" w:rsidR="00454A29" w:rsidRDefault="00454A29">
            <w:pPr>
              <w:pStyle w:val="ConsPlusNormal"/>
            </w:pPr>
          </w:p>
        </w:tc>
        <w:tc>
          <w:tcPr>
            <w:tcW w:w="1304" w:type="dxa"/>
            <w:vAlign w:val="center"/>
          </w:tcPr>
          <w:p w14:paraId="32F9E76E" w14:textId="77777777" w:rsidR="00454A29" w:rsidRDefault="00454A29">
            <w:pPr>
              <w:pStyle w:val="ConsPlusNormal"/>
            </w:pPr>
          </w:p>
        </w:tc>
        <w:tc>
          <w:tcPr>
            <w:tcW w:w="1304" w:type="dxa"/>
            <w:vAlign w:val="center"/>
          </w:tcPr>
          <w:p w14:paraId="383045E5" w14:textId="77777777" w:rsidR="00454A29" w:rsidRDefault="00454A29">
            <w:pPr>
              <w:pStyle w:val="ConsPlusNormal"/>
            </w:pPr>
          </w:p>
        </w:tc>
        <w:tc>
          <w:tcPr>
            <w:tcW w:w="1304" w:type="dxa"/>
            <w:vAlign w:val="center"/>
          </w:tcPr>
          <w:p w14:paraId="2EF6415A" w14:textId="77777777" w:rsidR="00454A29" w:rsidRDefault="00454A29">
            <w:pPr>
              <w:pStyle w:val="ConsPlusNormal"/>
            </w:pPr>
          </w:p>
        </w:tc>
        <w:tc>
          <w:tcPr>
            <w:tcW w:w="1304" w:type="dxa"/>
            <w:vAlign w:val="center"/>
          </w:tcPr>
          <w:p w14:paraId="3835E766" w14:textId="77777777" w:rsidR="00454A29" w:rsidRDefault="00454A29">
            <w:pPr>
              <w:pStyle w:val="ConsPlusNormal"/>
            </w:pPr>
          </w:p>
        </w:tc>
        <w:tc>
          <w:tcPr>
            <w:tcW w:w="1304" w:type="dxa"/>
            <w:vAlign w:val="center"/>
          </w:tcPr>
          <w:p w14:paraId="06FAF565" w14:textId="77777777" w:rsidR="00454A29" w:rsidRDefault="00454A29">
            <w:pPr>
              <w:pStyle w:val="ConsPlusNormal"/>
            </w:pPr>
          </w:p>
        </w:tc>
      </w:tr>
      <w:tr w:rsidR="00454A29" w14:paraId="44D2F505" w14:textId="77777777">
        <w:tc>
          <w:tcPr>
            <w:tcW w:w="2041" w:type="dxa"/>
            <w:vMerge/>
          </w:tcPr>
          <w:p w14:paraId="251E446E" w14:textId="77777777" w:rsidR="00454A29" w:rsidRDefault="00454A29"/>
        </w:tc>
        <w:tc>
          <w:tcPr>
            <w:tcW w:w="3005" w:type="dxa"/>
            <w:vMerge/>
          </w:tcPr>
          <w:p w14:paraId="1533F6C5" w14:textId="77777777" w:rsidR="00454A29" w:rsidRDefault="00454A29"/>
        </w:tc>
        <w:tc>
          <w:tcPr>
            <w:tcW w:w="2778" w:type="dxa"/>
            <w:vAlign w:val="center"/>
          </w:tcPr>
          <w:p w14:paraId="058EAFFF" w14:textId="77777777" w:rsidR="00454A29" w:rsidRDefault="00454A29">
            <w:pPr>
              <w:pStyle w:val="ConsPlusNormal"/>
            </w:pPr>
            <w:r>
              <w:t>Местные бюджеты</w:t>
            </w:r>
          </w:p>
        </w:tc>
        <w:tc>
          <w:tcPr>
            <w:tcW w:w="1304" w:type="dxa"/>
            <w:vAlign w:val="center"/>
          </w:tcPr>
          <w:p w14:paraId="4E02879A" w14:textId="77777777" w:rsidR="00454A29" w:rsidRDefault="00454A29">
            <w:pPr>
              <w:pStyle w:val="ConsPlusNormal"/>
            </w:pPr>
          </w:p>
        </w:tc>
        <w:tc>
          <w:tcPr>
            <w:tcW w:w="1247" w:type="dxa"/>
            <w:vAlign w:val="center"/>
          </w:tcPr>
          <w:p w14:paraId="5219011A" w14:textId="77777777" w:rsidR="00454A29" w:rsidRDefault="00454A29">
            <w:pPr>
              <w:pStyle w:val="ConsPlusNormal"/>
            </w:pPr>
          </w:p>
        </w:tc>
        <w:tc>
          <w:tcPr>
            <w:tcW w:w="1304" w:type="dxa"/>
            <w:vAlign w:val="center"/>
          </w:tcPr>
          <w:p w14:paraId="244C1A57" w14:textId="77777777" w:rsidR="00454A29" w:rsidRDefault="00454A29">
            <w:pPr>
              <w:pStyle w:val="ConsPlusNormal"/>
            </w:pPr>
          </w:p>
        </w:tc>
        <w:tc>
          <w:tcPr>
            <w:tcW w:w="1304" w:type="dxa"/>
            <w:vAlign w:val="center"/>
          </w:tcPr>
          <w:p w14:paraId="169B318F" w14:textId="77777777" w:rsidR="00454A29" w:rsidRDefault="00454A29">
            <w:pPr>
              <w:pStyle w:val="ConsPlusNormal"/>
            </w:pPr>
          </w:p>
        </w:tc>
        <w:tc>
          <w:tcPr>
            <w:tcW w:w="1304" w:type="dxa"/>
            <w:vAlign w:val="center"/>
          </w:tcPr>
          <w:p w14:paraId="5AC8E608" w14:textId="77777777" w:rsidR="00454A29" w:rsidRDefault="00454A29">
            <w:pPr>
              <w:pStyle w:val="ConsPlusNormal"/>
            </w:pPr>
          </w:p>
        </w:tc>
        <w:tc>
          <w:tcPr>
            <w:tcW w:w="1304" w:type="dxa"/>
            <w:vAlign w:val="center"/>
          </w:tcPr>
          <w:p w14:paraId="682DABC0" w14:textId="77777777" w:rsidR="00454A29" w:rsidRDefault="00454A29">
            <w:pPr>
              <w:pStyle w:val="ConsPlusNormal"/>
            </w:pPr>
          </w:p>
        </w:tc>
        <w:tc>
          <w:tcPr>
            <w:tcW w:w="1304" w:type="dxa"/>
            <w:vAlign w:val="center"/>
          </w:tcPr>
          <w:p w14:paraId="3B22E5B4" w14:textId="77777777" w:rsidR="00454A29" w:rsidRDefault="00454A29">
            <w:pPr>
              <w:pStyle w:val="ConsPlusNormal"/>
            </w:pPr>
          </w:p>
        </w:tc>
      </w:tr>
      <w:tr w:rsidR="00454A29" w14:paraId="6E610145" w14:textId="77777777">
        <w:tc>
          <w:tcPr>
            <w:tcW w:w="2041" w:type="dxa"/>
            <w:vMerge/>
          </w:tcPr>
          <w:p w14:paraId="6C0E975B" w14:textId="77777777" w:rsidR="00454A29" w:rsidRDefault="00454A29"/>
        </w:tc>
        <w:tc>
          <w:tcPr>
            <w:tcW w:w="3005" w:type="dxa"/>
            <w:vMerge/>
          </w:tcPr>
          <w:p w14:paraId="06D17666" w14:textId="77777777" w:rsidR="00454A29" w:rsidRDefault="00454A29"/>
        </w:tc>
        <w:tc>
          <w:tcPr>
            <w:tcW w:w="2778" w:type="dxa"/>
            <w:vAlign w:val="center"/>
          </w:tcPr>
          <w:p w14:paraId="2CB7CFBE" w14:textId="77777777" w:rsidR="00454A29" w:rsidRDefault="00454A29">
            <w:pPr>
              <w:pStyle w:val="ConsPlusNormal"/>
            </w:pPr>
            <w:r>
              <w:t>Внебюджетные средства</w:t>
            </w:r>
          </w:p>
        </w:tc>
        <w:tc>
          <w:tcPr>
            <w:tcW w:w="1304" w:type="dxa"/>
            <w:vAlign w:val="center"/>
          </w:tcPr>
          <w:p w14:paraId="22A977B4" w14:textId="77777777" w:rsidR="00454A29" w:rsidRDefault="00454A29">
            <w:pPr>
              <w:pStyle w:val="ConsPlusNormal"/>
            </w:pPr>
          </w:p>
        </w:tc>
        <w:tc>
          <w:tcPr>
            <w:tcW w:w="1247" w:type="dxa"/>
            <w:vAlign w:val="center"/>
          </w:tcPr>
          <w:p w14:paraId="5A61F966" w14:textId="77777777" w:rsidR="00454A29" w:rsidRDefault="00454A29">
            <w:pPr>
              <w:pStyle w:val="ConsPlusNormal"/>
            </w:pPr>
          </w:p>
        </w:tc>
        <w:tc>
          <w:tcPr>
            <w:tcW w:w="1304" w:type="dxa"/>
            <w:vAlign w:val="center"/>
          </w:tcPr>
          <w:p w14:paraId="7BA9A30E" w14:textId="77777777" w:rsidR="00454A29" w:rsidRDefault="00454A29">
            <w:pPr>
              <w:pStyle w:val="ConsPlusNormal"/>
            </w:pPr>
          </w:p>
        </w:tc>
        <w:tc>
          <w:tcPr>
            <w:tcW w:w="1304" w:type="dxa"/>
            <w:vAlign w:val="center"/>
          </w:tcPr>
          <w:p w14:paraId="35E14A98" w14:textId="77777777" w:rsidR="00454A29" w:rsidRDefault="00454A29">
            <w:pPr>
              <w:pStyle w:val="ConsPlusNormal"/>
            </w:pPr>
          </w:p>
        </w:tc>
        <w:tc>
          <w:tcPr>
            <w:tcW w:w="1304" w:type="dxa"/>
            <w:vAlign w:val="center"/>
          </w:tcPr>
          <w:p w14:paraId="1EF78276" w14:textId="77777777" w:rsidR="00454A29" w:rsidRDefault="00454A29">
            <w:pPr>
              <w:pStyle w:val="ConsPlusNormal"/>
            </w:pPr>
          </w:p>
        </w:tc>
        <w:tc>
          <w:tcPr>
            <w:tcW w:w="1304" w:type="dxa"/>
            <w:vAlign w:val="center"/>
          </w:tcPr>
          <w:p w14:paraId="1854A929" w14:textId="77777777" w:rsidR="00454A29" w:rsidRDefault="00454A29">
            <w:pPr>
              <w:pStyle w:val="ConsPlusNormal"/>
            </w:pPr>
          </w:p>
        </w:tc>
        <w:tc>
          <w:tcPr>
            <w:tcW w:w="1304" w:type="dxa"/>
            <w:vAlign w:val="center"/>
          </w:tcPr>
          <w:p w14:paraId="02EA3788" w14:textId="77777777" w:rsidR="00454A29" w:rsidRDefault="00454A29">
            <w:pPr>
              <w:pStyle w:val="ConsPlusNormal"/>
            </w:pPr>
          </w:p>
        </w:tc>
      </w:tr>
      <w:tr w:rsidR="00454A29" w14:paraId="444B663F" w14:textId="77777777">
        <w:tc>
          <w:tcPr>
            <w:tcW w:w="2041" w:type="dxa"/>
            <w:vMerge w:val="restart"/>
            <w:vAlign w:val="center"/>
          </w:tcPr>
          <w:p w14:paraId="1A7A9BFF" w14:textId="77777777" w:rsidR="00454A29" w:rsidRDefault="00454A29">
            <w:pPr>
              <w:pStyle w:val="ConsPlusNormal"/>
              <w:jc w:val="center"/>
            </w:pPr>
            <w:r>
              <w:t>Основное мероприятие 3.10.</w:t>
            </w:r>
          </w:p>
        </w:tc>
        <w:tc>
          <w:tcPr>
            <w:tcW w:w="3005" w:type="dxa"/>
            <w:vMerge w:val="restart"/>
            <w:vAlign w:val="center"/>
          </w:tcPr>
          <w:p w14:paraId="6CBF4DA4" w14:textId="77777777" w:rsidR="00454A29" w:rsidRDefault="00454A29">
            <w:pPr>
              <w:pStyle w:val="ConsPlusNormal"/>
              <w:jc w:val="center"/>
            </w:pPr>
            <w:r>
              <w:t>Реализация регионального проекта "Новые возможности для каждого"</w:t>
            </w:r>
          </w:p>
        </w:tc>
        <w:tc>
          <w:tcPr>
            <w:tcW w:w="2778" w:type="dxa"/>
            <w:vAlign w:val="center"/>
          </w:tcPr>
          <w:p w14:paraId="02127BC7" w14:textId="77777777" w:rsidR="00454A29" w:rsidRDefault="00454A29">
            <w:pPr>
              <w:pStyle w:val="ConsPlusNormal"/>
            </w:pPr>
            <w:r>
              <w:t>Всего:</w:t>
            </w:r>
          </w:p>
        </w:tc>
        <w:tc>
          <w:tcPr>
            <w:tcW w:w="1304" w:type="dxa"/>
            <w:vAlign w:val="center"/>
          </w:tcPr>
          <w:p w14:paraId="1A2323B0" w14:textId="77777777" w:rsidR="00454A29" w:rsidRDefault="00454A29">
            <w:pPr>
              <w:pStyle w:val="ConsPlusNormal"/>
              <w:jc w:val="right"/>
            </w:pPr>
            <w:r>
              <w:t>-</w:t>
            </w:r>
          </w:p>
        </w:tc>
        <w:tc>
          <w:tcPr>
            <w:tcW w:w="1247" w:type="dxa"/>
            <w:vAlign w:val="center"/>
          </w:tcPr>
          <w:p w14:paraId="511CD8BA" w14:textId="77777777" w:rsidR="00454A29" w:rsidRDefault="00454A29">
            <w:pPr>
              <w:pStyle w:val="ConsPlusNormal"/>
              <w:jc w:val="right"/>
            </w:pPr>
            <w:r>
              <w:t>-</w:t>
            </w:r>
          </w:p>
        </w:tc>
        <w:tc>
          <w:tcPr>
            <w:tcW w:w="1304" w:type="dxa"/>
            <w:vAlign w:val="center"/>
          </w:tcPr>
          <w:p w14:paraId="5AB3347B" w14:textId="77777777" w:rsidR="00454A29" w:rsidRDefault="00454A29">
            <w:pPr>
              <w:pStyle w:val="ConsPlusNormal"/>
              <w:jc w:val="right"/>
            </w:pPr>
            <w:r>
              <w:t>-</w:t>
            </w:r>
          </w:p>
        </w:tc>
        <w:tc>
          <w:tcPr>
            <w:tcW w:w="1304" w:type="dxa"/>
            <w:vAlign w:val="center"/>
          </w:tcPr>
          <w:p w14:paraId="27F13584" w14:textId="77777777" w:rsidR="00454A29" w:rsidRDefault="00454A29">
            <w:pPr>
              <w:pStyle w:val="ConsPlusNormal"/>
              <w:jc w:val="right"/>
            </w:pPr>
            <w:r>
              <w:t>-</w:t>
            </w:r>
          </w:p>
        </w:tc>
        <w:tc>
          <w:tcPr>
            <w:tcW w:w="1304" w:type="dxa"/>
            <w:vAlign w:val="center"/>
          </w:tcPr>
          <w:p w14:paraId="6B9ED2D5" w14:textId="77777777" w:rsidR="00454A29" w:rsidRDefault="00454A29">
            <w:pPr>
              <w:pStyle w:val="ConsPlusNormal"/>
              <w:jc w:val="right"/>
            </w:pPr>
            <w:r>
              <w:t>-</w:t>
            </w:r>
          </w:p>
        </w:tc>
        <w:tc>
          <w:tcPr>
            <w:tcW w:w="1304" w:type="dxa"/>
            <w:vAlign w:val="center"/>
          </w:tcPr>
          <w:p w14:paraId="470B12F7" w14:textId="77777777" w:rsidR="00454A29" w:rsidRDefault="00454A29">
            <w:pPr>
              <w:pStyle w:val="ConsPlusNormal"/>
              <w:jc w:val="right"/>
            </w:pPr>
            <w:r>
              <w:t>-</w:t>
            </w:r>
          </w:p>
        </w:tc>
        <w:tc>
          <w:tcPr>
            <w:tcW w:w="1304" w:type="dxa"/>
            <w:vAlign w:val="center"/>
          </w:tcPr>
          <w:p w14:paraId="0EE362A1" w14:textId="77777777" w:rsidR="00454A29" w:rsidRDefault="00454A29">
            <w:pPr>
              <w:pStyle w:val="ConsPlusNormal"/>
              <w:jc w:val="right"/>
            </w:pPr>
            <w:r>
              <w:t>-</w:t>
            </w:r>
          </w:p>
        </w:tc>
      </w:tr>
      <w:tr w:rsidR="00454A29" w14:paraId="0BAA6848" w14:textId="77777777">
        <w:tc>
          <w:tcPr>
            <w:tcW w:w="2041" w:type="dxa"/>
            <w:vMerge/>
          </w:tcPr>
          <w:p w14:paraId="1B9E5BBA" w14:textId="77777777" w:rsidR="00454A29" w:rsidRDefault="00454A29"/>
        </w:tc>
        <w:tc>
          <w:tcPr>
            <w:tcW w:w="3005" w:type="dxa"/>
            <w:vMerge/>
          </w:tcPr>
          <w:p w14:paraId="2531A412" w14:textId="77777777" w:rsidR="00454A29" w:rsidRDefault="00454A29"/>
        </w:tc>
        <w:tc>
          <w:tcPr>
            <w:tcW w:w="2778" w:type="dxa"/>
            <w:vAlign w:val="center"/>
          </w:tcPr>
          <w:p w14:paraId="7C701489" w14:textId="77777777" w:rsidR="00454A29" w:rsidRDefault="00454A29">
            <w:pPr>
              <w:pStyle w:val="ConsPlusNormal"/>
            </w:pPr>
            <w:r>
              <w:t>Государственный бюджет Республики Саха (Якутия)</w:t>
            </w:r>
          </w:p>
        </w:tc>
        <w:tc>
          <w:tcPr>
            <w:tcW w:w="1304" w:type="dxa"/>
            <w:vAlign w:val="center"/>
          </w:tcPr>
          <w:p w14:paraId="72D0CF57" w14:textId="77777777" w:rsidR="00454A29" w:rsidRDefault="00454A29">
            <w:pPr>
              <w:pStyle w:val="ConsPlusNormal"/>
            </w:pPr>
          </w:p>
        </w:tc>
        <w:tc>
          <w:tcPr>
            <w:tcW w:w="1247" w:type="dxa"/>
            <w:vAlign w:val="center"/>
          </w:tcPr>
          <w:p w14:paraId="4FAF3B4F" w14:textId="77777777" w:rsidR="00454A29" w:rsidRDefault="00454A29">
            <w:pPr>
              <w:pStyle w:val="ConsPlusNormal"/>
            </w:pPr>
          </w:p>
        </w:tc>
        <w:tc>
          <w:tcPr>
            <w:tcW w:w="1304" w:type="dxa"/>
            <w:vAlign w:val="center"/>
          </w:tcPr>
          <w:p w14:paraId="10832589" w14:textId="77777777" w:rsidR="00454A29" w:rsidRDefault="00454A29">
            <w:pPr>
              <w:pStyle w:val="ConsPlusNormal"/>
            </w:pPr>
          </w:p>
        </w:tc>
        <w:tc>
          <w:tcPr>
            <w:tcW w:w="1304" w:type="dxa"/>
            <w:vAlign w:val="center"/>
          </w:tcPr>
          <w:p w14:paraId="1243B876" w14:textId="77777777" w:rsidR="00454A29" w:rsidRDefault="00454A29">
            <w:pPr>
              <w:pStyle w:val="ConsPlusNormal"/>
            </w:pPr>
          </w:p>
        </w:tc>
        <w:tc>
          <w:tcPr>
            <w:tcW w:w="1304" w:type="dxa"/>
            <w:vAlign w:val="center"/>
          </w:tcPr>
          <w:p w14:paraId="4B08497A" w14:textId="77777777" w:rsidR="00454A29" w:rsidRDefault="00454A29">
            <w:pPr>
              <w:pStyle w:val="ConsPlusNormal"/>
            </w:pPr>
          </w:p>
        </w:tc>
        <w:tc>
          <w:tcPr>
            <w:tcW w:w="1304" w:type="dxa"/>
            <w:vAlign w:val="center"/>
          </w:tcPr>
          <w:p w14:paraId="17F7B985" w14:textId="77777777" w:rsidR="00454A29" w:rsidRDefault="00454A29">
            <w:pPr>
              <w:pStyle w:val="ConsPlusNormal"/>
            </w:pPr>
          </w:p>
        </w:tc>
        <w:tc>
          <w:tcPr>
            <w:tcW w:w="1304" w:type="dxa"/>
            <w:vAlign w:val="center"/>
          </w:tcPr>
          <w:p w14:paraId="1594E1E2" w14:textId="77777777" w:rsidR="00454A29" w:rsidRDefault="00454A29">
            <w:pPr>
              <w:pStyle w:val="ConsPlusNormal"/>
            </w:pPr>
          </w:p>
        </w:tc>
      </w:tr>
      <w:tr w:rsidR="00454A29" w14:paraId="6F1FB560" w14:textId="77777777">
        <w:tc>
          <w:tcPr>
            <w:tcW w:w="2041" w:type="dxa"/>
            <w:vMerge/>
          </w:tcPr>
          <w:p w14:paraId="236F4915" w14:textId="77777777" w:rsidR="00454A29" w:rsidRDefault="00454A29"/>
        </w:tc>
        <w:tc>
          <w:tcPr>
            <w:tcW w:w="3005" w:type="dxa"/>
            <w:vMerge/>
          </w:tcPr>
          <w:p w14:paraId="7F536392" w14:textId="77777777" w:rsidR="00454A29" w:rsidRDefault="00454A29"/>
        </w:tc>
        <w:tc>
          <w:tcPr>
            <w:tcW w:w="2778" w:type="dxa"/>
            <w:vAlign w:val="center"/>
          </w:tcPr>
          <w:p w14:paraId="3D1FDA0A" w14:textId="77777777" w:rsidR="00454A29" w:rsidRDefault="00454A29">
            <w:pPr>
              <w:pStyle w:val="ConsPlusNormal"/>
            </w:pPr>
            <w:r>
              <w:t>Федеральный бюджет</w:t>
            </w:r>
          </w:p>
        </w:tc>
        <w:tc>
          <w:tcPr>
            <w:tcW w:w="1304" w:type="dxa"/>
            <w:vAlign w:val="center"/>
          </w:tcPr>
          <w:p w14:paraId="09FC912C" w14:textId="77777777" w:rsidR="00454A29" w:rsidRDefault="00454A29">
            <w:pPr>
              <w:pStyle w:val="ConsPlusNormal"/>
            </w:pPr>
          </w:p>
        </w:tc>
        <w:tc>
          <w:tcPr>
            <w:tcW w:w="1247" w:type="dxa"/>
            <w:vAlign w:val="center"/>
          </w:tcPr>
          <w:p w14:paraId="3959E8CD" w14:textId="77777777" w:rsidR="00454A29" w:rsidRDefault="00454A29">
            <w:pPr>
              <w:pStyle w:val="ConsPlusNormal"/>
            </w:pPr>
          </w:p>
        </w:tc>
        <w:tc>
          <w:tcPr>
            <w:tcW w:w="1304" w:type="dxa"/>
            <w:vAlign w:val="center"/>
          </w:tcPr>
          <w:p w14:paraId="4944D391" w14:textId="77777777" w:rsidR="00454A29" w:rsidRDefault="00454A29">
            <w:pPr>
              <w:pStyle w:val="ConsPlusNormal"/>
            </w:pPr>
          </w:p>
        </w:tc>
        <w:tc>
          <w:tcPr>
            <w:tcW w:w="1304" w:type="dxa"/>
            <w:vAlign w:val="center"/>
          </w:tcPr>
          <w:p w14:paraId="70754C5F" w14:textId="77777777" w:rsidR="00454A29" w:rsidRDefault="00454A29">
            <w:pPr>
              <w:pStyle w:val="ConsPlusNormal"/>
            </w:pPr>
          </w:p>
        </w:tc>
        <w:tc>
          <w:tcPr>
            <w:tcW w:w="1304" w:type="dxa"/>
            <w:vAlign w:val="center"/>
          </w:tcPr>
          <w:p w14:paraId="5EFFCB86" w14:textId="77777777" w:rsidR="00454A29" w:rsidRDefault="00454A29">
            <w:pPr>
              <w:pStyle w:val="ConsPlusNormal"/>
            </w:pPr>
          </w:p>
        </w:tc>
        <w:tc>
          <w:tcPr>
            <w:tcW w:w="1304" w:type="dxa"/>
            <w:vAlign w:val="center"/>
          </w:tcPr>
          <w:p w14:paraId="162FCCFE" w14:textId="77777777" w:rsidR="00454A29" w:rsidRDefault="00454A29">
            <w:pPr>
              <w:pStyle w:val="ConsPlusNormal"/>
            </w:pPr>
          </w:p>
        </w:tc>
        <w:tc>
          <w:tcPr>
            <w:tcW w:w="1304" w:type="dxa"/>
            <w:vAlign w:val="center"/>
          </w:tcPr>
          <w:p w14:paraId="42D7E2AC" w14:textId="77777777" w:rsidR="00454A29" w:rsidRDefault="00454A29">
            <w:pPr>
              <w:pStyle w:val="ConsPlusNormal"/>
            </w:pPr>
          </w:p>
        </w:tc>
      </w:tr>
      <w:tr w:rsidR="00454A29" w14:paraId="5B473FD7" w14:textId="77777777">
        <w:tc>
          <w:tcPr>
            <w:tcW w:w="2041" w:type="dxa"/>
            <w:vMerge/>
          </w:tcPr>
          <w:p w14:paraId="2E7E1C5C" w14:textId="77777777" w:rsidR="00454A29" w:rsidRDefault="00454A29"/>
        </w:tc>
        <w:tc>
          <w:tcPr>
            <w:tcW w:w="3005" w:type="dxa"/>
            <w:vMerge/>
          </w:tcPr>
          <w:p w14:paraId="3712D242" w14:textId="77777777" w:rsidR="00454A29" w:rsidRDefault="00454A29"/>
        </w:tc>
        <w:tc>
          <w:tcPr>
            <w:tcW w:w="2778" w:type="dxa"/>
            <w:vAlign w:val="center"/>
          </w:tcPr>
          <w:p w14:paraId="681909D6" w14:textId="77777777" w:rsidR="00454A29" w:rsidRDefault="00454A29">
            <w:pPr>
              <w:pStyle w:val="ConsPlusNormal"/>
            </w:pPr>
            <w:r>
              <w:t>Местные бюджеты</w:t>
            </w:r>
          </w:p>
        </w:tc>
        <w:tc>
          <w:tcPr>
            <w:tcW w:w="1304" w:type="dxa"/>
            <w:vAlign w:val="center"/>
          </w:tcPr>
          <w:p w14:paraId="239B4B1C" w14:textId="77777777" w:rsidR="00454A29" w:rsidRDefault="00454A29">
            <w:pPr>
              <w:pStyle w:val="ConsPlusNormal"/>
            </w:pPr>
          </w:p>
        </w:tc>
        <w:tc>
          <w:tcPr>
            <w:tcW w:w="1247" w:type="dxa"/>
            <w:vAlign w:val="center"/>
          </w:tcPr>
          <w:p w14:paraId="179D2806" w14:textId="77777777" w:rsidR="00454A29" w:rsidRDefault="00454A29">
            <w:pPr>
              <w:pStyle w:val="ConsPlusNormal"/>
            </w:pPr>
          </w:p>
        </w:tc>
        <w:tc>
          <w:tcPr>
            <w:tcW w:w="1304" w:type="dxa"/>
            <w:vAlign w:val="center"/>
          </w:tcPr>
          <w:p w14:paraId="03152029" w14:textId="77777777" w:rsidR="00454A29" w:rsidRDefault="00454A29">
            <w:pPr>
              <w:pStyle w:val="ConsPlusNormal"/>
            </w:pPr>
          </w:p>
        </w:tc>
        <w:tc>
          <w:tcPr>
            <w:tcW w:w="1304" w:type="dxa"/>
            <w:vAlign w:val="center"/>
          </w:tcPr>
          <w:p w14:paraId="5C7F7E4A" w14:textId="77777777" w:rsidR="00454A29" w:rsidRDefault="00454A29">
            <w:pPr>
              <w:pStyle w:val="ConsPlusNormal"/>
            </w:pPr>
          </w:p>
        </w:tc>
        <w:tc>
          <w:tcPr>
            <w:tcW w:w="1304" w:type="dxa"/>
            <w:vAlign w:val="center"/>
          </w:tcPr>
          <w:p w14:paraId="221CBBF9" w14:textId="77777777" w:rsidR="00454A29" w:rsidRDefault="00454A29">
            <w:pPr>
              <w:pStyle w:val="ConsPlusNormal"/>
            </w:pPr>
          </w:p>
        </w:tc>
        <w:tc>
          <w:tcPr>
            <w:tcW w:w="1304" w:type="dxa"/>
            <w:vAlign w:val="center"/>
          </w:tcPr>
          <w:p w14:paraId="4363F6D4" w14:textId="77777777" w:rsidR="00454A29" w:rsidRDefault="00454A29">
            <w:pPr>
              <w:pStyle w:val="ConsPlusNormal"/>
            </w:pPr>
          </w:p>
        </w:tc>
        <w:tc>
          <w:tcPr>
            <w:tcW w:w="1304" w:type="dxa"/>
            <w:vAlign w:val="center"/>
          </w:tcPr>
          <w:p w14:paraId="6D0105C5" w14:textId="77777777" w:rsidR="00454A29" w:rsidRDefault="00454A29">
            <w:pPr>
              <w:pStyle w:val="ConsPlusNormal"/>
            </w:pPr>
          </w:p>
        </w:tc>
      </w:tr>
      <w:tr w:rsidR="00454A29" w14:paraId="4B33FFAB" w14:textId="77777777">
        <w:tc>
          <w:tcPr>
            <w:tcW w:w="2041" w:type="dxa"/>
            <w:vMerge/>
          </w:tcPr>
          <w:p w14:paraId="5768FCE3" w14:textId="77777777" w:rsidR="00454A29" w:rsidRDefault="00454A29"/>
        </w:tc>
        <w:tc>
          <w:tcPr>
            <w:tcW w:w="3005" w:type="dxa"/>
            <w:vMerge/>
          </w:tcPr>
          <w:p w14:paraId="71BA6BE0" w14:textId="77777777" w:rsidR="00454A29" w:rsidRDefault="00454A29"/>
        </w:tc>
        <w:tc>
          <w:tcPr>
            <w:tcW w:w="2778" w:type="dxa"/>
            <w:vAlign w:val="center"/>
          </w:tcPr>
          <w:p w14:paraId="17C9614B" w14:textId="77777777" w:rsidR="00454A29" w:rsidRDefault="00454A29">
            <w:pPr>
              <w:pStyle w:val="ConsPlusNormal"/>
            </w:pPr>
            <w:r>
              <w:t>Внебюджетные средства</w:t>
            </w:r>
          </w:p>
        </w:tc>
        <w:tc>
          <w:tcPr>
            <w:tcW w:w="1304" w:type="dxa"/>
            <w:vAlign w:val="center"/>
          </w:tcPr>
          <w:p w14:paraId="23A649E6" w14:textId="77777777" w:rsidR="00454A29" w:rsidRDefault="00454A29">
            <w:pPr>
              <w:pStyle w:val="ConsPlusNormal"/>
            </w:pPr>
          </w:p>
        </w:tc>
        <w:tc>
          <w:tcPr>
            <w:tcW w:w="1247" w:type="dxa"/>
            <w:vAlign w:val="center"/>
          </w:tcPr>
          <w:p w14:paraId="3D6DB341" w14:textId="77777777" w:rsidR="00454A29" w:rsidRDefault="00454A29">
            <w:pPr>
              <w:pStyle w:val="ConsPlusNormal"/>
            </w:pPr>
          </w:p>
        </w:tc>
        <w:tc>
          <w:tcPr>
            <w:tcW w:w="1304" w:type="dxa"/>
            <w:vAlign w:val="center"/>
          </w:tcPr>
          <w:p w14:paraId="34828F05" w14:textId="77777777" w:rsidR="00454A29" w:rsidRDefault="00454A29">
            <w:pPr>
              <w:pStyle w:val="ConsPlusNormal"/>
            </w:pPr>
          </w:p>
        </w:tc>
        <w:tc>
          <w:tcPr>
            <w:tcW w:w="1304" w:type="dxa"/>
            <w:vAlign w:val="center"/>
          </w:tcPr>
          <w:p w14:paraId="0FB57475" w14:textId="77777777" w:rsidR="00454A29" w:rsidRDefault="00454A29">
            <w:pPr>
              <w:pStyle w:val="ConsPlusNormal"/>
            </w:pPr>
          </w:p>
        </w:tc>
        <w:tc>
          <w:tcPr>
            <w:tcW w:w="1304" w:type="dxa"/>
            <w:vAlign w:val="center"/>
          </w:tcPr>
          <w:p w14:paraId="3F41647A" w14:textId="77777777" w:rsidR="00454A29" w:rsidRDefault="00454A29">
            <w:pPr>
              <w:pStyle w:val="ConsPlusNormal"/>
            </w:pPr>
          </w:p>
        </w:tc>
        <w:tc>
          <w:tcPr>
            <w:tcW w:w="1304" w:type="dxa"/>
            <w:vAlign w:val="center"/>
          </w:tcPr>
          <w:p w14:paraId="4AB86A18" w14:textId="77777777" w:rsidR="00454A29" w:rsidRDefault="00454A29">
            <w:pPr>
              <w:pStyle w:val="ConsPlusNormal"/>
            </w:pPr>
          </w:p>
        </w:tc>
        <w:tc>
          <w:tcPr>
            <w:tcW w:w="1304" w:type="dxa"/>
            <w:vAlign w:val="center"/>
          </w:tcPr>
          <w:p w14:paraId="1FCB0964" w14:textId="77777777" w:rsidR="00454A29" w:rsidRDefault="00454A29">
            <w:pPr>
              <w:pStyle w:val="ConsPlusNormal"/>
            </w:pPr>
          </w:p>
        </w:tc>
      </w:tr>
      <w:tr w:rsidR="00454A29" w14:paraId="15439AEE" w14:textId="77777777">
        <w:tc>
          <w:tcPr>
            <w:tcW w:w="2041" w:type="dxa"/>
            <w:vMerge w:val="restart"/>
            <w:vAlign w:val="center"/>
          </w:tcPr>
          <w:p w14:paraId="24E421C2" w14:textId="77777777" w:rsidR="00454A29" w:rsidRDefault="00454A29">
            <w:pPr>
              <w:pStyle w:val="ConsPlusNormal"/>
              <w:jc w:val="center"/>
            </w:pPr>
            <w:r>
              <w:t>Основное мероприятие 3.11.</w:t>
            </w:r>
          </w:p>
        </w:tc>
        <w:tc>
          <w:tcPr>
            <w:tcW w:w="3005" w:type="dxa"/>
            <w:vMerge w:val="restart"/>
            <w:vAlign w:val="center"/>
          </w:tcPr>
          <w:p w14:paraId="5EEFD2C3" w14:textId="77777777" w:rsidR="00454A29" w:rsidRDefault="00454A29">
            <w:pPr>
              <w:pStyle w:val="ConsPlusNormal"/>
              <w:jc w:val="center"/>
            </w:pPr>
            <w:r>
              <w:t>"Реализация регионального проекта "Кадры для цифровой экономики"</w:t>
            </w:r>
          </w:p>
        </w:tc>
        <w:tc>
          <w:tcPr>
            <w:tcW w:w="2778" w:type="dxa"/>
            <w:vAlign w:val="center"/>
          </w:tcPr>
          <w:p w14:paraId="31756107" w14:textId="77777777" w:rsidR="00454A29" w:rsidRDefault="00454A29">
            <w:pPr>
              <w:pStyle w:val="ConsPlusNormal"/>
            </w:pPr>
            <w:r>
              <w:t>Всего:</w:t>
            </w:r>
          </w:p>
        </w:tc>
        <w:tc>
          <w:tcPr>
            <w:tcW w:w="1304" w:type="dxa"/>
            <w:vAlign w:val="center"/>
          </w:tcPr>
          <w:p w14:paraId="7F180961" w14:textId="77777777" w:rsidR="00454A29" w:rsidRDefault="00454A29">
            <w:pPr>
              <w:pStyle w:val="ConsPlusNormal"/>
              <w:jc w:val="right"/>
            </w:pPr>
            <w:r>
              <w:t>-</w:t>
            </w:r>
          </w:p>
        </w:tc>
        <w:tc>
          <w:tcPr>
            <w:tcW w:w="1247" w:type="dxa"/>
            <w:vAlign w:val="center"/>
          </w:tcPr>
          <w:p w14:paraId="582CC526" w14:textId="77777777" w:rsidR="00454A29" w:rsidRDefault="00454A29">
            <w:pPr>
              <w:pStyle w:val="ConsPlusNormal"/>
              <w:jc w:val="right"/>
            </w:pPr>
            <w:r>
              <w:t>-</w:t>
            </w:r>
          </w:p>
        </w:tc>
        <w:tc>
          <w:tcPr>
            <w:tcW w:w="1304" w:type="dxa"/>
            <w:vAlign w:val="center"/>
          </w:tcPr>
          <w:p w14:paraId="489426D5" w14:textId="77777777" w:rsidR="00454A29" w:rsidRDefault="00454A29">
            <w:pPr>
              <w:pStyle w:val="ConsPlusNormal"/>
              <w:jc w:val="right"/>
            </w:pPr>
            <w:r>
              <w:t>-</w:t>
            </w:r>
          </w:p>
        </w:tc>
        <w:tc>
          <w:tcPr>
            <w:tcW w:w="1304" w:type="dxa"/>
            <w:vAlign w:val="center"/>
          </w:tcPr>
          <w:p w14:paraId="76A2A606" w14:textId="77777777" w:rsidR="00454A29" w:rsidRDefault="00454A29">
            <w:pPr>
              <w:pStyle w:val="ConsPlusNormal"/>
              <w:jc w:val="right"/>
            </w:pPr>
            <w:r>
              <w:t>-</w:t>
            </w:r>
          </w:p>
        </w:tc>
        <w:tc>
          <w:tcPr>
            <w:tcW w:w="1304" w:type="dxa"/>
            <w:vAlign w:val="center"/>
          </w:tcPr>
          <w:p w14:paraId="58C81C8E" w14:textId="77777777" w:rsidR="00454A29" w:rsidRDefault="00454A29">
            <w:pPr>
              <w:pStyle w:val="ConsPlusNormal"/>
              <w:jc w:val="right"/>
            </w:pPr>
            <w:r>
              <w:t>-</w:t>
            </w:r>
          </w:p>
        </w:tc>
        <w:tc>
          <w:tcPr>
            <w:tcW w:w="1304" w:type="dxa"/>
            <w:vAlign w:val="center"/>
          </w:tcPr>
          <w:p w14:paraId="0FFC4E7A" w14:textId="77777777" w:rsidR="00454A29" w:rsidRDefault="00454A29">
            <w:pPr>
              <w:pStyle w:val="ConsPlusNormal"/>
              <w:jc w:val="right"/>
            </w:pPr>
            <w:r>
              <w:t>-</w:t>
            </w:r>
          </w:p>
        </w:tc>
        <w:tc>
          <w:tcPr>
            <w:tcW w:w="1304" w:type="dxa"/>
            <w:vAlign w:val="center"/>
          </w:tcPr>
          <w:p w14:paraId="5D5B5E75" w14:textId="77777777" w:rsidR="00454A29" w:rsidRDefault="00454A29">
            <w:pPr>
              <w:pStyle w:val="ConsPlusNormal"/>
              <w:jc w:val="right"/>
            </w:pPr>
            <w:r>
              <w:t>-</w:t>
            </w:r>
          </w:p>
        </w:tc>
      </w:tr>
      <w:tr w:rsidR="00454A29" w14:paraId="30B1167F" w14:textId="77777777">
        <w:tc>
          <w:tcPr>
            <w:tcW w:w="2041" w:type="dxa"/>
            <w:vMerge/>
          </w:tcPr>
          <w:p w14:paraId="5D9B4991" w14:textId="77777777" w:rsidR="00454A29" w:rsidRDefault="00454A29"/>
        </w:tc>
        <w:tc>
          <w:tcPr>
            <w:tcW w:w="3005" w:type="dxa"/>
            <w:vMerge/>
          </w:tcPr>
          <w:p w14:paraId="296226DB" w14:textId="77777777" w:rsidR="00454A29" w:rsidRDefault="00454A29"/>
        </w:tc>
        <w:tc>
          <w:tcPr>
            <w:tcW w:w="2778" w:type="dxa"/>
            <w:vAlign w:val="center"/>
          </w:tcPr>
          <w:p w14:paraId="3579579B" w14:textId="77777777" w:rsidR="00454A29" w:rsidRDefault="00454A29">
            <w:pPr>
              <w:pStyle w:val="ConsPlusNormal"/>
            </w:pPr>
            <w:r>
              <w:t>Государственный бюджет Республики Саха (Якутия)</w:t>
            </w:r>
          </w:p>
        </w:tc>
        <w:tc>
          <w:tcPr>
            <w:tcW w:w="1304" w:type="dxa"/>
            <w:vAlign w:val="center"/>
          </w:tcPr>
          <w:p w14:paraId="0B22AA0E" w14:textId="77777777" w:rsidR="00454A29" w:rsidRDefault="00454A29">
            <w:pPr>
              <w:pStyle w:val="ConsPlusNormal"/>
            </w:pPr>
          </w:p>
        </w:tc>
        <w:tc>
          <w:tcPr>
            <w:tcW w:w="1247" w:type="dxa"/>
            <w:vAlign w:val="center"/>
          </w:tcPr>
          <w:p w14:paraId="4BE29F45" w14:textId="77777777" w:rsidR="00454A29" w:rsidRDefault="00454A29">
            <w:pPr>
              <w:pStyle w:val="ConsPlusNormal"/>
            </w:pPr>
          </w:p>
        </w:tc>
        <w:tc>
          <w:tcPr>
            <w:tcW w:w="1304" w:type="dxa"/>
            <w:vAlign w:val="center"/>
          </w:tcPr>
          <w:p w14:paraId="5004FF25" w14:textId="77777777" w:rsidR="00454A29" w:rsidRDefault="00454A29">
            <w:pPr>
              <w:pStyle w:val="ConsPlusNormal"/>
            </w:pPr>
          </w:p>
        </w:tc>
        <w:tc>
          <w:tcPr>
            <w:tcW w:w="1304" w:type="dxa"/>
            <w:vAlign w:val="center"/>
          </w:tcPr>
          <w:p w14:paraId="6ABD098D" w14:textId="77777777" w:rsidR="00454A29" w:rsidRDefault="00454A29">
            <w:pPr>
              <w:pStyle w:val="ConsPlusNormal"/>
            </w:pPr>
          </w:p>
        </w:tc>
        <w:tc>
          <w:tcPr>
            <w:tcW w:w="1304" w:type="dxa"/>
            <w:vAlign w:val="center"/>
          </w:tcPr>
          <w:p w14:paraId="712461A0" w14:textId="77777777" w:rsidR="00454A29" w:rsidRDefault="00454A29">
            <w:pPr>
              <w:pStyle w:val="ConsPlusNormal"/>
            </w:pPr>
          </w:p>
        </w:tc>
        <w:tc>
          <w:tcPr>
            <w:tcW w:w="1304" w:type="dxa"/>
            <w:vAlign w:val="center"/>
          </w:tcPr>
          <w:p w14:paraId="1BC23D8D" w14:textId="77777777" w:rsidR="00454A29" w:rsidRDefault="00454A29">
            <w:pPr>
              <w:pStyle w:val="ConsPlusNormal"/>
            </w:pPr>
          </w:p>
        </w:tc>
        <w:tc>
          <w:tcPr>
            <w:tcW w:w="1304" w:type="dxa"/>
            <w:vAlign w:val="center"/>
          </w:tcPr>
          <w:p w14:paraId="05BFF89B" w14:textId="77777777" w:rsidR="00454A29" w:rsidRDefault="00454A29">
            <w:pPr>
              <w:pStyle w:val="ConsPlusNormal"/>
            </w:pPr>
          </w:p>
        </w:tc>
      </w:tr>
      <w:tr w:rsidR="00454A29" w14:paraId="79754DCD" w14:textId="77777777">
        <w:tc>
          <w:tcPr>
            <w:tcW w:w="2041" w:type="dxa"/>
            <w:vMerge/>
          </w:tcPr>
          <w:p w14:paraId="14B8C4DB" w14:textId="77777777" w:rsidR="00454A29" w:rsidRDefault="00454A29"/>
        </w:tc>
        <w:tc>
          <w:tcPr>
            <w:tcW w:w="3005" w:type="dxa"/>
            <w:vMerge/>
          </w:tcPr>
          <w:p w14:paraId="0F64BA50" w14:textId="77777777" w:rsidR="00454A29" w:rsidRDefault="00454A29"/>
        </w:tc>
        <w:tc>
          <w:tcPr>
            <w:tcW w:w="2778" w:type="dxa"/>
            <w:vAlign w:val="center"/>
          </w:tcPr>
          <w:p w14:paraId="264C3DBF" w14:textId="77777777" w:rsidR="00454A29" w:rsidRDefault="00454A29">
            <w:pPr>
              <w:pStyle w:val="ConsPlusNormal"/>
            </w:pPr>
            <w:r>
              <w:t>Федеральный бюджет</w:t>
            </w:r>
          </w:p>
        </w:tc>
        <w:tc>
          <w:tcPr>
            <w:tcW w:w="1304" w:type="dxa"/>
            <w:vAlign w:val="center"/>
          </w:tcPr>
          <w:p w14:paraId="55E98215" w14:textId="77777777" w:rsidR="00454A29" w:rsidRDefault="00454A29">
            <w:pPr>
              <w:pStyle w:val="ConsPlusNormal"/>
            </w:pPr>
          </w:p>
        </w:tc>
        <w:tc>
          <w:tcPr>
            <w:tcW w:w="1247" w:type="dxa"/>
            <w:vAlign w:val="center"/>
          </w:tcPr>
          <w:p w14:paraId="7A303438" w14:textId="77777777" w:rsidR="00454A29" w:rsidRDefault="00454A29">
            <w:pPr>
              <w:pStyle w:val="ConsPlusNormal"/>
            </w:pPr>
          </w:p>
        </w:tc>
        <w:tc>
          <w:tcPr>
            <w:tcW w:w="1304" w:type="dxa"/>
            <w:vAlign w:val="center"/>
          </w:tcPr>
          <w:p w14:paraId="26504B52" w14:textId="77777777" w:rsidR="00454A29" w:rsidRDefault="00454A29">
            <w:pPr>
              <w:pStyle w:val="ConsPlusNormal"/>
            </w:pPr>
          </w:p>
        </w:tc>
        <w:tc>
          <w:tcPr>
            <w:tcW w:w="1304" w:type="dxa"/>
            <w:vAlign w:val="center"/>
          </w:tcPr>
          <w:p w14:paraId="71664FBE" w14:textId="77777777" w:rsidR="00454A29" w:rsidRDefault="00454A29">
            <w:pPr>
              <w:pStyle w:val="ConsPlusNormal"/>
            </w:pPr>
          </w:p>
        </w:tc>
        <w:tc>
          <w:tcPr>
            <w:tcW w:w="1304" w:type="dxa"/>
            <w:vAlign w:val="center"/>
          </w:tcPr>
          <w:p w14:paraId="7D0E2CBF" w14:textId="77777777" w:rsidR="00454A29" w:rsidRDefault="00454A29">
            <w:pPr>
              <w:pStyle w:val="ConsPlusNormal"/>
            </w:pPr>
          </w:p>
        </w:tc>
        <w:tc>
          <w:tcPr>
            <w:tcW w:w="1304" w:type="dxa"/>
            <w:vAlign w:val="center"/>
          </w:tcPr>
          <w:p w14:paraId="23D79DFD" w14:textId="77777777" w:rsidR="00454A29" w:rsidRDefault="00454A29">
            <w:pPr>
              <w:pStyle w:val="ConsPlusNormal"/>
            </w:pPr>
          </w:p>
        </w:tc>
        <w:tc>
          <w:tcPr>
            <w:tcW w:w="1304" w:type="dxa"/>
            <w:vAlign w:val="center"/>
          </w:tcPr>
          <w:p w14:paraId="21D4BD77" w14:textId="77777777" w:rsidR="00454A29" w:rsidRDefault="00454A29">
            <w:pPr>
              <w:pStyle w:val="ConsPlusNormal"/>
            </w:pPr>
          </w:p>
        </w:tc>
      </w:tr>
      <w:tr w:rsidR="00454A29" w14:paraId="4745CBF6" w14:textId="77777777">
        <w:tc>
          <w:tcPr>
            <w:tcW w:w="2041" w:type="dxa"/>
            <w:vMerge/>
          </w:tcPr>
          <w:p w14:paraId="2436ADEE" w14:textId="77777777" w:rsidR="00454A29" w:rsidRDefault="00454A29"/>
        </w:tc>
        <w:tc>
          <w:tcPr>
            <w:tcW w:w="3005" w:type="dxa"/>
            <w:vMerge/>
          </w:tcPr>
          <w:p w14:paraId="60BB520F" w14:textId="77777777" w:rsidR="00454A29" w:rsidRDefault="00454A29"/>
        </w:tc>
        <w:tc>
          <w:tcPr>
            <w:tcW w:w="2778" w:type="dxa"/>
            <w:vAlign w:val="center"/>
          </w:tcPr>
          <w:p w14:paraId="0D47F80C" w14:textId="77777777" w:rsidR="00454A29" w:rsidRDefault="00454A29">
            <w:pPr>
              <w:pStyle w:val="ConsPlusNormal"/>
            </w:pPr>
            <w:r>
              <w:t>Местные бюджеты</w:t>
            </w:r>
          </w:p>
        </w:tc>
        <w:tc>
          <w:tcPr>
            <w:tcW w:w="1304" w:type="dxa"/>
            <w:vAlign w:val="center"/>
          </w:tcPr>
          <w:p w14:paraId="1D039BBC" w14:textId="77777777" w:rsidR="00454A29" w:rsidRDefault="00454A29">
            <w:pPr>
              <w:pStyle w:val="ConsPlusNormal"/>
            </w:pPr>
          </w:p>
        </w:tc>
        <w:tc>
          <w:tcPr>
            <w:tcW w:w="1247" w:type="dxa"/>
            <w:vAlign w:val="center"/>
          </w:tcPr>
          <w:p w14:paraId="2E7A37B1" w14:textId="77777777" w:rsidR="00454A29" w:rsidRDefault="00454A29">
            <w:pPr>
              <w:pStyle w:val="ConsPlusNormal"/>
            </w:pPr>
          </w:p>
        </w:tc>
        <w:tc>
          <w:tcPr>
            <w:tcW w:w="1304" w:type="dxa"/>
            <w:vAlign w:val="center"/>
          </w:tcPr>
          <w:p w14:paraId="21B74437" w14:textId="77777777" w:rsidR="00454A29" w:rsidRDefault="00454A29">
            <w:pPr>
              <w:pStyle w:val="ConsPlusNormal"/>
            </w:pPr>
          </w:p>
        </w:tc>
        <w:tc>
          <w:tcPr>
            <w:tcW w:w="1304" w:type="dxa"/>
            <w:vAlign w:val="center"/>
          </w:tcPr>
          <w:p w14:paraId="0EC0AD54" w14:textId="77777777" w:rsidR="00454A29" w:rsidRDefault="00454A29">
            <w:pPr>
              <w:pStyle w:val="ConsPlusNormal"/>
            </w:pPr>
          </w:p>
        </w:tc>
        <w:tc>
          <w:tcPr>
            <w:tcW w:w="1304" w:type="dxa"/>
            <w:vAlign w:val="center"/>
          </w:tcPr>
          <w:p w14:paraId="10C61D9A" w14:textId="77777777" w:rsidR="00454A29" w:rsidRDefault="00454A29">
            <w:pPr>
              <w:pStyle w:val="ConsPlusNormal"/>
            </w:pPr>
          </w:p>
        </w:tc>
        <w:tc>
          <w:tcPr>
            <w:tcW w:w="1304" w:type="dxa"/>
            <w:vAlign w:val="center"/>
          </w:tcPr>
          <w:p w14:paraId="1B6A4542" w14:textId="77777777" w:rsidR="00454A29" w:rsidRDefault="00454A29">
            <w:pPr>
              <w:pStyle w:val="ConsPlusNormal"/>
            </w:pPr>
          </w:p>
        </w:tc>
        <w:tc>
          <w:tcPr>
            <w:tcW w:w="1304" w:type="dxa"/>
            <w:vAlign w:val="center"/>
          </w:tcPr>
          <w:p w14:paraId="56EFC42D" w14:textId="77777777" w:rsidR="00454A29" w:rsidRDefault="00454A29">
            <w:pPr>
              <w:pStyle w:val="ConsPlusNormal"/>
            </w:pPr>
          </w:p>
        </w:tc>
      </w:tr>
      <w:tr w:rsidR="00454A29" w14:paraId="6923753E" w14:textId="77777777">
        <w:tc>
          <w:tcPr>
            <w:tcW w:w="2041" w:type="dxa"/>
            <w:vMerge/>
          </w:tcPr>
          <w:p w14:paraId="5BAE7F7F" w14:textId="77777777" w:rsidR="00454A29" w:rsidRDefault="00454A29"/>
        </w:tc>
        <w:tc>
          <w:tcPr>
            <w:tcW w:w="3005" w:type="dxa"/>
            <w:vMerge/>
          </w:tcPr>
          <w:p w14:paraId="505E10E3" w14:textId="77777777" w:rsidR="00454A29" w:rsidRDefault="00454A29"/>
        </w:tc>
        <w:tc>
          <w:tcPr>
            <w:tcW w:w="2778" w:type="dxa"/>
            <w:vAlign w:val="center"/>
          </w:tcPr>
          <w:p w14:paraId="43BAC7EE" w14:textId="77777777" w:rsidR="00454A29" w:rsidRDefault="00454A29">
            <w:pPr>
              <w:pStyle w:val="ConsPlusNormal"/>
            </w:pPr>
            <w:r>
              <w:t>Внебюджетные средства</w:t>
            </w:r>
          </w:p>
        </w:tc>
        <w:tc>
          <w:tcPr>
            <w:tcW w:w="1304" w:type="dxa"/>
            <w:vAlign w:val="center"/>
          </w:tcPr>
          <w:p w14:paraId="6F94CBC7" w14:textId="77777777" w:rsidR="00454A29" w:rsidRDefault="00454A29">
            <w:pPr>
              <w:pStyle w:val="ConsPlusNormal"/>
            </w:pPr>
          </w:p>
        </w:tc>
        <w:tc>
          <w:tcPr>
            <w:tcW w:w="1247" w:type="dxa"/>
            <w:vAlign w:val="center"/>
          </w:tcPr>
          <w:p w14:paraId="3A5A74B9" w14:textId="77777777" w:rsidR="00454A29" w:rsidRDefault="00454A29">
            <w:pPr>
              <w:pStyle w:val="ConsPlusNormal"/>
            </w:pPr>
          </w:p>
        </w:tc>
        <w:tc>
          <w:tcPr>
            <w:tcW w:w="1304" w:type="dxa"/>
            <w:vAlign w:val="center"/>
          </w:tcPr>
          <w:p w14:paraId="3B3CB88C" w14:textId="77777777" w:rsidR="00454A29" w:rsidRDefault="00454A29">
            <w:pPr>
              <w:pStyle w:val="ConsPlusNormal"/>
            </w:pPr>
          </w:p>
        </w:tc>
        <w:tc>
          <w:tcPr>
            <w:tcW w:w="1304" w:type="dxa"/>
            <w:vAlign w:val="center"/>
          </w:tcPr>
          <w:p w14:paraId="23809672" w14:textId="77777777" w:rsidR="00454A29" w:rsidRDefault="00454A29">
            <w:pPr>
              <w:pStyle w:val="ConsPlusNormal"/>
            </w:pPr>
          </w:p>
        </w:tc>
        <w:tc>
          <w:tcPr>
            <w:tcW w:w="1304" w:type="dxa"/>
            <w:vAlign w:val="center"/>
          </w:tcPr>
          <w:p w14:paraId="1718671D" w14:textId="77777777" w:rsidR="00454A29" w:rsidRDefault="00454A29">
            <w:pPr>
              <w:pStyle w:val="ConsPlusNormal"/>
            </w:pPr>
          </w:p>
        </w:tc>
        <w:tc>
          <w:tcPr>
            <w:tcW w:w="1304" w:type="dxa"/>
            <w:vAlign w:val="center"/>
          </w:tcPr>
          <w:p w14:paraId="1E3872E4" w14:textId="77777777" w:rsidR="00454A29" w:rsidRDefault="00454A29">
            <w:pPr>
              <w:pStyle w:val="ConsPlusNormal"/>
            </w:pPr>
          </w:p>
        </w:tc>
        <w:tc>
          <w:tcPr>
            <w:tcW w:w="1304" w:type="dxa"/>
            <w:vAlign w:val="center"/>
          </w:tcPr>
          <w:p w14:paraId="769C66DF" w14:textId="77777777" w:rsidR="00454A29" w:rsidRDefault="00454A29">
            <w:pPr>
              <w:pStyle w:val="ConsPlusNormal"/>
            </w:pPr>
          </w:p>
        </w:tc>
      </w:tr>
      <w:tr w:rsidR="00454A29" w14:paraId="62CC997F" w14:textId="77777777">
        <w:tc>
          <w:tcPr>
            <w:tcW w:w="2041" w:type="dxa"/>
            <w:vMerge w:val="restart"/>
            <w:vAlign w:val="center"/>
          </w:tcPr>
          <w:p w14:paraId="1055ABA9" w14:textId="77777777" w:rsidR="00454A29" w:rsidRDefault="00454A29">
            <w:pPr>
              <w:pStyle w:val="ConsPlusNormal"/>
              <w:jc w:val="center"/>
              <w:outlineLvl w:val="2"/>
            </w:pPr>
            <w:r>
              <w:lastRenderedPageBreak/>
              <w:t>Подпрограмма 4</w:t>
            </w:r>
          </w:p>
        </w:tc>
        <w:tc>
          <w:tcPr>
            <w:tcW w:w="3005" w:type="dxa"/>
            <w:vMerge w:val="restart"/>
            <w:vAlign w:val="center"/>
          </w:tcPr>
          <w:p w14:paraId="41A72798" w14:textId="77777777" w:rsidR="00454A29" w:rsidRDefault="00454A29">
            <w:pPr>
              <w:pStyle w:val="ConsPlusNormal"/>
              <w:jc w:val="center"/>
            </w:pPr>
            <w:r>
              <w:t>"Воспитание и дополнительное образование"</w:t>
            </w:r>
          </w:p>
        </w:tc>
        <w:tc>
          <w:tcPr>
            <w:tcW w:w="2778" w:type="dxa"/>
            <w:vAlign w:val="center"/>
          </w:tcPr>
          <w:p w14:paraId="44A6CAB6" w14:textId="77777777" w:rsidR="00454A29" w:rsidRDefault="00454A29">
            <w:pPr>
              <w:pStyle w:val="ConsPlusNormal"/>
            </w:pPr>
            <w:r>
              <w:t>Всего:</w:t>
            </w:r>
          </w:p>
        </w:tc>
        <w:tc>
          <w:tcPr>
            <w:tcW w:w="1304" w:type="dxa"/>
            <w:vAlign w:val="center"/>
          </w:tcPr>
          <w:p w14:paraId="4DBB6F73" w14:textId="77777777" w:rsidR="00454A29" w:rsidRDefault="00454A29">
            <w:pPr>
              <w:pStyle w:val="ConsPlusNormal"/>
              <w:jc w:val="right"/>
            </w:pPr>
            <w:r>
              <w:t>468 348</w:t>
            </w:r>
          </w:p>
        </w:tc>
        <w:tc>
          <w:tcPr>
            <w:tcW w:w="1247" w:type="dxa"/>
            <w:vAlign w:val="center"/>
          </w:tcPr>
          <w:p w14:paraId="2AAF659F" w14:textId="77777777" w:rsidR="00454A29" w:rsidRDefault="00454A29">
            <w:pPr>
              <w:pStyle w:val="ConsPlusNormal"/>
              <w:jc w:val="right"/>
            </w:pPr>
            <w:r>
              <w:t>468 354</w:t>
            </w:r>
          </w:p>
        </w:tc>
        <w:tc>
          <w:tcPr>
            <w:tcW w:w="1304" w:type="dxa"/>
            <w:vAlign w:val="center"/>
          </w:tcPr>
          <w:p w14:paraId="25DA4C3F" w14:textId="77777777" w:rsidR="00454A29" w:rsidRDefault="00454A29">
            <w:pPr>
              <w:pStyle w:val="ConsPlusNormal"/>
              <w:jc w:val="right"/>
            </w:pPr>
            <w:r>
              <w:t>465 178</w:t>
            </w:r>
          </w:p>
        </w:tc>
        <w:tc>
          <w:tcPr>
            <w:tcW w:w="1304" w:type="dxa"/>
            <w:vAlign w:val="center"/>
          </w:tcPr>
          <w:p w14:paraId="42ABCB4D" w14:textId="77777777" w:rsidR="00454A29" w:rsidRDefault="00454A29">
            <w:pPr>
              <w:pStyle w:val="ConsPlusNormal"/>
              <w:jc w:val="right"/>
            </w:pPr>
            <w:r>
              <w:t>469 752</w:t>
            </w:r>
          </w:p>
        </w:tc>
        <w:tc>
          <w:tcPr>
            <w:tcW w:w="1304" w:type="dxa"/>
            <w:vAlign w:val="center"/>
          </w:tcPr>
          <w:p w14:paraId="53A32E93" w14:textId="77777777" w:rsidR="00454A29" w:rsidRDefault="00454A29">
            <w:pPr>
              <w:pStyle w:val="ConsPlusNormal"/>
              <w:jc w:val="right"/>
            </w:pPr>
            <w:r>
              <w:t>469 752</w:t>
            </w:r>
          </w:p>
        </w:tc>
        <w:tc>
          <w:tcPr>
            <w:tcW w:w="1304" w:type="dxa"/>
            <w:vAlign w:val="center"/>
          </w:tcPr>
          <w:p w14:paraId="363EA2EE" w14:textId="77777777" w:rsidR="00454A29" w:rsidRDefault="00454A29">
            <w:pPr>
              <w:pStyle w:val="ConsPlusNormal"/>
              <w:jc w:val="right"/>
            </w:pPr>
            <w:r>
              <w:t>-</w:t>
            </w:r>
          </w:p>
        </w:tc>
        <w:tc>
          <w:tcPr>
            <w:tcW w:w="1304" w:type="dxa"/>
            <w:vAlign w:val="center"/>
          </w:tcPr>
          <w:p w14:paraId="1BFD6306" w14:textId="77777777" w:rsidR="00454A29" w:rsidRDefault="00454A29">
            <w:pPr>
              <w:pStyle w:val="ConsPlusNormal"/>
              <w:jc w:val="right"/>
            </w:pPr>
            <w:r>
              <w:t>-</w:t>
            </w:r>
          </w:p>
        </w:tc>
      </w:tr>
      <w:tr w:rsidR="00454A29" w14:paraId="041472CF" w14:textId="77777777">
        <w:tc>
          <w:tcPr>
            <w:tcW w:w="2041" w:type="dxa"/>
            <w:vMerge/>
          </w:tcPr>
          <w:p w14:paraId="5E297F71" w14:textId="77777777" w:rsidR="00454A29" w:rsidRDefault="00454A29"/>
        </w:tc>
        <w:tc>
          <w:tcPr>
            <w:tcW w:w="3005" w:type="dxa"/>
            <w:vMerge/>
          </w:tcPr>
          <w:p w14:paraId="790AF7E0" w14:textId="77777777" w:rsidR="00454A29" w:rsidRDefault="00454A29"/>
        </w:tc>
        <w:tc>
          <w:tcPr>
            <w:tcW w:w="2778" w:type="dxa"/>
            <w:vAlign w:val="center"/>
          </w:tcPr>
          <w:p w14:paraId="34D446CF" w14:textId="77777777" w:rsidR="00454A29" w:rsidRDefault="00454A29">
            <w:pPr>
              <w:pStyle w:val="ConsPlusNormal"/>
            </w:pPr>
            <w:r>
              <w:t>Государственный бюджет Республики Саха (Якутия)</w:t>
            </w:r>
          </w:p>
        </w:tc>
        <w:tc>
          <w:tcPr>
            <w:tcW w:w="1304" w:type="dxa"/>
            <w:vAlign w:val="center"/>
          </w:tcPr>
          <w:p w14:paraId="4EAD458B" w14:textId="77777777" w:rsidR="00454A29" w:rsidRDefault="00454A29">
            <w:pPr>
              <w:pStyle w:val="ConsPlusNormal"/>
              <w:jc w:val="right"/>
            </w:pPr>
            <w:r>
              <w:t>376 628</w:t>
            </w:r>
          </w:p>
        </w:tc>
        <w:tc>
          <w:tcPr>
            <w:tcW w:w="1247" w:type="dxa"/>
            <w:vAlign w:val="center"/>
          </w:tcPr>
          <w:p w14:paraId="6851D73C" w14:textId="77777777" w:rsidR="00454A29" w:rsidRDefault="00454A29">
            <w:pPr>
              <w:pStyle w:val="ConsPlusNormal"/>
              <w:jc w:val="right"/>
            </w:pPr>
            <w:r>
              <w:t>376 634</w:t>
            </w:r>
          </w:p>
        </w:tc>
        <w:tc>
          <w:tcPr>
            <w:tcW w:w="1304" w:type="dxa"/>
            <w:vAlign w:val="center"/>
          </w:tcPr>
          <w:p w14:paraId="26BB0EA9" w14:textId="77777777" w:rsidR="00454A29" w:rsidRDefault="00454A29">
            <w:pPr>
              <w:pStyle w:val="ConsPlusNormal"/>
              <w:jc w:val="right"/>
            </w:pPr>
            <w:r>
              <w:t>373 458</w:t>
            </w:r>
          </w:p>
        </w:tc>
        <w:tc>
          <w:tcPr>
            <w:tcW w:w="1304" w:type="dxa"/>
            <w:vAlign w:val="center"/>
          </w:tcPr>
          <w:p w14:paraId="712E3884" w14:textId="77777777" w:rsidR="00454A29" w:rsidRDefault="00454A29">
            <w:pPr>
              <w:pStyle w:val="ConsPlusNormal"/>
              <w:jc w:val="right"/>
            </w:pPr>
            <w:r>
              <w:t>378 032</w:t>
            </w:r>
          </w:p>
        </w:tc>
        <w:tc>
          <w:tcPr>
            <w:tcW w:w="1304" w:type="dxa"/>
            <w:vAlign w:val="center"/>
          </w:tcPr>
          <w:p w14:paraId="153B18F7" w14:textId="77777777" w:rsidR="00454A29" w:rsidRDefault="00454A29">
            <w:pPr>
              <w:pStyle w:val="ConsPlusNormal"/>
              <w:jc w:val="right"/>
            </w:pPr>
            <w:r>
              <w:t>378 032</w:t>
            </w:r>
          </w:p>
        </w:tc>
        <w:tc>
          <w:tcPr>
            <w:tcW w:w="1304" w:type="dxa"/>
            <w:vAlign w:val="center"/>
          </w:tcPr>
          <w:p w14:paraId="17397CB2" w14:textId="77777777" w:rsidR="00454A29" w:rsidRDefault="00454A29">
            <w:pPr>
              <w:pStyle w:val="ConsPlusNormal"/>
              <w:jc w:val="right"/>
            </w:pPr>
            <w:r>
              <w:t>-</w:t>
            </w:r>
          </w:p>
        </w:tc>
        <w:tc>
          <w:tcPr>
            <w:tcW w:w="1304" w:type="dxa"/>
            <w:vAlign w:val="center"/>
          </w:tcPr>
          <w:p w14:paraId="13717EA6" w14:textId="77777777" w:rsidR="00454A29" w:rsidRDefault="00454A29">
            <w:pPr>
              <w:pStyle w:val="ConsPlusNormal"/>
              <w:jc w:val="right"/>
            </w:pPr>
            <w:r>
              <w:t>-</w:t>
            </w:r>
          </w:p>
        </w:tc>
      </w:tr>
      <w:tr w:rsidR="00454A29" w14:paraId="14B17D62" w14:textId="77777777">
        <w:tc>
          <w:tcPr>
            <w:tcW w:w="2041" w:type="dxa"/>
            <w:vMerge/>
          </w:tcPr>
          <w:p w14:paraId="1F853423" w14:textId="77777777" w:rsidR="00454A29" w:rsidRDefault="00454A29"/>
        </w:tc>
        <w:tc>
          <w:tcPr>
            <w:tcW w:w="3005" w:type="dxa"/>
            <w:vMerge/>
          </w:tcPr>
          <w:p w14:paraId="542DDA63" w14:textId="77777777" w:rsidR="00454A29" w:rsidRDefault="00454A29"/>
        </w:tc>
        <w:tc>
          <w:tcPr>
            <w:tcW w:w="2778" w:type="dxa"/>
            <w:vAlign w:val="center"/>
          </w:tcPr>
          <w:p w14:paraId="7E1FE03A" w14:textId="77777777" w:rsidR="00454A29" w:rsidRDefault="00454A29">
            <w:pPr>
              <w:pStyle w:val="ConsPlusNormal"/>
            </w:pPr>
            <w:r>
              <w:t>Минобрнауки РС(Я)</w:t>
            </w:r>
          </w:p>
        </w:tc>
        <w:tc>
          <w:tcPr>
            <w:tcW w:w="1304" w:type="dxa"/>
            <w:vAlign w:val="center"/>
          </w:tcPr>
          <w:p w14:paraId="27EA103A" w14:textId="77777777" w:rsidR="00454A29" w:rsidRDefault="00454A29">
            <w:pPr>
              <w:pStyle w:val="ConsPlusNormal"/>
              <w:jc w:val="right"/>
            </w:pPr>
            <w:r>
              <w:t>376 628</w:t>
            </w:r>
          </w:p>
        </w:tc>
        <w:tc>
          <w:tcPr>
            <w:tcW w:w="1247" w:type="dxa"/>
            <w:vAlign w:val="center"/>
          </w:tcPr>
          <w:p w14:paraId="597D3DFC" w14:textId="77777777" w:rsidR="00454A29" w:rsidRDefault="00454A29">
            <w:pPr>
              <w:pStyle w:val="ConsPlusNormal"/>
              <w:jc w:val="right"/>
            </w:pPr>
            <w:r>
              <w:t>376 634</w:t>
            </w:r>
          </w:p>
        </w:tc>
        <w:tc>
          <w:tcPr>
            <w:tcW w:w="1304" w:type="dxa"/>
            <w:vAlign w:val="center"/>
          </w:tcPr>
          <w:p w14:paraId="34BFE03D" w14:textId="77777777" w:rsidR="00454A29" w:rsidRDefault="00454A29">
            <w:pPr>
              <w:pStyle w:val="ConsPlusNormal"/>
              <w:jc w:val="right"/>
            </w:pPr>
            <w:r>
              <w:t>373 458</w:t>
            </w:r>
          </w:p>
        </w:tc>
        <w:tc>
          <w:tcPr>
            <w:tcW w:w="1304" w:type="dxa"/>
            <w:vAlign w:val="center"/>
          </w:tcPr>
          <w:p w14:paraId="400A4905" w14:textId="77777777" w:rsidR="00454A29" w:rsidRDefault="00454A29">
            <w:pPr>
              <w:pStyle w:val="ConsPlusNormal"/>
              <w:jc w:val="right"/>
            </w:pPr>
            <w:r>
              <w:t>378 032</w:t>
            </w:r>
          </w:p>
        </w:tc>
        <w:tc>
          <w:tcPr>
            <w:tcW w:w="1304" w:type="dxa"/>
            <w:vAlign w:val="center"/>
          </w:tcPr>
          <w:p w14:paraId="65A01BE2" w14:textId="77777777" w:rsidR="00454A29" w:rsidRDefault="00454A29">
            <w:pPr>
              <w:pStyle w:val="ConsPlusNormal"/>
              <w:jc w:val="right"/>
            </w:pPr>
            <w:r>
              <w:t>378 032</w:t>
            </w:r>
          </w:p>
        </w:tc>
        <w:tc>
          <w:tcPr>
            <w:tcW w:w="1304" w:type="dxa"/>
            <w:vAlign w:val="center"/>
          </w:tcPr>
          <w:p w14:paraId="4A5A897D" w14:textId="77777777" w:rsidR="00454A29" w:rsidRDefault="00454A29">
            <w:pPr>
              <w:pStyle w:val="ConsPlusNormal"/>
              <w:jc w:val="right"/>
            </w:pPr>
            <w:r>
              <w:t>-</w:t>
            </w:r>
          </w:p>
        </w:tc>
        <w:tc>
          <w:tcPr>
            <w:tcW w:w="1304" w:type="dxa"/>
            <w:vAlign w:val="center"/>
          </w:tcPr>
          <w:p w14:paraId="0E5958D4" w14:textId="77777777" w:rsidR="00454A29" w:rsidRDefault="00454A29">
            <w:pPr>
              <w:pStyle w:val="ConsPlusNormal"/>
              <w:jc w:val="right"/>
            </w:pPr>
            <w:r>
              <w:t>-</w:t>
            </w:r>
          </w:p>
        </w:tc>
      </w:tr>
      <w:tr w:rsidR="00454A29" w14:paraId="4946FB51" w14:textId="77777777">
        <w:tc>
          <w:tcPr>
            <w:tcW w:w="2041" w:type="dxa"/>
            <w:vMerge/>
          </w:tcPr>
          <w:p w14:paraId="7823CD33" w14:textId="77777777" w:rsidR="00454A29" w:rsidRDefault="00454A29"/>
        </w:tc>
        <w:tc>
          <w:tcPr>
            <w:tcW w:w="3005" w:type="dxa"/>
            <w:vMerge/>
          </w:tcPr>
          <w:p w14:paraId="10840B00" w14:textId="77777777" w:rsidR="00454A29" w:rsidRDefault="00454A29"/>
        </w:tc>
        <w:tc>
          <w:tcPr>
            <w:tcW w:w="2778" w:type="dxa"/>
            <w:vAlign w:val="center"/>
          </w:tcPr>
          <w:p w14:paraId="34A6C103" w14:textId="77777777" w:rsidR="00454A29" w:rsidRDefault="00454A29">
            <w:pPr>
              <w:pStyle w:val="ConsPlusNormal"/>
            </w:pPr>
            <w:r>
              <w:t>Федеральный бюджет</w:t>
            </w:r>
          </w:p>
        </w:tc>
        <w:tc>
          <w:tcPr>
            <w:tcW w:w="1304" w:type="dxa"/>
            <w:vAlign w:val="center"/>
          </w:tcPr>
          <w:p w14:paraId="7C476AE6" w14:textId="77777777" w:rsidR="00454A29" w:rsidRDefault="00454A29">
            <w:pPr>
              <w:pStyle w:val="ConsPlusNormal"/>
              <w:jc w:val="right"/>
            </w:pPr>
            <w:r>
              <w:t>-</w:t>
            </w:r>
          </w:p>
        </w:tc>
        <w:tc>
          <w:tcPr>
            <w:tcW w:w="1247" w:type="dxa"/>
            <w:vAlign w:val="center"/>
          </w:tcPr>
          <w:p w14:paraId="5ADCFF73" w14:textId="77777777" w:rsidR="00454A29" w:rsidRDefault="00454A29">
            <w:pPr>
              <w:pStyle w:val="ConsPlusNormal"/>
              <w:jc w:val="right"/>
            </w:pPr>
            <w:r>
              <w:t>-</w:t>
            </w:r>
          </w:p>
        </w:tc>
        <w:tc>
          <w:tcPr>
            <w:tcW w:w="1304" w:type="dxa"/>
            <w:vAlign w:val="center"/>
          </w:tcPr>
          <w:p w14:paraId="6B40CF64" w14:textId="77777777" w:rsidR="00454A29" w:rsidRDefault="00454A29">
            <w:pPr>
              <w:pStyle w:val="ConsPlusNormal"/>
              <w:jc w:val="right"/>
            </w:pPr>
            <w:r>
              <w:t>-</w:t>
            </w:r>
          </w:p>
        </w:tc>
        <w:tc>
          <w:tcPr>
            <w:tcW w:w="1304" w:type="dxa"/>
            <w:vAlign w:val="center"/>
          </w:tcPr>
          <w:p w14:paraId="30612FC2" w14:textId="77777777" w:rsidR="00454A29" w:rsidRDefault="00454A29">
            <w:pPr>
              <w:pStyle w:val="ConsPlusNormal"/>
              <w:jc w:val="right"/>
            </w:pPr>
            <w:r>
              <w:t>-</w:t>
            </w:r>
          </w:p>
        </w:tc>
        <w:tc>
          <w:tcPr>
            <w:tcW w:w="1304" w:type="dxa"/>
            <w:vAlign w:val="center"/>
          </w:tcPr>
          <w:p w14:paraId="1B71E5D8" w14:textId="77777777" w:rsidR="00454A29" w:rsidRDefault="00454A29">
            <w:pPr>
              <w:pStyle w:val="ConsPlusNormal"/>
              <w:jc w:val="right"/>
            </w:pPr>
            <w:r>
              <w:t>-</w:t>
            </w:r>
          </w:p>
        </w:tc>
        <w:tc>
          <w:tcPr>
            <w:tcW w:w="1304" w:type="dxa"/>
            <w:vAlign w:val="center"/>
          </w:tcPr>
          <w:p w14:paraId="7B8B4411" w14:textId="77777777" w:rsidR="00454A29" w:rsidRDefault="00454A29">
            <w:pPr>
              <w:pStyle w:val="ConsPlusNormal"/>
              <w:jc w:val="right"/>
            </w:pPr>
            <w:r>
              <w:t>-</w:t>
            </w:r>
          </w:p>
        </w:tc>
        <w:tc>
          <w:tcPr>
            <w:tcW w:w="1304" w:type="dxa"/>
            <w:vAlign w:val="center"/>
          </w:tcPr>
          <w:p w14:paraId="28BF2DA6" w14:textId="77777777" w:rsidR="00454A29" w:rsidRDefault="00454A29">
            <w:pPr>
              <w:pStyle w:val="ConsPlusNormal"/>
              <w:jc w:val="right"/>
            </w:pPr>
            <w:r>
              <w:t>-</w:t>
            </w:r>
          </w:p>
        </w:tc>
      </w:tr>
      <w:tr w:rsidR="00454A29" w14:paraId="1E7983CF" w14:textId="77777777">
        <w:tc>
          <w:tcPr>
            <w:tcW w:w="2041" w:type="dxa"/>
            <w:vMerge/>
          </w:tcPr>
          <w:p w14:paraId="43242D3D" w14:textId="77777777" w:rsidR="00454A29" w:rsidRDefault="00454A29"/>
        </w:tc>
        <w:tc>
          <w:tcPr>
            <w:tcW w:w="3005" w:type="dxa"/>
            <w:vMerge/>
          </w:tcPr>
          <w:p w14:paraId="5DE85CB1" w14:textId="77777777" w:rsidR="00454A29" w:rsidRDefault="00454A29"/>
        </w:tc>
        <w:tc>
          <w:tcPr>
            <w:tcW w:w="2778" w:type="dxa"/>
            <w:vAlign w:val="center"/>
          </w:tcPr>
          <w:p w14:paraId="3638E2D8" w14:textId="77777777" w:rsidR="00454A29" w:rsidRDefault="00454A29">
            <w:pPr>
              <w:pStyle w:val="ConsPlusNormal"/>
            </w:pPr>
            <w:r>
              <w:t>Минобрнауки РС(Я)</w:t>
            </w:r>
          </w:p>
        </w:tc>
        <w:tc>
          <w:tcPr>
            <w:tcW w:w="1304" w:type="dxa"/>
            <w:vAlign w:val="center"/>
          </w:tcPr>
          <w:p w14:paraId="3F634B91" w14:textId="77777777" w:rsidR="00454A29" w:rsidRDefault="00454A29">
            <w:pPr>
              <w:pStyle w:val="ConsPlusNormal"/>
              <w:jc w:val="right"/>
            </w:pPr>
            <w:r>
              <w:t>-</w:t>
            </w:r>
          </w:p>
        </w:tc>
        <w:tc>
          <w:tcPr>
            <w:tcW w:w="1247" w:type="dxa"/>
            <w:vAlign w:val="center"/>
          </w:tcPr>
          <w:p w14:paraId="5F56BE02" w14:textId="77777777" w:rsidR="00454A29" w:rsidRDefault="00454A29">
            <w:pPr>
              <w:pStyle w:val="ConsPlusNormal"/>
              <w:jc w:val="right"/>
            </w:pPr>
            <w:r>
              <w:t>-</w:t>
            </w:r>
          </w:p>
        </w:tc>
        <w:tc>
          <w:tcPr>
            <w:tcW w:w="1304" w:type="dxa"/>
            <w:vAlign w:val="center"/>
          </w:tcPr>
          <w:p w14:paraId="1DC445BE" w14:textId="77777777" w:rsidR="00454A29" w:rsidRDefault="00454A29">
            <w:pPr>
              <w:pStyle w:val="ConsPlusNormal"/>
              <w:jc w:val="right"/>
            </w:pPr>
            <w:r>
              <w:t>-</w:t>
            </w:r>
          </w:p>
        </w:tc>
        <w:tc>
          <w:tcPr>
            <w:tcW w:w="1304" w:type="dxa"/>
            <w:vAlign w:val="center"/>
          </w:tcPr>
          <w:p w14:paraId="0DB45CE6" w14:textId="77777777" w:rsidR="00454A29" w:rsidRDefault="00454A29">
            <w:pPr>
              <w:pStyle w:val="ConsPlusNormal"/>
              <w:jc w:val="right"/>
            </w:pPr>
            <w:r>
              <w:t>-</w:t>
            </w:r>
          </w:p>
        </w:tc>
        <w:tc>
          <w:tcPr>
            <w:tcW w:w="1304" w:type="dxa"/>
            <w:vAlign w:val="center"/>
          </w:tcPr>
          <w:p w14:paraId="5B5C92FC" w14:textId="77777777" w:rsidR="00454A29" w:rsidRDefault="00454A29">
            <w:pPr>
              <w:pStyle w:val="ConsPlusNormal"/>
              <w:jc w:val="right"/>
            </w:pPr>
            <w:r>
              <w:t>-</w:t>
            </w:r>
          </w:p>
        </w:tc>
        <w:tc>
          <w:tcPr>
            <w:tcW w:w="1304" w:type="dxa"/>
            <w:vAlign w:val="center"/>
          </w:tcPr>
          <w:p w14:paraId="097FA691" w14:textId="77777777" w:rsidR="00454A29" w:rsidRDefault="00454A29">
            <w:pPr>
              <w:pStyle w:val="ConsPlusNormal"/>
              <w:jc w:val="right"/>
            </w:pPr>
            <w:r>
              <w:t>-</w:t>
            </w:r>
          </w:p>
        </w:tc>
        <w:tc>
          <w:tcPr>
            <w:tcW w:w="1304" w:type="dxa"/>
            <w:vAlign w:val="center"/>
          </w:tcPr>
          <w:p w14:paraId="0125B410" w14:textId="77777777" w:rsidR="00454A29" w:rsidRDefault="00454A29">
            <w:pPr>
              <w:pStyle w:val="ConsPlusNormal"/>
              <w:jc w:val="right"/>
            </w:pPr>
            <w:r>
              <w:t>-</w:t>
            </w:r>
          </w:p>
        </w:tc>
      </w:tr>
      <w:tr w:rsidR="00454A29" w14:paraId="29CBDF63" w14:textId="77777777">
        <w:tc>
          <w:tcPr>
            <w:tcW w:w="2041" w:type="dxa"/>
            <w:vMerge/>
          </w:tcPr>
          <w:p w14:paraId="36C2664E" w14:textId="77777777" w:rsidR="00454A29" w:rsidRDefault="00454A29"/>
        </w:tc>
        <w:tc>
          <w:tcPr>
            <w:tcW w:w="3005" w:type="dxa"/>
            <w:vMerge/>
          </w:tcPr>
          <w:p w14:paraId="5ADB95F7" w14:textId="77777777" w:rsidR="00454A29" w:rsidRDefault="00454A29"/>
        </w:tc>
        <w:tc>
          <w:tcPr>
            <w:tcW w:w="2778" w:type="dxa"/>
            <w:vAlign w:val="center"/>
          </w:tcPr>
          <w:p w14:paraId="3514FBCC" w14:textId="77777777" w:rsidR="00454A29" w:rsidRDefault="00454A29">
            <w:pPr>
              <w:pStyle w:val="ConsPlusNormal"/>
            </w:pPr>
            <w:r>
              <w:t>Местные бюджеты</w:t>
            </w:r>
          </w:p>
        </w:tc>
        <w:tc>
          <w:tcPr>
            <w:tcW w:w="1304" w:type="dxa"/>
            <w:vAlign w:val="center"/>
          </w:tcPr>
          <w:p w14:paraId="010C9D80" w14:textId="77777777" w:rsidR="00454A29" w:rsidRDefault="00454A29">
            <w:pPr>
              <w:pStyle w:val="ConsPlusNormal"/>
              <w:jc w:val="right"/>
            </w:pPr>
            <w:r>
              <w:t>-</w:t>
            </w:r>
          </w:p>
        </w:tc>
        <w:tc>
          <w:tcPr>
            <w:tcW w:w="1247" w:type="dxa"/>
            <w:vAlign w:val="center"/>
          </w:tcPr>
          <w:p w14:paraId="5C02E98D" w14:textId="77777777" w:rsidR="00454A29" w:rsidRDefault="00454A29">
            <w:pPr>
              <w:pStyle w:val="ConsPlusNormal"/>
              <w:jc w:val="right"/>
            </w:pPr>
            <w:r>
              <w:t>-</w:t>
            </w:r>
          </w:p>
        </w:tc>
        <w:tc>
          <w:tcPr>
            <w:tcW w:w="1304" w:type="dxa"/>
            <w:vAlign w:val="center"/>
          </w:tcPr>
          <w:p w14:paraId="76C6ACF3" w14:textId="77777777" w:rsidR="00454A29" w:rsidRDefault="00454A29">
            <w:pPr>
              <w:pStyle w:val="ConsPlusNormal"/>
              <w:jc w:val="right"/>
            </w:pPr>
            <w:r>
              <w:t>-</w:t>
            </w:r>
          </w:p>
        </w:tc>
        <w:tc>
          <w:tcPr>
            <w:tcW w:w="1304" w:type="dxa"/>
            <w:vAlign w:val="center"/>
          </w:tcPr>
          <w:p w14:paraId="3EE5CCB4" w14:textId="77777777" w:rsidR="00454A29" w:rsidRDefault="00454A29">
            <w:pPr>
              <w:pStyle w:val="ConsPlusNormal"/>
              <w:jc w:val="right"/>
            </w:pPr>
            <w:r>
              <w:t>-</w:t>
            </w:r>
          </w:p>
        </w:tc>
        <w:tc>
          <w:tcPr>
            <w:tcW w:w="1304" w:type="dxa"/>
            <w:vAlign w:val="center"/>
          </w:tcPr>
          <w:p w14:paraId="10EAFAEC" w14:textId="77777777" w:rsidR="00454A29" w:rsidRDefault="00454A29">
            <w:pPr>
              <w:pStyle w:val="ConsPlusNormal"/>
              <w:jc w:val="right"/>
            </w:pPr>
            <w:r>
              <w:t>-</w:t>
            </w:r>
          </w:p>
        </w:tc>
        <w:tc>
          <w:tcPr>
            <w:tcW w:w="1304" w:type="dxa"/>
            <w:vAlign w:val="center"/>
          </w:tcPr>
          <w:p w14:paraId="21A8E7EF" w14:textId="77777777" w:rsidR="00454A29" w:rsidRDefault="00454A29">
            <w:pPr>
              <w:pStyle w:val="ConsPlusNormal"/>
              <w:jc w:val="right"/>
            </w:pPr>
            <w:r>
              <w:t>-</w:t>
            </w:r>
          </w:p>
        </w:tc>
        <w:tc>
          <w:tcPr>
            <w:tcW w:w="1304" w:type="dxa"/>
            <w:vAlign w:val="center"/>
          </w:tcPr>
          <w:p w14:paraId="67D67824" w14:textId="77777777" w:rsidR="00454A29" w:rsidRDefault="00454A29">
            <w:pPr>
              <w:pStyle w:val="ConsPlusNormal"/>
              <w:jc w:val="right"/>
            </w:pPr>
            <w:r>
              <w:t>-</w:t>
            </w:r>
          </w:p>
        </w:tc>
      </w:tr>
      <w:tr w:rsidR="00454A29" w14:paraId="09EA77E9" w14:textId="77777777">
        <w:tc>
          <w:tcPr>
            <w:tcW w:w="2041" w:type="dxa"/>
            <w:vMerge/>
          </w:tcPr>
          <w:p w14:paraId="0D45986F" w14:textId="77777777" w:rsidR="00454A29" w:rsidRDefault="00454A29"/>
        </w:tc>
        <w:tc>
          <w:tcPr>
            <w:tcW w:w="3005" w:type="dxa"/>
            <w:vMerge/>
          </w:tcPr>
          <w:p w14:paraId="41F58808" w14:textId="77777777" w:rsidR="00454A29" w:rsidRDefault="00454A29"/>
        </w:tc>
        <w:tc>
          <w:tcPr>
            <w:tcW w:w="2778" w:type="dxa"/>
            <w:vAlign w:val="center"/>
          </w:tcPr>
          <w:p w14:paraId="03706D1B" w14:textId="77777777" w:rsidR="00454A29" w:rsidRDefault="00454A29">
            <w:pPr>
              <w:pStyle w:val="ConsPlusNormal"/>
            </w:pPr>
            <w:r>
              <w:t>Внебюджетные средства</w:t>
            </w:r>
          </w:p>
        </w:tc>
        <w:tc>
          <w:tcPr>
            <w:tcW w:w="1304" w:type="dxa"/>
            <w:vAlign w:val="center"/>
          </w:tcPr>
          <w:p w14:paraId="0B166241" w14:textId="77777777" w:rsidR="00454A29" w:rsidRDefault="00454A29">
            <w:pPr>
              <w:pStyle w:val="ConsPlusNormal"/>
              <w:jc w:val="right"/>
            </w:pPr>
            <w:r>
              <w:t>91 720</w:t>
            </w:r>
          </w:p>
        </w:tc>
        <w:tc>
          <w:tcPr>
            <w:tcW w:w="1247" w:type="dxa"/>
            <w:vAlign w:val="center"/>
          </w:tcPr>
          <w:p w14:paraId="74C408FD" w14:textId="77777777" w:rsidR="00454A29" w:rsidRDefault="00454A29">
            <w:pPr>
              <w:pStyle w:val="ConsPlusNormal"/>
              <w:jc w:val="right"/>
            </w:pPr>
            <w:r>
              <w:t>91 720</w:t>
            </w:r>
          </w:p>
        </w:tc>
        <w:tc>
          <w:tcPr>
            <w:tcW w:w="1304" w:type="dxa"/>
            <w:vAlign w:val="center"/>
          </w:tcPr>
          <w:p w14:paraId="1F99C6A7" w14:textId="77777777" w:rsidR="00454A29" w:rsidRDefault="00454A29">
            <w:pPr>
              <w:pStyle w:val="ConsPlusNormal"/>
              <w:jc w:val="right"/>
            </w:pPr>
            <w:r>
              <w:t>91 720</w:t>
            </w:r>
          </w:p>
        </w:tc>
        <w:tc>
          <w:tcPr>
            <w:tcW w:w="1304" w:type="dxa"/>
            <w:vAlign w:val="center"/>
          </w:tcPr>
          <w:p w14:paraId="6966A824" w14:textId="77777777" w:rsidR="00454A29" w:rsidRDefault="00454A29">
            <w:pPr>
              <w:pStyle w:val="ConsPlusNormal"/>
              <w:jc w:val="right"/>
            </w:pPr>
            <w:r>
              <w:t>91 720</w:t>
            </w:r>
          </w:p>
        </w:tc>
        <w:tc>
          <w:tcPr>
            <w:tcW w:w="1304" w:type="dxa"/>
            <w:vAlign w:val="center"/>
          </w:tcPr>
          <w:p w14:paraId="224D651E" w14:textId="77777777" w:rsidR="00454A29" w:rsidRDefault="00454A29">
            <w:pPr>
              <w:pStyle w:val="ConsPlusNormal"/>
              <w:jc w:val="right"/>
            </w:pPr>
            <w:r>
              <w:t>91 720</w:t>
            </w:r>
          </w:p>
        </w:tc>
        <w:tc>
          <w:tcPr>
            <w:tcW w:w="1304" w:type="dxa"/>
            <w:vAlign w:val="center"/>
          </w:tcPr>
          <w:p w14:paraId="0E2CE2EE" w14:textId="77777777" w:rsidR="00454A29" w:rsidRDefault="00454A29">
            <w:pPr>
              <w:pStyle w:val="ConsPlusNormal"/>
              <w:jc w:val="right"/>
            </w:pPr>
            <w:r>
              <w:t>-</w:t>
            </w:r>
          </w:p>
        </w:tc>
        <w:tc>
          <w:tcPr>
            <w:tcW w:w="1304" w:type="dxa"/>
            <w:vAlign w:val="center"/>
          </w:tcPr>
          <w:p w14:paraId="6B0A6C52" w14:textId="77777777" w:rsidR="00454A29" w:rsidRDefault="00454A29">
            <w:pPr>
              <w:pStyle w:val="ConsPlusNormal"/>
              <w:jc w:val="right"/>
            </w:pPr>
            <w:r>
              <w:t>-</w:t>
            </w:r>
          </w:p>
        </w:tc>
      </w:tr>
      <w:tr w:rsidR="00454A29" w14:paraId="04D72BD1" w14:textId="77777777">
        <w:tc>
          <w:tcPr>
            <w:tcW w:w="2041" w:type="dxa"/>
            <w:vMerge/>
          </w:tcPr>
          <w:p w14:paraId="0306CB56" w14:textId="77777777" w:rsidR="00454A29" w:rsidRDefault="00454A29"/>
        </w:tc>
        <w:tc>
          <w:tcPr>
            <w:tcW w:w="3005" w:type="dxa"/>
            <w:vMerge/>
          </w:tcPr>
          <w:p w14:paraId="36B363BB" w14:textId="77777777" w:rsidR="00454A29" w:rsidRDefault="00454A29"/>
        </w:tc>
        <w:tc>
          <w:tcPr>
            <w:tcW w:w="2778" w:type="dxa"/>
            <w:vAlign w:val="center"/>
          </w:tcPr>
          <w:p w14:paraId="1B05CD56" w14:textId="77777777" w:rsidR="00454A29" w:rsidRDefault="00454A29">
            <w:pPr>
              <w:pStyle w:val="ConsPlusNormal"/>
            </w:pPr>
            <w:r>
              <w:t>Минобрнауки РС(Я)</w:t>
            </w:r>
          </w:p>
        </w:tc>
        <w:tc>
          <w:tcPr>
            <w:tcW w:w="1304" w:type="dxa"/>
            <w:vAlign w:val="center"/>
          </w:tcPr>
          <w:p w14:paraId="48A322E6" w14:textId="77777777" w:rsidR="00454A29" w:rsidRDefault="00454A29">
            <w:pPr>
              <w:pStyle w:val="ConsPlusNormal"/>
              <w:jc w:val="right"/>
            </w:pPr>
            <w:r>
              <w:t>91 720</w:t>
            </w:r>
          </w:p>
        </w:tc>
        <w:tc>
          <w:tcPr>
            <w:tcW w:w="1247" w:type="dxa"/>
            <w:vAlign w:val="center"/>
          </w:tcPr>
          <w:p w14:paraId="357EB669" w14:textId="77777777" w:rsidR="00454A29" w:rsidRDefault="00454A29">
            <w:pPr>
              <w:pStyle w:val="ConsPlusNormal"/>
              <w:jc w:val="right"/>
            </w:pPr>
            <w:r>
              <w:t>91 720</w:t>
            </w:r>
          </w:p>
        </w:tc>
        <w:tc>
          <w:tcPr>
            <w:tcW w:w="1304" w:type="dxa"/>
            <w:vAlign w:val="center"/>
          </w:tcPr>
          <w:p w14:paraId="5928A05A" w14:textId="77777777" w:rsidR="00454A29" w:rsidRDefault="00454A29">
            <w:pPr>
              <w:pStyle w:val="ConsPlusNormal"/>
              <w:jc w:val="right"/>
            </w:pPr>
            <w:r>
              <w:t>91 720</w:t>
            </w:r>
          </w:p>
        </w:tc>
        <w:tc>
          <w:tcPr>
            <w:tcW w:w="1304" w:type="dxa"/>
            <w:vAlign w:val="center"/>
          </w:tcPr>
          <w:p w14:paraId="069C7E1B" w14:textId="77777777" w:rsidR="00454A29" w:rsidRDefault="00454A29">
            <w:pPr>
              <w:pStyle w:val="ConsPlusNormal"/>
              <w:jc w:val="right"/>
            </w:pPr>
            <w:r>
              <w:t>91 720</w:t>
            </w:r>
          </w:p>
        </w:tc>
        <w:tc>
          <w:tcPr>
            <w:tcW w:w="1304" w:type="dxa"/>
            <w:vAlign w:val="center"/>
          </w:tcPr>
          <w:p w14:paraId="3C9E8A61" w14:textId="77777777" w:rsidR="00454A29" w:rsidRDefault="00454A29">
            <w:pPr>
              <w:pStyle w:val="ConsPlusNormal"/>
              <w:jc w:val="right"/>
            </w:pPr>
            <w:r>
              <w:t>91 720</w:t>
            </w:r>
          </w:p>
        </w:tc>
        <w:tc>
          <w:tcPr>
            <w:tcW w:w="1304" w:type="dxa"/>
            <w:vAlign w:val="center"/>
          </w:tcPr>
          <w:p w14:paraId="292F8A66" w14:textId="77777777" w:rsidR="00454A29" w:rsidRDefault="00454A29">
            <w:pPr>
              <w:pStyle w:val="ConsPlusNormal"/>
              <w:jc w:val="right"/>
            </w:pPr>
            <w:r>
              <w:t>-</w:t>
            </w:r>
          </w:p>
        </w:tc>
        <w:tc>
          <w:tcPr>
            <w:tcW w:w="1304" w:type="dxa"/>
            <w:vAlign w:val="center"/>
          </w:tcPr>
          <w:p w14:paraId="1FDD38C2" w14:textId="77777777" w:rsidR="00454A29" w:rsidRDefault="00454A29">
            <w:pPr>
              <w:pStyle w:val="ConsPlusNormal"/>
              <w:jc w:val="right"/>
            </w:pPr>
            <w:r>
              <w:t>-</w:t>
            </w:r>
          </w:p>
        </w:tc>
      </w:tr>
      <w:tr w:rsidR="00454A29" w14:paraId="4C049E51" w14:textId="77777777">
        <w:tc>
          <w:tcPr>
            <w:tcW w:w="2041" w:type="dxa"/>
            <w:vMerge w:val="restart"/>
            <w:vAlign w:val="center"/>
          </w:tcPr>
          <w:p w14:paraId="4DB8B363" w14:textId="77777777" w:rsidR="00454A29" w:rsidRDefault="00454A29">
            <w:pPr>
              <w:pStyle w:val="ConsPlusNormal"/>
              <w:jc w:val="center"/>
            </w:pPr>
            <w:r>
              <w:t>Основное мероприятие 4.1.</w:t>
            </w:r>
          </w:p>
        </w:tc>
        <w:tc>
          <w:tcPr>
            <w:tcW w:w="3005" w:type="dxa"/>
            <w:vMerge w:val="restart"/>
            <w:vAlign w:val="center"/>
          </w:tcPr>
          <w:p w14:paraId="41C6BB3A" w14:textId="77777777" w:rsidR="00454A29" w:rsidRDefault="00454A29">
            <w:pPr>
              <w:pStyle w:val="ConsPlusNormal"/>
              <w:jc w:val="center"/>
            </w:pPr>
            <w:r>
              <w:t>Развитие республиканской системы дополнительного образования детей и молодежи</w:t>
            </w:r>
          </w:p>
        </w:tc>
        <w:tc>
          <w:tcPr>
            <w:tcW w:w="2778" w:type="dxa"/>
            <w:vAlign w:val="center"/>
          </w:tcPr>
          <w:p w14:paraId="000966E2" w14:textId="77777777" w:rsidR="00454A29" w:rsidRDefault="00454A29">
            <w:pPr>
              <w:pStyle w:val="ConsPlusNormal"/>
            </w:pPr>
            <w:r>
              <w:t>Всего:</w:t>
            </w:r>
          </w:p>
        </w:tc>
        <w:tc>
          <w:tcPr>
            <w:tcW w:w="1304" w:type="dxa"/>
            <w:vAlign w:val="center"/>
          </w:tcPr>
          <w:p w14:paraId="03BC922B" w14:textId="77777777" w:rsidR="00454A29" w:rsidRDefault="00454A29">
            <w:pPr>
              <w:pStyle w:val="ConsPlusNormal"/>
              <w:jc w:val="right"/>
            </w:pPr>
            <w:r>
              <w:t>462 639</w:t>
            </w:r>
          </w:p>
        </w:tc>
        <w:tc>
          <w:tcPr>
            <w:tcW w:w="1247" w:type="dxa"/>
            <w:vAlign w:val="center"/>
          </w:tcPr>
          <w:p w14:paraId="74403996" w14:textId="77777777" w:rsidR="00454A29" w:rsidRDefault="00454A29">
            <w:pPr>
              <w:pStyle w:val="ConsPlusNormal"/>
              <w:jc w:val="right"/>
            </w:pPr>
            <w:r>
              <w:t>462 640</w:t>
            </w:r>
          </w:p>
        </w:tc>
        <w:tc>
          <w:tcPr>
            <w:tcW w:w="1304" w:type="dxa"/>
            <w:vAlign w:val="center"/>
          </w:tcPr>
          <w:p w14:paraId="5EEE1F4D" w14:textId="77777777" w:rsidR="00454A29" w:rsidRDefault="00454A29">
            <w:pPr>
              <w:pStyle w:val="ConsPlusNormal"/>
              <w:jc w:val="right"/>
            </w:pPr>
            <w:r>
              <w:t>462 639</w:t>
            </w:r>
          </w:p>
        </w:tc>
        <w:tc>
          <w:tcPr>
            <w:tcW w:w="1304" w:type="dxa"/>
            <w:vAlign w:val="center"/>
          </w:tcPr>
          <w:p w14:paraId="7033C5AE" w14:textId="77777777" w:rsidR="00454A29" w:rsidRDefault="00454A29">
            <w:pPr>
              <w:pStyle w:val="ConsPlusNormal"/>
              <w:jc w:val="right"/>
            </w:pPr>
            <w:r>
              <w:t>467 564</w:t>
            </w:r>
          </w:p>
        </w:tc>
        <w:tc>
          <w:tcPr>
            <w:tcW w:w="1304" w:type="dxa"/>
            <w:vAlign w:val="center"/>
          </w:tcPr>
          <w:p w14:paraId="0D3395F5" w14:textId="77777777" w:rsidR="00454A29" w:rsidRDefault="00454A29">
            <w:pPr>
              <w:pStyle w:val="ConsPlusNormal"/>
              <w:jc w:val="right"/>
            </w:pPr>
            <w:r>
              <w:t>467 564</w:t>
            </w:r>
          </w:p>
        </w:tc>
        <w:tc>
          <w:tcPr>
            <w:tcW w:w="1304" w:type="dxa"/>
            <w:vAlign w:val="center"/>
          </w:tcPr>
          <w:p w14:paraId="0F0C814B" w14:textId="77777777" w:rsidR="00454A29" w:rsidRDefault="00454A29">
            <w:pPr>
              <w:pStyle w:val="ConsPlusNormal"/>
              <w:jc w:val="right"/>
            </w:pPr>
            <w:r>
              <w:t>-</w:t>
            </w:r>
          </w:p>
        </w:tc>
        <w:tc>
          <w:tcPr>
            <w:tcW w:w="1304" w:type="dxa"/>
            <w:vAlign w:val="center"/>
          </w:tcPr>
          <w:p w14:paraId="6DC8D0F1" w14:textId="77777777" w:rsidR="00454A29" w:rsidRDefault="00454A29">
            <w:pPr>
              <w:pStyle w:val="ConsPlusNormal"/>
              <w:jc w:val="right"/>
            </w:pPr>
            <w:r>
              <w:t>-</w:t>
            </w:r>
          </w:p>
        </w:tc>
      </w:tr>
      <w:tr w:rsidR="00454A29" w14:paraId="7FEDD92B" w14:textId="77777777">
        <w:tc>
          <w:tcPr>
            <w:tcW w:w="2041" w:type="dxa"/>
            <w:vMerge/>
          </w:tcPr>
          <w:p w14:paraId="683A7180" w14:textId="77777777" w:rsidR="00454A29" w:rsidRDefault="00454A29"/>
        </w:tc>
        <w:tc>
          <w:tcPr>
            <w:tcW w:w="3005" w:type="dxa"/>
            <w:vMerge/>
          </w:tcPr>
          <w:p w14:paraId="252120CE" w14:textId="77777777" w:rsidR="00454A29" w:rsidRDefault="00454A29"/>
        </w:tc>
        <w:tc>
          <w:tcPr>
            <w:tcW w:w="2778" w:type="dxa"/>
            <w:vAlign w:val="center"/>
          </w:tcPr>
          <w:p w14:paraId="02F4487F" w14:textId="77777777" w:rsidR="00454A29" w:rsidRDefault="00454A29">
            <w:pPr>
              <w:pStyle w:val="ConsPlusNormal"/>
            </w:pPr>
            <w:r>
              <w:t>Государственный бюджет Республики Саха (Якутия)</w:t>
            </w:r>
          </w:p>
        </w:tc>
        <w:tc>
          <w:tcPr>
            <w:tcW w:w="1304" w:type="dxa"/>
            <w:vAlign w:val="center"/>
          </w:tcPr>
          <w:p w14:paraId="708DD274" w14:textId="77777777" w:rsidR="00454A29" w:rsidRDefault="00454A29">
            <w:pPr>
              <w:pStyle w:val="ConsPlusNormal"/>
              <w:jc w:val="right"/>
            </w:pPr>
            <w:r>
              <w:t>370 919</w:t>
            </w:r>
          </w:p>
        </w:tc>
        <w:tc>
          <w:tcPr>
            <w:tcW w:w="1247" w:type="dxa"/>
            <w:vAlign w:val="center"/>
          </w:tcPr>
          <w:p w14:paraId="0BCF8D54" w14:textId="77777777" w:rsidR="00454A29" w:rsidRDefault="00454A29">
            <w:pPr>
              <w:pStyle w:val="ConsPlusNormal"/>
              <w:jc w:val="right"/>
            </w:pPr>
            <w:r>
              <w:t>370 920</w:t>
            </w:r>
          </w:p>
        </w:tc>
        <w:tc>
          <w:tcPr>
            <w:tcW w:w="1304" w:type="dxa"/>
            <w:vAlign w:val="center"/>
          </w:tcPr>
          <w:p w14:paraId="346D8A2F" w14:textId="77777777" w:rsidR="00454A29" w:rsidRDefault="00454A29">
            <w:pPr>
              <w:pStyle w:val="ConsPlusNormal"/>
              <w:jc w:val="right"/>
            </w:pPr>
            <w:r>
              <w:t>370 919</w:t>
            </w:r>
          </w:p>
        </w:tc>
        <w:tc>
          <w:tcPr>
            <w:tcW w:w="1304" w:type="dxa"/>
            <w:vAlign w:val="center"/>
          </w:tcPr>
          <w:p w14:paraId="695B0F87" w14:textId="77777777" w:rsidR="00454A29" w:rsidRDefault="00454A29">
            <w:pPr>
              <w:pStyle w:val="ConsPlusNormal"/>
              <w:jc w:val="right"/>
            </w:pPr>
            <w:r>
              <w:t>375 844</w:t>
            </w:r>
          </w:p>
        </w:tc>
        <w:tc>
          <w:tcPr>
            <w:tcW w:w="1304" w:type="dxa"/>
            <w:vAlign w:val="center"/>
          </w:tcPr>
          <w:p w14:paraId="656FA1CE" w14:textId="77777777" w:rsidR="00454A29" w:rsidRDefault="00454A29">
            <w:pPr>
              <w:pStyle w:val="ConsPlusNormal"/>
              <w:jc w:val="right"/>
            </w:pPr>
            <w:r>
              <w:t>375 844</w:t>
            </w:r>
          </w:p>
        </w:tc>
        <w:tc>
          <w:tcPr>
            <w:tcW w:w="1304" w:type="dxa"/>
            <w:vAlign w:val="center"/>
          </w:tcPr>
          <w:p w14:paraId="069F4E08" w14:textId="77777777" w:rsidR="00454A29" w:rsidRDefault="00454A29">
            <w:pPr>
              <w:pStyle w:val="ConsPlusNormal"/>
              <w:jc w:val="right"/>
            </w:pPr>
            <w:r>
              <w:t>-</w:t>
            </w:r>
          </w:p>
        </w:tc>
        <w:tc>
          <w:tcPr>
            <w:tcW w:w="1304" w:type="dxa"/>
            <w:vAlign w:val="center"/>
          </w:tcPr>
          <w:p w14:paraId="2881357E" w14:textId="77777777" w:rsidR="00454A29" w:rsidRDefault="00454A29">
            <w:pPr>
              <w:pStyle w:val="ConsPlusNormal"/>
              <w:jc w:val="right"/>
            </w:pPr>
            <w:r>
              <w:t>-</w:t>
            </w:r>
          </w:p>
        </w:tc>
      </w:tr>
      <w:tr w:rsidR="00454A29" w14:paraId="08803A32" w14:textId="77777777">
        <w:tc>
          <w:tcPr>
            <w:tcW w:w="2041" w:type="dxa"/>
            <w:vMerge/>
          </w:tcPr>
          <w:p w14:paraId="62B141E0" w14:textId="77777777" w:rsidR="00454A29" w:rsidRDefault="00454A29"/>
        </w:tc>
        <w:tc>
          <w:tcPr>
            <w:tcW w:w="3005" w:type="dxa"/>
            <w:vMerge/>
          </w:tcPr>
          <w:p w14:paraId="453926EF" w14:textId="77777777" w:rsidR="00454A29" w:rsidRDefault="00454A29"/>
        </w:tc>
        <w:tc>
          <w:tcPr>
            <w:tcW w:w="2778" w:type="dxa"/>
            <w:vAlign w:val="center"/>
          </w:tcPr>
          <w:p w14:paraId="3C9782A1" w14:textId="77777777" w:rsidR="00454A29" w:rsidRDefault="00454A29">
            <w:pPr>
              <w:pStyle w:val="ConsPlusNormal"/>
            </w:pPr>
            <w:r>
              <w:t>Федеральный бюджет</w:t>
            </w:r>
          </w:p>
        </w:tc>
        <w:tc>
          <w:tcPr>
            <w:tcW w:w="1304" w:type="dxa"/>
            <w:vAlign w:val="center"/>
          </w:tcPr>
          <w:p w14:paraId="1B7B323B" w14:textId="77777777" w:rsidR="00454A29" w:rsidRDefault="00454A29">
            <w:pPr>
              <w:pStyle w:val="ConsPlusNormal"/>
            </w:pPr>
          </w:p>
        </w:tc>
        <w:tc>
          <w:tcPr>
            <w:tcW w:w="1247" w:type="dxa"/>
            <w:vAlign w:val="center"/>
          </w:tcPr>
          <w:p w14:paraId="6042CFCF" w14:textId="77777777" w:rsidR="00454A29" w:rsidRDefault="00454A29">
            <w:pPr>
              <w:pStyle w:val="ConsPlusNormal"/>
            </w:pPr>
          </w:p>
        </w:tc>
        <w:tc>
          <w:tcPr>
            <w:tcW w:w="1304" w:type="dxa"/>
            <w:vAlign w:val="center"/>
          </w:tcPr>
          <w:p w14:paraId="7E2B11E3" w14:textId="77777777" w:rsidR="00454A29" w:rsidRDefault="00454A29">
            <w:pPr>
              <w:pStyle w:val="ConsPlusNormal"/>
            </w:pPr>
          </w:p>
        </w:tc>
        <w:tc>
          <w:tcPr>
            <w:tcW w:w="1304" w:type="dxa"/>
            <w:vAlign w:val="center"/>
          </w:tcPr>
          <w:p w14:paraId="555A1B90" w14:textId="77777777" w:rsidR="00454A29" w:rsidRDefault="00454A29">
            <w:pPr>
              <w:pStyle w:val="ConsPlusNormal"/>
            </w:pPr>
          </w:p>
        </w:tc>
        <w:tc>
          <w:tcPr>
            <w:tcW w:w="1304" w:type="dxa"/>
            <w:vAlign w:val="center"/>
          </w:tcPr>
          <w:p w14:paraId="7CE044F1" w14:textId="77777777" w:rsidR="00454A29" w:rsidRDefault="00454A29">
            <w:pPr>
              <w:pStyle w:val="ConsPlusNormal"/>
            </w:pPr>
          </w:p>
        </w:tc>
        <w:tc>
          <w:tcPr>
            <w:tcW w:w="1304" w:type="dxa"/>
            <w:vAlign w:val="center"/>
          </w:tcPr>
          <w:p w14:paraId="42C1C564" w14:textId="77777777" w:rsidR="00454A29" w:rsidRDefault="00454A29">
            <w:pPr>
              <w:pStyle w:val="ConsPlusNormal"/>
            </w:pPr>
          </w:p>
        </w:tc>
        <w:tc>
          <w:tcPr>
            <w:tcW w:w="1304" w:type="dxa"/>
            <w:vAlign w:val="center"/>
          </w:tcPr>
          <w:p w14:paraId="1EBE6047" w14:textId="77777777" w:rsidR="00454A29" w:rsidRDefault="00454A29">
            <w:pPr>
              <w:pStyle w:val="ConsPlusNormal"/>
            </w:pPr>
          </w:p>
        </w:tc>
      </w:tr>
      <w:tr w:rsidR="00454A29" w14:paraId="37117142" w14:textId="77777777">
        <w:tc>
          <w:tcPr>
            <w:tcW w:w="2041" w:type="dxa"/>
            <w:vMerge/>
          </w:tcPr>
          <w:p w14:paraId="3A453EB2" w14:textId="77777777" w:rsidR="00454A29" w:rsidRDefault="00454A29"/>
        </w:tc>
        <w:tc>
          <w:tcPr>
            <w:tcW w:w="3005" w:type="dxa"/>
            <w:vMerge/>
          </w:tcPr>
          <w:p w14:paraId="0D8304CA" w14:textId="77777777" w:rsidR="00454A29" w:rsidRDefault="00454A29"/>
        </w:tc>
        <w:tc>
          <w:tcPr>
            <w:tcW w:w="2778" w:type="dxa"/>
            <w:vAlign w:val="center"/>
          </w:tcPr>
          <w:p w14:paraId="765B6FDA" w14:textId="77777777" w:rsidR="00454A29" w:rsidRDefault="00454A29">
            <w:pPr>
              <w:pStyle w:val="ConsPlusNormal"/>
            </w:pPr>
            <w:r>
              <w:t>Местные бюджеты</w:t>
            </w:r>
          </w:p>
        </w:tc>
        <w:tc>
          <w:tcPr>
            <w:tcW w:w="1304" w:type="dxa"/>
            <w:vAlign w:val="center"/>
          </w:tcPr>
          <w:p w14:paraId="2CDF006C" w14:textId="77777777" w:rsidR="00454A29" w:rsidRDefault="00454A29">
            <w:pPr>
              <w:pStyle w:val="ConsPlusNormal"/>
            </w:pPr>
          </w:p>
        </w:tc>
        <w:tc>
          <w:tcPr>
            <w:tcW w:w="1247" w:type="dxa"/>
            <w:vAlign w:val="center"/>
          </w:tcPr>
          <w:p w14:paraId="021FFD64" w14:textId="77777777" w:rsidR="00454A29" w:rsidRDefault="00454A29">
            <w:pPr>
              <w:pStyle w:val="ConsPlusNormal"/>
            </w:pPr>
          </w:p>
        </w:tc>
        <w:tc>
          <w:tcPr>
            <w:tcW w:w="1304" w:type="dxa"/>
            <w:vAlign w:val="center"/>
          </w:tcPr>
          <w:p w14:paraId="204883C0" w14:textId="77777777" w:rsidR="00454A29" w:rsidRDefault="00454A29">
            <w:pPr>
              <w:pStyle w:val="ConsPlusNormal"/>
            </w:pPr>
          </w:p>
        </w:tc>
        <w:tc>
          <w:tcPr>
            <w:tcW w:w="1304" w:type="dxa"/>
            <w:vAlign w:val="center"/>
          </w:tcPr>
          <w:p w14:paraId="18F32CDA" w14:textId="77777777" w:rsidR="00454A29" w:rsidRDefault="00454A29">
            <w:pPr>
              <w:pStyle w:val="ConsPlusNormal"/>
            </w:pPr>
          </w:p>
        </w:tc>
        <w:tc>
          <w:tcPr>
            <w:tcW w:w="1304" w:type="dxa"/>
            <w:vAlign w:val="center"/>
          </w:tcPr>
          <w:p w14:paraId="440C7858" w14:textId="77777777" w:rsidR="00454A29" w:rsidRDefault="00454A29">
            <w:pPr>
              <w:pStyle w:val="ConsPlusNormal"/>
            </w:pPr>
          </w:p>
        </w:tc>
        <w:tc>
          <w:tcPr>
            <w:tcW w:w="1304" w:type="dxa"/>
            <w:vAlign w:val="center"/>
          </w:tcPr>
          <w:p w14:paraId="2D7196F2" w14:textId="77777777" w:rsidR="00454A29" w:rsidRDefault="00454A29">
            <w:pPr>
              <w:pStyle w:val="ConsPlusNormal"/>
            </w:pPr>
          </w:p>
        </w:tc>
        <w:tc>
          <w:tcPr>
            <w:tcW w:w="1304" w:type="dxa"/>
            <w:vAlign w:val="center"/>
          </w:tcPr>
          <w:p w14:paraId="79B8869F" w14:textId="77777777" w:rsidR="00454A29" w:rsidRDefault="00454A29">
            <w:pPr>
              <w:pStyle w:val="ConsPlusNormal"/>
            </w:pPr>
          </w:p>
        </w:tc>
      </w:tr>
      <w:tr w:rsidR="00454A29" w14:paraId="0C44EB4D" w14:textId="77777777">
        <w:tc>
          <w:tcPr>
            <w:tcW w:w="2041" w:type="dxa"/>
            <w:vMerge/>
          </w:tcPr>
          <w:p w14:paraId="3332AF3E" w14:textId="77777777" w:rsidR="00454A29" w:rsidRDefault="00454A29"/>
        </w:tc>
        <w:tc>
          <w:tcPr>
            <w:tcW w:w="3005" w:type="dxa"/>
            <w:vMerge/>
          </w:tcPr>
          <w:p w14:paraId="3A79B531" w14:textId="77777777" w:rsidR="00454A29" w:rsidRDefault="00454A29"/>
        </w:tc>
        <w:tc>
          <w:tcPr>
            <w:tcW w:w="2778" w:type="dxa"/>
            <w:vAlign w:val="center"/>
          </w:tcPr>
          <w:p w14:paraId="6A28E035" w14:textId="77777777" w:rsidR="00454A29" w:rsidRDefault="00454A29">
            <w:pPr>
              <w:pStyle w:val="ConsPlusNormal"/>
            </w:pPr>
            <w:r>
              <w:t>Внебюджетные средства</w:t>
            </w:r>
          </w:p>
        </w:tc>
        <w:tc>
          <w:tcPr>
            <w:tcW w:w="1304" w:type="dxa"/>
            <w:vAlign w:val="center"/>
          </w:tcPr>
          <w:p w14:paraId="3D2E2F11" w14:textId="77777777" w:rsidR="00454A29" w:rsidRDefault="00454A29">
            <w:pPr>
              <w:pStyle w:val="ConsPlusNormal"/>
              <w:jc w:val="right"/>
            </w:pPr>
            <w:r>
              <w:t>91 720</w:t>
            </w:r>
          </w:p>
        </w:tc>
        <w:tc>
          <w:tcPr>
            <w:tcW w:w="1247" w:type="dxa"/>
            <w:vAlign w:val="center"/>
          </w:tcPr>
          <w:p w14:paraId="2FD0628A" w14:textId="77777777" w:rsidR="00454A29" w:rsidRDefault="00454A29">
            <w:pPr>
              <w:pStyle w:val="ConsPlusNormal"/>
              <w:jc w:val="right"/>
            </w:pPr>
            <w:r>
              <w:t>91 720</w:t>
            </w:r>
          </w:p>
        </w:tc>
        <w:tc>
          <w:tcPr>
            <w:tcW w:w="1304" w:type="dxa"/>
            <w:vAlign w:val="center"/>
          </w:tcPr>
          <w:p w14:paraId="686106EC" w14:textId="77777777" w:rsidR="00454A29" w:rsidRDefault="00454A29">
            <w:pPr>
              <w:pStyle w:val="ConsPlusNormal"/>
              <w:jc w:val="right"/>
            </w:pPr>
            <w:r>
              <w:t>91 720</w:t>
            </w:r>
          </w:p>
        </w:tc>
        <w:tc>
          <w:tcPr>
            <w:tcW w:w="1304" w:type="dxa"/>
            <w:vAlign w:val="center"/>
          </w:tcPr>
          <w:p w14:paraId="6D536DD0" w14:textId="77777777" w:rsidR="00454A29" w:rsidRDefault="00454A29">
            <w:pPr>
              <w:pStyle w:val="ConsPlusNormal"/>
              <w:jc w:val="right"/>
            </w:pPr>
            <w:r>
              <w:t>91 720</w:t>
            </w:r>
          </w:p>
        </w:tc>
        <w:tc>
          <w:tcPr>
            <w:tcW w:w="1304" w:type="dxa"/>
            <w:vAlign w:val="center"/>
          </w:tcPr>
          <w:p w14:paraId="34A8BBD9" w14:textId="77777777" w:rsidR="00454A29" w:rsidRDefault="00454A29">
            <w:pPr>
              <w:pStyle w:val="ConsPlusNormal"/>
              <w:jc w:val="right"/>
            </w:pPr>
            <w:r>
              <w:t>91 720</w:t>
            </w:r>
          </w:p>
        </w:tc>
        <w:tc>
          <w:tcPr>
            <w:tcW w:w="1304" w:type="dxa"/>
            <w:vAlign w:val="center"/>
          </w:tcPr>
          <w:p w14:paraId="483B5444" w14:textId="77777777" w:rsidR="00454A29" w:rsidRDefault="00454A29">
            <w:pPr>
              <w:pStyle w:val="ConsPlusNormal"/>
              <w:jc w:val="right"/>
            </w:pPr>
            <w:r>
              <w:t>-</w:t>
            </w:r>
          </w:p>
        </w:tc>
        <w:tc>
          <w:tcPr>
            <w:tcW w:w="1304" w:type="dxa"/>
            <w:vAlign w:val="center"/>
          </w:tcPr>
          <w:p w14:paraId="271C85C7" w14:textId="77777777" w:rsidR="00454A29" w:rsidRDefault="00454A29">
            <w:pPr>
              <w:pStyle w:val="ConsPlusNormal"/>
              <w:jc w:val="right"/>
            </w:pPr>
            <w:r>
              <w:t>-</w:t>
            </w:r>
          </w:p>
        </w:tc>
      </w:tr>
      <w:tr w:rsidR="00454A29" w14:paraId="4C11B5C1" w14:textId="77777777">
        <w:tc>
          <w:tcPr>
            <w:tcW w:w="2041" w:type="dxa"/>
            <w:vMerge w:val="restart"/>
            <w:vAlign w:val="center"/>
          </w:tcPr>
          <w:p w14:paraId="4B03B1CD" w14:textId="77777777" w:rsidR="00454A29" w:rsidRDefault="00454A29">
            <w:pPr>
              <w:pStyle w:val="ConsPlusNormal"/>
              <w:jc w:val="center"/>
            </w:pPr>
            <w:r>
              <w:t>Основное мероприятие 4.2.</w:t>
            </w:r>
          </w:p>
        </w:tc>
        <w:tc>
          <w:tcPr>
            <w:tcW w:w="3005" w:type="dxa"/>
            <w:vMerge w:val="restart"/>
            <w:vAlign w:val="center"/>
          </w:tcPr>
          <w:p w14:paraId="67C8F497" w14:textId="77777777" w:rsidR="00454A29" w:rsidRDefault="00454A29">
            <w:pPr>
              <w:pStyle w:val="ConsPlusNormal"/>
              <w:jc w:val="center"/>
            </w:pPr>
            <w:r>
              <w:t>Обновление содержания и технологий воспитания</w:t>
            </w:r>
          </w:p>
        </w:tc>
        <w:tc>
          <w:tcPr>
            <w:tcW w:w="2778" w:type="dxa"/>
            <w:vAlign w:val="center"/>
          </w:tcPr>
          <w:p w14:paraId="235C2D02" w14:textId="77777777" w:rsidR="00454A29" w:rsidRDefault="00454A29">
            <w:pPr>
              <w:pStyle w:val="ConsPlusNormal"/>
            </w:pPr>
            <w:r>
              <w:t>Всего:</w:t>
            </w:r>
          </w:p>
        </w:tc>
        <w:tc>
          <w:tcPr>
            <w:tcW w:w="1304" w:type="dxa"/>
            <w:vAlign w:val="center"/>
          </w:tcPr>
          <w:p w14:paraId="22376BA3" w14:textId="77777777" w:rsidR="00454A29" w:rsidRDefault="00454A29">
            <w:pPr>
              <w:pStyle w:val="ConsPlusNormal"/>
              <w:jc w:val="right"/>
            </w:pPr>
            <w:r>
              <w:t>-</w:t>
            </w:r>
          </w:p>
        </w:tc>
        <w:tc>
          <w:tcPr>
            <w:tcW w:w="1247" w:type="dxa"/>
            <w:vAlign w:val="center"/>
          </w:tcPr>
          <w:p w14:paraId="432911C0" w14:textId="77777777" w:rsidR="00454A29" w:rsidRDefault="00454A29">
            <w:pPr>
              <w:pStyle w:val="ConsPlusNormal"/>
              <w:jc w:val="right"/>
            </w:pPr>
            <w:r>
              <w:t>-</w:t>
            </w:r>
          </w:p>
        </w:tc>
        <w:tc>
          <w:tcPr>
            <w:tcW w:w="1304" w:type="dxa"/>
            <w:vAlign w:val="center"/>
          </w:tcPr>
          <w:p w14:paraId="199ABBCF" w14:textId="77777777" w:rsidR="00454A29" w:rsidRDefault="00454A29">
            <w:pPr>
              <w:pStyle w:val="ConsPlusNormal"/>
              <w:jc w:val="right"/>
            </w:pPr>
            <w:r>
              <w:t>-</w:t>
            </w:r>
          </w:p>
        </w:tc>
        <w:tc>
          <w:tcPr>
            <w:tcW w:w="1304" w:type="dxa"/>
            <w:vAlign w:val="center"/>
          </w:tcPr>
          <w:p w14:paraId="6023AB7F" w14:textId="77777777" w:rsidR="00454A29" w:rsidRDefault="00454A29">
            <w:pPr>
              <w:pStyle w:val="ConsPlusNormal"/>
              <w:jc w:val="right"/>
            </w:pPr>
            <w:r>
              <w:t>-</w:t>
            </w:r>
          </w:p>
        </w:tc>
        <w:tc>
          <w:tcPr>
            <w:tcW w:w="1304" w:type="dxa"/>
            <w:vAlign w:val="center"/>
          </w:tcPr>
          <w:p w14:paraId="537702EC" w14:textId="77777777" w:rsidR="00454A29" w:rsidRDefault="00454A29">
            <w:pPr>
              <w:pStyle w:val="ConsPlusNormal"/>
              <w:jc w:val="right"/>
            </w:pPr>
            <w:r>
              <w:t>-</w:t>
            </w:r>
          </w:p>
        </w:tc>
        <w:tc>
          <w:tcPr>
            <w:tcW w:w="1304" w:type="dxa"/>
            <w:vAlign w:val="center"/>
          </w:tcPr>
          <w:p w14:paraId="17B80522" w14:textId="77777777" w:rsidR="00454A29" w:rsidRDefault="00454A29">
            <w:pPr>
              <w:pStyle w:val="ConsPlusNormal"/>
              <w:jc w:val="right"/>
            </w:pPr>
            <w:r>
              <w:t>-</w:t>
            </w:r>
          </w:p>
        </w:tc>
        <w:tc>
          <w:tcPr>
            <w:tcW w:w="1304" w:type="dxa"/>
            <w:vAlign w:val="center"/>
          </w:tcPr>
          <w:p w14:paraId="09A9A453" w14:textId="77777777" w:rsidR="00454A29" w:rsidRDefault="00454A29">
            <w:pPr>
              <w:pStyle w:val="ConsPlusNormal"/>
              <w:jc w:val="right"/>
            </w:pPr>
            <w:r>
              <w:t>-</w:t>
            </w:r>
          </w:p>
        </w:tc>
      </w:tr>
      <w:tr w:rsidR="00454A29" w14:paraId="75800FB0" w14:textId="77777777">
        <w:tc>
          <w:tcPr>
            <w:tcW w:w="2041" w:type="dxa"/>
            <w:vMerge/>
          </w:tcPr>
          <w:p w14:paraId="5E769064" w14:textId="77777777" w:rsidR="00454A29" w:rsidRDefault="00454A29"/>
        </w:tc>
        <w:tc>
          <w:tcPr>
            <w:tcW w:w="3005" w:type="dxa"/>
            <w:vMerge/>
          </w:tcPr>
          <w:p w14:paraId="058E4005" w14:textId="77777777" w:rsidR="00454A29" w:rsidRDefault="00454A29"/>
        </w:tc>
        <w:tc>
          <w:tcPr>
            <w:tcW w:w="2778" w:type="dxa"/>
            <w:vAlign w:val="center"/>
          </w:tcPr>
          <w:p w14:paraId="3D3AC4AD" w14:textId="77777777" w:rsidR="00454A29" w:rsidRDefault="00454A29">
            <w:pPr>
              <w:pStyle w:val="ConsPlusNormal"/>
            </w:pPr>
            <w:r>
              <w:t>Государственный бюджет Республики Саха (Якутия)</w:t>
            </w:r>
          </w:p>
        </w:tc>
        <w:tc>
          <w:tcPr>
            <w:tcW w:w="1304" w:type="dxa"/>
            <w:vAlign w:val="center"/>
          </w:tcPr>
          <w:p w14:paraId="1297F7EB" w14:textId="77777777" w:rsidR="00454A29" w:rsidRDefault="00454A29">
            <w:pPr>
              <w:pStyle w:val="ConsPlusNormal"/>
            </w:pPr>
          </w:p>
        </w:tc>
        <w:tc>
          <w:tcPr>
            <w:tcW w:w="1247" w:type="dxa"/>
            <w:vAlign w:val="center"/>
          </w:tcPr>
          <w:p w14:paraId="6B0EA864" w14:textId="77777777" w:rsidR="00454A29" w:rsidRDefault="00454A29">
            <w:pPr>
              <w:pStyle w:val="ConsPlusNormal"/>
            </w:pPr>
          </w:p>
        </w:tc>
        <w:tc>
          <w:tcPr>
            <w:tcW w:w="1304" w:type="dxa"/>
            <w:vAlign w:val="center"/>
          </w:tcPr>
          <w:p w14:paraId="2C5F031C" w14:textId="77777777" w:rsidR="00454A29" w:rsidRDefault="00454A29">
            <w:pPr>
              <w:pStyle w:val="ConsPlusNormal"/>
            </w:pPr>
          </w:p>
        </w:tc>
        <w:tc>
          <w:tcPr>
            <w:tcW w:w="1304" w:type="dxa"/>
            <w:vAlign w:val="center"/>
          </w:tcPr>
          <w:p w14:paraId="54070989" w14:textId="77777777" w:rsidR="00454A29" w:rsidRDefault="00454A29">
            <w:pPr>
              <w:pStyle w:val="ConsPlusNormal"/>
            </w:pPr>
          </w:p>
        </w:tc>
        <w:tc>
          <w:tcPr>
            <w:tcW w:w="1304" w:type="dxa"/>
            <w:vAlign w:val="center"/>
          </w:tcPr>
          <w:p w14:paraId="2D05A7BC" w14:textId="77777777" w:rsidR="00454A29" w:rsidRDefault="00454A29">
            <w:pPr>
              <w:pStyle w:val="ConsPlusNormal"/>
            </w:pPr>
          </w:p>
        </w:tc>
        <w:tc>
          <w:tcPr>
            <w:tcW w:w="1304" w:type="dxa"/>
            <w:vAlign w:val="center"/>
          </w:tcPr>
          <w:p w14:paraId="4D009E67" w14:textId="77777777" w:rsidR="00454A29" w:rsidRDefault="00454A29">
            <w:pPr>
              <w:pStyle w:val="ConsPlusNormal"/>
            </w:pPr>
          </w:p>
        </w:tc>
        <w:tc>
          <w:tcPr>
            <w:tcW w:w="1304" w:type="dxa"/>
            <w:vAlign w:val="center"/>
          </w:tcPr>
          <w:p w14:paraId="2BC9BDB8" w14:textId="77777777" w:rsidR="00454A29" w:rsidRDefault="00454A29">
            <w:pPr>
              <w:pStyle w:val="ConsPlusNormal"/>
            </w:pPr>
          </w:p>
        </w:tc>
      </w:tr>
      <w:tr w:rsidR="00454A29" w14:paraId="79B07BF9" w14:textId="77777777">
        <w:tc>
          <w:tcPr>
            <w:tcW w:w="2041" w:type="dxa"/>
            <w:vMerge/>
          </w:tcPr>
          <w:p w14:paraId="4CE6B697" w14:textId="77777777" w:rsidR="00454A29" w:rsidRDefault="00454A29"/>
        </w:tc>
        <w:tc>
          <w:tcPr>
            <w:tcW w:w="3005" w:type="dxa"/>
            <w:vMerge/>
          </w:tcPr>
          <w:p w14:paraId="49F7AF2C" w14:textId="77777777" w:rsidR="00454A29" w:rsidRDefault="00454A29"/>
        </w:tc>
        <w:tc>
          <w:tcPr>
            <w:tcW w:w="2778" w:type="dxa"/>
            <w:vAlign w:val="center"/>
          </w:tcPr>
          <w:p w14:paraId="3E080F8A" w14:textId="77777777" w:rsidR="00454A29" w:rsidRDefault="00454A29">
            <w:pPr>
              <w:pStyle w:val="ConsPlusNormal"/>
            </w:pPr>
            <w:r>
              <w:t>Федеральный бюджет</w:t>
            </w:r>
          </w:p>
        </w:tc>
        <w:tc>
          <w:tcPr>
            <w:tcW w:w="1304" w:type="dxa"/>
            <w:vAlign w:val="center"/>
          </w:tcPr>
          <w:p w14:paraId="5648F1D4" w14:textId="77777777" w:rsidR="00454A29" w:rsidRDefault="00454A29">
            <w:pPr>
              <w:pStyle w:val="ConsPlusNormal"/>
            </w:pPr>
          </w:p>
        </w:tc>
        <w:tc>
          <w:tcPr>
            <w:tcW w:w="1247" w:type="dxa"/>
            <w:vAlign w:val="center"/>
          </w:tcPr>
          <w:p w14:paraId="477243E8" w14:textId="77777777" w:rsidR="00454A29" w:rsidRDefault="00454A29">
            <w:pPr>
              <w:pStyle w:val="ConsPlusNormal"/>
            </w:pPr>
          </w:p>
        </w:tc>
        <w:tc>
          <w:tcPr>
            <w:tcW w:w="1304" w:type="dxa"/>
            <w:vAlign w:val="center"/>
          </w:tcPr>
          <w:p w14:paraId="05A3F8B9" w14:textId="77777777" w:rsidR="00454A29" w:rsidRDefault="00454A29">
            <w:pPr>
              <w:pStyle w:val="ConsPlusNormal"/>
            </w:pPr>
          </w:p>
        </w:tc>
        <w:tc>
          <w:tcPr>
            <w:tcW w:w="1304" w:type="dxa"/>
            <w:vAlign w:val="center"/>
          </w:tcPr>
          <w:p w14:paraId="7E8971B9" w14:textId="77777777" w:rsidR="00454A29" w:rsidRDefault="00454A29">
            <w:pPr>
              <w:pStyle w:val="ConsPlusNormal"/>
            </w:pPr>
          </w:p>
        </w:tc>
        <w:tc>
          <w:tcPr>
            <w:tcW w:w="1304" w:type="dxa"/>
            <w:vAlign w:val="center"/>
          </w:tcPr>
          <w:p w14:paraId="79DCBFF6" w14:textId="77777777" w:rsidR="00454A29" w:rsidRDefault="00454A29">
            <w:pPr>
              <w:pStyle w:val="ConsPlusNormal"/>
            </w:pPr>
          </w:p>
        </w:tc>
        <w:tc>
          <w:tcPr>
            <w:tcW w:w="1304" w:type="dxa"/>
            <w:vAlign w:val="center"/>
          </w:tcPr>
          <w:p w14:paraId="24BD4704" w14:textId="77777777" w:rsidR="00454A29" w:rsidRDefault="00454A29">
            <w:pPr>
              <w:pStyle w:val="ConsPlusNormal"/>
            </w:pPr>
          </w:p>
        </w:tc>
        <w:tc>
          <w:tcPr>
            <w:tcW w:w="1304" w:type="dxa"/>
            <w:vAlign w:val="center"/>
          </w:tcPr>
          <w:p w14:paraId="0C5A27AB" w14:textId="77777777" w:rsidR="00454A29" w:rsidRDefault="00454A29">
            <w:pPr>
              <w:pStyle w:val="ConsPlusNormal"/>
            </w:pPr>
          </w:p>
        </w:tc>
      </w:tr>
      <w:tr w:rsidR="00454A29" w14:paraId="136BFC17" w14:textId="77777777">
        <w:tc>
          <w:tcPr>
            <w:tcW w:w="2041" w:type="dxa"/>
            <w:vMerge/>
          </w:tcPr>
          <w:p w14:paraId="0290E9C9" w14:textId="77777777" w:rsidR="00454A29" w:rsidRDefault="00454A29"/>
        </w:tc>
        <w:tc>
          <w:tcPr>
            <w:tcW w:w="3005" w:type="dxa"/>
            <w:vMerge/>
          </w:tcPr>
          <w:p w14:paraId="0C656DE8" w14:textId="77777777" w:rsidR="00454A29" w:rsidRDefault="00454A29"/>
        </w:tc>
        <w:tc>
          <w:tcPr>
            <w:tcW w:w="2778" w:type="dxa"/>
            <w:vAlign w:val="center"/>
          </w:tcPr>
          <w:p w14:paraId="2A36255E" w14:textId="77777777" w:rsidR="00454A29" w:rsidRDefault="00454A29">
            <w:pPr>
              <w:pStyle w:val="ConsPlusNormal"/>
            </w:pPr>
            <w:r>
              <w:t>Местные бюджеты</w:t>
            </w:r>
          </w:p>
        </w:tc>
        <w:tc>
          <w:tcPr>
            <w:tcW w:w="1304" w:type="dxa"/>
            <w:vAlign w:val="center"/>
          </w:tcPr>
          <w:p w14:paraId="7A444793" w14:textId="77777777" w:rsidR="00454A29" w:rsidRDefault="00454A29">
            <w:pPr>
              <w:pStyle w:val="ConsPlusNormal"/>
            </w:pPr>
          </w:p>
        </w:tc>
        <w:tc>
          <w:tcPr>
            <w:tcW w:w="1247" w:type="dxa"/>
            <w:vAlign w:val="center"/>
          </w:tcPr>
          <w:p w14:paraId="287ACB73" w14:textId="77777777" w:rsidR="00454A29" w:rsidRDefault="00454A29">
            <w:pPr>
              <w:pStyle w:val="ConsPlusNormal"/>
            </w:pPr>
          </w:p>
        </w:tc>
        <w:tc>
          <w:tcPr>
            <w:tcW w:w="1304" w:type="dxa"/>
            <w:vAlign w:val="center"/>
          </w:tcPr>
          <w:p w14:paraId="09DBD25F" w14:textId="77777777" w:rsidR="00454A29" w:rsidRDefault="00454A29">
            <w:pPr>
              <w:pStyle w:val="ConsPlusNormal"/>
            </w:pPr>
          </w:p>
        </w:tc>
        <w:tc>
          <w:tcPr>
            <w:tcW w:w="1304" w:type="dxa"/>
            <w:vAlign w:val="center"/>
          </w:tcPr>
          <w:p w14:paraId="512246F3" w14:textId="77777777" w:rsidR="00454A29" w:rsidRDefault="00454A29">
            <w:pPr>
              <w:pStyle w:val="ConsPlusNormal"/>
            </w:pPr>
          </w:p>
        </w:tc>
        <w:tc>
          <w:tcPr>
            <w:tcW w:w="1304" w:type="dxa"/>
            <w:vAlign w:val="center"/>
          </w:tcPr>
          <w:p w14:paraId="2B08BA36" w14:textId="77777777" w:rsidR="00454A29" w:rsidRDefault="00454A29">
            <w:pPr>
              <w:pStyle w:val="ConsPlusNormal"/>
            </w:pPr>
          </w:p>
        </w:tc>
        <w:tc>
          <w:tcPr>
            <w:tcW w:w="1304" w:type="dxa"/>
            <w:vAlign w:val="center"/>
          </w:tcPr>
          <w:p w14:paraId="08DC6C9B" w14:textId="77777777" w:rsidR="00454A29" w:rsidRDefault="00454A29">
            <w:pPr>
              <w:pStyle w:val="ConsPlusNormal"/>
            </w:pPr>
          </w:p>
        </w:tc>
        <w:tc>
          <w:tcPr>
            <w:tcW w:w="1304" w:type="dxa"/>
            <w:vAlign w:val="center"/>
          </w:tcPr>
          <w:p w14:paraId="0B3F38A0" w14:textId="77777777" w:rsidR="00454A29" w:rsidRDefault="00454A29">
            <w:pPr>
              <w:pStyle w:val="ConsPlusNormal"/>
            </w:pPr>
          </w:p>
        </w:tc>
      </w:tr>
      <w:tr w:rsidR="00454A29" w14:paraId="44C3D19D" w14:textId="77777777">
        <w:tc>
          <w:tcPr>
            <w:tcW w:w="2041" w:type="dxa"/>
            <w:vMerge/>
          </w:tcPr>
          <w:p w14:paraId="30B2A70B" w14:textId="77777777" w:rsidR="00454A29" w:rsidRDefault="00454A29"/>
        </w:tc>
        <w:tc>
          <w:tcPr>
            <w:tcW w:w="3005" w:type="dxa"/>
            <w:vMerge/>
          </w:tcPr>
          <w:p w14:paraId="50BF1CAC" w14:textId="77777777" w:rsidR="00454A29" w:rsidRDefault="00454A29"/>
        </w:tc>
        <w:tc>
          <w:tcPr>
            <w:tcW w:w="2778" w:type="dxa"/>
            <w:vAlign w:val="center"/>
          </w:tcPr>
          <w:p w14:paraId="4EBBDDDB" w14:textId="77777777" w:rsidR="00454A29" w:rsidRDefault="00454A29">
            <w:pPr>
              <w:pStyle w:val="ConsPlusNormal"/>
            </w:pPr>
            <w:r>
              <w:t>Внебюджетные средства</w:t>
            </w:r>
          </w:p>
        </w:tc>
        <w:tc>
          <w:tcPr>
            <w:tcW w:w="1304" w:type="dxa"/>
            <w:vAlign w:val="center"/>
          </w:tcPr>
          <w:p w14:paraId="183AFF91" w14:textId="77777777" w:rsidR="00454A29" w:rsidRDefault="00454A29">
            <w:pPr>
              <w:pStyle w:val="ConsPlusNormal"/>
            </w:pPr>
          </w:p>
        </w:tc>
        <w:tc>
          <w:tcPr>
            <w:tcW w:w="1247" w:type="dxa"/>
            <w:vAlign w:val="center"/>
          </w:tcPr>
          <w:p w14:paraId="2A6B0B75" w14:textId="77777777" w:rsidR="00454A29" w:rsidRDefault="00454A29">
            <w:pPr>
              <w:pStyle w:val="ConsPlusNormal"/>
            </w:pPr>
          </w:p>
        </w:tc>
        <w:tc>
          <w:tcPr>
            <w:tcW w:w="1304" w:type="dxa"/>
            <w:vAlign w:val="center"/>
          </w:tcPr>
          <w:p w14:paraId="67A360AB" w14:textId="77777777" w:rsidR="00454A29" w:rsidRDefault="00454A29">
            <w:pPr>
              <w:pStyle w:val="ConsPlusNormal"/>
            </w:pPr>
          </w:p>
        </w:tc>
        <w:tc>
          <w:tcPr>
            <w:tcW w:w="1304" w:type="dxa"/>
            <w:vAlign w:val="center"/>
          </w:tcPr>
          <w:p w14:paraId="01C05FCF" w14:textId="77777777" w:rsidR="00454A29" w:rsidRDefault="00454A29">
            <w:pPr>
              <w:pStyle w:val="ConsPlusNormal"/>
            </w:pPr>
          </w:p>
        </w:tc>
        <w:tc>
          <w:tcPr>
            <w:tcW w:w="1304" w:type="dxa"/>
            <w:vAlign w:val="center"/>
          </w:tcPr>
          <w:p w14:paraId="4C2839F4" w14:textId="77777777" w:rsidR="00454A29" w:rsidRDefault="00454A29">
            <w:pPr>
              <w:pStyle w:val="ConsPlusNormal"/>
            </w:pPr>
          </w:p>
        </w:tc>
        <w:tc>
          <w:tcPr>
            <w:tcW w:w="1304" w:type="dxa"/>
            <w:vAlign w:val="center"/>
          </w:tcPr>
          <w:p w14:paraId="3E44107F" w14:textId="77777777" w:rsidR="00454A29" w:rsidRDefault="00454A29">
            <w:pPr>
              <w:pStyle w:val="ConsPlusNormal"/>
            </w:pPr>
          </w:p>
        </w:tc>
        <w:tc>
          <w:tcPr>
            <w:tcW w:w="1304" w:type="dxa"/>
            <w:vAlign w:val="center"/>
          </w:tcPr>
          <w:p w14:paraId="5439B439" w14:textId="77777777" w:rsidR="00454A29" w:rsidRDefault="00454A29">
            <w:pPr>
              <w:pStyle w:val="ConsPlusNormal"/>
            </w:pPr>
          </w:p>
        </w:tc>
      </w:tr>
      <w:tr w:rsidR="00454A29" w14:paraId="593222F9" w14:textId="77777777">
        <w:tc>
          <w:tcPr>
            <w:tcW w:w="2041" w:type="dxa"/>
            <w:vMerge w:val="restart"/>
            <w:vAlign w:val="center"/>
          </w:tcPr>
          <w:p w14:paraId="274D44E2" w14:textId="77777777" w:rsidR="00454A29" w:rsidRDefault="00454A29">
            <w:pPr>
              <w:pStyle w:val="ConsPlusNormal"/>
              <w:jc w:val="center"/>
            </w:pPr>
            <w:r>
              <w:t>Основное мероприятие 4.3.</w:t>
            </w:r>
          </w:p>
        </w:tc>
        <w:tc>
          <w:tcPr>
            <w:tcW w:w="3005" w:type="dxa"/>
            <w:vMerge w:val="restart"/>
            <w:vAlign w:val="center"/>
          </w:tcPr>
          <w:p w14:paraId="5A586B91" w14:textId="77777777" w:rsidR="00454A29" w:rsidRDefault="00454A29">
            <w:pPr>
              <w:pStyle w:val="ConsPlusNormal"/>
              <w:jc w:val="center"/>
            </w:pPr>
            <w:r>
              <w:t>Реализация регионального проекта "Успех каждого ребенка"</w:t>
            </w:r>
          </w:p>
        </w:tc>
        <w:tc>
          <w:tcPr>
            <w:tcW w:w="2778" w:type="dxa"/>
            <w:vAlign w:val="center"/>
          </w:tcPr>
          <w:p w14:paraId="0D236EDF" w14:textId="77777777" w:rsidR="00454A29" w:rsidRDefault="00454A29">
            <w:pPr>
              <w:pStyle w:val="ConsPlusNormal"/>
            </w:pPr>
            <w:r>
              <w:t>Всего:</w:t>
            </w:r>
          </w:p>
        </w:tc>
        <w:tc>
          <w:tcPr>
            <w:tcW w:w="1304" w:type="dxa"/>
            <w:vAlign w:val="center"/>
          </w:tcPr>
          <w:p w14:paraId="236128A5" w14:textId="77777777" w:rsidR="00454A29" w:rsidRDefault="00454A29">
            <w:pPr>
              <w:pStyle w:val="ConsPlusNormal"/>
              <w:jc w:val="right"/>
            </w:pPr>
            <w:r>
              <w:t>5 708,714</w:t>
            </w:r>
          </w:p>
        </w:tc>
        <w:tc>
          <w:tcPr>
            <w:tcW w:w="1247" w:type="dxa"/>
            <w:vAlign w:val="center"/>
          </w:tcPr>
          <w:p w14:paraId="61610E4B" w14:textId="77777777" w:rsidR="00454A29" w:rsidRDefault="00454A29">
            <w:pPr>
              <w:pStyle w:val="ConsPlusNormal"/>
              <w:jc w:val="right"/>
            </w:pPr>
            <w:r>
              <w:t>5 714,354</w:t>
            </w:r>
          </w:p>
        </w:tc>
        <w:tc>
          <w:tcPr>
            <w:tcW w:w="1304" w:type="dxa"/>
            <w:vAlign w:val="center"/>
          </w:tcPr>
          <w:p w14:paraId="636E309B" w14:textId="77777777" w:rsidR="00454A29" w:rsidRDefault="00454A29">
            <w:pPr>
              <w:pStyle w:val="ConsPlusNormal"/>
              <w:jc w:val="right"/>
            </w:pPr>
            <w:r>
              <w:t>2 538,913</w:t>
            </w:r>
          </w:p>
        </w:tc>
        <w:tc>
          <w:tcPr>
            <w:tcW w:w="1304" w:type="dxa"/>
            <w:vAlign w:val="center"/>
          </w:tcPr>
          <w:p w14:paraId="154B9097" w14:textId="77777777" w:rsidR="00454A29" w:rsidRDefault="00454A29">
            <w:pPr>
              <w:pStyle w:val="ConsPlusNormal"/>
              <w:jc w:val="right"/>
            </w:pPr>
            <w:r>
              <w:t>2 188,0</w:t>
            </w:r>
          </w:p>
        </w:tc>
        <w:tc>
          <w:tcPr>
            <w:tcW w:w="1304" w:type="dxa"/>
            <w:vAlign w:val="center"/>
          </w:tcPr>
          <w:p w14:paraId="0EF6A203" w14:textId="77777777" w:rsidR="00454A29" w:rsidRDefault="00454A29">
            <w:pPr>
              <w:pStyle w:val="ConsPlusNormal"/>
              <w:jc w:val="right"/>
            </w:pPr>
            <w:r>
              <w:t>2 188,0</w:t>
            </w:r>
          </w:p>
        </w:tc>
        <w:tc>
          <w:tcPr>
            <w:tcW w:w="1304" w:type="dxa"/>
            <w:vAlign w:val="center"/>
          </w:tcPr>
          <w:p w14:paraId="26B20690" w14:textId="77777777" w:rsidR="00454A29" w:rsidRDefault="00454A29">
            <w:pPr>
              <w:pStyle w:val="ConsPlusNormal"/>
              <w:jc w:val="right"/>
            </w:pPr>
            <w:r>
              <w:t>-</w:t>
            </w:r>
          </w:p>
        </w:tc>
        <w:tc>
          <w:tcPr>
            <w:tcW w:w="1304" w:type="dxa"/>
            <w:vAlign w:val="center"/>
          </w:tcPr>
          <w:p w14:paraId="16B28201" w14:textId="77777777" w:rsidR="00454A29" w:rsidRDefault="00454A29">
            <w:pPr>
              <w:pStyle w:val="ConsPlusNormal"/>
              <w:jc w:val="right"/>
            </w:pPr>
            <w:r>
              <w:t>-</w:t>
            </w:r>
          </w:p>
        </w:tc>
      </w:tr>
      <w:tr w:rsidR="00454A29" w14:paraId="4EA2C64F" w14:textId="77777777">
        <w:tc>
          <w:tcPr>
            <w:tcW w:w="2041" w:type="dxa"/>
            <w:vMerge/>
          </w:tcPr>
          <w:p w14:paraId="737496A7" w14:textId="77777777" w:rsidR="00454A29" w:rsidRDefault="00454A29"/>
        </w:tc>
        <w:tc>
          <w:tcPr>
            <w:tcW w:w="3005" w:type="dxa"/>
            <w:vMerge/>
          </w:tcPr>
          <w:p w14:paraId="5AC46998" w14:textId="77777777" w:rsidR="00454A29" w:rsidRDefault="00454A29"/>
        </w:tc>
        <w:tc>
          <w:tcPr>
            <w:tcW w:w="2778" w:type="dxa"/>
            <w:vAlign w:val="center"/>
          </w:tcPr>
          <w:p w14:paraId="3C13DFD5" w14:textId="77777777" w:rsidR="00454A29" w:rsidRDefault="00454A29">
            <w:pPr>
              <w:pStyle w:val="ConsPlusNormal"/>
            </w:pPr>
            <w:r>
              <w:t>Государственный бюджет Республики Саха (Якутия)</w:t>
            </w:r>
          </w:p>
        </w:tc>
        <w:tc>
          <w:tcPr>
            <w:tcW w:w="1304" w:type="dxa"/>
            <w:vAlign w:val="center"/>
          </w:tcPr>
          <w:p w14:paraId="617ED2A2" w14:textId="77777777" w:rsidR="00454A29" w:rsidRDefault="00454A29">
            <w:pPr>
              <w:pStyle w:val="ConsPlusNormal"/>
              <w:jc w:val="right"/>
            </w:pPr>
            <w:r>
              <w:t>5 708,714</w:t>
            </w:r>
          </w:p>
        </w:tc>
        <w:tc>
          <w:tcPr>
            <w:tcW w:w="1247" w:type="dxa"/>
            <w:vAlign w:val="center"/>
          </w:tcPr>
          <w:p w14:paraId="59636C0A" w14:textId="77777777" w:rsidR="00454A29" w:rsidRDefault="00454A29">
            <w:pPr>
              <w:pStyle w:val="ConsPlusNormal"/>
              <w:jc w:val="right"/>
            </w:pPr>
            <w:r>
              <w:t>5 714,354</w:t>
            </w:r>
          </w:p>
        </w:tc>
        <w:tc>
          <w:tcPr>
            <w:tcW w:w="1304" w:type="dxa"/>
            <w:vAlign w:val="center"/>
          </w:tcPr>
          <w:p w14:paraId="563497A5" w14:textId="77777777" w:rsidR="00454A29" w:rsidRDefault="00454A29">
            <w:pPr>
              <w:pStyle w:val="ConsPlusNormal"/>
              <w:jc w:val="right"/>
            </w:pPr>
            <w:r>
              <w:t>2 538,913</w:t>
            </w:r>
          </w:p>
        </w:tc>
        <w:tc>
          <w:tcPr>
            <w:tcW w:w="1304" w:type="dxa"/>
            <w:vAlign w:val="center"/>
          </w:tcPr>
          <w:p w14:paraId="3AAA70E1" w14:textId="77777777" w:rsidR="00454A29" w:rsidRDefault="00454A29">
            <w:pPr>
              <w:pStyle w:val="ConsPlusNormal"/>
              <w:jc w:val="right"/>
            </w:pPr>
            <w:r>
              <w:t>2 188,0</w:t>
            </w:r>
          </w:p>
        </w:tc>
        <w:tc>
          <w:tcPr>
            <w:tcW w:w="1304" w:type="dxa"/>
            <w:vAlign w:val="center"/>
          </w:tcPr>
          <w:p w14:paraId="37B93CB5" w14:textId="77777777" w:rsidR="00454A29" w:rsidRDefault="00454A29">
            <w:pPr>
              <w:pStyle w:val="ConsPlusNormal"/>
              <w:jc w:val="right"/>
            </w:pPr>
            <w:r>
              <w:t>2 188,0</w:t>
            </w:r>
          </w:p>
        </w:tc>
        <w:tc>
          <w:tcPr>
            <w:tcW w:w="1304" w:type="dxa"/>
            <w:vAlign w:val="center"/>
          </w:tcPr>
          <w:p w14:paraId="585AC4D8" w14:textId="77777777" w:rsidR="00454A29" w:rsidRDefault="00454A29">
            <w:pPr>
              <w:pStyle w:val="ConsPlusNormal"/>
              <w:jc w:val="right"/>
            </w:pPr>
            <w:r>
              <w:t>-</w:t>
            </w:r>
          </w:p>
        </w:tc>
        <w:tc>
          <w:tcPr>
            <w:tcW w:w="1304" w:type="dxa"/>
            <w:vAlign w:val="center"/>
          </w:tcPr>
          <w:p w14:paraId="2D3E6B2F" w14:textId="77777777" w:rsidR="00454A29" w:rsidRDefault="00454A29">
            <w:pPr>
              <w:pStyle w:val="ConsPlusNormal"/>
              <w:jc w:val="right"/>
            </w:pPr>
            <w:r>
              <w:t>-</w:t>
            </w:r>
          </w:p>
        </w:tc>
      </w:tr>
      <w:tr w:rsidR="00454A29" w14:paraId="55B30C53" w14:textId="77777777">
        <w:tc>
          <w:tcPr>
            <w:tcW w:w="2041" w:type="dxa"/>
            <w:vMerge/>
          </w:tcPr>
          <w:p w14:paraId="559EB58A" w14:textId="77777777" w:rsidR="00454A29" w:rsidRDefault="00454A29"/>
        </w:tc>
        <w:tc>
          <w:tcPr>
            <w:tcW w:w="3005" w:type="dxa"/>
            <w:vMerge/>
          </w:tcPr>
          <w:p w14:paraId="44A75E1A" w14:textId="77777777" w:rsidR="00454A29" w:rsidRDefault="00454A29"/>
        </w:tc>
        <w:tc>
          <w:tcPr>
            <w:tcW w:w="2778" w:type="dxa"/>
            <w:vAlign w:val="center"/>
          </w:tcPr>
          <w:p w14:paraId="63D1E5A8" w14:textId="77777777" w:rsidR="00454A29" w:rsidRDefault="00454A29">
            <w:pPr>
              <w:pStyle w:val="ConsPlusNormal"/>
            </w:pPr>
            <w:r>
              <w:t>Федеральный бюджет</w:t>
            </w:r>
          </w:p>
        </w:tc>
        <w:tc>
          <w:tcPr>
            <w:tcW w:w="1304" w:type="dxa"/>
            <w:vAlign w:val="center"/>
          </w:tcPr>
          <w:p w14:paraId="0664528C" w14:textId="77777777" w:rsidR="00454A29" w:rsidRDefault="00454A29">
            <w:pPr>
              <w:pStyle w:val="ConsPlusNormal"/>
            </w:pPr>
          </w:p>
        </w:tc>
        <w:tc>
          <w:tcPr>
            <w:tcW w:w="1247" w:type="dxa"/>
            <w:vAlign w:val="center"/>
          </w:tcPr>
          <w:p w14:paraId="51BF89A5" w14:textId="77777777" w:rsidR="00454A29" w:rsidRDefault="00454A29">
            <w:pPr>
              <w:pStyle w:val="ConsPlusNormal"/>
            </w:pPr>
          </w:p>
        </w:tc>
        <w:tc>
          <w:tcPr>
            <w:tcW w:w="1304" w:type="dxa"/>
            <w:vAlign w:val="center"/>
          </w:tcPr>
          <w:p w14:paraId="3C104F0A" w14:textId="77777777" w:rsidR="00454A29" w:rsidRDefault="00454A29">
            <w:pPr>
              <w:pStyle w:val="ConsPlusNormal"/>
            </w:pPr>
          </w:p>
        </w:tc>
        <w:tc>
          <w:tcPr>
            <w:tcW w:w="1304" w:type="dxa"/>
            <w:vAlign w:val="center"/>
          </w:tcPr>
          <w:p w14:paraId="58B51324" w14:textId="77777777" w:rsidR="00454A29" w:rsidRDefault="00454A29">
            <w:pPr>
              <w:pStyle w:val="ConsPlusNormal"/>
            </w:pPr>
          </w:p>
        </w:tc>
        <w:tc>
          <w:tcPr>
            <w:tcW w:w="1304" w:type="dxa"/>
            <w:vAlign w:val="center"/>
          </w:tcPr>
          <w:p w14:paraId="35AC241F" w14:textId="77777777" w:rsidR="00454A29" w:rsidRDefault="00454A29">
            <w:pPr>
              <w:pStyle w:val="ConsPlusNormal"/>
            </w:pPr>
          </w:p>
        </w:tc>
        <w:tc>
          <w:tcPr>
            <w:tcW w:w="1304" w:type="dxa"/>
            <w:vAlign w:val="center"/>
          </w:tcPr>
          <w:p w14:paraId="27F27D26" w14:textId="77777777" w:rsidR="00454A29" w:rsidRDefault="00454A29">
            <w:pPr>
              <w:pStyle w:val="ConsPlusNormal"/>
            </w:pPr>
          </w:p>
        </w:tc>
        <w:tc>
          <w:tcPr>
            <w:tcW w:w="1304" w:type="dxa"/>
            <w:vAlign w:val="center"/>
          </w:tcPr>
          <w:p w14:paraId="1CB7E403" w14:textId="77777777" w:rsidR="00454A29" w:rsidRDefault="00454A29">
            <w:pPr>
              <w:pStyle w:val="ConsPlusNormal"/>
            </w:pPr>
          </w:p>
        </w:tc>
      </w:tr>
      <w:tr w:rsidR="00454A29" w14:paraId="3BA0887B" w14:textId="77777777">
        <w:tc>
          <w:tcPr>
            <w:tcW w:w="2041" w:type="dxa"/>
            <w:vMerge/>
          </w:tcPr>
          <w:p w14:paraId="50EC9FB2" w14:textId="77777777" w:rsidR="00454A29" w:rsidRDefault="00454A29"/>
        </w:tc>
        <w:tc>
          <w:tcPr>
            <w:tcW w:w="3005" w:type="dxa"/>
            <w:vMerge/>
          </w:tcPr>
          <w:p w14:paraId="20B75DD0" w14:textId="77777777" w:rsidR="00454A29" w:rsidRDefault="00454A29"/>
        </w:tc>
        <w:tc>
          <w:tcPr>
            <w:tcW w:w="2778" w:type="dxa"/>
            <w:vAlign w:val="center"/>
          </w:tcPr>
          <w:p w14:paraId="3596A87D" w14:textId="77777777" w:rsidR="00454A29" w:rsidRDefault="00454A29">
            <w:pPr>
              <w:pStyle w:val="ConsPlusNormal"/>
            </w:pPr>
            <w:r>
              <w:t>Местные бюджеты</w:t>
            </w:r>
          </w:p>
        </w:tc>
        <w:tc>
          <w:tcPr>
            <w:tcW w:w="1304" w:type="dxa"/>
            <w:vAlign w:val="center"/>
          </w:tcPr>
          <w:p w14:paraId="6FCA9887" w14:textId="77777777" w:rsidR="00454A29" w:rsidRDefault="00454A29">
            <w:pPr>
              <w:pStyle w:val="ConsPlusNormal"/>
            </w:pPr>
          </w:p>
        </w:tc>
        <w:tc>
          <w:tcPr>
            <w:tcW w:w="1247" w:type="dxa"/>
            <w:vAlign w:val="center"/>
          </w:tcPr>
          <w:p w14:paraId="4A4A5A12" w14:textId="77777777" w:rsidR="00454A29" w:rsidRDefault="00454A29">
            <w:pPr>
              <w:pStyle w:val="ConsPlusNormal"/>
            </w:pPr>
          </w:p>
        </w:tc>
        <w:tc>
          <w:tcPr>
            <w:tcW w:w="1304" w:type="dxa"/>
            <w:vAlign w:val="center"/>
          </w:tcPr>
          <w:p w14:paraId="216E3517" w14:textId="77777777" w:rsidR="00454A29" w:rsidRDefault="00454A29">
            <w:pPr>
              <w:pStyle w:val="ConsPlusNormal"/>
            </w:pPr>
          </w:p>
        </w:tc>
        <w:tc>
          <w:tcPr>
            <w:tcW w:w="1304" w:type="dxa"/>
            <w:vAlign w:val="center"/>
          </w:tcPr>
          <w:p w14:paraId="1BF770F3" w14:textId="77777777" w:rsidR="00454A29" w:rsidRDefault="00454A29">
            <w:pPr>
              <w:pStyle w:val="ConsPlusNormal"/>
            </w:pPr>
          </w:p>
        </w:tc>
        <w:tc>
          <w:tcPr>
            <w:tcW w:w="1304" w:type="dxa"/>
            <w:vAlign w:val="center"/>
          </w:tcPr>
          <w:p w14:paraId="7EB4D997" w14:textId="77777777" w:rsidR="00454A29" w:rsidRDefault="00454A29">
            <w:pPr>
              <w:pStyle w:val="ConsPlusNormal"/>
            </w:pPr>
          </w:p>
        </w:tc>
        <w:tc>
          <w:tcPr>
            <w:tcW w:w="1304" w:type="dxa"/>
            <w:vAlign w:val="center"/>
          </w:tcPr>
          <w:p w14:paraId="7B0C6259" w14:textId="77777777" w:rsidR="00454A29" w:rsidRDefault="00454A29">
            <w:pPr>
              <w:pStyle w:val="ConsPlusNormal"/>
            </w:pPr>
          </w:p>
        </w:tc>
        <w:tc>
          <w:tcPr>
            <w:tcW w:w="1304" w:type="dxa"/>
            <w:vAlign w:val="center"/>
          </w:tcPr>
          <w:p w14:paraId="2525F123" w14:textId="77777777" w:rsidR="00454A29" w:rsidRDefault="00454A29">
            <w:pPr>
              <w:pStyle w:val="ConsPlusNormal"/>
            </w:pPr>
          </w:p>
        </w:tc>
      </w:tr>
      <w:tr w:rsidR="00454A29" w14:paraId="708F2BC5" w14:textId="77777777">
        <w:tc>
          <w:tcPr>
            <w:tcW w:w="2041" w:type="dxa"/>
            <w:vMerge/>
          </w:tcPr>
          <w:p w14:paraId="18A0BC70" w14:textId="77777777" w:rsidR="00454A29" w:rsidRDefault="00454A29"/>
        </w:tc>
        <w:tc>
          <w:tcPr>
            <w:tcW w:w="3005" w:type="dxa"/>
            <w:vMerge/>
          </w:tcPr>
          <w:p w14:paraId="6969E1C9" w14:textId="77777777" w:rsidR="00454A29" w:rsidRDefault="00454A29"/>
        </w:tc>
        <w:tc>
          <w:tcPr>
            <w:tcW w:w="2778" w:type="dxa"/>
            <w:vAlign w:val="center"/>
          </w:tcPr>
          <w:p w14:paraId="1E07D8B4" w14:textId="77777777" w:rsidR="00454A29" w:rsidRDefault="00454A29">
            <w:pPr>
              <w:pStyle w:val="ConsPlusNormal"/>
            </w:pPr>
            <w:r>
              <w:t>Внебюджетные средства</w:t>
            </w:r>
          </w:p>
        </w:tc>
        <w:tc>
          <w:tcPr>
            <w:tcW w:w="1304" w:type="dxa"/>
            <w:vAlign w:val="center"/>
          </w:tcPr>
          <w:p w14:paraId="2E112E75" w14:textId="77777777" w:rsidR="00454A29" w:rsidRDefault="00454A29">
            <w:pPr>
              <w:pStyle w:val="ConsPlusNormal"/>
            </w:pPr>
          </w:p>
        </w:tc>
        <w:tc>
          <w:tcPr>
            <w:tcW w:w="1247" w:type="dxa"/>
            <w:vAlign w:val="center"/>
          </w:tcPr>
          <w:p w14:paraId="643019C4" w14:textId="77777777" w:rsidR="00454A29" w:rsidRDefault="00454A29">
            <w:pPr>
              <w:pStyle w:val="ConsPlusNormal"/>
            </w:pPr>
          </w:p>
        </w:tc>
        <w:tc>
          <w:tcPr>
            <w:tcW w:w="1304" w:type="dxa"/>
            <w:vAlign w:val="center"/>
          </w:tcPr>
          <w:p w14:paraId="2459572F" w14:textId="77777777" w:rsidR="00454A29" w:rsidRDefault="00454A29">
            <w:pPr>
              <w:pStyle w:val="ConsPlusNormal"/>
            </w:pPr>
          </w:p>
        </w:tc>
        <w:tc>
          <w:tcPr>
            <w:tcW w:w="1304" w:type="dxa"/>
            <w:vAlign w:val="center"/>
          </w:tcPr>
          <w:p w14:paraId="12727DE5" w14:textId="77777777" w:rsidR="00454A29" w:rsidRDefault="00454A29">
            <w:pPr>
              <w:pStyle w:val="ConsPlusNormal"/>
            </w:pPr>
          </w:p>
        </w:tc>
        <w:tc>
          <w:tcPr>
            <w:tcW w:w="1304" w:type="dxa"/>
            <w:vAlign w:val="center"/>
          </w:tcPr>
          <w:p w14:paraId="4D54692C" w14:textId="77777777" w:rsidR="00454A29" w:rsidRDefault="00454A29">
            <w:pPr>
              <w:pStyle w:val="ConsPlusNormal"/>
            </w:pPr>
          </w:p>
        </w:tc>
        <w:tc>
          <w:tcPr>
            <w:tcW w:w="1304" w:type="dxa"/>
            <w:vAlign w:val="center"/>
          </w:tcPr>
          <w:p w14:paraId="3A53928E" w14:textId="77777777" w:rsidR="00454A29" w:rsidRDefault="00454A29">
            <w:pPr>
              <w:pStyle w:val="ConsPlusNormal"/>
            </w:pPr>
          </w:p>
        </w:tc>
        <w:tc>
          <w:tcPr>
            <w:tcW w:w="1304" w:type="dxa"/>
            <w:vAlign w:val="center"/>
          </w:tcPr>
          <w:p w14:paraId="332A15B2" w14:textId="77777777" w:rsidR="00454A29" w:rsidRDefault="00454A29">
            <w:pPr>
              <w:pStyle w:val="ConsPlusNormal"/>
            </w:pPr>
          </w:p>
        </w:tc>
      </w:tr>
      <w:tr w:rsidR="00454A29" w14:paraId="3D4564EC" w14:textId="77777777">
        <w:tc>
          <w:tcPr>
            <w:tcW w:w="2041" w:type="dxa"/>
            <w:vMerge w:val="restart"/>
            <w:vAlign w:val="center"/>
          </w:tcPr>
          <w:p w14:paraId="3F8F2A2A" w14:textId="77777777" w:rsidR="00454A29" w:rsidRDefault="00454A29">
            <w:pPr>
              <w:pStyle w:val="ConsPlusNormal"/>
              <w:jc w:val="center"/>
            </w:pPr>
            <w:r>
              <w:t>Основное мероприятие 4.4.</w:t>
            </w:r>
          </w:p>
        </w:tc>
        <w:tc>
          <w:tcPr>
            <w:tcW w:w="3005" w:type="dxa"/>
            <w:vMerge w:val="restart"/>
            <w:vAlign w:val="center"/>
          </w:tcPr>
          <w:p w14:paraId="72516200" w14:textId="77777777" w:rsidR="00454A29" w:rsidRDefault="00454A29">
            <w:pPr>
              <w:pStyle w:val="ConsPlusNormal"/>
              <w:jc w:val="center"/>
            </w:pPr>
            <w:r>
              <w:t>Создание в организациях дополнительного образования детей условий для получения детьми-инвалидами качественного образования</w:t>
            </w:r>
          </w:p>
        </w:tc>
        <w:tc>
          <w:tcPr>
            <w:tcW w:w="2778" w:type="dxa"/>
            <w:vAlign w:val="center"/>
          </w:tcPr>
          <w:p w14:paraId="3729848D" w14:textId="77777777" w:rsidR="00454A29" w:rsidRDefault="00454A29">
            <w:pPr>
              <w:pStyle w:val="ConsPlusNormal"/>
            </w:pPr>
            <w:r>
              <w:t>Всего:</w:t>
            </w:r>
          </w:p>
        </w:tc>
        <w:tc>
          <w:tcPr>
            <w:tcW w:w="1304" w:type="dxa"/>
            <w:vAlign w:val="center"/>
          </w:tcPr>
          <w:p w14:paraId="4ECED416" w14:textId="77777777" w:rsidR="00454A29" w:rsidRDefault="00454A29">
            <w:pPr>
              <w:pStyle w:val="ConsPlusNormal"/>
              <w:jc w:val="right"/>
            </w:pPr>
            <w:r>
              <w:t>-</w:t>
            </w:r>
          </w:p>
        </w:tc>
        <w:tc>
          <w:tcPr>
            <w:tcW w:w="1247" w:type="dxa"/>
            <w:vAlign w:val="center"/>
          </w:tcPr>
          <w:p w14:paraId="6FAB390A" w14:textId="77777777" w:rsidR="00454A29" w:rsidRDefault="00454A29">
            <w:pPr>
              <w:pStyle w:val="ConsPlusNormal"/>
              <w:jc w:val="right"/>
            </w:pPr>
            <w:r>
              <w:t>-</w:t>
            </w:r>
          </w:p>
        </w:tc>
        <w:tc>
          <w:tcPr>
            <w:tcW w:w="1304" w:type="dxa"/>
            <w:vAlign w:val="center"/>
          </w:tcPr>
          <w:p w14:paraId="16B827CD" w14:textId="77777777" w:rsidR="00454A29" w:rsidRDefault="00454A29">
            <w:pPr>
              <w:pStyle w:val="ConsPlusNormal"/>
              <w:jc w:val="right"/>
            </w:pPr>
            <w:r>
              <w:t>-</w:t>
            </w:r>
          </w:p>
        </w:tc>
        <w:tc>
          <w:tcPr>
            <w:tcW w:w="1304" w:type="dxa"/>
            <w:vAlign w:val="center"/>
          </w:tcPr>
          <w:p w14:paraId="31DB9DFE" w14:textId="77777777" w:rsidR="00454A29" w:rsidRDefault="00454A29">
            <w:pPr>
              <w:pStyle w:val="ConsPlusNormal"/>
              <w:jc w:val="right"/>
            </w:pPr>
            <w:r>
              <w:t>-</w:t>
            </w:r>
          </w:p>
        </w:tc>
        <w:tc>
          <w:tcPr>
            <w:tcW w:w="1304" w:type="dxa"/>
            <w:vAlign w:val="center"/>
          </w:tcPr>
          <w:p w14:paraId="5148EDCB" w14:textId="77777777" w:rsidR="00454A29" w:rsidRDefault="00454A29">
            <w:pPr>
              <w:pStyle w:val="ConsPlusNormal"/>
              <w:jc w:val="right"/>
            </w:pPr>
            <w:r>
              <w:t>-</w:t>
            </w:r>
          </w:p>
        </w:tc>
        <w:tc>
          <w:tcPr>
            <w:tcW w:w="1304" w:type="dxa"/>
            <w:vAlign w:val="center"/>
          </w:tcPr>
          <w:p w14:paraId="75D75A63" w14:textId="77777777" w:rsidR="00454A29" w:rsidRDefault="00454A29">
            <w:pPr>
              <w:pStyle w:val="ConsPlusNormal"/>
              <w:jc w:val="right"/>
            </w:pPr>
            <w:r>
              <w:t>-</w:t>
            </w:r>
          </w:p>
        </w:tc>
        <w:tc>
          <w:tcPr>
            <w:tcW w:w="1304" w:type="dxa"/>
            <w:vAlign w:val="center"/>
          </w:tcPr>
          <w:p w14:paraId="61B37968" w14:textId="77777777" w:rsidR="00454A29" w:rsidRDefault="00454A29">
            <w:pPr>
              <w:pStyle w:val="ConsPlusNormal"/>
              <w:jc w:val="right"/>
            </w:pPr>
            <w:r>
              <w:t>-</w:t>
            </w:r>
          </w:p>
        </w:tc>
      </w:tr>
      <w:tr w:rsidR="00454A29" w14:paraId="0973EDBB" w14:textId="77777777">
        <w:tc>
          <w:tcPr>
            <w:tcW w:w="2041" w:type="dxa"/>
            <w:vMerge/>
          </w:tcPr>
          <w:p w14:paraId="2A3D78EB" w14:textId="77777777" w:rsidR="00454A29" w:rsidRDefault="00454A29"/>
        </w:tc>
        <w:tc>
          <w:tcPr>
            <w:tcW w:w="3005" w:type="dxa"/>
            <w:vMerge/>
          </w:tcPr>
          <w:p w14:paraId="13549848" w14:textId="77777777" w:rsidR="00454A29" w:rsidRDefault="00454A29"/>
        </w:tc>
        <w:tc>
          <w:tcPr>
            <w:tcW w:w="2778" w:type="dxa"/>
            <w:vAlign w:val="center"/>
          </w:tcPr>
          <w:p w14:paraId="2F62AB85" w14:textId="77777777" w:rsidR="00454A29" w:rsidRDefault="00454A29">
            <w:pPr>
              <w:pStyle w:val="ConsPlusNormal"/>
            </w:pPr>
            <w:r>
              <w:t>Государственный бюджет Республики Саха (Якутия)</w:t>
            </w:r>
          </w:p>
        </w:tc>
        <w:tc>
          <w:tcPr>
            <w:tcW w:w="1304" w:type="dxa"/>
            <w:vAlign w:val="center"/>
          </w:tcPr>
          <w:p w14:paraId="775ACAFB" w14:textId="77777777" w:rsidR="00454A29" w:rsidRDefault="00454A29">
            <w:pPr>
              <w:pStyle w:val="ConsPlusNormal"/>
              <w:jc w:val="right"/>
            </w:pPr>
            <w:r>
              <w:t>-</w:t>
            </w:r>
          </w:p>
        </w:tc>
        <w:tc>
          <w:tcPr>
            <w:tcW w:w="1247" w:type="dxa"/>
            <w:vAlign w:val="center"/>
          </w:tcPr>
          <w:p w14:paraId="7129EBD4" w14:textId="77777777" w:rsidR="00454A29" w:rsidRDefault="00454A29">
            <w:pPr>
              <w:pStyle w:val="ConsPlusNormal"/>
              <w:jc w:val="right"/>
            </w:pPr>
            <w:r>
              <w:t>-</w:t>
            </w:r>
          </w:p>
        </w:tc>
        <w:tc>
          <w:tcPr>
            <w:tcW w:w="1304" w:type="dxa"/>
            <w:vAlign w:val="center"/>
          </w:tcPr>
          <w:p w14:paraId="70490C8A" w14:textId="77777777" w:rsidR="00454A29" w:rsidRDefault="00454A29">
            <w:pPr>
              <w:pStyle w:val="ConsPlusNormal"/>
              <w:jc w:val="right"/>
            </w:pPr>
            <w:r>
              <w:t>-</w:t>
            </w:r>
          </w:p>
        </w:tc>
        <w:tc>
          <w:tcPr>
            <w:tcW w:w="1304" w:type="dxa"/>
            <w:vAlign w:val="center"/>
          </w:tcPr>
          <w:p w14:paraId="3D72F2F5" w14:textId="77777777" w:rsidR="00454A29" w:rsidRDefault="00454A29">
            <w:pPr>
              <w:pStyle w:val="ConsPlusNormal"/>
              <w:jc w:val="right"/>
            </w:pPr>
            <w:r>
              <w:t>-</w:t>
            </w:r>
          </w:p>
        </w:tc>
        <w:tc>
          <w:tcPr>
            <w:tcW w:w="1304" w:type="dxa"/>
            <w:vAlign w:val="center"/>
          </w:tcPr>
          <w:p w14:paraId="7DDF7F56" w14:textId="77777777" w:rsidR="00454A29" w:rsidRDefault="00454A29">
            <w:pPr>
              <w:pStyle w:val="ConsPlusNormal"/>
              <w:jc w:val="right"/>
            </w:pPr>
            <w:r>
              <w:t>-</w:t>
            </w:r>
          </w:p>
        </w:tc>
        <w:tc>
          <w:tcPr>
            <w:tcW w:w="1304" w:type="dxa"/>
            <w:vAlign w:val="center"/>
          </w:tcPr>
          <w:p w14:paraId="0224FA63" w14:textId="77777777" w:rsidR="00454A29" w:rsidRDefault="00454A29">
            <w:pPr>
              <w:pStyle w:val="ConsPlusNormal"/>
              <w:jc w:val="right"/>
            </w:pPr>
            <w:r>
              <w:t>-</w:t>
            </w:r>
          </w:p>
        </w:tc>
        <w:tc>
          <w:tcPr>
            <w:tcW w:w="1304" w:type="dxa"/>
            <w:vAlign w:val="center"/>
          </w:tcPr>
          <w:p w14:paraId="5FA64A0E" w14:textId="77777777" w:rsidR="00454A29" w:rsidRDefault="00454A29">
            <w:pPr>
              <w:pStyle w:val="ConsPlusNormal"/>
              <w:jc w:val="right"/>
            </w:pPr>
            <w:r>
              <w:t>-</w:t>
            </w:r>
          </w:p>
        </w:tc>
      </w:tr>
      <w:tr w:rsidR="00454A29" w14:paraId="36D66B66" w14:textId="77777777">
        <w:tc>
          <w:tcPr>
            <w:tcW w:w="2041" w:type="dxa"/>
            <w:vMerge/>
          </w:tcPr>
          <w:p w14:paraId="3F73E5F7" w14:textId="77777777" w:rsidR="00454A29" w:rsidRDefault="00454A29"/>
        </w:tc>
        <w:tc>
          <w:tcPr>
            <w:tcW w:w="3005" w:type="dxa"/>
            <w:vMerge/>
          </w:tcPr>
          <w:p w14:paraId="5C4A1610" w14:textId="77777777" w:rsidR="00454A29" w:rsidRDefault="00454A29"/>
        </w:tc>
        <w:tc>
          <w:tcPr>
            <w:tcW w:w="2778" w:type="dxa"/>
            <w:vAlign w:val="center"/>
          </w:tcPr>
          <w:p w14:paraId="213D3BC8" w14:textId="77777777" w:rsidR="00454A29" w:rsidRDefault="00454A29">
            <w:pPr>
              <w:pStyle w:val="ConsPlusNormal"/>
            </w:pPr>
            <w:r>
              <w:t>Федеральный бюджет</w:t>
            </w:r>
          </w:p>
        </w:tc>
        <w:tc>
          <w:tcPr>
            <w:tcW w:w="1304" w:type="dxa"/>
            <w:vAlign w:val="center"/>
          </w:tcPr>
          <w:p w14:paraId="452B2493" w14:textId="77777777" w:rsidR="00454A29" w:rsidRDefault="00454A29">
            <w:pPr>
              <w:pStyle w:val="ConsPlusNormal"/>
            </w:pPr>
          </w:p>
        </w:tc>
        <w:tc>
          <w:tcPr>
            <w:tcW w:w="1247" w:type="dxa"/>
            <w:vAlign w:val="center"/>
          </w:tcPr>
          <w:p w14:paraId="2326E8BB" w14:textId="77777777" w:rsidR="00454A29" w:rsidRDefault="00454A29">
            <w:pPr>
              <w:pStyle w:val="ConsPlusNormal"/>
            </w:pPr>
          </w:p>
        </w:tc>
        <w:tc>
          <w:tcPr>
            <w:tcW w:w="1304" w:type="dxa"/>
            <w:vAlign w:val="center"/>
          </w:tcPr>
          <w:p w14:paraId="26BB12CB" w14:textId="77777777" w:rsidR="00454A29" w:rsidRDefault="00454A29">
            <w:pPr>
              <w:pStyle w:val="ConsPlusNormal"/>
            </w:pPr>
          </w:p>
        </w:tc>
        <w:tc>
          <w:tcPr>
            <w:tcW w:w="1304" w:type="dxa"/>
            <w:vAlign w:val="center"/>
          </w:tcPr>
          <w:p w14:paraId="71CCCCCF" w14:textId="77777777" w:rsidR="00454A29" w:rsidRDefault="00454A29">
            <w:pPr>
              <w:pStyle w:val="ConsPlusNormal"/>
            </w:pPr>
          </w:p>
        </w:tc>
        <w:tc>
          <w:tcPr>
            <w:tcW w:w="1304" w:type="dxa"/>
            <w:vAlign w:val="center"/>
          </w:tcPr>
          <w:p w14:paraId="58DA23F3" w14:textId="77777777" w:rsidR="00454A29" w:rsidRDefault="00454A29">
            <w:pPr>
              <w:pStyle w:val="ConsPlusNormal"/>
            </w:pPr>
          </w:p>
        </w:tc>
        <w:tc>
          <w:tcPr>
            <w:tcW w:w="1304" w:type="dxa"/>
            <w:vAlign w:val="center"/>
          </w:tcPr>
          <w:p w14:paraId="43A1F9C5" w14:textId="77777777" w:rsidR="00454A29" w:rsidRDefault="00454A29">
            <w:pPr>
              <w:pStyle w:val="ConsPlusNormal"/>
            </w:pPr>
          </w:p>
        </w:tc>
        <w:tc>
          <w:tcPr>
            <w:tcW w:w="1304" w:type="dxa"/>
            <w:vAlign w:val="center"/>
          </w:tcPr>
          <w:p w14:paraId="37F7C1E6" w14:textId="77777777" w:rsidR="00454A29" w:rsidRDefault="00454A29">
            <w:pPr>
              <w:pStyle w:val="ConsPlusNormal"/>
            </w:pPr>
          </w:p>
        </w:tc>
      </w:tr>
      <w:tr w:rsidR="00454A29" w14:paraId="740019A0" w14:textId="77777777">
        <w:tc>
          <w:tcPr>
            <w:tcW w:w="2041" w:type="dxa"/>
            <w:vMerge/>
          </w:tcPr>
          <w:p w14:paraId="5AE2EF89" w14:textId="77777777" w:rsidR="00454A29" w:rsidRDefault="00454A29"/>
        </w:tc>
        <w:tc>
          <w:tcPr>
            <w:tcW w:w="3005" w:type="dxa"/>
            <w:vMerge/>
          </w:tcPr>
          <w:p w14:paraId="4F0C3F8C" w14:textId="77777777" w:rsidR="00454A29" w:rsidRDefault="00454A29"/>
        </w:tc>
        <w:tc>
          <w:tcPr>
            <w:tcW w:w="2778" w:type="dxa"/>
            <w:vAlign w:val="center"/>
          </w:tcPr>
          <w:p w14:paraId="23EEC377" w14:textId="77777777" w:rsidR="00454A29" w:rsidRDefault="00454A29">
            <w:pPr>
              <w:pStyle w:val="ConsPlusNormal"/>
            </w:pPr>
            <w:r>
              <w:t>Местные бюджеты</w:t>
            </w:r>
          </w:p>
        </w:tc>
        <w:tc>
          <w:tcPr>
            <w:tcW w:w="1304" w:type="dxa"/>
            <w:vAlign w:val="center"/>
          </w:tcPr>
          <w:p w14:paraId="19CD6B66" w14:textId="77777777" w:rsidR="00454A29" w:rsidRDefault="00454A29">
            <w:pPr>
              <w:pStyle w:val="ConsPlusNormal"/>
            </w:pPr>
          </w:p>
        </w:tc>
        <w:tc>
          <w:tcPr>
            <w:tcW w:w="1247" w:type="dxa"/>
            <w:vAlign w:val="center"/>
          </w:tcPr>
          <w:p w14:paraId="789DE03F" w14:textId="77777777" w:rsidR="00454A29" w:rsidRDefault="00454A29">
            <w:pPr>
              <w:pStyle w:val="ConsPlusNormal"/>
            </w:pPr>
          </w:p>
        </w:tc>
        <w:tc>
          <w:tcPr>
            <w:tcW w:w="1304" w:type="dxa"/>
            <w:vAlign w:val="center"/>
          </w:tcPr>
          <w:p w14:paraId="5BB0D9EE" w14:textId="77777777" w:rsidR="00454A29" w:rsidRDefault="00454A29">
            <w:pPr>
              <w:pStyle w:val="ConsPlusNormal"/>
            </w:pPr>
          </w:p>
        </w:tc>
        <w:tc>
          <w:tcPr>
            <w:tcW w:w="1304" w:type="dxa"/>
            <w:vAlign w:val="center"/>
          </w:tcPr>
          <w:p w14:paraId="2AA561D8" w14:textId="77777777" w:rsidR="00454A29" w:rsidRDefault="00454A29">
            <w:pPr>
              <w:pStyle w:val="ConsPlusNormal"/>
            </w:pPr>
          </w:p>
        </w:tc>
        <w:tc>
          <w:tcPr>
            <w:tcW w:w="1304" w:type="dxa"/>
            <w:vAlign w:val="center"/>
          </w:tcPr>
          <w:p w14:paraId="25A761E7" w14:textId="77777777" w:rsidR="00454A29" w:rsidRDefault="00454A29">
            <w:pPr>
              <w:pStyle w:val="ConsPlusNormal"/>
            </w:pPr>
          </w:p>
        </w:tc>
        <w:tc>
          <w:tcPr>
            <w:tcW w:w="1304" w:type="dxa"/>
            <w:vAlign w:val="center"/>
          </w:tcPr>
          <w:p w14:paraId="2163AADE" w14:textId="77777777" w:rsidR="00454A29" w:rsidRDefault="00454A29">
            <w:pPr>
              <w:pStyle w:val="ConsPlusNormal"/>
            </w:pPr>
          </w:p>
        </w:tc>
        <w:tc>
          <w:tcPr>
            <w:tcW w:w="1304" w:type="dxa"/>
            <w:vAlign w:val="center"/>
          </w:tcPr>
          <w:p w14:paraId="079ED939" w14:textId="77777777" w:rsidR="00454A29" w:rsidRDefault="00454A29">
            <w:pPr>
              <w:pStyle w:val="ConsPlusNormal"/>
            </w:pPr>
          </w:p>
        </w:tc>
      </w:tr>
      <w:tr w:rsidR="00454A29" w14:paraId="06D3F76F" w14:textId="77777777">
        <w:tc>
          <w:tcPr>
            <w:tcW w:w="2041" w:type="dxa"/>
            <w:vMerge/>
          </w:tcPr>
          <w:p w14:paraId="42E3F8A0" w14:textId="77777777" w:rsidR="00454A29" w:rsidRDefault="00454A29"/>
        </w:tc>
        <w:tc>
          <w:tcPr>
            <w:tcW w:w="3005" w:type="dxa"/>
            <w:vMerge/>
          </w:tcPr>
          <w:p w14:paraId="3EC5E260" w14:textId="77777777" w:rsidR="00454A29" w:rsidRDefault="00454A29"/>
        </w:tc>
        <w:tc>
          <w:tcPr>
            <w:tcW w:w="2778" w:type="dxa"/>
            <w:vAlign w:val="center"/>
          </w:tcPr>
          <w:p w14:paraId="488A44F5" w14:textId="77777777" w:rsidR="00454A29" w:rsidRDefault="00454A29">
            <w:pPr>
              <w:pStyle w:val="ConsPlusNormal"/>
            </w:pPr>
            <w:r>
              <w:t>Внебюджетные средства</w:t>
            </w:r>
          </w:p>
        </w:tc>
        <w:tc>
          <w:tcPr>
            <w:tcW w:w="1304" w:type="dxa"/>
            <w:vAlign w:val="center"/>
          </w:tcPr>
          <w:p w14:paraId="7B843ACD" w14:textId="77777777" w:rsidR="00454A29" w:rsidRDefault="00454A29">
            <w:pPr>
              <w:pStyle w:val="ConsPlusNormal"/>
            </w:pPr>
          </w:p>
        </w:tc>
        <w:tc>
          <w:tcPr>
            <w:tcW w:w="1247" w:type="dxa"/>
            <w:vAlign w:val="center"/>
          </w:tcPr>
          <w:p w14:paraId="1AD0B579" w14:textId="77777777" w:rsidR="00454A29" w:rsidRDefault="00454A29">
            <w:pPr>
              <w:pStyle w:val="ConsPlusNormal"/>
            </w:pPr>
          </w:p>
        </w:tc>
        <w:tc>
          <w:tcPr>
            <w:tcW w:w="1304" w:type="dxa"/>
            <w:vAlign w:val="center"/>
          </w:tcPr>
          <w:p w14:paraId="53CEA51E" w14:textId="77777777" w:rsidR="00454A29" w:rsidRDefault="00454A29">
            <w:pPr>
              <w:pStyle w:val="ConsPlusNormal"/>
            </w:pPr>
          </w:p>
        </w:tc>
        <w:tc>
          <w:tcPr>
            <w:tcW w:w="1304" w:type="dxa"/>
            <w:vAlign w:val="center"/>
          </w:tcPr>
          <w:p w14:paraId="39A158A6" w14:textId="77777777" w:rsidR="00454A29" w:rsidRDefault="00454A29">
            <w:pPr>
              <w:pStyle w:val="ConsPlusNormal"/>
            </w:pPr>
          </w:p>
        </w:tc>
        <w:tc>
          <w:tcPr>
            <w:tcW w:w="1304" w:type="dxa"/>
            <w:vAlign w:val="center"/>
          </w:tcPr>
          <w:p w14:paraId="7DD2AF98" w14:textId="77777777" w:rsidR="00454A29" w:rsidRDefault="00454A29">
            <w:pPr>
              <w:pStyle w:val="ConsPlusNormal"/>
            </w:pPr>
          </w:p>
        </w:tc>
        <w:tc>
          <w:tcPr>
            <w:tcW w:w="1304" w:type="dxa"/>
            <w:vAlign w:val="center"/>
          </w:tcPr>
          <w:p w14:paraId="16A74B83" w14:textId="77777777" w:rsidR="00454A29" w:rsidRDefault="00454A29">
            <w:pPr>
              <w:pStyle w:val="ConsPlusNormal"/>
            </w:pPr>
          </w:p>
        </w:tc>
        <w:tc>
          <w:tcPr>
            <w:tcW w:w="1304" w:type="dxa"/>
            <w:vAlign w:val="center"/>
          </w:tcPr>
          <w:p w14:paraId="2B08ACA5" w14:textId="77777777" w:rsidR="00454A29" w:rsidRDefault="00454A29">
            <w:pPr>
              <w:pStyle w:val="ConsPlusNormal"/>
            </w:pPr>
          </w:p>
        </w:tc>
      </w:tr>
      <w:tr w:rsidR="00454A29" w14:paraId="756FEDD4" w14:textId="77777777">
        <w:tc>
          <w:tcPr>
            <w:tcW w:w="2041" w:type="dxa"/>
            <w:vMerge w:val="restart"/>
            <w:vAlign w:val="center"/>
          </w:tcPr>
          <w:p w14:paraId="0CC8075D" w14:textId="77777777" w:rsidR="00454A29" w:rsidRDefault="00454A29">
            <w:pPr>
              <w:pStyle w:val="ConsPlusNormal"/>
              <w:jc w:val="center"/>
              <w:outlineLvl w:val="2"/>
            </w:pPr>
            <w:r>
              <w:t>Подпрограмма 5</w:t>
            </w:r>
          </w:p>
        </w:tc>
        <w:tc>
          <w:tcPr>
            <w:tcW w:w="3005" w:type="dxa"/>
            <w:vMerge w:val="restart"/>
            <w:vAlign w:val="center"/>
          </w:tcPr>
          <w:p w14:paraId="70CF2A70" w14:textId="77777777" w:rsidR="00454A29" w:rsidRDefault="00454A29">
            <w:pPr>
              <w:pStyle w:val="ConsPlusNormal"/>
              <w:jc w:val="center"/>
            </w:pPr>
            <w:r>
              <w:t>"Одаренные дети Якутии"</w:t>
            </w:r>
          </w:p>
        </w:tc>
        <w:tc>
          <w:tcPr>
            <w:tcW w:w="2778" w:type="dxa"/>
            <w:vAlign w:val="center"/>
          </w:tcPr>
          <w:p w14:paraId="569BF89B" w14:textId="77777777" w:rsidR="00454A29" w:rsidRDefault="00454A29">
            <w:pPr>
              <w:pStyle w:val="ConsPlusNormal"/>
            </w:pPr>
            <w:r>
              <w:t>Всего:</w:t>
            </w:r>
          </w:p>
        </w:tc>
        <w:tc>
          <w:tcPr>
            <w:tcW w:w="1304" w:type="dxa"/>
            <w:vAlign w:val="center"/>
          </w:tcPr>
          <w:p w14:paraId="389D3E22" w14:textId="77777777" w:rsidR="00454A29" w:rsidRDefault="00454A29">
            <w:pPr>
              <w:pStyle w:val="ConsPlusNormal"/>
              <w:jc w:val="right"/>
            </w:pPr>
            <w:r>
              <w:t>17 500</w:t>
            </w:r>
          </w:p>
        </w:tc>
        <w:tc>
          <w:tcPr>
            <w:tcW w:w="1247" w:type="dxa"/>
            <w:vAlign w:val="center"/>
          </w:tcPr>
          <w:p w14:paraId="03656071" w14:textId="77777777" w:rsidR="00454A29" w:rsidRDefault="00454A29">
            <w:pPr>
              <w:pStyle w:val="ConsPlusNormal"/>
              <w:jc w:val="right"/>
            </w:pPr>
            <w:r>
              <w:t>17 500</w:t>
            </w:r>
          </w:p>
        </w:tc>
        <w:tc>
          <w:tcPr>
            <w:tcW w:w="1304" w:type="dxa"/>
            <w:vAlign w:val="center"/>
          </w:tcPr>
          <w:p w14:paraId="63318A78" w14:textId="77777777" w:rsidR="00454A29" w:rsidRDefault="00454A29">
            <w:pPr>
              <w:pStyle w:val="ConsPlusNormal"/>
              <w:jc w:val="right"/>
            </w:pPr>
            <w:r>
              <w:t>17 500</w:t>
            </w:r>
          </w:p>
        </w:tc>
        <w:tc>
          <w:tcPr>
            <w:tcW w:w="1304" w:type="dxa"/>
            <w:vAlign w:val="center"/>
          </w:tcPr>
          <w:p w14:paraId="7E99F901" w14:textId="77777777" w:rsidR="00454A29" w:rsidRDefault="00454A29">
            <w:pPr>
              <w:pStyle w:val="ConsPlusNormal"/>
              <w:jc w:val="right"/>
            </w:pPr>
            <w:r>
              <w:t>-</w:t>
            </w:r>
          </w:p>
        </w:tc>
        <w:tc>
          <w:tcPr>
            <w:tcW w:w="1304" w:type="dxa"/>
            <w:vAlign w:val="center"/>
          </w:tcPr>
          <w:p w14:paraId="73F28C47" w14:textId="77777777" w:rsidR="00454A29" w:rsidRDefault="00454A29">
            <w:pPr>
              <w:pStyle w:val="ConsPlusNormal"/>
              <w:jc w:val="right"/>
            </w:pPr>
            <w:r>
              <w:t>-</w:t>
            </w:r>
          </w:p>
        </w:tc>
        <w:tc>
          <w:tcPr>
            <w:tcW w:w="1304" w:type="dxa"/>
            <w:vAlign w:val="center"/>
          </w:tcPr>
          <w:p w14:paraId="3AFC75CE" w14:textId="77777777" w:rsidR="00454A29" w:rsidRDefault="00454A29">
            <w:pPr>
              <w:pStyle w:val="ConsPlusNormal"/>
              <w:jc w:val="right"/>
            </w:pPr>
            <w:r>
              <w:t>-</w:t>
            </w:r>
          </w:p>
        </w:tc>
        <w:tc>
          <w:tcPr>
            <w:tcW w:w="1304" w:type="dxa"/>
            <w:vAlign w:val="center"/>
          </w:tcPr>
          <w:p w14:paraId="02403CFA" w14:textId="77777777" w:rsidR="00454A29" w:rsidRDefault="00454A29">
            <w:pPr>
              <w:pStyle w:val="ConsPlusNormal"/>
              <w:jc w:val="right"/>
            </w:pPr>
            <w:r>
              <w:t>-</w:t>
            </w:r>
          </w:p>
        </w:tc>
      </w:tr>
      <w:tr w:rsidR="00454A29" w14:paraId="48B46FA1" w14:textId="77777777">
        <w:tc>
          <w:tcPr>
            <w:tcW w:w="2041" w:type="dxa"/>
            <w:vMerge/>
          </w:tcPr>
          <w:p w14:paraId="6203C1E5" w14:textId="77777777" w:rsidR="00454A29" w:rsidRDefault="00454A29"/>
        </w:tc>
        <w:tc>
          <w:tcPr>
            <w:tcW w:w="3005" w:type="dxa"/>
            <w:vMerge/>
          </w:tcPr>
          <w:p w14:paraId="453263E7" w14:textId="77777777" w:rsidR="00454A29" w:rsidRDefault="00454A29"/>
        </w:tc>
        <w:tc>
          <w:tcPr>
            <w:tcW w:w="2778" w:type="dxa"/>
            <w:vAlign w:val="center"/>
          </w:tcPr>
          <w:p w14:paraId="392F7C78" w14:textId="77777777" w:rsidR="00454A29" w:rsidRDefault="00454A29">
            <w:pPr>
              <w:pStyle w:val="ConsPlusNormal"/>
            </w:pPr>
            <w:r>
              <w:t>Государственный бюджет Республики Саха (Якутия)</w:t>
            </w:r>
          </w:p>
        </w:tc>
        <w:tc>
          <w:tcPr>
            <w:tcW w:w="1304" w:type="dxa"/>
            <w:vAlign w:val="center"/>
          </w:tcPr>
          <w:p w14:paraId="6DC6E27B" w14:textId="77777777" w:rsidR="00454A29" w:rsidRDefault="00454A29">
            <w:pPr>
              <w:pStyle w:val="ConsPlusNormal"/>
              <w:jc w:val="right"/>
            </w:pPr>
            <w:r>
              <w:t>17 500</w:t>
            </w:r>
          </w:p>
        </w:tc>
        <w:tc>
          <w:tcPr>
            <w:tcW w:w="1247" w:type="dxa"/>
            <w:vAlign w:val="center"/>
          </w:tcPr>
          <w:p w14:paraId="01EB6F31" w14:textId="77777777" w:rsidR="00454A29" w:rsidRDefault="00454A29">
            <w:pPr>
              <w:pStyle w:val="ConsPlusNormal"/>
              <w:jc w:val="right"/>
            </w:pPr>
            <w:r>
              <w:t>17 500</w:t>
            </w:r>
          </w:p>
        </w:tc>
        <w:tc>
          <w:tcPr>
            <w:tcW w:w="1304" w:type="dxa"/>
            <w:vAlign w:val="center"/>
          </w:tcPr>
          <w:p w14:paraId="40154A7F" w14:textId="77777777" w:rsidR="00454A29" w:rsidRDefault="00454A29">
            <w:pPr>
              <w:pStyle w:val="ConsPlusNormal"/>
              <w:jc w:val="right"/>
            </w:pPr>
            <w:r>
              <w:t>17 500</w:t>
            </w:r>
          </w:p>
        </w:tc>
        <w:tc>
          <w:tcPr>
            <w:tcW w:w="1304" w:type="dxa"/>
            <w:vAlign w:val="center"/>
          </w:tcPr>
          <w:p w14:paraId="0BD7BD9D" w14:textId="77777777" w:rsidR="00454A29" w:rsidRDefault="00454A29">
            <w:pPr>
              <w:pStyle w:val="ConsPlusNormal"/>
              <w:jc w:val="right"/>
            </w:pPr>
            <w:r>
              <w:t>-</w:t>
            </w:r>
          </w:p>
        </w:tc>
        <w:tc>
          <w:tcPr>
            <w:tcW w:w="1304" w:type="dxa"/>
            <w:vAlign w:val="center"/>
          </w:tcPr>
          <w:p w14:paraId="6E91E17C" w14:textId="77777777" w:rsidR="00454A29" w:rsidRDefault="00454A29">
            <w:pPr>
              <w:pStyle w:val="ConsPlusNormal"/>
              <w:jc w:val="right"/>
            </w:pPr>
            <w:r>
              <w:t>-</w:t>
            </w:r>
          </w:p>
        </w:tc>
        <w:tc>
          <w:tcPr>
            <w:tcW w:w="1304" w:type="dxa"/>
            <w:vAlign w:val="center"/>
          </w:tcPr>
          <w:p w14:paraId="6D844DC0" w14:textId="77777777" w:rsidR="00454A29" w:rsidRDefault="00454A29">
            <w:pPr>
              <w:pStyle w:val="ConsPlusNormal"/>
              <w:jc w:val="right"/>
            </w:pPr>
            <w:r>
              <w:t>-</w:t>
            </w:r>
          </w:p>
        </w:tc>
        <w:tc>
          <w:tcPr>
            <w:tcW w:w="1304" w:type="dxa"/>
            <w:vAlign w:val="center"/>
          </w:tcPr>
          <w:p w14:paraId="07A7BAC3" w14:textId="77777777" w:rsidR="00454A29" w:rsidRDefault="00454A29">
            <w:pPr>
              <w:pStyle w:val="ConsPlusNormal"/>
              <w:jc w:val="right"/>
            </w:pPr>
            <w:r>
              <w:t>-</w:t>
            </w:r>
          </w:p>
        </w:tc>
      </w:tr>
      <w:tr w:rsidR="00454A29" w14:paraId="1FBAC5E0" w14:textId="77777777">
        <w:tc>
          <w:tcPr>
            <w:tcW w:w="2041" w:type="dxa"/>
            <w:vMerge/>
          </w:tcPr>
          <w:p w14:paraId="4D2B5472" w14:textId="77777777" w:rsidR="00454A29" w:rsidRDefault="00454A29"/>
        </w:tc>
        <w:tc>
          <w:tcPr>
            <w:tcW w:w="3005" w:type="dxa"/>
            <w:vMerge/>
          </w:tcPr>
          <w:p w14:paraId="125374E8" w14:textId="77777777" w:rsidR="00454A29" w:rsidRDefault="00454A29"/>
        </w:tc>
        <w:tc>
          <w:tcPr>
            <w:tcW w:w="2778" w:type="dxa"/>
            <w:vAlign w:val="center"/>
          </w:tcPr>
          <w:p w14:paraId="26B89371" w14:textId="77777777" w:rsidR="00454A29" w:rsidRDefault="00454A29">
            <w:pPr>
              <w:pStyle w:val="ConsPlusNormal"/>
            </w:pPr>
            <w:r>
              <w:t>Минобрнауки РС(Я)</w:t>
            </w:r>
          </w:p>
        </w:tc>
        <w:tc>
          <w:tcPr>
            <w:tcW w:w="1304" w:type="dxa"/>
            <w:vAlign w:val="center"/>
          </w:tcPr>
          <w:p w14:paraId="11FD2182" w14:textId="77777777" w:rsidR="00454A29" w:rsidRDefault="00454A29">
            <w:pPr>
              <w:pStyle w:val="ConsPlusNormal"/>
              <w:jc w:val="right"/>
            </w:pPr>
            <w:r>
              <w:t>17 500</w:t>
            </w:r>
          </w:p>
        </w:tc>
        <w:tc>
          <w:tcPr>
            <w:tcW w:w="1247" w:type="dxa"/>
            <w:vAlign w:val="center"/>
          </w:tcPr>
          <w:p w14:paraId="36FB2855" w14:textId="77777777" w:rsidR="00454A29" w:rsidRDefault="00454A29">
            <w:pPr>
              <w:pStyle w:val="ConsPlusNormal"/>
              <w:jc w:val="right"/>
            </w:pPr>
            <w:r>
              <w:t>17 500</w:t>
            </w:r>
          </w:p>
        </w:tc>
        <w:tc>
          <w:tcPr>
            <w:tcW w:w="1304" w:type="dxa"/>
            <w:vAlign w:val="center"/>
          </w:tcPr>
          <w:p w14:paraId="5C470FE1" w14:textId="77777777" w:rsidR="00454A29" w:rsidRDefault="00454A29">
            <w:pPr>
              <w:pStyle w:val="ConsPlusNormal"/>
              <w:jc w:val="right"/>
            </w:pPr>
            <w:r>
              <w:t>17 500</w:t>
            </w:r>
          </w:p>
        </w:tc>
        <w:tc>
          <w:tcPr>
            <w:tcW w:w="1304" w:type="dxa"/>
            <w:vAlign w:val="center"/>
          </w:tcPr>
          <w:p w14:paraId="2D392420" w14:textId="77777777" w:rsidR="00454A29" w:rsidRDefault="00454A29">
            <w:pPr>
              <w:pStyle w:val="ConsPlusNormal"/>
              <w:jc w:val="right"/>
            </w:pPr>
            <w:r>
              <w:t>-</w:t>
            </w:r>
          </w:p>
        </w:tc>
        <w:tc>
          <w:tcPr>
            <w:tcW w:w="1304" w:type="dxa"/>
            <w:vAlign w:val="center"/>
          </w:tcPr>
          <w:p w14:paraId="042B9CFF" w14:textId="77777777" w:rsidR="00454A29" w:rsidRDefault="00454A29">
            <w:pPr>
              <w:pStyle w:val="ConsPlusNormal"/>
              <w:jc w:val="right"/>
            </w:pPr>
            <w:r>
              <w:t>-</w:t>
            </w:r>
          </w:p>
        </w:tc>
        <w:tc>
          <w:tcPr>
            <w:tcW w:w="1304" w:type="dxa"/>
            <w:vAlign w:val="center"/>
          </w:tcPr>
          <w:p w14:paraId="18328D0D" w14:textId="77777777" w:rsidR="00454A29" w:rsidRDefault="00454A29">
            <w:pPr>
              <w:pStyle w:val="ConsPlusNormal"/>
              <w:jc w:val="right"/>
            </w:pPr>
            <w:r>
              <w:t>-</w:t>
            </w:r>
          </w:p>
        </w:tc>
        <w:tc>
          <w:tcPr>
            <w:tcW w:w="1304" w:type="dxa"/>
            <w:vAlign w:val="center"/>
          </w:tcPr>
          <w:p w14:paraId="6659D7DA" w14:textId="77777777" w:rsidR="00454A29" w:rsidRDefault="00454A29">
            <w:pPr>
              <w:pStyle w:val="ConsPlusNormal"/>
              <w:jc w:val="right"/>
            </w:pPr>
            <w:r>
              <w:t>-</w:t>
            </w:r>
          </w:p>
        </w:tc>
      </w:tr>
      <w:tr w:rsidR="00454A29" w14:paraId="52A9B8DF" w14:textId="77777777">
        <w:tc>
          <w:tcPr>
            <w:tcW w:w="2041" w:type="dxa"/>
            <w:vMerge/>
          </w:tcPr>
          <w:p w14:paraId="5B45E9A1" w14:textId="77777777" w:rsidR="00454A29" w:rsidRDefault="00454A29"/>
        </w:tc>
        <w:tc>
          <w:tcPr>
            <w:tcW w:w="3005" w:type="dxa"/>
            <w:vMerge/>
          </w:tcPr>
          <w:p w14:paraId="2420BBBA" w14:textId="77777777" w:rsidR="00454A29" w:rsidRDefault="00454A29"/>
        </w:tc>
        <w:tc>
          <w:tcPr>
            <w:tcW w:w="2778" w:type="dxa"/>
            <w:vAlign w:val="center"/>
          </w:tcPr>
          <w:p w14:paraId="16CE9A2D" w14:textId="77777777" w:rsidR="00454A29" w:rsidRDefault="00454A29">
            <w:pPr>
              <w:pStyle w:val="ConsPlusNormal"/>
            </w:pPr>
            <w:r>
              <w:t>Минкультуры РС(Я)</w:t>
            </w:r>
          </w:p>
        </w:tc>
        <w:tc>
          <w:tcPr>
            <w:tcW w:w="1304" w:type="dxa"/>
            <w:vAlign w:val="center"/>
          </w:tcPr>
          <w:p w14:paraId="0EFD6E64" w14:textId="77777777" w:rsidR="00454A29" w:rsidRDefault="00454A29">
            <w:pPr>
              <w:pStyle w:val="ConsPlusNormal"/>
            </w:pPr>
          </w:p>
        </w:tc>
        <w:tc>
          <w:tcPr>
            <w:tcW w:w="1247" w:type="dxa"/>
            <w:vAlign w:val="center"/>
          </w:tcPr>
          <w:p w14:paraId="2B80B517" w14:textId="77777777" w:rsidR="00454A29" w:rsidRDefault="00454A29">
            <w:pPr>
              <w:pStyle w:val="ConsPlusNormal"/>
            </w:pPr>
          </w:p>
        </w:tc>
        <w:tc>
          <w:tcPr>
            <w:tcW w:w="1304" w:type="dxa"/>
            <w:vAlign w:val="center"/>
          </w:tcPr>
          <w:p w14:paraId="03B00721" w14:textId="77777777" w:rsidR="00454A29" w:rsidRDefault="00454A29">
            <w:pPr>
              <w:pStyle w:val="ConsPlusNormal"/>
            </w:pPr>
          </w:p>
        </w:tc>
        <w:tc>
          <w:tcPr>
            <w:tcW w:w="1304" w:type="dxa"/>
            <w:vAlign w:val="center"/>
          </w:tcPr>
          <w:p w14:paraId="130E3350" w14:textId="77777777" w:rsidR="00454A29" w:rsidRDefault="00454A29">
            <w:pPr>
              <w:pStyle w:val="ConsPlusNormal"/>
            </w:pPr>
          </w:p>
        </w:tc>
        <w:tc>
          <w:tcPr>
            <w:tcW w:w="1304" w:type="dxa"/>
            <w:vAlign w:val="center"/>
          </w:tcPr>
          <w:p w14:paraId="22D351FD" w14:textId="77777777" w:rsidR="00454A29" w:rsidRDefault="00454A29">
            <w:pPr>
              <w:pStyle w:val="ConsPlusNormal"/>
            </w:pPr>
          </w:p>
        </w:tc>
        <w:tc>
          <w:tcPr>
            <w:tcW w:w="1304" w:type="dxa"/>
            <w:vAlign w:val="center"/>
          </w:tcPr>
          <w:p w14:paraId="1FFD2D28" w14:textId="77777777" w:rsidR="00454A29" w:rsidRDefault="00454A29">
            <w:pPr>
              <w:pStyle w:val="ConsPlusNormal"/>
            </w:pPr>
          </w:p>
        </w:tc>
        <w:tc>
          <w:tcPr>
            <w:tcW w:w="1304" w:type="dxa"/>
            <w:vAlign w:val="center"/>
          </w:tcPr>
          <w:p w14:paraId="4EBA0DA1" w14:textId="77777777" w:rsidR="00454A29" w:rsidRDefault="00454A29">
            <w:pPr>
              <w:pStyle w:val="ConsPlusNormal"/>
            </w:pPr>
          </w:p>
        </w:tc>
      </w:tr>
      <w:tr w:rsidR="00454A29" w14:paraId="6F8FBBF7" w14:textId="77777777">
        <w:tc>
          <w:tcPr>
            <w:tcW w:w="2041" w:type="dxa"/>
            <w:vMerge/>
          </w:tcPr>
          <w:p w14:paraId="5426259E" w14:textId="77777777" w:rsidR="00454A29" w:rsidRDefault="00454A29"/>
        </w:tc>
        <w:tc>
          <w:tcPr>
            <w:tcW w:w="3005" w:type="dxa"/>
            <w:vMerge/>
          </w:tcPr>
          <w:p w14:paraId="567DF9BC" w14:textId="77777777" w:rsidR="00454A29" w:rsidRDefault="00454A29"/>
        </w:tc>
        <w:tc>
          <w:tcPr>
            <w:tcW w:w="2778" w:type="dxa"/>
            <w:vAlign w:val="center"/>
          </w:tcPr>
          <w:p w14:paraId="39E28B3F" w14:textId="77777777" w:rsidR="00454A29" w:rsidRDefault="00454A29">
            <w:pPr>
              <w:pStyle w:val="ConsPlusNormal"/>
            </w:pPr>
            <w:r>
              <w:t>Мининноваций РС(Я)</w:t>
            </w:r>
          </w:p>
        </w:tc>
        <w:tc>
          <w:tcPr>
            <w:tcW w:w="1304" w:type="dxa"/>
            <w:vAlign w:val="center"/>
          </w:tcPr>
          <w:p w14:paraId="4304C395" w14:textId="77777777" w:rsidR="00454A29" w:rsidRDefault="00454A29">
            <w:pPr>
              <w:pStyle w:val="ConsPlusNormal"/>
            </w:pPr>
          </w:p>
        </w:tc>
        <w:tc>
          <w:tcPr>
            <w:tcW w:w="1247" w:type="dxa"/>
            <w:vAlign w:val="center"/>
          </w:tcPr>
          <w:p w14:paraId="28D000D9" w14:textId="77777777" w:rsidR="00454A29" w:rsidRDefault="00454A29">
            <w:pPr>
              <w:pStyle w:val="ConsPlusNormal"/>
            </w:pPr>
          </w:p>
        </w:tc>
        <w:tc>
          <w:tcPr>
            <w:tcW w:w="1304" w:type="dxa"/>
            <w:vAlign w:val="center"/>
          </w:tcPr>
          <w:p w14:paraId="4EBD56E1" w14:textId="77777777" w:rsidR="00454A29" w:rsidRDefault="00454A29">
            <w:pPr>
              <w:pStyle w:val="ConsPlusNormal"/>
            </w:pPr>
          </w:p>
        </w:tc>
        <w:tc>
          <w:tcPr>
            <w:tcW w:w="1304" w:type="dxa"/>
            <w:vAlign w:val="center"/>
          </w:tcPr>
          <w:p w14:paraId="50BACB9B" w14:textId="77777777" w:rsidR="00454A29" w:rsidRDefault="00454A29">
            <w:pPr>
              <w:pStyle w:val="ConsPlusNormal"/>
            </w:pPr>
          </w:p>
        </w:tc>
        <w:tc>
          <w:tcPr>
            <w:tcW w:w="1304" w:type="dxa"/>
            <w:vAlign w:val="center"/>
          </w:tcPr>
          <w:p w14:paraId="2921D94B" w14:textId="77777777" w:rsidR="00454A29" w:rsidRDefault="00454A29">
            <w:pPr>
              <w:pStyle w:val="ConsPlusNormal"/>
            </w:pPr>
          </w:p>
        </w:tc>
        <w:tc>
          <w:tcPr>
            <w:tcW w:w="1304" w:type="dxa"/>
            <w:vAlign w:val="center"/>
          </w:tcPr>
          <w:p w14:paraId="1299DFE0" w14:textId="77777777" w:rsidR="00454A29" w:rsidRDefault="00454A29">
            <w:pPr>
              <w:pStyle w:val="ConsPlusNormal"/>
            </w:pPr>
          </w:p>
        </w:tc>
        <w:tc>
          <w:tcPr>
            <w:tcW w:w="1304" w:type="dxa"/>
            <w:vAlign w:val="center"/>
          </w:tcPr>
          <w:p w14:paraId="342E4EBF" w14:textId="77777777" w:rsidR="00454A29" w:rsidRDefault="00454A29">
            <w:pPr>
              <w:pStyle w:val="ConsPlusNormal"/>
            </w:pPr>
          </w:p>
        </w:tc>
      </w:tr>
      <w:tr w:rsidR="00454A29" w14:paraId="02CF4479" w14:textId="77777777">
        <w:tc>
          <w:tcPr>
            <w:tcW w:w="2041" w:type="dxa"/>
            <w:vMerge/>
          </w:tcPr>
          <w:p w14:paraId="782AF6FA" w14:textId="77777777" w:rsidR="00454A29" w:rsidRDefault="00454A29"/>
        </w:tc>
        <w:tc>
          <w:tcPr>
            <w:tcW w:w="3005" w:type="dxa"/>
            <w:vMerge/>
          </w:tcPr>
          <w:p w14:paraId="2351C597" w14:textId="77777777" w:rsidR="00454A29" w:rsidRDefault="00454A29"/>
        </w:tc>
        <w:tc>
          <w:tcPr>
            <w:tcW w:w="2778" w:type="dxa"/>
            <w:vAlign w:val="center"/>
          </w:tcPr>
          <w:p w14:paraId="1315F392" w14:textId="77777777" w:rsidR="00454A29" w:rsidRDefault="00454A29">
            <w:pPr>
              <w:pStyle w:val="ConsPlusNormal"/>
            </w:pPr>
            <w:r>
              <w:t>Минздрав РС(Я)</w:t>
            </w:r>
          </w:p>
        </w:tc>
        <w:tc>
          <w:tcPr>
            <w:tcW w:w="1304" w:type="dxa"/>
            <w:vAlign w:val="center"/>
          </w:tcPr>
          <w:p w14:paraId="4C2DE6FA" w14:textId="77777777" w:rsidR="00454A29" w:rsidRDefault="00454A29">
            <w:pPr>
              <w:pStyle w:val="ConsPlusNormal"/>
            </w:pPr>
          </w:p>
        </w:tc>
        <w:tc>
          <w:tcPr>
            <w:tcW w:w="1247" w:type="dxa"/>
            <w:vAlign w:val="center"/>
          </w:tcPr>
          <w:p w14:paraId="1802F4D7" w14:textId="77777777" w:rsidR="00454A29" w:rsidRDefault="00454A29">
            <w:pPr>
              <w:pStyle w:val="ConsPlusNormal"/>
            </w:pPr>
          </w:p>
        </w:tc>
        <w:tc>
          <w:tcPr>
            <w:tcW w:w="1304" w:type="dxa"/>
            <w:vAlign w:val="center"/>
          </w:tcPr>
          <w:p w14:paraId="4477A4C9" w14:textId="77777777" w:rsidR="00454A29" w:rsidRDefault="00454A29">
            <w:pPr>
              <w:pStyle w:val="ConsPlusNormal"/>
            </w:pPr>
          </w:p>
        </w:tc>
        <w:tc>
          <w:tcPr>
            <w:tcW w:w="1304" w:type="dxa"/>
            <w:vAlign w:val="center"/>
          </w:tcPr>
          <w:p w14:paraId="3CF99434" w14:textId="77777777" w:rsidR="00454A29" w:rsidRDefault="00454A29">
            <w:pPr>
              <w:pStyle w:val="ConsPlusNormal"/>
            </w:pPr>
          </w:p>
        </w:tc>
        <w:tc>
          <w:tcPr>
            <w:tcW w:w="1304" w:type="dxa"/>
            <w:vAlign w:val="center"/>
          </w:tcPr>
          <w:p w14:paraId="4DB758EB" w14:textId="77777777" w:rsidR="00454A29" w:rsidRDefault="00454A29">
            <w:pPr>
              <w:pStyle w:val="ConsPlusNormal"/>
            </w:pPr>
          </w:p>
        </w:tc>
        <w:tc>
          <w:tcPr>
            <w:tcW w:w="1304" w:type="dxa"/>
            <w:vAlign w:val="center"/>
          </w:tcPr>
          <w:p w14:paraId="0DDB1AE6" w14:textId="77777777" w:rsidR="00454A29" w:rsidRDefault="00454A29">
            <w:pPr>
              <w:pStyle w:val="ConsPlusNormal"/>
            </w:pPr>
          </w:p>
        </w:tc>
        <w:tc>
          <w:tcPr>
            <w:tcW w:w="1304" w:type="dxa"/>
            <w:vAlign w:val="center"/>
          </w:tcPr>
          <w:p w14:paraId="29A38FC5" w14:textId="77777777" w:rsidR="00454A29" w:rsidRDefault="00454A29">
            <w:pPr>
              <w:pStyle w:val="ConsPlusNormal"/>
            </w:pPr>
          </w:p>
        </w:tc>
      </w:tr>
      <w:tr w:rsidR="00454A29" w14:paraId="1B34A04E" w14:textId="77777777">
        <w:tc>
          <w:tcPr>
            <w:tcW w:w="2041" w:type="dxa"/>
            <w:vMerge/>
          </w:tcPr>
          <w:p w14:paraId="64828981" w14:textId="77777777" w:rsidR="00454A29" w:rsidRDefault="00454A29"/>
        </w:tc>
        <w:tc>
          <w:tcPr>
            <w:tcW w:w="3005" w:type="dxa"/>
            <w:vMerge/>
          </w:tcPr>
          <w:p w14:paraId="7EE218DE" w14:textId="77777777" w:rsidR="00454A29" w:rsidRDefault="00454A29"/>
        </w:tc>
        <w:tc>
          <w:tcPr>
            <w:tcW w:w="2778" w:type="dxa"/>
            <w:vAlign w:val="center"/>
          </w:tcPr>
          <w:p w14:paraId="42E0E8EC" w14:textId="77777777" w:rsidR="00454A29" w:rsidRDefault="00454A29">
            <w:pPr>
              <w:pStyle w:val="ConsPlusNormal"/>
            </w:pPr>
            <w:r>
              <w:t>МВСиДН РС(Я)</w:t>
            </w:r>
          </w:p>
        </w:tc>
        <w:tc>
          <w:tcPr>
            <w:tcW w:w="1304" w:type="dxa"/>
            <w:vAlign w:val="center"/>
          </w:tcPr>
          <w:p w14:paraId="49546B58" w14:textId="77777777" w:rsidR="00454A29" w:rsidRDefault="00454A29">
            <w:pPr>
              <w:pStyle w:val="ConsPlusNormal"/>
            </w:pPr>
          </w:p>
        </w:tc>
        <w:tc>
          <w:tcPr>
            <w:tcW w:w="1247" w:type="dxa"/>
            <w:vAlign w:val="center"/>
          </w:tcPr>
          <w:p w14:paraId="46A6DEFE" w14:textId="77777777" w:rsidR="00454A29" w:rsidRDefault="00454A29">
            <w:pPr>
              <w:pStyle w:val="ConsPlusNormal"/>
            </w:pPr>
          </w:p>
        </w:tc>
        <w:tc>
          <w:tcPr>
            <w:tcW w:w="1304" w:type="dxa"/>
            <w:vAlign w:val="center"/>
          </w:tcPr>
          <w:p w14:paraId="0AC58FD1" w14:textId="77777777" w:rsidR="00454A29" w:rsidRDefault="00454A29">
            <w:pPr>
              <w:pStyle w:val="ConsPlusNormal"/>
            </w:pPr>
          </w:p>
        </w:tc>
        <w:tc>
          <w:tcPr>
            <w:tcW w:w="1304" w:type="dxa"/>
            <w:vAlign w:val="center"/>
          </w:tcPr>
          <w:p w14:paraId="582AFAB9" w14:textId="77777777" w:rsidR="00454A29" w:rsidRDefault="00454A29">
            <w:pPr>
              <w:pStyle w:val="ConsPlusNormal"/>
            </w:pPr>
          </w:p>
        </w:tc>
        <w:tc>
          <w:tcPr>
            <w:tcW w:w="1304" w:type="dxa"/>
            <w:vAlign w:val="center"/>
          </w:tcPr>
          <w:p w14:paraId="03E17516" w14:textId="77777777" w:rsidR="00454A29" w:rsidRDefault="00454A29">
            <w:pPr>
              <w:pStyle w:val="ConsPlusNormal"/>
            </w:pPr>
          </w:p>
        </w:tc>
        <w:tc>
          <w:tcPr>
            <w:tcW w:w="1304" w:type="dxa"/>
            <w:vAlign w:val="center"/>
          </w:tcPr>
          <w:p w14:paraId="7B55735A" w14:textId="77777777" w:rsidR="00454A29" w:rsidRDefault="00454A29">
            <w:pPr>
              <w:pStyle w:val="ConsPlusNormal"/>
            </w:pPr>
          </w:p>
        </w:tc>
        <w:tc>
          <w:tcPr>
            <w:tcW w:w="1304" w:type="dxa"/>
            <w:vAlign w:val="center"/>
          </w:tcPr>
          <w:p w14:paraId="183743E6" w14:textId="77777777" w:rsidR="00454A29" w:rsidRDefault="00454A29">
            <w:pPr>
              <w:pStyle w:val="ConsPlusNormal"/>
            </w:pPr>
          </w:p>
        </w:tc>
      </w:tr>
      <w:tr w:rsidR="00454A29" w14:paraId="439D907F" w14:textId="77777777">
        <w:tc>
          <w:tcPr>
            <w:tcW w:w="2041" w:type="dxa"/>
            <w:vMerge/>
          </w:tcPr>
          <w:p w14:paraId="4CF68A54" w14:textId="77777777" w:rsidR="00454A29" w:rsidRDefault="00454A29"/>
        </w:tc>
        <w:tc>
          <w:tcPr>
            <w:tcW w:w="3005" w:type="dxa"/>
            <w:vMerge/>
          </w:tcPr>
          <w:p w14:paraId="2925A8FC" w14:textId="77777777" w:rsidR="00454A29" w:rsidRDefault="00454A29"/>
        </w:tc>
        <w:tc>
          <w:tcPr>
            <w:tcW w:w="2778" w:type="dxa"/>
            <w:vAlign w:val="center"/>
          </w:tcPr>
          <w:p w14:paraId="24D097AD" w14:textId="77777777" w:rsidR="00454A29" w:rsidRDefault="00454A29">
            <w:pPr>
              <w:pStyle w:val="ConsPlusNormal"/>
            </w:pPr>
            <w:r>
              <w:t>Федеральный бюджет</w:t>
            </w:r>
          </w:p>
        </w:tc>
        <w:tc>
          <w:tcPr>
            <w:tcW w:w="1304" w:type="dxa"/>
            <w:vAlign w:val="center"/>
          </w:tcPr>
          <w:p w14:paraId="7157904D" w14:textId="77777777" w:rsidR="00454A29" w:rsidRDefault="00454A29">
            <w:pPr>
              <w:pStyle w:val="ConsPlusNormal"/>
              <w:jc w:val="right"/>
            </w:pPr>
            <w:r>
              <w:t>-</w:t>
            </w:r>
          </w:p>
        </w:tc>
        <w:tc>
          <w:tcPr>
            <w:tcW w:w="1247" w:type="dxa"/>
            <w:vAlign w:val="center"/>
          </w:tcPr>
          <w:p w14:paraId="4747CC9D" w14:textId="77777777" w:rsidR="00454A29" w:rsidRDefault="00454A29">
            <w:pPr>
              <w:pStyle w:val="ConsPlusNormal"/>
              <w:jc w:val="right"/>
            </w:pPr>
            <w:r>
              <w:t>-</w:t>
            </w:r>
          </w:p>
        </w:tc>
        <w:tc>
          <w:tcPr>
            <w:tcW w:w="1304" w:type="dxa"/>
            <w:vAlign w:val="center"/>
          </w:tcPr>
          <w:p w14:paraId="28817994" w14:textId="77777777" w:rsidR="00454A29" w:rsidRDefault="00454A29">
            <w:pPr>
              <w:pStyle w:val="ConsPlusNormal"/>
              <w:jc w:val="right"/>
            </w:pPr>
            <w:r>
              <w:t>-</w:t>
            </w:r>
          </w:p>
        </w:tc>
        <w:tc>
          <w:tcPr>
            <w:tcW w:w="1304" w:type="dxa"/>
            <w:vAlign w:val="center"/>
          </w:tcPr>
          <w:p w14:paraId="0A21F4BE" w14:textId="77777777" w:rsidR="00454A29" w:rsidRDefault="00454A29">
            <w:pPr>
              <w:pStyle w:val="ConsPlusNormal"/>
              <w:jc w:val="right"/>
            </w:pPr>
            <w:r>
              <w:t>-</w:t>
            </w:r>
          </w:p>
        </w:tc>
        <w:tc>
          <w:tcPr>
            <w:tcW w:w="1304" w:type="dxa"/>
            <w:vAlign w:val="center"/>
          </w:tcPr>
          <w:p w14:paraId="53B6C58F" w14:textId="77777777" w:rsidR="00454A29" w:rsidRDefault="00454A29">
            <w:pPr>
              <w:pStyle w:val="ConsPlusNormal"/>
              <w:jc w:val="right"/>
            </w:pPr>
            <w:r>
              <w:t>-</w:t>
            </w:r>
          </w:p>
        </w:tc>
        <w:tc>
          <w:tcPr>
            <w:tcW w:w="1304" w:type="dxa"/>
            <w:vAlign w:val="center"/>
          </w:tcPr>
          <w:p w14:paraId="25C5E30E" w14:textId="77777777" w:rsidR="00454A29" w:rsidRDefault="00454A29">
            <w:pPr>
              <w:pStyle w:val="ConsPlusNormal"/>
              <w:jc w:val="right"/>
            </w:pPr>
            <w:r>
              <w:t>-</w:t>
            </w:r>
          </w:p>
        </w:tc>
        <w:tc>
          <w:tcPr>
            <w:tcW w:w="1304" w:type="dxa"/>
            <w:vAlign w:val="center"/>
          </w:tcPr>
          <w:p w14:paraId="33A45D57" w14:textId="77777777" w:rsidR="00454A29" w:rsidRDefault="00454A29">
            <w:pPr>
              <w:pStyle w:val="ConsPlusNormal"/>
              <w:jc w:val="right"/>
            </w:pPr>
            <w:r>
              <w:t>-</w:t>
            </w:r>
          </w:p>
        </w:tc>
      </w:tr>
      <w:tr w:rsidR="00454A29" w14:paraId="7F4E7E13" w14:textId="77777777">
        <w:tc>
          <w:tcPr>
            <w:tcW w:w="2041" w:type="dxa"/>
            <w:vMerge/>
          </w:tcPr>
          <w:p w14:paraId="0EBD3354" w14:textId="77777777" w:rsidR="00454A29" w:rsidRDefault="00454A29"/>
        </w:tc>
        <w:tc>
          <w:tcPr>
            <w:tcW w:w="3005" w:type="dxa"/>
            <w:vMerge/>
          </w:tcPr>
          <w:p w14:paraId="0B66D32B" w14:textId="77777777" w:rsidR="00454A29" w:rsidRDefault="00454A29"/>
        </w:tc>
        <w:tc>
          <w:tcPr>
            <w:tcW w:w="2778" w:type="dxa"/>
            <w:vAlign w:val="center"/>
          </w:tcPr>
          <w:p w14:paraId="02BFCE33" w14:textId="77777777" w:rsidR="00454A29" w:rsidRDefault="00454A29">
            <w:pPr>
              <w:pStyle w:val="ConsPlusNormal"/>
            </w:pPr>
            <w:r>
              <w:t>Местные бюджеты</w:t>
            </w:r>
          </w:p>
        </w:tc>
        <w:tc>
          <w:tcPr>
            <w:tcW w:w="1304" w:type="dxa"/>
            <w:vAlign w:val="center"/>
          </w:tcPr>
          <w:p w14:paraId="13562923" w14:textId="77777777" w:rsidR="00454A29" w:rsidRDefault="00454A29">
            <w:pPr>
              <w:pStyle w:val="ConsPlusNormal"/>
              <w:jc w:val="right"/>
            </w:pPr>
            <w:r>
              <w:t>-</w:t>
            </w:r>
          </w:p>
        </w:tc>
        <w:tc>
          <w:tcPr>
            <w:tcW w:w="1247" w:type="dxa"/>
            <w:vAlign w:val="center"/>
          </w:tcPr>
          <w:p w14:paraId="6B74D671" w14:textId="77777777" w:rsidR="00454A29" w:rsidRDefault="00454A29">
            <w:pPr>
              <w:pStyle w:val="ConsPlusNormal"/>
              <w:jc w:val="right"/>
            </w:pPr>
            <w:r>
              <w:t>-</w:t>
            </w:r>
          </w:p>
        </w:tc>
        <w:tc>
          <w:tcPr>
            <w:tcW w:w="1304" w:type="dxa"/>
            <w:vAlign w:val="center"/>
          </w:tcPr>
          <w:p w14:paraId="7C539CC4" w14:textId="77777777" w:rsidR="00454A29" w:rsidRDefault="00454A29">
            <w:pPr>
              <w:pStyle w:val="ConsPlusNormal"/>
              <w:jc w:val="right"/>
            </w:pPr>
            <w:r>
              <w:t>-</w:t>
            </w:r>
          </w:p>
        </w:tc>
        <w:tc>
          <w:tcPr>
            <w:tcW w:w="1304" w:type="dxa"/>
            <w:vAlign w:val="center"/>
          </w:tcPr>
          <w:p w14:paraId="2EB204D0" w14:textId="77777777" w:rsidR="00454A29" w:rsidRDefault="00454A29">
            <w:pPr>
              <w:pStyle w:val="ConsPlusNormal"/>
              <w:jc w:val="right"/>
            </w:pPr>
            <w:r>
              <w:t>-</w:t>
            </w:r>
          </w:p>
        </w:tc>
        <w:tc>
          <w:tcPr>
            <w:tcW w:w="1304" w:type="dxa"/>
            <w:vAlign w:val="center"/>
          </w:tcPr>
          <w:p w14:paraId="7E6F71E8" w14:textId="77777777" w:rsidR="00454A29" w:rsidRDefault="00454A29">
            <w:pPr>
              <w:pStyle w:val="ConsPlusNormal"/>
              <w:jc w:val="right"/>
            </w:pPr>
            <w:r>
              <w:t>-</w:t>
            </w:r>
          </w:p>
        </w:tc>
        <w:tc>
          <w:tcPr>
            <w:tcW w:w="1304" w:type="dxa"/>
            <w:vAlign w:val="center"/>
          </w:tcPr>
          <w:p w14:paraId="1471C307" w14:textId="77777777" w:rsidR="00454A29" w:rsidRDefault="00454A29">
            <w:pPr>
              <w:pStyle w:val="ConsPlusNormal"/>
              <w:jc w:val="right"/>
            </w:pPr>
            <w:r>
              <w:t>-</w:t>
            </w:r>
          </w:p>
        </w:tc>
        <w:tc>
          <w:tcPr>
            <w:tcW w:w="1304" w:type="dxa"/>
            <w:vAlign w:val="center"/>
          </w:tcPr>
          <w:p w14:paraId="6B538CD3" w14:textId="77777777" w:rsidR="00454A29" w:rsidRDefault="00454A29">
            <w:pPr>
              <w:pStyle w:val="ConsPlusNormal"/>
              <w:jc w:val="right"/>
            </w:pPr>
            <w:r>
              <w:t>-</w:t>
            </w:r>
          </w:p>
        </w:tc>
      </w:tr>
      <w:tr w:rsidR="00454A29" w14:paraId="4CE93CD4" w14:textId="77777777">
        <w:tc>
          <w:tcPr>
            <w:tcW w:w="2041" w:type="dxa"/>
            <w:vMerge/>
          </w:tcPr>
          <w:p w14:paraId="01478FD3" w14:textId="77777777" w:rsidR="00454A29" w:rsidRDefault="00454A29"/>
        </w:tc>
        <w:tc>
          <w:tcPr>
            <w:tcW w:w="3005" w:type="dxa"/>
            <w:vMerge/>
          </w:tcPr>
          <w:p w14:paraId="31653AF0" w14:textId="77777777" w:rsidR="00454A29" w:rsidRDefault="00454A29"/>
        </w:tc>
        <w:tc>
          <w:tcPr>
            <w:tcW w:w="2778" w:type="dxa"/>
            <w:vAlign w:val="center"/>
          </w:tcPr>
          <w:p w14:paraId="1392E641" w14:textId="77777777" w:rsidR="00454A29" w:rsidRDefault="00454A29">
            <w:pPr>
              <w:pStyle w:val="ConsPlusNormal"/>
            </w:pPr>
            <w:r>
              <w:t>Внебюджетные средства</w:t>
            </w:r>
          </w:p>
        </w:tc>
        <w:tc>
          <w:tcPr>
            <w:tcW w:w="1304" w:type="dxa"/>
            <w:vAlign w:val="center"/>
          </w:tcPr>
          <w:p w14:paraId="0597FB29" w14:textId="77777777" w:rsidR="00454A29" w:rsidRDefault="00454A29">
            <w:pPr>
              <w:pStyle w:val="ConsPlusNormal"/>
              <w:jc w:val="right"/>
            </w:pPr>
            <w:r>
              <w:t>-</w:t>
            </w:r>
          </w:p>
        </w:tc>
        <w:tc>
          <w:tcPr>
            <w:tcW w:w="1247" w:type="dxa"/>
            <w:vAlign w:val="center"/>
          </w:tcPr>
          <w:p w14:paraId="328AFDD1" w14:textId="77777777" w:rsidR="00454A29" w:rsidRDefault="00454A29">
            <w:pPr>
              <w:pStyle w:val="ConsPlusNormal"/>
              <w:jc w:val="right"/>
            </w:pPr>
            <w:r>
              <w:t>-</w:t>
            </w:r>
          </w:p>
        </w:tc>
        <w:tc>
          <w:tcPr>
            <w:tcW w:w="1304" w:type="dxa"/>
            <w:vAlign w:val="center"/>
          </w:tcPr>
          <w:p w14:paraId="193819AD" w14:textId="77777777" w:rsidR="00454A29" w:rsidRDefault="00454A29">
            <w:pPr>
              <w:pStyle w:val="ConsPlusNormal"/>
              <w:jc w:val="right"/>
            </w:pPr>
            <w:r>
              <w:t>-</w:t>
            </w:r>
          </w:p>
        </w:tc>
        <w:tc>
          <w:tcPr>
            <w:tcW w:w="1304" w:type="dxa"/>
            <w:vAlign w:val="center"/>
          </w:tcPr>
          <w:p w14:paraId="183DBC68" w14:textId="77777777" w:rsidR="00454A29" w:rsidRDefault="00454A29">
            <w:pPr>
              <w:pStyle w:val="ConsPlusNormal"/>
              <w:jc w:val="right"/>
            </w:pPr>
            <w:r>
              <w:t>-</w:t>
            </w:r>
          </w:p>
        </w:tc>
        <w:tc>
          <w:tcPr>
            <w:tcW w:w="1304" w:type="dxa"/>
            <w:vAlign w:val="center"/>
          </w:tcPr>
          <w:p w14:paraId="1371A69B" w14:textId="77777777" w:rsidR="00454A29" w:rsidRDefault="00454A29">
            <w:pPr>
              <w:pStyle w:val="ConsPlusNormal"/>
              <w:jc w:val="right"/>
            </w:pPr>
            <w:r>
              <w:t>-</w:t>
            </w:r>
          </w:p>
        </w:tc>
        <w:tc>
          <w:tcPr>
            <w:tcW w:w="1304" w:type="dxa"/>
            <w:vAlign w:val="center"/>
          </w:tcPr>
          <w:p w14:paraId="0A1148B7" w14:textId="77777777" w:rsidR="00454A29" w:rsidRDefault="00454A29">
            <w:pPr>
              <w:pStyle w:val="ConsPlusNormal"/>
              <w:jc w:val="right"/>
            </w:pPr>
            <w:r>
              <w:t>-</w:t>
            </w:r>
          </w:p>
        </w:tc>
        <w:tc>
          <w:tcPr>
            <w:tcW w:w="1304" w:type="dxa"/>
            <w:vAlign w:val="center"/>
          </w:tcPr>
          <w:p w14:paraId="541F3962" w14:textId="77777777" w:rsidR="00454A29" w:rsidRDefault="00454A29">
            <w:pPr>
              <w:pStyle w:val="ConsPlusNormal"/>
              <w:jc w:val="right"/>
            </w:pPr>
            <w:r>
              <w:t>-</w:t>
            </w:r>
          </w:p>
        </w:tc>
      </w:tr>
      <w:tr w:rsidR="00454A29" w14:paraId="2948CBDC" w14:textId="77777777">
        <w:tc>
          <w:tcPr>
            <w:tcW w:w="2041" w:type="dxa"/>
            <w:vMerge w:val="restart"/>
            <w:vAlign w:val="center"/>
          </w:tcPr>
          <w:p w14:paraId="2ACF7978" w14:textId="77777777" w:rsidR="00454A29" w:rsidRDefault="00454A29">
            <w:pPr>
              <w:pStyle w:val="ConsPlusNormal"/>
              <w:jc w:val="center"/>
            </w:pPr>
            <w:r>
              <w:t>Основное мероприятие 5.1.</w:t>
            </w:r>
          </w:p>
        </w:tc>
        <w:tc>
          <w:tcPr>
            <w:tcW w:w="3005" w:type="dxa"/>
            <w:vMerge w:val="restart"/>
            <w:vAlign w:val="center"/>
          </w:tcPr>
          <w:p w14:paraId="7473AC02" w14:textId="77777777" w:rsidR="00454A29" w:rsidRDefault="00454A29">
            <w:pPr>
              <w:pStyle w:val="ConsPlusNormal"/>
              <w:jc w:val="center"/>
            </w:pPr>
            <w:r>
              <w:t>Совершенствование системы выявления, развития и поддержки одаренных детей</w:t>
            </w:r>
          </w:p>
        </w:tc>
        <w:tc>
          <w:tcPr>
            <w:tcW w:w="2778" w:type="dxa"/>
            <w:vAlign w:val="center"/>
          </w:tcPr>
          <w:p w14:paraId="149ACA81" w14:textId="77777777" w:rsidR="00454A29" w:rsidRDefault="00454A29">
            <w:pPr>
              <w:pStyle w:val="ConsPlusNormal"/>
            </w:pPr>
            <w:r>
              <w:t>Всего:</w:t>
            </w:r>
          </w:p>
        </w:tc>
        <w:tc>
          <w:tcPr>
            <w:tcW w:w="1304" w:type="dxa"/>
            <w:vAlign w:val="center"/>
          </w:tcPr>
          <w:p w14:paraId="1157816C" w14:textId="77777777" w:rsidR="00454A29" w:rsidRDefault="00454A29">
            <w:pPr>
              <w:pStyle w:val="ConsPlusNormal"/>
              <w:jc w:val="right"/>
            </w:pPr>
            <w:r>
              <w:t>17 500</w:t>
            </w:r>
          </w:p>
        </w:tc>
        <w:tc>
          <w:tcPr>
            <w:tcW w:w="1247" w:type="dxa"/>
            <w:vAlign w:val="center"/>
          </w:tcPr>
          <w:p w14:paraId="650CB571" w14:textId="77777777" w:rsidR="00454A29" w:rsidRDefault="00454A29">
            <w:pPr>
              <w:pStyle w:val="ConsPlusNormal"/>
              <w:jc w:val="right"/>
            </w:pPr>
            <w:r>
              <w:t>17 500</w:t>
            </w:r>
          </w:p>
        </w:tc>
        <w:tc>
          <w:tcPr>
            <w:tcW w:w="1304" w:type="dxa"/>
            <w:vAlign w:val="center"/>
          </w:tcPr>
          <w:p w14:paraId="3399AC82" w14:textId="77777777" w:rsidR="00454A29" w:rsidRDefault="00454A29">
            <w:pPr>
              <w:pStyle w:val="ConsPlusNormal"/>
              <w:jc w:val="right"/>
            </w:pPr>
            <w:r>
              <w:t>17 500</w:t>
            </w:r>
          </w:p>
        </w:tc>
        <w:tc>
          <w:tcPr>
            <w:tcW w:w="1304" w:type="dxa"/>
            <w:vAlign w:val="center"/>
          </w:tcPr>
          <w:p w14:paraId="297BC5C1" w14:textId="77777777" w:rsidR="00454A29" w:rsidRDefault="00454A29">
            <w:pPr>
              <w:pStyle w:val="ConsPlusNormal"/>
              <w:jc w:val="right"/>
            </w:pPr>
            <w:r>
              <w:t>-</w:t>
            </w:r>
          </w:p>
        </w:tc>
        <w:tc>
          <w:tcPr>
            <w:tcW w:w="1304" w:type="dxa"/>
            <w:vAlign w:val="center"/>
          </w:tcPr>
          <w:p w14:paraId="0C5E3E61" w14:textId="77777777" w:rsidR="00454A29" w:rsidRDefault="00454A29">
            <w:pPr>
              <w:pStyle w:val="ConsPlusNormal"/>
              <w:jc w:val="right"/>
            </w:pPr>
            <w:r>
              <w:t>-</w:t>
            </w:r>
          </w:p>
        </w:tc>
        <w:tc>
          <w:tcPr>
            <w:tcW w:w="1304" w:type="dxa"/>
            <w:vAlign w:val="center"/>
          </w:tcPr>
          <w:p w14:paraId="168BCABC" w14:textId="77777777" w:rsidR="00454A29" w:rsidRDefault="00454A29">
            <w:pPr>
              <w:pStyle w:val="ConsPlusNormal"/>
              <w:jc w:val="right"/>
            </w:pPr>
            <w:r>
              <w:t>-</w:t>
            </w:r>
          </w:p>
        </w:tc>
        <w:tc>
          <w:tcPr>
            <w:tcW w:w="1304" w:type="dxa"/>
            <w:vAlign w:val="center"/>
          </w:tcPr>
          <w:p w14:paraId="0BED4A51" w14:textId="77777777" w:rsidR="00454A29" w:rsidRDefault="00454A29">
            <w:pPr>
              <w:pStyle w:val="ConsPlusNormal"/>
              <w:jc w:val="right"/>
            </w:pPr>
            <w:r>
              <w:t>-</w:t>
            </w:r>
          </w:p>
        </w:tc>
      </w:tr>
      <w:tr w:rsidR="00454A29" w14:paraId="32BEDF03" w14:textId="77777777">
        <w:tc>
          <w:tcPr>
            <w:tcW w:w="2041" w:type="dxa"/>
            <w:vMerge/>
          </w:tcPr>
          <w:p w14:paraId="68C186DE" w14:textId="77777777" w:rsidR="00454A29" w:rsidRDefault="00454A29"/>
        </w:tc>
        <w:tc>
          <w:tcPr>
            <w:tcW w:w="3005" w:type="dxa"/>
            <w:vMerge/>
          </w:tcPr>
          <w:p w14:paraId="635FEB95" w14:textId="77777777" w:rsidR="00454A29" w:rsidRDefault="00454A29"/>
        </w:tc>
        <w:tc>
          <w:tcPr>
            <w:tcW w:w="2778" w:type="dxa"/>
            <w:vAlign w:val="center"/>
          </w:tcPr>
          <w:p w14:paraId="71DD9369" w14:textId="77777777" w:rsidR="00454A29" w:rsidRDefault="00454A29">
            <w:pPr>
              <w:pStyle w:val="ConsPlusNormal"/>
            </w:pPr>
            <w:r>
              <w:t>Государственный бюджет Республики Саха (Якутия)</w:t>
            </w:r>
          </w:p>
        </w:tc>
        <w:tc>
          <w:tcPr>
            <w:tcW w:w="1304" w:type="dxa"/>
            <w:vAlign w:val="center"/>
          </w:tcPr>
          <w:p w14:paraId="5C6D0CA4" w14:textId="77777777" w:rsidR="00454A29" w:rsidRDefault="00454A29">
            <w:pPr>
              <w:pStyle w:val="ConsPlusNormal"/>
              <w:jc w:val="right"/>
            </w:pPr>
            <w:r>
              <w:t>17 500</w:t>
            </w:r>
          </w:p>
        </w:tc>
        <w:tc>
          <w:tcPr>
            <w:tcW w:w="1247" w:type="dxa"/>
            <w:vAlign w:val="center"/>
          </w:tcPr>
          <w:p w14:paraId="5E8AE630" w14:textId="77777777" w:rsidR="00454A29" w:rsidRDefault="00454A29">
            <w:pPr>
              <w:pStyle w:val="ConsPlusNormal"/>
              <w:jc w:val="right"/>
            </w:pPr>
            <w:r>
              <w:t>17 500</w:t>
            </w:r>
          </w:p>
        </w:tc>
        <w:tc>
          <w:tcPr>
            <w:tcW w:w="1304" w:type="dxa"/>
            <w:vAlign w:val="center"/>
          </w:tcPr>
          <w:p w14:paraId="11ADADE3" w14:textId="77777777" w:rsidR="00454A29" w:rsidRDefault="00454A29">
            <w:pPr>
              <w:pStyle w:val="ConsPlusNormal"/>
              <w:jc w:val="right"/>
            </w:pPr>
            <w:r>
              <w:t>17 500</w:t>
            </w:r>
          </w:p>
        </w:tc>
        <w:tc>
          <w:tcPr>
            <w:tcW w:w="1304" w:type="dxa"/>
            <w:vAlign w:val="center"/>
          </w:tcPr>
          <w:p w14:paraId="4EF486E6" w14:textId="77777777" w:rsidR="00454A29" w:rsidRDefault="00454A29">
            <w:pPr>
              <w:pStyle w:val="ConsPlusNormal"/>
              <w:jc w:val="right"/>
            </w:pPr>
            <w:r>
              <w:t>-</w:t>
            </w:r>
          </w:p>
        </w:tc>
        <w:tc>
          <w:tcPr>
            <w:tcW w:w="1304" w:type="dxa"/>
            <w:vAlign w:val="center"/>
          </w:tcPr>
          <w:p w14:paraId="15E8108E" w14:textId="77777777" w:rsidR="00454A29" w:rsidRDefault="00454A29">
            <w:pPr>
              <w:pStyle w:val="ConsPlusNormal"/>
              <w:jc w:val="right"/>
            </w:pPr>
            <w:r>
              <w:t>-</w:t>
            </w:r>
          </w:p>
        </w:tc>
        <w:tc>
          <w:tcPr>
            <w:tcW w:w="1304" w:type="dxa"/>
            <w:vAlign w:val="center"/>
          </w:tcPr>
          <w:p w14:paraId="02CFD9C0" w14:textId="77777777" w:rsidR="00454A29" w:rsidRDefault="00454A29">
            <w:pPr>
              <w:pStyle w:val="ConsPlusNormal"/>
              <w:jc w:val="right"/>
            </w:pPr>
            <w:r>
              <w:t>-</w:t>
            </w:r>
          </w:p>
        </w:tc>
        <w:tc>
          <w:tcPr>
            <w:tcW w:w="1304" w:type="dxa"/>
            <w:vAlign w:val="center"/>
          </w:tcPr>
          <w:p w14:paraId="7AE15D22" w14:textId="77777777" w:rsidR="00454A29" w:rsidRDefault="00454A29">
            <w:pPr>
              <w:pStyle w:val="ConsPlusNormal"/>
              <w:jc w:val="right"/>
            </w:pPr>
            <w:r>
              <w:t>-</w:t>
            </w:r>
          </w:p>
        </w:tc>
      </w:tr>
      <w:tr w:rsidR="00454A29" w14:paraId="279886F9" w14:textId="77777777">
        <w:tc>
          <w:tcPr>
            <w:tcW w:w="2041" w:type="dxa"/>
            <w:vMerge/>
          </w:tcPr>
          <w:p w14:paraId="5F7E31A8" w14:textId="77777777" w:rsidR="00454A29" w:rsidRDefault="00454A29"/>
        </w:tc>
        <w:tc>
          <w:tcPr>
            <w:tcW w:w="3005" w:type="dxa"/>
            <w:vMerge/>
          </w:tcPr>
          <w:p w14:paraId="0743E362" w14:textId="77777777" w:rsidR="00454A29" w:rsidRDefault="00454A29"/>
        </w:tc>
        <w:tc>
          <w:tcPr>
            <w:tcW w:w="2778" w:type="dxa"/>
            <w:vAlign w:val="center"/>
          </w:tcPr>
          <w:p w14:paraId="5276E8EA" w14:textId="77777777" w:rsidR="00454A29" w:rsidRDefault="00454A29">
            <w:pPr>
              <w:pStyle w:val="ConsPlusNormal"/>
            </w:pPr>
            <w:r>
              <w:t>Федеральный бюджет</w:t>
            </w:r>
          </w:p>
        </w:tc>
        <w:tc>
          <w:tcPr>
            <w:tcW w:w="1304" w:type="dxa"/>
            <w:vAlign w:val="center"/>
          </w:tcPr>
          <w:p w14:paraId="36D22955" w14:textId="77777777" w:rsidR="00454A29" w:rsidRDefault="00454A29">
            <w:pPr>
              <w:pStyle w:val="ConsPlusNormal"/>
            </w:pPr>
          </w:p>
        </w:tc>
        <w:tc>
          <w:tcPr>
            <w:tcW w:w="1247" w:type="dxa"/>
            <w:vAlign w:val="center"/>
          </w:tcPr>
          <w:p w14:paraId="378870EE" w14:textId="77777777" w:rsidR="00454A29" w:rsidRDefault="00454A29">
            <w:pPr>
              <w:pStyle w:val="ConsPlusNormal"/>
            </w:pPr>
          </w:p>
        </w:tc>
        <w:tc>
          <w:tcPr>
            <w:tcW w:w="1304" w:type="dxa"/>
            <w:vAlign w:val="center"/>
          </w:tcPr>
          <w:p w14:paraId="08612624" w14:textId="77777777" w:rsidR="00454A29" w:rsidRDefault="00454A29">
            <w:pPr>
              <w:pStyle w:val="ConsPlusNormal"/>
            </w:pPr>
          </w:p>
        </w:tc>
        <w:tc>
          <w:tcPr>
            <w:tcW w:w="1304" w:type="dxa"/>
            <w:vAlign w:val="center"/>
          </w:tcPr>
          <w:p w14:paraId="1200F817" w14:textId="77777777" w:rsidR="00454A29" w:rsidRDefault="00454A29">
            <w:pPr>
              <w:pStyle w:val="ConsPlusNormal"/>
            </w:pPr>
          </w:p>
        </w:tc>
        <w:tc>
          <w:tcPr>
            <w:tcW w:w="1304" w:type="dxa"/>
            <w:vAlign w:val="center"/>
          </w:tcPr>
          <w:p w14:paraId="4A3A48FF" w14:textId="77777777" w:rsidR="00454A29" w:rsidRDefault="00454A29">
            <w:pPr>
              <w:pStyle w:val="ConsPlusNormal"/>
            </w:pPr>
          </w:p>
        </w:tc>
        <w:tc>
          <w:tcPr>
            <w:tcW w:w="1304" w:type="dxa"/>
            <w:vAlign w:val="center"/>
          </w:tcPr>
          <w:p w14:paraId="390F32C8" w14:textId="77777777" w:rsidR="00454A29" w:rsidRDefault="00454A29">
            <w:pPr>
              <w:pStyle w:val="ConsPlusNormal"/>
            </w:pPr>
          </w:p>
        </w:tc>
        <w:tc>
          <w:tcPr>
            <w:tcW w:w="1304" w:type="dxa"/>
            <w:vAlign w:val="center"/>
          </w:tcPr>
          <w:p w14:paraId="171BFBD3" w14:textId="77777777" w:rsidR="00454A29" w:rsidRDefault="00454A29">
            <w:pPr>
              <w:pStyle w:val="ConsPlusNormal"/>
            </w:pPr>
          </w:p>
        </w:tc>
      </w:tr>
      <w:tr w:rsidR="00454A29" w14:paraId="3C7D26DE" w14:textId="77777777">
        <w:tc>
          <w:tcPr>
            <w:tcW w:w="2041" w:type="dxa"/>
            <w:vMerge/>
          </w:tcPr>
          <w:p w14:paraId="217ED693" w14:textId="77777777" w:rsidR="00454A29" w:rsidRDefault="00454A29"/>
        </w:tc>
        <w:tc>
          <w:tcPr>
            <w:tcW w:w="3005" w:type="dxa"/>
            <w:vMerge/>
          </w:tcPr>
          <w:p w14:paraId="19FA9042" w14:textId="77777777" w:rsidR="00454A29" w:rsidRDefault="00454A29"/>
        </w:tc>
        <w:tc>
          <w:tcPr>
            <w:tcW w:w="2778" w:type="dxa"/>
            <w:vAlign w:val="center"/>
          </w:tcPr>
          <w:p w14:paraId="3C7CF910" w14:textId="77777777" w:rsidR="00454A29" w:rsidRDefault="00454A29">
            <w:pPr>
              <w:pStyle w:val="ConsPlusNormal"/>
            </w:pPr>
            <w:r>
              <w:t>Местные бюджеты</w:t>
            </w:r>
          </w:p>
        </w:tc>
        <w:tc>
          <w:tcPr>
            <w:tcW w:w="1304" w:type="dxa"/>
            <w:vAlign w:val="center"/>
          </w:tcPr>
          <w:p w14:paraId="216BA06C" w14:textId="77777777" w:rsidR="00454A29" w:rsidRDefault="00454A29">
            <w:pPr>
              <w:pStyle w:val="ConsPlusNormal"/>
            </w:pPr>
          </w:p>
        </w:tc>
        <w:tc>
          <w:tcPr>
            <w:tcW w:w="1247" w:type="dxa"/>
            <w:vAlign w:val="center"/>
          </w:tcPr>
          <w:p w14:paraId="38F61F42" w14:textId="77777777" w:rsidR="00454A29" w:rsidRDefault="00454A29">
            <w:pPr>
              <w:pStyle w:val="ConsPlusNormal"/>
            </w:pPr>
          </w:p>
        </w:tc>
        <w:tc>
          <w:tcPr>
            <w:tcW w:w="1304" w:type="dxa"/>
            <w:vAlign w:val="center"/>
          </w:tcPr>
          <w:p w14:paraId="551A0084" w14:textId="77777777" w:rsidR="00454A29" w:rsidRDefault="00454A29">
            <w:pPr>
              <w:pStyle w:val="ConsPlusNormal"/>
            </w:pPr>
          </w:p>
        </w:tc>
        <w:tc>
          <w:tcPr>
            <w:tcW w:w="1304" w:type="dxa"/>
            <w:vAlign w:val="center"/>
          </w:tcPr>
          <w:p w14:paraId="6192A41D" w14:textId="77777777" w:rsidR="00454A29" w:rsidRDefault="00454A29">
            <w:pPr>
              <w:pStyle w:val="ConsPlusNormal"/>
            </w:pPr>
          </w:p>
        </w:tc>
        <w:tc>
          <w:tcPr>
            <w:tcW w:w="1304" w:type="dxa"/>
            <w:vAlign w:val="center"/>
          </w:tcPr>
          <w:p w14:paraId="51AED668" w14:textId="77777777" w:rsidR="00454A29" w:rsidRDefault="00454A29">
            <w:pPr>
              <w:pStyle w:val="ConsPlusNormal"/>
            </w:pPr>
          </w:p>
        </w:tc>
        <w:tc>
          <w:tcPr>
            <w:tcW w:w="1304" w:type="dxa"/>
            <w:vAlign w:val="center"/>
          </w:tcPr>
          <w:p w14:paraId="3B6446DF" w14:textId="77777777" w:rsidR="00454A29" w:rsidRDefault="00454A29">
            <w:pPr>
              <w:pStyle w:val="ConsPlusNormal"/>
            </w:pPr>
          </w:p>
        </w:tc>
        <w:tc>
          <w:tcPr>
            <w:tcW w:w="1304" w:type="dxa"/>
            <w:vAlign w:val="center"/>
          </w:tcPr>
          <w:p w14:paraId="10FFB2DB" w14:textId="77777777" w:rsidR="00454A29" w:rsidRDefault="00454A29">
            <w:pPr>
              <w:pStyle w:val="ConsPlusNormal"/>
            </w:pPr>
          </w:p>
        </w:tc>
      </w:tr>
      <w:tr w:rsidR="00454A29" w14:paraId="669D9529" w14:textId="77777777">
        <w:tc>
          <w:tcPr>
            <w:tcW w:w="2041" w:type="dxa"/>
            <w:vMerge/>
          </w:tcPr>
          <w:p w14:paraId="2848EC0A" w14:textId="77777777" w:rsidR="00454A29" w:rsidRDefault="00454A29"/>
        </w:tc>
        <w:tc>
          <w:tcPr>
            <w:tcW w:w="3005" w:type="dxa"/>
            <w:vMerge/>
          </w:tcPr>
          <w:p w14:paraId="109409DC" w14:textId="77777777" w:rsidR="00454A29" w:rsidRDefault="00454A29"/>
        </w:tc>
        <w:tc>
          <w:tcPr>
            <w:tcW w:w="2778" w:type="dxa"/>
            <w:vAlign w:val="center"/>
          </w:tcPr>
          <w:p w14:paraId="1A4B08AD" w14:textId="77777777" w:rsidR="00454A29" w:rsidRDefault="00454A29">
            <w:pPr>
              <w:pStyle w:val="ConsPlusNormal"/>
            </w:pPr>
            <w:r>
              <w:t>Внебюджетные средства</w:t>
            </w:r>
          </w:p>
        </w:tc>
        <w:tc>
          <w:tcPr>
            <w:tcW w:w="1304" w:type="dxa"/>
            <w:vAlign w:val="center"/>
          </w:tcPr>
          <w:p w14:paraId="4B98A0D3" w14:textId="77777777" w:rsidR="00454A29" w:rsidRDefault="00454A29">
            <w:pPr>
              <w:pStyle w:val="ConsPlusNormal"/>
            </w:pPr>
          </w:p>
        </w:tc>
        <w:tc>
          <w:tcPr>
            <w:tcW w:w="1247" w:type="dxa"/>
            <w:vAlign w:val="center"/>
          </w:tcPr>
          <w:p w14:paraId="395E9F89" w14:textId="77777777" w:rsidR="00454A29" w:rsidRDefault="00454A29">
            <w:pPr>
              <w:pStyle w:val="ConsPlusNormal"/>
            </w:pPr>
          </w:p>
        </w:tc>
        <w:tc>
          <w:tcPr>
            <w:tcW w:w="1304" w:type="dxa"/>
            <w:vAlign w:val="center"/>
          </w:tcPr>
          <w:p w14:paraId="7E1B1F49" w14:textId="77777777" w:rsidR="00454A29" w:rsidRDefault="00454A29">
            <w:pPr>
              <w:pStyle w:val="ConsPlusNormal"/>
            </w:pPr>
          </w:p>
        </w:tc>
        <w:tc>
          <w:tcPr>
            <w:tcW w:w="1304" w:type="dxa"/>
            <w:vAlign w:val="center"/>
          </w:tcPr>
          <w:p w14:paraId="718C2F86" w14:textId="77777777" w:rsidR="00454A29" w:rsidRDefault="00454A29">
            <w:pPr>
              <w:pStyle w:val="ConsPlusNormal"/>
            </w:pPr>
          </w:p>
        </w:tc>
        <w:tc>
          <w:tcPr>
            <w:tcW w:w="1304" w:type="dxa"/>
            <w:vAlign w:val="center"/>
          </w:tcPr>
          <w:p w14:paraId="2A081933" w14:textId="77777777" w:rsidR="00454A29" w:rsidRDefault="00454A29">
            <w:pPr>
              <w:pStyle w:val="ConsPlusNormal"/>
            </w:pPr>
          </w:p>
        </w:tc>
        <w:tc>
          <w:tcPr>
            <w:tcW w:w="1304" w:type="dxa"/>
            <w:vAlign w:val="center"/>
          </w:tcPr>
          <w:p w14:paraId="13BB7433" w14:textId="77777777" w:rsidR="00454A29" w:rsidRDefault="00454A29">
            <w:pPr>
              <w:pStyle w:val="ConsPlusNormal"/>
            </w:pPr>
          </w:p>
        </w:tc>
        <w:tc>
          <w:tcPr>
            <w:tcW w:w="1304" w:type="dxa"/>
            <w:vAlign w:val="center"/>
          </w:tcPr>
          <w:p w14:paraId="1965849F" w14:textId="77777777" w:rsidR="00454A29" w:rsidRDefault="00454A29">
            <w:pPr>
              <w:pStyle w:val="ConsPlusNormal"/>
            </w:pPr>
          </w:p>
        </w:tc>
      </w:tr>
      <w:tr w:rsidR="00454A29" w14:paraId="2E8FC1F1" w14:textId="77777777">
        <w:tc>
          <w:tcPr>
            <w:tcW w:w="2041" w:type="dxa"/>
            <w:vMerge w:val="restart"/>
            <w:vAlign w:val="center"/>
          </w:tcPr>
          <w:p w14:paraId="46703816" w14:textId="77777777" w:rsidR="00454A29" w:rsidRDefault="00454A29">
            <w:pPr>
              <w:pStyle w:val="ConsPlusNormal"/>
              <w:jc w:val="center"/>
              <w:outlineLvl w:val="2"/>
            </w:pPr>
            <w:r>
              <w:t>Подпрограмма 6</w:t>
            </w:r>
          </w:p>
        </w:tc>
        <w:tc>
          <w:tcPr>
            <w:tcW w:w="3005" w:type="dxa"/>
            <w:vMerge w:val="restart"/>
            <w:vAlign w:val="center"/>
          </w:tcPr>
          <w:p w14:paraId="5A2476F0" w14:textId="77777777" w:rsidR="00454A29" w:rsidRDefault="00454A29">
            <w:pPr>
              <w:pStyle w:val="ConsPlusNormal"/>
              <w:jc w:val="center"/>
            </w:pPr>
            <w:r>
              <w:t>"Отдых детей и их оздоровление"</w:t>
            </w:r>
          </w:p>
        </w:tc>
        <w:tc>
          <w:tcPr>
            <w:tcW w:w="2778" w:type="dxa"/>
            <w:vAlign w:val="center"/>
          </w:tcPr>
          <w:p w14:paraId="43F3B1F3" w14:textId="77777777" w:rsidR="00454A29" w:rsidRDefault="00454A29">
            <w:pPr>
              <w:pStyle w:val="ConsPlusNormal"/>
            </w:pPr>
            <w:r>
              <w:t>Всего:</w:t>
            </w:r>
          </w:p>
        </w:tc>
        <w:tc>
          <w:tcPr>
            <w:tcW w:w="1304" w:type="dxa"/>
            <w:vAlign w:val="center"/>
          </w:tcPr>
          <w:p w14:paraId="76FE8C2B" w14:textId="77777777" w:rsidR="00454A29" w:rsidRDefault="00454A29">
            <w:pPr>
              <w:pStyle w:val="ConsPlusNormal"/>
              <w:jc w:val="right"/>
            </w:pPr>
            <w:r>
              <w:t>148 756</w:t>
            </w:r>
          </w:p>
        </w:tc>
        <w:tc>
          <w:tcPr>
            <w:tcW w:w="1247" w:type="dxa"/>
            <w:vAlign w:val="center"/>
          </w:tcPr>
          <w:p w14:paraId="1E54461C" w14:textId="77777777" w:rsidR="00454A29" w:rsidRDefault="00454A29">
            <w:pPr>
              <w:pStyle w:val="ConsPlusNormal"/>
              <w:jc w:val="right"/>
            </w:pPr>
            <w:r>
              <w:t>148 756</w:t>
            </w:r>
          </w:p>
        </w:tc>
        <w:tc>
          <w:tcPr>
            <w:tcW w:w="1304" w:type="dxa"/>
            <w:vAlign w:val="center"/>
          </w:tcPr>
          <w:p w14:paraId="221256A6" w14:textId="77777777" w:rsidR="00454A29" w:rsidRDefault="00454A29">
            <w:pPr>
              <w:pStyle w:val="ConsPlusNormal"/>
              <w:jc w:val="right"/>
            </w:pPr>
            <w:r>
              <w:t>148 756</w:t>
            </w:r>
          </w:p>
        </w:tc>
        <w:tc>
          <w:tcPr>
            <w:tcW w:w="1304" w:type="dxa"/>
            <w:vAlign w:val="center"/>
          </w:tcPr>
          <w:p w14:paraId="3492D3CE" w14:textId="77777777" w:rsidR="00454A29" w:rsidRDefault="00454A29">
            <w:pPr>
              <w:pStyle w:val="ConsPlusNormal"/>
              <w:jc w:val="right"/>
            </w:pPr>
            <w:r>
              <w:t>149 786</w:t>
            </w:r>
          </w:p>
        </w:tc>
        <w:tc>
          <w:tcPr>
            <w:tcW w:w="1304" w:type="dxa"/>
            <w:vAlign w:val="center"/>
          </w:tcPr>
          <w:p w14:paraId="7FD453D5" w14:textId="77777777" w:rsidR="00454A29" w:rsidRDefault="00454A29">
            <w:pPr>
              <w:pStyle w:val="ConsPlusNormal"/>
              <w:jc w:val="right"/>
            </w:pPr>
            <w:r>
              <w:t>149 786</w:t>
            </w:r>
          </w:p>
        </w:tc>
        <w:tc>
          <w:tcPr>
            <w:tcW w:w="1304" w:type="dxa"/>
            <w:vAlign w:val="center"/>
          </w:tcPr>
          <w:p w14:paraId="0FA115F5" w14:textId="77777777" w:rsidR="00454A29" w:rsidRDefault="00454A29">
            <w:pPr>
              <w:pStyle w:val="ConsPlusNormal"/>
              <w:jc w:val="right"/>
            </w:pPr>
            <w:r>
              <w:t>-</w:t>
            </w:r>
          </w:p>
        </w:tc>
        <w:tc>
          <w:tcPr>
            <w:tcW w:w="1304" w:type="dxa"/>
            <w:vAlign w:val="center"/>
          </w:tcPr>
          <w:p w14:paraId="31D409FB" w14:textId="77777777" w:rsidR="00454A29" w:rsidRDefault="00454A29">
            <w:pPr>
              <w:pStyle w:val="ConsPlusNormal"/>
              <w:jc w:val="right"/>
            </w:pPr>
            <w:r>
              <w:t>-</w:t>
            </w:r>
          </w:p>
        </w:tc>
      </w:tr>
      <w:tr w:rsidR="00454A29" w14:paraId="7D109734" w14:textId="77777777">
        <w:tc>
          <w:tcPr>
            <w:tcW w:w="2041" w:type="dxa"/>
            <w:vMerge/>
          </w:tcPr>
          <w:p w14:paraId="5C1019A2" w14:textId="77777777" w:rsidR="00454A29" w:rsidRDefault="00454A29"/>
        </w:tc>
        <w:tc>
          <w:tcPr>
            <w:tcW w:w="3005" w:type="dxa"/>
            <w:vMerge/>
          </w:tcPr>
          <w:p w14:paraId="70B448F2" w14:textId="77777777" w:rsidR="00454A29" w:rsidRDefault="00454A29"/>
        </w:tc>
        <w:tc>
          <w:tcPr>
            <w:tcW w:w="2778" w:type="dxa"/>
            <w:vAlign w:val="center"/>
          </w:tcPr>
          <w:p w14:paraId="4F5F57BC" w14:textId="77777777" w:rsidR="00454A29" w:rsidRDefault="00454A29">
            <w:pPr>
              <w:pStyle w:val="ConsPlusNormal"/>
            </w:pPr>
            <w:r>
              <w:t>Государственный бюджет Республики Саха (Якутия)</w:t>
            </w:r>
          </w:p>
        </w:tc>
        <w:tc>
          <w:tcPr>
            <w:tcW w:w="1304" w:type="dxa"/>
            <w:vAlign w:val="center"/>
          </w:tcPr>
          <w:p w14:paraId="17B5AFD3" w14:textId="77777777" w:rsidR="00454A29" w:rsidRDefault="00454A29">
            <w:pPr>
              <w:pStyle w:val="ConsPlusNormal"/>
              <w:jc w:val="right"/>
            </w:pPr>
            <w:r>
              <w:t>148 756</w:t>
            </w:r>
          </w:p>
        </w:tc>
        <w:tc>
          <w:tcPr>
            <w:tcW w:w="1247" w:type="dxa"/>
            <w:vAlign w:val="center"/>
          </w:tcPr>
          <w:p w14:paraId="3026F40A" w14:textId="77777777" w:rsidR="00454A29" w:rsidRDefault="00454A29">
            <w:pPr>
              <w:pStyle w:val="ConsPlusNormal"/>
              <w:jc w:val="right"/>
            </w:pPr>
            <w:r>
              <w:t>148 756</w:t>
            </w:r>
          </w:p>
        </w:tc>
        <w:tc>
          <w:tcPr>
            <w:tcW w:w="1304" w:type="dxa"/>
            <w:vAlign w:val="center"/>
          </w:tcPr>
          <w:p w14:paraId="616CFAEC" w14:textId="77777777" w:rsidR="00454A29" w:rsidRDefault="00454A29">
            <w:pPr>
              <w:pStyle w:val="ConsPlusNormal"/>
              <w:jc w:val="right"/>
            </w:pPr>
            <w:r>
              <w:t>148 756</w:t>
            </w:r>
          </w:p>
        </w:tc>
        <w:tc>
          <w:tcPr>
            <w:tcW w:w="1304" w:type="dxa"/>
            <w:vAlign w:val="center"/>
          </w:tcPr>
          <w:p w14:paraId="2CE32107" w14:textId="77777777" w:rsidR="00454A29" w:rsidRDefault="00454A29">
            <w:pPr>
              <w:pStyle w:val="ConsPlusNormal"/>
              <w:jc w:val="right"/>
            </w:pPr>
            <w:r>
              <w:t>149 786</w:t>
            </w:r>
          </w:p>
        </w:tc>
        <w:tc>
          <w:tcPr>
            <w:tcW w:w="1304" w:type="dxa"/>
            <w:vAlign w:val="center"/>
          </w:tcPr>
          <w:p w14:paraId="2076D599" w14:textId="77777777" w:rsidR="00454A29" w:rsidRDefault="00454A29">
            <w:pPr>
              <w:pStyle w:val="ConsPlusNormal"/>
              <w:jc w:val="right"/>
            </w:pPr>
            <w:r>
              <w:t>149 786</w:t>
            </w:r>
          </w:p>
        </w:tc>
        <w:tc>
          <w:tcPr>
            <w:tcW w:w="1304" w:type="dxa"/>
            <w:vAlign w:val="center"/>
          </w:tcPr>
          <w:p w14:paraId="09ED1013" w14:textId="77777777" w:rsidR="00454A29" w:rsidRDefault="00454A29">
            <w:pPr>
              <w:pStyle w:val="ConsPlusNormal"/>
              <w:jc w:val="right"/>
            </w:pPr>
            <w:r>
              <w:t>-</w:t>
            </w:r>
          </w:p>
        </w:tc>
        <w:tc>
          <w:tcPr>
            <w:tcW w:w="1304" w:type="dxa"/>
            <w:vAlign w:val="center"/>
          </w:tcPr>
          <w:p w14:paraId="668E52EF" w14:textId="77777777" w:rsidR="00454A29" w:rsidRDefault="00454A29">
            <w:pPr>
              <w:pStyle w:val="ConsPlusNormal"/>
              <w:jc w:val="right"/>
            </w:pPr>
            <w:r>
              <w:t>-</w:t>
            </w:r>
          </w:p>
        </w:tc>
      </w:tr>
      <w:tr w:rsidR="00454A29" w14:paraId="649AD80F" w14:textId="77777777">
        <w:tc>
          <w:tcPr>
            <w:tcW w:w="2041" w:type="dxa"/>
            <w:vMerge/>
          </w:tcPr>
          <w:p w14:paraId="008593D1" w14:textId="77777777" w:rsidR="00454A29" w:rsidRDefault="00454A29"/>
        </w:tc>
        <w:tc>
          <w:tcPr>
            <w:tcW w:w="3005" w:type="dxa"/>
            <w:vMerge/>
          </w:tcPr>
          <w:p w14:paraId="1F845806" w14:textId="77777777" w:rsidR="00454A29" w:rsidRDefault="00454A29"/>
        </w:tc>
        <w:tc>
          <w:tcPr>
            <w:tcW w:w="2778" w:type="dxa"/>
            <w:vAlign w:val="center"/>
          </w:tcPr>
          <w:p w14:paraId="3331A045" w14:textId="77777777" w:rsidR="00454A29" w:rsidRDefault="00454A29">
            <w:pPr>
              <w:pStyle w:val="ConsPlusNormal"/>
            </w:pPr>
            <w:r>
              <w:t>Минобрнауки РС(Я)</w:t>
            </w:r>
          </w:p>
        </w:tc>
        <w:tc>
          <w:tcPr>
            <w:tcW w:w="1304" w:type="dxa"/>
            <w:vAlign w:val="center"/>
          </w:tcPr>
          <w:p w14:paraId="11DE3DFD" w14:textId="77777777" w:rsidR="00454A29" w:rsidRDefault="00454A29">
            <w:pPr>
              <w:pStyle w:val="ConsPlusNormal"/>
              <w:jc w:val="right"/>
            </w:pPr>
            <w:r>
              <w:t>-</w:t>
            </w:r>
          </w:p>
        </w:tc>
        <w:tc>
          <w:tcPr>
            <w:tcW w:w="1247" w:type="dxa"/>
            <w:vAlign w:val="center"/>
          </w:tcPr>
          <w:p w14:paraId="15FCD69C" w14:textId="77777777" w:rsidR="00454A29" w:rsidRDefault="00454A29">
            <w:pPr>
              <w:pStyle w:val="ConsPlusNormal"/>
              <w:jc w:val="right"/>
            </w:pPr>
            <w:r>
              <w:t>-</w:t>
            </w:r>
          </w:p>
        </w:tc>
        <w:tc>
          <w:tcPr>
            <w:tcW w:w="1304" w:type="dxa"/>
            <w:vAlign w:val="center"/>
          </w:tcPr>
          <w:p w14:paraId="1FC1E9A4" w14:textId="77777777" w:rsidR="00454A29" w:rsidRDefault="00454A29">
            <w:pPr>
              <w:pStyle w:val="ConsPlusNormal"/>
              <w:jc w:val="right"/>
            </w:pPr>
            <w:r>
              <w:t>-</w:t>
            </w:r>
          </w:p>
        </w:tc>
        <w:tc>
          <w:tcPr>
            <w:tcW w:w="1304" w:type="dxa"/>
            <w:vAlign w:val="center"/>
          </w:tcPr>
          <w:p w14:paraId="6D2CF4EE" w14:textId="77777777" w:rsidR="00454A29" w:rsidRDefault="00454A29">
            <w:pPr>
              <w:pStyle w:val="ConsPlusNormal"/>
              <w:jc w:val="right"/>
            </w:pPr>
            <w:r>
              <w:t>-</w:t>
            </w:r>
          </w:p>
        </w:tc>
        <w:tc>
          <w:tcPr>
            <w:tcW w:w="1304" w:type="dxa"/>
            <w:vAlign w:val="center"/>
          </w:tcPr>
          <w:p w14:paraId="70BD476E" w14:textId="77777777" w:rsidR="00454A29" w:rsidRDefault="00454A29">
            <w:pPr>
              <w:pStyle w:val="ConsPlusNormal"/>
              <w:jc w:val="right"/>
            </w:pPr>
            <w:r>
              <w:t>-</w:t>
            </w:r>
          </w:p>
        </w:tc>
        <w:tc>
          <w:tcPr>
            <w:tcW w:w="1304" w:type="dxa"/>
            <w:vAlign w:val="center"/>
          </w:tcPr>
          <w:p w14:paraId="286A3E06" w14:textId="77777777" w:rsidR="00454A29" w:rsidRDefault="00454A29">
            <w:pPr>
              <w:pStyle w:val="ConsPlusNormal"/>
              <w:jc w:val="right"/>
            </w:pPr>
            <w:r>
              <w:t>-</w:t>
            </w:r>
          </w:p>
        </w:tc>
        <w:tc>
          <w:tcPr>
            <w:tcW w:w="1304" w:type="dxa"/>
            <w:vAlign w:val="center"/>
          </w:tcPr>
          <w:p w14:paraId="0EDA37C9" w14:textId="77777777" w:rsidR="00454A29" w:rsidRDefault="00454A29">
            <w:pPr>
              <w:pStyle w:val="ConsPlusNormal"/>
              <w:jc w:val="right"/>
            </w:pPr>
            <w:r>
              <w:t>-</w:t>
            </w:r>
          </w:p>
        </w:tc>
      </w:tr>
      <w:tr w:rsidR="00454A29" w14:paraId="09DBBC2F" w14:textId="77777777">
        <w:tc>
          <w:tcPr>
            <w:tcW w:w="2041" w:type="dxa"/>
            <w:vMerge/>
          </w:tcPr>
          <w:p w14:paraId="235FA093" w14:textId="77777777" w:rsidR="00454A29" w:rsidRDefault="00454A29"/>
        </w:tc>
        <w:tc>
          <w:tcPr>
            <w:tcW w:w="3005" w:type="dxa"/>
            <w:vMerge/>
          </w:tcPr>
          <w:p w14:paraId="269FFB2D" w14:textId="77777777" w:rsidR="00454A29" w:rsidRDefault="00454A29"/>
        </w:tc>
        <w:tc>
          <w:tcPr>
            <w:tcW w:w="2778" w:type="dxa"/>
            <w:vAlign w:val="center"/>
          </w:tcPr>
          <w:p w14:paraId="6273A3AB" w14:textId="77777777" w:rsidR="00454A29" w:rsidRDefault="00454A29">
            <w:pPr>
              <w:pStyle w:val="ConsPlusNormal"/>
            </w:pPr>
            <w:r>
              <w:t>Федеральный бюджет</w:t>
            </w:r>
          </w:p>
        </w:tc>
        <w:tc>
          <w:tcPr>
            <w:tcW w:w="1304" w:type="dxa"/>
            <w:vAlign w:val="center"/>
          </w:tcPr>
          <w:p w14:paraId="095ACB6A" w14:textId="77777777" w:rsidR="00454A29" w:rsidRDefault="00454A29">
            <w:pPr>
              <w:pStyle w:val="ConsPlusNormal"/>
              <w:jc w:val="right"/>
            </w:pPr>
            <w:r>
              <w:t>-</w:t>
            </w:r>
          </w:p>
        </w:tc>
        <w:tc>
          <w:tcPr>
            <w:tcW w:w="1247" w:type="dxa"/>
            <w:vAlign w:val="center"/>
          </w:tcPr>
          <w:p w14:paraId="7B3A5162" w14:textId="77777777" w:rsidR="00454A29" w:rsidRDefault="00454A29">
            <w:pPr>
              <w:pStyle w:val="ConsPlusNormal"/>
              <w:jc w:val="right"/>
            </w:pPr>
            <w:r>
              <w:t>-</w:t>
            </w:r>
          </w:p>
        </w:tc>
        <w:tc>
          <w:tcPr>
            <w:tcW w:w="1304" w:type="dxa"/>
            <w:vAlign w:val="center"/>
          </w:tcPr>
          <w:p w14:paraId="07511F6E" w14:textId="77777777" w:rsidR="00454A29" w:rsidRDefault="00454A29">
            <w:pPr>
              <w:pStyle w:val="ConsPlusNormal"/>
              <w:jc w:val="right"/>
            </w:pPr>
            <w:r>
              <w:t>-</w:t>
            </w:r>
          </w:p>
        </w:tc>
        <w:tc>
          <w:tcPr>
            <w:tcW w:w="1304" w:type="dxa"/>
            <w:vAlign w:val="center"/>
          </w:tcPr>
          <w:p w14:paraId="4E2F7821" w14:textId="77777777" w:rsidR="00454A29" w:rsidRDefault="00454A29">
            <w:pPr>
              <w:pStyle w:val="ConsPlusNormal"/>
              <w:jc w:val="right"/>
            </w:pPr>
            <w:r>
              <w:t>-</w:t>
            </w:r>
          </w:p>
        </w:tc>
        <w:tc>
          <w:tcPr>
            <w:tcW w:w="1304" w:type="dxa"/>
            <w:vAlign w:val="center"/>
          </w:tcPr>
          <w:p w14:paraId="0E207A89" w14:textId="77777777" w:rsidR="00454A29" w:rsidRDefault="00454A29">
            <w:pPr>
              <w:pStyle w:val="ConsPlusNormal"/>
              <w:jc w:val="right"/>
            </w:pPr>
            <w:r>
              <w:t>-</w:t>
            </w:r>
          </w:p>
        </w:tc>
        <w:tc>
          <w:tcPr>
            <w:tcW w:w="1304" w:type="dxa"/>
            <w:vAlign w:val="center"/>
          </w:tcPr>
          <w:p w14:paraId="0F098681" w14:textId="77777777" w:rsidR="00454A29" w:rsidRDefault="00454A29">
            <w:pPr>
              <w:pStyle w:val="ConsPlusNormal"/>
              <w:jc w:val="right"/>
            </w:pPr>
            <w:r>
              <w:t>-</w:t>
            </w:r>
          </w:p>
        </w:tc>
        <w:tc>
          <w:tcPr>
            <w:tcW w:w="1304" w:type="dxa"/>
            <w:vAlign w:val="center"/>
          </w:tcPr>
          <w:p w14:paraId="7B79C732" w14:textId="77777777" w:rsidR="00454A29" w:rsidRDefault="00454A29">
            <w:pPr>
              <w:pStyle w:val="ConsPlusNormal"/>
              <w:jc w:val="right"/>
            </w:pPr>
            <w:r>
              <w:t>-</w:t>
            </w:r>
          </w:p>
        </w:tc>
      </w:tr>
      <w:tr w:rsidR="00454A29" w14:paraId="45D69019" w14:textId="77777777">
        <w:tc>
          <w:tcPr>
            <w:tcW w:w="2041" w:type="dxa"/>
            <w:vMerge/>
          </w:tcPr>
          <w:p w14:paraId="4DCF03A8" w14:textId="77777777" w:rsidR="00454A29" w:rsidRDefault="00454A29"/>
        </w:tc>
        <w:tc>
          <w:tcPr>
            <w:tcW w:w="3005" w:type="dxa"/>
            <w:vMerge/>
          </w:tcPr>
          <w:p w14:paraId="19CC20CC" w14:textId="77777777" w:rsidR="00454A29" w:rsidRDefault="00454A29"/>
        </w:tc>
        <w:tc>
          <w:tcPr>
            <w:tcW w:w="2778" w:type="dxa"/>
            <w:vAlign w:val="center"/>
          </w:tcPr>
          <w:p w14:paraId="4712E0A4" w14:textId="77777777" w:rsidR="00454A29" w:rsidRDefault="00454A29">
            <w:pPr>
              <w:pStyle w:val="ConsPlusNormal"/>
            </w:pPr>
            <w:r>
              <w:t>Местные бюджеты</w:t>
            </w:r>
          </w:p>
        </w:tc>
        <w:tc>
          <w:tcPr>
            <w:tcW w:w="1304" w:type="dxa"/>
            <w:vAlign w:val="center"/>
          </w:tcPr>
          <w:p w14:paraId="3A40C5B3" w14:textId="77777777" w:rsidR="00454A29" w:rsidRDefault="00454A29">
            <w:pPr>
              <w:pStyle w:val="ConsPlusNormal"/>
              <w:jc w:val="right"/>
            </w:pPr>
            <w:r>
              <w:t>-</w:t>
            </w:r>
          </w:p>
        </w:tc>
        <w:tc>
          <w:tcPr>
            <w:tcW w:w="1247" w:type="dxa"/>
            <w:vAlign w:val="center"/>
          </w:tcPr>
          <w:p w14:paraId="61ED40DD" w14:textId="77777777" w:rsidR="00454A29" w:rsidRDefault="00454A29">
            <w:pPr>
              <w:pStyle w:val="ConsPlusNormal"/>
              <w:jc w:val="right"/>
            </w:pPr>
            <w:r>
              <w:t>-</w:t>
            </w:r>
          </w:p>
        </w:tc>
        <w:tc>
          <w:tcPr>
            <w:tcW w:w="1304" w:type="dxa"/>
            <w:vAlign w:val="center"/>
          </w:tcPr>
          <w:p w14:paraId="65DE3A25" w14:textId="77777777" w:rsidR="00454A29" w:rsidRDefault="00454A29">
            <w:pPr>
              <w:pStyle w:val="ConsPlusNormal"/>
              <w:jc w:val="right"/>
            </w:pPr>
            <w:r>
              <w:t>-</w:t>
            </w:r>
          </w:p>
        </w:tc>
        <w:tc>
          <w:tcPr>
            <w:tcW w:w="1304" w:type="dxa"/>
            <w:vAlign w:val="center"/>
          </w:tcPr>
          <w:p w14:paraId="196991CF" w14:textId="77777777" w:rsidR="00454A29" w:rsidRDefault="00454A29">
            <w:pPr>
              <w:pStyle w:val="ConsPlusNormal"/>
              <w:jc w:val="right"/>
            </w:pPr>
            <w:r>
              <w:t>-</w:t>
            </w:r>
          </w:p>
        </w:tc>
        <w:tc>
          <w:tcPr>
            <w:tcW w:w="1304" w:type="dxa"/>
            <w:vAlign w:val="center"/>
          </w:tcPr>
          <w:p w14:paraId="020B690D" w14:textId="77777777" w:rsidR="00454A29" w:rsidRDefault="00454A29">
            <w:pPr>
              <w:pStyle w:val="ConsPlusNormal"/>
              <w:jc w:val="right"/>
            </w:pPr>
            <w:r>
              <w:t>-</w:t>
            </w:r>
          </w:p>
        </w:tc>
        <w:tc>
          <w:tcPr>
            <w:tcW w:w="1304" w:type="dxa"/>
            <w:vAlign w:val="center"/>
          </w:tcPr>
          <w:p w14:paraId="0AC9C9B4" w14:textId="77777777" w:rsidR="00454A29" w:rsidRDefault="00454A29">
            <w:pPr>
              <w:pStyle w:val="ConsPlusNormal"/>
              <w:jc w:val="right"/>
            </w:pPr>
            <w:r>
              <w:t>-</w:t>
            </w:r>
          </w:p>
        </w:tc>
        <w:tc>
          <w:tcPr>
            <w:tcW w:w="1304" w:type="dxa"/>
            <w:vAlign w:val="center"/>
          </w:tcPr>
          <w:p w14:paraId="7A4BB7C9" w14:textId="77777777" w:rsidR="00454A29" w:rsidRDefault="00454A29">
            <w:pPr>
              <w:pStyle w:val="ConsPlusNormal"/>
              <w:jc w:val="right"/>
            </w:pPr>
            <w:r>
              <w:t>-</w:t>
            </w:r>
          </w:p>
        </w:tc>
      </w:tr>
      <w:tr w:rsidR="00454A29" w14:paraId="2736FF81" w14:textId="77777777">
        <w:tc>
          <w:tcPr>
            <w:tcW w:w="2041" w:type="dxa"/>
            <w:vMerge/>
          </w:tcPr>
          <w:p w14:paraId="5362E3FA" w14:textId="77777777" w:rsidR="00454A29" w:rsidRDefault="00454A29"/>
        </w:tc>
        <w:tc>
          <w:tcPr>
            <w:tcW w:w="3005" w:type="dxa"/>
            <w:vMerge/>
          </w:tcPr>
          <w:p w14:paraId="13D0BFF2" w14:textId="77777777" w:rsidR="00454A29" w:rsidRDefault="00454A29"/>
        </w:tc>
        <w:tc>
          <w:tcPr>
            <w:tcW w:w="2778" w:type="dxa"/>
            <w:vAlign w:val="center"/>
          </w:tcPr>
          <w:p w14:paraId="4A605D63" w14:textId="77777777" w:rsidR="00454A29" w:rsidRDefault="00454A29">
            <w:pPr>
              <w:pStyle w:val="ConsPlusNormal"/>
            </w:pPr>
            <w:r>
              <w:t>Внебюджетные средства</w:t>
            </w:r>
          </w:p>
        </w:tc>
        <w:tc>
          <w:tcPr>
            <w:tcW w:w="1304" w:type="dxa"/>
            <w:vAlign w:val="center"/>
          </w:tcPr>
          <w:p w14:paraId="6DEB7AD3" w14:textId="77777777" w:rsidR="00454A29" w:rsidRDefault="00454A29">
            <w:pPr>
              <w:pStyle w:val="ConsPlusNormal"/>
              <w:jc w:val="right"/>
            </w:pPr>
            <w:r>
              <w:t>-</w:t>
            </w:r>
          </w:p>
        </w:tc>
        <w:tc>
          <w:tcPr>
            <w:tcW w:w="1247" w:type="dxa"/>
            <w:vAlign w:val="center"/>
          </w:tcPr>
          <w:p w14:paraId="7DD3E503" w14:textId="77777777" w:rsidR="00454A29" w:rsidRDefault="00454A29">
            <w:pPr>
              <w:pStyle w:val="ConsPlusNormal"/>
              <w:jc w:val="right"/>
            </w:pPr>
            <w:r>
              <w:t>-</w:t>
            </w:r>
          </w:p>
        </w:tc>
        <w:tc>
          <w:tcPr>
            <w:tcW w:w="1304" w:type="dxa"/>
            <w:vAlign w:val="center"/>
          </w:tcPr>
          <w:p w14:paraId="4505A7BD" w14:textId="77777777" w:rsidR="00454A29" w:rsidRDefault="00454A29">
            <w:pPr>
              <w:pStyle w:val="ConsPlusNormal"/>
              <w:jc w:val="right"/>
            </w:pPr>
            <w:r>
              <w:t>-</w:t>
            </w:r>
          </w:p>
        </w:tc>
        <w:tc>
          <w:tcPr>
            <w:tcW w:w="1304" w:type="dxa"/>
            <w:vAlign w:val="center"/>
          </w:tcPr>
          <w:p w14:paraId="0500DD0C" w14:textId="77777777" w:rsidR="00454A29" w:rsidRDefault="00454A29">
            <w:pPr>
              <w:pStyle w:val="ConsPlusNormal"/>
              <w:jc w:val="right"/>
            </w:pPr>
            <w:r>
              <w:t>-</w:t>
            </w:r>
          </w:p>
        </w:tc>
        <w:tc>
          <w:tcPr>
            <w:tcW w:w="1304" w:type="dxa"/>
            <w:vAlign w:val="center"/>
          </w:tcPr>
          <w:p w14:paraId="0D2CD19B" w14:textId="77777777" w:rsidR="00454A29" w:rsidRDefault="00454A29">
            <w:pPr>
              <w:pStyle w:val="ConsPlusNormal"/>
              <w:jc w:val="right"/>
            </w:pPr>
            <w:r>
              <w:t>-</w:t>
            </w:r>
          </w:p>
        </w:tc>
        <w:tc>
          <w:tcPr>
            <w:tcW w:w="1304" w:type="dxa"/>
            <w:vAlign w:val="center"/>
          </w:tcPr>
          <w:p w14:paraId="0B71DC49" w14:textId="77777777" w:rsidR="00454A29" w:rsidRDefault="00454A29">
            <w:pPr>
              <w:pStyle w:val="ConsPlusNormal"/>
              <w:jc w:val="right"/>
            </w:pPr>
            <w:r>
              <w:t>-</w:t>
            </w:r>
          </w:p>
        </w:tc>
        <w:tc>
          <w:tcPr>
            <w:tcW w:w="1304" w:type="dxa"/>
            <w:vAlign w:val="center"/>
          </w:tcPr>
          <w:p w14:paraId="2A1CA01B" w14:textId="77777777" w:rsidR="00454A29" w:rsidRDefault="00454A29">
            <w:pPr>
              <w:pStyle w:val="ConsPlusNormal"/>
              <w:jc w:val="right"/>
            </w:pPr>
            <w:r>
              <w:t>-</w:t>
            </w:r>
          </w:p>
        </w:tc>
      </w:tr>
      <w:tr w:rsidR="00454A29" w14:paraId="20541AC3" w14:textId="77777777">
        <w:tc>
          <w:tcPr>
            <w:tcW w:w="2041" w:type="dxa"/>
            <w:vMerge w:val="restart"/>
            <w:vAlign w:val="center"/>
          </w:tcPr>
          <w:p w14:paraId="03F4CD96" w14:textId="77777777" w:rsidR="00454A29" w:rsidRDefault="00454A29">
            <w:pPr>
              <w:pStyle w:val="ConsPlusNormal"/>
              <w:jc w:val="center"/>
            </w:pPr>
            <w:r>
              <w:t>Основное мероприятие 6.1.</w:t>
            </w:r>
          </w:p>
        </w:tc>
        <w:tc>
          <w:tcPr>
            <w:tcW w:w="3005" w:type="dxa"/>
            <w:vMerge w:val="restart"/>
            <w:vAlign w:val="center"/>
          </w:tcPr>
          <w:p w14:paraId="617F9F2C" w14:textId="77777777" w:rsidR="00454A29" w:rsidRDefault="00454A29">
            <w:pPr>
              <w:pStyle w:val="ConsPlusNormal"/>
              <w:jc w:val="center"/>
            </w:pPr>
            <w:r>
              <w:t xml:space="preserve">Разработка и реализация комплекса мер по организации отдыха, </w:t>
            </w:r>
            <w:r>
              <w:lastRenderedPageBreak/>
              <w:t>оздоровления и занятости детей</w:t>
            </w:r>
          </w:p>
        </w:tc>
        <w:tc>
          <w:tcPr>
            <w:tcW w:w="2778" w:type="dxa"/>
            <w:vAlign w:val="center"/>
          </w:tcPr>
          <w:p w14:paraId="780A5736" w14:textId="77777777" w:rsidR="00454A29" w:rsidRDefault="00454A29">
            <w:pPr>
              <w:pStyle w:val="ConsPlusNormal"/>
            </w:pPr>
            <w:r>
              <w:lastRenderedPageBreak/>
              <w:t>Всего:</w:t>
            </w:r>
          </w:p>
        </w:tc>
        <w:tc>
          <w:tcPr>
            <w:tcW w:w="1304" w:type="dxa"/>
            <w:vAlign w:val="center"/>
          </w:tcPr>
          <w:p w14:paraId="3FC0B8F7" w14:textId="77777777" w:rsidR="00454A29" w:rsidRDefault="00454A29">
            <w:pPr>
              <w:pStyle w:val="ConsPlusNormal"/>
              <w:jc w:val="right"/>
            </w:pPr>
            <w:r>
              <w:t>148 756</w:t>
            </w:r>
          </w:p>
        </w:tc>
        <w:tc>
          <w:tcPr>
            <w:tcW w:w="1247" w:type="dxa"/>
            <w:vAlign w:val="center"/>
          </w:tcPr>
          <w:p w14:paraId="5F84A96E" w14:textId="77777777" w:rsidR="00454A29" w:rsidRDefault="00454A29">
            <w:pPr>
              <w:pStyle w:val="ConsPlusNormal"/>
              <w:jc w:val="right"/>
            </w:pPr>
            <w:r>
              <w:t>148 756</w:t>
            </w:r>
          </w:p>
        </w:tc>
        <w:tc>
          <w:tcPr>
            <w:tcW w:w="1304" w:type="dxa"/>
            <w:vAlign w:val="center"/>
          </w:tcPr>
          <w:p w14:paraId="7F64C8A8" w14:textId="77777777" w:rsidR="00454A29" w:rsidRDefault="00454A29">
            <w:pPr>
              <w:pStyle w:val="ConsPlusNormal"/>
              <w:jc w:val="right"/>
            </w:pPr>
            <w:r>
              <w:t>148 756</w:t>
            </w:r>
          </w:p>
        </w:tc>
        <w:tc>
          <w:tcPr>
            <w:tcW w:w="1304" w:type="dxa"/>
            <w:vAlign w:val="center"/>
          </w:tcPr>
          <w:p w14:paraId="5872E438" w14:textId="77777777" w:rsidR="00454A29" w:rsidRDefault="00454A29">
            <w:pPr>
              <w:pStyle w:val="ConsPlusNormal"/>
              <w:jc w:val="right"/>
            </w:pPr>
            <w:r>
              <w:t>149 786</w:t>
            </w:r>
          </w:p>
        </w:tc>
        <w:tc>
          <w:tcPr>
            <w:tcW w:w="1304" w:type="dxa"/>
            <w:vAlign w:val="center"/>
          </w:tcPr>
          <w:p w14:paraId="4AAA16AE" w14:textId="77777777" w:rsidR="00454A29" w:rsidRDefault="00454A29">
            <w:pPr>
              <w:pStyle w:val="ConsPlusNormal"/>
              <w:jc w:val="right"/>
            </w:pPr>
            <w:r>
              <w:t>149 786</w:t>
            </w:r>
          </w:p>
        </w:tc>
        <w:tc>
          <w:tcPr>
            <w:tcW w:w="1304" w:type="dxa"/>
            <w:vAlign w:val="center"/>
          </w:tcPr>
          <w:p w14:paraId="7A34DEFC" w14:textId="77777777" w:rsidR="00454A29" w:rsidRDefault="00454A29">
            <w:pPr>
              <w:pStyle w:val="ConsPlusNormal"/>
              <w:jc w:val="right"/>
            </w:pPr>
            <w:r>
              <w:t>-</w:t>
            </w:r>
          </w:p>
        </w:tc>
        <w:tc>
          <w:tcPr>
            <w:tcW w:w="1304" w:type="dxa"/>
            <w:vAlign w:val="center"/>
          </w:tcPr>
          <w:p w14:paraId="595B5837" w14:textId="77777777" w:rsidR="00454A29" w:rsidRDefault="00454A29">
            <w:pPr>
              <w:pStyle w:val="ConsPlusNormal"/>
              <w:jc w:val="right"/>
            </w:pPr>
            <w:r>
              <w:t>-</w:t>
            </w:r>
          </w:p>
        </w:tc>
      </w:tr>
      <w:tr w:rsidR="00454A29" w14:paraId="4A318A07" w14:textId="77777777">
        <w:tc>
          <w:tcPr>
            <w:tcW w:w="2041" w:type="dxa"/>
            <w:vMerge/>
          </w:tcPr>
          <w:p w14:paraId="55936A14" w14:textId="77777777" w:rsidR="00454A29" w:rsidRDefault="00454A29"/>
        </w:tc>
        <w:tc>
          <w:tcPr>
            <w:tcW w:w="3005" w:type="dxa"/>
            <w:vMerge/>
          </w:tcPr>
          <w:p w14:paraId="135966CC" w14:textId="77777777" w:rsidR="00454A29" w:rsidRDefault="00454A29"/>
        </w:tc>
        <w:tc>
          <w:tcPr>
            <w:tcW w:w="2778" w:type="dxa"/>
            <w:vAlign w:val="center"/>
          </w:tcPr>
          <w:p w14:paraId="67C9584E" w14:textId="77777777" w:rsidR="00454A29" w:rsidRDefault="00454A29">
            <w:pPr>
              <w:pStyle w:val="ConsPlusNormal"/>
            </w:pPr>
            <w:r>
              <w:t>Государственный бюджет Республики Саха (Якутия)</w:t>
            </w:r>
          </w:p>
        </w:tc>
        <w:tc>
          <w:tcPr>
            <w:tcW w:w="1304" w:type="dxa"/>
            <w:vAlign w:val="center"/>
          </w:tcPr>
          <w:p w14:paraId="324D8B05" w14:textId="77777777" w:rsidR="00454A29" w:rsidRDefault="00454A29">
            <w:pPr>
              <w:pStyle w:val="ConsPlusNormal"/>
              <w:jc w:val="right"/>
            </w:pPr>
            <w:r>
              <w:t>148 756</w:t>
            </w:r>
          </w:p>
        </w:tc>
        <w:tc>
          <w:tcPr>
            <w:tcW w:w="1247" w:type="dxa"/>
            <w:vAlign w:val="center"/>
          </w:tcPr>
          <w:p w14:paraId="63DAFAC2" w14:textId="77777777" w:rsidR="00454A29" w:rsidRDefault="00454A29">
            <w:pPr>
              <w:pStyle w:val="ConsPlusNormal"/>
              <w:jc w:val="right"/>
            </w:pPr>
            <w:r>
              <w:t>148 756</w:t>
            </w:r>
          </w:p>
        </w:tc>
        <w:tc>
          <w:tcPr>
            <w:tcW w:w="1304" w:type="dxa"/>
            <w:vAlign w:val="center"/>
          </w:tcPr>
          <w:p w14:paraId="62D2CA4D" w14:textId="77777777" w:rsidR="00454A29" w:rsidRDefault="00454A29">
            <w:pPr>
              <w:pStyle w:val="ConsPlusNormal"/>
              <w:jc w:val="right"/>
            </w:pPr>
            <w:r>
              <w:t>148 756</w:t>
            </w:r>
          </w:p>
        </w:tc>
        <w:tc>
          <w:tcPr>
            <w:tcW w:w="1304" w:type="dxa"/>
            <w:vAlign w:val="center"/>
          </w:tcPr>
          <w:p w14:paraId="4BA7E668" w14:textId="77777777" w:rsidR="00454A29" w:rsidRDefault="00454A29">
            <w:pPr>
              <w:pStyle w:val="ConsPlusNormal"/>
              <w:jc w:val="right"/>
            </w:pPr>
            <w:r>
              <w:t>149 786</w:t>
            </w:r>
          </w:p>
        </w:tc>
        <w:tc>
          <w:tcPr>
            <w:tcW w:w="1304" w:type="dxa"/>
            <w:vAlign w:val="center"/>
          </w:tcPr>
          <w:p w14:paraId="033EF5FB" w14:textId="77777777" w:rsidR="00454A29" w:rsidRDefault="00454A29">
            <w:pPr>
              <w:pStyle w:val="ConsPlusNormal"/>
              <w:jc w:val="right"/>
            </w:pPr>
            <w:r>
              <w:t>149 786</w:t>
            </w:r>
          </w:p>
        </w:tc>
        <w:tc>
          <w:tcPr>
            <w:tcW w:w="1304" w:type="dxa"/>
            <w:vAlign w:val="center"/>
          </w:tcPr>
          <w:p w14:paraId="216F5BA1" w14:textId="77777777" w:rsidR="00454A29" w:rsidRDefault="00454A29">
            <w:pPr>
              <w:pStyle w:val="ConsPlusNormal"/>
              <w:jc w:val="right"/>
            </w:pPr>
            <w:r>
              <w:t>-</w:t>
            </w:r>
          </w:p>
        </w:tc>
        <w:tc>
          <w:tcPr>
            <w:tcW w:w="1304" w:type="dxa"/>
            <w:vAlign w:val="center"/>
          </w:tcPr>
          <w:p w14:paraId="481AE0DE" w14:textId="77777777" w:rsidR="00454A29" w:rsidRDefault="00454A29">
            <w:pPr>
              <w:pStyle w:val="ConsPlusNormal"/>
              <w:jc w:val="right"/>
            </w:pPr>
            <w:r>
              <w:t>-</w:t>
            </w:r>
          </w:p>
        </w:tc>
      </w:tr>
      <w:tr w:rsidR="00454A29" w14:paraId="71E99DC1" w14:textId="77777777">
        <w:tc>
          <w:tcPr>
            <w:tcW w:w="2041" w:type="dxa"/>
            <w:vMerge/>
          </w:tcPr>
          <w:p w14:paraId="6988FF2A" w14:textId="77777777" w:rsidR="00454A29" w:rsidRDefault="00454A29"/>
        </w:tc>
        <w:tc>
          <w:tcPr>
            <w:tcW w:w="3005" w:type="dxa"/>
            <w:vMerge/>
          </w:tcPr>
          <w:p w14:paraId="47B1D92E" w14:textId="77777777" w:rsidR="00454A29" w:rsidRDefault="00454A29"/>
        </w:tc>
        <w:tc>
          <w:tcPr>
            <w:tcW w:w="2778" w:type="dxa"/>
            <w:vAlign w:val="center"/>
          </w:tcPr>
          <w:p w14:paraId="0CE59B45" w14:textId="77777777" w:rsidR="00454A29" w:rsidRDefault="00454A29">
            <w:pPr>
              <w:pStyle w:val="ConsPlusNormal"/>
            </w:pPr>
            <w:r>
              <w:t>Федеральный бюджет</w:t>
            </w:r>
          </w:p>
        </w:tc>
        <w:tc>
          <w:tcPr>
            <w:tcW w:w="1304" w:type="dxa"/>
            <w:vAlign w:val="center"/>
          </w:tcPr>
          <w:p w14:paraId="5F826C93" w14:textId="77777777" w:rsidR="00454A29" w:rsidRDefault="00454A29">
            <w:pPr>
              <w:pStyle w:val="ConsPlusNormal"/>
            </w:pPr>
          </w:p>
        </w:tc>
        <w:tc>
          <w:tcPr>
            <w:tcW w:w="1247" w:type="dxa"/>
            <w:vAlign w:val="center"/>
          </w:tcPr>
          <w:p w14:paraId="298C1A52" w14:textId="77777777" w:rsidR="00454A29" w:rsidRDefault="00454A29">
            <w:pPr>
              <w:pStyle w:val="ConsPlusNormal"/>
            </w:pPr>
          </w:p>
        </w:tc>
        <w:tc>
          <w:tcPr>
            <w:tcW w:w="1304" w:type="dxa"/>
            <w:vAlign w:val="center"/>
          </w:tcPr>
          <w:p w14:paraId="7EDA8A3C" w14:textId="77777777" w:rsidR="00454A29" w:rsidRDefault="00454A29">
            <w:pPr>
              <w:pStyle w:val="ConsPlusNormal"/>
            </w:pPr>
          </w:p>
        </w:tc>
        <w:tc>
          <w:tcPr>
            <w:tcW w:w="1304" w:type="dxa"/>
            <w:vAlign w:val="center"/>
          </w:tcPr>
          <w:p w14:paraId="20F626D2" w14:textId="77777777" w:rsidR="00454A29" w:rsidRDefault="00454A29">
            <w:pPr>
              <w:pStyle w:val="ConsPlusNormal"/>
            </w:pPr>
          </w:p>
        </w:tc>
        <w:tc>
          <w:tcPr>
            <w:tcW w:w="1304" w:type="dxa"/>
            <w:vAlign w:val="center"/>
          </w:tcPr>
          <w:p w14:paraId="1E3C060E" w14:textId="77777777" w:rsidR="00454A29" w:rsidRDefault="00454A29">
            <w:pPr>
              <w:pStyle w:val="ConsPlusNormal"/>
            </w:pPr>
          </w:p>
        </w:tc>
        <w:tc>
          <w:tcPr>
            <w:tcW w:w="1304" w:type="dxa"/>
            <w:vAlign w:val="center"/>
          </w:tcPr>
          <w:p w14:paraId="7FC110A9" w14:textId="77777777" w:rsidR="00454A29" w:rsidRDefault="00454A29">
            <w:pPr>
              <w:pStyle w:val="ConsPlusNormal"/>
            </w:pPr>
          </w:p>
        </w:tc>
        <w:tc>
          <w:tcPr>
            <w:tcW w:w="1304" w:type="dxa"/>
            <w:vAlign w:val="center"/>
          </w:tcPr>
          <w:p w14:paraId="2CA931D6" w14:textId="77777777" w:rsidR="00454A29" w:rsidRDefault="00454A29">
            <w:pPr>
              <w:pStyle w:val="ConsPlusNormal"/>
            </w:pPr>
          </w:p>
        </w:tc>
      </w:tr>
      <w:tr w:rsidR="00454A29" w14:paraId="47285BBA" w14:textId="77777777">
        <w:tc>
          <w:tcPr>
            <w:tcW w:w="2041" w:type="dxa"/>
            <w:vMerge/>
          </w:tcPr>
          <w:p w14:paraId="2A55EC1A" w14:textId="77777777" w:rsidR="00454A29" w:rsidRDefault="00454A29"/>
        </w:tc>
        <w:tc>
          <w:tcPr>
            <w:tcW w:w="3005" w:type="dxa"/>
            <w:vMerge/>
          </w:tcPr>
          <w:p w14:paraId="3D4F6601" w14:textId="77777777" w:rsidR="00454A29" w:rsidRDefault="00454A29"/>
        </w:tc>
        <w:tc>
          <w:tcPr>
            <w:tcW w:w="2778" w:type="dxa"/>
            <w:vAlign w:val="center"/>
          </w:tcPr>
          <w:p w14:paraId="2A0915EC" w14:textId="77777777" w:rsidR="00454A29" w:rsidRDefault="00454A29">
            <w:pPr>
              <w:pStyle w:val="ConsPlusNormal"/>
            </w:pPr>
            <w:r>
              <w:t>Местные бюджеты</w:t>
            </w:r>
          </w:p>
        </w:tc>
        <w:tc>
          <w:tcPr>
            <w:tcW w:w="1304" w:type="dxa"/>
            <w:vAlign w:val="center"/>
          </w:tcPr>
          <w:p w14:paraId="399AC53E" w14:textId="77777777" w:rsidR="00454A29" w:rsidRDefault="00454A29">
            <w:pPr>
              <w:pStyle w:val="ConsPlusNormal"/>
            </w:pPr>
          </w:p>
        </w:tc>
        <w:tc>
          <w:tcPr>
            <w:tcW w:w="1247" w:type="dxa"/>
            <w:vAlign w:val="center"/>
          </w:tcPr>
          <w:p w14:paraId="018DB272" w14:textId="77777777" w:rsidR="00454A29" w:rsidRDefault="00454A29">
            <w:pPr>
              <w:pStyle w:val="ConsPlusNormal"/>
            </w:pPr>
          </w:p>
        </w:tc>
        <w:tc>
          <w:tcPr>
            <w:tcW w:w="1304" w:type="dxa"/>
            <w:vAlign w:val="center"/>
          </w:tcPr>
          <w:p w14:paraId="34036780" w14:textId="77777777" w:rsidR="00454A29" w:rsidRDefault="00454A29">
            <w:pPr>
              <w:pStyle w:val="ConsPlusNormal"/>
            </w:pPr>
          </w:p>
        </w:tc>
        <w:tc>
          <w:tcPr>
            <w:tcW w:w="1304" w:type="dxa"/>
            <w:vAlign w:val="center"/>
          </w:tcPr>
          <w:p w14:paraId="01A67A2A" w14:textId="77777777" w:rsidR="00454A29" w:rsidRDefault="00454A29">
            <w:pPr>
              <w:pStyle w:val="ConsPlusNormal"/>
            </w:pPr>
          </w:p>
        </w:tc>
        <w:tc>
          <w:tcPr>
            <w:tcW w:w="1304" w:type="dxa"/>
            <w:vAlign w:val="center"/>
          </w:tcPr>
          <w:p w14:paraId="6AA94202" w14:textId="77777777" w:rsidR="00454A29" w:rsidRDefault="00454A29">
            <w:pPr>
              <w:pStyle w:val="ConsPlusNormal"/>
            </w:pPr>
          </w:p>
        </w:tc>
        <w:tc>
          <w:tcPr>
            <w:tcW w:w="1304" w:type="dxa"/>
            <w:vAlign w:val="center"/>
          </w:tcPr>
          <w:p w14:paraId="7A563761" w14:textId="77777777" w:rsidR="00454A29" w:rsidRDefault="00454A29">
            <w:pPr>
              <w:pStyle w:val="ConsPlusNormal"/>
            </w:pPr>
          </w:p>
        </w:tc>
        <w:tc>
          <w:tcPr>
            <w:tcW w:w="1304" w:type="dxa"/>
            <w:vAlign w:val="center"/>
          </w:tcPr>
          <w:p w14:paraId="58978078" w14:textId="77777777" w:rsidR="00454A29" w:rsidRDefault="00454A29">
            <w:pPr>
              <w:pStyle w:val="ConsPlusNormal"/>
            </w:pPr>
          </w:p>
        </w:tc>
      </w:tr>
      <w:tr w:rsidR="00454A29" w14:paraId="3BF450C0" w14:textId="77777777">
        <w:tc>
          <w:tcPr>
            <w:tcW w:w="2041" w:type="dxa"/>
            <w:vMerge/>
          </w:tcPr>
          <w:p w14:paraId="7253CA21" w14:textId="77777777" w:rsidR="00454A29" w:rsidRDefault="00454A29"/>
        </w:tc>
        <w:tc>
          <w:tcPr>
            <w:tcW w:w="3005" w:type="dxa"/>
            <w:vMerge/>
          </w:tcPr>
          <w:p w14:paraId="137E52D8" w14:textId="77777777" w:rsidR="00454A29" w:rsidRDefault="00454A29"/>
        </w:tc>
        <w:tc>
          <w:tcPr>
            <w:tcW w:w="2778" w:type="dxa"/>
            <w:vAlign w:val="center"/>
          </w:tcPr>
          <w:p w14:paraId="703CEFDF" w14:textId="77777777" w:rsidR="00454A29" w:rsidRDefault="00454A29">
            <w:pPr>
              <w:pStyle w:val="ConsPlusNormal"/>
            </w:pPr>
            <w:r>
              <w:t>Внебюджетные средства</w:t>
            </w:r>
          </w:p>
        </w:tc>
        <w:tc>
          <w:tcPr>
            <w:tcW w:w="1304" w:type="dxa"/>
            <w:vAlign w:val="center"/>
          </w:tcPr>
          <w:p w14:paraId="6CCB422F" w14:textId="77777777" w:rsidR="00454A29" w:rsidRDefault="00454A29">
            <w:pPr>
              <w:pStyle w:val="ConsPlusNormal"/>
            </w:pPr>
          </w:p>
        </w:tc>
        <w:tc>
          <w:tcPr>
            <w:tcW w:w="1247" w:type="dxa"/>
            <w:vAlign w:val="center"/>
          </w:tcPr>
          <w:p w14:paraId="4CB6EECC" w14:textId="77777777" w:rsidR="00454A29" w:rsidRDefault="00454A29">
            <w:pPr>
              <w:pStyle w:val="ConsPlusNormal"/>
            </w:pPr>
          </w:p>
        </w:tc>
        <w:tc>
          <w:tcPr>
            <w:tcW w:w="1304" w:type="dxa"/>
            <w:vAlign w:val="center"/>
          </w:tcPr>
          <w:p w14:paraId="20F3ED57" w14:textId="77777777" w:rsidR="00454A29" w:rsidRDefault="00454A29">
            <w:pPr>
              <w:pStyle w:val="ConsPlusNormal"/>
            </w:pPr>
          </w:p>
        </w:tc>
        <w:tc>
          <w:tcPr>
            <w:tcW w:w="1304" w:type="dxa"/>
            <w:vAlign w:val="center"/>
          </w:tcPr>
          <w:p w14:paraId="48E4E54B" w14:textId="77777777" w:rsidR="00454A29" w:rsidRDefault="00454A29">
            <w:pPr>
              <w:pStyle w:val="ConsPlusNormal"/>
            </w:pPr>
          </w:p>
        </w:tc>
        <w:tc>
          <w:tcPr>
            <w:tcW w:w="1304" w:type="dxa"/>
            <w:vAlign w:val="center"/>
          </w:tcPr>
          <w:p w14:paraId="103D3B0D" w14:textId="77777777" w:rsidR="00454A29" w:rsidRDefault="00454A29">
            <w:pPr>
              <w:pStyle w:val="ConsPlusNormal"/>
            </w:pPr>
          </w:p>
        </w:tc>
        <w:tc>
          <w:tcPr>
            <w:tcW w:w="1304" w:type="dxa"/>
            <w:vAlign w:val="center"/>
          </w:tcPr>
          <w:p w14:paraId="180F1C2B" w14:textId="77777777" w:rsidR="00454A29" w:rsidRDefault="00454A29">
            <w:pPr>
              <w:pStyle w:val="ConsPlusNormal"/>
            </w:pPr>
          </w:p>
        </w:tc>
        <w:tc>
          <w:tcPr>
            <w:tcW w:w="1304" w:type="dxa"/>
            <w:vAlign w:val="center"/>
          </w:tcPr>
          <w:p w14:paraId="16B86B2D" w14:textId="77777777" w:rsidR="00454A29" w:rsidRDefault="00454A29">
            <w:pPr>
              <w:pStyle w:val="ConsPlusNormal"/>
            </w:pPr>
          </w:p>
        </w:tc>
      </w:tr>
      <w:tr w:rsidR="00454A29" w14:paraId="6E956987" w14:textId="77777777">
        <w:tc>
          <w:tcPr>
            <w:tcW w:w="2041" w:type="dxa"/>
            <w:vMerge w:val="restart"/>
            <w:vAlign w:val="center"/>
          </w:tcPr>
          <w:p w14:paraId="26CAA075" w14:textId="77777777" w:rsidR="00454A29" w:rsidRDefault="00454A29">
            <w:pPr>
              <w:pStyle w:val="ConsPlusNormal"/>
              <w:jc w:val="center"/>
            </w:pPr>
            <w:r>
              <w:t>Основное мероприятие 6.2.</w:t>
            </w:r>
          </w:p>
        </w:tc>
        <w:tc>
          <w:tcPr>
            <w:tcW w:w="3005" w:type="dxa"/>
            <w:vMerge w:val="restart"/>
            <w:vAlign w:val="center"/>
          </w:tcPr>
          <w:p w14:paraId="467A5FA7" w14:textId="77777777" w:rsidR="00454A29" w:rsidRDefault="00454A29">
            <w:pPr>
              <w:pStyle w:val="ConsPlusNormal"/>
              <w:jc w:val="center"/>
            </w:pPr>
            <w:r>
              <w:t>Обеспечение инфраструктурой для организации отдыха и оздоровления детей</w:t>
            </w:r>
          </w:p>
        </w:tc>
        <w:tc>
          <w:tcPr>
            <w:tcW w:w="2778" w:type="dxa"/>
            <w:vAlign w:val="center"/>
          </w:tcPr>
          <w:p w14:paraId="5FB45784" w14:textId="77777777" w:rsidR="00454A29" w:rsidRDefault="00454A29">
            <w:pPr>
              <w:pStyle w:val="ConsPlusNormal"/>
            </w:pPr>
            <w:r>
              <w:t>Всего:</w:t>
            </w:r>
          </w:p>
        </w:tc>
        <w:tc>
          <w:tcPr>
            <w:tcW w:w="1304" w:type="dxa"/>
            <w:vAlign w:val="center"/>
          </w:tcPr>
          <w:p w14:paraId="248E5898" w14:textId="77777777" w:rsidR="00454A29" w:rsidRDefault="00454A29">
            <w:pPr>
              <w:pStyle w:val="ConsPlusNormal"/>
              <w:jc w:val="right"/>
            </w:pPr>
            <w:r>
              <w:t>-</w:t>
            </w:r>
          </w:p>
        </w:tc>
        <w:tc>
          <w:tcPr>
            <w:tcW w:w="1247" w:type="dxa"/>
            <w:vAlign w:val="center"/>
          </w:tcPr>
          <w:p w14:paraId="03E97971" w14:textId="77777777" w:rsidR="00454A29" w:rsidRDefault="00454A29">
            <w:pPr>
              <w:pStyle w:val="ConsPlusNormal"/>
              <w:jc w:val="right"/>
            </w:pPr>
            <w:r>
              <w:t>-</w:t>
            </w:r>
          </w:p>
        </w:tc>
        <w:tc>
          <w:tcPr>
            <w:tcW w:w="1304" w:type="dxa"/>
            <w:vAlign w:val="center"/>
          </w:tcPr>
          <w:p w14:paraId="2EE49CB3" w14:textId="77777777" w:rsidR="00454A29" w:rsidRDefault="00454A29">
            <w:pPr>
              <w:pStyle w:val="ConsPlusNormal"/>
              <w:jc w:val="right"/>
            </w:pPr>
            <w:r>
              <w:t>-</w:t>
            </w:r>
          </w:p>
        </w:tc>
        <w:tc>
          <w:tcPr>
            <w:tcW w:w="1304" w:type="dxa"/>
            <w:vAlign w:val="center"/>
          </w:tcPr>
          <w:p w14:paraId="135C3ECB" w14:textId="77777777" w:rsidR="00454A29" w:rsidRDefault="00454A29">
            <w:pPr>
              <w:pStyle w:val="ConsPlusNormal"/>
              <w:jc w:val="right"/>
            </w:pPr>
            <w:r>
              <w:t>-</w:t>
            </w:r>
          </w:p>
        </w:tc>
        <w:tc>
          <w:tcPr>
            <w:tcW w:w="1304" w:type="dxa"/>
            <w:vAlign w:val="center"/>
          </w:tcPr>
          <w:p w14:paraId="54E1BB53" w14:textId="77777777" w:rsidR="00454A29" w:rsidRDefault="00454A29">
            <w:pPr>
              <w:pStyle w:val="ConsPlusNormal"/>
              <w:jc w:val="right"/>
            </w:pPr>
            <w:r>
              <w:t>-</w:t>
            </w:r>
          </w:p>
        </w:tc>
        <w:tc>
          <w:tcPr>
            <w:tcW w:w="1304" w:type="dxa"/>
            <w:vAlign w:val="center"/>
          </w:tcPr>
          <w:p w14:paraId="72DC473A" w14:textId="77777777" w:rsidR="00454A29" w:rsidRDefault="00454A29">
            <w:pPr>
              <w:pStyle w:val="ConsPlusNormal"/>
              <w:jc w:val="right"/>
            </w:pPr>
            <w:r>
              <w:t>-</w:t>
            </w:r>
          </w:p>
        </w:tc>
        <w:tc>
          <w:tcPr>
            <w:tcW w:w="1304" w:type="dxa"/>
            <w:vAlign w:val="center"/>
          </w:tcPr>
          <w:p w14:paraId="07A56161" w14:textId="77777777" w:rsidR="00454A29" w:rsidRDefault="00454A29">
            <w:pPr>
              <w:pStyle w:val="ConsPlusNormal"/>
              <w:jc w:val="right"/>
            </w:pPr>
            <w:r>
              <w:t>-</w:t>
            </w:r>
          </w:p>
        </w:tc>
      </w:tr>
      <w:tr w:rsidR="00454A29" w14:paraId="286F45CE" w14:textId="77777777">
        <w:tc>
          <w:tcPr>
            <w:tcW w:w="2041" w:type="dxa"/>
            <w:vMerge/>
          </w:tcPr>
          <w:p w14:paraId="74FE4F15" w14:textId="77777777" w:rsidR="00454A29" w:rsidRDefault="00454A29"/>
        </w:tc>
        <w:tc>
          <w:tcPr>
            <w:tcW w:w="3005" w:type="dxa"/>
            <w:vMerge/>
          </w:tcPr>
          <w:p w14:paraId="5B2CE053" w14:textId="77777777" w:rsidR="00454A29" w:rsidRDefault="00454A29"/>
        </w:tc>
        <w:tc>
          <w:tcPr>
            <w:tcW w:w="2778" w:type="dxa"/>
            <w:vAlign w:val="center"/>
          </w:tcPr>
          <w:p w14:paraId="63A6A831" w14:textId="77777777" w:rsidR="00454A29" w:rsidRDefault="00454A29">
            <w:pPr>
              <w:pStyle w:val="ConsPlusNormal"/>
            </w:pPr>
            <w:r>
              <w:t>Государственный бюджет Республики Саха (Якутия)</w:t>
            </w:r>
          </w:p>
        </w:tc>
        <w:tc>
          <w:tcPr>
            <w:tcW w:w="1304" w:type="dxa"/>
            <w:vAlign w:val="center"/>
          </w:tcPr>
          <w:p w14:paraId="0B8F4A0D" w14:textId="77777777" w:rsidR="00454A29" w:rsidRDefault="00454A29">
            <w:pPr>
              <w:pStyle w:val="ConsPlusNormal"/>
              <w:jc w:val="right"/>
            </w:pPr>
            <w:r>
              <w:t>-</w:t>
            </w:r>
          </w:p>
        </w:tc>
        <w:tc>
          <w:tcPr>
            <w:tcW w:w="1247" w:type="dxa"/>
            <w:vAlign w:val="center"/>
          </w:tcPr>
          <w:p w14:paraId="13189DEE" w14:textId="77777777" w:rsidR="00454A29" w:rsidRDefault="00454A29">
            <w:pPr>
              <w:pStyle w:val="ConsPlusNormal"/>
              <w:jc w:val="right"/>
            </w:pPr>
            <w:r>
              <w:t>-</w:t>
            </w:r>
          </w:p>
        </w:tc>
        <w:tc>
          <w:tcPr>
            <w:tcW w:w="1304" w:type="dxa"/>
            <w:vAlign w:val="center"/>
          </w:tcPr>
          <w:p w14:paraId="326F78B2" w14:textId="77777777" w:rsidR="00454A29" w:rsidRDefault="00454A29">
            <w:pPr>
              <w:pStyle w:val="ConsPlusNormal"/>
              <w:jc w:val="right"/>
            </w:pPr>
            <w:r>
              <w:t>-</w:t>
            </w:r>
          </w:p>
        </w:tc>
        <w:tc>
          <w:tcPr>
            <w:tcW w:w="1304" w:type="dxa"/>
            <w:vAlign w:val="center"/>
          </w:tcPr>
          <w:p w14:paraId="79761835" w14:textId="77777777" w:rsidR="00454A29" w:rsidRDefault="00454A29">
            <w:pPr>
              <w:pStyle w:val="ConsPlusNormal"/>
              <w:jc w:val="right"/>
            </w:pPr>
            <w:r>
              <w:t>-</w:t>
            </w:r>
          </w:p>
        </w:tc>
        <w:tc>
          <w:tcPr>
            <w:tcW w:w="1304" w:type="dxa"/>
            <w:vAlign w:val="center"/>
          </w:tcPr>
          <w:p w14:paraId="428B9766" w14:textId="77777777" w:rsidR="00454A29" w:rsidRDefault="00454A29">
            <w:pPr>
              <w:pStyle w:val="ConsPlusNormal"/>
              <w:jc w:val="right"/>
            </w:pPr>
            <w:r>
              <w:t>-</w:t>
            </w:r>
          </w:p>
        </w:tc>
        <w:tc>
          <w:tcPr>
            <w:tcW w:w="1304" w:type="dxa"/>
            <w:vAlign w:val="center"/>
          </w:tcPr>
          <w:p w14:paraId="003BFE7F" w14:textId="77777777" w:rsidR="00454A29" w:rsidRDefault="00454A29">
            <w:pPr>
              <w:pStyle w:val="ConsPlusNormal"/>
              <w:jc w:val="right"/>
            </w:pPr>
            <w:r>
              <w:t>-</w:t>
            </w:r>
          </w:p>
        </w:tc>
        <w:tc>
          <w:tcPr>
            <w:tcW w:w="1304" w:type="dxa"/>
            <w:vAlign w:val="center"/>
          </w:tcPr>
          <w:p w14:paraId="189F0AD5" w14:textId="77777777" w:rsidR="00454A29" w:rsidRDefault="00454A29">
            <w:pPr>
              <w:pStyle w:val="ConsPlusNormal"/>
              <w:jc w:val="right"/>
            </w:pPr>
            <w:r>
              <w:t>-</w:t>
            </w:r>
          </w:p>
        </w:tc>
      </w:tr>
      <w:tr w:rsidR="00454A29" w14:paraId="766418FC" w14:textId="77777777">
        <w:tc>
          <w:tcPr>
            <w:tcW w:w="2041" w:type="dxa"/>
            <w:vMerge/>
          </w:tcPr>
          <w:p w14:paraId="4FD5A910" w14:textId="77777777" w:rsidR="00454A29" w:rsidRDefault="00454A29"/>
        </w:tc>
        <w:tc>
          <w:tcPr>
            <w:tcW w:w="3005" w:type="dxa"/>
            <w:vMerge/>
          </w:tcPr>
          <w:p w14:paraId="52C3A3D4" w14:textId="77777777" w:rsidR="00454A29" w:rsidRDefault="00454A29"/>
        </w:tc>
        <w:tc>
          <w:tcPr>
            <w:tcW w:w="2778" w:type="dxa"/>
            <w:vAlign w:val="center"/>
          </w:tcPr>
          <w:p w14:paraId="3670CDC3" w14:textId="77777777" w:rsidR="00454A29" w:rsidRDefault="00454A29">
            <w:pPr>
              <w:pStyle w:val="ConsPlusNormal"/>
            </w:pPr>
            <w:r>
              <w:t>Федеральный бюджет</w:t>
            </w:r>
          </w:p>
        </w:tc>
        <w:tc>
          <w:tcPr>
            <w:tcW w:w="1304" w:type="dxa"/>
            <w:vAlign w:val="center"/>
          </w:tcPr>
          <w:p w14:paraId="20929233" w14:textId="77777777" w:rsidR="00454A29" w:rsidRDefault="00454A29">
            <w:pPr>
              <w:pStyle w:val="ConsPlusNormal"/>
            </w:pPr>
          </w:p>
        </w:tc>
        <w:tc>
          <w:tcPr>
            <w:tcW w:w="1247" w:type="dxa"/>
            <w:vAlign w:val="center"/>
          </w:tcPr>
          <w:p w14:paraId="31FF78A2" w14:textId="77777777" w:rsidR="00454A29" w:rsidRDefault="00454A29">
            <w:pPr>
              <w:pStyle w:val="ConsPlusNormal"/>
            </w:pPr>
          </w:p>
        </w:tc>
        <w:tc>
          <w:tcPr>
            <w:tcW w:w="1304" w:type="dxa"/>
            <w:vAlign w:val="center"/>
          </w:tcPr>
          <w:p w14:paraId="30C3AAFB" w14:textId="77777777" w:rsidR="00454A29" w:rsidRDefault="00454A29">
            <w:pPr>
              <w:pStyle w:val="ConsPlusNormal"/>
            </w:pPr>
          </w:p>
        </w:tc>
        <w:tc>
          <w:tcPr>
            <w:tcW w:w="1304" w:type="dxa"/>
            <w:vAlign w:val="center"/>
          </w:tcPr>
          <w:p w14:paraId="5D8327A3" w14:textId="77777777" w:rsidR="00454A29" w:rsidRDefault="00454A29">
            <w:pPr>
              <w:pStyle w:val="ConsPlusNormal"/>
            </w:pPr>
          </w:p>
        </w:tc>
        <w:tc>
          <w:tcPr>
            <w:tcW w:w="1304" w:type="dxa"/>
            <w:vAlign w:val="center"/>
          </w:tcPr>
          <w:p w14:paraId="0B948ADC" w14:textId="77777777" w:rsidR="00454A29" w:rsidRDefault="00454A29">
            <w:pPr>
              <w:pStyle w:val="ConsPlusNormal"/>
            </w:pPr>
          </w:p>
        </w:tc>
        <w:tc>
          <w:tcPr>
            <w:tcW w:w="1304" w:type="dxa"/>
            <w:vAlign w:val="center"/>
          </w:tcPr>
          <w:p w14:paraId="5C9FC9F3" w14:textId="77777777" w:rsidR="00454A29" w:rsidRDefault="00454A29">
            <w:pPr>
              <w:pStyle w:val="ConsPlusNormal"/>
            </w:pPr>
          </w:p>
        </w:tc>
        <w:tc>
          <w:tcPr>
            <w:tcW w:w="1304" w:type="dxa"/>
            <w:vAlign w:val="center"/>
          </w:tcPr>
          <w:p w14:paraId="791359AC" w14:textId="77777777" w:rsidR="00454A29" w:rsidRDefault="00454A29">
            <w:pPr>
              <w:pStyle w:val="ConsPlusNormal"/>
            </w:pPr>
          </w:p>
        </w:tc>
      </w:tr>
      <w:tr w:rsidR="00454A29" w14:paraId="7CEC5F83" w14:textId="77777777">
        <w:tc>
          <w:tcPr>
            <w:tcW w:w="2041" w:type="dxa"/>
            <w:vMerge/>
          </w:tcPr>
          <w:p w14:paraId="791F8556" w14:textId="77777777" w:rsidR="00454A29" w:rsidRDefault="00454A29"/>
        </w:tc>
        <w:tc>
          <w:tcPr>
            <w:tcW w:w="3005" w:type="dxa"/>
            <w:vMerge/>
          </w:tcPr>
          <w:p w14:paraId="494B35F1" w14:textId="77777777" w:rsidR="00454A29" w:rsidRDefault="00454A29"/>
        </w:tc>
        <w:tc>
          <w:tcPr>
            <w:tcW w:w="2778" w:type="dxa"/>
            <w:vAlign w:val="center"/>
          </w:tcPr>
          <w:p w14:paraId="65614893" w14:textId="77777777" w:rsidR="00454A29" w:rsidRDefault="00454A29">
            <w:pPr>
              <w:pStyle w:val="ConsPlusNormal"/>
            </w:pPr>
            <w:r>
              <w:t>Местные бюджеты</w:t>
            </w:r>
          </w:p>
        </w:tc>
        <w:tc>
          <w:tcPr>
            <w:tcW w:w="1304" w:type="dxa"/>
            <w:vAlign w:val="center"/>
          </w:tcPr>
          <w:p w14:paraId="602A0A10" w14:textId="77777777" w:rsidR="00454A29" w:rsidRDefault="00454A29">
            <w:pPr>
              <w:pStyle w:val="ConsPlusNormal"/>
            </w:pPr>
          </w:p>
        </w:tc>
        <w:tc>
          <w:tcPr>
            <w:tcW w:w="1247" w:type="dxa"/>
            <w:vAlign w:val="center"/>
          </w:tcPr>
          <w:p w14:paraId="47D0FFC6" w14:textId="77777777" w:rsidR="00454A29" w:rsidRDefault="00454A29">
            <w:pPr>
              <w:pStyle w:val="ConsPlusNormal"/>
            </w:pPr>
          </w:p>
        </w:tc>
        <w:tc>
          <w:tcPr>
            <w:tcW w:w="1304" w:type="dxa"/>
            <w:vAlign w:val="center"/>
          </w:tcPr>
          <w:p w14:paraId="37F1215A" w14:textId="77777777" w:rsidR="00454A29" w:rsidRDefault="00454A29">
            <w:pPr>
              <w:pStyle w:val="ConsPlusNormal"/>
            </w:pPr>
          </w:p>
        </w:tc>
        <w:tc>
          <w:tcPr>
            <w:tcW w:w="1304" w:type="dxa"/>
            <w:vAlign w:val="center"/>
          </w:tcPr>
          <w:p w14:paraId="38994C0B" w14:textId="77777777" w:rsidR="00454A29" w:rsidRDefault="00454A29">
            <w:pPr>
              <w:pStyle w:val="ConsPlusNormal"/>
            </w:pPr>
          </w:p>
        </w:tc>
        <w:tc>
          <w:tcPr>
            <w:tcW w:w="1304" w:type="dxa"/>
            <w:vAlign w:val="center"/>
          </w:tcPr>
          <w:p w14:paraId="6C070D5F" w14:textId="77777777" w:rsidR="00454A29" w:rsidRDefault="00454A29">
            <w:pPr>
              <w:pStyle w:val="ConsPlusNormal"/>
            </w:pPr>
          </w:p>
        </w:tc>
        <w:tc>
          <w:tcPr>
            <w:tcW w:w="1304" w:type="dxa"/>
            <w:vAlign w:val="center"/>
          </w:tcPr>
          <w:p w14:paraId="6598EB5F" w14:textId="77777777" w:rsidR="00454A29" w:rsidRDefault="00454A29">
            <w:pPr>
              <w:pStyle w:val="ConsPlusNormal"/>
            </w:pPr>
          </w:p>
        </w:tc>
        <w:tc>
          <w:tcPr>
            <w:tcW w:w="1304" w:type="dxa"/>
            <w:vAlign w:val="center"/>
          </w:tcPr>
          <w:p w14:paraId="368A9113" w14:textId="77777777" w:rsidR="00454A29" w:rsidRDefault="00454A29">
            <w:pPr>
              <w:pStyle w:val="ConsPlusNormal"/>
            </w:pPr>
          </w:p>
        </w:tc>
      </w:tr>
      <w:tr w:rsidR="00454A29" w14:paraId="2622FC56" w14:textId="77777777">
        <w:tc>
          <w:tcPr>
            <w:tcW w:w="2041" w:type="dxa"/>
            <w:vMerge/>
          </w:tcPr>
          <w:p w14:paraId="13192E16" w14:textId="77777777" w:rsidR="00454A29" w:rsidRDefault="00454A29"/>
        </w:tc>
        <w:tc>
          <w:tcPr>
            <w:tcW w:w="3005" w:type="dxa"/>
            <w:vMerge/>
          </w:tcPr>
          <w:p w14:paraId="4809C175" w14:textId="77777777" w:rsidR="00454A29" w:rsidRDefault="00454A29"/>
        </w:tc>
        <w:tc>
          <w:tcPr>
            <w:tcW w:w="2778" w:type="dxa"/>
            <w:vAlign w:val="center"/>
          </w:tcPr>
          <w:p w14:paraId="394F7993" w14:textId="77777777" w:rsidR="00454A29" w:rsidRDefault="00454A29">
            <w:pPr>
              <w:pStyle w:val="ConsPlusNormal"/>
            </w:pPr>
            <w:r>
              <w:t>Внебюджетные средства</w:t>
            </w:r>
          </w:p>
        </w:tc>
        <w:tc>
          <w:tcPr>
            <w:tcW w:w="1304" w:type="dxa"/>
            <w:vAlign w:val="center"/>
          </w:tcPr>
          <w:p w14:paraId="38F7CE99" w14:textId="77777777" w:rsidR="00454A29" w:rsidRDefault="00454A29">
            <w:pPr>
              <w:pStyle w:val="ConsPlusNormal"/>
            </w:pPr>
          </w:p>
        </w:tc>
        <w:tc>
          <w:tcPr>
            <w:tcW w:w="1247" w:type="dxa"/>
            <w:vAlign w:val="center"/>
          </w:tcPr>
          <w:p w14:paraId="15BDA764" w14:textId="77777777" w:rsidR="00454A29" w:rsidRDefault="00454A29">
            <w:pPr>
              <w:pStyle w:val="ConsPlusNormal"/>
            </w:pPr>
          </w:p>
        </w:tc>
        <w:tc>
          <w:tcPr>
            <w:tcW w:w="1304" w:type="dxa"/>
            <w:vAlign w:val="center"/>
          </w:tcPr>
          <w:p w14:paraId="27CB58B5" w14:textId="77777777" w:rsidR="00454A29" w:rsidRDefault="00454A29">
            <w:pPr>
              <w:pStyle w:val="ConsPlusNormal"/>
            </w:pPr>
          </w:p>
        </w:tc>
        <w:tc>
          <w:tcPr>
            <w:tcW w:w="1304" w:type="dxa"/>
            <w:vAlign w:val="center"/>
          </w:tcPr>
          <w:p w14:paraId="3F16E621" w14:textId="77777777" w:rsidR="00454A29" w:rsidRDefault="00454A29">
            <w:pPr>
              <w:pStyle w:val="ConsPlusNormal"/>
            </w:pPr>
          </w:p>
        </w:tc>
        <w:tc>
          <w:tcPr>
            <w:tcW w:w="1304" w:type="dxa"/>
            <w:vAlign w:val="center"/>
          </w:tcPr>
          <w:p w14:paraId="6C8759AD" w14:textId="77777777" w:rsidR="00454A29" w:rsidRDefault="00454A29">
            <w:pPr>
              <w:pStyle w:val="ConsPlusNormal"/>
            </w:pPr>
          </w:p>
        </w:tc>
        <w:tc>
          <w:tcPr>
            <w:tcW w:w="1304" w:type="dxa"/>
            <w:vAlign w:val="center"/>
          </w:tcPr>
          <w:p w14:paraId="1F882BF3" w14:textId="77777777" w:rsidR="00454A29" w:rsidRDefault="00454A29">
            <w:pPr>
              <w:pStyle w:val="ConsPlusNormal"/>
            </w:pPr>
          </w:p>
        </w:tc>
        <w:tc>
          <w:tcPr>
            <w:tcW w:w="1304" w:type="dxa"/>
            <w:vAlign w:val="center"/>
          </w:tcPr>
          <w:p w14:paraId="460AC48C" w14:textId="77777777" w:rsidR="00454A29" w:rsidRDefault="00454A29">
            <w:pPr>
              <w:pStyle w:val="ConsPlusNormal"/>
            </w:pPr>
          </w:p>
        </w:tc>
      </w:tr>
      <w:tr w:rsidR="00454A29" w14:paraId="4BDC3886" w14:textId="77777777">
        <w:tc>
          <w:tcPr>
            <w:tcW w:w="2041" w:type="dxa"/>
            <w:vMerge w:val="restart"/>
            <w:vAlign w:val="center"/>
          </w:tcPr>
          <w:p w14:paraId="2737420A" w14:textId="77777777" w:rsidR="00454A29" w:rsidRDefault="00454A29">
            <w:pPr>
              <w:pStyle w:val="ConsPlusNormal"/>
              <w:jc w:val="center"/>
              <w:outlineLvl w:val="2"/>
            </w:pPr>
            <w:r>
              <w:t>Подпрограмма 7</w:t>
            </w:r>
          </w:p>
        </w:tc>
        <w:tc>
          <w:tcPr>
            <w:tcW w:w="3005" w:type="dxa"/>
            <w:vMerge w:val="restart"/>
            <w:vAlign w:val="center"/>
          </w:tcPr>
          <w:p w14:paraId="0DED4876" w14:textId="77777777" w:rsidR="00454A29" w:rsidRDefault="00454A29">
            <w:pPr>
              <w:pStyle w:val="ConsPlusNormal"/>
              <w:jc w:val="center"/>
            </w:pPr>
            <w:r>
              <w:t>"Учительский рост"</w:t>
            </w:r>
          </w:p>
        </w:tc>
        <w:tc>
          <w:tcPr>
            <w:tcW w:w="2778" w:type="dxa"/>
            <w:vAlign w:val="center"/>
          </w:tcPr>
          <w:p w14:paraId="63018DA3" w14:textId="77777777" w:rsidR="00454A29" w:rsidRDefault="00454A29">
            <w:pPr>
              <w:pStyle w:val="ConsPlusNormal"/>
            </w:pPr>
            <w:r>
              <w:t>Всего:</w:t>
            </w:r>
          </w:p>
        </w:tc>
        <w:tc>
          <w:tcPr>
            <w:tcW w:w="1304" w:type="dxa"/>
            <w:vAlign w:val="center"/>
          </w:tcPr>
          <w:p w14:paraId="4DA39DF3" w14:textId="77777777" w:rsidR="00454A29" w:rsidRDefault="00454A29">
            <w:pPr>
              <w:pStyle w:val="ConsPlusNormal"/>
              <w:jc w:val="right"/>
            </w:pPr>
            <w:r>
              <w:t>208 436</w:t>
            </w:r>
          </w:p>
        </w:tc>
        <w:tc>
          <w:tcPr>
            <w:tcW w:w="1247" w:type="dxa"/>
            <w:vAlign w:val="center"/>
          </w:tcPr>
          <w:p w14:paraId="18EF5729" w14:textId="77777777" w:rsidR="00454A29" w:rsidRDefault="00454A29">
            <w:pPr>
              <w:pStyle w:val="ConsPlusNormal"/>
              <w:jc w:val="right"/>
            </w:pPr>
            <w:r>
              <w:t>208 436</w:t>
            </w:r>
          </w:p>
        </w:tc>
        <w:tc>
          <w:tcPr>
            <w:tcW w:w="1304" w:type="dxa"/>
            <w:vAlign w:val="center"/>
          </w:tcPr>
          <w:p w14:paraId="30EF783E" w14:textId="77777777" w:rsidR="00454A29" w:rsidRDefault="00454A29">
            <w:pPr>
              <w:pStyle w:val="ConsPlusNormal"/>
              <w:jc w:val="right"/>
            </w:pPr>
            <w:r>
              <w:t>208 336</w:t>
            </w:r>
          </w:p>
        </w:tc>
        <w:tc>
          <w:tcPr>
            <w:tcW w:w="1304" w:type="dxa"/>
            <w:vAlign w:val="center"/>
          </w:tcPr>
          <w:p w14:paraId="6DE4ACC6" w14:textId="77777777" w:rsidR="00454A29" w:rsidRDefault="00454A29">
            <w:pPr>
              <w:pStyle w:val="ConsPlusNormal"/>
              <w:jc w:val="right"/>
            </w:pPr>
            <w:r>
              <w:t>216 871</w:t>
            </w:r>
          </w:p>
        </w:tc>
        <w:tc>
          <w:tcPr>
            <w:tcW w:w="1304" w:type="dxa"/>
            <w:vAlign w:val="center"/>
          </w:tcPr>
          <w:p w14:paraId="78C5285B" w14:textId="77777777" w:rsidR="00454A29" w:rsidRDefault="00454A29">
            <w:pPr>
              <w:pStyle w:val="ConsPlusNormal"/>
              <w:jc w:val="right"/>
            </w:pPr>
            <w:r>
              <w:t>216 871</w:t>
            </w:r>
          </w:p>
        </w:tc>
        <w:tc>
          <w:tcPr>
            <w:tcW w:w="1304" w:type="dxa"/>
            <w:vAlign w:val="center"/>
          </w:tcPr>
          <w:p w14:paraId="3EAA11C9" w14:textId="77777777" w:rsidR="00454A29" w:rsidRDefault="00454A29">
            <w:pPr>
              <w:pStyle w:val="ConsPlusNormal"/>
              <w:jc w:val="right"/>
            </w:pPr>
            <w:r>
              <w:t>-</w:t>
            </w:r>
          </w:p>
        </w:tc>
        <w:tc>
          <w:tcPr>
            <w:tcW w:w="1304" w:type="dxa"/>
            <w:vAlign w:val="center"/>
          </w:tcPr>
          <w:p w14:paraId="1D79270F" w14:textId="77777777" w:rsidR="00454A29" w:rsidRDefault="00454A29">
            <w:pPr>
              <w:pStyle w:val="ConsPlusNormal"/>
              <w:jc w:val="right"/>
            </w:pPr>
            <w:r>
              <w:t>-</w:t>
            </w:r>
          </w:p>
        </w:tc>
      </w:tr>
      <w:tr w:rsidR="00454A29" w14:paraId="463B7D13" w14:textId="77777777">
        <w:tc>
          <w:tcPr>
            <w:tcW w:w="2041" w:type="dxa"/>
            <w:vMerge/>
          </w:tcPr>
          <w:p w14:paraId="5A7150DC" w14:textId="77777777" w:rsidR="00454A29" w:rsidRDefault="00454A29"/>
        </w:tc>
        <w:tc>
          <w:tcPr>
            <w:tcW w:w="3005" w:type="dxa"/>
            <w:vMerge/>
          </w:tcPr>
          <w:p w14:paraId="4837DC24" w14:textId="77777777" w:rsidR="00454A29" w:rsidRDefault="00454A29"/>
        </w:tc>
        <w:tc>
          <w:tcPr>
            <w:tcW w:w="2778" w:type="dxa"/>
            <w:vAlign w:val="center"/>
          </w:tcPr>
          <w:p w14:paraId="22053137" w14:textId="77777777" w:rsidR="00454A29" w:rsidRDefault="00454A29">
            <w:pPr>
              <w:pStyle w:val="ConsPlusNormal"/>
            </w:pPr>
            <w:r>
              <w:t>Государственный бюджет Республики Саха (Якутия)</w:t>
            </w:r>
          </w:p>
        </w:tc>
        <w:tc>
          <w:tcPr>
            <w:tcW w:w="1304" w:type="dxa"/>
            <w:vAlign w:val="center"/>
          </w:tcPr>
          <w:p w14:paraId="3C3DC02E" w14:textId="77777777" w:rsidR="00454A29" w:rsidRDefault="00454A29">
            <w:pPr>
              <w:pStyle w:val="ConsPlusNormal"/>
              <w:jc w:val="right"/>
            </w:pPr>
            <w:r>
              <w:t>208 436</w:t>
            </w:r>
          </w:p>
        </w:tc>
        <w:tc>
          <w:tcPr>
            <w:tcW w:w="1247" w:type="dxa"/>
            <w:vAlign w:val="center"/>
          </w:tcPr>
          <w:p w14:paraId="28027D34" w14:textId="77777777" w:rsidR="00454A29" w:rsidRDefault="00454A29">
            <w:pPr>
              <w:pStyle w:val="ConsPlusNormal"/>
              <w:jc w:val="right"/>
            </w:pPr>
            <w:r>
              <w:t>208 436</w:t>
            </w:r>
          </w:p>
        </w:tc>
        <w:tc>
          <w:tcPr>
            <w:tcW w:w="1304" w:type="dxa"/>
            <w:vAlign w:val="center"/>
          </w:tcPr>
          <w:p w14:paraId="0289FB3A" w14:textId="77777777" w:rsidR="00454A29" w:rsidRDefault="00454A29">
            <w:pPr>
              <w:pStyle w:val="ConsPlusNormal"/>
              <w:jc w:val="right"/>
            </w:pPr>
            <w:r>
              <w:t>208 336</w:t>
            </w:r>
          </w:p>
        </w:tc>
        <w:tc>
          <w:tcPr>
            <w:tcW w:w="1304" w:type="dxa"/>
            <w:vAlign w:val="center"/>
          </w:tcPr>
          <w:p w14:paraId="0277908E" w14:textId="77777777" w:rsidR="00454A29" w:rsidRDefault="00454A29">
            <w:pPr>
              <w:pStyle w:val="ConsPlusNormal"/>
              <w:jc w:val="right"/>
            </w:pPr>
            <w:r>
              <w:t>216 871</w:t>
            </w:r>
          </w:p>
        </w:tc>
        <w:tc>
          <w:tcPr>
            <w:tcW w:w="1304" w:type="dxa"/>
            <w:vAlign w:val="center"/>
          </w:tcPr>
          <w:p w14:paraId="3FF138B5" w14:textId="77777777" w:rsidR="00454A29" w:rsidRDefault="00454A29">
            <w:pPr>
              <w:pStyle w:val="ConsPlusNormal"/>
              <w:jc w:val="right"/>
            </w:pPr>
            <w:r>
              <w:t>216 871</w:t>
            </w:r>
          </w:p>
        </w:tc>
        <w:tc>
          <w:tcPr>
            <w:tcW w:w="1304" w:type="dxa"/>
            <w:vAlign w:val="center"/>
          </w:tcPr>
          <w:p w14:paraId="24194D2B" w14:textId="77777777" w:rsidR="00454A29" w:rsidRDefault="00454A29">
            <w:pPr>
              <w:pStyle w:val="ConsPlusNormal"/>
              <w:jc w:val="right"/>
            </w:pPr>
            <w:r>
              <w:t>-</w:t>
            </w:r>
          </w:p>
        </w:tc>
        <w:tc>
          <w:tcPr>
            <w:tcW w:w="1304" w:type="dxa"/>
            <w:vAlign w:val="center"/>
          </w:tcPr>
          <w:p w14:paraId="79B23F83" w14:textId="77777777" w:rsidR="00454A29" w:rsidRDefault="00454A29">
            <w:pPr>
              <w:pStyle w:val="ConsPlusNormal"/>
              <w:jc w:val="right"/>
            </w:pPr>
            <w:r>
              <w:t>-</w:t>
            </w:r>
          </w:p>
        </w:tc>
      </w:tr>
      <w:tr w:rsidR="00454A29" w14:paraId="635DB99B" w14:textId="77777777">
        <w:tc>
          <w:tcPr>
            <w:tcW w:w="2041" w:type="dxa"/>
            <w:vMerge/>
          </w:tcPr>
          <w:p w14:paraId="733A1EBC" w14:textId="77777777" w:rsidR="00454A29" w:rsidRDefault="00454A29"/>
        </w:tc>
        <w:tc>
          <w:tcPr>
            <w:tcW w:w="3005" w:type="dxa"/>
            <w:vMerge/>
          </w:tcPr>
          <w:p w14:paraId="17BA1486" w14:textId="77777777" w:rsidR="00454A29" w:rsidRDefault="00454A29"/>
        </w:tc>
        <w:tc>
          <w:tcPr>
            <w:tcW w:w="2778" w:type="dxa"/>
            <w:vAlign w:val="center"/>
          </w:tcPr>
          <w:p w14:paraId="58B226D4" w14:textId="77777777" w:rsidR="00454A29" w:rsidRDefault="00454A29">
            <w:pPr>
              <w:pStyle w:val="ConsPlusNormal"/>
            </w:pPr>
            <w:r>
              <w:t>Минобрнауки РС(Я)</w:t>
            </w:r>
          </w:p>
        </w:tc>
        <w:tc>
          <w:tcPr>
            <w:tcW w:w="1304" w:type="dxa"/>
            <w:vAlign w:val="center"/>
          </w:tcPr>
          <w:p w14:paraId="45887E2A" w14:textId="77777777" w:rsidR="00454A29" w:rsidRDefault="00454A29">
            <w:pPr>
              <w:pStyle w:val="ConsPlusNormal"/>
              <w:jc w:val="right"/>
            </w:pPr>
            <w:r>
              <w:t>208 436</w:t>
            </w:r>
          </w:p>
        </w:tc>
        <w:tc>
          <w:tcPr>
            <w:tcW w:w="1247" w:type="dxa"/>
            <w:vAlign w:val="center"/>
          </w:tcPr>
          <w:p w14:paraId="205CE15C" w14:textId="77777777" w:rsidR="00454A29" w:rsidRDefault="00454A29">
            <w:pPr>
              <w:pStyle w:val="ConsPlusNormal"/>
              <w:jc w:val="right"/>
            </w:pPr>
            <w:r>
              <w:t>208 436</w:t>
            </w:r>
          </w:p>
        </w:tc>
        <w:tc>
          <w:tcPr>
            <w:tcW w:w="1304" w:type="dxa"/>
            <w:vAlign w:val="center"/>
          </w:tcPr>
          <w:p w14:paraId="263E4091" w14:textId="77777777" w:rsidR="00454A29" w:rsidRDefault="00454A29">
            <w:pPr>
              <w:pStyle w:val="ConsPlusNormal"/>
              <w:jc w:val="right"/>
            </w:pPr>
            <w:r>
              <w:t>208 336</w:t>
            </w:r>
          </w:p>
        </w:tc>
        <w:tc>
          <w:tcPr>
            <w:tcW w:w="1304" w:type="dxa"/>
            <w:vAlign w:val="center"/>
          </w:tcPr>
          <w:p w14:paraId="3D3FD2B8" w14:textId="77777777" w:rsidR="00454A29" w:rsidRDefault="00454A29">
            <w:pPr>
              <w:pStyle w:val="ConsPlusNormal"/>
              <w:jc w:val="right"/>
            </w:pPr>
            <w:r>
              <w:t>216 871</w:t>
            </w:r>
          </w:p>
        </w:tc>
        <w:tc>
          <w:tcPr>
            <w:tcW w:w="1304" w:type="dxa"/>
            <w:vAlign w:val="center"/>
          </w:tcPr>
          <w:p w14:paraId="5483A0BA" w14:textId="77777777" w:rsidR="00454A29" w:rsidRDefault="00454A29">
            <w:pPr>
              <w:pStyle w:val="ConsPlusNormal"/>
              <w:jc w:val="right"/>
            </w:pPr>
            <w:r>
              <w:t>216 871</w:t>
            </w:r>
          </w:p>
        </w:tc>
        <w:tc>
          <w:tcPr>
            <w:tcW w:w="1304" w:type="dxa"/>
            <w:vAlign w:val="center"/>
          </w:tcPr>
          <w:p w14:paraId="58B9EF23" w14:textId="77777777" w:rsidR="00454A29" w:rsidRDefault="00454A29">
            <w:pPr>
              <w:pStyle w:val="ConsPlusNormal"/>
              <w:jc w:val="right"/>
            </w:pPr>
            <w:r>
              <w:t>-</w:t>
            </w:r>
          </w:p>
        </w:tc>
        <w:tc>
          <w:tcPr>
            <w:tcW w:w="1304" w:type="dxa"/>
            <w:vAlign w:val="center"/>
          </w:tcPr>
          <w:p w14:paraId="7017FD4F" w14:textId="77777777" w:rsidR="00454A29" w:rsidRDefault="00454A29">
            <w:pPr>
              <w:pStyle w:val="ConsPlusNormal"/>
              <w:jc w:val="right"/>
            </w:pPr>
            <w:r>
              <w:t>-</w:t>
            </w:r>
          </w:p>
        </w:tc>
      </w:tr>
      <w:tr w:rsidR="00454A29" w14:paraId="1C650619" w14:textId="77777777">
        <w:tc>
          <w:tcPr>
            <w:tcW w:w="2041" w:type="dxa"/>
            <w:vMerge/>
          </w:tcPr>
          <w:p w14:paraId="1DA65D88" w14:textId="77777777" w:rsidR="00454A29" w:rsidRDefault="00454A29"/>
        </w:tc>
        <w:tc>
          <w:tcPr>
            <w:tcW w:w="3005" w:type="dxa"/>
            <w:vMerge/>
          </w:tcPr>
          <w:p w14:paraId="125EE54E" w14:textId="77777777" w:rsidR="00454A29" w:rsidRDefault="00454A29"/>
        </w:tc>
        <w:tc>
          <w:tcPr>
            <w:tcW w:w="2778" w:type="dxa"/>
            <w:vAlign w:val="center"/>
          </w:tcPr>
          <w:p w14:paraId="5D8F8BF8" w14:textId="77777777" w:rsidR="00454A29" w:rsidRDefault="00454A29">
            <w:pPr>
              <w:pStyle w:val="ConsPlusNormal"/>
            </w:pPr>
            <w:r>
              <w:t>Федеральный бюджет</w:t>
            </w:r>
          </w:p>
        </w:tc>
        <w:tc>
          <w:tcPr>
            <w:tcW w:w="1304" w:type="dxa"/>
            <w:vAlign w:val="center"/>
          </w:tcPr>
          <w:p w14:paraId="66F9907E" w14:textId="77777777" w:rsidR="00454A29" w:rsidRDefault="00454A29">
            <w:pPr>
              <w:pStyle w:val="ConsPlusNormal"/>
              <w:jc w:val="right"/>
            </w:pPr>
            <w:r>
              <w:t>-</w:t>
            </w:r>
          </w:p>
        </w:tc>
        <w:tc>
          <w:tcPr>
            <w:tcW w:w="1247" w:type="dxa"/>
            <w:vAlign w:val="center"/>
          </w:tcPr>
          <w:p w14:paraId="0F292517" w14:textId="77777777" w:rsidR="00454A29" w:rsidRDefault="00454A29">
            <w:pPr>
              <w:pStyle w:val="ConsPlusNormal"/>
              <w:jc w:val="right"/>
            </w:pPr>
            <w:r>
              <w:t>-</w:t>
            </w:r>
          </w:p>
        </w:tc>
        <w:tc>
          <w:tcPr>
            <w:tcW w:w="1304" w:type="dxa"/>
            <w:vAlign w:val="center"/>
          </w:tcPr>
          <w:p w14:paraId="3880ABBD" w14:textId="77777777" w:rsidR="00454A29" w:rsidRDefault="00454A29">
            <w:pPr>
              <w:pStyle w:val="ConsPlusNormal"/>
              <w:jc w:val="right"/>
            </w:pPr>
            <w:r>
              <w:t>-</w:t>
            </w:r>
          </w:p>
        </w:tc>
        <w:tc>
          <w:tcPr>
            <w:tcW w:w="1304" w:type="dxa"/>
            <w:vAlign w:val="center"/>
          </w:tcPr>
          <w:p w14:paraId="3B4936F8" w14:textId="77777777" w:rsidR="00454A29" w:rsidRDefault="00454A29">
            <w:pPr>
              <w:pStyle w:val="ConsPlusNormal"/>
              <w:jc w:val="right"/>
            </w:pPr>
            <w:r>
              <w:t>-</w:t>
            </w:r>
          </w:p>
        </w:tc>
        <w:tc>
          <w:tcPr>
            <w:tcW w:w="1304" w:type="dxa"/>
            <w:vAlign w:val="center"/>
          </w:tcPr>
          <w:p w14:paraId="02CEA29C" w14:textId="77777777" w:rsidR="00454A29" w:rsidRDefault="00454A29">
            <w:pPr>
              <w:pStyle w:val="ConsPlusNormal"/>
              <w:jc w:val="right"/>
            </w:pPr>
            <w:r>
              <w:t>-</w:t>
            </w:r>
          </w:p>
        </w:tc>
        <w:tc>
          <w:tcPr>
            <w:tcW w:w="1304" w:type="dxa"/>
            <w:vAlign w:val="center"/>
          </w:tcPr>
          <w:p w14:paraId="4C40FE55" w14:textId="77777777" w:rsidR="00454A29" w:rsidRDefault="00454A29">
            <w:pPr>
              <w:pStyle w:val="ConsPlusNormal"/>
              <w:jc w:val="right"/>
            </w:pPr>
            <w:r>
              <w:t>-</w:t>
            </w:r>
          </w:p>
        </w:tc>
        <w:tc>
          <w:tcPr>
            <w:tcW w:w="1304" w:type="dxa"/>
            <w:vAlign w:val="center"/>
          </w:tcPr>
          <w:p w14:paraId="7469DD8B" w14:textId="77777777" w:rsidR="00454A29" w:rsidRDefault="00454A29">
            <w:pPr>
              <w:pStyle w:val="ConsPlusNormal"/>
              <w:jc w:val="right"/>
            </w:pPr>
            <w:r>
              <w:t>-</w:t>
            </w:r>
          </w:p>
        </w:tc>
      </w:tr>
      <w:tr w:rsidR="00454A29" w14:paraId="0A871706" w14:textId="77777777">
        <w:tc>
          <w:tcPr>
            <w:tcW w:w="2041" w:type="dxa"/>
            <w:vMerge/>
          </w:tcPr>
          <w:p w14:paraId="6AA7B66F" w14:textId="77777777" w:rsidR="00454A29" w:rsidRDefault="00454A29"/>
        </w:tc>
        <w:tc>
          <w:tcPr>
            <w:tcW w:w="3005" w:type="dxa"/>
            <w:vMerge/>
          </w:tcPr>
          <w:p w14:paraId="3F0EB9DC" w14:textId="77777777" w:rsidR="00454A29" w:rsidRDefault="00454A29"/>
        </w:tc>
        <w:tc>
          <w:tcPr>
            <w:tcW w:w="2778" w:type="dxa"/>
            <w:vAlign w:val="center"/>
          </w:tcPr>
          <w:p w14:paraId="32FCF83A" w14:textId="77777777" w:rsidR="00454A29" w:rsidRDefault="00454A29">
            <w:pPr>
              <w:pStyle w:val="ConsPlusNormal"/>
            </w:pPr>
            <w:r>
              <w:t>Местные бюджеты</w:t>
            </w:r>
          </w:p>
        </w:tc>
        <w:tc>
          <w:tcPr>
            <w:tcW w:w="1304" w:type="dxa"/>
            <w:vAlign w:val="center"/>
          </w:tcPr>
          <w:p w14:paraId="2DCB919A" w14:textId="77777777" w:rsidR="00454A29" w:rsidRDefault="00454A29">
            <w:pPr>
              <w:pStyle w:val="ConsPlusNormal"/>
              <w:jc w:val="right"/>
            </w:pPr>
            <w:r>
              <w:t>-</w:t>
            </w:r>
          </w:p>
        </w:tc>
        <w:tc>
          <w:tcPr>
            <w:tcW w:w="1247" w:type="dxa"/>
            <w:vAlign w:val="center"/>
          </w:tcPr>
          <w:p w14:paraId="759D9430" w14:textId="77777777" w:rsidR="00454A29" w:rsidRDefault="00454A29">
            <w:pPr>
              <w:pStyle w:val="ConsPlusNormal"/>
              <w:jc w:val="right"/>
            </w:pPr>
            <w:r>
              <w:t>-</w:t>
            </w:r>
          </w:p>
        </w:tc>
        <w:tc>
          <w:tcPr>
            <w:tcW w:w="1304" w:type="dxa"/>
            <w:vAlign w:val="center"/>
          </w:tcPr>
          <w:p w14:paraId="394AEE13" w14:textId="77777777" w:rsidR="00454A29" w:rsidRDefault="00454A29">
            <w:pPr>
              <w:pStyle w:val="ConsPlusNormal"/>
              <w:jc w:val="right"/>
            </w:pPr>
            <w:r>
              <w:t>-</w:t>
            </w:r>
          </w:p>
        </w:tc>
        <w:tc>
          <w:tcPr>
            <w:tcW w:w="1304" w:type="dxa"/>
            <w:vAlign w:val="center"/>
          </w:tcPr>
          <w:p w14:paraId="0A9C1377" w14:textId="77777777" w:rsidR="00454A29" w:rsidRDefault="00454A29">
            <w:pPr>
              <w:pStyle w:val="ConsPlusNormal"/>
              <w:jc w:val="right"/>
            </w:pPr>
            <w:r>
              <w:t>-</w:t>
            </w:r>
          </w:p>
        </w:tc>
        <w:tc>
          <w:tcPr>
            <w:tcW w:w="1304" w:type="dxa"/>
            <w:vAlign w:val="center"/>
          </w:tcPr>
          <w:p w14:paraId="20A3776D" w14:textId="77777777" w:rsidR="00454A29" w:rsidRDefault="00454A29">
            <w:pPr>
              <w:pStyle w:val="ConsPlusNormal"/>
              <w:jc w:val="right"/>
            </w:pPr>
            <w:r>
              <w:t>-</w:t>
            </w:r>
          </w:p>
        </w:tc>
        <w:tc>
          <w:tcPr>
            <w:tcW w:w="1304" w:type="dxa"/>
            <w:vAlign w:val="center"/>
          </w:tcPr>
          <w:p w14:paraId="3A29571B" w14:textId="77777777" w:rsidR="00454A29" w:rsidRDefault="00454A29">
            <w:pPr>
              <w:pStyle w:val="ConsPlusNormal"/>
              <w:jc w:val="right"/>
            </w:pPr>
            <w:r>
              <w:t>-</w:t>
            </w:r>
          </w:p>
        </w:tc>
        <w:tc>
          <w:tcPr>
            <w:tcW w:w="1304" w:type="dxa"/>
            <w:vAlign w:val="center"/>
          </w:tcPr>
          <w:p w14:paraId="5EFF7DB9" w14:textId="77777777" w:rsidR="00454A29" w:rsidRDefault="00454A29">
            <w:pPr>
              <w:pStyle w:val="ConsPlusNormal"/>
              <w:jc w:val="right"/>
            </w:pPr>
            <w:r>
              <w:t>-</w:t>
            </w:r>
          </w:p>
        </w:tc>
      </w:tr>
      <w:tr w:rsidR="00454A29" w14:paraId="4EF3FCF6" w14:textId="77777777">
        <w:tc>
          <w:tcPr>
            <w:tcW w:w="2041" w:type="dxa"/>
            <w:vMerge/>
          </w:tcPr>
          <w:p w14:paraId="7B8AFB78" w14:textId="77777777" w:rsidR="00454A29" w:rsidRDefault="00454A29"/>
        </w:tc>
        <w:tc>
          <w:tcPr>
            <w:tcW w:w="3005" w:type="dxa"/>
            <w:vMerge/>
          </w:tcPr>
          <w:p w14:paraId="1DDE36F0" w14:textId="77777777" w:rsidR="00454A29" w:rsidRDefault="00454A29"/>
        </w:tc>
        <w:tc>
          <w:tcPr>
            <w:tcW w:w="2778" w:type="dxa"/>
            <w:vAlign w:val="center"/>
          </w:tcPr>
          <w:p w14:paraId="70EE50E7" w14:textId="77777777" w:rsidR="00454A29" w:rsidRDefault="00454A29">
            <w:pPr>
              <w:pStyle w:val="ConsPlusNormal"/>
            </w:pPr>
            <w:r>
              <w:t>Внебюджетные средства</w:t>
            </w:r>
          </w:p>
        </w:tc>
        <w:tc>
          <w:tcPr>
            <w:tcW w:w="1304" w:type="dxa"/>
            <w:vAlign w:val="center"/>
          </w:tcPr>
          <w:p w14:paraId="01A2A535" w14:textId="77777777" w:rsidR="00454A29" w:rsidRDefault="00454A29">
            <w:pPr>
              <w:pStyle w:val="ConsPlusNormal"/>
              <w:jc w:val="right"/>
            </w:pPr>
            <w:r>
              <w:t>-</w:t>
            </w:r>
          </w:p>
        </w:tc>
        <w:tc>
          <w:tcPr>
            <w:tcW w:w="1247" w:type="dxa"/>
            <w:vAlign w:val="center"/>
          </w:tcPr>
          <w:p w14:paraId="57A89C52" w14:textId="77777777" w:rsidR="00454A29" w:rsidRDefault="00454A29">
            <w:pPr>
              <w:pStyle w:val="ConsPlusNormal"/>
              <w:jc w:val="right"/>
            </w:pPr>
            <w:r>
              <w:t>-</w:t>
            </w:r>
          </w:p>
        </w:tc>
        <w:tc>
          <w:tcPr>
            <w:tcW w:w="1304" w:type="dxa"/>
            <w:vAlign w:val="center"/>
          </w:tcPr>
          <w:p w14:paraId="7A81ED39" w14:textId="77777777" w:rsidR="00454A29" w:rsidRDefault="00454A29">
            <w:pPr>
              <w:pStyle w:val="ConsPlusNormal"/>
              <w:jc w:val="right"/>
            </w:pPr>
            <w:r>
              <w:t>-</w:t>
            </w:r>
          </w:p>
        </w:tc>
        <w:tc>
          <w:tcPr>
            <w:tcW w:w="1304" w:type="dxa"/>
            <w:vAlign w:val="center"/>
          </w:tcPr>
          <w:p w14:paraId="65769D8A" w14:textId="77777777" w:rsidR="00454A29" w:rsidRDefault="00454A29">
            <w:pPr>
              <w:pStyle w:val="ConsPlusNormal"/>
              <w:jc w:val="right"/>
            </w:pPr>
            <w:r>
              <w:t>-</w:t>
            </w:r>
          </w:p>
        </w:tc>
        <w:tc>
          <w:tcPr>
            <w:tcW w:w="1304" w:type="dxa"/>
            <w:vAlign w:val="center"/>
          </w:tcPr>
          <w:p w14:paraId="12869E76" w14:textId="77777777" w:rsidR="00454A29" w:rsidRDefault="00454A29">
            <w:pPr>
              <w:pStyle w:val="ConsPlusNormal"/>
              <w:jc w:val="right"/>
            </w:pPr>
            <w:r>
              <w:t>-</w:t>
            </w:r>
          </w:p>
        </w:tc>
        <w:tc>
          <w:tcPr>
            <w:tcW w:w="1304" w:type="dxa"/>
            <w:vAlign w:val="center"/>
          </w:tcPr>
          <w:p w14:paraId="5179DAD9" w14:textId="77777777" w:rsidR="00454A29" w:rsidRDefault="00454A29">
            <w:pPr>
              <w:pStyle w:val="ConsPlusNormal"/>
              <w:jc w:val="right"/>
            </w:pPr>
            <w:r>
              <w:t>-</w:t>
            </w:r>
          </w:p>
        </w:tc>
        <w:tc>
          <w:tcPr>
            <w:tcW w:w="1304" w:type="dxa"/>
            <w:vAlign w:val="center"/>
          </w:tcPr>
          <w:p w14:paraId="4ACDA9B2" w14:textId="77777777" w:rsidR="00454A29" w:rsidRDefault="00454A29">
            <w:pPr>
              <w:pStyle w:val="ConsPlusNormal"/>
              <w:jc w:val="right"/>
            </w:pPr>
            <w:r>
              <w:t>-</w:t>
            </w:r>
          </w:p>
        </w:tc>
      </w:tr>
      <w:tr w:rsidR="00454A29" w14:paraId="1B2DCEE2" w14:textId="77777777">
        <w:tc>
          <w:tcPr>
            <w:tcW w:w="2041" w:type="dxa"/>
            <w:vMerge w:val="restart"/>
            <w:vAlign w:val="center"/>
          </w:tcPr>
          <w:p w14:paraId="013C4768" w14:textId="77777777" w:rsidR="00454A29" w:rsidRDefault="00454A29">
            <w:pPr>
              <w:pStyle w:val="ConsPlusNormal"/>
              <w:jc w:val="center"/>
            </w:pPr>
            <w:r>
              <w:t>Основное мероприятие 7.1.</w:t>
            </w:r>
          </w:p>
        </w:tc>
        <w:tc>
          <w:tcPr>
            <w:tcW w:w="3005" w:type="dxa"/>
            <w:vMerge w:val="restart"/>
            <w:vAlign w:val="center"/>
          </w:tcPr>
          <w:p w14:paraId="008C12B0" w14:textId="77777777" w:rsidR="00454A29" w:rsidRDefault="00454A29">
            <w:pPr>
              <w:pStyle w:val="ConsPlusNormal"/>
              <w:jc w:val="center"/>
            </w:pPr>
            <w:r>
              <w:t>Повышение престижа работников системы образования</w:t>
            </w:r>
          </w:p>
        </w:tc>
        <w:tc>
          <w:tcPr>
            <w:tcW w:w="2778" w:type="dxa"/>
            <w:vAlign w:val="center"/>
          </w:tcPr>
          <w:p w14:paraId="18B59C5E" w14:textId="77777777" w:rsidR="00454A29" w:rsidRDefault="00454A29">
            <w:pPr>
              <w:pStyle w:val="ConsPlusNormal"/>
            </w:pPr>
            <w:r>
              <w:t>Всего:</w:t>
            </w:r>
          </w:p>
        </w:tc>
        <w:tc>
          <w:tcPr>
            <w:tcW w:w="1304" w:type="dxa"/>
            <w:vAlign w:val="center"/>
          </w:tcPr>
          <w:p w14:paraId="0A3C8A7E" w14:textId="77777777" w:rsidR="00454A29" w:rsidRDefault="00454A29">
            <w:pPr>
              <w:pStyle w:val="ConsPlusNormal"/>
              <w:jc w:val="right"/>
            </w:pPr>
            <w:r>
              <w:t>208 436</w:t>
            </w:r>
          </w:p>
        </w:tc>
        <w:tc>
          <w:tcPr>
            <w:tcW w:w="1247" w:type="dxa"/>
            <w:vAlign w:val="center"/>
          </w:tcPr>
          <w:p w14:paraId="4F99C1C7" w14:textId="77777777" w:rsidR="00454A29" w:rsidRDefault="00454A29">
            <w:pPr>
              <w:pStyle w:val="ConsPlusNormal"/>
              <w:jc w:val="right"/>
            </w:pPr>
            <w:r>
              <w:t>208 436</w:t>
            </w:r>
          </w:p>
        </w:tc>
        <w:tc>
          <w:tcPr>
            <w:tcW w:w="1304" w:type="dxa"/>
            <w:vAlign w:val="center"/>
          </w:tcPr>
          <w:p w14:paraId="58ABC1C0" w14:textId="77777777" w:rsidR="00454A29" w:rsidRDefault="00454A29">
            <w:pPr>
              <w:pStyle w:val="ConsPlusNormal"/>
              <w:jc w:val="right"/>
            </w:pPr>
            <w:r>
              <w:t>208 336</w:t>
            </w:r>
          </w:p>
        </w:tc>
        <w:tc>
          <w:tcPr>
            <w:tcW w:w="1304" w:type="dxa"/>
            <w:vAlign w:val="center"/>
          </w:tcPr>
          <w:p w14:paraId="5034CBCC" w14:textId="77777777" w:rsidR="00454A29" w:rsidRDefault="00454A29">
            <w:pPr>
              <w:pStyle w:val="ConsPlusNormal"/>
              <w:jc w:val="right"/>
            </w:pPr>
            <w:r>
              <w:t>216 871</w:t>
            </w:r>
          </w:p>
        </w:tc>
        <w:tc>
          <w:tcPr>
            <w:tcW w:w="1304" w:type="dxa"/>
            <w:vAlign w:val="center"/>
          </w:tcPr>
          <w:p w14:paraId="147B4447" w14:textId="77777777" w:rsidR="00454A29" w:rsidRDefault="00454A29">
            <w:pPr>
              <w:pStyle w:val="ConsPlusNormal"/>
              <w:jc w:val="right"/>
            </w:pPr>
            <w:r>
              <w:t>216 871</w:t>
            </w:r>
          </w:p>
        </w:tc>
        <w:tc>
          <w:tcPr>
            <w:tcW w:w="1304" w:type="dxa"/>
            <w:vAlign w:val="center"/>
          </w:tcPr>
          <w:p w14:paraId="57F7123C" w14:textId="77777777" w:rsidR="00454A29" w:rsidRDefault="00454A29">
            <w:pPr>
              <w:pStyle w:val="ConsPlusNormal"/>
              <w:jc w:val="right"/>
            </w:pPr>
            <w:r>
              <w:t>-</w:t>
            </w:r>
          </w:p>
        </w:tc>
        <w:tc>
          <w:tcPr>
            <w:tcW w:w="1304" w:type="dxa"/>
            <w:vAlign w:val="center"/>
          </w:tcPr>
          <w:p w14:paraId="3C837BB6" w14:textId="77777777" w:rsidR="00454A29" w:rsidRDefault="00454A29">
            <w:pPr>
              <w:pStyle w:val="ConsPlusNormal"/>
              <w:jc w:val="right"/>
            </w:pPr>
            <w:r>
              <w:t>-</w:t>
            </w:r>
          </w:p>
        </w:tc>
      </w:tr>
      <w:tr w:rsidR="00454A29" w14:paraId="1E030A72" w14:textId="77777777">
        <w:tc>
          <w:tcPr>
            <w:tcW w:w="2041" w:type="dxa"/>
            <w:vMerge/>
          </w:tcPr>
          <w:p w14:paraId="47667ECE" w14:textId="77777777" w:rsidR="00454A29" w:rsidRDefault="00454A29"/>
        </w:tc>
        <w:tc>
          <w:tcPr>
            <w:tcW w:w="3005" w:type="dxa"/>
            <w:vMerge/>
          </w:tcPr>
          <w:p w14:paraId="421B8259" w14:textId="77777777" w:rsidR="00454A29" w:rsidRDefault="00454A29"/>
        </w:tc>
        <w:tc>
          <w:tcPr>
            <w:tcW w:w="2778" w:type="dxa"/>
            <w:vAlign w:val="center"/>
          </w:tcPr>
          <w:p w14:paraId="34645E2F" w14:textId="77777777" w:rsidR="00454A29" w:rsidRDefault="00454A29">
            <w:pPr>
              <w:pStyle w:val="ConsPlusNormal"/>
            </w:pPr>
            <w:r>
              <w:t>Государственный бюджет Республики Саха (Якутия)</w:t>
            </w:r>
          </w:p>
        </w:tc>
        <w:tc>
          <w:tcPr>
            <w:tcW w:w="1304" w:type="dxa"/>
            <w:vAlign w:val="center"/>
          </w:tcPr>
          <w:p w14:paraId="097E005A" w14:textId="77777777" w:rsidR="00454A29" w:rsidRDefault="00454A29">
            <w:pPr>
              <w:pStyle w:val="ConsPlusNormal"/>
              <w:jc w:val="right"/>
            </w:pPr>
            <w:r>
              <w:t>208 436</w:t>
            </w:r>
          </w:p>
        </w:tc>
        <w:tc>
          <w:tcPr>
            <w:tcW w:w="1247" w:type="dxa"/>
            <w:vAlign w:val="center"/>
          </w:tcPr>
          <w:p w14:paraId="41E036EA" w14:textId="77777777" w:rsidR="00454A29" w:rsidRDefault="00454A29">
            <w:pPr>
              <w:pStyle w:val="ConsPlusNormal"/>
              <w:jc w:val="right"/>
            </w:pPr>
            <w:r>
              <w:t>208 436</w:t>
            </w:r>
          </w:p>
        </w:tc>
        <w:tc>
          <w:tcPr>
            <w:tcW w:w="1304" w:type="dxa"/>
            <w:vAlign w:val="center"/>
          </w:tcPr>
          <w:p w14:paraId="51A78E04" w14:textId="77777777" w:rsidR="00454A29" w:rsidRDefault="00454A29">
            <w:pPr>
              <w:pStyle w:val="ConsPlusNormal"/>
              <w:jc w:val="right"/>
            </w:pPr>
            <w:r>
              <w:t>208 336</w:t>
            </w:r>
          </w:p>
        </w:tc>
        <w:tc>
          <w:tcPr>
            <w:tcW w:w="1304" w:type="dxa"/>
            <w:vAlign w:val="center"/>
          </w:tcPr>
          <w:p w14:paraId="24001595" w14:textId="77777777" w:rsidR="00454A29" w:rsidRDefault="00454A29">
            <w:pPr>
              <w:pStyle w:val="ConsPlusNormal"/>
              <w:jc w:val="right"/>
            </w:pPr>
            <w:r>
              <w:t>216 871</w:t>
            </w:r>
          </w:p>
        </w:tc>
        <w:tc>
          <w:tcPr>
            <w:tcW w:w="1304" w:type="dxa"/>
            <w:vAlign w:val="center"/>
          </w:tcPr>
          <w:p w14:paraId="3248BEB6" w14:textId="77777777" w:rsidR="00454A29" w:rsidRDefault="00454A29">
            <w:pPr>
              <w:pStyle w:val="ConsPlusNormal"/>
              <w:jc w:val="right"/>
            </w:pPr>
            <w:r>
              <w:t>216 871</w:t>
            </w:r>
          </w:p>
        </w:tc>
        <w:tc>
          <w:tcPr>
            <w:tcW w:w="1304" w:type="dxa"/>
            <w:vAlign w:val="center"/>
          </w:tcPr>
          <w:p w14:paraId="2BC90DD5" w14:textId="77777777" w:rsidR="00454A29" w:rsidRDefault="00454A29">
            <w:pPr>
              <w:pStyle w:val="ConsPlusNormal"/>
              <w:jc w:val="right"/>
            </w:pPr>
            <w:r>
              <w:t>-</w:t>
            </w:r>
          </w:p>
        </w:tc>
        <w:tc>
          <w:tcPr>
            <w:tcW w:w="1304" w:type="dxa"/>
            <w:vAlign w:val="center"/>
          </w:tcPr>
          <w:p w14:paraId="5B246351" w14:textId="77777777" w:rsidR="00454A29" w:rsidRDefault="00454A29">
            <w:pPr>
              <w:pStyle w:val="ConsPlusNormal"/>
              <w:jc w:val="right"/>
            </w:pPr>
            <w:r>
              <w:t>-</w:t>
            </w:r>
          </w:p>
        </w:tc>
      </w:tr>
      <w:tr w:rsidR="00454A29" w14:paraId="49E62917" w14:textId="77777777">
        <w:tc>
          <w:tcPr>
            <w:tcW w:w="2041" w:type="dxa"/>
            <w:vMerge/>
          </w:tcPr>
          <w:p w14:paraId="75B48017" w14:textId="77777777" w:rsidR="00454A29" w:rsidRDefault="00454A29"/>
        </w:tc>
        <w:tc>
          <w:tcPr>
            <w:tcW w:w="3005" w:type="dxa"/>
            <w:vMerge/>
          </w:tcPr>
          <w:p w14:paraId="28A2F9E7" w14:textId="77777777" w:rsidR="00454A29" w:rsidRDefault="00454A29"/>
        </w:tc>
        <w:tc>
          <w:tcPr>
            <w:tcW w:w="2778" w:type="dxa"/>
            <w:vAlign w:val="center"/>
          </w:tcPr>
          <w:p w14:paraId="0F59DD06" w14:textId="77777777" w:rsidR="00454A29" w:rsidRDefault="00454A29">
            <w:pPr>
              <w:pStyle w:val="ConsPlusNormal"/>
            </w:pPr>
            <w:r>
              <w:t>Федеральный бюджет</w:t>
            </w:r>
          </w:p>
        </w:tc>
        <w:tc>
          <w:tcPr>
            <w:tcW w:w="1304" w:type="dxa"/>
            <w:vAlign w:val="center"/>
          </w:tcPr>
          <w:p w14:paraId="0580FB50" w14:textId="77777777" w:rsidR="00454A29" w:rsidRDefault="00454A29">
            <w:pPr>
              <w:pStyle w:val="ConsPlusNormal"/>
            </w:pPr>
          </w:p>
        </w:tc>
        <w:tc>
          <w:tcPr>
            <w:tcW w:w="1247" w:type="dxa"/>
            <w:vAlign w:val="center"/>
          </w:tcPr>
          <w:p w14:paraId="4035CE28" w14:textId="77777777" w:rsidR="00454A29" w:rsidRDefault="00454A29">
            <w:pPr>
              <w:pStyle w:val="ConsPlusNormal"/>
            </w:pPr>
          </w:p>
        </w:tc>
        <w:tc>
          <w:tcPr>
            <w:tcW w:w="1304" w:type="dxa"/>
            <w:vAlign w:val="center"/>
          </w:tcPr>
          <w:p w14:paraId="6B32A0CE" w14:textId="77777777" w:rsidR="00454A29" w:rsidRDefault="00454A29">
            <w:pPr>
              <w:pStyle w:val="ConsPlusNormal"/>
            </w:pPr>
          </w:p>
        </w:tc>
        <w:tc>
          <w:tcPr>
            <w:tcW w:w="1304" w:type="dxa"/>
            <w:vAlign w:val="center"/>
          </w:tcPr>
          <w:p w14:paraId="104FFB98" w14:textId="77777777" w:rsidR="00454A29" w:rsidRDefault="00454A29">
            <w:pPr>
              <w:pStyle w:val="ConsPlusNormal"/>
            </w:pPr>
          </w:p>
        </w:tc>
        <w:tc>
          <w:tcPr>
            <w:tcW w:w="1304" w:type="dxa"/>
            <w:vAlign w:val="center"/>
          </w:tcPr>
          <w:p w14:paraId="6773BA54" w14:textId="77777777" w:rsidR="00454A29" w:rsidRDefault="00454A29">
            <w:pPr>
              <w:pStyle w:val="ConsPlusNormal"/>
            </w:pPr>
          </w:p>
        </w:tc>
        <w:tc>
          <w:tcPr>
            <w:tcW w:w="1304" w:type="dxa"/>
            <w:vAlign w:val="center"/>
          </w:tcPr>
          <w:p w14:paraId="5DC006A0" w14:textId="77777777" w:rsidR="00454A29" w:rsidRDefault="00454A29">
            <w:pPr>
              <w:pStyle w:val="ConsPlusNormal"/>
            </w:pPr>
          </w:p>
        </w:tc>
        <w:tc>
          <w:tcPr>
            <w:tcW w:w="1304" w:type="dxa"/>
            <w:vAlign w:val="center"/>
          </w:tcPr>
          <w:p w14:paraId="2ACB075C" w14:textId="77777777" w:rsidR="00454A29" w:rsidRDefault="00454A29">
            <w:pPr>
              <w:pStyle w:val="ConsPlusNormal"/>
            </w:pPr>
          </w:p>
        </w:tc>
      </w:tr>
      <w:tr w:rsidR="00454A29" w14:paraId="61FE4E3F" w14:textId="77777777">
        <w:tc>
          <w:tcPr>
            <w:tcW w:w="2041" w:type="dxa"/>
            <w:vMerge/>
          </w:tcPr>
          <w:p w14:paraId="1DC33AF0" w14:textId="77777777" w:rsidR="00454A29" w:rsidRDefault="00454A29"/>
        </w:tc>
        <w:tc>
          <w:tcPr>
            <w:tcW w:w="3005" w:type="dxa"/>
            <w:vMerge/>
          </w:tcPr>
          <w:p w14:paraId="65B8CC06" w14:textId="77777777" w:rsidR="00454A29" w:rsidRDefault="00454A29"/>
        </w:tc>
        <w:tc>
          <w:tcPr>
            <w:tcW w:w="2778" w:type="dxa"/>
            <w:vAlign w:val="center"/>
          </w:tcPr>
          <w:p w14:paraId="7D77DCEA" w14:textId="77777777" w:rsidR="00454A29" w:rsidRDefault="00454A29">
            <w:pPr>
              <w:pStyle w:val="ConsPlusNormal"/>
            </w:pPr>
            <w:r>
              <w:t>Местные бюджеты</w:t>
            </w:r>
          </w:p>
        </w:tc>
        <w:tc>
          <w:tcPr>
            <w:tcW w:w="1304" w:type="dxa"/>
            <w:vAlign w:val="center"/>
          </w:tcPr>
          <w:p w14:paraId="7A62FBEF" w14:textId="77777777" w:rsidR="00454A29" w:rsidRDefault="00454A29">
            <w:pPr>
              <w:pStyle w:val="ConsPlusNormal"/>
            </w:pPr>
          </w:p>
        </w:tc>
        <w:tc>
          <w:tcPr>
            <w:tcW w:w="1247" w:type="dxa"/>
            <w:vAlign w:val="center"/>
          </w:tcPr>
          <w:p w14:paraId="4267F4A3" w14:textId="77777777" w:rsidR="00454A29" w:rsidRDefault="00454A29">
            <w:pPr>
              <w:pStyle w:val="ConsPlusNormal"/>
            </w:pPr>
          </w:p>
        </w:tc>
        <w:tc>
          <w:tcPr>
            <w:tcW w:w="1304" w:type="dxa"/>
            <w:vAlign w:val="center"/>
          </w:tcPr>
          <w:p w14:paraId="2920F1F3" w14:textId="77777777" w:rsidR="00454A29" w:rsidRDefault="00454A29">
            <w:pPr>
              <w:pStyle w:val="ConsPlusNormal"/>
            </w:pPr>
          </w:p>
        </w:tc>
        <w:tc>
          <w:tcPr>
            <w:tcW w:w="1304" w:type="dxa"/>
            <w:vAlign w:val="center"/>
          </w:tcPr>
          <w:p w14:paraId="6FEEBDDB" w14:textId="77777777" w:rsidR="00454A29" w:rsidRDefault="00454A29">
            <w:pPr>
              <w:pStyle w:val="ConsPlusNormal"/>
            </w:pPr>
          </w:p>
        </w:tc>
        <w:tc>
          <w:tcPr>
            <w:tcW w:w="1304" w:type="dxa"/>
            <w:vAlign w:val="center"/>
          </w:tcPr>
          <w:p w14:paraId="34F67ECF" w14:textId="77777777" w:rsidR="00454A29" w:rsidRDefault="00454A29">
            <w:pPr>
              <w:pStyle w:val="ConsPlusNormal"/>
            </w:pPr>
          </w:p>
        </w:tc>
        <w:tc>
          <w:tcPr>
            <w:tcW w:w="1304" w:type="dxa"/>
            <w:vAlign w:val="center"/>
          </w:tcPr>
          <w:p w14:paraId="6F6B959A" w14:textId="77777777" w:rsidR="00454A29" w:rsidRDefault="00454A29">
            <w:pPr>
              <w:pStyle w:val="ConsPlusNormal"/>
            </w:pPr>
          </w:p>
        </w:tc>
        <w:tc>
          <w:tcPr>
            <w:tcW w:w="1304" w:type="dxa"/>
            <w:vAlign w:val="center"/>
          </w:tcPr>
          <w:p w14:paraId="0D571CF3" w14:textId="77777777" w:rsidR="00454A29" w:rsidRDefault="00454A29">
            <w:pPr>
              <w:pStyle w:val="ConsPlusNormal"/>
            </w:pPr>
          </w:p>
        </w:tc>
      </w:tr>
      <w:tr w:rsidR="00454A29" w14:paraId="2E95B415" w14:textId="77777777">
        <w:tc>
          <w:tcPr>
            <w:tcW w:w="2041" w:type="dxa"/>
            <w:vMerge/>
          </w:tcPr>
          <w:p w14:paraId="740CBB06" w14:textId="77777777" w:rsidR="00454A29" w:rsidRDefault="00454A29"/>
        </w:tc>
        <w:tc>
          <w:tcPr>
            <w:tcW w:w="3005" w:type="dxa"/>
            <w:vMerge/>
          </w:tcPr>
          <w:p w14:paraId="276FC3DA" w14:textId="77777777" w:rsidR="00454A29" w:rsidRDefault="00454A29"/>
        </w:tc>
        <w:tc>
          <w:tcPr>
            <w:tcW w:w="2778" w:type="dxa"/>
            <w:vAlign w:val="center"/>
          </w:tcPr>
          <w:p w14:paraId="05B9409D" w14:textId="77777777" w:rsidR="00454A29" w:rsidRDefault="00454A29">
            <w:pPr>
              <w:pStyle w:val="ConsPlusNormal"/>
            </w:pPr>
            <w:r>
              <w:t>Внебюджетные средства</w:t>
            </w:r>
          </w:p>
        </w:tc>
        <w:tc>
          <w:tcPr>
            <w:tcW w:w="1304" w:type="dxa"/>
            <w:vAlign w:val="center"/>
          </w:tcPr>
          <w:p w14:paraId="2EF08647" w14:textId="77777777" w:rsidR="00454A29" w:rsidRDefault="00454A29">
            <w:pPr>
              <w:pStyle w:val="ConsPlusNormal"/>
            </w:pPr>
          </w:p>
        </w:tc>
        <w:tc>
          <w:tcPr>
            <w:tcW w:w="1247" w:type="dxa"/>
            <w:vAlign w:val="center"/>
          </w:tcPr>
          <w:p w14:paraId="5C5C10F5" w14:textId="77777777" w:rsidR="00454A29" w:rsidRDefault="00454A29">
            <w:pPr>
              <w:pStyle w:val="ConsPlusNormal"/>
            </w:pPr>
          </w:p>
        </w:tc>
        <w:tc>
          <w:tcPr>
            <w:tcW w:w="1304" w:type="dxa"/>
            <w:vAlign w:val="center"/>
          </w:tcPr>
          <w:p w14:paraId="53036590" w14:textId="77777777" w:rsidR="00454A29" w:rsidRDefault="00454A29">
            <w:pPr>
              <w:pStyle w:val="ConsPlusNormal"/>
            </w:pPr>
          </w:p>
        </w:tc>
        <w:tc>
          <w:tcPr>
            <w:tcW w:w="1304" w:type="dxa"/>
            <w:vAlign w:val="center"/>
          </w:tcPr>
          <w:p w14:paraId="445C27FE" w14:textId="77777777" w:rsidR="00454A29" w:rsidRDefault="00454A29">
            <w:pPr>
              <w:pStyle w:val="ConsPlusNormal"/>
            </w:pPr>
          </w:p>
        </w:tc>
        <w:tc>
          <w:tcPr>
            <w:tcW w:w="1304" w:type="dxa"/>
            <w:vAlign w:val="center"/>
          </w:tcPr>
          <w:p w14:paraId="1E771D95" w14:textId="77777777" w:rsidR="00454A29" w:rsidRDefault="00454A29">
            <w:pPr>
              <w:pStyle w:val="ConsPlusNormal"/>
            </w:pPr>
          </w:p>
        </w:tc>
        <w:tc>
          <w:tcPr>
            <w:tcW w:w="1304" w:type="dxa"/>
            <w:vAlign w:val="center"/>
          </w:tcPr>
          <w:p w14:paraId="5AB69C98" w14:textId="77777777" w:rsidR="00454A29" w:rsidRDefault="00454A29">
            <w:pPr>
              <w:pStyle w:val="ConsPlusNormal"/>
            </w:pPr>
          </w:p>
        </w:tc>
        <w:tc>
          <w:tcPr>
            <w:tcW w:w="1304" w:type="dxa"/>
            <w:vAlign w:val="center"/>
          </w:tcPr>
          <w:p w14:paraId="2AA2474A" w14:textId="77777777" w:rsidR="00454A29" w:rsidRDefault="00454A29">
            <w:pPr>
              <w:pStyle w:val="ConsPlusNormal"/>
            </w:pPr>
          </w:p>
        </w:tc>
      </w:tr>
      <w:tr w:rsidR="00454A29" w14:paraId="26F2A39F" w14:textId="77777777">
        <w:tc>
          <w:tcPr>
            <w:tcW w:w="2041" w:type="dxa"/>
            <w:vMerge w:val="restart"/>
            <w:vAlign w:val="center"/>
          </w:tcPr>
          <w:p w14:paraId="402A4712" w14:textId="77777777" w:rsidR="00454A29" w:rsidRDefault="00454A29">
            <w:pPr>
              <w:pStyle w:val="ConsPlusNormal"/>
              <w:jc w:val="center"/>
            </w:pPr>
            <w:r>
              <w:t>Основное мероприятие 7.2.</w:t>
            </w:r>
          </w:p>
        </w:tc>
        <w:tc>
          <w:tcPr>
            <w:tcW w:w="3005" w:type="dxa"/>
            <w:vMerge w:val="restart"/>
            <w:vAlign w:val="center"/>
          </w:tcPr>
          <w:p w14:paraId="30F55548" w14:textId="77777777" w:rsidR="00454A29" w:rsidRDefault="00454A29">
            <w:pPr>
              <w:pStyle w:val="ConsPlusNormal"/>
              <w:jc w:val="center"/>
            </w:pPr>
            <w:r>
              <w:t>Формирование региональной системы непрерывного педагогического образования</w:t>
            </w:r>
          </w:p>
        </w:tc>
        <w:tc>
          <w:tcPr>
            <w:tcW w:w="2778" w:type="dxa"/>
            <w:vAlign w:val="center"/>
          </w:tcPr>
          <w:p w14:paraId="4ED57988" w14:textId="77777777" w:rsidR="00454A29" w:rsidRDefault="00454A29">
            <w:pPr>
              <w:pStyle w:val="ConsPlusNormal"/>
            </w:pPr>
            <w:r>
              <w:t>Всего:</w:t>
            </w:r>
          </w:p>
        </w:tc>
        <w:tc>
          <w:tcPr>
            <w:tcW w:w="1304" w:type="dxa"/>
            <w:vAlign w:val="center"/>
          </w:tcPr>
          <w:p w14:paraId="6EA43018" w14:textId="77777777" w:rsidR="00454A29" w:rsidRDefault="00454A29">
            <w:pPr>
              <w:pStyle w:val="ConsPlusNormal"/>
              <w:jc w:val="right"/>
            </w:pPr>
            <w:r>
              <w:t>-</w:t>
            </w:r>
          </w:p>
        </w:tc>
        <w:tc>
          <w:tcPr>
            <w:tcW w:w="1247" w:type="dxa"/>
            <w:vAlign w:val="center"/>
          </w:tcPr>
          <w:p w14:paraId="2BD5F2D2" w14:textId="77777777" w:rsidR="00454A29" w:rsidRDefault="00454A29">
            <w:pPr>
              <w:pStyle w:val="ConsPlusNormal"/>
              <w:jc w:val="right"/>
            </w:pPr>
            <w:r>
              <w:t>-</w:t>
            </w:r>
          </w:p>
        </w:tc>
        <w:tc>
          <w:tcPr>
            <w:tcW w:w="1304" w:type="dxa"/>
            <w:vAlign w:val="center"/>
          </w:tcPr>
          <w:p w14:paraId="49D11D8F" w14:textId="77777777" w:rsidR="00454A29" w:rsidRDefault="00454A29">
            <w:pPr>
              <w:pStyle w:val="ConsPlusNormal"/>
              <w:jc w:val="right"/>
            </w:pPr>
            <w:r>
              <w:t>-</w:t>
            </w:r>
          </w:p>
        </w:tc>
        <w:tc>
          <w:tcPr>
            <w:tcW w:w="1304" w:type="dxa"/>
            <w:vAlign w:val="center"/>
          </w:tcPr>
          <w:p w14:paraId="7667C46C" w14:textId="77777777" w:rsidR="00454A29" w:rsidRDefault="00454A29">
            <w:pPr>
              <w:pStyle w:val="ConsPlusNormal"/>
              <w:jc w:val="right"/>
            </w:pPr>
            <w:r>
              <w:t>-</w:t>
            </w:r>
          </w:p>
        </w:tc>
        <w:tc>
          <w:tcPr>
            <w:tcW w:w="1304" w:type="dxa"/>
            <w:vAlign w:val="center"/>
          </w:tcPr>
          <w:p w14:paraId="05E75C66" w14:textId="77777777" w:rsidR="00454A29" w:rsidRDefault="00454A29">
            <w:pPr>
              <w:pStyle w:val="ConsPlusNormal"/>
              <w:jc w:val="right"/>
            </w:pPr>
            <w:r>
              <w:t>-</w:t>
            </w:r>
          </w:p>
        </w:tc>
        <w:tc>
          <w:tcPr>
            <w:tcW w:w="1304" w:type="dxa"/>
            <w:vAlign w:val="center"/>
          </w:tcPr>
          <w:p w14:paraId="17D05D98" w14:textId="77777777" w:rsidR="00454A29" w:rsidRDefault="00454A29">
            <w:pPr>
              <w:pStyle w:val="ConsPlusNormal"/>
              <w:jc w:val="right"/>
            </w:pPr>
            <w:r>
              <w:t>-</w:t>
            </w:r>
          </w:p>
        </w:tc>
        <w:tc>
          <w:tcPr>
            <w:tcW w:w="1304" w:type="dxa"/>
            <w:vAlign w:val="center"/>
          </w:tcPr>
          <w:p w14:paraId="2FA34DF6" w14:textId="77777777" w:rsidR="00454A29" w:rsidRDefault="00454A29">
            <w:pPr>
              <w:pStyle w:val="ConsPlusNormal"/>
              <w:jc w:val="right"/>
            </w:pPr>
            <w:r>
              <w:t>-</w:t>
            </w:r>
          </w:p>
        </w:tc>
      </w:tr>
      <w:tr w:rsidR="00454A29" w14:paraId="2A118CB6" w14:textId="77777777">
        <w:tc>
          <w:tcPr>
            <w:tcW w:w="2041" w:type="dxa"/>
            <w:vMerge/>
          </w:tcPr>
          <w:p w14:paraId="457BC8A7" w14:textId="77777777" w:rsidR="00454A29" w:rsidRDefault="00454A29"/>
        </w:tc>
        <w:tc>
          <w:tcPr>
            <w:tcW w:w="3005" w:type="dxa"/>
            <w:vMerge/>
          </w:tcPr>
          <w:p w14:paraId="38CD89DB" w14:textId="77777777" w:rsidR="00454A29" w:rsidRDefault="00454A29"/>
        </w:tc>
        <w:tc>
          <w:tcPr>
            <w:tcW w:w="2778" w:type="dxa"/>
            <w:vAlign w:val="center"/>
          </w:tcPr>
          <w:p w14:paraId="402E7292" w14:textId="77777777" w:rsidR="00454A29" w:rsidRDefault="00454A29">
            <w:pPr>
              <w:pStyle w:val="ConsPlusNormal"/>
            </w:pPr>
            <w:r>
              <w:t>Государственный бюджет Республики Саха (Якутия)</w:t>
            </w:r>
          </w:p>
        </w:tc>
        <w:tc>
          <w:tcPr>
            <w:tcW w:w="1304" w:type="dxa"/>
            <w:vAlign w:val="center"/>
          </w:tcPr>
          <w:p w14:paraId="50EE26FA" w14:textId="77777777" w:rsidR="00454A29" w:rsidRDefault="00454A29">
            <w:pPr>
              <w:pStyle w:val="ConsPlusNormal"/>
            </w:pPr>
          </w:p>
        </w:tc>
        <w:tc>
          <w:tcPr>
            <w:tcW w:w="1247" w:type="dxa"/>
            <w:vAlign w:val="center"/>
          </w:tcPr>
          <w:p w14:paraId="5B5A19CA" w14:textId="77777777" w:rsidR="00454A29" w:rsidRDefault="00454A29">
            <w:pPr>
              <w:pStyle w:val="ConsPlusNormal"/>
            </w:pPr>
          </w:p>
        </w:tc>
        <w:tc>
          <w:tcPr>
            <w:tcW w:w="1304" w:type="dxa"/>
            <w:vAlign w:val="center"/>
          </w:tcPr>
          <w:p w14:paraId="2A9C3379" w14:textId="77777777" w:rsidR="00454A29" w:rsidRDefault="00454A29">
            <w:pPr>
              <w:pStyle w:val="ConsPlusNormal"/>
            </w:pPr>
          </w:p>
        </w:tc>
        <w:tc>
          <w:tcPr>
            <w:tcW w:w="1304" w:type="dxa"/>
            <w:vAlign w:val="center"/>
          </w:tcPr>
          <w:p w14:paraId="456F81AC" w14:textId="77777777" w:rsidR="00454A29" w:rsidRDefault="00454A29">
            <w:pPr>
              <w:pStyle w:val="ConsPlusNormal"/>
            </w:pPr>
          </w:p>
        </w:tc>
        <w:tc>
          <w:tcPr>
            <w:tcW w:w="1304" w:type="dxa"/>
            <w:vAlign w:val="center"/>
          </w:tcPr>
          <w:p w14:paraId="61CE7FB8" w14:textId="77777777" w:rsidR="00454A29" w:rsidRDefault="00454A29">
            <w:pPr>
              <w:pStyle w:val="ConsPlusNormal"/>
            </w:pPr>
          </w:p>
        </w:tc>
        <w:tc>
          <w:tcPr>
            <w:tcW w:w="1304" w:type="dxa"/>
            <w:vAlign w:val="center"/>
          </w:tcPr>
          <w:p w14:paraId="4A06A6AF" w14:textId="77777777" w:rsidR="00454A29" w:rsidRDefault="00454A29">
            <w:pPr>
              <w:pStyle w:val="ConsPlusNormal"/>
            </w:pPr>
          </w:p>
        </w:tc>
        <w:tc>
          <w:tcPr>
            <w:tcW w:w="1304" w:type="dxa"/>
            <w:vAlign w:val="center"/>
          </w:tcPr>
          <w:p w14:paraId="7C35768A" w14:textId="77777777" w:rsidR="00454A29" w:rsidRDefault="00454A29">
            <w:pPr>
              <w:pStyle w:val="ConsPlusNormal"/>
            </w:pPr>
          </w:p>
        </w:tc>
      </w:tr>
      <w:tr w:rsidR="00454A29" w14:paraId="69E902DE" w14:textId="77777777">
        <w:tc>
          <w:tcPr>
            <w:tcW w:w="2041" w:type="dxa"/>
            <w:vMerge/>
          </w:tcPr>
          <w:p w14:paraId="7E4FF044" w14:textId="77777777" w:rsidR="00454A29" w:rsidRDefault="00454A29"/>
        </w:tc>
        <w:tc>
          <w:tcPr>
            <w:tcW w:w="3005" w:type="dxa"/>
            <w:vMerge/>
          </w:tcPr>
          <w:p w14:paraId="5BC14BD9" w14:textId="77777777" w:rsidR="00454A29" w:rsidRDefault="00454A29"/>
        </w:tc>
        <w:tc>
          <w:tcPr>
            <w:tcW w:w="2778" w:type="dxa"/>
            <w:vAlign w:val="center"/>
          </w:tcPr>
          <w:p w14:paraId="2187BA72" w14:textId="77777777" w:rsidR="00454A29" w:rsidRDefault="00454A29">
            <w:pPr>
              <w:pStyle w:val="ConsPlusNormal"/>
            </w:pPr>
            <w:r>
              <w:t>Федеральный бюджет</w:t>
            </w:r>
          </w:p>
        </w:tc>
        <w:tc>
          <w:tcPr>
            <w:tcW w:w="1304" w:type="dxa"/>
            <w:vAlign w:val="center"/>
          </w:tcPr>
          <w:p w14:paraId="6F086F7E" w14:textId="77777777" w:rsidR="00454A29" w:rsidRDefault="00454A29">
            <w:pPr>
              <w:pStyle w:val="ConsPlusNormal"/>
            </w:pPr>
          </w:p>
        </w:tc>
        <w:tc>
          <w:tcPr>
            <w:tcW w:w="1247" w:type="dxa"/>
            <w:vAlign w:val="center"/>
          </w:tcPr>
          <w:p w14:paraId="31AA2AF0" w14:textId="77777777" w:rsidR="00454A29" w:rsidRDefault="00454A29">
            <w:pPr>
              <w:pStyle w:val="ConsPlusNormal"/>
            </w:pPr>
          </w:p>
        </w:tc>
        <w:tc>
          <w:tcPr>
            <w:tcW w:w="1304" w:type="dxa"/>
            <w:vAlign w:val="center"/>
          </w:tcPr>
          <w:p w14:paraId="683DFDE5" w14:textId="77777777" w:rsidR="00454A29" w:rsidRDefault="00454A29">
            <w:pPr>
              <w:pStyle w:val="ConsPlusNormal"/>
            </w:pPr>
          </w:p>
        </w:tc>
        <w:tc>
          <w:tcPr>
            <w:tcW w:w="1304" w:type="dxa"/>
            <w:vAlign w:val="center"/>
          </w:tcPr>
          <w:p w14:paraId="2D4229B0" w14:textId="77777777" w:rsidR="00454A29" w:rsidRDefault="00454A29">
            <w:pPr>
              <w:pStyle w:val="ConsPlusNormal"/>
            </w:pPr>
          </w:p>
        </w:tc>
        <w:tc>
          <w:tcPr>
            <w:tcW w:w="1304" w:type="dxa"/>
            <w:vAlign w:val="center"/>
          </w:tcPr>
          <w:p w14:paraId="5E460334" w14:textId="77777777" w:rsidR="00454A29" w:rsidRDefault="00454A29">
            <w:pPr>
              <w:pStyle w:val="ConsPlusNormal"/>
            </w:pPr>
          </w:p>
        </w:tc>
        <w:tc>
          <w:tcPr>
            <w:tcW w:w="1304" w:type="dxa"/>
            <w:vAlign w:val="center"/>
          </w:tcPr>
          <w:p w14:paraId="3EF5B98F" w14:textId="77777777" w:rsidR="00454A29" w:rsidRDefault="00454A29">
            <w:pPr>
              <w:pStyle w:val="ConsPlusNormal"/>
            </w:pPr>
          </w:p>
        </w:tc>
        <w:tc>
          <w:tcPr>
            <w:tcW w:w="1304" w:type="dxa"/>
            <w:vAlign w:val="center"/>
          </w:tcPr>
          <w:p w14:paraId="73DC6A5A" w14:textId="77777777" w:rsidR="00454A29" w:rsidRDefault="00454A29">
            <w:pPr>
              <w:pStyle w:val="ConsPlusNormal"/>
            </w:pPr>
          </w:p>
        </w:tc>
      </w:tr>
      <w:tr w:rsidR="00454A29" w14:paraId="37E6A222" w14:textId="77777777">
        <w:tc>
          <w:tcPr>
            <w:tcW w:w="2041" w:type="dxa"/>
            <w:vMerge/>
          </w:tcPr>
          <w:p w14:paraId="2B1FE860" w14:textId="77777777" w:rsidR="00454A29" w:rsidRDefault="00454A29"/>
        </w:tc>
        <w:tc>
          <w:tcPr>
            <w:tcW w:w="3005" w:type="dxa"/>
            <w:vMerge/>
          </w:tcPr>
          <w:p w14:paraId="022269AB" w14:textId="77777777" w:rsidR="00454A29" w:rsidRDefault="00454A29"/>
        </w:tc>
        <w:tc>
          <w:tcPr>
            <w:tcW w:w="2778" w:type="dxa"/>
            <w:vAlign w:val="center"/>
          </w:tcPr>
          <w:p w14:paraId="7D3C80D6" w14:textId="77777777" w:rsidR="00454A29" w:rsidRDefault="00454A29">
            <w:pPr>
              <w:pStyle w:val="ConsPlusNormal"/>
            </w:pPr>
            <w:r>
              <w:t>Местные бюджеты</w:t>
            </w:r>
          </w:p>
        </w:tc>
        <w:tc>
          <w:tcPr>
            <w:tcW w:w="1304" w:type="dxa"/>
            <w:vAlign w:val="center"/>
          </w:tcPr>
          <w:p w14:paraId="15278909" w14:textId="77777777" w:rsidR="00454A29" w:rsidRDefault="00454A29">
            <w:pPr>
              <w:pStyle w:val="ConsPlusNormal"/>
            </w:pPr>
          </w:p>
        </w:tc>
        <w:tc>
          <w:tcPr>
            <w:tcW w:w="1247" w:type="dxa"/>
            <w:vAlign w:val="center"/>
          </w:tcPr>
          <w:p w14:paraId="28C0C90E" w14:textId="77777777" w:rsidR="00454A29" w:rsidRDefault="00454A29">
            <w:pPr>
              <w:pStyle w:val="ConsPlusNormal"/>
            </w:pPr>
          </w:p>
        </w:tc>
        <w:tc>
          <w:tcPr>
            <w:tcW w:w="1304" w:type="dxa"/>
            <w:vAlign w:val="center"/>
          </w:tcPr>
          <w:p w14:paraId="06EDED10" w14:textId="77777777" w:rsidR="00454A29" w:rsidRDefault="00454A29">
            <w:pPr>
              <w:pStyle w:val="ConsPlusNormal"/>
            </w:pPr>
          </w:p>
        </w:tc>
        <w:tc>
          <w:tcPr>
            <w:tcW w:w="1304" w:type="dxa"/>
            <w:vAlign w:val="center"/>
          </w:tcPr>
          <w:p w14:paraId="70AC4385" w14:textId="77777777" w:rsidR="00454A29" w:rsidRDefault="00454A29">
            <w:pPr>
              <w:pStyle w:val="ConsPlusNormal"/>
            </w:pPr>
          </w:p>
        </w:tc>
        <w:tc>
          <w:tcPr>
            <w:tcW w:w="1304" w:type="dxa"/>
            <w:vAlign w:val="center"/>
          </w:tcPr>
          <w:p w14:paraId="1BA734D0" w14:textId="77777777" w:rsidR="00454A29" w:rsidRDefault="00454A29">
            <w:pPr>
              <w:pStyle w:val="ConsPlusNormal"/>
            </w:pPr>
          </w:p>
        </w:tc>
        <w:tc>
          <w:tcPr>
            <w:tcW w:w="1304" w:type="dxa"/>
            <w:vAlign w:val="center"/>
          </w:tcPr>
          <w:p w14:paraId="78A1CDD3" w14:textId="77777777" w:rsidR="00454A29" w:rsidRDefault="00454A29">
            <w:pPr>
              <w:pStyle w:val="ConsPlusNormal"/>
            </w:pPr>
          </w:p>
        </w:tc>
        <w:tc>
          <w:tcPr>
            <w:tcW w:w="1304" w:type="dxa"/>
            <w:vAlign w:val="center"/>
          </w:tcPr>
          <w:p w14:paraId="726215AE" w14:textId="77777777" w:rsidR="00454A29" w:rsidRDefault="00454A29">
            <w:pPr>
              <w:pStyle w:val="ConsPlusNormal"/>
            </w:pPr>
          </w:p>
        </w:tc>
      </w:tr>
      <w:tr w:rsidR="00454A29" w14:paraId="620F3F2B" w14:textId="77777777">
        <w:tc>
          <w:tcPr>
            <w:tcW w:w="2041" w:type="dxa"/>
            <w:vMerge/>
          </w:tcPr>
          <w:p w14:paraId="25E6B7D0" w14:textId="77777777" w:rsidR="00454A29" w:rsidRDefault="00454A29"/>
        </w:tc>
        <w:tc>
          <w:tcPr>
            <w:tcW w:w="3005" w:type="dxa"/>
            <w:vMerge/>
          </w:tcPr>
          <w:p w14:paraId="1F2668A7" w14:textId="77777777" w:rsidR="00454A29" w:rsidRDefault="00454A29"/>
        </w:tc>
        <w:tc>
          <w:tcPr>
            <w:tcW w:w="2778" w:type="dxa"/>
            <w:vAlign w:val="center"/>
          </w:tcPr>
          <w:p w14:paraId="1F898A17" w14:textId="77777777" w:rsidR="00454A29" w:rsidRDefault="00454A29">
            <w:pPr>
              <w:pStyle w:val="ConsPlusNormal"/>
            </w:pPr>
            <w:r>
              <w:t>Внебюджетные средства</w:t>
            </w:r>
          </w:p>
        </w:tc>
        <w:tc>
          <w:tcPr>
            <w:tcW w:w="1304" w:type="dxa"/>
            <w:vAlign w:val="center"/>
          </w:tcPr>
          <w:p w14:paraId="7A834967" w14:textId="77777777" w:rsidR="00454A29" w:rsidRDefault="00454A29">
            <w:pPr>
              <w:pStyle w:val="ConsPlusNormal"/>
            </w:pPr>
          </w:p>
        </w:tc>
        <w:tc>
          <w:tcPr>
            <w:tcW w:w="1247" w:type="dxa"/>
            <w:vAlign w:val="center"/>
          </w:tcPr>
          <w:p w14:paraId="19A3E556" w14:textId="77777777" w:rsidR="00454A29" w:rsidRDefault="00454A29">
            <w:pPr>
              <w:pStyle w:val="ConsPlusNormal"/>
            </w:pPr>
          </w:p>
        </w:tc>
        <w:tc>
          <w:tcPr>
            <w:tcW w:w="1304" w:type="dxa"/>
            <w:vAlign w:val="center"/>
          </w:tcPr>
          <w:p w14:paraId="3FA1E3E4" w14:textId="77777777" w:rsidR="00454A29" w:rsidRDefault="00454A29">
            <w:pPr>
              <w:pStyle w:val="ConsPlusNormal"/>
            </w:pPr>
          </w:p>
        </w:tc>
        <w:tc>
          <w:tcPr>
            <w:tcW w:w="1304" w:type="dxa"/>
            <w:vAlign w:val="center"/>
          </w:tcPr>
          <w:p w14:paraId="40B07EE4" w14:textId="77777777" w:rsidR="00454A29" w:rsidRDefault="00454A29">
            <w:pPr>
              <w:pStyle w:val="ConsPlusNormal"/>
            </w:pPr>
          </w:p>
        </w:tc>
        <w:tc>
          <w:tcPr>
            <w:tcW w:w="1304" w:type="dxa"/>
            <w:vAlign w:val="center"/>
          </w:tcPr>
          <w:p w14:paraId="4E00BB3B" w14:textId="77777777" w:rsidR="00454A29" w:rsidRDefault="00454A29">
            <w:pPr>
              <w:pStyle w:val="ConsPlusNormal"/>
            </w:pPr>
          </w:p>
        </w:tc>
        <w:tc>
          <w:tcPr>
            <w:tcW w:w="1304" w:type="dxa"/>
            <w:vAlign w:val="center"/>
          </w:tcPr>
          <w:p w14:paraId="0D1BAE70" w14:textId="77777777" w:rsidR="00454A29" w:rsidRDefault="00454A29">
            <w:pPr>
              <w:pStyle w:val="ConsPlusNormal"/>
            </w:pPr>
          </w:p>
        </w:tc>
        <w:tc>
          <w:tcPr>
            <w:tcW w:w="1304" w:type="dxa"/>
            <w:vAlign w:val="center"/>
          </w:tcPr>
          <w:p w14:paraId="79FFB6A8" w14:textId="77777777" w:rsidR="00454A29" w:rsidRDefault="00454A29">
            <w:pPr>
              <w:pStyle w:val="ConsPlusNormal"/>
            </w:pPr>
          </w:p>
        </w:tc>
      </w:tr>
      <w:tr w:rsidR="00454A29" w14:paraId="2912808D" w14:textId="77777777">
        <w:tc>
          <w:tcPr>
            <w:tcW w:w="2041" w:type="dxa"/>
            <w:vMerge w:val="restart"/>
            <w:vAlign w:val="center"/>
          </w:tcPr>
          <w:p w14:paraId="7DF74370" w14:textId="77777777" w:rsidR="00454A29" w:rsidRDefault="00454A29">
            <w:pPr>
              <w:pStyle w:val="ConsPlusNormal"/>
              <w:jc w:val="center"/>
            </w:pPr>
            <w:r>
              <w:t>Основное мероприятие 7.3.</w:t>
            </w:r>
          </w:p>
        </w:tc>
        <w:tc>
          <w:tcPr>
            <w:tcW w:w="3005" w:type="dxa"/>
            <w:vMerge w:val="restart"/>
            <w:vAlign w:val="center"/>
          </w:tcPr>
          <w:p w14:paraId="11E31255" w14:textId="77777777" w:rsidR="00454A29" w:rsidRDefault="00454A29">
            <w:pPr>
              <w:pStyle w:val="ConsPlusNormal"/>
              <w:jc w:val="center"/>
            </w:pPr>
            <w:r>
              <w:t>Реализация регионального проекта "Учитель будущего"</w:t>
            </w:r>
          </w:p>
        </w:tc>
        <w:tc>
          <w:tcPr>
            <w:tcW w:w="2778" w:type="dxa"/>
            <w:vAlign w:val="center"/>
          </w:tcPr>
          <w:p w14:paraId="4F42F70F" w14:textId="77777777" w:rsidR="00454A29" w:rsidRDefault="00454A29">
            <w:pPr>
              <w:pStyle w:val="ConsPlusNormal"/>
            </w:pPr>
            <w:r>
              <w:t>Всего:</w:t>
            </w:r>
          </w:p>
        </w:tc>
        <w:tc>
          <w:tcPr>
            <w:tcW w:w="1304" w:type="dxa"/>
            <w:vAlign w:val="center"/>
          </w:tcPr>
          <w:p w14:paraId="570CCC6B" w14:textId="77777777" w:rsidR="00454A29" w:rsidRDefault="00454A29">
            <w:pPr>
              <w:pStyle w:val="ConsPlusNormal"/>
              <w:jc w:val="right"/>
            </w:pPr>
            <w:r>
              <w:t>-</w:t>
            </w:r>
          </w:p>
        </w:tc>
        <w:tc>
          <w:tcPr>
            <w:tcW w:w="1247" w:type="dxa"/>
            <w:vAlign w:val="center"/>
          </w:tcPr>
          <w:p w14:paraId="210B1A23" w14:textId="77777777" w:rsidR="00454A29" w:rsidRDefault="00454A29">
            <w:pPr>
              <w:pStyle w:val="ConsPlusNormal"/>
              <w:jc w:val="right"/>
            </w:pPr>
            <w:r>
              <w:t>-</w:t>
            </w:r>
          </w:p>
        </w:tc>
        <w:tc>
          <w:tcPr>
            <w:tcW w:w="1304" w:type="dxa"/>
            <w:vAlign w:val="center"/>
          </w:tcPr>
          <w:p w14:paraId="41F66E75" w14:textId="77777777" w:rsidR="00454A29" w:rsidRDefault="00454A29">
            <w:pPr>
              <w:pStyle w:val="ConsPlusNormal"/>
              <w:jc w:val="right"/>
            </w:pPr>
            <w:r>
              <w:t>-</w:t>
            </w:r>
          </w:p>
        </w:tc>
        <w:tc>
          <w:tcPr>
            <w:tcW w:w="1304" w:type="dxa"/>
            <w:vAlign w:val="center"/>
          </w:tcPr>
          <w:p w14:paraId="25F84BC2" w14:textId="77777777" w:rsidR="00454A29" w:rsidRDefault="00454A29">
            <w:pPr>
              <w:pStyle w:val="ConsPlusNormal"/>
              <w:jc w:val="right"/>
            </w:pPr>
            <w:r>
              <w:t>-</w:t>
            </w:r>
          </w:p>
        </w:tc>
        <w:tc>
          <w:tcPr>
            <w:tcW w:w="1304" w:type="dxa"/>
            <w:vAlign w:val="center"/>
          </w:tcPr>
          <w:p w14:paraId="417F0F5E" w14:textId="77777777" w:rsidR="00454A29" w:rsidRDefault="00454A29">
            <w:pPr>
              <w:pStyle w:val="ConsPlusNormal"/>
              <w:jc w:val="right"/>
            </w:pPr>
            <w:r>
              <w:t>-</w:t>
            </w:r>
          </w:p>
        </w:tc>
        <w:tc>
          <w:tcPr>
            <w:tcW w:w="1304" w:type="dxa"/>
            <w:vAlign w:val="center"/>
          </w:tcPr>
          <w:p w14:paraId="427D6456" w14:textId="77777777" w:rsidR="00454A29" w:rsidRDefault="00454A29">
            <w:pPr>
              <w:pStyle w:val="ConsPlusNormal"/>
              <w:jc w:val="right"/>
            </w:pPr>
            <w:r>
              <w:t>-</w:t>
            </w:r>
          </w:p>
        </w:tc>
        <w:tc>
          <w:tcPr>
            <w:tcW w:w="1304" w:type="dxa"/>
            <w:vAlign w:val="center"/>
          </w:tcPr>
          <w:p w14:paraId="5F7F1341" w14:textId="77777777" w:rsidR="00454A29" w:rsidRDefault="00454A29">
            <w:pPr>
              <w:pStyle w:val="ConsPlusNormal"/>
              <w:jc w:val="right"/>
            </w:pPr>
            <w:r>
              <w:t>-</w:t>
            </w:r>
          </w:p>
        </w:tc>
      </w:tr>
      <w:tr w:rsidR="00454A29" w14:paraId="61CCC4E4" w14:textId="77777777">
        <w:tc>
          <w:tcPr>
            <w:tcW w:w="2041" w:type="dxa"/>
            <w:vMerge/>
          </w:tcPr>
          <w:p w14:paraId="45DA7631" w14:textId="77777777" w:rsidR="00454A29" w:rsidRDefault="00454A29"/>
        </w:tc>
        <w:tc>
          <w:tcPr>
            <w:tcW w:w="3005" w:type="dxa"/>
            <w:vMerge/>
          </w:tcPr>
          <w:p w14:paraId="68F50EE3" w14:textId="77777777" w:rsidR="00454A29" w:rsidRDefault="00454A29"/>
        </w:tc>
        <w:tc>
          <w:tcPr>
            <w:tcW w:w="2778" w:type="dxa"/>
            <w:vAlign w:val="center"/>
          </w:tcPr>
          <w:p w14:paraId="1C49198C" w14:textId="77777777" w:rsidR="00454A29" w:rsidRDefault="00454A29">
            <w:pPr>
              <w:pStyle w:val="ConsPlusNormal"/>
            </w:pPr>
            <w:r>
              <w:t>Государственный бюджет Республики Саха (Якутия)</w:t>
            </w:r>
          </w:p>
        </w:tc>
        <w:tc>
          <w:tcPr>
            <w:tcW w:w="1304" w:type="dxa"/>
            <w:vAlign w:val="center"/>
          </w:tcPr>
          <w:p w14:paraId="3B65C5BC" w14:textId="77777777" w:rsidR="00454A29" w:rsidRDefault="00454A29">
            <w:pPr>
              <w:pStyle w:val="ConsPlusNormal"/>
              <w:jc w:val="right"/>
            </w:pPr>
            <w:r>
              <w:t>-</w:t>
            </w:r>
          </w:p>
        </w:tc>
        <w:tc>
          <w:tcPr>
            <w:tcW w:w="1247" w:type="dxa"/>
            <w:vAlign w:val="center"/>
          </w:tcPr>
          <w:p w14:paraId="4A5F87C6" w14:textId="77777777" w:rsidR="00454A29" w:rsidRDefault="00454A29">
            <w:pPr>
              <w:pStyle w:val="ConsPlusNormal"/>
              <w:jc w:val="right"/>
            </w:pPr>
            <w:r>
              <w:t>-</w:t>
            </w:r>
          </w:p>
        </w:tc>
        <w:tc>
          <w:tcPr>
            <w:tcW w:w="1304" w:type="dxa"/>
            <w:vAlign w:val="center"/>
          </w:tcPr>
          <w:p w14:paraId="4DE8A5E6" w14:textId="77777777" w:rsidR="00454A29" w:rsidRDefault="00454A29">
            <w:pPr>
              <w:pStyle w:val="ConsPlusNormal"/>
              <w:jc w:val="right"/>
            </w:pPr>
            <w:r>
              <w:t>-</w:t>
            </w:r>
          </w:p>
        </w:tc>
        <w:tc>
          <w:tcPr>
            <w:tcW w:w="1304" w:type="dxa"/>
            <w:vAlign w:val="center"/>
          </w:tcPr>
          <w:p w14:paraId="713142C4" w14:textId="77777777" w:rsidR="00454A29" w:rsidRDefault="00454A29">
            <w:pPr>
              <w:pStyle w:val="ConsPlusNormal"/>
              <w:jc w:val="right"/>
            </w:pPr>
            <w:r>
              <w:t>-</w:t>
            </w:r>
          </w:p>
        </w:tc>
        <w:tc>
          <w:tcPr>
            <w:tcW w:w="1304" w:type="dxa"/>
            <w:vAlign w:val="center"/>
          </w:tcPr>
          <w:p w14:paraId="09DB4DB8" w14:textId="77777777" w:rsidR="00454A29" w:rsidRDefault="00454A29">
            <w:pPr>
              <w:pStyle w:val="ConsPlusNormal"/>
              <w:jc w:val="right"/>
            </w:pPr>
            <w:r>
              <w:t>-</w:t>
            </w:r>
          </w:p>
        </w:tc>
        <w:tc>
          <w:tcPr>
            <w:tcW w:w="1304" w:type="dxa"/>
            <w:vAlign w:val="center"/>
          </w:tcPr>
          <w:p w14:paraId="3D4150B4" w14:textId="77777777" w:rsidR="00454A29" w:rsidRDefault="00454A29">
            <w:pPr>
              <w:pStyle w:val="ConsPlusNormal"/>
              <w:jc w:val="right"/>
            </w:pPr>
            <w:r>
              <w:t>-</w:t>
            </w:r>
          </w:p>
        </w:tc>
        <w:tc>
          <w:tcPr>
            <w:tcW w:w="1304" w:type="dxa"/>
            <w:vAlign w:val="center"/>
          </w:tcPr>
          <w:p w14:paraId="0DC1E076" w14:textId="77777777" w:rsidR="00454A29" w:rsidRDefault="00454A29">
            <w:pPr>
              <w:pStyle w:val="ConsPlusNormal"/>
              <w:jc w:val="right"/>
            </w:pPr>
            <w:r>
              <w:t>-</w:t>
            </w:r>
          </w:p>
        </w:tc>
      </w:tr>
      <w:tr w:rsidR="00454A29" w14:paraId="527241EB" w14:textId="77777777">
        <w:tc>
          <w:tcPr>
            <w:tcW w:w="2041" w:type="dxa"/>
            <w:vMerge/>
          </w:tcPr>
          <w:p w14:paraId="07AA373F" w14:textId="77777777" w:rsidR="00454A29" w:rsidRDefault="00454A29"/>
        </w:tc>
        <w:tc>
          <w:tcPr>
            <w:tcW w:w="3005" w:type="dxa"/>
            <w:vMerge/>
          </w:tcPr>
          <w:p w14:paraId="28162C40" w14:textId="77777777" w:rsidR="00454A29" w:rsidRDefault="00454A29"/>
        </w:tc>
        <w:tc>
          <w:tcPr>
            <w:tcW w:w="2778" w:type="dxa"/>
            <w:vAlign w:val="center"/>
          </w:tcPr>
          <w:p w14:paraId="75AC6E36" w14:textId="77777777" w:rsidR="00454A29" w:rsidRDefault="00454A29">
            <w:pPr>
              <w:pStyle w:val="ConsPlusNormal"/>
            </w:pPr>
            <w:r>
              <w:t>Федеральный бюджет</w:t>
            </w:r>
          </w:p>
        </w:tc>
        <w:tc>
          <w:tcPr>
            <w:tcW w:w="1304" w:type="dxa"/>
            <w:vAlign w:val="center"/>
          </w:tcPr>
          <w:p w14:paraId="730CFB16" w14:textId="77777777" w:rsidR="00454A29" w:rsidRDefault="00454A29">
            <w:pPr>
              <w:pStyle w:val="ConsPlusNormal"/>
            </w:pPr>
          </w:p>
        </w:tc>
        <w:tc>
          <w:tcPr>
            <w:tcW w:w="1247" w:type="dxa"/>
            <w:vAlign w:val="center"/>
          </w:tcPr>
          <w:p w14:paraId="5409635E" w14:textId="77777777" w:rsidR="00454A29" w:rsidRDefault="00454A29">
            <w:pPr>
              <w:pStyle w:val="ConsPlusNormal"/>
            </w:pPr>
          </w:p>
        </w:tc>
        <w:tc>
          <w:tcPr>
            <w:tcW w:w="1304" w:type="dxa"/>
            <w:vAlign w:val="center"/>
          </w:tcPr>
          <w:p w14:paraId="0735E80A" w14:textId="77777777" w:rsidR="00454A29" w:rsidRDefault="00454A29">
            <w:pPr>
              <w:pStyle w:val="ConsPlusNormal"/>
            </w:pPr>
          </w:p>
        </w:tc>
        <w:tc>
          <w:tcPr>
            <w:tcW w:w="1304" w:type="dxa"/>
            <w:vAlign w:val="center"/>
          </w:tcPr>
          <w:p w14:paraId="3A1387C6" w14:textId="77777777" w:rsidR="00454A29" w:rsidRDefault="00454A29">
            <w:pPr>
              <w:pStyle w:val="ConsPlusNormal"/>
            </w:pPr>
          </w:p>
        </w:tc>
        <w:tc>
          <w:tcPr>
            <w:tcW w:w="1304" w:type="dxa"/>
            <w:vAlign w:val="center"/>
          </w:tcPr>
          <w:p w14:paraId="1A4C7CFE" w14:textId="77777777" w:rsidR="00454A29" w:rsidRDefault="00454A29">
            <w:pPr>
              <w:pStyle w:val="ConsPlusNormal"/>
            </w:pPr>
          </w:p>
        </w:tc>
        <w:tc>
          <w:tcPr>
            <w:tcW w:w="1304" w:type="dxa"/>
            <w:vAlign w:val="center"/>
          </w:tcPr>
          <w:p w14:paraId="0363C962" w14:textId="77777777" w:rsidR="00454A29" w:rsidRDefault="00454A29">
            <w:pPr>
              <w:pStyle w:val="ConsPlusNormal"/>
            </w:pPr>
          </w:p>
        </w:tc>
        <w:tc>
          <w:tcPr>
            <w:tcW w:w="1304" w:type="dxa"/>
            <w:vAlign w:val="center"/>
          </w:tcPr>
          <w:p w14:paraId="2631756B" w14:textId="77777777" w:rsidR="00454A29" w:rsidRDefault="00454A29">
            <w:pPr>
              <w:pStyle w:val="ConsPlusNormal"/>
            </w:pPr>
          </w:p>
        </w:tc>
      </w:tr>
      <w:tr w:rsidR="00454A29" w14:paraId="7F635C90" w14:textId="77777777">
        <w:tc>
          <w:tcPr>
            <w:tcW w:w="2041" w:type="dxa"/>
            <w:vMerge/>
          </w:tcPr>
          <w:p w14:paraId="0457A91E" w14:textId="77777777" w:rsidR="00454A29" w:rsidRDefault="00454A29"/>
        </w:tc>
        <w:tc>
          <w:tcPr>
            <w:tcW w:w="3005" w:type="dxa"/>
            <w:vMerge/>
          </w:tcPr>
          <w:p w14:paraId="31FFA816" w14:textId="77777777" w:rsidR="00454A29" w:rsidRDefault="00454A29"/>
        </w:tc>
        <w:tc>
          <w:tcPr>
            <w:tcW w:w="2778" w:type="dxa"/>
            <w:vAlign w:val="center"/>
          </w:tcPr>
          <w:p w14:paraId="37E012B5" w14:textId="77777777" w:rsidR="00454A29" w:rsidRDefault="00454A29">
            <w:pPr>
              <w:pStyle w:val="ConsPlusNormal"/>
            </w:pPr>
            <w:r>
              <w:t>Местные бюджеты</w:t>
            </w:r>
          </w:p>
        </w:tc>
        <w:tc>
          <w:tcPr>
            <w:tcW w:w="1304" w:type="dxa"/>
            <w:vAlign w:val="center"/>
          </w:tcPr>
          <w:p w14:paraId="2A3A84DE" w14:textId="77777777" w:rsidR="00454A29" w:rsidRDefault="00454A29">
            <w:pPr>
              <w:pStyle w:val="ConsPlusNormal"/>
            </w:pPr>
          </w:p>
        </w:tc>
        <w:tc>
          <w:tcPr>
            <w:tcW w:w="1247" w:type="dxa"/>
            <w:vAlign w:val="center"/>
          </w:tcPr>
          <w:p w14:paraId="22080DB2" w14:textId="77777777" w:rsidR="00454A29" w:rsidRDefault="00454A29">
            <w:pPr>
              <w:pStyle w:val="ConsPlusNormal"/>
            </w:pPr>
          </w:p>
        </w:tc>
        <w:tc>
          <w:tcPr>
            <w:tcW w:w="1304" w:type="dxa"/>
            <w:vAlign w:val="center"/>
          </w:tcPr>
          <w:p w14:paraId="2A021F5C" w14:textId="77777777" w:rsidR="00454A29" w:rsidRDefault="00454A29">
            <w:pPr>
              <w:pStyle w:val="ConsPlusNormal"/>
            </w:pPr>
          </w:p>
        </w:tc>
        <w:tc>
          <w:tcPr>
            <w:tcW w:w="1304" w:type="dxa"/>
            <w:vAlign w:val="center"/>
          </w:tcPr>
          <w:p w14:paraId="2E79E104" w14:textId="77777777" w:rsidR="00454A29" w:rsidRDefault="00454A29">
            <w:pPr>
              <w:pStyle w:val="ConsPlusNormal"/>
            </w:pPr>
          </w:p>
        </w:tc>
        <w:tc>
          <w:tcPr>
            <w:tcW w:w="1304" w:type="dxa"/>
            <w:vAlign w:val="center"/>
          </w:tcPr>
          <w:p w14:paraId="14BA3311" w14:textId="77777777" w:rsidR="00454A29" w:rsidRDefault="00454A29">
            <w:pPr>
              <w:pStyle w:val="ConsPlusNormal"/>
            </w:pPr>
          </w:p>
        </w:tc>
        <w:tc>
          <w:tcPr>
            <w:tcW w:w="1304" w:type="dxa"/>
            <w:vAlign w:val="center"/>
          </w:tcPr>
          <w:p w14:paraId="4645DA22" w14:textId="77777777" w:rsidR="00454A29" w:rsidRDefault="00454A29">
            <w:pPr>
              <w:pStyle w:val="ConsPlusNormal"/>
            </w:pPr>
          </w:p>
        </w:tc>
        <w:tc>
          <w:tcPr>
            <w:tcW w:w="1304" w:type="dxa"/>
            <w:vAlign w:val="center"/>
          </w:tcPr>
          <w:p w14:paraId="00CE24B8" w14:textId="77777777" w:rsidR="00454A29" w:rsidRDefault="00454A29">
            <w:pPr>
              <w:pStyle w:val="ConsPlusNormal"/>
            </w:pPr>
          </w:p>
        </w:tc>
      </w:tr>
      <w:tr w:rsidR="00454A29" w14:paraId="06BAB74E" w14:textId="77777777">
        <w:tc>
          <w:tcPr>
            <w:tcW w:w="2041" w:type="dxa"/>
            <w:vMerge/>
          </w:tcPr>
          <w:p w14:paraId="21E30996" w14:textId="77777777" w:rsidR="00454A29" w:rsidRDefault="00454A29"/>
        </w:tc>
        <w:tc>
          <w:tcPr>
            <w:tcW w:w="3005" w:type="dxa"/>
            <w:vMerge/>
          </w:tcPr>
          <w:p w14:paraId="1DF37585" w14:textId="77777777" w:rsidR="00454A29" w:rsidRDefault="00454A29"/>
        </w:tc>
        <w:tc>
          <w:tcPr>
            <w:tcW w:w="2778" w:type="dxa"/>
            <w:vAlign w:val="center"/>
          </w:tcPr>
          <w:p w14:paraId="1FF0215F" w14:textId="77777777" w:rsidR="00454A29" w:rsidRDefault="00454A29">
            <w:pPr>
              <w:pStyle w:val="ConsPlusNormal"/>
            </w:pPr>
            <w:r>
              <w:t>Внебюджетные средства</w:t>
            </w:r>
          </w:p>
        </w:tc>
        <w:tc>
          <w:tcPr>
            <w:tcW w:w="1304" w:type="dxa"/>
            <w:vAlign w:val="center"/>
          </w:tcPr>
          <w:p w14:paraId="5A3CF9E0" w14:textId="77777777" w:rsidR="00454A29" w:rsidRDefault="00454A29">
            <w:pPr>
              <w:pStyle w:val="ConsPlusNormal"/>
            </w:pPr>
          </w:p>
        </w:tc>
        <w:tc>
          <w:tcPr>
            <w:tcW w:w="1247" w:type="dxa"/>
            <w:vAlign w:val="center"/>
          </w:tcPr>
          <w:p w14:paraId="704AE156" w14:textId="77777777" w:rsidR="00454A29" w:rsidRDefault="00454A29">
            <w:pPr>
              <w:pStyle w:val="ConsPlusNormal"/>
            </w:pPr>
          </w:p>
        </w:tc>
        <w:tc>
          <w:tcPr>
            <w:tcW w:w="1304" w:type="dxa"/>
            <w:vAlign w:val="center"/>
          </w:tcPr>
          <w:p w14:paraId="03B38DB7" w14:textId="77777777" w:rsidR="00454A29" w:rsidRDefault="00454A29">
            <w:pPr>
              <w:pStyle w:val="ConsPlusNormal"/>
            </w:pPr>
          </w:p>
        </w:tc>
        <w:tc>
          <w:tcPr>
            <w:tcW w:w="1304" w:type="dxa"/>
            <w:vAlign w:val="center"/>
          </w:tcPr>
          <w:p w14:paraId="1A50677F" w14:textId="77777777" w:rsidR="00454A29" w:rsidRDefault="00454A29">
            <w:pPr>
              <w:pStyle w:val="ConsPlusNormal"/>
            </w:pPr>
          </w:p>
        </w:tc>
        <w:tc>
          <w:tcPr>
            <w:tcW w:w="1304" w:type="dxa"/>
            <w:vAlign w:val="center"/>
          </w:tcPr>
          <w:p w14:paraId="199F2797" w14:textId="77777777" w:rsidR="00454A29" w:rsidRDefault="00454A29">
            <w:pPr>
              <w:pStyle w:val="ConsPlusNormal"/>
            </w:pPr>
          </w:p>
        </w:tc>
        <w:tc>
          <w:tcPr>
            <w:tcW w:w="1304" w:type="dxa"/>
            <w:vAlign w:val="center"/>
          </w:tcPr>
          <w:p w14:paraId="09BE8508" w14:textId="77777777" w:rsidR="00454A29" w:rsidRDefault="00454A29">
            <w:pPr>
              <w:pStyle w:val="ConsPlusNormal"/>
            </w:pPr>
          </w:p>
        </w:tc>
        <w:tc>
          <w:tcPr>
            <w:tcW w:w="1304" w:type="dxa"/>
            <w:vAlign w:val="center"/>
          </w:tcPr>
          <w:p w14:paraId="6D0227B8" w14:textId="77777777" w:rsidR="00454A29" w:rsidRDefault="00454A29">
            <w:pPr>
              <w:pStyle w:val="ConsPlusNormal"/>
            </w:pPr>
          </w:p>
        </w:tc>
      </w:tr>
      <w:tr w:rsidR="00454A29" w14:paraId="165B9169" w14:textId="77777777">
        <w:tc>
          <w:tcPr>
            <w:tcW w:w="2041" w:type="dxa"/>
            <w:vMerge w:val="restart"/>
            <w:vAlign w:val="center"/>
          </w:tcPr>
          <w:p w14:paraId="4416EFBF" w14:textId="77777777" w:rsidR="00454A29" w:rsidRDefault="00454A29">
            <w:pPr>
              <w:pStyle w:val="ConsPlusNormal"/>
              <w:jc w:val="center"/>
            </w:pPr>
            <w:r>
              <w:t>Основное мероприятие 7.4.</w:t>
            </w:r>
          </w:p>
        </w:tc>
        <w:tc>
          <w:tcPr>
            <w:tcW w:w="3005" w:type="dxa"/>
            <w:vMerge w:val="restart"/>
            <w:vAlign w:val="center"/>
          </w:tcPr>
          <w:p w14:paraId="3EF84602" w14:textId="77777777" w:rsidR="00454A29" w:rsidRDefault="00454A29">
            <w:pPr>
              <w:pStyle w:val="ConsPlusNormal"/>
              <w:jc w:val="center"/>
            </w:pPr>
            <w:r>
              <w:t>Реализация программы "Земский учитель"</w:t>
            </w:r>
          </w:p>
        </w:tc>
        <w:tc>
          <w:tcPr>
            <w:tcW w:w="2778" w:type="dxa"/>
            <w:vAlign w:val="center"/>
          </w:tcPr>
          <w:p w14:paraId="55A2897A" w14:textId="77777777" w:rsidR="00454A29" w:rsidRDefault="00454A29">
            <w:pPr>
              <w:pStyle w:val="ConsPlusNormal"/>
            </w:pPr>
            <w:r>
              <w:t>Всего:</w:t>
            </w:r>
          </w:p>
        </w:tc>
        <w:tc>
          <w:tcPr>
            <w:tcW w:w="1304" w:type="dxa"/>
            <w:vAlign w:val="center"/>
          </w:tcPr>
          <w:p w14:paraId="5780E37D" w14:textId="77777777" w:rsidR="00454A29" w:rsidRDefault="00454A29">
            <w:pPr>
              <w:pStyle w:val="ConsPlusNormal"/>
              <w:jc w:val="right"/>
            </w:pPr>
            <w:r>
              <w:t>-</w:t>
            </w:r>
          </w:p>
        </w:tc>
        <w:tc>
          <w:tcPr>
            <w:tcW w:w="1247" w:type="dxa"/>
            <w:vAlign w:val="center"/>
          </w:tcPr>
          <w:p w14:paraId="06A407E8" w14:textId="77777777" w:rsidR="00454A29" w:rsidRDefault="00454A29">
            <w:pPr>
              <w:pStyle w:val="ConsPlusNormal"/>
              <w:jc w:val="right"/>
            </w:pPr>
            <w:r>
              <w:t>-</w:t>
            </w:r>
          </w:p>
        </w:tc>
        <w:tc>
          <w:tcPr>
            <w:tcW w:w="1304" w:type="dxa"/>
            <w:vAlign w:val="center"/>
          </w:tcPr>
          <w:p w14:paraId="5DD00C6C" w14:textId="77777777" w:rsidR="00454A29" w:rsidRDefault="00454A29">
            <w:pPr>
              <w:pStyle w:val="ConsPlusNormal"/>
              <w:jc w:val="right"/>
            </w:pPr>
            <w:r>
              <w:t>-</w:t>
            </w:r>
          </w:p>
        </w:tc>
        <w:tc>
          <w:tcPr>
            <w:tcW w:w="1304" w:type="dxa"/>
            <w:vAlign w:val="center"/>
          </w:tcPr>
          <w:p w14:paraId="11796D78" w14:textId="77777777" w:rsidR="00454A29" w:rsidRDefault="00454A29">
            <w:pPr>
              <w:pStyle w:val="ConsPlusNormal"/>
              <w:jc w:val="right"/>
            </w:pPr>
            <w:r>
              <w:t>-</w:t>
            </w:r>
          </w:p>
        </w:tc>
        <w:tc>
          <w:tcPr>
            <w:tcW w:w="1304" w:type="dxa"/>
            <w:vAlign w:val="center"/>
          </w:tcPr>
          <w:p w14:paraId="7A694D16" w14:textId="77777777" w:rsidR="00454A29" w:rsidRDefault="00454A29">
            <w:pPr>
              <w:pStyle w:val="ConsPlusNormal"/>
              <w:jc w:val="right"/>
            </w:pPr>
            <w:r>
              <w:t>-</w:t>
            </w:r>
          </w:p>
        </w:tc>
        <w:tc>
          <w:tcPr>
            <w:tcW w:w="1304" w:type="dxa"/>
            <w:vAlign w:val="center"/>
          </w:tcPr>
          <w:p w14:paraId="34BF438C" w14:textId="77777777" w:rsidR="00454A29" w:rsidRDefault="00454A29">
            <w:pPr>
              <w:pStyle w:val="ConsPlusNormal"/>
              <w:jc w:val="right"/>
            </w:pPr>
            <w:r>
              <w:t>-</w:t>
            </w:r>
          </w:p>
        </w:tc>
        <w:tc>
          <w:tcPr>
            <w:tcW w:w="1304" w:type="dxa"/>
            <w:vAlign w:val="center"/>
          </w:tcPr>
          <w:p w14:paraId="288F23C2" w14:textId="77777777" w:rsidR="00454A29" w:rsidRDefault="00454A29">
            <w:pPr>
              <w:pStyle w:val="ConsPlusNormal"/>
              <w:jc w:val="right"/>
            </w:pPr>
            <w:r>
              <w:t>-</w:t>
            </w:r>
          </w:p>
        </w:tc>
      </w:tr>
      <w:tr w:rsidR="00454A29" w14:paraId="6F1AB63A" w14:textId="77777777">
        <w:tc>
          <w:tcPr>
            <w:tcW w:w="2041" w:type="dxa"/>
            <w:vMerge/>
          </w:tcPr>
          <w:p w14:paraId="51E62B01" w14:textId="77777777" w:rsidR="00454A29" w:rsidRDefault="00454A29"/>
        </w:tc>
        <w:tc>
          <w:tcPr>
            <w:tcW w:w="3005" w:type="dxa"/>
            <w:vMerge/>
          </w:tcPr>
          <w:p w14:paraId="060CB89B" w14:textId="77777777" w:rsidR="00454A29" w:rsidRDefault="00454A29"/>
        </w:tc>
        <w:tc>
          <w:tcPr>
            <w:tcW w:w="2778" w:type="dxa"/>
            <w:vAlign w:val="center"/>
          </w:tcPr>
          <w:p w14:paraId="3112D3B9" w14:textId="77777777" w:rsidR="00454A29" w:rsidRDefault="00454A29">
            <w:pPr>
              <w:pStyle w:val="ConsPlusNormal"/>
            </w:pPr>
            <w:r>
              <w:t>Государственный бюджет Республики Саха (Якутия)</w:t>
            </w:r>
          </w:p>
        </w:tc>
        <w:tc>
          <w:tcPr>
            <w:tcW w:w="1304" w:type="dxa"/>
            <w:vAlign w:val="center"/>
          </w:tcPr>
          <w:p w14:paraId="3A5129A3" w14:textId="77777777" w:rsidR="00454A29" w:rsidRDefault="00454A29">
            <w:pPr>
              <w:pStyle w:val="ConsPlusNormal"/>
              <w:jc w:val="right"/>
            </w:pPr>
            <w:r>
              <w:t>-</w:t>
            </w:r>
          </w:p>
        </w:tc>
        <w:tc>
          <w:tcPr>
            <w:tcW w:w="1247" w:type="dxa"/>
            <w:vAlign w:val="center"/>
          </w:tcPr>
          <w:p w14:paraId="56B72C5A" w14:textId="77777777" w:rsidR="00454A29" w:rsidRDefault="00454A29">
            <w:pPr>
              <w:pStyle w:val="ConsPlusNormal"/>
              <w:jc w:val="right"/>
            </w:pPr>
            <w:r>
              <w:t>-</w:t>
            </w:r>
          </w:p>
        </w:tc>
        <w:tc>
          <w:tcPr>
            <w:tcW w:w="1304" w:type="dxa"/>
            <w:vAlign w:val="center"/>
          </w:tcPr>
          <w:p w14:paraId="4C2D663D" w14:textId="77777777" w:rsidR="00454A29" w:rsidRDefault="00454A29">
            <w:pPr>
              <w:pStyle w:val="ConsPlusNormal"/>
              <w:jc w:val="right"/>
            </w:pPr>
            <w:r>
              <w:t>-</w:t>
            </w:r>
          </w:p>
        </w:tc>
        <w:tc>
          <w:tcPr>
            <w:tcW w:w="1304" w:type="dxa"/>
            <w:vAlign w:val="center"/>
          </w:tcPr>
          <w:p w14:paraId="04B8216F" w14:textId="77777777" w:rsidR="00454A29" w:rsidRDefault="00454A29">
            <w:pPr>
              <w:pStyle w:val="ConsPlusNormal"/>
            </w:pPr>
          </w:p>
        </w:tc>
        <w:tc>
          <w:tcPr>
            <w:tcW w:w="1304" w:type="dxa"/>
            <w:vAlign w:val="center"/>
          </w:tcPr>
          <w:p w14:paraId="26E748B0" w14:textId="77777777" w:rsidR="00454A29" w:rsidRDefault="00454A29">
            <w:pPr>
              <w:pStyle w:val="ConsPlusNormal"/>
            </w:pPr>
          </w:p>
        </w:tc>
        <w:tc>
          <w:tcPr>
            <w:tcW w:w="1304" w:type="dxa"/>
            <w:vAlign w:val="center"/>
          </w:tcPr>
          <w:p w14:paraId="11DC459B" w14:textId="77777777" w:rsidR="00454A29" w:rsidRDefault="00454A29">
            <w:pPr>
              <w:pStyle w:val="ConsPlusNormal"/>
            </w:pPr>
          </w:p>
        </w:tc>
        <w:tc>
          <w:tcPr>
            <w:tcW w:w="1304" w:type="dxa"/>
            <w:vAlign w:val="center"/>
          </w:tcPr>
          <w:p w14:paraId="4A671197" w14:textId="77777777" w:rsidR="00454A29" w:rsidRDefault="00454A29">
            <w:pPr>
              <w:pStyle w:val="ConsPlusNormal"/>
            </w:pPr>
          </w:p>
        </w:tc>
      </w:tr>
      <w:tr w:rsidR="00454A29" w14:paraId="4DE7E585" w14:textId="77777777">
        <w:tc>
          <w:tcPr>
            <w:tcW w:w="2041" w:type="dxa"/>
            <w:vMerge/>
          </w:tcPr>
          <w:p w14:paraId="6ECDD03F" w14:textId="77777777" w:rsidR="00454A29" w:rsidRDefault="00454A29"/>
        </w:tc>
        <w:tc>
          <w:tcPr>
            <w:tcW w:w="3005" w:type="dxa"/>
            <w:vMerge/>
          </w:tcPr>
          <w:p w14:paraId="68BAE06B" w14:textId="77777777" w:rsidR="00454A29" w:rsidRDefault="00454A29"/>
        </w:tc>
        <w:tc>
          <w:tcPr>
            <w:tcW w:w="2778" w:type="dxa"/>
            <w:vAlign w:val="center"/>
          </w:tcPr>
          <w:p w14:paraId="6440597D" w14:textId="77777777" w:rsidR="00454A29" w:rsidRDefault="00454A29">
            <w:pPr>
              <w:pStyle w:val="ConsPlusNormal"/>
            </w:pPr>
            <w:r>
              <w:t>Федеральный бюджет</w:t>
            </w:r>
          </w:p>
        </w:tc>
        <w:tc>
          <w:tcPr>
            <w:tcW w:w="1304" w:type="dxa"/>
            <w:vAlign w:val="center"/>
          </w:tcPr>
          <w:p w14:paraId="13B5EA7A" w14:textId="77777777" w:rsidR="00454A29" w:rsidRDefault="00454A29">
            <w:pPr>
              <w:pStyle w:val="ConsPlusNormal"/>
            </w:pPr>
          </w:p>
        </w:tc>
        <w:tc>
          <w:tcPr>
            <w:tcW w:w="1247" w:type="dxa"/>
            <w:vAlign w:val="center"/>
          </w:tcPr>
          <w:p w14:paraId="44F10A89" w14:textId="77777777" w:rsidR="00454A29" w:rsidRDefault="00454A29">
            <w:pPr>
              <w:pStyle w:val="ConsPlusNormal"/>
            </w:pPr>
          </w:p>
        </w:tc>
        <w:tc>
          <w:tcPr>
            <w:tcW w:w="1304" w:type="dxa"/>
            <w:vAlign w:val="center"/>
          </w:tcPr>
          <w:p w14:paraId="6E2DF6CB" w14:textId="77777777" w:rsidR="00454A29" w:rsidRDefault="00454A29">
            <w:pPr>
              <w:pStyle w:val="ConsPlusNormal"/>
            </w:pPr>
          </w:p>
        </w:tc>
        <w:tc>
          <w:tcPr>
            <w:tcW w:w="1304" w:type="dxa"/>
            <w:vAlign w:val="center"/>
          </w:tcPr>
          <w:p w14:paraId="7461BF75" w14:textId="77777777" w:rsidR="00454A29" w:rsidRDefault="00454A29">
            <w:pPr>
              <w:pStyle w:val="ConsPlusNormal"/>
            </w:pPr>
          </w:p>
        </w:tc>
        <w:tc>
          <w:tcPr>
            <w:tcW w:w="1304" w:type="dxa"/>
            <w:vAlign w:val="center"/>
          </w:tcPr>
          <w:p w14:paraId="64FAD321" w14:textId="77777777" w:rsidR="00454A29" w:rsidRDefault="00454A29">
            <w:pPr>
              <w:pStyle w:val="ConsPlusNormal"/>
            </w:pPr>
          </w:p>
        </w:tc>
        <w:tc>
          <w:tcPr>
            <w:tcW w:w="1304" w:type="dxa"/>
            <w:vAlign w:val="center"/>
          </w:tcPr>
          <w:p w14:paraId="05827AEC" w14:textId="77777777" w:rsidR="00454A29" w:rsidRDefault="00454A29">
            <w:pPr>
              <w:pStyle w:val="ConsPlusNormal"/>
            </w:pPr>
          </w:p>
        </w:tc>
        <w:tc>
          <w:tcPr>
            <w:tcW w:w="1304" w:type="dxa"/>
            <w:vAlign w:val="center"/>
          </w:tcPr>
          <w:p w14:paraId="79B272B8" w14:textId="77777777" w:rsidR="00454A29" w:rsidRDefault="00454A29">
            <w:pPr>
              <w:pStyle w:val="ConsPlusNormal"/>
            </w:pPr>
          </w:p>
        </w:tc>
      </w:tr>
      <w:tr w:rsidR="00454A29" w14:paraId="73C0B0EE" w14:textId="77777777">
        <w:tc>
          <w:tcPr>
            <w:tcW w:w="2041" w:type="dxa"/>
            <w:vMerge/>
          </w:tcPr>
          <w:p w14:paraId="545CEFB7" w14:textId="77777777" w:rsidR="00454A29" w:rsidRDefault="00454A29"/>
        </w:tc>
        <w:tc>
          <w:tcPr>
            <w:tcW w:w="3005" w:type="dxa"/>
            <w:vMerge/>
          </w:tcPr>
          <w:p w14:paraId="0C651580" w14:textId="77777777" w:rsidR="00454A29" w:rsidRDefault="00454A29"/>
        </w:tc>
        <w:tc>
          <w:tcPr>
            <w:tcW w:w="2778" w:type="dxa"/>
            <w:vAlign w:val="center"/>
          </w:tcPr>
          <w:p w14:paraId="1CF6970F" w14:textId="77777777" w:rsidR="00454A29" w:rsidRDefault="00454A29">
            <w:pPr>
              <w:pStyle w:val="ConsPlusNormal"/>
            </w:pPr>
            <w:r>
              <w:t>Местные бюджеты</w:t>
            </w:r>
          </w:p>
        </w:tc>
        <w:tc>
          <w:tcPr>
            <w:tcW w:w="1304" w:type="dxa"/>
            <w:vAlign w:val="center"/>
          </w:tcPr>
          <w:p w14:paraId="3B0DDFD5" w14:textId="77777777" w:rsidR="00454A29" w:rsidRDefault="00454A29">
            <w:pPr>
              <w:pStyle w:val="ConsPlusNormal"/>
            </w:pPr>
          </w:p>
        </w:tc>
        <w:tc>
          <w:tcPr>
            <w:tcW w:w="1247" w:type="dxa"/>
            <w:vAlign w:val="center"/>
          </w:tcPr>
          <w:p w14:paraId="1E50CFDD" w14:textId="77777777" w:rsidR="00454A29" w:rsidRDefault="00454A29">
            <w:pPr>
              <w:pStyle w:val="ConsPlusNormal"/>
            </w:pPr>
          </w:p>
        </w:tc>
        <w:tc>
          <w:tcPr>
            <w:tcW w:w="1304" w:type="dxa"/>
            <w:vAlign w:val="center"/>
          </w:tcPr>
          <w:p w14:paraId="1D4310D4" w14:textId="77777777" w:rsidR="00454A29" w:rsidRDefault="00454A29">
            <w:pPr>
              <w:pStyle w:val="ConsPlusNormal"/>
            </w:pPr>
          </w:p>
        </w:tc>
        <w:tc>
          <w:tcPr>
            <w:tcW w:w="1304" w:type="dxa"/>
            <w:vAlign w:val="center"/>
          </w:tcPr>
          <w:p w14:paraId="30E949B1" w14:textId="77777777" w:rsidR="00454A29" w:rsidRDefault="00454A29">
            <w:pPr>
              <w:pStyle w:val="ConsPlusNormal"/>
            </w:pPr>
          </w:p>
        </w:tc>
        <w:tc>
          <w:tcPr>
            <w:tcW w:w="1304" w:type="dxa"/>
            <w:vAlign w:val="center"/>
          </w:tcPr>
          <w:p w14:paraId="00BCD961" w14:textId="77777777" w:rsidR="00454A29" w:rsidRDefault="00454A29">
            <w:pPr>
              <w:pStyle w:val="ConsPlusNormal"/>
            </w:pPr>
          </w:p>
        </w:tc>
        <w:tc>
          <w:tcPr>
            <w:tcW w:w="1304" w:type="dxa"/>
            <w:vAlign w:val="center"/>
          </w:tcPr>
          <w:p w14:paraId="67EC1C0D" w14:textId="77777777" w:rsidR="00454A29" w:rsidRDefault="00454A29">
            <w:pPr>
              <w:pStyle w:val="ConsPlusNormal"/>
            </w:pPr>
          </w:p>
        </w:tc>
        <w:tc>
          <w:tcPr>
            <w:tcW w:w="1304" w:type="dxa"/>
            <w:vAlign w:val="center"/>
          </w:tcPr>
          <w:p w14:paraId="67FD194E" w14:textId="77777777" w:rsidR="00454A29" w:rsidRDefault="00454A29">
            <w:pPr>
              <w:pStyle w:val="ConsPlusNormal"/>
            </w:pPr>
          </w:p>
        </w:tc>
      </w:tr>
      <w:tr w:rsidR="00454A29" w14:paraId="6DFA6D1C" w14:textId="77777777">
        <w:tc>
          <w:tcPr>
            <w:tcW w:w="2041" w:type="dxa"/>
            <w:vMerge/>
          </w:tcPr>
          <w:p w14:paraId="4250945F" w14:textId="77777777" w:rsidR="00454A29" w:rsidRDefault="00454A29"/>
        </w:tc>
        <w:tc>
          <w:tcPr>
            <w:tcW w:w="3005" w:type="dxa"/>
            <w:vMerge/>
          </w:tcPr>
          <w:p w14:paraId="2858C85F" w14:textId="77777777" w:rsidR="00454A29" w:rsidRDefault="00454A29"/>
        </w:tc>
        <w:tc>
          <w:tcPr>
            <w:tcW w:w="2778" w:type="dxa"/>
            <w:vAlign w:val="center"/>
          </w:tcPr>
          <w:p w14:paraId="710B9F67" w14:textId="77777777" w:rsidR="00454A29" w:rsidRDefault="00454A29">
            <w:pPr>
              <w:pStyle w:val="ConsPlusNormal"/>
            </w:pPr>
            <w:r>
              <w:t>Внебюджетные средства</w:t>
            </w:r>
          </w:p>
        </w:tc>
        <w:tc>
          <w:tcPr>
            <w:tcW w:w="1304" w:type="dxa"/>
            <w:vAlign w:val="center"/>
          </w:tcPr>
          <w:p w14:paraId="65EF29C7" w14:textId="77777777" w:rsidR="00454A29" w:rsidRDefault="00454A29">
            <w:pPr>
              <w:pStyle w:val="ConsPlusNormal"/>
            </w:pPr>
          </w:p>
        </w:tc>
        <w:tc>
          <w:tcPr>
            <w:tcW w:w="1247" w:type="dxa"/>
            <w:vAlign w:val="center"/>
          </w:tcPr>
          <w:p w14:paraId="23229EC5" w14:textId="77777777" w:rsidR="00454A29" w:rsidRDefault="00454A29">
            <w:pPr>
              <w:pStyle w:val="ConsPlusNormal"/>
            </w:pPr>
          </w:p>
        </w:tc>
        <w:tc>
          <w:tcPr>
            <w:tcW w:w="1304" w:type="dxa"/>
            <w:vAlign w:val="center"/>
          </w:tcPr>
          <w:p w14:paraId="0231BF7D" w14:textId="77777777" w:rsidR="00454A29" w:rsidRDefault="00454A29">
            <w:pPr>
              <w:pStyle w:val="ConsPlusNormal"/>
            </w:pPr>
          </w:p>
        </w:tc>
        <w:tc>
          <w:tcPr>
            <w:tcW w:w="1304" w:type="dxa"/>
            <w:vAlign w:val="center"/>
          </w:tcPr>
          <w:p w14:paraId="498BE2AB" w14:textId="77777777" w:rsidR="00454A29" w:rsidRDefault="00454A29">
            <w:pPr>
              <w:pStyle w:val="ConsPlusNormal"/>
            </w:pPr>
          </w:p>
        </w:tc>
        <w:tc>
          <w:tcPr>
            <w:tcW w:w="1304" w:type="dxa"/>
            <w:vAlign w:val="center"/>
          </w:tcPr>
          <w:p w14:paraId="1683A62C" w14:textId="77777777" w:rsidR="00454A29" w:rsidRDefault="00454A29">
            <w:pPr>
              <w:pStyle w:val="ConsPlusNormal"/>
            </w:pPr>
          </w:p>
        </w:tc>
        <w:tc>
          <w:tcPr>
            <w:tcW w:w="1304" w:type="dxa"/>
            <w:vAlign w:val="center"/>
          </w:tcPr>
          <w:p w14:paraId="538AAD9D" w14:textId="77777777" w:rsidR="00454A29" w:rsidRDefault="00454A29">
            <w:pPr>
              <w:pStyle w:val="ConsPlusNormal"/>
            </w:pPr>
          </w:p>
        </w:tc>
        <w:tc>
          <w:tcPr>
            <w:tcW w:w="1304" w:type="dxa"/>
            <w:vAlign w:val="center"/>
          </w:tcPr>
          <w:p w14:paraId="0A3352C1" w14:textId="77777777" w:rsidR="00454A29" w:rsidRDefault="00454A29">
            <w:pPr>
              <w:pStyle w:val="ConsPlusNormal"/>
            </w:pPr>
          </w:p>
        </w:tc>
      </w:tr>
      <w:tr w:rsidR="00454A29" w14:paraId="30DDB2BF" w14:textId="77777777">
        <w:tc>
          <w:tcPr>
            <w:tcW w:w="2041" w:type="dxa"/>
            <w:vMerge w:val="restart"/>
            <w:vAlign w:val="center"/>
          </w:tcPr>
          <w:p w14:paraId="3B38B173" w14:textId="77777777" w:rsidR="00454A29" w:rsidRDefault="00454A29">
            <w:pPr>
              <w:pStyle w:val="ConsPlusNormal"/>
              <w:jc w:val="center"/>
            </w:pPr>
            <w:r>
              <w:lastRenderedPageBreak/>
              <w:t>Основное мероприятие 7.5.</w:t>
            </w:r>
          </w:p>
        </w:tc>
        <w:tc>
          <w:tcPr>
            <w:tcW w:w="3005" w:type="dxa"/>
            <w:vMerge w:val="restart"/>
            <w:vAlign w:val="center"/>
          </w:tcPr>
          <w:p w14:paraId="08FC605F" w14:textId="77777777" w:rsidR="00454A29" w:rsidRDefault="00454A29">
            <w:pPr>
              <w:pStyle w:val="ConsPlusNormal"/>
              <w:jc w:val="center"/>
            </w:pPr>
            <w:r>
              <w:t>Реализация проекта "Учитель Арктики"</w:t>
            </w:r>
          </w:p>
        </w:tc>
        <w:tc>
          <w:tcPr>
            <w:tcW w:w="2778" w:type="dxa"/>
            <w:vAlign w:val="center"/>
          </w:tcPr>
          <w:p w14:paraId="5509DCF3" w14:textId="77777777" w:rsidR="00454A29" w:rsidRDefault="00454A29">
            <w:pPr>
              <w:pStyle w:val="ConsPlusNormal"/>
            </w:pPr>
            <w:r>
              <w:t>Всего:</w:t>
            </w:r>
          </w:p>
        </w:tc>
        <w:tc>
          <w:tcPr>
            <w:tcW w:w="1304" w:type="dxa"/>
            <w:vAlign w:val="center"/>
          </w:tcPr>
          <w:p w14:paraId="766E3835" w14:textId="77777777" w:rsidR="00454A29" w:rsidRDefault="00454A29">
            <w:pPr>
              <w:pStyle w:val="ConsPlusNormal"/>
              <w:jc w:val="right"/>
            </w:pPr>
            <w:r>
              <w:t>-</w:t>
            </w:r>
          </w:p>
        </w:tc>
        <w:tc>
          <w:tcPr>
            <w:tcW w:w="1247" w:type="dxa"/>
            <w:vAlign w:val="center"/>
          </w:tcPr>
          <w:p w14:paraId="7D6F329A" w14:textId="77777777" w:rsidR="00454A29" w:rsidRDefault="00454A29">
            <w:pPr>
              <w:pStyle w:val="ConsPlusNormal"/>
              <w:jc w:val="right"/>
            </w:pPr>
            <w:r>
              <w:t>-</w:t>
            </w:r>
          </w:p>
        </w:tc>
        <w:tc>
          <w:tcPr>
            <w:tcW w:w="1304" w:type="dxa"/>
            <w:vAlign w:val="center"/>
          </w:tcPr>
          <w:p w14:paraId="2DF526C5" w14:textId="77777777" w:rsidR="00454A29" w:rsidRDefault="00454A29">
            <w:pPr>
              <w:pStyle w:val="ConsPlusNormal"/>
              <w:jc w:val="right"/>
            </w:pPr>
            <w:r>
              <w:t>-</w:t>
            </w:r>
          </w:p>
        </w:tc>
        <w:tc>
          <w:tcPr>
            <w:tcW w:w="1304" w:type="dxa"/>
            <w:vAlign w:val="center"/>
          </w:tcPr>
          <w:p w14:paraId="30DD31E7" w14:textId="77777777" w:rsidR="00454A29" w:rsidRDefault="00454A29">
            <w:pPr>
              <w:pStyle w:val="ConsPlusNormal"/>
              <w:jc w:val="right"/>
            </w:pPr>
            <w:r>
              <w:t>-</w:t>
            </w:r>
          </w:p>
        </w:tc>
        <w:tc>
          <w:tcPr>
            <w:tcW w:w="1304" w:type="dxa"/>
            <w:vAlign w:val="center"/>
          </w:tcPr>
          <w:p w14:paraId="30D038B2" w14:textId="77777777" w:rsidR="00454A29" w:rsidRDefault="00454A29">
            <w:pPr>
              <w:pStyle w:val="ConsPlusNormal"/>
              <w:jc w:val="right"/>
            </w:pPr>
            <w:r>
              <w:t>-</w:t>
            </w:r>
          </w:p>
        </w:tc>
        <w:tc>
          <w:tcPr>
            <w:tcW w:w="1304" w:type="dxa"/>
            <w:vAlign w:val="center"/>
          </w:tcPr>
          <w:p w14:paraId="3F1BCCF8" w14:textId="77777777" w:rsidR="00454A29" w:rsidRDefault="00454A29">
            <w:pPr>
              <w:pStyle w:val="ConsPlusNormal"/>
              <w:jc w:val="right"/>
            </w:pPr>
            <w:r>
              <w:t>-</w:t>
            </w:r>
          </w:p>
        </w:tc>
        <w:tc>
          <w:tcPr>
            <w:tcW w:w="1304" w:type="dxa"/>
            <w:vAlign w:val="center"/>
          </w:tcPr>
          <w:p w14:paraId="28932ACD" w14:textId="77777777" w:rsidR="00454A29" w:rsidRDefault="00454A29">
            <w:pPr>
              <w:pStyle w:val="ConsPlusNormal"/>
              <w:jc w:val="right"/>
            </w:pPr>
            <w:r>
              <w:t>-</w:t>
            </w:r>
          </w:p>
        </w:tc>
      </w:tr>
      <w:tr w:rsidR="00454A29" w14:paraId="2B89FC26" w14:textId="77777777">
        <w:tc>
          <w:tcPr>
            <w:tcW w:w="2041" w:type="dxa"/>
            <w:vMerge/>
          </w:tcPr>
          <w:p w14:paraId="441F0CAC" w14:textId="77777777" w:rsidR="00454A29" w:rsidRDefault="00454A29"/>
        </w:tc>
        <w:tc>
          <w:tcPr>
            <w:tcW w:w="3005" w:type="dxa"/>
            <w:vMerge/>
          </w:tcPr>
          <w:p w14:paraId="763600AB" w14:textId="77777777" w:rsidR="00454A29" w:rsidRDefault="00454A29"/>
        </w:tc>
        <w:tc>
          <w:tcPr>
            <w:tcW w:w="2778" w:type="dxa"/>
            <w:vAlign w:val="center"/>
          </w:tcPr>
          <w:p w14:paraId="10C48654" w14:textId="77777777" w:rsidR="00454A29" w:rsidRDefault="00454A29">
            <w:pPr>
              <w:pStyle w:val="ConsPlusNormal"/>
            </w:pPr>
            <w:r>
              <w:t>Государственный бюджет Республики Саха (Якутия)</w:t>
            </w:r>
          </w:p>
        </w:tc>
        <w:tc>
          <w:tcPr>
            <w:tcW w:w="1304" w:type="dxa"/>
            <w:vAlign w:val="center"/>
          </w:tcPr>
          <w:p w14:paraId="5E61EEB3" w14:textId="77777777" w:rsidR="00454A29" w:rsidRDefault="00454A29">
            <w:pPr>
              <w:pStyle w:val="ConsPlusNormal"/>
              <w:jc w:val="right"/>
            </w:pPr>
            <w:r>
              <w:t>-</w:t>
            </w:r>
          </w:p>
        </w:tc>
        <w:tc>
          <w:tcPr>
            <w:tcW w:w="1247" w:type="dxa"/>
            <w:vAlign w:val="center"/>
          </w:tcPr>
          <w:p w14:paraId="6E0F2CFB" w14:textId="77777777" w:rsidR="00454A29" w:rsidRDefault="00454A29">
            <w:pPr>
              <w:pStyle w:val="ConsPlusNormal"/>
              <w:jc w:val="right"/>
            </w:pPr>
            <w:r>
              <w:t>-</w:t>
            </w:r>
          </w:p>
        </w:tc>
        <w:tc>
          <w:tcPr>
            <w:tcW w:w="1304" w:type="dxa"/>
            <w:vAlign w:val="center"/>
          </w:tcPr>
          <w:p w14:paraId="573D7EDC" w14:textId="77777777" w:rsidR="00454A29" w:rsidRDefault="00454A29">
            <w:pPr>
              <w:pStyle w:val="ConsPlusNormal"/>
              <w:jc w:val="right"/>
            </w:pPr>
            <w:r>
              <w:t>-</w:t>
            </w:r>
          </w:p>
        </w:tc>
        <w:tc>
          <w:tcPr>
            <w:tcW w:w="1304" w:type="dxa"/>
            <w:vAlign w:val="center"/>
          </w:tcPr>
          <w:p w14:paraId="6D38AA7E" w14:textId="77777777" w:rsidR="00454A29" w:rsidRDefault="00454A29">
            <w:pPr>
              <w:pStyle w:val="ConsPlusNormal"/>
            </w:pPr>
          </w:p>
        </w:tc>
        <w:tc>
          <w:tcPr>
            <w:tcW w:w="1304" w:type="dxa"/>
            <w:vAlign w:val="center"/>
          </w:tcPr>
          <w:p w14:paraId="31F1852E" w14:textId="77777777" w:rsidR="00454A29" w:rsidRDefault="00454A29">
            <w:pPr>
              <w:pStyle w:val="ConsPlusNormal"/>
            </w:pPr>
          </w:p>
        </w:tc>
        <w:tc>
          <w:tcPr>
            <w:tcW w:w="1304" w:type="dxa"/>
            <w:vAlign w:val="center"/>
          </w:tcPr>
          <w:p w14:paraId="198F14A6" w14:textId="77777777" w:rsidR="00454A29" w:rsidRDefault="00454A29">
            <w:pPr>
              <w:pStyle w:val="ConsPlusNormal"/>
            </w:pPr>
          </w:p>
        </w:tc>
        <w:tc>
          <w:tcPr>
            <w:tcW w:w="1304" w:type="dxa"/>
            <w:vAlign w:val="center"/>
          </w:tcPr>
          <w:p w14:paraId="2117DD1A" w14:textId="77777777" w:rsidR="00454A29" w:rsidRDefault="00454A29">
            <w:pPr>
              <w:pStyle w:val="ConsPlusNormal"/>
            </w:pPr>
          </w:p>
        </w:tc>
      </w:tr>
      <w:tr w:rsidR="00454A29" w14:paraId="7D12EB80" w14:textId="77777777">
        <w:tc>
          <w:tcPr>
            <w:tcW w:w="2041" w:type="dxa"/>
            <w:vMerge/>
          </w:tcPr>
          <w:p w14:paraId="679AFF24" w14:textId="77777777" w:rsidR="00454A29" w:rsidRDefault="00454A29"/>
        </w:tc>
        <w:tc>
          <w:tcPr>
            <w:tcW w:w="3005" w:type="dxa"/>
            <w:vMerge/>
          </w:tcPr>
          <w:p w14:paraId="403AF0E7" w14:textId="77777777" w:rsidR="00454A29" w:rsidRDefault="00454A29"/>
        </w:tc>
        <w:tc>
          <w:tcPr>
            <w:tcW w:w="2778" w:type="dxa"/>
            <w:vAlign w:val="center"/>
          </w:tcPr>
          <w:p w14:paraId="3038AC2E" w14:textId="77777777" w:rsidR="00454A29" w:rsidRDefault="00454A29">
            <w:pPr>
              <w:pStyle w:val="ConsPlusNormal"/>
            </w:pPr>
            <w:r>
              <w:t>Федеральный бюджет</w:t>
            </w:r>
          </w:p>
        </w:tc>
        <w:tc>
          <w:tcPr>
            <w:tcW w:w="1304" w:type="dxa"/>
            <w:vAlign w:val="center"/>
          </w:tcPr>
          <w:p w14:paraId="09322786" w14:textId="77777777" w:rsidR="00454A29" w:rsidRDefault="00454A29">
            <w:pPr>
              <w:pStyle w:val="ConsPlusNormal"/>
            </w:pPr>
          </w:p>
        </w:tc>
        <w:tc>
          <w:tcPr>
            <w:tcW w:w="1247" w:type="dxa"/>
            <w:vAlign w:val="center"/>
          </w:tcPr>
          <w:p w14:paraId="6422E5BE" w14:textId="77777777" w:rsidR="00454A29" w:rsidRDefault="00454A29">
            <w:pPr>
              <w:pStyle w:val="ConsPlusNormal"/>
            </w:pPr>
          </w:p>
        </w:tc>
        <w:tc>
          <w:tcPr>
            <w:tcW w:w="1304" w:type="dxa"/>
            <w:vAlign w:val="center"/>
          </w:tcPr>
          <w:p w14:paraId="29D48E5B" w14:textId="77777777" w:rsidR="00454A29" w:rsidRDefault="00454A29">
            <w:pPr>
              <w:pStyle w:val="ConsPlusNormal"/>
            </w:pPr>
          </w:p>
        </w:tc>
        <w:tc>
          <w:tcPr>
            <w:tcW w:w="1304" w:type="dxa"/>
            <w:vAlign w:val="center"/>
          </w:tcPr>
          <w:p w14:paraId="5A65F4DA" w14:textId="77777777" w:rsidR="00454A29" w:rsidRDefault="00454A29">
            <w:pPr>
              <w:pStyle w:val="ConsPlusNormal"/>
            </w:pPr>
          </w:p>
        </w:tc>
        <w:tc>
          <w:tcPr>
            <w:tcW w:w="1304" w:type="dxa"/>
            <w:vAlign w:val="center"/>
          </w:tcPr>
          <w:p w14:paraId="146F2717" w14:textId="77777777" w:rsidR="00454A29" w:rsidRDefault="00454A29">
            <w:pPr>
              <w:pStyle w:val="ConsPlusNormal"/>
            </w:pPr>
          </w:p>
        </w:tc>
        <w:tc>
          <w:tcPr>
            <w:tcW w:w="1304" w:type="dxa"/>
            <w:vAlign w:val="center"/>
          </w:tcPr>
          <w:p w14:paraId="073B534F" w14:textId="77777777" w:rsidR="00454A29" w:rsidRDefault="00454A29">
            <w:pPr>
              <w:pStyle w:val="ConsPlusNormal"/>
            </w:pPr>
          </w:p>
        </w:tc>
        <w:tc>
          <w:tcPr>
            <w:tcW w:w="1304" w:type="dxa"/>
            <w:vAlign w:val="center"/>
          </w:tcPr>
          <w:p w14:paraId="09F7A8C9" w14:textId="77777777" w:rsidR="00454A29" w:rsidRDefault="00454A29">
            <w:pPr>
              <w:pStyle w:val="ConsPlusNormal"/>
            </w:pPr>
          </w:p>
        </w:tc>
      </w:tr>
      <w:tr w:rsidR="00454A29" w14:paraId="56BEDB0A" w14:textId="77777777">
        <w:tc>
          <w:tcPr>
            <w:tcW w:w="2041" w:type="dxa"/>
            <w:vMerge/>
          </w:tcPr>
          <w:p w14:paraId="59E18E73" w14:textId="77777777" w:rsidR="00454A29" w:rsidRDefault="00454A29"/>
        </w:tc>
        <w:tc>
          <w:tcPr>
            <w:tcW w:w="3005" w:type="dxa"/>
            <w:vMerge/>
          </w:tcPr>
          <w:p w14:paraId="3D22C2D8" w14:textId="77777777" w:rsidR="00454A29" w:rsidRDefault="00454A29"/>
        </w:tc>
        <w:tc>
          <w:tcPr>
            <w:tcW w:w="2778" w:type="dxa"/>
            <w:vAlign w:val="center"/>
          </w:tcPr>
          <w:p w14:paraId="7999B5FA" w14:textId="77777777" w:rsidR="00454A29" w:rsidRDefault="00454A29">
            <w:pPr>
              <w:pStyle w:val="ConsPlusNormal"/>
            </w:pPr>
            <w:r>
              <w:t>Местные бюджеты</w:t>
            </w:r>
          </w:p>
        </w:tc>
        <w:tc>
          <w:tcPr>
            <w:tcW w:w="1304" w:type="dxa"/>
            <w:vAlign w:val="center"/>
          </w:tcPr>
          <w:p w14:paraId="18E72C09" w14:textId="77777777" w:rsidR="00454A29" w:rsidRDefault="00454A29">
            <w:pPr>
              <w:pStyle w:val="ConsPlusNormal"/>
            </w:pPr>
          </w:p>
        </w:tc>
        <w:tc>
          <w:tcPr>
            <w:tcW w:w="1247" w:type="dxa"/>
            <w:vAlign w:val="center"/>
          </w:tcPr>
          <w:p w14:paraId="7791249E" w14:textId="77777777" w:rsidR="00454A29" w:rsidRDefault="00454A29">
            <w:pPr>
              <w:pStyle w:val="ConsPlusNormal"/>
            </w:pPr>
          </w:p>
        </w:tc>
        <w:tc>
          <w:tcPr>
            <w:tcW w:w="1304" w:type="dxa"/>
            <w:vAlign w:val="center"/>
          </w:tcPr>
          <w:p w14:paraId="1636A8F4" w14:textId="77777777" w:rsidR="00454A29" w:rsidRDefault="00454A29">
            <w:pPr>
              <w:pStyle w:val="ConsPlusNormal"/>
            </w:pPr>
          </w:p>
        </w:tc>
        <w:tc>
          <w:tcPr>
            <w:tcW w:w="1304" w:type="dxa"/>
            <w:vAlign w:val="center"/>
          </w:tcPr>
          <w:p w14:paraId="49FC4D51" w14:textId="77777777" w:rsidR="00454A29" w:rsidRDefault="00454A29">
            <w:pPr>
              <w:pStyle w:val="ConsPlusNormal"/>
            </w:pPr>
          </w:p>
        </w:tc>
        <w:tc>
          <w:tcPr>
            <w:tcW w:w="1304" w:type="dxa"/>
            <w:vAlign w:val="center"/>
          </w:tcPr>
          <w:p w14:paraId="6F2EEA80" w14:textId="77777777" w:rsidR="00454A29" w:rsidRDefault="00454A29">
            <w:pPr>
              <w:pStyle w:val="ConsPlusNormal"/>
            </w:pPr>
          </w:p>
        </w:tc>
        <w:tc>
          <w:tcPr>
            <w:tcW w:w="1304" w:type="dxa"/>
            <w:vAlign w:val="center"/>
          </w:tcPr>
          <w:p w14:paraId="75E714AD" w14:textId="77777777" w:rsidR="00454A29" w:rsidRDefault="00454A29">
            <w:pPr>
              <w:pStyle w:val="ConsPlusNormal"/>
            </w:pPr>
          </w:p>
        </w:tc>
        <w:tc>
          <w:tcPr>
            <w:tcW w:w="1304" w:type="dxa"/>
            <w:vAlign w:val="center"/>
          </w:tcPr>
          <w:p w14:paraId="3D112B81" w14:textId="77777777" w:rsidR="00454A29" w:rsidRDefault="00454A29">
            <w:pPr>
              <w:pStyle w:val="ConsPlusNormal"/>
            </w:pPr>
          </w:p>
        </w:tc>
      </w:tr>
      <w:tr w:rsidR="00454A29" w14:paraId="2EEAB292" w14:textId="77777777">
        <w:tc>
          <w:tcPr>
            <w:tcW w:w="2041" w:type="dxa"/>
            <w:vMerge/>
          </w:tcPr>
          <w:p w14:paraId="72E5ED0A" w14:textId="77777777" w:rsidR="00454A29" w:rsidRDefault="00454A29"/>
        </w:tc>
        <w:tc>
          <w:tcPr>
            <w:tcW w:w="3005" w:type="dxa"/>
            <w:vMerge/>
          </w:tcPr>
          <w:p w14:paraId="79C393BD" w14:textId="77777777" w:rsidR="00454A29" w:rsidRDefault="00454A29"/>
        </w:tc>
        <w:tc>
          <w:tcPr>
            <w:tcW w:w="2778" w:type="dxa"/>
            <w:vAlign w:val="center"/>
          </w:tcPr>
          <w:p w14:paraId="5F07A448" w14:textId="77777777" w:rsidR="00454A29" w:rsidRDefault="00454A29">
            <w:pPr>
              <w:pStyle w:val="ConsPlusNormal"/>
            </w:pPr>
            <w:r>
              <w:t>Внебюджетные средства</w:t>
            </w:r>
          </w:p>
        </w:tc>
        <w:tc>
          <w:tcPr>
            <w:tcW w:w="1304" w:type="dxa"/>
            <w:vAlign w:val="center"/>
          </w:tcPr>
          <w:p w14:paraId="43364A47" w14:textId="77777777" w:rsidR="00454A29" w:rsidRDefault="00454A29">
            <w:pPr>
              <w:pStyle w:val="ConsPlusNormal"/>
            </w:pPr>
          </w:p>
        </w:tc>
        <w:tc>
          <w:tcPr>
            <w:tcW w:w="1247" w:type="dxa"/>
            <w:vAlign w:val="center"/>
          </w:tcPr>
          <w:p w14:paraId="14CC63C2" w14:textId="77777777" w:rsidR="00454A29" w:rsidRDefault="00454A29">
            <w:pPr>
              <w:pStyle w:val="ConsPlusNormal"/>
            </w:pPr>
          </w:p>
        </w:tc>
        <w:tc>
          <w:tcPr>
            <w:tcW w:w="1304" w:type="dxa"/>
            <w:vAlign w:val="center"/>
          </w:tcPr>
          <w:p w14:paraId="001BB46A" w14:textId="77777777" w:rsidR="00454A29" w:rsidRDefault="00454A29">
            <w:pPr>
              <w:pStyle w:val="ConsPlusNormal"/>
            </w:pPr>
          </w:p>
        </w:tc>
        <w:tc>
          <w:tcPr>
            <w:tcW w:w="1304" w:type="dxa"/>
            <w:vAlign w:val="center"/>
          </w:tcPr>
          <w:p w14:paraId="41E4FD0E" w14:textId="77777777" w:rsidR="00454A29" w:rsidRDefault="00454A29">
            <w:pPr>
              <w:pStyle w:val="ConsPlusNormal"/>
            </w:pPr>
          </w:p>
        </w:tc>
        <w:tc>
          <w:tcPr>
            <w:tcW w:w="1304" w:type="dxa"/>
            <w:vAlign w:val="center"/>
          </w:tcPr>
          <w:p w14:paraId="08CCE4EC" w14:textId="77777777" w:rsidR="00454A29" w:rsidRDefault="00454A29">
            <w:pPr>
              <w:pStyle w:val="ConsPlusNormal"/>
            </w:pPr>
          </w:p>
        </w:tc>
        <w:tc>
          <w:tcPr>
            <w:tcW w:w="1304" w:type="dxa"/>
            <w:vAlign w:val="center"/>
          </w:tcPr>
          <w:p w14:paraId="3776E3A3" w14:textId="77777777" w:rsidR="00454A29" w:rsidRDefault="00454A29">
            <w:pPr>
              <w:pStyle w:val="ConsPlusNormal"/>
            </w:pPr>
          </w:p>
        </w:tc>
        <w:tc>
          <w:tcPr>
            <w:tcW w:w="1304" w:type="dxa"/>
            <w:vAlign w:val="center"/>
          </w:tcPr>
          <w:p w14:paraId="6707BD01" w14:textId="77777777" w:rsidR="00454A29" w:rsidRDefault="00454A29">
            <w:pPr>
              <w:pStyle w:val="ConsPlusNormal"/>
            </w:pPr>
          </w:p>
        </w:tc>
      </w:tr>
      <w:tr w:rsidR="00454A29" w14:paraId="6E72A41E" w14:textId="77777777">
        <w:tc>
          <w:tcPr>
            <w:tcW w:w="2041" w:type="dxa"/>
            <w:vMerge w:val="restart"/>
            <w:vAlign w:val="center"/>
          </w:tcPr>
          <w:p w14:paraId="7CD15165" w14:textId="77777777" w:rsidR="00454A29" w:rsidRDefault="00454A29">
            <w:pPr>
              <w:pStyle w:val="ConsPlusNormal"/>
              <w:jc w:val="center"/>
              <w:outlineLvl w:val="2"/>
            </w:pPr>
            <w:r>
              <w:t>Подпрограмма 8</w:t>
            </w:r>
          </w:p>
        </w:tc>
        <w:tc>
          <w:tcPr>
            <w:tcW w:w="3005" w:type="dxa"/>
            <w:vMerge w:val="restart"/>
            <w:vAlign w:val="center"/>
          </w:tcPr>
          <w:p w14:paraId="052C7F0A" w14:textId="77777777" w:rsidR="00454A29" w:rsidRDefault="00454A29">
            <w:pPr>
              <w:pStyle w:val="ConsPlusNormal"/>
              <w:jc w:val="center"/>
            </w:pPr>
            <w:r>
              <w:t>"Дети Арктики и Севера"</w:t>
            </w:r>
          </w:p>
        </w:tc>
        <w:tc>
          <w:tcPr>
            <w:tcW w:w="2778" w:type="dxa"/>
            <w:vAlign w:val="center"/>
          </w:tcPr>
          <w:p w14:paraId="1712531D" w14:textId="77777777" w:rsidR="00454A29" w:rsidRDefault="00454A29">
            <w:pPr>
              <w:pStyle w:val="ConsPlusNormal"/>
            </w:pPr>
            <w:r>
              <w:t>Всего:</w:t>
            </w:r>
          </w:p>
        </w:tc>
        <w:tc>
          <w:tcPr>
            <w:tcW w:w="1304" w:type="dxa"/>
            <w:vAlign w:val="center"/>
          </w:tcPr>
          <w:p w14:paraId="350B4705" w14:textId="77777777" w:rsidR="00454A29" w:rsidRDefault="00454A29">
            <w:pPr>
              <w:pStyle w:val="ConsPlusNormal"/>
              <w:jc w:val="right"/>
            </w:pPr>
            <w:r>
              <w:t>3 500</w:t>
            </w:r>
          </w:p>
        </w:tc>
        <w:tc>
          <w:tcPr>
            <w:tcW w:w="1247" w:type="dxa"/>
            <w:vAlign w:val="center"/>
          </w:tcPr>
          <w:p w14:paraId="0CB0493C" w14:textId="77777777" w:rsidR="00454A29" w:rsidRDefault="00454A29">
            <w:pPr>
              <w:pStyle w:val="ConsPlusNormal"/>
              <w:jc w:val="right"/>
            </w:pPr>
            <w:r>
              <w:t>3 500</w:t>
            </w:r>
          </w:p>
        </w:tc>
        <w:tc>
          <w:tcPr>
            <w:tcW w:w="1304" w:type="dxa"/>
            <w:vAlign w:val="center"/>
          </w:tcPr>
          <w:p w14:paraId="61F64209" w14:textId="77777777" w:rsidR="00454A29" w:rsidRDefault="00454A29">
            <w:pPr>
              <w:pStyle w:val="ConsPlusNormal"/>
              <w:jc w:val="right"/>
            </w:pPr>
            <w:r>
              <w:t>3 500</w:t>
            </w:r>
          </w:p>
        </w:tc>
        <w:tc>
          <w:tcPr>
            <w:tcW w:w="1304" w:type="dxa"/>
            <w:vAlign w:val="center"/>
          </w:tcPr>
          <w:p w14:paraId="3F5038CC" w14:textId="77777777" w:rsidR="00454A29" w:rsidRDefault="00454A29">
            <w:pPr>
              <w:pStyle w:val="ConsPlusNormal"/>
              <w:jc w:val="right"/>
            </w:pPr>
            <w:r>
              <w:t>3 500</w:t>
            </w:r>
          </w:p>
        </w:tc>
        <w:tc>
          <w:tcPr>
            <w:tcW w:w="1304" w:type="dxa"/>
            <w:vAlign w:val="center"/>
          </w:tcPr>
          <w:p w14:paraId="039FC8AC" w14:textId="77777777" w:rsidR="00454A29" w:rsidRDefault="00454A29">
            <w:pPr>
              <w:pStyle w:val="ConsPlusNormal"/>
              <w:jc w:val="right"/>
            </w:pPr>
            <w:r>
              <w:t>3 500</w:t>
            </w:r>
          </w:p>
        </w:tc>
        <w:tc>
          <w:tcPr>
            <w:tcW w:w="1304" w:type="dxa"/>
            <w:vAlign w:val="center"/>
          </w:tcPr>
          <w:p w14:paraId="23E22ACE" w14:textId="77777777" w:rsidR="00454A29" w:rsidRDefault="00454A29">
            <w:pPr>
              <w:pStyle w:val="ConsPlusNormal"/>
              <w:jc w:val="right"/>
            </w:pPr>
            <w:r>
              <w:t>-</w:t>
            </w:r>
          </w:p>
        </w:tc>
        <w:tc>
          <w:tcPr>
            <w:tcW w:w="1304" w:type="dxa"/>
            <w:vAlign w:val="center"/>
          </w:tcPr>
          <w:p w14:paraId="3690DCC8" w14:textId="77777777" w:rsidR="00454A29" w:rsidRDefault="00454A29">
            <w:pPr>
              <w:pStyle w:val="ConsPlusNormal"/>
              <w:jc w:val="right"/>
            </w:pPr>
            <w:r>
              <w:t>-</w:t>
            </w:r>
          </w:p>
        </w:tc>
      </w:tr>
      <w:tr w:rsidR="00454A29" w14:paraId="73A9A1FA" w14:textId="77777777">
        <w:tc>
          <w:tcPr>
            <w:tcW w:w="2041" w:type="dxa"/>
            <w:vMerge/>
          </w:tcPr>
          <w:p w14:paraId="3F0F0D55" w14:textId="77777777" w:rsidR="00454A29" w:rsidRDefault="00454A29"/>
        </w:tc>
        <w:tc>
          <w:tcPr>
            <w:tcW w:w="3005" w:type="dxa"/>
            <w:vMerge/>
          </w:tcPr>
          <w:p w14:paraId="3F7F483A" w14:textId="77777777" w:rsidR="00454A29" w:rsidRDefault="00454A29"/>
        </w:tc>
        <w:tc>
          <w:tcPr>
            <w:tcW w:w="2778" w:type="dxa"/>
            <w:vAlign w:val="center"/>
          </w:tcPr>
          <w:p w14:paraId="1102A474" w14:textId="77777777" w:rsidR="00454A29" w:rsidRDefault="00454A29">
            <w:pPr>
              <w:pStyle w:val="ConsPlusNormal"/>
            </w:pPr>
            <w:r>
              <w:t>Государственный бюджет Республики Саха (Якутия)</w:t>
            </w:r>
          </w:p>
        </w:tc>
        <w:tc>
          <w:tcPr>
            <w:tcW w:w="1304" w:type="dxa"/>
            <w:vAlign w:val="center"/>
          </w:tcPr>
          <w:p w14:paraId="2D6B9F47" w14:textId="77777777" w:rsidR="00454A29" w:rsidRDefault="00454A29">
            <w:pPr>
              <w:pStyle w:val="ConsPlusNormal"/>
              <w:jc w:val="right"/>
            </w:pPr>
            <w:r>
              <w:t>3 500</w:t>
            </w:r>
          </w:p>
        </w:tc>
        <w:tc>
          <w:tcPr>
            <w:tcW w:w="1247" w:type="dxa"/>
            <w:vAlign w:val="center"/>
          </w:tcPr>
          <w:p w14:paraId="14CA35EC" w14:textId="77777777" w:rsidR="00454A29" w:rsidRDefault="00454A29">
            <w:pPr>
              <w:pStyle w:val="ConsPlusNormal"/>
              <w:jc w:val="right"/>
            </w:pPr>
            <w:r>
              <w:t>3 500</w:t>
            </w:r>
          </w:p>
        </w:tc>
        <w:tc>
          <w:tcPr>
            <w:tcW w:w="1304" w:type="dxa"/>
            <w:vAlign w:val="center"/>
          </w:tcPr>
          <w:p w14:paraId="2C834B05" w14:textId="77777777" w:rsidR="00454A29" w:rsidRDefault="00454A29">
            <w:pPr>
              <w:pStyle w:val="ConsPlusNormal"/>
              <w:jc w:val="right"/>
            </w:pPr>
            <w:r>
              <w:t>3 500</w:t>
            </w:r>
          </w:p>
        </w:tc>
        <w:tc>
          <w:tcPr>
            <w:tcW w:w="1304" w:type="dxa"/>
            <w:vAlign w:val="center"/>
          </w:tcPr>
          <w:p w14:paraId="43E1BFB4" w14:textId="77777777" w:rsidR="00454A29" w:rsidRDefault="00454A29">
            <w:pPr>
              <w:pStyle w:val="ConsPlusNormal"/>
              <w:jc w:val="right"/>
            </w:pPr>
            <w:r>
              <w:t>3 500</w:t>
            </w:r>
          </w:p>
        </w:tc>
        <w:tc>
          <w:tcPr>
            <w:tcW w:w="1304" w:type="dxa"/>
            <w:vAlign w:val="center"/>
          </w:tcPr>
          <w:p w14:paraId="468441C5" w14:textId="77777777" w:rsidR="00454A29" w:rsidRDefault="00454A29">
            <w:pPr>
              <w:pStyle w:val="ConsPlusNormal"/>
              <w:jc w:val="right"/>
            </w:pPr>
            <w:r>
              <w:t>3 500</w:t>
            </w:r>
          </w:p>
        </w:tc>
        <w:tc>
          <w:tcPr>
            <w:tcW w:w="1304" w:type="dxa"/>
            <w:vAlign w:val="center"/>
          </w:tcPr>
          <w:p w14:paraId="5ADBF330" w14:textId="77777777" w:rsidR="00454A29" w:rsidRDefault="00454A29">
            <w:pPr>
              <w:pStyle w:val="ConsPlusNormal"/>
              <w:jc w:val="right"/>
            </w:pPr>
            <w:r>
              <w:t>-</w:t>
            </w:r>
          </w:p>
        </w:tc>
        <w:tc>
          <w:tcPr>
            <w:tcW w:w="1304" w:type="dxa"/>
            <w:vAlign w:val="center"/>
          </w:tcPr>
          <w:p w14:paraId="430D635C" w14:textId="77777777" w:rsidR="00454A29" w:rsidRDefault="00454A29">
            <w:pPr>
              <w:pStyle w:val="ConsPlusNormal"/>
              <w:jc w:val="right"/>
            </w:pPr>
            <w:r>
              <w:t>-</w:t>
            </w:r>
          </w:p>
        </w:tc>
      </w:tr>
      <w:tr w:rsidR="00454A29" w14:paraId="3005038F" w14:textId="77777777">
        <w:tc>
          <w:tcPr>
            <w:tcW w:w="2041" w:type="dxa"/>
            <w:vMerge/>
          </w:tcPr>
          <w:p w14:paraId="4DB7E0B1" w14:textId="77777777" w:rsidR="00454A29" w:rsidRDefault="00454A29"/>
        </w:tc>
        <w:tc>
          <w:tcPr>
            <w:tcW w:w="3005" w:type="dxa"/>
            <w:vMerge/>
          </w:tcPr>
          <w:p w14:paraId="2233BD4B" w14:textId="77777777" w:rsidR="00454A29" w:rsidRDefault="00454A29"/>
        </w:tc>
        <w:tc>
          <w:tcPr>
            <w:tcW w:w="2778" w:type="dxa"/>
            <w:vAlign w:val="center"/>
          </w:tcPr>
          <w:p w14:paraId="35F1BBAA" w14:textId="77777777" w:rsidR="00454A29" w:rsidRDefault="00454A29">
            <w:pPr>
              <w:pStyle w:val="ConsPlusNormal"/>
            </w:pPr>
            <w:r>
              <w:t>Минобрнауки РС(Я)</w:t>
            </w:r>
          </w:p>
        </w:tc>
        <w:tc>
          <w:tcPr>
            <w:tcW w:w="1304" w:type="dxa"/>
            <w:vAlign w:val="center"/>
          </w:tcPr>
          <w:p w14:paraId="15B9454C" w14:textId="77777777" w:rsidR="00454A29" w:rsidRDefault="00454A29">
            <w:pPr>
              <w:pStyle w:val="ConsPlusNormal"/>
              <w:jc w:val="right"/>
            </w:pPr>
            <w:r>
              <w:t>3 500</w:t>
            </w:r>
          </w:p>
        </w:tc>
        <w:tc>
          <w:tcPr>
            <w:tcW w:w="1247" w:type="dxa"/>
            <w:vAlign w:val="center"/>
          </w:tcPr>
          <w:p w14:paraId="7FA43498" w14:textId="77777777" w:rsidR="00454A29" w:rsidRDefault="00454A29">
            <w:pPr>
              <w:pStyle w:val="ConsPlusNormal"/>
              <w:jc w:val="right"/>
            </w:pPr>
            <w:r>
              <w:t>3 500</w:t>
            </w:r>
          </w:p>
        </w:tc>
        <w:tc>
          <w:tcPr>
            <w:tcW w:w="1304" w:type="dxa"/>
            <w:vAlign w:val="center"/>
          </w:tcPr>
          <w:p w14:paraId="5982B011" w14:textId="77777777" w:rsidR="00454A29" w:rsidRDefault="00454A29">
            <w:pPr>
              <w:pStyle w:val="ConsPlusNormal"/>
              <w:jc w:val="right"/>
            </w:pPr>
            <w:r>
              <w:t>3 500</w:t>
            </w:r>
          </w:p>
        </w:tc>
        <w:tc>
          <w:tcPr>
            <w:tcW w:w="1304" w:type="dxa"/>
            <w:vAlign w:val="center"/>
          </w:tcPr>
          <w:p w14:paraId="05A957F8" w14:textId="77777777" w:rsidR="00454A29" w:rsidRDefault="00454A29">
            <w:pPr>
              <w:pStyle w:val="ConsPlusNormal"/>
              <w:jc w:val="right"/>
            </w:pPr>
            <w:r>
              <w:t>3 500</w:t>
            </w:r>
          </w:p>
        </w:tc>
        <w:tc>
          <w:tcPr>
            <w:tcW w:w="1304" w:type="dxa"/>
            <w:vAlign w:val="center"/>
          </w:tcPr>
          <w:p w14:paraId="4CA065C3" w14:textId="77777777" w:rsidR="00454A29" w:rsidRDefault="00454A29">
            <w:pPr>
              <w:pStyle w:val="ConsPlusNormal"/>
              <w:jc w:val="right"/>
            </w:pPr>
            <w:r>
              <w:t>3 500</w:t>
            </w:r>
          </w:p>
        </w:tc>
        <w:tc>
          <w:tcPr>
            <w:tcW w:w="1304" w:type="dxa"/>
            <w:vAlign w:val="center"/>
          </w:tcPr>
          <w:p w14:paraId="406CCB2C" w14:textId="77777777" w:rsidR="00454A29" w:rsidRDefault="00454A29">
            <w:pPr>
              <w:pStyle w:val="ConsPlusNormal"/>
              <w:jc w:val="right"/>
            </w:pPr>
            <w:r>
              <w:t>-</w:t>
            </w:r>
          </w:p>
        </w:tc>
        <w:tc>
          <w:tcPr>
            <w:tcW w:w="1304" w:type="dxa"/>
            <w:vAlign w:val="center"/>
          </w:tcPr>
          <w:p w14:paraId="28BB2EF4" w14:textId="77777777" w:rsidR="00454A29" w:rsidRDefault="00454A29">
            <w:pPr>
              <w:pStyle w:val="ConsPlusNormal"/>
              <w:jc w:val="right"/>
            </w:pPr>
            <w:r>
              <w:t>-</w:t>
            </w:r>
          </w:p>
        </w:tc>
      </w:tr>
      <w:tr w:rsidR="00454A29" w14:paraId="110AD9AA" w14:textId="77777777">
        <w:tc>
          <w:tcPr>
            <w:tcW w:w="2041" w:type="dxa"/>
            <w:vMerge/>
          </w:tcPr>
          <w:p w14:paraId="4B665246" w14:textId="77777777" w:rsidR="00454A29" w:rsidRDefault="00454A29"/>
        </w:tc>
        <w:tc>
          <w:tcPr>
            <w:tcW w:w="3005" w:type="dxa"/>
            <w:vMerge/>
          </w:tcPr>
          <w:p w14:paraId="2F6F32A7" w14:textId="77777777" w:rsidR="00454A29" w:rsidRDefault="00454A29"/>
        </w:tc>
        <w:tc>
          <w:tcPr>
            <w:tcW w:w="2778" w:type="dxa"/>
            <w:vAlign w:val="center"/>
          </w:tcPr>
          <w:p w14:paraId="57F707BC" w14:textId="77777777" w:rsidR="00454A29" w:rsidRDefault="00454A29">
            <w:pPr>
              <w:pStyle w:val="ConsPlusNormal"/>
            </w:pPr>
            <w:r>
              <w:t>Федеральный бюджет</w:t>
            </w:r>
          </w:p>
        </w:tc>
        <w:tc>
          <w:tcPr>
            <w:tcW w:w="1304" w:type="dxa"/>
            <w:vAlign w:val="center"/>
          </w:tcPr>
          <w:p w14:paraId="3AF093AF" w14:textId="77777777" w:rsidR="00454A29" w:rsidRDefault="00454A29">
            <w:pPr>
              <w:pStyle w:val="ConsPlusNormal"/>
              <w:jc w:val="right"/>
            </w:pPr>
            <w:r>
              <w:t>-</w:t>
            </w:r>
          </w:p>
        </w:tc>
        <w:tc>
          <w:tcPr>
            <w:tcW w:w="1247" w:type="dxa"/>
            <w:vAlign w:val="center"/>
          </w:tcPr>
          <w:p w14:paraId="3A5E78FE" w14:textId="77777777" w:rsidR="00454A29" w:rsidRDefault="00454A29">
            <w:pPr>
              <w:pStyle w:val="ConsPlusNormal"/>
              <w:jc w:val="right"/>
            </w:pPr>
            <w:r>
              <w:t>-</w:t>
            </w:r>
          </w:p>
        </w:tc>
        <w:tc>
          <w:tcPr>
            <w:tcW w:w="1304" w:type="dxa"/>
            <w:vAlign w:val="center"/>
          </w:tcPr>
          <w:p w14:paraId="555468A3" w14:textId="77777777" w:rsidR="00454A29" w:rsidRDefault="00454A29">
            <w:pPr>
              <w:pStyle w:val="ConsPlusNormal"/>
              <w:jc w:val="right"/>
            </w:pPr>
            <w:r>
              <w:t>-</w:t>
            </w:r>
          </w:p>
        </w:tc>
        <w:tc>
          <w:tcPr>
            <w:tcW w:w="1304" w:type="dxa"/>
            <w:vAlign w:val="center"/>
          </w:tcPr>
          <w:p w14:paraId="223F102E" w14:textId="77777777" w:rsidR="00454A29" w:rsidRDefault="00454A29">
            <w:pPr>
              <w:pStyle w:val="ConsPlusNormal"/>
              <w:jc w:val="right"/>
            </w:pPr>
            <w:r>
              <w:t>-</w:t>
            </w:r>
          </w:p>
        </w:tc>
        <w:tc>
          <w:tcPr>
            <w:tcW w:w="1304" w:type="dxa"/>
            <w:vAlign w:val="center"/>
          </w:tcPr>
          <w:p w14:paraId="685C7BD1" w14:textId="77777777" w:rsidR="00454A29" w:rsidRDefault="00454A29">
            <w:pPr>
              <w:pStyle w:val="ConsPlusNormal"/>
              <w:jc w:val="right"/>
            </w:pPr>
            <w:r>
              <w:t>-</w:t>
            </w:r>
          </w:p>
        </w:tc>
        <w:tc>
          <w:tcPr>
            <w:tcW w:w="1304" w:type="dxa"/>
            <w:vAlign w:val="center"/>
          </w:tcPr>
          <w:p w14:paraId="3F06E93A" w14:textId="77777777" w:rsidR="00454A29" w:rsidRDefault="00454A29">
            <w:pPr>
              <w:pStyle w:val="ConsPlusNormal"/>
              <w:jc w:val="right"/>
            </w:pPr>
            <w:r>
              <w:t>-</w:t>
            </w:r>
          </w:p>
        </w:tc>
        <w:tc>
          <w:tcPr>
            <w:tcW w:w="1304" w:type="dxa"/>
            <w:vAlign w:val="center"/>
          </w:tcPr>
          <w:p w14:paraId="072E29EB" w14:textId="77777777" w:rsidR="00454A29" w:rsidRDefault="00454A29">
            <w:pPr>
              <w:pStyle w:val="ConsPlusNormal"/>
              <w:jc w:val="right"/>
            </w:pPr>
            <w:r>
              <w:t>-</w:t>
            </w:r>
          </w:p>
        </w:tc>
      </w:tr>
      <w:tr w:rsidR="00454A29" w14:paraId="6BBA99C5" w14:textId="77777777">
        <w:tc>
          <w:tcPr>
            <w:tcW w:w="2041" w:type="dxa"/>
            <w:vMerge/>
          </w:tcPr>
          <w:p w14:paraId="684D188F" w14:textId="77777777" w:rsidR="00454A29" w:rsidRDefault="00454A29"/>
        </w:tc>
        <w:tc>
          <w:tcPr>
            <w:tcW w:w="3005" w:type="dxa"/>
            <w:vMerge/>
          </w:tcPr>
          <w:p w14:paraId="70B422ED" w14:textId="77777777" w:rsidR="00454A29" w:rsidRDefault="00454A29"/>
        </w:tc>
        <w:tc>
          <w:tcPr>
            <w:tcW w:w="2778" w:type="dxa"/>
            <w:vAlign w:val="center"/>
          </w:tcPr>
          <w:p w14:paraId="49ACDD67" w14:textId="77777777" w:rsidR="00454A29" w:rsidRDefault="00454A29">
            <w:pPr>
              <w:pStyle w:val="ConsPlusNormal"/>
            </w:pPr>
            <w:r>
              <w:t>Местные бюджеты</w:t>
            </w:r>
          </w:p>
        </w:tc>
        <w:tc>
          <w:tcPr>
            <w:tcW w:w="1304" w:type="dxa"/>
            <w:vAlign w:val="center"/>
          </w:tcPr>
          <w:p w14:paraId="07B68346" w14:textId="77777777" w:rsidR="00454A29" w:rsidRDefault="00454A29">
            <w:pPr>
              <w:pStyle w:val="ConsPlusNormal"/>
              <w:jc w:val="right"/>
            </w:pPr>
            <w:r>
              <w:t>-</w:t>
            </w:r>
          </w:p>
        </w:tc>
        <w:tc>
          <w:tcPr>
            <w:tcW w:w="1247" w:type="dxa"/>
            <w:vAlign w:val="center"/>
          </w:tcPr>
          <w:p w14:paraId="7FD6D983" w14:textId="77777777" w:rsidR="00454A29" w:rsidRDefault="00454A29">
            <w:pPr>
              <w:pStyle w:val="ConsPlusNormal"/>
              <w:jc w:val="right"/>
            </w:pPr>
            <w:r>
              <w:t>-</w:t>
            </w:r>
          </w:p>
        </w:tc>
        <w:tc>
          <w:tcPr>
            <w:tcW w:w="1304" w:type="dxa"/>
            <w:vAlign w:val="center"/>
          </w:tcPr>
          <w:p w14:paraId="7063628F" w14:textId="77777777" w:rsidR="00454A29" w:rsidRDefault="00454A29">
            <w:pPr>
              <w:pStyle w:val="ConsPlusNormal"/>
              <w:jc w:val="right"/>
            </w:pPr>
            <w:r>
              <w:t>-</w:t>
            </w:r>
          </w:p>
        </w:tc>
        <w:tc>
          <w:tcPr>
            <w:tcW w:w="1304" w:type="dxa"/>
            <w:vAlign w:val="center"/>
          </w:tcPr>
          <w:p w14:paraId="2FC8FE6A" w14:textId="77777777" w:rsidR="00454A29" w:rsidRDefault="00454A29">
            <w:pPr>
              <w:pStyle w:val="ConsPlusNormal"/>
              <w:jc w:val="right"/>
            </w:pPr>
            <w:r>
              <w:t>-</w:t>
            </w:r>
          </w:p>
        </w:tc>
        <w:tc>
          <w:tcPr>
            <w:tcW w:w="1304" w:type="dxa"/>
            <w:vAlign w:val="center"/>
          </w:tcPr>
          <w:p w14:paraId="4CD4E2BA" w14:textId="77777777" w:rsidR="00454A29" w:rsidRDefault="00454A29">
            <w:pPr>
              <w:pStyle w:val="ConsPlusNormal"/>
              <w:jc w:val="right"/>
            </w:pPr>
            <w:r>
              <w:t>-</w:t>
            </w:r>
          </w:p>
        </w:tc>
        <w:tc>
          <w:tcPr>
            <w:tcW w:w="1304" w:type="dxa"/>
            <w:vAlign w:val="center"/>
          </w:tcPr>
          <w:p w14:paraId="1E0AD895" w14:textId="77777777" w:rsidR="00454A29" w:rsidRDefault="00454A29">
            <w:pPr>
              <w:pStyle w:val="ConsPlusNormal"/>
              <w:jc w:val="right"/>
            </w:pPr>
            <w:r>
              <w:t>-</w:t>
            </w:r>
          </w:p>
        </w:tc>
        <w:tc>
          <w:tcPr>
            <w:tcW w:w="1304" w:type="dxa"/>
            <w:vAlign w:val="center"/>
          </w:tcPr>
          <w:p w14:paraId="21238BE5" w14:textId="77777777" w:rsidR="00454A29" w:rsidRDefault="00454A29">
            <w:pPr>
              <w:pStyle w:val="ConsPlusNormal"/>
              <w:jc w:val="right"/>
            </w:pPr>
            <w:r>
              <w:t>-</w:t>
            </w:r>
          </w:p>
        </w:tc>
      </w:tr>
      <w:tr w:rsidR="00454A29" w14:paraId="224E4937" w14:textId="77777777">
        <w:tc>
          <w:tcPr>
            <w:tcW w:w="2041" w:type="dxa"/>
            <w:vMerge/>
          </w:tcPr>
          <w:p w14:paraId="70AA02A4" w14:textId="77777777" w:rsidR="00454A29" w:rsidRDefault="00454A29"/>
        </w:tc>
        <w:tc>
          <w:tcPr>
            <w:tcW w:w="3005" w:type="dxa"/>
            <w:vMerge/>
          </w:tcPr>
          <w:p w14:paraId="453432F5" w14:textId="77777777" w:rsidR="00454A29" w:rsidRDefault="00454A29"/>
        </w:tc>
        <w:tc>
          <w:tcPr>
            <w:tcW w:w="2778" w:type="dxa"/>
            <w:vAlign w:val="center"/>
          </w:tcPr>
          <w:p w14:paraId="7E93B1B3" w14:textId="77777777" w:rsidR="00454A29" w:rsidRDefault="00454A29">
            <w:pPr>
              <w:pStyle w:val="ConsPlusNormal"/>
            </w:pPr>
            <w:r>
              <w:t>Внебюджетные средства</w:t>
            </w:r>
          </w:p>
        </w:tc>
        <w:tc>
          <w:tcPr>
            <w:tcW w:w="1304" w:type="dxa"/>
            <w:vAlign w:val="center"/>
          </w:tcPr>
          <w:p w14:paraId="031511EC" w14:textId="77777777" w:rsidR="00454A29" w:rsidRDefault="00454A29">
            <w:pPr>
              <w:pStyle w:val="ConsPlusNormal"/>
              <w:jc w:val="right"/>
            </w:pPr>
            <w:r>
              <w:t>-</w:t>
            </w:r>
          </w:p>
        </w:tc>
        <w:tc>
          <w:tcPr>
            <w:tcW w:w="1247" w:type="dxa"/>
            <w:vAlign w:val="center"/>
          </w:tcPr>
          <w:p w14:paraId="5A5D41CE" w14:textId="77777777" w:rsidR="00454A29" w:rsidRDefault="00454A29">
            <w:pPr>
              <w:pStyle w:val="ConsPlusNormal"/>
              <w:jc w:val="right"/>
            </w:pPr>
            <w:r>
              <w:t>-</w:t>
            </w:r>
          </w:p>
        </w:tc>
        <w:tc>
          <w:tcPr>
            <w:tcW w:w="1304" w:type="dxa"/>
            <w:vAlign w:val="center"/>
          </w:tcPr>
          <w:p w14:paraId="46B26915" w14:textId="77777777" w:rsidR="00454A29" w:rsidRDefault="00454A29">
            <w:pPr>
              <w:pStyle w:val="ConsPlusNormal"/>
              <w:jc w:val="right"/>
            </w:pPr>
            <w:r>
              <w:t>-</w:t>
            </w:r>
          </w:p>
        </w:tc>
        <w:tc>
          <w:tcPr>
            <w:tcW w:w="1304" w:type="dxa"/>
            <w:vAlign w:val="center"/>
          </w:tcPr>
          <w:p w14:paraId="45763507" w14:textId="77777777" w:rsidR="00454A29" w:rsidRDefault="00454A29">
            <w:pPr>
              <w:pStyle w:val="ConsPlusNormal"/>
              <w:jc w:val="right"/>
            </w:pPr>
            <w:r>
              <w:t>-</w:t>
            </w:r>
          </w:p>
        </w:tc>
        <w:tc>
          <w:tcPr>
            <w:tcW w:w="1304" w:type="dxa"/>
            <w:vAlign w:val="center"/>
          </w:tcPr>
          <w:p w14:paraId="62DD24AF" w14:textId="77777777" w:rsidR="00454A29" w:rsidRDefault="00454A29">
            <w:pPr>
              <w:pStyle w:val="ConsPlusNormal"/>
              <w:jc w:val="right"/>
            </w:pPr>
            <w:r>
              <w:t>-</w:t>
            </w:r>
          </w:p>
        </w:tc>
        <w:tc>
          <w:tcPr>
            <w:tcW w:w="1304" w:type="dxa"/>
            <w:vAlign w:val="center"/>
          </w:tcPr>
          <w:p w14:paraId="58D530EE" w14:textId="77777777" w:rsidR="00454A29" w:rsidRDefault="00454A29">
            <w:pPr>
              <w:pStyle w:val="ConsPlusNormal"/>
              <w:jc w:val="right"/>
            </w:pPr>
            <w:r>
              <w:t>-</w:t>
            </w:r>
          </w:p>
        </w:tc>
        <w:tc>
          <w:tcPr>
            <w:tcW w:w="1304" w:type="dxa"/>
            <w:vAlign w:val="center"/>
          </w:tcPr>
          <w:p w14:paraId="05C2EEC2" w14:textId="77777777" w:rsidR="00454A29" w:rsidRDefault="00454A29">
            <w:pPr>
              <w:pStyle w:val="ConsPlusNormal"/>
              <w:jc w:val="right"/>
            </w:pPr>
            <w:r>
              <w:t>-</w:t>
            </w:r>
          </w:p>
        </w:tc>
      </w:tr>
      <w:tr w:rsidR="00454A29" w14:paraId="7C56D2C5" w14:textId="77777777">
        <w:tc>
          <w:tcPr>
            <w:tcW w:w="2041" w:type="dxa"/>
            <w:vMerge w:val="restart"/>
            <w:vAlign w:val="center"/>
          </w:tcPr>
          <w:p w14:paraId="305B9A6C" w14:textId="77777777" w:rsidR="00454A29" w:rsidRDefault="00454A29">
            <w:pPr>
              <w:pStyle w:val="ConsPlusNormal"/>
              <w:jc w:val="center"/>
            </w:pPr>
            <w:r>
              <w:t>Основное мероприятие 8.1.</w:t>
            </w:r>
          </w:p>
        </w:tc>
        <w:tc>
          <w:tcPr>
            <w:tcW w:w="3005" w:type="dxa"/>
            <w:vMerge w:val="restart"/>
            <w:vAlign w:val="center"/>
          </w:tcPr>
          <w:p w14:paraId="453FFA19" w14:textId="77777777" w:rsidR="00454A29" w:rsidRDefault="00454A29">
            <w:pPr>
              <w:pStyle w:val="ConsPlusNormal"/>
              <w:jc w:val="center"/>
            </w:pPr>
            <w:r>
              <w:t>Создание современной образовательной среды, электронного и дистанционного обучения</w:t>
            </w:r>
          </w:p>
        </w:tc>
        <w:tc>
          <w:tcPr>
            <w:tcW w:w="2778" w:type="dxa"/>
            <w:vAlign w:val="center"/>
          </w:tcPr>
          <w:p w14:paraId="426A7B41" w14:textId="77777777" w:rsidR="00454A29" w:rsidRDefault="00454A29">
            <w:pPr>
              <w:pStyle w:val="ConsPlusNormal"/>
            </w:pPr>
            <w:r>
              <w:t>Всего:</w:t>
            </w:r>
          </w:p>
        </w:tc>
        <w:tc>
          <w:tcPr>
            <w:tcW w:w="1304" w:type="dxa"/>
            <w:vAlign w:val="center"/>
          </w:tcPr>
          <w:p w14:paraId="0A075537" w14:textId="77777777" w:rsidR="00454A29" w:rsidRDefault="00454A29">
            <w:pPr>
              <w:pStyle w:val="ConsPlusNormal"/>
              <w:jc w:val="right"/>
            </w:pPr>
            <w:r>
              <w:t>-</w:t>
            </w:r>
          </w:p>
        </w:tc>
        <w:tc>
          <w:tcPr>
            <w:tcW w:w="1247" w:type="dxa"/>
            <w:vAlign w:val="center"/>
          </w:tcPr>
          <w:p w14:paraId="565CE856" w14:textId="77777777" w:rsidR="00454A29" w:rsidRDefault="00454A29">
            <w:pPr>
              <w:pStyle w:val="ConsPlusNormal"/>
              <w:jc w:val="right"/>
            </w:pPr>
            <w:r>
              <w:t>-</w:t>
            </w:r>
          </w:p>
        </w:tc>
        <w:tc>
          <w:tcPr>
            <w:tcW w:w="1304" w:type="dxa"/>
            <w:vAlign w:val="center"/>
          </w:tcPr>
          <w:p w14:paraId="4549FE6A" w14:textId="77777777" w:rsidR="00454A29" w:rsidRDefault="00454A29">
            <w:pPr>
              <w:pStyle w:val="ConsPlusNormal"/>
              <w:jc w:val="right"/>
            </w:pPr>
            <w:r>
              <w:t>-</w:t>
            </w:r>
          </w:p>
        </w:tc>
        <w:tc>
          <w:tcPr>
            <w:tcW w:w="1304" w:type="dxa"/>
            <w:vAlign w:val="center"/>
          </w:tcPr>
          <w:p w14:paraId="42B1F3D0" w14:textId="77777777" w:rsidR="00454A29" w:rsidRDefault="00454A29">
            <w:pPr>
              <w:pStyle w:val="ConsPlusNormal"/>
              <w:jc w:val="right"/>
            </w:pPr>
            <w:r>
              <w:t>-</w:t>
            </w:r>
          </w:p>
        </w:tc>
        <w:tc>
          <w:tcPr>
            <w:tcW w:w="1304" w:type="dxa"/>
            <w:vAlign w:val="center"/>
          </w:tcPr>
          <w:p w14:paraId="3FE33B18" w14:textId="77777777" w:rsidR="00454A29" w:rsidRDefault="00454A29">
            <w:pPr>
              <w:pStyle w:val="ConsPlusNormal"/>
              <w:jc w:val="right"/>
            </w:pPr>
            <w:r>
              <w:t>-</w:t>
            </w:r>
          </w:p>
        </w:tc>
        <w:tc>
          <w:tcPr>
            <w:tcW w:w="1304" w:type="dxa"/>
            <w:vAlign w:val="center"/>
          </w:tcPr>
          <w:p w14:paraId="0B5EDAF8" w14:textId="77777777" w:rsidR="00454A29" w:rsidRDefault="00454A29">
            <w:pPr>
              <w:pStyle w:val="ConsPlusNormal"/>
              <w:jc w:val="right"/>
            </w:pPr>
            <w:r>
              <w:t>-</w:t>
            </w:r>
          </w:p>
        </w:tc>
        <w:tc>
          <w:tcPr>
            <w:tcW w:w="1304" w:type="dxa"/>
            <w:vAlign w:val="center"/>
          </w:tcPr>
          <w:p w14:paraId="51030800" w14:textId="77777777" w:rsidR="00454A29" w:rsidRDefault="00454A29">
            <w:pPr>
              <w:pStyle w:val="ConsPlusNormal"/>
              <w:jc w:val="right"/>
            </w:pPr>
            <w:r>
              <w:t>-</w:t>
            </w:r>
          </w:p>
        </w:tc>
      </w:tr>
      <w:tr w:rsidR="00454A29" w14:paraId="61963797" w14:textId="77777777">
        <w:tc>
          <w:tcPr>
            <w:tcW w:w="2041" w:type="dxa"/>
            <w:vMerge/>
          </w:tcPr>
          <w:p w14:paraId="29E0C98D" w14:textId="77777777" w:rsidR="00454A29" w:rsidRDefault="00454A29"/>
        </w:tc>
        <w:tc>
          <w:tcPr>
            <w:tcW w:w="3005" w:type="dxa"/>
            <w:vMerge/>
          </w:tcPr>
          <w:p w14:paraId="2FA0F4F9" w14:textId="77777777" w:rsidR="00454A29" w:rsidRDefault="00454A29"/>
        </w:tc>
        <w:tc>
          <w:tcPr>
            <w:tcW w:w="2778" w:type="dxa"/>
            <w:vAlign w:val="center"/>
          </w:tcPr>
          <w:p w14:paraId="4CE2CAA0" w14:textId="77777777" w:rsidR="00454A29" w:rsidRDefault="00454A29">
            <w:pPr>
              <w:pStyle w:val="ConsPlusNormal"/>
            </w:pPr>
            <w:r>
              <w:t>Государственный бюджет Республики Саха (Якутия)</w:t>
            </w:r>
          </w:p>
        </w:tc>
        <w:tc>
          <w:tcPr>
            <w:tcW w:w="1304" w:type="dxa"/>
            <w:vAlign w:val="center"/>
          </w:tcPr>
          <w:p w14:paraId="3384319F" w14:textId="77777777" w:rsidR="00454A29" w:rsidRDefault="00454A29">
            <w:pPr>
              <w:pStyle w:val="ConsPlusNormal"/>
              <w:jc w:val="right"/>
            </w:pPr>
            <w:r>
              <w:t>-</w:t>
            </w:r>
          </w:p>
        </w:tc>
        <w:tc>
          <w:tcPr>
            <w:tcW w:w="1247" w:type="dxa"/>
            <w:vAlign w:val="center"/>
          </w:tcPr>
          <w:p w14:paraId="71705DE7" w14:textId="77777777" w:rsidR="00454A29" w:rsidRDefault="00454A29">
            <w:pPr>
              <w:pStyle w:val="ConsPlusNormal"/>
              <w:jc w:val="right"/>
            </w:pPr>
            <w:r>
              <w:t>-</w:t>
            </w:r>
          </w:p>
        </w:tc>
        <w:tc>
          <w:tcPr>
            <w:tcW w:w="1304" w:type="dxa"/>
            <w:vAlign w:val="center"/>
          </w:tcPr>
          <w:p w14:paraId="7ECF4925" w14:textId="77777777" w:rsidR="00454A29" w:rsidRDefault="00454A29">
            <w:pPr>
              <w:pStyle w:val="ConsPlusNormal"/>
              <w:jc w:val="right"/>
            </w:pPr>
            <w:r>
              <w:t>-</w:t>
            </w:r>
          </w:p>
        </w:tc>
        <w:tc>
          <w:tcPr>
            <w:tcW w:w="1304" w:type="dxa"/>
            <w:vAlign w:val="center"/>
          </w:tcPr>
          <w:p w14:paraId="713615BC" w14:textId="77777777" w:rsidR="00454A29" w:rsidRDefault="00454A29">
            <w:pPr>
              <w:pStyle w:val="ConsPlusNormal"/>
              <w:jc w:val="right"/>
            </w:pPr>
            <w:r>
              <w:t>-</w:t>
            </w:r>
          </w:p>
        </w:tc>
        <w:tc>
          <w:tcPr>
            <w:tcW w:w="1304" w:type="dxa"/>
            <w:vAlign w:val="center"/>
          </w:tcPr>
          <w:p w14:paraId="42ECD2E5" w14:textId="77777777" w:rsidR="00454A29" w:rsidRDefault="00454A29">
            <w:pPr>
              <w:pStyle w:val="ConsPlusNormal"/>
              <w:jc w:val="right"/>
            </w:pPr>
            <w:r>
              <w:t>-</w:t>
            </w:r>
          </w:p>
        </w:tc>
        <w:tc>
          <w:tcPr>
            <w:tcW w:w="1304" w:type="dxa"/>
            <w:vAlign w:val="center"/>
          </w:tcPr>
          <w:p w14:paraId="12636FF0" w14:textId="77777777" w:rsidR="00454A29" w:rsidRDefault="00454A29">
            <w:pPr>
              <w:pStyle w:val="ConsPlusNormal"/>
              <w:jc w:val="right"/>
            </w:pPr>
            <w:r>
              <w:t>-</w:t>
            </w:r>
          </w:p>
        </w:tc>
        <w:tc>
          <w:tcPr>
            <w:tcW w:w="1304" w:type="dxa"/>
            <w:vAlign w:val="center"/>
          </w:tcPr>
          <w:p w14:paraId="0BCA0E60" w14:textId="77777777" w:rsidR="00454A29" w:rsidRDefault="00454A29">
            <w:pPr>
              <w:pStyle w:val="ConsPlusNormal"/>
              <w:jc w:val="right"/>
            </w:pPr>
            <w:r>
              <w:t>-</w:t>
            </w:r>
          </w:p>
        </w:tc>
      </w:tr>
      <w:tr w:rsidR="00454A29" w14:paraId="791B6FF2" w14:textId="77777777">
        <w:tc>
          <w:tcPr>
            <w:tcW w:w="2041" w:type="dxa"/>
            <w:vMerge/>
          </w:tcPr>
          <w:p w14:paraId="5ADF76F8" w14:textId="77777777" w:rsidR="00454A29" w:rsidRDefault="00454A29"/>
        </w:tc>
        <w:tc>
          <w:tcPr>
            <w:tcW w:w="3005" w:type="dxa"/>
            <w:vMerge/>
          </w:tcPr>
          <w:p w14:paraId="49E3DD23" w14:textId="77777777" w:rsidR="00454A29" w:rsidRDefault="00454A29"/>
        </w:tc>
        <w:tc>
          <w:tcPr>
            <w:tcW w:w="2778" w:type="dxa"/>
            <w:vAlign w:val="center"/>
          </w:tcPr>
          <w:p w14:paraId="45A767C6" w14:textId="77777777" w:rsidR="00454A29" w:rsidRDefault="00454A29">
            <w:pPr>
              <w:pStyle w:val="ConsPlusNormal"/>
            </w:pPr>
            <w:r>
              <w:t>Федеральный бюджет</w:t>
            </w:r>
          </w:p>
        </w:tc>
        <w:tc>
          <w:tcPr>
            <w:tcW w:w="1304" w:type="dxa"/>
            <w:vAlign w:val="center"/>
          </w:tcPr>
          <w:p w14:paraId="4244EB86" w14:textId="77777777" w:rsidR="00454A29" w:rsidRDefault="00454A29">
            <w:pPr>
              <w:pStyle w:val="ConsPlusNormal"/>
            </w:pPr>
          </w:p>
        </w:tc>
        <w:tc>
          <w:tcPr>
            <w:tcW w:w="1247" w:type="dxa"/>
            <w:vAlign w:val="center"/>
          </w:tcPr>
          <w:p w14:paraId="690C504A" w14:textId="77777777" w:rsidR="00454A29" w:rsidRDefault="00454A29">
            <w:pPr>
              <w:pStyle w:val="ConsPlusNormal"/>
            </w:pPr>
          </w:p>
        </w:tc>
        <w:tc>
          <w:tcPr>
            <w:tcW w:w="1304" w:type="dxa"/>
            <w:vAlign w:val="center"/>
          </w:tcPr>
          <w:p w14:paraId="18711435" w14:textId="77777777" w:rsidR="00454A29" w:rsidRDefault="00454A29">
            <w:pPr>
              <w:pStyle w:val="ConsPlusNormal"/>
            </w:pPr>
          </w:p>
        </w:tc>
        <w:tc>
          <w:tcPr>
            <w:tcW w:w="1304" w:type="dxa"/>
            <w:vAlign w:val="center"/>
          </w:tcPr>
          <w:p w14:paraId="4520E941" w14:textId="77777777" w:rsidR="00454A29" w:rsidRDefault="00454A29">
            <w:pPr>
              <w:pStyle w:val="ConsPlusNormal"/>
            </w:pPr>
          </w:p>
        </w:tc>
        <w:tc>
          <w:tcPr>
            <w:tcW w:w="1304" w:type="dxa"/>
            <w:vAlign w:val="center"/>
          </w:tcPr>
          <w:p w14:paraId="1AA13EB4" w14:textId="77777777" w:rsidR="00454A29" w:rsidRDefault="00454A29">
            <w:pPr>
              <w:pStyle w:val="ConsPlusNormal"/>
            </w:pPr>
          </w:p>
        </w:tc>
        <w:tc>
          <w:tcPr>
            <w:tcW w:w="1304" w:type="dxa"/>
            <w:vAlign w:val="center"/>
          </w:tcPr>
          <w:p w14:paraId="36EF3BEF" w14:textId="77777777" w:rsidR="00454A29" w:rsidRDefault="00454A29">
            <w:pPr>
              <w:pStyle w:val="ConsPlusNormal"/>
            </w:pPr>
          </w:p>
        </w:tc>
        <w:tc>
          <w:tcPr>
            <w:tcW w:w="1304" w:type="dxa"/>
            <w:vAlign w:val="center"/>
          </w:tcPr>
          <w:p w14:paraId="12DB10AD" w14:textId="77777777" w:rsidR="00454A29" w:rsidRDefault="00454A29">
            <w:pPr>
              <w:pStyle w:val="ConsPlusNormal"/>
            </w:pPr>
          </w:p>
        </w:tc>
      </w:tr>
      <w:tr w:rsidR="00454A29" w14:paraId="5200FE3C" w14:textId="77777777">
        <w:tc>
          <w:tcPr>
            <w:tcW w:w="2041" w:type="dxa"/>
            <w:vMerge/>
          </w:tcPr>
          <w:p w14:paraId="2CA29279" w14:textId="77777777" w:rsidR="00454A29" w:rsidRDefault="00454A29"/>
        </w:tc>
        <w:tc>
          <w:tcPr>
            <w:tcW w:w="3005" w:type="dxa"/>
            <w:vMerge/>
          </w:tcPr>
          <w:p w14:paraId="73D9F3A9" w14:textId="77777777" w:rsidR="00454A29" w:rsidRDefault="00454A29"/>
        </w:tc>
        <w:tc>
          <w:tcPr>
            <w:tcW w:w="2778" w:type="dxa"/>
            <w:vAlign w:val="center"/>
          </w:tcPr>
          <w:p w14:paraId="0B659415" w14:textId="77777777" w:rsidR="00454A29" w:rsidRDefault="00454A29">
            <w:pPr>
              <w:pStyle w:val="ConsPlusNormal"/>
            </w:pPr>
            <w:r>
              <w:t>Местные бюджеты</w:t>
            </w:r>
          </w:p>
        </w:tc>
        <w:tc>
          <w:tcPr>
            <w:tcW w:w="1304" w:type="dxa"/>
            <w:vAlign w:val="center"/>
          </w:tcPr>
          <w:p w14:paraId="52EE9C81" w14:textId="77777777" w:rsidR="00454A29" w:rsidRDefault="00454A29">
            <w:pPr>
              <w:pStyle w:val="ConsPlusNormal"/>
            </w:pPr>
          </w:p>
        </w:tc>
        <w:tc>
          <w:tcPr>
            <w:tcW w:w="1247" w:type="dxa"/>
            <w:vAlign w:val="center"/>
          </w:tcPr>
          <w:p w14:paraId="26F6E784" w14:textId="77777777" w:rsidR="00454A29" w:rsidRDefault="00454A29">
            <w:pPr>
              <w:pStyle w:val="ConsPlusNormal"/>
            </w:pPr>
          </w:p>
        </w:tc>
        <w:tc>
          <w:tcPr>
            <w:tcW w:w="1304" w:type="dxa"/>
            <w:vAlign w:val="center"/>
          </w:tcPr>
          <w:p w14:paraId="691C86F2" w14:textId="77777777" w:rsidR="00454A29" w:rsidRDefault="00454A29">
            <w:pPr>
              <w:pStyle w:val="ConsPlusNormal"/>
            </w:pPr>
          </w:p>
        </w:tc>
        <w:tc>
          <w:tcPr>
            <w:tcW w:w="1304" w:type="dxa"/>
            <w:vAlign w:val="center"/>
          </w:tcPr>
          <w:p w14:paraId="0671E382" w14:textId="77777777" w:rsidR="00454A29" w:rsidRDefault="00454A29">
            <w:pPr>
              <w:pStyle w:val="ConsPlusNormal"/>
            </w:pPr>
          </w:p>
        </w:tc>
        <w:tc>
          <w:tcPr>
            <w:tcW w:w="1304" w:type="dxa"/>
            <w:vAlign w:val="center"/>
          </w:tcPr>
          <w:p w14:paraId="5A31B3CA" w14:textId="77777777" w:rsidR="00454A29" w:rsidRDefault="00454A29">
            <w:pPr>
              <w:pStyle w:val="ConsPlusNormal"/>
            </w:pPr>
          </w:p>
        </w:tc>
        <w:tc>
          <w:tcPr>
            <w:tcW w:w="1304" w:type="dxa"/>
            <w:vAlign w:val="center"/>
          </w:tcPr>
          <w:p w14:paraId="3FCB23C0" w14:textId="77777777" w:rsidR="00454A29" w:rsidRDefault="00454A29">
            <w:pPr>
              <w:pStyle w:val="ConsPlusNormal"/>
            </w:pPr>
          </w:p>
        </w:tc>
        <w:tc>
          <w:tcPr>
            <w:tcW w:w="1304" w:type="dxa"/>
            <w:vAlign w:val="center"/>
          </w:tcPr>
          <w:p w14:paraId="6F274EA5" w14:textId="77777777" w:rsidR="00454A29" w:rsidRDefault="00454A29">
            <w:pPr>
              <w:pStyle w:val="ConsPlusNormal"/>
            </w:pPr>
          </w:p>
        </w:tc>
      </w:tr>
      <w:tr w:rsidR="00454A29" w14:paraId="6022E94E" w14:textId="77777777">
        <w:tc>
          <w:tcPr>
            <w:tcW w:w="2041" w:type="dxa"/>
            <w:vMerge/>
          </w:tcPr>
          <w:p w14:paraId="0B262C07" w14:textId="77777777" w:rsidR="00454A29" w:rsidRDefault="00454A29"/>
        </w:tc>
        <w:tc>
          <w:tcPr>
            <w:tcW w:w="3005" w:type="dxa"/>
            <w:vMerge/>
          </w:tcPr>
          <w:p w14:paraId="5273AF0E" w14:textId="77777777" w:rsidR="00454A29" w:rsidRDefault="00454A29"/>
        </w:tc>
        <w:tc>
          <w:tcPr>
            <w:tcW w:w="2778" w:type="dxa"/>
            <w:vAlign w:val="center"/>
          </w:tcPr>
          <w:p w14:paraId="3B0F93DD" w14:textId="77777777" w:rsidR="00454A29" w:rsidRDefault="00454A29">
            <w:pPr>
              <w:pStyle w:val="ConsPlusNormal"/>
            </w:pPr>
            <w:r>
              <w:t>Внебюджетные средства</w:t>
            </w:r>
          </w:p>
        </w:tc>
        <w:tc>
          <w:tcPr>
            <w:tcW w:w="1304" w:type="dxa"/>
            <w:vAlign w:val="center"/>
          </w:tcPr>
          <w:p w14:paraId="5FA84EB7" w14:textId="77777777" w:rsidR="00454A29" w:rsidRDefault="00454A29">
            <w:pPr>
              <w:pStyle w:val="ConsPlusNormal"/>
            </w:pPr>
          </w:p>
        </w:tc>
        <w:tc>
          <w:tcPr>
            <w:tcW w:w="1247" w:type="dxa"/>
            <w:vAlign w:val="center"/>
          </w:tcPr>
          <w:p w14:paraId="56E09C9E" w14:textId="77777777" w:rsidR="00454A29" w:rsidRDefault="00454A29">
            <w:pPr>
              <w:pStyle w:val="ConsPlusNormal"/>
            </w:pPr>
          </w:p>
        </w:tc>
        <w:tc>
          <w:tcPr>
            <w:tcW w:w="1304" w:type="dxa"/>
            <w:vAlign w:val="center"/>
          </w:tcPr>
          <w:p w14:paraId="01E546F3" w14:textId="77777777" w:rsidR="00454A29" w:rsidRDefault="00454A29">
            <w:pPr>
              <w:pStyle w:val="ConsPlusNormal"/>
            </w:pPr>
          </w:p>
        </w:tc>
        <w:tc>
          <w:tcPr>
            <w:tcW w:w="1304" w:type="dxa"/>
            <w:vAlign w:val="center"/>
          </w:tcPr>
          <w:p w14:paraId="53DF7AD2" w14:textId="77777777" w:rsidR="00454A29" w:rsidRDefault="00454A29">
            <w:pPr>
              <w:pStyle w:val="ConsPlusNormal"/>
            </w:pPr>
          </w:p>
        </w:tc>
        <w:tc>
          <w:tcPr>
            <w:tcW w:w="1304" w:type="dxa"/>
            <w:vAlign w:val="center"/>
          </w:tcPr>
          <w:p w14:paraId="3F779A04" w14:textId="77777777" w:rsidR="00454A29" w:rsidRDefault="00454A29">
            <w:pPr>
              <w:pStyle w:val="ConsPlusNormal"/>
            </w:pPr>
          </w:p>
        </w:tc>
        <w:tc>
          <w:tcPr>
            <w:tcW w:w="1304" w:type="dxa"/>
            <w:vAlign w:val="center"/>
          </w:tcPr>
          <w:p w14:paraId="6A5C601F" w14:textId="77777777" w:rsidR="00454A29" w:rsidRDefault="00454A29">
            <w:pPr>
              <w:pStyle w:val="ConsPlusNormal"/>
            </w:pPr>
          </w:p>
        </w:tc>
        <w:tc>
          <w:tcPr>
            <w:tcW w:w="1304" w:type="dxa"/>
            <w:vAlign w:val="center"/>
          </w:tcPr>
          <w:p w14:paraId="74E068D7" w14:textId="77777777" w:rsidR="00454A29" w:rsidRDefault="00454A29">
            <w:pPr>
              <w:pStyle w:val="ConsPlusNormal"/>
            </w:pPr>
          </w:p>
        </w:tc>
      </w:tr>
      <w:tr w:rsidR="00454A29" w14:paraId="5F3483CD" w14:textId="77777777">
        <w:tc>
          <w:tcPr>
            <w:tcW w:w="2041" w:type="dxa"/>
            <w:vMerge w:val="restart"/>
            <w:vAlign w:val="center"/>
          </w:tcPr>
          <w:p w14:paraId="365D3013" w14:textId="77777777" w:rsidR="00454A29" w:rsidRDefault="00454A29">
            <w:pPr>
              <w:pStyle w:val="ConsPlusNormal"/>
              <w:jc w:val="center"/>
            </w:pPr>
            <w:r>
              <w:t xml:space="preserve">Основное </w:t>
            </w:r>
            <w:r>
              <w:lastRenderedPageBreak/>
              <w:t>мероприятие 8.2.</w:t>
            </w:r>
          </w:p>
        </w:tc>
        <w:tc>
          <w:tcPr>
            <w:tcW w:w="3005" w:type="dxa"/>
            <w:vMerge w:val="restart"/>
            <w:vAlign w:val="center"/>
          </w:tcPr>
          <w:p w14:paraId="300A2178" w14:textId="77777777" w:rsidR="00454A29" w:rsidRDefault="00454A29">
            <w:pPr>
              <w:pStyle w:val="ConsPlusNormal"/>
              <w:jc w:val="center"/>
            </w:pPr>
            <w:r>
              <w:lastRenderedPageBreak/>
              <w:t xml:space="preserve">Внедрение образовательной </w:t>
            </w:r>
            <w:r>
              <w:lastRenderedPageBreak/>
              <w:t>инициативы "Арктическое образование"</w:t>
            </w:r>
          </w:p>
        </w:tc>
        <w:tc>
          <w:tcPr>
            <w:tcW w:w="2778" w:type="dxa"/>
            <w:vAlign w:val="center"/>
          </w:tcPr>
          <w:p w14:paraId="0FB2C6E6" w14:textId="77777777" w:rsidR="00454A29" w:rsidRDefault="00454A29">
            <w:pPr>
              <w:pStyle w:val="ConsPlusNormal"/>
            </w:pPr>
            <w:r>
              <w:lastRenderedPageBreak/>
              <w:t>Всего:</w:t>
            </w:r>
          </w:p>
        </w:tc>
        <w:tc>
          <w:tcPr>
            <w:tcW w:w="1304" w:type="dxa"/>
            <w:vAlign w:val="center"/>
          </w:tcPr>
          <w:p w14:paraId="588511E9" w14:textId="77777777" w:rsidR="00454A29" w:rsidRDefault="00454A29">
            <w:pPr>
              <w:pStyle w:val="ConsPlusNormal"/>
              <w:jc w:val="right"/>
            </w:pPr>
            <w:r>
              <w:t>3 500</w:t>
            </w:r>
          </w:p>
        </w:tc>
        <w:tc>
          <w:tcPr>
            <w:tcW w:w="1247" w:type="dxa"/>
            <w:vAlign w:val="center"/>
          </w:tcPr>
          <w:p w14:paraId="040D05DE" w14:textId="77777777" w:rsidR="00454A29" w:rsidRDefault="00454A29">
            <w:pPr>
              <w:pStyle w:val="ConsPlusNormal"/>
              <w:jc w:val="right"/>
            </w:pPr>
            <w:r>
              <w:t>3 500</w:t>
            </w:r>
          </w:p>
        </w:tc>
        <w:tc>
          <w:tcPr>
            <w:tcW w:w="1304" w:type="dxa"/>
            <w:vAlign w:val="center"/>
          </w:tcPr>
          <w:p w14:paraId="02A6D08C" w14:textId="77777777" w:rsidR="00454A29" w:rsidRDefault="00454A29">
            <w:pPr>
              <w:pStyle w:val="ConsPlusNormal"/>
              <w:jc w:val="right"/>
            </w:pPr>
            <w:r>
              <w:t>3 500</w:t>
            </w:r>
          </w:p>
        </w:tc>
        <w:tc>
          <w:tcPr>
            <w:tcW w:w="1304" w:type="dxa"/>
            <w:vAlign w:val="center"/>
          </w:tcPr>
          <w:p w14:paraId="549B357E" w14:textId="77777777" w:rsidR="00454A29" w:rsidRDefault="00454A29">
            <w:pPr>
              <w:pStyle w:val="ConsPlusNormal"/>
              <w:jc w:val="right"/>
            </w:pPr>
            <w:r>
              <w:t>3 500</w:t>
            </w:r>
          </w:p>
        </w:tc>
        <w:tc>
          <w:tcPr>
            <w:tcW w:w="1304" w:type="dxa"/>
            <w:vAlign w:val="center"/>
          </w:tcPr>
          <w:p w14:paraId="61600A2D" w14:textId="77777777" w:rsidR="00454A29" w:rsidRDefault="00454A29">
            <w:pPr>
              <w:pStyle w:val="ConsPlusNormal"/>
              <w:jc w:val="right"/>
            </w:pPr>
            <w:r>
              <w:t>3 500</w:t>
            </w:r>
          </w:p>
        </w:tc>
        <w:tc>
          <w:tcPr>
            <w:tcW w:w="1304" w:type="dxa"/>
            <w:vAlign w:val="center"/>
          </w:tcPr>
          <w:p w14:paraId="3C73444D" w14:textId="77777777" w:rsidR="00454A29" w:rsidRDefault="00454A29">
            <w:pPr>
              <w:pStyle w:val="ConsPlusNormal"/>
              <w:jc w:val="right"/>
            </w:pPr>
            <w:r>
              <w:t>-</w:t>
            </w:r>
          </w:p>
        </w:tc>
        <w:tc>
          <w:tcPr>
            <w:tcW w:w="1304" w:type="dxa"/>
            <w:vAlign w:val="center"/>
          </w:tcPr>
          <w:p w14:paraId="2D1023A7" w14:textId="77777777" w:rsidR="00454A29" w:rsidRDefault="00454A29">
            <w:pPr>
              <w:pStyle w:val="ConsPlusNormal"/>
              <w:jc w:val="right"/>
            </w:pPr>
            <w:r>
              <w:t>-</w:t>
            </w:r>
          </w:p>
        </w:tc>
      </w:tr>
      <w:tr w:rsidR="00454A29" w14:paraId="4D58C04B" w14:textId="77777777">
        <w:tc>
          <w:tcPr>
            <w:tcW w:w="2041" w:type="dxa"/>
            <w:vMerge/>
          </w:tcPr>
          <w:p w14:paraId="7CB129E8" w14:textId="77777777" w:rsidR="00454A29" w:rsidRDefault="00454A29"/>
        </w:tc>
        <w:tc>
          <w:tcPr>
            <w:tcW w:w="3005" w:type="dxa"/>
            <w:vMerge/>
          </w:tcPr>
          <w:p w14:paraId="33A1B2B3" w14:textId="77777777" w:rsidR="00454A29" w:rsidRDefault="00454A29"/>
        </w:tc>
        <w:tc>
          <w:tcPr>
            <w:tcW w:w="2778" w:type="dxa"/>
            <w:vAlign w:val="center"/>
          </w:tcPr>
          <w:p w14:paraId="5D515BF6" w14:textId="77777777" w:rsidR="00454A29" w:rsidRDefault="00454A29">
            <w:pPr>
              <w:pStyle w:val="ConsPlusNormal"/>
            </w:pPr>
            <w:r>
              <w:t>Государственный бюджет Республики Саха (Якутия)</w:t>
            </w:r>
          </w:p>
        </w:tc>
        <w:tc>
          <w:tcPr>
            <w:tcW w:w="1304" w:type="dxa"/>
            <w:vAlign w:val="center"/>
          </w:tcPr>
          <w:p w14:paraId="1541CB87" w14:textId="77777777" w:rsidR="00454A29" w:rsidRDefault="00454A29">
            <w:pPr>
              <w:pStyle w:val="ConsPlusNormal"/>
              <w:jc w:val="right"/>
            </w:pPr>
            <w:r>
              <w:t>3 500</w:t>
            </w:r>
          </w:p>
        </w:tc>
        <w:tc>
          <w:tcPr>
            <w:tcW w:w="1247" w:type="dxa"/>
            <w:vAlign w:val="center"/>
          </w:tcPr>
          <w:p w14:paraId="1829C7BF" w14:textId="77777777" w:rsidR="00454A29" w:rsidRDefault="00454A29">
            <w:pPr>
              <w:pStyle w:val="ConsPlusNormal"/>
              <w:jc w:val="right"/>
            </w:pPr>
            <w:r>
              <w:t>3 500</w:t>
            </w:r>
          </w:p>
        </w:tc>
        <w:tc>
          <w:tcPr>
            <w:tcW w:w="1304" w:type="dxa"/>
            <w:vAlign w:val="center"/>
          </w:tcPr>
          <w:p w14:paraId="15E0ABBA" w14:textId="77777777" w:rsidR="00454A29" w:rsidRDefault="00454A29">
            <w:pPr>
              <w:pStyle w:val="ConsPlusNormal"/>
              <w:jc w:val="right"/>
            </w:pPr>
            <w:r>
              <w:t>3 500</w:t>
            </w:r>
          </w:p>
        </w:tc>
        <w:tc>
          <w:tcPr>
            <w:tcW w:w="1304" w:type="dxa"/>
            <w:vAlign w:val="center"/>
          </w:tcPr>
          <w:p w14:paraId="6728C108" w14:textId="77777777" w:rsidR="00454A29" w:rsidRDefault="00454A29">
            <w:pPr>
              <w:pStyle w:val="ConsPlusNormal"/>
              <w:jc w:val="right"/>
            </w:pPr>
            <w:r>
              <w:t>3 500</w:t>
            </w:r>
          </w:p>
        </w:tc>
        <w:tc>
          <w:tcPr>
            <w:tcW w:w="1304" w:type="dxa"/>
            <w:vAlign w:val="center"/>
          </w:tcPr>
          <w:p w14:paraId="21822E2B" w14:textId="77777777" w:rsidR="00454A29" w:rsidRDefault="00454A29">
            <w:pPr>
              <w:pStyle w:val="ConsPlusNormal"/>
              <w:jc w:val="right"/>
            </w:pPr>
            <w:r>
              <w:t>3 500</w:t>
            </w:r>
          </w:p>
        </w:tc>
        <w:tc>
          <w:tcPr>
            <w:tcW w:w="1304" w:type="dxa"/>
            <w:vAlign w:val="center"/>
          </w:tcPr>
          <w:p w14:paraId="1A31EE6E" w14:textId="77777777" w:rsidR="00454A29" w:rsidRDefault="00454A29">
            <w:pPr>
              <w:pStyle w:val="ConsPlusNormal"/>
              <w:jc w:val="right"/>
            </w:pPr>
            <w:r>
              <w:t>-</w:t>
            </w:r>
          </w:p>
        </w:tc>
        <w:tc>
          <w:tcPr>
            <w:tcW w:w="1304" w:type="dxa"/>
            <w:vAlign w:val="center"/>
          </w:tcPr>
          <w:p w14:paraId="0894BE64" w14:textId="77777777" w:rsidR="00454A29" w:rsidRDefault="00454A29">
            <w:pPr>
              <w:pStyle w:val="ConsPlusNormal"/>
              <w:jc w:val="right"/>
            </w:pPr>
            <w:r>
              <w:t>-</w:t>
            </w:r>
          </w:p>
        </w:tc>
      </w:tr>
      <w:tr w:rsidR="00454A29" w14:paraId="78EABCB1" w14:textId="77777777">
        <w:tc>
          <w:tcPr>
            <w:tcW w:w="2041" w:type="dxa"/>
            <w:vMerge/>
          </w:tcPr>
          <w:p w14:paraId="60D5DF67" w14:textId="77777777" w:rsidR="00454A29" w:rsidRDefault="00454A29"/>
        </w:tc>
        <w:tc>
          <w:tcPr>
            <w:tcW w:w="3005" w:type="dxa"/>
            <w:vMerge/>
          </w:tcPr>
          <w:p w14:paraId="07E84A50" w14:textId="77777777" w:rsidR="00454A29" w:rsidRDefault="00454A29"/>
        </w:tc>
        <w:tc>
          <w:tcPr>
            <w:tcW w:w="2778" w:type="dxa"/>
            <w:vAlign w:val="center"/>
          </w:tcPr>
          <w:p w14:paraId="75779502" w14:textId="77777777" w:rsidR="00454A29" w:rsidRDefault="00454A29">
            <w:pPr>
              <w:pStyle w:val="ConsPlusNormal"/>
            </w:pPr>
            <w:r>
              <w:t>Федеральный бюджет</w:t>
            </w:r>
          </w:p>
        </w:tc>
        <w:tc>
          <w:tcPr>
            <w:tcW w:w="1304" w:type="dxa"/>
            <w:vAlign w:val="center"/>
          </w:tcPr>
          <w:p w14:paraId="079C658A" w14:textId="77777777" w:rsidR="00454A29" w:rsidRDefault="00454A29">
            <w:pPr>
              <w:pStyle w:val="ConsPlusNormal"/>
            </w:pPr>
          </w:p>
        </w:tc>
        <w:tc>
          <w:tcPr>
            <w:tcW w:w="1247" w:type="dxa"/>
            <w:vAlign w:val="center"/>
          </w:tcPr>
          <w:p w14:paraId="15F023B2" w14:textId="77777777" w:rsidR="00454A29" w:rsidRDefault="00454A29">
            <w:pPr>
              <w:pStyle w:val="ConsPlusNormal"/>
            </w:pPr>
          </w:p>
        </w:tc>
        <w:tc>
          <w:tcPr>
            <w:tcW w:w="1304" w:type="dxa"/>
            <w:vAlign w:val="center"/>
          </w:tcPr>
          <w:p w14:paraId="38961EDC" w14:textId="77777777" w:rsidR="00454A29" w:rsidRDefault="00454A29">
            <w:pPr>
              <w:pStyle w:val="ConsPlusNormal"/>
            </w:pPr>
          </w:p>
        </w:tc>
        <w:tc>
          <w:tcPr>
            <w:tcW w:w="1304" w:type="dxa"/>
            <w:vAlign w:val="center"/>
          </w:tcPr>
          <w:p w14:paraId="722AA46D" w14:textId="77777777" w:rsidR="00454A29" w:rsidRDefault="00454A29">
            <w:pPr>
              <w:pStyle w:val="ConsPlusNormal"/>
            </w:pPr>
          </w:p>
        </w:tc>
        <w:tc>
          <w:tcPr>
            <w:tcW w:w="1304" w:type="dxa"/>
            <w:vAlign w:val="center"/>
          </w:tcPr>
          <w:p w14:paraId="68F2E6E0" w14:textId="77777777" w:rsidR="00454A29" w:rsidRDefault="00454A29">
            <w:pPr>
              <w:pStyle w:val="ConsPlusNormal"/>
            </w:pPr>
          </w:p>
        </w:tc>
        <w:tc>
          <w:tcPr>
            <w:tcW w:w="1304" w:type="dxa"/>
            <w:vAlign w:val="center"/>
          </w:tcPr>
          <w:p w14:paraId="49901430" w14:textId="77777777" w:rsidR="00454A29" w:rsidRDefault="00454A29">
            <w:pPr>
              <w:pStyle w:val="ConsPlusNormal"/>
            </w:pPr>
          </w:p>
        </w:tc>
        <w:tc>
          <w:tcPr>
            <w:tcW w:w="1304" w:type="dxa"/>
            <w:vAlign w:val="center"/>
          </w:tcPr>
          <w:p w14:paraId="37635619" w14:textId="77777777" w:rsidR="00454A29" w:rsidRDefault="00454A29">
            <w:pPr>
              <w:pStyle w:val="ConsPlusNormal"/>
            </w:pPr>
          </w:p>
        </w:tc>
      </w:tr>
      <w:tr w:rsidR="00454A29" w14:paraId="3B1BFA6B" w14:textId="77777777">
        <w:tc>
          <w:tcPr>
            <w:tcW w:w="2041" w:type="dxa"/>
            <w:vMerge/>
          </w:tcPr>
          <w:p w14:paraId="6055DAAB" w14:textId="77777777" w:rsidR="00454A29" w:rsidRDefault="00454A29"/>
        </w:tc>
        <w:tc>
          <w:tcPr>
            <w:tcW w:w="3005" w:type="dxa"/>
            <w:vMerge/>
          </w:tcPr>
          <w:p w14:paraId="58B2C270" w14:textId="77777777" w:rsidR="00454A29" w:rsidRDefault="00454A29"/>
        </w:tc>
        <w:tc>
          <w:tcPr>
            <w:tcW w:w="2778" w:type="dxa"/>
            <w:vAlign w:val="center"/>
          </w:tcPr>
          <w:p w14:paraId="5CDA273D" w14:textId="77777777" w:rsidR="00454A29" w:rsidRDefault="00454A29">
            <w:pPr>
              <w:pStyle w:val="ConsPlusNormal"/>
            </w:pPr>
            <w:r>
              <w:t>Местные бюджеты</w:t>
            </w:r>
          </w:p>
        </w:tc>
        <w:tc>
          <w:tcPr>
            <w:tcW w:w="1304" w:type="dxa"/>
            <w:vAlign w:val="center"/>
          </w:tcPr>
          <w:p w14:paraId="38204639" w14:textId="77777777" w:rsidR="00454A29" w:rsidRDefault="00454A29">
            <w:pPr>
              <w:pStyle w:val="ConsPlusNormal"/>
            </w:pPr>
          </w:p>
        </w:tc>
        <w:tc>
          <w:tcPr>
            <w:tcW w:w="1247" w:type="dxa"/>
            <w:vAlign w:val="center"/>
          </w:tcPr>
          <w:p w14:paraId="4932C43C" w14:textId="77777777" w:rsidR="00454A29" w:rsidRDefault="00454A29">
            <w:pPr>
              <w:pStyle w:val="ConsPlusNormal"/>
            </w:pPr>
          </w:p>
        </w:tc>
        <w:tc>
          <w:tcPr>
            <w:tcW w:w="1304" w:type="dxa"/>
            <w:vAlign w:val="center"/>
          </w:tcPr>
          <w:p w14:paraId="3B9F0F3C" w14:textId="77777777" w:rsidR="00454A29" w:rsidRDefault="00454A29">
            <w:pPr>
              <w:pStyle w:val="ConsPlusNormal"/>
            </w:pPr>
          </w:p>
        </w:tc>
        <w:tc>
          <w:tcPr>
            <w:tcW w:w="1304" w:type="dxa"/>
            <w:vAlign w:val="center"/>
          </w:tcPr>
          <w:p w14:paraId="601837AD" w14:textId="77777777" w:rsidR="00454A29" w:rsidRDefault="00454A29">
            <w:pPr>
              <w:pStyle w:val="ConsPlusNormal"/>
            </w:pPr>
          </w:p>
        </w:tc>
        <w:tc>
          <w:tcPr>
            <w:tcW w:w="1304" w:type="dxa"/>
            <w:vAlign w:val="center"/>
          </w:tcPr>
          <w:p w14:paraId="1C1CE19C" w14:textId="77777777" w:rsidR="00454A29" w:rsidRDefault="00454A29">
            <w:pPr>
              <w:pStyle w:val="ConsPlusNormal"/>
            </w:pPr>
          </w:p>
        </w:tc>
        <w:tc>
          <w:tcPr>
            <w:tcW w:w="1304" w:type="dxa"/>
            <w:vAlign w:val="center"/>
          </w:tcPr>
          <w:p w14:paraId="1B07D785" w14:textId="77777777" w:rsidR="00454A29" w:rsidRDefault="00454A29">
            <w:pPr>
              <w:pStyle w:val="ConsPlusNormal"/>
            </w:pPr>
          </w:p>
        </w:tc>
        <w:tc>
          <w:tcPr>
            <w:tcW w:w="1304" w:type="dxa"/>
            <w:vAlign w:val="center"/>
          </w:tcPr>
          <w:p w14:paraId="16E3C57D" w14:textId="77777777" w:rsidR="00454A29" w:rsidRDefault="00454A29">
            <w:pPr>
              <w:pStyle w:val="ConsPlusNormal"/>
            </w:pPr>
          </w:p>
        </w:tc>
      </w:tr>
      <w:tr w:rsidR="00454A29" w14:paraId="06566BB3" w14:textId="77777777">
        <w:tc>
          <w:tcPr>
            <w:tcW w:w="2041" w:type="dxa"/>
            <w:vMerge/>
          </w:tcPr>
          <w:p w14:paraId="3B62A294" w14:textId="77777777" w:rsidR="00454A29" w:rsidRDefault="00454A29"/>
        </w:tc>
        <w:tc>
          <w:tcPr>
            <w:tcW w:w="3005" w:type="dxa"/>
            <w:vMerge/>
          </w:tcPr>
          <w:p w14:paraId="5203DB16" w14:textId="77777777" w:rsidR="00454A29" w:rsidRDefault="00454A29"/>
        </w:tc>
        <w:tc>
          <w:tcPr>
            <w:tcW w:w="2778" w:type="dxa"/>
            <w:vAlign w:val="center"/>
          </w:tcPr>
          <w:p w14:paraId="78F8B43B" w14:textId="77777777" w:rsidR="00454A29" w:rsidRDefault="00454A29">
            <w:pPr>
              <w:pStyle w:val="ConsPlusNormal"/>
            </w:pPr>
            <w:r>
              <w:t>Внебюджетные средства</w:t>
            </w:r>
          </w:p>
        </w:tc>
        <w:tc>
          <w:tcPr>
            <w:tcW w:w="1304" w:type="dxa"/>
            <w:vAlign w:val="center"/>
          </w:tcPr>
          <w:p w14:paraId="78272215" w14:textId="77777777" w:rsidR="00454A29" w:rsidRDefault="00454A29">
            <w:pPr>
              <w:pStyle w:val="ConsPlusNormal"/>
            </w:pPr>
          </w:p>
        </w:tc>
        <w:tc>
          <w:tcPr>
            <w:tcW w:w="1247" w:type="dxa"/>
            <w:vAlign w:val="center"/>
          </w:tcPr>
          <w:p w14:paraId="10537A24" w14:textId="77777777" w:rsidR="00454A29" w:rsidRDefault="00454A29">
            <w:pPr>
              <w:pStyle w:val="ConsPlusNormal"/>
            </w:pPr>
          </w:p>
        </w:tc>
        <w:tc>
          <w:tcPr>
            <w:tcW w:w="1304" w:type="dxa"/>
            <w:vAlign w:val="center"/>
          </w:tcPr>
          <w:p w14:paraId="6D8169F4" w14:textId="77777777" w:rsidR="00454A29" w:rsidRDefault="00454A29">
            <w:pPr>
              <w:pStyle w:val="ConsPlusNormal"/>
            </w:pPr>
          </w:p>
        </w:tc>
        <w:tc>
          <w:tcPr>
            <w:tcW w:w="1304" w:type="dxa"/>
            <w:vAlign w:val="center"/>
          </w:tcPr>
          <w:p w14:paraId="18CA9C4C" w14:textId="77777777" w:rsidR="00454A29" w:rsidRDefault="00454A29">
            <w:pPr>
              <w:pStyle w:val="ConsPlusNormal"/>
            </w:pPr>
          </w:p>
        </w:tc>
        <w:tc>
          <w:tcPr>
            <w:tcW w:w="1304" w:type="dxa"/>
            <w:vAlign w:val="center"/>
          </w:tcPr>
          <w:p w14:paraId="2FDABD64" w14:textId="77777777" w:rsidR="00454A29" w:rsidRDefault="00454A29">
            <w:pPr>
              <w:pStyle w:val="ConsPlusNormal"/>
            </w:pPr>
          </w:p>
        </w:tc>
        <w:tc>
          <w:tcPr>
            <w:tcW w:w="1304" w:type="dxa"/>
            <w:vAlign w:val="center"/>
          </w:tcPr>
          <w:p w14:paraId="75A07E7D" w14:textId="77777777" w:rsidR="00454A29" w:rsidRDefault="00454A29">
            <w:pPr>
              <w:pStyle w:val="ConsPlusNormal"/>
            </w:pPr>
          </w:p>
        </w:tc>
        <w:tc>
          <w:tcPr>
            <w:tcW w:w="1304" w:type="dxa"/>
            <w:vAlign w:val="center"/>
          </w:tcPr>
          <w:p w14:paraId="29218775" w14:textId="77777777" w:rsidR="00454A29" w:rsidRDefault="00454A29">
            <w:pPr>
              <w:pStyle w:val="ConsPlusNormal"/>
            </w:pPr>
          </w:p>
        </w:tc>
      </w:tr>
      <w:tr w:rsidR="00454A29" w14:paraId="1A9D25F7" w14:textId="77777777">
        <w:tc>
          <w:tcPr>
            <w:tcW w:w="2041" w:type="dxa"/>
            <w:vMerge w:val="restart"/>
            <w:vAlign w:val="center"/>
          </w:tcPr>
          <w:p w14:paraId="3C6E5D7C" w14:textId="77777777" w:rsidR="00454A29" w:rsidRDefault="00454A29">
            <w:pPr>
              <w:pStyle w:val="ConsPlusNormal"/>
              <w:jc w:val="center"/>
              <w:outlineLvl w:val="2"/>
            </w:pPr>
            <w:r>
              <w:t>Подпрограмма 9</w:t>
            </w:r>
          </w:p>
        </w:tc>
        <w:tc>
          <w:tcPr>
            <w:tcW w:w="3005" w:type="dxa"/>
            <w:vMerge w:val="restart"/>
            <w:vAlign w:val="center"/>
          </w:tcPr>
          <w:p w14:paraId="7105455F" w14:textId="77777777" w:rsidR="00454A29" w:rsidRDefault="00454A29">
            <w:pPr>
              <w:pStyle w:val="ConsPlusNormal"/>
              <w:jc w:val="center"/>
            </w:pPr>
            <w:r>
              <w:t>"Содействие созданию новых мест в общеобразовательных организациях Республики Саха (Якутия)"</w:t>
            </w:r>
          </w:p>
        </w:tc>
        <w:tc>
          <w:tcPr>
            <w:tcW w:w="2778" w:type="dxa"/>
            <w:vAlign w:val="center"/>
          </w:tcPr>
          <w:p w14:paraId="724339DB" w14:textId="77777777" w:rsidR="00454A29" w:rsidRDefault="00454A29">
            <w:pPr>
              <w:pStyle w:val="ConsPlusNormal"/>
            </w:pPr>
            <w:r>
              <w:t>Всего:</w:t>
            </w:r>
          </w:p>
        </w:tc>
        <w:tc>
          <w:tcPr>
            <w:tcW w:w="1304" w:type="dxa"/>
            <w:vAlign w:val="center"/>
          </w:tcPr>
          <w:p w14:paraId="180F7994" w14:textId="77777777" w:rsidR="00454A29" w:rsidRDefault="00454A29">
            <w:pPr>
              <w:pStyle w:val="ConsPlusNormal"/>
              <w:jc w:val="right"/>
            </w:pPr>
            <w:r>
              <w:t>3 863 884</w:t>
            </w:r>
          </w:p>
        </w:tc>
        <w:tc>
          <w:tcPr>
            <w:tcW w:w="1247" w:type="dxa"/>
            <w:vAlign w:val="center"/>
          </w:tcPr>
          <w:p w14:paraId="24B7CF5A" w14:textId="77777777" w:rsidR="00454A29" w:rsidRDefault="00454A29">
            <w:pPr>
              <w:pStyle w:val="ConsPlusNormal"/>
              <w:jc w:val="right"/>
            </w:pPr>
            <w:r>
              <w:t>2 978 408</w:t>
            </w:r>
          </w:p>
        </w:tc>
        <w:tc>
          <w:tcPr>
            <w:tcW w:w="1304" w:type="dxa"/>
            <w:vAlign w:val="center"/>
          </w:tcPr>
          <w:p w14:paraId="3A9A6618" w14:textId="77777777" w:rsidR="00454A29" w:rsidRDefault="00454A29">
            <w:pPr>
              <w:pStyle w:val="ConsPlusNormal"/>
              <w:jc w:val="right"/>
            </w:pPr>
            <w:r>
              <w:t>1 046 405</w:t>
            </w:r>
          </w:p>
        </w:tc>
        <w:tc>
          <w:tcPr>
            <w:tcW w:w="1304" w:type="dxa"/>
            <w:vAlign w:val="center"/>
          </w:tcPr>
          <w:p w14:paraId="504B7B9D" w14:textId="77777777" w:rsidR="00454A29" w:rsidRDefault="00454A29">
            <w:pPr>
              <w:pStyle w:val="ConsPlusNormal"/>
              <w:jc w:val="right"/>
            </w:pPr>
            <w:r>
              <w:t>4 452 960</w:t>
            </w:r>
          </w:p>
        </w:tc>
        <w:tc>
          <w:tcPr>
            <w:tcW w:w="1304" w:type="dxa"/>
            <w:vAlign w:val="center"/>
          </w:tcPr>
          <w:p w14:paraId="7AD20827" w14:textId="77777777" w:rsidR="00454A29" w:rsidRDefault="00454A29">
            <w:pPr>
              <w:pStyle w:val="ConsPlusNormal"/>
              <w:jc w:val="right"/>
            </w:pPr>
            <w:r>
              <w:t>2 894 410</w:t>
            </w:r>
          </w:p>
        </w:tc>
        <w:tc>
          <w:tcPr>
            <w:tcW w:w="1304" w:type="dxa"/>
            <w:vAlign w:val="center"/>
          </w:tcPr>
          <w:p w14:paraId="668FC35E" w14:textId="77777777" w:rsidR="00454A29" w:rsidRDefault="00454A29">
            <w:pPr>
              <w:pStyle w:val="ConsPlusNormal"/>
              <w:jc w:val="right"/>
            </w:pPr>
            <w:r>
              <w:t>43 795 282</w:t>
            </w:r>
          </w:p>
        </w:tc>
        <w:tc>
          <w:tcPr>
            <w:tcW w:w="1304" w:type="dxa"/>
            <w:vAlign w:val="center"/>
          </w:tcPr>
          <w:p w14:paraId="3446C916" w14:textId="77777777" w:rsidR="00454A29" w:rsidRDefault="00454A29">
            <w:pPr>
              <w:pStyle w:val="ConsPlusNormal"/>
              <w:jc w:val="right"/>
            </w:pPr>
            <w:r>
              <w:t>50 126 039</w:t>
            </w:r>
          </w:p>
        </w:tc>
      </w:tr>
      <w:tr w:rsidR="00454A29" w14:paraId="434269BA" w14:textId="77777777">
        <w:tc>
          <w:tcPr>
            <w:tcW w:w="2041" w:type="dxa"/>
            <w:vMerge/>
          </w:tcPr>
          <w:p w14:paraId="19C62776" w14:textId="77777777" w:rsidR="00454A29" w:rsidRDefault="00454A29"/>
        </w:tc>
        <w:tc>
          <w:tcPr>
            <w:tcW w:w="3005" w:type="dxa"/>
            <w:vMerge/>
          </w:tcPr>
          <w:p w14:paraId="61E48C38" w14:textId="77777777" w:rsidR="00454A29" w:rsidRDefault="00454A29"/>
        </w:tc>
        <w:tc>
          <w:tcPr>
            <w:tcW w:w="2778" w:type="dxa"/>
            <w:vAlign w:val="center"/>
          </w:tcPr>
          <w:p w14:paraId="17E41C95" w14:textId="77777777" w:rsidR="00454A29" w:rsidRDefault="00454A29">
            <w:pPr>
              <w:pStyle w:val="ConsPlusNormal"/>
            </w:pPr>
            <w:r>
              <w:t>Государственный бюджет Республики Саха (Якутия)</w:t>
            </w:r>
          </w:p>
        </w:tc>
        <w:tc>
          <w:tcPr>
            <w:tcW w:w="1304" w:type="dxa"/>
            <w:vAlign w:val="center"/>
          </w:tcPr>
          <w:p w14:paraId="25294A9C" w14:textId="77777777" w:rsidR="00454A29" w:rsidRDefault="00454A29">
            <w:pPr>
              <w:pStyle w:val="ConsPlusNormal"/>
              <w:jc w:val="right"/>
            </w:pPr>
            <w:r>
              <w:t>2 775 288</w:t>
            </w:r>
          </w:p>
        </w:tc>
        <w:tc>
          <w:tcPr>
            <w:tcW w:w="1247" w:type="dxa"/>
            <w:vAlign w:val="center"/>
          </w:tcPr>
          <w:p w14:paraId="3C200B47" w14:textId="77777777" w:rsidR="00454A29" w:rsidRDefault="00454A29">
            <w:pPr>
              <w:pStyle w:val="ConsPlusNormal"/>
              <w:jc w:val="right"/>
            </w:pPr>
            <w:r>
              <w:t>1 734 085</w:t>
            </w:r>
          </w:p>
        </w:tc>
        <w:tc>
          <w:tcPr>
            <w:tcW w:w="1304" w:type="dxa"/>
            <w:vAlign w:val="center"/>
          </w:tcPr>
          <w:p w14:paraId="345D7D02" w14:textId="77777777" w:rsidR="00454A29" w:rsidRDefault="00454A29">
            <w:pPr>
              <w:pStyle w:val="ConsPlusNormal"/>
              <w:jc w:val="right"/>
            </w:pPr>
            <w:r>
              <w:t>891 412</w:t>
            </w:r>
          </w:p>
        </w:tc>
        <w:tc>
          <w:tcPr>
            <w:tcW w:w="1304" w:type="dxa"/>
            <w:vAlign w:val="center"/>
          </w:tcPr>
          <w:p w14:paraId="019183E2" w14:textId="77777777" w:rsidR="00454A29" w:rsidRDefault="00454A29">
            <w:pPr>
              <w:pStyle w:val="ConsPlusNormal"/>
              <w:jc w:val="right"/>
            </w:pPr>
            <w:r>
              <w:t>280 205</w:t>
            </w:r>
          </w:p>
        </w:tc>
        <w:tc>
          <w:tcPr>
            <w:tcW w:w="1304" w:type="dxa"/>
            <w:vAlign w:val="center"/>
          </w:tcPr>
          <w:p w14:paraId="467D1386" w14:textId="77777777" w:rsidR="00454A29" w:rsidRDefault="00454A29">
            <w:pPr>
              <w:pStyle w:val="ConsPlusNormal"/>
              <w:jc w:val="right"/>
            </w:pPr>
            <w:r>
              <w:t>303 593</w:t>
            </w:r>
          </w:p>
        </w:tc>
        <w:tc>
          <w:tcPr>
            <w:tcW w:w="1304" w:type="dxa"/>
            <w:vAlign w:val="center"/>
          </w:tcPr>
          <w:p w14:paraId="4762CBC7" w14:textId="77777777" w:rsidR="00454A29" w:rsidRDefault="00454A29">
            <w:pPr>
              <w:pStyle w:val="ConsPlusNormal"/>
              <w:jc w:val="right"/>
            </w:pPr>
            <w:r>
              <w:t>956 515</w:t>
            </w:r>
          </w:p>
        </w:tc>
        <w:tc>
          <w:tcPr>
            <w:tcW w:w="1304" w:type="dxa"/>
            <w:vAlign w:val="center"/>
          </w:tcPr>
          <w:p w14:paraId="34307D44" w14:textId="77777777" w:rsidR="00454A29" w:rsidRDefault="00454A29">
            <w:pPr>
              <w:pStyle w:val="ConsPlusNormal"/>
              <w:jc w:val="right"/>
            </w:pPr>
            <w:r>
              <w:t>890 407</w:t>
            </w:r>
          </w:p>
        </w:tc>
      </w:tr>
      <w:tr w:rsidR="00454A29" w14:paraId="32B4CAE1" w14:textId="77777777">
        <w:tc>
          <w:tcPr>
            <w:tcW w:w="2041" w:type="dxa"/>
            <w:vMerge/>
          </w:tcPr>
          <w:p w14:paraId="65DEDE1C" w14:textId="77777777" w:rsidR="00454A29" w:rsidRDefault="00454A29"/>
        </w:tc>
        <w:tc>
          <w:tcPr>
            <w:tcW w:w="3005" w:type="dxa"/>
            <w:vMerge/>
          </w:tcPr>
          <w:p w14:paraId="31FBB456" w14:textId="77777777" w:rsidR="00454A29" w:rsidRDefault="00454A29"/>
        </w:tc>
        <w:tc>
          <w:tcPr>
            <w:tcW w:w="2778" w:type="dxa"/>
            <w:vAlign w:val="center"/>
          </w:tcPr>
          <w:p w14:paraId="20420AC1" w14:textId="77777777" w:rsidR="00454A29" w:rsidRDefault="00454A29">
            <w:pPr>
              <w:pStyle w:val="ConsPlusNormal"/>
            </w:pPr>
            <w:r>
              <w:t>Минобрнауки РС(Я)</w:t>
            </w:r>
          </w:p>
        </w:tc>
        <w:tc>
          <w:tcPr>
            <w:tcW w:w="1304" w:type="dxa"/>
            <w:vAlign w:val="center"/>
          </w:tcPr>
          <w:p w14:paraId="20A35AD8" w14:textId="77777777" w:rsidR="00454A29" w:rsidRDefault="00454A29">
            <w:pPr>
              <w:pStyle w:val="ConsPlusNormal"/>
            </w:pPr>
          </w:p>
        </w:tc>
        <w:tc>
          <w:tcPr>
            <w:tcW w:w="1247" w:type="dxa"/>
            <w:vAlign w:val="center"/>
          </w:tcPr>
          <w:p w14:paraId="35E0C3F2" w14:textId="77777777" w:rsidR="00454A29" w:rsidRDefault="00454A29">
            <w:pPr>
              <w:pStyle w:val="ConsPlusNormal"/>
            </w:pPr>
          </w:p>
        </w:tc>
        <w:tc>
          <w:tcPr>
            <w:tcW w:w="1304" w:type="dxa"/>
            <w:vAlign w:val="center"/>
          </w:tcPr>
          <w:p w14:paraId="0AC9EC97" w14:textId="77777777" w:rsidR="00454A29" w:rsidRDefault="00454A29">
            <w:pPr>
              <w:pStyle w:val="ConsPlusNormal"/>
            </w:pPr>
          </w:p>
        </w:tc>
        <w:tc>
          <w:tcPr>
            <w:tcW w:w="1304" w:type="dxa"/>
            <w:vAlign w:val="center"/>
          </w:tcPr>
          <w:p w14:paraId="7F860FE1" w14:textId="77777777" w:rsidR="00454A29" w:rsidRDefault="00454A29">
            <w:pPr>
              <w:pStyle w:val="ConsPlusNormal"/>
            </w:pPr>
          </w:p>
        </w:tc>
        <w:tc>
          <w:tcPr>
            <w:tcW w:w="1304" w:type="dxa"/>
            <w:vAlign w:val="center"/>
          </w:tcPr>
          <w:p w14:paraId="551C1F53" w14:textId="77777777" w:rsidR="00454A29" w:rsidRDefault="00454A29">
            <w:pPr>
              <w:pStyle w:val="ConsPlusNormal"/>
            </w:pPr>
          </w:p>
        </w:tc>
        <w:tc>
          <w:tcPr>
            <w:tcW w:w="1304" w:type="dxa"/>
            <w:vAlign w:val="center"/>
          </w:tcPr>
          <w:p w14:paraId="32EAA545" w14:textId="77777777" w:rsidR="00454A29" w:rsidRDefault="00454A29">
            <w:pPr>
              <w:pStyle w:val="ConsPlusNormal"/>
            </w:pPr>
          </w:p>
        </w:tc>
        <w:tc>
          <w:tcPr>
            <w:tcW w:w="1304" w:type="dxa"/>
            <w:vAlign w:val="center"/>
          </w:tcPr>
          <w:p w14:paraId="6ED3140B" w14:textId="77777777" w:rsidR="00454A29" w:rsidRDefault="00454A29">
            <w:pPr>
              <w:pStyle w:val="ConsPlusNormal"/>
            </w:pPr>
          </w:p>
        </w:tc>
      </w:tr>
      <w:tr w:rsidR="00454A29" w14:paraId="2141581D" w14:textId="77777777">
        <w:tc>
          <w:tcPr>
            <w:tcW w:w="2041" w:type="dxa"/>
            <w:vMerge/>
          </w:tcPr>
          <w:p w14:paraId="5CD7EE55" w14:textId="77777777" w:rsidR="00454A29" w:rsidRDefault="00454A29"/>
        </w:tc>
        <w:tc>
          <w:tcPr>
            <w:tcW w:w="3005" w:type="dxa"/>
            <w:vMerge/>
          </w:tcPr>
          <w:p w14:paraId="62DF0F7D" w14:textId="77777777" w:rsidR="00454A29" w:rsidRDefault="00454A29"/>
        </w:tc>
        <w:tc>
          <w:tcPr>
            <w:tcW w:w="2778" w:type="dxa"/>
            <w:vAlign w:val="center"/>
          </w:tcPr>
          <w:p w14:paraId="22621BBC" w14:textId="77777777" w:rsidR="00454A29" w:rsidRDefault="00454A29">
            <w:pPr>
              <w:pStyle w:val="ConsPlusNormal"/>
            </w:pPr>
            <w:r>
              <w:t>Минстрой РС(Я)</w:t>
            </w:r>
          </w:p>
        </w:tc>
        <w:tc>
          <w:tcPr>
            <w:tcW w:w="1304" w:type="dxa"/>
            <w:vAlign w:val="center"/>
          </w:tcPr>
          <w:p w14:paraId="28CEAF4D" w14:textId="77777777" w:rsidR="00454A29" w:rsidRDefault="00454A29">
            <w:pPr>
              <w:pStyle w:val="ConsPlusNormal"/>
              <w:jc w:val="right"/>
            </w:pPr>
            <w:r>
              <w:t>2 020 832</w:t>
            </w:r>
          </w:p>
        </w:tc>
        <w:tc>
          <w:tcPr>
            <w:tcW w:w="1247" w:type="dxa"/>
            <w:vAlign w:val="center"/>
          </w:tcPr>
          <w:p w14:paraId="1C27D2B3" w14:textId="77777777" w:rsidR="00454A29" w:rsidRDefault="00454A29">
            <w:pPr>
              <w:pStyle w:val="ConsPlusNormal"/>
              <w:jc w:val="right"/>
            </w:pPr>
            <w:r>
              <w:t>929 990</w:t>
            </w:r>
          </w:p>
        </w:tc>
        <w:tc>
          <w:tcPr>
            <w:tcW w:w="1304" w:type="dxa"/>
            <w:vAlign w:val="center"/>
          </w:tcPr>
          <w:p w14:paraId="3ECAD992" w14:textId="77777777" w:rsidR="00454A29" w:rsidRDefault="00454A29">
            <w:pPr>
              <w:pStyle w:val="ConsPlusNormal"/>
              <w:jc w:val="right"/>
            </w:pPr>
            <w:r>
              <w:t>175 303</w:t>
            </w:r>
          </w:p>
        </w:tc>
        <w:tc>
          <w:tcPr>
            <w:tcW w:w="1304" w:type="dxa"/>
            <w:vAlign w:val="center"/>
          </w:tcPr>
          <w:p w14:paraId="070986E4" w14:textId="77777777" w:rsidR="00454A29" w:rsidRDefault="00454A29">
            <w:pPr>
              <w:pStyle w:val="ConsPlusNormal"/>
              <w:jc w:val="right"/>
            </w:pPr>
            <w:r>
              <w:t>38 233</w:t>
            </w:r>
          </w:p>
        </w:tc>
        <w:tc>
          <w:tcPr>
            <w:tcW w:w="1304" w:type="dxa"/>
            <w:vAlign w:val="center"/>
          </w:tcPr>
          <w:p w14:paraId="13888BEF" w14:textId="77777777" w:rsidR="00454A29" w:rsidRDefault="00454A29">
            <w:pPr>
              <w:pStyle w:val="ConsPlusNormal"/>
              <w:jc w:val="right"/>
            </w:pPr>
            <w:r>
              <w:t>24 336</w:t>
            </w:r>
          </w:p>
        </w:tc>
        <w:tc>
          <w:tcPr>
            <w:tcW w:w="1304" w:type="dxa"/>
            <w:vAlign w:val="center"/>
          </w:tcPr>
          <w:p w14:paraId="786CFEA7" w14:textId="77777777" w:rsidR="00454A29" w:rsidRDefault="00454A29">
            <w:pPr>
              <w:pStyle w:val="ConsPlusNormal"/>
              <w:jc w:val="right"/>
            </w:pPr>
            <w:r>
              <w:t>634 113</w:t>
            </w:r>
          </w:p>
        </w:tc>
        <w:tc>
          <w:tcPr>
            <w:tcW w:w="1304" w:type="dxa"/>
            <w:vAlign w:val="center"/>
          </w:tcPr>
          <w:p w14:paraId="08723AAB" w14:textId="77777777" w:rsidR="00454A29" w:rsidRDefault="00454A29">
            <w:pPr>
              <w:pStyle w:val="ConsPlusNormal"/>
              <w:jc w:val="right"/>
            </w:pPr>
            <w:r>
              <w:t>518 072</w:t>
            </w:r>
          </w:p>
        </w:tc>
      </w:tr>
      <w:tr w:rsidR="00454A29" w14:paraId="60B7205B" w14:textId="77777777">
        <w:tc>
          <w:tcPr>
            <w:tcW w:w="2041" w:type="dxa"/>
            <w:vMerge/>
          </w:tcPr>
          <w:p w14:paraId="62DE0788" w14:textId="77777777" w:rsidR="00454A29" w:rsidRDefault="00454A29"/>
        </w:tc>
        <w:tc>
          <w:tcPr>
            <w:tcW w:w="3005" w:type="dxa"/>
            <w:vMerge/>
          </w:tcPr>
          <w:p w14:paraId="7AD3D2AE" w14:textId="77777777" w:rsidR="00454A29" w:rsidRDefault="00454A29"/>
        </w:tc>
        <w:tc>
          <w:tcPr>
            <w:tcW w:w="2778" w:type="dxa"/>
            <w:vAlign w:val="center"/>
          </w:tcPr>
          <w:p w14:paraId="2B465B18" w14:textId="77777777" w:rsidR="00454A29" w:rsidRDefault="00454A29">
            <w:pPr>
              <w:pStyle w:val="ConsPlusNormal"/>
            </w:pPr>
            <w:r>
              <w:t>Минэкономики РС(Я)</w:t>
            </w:r>
          </w:p>
        </w:tc>
        <w:tc>
          <w:tcPr>
            <w:tcW w:w="1304" w:type="dxa"/>
            <w:vAlign w:val="center"/>
          </w:tcPr>
          <w:p w14:paraId="45216130" w14:textId="77777777" w:rsidR="00454A29" w:rsidRDefault="00454A29">
            <w:pPr>
              <w:pStyle w:val="ConsPlusNormal"/>
              <w:jc w:val="right"/>
            </w:pPr>
            <w:r>
              <w:t>754 456</w:t>
            </w:r>
          </w:p>
        </w:tc>
        <w:tc>
          <w:tcPr>
            <w:tcW w:w="1247" w:type="dxa"/>
            <w:vAlign w:val="center"/>
          </w:tcPr>
          <w:p w14:paraId="2C9A547E" w14:textId="77777777" w:rsidR="00454A29" w:rsidRDefault="00454A29">
            <w:pPr>
              <w:pStyle w:val="ConsPlusNormal"/>
              <w:jc w:val="right"/>
            </w:pPr>
            <w:r>
              <w:t>804 095</w:t>
            </w:r>
          </w:p>
        </w:tc>
        <w:tc>
          <w:tcPr>
            <w:tcW w:w="1304" w:type="dxa"/>
            <w:vAlign w:val="center"/>
          </w:tcPr>
          <w:p w14:paraId="37A82863" w14:textId="77777777" w:rsidR="00454A29" w:rsidRDefault="00454A29">
            <w:pPr>
              <w:pStyle w:val="ConsPlusNormal"/>
              <w:jc w:val="right"/>
            </w:pPr>
            <w:r>
              <w:t>716 109</w:t>
            </w:r>
          </w:p>
        </w:tc>
        <w:tc>
          <w:tcPr>
            <w:tcW w:w="1304" w:type="dxa"/>
            <w:vAlign w:val="center"/>
          </w:tcPr>
          <w:p w14:paraId="492223CC" w14:textId="77777777" w:rsidR="00454A29" w:rsidRDefault="00454A29">
            <w:pPr>
              <w:pStyle w:val="ConsPlusNormal"/>
              <w:jc w:val="right"/>
            </w:pPr>
            <w:r>
              <w:t>241 972</w:t>
            </w:r>
          </w:p>
        </w:tc>
        <w:tc>
          <w:tcPr>
            <w:tcW w:w="1304" w:type="dxa"/>
            <w:vAlign w:val="center"/>
          </w:tcPr>
          <w:p w14:paraId="3DC42E0A" w14:textId="77777777" w:rsidR="00454A29" w:rsidRDefault="00454A29">
            <w:pPr>
              <w:pStyle w:val="ConsPlusNormal"/>
              <w:jc w:val="right"/>
            </w:pPr>
            <w:r>
              <w:t>279 257</w:t>
            </w:r>
          </w:p>
        </w:tc>
        <w:tc>
          <w:tcPr>
            <w:tcW w:w="1304" w:type="dxa"/>
            <w:vAlign w:val="center"/>
          </w:tcPr>
          <w:p w14:paraId="2A2702D0" w14:textId="77777777" w:rsidR="00454A29" w:rsidRDefault="00454A29">
            <w:pPr>
              <w:pStyle w:val="ConsPlusNormal"/>
              <w:jc w:val="right"/>
            </w:pPr>
            <w:r>
              <w:t>322 402</w:t>
            </w:r>
          </w:p>
        </w:tc>
        <w:tc>
          <w:tcPr>
            <w:tcW w:w="1304" w:type="dxa"/>
            <w:vAlign w:val="center"/>
          </w:tcPr>
          <w:p w14:paraId="35A39C7C" w14:textId="77777777" w:rsidR="00454A29" w:rsidRDefault="00454A29">
            <w:pPr>
              <w:pStyle w:val="ConsPlusNormal"/>
              <w:jc w:val="right"/>
            </w:pPr>
            <w:r>
              <w:t>372 335</w:t>
            </w:r>
          </w:p>
        </w:tc>
      </w:tr>
      <w:tr w:rsidR="00454A29" w14:paraId="6F009AEA" w14:textId="77777777">
        <w:tc>
          <w:tcPr>
            <w:tcW w:w="2041" w:type="dxa"/>
            <w:vMerge/>
          </w:tcPr>
          <w:p w14:paraId="6C611EB2" w14:textId="77777777" w:rsidR="00454A29" w:rsidRDefault="00454A29"/>
        </w:tc>
        <w:tc>
          <w:tcPr>
            <w:tcW w:w="3005" w:type="dxa"/>
            <w:vMerge/>
          </w:tcPr>
          <w:p w14:paraId="64E3721F" w14:textId="77777777" w:rsidR="00454A29" w:rsidRDefault="00454A29"/>
        </w:tc>
        <w:tc>
          <w:tcPr>
            <w:tcW w:w="2778" w:type="dxa"/>
            <w:vAlign w:val="center"/>
          </w:tcPr>
          <w:p w14:paraId="049DF8FD" w14:textId="77777777" w:rsidR="00454A29" w:rsidRDefault="00454A29">
            <w:pPr>
              <w:pStyle w:val="ConsPlusNormal"/>
            </w:pPr>
            <w:r>
              <w:t>Федеральный бюджет</w:t>
            </w:r>
          </w:p>
        </w:tc>
        <w:tc>
          <w:tcPr>
            <w:tcW w:w="1304" w:type="dxa"/>
            <w:vAlign w:val="center"/>
          </w:tcPr>
          <w:p w14:paraId="3B65C0B3" w14:textId="77777777" w:rsidR="00454A29" w:rsidRDefault="00454A29">
            <w:pPr>
              <w:pStyle w:val="ConsPlusNormal"/>
              <w:jc w:val="right"/>
            </w:pPr>
            <w:r>
              <w:t>493 465</w:t>
            </w:r>
          </w:p>
        </w:tc>
        <w:tc>
          <w:tcPr>
            <w:tcW w:w="1247" w:type="dxa"/>
            <w:vAlign w:val="center"/>
          </w:tcPr>
          <w:p w14:paraId="499E751C" w14:textId="77777777" w:rsidR="00454A29" w:rsidRDefault="00454A29">
            <w:pPr>
              <w:pStyle w:val="ConsPlusNormal"/>
              <w:jc w:val="right"/>
            </w:pPr>
            <w:r>
              <w:t>678 827</w:t>
            </w:r>
          </w:p>
        </w:tc>
        <w:tc>
          <w:tcPr>
            <w:tcW w:w="1304" w:type="dxa"/>
            <w:vAlign w:val="center"/>
          </w:tcPr>
          <w:p w14:paraId="5EFF8418" w14:textId="77777777" w:rsidR="00454A29" w:rsidRDefault="00454A29">
            <w:pPr>
              <w:pStyle w:val="ConsPlusNormal"/>
              <w:jc w:val="right"/>
            </w:pPr>
            <w:r>
              <w:t>-</w:t>
            </w:r>
          </w:p>
        </w:tc>
        <w:tc>
          <w:tcPr>
            <w:tcW w:w="1304" w:type="dxa"/>
            <w:vAlign w:val="center"/>
          </w:tcPr>
          <w:p w14:paraId="0B7B6D28" w14:textId="77777777" w:rsidR="00454A29" w:rsidRDefault="00454A29">
            <w:pPr>
              <w:pStyle w:val="ConsPlusNormal"/>
              <w:jc w:val="right"/>
            </w:pPr>
            <w:r>
              <w:t>3 971 021</w:t>
            </w:r>
          </w:p>
        </w:tc>
        <w:tc>
          <w:tcPr>
            <w:tcW w:w="1304" w:type="dxa"/>
            <w:vAlign w:val="center"/>
          </w:tcPr>
          <w:p w14:paraId="1917423E" w14:textId="77777777" w:rsidR="00454A29" w:rsidRDefault="00454A29">
            <w:pPr>
              <w:pStyle w:val="ConsPlusNormal"/>
              <w:jc w:val="right"/>
            </w:pPr>
            <w:r>
              <w:t>2 409 272</w:t>
            </w:r>
          </w:p>
        </w:tc>
        <w:tc>
          <w:tcPr>
            <w:tcW w:w="1304" w:type="dxa"/>
            <w:vAlign w:val="center"/>
          </w:tcPr>
          <w:p w14:paraId="2C550C88" w14:textId="77777777" w:rsidR="00454A29" w:rsidRDefault="00454A29">
            <w:pPr>
              <w:pStyle w:val="ConsPlusNormal"/>
              <w:jc w:val="right"/>
            </w:pPr>
            <w:r>
              <w:t>42 632 643</w:t>
            </w:r>
          </w:p>
        </w:tc>
        <w:tc>
          <w:tcPr>
            <w:tcW w:w="1304" w:type="dxa"/>
            <w:vAlign w:val="center"/>
          </w:tcPr>
          <w:p w14:paraId="55CE863C" w14:textId="77777777" w:rsidR="00454A29" w:rsidRDefault="00454A29">
            <w:pPr>
              <w:pStyle w:val="ConsPlusNormal"/>
              <w:jc w:val="right"/>
            </w:pPr>
            <w:r>
              <w:t>48 984 588</w:t>
            </w:r>
          </w:p>
        </w:tc>
      </w:tr>
      <w:tr w:rsidR="00454A29" w14:paraId="36F9DBF7" w14:textId="77777777">
        <w:tc>
          <w:tcPr>
            <w:tcW w:w="2041" w:type="dxa"/>
            <w:vMerge/>
          </w:tcPr>
          <w:p w14:paraId="0543EB29" w14:textId="77777777" w:rsidR="00454A29" w:rsidRDefault="00454A29"/>
        </w:tc>
        <w:tc>
          <w:tcPr>
            <w:tcW w:w="3005" w:type="dxa"/>
            <w:vMerge/>
          </w:tcPr>
          <w:p w14:paraId="19A149F5" w14:textId="77777777" w:rsidR="00454A29" w:rsidRDefault="00454A29"/>
        </w:tc>
        <w:tc>
          <w:tcPr>
            <w:tcW w:w="2778" w:type="dxa"/>
            <w:vAlign w:val="center"/>
          </w:tcPr>
          <w:p w14:paraId="5B9EE91C" w14:textId="77777777" w:rsidR="00454A29" w:rsidRDefault="00454A29">
            <w:pPr>
              <w:pStyle w:val="ConsPlusNormal"/>
            </w:pPr>
            <w:r>
              <w:t>Минобрнауки РС(Я)</w:t>
            </w:r>
          </w:p>
        </w:tc>
        <w:tc>
          <w:tcPr>
            <w:tcW w:w="1304" w:type="dxa"/>
            <w:vAlign w:val="center"/>
          </w:tcPr>
          <w:p w14:paraId="7A61BE58" w14:textId="77777777" w:rsidR="00454A29" w:rsidRDefault="00454A29">
            <w:pPr>
              <w:pStyle w:val="ConsPlusNormal"/>
            </w:pPr>
          </w:p>
        </w:tc>
        <w:tc>
          <w:tcPr>
            <w:tcW w:w="1247" w:type="dxa"/>
            <w:vAlign w:val="center"/>
          </w:tcPr>
          <w:p w14:paraId="12D03ABF" w14:textId="77777777" w:rsidR="00454A29" w:rsidRDefault="00454A29">
            <w:pPr>
              <w:pStyle w:val="ConsPlusNormal"/>
            </w:pPr>
          </w:p>
        </w:tc>
        <w:tc>
          <w:tcPr>
            <w:tcW w:w="1304" w:type="dxa"/>
            <w:vAlign w:val="center"/>
          </w:tcPr>
          <w:p w14:paraId="596A5FC4" w14:textId="77777777" w:rsidR="00454A29" w:rsidRDefault="00454A29">
            <w:pPr>
              <w:pStyle w:val="ConsPlusNormal"/>
            </w:pPr>
          </w:p>
        </w:tc>
        <w:tc>
          <w:tcPr>
            <w:tcW w:w="1304" w:type="dxa"/>
            <w:vAlign w:val="center"/>
          </w:tcPr>
          <w:p w14:paraId="60E8CCC0" w14:textId="77777777" w:rsidR="00454A29" w:rsidRDefault="00454A29">
            <w:pPr>
              <w:pStyle w:val="ConsPlusNormal"/>
            </w:pPr>
          </w:p>
        </w:tc>
        <w:tc>
          <w:tcPr>
            <w:tcW w:w="1304" w:type="dxa"/>
            <w:vAlign w:val="center"/>
          </w:tcPr>
          <w:p w14:paraId="5E03C6D4" w14:textId="77777777" w:rsidR="00454A29" w:rsidRDefault="00454A29">
            <w:pPr>
              <w:pStyle w:val="ConsPlusNormal"/>
            </w:pPr>
          </w:p>
        </w:tc>
        <w:tc>
          <w:tcPr>
            <w:tcW w:w="1304" w:type="dxa"/>
            <w:vAlign w:val="center"/>
          </w:tcPr>
          <w:p w14:paraId="51EF8E21" w14:textId="77777777" w:rsidR="00454A29" w:rsidRDefault="00454A29">
            <w:pPr>
              <w:pStyle w:val="ConsPlusNormal"/>
            </w:pPr>
          </w:p>
        </w:tc>
        <w:tc>
          <w:tcPr>
            <w:tcW w:w="1304" w:type="dxa"/>
            <w:vAlign w:val="center"/>
          </w:tcPr>
          <w:p w14:paraId="6E2C5D08" w14:textId="77777777" w:rsidR="00454A29" w:rsidRDefault="00454A29">
            <w:pPr>
              <w:pStyle w:val="ConsPlusNormal"/>
            </w:pPr>
          </w:p>
        </w:tc>
      </w:tr>
      <w:tr w:rsidR="00454A29" w14:paraId="0222C44E" w14:textId="77777777">
        <w:tc>
          <w:tcPr>
            <w:tcW w:w="2041" w:type="dxa"/>
            <w:vMerge/>
          </w:tcPr>
          <w:p w14:paraId="2A78677A" w14:textId="77777777" w:rsidR="00454A29" w:rsidRDefault="00454A29"/>
        </w:tc>
        <w:tc>
          <w:tcPr>
            <w:tcW w:w="3005" w:type="dxa"/>
            <w:vMerge/>
          </w:tcPr>
          <w:p w14:paraId="68267781" w14:textId="77777777" w:rsidR="00454A29" w:rsidRDefault="00454A29"/>
        </w:tc>
        <w:tc>
          <w:tcPr>
            <w:tcW w:w="2778" w:type="dxa"/>
            <w:vAlign w:val="center"/>
          </w:tcPr>
          <w:p w14:paraId="26C374F2" w14:textId="77777777" w:rsidR="00454A29" w:rsidRDefault="00454A29">
            <w:pPr>
              <w:pStyle w:val="ConsPlusNormal"/>
            </w:pPr>
            <w:r>
              <w:t>Минстрой РС(Я)</w:t>
            </w:r>
          </w:p>
        </w:tc>
        <w:tc>
          <w:tcPr>
            <w:tcW w:w="1304" w:type="dxa"/>
            <w:vAlign w:val="center"/>
          </w:tcPr>
          <w:p w14:paraId="336A1CAA" w14:textId="77777777" w:rsidR="00454A29" w:rsidRDefault="00454A29">
            <w:pPr>
              <w:pStyle w:val="ConsPlusNormal"/>
              <w:jc w:val="right"/>
            </w:pPr>
            <w:r>
              <w:t>493 465</w:t>
            </w:r>
          </w:p>
        </w:tc>
        <w:tc>
          <w:tcPr>
            <w:tcW w:w="1247" w:type="dxa"/>
            <w:vAlign w:val="center"/>
          </w:tcPr>
          <w:p w14:paraId="08DA7ACE" w14:textId="77777777" w:rsidR="00454A29" w:rsidRDefault="00454A29">
            <w:pPr>
              <w:pStyle w:val="ConsPlusNormal"/>
              <w:jc w:val="right"/>
            </w:pPr>
            <w:r>
              <w:t>678 827</w:t>
            </w:r>
          </w:p>
        </w:tc>
        <w:tc>
          <w:tcPr>
            <w:tcW w:w="1304" w:type="dxa"/>
            <w:vAlign w:val="center"/>
          </w:tcPr>
          <w:p w14:paraId="40A5EA88" w14:textId="77777777" w:rsidR="00454A29" w:rsidRDefault="00454A29">
            <w:pPr>
              <w:pStyle w:val="ConsPlusNormal"/>
              <w:jc w:val="right"/>
            </w:pPr>
            <w:r>
              <w:t>-</w:t>
            </w:r>
          </w:p>
        </w:tc>
        <w:tc>
          <w:tcPr>
            <w:tcW w:w="1304" w:type="dxa"/>
            <w:vAlign w:val="center"/>
          </w:tcPr>
          <w:p w14:paraId="38233800" w14:textId="77777777" w:rsidR="00454A29" w:rsidRDefault="00454A29">
            <w:pPr>
              <w:pStyle w:val="ConsPlusNormal"/>
              <w:jc w:val="right"/>
            </w:pPr>
            <w:r>
              <w:t>3 971 021</w:t>
            </w:r>
          </w:p>
        </w:tc>
        <w:tc>
          <w:tcPr>
            <w:tcW w:w="1304" w:type="dxa"/>
            <w:vAlign w:val="center"/>
          </w:tcPr>
          <w:p w14:paraId="3A28349D" w14:textId="77777777" w:rsidR="00454A29" w:rsidRDefault="00454A29">
            <w:pPr>
              <w:pStyle w:val="ConsPlusNormal"/>
              <w:jc w:val="right"/>
            </w:pPr>
            <w:r>
              <w:t>2 409 272</w:t>
            </w:r>
          </w:p>
        </w:tc>
        <w:tc>
          <w:tcPr>
            <w:tcW w:w="1304" w:type="dxa"/>
            <w:vAlign w:val="center"/>
          </w:tcPr>
          <w:p w14:paraId="337731FE" w14:textId="77777777" w:rsidR="00454A29" w:rsidRDefault="00454A29">
            <w:pPr>
              <w:pStyle w:val="ConsPlusNormal"/>
              <w:jc w:val="right"/>
            </w:pPr>
            <w:r>
              <w:t>42 632 643</w:t>
            </w:r>
          </w:p>
        </w:tc>
        <w:tc>
          <w:tcPr>
            <w:tcW w:w="1304" w:type="dxa"/>
            <w:vAlign w:val="center"/>
          </w:tcPr>
          <w:p w14:paraId="7EC5B7A2" w14:textId="77777777" w:rsidR="00454A29" w:rsidRDefault="00454A29">
            <w:pPr>
              <w:pStyle w:val="ConsPlusNormal"/>
              <w:jc w:val="right"/>
            </w:pPr>
            <w:r>
              <w:t>48 984 588</w:t>
            </w:r>
          </w:p>
        </w:tc>
      </w:tr>
      <w:tr w:rsidR="00454A29" w14:paraId="10420701" w14:textId="77777777">
        <w:tc>
          <w:tcPr>
            <w:tcW w:w="2041" w:type="dxa"/>
            <w:vMerge/>
          </w:tcPr>
          <w:p w14:paraId="0AD1A0F5" w14:textId="77777777" w:rsidR="00454A29" w:rsidRDefault="00454A29"/>
        </w:tc>
        <w:tc>
          <w:tcPr>
            <w:tcW w:w="3005" w:type="dxa"/>
            <w:vMerge/>
          </w:tcPr>
          <w:p w14:paraId="27188876" w14:textId="77777777" w:rsidR="00454A29" w:rsidRDefault="00454A29"/>
        </w:tc>
        <w:tc>
          <w:tcPr>
            <w:tcW w:w="2778" w:type="dxa"/>
            <w:vAlign w:val="center"/>
          </w:tcPr>
          <w:p w14:paraId="7337DCD7" w14:textId="77777777" w:rsidR="00454A29" w:rsidRDefault="00454A29">
            <w:pPr>
              <w:pStyle w:val="ConsPlusNormal"/>
            </w:pPr>
            <w:r>
              <w:t>Муниципальные образования РС(Я)</w:t>
            </w:r>
          </w:p>
        </w:tc>
        <w:tc>
          <w:tcPr>
            <w:tcW w:w="1304" w:type="dxa"/>
            <w:vAlign w:val="center"/>
          </w:tcPr>
          <w:p w14:paraId="412007B9" w14:textId="77777777" w:rsidR="00454A29" w:rsidRDefault="00454A29">
            <w:pPr>
              <w:pStyle w:val="ConsPlusNormal"/>
            </w:pPr>
          </w:p>
        </w:tc>
        <w:tc>
          <w:tcPr>
            <w:tcW w:w="1247" w:type="dxa"/>
            <w:vAlign w:val="center"/>
          </w:tcPr>
          <w:p w14:paraId="04D51DC0" w14:textId="77777777" w:rsidR="00454A29" w:rsidRDefault="00454A29">
            <w:pPr>
              <w:pStyle w:val="ConsPlusNormal"/>
            </w:pPr>
          </w:p>
        </w:tc>
        <w:tc>
          <w:tcPr>
            <w:tcW w:w="1304" w:type="dxa"/>
            <w:vAlign w:val="center"/>
          </w:tcPr>
          <w:p w14:paraId="7EE3048C" w14:textId="77777777" w:rsidR="00454A29" w:rsidRDefault="00454A29">
            <w:pPr>
              <w:pStyle w:val="ConsPlusNormal"/>
            </w:pPr>
          </w:p>
        </w:tc>
        <w:tc>
          <w:tcPr>
            <w:tcW w:w="1304" w:type="dxa"/>
            <w:vAlign w:val="center"/>
          </w:tcPr>
          <w:p w14:paraId="663258BB" w14:textId="77777777" w:rsidR="00454A29" w:rsidRDefault="00454A29">
            <w:pPr>
              <w:pStyle w:val="ConsPlusNormal"/>
            </w:pPr>
          </w:p>
        </w:tc>
        <w:tc>
          <w:tcPr>
            <w:tcW w:w="1304" w:type="dxa"/>
            <w:vAlign w:val="center"/>
          </w:tcPr>
          <w:p w14:paraId="3482F119" w14:textId="77777777" w:rsidR="00454A29" w:rsidRDefault="00454A29">
            <w:pPr>
              <w:pStyle w:val="ConsPlusNormal"/>
            </w:pPr>
          </w:p>
        </w:tc>
        <w:tc>
          <w:tcPr>
            <w:tcW w:w="1304" w:type="dxa"/>
            <w:vAlign w:val="center"/>
          </w:tcPr>
          <w:p w14:paraId="1E682CE4" w14:textId="77777777" w:rsidR="00454A29" w:rsidRDefault="00454A29">
            <w:pPr>
              <w:pStyle w:val="ConsPlusNormal"/>
            </w:pPr>
          </w:p>
        </w:tc>
        <w:tc>
          <w:tcPr>
            <w:tcW w:w="1304" w:type="dxa"/>
            <w:vAlign w:val="center"/>
          </w:tcPr>
          <w:p w14:paraId="1D8EF462" w14:textId="77777777" w:rsidR="00454A29" w:rsidRDefault="00454A29">
            <w:pPr>
              <w:pStyle w:val="ConsPlusNormal"/>
            </w:pPr>
          </w:p>
        </w:tc>
      </w:tr>
      <w:tr w:rsidR="00454A29" w14:paraId="170F40C0" w14:textId="77777777">
        <w:tc>
          <w:tcPr>
            <w:tcW w:w="2041" w:type="dxa"/>
            <w:vMerge/>
          </w:tcPr>
          <w:p w14:paraId="50137C11" w14:textId="77777777" w:rsidR="00454A29" w:rsidRDefault="00454A29"/>
        </w:tc>
        <w:tc>
          <w:tcPr>
            <w:tcW w:w="3005" w:type="dxa"/>
            <w:vMerge/>
          </w:tcPr>
          <w:p w14:paraId="168B75B0" w14:textId="77777777" w:rsidR="00454A29" w:rsidRDefault="00454A29"/>
        </w:tc>
        <w:tc>
          <w:tcPr>
            <w:tcW w:w="2778" w:type="dxa"/>
            <w:vAlign w:val="center"/>
          </w:tcPr>
          <w:p w14:paraId="7F2EAEC9" w14:textId="77777777" w:rsidR="00454A29" w:rsidRDefault="00454A29">
            <w:pPr>
              <w:pStyle w:val="ConsPlusNormal"/>
            </w:pPr>
            <w:r>
              <w:t>Местные бюджеты</w:t>
            </w:r>
          </w:p>
        </w:tc>
        <w:tc>
          <w:tcPr>
            <w:tcW w:w="1304" w:type="dxa"/>
            <w:vAlign w:val="center"/>
          </w:tcPr>
          <w:p w14:paraId="3CF44AA8" w14:textId="77777777" w:rsidR="00454A29" w:rsidRDefault="00454A29">
            <w:pPr>
              <w:pStyle w:val="ConsPlusNormal"/>
              <w:jc w:val="right"/>
            </w:pPr>
            <w:r>
              <w:t>595 131</w:t>
            </w:r>
          </w:p>
        </w:tc>
        <w:tc>
          <w:tcPr>
            <w:tcW w:w="1247" w:type="dxa"/>
            <w:vAlign w:val="center"/>
          </w:tcPr>
          <w:p w14:paraId="02E0EFC5" w14:textId="77777777" w:rsidR="00454A29" w:rsidRDefault="00454A29">
            <w:pPr>
              <w:pStyle w:val="ConsPlusNormal"/>
              <w:jc w:val="right"/>
            </w:pPr>
            <w:r>
              <w:t>565 496</w:t>
            </w:r>
          </w:p>
        </w:tc>
        <w:tc>
          <w:tcPr>
            <w:tcW w:w="1304" w:type="dxa"/>
            <w:vAlign w:val="center"/>
          </w:tcPr>
          <w:p w14:paraId="0A5AF8CA" w14:textId="77777777" w:rsidR="00454A29" w:rsidRDefault="00454A29">
            <w:pPr>
              <w:pStyle w:val="ConsPlusNormal"/>
              <w:jc w:val="right"/>
            </w:pPr>
            <w:r>
              <w:t>154 993</w:t>
            </w:r>
          </w:p>
        </w:tc>
        <w:tc>
          <w:tcPr>
            <w:tcW w:w="1304" w:type="dxa"/>
            <w:vAlign w:val="center"/>
          </w:tcPr>
          <w:p w14:paraId="5F0714E8" w14:textId="77777777" w:rsidR="00454A29" w:rsidRDefault="00454A29">
            <w:pPr>
              <w:pStyle w:val="ConsPlusNormal"/>
              <w:jc w:val="right"/>
            </w:pPr>
            <w:r>
              <w:t>201 734</w:t>
            </w:r>
          </w:p>
        </w:tc>
        <w:tc>
          <w:tcPr>
            <w:tcW w:w="1304" w:type="dxa"/>
            <w:vAlign w:val="center"/>
          </w:tcPr>
          <w:p w14:paraId="2DB9E99B" w14:textId="77777777" w:rsidR="00454A29" w:rsidRDefault="00454A29">
            <w:pPr>
              <w:pStyle w:val="ConsPlusNormal"/>
              <w:jc w:val="right"/>
            </w:pPr>
            <w:r>
              <w:t>181 545</w:t>
            </w:r>
          </w:p>
        </w:tc>
        <w:tc>
          <w:tcPr>
            <w:tcW w:w="1304" w:type="dxa"/>
            <w:vAlign w:val="center"/>
          </w:tcPr>
          <w:p w14:paraId="5043A7FD" w14:textId="77777777" w:rsidR="00454A29" w:rsidRDefault="00454A29">
            <w:pPr>
              <w:pStyle w:val="ConsPlusNormal"/>
              <w:jc w:val="right"/>
            </w:pPr>
            <w:r>
              <w:t>206 124</w:t>
            </w:r>
          </w:p>
        </w:tc>
        <w:tc>
          <w:tcPr>
            <w:tcW w:w="1304" w:type="dxa"/>
            <w:vAlign w:val="center"/>
          </w:tcPr>
          <w:p w14:paraId="4E907617" w14:textId="77777777" w:rsidR="00454A29" w:rsidRDefault="00454A29">
            <w:pPr>
              <w:pStyle w:val="ConsPlusNormal"/>
              <w:jc w:val="right"/>
            </w:pPr>
            <w:r>
              <w:t>251 044</w:t>
            </w:r>
          </w:p>
        </w:tc>
      </w:tr>
      <w:tr w:rsidR="00454A29" w14:paraId="75725F12" w14:textId="77777777">
        <w:tc>
          <w:tcPr>
            <w:tcW w:w="2041" w:type="dxa"/>
            <w:vMerge/>
          </w:tcPr>
          <w:p w14:paraId="3F33CAE9" w14:textId="77777777" w:rsidR="00454A29" w:rsidRDefault="00454A29"/>
        </w:tc>
        <w:tc>
          <w:tcPr>
            <w:tcW w:w="3005" w:type="dxa"/>
            <w:vMerge/>
          </w:tcPr>
          <w:p w14:paraId="40FC1939" w14:textId="77777777" w:rsidR="00454A29" w:rsidRDefault="00454A29"/>
        </w:tc>
        <w:tc>
          <w:tcPr>
            <w:tcW w:w="2778" w:type="dxa"/>
            <w:vAlign w:val="center"/>
          </w:tcPr>
          <w:p w14:paraId="22606B9D" w14:textId="77777777" w:rsidR="00454A29" w:rsidRDefault="00454A29">
            <w:pPr>
              <w:pStyle w:val="ConsPlusNormal"/>
            </w:pPr>
            <w:r>
              <w:t>Минстрой РС(Я)</w:t>
            </w:r>
          </w:p>
        </w:tc>
        <w:tc>
          <w:tcPr>
            <w:tcW w:w="1304" w:type="dxa"/>
            <w:vAlign w:val="center"/>
          </w:tcPr>
          <w:p w14:paraId="680D1995" w14:textId="77777777" w:rsidR="00454A29" w:rsidRDefault="00454A29">
            <w:pPr>
              <w:pStyle w:val="ConsPlusNormal"/>
            </w:pPr>
          </w:p>
        </w:tc>
        <w:tc>
          <w:tcPr>
            <w:tcW w:w="1247" w:type="dxa"/>
            <w:vAlign w:val="center"/>
          </w:tcPr>
          <w:p w14:paraId="599B6822" w14:textId="77777777" w:rsidR="00454A29" w:rsidRDefault="00454A29">
            <w:pPr>
              <w:pStyle w:val="ConsPlusNormal"/>
            </w:pPr>
          </w:p>
        </w:tc>
        <w:tc>
          <w:tcPr>
            <w:tcW w:w="1304" w:type="dxa"/>
            <w:vAlign w:val="center"/>
          </w:tcPr>
          <w:p w14:paraId="39F6B59F" w14:textId="77777777" w:rsidR="00454A29" w:rsidRDefault="00454A29">
            <w:pPr>
              <w:pStyle w:val="ConsPlusNormal"/>
            </w:pPr>
          </w:p>
        </w:tc>
        <w:tc>
          <w:tcPr>
            <w:tcW w:w="1304" w:type="dxa"/>
            <w:vAlign w:val="center"/>
          </w:tcPr>
          <w:p w14:paraId="48A2635C" w14:textId="77777777" w:rsidR="00454A29" w:rsidRDefault="00454A29">
            <w:pPr>
              <w:pStyle w:val="ConsPlusNormal"/>
            </w:pPr>
          </w:p>
        </w:tc>
        <w:tc>
          <w:tcPr>
            <w:tcW w:w="1304" w:type="dxa"/>
            <w:vAlign w:val="center"/>
          </w:tcPr>
          <w:p w14:paraId="18CAAF05" w14:textId="77777777" w:rsidR="00454A29" w:rsidRDefault="00454A29">
            <w:pPr>
              <w:pStyle w:val="ConsPlusNormal"/>
            </w:pPr>
          </w:p>
        </w:tc>
        <w:tc>
          <w:tcPr>
            <w:tcW w:w="1304" w:type="dxa"/>
            <w:vAlign w:val="center"/>
          </w:tcPr>
          <w:p w14:paraId="32A90A31" w14:textId="77777777" w:rsidR="00454A29" w:rsidRDefault="00454A29">
            <w:pPr>
              <w:pStyle w:val="ConsPlusNormal"/>
            </w:pPr>
          </w:p>
        </w:tc>
        <w:tc>
          <w:tcPr>
            <w:tcW w:w="1304" w:type="dxa"/>
            <w:vAlign w:val="center"/>
          </w:tcPr>
          <w:p w14:paraId="19F8B632" w14:textId="77777777" w:rsidR="00454A29" w:rsidRDefault="00454A29">
            <w:pPr>
              <w:pStyle w:val="ConsPlusNormal"/>
            </w:pPr>
          </w:p>
        </w:tc>
      </w:tr>
      <w:tr w:rsidR="00454A29" w14:paraId="05BD348D" w14:textId="77777777">
        <w:tc>
          <w:tcPr>
            <w:tcW w:w="2041" w:type="dxa"/>
            <w:vMerge/>
          </w:tcPr>
          <w:p w14:paraId="3FB63D9C" w14:textId="77777777" w:rsidR="00454A29" w:rsidRDefault="00454A29"/>
        </w:tc>
        <w:tc>
          <w:tcPr>
            <w:tcW w:w="3005" w:type="dxa"/>
            <w:vMerge/>
          </w:tcPr>
          <w:p w14:paraId="4D665E1E" w14:textId="77777777" w:rsidR="00454A29" w:rsidRDefault="00454A29"/>
        </w:tc>
        <w:tc>
          <w:tcPr>
            <w:tcW w:w="2778" w:type="dxa"/>
            <w:vAlign w:val="center"/>
          </w:tcPr>
          <w:p w14:paraId="6B357392" w14:textId="77777777" w:rsidR="00454A29" w:rsidRDefault="00454A29">
            <w:pPr>
              <w:pStyle w:val="ConsPlusNormal"/>
            </w:pPr>
            <w:r>
              <w:t>Минэкономики РС(Я)</w:t>
            </w:r>
          </w:p>
        </w:tc>
        <w:tc>
          <w:tcPr>
            <w:tcW w:w="1304" w:type="dxa"/>
            <w:vAlign w:val="center"/>
          </w:tcPr>
          <w:p w14:paraId="7C9F9D99" w14:textId="77777777" w:rsidR="00454A29" w:rsidRDefault="00454A29">
            <w:pPr>
              <w:pStyle w:val="ConsPlusNormal"/>
            </w:pPr>
          </w:p>
        </w:tc>
        <w:tc>
          <w:tcPr>
            <w:tcW w:w="1247" w:type="dxa"/>
            <w:vAlign w:val="center"/>
          </w:tcPr>
          <w:p w14:paraId="126DF6A3" w14:textId="77777777" w:rsidR="00454A29" w:rsidRDefault="00454A29">
            <w:pPr>
              <w:pStyle w:val="ConsPlusNormal"/>
            </w:pPr>
          </w:p>
        </w:tc>
        <w:tc>
          <w:tcPr>
            <w:tcW w:w="1304" w:type="dxa"/>
            <w:vAlign w:val="center"/>
          </w:tcPr>
          <w:p w14:paraId="1F9B8F07" w14:textId="77777777" w:rsidR="00454A29" w:rsidRDefault="00454A29">
            <w:pPr>
              <w:pStyle w:val="ConsPlusNormal"/>
            </w:pPr>
          </w:p>
        </w:tc>
        <w:tc>
          <w:tcPr>
            <w:tcW w:w="1304" w:type="dxa"/>
            <w:vAlign w:val="center"/>
          </w:tcPr>
          <w:p w14:paraId="2DCAC1C8" w14:textId="77777777" w:rsidR="00454A29" w:rsidRDefault="00454A29">
            <w:pPr>
              <w:pStyle w:val="ConsPlusNormal"/>
            </w:pPr>
          </w:p>
        </w:tc>
        <w:tc>
          <w:tcPr>
            <w:tcW w:w="1304" w:type="dxa"/>
            <w:vAlign w:val="center"/>
          </w:tcPr>
          <w:p w14:paraId="5678DF03" w14:textId="77777777" w:rsidR="00454A29" w:rsidRDefault="00454A29">
            <w:pPr>
              <w:pStyle w:val="ConsPlusNormal"/>
            </w:pPr>
          </w:p>
        </w:tc>
        <w:tc>
          <w:tcPr>
            <w:tcW w:w="1304" w:type="dxa"/>
            <w:vAlign w:val="center"/>
          </w:tcPr>
          <w:p w14:paraId="76104942" w14:textId="77777777" w:rsidR="00454A29" w:rsidRDefault="00454A29">
            <w:pPr>
              <w:pStyle w:val="ConsPlusNormal"/>
            </w:pPr>
          </w:p>
        </w:tc>
        <w:tc>
          <w:tcPr>
            <w:tcW w:w="1304" w:type="dxa"/>
            <w:vAlign w:val="center"/>
          </w:tcPr>
          <w:p w14:paraId="69D75AA4" w14:textId="77777777" w:rsidR="00454A29" w:rsidRDefault="00454A29">
            <w:pPr>
              <w:pStyle w:val="ConsPlusNormal"/>
            </w:pPr>
          </w:p>
        </w:tc>
      </w:tr>
      <w:tr w:rsidR="00454A29" w14:paraId="67C60C21" w14:textId="77777777">
        <w:tc>
          <w:tcPr>
            <w:tcW w:w="2041" w:type="dxa"/>
            <w:vMerge/>
          </w:tcPr>
          <w:p w14:paraId="4695B913" w14:textId="77777777" w:rsidR="00454A29" w:rsidRDefault="00454A29"/>
        </w:tc>
        <w:tc>
          <w:tcPr>
            <w:tcW w:w="3005" w:type="dxa"/>
            <w:vMerge/>
          </w:tcPr>
          <w:p w14:paraId="78E9DC0D" w14:textId="77777777" w:rsidR="00454A29" w:rsidRDefault="00454A29"/>
        </w:tc>
        <w:tc>
          <w:tcPr>
            <w:tcW w:w="2778" w:type="dxa"/>
            <w:vAlign w:val="center"/>
          </w:tcPr>
          <w:p w14:paraId="3EABC9DF" w14:textId="77777777" w:rsidR="00454A29" w:rsidRDefault="00454A29">
            <w:pPr>
              <w:pStyle w:val="ConsPlusNormal"/>
            </w:pPr>
            <w:r>
              <w:t>Внебюджетные средства</w:t>
            </w:r>
          </w:p>
        </w:tc>
        <w:tc>
          <w:tcPr>
            <w:tcW w:w="1304" w:type="dxa"/>
            <w:vAlign w:val="center"/>
          </w:tcPr>
          <w:p w14:paraId="5F6C4042" w14:textId="77777777" w:rsidR="00454A29" w:rsidRDefault="00454A29">
            <w:pPr>
              <w:pStyle w:val="ConsPlusNormal"/>
              <w:jc w:val="right"/>
            </w:pPr>
            <w:r>
              <w:t>-</w:t>
            </w:r>
          </w:p>
        </w:tc>
        <w:tc>
          <w:tcPr>
            <w:tcW w:w="1247" w:type="dxa"/>
            <w:vAlign w:val="center"/>
          </w:tcPr>
          <w:p w14:paraId="56EA126B" w14:textId="77777777" w:rsidR="00454A29" w:rsidRDefault="00454A29">
            <w:pPr>
              <w:pStyle w:val="ConsPlusNormal"/>
              <w:jc w:val="right"/>
            </w:pPr>
            <w:r>
              <w:t>-</w:t>
            </w:r>
          </w:p>
        </w:tc>
        <w:tc>
          <w:tcPr>
            <w:tcW w:w="1304" w:type="dxa"/>
            <w:vAlign w:val="center"/>
          </w:tcPr>
          <w:p w14:paraId="6CD18908" w14:textId="77777777" w:rsidR="00454A29" w:rsidRDefault="00454A29">
            <w:pPr>
              <w:pStyle w:val="ConsPlusNormal"/>
              <w:jc w:val="right"/>
            </w:pPr>
            <w:r>
              <w:t>-</w:t>
            </w:r>
          </w:p>
        </w:tc>
        <w:tc>
          <w:tcPr>
            <w:tcW w:w="1304" w:type="dxa"/>
            <w:vAlign w:val="center"/>
          </w:tcPr>
          <w:p w14:paraId="3D82E2E8" w14:textId="77777777" w:rsidR="00454A29" w:rsidRDefault="00454A29">
            <w:pPr>
              <w:pStyle w:val="ConsPlusNormal"/>
              <w:jc w:val="right"/>
            </w:pPr>
            <w:r>
              <w:t>-</w:t>
            </w:r>
          </w:p>
        </w:tc>
        <w:tc>
          <w:tcPr>
            <w:tcW w:w="1304" w:type="dxa"/>
            <w:vAlign w:val="center"/>
          </w:tcPr>
          <w:p w14:paraId="6147A071" w14:textId="77777777" w:rsidR="00454A29" w:rsidRDefault="00454A29">
            <w:pPr>
              <w:pStyle w:val="ConsPlusNormal"/>
              <w:jc w:val="right"/>
            </w:pPr>
            <w:r>
              <w:t>-</w:t>
            </w:r>
          </w:p>
        </w:tc>
        <w:tc>
          <w:tcPr>
            <w:tcW w:w="1304" w:type="dxa"/>
            <w:vAlign w:val="center"/>
          </w:tcPr>
          <w:p w14:paraId="13E2F7CE" w14:textId="77777777" w:rsidR="00454A29" w:rsidRDefault="00454A29">
            <w:pPr>
              <w:pStyle w:val="ConsPlusNormal"/>
              <w:jc w:val="right"/>
            </w:pPr>
            <w:r>
              <w:t>-</w:t>
            </w:r>
          </w:p>
        </w:tc>
        <w:tc>
          <w:tcPr>
            <w:tcW w:w="1304" w:type="dxa"/>
            <w:vAlign w:val="center"/>
          </w:tcPr>
          <w:p w14:paraId="05494AC5" w14:textId="77777777" w:rsidR="00454A29" w:rsidRDefault="00454A29">
            <w:pPr>
              <w:pStyle w:val="ConsPlusNormal"/>
              <w:jc w:val="right"/>
            </w:pPr>
            <w:r>
              <w:t>-</w:t>
            </w:r>
          </w:p>
        </w:tc>
      </w:tr>
      <w:tr w:rsidR="00454A29" w14:paraId="50D7E6F4" w14:textId="77777777">
        <w:tc>
          <w:tcPr>
            <w:tcW w:w="2041" w:type="dxa"/>
            <w:vMerge w:val="restart"/>
            <w:vAlign w:val="center"/>
          </w:tcPr>
          <w:p w14:paraId="33CC4068" w14:textId="77777777" w:rsidR="00454A29" w:rsidRDefault="00454A29">
            <w:pPr>
              <w:pStyle w:val="ConsPlusNormal"/>
              <w:jc w:val="center"/>
            </w:pPr>
            <w:r>
              <w:lastRenderedPageBreak/>
              <w:t>Основное мероприятие 9.1.</w:t>
            </w:r>
          </w:p>
        </w:tc>
        <w:tc>
          <w:tcPr>
            <w:tcW w:w="3005" w:type="dxa"/>
            <w:vMerge w:val="restart"/>
            <w:vAlign w:val="center"/>
          </w:tcPr>
          <w:p w14:paraId="3DCF9745" w14:textId="77777777" w:rsidR="00454A29" w:rsidRDefault="00454A29">
            <w:pPr>
              <w:pStyle w:val="ConsPlusNormal"/>
              <w:jc w:val="center"/>
            </w:pPr>
            <w:r>
              <w:t>Модернизация инфраструктуры общего образования</w:t>
            </w:r>
          </w:p>
        </w:tc>
        <w:tc>
          <w:tcPr>
            <w:tcW w:w="2778" w:type="dxa"/>
            <w:vAlign w:val="center"/>
          </w:tcPr>
          <w:p w14:paraId="5FEB0276" w14:textId="77777777" w:rsidR="00454A29" w:rsidRDefault="00454A29">
            <w:pPr>
              <w:pStyle w:val="ConsPlusNormal"/>
            </w:pPr>
            <w:r>
              <w:t>Всего:</w:t>
            </w:r>
          </w:p>
        </w:tc>
        <w:tc>
          <w:tcPr>
            <w:tcW w:w="1304" w:type="dxa"/>
            <w:vAlign w:val="center"/>
          </w:tcPr>
          <w:p w14:paraId="55CA653F" w14:textId="77777777" w:rsidR="00454A29" w:rsidRDefault="00454A29">
            <w:pPr>
              <w:pStyle w:val="ConsPlusNormal"/>
              <w:jc w:val="right"/>
            </w:pPr>
            <w:r>
              <w:t>3 342 673</w:t>
            </w:r>
          </w:p>
        </w:tc>
        <w:tc>
          <w:tcPr>
            <w:tcW w:w="1247" w:type="dxa"/>
            <w:vAlign w:val="center"/>
          </w:tcPr>
          <w:p w14:paraId="509B0FCE" w14:textId="77777777" w:rsidR="00454A29" w:rsidRDefault="00454A29">
            <w:pPr>
              <w:pStyle w:val="ConsPlusNormal"/>
              <w:jc w:val="right"/>
            </w:pPr>
            <w:r>
              <w:t>2 544 713</w:t>
            </w:r>
          </w:p>
        </w:tc>
        <w:tc>
          <w:tcPr>
            <w:tcW w:w="1304" w:type="dxa"/>
            <w:vAlign w:val="center"/>
          </w:tcPr>
          <w:p w14:paraId="67BA3D95" w14:textId="77777777" w:rsidR="00454A29" w:rsidRDefault="00454A29">
            <w:pPr>
              <w:pStyle w:val="ConsPlusNormal"/>
              <w:jc w:val="right"/>
            </w:pPr>
            <w:r>
              <w:t>1 046 405</w:t>
            </w:r>
          </w:p>
        </w:tc>
        <w:tc>
          <w:tcPr>
            <w:tcW w:w="1304" w:type="dxa"/>
            <w:vAlign w:val="center"/>
          </w:tcPr>
          <w:p w14:paraId="6ED95E9C" w14:textId="77777777" w:rsidR="00454A29" w:rsidRDefault="00454A29">
            <w:pPr>
              <w:pStyle w:val="ConsPlusNormal"/>
              <w:jc w:val="right"/>
            </w:pPr>
            <w:r>
              <w:t>4 452 960</w:t>
            </w:r>
          </w:p>
        </w:tc>
        <w:tc>
          <w:tcPr>
            <w:tcW w:w="1304" w:type="dxa"/>
            <w:vAlign w:val="center"/>
          </w:tcPr>
          <w:p w14:paraId="240F6C94" w14:textId="77777777" w:rsidR="00454A29" w:rsidRDefault="00454A29">
            <w:pPr>
              <w:pStyle w:val="ConsPlusNormal"/>
              <w:jc w:val="right"/>
            </w:pPr>
            <w:r>
              <w:t>2 894 410</w:t>
            </w:r>
          </w:p>
        </w:tc>
        <w:tc>
          <w:tcPr>
            <w:tcW w:w="1304" w:type="dxa"/>
            <w:vAlign w:val="center"/>
          </w:tcPr>
          <w:p w14:paraId="7EC51E70" w14:textId="77777777" w:rsidR="00454A29" w:rsidRDefault="00454A29">
            <w:pPr>
              <w:pStyle w:val="ConsPlusNormal"/>
              <w:jc w:val="right"/>
            </w:pPr>
            <w:r>
              <w:t>43 795 282</w:t>
            </w:r>
          </w:p>
        </w:tc>
        <w:tc>
          <w:tcPr>
            <w:tcW w:w="1304" w:type="dxa"/>
            <w:vAlign w:val="center"/>
          </w:tcPr>
          <w:p w14:paraId="6B2DA320" w14:textId="77777777" w:rsidR="00454A29" w:rsidRDefault="00454A29">
            <w:pPr>
              <w:pStyle w:val="ConsPlusNormal"/>
              <w:jc w:val="right"/>
            </w:pPr>
            <w:r>
              <w:t>50 126 039</w:t>
            </w:r>
          </w:p>
        </w:tc>
      </w:tr>
      <w:tr w:rsidR="00454A29" w14:paraId="5B5FE6F9" w14:textId="77777777">
        <w:tc>
          <w:tcPr>
            <w:tcW w:w="2041" w:type="dxa"/>
            <w:vMerge/>
          </w:tcPr>
          <w:p w14:paraId="05C400E0" w14:textId="77777777" w:rsidR="00454A29" w:rsidRDefault="00454A29"/>
        </w:tc>
        <w:tc>
          <w:tcPr>
            <w:tcW w:w="3005" w:type="dxa"/>
            <w:vMerge/>
          </w:tcPr>
          <w:p w14:paraId="4B6249DF" w14:textId="77777777" w:rsidR="00454A29" w:rsidRDefault="00454A29"/>
        </w:tc>
        <w:tc>
          <w:tcPr>
            <w:tcW w:w="2778" w:type="dxa"/>
            <w:vAlign w:val="center"/>
          </w:tcPr>
          <w:p w14:paraId="14B8C835" w14:textId="77777777" w:rsidR="00454A29" w:rsidRDefault="00454A29">
            <w:pPr>
              <w:pStyle w:val="ConsPlusNormal"/>
            </w:pPr>
            <w:r>
              <w:t>Государственный бюджет Республики Саха (Якутия)</w:t>
            </w:r>
          </w:p>
        </w:tc>
        <w:tc>
          <w:tcPr>
            <w:tcW w:w="1304" w:type="dxa"/>
            <w:vAlign w:val="center"/>
          </w:tcPr>
          <w:p w14:paraId="0FE544B7" w14:textId="77777777" w:rsidR="00454A29" w:rsidRDefault="00454A29">
            <w:pPr>
              <w:pStyle w:val="ConsPlusNormal"/>
              <w:jc w:val="right"/>
            </w:pPr>
            <w:r>
              <w:t>2 499 622</w:t>
            </w:r>
          </w:p>
        </w:tc>
        <w:tc>
          <w:tcPr>
            <w:tcW w:w="1247" w:type="dxa"/>
            <w:vAlign w:val="center"/>
          </w:tcPr>
          <w:p w14:paraId="6989E171" w14:textId="77777777" w:rsidR="00454A29" w:rsidRDefault="00454A29">
            <w:pPr>
              <w:pStyle w:val="ConsPlusNormal"/>
              <w:jc w:val="right"/>
            </w:pPr>
            <w:r>
              <w:t>1 679 508</w:t>
            </w:r>
          </w:p>
        </w:tc>
        <w:tc>
          <w:tcPr>
            <w:tcW w:w="1304" w:type="dxa"/>
            <w:vAlign w:val="center"/>
          </w:tcPr>
          <w:p w14:paraId="699A9865" w14:textId="77777777" w:rsidR="00454A29" w:rsidRDefault="00454A29">
            <w:pPr>
              <w:pStyle w:val="ConsPlusNormal"/>
              <w:jc w:val="right"/>
            </w:pPr>
            <w:r>
              <w:t>891 412</w:t>
            </w:r>
          </w:p>
        </w:tc>
        <w:tc>
          <w:tcPr>
            <w:tcW w:w="1304" w:type="dxa"/>
            <w:vAlign w:val="center"/>
          </w:tcPr>
          <w:p w14:paraId="6AD54D8E" w14:textId="77777777" w:rsidR="00454A29" w:rsidRDefault="00454A29">
            <w:pPr>
              <w:pStyle w:val="ConsPlusNormal"/>
              <w:jc w:val="right"/>
            </w:pPr>
            <w:r>
              <w:t>280 205</w:t>
            </w:r>
          </w:p>
        </w:tc>
        <w:tc>
          <w:tcPr>
            <w:tcW w:w="1304" w:type="dxa"/>
            <w:vAlign w:val="center"/>
          </w:tcPr>
          <w:p w14:paraId="140D2BE3" w14:textId="77777777" w:rsidR="00454A29" w:rsidRDefault="00454A29">
            <w:pPr>
              <w:pStyle w:val="ConsPlusNormal"/>
              <w:jc w:val="right"/>
            </w:pPr>
            <w:r>
              <w:t>303 593</w:t>
            </w:r>
          </w:p>
        </w:tc>
        <w:tc>
          <w:tcPr>
            <w:tcW w:w="1304" w:type="dxa"/>
            <w:vAlign w:val="center"/>
          </w:tcPr>
          <w:p w14:paraId="58595B23" w14:textId="77777777" w:rsidR="00454A29" w:rsidRDefault="00454A29">
            <w:pPr>
              <w:pStyle w:val="ConsPlusNormal"/>
              <w:jc w:val="right"/>
            </w:pPr>
            <w:r>
              <w:t>956 515</w:t>
            </w:r>
          </w:p>
        </w:tc>
        <w:tc>
          <w:tcPr>
            <w:tcW w:w="1304" w:type="dxa"/>
            <w:vAlign w:val="center"/>
          </w:tcPr>
          <w:p w14:paraId="770A25FA" w14:textId="77777777" w:rsidR="00454A29" w:rsidRDefault="00454A29">
            <w:pPr>
              <w:pStyle w:val="ConsPlusNormal"/>
              <w:jc w:val="right"/>
            </w:pPr>
            <w:r>
              <w:t>890 407</w:t>
            </w:r>
          </w:p>
        </w:tc>
      </w:tr>
      <w:tr w:rsidR="00454A29" w14:paraId="1F50D4C9" w14:textId="77777777">
        <w:tc>
          <w:tcPr>
            <w:tcW w:w="2041" w:type="dxa"/>
            <w:vMerge/>
          </w:tcPr>
          <w:p w14:paraId="092CC1BE" w14:textId="77777777" w:rsidR="00454A29" w:rsidRDefault="00454A29"/>
        </w:tc>
        <w:tc>
          <w:tcPr>
            <w:tcW w:w="3005" w:type="dxa"/>
            <w:vMerge/>
          </w:tcPr>
          <w:p w14:paraId="15113CFD" w14:textId="77777777" w:rsidR="00454A29" w:rsidRDefault="00454A29"/>
        </w:tc>
        <w:tc>
          <w:tcPr>
            <w:tcW w:w="2778" w:type="dxa"/>
            <w:vAlign w:val="center"/>
          </w:tcPr>
          <w:p w14:paraId="515D7AC5" w14:textId="77777777" w:rsidR="00454A29" w:rsidRDefault="00454A29">
            <w:pPr>
              <w:pStyle w:val="ConsPlusNormal"/>
            </w:pPr>
            <w:r>
              <w:t>Минобрнауки РС(Я)</w:t>
            </w:r>
          </w:p>
        </w:tc>
        <w:tc>
          <w:tcPr>
            <w:tcW w:w="1304" w:type="dxa"/>
            <w:vAlign w:val="center"/>
          </w:tcPr>
          <w:p w14:paraId="0A3BAEA3" w14:textId="77777777" w:rsidR="00454A29" w:rsidRDefault="00454A29">
            <w:pPr>
              <w:pStyle w:val="ConsPlusNormal"/>
            </w:pPr>
          </w:p>
        </w:tc>
        <w:tc>
          <w:tcPr>
            <w:tcW w:w="1247" w:type="dxa"/>
            <w:vAlign w:val="center"/>
          </w:tcPr>
          <w:p w14:paraId="2EA7593D" w14:textId="77777777" w:rsidR="00454A29" w:rsidRDefault="00454A29">
            <w:pPr>
              <w:pStyle w:val="ConsPlusNormal"/>
            </w:pPr>
          </w:p>
        </w:tc>
        <w:tc>
          <w:tcPr>
            <w:tcW w:w="1304" w:type="dxa"/>
            <w:vAlign w:val="center"/>
          </w:tcPr>
          <w:p w14:paraId="65175193" w14:textId="77777777" w:rsidR="00454A29" w:rsidRDefault="00454A29">
            <w:pPr>
              <w:pStyle w:val="ConsPlusNormal"/>
            </w:pPr>
          </w:p>
        </w:tc>
        <w:tc>
          <w:tcPr>
            <w:tcW w:w="1304" w:type="dxa"/>
            <w:vAlign w:val="center"/>
          </w:tcPr>
          <w:p w14:paraId="4AA15B21" w14:textId="77777777" w:rsidR="00454A29" w:rsidRDefault="00454A29">
            <w:pPr>
              <w:pStyle w:val="ConsPlusNormal"/>
            </w:pPr>
          </w:p>
        </w:tc>
        <w:tc>
          <w:tcPr>
            <w:tcW w:w="1304" w:type="dxa"/>
            <w:vAlign w:val="center"/>
          </w:tcPr>
          <w:p w14:paraId="2B31DBF4" w14:textId="77777777" w:rsidR="00454A29" w:rsidRDefault="00454A29">
            <w:pPr>
              <w:pStyle w:val="ConsPlusNormal"/>
            </w:pPr>
          </w:p>
        </w:tc>
        <w:tc>
          <w:tcPr>
            <w:tcW w:w="1304" w:type="dxa"/>
            <w:vAlign w:val="center"/>
          </w:tcPr>
          <w:p w14:paraId="32CFE6C0" w14:textId="77777777" w:rsidR="00454A29" w:rsidRDefault="00454A29">
            <w:pPr>
              <w:pStyle w:val="ConsPlusNormal"/>
            </w:pPr>
          </w:p>
        </w:tc>
        <w:tc>
          <w:tcPr>
            <w:tcW w:w="1304" w:type="dxa"/>
            <w:vAlign w:val="center"/>
          </w:tcPr>
          <w:p w14:paraId="6CD415AF" w14:textId="77777777" w:rsidR="00454A29" w:rsidRDefault="00454A29">
            <w:pPr>
              <w:pStyle w:val="ConsPlusNormal"/>
            </w:pPr>
          </w:p>
        </w:tc>
      </w:tr>
      <w:tr w:rsidR="00454A29" w14:paraId="72397EC3" w14:textId="77777777">
        <w:tc>
          <w:tcPr>
            <w:tcW w:w="2041" w:type="dxa"/>
            <w:vMerge/>
          </w:tcPr>
          <w:p w14:paraId="7AFFE062" w14:textId="77777777" w:rsidR="00454A29" w:rsidRDefault="00454A29"/>
        </w:tc>
        <w:tc>
          <w:tcPr>
            <w:tcW w:w="3005" w:type="dxa"/>
            <w:vMerge/>
          </w:tcPr>
          <w:p w14:paraId="455006BD" w14:textId="77777777" w:rsidR="00454A29" w:rsidRDefault="00454A29"/>
        </w:tc>
        <w:tc>
          <w:tcPr>
            <w:tcW w:w="2778" w:type="dxa"/>
            <w:vAlign w:val="center"/>
          </w:tcPr>
          <w:p w14:paraId="2A1F534F" w14:textId="77777777" w:rsidR="00454A29" w:rsidRDefault="00454A29">
            <w:pPr>
              <w:pStyle w:val="ConsPlusNormal"/>
            </w:pPr>
            <w:r>
              <w:t>Минстрой РС(Я)</w:t>
            </w:r>
          </w:p>
        </w:tc>
        <w:tc>
          <w:tcPr>
            <w:tcW w:w="1304" w:type="dxa"/>
            <w:vAlign w:val="center"/>
          </w:tcPr>
          <w:p w14:paraId="0ECBBE97" w14:textId="77777777" w:rsidR="00454A29" w:rsidRDefault="00454A29">
            <w:pPr>
              <w:pStyle w:val="ConsPlusNormal"/>
              <w:jc w:val="right"/>
            </w:pPr>
            <w:r>
              <w:t>1 745 166</w:t>
            </w:r>
          </w:p>
        </w:tc>
        <w:tc>
          <w:tcPr>
            <w:tcW w:w="1247" w:type="dxa"/>
            <w:vAlign w:val="center"/>
          </w:tcPr>
          <w:p w14:paraId="395B65DF" w14:textId="77777777" w:rsidR="00454A29" w:rsidRDefault="00454A29">
            <w:pPr>
              <w:pStyle w:val="ConsPlusNormal"/>
              <w:jc w:val="right"/>
            </w:pPr>
            <w:r>
              <w:t>875 413</w:t>
            </w:r>
          </w:p>
        </w:tc>
        <w:tc>
          <w:tcPr>
            <w:tcW w:w="1304" w:type="dxa"/>
            <w:vAlign w:val="center"/>
          </w:tcPr>
          <w:p w14:paraId="025FECA3" w14:textId="77777777" w:rsidR="00454A29" w:rsidRDefault="00454A29">
            <w:pPr>
              <w:pStyle w:val="ConsPlusNormal"/>
              <w:jc w:val="right"/>
            </w:pPr>
            <w:r>
              <w:t>175 303</w:t>
            </w:r>
          </w:p>
        </w:tc>
        <w:tc>
          <w:tcPr>
            <w:tcW w:w="1304" w:type="dxa"/>
            <w:vAlign w:val="center"/>
          </w:tcPr>
          <w:p w14:paraId="3505EDC6" w14:textId="77777777" w:rsidR="00454A29" w:rsidRDefault="00454A29">
            <w:pPr>
              <w:pStyle w:val="ConsPlusNormal"/>
              <w:jc w:val="right"/>
            </w:pPr>
            <w:r>
              <w:t>38 233</w:t>
            </w:r>
          </w:p>
        </w:tc>
        <w:tc>
          <w:tcPr>
            <w:tcW w:w="1304" w:type="dxa"/>
            <w:vAlign w:val="center"/>
          </w:tcPr>
          <w:p w14:paraId="3F7FA67D" w14:textId="77777777" w:rsidR="00454A29" w:rsidRDefault="00454A29">
            <w:pPr>
              <w:pStyle w:val="ConsPlusNormal"/>
              <w:jc w:val="right"/>
            </w:pPr>
            <w:r>
              <w:t>24 336</w:t>
            </w:r>
          </w:p>
        </w:tc>
        <w:tc>
          <w:tcPr>
            <w:tcW w:w="1304" w:type="dxa"/>
            <w:vAlign w:val="center"/>
          </w:tcPr>
          <w:p w14:paraId="1F22E6EC" w14:textId="77777777" w:rsidR="00454A29" w:rsidRDefault="00454A29">
            <w:pPr>
              <w:pStyle w:val="ConsPlusNormal"/>
              <w:jc w:val="right"/>
            </w:pPr>
            <w:r>
              <w:t>634 113</w:t>
            </w:r>
          </w:p>
        </w:tc>
        <w:tc>
          <w:tcPr>
            <w:tcW w:w="1304" w:type="dxa"/>
            <w:vAlign w:val="center"/>
          </w:tcPr>
          <w:p w14:paraId="1901B996" w14:textId="77777777" w:rsidR="00454A29" w:rsidRDefault="00454A29">
            <w:pPr>
              <w:pStyle w:val="ConsPlusNormal"/>
              <w:jc w:val="right"/>
            </w:pPr>
            <w:r>
              <w:t>518 072</w:t>
            </w:r>
          </w:p>
        </w:tc>
      </w:tr>
      <w:tr w:rsidR="00454A29" w14:paraId="0DF545C0" w14:textId="77777777">
        <w:tc>
          <w:tcPr>
            <w:tcW w:w="2041" w:type="dxa"/>
            <w:vMerge/>
          </w:tcPr>
          <w:p w14:paraId="22C105CA" w14:textId="77777777" w:rsidR="00454A29" w:rsidRDefault="00454A29"/>
        </w:tc>
        <w:tc>
          <w:tcPr>
            <w:tcW w:w="3005" w:type="dxa"/>
            <w:vMerge/>
          </w:tcPr>
          <w:p w14:paraId="6207CF1A" w14:textId="77777777" w:rsidR="00454A29" w:rsidRDefault="00454A29"/>
        </w:tc>
        <w:tc>
          <w:tcPr>
            <w:tcW w:w="2778" w:type="dxa"/>
            <w:vAlign w:val="center"/>
          </w:tcPr>
          <w:p w14:paraId="60A1058A" w14:textId="77777777" w:rsidR="00454A29" w:rsidRDefault="00454A29">
            <w:pPr>
              <w:pStyle w:val="ConsPlusNormal"/>
            </w:pPr>
            <w:r>
              <w:t>Минэкономики РС(Я)</w:t>
            </w:r>
          </w:p>
        </w:tc>
        <w:tc>
          <w:tcPr>
            <w:tcW w:w="1304" w:type="dxa"/>
            <w:vAlign w:val="center"/>
          </w:tcPr>
          <w:p w14:paraId="1C5E6AF5" w14:textId="77777777" w:rsidR="00454A29" w:rsidRDefault="00454A29">
            <w:pPr>
              <w:pStyle w:val="ConsPlusNormal"/>
              <w:jc w:val="right"/>
            </w:pPr>
            <w:r>
              <w:t>754 456</w:t>
            </w:r>
          </w:p>
        </w:tc>
        <w:tc>
          <w:tcPr>
            <w:tcW w:w="1247" w:type="dxa"/>
            <w:vAlign w:val="center"/>
          </w:tcPr>
          <w:p w14:paraId="6D39FB17" w14:textId="77777777" w:rsidR="00454A29" w:rsidRDefault="00454A29">
            <w:pPr>
              <w:pStyle w:val="ConsPlusNormal"/>
              <w:jc w:val="right"/>
            </w:pPr>
            <w:r>
              <w:t>804 095</w:t>
            </w:r>
          </w:p>
        </w:tc>
        <w:tc>
          <w:tcPr>
            <w:tcW w:w="1304" w:type="dxa"/>
            <w:vAlign w:val="center"/>
          </w:tcPr>
          <w:p w14:paraId="64628323" w14:textId="77777777" w:rsidR="00454A29" w:rsidRDefault="00454A29">
            <w:pPr>
              <w:pStyle w:val="ConsPlusNormal"/>
              <w:jc w:val="right"/>
            </w:pPr>
            <w:r>
              <w:t>716 109</w:t>
            </w:r>
          </w:p>
        </w:tc>
        <w:tc>
          <w:tcPr>
            <w:tcW w:w="1304" w:type="dxa"/>
            <w:vAlign w:val="center"/>
          </w:tcPr>
          <w:p w14:paraId="324DB134" w14:textId="77777777" w:rsidR="00454A29" w:rsidRDefault="00454A29">
            <w:pPr>
              <w:pStyle w:val="ConsPlusNormal"/>
              <w:jc w:val="right"/>
            </w:pPr>
            <w:r>
              <w:t>241 972</w:t>
            </w:r>
          </w:p>
        </w:tc>
        <w:tc>
          <w:tcPr>
            <w:tcW w:w="1304" w:type="dxa"/>
            <w:vAlign w:val="center"/>
          </w:tcPr>
          <w:p w14:paraId="6993E969" w14:textId="77777777" w:rsidR="00454A29" w:rsidRDefault="00454A29">
            <w:pPr>
              <w:pStyle w:val="ConsPlusNormal"/>
              <w:jc w:val="right"/>
            </w:pPr>
            <w:r>
              <w:t>279 257</w:t>
            </w:r>
          </w:p>
        </w:tc>
        <w:tc>
          <w:tcPr>
            <w:tcW w:w="1304" w:type="dxa"/>
            <w:vAlign w:val="center"/>
          </w:tcPr>
          <w:p w14:paraId="6A6E52F5" w14:textId="77777777" w:rsidR="00454A29" w:rsidRDefault="00454A29">
            <w:pPr>
              <w:pStyle w:val="ConsPlusNormal"/>
              <w:jc w:val="right"/>
            </w:pPr>
            <w:r>
              <w:t>322 402</w:t>
            </w:r>
          </w:p>
        </w:tc>
        <w:tc>
          <w:tcPr>
            <w:tcW w:w="1304" w:type="dxa"/>
            <w:vAlign w:val="center"/>
          </w:tcPr>
          <w:p w14:paraId="25717DD6" w14:textId="77777777" w:rsidR="00454A29" w:rsidRDefault="00454A29">
            <w:pPr>
              <w:pStyle w:val="ConsPlusNormal"/>
              <w:jc w:val="right"/>
            </w:pPr>
            <w:r>
              <w:t>372 335</w:t>
            </w:r>
          </w:p>
        </w:tc>
      </w:tr>
      <w:tr w:rsidR="00454A29" w14:paraId="01A46A22" w14:textId="77777777">
        <w:tc>
          <w:tcPr>
            <w:tcW w:w="2041" w:type="dxa"/>
            <w:vMerge/>
          </w:tcPr>
          <w:p w14:paraId="15818369" w14:textId="77777777" w:rsidR="00454A29" w:rsidRDefault="00454A29"/>
        </w:tc>
        <w:tc>
          <w:tcPr>
            <w:tcW w:w="3005" w:type="dxa"/>
            <w:vMerge/>
          </w:tcPr>
          <w:p w14:paraId="249B1083" w14:textId="77777777" w:rsidR="00454A29" w:rsidRDefault="00454A29"/>
        </w:tc>
        <w:tc>
          <w:tcPr>
            <w:tcW w:w="2778" w:type="dxa"/>
            <w:vAlign w:val="center"/>
          </w:tcPr>
          <w:p w14:paraId="6BD5425C" w14:textId="77777777" w:rsidR="00454A29" w:rsidRDefault="00454A29">
            <w:pPr>
              <w:pStyle w:val="ConsPlusNormal"/>
            </w:pPr>
            <w:r>
              <w:t>Федеральный бюджет</w:t>
            </w:r>
          </w:p>
        </w:tc>
        <w:tc>
          <w:tcPr>
            <w:tcW w:w="1304" w:type="dxa"/>
            <w:vAlign w:val="center"/>
          </w:tcPr>
          <w:p w14:paraId="6F5FBC47" w14:textId="77777777" w:rsidR="00454A29" w:rsidRDefault="00454A29">
            <w:pPr>
              <w:pStyle w:val="ConsPlusNormal"/>
              <w:jc w:val="right"/>
            </w:pPr>
            <w:r>
              <w:t>247 920</w:t>
            </w:r>
          </w:p>
        </w:tc>
        <w:tc>
          <w:tcPr>
            <w:tcW w:w="1247" w:type="dxa"/>
            <w:vAlign w:val="center"/>
          </w:tcPr>
          <w:p w14:paraId="46C6EF8C" w14:textId="77777777" w:rsidR="00454A29" w:rsidRDefault="00454A29">
            <w:pPr>
              <w:pStyle w:val="ConsPlusNormal"/>
              <w:jc w:val="right"/>
            </w:pPr>
            <w:r>
              <w:t>299 709</w:t>
            </w:r>
          </w:p>
        </w:tc>
        <w:tc>
          <w:tcPr>
            <w:tcW w:w="1304" w:type="dxa"/>
            <w:vAlign w:val="center"/>
          </w:tcPr>
          <w:p w14:paraId="58E09C29" w14:textId="77777777" w:rsidR="00454A29" w:rsidRDefault="00454A29">
            <w:pPr>
              <w:pStyle w:val="ConsPlusNormal"/>
            </w:pPr>
          </w:p>
        </w:tc>
        <w:tc>
          <w:tcPr>
            <w:tcW w:w="1304" w:type="dxa"/>
            <w:vAlign w:val="center"/>
          </w:tcPr>
          <w:p w14:paraId="3BD3A39E" w14:textId="77777777" w:rsidR="00454A29" w:rsidRDefault="00454A29">
            <w:pPr>
              <w:pStyle w:val="ConsPlusNormal"/>
              <w:jc w:val="right"/>
            </w:pPr>
            <w:r>
              <w:t>3 971 021</w:t>
            </w:r>
          </w:p>
        </w:tc>
        <w:tc>
          <w:tcPr>
            <w:tcW w:w="1304" w:type="dxa"/>
            <w:vAlign w:val="center"/>
          </w:tcPr>
          <w:p w14:paraId="4138AC41" w14:textId="77777777" w:rsidR="00454A29" w:rsidRDefault="00454A29">
            <w:pPr>
              <w:pStyle w:val="ConsPlusNormal"/>
              <w:jc w:val="right"/>
            </w:pPr>
            <w:r>
              <w:t>2 409 272</w:t>
            </w:r>
          </w:p>
        </w:tc>
        <w:tc>
          <w:tcPr>
            <w:tcW w:w="1304" w:type="dxa"/>
            <w:vAlign w:val="center"/>
          </w:tcPr>
          <w:p w14:paraId="36351ADF" w14:textId="77777777" w:rsidR="00454A29" w:rsidRDefault="00454A29">
            <w:pPr>
              <w:pStyle w:val="ConsPlusNormal"/>
              <w:jc w:val="right"/>
            </w:pPr>
            <w:r>
              <w:t>42 632 643</w:t>
            </w:r>
          </w:p>
        </w:tc>
        <w:tc>
          <w:tcPr>
            <w:tcW w:w="1304" w:type="dxa"/>
            <w:vAlign w:val="center"/>
          </w:tcPr>
          <w:p w14:paraId="2E54AE03" w14:textId="77777777" w:rsidR="00454A29" w:rsidRDefault="00454A29">
            <w:pPr>
              <w:pStyle w:val="ConsPlusNormal"/>
              <w:jc w:val="right"/>
            </w:pPr>
            <w:r>
              <w:t>48 984 588</w:t>
            </w:r>
          </w:p>
        </w:tc>
      </w:tr>
      <w:tr w:rsidR="00454A29" w14:paraId="7953965C" w14:textId="77777777">
        <w:tc>
          <w:tcPr>
            <w:tcW w:w="2041" w:type="dxa"/>
            <w:vMerge/>
          </w:tcPr>
          <w:p w14:paraId="1B8840F1" w14:textId="77777777" w:rsidR="00454A29" w:rsidRDefault="00454A29"/>
        </w:tc>
        <w:tc>
          <w:tcPr>
            <w:tcW w:w="3005" w:type="dxa"/>
            <w:vMerge/>
          </w:tcPr>
          <w:p w14:paraId="553025EF" w14:textId="77777777" w:rsidR="00454A29" w:rsidRDefault="00454A29"/>
        </w:tc>
        <w:tc>
          <w:tcPr>
            <w:tcW w:w="2778" w:type="dxa"/>
            <w:vAlign w:val="center"/>
          </w:tcPr>
          <w:p w14:paraId="332C12A3" w14:textId="77777777" w:rsidR="00454A29" w:rsidRDefault="00454A29">
            <w:pPr>
              <w:pStyle w:val="ConsPlusNormal"/>
            </w:pPr>
            <w:r>
              <w:t>Минобрнауки РС(Я)</w:t>
            </w:r>
          </w:p>
        </w:tc>
        <w:tc>
          <w:tcPr>
            <w:tcW w:w="1304" w:type="dxa"/>
            <w:vAlign w:val="center"/>
          </w:tcPr>
          <w:p w14:paraId="3CD3BA0D" w14:textId="77777777" w:rsidR="00454A29" w:rsidRDefault="00454A29">
            <w:pPr>
              <w:pStyle w:val="ConsPlusNormal"/>
            </w:pPr>
          </w:p>
        </w:tc>
        <w:tc>
          <w:tcPr>
            <w:tcW w:w="1247" w:type="dxa"/>
            <w:vAlign w:val="center"/>
          </w:tcPr>
          <w:p w14:paraId="21955F77" w14:textId="77777777" w:rsidR="00454A29" w:rsidRDefault="00454A29">
            <w:pPr>
              <w:pStyle w:val="ConsPlusNormal"/>
            </w:pPr>
          </w:p>
        </w:tc>
        <w:tc>
          <w:tcPr>
            <w:tcW w:w="1304" w:type="dxa"/>
            <w:vAlign w:val="center"/>
          </w:tcPr>
          <w:p w14:paraId="7A7C0A6E" w14:textId="77777777" w:rsidR="00454A29" w:rsidRDefault="00454A29">
            <w:pPr>
              <w:pStyle w:val="ConsPlusNormal"/>
            </w:pPr>
          </w:p>
        </w:tc>
        <w:tc>
          <w:tcPr>
            <w:tcW w:w="1304" w:type="dxa"/>
            <w:vAlign w:val="center"/>
          </w:tcPr>
          <w:p w14:paraId="03A912A1" w14:textId="77777777" w:rsidR="00454A29" w:rsidRDefault="00454A29">
            <w:pPr>
              <w:pStyle w:val="ConsPlusNormal"/>
            </w:pPr>
          </w:p>
        </w:tc>
        <w:tc>
          <w:tcPr>
            <w:tcW w:w="1304" w:type="dxa"/>
            <w:vAlign w:val="center"/>
          </w:tcPr>
          <w:p w14:paraId="083C56ED" w14:textId="77777777" w:rsidR="00454A29" w:rsidRDefault="00454A29">
            <w:pPr>
              <w:pStyle w:val="ConsPlusNormal"/>
            </w:pPr>
          </w:p>
        </w:tc>
        <w:tc>
          <w:tcPr>
            <w:tcW w:w="1304" w:type="dxa"/>
            <w:vAlign w:val="center"/>
          </w:tcPr>
          <w:p w14:paraId="0DDF6A90" w14:textId="77777777" w:rsidR="00454A29" w:rsidRDefault="00454A29">
            <w:pPr>
              <w:pStyle w:val="ConsPlusNormal"/>
            </w:pPr>
          </w:p>
        </w:tc>
        <w:tc>
          <w:tcPr>
            <w:tcW w:w="1304" w:type="dxa"/>
            <w:vAlign w:val="center"/>
          </w:tcPr>
          <w:p w14:paraId="4F07CD16" w14:textId="77777777" w:rsidR="00454A29" w:rsidRDefault="00454A29">
            <w:pPr>
              <w:pStyle w:val="ConsPlusNormal"/>
            </w:pPr>
          </w:p>
        </w:tc>
      </w:tr>
      <w:tr w:rsidR="00454A29" w14:paraId="72AAAF10" w14:textId="77777777">
        <w:tc>
          <w:tcPr>
            <w:tcW w:w="2041" w:type="dxa"/>
            <w:vMerge/>
          </w:tcPr>
          <w:p w14:paraId="16BC51AB" w14:textId="77777777" w:rsidR="00454A29" w:rsidRDefault="00454A29"/>
        </w:tc>
        <w:tc>
          <w:tcPr>
            <w:tcW w:w="3005" w:type="dxa"/>
            <w:vMerge/>
          </w:tcPr>
          <w:p w14:paraId="5195C58B" w14:textId="77777777" w:rsidR="00454A29" w:rsidRDefault="00454A29"/>
        </w:tc>
        <w:tc>
          <w:tcPr>
            <w:tcW w:w="2778" w:type="dxa"/>
            <w:vAlign w:val="center"/>
          </w:tcPr>
          <w:p w14:paraId="79C836B7" w14:textId="77777777" w:rsidR="00454A29" w:rsidRDefault="00454A29">
            <w:pPr>
              <w:pStyle w:val="ConsPlusNormal"/>
            </w:pPr>
            <w:r>
              <w:t>Минстрой РС(Я)</w:t>
            </w:r>
          </w:p>
        </w:tc>
        <w:tc>
          <w:tcPr>
            <w:tcW w:w="1304" w:type="dxa"/>
            <w:vAlign w:val="center"/>
          </w:tcPr>
          <w:p w14:paraId="10E806CA" w14:textId="77777777" w:rsidR="00454A29" w:rsidRDefault="00454A29">
            <w:pPr>
              <w:pStyle w:val="ConsPlusNormal"/>
              <w:jc w:val="right"/>
            </w:pPr>
            <w:r>
              <w:t>247 920</w:t>
            </w:r>
          </w:p>
        </w:tc>
        <w:tc>
          <w:tcPr>
            <w:tcW w:w="1247" w:type="dxa"/>
            <w:vAlign w:val="center"/>
          </w:tcPr>
          <w:p w14:paraId="3059340C" w14:textId="77777777" w:rsidR="00454A29" w:rsidRDefault="00454A29">
            <w:pPr>
              <w:pStyle w:val="ConsPlusNormal"/>
              <w:jc w:val="right"/>
            </w:pPr>
            <w:r>
              <w:t>299 709</w:t>
            </w:r>
          </w:p>
        </w:tc>
        <w:tc>
          <w:tcPr>
            <w:tcW w:w="1304" w:type="dxa"/>
            <w:vAlign w:val="center"/>
          </w:tcPr>
          <w:p w14:paraId="692E80D5" w14:textId="77777777" w:rsidR="00454A29" w:rsidRDefault="00454A29">
            <w:pPr>
              <w:pStyle w:val="ConsPlusNormal"/>
              <w:jc w:val="right"/>
            </w:pPr>
            <w:r>
              <w:t>-</w:t>
            </w:r>
          </w:p>
        </w:tc>
        <w:tc>
          <w:tcPr>
            <w:tcW w:w="1304" w:type="dxa"/>
            <w:vAlign w:val="center"/>
          </w:tcPr>
          <w:p w14:paraId="3811485E" w14:textId="77777777" w:rsidR="00454A29" w:rsidRDefault="00454A29">
            <w:pPr>
              <w:pStyle w:val="ConsPlusNormal"/>
              <w:jc w:val="right"/>
            </w:pPr>
            <w:r>
              <w:t>3 971 021</w:t>
            </w:r>
          </w:p>
        </w:tc>
        <w:tc>
          <w:tcPr>
            <w:tcW w:w="1304" w:type="dxa"/>
            <w:vAlign w:val="center"/>
          </w:tcPr>
          <w:p w14:paraId="0A120196" w14:textId="77777777" w:rsidR="00454A29" w:rsidRDefault="00454A29">
            <w:pPr>
              <w:pStyle w:val="ConsPlusNormal"/>
              <w:jc w:val="right"/>
            </w:pPr>
            <w:r>
              <w:t>2 409 272</w:t>
            </w:r>
          </w:p>
        </w:tc>
        <w:tc>
          <w:tcPr>
            <w:tcW w:w="1304" w:type="dxa"/>
            <w:vAlign w:val="center"/>
          </w:tcPr>
          <w:p w14:paraId="6FD39D3F" w14:textId="77777777" w:rsidR="00454A29" w:rsidRDefault="00454A29">
            <w:pPr>
              <w:pStyle w:val="ConsPlusNormal"/>
              <w:jc w:val="right"/>
            </w:pPr>
            <w:r>
              <w:t>42 632 643</w:t>
            </w:r>
          </w:p>
        </w:tc>
        <w:tc>
          <w:tcPr>
            <w:tcW w:w="1304" w:type="dxa"/>
            <w:vAlign w:val="center"/>
          </w:tcPr>
          <w:p w14:paraId="24447E36" w14:textId="77777777" w:rsidR="00454A29" w:rsidRDefault="00454A29">
            <w:pPr>
              <w:pStyle w:val="ConsPlusNormal"/>
              <w:jc w:val="right"/>
            </w:pPr>
            <w:r>
              <w:t>48 984 588</w:t>
            </w:r>
          </w:p>
        </w:tc>
      </w:tr>
      <w:tr w:rsidR="00454A29" w14:paraId="666FBBC0" w14:textId="77777777">
        <w:tc>
          <w:tcPr>
            <w:tcW w:w="2041" w:type="dxa"/>
            <w:vMerge/>
          </w:tcPr>
          <w:p w14:paraId="190AE3AA" w14:textId="77777777" w:rsidR="00454A29" w:rsidRDefault="00454A29"/>
        </w:tc>
        <w:tc>
          <w:tcPr>
            <w:tcW w:w="3005" w:type="dxa"/>
            <w:vMerge/>
          </w:tcPr>
          <w:p w14:paraId="51CCA522" w14:textId="77777777" w:rsidR="00454A29" w:rsidRDefault="00454A29"/>
        </w:tc>
        <w:tc>
          <w:tcPr>
            <w:tcW w:w="2778" w:type="dxa"/>
            <w:vAlign w:val="center"/>
          </w:tcPr>
          <w:p w14:paraId="32E7E1EB" w14:textId="77777777" w:rsidR="00454A29" w:rsidRDefault="00454A29">
            <w:pPr>
              <w:pStyle w:val="ConsPlusNormal"/>
            </w:pPr>
            <w:r>
              <w:t>Минэкономики РС(Я)</w:t>
            </w:r>
          </w:p>
        </w:tc>
        <w:tc>
          <w:tcPr>
            <w:tcW w:w="1304" w:type="dxa"/>
            <w:vAlign w:val="center"/>
          </w:tcPr>
          <w:p w14:paraId="04D2C2AD" w14:textId="77777777" w:rsidR="00454A29" w:rsidRDefault="00454A29">
            <w:pPr>
              <w:pStyle w:val="ConsPlusNormal"/>
            </w:pPr>
          </w:p>
        </w:tc>
        <w:tc>
          <w:tcPr>
            <w:tcW w:w="1247" w:type="dxa"/>
            <w:vAlign w:val="center"/>
          </w:tcPr>
          <w:p w14:paraId="24831335" w14:textId="77777777" w:rsidR="00454A29" w:rsidRDefault="00454A29">
            <w:pPr>
              <w:pStyle w:val="ConsPlusNormal"/>
            </w:pPr>
          </w:p>
        </w:tc>
        <w:tc>
          <w:tcPr>
            <w:tcW w:w="1304" w:type="dxa"/>
            <w:vAlign w:val="center"/>
          </w:tcPr>
          <w:p w14:paraId="5384A01C" w14:textId="77777777" w:rsidR="00454A29" w:rsidRDefault="00454A29">
            <w:pPr>
              <w:pStyle w:val="ConsPlusNormal"/>
            </w:pPr>
          </w:p>
        </w:tc>
        <w:tc>
          <w:tcPr>
            <w:tcW w:w="1304" w:type="dxa"/>
            <w:vAlign w:val="center"/>
          </w:tcPr>
          <w:p w14:paraId="21FF336E" w14:textId="77777777" w:rsidR="00454A29" w:rsidRDefault="00454A29">
            <w:pPr>
              <w:pStyle w:val="ConsPlusNormal"/>
            </w:pPr>
          </w:p>
        </w:tc>
        <w:tc>
          <w:tcPr>
            <w:tcW w:w="1304" w:type="dxa"/>
            <w:vAlign w:val="center"/>
          </w:tcPr>
          <w:p w14:paraId="5664D3F5" w14:textId="77777777" w:rsidR="00454A29" w:rsidRDefault="00454A29">
            <w:pPr>
              <w:pStyle w:val="ConsPlusNormal"/>
            </w:pPr>
          </w:p>
        </w:tc>
        <w:tc>
          <w:tcPr>
            <w:tcW w:w="1304" w:type="dxa"/>
            <w:vAlign w:val="center"/>
          </w:tcPr>
          <w:p w14:paraId="75244567" w14:textId="77777777" w:rsidR="00454A29" w:rsidRDefault="00454A29">
            <w:pPr>
              <w:pStyle w:val="ConsPlusNormal"/>
            </w:pPr>
          </w:p>
        </w:tc>
        <w:tc>
          <w:tcPr>
            <w:tcW w:w="1304" w:type="dxa"/>
            <w:vAlign w:val="center"/>
          </w:tcPr>
          <w:p w14:paraId="0B8773BC" w14:textId="77777777" w:rsidR="00454A29" w:rsidRDefault="00454A29">
            <w:pPr>
              <w:pStyle w:val="ConsPlusNormal"/>
            </w:pPr>
          </w:p>
        </w:tc>
      </w:tr>
      <w:tr w:rsidR="00454A29" w14:paraId="047D7008" w14:textId="77777777">
        <w:tc>
          <w:tcPr>
            <w:tcW w:w="2041" w:type="dxa"/>
            <w:vMerge/>
          </w:tcPr>
          <w:p w14:paraId="6782A763" w14:textId="77777777" w:rsidR="00454A29" w:rsidRDefault="00454A29"/>
        </w:tc>
        <w:tc>
          <w:tcPr>
            <w:tcW w:w="3005" w:type="dxa"/>
            <w:vMerge/>
          </w:tcPr>
          <w:p w14:paraId="1A5C7DB9" w14:textId="77777777" w:rsidR="00454A29" w:rsidRDefault="00454A29"/>
        </w:tc>
        <w:tc>
          <w:tcPr>
            <w:tcW w:w="2778" w:type="dxa"/>
            <w:vAlign w:val="center"/>
          </w:tcPr>
          <w:p w14:paraId="694FE63D" w14:textId="77777777" w:rsidR="00454A29" w:rsidRDefault="00454A29">
            <w:pPr>
              <w:pStyle w:val="ConsPlusNormal"/>
            </w:pPr>
            <w:r>
              <w:t>Местные бюджеты</w:t>
            </w:r>
          </w:p>
        </w:tc>
        <w:tc>
          <w:tcPr>
            <w:tcW w:w="1304" w:type="dxa"/>
            <w:vAlign w:val="center"/>
          </w:tcPr>
          <w:p w14:paraId="3940AFAA" w14:textId="77777777" w:rsidR="00454A29" w:rsidRDefault="00454A29">
            <w:pPr>
              <w:pStyle w:val="ConsPlusNormal"/>
              <w:jc w:val="right"/>
            </w:pPr>
            <w:r>
              <w:t>595 131</w:t>
            </w:r>
          </w:p>
        </w:tc>
        <w:tc>
          <w:tcPr>
            <w:tcW w:w="1247" w:type="dxa"/>
            <w:vAlign w:val="center"/>
          </w:tcPr>
          <w:p w14:paraId="019FF01E" w14:textId="77777777" w:rsidR="00454A29" w:rsidRDefault="00454A29">
            <w:pPr>
              <w:pStyle w:val="ConsPlusNormal"/>
              <w:jc w:val="right"/>
            </w:pPr>
            <w:r>
              <w:t>565 496</w:t>
            </w:r>
          </w:p>
        </w:tc>
        <w:tc>
          <w:tcPr>
            <w:tcW w:w="1304" w:type="dxa"/>
            <w:vAlign w:val="center"/>
          </w:tcPr>
          <w:p w14:paraId="6FCB5CD4" w14:textId="77777777" w:rsidR="00454A29" w:rsidRDefault="00454A29">
            <w:pPr>
              <w:pStyle w:val="ConsPlusNormal"/>
              <w:jc w:val="right"/>
            </w:pPr>
            <w:r>
              <w:t>154 993</w:t>
            </w:r>
          </w:p>
        </w:tc>
        <w:tc>
          <w:tcPr>
            <w:tcW w:w="1304" w:type="dxa"/>
            <w:vAlign w:val="center"/>
          </w:tcPr>
          <w:p w14:paraId="67B5181E" w14:textId="77777777" w:rsidR="00454A29" w:rsidRDefault="00454A29">
            <w:pPr>
              <w:pStyle w:val="ConsPlusNormal"/>
              <w:jc w:val="right"/>
            </w:pPr>
            <w:r>
              <w:t>201 734</w:t>
            </w:r>
          </w:p>
        </w:tc>
        <w:tc>
          <w:tcPr>
            <w:tcW w:w="1304" w:type="dxa"/>
            <w:vAlign w:val="center"/>
          </w:tcPr>
          <w:p w14:paraId="296B19E1" w14:textId="77777777" w:rsidR="00454A29" w:rsidRDefault="00454A29">
            <w:pPr>
              <w:pStyle w:val="ConsPlusNormal"/>
              <w:jc w:val="right"/>
            </w:pPr>
            <w:r>
              <w:t>181 545</w:t>
            </w:r>
          </w:p>
        </w:tc>
        <w:tc>
          <w:tcPr>
            <w:tcW w:w="1304" w:type="dxa"/>
            <w:vAlign w:val="center"/>
          </w:tcPr>
          <w:p w14:paraId="0CCCA48F" w14:textId="77777777" w:rsidR="00454A29" w:rsidRDefault="00454A29">
            <w:pPr>
              <w:pStyle w:val="ConsPlusNormal"/>
              <w:jc w:val="right"/>
            </w:pPr>
            <w:r>
              <w:t>206 124</w:t>
            </w:r>
          </w:p>
        </w:tc>
        <w:tc>
          <w:tcPr>
            <w:tcW w:w="1304" w:type="dxa"/>
            <w:vAlign w:val="center"/>
          </w:tcPr>
          <w:p w14:paraId="21D1B0EE" w14:textId="77777777" w:rsidR="00454A29" w:rsidRDefault="00454A29">
            <w:pPr>
              <w:pStyle w:val="ConsPlusNormal"/>
              <w:jc w:val="right"/>
            </w:pPr>
            <w:r>
              <w:t>251 044</w:t>
            </w:r>
          </w:p>
        </w:tc>
      </w:tr>
      <w:tr w:rsidR="00454A29" w14:paraId="7F803E56" w14:textId="77777777">
        <w:tc>
          <w:tcPr>
            <w:tcW w:w="2041" w:type="dxa"/>
            <w:vMerge/>
          </w:tcPr>
          <w:p w14:paraId="5B3FA704" w14:textId="77777777" w:rsidR="00454A29" w:rsidRDefault="00454A29"/>
        </w:tc>
        <w:tc>
          <w:tcPr>
            <w:tcW w:w="3005" w:type="dxa"/>
            <w:vMerge/>
          </w:tcPr>
          <w:p w14:paraId="33F72290" w14:textId="77777777" w:rsidR="00454A29" w:rsidRDefault="00454A29"/>
        </w:tc>
        <w:tc>
          <w:tcPr>
            <w:tcW w:w="2778" w:type="dxa"/>
            <w:vAlign w:val="center"/>
          </w:tcPr>
          <w:p w14:paraId="2AF5CD8C" w14:textId="77777777" w:rsidR="00454A29" w:rsidRDefault="00454A29">
            <w:pPr>
              <w:pStyle w:val="ConsPlusNormal"/>
            </w:pPr>
            <w:r>
              <w:t>Минобрнауки РС(Я)</w:t>
            </w:r>
          </w:p>
        </w:tc>
        <w:tc>
          <w:tcPr>
            <w:tcW w:w="1304" w:type="dxa"/>
            <w:vAlign w:val="center"/>
          </w:tcPr>
          <w:p w14:paraId="32DB4888" w14:textId="77777777" w:rsidR="00454A29" w:rsidRDefault="00454A29">
            <w:pPr>
              <w:pStyle w:val="ConsPlusNormal"/>
            </w:pPr>
          </w:p>
        </w:tc>
        <w:tc>
          <w:tcPr>
            <w:tcW w:w="1247" w:type="dxa"/>
            <w:vAlign w:val="center"/>
          </w:tcPr>
          <w:p w14:paraId="217A46A0" w14:textId="77777777" w:rsidR="00454A29" w:rsidRDefault="00454A29">
            <w:pPr>
              <w:pStyle w:val="ConsPlusNormal"/>
            </w:pPr>
          </w:p>
        </w:tc>
        <w:tc>
          <w:tcPr>
            <w:tcW w:w="1304" w:type="dxa"/>
            <w:vAlign w:val="center"/>
          </w:tcPr>
          <w:p w14:paraId="6AF42AF5" w14:textId="77777777" w:rsidR="00454A29" w:rsidRDefault="00454A29">
            <w:pPr>
              <w:pStyle w:val="ConsPlusNormal"/>
            </w:pPr>
          </w:p>
        </w:tc>
        <w:tc>
          <w:tcPr>
            <w:tcW w:w="1304" w:type="dxa"/>
            <w:vAlign w:val="center"/>
          </w:tcPr>
          <w:p w14:paraId="3420FA1B" w14:textId="77777777" w:rsidR="00454A29" w:rsidRDefault="00454A29">
            <w:pPr>
              <w:pStyle w:val="ConsPlusNormal"/>
            </w:pPr>
          </w:p>
        </w:tc>
        <w:tc>
          <w:tcPr>
            <w:tcW w:w="1304" w:type="dxa"/>
            <w:vAlign w:val="center"/>
          </w:tcPr>
          <w:p w14:paraId="7027B672" w14:textId="77777777" w:rsidR="00454A29" w:rsidRDefault="00454A29">
            <w:pPr>
              <w:pStyle w:val="ConsPlusNormal"/>
            </w:pPr>
          </w:p>
        </w:tc>
        <w:tc>
          <w:tcPr>
            <w:tcW w:w="1304" w:type="dxa"/>
            <w:vAlign w:val="center"/>
          </w:tcPr>
          <w:p w14:paraId="3E8F2F0C" w14:textId="77777777" w:rsidR="00454A29" w:rsidRDefault="00454A29">
            <w:pPr>
              <w:pStyle w:val="ConsPlusNormal"/>
            </w:pPr>
          </w:p>
        </w:tc>
        <w:tc>
          <w:tcPr>
            <w:tcW w:w="1304" w:type="dxa"/>
            <w:vAlign w:val="center"/>
          </w:tcPr>
          <w:p w14:paraId="160CAE1D" w14:textId="77777777" w:rsidR="00454A29" w:rsidRDefault="00454A29">
            <w:pPr>
              <w:pStyle w:val="ConsPlusNormal"/>
            </w:pPr>
          </w:p>
        </w:tc>
      </w:tr>
      <w:tr w:rsidR="00454A29" w14:paraId="7EFC98B6" w14:textId="77777777">
        <w:tc>
          <w:tcPr>
            <w:tcW w:w="2041" w:type="dxa"/>
            <w:vMerge/>
          </w:tcPr>
          <w:p w14:paraId="75E46518" w14:textId="77777777" w:rsidR="00454A29" w:rsidRDefault="00454A29"/>
        </w:tc>
        <w:tc>
          <w:tcPr>
            <w:tcW w:w="3005" w:type="dxa"/>
            <w:vMerge/>
          </w:tcPr>
          <w:p w14:paraId="560753A9" w14:textId="77777777" w:rsidR="00454A29" w:rsidRDefault="00454A29"/>
        </w:tc>
        <w:tc>
          <w:tcPr>
            <w:tcW w:w="2778" w:type="dxa"/>
            <w:vAlign w:val="center"/>
          </w:tcPr>
          <w:p w14:paraId="722163AB" w14:textId="77777777" w:rsidR="00454A29" w:rsidRDefault="00454A29">
            <w:pPr>
              <w:pStyle w:val="ConsPlusNormal"/>
            </w:pPr>
            <w:r>
              <w:t>Минстрой РС(Я)</w:t>
            </w:r>
          </w:p>
        </w:tc>
        <w:tc>
          <w:tcPr>
            <w:tcW w:w="1304" w:type="dxa"/>
            <w:vAlign w:val="center"/>
          </w:tcPr>
          <w:p w14:paraId="05F978D5" w14:textId="77777777" w:rsidR="00454A29" w:rsidRDefault="00454A29">
            <w:pPr>
              <w:pStyle w:val="ConsPlusNormal"/>
              <w:jc w:val="right"/>
            </w:pPr>
            <w:r>
              <w:t>471 963</w:t>
            </w:r>
          </w:p>
        </w:tc>
        <w:tc>
          <w:tcPr>
            <w:tcW w:w="1247" w:type="dxa"/>
            <w:vAlign w:val="center"/>
          </w:tcPr>
          <w:p w14:paraId="4E9D3176" w14:textId="77777777" w:rsidR="00454A29" w:rsidRDefault="00454A29">
            <w:pPr>
              <w:pStyle w:val="ConsPlusNormal"/>
              <w:jc w:val="right"/>
            </w:pPr>
            <w:r>
              <w:t>427 457</w:t>
            </w:r>
          </w:p>
        </w:tc>
        <w:tc>
          <w:tcPr>
            <w:tcW w:w="1304" w:type="dxa"/>
            <w:vAlign w:val="center"/>
          </w:tcPr>
          <w:p w14:paraId="7F7F4A8A" w14:textId="77777777" w:rsidR="00454A29" w:rsidRDefault="00454A29">
            <w:pPr>
              <w:pStyle w:val="ConsPlusNormal"/>
              <w:jc w:val="right"/>
            </w:pPr>
            <w:r>
              <w:t>-</w:t>
            </w:r>
          </w:p>
        </w:tc>
        <w:tc>
          <w:tcPr>
            <w:tcW w:w="1304" w:type="dxa"/>
            <w:vAlign w:val="center"/>
          </w:tcPr>
          <w:p w14:paraId="515B85B2" w14:textId="77777777" w:rsidR="00454A29" w:rsidRDefault="00454A29">
            <w:pPr>
              <w:pStyle w:val="ConsPlusNormal"/>
              <w:jc w:val="right"/>
            </w:pPr>
            <w:r>
              <w:t>41 588</w:t>
            </w:r>
          </w:p>
        </w:tc>
        <w:tc>
          <w:tcPr>
            <w:tcW w:w="1304" w:type="dxa"/>
            <w:vAlign w:val="center"/>
          </w:tcPr>
          <w:p w14:paraId="3F24D75B" w14:textId="77777777" w:rsidR="00454A29" w:rsidRDefault="00454A29">
            <w:pPr>
              <w:pStyle w:val="ConsPlusNormal"/>
              <w:jc w:val="right"/>
            </w:pPr>
            <w:r>
              <w:t>-</w:t>
            </w:r>
          </w:p>
        </w:tc>
        <w:tc>
          <w:tcPr>
            <w:tcW w:w="1304" w:type="dxa"/>
            <w:vAlign w:val="center"/>
          </w:tcPr>
          <w:p w14:paraId="036681CC" w14:textId="77777777" w:rsidR="00454A29" w:rsidRDefault="00454A29">
            <w:pPr>
              <w:pStyle w:val="ConsPlusNormal"/>
              <w:jc w:val="right"/>
            </w:pPr>
            <w:r>
              <w:t>-</w:t>
            </w:r>
          </w:p>
        </w:tc>
        <w:tc>
          <w:tcPr>
            <w:tcW w:w="1304" w:type="dxa"/>
            <w:vAlign w:val="center"/>
          </w:tcPr>
          <w:p w14:paraId="0E8E2A62" w14:textId="77777777" w:rsidR="00454A29" w:rsidRDefault="00454A29">
            <w:pPr>
              <w:pStyle w:val="ConsPlusNormal"/>
              <w:jc w:val="right"/>
            </w:pPr>
            <w:r>
              <w:t>-</w:t>
            </w:r>
          </w:p>
        </w:tc>
      </w:tr>
      <w:tr w:rsidR="00454A29" w14:paraId="58E30E5E" w14:textId="77777777">
        <w:tc>
          <w:tcPr>
            <w:tcW w:w="2041" w:type="dxa"/>
            <w:vMerge/>
          </w:tcPr>
          <w:p w14:paraId="3B7B7747" w14:textId="77777777" w:rsidR="00454A29" w:rsidRDefault="00454A29"/>
        </w:tc>
        <w:tc>
          <w:tcPr>
            <w:tcW w:w="3005" w:type="dxa"/>
            <w:vMerge/>
          </w:tcPr>
          <w:p w14:paraId="0A9BADB2" w14:textId="77777777" w:rsidR="00454A29" w:rsidRDefault="00454A29"/>
        </w:tc>
        <w:tc>
          <w:tcPr>
            <w:tcW w:w="2778" w:type="dxa"/>
            <w:vAlign w:val="center"/>
          </w:tcPr>
          <w:p w14:paraId="11634368" w14:textId="77777777" w:rsidR="00454A29" w:rsidRDefault="00454A29">
            <w:pPr>
              <w:pStyle w:val="ConsPlusNormal"/>
            </w:pPr>
            <w:r>
              <w:t>Минэкономики РС(Я)</w:t>
            </w:r>
          </w:p>
        </w:tc>
        <w:tc>
          <w:tcPr>
            <w:tcW w:w="1304" w:type="dxa"/>
            <w:vAlign w:val="center"/>
          </w:tcPr>
          <w:p w14:paraId="281DBA09" w14:textId="77777777" w:rsidR="00454A29" w:rsidRDefault="00454A29">
            <w:pPr>
              <w:pStyle w:val="ConsPlusNormal"/>
              <w:jc w:val="right"/>
            </w:pPr>
            <w:r>
              <w:t>123 168</w:t>
            </w:r>
          </w:p>
        </w:tc>
        <w:tc>
          <w:tcPr>
            <w:tcW w:w="1247" w:type="dxa"/>
            <w:vAlign w:val="center"/>
          </w:tcPr>
          <w:p w14:paraId="1776A92A" w14:textId="77777777" w:rsidR="00454A29" w:rsidRDefault="00454A29">
            <w:pPr>
              <w:pStyle w:val="ConsPlusNormal"/>
              <w:jc w:val="right"/>
            </w:pPr>
            <w:r>
              <w:t>138 039</w:t>
            </w:r>
          </w:p>
        </w:tc>
        <w:tc>
          <w:tcPr>
            <w:tcW w:w="1304" w:type="dxa"/>
            <w:vAlign w:val="center"/>
          </w:tcPr>
          <w:p w14:paraId="3E446515" w14:textId="77777777" w:rsidR="00454A29" w:rsidRDefault="00454A29">
            <w:pPr>
              <w:pStyle w:val="ConsPlusNormal"/>
              <w:jc w:val="right"/>
            </w:pPr>
            <w:r>
              <w:t>154 993</w:t>
            </w:r>
          </w:p>
        </w:tc>
        <w:tc>
          <w:tcPr>
            <w:tcW w:w="1304" w:type="dxa"/>
            <w:vAlign w:val="center"/>
          </w:tcPr>
          <w:p w14:paraId="60E6B2A4" w14:textId="77777777" w:rsidR="00454A29" w:rsidRDefault="00454A29">
            <w:pPr>
              <w:pStyle w:val="ConsPlusNormal"/>
              <w:jc w:val="right"/>
            </w:pPr>
            <w:r>
              <w:t>160 146</w:t>
            </w:r>
          </w:p>
        </w:tc>
        <w:tc>
          <w:tcPr>
            <w:tcW w:w="1304" w:type="dxa"/>
            <w:vAlign w:val="center"/>
          </w:tcPr>
          <w:p w14:paraId="0D601985" w14:textId="77777777" w:rsidR="00454A29" w:rsidRDefault="00454A29">
            <w:pPr>
              <w:pStyle w:val="ConsPlusNormal"/>
              <w:jc w:val="right"/>
            </w:pPr>
            <w:r>
              <w:t>181 545</w:t>
            </w:r>
          </w:p>
        </w:tc>
        <w:tc>
          <w:tcPr>
            <w:tcW w:w="1304" w:type="dxa"/>
            <w:vAlign w:val="center"/>
          </w:tcPr>
          <w:p w14:paraId="3ABFB1EC" w14:textId="77777777" w:rsidR="00454A29" w:rsidRDefault="00454A29">
            <w:pPr>
              <w:pStyle w:val="ConsPlusNormal"/>
              <w:jc w:val="right"/>
            </w:pPr>
            <w:r>
              <w:t>206 124</w:t>
            </w:r>
          </w:p>
        </w:tc>
        <w:tc>
          <w:tcPr>
            <w:tcW w:w="1304" w:type="dxa"/>
            <w:vAlign w:val="center"/>
          </w:tcPr>
          <w:p w14:paraId="671983D2" w14:textId="77777777" w:rsidR="00454A29" w:rsidRDefault="00454A29">
            <w:pPr>
              <w:pStyle w:val="ConsPlusNormal"/>
              <w:jc w:val="right"/>
            </w:pPr>
            <w:r>
              <w:t>251 044</w:t>
            </w:r>
          </w:p>
        </w:tc>
      </w:tr>
      <w:tr w:rsidR="00454A29" w14:paraId="0A1B06CE" w14:textId="77777777">
        <w:tc>
          <w:tcPr>
            <w:tcW w:w="2041" w:type="dxa"/>
            <w:vMerge/>
          </w:tcPr>
          <w:p w14:paraId="19AB0863" w14:textId="77777777" w:rsidR="00454A29" w:rsidRDefault="00454A29"/>
        </w:tc>
        <w:tc>
          <w:tcPr>
            <w:tcW w:w="3005" w:type="dxa"/>
            <w:vMerge/>
          </w:tcPr>
          <w:p w14:paraId="516D8871" w14:textId="77777777" w:rsidR="00454A29" w:rsidRDefault="00454A29"/>
        </w:tc>
        <w:tc>
          <w:tcPr>
            <w:tcW w:w="2778" w:type="dxa"/>
            <w:vAlign w:val="center"/>
          </w:tcPr>
          <w:p w14:paraId="72184604" w14:textId="77777777" w:rsidR="00454A29" w:rsidRDefault="00454A29">
            <w:pPr>
              <w:pStyle w:val="ConsPlusNormal"/>
            </w:pPr>
            <w:r>
              <w:t>Внебюджетные средства</w:t>
            </w:r>
          </w:p>
        </w:tc>
        <w:tc>
          <w:tcPr>
            <w:tcW w:w="1304" w:type="dxa"/>
            <w:vAlign w:val="center"/>
          </w:tcPr>
          <w:p w14:paraId="28430808" w14:textId="77777777" w:rsidR="00454A29" w:rsidRDefault="00454A29">
            <w:pPr>
              <w:pStyle w:val="ConsPlusNormal"/>
              <w:jc w:val="right"/>
            </w:pPr>
            <w:r>
              <w:t>-</w:t>
            </w:r>
          </w:p>
        </w:tc>
        <w:tc>
          <w:tcPr>
            <w:tcW w:w="1247" w:type="dxa"/>
            <w:vAlign w:val="center"/>
          </w:tcPr>
          <w:p w14:paraId="2E97E90F" w14:textId="77777777" w:rsidR="00454A29" w:rsidRDefault="00454A29">
            <w:pPr>
              <w:pStyle w:val="ConsPlusNormal"/>
            </w:pPr>
          </w:p>
        </w:tc>
        <w:tc>
          <w:tcPr>
            <w:tcW w:w="1304" w:type="dxa"/>
            <w:vAlign w:val="center"/>
          </w:tcPr>
          <w:p w14:paraId="14D4A93D" w14:textId="77777777" w:rsidR="00454A29" w:rsidRDefault="00454A29">
            <w:pPr>
              <w:pStyle w:val="ConsPlusNormal"/>
            </w:pPr>
          </w:p>
        </w:tc>
        <w:tc>
          <w:tcPr>
            <w:tcW w:w="1304" w:type="dxa"/>
            <w:vAlign w:val="center"/>
          </w:tcPr>
          <w:p w14:paraId="3D6D32E5" w14:textId="77777777" w:rsidR="00454A29" w:rsidRDefault="00454A29">
            <w:pPr>
              <w:pStyle w:val="ConsPlusNormal"/>
            </w:pPr>
          </w:p>
        </w:tc>
        <w:tc>
          <w:tcPr>
            <w:tcW w:w="1304" w:type="dxa"/>
            <w:vAlign w:val="center"/>
          </w:tcPr>
          <w:p w14:paraId="21465BB4" w14:textId="77777777" w:rsidR="00454A29" w:rsidRDefault="00454A29">
            <w:pPr>
              <w:pStyle w:val="ConsPlusNormal"/>
            </w:pPr>
          </w:p>
        </w:tc>
        <w:tc>
          <w:tcPr>
            <w:tcW w:w="1304" w:type="dxa"/>
            <w:vAlign w:val="center"/>
          </w:tcPr>
          <w:p w14:paraId="2338BA12" w14:textId="77777777" w:rsidR="00454A29" w:rsidRDefault="00454A29">
            <w:pPr>
              <w:pStyle w:val="ConsPlusNormal"/>
            </w:pPr>
          </w:p>
        </w:tc>
        <w:tc>
          <w:tcPr>
            <w:tcW w:w="1304" w:type="dxa"/>
            <w:vAlign w:val="center"/>
          </w:tcPr>
          <w:p w14:paraId="5247086C" w14:textId="77777777" w:rsidR="00454A29" w:rsidRDefault="00454A29">
            <w:pPr>
              <w:pStyle w:val="ConsPlusNormal"/>
            </w:pPr>
          </w:p>
        </w:tc>
      </w:tr>
      <w:tr w:rsidR="00454A29" w14:paraId="2A67821B" w14:textId="77777777">
        <w:tc>
          <w:tcPr>
            <w:tcW w:w="2041" w:type="dxa"/>
            <w:vMerge/>
          </w:tcPr>
          <w:p w14:paraId="49E0D212" w14:textId="77777777" w:rsidR="00454A29" w:rsidRDefault="00454A29"/>
        </w:tc>
        <w:tc>
          <w:tcPr>
            <w:tcW w:w="3005" w:type="dxa"/>
            <w:vMerge/>
          </w:tcPr>
          <w:p w14:paraId="50E7D015" w14:textId="77777777" w:rsidR="00454A29" w:rsidRDefault="00454A29"/>
        </w:tc>
        <w:tc>
          <w:tcPr>
            <w:tcW w:w="2778" w:type="dxa"/>
            <w:vAlign w:val="center"/>
          </w:tcPr>
          <w:p w14:paraId="6826A3C5" w14:textId="77777777" w:rsidR="00454A29" w:rsidRDefault="00454A29">
            <w:pPr>
              <w:pStyle w:val="ConsPlusNormal"/>
            </w:pPr>
            <w:r>
              <w:t>Минобрнауки РС(Я)</w:t>
            </w:r>
          </w:p>
        </w:tc>
        <w:tc>
          <w:tcPr>
            <w:tcW w:w="1304" w:type="dxa"/>
            <w:vAlign w:val="center"/>
          </w:tcPr>
          <w:p w14:paraId="2D65BD38" w14:textId="77777777" w:rsidR="00454A29" w:rsidRDefault="00454A29">
            <w:pPr>
              <w:pStyle w:val="ConsPlusNormal"/>
            </w:pPr>
          </w:p>
        </w:tc>
        <w:tc>
          <w:tcPr>
            <w:tcW w:w="1247" w:type="dxa"/>
            <w:vAlign w:val="center"/>
          </w:tcPr>
          <w:p w14:paraId="3318E277" w14:textId="77777777" w:rsidR="00454A29" w:rsidRDefault="00454A29">
            <w:pPr>
              <w:pStyle w:val="ConsPlusNormal"/>
            </w:pPr>
          </w:p>
        </w:tc>
        <w:tc>
          <w:tcPr>
            <w:tcW w:w="1304" w:type="dxa"/>
            <w:vAlign w:val="center"/>
          </w:tcPr>
          <w:p w14:paraId="5CB4AFE4" w14:textId="77777777" w:rsidR="00454A29" w:rsidRDefault="00454A29">
            <w:pPr>
              <w:pStyle w:val="ConsPlusNormal"/>
            </w:pPr>
          </w:p>
        </w:tc>
        <w:tc>
          <w:tcPr>
            <w:tcW w:w="1304" w:type="dxa"/>
            <w:vAlign w:val="center"/>
          </w:tcPr>
          <w:p w14:paraId="1ACCB4AB" w14:textId="77777777" w:rsidR="00454A29" w:rsidRDefault="00454A29">
            <w:pPr>
              <w:pStyle w:val="ConsPlusNormal"/>
            </w:pPr>
          </w:p>
        </w:tc>
        <w:tc>
          <w:tcPr>
            <w:tcW w:w="1304" w:type="dxa"/>
            <w:vAlign w:val="center"/>
          </w:tcPr>
          <w:p w14:paraId="3A3BBABF" w14:textId="77777777" w:rsidR="00454A29" w:rsidRDefault="00454A29">
            <w:pPr>
              <w:pStyle w:val="ConsPlusNormal"/>
            </w:pPr>
          </w:p>
        </w:tc>
        <w:tc>
          <w:tcPr>
            <w:tcW w:w="1304" w:type="dxa"/>
            <w:vAlign w:val="center"/>
          </w:tcPr>
          <w:p w14:paraId="2077F4D3" w14:textId="77777777" w:rsidR="00454A29" w:rsidRDefault="00454A29">
            <w:pPr>
              <w:pStyle w:val="ConsPlusNormal"/>
            </w:pPr>
          </w:p>
        </w:tc>
        <w:tc>
          <w:tcPr>
            <w:tcW w:w="1304" w:type="dxa"/>
            <w:vAlign w:val="center"/>
          </w:tcPr>
          <w:p w14:paraId="34F80869" w14:textId="77777777" w:rsidR="00454A29" w:rsidRDefault="00454A29">
            <w:pPr>
              <w:pStyle w:val="ConsPlusNormal"/>
            </w:pPr>
          </w:p>
        </w:tc>
      </w:tr>
      <w:tr w:rsidR="00454A29" w14:paraId="4BBF1518" w14:textId="77777777">
        <w:tc>
          <w:tcPr>
            <w:tcW w:w="2041" w:type="dxa"/>
            <w:vMerge/>
          </w:tcPr>
          <w:p w14:paraId="5FF7171B" w14:textId="77777777" w:rsidR="00454A29" w:rsidRDefault="00454A29"/>
        </w:tc>
        <w:tc>
          <w:tcPr>
            <w:tcW w:w="3005" w:type="dxa"/>
            <w:vMerge/>
          </w:tcPr>
          <w:p w14:paraId="253E43B9" w14:textId="77777777" w:rsidR="00454A29" w:rsidRDefault="00454A29"/>
        </w:tc>
        <w:tc>
          <w:tcPr>
            <w:tcW w:w="2778" w:type="dxa"/>
            <w:vAlign w:val="center"/>
          </w:tcPr>
          <w:p w14:paraId="60B8CCAC" w14:textId="77777777" w:rsidR="00454A29" w:rsidRDefault="00454A29">
            <w:pPr>
              <w:pStyle w:val="ConsPlusNormal"/>
            </w:pPr>
            <w:r>
              <w:t>Минстрой РС(Я)</w:t>
            </w:r>
          </w:p>
        </w:tc>
        <w:tc>
          <w:tcPr>
            <w:tcW w:w="1304" w:type="dxa"/>
            <w:vAlign w:val="center"/>
          </w:tcPr>
          <w:p w14:paraId="2C90D2BA" w14:textId="77777777" w:rsidR="00454A29" w:rsidRDefault="00454A29">
            <w:pPr>
              <w:pStyle w:val="ConsPlusNormal"/>
            </w:pPr>
          </w:p>
        </w:tc>
        <w:tc>
          <w:tcPr>
            <w:tcW w:w="1247" w:type="dxa"/>
            <w:vAlign w:val="center"/>
          </w:tcPr>
          <w:p w14:paraId="4AF10728" w14:textId="77777777" w:rsidR="00454A29" w:rsidRDefault="00454A29">
            <w:pPr>
              <w:pStyle w:val="ConsPlusNormal"/>
            </w:pPr>
          </w:p>
        </w:tc>
        <w:tc>
          <w:tcPr>
            <w:tcW w:w="1304" w:type="dxa"/>
            <w:vAlign w:val="center"/>
          </w:tcPr>
          <w:p w14:paraId="1BAC5E5A" w14:textId="77777777" w:rsidR="00454A29" w:rsidRDefault="00454A29">
            <w:pPr>
              <w:pStyle w:val="ConsPlusNormal"/>
            </w:pPr>
          </w:p>
        </w:tc>
        <w:tc>
          <w:tcPr>
            <w:tcW w:w="1304" w:type="dxa"/>
            <w:vAlign w:val="center"/>
          </w:tcPr>
          <w:p w14:paraId="3EAC6DD9" w14:textId="77777777" w:rsidR="00454A29" w:rsidRDefault="00454A29">
            <w:pPr>
              <w:pStyle w:val="ConsPlusNormal"/>
            </w:pPr>
          </w:p>
        </w:tc>
        <w:tc>
          <w:tcPr>
            <w:tcW w:w="1304" w:type="dxa"/>
            <w:vAlign w:val="center"/>
          </w:tcPr>
          <w:p w14:paraId="77FEFEC9" w14:textId="77777777" w:rsidR="00454A29" w:rsidRDefault="00454A29">
            <w:pPr>
              <w:pStyle w:val="ConsPlusNormal"/>
            </w:pPr>
          </w:p>
        </w:tc>
        <w:tc>
          <w:tcPr>
            <w:tcW w:w="1304" w:type="dxa"/>
            <w:vAlign w:val="center"/>
          </w:tcPr>
          <w:p w14:paraId="0C8166E0" w14:textId="77777777" w:rsidR="00454A29" w:rsidRDefault="00454A29">
            <w:pPr>
              <w:pStyle w:val="ConsPlusNormal"/>
            </w:pPr>
          </w:p>
        </w:tc>
        <w:tc>
          <w:tcPr>
            <w:tcW w:w="1304" w:type="dxa"/>
            <w:vAlign w:val="center"/>
          </w:tcPr>
          <w:p w14:paraId="5B544A9B" w14:textId="77777777" w:rsidR="00454A29" w:rsidRDefault="00454A29">
            <w:pPr>
              <w:pStyle w:val="ConsPlusNormal"/>
            </w:pPr>
          </w:p>
        </w:tc>
      </w:tr>
      <w:tr w:rsidR="00454A29" w14:paraId="7505E4FB" w14:textId="77777777">
        <w:tc>
          <w:tcPr>
            <w:tcW w:w="2041" w:type="dxa"/>
            <w:vMerge/>
          </w:tcPr>
          <w:p w14:paraId="7C990C10" w14:textId="77777777" w:rsidR="00454A29" w:rsidRDefault="00454A29"/>
        </w:tc>
        <w:tc>
          <w:tcPr>
            <w:tcW w:w="3005" w:type="dxa"/>
            <w:vMerge/>
          </w:tcPr>
          <w:p w14:paraId="1670B38E" w14:textId="77777777" w:rsidR="00454A29" w:rsidRDefault="00454A29"/>
        </w:tc>
        <w:tc>
          <w:tcPr>
            <w:tcW w:w="2778" w:type="dxa"/>
            <w:vAlign w:val="center"/>
          </w:tcPr>
          <w:p w14:paraId="7CA51E3B" w14:textId="77777777" w:rsidR="00454A29" w:rsidRDefault="00454A29">
            <w:pPr>
              <w:pStyle w:val="ConsPlusNormal"/>
            </w:pPr>
            <w:r>
              <w:t>Минэкономики РС(Я)</w:t>
            </w:r>
          </w:p>
        </w:tc>
        <w:tc>
          <w:tcPr>
            <w:tcW w:w="1304" w:type="dxa"/>
            <w:vAlign w:val="center"/>
          </w:tcPr>
          <w:p w14:paraId="6585C0DB" w14:textId="77777777" w:rsidR="00454A29" w:rsidRDefault="00454A29">
            <w:pPr>
              <w:pStyle w:val="ConsPlusNormal"/>
            </w:pPr>
          </w:p>
        </w:tc>
        <w:tc>
          <w:tcPr>
            <w:tcW w:w="1247" w:type="dxa"/>
            <w:vAlign w:val="center"/>
          </w:tcPr>
          <w:p w14:paraId="57448279" w14:textId="77777777" w:rsidR="00454A29" w:rsidRDefault="00454A29">
            <w:pPr>
              <w:pStyle w:val="ConsPlusNormal"/>
            </w:pPr>
          </w:p>
        </w:tc>
        <w:tc>
          <w:tcPr>
            <w:tcW w:w="1304" w:type="dxa"/>
            <w:vAlign w:val="center"/>
          </w:tcPr>
          <w:p w14:paraId="7A4E51E4" w14:textId="77777777" w:rsidR="00454A29" w:rsidRDefault="00454A29">
            <w:pPr>
              <w:pStyle w:val="ConsPlusNormal"/>
            </w:pPr>
          </w:p>
        </w:tc>
        <w:tc>
          <w:tcPr>
            <w:tcW w:w="1304" w:type="dxa"/>
            <w:vAlign w:val="center"/>
          </w:tcPr>
          <w:p w14:paraId="29A89449" w14:textId="77777777" w:rsidR="00454A29" w:rsidRDefault="00454A29">
            <w:pPr>
              <w:pStyle w:val="ConsPlusNormal"/>
            </w:pPr>
          </w:p>
        </w:tc>
        <w:tc>
          <w:tcPr>
            <w:tcW w:w="1304" w:type="dxa"/>
            <w:vAlign w:val="center"/>
          </w:tcPr>
          <w:p w14:paraId="434D831F" w14:textId="77777777" w:rsidR="00454A29" w:rsidRDefault="00454A29">
            <w:pPr>
              <w:pStyle w:val="ConsPlusNormal"/>
            </w:pPr>
          </w:p>
        </w:tc>
        <w:tc>
          <w:tcPr>
            <w:tcW w:w="1304" w:type="dxa"/>
            <w:vAlign w:val="center"/>
          </w:tcPr>
          <w:p w14:paraId="0FAC047F" w14:textId="77777777" w:rsidR="00454A29" w:rsidRDefault="00454A29">
            <w:pPr>
              <w:pStyle w:val="ConsPlusNormal"/>
            </w:pPr>
          </w:p>
        </w:tc>
        <w:tc>
          <w:tcPr>
            <w:tcW w:w="1304" w:type="dxa"/>
            <w:vAlign w:val="center"/>
          </w:tcPr>
          <w:p w14:paraId="55353382" w14:textId="77777777" w:rsidR="00454A29" w:rsidRDefault="00454A29">
            <w:pPr>
              <w:pStyle w:val="ConsPlusNormal"/>
            </w:pPr>
          </w:p>
        </w:tc>
      </w:tr>
      <w:tr w:rsidR="00454A29" w14:paraId="3C7F12C7" w14:textId="77777777">
        <w:tc>
          <w:tcPr>
            <w:tcW w:w="2041" w:type="dxa"/>
            <w:vMerge w:val="restart"/>
            <w:vAlign w:val="center"/>
          </w:tcPr>
          <w:p w14:paraId="7E2E5A74" w14:textId="77777777" w:rsidR="00454A29" w:rsidRDefault="00454A29">
            <w:pPr>
              <w:pStyle w:val="ConsPlusNormal"/>
              <w:jc w:val="center"/>
            </w:pPr>
            <w:r>
              <w:t xml:space="preserve">Основное </w:t>
            </w:r>
            <w:r>
              <w:lastRenderedPageBreak/>
              <w:t>мероприятие 9.2.</w:t>
            </w:r>
          </w:p>
        </w:tc>
        <w:tc>
          <w:tcPr>
            <w:tcW w:w="3005" w:type="dxa"/>
            <w:vMerge w:val="restart"/>
            <w:vAlign w:val="center"/>
          </w:tcPr>
          <w:p w14:paraId="53511C49" w14:textId="77777777" w:rsidR="00454A29" w:rsidRDefault="00454A29">
            <w:pPr>
              <w:pStyle w:val="ConsPlusNormal"/>
              <w:jc w:val="center"/>
            </w:pPr>
            <w:r>
              <w:lastRenderedPageBreak/>
              <w:t xml:space="preserve">Реализация регионального </w:t>
            </w:r>
            <w:r>
              <w:lastRenderedPageBreak/>
              <w:t>проекта "Современная школа" (в части мероприятий по созданию новых мест в общеобразовательных организациях)</w:t>
            </w:r>
          </w:p>
        </w:tc>
        <w:tc>
          <w:tcPr>
            <w:tcW w:w="2778" w:type="dxa"/>
            <w:vAlign w:val="center"/>
          </w:tcPr>
          <w:p w14:paraId="69B6F801" w14:textId="77777777" w:rsidR="00454A29" w:rsidRDefault="00454A29">
            <w:pPr>
              <w:pStyle w:val="ConsPlusNormal"/>
            </w:pPr>
            <w:r>
              <w:lastRenderedPageBreak/>
              <w:t>Всего:</w:t>
            </w:r>
          </w:p>
        </w:tc>
        <w:tc>
          <w:tcPr>
            <w:tcW w:w="1304" w:type="dxa"/>
            <w:vAlign w:val="center"/>
          </w:tcPr>
          <w:p w14:paraId="2B553640" w14:textId="77777777" w:rsidR="00454A29" w:rsidRDefault="00454A29">
            <w:pPr>
              <w:pStyle w:val="ConsPlusNormal"/>
              <w:jc w:val="right"/>
            </w:pPr>
            <w:r>
              <w:t>521 211</w:t>
            </w:r>
          </w:p>
        </w:tc>
        <w:tc>
          <w:tcPr>
            <w:tcW w:w="1247" w:type="dxa"/>
            <w:vAlign w:val="center"/>
          </w:tcPr>
          <w:p w14:paraId="7F0F00B3" w14:textId="77777777" w:rsidR="00454A29" w:rsidRDefault="00454A29">
            <w:pPr>
              <w:pStyle w:val="ConsPlusNormal"/>
              <w:jc w:val="right"/>
            </w:pPr>
            <w:r>
              <w:t>433 695</w:t>
            </w:r>
          </w:p>
        </w:tc>
        <w:tc>
          <w:tcPr>
            <w:tcW w:w="1304" w:type="dxa"/>
            <w:vAlign w:val="center"/>
          </w:tcPr>
          <w:p w14:paraId="7D9ACFDB" w14:textId="77777777" w:rsidR="00454A29" w:rsidRDefault="00454A29">
            <w:pPr>
              <w:pStyle w:val="ConsPlusNormal"/>
              <w:jc w:val="right"/>
            </w:pPr>
            <w:r>
              <w:t>-</w:t>
            </w:r>
          </w:p>
        </w:tc>
        <w:tc>
          <w:tcPr>
            <w:tcW w:w="1304" w:type="dxa"/>
            <w:vAlign w:val="center"/>
          </w:tcPr>
          <w:p w14:paraId="3724F613" w14:textId="77777777" w:rsidR="00454A29" w:rsidRDefault="00454A29">
            <w:pPr>
              <w:pStyle w:val="ConsPlusNormal"/>
              <w:jc w:val="right"/>
            </w:pPr>
            <w:r>
              <w:t>-</w:t>
            </w:r>
          </w:p>
        </w:tc>
        <w:tc>
          <w:tcPr>
            <w:tcW w:w="1304" w:type="dxa"/>
            <w:vAlign w:val="center"/>
          </w:tcPr>
          <w:p w14:paraId="200117F0" w14:textId="77777777" w:rsidR="00454A29" w:rsidRDefault="00454A29">
            <w:pPr>
              <w:pStyle w:val="ConsPlusNormal"/>
              <w:jc w:val="right"/>
            </w:pPr>
            <w:r>
              <w:t>-</w:t>
            </w:r>
          </w:p>
        </w:tc>
        <w:tc>
          <w:tcPr>
            <w:tcW w:w="1304" w:type="dxa"/>
            <w:vAlign w:val="center"/>
          </w:tcPr>
          <w:p w14:paraId="65000E47" w14:textId="77777777" w:rsidR="00454A29" w:rsidRDefault="00454A29">
            <w:pPr>
              <w:pStyle w:val="ConsPlusNormal"/>
              <w:jc w:val="right"/>
            </w:pPr>
            <w:r>
              <w:t>-</w:t>
            </w:r>
          </w:p>
        </w:tc>
        <w:tc>
          <w:tcPr>
            <w:tcW w:w="1304" w:type="dxa"/>
            <w:vAlign w:val="center"/>
          </w:tcPr>
          <w:p w14:paraId="4E30AD8E" w14:textId="77777777" w:rsidR="00454A29" w:rsidRDefault="00454A29">
            <w:pPr>
              <w:pStyle w:val="ConsPlusNormal"/>
              <w:jc w:val="right"/>
            </w:pPr>
            <w:r>
              <w:t>-</w:t>
            </w:r>
          </w:p>
        </w:tc>
      </w:tr>
      <w:tr w:rsidR="00454A29" w14:paraId="58076466" w14:textId="77777777">
        <w:tc>
          <w:tcPr>
            <w:tcW w:w="2041" w:type="dxa"/>
            <w:vMerge/>
          </w:tcPr>
          <w:p w14:paraId="72002F3C" w14:textId="77777777" w:rsidR="00454A29" w:rsidRDefault="00454A29"/>
        </w:tc>
        <w:tc>
          <w:tcPr>
            <w:tcW w:w="3005" w:type="dxa"/>
            <w:vMerge/>
          </w:tcPr>
          <w:p w14:paraId="0C2113ED" w14:textId="77777777" w:rsidR="00454A29" w:rsidRDefault="00454A29"/>
        </w:tc>
        <w:tc>
          <w:tcPr>
            <w:tcW w:w="2778" w:type="dxa"/>
            <w:vAlign w:val="center"/>
          </w:tcPr>
          <w:p w14:paraId="6C0619C7" w14:textId="77777777" w:rsidR="00454A29" w:rsidRDefault="00454A29">
            <w:pPr>
              <w:pStyle w:val="ConsPlusNormal"/>
            </w:pPr>
            <w:r>
              <w:t>Государственный бюджет Республики Саха (Якутия)</w:t>
            </w:r>
          </w:p>
        </w:tc>
        <w:tc>
          <w:tcPr>
            <w:tcW w:w="1304" w:type="dxa"/>
            <w:vAlign w:val="center"/>
          </w:tcPr>
          <w:p w14:paraId="4117C75A" w14:textId="77777777" w:rsidR="00454A29" w:rsidRDefault="00454A29">
            <w:pPr>
              <w:pStyle w:val="ConsPlusNormal"/>
              <w:jc w:val="right"/>
            </w:pPr>
            <w:r>
              <w:t>275 666</w:t>
            </w:r>
          </w:p>
        </w:tc>
        <w:tc>
          <w:tcPr>
            <w:tcW w:w="1247" w:type="dxa"/>
            <w:vAlign w:val="center"/>
          </w:tcPr>
          <w:p w14:paraId="48479C70" w14:textId="77777777" w:rsidR="00454A29" w:rsidRDefault="00454A29">
            <w:pPr>
              <w:pStyle w:val="ConsPlusNormal"/>
              <w:jc w:val="right"/>
            </w:pPr>
            <w:r>
              <w:t>54 577</w:t>
            </w:r>
          </w:p>
        </w:tc>
        <w:tc>
          <w:tcPr>
            <w:tcW w:w="1304" w:type="dxa"/>
            <w:vAlign w:val="center"/>
          </w:tcPr>
          <w:p w14:paraId="7E495F3B" w14:textId="77777777" w:rsidR="00454A29" w:rsidRDefault="00454A29">
            <w:pPr>
              <w:pStyle w:val="ConsPlusNormal"/>
              <w:jc w:val="right"/>
            </w:pPr>
            <w:r>
              <w:t>-</w:t>
            </w:r>
          </w:p>
        </w:tc>
        <w:tc>
          <w:tcPr>
            <w:tcW w:w="1304" w:type="dxa"/>
            <w:vAlign w:val="center"/>
          </w:tcPr>
          <w:p w14:paraId="5FD765E0" w14:textId="77777777" w:rsidR="00454A29" w:rsidRDefault="00454A29">
            <w:pPr>
              <w:pStyle w:val="ConsPlusNormal"/>
            </w:pPr>
          </w:p>
        </w:tc>
        <w:tc>
          <w:tcPr>
            <w:tcW w:w="1304" w:type="dxa"/>
            <w:vAlign w:val="center"/>
          </w:tcPr>
          <w:p w14:paraId="656C1D90" w14:textId="77777777" w:rsidR="00454A29" w:rsidRDefault="00454A29">
            <w:pPr>
              <w:pStyle w:val="ConsPlusNormal"/>
            </w:pPr>
          </w:p>
        </w:tc>
        <w:tc>
          <w:tcPr>
            <w:tcW w:w="1304" w:type="dxa"/>
            <w:vAlign w:val="center"/>
          </w:tcPr>
          <w:p w14:paraId="7FB6F952" w14:textId="77777777" w:rsidR="00454A29" w:rsidRDefault="00454A29">
            <w:pPr>
              <w:pStyle w:val="ConsPlusNormal"/>
            </w:pPr>
          </w:p>
        </w:tc>
        <w:tc>
          <w:tcPr>
            <w:tcW w:w="1304" w:type="dxa"/>
            <w:vAlign w:val="center"/>
          </w:tcPr>
          <w:p w14:paraId="2987C117" w14:textId="77777777" w:rsidR="00454A29" w:rsidRDefault="00454A29">
            <w:pPr>
              <w:pStyle w:val="ConsPlusNormal"/>
            </w:pPr>
          </w:p>
        </w:tc>
      </w:tr>
      <w:tr w:rsidR="00454A29" w14:paraId="28284946" w14:textId="77777777">
        <w:tc>
          <w:tcPr>
            <w:tcW w:w="2041" w:type="dxa"/>
            <w:vMerge/>
          </w:tcPr>
          <w:p w14:paraId="2EA37D1D" w14:textId="77777777" w:rsidR="00454A29" w:rsidRDefault="00454A29"/>
        </w:tc>
        <w:tc>
          <w:tcPr>
            <w:tcW w:w="3005" w:type="dxa"/>
            <w:vMerge/>
          </w:tcPr>
          <w:p w14:paraId="51039621" w14:textId="77777777" w:rsidR="00454A29" w:rsidRDefault="00454A29"/>
        </w:tc>
        <w:tc>
          <w:tcPr>
            <w:tcW w:w="2778" w:type="dxa"/>
            <w:vAlign w:val="center"/>
          </w:tcPr>
          <w:p w14:paraId="11A34C9A" w14:textId="77777777" w:rsidR="00454A29" w:rsidRDefault="00454A29">
            <w:pPr>
              <w:pStyle w:val="ConsPlusNormal"/>
            </w:pPr>
            <w:r>
              <w:t>Минстрой РС(Я)</w:t>
            </w:r>
          </w:p>
        </w:tc>
        <w:tc>
          <w:tcPr>
            <w:tcW w:w="1304" w:type="dxa"/>
            <w:vAlign w:val="center"/>
          </w:tcPr>
          <w:p w14:paraId="40BE76E7" w14:textId="77777777" w:rsidR="00454A29" w:rsidRDefault="00454A29">
            <w:pPr>
              <w:pStyle w:val="ConsPlusNormal"/>
              <w:jc w:val="right"/>
            </w:pPr>
            <w:r>
              <w:t>275 666</w:t>
            </w:r>
          </w:p>
        </w:tc>
        <w:tc>
          <w:tcPr>
            <w:tcW w:w="1247" w:type="dxa"/>
            <w:vAlign w:val="center"/>
          </w:tcPr>
          <w:p w14:paraId="65E45648" w14:textId="77777777" w:rsidR="00454A29" w:rsidRDefault="00454A29">
            <w:pPr>
              <w:pStyle w:val="ConsPlusNormal"/>
              <w:jc w:val="right"/>
            </w:pPr>
            <w:r>
              <w:t>54 577</w:t>
            </w:r>
          </w:p>
        </w:tc>
        <w:tc>
          <w:tcPr>
            <w:tcW w:w="1304" w:type="dxa"/>
            <w:vAlign w:val="center"/>
          </w:tcPr>
          <w:p w14:paraId="03CEE43F" w14:textId="77777777" w:rsidR="00454A29" w:rsidRDefault="00454A29">
            <w:pPr>
              <w:pStyle w:val="ConsPlusNormal"/>
              <w:jc w:val="right"/>
            </w:pPr>
            <w:r>
              <w:t>-</w:t>
            </w:r>
          </w:p>
        </w:tc>
        <w:tc>
          <w:tcPr>
            <w:tcW w:w="1304" w:type="dxa"/>
            <w:vAlign w:val="center"/>
          </w:tcPr>
          <w:p w14:paraId="3317016E" w14:textId="77777777" w:rsidR="00454A29" w:rsidRDefault="00454A29">
            <w:pPr>
              <w:pStyle w:val="ConsPlusNormal"/>
            </w:pPr>
          </w:p>
        </w:tc>
        <w:tc>
          <w:tcPr>
            <w:tcW w:w="1304" w:type="dxa"/>
            <w:vAlign w:val="center"/>
          </w:tcPr>
          <w:p w14:paraId="149EA9D0" w14:textId="77777777" w:rsidR="00454A29" w:rsidRDefault="00454A29">
            <w:pPr>
              <w:pStyle w:val="ConsPlusNormal"/>
            </w:pPr>
          </w:p>
        </w:tc>
        <w:tc>
          <w:tcPr>
            <w:tcW w:w="1304" w:type="dxa"/>
            <w:vAlign w:val="center"/>
          </w:tcPr>
          <w:p w14:paraId="25E543AA" w14:textId="77777777" w:rsidR="00454A29" w:rsidRDefault="00454A29">
            <w:pPr>
              <w:pStyle w:val="ConsPlusNormal"/>
            </w:pPr>
          </w:p>
        </w:tc>
        <w:tc>
          <w:tcPr>
            <w:tcW w:w="1304" w:type="dxa"/>
            <w:vAlign w:val="center"/>
          </w:tcPr>
          <w:p w14:paraId="6761A5F3" w14:textId="77777777" w:rsidR="00454A29" w:rsidRDefault="00454A29">
            <w:pPr>
              <w:pStyle w:val="ConsPlusNormal"/>
            </w:pPr>
          </w:p>
        </w:tc>
      </w:tr>
      <w:tr w:rsidR="00454A29" w14:paraId="3D978D08" w14:textId="77777777">
        <w:tc>
          <w:tcPr>
            <w:tcW w:w="2041" w:type="dxa"/>
            <w:vMerge/>
          </w:tcPr>
          <w:p w14:paraId="2C8FCEC8" w14:textId="77777777" w:rsidR="00454A29" w:rsidRDefault="00454A29"/>
        </w:tc>
        <w:tc>
          <w:tcPr>
            <w:tcW w:w="3005" w:type="dxa"/>
            <w:vMerge/>
          </w:tcPr>
          <w:p w14:paraId="23FCAC05" w14:textId="77777777" w:rsidR="00454A29" w:rsidRDefault="00454A29"/>
        </w:tc>
        <w:tc>
          <w:tcPr>
            <w:tcW w:w="2778" w:type="dxa"/>
            <w:vAlign w:val="center"/>
          </w:tcPr>
          <w:p w14:paraId="2F5FFBBB" w14:textId="77777777" w:rsidR="00454A29" w:rsidRDefault="00454A29">
            <w:pPr>
              <w:pStyle w:val="ConsPlusNormal"/>
            </w:pPr>
            <w:r>
              <w:t>Федеральный бюджет</w:t>
            </w:r>
          </w:p>
        </w:tc>
        <w:tc>
          <w:tcPr>
            <w:tcW w:w="1304" w:type="dxa"/>
            <w:vAlign w:val="center"/>
          </w:tcPr>
          <w:p w14:paraId="10490C74" w14:textId="77777777" w:rsidR="00454A29" w:rsidRDefault="00454A29">
            <w:pPr>
              <w:pStyle w:val="ConsPlusNormal"/>
              <w:jc w:val="right"/>
            </w:pPr>
            <w:r>
              <w:t>245 545</w:t>
            </w:r>
          </w:p>
        </w:tc>
        <w:tc>
          <w:tcPr>
            <w:tcW w:w="1247" w:type="dxa"/>
            <w:vAlign w:val="center"/>
          </w:tcPr>
          <w:p w14:paraId="5D6F779C" w14:textId="77777777" w:rsidR="00454A29" w:rsidRDefault="00454A29">
            <w:pPr>
              <w:pStyle w:val="ConsPlusNormal"/>
              <w:jc w:val="right"/>
            </w:pPr>
            <w:r>
              <w:t>379 118</w:t>
            </w:r>
          </w:p>
        </w:tc>
        <w:tc>
          <w:tcPr>
            <w:tcW w:w="1304" w:type="dxa"/>
            <w:vAlign w:val="center"/>
          </w:tcPr>
          <w:p w14:paraId="184C81BA" w14:textId="77777777" w:rsidR="00454A29" w:rsidRDefault="00454A29">
            <w:pPr>
              <w:pStyle w:val="ConsPlusNormal"/>
              <w:jc w:val="right"/>
            </w:pPr>
            <w:r>
              <w:t>-</w:t>
            </w:r>
          </w:p>
        </w:tc>
        <w:tc>
          <w:tcPr>
            <w:tcW w:w="1304" w:type="dxa"/>
            <w:vAlign w:val="center"/>
          </w:tcPr>
          <w:p w14:paraId="4A197F2E" w14:textId="77777777" w:rsidR="00454A29" w:rsidRDefault="00454A29">
            <w:pPr>
              <w:pStyle w:val="ConsPlusNormal"/>
            </w:pPr>
          </w:p>
        </w:tc>
        <w:tc>
          <w:tcPr>
            <w:tcW w:w="1304" w:type="dxa"/>
            <w:vAlign w:val="center"/>
          </w:tcPr>
          <w:p w14:paraId="4F30F3E8" w14:textId="77777777" w:rsidR="00454A29" w:rsidRDefault="00454A29">
            <w:pPr>
              <w:pStyle w:val="ConsPlusNormal"/>
            </w:pPr>
          </w:p>
        </w:tc>
        <w:tc>
          <w:tcPr>
            <w:tcW w:w="1304" w:type="dxa"/>
            <w:vAlign w:val="center"/>
          </w:tcPr>
          <w:p w14:paraId="2409F036" w14:textId="77777777" w:rsidR="00454A29" w:rsidRDefault="00454A29">
            <w:pPr>
              <w:pStyle w:val="ConsPlusNormal"/>
            </w:pPr>
          </w:p>
        </w:tc>
        <w:tc>
          <w:tcPr>
            <w:tcW w:w="1304" w:type="dxa"/>
            <w:vAlign w:val="center"/>
          </w:tcPr>
          <w:p w14:paraId="2C5114CB" w14:textId="77777777" w:rsidR="00454A29" w:rsidRDefault="00454A29">
            <w:pPr>
              <w:pStyle w:val="ConsPlusNormal"/>
            </w:pPr>
          </w:p>
        </w:tc>
      </w:tr>
      <w:tr w:rsidR="00454A29" w14:paraId="299BE7A7" w14:textId="77777777">
        <w:tc>
          <w:tcPr>
            <w:tcW w:w="2041" w:type="dxa"/>
            <w:vMerge/>
          </w:tcPr>
          <w:p w14:paraId="7A0A4B36" w14:textId="77777777" w:rsidR="00454A29" w:rsidRDefault="00454A29"/>
        </w:tc>
        <w:tc>
          <w:tcPr>
            <w:tcW w:w="3005" w:type="dxa"/>
            <w:vMerge/>
          </w:tcPr>
          <w:p w14:paraId="77F4589D" w14:textId="77777777" w:rsidR="00454A29" w:rsidRDefault="00454A29"/>
        </w:tc>
        <w:tc>
          <w:tcPr>
            <w:tcW w:w="2778" w:type="dxa"/>
            <w:vAlign w:val="center"/>
          </w:tcPr>
          <w:p w14:paraId="73F884EE" w14:textId="77777777" w:rsidR="00454A29" w:rsidRDefault="00454A29">
            <w:pPr>
              <w:pStyle w:val="ConsPlusNormal"/>
            </w:pPr>
            <w:r>
              <w:t>Минстрой РС(Я)</w:t>
            </w:r>
          </w:p>
        </w:tc>
        <w:tc>
          <w:tcPr>
            <w:tcW w:w="1304" w:type="dxa"/>
            <w:vAlign w:val="center"/>
          </w:tcPr>
          <w:p w14:paraId="20108F15" w14:textId="77777777" w:rsidR="00454A29" w:rsidRDefault="00454A29">
            <w:pPr>
              <w:pStyle w:val="ConsPlusNormal"/>
              <w:jc w:val="right"/>
            </w:pPr>
            <w:r>
              <w:t>245 545</w:t>
            </w:r>
          </w:p>
        </w:tc>
        <w:tc>
          <w:tcPr>
            <w:tcW w:w="1247" w:type="dxa"/>
            <w:vAlign w:val="center"/>
          </w:tcPr>
          <w:p w14:paraId="364DCC68" w14:textId="77777777" w:rsidR="00454A29" w:rsidRDefault="00454A29">
            <w:pPr>
              <w:pStyle w:val="ConsPlusNormal"/>
              <w:jc w:val="right"/>
            </w:pPr>
            <w:r>
              <w:t>379 118</w:t>
            </w:r>
          </w:p>
        </w:tc>
        <w:tc>
          <w:tcPr>
            <w:tcW w:w="1304" w:type="dxa"/>
            <w:vAlign w:val="center"/>
          </w:tcPr>
          <w:p w14:paraId="61A778F6" w14:textId="77777777" w:rsidR="00454A29" w:rsidRDefault="00454A29">
            <w:pPr>
              <w:pStyle w:val="ConsPlusNormal"/>
              <w:jc w:val="right"/>
            </w:pPr>
            <w:r>
              <w:t>-</w:t>
            </w:r>
          </w:p>
        </w:tc>
        <w:tc>
          <w:tcPr>
            <w:tcW w:w="1304" w:type="dxa"/>
            <w:vAlign w:val="center"/>
          </w:tcPr>
          <w:p w14:paraId="70D864A2" w14:textId="77777777" w:rsidR="00454A29" w:rsidRDefault="00454A29">
            <w:pPr>
              <w:pStyle w:val="ConsPlusNormal"/>
            </w:pPr>
          </w:p>
        </w:tc>
        <w:tc>
          <w:tcPr>
            <w:tcW w:w="1304" w:type="dxa"/>
            <w:vAlign w:val="center"/>
          </w:tcPr>
          <w:p w14:paraId="389990F0" w14:textId="77777777" w:rsidR="00454A29" w:rsidRDefault="00454A29">
            <w:pPr>
              <w:pStyle w:val="ConsPlusNormal"/>
            </w:pPr>
          </w:p>
        </w:tc>
        <w:tc>
          <w:tcPr>
            <w:tcW w:w="1304" w:type="dxa"/>
            <w:vAlign w:val="center"/>
          </w:tcPr>
          <w:p w14:paraId="765A2B37" w14:textId="77777777" w:rsidR="00454A29" w:rsidRDefault="00454A29">
            <w:pPr>
              <w:pStyle w:val="ConsPlusNormal"/>
            </w:pPr>
          </w:p>
        </w:tc>
        <w:tc>
          <w:tcPr>
            <w:tcW w:w="1304" w:type="dxa"/>
            <w:vAlign w:val="center"/>
          </w:tcPr>
          <w:p w14:paraId="7C38C9A0" w14:textId="77777777" w:rsidR="00454A29" w:rsidRDefault="00454A29">
            <w:pPr>
              <w:pStyle w:val="ConsPlusNormal"/>
            </w:pPr>
          </w:p>
        </w:tc>
      </w:tr>
      <w:tr w:rsidR="00454A29" w14:paraId="6DAEAE41" w14:textId="77777777">
        <w:tc>
          <w:tcPr>
            <w:tcW w:w="2041" w:type="dxa"/>
            <w:vMerge/>
          </w:tcPr>
          <w:p w14:paraId="5D12B421" w14:textId="77777777" w:rsidR="00454A29" w:rsidRDefault="00454A29"/>
        </w:tc>
        <w:tc>
          <w:tcPr>
            <w:tcW w:w="3005" w:type="dxa"/>
            <w:vMerge/>
          </w:tcPr>
          <w:p w14:paraId="31953440" w14:textId="77777777" w:rsidR="00454A29" w:rsidRDefault="00454A29"/>
        </w:tc>
        <w:tc>
          <w:tcPr>
            <w:tcW w:w="2778" w:type="dxa"/>
            <w:vAlign w:val="center"/>
          </w:tcPr>
          <w:p w14:paraId="4402420F" w14:textId="77777777" w:rsidR="00454A29" w:rsidRDefault="00454A29">
            <w:pPr>
              <w:pStyle w:val="ConsPlusNormal"/>
            </w:pPr>
            <w:r>
              <w:t>Местные бюджеты</w:t>
            </w:r>
          </w:p>
        </w:tc>
        <w:tc>
          <w:tcPr>
            <w:tcW w:w="1304" w:type="dxa"/>
            <w:vAlign w:val="center"/>
          </w:tcPr>
          <w:p w14:paraId="25AD05E1" w14:textId="77777777" w:rsidR="00454A29" w:rsidRDefault="00454A29">
            <w:pPr>
              <w:pStyle w:val="ConsPlusNormal"/>
            </w:pPr>
          </w:p>
        </w:tc>
        <w:tc>
          <w:tcPr>
            <w:tcW w:w="1247" w:type="dxa"/>
            <w:vAlign w:val="center"/>
          </w:tcPr>
          <w:p w14:paraId="79C746B3" w14:textId="77777777" w:rsidR="00454A29" w:rsidRDefault="00454A29">
            <w:pPr>
              <w:pStyle w:val="ConsPlusNormal"/>
            </w:pPr>
          </w:p>
        </w:tc>
        <w:tc>
          <w:tcPr>
            <w:tcW w:w="1304" w:type="dxa"/>
            <w:vAlign w:val="center"/>
          </w:tcPr>
          <w:p w14:paraId="6CF0498B" w14:textId="77777777" w:rsidR="00454A29" w:rsidRDefault="00454A29">
            <w:pPr>
              <w:pStyle w:val="ConsPlusNormal"/>
            </w:pPr>
          </w:p>
        </w:tc>
        <w:tc>
          <w:tcPr>
            <w:tcW w:w="1304" w:type="dxa"/>
            <w:vAlign w:val="center"/>
          </w:tcPr>
          <w:p w14:paraId="594257E6" w14:textId="77777777" w:rsidR="00454A29" w:rsidRDefault="00454A29">
            <w:pPr>
              <w:pStyle w:val="ConsPlusNormal"/>
            </w:pPr>
          </w:p>
        </w:tc>
        <w:tc>
          <w:tcPr>
            <w:tcW w:w="1304" w:type="dxa"/>
            <w:vAlign w:val="center"/>
          </w:tcPr>
          <w:p w14:paraId="6132FCE0" w14:textId="77777777" w:rsidR="00454A29" w:rsidRDefault="00454A29">
            <w:pPr>
              <w:pStyle w:val="ConsPlusNormal"/>
            </w:pPr>
          </w:p>
        </w:tc>
        <w:tc>
          <w:tcPr>
            <w:tcW w:w="1304" w:type="dxa"/>
            <w:vAlign w:val="center"/>
          </w:tcPr>
          <w:p w14:paraId="7C1C13E9" w14:textId="77777777" w:rsidR="00454A29" w:rsidRDefault="00454A29">
            <w:pPr>
              <w:pStyle w:val="ConsPlusNormal"/>
            </w:pPr>
          </w:p>
        </w:tc>
        <w:tc>
          <w:tcPr>
            <w:tcW w:w="1304" w:type="dxa"/>
            <w:vAlign w:val="center"/>
          </w:tcPr>
          <w:p w14:paraId="5C34B91E" w14:textId="77777777" w:rsidR="00454A29" w:rsidRDefault="00454A29">
            <w:pPr>
              <w:pStyle w:val="ConsPlusNormal"/>
            </w:pPr>
          </w:p>
        </w:tc>
      </w:tr>
      <w:tr w:rsidR="00454A29" w14:paraId="3068E25D" w14:textId="77777777">
        <w:tc>
          <w:tcPr>
            <w:tcW w:w="2041" w:type="dxa"/>
            <w:vMerge/>
          </w:tcPr>
          <w:p w14:paraId="615FE534" w14:textId="77777777" w:rsidR="00454A29" w:rsidRDefault="00454A29"/>
        </w:tc>
        <w:tc>
          <w:tcPr>
            <w:tcW w:w="3005" w:type="dxa"/>
            <w:vMerge/>
          </w:tcPr>
          <w:p w14:paraId="36E8E3D1" w14:textId="77777777" w:rsidR="00454A29" w:rsidRDefault="00454A29"/>
        </w:tc>
        <w:tc>
          <w:tcPr>
            <w:tcW w:w="2778" w:type="dxa"/>
            <w:vAlign w:val="center"/>
          </w:tcPr>
          <w:p w14:paraId="1F78A04B" w14:textId="77777777" w:rsidR="00454A29" w:rsidRDefault="00454A29">
            <w:pPr>
              <w:pStyle w:val="ConsPlusNormal"/>
            </w:pPr>
            <w:r>
              <w:t>Минстрой РС(Я)</w:t>
            </w:r>
          </w:p>
        </w:tc>
        <w:tc>
          <w:tcPr>
            <w:tcW w:w="1304" w:type="dxa"/>
            <w:vAlign w:val="center"/>
          </w:tcPr>
          <w:p w14:paraId="71AA2F24" w14:textId="77777777" w:rsidR="00454A29" w:rsidRDefault="00454A29">
            <w:pPr>
              <w:pStyle w:val="ConsPlusNormal"/>
            </w:pPr>
          </w:p>
        </w:tc>
        <w:tc>
          <w:tcPr>
            <w:tcW w:w="1247" w:type="dxa"/>
            <w:vAlign w:val="center"/>
          </w:tcPr>
          <w:p w14:paraId="28DF6660" w14:textId="77777777" w:rsidR="00454A29" w:rsidRDefault="00454A29">
            <w:pPr>
              <w:pStyle w:val="ConsPlusNormal"/>
            </w:pPr>
          </w:p>
        </w:tc>
        <w:tc>
          <w:tcPr>
            <w:tcW w:w="1304" w:type="dxa"/>
            <w:vAlign w:val="center"/>
          </w:tcPr>
          <w:p w14:paraId="1D6732BD" w14:textId="77777777" w:rsidR="00454A29" w:rsidRDefault="00454A29">
            <w:pPr>
              <w:pStyle w:val="ConsPlusNormal"/>
            </w:pPr>
          </w:p>
        </w:tc>
        <w:tc>
          <w:tcPr>
            <w:tcW w:w="1304" w:type="dxa"/>
            <w:vAlign w:val="center"/>
          </w:tcPr>
          <w:p w14:paraId="1B12498A" w14:textId="77777777" w:rsidR="00454A29" w:rsidRDefault="00454A29">
            <w:pPr>
              <w:pStyle w:val="ConsPlusNormal"/>
            </w:pPr>
          </w:p>
        </w:tc>
        <w:tc>
          <w:tcPr>
            <w:tcW w:w="1304" w:type="dxa"/>
            <w:vAlign w:val="center"/>
          </w:tcPr>
          <w:p w14:paraId="279BF48C" w14:textId="77777777" w:rsidR="00454A29" w:rsidRDefault="00454A29">
            <w:pPr>
              <w:pStyle w:val="ConsPlusNormal"/>
            </w:pPr>
          </w:p>
        </w:tc>
        <w:tc>
          <w:tcPr>
            <w:tcW w:w="1304" w:type="dxa"/>
            <w:vAlign w:val="center"/>
          </w:tcPr>
          <w:p w14:paraId="2501684B" w14:textId="77777777" w:rsidR="00454A29" w:rsidRDefault="00454A29">
            <w:pPr>
              <w:pStyle w:val="ConsPlusNormal"/>
            </w:pPr>
          </w:p>
        </w:tc>
        <w:tc>
          <w:tcPr>
            <w:tcW w:w="1304" w:type="dxa"/>
            <w:vAlign w:val="center"/>
          </w:tcPr>
          <w:p w14:paraId="420AB906" w14:textId="77777777" w:rsidR="00454A29" w:rsidRDefault="00454A29">
            <w:pPr>
              <w:pStyle w:val="ConsPlusNormal"/>
            </w:pPr>
          </w:p>
        </w:tc>
      </w:tr>
      <w:tr w:rsidR="00454A29" w14:paraId="0C8CA113" w14:textId="77777777">
        <w:tc>
          <w:tcPr>
            <w:tcW w:w="2041" w:type="dxa"/>
            <w:vMerge/>
          </w:tcPr>
          <w:p w14:paraId="42C0D2B1" w14:textId="77777777" w:rsidR="00454A29" w:rsidRDefault="00454A29"/>
        </w:tc>
        <w:tc>
          <w:tcPr>
            <w:tcW w:w="3005" w:type="dxa"/>
            <w:vMerge/>
          </w:tcPr>
          <w:p w14:paraId="7A5FA005" w14:textId="77777777" w:rsidR="00454A29" w:rsidRDefault="00454A29"/>
        </w:tc>
        <w:tc>
          <w:tcPr>
            <w:tcW w:w="2778" w:type="dxa"/>
            <w:vAlign w:val="center"/>
          </w:tcPr>
          <w:p w14:paraId="418AEA36" w14:textId="77777777" w:rsidR="00454A29" w:rsidRDefault="00454A29">
            <w:pPr>
              <w:pStyle w:val="ConsPlusNormal"/>
            </w:pPr>
            <w:r>
              <w:t>Внебюджетные средства</w:t>
            </w:r>
          </w:p>
        </w:tc>
        <w:tc>
          <w:tcPr>
            <w:tcW w:w="1304" w:type="dxa"/>
            <w:vAlign w:val="center"/>
          </w:tcPr>
          <w:p w14:paraId="0947DFFB" w14:textId="77777777" w:rsidR="00454A29" w:rsidRDefault="00454A29">
            <w:pPr>
              <w:pStyle w:val="ConsPlusNormal"/>
            </w:pPr>
          </w:p>
        </w:tc>
        <w:tc>
          <w:tcPr>
            <w:tcW w:w="1247" w:type="dxa"/>
            <w:vAlign w:val="center"/>
          </w:tcPr>
          <w:p w14:paraId="256842CD" w14:textId="77777777" w:rsidR="00454A29" w:rsidRDefault="00454A29">
            <w:pPr>
              <w:pStyle w:val="ConsPlusNormal"/>
            </w:pPr>
          </w:p>
        </w:tc>
        <w:tc>
          <w:tcPr>
            <w:tcW w:w="1304" w:type="dxa"/>
            <w:vAlign w:val="center"/>
          </w:tcPr>
          <w:p w14:paraId="2BD7892B" w14:textId="77777777" w:rsidR="00454A29" w:rsidRDefault="00454A29">
            <w:pPr>
              <w:pStyle w:val="ConsPlusNormal"/>
            </w:pPr>
          </w:p>
        </w:tc>
        <w:tc>
          <w:tcPr>
            <w:tcW w:w="1304" w:type="dxa"/>
            <w:vAlign w:val="center"/>
          </w:tcPr>
          <w:p w14:paraId="06B5F02B" w14:textId="77777777" w:rsidR="00454A29" w:rsidRDefault="00454A29">
            <w:pPr>
              <w:pStyle w:val="ConsPlusNormal"/>
            </w:pPr>
          </w:p>
        </w:tc>
        <w:tc>
          <w:tcPr>
            <w:tcW w:w="1304" w:type="dxa"/>
            <w:vAlign w:val="center"/>
          </w:tcPr>
          <w:p w14:paraId="0CCB6848" w14:textId="77777777" w:rsidR="00454A29" w:rsidRDefault="00454A29">
            <w:pPr>
              <w:pStyle w:val="ConsPlusNormal"/>
            </w:pPr>
          </w:p>
        </w:tc>
        <w:tc>
          <w:tcPr>
            <w:tcW w:w="1304" w:type="dxa"/>
            <w:vAlign w:val="center"/>
          </w:tcPr>
          <w:p w14:paraId="726C50A5" w14:textId="77777777" w:rsidR="00454A29" w:rsidRDefault="00454A29">
            <w:pPr>
              <w:pStyle w:val="ConsPlusNormal"/>
            </w:pPr>
          </w:p>
        </w:tc>
        <w:tc>
          <w:tcPr>
            <w:tcW w:w="1304" w:type="dxa"/>
            <w:vAlign w:val="center"/>
          </w:tcPr>
          <w:p w14:paraId="405EB683" w14:textId="77777777" w:rsidR="00454A29" w:rsidRDefault="00454A29">
            <w:pPr>
              <w:pStyle w:val="ConsPlusNormal"/>
            </w:pPr>
          </w:p>
        </w:tc>
      </w:tr>
      <w:tr w:rsidR="00454A29" w14:paraId="7BCFA8E7" w14:textId="77777777">
        <w:tc>
          <w:tcPr>
            <w:tcW w:w="2041" w:type="dxa"/>
            <w:vMerge/>
          </w:tcPr>
          <w:p w14:paraId="0A0C1572" w14:textId="77777777" w:rsidR="00454A29" w:rsidRDefault="00454A29"/>
        </w:tc>
        <w:tc>
          <w:tcPr>
            <w:tcW w:w="3005" w:type="dxa"/>
            <w:vMerge/>
          </w:tcPr>
          <w:p w14:paraId="0C9F6B18" w14:textId="77777777" w:rsidR="00454A29" w:rsidRDefault="00454A29"/>
        </w:tc>
        <w:tc>
          <w:tcPr>
            <w:tcW w:w="2778" w:type="dxa"/>
            <w:vAlign w:val="center"/>
          </w:tcPr>
          <w:p w14:paraId="5ADC1F6E" w14:textId="77777777" w:rsidR="00454A29" w:rsidRDefault="00454A29">
            <w:pPr>
              <w:pStyle w:val="ConsPlusNormal"/>
            </w:pPr>
            <w:r>
              <w:t>Минстрой РС(Я)</w:t>
            </w:r>
          </w:p>
        </w:tc>
        <w:tc>
          <w:tcPr>
            <w:tcW w:w="1304" w:type="dxa"/>
            <w:vAlign w:val="center"/>
          </w:tcPr>
          <w:p w14:paraId="49AEA324" w14:textId="77777777" w:rsidR="00454A29" w:rsidRDefault="00454A29">
            <w:pPr>
              <w:pStyle w:val="ConsPlusNormal"/>
            </w:pPr>
          </w:p>
        </w:tc>
        <w:tc>
          <w:tcPr>
            <w:tcW w:w="1247" w:type="dxa"/>
            <w:vAlign w:val="center"/>
          </w:tcPr>
          <w:p w14:paraId="4BB5704C" w14:textId="77777777" w:rsidR="00454A29" w:rsidRDefault="00454A29">
            <w:pPr>
              <w:pStyle w:val="ConsPlusNormal"/>
            </w:pPr>
          </w:p>
        </w:tc>
        <w:tc>
          <w:tcPr>
            <w:tcW w:w="1304" w:type="dxa"/>
            <w:vAlign w:val="center"/>
          </w:tcPr>
          <w:p w14:paraId="0AA1F3BF" w14:textId="77777777" w:rsidR="00454A29" w:rsidRDefault="00454A29">
            <w:pPr>
              <w:pStyle w:val="ConsPlusNormal"/>
            </w:pPr>
          </w:p>
        </w:tc>
        <w:tc>
          <w:tcPr>
            <w:tcW w:w="1304" w:type="dxa"/>
            <w:vAlign w:val="center"/>
          </w:tcPr>
          <w:p w14:paraId="02109B97" w14:textId="77777777" w:rsidR="00454A29" w:rsidRDefault="00454A29">
            <w:pPr>
              <w:pStyle w:val="ConsPlusNormal"/>
            </w:pPr>
          </w:p>
        </w:tc>
        <w:tc>
          <w:tcPr>
            <w:tcW w:w="1304" w:type="dxa"/>
            <w:vAlign w:val="center"/>
          </w:tcPr>
          <w:p w14:paraId="522DA1FB" w14:textId="77777777" w:rsidR="00454A29" w:rsidRDefault="00454A29">
            <w:pPr>
              <w:pStyle w:val="ConsPlusNormal"/>
            </w:pPr>
          </w:p>
        </w:tc>
        <w:tc>
          <w:tcPr>
            <w:tcW w:w="1304" w:type="dxa"/>
            <w:vAlign w:val="center"/>
          </w:tcPr>
          <w:p w14:paraId="3BAC07E2" w14:textId="77777777" w:rsidR="00454A29" w:rsidRDefault="00454A29">
            <w:pPr>
              <w:pStyle w:val="ConsPlusNormal"/>
            </w:pPr>
          </w:p>
        </w:tc>
        <w:tc>
          <w:tcPr>
            <w:tcW w:w="1304" w:type="dxa"/>
            <w:vAlign w:val="center"/>
          </w:tcPr>
          <w:p w14:paraId="51B73095" w14:textId="77777777" w:rsidR="00454A29" w:rsidRDefault="00454A29">
            <w:pPr>
              <w:pStyle w:val="ConsPlusNormal"/>
            </w:pPr>
          </w:p>
        </w:tc>
      </w:tr>
      <w:tr w:rsidR="00454A29" w14:paraId="5E0F2F6B" w14:textId="77777777">
        <w:tc>
          <w:tcPr>
            <w:tcW w:w="2041" w:type="dxa"/>
            <w:vMerge w:val="restart"/>
            <w:vAlign w:val="center"/>
          </w:tcPr>
          <w:p w14:paraId="688FB1E2" w14:textId="77777777" w:rsidR="00454A29" w:rsidRDefault="00454A29">
            <w:pPr>
              <w:pStyle w:val="ConsPlusNormal"/>
              <w:jc w:val="center"/>
              <w:outlineLvl w:val="2"/>
            </w:pPr>
            <w:r>
              <w:t>Подпрограмма 10</w:t>
            </w:r>
          </w:p>
        </w:tc>
        <w:tc>
          <w:tcPr>
            <w:tcW w:w="3005" w:type="dxa"/>
            <w:vMerge w:val="restart"/>
            <w:vAlign w:val="center"/>
          </w:tcPr>
          <w:p w14:paraId="6BA810A1" w14:textId="77777777" w:rsidR="00454A29" w:rsidRDefault="00454A29">
            <w:pPr>
              <w:pStyle w:val="ConsPlusNormal"/>
              <w:jc w:val="center"/>
            </w:pPr>
            <w:r>
              <w:t>"Укрепление материально-технической базы организаций образования"</w:t>
            </w:r>
          </w:p>
        </w:tc>
        <w:tc>
          <w:tcPr>
            <w:tcW w:w="2778" w:type="dxa"/>
            <w:vAlign w:val="center"/>
          </w:tcPr>
          <w:p w14:paraId="2992CF0D" w14:textId="77777777" w:rsidR="00454A29" w:rsidRDefault="00454A29">
            <w:pPr>
              <w:pStyle w:val="ConsPlusNormal"/>
            </w:pPr>
            <w:r>
              <w:t>ВСЕГО:</w:t>
            </w:r>
          </w:p>
        </w:tc>
        <w:tc>
          <w:tcPr>
            <w:tcW w:w="1304" w:type="dxa"/>
            <w:vAlign w:val="center"/>
          </w:tcPr>
          <w:p w14:paraId="001DE232" w14:textId="77777777" w:rsidR="00454A29" w:rsidRDefault="00454A29">
            <w:pPr>
              <w:pStyle w:val="ConsPlusNormal"/>
              <w:jc w:val="right"/>
            </w:pPr>
            <w:r>
              <w:t>3 243 446</w:t>
            </w:r>
          </w:p>
        </w:tc>
        <w:tc>
          <w:tcPr>
            <w:tcW w:w="1247" w:type="dxa"/>
            <w:vAlign w:val="center"/>
          </w:tcPr>
          <w:p w14:paraId="157B3BAF" w14:textId="77777777" w:rsidR="00454A29" w:rsidRDefault="00454A29">
            <w:pPr>
              <w:pStyle w:val="ConsPlusNormal"/>
              <w:jc w:val="right"/>
            </w:pPr>
            <w:r>
              <w:t>3 620 609</w:t>
            </w:r>
          </w:p>
        </w:tc>
        <w:tc>
          <w:tcPr>
            <w:tcW w:w="1304" w:type="dxa"/>
            <w:vAlign w:val="center"/>
          </w:tcPr>
          <w:p w14:paraId="33AD5FCD" w14:textId="77777777" w:rsidR="00454A29" w:rsidRDefault="00454A29">
            <w:pPr>
              <w:pStyle w:val="ConsPlusNormal"/>
              <w:jc w:val="right"/>
            </w:pPr>
            <w:r>
              <w:t>1 814 370</w:t>
            </w:r>
          </w:p>
        </w:tc>
        <w:tc>
          <w:tcPr>
            <w:tcW w:w="1304" w:type="dxa"/>
            <w:vAlign w:val="center"/>
          </w:tcPr>
          <w:p w14:paraId="1D40F84C" w14:textId="77777777" w:rsidR="00454A29" w:rsidRDefault="00454A29">
            <w:pPr>
              <w:pStyle w:val="ConsPlusNormal"/>
              <w:jc w:val="right"/>
            </w:pPr>
            <w:r>
              <w:t>4 065 431</w:t>
            </w:r>
          </w:p>
        </w:tc>
        <w:tc>
          <w:tcPr>
            <w:tcW w:w="1304" w:type="dxa"/>
            <w:vAlign w:val="center"/>
          </w:tcPr>
          <w:p w14:paraId="608249D5" w14:textId="77777777" w:rsidR="00454A29" w:rsidRDefault="00454A29">
            <w:pPr>
              <w:pStyle w:val="ConsPlusNormal"/>
              <w:jc w:val="right"/>
            </w:pPr>
            <w:r>
              <w:t>5 768 945</w:t>
            </w:r>
          </w:p>
        </w:tc>
        <w:tc>
          <w:tcPr>
            <w:tcW w:w="1304" w:type="dxa"/>
            <w:vAlign w:val="center"/>
          </w:tcPr>
          <w:p w14:paraId="01576280" w14:textId="77777777" w:rsidR="00454A29" w:rsidRDefault="00454A29">
            <w:pPr>
              <w:pStyle w:val="ConsPlusNormal"/>
              <w:jc w:val="right"/>
            </w:pPr>
            <w:r>
              <w:t>6 479 698</w:t>
            </w:r>
          </w:p>
        </w:tc>
        <w:tc>
          <w:tcPr>
            <w:tcW w:w="1304" w:type="dxa"/>
            <w:vAlign w:val="center"/>
          </w:tcPr>
          <w:p w14:paraId="106A6E1E" w14:textId="77777777" w:rsidR="00454A29" w:rsidRDefault="00454A29">
            <w:pPr>
              <w:pStyle w:val="ConsPlusNormal"/>
              <w:jc w:val="right"/>
            </w:pPr>
            <w:r>
              <w:t>1 612 106</w:t>
            </w:r>
          </w:p>
        </w:tc>
      </w:tr>
      <w:tr w:rsidR="00454A29" w14:paraId="609EFD1F" w14:textId="77777777">
        <w:tc>
          <w:tcPr>
            <w:tcW w:w="2041" w:type="dxa"/>
            <w:vMerge/>
          </w:tcPr>
          <w:p w14:paraId="079AFBE5" w14:textId="77777777" w:rsidR="00454A29" w:rsidRDefault="00454A29"/>
        </w:tc>
        <w:tc>
          <w:tcPr>
            <w:tcW w:w="3005" w:type="dxa"/>
            <w:vMerge/>
          </w:tcPr>
          <w:p w14:paraId="5FBE3E15" w14:textId="77777777" w:rsidR="00454A29" w:rsidRDefault="00454A29"/>
        </w:tc>
        <w:tc>
          <w:tcPr>
            <w:tcW w:w="2778" w:type="dxa"/>
            <w:vAlign w:val="center"/>
          </w:tcPr>
          <w:p w14:paraId="206086D2" w14:textId="77777777" w:rsidR="00454A29" w:rsidRDefault="00454A29">
            <w:pPr>
              <w:pStyle w:val="ConsPlusNormal"/>
            </w:pPr>
            <w:r>
              <w:t>Государственный бюджет Республики Саха (Якутия)</w:t>
            </w:r>
          </w:p>
        </w:tc>
        <w:tc>
          <w:tcPr>
            <w:tcW w:w="1304" w:type="dxa"/>
            <w:vAlign w:val="center"/>
          </w:tcPr>
          <w:p w14:paraId="3220DBF0" w14:textId="77777777" w:rsidR="00454A29" w:rsidRDefault="00454A29">
            <w:pPr>
              <w:pStyle w:val="ConsPlusNormal"/>
              <w:jc w:val="right"/>
            </w:pPr>
            <w:r>
              <w:t>1 331 740</w:t>
            </w:r>
          </w:p>
        </w:tc>
        <w:tc>
          <w:tcPr>
            <w:tcW w:w="1247" w:type="dxa"/>
            <w:vAlign w:val="center"/>
          </w:tcPr>
          <w:p w14:paraId="31A26220" w14:textId="77777777" w:rsidR="00454A29" w:rsidRDefault="00454A29">
            <w:pPr>
              <w:pStyle w:val="ConsPlusNormal"/>
              <w:jc w:val="right"/>
            </w:pPr>
            <w:r>
              <w:t>1 310 166</w:t>
            </w:r>
          </w:p>
        </w:tc>
        <w:tc>
          <w:tcPr>
            <w:tcW w:w="1304" w:type="dxa"/>
            <w:vAlign w:val="center"/>
          </w:tcPr>
          <w:p w14:paraId="3D9B3A98" w14:textId="77777777" w:rsidR="00454A29" w:rsidRDefault="00454A29">
            <w:pPr>
              <w:pStyle w:val="ConsPlusNormal"/>
              <w:jc w:val="right"/>
            </w:pPr>
            <w:r>
              <w:t>1 348 445</w:t>
            </w:r>
          </w:p>
        </w:tc>
        <w:tc>
          <w:tcPr>
            <w:tcW w:w="1304" w:type="dxa"/>
            <w:vAlign w:val="center"/>
          </w:tcPr>
          <w:p w14:paraId="0723B250" w14:textId="77777777" w:rsidR="00454A29" w:rsidRDefault="00454A29">
            <w:pPr>
              <w:pStyle w:val="ConsPlusNormal"/>
              <w:jc w:val="right"/>
            </w:pPr>
            <w:r>
              <w:t>3 421 373</w:t>
            </w:r>
          </w:p>
        </w:tc>
        <w:tc>
          <w:tcPr>
            <w:tcW w:w="1304" w:type="dxa"/>
            <w:vAlign w:val="center"/>
          </w:tcPr>
          <w:p w14:paraId="7F7C5969" w14:textId="77777777" w:rsidR="00454A29" w:rsidRDefault="00454A29">
            <w:pPr>
              <w:pStyle w:val="ConsPlusNormal"/>
              <w:jc w:val="right"/>
            </w:pPr>
            <w:r>
              <w:t>5 219 172</w:t>
            </w:r>
          </w:p>
        </w:tc>
        <w:tc>
          <w:tcPr>
            <w:tcW w:w="1304" w:type="dxa"/>
            <w:vAlign w:val="center"/>
          </w:tcPr>
          <w:p w14:paraId="607F13BE" w14:textId="77777777" w:rsidR="00454A29" w:rsidRDefault="00454A29">
            <w:pPr>
              <w:pStyle w:val="ConsPlusNormal"/>
              <w:jc w:val="right"/>
            </w:pPr>
            <w:r>
              <w:t>6 082 838</w:t>
            </w:r>
          </w:p>
        </w:tc>
        <w:tc>
          <w:tcPr>
            <w:tcW w:w="1304" w:type="dxa"/>
            <w:vAlign w:val="center"/>
          </w:tcPr>
          <w:p w14:paraId="062550F2" w14:textId="77777777" w:rsidR="00454A29" w:rsidRDefault="00454A29">
            <w:pPr>
              <w:pStyle w:val="ConsPlusNormal"/>
              <w:jc w:val="right"/>
            </w:pPr>
            <w:r>
              <w:t>1 340 937</w:t>
            </w:r>
          </w:p>
        </w:tc>
      </w:tr>
      <w:tr w:rsidR="00454A29" w14:paraId="61B06FB3" w14:textId="77777777">
        <w:tc>
          <w:tcPr>
            <w:tcW w:w="2041" w:type="dxa"/>
            <w:vMerge/>
          </w:tcPr>
          <w:p w14:paraId="4E618AB8" w14:textId="77777777" w:rsidR="00454A29" w:rsidRDefault="00454A29"/>
        </w:tc>
        <w:tc>
          <w:tcPr>
            <w:tcW w:w="3005" w:type="dxa"/>
            <w:vMerge/>
          </w:tcPr>
          <w:p w14:paraId="0F13835F" w14:textId="77777777" w:rsidR="00454A29" w:rsidRDefault="00454A29"/>
        </w:tc>
        <w:tc>
          <w:tcPr>
            <w:tcW w:w="2778" w:type="dxa"/>
            <w:vAlign w:val="center"/>
          </w:tcPr>
          <w:p w14:paraId="7AA394C5" w14:textId="77777777" w:rsidR="00454A29" w:rsidRDefault="00454A29">
            <w:pPr>
              <w:pStyle w:val="ConsPlusNormal"/>
            </w:pPr>
            <w:r>
              <w:t>Минобрнауки РС(Я)</w:t>
            </w:r>
          </w:p>
        </w:tc>
        <w:tc>
          <w:tcPr>
            <w:tcW w:w="1304" w:type="dxa"/>
            <w:vAlign w:val="center"/>
          </w:tcPr>
          <w:p w14:paraId="708F51C9" w14:textId="77777777" w:rsidR="00454A29" w:rsidRDefault="00454A29">
            <w:pPr>
              <w:pStyle w:val="ConsPlusNormal"/>
              <w:jc w:val="right"/>
            </w:pPr>
            <w:r>
              <w:t>-</w:t>
            </w:r>
          </w:p>
        </w:tc>
        <w:tc>
          <w:tcPr>
            <w:tcW w:w="1247" w:type="dxa"/>
            <w:vAlign w:val="center"/>
          </w:tcPr>
          <w:p w14:paraId="45416E8D" w14:textId="77777777" w:rsidR="00454A29" w:rsidRDefault="00454A29">
            <w:pPr>
              <w:pStyle w:val="ConsPlusNormal"/>
              <w:jc w:val="right"/>
            </w:pPr>
            <w:r>
              <w:t>-</w:t>
            </w:r>
          </w:p>
        </w:tc>
        <w:tc>
          <w:tcPr>
            <w:tcW w:w="1304" w:type="dxa"/>
            <w:vAlign w:val="center"/>
          </w:tcPr>
          <w:p w14:paraId="7A3AEBAA" w14:textId="77777777" w:rsidR="00454A29" w:rsidRDefault="00454A29">
            <w:pPr>
              <w:pStyle w:val="ConsPlusNormal"/>
              <w:jc w:val="right"/>
            </w:pPr>
            <w:r>
              <w:t>-</w:t>
            </w:r>
          </w:p>
        </w:tc>
        <w:tc>
          <w:tcPr>
            <w:tcW w:w="1304" w:type="dxa"/>
            <w:vAlign w:val="center"/>
          </w:tcPr>
          <w:p w14:paraId="416FCDCC" w14:textId="77777777" w:rsidR="00454A29" w:rsidRDefault="00454A29">
            <w:pPr>
              <w:pStyle w:val="ConsPlusNormal"/>
              <w:jc w:val="right"/>
            </w:pPr>
            <w:r>
              <w:t>21 353</w:t>
            </w:r>
          </w:p>
        </w:tc>
        <w:tc>
          <w:tcPr>
            <w:tcW w:w="1304" w:type="dxa"/>
            <w:vAlign w:val="center"/>
          </w:tcPr>
          <w:p w14:paraId="7936DA75" w14:textId="77777777" w:rsidR="00454A29" w:rsidRDefault="00454A29">
            <w:pPr>
              <w:pStyle w:val="ConsPlusNormal"/>
              <w:jc w:val="right"/>
            </w:pPr>
            <w:r>
              <w:t>28 800</w:t>
            </w:r>
          </w:p>
        </w:tc>
        <w:tc>
          <w:tcPr>
            <w:tcW w:w="1304" w:type="dxa"/>
            <w:vAlign w:val="center"/>
          </w:tcPr>
          <w:p w14:paraId="4867A20E" w14:textId="77777777" w:rsidR="00454A29" w:rsidRDefault="00454A29">
            <w:pPr>
              <w:pStyle w:val="ConsPlusNormal"/>
              <w:jc w:val="right"/>
            </w:pPr>
            <w:r>
              <w:t>54 458</w:t>
            </w:r>
          </w:p>
        </w:tc>
        <w:tc>
          <w:tcPr>
            <w:tcW w:w="1304" w:type="dxa"/>
            <w:vAlign w:val="center"/>
          </w:tcPr>
          <w:p w14:paraId="4AC0CE20" w14:textId="77777777" w:rsidR="00454A29" w:rsidRDefault="00454A29">
            <w:pPr>
              <w:pStyle w:val="ConsPlusNormal"/>
              <w:jc w:val="right"/>
            </w:pPr>
            <w:r>
              <w:t>53 038</w:t>
            </w:r>
          </w:p>
        </w:tc>
      </w:tr>
      <w:tr w:rsidR="00454A29" w14:paraId="7474720B" w14:textId="77777777">
        <w:tc>
          <w:tcPr>
            <w:tcW w:w="2041" w:type="dxa"/>
            <w:vMerge/>
          </w:tcPr>
          <w:p w14:paraId="48BA0A35" w14:textId="77777777" w:rsidR="00454A29" w:rsidRDefault="00454A29"/>
        </w:tc>
        <w:tc>
          <w:tcPr>
            <w:tcW w:w="3005" w:type="dxa"/>
            <w:vMerge/>
          </w:tcPr>
          <w:p w14:paraId="2426677A" w14:textId="77777777" w:rsidR="00454A29" w:rsidRDefault="00454A29"/>
        </w:tc>
        <w:tc>
          <w:tcPr>
            <w:tcW w:w="2778" w:type="dxa"/>
            <w:vAlign w:val="center"/>
          </w:tcPr>
          <w:p w14:paraId="705C6D16" w14:textId="77777777" w:rsidR="00454A29" w:rsidRDefault="00454A29">
            <w:pPr>
              <w:pStyle w:val="ConsPlusNormal"/>
            </w:pPr>
            <w:r>
              <w:t>Минстрой РС(Я)</w:t>
            </w:r>
          </w:p>
        </w:tc>
        <w:tc>
          <w:tcPr>
            <w:tcW w:w="1304" w:type="dxa"/>
            <w:vAlign w:val="center"/>
          </w:tcPr>
          <w:p w14:paraId="24D1E6EB" w14:textId="77777777" w:rsidR="00454A29" w:rsidRDefault="00454A29">
            <w:pPr>
              <w:pStyle w:val="ConsPlusNormal"/>
              <w:jc w:val="right"/>
            </w:pPr>
            <w:r>
              <w:t>6 473</w:t>
            </w:r>
          </w:p>
        </w:tc>
        <w:tc>
          <w:tcPr>
            <w:tcW w:w="1247" w:type="dxa"/>
            <w:vAlign w:val="center"/>
          </w:tcPr>
          <w:p w14:paraId="23949E03" w14:textId="77777777" w:rsidR="00454A29" w:rsidRDefault="00454A29">
            <w:pPr>
              <w:pStyle w:val="ConsPlusNormal"/>
              <w:jc w:val="right"/>
            </w:pPr>
            <w:r>
              <w:t>11 655</w:t>
            </w:r>
          </w:p>
        </w:tc>
        <w:tc>
          <w:tcPr>
            <w:tcW w:w="1304" w:type="dxa"/>
            <w:vAlign w:val="center"/>
          </w:tcPr>
          <w:p w14:paraId="177EAE5C" w14:textId="77777777" w:rsidR="00454A29" w:rsidRDefault="00454A29">
            <w:pPr>
              <w:pStyle w:val="ConsPlusNormal"/>
              <w:jc w:val="right"/>
            </w:pPr>
            <w:r>
              <w:t>-</w:t>
            </w:r>
          </w:p>
        </w:tc>
        <w:tc>
          <w:tcPr>
            <w:tcW w:w="1304" w:type="dxa"/>
            <w:vAlign w:val="center"/>
          </w:tcPr>
          <w:p w14:paraId="71F3CE05" w14:textId="77777777" w:rsidR="00454A29" w:rsidRDefault="00454A29">
            <w:pPr>
              <w:pStyle w:val="ConsPlusNormal"/>
              <w:jc w:val="right"/>
            </w:pPr>
            <w:r>
              <w:t>1 903 400</w:t>
            </w:r>
          </w:p>
        </w:tc>
        <w:tc>
          <w:tcPr>
            <w:tcW w:w="1304" w:type="dxa"/>
            <w:vAlign w:val="center"/>
          </w:tcPr>
          <w:p w14:paraId="31338469" w14:textId="77777777" w:rsidR="00454A29" w:rsidRDefault="00454A29">
            <w:pPr>
              <w:pStyle w:val="ConsPlusNormal"/>
              <w:jc w:val="right"/>
            </w:pPr>
            <w:r>
              <w:t>3 747 808</w:t>
            </w:r>
          </w:p>
        </w:tc>
        <w:tc>
          <w:tcPr>
            <w:tcW w:w="1304" w:type="dxa"/>
            <w:vAlign w:val="center"/>
          </w:tcPr>
          <w:p w14:paraId="206B8DE2" w14:textId="77777777" w:rsidR="00454A29" w:rsidRDefault="00454A29">
            <w:pPr>
              <w:pStyle w:val="ConsPlusNormal"/>
              <w:jc w:val="right"/>
            </w:pPr>
            <w:r>
              <w:t>4 648 459</w:t>
            </w:r>
          </w:p>
        </w:tc>
        <w:tc>
          <w:tcPr>
            <w:tcW w:w="1304" w:type="dxa"/>
            <w:vAlign w:val="center"/>
          </w:tcPr>
          <w:p w14:paraId="592ED37E" w14:textId="77777777" w:rsidR="00454A29" w:rsidRDefault="00454A29">
            <w:pPr>
              <w:pStyle w:val="ConsPlusNormal"/>
              <w:jc w:val="right"/>
            </w:pPr>
            <w:r>
              <w:t>775 770</w:t>
            </w:r>
          </w:p>
        </w:tc>
      </w:tr>
      <w:tr w:rsidR="00454A29" w14:paraId="11827ACF" w14:textId="77777777">
        <w:tc>
          <w:tcPr>
            <w:tcW w:w="2041" w:type="dxa"/>
            <w:vMerge/>
          </w:tcPr>
          <w:p w14:paraId="32481811" w14:textId="77777777" w:rsidR="00454A29" w:rsidRDefault="00454A29"/>
        </w:tc>
        <w:tc>
          <w:tcPr>
            <w:tcW w:w="3005" w:type="dxa"/>
            <w:vMerge/>
          </w:tcPr>
          <w:p w14:paraId="12D018A0" w14:textId="77777777" w:rsidR="00454A29" w:rsidRDefault="00454A29"/>
        </w:tc>
        <w:tc>
          <w:tcPr>
            <w:tcW w:w="2778" w:type="dxa"/>
            <w:vAlign w:val="center"/>
          </w:tcPr>
          <w:p w14:paraId="544D5A6F" w14:textId="77777777" w:rsidR="00454A29" w:rsidRDefault="00454A29">
            <w:pPr>
              <w:pStyle w:val="ConsPlusNormal"/>
            </w:pPr>
            <w:r>
              <w:t>Минэкономики РС(Я)</w:t>
            </w:r>
          </w:p>
        </w:tc>
        <w:tc>
          <w:tcPr>
            <w:tcW w:w="1304" w:type="dxa"/>
            <w:vAlign w:val="center"/>
          </w:tcPr>
          <w:p w14:paraId="369349E3" w14:textId="77777777" w:rsidR="00454A29" w:rsidRDefault="00454A29">
            <w:pPr>
              <w:pStyle w:val="ConsPlusNormal"/>
              <w:jc w:val="right"/>
            </w:pPr>
            <w:r>
              <w:t>1 325 267</w:t>
            </w:r>
          </w:p>
        </w:tc>
        <w:tc>
          <w:tcPr>
            <w:tcW w:w="1247" w:type="dxa"/>
            <w:vAlign w:val="center"/>
          </w:tcPr>
          <w:p w14:paraId="4B866314" w14:textId="77777777" w:rsidR="00454A29" w:rsidRDefault="00454A29">
            <w:pPr>
              <w:pStyle w:val="ConsPlusNormal"/>
              <w:jc w:val="right"/>
            </w:pPr>
            <w:r>
              <w:t>1 298 511</w:t>
            </w:r>
          </w:p>
        </w:tc>
        <w:tc>
          <w:tcPr>
            <w:tcW w:w="1304" w:type="dxa"/>
            <w:vAlign w:val="center"/>
          </w:tcPr>
          <w:p w14:paraId="7D93D964" w14:textId="77777777" w:rsidR="00454A29" w:rsidRDefault="00454A29">
            <w:pPr>
              <w:pStyle w:val="ConsPlusNormal"/>
              <w:jc w:val="right"/>
            </w:pPr>
            <w:r>
              <w:t>1 348 445</w:t>
            </w:r>
          </w:p>
        </w:tc>
        <w:tc>
          <w:tcPr>
            <w:tcW w:w="1304" w:type="dxa"/>
            <w:vAlign w:val="center"/>
          </w:tcPr>
          <w:p w14:paraId="2C07DD72" w14:textId="77777777" w:rsidR="00454A29" w:rsidRDefault="00454A29">
            <w:pPr>
              <w:pStyle w:val="ConsPlusNormal"/>
              <w:jc w:val="right"/>
            </w:pPr>
            <w:r>
              <w:t>1 496 620</w:t>
            </w:r>
          </w:p>
        </w:tc>
        <w:tc>
          <w:tcPr>
            <w:tcW w:w="1304" w:type="dxa"/>
            <w:vAlign w:val="center"/>
          </w:tcPr>
          <w:p w14:paraId="44C72BAA" w14:textId="77777777" w:rsidR="00454A29" w:rsidRDefault="00454A29">
            <w:pPr>
              <w:pStyle w:val="ConsPlusNormal"/>
              <w:jc w:val="right"/>
            </w:pPr>
            <w:r>
              <w:t>1 442 564</w:t>
            </w:r>
          </w:p>
        </w:tc>
        <w:tc>
          <w:tcPr>
            <w:tcW w:w="1304" w:type="dxa"/>
            <w:vAlign w:val="center"/>
          </w:tcPr>
          <w:p w14:paraId="27E2FD03" w14:textId="77777777" w:rsidR="00454A29" w:rsidRDefault="00454A29">
            <w:pPr>
              <w:pStyle w:val="ConsPlusNormal"/>
              <w:jc w:val="right"/>
            </w:pPr>
            <w:r>
              <w:t>1 379 921</w:t>
            </w:r>
          </w:p>
        </w:tc>
        <w:tc>
          <w:tcPr>
            <w:tcW w:w="1304" w:type="dxa"/>
            <w:vAlign w:val="center"/>
          </w:tcPr>
          <w:p w14:paraId="4A113747" w14:textId="77777777" w:rsidR="00454A29" w:rsidRDefault="00454A29">
            <w:pPr>
              <w:pStyle w:val="ConsPlusNormal"/>
              <w:jc w:val="right"/>
            </w:pPr>
            <w:r>
              <w:t>512 129</w:t>
            </w:r>
          </w:p>
        </w:tc>
      </w:tr>
      <w:tr w:rsidR="00454A29" w14:paraId="459B9BBA" w14:textId="77777777">
        <w:tc>
          <w:tcPr>
            <w:tcW w:w="2041" w:type="dxa"/>
            <w:vMerge/>
          </w:tcPr>
          <w:p w14:paraId="55AE0CC6" w14:textId="77777777" w:rsidR="00454A29" w:rsidRDefault="00454A29"/>
        </w:tc>
        <w:tc>
          <w:tcPr>
            <w:tcW w:w="3005" w:type="dxa"/>
            <w:vMerge/>
          </w:tcPr>
          <w:p w14:paraId="112CDCE7" w14:textId="77777777" w:rsidR="00454A29" w:rsidRDefault="00454A29"/>
        </w:tc>
        <w:tc>
          <w:tcPr>
            <w:tcW w:w="2778" w:type="dxa"/>
            <w:vAlign w:val="center"/>
          </w:tcPr>
          <w:p w14:paraId="01233CA6" w14:textId="77777777" w:rsidR="00454A29" w:rsidRDefault="00454A29">
            <w:pPr>
              <w:pStyle w:val="ConsPlusNormal"/>
            </w:pPr>
            <w:r>
              <w:t>Федеральный бюджет</w:t>
            </w:r>
          </w:p>
        </w:tc>
        <w:tc>
          <w:tcPr>
            <w:tcW w:w="1304" w:type="dxa"/>
            <w:vAlign w:val="center"/>
          </w:tcPr>
          <w:p w14:paraId="3FDA5EA8" w14:textId="77777777" w:rsidR="00454A29" w:rsidRDefault="00454A29">
            <w:pPr>
              <w:pStyle w:val="ConsPlusNormal"/>
              <w:jc w:val="right"/>
            </w:pPr>
            <w:r>
              <w:t>800 876</w:t>
            </w:r>
          </w:p>
        </w:tc>
        <w:tc>
          <w:tcPr>
            <w:tcW w:w="1247" w:type="dxa"/>
            <w:vAlign w:val="center"/>
          </w:tcPr>
          <w:p w14:paraId="376E2F45" w14:textId="77777777" w:rsidR="00454A29" w:rsidRDefault="00454A29">
            <w:pPr>
              <w:pStyle w:val="ConsPlusNormal"/>
              <w:jc w:val="right"/>
            </w:pPr>
            <w:r>
              <w:t>1 313 809</w:t>
            </w:r>
          </w:p>
        </w:tc>
        <w:tc>
          <w:tcPr>
            <w:tcW w:w="1304" w:type="dxa"/>
            <w:vAlign w:val="center"/>
          </w:tcPr>
          <w:p w14:paraId="19184003" w14:textId="77777777" w:rsidR="00454A29" w:rsidRDefault="00454A29">
            <w:pPr>
              <w:pStyle w:val="ConsPlusNormal"/>
              <w:jc w:val="right"/>
            </w:pPr>
            <w:r>
              <w:t>-</w:t>
            </w:r>
          </w:p>
        </w:tc>
        <w:tc>
          <w:tcPr>
            <w:tcW w:w="1304" w:type="dxa"/>
            <w:vAlign w:val="center"/>
          </w:tcPr>
          <w:p w14:paraId="525C73AD" w14:textId="77777777" w:rsidR="00454A29" w:rsidRDefault="00454A29">
            <w:pPr>
              <w:pStyle w:val="ConsPlusNormal"/>
              <w:jc w:val="right"/>
            </w:pPr>
            <w:r>
              <w:t>-</w:t>
            </w:r>
          </w:p>
        </w:tc>
        <w:tc>
          <w:tcPr>
            <w:tcW w:w="1304" w:type="dxa"/>
            <w:vAlign w:val="center"/>
          </w:tcPr>
          <w:p w14:paraId="3FCEA3B7" w14:textId="77777777" w:rsidR="00454A29" w:rsidRDefault="00454A29">
            <w:pPr>
              <w:pStyle w:val="ConsPlusNormal"/>
              <w:jc w:val="right"/>
            </w:pPr>
            <w:r>
              <w:t>-</w:t>
            </w:r>
          </w:p>
        </w:tc>
        <w:tc>
          <w:tcPr>
            <w:tcW w:w="1304" w:type="dxa"/>
            <w:vAlign w:val="center"/>
          </w:tcPr>
          <w:p w14:paraId="756B8496" w14:textId="77777777" w:rsidR="00454A29" w:rsidRDefault="00454A29">
            <w:pPr>
              <w:pStyle w:val="ConsPlusNormal"/>
              <w:jc w:val="right"/>
            </w:pPr>
            <w:r>
              <w:t>-</w:t>
            </w:r>
          </w:p>
        </w:tc>
        <w:tc>
          <w:tcPr>
            <w:tcW w:w="1304" w:type="dxa"/>
            <w:vAlign w:val="center"/>
          </w:tcPr>
          <w:p w14:paraId="38CA57EB" w14:textId="77777777" w:rsidR="00454A29" w:rsidRDefault="00454A29">
            <w:pPr>
              <w:pStyle w:val="ConsPlusNormal"/>
              <w:jc w:val="right"/>
            </w:pPr>
            <w:r>
              <w:t>-</w:t>
            </w:r>
          </w:p>
        </w:tc>
      </w:tr>
      <w:tr w:rsidR="00454A29" w14:paraId="6D7F5D27" w14:textId="77777777">
        <w:tc>
          <w:tcPr>
            <w:tcW w:w="2041" w:type="dxa"/>
            <w:vMerge/>
          </w:tcPr>
          <w:p w14:paraId="7DB201BD" w14:textId="77777777" w:rsidR="00454A29" w:rsidRDefault="00454A29"/>
        </w:tc>
        <w:tc>
          <w:tcPr>
            <w:tcW w:w="3005" w:type="dxa"/>
            <w:vMerge/>
          </w:tcPr>
          <w:p w14:paraId="30F9A154" w14:textId="77777777" w:rsidR="00454A29" w:rsidRDefault="00454A29"/>
        </w:tc>
        <w:tc>
          <w:tcPr>
            <w:tcW w:w="2778" w:type="dxa"/>
            <w:vAlign w:val="center"/>
          </w:tcPr>
          <w:p w14:paraId="73AEDC1E" w14:textId="77777777" w:rsidR="00454A29" w:rsidRDefault="00454A29">
            <w:pPr>
              <w:pStyle w:val="ConsPlusNormal"/>
            </w:pPr>
            <w:r>
              <w:t>Минобрнауки РС(Я)</w:t>
            </w:r>
          </w:p>
        </w:tc>
        <w:tc>
          <w:tcPr>
            <w:tcW w:w="1304" w:type="dxa"/>
            <w:vAlign w:val="center"/>
          </w:tcPr>
          <w:p w14:paraId="163F6B7A" w14:textId="77777777" w:rsidR="00454A29" w:rsidRDefault="00454A29">
            <w:pPr>
              <w:pStyle w:val="ConsPlusNormal"/>
              <w:jc w:val="right"/>
            </w:pPr>
            <w:r>
              <w:t>-</w:t>
            </w:r>
          </w:p>
        </w:tc>
        <w:tc>
          <w:tcPr>
            <w:tcW w:w="1247" w:type="dxa"/>
            <w:vAlign w:val="center"/>
          </w:tcPr>
          <w:p w14:paraId="1A0AF579" w14:textId="77777777" w:rsidR="00454A29" w:rsidRDefault="00454A29">
            <w:pPr>
              <w:pStyle w:val="ConsPlusNormal"/>
              <w:jc w:val="right"/>
            </w:pPr>
            <w:r>
              <w:t>-</w:t>
            </w:r>
          </w:p>
        </w:tc>
        <w:tc>
          <w:tcPr>
            <w:tcW w:w="1304" w:type="dxa"/>
            <w:vAlign w:val="center"/>
          </w:tcPr>
          <w:p w14:paraId="3177E7BE" w14:textId="77777777" w:rsidR="00454A29" w:rsidRDefault="00454A29">
            <w:pPr>
              <w:pStyle w:val="ConsPlusNormal"/>
              <w:jc w:val="right"/>
            </w:pPr>
            <w:r>
              <w:t>-</w:t>
            </w:r>
          </w:p>
        </w:tc>
        <w:tc>
          <w:tcPr>
            <w:tcW w:w="1304" w:type="dxa"/>
            <w:vAlign w:val="center"/>
          </w:tcPr>
          <w:p w14:paraId="6002341F" w14:textId="77777777" w:rsidR="00454A29" w:rsidRDefault="00454A29">
            <w:pPr>
              <w:pStyle w:val="ConsPlusNormal"/>
              <w:jc w:val="right"/>
            </w:pPr>
            <w:r>
              <w:t>-</w:t>
            </w:r>
          </w:p>
        </w:tc>
        <w:tc>
          <w:tcPr>
            <w:tcW w:w="1304" w:type="dxa"/>
            <w:vAlign w:val="center"/>
          </w:tcPr>
          <w:p w14:paraId="4F9669C5" w14:textId="77777777" w:rsidR="00454A29" w:rsidRDefault="00454A29">
            <w:pPr>
              <w:pStyle w:val="ConsPlusNormal"/>
              <w:jc w:val="right"/>
            </w:pPr>
            <w:r>
              <w:t>-</w:t>
            </w:r>
          </w:p>
        </w:tc>
        <w:tc>
          <w:tcPr>
            <w:tcW w:w="1304" w:type="dxa"/>
            <w:vAlign w:val="center"/>
          </w:tcPr>
          <w:p w14:paraId="5864829B" w14:textId="77777777" w:rsidR="00454A29" w:rsidRDefault="00454A29">
            <w:pPr>
              <w:pStyle w:val="ConsPlusNormal"/>
              <w:jc w:val="right"/>
            </w:pPr>
            <w:r>
              <w:t>-</w:t>
            </w:r>
          </w:p>
        </w:tc>
        <w:tc>
          <w:tcPr>
            <w:tcW w:w="1304" w:type="dxa"/>
            <w:vAlign w:val="center"/>
          </w:tcPr>
          <w:p w14:paraId="22F35E8F" w14:textId="77777777" w:rsidR="00454A29" w:rsidRDefault="00454A29">
            <w:pPr>
              <w:pStyle w:val="ConsPlusNormal"/>
              <w:jc w:val="right"/>
            </w:pPr>
            <w:r>
              <w:t>-</w:t>
            </w:r>
          </w:p>
        </w:tc>
      </w:tr>
      <w:tr w:rsidR="00454A29" w14:paraId="221FE27C" w14:textId="77777777">
        <w:tc>
          <w:tcPr>
            <w:tcW w:w="2041" w:type="dxa"/>
            <w:vMerge/>
          </w:tcPr>
          <w:p w14:paraId="4A258CC4" w14:textId="77777777" w:rsidR="00454A29" w:rsidRDefault="00454A29"/>
        </w:tc>
        <w:tc>
          <w:tcPr>
            <w:tcW w:w="3005" w:type="dxa"/>
            <w:vMerge/>
          </w:tcPr>
          <w:p w14:paraId="1D960EC0" w14:textId="77777777" w:rsidR="00454A29" w:rsidRDefault="00454A29"/>
        </w:tc>
        <w:tc>
          <w:tcPr>
            <w:tcW w:w="2778" w:type="dxa"/>
            <w:vAlign w:val="center"/>
          </w:tcPr>
          <w:p w14:paraId="20C0A389" w14:textId="77777777" w:rsidR="00454A29" w:rsidRDefault="00454A29">
            <w:pPr>
              <w:pStyle w:val="ConsPlusNormal"/>
            </w:pPr>
            <w:r>
              <w:t>Минстрой РС(Я)</w:t>
            </w:r>
          </w:p>
        </w:tc>
        <w:tc>
          <w:tcPr>
            <w:tcW w:w="1304" w:type="dxa"/>
            <w:vAlign w:val="center"/>
          </w:tcPr>
          <w:p w14:paraId="194E72B3" w14:textId="77777777" w:rsidR="00454A29" w:rsidRDefault="00454A29">
            <w:pPr>
              <w:pStyle w:val="ConsPlusNormal"/>
              <w:jc w:val="right"/>
            </w:pPr>
            <w:r>
              <w:t>640 876</w:t>
            </w:r>
          </w:p>
        </w:tc>
        <w:tc>
          <w:tcPr>
            <w:tcW w:w="1247" w:type="dxa"/>
            <w:vAlign w:val="center"/>
          </w:tcPr>
          <w:p w14:paraId="7192EBC8" w14:textId="77777777" w:rsidR="00454A29" w:rsidRDefault="00454A29">
            <w:pPr>
              <w:pStyle w:val="ConsPlusNormal"/>
              <w:jc w:val="right"/>
            </w:pPr>
            <w:r>
              <w:t>1 153 809</w:t>
            </w:r>
          </w:p>
        </w:tc>
        <w:tc>
          <w:tcPr>
            <w:tcW w:w="1304" w:type="dxa"/>
            <w:vAlign w:val="center"/>
          </w:tcPr>
          <w:p w14:paraId="2C6C3EAF" w14:textId="77777777" w:rsidR="00454A29" w:rsidRDefault="00454A29">
            <w:pPr>
              <w:pStyle w:val="ConsPlusNormal"/>
              <w:jc w:val="right"/>
            </w:pPr>
            <w:r>
              <w:t>-</w:t>
            </w:r>
          </w:p>
        </w:tc>
        <w:tc>
          <w:tcPr>
            <w:tcW w:w="1304" w:type="dxa"/>
            <w:vAlign w:val="center"/>
          </w:tcPr>
          <w:p w14:paraId="4FAD901F" w14:textId="77777777" w:rsidR="00454A29" w:rsidRDefault="00454A29">
            <w:pPr>
              <w:pStyle w:val="ConsPlusNormal"/>
              <w:jc w:val="right"/>
            </w:pPr>
            <w:r>
              <w:t>-</w:t>
            </w:r>
          </w:p>
        </w:tc>
        <w:tc>
          <w:tcPr>
            <w:tcW w:w="1304" w:type="dxa"/>
            <w:vAlign w:val="center"/>
          </w:tcPr>
          <w:p w14:paraId="507ED937" w14:textId="77777777" w:rsidR="00454A29" w:rsidRDefault="00454A29">
            <w:pPr>
              <w:pStyle w:val="ConsPlusNormal"/>
              <w:jc w:val="right"/>
            </w:pPr>
            <w:r>
              <w:t>-</w:t>
            </w:r>
          </w:p>
        </w:tc>
        <w:tc>
          <w:tcPr>
            <w:tcW w:w="1304" w:type="dxa"/>
            <w:vAlign w:val="center"/>
          </w:tcPr>
          <w:p w14:paraId="2D5FF8A9" w14:textId="77777777" w:rsidR="00454A29" w:rsidRDefault="00454A29">
            <w:pPr>
              <w:pStyle w:val="ConsPlusNormal"/>
              <w:jc w:val="right"/>
            </w:pPr>
            <w:r>
              <w:t>-</w:t>
            </w:r>
          </w:p>
        </w:tc>
        <w:tc>
          <w:tcPr>
            <w:tcW w:w="1304" w:type="dxa"/>
            <w:vAlign w:val="center"/>
          </w:tcPr>
          <w:p w14:paraId="55D33187" w14:textId="77777777" w:rsidR="00454A29" w:rsidRDefault="00454A29">
            <w:pPr>
              <w:pStyle w:val="ConsPlusNormal"/>
              <w:jc w:val="right"/>
            </w:pPr>
            <w:r>
              <w:t>-</w:t>
            </w:r>
          </w:p>
        </w:tc>
      </w:tr>
      <w:tr w:rsidR="00454A29" w14:paraId="3E15F351" w14:textId="77777777">
        <w:tc>
          <w:tcPr>
            <w:tcW w:w="2041" w:type="dxa"/>
            <w:vMerge/>
          </w:tcPr>
          <w:p w14:paraId="3C406BBD" w14:textId="77777777" w:rsidR="00454A29" w:rsidRDefault="00454A29"/>
        </w:tc>
        <w:tc>
          <w:tcPr>
            <w:tcW w:w="3005" w:type="dxa"/>
            <w:vMerge/>
          </w:tcPr>
          <w:p w14:paraId="0E721073" w14:textId="77777777" w:rsidR="00454A29" w:rsidRDefault="00454A29"/>
        </w:tc>
        <w:tc>
          <w:tcPr>
            <w:tcW w:w="2778" w:type="dxa"/>
            <w:vAlign w:val="center"/>
          </w:tcPr>
          <w:p w14:paraId="48EDB6A3" w14:textId="77777777" w:rsidR="00454A29" w:rsidRDefault="00454A29">
            <w:pPr>
              <w:pStyle w:val="ConsPlusNormal"/>
            </w:pPr>
            <w:r>
              <w:t>Минэкономики РС(Я)</w:t>
            </w:r>
          </w:p>
        </w:tc>
        <w:tc>
          <w:tcPr>
            <w:tcW w:w="1304" w:type="dxa"/>
            <w:vAlign w:val="center"/>
          </w:tcPr>
          <w:p w14:paraId="62846128" w14:textId="77777777" w:rsidR="00454A29" w:rsidRDefault="00454A29">
            <w:pPr>
              <w:pStyle w:val="ConsPlusNormal"/>
              <w:jc w:val="right"/>
            </w:pPr>
            <w:r>
              <w:t>160 000</w:t>
            </w:r>
          </w:p>
        </w:tc>
        <w:tc>
          <w:tcPr>
            <w:tcW w:w="1247" w:type="dxa"/>
            <w:vAlign w:val="center"/>
          </w:tcPr>
          <w:p w14:paraId="0B90227C" w14:textId="77777777" w:rsidR="00454A29" w:rsidRDefault="00454A29">
            <w:pPr>
              <w:pStyle w:val="ConsPlusNormal"/>
              <w:jc w:val="right"/>
            </w:pPr>
            <w:r>
              <w:t>160 000</w:t>
            </w:r>
          </w:p>
        </w:tc>
        <w:tc>
          <w:tcPr>
            <w:tcW w:w="1304" w:type="dxa"/>
            <w:vAlign w:val="center"/>
          </w:tcPr>
          <w:p w14:paraId="3387B88D" w14:textId="77777777" w:rsidR="00454A29" w:rsidRDefault="00454A29">
            <w:pPr>
              <w:pStyle w:val="ConsPlusNormal"/>
              <w:jc w:val="right"/>
            </w:pPr>
            <w:r>
              <w:t>-</w:t>
            </w:r>
          </w:p>
        </w:tc>
        <w:tc>
          <w:tcPr>
            <w:tcW w:w="1304" w:type="dxa"/>
            <w:vAlign w:val="center"/>
          </w:tcPr>
          <w:p w14:paraId="78BFDA54" w14:textId="77777777" w:rsidR="00454A29" w:rsidRDefault="00454A29">
            <w:pPr>
              <w:pStyle w:val="ConsPlusNormal"/>
              <w:jc w:val="right"/>
            </w:pPr>
            <w:r>
              <w:t>-</w:t>
            </w:r>
          </w:p>
        </w:tc>
        <w:tc>
          <w:tcPr>
            <w:tcW w:w="1304" w:type="dxa"/>
            <w:vAlign w:val="center"/>
          </w:tcPr>
          <w:p w14:paraId="7327B1F0" w14:textId="77777777" w:rsidR="00454A29" w:rsidRDefault="00454A29">
            <w:pPr>
              <w:pStyle w:val="ConsPlusNormal"/>
              <w:jc w:val="right"/>
            </w:pPr>
            <w:r>
              <w:t>-</w:t>
            </w:r>
          </w:p>
        </w:tc>
        <w:tc>
          <w:tcPr>
            <w:tcW w:w="1304" w:type="dxa"/>
            <w:vAlign w:val="center"/>
          </w:tcPr>
          <w:p w14:paraId="54E233E8" w14:textId="77777777" w:rsidR="00454A29" w:rsidRDefault="00454A29">
            <w:pPr>
              <w:pStyle w:val="ConsPlusNormal"/>
              <w:jc w:val="right"/>
            </w:pPr>
            <w:r>
              <w:t>-</w:t>
            </w:r>
          </w:p>
        </w:tc>
        <w:tc>
          <w:tcPr>
            <w:tcW w:w="1304" w:type="dxa"/>
            <w:vAlign w:val="center"/>
          </w:tcPr>
          <w:p w14:paraId="04EE1E88" w14:textId="77777777" w:rsidR="00454A29" w:rsidRDefault="00454A29">
            <w:pPr>
              <w:pStyle w:val="ConsPlusNormal"/>
              <w:jc w:val="right"/>
            </w:pPr>
            <w:r>
              <w:t>-</w:t>
            </w:r>
          </w:p>
        </w:tc>
      </w:tr>
      <w:tr w:rsidR="00454A29" w14:paraId="17A476EB" w14:textId="77777777">
        <w:tc>
          <w:tcPr>
            <w:tcW w:w="2041" w:type="dxa"/>
            <w:vMerge/>
          </w:tcPr>
          <w:p w14:paraId="6B242ED5" w14:textId="77777777" w:rsidR="00454A29" w:rsidRDefault="00454A29"/>
        </w:tc>
        <w:tc>
          <w:tcPr>
            <w:tcW w:w="3005" w:type="dxa"/>
            <w:vMerge/>
          </w:tcPr>
          <w:p w14:paraId="66259B5C" w14:textId="77777777" w:rsidR="00454A29" w:rsidRDefault="00454A29"/>
        </w:tc>
        <w:tc>
          <w:tcPr>
            <w:tcW w:w="2778" w:type="dxa"/>
            <w:vAlign w:val="center"/>
          </w:tcPr>
          <w:p w14:paraId="4BC60D89" w14:textId="77777777" w:rsidR="00454A29" w:rsidRDefault="00454A29">
            <w:pPr>
              <w:pStyle w:val="ConsPlusNormal"/>
            </w:pPr>
            <w:r>
              <w:t xml:space="preserve">Муниципальные </w:t>
            </w:r>
            <w:r>
              <w:lastRenderedPageBreak/>
              <w:t>образования РС(Я)</w:t>
            </w:r>
          </w:p>
        </w:tc>
        <w:tc>
          <w:tcPr>
            <w:tcW w:w="1304" w:type="dxa"/>
            <w:vAlign w:val="center"/>
          </w:tcPr>
          <w:p w14:paraId="080216F1" w14:textId="77777777" w:rsidR="00454A29" w:rsidRDefault="00454A29">
            <w:pPr>
              <w:pStyle w:val="ConsPlusNormal"/>
              <w:jc w:val="right"/>
            </w:pPr>
            <w:r>
              <w:lastRenderedPageBreak/>
              <w:t>-</w:t>
            </w:r>
          </w:p>
        </w:tc>
        <w:tc>
          <w:tcPr>
            <w:tcW w:w="1247" w:type="dxa"/>
            <w:vAlign w:val="center"/>
          </w:tcPr>
          <w:p w14:paraId="5336CAAE" w14:textId="77777777" w:rsidR="00454A29" w:rsidRDefault="00454A29">
            <w:pPr>
              <w:pStyle w:val="ConsPlusNormal"/>
              <w:jc w:val="right"/>
            </w:pPr>
            <w:r>
              <w:t>-</w:t>
            </w:r>
          </w:p>
        </w:tc>
        <w:tc>
          <w:tcPr>
            <w:tcW w:w="1304" w:type="dxa"/>
            <w:vAlign w:val="center"/>
          </w:tcPr>
          <w:p w14:paraId="780A58B6" w14:textId="77777777" w:rsidR="00454A29" w:rsidRDefault="00454A29">
            <w:pPr>
              <w:pStyle w:val="ConsPlusNormal"/>
              <w:jc w:val="right"/>
            </w:pPr>
            <w:r>
              <w:t>-</w:t>
            </w:r>
          </w:p>
        </w:tc>
        <w:tc>
          <w:tcPr>
            <w:tcW w:w="1304" w:type="dxa"/>
            <w:vAlign w:val="center"/>
          </w:tcPr>
          <w:p w14:paraId="3FFA46B6" w14:textId="77777777" w:rsidR="00454A29" w:rsidRDefault="00454A29">
            <w:pPr>
              <w:pStyle w:val="ConsPlusNormal"/>
              <w:jc w:val="right"/>
            </w:pPr>
            <w:r>
              <w:t>-</w:t>
            </w:r>
          </w:p>
        </w:tc>
        <w:tc>
          <w:tcPr>
            <w:tcW w:w="1304" w:type="dxa"/>
            <w:vAlign w:val="center"/>
          </w:tcPr>
          <w:p w14:paraId="7F77930C" w14:textId="77777777" w:rsidR="00454A29" w:rsidRDefault="00454A29">
            <w:pPr>
              <w:pStyle w:val="ConsPlusNormal"/>
              <w:jc w:val="right"/>
            </w:pPr>
            <w:r>
              <w:t>-</w:t>
            </w:r>
          </w:p>
        </w:tc>
        <w:tc>
          <w:tcPr>
            <w:tcW w:w="1304" w:type="dxa"/>
            <w:vAlign w:val="center"/>
          </w:tcPr>
          <w:p w14:paraId="295138E2" w14:textId="77777777" w:rsidR="00454A29" w:rsidRDefault="00454A29">
            <w:pPr>
              <w:pStyle w:val="ConsPlusNormal"/>
              <w:jc w:val="right"/>
            </w:pPr>
            <w:r>
              <w:t>-</w:t>
            </w:r>
          </w:p>
        </w:tc>
        <w:tc>
          <w:tcPr>
            <w:tcW w:w="1304" w:type="dxa"/>
            <w:vAlign w:val="center"/>
          </w:tcPr>
          <w:p w14:paraId="2C0003F4" w14:textId="77777777" w:rsidR="00454A29" w:rsidRDefault="00454A29">
            <w:pPr>
              <w:pStyle w:val="ConsPlusNormal"/>
              <w:jc w:val="right"/>
            </w:pPr>
            <w:r>
              <w:t>-</w:t>
            </w:r>
          </w:p>
        </w:tc>
      </w:tr>
      <w:tr w:rsidR="00454A29" w14:paraId="00738BFB" w14:textId="77777777">
        <w:tc>
          <w:tcPr>
            <w:tcW w:w="2041" w:type="dxa"/>
            <w:vMerge/>
          </w:tcPr>
          <w:p w14:paraId="1B72CF98" w14:textId="77777777" w:rsidR="00454A29" w:rsidRDefault="00454A29"/>
        </w:tc>
        <w:tc>
          <w:tcPr>
            <w:tcW w:w="3005" w:type="dxa"/>
            <w:vMerge/>
          </w:tcPr>
          <w:p w14:paraId="1E92B2DE" w14:textId="77777777" w:rsidR="00454A29" w:rsidRDefault="00454A29"/>
        </w:tc>
        <w:tc>
          <w:tcPr>
            <w:tcW w:w="2778" w:type="dxa"/>
            <w:vAlign w:val="center"/>
          </w:tcPr>
          <w:p w14:paraId="7CE4AE69" w14:textId="77777777" w:rsidR="00454A29" w:rsidRDefault="00454A29">
            <w:pPr>
              <w:pStyle w:val="ConsPlusNormal"/>
            </w:pPr>
            <w:r>
              <w:t>Местные бюджеты</w:t>
            </w:r>
          </w:p>
        </w:tc>
        <w:tc>
          <w:tcPr>
            <w:tcW w:w="1304" w:type="dxa"/>
            <w:vAlign w:val="center"/>
          </w:tcPr>
          <w:p w14:paraId="6C03E216" w14:textId="77777777" w:rsidR="00454A29" w:rsidRDefault="00454A29">
            <w:pPr>
              <w:pStyle w:val="ConsPlusNormal"/>
              <w:jc w:val="right"/>
            </w:pPr>
            <w:r>
              <w:t>415 802</w:t>
            </w:r>
          </w:p>
        </w:tc>
        <w:tc>
          <w:tcPr>
            <w:tcW w:w="1247" w:type="dxa"/>
            <w:vAlign w:val="center"/>
          </w:tcPr>
          <w:p w14:paraId="6C054E37" w14:textId="77777777" w:rsidR="00454A29" w:rsidRDefault="00454A29">
            <w:pPr>
              <w:pStyle w:val="ConsPlusNormal"/>
              <w:jc w:val="right"/>
            </w:pPr>
            <w:r>
              <w:t>448 436</w:t>
            </w:r>
          </w:p>
        </w:tc>
        <w:tc>
          <w:tcPr>
            <w:tcW w:w="1304" w:type="dxa"/>
            <w:vAlign w:val="center"/>
          </w:tcPr>
          <w:p w14:paraId="2296874C" w14:textId="77777777" w:rsidR="00454A29" w:rsidRDefault="00454A29">
            <w:pPr>
              <w:pStyle w:val="ConsPlusNormal"/>
              <w:jc w:val="right"/>
            </w:pPr>
            <w:r>
              <w:t>465 925</w:t>
            </w:r>
          </w:p>
        </w:tc>
        <w:tc>
          <w:tcPr>
            <w:tcW w:w="1304" w:type="dxa"/>
            <w:vAlign w:val="center"/>
          </w:tcPr>
          <w:p w14:paraId="03D13712" w14:textId="77777777" w:rsidR="00454A29" w:rsidRDefault="00454A29">
            <w:pPr>
              <w:pStyle w:val="ConsPlusNormal"/>
              <w:jc w:val="right"/>
            </w:pPr>
            <w:r>
              <w:t>644 058</w:t>
            </w:r>
          </w:p>
        </w:tc>
        <w:tc>
          <w:tcPr>
            <w:tcW w:w="1304" w:type="dxa"/>
            <w:vAlign w:val="center"/>
          </w:tcPr>
          <w:p w14:paraId="0C3A5375" w14:textId="77777777" w:rsidR="00454A29" w:rsidRDefault="00454A29">
            <w:pPr>
              <w:pStyle w:val="ConsPlusNormal"/>
              <w:jc w:val="right"/>
            </w:pPr>
            <w:r>
              <w:t>549 773</w:t>
            </w:r>
          </w:p>
        </w:tc>
        <w:tc>
          <w:tcPr>
            <w:tcW w:w="1304" w:type="dxa"/>
            <w:vAlign w:val="center"/>
          </w:tcPr>
          <w:p w14:paraId="34A05F89" w14:textId="77777777" w:rsidR="00454A29" w:rsidRDefault="00454A29">
            <w:pPr>
              <w:pStyle w:val="ConsPlusNormal"/>
              <w:jc w:val="right"/>
            </w:pPr>
            <w:r>
              <w:t>396 860</w:t>
            </w:r>
          </w:p>
        </w:tc>
        <w:tc>
          <w:tcPr>
            <w:tcW w:w="1304" w:type="dxa"/>
            <w:vAlign w:val="center"/>
          </w:tcPr>
          <w:p w14:paraId="077DCECF" w14:textId="77777777" w:rsidR="00454A29" w:rsidRDefault="00454A29">
            <w:pPr>
              <w:pStyle w:val="ConsPlusNormal"/>
              <w:jc w:val="right"/>
            </w:pPr>
            <w:r>
              <w:t>271 169</w:t>
            </w:r>
          </w:p>
        </w:tc>
      </w:tr>
      <w:tr w:rsidR="00454A29" w14:paraId="06A16F82" w14:textId="77777777">
        <w:tc>
          <w:tcPr>
            <w:tcW w:w="2041" w:type="dxa"/>
            <w:vMerge/>
          </w:tcPr>
          <w:p w14:paraId="6BCDD92C" w14:textId="77777777" w:rsidR="00454A29" w:rsidRDefault="00454A29"/>
        </w:tc>
        <w:tc>
          <w:tcPr>
            <w:tcW w:w="3005" w:type="dxa"/>
            <w:vMerge/>
          </w:tcPr>
          <w:p w14:paraId="531167A4" w14:textId="77777777" w:rsidR="00454A29" w:rsidRDefault="00454A29"/>
        </w:tc>
        <w:tc>
          <w:tcPr>
            <w:tcW w:w="2778" w:type="dxa"/>
            <w:vAlign w:val="center"/>
          </w:tcPr>
          <w:p w14:paraId="5DC1F14B" w14:textId="77777777" w:rsidR="00454A29" w:rsidRDefault="00454A29">
            <w:pPr>
              <w:pStyle w:val="ConsPlusNormal"/>
            </w:pPr>
            <w:r>
              <w:t>Минобрнауки РС(Я)</w:t>
            </w:r>
          </w:p>
        </w:tc>
        <w:tc>
          <w:tcPr>
            <w:tcW w:w="1304" w:type="dxa"/>
            <w:vAlign w:val="center"/>
          </w:tcPr>
          <w:p w14:paraId="7452A79B" w14:textId="77777777" w:rsidR="00454A29" w:rsidRDefault="00454A29">
            <w:pPr>
              <w:pStyle w:val="ConsPlusNormal"/>
              <w:jc w:val="right"/>
            </w:pPr>
            <w:r>
              <w:t>-</w:t>
            </w:r>
          </w:p>
        </w:tc>
        <w:tc>
          <w:tcPr>
            <w:tcW w:w="1247" w:type="dxa"/>
            <w:vAlign w:val="center"/>
          </w:tcPr>
          <w:p w14:paraId="21F4CB96" w14:textId="77777777" w:rsidR="00454A29" w:rsidRDefault="00454A29">
            <w:pPr>
              <w:pStyle w:val="ConsPlusNormal"/>
              <w:jc w:val="right"/>
            </w:pPr>
            <w:r>
              <w:t>-</w:t>
            </w:r>
          </w:p>
        </w:tc>
        <w:tc>
          <w:tcPr>
            <w:tcW w:w="1304" w:type="dxa"/>
            <w:vAlign w:val="center"/>
          </w:tcPr>
          <w:p w14:paraId="47331115" w14:textId="77777777" w:rsidR="00454A29" w:rsidRDefault="00454A29">
            <w:pPr>
              <w:pStyle w:val="ConsPlusNormal"/>
              <w:jc w:val="right"/>
            </w:pPr>
            <w:r>
              <w:t>-</w:t>
            </w:r>
          </w:p>
        </w:tc>
        <w:tc>
          <w:tcPr>
            <w:tcW w:w="1304" w:type="dxa"/>
            <w:vAlign w:val="center"/>
          </w:tcPr>
          <w:p w14:paraId="0D23396F" w14:textId="77777777" w:rsidR="00454A29" w:rsidRDefault="00454A29">
            <w:pPr>
              <w:pStyle w:val="ConsPlusNormal"/>
              <w:jc w:val="right"/>
            </w:pPr>
            <w:r>
              <w:t>-</w:t>
            </w:r>
          </w:p>
        </w:tc>
        <w:tc>
          <w:tcPr>
            <w:tcW w:w="1304" w:type="dxa"/>
            <w:vAlign w:val="center"/>
          </w:tcPr>
          <w:p w14:paraId="1B5F12E5" w14:textId="77777777" w:rsidR="00454A29" w:rsidRDefault="00454A29">
            <w:pPr>
              <w:pStyle w:val="ConsPlusNormal"/>
              <w:jc w:val="right"/>
            </w:pPr>
            <w:r>
              <w:t>-</w:t>
            </w:r>
          </w:p>
        </w:tc>
        <w:tc>
          <w:tcPr>
            <w:tcW w:w="1304" w:type="dxa"/>
            <w:vAlign w:val="center"/>
          </w:tcPr>
          <w:p w14:paraId="29649E2E" w14:textId="77777777" w:rsidR="00454A29" w:rsidRDefault="00454A29">
            <w:pPr>
              <w:pStyle w:val="ConsPlusNormal"/>
              <w:jc w:val="right"/>
            </w:pPr>
            <w:r>
              <w:t>-</w:t>
            </w:r>
          </w:p>
        </w:tc>
        <w:tc>
          <w:tcPr>
            <w:tcW w:w="1304" w:type="dxa"/>
            <w:vAlign w:val="center"/>
          </w:tcPr>
          <w:p w14:paraId="14150D07" w14:textId="77777777" w:rsidR="00454A29" w:rsidRDefault="00454A29">
            <w:pPr>
              <w:pStyle w:val="ConsPlusNormal"/>
              <w:jc w:val="right"/>
            </w:pPr>
            <w:r>
              <w:t>-</w:t>
            </w:r>
          </w:p>
        </w:tc>
      </w:tr>
      <w:tr w:rsidR="00454A29" w14:paraId="61A98174" w14:textId="77777777">
        <w:tc>
          <w:tcPr>
            <w:tcW w:w="2041" w:type="dxa"/>
            <w:vMerge/>
          </w:tcPr>
          <w:p w14:paraId="7A3F76E9" w14:textId="77777777" w:rsidR="00454A29" w:rsidRDefault="00454A29"/>
        </w:tc>
        <w:tc>
          <w:tcPr>
            <w:tcW w:w="3005" w:type="dxa"/>
            <w:vMerge/>
          </w:tcPr>
          <w:p w14:paraId="6FC1BAAF" w14:textId="77777777" w:rsidR="00454A29" w:rsidRDefault="00454A29"/>
        </w:tc>
        <w:tc>
          <w:tcPr>
            <w:tcW w:w="2778" w:type="dxa"/>
            <w:vAlign w:val="center"/>
          </w:tcPr>
          <w:p w14:paraId="7623B718" w14:textId="77777777" w:rsidR="00454A29" w:rsidRDefault="00454A29">
            <w:pPr>
              <w:pStyle w:val="ConsPlusNormal"/>
            </w:pPr>
            <w:r>
              <w:t>Минстрой РС(Я)</w:t>
            </w:r>
          </w:p>
        </w:tc>
        <w:tc>
          <w:tcPr>
            <w:tcW w:w="1304" w:type="dxa"/>
            <w:vAlign w:val="center"/>
          </w:tcPr>
          <w:p w14:paraId="533406BC" w14:textId="77777777" w:rsidR="00454A29" w:rsidRDefault="00454A29">
            <w:pPr>
              <w:pStyle w:val="ConsPlusNormal"/>
              <w:jc w:val="right"/>
            </w:pPr>
            <w:r>
              <w:t>4 575</w:t>
            </w:r>
          </w:p>
        </w:tc>
        <w:tc>
          <w:tcPr>
            <w:tcW w:w="1247" w:type="dxa"/>
            <w:vAlign w:val="center"/>
          </w:tcPr>
          <w:p w14:paraId="0DF32D3F" w14:textId="77777777" w:rsidR="00454A29" w:rsidRDefault="00454A29">
            <w:pPr>
              <w:pStyle w:val="ConsPlusNormal"/>
              <w:jc w:val="right"/>
            </w:pPr>
            <w:r>
              <w:t>8 486</w:t>
            </w:r>
          </w:p>
        </w:tc>
        <w:tc>
          <w:tcPr>
            <w:tcW w:w="1304" w:type="dxa"/>
            <w:vAlign w:val="center"/>
          </w:tcPr>
          <w:p w14:paraId="451B8049" w14:textId="77777777" w:rsidR="00454A29" w:rsidRDefault="00454A29">
            <w:pPr>
              <w:pStyle w:val="ConsPlusNormal"/>
              <w:jc w:val="right"/>
            </w:pPr>
            <w:r>
              <w:t>-</w:t>
            </w:r>
          </w:p>
        </w:tc>
        <w:tc>
          <w:tcPr>
            <w:tcW w:w="1304" w:type="dxa"/>
            <w:vAlign w:val="center"/>
          </w:tcPr>
          <w:p w14:paraId="4B15456A" w14:textId="77777777" w:rsidR="00454A29" w:rsidRDefault="00454A29">
            <w:pPr>
              <w:pStyle w:val="ConsPlusNormal"/>
              <w:jc w:val="right"/>
            </w:pPr>
            <w:r>
              <w:t>10 000</w:t>
            </w:r>
          </w:p>
        </w:tc>
        <w:tc>
          <w:tcPr>
            <w:tcW w:w="1304" w:type="dxa"/>
            <w:vAlign w:val="center"/>
          </w:tcPr>
          <w:p w14:paraId="0A14C5A2" w14:textId="77777777" w:rsidR="00454A29" w:rsidRDefault="00454A29">
            <w:pPr>
              <w:pStyle w:val="ConsPlusNormal"/>
              <w:jc w:val="right"/>
            </w:pPr>
            <w:r>
              <w:t>-</w:t>
            </w:r>
          </w:p>
        </w:tc>
        <w:tc>
          <w:tcPr>
            <w:tcW w:w="1304" w:type="dxa"/>
            <w:vAlign w:val="center"/>
          </w:tcPr>
          <w:p w14:paraId="59EE8E53" w14:textId="77777777" w:rsidR="00454A29" w:rsidRDefault="00454A29">
            <w:pPr>
              <w:pStyle w:val="ConsPlusNormal"/>
              <w:jc w:val="right"/>
            </w:pPr>
            <w:r>
              <w:t>-</w:t>
            </w:r>
          </w:p>
        </w:tc>
        <w:tc>
          <w:tcPr>
            <w:tcW w:w="1304" w:type="dxa"/>
            <w:vAlign w:val="center"/>
          </w:tcPr>
          <w:p w14:paraId="2FD6E204" w14:textId="77777777" w:rsidR="00454A29" w:rsidRDefault="00454A29">
            <w:pPr>
              <w:pStyle w:val="ConsPlusNormal"/>
              <w:jc w:val="right"/>
            </w:pPr>
            <w:r>
              <w:t>-</w:t>
            </w:r>
          </w:p>
        </w:tc>
      </w:tr>
      <w:tr w:rsidR="00454A29" w14:paraId="690A700F" w14:textId="77777777">
        <w:tc>
          <w:tcPr>
            <w:tcW w:w="2041" w:type="dxa"/>
            <w:vMerge/>
          </w:tcPr>
          <w:p w14:paraId="3ED81C5A" w14:textId="77777777" w:rsidR="00454A29" w:rsidRDefault="00454A29"/>
        </w:tc>
        <w:tc>
          <w:tcPr>
            <w:tcW w:w="3005" w:type="dxa"/>
            <w:vMerge/>
          </w:tcPr>
          <w:p w14:paraId="03C4810A" w14:textId="77777777" w:rsidR="00454A29" w:rsidRDefault="00454A29"/>
        </w:tc>
        <w:tc>
          <w:tcPr>
            <w:tcW w:w="2778" w:type="dxa"/>
            <w:vAlign w:val="center"/>
          </w:tcPr>
          <w:p w14:paraId="24971608" w14:textId="77777777" w:rsidR="00454A29" w:rsidRDefault="00454A29">
            <w:pPr>
              <w:pStyle w:val="ConsPlusNormal"/>
            </w:pPr>
            <w:r>
              <w:t>Муниципальные образования РС(Я)</w:t>
            </w:r>
          </w:p>
        </w:tc>
        <w:tc>
          <w:tcPr>
            <w:tcW w:w="1304" w:type="dxa"/>
            <w:vAlign w:val="center"/>
          </w:tcPr>
          <w:p w14:paraId="5334E9A0" w14:textId="77777777" w:rsidR="00454A29" w:rsidRDefault="00454A29">
            <w:pPr>
              <w:pStyle w:val="ConsPlusNormal"/>
              <w:jc w:val="right"/>
            </w:pPr>
            <w:r>
              <w:t>-</w:t>
            </w:r>
          </w:p>
        </w:tc>
        <w:tc>
          <w:tcPr>
            <w:tcW w:w="1247" w:type="dxa"/>
            <w:vAlign w:val="center"/>
          </w:tcPr>
          <w:p w14:paraId="2FF38C39" w14:textId="77777777" w:rsidR="00454A29" w:rsidRDefault="00454A29">
            <w:pPr>
              <w:pStyle w:val="ConsPlusNormal"/>
              <w:jc w:val="right"/>
            </w:pPr>
            <w:r>
              <w:t>-</w:t>
            </w:r>
          </w:p>
        </w:tc>
        <w:tc>
          <w:tcPr>
            <w:tcW w:w="1304" w:type="dxa"/>
            <w:vAlign w:val="center"/>
          </w:tcPr>
          <w:p w14:paraId="2D572C2B" w14:textId="77777777" w:rsidR="00454A29" w:rsidRDefault="00454A29">
            <w:pPr>
              <w:pStyle w:val="ConsPlusNormal"/>
              <w:jc w:val="right"/>
            </w:pPr>
            <w:r>
              <w:t>-</w:t>
            </w:r>
          </w:p>
        </w:tc>
        <w:tc>
          <w:tcPr>
            <w:tcW w:w="1304" w:type="dxa"/>
            <w:vAlign w:val="center"/>
          </w:tcPr>
          <w:p w14:paraId="04462FB6" w14:textId="77777777" w:rsidR="00454A29" w:rsidRDefault="00454A29">
            <w:pPr>
              <w:pStyle w:val="ConsPlusNormal"/>
              <w:jc w:val="right"/>
            </w:pPr>
            <w:r>
              <w:t>-</w:t>
            </w:r>
          </w:p>
        </w:tc>
        <w:tc>
          <w:tcPr>
            <w:tcW w:w="1304" w:type="dxa"/>
            <w:vAlign w:val="center"/>
          </w:tcPr>
          <w:p w14:paraId="13A1148A" w14:textId="77777777" w:rsidR="00454A29" w:rsidRDefault="00454A29">
            <w:pPr>
              <w:pStyle w:val="ConsPlusNormal"/>
              <w:jc w:val="right"/>
            </w:pPr>
            <w:r>
              <w:t>-</w:t>
            </w:r>
          </w:p>
        </w:tc>
        <w:tc>
          <w:tcPr>
            <w:tcW w:w="1304" w:type="dxa"/>
            <w:vAlign w:val="center"/>
          </w:tcPr>
          <w:p w14:paraId="259DA72F" w14:textId="77777777" w:rsidR="00454A29" w:rsidRDefault="00454A29">
            <w:pPr>
              <w:pStyle w:val="ConsPlusNormal"/>
              <w:jc w:val="right"/>
            </w:pPr>
            <w:r>
              <w:t>-</w:t>
            </w:r>
          </w:p>
        </w:tc>
        <w:tc>
          <w:tcPr>
            <w:tcW w:w="1304" w:type="dxa"/>
            <w:vAlign w:val="center"/>
          </w:tcPr>
          <w:p w14:paraId="2C2380A1" w14:textId="77777777" w:rsidR="00454A29" w:rsidRDefault="00454A29">
            <w:pPr>
              <w:pStyle w:val="ConsPlusNormal"/>
              <w:jc w:val="right"/>
            </w:pPr>
            <w:r>
              <w:t>-</w:t>
            </w:r>
          </w:p>
        </w:tc>
      </w:tr>
      <w:tr w:rsidR="00454A29" w14:paraId="6C526605" w14:textId="77777777">
        <w:tc>
          <w:tcPr>
            <w:tcW w:w="2041" w:type="dxa"/>
            <w:vMerge/>
          </w:tcPr>
          <w:p w14:paraId="5079EBE8" w14:textId="77777777" w:rsidR="00454A29" w:rsidRDefault="00454A29"/>
        </w:tc>
        <w:tc>
          <w:tcPr>
            <w:tcW w:w="3005" w:type="dxa"/>
            <w:vMerge/>
          </w:tcPr>
          <w:p w14:paraId="705BF1CE" w14:textId="77777777" w:rsidR="00454A29" w:rsidRDefault="00454A29"/>
        </w:tc>
        <w:tc>
          <w:tcPr>
            <w:tcW w:w="2778" w:type="dxa"/>
            <w:vAlign w:val="center"/>
          </w:tcPr>
          <w:p w14:paraId="12585377" w14:textId="77777777" w:rsidR="00454A29" w:rsidRDefault="00454A29">
            <w:pPr>
              <w:pStyle w:val="ConsPlusNormal"/>
            </w:pPr>
            <w:r>
              <w:t>Минэкономики РС(Я)</w:t>
            </w:r>
          </w:p>
        </w:tc>
        <w:tc>
          <w:tcPr>
            <w:tcW w:w="1304" w:type="dxa"/>
            <w:vAlign w:val="center"/>
          </w:tcPr>
          <w:p w14:paraId="6186B7CC" w14:textId="77777777" w:rsidR="00454A29" w:rsidRDefault="00454A29">
            <w:pPr>
              <w:pStyle w:val="ConsPlusNormal"/>
              <w:jc w:val="right"/>
            </w:pPr>
            <w:r>
              <w:t>411 227</w:t>
            </w:r>
          </w:p>
        </w:tc>
        <w:tc>
          <w:tcPr>
            <w:tcW w:w="1247" w:type="dxa"/>
            <w:vAlign w:val="center"/>
          </w:tcPr>
          <w:p w14:paraId="0845F676" w14:textId="77777777" w:rsidR="00454A29" w:rsidRDefault="00454A29">
            <w:pPr>
              <w:pStyle w:val="ConsPlusNormal"/>
              <w:jc w:val="right"/>
            </w:pPr>
            <w:r>
              <w:t>439 950</w:t>
            </w:r>
          </w:p>
        </w:tc>
        <w:tc>
          <w:tcPr>
            <w:tcW w:w="1304" w:type="dxa"/>
            <w:vAlign w:val="center"/>
          </w:tcPr>
          <w:p w14:paraId="7F0CCF2D" w14:textId="77777777" w:rsidR="00454A29" w:rsidRDefault="00454A29">
            <w:pPr>
              <w:pStyle w:val="ConsPlusNormal"/>
              <w:jc w:val="right"/>
            </w:pPr>
            <w:r>
              <w:t>465 925</w:t>
            </w:r>
          </w:p>
        </w:tc>
        <w:tc>
          <w:tcPr>
            <w:tcW w:w="1304" w:type="dxa"/>
            <w:vAlign w:val="center"/>
          </w:tcPr>
          <w:p w14:paraId="2974E809" w14:textId="77777777" w:rsidR="00454A29" w:rsidRDefault="00454A29">
            <w:pPr>
              <w:pStyle w:val="ConsPlusNormal"/>
              <w:jc w:val="right"/>
            </w:pPr>
            <w:r>
              <w:t>634 058</w:t>
            </w:r>
          </w:p>
        </w:tc>
        <w:tc>
          <w:tcPr>
            <w:tcW w:w="1304" w:type="dxa"/>
            <w:vAlign w:val="center"/>
          </w:tcPr>
          <w:p w14:paraId="04F67053" w14:textId="77777777" w:rsidR="00454A29" w:rsidRDefault="00454A29">
            <w:pPr>
              <w:pStyle w:val="ConsPlusNormal"/>
              <w:jc w:val="right"/>
            </w:pPr>
            <w:r>
              <w:t>549 773</w:t>
            </w:r>
          </w:p>
        </w:tc>
        <w:tc>
          <w:tcPr>
            <w:tcW w:w="1304" w:type="dxa"/>
            <w:vAlign w:val="center"/>
          </w:tcPr>
          <w:p w14:paraId="7D3FC577" w14:textId="77777777" w:rsidR="00454A29" w:rsidRDefault="00454A29">
            <w:pPr>
              <w:pStyle w:val="ConsPlusNormal"/>
              <w:jc w:val="right"/>
            </w:pPr>
            <w:r>
              <w:t>396 860</w:t>
            </w:r>
          </w:p>
        </w:tc>
        <w:tc>
          <w:tcPr>
            <w:tcW w:w="1304" w:type="dxa"/>
            <w:vAlign w:val="center"/>
          </w:tcPr>
          <w:p w14:paraId="1287519B" w14:textId="77777777" w:rsidR="00454A29" w:rsidRDefault="00454A29">
            <w:pPr>
              <w:pStyle w:val="ConsPlusNormal"/>
              <w:jc w:val="right"/>
            </w:pPr>
            <w:r>
              <w:t>271 169</w:t>
            </w:r>
          </w:p>
        </w:tc>
      </w:tr>
      <w:tr w:rsidR="00454A29" w14:paraId="5287DD32" w14:textId="77777777">
        <w:tc>
          <w:tcPr>
            <w:tcW w:w="2041" w:type="dxa"/>
            <w:vMerge/>
          </w:tcPr>
          <w:p w14:paraId="3020CF4B" w14:textId="77777777" w:rsidR="00454A29" w:rsidRDefault="00454A29"/>
        </w:tc>
        <w:tc>
          <w:tcPr>
            <w:tcW w:w="3005" w:type="dxa"/>
            <w:vMerge/>
          </w:tcPr>
          <w:p w14:paraId="75BD4549" w14:textId="77777777" w:rsidR="00454A29" w:rsidRDefault="00454A29"/>
        </w:tc>
        <w:tc>
          <w:tcPr>
            <w:tcW w:w="2778" w:type="dxa"/>
            <w:vAlign w:val="center"/>
          </w:tcPr>
          <w:p w14:paraId="791807F0" w14:textId="77777777" w:rsidR="00454A29" w:rsidRDefault="00454A29">
            <w:pPr>
              <w:pStyle w:val="ConsPlusNormal"/>
            </w:pPr>
            <w:r>
              <w:t>Внебюджетные средства</w:t>
            </w:r>
          </w:p>
        </w:tc>
        <w:tc>
          <w:tcPr>
            <w:tcW w:w="1304" w:type="dxa"/>
            <w:vAlign w:val="center"/>
          </w:tcPr>
          <w:p w14:paraId="29F57D4C" w14:textId="77777777" w:rsidR="00454A29" w:rsidRDefault="00454A29">
            <w:pPr>
              <w:pStyle w:val="ConsPlusNormal"/>
              <w:jc w:val="right"/>
            </w:pPr>
            <w:r>
              <w:t>695 028</w:t>
            </w:r>
          </w:p>
        </w:tc>
        <w:tc>
          <w:tcPr>
            <w:tcW w:w="1247" w:type="dxa"/>
            <w:vAlign w:val="center"/>
          </w:tcPr>
          <w:p w14:paraId="49D490DE" w14:textId="77777777" w:rsidR="00454A29" w:rsidRDefault="00454A29">
            <w:pPr>
              <w:pStyle w:val="ConsPlusNormal"/>
              <w:jc w:val="right"/>
            </w:pPr>
            <w:r>
              <w:t>548 198</w:t>
            </w:r>
          </w:p>
        </w:tc>
        <w:tc>
          <w:tcPr>
            <w:tcW w:w="1304" w:type="dxa"/>
            <w:vAlign w:val="center"/>
          </w:tcPr>
          <w:p w14:paraId="7AC680B1" w14:textId="77777777" w:rsidR="00454A29" w:rsidRDefault="00454A29">
            <w:pPr>
              <w:pStyle w:val="ConsPlusNormal"/>
              <w:jc w:val="right"/>
            </w:pPr>
            <w:r>
              <w:t>-</w:t>
            </w:r>
          </w:p>
        </w:tc>
        <w:tc>
          <w:tcPr>
            <w:tcW w:w="1304" w:type="dxa"/>
            <w:vAlign w:val="center"/>
          </w:tcPr>
          <w:p w14:paraId="2C4403A8" w14:textId="77777777" w:rsidR="00454A29" w:rsidRDefault="00454A29">
            <w:pPr>
              <w:pStyle w:val="ConsPlusNormal"/>
              <w:jc w:val="right"/>
            </w:pPr>
            <w:r>
              <w:t>-</w:t>
            </w:r>
          </w:p>
        </w:tc>
        <w:tc>
          <w:tcPr>
            <w:tcW w:w="1304" w:type="dxa"/>
            <w:vAlign w:val="center"/>
          </w:tcPr>
          <w:p w14:paraId="484D1986" w14:textId="77777777" w:rsidR="00454A29" w:rsidRDefault="00454A29">
            <w:pPr>
              <w:pStyle w:val="ConsPlusNormal"/>
              <w:jc w:val="right"/>
            </w:pPr>
            <w:r>
              <w:t>-</w:t>
            </w:r>
          </w:p>
        </w:tc>
        <w:tc>
          <w:tcPr>
            <w:tcW w:w="1304" w:type="dxa"/>
            <w:vAlign w:val="center"/>
          </w:tcPr>
          <w:p w14:paraId="50D90D2F" w14:textId="77777777" w:rsidR="00454A29" w:rsidRDefault="00454A29">
            <w:pPr>
              <w:pStyle w:val="ConsPlusNormal"/>
              <w:jc w:val="right"/>
            </w:pPr>
            <w:r>
              <w:t>-</w:t>
            </w:r>
          </w:p>
        </w:tc>
        <w:tc>
          <w:tcPr>
            <w:tcW w:w="1304" w:type="dxa"/>
            <w:vAlign w:val="center"/>
          </w:tcPr>
          <w:p w14:paraId="31DBA64E" w14:textId="77777777" w:rsidR="00454A29" w:rsidRDefault="00454A29">
            <w:pPr>
              <w:pStyle w:val="ConsPlusNormal"/>
              <w:jc w:val="right"/>
            </w:pPr>
            <w:r>
              <w:t>-</w:t>
            </w:r>
          </w:p>
        </w:tc>
      </w:tr>
      <w:tr w:rsidR="00454A29" w14:paraId="494597CC" w14:textId="77777777">
        <w:tc>
          <w:tcPr>
            <w:tcW w:w="2041" w:type="dxa"/>
            <w:vMerge/>
          </w:tcPr>
          <w:p w14:paraId="413D9F5B" w14:textId="77777777" w:rsidR="00454A29" w:rsidRDefault="00454A29"/>
        </w:tc>
        <w:tc>
          <w:tcPr>
            <w:tcW w:w="3005" w:type="dxa"/>
            <w:vMerge/>
          </w:tcPr>
          <w:p w14:paraId="741737E1" w14:textId="77777777" w:rsidR="00454A29" w:rsidRDefault="00454A29"/>
        </w:tc>
        <w:tc>
          <w:tcPr>
            <w:tcW w:w="2778" w:type="dxa"/>
            <w:vAlign w:val="center"/>
          </w:tcPr>
          <w:p w14:paraId="39C79A11" w14:textId="77777777" w:rsidR="00454A29" w:rsidRDefault="00454A29">
            <w:pPr>
              <w:pStyle w:val="ConsPlusNormal"/>
            </w:pPr>
            <w:r>
              <w:t>Минэкономики РС(Я)</w:t>
            </w:r>
          </w:p>
        </w:tc>
        <w:tc>
          <w:tcPr>
            <w:tcW w:w="1304" w:type="dxa"/>
            <w:vAlign w:val="center"/>
          </w:tcPr>
          <w:p w14:paraId="396E443C" w14:textId="77777777" w:rsidR="00454A29" w:rsidRDefault="00454A29">
            <w:pPr>
              <w:pStyle w:val="ConsPlusNormal"/>
            </w:pPr>
          </w:p>
        </w:tc>
        <w:tc>
          <w:tcPr>
            <w:tcW w:w="1247" w:type="dxa"/>
            <w:vAlign w:val="center"/>
          </w:tcPr>
          <w:p w14:paraId="563C8544" w14:textId="77777777" w:rsidR="00454A29" w:rsidRDefault="00454A29">
            <w:pPr>
              <w:pStyle w:val="ConsPlusNormal"/>
              <w:jc w:val="right"/>
            </w:pPr>
            <w:r>
              <w:t>548 198</w:t>
            </w:r>
          </w:p>
        </w:tc>
        <w:tc>
          <w:tcPr>
            <w:tcW w:w="1304" w:type="dxa"/>
            <w:vAlign w:val="center"/>
          </w:tcPr>
          <w:p w14:paraId="6AD168E1" w14:textId="77777777" w:rsidR="00454A29" w:rsidRDefault="00454A29">
            <w:pPr>
              <w:pStyle w:val="ConsPlusNormal"/>
            </w:pPr>
          </w:p>
        </w:tc>
        <w:tc>
          <w:tcPr>
            <w:tcW w:w="1304" w:type="dxa"/>
            <w:vAlign w:val="center"/>
          </w:tcPr>
          <w:p w14:paraId="7EB15E25" w14:textId="77777777" w:rsidR="00454A29" w:rsidRDefault="00454A29">
            <w:pPr>
              <w:pStyle w:val="ConsPlusNormal"/>
            </w:pPr>
          </w:p>
        </w:tc>
        <w:tc>
          <w:tcPr>
            <w:tcW w:w="1304" w:type="dxa"/>
            <w:vAlign w:val="center"/>
          </w:tcPr>
          <w:p w14:paraId="7575AC8C" w14:textId="77777777" w:rsidR="00454A29" w:rsidRDefault="00454A29">
            <w:pPr>
              <w:pStyle w:val="ConsPlusNormal"/>
            </w:pPr>
          </w:p>
        </w:tc>
        <w:tc>
          <w:tcPr>
            <w:tcW w:w="1304" w:type="dxa"/>
            <w:vAlign w:val="center"/>
          </w:tcPr>
          <w:p w14:paraId="3E69617C" w14:textId="77777777" w:rsidR="00454A29" w:rsidRDefault="00454A29">
            <w:pPr>
              <w:pStyle w:val="ConsPlusNormal"/>
            </w:pPr>
          </w:p>
        </w:tc>
        <w:tc>
          <w:tcPr>
            <w:tcW w:w="1304" w:type="dxa"/>
            <w:vAlign w:val="center"/>
          </w:tcPr>
          <w:p w14:paraId="6BCD97CE" w14:textId="77777777" w:rsidR="00454A29" w:rsidRDefault="00454A29">
            <w:pPr>
              <w:pStyle w:val="ConsPlusNormal"/>
            </w:pPr>
          </w:p>
        </w:tc>
      </w:tr>
      <w:tr w:rsidR="00454A29" w14:paraId="7EE533A0" w14:textId="77777777">
        <w:tc>
          <w:tcPr>
            <w:tcW w:w="2041" w:type="dxa"/>
            <w:vMerge/>
          </w:tcPr>
          <w:p w14:paraId="0DDD3E8F" w14:textId="77777777" w:rsidR="00454A29" w:rsidRDefault="00454A29"/>
        </w:tc>
        <w:tc>
          <w:tcPr>
            <w:tcW w:w="3005" w:type="dxa"/>
            <w:vMerge/>
          </w:tcPr>
          <w:p w14:paraId="7BB5B86E" w14:textId="77777777" w:rsidR="00454A29" w:rsidRDefault="00454A29"/>
        </w:tc>
        <w:tc>
          <w:tcPr>
            <w:tcW w:w="2778" w:type="dxa"/>
            <w:vAlign w:val="center"/>
          </w:tcPr>
          <w:p w14:paraId="057154EB" w14:textId="77777777" w:rsidR="00454A29" w:rsidRDefault="00454A29">
            <w:pPr>
              <w:pStyle w:val="ConsPlusNormal"/>
            </w:pPr>
            <w:r>
              <w:t>Минстрой РС(Я)</w:t>
            </w:r>
          </w:p>
        </w:tc>
        <w:tc>
          <w:tcPr>
            <w:tcW w:w="1304" w:type="dxa"/>
            <w:vAlign w:val="center"/>
          </w:tcPr>
          <w:p w14:paraId="67D35FB6" w14:textId="77777777" w:rsidR="00454A29" w:rsidRDefault="00454A29">
            <w:pPr>
              <w:pStyle w:val="ConsPlusNormal"/>
              <w:jc w:val="right"/>
            </w:pPr>
            <w:r>
              <w:t>695 028</w:t>
            </w:r>
          </w:p>
        </w:tc>
        <w:tc>
          <w:tcPr>
            <w:tcW w:w="1247" w:type="dxa"/>
            <w:vAlign w:val="center"/>
          </w:tcPr>
          <w:p w14:paraId="330BA6A1" w14:textId="77777777" w:rsidR="00454A29" w:rsidRDefault="00454A29">
            <w:pPr>
              <w:pStyle w:val="ConsPlusNormal"/>
              <w:jc w:val="right"/>
            </w:pPr>
            <w:r>
              <w:t>-</w:t>
            </w:r>
          </w:p>
        </w:tc>
        <w:tc>
          <w:tcPr>
            <w:tcW w:w="1304" w:type="dxa"/>
            <w:vAlign w:val="center"/>
          </w:tcPr>
          <w:p w14:paraId="61043C56" w14:textId="77777777" w:rsidR="00454A29" w:rsidRDefault="00454A29">
            <w:pPr>
              <w:pStyle w:val="ConsPlusNormal"/>
              <w:jc w:val="right"/>
            </w:pPr>
            <w:r>
              <w:t>-</w:t>
            </w:r>
          </w:p>
        </w:tc>
        <w:tc>
          <w:tcPr>
            <w:tcW w:w="1304" w:type="dxa"/>
            <w:vAlign w:val="center"/>
          </w:tcPr>
          <w:p w14:paraId="7A8BA4E0" w14:textId="77777777" w:rsidR="00454A29" w:rsidRDefault="00454A29">
            <w:pPr>
              <w:pStyle w:val="ConsPlusNormal"/>
              <w:jc w:val="right"/>
            </w:pPr>
            <w:r>
              <w:t>-</w:t>
            </w:r>
          </w:p>
        </w:tc>
        <w:tc>
          <w:tcPr>
            <w:tcW w:w="1304" w:type="dxa"/>
            <w:vAlign w:val="center"/>
          </w:tcPr>
          <w:p w14:paraId="5A412C52" w14:textId="77777777" w:rsidR="00454A29" w:rsidRDefault="00454A29">
            <w:pPr>
              <w:pStyle w:val="ConsPlusNormal"/>
              <w:jc w:val="right"/>
            </w:pPr>
            <w:r>
              <w:t>-</w:t>
            </w:r>
          </w:p>
        </w:tc>
        <w:tc>
          <w:tcPr>
            <w:tcW w:w="1304" w:type="dxa"/>
            <w:vAlign w:val="center"/>
          </w:tcPr>
          <w:p w14:paraId="114E24E0" w14:textId="77777777" w:rsidR="00454A29" w:rsidRDefault="00454A29">
            <w:pPr>
              <w:pStyle w:val="ConsPlusNormal"/>
              <w:jc w:val="right"/>
            </w:pPr>
            <w:r>
              <w:t>-</w:t>
            </w:r>
          </w:p>
        </w:tc>
        <w:tc>
          <w:tcPr>
            <w:tcW w:w="1304" w:type="dxa"/>
            <w:vAlign w:val="center"/>
          </w:tcPr>
          <w:p w14:paraId="7DE96C1B" w14:textId="77777777" w:rsidR="00454A29" w:rsidRDefault="00454A29">
            <w:pPr>
              <w:pStyle w:val="ConsPlusNormal"/>
              <w:jc w:val="right"/>
            </w:pPr>
            <w:r>
              <w:t>-</w:t>
            </w:r>
          </w:p>
        </w:tc>
      </w:tr>
      <w:tr w:rsidR="00454A29" w14:paraId="6DA65C22" w14:textId="77777777">
        <w:tc>
          <w:tcPr>
            <w:tcW w:w="2041" w:type="dxa"/>
            <w:vMerge w:val="restart"/>
            <w:vAlign w:val="center"/>
          </w:tcPr>
          <w:p w14:paraId="39FA9004" w14:textId="77777777" w:rsidR="00454A29" w:rsidRDefault="00454A29">
            <w:pPr>
              <w:pStyle w:val="ConsPlusNormal"/>
              <w:jc w:val="center"/>
            </w:pPr>
            <w:r>
              <w:t>Основное мероприятие 10.1.</w:t>
            </w:r>
          </w:p>
        </w:tc>
        <w:tc>
          <w:tcPr>
            <w:tcW w:w="3005" w:type="dxa"/>
            <w:vMerge w:val="restart"/>
            <w:vAlign w:val="center"/>
          </w:tcPr>
          <w:p w14:paraId="5C73ABEA" w14:textId="77777777" w:rsidR="00454A29" w:rsidRDefault="00454A29">
            <w:pPr>
              <w:pStyle w:val="ConsPlusNormal"/>
              <w:jc w:val="center"/>
            </w:pPr>
            <w:r>
              <w:t>Модернизация объектов дошкольного образования</w:t>
            </w:r>
          </w:p>
        </w:tc>
        <w:tc>
          <w:tcPr>
            <w:tcW w:w="2778" w:type="dxa"/>
            <w:vAlign w:val="center"/>
          </w:tcPr>
          <w:p w14:paraId="5C970E44" w14:textId="77777777" w:rsidR="00454A29" w:rsidRDefault="00454A29">
            <w:pPr>
              <w:pStyle w:val="ConsPlusNormal"/>
            </w:pPr>
            <w:r>
              <w:t>Всего:</w:t>
            </w:r>
          </w:p>
        </w:tc>
        <w:tc>
          <w:tcPr>
            <w:tcW w:w="1304" w:type="dxa"/>
            <w:vAlign w:val="center"/>
          </w:tcPr>
          <w:p w14:paraId="2A0B33E0" w14:textId="77777777" w:rsidR="00454A29" w:rsidRDefault="00454A29">
            <w:pPr>
              <w:pStyle w:val="ConsPlusNormal"/>
              <w:jc w:val="right"/>
            </w:pPr>
            <w:r>
              <w:t>1 654 980</w:t>
            </w:r>
          </w:p>
        </w:tc>
        <w:tc>
          <w:tcPr>
            <w:tcW w:w="1247" w:type="dxa"/>
            <w:vAlign w:val="center"/>
          </w:tcPr>
          <w:p w14:paraId="0AD1E4CE" w14:textId="77777777" w:rsidR="00454A29" w:rsidRDefault="00454A29">
            <w:pPr>
              <w:pStyle w:val="ConsPlusNormal"/>
              <w:jc w:val="right"/>
            </w:pPr>
            <w:r>
              <w:t>1 647 176</w:t>
            </w:r>
          </w:p>
        </w:tc>
        <w:tc>
          <w:tcPr>
            <w:tcW w:w="1304" w:type="dxa"/>
            <w:vAlign w:val="center"/>
          </w:tcPr>
          <w:p w14:paraId="314370CE" w14:textId="77777777" w:rsidR="00454A29" w:rsidRDefault="00454A29">
            <w:pPr>
              <w:pStyle w:val="ConsPlusNormal"/>
              <w:jc w:val="right"/>
            </w:pPr>
            <w:r>
              <w:t>1 731 760</w:t>
            </w:r>
          </w:p>
        </w:tc>
        <w:tc>
          <w:tcPr>
            <w:tcW w:w="1304" w:type="dxa"/>
            <w:vAlign w:val="center"/>
          </w:tcPr>
          <w:p w14:paraId="034B4AA2" w14:textId="77777777" w:rsidR="00454A29" w:rsidRDefault="00454A29">
            <w:pPr>
              <w:pStyle w:val="ConsPlusNormal"/>
              <w:jc w:val="right"/>
            </w:pPr>
            <w:r>
              <w:t>2 757 719</w:t>
            </w:r>
          </w:p>
        </w:tc>
        <w:tc>
          <w:tcPr>
            <w:tcW w:w="1304" w:type="dxa"/>
            <w:vAlign w:val="center"/>
          </w:tcPr>
          <w:p w14:paraId="7A7ADA60" w14:textId="77777777" w:rsidR="00454A29" w:rsidRDefault="00454A29">
            <w:pPr>
              <w:pStyle w:val="ConsPlusNormal"/>
              <w:jc w:val="right"/>
            </w:pPr>
            <w:r>
              <w:t>3 281 431</w:t>
            </w:r>
          </w:p>
        </w:tc>
        <w:tc>
          <w:tcPr>
            <w:tcW w:w="1304" w:type="dxa"/>
            <w:vAlign w:val="center"/>
          </w:tcPr>
          <w:p w14:paraId="5618978D" w14:textId="77777777" w:rsidR="00454A29" w:rsidRDefault="00454A29">
            <w:pPr>
              <w:pStyle w:val="ConsPlusNormal"/>
              <w:jc w:val="right"/>
            </w:pPr>
            <w:r>
              <w:t>2 592 684</w:t>
            </w:r>
          </w:p>
        </w:tc>
        <w:tc>
          <w:tcPr>
            <w:tcW w:w="1304" w:type="dxa"/>
            <w:vAlign w:val="center"/>
          </w:tcPr>
          <w:p w14:paraId="087AE4C0" w14:textId="77777777" w:rsidR="00454A29" w:rsidRDefault="00454A29">
            <w:pPr>
              <w:pStyle w:val="ConsPlusNormal"/>
              <w:jc w:val="right"/>
            </w:pPr>
            <w:r>
              <w:t>964 130</w:t>
            </w:r>
          </w:p>
        </w:tc>
      </w:tr>
      <w:tr w:rsidR="00454A29" w14:paraId="1FBC4EBE" w14:textId="77777777">
        <w:tc>
          <w:tcPr>
            <w:tcW w:w="2041" w:type="dxa"/>
            <w:vMerge/>
          </w:tcPr>
          <w:p w14:paraId="22298202" w14:textId="77777777" w:rsidR="00454A29" w:rsidRDefault="00454A29"/>
        </w:tc>
        <w:tc>
          <w:tcPr>
            <w:tcW w:w="3005" w:type="dxa"/>
            <w:vMerge/>
          </w:tcPr>
          <w:p w14:paraId="2D6D51BB" w14:textId="77777777" w:rsidR="00454A29" w:rsidRDefault="00454A29"/>
        </w:tc>
        <w:tc>
          <w:tcPr>
            <w:tcW w:w="2778" w:type="dxa"/>
            <w:vAlign w:val="center"/>
          </w:tcPr>
          <w:p w14:paraId="55E545F4" w14:textId="77777777" w:rsidR="00454A29" w:rsidRDefault="00454A29">
            <w:pPr>
              <w:pStyle w:val="ConsPlusNormal"/>
            </w:pPr>
            <w:r>
              <w:t>Государственный бюджет Республики Саха (Якутия)</w:t>
            </w:r>
          </w:p>
        </w:tc>
        <w:tc>
          <w:tcPr>
            <w:tcW w:w="1304" w:type="dxa"/>
            <w:vAlign w:val="center"/>
          </w:tcPr>
          <w:p w14:paraId="57B9855E" w14:textId="77777777" w:rsidR="00454A29" w:rsidRDefault="00454A29">
            <w:pPr>
              <w:pStyle w:val="ConsPlusNormal"/>
              <w:jc w:val="right"/>
            </w:pPr>
            <w:r>
              <w:t>1 305 267</w:t>
            </w:r>
          </w:p>
        </w:tc>
        <w:tc>
          <w:tcPr>
            <w:tcW w:w="1247" w:type="dxa"/>
            <w:vAlign w:val="center"/>
          </w:tcPr>
          <w:p w14:paraId="033E5E4A" w14:textId="77777777" w:rsidR="00454A29" w:rsidRDefault="00454A29">
            <w:pPr>
              <w:pStyle w:val="ConsPlusNormal"/>
              <w:jc w:val="right"/>
            </w:pPr>
            <w:r>
              <w:t>1 278 511</w:t>
            </w:r>
          </w:p>
        </w:tc>
        <w:tc>
          <w:tcPr>
            <w:tcW w:w="1304" w:type="dxa"/>
            <w:vAlign w:val="center"/>
          </w:tcPr>
          <w:p w14:paraId="0AB3E905" w14:textId="77777777" w:rsidR="00454A29" w:rsidRDefault="00454A29">
            <w:pPr>
              <w:pStyle w:val="ConsPlusNormal"/>
              <w:jc w:val="right"/>
            </w:pPr>
            <w:r>
              <w:t>1 348 445</w:t>
            </w:r>
          </w:p>
        </w:tc>
        <w:tc>
          <w:tcPr>
            <w:tcW w:w="1304" w:type="dxa"/>
            <w:vAlign w:val="center"/>
          </w:tcPr>
          <w:p w14:paraId="32FF17C5" w14:textId="77777777" w:rsidR="00454A29" w:rsidRDefault="00454A29">
            <w:pPr>
              <w:pStyle w:val="ConsPlusNormal"/>
              <w:jc w:val="right"/>
            </w:pPr>
            <w:r>
              <w:t>2 359 631</w:t>
            </w:r>
          </w:p>
        </w:tc>
        <w:tc>
          <w:tcPr>
            <w:tcW w:w="1304" w:type="dxa"/>
            <w:vAlign w:val="center"/>
          </w:tcPr>
          <w:p w14:paraId="7F3FBED0" w14:textId="77777777" w:rsidR="00454A29" w:rsidRDefault="00454A29">
            <w:pPr>
              <w:pStyle w:val="ConsPlusNormal"/>
              <w:jc w:val="right"/>
            </w:pPr>
            <w:r>
              <w:t>2 868 676</w:t>
            </w:r>
          </w:p>
        </w:tc>
        <w:tc>
          <w:tcPr>
            <w:tcW w:w="1304" w:type="dxa"/>
            <w:vAlign w:val="center"/>
          </w:tcPr>
          <w:p w14:paraId="4B8835D9" w14:textId="77777777" w:rsidR="00454A29" w:rsidRDefault="00454A29">
            <w:pPr>
              <w:pStyle w:val="ConsPlusNormal"/>
              <w:jc w:val="right"/>
            </w:pPr>
            <w:r>
              <w:t>2 342 627</w:t>
            </w:r>
          </w:p>
        </w:tc>
        <w:tc>
          <w:tcPr>
            <w:tcW w:w="1304" w:type="dxa"/>
            <w:vAlign w:val="center"/>
          </w:tcPr>
          <w:p w14:paraId="4386A6DD" w14:textId="77777777" w:rsidR="00454A29" w:rsidRDefault="00454A29">
            <w:pPr>
              <w:pStyle w:val="ConsPlusNormal"/>
              <w:jc w:val="right"/>
            </w:pPr>
            <w:r>
              <w:t>841 947</w:t>
            </w:r>
          </w:p>
        </w:tc>
      </w:tr>
      <w:tr w:rsidR="00454A29" w14:paraId="75E1376C" w14:textId="77777777">
        <w:tc>
          <w:tcPr>
            <w:tcW w:w="2041" w:type="dxa"/>
            <w:vMerge/>
          </w:tcPr>
          <w:p w14:paraId="16259C6D" w14:textId="77777777" w:rsidR="00454A29" w:rsidRDefault="00454A29"/>
        </w:tc>
        <w:tc>
          <w:tcPr>
            <w:tcW w:w="3005" w:type="dxa"/>
            <w:vMerge/>
          </w:tcPr>
          <w:p w14:paraId="3BEECD6D" w14:textId="77777777" w:rsidR="00454A29" w:rsidRDefault="00454A29"/>
        </w:tc>
        <w:tc>
          <w:tcPr>
            <w:tcW w:w="2778" w:type="dxa"/>
            <w:vAlign w:val="center"/>
          </w:tcPr>
          <w:p w14:paraId="534BA18B" w14:textId="77777777" w:rsidR="00454A29" w:rsidRDefault="00454A29">
            <w:pPr>
              <w:pStyle w:val="ConsPlusNormal"/>
            </w:pPr>
            <w:r>
              <w:t>Минстрой РС(Я)</w:t>
            </w:r>
          </w:p>
        </w:tc>
        <w:tc>
          <w:tcPr>
            <w:tcW w:w="1304" w:type="dxa"/>
            <w:vAlign w:val="center"/>
          </w:tcPr>
          <w:p w14:paraId="17812E43" w14:textId="77777777" w:rsidR="00454A29" w:rsidRDefault="00454A29">
            <w:pPr>
              <w:pStyle w:val="ConsPlusNormal"/>
              <w:jc w:val="right"/>
            </w:pPr>
            <w:r>
              <w:t>-</w:t>
            </w:r>
          </w:p>
        </w:tc>
        <w:tc>
          <w:tcPr>
            <w:tcW w:w="1247" w:type="dxa"/>
            <w:vAlign w:val="center"/>
          </w:tcPr>
          <w:p w14:paraId="51D86EDF" w14:textId="77777777" w:rsidR="00454A29" w:rsidRDefault="00454A29">
            <w:pPr>
              <w:pStyle w:val="ConsPlusNormal"/>
              <w:jc w:val="right"/>
            </w:pPr>
            <w:r>
              <w:t>-</w:t>
            </w:r>
          </w:p>
        </w:tc>
        <w:tc>
          <w:tcPr>
            <w:tcW w:w="1304" w:type="dxa"/>
            <w:vAlign w:val="center"/>
          </w:tcPr>
          <w:p w14:paraId="77223321" w14:textId="77777777" w:rsidR="00454A29" w:rsidRDefault="00454A29">
            <w:pPr>
              <w:pStyle w:val="ConsPlusNormal"/>
              <w:jc w:val="right"/>
            </w:pPr>
            <w:r>
              <w:t>-</w:t>
            </w:r>
          </w:p>
        </w:tc>
        <w:tc>
          <w:tcPr>
            <w:tcW w:w="1304" w:type="dxa"/>
            <w:vAlign w:val="center"/>
          </w:tcPr>
          <w:p w14:paraId="76107C2F" w14:textId="77777777" w:rsidR="00454A29" w:rsidRDefault="00454A29">
            <w:pPr>
              <w:pStyle w:val="ConsPlusNormal"/>
              <w:jc w:val="right"/>
            </w:pPr>
            <w:r>
              <w:t>1 498 256</w:t>
            </w:r>
          </w:p>
        </w:tc>
        <w:tc>
          <w:tcPr>
            <w:tcW w:w="1304" w:type="dxa"/>
            <w:vAlign w:val="center"/>
          </w:tcPr>
          <w:p w14:paraId="7179195F" w14:textId="77777777" w:rsidR="00454A29" w:rsidRDefault="00454A29">
            <w:pPr>
              <w:pStyle w:val="ConsPlusNormal"/>
              <w:jc w:val="right"/>
            </w:pPr>
            <w:r>
              <w:t>2 007 301</w:t>
            </w:r>
          </w:p>
        </w:tc>
        <w:tc>
          <w:tcPr>
            <w:tcW w:w="1304" w:type="dxa"/>
            <w:vAlign w:val="center"/>
          </w:tcPr>
          <w:p w14:paraId="4DCF4CEB" w14:textId="77777777" w:rsidR="00454A29" w:rsidRDefault="00454A29">
            <w:pPr>
              <w:pStyle w:val="ConsPlusNormal"/>
              <w:jc w:val="right"/>
            </w:pPr>
            <w:r>
              <w:t>1 481 252</w:t>
            </w:r>
          </w:p>
        </w:tc>
        <w:tc>
          <w:tcPr>
            <w:tcW w:w="1304" w:type="dxa"/>
            <w:vAlign w:val="center"/>
          </w:tcPr>
          <w:p w14:paraId="24C6B382" w14:textId="77777777" w:rsidR="00454A29" w:rsidRDefault="00454A29">
            <w:pPr>
              <w:pStyle w:val="ConsPlusNormal"/>
              <w:jc w:val="right"/>
            </w:pPr>
            <w:r>
              <w:t>775 770</w:t>
            </w:r>
          </w:p>
        </w:tc>
      </w:tr>
      <w:tr w:rsidR="00454A29" w14:paraId="486112F4" w14:textId="77777777">
        <w:tc>
          <w:tcPr>
            <w:tcW w:w="2041" w:type="dxa"/>
            <w:vMerge/>
          </w:tcPr>
          <w:p w14:paraId="5C182916" w14:textId="77777777" w:rsidR="00454A29" w:rsidRDefault="00454A29"/>
        </w:tc>
        <w:tc>
          <w:tcPr>
            <w:tcW w:w="3005" w:type="dxa"/>
            <w:vMerge/>
          </w:tcPr>
          <w:p w14:paraId="25ED1EC4" w14:textId="77777777" w:rsidR="00454A29" w:rsidRDefault="00454A29"/>
        </w:tc>
        <w:tc>
          <w:tcPr>
            <w:tcW w:w="2778" w:type="dxa"/>
            <w:vAlign w:val="center"/>
          </w:tcPr>
          <w:p w14:paraId="14C1FCA7" w14:textId="77777777" w:rsidR="00454A29" w:rsidRDefault="00454A29">
            <w:pPr>
              <w:pStyle w:val="ConsPlusNormal"/>
            </w:pPr>
            <w:r>
              <w:t>Минэкономики РС(Я)</w:t>
            </w:r>
          </w:p>
        </w:tc>
        <w:tc>
          <w:tcPr>
            <w:tcW w:w="1304" w:type="dxa"/>
            <w:vAlign w:val="center"/>
          </w:tcPr>
          <w:p w14:paraId="71065607" w14:textId="77777777" w:rsidR="00454A29" w:rsidRDefault="00454A29">
            <w:pPr>
              <w:pStyle w:val="ConsPlusNormal"/>
              <w:jc w:val="right"/>
            </w:pPr>
            <w:r>
              <w:t>1 305 267</w:t>
            </w:r>
          </w:p>
        </w:tc>
        <w:tc>
          <w:tcPr>
            <w:tcW w:w="1247" w:type="dxa"/>
            <w:vAlign w:val="center"/>
          </w:tcPr>
          <w:p w14:paraId="1B1F2FB3" w14:textId="77777777" w:rsidR="00454A29" w:rsidRDefault="00454A29">
            <w:pPr>
              <w:pStyle w:val="ConsPlusNormal"/>
              <w:jc w:val="right"/>
            </w:pPr>
            <w:r>
              <w:t>1 278 511</w:t>
            </w:r>
          </w:p>
        </w:tc>
        <w:tc>
          <w:tcPr>
            <w:tcW w:w="1304" w:type="dxa"/>
            <w:vAlign w:val="center"/>
          </w:tcPr>
          <w:p w14:paraId="1675A1E6" w14:textId="77777777" w:rsidR="00454A29" w:rsidRDefault="00454A29">
            <w:pPr>
              <w:pStyle w:val="ConsPlusNormal"/>
              <w:jc w:val="right"/>
            </w:pPr>
            <w:r>
              <w:t>1 348 445</w:t>
            </w:r>
          </w:p>
        </w:tc>
        <w:tc>
          <w:tcPr>
            <w:tcW w:w="1304" w:type="dxa"/>
            <w:vAlign w:val="center"/>
          </w:tcPr>
          <w:p w14:paraId="39D0AD0D" w14:textId="77777777" w:rsidR="00454A29" w:rsidRDefault="00454A29">
            <w:pPr>
              <w:pStyle w:val="ConsPlusNormal"/>
              <w:jc w:val="right"/>
            </w:pPr>
            <w:r>
              <w:t>861 375</w:t>
            </w:r>
          </w:p>
        </w:tc>
        <w:tc>
          <w:tcPr>
            <w:tcW w:w="1304" w:type="dxa"/>
            <w:vAlign w:val="center"/>
          </w:tcPr>
          <w:p w14:paraId="158BA3EB" w14:textId="77777777" w:rsidR="00454A29" w:rsidRDefault="00454A29">
            <w:pPr>
              <w:pStyle w:val="ConsPlusNormal"/>
              <w:jc w:val="right"/>
            </w:pPr>
            <w:r>
              <w:t>861 375</w:t>
            </w:r>
          </w:p>
        </w:tc>
        <w:tc>
          <w:tcPr>
            <w:tcW w:w="1304" w:type="dxa"/>
            <w:vAlign w:val="center"/>
          </w:tcPr>
          <w:p w14:paraId="291C19D5" w14:textId="77777777" w:rsidR="00454A29" w:rsidRDefault="00454A29">
            <w:pPr>
              <w:pStyle w:val="ConsPlusNormal"/>
              <w:jc w:val="right"/>
            </w:pPr>
            <w:r>
              <w:t>861 375</w:t>
            </w:r>
          </w:p>
        </w:tc>
        <w:tc>
          <w:tcPr>
            <w:tcW w:w="1304" w:type="dxa"/>
            <w:vAlign w:val="center"/>
          </w:tcPr>
          <w:p w14:paraId="3617C158" w14:textId="77777777" w:rsidR="00454A29" w:rsidRDefault="00454A29">
            <w:pPr>
              <w:pStyle w:val="ConsPlusNormal"/>
              <w:jc w:val="right"/>
            </w:pPr>
            <w:r>
              <w:t>66 177</w:t>
            </w:r>
          </w:p>
        </w:tc>
      </w:tr>
      <w:tr w:rsidR="00454A29" w14:paraId="63B5EF80" w14:textId="77777777">
        <w:tc>
          <w:tcPr>
            <w:tcW w:w="2041" w:type="dxa"/>
            <w:vMerge/>
          </w:tcPr>
          <w:p w14:paraId="4F20E724" w14:textId="77777777" w:rsidR="00454A29" w:rsidRDefault="00454A29"/>
        </w:tc>
        <w:tc>
          <w:tcPr>
            <w:tcW w:w="3005" w:type="dxa"/>
            <w:vMerge/>
          </w:tcPr>
          <w:p w14:paraId="3C503B60" w14:textId="77777777" w:rsidR="00454A29" w:rsidRDefault="00454A29"/>
        </w:tc>
        <w:tc>
          <w:tcPr>
            <w:tcW w:w="2778" w:type="dxa"/>
            <w:vAlign w:val="center"/>
          </w:tcPr>
          <w:p w14:paraId="6D02AFE8" w14:textId="77777777" w:rsidR="00454A29" w:rsidRDefault="00454A29">
            <w:pPr>
              <w:pStyle w:val="ConsPlusNormal"/>
            </w:pPr>
            <w:r>
              <w:t>Федеральный бюджет</w:t>
            </w:r>
          </w:p>
        </w:tc>
        <w:tc>
          <w:tcPr>
            <w:tcW w:w="1304" w:type="dxa"/>
            <w:vAlign w:val="center"/>
          </w:tcPr>
          <w:p w14:paraId="1B2355EA" w14:textId="77777777" w:rsidR="00454A29" w:rsidRDefault="00454A29">
            <w:pPr>
              <w:pStyle w:val="ConsPlusNormal"/>
              <w:jc w:val="right"/>
            </w:pPr>
            <w:r>
              <w:t>-</w:t>
            </w:r>
          </w:p>
        </w:tc>
        <w:tc>
          <w:tcPr>
            <w:tcW w:w="1247" w:type="dxa"/>
            <w:vAlign w:val="center"/>
          </w:tcPr>
          <w:p w14:paraId="35A3A496" w14:textId="77777777" w:rsidR="00454A29" w:rsidRDefault="00454A29">
            <w:pPr>
              <w:pStyle w:val="ConsPlusNormal"/>
              <w:jc w:val="right"/>
            </w:pPr>
            <w:r>
              <w:t>-</w:t>
            </w:r>
          </w:p>
        </w:tc>
        <w:tc>
          <w:tcPr>
            <w:tcW w:w="1304" w:type="dxa"/>
            <w:vAlign w:val="center"/>
          </w:tcPr>
          <w:p w14:paraId="61EDD945" w14:textId="77777777" w:rsidR="00454A29" w:rsidRDefault="00454A29">
            <w:pPr>
              <w:pStyle w:val="ConsPlusNormal"/>
              <w:jc w:val="right"/>
            </w:pPr>
            <w:r>
              <w:t>-</w:t>
            </w:r>
          </w:p>
        </w:tc>
        <w:tc>
          <w:tcPr>
            <w:tcW w:w="1304" w:type="dxa"/>
            <w:vAlign w:val="center"/>
          </w:tcPr>
          <w:p w14:paraId="7CB5108B" w14:textId="77777777" w:rsidR="00454A29" w:rsidRDefault="00454A29">
            <w:pPr>
              <w:pStyle w:val="ConsPlusNormal"/>
              <w:jc w:val="right"/>
            </w:pPr>
            <w:r>
              <w:t>-</w:t>
            </w:r>
          </w:p>
        </w:tc>
        <w:tc>
          <w:tcPr>
            <w:tcW w:w="1304" w:type="dxa"/>
            <w:vAlign w:val="center"/>
          </w:tcPr>
          <w:p w14:paraId="49489497" w14:textId="77777777" w:rsidR="00454A29" w:rsidRDefault="00454A29">
            <w:pPr>
              <w:pStyle w:val="ConsPlusNormal"/>
              <w:jc w:val="right"/>
            </w:pPr>
            <w:r>
              <w:t>-</w:t>
            </w:r>
          </w:p>
        </w:tc>
        <w:tc>
          <w:tcPr>
            <w:tcW w:w="1304" w:type="dxa"/>
            <w:vAlign w:val="center"/>
          </w:tcPr>
          <w:p w14:paraId="00793482" w14:textId="77777777" w:rsidR="00454A29" w:rsidRDefault="00454A29">
            <w:pPr>
              <w:pStyle w:val="ConsPlusNormal"/>
              <w:jc w:val="right"/>
            </w:pPr>
            <w:r>
              <w:t>-</w:t>
            </w:r>
          </w:p>
        </w:tc>
        <w:tc>
          <w:tcPr>
            <w:tcW w:w="1304" w:type="dxa"/>
            <w:vAlign w:val="center"/>
          </w:tcPr>
          <w:p w14:paraId="44E015ED" w14:textId="77777777" w:rsidR="00454A29" w:rsidRDefault="00454A29">
            <w:pPr>
              <w:pStyle w:val="ConsPlusNormal"/>
              <w:jc w:val="right"/>
            </w:pPr>
            <w:r>
              <w:t>-</w:t>
            </w:r>
          </w:p>
        </w:tc>
      </w:tr>
      <w:tr w:rsidR="00454A29" w14:paraId="210ABE9F" w14:textId="77777777">
        <w:tc>
          <w:tcPr>
            <w:tcW w:w="2041" w:type="dxa"/>
            <w:vMerge/>
          </w:tcPr>
          <w:p w14:paraId="55B1F4F7" w14:textId="77777777" w:rsidR="00454A29" w:rsidRDefault="00454A29"/>
        </w:tc>
        <w:tc>
          <w:tcPr>
            <w:tcW w:w="3005" w:type="dxa"/>
            <w:vMerge/>
          </w:tcPr>
          <w:p w14:paraId="270F7E0D" w14:textId="77777777" w:rsidR="00454A29" w:rsidRDefault="00454A29"/>
        </w:tc>
        <w:tc>
          <w:tcPr>
            <w:tcW w:w="2778" w:type="dxa"/>
            <w:vAlign w:val="center"/>
          </w:tcPr>
          <w:p w14:paraId="186375CB" w14:textId="77777777" w:rsidR="00454A29" w:rsidRDefault="00454A29">
            <w:pPr>
              <w:pStyle w:val="ConsPlusNormal"/>
            </w:pPr>
            <w:r>
              <w:t>Минобрнауки РС(Я)</w:t>
            </w:r>
          </w:p>
        </w:tc>
        <w:tc>
          <w:tcPr>
            <w:tcW w:w="1304" w:type="dxa"/>
            <w:vAlign w:val="center"/>
          </w:tcPr>
          <w:p w14:paraId="3AAAA1A5" w14:textId="77777777" w:rsidR="00454A29" w:rsidRDefault="00454A29">
            <w:pPr>
              <w:pStyle w:val="ConsPlusNormal"/>
            </w:pPr>
          </w:p>
        </w:tc>
        <w:tc>
          <w:tcPr>
            <w:tcW w:w="1247" w:type="dxa"/>
            <w:vAlign w:val="center"/>
          </w:tcPr>
          <w:p w14:paraId="3F0819EC" w14:textId="77777777" w:rsidR="00454A29" w:rsidRDefault="00454A29">
            <w:pPr>
              <w:pStyle w:val="ConsPlusNormal"/>
              <w:jc w:val="right"/>
            </w:pPr>
            <w:r>
              <w:t>-</w:t>
            </w:r>
          </w:p>
        </w:tc>
        <w:tc>
          <w:tcPr>
            <w:tcW w:w="1304" w:type="dxa"/>
            <w:vAlign w:val="center"/>
          </w:tcPr>
          <w:p w14:paraId="34D74A8D" w14:textId="77777777" w:rsidR="00454A29" w:rsidRDefault="00454A29">
            <w:pPr>
              <w:pStyle w:val="ConsPlusNormal"/>
              <w:jc w:val="right"/>
            </w:pPr>
            <w:r>
              <w:t>-</w:t>
            </w:r>
          </w:p>
        </w:tc>
        <w:tc>
          <w:tcPr>
            <w:tcW w:w="1304" w:type="dxa"/>
            <w:vAlign w:val="center"/>
          </w:tcPr>
          <w:p w14:paraId="4253D891" w14:textId="77777777" w:rsidR="00454A29" w:rsidRDefault="00454A29">
            <w:pPr>
              <w:pStyle w:val="ConsPlusNormal"/>
              <w:jc w:val="right"/>
            </w:pPr>
            <w:r>
              <w:t>-</w:t>
            </w:r>
          </w:p>
        </w:tc>
        <w:tc>
          <w:tcPr>
            <w:tcW w:w="1304" w:type="dxa"/>
            <w:vAlign w:val="center"/>
          </w:tcPr>
          <w:p w14:paraId="25A8083F" w14:textId="77777777" w:rsidR="00454A29" w:rsidRDefault="00454A29">
            <w:pPr>
              <w:pStyle w:val="ConsPlusNormal"/>
              <w:jc w:val="right"/>
            </w:pPr>
            <w:r>
              <w:t>-</w:t>
            </w:r>
          </w:p>
        </w:tc>
        <w:tc>
          <w:tcPr>
            <w:tcW w:w="1304" w:type="dxa"/>
            <w:vAlign w:val="center"/>
          </w:tcPr>
          <w:p w14:paraId="3A511CFF" w14:textId="77777777" w:rsidR="00454A29" w:rsidRDefault="00454A29">
            <w:pPr>
              <w:pStyle w:val="ConsPlusNormal"/>
              <w:jc w:val="right"/>
            </w:pPr>
            <w:r>
              <w:t>-</w:t>
            </w:r>
          </w:p>
        </w:tc>
        <w:tc>
          <w:tcPr>
            <w:tcW w:w="1304" w:type="dxa"/>
            <w:vAlign w:val="center"/>
          </w:tcPr>
          <w:p w14:paraId="54D240BF" w14:textId="77777777" w:rsidR="00454A29" w:rsidRDefault="00454A29">
            <w:pPr>
              <w:pStyle w:val="ConsPlusNormal"/>
              <w:jc w:val="right"/>
            </w:pPr>
            <w:r>
              <w:t>-</w:t>
            </w:r>
          </w:p>
        </w:tc>
      </w:tr>
      <w:tr w:rsidR="00454A29" w14:paraId="7BA4AB63" w14:textId="77777777">
        <w:tc>
          <w:tcPr>
            <w:tcW w:w="2041" w:type="dxa"/>
            <w:vMerge/>
          </w:tcPr>
          <w:p w14:paraId="343FAE6F" w14:textId="77777777" w:rsidR="00454A29" w:rsidRDefault="00454A29"/>
        </w:tc>
        <w:tc>
          <w:tcPr>
            <w:tcW w:w="3005" w:type="dxa"/>
            <w:vMerge/>
          </w:tcPr>
          <w:p w14:paraId="0A13958B" w14:textId="77777777" w:rsidR="00454A29" w:rsidRDefault="00454A29"/>
        </w:tc>
        <w:tc>
          <w:tcPr>
            <w:tcW w:w="2778" w:type="dxa"/>
            <w:vAlign w:val="center"/>
          </w:tcPr>
          <w:p w14:paraId="2C5CB855" w14:textId="77777777" w:rsidR="00454A29" w:rsidRDefault="00454A29">
            <w:pPr>
              <w:pStyle w:val="ConsPlusNormal"/>
            </w:pPr>
            <w:r>
              <w:t>Минстрой РС(Я)</w:t>
            </w:r>
          </w:p>
        </w:tc>
        <w:tc>
          <w:tcPr>
            <w:tcW w:w="1304" w:type="dxa"/>
            <w:vAlign w:val="center"/>
          </w:tcPr>
          <w:p w14:paraId="7C186F9D" w14:textId="77777777" w:rsidR="00454A29" w:rsidRDefault="00454A29">
            <w:pPr>
              <w:pStyle w:val="ConsPlusNormal"/>
              <w:jc w:val="right"/>
            </w:pPr>
            <w:r>
              <w:t>-</w:t>
            </w:r>
          </w:p>
        </w:tc>
        <w:tc>
          <w:tcPr>
            <w:tcW w:w="1247" w:type="dxa"/>
            <w:vAlign w:val="center"/>
          </w:tcPr>
          <w:p w14:paraId="507ED8F7" w14:textId="77777777" w:rsidR="00454A29" w:rsidRDefault="00454A29">
            <w:pPr>
              <w:pStyle w:val="ConsPlusNormal"/>
              <w:jc w:val="right"/>
            </w:pPr>
            <w:r>
              <w:t>-</w:t>
            </w:r>
          </w:p>
        </w:tc>
        <w:tc>
          <w:tcPr>
            <w:tcW w:w="1304" w:type="dxa"/>
            <w:vAlign w:val="center"/>
          </w:tcPr>
          <w:p w14:paraId="2D564A2F" w14:textId="77777777" w:rsidR="00454A29" w:rsidRDefault="00454A29">
            <w:pPr>
              <w:pStyle w:val="ConsPlusNormal"/>
              <w:jc w:val="right"/>
            </w:pPr>
            <w:r>
              <w:t>-</w:t>
            </w:r>
          </w:p>
        </w:tc>
        <w:tc>
          <w:tcPr>
            <w:tcW w:w="1304" w:type="dxa"/>
            <w:vAlign w:val="center"/>
          </w:tcPr>
          <w:p w14:paraId="6268A75E" w14:textId="77777777" w:rsidR="00454A29" w:rsidRDefault="00454A29">
            <w:pPr>
              <w:pStyle w:val="ConsPlusNormal"/>
            </w:pPr>
          </w:p>
        </w:tc>
        <w:tc>
          <w:tcPr>
            <w:tcW w:w="1304" w:type="dxa"/>
            <w:vAlign w:val="center"/>
          </w:tcPr>
          <w:p w14:paraId="63E9A720" w14:textId="77777777" w:rsidR="00454A29" w:rsidRDefault="00454A29">
            <w:pPr>
              <w:pStyle w:val="ConsPlusNormal"/>
            </w:pPr>
          </w:p>
        </w:tc>
        <w:tc>
          <w:tcPr>
            <w:tcW w:w="1304" w:type="dxa"/>
            <w:vAlign w:val="center"/>
          </w:tcPr>
          <w:p w14:paraId="15BD58A2" w14:textId="77777777" w:rsidR="00454A29" w:rsidRDefault="00454A29">
            <w:pPr>
              <w:pStyle w:val="ConsPlusNormal"/>
            </w:pPr>
          </w:p>
        </w:tc>
        <w:tc>
          <w:tcPr>
            <w:tcW w:w="1304" w:type="dxa"/>
            <w:vAlign w:val="center"/>
          </w:tcPr>
          <w:p w14:paraId="1BFE08CF" w14:textId="77777777" w:rsidR="00454A29" w:rsidRDefault="00454A29">
            <w:pPr>
              <w:pStyle w:val="ConsPlusNormal"/>
              <w:jc w:val="right"/>
            </w:pPr>
            <w:r>
              <w:t>-</w:t>
            </w:r>
          </w:p>
        </w:tc>
      </w:tr>
      <w:tr w:rsidR="00454A29" w14:paraId="0E6EF200" w14:textId="77777777">
        <w:tc>
          <w:tcPr>
            <w:tcW w:w="2041" w:type="dxa"/>
            <w:vMerge/>
          </w:tcPr>
          <w:p w14:paraId="774FEC06" w14:textId="77777777" w:rsidR="00454A29" w:rsidRDefault="00454A29"/>
        </w:tc>
        <w:tc>
          <w:tcPr>
            <w:tcW w:w="3005" w:type="dxa"/>
            <w:vMerge/>
          </w:tcPr>
          <w:p w14:paraId="501E9425" w14:textId="77777777" w:rsidR="00454A29" w:rsidRDefault="00454A29"/>
        </w:tc>
        <w:tc>
          <w:tcPr>
            <w:tcW w:w="2778" w:type="dxa"/>
            <w:vAlign w:val="center"/>
          </w:tcPr>
          <w:p w14:paraId="402633EC" w14:textId="77777777" w:rsidR="00454A29" w:rsidRDefault="00454A29">
            <w:pPr>
              <w:pStyle w:val="ConsPlusNormal"/>
            </w:pPr>
            <w:r>
              <w:t>Муниципальные образования РС(Я)</w:t>
            </w:r>
          </w:p>
        </w:tc>
        <w:tc>
          <w:tcPr>
            <w:tcW w:w="1304" w:type="dxa"/>
            <w:vAlign w:val="center"/>
          </w:tcPr>
          <w:p w14:paraId="14A2AE77" w14:textId="77777777" w:rsidR="00454A29" w:rsidRDefault="00454A29">
            <w:pPr>
              <w:pStyle w:val="ConsPlusNormal"/>
              <w:jc w:val="right"/>
            </w:pPr>
            <w:r>
              <w:t>-</w:t>
            </w:r>
          </w:p>
        </w:tc>
        <w:tc>
          <w:tcPr>
            <w:tcW w:w="1247" w:type="dxa"/>
            <w:vAlign w:val="center"/>
          </w:tcPr>
          <w:p w14:paraId="400BDAE1" w14:textId="77777777" w:rsidR="00454A29" w:rsidRDefault="00454A29">
            <w:pPr>
              <w:pStyle w:val="ConsPlusNormal"/>
            </w:pPr>
          </w:p>
        </w:tc>
        <w:tc>
          <w:tcPr>
            <w:tcW w:w="1304" w:type="dxa"/>
            <w:vAlign w:val="center"/>
          </w:tcPr>
          <w:p w14:paraId="21D8C6CD" w14:textId="77777777" w:rsidR="00454A29" w:rsidRDefault="00454A29">
            <w:pPr>
              <w:pStyle w:val="ConsPlusNormal"/>
              <w:jc w:val="right"/>
            </w:pPr>
            <w:r>
              <w:t>-</w:t>
            </w:r>
          </w:p>
        </w:tc>
        <w:tc>
          <w:tcPr>
            <w:tcW w:w="1304" w:type="dxa"/>
            <w:vAlign w:val="center"/>
          </w:tcPr>
          <w:p w14:paraId="144F70E1" w14:textId="77777777" w:rsidR="00454A29" w:rsidRDefault="00454A29">
            <w:pPr>
              <w:pStyle w:val="ConsPlusNormal"/>
              <w:jc w:val="right"/>
            </w:pPr>
            <w:r>
              <w:t>-</w:t>
            </w:r>
          </w:p>
        </w:tc>
        <w:tc>
          <w:tcPr>
            <w:tcW w:w="1304" w:type="dxa"/>
            <w:vAlign w:val="center"/>
          </w:tcPr>
          <w:p w14:paraId="46AA2960" w14:textId="77777777" w:rsidR="00454A29" w:rsidRDefault="00454A29">
            <w:pPr>
              <w:pStyle w:val="ConsPlusNormal"/>
              <w:jc w:val="right"/>
            </w:pPr>
            <w:r>
              <w:t>-</w:t>
            </w:r>
          </w:p>
        </w:tc>
        <w:tc>
          <w:tcPr>
            <w:tcW w:w="1304" w:type="dxa"/>
            <w:vAlign w:val="center"/>
          </w:tcPr>
          <w:p w14:paraId="09022637" w14:textId="77777777" w:rsidR="00454A29" w:rsidRDefault="00454A29">
            <w:pPr>
              <w:pStyle w:val="ConsPlusNormal"/>
              <w:jc w:val="right"/>
            </w:pPr>
            <w:r>
              <w:t>-</w:t>
            </w:r>
          </w:p>
        </w:tc>
        <w:tc>
          <w:tcPr>
            <w:tcW w:w="1304" w:type="dxa"/>
            <w:vAlign w:val="center"/>
          </w:tcPr>
          <w:p w14:paraId="3280B365" w14:textId="77777777" w:rsidR="00454A29" w:rsidRDefault="00454A29">
            <w:pPr>
              <w:pStyle w:val="ConsPlusNormal"/>
              <w:jc w:val="right"/>
            </w:pPr>
            <w:r>
              <w:t>-</w:t>
            </w:r>
          </w:p>
        </w:tc>
      </w:tr>
      <w:tr w:rsidR="00454A29" w14:paraId="1C6A984C" w14:textId="77777777">
        <w:tc>
          <w:tcPr>
            <w:tcW w:w="2041" w:type="dxa"/>
            <w:vMerge/>
          </w:tcPr>
          <w:p w14:paraId="5146A857" w14:textId="77777777" w:rsidR="00454A29" w:rsidRDefault="00454A29"/>
        </w:tc>
        <w:tc>
          <w:tcPr>
            <w:tcW w:w="3005" w:type="dxa"/>
            <w:vMerge/>
          </w:tcPr>
          <w:p w14:paraId="1EB4F03E" w14:textId="77777777" w:rsidR="00454A29" w:rsidRDefault="00454A29"/>
        </w:tc>
        <w:tc>
          <w:tcPr>
            <w:tcW w:w="2778" w:type="dxa"/>
            <w:vAlign w:val="center"/>
          </w:tcPr>
          <w:p w14:paraId="1E713DD0" w14:textId="77777777" w:rsidR="00454A29" w:rsidRDefault="00454A29">
            <w:pPr>
              <w:pStyle w:val="ConsPlusNormal"/>
            </w:pPr>
            <w:r>
              <w:t>Местные бюджеты</w:t>
            </w:r>
          </w:p>
        </w:tc>
        <w:tc>
          <w:tcPr>
            <w:tcW w:w="1304" w:type="dxa"/>
            <w:vAlign w:val="center"/>
          </w:tcPr>
          <w:p w14:paraId="795D0C62" w14:textId="77777777" w:rsidR="00454A29" w:rsidRDefault="00454A29">
            <w:pPr>
              <w:pStyle w:val="ConsPlusNormal"/>
              <w:jc w:val="right"/>
            </w:pPr>
            <w:r>
              <w:t>349 713</w:t>
            </w:r>
          </w:p>
        </w:tc>
        <w:tc>
          <w:tcPr>
            <w:tcW w:w="1247" w:type="dxa"/>
            <w:vAlign w:val="center"/>
          </w:tcPr>
          <w:p w14:paraId="01B0F1CF" w14:textId="77777777" w:rsidR="00454A29" w:rsidRDefault="00454A29">
            <w:pPr>
              <w:pStyle w:val="ConsPlusNormal"/>
              <w:jc w:val="right"/>
            </w:pPr>
            <w:r>
              <w:t>368 665</w:t>
            </w:r>
          </w:p>
        </w:tc>
        <w:tc>
          <w:tcPr>
            <w:tcW w:w="1304" w:type="dxa"/>
            <w:vAlign w:val="center"/>
          </w:tcPr>
          <w:p w14:paraId="7C393C61" w14:textId="77777777" w:rsidR="00454A29" w:rsidRDefault="00454A29">
            <w:pPr>
              <w:pStyle w:val="ConsPlusNormal"/>
              <w:jc w:val="right"/>
            </w:pPr>
            <w:r>
              <w:t>383 315</w:t>
            </w:r>
          </w:p>
        </w:tc>
        <w:tc>
          <w:tcPr>
            <w:tcW w:w="1304" w:type="dxa"/>
            <w:vAlign w:val="center"/>
          </w:tcPr>
          <w:p w14:paraId="3ACE5F8F" w14:textId="77777777" w:rsidR="00454A29" w:rsidRDefault="00454A29">
            <w:pPr>
              <w:pStyle w:val="ConsPlusNormal"/>
              <w:jc w:val="right"/>
            </w:pPr>
            <w:r>
              <w:t>398 088</w:t>
            </w:r>
          </w:p>
        </w:tc>
        <w:tc>
          <w:tcPr>
            <w:tcW w:w="1304" w:type="dxa"/>
            <w:vAlign w:val="center"/>
          </w:tcPr>
          <w:p w14:paraId="1A34C758" w14:textId="77777777" w:rsidR="00454A29" w:rsidRDefault="00454A29">
            <w:pPr>
              <w:pStyle w:val="ConsPlusNormal"/>
              <w:jc w:val="right"/>
            </w:pPr>
            <w:r>
              <w:t>412 755</w:t>
            </w:r>
          </w:p>
        </w:tc>
        <w:tc>
          <w:tcPr>
            <w:tcW w:w="1304" w:type="dxa"/>
            <w:vAlign w:val="center"/>
          </w:tcPr>
          <w:p w14:paraId="75D03F00" w14:textId="77777777" w:rsidR="00454A29" w:rsidRDefault="00454A29">
            <w:pPr>
              <w:pStyle w:val="ConsPlusNormal"/>
              <w:jc w:val="right"/>
            </w:pPr>
            <w:r>
              <w:t>250 057</w:t>
            </w:r>
          </w:p>
        </w:tc>
        <w:tc>
          <w:tcPr>
            <w:tcW w:w="1304" w:type="dxa"/>
            <w:vAlign w:val="center"/>
          </w:tcPr>
          <w:p w14:paraId="510DE081" w14:textId="77777777" w:rsidR="00454A29" w:rsidRDefault="00454A29">
            <w:pPr>
              <w:pStyle w:val="ConsPlusNormal"/>
              <w:jc w:val="right"/>
            </w:pPr>
            <w:r>
              <w:t>122 183</w:t>
            </w:r>
          </w:p>
        </w:tc>
      </w:tr>
      <w:tr w:rsidR="00454A29" w14:paraId="3A7E380D" w14:textId="77777777">
        <w:tc>
          <w:tcPr>
            <w:tcW w:w="2041" w:type="dxa"/>
            <w:vMerge/>
          </w:tcPr>
          <w:p w14:paraId="40615082" w14:textId="77777777" w:rsidR="00454A29" w:rsidRDefault="00454A29"/>
        </w:tc>
        <w:tc>
          <w:tcPr>
            <w:tcW w:w="3005" w:type="dxa"/>
            <w:vMerge/>
          </w:tcPr>
          <w:p w14:paraId="705A6E34" w14:textId="77777777" w:rsidR="00454A29" w:rsidRDefault="00454A29"/>
        </w:tc>
        <w:tc>
          <w:tcPr>
            <w:tcW w:w="2778" w:type="dxa"/>
            <w:vAlign w:val="center"/>
          </w:tcPr>
          <w:p w14:paraId="5842BF12" w14:textId="77777777" w:rsidR="00454A29" w:rsidRDefault="00454A29">
            <w:pPr>
              <w:pStyle w:val="ConsPlusNormal"/>
            </w:pPr>
            <w:r>
              <w:t>Минобрнауки РС(Я)</w:t>
            </w:r>
          </w:p>
        </w:tc>
        <w:tc>
          <w:tcPr>
            <w:tcW w:w="1304" w:type="dxa"/>
            <w:vAlign w:val="center"/>
          </w:tcPr>
          <w:p w14:paraId="13A8EAE3" w14:textId="77777777" w:rsidR="00454A29" w:rsidRDefault="00454A29">
            <w:pPr>
              <w:pStyle w:val="ConsPlusNormal"/>
              <w:jc w:val="right"/>
            </w:pPr>
            <w:r>
              <w:t>-</w:t>
            </w:r>
          </w:p>
        </w:tc>
        <w:tc>
          <w:tcPr>
            <w:tcW w:w="1247" w:type="dxa"/>
            <w:vAlign w:val="center"/>
          </w:tcPr>
          <w:p w14:paraId="5247B5AB" w14:textId="77777777" w:rsidR="00454A29" w:rsidRDefault="00454A29">
            <w:pPr>
              <w:pStyle w:val="ConsPlusNormal"/>
              <w:jc w:val="right"/>
            </w:pPr>
            <w:r>
              <w:t>-</w:t>
            </w:r>
          </w:p>
        </w:tc>
        <w:tc>
          <w:tcPr>
            <w:tcW w:w="1304" w:type="dxa"/>
            <w:vAlign w:val="center"/>
          </w:tcPr>
          <w:p w14:paraId="24114B99" w14:textId="77777777" w:rsidR="00454A29" w:rsidRDefault="00454A29">
            <w:pPr>
              <w:pStyle w:val="ConsPlusNormal"/>
              <w:jc w:val="right"/>
            </w:pPr>
            <w:r>
              <w:t>-</w:t>
            </w:r>
          </w:p>
        </w:tc>
        <w:tc>
          <w:tcPr>
            <w:tcW w:w="1304" w:type="dxa"/>
            <w:vAlign w:val="center"/>
          </w:tcPr>
          <w:p w14:paraId="468DE454" w14:textId="77777777" w:rsidR="00454A29" w:rsidRDefault="00454A29">
            <w:pPr>
              <w:pStyle w:val="ConsPlusNormal"/>
              <w:jc w:val="right"/>
            </w:pPr>
            <w:r>
              <w:t>-</w:t>
            </w:r>
          </w:p>
        </w:tc>
        <w:tc>
          <w:tcPr>
            <w:tcW w:w="1304" w:type="dxa"/>
            <w:vAlign w:val="center"/>
          </w:tcPr>
          <w:p w14:paraId="4C7D49C0" w14:textId="77777777" w:rsidR="00454A29" w:rsidRDefault="00454A29">
            <w:pPr>
              <w:pStyle w:val="ConsPlusNormal"/>
              <w:jc w:val="right"/>
            </w:pPr>
            <w:r>
              <w:t>-</w:t>
            </w:r>
          </w:p>
        </w:tc>
        <w:tc>
          <w:tcPr>
            <w:tcW w:w="1304" w:type="dxa"/>
            <w:vAlign w:val="center"/>
          </w:tcPr>
          <w:p w14:paraId="7D831F6A" w14:textId="77777777" w:rsidR="00454A29" w:rsidRDefault="00454A29">
            <w:pPr>
              <w:pStyle w:val="ConsPlusNormal"/>
              <w:jc w:val="right"/>
            </w:pPr>
            <w:r>
              <w:t>-</w:t>
            </w:r>
          </w:p>
        </w:tc>
        <w:tc>
          <w:tcPr>
            <w:tcW w:w="1304" w:type="dxa"/>
            <w:vAlign w:val="center"/>
          </w:tcPr>
          <w:p w14:paraId="2A592F74" w14:textId="77777777" w:rsidR="00454A29" w:rsidRDefault="00454A29">
            <w:pPr>
              <w:pStyle w:val="ConsPlusNormal"/>
              <w:jc w:val="right"/>
            </w:pPr>
            <w:r>
              <w:t>-</w:t>
            </w:r>
          </w:p>
        </w:tc>
      </w:tr>
      <w:tr w:rsidR="00454A29" w14:paraId="60F01BF3" w14:textId="77777777">
        <w:tc>
          <w:tcPr>
            <w:tcW w:w="2041" w:type="dxa"/>
            <w:vMerge/>
          </w:tcPr>
          <w:p w14:paraId="17392C6F" w14:textId="77777777" w:rsidR="00454A29" w:rsidRDefault="00454A29"/>
        </w:tc>
        <w:tc>
          <w:tcPr>
            <w:tcW w:w="3005" w:type="dxa"/>
            <w:vMerge/>
          </w:tcPr>
          <w:p w14:paraId="076A4C69" w14:textId="77777777" w:rsidR="00454A29" w:rsidRDefault="00454A29"/>
        </w:tc>
        <w:tc>
          <w:tcPr>
            <w:tcW w:w="2778" w:type="dxa"/>
            <w:vAlign w:val="center"/>
          </w:tcPr>
          <w:p w14:paraId="14020075" w14:textId="77777777" w:rsidR="00454A29" w:rsidRDefault="00454A29">
            <w:pPr>
              <w:pStyle w:val="ConsPlusNormal"/>
            </w:pPr>
            <w:r>
              <w:t>Минстрой РС(Я)</w:t>
            </w:r>
          </w:p>
        </w:tc>
        <w:tc>
          <w:tcPr>
            <w:tcW w:w="1304" w:type="dxa"/>
            <w:vAlign w:val="center"/>
          </w:tcPr>
          <w:p w14:paraId="2BD857B4" w14:textId="77777777" w:rsidR="00454A29" w:rsidRDefault="00454A29">
            <w:pPr>
              <w:pStyle w:val="ConsPlusNormal"/>
            </w:pPr>
          </w:p>
        </w:tc>
        <w:tc>
          <w:tcPr>
            <w:tcW w:w="1247" w:type="dxa"/>
            <w:vAlign w:val="center"/>
          </w:tcPr>
          <w:p w14:paraId="25A96E02" w14:textId="77777777" w:rsidR="00454A29" w:rsidRDefault="00454A29">
            <w:pPr>
              <w:pStyle w:val="ConsPlusNormal"/>
            </w:pPr>
          </w:p>
        </w:tc>
        <w:tc>
          <w:tcPr>
            <w:tcW w:w="1304" w:type="dxa"/>
            <w:vAlign w:val="center"/>
          </w:tcPr>
          <w:p w14:paraId="6FEDFF7E" w14:textId="77777777" w:rsidR="00454A29" w:rsidRDefault="00454A29">
            <w:pPr>
              <w:pStyle w:val="ConsPlusNormal"/>
            </w:pPr>
          </w:p>
        </w:tc>
        <w:tc>
          <w:tcPr>
            <w:tcW w:w="1304" w:type="dxa"/>
            <w:vAlign w:val="center"/>
          </w:tcPr>
          <w:p w14:paraId="186F6A87" w14:textId="77777777" w:rsidR="00454A29" w:rsidRDefault="00454A29">
            <w:pPr>
              <w:pStyle w:val="ConsPlusNormal"/>
            </w:pPr>
          </w:p>
        </w:tc>
        <w:tc>
          <w:tcPr>
            <w:tcW w:w="1304" w:type="dxa"/>
            <w:vAlign w:val="center"/>
          </w:tcPr>
          <w:p w14:paraId="05568A4C" w14:textId="77777777" w:rsidR="00454A29" w:rsidRDefault="00454A29">
            <w:pPr>
              <w:pStyle w:val="ConsPlusNormal"/>
              <w:jc w:val="right"/>
            </w:pPr>
            <w:r>
              <w:t>-</w:t>
            </w:r>
          </w:p>
        </w:tc>
        <w:tc>
          <w:tcPr>
            <w:tcW w:w="1304" w:type="dxa"/>
            <w:vAlign w:val="center"/>
          </w:tcPr>
          <w:p w14:paraId="64044380" w14:textId="77777777" w:rsidR="00454A29" w:rsidRDefault="00454A29">
            <w:pPr>
              <w:pStyle w:val="ConsPlusNormal"/>
              <w:jc w:val="right"/>
            </w:pPr>
            <w:r>
              <w:t>-</w:t>
            </w:r>
          </w:p>
        </w:tc>
        <w:tc>
          <w:tcPr>
            <w:tcW w:w="1304" w:type="dxa"/>
            <w:vAlign w:val="center"/>
          </w:tcPr>
          <w:p w14:paraId="129E60B1" w14:textId="77777777" w:rsidR="00454A29" w:rsidRDefault="00454A29">
            <w:pPr>
              <w:pStyle w:val="ConsPlusNormal"/>
              <w:jc w:val="right"/>
            </w:pPr>
            <w:r>
              <w:t>-</w:t>
            </w:r>
          </w:p>
        </w:tc>
      </w:tr>
      <w:tr w:rsidR="00454A29" w14:paraId="3EAD23E9" w14:textId="77777777">
        <w:tc>
          <w:tcPr>
            <w:tcW w:w="2041" w:type="dxa"/>
            <w:vMerge/>
          </w:tcPr>
          <w:p w14:paraId="766D1536" w14:textId="77777777" w:rsidR="00454A29" w:rsidRDefault="00454A29"/>
        </w:tc>
        <w:tc>
          <w:tcPr>
            <w:tcW w:w="3005" w:type="dxa"/>
            <w:vMerge/>
          </w:tcPr>
          <w:p w14:paraId="51D3B3F3" w14:textId="77777777" w:rsidR="00454A29" w:rsidRDefault="00454A29"/>
        </w:tc>
        <w:tc>
          <w:tcPr>
            <w:tcW w:w="2778" w:type="dxa"/>
            <w:vAlign w:val="center"/>
          </w:tcPr>
          <w:p w14:paraId="41AB4A84" w14:textId="77777777" w:rsidR="00454A29" w:rsidRDefault="00454A29">
            <w:pPr>
              <w:pStyle w:val="ConsPlusNormal"/>
            </w:pPr>
            <w:r>
              <w:t>Муниципальные образования РС(Я)</w:t>
            </w:r>
          </w:p>
        </w:tc>
        <w:tc>
          <w:tcPr>
            <w:tcW w:w="1304" w:type="dxa"/>
            <w:vAlign w:val="center"/>
          </w:tcPr>
          <w:p w14:paraId="6356909A" w14:textId="77777777" w:rsidR="00454A29" w:rsidRDefault="00454A29">
            <w:pPr>
              <w:pStyle w:val="ConsPlusNormal"/>
              <w:jc w:val="right"/>
            </w:pPr>
            <w:r>
              <w:t>-</w:t>
            </w:r>
          </w:p>
        </w:tc>
        <w:tc>
          <w:tcPr>
            <w:tcW w:w="1247" w:type="dxa"/>
            <w:vAlign w:val="center"/>
          </w:tcPr>
          <w:p w14:paraId="0AF65E4F" w14:textId="77777777" w:rsidR="00454A29" w:rsidRDefault="00454A29">
            <w:pPr>
              <w:pStyle w:val="ConsPlusNormal"/>
            </w:pPr>
          </w:p>
        </w:tc>
        <w:tc>
          <w:tcPr>
            <w:tcW w:w="1304" w:type="dxa"/>
            <w:vAlign w:val="center"/>
          </w:tcPr>
          <w:p w14:paraId="288CA191" w14:textId="77777777" w:rsidR="00454A29" w:rsidRDefault="00454A29">
            <w:pPr>
              <w:pStyle w:val="ConsPlusNormal"/>
              <w:jc w:val="right"/>
            </w:pPr>
            <w:r>
              <w:t>-</w:t>
            </w:r>
          </w:p>
        </w:tc>
        <w:tc>
          <w:tcPr>
            <w:tcW w:w="1304" w:type="dxa"/>
            <w:vAlign w:val="center"/>
          </w:tcPr>
          <w:p w14:paraId="361EF93D" w14:textId="77777777" w:rsidR="00454A29" w:rsidRDefault="00454A29">
            <w:pPr>
              <w:pStyle w:val="ConsPlusNormal"/>
              <w:jc w:val="right"/>
            </w:pPr>
            <w:r>
              <w:t>-</w:t>
            </w:r>
          </w:p>
        </w:tc>
        <w:tc>
          <w:tcPr>
            <w:tcW w:w="1304" w:type="dxa"/>
            <w:vAlign w:val="center"/>
          </w:tcPr>
          <w:p w14:paraId="5D4C7086" w14:textId="77777777" w:rsidR="00454A29" w:rsidRDefault="00454A29">
            <w:pPr>
              <w:pStyle w:val="ConsPlusNormal"/>
              <w:jc w:val="right"/>
            </w:pPr>
            <w:r>
              <w:t>-</w:t>
            </w:r>
          </w:p>
        </w:tc>
        <w:tc>
          <w:tcPr>
            <w:tcW w:w="1304" w:type="dxa"/>
            <w:vAlign w:val="center"/>
          </w:tcPr>
          <w:p w14:paraId="5885BCF0" w14:textId="77777777" w:rsidR="00454A29" w:rsidRDefault="00454A29">
            <w:pPr>
              <w:pStyle w:val="ConsPlusNormal"/>
              <w:jc w:val="right"/>
            </w:pPr>
            <w:r>
              <w:t>-</w:t>
            </w:r>
          </w:p>
        </w:tc>
        <w:tc>
          <w:tcPr>
            <w:tcW w:w="1304" w:type="dxa"/>
            <w:vAlign w:val="center"/>
          </w:tcPr>
          <w:p w14:paraId="1DAE317C" w14:textId="77777777" w:rsidR="00454A29" w:rsidRDefault="00454A29">
            <w:pPr>
              <w:pStyle w:val="ConsPlusNormal"/>
              <w:jc w:val="right"/>
            </w:pPr>
            <w:r>
              <w:t>-</w:t>
            </w:r>
          </w:p>
        </w:tc>
      </w:tr>
      <w:tr w:rsidR="00454A29" w14:paraId="0B12AF9A" w14:textId="77777777">
        <w:tc>
          <w:tcPr>
            <w:tcW w:w="2041" w:type="dxa"/>
            <w:vMerge/>
          </w:tcPr>
          <w:p w14:paraId="13476E86" w14:textId="77777777" w:rsidR="00454A29" w:rsidRDefault="00454A29"/>
        </w:tc>
        <w:tc>
          <w:tcPr>
            <w:tcW w:w="3005" w:type="dxa"/>
            <w:vMerge/>
          </w:tcPr>
          <w:p w14:paraId="3667CC18" w14:textId="77777777" w:rsidR="00454A29" w:rsidRDefault="00454A29"/>
        </w:tc>
        <w:tc>
          <w:tcPr>
            <w:tcW w:w="2778" w:type="dxa"/>
            <w:vAlign w:val="center"/>
          </w:tcPr>
          <w:p w14:paraId="470D7E26" w14:textId="77777777" w:rsidR="00454A29" w:rsidRDefault="00454A29">
            <w:pPr>
              <w:pStyle w:val="ConsPlusNormal"/>
            </w:pPr>
            <w:r>
              <w:t>Минэкономики РС(Я)</w:t>
            </w:r>
          </w:p>
        </w:tc>
        <w:tc>
          <w:tcPr>
            <w:tcW w:w="1304" w:type="dxa"/>
            <w:vAlign w:val="center"/>
          </w:tcPr>
          <w:p w14:paraId="6BAD51F1" w14:textId="77777777" w:rsidR="00454A29" w:rsidRDefault="00454A29">
            <w:pPr>
              <w:pStyle w:val="ConsPlusNormal"/>
              <w:jc w:val="right"/>
            </w:pPr>
            <w:r>
              <w:t>349 713</w:t>
            </w:r>
          </w:p>
        </w:tc>
        <w:tc>
          <w:tcPr>
            <w:tcW w:w="1247" w:type="dxa"/>
            <w:vAlign w:val="center"/>
          </w:tcPr>
          <w:p w14:paraId="732D7818" w14:textId="77777777" w:rsidR="00454A29" w:rsidRDefault="00454A29">
            <w:pPr>
              <w:pStyle w:val="ConsPlusNormal"/>
              <w:jc w:val="right"/>
            </w:pPr>
            <w:r>
              <w:t>368 665</w:t>
            </w:r>
          </w:p>
        </w:tc>
        <w:tc>
          <w:tcPr>
            <w:tcW w:w="1304" w:type="dxa"/>
            <w:vAlign w:val="center"/>
          </w:tcPr>
          <w:p w14:paraId="32652023" w14:textId="77777777" w:rsidR="00454A29" w:rsidRDefault="00454A29">
            <w:pPr>
              <w:pStyle w:val="ConsPlusNormal"/>
              <w:jc w:val="right"/>
            </w:pPr>
            <w:r>
              <w:t>383 315</w:t>
            </w:r>
          </w:p>
        </w:tc>
        <w:tc>
          <w:tcPr>
            <w:tcW w:w="1304" w:type="dxa"/>
            <w:vAlign w:val="center"/>
          </w:tcPr>
          <w:p w14:paraId="6C8EBC73" w14:textId="77777777" w:rsidR="00454A29" w:rsidRDefault="00454A29">
            <w:pPr>
              <w:pStyle w:val="ConsPlusNormal"/>
              <w:jc w:val="right"/>
            </w:pPr>
            <w:r>
              <w:t>398 088</w:t>
            </w:r>
          </w:p>
        </w:tc>
        <w:tc>
          <w:tcPr>
            <w:tcW w:w="1304" w:type="dxa"/>
            <w:vAlign w:val="center"/>
          </w:tcPr>
          <w:p w14:paraId="3AE06A89" w14:textId="77777777" w:rsidR="00454A29" w:rsidRDefault="00454A29">
            <w:pPr>
              <w:pStyle w:val="ConsPlusNormal"/>
              <w:jc w:val="right"/>
            </w:pPr>
            <w:r>
              <w:t>412 755</w:t>
            </w:r>
          </w:p>
        </w:tc>
        <w:tc>
          <w:tcPr>
            <w:tcW w:w="1304" w:type="dxa"/>
            <w:vAlign w:val="center"/>
          </w:tcPr>
          <w:p w14:paraId="4E63CCD4" w14:textId="77777777" w:rsidR="00454A29" w:rsidRDefault="00454A29">
            <w:pPr>
              <w:pStyle w:val="ConsPlusNormal"/>
              <w:jc w:val="right"/>
            </w:pPr>
            <w:r>
              <w:t>250 057</w:t>
            </w:r>
          </w:p>
        </w:tc>
        <w:tc>
          <w:tcPr>
            <w:tcW w:w="1304" w:type="dxa"/>
            <w:vAlign w:val="center"/>
          </w:tcPr>
          <w:p w14:paraId="65B5D0A8" w14:textId="77777777" w:rsidR="00454A29" w:rsidRDefault="00454A29">
            <w:pPr>
              <w:pStyle w:val="ConsPlusNormal"/>
              <w:jc w:val="right"/>
            </w:pPr>
            <w:r>
              <w:t>122 183</w:t>
            </w:r>
          </w:p>
        </w:tc>
      </w:tr>
      <w:tr w:rsidR="00454A29" w14:paraId="479A9148" w14:textId="77777777">
        <w:tc>
          <w:tcPr>
            <w:tcW w:w="2041" w:type="dxa"/>
            <w:vMerge/>
          </w:tcPr>
          <w:p w14:paraId="66E75001" w14:textId="77777777" w:rsidR="00454A29" w:rsidRDefault="00454A29"/>
        </w:tc>
        <w:tc>
          <w:tcPr>
            <w:tcW w:w="3005" w:type="dxa"/>
            <w:vMerge/>
          </w:tcPr>
          <w:p w14:paraId="52F524E2" w14:textId="77777777" w:rsidR="00454A29" w:rsidRDefault="00454A29"/>
        </w:tc>
        <w:tc>
          <w:tcPr>
            <w:tcW w:w="2778" w:type="dxa"/>
            <w:vAlign w:val="center"/>
          </w:tcPr>
          <w:p w14:paraId="2194C8DF" w14:textId="77777777" w:rsidR="00454A29" w:rsidRDefault="00454A29">
            <w:pPr>
              <w:pStyle w:val="ConsPlusNormal"/>
            </w:pPr>
            <w:r>
              <w:t>Внебюджетные средства</w:t>
            </w:r>
          </w:p>
        </w:tc>
        <w:tc>
          <w:tcPr>
            <w:tcW w:w="1304" w:type="dxa"/>
            <w:vAlign w:val="center"/>
          </w:tcPr>
          <w:p w14:paraId="63EAD386" w14:textId="77777777" w:rsidR="00454A29" w:rsidRDefault="00454A29">
            <w:pPr>
              <w:pStyle w:val="ConsPlusNormal"/>
              <w:jc w:val="right"/>
            </w:pPr>
            <w:r>
              <w:t>-</w:t>
            </w:r>
          </w:p>
        </w:tc>
        <w:tc>
          <w:tcPr>
            <w:tcW w:w="1247" w:type="dxa"/>
            <w:vAlign w:val="center"/>
          </w:tcPr>
          <w:p w14:paraId="42C1A494" w14:textId="77777777" w:rsidR="00454A29" w:rsidRDefault="00454A29">
            <w:pPr>
              <w:pStyle w:val="ConsPlusNormal"/>
              <w:jc w:val="right"/>
            </w:pPr>
            <w:r>
              <w:t>-</w:t>
            </w:r>
          </w:p>
        </w:tc>
        <w:tc>
          <w:tcPr>
            <w:tcW w:w="1304" w:type="dxa"/>
            <w:vAlign w:val="center"/>
          </w:tcPr>
          <w:p w14:paraId="19D3A6FF" w14:textId="77777777" w:rsidR="00454A29" w:rsidRDefault="00454A29">
            <w:pPr>
              <w:pStyle w:val="ConsPlusNormal"/>
              <w:jc w:val="right"/>
            </w:pPr>
            <w:r>
              <w:t>-</w:t>
            </w:r>
          </w:p>
        </w:tc>
        <w:tc>
          <w:tcPr>
            <w:tcW w:w="1304" w:type="dxa"/>
            <w:vAlign w:val="center"/>
          </w:tcPr>
          <w:p w14:paraId="67BA4752" w14:textId="77777777" w:rsidR="00454A29" w:rsidRDefault="00454A29">
            <w:pPr>
              <w:pStyle w:val="ConsPlusNormal"/>
              <w:jc w:val="right"/>
            </w:pPr>
            <w:r>
              <w:t>-</w:t>
            </w:r>
          </w:p>
        </w:tc>
        <w:tc>
          <w:tcPr>
            <w:tcW w:w="1304" w:type="dxa"/>
            <w:vAlign w:val="center"/>
          </w:tcPr>
          <w:p w14:paraId="704F07F4" w14:textId="77777777" w:rsidR="00454A29" w:rsidRDefault="00454A29">
            <w:pPr>
              <w:pStyle w:val="ConsPlusNormal"/>
              <w:jc w:val="right"/>
            </w:pPr>
            <w:r>
              <w:t>-</w:t>
            </w:r>
          </w:p>
        </w:tc>
        <w:tc>
          <w:tcPr>
            <w:tcW w:w="1304" w:type="dxa"/>
            <w:vAlign w:val="center"/>
          </w:tcPr>
          <w:p w14:paraId="22F0FC73" w14:textId="77777777" w:rsidR="00454A29" w:rsidRDefault="00454A29">
            <w:pPr>
              <w:pStyle w:val="ConsPlusNormal"/>
              <w:jc w:val="right"/>
            </w:pPr>
            <w:r>
              <w:t>-</w:t>
            </w:r>
          </w:p>
        </w:tc>
        <w:tc>
          <w:tcPr>
            <w:tcW w:w="1304" w:type="dxa"/>
            <w:vAlign w:val="center"/>
          </w:tcPr>
          <w:p w14:paraId="12119555" w14:textId="77777777" w:rsidR="00454A29" w:rsidRDefault="00454A29">
            <w:pPr>
              <w:pStyle w:val="ConsPlusNormal"/>
              <w:jc w:val="right"/>
            </w:pPr>
            <w:r>
              <w:t>-</w:t>
            </w:r>
          </w:p>
        </w:tc>
      </w:tr>
      <w:tr w:rsidR="00454A29" w14:paraId="69FE021B" w14:textId="77777777">
        <w:tc>
          <w:tcPr>
            <w:tcW w:w="2041" w:type="dxa"/>
            <w:vMerge/>
          </w:tcPr>
          <w:p w14:paraId="0FC441DD" w14:textId="77777777" w:rsidR="00454A29" w:rsidRDefault="00454A29"/>
        </w:tc>
        <w:tc>
          <w:tcPr>
            <w:tcW w:w="3005" w:type="dxa"/>
            <w:vMerge/>
          </w:tcPr>
          <w:p w14:paraId="771F726E" w14:textId="77777777" w:rsidR="00454A29" w:rsidRDefault="00454A29"/>
        </w:tc>
        <w:tc>
          <w:tcPr>
            <w:tcW w:w="2778" w:type="dxa"/>
            <w:vAlign w:val="center"/>
          </w:tcPr>
          <w:p w14:paraId="0C75DA2E" w14:textId="77777777" w:rsidR="00454A29" w:rsidRDefault="00454A29">
            <w:pPr>
              <w:pStyle w:val="ConsPlusNormal"/>
            </w:pPr>
            <w:r>
              <w:t>ГРБС - участники Программы</w:t>
            </w:r>
          </w:p>
        </w:tc>
        <w:tc>
          <w:tcPr>
            <w:tcW w:w="1304" w:type="dxa"/>
            <w:vAlign w:val="center"/>
          </w:tcPr>
          <w:p w14:paraId="203FBFB3" w14:textId="77777777" w:rsidR="00454A29" w:rsidRDefault="00454A29">
            <w:pPr>
              <w:pStyle w:val="ConsPlusNormal"/>
              <w:jc w:val="right"/>
            </w:pPr>
            <w:r>
              <w:t>-</w:t>
            </w:r>
          </w:p>
        </w:tc>
        <w:tc>
          <w:tcPr>
            <w:tcW w:w="1247" w:type="dxa"/>
            <w:vAlign w:val="center"/>
          </w:tcPr>
          <w:p w14:paraId="48A9F737" w14:textId="77777777" w:rsidR="00454A29" w:rsidRDefault="00454A29">
            <w:pPr>
              <w:pStyle w:val="ConsPlusNormal"/>
              <w:jc w:val="right"/>
            </w:pPr>
            <w:r>
              <w:t>-</w:t>
            </w:r>
          </w:p>
        </w:tc>
        <w:tc>
          <w:tcPr>
            <w:tcW w:w="1304" w:type="dxa"/>
            <w:vAlign w:val="center"/>
          </w:tcPr>
          <w:p w14:paraId="3B7DD3DE" w14:textId="77777777" w:rsidR="00454A29" w:rsidRDefault="00454A29">
            <w:pPr>
              <w:pStyle w:val="ConsPlusNormal"/>
              <w:jc w:val="right"/>
            </w:pPr>
            <w:r>
              <w:t>-</w:t>
            </w:r>
          </w:p>
        </w:tc>
        <w:tc>
          <w:tcPr>
            <w:tcW w:w="1304" w:type="dxa"/>
            <w:vAlign w:val="center"/>
          </w:tcPr>
          <w:p w14:paraId="6535D226" w14:textId="77777777" w:rsidR="00454A29" w:rsidRDefault="00454A29">
            <w:pPr>
              <w:pStyle w:val="ConsPlusNormal"/>
              <w:jc w:val="right"/>
            </w:pPr>
            <w:r>
              <w:t>-</w:t>
            </w:r>
          </w:p>
        </w:tc>
        <w:tc>
          <w:tcPr>
            <w:tcW w:w="1304" w:type="dxa"/>
            <w:vAlign w:val="center"/>
          </w:tcPr>
          <w:p w14:paraId="5CCBE839" w14:textId="77777777" w:rsidR="00454A29" w:rsidRDefault="00454A29">
            <w:pPr>
              <w:pStyle w:val="ConsPlusNormal"/>
              <w:jc w:val="right"/>
            </w:pPr>
            <w:r>
              <w:t>-</w:t>
            </w:r>
          </w:p>
        </w:tc>
        <w:tc>
          <w:tcPr>
            <w:tcW w:w="1304" w:type="dxa"/>
            <w:vAlign w:val="center"/>
          </w:tcPr>
          <w:p w14:paraId="1598CC8B" w14:textId="77777777" w:rsidR="00454A29" w:rsidRDefault="00454A29">
            <w:pPr>
              <w:pStyle w:val="ConsPlusNormal"/>
              <w:jc w:val="right"/>
            </w:pPr>
            <w:r>
              <w:t>-</w:t>
            </w:r>
          </w:p>
        </w:tc>
        <w:tc>
          <w:tcPr>
            <w:tcW w:w="1304" w:type="dxa"/>
            <w:vAlign w:val="center"/>
          </w:tcPr>
          <w:p w14:paraId="21EBB150" w14:textId="77777777" w:rsidR="00454A29" w:rsidRDefault="00454A29">
            <w:pPr>
              <w:pStyle w:val="ConsPlusNormal"/>
              <w:jc w:val="right"/>
            </w:pPr>
            <w:r>
              <w:t>-</w:t>
            </w:r>
          </w:p>
        </w:tc>
      </w:tr>
      <w:tr w:rsidR="00454A29" w14:paraId="31E8B6A7" w14:textId="77777777">
        <w:tc>
          <w:tcPr>
            <w:tcW w:w="2041" w:type="dxa"/>
            <w:vMerge w:val="restart"/>
            <w:vAlign w:val="center"/>
          </w:tcPr>
          <w:p w14:paraId="50A3C0EA" w14:textId="77777777" w:rsidR="00454A29" w:rsidRDefault="00454A29">
            <w:pPr>
              <w:pStyle w:val="ConsPlusNormal"/>
              <w:jc w:val="center"/>
            </w:pPr>
            <w:r>
              <w:t>Основное мероприятие 10.2.</w:t>
            </w:r>
          </w:p>
        </w:tc>
        <w:tc>
          <w:tcPr>
            <w:tcW w:w="3005" w:type="dxa"/>
            <w:vMerge w:val="restart"/>
            <w:vAlign w:val="center"/>
          </w:tcPr>
          <w:p w14:paraId="352CBB8F" w14:textId="77777777" w:rsidR="00454A29" w:rsidRDefault="00454A29">
            <w:pPr>
              <w:pStyle w:val="ConsPlusNormal"/>
              <w:jc w:val="center"/>
            </w:pPr>
            <w:r>
              <w:t>Модернизация объектов общего образования</w:t>
            </w:r>
          </w:p>
        </w:tc>
        <w:tc>
          <w:tcPr>
            <w:tcW w:w="2778" w:type="dxa"/>
            <w:vAlign w:val="center"/>
          </w:tcPr>
          <w:p w14:paraId="10241BAB" w14:textId="77777777" w:rsidR="00454A29" w:rsidRDefault="00454A29">
            <w:pPr>
              <w:pStyle w:val="ConsPlusNormal"/>
            </w:pPr>
            <w:r>
              <w:t>Всего:</w:t>
            </w:r>
          </w:p>
        </w:tc>
        <w:tc>
          <w:tcPr>
            <w:tcW w:w="1304" w:type="dxa"/>
            <w:vAlign w:val="center"/>
          </w:tcPr>
          <w:p w14:paraId="544623DF" w14:textId="77777777" w:rsidR="00454A29" w:rsidRDefault="00454A29">
            <w:pPr>
              <w:pStyle w:val="ConsPlusNormal"/>
              <w:jc w:val="right"/>
            </w:pPr>
            <w:r>
              <w:t>-</w:t>
            </w:r>
          </w:p>
        </w:tc>
        <w:tc>
          <w:tcPr>
            <w:tcW w:w="1247" w:type="dxa"/>
            <w:vAlign w:val="center"/>
          </w:tcPr>
          <w:p w14:paraId="21DAF70F" w14:textId="77777777" w:rsidR="00454A29" w:rsidRDefault="00454A29">
            <w:pPr>
              <w:pStyle w:val="ConsPlusNormal"/>
              <w:jc w:val="right"/>
            </w:pPr>
            <w:r>
              <w:t>-</w:t>
            </w:r>
          </w:p>
        </w:tc>
        <w:tc>
          <w:tcPr>
            <w:tcW w:w="1304" w:type="dxa"/>
            <w:vAlign w:val="center"/>
          </w:tcPr>
          <w:p w14:paraId="6844B424" w14:textId="77777777" w:rsidR="00454A29" w:rsidRDefault="00454A29">
            <w:pPr>
              <w:pStyle w:val="ConsPlusNormal"/>
              <w:jc w:val="right"/>
            </w:pPr>
            <w:r>
              <w:t>-</w:t>
            </w:r>
          </w:p>
        </w:tc>
        <w:tc>
          <w:tcPr>
            <w:tcW w:w="1304" w:type="dxa"/>
            <w:vAlign w:val="center"/>
          </w:tcPr>
          <w:p w14:paraId="2EBFC409" w14:textId="77777777" w:rsidR="00454A29" w:rsidRDefault="00454A29">
            <w:pPr>
              <w:pStyle w:val="ConsPlusNormal"/>
              <w:jc w:val="right"/>
            </w:pPr>
            <w:r>
              <w:t>112 929</w:t>
            </w:r>
          </w:p>
        </w:tc>
        <w:tc>
          <w:tcPr>
            <w:tcW w:w="1304" w:type="dxa"/>
            <w:vAlign w:val="center"/>
          </w:tcPr>
          <w:p w14:paraId="0DD069E2" w14:textId="77777777" w:rsidR="00454A29" w:rsidRDefault="00454A29">
            <w:pPr>
              <w:pStyle w:val="ConsPlusNormal"/>
              <w:jc w:val="right"/>
            </w:pPr>
            <w:r>
              <w:t>190 375</w:t>
            </w:r>
          </w:p>
        </w:tc>
        <w:tc>
          <w:tcPr>
            <w:tcW w:w="1304" w:type="dxa"/>
            <w:vAlign w:val="center"/>
          </w:tcPr>
          <w:p w14:paraId="0F7ACA10" w14:textId="77777777" w:rsidR="00454A29" w:rsidRDefault="00454A29">
            <w:pPr>
              <w:pStyle w:val="ConsPlusNormal"/>
              <w:jc w:val="right"/>
            </w:pPr>
            <w:r>
              <w:t>227 981</w:t>
            </w:r>
          </w:p>
        </w:tc>
        <w:tc>
          <w:tcPr>
            <w:tcW w:w="1304" w:type="dxa"/>
            <w:vAlign w:val="center"/>
          </w:tcPr>
          <w:p w14:paraId="74A67BCF" w14:textId="77777777" w:rsidR="00454A29" w:rsidRDefault="00454A29">
            <w:pPr>
              <w:pStyle w:val="ConsPlusNormal"/>
              <w:jc w:val="right"/>
            </w:pPr>
            <w:r>
              <w:t>-</w:t>
            </w:r>
          </w:p>
        </w:tc>
      </w:tr>
      <w:tr w:rsidR="00454A29" w14:paraId="692BFC11" w14:textId="77777777">
        <w:tc>
          <w:tcPr>
            <w:tcW w:w="2041" w:type="dxa"/>
            <w:vMerge/>
          </w:tcPr>
          <w:p w14:paraId="47B3E149" w14:textId="77777777" w:rsidR="00454A29" w:rsidRDefault="00454A29"/>
        </w:tc>
        <w:tc>
          <w:tcPr>
            <w:tcW w:w="3005" w:type="dxa"/>
            <w:vMerge/>
          </w:tcPr>
          <w:p w14:paraId="5AD68556" w14:textId="77777777" w:rsidR="00454A29" w:rsidRDefault="00454A29"/>
        </w:tc>
        <w:tc>
          <w:tcPr>
            <w:tcW w:w="2778" w:type="dxa"/>
            <w:vAlign w:val="center"/>
          </w:tcPr>
          <w:p w14:paraId="72C60995" w14:textId="77777777" w:rsidR="00454A29" w:rsidRDefault="00454A29">
            <w:pPr>
              <w:pStyle w:val="ConsPlusNormal"/>
            </w:pPr>
            <w:r>
              <w:t>Государственный бюджет Республики Саха (Якутия)</w:t>
            </w:r>
          </w:p>
        </w:tc>
        <w:tc>
          <w:tcPr>
            <w:tcW w:w="1304" w:type="dxa"/>
            <w:vAlign w:val="center"/>
          </w:tcPr>
          <w:p w14:paraId="326A9510" w14:textId="77777777" w:rsidR="00454A29" w:rsidRDefault="00454A29">
            <w:pPr>
              <w:pStyle w:val="ConsPlusNormal"/>
              <w:jc w:val="right"/>
            </w:pPr>
            <w:r>
              <w:t>-</w:t>
            </w:r>
          </w:p>
        </w:tc>
        <w:tc>
          <w:tcPr>
            <w:tcW w:w="1247" w:type="dxa"/>
            <w:vAlign w:val="center"/>
          </w:tcPr>
          <w:p w14:paraId="3DE54B13" w14:textId="77777777" w:rsidR="00454A29" w:rsidRDefault="00454A29">
            <w:pPr>
              <w:pStyle w:val="ConsPlusNormal"/>
              <w:jc w:val="right"/>
            </w:pPr>
            <w:r>
              <w:t>-</w:t>
            </w:r>
          </w:p>
        </w:tc>
        <w:tc>
          <w:tcPr>
            <w:tcW w:w="1304" w:type="dxa"/>
            <w:vAlign w:val="center"/>
          </w:tcPr>
          <w:p w14:paraId="207DDD97" w14:textId="77777777" w:rsidR="00454A29" w:rsidRDefault="00454A29">
            <w:pPr>
              <w:pStyle w:val="ConsPlusNormal"/>
              <w:jc w:val="right"/>
            </w:pPr>
            <w:r>
              <w:t>-</w:t>
            </w:r>
          </w:p>
        </w:tc>
        <w:tc>
          <w:tcPr>
            <w:tcW w:w="1304" w:type="dxa"/>
            <w:vAlign w:val="center"/>
          </w:tcPr>
          <w:p w14:paraId="17AA9A7D" w14:textId="77777777" w:rsidR="00454A29" w:rsidRDefault="00454A29">
            <w:pPr>
              <w:pStyle w:val="ConsPlusNormal"/>
              <w:jc w:val="right"/>
            </w:pPr>
            <w:r>
              <w:t>112 929</w:t>
            </w:r>
          </w:p>
        </w:tc>
        <w:tc>
          <w:tcPr>
            <w:tcW w:w="1304" w:type="dxa"/>
            <w:vAlign w:val="center"/>
          </w:tcPr>
          <w:p w14:paraId="06F55C78" w14:textId="77777777" w:rsidR="00454A29" w:rsidRDefault="00454A29">
            <w:pPr>
              <w:pStyle w:val="ConsPlusNormal"/>
              <w:jc w:val="right"/>
            </w:pPr>
            <w:r>
              <w:t>190 375</w:t>
            </w:r>
          </w:p>
        </w:tc>
        <w:tc>
          <w:tcPr>
            <w:tcW w:w="1304" w:type="dxa"/>
            <w:vAlign w:val="center"/>
          </w:tcPr>
          <w:p w14:paraId="0DE91DC5" w14:textId="77777777" w:rsidR="00454A29" w:rsidRDefault="00454A29">
            <w:pPr>
              <w:pStyle w:val="ConsPlusNormal"/>
              <w:jc w:val="right"/>
            </w:pPr>
            <w:r>
              <w:t>227 981</w:t>
            </w:r>
          </w:p>
        </w:tc>
        <w:tc>
          <w:tcPr>
            <w:tcW w:w="1304" w:type="dxa"/>
            <w:vAlign w:val="center"/>
          </w:tcPr>
          <w:p w14:paraId="4327CE8E" w14:textId="77777777" w:rsidR="00454A29" w:rsidRDefault="00454A29">
            <w:pPr>
              <w:pStyle w:val="ConsPlusNormal"/>
              <w:jc w:val="right"/>
            </w:pPr>
            <w:r>
              <w:t>-</w:t>
            </w:r>
          </w:p>
        </w:tc>
      </w:tr>
      <w:tr w:rsidR="00454A29" w14:paraId="2C2F0EC7" w14:textId="77777777">
        <w:tc>
          <w:tcPr>
            <w:tcW w:w="2041" w:type="dxa"/>
            <w:vMerge/>
          </w:tcPr>
          <w:p w14:paraId="57721A40" w14:textId="77777777" w:rsidR="00454A29" w:rsidRDefault="00454A29"/>
        </w:tc>
        <w:tc>
          <w:tcPr>
            <w:tcW w:w="3005" w:type="dxa"/>
            <w:vMerge/>
          </w:tcPr>
          <w:p w14:paraId="4F65EFAD" w14:textId="77777777" w:rsidR="00454A29" w:rsidRDefault="00454A29"/>
        </w:tc>
        <w:tc>
          <w:tcPr>
            <w:tcW w:w="2778" w:type="dxa"/>
            <w:vAlign w:val="center"/>
          </w:tcPr>
          <w:p w14:paraId="14A8A54E" w14:textId="77777777" w:rsidR="00454A29" w:rsidRDefault="00454A29">
            <w:pPr>
              <w:pStyle w:val="ConsPlusNormal"/>
            </w:pPr>
            <w:r>
              <w:t>Минстрой РС(Я)</w:t>
            </w:r>
          </w:p>
        </w:tc>
        <w:tc>
          <w:tcPr>
            <w:tcW w:w="1304" w:type="dxa"/>
            <w:vAlign w:val="center"/>
          </w:tcPr>
          <w:p w14:paraId="24DA5291" w14:textId="77777777" w:rsidR="00454A29" w:rsidRDefault="00454A29">
            <w:pPr>
              <w:pStyle w:val="ConsPlusNormal"/>
            </w:pPr>
          </w:p>
        </w:tc>
        <w:tc>
          <w:tcPr>
            <w:tcW w:w="1247" w:type="dxa"/>
            <w:vAlign w:val="center"/>
          </w:tcPr>
          <w:p w14:paraId="669E451D" w14:textId="77777777" w:rsidR="00454A29" w:rsidRDefault="00454A29">
            <w:pPr>
              <w:pStyle w:val="ConsPlusNormal"/>
            </w:pPr>
          </w:p>
        </w:tc>
        <w:tc>
          <w:tcPr>
            <w:tcW w:w="1304" w:type="dxa"/>
            <w:vAlign w:val="center"/>
          </w:tcPr>
          <w:p w14:paraId="60CE4B77" w14:textId="77777777" w:rsidR="00454A29" w:rsidRDefault="00454A29">
            <w:pPr>
              <w:pStyle w:val="ConsPlusNormal"/>
              <w:jc w:val="right"/>
            </w:pPr>
            <w:r>
              <w:t>-</w:t>
            </w:r>
          </w:p>
        </w:tc>
        <w:tc>
          <w:tcPr>
            <w:tcW w:w="1304" w:type="dxa"/>
            <w:vAlign w:val="center"/>
          </w:tcPr>
          <w:p w14:paraId="6531FD94" w14:textId="77777777" w:rsidR="00454A29" w:rsidRDefault="00454A29">
            <w:pPr>
              <w:pStyle w:val="ConsPlusNormal"/>
              <w:jc w:val="right"/>
            </w:pPr>
            <w:r>
              <w:t>112 929</w:t>
            </w:r>
          </w:p>
        </w:tc>
        <w:tc>
          <w:tcPr>
            <w:tcW w:w="1304" w:type="dxa"/>
            <w:vAlign w:val="center"/>
          </w:tcPr>
          <w:p w14:paraId="49D9FF71" w14:textId="77777777" w:rsidR="00454A29" w:rsidRDefault="00454A29">
            <w:pPr>
              <w:pStyle w:val="ConsPlusNormal"/>
              <w:jc w:val="right"/>
            </w:pPr>
            <w:r>
              <w:t>190 375</w:t>
            </w:r>
          </w:p>
        </w:tc>
        <w:tc>
          <w:tcPr>
            <w:tcW w:w="1304" w:type="dxa"/>
            <w:vAlign w:val="center"/>
          </w:tcPr>
          <w:p w14:paraId="4B296260" w14:textId="77777777" w:rsidR="00454A29" w:rsidRDefault="00454A29">
            <w:pPr>
              <w:pStyle w:val="ConsPlusNormal"/>
              <w:jc w:val="right"/>
            </w:pPr>
            <w:r>
              <w:t>227 981</w:t>
            </w:r>
          </w:p>
        </w:tc>
        <w:tc>
          <w:tcPr>
            <w:tcW w:w="1304" w:type="dxa"/>
            <w:vAlign w:val="center"/>
          </w:tcPr>
          <w:p w14:paraId="0DAFCBEE" w14:textId="77777777" w:rsidR="00454A29" w:rsidRDefault="00454A29">
            <w:pPr>
              <w:pStyle w:val="ConsPlusNormal"/>
              <w:jc w:val="right"/>
            </w:pPr>
            <w:r>
              <w:t>-</w:t>
            </w:r>
          </w:p>
        </w:tc>
      </w:tr>
      <w:tr w:rsidR="00454A29" w14:paraId="20A5C53A" w14:textId="77777777">
        <w:tc>
          <w:tcPr>
            <w:tcW w:w="2041" w:type="dxa"/>
            <w:vMerge/>
          </w:tcPr>
          <w:p w14:paraId="2456AD4E" w14:textId="77777777" w:rsidR="00454A29" w:rsidRDefault="00454A29"/>
        </w:tc>
        <w:tc>
          <w:tcPr>
            <w:tcW w:w="3005" w:type="dxa"/>
            <w:vMerge/>
          </w:tcPr>
          <w:p w14:paraId="2C4347FA" w14:textId="77777777" w:rsidR="00454A29" w:rsidRDefault="00454A29"/>
        </w:tc>
        <w:tc>
          <w:tcPr>
            <w:tcW w:w="2778" w:type="dxa"/>
            <w:vAlign w:val="center"/>
          </w:tcPr>
          <w:p w14:paraId="2C2D15F7" w14:textId="77777777" w:rsidR="00454A29" w:rsidRDefault="00454A29">
            <w:pPr>
              <w:pStyle w:val="ConsPlusNormal"/>
            </w:pPr>
            <w:r>
              <w:t>Федеральный бюджет</w:t>
            </w:r>
          </w:p>
        </w:tc>
        <w:tc>
          <w:tcPr>
            <w:tcW w:w="1304" w:type="dxa"/>
            <w:vAlign w:val="center"/>
          </w:tcPr>
          <w:p w14:paraId="58B07DE5" w14:textId="77777777" w:rsidR="00454A29" w:rsidRDefault="00454A29">
            <w:pPr>
              <w:pStyle w:val="ConsPlusNormal"/>
              <w:jc w:val="right"/>
            </w:pPr>
            <w:r>
              <w:t>-</w:t>
            </w:r>
          </w:p>
        </w:tc>
        <w:tc>
          <w:tcPr>
            <w:tcW w:w="1247" w:type="dxa"/>
            <w:vAlign w:val="center"/>
          </w:tcPr>
          <w:p w14:paraId="05DA99E1" w14:textId="77777777" w:rsidR="00454A29" w:rsidRDefault="00454A29">
            <w:pPr>
              <w:pStyle w:val="ConsPlusNormal"/>
              <w:jc w:val="right"/>
            </w:pPr>
            <w:r>
              <w:t>-</w:t>
            </w:r>
          </w:p>
        </w:tc>
        <w:tc>
          <w:tcPr>
            <w:tcW w:w="1304" w:type="dxa"/>
            <w:vAlign w:val="center"/>
          </w:tcPr>
          <w:p w14:paraId="2E4DFE7E" w14:textId="77777777" w:rsidR="00454A29" w:rsidRDefault="00454A29">
            <w:pPr>
              <w:pStyle w:val="ConsPlusNormal"/>
              <w:jc w:val="right"/>
            </w:pPr>
            <w:r>
              <w:t>-</w:t>
            </w:r>
          </w:p>
        </w:tc>
        <w:tc>
          <w:tcPr>
            <w:tcW w:w="1304" w:type="dxa"/>
            <w:vAlign w:val="center"/>
          </w:tcPr>
          <w:p w14:paraId="0128F2A2" w14:textId="77777777" w:rsidR="00454A29" w:rsidRDefault="00454A29">
            <w:pPr>
              <w:pStyle w:val="ConsPlusNormal"/>
              <w:jc w:val="right"/>
            </w:pPr>
            <w:r>
              <w:t>-</w:t>
            </w:r>
          </w:p>
        </w:tc>
        <w:tc>
          <w:tcPr>
            <w:tcW w:w="1304" w:type="dxa"/>
            <w:vAlign w:val="center"/>
          </w:tcPr>
          <w:p w14:paraId="1AF0CF93" w14:textId="77777777" w:rsidR="00454A29" w:rsidRDefault="00454A29">
            <w:pPr>
              <w:pStyle w:val="ConsPlusNormal"/>
              <w:jc w:val="right"/>
            </w:pPr>
            <w:r>
              <w:t>-</w:t>
            </w:r>
          </w:p>
        </w:tc>
        <w:tc>
          <w:tcPr>
            <w:tcW w:w="1304" w:type="dxa"/>
            <w:vAlign w:val="center"/>
          </w:tcPr>
          <w:p w14:paraId="23580004" w14:textId="77777777" w:rsidR="00454A29" w:rsidRDefault="00454A29">
            <w:pPr>
              <w:pStyle w:val="ConsPlusNormal"/>
              <w:jc w:val="right"/>
            </w:pPr>
            <w:r>
              <w:t>-</w:t>
            </w:r>
          </w:p>
        </w:tc>
        <w:tc>
          <w:tcPr>
            <w:tcW w:w="1304" w:type="dxa"/>
            <w:vAlign w:val="center"/>
          </w:tcPr>
          <w:p w14:paraId="02054E9E" w14:textId="77777777" w:rsidR="00454A29" w:rsidRDefault="00454A29">
            <w:pPr>
              <w:pStyle w:val="ConsPlusNormal"/>
              <w:jc w:val="right"/>
            </w:pPr>
            <w:r>
              <w:t>-</w:t>
            </w:r>
          </w:p>
        </w:tc>
      </w:tr>
      <w:tr w:rsidR="00454A29" w14:paraId="0A2FDB91" w14:textId="77777777">
        <w:tc>
          <w:tcPr>
            <w:tcW w:w="2041" w:type="dxa"/>
            <w:vMerge/>
          </w:tcPr>
          <w:p w14:paraId="128BF849" w14:textId="77777777" w:rsidR="00454A29" w:rsidRDefault="00454A29"/>
        </w:tc>
        <w:tc>
          <w:tcPr>
            <w:tcW w:w="3005" w:type="dxa"/>
            <w:vMerge/>
          </w:tcPr>
          <w:p w14:paraId="1EC0CFD1" w14:textId="77777777" w:rsidR="00454A29" w:rsidRDefault="00454A29"/>
        </w:tc>
        <w:tc>
          <w:tcPr>
            <w:tcW w:w="2778" w:type="dxa"/>
            <w:vAlign w:val="center"/>
          </w:tcPr>
          <w:p w14:paraId="65F1451A" w14:textId="77777777" w:rsidR="00454A29" w:rsidRDefault="00454A29">
            <w:pPr>
              <w:pStyle w:val="ConsPlusNormal"/>
            </w:pPr>
            <w:r>
              <w:t>Минстрой РС(Я)</w:t>
            </w:r>
          </w:p>
        </w:tc>
        <w:tc>
          <w:tcPr>
            <w:tcW w:w="1304" w:type="dxa"/>
            <w:vAlign w:val="center"/>
          </w:tcPr>
          <w:p w14:paraId="73F4D32B" w14:textId="77777777" w:rsidR="00454A29" w:rsidRDefault="00454A29">
            <w:pPr>
              <w:pStyle w:val="ConsPlusNormal"/>
            </w:pPr>
          </w:p>
        </w:tc>
        <w:tc>
          <w:tcPr>
            <w:tcW w:w="1247" w:type="dxa"/>
            <w:vAlign w:val="center"/>
          </w:tcPr>
          <w:p w14:paraId="1255FD2E" w14:textId="77777777" w:rsidR="00454A29" w:rsidRDefault="00454A29">
            <w:pPr>
              <w:pStyle w:val="ConsPlusNormal"/>
            </w:pPr>
          </w:p>
        </w:tc>
        <w:tc>
          <w:tcPr>
            <w:tcW w:w="1304" w:type="dxa"/>
            <w:vAlign w:val="center"/>
          </w:tcPr>
          <w:p w14:paraId="07DE7833" w14:textId="77777777" w:rsidR="00454A29" w:rsidRDefault="00454A29">
            <w:pPr>
              <w:pStyle w:val="ConsPlusNormal"/>
              <w:jc w:val="right"/>
            </w:pPr>
            <w:r>
              <w:t>-</w:t>
            </w:r>
          </w:p>
        </w:tc>
        <w:tc>
          <w:tcPr>
            <w:tcW w:w="1304" w:type="dxa"/>
            <w:vAlign w:val="center"/>
          </w:tcPr>
          <w:p w14:paraId="7CB5EFA0" w14:textId="77777777" w:rsidR="00454A29" w:rsidRDefault="00454A29">
            <w:pPr>
              <w:pStyle w:val="ConsPlusNormal"/>
              <w:jc w:val="right"/>
            </w:pPr>
            <w:r>
              <w:t>-</w:t>
            </w:r>
          </w:p>
        </w:tc>
        <w:tc>
          <w:tcPr>
            <w:tcW w:w="1304" w:type="dxa"/>
            <w:vAlign w:val="center"/>
          </w:tcPr>
          <w:p w14:paraId="6AB6C8AE" w14:textId="77777777" w:rsidR="00454A29" w:rsidRDefault="00454A29">
            <w:pPr>
              <w:pStyle w:val="ConsPlusNormal"/>
              <w:jc w:val="right"/>
            </w:pPr>
            <w:r>
              <w:t>-</w:t>
            </w:r>
          </w:p>
        </w:tc>
        <w:tc>
          <w:tcPr>
            <w:tcW w:w="1304" w:type="dxa"/>
            <w:vAlign w:val="center"/>
          </w:tcPr>
          <w:p w14:paraId="013DA949" w14:textId="77777777" w:rsidR="00454A29" w:rsidRDefault="00454A29">
            <w:pPr>
              <w:pStyle w:val="ConsPlusNormal"/>
              <w:jc w:val="right"/>
            </w:pPr>
            <w:r>
              <w:t>-</w:t>
            </w:r>
          </w:p>
        </w:tc>
        <w:tc>
          <w:tcPr>
            <w:tcW w:w="1304" w:type="dxa"/>
            <w:vAlign w:val="center"/>
          </w:tcPr>
          <w:p w14:paraId="3594027A" w14:textId="77777777" w:rsidR="00454A29" w:rsidRDefault="00454A29">
            <w:pPr>
              <w:pStyle w:val="ConsPlusNormal"/>
              <w:jc w:val="right"/>
            </w:pPr>
            <w:r>
              <w:t>-</w:t>
            </w:r>
          </w:p>
        </w:tc>
      </w:tr>
      <w:tr w:rsidR="00454A29" w14:paraId="793FC7AD" w14:textId="77777777">
        <w:tc>
          <w:tcPr>
            <w:tcW w:w="2041" w:type="dxa"/>
            <w:vMerge w:val="restart"/>
            <w:vAlign w:val="center"/>
          </w:tcPr>
          <w:p w14:paraId="6906EF10" w14:textId="77777777" w:rsidR="00454A29" w:rsidRDefault="00454A29">
            <w:pPr>
              <w:pStyle w:val="ConsPlusNormal"/>
              <w:jc w:val="center"/>
            </w:pPr>
            <w:r>
              <w:t>Основное мероприятие 10.3.</w:t>
            </w:r>
          </w:p>
        </w:tc>
        <w:tc>
          <w:tcPr>
            <w:tcW w:w="3005" w:type="dxa"/>
            <w:vMerge w:val="restart"/>
            <w:vAlign w:val="center"/>
          </w:tcPr>
          <w:p w14:paraId="4A0E2B27" w14:textId="77777777" w:rsidR="00454A29" w:rsidRDefault="00454A29">
            <w:pPr>
              <w:pStyle w:val="ConsPlusNormal"/>
              <w:jc w:val="center"/>
            </w:pPr>
            <w:r>
              <w:t>Модернизация объектов дополнительного образования</w:t>
            </w:r>
          </w:p>
        </w:tc>
        <w:tc>
          <w:tcPr>
            <w:tcW w:w="2778" w:type="dxa"/>
            <w:vAlign w:val="center"/>
          </w:tcPr>
          <w:p w14:paraId="1C9A580E" w14:textId="77777777" w:rsidR="00454A29" w:rsidRDefault="00454A29">
            <w:pPr>
              <w:pStyle w:val="ConsPlusNormal"/>
            </w:pPr>
            <w:r>
              <w:t>Всего:</w:t>
            </w:r>
          </w:p>
        </w:tc>
        <w:tc>
          <w:tcPr>
            <w:tcW w:w="1304" w:type="dxa"/>
            <w:vAlign w:val="center"/>
          </w:tcPr>
          <w:p w14:paraId="6830BF3D" w14:textId="77777777" w:rsidR="00454A29" w:rsidRDefault="00454A29">
            <w:pPr>
              <w:pStyle w:val="ConsPlusNormal"/>
              <w:jc w:val="right"/>
            </w:pPr>
            <w:r>
              <w:t>936 542</w:t>
            </w:r>
          </w:p>
        </w:tc>
        <w:tc>
          <w:tcPr>
            <w:tcW w:w="1247" w:type="dxa"/>
            <w:vAlign w:val="center"/>
          </w:tcPr>
          <w:p w14:paraId="3125832B" w14:textId="77777777" w:rsidR="00454A29" w:rsidRDefault="00454A29">
            <w:pPr>
              <w:pStyle w:val="ConsPlusNormal"/>
              <w:jc w:val="right"/>
            </w:pPr>
            <w:r>
              <w:t>799 483</w:t>
            </w:r>
          </w:p>
        </w:tc>
        <w:tc>
          <w:tcPr>
            <w:tcW w:w="1304" w:type="dxa"/>
            <w:vAlign w:val="center"/>
          </w:tcPr>
          <w:p w14:paraId="0725D3B4" w14:textId="77777777" w:rsidR="00454A29" w:rsidRDefault="00454A29">
            <w:pPr>
              <w:pStyle w:val="ConsPlusNormal"/>
              <w:jc w:val="right"/>
            </w:pPr>
            <w:r>
              <w:t>82 610</w:t>
            </w:r>
          </w:p>
        </w:tc>
        <w:tc>
          <w:tcPr>
            <w:tcW w:w="1304" w:type="dxa"/>
            <w:vAlign w:val="center"/>
          </w:tcPr>
          <w:p w14:paraId="51375404" w14:textId="77777777" w:rsidR="00454A29" w:rsidRDefault="00454A29">
            <w:pPr>
              <w:pStyle w:val="ConsPlusNormal"/>
              <w:jc w:val="right"/>
            </w:pPr>
            <w:r>
              <w:t>95 733</w:t>
            </w:r>
          </w:p>
        </w:tc>
        <w:tc>
          <w:tcPr>
            <w:tcW w:w="1304" w:type="dxa"/>
            <w:vAlign w:val="center"/>
          </w:tcPr>
          <w:p w14:paraId="529EFD10" w14:textId="77777777" w:rsidR="00454A29" w:rsidRDefault="00454A29">
            <w:pPr>
              <w:pStyle w:val="ConsPlusNormal"/>
              <w:jc w:val="right"/>
            </w:pPr>
            <w:r>
              <w:t>110 940</w:t>
            </w:r>
          </w:p>
        </w:tc>
        <w:tc>
          <w:tcPr>
            <w:tcW w:w="1304" w:type="dxa"/>
            <w:vAlign w:val="center"/>
          </w:tcPr>
          <w:p w14:paraId="385F1FF6" w14:textId="77777777" w:rsidR="00454A29" w:rsidRDefault="00454A29">
            <w:pPr>
              <w:pStyle w:val="ConsPlusNormal"/>
              <w:jc w:val="right"/>
            </w:pPr>
            <w:r>
              <w:t>128 563</w:t>
            </w:r>
          </w:p>
        </w:tc>
        <w:tc>
          <w:tcPr>
            <w:tcW w:w="1304" w:type="dxa"/>
            <w:vAlign w:val="center"/>
          </w:tcPr>
          <w:p w14:paraId="3459EF58" w14:textId="77777777" w:rsidR="00454A29" w:rsidRDefault="00454A29">
            <w:pPr>
              <w:pStyle w:val="ConsPlusNormal"/>
              <w:jc w:val="right"/>
            </w:pPr>
            <w:r>
              <w:t>148 986</w:t>
            </w:r>
          </w:p>
        </w:tc>
      </w:tr>
      <w:tr w:rsidR="00454A29" w14:paraId="2213F676" w14:textId="77777777">
        <w:tc>
          <w:tcPr>
            <w:tcW w:w="2041" w:type="dxa"/>
            <w:vMerge/>
          </w:tcPr>
          <w:p w14:paraId="1EDC2758" w14:textId="77777777" w:rsidR="00454A29" w:rsidRDefault="00454A29"/>
        </w:tc>
        <w:tc>
          <w:tcPr>
            <w:tcW w:w="3005" w:type="dxa"/>
            <w:vMerge/>
          </w:tcPr>
          <w:p w14:paraId="7EDE193B" w14:textId="77777777" w:rsidR="00454A29" w:rsidRDefault="00454A29"/>
        </w:tc>
        <w:tc>
          <w:tcPr>
            <w:tcW w:w="2778" w:type="dxa"/>
            <w:vAlign w:val="center"/>
          </w:tcPr>
          <w:p w14:paraId="297AEA77" w14:textId="77777777" w:rsidR="00454A29" w:rsidRDefault="00454A29">
            <w:pPr>
              <w:pStyle w:val="ConsPlusNormal"/>
            </w:pPr>
            <w:r>
              <w:t>Государственный бюджет Республики Саха (Якутия)</w:t>
            </w:r>
          </w:p>
        </w:tc>
        <w:tc>
          <w:tcPr>
            <w:tcW w:w="1304" w:type="dxa"/>
            <w:vAlign w:val="center"/>
          </w:tcPr>
          <w:p w14:paraId="6B819EC9" w14:textId="77777777" w:rsidR="00454A29" w:rsidRDefault="00454A29">
            <w:pPr>
              <w:pStyle w:val="ConsPlusNormal"/>
              <w:jc w:val="right"/>
            </w:pPr>
            <w:r>
              <w:t>20 000</w:t>
            </w:r>
          </w:p>
        </w:tc>
        <w:tc>
          <w:tcPr>
            <w:tcW w:w="1247" w:type="dxa"/>
            <w:vAlign w:val="center"/>
          </w:tcPr>
          <w:p w14:paraId="66B570C4" w14:textId="77777777" w:rsidR="00454A29" w:rsidRDefault="00454A29">
            <w:pPr>
              <w:pStyle w:val="ConsPlusNormal"/>
              <w:jc w:val="right"/>
            </w:pPr>
            <w:r>
              <w:t>20 000</w:t>
            </w:r>
          </w:p>
        </w:tc>
        <w:tc>
          <w:tcPr>
            <w:tcW w:w="1304" w:type="dxa"/>
            <w:vAlign w:val="center"/>
          </w:tcPr>
          <w:p w14:paraId="59B3F0D5" w14:textId="77777777" w:rsidR="00454A29" w:rsidRDefault="00454A29">
            <w:pPr>
              <w:pStyle w:val="ConsPlusNormal"/>
              <w:jc w:val="right"/>
            </w:pPr>
            <w:r>
              <w:t>-</w:t>
            </w:r>
          </w:p>
        </w:tc>
        <w:tc>
          <w:tcPr>
            <w:tcW w:w="1304" w:type="dxa"/>
            <w:vAlign w:val="center"/>
          </w:tcPr>
          <w:p w14:paraId="672B0F37" w14:textId="77777777" w:rsidR="00454A29" w:rsidRDefault="00454A29">
            <w:pPr>
              <w:pStyle w:val="ConsPlusNormal"/>
              <w:jc w:val="right"/>
            </w:pPr>
            <w:r>
              <w:t>-</w:t>
            </w:r>
          </w:p>
        </w:tc>
        <w:tc>
          <w:tcPr>
            <w:tcW w:w="1304" w:type="dxa"/>
            <w:vAlign w:val="center"/>
          </w:tcPr>
          <w:p w14:paraId="79F3AA23" w14:textId="77777777" w:rsidR="00454A29" w:rsidRDefault="00454A29">
            <w:pPr>
              <w:pStyle w:val="ConsPlusNormal"/>
              <w:jc w:val="right"/>
            </w:pPr>
            <w:r>
              <w:t>-</w:t>
            </w:r>
          </w:p>
        </w:tc>
        <w:tc>
          <w:tcPr>
            <w:tcW w:w="1304" w:type="dxa"/>
            <w:vAlign w:val="center"/>
          </w:tcPr>
          <w:p w14:paraId="13D2F5E8" w14:textId="77777777" w:rsidR="00454A29" w:rsidRDefault="00454A29">
            <w:pPr>
              <w:pStyle w:val="ConsPlusNormal"/>
              <w:jc w:val="right"/>
            </w:pPr>
            <w:r>
              <w:t>-</w:t>
            </w:r>
          </w:p>
        </w:tc>
        <w:tc>
          <w:tcPr>
            <w:tcW w:w="1304" w:type="dxa"/>
            <w:vAlign w:val="center"/>
          </w:tcPr>
          <w:p w14:paraId="1F307C0E" w14:textId="77777777" w:rsidR="00454A29" w:rsidRDefault="00454A29">
            <w:pPr>
              <w:pStyle w:val="ConsPlusNormal"/>
              <w:jc w:val="right"/>
            </w:pPr>
            <w:r>
              <w:t>-</w:t>
            </w:r>
          </w:p>
        </w:tc>
      </w:tr>
      <w:tr w:rsidR="00454A29" w14:paraId="6C319DAE" w14:textId="77777777">
        <w:tc>
          <w:tcPr>
            <w:tcW w:w="2041" w:type="dxa"/>
            <w:vMerge/>
          </w:tcPr>
          <w:p w14:paraId="72E2CA61" w14:textId="77777777" w:rsidR="00454A29" w:rsidRDefault="00454A29"/>
        </w:tc>
        <w:tc>
          <w:tcPr>
            <w:tcW w:w="3005" w:type="dxa"/>
            <w:vMerge/>
          </w:tcPr>
          <w:p w14:paraId="017AF051" w14:textId="77777777" w:rsidR="00454A29" w:rsidRDefault="00454A29"/>
        </w:tc>
        <w:tc>
          <w:tcPr>
            <w:tcW w:w="2778" w:type="dxa"/>
            <w:vAlign w:val="center"/>
          </w:tcPr>
          <w:p w14:paraId="6461F751" w14:textId="77777777" w:rsidR="00454A29" w:rsidRDefault="00454A29">
            <w:pPr>
              <w:pStyle w:val="ConsPlusNormal"/>
            </w:pPr>
            <w:r>
              <w:t>Минэкономики РС(Я)</w:t>
            </w:r>
          </w:p>
        </w:tc>
        <w:tc>
          <w:tcPr>
            <w:tcW w:w="1304" w:type="dxa"/>
            <w:vAlign w:val="center"/>
          </w:tcPr>
          <w:p w14:paraId="1D59B87E" w14:textId="77777777" w:rsidR="00454A29" w:rsidRDefault="00454A29">
            <w:pPr>
              <w:pStyle w:val="ConsPlusNormal"/>
              <w:jc w:val="right"/>
            </w:pPr>
            <w:r>
              <w:t>20 000</w:t>
            </w:r>
          </w:p>
        </w:tc>
        <w:tc>
          <w:tcPr>
            <w:tcW w:w="1247" w:type="dxa"/>
            <w:vAlign w:val="center"/>
          </w:tcPr>
          <w:p w14:paraId="16078574" w14:textId="77777777" w:rsidR="00454A29" w:rsidRDefault="00454A29">
            <w:pPr>
              <w:pStyle w:val="ConsPlusNormal"/>
              <w:jc w:val="right"/>
            </w:pPr>
            <w:r>
              <w:t>20 000</w:t>
            </w:r>
          </w:p>
        </w:tc>
        <w:tc>
          <w:tcPr>
            <w:tcW w:w="1304" w:type="dxa"/>
            <w:vAlign w:val="center"/>
          </w:tcPr>
          <w:p w14:paraId="39977826" w14:textId="77777777" w:rsidR="00454A29" w:rsidRDefault="00454A29">
            <w:pPr>
              <w:pStyle w:val="ConsPlusNormal"/>
              <w:jc w:val="right"/>
            </w:pPr>
            <w:r>
              <w:t>-</w:t>
            </w:r>
          </w:p>
        </w:tc>
        <w:tc>
          <w:tcPr>
            <w:tcW w:w="1304" w:type="dxa"/>
            <w:vAlign w:val="center"/>
          </w:tcPr>
          <w:p w14:paraId="02E92ED0" w14:textId="77777777" w:rsidR="00454A29" w:rsidRDefault="00454A29">
            <w:pPr>
              <w:pStyle w:val="ConsPlusNormal"/>
              <w:jc w:val="right"/>
            </w:pPr>
            <w:r>
              <w:t>-</w:t>
            </w:r>
          </w:p>
        </w:tc>
        <w:tc>
          <w:tcPr>
            <w:tcW w:w="1304" w:type="dxa"/>
            <w:vAlign w:val="center"/>
          </w:tcPr>
          <w:p w14:paraId="46B58F58" w14:textId="77777777" w:rsidR="00454A29" w:rsidRDefault="00454A29">
            <w:pPr>
              <w:pStyle w:val="ConsPlusNormal"/>
              <w:jc w:val="right"/>
            </w:pPr>
            <w:r>
              <w:t>-</w:t>
            </w:r>
          </w:p>
        </w:tc>
        <w:tc>
          <w:tcPr>
            <w:tcW w:w="1304" w:type="dxa"/>
            <w:vAlign w:val="center"/>
          </w:tcPr>
          <w:p w14:paraId="3E48FC23" w14:textId="77777777" w:rsidR="00454A29" w:rsidRDefault="00454A29">
            <w:pPr>
              <w:pStyle w:val="ConsPlusNormal"/>
              <w:jc w:val="right"/>
            </w:pPr>
            <w:r>
              <w:t>-</w:t>
            </w:r>
          </w:p>
        </w:tc>
        <w:tc>
          <w:tcPr>
            <w:tcW w:w="1304" w:type="dxa"/>
            <w:vAlign w:val="center"/>
          </w:tcPr>
          <w:p w14:paraId="10FD9B0B" w14:textId="77777777" w:rsidR="00454A29" w:rsidRDefault="00454A29">
            <w:pPr>
              <w:pStyle w:val="ConsPlusNormal"/>
              <w:jc w:val="right"/>
            </w:pPr>
            <w:r>
              <w:t>-</w:t>
            </w:r>
          </w:p>
        </w:tc>
      </w:tr>
      <w:tr w:rsidR="00454A29" w14:paraId="2E106CFA" w14:textId="77777777">
        <w:tc>
          <w:tcPr>
            <w:tcW w:w="2041" w:type="dxa"/>
            <w:vMerge/>
          </w:tcPr>
          <w:p w14:paraId="467B0E40" w14:textId="77777777" w:rsidR="00454A29" w:rsidRDefault="00454A29"/>
        </w:tc>
        <w:tc>
          <w:tcPr>
            <w:tcW w:w="3005" w:type="dxa"/>
            <w:vMerge/>
          </w:tcPr>
          <w:p w14:paraId="79DE98C5" w14:textId="77777777" w:rsidR="00454A29" w:rsidRDefault="00454A29"/>
        </w:tc>
        <w:tc>
          <w:tcPr>
            <w:tcW w:w="2778" w:type="dxa"/>
            <w:vAlign w:val="center"/>
          </w:tcPr>
          <w:p w14:paraId="6B97B081" w14:textId="77777777" w:rsidR="00454A29" w:rsidRDefault="00454A29">
            <w:pPr>
              <w:pStyle w:val="ConsPlusNormal"/>
            </w:pPr>
            <w:r>
              <w:t>Минобрнауки РС(Я)</w:t>
            </w:r>
          </w:p>
        </w:tc>
        <w:tc>
          <w:tcPr>
            <w:tcW w:w="1304" w:type="dxa"/>
            <w:vAlign w:val="center"/>
          </w:tcPr>
          <w:p w14:paraId="355B3748" w14:textId="77777777" w:rsidR="00454A29" w:rsidRDefault="00454A29">
            <w:pPr>
              <w:pStyle w:val="ConsPlusNormal"/>
            </w:pPr>
          </w:p>
        </w:tc>
        <w:tc>
          <w:tcPr>
            <w:tcW w:w="1247" w:type="dxa"/>
            <w:vAlign w:val="center"/>
          </w:tcPr>
          <w:p w14:paraId="076486B9" w14:textId="77777777" w:rsidR="00454A29" w:rsidRDefault="00454A29">
            <w:pPr>
              <w:pStyle w:val="ConsPlusNormal"/>
            </w:pPr>
          </w:p>
        </w:tc>
        <w:tc>
          <w:tcPr>
            <w:tcW w:w="1304" w:type="dxa"/>
            <w:vAlign w:val="center"/>
          </w:tcPr>
          <w:p w14:paraId="36911836" w14:textId="77777777" w:rsidR="00454A29" w:rsidRDefault="00454A29">
            <w:pPr>
              <w:pStyle w:val="ConsPlusNormal"/>
              <w:jc w:val="right"/>
            </w:pPr>
            <w:r>
              <w:t>-</w:t>
            </w:r>
          </w:p>
        </w:tc>
        <w:tc>
          <w:tcPr>
            <w:tcW w:w="1304" w:type="dxa"/>
            <w:vAlign w:val="center"/>
          </w:tcPr>
          <w:p w14:paraId="775AA183" w14:textId="77777777" w:rsidR="00454A29" w:rsidRDefault="00454A29">
            <w:pPr>
              <w:pStyle w:val="ConsPlusNormal"/>
            </w:pPr>
          </w:p>
        </w:tc>
        <w:tc>
          <w:tcPr>
            <w:tcW w:w="1304" w:type="dxa"/>
            <w:vAlign w:val="center"/>
          </w:tcPr>
          <w:p w14:paraId="6AF30CE2" w14:textId="77777777" w:rsidR="00454A29" w:rsidRDefault="00454A29">
            <w:pPr>
              <w:pStyle w:val="ConsPlusNormal"/>
            </w:pPr>
          </w:p>
        </w:tc>
        <w:tc>
          <w:tcPr>
            <w:tcW w:w="1304" w:type="dxa"/>
            <w:vAlign w:val="center"/>
          </w:tcPr>
          <w:p w14:paraId="09422255" w14:textId="77777777" w:rsidR="00454A29" w:rsidRDefault="00454A29">
            <w:pPr>
              <w:pStyle w:val="ConsPlusNormal"/>
            </w:pPr>
          </w:p>
        </w:tc>
        <w:tc>
          <w:tcPr>
            <w:tcW w:w="1304" w:type="dxa"/>
            <w:vAlign w:val="center"/>
          </w:tcPr>
          <w:p w14:paraId="492BBD77" w14:textId="77777777" w:rsidR="00454A29" w:rsidRDefault="00454A29">
            <w:pPr>
              <w:pStyle w:val="ConsPlusNormal"/>
            </w:pPr>
          </w:p>
        </w:tc>
      </w:tr>
      <w:tr w:rsidR="00454A29" w14:paraId="76DD2378" w14:textId="77777777">
        <w:tc>
          <w:tcPr>
            <w:tcW w:w="2041" w:type="dxa"/>
            <w:vMerge/>
          </w:tcPr>
          <w:p w14:paraId="47317821" w14:textId="77777777" w:rsidR="00454A29" w:rsidRDefault="00454A29"/>
        </w:tc>
        <w:tc>
          <w:tcPr>
            <w:tcW w:w="3005" w:type="dxa"/>
            <w:vMerge/>
          </w:tcPr>
          <w:p w14:paraId="4FDA6480" w14:textId="77777777" w:rsidR="00454A29" w:rsidRDefault="00454A29"/>
        </w:tc>
        <w:tc>
          <w:tcPr>
            <w:tcW w:w="2778" w:type="dxa"/>
            <w:vAlign w:val="center"/>
          </w:tcPr>
          <w:p w14:paraId="084E6C87" w14:textId="77777777" w:rsidR="00454A29" w:rsidRDefault="00454A29">
            <w:pPr>
              <w:pStyle w:val="ConsPlusNormal"/>
            </w:pPr>
            <w:r>
              <w:t>Федеральный бюджет</w:t>
            </w:r>
          </w:p>
        </w:tc>
        <w:tc>
          <w:tcPr>
            <w:tcW w:w="1304" w:type="dxa"/>
            <w:vAlign w:val="center"/>
          </w:tcPr>
          <w:p w14:paraId="43A62B58" w14:textId="77777777" w:rsidR="00454A29" w:rsidRDefault="00454A29">
            <w:pPr>
              <w:pStyle w:val="ConsPlusNormal"/>
              <w:jc w:val="right"/>
            </w:pPr>
            <w:r>
              <w:t>160 000</w:t>
            </w:r>
          </w:p>
        </w:tc>
        <w:tc>
          <w:tcPr>
            <w:tcW w:w="1247" w:type="dxa"/>
            <w:vAlign w:val="center"/>
          </w:tcPr>
          <w:p w14:paraId="58D9A091" w14:textId="77777777" w:rsidR="00454A29" w:rsidRDefault="00454A29">
            <w:pPr>
              <w:pStyle w:val="ConsPlusNormal"/>
              <w:jc w:val="right"/>
            </w:pPr>
            <w:r>
              <w:t>160 000</w:t>
            </w:r>
          </w:p>
        </w:tc>
        <w:tc>
          <w:tcPr>
            <w:tcW w:w="1304" w:type="dxa"/>
            <w:vAlign w:val="center"/>
          </w:tcPr>
          <w:p w14:paraId="2FF1AD19" w14:textId="77777777" w:rsidR="00454A29" w:rsidRDefault="00454A29">
            <w:pPr>
              <w:pStyle w:val="ConsPlusNormal"/>
              <w:jc w:val="right"/>
            </w:pPr>
            <w:r>
              <w:t>-</w:t>
            </w:r>
          </w:p>
        </w:tc>
        <w:tc>
          <w:tcPr>
            <w:tcW w:w="1304" w:type="dxa"/>
            <w:vAlign w:val="center"/>
          </w:tcPr>
          <w:p w14:paraId="658A6A6D" w14:textId="77777777" w:rsidR="00454A29" w:rsidRDefault="00454A29">
            <w:pPr>
              <w:pStyle w:val="ConsPlusNormal"/>
            </w:pPr>
          </w:p>
        </w:tc>
        <w:tc>
          <w:tcPr>
            <w:tcW w:w="1304" w:type="dxa"/>
            <w:vAlign w:val="center"/>
          </w:tcPr>
          <w:p w14:paraId="0A21C958" w14:textId="77777777" w:rsidR="00454A29" w:rsidRDefault="00454A29">
            <w:pPr>
              <w:pStyle w:val="ConsPlusNormal"/>
            </w:pPr>
          </w:p>
        </w:tc>
        <w:tc>
          <w:tcPr>
            <w:tcW w:w="1304" w:type="dxa"/>
            <w:vAlign w:val="center"/>
          </w:tcPr>
          <w:p w14:paraId="4D35DE1B" w14:textId="77777777" w:rsidR="00454A29" w:rsidRDefault="00454A29">
            <w:pPr>
              <w:pStyle w:val="ConsPlusNormal"/>
              <w:jc w:val="right"/>
            </w:pPr>
            <w:r>
              <w:t>-</w:t>
            </w:r>
          </w:p>
        </w:tc>
        <w:tc>
          <w:tcPr>
            <w:tcW w:w="1304" w:type="dxa"/>
            <w:vAlign w:val="center"/>
          </w:tcPr>
          <w:p w14:paraId="269680EF" w14:textId="77777777" w:rsidR="00454A29" w:rsidRDefault="00454A29">
            <w:pPr>
              <w:pStyle w:val="ConsPlusNormal"/>
              <w:jc w:val="right"/>
            </w:pPr>
            <w:r>
              <w:t>-</w:t>
            </w:r>
          </w:p>
        </w:tc>
      </w:tr>
      <w:tr w:rsidR="00454A29" w14:paraId="5E3812D9" w14:textId="77777777">
        <w:tc>
          <w:tcPr>
            <w:tcW w:w="2041" w:type="dxa"/>
            <w:vMerge/>
          </w:tcPr>
          <w:p w14:paraId="1CA699D9" w14:textId="77777777" w:rsidR="00454A29" w:rsidRDefault="00454A29"/>
        </w:tc>
        <w:tc>
          <w:tcPr>
            <w:tcW w:w="3005" w:type="dxa"/>
            <w:vMerge/>
          </w:tcPr>
          <w:p w14:paraId="3E68D8FF" w14:textId="77777777" w:rsidR="00454A29" w:rsidRDefault="00454A29"/>
        </w:tc>
        <w:tc>
          <w:tcPr>
            <w:tcW w:w="2778" w:type="dxa"/>
            <w:vAlign w:val="center"/>
          </w:tcPr>
          <w:p w14:paraId="57598D32" w14:textId="77777777" w:rsidR="00454A29" w:rsidRDefault="00454A29">
            <w:pPr>
              <w:pStyle w:val="ConsPlusNormal"/>
            </w:pPr>
            <w:r>
              <w:t>Минэкономики РС(Я)</w:t>
            </w:r>
          </w:p>
        </w:tc>
        <w:tc>
          <w:tcPr>
            <w:tcW w:w="1304" w:type="dxa"/>
            <w:vAlign w:val="center"/>
          </w:tcPr>
          <w:p w14:paraId="218A99D9" w14:textId="77777777" w:rsidR="00454A29" w:rsidRDefault="00454A29">
            <w:pPr>
              <w:pStyle w:val="ConsPlusNormal"/>
              <w:jc w:val="right"/>
            </w:pPr>
            <w:r>
              <w:t>160 000</w:t>
            </w:r>
          </w:p>
        </w:tc>
        <w:tc>
          <w:tcPr>
            <w:tcW w:w="1247" w:type="dxa"/>
            <w:vAlign w:val="center"/>
          </w:tcPr>
          <w:p w14:paraId="5D3CD5C6" w14:textId="77777777" w:rsidR="00454A29" w:rsidRDefault="00454A29">
            <w:pPr>
              <w:pStyle w:val="ConsPlusNormal"/>
              <w:jc w:val="right"/>
            </w:pPr>
            <w:r>
              <w:t>160 000</w:t>
            </w:r>
          </w:p>
        </w:tc>
        <w:tc>
          <w:tcPr>
            <w:tcW w:w="1304" w:type="dxa"/>
            <w:vAlign w:val="center"/>
          </w:tcPr>
          <w:p w14:paraId="01E1F2C3" w14:textId="77777777" w:rsidR="00454A29" w:rsidRDefault="00454A29">
            <w:pPr>
              <w:pStyle w:val="ConsPlusNormal"/>
              <w:jc w:val="right"/>
            </w:pPr>
            <w:r>
              <w:t>-</w:t>
            </w:r>
          </w:p>
        </w:tc>
        <w:tc>
          <w:tcPr>
            <w:tcW w:w="1304" w:type="dxa"/>
            <w:vAlign w:val="center"/>
          </w:tcPr>
          <w:p w14:paraId="542AD08C" w14:textId="77777777" w:rsidR="00454A29" w:rsidRDefault="00454A29">
            <w:pPr>
              <w:pStyle w:val="ConsPlusNormal"/>
              <w:jc w:val="right"/>
            </w:pPr>
            <w:r>
              <w:t>-</w:t>
            </w:r>
          </w:p>
        </w:tc>
        <w:tc>
          <w:tcPr>
            <w:tcW w:w="1304" w:type="dxa"/>
            <w:vAlign w:val="center"/>
          </w:tcPr>
          <w:p w14:paraId="098F5D10" w14:textId="77777777" w:rsidR="00454A29" w:rsidRDefault="00454A29">
            <w:pPr>
              <w:pStyle w:val="ConsPlusNormal"/>
              <w:jc w:val="right"/>
            </w:pPr>
            <w:r>
              <w:t>-</w:t>
            </w:r>
          </w:p>
        </w:tc>
        <w:tc>
          <w:tcPr>
            <w:tcW w:w="1304" w:type="dxa"/>
            <w:vAlign w:val="center"/>
          </w:tcPr>
          <w:p w14:paraId="5BF1DCE4" w14:textId="77777777" w:rsidR="00454A29" w:rsidRDefault="00454A29">
            <w:pPr>
              <w:pStyle w:val="ConsPlusNormal"/>
              <w:jc w:val="right"/>
            </w:pPr>
            <w:r>
              <w:t>-</w:t>
            </w:r>
          </w:p>
        </w:tc>
        <w:tc>
          <w:tcPr>
            <w:tcW w:w="1304" w:type="dxa"/>
            <w:vAlign w:val="center"/>
          </w:tcPr>
          <w:p w14:paraId="68B40BDD" w14:textId="77777777" w:rsidR="00454A29" w:rsidRDefault="00454A29">
            <w:pPr>
              <w:pStyle w:val="ConsPlusNormal"/>
              <w:jc w:val="right"/>
            </w:pPr>
            <w:r>
              <w:t>-</w:t>
            </w:r>
          </w:p>
        </w:tc>
      </w:tr>
      <w:tr w:rsidR="00454A29" w14:paraId="1893C9BD" w14:textId="77777777">
        <w:tc>
          <w:tcPr>
            <w:tcW w:w="2041" w:type="dxa"/>
            <w:vMerge/>
          </w:tcPr>
          <w:p w14:paraId="2837E873" w14:textId="77777777" w:rsidR="00454A29" w:rsidRDefault="00454A29"/>
        </w:tc>
        <w:tc>
          <w:tcPr>
            <w:tcW w:w="3005" w:type="dxa"/>
            <w:vMerge/>
          </w:tcPr>
          <w:p w14:paraId="03DD408C" w14:textId="77777777" w:rsidR="00454A29" w:rsidRDefault="00454A29"/>
        </w:tc>
        <w:tc>
          <w:tcPr>
            <w:tcW w:w="2778" w:type="dxa"/>
            <w:vAlign w:val="center"/>
          </w:tcPr>
          <w:p w14:paraId="5A01FA3F" w14:textId="77777777" w:rsidR="00454A29" w:rsidRDefault="00454A29">
            <w:pPr>
              <w:pStyle w:val="ConsPlusNormal"/>
            </w:pPr>
            <w:r>
              <w:t>Местные бюджеты</w:t>
            </w:r>
          </w:p>
        </w:tc>
        <w:tc>
          <w:tcPr>
            <w:tcW w:w="1304" w:type="dxa"/>
            <w:vAlign w:val="center"/>
          </w:tcPr>
          <w:p w14:paraId="18EA365B" w14:textId="77777777" w:rsidR="00454A29" w:rsidRDefault="00454A29">
            <w:pPr>
              <w:pStyle w:val="ConsPlusNormal"/>
              <w:jc w:val="right"/>
            </w:pPr>
            <w:r>
              <w:t>61 514</w:t>
            </w:r>
          </w:p>
        </w:tc>
        <w:tc>
          <w:tcPr>
            <w:tcW w:w="1247" w:type="dxa"/>
            <w:vAlign w:val="center"/>
          </w:tcPr>
          <w:p w14:paraId="6C33F103" w14:textId="77777777" w:rsidR="00454A29" w:rsidRDefault="00454A29">
            <w:pPr>
              <w:pStyle w:val="ConsPlusNormal"/>
              <w:jc w:val="right"/>
            </w:pPr>
            <w:r>
              <w:t>71 285</w:t>
            </w:r>
          </w:p>
        </w:tc>
        <w:tc>
          <w:tcPr>
            <w:tcW w:w="1304" w:type="dxa"/>
            <w:vAlign w:val="center"/>
          </w:tcPr>
          <w:p w14:paraId="1FB1E386" w14:textId="77777777" w:rsidR="00454A29" w:rsidRDefault="00454A29">
            <w:pPr>
              <w:pStyle w:val="ConsPlusNormal"/>
              <w:jc w:val="right"/>
            </w:pPr>
            <w:r>
              <w:t>82 610</w:t>
            </w:r>
          </w:p>
        </w:tc>
        <w:tc>
          <w:tcPr>
            <w:tcW w:w="1304" w:type="dxa"/>
            <w:vAlign w:val="center"/>
          </w:tcPr>
          <w:p w14:paraId="067240A8" w14:textId="77777777" w:rsidR="00454A29" w:rsidRDefault="00454A29">
            <w:pPr>
              <w:pStyle w:val="ConsPlusNormal"/>
              <w:jc w:val="right"/>
            </w:pPr>
            <w:r>
              <w:t>95 733</w:t>
            </w:r>
          </w:p>
        </w:tc>
        <w:tc>
          <w:tcPr>
            <w:tcW w:w="1304" w:type="dxa"/>
            <w:vAlign w:val="center"/>
          </w:tcPr>
          <w:p w14:paraId="6827309D" w14:textId="77777777" w:rsidR="00454A29" w:rsidRDefault="00454A29">
            <w:pPr>
              <w:pStyle w:val="ConsPlusNormal"/>
              <w:jc w:val="right"/>
            </w:pPr>
            <w:r>
              <w:t>110 940</w:t>
            </w:r>
          </w:p>
        </w:tc>
        <w:tc>
          <w:tcPr>
            <w:tcW w:w="1304" w:type="dxa"/>
            <w:vAlign w:val="center"/>
          </w:tcPr>
          <w:p w14:paraId="4280F118" w14:textId="77777777" w:rsidR="00454A29" w:rsidRDefault="00454A29">
            <w:pPr>
              <w:pStyle w:val="ConsPlusNormal"/>
              <w:jc w:val="right"/>
            </w:pPr>
            <w:r>
              <w:t>128 563</w:t>
            </w:r>
          </w:p>
        </w:tc>
        <w:tc>
          <w:tcPr>
            <w:tcW w:w="1304" w:type="dxa"/>
            <w:vAlign w:val="center"/>
          </w:tcPr>
          <w:p w14:paraId="67ADFB6F" w14:textId="77777777" w:rsidR="00454A29" w:rsidRDefault="00454A29">
            <w:pPr>
              <w:pStyle w:val="ConsPlusNormal"/>
              <w:jc w:val="right"/>
            </w:pPr>
            <w:r>
              <w:t>148 986</w:t>
            </w:r>
          </w:p>
        </w:tc>
      </w:tr>
      <w:tr w:rsidR="00454A29" w14:paraId="66A8FABD" w14:textId="77777777">
        <w:tc>
          <w:tcPr>
            <w:tcW w:w="2041" w:type="dxa"/>
            <w:vMerge/>
          </w:tcPr>
          <w:p w14:paraId="78AF0729" w14:textId="77777777" w:rsidR="00454A29" w:rsidRDefault="00454A29"/>
        </w:tc>
        <w:tc>
          <w:tcPr>
            <w:tcW w:w="3005" w:type="dxa"/>
            <w:vMerge/>
          </w:tcPr>
          <w:p w14:paraId="6DB2B63D" w14:textId="77777777" w:rsidR="00454A29" w:rsidRDefault="00454A29"/>
        </w:tc>
        <w:tc>
          <w:tcPr>
            <w:tcW w:w="2778" w:type="dxa"/>
            <w:vAlign w:val="center"/>
          </w:tcPr>
          <w:p w14:paraId="7C063639" w14:textId="77777777" w:rsidR="00454A29" w:rsidRDefault="00454A29">
            <w:pPr>
              <w:pStyle w:val="ConsPlusNormal"/>
            </w:pPr>
            <w:r>
              <w:t>Минэкономики РС(Я)</w:t>
            </w:r>
          </w:p>
        </w:tc>
        <w:tc>
          <w:tcPr>
            <w:tcW w:w="1304" w:type="dxa"/>
            <w:vAlign w:val="center"/>
          </w:tcPr>
          <w:p w14:paraId="155B107C" w14:textId="77777777" w:rsidR="00454A29" w:rsidRDefault="00454A29">
            <w:pPr>
              <w:pStyle w:val="ConsPlusNormal"/>
              <w:jc w:val="right"/>
            </w:pPr>
            <w:r>
              <w:t>61 514</w:t>
            </w:r>
          </w:p>
        </w:tc>
        <w:tc>
          <w:tcPr>
            <w:tcW w:w="1247" w:type="dxa"/>
            <w:vAlign w:val="center"/>
          </w:tcPr>
          <w:p w14:paraId="61942E8D" w14:textId="77777777" w:rsidR="00454A29" w:rsidRDefault="00454A29">
            <w:pPr>
              <w:pStyle w:val="ConsPlusNormal"/>
              <w:jc w:val="right"/>
            </w:pPr>
            <w:r>
              <w:t>71 285</w:t>
            </w:r>
          </w:p>
        </w:tc>
        <w:tc>
          <w:tcPr>
            <w:tcW w:w="1304" w:type="dxa"/>
            <w:vAlign w:val="center"/>
          </w:tcPr>
          <w:p w14:paraId="0CCAB855" w14:textId="77777777" w:rsidR="00454A29" w:rsidRDefault="00454A29">
            <w:pPr>
              <w:pStyle w:val="ConsPlusNormal"/>
              <w:jc w:val="right"/>
            </w:pPr>
            <w:r>
              <w:t>82 610</w:t>
            </w:r>
          </w:p>
        </w:tc>
        <w:tc>
          <w:tcPr>
            <w:tcW w:w="1304" w:type="dxa"/>
            <w:vAlign w:val="center"/>
          </w:tcPr>
          <w:p w14:paraId="580E57F0" w14:textId="77777777" w:rsidR="00454A29" w:rsidRDefault="00454A29">
            <w:pPr>
              <w:pStyle w:val="ConsPlusNormal"/>
              <w:jc w:val="right"/>
            </w:pPr>
            <w:r>
              <w:t>95 733</w:t>
            </w:r>
          </w:p>
        </w:tc>
        <w:tc>
          <w:tcPr>
            <w:tcW w:w="1304" w:type="dxa"/>
            <w:vAlign w:val="center"/>
          </w:tcPr>
          <w:p w14:paraId="395081D5" w14:textId="77777777" w:rsidR="00454A29" w:rsidRDefault="00454A29">
            <w:pPr>
              <w:pStyle w:val="ConsPlusNormal"/>
              <w:jc w:val="right"/>
            </w:pPr>
            <w:r>
              <w:t>110 940</w:t>
            </w:r>
          </w:p>
        </w:tc>
        <w:tc>
          <w:tcPr>
            <w:tcW w:w="1304" w:type="dxa"/>
            <w:vAlign w:val="center"/>
          </w:tcPr>
          <w:p w14:paraId="60919494" w14:textId="77777777" w:rsidR="00454A29" w:rsidRDefault="00454A29">
            <w:pPr>
              <w:pStyle w:val="ConsPlusNormal"/>
              <w:jc w:val="right"/>
            </w:pPr>
            <w:r>
              <w:t>128 563</w:t>
            </w:r>
          </w:p>
        </w:tc>
        <w:tc>
          <w:tcPr>
            <w:tcW w:w="1304" w:type="dxa"/>
            <w:vAlign w:val="center"/>
          </w:tcPr>
          <w:p w14:paraId="4BFDE78D" w14:textId="77777777" w:rsidR="00454A29" w:rsidRDefault="00454A29">
            <w:pPr>
              <w:pStyle w:val="ConsPlusNormal"/>
              <w:jc w:val="right"/>
            </w:pPr>
            <w:r>
              <w:t>148 986</w:t>
            </w:r>
          </w:p>
        </w:tc>
      </w:tr>
      <w:tr w:rsidR="00454A29" w14:paraId="184CCBB7" w14:textId="77777777">
        <w:tc>
          <w:tcPr>
            <w:tcW w:w="2041" w:type="dxa"/>
            <w:vMerge/>
          </w:tcPr>
          <w:p w14:paraId="7BA821C9" w14:textId="77777777" w:rsidR="00454A29" w:rsidRDefault="00454A29"/>
        </w:tc>
        <w:tc>
          <w:tcPr>
            <w:tcW w:w="3005" w:type="dxa"/>
            <w:vMerge/>
          </w:tcPr>
          <w:p w14:paraId="7C252942" w14:textId="77777777" w:rsidR="00454A29" w:rsidRDefault="00454A29"/>
        </w:tc>
        <w:tc>
          <w:tcPr>
            <w:tcW w:w="2778" w:type="dxa"/>
            <w:vAlign w:val="center"/>
          </w:tcPr>
          <w:p w14:paraId="38ACB1F4" w14:textId="77777777" w:rsidR="00454A29" w:rsidRDefault="00454A29">
            <w:pPr>
              <w:pStyle w:val="ConsPlusNormal"/>
            </w:pPr>
            <w:r>
              <w:t>Внебюджетные средства</w:t>
            </w:r>
          </w:p>
        </w:tc>
        <w:tc>
          <w:tcPr>
            <w:tcW w:w="1304" w:type="dxa"/>
            <w:vAlign w:val="center"/>
          </w:tcPr>
          <w:p w14:paraId="5433A38C" w14:textId="77777777" w:rsidR="00454A29" w:rsidRDefault="00454A29">
            <w:pPr>
              <w:pStyle w:val="ConsPlusNormal"/>
              <w:jc w:val="right"/>
            </w:pPr>
            <w:r>
              <w:t>695 028</w:t>
            </w:r>
          </w:p>
        </w:tc>
        <w:tc>
          <w:tcPr>
            <w:tcW w:w="1247" w:type="dxa"/>
            <w:vAlign w:val="center"/>
          </w:tcPr>
          <w:p w14:paraId="5C161DC1" w14:textId="77777777" w:rsidR="00454A29" w:rsidRDefault="00454A29">
            <w:pPr>
              <w:pStyle w:val="ConsPlusNormal"/>
              <w:jc w:val="right"/>
            </w:pPr>
            <w:r>
              <w:t>548 198</w:t>
            </w:r>
          </w:p>
        </w:tc>
        <w:tc>
          <w:tcPr>
            <w:tcW w:w="1304" w:type="dxa"/>
            <w:vAlign w:val="center"/>
          </w:tcPr>
          <w:p w14:paraId="57806488" w14:textId="77777777" w:rsidR="00454A29" w:rsidRDefault="00454A29">
            <w:pPr>
              <w:pStyle w:val="ConsPlusNormal"/>
              <w:jc w:val="right"/>
            </w:pPr>
            <w:r>
              <w:t>-</w:t>
            </w:r>
          </w:p>
        </w:tc>
        <w:tc>
          <w:tcPr>
            <w:tcW w:w="1304" w:type="dxa"/>
            <w:vAlign w:val="center"/>
          </w:tcPr>
          <w:p w14:paraId="739D9310" w14:textId="77777777" w:rsidR="00454A29" w:rsidRDefault="00454A29">
            <w:pPr>
              <w:pStyle w:val="ConsPlusNormal"/>
            </w:pPr>
          </w:p>
        </w:tc>
        <w:tc>
          <w:tcPr>
            <w:tcW w:w="1304" w:type="dxa"/>
            <w:vAlign w:val="center"/>
          </w:tcPr>
          <w:p w14:paraId="7F1FCEF6" w14:textId="77777777" w:rsidR="00454A29" w:rsidRDefault="00454A29">
            <w:pPr>
              <w:pStyle w:val="ConsPlusNormal"/>
            </w:pPr>
          </w:p>
        </w:tc>
        <w:tc>
          <w:tcPr>
            <w:tcW w:w="1304" w:type="dxa"/>
            <w:vAlign w:val="center"/>
          </w:tcPr>
          <w:p w14:paraId="0253A0D7" w14:textId="77777777" w:rsidR="00454A29" w:rsidRDefault="00454A29">
            <w:pPr>
              <w:pStyle w:val="ConsPlusNormal"/>
            </w:pPr>
          </w:p>
        </w:tc>
        <w:tc>
          <w:tcPr>
            <w:tcW w:w="1304" w:type="dxa"/>
            <w:vAlign w:val="center"/>
          </w:tcPr>
          <w:p w14:paraId="5D4E1A1E" w14:textId="77777777" w:rsidR="00454A29" w:rsidRDefault="00454A29">
            <w:pPr>
              <w:pStyle w:val="ConsPlusNormal"/>
            </w:pPr>
          </w:p>
        </w:tc>
      </w:tr>
      <w:tr w:rsidR="00454A29" w14:paraId="683275AD" w14:textId="77777777">
        <w:tc>
          <w:tcPr>
            <w:tcW w:w="2041" w:type="dxa"/>
            <w:vMerge/>
          </w:tcPr>
          <w:p w14:paraId="552FFBA7" w14:textId="77777777" w:rsidR="00454A29" w:rsidRDefault="00454A29"/>
        </w:tc>
        <w:tc>
          <w:tcPr>
            <w:tcW w:w="3005" w:type="dxa"/>
            <w:vMerge/>
          </w:tcPr>
          <w:p w14:paraId="2CD61D25" w14:textId="77777777" w:rsidR="00454A29" w:rsidRDefault="00454A29"/>
        </w:tc>
        <w:tc>
          <w:tcPr>
            <w:tcW w:w="2778" w:type="dxa"/>
            <w:vAlign w:val="center"/>
          </w:tcPr>
          <w:p w14:paraId="2D28E85D" w14:textId="77777777" w:rsidR="00454A29" w:rsidRDefault="00454A29">
            <w:pPr>
              <w:pStyle w:val="ConsPlusNormal"/>
            </w:pPr>
            <w:r>
              <w:t>Минэкономики РС(Я)</w:t>
            </w:r>
          </w:p>
        </w:tc>
        <w:tc>
          <w:tcPr>
            <w:tcW w:w="1304" w:type="dxa"/>
            <w:vAlign w:val="center"/>
          </w:tcPr>
          <w:p w14:paraId="1566FC0C" w14:textId="77777777" w:rsidR="00454A29" w:rsidRDefault="00454A29">
            <w:pPr>
              <w:pStyle w:val="ConsPlusNormal"/>
              <w:jc w:val="right"/>
            </w:pPr>
            <w:r>
              <w:t>518 593</w:t>
            </w:r>
          </w:p>
        </w:tc>
        <w:tc>
          <w:tcPr>
            <w:tcW w:w="1247" w:type="dxa"/>
            <w:vAlign w:val="center"/>
          </w:tcPr>
          <w:p w14:paraId="2AE01E0B" w14:textId="77777777" w:rsidR="00454A29" w:rsidRDefault="00454A29">
            <w:pPr>
              <w:pStyle w:val="ConsPlusNormal"/>
              <w:jc w:val="right"/>
            </w:pPr>
            <w:r>
              <w:t>548 198</w:t>
            </w:r>
          </w:p>
        </w:tc>
        <w:tc>
          <w:tcPr>
            <w:tcW w:w="1304" w:type="dxa"/>
            <w:vAlign w:val="center"/>
          </w:tcPr>
          <w:p w14:paraId="72ED62FC" w14:textId="77777777" w:rsidR="00454A29" w:rsidRDefault="00454A29">
            <w:pPr>
              <w:pStyle w:val="ConsPlusNormal"/>
            </w:pPr>
          </w:p>
        </w:tc>
        <w:tc>
          <w:tcPr>
            <w:tcW w:w="1304" w:type="dxa"/>
            <w:vAlign w:val="center"/>
          </w:tcPr>
          <w:p w14:paraId="17FB5955" w14:textId="77777777" w:rsidR="00454A29" w:rsidRDefault="00454A29">
            <w:pPr>
              <w:pStyle w:val="ConsPlusNormal"/>
            </w:pPr>
          </w:p>
        </w:tc>
        <w:tc>
          <w:tcPr>
            <w:tcW w:w="1304" w:type="dxa"/>
            <w:vAlign w:val="center"/>
          </w:tcPr>
          <w:p w14:paraId="209EC80E" w14:textId="77777777" w:rsidR="00454A29" w:rsidRDefault="00454A29">
            <w:pPr>
              <w:pStyle w:val="ConsPlusNormal"/>
            </w:pPr>
          </w:p>
        </w:tc>
        <w:tc>
          <w:tcPr>
            <w:tcW w:w="1304" w:type="dxa"/>
            <w:vAlign w:val="center"/>
          </w:tcPr>
          <w:p w14:paraId="066D8114" w14:textId="77777777" w:rsidR="00454A29" w:rsidRDefault="00454A29">
            <w:pPr>
              <w:pStyle w:val="ConsPlusNormal"/>
            </w:pPr>
          </w:p>
        </w:tc>
        <w:tc>
          <w:tcPr>
            <w:tcW w:w="1304" w:type="dxa"/>
            <w:vAlign w:val="center"/>
          </w:tcPr>
          <w:p w14:paraId="31FD9463" w14:textId="77777777" w:rsidR="00454A29" w:rsidRDefault="00454A29">
            <w:pPr>
              <w:pStyle w:val="ConsPlusNormal"/>
            </w:pPr>
          </w:p>
        </w:tc>
      </w:tr>
      <w:tr w:rsidR="00454A29" w14:paraId="01B9F6A8" w14:textId="77777777">
        <w:tc>
          <w:tcPr>
            <w:tcW w:w="2041" w:type="dxa"/>
            <w:vMerge/>
          </w:tcPr>
          <w:p w14:paraId="72D95446" w14:textId="77777777" w:rsidR="00454A29" w:rsidRDefault="00454A29"/>
        </w:tc>
        <w:tc>
          <w:tcPr>
            <w:tcW w:w="3005" w:type="dxa"/>
            <w:vMerge/>
          </w:tcPr>
          <w:p w14:paraId="1682E6E3" w14:textId="77777777" w:rsidR="00454A29" w:rsidRDefault="00454A29"/>
        </w:tc>
        <w:tc>
          <w:tcPr>
            <w:tcW w:w="2778" w:type="dxa"/>
            <w:vAlign w:val="center"/>
          </w:tcPr>
          <w:p w14:paraId="36E043D8" w14:textId="77777777" w:rsidR="00454A29" w:rsidRDefault="00454A29">
            <w:pPr>
              <w:pStyle w:val="ConsPlusNormal"/>
            </w:pPr>
            <w:r>
              <w:t>Минстрой РС(Я)</w:t>
            </w:r>
          </w:p>
        </w:tc>
        <w:tc>
          <w:tcPr>
            <w:tcW w:w="1304" w:type="dxa"/>
            <w:vAlign w:val="center"/>
          </w:tcPr>
          <w:p w14:paraId="549783D8" w14:textId="77777777" w:rsidR="00454A29" w:rsidRDefault="00454A29">
            <w:pPr>
              <w:pStyle w:val="ConsPlusNormal"/>
              <w:jc w:val="right"/>
            </w:pPr>
            <w:r>
              <w:t>176 435</w:t>
            </w:r>
          </w:p>
        </w:tc>
        <w:tc>
          <w:tcPr>
            <w:tcW w:w="1247" w:type="dxa"/>
            <w:vAlign w:val="center"/>
          </w:tcPr>
          <w:p w14:paraId="53A9CF28" w14:textId="77777777" w:rsidR="00454A29" w:rsidRDefault="00454A29">
            <w:pPr>
              <w:pStyle w:val="ConsPlusNormal"/>
            </w:pPr>
          </w:p>
        </w:tc>
        <w:tc>
          <w:tcPr>
            <w:tcW w:w="1304" w:type="dxa"/>
            <w:vAlign w:val="center"/>
          </w:tcPr>
          <w:p w14:paraId="347D1BA1" w14:textId="77777777" w:rsidR="00454A29" w:rsidRDefault="00454A29">
            <w:pPr>
              <w:pStyle w:val="ConsPlusNormal"/>
            </w:pPr>
          </w:p>
        </w:tc>
        <w:tc>
          <w:tcPr>
            <w:tcW w:w="1304" w:type="dxa"/>
            <w:vAlign w:val="center"/>
          </w:tcPr>
          <w:p w14:paraId="3E99D11F" w14:textId="77777777" w:rsidR="00454A29" w:rsidRDefault="00454A29">
            <w:pPr>
              <w:pStyle w:val="ConsPlusNormal"/>
            </w:pPr>
          </w:p>
        </w:tc>
        <w:tc>
          <w:tcPr>
            <w:tcW w:w="1304" w:type="dxa"/>
            <w:vAlign w:val="center"/>
          </w:tcPr>
          <w:p w14:paraId="2DF85FBD" w14:textId="77777777" w:rsidR="00454A29" w:rsidRDefault="00454A29">
            <w:pPr>
              <w:pStyle w:val="ConsPlusNormal"/>
            </w:pPr>
          </w:p>
        </w:tc>
        <w:tc>
          <w:tcPr>
            <w:tcW w:w="1304" w:type="dxa"/>
            <w:vAlign w:val="center"/>
          </w:tcPr>
          <w:p w14:paraId="2C7DA875" w14:textId="77777777" w:rsidR="00454A29" w:rsidRDefault="00454A29">
            <w:pPr>
              <w:pStyle w:val="ConsPlusNormal"/>
            </w:pPr>
          </w:p>
        </w:tc>
        <w:tc>
          <w:tcPr>
            <w:tcW w:w="1304" w:type="dxa"/>
            <w:vAlign w:val="center"/>
          </w:tcPr>
          <w:p w14:paraId="6BB45F53" w14:textId="77777777" w:rsidR="00454A29" w:rsidRDefault="00454A29">
            <w:pPr>
              <w:pStyle w:val="ConsPlusNormal"/>
            </w:pPr>
          </w:p>
        </w:tc>
      </w:tr>
      <w:tr w:rsidR="00454A29" w14:paraId="343FB78F" w14:textId="77777777">
        <w:tc>
          <w:tcPr>
            <w:tcW w:w="2041" w:type="dxa"/>
            <w:vMerge w:val="restart"/>
            <w:vAlign w:val="center"/>
          </w:tcPr>
          <w:p w14:paraId="5638361D" w14:textId="77777777" w:rsidR="00454A29" w:rsidRDefault="00454A29">
            <w:pPr>
              <w:pStyle w:val="ConsPlusNormal"/>
              <w:jc w:val="center"/>
            </w:pPr>
            <w:r>
              <w:t>Основное мероприятие 10.4.</w:t>
            </w:r>
          </w:p>
        </w:tc>
        <w:tc>
          <w:tcPr>
            <w:tcW w:w="3005" w:type="dxa"/>
            <w:vMerge w:val="restart"/>
            <w:vAlign w:val="center"/>
          </w:tcPr>
          <w:p w14:paraId="4580E163" w14:textId="77777777" w:rsidR="00454A29" w:rsidRDefault="00454A29">
            <w:pPr>
              <w:pStyle w:val="ConsPlusNormal"/>
              <w:jc w:val="center"/>
            </w:pPr>
            <w:r>
              <w:t>Модернизация объектов профессионального образования</w:t>
            </w:r>
          </w:p>
        </w:tc>
        <w:tc>
          <w:tcPr>
            <w:tcW w:w="2778" w:type="dxa"/>
            <w:vAlign w:val="center"/>
          </w:tcPr>
          <w:p w14:paraId="7C535E31" w14:textId="77777777" w:rsidR="00454A29" w:rsidRDefault="00454A29">
            <w:pPr>
              <w:pStyle w:val="ConsPlusNormal"/>
            </w:pPr>
            <w:r>
              <w:t>Всего:</w:t>
            </w:r>
          </w:p>
        </w:tc>
        <w:tc>
          <w:tcPr>
            <w:tcW w:w="1304" w:type="dxa"/>
            <w:vAlign w:val="center"/>
          </w:tcPr>
          <w:p w14:paraId="255165BA" w14:textId="77777777" w:rsidR="00454A29" w:rsidRDefault="00454A29">
            <w:pPr>
              <w:pStyle w:val="ConsPlusNormal"/>
            </w:pPr>
          </w:p>
        </w:tc>
        <w:tc>
          <w:tcPr>
            <w:tcW w:w="1247" w:type="dxa"/>
            <w:vAlign w:val="center"/>
          </w:tcPr>
          <w:p w14:paraId="3EB86803" w14:textId="77777777" w:rsidR="00454A29" w:rsidRDefault="00454A29">
            <w:pPr>
              <w:pStyle w:val="ConsPlusNormal"/>
            </w:pPr>
          </w:p>
        </w:tc>
        <w:tc>
          <w:tcPr>
            <w:tcW w:w="1304" w:type="dxa"/>
            <w:vAlign w:val="center"/>
          </w:tcPr>
          <w:p w14:paraId="437B13F4" w14:textId="77777777" w:rsidR="00454A29" w:rsidRDefault="00454A29">
            <w:pPr>
              <w:pStyle w:val="ConsPlusNormal"/>
              <w:jc w:val="right"/>
            </w:pPr>
            <w:r>
              <w:t>-</w:t>
            </w:r>
          </w:p>
        </w:tc>
        <w:tc>
          <w:tcPr>
            <w:tcW w:w="1304" w:type="dxa"/>
            <w:vAlign w:val="center"/>
          </w:tcPr>
          <w:p w14:paraId="63B961D0" w14:textId="77777777" w:rsidR="00454A29" w:rsidRDefault="00454A29">
            <w:pPr>
              <w:pStyle w:val="ConsPlusNormal"/>
              <w:jc w:val="right"/>
            </w:pPr>
            <w:r>
              <w:t>302 215</w:t>
            </w:r>
          </w:p>
        </w:tc>
        <w:tc>
          <w:tcPr>
            <w:tcW w:w="1304" w:type="dxa"/>
            <w:vAlign w:val="center"/>
          </w:tcPr>
          <w:p w14:paraId="59EA5129" w14:textId="77777777" w:rsidR="00454A29" w:rsidRDefault="00454A29">
            <w:pPr>
              <w:pStyle w:val="ConsPlusNormal"/>
              <w:jc w:val="right"/>
            </w:pPr>
            <w:r>
              <w:t>1 550 132</w:t>
            </w:r>
          </w:p>
        </w:tc>
        <w:tc>
          <w:tcPr>
            <w:tcW w:w="1304" w:type="dxa"/>
            <w:vAlign w:val="center"/>
          </w:tcPr>
          <w:p w14:paraId="0D38819E" w14:textId="77777777" w:rsidR="00454A29" w:rsidRDefault="00454A29">
            <w:pPr>
              <w:pStyle w:val="ConsPlusNormal"/>
              <w:jc w:val="right"/>
            </w:pPr>
            <w:r>
              <w:t>2 939 226</w:t>
            </w:r>
          </w:p>
        </w:tc>
        <w:tc>
          <w:tcPr>
            <w:tcW w:w="1304" w:type="dxa"/>
            <w:vAlign w:val="center"/>
          </w:tcPr>
          <w:p w14:paraId="4BD13735" w14:textId="77777777" w:rsidR="00454A29" w:rsidRDefault="00454A29">
            <w:pPr>
              <w:pStyle w:val="ConsPlusNormal"/>
              <w:jc w:val="right"/>
            </w:pPr>
            <w:r>
              <w:t>-</w:t>
            </w:r>
          </w:p>
        </w:tc>
      </w:tr>
      <w:tr w:rsidR="00454A29" w14:paraId="3F6D74A4" w14:textId="77777777">
        <w:tc>
          <w:tcPr>
            <w:tcW w:w="2041" w:type="dxa"/>
            <w:vMerge/>
          </w:tcPr>
          <w:p w14:paraId="0B71B17C" w14:textId="77777777" w:rsidR="00454A29" w:rsidRDefault="00454A29"/>
        </w:tc>
        <w:tc>
          <w:tcPr>
            <w:tcW w:w="3005" w:type="dxa"/>
            <w:vMerge/>
          </w:tcPr>
          <w:p w14:paraId="23B28EEE" w14:textId="77777777" w:rsidR="00454A29" w:rsidRDefault="00454A29"/>
        </w:tc>
        <w:tc>
          <w:tcPr>
            <w:tcW w:w="2778" w:type="dxa"/>
            <w:vAlign w:val="center"/>
          </w:tcPr>
          <w:p w14:paraId="142212BC" w14:textId="77777777" w:rsidR="00454A29" w:rsidRDefault="00454A29">
            <w:pPr>
              <w:pStyle w:val="ConsPlusNormal"/>
            </w:pPr>
            <w:r>
              <w:t>Государственный бюджет Республики Саха (Якутия)</w:t>
            </w:r>
          </w:p>
        </w:tc>
        <w:tc>
          <w:tcPr>
            <w:tcW w:w="1304" w:type="dxa"/>
            <w:vAlign w:val="center"/>
          </w:tcPr>
          <w:p w14:paraId="7A357AB4" w14:textId="77777777" w:rsidR="00454A29" w:rsidRDefault="00454A29">
            <w:pPr>
              <w:pStyle w:val="ConsPlusNormal"/>
              <w:jc w:val="right"/>
            </w:pPr>
            <w:r>
              <w:t>-</w:t>
            </w:r>
          </w:p>
        </w:tc>
        <w:tc>
          <w:tcPr>
            <w:tcW w:w="1247" w:type="dxa"/>
            <w:vAlign w:val="center"/>
          </w:tcPr>
          <w:p w14:paraId="70B1455F" w14:textId="77777777" w:rsidR="00454A29" w:rsidRDefault="00454A29">
            <w:pPr>
              <w:pStyle w:val="ConsPlusNormal"/>
            </w:pPr>
          </w:p>
        </w:tc>
        <w:tc>
          <w:tcPr>
            <w:tcW w:w="1304" w:type="dxa"/>
            <w:vAlign w:val="center"/>
          </w:tcPr>
          <w:p w14:paraId="5BBF42A0" w14:textId="77777777" w:rsidR="00454A29" w:rsidRDefault="00454A29">
            <w:pPr>
              <w:pStyle w:val="ConsPlusNormal"/>
              <w:jc w:val="right"/>
            </w:pPr>
            <w:r>
              <w:t>-</w:t>
            </w:r>
          </w:p>
        </w:tc>
        <w:tc>
          <w:tcPr>
            <w:tcW w:w="1304" w:type="dxa"/>
            <w:vAlign w:val="center"/>
          </w:tcPr>
          <w:p w14:paraId="536BCA5E" w14:textId="77777777" w:rsidR="00454A29" w:rsidRDefault="00454A29">
            <w:pPr>
              <w:pStyle w:val="ConsPlusNormal"/>
              <w:jc w:val="right"/>
            </w:pPr>
            <w:r>
              <w:t>292 215</w:t>
            </w:r>
          </w:p>
        </w:tc>
        <w:tc>
          <w:tcPr>
            <w:tcW w:w="1304" w:type="dxa"/>
            <w:vAlign w:val="center"/>
          </w:tcPr>
          <w:p w14:paraId="693F549C" w14:textId="77777777" w:rsidR="00454A29" w:rsidRDefault="00454A29">
            <w:pPr>
              <w:pStyle w:val="ConsPlusNormal"/>
              <w:jc w:val="right"/>
            </w:pPr>
            <w:r>
              <w:t>1 550 132</w:t>
            </w:r>
          </w:p>
        </w:tc>
        <w:tc>
          <w:tcPr>
            <w:tcW w:w="1304" w:type="dxa"/>
            <w:vAlign w:val="center"/>
          </w:tcPr>
          <w:p w14:paraId="3D9DC40E" w14:textId="77777777" w:rsidR="00454A29" w:rsidRDefault="00454A29">
            <w:pPr>
              <w:pStyle w:val="ConsPlusNormal"/>
              <w:jc w:val="right"/>
            </w:pPr>
            <w:r>
              <w:t>2 939 226</w:t>
            </w:r>
          </w:p>
        </w:tc>
        <w:tc>
          <w:tcPr>
            <w:tcW w:w="1304" w:type="dxa"/>
            <w:vAlign w:val="center"/>
          </w:tcPr>
          <w:p w14:paraId="68772FB0" w14:textId="77777777" w:rsidR="00454A29" w:rsidRDefault="00454A29">
            <w:pPr>
              <w:pStyle w:val="ConsPlusNormal"/>
              <w:jc w:val="right"/>
            </w:pPr>
            <w:r>
              <w:t>-</w:t>
            </w:r>
          </w:p>
        </w:tc>
      </w:tr>
      <w:tr w:rsidR="00454A29" w14:paraId="1614DDED" w14:textId="77777777">
        <w:tc>
          <w:tcPr>
            <w:tcW w:w="2041" w:type="dxa"/>
            <w:vMerge/>
          </w:tcPr>
          <w:p w14:paraId="65207B29" w14:textId="77777777" w:rsidR="00454A29" w:rsidRDefault="00454A29"/>
        </w:tc>
        <w:tc>
          <w:tcPr>
            <w:tcW w:w="3005" w:type="dxa"/>
            <w:vMerge/>
          </w:tcPr>
          <w:p w14:paraId="2A21CDF4" w14:textId="77777777" w:rsidR="00454A29" w:rsidRDefault="00454A29"/>
        </w:tc>
        <w:tc>
          <w:tcPr>
            <w:tcW w:w="2778" w:type="dxa"/>
            <w:vAlign w:val="center"/>
          </w:tcPr>
          <w:p w14:paraId="6DE6DF5B" w14:textId="77777777" w:rsidR="00454A29" w:rsidRDefault="00454A29">
            <w:pPr>
              <w:pStyle w:val="ConsPlusNormal"/>
            </w:pPr>
            <w:r>
              <w:t>Минстрой РС(Я)</w:t>
            </w:r>
          </w:p>
        </w:tc>
        <w:tc>
          <w:tcPr>
            <w:tcW w:w="1304" w:type="dxa"/>
            <w:vAlign w:val="center"/>
          </w:tcPr>
          <w:p w14:paraId="4D139E78" w14:textId="77777777" w:rsidR="00454A29" w:rsidRDefault="00454A29">
            <w:pPr>
              <w:pStyle w:val="ConsPlusNormal"/>
            </w:pPr>
          </w:p>
        </w:tc>
        <w:tc>
          <w:tcPr>
            <w:tcW w:w="1247" w:type="dxa"/>
            <w:vAlign w:val="center"/>
          </w:tcPr>
          <w:p w14:paraId="04B3378A" w14:textId="77777777" w:rsidR="00454A29" w:rsidRDefault="00454A29">
            <w:pPr>
              <w:pStyle w:val="ConsPlusNormal"/>
            </w:pPr>
          </w:p>
        </w:tc>
        <w:tc>
          <w:tcPr>
            <w:tcW w:w="1304" w:type="dxa"/>
            <w:vAlign w:val="center"/>
          </w:tcPr>
          <w:p w14:paraId="6A6669B8" w14:textId="77777777" w:rsidR="00454A29" w:rsidRDefault="00454A29">
            <w:pPr>
              <w:pStyle w:val="ConsPlusNormal"/>
              <w:jc w:val="right"/>
            </w:pPr>
            <w:r>
              <w:t>-</w:t>
            </w:r>
          </w:p>
        </w:tc>
        <w:tc>
          <w:tcPr>
            <w:tcW w:w="1304" w:type="dxa"/>
            <w:vAlign w:val="center"/>
          </w:tcPr>
          <w:p w14:paraId="75F2A7B5" w14:textId="77777777" w:rsidR="00454A29" w:rsidRDefault="00454A29">
            <w:pPr>
              <w:pStyle w:val="ConsPlusNormal"/>
              <w:jc w:val="right"/>
            </w:pPr>
            <w:r>
              <w:t>292 215</w:t>
            </w:r>
          </w:p>
        </w:tc>
        <w:tc>
          <w:tcPr>
            <w:tcW w:w="1304" w:type="dxa"/>
            <w:vAlign w:val="center"/>
          </w:tcPr>
          <w:p w14:paraId="7918D239" w14:textId="77777777" w:rsidR="00454A29" w:rsidRDefault="00454A29">
            <w:pPr>
              <w:pStyle w:val="ConsPlusNormal"/>
              <w:jc w:val="right"/>
            </w:pPr>
            <w:r>
              <w:t>1 550 132</w:t>
            </w:r>
          </w:p>
        </w:tc>
        <w:tc>
          <w:tcPr>
            <w:tcW w:w="1304" w:type="dxa"/>
            <w:vAlign w:val="center"/>
          </w:tcPr>
          <w:p w14:paraId="4845BE22" w14:textId="77777777" w:rsidR="00454A29" w:rsidRDefault="00454A29">
            <w:pPr>
              <w:pStyle w:val="ConsPlusNormal"/>
              <w:jc w:val="right"/>
            </w:pPr>
            <w:r>
              <w:t>2 939 226</w:t>
            </w:r>
          </w:p>
        </w:tc>
        <w:tc>
          <w:tcPr>
            <w:tcW w:w="1304" w:type="dxa"/>
            <w:vAlign w:val="center"/>
          </w:tcPr>
          <w:p w14:paraId="369BE7B5" w14:textId="77777777" w:rsidR="00454A29" w:rsidRDefault="00454A29">
            <w:pPr>
              <w:pStyle w:val="ConsPlusNormal"/>
              <w:jc w:val="right"/>
            </w:pPr>
            <w:r>
              <w:t>-</w:t>
            </w:r>
          </w:p>
        </w:tc>
      </w:tr>
      <w:tr w:rsidR="00454A29" w14:paraId="2B414F22" w14:textId="77777777">
        <w:tc>
          <w:tcPr>
            <w:tcW w:w="2041" w:type="dxa"/>
            <w:vMerge/>
          </w:tcPr>
          <w:p w14:paraId="39929867" w14:textId="77777777" w:rsidR="00454A29" w:rsidRDefault="00454A29"/>
        </w:tc>
        <w:tc>
          <w:tcPr>
            <w:tcW w:w="3005" w:type="dxa"/>
            <w:vMerge/>
          </w:tcPr>
          <w:p w14:paraId="47ED6FF3" w14:textId="77777777" w:rsidR="00454A29" w:rsidRDefault="00454A29"/>
        </w:tc>
        <w:tc>
          <w:tcPr>
            <w:tcW w:w="2778" w:type="dxa"/>
            <w:vAlign w:val="center"/>
          </w:tcPr>
          <w:p w14:paraId="7AEC9085" w14:textId="77777777" w:rsidR="00454A29" w:rsidRDefault="00454A29">
            <w:pPr>
              <w:pStyle w:val="ConsPlusNormal"/>
            </w:pPr>
            <w:r>
              <w:t>Местный бюджет</w:t>
            </w:r>
          </w:p>
        </w:tc>
        <w:tc>
          <w:tcPr>
            <w:tcW w:w="1304" w:type="dxa"/>
            <w:vAlign w:val="center"/>
          </w:tcPr>
          <w:p w14:paraId="607136F3" w14:textId="77777777" w:rsidR="00454A29" w:rsidRDefault="00454A29">
            <w:pPr>
              <w:pStyle w:val="ConsPlusNormal"/>
            </w:pPr>
          </w:p>
        </w:tc>
        <w:tc>
          <w:tcPr>
            <w:tcW w:w="1247" w:type="dxa"/>
            <w:vAlign w:val="center"/>
          </w:tcPr>
          <w:p w14:paraId="7255F333" w14:textId="77777777" w:rsidR="00454A29" w:rsidRDefault="00454A29">
            <w:pPr>
              <w:pStyle w:val="ConsPlusNormal"/>
            </w:pPr>
          </w:p>
        </w:tc>
        <w:tc>
          <w:tcPr>
            <w:tcW w:w="1304" w:type="dxa"/>
            <w:vAlign w:val="center"/>
          </w:tcPr>
          <w:p w14:paraId="665FCD15" w14:textId="77777777" w:rsidR="00454A29" w:rsidRDefault="00454A29">
            <w:pPr>
              <w:pStyle w:val="ConsPlusNormal"/>
              <w:jc w:val="right"/>
            </w:pPr>
            <w:r>
              <w:t>-</w:t>
            </w:r>
          </w:p>
        </w:tc>
        <w:tc>
          <w:tcPr>
            <w:tcW w:w="1304" w:type="dxa"/>
            <w:vAlign w:val="center"/>
          </w:tcPr>
          <w:p w14:paraId="044B8BA7" w14:textId="77777777" w:rsidR="00454A29" w:rsidRDefault="00454A29">
            <w:pPr>
              <w:pStyle w:val="ConsPlusNormal"/>
              <w:jc w:val="right"/>
            </w:pPr>
            <w:r>
              <w:t>10 000</w:t>
            </w:r>
          </w:p>
        </w:tc>
        <w:tc>
          <w:tcPr>
            <w:tcW w:w="1304" w:type="dxa"/>
            <w:vAlign w:val="center"/>
          </w:tcPr>
          <w:p w14:paraId="61394428" w14:textId="77777777" w:rsidR="00454A29" w:rsidRDefault="00454A29">
            <w:pPr>
              <w:pStyle w:val="ConsPlusNormal"/>
              <w:jc w:val="right"/>
            </w:pPr>
            <w:r>
              <w:t>-</w:t>
            </w:r>
          </w:p>
        </w:tc>
        <w:tc>
          <w:tcPr>
            <w:tcW w:w="1304" w:type="dxa"/>
            <w:vAlign w:val="center"/>
          </w:tcPr>
          <w:p w14:paraId="6CF89F1A" w14:textId="77777777" w:rsidR="00454A29" w:rsidRDefault="00454A29">
            <w:pPr>
              <w:pStyle w:val="ConsPlusNormal"/>
              <w:jc w:val="right"/>
            </w:pPr>
            <w:r>
              <w:t>-</w:t>
            </w:r>
          </w:p>
        </w:tc>
        <w:tc>
          <w:tcPr>
            <w:tcW w:w="1304" w:type="dxa"/>
            <w:vAlign w:val="center"/>
          </w:tcPr>
          <w:p w14:paraId="18FC89DB" w14:textId="77777777" w:rsidR="00454A29" w:rsidRDefault="00454A29">
            <w:pPr>
              <w:pStyle w:val="ConsPlusNormal"/>
              <w:jc w:val="right"/>
            </w:pPr>
            <w:r>
              <w:t>-</w:t>
            </w:r>
          </w:p>
        </w:tc>
      </w:tr>
      <w:tr w:rsidR="00454A29" w14:paraId="6E144B48" w14:textId="77777777">
        <w:tc>
          <w:tcPr>
            <w:tcW w:w="2041" w:type="dxa"/>
            <w:vMerge/>
          </w:tcPr>
          <w:p w14:paraId="03858427" w14:textId="77777777" w:rsidR="00454A29" w:rsidRDefault="00454A29"/>
        </w:tc>
        <w:tc>
          <w:tcPr>
            <w:tcW w:w="3005" w:type="dxa"/>
            <w:vMerge/>
          </w:tcPr>
          <w:p w14:paraId="342B7382" w14:textId="77777777" w:rsidR="00454A29" w:rsidRDefault="00454A29"/>
        </w:tc>
        <w:tc>
          <w:tcPr>
            <w:tcW w:w="2778" w:type="dxa"/>
            <w:vAlign w:val="center"/>
          </w:tcPr>
          <w:p w14:paraId="01FB0391" w14:textId="77777777" w:rsidR="00454A29" w:rsidRDefault="00454A29">
            <w:pPr>
              <w:pStyle w:val="ConsPlusNormal"/>
            </w:pPr>
            <w:r>
              <w:t>Минстрой РС(Я)</w:t>
            </w:r>
          </w:p>
        </w:tc>
        <w:tc>
          <w:tcPr>
            <w:tcW w:w="1304" w:type="dxa"/>
            <w:vAlign w:val="center"/>
          </w:tcPr>
          <w:p w14:paraId="15C49424" w14:textId="77777777" w:rsidR="00454A29" w:rsidRDefault="00454A29">
            <w:pPr>
              <w:pStyle w:val="ConsPlusNormal"/>
            </w:pPr>
          </w:p>
        </w:tc>
        <w:tc>
          <w:tcPr>
            <w:tcW w:w="1247" w:type="dxa"/>
            <w:vAlign w:val="center"/>
          </w:tcPr>
          <w:p w14:paraId="3173E0FA" w14:textId="77777777" w:rsidR="00454A29" w:rsidRDefault="00454A29">
            <w:pPr>
              <w:pStyle w:val="ConsPlusNormal"/>
            </w:pPr>
          </w:p>
        </w:tc>
        <w:tc>
          <w:tcPr>
            <w:tcW w:w="1304" w:type="dxa"/>
            <w:vAlign w:val="center"/>
          </w:tcPr>
          <w:p w14:paraId="458AB4A1" w14:textId="77777777" w:rsidR="00454A29" w:rsidRDefault="00454A29">
            <w:pPr>
              <w:pStyle w:val="ConsPlusNormal"/>
              <w:jc w:val="right"/>
            </w:pPr>
            <w:r>
              <w:t>-</w:t>
            </w:r>
          </w:p>
        </w:tc>
        <w:tc>
          <w:tcPr>
            <w:tcW w:w="1304" w:type="dxa"/>
            <w:vAlign w:val="center"/>
          </w:tcPr>
          <w:p w14:paraId="75406E36" w14:textId="77777777" w:rsidR="00454A29" w:rsidRDefault="00454A29">
            <w:pPr>
              <w:pStyle w:val="ConsPlusNormal"/>
              <w:jc w:val="right"/>
            </w:pPr>
            <w:r>
              <w:t>10 000</w:t>
            </w:r>
          </w:p>
        </w:tc>
        <w:tc>
          <w:tcPr>
            <w:tcW w:w="1304" w:type="dxa"/>
            <w:vAlign w:val="center"/>
          </w:tcPr>
          <w:p w14:paraId="43D0F2C5" w14:textId="77777777" w:rsidR="00454A29" w:rsidRDefault="00454A29">
            <w:pPr>
              <w:pStyle w:val="ConsPlusNormal"/>
              <w:jc w:val="right"/>
            </w:pPr>
            <w:r>
              <w:t>-</w:t>
            </w:r>
          </w:p>
        </w:tc>
        <w:tc>
          <w:tcPr>
            <w:tcW w:w="1304" w:type="dxa"/>
            <w:vAlign w:val="center"/>
          </w:tcPr>
          <w:p w14:paraId="41FE51CC" w14:textId="77777777" w:rsidR="00454A29" w:rsidRDefault="00454A29">
            <w:pPr>
              <w:pStyle w:val="ConsPlusNormal"/>
              <w:jc w:val="right"/>
            </w:pPr>
            <w:r>
              <w:t>-</w:t>
            </w:r>
          </w:p>
        </w:tc>
        <w:tc>
          <w:tcPr>
            <w:tcW w:w="1304" w:type="dxa"/>
            <w:vAlign w:val="center"/>
          </w:tcPr>
          <w:p w14:paraId="5494DDF8" w14:textId="77777777" w:rsidR="00454A29" w:rsidRDefault="00454A29">
            <w:pPr>
              <w:pStyle w:val="ConsPlusNormal"/>
              <w:jc w:val="right"/>
            </w:pPr>
            <w:r>
              <w:t>-</w:t>
            </w:r>
          </w:p>
        </w:tc>
      </w:tr>
      <w:tr w:rsidR="00454A29" w14:paraId="45A1ED10" w14:textId="77777777">
        <w:tc>
          <w:tcPr>
            <w:tcW w:w="2041" w:type="dxa"/>
            <w:vMerge w:val="restart"/>
            <w:vAlign w:val="center"/>
          </w:tcPr>
          <w:p w14:paraId="1B990158" w14:textId="77777777" w:rsidR="00454A29" w:rsidRDefault="00454A29">
            <w:pPr>
              <w:pStyle w:val="ConsPlusNormal"/>
              <w:jc w:val="center"/>
            </w:pPr>
            <w:r>
              <w:t>Основное мероприятие 10.5.</w:t>
            </w:r>
          </w:p>
        </w:tc>
        <w:tc>
          <w:tcPr>
            <w:tcW w:w="3005" w:type="dxa"/>
            <w:vMerge w:val="restart"/>
            <w:vAlign w:val="center"/>
          </w:tcPr>
          <w:p w14:paraId="57D54DEE" w14:textId="77777777" w:rsidR="00454A29" w:rsidRDefault="00454A29">
            <w:pPr>
              <w:pStyle w:val="ConsPlusNormal"/>
              <w:jc w:val="center"/>
            </w:pPr>
            <w:r>
              <w:t>Капитальный ремонт образовательных организаций</w:t>
            </w:r>
          </w:p>
        </w:tc>
        <w:tc>
          <w:tcPr>
            <w:tcW w:w="2778" w:type="dxa"/>
            <w:vAlign w:val="center"/>
          </w:tcPr>
          <w:p w14:paraId="2D1B8FCF" w14:textId="77777777" w:rsidR="00454A29" w:rsidRDefault="00454A29">
            <w:pPr>
              <w:pStyle w:val="ConsPlusNormal"/>
            </w:pPr>
            <w:r>
              <w:t>Всего:</w:t>
            </w:r>
          </w:p>
        </w:tc>
        <w:tc>
          <w:tcPr>
            <w:tcW w:w="1304" w:type="dxa"/>
            <w:vAlign w:val="center"/>
          </w:tcPr>
          <w:p w14:paraId="1568C4B4" w14:textId="77777777" w:rsidR="00454A29" w:rsidRDefault="00454A29">
            <w:pPr>
              <w:pStyle w:val="ConsPlusNormal"/>
              <w:jc w:val="right"/>
            </w:pPr>
            <w:r>
              <w:t>-</w:t>
            </w:r>
          </w:p>
        </w:tc>
        <w:tc>
          <w:tcPr>
            <w:tcW w:w="1247" w:type="dxa"/>
            <w:vAlign w:val="center"/>
          </w:tcPr>
          <w:p w14:paraId="6F4EF252" w14:textId="77777777" w:rsidR="00454A29" w:rsidRDefault="00454A29">
            <w:pPr>
              <w:pStyle w:val="ConsPlusNormal"/>
              <w:jc w:val="right"/>
            </w:pPr>
            <w:r>
              <w:t>-</w:t>
            </w:r>
          </w:p>
        </w:tc>
        <w:tc>
          <w:tcPr>
            <w:tcW w:w="1304" w:type="dxa"/>
            <w:vAlign w:val="center"/>
          </w:tcPr>
          <w:p w14:paraId="42B33830" w14:textId="77777777" w:rsidR="00454A29" w:rsidRDefault="00454A29">
            <w:pPr>
              <w:pStyle w:val="ConsPlusNormal"/>
              <w:jc w:val="right"/>
            </w:pPr>
            <w:r>
              <w:t>-</w:t>
            </w:r>
          </w:p>
        </w:tc>
        <w:tc>
          <w:tcPr>
            <w:tcW w:w="1304" w:type="dxa"/>
            <w:vAlign w:val="center"/>
          </w:tcPr>
          <w:p w14:paraId="707F61C6" w14:textId="77777777" w:rsidR="00454A29" w:rsidRDefault="00454A29">
            <w:pPr>
              <w:pStyle w:val="ConsPlusNormal"/>
              <w:jc w:val="right"/>
            </w:pPr>
            <w:r>
              <w:t>792 842</w:t>
            </w:r>
          </w:p>
        </w:tc>
        <w:tc>
          <w:tcPr>
            <w:tcW w:w="1304" w:type="dxa"/>
            <w:vAlign w:val="center"/>
          </w:tcPr>
          <w:p w14:paraId="61D6EF0D" w14:textId="77777777" w:rsidR="00454A29" w:rsidRDefault="00454A29">
            <w:pPr>
              <w:pStyle w:val="ConsPlusNormal"/>
              <w:jc w:val="right"/>
            </w:pPr>
            <w:r>
              <w:t>630 682</w:t>
            </w:r>
          </w:p>
        </w:tc>
        <w:tc>
          <w:tcPr>
            <w:tcW w:w="1304" w:type="dxa"/>
            <w:vAlign w:val="center"/>
          </w:tcPr>
          <w:p w14:paraId="0D9DA4F6" w14:textId="77777777" w:rsidR="00454A29" w:rsidRDefault="00454A29">
            <w:pPr>
              <w:pStyle w:val="ConsPlusNormal"/>
              <w:jc w:val="right"/>
            </w:pPr>
            <w:r>
              <w:t>581 061</w:t>
            </w:r>
          </w:p>
        </w:tc>
        <w:tc>
          <w:tcPr>
            <w:tcW w:w="1304" w:type="dxa"/>
            <w:vAlign w:val="center"/>
          </w:tcPr>
          <w:p w14:paraId="73CE1FAC" w14:textId="77777777" w:rsidR="00454A29" w:rsidRDefault="00454A29">
            <w:pPr>
              <w:pStyle w:val="ConsPlusNormal"/>
              <w:jc w:val="right"/>
            </w:pPr>
            <w:r>
              <w:t>489 072</w:t>
            </w:r>
          </w:p>
        </w:tc>
      </w:tr>
      <w:tr w:rsidR="00454A29" w14:paraId="66F7CB99" w14:textId="77777777">
        <w:tc>
          <w:tcPr>
            <w:tcW w:w="2041" w:type="dxa"/>
            <w:vMerge/>
          </w:tcPr>
          <w:p w14:paraId="70106816" w14:textId="77777777" w:rsidR="00454A29" w:rsidRDefault="00454A29"/>
        </w:tc>
        <w:tc>
          <w:tcPr>
            <w:tcW w:w="3005" w:type="dxa"/>
            <w:vMerge/>
          </w:tcPr>
          <w:p w14:paraId="4075F5B3" w14:textId="77777777" w:rsidR="00454A29" w:rsidRDefault="00454A29"/>
        </w:tc>
        <w:tc>
          <w:tcPr>
            <w:tcW w:w="2778" w:type="dxa"/>
            <w:vAlign w:val="center"/>
          </w:tcPr>
          <w:p w14:paraId="085FA87A" w14:textId="77777777" w:rsidR="00454A29" w:rsidRDefault="00454A29">
            <w:pPr>
              <w:pStyle w:val="ConsPlusNormal"/>
            </w:pPr>
            <w:r>
              <w:t>Государственный бюджет Республики Саха (Якутия)</w:t>
            </w:r>
          </w:p>
        </w:tc>
        <w:tc>
          <w:tcPr>
            <w:tcW w:w="1304" w:type="dxa"/>
            <w:vAlign w:val="center"/>
          </w:tcPr>
          <w:p w14:paraId="58CEF8A1" w14:textId="77777777" w:rsidR="00454A29" w:rsidRDefault="00454A29">
            <w:pPr>
              <w:pStyle w:val="ConsPlusNormal"/>
            </w:pPr>
          </w:p>
        </w:tc>
        <w:tc>
          <w:tcPr>
            <w:tcW w:w="1247" w:type="dxa"/>
            <w:vAlign w:val="center"/>
          </w:tcPr>
          <w:p w14:paraId="17252E0E" w14:textId="77777777" w:rsidR="00454A29" w:rsidRDefault="00454A29">
            <w:pPr>
              <w:pStyle w:val="ConsPlusNormal"/>
            </w:pPr>
          </w:p>
        </w:tc>
        <w:tc>
          <w:tcPr>
            <w:tcW w:w="1304" w:type="dxa"/>
            <w:vAlign w:val="center"/>
          </w:tcPr>
          <w:p w14:paraId="08648257" w14:textId="77777777" w:rsidR="00454A29" w:rsidRDefault="00454A29">
            <w:pPr>
              <w:pStyle w:val="ConsPlusNormal"/>
            </w:pPr>
          </w:p>
        </w:tc>
        <w:tc>
          <w:tcPr>
            <w:tcW w:w="1304" w:type="dxa"/>
            <w:vAlign w:val="center"/>
          </w:tcPr>
          <w:p w14:paraId="12E90060" w14:textId="77777777" w:rsidR="00454A29" w:rsidRDefault="00454A29">
            <w:pPr>
              <w:pStyle w:val="ConsPlusNormal"/>
              <w:jc w:val="right"/>
            </w:pPr>
            <w:r>
              <w:t>652 605</w:t>
            </w:r>
          </w:p>
        </w:tc>
        <w:tc>
          <w:tcPr>
            <w:tcW w:w="1304" w:type="dxa"/>
            <w:vAlign w:val="center"/>
          </w:tcPr>
          <w:p w14:paraId="0FC02245" w14:textId="77777777" w:rsidR="00454A29" w:rsidRDefault="00454A29">
            <w:pPr>
              <w:pStyle w:val="ConsPlusNormal"/>
              <w:jc w:val="right"/>
            </w:pPr>
            <w:r>
              <w:t>604 604</w:t>
            </w:r>
          </w:p>
        </w:tc>
        <w:tc>
          <w:tcPr>
            <w:tcW w:w="1304" w:type="dxa"/>
            <w:vAlign w:val="center"/>
          </w:tcPr>
          <w:p w14:paraId="58EF57CE" w14:textId="77777777" w:rsidR="00454A29" w:rsidRDefault="00454A29">
            <w:pPr>
              <w:pStyle w:val="ConsPlusNormal"/>
              <w:jc w:val="right"/>
            </w:pPr>
            <w:r>
              <w:t>562 821</w:t>
            </w:r>
          </w:p>
        </w:tc>
        <w:tc>
          <w:tcPr>
            <w:tcW w:w="1304" w:type="dxa"/>
            <w:vAlign w:val="center"/>
          </w:tcPr>
          <w:p w14:paraId="71085027" w14:textId="77777777" w:rsidR="00454A29" w:rsidRDefault="00454A29">
            <w:pPr>
              <w:pStyle w:val="ConsPlusNormal"/>
              <w:jc w:val="right"/>
            </w:pPr>
            <w:r>
              <w:t>489 072</w:t>
            </w:r>
          </w:p>
        </w:tc>
      </w:tr>
      <w:tr w:rsidR="00454A29" w14:paraId="0FEFE542" w14:textId="77777777">
        <w:tc>
          <w:tcPr>
            <w:tcW w:w="2041" w:type="dxa"/>
            <w:vMerge/>
          </w:tcPr>
          <w:p w14:paraId="4B4A87EB" w14:textId="77777777" w:rsidR="00454A29" w:rsidRDefault="00454A29"/>
        </w:tc>
        <w:tc>
          <w:tcPr>
            <w:tcW w:w="3005" w:type="dxa"/>
            <w:vMerge/>
          </w:tcPr>
          <w:p w14:paraId="054D2C53" w14:textId="77777777" w:rsidR="00454A29" w:rsidRDefault="00454A29"/>
        </w:tc>
        <w:tc>
          <w:tcPr>
            <w:tcW w:w="2778" w:type="dxa"/>
            <w:vAlign w:val="center"/>
          </w:tcPr>
          <w:p w14:paraId="7CAA197B" w14:textId="77777777" w:rsidR="00454A29" w:rsidRDefault="00454A29">
            <w:pPr>
              <w:pStyle w:val="ConsPlusNormal"/>
            </w:pPr>
            <w:r>
              <w:t>Минстрой РС(Я)</w:t>
            </w:r>
          </w:p>
        </w:tc>
        <w:tc>
          <w:tcPr>
            <w:tcW w:w="1304" w:type="dxa"/>
            <w:vAlign w:val="center"/>
          </w:tcPr>
          <w:p w14:paraId="24A07FC4" w14:textId="77777777" w:rsidR="00454A29" w:rsidRDefault="00454A29">
            <w:pPr>
              <w:pStyle w:val="ConsPlusNormal"/>
            </w:pPr>
          </w:p>
        </w:tc>
        <w:tc>
          <w:tcPr>
            <w:tcW w:w="1247" w:type="dxa"/>
            <w:vAlign w:val="center"/>
          </w:tcPr>
          <w:p w14:paraId="3C525440" w14:textId="77777777" w:rsidR="00454A29" w:rsidRDefault="00454A29">
            <w:pPr>
              <w:pStyle w:val="ConsPlusNormal"/>
            </w:pPr>
          </w:p>
        </w:tc>
        <w:tc>
          <w:tcPr>
            <w:tcW w:w="1304" w:type="dxa"/>
            <w:vAlign w:val="center"/>
          </w:tcPr>
          <w:p w14:paraId="3D76F11E" w14:textId="77777777" w:rsidR="00454A29" w:rsidRDefault="00454A29">
            <w:pPr>
              <w:pStyle w:val="ConsPlusNormal"/>
            </w:pPr>
          </w:p>
        </w:tc>
        <w:tc>
          <w:tcPr>
            <w:tcW w:w="1304" w:type="dxa"/>
            <w:vAlign w:val="center"/>
          </w:tcPr>
          <w:p w14:paraId="170CEBE2" w14:textId="77777777" w:rsidR="00454A29" w:rsidRDefault="00454A29">
            <w:pPr>
              <w:pStyle w:val="ConsPlusNormal"/>
            </w:pPr>
          </w:p>
        </w:tc>
        <w:tc>
          <w:tcPr>
            <w:tcW w:w="1304" w:type="dxa"/>
            <w:vAlign w:val="center"/>
          </w:tcPr>
          <w:p w14:paraId="65C20ABA" w14:textId="77777777" w:rsidR="00454A29" w:rsidRDefault="00454A29">
            <w:pPr>
              <w:pStyle w:val="ConsPlusNormal"/>
            </w:pPr>
          </w:p>
        </w:tc>
        <w:tc>
          <w:tcPr>
            <w:tcW w:w="1304" w:type="dxa"/>
            <w:vAlign w:val="center"/>
          </w:tcPr>
          <w:p w14:paraId="6022624D" w14:textId="77777777" w:rsidR="00454A29" w:rsidRDefault="00454A29">
            <w:pPr>
              <w:pStyle w:val="ConsPlusNormal"/>
            </w:pPr>
          </w:p>
        </w:tc>
        <w:tc>
          <w:tcPr>
            <w:tcW w:w="1304" w:type="dxa"/>
            <w:vAlign w:val="center"/>
          </w:tcPr>
          <w:p w14:paraId="222210EC" w14:textId="77777777" w:rsidR="00454A29" w:rsidRDefault="00454A29">
            <w:pPr>
              <w:pStyle w:val="ConsPlusNormal"/>
            </w:pPr>
          </w:p>
        </w:tc>
      </w:tr>
      <w:tr w:rsidR="00454A29" w14:paraId="2B710286" w14:textId="77777777">
        <w:tc>
          <w:tcPr>
            <w:tcW w:w="2041" w:type="dxa"/>
            <w:vMerge/>
          </w:tcPr>
          <w:p w14:paraId="013ADF4F" w14:textId="77777777" w:rsidR="00454A29" w:rsidRDefault="00454A29"/>
        </w:tc>
        <w:tc>
          <w:tcPr>
            <w:tcW w:w="3005" w:type="dxa"/>
            <w:vMerge/>
          </w:tcPr>
          <w:p w14:paraId="4A95945E" w14:textId="77777777" w:rsidR="00454A29" w:rsidRDefault="00454A29"/>
        </w:tc>
        <w:tc>
          <w:tcPr>
            <w:tcW w:w="2778" w:type="dxa"/>
            <w:vAlign w:val="center"/>
          </w:tcPr>
          <w:p w14:paraId="6769BC9A" w14:textId="77777777" w:rsidR="00454A29" w:rsidRDefault="00454A29">
            <w:pPr>
              <w:pStyle w:val="ConsPlusNormal"/>
            </w:pPr>
            <w:r>
              <w:t>Минэкономики РС(Я)</w:t>
            </w:r>
          </w:p>
        </w:tc>
        <w:tc>
          <w:tcPr>
            <w:tcW w:w="1304" w:type="dxa"/>
            <w:vAlign w:val="center"/>
          </w:tcPr>
          <w:p w14:paraId="5E755F2C" w14:textId="77777777" w:rsidR="00454A29" w:rsidRDefault="00454A29">
            <w:pPr>
              <w:pStyle w:val="ConsPlusNormal"/>
            </w:pPr>
          </w:p>
        </w:tc>
        <w:tc>
          <w:tcPr>
            <w:tcW w:w="1247" w:type="dxa"/>
            <w:vAlign w:val="center"/>
          </w:tcPr>
          <w:p w14:paraId="57D10528" w14:textId="77777777" w:rsidR="00454A29" w:rsidRDefault="00454A29">
            <w:pPr>
              <w:pStyle w:val="ConsPlusNormal"/>
            </w:pPr>
          </w:p>
        </w:tc>
        <w:tc>
          <w:tcPr>
            <w:tcW w:w="1304" w:type="dxa"/>
            <w:vAlign w:val="center"/>
          </w:tcPr>
          <w:p w14:paraId="08BFB823" w14:textId="77777777" w:rsidR="00454A29" w:rsidRDefault="00454A29">
            <w:pPr>
              <w:pStyle w:val="ConsPlusNormal"/>
            </w:pPr>
          </w:p>
        </w:tc>
        <w:tc>
          <w:tcPr>
            <w:tcW w:w="1304" w:type="dxa"/>
            <w:vAlign w:val="center"/>
          </w:tcPr>
          <w:p w14:paraId="3E07B9B5" w14:textId="77777777" w:rsidR="00454A29" w:rsidRDefault="00454A29">
            <w:pPr>
              <w:pStyle w:val="ConsPlusNormal"/>
              <w:jc w:val="right"/>
            </w:pPr>
            <w:r>
              <w:t>635 245</w:t>
            </w:r>
          </w:p>
        </w:tc>
        <w:tc>
          <w:tcPr>
            <w:tcW w:w="1304" w:type="dxa"/>
            <w:vAlign w:val="center"/>
          </w:tcPr>
          <w:p w14:paraId="496C27ED" w14:textId="77777777" w:rsidR="00454A29" w:rsidRDefault="00454A29">
            <w:pPr>
              <w:pStyle w:val="ConsPlusNormal"/>
              <w:jc w:val="right"/>
            </w:pPr>
            <w:r>
              <w:t>581 189</w:t>
            </w:r>
          </w:p>
        </w:tc>
        <w:tc>
          <w:tcPr>
            <w:tcW w:w="1304" w:type="dxa"/>
            <w:vAlign w:val="center"/>
          </w:tcPr>
          <w:p w14:paraId="55447A66" w14:textId="77777777" w:rsidR="00454A29" w:rsidRDefault="00454A29">
            <w:pPr>
              <w:pStyle w:val="ConsPlusNormal"/>
              <w:jc w:val="right"/>
            </w:pPr>
            <w:r>
              <w:t>518 546</w:t>
            </w:r>
          </w:p>
        </w:tc>
        <w:tc>
          <w:tcPr>
            <w:tcW w:w="1304" w:type="dxa"/>
            <w:vAlign w:val="center"/>
          </w:tcPr>
          <w:p w14:paraId="3F1889F3" w14:textId="77777777" w:rsidR="00454A29" w:rsidRDefault="00454A29">
            <w:pPr>
              <w:pStyle w:val="ConsPlusNormal"/>
              <w:jc w:val="right"/>
            </w:pPr>
            <w:r>
              <w:t>445 952</w:t>
            </w:r>
          </w:p>
        </w:tc>
      </w:tr>
      <w:tr w:rsidR="00454A29" w14:paraId="789E8AC4" w14:textId="77777777">
        <w:tc>
          <w:tcPr>
            <w:tcW w:w="2041" w:type="dxa"/>
            <w:vMerge/>
          </w:tcPr>
          <w:p w14:paraId="297AA0F4" w14:textId="77777777" w:rsidR="00454A29" w:rsidRDefault="00454A29"/>
        </w:tc>
        <w:tc>
          <w:tcPr>
            <w:tcW w:w="3005" w:type="dxa"/>
            <w:vMerge/>
          </w:tcPr>
          <w:p w14:paraId="607D750C" w14:textId="77777777" w:rsidR="00454A29" w:rsidRDefault="00454A29"/>
        </w:tc>
        <w:tc>
          <w:tcPr>
            <w:tcW w:w="2778" w:type="dxa"/>
            <w:vAlign w:val="center"/>
          </w:tcPr>
          <w:p w14:paraId="48004758" w14:textId="77777777" w:rsidR="00454A29" w:rsidRDefault="00454A29">
            <w:pPr>
              <w:pStyle w:val="ConsPlusNormal"/>
            </w:pPr>
            <w:r>
              <w:t>Минобрнауки РС(Я)</w:t>
            </w:r>
          </w:p>
        </w:tc>
        <w:tc>
          <w:tcPr>
            <w:tcW w:w="1304" w:type="dxa"/>
            <w:vAlign w:val="center"/>
          </w:tcPr>
          <w:p w14:paraId="4DBDC9B8" w14:textId="77777777" w:rsidR="00454A29" w:rsidRDefault="00454A29">
            <w:pPr>
              <w:pStyle w:val="ConsPlusNormal"/>
              <w:jc w:val="right"/>
            </w:pPr>
            <w:r>
              <w:t>-</w:t>
            </w:r>
          </w:p>
        </w:tc>
        <w:tc>
          <w:tcPr>
            <w:tcW w:w="1247" w:type="dxa"/>
            <w:vAlign w:val="center"/>
          </w:tcPr>
          <w:p w14:paraId="04F06E04" w14:textId="77777777" w:rsidR="00454A29" w:rsidRDefault="00454A29">
            <w:pPr>
              <w:pStyle w:val="ConsPlusNormal"/>
              <w:jc w:val="right"/>
            </w:pPr>
            <w:r>
              <w:t>-</w:t>
            </w:r>
          </w:p>
        </w:tc>
        <w:tc>
          <w:tcPr>
            <w:tcW w:w="1304" w:type="dxa"/>
            <w:vAlign w:val="center"/>
          </w:tcPr>
          <w:p w14:paraId="16B93E96" w14:textId="77777777" w:rsidR="00454A29" w:rsidRDefault="00454A29">
            <w:pPr>
              <w:pStyle w:val="ConsPlusNormal"/>
              <w:jc w:val="right"/>
            </w:pPr>
            <w:r>
              <w:t>-</w:t>
            </w:r>
          </w:p>
        </w:tc>
        <w:tc>
          <w:tcPr>
            <w:tcW w:w="1304" w:type="dxa"/>
            <w:vAlign w:val="center"/>
          </w:tcPr>
          <w:p w14:paraId="5BA2BDA2" w14:textId="77777777" w:rsidR="00454A29" w:rsidRDefault="00454A29">
            <w:pPr>
              <w:pStyle w:val="ConsPlusNormal"/>
              <w:jc w:val="right"/>
            </w:pPr>
            <w:r>
              <w:t>17 360</w:t>
            </w:r>
          </w:p>
        </w:tc>
        <w:tc>
          <w:tcPr>
            <w:tcW w:w="1304" w:type="dxa"/>
            <w:vAlign w:val="center"/>
          </w:tcPr>
          <w:p w14:paraId="0D51D216" w14:textId="77777777" w:rsidR="00454A29" w:rsidRDefault="00454A29">
            <w:pPr>
              <w:pStyle w:val="ConsPlusNormal"/>
              <w:jc w:val="right"/>
            </w:pPr>
            <w:r>
              <w:t>23 415</w:t>
            </w:r>
          </w:p>
        </w:tc>
        <w:tc>
          <w:tcPr>
            <w:tcW w:w="1304" w:type="dxa"/>
            <w:vAlign w:val="center"/>
          </w:tcPr>
          <w:p w14:paraId="16F54E7E" w14:textId="77777777" w:rsidR="00454A29" w:rsidRDefault="00454A29">
            <w:pPr>
              <w:pStyle w:val="ConsPlusNormal"/>
              <w:jc w:val="right"/>
            </w:pPr>
            <w:r>
              <w:t>44 275</w:t>
            </w:r>
          </w:p>
        </w:tc>
        <w:tc>
          <w:tcPr>
            <w:tcW w:w="1304" w:type="dxa"/>
            <w:vAlign w:val="center"/>
          </w:tcPr>
          <w:p w14:paraId="5BD0E999" w14:textId="77777777" w:rsidR="00454A29" w:rsidRDefault="00454A29">
            <w:pPr>
              <w:pStyle w:val="ConsPlusNormal"/>
              <w:jc w:val="right"/>
            </w:pPr>
            <w:r>
              <w:t>43 120</w:t>
            </w:r>
          </w:p>
        </w:tc>
      </w:tr>
      <w:tr w:rsidR="00454A29" w14:paraId="2D2DDF05" w14:textId="77777777">
        <w:tc>
          <w:tcPr>
            <w:tcW w:w="2041" w:type="dxa"/>
            <w:vMerge/>
          </w:tcPr>
          <w:p w14:paraId="753E6887" w14:textId="77777777" w:rsidR="00454A29" w:rsidRDefault="00454A29"/>
        </w:tc>
        <w:tc>
          <w:tcPr>
            <w:tcW w:w="3005" w:type="dxa"/>
            <w:vMerge/>
          </w:tcPr>
          <w:p w14:paraId="763CEF76" w14:textId="77777777" w:rsidR="00454A29" w:rsidRDefault="00454A29"/>
        </w:tc>
        <w:tc>
          <w:tcPr>
            <w:tcW w:w="2778" w:type="dxa"/>
            <w:vAlign w:val="center"/>
          </w:tcPr>
          <w:p w14:paraId="1ABB7BC7" w14:textId="77777777" w:rsidR="00454A29" w:rsidRDefault="00454A29">
            <w:pPr>
              <w:pStyle w:val="ConsPlusNormal"/>
            </w:pPr>
            <w:r>
              <w:t>Федеральный бюджет</w:t>
            </w:r>
          </w:p>
        </w:tc>
        <w:tc>
          <w:tcPr>
            <w:tcW w:w="1304" w:type="dxa"/>
            <w:vAlign w:val="center"/>
          </w:tcPr>
          <w:p w14:paraId="25884927" w14:textId="77777777" w:rsidR="00454A29" w:rsidRDefault="00454A29">
            <w:pPr>
              <w:pStyle w:val="ConsPlusNormal"/>
              <w:jc w:val="right"/>
            </w:pPr>
            <w:r>
              <w:t>-</w:t>
            </w:r>
          </w:p>
        </w:tc>
        <w:tc>
          <w:tcPr>
            <w:tcW w:w="1247" w:type="dxa"/>
            <w:vAlign w:val="center"/>
          </w:tcPr>
          <w:p w14:paraId="786B180F" w14:textId="77777777" w:rsidR="00454A29" w:rsidRDefault="00454A29">
            <w:pPr>
              <w:pStyle w:val="ConsPlusNormal"/>
              <w:jc w:val="right"/>
            </w:pPr>
            <w:r>
              <w:t>-</w:t>
            </w:r>
          </w:p>
        </w:tc>
        <w:tc>
          <w:tcPr>
            <w:tcW w:w="1304" w:type="dxa"/>
            <w:vAlign w:val="center"/>
          </w:tcPr>
          <w:p w14:paraId="3F86EECF" w14:textId="77777777" w:rsidR="00454A29" w:rsidRDefault="00454A29">
            <w:pPr>
              <w:pStyle w:val="ConsPlusNormal"/>
              <w:jc w:val="right"/>
            </w:pPr>
            <w:r>
              <w:t>-</w:t>
            </w:r>
          </w:p>
        </w:tc>
        <w:tc>
          <w:tcPr>
            <w:tcW w:w="1304" w:type="dxa"/>
            <w:vAlign w:val="center"/>
          </w:tcPr>
          <w:p w14:paraId="368462AD" w14:textId="77777777" w:rsidR="00454A29" w:rsidRDefault="00454A29">
            <w:pPr>
              <w:pStyle w:val="ConsPlusNormal"/>
              <w:jc w:val="right"/>
            </w:pPr>
            <w:r>
              <w:t>-</w:t>
            </w:r>
          </w:p>
        </w:tc>
        <w:tc>
          <w:tcPr>
            <w:tcW w:w="1304" w:type="dxa"/>
            <w:vAlign w:val="center"/>
          </w:tcPr>
          <w:p w14:paraId="0FCA5AC5" w14:textId="77777777" w:rsidR="00454A29" w:rsidRDefault="00454A29">
            <w:pPr>
              <w:pStyle w:val="ConsPlusNormal"/>
              <w:jc w:val="right"/>
            </w:pPr>
            <w:r>
              <w:t>-</w:t>
            </w:r>
          </w:p>
        </w:tc>
        <w:tc>
          <w:tcPr>
            <w:tcW w:w="1304" w:type="dxa"/>
            <w:vAlign w:val="center"/>
          </w:tcPr>
          <w:p w14:paraId="6108FBD3" w14:textId="77777777" w:rsidR="00454A29" w:rsidRDefault="00454A29">
            <w:pPr>
              <w:pStyle w:val="ConsPlusNormal"/>
              <w:jc w:val="right"/>
            </w:pPr>
            <w:r>
              <w:t>-</w:t>
            </w:r>
          </w:p>
        </w:tc>
        <w:tc>
          <w:tcPr>
            <w:tcW w:w="1304" w:type="dxa"/>
            <w:vAlign w:val="center"/>
          </w:tcPr>
          <w:p w14:paraId="30B1B9B3" w14:textId="77777777" w:rsidR="00454A29" w:rsidRDefault="00454A29">
            <w:pPr>
              <w:pStyle w:val="ConsPlusNormal"/>
              <w:jc w:val="right"/>
            </w:pPr>
            <w:r>
              <w:t>-</w:t>
            </w:r>
          </w:p>
        </w:tc>
      </w:tr>
      <w:tr w:rsidR="00454A29" w14:paraId="483A8061" w14:textId="77777777">
        <w:tc>
          <w:tcPr>
            <w:tcW w:w="2041" w:type="dxa"/>
            <w:vMerge/>
          </w:tcPr>
          <w:p w14:paraId="53D1983C" w14:textId="77777777" w:rsidR="00454A29" w:rsidRDefault="00454A29"/>
        </w:tc>
        <w:tc>
          <w:tcPr>
            <w:tcW w:w="3005" w:type="dxa"/>
            <w:vMerge/>
          </w:tcPr>
          <w:p w14:paraId="2ACA1256" w14:textId="77777777" w:rsidR="00454A29" w:rsidRDefault="00454A29"/>
        </w:tc>
        <w:tc>
          <w:tcPr>
            <w:tcW w:w="2778" w:type="dxa"/>
            <w:vAlign w:val="center"/>
          </w:tcPr>
          <w:p w14:paraId="252E2D3C" w14:textId="77777777" w:rsidR="00454A29" w:rsidRDefault="00454A29">
            <w:pPr>
              <w:pStyle w:val="ConsPlusNormal"/>
            </w:pPr>
            <w:r>
              <w:t>Минобрнауки РС(Я)</w:t>
            </w:r>
          </w:p>
        </w:tc>
        <w:tc>
          <w:tcPr>
            <w:tcW w:w="1304" w:type="dxa"/>
            <w:vAlign w:val="center"/>
          </w:tcPr>
          <w:p w14:paraId="778A0EEA" w14:textId="77777777" w:rsidR="00454A29" w:rsidRDefault="00454A29">
            <w:pPr>
              <w:pStyle w:val="ConsPlusNormal"/>
              <w:jc w:val="right"/>
            </w:pPr>
            <w:r>
              <w:t>-</w:t>
            </w:r>
          </w:p>
        </w:tc>
        <w:tc>
          <w:tcPr>
            <w:tcW w:w="1247" w:type="dxa"/>
            <w:vAlign w:val="center"/>
          </w:tcPr>
          <w:p w14:paraId="066B2916" w14:textId="77777777" w:rsidR="00454A29" w:rsidRDefault="00454A29">
            <w:pPr>
              <w:pStyle w:val="ConsPlusNormal"/>
              <w:jc w:val="right"/>
            </w:pPr>
            <w:r>
              <w:t>-</w:t>
            </w:r>
          </w:p>
        </w:tc>
        <w:tc>
          <w:tcPr>
            <w:tcW w:w="1304" w:type="dxa"/>
            <w:vAlign w:val="center"/>
          </w:tcPr>
          <w:p w14:paraId="5813F10E" w14:textId="77777777" w:rsidR="00454A29" w:rsidRDefault="00454A29">
            <w:pPr>
              <w:pStyle w:val="ConsPlusNormal"/>
              <w:jc w:val="right"/>
            </w:pPr>
            <w:r>
              <w:t>-</w:t>
            </w:r>
          </w:p>
        </w:tc>
        <w:tc>
          <w:tcPr>
            <w:tcW w:w="1304" w:type="dxa"/>
            <w:vAlign w:val="center"/>
          </w:tcPr>
          <w:p w14:paraId="10138B8B" w14:textId="77777777" w:rsidR="00454A29" w:rsidRDefault="00454A29">
            <w:pPr>
              <w:pStyle w:val="ConsPlusNormal"/>
              <w:jc w:val="right"/>
            </w:pPr>
            <w:r>
              <w:t>-</w:t>
            </w:r>
          </w:p>
        </w:tc>
        <w:tc>
          <w:tcPr>
            <w:tcW w:w="1304" w:type="dxa"/>
            <w:vAlign w:val="center"/>
          </w:tcPr>
          <w:p w14:paraId="58DD04B9" w14:textId="77777777" w:rsidR="00454A29" w:rsidRDefault="00454A29">
            <w:pPr>
              <w:pStyle w:val="ConsPlusNormal"/>
              <w:jc w:val="right"/>
            </w:pPr>
            <w:r>
              <w:t>-</w:t>
            </w:r>
          </w:p>
        </w:tc>
        <w:tc>
          <w:tcPr>
            <w:tcW w:w="1304" w:type="dxa"/>
            <w:vAlign w:val="center"/>
          </w:tcPr>
          <w:p w14:paraId="320B1403" w14:textId="77777777" w:rsidR="00454A29" w:rsidRDefault="00454A29">
            <w:pPr>
              <w:pStyle w:val="ConsPlusNormal"/>
              <w:jc w:val="right"/>
            </w:pPr>
            <w:r>
              <w:t>-</w:t>
            </w:r>
          </w:p>
        </w:tc>
        <w:tc>
          <w:tcPr>
            <w:tcW w:w="1304" w:type="dxa"/>
            <w:vAlign w:val="center"/>
          </w:tcPr>
          <w:p w14:paraId="6E0B72A8" w14:textId="77777777" w:rsidR="00454A29" w:rsidRDefault="00454A29">
            <w:pPr>
              <w:pStyle w:val="ConsPlusNormal"/>
              <w:jc w:val="right"/>
            </w:pPr>
            <w:r>
              <w:t>-</w:t>
            </w:r>
          </w:p>
        </w:tc>
      </w:tr>
      <w:tr w:rsidR="00454A29" w14:paraId="24ECA031" w14:textId="77777777">
        <w:tc>
          <w:tcPr>
            <w:tcW w:w="2041" w:type="dxa"/>
            <w:vMerge/>
          </w:tcPr>
          <w:p w14:paraId="075BF211" w14:textId="77777777" w:rsidR="00454A29" w:rsidRDefault="00454A29"/>
        </w:tc>
        <w:tc>
          <w:tcPr>
            <w:tcW w:w="3005" w:type="dxa"/>
            <w:vMerge/>
          </w:tcPr>
          <w:p w14:paraId="6D622E12" w14:textId="77777777" w:rsidR="00454A29" w:rsidRDefault="00454A29"/>
        </w:tc>
        <w:tc>
          <w:tcPr>
            <w:tcW w:w="2778" w:type="dxa"/>
            <w:vAlign w:val="center"/>
          </w:tcPr>
          <w:p w14:paraId="6A8E55B5" w14:textId="77777777" w:rsidR="00454A29" w:rsidRDefault="00454A29">
            <w:pPr>
              <w:pStyle w:val="ConsPlusNormal"/>
            </w:pPr>
            <w:r>
              <w:t>Местные бюджеты</w:t>
            </w:r>
          </w:p>
        </w:tc>
        <w:tc>
          <w:tcPr>
            <w:tcW w:w="1304" w:type="dxa"/>
            <w:vAlign w:val="center"/>
          </w:tcPr>
          <w:p w14:paraId="717AF39E" w14:textId="77777777" w:rsidR="00454A29" w:rsidRDefault="00454A29">
            <w:pPr>
              <w:pStyle w:val="ConsPlusNormal"/>
            </w:pPr>
          </w:p>
        </w:tc>
        <w:tc>
          <w:tcPr>
            <w:tcW w:w="1247" w:type="dxa"/>
            <w:vAlign w:val="center"/>
          </w:tcPr>
          <w:p w14:paraId="14E0DFB3" w14:textId="77777777" w:rsidR="00454A29" w:rsidRDefault="00454A29">
            <w:pPr>
              <w:pStyle w:val="ConsPlusNormal"/>
            </w:pPr>
          </w:p>
        </w:tc>
        <w:tc>
          <w:tcPr>
            <w:tcW w:w="1304" w:type="dxa"/>
            <w:vAlign w:val="center"/>
          </w:tcPr>
          <w:p w14:paraId="11F28DB4" w14:textId="77777777" w:rsidR="00454A29" w:rsidRDefault="00454A29">
            <w:pPr>
              <w:pStyle w:val="ConsPlusNormal"/>
            </w:pPr>
          </w:p>
        </w:tc>
        <w:tc>
          <w:tcPr>
            <w:tcW w:w="1304" w:type="dxa"/>
            <w:vAlign w:val="center"/>
          </w:tcPr>
          <w:p w14:paraId="2132E44C" w14:textId="77777777" w:rsidR="00454A29" w:rsidRDefault="00454A29">
            <w:pPr>
              <w:pStyle w:val="ConsPlusNormal"/>
              <w:jc w:val="right"/>
            </w:pPr>
            <w:r>
              <w:t>140 237</w:t>
            </w:r>
          </w:p>
        </w:tc>
        <w:tc>
          <w:tcPr>
            <w:tcW w:w="1304" w:type="dxa"/>
            <w:vAlign w:val="center"/>
          </w:tcPr>
          <w:p w14:paraId="386CEA09" w14:textId="77777777" w:rsidR="00454A29" w:rsidRDefault="00454A29">
            <w:pPr>
              <w:pStyle w:val="ConsPlusNormal"/>
              <w:jc w:val="right"/>
            </w:pPr>
            <w:r>
              <w:t>26 078</w:t>
            </w:r>
          </w:p>
        </w:tc>
        <w:tc>
          <w:tcPr>
            <w:tcW w:w="1304" w:type="dxa"/>
            <w:vAlign w:val="center"/>
          </w:tcPr>
          <w:p w14:paraId="455B3E79" w14:textId="77777777" w:rsidR="00454A29" w:rsidRDefault="00454A29">
            <w:pPr>
              <w:pStyle w:val="ConsPlusNormal"/>
              <w:jc w:val="right"/>
            </w:pPr>
            <w:r>
              <w:t>18 240</w:t>
            </w:r>
          </w:p>
        </w:tc>
        <w:tc>
          <w:tcPr>
            <w:tcW w:w="1304" w:type="dxa"/>
            <w:vAlign w:val="center"/>
          </w:tcPr>
          <w:p w14:paraId="587894AD" w14:textId="77777777" w:rsidR="00454A29" w:rsidRDefault="00454A29">
            <w:pPr>
              <w:pStyle w:val="ConsPlusNormal"/>
              <w:jc w:val="right"/>
            </w:pPr>
            <w:r>
              <w:t>-</w:t>
            </w:r>
          </w:p>
        </w:tc>
      </w:tr>
      <w:tr w:rsidR="00454A29" w14:paraId="15A0F681" w14:textId="77777777">
        <w:tc>
          <w:tcPr>
            <w:tcW w:w="2041" w:type="dxa"/>
            <w:vMerge w:val="restart"/>
            <w:vAlign w:val="center"/>
          </w:tcPr>
          <w:p w14:paraId="24CA4E7F" w14:textId="77777777" w:rsidR="00454A29" w:rsidRDefault="00454A29">
            <w:pPr>
              <w:pStyle w:val="ConsPlusNormal"/>
              <w:jc w:val="center"/>
            </w:pPr>
            <w:r>
              <w:t>Основное мероприятие 10.6.</w:t>
            </w:r>
          </w:p>
        </w:tc>
        <w:tc>
          <w:tcPr>
            <w:tcW w:w="3005" w:type="dxa"/>
            <w:vMerge w:val="restart"/>
            <w:vAlign w:val="center"/>
          </w:tcPr>
          <w:p w14:paraId="003217B0" w14:textId="77777777" w:rsidR="00454A29" w:rsidRDefault="00454A29">
            <w:pPr>
              <w:pStyle w:val="ConsPlusNormal"/>
              <w:jc w:val="center"/>
            </w:pPr>
            <w:r>
              <w:t>Энергосбережение и энергоэффективность государственных образовательных организаций</w:t>
            </w:r>
          </w:p>
        </w:tc>
        <w:tc>
          <w:tcPr>
            <w:tcW w:w="2778" w:type="dxa"/>
            <w:vAlign w:val="center"/>
          </w:tcPr>
          <w:p w14:paraId="1CC35B3C" w14:textId="77777777" w:rsidR="00454A29" w:rsidRDefault="00454A29">
            <w:pPr>
              <w:pStyle w:val="ConsPlusNormal"/>
            </w:pPr>
            <w:r>
              <w:t>Всего:</w:t>
            </w:r>
          </w:p>
        </w:tc>
        <w:tc>
          <w:tcPr>
            <w:tcW w:w="1304" w:type="dxa"/>
            <w:vAlign w:val="center"/>
          </w:tcPr>
          <w:p w14:paraId="0D8FCB4B" w14:textId="77777777" w:rsidR="00454A29" w:rsidRDefault="00454A29">
            <w:pPr>
              <w:pStyle w:val="ConsPlusNormal"/>
            </w:pPr>
          </w:p>
        </w:tc>
        <w:tc>
          <w:tcPr>
            <w:tcW w:w="1247" w:type="dxa"/>
            <w:vAlign w:val="center"/>
          </w:tcPr>
          <w:p w14:paraId="6076AA7A" w14:textId="77777777" w:rsidR="00454A29" w:rsidRDefault="00454A29">
            <w:pPr>
              <w:pStyle w:val="ConsPlusNormal"/>
            </w:pPr>
          </w:p>
        </w:tc>
        <w:tc>
          <w:tcPr>
            <w:tcW w:w="1304" w:type="dxa"/>
            <w:vAlign w:val="center"/>
          </w:tcPr>
          <w:p w14:paraId="4376E6EF" w14:textId="77777777" w:rsidR="00454A29" w:rsidRDefault="00454A29">
            <w:pPr>
              <w:pStyle w:val="ConsPlusNormal"/>
              <w:jc w:val="right"/>
            </w:pPr>
            <w:r>
              <w:t>-</w:t>
            </w:r>
          </w:p>
        </w:tc>
        <w:tc>
          <w:tcPr>
            <w:tcW w:w="1304" w:type="dxa"/>
            <w:vAlign w:val="center"/>
          </w:tcPr>
          <w:p w14:paraId="438625C8" w14:textId="77777777" w:rsidR="00454A29" w:rsidRDefault="00454A29">
            <w:pPr>
              <w:pStyle w:val="ConsPlusNormal"/>
              <w:jc w:val="right"/>
            </w:pPr>
            <w:r>
              <w:t>3 993</w:t>
            </w:r>
          </w:p>
        </w:tc>
        <w:tc>
          <w:tcPr>
            <w:tcW w:w="1304" w:type="dxa"/>
            <w:vAlign w:val="center"/>
          </w:tcPr>
          <w:p w14:paraId="0C644406" w14:textId="77777777" w:rsidR="00454A29" w:rsidRDefault="00454A29">
            <w:pPr>
              <w:pStyle w:val="ConsPlusNormal"/>
              <w:jc w:val="right"/>
            </w:pPr>
            <w:r>
              <w:t>5 385</w:t>
            </w:r>
          </w:p>
        </w:tc>
        <w:tc>
          <w:tcPr>
            <w:tcW w:w="1304" w:type="dxa"/>
            <w:vAlign w:val="center"/>
          </w:tcPr>
          <w:p w14:paraId="7D924FE6" w14:textId="77777777" w:rsidR="00454A29" w:rsidRDefault="00454A29">
            <w:pPr>
              <w:pStyle w:val="ConsPlusNormal"/>
              <w:jc w:val="right"/>
            </w:pPr>
            <w:r>
              <w:t>10 183</w:t>
            </w:r>
          </w:p>
        </w:tc>
        <w:tc>
          <w:tcPr>
            <w:tcW w:w="1304" w:type="dxa"/>
            <w:vAlign w:val="center"/>
          </w:tcPr>
          <w:p w14:paraId="711033D2" w14:textId="77777777" w:rsidR="00454A29" w:rsidRDefault="00454A29">
            <w:pPr>
              <w:pStyle w:val="ConsPlusNormal"/>
              <w:jc w:val="right"/>
            </w:pPr>
            <w:r>
              <w:t>9 918</w:t>
            </w:r>
          </w:p>
        </w:tc>
      </w:tr>
      <w:tr w:rsidR="00454A29" w14:paraId="4417B867" w14:textId="77777777">
        <w:tc>
          <w:tcPr>
            <w:tcW w:w="2041" w:type="dxa"/>
            <w:vMerge/>
          </w:tcPr>
          <w:p w14:paraId="5B1D660A" w14:textId="77777777" w:rsidR="00454A29" w:rsidRDefault="00454A29"/>
        </w:tc>
        <w:tc>
          <w:tcPr>
            <w:tcW w:w="3005" w:type="dxa"/>
            <w:vMerge/>
          </w:tcPr>
          <w:p w14:paraId="11E069CC" w14:textId="77777777" w:rsidR="00454A29" w:rsidRDefault="00454A29"/>
        </w:tc>
        <w:tc>
          <w:tcPr>
            <w:tcW w:w="2778" w:type="dxa"/>
            <w:vAlign w:val="center"/>
          </w:tcPr>
          <w:p w14:paraId="69477A9E" w14:textId="77777777" w:rsidR="00454A29" w:rsidRDefault="00454A29">
            <w:pPr>
              <w:pStyle w:val="ConsPlusNormal"/>
            </w:pPr>
            <w:r>
              <w:t>Государственный бюджет Республики Саха (Якутия)</w:t>
            </w:r>
          </w:p>
        </w:tc>
        <w:tc>
          <w:tcPr>
            <w:tcW w:w="1304" w:type="dxa"/>
            <w:vAlign w:val="center"/>
          </w:tcPr>
          <w:p w14:paraId="7637F27C" w14:textId="77777777" w:rsidR="00454A29" w:rsidRDefault="00454A29">
            <w:pPr>
              <w:pStyle w:val="ConsPlusNormal"/>
            </w:pPr>
          </w:p>
        </w:tc>
        <w:tc>
          <w:tcPr>
            <w:tcW w:w="1247" w:type="dxa"/>
            <w:vAlign w:val="center"/>
          </w:tcPr>
          <w:p w14:paraId="5B5E7F3F" w14:textId="77777777" w:rsidR="00454A29" w:rsidRDefault="00454A29">
            <w:pPr>
              <w:pStyle w:val="ConsPlusNormal"/>
            </w:pPr>
          </w:p>
        </w:tc>
        <w:tc>
          <w:tcPr>
            <w:tcW w:w="1304" w:type="dxa"/>
            <w:vAlign w:val="center"/>
          </w:tcPr>
          <w:p w14:paraId="53448BFF" w14:textId="77777777" w:rsidR="00454A29" w:rsidRDefault="00454A29">
            <w:pPr>
              <w:pStyle w:val="ConsPlusNormal"/>
              <w:jc w:val="right"/>
            </w:pPr>
            <w:r>
              <w:t>-</w:t>
            </w:r>
          </w:p>
        </w:tc>
        <w:tc>
          <w:tcPr>
            <w:tcW w:w="1304" w:type="dxa"/>
            <w:vAlign w:val="center"/>
          </w:tcPr>
          <w:p w14:paraId="07BB9600" w14:textId="77777777" w:rsidR="00454A29" w:rsidRDefault="00454A29">
            <w:pPr>
              <w:pStyle w:val="ConsPlusNormal"/>
              <w:jc w:val="right"/>
            </w:pPr>
            <w:r>
              <w:t>3 993</w:t>
            </w:r>
          </w:p>
        </w:tc>
        <w:tc>
          <w:tcPr>
            <w:tcW w:w="1304" w:type="dxa"/>
            <w:vAlign w:val="center"/>
          </w:tcPr>
          <w:p w14:paraId="427621BE" w14:textId="77777777" w:rsidR="00454A29" w:rsidRDefault="00454A29">
            <w:pPr>
              <w:pStyle w:val="ConsPlusNormal"/>
              <w:jc w:val="right"/>
            </w:pPr>
            <w:r>
              <w:t>5 385</w:t>
            </w:r>
          </w:p>
        </w:tc>
        <w:tc>
          <w:tcPr>
            <w:tcW w:w="1304" w:type="dxa"/>
            <w:vAlign w:val="center"/>
          </w:tcPr>
          <w:p w14:paraId="48F94226" w14:textId="77777777" w:rsidR="00454A29" w:rsidRDefault="00454A29">
            <w:pPr>
              <w:pStyle w:val="ConsPlusNormal"/>
              <w:jc w:val="right"/>
            </w:pPr>
            <w:r>
              <w:t>10 183</w:t>
            </w:r>
          </w:p>
        </w:tc>
        <w:tc>
          <w:tcPr>
            <w:tcW w:w="1304" w:type="dxa"/>
            <w:vAlign w:val="center"/>
          </w:tcPr>
          <w:p w14:paraId="1D6B9AA0" w14:textId="77777777" w:rsidR="00454A29" w:rsidRDefault="00454A29">
            <w:pPr>
              <w:pStyle w:val="ConsPlusNormal"/>
              <w:jc w:val="right"/>
            </w:pPr>
            <w:r>
              <w:t>9 918</w:t>
            </w:r>
          </w:p>
        </w:tc>
      </w:tr>
      <w:tr w:rsidR="00454A29" w14:paraId="5459B0E6" w14:textId="77777777">
        <w:tc>
          <w:tcPr>
            <w:tcW w:w="2041" w:type="dxa"/>
            <w:vMerge/>
          </w:tcPr>
          <w:p w14:paraId="5D0A1DCF" w14:textId="77777777" w:rsidR="00454A29" w:rsidRDefault="00454A29"/>
        </w:tc>
        <w:tc>
          <w:tcPr>
            <w:tcW w:w="3005" w:type="dxa"/>
            <w:vMerge/>
          </w:tcPr>
          <w:p w14:paraId="68267898" w14:textId="77777777" w:rsidR="00454A29" w:rsidRDefault="00454A29"/>
        </w:tc>
        <w:tc>
          <w:tcPr>
            <w:tcW w:w="2778" w:type="dxa"/>
            <w:vAlign w:val="center"/>
          </w:tcPr>
          <w:p w14:paraId="26ED5CBA" w14:textId="77777777" w:rsidR="00454A29" w:rsidRDefault="00454A29">
            <w:pPr>
              <w:pStyle w:val="ConsPlusNormal"/>
            </w:pPr>
            <w:r>
              <w:t>Минобрнауки РС(Я)</w:t>
            </w:r>
          </w:p>
        </w:tc>
        <w:tc>
          <w:tcPr>
            <w:tcW w:w="1304" w:type="dxa"/>
            <w:vAlign w:val="center"/>
          </w:tcPr>
          <w:p w14:paraId="7B0B088F" w14:textId="77777777" w:rsidR="00454A29" w:rsidRDefault="00454A29">
            <w:pPr>
              <w:pStyle w:val="ConsPlusNormal"/>
            </w:pPr>
          </w:p>
        </w:tc>
        <w:tc>
          <w:tcPr>
            <w:tcW w:w="1247" w:type="dxa"/>
            <w:vAlign w:val="center"/>
          </w:tcPr>
          <w:p w14:paraId="7154509B" w14:textId="77777777" w:rsidR="00454A29" w:rsidRDefault="00454A29">
            <w:pPr>
              <w:pStyle w:val="ConsPlusNormal"/>
            </w:pPr>
          </w:p>
        </w:tc>
        <w:tc>
          <w:tcPr>
            <w:tcW w:w="1304" w:type="dxa"/>
            <w:vAlign w:val="center"/>
          </w:tcPr>
          <w:p w14:paraId="4AA5317C" w14:textId="77777777" w:rsidR="00454A29" w:rsidRDefault="00454A29">
            <w:pPr>
              <w:pStyle w:val="ConsPlusNormal"/>
              <w:jc w:val="right"/>
            </w:pPr>
            <w:r>
              <w:t>-</w:t>
            </w:r>
          </w:p>
        </w:tc>
        <w:tc>
          <w:tcPr>
            <w:tcW w:w="1304" w:type="dxa"/>
            <w:vAlign w:val="center"/>
          </w:tcPr>
          <w:p w14:paraId="3E684088" w14:textId="77777777" w:rsidR="00454A29" w:rsidRDefault="00454A29">
            <w:pPr>
              <w:pStyle w:val="ConsPlusNormal"/>
              <w:jc w:val="right"/>
            </w:pPr>
            <w:r>
              <w:t>3 993</w:t>
            </w:r>
          </w:p>
        </w:tc>
        <w:tc>
          <w:tcPr>
            <w:tcW w:w="1304" w:type="dxa"/>
            <w:vAlign w:val="center"/>
          </w:tcPr>
          <w:p w14:paraId="40807D1E" w14:textId="77777777" w:rsidR="00454A29" w:rsidRDefault="00454A29">
            <w:pPr>
              <w:pStyle w:val="ConsPlusNormal"/>
              <w:jc w:val="right"/>
            </w:pPr>
            <w:r>
              <w:t>5 385</w:t>
            </w:r>
          </w:p>
        </w:tc>
        <w:tc>
          <w:tcPr>
            <w:tcW w:w="1304" w:type="dxa"/>
            <w:vAlign w:val="center"/>
          </w:tcPr>
          <w:p w14:paraId="1C4CCE54" w14:textId="77777777" w:rsidR="00454A29" w:rsidRDefault="00454A29">
            <w:pPr>
              <w:pStyle w:val="ConsPlusNormal"/>
              <w:jc w:val="right"/>
            </w:pPr>
            <w:r>
              <w:t>10 183</w:t>
            </w:r>
          </w:p>
        </w:tc>
        <w:tc>
          <w:tcPr>
            <w:tcW w:w="1304" w:type="dxa"/>
            <w:vAlign w:val="center"/>
          </w:tcPr>
          <w:p w14:paraId="49942B9B" w14:textId="77777777" w:rsidR="00454A29" w:rsidRDefault="00454A29">
            <w:pPr>
              <w:pStyle w:val="ConsPlusNormal"/>
              <w:jc w:val="right"/>
            </w:pPr>
            <w:r>
              <w:t>9 918</w:t>
            </w:r>
          </w:p>
        </w:tc>
      </w:tr>
      <w:tr w:rsidR="00454A29" w14:paraId="10002267" w14:textId="77777777">
        <w:tc>
          <w:tcPr>
            <w:tcW w:w="2041" w:type="dxa"/>
            <w:vMerge w:val="restart"/>
            <w:vAlign w:val="center"/>
          </w:tcPr>
          <w:p w14:paraId="0FE44E5C" w14:textId="77777777" w:rsidR="00454A29" w:rsidRDefault="00454A29">
            <w:pPr>
              <w:pStyle w:val="ConsPlusNormal"/>
              <w:jc w:val="center"/>
            </w:pPr>
            <w:r>
              <w:t>Основное мероприятие 10.7.</w:t>
            </w:r>
          </w:p>
        </w:tc>
        <w:tc>
          <w:tcPr>
            <w:tcW w:w="3005" w:type="dxa"/>
            <w:vMerge w:val="restart"/>
            <w:vAlign w:val="center"/>
          </w:tcPr>
          <w:p w14:paraId="449EDAFD" w14:textId="77777777" w:rsidR="00454A29" w:rsidRDefault="00454A29">
            <w:pPr>
              <w:pStyle w:val="ConsPlusNormal"/>
              <w:jc w:val="center"/>
            </w:pPr>
            <w:r>
              <w:t>Реализация регионального проекта "Содействие занятости женщин - создание условий дошкольного образования для детей в возрасте до 3 лет"</w:t>
            </w:r>
          </w:p>
        </w:tc>
        <w:tc>
          <w:tcPr>
            <w:tcW w:w="2778" w:type="dxa"/>
            <w:vAlign w:val="center"/>
          </w:tcPr>
          <w:p w14:paraId="1D440543" w14:textId="77777777" w:rsidR="00454A29" w:rsidRDefault="00454A29">
            <w:pPr>
              <w:pStyle w:val="ConsPlusNormal"/>
            </w:pPr>
            <w:r>
              <w:t>Всего:</w:t>
            </w:r>
          </w:p>
        </w:tc>
        <w:tc>
          <w:tcPr>
            <w:tcW w:w="1304" w:type="dxa"/>
            <w:vAlign w:val="center"/>
          </w:tcPr>
          <w:p w14:paraId="558A9DA7" w14:textId="77777777" w:rsidR="00454A29" w:rsidRDefault="00454A29">
            <w:pPr>
              <w:pStyle w:val="ConsPlusNormal"/>
              <w:jc w:val="right"/>
            </w:pPr>
            <w:r>
              <w:t>651 924</w:t>
            </w:r>
          </w:p>
        </w:tc>
        <w:tc>
          <w:tcPr>
            <w:tcW w:w="1247" w:type="dxa"/>
            <w:vAlign w:val="center"/>
          </w:tcPr>
          <w:p w14:paraId="41CEDFFE" w14:textId="77777777" w:rsidR="00454A29" w:rsidRDefault="00454A29">
            <w:pPr>
              <w:pStyle w:val="ConsPlusNormal"/>
              <w:jc w:val="right"/>
            </w:pPr>
            <w:r>
              <w:t>1 173 950</w:t>
            </w:r>
          </w:p>
        </w:tc>
        <w:tc>
          <w:tcPr>
            <w:tcW w:w="1304" w:type="dxa"/>
            <w:vAlign w:val="center"/>
          </w:tcPr>
          <w:p w14:paraId="3873E253" w14:textId="77777777" w:rsidR="00454A29" w:rsidRDefault="00454A29">
            <w:pPr>
              <w:pStyle w:val="ConsPlusNormal"/>
              <w:jc w:val="right"/>
            </w:pPr>
            <w:r>
              <w:t>-</w:t>
            </w:r>
          </w:p>
        </w:tc>
        <w:tc>
          <w:tcPr>
            <w:tcW w:w="1304" w:type="dxa"/>
            <w:vAlign w:val="center"/>
          </w:tcPr>
          <w:p w14:paraId="50BE55D4" w14:textId="77777777" w:rsidR="00454A29" w:rsidRDefault="00454A29">
            <w:pPr>
              <w:pStyle w:val="ConsPlusNormal"/>
              <w:jc w:val="right"/>
            </w:pPr>
            <w:r>
              <w:t>-</w:t>
            </w:r>
          </w:p>
        </w:tc>
        <w:tc>
          <w:tcPr>
            <w:tcW w:w="1304" w:type="dxa"/>
            <w:vAlign w:val="center"/>
          </w:tcPr>
          <w:p w14:paraId="30EF9164" w14:textId="77777777" w:rsidR="00454A29" w:rsidRDefault="00454A29">
            <w:pPr>
              <w:pStyle w:val="ConsPlusNormal"/>
              <w:jc w:val="right"/>
            </w:pPr>
            <w:r>
              <w:t>-</w:t>
            </w:r>
          </w:p>
        </w:tc>
        <w:tc>
          <w:tcPr>
            <w:tcW w:w="1304" w:type="dxa"/>
            <w:vAlign w:val="center"/>
          </w:tcPr>
          <w:p w14:paraId="71A967F7" w14:textId="77777777" w:rsidR="00454A29" w:rsidRDefault="00454A29">
            <w:pPr>
              <w:pStyle w:val="ConsPlusNormal"/>
              <w:jc w:val="right"/>
            </w:pPr>
            <w:r>
              <w:t>-</w:t>
            </w:r>
          </w:p>
        </w:tc>
        <w:tc>
          <w:tcPr>
            <w:tcW w:w="1304" w:type="dxa"/>
            <w:vAlign w:val="center"/>
          </w:tcPr>
          <w:p w14:paraId="0B06693E" w14:textId="77777777" w:rsidR="00454A29" w:rsidRDefault="00454A29">
            <w:pPr>
              <w:pStyle w:val="ConsPlusNormal"/>
              <w:jc w:val="right"/>
            </w:pPr>
            <w:r>
              <w:t>-</w:t>
            </w:r>
          </w:p>
        </w:tc>
      </w:tr>
      <w:tr w:rsidR="00454A29" w14:paraId="240B7727" w14:textId="77777777">
        <w:tc>
          <w:tcPr>
            <w:tcW w:w="2041" w:type="dxa"/>
            <w:vMerge/>
          </w:tcPr>
          <w:p w14:paraId="703489B4" w14:textId="77777777" w:rsidR="00454A29" w:rsidRDefault="00454A29"/>
        </w:tc>
        <w:tc>
          <w:tcPr>
            <w:tcW w:w="3005" w:type="dxa"/>
            <w:vMerge/>
          </w:tcPr>
          <w:p w14:paraId="2A93B8C0" w14:textId="77777777" w:rsidR="00454A29" w:rsidRDefault="00454A29"/>
        </w:tc>
        <w:tc>
          <w:tcPr>
            <w:tcW w:w="2778" w:type="dxa"/>
            <w:vAlign w:val="center"/>
          </w:tcPr>
          <w:p w14:paraId="0023690F" w14:textId="77777777" w:rsidR="00454A29" w:rsidRDefault="00454A29">
            <w:pPr>
              <w:pStyle w:val="ConsPlusNormal"/>
            </w:pPr>
            <w:r>
              <w:t>Государственный бюджет Республики Саха (Якутия)</w:t>
            </w:r>
          </w:p>
        </w:tc>
        <w:tc>
          <w:tcPr>
            <w:tcW w:w="1304" w:type="dxa"/>
            <w:vAlign w:val="center"/>
          </w:tcPr>
          <w:p w14:paraId="6982069D" w14:textId="77777777" w:rsidR="00454A29" w:rsidRDefault="00454A29">
            <w:pPr>
              <w:pStyle w:val="ConsPlusNormal"/>
              <w:jc w:val="right"/>
            </w:pPr>
            <w:r>
              <w:t>6 473</w:t>
            </w:r>
          </w:p>
        </w:tc>
        <w:tc>
          <w:tcPr>
            <w:tcW w:w="1247" w:type="dxa"/>
            <w:vAlign w:val="center"/>
          </w:tcPr>
          <w:p w14:paraId="3C44AEA5" w14:textId="77777777" w:rsidR="00454A29" w:rsidRDefault="00454A29">
            <w:pPr>
              <w:pStyle w:val="ConsPlusNormal"/>
              <w:jc w:val="right"/>
            </w:pPr>
            <w:r>
              <w:t>11 655</w:t>
            </w:r>
          </w:p>
        </w:tc>
        <w:tc>
          <w:tcPr>
            <w:tcW w:w="1304" w:type="dxa"/>
            <w:vAlign w:val="center"/>
          </w:tcPr>
          <w:p w14:paraId="31ECD09A" w14:textId="77777777" w:rsidR="00454A29" w:rsidRDefault="00454A29">
            <w:pPr>
              <w:pStyle w:val="ConsPlusNormal"/>
              <w:jc w:val="right"/>
            </w:pPr>
            <w:r>
              <w:t>-</w:t>
            </w:r>
          </w:p>
        </w:tc>
        <w:tc>
          <w:tcPr>
            <w:tcW w:w="1304" w:type="dxa"/>
            <w:vAlign w:val="center"/>
          </w:tcPr>
          <w:p w14:paraId="650B638F" w14:textId="77777777" w:rsidR="00454A29" w:rsidRDefault="00454A29">
            <w:pPr>
              <w:pStyle w:val="ConsPlusNormal"/>
              <w:jc w:val="right"/>
            </w:pPr>
            <w:r>
              <w:t>-</w:t>
            </w:r>
          </w:p>
        </w:tc>
        <w:tc>
          <w:tcPr>
            <w:tcW w:w="1304" w:type="dxa"/>
            <w:vAlign w:val="center"/>
          </w:tcPr>
          <w:p w14:paraId="00F746F6" w14:textId="77777777" w:rsidR="00454A29" w:rsidRDefault="00454A29">
            <w:pPr>
              <w:pStyle w:val="ConsPlusNormal"/>
              <w:jc w:val="right"/>
            </w:pPr>
            <w:r>
              <w:t>-</w:t>
            </w:r>
          </w:p>
        </w:tc>
        <w:tc>
          <w:tcPr>
            <w:tcW w:w="1304" w:type="dxa"/>
            <w:vAlign w:val="center"/>
          </w:tcPr>
          <w:p w14:paraId="2969EEF6" w14:textId="77777777" w:rsidR="00454A29" w:rsidRDefault="00454A29">
            <w:pPr>
              <w:pStyle w:val="ConsPlusNormal"/>
              <w:jc w:val="right"/>
            </w:pPr>
            <w:r>
              <w:t>-</w:t>
            </w:r>
          </w:p>
        </w:tc>
        <w:tc>
          <w:tcPr>
            <w:tcW w:w="1304" w:type="dxa"/>
            <w:vAlign w:val="center"/>
          </w:tcPr>
          <w:p w14:paraId="6001118F" w14:textId="77777777" w:rsidR="00454A29" w:rsidRDefault="00454A29">
            <w:pPr>
              <w:pStyle w:val="ConsPlusNormal"/>
              <w:jc w:val="right"/>
            </w:pPr>
            <w:r>
              <w:t>-</w:t>
            </w:r>
          </w:p>
        </w:tc>
      </w:tr>
      <w:tr w:rsidR="00454A29" w14:paraId="4F6AC0F3" w14:textId="77777777">
        <w:tc>
          <w:tcPr>
            <w:tcW w:w="2041" w:type="dxa"/>
            <w:vMerge/>
          </w:tcPr>
          <w:p w14:paraId="66E6C704" w14:textId="77777777" w:rsidR="00454A29" w:rsidRDefault="00454A29"/>
        </w:tc>
        <w:tc>
          <w:tcPr>
            <w:tcW w:w="3005" w:type="dxa"/>
            <w:vMerge/>
          </w:tcPr>
          <w:p w14:paraId="3E6DD8F8" w14:textId="77777777" w:rsidR="00454A29" w:rsidRDefault="00454A29"/>
        </w:tc>
        <w:tc>
          <w:tcPr>
            <w:tcW w:w="2778" w:type="dxa"/>
            <w:vAlign w:val="center"/>
          </w:tcPr>
          <w:p w14:paraId="172966E1" w14:textId="77777777" w:rsidR="00454A29" w:rsidRDefault="00454A29">
            <w:pPr>
              <w:pStyle w:val="ConsPlusNormal"/>
            </w:pPr>
            <w:r>
              <w:t>Минстрой РС(Я)</w:t>
            </w:r>
          </w:p>
        </w:tc>
        <w:tc>
          <w:tcPr>
            <w:tcW w:w="1304" w:type="dxa"/>
            <w:vAlign w:val="center"/>
          </w:tcPr>
          <w:p w14:paraId="2A5C95D7" w14:textId="77777777" w:rsidR="00454A29" w:rsidRDefault="00454A29">
            <w:pPr>
              <w:pStyle w:val="ConsPlusNormal"/>
              <w:jc w:val="right"/>
            </w:pPr>
            <w:r>
              <w:t>6 473</w:t>
            </w:r>
          </w:p>
        </w:tc>
        <w:tc>
          <w:tcPr>
            <w:tcW w:w="1247" w:type="dxa"/>
            <w:vAlign w:val="center"/>
          </w:tcPr>
          <w:p w14:paraId="3CED1340" w14:textId="77777777" w:rsidR="00454A29" w:rsidRDefault="00454A29">
            <w:pPr>
              <w:pStyle w:val="ConsPlusNormal"/>
              <w:jc w:val="right"/>
            </w:pPr>
            <w:r>
              <w:t>11 655</w:t>
            </w:r>
          </w:p>
        </w:tc>
        <w:tc>
          <w:tcPr>
            <w:tcW w:w="1304" w:type="dxa"/>
            <w:vAlign w:val="center"/>
          </w:tcPr>
          <w:p w14:paraId="6E08564A" w14:textId="77777777" w:rsidR="00454A29" w:rsidRDefault="00454A29">
            <w:pPr>
              <w:pStyle w:val="ConsPlusNormal"/>
              <w:jc w:val="right"/>
            </w:pPr>
            <w:r>
              <w:t>-</w:t>
            </w:r>
          </w:p>
        </w:tc>
        <w:tc>
          <w:tcPr>
            <w:tcW w:w="1304" w:type="dxa"/>
            <w:vAlign w:val="center"/>
          </w:tcPr>
          <w:p w14:paraId="50E33F21" w14:textId="77777777" w:rsidR="00454A29" w:rsidRDefault="00454A29">
            <w:pPr>
              <w:pStyle w:val="ConsPlusNormal"/>
              <w:jc w:val="right"/>
            </w:pPr>
            <w:r>
              <w:t>-</w:t>
            </w:r>
          </w:p>
        </w:tc>
        <w:tc>
          <w:tcPr>
            <w:tcW w:w="1304" w:type="dxa"/>
            <w:vAlign w:val="center"/>
          </w:tcPr>
          <w:p w14:paraId="38F9C4B5" w14:textId="77777777" w:rsidR="00454A29" w:rsidRDefault="00454A29">
            <w:pPr>
              <w:pStyle w:val="ConsPlusNormal"/>
              <w:jc w:val="right"/>
            </w:pPr>
            <w:r>
              <w:t>-</w:t>
            </w:r>
          </w:p>
        </w:tc>
        <w:tc>
          <w:tcPr>
            <w:tcW w:w="1304" w:type="dxa"/>
            <w:vAlign w:val="center"/>
          </w:tcPr>
          <w:p w14:paraId="60FC26EC" w14:textId="77777777" w:rsidR="00454A29" w:rsidRDefault="00454A29">
            <w:pPr>
              <w:pStyle w:val="ConsPlusNormal"/>
              <w:jc w:val="right"/>
            </w:pPr>
            <w:r>
              <w:t>-</w:t>
            </w:r>
          </w:p>
        </w:tc>
        <w:tc>
          <w:tcPr>
            <w:tcW w:w="1304" w:type="dxa"/>
            <w:vAlign w:val="center"/>
          </w:tcPr>
          <w:p w14:paraId="446E1D67" w14:textId="77777777" w:rsidR="00454A29" w:rsidRDefault="00454A29">
            <w:pPr>
              <w:pStyle w:val="ConsPlusNormal"/>
              <w:jc w:val="right"/>
            </w:pPr>
            <w:r>
              <w:t>-</w:t>
            </w:r>
          </w:p>
        </w:tc>
      </w:tr>
      <w:tr w:rsidR="00454A29" w14:paraId="6FA42CE0" w14:textId="77777777">
        <w:tc>
          <w:tcPr>
            <w:tcW w:w="2041" w:type="dxa"/>
            <w:vMerge/>
          </w:tcPr>
          <w:p w14:paraId="4D78FD86" w14:textId="77777777" w:rsidR="00454A29" w:rsidRDefault="00454A29"/>
        </w:tc>
        <w:tc>
          <w:tcPr>
            <w:tcW w:w="3005" w:type="dxa"/>
            <w:vMerge/>
          </w:tcPr>
          <w:p w14:paraId="35A2CFF4" w14:textId="77777777" w:rsidR="00454A29" w:rsidRDefault="00454A29"/>
        </w:tc>
        <w:tc>
          <w:tcPr>
            <w:tcW w:w="2778" w:type="dxa"/>
            <w:vAlign w:val="center"/>
          </w:tcPr>
          <w:p w14:paraId="4210880D" w14:textId="77777777" w:rsidR="00454A29" w:rsidRDefault="00454A29">
            <w:pPr>
              <w:pStyle w:val="ConsPlusNormal"/>
            </w:pPr>
            <w:r>
              <w:t>Федеральный бюджет</w:t>
            </w:r>
          </w:p>
        </w:tc>
        <w:tc>
          <w:tcPr>
            <w:tcW w:w="1304" w:type="dxa"/>
            <w:vAlign w:val="center"/>
          </w:tcPr>
          <w:p w14:paraId="0F402E59" w14:textId="77777777" w:rsidR="00454A29" w:rsidRDefault="00454A29">
            <w:pPr>
              <w:pStyle w:val="ConsPlusNormal"/>
              <w:jc w:val="right"/>
            </w:pPr>
            <w:r>
              <w:t>640 876</w:t>
            </w:r>
          </w:p>
        </w:tc>
        <w:tc>
          <w:tcPr>
            <w:tcW w:w="1247" w:type="dxa"/>
            <w:vAlign w:val="center"/>
          </w:tcPr>
          <w:p w14:paraId="2C3EB4B8" w14:textId="77777777" w:rsidR="00454A29" w:rsidRDefault="00454A29">
            <w:pPr>
              <w:pStyle w:val="ConsPlusNormal"/>
              <w:jc w:val="right"/>
            </w:pPr>
            <w:r>
              <w:t>1 153 809</w:t>
            </w:r>
          </w:p>
        </w:tc>
        <w:tc>
          <w:tcPr>
            <w:tcW w:w="1304" w:type="dxa"/>
            <w:vAlign w:val="center"/>
          </w:tcPr>
          <w:p w14:paraId="7CA7CD02" w14:textId="77777777" w:rsidR="00454A29" w:rsidRDefault="00454A29">
            <w:pPr>
              <w:pStyle w:val="ConsPlusNormal"/>
              <w:jc w:val="right"/>
            </w:pPr>
            <w:r>
              <w:t>-</w:t>
            </w:r>
          </w:p>
        </w:tc>
        <w:tc>
          <w:tcPr>
            <w:tcW w:w="1304" w:type="dxa"/>
            <w:vAlign w:val="center"/>
          </w:tcPr>
          <w:p w14:paraId="4C70C195" w14:textId="77777777" w:rsidR="00454A29" w:rsidRDefault="00454A29">
            <w:pPr>
              <w:pStyle w:val="ConsPlusNormal"/>
              <w:jc w:val="right"/>
            </w:pPr>
            <w:r>
              <w:t>-</w:t>
            </w:r>
          </w:p>
        </w:tc>
        <w:tc>
          <w:tcPr>
            <w:tcW w:w="1304" w:type="dxa"/>
            <w:vAlign w:val="center"/>
          </w:tcPr>
          <w:p w14:paraId="1CBF54B6" w14:textId="77777777" w:rsidR="00454A29" w:rsidRDefault="00454A29">
            <w:pPr>
              <w:pStyle w:val="ConsPlusNormal"/>
              <w:jc w:val="right"/>
            </w:pPr>
            <w:r>
              <w:t>-</w:t>
            </w:r>
          </w:p>
        </w:tc>
        <w:tc>
          <w:tcPr>
            <w:tcW w:w="1304" w:type="dxa"/>
            <w:vAlign w:val="center"/>
          </w:tcPr>
          <w:p w14:paraId="73218CF3" w14:textId="77777777" w:rsidR="00454A29" w:rsidRDefault="00454A29">
            <w:pPr>
              <w:pStyle w:val="ConsPlusNormal"/>
              <w:jc w:val="right"/>
            </w:pPr>
            <w:r>
              <w:t>-</w:t>
            </w:r>
          </w:p>
        </w:tc>
        <w:tc>
          <w:tcPr>
            <w:tcW w:w="1304" w:type="dxa"/>
            <w:vAlign w:val="center"/>
          </w:tcPr>
          <w:p w14:paraId="69294760" w14:textId="77777777" w:rsidR="00454A29" w:rsidRDefault="00454A29">
            <w:pPr>
              <w:pStyle w:val="ConsPlusNormal"/>
              <w:jc w:val="right"/>
            </w:pPr>
            <w:r>
              <w:t>-</w:t>
            </w:r>
          </w:p>
        </w:tc>
      </w:tr>
      <w:tr w:rsidR="00454A29" w14:paraId="4E06FEEB" w14:textId="77777777">
        <w:tc>
          <w:tcPr>
            <w:tcW w:w="2041" w:type="dxa"/>
            <w:vMerge/>
          </w:tcPr>
          <w:p w14:paraId="085A8903" w14:textId="77777777" w:rsidR="00454A29" w:rsidRDefault="00454A29"/>
        </w:tc>
        <w:tc>
          <w:tcPr>
            <w:tcW w:w="3005" w:type="dxa"/>
            <w:vMerge/>
          </w:tcPr>
          <w:p w14:paraId="1446E07B" w14:textId="77777777" w:rsidR="00454A29" w:rsidRDefault="00454A29"/>
        </w:tc>
        <w:tc>
          <w:tcPr>
            <w:tcW w:w="2778" w:type="dxa"/>
            <w:vAlign w:val="center"/>
          </w:tcPr>
          <w:p w14:paraId="7E1E7E7C" w14:textId="77777777" w:rsidR="00454A29" w:rsidRDefault="00454A29">
            <w:pPr>
              <w:pStyle w:val="ConsPlusNormal"/>
            </w:pPr>
            <w:r>
              <w:t>Минстрой РС(Я)</w:t>
            </w:r>
          </w:p>
        </w:tc>
        <w:tc>
          <w:tcPr>
            <w:tcW w:w="1304" w:type="dxa"/>
            <w:vAlign w:val="center"/>
          </w:tcPr>
          <w:p w14:paraId="72E756E7" w14:textId="77777777" w:rsidR="00454A29" w:rsidRDefault="00454A29">
            <w:pPr>
              <w:pStyle w:val="ConsPlusNormal"/>
              <w:jc w:val="right"/>
            </w:pPr>
            <w:r>
              <w:t>640 876</w:t>
            </w:r>
          </w:p>
        </w:tc>
        <w:tc>
          <w:tcPr>
            <w:tcW w:w="1247" w:type="dxa"/>
            <w:vAlign w:val="center"/>
          </w:tcPr>
          <w:p w14:paraId="2FFDBF80" w14:textId="77777777" w:rsidR="00454A29" w:rsidRDefault="00454A29">
            <w:pPr>
              <w:pStyle w:val="ConsPlusNormal"/>
              <w:jc w:val="right"/>
            </w:pPr>
            <w:r>
              <w:t>1 153 809</w:t>
            </w:r>
          </w:p>
        </w:tc>
        <w:tc>
          <w:tcPr>
            <w:tcW w:w="1304" w:type="dxa"/>
            <w:vAlign w:val="center"/>
          </w:tcPr>
          <w:p w14:paraId="34A85469" w14:textId="77777777" w:rsidR="00454A29" w:rsidRDefault="00454A29">
            <w:pPr>
              <w:pStyle w:val="ConsPlusNormal"/>
              <w:jc w:val="right"/>
            </w:pPr>
            <w:r>
              <w:t>-</w:t>
            </w:r>
          </w:p>
        </w:tc>
        <w:tc>
          <w:tcPr>
            <w:tcW w:w="1304" w:type="dxa"/>
            <w:vAlign w:val="center"/>
          </w:tcPr>
          <w:p w14:paraId="38BB21DA" w14:textId="77777777" w:rsidR="00454A29" w:rsidRDefault="00454A29">
            <w:pPr>
              <w:pStyle w:val="ConsPlusNormal"/>
              <w:jc w:val="right"/>
            </w:pPr>
            <w:r>
              <w:t>-</w:t>
            </w:r>
          </w:p>
        </w:tc>
        <w:tc>
          <w:tcPr>
            <w:tcW w:w="1304" w:type="dxa"/>
            <w:vAlign w:val="center"/>
          </w:tcPr>
          <w:p w14:paraId="7E0E7CA3" w14:textId="77777777" w:rsidR="00454A29" w:rsidRDefault="00454A29">
            <w:pPr>
              <w:pStyle w:val="ConsPlusNormal"/>
              <w:jc w:val="right"/>
            </w:pPr>
            <w:r>
              <w:t>-</w:t>
            </w:r>
          </w:p>
        </w:tc>
        <w:tc>
          <w:tcPr>
            <w:tcW w:w="1304" w:type="dxa"/>
            <w:vAlign w:val="center"/>
          </w:tcPr>
          <w:p w14:paraId="0CD06E42" w14:textId="77777777" w:rsidR="00454A29" w:rsidRDefault="00454A29">
            <w:pPr>
              <w:pStyle w:val="ConsPlusNormal"/>
              <w:jc w:val="right"/>
            </w:pPr>
            <w:r>
              <w:t>-</w:t>
            </w:r>
          </w:p>
        </w:tc>
        <w:tc>
          <w:tcPr>
            <w:tcW w:w="1304" w:type="dxa"/>
            <w:vAlign w:val="center"/>
          </w:tcPr>
          <w:p w14:paraId="332282F7" w14:textId="77777777" w:rsidR="00454A29" w:rsidRDefault="00454A29">
            <w:pPr>
              <w:pStyle w:val="ConsPlusNormal"/>
              <w:jc w:val="right"/>
            </w:pPr>
            <w:r>
              <w:t>-</w:t>
            </w:r>
          </w:p>
        </w:tc>
      </w:tr>
      <w:tr w:rsidR="00454A29" w14:paraId="0DBB3CBC" w14:textId="77777777">
        <w:tc>
          <w:tcPr>
            <w:tcW w:w="2041" w:type="dxa"/>
            <w:vMerge/>
          </w:tcPr>
          <w:p w14:paraId="7D6E5841" w14:textId="77777777" w:rsidR="00454A29" w:rsidRDefault="00454A29"/>
        </w:tc>
        <w:tc>
          <w:tcPr>
            <w:tcW w:w="3005" w:type="dxa"/>
            <w:vMerge/>
          </w:tcPr>
          <w:p w14:paraId="0D3CC27B" w14:textId="77777777" w:rsidR="00454A29" w:rsidRDefault="00454A29"/>
        </w:tc>
        <w:tc>
          <w:tcPr>
            <w:tcW w:w="2778" w:type="dxa"/>
            <w:vAlign w:val="center"/>
          </w:tcPr>
          <w:p w14:paraId="6EFDAEBD" w14:textId="77777777" w:rsidR="00454A29" w:rsidRDefault="00454A29">
            <w:pPr>
              <w:pStyle w:val="ConsPlusNormal"/>
            </w:pPr>
            <w:r>
              <w:t>Местные бюджеты</w:t>
            </w:r>
          </w:p>
        </w:tc>
        <w:tc>
          <w:tcPr>
            <w:tcW w:w="1304" w:type="dxa"/>
            <w:vAlign w:val="center"/>
          </w:tcPr>
          <w:p w14:paraId="1525827F" w14:textId="77777777" w:rsidR="00454A29" w:rsidRDefault="00454A29">
            <w:pPr>
              <w:pStyle w:val="ConsPlusNormal"/>
              <w:jc w:val="right"/>
            </w:pPr>
            <w:r>
              <w:t>4 575</w:t>
            </w:r>
          </w:p>
        </w:tc>
        <w:tc>
          <w:tcPr>
            <w:tcW w:w="1247" w:type="dxa"/>
            <w:vAlign w:val="center"/>
          </w:tcPr>
          <w:p w14:paraId="5B0C0319" w14:textId="77777777" w:rsidR="00454A29" w:rsidRDefault="00454A29">
            <w:pPr>
              <w:pStyle w:val="ConsPlusNormal"/>
              <w:jc w:val="right"/>
            </w:pPr>
            <w:r>
              <w:t>8 486</w:t>
            </w:r>
          </w:p>
        </w:tc>
        <w:tc>
          <w:tcPr>
            <w:tcW w:w="1304" w:type="dxa"/>
            <w:vAlign w:val="center"/>
          </w:tcPr>
          <w:p w14:paraId="76DFC26D" w14:textId="77777777" w:rsidR="00454A29" w:rsidRDefault="00454A29">
            <w:pPr>
              <w:pStyle w:val="ConsPlusNormal"/>
              <w:jc w:val="right"/>
            </w:pPr>
            <w:r>
              <w:t>-</w:t>
            </w:r>
          </w:p>
        </w:tc>
        <w:tc>
          <w:tcPr>
            <w:tcW w:w="1304" w:type="dxa"/>
            <w:vAlign w:val="center"/>
          </w:tcPr>
          <w:p w14:paraId="0132C278" w14:textId="77777777" w:rsidR="00454A29" w:rsidRDefault="00454A29">
            <w:pPr>
              <w:pStyle w:val="ConsPlusNormal"/>
              <w:jc w:val="right"/>
            </w:pPr>
            <w:r>
              <w:t>-</w:t>
            </w:r>
          </w:p>
        </w:tc>
        <w:tc>
          <w:tcPr>
            <w:tcW w:w="1304" w:type="dxa"/>
            <w:vAlign w:val="center"/>
          </w:tcPr>
          <w:p w14:paraId="135B143E" w14:textId="77777777" w:rsidR="00454A29" w:rsidRDefault="00454A29">
            <w:pPr>
              <w:pStyle w:val="ConsPlusNormal"/>
              <w:jc w:val="right"/>
            </w:pPr>
            <w:r>
              <w:t>-</w:t>
            </w:r>
          </w:p>
        </w:tc>
        <w:tc>
          <w:tcPr>
            <w:tcW w:w="1304" w:type="dxa"/>
            <w:vAlign w:val="center"/>
          </w:tcPr>
          <w:p w14:paraId="28244D2B" w14:textId="77777777" w:rsidR="00454A29" w:rsidRDefault="00454A29">
            <w:pPr>
              <w:pStyle w:val="ConsPlusNormal"/>
              <w:jc w:val="right"/>
            </w:pPr>
            <w:r>
              <w:t>-</w:t>
            </w:r>
          </w:p>
        </w:tc>
        <w:tc>
          <w:tcPr>
            <w:tcW w:w="1304" w:type="dxa"/>
            <w:vAlign w:val="center"/>
          </w:tcPr>
          <w:p w14:paraId="13B123E8" w14:textId="77777777" w:rsidR="00454A29" w:rsidRDefault="00454A29">
            <w:pPr>
              <w:pStyle w:val="ConsPlusNormal"/>
              <w:jc w:val="right"/>
            </w:pPr>
            <w:r>
              <w:t>-</w:t>
            </w:r>
          </w:p>
        </w:tc>
      </w:tr>
      <w:tr w:rsidR="00454A29" w14:paraId="5734C63C" w14:textId="77777777">
        <w:tc>
          <w:tcPr>
            <w:tcW w:w="2041" w:type="dxa"/>
            <w:vMerge/>
          </w:tcPr>
          <w:p w14:paraId="6315B207" w14:textId="77777777" w:rsidR="00454A29" w:rsidRDefault="00454A29"/>
        </w:tc>
        <w:tc>
          <w:tcPr>
            <w:tcW w:w="3005" w:type="dxa"/>
            <w:vMerge/>
          </w:tcPr>
          <w:p w14:paraId="525BA1CD" w14:textId="77777777" w:rsidR="00454A29" w:rsidRDefault="00454A29"/>
        </w:tc>
        <w:tc>
          <w:tcPr>
            <w:tcW w:w="2778" w:type="dxa"/>
            <w:vAlign w:val="center"/>
          </w:tcPr>
          <w:p w14:paraId="205B232C" w14:textId="77777777" w:rsidR="00454A29" w:rsidRDefault="00454A29">
            <w:pPr>
              <w:pStyle w:val="ConsPlusNormal"/>
            </w:pPr>
            <w:r>
              <w:t>Минстрой РС(Я)</w:t>
            </w:r>
          </w:p>
        </w:tc>
        <w:tc>
          <w:tcPr>
            <w:tcW w:w="1304" w:type="dxa"/>
            <w:vAlign w:val="center"/>
          </w:tcPr>
          <w:p w14:paraId="6360FF76" w14:textId="77777777" w:rsidR="00454A29" w:rsidRDefault="00454A29">
            <w:pPr>
              <w:pStyle w:val="ConsPlusNormal"/>
              <w:jc w:val="right"/>
            </w:pPr>
            <w:r>
              <w:t>4 575</w:t>
            </w:r>
          </w:p>
        </w:tc>
        <w:tc>
          <w:tcPr>
            <w:tcW w:w="1247" w:type="dxa"/>
            <w:vAlign w:val="center"/>
          </w:tcPr>
          <w:p w14:paraId="1B353FB7" w14:textId="77777777" w:rsidR="00454A29" w:rsidRDefault="00454A29">
            <w:pPr>
              <w:pStyle w:val="ConsPlusNormal"/>
              <w:jc w:val="right"/>
            </w:pPr>
            <w:r>
              <w:t>8 486</w:t>
            </w:r>
          </w:p>
        </w:tc>
        <w:tc>
          <w:tcPr>
            <w:tcW w:w="1304" w:type="dxa"/>
            <w:vAlign w:val="center"/>
          </w:tcPr>
          <w:p w14:paraId="64DA0DE5" w14:textId="77777777" w:rsidR="00454A29" w:rsidRDefault="00454A29">
            <w:pPr>
              <w:pStyle w:val="ConsPlusNormal"/>
              <w:jc w:val="right"/>
            </w:pPr>
            <w:r>
              <w:t>-</w:t>
            </w:r>
          </w:p>
        </w:tc>
        <w:tc>
          <w:tcPr>
            <w:tcW w:w="1304" w:type="dxa"/>
            <w:vAlign w:val="center"/>
          </w:tcPr>
          <w:p w14:paraId="1C53EFCC" w14:textId="77777777" w:rsidR="00454A29" w:rsidRDefault="00454A29">
            <w:pPr>
              <w:pStyle w:val="ConsPlusNormal"/>
              <w:jc w:val="right"/>
            </w:pPr>
            <w:r>
              <w:t>-</w:t>
            </w:r>
          </w:p>
        </w:tc>
        <w:tc>
          <w:tcPr>
            <w:tcW w:w="1304" w:type="dxa"/>
            <w:vAlign w:val="center"/>
          </w:tcPr>
          <w:p w14:paraId="5B232446" w14:textId="77777777" w:rsidR="00454A29" w:rsidRDefault="00454A29">
            <w:pPr>
              <w:pStyle w:val="ConsPlusNormal"/>
              <w:jc w:val="right"/>
            </w:pPr>
            <w:r>
              <w:t>-</w:t>
            </w:r>
          </w:p>
        </w:tc>
        <w:tc>
          <w:tcPr>
            <w:tcW w:w="1304" w:type="dxa"/>
            <w:vAlign w:val="center"/>
          </w:tcPr>
          <w:p w14:paraId="6E336FFD" w14:textId="77777777" w:rsidR="00454A29" w:rsidRDefault="00454A29">
            <w:pPr>
              <w:pStyle w:val="ConsPlusNormal"/>
              <w:jc w:val="right"/>
            </w:pPr>
            <w:r>
              <w:t>-</w:t>
            </w:r>
          </w:p>
        </w:tc>
        <w:tc>
          <w:tcPr>
            <w:tcW w:w="1304" w:type="dxa"/>
            <w:vAlign w:val="center"/>
          </w:tcPr>
          <w:p w14:paraId="465C1F97" w14:textId="77777777" w:rsidR="00454A29" w:rsidRDefault="00454A29">
            <w:pPr>
              <w:pStyle w:val="ConsPlusNormal"/>
              <w:jc w:val="right"/>
            </w:pPr>
            <w:r>
              <w:t>-</w:t>
            </w:r>
          </w:p>
        </w:tc>
      </w:tr>
    </w:tbl>
    <w:p w14:paraId="1EA5D898" w14:textId="77777777" w:rsidR="00454A29" w:rsidRDefault="00454A29">
      <w:pPr>
        <w:sectPr w:rsidR="00454A29">
          <w:pgSz w:w="16838" w:h="11905" w:orient="landscape"/>
          <w:pgMar w:top="1701" w:right="1134" w:bottom="850" w:left="1134" w:header="0" w:footer="0" w:gutter="0"/>
          <w:cols w:space="720"/>
        </w:sectPr>
      </w:pPr>
    </w:p>
    <w:p w14:paraId="5B730F2A" w14:textId="77777777" w:rsidR="00454A29" w:rsidRDefault="00454A29">
      <w:pPr>
        <w:pStyle w:val="ConsPlusNormal"/>
      </w:pPr>
    </w:p>
    <w:p w14:paraId="6819B731" w14:textId="77777777" w:rsidR="00454A29" w:rsidRDefault="00454A29">
      <w:pPr>
        <w:pStyle w:val="ConsPlusNormal"/>
      </w:pPr>
    </w:p>
    <w:p w14:paraId="3D95B316" w14:textId="77777777" w:rsidR="00454A29" w:rsidRDefault="00454A29">
      <w:pPr>
        <w:pStyle w:val="ConsPlusNormal"/>
      </w:pPr>
    </w:p>
    <w:p w14:paraId="33041621" w14:textId="77777777" w:rsidR="00454A29" w:rsidRDefault="00454A29">
      <w:pPr>
        <w:pStyle w:val="ConsPlusNormal"/>
      </w:pPr>
    </w:p>
    <w:p w14:paraId="3ED1C03D" w14:textId="77777777" w:rsidR="00454A29" w:rsidRDefault="00454A29">
      <w:pPr>
        <w:pStyle w:val="ConsPlusNormal"/>
      </w:pPr>
    </w:p>
    <w:p w14:paraId="0FC8AC3F" w14:textId="77777777" w:rsidR="00454A29" w:rsidRDefault="00454A29">
      <w:pPr>
        <w:pStyle w:val="ConsPlusNormal"/>
        <w:jc w:val="right"/>
        <w:outlineLvl w:val="1"/>
      </w:pPr>
      <w:r>
        <w:t>Приложение N 3</w:t>
      </w:r>
    </w:p>
    <w:p w14:paraId="20849653" w14:textId="77777777" w:rsidR="00454A29" w:rsidRDefault="00454A29">
      <w:pPr>
        <w:pStyle w:val="ConsPlusNormal"/>
        <w:jc w:val="right"/>
      </w:pPr>
      <w:r>
        <w:t>к государственной программе</w:t>
      </w:r>
    </w:p>
    <w:p w14:paraId="1987B2CA" w14:textId="77777777" w:rsidR="00454A29" w:rsidRDefault="00454A29">
      <w:pPr>
        <w:pStyle w:val="ConsPlusNormal"/>
        <w:jc w:val="right"/>
      </w:pPr>
      <w:r>
        <w:t>Республики Саха (Якутия)</w:t>
      </w:r>
    </w:p>
    <w:p w14:paraId="05E2B18C" w14:textId="77777777" w:rsidR="00454A29" w:rsidRDefault="00454A29">
      <w:pPr>
        <w:pStyle w:val="ConsPlusNormal"/>
        <w:jc w:val="right"/>
      </w:pPr>
      <w:r>
        <w:t>"Развитие образования</w:t>
      </w:r>
    </w:p>
    <w:p w14:paraId="64C20A3E" w14:textId="77777777" w:rsidR="00454A29" w:rsidRDefault="00454A29">
      <w:pPr>
        <w:pStyle w:val="ConsPlusNormal"/>
        <w:jc w:val="right"/>
      </w:pPr>
      <w:r>
        <w:t>Республики Саха (Якутия)</w:t>
      </w:r>
    </w:p>
    <w:p w14:paraId="030FEA2F" w14:textId="77777777" w:rsidR="00454A29" w:rsidRDefault="00454A29">
      <w:pPr>
        <w:pStyle w:val="ConsPlusNormal"/>
        <w:jc w:val="right"/>
      </w:pPr>
      <w:r>
        <w:t>на 2020 - 2024 годы и на плановый</w:t>
      </w:r>
    </w:p>
    <w:p w14:paraId="1497B1A4" w14:textId="77777777" w:rsidR="00454A29" w:rsidRDefault="00454A29">
      <w:pPr>
        <w:pStyle w:val="ConsPlusNormal"/>
        <w:jc w:val="right"/>
      </w:pPr>
      <w:r>
        <w:t>период до 2026 года"</w:t>
      </w:r>
    </w:p>
    <w:p w14:paraId="1A86ACA3" w14:textId="77777777" w:rsidR="00454A29" w:rsidRDefault="00454A29">
      <w:pPr>
        <w:pStyle w:val="ConsPlusNormal"/>
      </w:pPr>
    </w:p>
    <w:p w14:paraId="3B999B58" w14:textId="77777777" w:rsidR="00454A29" w:rsidRDefault="00454A29">
      <w:pPr>
        <w:pStyle w:val="ConsPlusTitle"/>
        <w:jc w:val="center"/>
      </w:pPr>
      <w:bookmarkStart w:id="4" w:name="P5723"/>
      <w:bookmarkEnd w:id="4"/>
      <w:r>
        <w:t>ПЕРЕЧЕНЬ</w:t>
      </w:r>
    </w:p>
    <w:p w14:paraId="0EE9464E" w14:textId="77777777" w:rsidR="00454A29" w:rsidRDefault="00454A29">
      <w:pPr>
        <w:pStyle w:val="ConsPlusTitle"/>
        <w:jc w:val="center"/>
      </w:pPr>
      <w:r>
        <w:t>ОБЪЕКТОВ КАПИТАЛЬНОГО СТРОИТЕЛЬСТВА, ФИНАНСИРУЕМЫХ В РАМКАХ</w:t>
      </w:r>
    </w:p>
    <w:p w14:paraId="263ACED1" w14:textId="77777777" w:rsidR="00454A29" w:rsidRDefault="00454A29">
      <w:pPr>
        <w:pStyle w:val="ConsPlusTitle"/>
        <w:jc w:val="center"/>
      </w:pPr>
      <w:r>
        <w:t>ГОСУДАРСТВЕННОЙ ПРОГРАММЫ РЕСПУБЛИКИ САХА (ЯКУТИЯ)</w:t>
      </w:r>
    </w:p>
    <w:p w14:paraId="391CEF68" w14:textId="77777777" w:rsidR="00454A29" w:rsidRDefault="00454A29">
      <w:pPr>
        <w:pStyle w:val="ConsPlusTitle"/>
        <w:jc w:val="center"/>
      </w:pPr>
      <w:r>
        <w:t>"РАЗВИТИЕ ОБРАЗОВАНИЯ РЕСПУБЛИКИ САХА (ЯКУТИЯ)</w:t>
      </w:r>
    </w:p>
    <w:p w14:paraId="26194D90" w14:textId="77777777" w:rsidR="00454A29" w:rsidRDefault="00454A29">
      <w:pPr>
        <w:pStyle w:val="ConsPlusTitle"/>
        <w:jc w:val="center"/>
      </w:pPr>
      <w:r>
        <w:t>НА 2020 - 2024 ГОДЫ И НА ПЛАНОВЫЙ ПЕРИОД ДО 2026 ГОДА"</w:t>
      </w:r>
    </w:p>
    <w:p w14:paraId="33C14C8E"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1701"/>
        <w:gridCol w:w="1417"/>
        <w:gridCol w:w="2204"/>
        <w:gridCol w:w="1417"/>
        <w:gridCol w:w="2324"/>
        <w:gridCol w:w="1701"/>
        <w:gridCol w:w="1814"/>
        <w:gridCol w:w="1701"/>
        <w:gridCol w:w="1701"/>
        <w:gridCol w:w="1814"/>
      </w:tblGrid>
      <w:tr w:rsidR="00454A29" w14:paraId="766CD221" w14:textId="77777777">
        <w:tc>
          <w:tcPr>
            <w:tcW w:w="567" w:type="dxa"/>
            <w:vMerge w:val="restart"/>
            <w:vAlign w:val="center"/>
          </w:tcPr>
          <w:p w14:paraId="19A2A2C1" w14:textId="77777777" w:rsidR="00454A29" w:rsidRDefault="00454A29">
            <w:pPr>
              <w:pStyle w:val="ConsPlusNormal"/>
              <w:jc w:val="center"/>
            </w:pPr>
            <w:r>
              <w:t>N п.п.</w:t>
            </w:r>
          </w:p>
        </w:tc>
        <w:tc>
          <w:tcPr>
            <w:tcW w:w="3345" w:type="dxa"/>
            <w:vMerge w:val="restart"/>
            <w:vAlign w:val="center"/>
          </w:tcPr>
          <w:p w14:paraId="0F4A7E50" w14:textId="77777777" w:rsidR="00454A29" w:rsidRDefault="00454A29">
            <w:pPr>
              <w:pStyle w:val="ConsPlusNormal"/>
              <w:jc w:val="center"/>
            </w:pPr>
            <w:r>
              <w:t>Наименование объекта</w:t>
            </w:r>
          </w:p>
        </w:tc>
        <w:tc>
          <w:tcPr>
            <w:tcW w:w="1701" w:type="dxa"/>
            <w:vMerge w:val="restart"/>
            <w:vAlign w:val="center"/>
          </w:tcPr>
          <w:p w14:paraId="37DC7F61" w14:textId="77777777" w:rsidR="00454A29" w:rsidRDefault="00454A29">
            <w:pPr>
              <w:pStyle w:val="ConsPlusNormal"/>
              <w:jc w:val="center"/>
            </w:pPr>
            <w:r>
              <w:t>Сроки строительства</w:t>
            </w:r>
          </w:p>
        </w:tc>
        <w:tc>
          <w:tcPr>
            <w:tcW w:w="1417" w:type="dxa"/>
            <w:vMerge w:val="restart"/>
            <w:vAlign w:val="center"/>
          </w:tcPr>
          <w:p w14:paraId="210F8E8C" w14:textId="77777777" w:rsidR="00454A29" w:rsidRDefault="00454A29">
            <w:pPr>
              <w:pStyle w:val="ConsPlusNormal"/>
              <w:jc w:val="center"/>
            </w:pPr>
            <w:r>
              <w:t>Сметная стоимость (тыс. руб.)</w:t>
            </w:r>
          </w:p>
        </w:tc>
        <w:tc>
          <w:tcPr>
            <w:tcW w:w="2204" w:type="dxa"/>
            <w:vMerge w:val="restart"/>
            <w:vAlign w:val="center"/>
          </w:tcPr>
          <w:p w14:paraId="6CDC5052" w14:textId="77777777" w:rsidR="00454A29" w:rsidRDefault="00454A29">
            <w:pPr>
              <w:pStyle w:val="ConsPlusNormal"/>
              <w:jc w:val="center"/>
            </w:pPr>
            <w:r>
              <w:t>Наличие проектно-сметной документации /Госэкспертизы</w:t>
            </w:r>
          </w:p>
        </w:tc>
        <w:tc>
          <w:tcPr>
            <w:tcW w:w="1417" w:type="dxa"/>
            <w:vMerge w:val="restart"/>
            <w:vAlign w:val="center"/>
          </w:tcPr>
          <w:p w14:paraId="5B025438" w14:textId="77777777" w:rsidR="00454A29" w:rsidRDefault="00454A29">
            <w:pPr>
              <w:pStyle w:val="ConsPlusNormal"/>
              <w:jc w:val="center"/>
            </w:pPr>
            <w:r>
              <w:t>Проектная мощность объекта, мест</w:t>
            </w:r>
          </w:p>
        </w:tc>
        <w:tc>
          <w:tcPr>
            <w:tcW w:w="2324" w:type="dxa"/>
            <w:vMerge w:val="restart"/>
            <w:vAlign w:val="center"/>
          </w:tcPr>
          <w:p w14:paraId="0365E10F" w14:textId="77777777" w:rsidR="00454A29" w:rsidRDefault="00454A29">
            <w:pPr>
              <w:pStyle w:val="ConsPlusNormal"/>
              <w:jc w:val="center"/>
            </w:pPr>
            <w:r>
              <w:t>Заказчик</w:t>
            </w:r>
          </w:p>
        </w:tc>
        <w:tc>
          <w:tcPr>
            <w:tcW w:w="1701" w:type="dxa"/>
            <w:vMerge w:val="restart"/>
            <w:vAlign w:val="center"/>
          </w:tcPr>
          <w:p w14:paraId="7677A176" w14:textId="77777777" w:rsidR="00454A29" w:rsidRDefault="00454A29">
            <w:pPr>
              <w:pStyle w:val="ConsPlusNormal"/>
              <w:jc w:val="center"/>
            </w:pPr>
            <w:r>
              <w:t>Всего:</w:t>
            </w:r>
          </w:p>
        </w:tc>
        <w:tc>
          <w:tcPr>
            <w:tcW w:w="7030" w:type="dxa"/>
            <w:gridSpan w:val="4"/>
            <w:vAlign w:val="center"/>
          </w:tcPr>
          <w:p w14:paraId="667A21BA" w14:textId="77777777" w:rsidR="00454A29" w:rsidRDefault="00454A29">
            <w:pPr>
              <w:pStyle w:val="ConsPlusNormal"/>
              <w:jc w:val="center"/>
            </w:pPr>
            <w:r>
              <w:t>в том числе по источникам финансирования (тыс. руб.)</w:t>
            </w:r>
          </w:p>
        </w:tc>
      </w:tr>
      <w:tr w:rsidR="00454A29" w14:paraId="2FF4FDCB" w14:textId="77777777">
        <w:tc>
          <w:tcPr>
            <w:tcW w:w="567" w:type="dxa"/>
            <w:vMerge/>
          </w:tcPr>
          <w:p w14:paraId="47C63BF7" w14:textId="77777777" w:rsidR="00454A29" w:rsidRDefault="00454A29"/>
        </w:tc>
        <w:tc>
          <w:tcPr>
            <w:tcW w:w="3345" w:type="dxa"/>
            <w:vMerge/>
          </w:tcPr>
          <w:p w14:paraId="1AF755DD" w14:textId="77777777" w:rsidR="00454A29" w:rsidRDefault="00454A29"/>
        </w:tc>
        <w:tc>
          <w:tcPr>
            <w:tcW w:w="1701" w:type="dxa"/>
            <w:vMerge/>
          </w:tcPr>
          <w:p w14:paraId="1DA5BEAD" w14:textId="77777777" w:rsidR="00454A29" w:rsidRDefault="00454A29"/>
        </w:tc>
        <w:tc>
          <w:tcPr>
            <w:tcW w:w="1417" w:type="dxa"/>
            <w:vMerge/>
          </w:tcPr>
          <w:p w14:paraId="7A90BFF2" w14:textId="77777777" w:rsidR="00454A29" w:rsidRDefault="00454A29"/>
        </w:tc>
        <w:tc>
          <w:tcPr>
            <w:tcW w:w="2204" w:type="dxa"/>
            <w:vMerge/>
          </w:tcPr>
          <w:p w14:paraId="1E20A399" w14:textId="77777777" w:rsidR="00454A29" w:rsidRDefault="00454A29"/>
        </w:tc>
        <w:tc>
          <w:tcPr>
            <w:tcW w:w="1417" w:type="dxa"/>
            <w:vMerge/>
          </w:tcPr>
          <w:p w14:paraId="6530E1A6" w14:textId="77777777" w:rsidR="00454A29" w:rsidRDefault="00454A29"/>
        </w:tc>
        <w:tc>
          <w:tcPr>
            <w:tcW w:w="2324" w:type="dxa"/>
            <w:vMerge/>
          </w:tcPr>
          <w:p w14:paraId="1F4D7892" w14:textId="77777777" w:rsidR="00454A29" w:rsidRDefault="00454A29"/>
        </w:tc>
        <w:tc>
          <w:tcPr>
            <w:tcW w:w="1701" w:type="dxa"/>
            <w:vMerge/>
          </w:tcPr>
          <w:p w14:paraId="7A1735A7" w14:textId="77777777" w:rsidR="00454A29" w:rsidRDefault="00454A29"/>
        </w:tc>
        <w:tc>
          <w:tcPr>
            <w:tcW w:w="1814" w:type="dxa"/>
            <w:vAlign w:val="center"/>
          </w:tcPr>
          <w:p w14:paraId="677245D8" w14:textId="77777777" w:rsidR="00454A29" w:rsidRDefault="00454A29">
            <w:pPr>
              <w:pStyle w:val="ConsPlusNormal"/>
              <w:jc w:val="center"/>
            </w:pPr>
            <w:r>
              <w:t>Государственный бюджет Республики Саха (Якутия)</w:t>
            </w:r>
          </w:p>
        </w:tc>
        <w:tc>
          <w:tcPr>
            <w:tcW w:w="1701" w:type="dxa"/>
            <w:vAlign w:val="center"/>
          </w:tcPr>
          <w:p w14:paraId="25EE6B2D" w14:textId="77777777" w:rsidR="00454A29" w:rsidRDefault="00454A29">
            <w:pPr>
              <w:pStyle w:val="ConsPlusNormal"/>
              <w:jc w:val="center"/>
            </w:pPr>
            <w:r>
              <w:t>Федеральный бюджет</w:t>
            </w:r>
          </w:p>
        </w:tc>
        <w:tc>
          <w:tcPr>
            <w:tcW w:w="1701" w:type="dxa"/>
            <w:vAlign w:val="center"/>
          </w:tcPr>
          <w:p w14:paraId="469272EA" w14:textId="77777777" w:rsidR="00454A29" w:rsidRDefault="00454A29">
            <w:pPr>
              <w:pStyle w:val="ConsPlusNormal"/>
              <w:jc w:val="center"/>
            </w:pPr>
            <w:r>
              <w:t>Местный бюджет</w:t>
            </w:r>
          </w:p>
        </w:tc>
        <w:tc>
          <w:tcPr>
            <w:tcW w:w="1814" w:type="dxa"/>
            <w:vAlign w:val="center"/>
          </w:tcPr>
          <w:p w14:paraId="7B4F657A" w14:textId="77777777" w:rsidR="00454A29" w:rsidRDefault="00454A29">
            <w:pPr>
              <w:pStyle w:val="ConsPlusNormal"/>
              <w:jc w:val="center"/>
            </w:pPr>
            <w:r>
              <w:t>Внебюджетные средства</w:t>
            </w:r>
          </w:p>
        </w:tc>
      </w:tr>
      <w:tr w:rsidR="00454A29" w14:paraId="11A47154" w14:textId="77777777">
        <w:tc>
          <w:tcPr>
            <w:tcW w:w="567" w:type="dxa"/>
            <w:vMerge w:val="restart"/>
            <w:vAlign w:val="center"/>
          </w:tcPr>
          <w:p w14:paraId="64B933FA" w14:textId="77777777" w:rsidR="00454A29" w:rsidRDefault="00454A29">
            <w:pPr>
              <w:pStyle w:val="ConsPlusNormal"/>
            </w:pPr>
          </w:p>
        </w:tc>
        <w:tc>
          <w:tcPr>
            <w:tcW w:w="3345" w:type="dxa"/>
            <w:vMerge w:val="restart"/>
            <w:vAlign w:val="center"/>
          </w:tcPr>
          <w:p w14:paraId="300BF8DB" w14:textId="77777777" w:rsidR="00454A29" w:rsidRDefault="00454A29">
            <w:pPr>
              <w:pStyle w:val="ConsPlusNormal"/>
              <w:jc w:val="center"/>
            </w:pPr>
            <w:r>
              <w:t>ВСЕГО</w:t>
            </w:r>
          </w:p>
        </w:tc>
        <w:tc>
          <w:tcPr>
            <w:tcW w:w="1701" w:type="dxa"/>
            <w:vAlign w:val="center"/>
          </w:tcPr>
          <w:p w14:paraId="5656A6C6" w14:textId="77777777" w:rsidR="00454A29" w:rsidRDefault="00454A29">
            <w:pPr>
              <w:pStyle w:val="ConsPlusNormal"/>
              <w:jc w:val="center"/>
            </w:pPr>
            <w:r>
              <w:t>Всего:</w:t>
            </w:r>
          </w:p>
        </w:tc>
        <w:tc>
          <w:tcPr>
            <w:tcW w:w="1417" w:type="dxa"/>
            <w:vMerge w:val="restart"/>
            <w:vAlign w:val="center"/>
          </w:tcPr>
          <w:p w14:paraId="5548E321" w14:textId="77777777" w:rsidR="00454A29" w:rsidRDefault="00454A29">
            <w:pPr>
              <w:pStyle w:val="ConsPlusNormal"/>
            </w:pPr>
          </w:p>
        </w:tc>
        <w:tc>
          <w:tcPr>
            <w:tcW w:w="2204" w:type="dxa"/>
            <w:vMerge w:val="restart"/>
            <w:vAlign w:val="center"/>
          </w:tcPr>
          <w:p w14:paraId="683E43B9" w14:textId="77777777" w:rsidR="00454A29" w:rsidRDefault="00454A29">
            <w:pPr>
              <w:pStyle w:val="ConsPlusNormal"/>
            </w:pPr>
          </w:p>
        </w:tc>
        <w:tc>
          <w:tcPr>
            <w:tcW w:w="1417" w:type="dxa"/>
            <w:vMerge w:val="restart"/>
            <w:vAlign w:val="center"/>
          </w:tcPr>
          <w:p w14:paraId="37B90F23" w14:textId="77777777" w:rsidR="00454A29" w:rsidRDefault="00454A29">
            <w:pPr>
              <w:pStyle w:val="ConsPlusNormal"/>
              <w:jc w:val="center"/>
            </w:pPr>
            <w:r>
              <w:t>0</w:t>
            </w:r>
          </w:p>
        </w:tc>
        <w:tc>
          <w:tcPr>
            <w:tcW w:w="2324" w:type="dxa"/>
            <w:vMerge w:val="restart"/>
            <w:vAlign w:val="center"/>
          </w:tcPr>
          <w:p w14:paraId="51868004" w14:textId="77777777" w:rsidR="00454A29" w:rsidRDefault="00454A29">
            <w:pPr>
              <w:pStyle w:val="ConsPlusNormal"/>
            </w:pPr>
          </w:p>
        </w:tc>
        <w:tc>
          <w:tcPr>
            <w:tcW w:w="1701" w:type="dxa"/>
            <w:vAlign w:val="center"/>
          </w:tcPr>
          <w:p w14:paraId="2FE9EC2D" w14:textId="77777777" w:rsidR="00454A29" w:rsidRDefault="00454A29">
            <w:pPr>
              <w:pStyle w:val="ConsPlusNormal"/>
            </w:pPr>
          </w:p>
        </w:tc>
        <w:tc>
          <w:tcPr>
            <w:tcW w:w="1814" w:type="dxa"/>
            <w:vAlign w:val="center"/>
          </w:tcPr>
          <w:p w14:paraId="3C164234" w14:textId="77777777" w:rsidR="00454A29" w:rsidRDefault="00454A29">
            <w:pPr>
              <w:pStyle w:val="ConsPlusNormal"/>
            </w:pPr>
          </w:p>
        </w:tc>
        <w:tc>
          <w:tcPr>
            <w:tcW w:w="1701" w:type="dxa"/>
            <w:vAlign w:val="center"/>
          </w:tcPr>
          <w:p w14:paraId="3CF6A626" w14:textId="77777777" w:rsidR="00454A29" w:rsidRDefault="00454A29">
            <w:pPr>
              <w:pStyle w:val="ConsPlusNormal"/>
            </w:pPr>
          </w:p>
        </w:tc>
        <w:tc>
          <w:tcPr>
            <w:tcW w:w="1701" w:type="dxa"/>
            <w:vAlign w:val="center"/>
          </w:tcPr>
          <w:p w14:paraId="5D50D0CD" w14:textId="77777777" w:rsidR="00454A29" w:rsidRDefault="00454A29">
            <w:pPr>
              <w:pStyle w:val="ConsPlusNormal"/>
            </w:pPr>
          </w:p>
        </w:tc>
        <w:tc>
          <w:tcPr>
            <w:tcW w:w="1814" w:type="dxa"/>
            <w:vAlign w:val="center"/>
          </w:tcPr>
          <w:p w14:paraId="00672FE1" w14:textId="77777777" w:rsidR="00454A29" w:rsidRDefault="00454A29">
            <w:pPr>
              <w:pStyle w:val="ConsPlusNormal"/>
            </w:pPr>
          </w:p>
        </w:tc>
      </w:tr>
      <w:tr w:rsidR="00454A29" w14:paraId="4B2A370F" w14:textId="77777777">
        <w:tc>
          <w:tcPr>
            <w:tcW w:w="567" w:type="dxa"/>
            <w:vMerge/>
          </w:tcPr>
          <w:p w14:paraId="6C9C6BE5" w14:textId="77777777" w:rsidR="00454A29" w:rsidRDefault="00454A29"/>
        </w:tc>
        <w:tc>
          <w:tcPr>
            <w:tcW w:w="3345" w:type="dxa"/>
            <w:vMerge/>
          </w:tcPr>
          <w:p w14:paraId="47E42A3B" w14:textId="77777777" w:rsidR="00454A29" w:rsidRDefault="00454A29"/>
        </w:tc>
        <w:tc>
          <w:tcPr>
            <w:tcW w:w="1701" w:type="dxa"/>
            <w:vAlign w:val="center"/>
          </w:tcPr>
          <w:p w14:paraId="1734F706" w14:textId="77777777" w:rsidR="00454A29" w:rsidRDefault="00454A29">
            <w:pPr>
              <w:pStyle w:val="ConsPlusNormal"/>
              <w:jc w:val="center"/>
            </w:pPr>
            <w:r>
              <w:t>2020</w:t>
            </w:r>
          </w:p>
        </w:tc>
        <w:tc>
          <w:tcPr>
            <w:tcW w:w="1417" w:type="dxa"/>
            <w:vMerge/>
          </w:tcPr>
          <w:p w14:paraId="65F54FA2" w14:textId="77777777" w:rsidR="00454A29" w:rsidRDefault="00454A29"/>
        </w:tc>
        <w:tc>
          <w:tcPr>
            <w:tcW w:w="2204" w:type="dxa"/>
            <w:vMerge/>
          </w:tcPr>
          <w:p w14:paraId="0EFCEB5F" w14:textId="77777777" w:rsidR="00454A29" w:rsidRDefault="00454A29"/>
        </w:tc>
        <w:tc>
          <w:tcPr>
            <w:tcW w:w="1417" w:type="dxa"/>
            <w:vMerge/>
          </w:tcPr>
          <w:p w14:paraId="17DE561C" w14:textId="77777777" w:rsidR="00454A29" w:rsidRDefault="00454A29"/>
        </w:tc>
        <w:tc>
          <w:tcPr>
            <w:tcW w:w="2324" w:type="dxa"/>
            <w:vMerge/>
          </w:tcPr>
          <w:p w14:paraId="479A254C" w14:textId="77777777" w:rsidR="00454A29" w:rsidRDefault="00454A29"/>
        </w:tc>
        <w:tc>
          <w:tcPr>
            <w:tcW w:w="1701" w:type="dxa"/>
            <w:vAlign w:val="center"/>
          </w:tcPr>
          <w:p w14:paraId="7F95A621" w14:textId="77777777" w:rsidR="00454A29" w:rsidRDefault="00454A29">
            <w:pPr>
              <w:pStyle w:val="ConsPlusNormal"/>
              <w:jc w:val="center"/>
            </w:pPr>
            <w:r>
              <w:t>7 255 943,24</w:t>
            </w:r>
          </w:p>
        </w:tc>
        <w:tc>
          <w:tcPr>
            <w:tcW w:w="1814" w:type="dxa"/>
            <w:vAlign w:val="center"/>
          </w:tcPr>
          <w:p w14:paraId="2B1331CE" w14:textId="77777777" w:rsidR="00454A29" w:rsidRDefault="00454A29">
            <w:pPr>
              <w:pStyle w:val="ConsPlusNormal"/>
              <w:jc w:val="center"/>
            </w:pPr>
            <w:r>
              <w:t>4 110 280,18</w:t>
            </w:r>
          </w:p>
        </w:tc>
        <w:tc>
          <w:tcPr>
            <w:tcW w:w="1701" w:type="dxa"/>
            <w:vAlign w:val="center"/>
          </w:tcPr>
          <w:p w14:paraId="1A6A8261" w14:textId="77777777" w:rsidR="00454A29" w:rsidRDefault="00454A29">
            <w:pPr>
              <w:pStyle w:val="ConsPlusNormal"/>
              <w:jc w:val="center"/>
            </w:pPr>
            <w:r>
              <w:t>1 439 702,89</w:t>
            </w:r>
          </w:p>
        </w:tc>
        <w:tc>
          <w:tcPr>
            <w:tcW w:w="1701" w:type="dxa"/>
            <w:vAlign w:val="center"/>
          </w:tcPr>
          <w:p w14:paraId="03189537" w14:textId="77777777" w:rsidR="00454A29" w:rsidRDefault="00454A29">
            <w:pPr>
              <w:pStyle w:val="ConsPlusNormal"/>
              <w:jc w:val="center"/>
            </w:pPr>
            <w:r>
              <w:t>1 010 932,48</w:t>
            </w:r>
          </w:p>
        </w:tc>
        <w:tc>
          <w:tcPr>
            <w:tcW w:w="1814" w:type="dxa"/>
            <w:vAlign w:val="center"/>
          </w:tcPr>
          <w:p w14:paraId="61210784" w14:textId="77777777" w:rsidR="00454A29" w:rsidRDefault="00454A29">
            <w:pPr>
              <w:pStyle w:val="ConsPlusNormal"/>
              <w:jc w:val="center"/>
            </w:pPr>
            <w:r>
              <w:t>695 027,69</w:t>
            </w:r>
          </w:p>
        </w:tc>
      </w:tr>
      <w:tr w:rsidR="00454A29" w14:paraId="01BB72C4" w14:textId="77777777">
        <w:tc>
          <w:tcPr>
            <w:tcW w:w="567" w:type="dxa"/>
            <w:vMerge/>
          </w:tcPr>
          <w:p w14:paraId="2D8F1EB4" w14:textId="77777777" w:rsidR="00454A29" w:rsidRDefault="00454A29"/>
        </w:tc>
        <w:tc>
          <w:tcPr>
            <w:tcW w:w="3345" w:type="dxa"/>
            <w:vMerge/>
          </w:tcPr>
          <w:p w14:paraId="6699BA94" w14:textId="77777777" w:rsidR="00454A29" w:rsidRDefault="00454A29"/>
        </w:tc>
        <w:tc>
          <w:tcPr>
            <w:tcW w:w="1701" w:type="dxa"/>
            <w:vAlign w:val="center"/>
          </w:tcPr>
          <w:p w14:paraId="32979BC7" w14:textId="77777777" w:rsidR="00454A29" w:rsidRDefault="00454A29">
            <w:pPr>
              <w:pStyle w:val="ConsPlusNormal"/>
              <w:jc w:val="center"/>
            </w:pPr>
            <w:r>
              <w:t>2021</w:t>
            </w:r>
          </w:p>
        </w:tc>
        <w:tc>
          <w:tcPr>
            <w:tcW w:w="1417" w:type="dxa"/>
            <w:vMerge/>
          </w:tcPr>
          <w:p w14:paraId="7D3FFD3A" w14:textId="77777777" w:rsidR="00454A29" w:rsidRDefault="00454A29"/>
        </w:tc>
        <w:tc>
          <w:tcPr>
            <w:tcW w:w="2204" w:type="dxa"/>
            <w:vMerge/>
          </w:tcPr>
          <w:p w14:paraId="1AE29568" w14:textId="77777777" w:rsidR="00454A29" w:rsidRDefault="00454A29"/>
        </w:tc>
        <w:tc>
          <w:tcPr>
            <w:tcW w:w="1417" w:type="dxa"/>
            <w:vMerge/>
          </w:tcPr>
          <w:p w14:paraId="018A69A9" w14:textId="77777777" w:rsidR="00454A29" w:rsidRDefault="00454A29"/>
        </w:tc>
        <w:tc>
          <w:tcPr>
            <w:tcW w:w="2324" w:type="dxa"/>
            <w:vMerge/>
          </w:tcPr>
          <w:p w14:paraId="360438AF" w14:textId="77777777" w:rsidR="00454A29" w:rsidRDefault="00454A29"/>
        </w:tc>
        <w:tc>
          <w:tcPr>
            <w:tcW w:w="1701" w:type="dxa"/>
            <w:vAlign w:val="center"/>
          </w:tcPr>
          <w:p w14:paraId="5AFF6592" w14:textId="77777777" w:rsidR="00454A29" w:rsidRDefault="00454A29">
            <w:pPr>
              <w:pStyle w:val="ConsPlusNormal"/>
              <w:jc w:val="center"/>
            </w:pPr>
            <w:r>
              <w:t>7 312 571,26</w:t>
            </w:r>
          </w:p>
        </w:tc>
        <w:tc>
          <w:tcPr>
            <w:tcW w:w="1814" w:type="dxa"/>
            <w:vAlign w:val="center"/>
          </w:tcPr>
          <w:p w14:paraId="12E868BC" w14:textId="77777777" w:rsidR="00454A29" w:rsidRDefault="00454A29">
            <w:pPr>
              <w:pStyle w:val="ConsPlusNormal"/>
              <w:jc w:val="center"/>
            </w:pPr>
            <w:r>
              <w:t>3 092 698,86</w:t>
            </w:r>
          </w:p>
        </w:tc>
        <w:tc>
          <w:tcPr>
            <w:tcW w:w="1701" w:type="dxa"/>
            <w:vAlign w:val="center"/>
          </w:tcPr>
          <w:p w14:paraId="7906ADD7" w14:textId="77777777" w:rsidR="00454A29" w:rsidRDefault="00454A29">
            <w:pPr>
              <w:pStyle w:val="ConsPlusNormal"/>
              <w:jc w:val="center"/>
            </w:pPr>
            <w:r>
              <w:t>2 657 742,84</w:t>
            </w:r>
          </w:p>
        </w:tc>
        <w:tc>
          <w:tcPr>
            <w:tcW w:w="1701" w:type="dxa"/>
            <w:vAlign w:val="center"/>
          </w:tcPr>
          <w:p w14:paraId="1047FE21" w14:textId="77777777" w:rsidR="00454A29" w:rsidRDefault="00454A29">
            <w:pPr>
              <w:pStyle w:val="ConsPlusNormal"/>
              <w:jc w:val="center"/>
            </w:pPr>
            <w:r>
              <w:t>1 013 932,03</w:t>
            </w:r>
          </w:p>
        </w:tc>
        <w:tc>
          <w:tcPr>
            <w:tcW w:w="1814" w:type="dxa"/>
            <w:vAlign w:val="center"/>
          </w:tcPr>
          <w:p w14:paraId="34ECF68E" w14:textId="77777777" w:rsidR="00454A29" w:rsidRDefault="00454A29">
            <w:pPr>
              <w:pStyle w:val="ConsPlusNormal"/>
              <w:jc w:val="center"/>
            </w:pPr>
            <w:r>
              <w:t>548 197,52</w:t>
            </w:r>
          </w:p>
        </w:tc>
      </w:tr>
      <w:tr w:rsidR="00454A29" w14:paraId="4DB87CFB" w14:textId="77777777">
        <w:tc>
          <w:tcPr>
            <w:tcW w:w="567" w:type="dxa"/>
            <w:vMerge/>
          </w:tcPr>
          <w:p w14:paraId="0F2E8021" w14:textId="77777777" w:rsidR="00454A29" w:rsidRDefault="00454A29"/>
        </w:tc>
        <w:tc>
          <w:tcPr>
            <w:tcW w:w="3345" w:type="dxa"/>
            <w:vMerge/>
          </w:tcPr>
          <w:p w14:paraId="05F62AF1" w14:textId="77777777" w:rsidR="00454A29" w:rsidRDefault="00454A29"/>
        </w:tc>
        <w:tc>
          <w:tcPr>
            <w:tcW w:w="1701" w:type="dxa"/>
            <w:vAlign w:val="center"/>
          </w:tcPr>
          <w:p w14:paraId="4FDA0577" w14:textId="77777777" w:rsidR="00454A29" w:rsidRDefault="00454A29">
            <w:pPr>
              <w:pStyle w:val="ConsPlusNormal"/>
              <w:jc w:val="center"/>
            </w:pPr>
            <w:r>
              <w:t>2022</w:t>
            </w:r>
          </w:p>
        </w:tc>
        <w:tc>
          <w:tcPr>
            <w:tcW w:w="1417" w:type="dxa"/>
            <w:vMerge/>
          </w:tcPr>
          <w:p w14:paraId="7A107C9F" w14:textId="77777777" w:rsidR="00454A29" w:rsidRDefault="00454A29"/>
        </w:tc>
        <w:tc>
          <w:tcPr>
            <w:tcW w:w="2204" w:type="dxa"/>
            <w:vMerge/>
          </w:tcPr>
          <w:p w14:paraId="6589CA28" w14:textId="77777777" w:rsidR="00454A29" w:rsidRDefault="00454A29"/>
        </w:tc>
        <w:tc>
          <w:tcPr>
            <w:tcW w:w="1417" w:type="dxa"/>
            <w:vMerge/>
          </w:tcPr>
          <w:p w14:paraId="721D5E09" w14:textId="77777777" w:rsidR="00454A29" w:rsidRDefault="00454A29"/>
        </w:tc>
        <w:tc>
          <w:tcPr>
            <w:tcW w:w="2324" w:type="dxa"/>
            <w:vMerge/>
          </w:tcPr>
          <w:p w14:paraId="6BAD629F" w14:textId="77777777" w:rsidR="00454A29" w:rsidRDefault="00454A29"/>
        </w:tc>
        <w:tc>
          <w:tcPr>
            <w:tcW w:w="1701" w:type="dxa"/>
            <w:vAlign w:val="center"/>
          </w:tcPr>
          <w:p w14:paraId="75AD6891" w14:textId="77777777" w:rsidR="00454A29" w:rsidRDefault="00454A29">
            <w:pPr>
              <w:pStyle w:val="ConsPlusNormal"/>
              <w:jc w:val="center"/>
            </w:pPr>
            <w:r>
              <w:t>3 391 091,74</w:t>
            </w:r>
          </w:p>
        </w:tc>
        <w:tc>
          <w:tcPr>
            <w:tcW w:w="1814" w:type="dxa"/>
            <w:vAlign w:val="center"/>
          </w:tcPr>
          <w:p w14:paraId="189177CB" w14:textId="77777777" w:rsidR="00454A29" w:rsidRDefault="00454A29">
            <w:pPr>
              <w:pStyle w:val="ConsPlusNormal"/>
              <w:jc w:val="center"/>
            </w:pPr>
            <w:r>
              <w:t>2 271 676,06</w:t>
            </w:r>
          </w:p>
        </w:tc>
        <w:tc>
          <w:tcPr>
            <w:tcW w:w="1701" w:type="dxa"/>
            <w:vAlign w:val="center"/>
          </w:tcPr>
          <w:p w14:paraId="1FAD56A1" w14:textId="77777777" w:rsidR="00454A29" w:rsidRDefault="00454A29">
            <w:pPr>
              <w:pStyle w:val="ConsPlusNormal"/>
              <w:jc w:val="center"/>
            </w:pPr>
            <w:r>
              <w:t>498 498,20</w:t>
            </w:r>
          </w:p>
        </w:tc>
        <w:tc>
          <w:tcPr>
            <w:tcW w:w="1701" w:type="dxa"/>
            <w:vAlign w:val="center"/>
          </w:tcPr>
          <w:p w14:paraId="57E11496" w14:textId="77777777" w:rsidR="00454A29" w:rsidRDefault="00454A29">
            <w:pPr>
              <w:pStyle w:val="ConsPlusNormal"/>
              <w:jc w:val="center"/>
            </w:pPr>
            <w:r>
              <w:t>620 917,48</w:t>
            </w:r>
          </w:p>
        </w:tc>
        <w:tc>
          <w:tcPr>
            <w:tcW w:w="1814" w:type="dxa"/>
            <w:vAlign w:val="center"/>
          </w:tcPr>
          <w:p w14:paraId="70DF9DE0" w14:textId="77777777" w:rsidR="00454A29" w:rsidRDefault="00454A29">
            <w:pPr>
              <w:pStyle w:val="ConsPlusNormal"/>
              <w:jc w:val="center"/>
            </w:pPr>
            <w:r>
              <w:t>-</w:t>
            </w:r>
          </w:p>
        </w:tc>
      </w:tr>
      <w:tr w:rsidR="00454A29" w14:paraId="2CF35C21" w14:textId="77777777">
        <w:tc>
          <w:tcPr>
            <w:tcW w:w="567" w:type="dxa"/>
            <w:vMerge/>
          </w:tcPr>
          <w:p w14:paraId="399F8486" w14:textId="77777777" w:rsidR="00454A29" w:rsidRDefault="00454A29"/>
        </w:tc>
        <w:tc>
          <w:tcPr>
            <w:tcW w:w="3345" w:type="dxa"/>
            <w:vMerge/>
          </w:tcPr>
          <w:p w14:paraId="37ABCC44" w14:textId="77777777" w:rsidR="00454A29" w:rsidRDefault="00454A29"/>
        </w:tc>
        <w:tc>
          <w:tcPr>
            <w:tcW w:w="1701" w:type="dxa"/>
            <w:vAlign w:val="center"/>
          </w:tcPr>
          <w:p w14:paraId="54C82066" w14:textId="77777777" w:rsidR="00454A29" w:rsidRDefault="00454A29">
            <w:pPr>
              <w:pStyle w:val="ConsPlusNormal"/>
              <w:jc w:val="center"/>
            </w:pPr>
            <w:r>
              <w:t>2023</w:t>
            </w:r>
          </w:p>
        </w:tc>
        <w:tc>
          <w:tcPr>
            <w:tcW w:w="1417" w:type="dxa"/>
            <w:vMerge/>
          </w:tcPr>
          <w:p w14:paraId="1C8FBEC6" w14:textId="77777777" w:rsidR="00454A29" w:rsidRDefault="00454A29"/>
        </w:tc>
        <w:tc>
          <w:tcPr>
            <w:tcW w:w="2204" w:type="dxa"/>
            <w:vMerge/>
          </w:tcPr>
          <w:p w14:paraId="519683FA" w14:textId="77777777" w:rsidR="00454A29" w:rsidRDefault="00454A29"/>
        </w:tc>
        <w:tc>
          <w:tcPr>
            <w:tcW w:w="1417" w:type="dxa"/>
            <w:vMerge/>
          </w:tcPr>
          <w:p w14:paraId="1651E3B1" w14:textId="77777777" w:rsidR="00454A29" w:rsidRDefault="00454A29"/>
        </w:tc>
        <w:tc>
          <w:tcPr>
            <w:tcW w:w="2324" w:type="dxa"/>
            <w:vMerge/>
          </w:tcPr>
          <w:p w14:paraId="5E98B6EB" w14:textId="77777777" w:rsidR="00454A29" w:rsidRDefault="00454A29"/>
        </w:tc>
        <w:tc>
          <w:tcPr>
            <w:tcW w:w="1701" w:type="dxa"/>
            <w:vAlign w:val="center"/>
          </w:tcPr>
          <w:p w14:paraId="23AE495D" w14:textId="77777777" w:rsidR="00454A29" w:rsidRDefault="00454A29">
            <w:pPr>
              <w:pStyle w:val="ConsPlusNormal"/>
              <w:jc w:val="center"/>
            </w:pPr>
            <w:r>
              <w:t>8 523 903,21</w:t>
            </w:r>
          </w:p>
        </w:tc>
        <w:tc>
          <w:tcPr>
            <w:tcW w:w="1814" w:type="dxa"/>
            <w:vAlign w:val="center"/>
          </w:tcPr>
          <w:p w14:paraId="70412F27" w14:textId="77777777" w:rsidR="00454A29" w:rsidRDefault="00454A29">
            <w:pPr>
              <w:pStyle w:val="ConsPlusNormal"/>
              <w:jc w:val="center"/>
            </w:pPr>
            <w:r>
              <w:t>3 707 502,60</w:t>
            </w:r>
          </w:p>
        </w:tc>
        <w:tc>
          <w:tcPr>
            <w:tcW w:w="1701" w:type="dxa"/>
            <w:vAlign w:val="center"/>
          </w:tcPr>
          <w:p w14:paraId="0FBAD81E" w14:textId="77777777" w:rsidR="00454A29" w:rsidRDefault="00454A29">
            <w:pPr>
              <w:pStyle w:val="ConsPlusNormal"/>
              <w:jc w:val="center"/>
            </w:pPr>
            <w:r>
              <w:t>4 107 871,40</w:t>
            </w:r>
          </w:p>
        </w:tc>
        <w:tc>
          <w:tcPr>
            <w:tcW w:w="1701" w:type="dxa"/>
            <w:vAlign w:val="center"/>
          </w:tcPr>
          <w:p w14:paraId="0E01AE93" w14:textId="77777777" w:rsidR="00454A29" w:rsidRDefault="00454A29">
            <w:pPr>
              <w:pStyle w:val="ConsPlusNormal"/>
              <w:jc w:val="center"/>
            </w:pPr>
            <w:r>
              <w:t>708 529,21</w:t>
            </w:r>
          </w:p>
        </w:tc>
        <w:tc>
          <w:tcPr>
            <w:tcW w:w="1814" w:type="dxa"/>
            <w:vAlign w:val="center"/>
          </w:tcPr>
          <w:p w14:paraId="7192EF4D" w14:textId="77777777" w:rsidR="00454A29" w:rsidRDefault="00454A29">
            <w:pPr>
              <w:pStyle w:val="ConsPlusNormal"/>
              <w:jc w:val="center"/>
            </w:pPr>
            <w:r>
              <w:t>-</w:t>
            </w:r>
          </w:p>
        </w:tc>
      </w:tr>
      <w:tr w:rsidR="00454A29" w14:paraId="1A768472" w14:textId="77777777">
        <w:tc>
          <w:tcPr>
            <w:tcW w:w="567" w:type="dxa"/>
            <w:vMerge/>
          </w:tcPr>
          <w:p w14:paraId="0F221AE9" w14:textId="77777777" w:rsidR="00454A29" w:rsidRDefault="00454A29"/>
        </w:tc>
        <w:tc>
          <w:tcPr>
            <w:tcW w:w="3345" w:type="dxa"/>
            <w:vMerge/>
          </w:tcPr>
          <w:p w14:paraId="2A6F039C" w14:textId="77777777" w:rsidR="00454A29" w:rsidRDefault="00454A29"/>
        </w:tc>
        <w:tc>
          <w:tcPr>
            <w:tcW w:w="1701" w:type="dxa"/>
            <w:vAlign w:val="center"/>
          </w:tcPr>
          <w:p w14:paraId="7FEA3C87" w14:textId="77777777" w:rsidR="00454A29" w:rsidRDefault="00454A29">
            <w:pPr>
              <w:pStyle w:val="ConsPlusNormal"/>
              <w:jc w:val="center"/>
            </w:pPr>
            <w:r>
              <w:t>2024</w:t>
            </w:r>
          </w:p>
        </w:tc>
        <w:tc>
          <w:tcPr>
            <w:tcW w:w="1417" w:type="dxa"/>
            <w:vMerge/>
          </w:tcPr>
          <w:p w14:paraId="58210479" w14:textId="77777777" w:rsidR="00454A29" w:rsidRDefault="00454A29"/>
        </w:tc>
        <w:tc>
          <w:tcPr>
            <w:tcW w:w="2204" w:type="dxa"/>
            <w:vMerge/>
          </w:tcPr>
          <w:p w14:paraId="05B5727F" w14:textId="77777777" w:rsidR="00454A29" w:rsidRDefault="00454A29"/>
        </w:tc>
        <w:tc>
          <w:tcPr>
            <w:tcW w:w="1417" w:type="dxa"/>
            <w:vMerge/>
          </w:tcPr>
          <w:p w14:paraId="1CF63221" w14:textId="77777777" w:rsidR="00454A29" w:rsidRDefault="00454A29"/>
        </w:tc>
        <w:tc>
          <w:tcPr>
            <w:tcW w:w="2324" w:type="dxa"/>
            <w:vMerge/>
          </w:tcPr>
          <w:p w14:paraId="2BEDD41C" w14:textId="77777777" w:rsidR="00454A29" w:rsidRDefault="00454A29"/>
        </w:tc>
        <w:tc>
          <w:tcPr>
            <w:tcW w:w="1701" w:type="dxa"/>
            <w:vAlign w:val="center"/>
          </w:tcPr>
          <w:p w14:paraId="5DEF11E2" w14:textId="77777777" w:rsidR="00454A29" w:rsidRDefault="00454A29">
            <w:pPr>
              <w:pStyle w:val="ConsPlusNormal"/>
              <w:jc w:val="center"/>
            </w:pPr>
            <w:r>
              <w:t>8 634 277,85</w:t>
            </w:r>
          </w:p>
        </w:tc>
        <w:tc>
          <w:tcPr>
            <w:tcW w:w="1814" w:type="dxa"/>
            <w:vAlign w:val="center"/>
          </w:tcPr>
          <w:p w14:paraId="378DF188" w14:textId="77777777" w:rsidR="00454A29" w:rsidRDefault="00454A29">
            <w:pPr>
              <w:pStyle w:val="ConsPlusNormal"/>
              <w:jc w:val="center"/>
            </w:pPr>
            <w:r>
              <w:t>5 519 764,99</w:t>
            </w:r>
          </w:p>
        </w:tc>
        <w:tc>
          <w:tcPr>
            <w:tcW w:w="1701" w:type="dxa"/>
            <w:vAlign w:val="center"/>
          </w:tcPr>
          <w:p w14:paraId="5B77AD7F" w14:textId="77777777" w:rsidR="00454A29" w:rsidRDefault="00454A29">
            <w:pPr>
              <w:pStyle w:val="ConsPlusNormal"/>
              <w:jc w:val="center"/>
            </w:pPr>
            <w:r>
              <w:t>2 409 272,01</w:t>
            </w:r>
          </w:p>
        </w:tc>
        <w:tc>
          <w:tcPr>
            <w:tcW w:w="1701" w:type="dxa"/>
            <w:vAlign w:val="center"/>
          </w:tcPr>
          <w:p w14:paraId="1947B8BB" w14:textId="77777777" w:rsidR="00454A29" w:rsidRDefault="00454A29">
            <w:pPr>
              <w:pStyle w:val="ConsPlusNormal"/>
              <w:jc w:val="center"/>
            </w:pPr>
            <w:r>
              <w:t>705 240,84</w:t>
            </w:r>
          </w:p>
        </w:tc>
        <w:tc>
          <w:tcPr>
            <w:tcW w:w="1814" w:type="dxa"/>
            <w:vAlign w:val="center"/>
          </w:tcPr>
          <w:p w14:paraId="6F869E5F" w14:textId="77777777" w:rsidR="00454A29" w:rsidRDefault="00454A29">
            <w:pPr>
              <w:pStyle w:val="ConsPlusNormal"/>
              <w:jc w:val="center"/>
            </w:pPr>
            <w:r>
              <w:t>-</w:t>
            </w:r>
          </w:p>
        </w:tc>
      </w:tr>
      <w:tr w:rsidR="00454A29" w14:paraId="6821D728" w14:textId="77777777">
        <w:tc>
          <w:tcPr>
            <w:tcW w:w="567" w:type="dxa"/>
            <w:vMerge/>
          </w:tcPr>
          <w:p w14:paraId="4FC3CC79" w14:textId="77777777" w:rsidR="00454A29" w:rsidRDefault="00454A29"/>
        </w:tc>
        <w:tc>
          <w:tcPr>
            <w:tcW w:w="3345" w:type="dxa"/>
            <w:vMerge/>
          </w:tcPr>
          <w:p w14:paraId="25882D9A" w14:textId="77777777" w:rsidR="00454A29" w:rsidRDefault="00454A29"/>
        </w:tc>
        <w:tc>
          <w:tcPr>
            <w:tcW w:w="1701" w:type="dxa"/>
            <w:vAlign w:val="center"/>
          </w:tcPr>
          <w:p w14:paraId="744A3925" w14:textId="77777777" w:rsidR="00454A29" w:rsidRDefault="00454A29">
            <w:pPr>
              <w:pStyle w:val="ConsPlusNormal"/>
              <w:jc w:val="center"/>
            </w:pPr>
            <w:r>
              <w:t>2025</w:t>
            </w:r>
          </w:p>
        </w:tc>
        <w:tc>
          <w:tcPr>
            <w:tcW w:w="1417" w:type="dxa"/>
            <w:vMerge/>
          </w:tcPr>
          <w:p w14:paraId="5E7F363A" w14:textId="77777777" w:rsidR="00454A29" w:rsidRDefault="00454A29"/>
        </w:tc>
        <w:tc>
          <w:tcPr>
            <w:tcW w:w="2204" w:type="dxa"/>
            <w:vMerge/>
          </w:tcPr>
          <w:p w14:paraId="51503D97" w14:textId="77777777" w:rsidR="00454A29" w:rsidRDefault="00454A29"/>
        </w:tc>
        <w:tc>
          <w:tcPr>
            <w:tcW w:w="1417" w:type="dxa"/>
            <w:vMerge/>
          </w:tcPr>
          <w:p w14:paraId="0E57A0A0" w14:textId="77777777" w:rsidR="00454A29" w:rsidRDefault="00454A29"/>
        </w:tc>
        <w:tc>
          <w:tcPr>
            <w:tcW w:w="2324" w:type="dxa"/>
            <w:vMerge/>
          </w:tcPr>
          <w:p w14:paraId="52B9DAA3" w14:textId="77777777" w:rsidR="00454A29" w:rsidRDefault="00454A29"/>
        </w:tc>
        <w:tc>
          <w:tcPr>
            <w:tcW w:w="1701" w:type="dxa"/>
            <w:vAlign w:val="center"/>
          </w:tcPr>
          <w:p w14:paraId="3F05881D" w14:textId="77777777" w:rsidR="00454A29" w:rsidRDefault="00454A29">
            <w:pPr>
              <w:pStyle w:val="ConsPlusNormal"/>
              <w:jc w:val="center"/>
            </w:pPr>
            <w:r>
              <w:t>50 256 740,22</w:t>
            </w:r>
          </w:p>
        </w:tc>
        <w:tc>
          <w:tcPr>
            <w:tcW w:w="1814" w:type="dxa"/>
            <w:vAlign w:val="center"/>
          </w:tcPr>
          <w:p w14:paraId="5243A5C3" w14:textId="77777777" w:rsidR="00454A29" w:rsidRDefault="00454A29">
            <w:pPr>
              <w:pStyle w:val="ConsPlusNormal"/>
              <w:jc w:val="center"/>
            </w:pPr>
            <w:r>
              <w:t>7 039 352,85</w:t>
            </w:r>
          </w:p>
        </w:tc>
        <w:tc>
          <w:tcPr>
            <w:tcW w:w="1701" w:type="dxa"/>
            <w:vAlign w:val="center"/>
          </w:tcPr>
          <w:p w14:paraId="083B12E5" w14:textId="77777777" w:rsidR="00454A29" w:rsidRDefault="00454A29">
            <w:pPr>
              <w:pStyle w:val="ConsPlusNormal"/>
              <w:jc w:val="center"/>
            </w:pPr>
            <w:r>
              <w:t>42 632 643,15</w:t>
            </w:r>
          </w:p>
        </w:tc>
        <w:tc>
          <w:tcPr>
            <w:tcW w:w="1701" w:type="dxa"/>
            <w:vAlign w:val="center"/>
          </w:tcPr>
          <w:p w14:paraId="5D5081A1" w14:textId="77777777" w:rsidR="00454A29" w:rsidRDefault="00454A29">
            <w:pPr>
              <w:pStyle w:val="ConsPlusNormal"/>
              <w:jc w:val="center"/>
            </w:pPr>
            <w:r>
              <w:t>584 744,22</w:t>
            </w:r>
          </w:p>
        </w:tc>
        <w:tc>
          <w:tcPr>
            <w:tcW w:w="1814" w:type="dxa"/>
            <w:vAlign w:val="center"/>
          </w:tcPr>
          <w:p w14:paraId="7489DE4B" w14:textId="77777777" w:rsidR="00454A29" w:rsidRDefault="00454A29">
            <w:pPr>
              <w:pStyle w:val="ConsPlusNormal"/>
              <w:jc w:val="center"/>
            </w:pPr>
            <w:r>
              <w:t>-</w:t>
            </w:r>
          </w:p>
        </w:tc>
      </w:tr>
      <w:tr w:rsidR="00454A29" w14:paraId="5EAA67EA" w14:textId="77777777">
        <w:tc>
          <w:tcPr>
            <w:tcW w:w="567" w:type="dxa"/>
            <w:vMerge/>
          </w:tcPr>
          <w:p w14:paraId="754819BB" w14:textId="77777777" w:rsidR="00454A29" w:rsidRDefault="00454A29"/>
        </w:tc>
        <w:tc>
          <w:tcPr>
            <w:tcW w:w="3345" w:type="dxa"/>
            <w:vMerge/>
          </w:tcPr>
          <w:p w14:paraId="6A1012F7" w14:textId="77777777" w:rsidR="00454A29" w:rsidRDefault="00454A29"/>
        </w:tc>
        <w:tc>
          <w:tcPr>
            <w:tcW w:w="1701" w:type="dxa"/>
            <w:vAlign w:val="center"/>
          </w:tcPr>
          <w:p w14:paraId="05B48DA3" w14:textId="77777777" w:rsidR="00454A29" w:rsidRDefault="00454A29">
            <w:pPr>
              <w:pStyle w:val="ConsPlusNormal"/>
              <w:jc w:val="center"/>
            </w:pPr>
            <w:r>
              <w:t>2026</w:t>
            </w:r>
          </w:p>
        </w:tc>
        <w:tc>
          <w:tcPr>
            <w:tcW w:w="1417" w:type="dxa"/>
            <w:vMerge/>
          </w:tcPr>
          <w:p w14:paraId="7AAA5C03" w14:textId="77777777" w:rsidR="00454A29" w:rsidRDefault="00454A29"/>
        </w:tc>
        <w:tc>
          <w:tcPr>
            <w:tcW w:w="2204" w:type="dxa"/>
            <w:vMerge/>
          </w:tcPr>
          <w:p w14:paraId="7498C8F6" w14:textId="77777777" w:rsidR="00454A29" w:rsidRDefault="00454A29"/>
        </w:tc>
        <w:tc>
          <w:tcPr>
            <w:tcW w:w="1417" w:type="dxa"/>
            <w:vMerge/>
          </w:tcPr>
          <w:p w14:paraId="24627889" w14:textId="77777777" w:rsidR="00454A29" w:rsidRDefault="00454A29"/>
        </w:tc>
        <w:tc>
          <w:tcPr>
            <w:tcW w:w="2324" w:type="dxa"/>
            <w:vMerge/>
          </w:tcPr>
          <w:p w14:paraId="70B6DA49" w14:textId="77777777" w:rsidR="00454A29" w:rsidRDefault="00454A29"/>
        </w:tc>
        <w:tc>
          <w:tcPr>
            <w:tcW w:w="1701" w:type="dxa"/>
            <w:vAlign w:val="center"/>
          </w:tcPr>
          <w:p w14:paraId="31E11D67" w14:textId="77777777" w:rsidR="00454A29" w:rsidRDefault="00454A29">
            <w:pPr>
              <w:pStyle w:val="ConsPlusNormal"/>
              <w:jc w:val="center"/>
            </w:pPr>
            <w:r>
              <w:t>51 738 143,88</w:t>
            </w:r>
          </w:p>
        </w:tc>
        <w:tc>
          <w:tcPr>
            <w:tcW w:w="1814" w:type="dxa"/>
            <w:vAlign w:val="center"/>
          </w:tcPr>
          <w:p w14:paraId="2431CE10" w14:textId="77777777" w:rsidR="00454A29" w:rsidRDefault="00454A29">
            <w:pPr>
              <w:pStyle w:val="ConsPlusNormal"/>
              <w:jc w:val="center"/>
            </w:pPr>
            <w:r>
              <w:t>2 231 343,68</w:t>
            </w:r>
          </w:p>
        </w:tc>
        <w:tc>
          <w:tcPr>
            <w:tcW w:w="1701" w:type="dxa"/>
            <w:vAlign w:val="center"/>
          </w:tcPr>
          <w:p w14:paraId="25BB06E5" w14:textId="77777777" w:rsidR="00454A29" w:rsidRDefault="00454A29">
            <w:pPr>
              <w:pStyle w:val="ConsPlusNormal"/>
              <w:jc w:val="center"/>
            </w:pPr>
            <w:r>
              <w:t>48 984 588,33</w:t>
            </w:r>
          </w:p>
        </w:tc>
        <w:tc>
          <w:tcPr>
            <w:tcW w:w="1701" w:type="dxa"/>
            <w:vAlign w:val="center"/>
          </w:tcPr>
          <w:p w14:paraId="130432D2" w14:textId="77777777" w:rsidR="00454A29" w:rsidRDefault="00454A29">
            <w:pPr>
              <w:pStyle w:val="ConsPlusNormal"/>
              <w:jc w:val="center"/>
            </w:pPr>
            <w:r>
              <w:t>522 211,87</w:t>
            </w:r>
          </w:p>
        </w:tc>
        <w:tc>
          <w:tcPr>
            <w:tcW w:w="1814" w:type="dxa"/>
            <w:vAlign w:val="center"/>
          </w:tcPr>
          <w:p w14:paraId="231E5B89" w14:textId="77777777" w:rsidR="00454A29" w:rsidRDefault="00454A29">
            <w:pPr>
              <w:pStyle w:val="ConsPlusNormal"/>
              <w:jc w:val="center"/>
            </w:pPr>
            <w:r>
              <w:t>-</w:t>
            </w:r>
          </w:p>
        </w:tc>
      </w:tr>
      <w:tr w:rsidR="00454A29" w14:paraId="4B45DEED" w14:textId="77777777">
        <w:tc>
          <w:tcPr>
            <w:tcW w:w="567" w:type="dxa"/>
            <w:vMerge w:val="restart"/>
            <w:vAlign w:val="center"/>
          </w:tcPr>
          <w:p w14:paraId="4A617158" w14:textId="77777777" w:rsidR="00454A29" w:rsidRDefault="00454A29">
            <w:pPr>
              <w:pStyle w:val="ConsPlusNormal"/>
            </w:pPr>
          </w:p>
        </w:tc>
        <w:tc>
          <w:tcPr>
            <w:tcW w:w="3345" w:type="dxa"/>
            <w:vMerge w:val="restart"/>
            <w:vAlign w:val="center"/>
          </w:tcPr>
          <w:p w14:paraId="1746280B" w14:textId="77777777" w:rsidR="00454A29" w:rsidRDefault="00454A29">
            <w:pPr>
              <w:pStyle w:val="ConsPlusNormal"/>
              <w:jc w:val="center"/>
            </w:pPr>
            <w:r>
              <w:t>Подпрограмма 9. "Содействие созданию новых мест в общеобразовательных организациях Республики Саха (Якутия)"</w:t>
            </w:r>
          </w:p>
        </w:tc>
        <w:tc>
          <w:tcPr>
            <w:tcW w:w="1701" w:type="dxa"/>
            <w:vAlign w:val="center"/>
          </w:tcPr>
          <w:p w14:paraId="797AF71F" w14:textId="77777777" w:rsidR="00454A29" w:rsidRDefault="00454A29">
            <w:pPr>
              <w:pStyle w:val="ConsPlusNormal"/>
              <w:jc w:val="center"/>
            </w:pPr>
            <w:r>
              <w:t>Всего:</w:t>
            </w:r>
          </w:p>
        </w:tc>
        <w:tc>
          <w:tcPr>
            <w:tcW w:w="1417" w:type="dxa"/>
            <w:vMerge w:val="restart"/>
            <w:vAlign w:val="center"/>
          </w:tcPr>
          <w:p w14:paraId="7D676B40" w14:textId="77777777" w:rsidR="00454A29" w:rsidRDefault="00454A29">
            <w:pPr>
              <w:pStyle w:val="ConsPlusNormal"/>
            </w:pPr>
          </w:p>
        </w:tc>
        <w:tc>
          <w:tcPr>
            <w:tcW w:w="2204" w:type="dxa"/>
            <w:vMerge w:val="restart"/>
            <w:vAlign w:val="center"/>
          </w:tcPr>
          <w:p w14:paraId="038A745C" w14:textId="77777777" w:rsidR="00454A29" w:rsidRDefault="00454A29">
            <w:pPr>
              <w:pStyle w:val="ConsPlusNormal"/>
            </w:pPr>
          </w:p>
        </w:tc>
        <w:tc>
          <w:tcPr>
            <w:tcW w:w="1417" w:type="dxa"/>
            <w:vMerge w:val="restart"/>
            <w:vAlign w:val="center"/>
          </w:tcPr>
          <w:p w14:paraId="719E9581" w14:textId="77777777" w:rsidR="00454A29" w:rsidRDefault="00454A29">
            <w:pPr>
              <w:pStyle w:val="ConsPlusNormal"/>
              <w:jc w:val="center"/>
            </w:pPr>
            <w:r>
              <w:t>44 918</w:t>
            </w:r>
          </w:p>
        </w:tc>
        <w:tc>
          <w:tcPr>
            <w:tcW w:w="2324" w:type="dxa"/>
            <w:vMerge w:val="restart"/>
            <w:vAlign w:val="center"/>
          </w:tcPr>
          <w:p w14:paraId="6BDA7CE2" w14:textId="77777777" w:rsidR="00454A29" w:rsidRDefault="00454A29">
            <w:pPr>
              <w:pStyle w:val="ConsPlusNormal"/>
            </w:pPr>
          </w:p>
        </w:tc>
        <w:tc>
          <w:tcPr>
            <w:tcW w:w="1701" w:type="dxa"/>
            <w:vAlign w:val="center"/>
          </w:tcPr>
          <w:p w14:paraId="37F5D03B" w14:textId="77777777" w:rsidR="00454A29" w:rsidRDefault="00454A29">
            <w:pPr>
              <w:pStyle w:val="ConsPlusNormal"/>
              <w:jc w:val="center"/>
            </w:pPr>
            <w:r>
              <w:t>110 186 982,79</w:t>
            </w:r>
          </w:p>
        </w:tc>
        <w:tc>
          <w:tcPr>
            <w:tcW w:w="1814" w:type="dxa"/>
            <w:vAlign w:val="center"/>
          </w:tcPr>
          <w:p w14:paraId="6C423116" w14:textId="77777777" w:rsidR="00454A29" w:rsidRDefault="00454A29">
            <w:pPr>
              <w:pStyle w:val="ConsPlusNormal"/>
              <w:jc w:val="center"/>
            </w:pPr>
            <w:r>
              <w:t>7 864 102,28</w:t>
            </w:r>
          </w:p>
        </w:tc>
        <w:tc>
          <w:tcPr>
            <w:tcW w:w="1701" w:type="dxa"/>
            <w:vAlign w:val="center"/>
          </w:tcPr>
          <w:p w14:paraId="42620809" w14:textId="77777777" w:rsidR="00454A29" w:rsidRDefault="00454A29">
            <w:pPr>
              <w:pStyle w:val="ConsPlusNormal"/>
              <w:jc w:val="center"/>
            </w:pPr>
            <w:r>
              <w:t>100 166 814,32</w:t>
            </w:r>
          </w:p>
        </w:tc>
        <w:tc>
          <w:tcPr>
            <w:tcW w:w="1701" w:type="dxa"/>
            <w:vAlign w:val="center"/>
          </w:tcPr>
          <w:p w14:paraId="45DB229A" w14:textId="77777777" w:rsidR="00454A29" w:rsidRDefault="00454A29">
            <w:pPr>
              <w:pStyle w:val="ConsPlusNormal"/>
              <w:jc w:val="center"/>
            </w:pPr>
            <w:r>
              <w:t>2 156 066,19</w:t>
            </w:r>
          </w:p>
        </w:tc>
        <w:tc>
          <w:tcPr>
            <w:tcW w:w="1814" w:type="dxa"/>
            <w:vAlign w:val="center"/>
          </w:tcPr>
          <w:p w14:paraId="02CB45EA" w14:textId="77777777" w:rsidR="00454A29" w:rsidRDefault="00454A29">
            <w:pPr>
              <w:pStyle w:val="ConsPlusNormal"/>
              <w:jc w:val="center"/>
            </w:pPr>
            <w:r>
              <w:t>-</w:t>
            </w:r>
          </w:p>
        </w:tc>
      </w:tr>
      <w:tr w:rsidR="00454A29" w14:paraId="70747C48" w14:textId="77777777">
        <w:tc>
          <w:tcPr>
            <w:tcW w:w="567" w:type="dxa"/>
            <w:vMerge/>
          </w:tcPr>
          <w:p w14:paraId="5285F76D" w14:textId="77777777" w:rsidR="00454A29" w:rsidRDefault="00454A29"/>
        </w:tc>
        <w:tc>
          <w:tcPr>
            <w:tcW w:w="3345" w:type="dxa"/>
            <w:vMerge/>
          </w:tcPr>
          <w:p w14:paraId="7871EC75" w14:textId="77777777" w:rsidR="00454A29" w:rsidRDefault="00454A29"/>
        </w:tc>
        <w:tc>
          <w:tcPr>
            <w:tcW w:w="1701" w:type="dxa"/>
            <w:vAlign w:val="center"/>
          </w:tcPr>
          <w:p w14:paraId="458938DE" w14:textId="77777777" w:rsidR="00454A29" w:rsidRDefault="00454A29">
            <w:pPr>
              <w:pStyle w:val="ConsPlusNormal"/>
              <w:jc w:val="center"/>
            </w:pPr>
            <w:r>
              <w:t>2020</w:t>
            </w:r>
          </w:p>
        </w:tc>
        <w:tc>
          <w:tcPr>
            <w:tcW w:w="1417" w:type="dxa"/>
            <w:vMerge/>
          </w:tcPr>
          <w:p w14:paraId="3C5779EF" w14:textId="77777777" w:rsidR="00454A29" w:rsidRDefault="00454A29"/>
        </w:tc>
        <w:tc>
          <w:tcPr>
            <w:tcW w:w="2204" w:type="dxa"/>
            <w:vMerge/>
          </w:tcPr>
          <w:p w14:paraId="02EDA523" w14:textId="77777777" w:rsidR="00454A29" w:rsidRDefault="00454A29"/>
        </w:tc>
        <w:tc>
          <w:tcPr>
            <w:tcW w:w="1417" w:type="dxa"/>
            <w:vMerge/>
          </w:tcPr>
          <w:p w14:paraId="71E4E4FC" w14:textId="77777777" w:rsidR="00454A29" w:rsidRDefault="00454A29"/>
        </w:tc>
        <w:tc>
          <w:tcPr>
            <w:tcW w:w="2324" w:type="dxa"/>
            <w:vMerge/>
          </w:tcPr>
          <w:p w14:paraId="75319D5E" w14:textId="77777777" w:rsidR="00454A29" w:rsidRDefault="00454A29"/>
        </w:tc>
        <w:tc>
          <w:tcPr>
            <w:tcW w:w="1701" w:type="dxa"/>
            <w:vAlign w:val="center"/>
          </w:tcPr>
          <w:p w14:paraId="0B6F1FCE" w14:textId="77777777" w:rsidR="00454A29" w:rsidRDefault="00454A29">
            <w:pPr>
              <w:pStyle w:val="ConsPlusNormal"/>
              <w:jc w:val="center"/>
            </w:pPr>
            <w:r>
              <w:t>3 863 884,00</w:t>
            </w:r>
          </w:p>
        </w:tc>
        <w:tc>
          <w:tcPr>
            <w:tcW w:w="1814" w:type="dxa"/>
            <w:vAlign w:val="center"/>
          </w:tcPr>
          <w:p w14:paraId="4123D0AB" w14:textId="77777777" w:rsidR="00454A29" w:rsidRDefault="00454A29">
            <w:pPr>
              <w:pStyle w:val="ConsPlusNormal"/>
              <w:jc w:val="center"/>
            </w:pPr>
            <w:r>
              <w:t>2 775 287,46</w:t>
            </w:r>
          </w:p>
        </w:tc>
        <w:tc>
          <w:tcPr>
            <w:tcW w:w="1701" w:type="dxa"/>
            <w:vAlign w:val="center"/>
          </w:tcPr>
          <w:p w14:paraId="1608F7C1" w14:textId="77777777" w:rsidR="00454A29" w:rsidRDefault="00454A29">
            <w:pPr>
              <w:pStyle w:val="ConsPlusNormal"/>
              <w:jc w:val="center"/>
            </w:pPr>
            <w:r>
              <w:t>493 465,49</w:t>
            </w:r>
          </w:p>
        </w:tc>
        <w:tc>
          <w:tcPr>
            <w:tcW w:w="1701" w:type="dxa"/>
            <w:vAlign w:val="center"/>
          </w:tcPr>
          <w:p w14:paraId="71157376" w14:textId="77777777" w:rsidR="00454A29" w:rsidRDefault="00454A29">
            <w:pPr>
              <w:pStyle w:val="ConsPlusNormal"/>
              <w:jc w:val="center"/>
            </w:pPr>
            <w:r>
              <w:t>595 131,05</w:t>
            </w:r>
          </w:p>
        </w:tc>
        <w:tc>
          <w:tcPr>
            <w:tcW w:w="1814" w:type="dxa"/>
            <w:vAlign w:val="center"/>
          </w:tcPr>
          <w:p w14:paraId="5EFB7997" w14:textId="77777777" w:rsidR="00454A29" w:rsidRDefault="00454A29">
            <w:pPr>
              <w:pStyle w:val="ConsPlusNormal"/>
              <w:jc w:val="center"/>
            </w:pPr>
            <w:r>
              <w:t>-</w:t>
            </w:r>
          </w:p>
        </w:tc>
      </w:tr>
      <w:tr w:rsidR="00454A29" w14:paraId="3985FD4A" w14:textId="77777777">
        <w:tc>
          <w:tcPr>
            <w:tcW w:w="567" w:type="dxa"/>
            <w:vMerge/>
          </w:tcPr>
          <w:p w14:paraId="3FD0BB9C" w14:textId="77777777" w:rsidR="00454A29" w:rsidRDefault="00454A29"/>
        </w:tc>
        <w:tc>
          <w:tcPr>
            <w:tcW w:w="3345" w:type="dxa"/>
            <w:vMerge/>
          </w:tcPr>
          <w:p w14:paraId="45BA276A" w14:textId="77777777" w:rsidR="00454A29" w:rsidRDefault="00454A29"/>
        </w:tc>
        <w:tc>
          <w:tcPr>
            <w:tcW w:w="1701" w:type="dxa"/>
            <w:vAlign w:val="center"/>
          </w:tcPr>
          <w:p w14:paraId="1186DBE3" w14:textId="77777777" w:rsidR="00454A29" w:rsidRDefault="00454A29">
            <w:pPr>
              <w:pStyle w:val="ConsPlusNormal"/>
              <w:jc w:val="center"/>
            </w:pPr>
            <w:r>
              <w:t>2021</w:t>
            </w:r>
          </w:p>
        </w:tc>
        <w:tc>
          <w:tcPr>
            <w:tcW w:w="1417" w:type="dxa"/>
            <w:vMerge/>
          </w:tcPr>
          <w:p w14:paraId="7DAE46CA" w14:textId="77777777" w:rsidR="00454A29" w:rsidRDefault="00454A29"/>
        </w:tc>
        <w:tc>
          <w:tcPr>
            <w:tcW w:w="2204" w:type="dxa"/>
            <w:vMerge/>
          </w:tcPr>
          <w:p w14:paraId="21DE9D7C" w14:textId="77777777" w:rsidR="00454A29" w:rsidRDefault="00454A29"/>
        </w:tc>
        <w:tc>
          <w:tcPr>
            <w:tcW w:w="1417" w:type="dxa"/>
            <w:vMerge/>
          </w:tcPr>
          <w:p w14:paraId="744C5950" w14:textId="77777777" w:rsidR="00454A29" w:rsidRDefault="00454A29"/>
        </w:tc>
        <w:tc>
          <w:tcPr>
            <w:tcW w:w="2324" w:type="dxa"/>
            <w:vMerge/>
          </w:tcPr>
          <w:p w14:paraId="300B45E7" w14:textId="77777777" w:rsidR="00454A29" w:rsidRDefault="00454A29"/>
        </w:tc>
        <w:tc>
          <w:tcPr>
            <w:tcW w:w="1701" w:type="dxa"/>
            <w:vAlign w:val="center"/>
          </w:tcPr>
          <w:p w14:paraId="3B8581DD" w14:textId="77777777" w:rsidR="00454A29" w:rsidRDefault="00454A29">
            <w:pPr>
              <w:pStyle w:val="ConsPlusNormal"/>
              <w:jc w:val="center"/>
            </w:pPr>
            <w:r>
              <w:t>3 520 254,57</w:t>
            </w:r>
          </w:p>
        </w:tc>
        <w:tc>
          <w:tcPr>
            <w:tcW w:w="1814" w:type="dxa"/>
            <w:vAlign w:val="center"/>
          </w:tcPr>
          <w:p w14:paraId="0BD3D80D" w14:textId="77777777" w:rsidR="00454A29" w:rsidRDefault="00454A29">
            <w:pPr>
              <w:pStyle w:val="ConsPlusNormal"/>
              <w:jc w:val="center"/>
            </w:pPr>
            <w:r>
              <w:t>1 777 433,02</w:t>
            </w:r>
          </w:p>
        </w:tc>
        <w:tc>
          <w:tcPr>
            <w:tcW w:w="1701" w:type="dxa"/>
            <w:vAlign w:val="center"/>
          </w:tcPr>
          <w:p w14:paraId="59141940" w14:textId="77777777" w:rsidR="00454A29" w:rsidRDefault="00454A29">
            <w:pPr>
              <w:pStyle w:val="ConsPlusNormal"/>
              <w:jc w:val="center"/>
            </w:pPr>
            <w:r>
              <w:t>1 177 325,74</w:t>
            </w:r>
          </w:p>
        </w:tc>
        <w:tc>
          <w:tcPr>
            <w:tcW w:w="1701" w:type="dxa"/>
            <w:vAlign w:val="center"/>
          </w:tcPr>
          <w:p w14:paraId="7319A4BB" w14:textId="77777777" w:rsidR="00454A29" w:rsidRDefault="00454A29">
            <w:pPr>
              <w:pStyle w:val="ConsPlusNormal"/>
              <w:jc w:val="center"/>
            </w:pPr>
            <w:r>
              <w:t>565 495,81</w:t>
            </w:r>
          </w:p>
        </w:tc>
        <w:tc>
          <w:tcPr>
            <w:tcW w:w="1814" w:type="dxa"/>
            <w:vAlign w:val="center"/>
          </w:tcPr>
          <w:p w14:paraId="39D19D22" w14:textId="77777777" w:rsidR="00454A29" w:rsidRDefault="00454A29">
            <w:pPr>
              <w:pStyle w:val="ConsPlusNormal"/>
              <w:jc w:val="center"/>
            </w:pPr>
            <w:r>
              <w:t>-</w:t>
            </w:r>
          </w:p>
        </w:tc>
      </w:tr>
      <w:tr w:rsidR="00454A29" w14:paraId="45F00F7B" w14:textId="77777777">
        <w:tc>
          <w:tcPr>
            <w:tcW w:w="567" w:type="dxa"/>
            <w:vMerge/>
          </w:tcPr>
          <w:p w14:paraId="6452D4D9" w14:textId="77777777" w:rsidR="00454A29" w:rsidRDefault="00454A29"/>
        </w:tc>
        <w:tc>
          <w:tcPr>
            <w:tcW w:w="3345" w:type="dxa"/>
            <w:vMerge/>
          </w:tcPr>
          <w:p w14:paraId="58BC8849" w14:textId="77777777" w:rsidR="00454A29" w:rsidRDefault="00454A29"/>
        </w:tc>
        <w:tc>
          <w:tcPr>
            <w:tcW w:w="1701" w:type="dxa"/>
            <w:vAlign w:val="center"/>
          </w:tcPr>
          <w:p w14:paraId="53C5313C" w14:textId="77777777" w:rsidR="00454A29" w:rsidRDefault="00454A29">
            <w:pPr>
              <w:pStyle w:val="ConsPlusNormal"/>
              <w:jc w:val="center"/>
            </w:pPr>
            <w:r>
              <w:t>2022</w:t>
            </w:r>
          </w:p>
        </w:tc>
        <w:tc>
          <w:tcPr>
            <w:tcW w:w="1417" w:type="dxa"/>
            <w:vMerge/>
          </w:tcPr>
          <w:p w14:paraId="4EFEA708" w14:textId="77777777" w:rsidR="00454A29" w:rsidRDefault="00454A29"/>
        </w:tc>
        <w:tc>
          <w:tcPr>
            <w:tcW w:w="2204" w:type="dxa"/>
            <w:vMerge/>
          </w:tcPr>
          <w:p w14:paraId="1A5ACEC0" w14:textId="77777777" w:rsidR="00454A29" w:rsidRDefault="00454A29"/>
        </w:tc>
        <w:tc>
          <w:tcPr>
            <w:tcW w:w="1417" w:type="dxa"/>
            <w:vMerge/>
          </w:tcPr>
          <w:p w14:paraId="28BA645B" w14:textId="77777777" w:rsidR="00454A29" w:rsidRDefault="00454A29"/>
        </w:tc>
        <w:tc>
          <w:tcPr>
            <w:tcW w:w="2324" w:type="dxa"/>
            <w:vMerge/>
          </w:tcPr>
          <w:p w14:paraId="11A8D147" w14:textId="77777777" w:rsidR="00454A29" w:rsidRDefault="00454A29"/>
        </w:tc>
        <w:tc>
          <w:tcPr>
            <w:tcW w:w="1701" w:type="dxa"/>
            <w:vAlign w:val="center"/>
          </w:tcPr>
          <w:p w14:paraId="14713895" w14:textId="77777777" w:rsidR="00454A29" w:rsidRDefault="00454A29">
            <w:pPr>
              <w:pStyle w:val="ConsPlusNormal"/>
              <w:jc w:val="center"/>
            </w:pPr>
            <w:r>
              <w:t>1 576 722,31</w:t>
            </w:r>
          </w:p>
        </w:tc>
        <w:tc>
          <w:tcPr>
            <w:tcW w:w="1814" w:type="dxa"/>
            <w:vAlign w:val="center"/>
          </w:tcPr>
          <w:p w14:paraId="569470E9" w14:textId="77777777" w:rsidR="00454A29" w:rsidRDefault="00454A29">
            <w:pPr>
              <w:pStyle w:val="ConsPlusNormal"/>
              <w:jc w:val="center"/>
            </w:pPr>
            <w:r>
              <w:t>923 231,48</w:t>
            </w:r>
          </w:p>
        </w:tc>
        <w:tc>
          <w:tcPr>
            <w:tcW w:w="1701" w:type="dxa"/>
            <w:vAlign w:val="center"/>
          </w:tcPr>
          <w:p w14:paraId="17BC911C" w14:textId="77777777" w:rsidR="00454A29" w:rsidRDefault="00454A29">
            <w:pPr>
              <w:pStyle w:val="ConsPlusNormal"/>
              <w:jc w:val="center"/>
            </w:pPr>
            <w:r>
              <w:t>498 498,20</w:t>
            </w:r>
          </w:p>
        </w:tc>
        <w:tc>
          <w:tcPr>
            <w:tcW w:w="1701" w:type="dxa"/>
            <w:vAlign w:val="center"/>
          </w:tcPr>
          <w:p w14:paraId="38179951" w14:textId="77777777" w:rsidR="00454A29" w:rsidRDefault="00454A29">
            <w:pPr>
              <w:pStyle w:val="ConsPlusNormal"/>
              <w:jc w:val="center"/>
            </w:pPr>
            <w:r>
              <w:t>154 992,63</w:t>
            </w:r>
          </w:p>
        </w:tc>
        <w:tc>
          <w:tcPr>
            <w:tcW w:w="1814" w:type="dxa"/>
            <w:vAlign w:val="center"/>
          </w:tcPr>
          <w:p w14:paraId="7C619077" w14:textId="77777777" w:rsidR="00454A29" w:rsidRDefault="00454A29">
            <w:pPr>
              <w:pStyle w:val="ConsPlusNormal"/>
              <w:jc w:val="center"/>
            </w:pPr>
            <w:r>
              <w:t>-</w:t>
            </w:r>
          </w:p>
        </w:tc>
      </w:tr>
      <w:tr w:rsidR="00454A29" w14:paraId="051CD507" w14:textId="77777777">
        <w:tc>
          <w:tcPr>
            <w:tcW w:w="567" w:type="dxa"/>
            <w:vMerge/>
          </w:tcPr>
          <w:p w14:paraId="258EAB0A" w14:textId="77777777" w:rsidR="00454A29" w:rsidRDefault="00454A29"/>
        </w:tc>
        <w:tc>
          <w:tcPr>
            <w:tcW w:w="3345" w:type="dxa"/>
            <w:vMerge/>
          </w:tcPr>
          <w:p w14:paraId="6D4471CD" w14:textId="77777777" w:rsidR="00454A29" w:rsidRDefault="00454A29"/>
        </w:tc>
        <w:tc>
          <w:tcPr>
            <w:tcW w:w="1701" w:type="dxa"/>
            <w:vAlign w:val="center"/>
          </w:tcPr>
          <w:p w14:paraId="75CEB723" w14:textId="77777777" w:rsidR="00454A29" w:rsidRDefault="00454A29">
            <w:pPr>
              <w:pStyle w:val="ConsPlusNormal"/>
              <w:jc w:val="center"/>
            </w:pPr>
            <w:r>
              <w:t>2023</w:t>
            </w:r>
          </w:p>
        </w:tc>
        <w:tc>
          <w:tcPr>
            <w:tcW w:w="1417" w:type="dxa"/>
            <w:vMerge/>
          </w:tcPr>
          <w:p w14:paraId="1654A8B0" w14:textId="77777777" w:rsidR="00454A29" w:rsidRDefault="00454A29"/>
        </w:tc>
        <w:tc>
          <w:tcPr>
            <w:tcW w:w="2204" w:type="dxa"/>
            <w:vMerge/>
          </w:tcPr>
          <w:p w14:paraId="48D81BDD" w14:textId="77777777" w:rsidR="00454A29" w:rsidRDefault="00454A29"/>
        </w:tc>
        <w:tc>
          <w:tcPr>
            <w:tcW w:w="1417" w:type="dxa"/>
            <w:vMerge/>
          </w:tcPr>
          <w:p w14:paraId="25B1C268" w14:textId="77777777" w:rsidR="00454A29" w:rsidRDefault="00454A29"/>
        </w:tc>
        <w:tc>
          <w:tcPr>
            <w:tcW w:w="2324" w:type="dxa"/>
            <w:vMerge/>
          </w:tcPr>
          <w:p w14:paraId="2F7BD072" w14:textId="77777777" w:rsidR="00454A29" w:rsidRDefault="00454A29"/>
        </w:tc>
        <w:tc>
          <w:tcPr>
            <w:tcW w:w="1701" w:type="dxa"/>
            <w:vAlign w:val="center"/>
          </w:tcPr>
          <w:p w14:paraId="3BF875E3" w14:textId="77777777" w:rsidR="00454A29" w:rsidRDefault="00454A29">
            <w:pPr>
              <w:pStyle w:val="ConsPlusNormal"/>
              <w:jc w:val="center"/>
            </w:pPr>
            <w:r>
              <w:t>4 331 005,07</w:t>
            </w:r>
          </w:p>
        </w:tc>
        <w:tc>
          <w:tcPr>
            <w:tcW w:w="1814" w:type="dxa"/>
            <w:vAlign w:val="center"/>
          </w:tcPr>
          <w:p w14:paraId="45CF6273" w14:textId="77777777" w:rsidR="00454A29" w:rsidRDefault="00454A29">
            <w:pPr>
              <w:pStyle w:val="ConsPlusNormal"/>
              <w:jc w:val="center"/>
            </w:pPr>
            <w:r>
              <w:t>158 250,04</w:t>
            </w:r>
          </w:p>
        </w:tc>
        <w:tc>
          <w:tcPr>
            <w:tcW w:w="1701" w:type="dxa"/>
            <w:vAlign w:val="center"/>
          </w:tcPr>
          <w:p w14:paraId="4000BF94" w14:textId="77777777" w:rsidR="00454A29" w:rsidRDefault="00454A29">
            <w:pPr>
              <w:pStyle w:val="ConsPlusNormal"/>
              <w:jc w:val="center"/>
            </w:pPr>
            <w:r>
              <w:t>3 971 021,40</w:t>
            </w:r>
          </w:p>
        </w:tc>
        <w:tc>
          <w:tcPr>
            <w:tcW w:w="1701" w:type="dxa"/>
            <w:vAlign w:val="center"/>
          </w:tcPr>
          <w:p w14:paraId="77C25685" w14:textId="77777777" w:rsidR="00454A29" w:rsidRDefault="00454A29">
            <w:pPr>
              <w:pStyle w:val="ConsPlusNormal"/>
              <w:jc w:val="center"/>
            </w:pPr>
            <w:r>
              <w:t>201 733,62</w:t>
            </w:r>
          </w:p>
        </w:tc>
        <w:tc>
          <w:tcPr>
            <w:tcW w:w="1814" w:type="dxa"/>
            <w:vAlign w:val="center"/>
          </w:tcPr>
          <w:p w14:paraId="757E30A3" w14:textId="77777777" w:rsidR="00454A29" w:rsidRDefault="00454A29">
            <w:pPr>
              <w:pStyle w:val="ConsPlusNormal"/>
              <w:jc w:val="center"/>
            </w:pPr>
            <w:r>
              <w:t>-</w:t>
            </w:r>
          </w:p>
        </w:tc>
      </w:tr>
      <w:tr w:rsidR="00454A29" w14:paraId="762A8A93" w14:textId="77777777">
        <w:tc>
          <w:tcPr>
            <w:tcW w:w="567" w:type="dxa"/>
            <w:vMerge/>
          </w:tcPr>
          <w:p w14:paraId="3E25321A" w14:textId="77777777" w:rsidR="00454A29" w:rsidRDefault="00454A29"/>
        </w:tc>
        <w:tc>
          <w:tcPr>
            <w:tcW w:w="3345" w:type="dxa"/>
            <w:vMerge/>
          </w:tcPr>
          <w:p w14:paraId="33FFF101" w14:textId="77777777" w:rsidR="00454A29" w:rsidRDefault="00454A29"/>
        </w:tc>
        <w:tc>
          <w:tcPr>
            <w:tcW w:w="1701" w:type="dxa"/>
            <w:vAlign w:val="center"/>
          </w:tcPr>
          <w:p w14:paraId="7CCD79DE" w14:textId="77777777" w:rsidR="00454A29" w:rsidRDefault="00454A29">
            <w:pPr>
              <w:pStyle w:val="ConsPlusNormal"/>
              <w:jc w:val="center"/>
            </w:pPr>
            <w:r>
              <w:t>2024</w:t>
            </w:r>
          </w:p>
        </w:tc>
        <w:tc>
          <w:tcPr>
            <w:tcW w:w="1417" w:type="dxa"/>
            <w:vMerge/>
          </w:tcPr>
          <w:p w14:paraId="71C936ED" w14:textId="77777777" w:rsidR="00454A29" w:rsidRDefault="00454A29"/>
        </w:tc>
        <w:tc>
          <w:tcPr>
            <w:tcW w:w="2204" w:type="dxa"/>
            <w:vMerge/>
          </w:tcPr>
          <w:p w14:paraId="4F4D16E9" w14:textId="77777777" w:rsidR="00454A29" w:rsidRDefault="00454A29"/>
        </w:tc>
        <w:tc>
          <w:tcPr>
            <w:tcW w:w="1417" w:type="dxa"/>
            <w:vMerge/>
          </w:tcPr>
          <w:p w14:paraId="5B74C960" w14:textId="77777777" w:rsidR="00454A29" w:rsidRDefault="00454A29"/>
        </w:tc>
        <w:tc>
          <w:tcPr>
            <w:tcW w:w="2324" w:type="dxa"/>
            <w:vMerge/>
          </w:tcPr>
          <w:p w14:paraId="2A5E54D3" w14:textId="77777777" w:rsidR="00454A29" w:rsidRDefault="00454A29"/>
        </w:tc>
        <w:tc>
          <w:tcPr>
            <w:tcW w:w="1701" w:type="dxa"/>
            <w:vAlign w:val="center"/>
          </w:tcPr>
          <w:p w14:paraId="7FE8DA2C" w14:textId="77777777" w:rsidR="00454A29" w:rsidRDefault="00454A29">
            <w:pPr>
              <w:pStyle w:val="ConsPlusNormal"/>
              <w:jc w:val="center"/>
            </w:pPr>
            <w:r>
              <w:t>2 801 976,34</w:t>
            </w:r>
          </w:p>
        </w:tc>
        <w:tc>
          <w:tcPr>
            <w:tcW w:w="1814" w:type="dxa"/>
            <w:vAlign w:val="center"/>
          </w:tcPr>
          <w:p w14:paraId="2306BAAE" w14:textId="77777777" w:rsidR="00454A29" w:rsidRDefault="00454A29">
            <w:pPr>
              <w:pStyle w:val="ConsPlusNormal"/>
              <w:jc w:val="center"/>
            </w:pPr>
            <w:r>
              <w:t>211 159,00</w:t>
            </w:r>
          </w:p>
        </w:tc>
        <w:tc>
          <w:tcPr>
            <w:tcW w:w="1701" w:type="dxa"/>
            <w:vAlign w:val="center"/>
          </w:tcPr>
          <w:p w14:paraId="54345FE1" w14:textId="77777777" w:rsidR="00454A29" w:rsidRDefault="00454A29">
            <w:pPr>
              <w:pStyle w:val="ConsPlusNormal"/>
              <w:jc w:val="center"/>
            </w:pPr>
            <w:r>
              <w:t>2 409 272,01</w:t>
            </w:r>
          </w:p>
        </w:tc>
        <w:tc>
          <w:tcPr>
            <w:tcW w:w="1701" w:type="dxa"/>
            <w:vAlign w:val="center"/>
          </w:tcPr>
          <w:p w14:paraId="784F1D31" w14:textId="77777777" w:rsidR="00454A29" w:rsidRDefault="00454A29">
            <w:pPr>
              <w:pStyle w:val="ConsPlusNormal"/>
              <w:jc w:val="center"/>
            </w:pPr>
            <w:r>
              <w:t>181 545,33</w:t>
            </w:r>
          </w:p>
        </w:tc>
        <w:tc>
          <w:tcPr>
            <w:tcW w:w="1814" w:type="dxa"/>
            <w:vAlign w:val="center"/>
          </w:tcPr>
          <w:p w14:paraId="0E1FD492" w14:textId="77777777" w:rsidR="00454A29" w:rsidRDefault="00454A29">
            <w:pPr>
              <w:pStyle w:val="ConsPlusNormal"/>
              <w:jc w:val="center"/>
            </w:pPr>
            <w:r>
              <w:t>-</w:t>
            </w:r>
          </w:p>
        </w:tc>
      </w:tr>
      <w:tr w:rsidR="00454A29" w14:paraId="737768B8" w14:textId="77777777">
        <w:tc>
          <w:tcPr>
            <w:tcW w:w="567" w:type="dxa"/>
            <w:vMerge/>
          </w:tcPr>
          <w:p w14:paraId="591329AE" w14:textId="77777777" w:rsidR="00454A29" w:rsidRDefault="00454A29"/>
        </w:tc>
        <w:tc>
          <w:tcPr>
            <w:tcW w:w="3345" w:type="dxa"/>
            <w:vMerge/>
          </w:tcPr>
          <w:p w14:paraId="4F32D0DA" w14:textId="77777777" w:rsidR="00454A29" w:rsidRDefault="00454A29"/>
        </w:tc>
        <w:tc>
          <w:tcPr>
            <w:tcW w:w="1701" w:type="dxa"/>
            <w:vAlign w:val="center"/>
          </w:tcPr>
          <w:p w14:paraId="6B831076" w14:textId="77777777" w:rsidR="00454A29" w:rsidRDefault="00454A29">
            <w:pPr>
              <w:pStyle w:val="ConsPlusNormal"/>
              <w:jc w:val="center"/>
            </w:pPr>
            <w:r>
              <w:t>2025</w:t>
            </w:r>
          </w:p>
        </w:tc>
        <w:tc>
          <w:tcPr>
            <w:tcW w:w="1417" w:type="dxa"/>
            <w:vMerge/>
          </w:tcPr>
          <w:p w14:paraId="1E1B73D5" w14:textId="77777777" w:rsidR="00454A29" w:rsidRDefault="00454A29"/>
        </w:tc>
        <w:tc>
          <w:tcPr>
            <w:tcW w:w="2204" w:type="dxa"/>
            <w:vMerge/>
          </w:tcPr>
          <w:p w14:paraId="1E377AB0" w14:textId="77777777" w:rsidR="00454A29" w:rsidRDefault="00454A29"/>
        </w:tc>
        <w:tc>
          <w:tcPr>
            <w:tcW w:w="1417" w:type="dxa"/>
            <w:vMerge/>
          </w:tcPr>
          <w:p w14:paraId="516A7047" w14:textId="77777777" w:rsidR="00454A29" w:rsidRDefault="00454A29"/>
        </w:tc>
        <w:tc>
          <w:tcPr>
            <w:tcW w:w="2324" w:type="dxa"/>
            <w:vMerge/>
          </w:tcPr>
          <w:p w14:paraId="7B62326D" w14:textId="77777777" w:rsidR="00454A29" w:rsidRDefault="00454A29"/>
        </w:tc>
        <w:tc>
          <w:tcPr>
            <w:tcW w:w="1701" w:type="dxa"/>
            <w:vAlign w:val="center"/>
          </w:tcPr>
          <w:p w14:paraId="01356940" w14:textId="77777777" w:rsidR="00454A29" w:rsidRDefault="00454A29">
            <w:pPr>
              <w:pStyle w:val="ConsPlusNormal"/>
              <w:jc w:val="center"/>
            </w:pPr>
            <w:r>
              <w:t>43 880 719,51</w:t>
            </w:r>
          </w:p>
        </w:tc>
        <w:tc>
          <w:tcPr>
            <w:tcW w:w="1814" w:type="dxa"/>
            <w:vAlign w:val="center"/>
          </w:tcPr>
          <w:p w14:paraId="79137438" w14:textId="77777777" w:rsidR="00454A29" w:rsidRDefault="00454A29">
            <w:pPr>
              <w:pStyle w:val="ConsPlusNormal"/>
              <w:jc w:val="center"/>
            </w:pPr>
            <w:r>
              <w:t>1 041 952,14</w:t>
            </w:r>
          </w:p>
        </w:tc>
        <w:tc>
          <w:tcPr>
            <w:tcW w:w="1701" w:type="dxa"/>
            <w:vAlign w:val="center"/>
          </w:tcPr>
          <w:p w14:paraId="7A5E7C7B" w14:textId="77777777" w:rsidR="00454A29" w:rsidRDefault="00454A29">
            <w:pPr>
              <w:pStyle w:val="ConsPlusNormal"/>
              <w:jc w:val="center"/>
            </w:pPr>
            <w:r>
              <w:t>42 632 643,15</w:t>
            </w:r>
          </w:p>
        </w:tc>
        <w:tc>
          <w:tcPr>
            <w:tcW w:w="1701" w:type="dxa"/>
            <w:vAlign w:val="center"/>
          </w:tcPr>
          <w:p w14:paraId="15DA74E5" w14:textId="77777777" w:rsidR="00454A29" w:rsidRDefault="00454A29">
            <w:pPr>
              <w:pStyle w:val="ConsPlusNormal"/>
              <w:jc w:val="center"/>
            </w:pPr>
            <w:r>
              <w:t>206 124,22</w:t>
            </w:r>
          </w:p>
        </w:tc>
        <w:tc>
          <w:tcPr>
            <w:tcW w:w="1814" w:type="dxa"/>
            <w:vAlign w:val="center"/>
          </w:tcPr>
          <w:p w14:paraId="78C3328E" w14:textId="77777777" w:rsidR="00454A29" w:rsidRDefault="00454A29">
            <w:pPr>
              <w:pStyle w:val="ConsPlusNormal"/>
              <w:jc w:val="center"/>
            </w:pPr>
            <w:r>
              <w:t>-</w:t>
            </w:r>
          </w:p>
        </w:tc>
      </w:tr>
      <w:tr w:rsidR="00454A29" w14:paraId="59012176" w14:textId="77777777">
        <w:tc>
          <w:tcPr>
            <w:tcW w:w="567" w:type="dxa"/>
            <w:vMerge/>
          </w:tcPr>
          <w:p w14:paraId="46F953DA" w14:textId="77777777" w:rsidR="00454A29" w:rsidRDefault="00454A29"/>
        </w:tc>
        <w:tc>
          <w:tcPr>
            <w:tcW w:w="3345" w:type="dxa"/>
            <w:vMerge/>
          </w:tcPr>
          <w:p w14:paraId="6612B985" w14:textId="77777777" w:rsidR="00454A29" w:rsidRDefault="00454A29"/>
        </w:tc>
        <w:tc>
          <w:tcPr>
            <w:tcW w:w="1701" w:type="dxa"/>
            <w:vAlign w:val="center"/>
          </w:tcPr>
          <w:p w14:paraId="77640FA9" w14:textId="77777777" w:rsidR="00454A29" w:rsidRDefault="00454A29">
            <w:pPr>
              <w:pStyle w:val="ConsPlusNormal"/>
              <w:jc w:val="center"/>
            </w:pPr>
            <w:r>
              <w:t>2026</w:t>
            </w:r>
          </w:p>
        </w:tc>
        <w:tc>
          <w:tcPr>
            <w:tcW w:w="1417" w:type="dxa"/>
            <w:vMerge/>
          </w:tcPr>
          <w:p w14:paraId="54B9B942" w14:textId="77777777" w:rsidR="00454A29" w:rsidRDefault="00454A29"/>
        </w:tc>
        <w:tc>
          <w:tcPr>
            <w:tcW w:w="2204" w:type="dxa"/>
            <w:vMerge/>
          </w:tcPr>
          <w:p w14:paraId="74050459" w14:textId="77777777" w:rsidR="00454A29" w:rsidRDefault="00454A29"/>
        </w:tc>
        <w:tc>
          <w:tcPr>
            <w:tcW w:w="1417" w:type="dxa"/>
            <w:vMerge/>
          </w:tcPr>
          <w:p w14:paraId="7F84AF55" w14:textId="77777777" w:rsidR="00454A29" w:rsidRDefault="00454A29"/>
        </w:tc>
        <w:tc>
          <w:tcPr>
            <w:tcW w:w="2324" w:type="dxa"/>
            <w:vMerge/>
          </w:tcPr>
          <w:p w14:paraId="20474A64" w14:textId="77777777" w:rsidR="00454A29" w:rsidRDefault="00454A29"/>
        </w:tc>
        <w:tc>
          <w:tcPr>
            <w:tcW w:w="1701" w:type="dxa"/>
            <w:vAlign w:val="center"/>
          </w:tcPr>
          <w:p w14:paraId="69FD9134" w14:textId="77777777" w:rsidR="00454A29" w:rsidRDefault="00454A29">
            <w:pPr>
              <w:pStyle w:val="ConsPlusNormal"/>
              <w:jc w:val="center"/>
            </w:pPr>
            <w:r>
              <w:t>50 212 420,98</w:t>
            </w:r>
          </w:p>
        </w:tc>
        <w:tc>
          <w:tcPr>
            <w:tcW w:w="1814" w:type="dxa"/>
            <w:vAlign w:val="center"/>
          </w:tcPr>
          <w:p w14:paraId="3FB85E8B" w14:textId="77777777" w:rsidR="00454A29" w:rsidRDefault="00454A29">
            <w:pPr>
              <w:pStyle w:val="ConsPlusNormal"/>
              <w:jc w:val="center"/>
            </w:pPr>
            <w:r>
              <w:t>976 789,14</w:t>
            </w:r>
          </w:p>
        </w:tc>
        <w:tc>
          <w:tcPr>
            <w:tcW w:w="1701" w:type="dxa"/>
            <w:vAlign w:val="center"/>
          </w:tcPr>
          <w:p w14:paraId="1F0FCE7E" w14:textId="77777777" w:rsidR="00454A29" w:rsidRDefault="00454A29">
            <w:pPr>
              <w:pStyle w:val="ConsPlusNormal"/>
              <w:jc w:val="center"/>
            </w:pPr>
            <w:r>
              <w:t>48 984 588,33</w:t>
            </w:r>
          </w:p>
        </w:tc>
        <w:tc>
          <w:tcPr>
            <w:tcW w:w="1701" w:type="dxa"/>
            <w:vAlign w:val="center"/>
          </w:tcPr>
          <w:p w14:paraId="3C718301" w14:textId="77777777" w:rsidR="00454A29" w:rsidRDefault="00454A29">
            <w:pPr>
              <w:pStyle w:val="ConsPlusNormal"/>
              <w:jc w:val="center"/>
            </w:pPr>
            <w:r>
              <w:t>251 043,52</w:t>
            </w:r>
          </w:p>
        </w:tc>
        <w:tc>
          <w:tcPr>
            <w:tcW w:w="1814" w:type="dxa"/>
            <w:vAlign w:val="center"/>
          </w:tcPr>
          <w:p w14:paraId="69BB7EEC" w14:textId="77777777" w:rsidR="00454A29" w:rsidRDefault="00454A29">
            <w:pPr>
              <w:pStyle w:val="ConsPlusNormal"/>
              <w:jc w:val="center"/>
            </w:pPr>
            <w:r>
              <w:t>-</w:t>
            </w:r>
          </w:p>
        </w:tc>
      </w:tr>
      <w:tr w:rsidR="00454A29" w14:paraId="583E4DEB" w14:textId="77777777">
        <w:tc>
          <w:tcPr>
            <w:tcW w:w="21706" w:type="dxa"/>
            <w:gridSpan w:val="12"/>
            <w:vAlign w:val="center"/>
          </w:tcPr>
          <w:p w14:paraId="1B6DA421" w14:textId="77777777" w:rsidR="00454A29" w:rsidRDefault="00454A29">
            <w:pPr>
              <w:pStyle w:val="ConsPlusNormal"/>
              <w:jc w:val="center"/>
            </w:pPr>
            <w:r>
              <w:t>Основное мероприятие 9.1.</w:t>
            </w:r>
          </w:p>
        </w:tc>
      </w:tr>
      <w:tr w:rsidR="00454A29" w14:paraId="7AD44E12" w14:textId="77777777">
        <w:tc>
          <w:tcPr>
            <w:tcW w:w="567" w:type="dxa"/>
            <w:vMerge w:val="restart"/>
            <w:vAlign w:val="center"/>
          </w:tcPr>
          <w:p w14:paraId="69401898" w14:textId="77777777" w:rsidR="00454A29" w:rsidRDefault="00454A29">
            <w:pPr>
              <w:pStyle w:val="ConsPlusNormal"/>
            </w:pPr>
          </w:p>
        </w:tc>
        <w:tc>
          <w:tcPr>
            <w:tcW w:w="3345" w:type="dxa"/>
            <w:vMerge w:val="restart"/>
            <w:vAlign w:val="center"/>
          </w:tcPr>
          <w:p w14:paraId="5AFC7275" w14:textId="77777777" w:rsidR="00454A29" w:rsidRDefault="00454A29">
            <w:pPr>
              <w:pStyle w:val="ConsPlusNormal"/>
              <w:jc w:val="center"/>
            </w:pPr>
            <w:r>
              <w:t>Модернизация существующей инфраструктуры общего образования</w:t>
            </w:r>
          </w:p>
        </w:tc>
        <w:tc>
          <w:tcPr>
            <w:tcW w:w="1701" w:type="dxa"/>
            <w:vAlign w:val="center"/>
          </w:tcPr>
          <w:p w14:paraId="21BFDA48" w14:textId="77777777" w:rsidR="00454A29" w:rsidRDefault="00454A29">
            <w:pPr>
              <w:pStyle w:val="ConsPlusNormal"/>
              <w:jc w:val="center"/>
            </w:pPr>
            <w:r>
              <w:t>Всего:</w:t>
            </w:r>
          </w:p>
        </w:tc>
        <w:tc>
          <w:tcPr>
            <w:tcW w:w="1417" w:type="dxa"/>
            <w:vMerge w:val="restart"/>
            <w:vAlign w:val="center"/>
          </w:tcPr>
          <w:p w14:paraId="5825C596" w14:textId="77777777" w:rsidR="00454A29" w:rsidRDefault="00454A29">
            <w:pPr>
              <w:pStyle w:val="ConsPlusNormal"/>
            </w:pPr>
          </w:p>
        </w:tc>
        <w:tc>
          <w:tcPr>
            <w:tcW w:w="2204" w:type="dxa"/>
            <w:vMerge w:val="restart"/>
            <w:vAlign w:val="center"/>
          </w:tcPr>
          <w:p w14:paraId="3C19E5A2" w14:textId="77777777" w:rsidR="00454A29" w:rsidRDefault="00454A29">
            <w:pPr>
              <w:pStyle w:val="ConsPlusNormal"/>
            </w:pPr>
          </w:p>
        </w:tc>
        <w:tc>
          <w:tcPr>
            <w:tcW w:w="1417" w:type="dxa"/>
            <w:vMerge w:val="restart"/>
            <w:vAlign w:val="center"/>
          </w:tcPr>
          <w:p w14:paraId="488B3F09" w14:textId="77777777" w:rsidR="00454A29" w:rsidRDefault="00454A29">
            <w:pPr>
              <w:pStyle w:val="ConsPlusNormal"/>
              <w:jc w:val="center"/>
            </w:pPr>
            <w:r>
              <w:t>43173</w:t>
            </w:r>
          </w:p>
        </w:tc>
        <w:tc>
          <w:tcPr>
            <w:tcW w:w="2324" w:type="dxa"/>
            <w:vMerge w:val="restart"/>
            <w:vAlign w:val="center"/>
          </w:tcPr>
          <w:p w14:paraId="20FE052D" w14:textId="77777777" w:rsidR="00454A29" w:rsidRDefault="00454A29">
            <w:pPr>
              <w:pStyle w:val="ConsPlusNormal"/>
            </w:pPr>
          </w:p>
        </w:tc>
        <w:tc>
          <w:tcPr>
            <w:tcW w:w="1701" w:type="dxa"/>
            <w:vAlign w:val="center"/>
          </w:tcPr>
          <w:p w14:paraId="4C195F12" w14:textId="77777777" w:rsidR="00454A29" w:rsidRDefault="00454A29">
            <w:pPr>
              <w:pStyle w:val="ConsPlusNormal"/>
              <w:jc w:val="center"/>
            </w:pPr>
            <w:r>
              <w:t>108 159 913,40</w:t>
            </w:r>
          </w:p>
        </w:tc>
        <w:tc>
          <w:tcPr>
            <w:tcW w:w="1814" w:type="dxa"/>
            <w:vAlign w:val="center"/>
          </w:tcPr>
          <w:p w14:paraId="04611993" w14:textId="77777777" w:rsidR="00454A29" w:rsidRDefault="00454A29">
            <w:pPr>
              <w:pStyle w:val="ConsPlusNormal"/>
              <w:jc w:val="center"/>
            </w:pPr>
            <w:r>
              <w:t>7 458 692,29</w:t>
            </w:r>
          </w:p>
        </w:tc>
        <w:tc>
          <w:tcPr>
            <w:tcW w:w="1701" w:type="dxa"/>
            <w:vAlign w:val="center"/>
          </w:tcPr>
          <w:p w14:paraId="1C1EBC53" w14:textId="77777777" w:rsidR="00454A29" w:rsidRDefault="00454A29">
            <w:pPr>
              <w:pStyle w:val="ConsPlusNormal"/>
              <w:jc w:val="center"/>
            </w:pPr>
            <w:r>
              <w:t>98 545 154,92</w:t>
            </w:r>
          </w:p>
        </w:tc>
        <w:tc>
          <w:tcPr>
            <w:tcW w:w="1701" w:type="dxa"/>
            <w:vAlign w:val="center"/>
          </w:tcPr>
          <w:p w14:paraId="622B7E2A" w14:textId="77777777" w:rsidR="00454A29" w:rsidRDefault="00454A29">
            <w:pPr>
              <w:pStyle w:val="ConsPlusNormal"/>
              <w:jc w:val="center"/>
            </w:pPr>
            <w:r>
              <w:t>2 156 066,19</w:t>
            </w:r>
          </w:p>
        </w:tc>
        <w:tc>
          <w:tcPr>
            <w:tcW w:w="1814" w:type="dxa"/>
            <w:vAlign w:val="center"/>
          </w:tcPr>
          <w:p w14:paraId="3993EC12" w14:textId="77777777" w:rsidR="00454A29" w:rsidRDefault="00454A29">
            <w:pPr>
              <w:pStyle w:val="ConsPlusNormal"/>
              <w:jc w:val="center"/>
            </w:pPr>
            <w:r>
              <w:t>-</w:t>
            </w:r>
          </w:p>
        </w:tc>
      </w:tr>
      <w:tr w:rsidR="00454A29" w14:paraId="48331ECE" w14:textId="77777777">
        <w:tc>
          <w:tcPr>
            <w:tcW w:w="567" w:type="dxa"/>
            <w:vMerge/>
          </w:tcPr>
          <w:p w14:paraId="3DC3F915" w14:textId="77777777" w:rsidR="00454A29" w:rsidRDefault="00454A29"/>
        </w:tc>
        <w:tc>
          <w:tcPr>
            <w:tcW w:w="3345" w:type="dxa"/>
            <w:vMerge/>
          </w:tcPr>
          <w:p w14:paraId="22376DE0" w14:textId="77777777" w:rsidR="00454A29" w:rsidRDefault="00454A29"/>
        </w:tc>
        <w:tc>
          <w:tcPr>
            <w:tcW w:w="1701" w:type="dxa"/>
            <w:vAlign w:val="center"/>
          </w:tcPr>
          <w:p w14:paraId="437EFCA5" w14:textId="77777777" w:rsidR="00454A29" w:rsidRDefault="00454A29">
            <w:pPr>
              <w:pStyle w:val="ConsPlusNormal"/>
              <w:jc w:val="center"/>
            </w:pPr>
            <w:r>
              <w:t>2020</w:t>
            </w:r>
          </w:p>
        </w:tc>
        <w:tc>
          <w:tcPr>
            <w:tcW w:w="1417" w:type="dxa"/>
            <w:vMerge/>
          </w:tcPr>
          <w:p w14:paraId="79AF30B6" w14:textId="77777777" w:rsidR="00454A29" w:rsidRDefault="00454A29"/>
        </w:tc>
        <w:tc>
          <w:tcPr>
            <w:tcW w:w="2204" w:type="dxa"/>
            <w:vMerge/>
          </w:tcPr>
          <w:p w14:paraId="50ECB01A" w14:textId="77777777" w:rsidR="00454A29" w:rsidRDefault="00454A29"/>
        </w:tc>
        <w:tc>
          <w:tcPr>
            <w:tcW w:w="1417" w:type="dxa"/>
            <w:vMerge/>
          </w:tcPr>
          <w:p w14:paraId="232CA432" w14:textId="77777777" w:rsidR="00454A29" w:rsidRDefault="00454A29"/>
        </w:tc>
        <w:tc>
          <w:tcPr>
            <w:tcW w:w="2324" w:type="dxa"/>
            <w:vMerge/>
          </w:tcPr>
          <w:p w14:paraId="02A3E856" w14:textId="77777777" w:rsidR="00454A29" w:rsidRDefault="00454A29"/>
        </w:tc>
        <w:tc>
          <w:tcPr>
            <w:tcW w:w="1701" w:type="dxa"/>
            <w:vAlign w:val="center"/>
          </w:tcPr>
          <w:p w14:paraId="6514DA5F" w14:textId="77777777" w:rsidR="00454A29" w:rsidRDefault="00454A29">
            <w:pPr>
              <w:pStyle w:val="ConsPlusNormal"/>
              <w:jc w:val="center"/>
            </w:pPr>
            <w:r>
              <w:t>3 342 672,97</w:t>
            </w:r>
          </w:p>
        </w:tc>
        <w:tc>
          <w:tcPr>
            <w:tcW w:w="1814" w:type="dxa"/>
            <w:vAlign w:val="center"/>
          </w:tcPr>
          <w:p w14:paraId="6C0A5204" w14:textId="77777777" w:rsidR="00454A29" w:rsidRDefault="00454A29">
            <w:pPr>
              <w:pStyle w:val="ConsPlusNormal"/>
              <w:jc w:val="center"/>
            </w:pPr>
            <w:r>
              <w:t>2 499 621,52</w:t>
            </w:r>
          </w:p>
        </w:tc>
        <w:tc>
          <w:tcPr>
            <w:tcW w:w="1701" w:type="dxa"/>
            <w:vAlign w:val="center"/>
          </w:tcPr>
          <w:p w14:paraId="62F95CAF" w14:textId="77777777" w:rsidR="00454A29" w:rsidRDefault="00454A29">
            <w:pPr>
              <w:pStyle w:val="ConsPlusNormal"/>
              <w:jc w:val="center"/>
            </w:pPr>
            <w:r>
              <w:t>247 920,39</w:t>
            </w:r>
          </w:p>
        </w:tc>
        <w:tc>
          <w:tcPr>
            <w:tcW w:w="1701" w:type="dxa"/>
            <w:vAlign w:val="center"/>
          </w:tcPr>
          <w:p w14:paraId="1365A1E2" w14:textId="77777777" w:rsidR="00454A29" w:rsidRDefault="00454A29">
            <w:pPr>
              <w:pStyle w:val="ConsPlusNormal"/>
              <w:jc w:val="center"/>
            </w:pPr>
            <w:r>
              <w:t>595 131,05</w:t>
            </w:r>
          </w:p>
        </w:tc>
        <w:tc>
          <w:tcPr>
            <w:tcW w:w="1814" w:type="dxa"/>
            <w:vAlign w:val="center"/>
          </w:tcPr>
          <w:p w14:paraId="3D001BB1" w14:textId="77777777" w:rsidR="00454A29" w:rsidRDefault="00454A29">
            <w:pPr>
              <w:pStyle w:val="ConsPlusNormal"/>
              <w:jc w:val="center"/>
            </w:pPr>
            <w:r>
              <w:t>-</w:t>
            </w:r>
          </w:p>
        </w:tc>
      </w:tr>
      <w:tr w:rsidR="00454A29" w14:paraId="3E43CC66" w14:textId="77777777">
        <w:tc>
          <w:tcPr>
            <w:tcW w:w="567" w:type="dxa"/>
            <w:vMerge/>
          </w:tcPr>
          <w:p w14:paraId="6C31A5F1" w14:textId="77777777" w:rsidR="00454A29" w:rsidRDefault="00454A29"/>
        </w:tc>
        <w:tc>
          <w:tcPr>
            <w:tcW w:w="3345" w:type="dxa"/>
            <w:vMerge/>
          </w:tcPr>
          <w:p w14:paraId="47B7F7FA" w14:textId="77777777" w:rsidR="00454A29" w:rsidRDefault="00454A29"/>
        </w:tc>
        <w:tc>
          <w:tcPr>
            <w:tcW w:w="1701" w:type="dxa"/>
            <w:vAlign w:val="center"/>
          </w:tcPr>
          <w:p w14:paraId="77B0FB2C" w14:textId="77777777" w:rsidR="00454A29" w:rsidRDefault="00454A29">
            <w:pPr>
              <w:pStyle w:val="ConsPlusNormal"/>
              <w:jc w:val="center"/>
            </w:pPr>
            <w:r>
              <w:t>2021</w:t>
            </w:r>
          </w:p>
        </w:tc>
        <w:tc>
          <w:tcPr>
            <w:tcW w:w="1417" w:type="dxa"/>
            <w:vMerge/>
          </w:tcPr>
          <w:p w14:paraId="5BA0C084" w14:textId="77777777" w:rsidR="00454A29" w:rsidRDefault="00454A29"/>
        </w:tc>
        <w:tc>
          <w:tcPr>
            <w:tcW w:w="2204" w:type="dxa"/>
            <w:vMerge/>
          </w:tcPr>
          <w:p w14:paraId="410679C5" w14:textId="77777777" w:rsidR="00454A29" w:rsidRDefault="00454A29"/>
        </w:tc>
        <w:tc>
          <w:tcPr>
            <w:tcW w:w="1417" w:type="dxa"/>
            <w:vMerge/>
          </w:tcPr>
          <w:p w14:paraId="307A5109" w14:textId="77777777" w:rsidR="00454A29" w:rsidRDefault="00454A29"/>
        </w:tc>
        <w:tc>
          <w:tcPr>
            <w:tcW w:w="2324" w:type="dxa"/>
            <w:vMerge/>
          </w:tcPr>
          <w:p w14:paraId="5F839145" w14:textId="77777777" w:rsidR="00454A29" w:rsidRDefault="00454A29"/>
        </w:tc>
        <w:tc>
          <w:tcPr>
            <w:tcW w:w="1701" w:type="dxa"/>
            <w:vAlign w:val="center"/>
          </w:tcPr>
          <w:p w14:paraId="5568FD73" w14:textId="77777777" w:rsidR="00454A29" w:rsidRDefault="00454A29">
            <w:pPr>
              <w:pStyle w:val="ConsPlusNormal"/>
              <w:jc w:val="center"/>
            </w:pPr>
            <w:r>
              <w:t>2 544 713,44</w:t>
            </w:r>
          </w:p>
        </w:tc>
        <w:tc>
          <w:tcPr>
            <w:tcW w:w="1814" w:type="dxa"/>
            <w:vAlign w:val="center"/>
          </w:tcPr>
          <w:p w14:paraId="37D00882" w14:textId="77777777" w:rsidR="00454A29" w:rsidRDefault="00454A29">
            <w:pPr>
              <w:pStyle w:val="ConsPlusNormal"/>
              <w:jc w:val="center"/>
            </w:pPr>
            <w:r>
              <w:t>1 679 507,99</w:t>
            </w:r>
          </w:p>
        </w:tc>
        <w:tc>
          <w:tcPr>
            <w:tcW w:w="1701" w:type="dxa"/>
            <w:vAlign w:val="center"/>
          </w:tcPr>
          <w:p w14:paraId="42E33400" w14:textId="77777777" w:rsidR="00454A29" w:rsidRDefault="00454A29">
            <w:pPr>
              <w:pStyle w:val="ConsPlusNormal"/>
              <w:jc w:val="center"/>
            </w:pPr>
            <w:r>
              <w:t>299 709,64</w:t>
            </w:r>
          </w:p>
        </w:tc>
        <w:tc>
          <w:tcPr>
            <w:tcW w:w="1701" w:type="dxa"/>
            <w:vAlign w:val="center"/>
          </w:tcPr>
          <w:p w14:paraId="214EB680" w14:textId="77777777" w:rsidR="00454A29" w:rsidRDefault="00454A29">
            <w:pPr>
              <w:pStyle w:val="ConsPlusNormal"/>
              <w:jc w:val="center"/>
            </w:pPr>
            <w:r>
              <w:t>565 495,81</w:t>
            </w:r>
          </w:p>
        </w:tc>
        <w:tc>
          <w:tcPr>
            <w:tcW w:w="1814" w:type="dxa"/>
            <w:vAlign w:val="center"/>
          </w:tcPr>
          <w:p w14:paraId="63BBFF73" w14:textId="77777777" w:rsidR="00454A29" w:rsidRDefault="00454A29">
            <w:pPr>
              <w:pStyle w:val="ConsPlusNormal"/>
              <w:jc w:val="center"/>
            </w:pPr>
            <w:r>
              <w:t>-</w:t>
            </w:r>
          </w:p>
        </w:tc>
      </w:tr>
      <w:tr w:rsidR="00454A29" w14:paraId="3C90D642" w14:textId="77777777">
        <w:tc>
          <w:tcPr>
            <w:tcW w:w="567" w:type="dxa"/>
            <w:vMerge/>
          </w:tcPr>
          <w:p w14:paraId="4A0534EE" w14:textId="77777777" w:rsidR="00454A29" w:rsidRDefault="00454A29"/>
        </w:tc>
        <w:tc>
          <w:tcPr>
            <w:tcW w:w="3345" w:type="dxa"/>
            <w:vMerge/>
          </w:tcPr>
          <w:p w14:paraId="44CC5A10" w14:textId="77777777" w:rsidR="00454A29" w:rsidRDefault="00454A29"/>
        </w:tc>
        <w:tc>
          <w:tcPr>
            <w:tcW w:w="1701" w:type="dxa"/>
            <w:vAlign w:val="center"/>
          </w:tcPr>
          <w:p w14:paraId="6EA7FC37" w14:textId="77777777" w:rsidR="00454A29" w:rsidRDefault="00454A29">
            <w:pPr>
              <w:pStyle w:val="ConsPlusNormal"/>
              <w:jc w:val="center"/>
            </w:pPr>
            <w:r>
              <w:t>2022</w:t>
            </w:r>
          </w:p>
        </w:tc>
        <w:tc>
          <w:tcPr>
            <w:tcW w:w="1417" w:type="dxa"/>
            <w:vMerge/>
          </w:tcPr>
          <w:p w14:paraId="3D83B31B" w14:textId="77777777" w:rsidR="00454A29" w:rsidRDefault="00454A29"/>
        </w:tc>
        <w:tc>
          <w:tcPr>
            <w:tcW w:w="2204" w:type="dxa"/>
            <w:vMerge/>
          </w:tcPr>
          <w:p w14:paraId="007AE6A8" w14:textId="77777777" w:rsidR="00454A29" w:rsidRDefault="00454A29"/>
        </w:tc>
        <w:tc>
          <w:tcPr>
            <w:tcW w:w="1417" w:type="dxa"/>
            <w:vMerge/>
          </w:tcPr>
          <w:p w14:paraId="05EF7854" w14:textId="77777777" w:rsidR="00454A29" w:rsidRDefault="00454A29"/>
        </w:tc>
        <w:tc>
          <w:tcPr>
            <w:tcW w:w="2324" w:type="dxa"/>
            <w:vMerge/>
          </w:tcPr>
          <w:p w14:paraId="4EE7D1F5" w14:textId="77777777" w:rsidR="00454A29" w:rsidRDefault="00454A29"/>
        </w:tc>
        <w:tc>
          <w:tcPr>
            <w:tcW w:w="1701" w:type="dxa"/>
            <w:vAlign w:val="center"/>
          </w:tcPr>
          <w:p w14:paraId="2E6E861F" w14:textId="77777777" w:rsidR="00454A29" w:rsidRDefault="00454A29">
            <w:pPr>
              <w:pStyle w:val="ConsPlusNormal"/>
              <w:jc w:val="center"/>
            </w:pPr>
            <w:r>
              <w:t>1 046 405,08</w:t>
            </w:r>
          </w:p>
        </w:tc>
        <w:tc>
          <w:tcPr>
            <w:tcW w:w="1814" w:type="dxa"/>
            <w:vAlign w:val="center"/>
          </w:tcPr>
          <w:p w14:paraId="611C0CE1" w14:textId="77777777" w:rsidR="00454A29" w:rsidRDefault="00454A29">
            <w:pPr>
              <w:pStyle w:val="ConsPlusNormal"/>
              <w:jc w:val="center"/>
            </w:pPr>
            <w:r>
              <w:t>891 412,45</w:t>
            </w:r>
          </w:p>
        </w:tc>
        <w:tc>
          <w:tcPr>
            <w:tcW w:w="1701" w:type="dxa"/>
            <w:vAlign w:val="center"/>
          </w:tcPr>
          <w:p w14:paraId="0C2707BB" w14:textId="77777777" w:rsidR="00454A29" w:rsidRDefault="00454A29">
            <w:pPr>
              <w:pStyle w:val="ConsPlusNormal"/>
              <w:jc w:val="center"/>
            </w:pPr>
            <w:r>
              <w:t>-</w:t>
            </w:r>
          </w:p>
        </w:tc>
        <w:tc>
          <w:tcPr>
            <w:tcW w:w="1701" w:type="dxa"/>
            <w:vAlign w:val="center"/>
          </w:tcPr>
          <w:p w14:paraId="50604B4D" w14:textId="77777777" w:rsidR="00454A29" w:rsidRDefault="00454A29">
            <w:pPr>
              <w:pStyle w:val="ConsPlusNormal"/>
              <w:jc w:val="center"/>
            </w:pPr>
            <w:r>
              <w:t>154 992,63</w:t>
            </w:r>
          </w:p>
        </w:tc>
        <w:tc>
          <w:tcPr>
            <w:tcW w:w="1814" w:type="dxa"/>
            <w:vAlign w:val="center"/>
          </w:tcPr>
          <w:p w14:paraId="1935B5EC" w14:textId="77777777" w:rsidR="00454A29" w:rsidRDefault="00454A29">
            <w:pPr>
              <w:pStyle w:val="ConsPlusNormal"/>
              <w:jc w:val="center"/>
            </w:pPr>
            <w:r>
              <w:t>-</w:t>
            </w:r>
          </w:p>
        </w:tc>
      </w:tr>
      <w:tr w:rsidR="00454A29" w14:paraId="7C3D1643" w14:textId="77777777">
        <w:tc>
          <w:tcPr>
            <w:tcW w:w="567" w:type="dxa"/>
            <w:vMerge/>
          </w:tcPr>
          <w:p w14:paraId="1B786C4F" w14:textId="77777777" w:rsidR="00454A29" w:rsidRDefault="00454A29"/>
        </w:tc>
        <w:tc>
          <w:tcPr>
            <w:tcW w:w="3345" w:type="dxa"/>
            <w:vMerge/>
          </w:tcPr>
          <w:p w14:paraId="75DFCD5D" w14:textId="77777777" w:rsidR="00454A29" w:rsidRDefault="00454A29"/>
        </w:tc>
        <w:tc>
          <w:tcPr>
            <w:tcW w:w="1701" w:type="dxa"/>
            <w:vAlign w:val="center"/>
          </w:tcPr>
          <w:p w14:paraId="25D6719B" w14:textId="77777777" w:rsidR="00454A29" w:rsidRDefault="00454A29">
            <w:pPr>
              <w:pStyle w:val="ConsPlusNormal"/>
              <w:jc w:val="center"/>
            </w:pPr>
            <w:r>
              <w:t>2023</w:t>
            </w:r>
          </w:p>
        </w:tc>
        <w:tc>
          <w:tcPr>
            <w:tcW w:w="1417" w:type="dxa"/>
            <w:vMerge/>
          </w:tcPr>
          <w:p w14:paraId="2ED114DC" w14:textId="77777777" w:rsidR="00454A29" w:rsidRDefault="00454A29"/>
        </w:tc>
        <w:tc>
          <w:tcPr>
            <w:tcW w:w="2204" w:type="dxa"/>
            <w:vMerge/>
          </w:tcPr>
          <w:p w14:paraId="261A15B0" w14:textId="77777777" w:rsidR="00454A29" w:rsidRDefault="00454A29"/>
        </w:tc>
        <w:tc>
          <w:tcPr>
            <w:tcW w:w="1417" w:type="dxa"/>
            <w:vMerge/>
          </w:tcPr>
          <w:p w14:paraId="51BECBA4" w14:textId="77777777" w:rsidR="00454A29" w:rsidRDefault="00454A29"/>
        </w:tc>
        <w:tc>
          <w:tcPr>
            <w:tcW w:w="2324" w:type="dxa"/>
            <w:vMerge/>
          </w:tcPr>
          <w:p w14:paraId="1F973017" w14:textId="77777777" w:rsidR="00454A29" w:rsidRDefault="00454A29"/>
        </w:tc>
        <w:tc>
          <w:tcPr>
            <w:tcW w:w="1701" w:type="dxa"/>
            <w:vAlign w:val="center"/>
          </w:tcPr>
          <w:p w14:paraId="061CB036" w14:textId="77777777" w:rsidR="00454A29" w:rsidRDefault="00454A29">
            <w:pPr>
              <w:pStyle w:val="ConsPlusNormal"/>
              <w:jc w:val="center"/>
            </w:pPr>
            <w:r>
              <w:t>4 331 005,07</w:t>
            </w:r>
          </w:p>
        </w:tc>
        <w:tc>
          <w:tcPr>
            <w:tcW w:w="1814" w:type="dxa"/>
            <w:vAlign w:val="center"/>
          </w:tcPr>
          <w:p w14:paraId="15A0B088" w14:textId="77777777" w:rsidR="00454A29" w:rsidRDefault="00454A29">
            <w:pPr>
              <w:pStyle w:val="ConsPlusNormal"/>
              <w:jc w:val="center"/>
            </w:pPr>
            <w:r>
              <w:t>158 250,04</w:t>
            </w:r>
          </w:p>
        </w:tc>
        <w:tc>
          <w:tcPr>
            <w:tcW w:w="1701" w:type="dxa"/>
            <w:vAlign w:val="center"/>
          </w:tcPr>
          <w:p w14:paraId="50A10BA0" w14:textId="77777777" w:rsidR="00454A29" w:rsidRDefault="00454A29">
            <w:pPr>
              <w:pStyle w:val="ConsPlusNormal"/>
              <w:jc w:val="center"/>
            </w:pPr>
            <w:r>
              <w:t>3 971 021,40</w:t>
            </w:r>
          </w:p>
        </w:tc>
        <w:tc>
          <w:tcPr>
            <w:tcW w:w="1701" w:type="dxa"/>
            <w:vAlign w:val="center"/>
          </w:tcPr>
          <w:p w14:paraId="4D47D822" w14:textId="77777777" w:rsidR="00454A29" w:rsidRDefault="00454A29">
            <w:pPr>
              <w:pStyle w:val="ConsPlusNormal"/>
              <w:jc w:val="center"/>
            </w:pPr>
            <w:r>
              <w:t>201 733,62</w:t>
            </w:r>
          </w:p>
        </w:tc>
        <w:tc>
          <w:tcPr>
            <w:tcW w:w="1814" w:type="dxa"/>
            <w:vAlign w:val="center"/>
          </w:tcPr>
          <w:p w14:paraId="583B767A" w14:textId="77777777" w:rsidR="00454A29" w:rsidRDefault="00454A29">
            <w:pPr>
              <w:pStyle w:val="ConsPlusNormal"/>
              <w:jc w:val="center"/>
            </w:pPr>
            <w:r>
              <w:t>-</w:t>
            </w:r>
          </w:p>
        </w:tc>
      </w:tr>
      <w:tr w:rsidR="00454A29" w14:paraId="11EDDBF8" w14:textId="77777777">
        <w:tc>
          <w:tcPr>
            <w:tcW w:w="567" w:type="dxa"/>
            <w:vMerge/>
          </w:tcPr>
          <w:p w14:paraId="4E8BF06A" w14:textId="77777777" w:rsidR="00454A29" w:rsidRDefault="00454A29"/>
        </w:tc>
        <w:tc>
          <w:tcPr>
            <w:tcW w:w="3345" w:type="dxa"/>
            <w:vMerge/>
          </w:tcPr>
          <w:p w14:paraId="6992F7E2" w14:textId="77777777" w:rsidR="00454A29" w:rsidRDefault="00454A29"/>
        </w:tc>
        <w:tc>
          <w:tcPr>
            <w:tcW w:w="1701" w:type="dxa"/>
            <w:vAlign w:val="center"/>
          </w:tcPr>
          <w:p w14:paraId="463C9016" w14:textId="77777777" w:rsidR="00454A29" w:rsidRDefault="00454A29">
            <w:pPr>
              <w:pStyle w:val="ConsPlusNormal"/>
              <w:jc w:val="center"/>
            </w:pPr>
            <w:r>
              <w:t>2024</w:t>
            </w:r>
          </w:p>
        </w:tc>
        <w:tc>
          <w:tcPr>
            <w:tcW w:w="1417" w:type="dxa"/>
            <w:vMerge/>
          </w:tcPr>
          <w:p w14:paraId="1C7086EB" w14:textId="77777777" w:rsidR="00454A29" w:rsidRDefault="00454A29"/>
        </w:tc>
        <w:tc>
          <w:tcPr>
            <w:tcW w:w="2204" w:type="dxa"/>
            <w:vMerge/>
          </w:tcPr>
          <w:p w14:paraId="23F4A091" w14:textId="77777777" w:rsidR="00454A29" w:rsidRDefault="00454A29"/>
        </w:tc>
        <w:tc>
          <w:tcPr>
            <w:tcW w:w="1417" w:type="dxa"/>
            <w:vMerge/>
          </w:tcPr>
          <w:p w14:paraId="7AC0A12E" w14:textId="77777777" w:rsidR="00454A29" w:rsidRDefault="00454A29"/>
        </w:tc>
        <w:tc>
          <w:tcPr>
            <w:tcW w:w="2324" w:type="dxa"/>
            <w:vMerge/>
          </w:tcPr>
          <w:p w14:paraId="4AF45EFE" w14:textId="77777777" w:rsidR="00454A29" w:rsidRDefault="00454A29"/>
        </w:tc>
        <w:tc>
          <w:tcPr>
            <w:tcW w:w="1701" w:type="dxa"/>
            <w:vAlign w:val="center"/>
          </w:tcPr>
          <w:p w14:paraId="1BED04BA" w14:textId="77777777" w:rsidR="00454A29" w:rsidRDefault="00454A29">
            <w:pPr>
              <w:pStyle w:val="ConsPlusNormal"/>
              <w:jc w:val="center"/>
            </w:pPr>
            <w:r>
              <w:t>2 801 976,34</w:t>
            </w:r>
          </w:p>
        </w:tc>
        <w:tc>
          <w:tcPr>
            <w:tcW w:w="1814" w:type="dxa"/>
            <w:vAlign w:val="center"/>
          </w:tcPr>
          <w:p w14:paraId="6EDB0DDD" w14:textId="77777777" w:rsidR="00454A29" w:rsidRDefault="00454A29">
            <w:pPr>
              <w:pStyle w:val="ConsPlusNormal"/>
              <w:jc w:val="center"/>
            </w:pPr>
            <w:r>
              <w:t>211 159,00</w:t>
            </w:r>
          </w:p>
        </w:tc>
        <w:tc>
          <w:tcPr>
            <w:tcW w:w="1701" w:type="dxa"/>
            <w:vAlign w:val="center"/>
          </w:tcPr>
          <w:p w14:paraId="64AFBD43" w14:textId="77777777" w:rsidR="00454A29" w:rsidRDefault="00454A29">
            <w:pPr>
              <w:pStyle w:val="ConsPlusNormal"/>
              <w:jc w:val="center"/>
            </w:pPr>
            <w:r>
              <w:t>2 409 272,01</w:t>
            </w:r>
          </w:p>
        </w:tc>
        <w:tc>
          <w:tcPr>
            <w:tcW w:w="1701" w:type="dxa"/>
            <w:vAlign w:val="center"/>
          </w:tcPr>
          <w:p w14:paraId="44FC956C" w14:textId="77777777" w:rsidR="00454A29" w:rsidRDefault="00454A29">
            <w:pPr>
              <w:pStyle w:val="ConsPlusNormal"/>
              <w:jc w:val="center"/>
            </w:pPr>
            <w:r>
              <w:t>181 545,33</w:t>
            </w:r>
          </w:p>
        </w:tc>
        <w:tc>
          <w:tcPr>
            <w:tcW w:w="1814" w:type="dxa"/>
            <w:vAlign w:val="center"/>
          </w:tcPr>
          <w:p w14:paraId="28FD2129" w14:textId="77777777" w:rsidR="00454A29" w:rsidRDefault="00454A29">
            <w:pPr>
              <w:pStyle w:val="ConsPlusNormal"/>
              <w:jc w:val="center"/>
            </w:pPr>
            <w:r>
              <w:t>-</w:t>
            </w:r>
          </w:p>
        </w:tc>
      </w:tr>
      <w:tr w:rsidR="00454A29" w14:paraId="64ECDD0C" w14:textId="77777777">
        <w:tc>
          <w:tcPr>
            <w:tcW w:w="567" w:type="dxa"/>
            <w:vMerge/>
          </w:tcPr>
          <w:p w14:paraId="6D1C63CD" w14:textId="77777777" w:rsidR="00454A29" w:rsidRDefault="00454A29"/>
        </w:tc>
        <w:tc>
          <w:tcPr>
            <w:tcW w:w="3345" w:type="dxa"/>
            <w:vMerge/>
          </w:tcPr>
          <w:p w14:paraId="752D9DD7" w14:textId="77777777" w:rsidR="00454A29" w:rsidRDefault="00454A29"/>
        </w:tc>
        <w:tc>
          <w:tcPr>
            <w:tcW w:w="1701" w:type="dxa"/>
            <w:vAlign w:val="center"/>
          </w:tcPr>
          <w:p w14:paraId="720D305F" w14:textId="77777777" w:rsidR="00454A29" w:rsidRDefault="00454A29">
            <w:pPr>
              <w:pStyle w:val="ConsPlusNormal"/>
              <w:jc w:val="center"/>
            </w:pPr>
            <w:r>
              <w:t>2025</w:t>
            </w:r>
          </w:p>
        </w:tc>
        <w:tc>
          <w:tcPr>
            <w:tcW w:w="1417" w:type="dxa"/>
            <w:vMerge/>
          </w:tcPr>
          <w:p w14:paraId="7F05A2AC" w14:textId="77777777" w:rsidR="00454A29" w:rsidRDefault="00454A29"/>
        </w:tc>
        <w:tc>
          <w:tcPr>
            <w:tcW w:w="2204" w:type="dxa"/>
            <w:vMerge/>
          </w:tcPr>
          <w:p w14:paraId="163E8B8F" w14:textId="77777777" w:rsidR="00454A29" w:rsidRDefault="00454A29"/>
        </w:tc>
        <w:tc>
          <w:tcPr>
            <w:tcW w:w="1417" w:type="dxa"/>
            <w:vMerge/>
          </w:tcPr>
          <w:p w14:paraId="787CB627" w14:textId="77777777" w:rsidR="00454A29" w:rsidRDefault="00454A29"/>
        </w:tc>
        <w:tc>
          <w:tcPr>
            <w:tcW w:w="2324" w:type="dxa"/>
            <w:vMerge/>
          </w:tcPr>
          <w:p w14:paraId="6364E1C3" w14:textId="77777777" w:rsidR="00454A29" w:rsidRDefault="00454A29"/>
        </w:tc>
        <w:tc>
          <w:tcPr>
            <w:tcW w:w="1701" w:type="dxa"/>
            <w:vAlign w:val="center"/>
          </w:tcPr>
          <w:p w14:paraId="3035EFC0" w14:textId="77777777" w:rsidR="00454A29" w:rsidRDefault="00454A29">
            <w:pPr>
              <w:pStyle w:val="ConsPlusNormal"/>
              <w:jc w:val="center"/>
            </w:pPr>
            <w:r>
              <w:t>43 880 719,51</w:t>
            </w:r>
          </w:p>
        </w:tc>
        <w:tc>
          <w:tcPr>
            <w:tcW w:w="1814" w:type="dxa"/>
            <w:vAlign w:val="center"/>
          </w:tcPr>
          <w:p w14:paraId="203B6089" w14:textId="77777777" w:rsidR="00454A29" w:rsidRDefault="00454A29">
            <w:pPr>
              <w:pStyle w:val="ConsPlusNormal"/>
              <w:jc w:val="center"/>
            </w:pPr>
            <w:r>
              <w:t>1 041 952,14</w:t>
            </w:r>
          </w:p>
        </w:tc>
        <w:tc>
          <w:tcPr>
            <w:tcW w:w="1701" w:type="dxa"/>
            <w:vAlign w:val="center"/>
          </w:tcPr>
          <w:p w14:paraId="20F31BB2" w14:textId="77777777" w:rsidR="00454A29" w:rsidRDefault="00454A29">
            <w:pPr>
              <w:pStyle w:val="ConsPlusNormal"/>
              <w:jc w:val="center"/>
            </w:pPr>
            <w:r>
              <w:t>42 632 643,15</w:t>
            </w:r>
          </w:p>
        </w:tc>
        <w:tc>
          <w:tcPr>
            <w:tcW w:w="1701" w:type="dxa"/>
            <w:vAlign w:val="center"/>
          </w:tcPr>
          <w:p w14:paraId="297A50C9" w14:textId="77777777" w:rsidR="00454A29" w:rsidRDefault="00454A29">
            <w:pPr>
              <w:pStyle w:val="ConsPlusNormal"/>
              <w:jc w:val="center"/>
            </w:pPr>
            <w:r>
              <w:t>206 124,22</w:t>
            </w:r>
          </w:p>
        </w:tc>
        <w:tc>
          <w:tcPr>
            <w:tcW w:w="1814" w:type="dxa"/>
            <w:vAlign w:val="center"/>
          </w:tcPr>
          <w:p w14:paraId="5479EFAF" w14:textId="77777777" w:rsidR="00454A29" w:rsidRDefault="00454A29">
            <w:pPr>
              <w:pStyle w:val="ConsPlusNormal"/>
              <w:jc w:val="center"/>
            </w:pPr>
            <w:r>
              <w:t>-</w:t>
            </w:r>
          </w:p>
        </w:tc>
      </w:tr>
      <w:tr w:rsidR="00454A29" w14:paraId="599A65FF" w14:textId="77777777">
        <w:tc>
          <w:tcPr>
            <w:tcW w:w="567" w:type="dxa"/>
            <w:vMerge/>
          </w:tcPr>
          <w:p w14:paraId="6DE8F258" w14:textId="77777777" w:rsidR="00454A29" w:rsidRDefault="00454A29"/>
        </w:tc>
        <w:tc>
          <w:tcPr>
            <w:tcW w:w="3345" w:type="dxa"/>
            <w:vMerge/>
          </w:tcPr>
          <w:p w14:paraId="1CA603C5" w14:textId="77777777" w:rsidR="00454A29" w:rsidRDefault="00454A29"/>
        </w:tc>
        <w:tc>
          <w:tcPr>
            <w:tcW w:w="1701" w:type="dxa"/>
            <w:vAlign w:val="center"/>
          </w:tcPr>
          <w:p w14:paraId="27EB6254" w14:textId="77777777" w:rsidR="00454A29" w:rsidRDefault="00454A29">
            <w:pPr>
              <w:pStyle w:val="ConsPlusNormal"/>
              <w:jc w:val="center"/>
            </w:pPr>
            <w:r>
              <w:t>2026</w:t>
            </w:r>
          </w:p>
        </w:tc>
        <w:tc>
          <w:tcPr>
            <w:tcW w:w="1417" w:type="dxa"/>
            <w:vMerge/>
          </w:tcPr>
          <w:p w14:paraId="0C27E81E" w14:textId="77777777" w:rsidR="00454A29" w:rsidRDefault="00454A29"/>
        </w:tc>
        <w:tc>
          <w:tcPr>
            <w:tcW w:w="2204" w:type="dxa"/>
            <w:vMerge/>
          </w:tcPr>
          <w:p w14:paraId="720071D4" w14:textId="77777777" w:rsidR="00454A29" w:rsidRDefault="00454A29"/>
        </w:tc>
        <w:tc>
          <w:tcPr>
            <w:tcW w:w="1417" w:type="dxa"/>
            <w:vMerge/>
          </w:tcPr>
          <w:p w14:paraId="161BD54B" w14:textId="77777777" w:rsidR="00454A29" w:rsidRDefault="00454A29"/>
        </w:tc>
        <w:tc>
          <w:tcPr>
            <w:tcW w:w="2324" w:type="dxa"/>
            <w:vMerge/>
          </w:tcPr>
          <w:p w14:paraId="44D25AB7" w14:textId="77777777" w:rsidR="00454A29" w:rsidRDefault="00454A29"/>
        </w:tc>
        <w:tc>
          <w:tcPr>
            <w:tcW w:w="1701" w:type="dxa"/>
            <w:vAlign w:val="center"/>
          </w:tcPr>
          <w:p w14:paraId="54EEE85C" w14:textId="77777777" w:rsidR="00454A29" w:rsidRDefault="00454A29">
            <w:pPr>
              <w:pStyle w:val="ConsPlusNormal"/>
              <w:jc w:val="center"/>
            </w:pPr>
            <w:r>
              <w:t>50 212 420,98</w:t>
            </w:r>
          </w:p>
        </w:tc>
        <w:tc>
          <w:tcPr>
            <w:tcW w:w="1814" w:type="dxa"/>
            <w:vAlign w:val="center"/>
          </w:tcPr>
          <w:p w14:paraId="6C54EF01" w14:textId="77777777" w:rsidR="00454A29" w:rsidRDefault="00454A29">
            <w:pPr>
              <w:pStyle w:val="ConsPlusNormal"/>
              <w:jc w:val="center"/>
            </w:pPr>
            <w:r>
              <w:t>976 789,14</w:t>
            </w:r>
          </w:p>
        </w:tc>
        <w:tc>
          <w:tcPr>
            <w:tcW w:w="1701" w:type="dxa"/>
            <w:vAlign w:val="center"/>
          </w:tcPr>
          <w:p w14:paraId="1161F48C" w14:textId="77777777" w:rsidR="00454A29" w:rsidRDefault="00454A29">
            <w:pPr>
              <w:pStyle w:val="ConsPlusNormal"/>
              <w:jc w:val="center"/>
            </w:pPr>
            <w:r>
              <w:t>48 984 588,33</w:t>
            </w:r>
          </w:p>
        </w:tc>
        <w:tc>
          <w:tcPr>
            <w:tcW w:w="1701" w:type="dxa"/>
            <w:vAlign w:val="center"/>
          </w:tcPr>
          <w:p w14:paraId="75EF6A02" w14:textId="77777777" w:rsidR="00454A29" w:rsidRDefault="00454A29">
            <w:pPr>
              <w:pStyle w:val="ConsPlusNormal"/>
              <w:jc w:val="center"/>
            </w:pPr>
            <w:r>
              <w:t>251 043,52</w:t>
            </w:r>
          </w:p>
        </w:tc>
        <w:tc>
          <w:tcPr>
            <w:tcW w:w="1814" w:type="dxa"/>
            <w:vAlign w:val="center"/>
          </w:tcPr>
          <w:p w14:paraId="7CC2D60B" w14:textId="77777777" w:rsidR="00454A29" w:rsidRDefault="00454A29">
            <w:pPr>
              <w:pStyle w:val="ConsPlusNormal"/>
              <w:jc w:val="center"/>
            </w:pPr>
            <w:r>
              <w:t>-</w:t>
            </w:r>
          </w:p>
        </w:tc>
      </w:tr>
      <w:tr w:rsidR="00454A29" w14:paraId="43B0AD2A" w14:textId="77777777">
        <w:tc>
          <w:tcPr>
            <w:tcW w:w="21706" w:type="dxa"/>
            <w:gridSpan w:val="12"/>
            <w:vAlign w:val="center"/>
          </w:tcPr>
          <w:p w14:paraId="1347C72C" w14:textId="77777777" w:rsidR="00454A29" w:rsidRDefault="00454A29">
            <w:pPr>
              <w:pStyle w:val="ConsPlusNormal"/>
              <w:jc w:val="center"/>
            </w:pPr>
            <w:r>
              <w:t>Мероприятие 9.1.1.</w:t>
            </w:r>
          </w:p>
        </w:tc>
      </w:tr>
      <w:tr w:rsidR="00454A29" w14:paraId="10FA1C6C" w14:textId="77777777">
        <w:tc>
          <w:tcPr>
            <w:tcW w:w="567" w:type="dxa"/>
            <w:vMerge w:val="restart"/>
            <w:vAlign w:val="center"/>
          </w:tcPr>
          <w:p w14:paraId="6BEFF75A" w14:textId="77777777" w:rsidR="00454A29" w:rsidRDefault="00454A29">
            <w:pPr>
              <w:pStyle w:val="ConsPlusNormal"/>
            </w:pPr>
          </w:p>
        </w:tc>
        <w:tc>
          <w:tcPr>
            <w:tcW w:w="3345" w:type="dxa"/>
            <w:vMerge w:val="restart"/>
            <w:vAlign w:val="center"/>
          </w:tcPr>
          <w:p w14:paraId="6FF12264" w14:textId="77777777" w:rsidR="00454A29" w:rsidRDefault="00454A29">
            <w:pPr>
              <w:pStyle w:val="ConsPlusNormal"/>
              <w:jc w:val="center"/>
            </w:pPr>
            <w:r>
              <w:t>Строительство, приобретение и реконструкция объектов общего образования</w:t>
            </w:r>
          </w:p>
        </w:tc>
        <w:tc>
          <w:tcPr>
            <w:tcW w:w="1701" w:type="dxa"/>
            <w:vAlign w:val="center"/>
          </w:tcPr>
          <w:p w14:paraId="10C14959" w14:textId="77777777" w:rsidR="00454A29" w:rsidRDefault="00454A29">
            <w:pPr>
              <w:pStyle w:val="ConsPlusNormal"/>
              <w:jc w:val="center"/>
            </w:pPr>
            <w:r>
              <w:t>Всего:</w:t>
            </w:r>
          </w:p>
        </w:tc>
        <w:tc>
          <w:tcPr>
            <w:tcW w:w="1417" w:type="dxa"/>
            <w:vMerge w:val="restart"/>
            <w:vAlign w:val="center"/>
          </w:tcPr>
          <w:p w14:paraId="622787EA" w14:textId="77777777" w:rsidR="00454A29" w:rsidRDefault="00454A29">
            <w:pPr>
              <w:pStyle w:val="ConsPlusNormal"/>
            </w:pPr>
          </w:p>
        </w:tc>
        <w:tc>
          <w:tcPr>
            <w:tcW w:w="2204" w:type="dxa"/>
            <w:vMerge w:val="restart"/>
            <w:vAlign w:val="center"/>
          </w:tcPr>
          <w:p w14:paraId="2195F8C5" w14:textId="77777777" w:rsidR="00454A29" w:rsidRDefault="00454A29">
            <w:pPr>
              <w:pStyle w:val="ConsPlusNormal"/>
            </w:pPr>
          </w:p>
        </w:tc>
        <w:tc>
          <w:tcPr>
            <w:tcW w:w="1417" w:type="dxa"/>
            <w:vMerge w:val="restart"/>
            <w:vAlign w:val="center"/>
          </w:tcPr>
          <w:p w14:paraId="11757277" w14:textId="77777777" w:rsidR="00454A29" w:rsidRDefault="00454A29">
            <w:pPr>
              <w:pStyle w:val="ConsPlusNormal"/>
              <w:jc w:val="center"/>
            </w:pPr>
            <w:r>
              <w:t>39167</w:t>
            </w:r>
          </w:p>
        </w:tc>
        <w:tc>
          <w:tcPr>
            <w:tcW w:w="2324" w:type="dxa"/>
            <w:vMerge w:val="restart"/>
            <w:vAlign w:val="center"/>
          </w:tcPr>
          <w:p w14:paraId="61B4EAFD" w14:textId="77777777" w:rsidR="00454A29" w:rsidRDefault="00454A29">
            <w:pPr>
              <w:pStyle w:val="ConsPlusNormal"/>
            </w:pPr>
          </w:p>
        </w:tc>
        <w:tc>
          <w:tcPr>
            <w:tcW w:w="1701" w:type="dxa"/>
            <w:vAlign w:val="center"/>
          </w:tcPr>
          <w:p w14:paraId="74A7C8BE" w14:textId="77777777" w:rsidR="00454A29" w:rsidRDefault="00454A29">
            <w:pPr>
              <w:pStyle w:val="ConsPlusNormal"/>
              <w:jc w:val="center"/>
            </w:pPr>
            <w:r>
              <w:t>98 977 618,75</w:t>
            </w:r>
          </w:p>
        </w:tc>
        <w:tc>
          <w:tcPr>
            <w:tcW w:w="1814" w:type="dxa"/>
            <w:vAlign w:val="center"/>
          </w:tcPr>
          <w:p w14:paraId="63CD233F" w14:textId="77777777" w:rsidR="00454A29" w:rsidRDefault="00454A29">
            <w:pPr>
              <w:pStyle w:val="ConsPlusNormal"/>
              <w:jc w:val="center"/>
            </w:pPr>
            <w:r>
              <w:t>3 252 907,70</w:t>
            </w:r>
          </w:p>
        </w:tc>
        <w:tc>
          <w:tcPr>
            <w:tcW w:w="1701" w:type="dxa"/>
            <w:vAlign w:val="center"/>
          </w:tcPr>
          <w:p w14:paraId="4FCE1C66" w14:textId="77777777" w:rsidR="00454A29" w:rsidRDefault="00454A29">
            <w:pPr>
              <w:pStyle w:val="ConsPlusNormal"/>
              <w:jc w:val="center"/>
            </w:pPr>
            <w:r>
              <w:t>54 703 730,70</w:t>
            </w:r>
          </w:p>
        </w:tc>
        <w:tc>
          <w:tcPr>
            <w:tcW w:w="1701" w:type="dxa"/>
            <w:vAlign w:val="center"/>
          </w:tcPr>
          <w:p w14:paraId="31246034" w14:textId="77777777" w:rsidR="00454A29" w:rsidRDefault="00454A29">
            <w:pPr>
              <w:pStyle w:val="ConsPlusNormal"/>
              <w:jc w:val="center"/>
            </w:pPr>
            <w:r>
              <w:t>112 462,40</w:t>
            </w:r>
          </w:p>
        </w:tc>
        <w:tc>
          <w:tcPr>
            <w:tcW w:w="1814" w:type="dxa"/>
            <w:vAlign w:val="center"/>
          </w:tcPr>
          <w:p w14:paraId="5B8B7AFD" w14:textId="77777777" w:rsidR="00454A29" w:rsidRDefault="00454A29">
            <w:pPr>
              <w:pStyle w:val="ConsPlusNormal"/>
              <w:jc w:val="center"/>
            </w:pPr>
            <w:r>
              <w:t>-</w:t>
            </w:r>
          </w:p>
        </w:tc>
      </w:tr>
      <w:tr w:rsidR="00454A29" w14:paraId="151FC16A" w14:textId="77777777">
        <w:tc>
          <w:tcPr>
            <w:tcW w:w="567" w:type="dxa"/>
            <w:vMerge/>
          </w:tcPr>
          <w:p w14:paraId="66210CE9" w14:textId="77777777" w:rsidR="00454A29" w:rsidRDefault="00454A29"/>
        </w:tc>
        <w:tc>
          <w:tcPr>
            <w:tcW w:w="3345" w:type="dxa"/>
            <w:vMerge/>
          </w:tcPr>
          <w:p w14:paraId="1CF930E5" w14:textId="77777777" w:rsidR="00454A29" w:rsidRDefault="00454A29"/>
        </w:tc>
        <w:tc>
          <w:tcPr>
            <w:tcW w:w="1701" w:type="dxa"/>
            <w:vAlign w:val="center"/>
          </w:tcPr>
          <w:p w14:paraId="1ED58A66" w14:textId="77777777" w:rsidR="00454A29" w:rsidRDefault="00454A29">
            <w:pPr>
              <w:pStyle w:val="ConsPlusNormal"/>
              <w:jc w:val="center"/>
            </w:pPr>
            <w:r>
              <w:t>2020</w:t>
            </w:r>
          </w:p>
        </w:tc>
        <w:tc>
          <w:tcPr>
            <w:tcW w:w="1417" w:type="dxa"/>
            <w:vMerge/>
          </w:tcPr>
          <w:p w14:paraId="012B304B" w14:textId="77777777" w:rsidR="00454A29" w:rsidRDefault="00454A29"/>
        </w:tc>
        <w:tc>
          <w:tcPr>
            <w:tcW w:w="2204" w:type="dxa"/>
            <w:vMerge/>
          </w:tcPr>
          <w:p w14:paraId="70E85A6D" w14:textId="77777777" w:rsidR="00454A29" w:rsidRDefault="00454A29"/>
        </w:tc>
        <w:tc>
          <w:tcPr>
            <w:tcW w:w="1417" w:type="dxa"/>
            <w:vMerge/>
          </w:tcPr>
          <w:p w14:paraId="1CE1F5BF" w14:textId="77777777" w:rsidR="00454A29" w:rsidRDefault="00454A29"/>
        </w:tc>
        <w:tc>
          <w:tcPr>
            <w:tcW w:w="2324" w:type="dxa"/>
            <w:vMerge/>
          </w:tcPr>
          <w:p w14:paraId="239D5FDA" w14:textId="77777777" w:rsidR="00454A29" w:rsidRDefault="00454A29"/>
        </w:tc>
        <w:tc>
          <w:tcPr>
            <w:tcW w:w="1701" w:type="dxa"/>
            <w:vAlign w:val="center"/>
          </w:tcPr>
          <w:p w14:paraId="67730243" w14:textId="77777777" w:rsidR="00454A29" w:rsidRDefault="00454A29">
            <w:pPr>
              <w:pStyle w:val="ConsPlusNormal"/>
              <w:jc w:val="center"/>
            </w:pPr>
            <w:r>
              <w:t>1 824 960,48</w:t>
            </w:r>
          </w:p>
        </w:tc>
        <w:tc>
          <w:tcPr>
            <w:tcW w:w="1814" w:type="dxa"/>
            <w:vAlign w:val="center"/>
          </w:tcPr>
          <w:p w14:paraId="422ABCE6" w14:textId="77777777" w:rsidR="00454A29" w:rsidRDefault="00454A29">
            <w:pPr>
              <w:pStyle w:val="ConsPlusNormal"/>
              <w:jc w:val="center"/>
            </w:pPr>
            <w:r>
              <w:t>1 653 324,28</w:t>
            </w:r>
          </w:p>
        </w:tc>
        <w:tc>
          <w:tcPr>
            <w:tcW w:w="1701" w:type="dxa"/>
            <w:vAlign w:val="center"/>
          </w:tcPr>
          <w:p w14:paraId="7C9DA75B" w14:textId="77777777" w:rsidR="00454A29" w:rsidRDefault="00454A29">
            <w:pPr>
              <w:pStyle w:val="ConsPlusNormal"/>
              <w:jc w:val="center"/>
            </w:pPr>
            <w:r>
              <w:t>65 700,00</w:t>
            </w:r>
          </w:p>
        </w:tc>
        <w:tc>
          <w:tcPr>
            <w:tcW w:w="1701" w:type="dxa"/>
            <w:vAlign w:val="center"/>
          </w:tcPr>
          <w:p w14:paraId="472A4C2A" w14:textId="77777777" w:rsidR="00454A29" w:rsidRDefault="00454A29">
            <w:pPr>
              <w:pStyle w:val="ConsPlusNormal"/>
              <w:jc w:val="center"/>
            </w:pPr>
            <w:r>
              <w:t>105 936,20</w:t>
            </w:r>
          </w:p>
        </w:tc>
        <w:tc>
          <w:tcPr>
            <w:tcW w:w="1814" w:type="dxa"/>
            <w:vAlign w:val="center"/>
          </w:tcPr>
          <w:p w14:paraId="3CB8B5B5" w14:textId="77777777" w:rsidR="00454A29" w:rsidRDefault="00454A29">
            <w:pPr>
              <w:pStyle w:val="ConsPlusNormal"/>
              <w:jc w:val="center"/>
            </w:pPr>
            <w:r>
              <w:t>-</w:t>
            </w:r>
          </w:p>
        </w:tc>
      </w:tr>
      <w:tr w:rsidR="00454A29" w14:paraId="7383FEE4" w14:textId="77777777">
        <w:tc>
          <w:tcPr>
            <w:tcW w:w="567" w:type="dxa"/>
            <w:vMerge/>
          </w:tcPr>
          <w:p w14:paraId="7E4BBF1E" w14:textId="77777777" w:rsidR="00454A29" w:rsidRDefault="00454A29"/>
        </w:tc>
        <w:tc>
          <w:tcPr>
            <w:tcW w:w="3345" w:type="dxa"/>
            <w:vMerge/>
          </w:tcPr>
          <w:p w14:paraId="3AEFEA45" w14:textId="77777777" w:rsidR="00454A29" w:rsidRDefault="00454A29"/>
        </w:tc>
        <w:tc>
          <w:tcPr>
            <w:tcW w:w="1701" w:type="dxa"/>
            <w:vAlign w:val="center"/>
          </w:tcPr>
          <w:p w14:paraId="20FB2306" w14:textId="77777777" w:rsidR="00454A29" w:rsidRDefault="00454A29">
            <w:pPr>
              <w:pStyle w:val="ConsPlusNormal"/>
              <w:jc w:val="center"/>
            </w:pPr>
            <w:r>
              <w:t>2021</w:t>
            </w:r>
          </w:p>
        </w:tc>
        <w:tc>
          <w:tcPr>
            <w:tcW w:w="1417" w:type="dxa"/>
            <w:vMerge/>
          </w:tcPr>
          <w:p w14:paraId="5D7B5B5E" w14:textId="77777777" w:rsidR="00454A29" w:rsidRDefault="00454A29"/>
        </w:tc>
        <w:tc>
          <w:tcPr>
            <w:tcW w:w="2204" w:type="dxa"/>
            <w:vMerge/>
          </w:tcPr>
          <w:p w14:paraId="606D1C35" w14:textId="77777777" w:rsidR="00454A29" w:rsidRDefault="00454A29"/>
        </w:tc>
        <w:tc>
          <w:tcPr>
            <w:tcW w:w="1417" w:type="dxa"/>
            <w:vMerge/>
          </w:tcPr>
          <w:p w14:paraId="54E00F25" w14:textId="77777777" w:rsidR="00454A29" w:rsidRDefault="00454A29"/>
        </w:tc>
        <w:tc>
          <w:tcPr>
            <w:tcW w:w="2324" w:type="dxa"/>
            <w:vMerge/>
          </w:tcPr>
          <w:p w14:paraId="32B1DBE1" w14:textId="77777777" w:rsidR="00454A29" w:rsidRDefault="00454A29"/>
        </w:tc>
        <w:tc>
          <w:tcPr>
            <w:tcW w:w="1701" w:type="dxa"/>
            <w:vAlign w:val="center"/>
          </w:tcPr>
          <w:p w14:paraId="6C4D0D9E" w14:textId="77777777" w:rsidR="00454A29" w:rsidRDefault="00454A29">
            <w:pPr>
              <w:pStyle w:val="ConsPlusNormal"/>
              <w:jc w:val="center"/>
            </w:pPr>
            <w:r>
              <w:t>878 911,57</w:t>
            </w:r>
          </w:p>
        </w:tc>
        <w:tc>
          <w:tcPr>
            <w:tcW w:w="1814" w:type="dxa"/>
            <w:vAlign w:val="center"/>
          </w:tcPr>
          <w:p w14:paraId="63106028" w14:textId="77777777" w:rsidR="00454A29" w:rsidRDefault="00454A29">
            <w:pPr>
              <w:pStyle w:val="ConsPlusNormal"/>
              <w:jc w:val="center"/>
            </w:pPr>
            <w:r>
              <w:t>872 385,37</w:t>
            </w:r>
          </w:p>
        </w:tc>
        <w:tc>
          <w:tcPr>
            <w:tcW w:w="1701" w:type="dxa"/>
            <w:vAlign w:val="center"/>
          </w:tcPr>
          <w:p w14:paraId="0645BED1" w14:textId="77777777" w:rsidR="00454A29" w:rsidRDefault="00454A29">
            <w:pPr>
              <w:pStyle w:val="ConsPlusNormal"/>
              <w:jc w:val="center"/>
            </w:pPr>
            <w:r>
              <w:t>-</w:t>
            </w:r>
          </w:p>
        </w:tc>
        <w:tc>
          <w:tcPr>
            <w:tcW w:w="1701" w:type="dxa"/>
            <w:vAlign w:val="center"/>
          </w:tcPr>
          <w:p w14:paraId="3CB61B10" w14:textId="77777777" w:rsidR="00454A29" w:rsidRDefault="00454A29">
            <w:pPr>
              <w:pStyle w:val="ConsPlusNormal"/>
              <w:jc w:val="center"/>
            </w:pPr>
            <w:r>
              <w:t>6 526,20</w:t>
            </w:r>
          </w:p>
        </w:tc>
        <w:tc>
          <w:tcPr>
            <w:tcW w:w="1814" w:type="dxa"/>
            <w:vAlign w:val="center"/>
          </w:tcPr>
          <w:p w14:paraId="31390510" w14:textId="77777777" w:rsidR="00454A29" w:rsidRDefault="00454A29">
            <w:pPr>
              <w:pStyle w:val="ConsPlusNormal"/>
              <w:jc w:val="center"/>
            </w:pPr>
            <w:r>
              <w:t>-</w:t>
            </w:r>
          </w:p>
        </w:tc>
      </w:tr>
      <w:tr w:rsidR="00454A29" w14:paraId="3BDE8FBE" w14:textId="77777777">
        <w:tc>
          <w:tcPr>
            <w:tcW w:w="567" w:type="dxa"/>
            <w:vMerge/>
          </w:tcPr>
          <w:p w14:paraId="29D666FE" w14:textId="77777777" w:rsidR="00454A29" w:rsidRDefault="00454A29"/>
        </w:tc>
        <w:tc>
          <w:tcPr>
            <w:tcW w:w="3345" w:type="dxa"/>
            <w:vMerge/>
          </w:tcPr>
          <w:p w14:paraId="2139E2FC" w14:textId="77777777" w:rsidR="00454A29" w:rsidRDefault="00454A29"/>
        </w:tc>
        <w:tc>
          <w:tcPr>
            <w:tcW w:w="1701" w:type="dxa"/>
            <w:vAlign w:val="center"/>
          </w:tcPr>
          <w:p w14:paraId="44C5A6AD" w14:textId="77777777" w:rsidR="00454A29" w:rsidRDefault="00454A29">
            <w:pPr>
              <w:pStyle w:val="ConsPlusNormal"/>
              <w:jc w:val="center"/>
            </w:pPr>
            <w:r>
              <w:t>2022</w:t>
            </w:r>
          </w:p>
        </w:tc>
        <w:tc>
          <w:tcPr>
            <w:tcW w:w="1417" w:type="dxa"/>
            <w:vMerge/>
          </w:tcPr>
          <w:p w14:paraId="6D981F79" w14:textId="77777777" w:rsidR="00454A29" w:rsidRDefault="00454A29"/>
        </w:tc>
        <w:tc>
          <w:tcPr>
            <w:tcW w:w="2204" w:type="dxa"/>
            <w:vMerge/>
          </w:tcPr>
          <w:p w14:paraId="7FFC62FC" w14:textId="77777777" w:rsidR="00454A29" w:rsidRDefault="00454A29"/>
        </w:tc>
        <w:tc>
          <w:tcPr>
            <w:tcW w:w="1417" w:type="dxa"/>
            <w:vMerge/>
          </w:tcPr>
          <w:p w14:paraId="106E4B78" w14:textId="77777777" w:rsidR="00454A29" w:rsidRDefault="00454A29"/>
        </w:tc>
        <w:tc>
          <w:tcPr>
            <w:tcW w:w="2324" w:type="dxa"/>
            <w:vMerge/>
          </w:tcPr>
          <w:p w14:paraId="7252000D" w14:textId="77777777" w:rsidR="00454A29" w:rsidRDefault="00454A29"/>
        </w:tc>
        <w:tc>
          <w:tcPr>
            <w:tcW w:w="1701" w:type="dxa"/>
            <w:vAlign w:val="center"/>
          </w:tcPr>
          <w:p w14:paraId="4ED8DB2C" w14:textId="77777777" w:rsidR="00454A29" w:rsidRDefault="00454A29">
            <w:pPr>
              <w:pStyle w:val="ConsPlusNormal"/>
              <w:jc w:val="center"/>
            </w:pPr>
            <w:r>
              <w:t>175 302,96</w:t>
            </w:r>
          </w:p>
        </w:tc>
        <w:tc>
          <w:tcPr>
            <w:tcW w:w="1814" w:type="dxa"/>
            <w:vAlign w:val="center"/>
          </w:tcPr>
          <w:p w14:paraId="705D08EA" w14:textId="77777777" w:rsidR="00454A29" w:rsidRDefault="00454A29">
            <w:pPr>
              <w:pStyle w:val="ConsPlusNormal"/>
              <w:jc w:val="center"/>
            </w:pPr>
            <w:r>
              <w:t>175 302,96</w:t>
            </w:r>
          </w:p>
        </w:tc>
        <w:tc>
          <w:tcPr>
            <w:tcW w:w="1701" w:type="dxa"/>
            <w:vAlign w:val="center"/>
          </w:tcPr>
          <w:p w14:paraId="3C2BE25C" w14:textId="77777777" w:rsidR="00454A29" w:rsidRDefault="00454A29">
            <w:pPr>
              <w:pStyle w:val="ConsPlusNormal"/>
              <w:jc w:val="center"/>
            </w:pPr>
            <w:r>
              <w:t>-</w:t>
            </w:r>
          </w:p>
        </w:tc>
        <w:tc>
          <w:tcPr>
            <w:tcW w:w="1701" w:type="dxa"/>
            <w:vAlign w:val="center"/>
          </w:tcPr>
          <w:p w14:paraId="7A97A5E1" w14:textId="77777777" w:rsidR="00454A29" w:rsidRDefault="00454A29">
            <w:pPr>
              <w:pStyle w:val="ConsPlusNormal"/>
              <w:jc w:val="center"/>
            </w:pPr>
            <w:r>
              <w:t>-</w:t>
            </w:r>
          </w:p>
        </w:tc>
        <w:tc>
          <w:tcPr>
            <w:tcW w:w="1814" w:type="dxa"/>
            <w:vAlign w:val="center"/>
          </w:tcPr>
          <w:p w14:paraId="26C3AD5D" w14:textId="77777777" w:rsidR="00454A29" w:rsidRDefault="00454A29">
            <w:pPr>
              <w:pStyle w:val="ConsPlusNormal"/>
              <w:jc w:val="center"/>
            </w:pPr>
            <w:r>
              <w:t>-</w:t>
            </w:r>
          </w:p>
        </w:tc>
      </w:tr>
      <w:tr w:rsidR="00454A29" w14:paraId="421593A4" w14:textId="77777777">
        <w:tc>
          <w:tcPr>
            <w:tcW w:w="567" w:type="dxa"/>
            <w:vMerge/>
          </w:tcPr>
          <w:p w14:paraId="643D4663" w14:textId="77777777" w:rsidR="00454A29" w:rsidRDefault="00454A29"/>
        </w:tc>
        <w:tc>
          <w:tcPr>
            <w:tcW w:w="3345" w:type="dxa"/>
            <w:vMerge/>
          </w:tcPr>
          <w:p w14:paraId="1DC2200E" w14:textId="77777777" w:rsidR="00454A29" w:rsidRDefault="00454A29"/>
        </w:tc>
        <w:tc>
          <w:tcPr>
            <w:tcW w:w="1701" w:type="dxa"/>
            <w:vAlign w:val="center"/>
          </w:tcPr>
          <w:p w14:paraId="3B5475A1" w14:textId="77777777" w:rsidR="00454A29" w:rsidRDefault="00454A29">
            <w:pPr>
              <w:pStyle w:val="ConsPlusNormal"/>
              <w:jc w:val="center"/>
            </w:pPr>
            <w:r>
              <w:t>2023</w:t>
            </w:r>
          </w:p>
        </w:tc>
        <w:tc>
          <w:tcPr>
            <w:tcW w:w="1417" w:type="dxa"/>
            <w:vMerge/>
          </w:tcPr>
          <w:p w14:paraId="32317256" w14:textId="77777777" w:rsidR="00454A29" w:rsidRDefault="00454A29"/>
        </w:tc>
        <w:tc>
          <w:tcPr>
            <w:tcW w:w="2204" w:type="dxa"/>
            <w:vMerge/>
          </w:tcPr>
          <w:p w14:paraId="2DFC26B5" w14:textId="77777777" w:rsidR="00454A29" w:rsidRDefault="00454A29"/>
        </w:tc>
        <w:tc>
          <w:tcPr>
            <w:tcW w:w="1417" w:type="dxa"/>
            <w:vMerge/>
          </w:tcPr>
          <w:p w14:paraId="3D65C2F3" w14:textId="77777777" w:rsidR="00454A29" w:rsidRDefault="00454A29"/>
        </w:tc>
        <w:tc>
          <w:tcPr>
            <w:tcW w:w="2324" w:type="dxa"/>
            <w:vMerge/>
          </w:tcPr>
          <w:p w14:paraId="03F4ABEA" w14:textId="77777777" w:rsidR="00454A29" w:rsidRDefault="00454A29"/>
        </w:tc>
        <w:tc>
          <w:tcPr>
            <w:tcW w:w="1701" w:type="dxa"/>
            <w:vAlign w:val="center"/>
          </w:tcPr>
          <w:p w14:paraId="5C73D5FF" w14:textId="77777777" w:rsidR="00454A29" w:rsidRDefault="00454A29">
            <w:pPr>
              <w:pStyle w:val="ConsPlusNormal"/>
              <w:jc w:val="center"/>
            </w:pPr>
            <w:r>
              <w:t>3 501 582,96</w:t>
            </w:r>
          </w:p>
        </w:tc>
        <w:tc>
          <w:tcPr>
            <w:tcW w:w="1814" w:type="dxa"/>
            <w:vAlign w:val="center"/>
          </w:tcPr>
          <w:p w14:paraId="62E574FF" w14:textId="77777777" w:rsidR="00454A29" w:rsidRDefault="00454A29">
            <w:pPr>
              <w:pStyle w:val="ConsPlusNormal"/>
              <w:jc w:val="center"/>
            </w:pPr>
            <w:r>
              <w:t>35 011,67</w:t>
            </w:r>
          </w:p>
        </w:tc>
        <w:tc>
          <w:tcPr>
            <w:tcW w:w="1701" w:type="dxa"/>
            <w:vAlign w:val="center"/>
          </w:tcPr>
          <w:p w14:paraId="17C640EB" w14:textId="77777777" w:rsidR="00454A29" w:rsidRDefault="00454A29">
            <w:pPr>
              <w:pStyle w:val="ConsPlusNormal"/>
              <w:jc w:val="center"/>
            </w:pPr>
            <w:r>
              <w:t>3 466 571,28</w:t>
            </w:r>
          </w:p>
        </w:tc>
        <w:tc>
          <w:tcPr>
            <w:tcW w:w="1701" w:type="dxa"/>
            <w:vAlign w:val="center"/>
          </w:tcPr>
          <w:p w14:paraId="2BB52887" w14:textId="77777777" w:rsidR="00454A29" w:rsidRDefault="00454A29">
            <w:pPr>
              <w:pStyle w:val="ConsPlusNormal"/>
              <w:jc w:val="center"/>
            </w:pPr>
            <w:r>
              <w:t>-</w:t>
            </w:r>
          </w:p>
        </w:tc>
        <w:tc>
          <w:tcPr>
            <w:tcW w:w="1814" w:type="dxa"/>
            <w:vAlign w:val="center"/>
          </w:tcPr>
          <w:p w14:paraId="5FE07C83" w14:textId="77777777" w:rsidR="00454A29" w:rsidRDefault="00454A29">
            <w:pPr>
              <w:pStyle w:val="ConsPlusNormal"/>
              <w:jc w:val="center"/>
            </w:pPr>
            <w:r>
              <w:t>-</w:t>
            </w:r>
          </w:p>
        </w:tc>
      </w:tr>
      <w:tr w:rsidR="00454A29" w14:paraId="4AA9272E" w14:textId="77777777">
        <w:tc>
          <w:tcPr>
            <w:tcW w:w="567" w:type="dxa"/>
            <w:vMerge/>
          </w:tcPr>
          <w:p w14:paraId="50CDE38D" w14:textId="77777777" w:rsidR="00454A29" w:rsidRDefault="00454A29"/>
        </w:tc>
        <w:tc>
          <w:tcPr>
            <w:tcW w:w="3345" w:type="dxa"/>
            <w:vMerge/>
          </w:tcPr>
          <w:p w14:paraId="059F846C" w14:textId="77777777" w:rsidR="00454A29" w:rsidRDefault="00454A29"/>
        </w:tc>
        <w:tc>
          <w:tcPr>
            <w:tcW w:w="1701" w:type="dxa"/>
            <w:vAlign w:val="center"/>
          </w:tcPr>
          <w:p w14:paraId="53A7E1CC" w14:textId="77777777" w:rsidR="00454A29" w:rsidRDefault="00454A29">
            <w:pPr>
              <w:pStyle w:val="ConsPlusNormal"/>
              <w:jc w:val="center"/>
            </w:pPr>
            <w:r>
              <w:t>2024</w:t>
            </w:r>
          </w:p>
        </w:tc>
        <w:tc>
          <w:tcPr>
            <w:tcW w:w="1417" w:type="dxa"/>
            <w:vMerge/>
          </w:tcPr>
          <w:p w14:paraId="6A8E42A6" w14:textId="77777777" w:rsidR="00454A29" w:rsidRDefault="00454A29"/>
        </w:tc>
        <w:tc>
          <w:tcPr>
            <w:tcW w:w="2204" w:type="dxa"/>
            <w:vMerge/>
          </w:tcPr>
          <w:p w14:paraId="6E9FB797" w14:textId="77777777" w:rsidR="00454A29" w:rsidRDefault="00454A29"/>
        </w:tc>
        <w:tc>
          <w:tcPr>
            <w:tcW w:w="1417" w:type="dxa"/>
            <w:vMerge/>
          </w:tcPr>
          <w:p w14:paraId="0052FB2B" w14:textId="77777777" w:rsidR="00454A29" w:rsidRDefault="00454A29"/>
        </w:tc>
        <w:tc>
          <w:tcPr>
            <w:tcW w:w="2324" w:type="dxa"/>
            <w:vMerge/>
          </w:tcPr>
          <w:p w14:paraId="0A7A55E6" w14:textId="77777777" w:rsidR="00454A29" w:rsidRDefault="00454A29"/>
        </w:tc>
        <w:tc>
          <w:tcPr>
            <w:tcW w:w="1701" w:type="dxa"/>
            <w:vAlign w:val="center"/>
          </w:tcPr>
          <w:p w14:paraId="123E11A8" w14:textId="77777777" w:rsidR="00454A29" w:rsidRDefault="00454A29">
            <w:pPr>
              <w:pStyle w:val="ConsPlusNormal"/>
              <w:jc w:val="center"/>
            </w:pPr>
            <w:r>
              <w:t>2 288 263,66</w:t>
            </w:r>
          </w:p>
        </w:tc>
        <w:tc>
          <w:tcPr>
            <w:tcW w:w="1814" w:type="dxa"/>
            <w:vAlign w:val="center"/>
          </w:tcPr>
          <w:p w14:paraId="72380541" w14:textId="77777777" w:rsidR="00454A29" w:rsidRDefault="00454A29">
            <w:pPr>
              <w:pStyle w:val="ConsPlusNormal"/>
              <w:jc w:val="center"/>
            </w:pPr>
            <w:r>
              <w:t>22 882,64</w:t>
            </w:r>
          </w:p>
        </w:tc>
        <w:tc>
          <w:tcPr>
            <w:tcW w:w="1701" w:type="dxa"/>
            <w:vAlign w:val="center"/>
          </w:tcPr>
          <w:p w14:paraId="6A2E7826" w14:textId="77777777" w:rsidR="00454A29" w:rsidRDefault="00454A29">
            <w:pPr>
              <w:pStyle w:val="ConsPlusNormal"/>
              <w:jc w:val="center"/>
            </w:pPr>
            <w:r>
              <w:t>2 265 381,03</w:t>
            </w:r>
          </w:p>
        </w:tc>
        <w:tc>
          <w:tcPr>
            <w:tcW w:w="1701" w:type="dxa"/>
            <w:vAlign w:val="center"/>
          </w:tcPr>
          <w:p w14:paraId="13C430D6" w14:textId="77777777" w:rsidR="00454A29" w:rsidRDefault="00454A29">
            <w:pPr>
              <w:pStyle w:val="ConsPlusNormal"/>
              <w:jc w:val="center"/>
            </w:pPr>
            <w:r>
              <w:t>-</w:t>
            </w:r>
          </w:p>
        </w:tc>
        <w:tc>
          <w:tcPr>
            <w:tcW w:w="1814" w:type="dxa"/>
            <w:vAlign w:val="center"/>
          </w:tcPr>
          <w:p w14:paraId="68922BDA" w14:textId="77777777" w:rsidR="00454A29" w:rsidRDefault="00454A29">
            <w:pPr>
              <w:pStyle w:val="ConsPlusNormal"/>
              <w:jc w:val="center"/>
            </w:pPr>
            <w:r>
              <w:t>-</w:t>
            </w:r>
          </w:p>
        </w:tc>
      </w:tr>
      <w:tr w:rsidR="00454A29" w14:paraId="72CF2C8A" w14:textId="77777777">
        <w:tc>
          <w:tcPr>
            <w:tcW w:w="567" w:type="dxa"/>
            <w:vMerge/>
          </w:tcPr>
          <w:p w14:paraId="5650F982" w14:textId="77777777" w:rsidR="00454A29" w:rsidRDefault="00454A29"/>
        </w:tc>
        <w:tc>
          <w:tcPr>
            <w:tcW w:w="3345" w:type="dxa"/>
            <w:vMerge/>
          </w:tcPr>
          <w:p w14:paraId="7B80DC58" w14:textId="77777777" w:rsidR="00454A29" w:rsidRDefault="00454A29"/>
        </w:tc>
        <w:tc>
          <w:tcPr>
            <w:tcW w:w="1701" w:type="dxa"/>
            <w:vAlign w:val="center"/>
          </w:tcPr>
          <w:p w14:paraId="1992204B" w14:textId="77777777" w:rsidR="00454A29" w:rsidRDefault="00454A29">
            <w:pPr>
              <w:pStyle w:val="ConsPlusNormal"/>
              <w:jc w:val="center"/>
            </w:pPr>
            <w:r>
              <w:t>2025</w:t>
            </w:r>
          </w:p>
        </w:tc>
        <w:tc>
          <w:tcPr>
            <w:tcW w:w="1417" w:type="dxa"/>
            <w:vMerge/>
          </w:tcPr>
          <w:p w14:paraId="15EDAEB2" w14:textId="77777777" w:rsidR="00454A29" w:rsidRDefault="00454A29"/>
        </w:tc>
        <w:tc>
          <w:tcPr>
            <w:tcW w:w="2204" w:type="dxa"/>
            <w:vMerge/>
          </w:tcPr>
          <w:p w14:paraId="5A53A726" w14:textId="77777777" w:rsidR="00454A29" w:rsidRDefault="00454A29"/>
        </w:tc>
        <w:tc>
          <w:tcPr>
            <w:tcW w:w="1417" w:type="dxa"/>
            <w:vMerge/>
          </w:tcPr>
          <w:p w14:paraId="56403764" w14:textId="77777777" w:rsidR="00454A29" w:rsidRDefault="00454A29"/>
        </w:tc>
        <w:tc>
          <w:tcPr>
            <w:tcW w:w="2324" w:type="dxa"/>
            <w:vMerge/>
          </w:tcPr>
          <w:p w14:paraId="7899E851" w14:textId="77777777" w:rsidR="00454A29" w:rsidRDefault="00454A29"/>
        </w:tc>
        <w:tc>
          <w:tcPr>
            <w:tcW w:w="1701" w:type="dxa"/>
            <w:vAlign w:val="center"/>
          </w:tcPr>
          <w:p w14:paraId="43726855" w14:textId="77777777" w:rsidR="00454A29" w:rsidRDefault="00454A29">
            <w:pPr>
              <w:pStyle w:val="ConsPlusNormal"/>
              <w:jc w:val="center"/>
            </w:pPr>
            <w:r>
              <w:t>40 908 517,95</w:t>
            </w:r>
          </w:p>
        </w:tc>
        <w:tc>
          <w:tcPr>
            <w:tcW w:w="1814" w:type="dxa"/>
            <w:vAlign w:val="center"/>
          </w:tcPr>
          <w:p w14:paraId="171956EE" w14:textId="77777777" w:rsidR="00454A29" w:rsidRDefault="00454A29">
            <w:pPr>
              <w:pStyle w:val="ConsPlusNormal"/>
              <w:jc w:val="center"/>
            </w:pPr>
            <w:r>
              <w:t>610 531,00</w:t>
            </w:r>
          </w:p>
        </w:tc>
        <w:tc>
          <w:tcPr>
            <w:tcW w:w="1701" w:type="dxa"/>
            <w:vAlign w:val="center"/>
          </w:tcPr>
          <w:p w14:paraId="422897F7" w14:textId="77777777" w:rsidR="00454A29" w:rsidRDefault="00454A29">
            <w:pPr>
              <w:pStyle w:val="ConsPlusNormal"/>
              <w:jc w:val="center"/>
            </w:pPr>
            <w:r>
              <w:t>40 297 986,95</w:t>
            </w:r>
          </w:p>
        </w:tc>
        <w:tc>
          <w:tcPr>
            <w:tcW w:w="1701" w:type="dxa"/>
            <w:vAlign w:val="center"/>
          </w:tcPr>
          <w:p w14:paraId="2A5ABEB7" w14:textId="77777777" w:rsidR="00454A29" w:rsidRDefault="00454A29">
            <w:pPr>
              <w:pStyle w:val="ConsPlusNormal"/>
              <w:jc w:val="center"/>
            </w:pPr>
            <w:r>
              <w:t>-</w:t>
            </w:r>
          </w:p>
        </w:tc>
        <w:tc>
          <w:tcPr>
            <w:tcW w:w="1814" w:type="dxa"/>
            <w:vAlign w:val="center"/>
          </w:tcPr>
          <w:p w14:paraId="7653401A" w14:textId="77777777" w:rsidR="00454A29" w:rsidRDefault="00454A29">
            <w:pPr>
              <w:pStyle w:val="ConsPlusNormal"/>
              <w:jc w:val="center"/>
            </w:pPr>
            <w:r>
              <w:t>-</w:t>
            </w:r>
          </w:p>
        </w:tc>
      </w:tr>
      <w:tr w:rsidR="00454A29" w14:paraId="20C2FD57" w14:textId="77777777">
        <w:tc>
          <w:tcPr>
            <w:tcW w:w="567" w:type="dxa"/>
            <w:vMerge/>
          </w:tcPr>
          <w:p w14:paraId="10EC9728" w14:textId="77777777" w:rsidR="00454A29" w:rsidRDefault="00454A29"/>
        </w:tc>
        <w:tc>
          <w:tcPr>
            <w:tcW w:w="3345" w:type="dxa"/>
            <w:vMerge/>
          </w:tcPr>
          <w:p w14:paraId="5F6F9818" w14:textId="77777777" w:rsidR="00454A29" w:rsidRDefault="00454A29"/>
        </w:tc>
        <w:tc>
          <w:tcPr>
            <w:tcW w:w="1701" w:type="dxa"/>
            <w:vAlign w:val="center"/>
          </w:tcPr>
          <w:p w14:paraId="572AC442" w14:textId="77777777" w:rsidR="00454A29" w:rsidRDefault="00454A29">
            <w:pPr>
              <w:pStyle w:val="ConsPlusNormal"/>
              <w:jc w:val="center"/>
            </w:pPr>
            <w:r>
              <w:t>2026</w:t>
            </w:r>
          </w:p>
        </w:tc>
        <w:tc>
          <w:tcPr>
            <w:tcW w:w="1417" w:type="dxa"/>
            <w:vMerge/>
          </w:tcPr>
          <w:p w14:paraId="1EB7F544" w14:textId="77777777" w:rsidR="00454A29" w:rsidRDefault="00454A29"/>
        </w:tc>
        <w:tc>
          <w:tcPr>
            <w:tcW w:w="2204" w:type="dxa"/>
            <w:vMerge/>
          </w:tcPr>
          <w:p w14:paraId="1248EAA7" w14:textId="77777777" w:rsidR="00454A29" w:rsidRDefault="00454A29"/>
        </w:tc>
        <w:tc>
          <w:tcPr>
            <w:tcW w:w="1417" w:type="dxa"/>
            <w:vMerge/>
          </w:tcPr>
          <w:p w14:paraId="125EBDF2" w14:textId="77777777" w:rsidR="00454A29" w:rsidRDefault="00454A29"/>
        </w:tc>
        <w:tc>
          <w:tcPr>
            <w:tcW w:w="2324" w:type="dxa"/>
            <w:vMerge/>
          </w:tcPr>
          <w:p w14:paraId="57A9A602" w14:textId="77777777" w:rsidR="00454A29" w:rsidRDefault="00454A29"/>
        </w:tc>
        <w:tc>
          <w:tcPr>
            <w:tcW w:w="1701" w:type="dxa"/>
            <w:vAlign w:val="center"/>
          </w:tcPr>
          <w:p w14:paraId="2252844D" w14:textId="77777777" w:rsidR="00454A29" w:rsidRDefault="00454A29">
            <w:pPr>
              <w:pStyle w:val="ConsPlusNormal"/>
              <w:jc w:val="center"/>
            </w:pPr>
            <w:r>
              <w:t>49 400 079,17</w:t>
            </w:r>
          </w:p>
        </w:tc>
        <w:tc>
          <w:tcPr>
            <w:tcW w:w="1814" w:type="dxa"/>
            <w:vAlign w:val="center"/>
          </w:tcPr>
          <w:p w14:paraId="52AA5530" w14:textId="77777777" w:rsidR="00454A29" w:rsidRDefault="00454A29">
            <w:pPr>
              <w:pStyle w:val="ConsPlusNormal"/>
              <w:jc w:val="center"/>
            </w:pPr>
            <w:r>
              <w:t>494 000,78</w:t>
            </w:r>
          </w:p>
        </w:tc>
        <w:tc>
          <w:tcPr>
            <w:tcW w:w="1701" w:type="dxa"/>
            <w:vAlign w:val="center"/>
          </w:tcPr>
          <w:p w14:paraId="6B92FCC2" w14:textId="77777777" w:rsidR="00454A29" w:rsidRDefault="00454A29">
            <w:pPr>
              <w:pStyle w:val="ConsPlusNormal"/>
              <w:jc w:val="center"/>
            </w:pPr>
            <w:r>
              <w:t>48 906 078,39</w:t>
            </w:r>
          </w:p>
        </w:tc>
        <w:tc>
          <w:tcPr>
            <w:tcW w:w="1701" w:type="dxa"/>
            <w:vAlign w:val="center"/>
          </w:tcPr>
          <w:p w14:paraId="00F79504" w14:textId="77777777" w:rsidR="00454A29" w:rsidRDefault="00454A29">
            <w:pPr>
              <w:pStyle w:val="ConsPlusNormal"/>
              <w:jc w:val="center"/>
            </w:pPr>
            <w:r>
              <w:t>-</w:t>
            </w:r>
          </w:p>
        </w:tc>
        <w:tc>
          <w:tcPr>
            <w:tcW w:w="1814" w:type="dxa"/>
            <w:vAlign w:val="center"/>
          </w:tcPr>
          <w:p w14:paraId="351C7BB7" w14:textId="77777777" w:rsidR="00454A29" w:rsidRDefault="00454A29">
            <w:pPr>
              <w:pStyle w:val="ConsPlusNormal"/>
              <w:jc w:val="center"/>
            </w:pPr>
            <w:r>
              <w:t>-</w:t>
            </w:r>
          </w:p>
        </w:tc>
      </w:tr>
      <w:tr w:rsidR="00454A29" w14:paraId="395A32B5" w14:textId="77777777">
        <w:tc>
          <w:tcPr>
            <w:tcW w:w="21706" w:type="dxa"/>
            <w:gridSpan w:val="12"/>
            <w:vAlign w:val="center"/>
          </w:tcPr>
          <w:p w14:paraId="737DBA1F" w14:textId="77777777" w:rsidR="00454A29" w:rsidRDefault="00454A29">
            <w:pPr>
              <w:pStyle w:val="ConsPlusNormal"/>
              <w:jc w:val="center"/>
              <w:outlineLvl w:val="2"/>
            </w:pPr>
            <w:r>
              <w:t>МР "Абыйский улус (район)"</w:t>
            </w:r>
          </w:p>
        </w:tc>
      </w:tr>
      <w:tr w:rsidR="00454A29" w14:paraId="21DC1A76" w14:textId="77777777">
        <w:tc>
          <w:tcPr>
            <w:tcW w:w="567" w:type="dxa"/>
            <w:vMerge w:val="restart"/>
            <w:vAlign w:val="center"/>
          </w:tcPr>
          <w:p w14:paraId="54581A27" w14:textId="77777777" w:rsidR="00454A29" w:rsidRDefault="00454A29">
            <w:pPr>
              <w:pStyle w:val="ConsPlusNormal"/>
              <w:jc w:val="center"/>
            </w:pPr>
            <w:r>
              <w:t>1</w:t>
            </w:r>
          </w:p>
        </w:tc>
        <w:tc>
          <w:tcPr>
            <w:tcW w:w="3345" w:type="dxa"/>
            <w:vMerge w:val="restart"/>
            <w:vAlign w:val="center"/>
          </w:tcPr>
          <w:p w14:paraId="52F0202F" w14:textId="77777777" w:rsidR="00454A29" w:rsidRDefault="00454A29">
            <w:pPr>
              <w:pStyle w:val="ConsPlusNormal"/>
              <w:jc w:val="center"/>
            </w:pPr>
            <w:r>
              <w:t>Школа на 176 учащихся в с. Белая Гора</w:t>
            </w:r>
          </w:p>
        </w:tc>
        <w:tc>
          <w:tcPr>
            <w:tcW w:w="1701" w:type="dxa"/>
            <w:vAlign w:val="center"/>
          </w:tcPr>
          <w:p w14:paraId="610F98FE" w14:textId="77777777" w:rsidR="00454A29" w:rsidRDefault="00454A29">
            <w:pPr>
              <w:pStyle w:val="ConsPlusNormal"/>
              <w:jc w:val="center"/>
            </w:pPr>
            <w:r>
              <w:t>2020 - 2026 годы - всего</w:t>
            </w:r>
          </w:p>
        </w:tc>
        <w:tc>
          <w:tcPr>
            <w:tcW w:w="1417" w:type="dxa"/>
            <w:vMerge w:val="restart"/>
            <w:vAlign w:val="center"/>
          </w:tcPr>
          <w:p w14:paraId="2E6D3406" w14:textId="77777777" w:rsidR="00454A29" w:rsidRDefault="00454A29">
            <w:pPr>
              <w:pStyle w:val="ConsPlusNormal"/>
              <w:jc w:val="center"/>
            </w:pPr>
            <w:r>
              <w:t>262 091,01</w:t>
            </w:r>
          </w:p>
        </w:tc>
        <w:tc>
          <w:tcPr>
            <w:tcW w:w="2204" w:type="dxa"/>
            <w:vMerge w:val="restart"/>
            <w:vAlign w:val="center"/>
          </w:tcPr>
          <w:p w14:paraId="2E71854D" w14:textId="77777777" w:rsidR="00454A29" w:rsidRDefault="00454A29">
            <w:pPr>
              <w:pStyle w:val="ConsPlusNormal"/>
              <w:jc w:val="center"/>
            </w:pPr>
            <w:r>
              <w:t>имеется</w:t>
            </w:r>
          </w:p>
        </w:tc>
        <w:tc>
          <w:tcPr>
            <w:tcW w:w="1417" w:type="dxa"/>
            <w:vMerge w:val="restart"/>
            <w:vAlign w:val="center"/>
          </w:tcPr>
          <w:p w14:paraId="54139A83" w14:textId="77777777" w:rsidR="00454A29" w:rsidRDefault="00454A29">
            <w:pPr>
              <w:pStyle w:val="ConsPlusNormal"/>
              <w:jc w:val="center"/>
            </w:pPr>
            <w:r>
              <w:t>176</w:t>
            </w:r>
          </w:p>
        </w:tc>
        <w:tc>
          <w:tcPr>
            <w:tcW w:w="2324" w:type="dxa"/>
            <w:vMerge w:val="restart"/>
            <w:vAlign w:val="center"/>
          </w:tcPr>
          <w:p w14:paraId="0F1B6EA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A6FE491" w14:textId="77777777" w:rsidR="00454A29" w:rsidRDefault="00454A29">
            <w:pPr>
              <w:pStyle w:val="ConsPlusNormal"/>
              <w:jc w:val="center"/>
            </w:pPr>
            <w:r>
              <w:t>262 091,01</w:t>
            </w:r>
          </w:p>
        </w:tc>
        <w:tc>
          <w:tcPr>
            <w:tcW w:w="1814" w:type="dxa"/>
            <w:vAlign w:val="center"/>
          </w:tcPr>
          <w:p w14:paraId="21A04C7E" w14:textId="77777777" w:rsidR="00454A29" w:rsidRDefault="00454A29">
            <w:pPr>
              <w:pStyle w:val="ConsPlusNormal"/>
              <w:jc w:val="center"/>
            </w:pPr>
            <w:r>
              <w:t>2 620,91</w:t>
            </w:r>
          </w:p>
        </w:tc>
        <w:tc>
          <w:tcPr>
            <w:tcW w:w="1701" w:type="dxa"/>
            <w:vAlign w:val="center"/>
          </w:tcPr>
          <w:p w14:paraId="1DA351FF" w14:textId="77777777" w:rsidR="00454A29" w:rsidRDefault="00454A29">
            <w:pPr>
              <w:pStyle w:val="ConsPlusNormal"/>
              <w:jc w:val="center"/>
            </w:pPr>
            <w:r>
              <w:t>259 470,10</w:t>
            </w:r>
          </w:p>
        </w:tc>
        <w:tc>
          <w:tcPr>
            <w:tcW w:w="1701" w:type="dxa"/>
            <w:vAlign w:val="center"/>
          </w:tcPr>
          <w:p w14:paraId="1D8D5D69" w14:textId="77777777" w:rsidR="00454A29" w:rsidRDefault="00454A29">
            <w:pPr>
              <w:pStyle w:val="ConsPlusNormal"/>
              <w:jc w:val="center"/>
            </w:pPr>
            <w:r>
              <w:t>-</w:t>
            </w:r>
          </w:p>
        </w:tc>
        <w:tc>
          <w:tcPr>
            <w:tcW w:w="1814" w:type="dxa"/>
            <w:vAlign w:val="center"/>
          </w:tcPr>
          <w:p w14:paraId="53453A58" w14:textId="77777777" w:rsidR="00454A29" w:rsidRDefault="00454A29">
            <w:pPr>
              <w:pStyle w:val="ConsPlusNormal"/>
              <w:jc w:val="center"/>
            </w:pPr>
            <w:r>
              <w:t>-</w:t>
            </w:r>
          </w:p>
        </w:tc>
      </w:tr>
      <w:tr w:rsidR="00454A29" w14:paraId="2B167D33" w14:textId="77777777">
        <w:tc>
          <w:tcPr>
            <w:tcW w:w="567" w:type="dxa"/>
            <w:vMerge/>
          </w:tcPr>
          <w:p w14:paraId="13EFE834" w14:textId="77777777" w:rsidR="00454A29" w:rsidRDefault="00454A29"/>
        </w:tc>
        <w:tc>
          <w:tcPr>
            <w:tcW w:w="3345" w:type="dxa"/>
            <w:vMerge/>
          </w:tcPr>
          <w:p w14:paraId="75ABC35E" w14:textId="77777777" w:rsidR="00454A29" w:rsidRDefault="00454A29"/>
        </w:tc>
        <w:tc>
          <w:tcPr>
            <w:tcW w:w="1701" w:type="dxa"/>
            <w:vAlign w:val="center"/>
          </w:tcPr>
          <w:p w14:paraId="5972DAFE" w14:textId="77777777" w:rsidR="00454A29" w:rsidRDefault="00454A29">
            <w:pPr>
              <w:pStyle w:val="ConsPlusNormal"/>
              <w:jc w:val="center"/>
            </w:pPr>
            <w:r>
              <w:t>2020</w:t>
            </w:r>
          </w:p>
        </w:tc>
        <w:tc>
          <w:tcPr>
            <w:tcW w:w="1417" w:type="dxa"/>
            <w:vMerge/>
          </w:tcPr>
          <w:p w14:paraId="26482734" w14:textId="77777777" w:rsidR="00454A29" w:rsidRDefault="00454A29"/>
        </w:tc>
        <w:tc>
          <w:tcPr>
            <w:tcW w:w="2204" w:type="dxa"/>
            <w:vMerge/>
          </w:tcPr>
          <w:p w14:paraId="3914C311" w14:textId="77777777" w:rsidR="00454A29" w:rsidRDefault="00454A29"/>
        </w:tc>
        <w:tc>
          <w:tcPr>
            <w:tcW w:w="1417" w:type="dxa"/>
            <w:vMerge/>
          </w:tcPr>
          <w:p w14:paraId="6C8C4076" w14:textId="77777777" w:rsidR="00454A29" w:rsidRDefault="00454A29"/>
        </w:tc>
        <w:tc>
          <w:tcPr>
            <w:tcW w:w="2324" w:type="dxa"/>
            <w:vMerge/>
          </w:tcPr>
          <w:p w14:paraId="5B91CE2D" w14:textId="77777777" w:rsidR="00454A29" w:rsidRDefault="00454A29"/>
        </w:tc>
        <w:tc>
          <w:tcPr>
            <w:tcW w:w="1701" w:type="dxa"/>
            <w:vAlign w:val="center"/>
          </w:tcPr>
          <w:p w14:paraId="039F6FFD" w14:textId="77777777" w:rsidR="00454A29" w:rsidRDefault="00454A29">
            <w:pPr>
              <w:pStyle w:val="ConsPlusNormal"/>
            </w:pPr>
          </w:p>
        </w:tc>
        <w:tc>
          <w:tcPr>
            <w:tcW w:w="1814" w:type="dxa"/>
            <w:vAlign w:val="center"/>
          </w:tcPr>
          <w:p w14:paraId="1697F602" w14:textId="77777777" w:rsidR="00454A29" w:rsidRDefault="00454A29">
            <w:pPr>
              <w:pStyle w:val="ConsPlusNormal"/>
            </w:pPr>
          </w:p>
        </w:tc>
        <w:tc>
          <w:tcPr>
            <w:tcW w:w="1701" w:type="dxa"/>
            <w:vAlign w:val="center"/>
          </w:tcPr>
          <w:p w14:paraId="5EC56DF0" w14:textId="77777777" w:rsidR="00454A29" w:rsidRDefault="00454A29">
            <w:pPr>
              <w:pStyle w:val="ConsPlusNormal"/>
            </w:pPr>
          </w:p>
        </w:tc>
        <w:tc>
          <w:tcPr>
            <w:tcW w:w="1701" w:type="dxa"/>
            <w:vAlign w:val="center"/>
          </w:tcPr>
          <w:p w14:paraId="57176767" w14:textId="77777777" w:rsidR="00454A29" w:rsidRDefault="00454A29">
            <w:pPr>
              <w:pStyle w:val="ConsPlusNormal"/>
            </w:pPr>
          </w:p>
        </w:tc>
        <w:tc>
          <w:tcPr>
            <w:tcW w:w="1814" w:type="dxa"/>
            <w:vAlign w:val="center"/>
          </w:tcPr>
          <w:p w14:paraId="37E6C4BE" w14:textId="77777777" w:rsidR="00454A29" w:rsidRDefault="00454A29">
            <w:pPr>
              <w:pStyle w:val="ConsPlusNormal"/>
            </w:pPr>
          </w:p>
        </w:tc>
      </w:tr>
      <w:tr w:rsidR="00454A29" w14:paraId="7565FAC0" w14:textId="77777777">
        <w:tc>
          <w:tcPr>
            <w:tcW w:w="567" w:type="dxa"/>
            <w:vMerge/>
          </w:tcPr>
          <w:p w14:paraId="18CDCEA5" w14:textId="77777777" w:rsidR="00454A29" w:rsidRDefault="00454A29"/>
        </w:tc>
        <w:tc>
          <w:tcPr>
            <w:tcW w:w="3345" w:type="dxa"/>
            <w:vMerge/>
          </w:tcPr>
          <w:p w14:paraId="2A7D3D80" w14:textId="77777777" w:rsidR="00454A29" w:rsidRDefault="00454A29"/>
        </w:tc>
        <w:tc>
          <w:tcPr>
            <w:tcW w:w="1701" w:type="dxa"/>
            <w:vAlign w:val="center"/>
          </w:tcPr>
          <w:p w14:paraId="21AD1BC3" w14:textId="77777777" w:rsidR="00454A29" w:rsidRDefault="00454A29">
            <w:pPr>
              <w:pStyle w:val="ConsPlusNormal"/>
              <w:jc w:val="center"/>
            </w:pPr>
            <w:r>
              <w:t>2021</w:t>
            </w:r>
          </w:p>
        </w:tc>
        <w:tc>
          <w:tcPr>
            <w:tcW w:w="1417" w:type="dxa"/>
            <w:vMerge/>
          </w:tcPr>
          <w:p w14:paraId="090ECD87" w14:textId="77777777" w:rsidR="00454A29" w:rsidRDefault="00454A29"/>
        </w:tc>
        <w:tc>
          <w:tcPr>
            <w:tcW w:w="2204" w:type="dxa"/>
            <w:vMerge/>
          </w:tcPr>
          <w:p w14:paraId="17EF64AD" w14:textId="77777777" w:rsidR="00454A29" w:rsidRDefault="00454A29"/>
        </w:tc>
        <w:tc>
          <w:tcPr>
            <w:tcW w:w="1417" w:type="dxa"/>
            <w:vMerge/>
          </w:tcPr>
          <w:p w14:paraId="55F5EFE7" w14:textId="77777777" w:rsidR="00454A29" w:rsidRDefault="00454A29"/>
        </w:tc>
        <w:tc>
          <w:tcPr>
            <w:tcW w:w="2324" w:type="dxa"/>
            <w:vMerge/>
          </w:tcPr>
          <w:p w14:paraId="57014D74" w14:textId="77777777" w:rsidR="00454A29" w:rsidRDefault="00454A29"/>
        </w:tc>
        <w:tc>
          <w:tcPr>
            <w:tcW w:w="1701" w:type="dxa"/>
            <w:vAlign w:val="center"/>
          </w:tcPr>
          <w:p w14:paraId="6805417E" w14:textId="77777777" w:rsidR="00454A29" w:rsidRDefault="00454A29">
            <w:pPr>
              <w:pStyle w:val="ConsPlusNormal"/>
              <w:jc w:val="center"/>
            </w:pPr>
            <w:r>
              <w:t>-</w:t>
            </w:r>
          </w:p>
        </w:tc>
        <w:tc>
          <w:tcPr>
            <w:tcW w:w="1814" w:type="dxa"/>
            <w:vAlign w:val="center"/>
          </w:tcPr>
          <w:p w14:paraId="2CAE5D42" w14:textId="77777777" w:rsidR="00454A29" w:rsidRDefault="00454A29">
            <w:pPr>
              <w:pStyle w:val="ConsPlusNormal"/>
            </w:pPr>
          </w:p>
        </w:tc>
        <w:tc>
          <w:tcPr>
            <w:tcW w:w="1701" w:type="dxa"/>
            <w:vAlign w:val="center"/>
          </w:tcPr>
          <w:p w14:paraId="383C88B1" w14:textId="77777777" w:rsidR="00454A29" w:rsidRDefault="00454A29">
            <w:pPr>
              <w:pStyle w:val="ConsPlusNormal"/>
            </w:pPr>
          </w:p>
        </w:tc>
        <w:tc>
          <w:tcPr>
            <w:tcW w:w="1701" w:type="dxa"/>
            <w:vAlign w:val="center"/>
          </w:tcPr>
          <w:p w14:paraId="0554AE5E" w14:textId="77777777" w:rsidR="00454A29" w:rsidRDefault="00454A29">
            <w:pPr>
              <w:pStyle w:val="ConsPlusNormal"/>
            </w:pPr>
          </w:p>
        </w:tc>
        <w:tc>
          <w:tcPr>
            <w:tcW w:w="1814" w:type="dxa"/>
            <w:vAlign w:val="center"/>
          </w:tcPr>
          <w:p w14:paraId="1CB20B3E" w14:textId="77777777" w:rsidR="00454A29" w:rsidRDefault="00454A29">
            <w:pPr>
              <w:pStyle w:val="ConsPlusNormal"/>
            </w:pPr>
          </w:p>
        </w:tc>
      </w:tr>
      <w:tr w:rsidR="00454A29" w14:paraId="23043B25" w14:textId="77777777">
        <w:tc>
          <w:tcPr>
            <w:tcW w:w="567" w:type="dxa"/>
            <w:vMerge/>
          </w:tcPr>
          <w:p w14:paraId="64517E8D" w14:textId="77777777" w:rsidR="00454A29" w:rsidRDefault="00454A29"/>
        </w:tc>
        <w:tc>
          <w:tcPr>
            <w:tcW w:w="3345" w:type="dxa"/>
            <w:vMerge/>
          </w:tcPr>
          <w:p w14:paraId="2570C928" w14:textId="77777777" w:rsidR="00454A29" w:rsidRDefault="00454A29"/>
        </w:tc>
        <w:tc>
          <w:tcPr>
            <w:tcW w:w="1701" w:type="dxa"/>
            <w:vAlign w:val="center"/>
          </w:tcPr>
          <w:p w14:paraId="72E1C684" w14:textId="77777777" w:rsidR="00454A29" w:rsidRDefault="00454A29">
            <w:pPr>
              <w:pStyle w:val="ConsPlusNormal"/>
              <w:jc w:val="center"/>
            </w:pPr>
            <w:r>
              <w:t>2022</w:t>
            </w:r>
          </w:p>
        </w:tc>
        <w:tc>
          <w:tcPr>
            <w:tcW w:w="1417" w:type="dxa"/>
            <w:vMerge/>
          </w:tcPr>
          <w:p w14:paraId="5A899EA0" w14:textId="77777777" w:rsidR="00454A29" w:rsidRDefault="00454A29"/>
        </w:tc>
        <w:tc>
          <w:tcPr>
            <w:tcW w:w="2204" w:type="dxa"/>
            <w:vMerge/>
          </w:tcPr>
          <w:p w14:paraId="6C9756E2" w14:textId="77777777" w:rsidR="00454A29" w:rsidRDefault="00454A29"/>
        </w:tc>
        <w:tc>
          <w:tcPr>
            <w:tcW w:w="1417" w:type="dxa"/>
            <w:vMerge/>
          </w:tcPr>
          <w:p w14:paraId="04ED187D" w14:textId="77777777" w:rsidR="00454A29" w:rsidRDefault="00454A29"/>
        </w:tc>
        <w:tc>
          <w:tcPr>
            <w:tcW w:w="2324" w:type="dxa"/>
            <w:vMerge/>
          </w:tcPr>
          <w:p w14:paraId="16D1149B" w14:textId="77777777" w:rsidR="00454A29" w:rsidRDefault="00454A29"/>
        </w:tc>
        <w:tc>
          <w:tcPr>
            <w:tcW w:w="1701" w:type="dxa"/>
            <w:vAlign w:val="center"/>
          </w:tcPr>
          <w:p w14:paraId="6E1043B1" w14:textId="77777777" w:rsidR="00454A29" w:rsidRDefault="00454A29">
            <w:pPr>
              <w:pStyle w:val="ConsPlusNormal"/>
              <w:jc w:val="center"/>
            </w:pPr>
            <w:r>
              <w:t>-</w:t>
            </w:r>
          </w:p>
        </w:tc>
        <w:tc>
          <w:tcPr>
            <w:tcW w:w="1814" w:type="dxa"/>
            <w:vAlign w:val="center"/>
          </w:tcPr>
          <w:p w14:paraId="0101BEC9" w14:textId="77777777" w:rsidR="00454A29" w:rsidRDefault="00454A29">
            <w:pPr>
              <w:pStyle w:val="ConsPlusNormal"/>
              <w:jc w:val="center"/>
            </w:pPr>
            <w:r>
              <w:t>-</w:t>
            </w:r>
          </w:p>
        </w:tc>
        <w:tc>
          <w:tcPr>
            <w:tcW w:w="1701" w:type="dxa"/>
            <w:vAlign w:val="center"/>
          </w:tcPr>
          <w:p w14:paraId="3B00E4A2" w14:textId="77777777" w:rsidR="00454A29" w:rsidRDefault="00454A29">
            <w:pPr>
              <w:pStyle w:val="ConsPlusNormal"/>
              <w:jc w:val="center"/>
            </w:pPr>
            <w:r>
              <w:t>-</w:t>
            </w:r>
          </w:p>
        </w:tc>
        <w:tc>
          <w:tcPr>
            <w:tcW w:w="1701" w:type="dxa"/>
            <w:vAlign w:val="center"/>
          </w:tcPr>
          <w:p w14:paraId="2C4FFCDC" w14:textId="77777777" w:rsidR="00454A29" w:rsidRDefault="00454A29">
            <w:pPr>
              <w:pStyle w:val="ConsPlusNormal"/>
            </w:pPr>
          </w:p>
        </w:tc>
        <w:tc>
          <w:tcPr>
            <w:tcW w:w="1814" w:type="dxa"/>
            <w:vAlign w:val="center"/>
          </w:tcPr>
          <w:p w14:paraId="13A45958" w14:textId="77777777" w:rsidR="00454A29" w:rsidRDefault="00454A29">
            <w:pPr>
              <w:pStyle w:val="ConsPlusNormal"/>
            </w:pPr>
          </w:p>
        </w:tc>
      </w:tr>
      <w:tr w:rsidR="00454A29" w14:paraId="005BF5D5" w14:textId="77777777">
        <w:tc>
          <w:tcPr>
            <w:tcW w:w="567" w:type="dxa"/>
            <w:vMerge/>
          </w:tcPr>
          <w:p w14:paraId="745DBA6D" w14:textId="77777777" w:rsidR="00454A29" w:rsidRDefault="00454A29"/>
        </w:tc>
        <w:tc>
          <w:tcPr>
            <w:tcW w:w="3345" w:type="dxa"/>
            <w:vMerge/>
          </w:tcPr>
          <w:p w14:paraId="4AC5EC72" w14:textId="77777777" w:rsidR="00454A29" w:rsidRDefault="00454A29"/>
        </w:tc>
        <w:tc>
          <w:tcPr>
            <w:tcW w:w="1701" w:type="dxa"/>
            <w:vAlign w:val="center"/>
          </w:tcPr>
          <w:p w14:paraId="260CAD34" w14:textId="77777777" w:rsidR="00454A29" w:rsidRDefault="00454A29">
            <w:pPr>
              <w:pStyle w:val="ConsPlusNormal"/>
              <w:jc w:val="center"/>
            </w:pPr>
            <w:r>
              <w:t>2023</w:t>
            </w:r>
          </w:p>
        </w:tc>
        <w:tc>
          <w:tcPr>
            <w:tcW w:w="1417" w:type="dxa"/>
            <w:vMerge/>
          </w:tcPr>
          <w:p w14:paraId="4F5D6AEC" w14:textId="77777777" w:rsidR="00454A29" w:rsidRDefault="00454A29"/>
        </w:tc>
        <w:tc>
          <w:tcPr>
            <w:tcW w:w="2204" w:type="dxa"/>
            <w:vMerge/>
          </w:tcPr>
          <w:p w14:paraId="4DDBC111" w14:textId="77777777" w:rsidR="00454A29" w:rsidRDefault="00454A29"/>
        </w:tc>
        <w:tc>
          <w:tcPr>
            <w:tcW w:w="1417" w:type="dxa"/>
            <w:vMerge/>
          </w:tcPr>
          <w:p w14:paraId="028A8125" w14:textId="77777777" w:rsidR="00454A29" w:rsidRDefault="00454A29"/>
        </w:tc>
        <w:tc>
          <w:tcPr>
            <w:tcW w:w="2324" w:type="dxa"/>
            <w:vMerge/>
          </w:tcPr>
          <w:p w14:paraId="1689255C" w14:textId="77777777" w:rsidR="00454A29" w:rsidRDefault="00454A29"/>
        </w:tc>
        <w:tc>
          <w:tcPr>
            <w:tcW w:w="1701" w:type="dxa"/>
            <w:vAlign w:val="center"/>
          </w:tcPr>
          <w:p w14:paraId="266B07C1" w14:textId="77777777" w:rsidR="00454A29" w:rsidRDefault="00454A29">
            <w:pPr>
              <w:pStyle w:val="ConsPlusNormal"/>
              <w:jc w:val="center"/>
            </w:pPr>
            <w:r>
              <w:t>262 091,01</w:t>
            </w:r>
          </w:p>
        </w:tc>
        <w:tc>
          <w:tcPr>
            <w:tcW w:w="1814" w:type="dxa"/>
            <w:vAlign w:val="center"/>
          </w:tcPr>
          <w:p w14:paraId="73152C9C" w14:textId="77777777" w:rsidR="00454A29" w:rsidRDefault="00454A29">
            <w:pPr>
              <w:pStyle w:val="ConsPlusNormal"/>
              <w:jc w:val="center"/>
            </w:pPr>
            <w:r>
              <w:t>2 620,91</w:t>
            </w:r>
          </w:p>
        </w:tc>
        <w:tc>
          <w:tcPr>
            <w:tcW w:w="1701" w:type="dxa"/>
            <w:vAlign w:val="center"/>
          </w:tcPr>
          <w:p w14:paraId="0E5D510A" w14:textId="77777777" w:rsidR="00454A29" w:rsidRDefault="00454A29">
            <w:pPr>
              <w:pStyle w:val="ConsPlusNormal"/>
              <w:jc w:val="center"/>
            </w:pPr>
            <w:r>
              <w:t>259 470,10</w:t>
            </w:r>
          </w:p>
        </w:tc>
        <w:tc>
          <w:tcPr>
            <w:tcW w:w="1701" w:type="dxa"/>
            <w:vAlign w:val="center"/>
          </w:tcPr>
          <w:p w14:paraId="2CFAA38F" w14:textId="77777777" w:rsidR="00454A29" w:rsidRDefault="00454A29">
            <w:pPr>
              <w:pStyle w:val="ConsPlusNormal"/>
            </w:pPr>
          </w:p>
        </w:tc>
        <w:tc>
          <w:tcPr>
            <w:tcW w:w="1814" w:type="dxa"/>
            <w:vAlign w:val="center"/>
          </w:tcPr>
          <w:p w14:paraId="26615DE6" w14:textId="77777777" w:rsidR="00454A29" w:rsidRDefault="00454A29">
            <w:pPr>
              <w:pStyle w:val="ConsPlusNormal"/>
            </w:pPr>
          </w:p>
        </w:tc>
      </w:tr>
      <w:tr w:rsidR="00454A29" w14:paraId="274B17E1" w14:textId="77777777">
        <w:tc>
          <w:tcPr>
            <w:tcW w:w="567" w:type="dxa"/>
            <w:vMerge/>
          </w:tcPr>
          <w:p w14:paraId="62F2A579" w14:textId="77777777" w:rsidR="00454A29" w:rsidRDefault="00454A29"/>
        </w:tc>
        <w:tc>
          <w:tcPr>
            <w:tcW w:w="3345" w:type="dxa"/>
            <w:vMerge/>
          </w:tcPr>
          <w:p w14:paraId="11C2FC89" w14:textId="77777777" w:rsidR="00454A29" w:rsidRDefault="00454A29"/>
        </w:tc>
        <w:tc>
          <w:tcPr>
            <w:tcW w:w="1701" w:type="dxa"/>
            <w:vAlign w:val="center"/>
          </w:tcPr>
          <w:p w14:paraId="005ED303" w14:textId="77777777" w:rsidR="00454A29" w:rsidRDefault="00454A29">
            <w:pPr>
              <w:pStyle w:val="ConsPlusNormal"/>
              <w:jc w:val="center"/>
            </w:pPr>
            <w:r>
              <w:t>2024</w:t>
            </w:r>
          </w:p>
        </w:tc>
        <w:tc>
          <w:tcPr>
            <w:tcW w:w="1417" w:type="dxa"/>
            <w:vMerge/>
          </w:tcPr>
          <w:p w14:paraId="50D1D941" w14:textId="77777777" w:rsidR="00454A29" w:rsidRDefault="00454A29"/>
        </w:tc>
        <w:tc>
          <w:tcPr>
            <w:tcW w:w="2204" w:type="dxa"/>
            <w:vMerge/>
          </w:tcPr>
          <w:p w14:paraId="1D88712D" w14:textId="77777777" w:rsidR="00454A29" w:rsidRDefault="00454A29"/>
        </w:tc>
        <w:tc>
          <w:tcPr>
            <w:tcW w:w="1417" w:type="dxa"/>
            <w:vMerge/>
          </w:tcPr>
          <w:p w14:paraId="166A960E" w14:textId="77777777" w:rsidR="00454A29" w:rsidRDefault="00454A29"/>
        </w:tc>
        <w:tc>
          <w:tcPr>
            <w:tcW w:w="2324" w:type="dxa"/>
            <w:vMerge/>
          </w:tcPr>
          <w:p w14:paraId="120B4E3C" w14:textId="77777777" w:rsidR="00454A29" w:rsidRDefault="00454A29"/>
        </w:tc>
        <w:tc>
          <w:tcPr>
            <w:tcW w:w="1701" w:type="dxa"/>
            <w:vAlign w:val="center"/>
          </w:tcPr>
          <w:p w14:paraId="56C521A5" w14:textId="77777777" w:rsidR="00454A29" w:rsidRDefault="00454A29">
            <w:pPr>
              <w:pStyle w:val="ConsPlusNormal"/>
            </w:pPr>
          </w:p>
        </w:tc>
        <w:tc>
          <w:tcPr>
            <w:tcW w:w="1814" w:type="dxa"/>
            <w:vAlign w:val="center"/>
          </w:tcPr>
          <w:p w14:paraId="63A8AC94" w14:textId="77777777" w:rsidR="00454A29" w:rsidRDefault="00454A29">
            <w:pPr>
              <w:pStyle w:val="ConsPlusNormal"/>
            </w:pPr>
          </w:p>
        </w:tc>
        <w:tc>
          <w:tcPr>
            <w:tcW w:w="1701" w:type="dxa"/>
            <w:vAlign w:val="center"/>
          </w:tcPr>
          <w:p w14:paraId="58F18A59" w14:textId="77777777" w:rsidR="00454A29" w:rsidRDefault="00454A29">
            <w:pPr>
              <w:pStyle w:val="ConsPlusNormal"/>
            </w:pPr>
          </w:p>
        </w:tc>
        <w:tc>
          <w:tcPr>
            <w:tcW w:w="1701" w:type="dxa"/>
            <w:vAlign w:val="center"/>
          </w:tcPr>
          <w:p w14:paraId="45555757" w14:textId="77777777" w:rsidR="00454A29" w:rsidRDefault="00454A29">
            <w:pPr>
              <w:pStyle w:val="ConsPlusNormal"/>
            </w:pPr>
          </w:p>
        </w:tc>
        <w:tc>
          <w:tcPr>
            <w:tcW w:w="1814" w:type="dxa"/>
            <w:vAlign w:val="center"/>
          </w:tcPr>
          <w:p w14:paraId="76048ABB" w14:textId="77777777" w:rsidR="00454A29" w:rsidRDefault="00454A29">
            <w:pPr>
              <w:pStyle w:val="ConsPlusNormal"/>
            </w:pPr>
          </w:p>
        </w:tc>
      </w:tr>
      <w:tr w:rsidR="00454A29" w14:paraId="5670EC83" w14:textId="77777777">
        <w:tc>
          <w:tcPr>
            <w:tcW w:w="567" w:type="dxa"/>
            <w:vMerge/>
          </w:tcPr>
          <w:p w14:paraId="06DFD49B" w14:textId="77777777" w:rsidR="00454A29" w:rsidRDefault="00454A29"/>
        </w:tc>
        <w:tc>
          <w:tcPr>
            <w:tcW w:w="3345" w:type="dxa"/>
            <w:vMerge/>
          </w:tcPr>
          <w:p w14:paraId="53EBE4D2" w14:textId="77777777" w:rsidR="00454A29" w:rsidRDefault="00454A29"/>
        </w:tc>
        <w:tc>
          <w:tcPr>
            <w:tcW w:w="1701" w:type="dxa"/>
            <w:vAlign w:val="center"/>
          </w:tcPr>
          <w:p w14:paraId="1BB63411" w14:textId="77777777" w:rsidR="00454A29" w:rsidRDefault="00454A29">
            <w:pPr>
              <w:pStyle w:val="ConsPlusNormal"/>
              <w:jc w:val="center"/>
            </w:pPr>
            <w:r>
              <w:t>2025</w:t>
            </w:r>
          </w:p>
        </w:tc>
        <w:tc>
          <w:tcPr>
            <w:tcW w:w="1417" w:type="dxa"/>
            <w:vMerge/>
          </w:tcPr>
          <w:p w14:paraId="37F8399B" w14:textId="77777777" w:rsidR="00454A29" w:rsidRDefault="00454A29"/>
        </w:tc>
        <w:tc>
          <w:tcPr>
            <w:tcW w:w="2204" w:type="dxa"/>
            <w:vMerge/>
          </w:tcPr>
          <w:p w14:paraId="48C6C972" w14:textId="77777777" w:rsidR="00454A29" w:rsidRDefault="00454A29"/>
        </w:tc>
        <w:tc>
          <w:tcPr>
            <w:tcW w:w="1417" w:type="dxa"/>
            <w:vMerge/>
          </w:tcPr>
          <w:p w14:paraId="0D2B07F6" w14:textId="77777777" w:rsidR="00454A29" w:rsidRDefault="00454A29"/>
        </w:tc>
        <w:tc>
          <w:tcPr>
            <w:tcW w:w="2324" w:type="dxa"/>
            <w:vMerge/>
          </w:tcPr>
          <w:p w14:paraId="46DD3146" w14:textId="77777777" w:rsidR="00454A29" w:rsidRDefault="00454A29"/>
        </w:tc>
        <w:tc>
          <w:tcPr>
            <w:tcW w:w="1701" w:type="dxa"/>
            <w:vAlign w:val="center"/>
          </w:tcPr>
          <w:p w14:paraId="2EB81A28" w14:textId="77777777" w:rsidR="00454A29" w:rsidRDefault="00454A29">
            <w:pPr>
              <w:pStyle w:val="ConsPlusNormal"/>
            </w:pPr>
          </w:p>
        </w:tc>
        <w:tc>
          <w:tcPr>
            <w:tcW w:w="1814" w:type="dxa"/>
            <w:vAlign w:val="center"/>
          </w:tcPr>
          <w:p w14:paraId="67D02E32" w14:textId="77777777" w:rsidR="00454A29" w:rsidRDefault="00454A29">
            <w:pPr>
              <w:pStyle w:val="ConsPlusNormal"/>
            </w:pPr>
          </w:p>
        </w:tc>
        <w:tc>
          <w:tcPr>
            <w:tcW w:w="1701" w:type="dxa"/>
            <w:vAlign w:val="center"/>
          </w:tcPr>
          <w:p w14:paraId="388920D0" w14:textId="77777777" w:rsidR="00454A29" w:rsidRDefault="00454A29">
            <w:pPr>
              <w:pStyle w:val="ConsPlusNormal"/>
            </w:pPr>
          </w:p>
        </w:tc>
        <w:tc>
          <w:tcPr>
            <w:tcW w:w="1701" w:type="dxa"/>
            <w:vAlign w:val="center"/>
          </w:tcPr>
          <w:p w14:paraId="7FBC8D92" w14:textId="77777777" w:rsidR="00454A29" w:rsidRDefault="00454A29">
            <w:pPr>
              <w:pStyle w:val="ConsPlusNormal"/>
            </w:pPr>
          </w:p>
        </w:tc>
        <w:tc>
          <w:tcPr>
            <w:tcW w:w="1814" w:type="dxa"/>
            <w:vAlign w:val="center"/>
          </w:tcPr>
          <w:p w14:paraId="7F901B36" w14:textId="77777777" w:rsidR="00454A29" w:rsidRDefault="00454A29">
            <w:pPr>
              <w:pStyle w:val="ConsPlusNormal"/>
            </w:pPr>
          </w:p>
        </w:tc>
      </w:tr>
      <w:tr w:rsidR="00454A29" w14:paraId="6E9F4491" w14:textId="77777777">
        <w:tc>
          <w:tcPr>
            <w:tcW w:w="567" w:type="dxa"/>
            <w:vMerge/>
          </w:tcPr>
          <w:p w14:paraId="452E4E35" w14:textId="77777777" w:rsidR="00454A29" w:rsidRDefault="00454A29"/>
        </w:tc>
        <w:tc>
          <w:tcPr>
            <w:tcW w:w="3345" w:type="dxa"/>
            <w:vMerge/>
          </w:tcPr>
          <w:p w14:paraId="1C7B2152" w14:textId="77777777" w:rsidR="00454A29" w:rsidRDefault="00454A29"/>
        </w:tc>
        <w:tc>
          <w:tcPr>
            <w:tcW w:w="1701" w:type="dxa"/>
            <w:vAlign w:val="center"/>
          </w:tcPr>
          <w:p w14:paraId="3ABA0701" w14:textId="77777777" w:rsidR="00454A29" w:rsidRDefault="00454A29">
            <w:pPr>
              <w:pStyle w:val="ConsPlusNormal"/>
              <w:jc w:val="center"/>
            </w:pPr>
            <w:r>
              <w:t>2026</w:t>
            </w:r>
          </w:p>
        </w:tc>
        <w:tc>
          <w:tcPr>
            <w:tcW w:w="1417" w:type="dxa"/>
            <w:vMerge/>
          </w:tcPr>
          <w:p w14:paraId="0DAB7E65" w14:textId="77777777" w:rsidR="00454A29" w:rsidRDefault="00454A29"/>
        </w:tc>
        <w:tc>
          <w:tcPr>
            <w:tcW w:w="2204" w:type="dxa"/>
            <w:vMerge/>
          </w:tcPr>
          <w:p w14:paraId="071C91AE" w14:textId="77777777" w:rsidR="00454A29" w:rsidRDefault="00454A29"/>
        </w:tc>
        <w:tc>
          <w:tcPr>
            <w:tcW w:w="1417" w:type="dxa"/>
            <w:vMerge/>
          </w:tcPr>
          <w:p w14:paraId="6E0D8165" w14:textId="77777777" w:rsidR="00454A29" w:rsidRDefault="00454A29"/>
        </w:tc>
        <w:tc>
          <w:tcPr>
            <w:tcW w:w="2324" w:type="dxa"/>
            <w:vMerge/>
          </w:tcPr>
          <w:p w14:paraId="172A00F2" w14:textId="77777777" w:rsidR="00454A29" w:rsidRDefault="00454A29"/>
        </w:tc>
        <w:tc>
          <w:tcPr>
            <w:tcW w:w="1701" w:type="dxa"/>
            <w:vAlign w:val="center"/>
          </w:tcPr>
          <w:p w14:paraId="41730421" w14:textId="77777777" w:rsidR="00454A29" w:rsidRDefault="00454A29">
            <w:pPr>
              <w:pStyle w:val="ConsPlusNormal"/>
            </w:pPr>
          </w:p>
        </w:tc>
        <w:tc>
          <w:tcPr>
            <w:tcW w:w="1814" w:type="dxa"/>
            <w:vAlign w:val="center"/>
          </w:tcPr>
          <w:p w14:paraId="74723303" w14:textId="77777777" w:rsidR="00454A29" w:rsidRDefault="00454A29">
            <w:pPr>
              <w:pStyle w:val="ConsPlusNormal"/>
            </w:pPr>
          </w:p>
        </w:tc>
        <w:tc>
          <w:tcPr>
            <w:tcW w:w="1701" w:type="dxa"/>
            <w:vAlign w:val="center"/>
          </w:tcPr>
          <w:p w14:paraId="5C1BEFCD" w14:textId="77777777" w:rsidR="00454A29" w:rsidRDefault="00454A29">
            <w:pPr>
              <w:pStyle w:val="ConsPlusNormal"/>
            </w:pPr>
          </w:p>
        </w:tc>
        <w:tc>
          <w:tcPr>
            <w:tcW w:w="1701" w:type="dxa"/>
            <w:vAlign w:val="center"/>
          </w:tcPr>
          <w:p w14:paraId="36CB7319" w14:textId="77777777" w:rsidR="00454A29" w:rsidRDefault="00454A29">
            <w:pPr>
              <w:pStyle w:val="ConsPlusNormal"/>
            </w:pPr>
          </w:p>
        </w:tc>
        <w:tc>
          <w:tcPr>
            <w:tcW w:w="1814" w:type="dxa"/>
            <w:vAlign w:val="center"/>
          </w:tcPr>
          <w:p w14:paraId="360B67F0" w14:textId="77777777" w:rsidR="00454A29" w:rsidRDefault="00454A29">
            <w:pPr>
              <w:pStyle w:val="ConsPlusNormal"/>
            </w:pPr>
          </w:p>
        </w:tc>
      </w:tr>
      <w:tr w:rsidR="00454A29" w14:paraId="758F74DE" w14:textId="77777777">
        <w:tc>
          <w:tcPr>
            <w:tcW w:w="567" w:type="dxa"/>
            <w:vMerge w:val="restart"/>
            <w:vAlign w:val="center"/>
          </w:tcPr>
          <w:p w14:paraId="6F165B78" w14:textId="77777777" w:rsidR="00454A29" w:rsidRDefault="00454A29">
            <w:pPr>
              <w:pStyle w:val="ConsPlusNormal"/>
              <w:jc w:val="center"/>
            </w:pPr>
            <w:r>
              <w:t>2</w:t>
            </w:r>
          </w:p>
        </w:tc>
        <w:tc>
          <w:tcPr>
            <w:tcW w:w="3345" w:type="dxa"/>
            <w:vMerge w:val="restart"/>
            <w:vAlign w:val="center"/>
          </w:tcPr>
          <w:p w14:paraId="47C000E8" w14:textId="77777777" w:rsidR="00454A29" w:rsidRDefault="00454A29">
            <w:pPr>
              <w:pStyle w:val="ConsPlusNormal"/>
              <w:jc w:val="center"/>
            </w:pPr>
            <w:r>
              <w:t>Школа на 50 учащихся в с. Сыаганнах</w:t>
            </w:r>
          </w:p>
        </w:tc>
        <w:tc>
          <w:tcPr>
            <w:tcW w:w="1701" w:type="dxa"/>
            <w:vAlign w:val="center"/>
          </w:tcPr>
          <w:p w14:paraId="2BEF96EE" w14:textId="77777777" w:rsidR="00454A29" w:rsidRDefault="00454A29">
            <w:pPr>
              <w:pStyle w:val="ConsPlusNormal"/>
              <w:jc w:val="center"/>
            </w:pPr>
            <w:r>
              <w:t>2020 - 2026 годы - всего</w:t>
            </w:r>
          </w:p>
        </w:tc>
        <w:tc>
          <w:tcPr>
            <w:tcW w:w="1417" w:type="dxa"/>
            <w:vMerge w:val="restart"/>
            <w:vAlign w:val="center"/>
          </w:tcPr>
          <w:p w14:paraId="217DE95A" w14:textId="77777777" w:rsidR="00454A29" w:rsidRDefault="00454A29">
            <w:pPr>
              <w:pStyle w:val="ConsPlusNormal"/>
              <w:jc w:val="center"/>
            </w:pPr>
            <w:r>
              <w:t>183 912,26</w:t>
            </w:r>
          </w:p>
        </w:tc>
        <w:tc>
          <w:tcPr>
            <w:tcW w:w="2204" w:type="dxa"/>
            <w:vMerge w:val="restart"/>
            <w:vAlign w:val="center"/>
          </w:tcPr>
          <w:p w14:paraId="766DE0B5" w14:textId="77777777" w:rsidR="00454A29" w:rsidRDefault="00454A29">
            <w:pPr>
              <w:pStyle w:val="ConsPlusNormal"/>
            </w:pPr>
          </w:p>
        </w:tc>
        <w:tc>
          <w:tcPr>
            <w:tcW w:w="1417" w:type="dxa"/>
            <w:vMerge w:val="restart"/>
            <w:vAlign w:val="center"/>
          </w:tcPr>
          <w:p w14:paraId="705276BD" w14:textId="77777777" w:rsidR="00454A29" w:rsidRDefault="00454A29">
            <w:pPr>
              <w:pStyle w:val="ConsPlusNormal"/>
              <w:jc w:val="center"/>
            </w:pPr>
            <w:r>
              <w:t>50</w:t>
            </w:r>
          </w:p>
        </w:tc>
        <w:tc>
          <w:tcPr>
            <w:tcW w:w="2324" w:type="dxa"/>
            <w:vMerge w:val="restart"/>
            <w:vAlign w:val="center"/>
          </w:tcPr>
          <w:p w14:paraId="26A21B9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40904C3" w14:textId="77777777" w:rsidR="00454A29" w:rsidRDefault="00454A29">
            <w:pPr>
              <w:pStyle w:val="ConsPlusNormal"/>
              <w:jc w:val="center"/>
            </w:pPr>
            <w:r>
              <w:t>183 912,26</w:t>
            </w:r>
          </w:p>
        </w:tc>
        <w:tc>
          <w:tcPr>
            <w:tcW w:w="1814" w:type="dxa"/>
            <w:vAlign w:val="center"/>
          </w:tcPr>
          <w:p w14:paraId="59087A51" w14:textId="77777777" w:rsidR="00454A29" w:rsidRDefault="00454A29">
            <w:pPr>
              <w:pStyle w:val="ConsPlusNormal"/>
              <w:jc w:val="center"/>
            </w:pPr>
            <w:r>
              <w:t>2 326,49</w:t>
            </w:r>
          </w:p>
        </w:tc>
        <w:tc>
          <w:tcPr>
            <w:tcW w:w="1701" w:type="dxa"/>
            <w:vAlign w:val="center"/>
          </w:tcPr>
          <w:p w14:paraId="35494839" w14:textId="77777777" w:rsidR="00454A29" w:rsidRDefault="00454A29">
            <w:pPr>
              <w:pStyle w:val="ConsPlusNormal"/>
              <w:jc w:val="center"/>
            </w:pPr>
            <w:r>
              <w:t>230 322,52</w:t>
            </w:r>
          </w:p>
        </w:tc>
        <w:tc>
          <w:tcPr>
            <w:tcW w:w="1701" w:type="dxa"/>
            <w:vAlign w:val="center"/>
          </w:tcPr>
          <w:p w14:paraId="57648188" w14:textId="77777777" w:rsidR="00454A29" w:rsidRDefault="00454A29">
            <w:pPr>
              <w:pStyle w:val="ConsPlusNormal"/>
              <w:jc w:val="center"/>
            </w:pPr>
            <w:r>
              <w:t>-</w:t>
            </w:r>
          </w:p>
        </w:tc>
        <w:tc>
          <w:tcPr>
            <w:tcW w:w="1814" w:type="dxa"/>
            <w:vAlign w:val="center"/>
          </w:tcPr>
          <w:p w14:paraId="45CA1B8B" w14:textId="77777777" w:rsidR="00454A29" w:rsidRDefault="00454A29">
            <w:pPr>
              <w:pStyle w:val="ConsPlusNormal"/>
              <w:jc w:val="center"/>
            </w:pPr>
            <w:r>
              <w:t>-</w:t>
            </w:r>
          </w:p>
        </w:tc>
      </w:tr>
      <w:tr w:rsidR="00454A29" w14:paraId="23D180F5" w14:textId="77777777">
        <w:tc>
          <w:tcPr>
            <w:tcW w:w="567" w:type="dxa"/>
            <w:vMerge/>
          </w:tcPr>
          <w:p w14:paraId="1B834C88" w14:textId="77777777" w:rsidR="00454A29" w:rsidRDefault="00454A29"/>
        </w:tc>
        <w:tc>
          <w:tcPr>
            <w:tcW w:w="3345" w:type="dxa"/>
            <w:vMerge/>
          </w:tcPr>
          <w:p w14:paraId="171BB5D5" w14:textId="77777777" w:rsidR="00454A29" w:rsidRDefault="00454A29"/>
        </w:tc>
        <w:tc>
          <w:tcPr>
            <w:tcW w:w="1701" w:type="dxa"/>
            <w:vAlign w:val="center"/>
          </w:tcPr>
          <w:p w14:paraId="1D1B573E" w14:textId="77777777" w:rsidR="00454A29" w:rsidRDefault="00454A29">
            <w:pPr>
              <w:pStyle w:val="ConsPlusNormal"/>
              <w:jc w:val="center"/>
            </w:pPr>
            <w:r>
              <w:t>2020</w:t>
            </w:r>
          </w:p>
        </w:tc>
        <w:tc>
          <w:tcPr>
            <w:tcW w:w="1417" w:type="dxa"/>
            <w:vMerge/>
          </w:tcPr>
          <w:p w14:paraId="3CEE951A" w14:textId="77777777" w:rsidR="00454A29" w:rsidRDefault="00454A29"/>
        </w:tc>
        <w:tc>
          <w:tcPr>
            <w:tcW w:w="2204" w:type="dxa"/>
            <w:vMerge/>
          </w:tcPr>
          <w:p w14:paraId="27DAED66" w14:textId="77777777" w:rsidR="00454A29" w:rsidRDefault="00454A29"/>
        </w:tc>
        <w:tc>
          <w:tcPr>
            <w:tcW w:w="1417" w:type="dxa"/>
            <w:vMerge/>
          </w:tcPr>
          <w:p w14:paraId="14D22B90" w14:textId="77777777" w:rsidR="00454A29" w:rsidRDefault="00454A29"/>
        </w:tc>
        <w:tc>
          <w:tcPr>
            <w:tcW w:w="2324" w:type="dxa"/>
            <w:vMerge/>
          </w:tcPr>
          <w:p w14:paraId="5DDDEE0E" w14:textId="77777777" w:rsidR="00454A29" w:rsidRDefault="00454A29"/>
        </w:tc>
        <w:tc>
          <w:tcPr>
            <w:tcW w:w="1701" w:type="dxa"/>
            <w:vAlign w:val="center"/>
          </w:tcPr>
          <w:p w14:paraId="26027883" w14:textId="77777777" w:rsidR="00454A29" w:rsidRDefault="00454A29">
            <w:pPr>
              <w:pStyle w:val="ConsPlusNormal"/>
            </w:pPr>
          </w:p>
        </w:tc>
        <w:tc>
          <w:tcPr>
            <w:tcW w:w="1814" w:type="dxa"/>
            <w:vAlign w:val="center"/>
          </w:tcPr>
          <w:p w14:paraId="47D602DF" w14:textId="77777777" w:rsidR="00454A29" w:rsidRDefault="00454A29">
            <w:pPr>
              <w:pStyle w:val="ConsPlusNormal"/>
            </w:pPr>
          </w:p>
        </w:tc>
        <w:tc>
          <w:tcPr>
            <w:tcW w:w="1701" w:type="dxa"/>
            <w:vAlign w:val="center"/>
          </w:tcPr>
          <w:p w14:paraId="7838F136" w14:textId="77777777" w:rsidR="00454A29" w:rsidRDefault="00454A29">
            <w:pPr>
              <w:pStyle w:val="ConsPlusNormal"/>
            </w:pPr>
          </w:p>
        </w:tc>
        <w:tc>
          <w:tcPr>
            <w:tcW w:w="1701" w:type="dxa"/>
            <w:vAlign w:val="center"/>
          </w:tcPr>
          <w:p w14:paraId="3B8A9A68" w14:textId="77777777" w:rsidR="00454A29" w:rsidRDefault="00454A29">
            <w:pPr>
              <w:pStyle w:val="ConsPlusNormal"/>
            </w:pPr>
          </w:p>
        </w:tc>
        <w:tc>
          <w:tcPr>
            <w:tcW w:w="1814" w:type="dxa"/>
            <w:vAlign w:val="center"/>
          </w:tcPr>
          <w:p w14:paraId="4F524FF0" w14:textId="77777777" w:rsidR="00454A29" w:rsidRDefault="00454A29">
            <w:pPr>
              <w:pStyle w:val="ConsPlusNormal"/>
            </w:pPr>
          </w:p>
        </w:tc>
      </w:tr>
      <w:tr w:rsidR="00454A29" w14:paraId="037BB677" w14:textId="77777777">
        <w:tc>
          <w:tcPr>
            <w:tcW w:w="567" w:type="dxa"/>
            <w:vMerge/>
          </w:tcPr>
          <w:p w14:paraId="374CF785" w14:textId="77777777" w:rsidR="00454A29" w:rsidRDefault="00454A29"/>
        </w:tc>
        <w:tc>
          <w:tcPr>
            <w:tcW w:w="3345" w:type="dxa"/>
            <w:vMerge/>
          </w:tcPr>
          <w:p w14:paraId="1EC06BDB" w14:textId="77777777" w:rsidR="00454A29" w:rsidRDefault="00454A29"/>
        </w:tc>
        <w:tc>
          <w:tcPr>
            <w:tcW w:w="1701" w:type="dxa"/>
            <w:vAlign w:val="center"/>
          </w:tcPr>
          <w:p w14:paraId="56F66F6C" w14:textId="77777777" w:rsidR="00454A29" w:rsidRDefault="00454A29">
            <w:pPr>
              <w:pStyle w:val="ConsPlusNormal"/>
              <w:jc w:val="center"/>
            </w:pPr>
            <w:r>
              <w:t>2021</w:t>
            </w:r>
          </w:p>
        </w:tc>
        <w:tc>
          <w:tcPr>
            <w:tcW w:w="1417" w:type="dxa"/>
            <w:vMerge/>
          </w:tcPr>
          <w:p w14:paraId="471D6B49" w14:textId="77777777" w:rsidR="00454A29" w:rsidRDefault="00454A29"/>
        </w:tc>
        <w:tc>
          <w:tcPr>
            <w:tcW w:w="2204" w:type="dxa"/>
            <w:vMerge/>
          </w:tcPr>
          <w:p w14:paraId="4EA99C52" w14:textId="77777777" w:rsidR="00454A29" w:rsidRDefault="00454A29"/>
        </w:tc>
        <w:tc>
          <w:tcPr>
            <w:tcW w:w="1417" w:type="dxa"/>
            <w:vMerge/>
          </w:tcPr>
          <w:p w14:paraId="5BDED698" w14:textId="77777777" w:rsidR="00454A29" w:rsidRDefault="00454A29"/>
        </w:tc>
        <w:tc>
          <w:tcPr>
            <w:tcW w:w="2324" w:type="dxa"/>
            <w:vMerge/>
          </w:tcPr>
          <w:p w14:paraId="0EDB7923" w14:textId="77777777" w:rsidR="00454A29" w:rsidRDefault="00454A29"/>
        </w:tc>
        <w:tc>
          <w:tcPr>
            <w:tcW w:w="1701" w:type="dxa"/>
            <w:vAlign w:val="center"/>
          </w:tcPr>
          <w:p w14:paraId="14C2E71E" w14:textId="77777777" w:rsidR="00454A29" w:rsidRDefault="00454A29">
            <w:pPr>
              <w:pStyle w:val="ConsPlusNormal"/>
            </w:pPr>
          </w:p>
        </w:tc>
        <w:tc>
          <w:tcPr>
            <w:tcW w:w="1814" w:type="dxa"/>
            <w:vAlign w:val="center"/>
          </w:tcPr>
          <w:p w14:paraId="1429349B" w14:textId="77777777" w:rsidR="00454A29" w:rsidRDefault="00454A29">
            <w:pPr>
              <w:pStyle w:val="ConsPlusNormal"/>
            </w:pPr>
          </w:p>
        </w:tc>
        <w:tc>
          <w:tcPr>
            <w:tcW w:w="1701" w:type="dxa"/>
            <w:vAlign w:val="center"/>
          </w:tcPr>
          <w:p w14:paraId="0BD3D576" w14:textId="77777777" w:rsidR="00454A29" w:rsidRDefault="00454A29">
            <w:pPr>
              <w:pStyle w:val="ConsPlusNormal"/>
            </w:pPr>
          </w:p>
        </w:tc>
        <w:tc>
          <w:tcPr>
            <w:tcW w:w="1701" w:type="dxa"/>
            <w:vAlign w:val="center"/>
          </w:tcPr>
          <w:p w14:paraId="58B0B75A" w14:textId="77777777" w:rsidR="00454A29" w:rsidRDefault="00454A29">
            <w:pPr>
              <w:pStyle w:val="ConsPlusNormal"/>
            </w:pPr>
          </w:p>
        </w:tc>
        <w:tc>
          <w:tcPr>
            <w:tcW w:w="1814" w:type="dxa"/>
            <w:vAlign w:val="center"/>
          </w:tcPr>
          <w:p w14:paraId="0E76ED56" w14:textId="77777777" w:rsidR="00454A29" w:rsidRDefault="00454A29">
            <w:pPr>
              <w:pStyle w:val="ConsPlusNormal"/>
            </w:pPr>
          </w:p>
        </w:tc>
      </w:tr>
      <w:tr w:rsidR="00454A29" w14:paraId="19858A56" w14:textId="77777777">
        <w:tc>
          <w:tcPr>
            <w:tcW w:w="567" w:type="dxa"/>
            <w:vMerge/>
          </w:tcPr>
          <w:p w14:paraId="3C13ABE0" w14:textId="77777777" w:rsidR="00454A29" w:rsidRDefault="00454A29"/>
        </w:tc>
        <w:tc>
          <w:tcPr>
            <w:tcW w:w="3345" w:type="dxa"/>
            <w:vMerge/>
          </w:tcPr>
          <w:p w14:paraId="59B59680" w14:textId="77777777" w:rsidR="00454A29" w:rsidRDefault="00454A29"/>
        </w:tc>
        <w:tc>
          <w:tcPr>
            <w:tcW w:w="1701" w:type="dxa"/>
            <w:vAlign w:val="center"/>
          </w:tcPr>
          <w:p w14:paraId="265B9C72" w14:textId="77777777" w:rsidR="00454A29" w:rsidRDefault="00454A29">
            <w:pPr>
              <w:pStyle w:val="ConsPlusNormal"/>
              <w:jc w:val="center"/>
            </w:pPr>
            <w:r>
              <w:t>2022</w:t>
            </w:r>
          </w:p>
        </w:tc>
        <w:tc>
          <w:tcPr>
            <w:tcW w:w="1417" w:type="dxa"/>
            <w:vMerge/>
          </w:tcPr>
          <w:p w14:paraId="238D8321" w14:textId="77777777" w:rsidR="00454A29" w:rsidRDefault="00454A29"/>
        </w:tc>
        <w:tc>
          <w:tcPr>
            <w:tcW w:w="2204" w:type="dxa"/>
            <w:vMerge/>
          </w:tcPr>
          <w:p w14:paraId="06EC47EF" w14:textId="77777777" w:rsidR="00454A29" w:rsidRDefault="00454A29"/>
        </w:tc>
        <w:tc>
          <w:tcPr>
            <w:tcW w:w="1417" w:type="dxa"/>
            <w:vMerge/>
          </w:tcPr>
          <w:p w14:paraId="31903F1E" w14:textId="77777777" w:rsidR="00454A29" w:rsidRDefault="00454A29"/>
        </w:tc>
        <w:tc>
          <w:tcPr>
            <w:tcW w:w="2324" w:type="dxa"/>
            <w:vMerge/>
          </w:tcPr>
          <w:p w14:paraId="05D22A95" w14:textId="77777777" w:rsidR="00454A29" w:rsidRDefault="00454A29"/>
        </w:tc>
        <w:tc>
          <w:tcPr>
            <w:tcW w:w="1701" w:type="dxa"/>
            <w:vAlign w:val="center"/>
          </w:tcPr>
          <w:p w14:paraId="6AB850F2" w14:textId="77777777" w:rsidR="00454A29" w:rsidRDefault="00454A29">
            <w:pPr>
              <w:pStyle w:val="ConsPlusNormal"/>
            </w:pPr>
          </w:p>
        </w:tc>
        <w:tc>
          <w:tcPr>
            <w:tcW w:w="1814" w:type="dxa"/>
            <w:vAlign w:val="center"/>
          </w:tcPr>
          <w:p w14:paraId="3C06444F" w14:textId="77777777" w:rsidR="00454A29" w:rsidRDefault="00454A29">
            <w:pPr>
              <w:pStyle w:val="ConsPlusNormal"/>
            </w:pPr>
          </w:p>
        </w:tc>
        <w:tc>
          <w:tcPr>
            <w:tcW w:w="1701" w:type="dxa"/>
            <w:vAlign w:val="center"/>
          </w:tcPr>
          <w:p w14:paraId="57774FDB" w14:textId="77777777" w:rsidR="00454A29" w:rsidRDefault="00454A29">
            <w:pPr>
              <w:pStyle w:val="ConsPlusNormal"/>
            </w:pPr>
          </w:p>
        </w:tc>
        <w:tc>
          <w:tcPr>
            <w:tcW w:w="1701" w:type="dxa"/>
            <w:vAlign w:val="center"/>
          </w:tcPr>
          <w:p w14:paraId="173F7780" w14:textId="77777777" w:rsidR="00454A29" w:rsidRDefault="00454A29">
            <w:pPr>
              <w:pStyle w:val="ConsPlusNormal"/>
            </w:pPr>
          </w:p>
        </w:tc>
        <w:tc>
          <w:tcPr>
            <w:tcW w:w="1814" w:type="dxa"/>
            <w:vAlign w:val="center"/>
          </w:tcPr>
          <w:p w14:paraId="78D83566" w14:textId="77777777" w:rsidR="00454A29" w:rsidRDefault="00454A29">
            <w:pPr>
              <w:pStyle w:val="ConsPlusNormal"/>
            </w:pPr>
          </w:p>
        </w:tc>
      </w:tr>
      <w:tr w:rsidR="00454A29" w14:paraId="484B76C6" w14:textId="77777777">
        <w:tc>
          <w:tcPr>
            <w:tcW w:w="567" w:type="dxa"/>
            <w:vMerge/>
          </w:tcPr>
          <w:p w14:paraId="3318B785" w14:textId="77777777" w:rsidR="00454A29" w:rsidRDefault="00454A29"/>
        </w:tc>
        <w:tc>
          <w:tcPr>
            <w:tcW w:w="3345" w:type="dxa"/>
            <w:vMerge/>
          </w:tcPr>
          <w:p w14:paraId="56453E95" w14:textId="77777777" w:rsidR="00454A29" w:rsidRDefault="00454A29"/>
        </w:tc>
        <w:tc>
          <w:tcPr>
            <w:tcW w:w="1701" w:type="dxa"/>
            <w:vAlign w:val="center"/>
          </w:tcPr>
          <w:p w14:paraId="397ECF18" w14:textId="77777777" w:rsidR="00454A29" w:rsidRDefault="00454A29">
            <w:pPr>
              <w:pStyle w:val="ConsPlusNormal"/>
              <w:jc w:val="center"/>
            </w:pPr>
            <w:r>
              <w:t>2023</w:t>
            </w:r>
          </w:p>
        </w:tc>
        <w:tc>
          <w:tcPr>
            <w:tcW w:w="1417" w:type="dxa"/>
            <w:vMerge/>
          </w:tcPr>
          <w:p w14:paraId="50DB93F3" w14:textId="77777777" w:rsidR="00454A29" w:rsidRDefault="00454A29"/>
        </w:tc>
        <w:tc>
          <w:tcPr>
            <w:tcW w:w="2204" w:type="dxa"/>
            <w:vMerge/>
          </w:tcPr>
          <w:p w14:paraId="12C7AF04" w14:textId="77777777" w:rsidR="00454A29" w:rsidRDefault="00454A29"/>
        </w:tc>
        <w:tc>
          <w:tcPr>
            <w:tcW w:w="1417" w:type="dxa"/>
            <w:vMerge/>
          </w:tcPr>
          <w:p w14:paraId="1191E8D9" w14:textId="77777777" w:rsidR="00454A29" w:rsidRDefault="00454A29"/>
        </w:tc>
        <w:tc>
          <w:tcPr>
            <w:tcW w:w="2324" w:type="dxa"/>
            <w:vMerge/>
          </w:tcPr>
          <w:p w14:paraId="259E8FBF" w14:textId="77777777" w:rsidR="00454A29" w:rsidRDefault="00454A29"/>
        </w:tc>
        <w:tc>
          <w:tcPr>
            <w:tcW w:w="1701" w:type="dxa"/>
            <w:vAlign w:val="center"/>
          </w:tcPr>
          <w:p w14:paraId="4EFD4DBB" w14:textId="77777777" w:rsidR="00454A29" w:rsidRDefault="00454A29">
            <w:pPr>
              <w:pStyle w:val="ConsPlusNormal"/>
            </w:pPr>
          </w:p>
        </w:tc>
        <w:tc>
          <w:tcPr>
            <w:tcW w:w="1814" w:type="dxa"/>
            <w:vAlign w:val="center"/>
          </w:tcPr>
          <w:p w14:paraId="669BD360" w14:textId="77777777" w:rsidR="00454A29" w:rsidRDefault="00454A29">
            <w:pPr>
              <w:pStyle w:val="ConsPlusNormal"/>
            </w:pPr>
          </w:p>
        </w:tc>
        <w:tc>
          <w:tcPr>
            <w:tcW w:w="1701" w:type="dxa"/>
            <w:vAlign w:val="center"/>
          </w:tcPr>
          <w:p w14:paraId="0308FEEB" w14:textId="77777777" w:rsidR="00454A29" w:rsidRDefault="00454A29">
            <w:pPr>
              <w:pStyle w:val="ConsPlusNormal"/>
            </w:pPr>
          </w:p>
        </w:tc>
        <w:tc>
          <w:tcPr>
            <w:tcW w:w="1701" w:type="dxa"/>
            <w:vAlign w:val="center"/>
          </w:tcPr>
          <w:p w14:paraId="0B282636" w14:textId="77777777" w:rsidR="00454A29" w:rsidRDefault="00454A29">
            <w:pPr>
              <w:pStyle w:val="ConsPlusNormal"/>
            </w:pPr>
          </w:p>
        </w:tc>
        <w:tc>
          <w:tcPr>
            <w:tcW w:w="1814" w:type="dxa"/>
            <w:vAlign w:val="center"/>
          </w:tcPr>
          <w:p w14:paraId="1E4E98DF" w14:textId="77777777" w:rsidR="00454A29" w:rsidRDefault="00454A29">
            <w:pPr>
              <w:pStyle w:val="ConsPlusNormal"/>
            </w:pPr>
          </w:p>
        </w:tc>
      </w:tr>
      <w:tr w:rsidR="00454A29" w14:paraId="0697A8B7" w14:textId="77777777">
        <w:tc>
          <w:tcPr>
            <w:tcW w:w="567" w:type="dxa"/>
            <w:vMerge/>
          </w:tcPr>
          <w:p w14:paraId="1218575F" w14:textId="77777777" w:rsidR="00454A29" w:rsidRDefault="00454A29"/>
        </w:tc>
        <w:tc>
          <w:tcPr>
            <w:tcW w:w="3345" w:type="dxa"/>
            <w:vMerge/>
          </w:tcPr>
          <w:p w14:paraId="4ADC939B" w14:textId="77777777" w:rsidR="00454A29" w:rsidRDefault="00454A29"/>
        </w:tc>
        <w:tc>
          <w:tcPr>
            <w:tcW w:w="1701" w:type="dxa"/>
            <w:vAlign w:val="center"/>
          </w:tcPr>
          <w:p w14:paraId="0B176EB7" w14:textId="77777777" w:rsidR="00454A29" w:rsidRDefault="00454A29">
            <w:pPr>
              <w:pStyle w:val="ConsPlusNormal"/>
              <w:jc w:val="center"/>
            </w:pPr>
            <w:r>
              <w:t>2024</w:t>
            </w:r>
          </w:p>
        </w:tc>
        <w:tc>
          <w:tcPr>
            <w:tcW w:w="1417" w:type="dxa"/>
            <w:vMerge/>
          </w:tcPr>
          <w:p w14:paraId="1CFF07F2" w14:textId="77777777" w:rsidR="00454A29" w:rsidRDefault="00454A29"/>
        </w:tc>
        <w:tc>
          <w:tcPr>
            <w:tcW w:w="2204" w:type="dxa"/>
            <w:vMerge/>
          </w:tcPr>
          <w:p w14:paraId="7EE0A1DB" w14:textId="77777777" w:rsidR="00454A29" w:rsidRDefault="00454A29"/>
        </w:tc>
        <w:tc>
          <w:tcPr>
            <w:tcW w:w="1417" w:type="dxa"/>
            <w:vMerge/>
          </w:tcPr>
          <w:p w14:paraId="0AAE51B0" w14:textId="77777777" w:rsidR="00454A29" w:rsidRDefault="00454A29"/>
        </w:tc>
        <w:tc>
          <w:tcPr>
            <w:tcW w:w="2324" w:type="dxa"/>
            <w:vMerge/>
          </w:tcPr>
          <w:p w14:paraId="5C807B9E" w14:textId="77777777" w:rsidR="00454A29" w:rsidRDefault="00454A29"/>
        </w:tc>
        <w:tc>
          <w:tcPr>
            <w:tcW w:w="1701" w:type="dxa"/>
            <w:vAlign w:val="center"/>
          </w:tcPr>
          <w:p w14:paraId="48133C75" w14:textId="77777777" w:rsidR="00454A29" w:rsidRDefault="00454A29">
            <w:pPr>
              <w:pStyle w:val="ConsPlusNormal"/>
            </w:pPr>
          </w:p>
        </w:tc>
        <w:tc>
          <w:tcPr>
            <w:tcW w:w="1814" w:type="dxa"/>
            <w:vAlign w:val="center"/>
          </w:tcPr>
          <w:p w14:paraId="2503291A" w14:textId="77777777" w:rsidR="00454A29" w:rsidRDefault="00454A29">
            <w:pPr>
              <w:pStyle w:val="ConsPlusNormal"/>
            </w:pPr>
          </w:p>
        </w:tc>
        <w:tc>
          <w:tcPr>
            <w:tcW w:w="1701" w:type="dxa"/>
            <w:vAlign w:val="center"/>
          </w:tcPr>
          <w:p w14:paraId="054C80B3" w14:textId="77777777" w:rsidR="00454A29" w:rsidRDefault="00454A29">
            <w:pPr>
              <w:pStyle w:val="ConsPlusNormal"/>
            </w:pPr>
          </w:p>
        </w:tc>
        <w:tc>
          <w:tcPr>
            <w:tcW w:w="1701" w:type="dxa"/>
            <w:vAlign w:val="center"/>
          </w:tcPr>
          <w:p w14:paraId="62F1F39F" w14:textId="77777777" w:rsidR="00454A29" w:rsidRDefault="00454A29">
            <w:pPr>
              <w:pStyle w:val="ConsPlusNormal"/>
            </w:pPr>
          </w:p>
        </w:tc>
        <w:tc>
          <w:tcPr>
            <w:tcW w:w="1814" w:type="dxa"/>
            <w:vAlign w:val="center"/>
          </w:tcPr>
          <w:p w14:paraId="771BF51F" w14:textId="77777777" w:rsidR="00454A29" w:rsidRDefault="00454A29">
            <w:pPr>
              <w:pStyle w:val="ConsPlusNormal"/>
            </w:pPr>
          </w:p>
        </w:tc>
      </w:tr>
      <w:tr w:rsidR="00454A29" w14:paraId="3271F478" w14:textId="77777777">
        <w:tc>
          <w:tcPr>
            <w:tcW w:w="567" w:type="dxa"/>
            <w:vMerge/>
          </w:tcPr>
          <w:p w14:paraId="0330311A" w14:textId="77777777" w:rsidR="00454A29" w:rsidRDefault="00454A29"/>
        </w:tc>
        <w:tc>
          <w:tcPr>
            <w:tcW w:w="3345" w:type="dxa"/>
            <w:vMerge/>
          </w:tcPr>
          <w:p w14:paraId="6AD863E5" w14:textId="77777777" w:rsidR="00454A29" w:rsidRDefault="00454A29"/>
        </w:tc>
        <w:tc>
          <w:tcPr>
            <w:tcW w:w="1701" w:type="dxa"/>
            <w:vAlign w:val="center"/>
          </w:tcPr>
          <w:p w14:paraId="0A7D43E7" w14:textId="77777777" w:rsidR="00454A29" w:rsidRDefault="00454A29">
            <w:pPr>
              <w:pStyle w:val="ConsPlusNormal"/>
              <w:jc w:val="center"/>
            </w:pPr>
            <w:r>
              <w:t>2025</w:t>
            </w:r>
          </w:p>
        </w:tc>
        <w:tc>
          <w:tcPr>
            <w:tcW w:w="1417" w:type="dxa"/>
            <w:vMerge/>
          </w:tcPr>
          <w:p w14:paraId="02A2BB21" w14:textId="77777777" w:rsidR="00454A29" w:rsidRDefault="00454A29"/>
        </w:tc>
        <w:tc>
          <w:tcPr>
            <w:tcW w:w="2204" w:type="dxa"/>
            <w:vMerge/>
          </w:tcPr>
          <w:p w14:paraId="37F19C08" w14:textId="77777777" w:rsidR="00454A29" w:rsidRDefault="00454A29"/>
        </w:tc>
        <w:tc>
          <w:tcPr>
            <w:tcW w:w="1417" w:type="dxa"/>
            <w:vMerge/>
          </w:tcPr>
          <w:p w14:paraId="4AFBBDD8" w14:textId="77777777" w:rsidR="00454A29" w:rsidRDefault="00454A29"/>
        </w:tc>
        <w:tc>
          <w:tcPr>
            <w:tcW w:w="2324" w:type="dxa"/>
            <w:vMerge/>
          </w:tcPr>
          <w:p w14:paraId="36AED745" w14:textId="77777777" w:rsidR="00454A29" w:rsidRDefault="00454A29"/>
        </w:tc>
        <w:tc>
          <w:tcPr>
            <w:tcW w:w="1701" w:type="dxa"/>
            <w:vAlign w:val="center"/>
          </w:tcPr>
          <w:p w14:paraId="6C8536B3" w14:textId="77777777" w:rsidR="00454A29" w:rsidRDefault="00454A29">
            <w:pPr>
              <w:pStyle w:val="ConsPlusNormal"/>
              <w:jc w:val="center"/>
            </w:pPr>
            <w:r>
              <w:t>183 912,26</w:t>
            </w:r>
          </w:p>
        </w:tc>
        <w:tc>
          <w:tcPr>
            <w:tcW w:w="1814" w:type="dxa"/>
            <w:vAlign w:val="center"/>
          </w:tcPr>
          <w:p w14:paraId="4D90598D" w14:textId="77777777" w:rsidR="00454A29" w:rsidRDefault="00454A29">
            <w:pPr>
              <w:pStyle w:val="ConsPlusNormal"/>
              <w:jc w:val="center"/>
            </w:pPr>
            <w:r>
              <w:t>2 326,49</w:t>
            </w:r>
          </w:p>
        </w:tc>
        <w:tc>
          <w:tcPr>
            <w:tcW w:w="1701" w:type="dxa"/>
            <w:vAlign w:val="center"/>
          </w:tcPr>
          <w:p w14:paraId="35C85F0C" w14:textId="77777777" w:rsidR="00454A29" w:rsidRDefault="00454A29">
            <w:pPr>
              <w:pStyle w:val="ConsPlusNormal"/>
              <w:jc w:val="center"/>
            </w:pPr>
            <w:r>
              <w:t>230322,52</w:t>
            </w:r>
          </w:p>
        </w:tc>
        <w:tc>
          <w:tcPr>
            <w:tcW w:w="1701" w:type="dxa"/>
            <w:vAlign w:val="center"/>
          </w:tcPr>
          <w:p w14:paraId="62F32D9E" w14:textId="77777777" w:rsidR="00454A29" w:rsidRDefault="00454A29">
            <w:pPr>
              <w:pStyle w:val="ConsPlusNormal"/>
            </w:pPr>
          </w:p>
        </w:tc>
        <w:tc>
          <w:tcPr>
            <w:tcW w:w="1814" w:type="dxa"/>
            <w:vAlign w:val="center"/>
          </w:tcPr>
          <w:p w14:paraId="2629F392" w14:textId="77777777" w:rsidR="00454A29" w:rsidRDefault="00454A29">
            <w:pPr>
              <w:pStyle w:val="ConsPlusNormal"/>
            </w:pPr>
          </w:p>
        </w:tc>
      </w:tr>
      <w:tr w:rsidR="00454A29" w14:paraId="7D31E3AA" w14:textId="77777777">
        <w:tc>
          <w:tcPr>
            <w:tcW w:w="567" w:type="dxa"/>
            <w:vMerge/>
          </w:tcPr>
          <w:p w14:paraId="58BC5D8F" w14:textId="77777777" w:rsidR="00454A29" w:rsidRDefault="00454A29"/>
        </w:tc>
        <w:tc>
          <w:tcPr>
            <w:tcW w:w="3345" w:type="dxa"/>
            <w:vMerge/>
          </w:tcPr>
          <w:p w14:paraId="4D5E191B" w14:textId="77777777" w:rsidR="00454A29" w:rsidRDefault="00454A29"/>
        </w:tc>
        <w:tc>
          <w:tcPr>
            <w:tcW w:w="1701" w:type="dxa"/>
            <w:vAlign w:val="center"/>
          </w:tcPr>
          <w:p w14:paraId="2DF5F8B3" w14:textId="77777777" w:rsidR="00454A29" w:rsidRDefault="00454A29">
            <w:pPr>
              <w:pStyle w:val="ConsPlusNormal"/>
              <w:jc w:val="center"/>
            </w:pPr>
            <w:r>
              <w:t>2026</w:t>
            </w:r>
          </w:p>
        </w:tc>
        <w:tc>
          <w:tcPr>
            <w:tcW w:w="1417" w:type="dxa"/>
            <w:vMerge/>
          </w:tcPr>
          <w:p w14:paraId="5052C757" w14:textId="77777777" w:rsidR="00454A29" w:rsidRDefault="00454A29"/>
        </w:tc>
        <w:tc>
          <w:tcPr>
            <w:tcW w:w="2204" w:type="dxa"/>
            <w:vMerge/>
          </w:tcPr>
          <w:p w14:paraId="12B6260E" w14:textId="77777777" w:rsidR="00454A29" w:rsidRDefault="00454A29"/>
        </w:tc>
        <w:tc>
          <w:tcPr>
            <w:tcW w:w="1417" w:type="dxa"/>
            <w:vMerge/>
          </w:tcPr>
          <w:p w14:paraId="70DEAB91" w14:textId="77777777" w:rsidR="00454A29" w:rsidRDefault="00454A29"/>
        </w:tc>
        <w:tc>
          <w:tcPr>
            <w:tcW w:w="2324" w:type="dxa"/>
            <w:vMerge/>
          </w:tcPr>
          <w:p w14:paraId="2968DAA1" w14:textId="77777777" w:rsidR="00454A29" w:rsidRDefault="00454A29"/>
        </w:tc>
        <w:tc>
          <w:tcPr>
            <w:tcW w:w="1701" w:type="dxa"/>
            <w:vAlign w:val="center"/>
          </w:tcPr>
          <w:p w14:paraId="36981D31" w14:textId="77777777" w:rsidR="00454A29" w:rsidRDefault="00454A29">
            <w:pPr>
              <w:pStyle w:val="ConsPlusNormal"/>
            </w:pPr>
          </w:p>
        </w:tc>
        <w:tc>
          <w:tcPr>
            <w:tcW w:w="1814" w:type="dxa"/>
            <w:vAlign w:val="center"/>
          </w:tcPr>
          <w:p w14:paraId="04A4BE51" w14:textId="77777777" w:rsidR="00454A29" w:rsidRDefault="00454A29">
            <w:pPr>
              <w:pStyle w:val="ConsPlusNormal"/>
            </w:pPr>
          </w:p>
        </w:tc>
        <w:tc>
          <w:tcPr>
            <w:tcW w:w="1701" w:type="dxa"/>
            <w:vAlign w:val="center"/>
          </w:tcPr>
          <w:p w14:paraId="3F25D0EA" w14:textId="77777777" w:rsidR="00454A29" w:rsidRDefault="00454A29">
            <w:pPr>
              <w:pStyle w:val="ConsPlusNormal"/>
            </w:pPr>
          </w:p>
        </w:tc>
        <w:tc>
          <w:tcPr>
            <w:tcW w:w="1701" w:type="dxa"/>
            <w:vAlign w:val="center"/>
          </w:tcPr>
          <w:p w14:paraId="28CC7049" w14:textId="77777777" w:rsidR="00454A29" w:rsidRDefault="00454A29">
            <w:pPr>
              <w:pStyle w:val="ConsPlusNormal"/>
            </w:pPr>
          </w:p>
        </w:tc>
        <w:tc>
          <w:tcPr>
            <w:tcW w:w="1814" w:type="dxa"/>
            <w:vAlign w:val="center"/>
          </w:tcPr>
          <w:p w14:paraId="45FC5ABD" w14:textId="77777777" w:rsidR="00454A29" w:rsidRDefault="00454A29">
            <w:pPr>
              <w:pStyle w:val="ConsPlusNormal"/>
            </w:pPr>
          </w:p>
        </w:tc>
      </w:tr>
      <w:tr w:rsidR="00454A29" w14:paraId="6B282A5A" w14:textId="77777777">
        <w:tc>
          <w:tcPr>
            <w:tcW w:w="567" w:type="dxa"/>
            <w:vMerge w:val="restart"/>
            <w:vAlign w:val="center"/>
          </w:tcPr>
          <w:p w14:paraId="7DF7FD3F" w14:textId="77777777" w:rsidR="00454A29" w:rsidRDefault="00454A29">
            <w:pPr>
              <w:pStyle w:val="ConsPlusNormal"/>
              <w:jc w:val="center"/>
            </w:pPr>
            <w:r>
              <w:t>3</w:t>
            </w:r>
          </w:p>
        </w:tc>
        <w:tc>
          <w:tcPr>
            <w:tcW w:w="3345" w:type="dxa"/>
            <w:vMerge w:val="restart"/>
            <w:vAlign w:val="center"/>
          </w:tcPr>
          <w:p w14:paraId="2DBB49E8" w14:textId="77777777" w:rsidR="00454A29" w:rsidRDefault="00454A29">
            <w:pPr>
              <w:pStyle w:val="ConsPlusNormal"/>
              <w:jc w:val="center"/>
            </w:pPr>
            <w:r>
              <w:t>Школа на 50 учащихся в с. Сутуруоха</w:t>
            </w:r>
          </w:p>
        </w:tc>
        <w:tc>
          <w:tcPr>
            <w:tcW w:w="1701" w:type="dxa"/>
            <w:vAlign w:val="center"/>
          </w:tcPr>
          <w:p w14:paraId="050F120A" w14:textId="77777777" w:rsidR="00454A29" w:rsidRDefault="00454A29">
            <w:pPr>
              <w:pStyle w:val="ConsPlusNormal"/>
              <w:jc w:val="center"/>
            </w:pPr>
            <w:r>
              <w:t>2020 - 2026 годы - всего</w:t>
            </w:r>
          </w:p>
        </w:tc>
        <w:tc>
          <w:tcPr>
            <w:tcW w:w="1417" w:type="dxa"/>
            <w:vMerge w:val="restart"/>
            <w:vAlign w:val="center"/>
          </w:tcPr>
          <w:p w14:paraId="2E33CB6C" w14:textId="77777777" w:rsidR="00454A29" w:rsidRDefault="00454A29">
            <w:pPr>
              <w:pStyle w:val="ConsPlusNormal"/>
              <w:jc w:val="center"/>
            </w:pPr>
            <w:r>
              <w:t>183 912,26</w:t>
            </w:r>
          </w:p>
        </w:tc>
        <w:tc>
          <w:tcPr>
            <w:tcW w:w="2204" w:type="dxa"/>
            <w:vMerge w:val="restart"/>
            <w:vAlign w:val="center"/>
          </w:tcPr>
          <w:p w14:paraId="140FB425" w14:textId="77777777" w:rsidR="00454A29" w:rsidRDefault="00454A29">
            <w:pPr>
              <w:pStyle w:val="ConsPlusNormal"/>
            </w:pPr>
          </w:p>
        </w:tc>
        <w:tc>
          <w:tcPr>
            <w:tcW w:w="1417" w:type="dxa"/>
            <w:vMerge w:val="restart"/>
            <w:vAlign w:val="center"/>
          </w:tcPr>
          <w:p w14:paraId="397EB4FA" w14:textId="77777777" w:rsidR="00454A29" w:rsidRDefault="00454A29">
            <w:pPr>
              <w:pStyle w:val="ConsPlusNormal"/>
              <w:jc w:val="center"/>
            </w:pPr>
            <w:r>
              <w:t>50</w:t>
            </w:r>
          </w:p>
        </w:tc>
        <w:tc>
          <w:tcPr>
            <w:tcW w:w="2324" w:type="dxa"/>
            <w:vMerge w:val="restart"/>
            <w:vAlign w:val="center"/>
          </w:tcPr>
          <w:p w14:paraId="4CF1A3E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D28A608" w14:textId="77777777" w:rsidR="00454A29" w:rsidRDefault="00454A29">
            <w:pPr>
              <w:pStyle w:val="ConsPlusNormal"/>
              <w:jc w:val="center"/>
            </w:pPr>
            <w:r>
              <w:t>183 912,26</w:t>
            </w:r>
          </w:p>
        </w:tc>
        <w:tc>
          <w:tcPr>
            <w:tcW w:w="1814" w:type="dxa"/>
            <w:vAlign w:val="center"/>
          </w:tcPr>
          <w:p w14:paraId="4B76830E" w14:textId="77777777" w:rsidR="00454A29" w:rsidRDefault="00454A29">
            <w:pPr>
              <w:pStyle w:val="ConsPlusNormal"/>
              <w:jc w:val="center"/>
            </w:pPr>
            <w:r>
              <w:t>2 265,80</w:t>
            </w:r>
          </w:p>
        </w:tc>
        <w:tc>
          <w:tcPr>
            <w:tcW w:w="1701" w:type="dxa"/>
            <w:vAlign w:val="center"/>
          </w:tcPr>
          <w:p w14:paraId="1C8E9D8F" w14:textId="77777777" w:rsidR="00454A29" w:rsidRDefault="00454A29">
            <w:pPr>
              <w:pStyle w:val="ConsPlusNormal"/>
              <w:jc w:val="center"/>
            </w:pPr>
            <w:r>
              <w:t>224 314,11</w:t>
            </w:r>
          </w:p>
        </w:tc>
        <w:tc>
          <w:tcPr>
            <w:tcW w:w="1701" w:type="dxa"/>
            <w:vAlign w:val="center"/>
          </w:tcPr>
          <w:p w14:paraId="263F38E3" w14:textId="77777777" w:rsidR="00454A29" w:rsidRDefault="00454A29">
            <w:pPr>
              <w:pStyle w:val="ConsPlusNormal"/>
              <w:jc w:val="center"/>
            </w:pPr>
            <w:r>
              <w:t>-</w:t>
            </w:r>
          </w:p>
        </w:tc>
        <w:tc>
          <w:tcPr>
            <w:tcW w:w="1814" w:type="dxa"/>
            <w:vAlign w:val="center"/>
          </w:tcPr>
          <w:p w14:paraId="6276304F" w14:textId="77777777" w:rsidR="00454A29" w:rsidRDefault="00454A29">
            <w:pPr>
              <w:pStyle w:val="ConsPlusNormal"/>
              <w:jc w:val="center"/>
            </w:pPr>
            <w:r>
              <w:t>-</w:t>
            </w:r>
          </w:p>
        </w:tc>
      </w:tr>
      <w:tr w:rsidR="00454A29" w14:paraId="57032C22" w14:textId="77777777">
        <w:tc>
          <w:tcPr>
            <w:tcW w:w="567" w:type="dxa"/>
            <w:vMerge/>
          </w:tcPr>
          <w:p w14:paraId="7EEDAEDC" w14:textId="77777777" w:rsidR="00454A29" w:rsidRDefault="00454A29"/>
        </w:tc>
        <w:tc>
          <w:tcPr>
            <w:tcW w:w="3345" w:type="dxa"/>
            <w:vMerge/>
          </w:tcPr>
          <w:p w14:paraId="7F5A2AF9" w14:textId="77777777" w:rsidR="00454A29" w:rsidRDefault="00454A29"/>
        </w:tc>
        <w:tc>
          <w:tcPr>
            <w:tcW w:w="1701" w:type="dxa"/>
            <w:vAlign w:val="center"/>
          </w:tcPr>
          <w:p w14:paraId="412F98CE" w14:textId="77777777" w:rsidR="00454A29" w:rsidRDefault="00454A29">
            <w:pPr>
              <w:pStyle w:val="ConsPlusNormal"/>
              <w:jc w:val="center"/>
            </w:pPr>
            <w:r>
              <w:t>2020</w:t>
            </w:r>
          </w:p>
        </w:tc>
        <w:tc>
          <w:tcPr>
            <w:tcW w:w="1417" w:type="dxa"/>
            <w:vMerge/>
          </w:tcPr>
          <w:p w14:paraId="5A05E489" w14:textId="77777777" w:rsidR="00454A29" w:rsidRDefault="00454A29"/>
        </w:tc>
        <w:tc>
          <w:tcPr>
            <w:tcW w:w="2204" w:type="dxa"/>
            <w:vMerge/>
          </w:tcPr>
          <w:p w14:paraId="2F1D4379" w14:textId="77777777" w:rsidR="00454A29" w:rsidRDefault="00454A29"/>
        </w:tc>
        <w:tc>
          <w:tcPr>
            <w:tcW w:w="1417" w:type="dxa"/>
            <w:vMerge/>
          </w:tcPr>
          <w:p w14:paraId="10B23B6C" w14:textId="77777777" w:rsidR="00454A29" w:rsidRDefault="00454A29"/>
        </w:tc>
        <w:tc>
          <w:tcPr>
            <w:tcW w:w="2324" w:type="dxa"/>
            <w:vMerge/>
          </w:tcPr>
          <w:p w14:paraId="209E5622" w14:textId="77777777" w:rsidR="00454A29" w:rsidRDefault="00454A29"/>
        </w:tc>
        <w:tc>
          <w:tcPr>
            <w:tcW w:w="1701" w:type="dxa"/>
            <w:vAlign w:val="center"/>
          </w:tcPr>
          <w:p w14:paraId="755B1D28" w14:textId="77777777" w:rsidR="00454A29" w:rsidRDefault="00454A29">
            <w:pPr>
              <w:pStyle w:val="ConsPlusNormal"/>
            </w:pPr>
          </w:p>
        </w:tc>
        <w:tc>
          <w:tcPr>
            <w:tcW w:w="1814" w:type="dxa"/>
            <w:vAlign w:val="center"/>
          </w:tcPr>
          <w:p w14:paraId="437A7A52" w14:textId="77777777" w:rsidR="00454A29" w:rsidRDefault="00454A29">
            <w:pPr>
              <w:pStyle w:val="ConsPlusNormal"/>
            </w:pPr>
          </w:p>
        </w:tc>
        <w:tc>
          <w:tcPr>
            <w:tcW w:w="1701" w:type="dxa"/>
            <w:vAlign w:val="center"/>
          </w:tcPr>
          <w:p w14:paraId="4CB3801E" w14:textId="77777777" w:rsidR="00454A29" w:rsidRDefault="00454A29">
            <w:pPr>
              <w:pStyle w:val="ConsPlusNormal"/>
            </w:pPr>
          </w:p>
        </w:tc>
        <w:tc>
          <w:tcPr>
            <w:tcW w:w="1701" w:type="dxa"/>
            <w:vAlign w:val="center"/>
          </w:tcPr>
          <w:p w14:paraId="1D46E10F" w14:textId="77777777" w:rsidR="00454A29" w:rsidRDefault="00454A29">
            <w:pPr>
              <w:pStyle w:val="ConsPlusNormal"/>
            </w:pPr>
          </w:p>
        </w:tc>
        <w:tc>
          <w:tcPr>
            <w:tcW w:w="1814" w:type="dxa"/>
            <w:vAlign w:val="center"/>
          </w:tcPr>
          <w:p w14:paraId="4334ADFA" w14:textId="77777777" w:rsidR="00454A29" w:rsidRDefault="00454A29">
            <w:pPr>
              <w:pStyle w:val="ConsPlusNormal"/>
            </w:pPr>
          </w:p>
        </w:tc>
      </w:tr>
      <w:tr w:rsidR="00454A29" w14:paraId="7FE87965" w14:textId="77777777">
        <w:tc>
          <w:tcPr>
            <w:tcW w:w="567" w:type="dxa"/>
            <w:vMerge/>
          </w:tcPr>
          <w:p w14:paraId="2FC0E5CD" w14:textId="77777777" w:rsidR="00454A29" w:rsidRDefault="00454A29"/>
        </w:tc>
        <w:tc>
          <w:tcPr>
            <w:tcW w:w="3345" w:type="dxa"/>
            <w:vMerge/>
          </w:tcPr>
          <w:p w14:paraId="163CADF6" w14:textId="77777777" w:rsidR="00454A29" w:rsidRDefault="00454A29"/>
        </w:tc>
        <w:tc>
          <w:tcPr>
            <w:tcW w:w="1701" w:type="dxa"/>
            <w:vAlign w:val="center"/>
          </w:tcPr>
          <w:p w14:paraId="30EA6A98" w14:textId="77777777" w:rsidR="00454A29" w:rsidRDefault="00454A29">
            <w:pPr>
              <w:pStyle w:val="ConsPlusNormal"/>
              <w:jc w:val="center"/>
            </w:pPr>
            <w:r>
              <w:t>2021</w:t>
            </w:r>
          </w:p>
        </w:tc>
        <w:tc>
          <w:tcPr>
            <w:tcW w:w="1417" w:type="dxa"/>
            <w:vMerge/>
          </w:tcPr>
          <w:p w14:paraId="2C0813D9" w14:textId="77777777" w:rsidR="00454A29" w:rsidRDefault="00454A29"/>
        </w:tc>
        <w:tc>
          <w:tcPr>
            <w:tcW w:w="2204" w:type="dxa"/>
            <w:vMerge/>
          </w:tcPr>
          <w:p w14:paraId="4CEE4260" w14:textId="77777777" w:rsidR="00454A29" w:rsidRDefault="00454A29"/>
        </w:tc>
        <w:tc>
          <w:tcPr>
            <w:tcW w:w="1417" w:type="dxa"/>
            <w:vMerge/>
          </w:tcPr>
          <w:p w14:paraId="6B752ED8" w14:textId="77777777" w:rsidR="00454A29" w:rsidRDefault="00454A29"/>
        </w:tc>
        <w:tc>
          <w:tcPr>
            <w:tcW w:w="2324" w:type="dxa"/>
            <w:vMerge/>
          </w:tcPr>
          <w:p w14:paraId="099309BC" w14:textId="77777777" w:rsidR="00454A29" w:rsidRDefault="00454A29"/>
        </w:tc>
        <w:tc>
          <w:tcPr>
            <w:tcW w:w="1701" w:type="dxa"/>
            <w:vAlign w:val="center"/>
          </w:tcPr>
          <w:p w14:paraId="68E92F1C" w14:textId="77777777" w:rsidR="00454A29" w:rsidRDefault="00454A29">
            <w:pPr>
              <w:pStyle w:val="ConsPlusNormal"/>
            </w:pPr>
          </w:p>
        </w:tc>
        <w:tc>
          <w:tcPr>
            <w:tcW w:w="1814" w:type="dxa"/>
            <w:vAlign w:val="center"/>
          </w:tcPr>
          <w:p w14:paraId="54C13FC1" w14:textId="77777777" w:rsidR="00454A29" w:rsidRDefault="00454A29">
            <w:pPr>
              <w:pStyle w:val="ConsPlusNormal"/>
            </w:pPr>
          </w:p>
        </w:tc>
        <w:tc>
          <w:tcPr>
            <w:tcW w:w="1701" w:type="dxa"/>
            <w:vAlign w:val="center"/>
          </w:tcPr>
          <w:p w14:paraId="14B7AF40" w14:textId="77777777" w:rsidR="00454A29" w:rsidRDefault="00454A29">
            <w:pPr>
              <w:pStyle w:val="ConsPlusNormal"/>
            </w:pPr>
          </w:p>
        </w:tc>
        <w:tc>
          <w:tcPr>
            <w:tcW w:w="1701" w:type="dxa"/>
            <w:vAlign w:val="center"/>
          </w:tcPr>
          <w:p w14:paraId="65CADF72" w14:textId="77777777" w:rsidR="00454A29" w:rsidRDefault="00454A29">
            <w:pPr>
              <w:pStyle w:val="ConsPlusNormal"/>
            </w:pPr>
          </w:p>
        </w:tc>
        <w:tc>
          <w:tcPr>
            <w:tcW w:w="1814" w:type="dxa"/>
            <w:vAlign w:val="center"/>
          </w:tcPr>
          <w:p w14:paraId="32EB1745" w14:textId="77777777" w:rsidR="00454A29" w:rsidRDefault="00454A29">
            <w:pPr>
              <w:pStyle w:val="ConsPlusNormal"/>
            </w:pPr>
          </w:p>
        </w:tc>
      </w:tr>
      <w:tr w:rsidR="00454A29" w14:paraId="25DFB17D" w14:textId="77777777">
        <w:tc>
          <w:tcPr>
            <w:tcW w:w="567" w:type="dxa"/>
            <w:vMerge/>
          </w:tcPr>
          <w:p w14:paraId="148614E6" w14:textId="77777777" w:rsidR="00454A29" w:rsidRDefault="00454A29"/>
        </w:tc>
        <w:tc>
          <w:tcPr>
            <w:tcW w:w="3345" w:type="dxa"/>
            <w:vMerge/>
          </w:tcPr>
          <w:p w14:paraId="76DC831C" w14:textId="77777777" w:rsidR="00454A29" w:rsidRDefault="00454A29"/>
        </w:tc>
        <w:tc>
          <w:tcPr>
            <w:tcW w:w="1701" w:type="dxa"/>
            <w:vAlign w:val="center"/>
          </w:tcPr>
          <w:p w14:paraId="049EB4EC" w14:textId="77777777" w:rsidR="00454A29" w:rsidRDefault="00454A29">
            <w:pPr>
              <w:pStyle w:val="ConsPlusNormal"/>
              <w:jc w:val="center"/>
            </w:pPr>
            <w:r>
              <w:t>2022</w:t>
            </w:r>
          </w:p>
        </w:tc>
        <w:tc>
          <w:tcPr>
            <w:tcW w:w="1417" w:type="dxa"/>
            <w:vMerge/>
          </w:tcPr>
          <w:p w14:paraId="578F7D00" w14:textId="77777777" w:rsidR="00454A29" w:rsidRDefault="00454A29"/>
        </w:tc>
        <w:tc>
          <w:tcPr>
            <w:tcW w:w="2204" w:type="dxa"/>
            <w:vMerge/>
          </w:tcPr>
          <w:p w14:paraId="36BB5CD7" w14:textId="77777777" w:rsidR="00454A29" w:rsidRDefault="00454A29"/>
        </w:tc>
        <w:tc>
          <w:tcPr>
            <w:tcW w:w="1417" w:type="dxa"/>
            <w:vMerge/>
          </w:tcPr>
          <w:p w14:paraId="4CE576E7" w14:textId="77777777" w:rsidR="00454A29" w:rsidRDefault="00454A29"/>
        </w:tc>
        <w:tc>
          <w:tcPr>
            <w:tcW w:w="2324" w:type="dxa"/>
            <w:vMerge/>
          </w:tcPr>
          <w:p w14:paraId="1A0F4ABF" w14:textId="77777777" w:rsidR="00454A29" w:rsidRDefault="00454A29"/>
        </w:tc>
        <w:tc>
          <w:tcPr>
            <w:tcW w:w="1701" w:type="dxa"/>
            <w:vAlign w:val="center"/>
          </w:tcPr>
          <w:p w14:paraId="57B33828" w14:textId="77777777" w:rsidR="00454A29" w:rsidRDefault="00454A29">
            <w:pPr>
              <w:pStyle w:val="ConsPlusNormal"/>
            </w:pPr>
          </w:p>
        </w:tc>
        <w:tc>
          <w:tcPr>
            <w:tcW w:w="1814" w:type="dxa"/>
            <w:vAlign w:val="center"/>
          </w:tcPr>
          <w:p w14:paraId="117E4E45" w14:textId="77777777" w:rsidR="00454A29" w:rsidRDefault="00454A29">
            <w:pPr>
              <w:pStyle w:val="ConsPlusNormal"/>
            </w:pPr>
          </w:p>
        </w:tc>
        <w:tc>
          <w:tcPr>
            <w:tcW w:w="1701" w:type="dxa"/>
            <w:vAlign w:val="center"/>
          </w:tcPr>
          <w:p w14:paraId="358D6A95" w14:textId="77777777" w:rsidR="00454A29" w:rsidRDefault="00454A29">
            <w:pPr>
              <w:pStyle w:val="ConsPlusNormal"/>
            </w:pPr>
          </w:p>
        </w:tc>
        <w:tc>
          <w:tcPr>
            <w:tcW w:w="1701" w:type="dxa"/>
            <w:vAlign w:val="center"/>
          </w:tcPr>
          <w:p w14:paraId="0D3EB4D7" w14:textId="77777777" w:rsidR="00454A29" w:rsidRDefault="00454A29">
            <w:pPr>
              <w:pStyle w:val="ConsPlusNormal"/>
            </w:pPr>
          </w:p>
        </w:tc>
        <w:tc>
          <w:tcPr>
            <w:tcW w:w="1814" w:type="dxa"/>
            <w:vAlign w:val="center"/>
          </w:tcPr>
          <w:p w14:paraId="39AC665C" w14:textId="77777777" w:rsidR="00454A29" w:rsidRDefault="00454A29">
            <w:pPr>
              <w:pStyle w:val="ConsPlusNormal"/>
            </w:pPr>
          </w:p>
        </w:tc>
      </w:tr>
      <w:tr w:rsidR="00454A29" w14:paraId="481791CC" w14:textId="77777777">
        <w:tc>
          <w:tcPr>
            <w:tcW w:w="567" w:type="dxa"/>
            <w:vMerge/>
          </w:tcPr>
          <w:p w14:paraId="11A8C8A0" w14:textId="77777777" w:rsidR="00454A29" w:rsidRDefault="00454A29"/>
        </w:tc>
        <w:tc>
          <w:tcPr>
            <w:tcW w:w="3345" w:type="dxa"/>
            <w:vMerge/>
          </w:tcPr>
          <w:p w14:paraId="13256F28" w14:textId="77777777" w:rsidR="00454A29" w:rsidRDefault="00454A29"/>
        </w:tc>
        <w:tc>
          <w:tcPr>
            <w:tcW w:w="1701" w:type="dxa"/>
            <w:vAlign w:val="center"/>
          </w:tcPr>
          <w:p w14:paraId="1E25FA85" w14:textId="77777777" w:rsidR="00454A29" w:rsidRDefault="00454A29">
            <w:pPr>
              <w:pStyle w:val="ConsPlusNormal"/>
              <w:jc w:val="center"/>
            </w:pPr>
            <w:r>
              <w:t>2023</w:t>
            </w:r>
          </w:p>
        </w:tc>
        <w:tc>
          <w:tcPr>
            <w:tcW w:w="1417" w:type="dxa"/>
            <w:vMerge/>
          </w:tcPr>
          <w:p w14:paraId="32088181" w14:textId="77777777" w:rsidR="00454A29" w:rsidRDefault="00454A29"/>
        </w:tc>
        <w:tc>
          <w:tcPr>
            <w:tcW w:w="2204" w:type="dxa"/>
            <w:vMerge/>
          </w:tcPr>
          <w:p w14:paraId="0B5D0CC1" w14:textId="77777777" w:rsidR="00454A29" w:rsidRDefault="00454A29"/>
        </w:tc>
        <w:tc>
          <w:tcPr>
            <w:tcW w:w="1417" w:type="dxa"/>
            <w:vMerge/>
          </w:tcPr>
          <w:p w14:paraId="0BBF0841" w14:textId="77777777" w:rsidR="00454A29" w:rsidRDefault="00454A29"/>
        </w:tc>
        <w:tc>
          <w:tcPr>
            <w:tcW w:w="2324" w:type="dxa"/>
            <w:vMerge/>
          </w:tcPr>
          <w:p w14:paraId="3AAC6BAC" w14:textId="77777777" w:rsidR="00454A29" w:rsidRDefault="00454A29"/>
        </w:tc>
        <w:tc>
          <w:tcPr>
            <w:tcW w:w="1701" w:type="dxa"/>
            <w:vAlign w:val="center"/>
          </w:tcPr>
          <w:p w14:paraId="03AB78F5" w14:textId="77777777" w:rsidR="00454A29" w:rsidRDefault="00454A29">
            <w:pPr>
              <w:pStyle w:val="ConsPlusNormal"/>
            </w:pPr>
          </w:p>
        </w:tc>
        <w:tc>
          <w:tcPr>
            <w:tcW w:w="1814" w:type="dxa"/>
            <w:vAlign w:val="center"/>
          </w:tcPr>
          <w:p w14:paraId="644C0FD1" w14:textId="77777777" w:rsidR="00454A29" w:rsidRDefault="00454A29">
            <w:pPr>
              <w:pStyle w:val="ConsPlusNormal"/>
            </w:pPr>
          </w:p>
        </w:tc>
        <w:tc>
          <w:tcPr>
            <w:tcW w:w="1701" w:type="dxa"/>
            <w:vAlign w:val="center"/>
          </w:tcPr>
          <w:p w14:paraId="5507A356" w14:textId="77777777" w:rsidR="00454A29" w:rsidRDefault="00454A29">
            <w:pPr>
              <w:pStyle w:val="ConsPlusNormal"/>
            </w:pPr>
          </w:p>
        </w:tc>
        <w:tc>
          <w:tcPr>
            <w:tcW w:w="1701" w:type="dxa"/>
            <w:vAlign w:val="center"/>
          </w:tcPr>
          <w:p w14:paraId="2111EEFD" w14:textId="77777777" w:rsidR="00454A29" w:rsidRDefault="00454A29">
            <w:pPr>
              <w:pStyle w:val="ConsPlusNormal"/>
            </w:pPr>
          </w:p>
        </w:tc>
        <w:tc>
          <w:tcPr>
            <w:tcW w:w="1814" w:type="dxa"/>
            <w:vAlign w:val="center"/>
          </w:tcPr>
          <w:p w14:paraId="480A2418" w14:textId="77777777" w:rsidR="00454A29" w:rsidRDefault="00454A29">
            <w:pPr>
              <w:pStyle w:val="ConsPlusNormal"/>
            </w:pPr>
          </w:p>
        </w:tc>
      </w:tr>
      <w:tr w:rsidR="00454A29" w14:paraId="01E42549" w14:textId="77777777">
        <w:tc>
          <w:tcPr>
            <w:tcW w:w="567" w:type="dxa"/>
            <w:vMerge/>
          </w:tcPr>
          <w:p w14:paraId="4B411A39" w14:textId="77777777" w:rsidR="00454A29" w:rsidRDefault="00454A29"/>
        </w:tc>
        <w:tc>
          <w:tcPr>
            <w:tcW w:w="3345" w:type="dxa"/>
            <w:vMerge/>
          </w:tcPr>
          <w:p w14:paraId="1B97D1C1" w14:textId="77777777" w:rsidR="00454A29" w:rsidRDefault="00454A29"/>
        </w:tc>
        <w:tc>
          <w:tcPr>
            <w:tcW w:w="1701" w:type="dxa"/>
            <w:vAlign w:val="center"/>
          </w:tcPr>
          <w:p w14:paraId="2A5692CF" w14:textId="77777777" w:rsidR="00454A29" w:rsidRDefault="00454A29">
            <w:pPr>
              <w:pStyle w:val="ConsPlusNormal"/>
              <w:jc w:val="center"/>
            </w:pPr>
            <w:r>
              <w:t>2024</w:t>
            </w:r>
          </w:p>
        </w:tc>
        <w:tc>
          <w:tcPr>
            <w:tcW w:w="1417" w:type="dxa"/>
            <w:vMerge/>
          </w:tcPr>
          <w:p w14:paraId="564AE3CB" w14:textId="77777777" w:rsidR="00454A29" w:rsidRDefault="00454A29"/>
        </w:tc>
        <w:tc>
          <w:tcPr>
            <w:tcW w:w="2204" w:type="dxa"/>
            <w:vMerge/>
          </w:tcPr>
          <w:p w14:paraId="1211BF5C" w14:textId="77777777" w:rsidR="00454A29" w:rsidRDefault="00454A29"/>
        </w:tc>
        <w:tc>
          <w:tcPr>
            <w:tcW w:w="1417" w:type="dxa"/>
            <w:vMerge/>
          </w:tcPr>
          <w:p w14:paraId="4DE6F361" w14:textId="77777777" w:rsidR="00454A29" w:rsidRDefault="00454A29"/>
        </w:tc>
        <w:tc>
          <w:tcPr>
            <w:tcW w:w="2324" w:type="dxa"/>
            <w:vMerge/>
          </w:tcPr>
          <w:p w14:paraId="3013AA9A" w14:textId="77777777" w:rsidR="00454A29" w:rsidRDefault="00454A29"/>
        </w:tc>
        <w:tc>
          <w:tcPr>
            <w:tcW w:w="1701" w:type="dxa"/>
            <w:vAlign w:val="center"/>
          </w:tcPr>
          <w:p w14:paraId="7D84B207" w14:textId="77777777" w:rsidR="00454A29" w:rsidRDefault="00454A29">
            <w:pPr>
              <w:pStyle w:val="ConsPlusNormal"/>
            </w:pPr>
          </w:p>
        </w:tc>
        <w:tc>
          <w:tcPr>
            <w:tcW w:w="1814" w:type="dxa"/>
            <w:vAlign w:val="center"/>
          </w:tcPr>
          <w:p w14:paraId="66AEBFCF" w14:textId="77777777" w:rsidR="00454A29" w:rsidRDefault="00454A29">
            <w:pPr>
              <w:pStyle w:val="ConsPlusNormal"/>
            </w:pPr>
          </w:p>
        </w:tc>
        <w:tc>
          <w:tcPr>
            <w:tcW w:w="1701" w:type="dxa"/>
            <w:vAlign w:val="center"/>
          </w:tcPr>
          <w:p w14:paraId="59015F69" w14:textId="77777777" w:rsidR="00454A29" w:rsidRDefault="00454A29">
            <w:pPr>
              <w:pStyle w:val="ConsPlusNormal"/>
            </w:pPr>
          </w:p>
        </w:tc>
        <w:tc>
          <w:tcPr>
            <w:tcW w:w="1701" w:type="dxa"/>
            <w:vAlign w:val="center"/>
          </w:tcPr>
          <w:p w14:paraId="24B6189C" w14:textId="77777777" w:rsidR="00454A29" w:rsidRDefault="00454A29">
            <w:pPr>
              <w:pStyle w:val="ConsPlusNormal"/>
            </w:pPr>
          </w:p>
        </w:tc>
        <w:tc>
          <w:tcPr>
            <w:tcW w:w="1814" w:type="dxa"/>
            <w:vAlign w:val="center"/>
          </w:tcPr>
          <w:p w14:paraId="78DAEDDD" w14:textId="77777777" w:rsidR="00454A29" w:rsidRDefault="00454A29">
            <w:pPr>
              <w:pStyle w:val="ConsPlusNormal"/>
            </w:pPr>
          </w:p>
        </w:tc>
      </w:tr>
      <w:tr w:rsidR="00454A29" w14:paraId="65E99FD1" w14:textId="77777777">
        <w:tc>
          <w:tcPr>
            <w:tcW w:w="567" w:type="dxa"/>
            <w:vMerge/>
          </w:tcPr>
          <w:p w14:paraId="28770783" w14:textId="77777777" w:rsidR="00454A29" w:rsidRDefault="00454A29"/>
        </w:tc>
        <w:tc>
          <w:tcPr>
            <w:tcW w:w="3345" w:type="dxa"/>
            <w:vMerge/>
          </w:tcPr>
          <w:p w14:paraId="7967E396" w14:textId="77777777" w:rsidR="00454A29" w:rsidRDefault="00454A29"/>
        </w:tc>
        <w:tc>
          <w:tcPr>
            <w:tcW w:w="1701" w:type="dxa"/>
            <w:vAlign w:val="center"/>
          </w:tcPr>
          <w:p w14:paraId="2192EEC6" w14:textId="77777777" w:rsidR="00454A29" w:rsidRDefault="00454A29">
            <w:pPr>
              <w:pStyle w:val="ConsPlusNormal"/>
              <w:jc w:val="center"/>
            </w:pPr>
            <w:r>
              <w:t>2025</w:t>
            </w:r>
          </w:p>
        </w:tc>
        <w:tc>
          <w:tcPr>
            <w:tcW w:w="1417" w:type="dxa"/>
            <w:vMerge/>
          </w:tcPr>
          <w:p w14:paraId="1CDEF062" w14:textId="77777777" w:rsidR="00454A29" w:rsidRDefault="00454A29"/>
        </w:tc>
        <w:tc>
          <w:tcPr>
            <w:tcW w:w="2204" w:type="dxa"/>
            <w:vMerge/>
          </w:tcPr>
          <w:p w14:paraId="2FB899E6" w14:textId="77777777" w:rsidR="00454A29" w:rsidRDefault="00454A29"/>
        </w:tc>
        <w:tc>
          <w:tcPr>
            <w:tcW w:w="1417" w:type="dxa"/>
            <w:vMerge/>
          </w:tcPr>
          <w:p w14:paraId="57F4CC2B" w14:textId="77777777" w:rsidR="00454A29" w:rsidRDefault="00454A29"/>
        </w:tc>
        <w:tc>
          <w:tcPr>
            <w:tcW w:w="2324" w:type="dxa"/>
            <w:vMerge/>
          </w:tcPr>
          <w:p w14:paraId="65496FA0" w14:textId="77777777" w:rsidR="00454A29" w:rsidRDefault="00454A29"/>
        </w:tc>
        <w:tc>
          <w:tcPr>
            <w:tcW w:w="1701" w:type="dxa"/>
            <w:vAlign w:val="center"/>
          </w:tcPr>
          <w:p w14:paraId="4D4C3D71" w14:textId="77777777" w:rsidR="00454A29" w:rsidRDefault="00454A29">
            <w:pPr>
              <w:pStyle w:val="ConsPlusNormal"/>
            </w:pPr>
          </w:p>
        </w:tc>
        <w:tc>
          <w:tcPr>
            <w:tcW w:w="1814" w:type="dxa"/>
            <w:vAlign w:val="center"/>
          </w:tcPr>
          <w:p w14:paraId="00DDFC9C" w14:textId="77777777" w:rsidR="00454A29" w:rsidRDefault="00454A29">
            <w:pPr>
              <w:pStyle w:val="ConsPlusNormal"/>
            </w:pPr>
          </w:p>
        </w:tc>
        <w:tc>
          <w:tcPr>
            <w:tcW w:w="1701" w:type="dxa"/>
            <w:vAlign w:val="center"/>
          </w:tcPr>
          <w:p w14:paraId="5F309701" w14:textId="77777777" w:rsidR="00454A29" w:rsidRDefault="00454A29">
            <w:pPr>
              <w:pStyle w:val="ConsPlusNormal"/>
            </w:pPr>
          </w:p>
        </w:tc>
        <w:tc>
          <w:tcPr>
            <w:tcW w:w="1701" w:type="dxa"/>
            <w:vAlign w:val="center"/>
          </w:tcPr>
          <w:p w14:paraId="661DF341" w14:textId="77777777" w:rsidR="00454A29" w:rsidRDefault="00454A29">
            <w:pPr>
              <w:pStyle w:val="ConsPlusNormal"/>
            </w:pPr>
          </w:p>
        </w:tc>
        <w:tc>
          <w:tcPr>
            <w:tcW w:w="1814" w:type="dxa"/>
            <w:vAlign w:val="center"/>
          </w:tcPr>
          <w:p w14:paraId="2609ED84" w14:textId="77777777" w:rsidR="00454A29" w:rsidRDefault="00454A29">
            <w:pPr>
              <w:pStyle w:val="ConsPlusNormal"/>
            </w:pPr>
          </w:p>
        </w:tc>
      </w:tr>
      <w:tr w:rsidR="00454A29" w14:paraId="1127BEB9" w14:textId="77777777">
        <w:tc>
          <w:tcPr>
            <w:tcW w:w="567" w:type="dxa"/>
            <w:vMerge/>
          </w:tcPr>
          <w:p w14:paraId="4EA4FDFA" w14:textId="77777777" w:rsidR="00454A29" w:rsidRDefault="00454A29"/>
        </w:tc>
        <w:tc>
          <w:tcPr>
            <w:tcW w:w="3345" w:type="dxa"/>
            <w:vMerge/>
          </w:tcPr>
          <w:p w14:paraId="2AB02CA0" w14:textId="77777777" w:rsidR="00454A29" w:rsidRDefault="00454A29"/>
        </w:tc>
        <w:tc>
          <w:tcPr>
            <w:tcW w:w="1701" w:type="dxa"/>
            <w:vAlign w:val="center"/>
          </w:tcPr>
          <w:p w14:paraId="43ACB092" w14:textId="77777777" w:rsidR="00454A29" w:rsidRDefault="00454A29">
            <w:pPr>
              <w:pStyle w:val="ConsPlusNormal"/>
              <w:jc w:val="center"/>
            </w:pPr>
            <w:r>
              <w:t>2026</w:t>
            </w:r>
          </w:p>
        </w:tc>
        <w:tc>
          <w:tcPr>
            <w:tcW w:w="1417" w:type="dxa"/>
            <w:vMerge/>
          </w:tcPr>
          <w:p w14:paraId="52FE9E97" w14:textId="77777777" w:rsidR="00454A29" w:rsidRDefault="00454A29"/>
        </w:tc>
        <w:tc>
          <w:tcPr>
            <w:tcW w:w="2204" w:type="dxa"/>
            <w:vMerge/>
          </w:tcPr>
          <w:p w14:paraId="0D16E09F" w14:textId="77777777" w:rsidR="00454A29" w:rsidRDefault="00454A29"/>
        </w:tc>
        <w:tc>
          <w:tcPr>
            <w:tcW w:w="1417" w:type="dxa"/>
            <w:vMerge/>
          </w:tcPr>
          <w:p w14:paraId="41B3FE77" w14:textId="77777777" w:rsidR="00454A29" w:rsidRDefault="00454A29"/>
        </w:tc>
        <w:tc>
          <w:tcPr>
            <w:tcW w:w="2324" w:type="dxa"/>
            <w:vMerge/>
          </w:tcPr>
          <w:p w14:paraId="3135F8BE" w14:textId="77777777" w:rsidR="00454A29" w:rsidRDefault="00454A29"/>
        </w:tc>
        <w:tc>
          <w:tcPr>
            <w:tcW w:w="1701" w:type="dxa"/>
            <w:vAlign w:val="center"/>
          </w:tcPr>
          <w:p w14:paraId="7E945EDF" w14:textId="77777777" w:rsidR="00454A29" w:rsidRDefault="00454A29">
            <w:pPr>
              <w:pStyle w:val="ConsPlusNormal"/>
              <w:jc w:val="center"/>
            </w:pPr>
            <w:r>
              <w:t>183 912,26</w:t>
            </w:r>
          </w:p>
        </w:tc>
        <w:tc>
          <w:tcPr>
            <w:tcW w:w="1814" w:type="dxa"/>
            <w:vAlign w:val="center"/>
          </w:tcPr>
          <w:p w14:paraId="1D0886A7" w14:textId="77777777" w:rsidR="00454A29" w:rsidRDefault="00454A29">
            <w:pPr>
              <w:pStyle w:val="ConsPlusNormal"/>
              <w:jc w:val="center"/>
            </w:pPr>
            <w:r>
              <w:t>2 265,80</w:t>
            </w:r>
          </w:p>
        </w:tc>
        <w:tc>
          <w:tcPr>
            <w:tcW w:w="1701" w:type="dxa"/>
            <w:vAlign w:val="center"/>
          </w:tcPr>
          <w:p w14:paraId="6B226F09" w14:textId="77777777" w:rsidR="00454A29" w:rsidRDefault="00454A29">
            <w:pPr>
              <w:pStyle w:val="ConsPlusNormal"/>
              <w:jc w:val="center"/>
            </w:pPr>
            <w:r>
              <w:t>224314,11</w:t>
            </w:r>
          </w:p>
        </w:tc>
        <w:tc>
          <w:tcPr>
            <w:tcW w:w="1701" w:type="dxa"/>
            <w:vAlign w:val="center"/>
          </w:tcPr>
          <w:p w14:paraId="230A9938" w14:textId="77777777" w:rsidR="00454A29" w:rsidRDefault="00454A29">
            <w:pPr>
              <w:pStyle w:val="ConsPlusNormal"/>
            </w:pPr>
          </w:p>
        </w:tc>
        <w:tc>
          <w:tcPr>
            <w:tcW w:w="1814" w:type="dxa"/>
            <w:vAlign w:val="center"/>
          </w:tcPr>
          <w:p w14:paraId="68A4B103" w14:textId="77777777" w:rsidR="00454A29" w:rsidRDefault="00454A29">
            <w:pPr>
              <w:pStyle w:val="ConsPlusNormal"/>
            </w:pPr>
          </w:p>
        </w:tc>
      </w:tr>
      <w:tr w:rsidR="00454A29" w14:paraId="0A30370F" w14:textId="77777777">
        <w:tc>
          <w:tcPr>
            <w:tcW w:w="21706" w:type="dxa"/>
            <w:gridSpan w:val="12"/>
            <w:vAlign w:val="center"/>
          </w:tcPr>
          <w:p w14:paraId="3CCC71A2" w14:textId="77777777" w:rsidR="00454A29" w:rsidRDefault="00454A29">
            <w:pPr>
              <w:pStyle w:val="ConsPlusNormal"/>
              <w:jc w:val="center"/>
              <w:outlineLvl w:val="2"/>
            </w:pPr>
            <w:r>
              <w:t>МО "Алданский район"</w:t>
            </w:r>
          </w:p>
        </w:tc>
      </w:tr>
      <w:tr w:rsidR="00454A29" w14:paraId="41BBD629" w14:textId="77777777">
        <w:tc>
          <w:tcPr>
            <w:tcW w:w="567" w:type="dxa"/>
            <w:vMerge w:val="restart"/>
            <w:vAlign w:val="center"/>
          </w:tcPr>
          <w:p w14:paraId="76BD00CE" w14:textId="77777777" w:rsidR="00454A29" w:rsidRDefault="00454A29">
            <w:pPr>
              <w:pStyle w:val="ConsPlusNormal"/>
              <w:jc w:val="center"/>
            </w:pPr>
            <w:r>
              <w:lastRenderedPageBreak/>
              <w:t>4</w:t>
            </w:r>
          </w:p>
        </w:tc>
        <w:tc>
          <w:tcPr>
            <w:tcW w:w="3345" w:type="dxa"/>
            <w:vMerge w:val="restart"/>
            <w:vAlign w:val="center"/>
          </w:tcPr>
          <w:p w14:paraId="4BD4CE2E" w14:textId="77777777" w:rsidR="00454A29" w:rsidRDefault="00454A29">
            <w:pPr>
              <w:pStyle w:val="ConsPlusNormal"/>
              <w:jc w:val="center"/>
            </w:pPr>
            <w:r>
              <w:t>Школа на 160 учащихся в г. Томмот (Синегорье)</w:t>
            </w:r>
          </w:p>
        </w:tc>
        <w:tc>
          <w:tcPr>
            <w:tcW w:w="1701" w:type="dxa"/>
            <w:vAlign w:val="center"/>
          </w:tcPr>
          <w:p w14:paraId="3DF6918E" w14:textId="77777777" w:rsidR="00454A29" w:rsidRDefault="00454A29">
            <w:pPr>
              <w:pStyle w:val="ConsPlusNormal"/>
              <w:jc w:val="center"/>
            </w:pPr>
            <w:r>
              <w:t>2020 - 2026 годы - всего</w:t>
            </w:r>
          </w:p>
        </w:tc>
        <w:tc>
          <w:tcPr>
            <w:tcW w:w="1417" w:type="dxa"/>
            <w:vMerge w:val="restart"/>
            <w:vAlign w:val="center"/>
          </w:tcPr>
          <w:p w14:paraId="373ABC12" w14:textId="77777777" w:rsidR="00454A29" w:rsidRDefault="00454A29">
            <w:pPr>
              <w:pStyle w:val="ConsPlusNormal"/>
              <w:jc w:val="center"/>
            </w:pPr>
            <w:r>
              <w:t>503 139,91</w:t>
            </w:r>
          </w:p>
        </w:tc>
        <w:tc>
          <w:tcPr>
            <w:tcW w:w="2204" w:type="dxa"/>
            <w:vMerge w:val="restart"/>
            <w:vAlign w:val="center"/>
          </w:tcPr>
          <w:p w14:paraId="634DBCF4" w14:textId="77777777" w:rsidR="00454A29" w:rsidRDefault="00454A29">
            <w:pPr>
              <w:pStyle w:val="ConsPlusNormal"/>
            </w:pPr>
          </w:p>
        </w:tc>
        <w:tc>
          <w:tcPr>
            <w:tcW w:w="1417" w:type="dxa"/>
            <w:vMerge w:val="restart"/>
            <w:vAlign w:val="center"/>
          </w:tcPr>
          <w:p w14:paraId="3856C23F" w14:textId="77777777" w:rsidR="00454A29" w:rsidRDefault="00454A29">
            <w:pPr>
              <w:pStyle w:val="ConsPlusNormal"/>
              <w:jc w:val="center"/>
            </w:pPr>
            <w:r>
              <w:t>160</w:t>
            </w:r>
          </w:p>
        </w:tc>
        <w:tc>
          <w:tcPr>
            <w:tcW w:w="2324" w:type="dxa"/>
            <w:vMerge w:val="restart"/>
            <w:vAlign w:val="center"/>
          </w:tcPr>
          <w:p w14:paraId="7366AA0C"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4969348" w14:textId="77777777" w:rsidR="00454A29" w:rsidRDefault="00454A29">
            <w:pPr>
              <w:pStyle w:val="ConsPlusNormal"/>
              <w:jc w:val="center"/>
            </w:pPr>
            <w:r>
              <w:t>503 139,91</w:t>
            </w:r>
          </w:p>
        </w:tc>
        <w:tc>
          <w:tcPr>
            <w:tcW w:w="1814" w:type="dxa"/>
            <w:vAlign w:val="center"/>
          </w:tcPr>
          <w:p w14:paraId="5F9D13FC" w14:textId="77777777" w:rsidR="00454A29" w:rsidRDefault="00454A29">
            <w:pPr>
              <w:pStyle w:val="ConsPlusNormal"/>
              <w:jc w:val="center"/>
            </w:pPr>
            <w:r>
              <w:t>6 364,72</w:t>
            </w:r>
          </w:p>
        </w:tc>
        <w:tc>
          <w:tcPr>
            <w:tcW w:w="1701" w:type="dxa"/>
            <w:vAlign w:val="center"/>
          </w:tcPr>
          <w:p w14:paraId="28149ACB" w14:textId="77777777" w:rsidR="00454A29" w:rsidRDefault="00454A29">
            <w:pPr>
              <w:pStyle w:val="ConsPlusNormal"/>
              <w:jc w:val="center"/>
            </w:pPr>
            <w:r>
              <w:t>630 107,27</w:t>
            </w:r>
          </w:p>
        </w:tc>
        <w:tc>
          <w:tcPr>
            <w:tcW w:w="1701" w:type="dxa"/>
            <w:vAlign w:val="center"/>
          </w:tcPr>
          <w:p w14:paraId="398314F8" w14:textId="77777777" w:rsidR="00454A29" w:rsidRDefault="00454A29">
            <w:pPr>
              <w:pStyle w:val="ConsPlusNormal"/>
              <w:jc w:val="center"/>
            </w:pPr>
            <w:r>
              <w:t>-</w:t>
            </w:r>
          </w:p>
        </w:tc>
        <w:tc>
          <w:tcPr>
            <w:tcW w:w="1814" w:type="dxa"/>
            <w:vAlign w:val="center"/>
          </w:tcPr>
          <w:p w14:paraId="74C842E9" w14:textId="77777777" w:rsidR="00454A29" w:rsidRDefault="00454A29">
            <w:pPr>
              <w:pStyle w:val="ConsPlusNormal"/>
              <w:jc w:val="center"/>
            </w:pPr>
            <w:r>
              <w:t>-</w:t>
            </w:r>
          </w:p>
        </w:tc>
      </w:tr>
      <w:tr w:rsidR="00454A29" w14:paraId="0B4311D6" w14:textId="77777777">
        <w:tc>
          <w:tcPr>
            <w:tcW w:w="567" w:type="dxa"/>
            <w:vMerge/>
          </w:tcPr>
          <w:p w14:paraId="5E13C3ED" w14:textId="77777777" w:rsidR="00454A29" w:rsidRDefault="00454A29"/>
        </w:tc>
        <w:tc>
          <w:tcPr>
            <w:tcW w:w="3345" w:type="dxa"/>
            <w:vMerge/>
          </w:tcPr>
          <w:p w14:paraId="37503D8E" w14:textId="77777777" w:rsidR="00454A29" w:rsidRDefault="00454A29"/>
        </w:tc>
        <w:tc>
          <w:tcPr>
            <w:tcW w:w="1701" w:type="dxa"/>
            <w:vAlign w:val="center"/>
          </w:tcPr>
          <w:p w14:paraId="1C563DFD" w14:textId="77777777" w:rsidR="00454A29" w:rsidRDefault="00454A29">
            <w:pPr>
              <w:pStyle w:val="ConsPlusNormal"/>
              <w:jc w:val="center"/>
            </w:pPr>
            <w:r>
              <w:t>2020</w:t>
            </w:r>
          </w:p>
        </w:tc>
        <w:tc>
          <w:tcPr>
            <w:tcW w:w="1417" w:type="dxa"/>
            <w:vMerge/>
          </w:tcPr>
          <w:p w14:paraId="3394DEBD" w14:textId="77777777" w:rsidR="00454A29" w:rsidRDefault="00454A29"/>
        </w:tc>
        <w:tc>
          <w:tcPr>
            <w:tcW w:w="2204" w:type="dxa"/>
            <w:vMerge/>
          </w:tcPr>
          <w:p w14:paraId="7131CB9A" w14:textId="77777777" w:rsidR="00454A29" w:rsidRDefault="00454A29"/>
        </w:tc>
        <w:tc>
          <w:tcPr>
            <w:tcW w:w="1417" w:type="dxa"/>
            <w:vMerge/>
          </w:tcPr>
          <w:p w14:paraId="1E5CD612" w14:textId="77777777" w:rsidR="00454A29" w:rsidRDefault="00454A29"/>
        </w:tc>
        <w:tc>
          <w:tcPr>
            <w:tcW w:w="2324" w:type="dxa"/>
            <w:vMerge/>
          </w:tcPr>
          <w:p w14:paraId="6A8D4595" w14:textId="77777777" w:rsidR="00454A29" w:rsidRDefault="00454A29"/>
        </w:tc>
        <w:tc>
          <w:tcPr>
            <w:tcW w:w="1701" w:type="dxa"/>
            <w:vAlign w:val="center"/>
          </w:tcPr>
          <w:p w14:paraId="48B34530" w14:textId="77777777" w:rsidR="00454A29" w:rsidRDefault="00454A29">
            <w:pPr>
              <w:pStyle w:val="ConsPlusNormal"/>
            </w:pPr>
          </w:p>
        </w:tc>
        <w:tc>
          <w:tcPr>
            <w:tcW w:w="1814" w:type="dxa"/>
            <w:vAlign w:val="center"/>
          </w:tcPr>
          <w:p w14:paraId="20721709" w14:textId="77777777" w:rsidR="00454A29" w:rsidRDefault="00454A29">
            <w:pPr>
              <w:pStyle w:val="ConsPlusNormal"/>
            </w:pPr>
          </w:p>
        </w:tc>
        <w:tc>
          <w:tcPr>
            <w:tcW w:w="1701" w:type="dxa"/>
            <w:vAlign w:val="center"/>
          </w:tcPr>
          <w:p w14:paraId="53EA6A84" w14:textId="77777777" w:rsidR="00454A29" w:rsidRDefault="00454A29">
            <w:pPr>
              <w:pStyle w:val="ConsPlusNormal"/>
            </w:pPr>
          </w:p>
        </w:tc>
        <w:tc>
          <w:tcPr>
            <w:tcW w:w="1701" w:type="dxa"/>
            <w:vAlign w:val="center"/>
          </w:tcPr>
          <w:p w14:paraId="63053746" w14:textId="77777777" w:rsidR="00454A29" w:rsidRDefault="00454A29">
            <w:pPr>
              <w:pStyle w:val="ConsPlusNormal"/>
            </w:pPr>
          </w:p>
        </w:tc>
        <w:tc>
          <w:tcPr>
            <w:tcW w:w="1814" w:type="dxa"/>
            <w:vAlign w:val="center"/>
          </w:tcPr>
          <w:p w14:paraId="5A2652CB" w14:textId="77777777" w:rsidR="00454A29" w:rsidRDefault="00454A29">
            <w:pPr>
              <w:pStyle w:val="ConsPlusNormal"/>
            </w:pPr>
          </w:p>
        </w:tc>
      </w:tr>
      <w:tr w:rsidR="00454A29" w14:paraId="24903D78" w14:textId="77777777">
        <w:tc>
          <w:tcPr>
            <w:tcW w:w="567" w:type="dxa"/>
            <w:vMerge/>
          </w:tcPr>
          <w:p w14:paraId="270FFB49" w14:textId="77777777" w:rsidR="00454A29" w:rsidRDefault="00454A29"/>
        </w:tc>
        <w:tc>
          <w:tcPr>
            <w:tcW w:w="3345" w:type="dxa"/>
            <w:vMerge/>
          </w:tcPr>
          <w:p w14:paraId="2B27F05E" w14:textId="77777777" w:rsidR="00454A29" w:rsidRDefault="00454A29"/>
        </w:tc>
        <w:tc>
          <w:tcPr>
            <w:tcW w:w="1701" w:type="dxa"/>
            <w:vAlign w:val="center"/>
          </w:tcPr>
          <w:p w14:paraId="363D1F9D" w14:textId="77777777" w:rsidR="00454A29" w:rsidRDefault="00454A29">
            <w:pPr>
              <w:pStyle w:val="ConsPlusNormal"/>
              <w:jc w:val="center"/>
            </w:pPr>
            <w:r>
              <w:t>2021</w:t>
            </w:r>
          </w:p>
        </w:tc>
        <w:tc>
          <w:tcPr>
            <w:tcW w:w="1417" w:type="dxa"/>
            <w:vMerge/>
          </w:tcPr>
          <w:p w14:paraId="61F29F3A" w14:textId="77777777" w:rsidR="00454A29" w:rsidRDefault="00454A29"/>
        </w:tc>
        <w:tc>
          <w:tcPr>
            <w:tcW w:w="2204" w:type="dxa"/>
            <w:vMerge/>
          </w:tcPr>
          <w:p w14:paraId="33D36211" w14:textId="77777777" w:rsidR="00454A29" w:rsidRDefault="00454A29"/>
        </w:tc>
        <w:tc>
          <w:tcPr>
            <w:tcW w:w="1417" w:type="dxa"/>
            <w:vMerge/>
          </w:tcPr>
          <w:p w14:paraId="4F65F287" w14:textId="77777777" w:rsidR="00454A29" w:rsidRDefault="00454A29"/>
        </w:tc>
        <w:tc>
          <w:tcPr>
            <w:tcW w:w="2324" w:type="dxa"/>
            <w:vMerge/>
          </w:tcPr>
          <w:p w14:paraId="15160268" w14:textId="77777777" w:rsidR="00454A29" w:rsidRDefault="00454A29"/>
        </w:tc>
        <w:tc>
          <w:tcPr>
            <w:tcW w:w="1701" w:type="dxa"/>
            <w:vAlign w:val="center"/>
          </w:tcPr>
          <w:p w14:paraId="08670FB3" w14:textId="77777777" w:rsidR="00454A29" w:rsidRDefault="00454A29">
            <w:pPr>
              <w:pStyle w:val="ConsPlusNormal"/>
            </w:pPr>
          </w:p>
        </w:tc>
        <w:tc>
          <w:tcPr>
            <w:tcW w:w="1814" w:type="dxa"/>
            <w:vAlign w:val="center"/>
          </w:tcPr>
          <w:p w14:paraId="74D1F72D" w14:textId="77777777" w:rsidR="00454A29" w:rsidRDefault="00454A29">
            <w:pPr>
              <w:pStyle w:val="ConsPlusNormal"/>
            </w:pPr>
          </w:p>
        </w:tc>
        <w:tc>
          <w:tcPr>
            <w:tcW w:w="1701" w:type="dxa"/>
            <w:vAlign w:val="center"/>
          </w:tcPr>
          <w:p w14:paraId="36047F8C" w14:textId="77777777" w:rsidR="00454A29" w:rsidRDefault="00454A29">
            <w:pPr>
              <w:pStyle w:val="ConsPlusNormal"/>
            </w:pPr>
          </w:p>
        </w:tc>
        <w:tc>
          <w:tcPr>
            <w:tcW w:w="1701" w:type="dxa"/>
            <w:vAlign w:val="center"/>
          </w:tcPr>
          <w:p w14:paraId="659DDD9F" w14:textId="77777777" w:rsidR="00454A29" w:rsidRDefault="00454A29">
            <w:pPr>
              <w:pStyle w:val="ConsPlusNormal"/>
            </w:pPr>
          </w:p>
        </w:tc>
        <w:tc>
          <w:tcPr>
            <w:tcW w:w="1814" w:type="dxa"/>
            <w:vAlign w:val="center"/>
          </w:tcPr>
          <w:p w14:paraId="744C0CB4" w14:textId="77777777" w:rsidR="00454A29" w:rsidRDefault="00454A29">
            <w:pPr>
              <w:pStyle w:val="ConsPlusNormal"/>
            </w:pPr>
          </w:p>
        </w:tc>
      </w:tr>
      <w:tr w:rsidR="00454A29" w14:paraId="4AF4EF8A" w14:textId="77777777">
        <w:tc>
          <w:tcPr>
            <w:tcW w:w="567" w:type="dxa"/>
            <w:vMerge/>
          </w:tcPr>
          <w:p w14:paraId="4C92E39C" w14:textId="77777777" w:rsidR="00454A29" w:rsidRDefault="00454A29"/>
        </w:tc>
        <w:tc>
          <w:tcPr>
            <w:tcW w:w="3345" w:type="dxa"/>
            <w:vMerge/>
          </w:tcPr>
          <w:p w14:paraId="3A32A84C" w14:textId="77777777" w:rsidR="00454A29" w:rsidRDefault="00454A29"/>
        </w:tc>
        <w:tc>
          <w:tcPr>
            <w:tcW w:w="1701" w:type="dxa"/>
            <w:vAlign w:val="center"/>
          </w:tcPr>
          <w:p w14:paraId="446F302B" w14:textId="77777777" w:rsidR="00454A29" w:rsidRDefault="00454A29">
            <w:pPr>
              <w:pStyle w:val="ConsPlusNormal"/>
              <w:jc w:val="center"/>
            </w:pPr>
            <w:r>
              <w:t>2022</w:t>
            </w:r>
          </w:p>
        </w:tc>
        <w:tc>
          <w:tcPr>
            <w:tcW w:w="1417" w:type="dxa"/>
            <w:vMerge/>
          </w:tcPr>
          <w:p w14:paraId="7897C32D" w14:textId="77777777" w:rsidR="00454A29" w:rsidRDefault="00454A29"/>
        </w:tc>
        <w:tc>
          <w:tcPr>
            <w:tcW w:w="2204" w:type="dxa"/>
            <w:vMerge/>
          </w:tcPr>
          <w:p w14:paraId="71278237" w14:textId="77777777" w:rsidR="00454A29" w:rsidRDefault="00454A29"/>
        </w:tc>
        <w:tc>
          <w:tcPr>
            <w:tcW w:w="1417" w:type="dxa"/>
            <w:vMerge/>
          </w:tcPr>
          <w:p w14:paraId="13BB7557" w14:textId="77777777" w:rsidR="00454A29" w:rsidRDefault="00454A29"/>
        </w:tc>
        <w:tc>
          <w:tcPr>
            <w:tcW w:w="2324" w:type="dxa"/>
            <w:vMerge/>
          </w:tcPr>
          <w:p w14:paraId="199139BD" w14:textId="77777777" w:rsidR="00454A29" w:rsidRDefault="00454A29"/>
        </w:tc>
        <w:tc>
          <w:tcPr>
            <w:tcW w:w="1701" w:type="dxa"/>
            <w:vAlign w:val="center"/>
          </w:tcPr>
          <w:p w14:paraId="7360C4CD" w14:textId="77777777" w:rsidR="00454A29" w:rsidRDefault="00454A29">
            <w:pPr>
              <w:pStyle w:val="ConsPlusNormal"/>
            </w:pPr>
          </w:p>
        </w:tc>
        <w:tc>
          <w:tcPr>
            <w:tcW w:w="1814" w:type="dxa"/>
            <w:vAlign w:val="center"/>
          </w:tcPr>
          <w:p w14:paraId="626ACEB4" w14:textId="77777777" w:rsidR="00454A29" w:rsidRDefault="00454A29">
            <w:pPr>
              <w:pStyle w:val="ConsPlusNormal"/>
            </w:pPr>
          </w:p>
        </w:tc>
        <w:tc>
          <w:tcPr>
            <w:tcW w:w="1701" w:type="dxa"/>
            <w:vAlign w:val="center"/>
          </w:tcPr>
          <w:p w14:paraId="3688AE53" w14:textId="77777777" w:rsidR="00454A29" w:rsidRDefault="00454A29">
            <w:pPr>
              <w:pStyle w:val="ConsPlusNormal"/>
            </w:pPr>
          </w:p>
        </w:tc>
        <w:tc>
          <w:tcPr>
            <w:tcW w:w="1701" w:type="dxa"/>
            <w:vAlign w:val="center"/>
          </w:tcPr>
          <w:p w14:paraId="34948550" w14:textId="77777777" w:rsidR="00454A29" w:rsidRDefault="00454A29">
            <w:pPr>
              <w:pStyle w:val="ConsPlusNormal"/>
            </w:pPr>
          </w:p>
        </w:tc>
        <w:tc>
          <w:tcPr>
            <w:tcW w:w="1814" w:type="dxa"/>
            <w:vAlign w:val="center"/>
          </w:tcPr>
          <w:p w14:paraId="40CB1BC3" w14:textId="77777777" w:rsidR="00454A29" w:rsidRDefault="00454A29">
            <w:pPr>
              <w:pStyle w:val="ConsPlusNormal"/>
            </w:pPr>
          </w:p>
        </w:tc>
      </w:tr>
      <w:tr w:rsidR="00454A29" w14:paraId="531F4A07" w14:textId="77777777">
        <w:tc>
          <w:tcPr>
            <w:tcW w:w="567" w:type="dxa"/>
            <w:vMerge/>
          </w:tcPr>
          <w:p w14:paraId="319669F5" w14:textId="77777777" w:rsidR="00454A29" w:rsidRDefault="00454A29"/>
        </w:tc>
        <w:tc>
          <w:tcPr>
            <w:tcW w:w="3345" w:type="dxa"/>
            <w:vMerge/>
          </w:tcPr>
          <w:p w14:paraId="726BBA43" w14:textId="77777777" w:rsidR="00454A29" w:rsidRDefault="00454A29"/>
        </w:tc>
        <w:tc>
          <w:tcPr>
            <w:tcW w:w="1701" w:type="dxa"/>
            <w:vAlign w:val="center"/>
          </w:tcPr>
          <w:p w14:paraId="29D58983" w14:textId="77777777" w:rsidR="00454A29" w:rsidRDefault="00454A29">
            <w:pPr>
              <w:pStyle w:val="ConsPlusNormal"/>
              <w:jc w:val="center"/>
            </w:pPr>
            <w:r>
              <w:t>2023</w:t>
            </w:r>
          </w:p>
        </w:tc>
        <w:tc>
          <w:tcPr>
            <w:tcW w:w="1417" w:type="dxa"/>
            <w:vMerge/>
          </w:tcPr>
          <w:p w14:paraId="00093319" w14:textId="77777777" w:rsidR="00454A29" w:rsidRDefault="00454A29"/>
        </w:tc>
        <w:tc>
          <w:tcPr>
            <w:tcW w:w="2204" w:type="dxa"/>
            <w:vMerge/>
          </w:tcPr>
          <w:p w14:paraId="7BF9E4A6" w14:textId="77777777" w:rsidR="00454A29" w:rsidRDefault="00454A29"/>
        </w:tc>
        <w:tc>
          <w:tcPr>
            <w:tcW w:w="1417" w:type="dxa"/>
            <w:vMerge/>
          </w:tcPr>
          <w:p w14:paraId="3CC5B8B4" w14:textId="77777777" w:rsidR="00454A29" w:rsidRDefault="00454A29"/>
        </w:tc>
        <w:tc>
          <w:tcPr>
            <w:tcW w:w="2324" w:type="dxa"/>
            <w:vMerge/>
          </w:tcPr>
          <w:p w14:paraId="084BB75F" w14:textId="77777777" w:rsidR="00454A29" w:rsidRDefault="00454A29"/>
        </w:tc>
        <w:tc>
          <w:tcPr>
            <w:tcW w:w="1701" w:type="dxa"/>
            <w:vAlign w:val="center"/>
          </w:tcPr>
          <w:p w14:paraId="5BC67327" w14:textId="77777777" w:rsidR="00454A29" w:rsidRDefault="00454A29">
            <w:pPr>
              <w:pStyle w:val="ConsPlusNormal"/>
            </w:pPr>
          </w:p>
        </w:tc>
        <w:tc>
          <w:tcPr>
            <w:tcW w:w="1814" w:type="dxa"/>
            <w:vAlign w:val="center"/>
          </w:tcPr>
          <w:p w14:paraId="673C8F7C" w14:textId="77777777" w:rsidR="00454A29" w:rsidRDefault="00454A29">
            <w:pPr>
              <w:pStyle w:val="ConsPlusNormal"/>
            </w:pPr>
          </w:p>
        </w:tc>
        <w:tc>
          <w:tcPr>
            <w:tcW w:w="1701" w:type="dxa"/>
            <w:vAlign w:val="center"/>
          </w:tcPr>
          <w:p w14:paraId="19596C9A" w14:textId="77777777" w:rsidR="00454A29" w:rsidRDefault="00454A29">
            <w:pPr>
              <w:pStyle w:val="ConsPlusNormal"/>
            </w:pPr>
          </w:p>
        </w:tc>
        <w:tc>
          <w:tcPr>
            <w:tcW w:w="1701" w:type="dxa"/>
            <w:vAlign w:val="center"/>
          </w:tcPr>
          <w:p w14:paraId="16A820A5" w14:textId="77777777" w:rsidR="00454A29" w:rsidRDefault="00454A29">
            <w:pPr>
              <w:pStyle w:val="ConsPlusNormal"/>
            </w:pPr>
          </w:p>
        </w:tc>
        <w:tc>
          <w:tcPr>
            <w:tcW w:w="1814" w:type="dxa"/>
            <w:vAlign w:val="center"/>
          </w:tcPr>
          <w:p w14:paraId="4AF92578" w14:textId="77777777" w:rsidR="00454A29" w:rsidRDefault="00454A29">
            <w:pPr>
              <w:pStyle w:val="ConsPlusNormal"/>
            </w:pPr>
          </w:p>
        </w:tc>
      </w:tr>
      <w:tr w:rsidR="00454A29" w14:paraId="1CEB142F" w14:textId="77777777">
        <w:tc>
          <w:tcPr>
            <w:tcW w:w="567" w:type="dxa"/>
            <w:vMerge/>
          </w:tcPr>
          <w:p w14:paraId="7267DBC9" w14:textId="77777777" w:rsidR="00454A29" w:rsidRDefault="00454A29"/>
        </w:tc>
        <w:tc>
          <w:tcPr>
            <w:tcW w:w="3345" w:type="dxa"/>
            <w:vMerge/>
          </w:tcPr>
          <w:p w14:paraId="1567A7C8" w14:textId="77777777" w:rsidR="00454A29" w:rsidRDefault="00454A29"/>
        </w:tc>
        <w:tc>
          <w:tcPr>
            <w:tcW w:w="1701" w:type="dxa"/>
            <w:vAlign w:val="center"/>
          </w:tcPr>
          <w:p w14:paraId="449C5D93" w14:textId="77777777" w:rsidR="00454A29" w:rsidRDefault="00454A29">
            <w:pPr>
              <w:pStyle w:val="ConsPlusNormal"/>
              <w:jc w:val="center"/>
            </w:pPr>
            <w:r>
              <w:t>2024</w:t>
            </w:r>
          </w:p>
        </w:tc>
        <w:tc>
          <w:tcPr>
            <w:tcW w:w="1417" w:type="dxa"/>
            <w:vMerge/>
          </w:tcPr>
          <w:p w14:paraId="3DBEB9E7" w14:textId="77777777" w:rsidR="00454A29" w:rsidRDefault="00454A29"/>
        </w:tc>
        <w:tc>
          <w:tcPr>
            <w:tcW w:w="2204" w:type="dxa"/>
            <w:vMerge/>
          </w:tcPr>
          <w:p w14:paraId="58EEA32A" w14:textId="77777777" w:rsidR="00454A29" w:rsidRDefault="00454A29"/>
        </w:tc>
        <w:tc>
          <w:tcPr>
            <w:tcW w:w="1417" w:type="dxa"/>
            <w:vMerge/>
          </w:tcPr>
          <w:p w14:paraId="55F670B3" w14:textId="77777777" w:rsidR="00454A29" w:rsidRDefault="00454A29"/>
        </w:tc>
        <w:tc>
          <w:tcPr>
            <w:tcW w:w="2324" w:type="dxa"/>
            <w:vMerge/>
          </w:tcPr>
          <w:p w14:paraId="6A4E7930" w14:textId="77777777" w:rsidR="00454A29" w:rsidRDefault="00454A29"/>
        </w:tc>
        <w:tc>
          <w:tcPr>
            <w:tcW w:w="1701" w:type="dxa"/>
            <w:vAlign w:val="center"/>
          </w:tcPr>
          <w:p w14:paraId="5F8C116F" w14:textId="77777777" w:rsidR="00454A29" w:rsidRDefault="00454A29">
            <w:pPr>
              <w:pStyle w:val="ConsPlusNormal"/>
            </w:pPr>
          </w:p>
        </w:tc>
        <w:tc>
          <w:tcPr>
            <w:tcW w:w="1814" w:type="dxa"/>
            <w:vAlign w:val="center"/>
          </w:tcPr>
          <w:p w14:paraId="1B85B7DA" w14:textId="77777777" w:rsidR="00454A29" w:rsidRDefault="00454A29">
            <w:pPr>
              <w:pStyle w:val="ConsPlusNormal"/>
            </w:pPr>
          </w:p>
        </w:tc>
        <w:tc>
          <w:tcPr>
            <w:tcW w:w="1701" w:type="dxa"/>
            <w:vAlign w:val="center"/>
          </w:tcPr>
          <w:p w14:paraId="73EAE894" w14:textId="77777777" w:rsidR="00454A29" w:rsidRDefault="00454A29">
            <w:pPr>
              <w:pStyle w:val="ConsPlusNormal"/>
            </w:pPr>
          </w:p>
        </w:tc>
        <w:tc>
          <w:tcPr>
            <w:tcW w:w="1701" w:type="dxa"/>
            <w:vAlign w:val="center"/>
          </w:tcPr>
          <w:p w14:paraId="15E9736C" w14:textId="77777777" w:rsidR="00454A29" w:rsidRDefault="00454A29">
            <w:pPr>
              <w:pStyle w:val="ConsPlusNormal"/>
            </w:pPr>
          </w:p>
        </w:tc>
        <w:tc>
          <w:tcPr>
            <w:tcW w:w="1814" w:type="dxa"/>
            <w:vAlign w:val="center"/>
          </w:tcPr>
          <w:p w14:paraId="37FDC13D" w14:textId="77777777" w:rsidR="00454A29" w:rsidRDefault="00454A29">
            <w:pPr>
              <w:pStyle w:val="ConsPlusNormal"/>
            </w:pPr>
          </w:p>
        </w:tc>
      </w:tr>
      <w:tr w:rsidR="00454A29" w14:paraId="72B41659" w14:textId="77777777">
        <w:tc>
          <w:tcPr>
            <w:tcW w:w="567" w:type="dxa"/>
            <w:vMerge/>
          </w:tcPr>
          <w:p w14:paraId="01720C72" w14:textId="77777777" w:rsidR="00454A29" w:rsidRDefault="00454A29"/>
        </w:tc>
        <w:tc>
          <w:tcPr>
            <w:tcW w:w="3345" w:type="dxa"/>
            <w:vMerge/>
          </w:tcPr>
          <w:p w14:paraId="0F541BD4" w14:textId="77777777" w:rsidR="00454A29" w:rsidRDefault="00454A29"/>
        </w:tc>
        <w:tc>
          <w:tcPr>
            <w:tcW w:w="1701" w:type="dxa"/>
            <w:vAlign w:val="center"/>
          </w:tcPr>
          <w:p w14:paraId="28BC4027" w14:textId="77777777" w:rsidR="00454A29" w:rsidRDefault="00454A29">
            <w:pPr>
              <w:pStyle w:val="ConsPlusNormal"/>
              <w:jc w:val="center"/>
            </w:pPr>
            <w:r>
              <w:t>2025</w:t>
            </w:r>
          </w:p>
        </w:tc>
        <w:tc>
          <w:tcPr>
            <w:tcW w:w="1417" w:type="dxa"/>
            <w:vMerge/>
          </w:tcPr>
          <w:p w14:paraId="58F5D69F" w14:textId="77777777" w:rsidR="00454A29" w:rsidRDefault="00454A29"/>
        </w:tc>
        <w:tc>
          <w:tcPr>
            <w:tcW w:w="2204" w:type="dxa"/>
            <w:vMerge/>
          </w:tcPr>
          <w:p w14:paraId="6A3767AA" w14:textId="77777777" w:rsidR="00454A29" w:rsidRDefault="00454A29"/>
        </w:tc>
        <w:tc>
          <w:tcPr>
            <w:tcW w:w="1417" w:type="dxa"/>
            <w:vMerge/>
          </w:tcPr>
          <w:p w14:paraId="6A90DB71" w14:textId="77777777" w:rsidR="00454A29" w:rsidRDefault="00454A29"/>
        </w:tc>
        <w:tc>
          <w:tcPr>
            <w:tcW w:w="2324" w:type="dxa"/>
            <w:vMerge/>
          </w:tcPr>
          <w:p w14:paraId="523F7376" w14:textId="77777777" w:rsidR="00454A29" w:rsidRDefault="00454A29"/>
        </w:tc>
        <w:tc>
          <w:tcPr>
            <w:tcW w:w="1701" w:type="dxa"/>
            <w:vAlign w:val="center"/>
          </w:tcPr>
          <w:p w14:paraId="673D67E8" w14:textId="77777777" w:rsidR="00454A29" w:rsidRDefault="00454A29">
            <w:pPr>
              <w:pStyle w:val="ConsPlusNormal"/>
              <w:jc w:val="center"/>
            </w:pPr>
            <w:r>
              <w:t>503 139,91</w:t>
            </w:r>
          </w:p>
        </w:tc>
        <w:tc>
          <w:tcPr>
            <w:tcW w:w="1814" w:type="dxa"/>
            <w:vAlign w:val="center"/>
          </w:tcPr>
          <w:p w14:paraId="39C81AA7" w14:textId="77777777" w:rsidR="00454A29" w:rsidRDefault="00454A29">
            <w:pPr>
              <w:pStyle w:val="ConsPlusNormal"/>
              <w:jc w:val="center"/>
            </w:pPr>
            <w:r>
              <w:t>6 364,72</w:t>
            </w:r>
          </w:p>
        </w:tc>
        <w:tc>
          <w:tcPr>
            <w:tcW w:w="1701" w:type="dxa"/>
            <w:vAlign w:val="center"/>
          </w:tcPr>
          <w:p w14:paraId="4CB35DAC" w14:textId="77777777" w:rsidR="00454A29" w:rsidRDefault="00454A29">
            <w:pPr>
              <w:pStyle w:val="ConsPlusNormal"/>
              <w:jc w:val="center"/>
            </w:pPr>
            <w:r>
              <w:t>630 107,27</w:t>
            </w:r>
          </w:p>
        </w:tc>
        <w:tc>
          <w:tcPr>
            <w:tcW w:w="1701" w:type="dxa"/>
            <w:vAlign w:val="center"/>
          </w:tcPr>
          <w:p w14:paraId="181D63A2" w14:textId="77777777" w:rsidR="00454A29" w:rsidRDefault="00454A29">
            <w:pPr>
              <w:pStyle w:val="ConsPlusNormal"/>
            </w:pPr>
          </w:p>
        </w:tc>
        <w:tc>
          <w:tcPr>
            <w:tcW w:w="1814" w:type="dxa"/>
            <w:vAlign w:val="center"/>
          </w:tcPr>
          <w:p w14:paraId="3A83F0A7" w14:textId="77777777" w:rsidR="00454A29" w:rsidRDefault="00454A29">
            <w:pPr>
              <w:pStyle w:val="ConsPlusNormal"/>
            </w:pPr>
          </w:p>
        </w:tc>
      </w:tr>
      <w:tr w:rsidR="00454A29" w14:paraId="6634B0BC" w14:textId="77777777">
        <w:tc>
          <w:tcPr>
            <w:tcW w:w="567" w:type="dxa"/>
            <w:vMerge/>
          </w:tcPr>
          <w:p w14:paraId="01CA52D1" w14:textId="77777777" w:rsidR="00454A29" w:rsidRDefault="00454A29"/>
        </w:tc>
        <w:tc>
          <w:tcPr>
            <w:tcW w:w="3345" w:type="dxa"/>
            <w:vMerge/>
          </w:tcPr>
          <w:p w14:paraId="49D7C06A" w14:textId="77777777" w:rsidR="00454A29" w:rsidRDefault="00454A29"/>
        </w:tc>
        <w:tc>
          <w:tcPr>
            <w:tcW w:w="1701" w:type="dxa"/>
            <w:vAlign w:val="center"/>
          </w:tcPr>
          <w:p w14:paraId="74FD8DF4" w14:textId="77777777" w:rsidR="00454A29" w:rsidRDefault="00454A29">
            <w:pPr>
              <w:pStyle w:val="ConsPlusNormal"/>
              <w:jc w:val="center"/>
            </w:pPr>
            <w:r>
              <w:t>2026</w:t>
            </w:r>
          </w:p>
        </w:tc>
        <w:tc>
          <w:tcPr>
            <w:tcW w:w="1417" w:type="dxa"/>
            <w:vMerge/>
          </w:tcPr>
          <w:p w14:paraId="3E3BCC9E" w14:textId="77777777" w:rsidR="00454A29" w:rsidRDefault="00454A29"/>
        </w:tc>
        <w:tc>
          <w:tcPr>
            <w:tcW w:w="2204" w:type="dxa"/>
            <w:vMerge/>
          </w:tcPr>
          <w:p w14:paraId="1725905C" w14:textId="77777777" w:rsidR="00454A29" w:rsidRDefault="00454A29"/>
        </w:tc>
        <w:tc>
          <w:tcPr>
            <w:tcW w:w="1417" w:type="dxa"/>
            <w:vMerge/>
          </w:tcPr>
          <w:p w14:paraId="171FCD6D" w14:textId="77777777" w:rsidR="00454A29" w:rsidRDefault="00454A29"/>
        </w:tc>
        <w:tc>
          <w:tcPr>
            <w:tcW w:w="2324" w:type="dxa"/>
            <w:vMerge/>
          </w:tcPr>
          <w:p w14:paraId="3A188452" w14:textId="77777777" w:rsidR="00454A29" w:rsidRDefault="00454A29"/>
        </w:tc>
        <w:tc>
          <w:tcPr>
            <w:tcW w:w="1701" w:type="dxa"/>
            <w:vAlign w:val="center"/>
          </w:tcPr>
          <w:p w14:paraId="599920B1" w14:textId="77777777" w:rsidR="00454A29" w:rsidRDefault="00454A29">
            <w:pPr>
              <w:pStyle w:val="ConsPlusNormal"/>
            </w:pPr>
          </w:p>
        </w:tc>
        <w:tc>
          <w:tcPr>
            <w:tcW w:w="1814" w:type="dxa"/>
            <w:vAlign w:val="center"/>
          </w:tcPr>
          <w:p w14:paraId="62881D83" w14:textId="77777777" w:rsidR="00454A29" w:rsidRDefault="00454A29">
            <w:pPr>
              <w:pStyle w:val="ConsPlusNormal"/>
            </w:pPr>
          </w:p>
        </w:tc>
        <w:tc>
          <w:tcPr>
            <w:tcW w:w="1701" w:type="dxa"/>
            <w:vAlign w:val="center"/>
          </w:tcPr>
          <w:p w14:paraId="1AE1040F" w14:textId="77777777" w:rsidR="00454A29" w:rsidRDefault="00454A29">
            <w:pPr>
              <w:pStyle w:val="ConsPlusNormal"/>
            </w:pPr>
          </w:p>
        </w:tc>
        <w:tc>
          <w:tcPr>
            <w:tcW w:w="1701" w:type="dxa"/>
            <w:vAlign w:val="center"/>
          </w:tcPr>
          <w:p w14:paraId="45656248" w14:textId="77777777" w:rsidR="00454A29" w:rsidRDefault="00454A29">
            <w:pPr>
              <w:pStyle w:val="ConsPlusNormal"/>
            </w:pPr>
          </w:p>
        </w:tc>
        <w:tc>
          <w:tcPr>
            <w:tcW w:w="1814" w:type="dxa"/>
            <w:vAlign w:val="center"/>
          </w:tcPr>
          <w:p w14:paraId="5D782BC9" w14:textId="77777777" w:rsidR="00454A29" w:rsidRDefault="00454A29">
            <w:pPr>
              <w:pStyle w:val="ConsPlusNormal"/>
            </w:pPr>
          </w:p>
        </w:tc>
      </w:tr>
      <w:tr w:rsidR="00454A29" w14:paraId="23184990" w14:textId="77777777">
        <w:tc>
          <w:tcPr>
            <w:tcW w:w="567" w:type="dxa"/>
            <w:vMerge w:val="restart"/>
            <w:vAlign w:val="center"/>
          </w:tcPr>
          <w:p w14:paraId="0E6CF9A9" w14:textId="77777777" w:rsidR="00454A29" w:rsidRDefault="00454A29">
            <w:pPr>
              <w:pStyle w:val="ConsPlusNormal"/>
              <w:jc w:val="center"/>
            </w:pPr>
            <w:r>
              <w:t>5</w:t>
            </w:r>
          </w:p>
        </w:tc>
        <w:tc>
          <w:tcPr>
            <w:tcW w:w="3345" w:type="dxa"/>
            <w:vMerge w:val="restart"/>
            <w:vAlign w:val="center"/>
          </w:tcPr>
          <w:p w14:paraId="05B28850" w14:textId="77777777" w:rsidR="00454A29" w:rsidRDefault="00454A29">
            <w:pPr>
              <w:pStyle w:val="ConsPlusNormal"/>
              <w:jc w:val="center"/>
            </w:pPr>
            <w:r>
              <w:t>Школа на 120 учащихся в г. Томмот</w:t>
            </w:r>
          </w:p>
        </w:tc>
        <w:tc>
          <w:tcPr>
            <w:tcW w:w="1701" w:type="dxa"/>
            <w:vAlign w:val="center"/>
          </w:tcPr>
          <w:p w14:paraId="2D241638" w14:textId="77777777" w:rsidR="00454A29" w:rsidRDefault="00454A29">
            <w:pPr>
              <w:pStyle w:val="ConsPlusNormal"/>
              <w:jc w:val="center"/>
            </w:pPr>
            <w:r>
              <w:t>2020 - 2026 годы - всего</w:t>
            </w:r>
          </w:p>
        </w:tc>
        <w:tc>
          <w:tcPr>
            <w:tcW w:w="1417" w:type="dxa"/>
            <w:vMerge w:val="restart"/>
            <w:vAlign w:val="center"/>
          </w:tcPr>
          <w:p w14:paraId="5C751BD0" w14:textId="77777777" w:rsidR="00454A29" w:rsidRDefault="00454A29">
            <w:pPr>
              <w:pStyle w:val="ConsPlusNormal"/>
              <w:jc w:val="center"/>
            </w:pPr>
            <w:r>
              <w:t>420 044,60</w:t>
            </w:r>
          </w:p>
        </w:tc>
        <w:tc>
          <w:tcPr>
            <w:tcW w:w="2204" w:type="dxa"/>
            <w:vMerge w:val="restart"/>
            <w:vAlign w:val="center"/>
          </w:tcPr>
          <w:p w14:paraId="13B8E09E" w14:textId="77777777" w:rsidR="00454A29" w:rsidRDefault="00454A29">
            <w:pPr>
              <w:pStyle w:val="ConsPlusNormal"/>
            </w:pPr>
          </w:p>
        </w:tc>
        <w:tc>
          <w:tcPr>
            <w:tcW w:w="1417" w:type="dxa"/>
            <w:vMerge w:val="restart"/>
            <w:vAlign w:val="center"/>
          </w:tcPr>
          <w:p w14:paraId="368DD003" w14:textId="77777777" w:rsidR="00454A29" w:rsidRDefault="00454A29">
            <w:pPr>
              <w:pStyle w:val="ConsPlusNormal"/>
              <w:jc w:val="center"/>
            </w:pPr>
            <w:r>
              <w:t>120</w:t>
            </w:r>
          </w:p>
        </w:tc>
        <w:tc>
          <w:tcPr>
            <w:tcW w:w="2324" w:type="dxa"/>
            <w:vMerge w:val="restart"/>
            <w:vAlign w:val="center"/>
          </w:tcPr>
          <w:p w14:paraId="7971C8E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D35EAAA" w14:textId="77777777" w:rsidR="00454A29" w:rsidRDefault="00454A29">
            <w:pPr>
              <w:pStyle w:val="ConsPlusNormal"/>
              <w:jc w:val="center"/>
            </w:pPr>
            <w:r>
              <w:t>420 044,60</w:t>
            </w:r>
          </w:p>
        </w:tc>
        <w:tc>
          <w:tcPr>
            <w:tcW w:w="1814" w:type="dxa"/>
            <w:vAlign w:val="center"/>
          </w:tcPr>
          <w:p w14:paraId="38784902" w14:textId="77777777" w:rsidR="00454A29" w:rsidRDefault="00454A29">
            <w:pPr>
              <w:pStyle w:val="ConsPlusNormal"/>
              <w:jc w:val="center"/>
            </w:pPr>
            <w:r>
              <w:t>5 174,95</w:t>
            </w:r>
          </w:p>
        </w:tc>
        <w:tc>
          <w:tcPr>
            <w:tcW w:w="1701" w:type="dxa"/>
            <w:vAlign w:val="center"/>
          </w:tcPr>
          <w:p w14:paraId="7995B5FA" w14:textId="77777777" w:rsidR="00454A29" w:rsidRDefault="00454A29">
            <w:pPr>
              <w:pStyle w:val="ConsPlusNormal"/>
              <w:jc w:val="center"/>
            </w:pPr>
            <w:r>
              <w:t>512 319,99</w:t>
            </w:r>
          </w:p>
        </w:tc>
        <w:tc>
          <w:tcPr>
            <w:tcW w:w="1701" w:type="dxa"/>
            <w:vAlign w:val="center"/>
          </w:tcPr>
          <w:p w14:paraId="7F73395E" w14:textId="77777777" w:rsidR="00454A29" w:rsidRDefault="00454A29">
            <w:pPr>
              <w:pStyle w:val="ConsPlusNormal"/>
              <w:jc w:val="center"/>
            </w:pPr>
            <w:r>
              <w:t>-</w:t>
            </w:r>
          </w:p>
        </w:tc>
        <w:tc>
          <w:tcPr>
            <w:tcW w:w="1814" w:type="dxa"/>
            <w:vAlign w:val="center"/>
          </w:tcPr>
          <w:p w14:paraId="026CCD9A" w14:textId="77777777" w:rsidR="00454A29" w:rsidRDefault="00454A29">
            <w:pPr>
              <w:pStyle w:val="ConsPlusNormal"/>
              <w:jc w:val="center"/>
            </w:pPr>
            <w:r>
              <w:t>-</w:t>
            </w:r>
          </w:p>
        </w:tc>
      </w:tr>
      <w:tr w:rsidR="00454A29" w14:paraId="6D835046" w14:textId="77777777">
        <w:tc>
          <w:tcPr>
            <w:tcW w:w="567" w:type="dxa"/>
            <w:vMerge/>
          </w:tcPr>
          <w:p w14:paraId="75CAF121" w14:textId="77777777" w:rsidR="00454A29" w:rsidRDefault="00454A29"/>
        </w:tc>
        <w:tc>
          <w:tcPr>
            <w:tcW w:w="3345" w:type="dxa"/>
            <w:vMerge/>
          </w:tcPr>
          <w:p w14:paraId="05916B57" w14:textId="77777777" w:rsidR="00454A29" w:rsidRDefault="00454A29"/>
        </w:tc>
        <w:tc>
          <w:tcPr>
            <w:tcW w:w="1701" w:type="dxa"/>
            <w:vAlign w:val="center"/>
          </w:tcPr>
          <w:p w14:paraId="36CF8EE5" w14:textId="77777777" w:rsidR="00454A29" w:rsidRDefault="00454A29">
            <w:pPr>
              <w:pStyle w:val="ConsPlusNormal"/>
              <w:jc w:val="center"/>
            </w:pPr>
            <w:r>
              <w:t>2020</w:t>
            </w:r>
          </w:p>
        </w:tc>
        <w:tc>
          <w:tcPr>
            <w:tcW w:w="1417" w:type="dxa"/>
            <w:vMerge/>
          </w:tcPr>
          <w:p w14:paraId="53A9BA10" w14:textId="77777777" w:rsidR="00454A29" w:rsidRDefault="00454A29"/>
        </w:tc>
        <w:tc>
          <w:tcPr>
            <w:tcW w:w="2204" w:type="dxa"/>
            <w:vMerge/>
          </w:tcPr>
          <w:p w14:paraId="3153CD9B" w14:textId="77777777" w:rsidR="00454A29" w:rsidRDefault="00454A29"/>
        </w:tc>
        <w:tc>
          <w:tcPr>
            <w:tcW w:w="1417" w:type="dxa"/>
            <w:vMerge/>
          </w:tcPr>
          <w:p w14:paraId="77038C52" w14:textId="77777777" w:rsidR="00454A29" w:rsidRDefault="00454A29"/>
        </w:tc>
        <w:tc>
          <w:tcPr>
            <w:tcW w:w="2324" w:type="dxa"/>
            <w:vMerge/>
          </w:tcPr>
          <w:p w14:paraId="5E2B1DE6" w14:textId="77777777" w:rsidR="00454A29" w:rsidRDefault="00454A29"/>
        </w:tc>
        <w:tc>
          <w:tcPr>
            <w:tcW w:w="1701" w:type="dxa"/>
            <w:vAlign w:val="center"/>
          </w:tcPr>
          <w:p w14:paraId="3726E0FD" w14:textId="77777777" w:rsidR="00454A29" w:rsidRDefault="00454A29">
            <w:pPr>
              <w:pStyle w:val="ConsPlusNormal"/>
            </w:pPr>
          </w:p>
        </w:tc>
        <w:tc>
          <w:tcPr>
            <w:tcW w:w="1814" w:type="dxa"/>
            <w:vAlign w:val="center"/>
          </w:tcPr>
          <w:p w14:paraId="69921AFB" w14:textId="77777777" w:rsidR="00454A29" w:rsidRDefault="00454A29">
            <w:pPr>
              <w:pStyle w:val="ConsPlusNormal"/>
            </w:pPr>
          </w:p>
        </w:tc>
        <w:tc>
          <w:tcPr>
            <w:tcW w:w="1701" w:type="dxa"/>
            <w:vAlign w:val="center"/>
          </w:tcPr>
          <w:p w14:paraId="2521FD8E" w14:textId="77777777" w:rsidR="00454A29" w:rsidRDefault="00454A29">
            <w:pPr>
              <w:pStyle w:val="ConsPlusNormal"/>
            </w:pPr>
          </w:p>
        </w:tc>
        <w:tc>
          <w:tcPr>
            <w:tcW w:w="1701" w:type="dxa"/>
            <w:vAlign w:val="center"/>
          </w:tcPr>
          <w:p w14:paraId="2408F96B" w14:textId="77777777" w:rsidR="00454A29" w:rsidRDefault="00454A29">
            <w:pPr>
              <w:pStyle w:val="ConsPlusNormal"/>
            </w:pPr>
          </w:p>
        </w:tc>
        <w:tc>
          <w:tcPr>
            <w:tcW w:w="1814" w:type="dxa"/>
            <w:vAlign w:val="center"/>
          </w:tcPr>
          <w:p w14:paraId="075546A1" w14:textId="77777777" w:rsidR="00454A29" w:rsidRDefault="00454A29">
            <w:pPr>
              <w:pStyle w:val="ConsPlusNormal"/>
            </w:pPr>
          </w:p>
        </w:tc>
      </w:tr>
      <w:tr w:rsidR="00454A29" w14:paraId="5358C3CF" w14:textId="77777777">
        <w:tc>
          <w:tcPr>
            <w:tcW w:w="567" w:type="dxa"/>
            <w:vMerge/>
          </w:tcPr>
          <w:p w14:paraId="61AB79B3" w14:textId="77777777" w:rsidR="00454A29" w:rsidRDefault="00454A29"/>
        </w:tc>
        <w:tc>
          <w:tcPr>
            <w:tcW w:w="3345" w:type="dxa"/>
            <w:vMerge/>
          </w:tcPr>
          <w:p w14:paraId="0A68B401" w14:textId="77777777" w:rsidR="00454A29" w:rsidRDefault="00454A29"/>
        </w:tc>
        <w:tc>
          <w:tcPr>
            <w:tcW w:w="1701" w:type="dxa"/>
            <w:vAlign w:val="center"/>
          </w:tcPr>
          <w:p w14:paraId="6DCE3405" w14:textId="77777777" w:rsidR="00454A29" w:rsidRDefault="00454A29">
            <w:pPr>
              <w:pStyle w:val="ConsPlusNormal"/>
              <w:jc w:val="center"/>
            </w:pPr>
            <w:r>
              <w:t>2021</w:t>
            </w:r>
          </w:p>
        </w:tc>
        <w:tc>
          <w:tcPr>
            <w:tcW w:w="1417" w:type="dxa"/>
            <w:vMerge/>
          </w:tcPr>
          <w:p w14:paraId="1AAEA3B9" w14:textId="77777777" w:rsidR="00454A29" w:rsidRDefault="00454A29"/>
        </w:tc>
        <w:tc>
          <w:tcPr>
            <w:tcW w:w="2204" w:type="dxa"/>
            <w:vMerge/>
          </w:tcPr>
          <w:p w14:paraId="38CBA615" w14:textId="77777777" w:rsidR="00454A29" w:rsidRDefault="00454A29"/>
        </w:tc>
        <w:tc>
          <w:tcPr>
            <w:tcW w:w="1417" w:type="dxa"/>
            <w:vMerge/>
          </w:tcPr>
          <w:p w14:paraId="77AF3E1B" w14:textId="77777777" w:rsidR="00454A29" w:rsidRDefault="00454A29"/>
        </w:tc>
        <w:tc>
          <w:tcPr>
            <w:tcW w:w="2324" w:type="dxa"/>
            <w:vMerge/>
          </w:tcPr>
          <w:p w14:paraId="18EE80C8" w14:textId="77777777" w:rsidR="00454A29" w:rsidRDefault="00454A29"/>
        </w:tc>
        <w:tc>
          <w:tcPr>
            <w:tcW w:w="1701" w:type="dxa"/>
            <w:vAlign w:val="center"/>
          </w:tcPr>
          <w:p w14:paraId="10CF2C96" w14:textId="77777777" w:rsidR="00454A29" w:rsidRDefault="00454A29">
            <w:pPr>
              <w:pStyle w:val="ConsPlusNormal"/>
            </w:pPr>
          </w:p>
        </w:tc>
        <w:tc>
          <w:tcPr>
            <w:tcW w:w="1814" w:type="dxa"/>
            <w:vAlign w:val="center"/>
          </w:tcPr>
          <w:p w14:paraId="76EE253F" w14:textId="77777777" w:rsidR="00454A29" w:rsidRDefault="00454A29">
            <w:pPr>
              <w:pStyle w:val="ConsPlusNormal"/>
            </w:pPr>
          </w:p>
        </w:tc>
        <w:tc>
          <w:tcPr>
            <w:tcW w:w="1701" w:type="dxa"/>
            <w:vAlign w:val="center"/>
          </w:tcPr>
          <w:p w14:paraId="2917C8EA" w14:textId="77777777" w:rsidR="00454A29" w:rsidRDefault="00454A29">
            <w:pPr>
              <w:pStyle w:val="ConsPlusNormal"/>
            </w:pPr>
          </w:p>
        </w:tc>
        <w:tc>
          <w:tcPr>
            <w:tcW w:w="1701" w:type="dxa"/>
            <w:vAlign w:val="center"/>
          </w:tcPr>
          <w:p w14:paraId="1083898F" w14:textId="77777777" w:rsidR="00454A29" w:rsidRDefault="00454A29">
            <w:pPr>
              <w:pStyle w:val="ConsPlusNormal"/>
            </w:pPr>
          </w:p>
        </w:tc>
        <w:tc>
          <w:tcPr>
            <w:tcW w:w="1814" w:type="dxa"/>
            <w:vAlign w:val="center"/>
          </w:tcPr>
          <w:p w14:paraId="2140F08B" w14:textId="77777777" w:rsidR="00454A29" w:rsidRDefault="00454A29">
            <w:pPr>
              <w:pStyle w:val="ConsPlusNormal"/>
            </w:pPr>
          </w:p>
        </w:tc>
      </w:tr>
      <w:tr w:rsidR="00454A29" w14:paraId="0B9F327D" w14:textId="77777777">
        <w:tc>
          <w:tcPr>
            <w:tcW w:w="567" w:type="dxa"/>
            <w:vMerge/>
          </w:tcPr>
          <w:p w14:paraId="0F5CC8B3" w14:textId="77777777" w:rsidR="00454A29" w:rsidRDefault="00454A29"/>
        </w:tc>
        <w:tc>
          <w:tcPr>
            <w:tcW w:w="3345" w:type="dxa"/>
            <w:vMerge/>
          </w:tcPr>
          <w:p w14:paraId="758C2F19" w14:textId="77777777" w:rsidR="00454A29" w:rsidRDefault="00454A29"/>
        </w:tc>
        <w:tc>
          <w:tcPr>
            <w:tcW w:w="1701" w:type="dxa"/>
            <w:vAlign w:val="center"/>
          </w:tcPr>
          <w:p w14:paraId="1DF7DB81" w14:textId="77777777" w:rsidR="00454A29" w:rsidRDefault="00454A29">
            <w:pPr>
              <w:pStyle w:val="ConsPlusNormal"/>
              <w:jc w:val="center"/>
            </w:pPr>
            <w:r>
              <w:t>2022</w:t>
            </w:r>
          </w:p>
        </w:tc>
        <w:tc>
          <w:tcPr>
            <w:tcW w:w="1417" w:type="dxa"/>
            <w:vMerge/>
          </w:tcPr>
          <w:p w14:paraId="48AC9C6F" w14:textId="77777777" w:rsidR="00454A29" w:rsidRDefault="00454A29"/>
        </w:tc>
        <w:tc>
          <w:tcPr>
            <w:tcW w:w="2204" w:type="dxa"/>
            <w:vMerge/>
          </w:tcPr>
          <w:p w14:paraId="20FA2D7C" w14:textId="77777777" w:rsidR="00454A29" w:rsidRDefault="00454A29"/>
        </w:tc>
        <w:tc>
          <w:tcPr>
            <w:tcW w:w="1417" w:type="dxa"/>
            <w:vMerge/>
          </w:tcPr>
          <w:p w14:paraId="38AFBBC0" w14:textId="77777777" w:rsidR="00454A29" w:rsidRDefault="00454A29"/>
        </w:tc>
        <w:tc>
          <w:tcPr>
            <w:tcW w:w="2324" w:type="dxa"/>
            <w:vMerge/>
          </w:tcPr>
          <w:p w14:paraId="48C27616" w14:textId="77777777" w:rsidR="00454A29" w:rsidRDefault="00454A29"/>
        </w:tc>
        <w:tc>
          <w:tcPr>
            <w:tcW w:w="1701" w:type="dxa"/>
            <w:vAlign w:val="center"/>
          </w:tcPr>
          <w:p w14:paraId="673912D1" w14:textId="77777777" w:rsidR="00454A29" w:rsidRDefault="00454A29">
            <w:pPr>
              <w:pStyle w:val="ConsPlusNormal"/>
            </w:pPr>
          </w:p>
        </w:tc>
        <w:tc>
          <w:tcPr>
            <w:tcW w:w="1814" w:type="dxa"/>
            <w:vAlign w:val="center"/>
          </w:tcPr>
          <w:p w14:paraId="1393BA30" w14:textId="77777777" w:rsidR="00454A29" w:rsidRDefault="00454A29">
            <w:pPr>
              <w:pStyle w:val="ConsPlusNormal"/>
            </w:pPr>
          </w:p>
        </w:tc>
        <w:tc>
          <w:tcPr>
            <w:tcW w:w="1701" w:type="dxa"/>
            <w:vAlign w:val="center"/>
          </w:tcPr>
          <w:p w14:paraId="255A8A3F" w14:textId="77777777" w:rsidR="00454A29" w:rsidRDefault="00454A29">
            <w:pPr>
              <w:pStyle w:val="ConsPlusNormal"/>
            </w:pPr>
          </w:p>
        </w:tc>
        <w:tc>
          <w:tcPr>
            <w:tcW w:w="1701" w:type="dxa"/>
            <w:vAlign w:val="center"/>
          </w:tcPr>
          <w:p w14:paraId="1D765F51" w14:textId="77777777" w:rsidR="00454A29" w:rsidRDefault="00454A29">
            <w:pPr>
              <w:pStyle w:val="ConsPlusNormal"/>
            </w:pPr>
          </w:p>
        </w:tc>
        <w:tc>
          <w:tcPr>
            <w:tcW w:w="1814" w:type="dxa"/>
            <w:vAlign w:val="center"/>
          </w:tcPr>
          <w:p w14:paraId="61336464" w14:textId="77777777" w:rsidR="00454A29" w:rsidRDefault="00454A29">
            <w:pPr>
              <w:pStyle w:val="ConsPlusNormal"/>
            </w:pPr>
          </w:p>
        </w:tc>
      </w:tr>
      <w:tr w:rsidR="00454A29" w14:paraId="72CF5888" w14:textId="77777777">
        <w:tc>
          <w:tcPr>
            <w:tcW w:w="567" w:type="dxa"/>
            <w:vMerge/>
          </w:tcPr>
          <w:p w14:paraId="756096EF" w14:textId="77777777" w:rsidR="00454A29" w:rsidRDefault="00454A29"/>
        </w:tc>
        <w:tc>
          <w:tcPr>
            <w:tcW w:w="3345" w:type="dxa"/>
            <w:vMerge/>
          </w:tcPr>
          <w:p w14:paraId="158B5181" w14:textId="77777777" w:rsidR="00454A29" w:rsidRDefault="00454A29"/>
        </w:tc>
        <w:tc>
          <w:tcPr>
            <w:tcW w:w="1701" w:type="dxa"/>
            <w:vAlign w:val="center"/>
          </w:tcPr>
          <w:p w14:paraId="1CC26CF3" w14:textId="77777777" w:rsidR="00454A29" w:rsidRDefault="00454A29">
            <w:pPr>
              <w:pStyle w:val="ConsPlusNormal"/>
              <w:jc w:val="center"/>
            </w:pPr>
            <w:r>
              <w:t>2023</w:t>
            </w:r>
          </w:p>
        </w:tc>
        <w:tc>
          <w:tcPr>
            <w:tcW w:w="1417" w:type="dxa"/>
            <w:vMerge/>
          </w:tcPr>
          <w:p w14:paraId="69DA6AC2" w14:textId="77777777" w:rsidR="00454A29" w:rsidRDefault="00454A29"/>
        </w:tc>
        <w:tc>
          <w:tcPr>
            <w:tcW w:w="2204" w:type="dxa"/>
            <w:vMerge/>
          </w:tcPr>
          <w:p w14:paraId="7B3E956D" w14:textId="77777777" w:rsidR="00454A29" w:rsidRDefault="00454A29"/>
        </w:tc>
        <w:tc>
          <w:tcPr>
            <w:tcW w:w="1417" w:type="dxa"/>
            <w:vMerge/>
          </w:tcPr>
          <w:p w14:paraId="2AF76797" w14:textId="77777777" w:rsidR="00454A29" w:rsidRDefault="00454A29"/>
        </w:tc>
        <w:tc>
          <w:tcPr>
            <w:tcW w:w="2324" w:type="dxa"/>
            <w:vMerge/>
          </w:tcPr>
          <w:p w14:paraId="704DE265" w14:textId="77777777" w:rsidR="00454A29" w:rsidRDefault="00454A29"/>
        </w:tc>
        <w:tc>
          <w:tcPr>
            <w:tcW w:w="1701" w:type="dxa"/>
            <w:vAlign w:val="center"/>
          </w:tcPr>
          <w:p w14:paraId="76F33506" w14:textId="77777777" w:rsidR="00454A29" w:rsidRDefault="00454A29">
            <w:pPr>
              <w:pStyle w:val="ConsPlusNormal"/>
            </w:pPr>
          </w:p>
        </w:tc>
        <w:tc>
          <w:tcPr>
            <w:tcW w:w="1814" w:type="dxa"/>
            <w:vAlign w:val="center"/>
          </w:tcPr>
          <w:p w14:paraId="6B461C97" w14:textId="77777777" w:rsidR="00454A29" w:rsidRDefault="00454A29">
            <w:pPr>
              <w:pStyle w:val="ConsPlusNormal"/>
            </w:pPr>
          </w:p>
        </w:tc>
        <w:tc>
          <w:tcPr>
            <w:tcW w:w="1701" w:type="dxa"/>
            <w:vAlign w:val="center"/>
          </w:tcPr>
          <w:p w14:paraId="7BC3BEF8" w14:textId="77777777" w:rsidR="00454A29" w:rsidRDefault="00454A29">
            <w:pPr>
              <w:pStyle w:val="ConsPlusNormal"/>
            </w:pPr>
          </w:p>
        </w:tc>
        <w:tc>
          <w:tcPr>
            <w:tcW w:w="1701" w:type="dxa"/>
            <w:vAlign w:val="center"/>
          </w:tcPr>
          <w:p w14:paraId="1F822283" w14:textId="77777777" w:rsidR="00454A29" w:rsidRDefault="00454A29">
            <w:pPr>
              <w:pStyle w:val="ConsPlusNormal"/>
            </w:pPr>
          </w:p>
        </w:tc>
        <w:tc>
          <w:tcPr>
            <w:tcW w:w="1814" w:type="dxa"/>
            <w:vAlign w:val="center"/>
          </w:tcPr>
          <w:p w14:paraId="5E72BD27" w14:textId="77777777" w:rsidR="00454A29" w:rsidRDefault="00454A29">
            <w:pPr>
              <w:pStyle w:val="ConsPlusNormal"/>
            </w:pPr>
          </w:p>
        </w:tc>
      </w:tr>
      <w:tr w:rsidR="00454A29" w14:paraId="4A651765" w14:textId="77777777">
        <w:tc>
          <w:tcPr>
            <w:tcW w:w="567" w:type="dxa"/>
            <w:vMerge/>
          </w:tcPr>
          <w:p w14:paraId="178451AB" w14:textId="77777777" w:rsidR="00454A29" w:rsidRDefault="00454A29"/>
        </w:tc>
        <w:tc>
          <w:tcPr>
            <w:tcW w:w="3345" w:type="dxa"/>
            <w:vMerge/>
          </w:tcPr>
          <w:p w14:paraId="4A3DD520" w14:textId="77777777" w:rsidR="00454A29" w:rsidRDefault="00454A29"/>
        </w:tc>
        <w:tc>
          <w:tcPr>
            <w:tcW w:w="1701" w:type="dxa"/>
            <w:vAlign w:val="center"/>
          </w:tcPr>
          <w:p w14:paraId="41261BD2" w14:textId="77777777" w:rsidR="00454A29" w:rsidRDefault="00454A29">
            <w:pPr>
              <w:pStyle w:val="ConsPlusNormal"/>
              <w:jc w:val="center"/>
            </w:pPr>
            <w:r>
              <w:t>2024</w:t>
            </w:r>
          </w:p>
        </w:tc>
        <w:tc>
          <w:tcPr>
            <w:tcW w:w="1417" w:type="dxa"/>
            <w:vMerge/>
          </w:tcPr>
          <w:p w14:paraId="6E06100B" w14:textId="77777777" w:rsidR="00454A29" w:rsidRDefault="00454A29"/>
        </w:tc>
        <w:tc>
          <w:tcPr>
            <w:tcW w:w="2204" w:type="dxa"/>
            <w:vMerge/>
          </w:tcPr>
          <w:p w14:paraId="79A25E25" w14:textId="77777777" w:rsidR="00454A29" w:rsidRDefault="00454A29"/>
        </w:tc>
        <w:tc>
          <w:tcPr>
            <w:tcW w:w="1417" w:type="dxa"/>
            <w:vMerge/>
          </w:tcPr>
          <w:p w14:paraId="65029DDC" w14:textId="77777777" w:rsidR="00454A29" w:rsidRDefault="00454A29"/>
        </w:tc>
        <w:tc>
          <w:tcPr>
            <w:tcW w:w="2324" w:type="dxa"/>
            <w:vMerge/>
          </w:tcPr>
          <w:p w14:paraId="306EFAD5" w14:textId="77777777" w:rsidR="00454A29" w:rsidRDefault="00454A29"/>
        </w:tc>
        <w:tc>
          <w:tcPr>
            <w:tcW w:w="1701" w:type="dxa"/>
            <w:vAlign w:val="center"/>
          </w:tcPr>
          <w:p w14:paraId="2C998529" w14:textId="77777777" w:rsidR="00454A29" w:rsidRDefault="00454A29">
            <w:pPr>
              <w:pStyle w:val="ConsPlusNormal"/>
            </w:pPr>
          </w:p>
        </w:tc>
        <w:tc>
          <w:tcPr>
            <w:tcW w:w="1814" w:type="dxa"/>
            <w:vAlign w:val="center"/>
          </w:tcPr>
          <w:p w14:paraId="18965030" w14:textId="77777777" w:rsidR="00454A29" w:rsidRDefault="00454A29">
            <w:pPr>
              <w:pStyle w:val="ConsPlusNormal"/>
            </w:pPr>
          </w:p>
        </w:tc>
        <w:tc>
          <w:tcPr>
            <w:tcW w:w="1701" w:type="dxa"/>
            <w:vAlign w:val="center"/>
          </w:tcPr>
          <w:p w14:paraId="598EF031" w14:textId="77777777" w:rsidR="00454A29" w:rsidRDefault="00454A29">
            <w:pPr>
              <w:pStyle w:val="ConsPlusNormal"/>
            </w:pPr>
          </w:p>
        </w:tc>
        <w:tc>
          <w:tcPr>
            <w:tcW w:w="1701" w:type="dxa"/>
            <w:vAlign w:val="center"/>
          </w:tcPr>
          <w:p w14:paraId="5BA16ED3" w14:textId="77777777" w:rsidR="00454A29" w:rsidRDefault="00454A29">
            <w:pPr>
              <w:pStyle w:val="ConsPlusNormal"/>
            </w:pPr>
          </w:p>
        </w:tc>
        <w:tc>
          <w:tcPr>
            <w:tcW w:w="1814" w:type="dxa"/>
            <w:vAlign w:val="center"/>
          </w:tcPr>
          <w:p w14:paraId="5B258B7D" w14:textId="77777777" w:rsidR="00454A29" w:rsidRDefault="00454A29">
            <w:pPr>
              <w:pStyle w:val="ConsPlusNormal"/>
            </w:pPr>
          </w:p>
        </w:tc>
      </w:tr>
      <w:tr w:rsidR="00454A29" w14:paraId="080103D1" w14:textId="77777777">
        <w:tc>
          <w:tcPr>
            <w:tcW w:w="567" w:type="dxa"/>
            <w:vMerge/>
          </w:tcPr>
          <w:p w14:paraId="233F677E" w14:textId="77777777" w:rsidR="00454A29" w:rsidRDefault="00454A29"/>
        </w:tc>
        <w:tc>
          <w:tcPr>
            <w:tcW w:w="3345" w:type="dxa"/>
            <w:vMerge/>
          </w:tcPr>
          <w:p w14:paraId="52721288" w14:textId="77777777" w:rsidR="00454A29" w:rsidRDefault="00454A29"/>
        </w:tc>
        <w:tc>
          <w:tcPr>
            <w:tcW w:w="1701" w:type="dxa"/>
            <w:vAlign w:val="center"/>
          </w:tcPr>
          <w:p w14:paraId="7D3DC95D" w14:textId="77777777" w:rsidR="00454A29" w:rsidRDefault="00454A29">
            <w:pPr>
              <w:pStyle w:val="ConsPlusNormal"/>
              <w:jc w:val="center"/>
            </w:pPr>
            <w:r>
              <w:t>2025</w:t>
            </w:r>
          </w:p>
        </w:tc>
        <w:tc>
          <w:tcPr>
            <w:tcW w:w="1417" w:type="dxa"/>
            <w:vMerge/>
          </w:tcPr>
          <w:p w14:paraId="4662EC72" w14:textId="77777777" w:rsidR="00454A29" w:rsidRDefault="00454A29"/>
        </w:tc>
        <w:tc>
          <w:tcPr>
            <w:tcW w:w="2204" w:type="dxa"/>
            <w:vMerge/>
          </w:tcPr>
          <w:p w14:paraId="5C15AE66" w14:textId="77777777" w:rsidR="00454A29" w:rsidRDefault="00454A29"/>
        </w:tc>
        <w:tc>
          <w:tcPr>
            <w:tcW w:w="1417" w:type="dxa"/>
            <w:vMerge/>
          </w:tcPr>
          <w:p w14:paraId="46D068DA" w14:textId="77777777" w:rsidR="00454A29" w:rsidRDefault="00454A29"/>
        </w:tc>
        <w:tc>
          <w:tcPr>
            <w:tcW w:w="2324" w:type="dxa"/>
            <w:vMerge/>
          </w:tcPr>
          <w:p w14:paraId="44535F51" w14:textId="77777777" w:rsidR="00454A29" w:rsidRDefault="00454A29"/>
        </w:tc>
        <w:tc>
          <w:tcPr>
            <w:tcW w:w="1701" w:type="dxa"/>
            <w:vAlign w:val="center"/>
          </w:tcPr>
          <w:p w14:paraId="4D7C8463" w14:textId="77777777" w:rsidR="00454A29" w:rsidRDefault="00454A29">
            <w:pPr>
              <w:pStyle w:val="ConsPlusNormal"/>
            </w:pPr>
          </w:p>
        </w:tc>
        <w:tc>
          <w:tcPr>
            <w:tcW w:w="1814" w:type="dxa"/>
            <w:vAlign w:val="center"/>
          </w:tcPr>
          <w:p w14:paraId="3CEF9B43" w14:textId="77777777" w:rsidR="00454A29" w:rsidRDefault="00454A29">
            <w:pPr>
              <w:pStyle w:val="ConsPlusNormal"/>
            </w:pPr>
          </w:p>
        </w:tc>
        <w:tc>
          <w:tcPr>
            <w:tcW w:w="1701" w:type="dxa"/>
            <w:vAlign w:val="center"/>
          </w:tcPr>
          <w:p w14:paraId="4F243640" w14:textId="77777777" w:rsidR="00454A29" w:rsidRDefault="00454A29">
            <w:pPr>
              <w:pStyle w:val="ConsPlusNormal"/>
            </w:pPr>
          </w:p>
        </w:tc>
        <w:tc>
          <w:tcPr>
            <w:tcW w:w="1701" w:type="dxa"/>
            <w:vAlign w:val="center"/>
          </w:tcPr>
          <w:p w14:paraId="3B421815" w14:textId="77777777" w:rsidR="00454A29" w:rsidRDefault="00454A29">
            <w:pPr>
              <w:pStyle w:val="ConsPlusNormal"/>
            </w:pPr>
          </w:p>
        </w:tc>
        <w:tc>
          <w:tcPr>
            <w:tcW w:w="1814" w:type="dxa"/>
            <w:vAlign w:val="center"/>
          </w:tcPr>
          <w:p w14:paraId="71A2A781" w14:textId="77777777" w:rsidR="00454A29" w:rsidRDefault="00454A29">
            <w:pPr>
              <w:pStyle w:val="ConsPlusNormal"/>
            </w:pPr>
          </w:p>
        </w:tc>
      </w:tr>
      <w:tr w:rsidR="00454A29" w14:paraId="471E2DD2" w14:textId="77777777">
        <w:tc>
          <w:tcPr>
            <w:tcW w:w="567" w:type="dxa"/>
            <w:vMerge/>
          </w:tcPr>
          <w:p w14:paraId="29FC1775" w14:textId="77777777" w:rsidR="00454A29" w:rsidRDefault="00454A29"/>
        </w:tc>
        <w:tc>
          <w:tcPr>
            <w:tcW w:w="3345" w:type="dxa"/>
            <w:vMerge/>
          </w:tcPr>
          <w:p w14:paraId="471CB5A0" w14:textId="77777777" w:rsidR="00454A29" w:rsidRDefault="00454A29"/>
        </w:tc>
        <w:tc>
          <w:tcPr>
            <w:tcW w:w="1701" w:type="dxa"/>
            <w:vAlign w:val="center"/>
          </w:tcPr>
          <w:p w14:paraId="337097F6" w14:textId="77777777" w:rsidR="00454A29" w:rsidRDefault="00454A29">
            <w:pPr>
              <w:pStyle w:val="ConsPlusNormal"/>
              <w:jc w:val="center"/>
            </w:pPr>
            <w:r>
              <w:t>2026</w:t>
            </w:r>
          </w:p>
        </w:tc>
        <w:tc>
          <w:tcPr>
            <w:tcW w:w="1417" w:type="dxa"/>
            <w:vMerge/>
          </w:tcPr>
          <w:p w14:paraId="0182943C" w14:textId="77777777" w:rsidR="00454A29" w:rsidRDefault="00454A29"/>
        </w:tc>
        <w:tc>
          <w:tcPr>
            <w:tcW w:w="2204" w:type="dxa"/>
            <w:vMerge/>
          </w:tcPr>
          <w:p w14:paraId="097D6970" w14:textId="77777777" w:rsidR="00454A29" w:rsidRDefault="00454A29"/>
        </w:tc>
        <w:tc>
          <w:tcPr>
            <w:tcW w:w="1417" w:type="dxa"/>
            <w:vMerge/>
          </w:tcPr>
          <w:p w14:paraId="2B42A48A" w14:textId="77777777" w:rsidR="00454A29" w:rsidRDefault="00454A29"/>
        </w:tc>
        <w:tc>
          <w:tcPr>
            <w:tcW w:w="2324" w:type="dxa"/>
            <w:vMerge/>
          </w:tcPr>
          <w:p w14:paraId="36AEFF9D" w14:textId="77777777" w:rsidR="00454A29" w:rsidRDefault="00454A29"/>
        </w:tc>
        <w:tc>
          <w:tcPr>
            <w:tcW w:w="1701" w:type="dxa"/>
            <w:vAlign w:val="center"/>
          </w:tcPr>
          <w:p w14:paraId="7290F213" w14:textId="77777777" w:rsidR="00454A29" w:rsidRDefault="00454A29">
            <w:pPr>
              <w:pStyle w:val="ConsPlusNormal"/>
              <w:jc w:val="center"/>
            </w:pPr>
            <w:r>
              <w:t>420 044,60</w:t>
            </w:r>
          </w:p>
        </w:tc>
        <w:tc>
          <w:tcPr>
            <w:tcW w:w="1814" w:type="dxa"/>
            <w:vAlign w:val="center"/>
          </w:tcPr>
          <w:p w14:paraId="3DA3C8BA" w14:textId="77777777" w:rsidR="00454A29" w:rsidRDefault="00454A29">
            <w:pPr>
              <w:pStyle w:val="ConsPlusNormal"/>
              <w:jc w:val="center"/>
            </w:pPr>
            <w:r>
              <w:t>5 174,95</w:t>
            </w:r>
          </w:p>
        </w:tc>
        <w:tc>
          <w:tcPr>
            <w:tcW w:w="1701" w:type="dxa"/>
            <w:vAlign w:val="center"/>
          </w:tcPr>
          <w:p w14:paraId="4F584AEE" w14:textId="77777777" w:rsidR="00454A29" w:rsidRDefault="00454A29">
            <w:pPr>
              <w:pStyle w:val="ConsPlusNormal"/>
              <w:jc w:val="center"/>
            </w:pPr>
            <w:r>
              <w:t>512 319,99</w:t>
            </w:r>
          </w:p>
        </w:tc>
        <w:tc>
          <w:tcPr>
            <w:tcW w:w="1701" w:type="dxa"/>
            <w:vAlign w:val="center"/>
          </w:tcPr>
          <w:p w14:paraId="093F719E" w14:textId="77777777" w:rsidR="00454A29" w:rsidRDefault="00454A29">
            <w:pPr>
              <w:pStyle w:val="ConsPlusNormal"/>
            </w:pPr>
          </w:p>
        </w:tc>
        <w:tc>
          <w:tcPr>
            <w:tcW w:w="1814" w:type="dxa"/>
            <w:vAlign w:val="center"/>
          </w:tcPr>
          <w:p w14:paraId="61F6761D" w14:textId="77777777" w:rsidR="00454A29" w:rsidRDefault="00454A29">
            <w:pPr>
              <w:pStyle w:val="ConsPlusNormal"/>
            </w:pPr>
          </w:p>
        </w:tc>
      </w:tr>
      <w:tr w:rsidR="00454A29" w14:paraId="72ACA0F9" w14:textId="77777777">
        <w:tc>
          <w:tcPr>
            <w:tcW w:w="567" w:type="dxa"/>
            <w:vMerge w:val="restart"/>
            <w:vAlign w:val="center"/>
          </w:tcPr>
          <w:p w14:paraId="6BD0B1B8" w14:textId="77777777" w:rsidR="00454A29" w:rsidRDefault="00454A29">
            <w:pPr>
              <w:pStyle w:val="ConsPlusNormal"/>
              <w:jc w:val="center"/>
            </w:pPr>
            <w:r>
              <w:t>6</w:t>
            </w:r>
          </w:p>
        </w:tc>
        <w:tc>
          <w:tcPr>
            <w:tcW w:w="3345" w:type="dxa"/>
            <w:vMerge w:val="restart"/>
            <w:vAlign w:val="center"/>
          </w:tcPr>
          <w:p w14:paraId="403ED748" w14:textId="77777777" w:rsidR="00454A29" w:rsidRDefault="00454A29">
            <w:pPr>
              <w:pStyle w:val="ConsPlusNormal"/>
              <w:jc w:val="center"/>
            </w:pPr>
            <w:r>
              <w:t>Школа-сад на 50/40 мест в с. Угоян</w:t>
            </w:r>
          </w:p>
        </w:tc>
        <w:tc>
          <w:tcPr>
            <w:tcW w:w="1701" w:type="dxa"/>
            <w:vAlign w:val="center"/>
          </w:tcPr>
          <w:p w14:paraId="45D5AD50" w14:textId="77777777" w:rsidR="00454A29" w:rsidRDefault="00454A29">
            <w:pPr>
              <w:pStyle w:val="ConsPlusNormal"/>
              <w:jc w:val="center"/>
            </w:pPr>
            <w:r>
              <w:t>2020 - 2026 годы - всего</w:t>
            </w:r>
          </w:p>
        </w:tc>
        <w:tc>
          <w:tcPr>
            <w:tcW w:w="1417" w:type="dxa"/>
            <w:vMerge w:val="restart"/>
            <w:vAlign w:val="center"/>
          </w:tcPr>
          <w:p w14:paraId="3166ACD5" w14:textId="77777777" w:rsidR="00454A29" w:rsidRDefault="00454A29">
            <w:pPr>
              <w:pStyle w:val="ConsPlusNormal"/>
              <w:jc w:val="center"/>
            </w:pPr>
            <w:r>
              <w:t>183 912,26</w:t>
            </w:r>
          </w:p>
        </w:tc>
        <w:tc>
          <w:tcPr>
            <w:tcW w:w="2204" w:type="dxa"/>
            <w:vMerge w:val="restart"/>
            <w:vAlign w:val="center"/>
          </w:tcPr>
          <w:p w14:paraId="4B0127E4" w14:textId="77777777" w:rsidR="00454A29" w:rsidRDefault="00454A29">
            <w:pPr>
              <w:pStyle w:val="ConsPlusNormal"/>
            </w:pPr>
          </w:p>
        </w:tc>
        <w:tc>
          <w:tcPr>
            <w:tcW w:w="1417" w:type="dxa"/>
            <w:vMerge w:val="restart"/>
            <w:vAlign w:val="center"/>
          </w:tcPr>
          <w:p w14:paraId="06643EBB" w14:textId="77777777" w:rsidR="00454A29" w:rsidRDefault="00454A29">
            <w:pPr>
              <w:pStyle w:val="ConsPlusNormal"/>
              <w:jc w:val="center"/>
            </w:pPr>
            <w:r>
              <w:t>50</w:t>
            </w:r>
          </w:p>
        </w:tc>
        <w:tc>
          <w:tcPr>
            <w:tcW w:w="2324" w:type="dxa"/>
            <w:vMerge w:val="restart"/>
            <w:vAlign w:val="center"/>
          </w:tcPr>
          <w:p w14:paraId="4EC74ACC"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4E8D5D29" w14:textId="77777777" w:rsidR="00454A29" w:rsidRDefault="00454A29">
            <w:pPr>
              <w:pStyle w:val="ConsPlusNormal"/>
              <w:jc w:val="center"/>
            </w:pPr>
            <w:r>
              <w:lastRenderedPageBreak/>
              <w:t>183 912,26</w:t>
            </w:r>
          </w:p>
        </w:tc>
        <w:tc>
          <w:tcPr>
            <w:tcW w:w="1814" w:type="dxa"/>
            <w:vAlign w:val="center"/>
          </w:tcPr>
          <w:p w14:paraId="203BBAB3" w14:textId="77777777" w:rsidR="00454A29" w:rsidRDefault="00454A29">
            <w:pPr>
              <w:pStyle w:val="ConsPlusNormal"/>
              <w:jc w:val="center"/>
            </w:pPr>
            <w:r>
              <w:t>2 265,80</w:t>
            </w:r>
          </w:p>
        </w:tc>
        <w:tc>
          <w:tcPr>
            <w:tcW w:w="1701" w:type="dxa"/>
            <w:vAlign w:val="center"/>
          </w:tcPr>
          <w:p w14:paraId="2E761F79" w14:textId="77777777" w:rsidR="00454A29" w:rsidRDefault="00454A29">
            <w:pPr>
              <w:pStyle w:val="ConsPlusNormal"/>
              <w:jc w:val="center"/>
            </w:pPr>
            <w:r>
              <w:t>224 314,11</w:t>
            </w:r>
          </w:p>
        </w:tc>
        <w:tc>
          <w:tcPr>
            <w:tcW w:w="1701" w:type="dxa"/>
            <w:vAlign w:val="center"/>
          </w:tcPr>
          <w:p w14:paraId="04A23283" w14:textId="77777777" w:rsidR="00454A29" w:rsidRDefault="00454A29">
            <w:pPr>
              <w:pStyle w:val="ConsPlusNormal"/>
              <w:jc w:val="center"/>
            </w:pPr>
            <w:r>
              <w:t>-</w:t>
            </w:r>
          </w:p>
        </w:tc>
        <w:tc>
          <w:tcPr>
            <w:tcW w:w="1814" w:type="dxa"/>
            <w:vAlign w:val="center"/>
          </w:tcPr>
          <w:p w14:paraId="5D787EFD" w14:textId="77777777" w:rsidR="00454A29" w:rsidRDefault="00454A29">
            <w:pPr>
              <w:pStyle w:val="ConsPlusNormal"/>
              <w:jc w:val="center"/>
            </w:pPr>
            <w:r>
              <w:t>-</w:t>
            </w:r>
          </w:p>
        </w:tc>
      </w:tr>
      <w:tr w:rsidR="00454A29" w14:paraId="472A252E" w14:textId="77777777">
        <w:tc>
          <w:tcPr>
            <w:tcW w:w="567" w:type="dxa"/>
            <w:vMerge/>
          </w:tcPr>
          <w:p w14:paraId="63A87454" w14:textId="77777777" w:rsidR="00454A29" w:rsidRDefault="00454A29"/>
        </w:tc>
        <w:tc>
          <w:tcPr>
            <w:tcW w:w="3345" w:type="dxa"/>
            <w:vMerge/>
          </w:tcPr>
          <w:p w14:paraId="5083AEBB" w14:textId="77777777" w:rsidR="00454A29" w:rsidRDefault="00454A29"/>
        </w:tc>
        <w:tc>
          <w:tcPr>
            <w:tcW w:w="1701" w:type="dxa"/>
            <w:vAlign w:val="center"/>
          </w:tcPr>
          <w:p w14:paraId="66D30B35" w14:textId="77777777" w:rsidR="00454A29" w:rsidRDefault="00454A29">
            <w:pPr>
              <w:pStyle w:val="ConsPlusNormal"/>
              <w:jc w:val="center"/>
            </w:pPr>
            <w:r>
              <w:t>2020</w:t>
            </w:r>
          </w:p>
        </w:tc>
        <w:tc>
          <w:tcPr>
            <w:tcW w:w="1417" w:type="dxa"/>
            <w:vMerge/>
          </w:tcPr>
          <w:p w14:paraId="4961D0D6" w14:textId="77777777" w:rsidR="00454A29" w:rsidRDefault="00454A29"/>
        </w:tc>
        <w:tc>
          <w:tcPr>
            <w:tcW w:w="2204" w:type="dxa"/>
            <w:vMerge/>
          </w:tcPr>
          <w:p w14:paraId="489580C0" w14:textId="77777777" w:rsidR="00454A29" w:rsidRDefault="00454A29"/>
        </w:tc>
        <w:tc>
          <w:tcPr>
            <w:tcW w:w="1417" w:type="dxa"/>
            <w:vMerge/>
          </w:tcPr>
          <w:p w14:paraId="2A792BE1" w14:textId="77777777" w:rsidR="00454A29" w:rsidRDefault="00454A29"/>
        </w:tc>
        <w:tc>
          <w:tcPr>
            <w:tcW w:w="2324" w:type="dxa"/>
            <w:vMerge/>
          </w:tcPr>
          <w:p w14:paraId="05952052" w14:textId="77777777" w:rsidR="00454A29" w:rsidRDefault="00454A29"/>
        </w:tc>
        <w:tc>
          <w:tcPr>
            <w:tcW w:w="1701" w:type="dxa"/>
            <w:vAlign w:val="center"/>
          </w:tcPr>
          <w:p w14:paraId="4505AB80" w14:textId="77777777" w:rsidR="00454A29" w:rsidRDefault="00454A29">
            <w:pPr>
              <w:pStyle w:val="ConsPlusNormal"/>
            </w:pPr>
          </w:p>
        </w:tc>
        <w:tc>
          <w:tcPr>
            <w:tcW w:w="1814" w:type="dxa"/>
            <w:vAlign w:val="center"/>
          </w:tcPr>
          <w:p w14:paraId="059132CF" w14:textId="77777777" w:rsidR="00454A29" w:rsidRDefault="00454A29">
            <w:pPr>
              <w:pStyle w:val="ConsPlusNormal"/>
            </w:pPr>
          </w:p>
        </w:tc>
        <w:tc>
          <w:tcPr>
            <w:tcW w:w="1701" w:type="dxa"/>
            <w:vAlign w:val="center"/>
          </w:tcPr>
          <w:p w14:paraId="2E56D27E" w14:textId="77777777" w:rsidR="00454A29" w:rsidRDefault="00454A29">
            <w:pPr>
              <w:pStyle w:val="ConsPlusNormal"/>
            </w:pPr>
          </w:p>
        </w:tc>
        <w:tc>
          <w:tcPr>
            <w:tcW w:w="1701" w:type="dxa"/>
            <w:vAlign w:val="center"/>
          </w:tcPr>
          <w:p w14:paraId="53D5F474" w14:textId="77777777" w:rsidR="00454A29" w:rsidRDefault="00454A29">
            <w:pPr>
              <w:pStyle w:val="ConsPlusNormal"/>
            </w:pPr>
          </w:p>
        </w:tc>
        <w:tc>
          <w:tcPr>
            <w:tcW w:w="1814" w:type="dxa"/>
            <w:vAlign w:val="center"/>
          </w:tcPr>
          <w:p w14:paraId="520FE752" w14:textId="77777777" w:rsidR="00454A29" w:rsidRDefault="00454A29">
            <w:pPr>
              <w:pStyle w:val="ConsPlusNormal"/>
            </w:pPr>
          </w:p>
        </w:tc>
      </w:tr>
      <w:tr w:rsidR="00454A29" w14:paraId="61B9EB3A" w14:textId="77777777">
        <w:tc>
          <w:tcPr>
            <w:tcW w:w="567" w:type="dxa"/>
            <w:vMerge/>
          </w:tcPr>
          <w:p w14:paraId="36E1413C" w14:textId="77777777" w:rsidR="00454A29" w:rsidRDefault="00454A29"/>
        </w:tc>
        <w:tc>
          <w:tcPr>
            <w:tcW w:w="3345" w:type="dxa"/>
            <w:vMerge/>
          </w:tcPr>
          <w:p w14:paraId="7A90675F" w14:textId="77777777" w:rsidR="00454A29" w:rsidRDefault="00454A29"/>
        </w:tc>
        <w:tc>
          <w:tcPr>
            <w:tcW w:w="1701" w:type="dxa"/>
            <w:vAlign w:val="center"/>
          </w:tcPr>
          <w:p w14:paraId="10DA99C8" w14:textId="77777777" w:rsidR="00454A29" w:rsidRDefault="00454A29">
            <w:pPr>
              <w:pStyle w:val="ConsPlusNormal"/>
              <w:jc w:val="center"/>
            </w:pPr>
            <w:r>
              <w:t>2021</w:t>
            </w:r>
          </w:p>
        </w:tc>
        <w:tc>
          <w:tcPr>
            <w:tcW w:w="1417" w:type="dxa"/>
            <w:vMerge/>
          </w:tcPr>
          <w:p w14:paraId="2D4A4149" w14:textId="77777777" w:rsidR="00454A29" w:rsidRDefault="00454A29"/>
        </w:tc>
        <w:tc>
          <w:tcPr>
            <w:tcW w:w="2204" w:type="dxa"/>
            <w:vMerge/>
          </w:tcPr>
          <w:p w14:paraId="14B746C5" w14:textId="77777777" w:rsidR="00454A29" w:rsidRDefault="00454A29"/>
        </w:tc>
        <w:tc>
          <w:tcPr>
            <w:tcW w:w="1417" w:type="dxa"/>
            <w:vMerge/>
          </w:tcPr>
          <w:p w14:paraId="56229E59" w14:textId="77777777" w:rsidR="00454A29" w:rsidRDefault="00454A29"/>
        </w:tc>
        <w:tc>
          <w:tcPr>
            <w:tcW w:w="2324" w:type="dxa"/>
            <w:vMerge/>
          </w:tcPr>
          <w:p w14:paraId="0921B1AC" w14:textId="77777777" w:rsidR="00454A29" w:rsidRDefault="00454A29"/>
        </w:tc>
        <w:tc>
          <w:tcPr>
            <w:tcW w:w="1701" w:type="dxa"/>
            <w:vAlign w:val="center"/>
          </w:tcPr>
          <w:p w14:paraId="6CA9D831" w14:textId="77777777" w:rsidR="00454A29" w:rsidRDefault="00454A29">
            <w:pPr>
              <w:pStyle w:val="ConsPlusNormal"/>
            </w:pPr>
          </w:p>
        </w:tc>
        <w:tc>
          <w:tcPr>
            <w:tcW w:w="1814" w:type="dxa"/>
            <w:vAlign w:val="center"/>
          </w:tcPr>
          <w:p w14:paraId="4AD7BF4B" w14:textId="77777777" w:rsidR="00454A29" w:rsidRDefault="00454A29">
            <w:pPr>
              <w:pStyle w:val="ConsPlusNormal"/>
            </w:pPr>
          </w:p>
        </w:tc>
        <w:tc>
          <w:tcPr>
            <w:tcW w:w="1701" w:type="dxa"/>
            <w:vAlign w:val="center"/>
          </w:tcPr>
          <w:p w14:paraId="51D284E0" w14:textId="77777777" w:rsidR="00454A29" w:rsidRDefault="00454A29">
            <w:pPr>
              <w:pStyle w:val="ConsPlusNormal"/>
            </w:pPr>
          </w:p>
        </w:tc>
        <w:tc>
          <w:tcPr>
            <w:tcW w:w="1701" w:type="dxa"/>
            <w:vAlign w:val="center"/>
          </w:tcPr>
          <w:p w14:paraId="14405D0B" w14:textId="77777777" w:rsidR="00454A29" w:rsidRDefault="00454A29">
            <w:pPr>
              <w:pStyle w:val="ConsPlusNormal"/>
            </w:pPr>
          </w:p>
        </w:tc>
        <w:tc>
          <w:tcPr>
            <w:tcW w:w="1814" w:type="dxa"/>
            <w:vAlign w:val="center"/>
          </w:tcPr>
          <w:p w14:paraId="043E3668" w14:textId="77777777" w:rsidR="00454A29" w:rsidRDefault="00454A29">
            <w:pPr>
              <w:pStyle w:val="ConsPlusNormal"/>
            </w:pPr>
          </w:p>
        </w:tc>
      </w:tr>
      <w:tr w:rsidR="00454A29" w14:paraId="04F9C7A8" w14:textId="77777777">
        <w:tc>
          <w:tcPr>
            <w:tcW w:w="567" w:type="dxa"/>
            <w:vMerge/>
          </w:tcPr>
          <w:p w14:paraId="3481F9CC" w14:textId="77777777" w:rsidR="00454A29" w:rsidRDefault="00454A29"/>
        </w:tc>
        <w:tc>
          <w:tcPr>
            <w:tcW w:w="3345" w:type="dxa"/>
            <w:vMerge/>
          </w:tcPr>
          <w:p w14:paraId="7958C5E5" w14:textId="77777777" w:rsidR="00454A29" w:rsidRDefault="00454A29"/>
        </w:tc>
        <w:tc>
          <w:tcPr>
            <w:tcW w:w="1701" w:type="dxa"/>
            <w:vAlign w:val="center"/>
          </w:tcPr>
          <w:p w14:paraId="5DACEAA2" w14:textId="77777777" w:rsidR="00454A29" w:rsidRDefault="00454A29">
            <w:pPr>
              <w:pStyle w:val="ConsPlusNormal"/>
              <w:jc w:val="center"/>
            </w:pPr>
            <w:r>
              <w:t>2022</w:t>
            </w:r>
          </w:p>
        </w:tc>
        <w:tc>
          <w:tcPr>
            <w:tcW w:w="1417" w:type="dxa"/>
            <w:vMerge/>
          </w:tcPr>
          <w:p w14:paraId="4DB24036" w14:textId="77777777" w:rsidR="00454A29" w:rsidRDefault="00454A29"/>
        </w:tc>
        <w:tc>
          <w:tcPr>
            <w:tcW w:w="2204" w:type="dxa"/>
            <w:vMerge/>
          </w:tcPr>
          <w:p w14:paraId="4A563F05" w14:textId="77777777" w:rsidR="00454A29" w:rsidRDefault="00454A29"/>
        </w:tc>
        <w:tc>
          <w:tcPr>
            <w:tcW w:w="1417" w:type="dxa"/>
            <w:vMerge/>
          </w:tcPr>
          <w:p w14:paraId="69BC6FC4" w14:textId="77777777" w:rsidR="00454A29" w:rsidRDefault="00454A29"/>
        </w:tc>
        <w:tc>
          <w:tcPr>
            <w:tcW w:w="2324" w:type="dxa"/>
            <w:vMerge/>
          </w:tcPr>
          <w:p w14:paraId="7D18A0F2" w14:textId="77777777" w:rsidR="00454A29" w:rsidRDefault="00454A29"/>
        </w:tc>
        <w:tc>
          <w:tcPr>
            <w:tcW w:w="1701" w:type="dxa"/>
            <w:vAlign w:val="center"/>
          </w:tcPr>
          <w:p w14:paraId="34E34F96" w14:textId="77777777" w:rsidR="00454A29" w:rsidRDefault="00454A29">
            <w:pPr>
              <w:pStyle w:val="ConsPlusNormal"/>
            </w:pPr>
          </w:p>
        </w:tc>
        <w:tc>
          <w:tcPr>
            <w:tcW w:w="1814" w:type="dxa"/>
            <w:vAlign w:val="center"/>
          </w:tcPr>
          <w:p w14:paraId="0F710815" w14:textId="77777777" w:rsidR="00454A29" w:rsidRDefault="00454A29">
            <w:pPr>
              <w:pStyle w:val="ConsPlusNormal"/>
            </w:pPr>
          </w:p>
        </w:tc>
        <w:tc>
          <w:tcPr>
            <w:tcW w:w="1701" w:type="dxa"/>
            <w:vAlign w:val="center"/>
          </w:tcPr>
          <w:p w14:paraId="7E4FD841" w14:textId="77777777" w:rsidR="00454A29" w:rsidRDefault="00454A29">
            <w:pPr>
              <w:pStyle w:val="ConsPlusNormal"/>
            </w:pPr>
          </w:p>
        </w:tc>
        <w:tc>
          <w:tcPr>
            <w:tcW w:w="1701" w:type="dxa"/>
            <w:vAlign w:val="center"/>
          </w:tcPr>
          <w:p w14:paraId="58283285" w14:textId="77777777" w:rsidR="00454A29" w:rsidRDefault="00454A29">
            <w:pPr>
              <w:pStyle w:val="ConsPlusNormal"/>
            </w:pPr>
          </w:p>
        </w:tc>
        <w:tc>
          <w:tcPr>
            <w:tcW w:w="1814" w:type="dxa"/>
            <w:vAlign w:val="center"/>
          </w:tcPr>
          <w:p w14:paraId="1926EA5E" w14:textId="77777777" w:rsidR="00454A29" w:rsidRDefault="00454A29">
            <w:pPr>
              <w:pStyle w:val="ConsPlusNormal"/>
            </w:pPr>
          </w:p>
        </w:tc>
      </w:tr>
      <w:tr w:rsidR="00454A29" w14:paraId="6A19C9BC" w14:textId="77777777">
        <w:tc>
          <w:tcPr>
            <w:tcW w:w="567" w:type="dxa"/>
            <w:vMerge/>
          </w:tcPr>
          <w:p w14:paraId="7D6D31A6" w14:textId="77777777" w:rsidR="00454A29" w:rsidRDefault="00454A29"/>
        </w:tc>
        <w:tc>
          <w:tcPr>
            <w:tcW w:w="3345" w:type="dxa"/>
            <w:vMerge/>
          </w:tcPr>
          <w:p w14:paraId="6116A14B" w14:textId="77777777" w:rsidR="00454A29" w:rsidRDefault="00454A29"/>
        </w:tc>
        <w:tc>
          <w:tcPr>
            <w:tcW w:w="1701" w:type="dxa"/>
            <w:vAlign w:val="center"/>
          </w:tcPr>
          <w:p w14:paraId="3C369AFB" w14:textId="77777777" w:rsidR="00454A29" w:rsidRDefault="00454A29">
            <w:pPr>
              <w:pStyle w:val="ConsPlusNormal"/>
              <w:jc w:val="center"/>
            </w:pPr>
            <w:r>
              <w:t>2023</w:t>
            </w:r>
          </w:p>
        </w:tc>
        <w:tc>
          <w:tcPr>
            <w:tcW w:w="1417" w:type="dxa"/>
            <w:vMerge/>
          </w:tcPr>
          <w:p w14:paraId="15E455C5" w14:textId="77777777" w:rsidR="00454A29" w:rsidRDefault="00454A29"/>
        </w:tc>
        <w:tc>
          <w:tcPr>
            <w:tcW w:w="2204" w:type="dxa"/>
            <w:vMerge/>
          </w:tcPr>
          <w:p w14:paraId="73BB1E16" w14:textId="77777777" w:rsidR="00454A29" w:rsidRDefault="00454A29"/>
        </w:tc>
        <w:tc>
          <w:tcPr>
            <w:tcW w:w="1417" w:type="dxa"/>
            <w:vMerge/>
          </w:tcPr>
          <w:p w14:paraId="6C7E22AF" w14:textId="77777777" w:rsidR="00454A29" w:rsidRDefault="00454A29"/>
        </w:tc>
        <w:tc>
          <w:tcPr>
            <w:tcW w:w="2324" w:type="dxa"/>
            <w:vMerge/>
          </w:tcPr>
          <w:p w14:paraId="3E05749B" w14:textId="77777777" w:rsidR="00454A29" w:rsidRDefault="00454A29"/>
        </w:tc>
        <w:tc>
          <w:tcPr>
            <w:tcW w:w="1701" w:type="dxa"/>
            <w:vAlign w:val="center"/>
          </w:tcPr>
          <w:p w14:paraId="725740D6" w14:textId="77777777" w:rsidR="00454A29" w:rsidRDefault="00454A29">
            <w:pPr>
              <w:pStyle w:val="ConsPlusNormal"/>
            </w:pPr>
          </w:p>
        </w:tc>
        <w:tc>
          <w:tcPr>
            <w:tcW w:w="1814" w:type="dxa"/>
            <w:vAlign w:val="center"/>
          </w:tcPr>
          <w:p w14:paraId="185F4C7A" w14:textId="77777777" w:rsidR="00454A29" w:rsidRDefault="00454A29">
            <w:pPr>
              <w:pStyle w:val="ConsPlusNormal"/>
            </w:pPr>
          </w:p>
        </w:tc>
        <w:tc>
          <w:tcPr>
            <w:tcW w:w="1701" w:type="dxa"/>
            <w:vAlign w:val="center"/>
          </w:tcPr>
          <w:p w14:paraId="1B05AC2E" w14:textId="77777777" w:rsidR="00454A29" w:rsidRDefault="00454A29">
            <w:pPr>
              <w:pStyle w:val="ConsPlusNormal"/>
            </w:pPr>
          </w:p>
        </w:tc>
        <w:tc>
          <w:tcPr>
            <w:tcW w:w="1701" w:type="dxa"/>
            <w:vAlign w:val="center"/>
          </w:tcPr>
          <w:p w14:paraId="43AB1B9B" w14:textId="77777777" w:rsidR="00454A29" w:rsidRDefault="00454A29">
            <w:pPr>
              <w:pStyle w:val="ConsPlusNormal"/>
            </w:pPr>
          </w:p>
        </w:tc>
        <w:tc>
          <w:tcPr>
            <w:tcW w:w="1814" w:type="dxa"/>
            <w:vAlign w:val="center"/>
          </w:tcPr>
          <w:p w14:paraId="164EDA4F" w14:textId="77777777" w:rsidR="00454A29" w:rsidRDefault="00454A29">
            <w:pPr>
              <w:pStyle w:val="ConsPlusNormal"/>
            </w:pPr>
          </w:p>
        </w:tc>
      </w:tr>
      <w:tr w:rsidR="00454A29" w14:paraId="7941DDD0" w14:textId="77777777">
        <w:tc>
          <w:tcPr>
            <w:tcW w:w="567" w:type="dxa"/>
            <w:vMerge/>
          </w:tcPr>
          <w:p w14:paraId="7A5D249C" w14:textId="77777777" w:rsidR="00454A29" w:rsidRDefault="00454A29"/>
        </w:tc>
        <w:tc>
          <w:tcPr>
            <w:tcW w:w="3345" w:type="dxa"/>
            <w:vMerge/>
          </w:tcPr>
          <w:p w14:paraId="6252636A" w14:textId="77777777" w:rsidR="00454A29" w:rsidRDefault="00454A29"/>
        </w:tc>
        <w:tc>
          <w:tcPr>
            <w:tcW w:w="1701" w:type="dxa"/>
            <w:vAlign w:val="center"/>
          </w:tcPr>
          <w:p w14:paraId="0DBCC555" w14:textId="77777777" w:rsidR="00454A29" w:rsidRDefault="00454A29">
            <w:pPr>
              <w:pStyle w:val="ConsPlusNormal"/>
              <w:jc w:val="center"/>
            </w:pPr>
            <w:r>
              <w:t>2024</w:t>
            </w:r>
          </w:p>
        </w:tc>
        <w:tc>
          <w:tcPr>
            <w:tcW w:w="1417" w:type="dxa"/>
            <w:vMerge/>
          </w:tcPr>
          <w:p w14:paraId="1DEB0FF8" w14:textId="77777777" w:rsidR="00454A29" w:rsidRDefault="00454A29"/>
        </w:tc>
        <w:tc>
          <w:tcPr>
            <w:tcW w:w="2204" w:type="dxa"/>
            <w:vMerge/>
          </w:tcPr>
          <w:p w14:paraId="5DD05883" w14:textId="77777777" w:rsidR="00454A29" w:rsidRDefault="00454A29"/>
        </w:tc>
        <w:tc>
          <w:tcPr>
            <w:tcW w:w="1417" w:type="dxa"/>
            <w:vMerge/>
          </w:tcPr>
          <w:p w14:paraId="1CE07501" w14:textId="77777777" w:rsidR="00454A29" w:rsidRDefault="00454A29"/>
        </w:tc>
        <w:tc>
          <w:tcPr>
            <w:tcW w:w="2324" w:type="dxa"/>
            <w:vMerge/>
          </w:tcPr>
          <w:p w14:paraId="69F571EA" w14:textId="77777777" w:rsidR="00454A29" w:rsidRDefault="00454A29"/>
        </w:tc>
        <w:tc>
          <w:tcPr>
            <w:tcW w:w="1701" w:type="dxa"/>
            <w:vAlign w:val="center"/>
          </w:tcPr>
          <w:p w14:paraId="082013F3" w14:textId="77777777" w:rsidR="00454A29" w:rsidRDefault="00454A29">
            <w:pPr>
              <w:pStyle w:val="ConsPlusNormal"/>
            </w:pPr>
          </w:p>
        </w:tc>
        <w:tc>
          <w:tcPr>
            <w:tcW w:w="1814" w:type="dxa"/>
            <w:vAlign w:val="center"/>
          </w:tcPr>
          <w:p w14:paraId="51AA0102" w14:textId="77777777" w:rsidR="00454A29" w:rsidRDefault="00454A29">
            <w:pPr>
              <w:pStyle w:val="ConsPlusNormal"/>
            </w:pPr>
          </w:p>
        </w:tc>
        <w:tc>
          <w:tcPr>
            <w:tcW w:w="1701" w:type="dxa"/>
            <w:vAlign w:val="center"/>
          </w:tcPr>
          <w:p w14:paraId="01F57841" w14:textId="77777777" w:rsidR="00454A29" w:rsidRDefault="00454A29">
            <w:pPr>
              <w:pStyle w:val="ConsPlusNormal"/>
            </w:pPr>
          </w:p>
        </w:tc>
        <w:tc>
          <w:tcPr>
            <w:tcW w:w="1701" w:type="dxa"/>
            <w:vAlign w:val="center"/>
          </w:tcPr>
          <w:p w14:paraId="411316E0" w14:textId="77777777" w:rsidR="00454A29" w:rsidRDefault="00454A29">
            <w:pPr>
              <w:pStyle w:val="ConsPlusNormal"/>
            </w:pPr>
          </w:p>
        </w:tc>
        <w:tc>
          <w:tcPr>
            <w:tcW w:w="1814" w:type="dxa"/>
            <w:vAlign w:val="center"/>
          </w:tcPr>
          <w:p w14:paraId="1461713D" w14:textId="77777777" w:rsidR="00454A29" w:rsidRDefault="00454A29">
            <w:pPr>
              <w:pStyle w:val="ConsPlusNormal"/>
            </w:pPr>
          </w:p>
        </w:tc>
      </w:tr>
      <w:tr w:rsidR="00454A29" w14:paraId="393BF73B" w14:textId="77777777">
        <w:tc>
          <w:tcPr>
            <w:tcW w:w="567" w:type="dxa"/>
            <w:vMerge/>
          </w:tcPr>
          <w:p w14:paraId="6EE77EA7" w14:textId="77777777" w:rsidR="00454A29" w:rsidRDefault="00454A29"/>
        </w:tc>
        <w:tc>
          <w:tcPr>
            <w:tcW w:w="3345" w:type="dxa"/>
            <w:vMerge/>
          </w:tcPr>
          <w:p w14:paraId="41F2C3E1" w14:textId="77777777" w:rsidR="00454A29" w:rsidRDefault="00454A29"/>
        </w:tc>
        <w:tc>
          <w:tcPr>
            <w:tcW w:w="1701" w:type="dxa"/>
            <w:vAlign w:val="center"/>
          </w:tcPr>
          <w:p w14:paraId="19516848" w14:textId="77777777" w:rsidR="00454A29" w:rsidRDefault="00454A29">
            <w:pPr>
              <w:pStyle w:val="ConsPlusNormal"/>
              <w:jc w:val="center"/>
            </w:pPr>
            <w:r>
              <w:t>2025</w:t>
            </w:r>
          </w:p>
        </w:tc>
        <w:tc>
          <w:tcPr>
            <w:tcW w:w="1417" w:type="dxa"/>
            <w:vMerge/>
          </w:tcPr>
          <w:p w14:paraId="631A47F4" w14:textId="77777777" w:rsidR="00454A29" w:rsidRDefault="00454A29"/>
        </w:tc>
        <w:tc>
          <w:tcPr>
            <w:tcW w:w="2204" w:type="dxa"/>
            <w:vMerge/>
          </w:tcPr>
          <w:p w14:paraId="02474585" w14:textId="77777777" w:rsidR="00454A29" w:rsidRDefault="00454A29"/>
        </w:tc>
        <w:tc>
          <w:tcPr>
            <w:tcW w:w="1417" w:type="dxa"/>
            <w:vMerge/>
          </w:tcPr>
          <w:p w14:paraId="0342A5AF" w14:textId="77777777" w:rsidR="00454A29" w:rsidRDefault="00454A29"/>
        </w:tc>
        <w:tc>
          <w:tcPr>
            <w:tcW w:w="2324" w:type="dxa"/>
            <w:vMerge/>
          </w:tcPr>
          <w:p w14:paraId="2EDADE0E" w14:textId="77777777" w:rsidR="00454A29" w:rsidRDefault="00454A29"/>
        </w:tc>
        <w:tc>
          <w:tcPr>
            <w:tcW w:w="1701" w:type="dxa"/>
            <w:vAlign w:val="center"/>
          </w:tcPr>
          <w:p w14:paraId="1D858165" w14:textId="77777777" w:rsidR="00454A29" w:rsidRDefault="00454A29">
            <w:pPr>
              <w:pStyle w:val="ConsPlusNormal"/>
            </w:pPr>
          </w:p>
        </w:tc>
        <w:tc>
          <w:tcPr>
            <w:tcW w:w="1814" w:type="dxa"/>
            <w:vAlign w:val="center"/>
          </w:tcPr>
          <w:p w14:paraId="25C1C860" w14:textId="77777777" w:rsidR="00454A29" w:rsidRDefault="00454A29">
            <w:pPr>
              <w:pStyle w:val="ConsPlusNormal"/>
            </w:pPr>
          </w:p>
        </w:tc>
        <w:tc>
          <w:tcPr>
            <w:tcW w:w="1701" w:type="dxa"/>
            <w:vAlign w:val="center"/>
          </w:tcPr>
          <w:p w14:paraId="1630C5B2" w14:textId="77777777" w:rsidR="00454A29" w:rsidRDefault="00454A29">
            <w:pPr>
              <w:pStyle w:val="ConsPlusNormal"/>
            </w:pPr>
          </w:p>
        </w:tc>
        <w:tc>
          <w:tcPr>
            <w:tcW w:w="1701" w:type="dxa"/>
            <w:vAlign w:val="center"/>
          </w:tcPr>
          <w:p w14:paraId="681D07B1" w14:textId="77777777" w:rsidR="00454A29" w:rsidRDefault="00454A29">
            <w:pPr>
              <w:pStyle w:val="ConsPlusNormal"/>
            </w:pPr>
          </w:p>
        </w:tc>
        <w:tc>
          <w:tcPr>
            <w:tcW w:w="1814" w:type="dxa"/>
            <w:vAlign w:val="center"/>
          </w:tcPr>
          <w:p w14:paraId="3CBCFCD3" w14:textId="77777777" w:rsidR="00454A29" w:rsidRDefault="00454A29">
            <w:pPr>
              <w:pStyle w:val="ConsPlusNormal"/>
            </w:pPr>
          </w:p>
        </w:tc>
      </w:tr>
      <w:tr w:rsidR="00454A29" w14:paraId="7A925592" w14:textId="77777777">
        <w:tc>
          <w:tcPr>
            <w:tcW w:w="567" w:type="dxa"/>
            <w:vMerge/>
          </w:tcPr>
          <w:p w14:paraId="4C885E56" w14:textId="77777777" w:rsidR="00454A29" w:rsidRDefault="00454A29"/>
        </w:tc>
        <w:tc>
          <w:tcPr>
            <w:tcW w:w="3345" w:type="dxa"/>
            <w:vMerge/>
          </w:tcPr>
          <w:p w14:paraId="2697E328" w14:textId="77777777" w:rsidR="00454A29" w:rsidRDefault="00454A29"/>
        </w:tc>
        <w:tc>
          <w:tcPr>
            <w:tcW w:w="1701" w:type="dxa"/>
            <w:vAlign w:val="center"/>
          </w:tcPr>
          <w:p w14:paraId="2BF24E2C" w14:textId="77777777" w:rsidR="00454A29" w:rsidRDefault="00454A29">
            <w:pPr>
              <w:pStyle w:val="ConsPlusNormal"/>
              <w:jc w:val="center"/>
            </w:pPr>
            <w:r>
              <w:t>2026</w:t>
            </w:r>
          </w:p>
        </w:tc>
        <w:tc>
          <w:tcPr>
            <w:tcW w:w="1417" w:type="dxa"/>
            <w:vMerge/>
          </w:tcPr>
          <w:p w14:paraId="09ADC342" w14:textId="77777777" w:rsidR="00454A29" w:rsidRDefault="00454A29"/>
        </w:tc>
        <w:tc>
          <w:tcPr>
            <w:tcW w:w="2204" w:type="dxa"/>
            <w:vMerge/>
          </w:tcPr>
          <w:p w14:paraId="6A286336" w14:textId="77777777" w:rsidR="00454A29" w:rsidRDefault="00454A29"/>
        </w:tc>
        <w:tc>
          <w:tcPr>
            <w:tcW w:w="1417" w:type="dxa"/>
            <w:vMerge/>
          </w:tcPr>
          <w:p w14:paraId="2A72FD37" w14:textId="77777777" w:rsidR="00454A29" w:rsidRDefault="00454A29"/>
        </w:tc>
        <w:tc>
          <w:tcPr>
            <w:tcW w:w="2324" w:type="dxa"/>
            <w:vMerge/>
          </w:tcPr>
          <w:p w14:paraId="1868DE5B" w14:textId="77777777" w:rsidR="00454A29" w:rsidRDefault="00454A29"/>
        </w:tc>
        <w:tc>
          <w:tcPr>
            <w:tcW w:w="1701" w:type="dxa"/>
            <w:vAlign w:val="center"/>
          </w:tcPr>
          <w:p w14:paraId="0A270574" w14:textId="77777777" w:rsidR="00454A29" w:rsidRDefault="00454A29">
            <w:pPr>
              <w:pStyle w:val="ConsPlusNormal"/>
              <w:jc w:val="center"/>
            </w:pPr>
            <w:r>
              <w:t>183 912,26</w:t>
            </w:r>
          </w:p>
        </w:tc>
        <w:tc>
          <w:tcPr>
            <w:tcW w:w="1814" w:type="dxa"/>
            <w:vAlign w:val="center"/>
          </w:tcPr>
          <w:p w14:paraId="1608F60E" w14:textId="77777777" w:rsidR="00454A29" w:rsidRDefault="00454A29">
            <w:pPr>
              <w:pStyle w:val="ConsPlusNormal"/>
              <w:jc w:val="center"/>
            </w:pPr>
            <w:r>
              <w:t>2 265,80</w:t>
            </w:r>
          </w:p>
        </w:tc>
        <w:tc>
          <w:tcPr>
            <w:tcW w:w="1701" w:type="dxa"/>
            <w:vAlign w:val="center"/>
          </w:tcPr>
          <w:p w14:paraId="70D4326D" w14:textId="77777777" w:rsidR="00454A29" w:rsidRDefault="00454A29">
            <w:pPr>
              <w:pStyle w:val="ConsPlusNormal"/>
              <w:jc w:val="center"/>
            </w:pPr>
            <w:r>
              <w:t>224 314,11</w:t>
            </w:r>
          </w:p>
        </w:tc>
        <w:tc>
          <w:tcPr>
            <w:tcW w:w="1701" w:type="dxa"/>
            <w:vAlign w:val="center"/>
          </w:tcPr>
          <w:p w14:paraId="179F7A68" w14:textId="77777777" w:rsidR="00454A29" w:rsidRDefault="00454A29">
            <w:pPr>
              <w:pStyle w:val="ConsPlusNormal"/>
            </w:pPr>
          </w:p>
        </w:tc>
        <w:tc>
          <w:tcPr>
            <w:tcW w:w="1814" w:type="dxa"/>
            <w:vAlign w:val="center"/>
          </w:tcPr>
          <w:p w14:paraId="5C27B688" w14:textId="77777777" w:rsidR="00454A29" w:rsidRDefault="00454A29">
            <w:pPr>
              <w:pStyle w:val="ConsPlusNormal"/>
            </w:pPr>
          </w:p>
        </w:tc>
      </w:tr>
      <w:tr w:rsidR="00454A29" w14:paraId="4719AE37" w14:textId="77777777">
        <w:tc>
          <w:tcPr>
            <w:tcW w:w="567" w:type="dxa"/>
            <w:vMerge w:val="restart"/>
            <w:vAlign w:val="center"/>
          </w:tcPr>
          <w:p w14:paraId="5AE9BDE5" w14:textId="77777777" w:rsidR="00454A29" w:rsidRDefault="00454A29">
            <w:pPr>
              <w:pStyle w:val="ConsPlusNormal"/>
              <w:jc w:val="center"/>
            </w:pPr>
            <w:r>
              <w:t>7</w:t>
            </w:r>
          </w:p>
        </w:tc>
        <w:tc>
          <w:tcPr>
            <w:tcW w:w="3345" w:type="dxa"/>
            <w:vMerge w:val="restart"/>
            <w:vAlign w:val="center"/>
          </w:tcPr>
          <w:p w14:paraId="5426DDC5" w14:textId="77777777" w:rsidR="00454A29" w:rsidRDefault="00454A29">
            <w:pPr>
              <w:pStyle w:val="ConsPlusNormal"/>
              <w:jc w:val="center"/>
            </w:pPr>
            <w:r>
              <w:t>Школа-сад на 10/10 мест в с. Якокит</w:t>
            </w:r>
          </w:p>
        </w:tc>
        <w:tc>
          <w:tcPr>
            <w:tcW w:w="1701" w:type="dxa"/>
            <w:vAlign w:val="center"/>
          </w:tcPr>
          <w:p w14:paraId="7216B7C3" w14:textId="77777777" w:rsidR="00454A29" w:rsidRDefault="00454A29">
            <w:pPr>
              <w:pStyle w:val="ConsPlusNormal"/>
              <w:jc w:val="center"/>
            </w:pPr>
            <w:r>
              <w:t>2020 - 2026 годы - всего</w:t>
            </w:r>
          </w:p>
        </w:tc>
        <w:tc>
          <w:tcPr>
            <w:tcW w:w="1417" w:type="dxa"/>
            <w:vMerge w:val="restart"/>
            <w:vAlign w:val="center"/>
          </w:tcPr>
          <w:p w14:paraId="6C94B4F0" w14:textId="77777777" w:rsidR="00454A29" w:rsidRDefault="00454A29">
            <w:pPr>
              <w:pStyle w:val="ConsPlusNormal"/>
              <w:jc w:val="center"/>
            </w:pPr>
            <w:r>
              <w:t>-</w:t>
            </w:r>
          </w:p>
        </w:tc>
        <w:tc>
          <w:tcPr>
            <w:tcW w:w="2204" w:type="dxa"/>
            <w:vMerge w:val="restart"/>
            <w:vAlign w:val="center"/>
          </w:tcPr>
          <w:p w14:paraId="1FEE5A31" w14:textId="77777777" w:rsidR="00454A29" w:rsidRDefault="00454A29">
            <w:pPr>
              <w:pStyle w:val="ConsPlusNormal"/>
            </w:pPr>
          </w:p>
        </w:tc>
        <w:tc>
          <w:tcPr>
            <w:tcW w:w="1417" w:type="dxa"/>
            <w:vMerge w:val="restart"/>
            <w:vAlign w:val="center"/>
          </w:tcPr>
          <w:p w14:paraId="1606DF26" w14:textId="77777777" w:rsidR="00454A29" w:rsidRDefault="00454A29">
            <w:pPr>
              <w:pStyle w:val="ConsPlusNormal"/>
              <w:jc w:val="center"/>
            </w:pPr>
            <w:r>
              <w:t>10</w:t>
            </w:r>
          </w:p>
        </w:tc>
        <w:tc>
          <w:tcPr>
            <w:tcW w:w="2324" w:type="dxa"/>
            <w:vMerge w:val="restart"/>
            <w:vAlign w:val="center"/>
          </w:tcPr>
          <w:p w14:paraId="20AB640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A288B33" w14:textId="77777777" w:rsidR="00454A29" w:rsidRDefault="00454A29">
            <w:pPr>
              <w:pStyle w:val="ConsPlusNormal"/>
              <w:jc w:val="center"/>
            </w:pPr>
            <w:r>
              <w:t>36 782,45</w:t>
            </w:r>
          </w:p>
        </w:tc>
        <w:tc>
          <w:tcPr>
            <w:tcW w:w="1814" w:type="dxa"/>
            <w:vAlign w:val="center"/>
          </w:tcPr>
          <w:p w14:paraId="307101A3" w14:textId="77777777" w:rsidR="00454A29" w:rsidRDefault="00454A29">
            <w:pPr>
              <w:pStyle w:val="ConsPlusNormal"/>
              <w:jc w:val="center"/>
            </w:pPr>
            <w:r>
              <w:t>453,16</w:t>
            </w:r>
          </w:p>
        </w:tc>
        <w:tc>
          <w:tcPr>
            <w:tcW w:w="1701" w:type="dxa"/>
            <w:vAlign w:val="center"/>
          </w:tcPr>
          <w:p w14:paraId="7A58A972" w14:textId="77777777" w:rsidR="00454A29" w:rsidRDefault="00454A29">
            <w:pPr>
              <w:pStyle w:val="ConsPlusNormal"/>
              <w:jc w:val="center"/>
            </w:pPr>
            <w:r>
              <w:t>44 862,82</w:t>
            </w:r>
          </w:p>
        </w:tc>
        <w:tc>
          <w:tcPr>
            <w:tcW w:w="1701" w:type="dxa"/>
            <w:vAlign w:val="center"/>
          </w:tcPr>
          <w:p w14:paraId="36697572" w14:textId="77777777" w:rsidR="00454A29" w:rsidRDefault="00454A29">
            <w:pPr>
              <w:pStyle w:val="ConsPlusNormal"/>
              <w:jc w:val="center"/>
            </w:pPr>
            <w:r>
              <w:t>-</w:t>
            </w:r>
          </w:p>
        </w:tc>
        <w:tc>
          <w:tcPr>
            <w:tcW w:w="1814" w:type="dxa"/>
            <w:vAlign w:val="center"/>
          </w:tcPr>
          <w:p w14:paraId="06CB7A26" w14:textId="77777777" w:rsidR="00454A29" w:rsidRDefault="00454A29">
            <w:pPr>
              <w:pStyle w:val="ConsPlusNormal"/>
              <w:jc w:val="center"/>
            </w:pPr>
            <w:r>
              <w:t>-</w:t>
            </w:r>
          </w:p>
        </w:tc>
      </w:tr>
      <w:tr w:rsidR="00454A29" w14:paraId="19926DF7" w14:textId="77777777">
        <w:tc>
          <w:tcPr>
            <w:tcW w:w="567" w:type="dxa"/>
            <w:vMerge/>
          </w:tcPr>
          <w:p w14:paraId="3F3D467A" w14:textId="77777777" w:rsidR="00454A29" w:rsidRDefault="00454A29"/>
        </w:tc>
        <w:tc>
          <w:tcPr>
            <w:tcW w:w="3345" w:type="dxa"/>
            <w:vMerge/>
          </w:tcPr>
          <w:p w14:paraId="2CC58FA3" w14:textId="77777777" w:rsidR="00454A29" w:rsidRDefault="00454A29"/>
        </w:tc>
        <w:tc>
          <w:tcPr>
            <w:tcW w:w="1701" w:type="dxa"/>
            <w:vAlign w:val="center"/>
          </w:tcPr>
          <w:p w14:paraId="32242779" w14:textId="77777777" w:rsidR="00454A29" w:rsidRDefault="00454A29">
            <w:pPr>
              <w:pStyle w:val="ConsPlusNormal"/>
              <w:jc w:val="center"/>
            </w:pPr>
            <w:r>
              <w:t>2020</w:t>
            </w:r>
          </w:p>
        </w:tc>
        <w:tc>
          <w:tcPr>
            <w:tcW w:w="1417" w:type="dxa"/>
            <w:vMerge/>
          </w:tcPr>
          <w:p w14:paraId="300B1CD5" w14:textId="77777777" w:rsidR="00454A29" w:rsidRDefault="00454A29"/>
        </w:tc>
        <w:tc>
          <w:tcPr>
            <w:tcW w:w="2204" w:type="dxa"/>
            <w:vMerge/>
          </w:tcPr>
          <w:p w14:paraId="355DE2FC" w14:textId="77777777" w:rsidR="00454A29" w:rsidRDefault="00454A29"/>
        </w:tc>
        <w:tc>
          <w:tcPr>
            <w:tcW w:w="1417" w:type="dxa"/>
            <w:vMerge/>
          </w:tcPr>
          <w:p w14:paraId="6DD99B96" w14:textId="77777777" w:rsidR="00454A29" w:rsidRDefault="00454A29"/>
        </w:tc>
        <w:tc>
          <w:tcPr>
            <w:tcW w:w="2324" w:type="dxa"/>
            <w:vMerge/>
          </w:tcPr>
          <w:p w14:paraId="5032B29E" w14:textId="77777777" w:rsidR="00454A29" w:rsidRDefault="00454A29"/>
        </w:tc>
        <w:tc>
          <w:tcPr>
            <w:tcW w:w="1701" w:type="dxa"/>
            <w:vAlign w:val="center"/>
          </w:tcPr>
          <w:p w14:paraId="43FB2B3E" w14:textId="77777777" w:rsidR="00454A29" w:rsidRDefault="00454A29">
            <w:pPr>
              <w:pStyle w:val="ConsPlusNormal"/>
            </w:pPr>
          </w:p>
        </w:tc>
        <w:tc>
          <w:tcPr>
            <w:tcW w:w="1814" w:type="dxa"/>
            <w:vAlign w:val="center"/>
          </w:tcPr>
          <w:p w14:paraId="15B6CD2E" w14:textId="77777777" w:rsidR="00454A29" w:rsidRDefault="00454A29">
            <w:pPr>
              <w:pStyle w:val="ConsPlusNormal"/>
            </w:pPr>
          </w:p>
        </w:tc>
        <w:tc>
          <w:tcPr>
            <w:tcW w:w="1701" w:type="dxa"/>
            <w:vAlign w:val="center"/>
          </w:tcPr>
          <w:p w14:paraId="20EA2784" w14:textId="77777777" w:rsidR="00454A29" w:rsidRDefault="00454A29">
            <w:pPr>
              <w:pStyle w:val="ConsPlusNormal"/>
            </w:pPr>
          </w:p>
        </w:tc>
        <w:tc>
          <w:tcPr>
            <w:tcW w:w="1701" w:type="dxa"/>
            <w:vAlign w:val="center"/>
          </w:tcPr>
          <w:p w14:paraId="51FAC992" w14:textId="77777777" w:rsidR="00454A29" w:rsidRDefault="00454A29">
            <w:pPr>
              <w:pStyle w:val="ConsPlusNormal"/>
            </w:pPr>
          </w:p>
        </w:tc>
        <w:tc>
          <w:tcPr>
            <w:tcW w:w="1814" w:type="dxa"/>
            <w:vAlign w:val="center"/>
          </w:tcPr>
          <w:p w14:paraId="1D13BEFB" w14:textId="77777777" w:rsidR="00454A29" w:rsidRDefault="00454A29">
            <w:pPr>
              <w:pStyle w:val="ConsPlusNormal"/>
            </w:pPr>
          </w:p>
        </w:tc>
      </w:tr>
      <w:tr w:rsidR="00454A29" w14:paraId="4C1B4BD0" w14:textId="77777777">
        <w:tc>
          <w:tcPr>
            <w:tcW w:w="567" w:type="dxa"/>
            <w:vMerge/>
          </w:tcPr>
          <w:p w14:paraId="21915AD9" w14:textId="77777777" w:rsidR="00454A29" w:rsidRDefault="00454A29"/>
        </w:tc>
        <w:tc>
          <w:tcPr>
            <w:tcW w:w="3345" w:type="dxa"/>
            <w:vMerge/>
          </w:tcPr>
          <w:p w14:paraId="6057008F" w14:textId="77777777" w:rsidR="00454A29" w:rsidRDefault="00454A29"/>
        </w:tc>
        <w:tc>
          <w:tcPr>
            <w:tcW w:w="1701" w:type="dxa"/>
            <w:vAlign w:val="center"/>
          </w:tcPr>
          <w:p w14:paraId="04BD63F7" w14:textId="77777777" w:rsidR="00454A29" w:rsidRDefault="00454A29">
            <w:pPr>
              <w:pStyle w:val="ConsPlusNormal"/>
              <w:jc w:val="center"/>
            </w:pPr>
            <w:r>
              <w:t>2021</w:t>
            </w:r>
          </w:p>
        </w:tc>
        <w:tc>
          <w:tcPr>
            <w:tcW w:w="1417" w:type="dxa"/>
            <w:vMerge/>
          </w:tcPr>
          <w:p w14:paraId="70B0B16D" w14:textId="77777777" w:rsidR="00454A29" w:rsidRDefault="00454A29"/>
        </w:tc>
        <w:tc>
          <w:tcPr>
            <w:tcW w:w="2204" w:type="dxa"/>
            <w:vMerge/>
          </w:tcPr>
          <w:p w14:paraId="4593935D" w14:textId="77777777" w:rsidR="00454A29" w:rsidRDefault="00454A29"/>
        </w:tc>
        <w:tc>
          <w:tcPr>
            <w:tcW w:w="1417" w:type="dxa"/>
            <w:vMerge/>
          </w:tcPr>
          <w:p w14:paraId="49893EDC" w14:textId="77777777" w:rsidR="00454A29" w:rsidRDefault="00454A29"/>
        </w:tc>
        <w:tc>
          <w:tcPr>
            <w:tcW w:w="2324" w:type="dxa"/>
            <w:vMerge/>
          </w:tcPr>
          <w:p w14:paraId="313D633A" w14:textId="77777777" w:rsidR="00454A29" w:rsidRDefault="00454A29"/>
        </w:tc>
        <w:tc>
          <w:tcPr>
            <w:tcW w:w="1701" w:type="dxa"/>
            <w:vAlign w:val="center"/>
          </w:tcPr>
          <w:p w14:paraId="1B1471BA" w14:textId="77777777" w:rsidR="00454A29" w:rsidRDefault="00454A29">
            <w:pPr>
              <w:pStyle w:val="ConsPlusNormal"/>
            </w:pPr>
          </w:p>
        </w:tc>
        <w:tc>
          <w:tcPr>
            <w:tcW w:w="1814" w:type="dxa"/>
            <w:vAlign w:val="center"/>
          </w:tcPr>
          <w:p w14:paraId="7A5BB53F" w14:textId="77777777" w:rsidR="00454A29" w:rsidRDefault="00454A29">
            <w:pPr>
              <w:pStyle w:val="ConsPlusNormal"/>
            </w:pPr>
          </w:p>
        </w:tc>
        <w:tc>
          <w:tcPr>
            <w:tcW w:w="1701" w:type="dxa"/>
            <w:vAlign w:val="center"/>
          </w:tcPr>
          <w:p w14:paraId="2B45396F" w14:textId="77777777" w:rsidR="00454A29" w:rsidRDefault="00454A29">
            <w:pPr>
              <w:pStyle w:val="ConsPlusNormal"/>
            </w:pPr>
          </w:p>
        </w:tc>
        <w:tc>
          <w:tcPr>
            <w:tcW w:w="1701" w:type="dxa"/>
            <w:vAlign w:val="center"/>
          </w:tcPr>
          <w:p w14:paraId="19B9216E" w14:textId="77777777" w:rsidR="00454A29" w:rsidRDefault="00454A29">
            <w:pPr>
              <w:pStyle w:val="ConsPlusNormal"/>
            </w:pPr>
          </w:p>
        </w:tc>
        <w:tc>
          <w:tcPr>
            <w:tcW w:w="1814" w:type="dxa"/>
            <w:vAlign w:val="center"/>
          </w:tcPr>
          <w:p w14:paraId="6E444516" w14:textId="77777777" w:rsidR="00454A29" w:rsidRDefault="00454A29">
            <w:pPr>
              <w:pStyle w:val="ConsPlusNormal"/>
            </w:pPr>
          </w:p>
        </w:tc>
      </w:tr>
      <w:tr w:rsidR="00454A29" w14:paraId="0FB3D3A1" w14:textId="77777777">
        <w:tc>
          <w:tcPr>
            <w:tcW w:w="567" w:type="dxa"/>
            <w:vMerge/>
          </w:tcPr>
          <w:p w14:paraId="4E3836EA" w14:textId="77777777" w:rsidR="00454A29" w:rsidRDefault="00454A29"/>
        </w:tc>
        <w:tc>
          <w:tcPr>
            <w:tcW w:w="3345" w:type="dxa"/>
            <w:vMerge/>
          </w:tcPr>
          <w:p w14:paraId="5D9F8C5E" w14:textId="77777777" w:rsidR="00454A29" w:rsidRDefault="00454A29"/>
        </w:tc>
        <w:tc>
          <w:tcPr>
            <w:tcW w:w="1701" w:type="dxa"/>
            <w:vAlign w:val="center"/>
          </w:tcPr>
          <w:p w14:paraId="4CD8D86D" w14:textId="77777777" w:rsidR="00454A29" w:rsidRDefault="00454A29">
            <w:pPr>
              <w:pStyle w:val="ConsPlusNormal"/>
              <w:jc w:val="center"/>
            </w:pPr>
            <w:r>
              <w:t>2022</w:t>
            </w:r>
          </w:p>
        </w:tc>
        <w:tc>
          <w:tcPr>
            <w:tcW w:w="1417" w:type="dxa"/>
            <w:vMerge/>
          </w:tcPr>
          <w:p w14:paraId="35F3A51D" w14:textId="77777777" w:rsidR="00454A29" w:rsidRDefault="00454A29"/>
        </w:tc>
        <w:tc>
          <w:tcPr>
            <w:tcW w:w="2204" w:type="dxa"/>
            <w:vMerge/>
          </w:tcPr>
          <w:p w14:paraId="5F12295E" w14:textId="77777777" w:rsidR="00454A29" w:rsidRDefault="00454A29"/>
        </w:tc>
        <w:tc>
          <w:tcPr>
            <w:tcW w:w="1417" w:type="dxa"/>
            <w:vMerge/>
          </w:tcPr>
          <w:p w14:paraId="56C9E133" w14:textId="77777777" w:rsidR="00454A29" w:rsidRDefault="00454A29"/>
        </w:tc>
        <w:tc>
          <w:tcPr>
            <w:tcW w:w="2324" w:type="dxa"/>
            <w:vMerge/>
          </w:tcPr>
          <w:p w14:paraId="19D14A81" w14:textId="77777777" w:rsidR="00454A29" w:rsidRDefault="00454A29"/>
        </w:tc>
        <w:tc>
          <w:tcPr>
            <w:tcW w:w="1701" w:type="dxa"/>
            <w:vAlign w:val="center"/>
          </w:tcPr>
          <w:p w14:paraId="0D23FCB3" w14:textId="77777777" w:rsidR="00454A29" w:rsidRDefault="00454A29">
            <w:pPr>
              <w:pStyle w:val="ConsPlusNormal"/>
            </w:pPr>
          </w:p>
        </w:tc>
        <w:tc>
          <w:tcPr>
            <w:tcW w:w="1814" w:type="dxa"/>
            <w:vAlign w:val="center"/>
          </w:tcPr>
          <w:p w14:paraId="38A21D98" w14:textId="77777777" w:rsidR="00454A29" w:rsidRDefault="00454A29">
            <w:pPr>
              <w:pStyle w:val="ConsPlusNormal"/>
            </w:pPr>
          </w:p>
        </w:tc>
        <w:tc>
          <w:tcPr>
            <w:tcW w:w="1701" w:type="dxa"/>
            <w:vAlign w:val="center"/>
          </w:tcPr>
          <w:p w14:paraId="3E561D65" w14:textId="77777777" w:rsidR="00454A29" w:rsidRDefault="00454A29">
            <w:pPr>
              <w:pStyle w:val="ConsPlusNormal"/>
            </w:pPr>
          </w:p>
        </w:tc>
        <w:tc>
          <w:tcPr>
            <w:tcW w:w="1701" w:type="dxa"/>
            <w:vAlign w:val="center"/>
          </w:tcPr>
          <w:p w14:paraId="08B288FB" w14:textId="77777777" w:rsidR="00454A29" w:rsidRDefault="00454A29">
            <w:pPr>
              <w:pStyle w:val="ConsPlusNormal"/>
            </w:pPr>
          </w:p>
        </w:tc>
        <w:tc>
          <w:tcPr>
            <w:tcW w:w="1814" w:type="dxa"/>
            <w:vAlign w:val="center"/>
          </w:tcPr>
          <w:p w14:paraId="443DBE21" w14:textId="77777777" w:rsidR="00454A29" w:rsidRDefault="00454A29">
            <w:pPr>
              <w:pStyle w:val="ConsPlusNormal"/>
            </w:pPr>
          </w:p>
        </w:tc>
      </w:tr>
      <w:tr w:rsidR="00454A29" w14:paraId="59E71608" w14:textId="77777777">
        <w:tc>
          <w:tcPr>
            <w:tcW w:w="567" w:type="dxa"/>
            <w:vMerge/>
          </w:tcPr>
          <w:p w14:paraId="00CA8096" w14:textId="77777777" w:rsidR="00454A29" w:rsidRDefault="00454A29"/>
        </w:tc>
        <w:tc>
          <w:tcPr>
            <w:tcW w:w="3345" w:type="dxa"/>
            <w:vMerge/>
          </w:tcPr>
          <w:p w14:paraId="73B3BDB3" w14:textId="77777777" w:rsidR="00454A29" w:rsidRDefault="00454A29"/>
        </w:tc>
        <w:tc>
          <w:tcPr>
            <w:tcW w:w="1701" w:type="dxa"/>
            <w:vAlign w:val="center"/>
          </w:tcPr>
          <w:p w14:paraId="5181799C" w14:textId="77777777" w:rsidR="00454A29" w:rsidRDefault="00454A29">
            <w:pPr>
              <w:pStyle w:val="ConsPlusNormal"/>
              <w:jc w:val="center"/>
            </w:pPr>
            <w:r>
              <w:t>2023</w:t>
            </w:r>
          </w:p>
        </w:tc>
        <w:tc>
          <w:tcPr>
            <w:tcW w:w="1417" w:type="dxa"/>
            <w:vMerge/>
          </w:tcPr>
          <w:p w14:paraId="6F23252B" w14:textId="77777777" w:rsidR="00454A29" w:rsidRDefault="00454A29"/>
        </w:tc>
        <w:tc>
          <w:tcPr>
            <w:tcW w:w="2204" w:type="dxa"/>
            <w:vMerge/>
          </w:tcPr>
          <w:p w14:paraId="3255D81C" w14:textId="77777777" w:rsidR="00454A29" w:rsidRDefault="00454A29"/>
        </w:tc>
        <w:tc>
          <w:tcPr>
            <w:tcW w:w="1417" w:type="dxa"/>
            <w:vMerge/>
          </w:tcPr>
          <w:p w14:paraId="22507CD2" w14:textId="77777777" w:rsidR="00454A29" w:rsidRDefault="00454A29"/>
        </w:tc>
        <w:tc>
          <w:tcPr>
            <w:tcW w:w="2324" w:type="dxa"/>
            <w:vMerge/>
          </w:tcPr>
          <w:p w14:paraId="04D1452E" w14:textId="77777777" w:rsidR="00454A29" w:rsidRDefault="00454A29"/>
        </w:tc>
        <w:tc>
          <w:tcPr>
            <w:tcW w:w="1701" w:type="dxa"/>
            <w:vAlign w:val="center"/>
          </w:tcPr>
          <w:p w14:paraId="6B57B4B9" w14:textId="77777777" w:rsidR="00454A29" w:rsidRDefault="00454A29">
            <w:pPr>
              <w:pStyle w:val="ConsPlusNormal"/>
            </w:pPr>
          </w:p>
        </w:tc>
        <w:tc>
          <w:tcPr>
            <w:tcW w:w="1814" w:type="dxa"/>
            <w:vAlign w:val="center"/>
          </w:tcPr>
          <w:p w14:paraId="1EBD1432" w14:textId="77777777" w:rsidR="00454A29" w:rsidRDefault="00454A29">
            <w:pPr>
              <w:pStyle w:val="ConsPlusNormal"/>
            </w:pPr>
          </w:p>
        </w:tc>
        <w:tc>
          <w:tcPr>
            <w:tcW w:w="1701" w:type="dxa"/>
            <w:vAlign w:val="center"/>
          </w:tcPr>
          <w:p w14:paraId="56BC86B9" w14:textId="77777777" w:rsidR="00454A29" w:rsidRDefault="00454A29">
            <w:pPr>
              <w:pStyle w:val="ConsPlusNormal"/>
            </w:pPr>
          </w:p>
        </w:tc>
        <w:tc>
          <w:tcPr>
            <w:tcW w:w="1701" w:type="dxa"/>
            <w:vAlign w:val="center"/>
          </w:tcPr>
          <w:p w14:paraId="198948C4" w14:textId="77777777" w:rsidR="00454A29" w:rsidRDefault="00454A29">
            <w:pPr>
              <w:pStyle w:val="ConsPlusNormal"/>
            </w:pPr>
          </w:p>
        </w:tc>
        <w:tc>
          <w:tcPr>
            <w:tcW w:w="1814" w:type="dxa"/>
            <w:vAlign w:val="center"/>
          </w:tcPr>
          <w:p w14:paraId="42B94DB6" w14:textId="77777777" w:rsidR="00454A29" w:rsidRDefault="00454A29">
            <w:pPr>
              <w:pStyle w:val="ConsPlusNormal"/>
            </w:pPr>
          </w:p>
        </w:tc>
      </w:tr>
      <w:tr w:rsidR="00454A29" w14:paraId="752212D2" w14:textId="77777777">
        <w:tc>
          <w:tcPr>
            <w:tcW w:w="567" w:type="dxa"/>
            <w:vMerge/>
          </w:tcPr>
          <w:p w14:paraId="114525B9" w14:textId="77777777" w:rsidR="00454A29" w:rsidRDefault="00454A29"/>
        </w:tc>
        <w:tc>
          <w:tcPr>
            <w:tcW w:w="3345" w:type="dxa"/>
            <w:vMerge/>
          </w:tcPr>
          <w:p w14:paraId="24C4E481" w14:textId="77777777" w:rsidR="00454A29" w:rsidRDefault="00454A29"/>
        </w:tc>
        <w:tc>
          <w:tcPr>
            <w:tcW w:w="1701" w:type="dxa"/>
            <w:vAlign w:val="center"/>
          </w:tcPr>
          <w:p w14:paraId="307EE87B" w14:textId="77777777" w:rsidR="00454A29" w:rsidRDefault="00454A29">
            <w:pPr>
              <w:pStyle w:val="ConsPlusNormal"/>
              <w:jc w:val="center"/>
            </w:pPr>
            <w:r>
              <w:t>2024</w:t>
            </w:r>
          </w:p>
        </w:tc>
        <w:tc>
          <w:tcPr>
            <w:tcW w:w="1417" w:type="dxa"/>
            <w:vMerge/>
          </w:tcPr>
          <w:p w14:paraId="0FA97254" w14:textId="77777777" w:rsidR="00454A29" w:rsidRDefault="00454A29"/>
        </w:tc>
        <w:tc>
          <w:tcPr>
            <w:tcW w:w="2204" w:type="dxa"/>
            <w:vMerge/>
          </w:tcPr>
          <w:p w14:paraId="7293CA78" w14:textId="77777777" w:rsidR="00454A29" w:rsidRDefault="00454A29"/>
        </w:tc>
        <w:tc>
          <w:tcPr>
            <w:tcW w:w="1417" w:type="dxa"/>
            <w:vMerge/>
          </w:tcPr>
          <w:p w14:paraId="2ACB4226" w14:textId="77777777" w:rsidR="00454A29" w:rsidRDefault="00454A29"/>
        </w:tc>
        <w:tc>
          <w:tcPr>
            <w:tcW w:w="2324" w:type="dxa"/>
            <w:vMerge/>
          </w:tcPr>
          <w:p w14:paraId="52B57CA7" w14:textId="77777777" w:rsidR="00454A29" w:rsidRDefault="00454A29"/>
        </w:tc>
        <w:tc>
          <w:tcPr>
            <w:tcW w:w="1701" w:type="dxa"/>
            <w:vAlign w:val="center"/>
          </w:tcPr>
          <w:p w14:paraId="177BEC23" w14:textId="77777777" w:rsidR="00454A29" w:rsidRDefault="00454A29">
            <w:pPr>
              <w:pStyle w:val="ConsPlusNormal"/>
            </w:pPr>
          </w:p>
        </w:tc>
        <w:tc>
          <w:tcPr>
            <w:tcW w:w="1814" w:type="dxa"/>
            <w:vAlign w:val="center"/>
          </w:tcPr>
          <w:p w14:paraId="081EA98C" w14:textId="77777777" w:rsidR="00454A29" w:rsidRDefault="00454A29">
            <w:pPr>
              <w:pStyle w:val="ConsPlusNormal"/>
            </w:pPr>
          </w:p>
        </w:tc>
        <w:tc>
          <w:tcPr>
            <w:tcW w:w="1701" w:type="dxa"/>
            <w:vAlign w:val="center"/>
          </w:tcPr>
          <w:p w14:paraId="1B5B277E" w14:textId="77777777" w:rsidR="00454A29" w:rsidRDefault="00454A29">
            <w:pPr>
              <w:pStyle w:val="ConsPlusNormal"/>
            </w:pPr>
          </w:p>
        </w:tc>
        <w:tc>
          <w:tcPr>
            <w:tcW w:w="1701" w:type="dxa"/>
            <w:vAlign w:val="center"/>
          </w:tcPr>
          <w:p w14:paraId="1306D921" w14:textId="77777777" w:rsidR="00454A29" w:rsidRDefault="00454A29">
            <w:pPr>
              <w:pStyle w:val="ConsPlusNormal"/>
            </w:pPr>
          </w:p>
        </w:tc>
        <w:tc>
          <w:tcPr>
            <w:tcW w:w="1814" w:type="dxa"/>
            <w:vAlign w:val="center"/>
          </w:tcPr>
          <w:p w14:paraId="08C47DFD" w14:textId="77777777" w:rsidR="00454A29" w:rsidRDefault="00454A29">
            <w:pPr>
              <w:pStyle w:val="ConsPlusNormal"/>
            </w:pPr>
          </w:p>
        </w:tc>
      </w:tr>
      <w:tr w:rsidR="00454A29" w14:paraId="04DFF0D5" w14:textId="77777777">
        <w:tc>
          <w:tcPr>
            <w:tcW w:w="567" w:type="dxa"/>
            <w:vMerge/>
          </w:tcPr>
          <w:p w14:paraId="3739002B" w14:textId="77777777" w:rsidR="00454A29" w:rsidRDefault="00454A29"/>
        </w:tc>
        <w:tc>
          <w:tcPr>
            <w:tcW w:w="3345" w:type="dxa"/>
            <w:vMerge/>
          </w:tcPr>
          <w:p w14:paraId="20C85175" w14:textId="77777777" w:rsidR="00454A29" w:rsidRDefault="00454A29"/>
        </w:tc>
        <w:tc>
          <w:tcPr>
            <w:tcW w:w="1701" w:type="dxa"/>
            <w:vAlign w:val="center"/>
          </w:tcPr>
          <w:p w14:paraId="3FE9B531" w14:textId="77777777" w:rsidR="00454A29" w:rsidRDefault="00454A29">
            <w:pPr>
              <w:pStyle w:val="ConsPlusNormal"/>
              <w:jc w:val="center"/>
            </w:pPr>
            <w:r>
              <w:t>2025</w:t>
            </w:r>
          </w:p>
        </w:tc>
        <w:tc>
          <w:tcPr>
            <w:tcW w:w="1417" w:type="dxa"/>
            <w:vMerge/>
          </w:tcPr>
          <w:p w14:paraId="03D901C8" w14:textId="77777777" w:rsidR="00454A29" w:rsidRDefault="00454A29"/>
        </w:tc>
        <w:tc>
          <w:tcPr>
            <w:tcW w:w="2204" w:type="dxa"/>
            <w:vMerge/>
          </w:tcPr>
          <w:p w14:paraId="3725F521" w14:textId="77777777" w:rsidR="00454A29" w:rsidRDefault="00454A29"/>
        </w:tc>
        <w:tc>
          <w:tcPr>
            <w:tcW w:w="1417" w:type="dxa"/>
            <w:vMerge/>
          </w:tcPr>
          <w:p w14:paraId="4639B18E" w14:textId="77777777" w:rsidR="00454A29" w:rsidRDefault="00454A29"/>
        </w:tc>
        <w:tc>
          <w:tcPr>
            <w:tcW w:w="2324" w:type="dxa"/>
            <w:vMerge/>
          </w:tcPr>
          <w:p w14:paraId="2E5D61C3" w14:textId="77777777" w:rsidR="00454A29" w:rsidRDefault="00454A29"/>
        </w:tc>
        <w:tc>
          <w:tcPr>
            <w:tcW w:w="1701" w:type="dxa"/>
            <w:vAlign w:val="center"/>
          </w:tcPr>
          <w:p w14:paraId="4F7C5320" w14:textId="77777777" w:rsidR="00454A29" w:rsidRDefault="00454A29">
            <w:pPr>
              <w:pStyle w:val="ConsPlusNormal"/>
            </w:pPr>
          </w:p>
        </w:tc>
        <w:tc>
          <w:tcPr>
            <w:tcW w:w="1814" w:type="dxa"/>
            <w:vAlign w:val="center"/>
          </w:tcPr>
          <w:p w14:paraId="6F8DD1EE" w14:textId="77777777" w:rsidR="00454A29" w:rsidRDefault="00454A29">
            <w:pPr>
              <w:pStyle w:val="ConsPlusNormal"/>
            </w:pPr>
          </w:p>
        </w:tc>
        <w:tc>
          <w:tcPr>
            <w:tcW w:w="1701" w:type="dxa"/>
            <w:vAlign w:val="center"/>
          </w:tcPr>
          <w:p w14:paraId="2EBB9977" w14:textId="77777777" w:rsidR="00454A29" w:rsidRDefault="00454A29">
            <w:pPr>
              <w:pStyle w:val="ConsPlusNormal"/>
            </w:pPr>
          </w:p>
        </w:tc>
        <w:tc>
          <w:tcPr>
            <w:tcW w:w="1701" w:type="dxa"/>
            <w:vAlign w:val="center"/>
          </w:tcPr>
          <w:p w14:paraId="6DFB2366" w14:textId="77777777" w:rsidR="00454A29" w:rsidRDefault="00454A29">
            <w:pPr>
              <w:pStyle w:val="ConsPlusNormal"/>
            </w:pPr>
          </w:p>
        </w:tc>
        <w:tc>
          <w:tcPr>
            <w:tcW w:w="1814" w:type="dxa"/>
            <w:vAlign w:val="center"/>
          </w:tcPr>
          <w:p w14:paraId="5689F099" w14:textId="77777777" w:rsidR="00454A29" w:rsidRDefault="00454A29">
            <w:pPr>
              <w:pStyle w:val="ConsPlusNormal"/>
            </w:pPr>
          </w:p>
        </w:tc>
      </w:tr>
      <w:tr w:rsidR="00454A29" w14:paraId="3E2EB13E" w14:textId="77777777">
        <w:tc>
          <w:tcPr>
            <w:tcW w:w="567" w:type="dxa"/>
            <w:vMerge/>
          </w:tcPr>
          <w:p w14:paraId="1E26C74A" w14:textId="77777777" w:rsidR="00454A29" w:rsidRDefault="00454A29"/>
        </w:tc>
        <w:tc>
          <w:tcPr>
            <w:tcW w:w="3345" w:type="dxa"/>
            <w:vMerge/>
          </w:tcPr>
          <w:p w14:paraId="50B8264B" w14:textId="77777777" w:rsidR="00454A29" w:rsidRDefault="00454A29"/>
        </w:tc>
        <w:tc>
          <w:tcPr>
            <w:tcW w:w="1701" w:type="dxa"/>
            <w:vAlign w:val="center"/>
          </w:tcPr>
          <w:p w14:paraId="43A1DEDE" w14:textId="77777777" w:rsidR="00454A29" w:rsidRDefault="00454A29">
            <w:pPr>
              <w:pStyle w:val="ConsPlusNormal"/>
              <w:jc w:val="center"/>
            </w:pPr>
            <w:r>
              <w:t>2026</w:t>
            </w:r>
          </w:p>
        </w:tc>
        <w:tc>
          <w:tcPr>
            <w:tcW w:w="1417" w:type="dxa"/>
            <w:vMerge/>
          </w:tcPr>
          <w:p w14:paraId="33EFB966" w14:textId="77777777" w:rsidR="00454A29" w:rsidRDefault="00454A29"/>
        </w:tc>
        <w:tc>
          <w:tcPr>
            <w:tcW w:w="2204" w:type="dxa"/>
            <w:vMerge/>
          </w:tcPr>
          <w:p w14:paraId="0EA8543A" w14:textId="77777777" w:rsidR="00454A29" w:rsidRDefault="00454A29"/>
        </w:tc>
        <w:tc>
          <w:tcPr>
            <w:tcW w:w="1417" w:type="dxa"/>
            <w:vMerge/>
          </w:tcPr>
          <w:p w14:paraId="6AB3E433" w14:textId="77777777" w:rsidR="00454A29" w:rsidRDefault="00454A29"/>
        </w:tc>
        <w:tc>
          <w:tcPr>
            <w:tcW w:w="2324" w:type="dxa"/>
            <w:vMerge/>
          </w:tcPr>
          <w:p w14:paraId="12465C09" w14:textId="77777777" w:rsidR="00454A29" w:rsidRDefault="00454A29"/>
        </w:tc>
        <w:tc>
          <w:tcPr>
            <w:tcW w:w="1701" w:type="dxa"/>
            <w:vAlign w:val="center"/>
          </w:tcPr>
          <w:p w14:paraId="30458123" w14:textId="77777777" w:rsidR="00454A29" w:rsidRDefault="00454A29">
            <w:pPr>
              <w:pStyle w:val="ConsPlusNormal"/>
              <w:jc w:val="center"/>
            </w:pPr>
            <w:r>
              <w:t>36 782,45</w:t>
            </w:r>
          </w:p>
        </w:tc>
        <w:tc>
          <w:tcPr>
            <w:tcW w:w="1814" w:type="dxa"/>
            <w:vAlign w:val="center"/>
          </w:tcPr>
          <w:p w14:paraId="7577FA92" w14:textId="77777777" w:rsidR="00454A29" w:rsidRDefault="00454A29">
            <w:pPr>
              <w:pStyle w:val="ConsPlusNormal"/>
              <w:jc w:val="center"/>
            </w:pPr>
            <w:r>
              <w:t>453,16</w:t>
            </w:r>
          </w:p>
        </w:tc>
        <w:tc>
          <w:tcPr>
            <w:tcW w:w="1701" w:type="dxa"/>
            <w:vAlign w:val="center"/>
          </w:tcPr>
          <w:p w14:paraId="16D4B199" w14:textId="77777777" w:rsidR="00454A29" w:rsidRDefault="00454A29">
            <w:pPr>
              <w:pStyle w:val="ConsPlusNormal"/>
              <w:jc w:val="center"/>
            </w:pPr>
            <w:r>
              <w:t>44 862,82</w:t>
            </w:r>
          </w:p>
        </w:tc>
        <w:tc>
          <w:tcPr>
            <w:tcW w:w="1701" w:type="dxa"/>
            <w:vAlign w:val="center"/>
          </w:tcPr>
          <w:p w14:paraId="78ADE61D" w14:textId="77777777" w:rsidR="00454A29" w:rsidRDefault="00454A29">
            <w:pPr>
              <w:pStyle w:val="ConsPlusNormal"/>
            </w:pPr>
          </w:p>
        </w:tc>
        <w:tc>
          <w:tcPr>
            <w:tcW w:w="1814" w:type="dxa"/>
            <w:vAlign w:val="center"/>
          </w:tcPr>
          <w:p w14:paraId="4261D4D4" w14:textId="77777777" w:rsidR="00454A29" w:rsidRDefault="00454A29">
            <w:pPr>
              <w:pStyle w:val="ConsPlusNormal"/>
            </w:pPr>
          </w:p>
        </w:tc>
      </w:tr>
      <w:tr w:rsidR="00454A29" w14:paraId="13E284D5" w14:textId="77777777">
        <w:tc>
          <w:tcPr>
            <w:tcW w:w="21706" w:type="dxa"/>
            <w:gridSpan w:val="12"/>
            <w:vAlign w:val="center"/>
          </w:tcPr>
          <w:p w14:paraId="20526467" w14:textId="77777777" w:rsidR="00454A29" w:rsidRDefault="00454A29">
            <w:pPr>
              <w:pStyle w:val="ConsPlusNormal"/>
              <w:jc w:val="center"/>
              <w:outlineLvl w:val="2"/>
            </w:pPr>
            <w:r>
              <w:t>МР "Аллаиховский улус"</w:t>
            </w:r>
          </w:p>
        </w:tc>
      </w:tr>
      <w:tr w:rsidR="00454A29" w14:paraId="7EF72A6F" w14:textId="77777777">
        <w:tc>
          <w:tcPr>
            <w:tcW w:w="567" w:type="dxa"/>
            <w:vMerge w:val="restart"/>
            <w:vAlign w:val="center"/>
          </w:tcPr>
          <w:p w14:paraId="740EA8CE" w14:textId="77777777" w:rsidR="00454A29" w:rsidRDefault="00454A29">
            <w:pPr>
              <w:pStyle w:val="ConsPlusNormal"/>
              <w:jc w:val="center"/>
            </w:pPr>
            <w:r>
              <w:t>8</w:t>
            </w:r>
          </w:p>
        </w:tc>
        <w:tc>
          <w:tcPr>
            <w:tcW w:w="3345" w:type="dxa"/>
            <w:vMerge w:val="restart"/>
            <w:vAlign w:val="center"/>
          </w:tcPr>
          <w:p w14:paraId="716EE756" w14:textId="77777777" w:rsidR="00454A29" w:rsidRDefault="00454A29">
            <w:pPr>
              <w:pStyle w:val="ConsPlusNormal"/>
              <w:jc w:val="center"/>
            </w:pPr>
            <w:r>
              <w:t>Школа на 275 учащихся в п. Чокурдах</w:t>
            </w:r>
          </w:p>
        </w:tc>
        <w:tc>
          <w:tcPr>
            <w:tcW w:w="1701" w:type="dxa"/>
            <w:vAlign w:val="center"/>
          </w:tcPr>
          <w:p w14:paraId="46ADBBDD" w14:textId="77777777" w:rsidR="00454A29" w:rsidRDefault="00454A29">
            <w:pPr>
              <w:pStyle w:val="ConsPlusNormal"/>
              <w:jc w:val="center"/>
            </w:pPr>
            <w:r>
              <w:t>2020 - 2026 годы - всего</w:t>
            </w:r>
          </w:p>
        </w:tc>
        <w:tc>
          <w:tcPr>
            <w:tcW w:w="1417" w:type="dxa"/>
            <w:vMerge w:val="restart"/>
            <w:vAlign w:val="center"/>
          </w:tcPr>
          <w:p w14:paraId="120CDD3D" w14:textId="77777777" w:rsidR="00454A29" w:rsidRDefault="00454A29">
            <w:pPr>
              <w:pStyle w:val="ConsPlusNormal"/>
              <w:jc w:val="center"/>
            </w:pPr>
            <w:r>
              <w:t>446 859,00</w:t>
            </w:r>
          </w:p>
        </w:tc>
        <w:tc>
          <w:tcPr>
            <w:tcW w:w="2204" w:type="dxa"/>
            <w:vMerge w:val="restart"/>
            <w:vAlign w:val="center"/>
          </w:tcPr>
          <w:p w14:paraId="1290195F" w14:textId="77777777" w:rsidR="00454A29" w:rsidRDefault="00454A29">
            <w:pPr>
              <w:pStyle w:val="ConsPlusNormal"/>
              <w:jc w:val="center"/>
            </w:pPr>
            <w:r>
              <w:t>имеется</w:t>
            </w:r>
          </w:p>
        </w:tc>
        <w:tc>
          <w:tcPr>
            <w:tcW w:w="1417" w:type="dxa"/>
            <w:vMerge w:val="restart"/>
            <w:vAlign w:val="center"/>
          </w:tcPr>
          <w:p w14:paraId="3D2A0B6F" w14:textId="77777777" w:rsidR="00454A29" w:rsidRDefault="00454A29">
            <w:pPr>
              <w:pStyle w:val="ConsPlusNormal"/>
              <w:jc w:val="center"/>
            </w:pPr>
            <w:r>
              <w:t>275</w:t>
            </w:r>
          </w:p>
        </w:tc>
        <w:tc>
          <w:tcPr>
            <w:tcW w:w="2324" w:type="dxa"/>
            <w:vMerge w:val="restart"/>
            <w:vAlign w:val="center"/>
          </w:tcPr>
          <w:p w14:paraId="11056477" w14:textId="77777777" w:rsidR="00454A29" w:rsidRDefault="00454A29">
            <w:pPr>
              <w:pStyle w:val="ConsPlusNormal"/>
              <w:jc w:val="center"/>
            </w:pPr>
            <w:r>
              <w:t xml:space="preserve">Минстрой РС(Я), ГКУ "Служба государственного </w:t>
            </w:r>
            <w:r>
              <w:lastRenderedPageBreak/>
              <w:t>заказчика Республики Саха (Якутия)"</w:t>
            </w:r>
          </w:p>
        </w:tc>
        <w:tc>
          <w:tcPr>
            <w:tcW w:w="1701" w:type="dxa"/>
            <w:vAlign w:val="center"/>
          </w:tcPr>
          <w:p w14:paraId="16EBD31E" w14:textId="77777777" w:rsidR="00454A29" w:rsidRDefault="00454A29">
            <w:pPr>
              <w:pStyle w:val="ConsPlusNormal"/>
              <w:jc w:val="center"/>
            </w:pPr>
            <w:r>
              <w:lastRenderedPageBreak/>
              <w:t>446 859,00</w:t>
            </w:r>
          </w:p>
        </w:tc>
        <w:tc>
          <w:tcPr>
            <w:tcW w:w="1814" w:type="dxa"/>
            <w:vAlign w:val="center"/>
          </w:tcPr>
          <w:p w14:paraId="700EEDFA" w14:textId="77777777" w:rsidR="00454A29" w:rsidRDefault="00454A29">
            <w:pPr>
              <w:pStyle w:val="ConsPlusNormal"/>
              <w:jc w:val="center"/>
            </w:pPr>
            <w:r>
              <w:t>446 859,00</w:t>
            </w:r>
          </w:p>
        </w:tc>
        <w:tc>
          <w:tcPr>
            <w:tcW w:w="1701" w:type="dxa"/>
            <w:vAlign w:val="center"/>
          </w:tcPr>
          <w:p w14:paraId="07CC85FC" w14:textId="77777777" w:rsidR="00454A29" w:rsidRDefault="00454A29">
            <w:pPr>
              <w:pStyle w:val="ConsPlusNormal"/>
              <w:jc w:val="center"/>
            </w:pPr>
            <w:r>
              <w:t>-</w:t>
            </w:r>
          </w:p>
        </w:tc>
        <w:tc>
          <w:tcPr>
            <w:tcW w:w="1701" w:type="dxa"/>
            <w:vAlign w:val="center"/>
          </w:tcPr>
          <w:p w14:paraId="4C3CD941" w14:textId="77777777" w:rsidR="00454A29" w:rsidRDefault="00454A29">
            <w:pPr>
              <w:pStyle w:val="ConsPlusNormal"/>
              <w:jc w:val="center"/>
            </w:pPr>
            <w:r>
              <w:t>-</w:t>
            </w:r>
          </w:p>
        </w:tc>
        <w:tc>
          <w:tcPr>
            <w:tcW w:w="1814" w:type="dxa"/>
            <w:vAlign w:val="center"/>
          </w:tcPr>
          <w:p w14:paraId="5567821B" w14:textId="77777777" w:rsidR="00454A29" w:rsidRDefault="00454A29">
            <w:pPr>
              <w:pStyle w:val="ConsPlusNormal"/>
              <w:jc w:val="center"/>
            </w:pPr>
            <w:r>
              <w:t>-</w:t>
            </w:r>
          </w:p>
        </w:tc>
      </w:tr>
      <w:tr w:rsidR="00454A29" w14:paraId="5D913A8F" w14:textId="77777777">
        <w:tc>
          <w:tcPr>
            <w:tcW w:w="567" w:type="dxa"/>
            <w:vMerge/>
          </w:tcPr>
          <w:p w14:paraId="6B23E25A" w14:textId="77777777" w:rsidR="00454A29" w:rsidRDefault="00454A29"/>
        </w:tc>
        <w:tc>
          <w:tcPr>
            <w:tcW w:w="3345" w:type="dxa"/>
            <w:vMerge/>
          </w:tcPr>
          <w:p w14:paraId="5AAF849D" w14:textId="77777777" w:rsidR="00454A29" w:rsidRDefault="00454A29"/>
        </w:tc>
        <w:tc>
          <w:tcPr>
            <w:tcW w:w="1701" w:type="dxa"/>
            <w:vAlign w:val="center"/>
          </w:tcPr>
          <w:p w14:paraId="1A7F66DC" w14:textId="77777777" w:rsidR="00454A29" w:rsidRDefault="00454A29">
            <w:pPr>
              <w:pStyle w:val="ConsPlusNormal"/>
              <w:jc w:val="center"/>
            </w:pPr>
            <w:r>
              <w:t>2020</w:t>
            </w:r>
          </w:p>
        </w:tc>
        <w:tc>
          <w:tcPr>
            <w:tcW w:w="1417" w:type="dxa"/>
            <w:vMerge/>
          </w:tcPr>
          <w:p w14:paraId="2499C803" w14:textId="77777777" w:rsidR="00454A29" w:rsidRDefault="00454A29"/>
        </w:tc>
        <w:tc>
          <w:tcPr>
            <w:tcW w:w="2204" w:type="dxa"/>
            <w:vMerge/>
          </w:tcPr>
          <w:p w14:paraId="3A9AD682" w14:textId="77777777" w:rsidR="00454A29" w:rsidRDefault="00454A29"/>
        </w:tc>
        <w:tc>
          <w:tcPr>
            <w:tcW w:w="1417" w:type="dxa"/>
            <w:vMerge/>
          </w:tcPr>
          <w:p w14:paraId="612414A3" w14:textId="77777777" w:rsidR="00454A29" w:rsidRDefault="00454A29"/>
        </w:tc>
        <w:tc>
          <w:tcPr>
            <w:tcW w:w="2324" w:type="dxa"/>
            <w:vMerge/>
          </w:tcPr>
          <w:p w14:paraId="4038A222" w14:textId="77777777" w:rsidR="00454A29" w:rsidRDefault="00454A29"/>
        </w:tc>
        <w:tc>
          <w:tcPr>
            <w:tcW w:w="1701" w:type="dxa"/>
            <w:vAlign w:val="center"/>
          </w:tcPr>
          <w:p w14:paraId="57B0C1ED" w14:textId="77777777" w:rsidR="00454A29" w:rsidRDefault="00454A29">
            <w:pPr>
              <w:pStyle w:val="ConsPlusNormal"/>
              <w:jc w:val="center"/>
            </w:pPr>
            <w:r>
              <w:t>100 216,60</w:t>
            </w:r>
          </w:p>
        </w:tc>
        <w:tc>
          <w:tcPr>
            <w:tcW w:w="1814" w:type="dxa"/>
            <w:vAlign w:val="center"/>
          </w:tcPr>
          <w:p w14:paraId="330C7731" w14:textId="77777777" w:rsidR="00454A29" w:rsidRDefault="00454A29">
            <w:pPr>
              <w:pStyle w:val="ConsPlusNormal"/>
              <w:jc w:val="center"/>
            </w:pPr>
            <w:r>
              <w:t>100 216,60</w:t>
            </w:r>
          </w:p>
        </w:tc>
        <w:tc>
          <w:tcPr>
            <w:tcW w:w="1701" w:type="dxa"/>
            <w:vAlign w:val="center"/>
          </w:tcPr>
          <w:p w14:paraId="00456154" w14:textId="77777777" w:rsidR="00454A29" w:rsidRDefault="00454A29">
            <w:pPr>
              <w:pStyle w:val="ConsPlusNormal"/>
            </w:pPr>
          </w:p>
        </w:tc>
        <w:tc>
          <w:tcPr>
            <w:tcW w:w="1701" w:type="dxa"/>
            <w:vAlign w:val="center"/>
          </w:tcPr>
          <w:p w14:paraId="00B394C8" w14:textId="77777777" w:rsidR="00454A29" w:rsidRDefault="00454A29">
            <w:pPr>
              <w:pStyle w:val="ConsPlusNormal"/>
            </w:pPr>
          </w:p>
        </w:tc>
        <w:tc>
          <w:tcPr>
            <w:tcW w:w="1814" w:type="dxa"/>
            <w:vAlign w:val="center"/>
          </w:tcPr>
          <w:p w14:paraId="045F7828" w14:textId="77777777" w:rsidR="00454A29" w:rsidRDefault="00454A29">
            <w:pPr>
              <w:pStyle w:val="ConsPlusNormal"/>
            </w:pPr>
          </w:p>
        </w:tc>
      </w:tr>
      <w:tr w:rsidR="00454A29" w14:paraId="7211723E" w14:textId="77777777">
        <w:tc>
          <w:tcPr>
            <w:tcW w:w="567" w:type="dxa"/>
            <w:vMerge/>
          </w:tcPr>
          <w:p w14:paraId="27805C90" w14:textId="77777777" w:rsidR="00454A29" w:rsidRDefault="00454A29"/>
        </w:tc>
        <w:tc>
          <w:tcPr>
            <w:tcW w:w="3345" w:type="dxa"/>
            <w:vMerge/>
          </w:tcPr>
          <w:p w14:paraId="026BC746" w14:textId="77777777" w:rsidR="00454A29" w:rsidRDefault="00454A29"/>
        </w:tc>
        <w:tc>
          <w:tcPr>
            <w:tcW w:w="1701" w:type="dxa"/>
            <w:vAlign w:val="center"/>
          </w:tcPr>
          <w:p w14:paraId="7BC87C6D" w14:textId="77777777" w:rsidR="00454A29" w:rsidRDefault="00454A29">
            <w:pPr>
              <w:pStyle w:val="ConsPlusNormal"/>
              <w:jc w:val="center"/>
            </w:pPr>
            <w:r>
              <w:t>2021</w:t>
            </w:r>
          </w:p>
        </w:tc>
        <w:tc>
          <w:tcPr>
            <w:tcW w:w="1417" w:type="dxa"/>
            <w:vMerge/>
          </w:tcPr>
          <w:p w14:paraId="555A640D" w14:textId="77777777" w:rsidR="00454A29" w:rsidRDefault="00454A29"/>
        </w:tc>
        <w:tc>
          <w:tcPr>
            <w:tcW w:w="2204" w:type="dxa"/>
            <w:vMerge/>
          </w:tcPr>
          <w:p w14:paraId="07BD1A45" w14:textId="77777777" w:rsidR="00454A29" w:rsidRDefault="00454A29"/>
        </w:tc>
        <w:tc>
          <w:tcPr>
            <w:tcW w:w="1417" w:type="dxa"/>
            <w:vMerge/>
          </w:tcPr>
          <w:p w14:paraId="7CA590D8" w14:textId="77777777" w:rsidR="00454A29" w:rsidRDefault="00454A29"/>
        </w:tc>
        <w:tc>
          <w:tcPr>
            <w:tcW w:w="2324" w:type="dxa"/>
            <w:vMerge/>
          </w:tcPr>
          <w:p w14:paraId="76B2AF1E" w14:textId="77777777" w:rsidR="00454A29" w:rsidRDefault="00454A29"/>
        </w:tc>
        <w:tc>
          <w:tcPr>
            <w:tcW w:w="1701" w:type="dxa"/>
            <w:vAlign w:val="center"/>
          </w:tcPr>
          <w:p w14:paraId="3FF50D75" w14:textId="77777777" w:rsidR="00454A29" w:rsidRDefault="00454A29">
            <w:pPr>
              <w:pStyle w:val="ConsPlusNormal"/>
              <w:jc w:val="center"/>
            </w:pPr>
            <w:r>
              <w:t>346 642,40</w:t>
            </w:r>
          </w:p>
        </w:tc>
        <w:tc>
          <w:tcPr>
            <w:tcW w:w="1814" w:type="dxa"/>
            <w:vAlign w:val="center"/>
          </w:tcPr>
          <w:p w14:paraId="37120936" w14:textId="77777777" w:rsidR="00454A29" w:rsidRDefault="00454A29">
            <w:pPr>
              <w:pStyle w:val="ConsPlusNormal"/>
              <w:jc w:val="center"/>
            </w:pPr>
            <w:r>
              <w:t>346 642,40</w:t>
            </w:r>
          </w:p>
        </w:tc>
        <w:tc>
          <w:tcPr>
            <w:tcW w:w="1701" w:type="dxa"/>
            <w:vAlign w:val="center"/>
          </w:tcPr>
          <w:p w14:paraId="49F82FF0" w14:textId="77777777" w:rsidR="00454A29" w:rsidRDefault="00454A29">
            <w:pPr>
              <w:pStyle w:val="ConsPlusNormal"/>
            </w:pPr>
          </w:p>
        </w:tc>
        <w:tc>
          <w:tcPr>
            <w:tcW w:w="1701" w:type="dxa"/>
            <w:vAlign w:val="center"/>
          </w:tcPr>
          <w:p w14:paraId="5153E36D" w14:textId="77777777" w:rsidR="00454A29" w:rsidRDefault="00454A29">
            <w:pPr>
              <w:pStyle w:val="ConsPlusNormal"/>
            </w:pPr>
          </w:p>
        </w:tc>
        <w:tc>
          <w:tcPr>
            <w:tcW w:w="1814" w:type="dxa"/>
            <w:vAlign w:val="center"/>
          </w:tcPr>
          <w:p w14:paraId="1A48B341" w14:textId="77777777" w:rsidR="00454A29" w:rsidRDefault="00454A29">
            <w:pPr>
              <w:pStyle w:val="ConsPlusNormal"/>
            </w:pPr>
          </w:p>
        </w:tc>
      </w:tr>
      <w:tr w:rsidR="00454A29" w14:paraId="6AD31064" w14:textId="77777777">
        <w:tc>
          <w:tcPr>
            <w:tcW w:w="567" w:type="dxa"/>
            <w:vMerge/>
          </w:tcPr>
          <w:p w14:paraId="2258A61E" w14:textId="77777777" w:rsidR="00454A29" w:rsidRDefault="00454A29"/>
        </w:tc>
        <w:tc>
          <w:tcPr>
            <w:tcW w:w="3345" w:type="dxa"/>
            <w:vMerge/>
          </w:tcPr>
          <w:p w14:paraId="3DE98E76" w14:textId="77777777" w:rsidR="00454A29" w:rsidRDefault="00454A29"/>
        </w:tc>
        <w:tc>
          <w:tcPr>
            <w:tcW w:w="1701" w:type="dxa"/>
            <w:vAlign w:val="center"/>
          </w:tcPr>
          <w:p w14:paraId="440B1C3C" w14:textId="77777777" w:rsidR="00454A29" w:rsidRDefault="00454A29">
            <w:pPr>
              <w:pStyle w:val="ConsPlusNormal"/>
              <w:jc w:val="center"/>
            </w:pPr>
            <w:r>
              <w:t>2022</w:t>
            </w:r>
          </w:p>
        </w:tc>
        <w:tc>
          <w:tcPr>
            <w:tcW w:w="1417" w:type="dxa"/>
            <w:vMerge/>
          </w:tcPr>
          <w:p w14:paraId="7946FBB1" w14:textId="77777777" w:rsidR="00454A29" w:rsidRDefault="00454A29"/>
        </w:tc>
        <w:tc>
          <w:tcPr>
            <w:tcW w:w="2204" w:type="dxa"/>
            <w:vMerge/>
          </w:tcPr>
          <w:p w14:paraId="3332A399" w14:textId="77777777" w:rsidR="00454A29" w:rsidRDefault="00454A29"/>
        </w:tc>
        <w:tc>
          <w:tcPr>
            <w:tcW w:w="1417" w:type="dxa"/>
            <w:vMerge/>
          </w:tcPr>
          <w:p w14:paraId="38BAE672" w14:textId="77777777" w:rsidR="00454A29" w:rsidRDefault="00454A29"/>
        </w:tc>
        <w:tc>
          <w:tcPr>
            <w:tcW w:w="2324" w:type="dxa"/>
            <w:vMerge/>
          </w:tcPr>
          <w:p w14:paraId="7527704A" w14:textId="77777777" w:rsidR="00454A29" w:rsidRDefault="00454A29"/>
        </w:tc>
        <w:tc>
          <w:tcPr>
            <w:tcW w:w="1701" w:type="dxa"/>
            <w:vAlign w:val="center"/>
          </w:tcPr>
          <w:p w14:paraId="050BAEAA" w14:textId="77777777" w:rsidR="00454A29" w:rsidRDefault="00454A29">
            <w:pPr>
              <w:pStyle w:val="ConsPlusNormal"/>
            </w:pPr>
          </w:p>
        </w:tc>
        <w:tc>
          <w:tcPr>
            <w:tcW w:w="1814" w:type="dxa"/>
            <w:vAlign w:val="center"/>
          </w:tcPr>
          <w:p w14:paraId="2C3852E7" w14:textId="77777777" w:rsidR="00454A29" w:rsidRDefault="00454A29">
            <w:pPr>
              <w:pStyle w:val="ConsPlusNormal"/>
            </w:pPr>
          </w:p>
        </w:tc>
        <w:tc>
          <w:tcPr>
            <w:tcW w:w="1701" w:type="dxa"/>
            <w:vAlign w:val="center"/>
          </w:tcPr>
          <w:p w14:paraId="07D122AA" w14:textId="77777777" w:rsidR="00454A29" w:rsidRDefault="00454A29">
            <w:pPr>
              <w:pStyle w:val="ConsPlusNormal"/>
            </w:pPr>
          </w:p>
        </w:tc>
        <w:tc>
          <w:tcPr>
            <w:tcW w:w="1701" w:type="dxa"/>
            <w:vAlign w:val="center"/>
          </w:tcPr>
          <w:p w14:paraId="7D2B96D1" w14:textId="77777777" w:rsidR="00454A29" w:rsidRDefault="00454A29">
            <w:pPr>
              <w:pStyle w:val="ConsPlusNormal"/>
            </w:pPr>
          </w:p>
        </w:tc>
        <w:tc>
          <w:tcPr>
            <w:tcW w:w="1814" w:type="dxa"/>
            <w:vAlign w:val="center"/>
          </w:tcPr>
          <w:p w14:paraId="0C45BF93" w14:textId="77777777" w:rsidR="00454A29" w:rsidRDefault="00454A29">
            <w:pPr>
              <w:pStyle w:val="ConsPlusNormal"/>
            </w:pPr>
          </w:p>
        </w:tc>
      </w:tr>
      <w:tr w:rsidR="00454A29" w14:paraId="7749FE39" w14:textId="77777777">
        <w:tc>
          <w:tcPr>
            <w:tcW w:w="567" w:type="dxa"/>
            <w:vMerge/>
          </w:tcPr>
          <w:p w14:paraId="3E28A9B0" w14:textId="77777777" w:rsidR="00454A29" w:rsidRDefault="00454A29"/>
        </w:tc>
        <w:tc>
          <w:tcPr>
            <w:tcW w:w="3345" w:type="dxa"/>
            <w:vMerge/>
          </w:tcPr>
          <w:p w14:paraId="3902AB5D" w14:textId="77777777" w:rsidR="00454A29" w:rsidRDefault="00454A29"/>
        </w:tc>
        <w:tc>
          <w:tcPr>
            <w:tcW w:w="1701" w:type="dxa"/>
            <w:vAlign w:val="center"/>
          </w:tcPr>
          <w:p w14:paraId="3674F43D" w14:textId="77777777" w:rsidR="00454A29" w:rsidRDefault="00454A29">
            <w:pPr>
              <w:pStyle w:val="ConsPlusNormal"/>
              <w:jc w:val="center"/>
            </w:pPr>
            <w:r>
              <w:t>2023</w:t>
            </w:r>
          </w:p>
        </w:tc>
        <w:tc>
          <w:tcPr>
            <w:tcW w:w="1417" w:type="dxa"/>
            <w:vMerge/>
          </w:tcPr>
          <w:p w14:paraId="3FCA9FC0" w14:textId="77777777" w:rsidR="00454A29" w:rsidRDefault="00454A29"/>
        </w:tc>
        <w:tc>
          <w:tcPr>
            <w:tcW w:w="2204" w:type="dxa"/>
            <w:vMerge/>
          </w:tcPr>
          <w:p w14:paraId="5B5F6F8D" w14:textId="77777777" w:rsidR="00454A29" w:rsidRDefault="00454A29"/>
        </w:tc>
        <w:tc>
          <w:tcPr>
            <w:tcW w:w="1417" w:type="dxa"/>
            <w:vMerge/>
          </w:tcPr>
          <w:p w14:paraId="77475627" w14:textId="77777777" w:rsidR="00454A29" w:rsidRDefault="00454A29"/>
        </w:tc>
        <w:tc>
          <w:tcPr>
            <w:tcW w:w="2324" w:type="dxa"/>
            <w:vMerge/>
          </w:tcPr>
          <w:p w14:paraId="06C0FF85" w14:textId="77777777" w:rsidR="00454A29" w:rsidRDefault="00454A29"/>
        </w:tc>
        <w:tc>
          <w:tcPr>
            <w:tcW w:w="1701" w:type="dxa"/>
            <w:vAlign w:val="center"/>
          </w:tcPr>
          <w:p w14:paraId="351753C7" w14:textId="77777777" w:rsidR="00454A29" w:rsidRDefault="00454A29">
            <w:pPr>
              <w:pStyle w:val="ConsPlusNormal"/>
            </w:pPr>
          </w:p>
        </w:tc>
        <w:tc>
          <w:tcPr>
            <w:tcW w:w="1814" w:type="dxa"/>
            <w:vAlign w:val="center"/>
          </w:tcPr>
          <w:p w14:paraId="5AF5D78D" w14:textId="77777777" w:rsidR="00454A29" w:rsidRDefault="00454A29">
            <w:pPr>
              <w:pStyle w:val="ConsPlusNormal"/>
            </w:pPr>
          </w:p>
        </w:tc>
        <w:tc>
          <w:tcPr>
            <w:tcW w:w="1701" w:type="dxa"/>
            <w:vAlign w:val="center"/>
          </w:tcPr>
          <w:p w14:paraId="245B2965" w14:textId="77777777" w:rsidR="00454A29" w:rsidRDefault="00454A29">
            <w:pPr>
              <w:pStyle w:val="ConsPlusNormal"/>
            </w:pPr>
          </w:p>
        </w:tc>
        <w:tc>
          <w:tcPr>
            <w:tcW w:w="1701" w:type="dxa"/>
            <w:vAlign w:val="center"/>
          </w:tcPr>
          <w:p w14:paraId="584FD41E" w14:textId="77777777" w:rsidR="00454A29" w:rsidRDefault="00454A29">
            <w:pPr>
              <w:pStyle w:val="ConsPlusNormal"/>
            </w:pPr>
          </w:p>
        </w:tc>
        <w:tc>
          <w:tcPr>
            <w:tcW w:w="1814" w:type="dxa"/>
            <w:vAlign w:val="center"/>
          </w:tcPr>
          <w:p w14:paraId="0989673B" w14:textId="77777777" w:rsidR="00454A29" w:rsidRDefault="00454A29">
            <w:pPr>
              <w:pStyle w:val="ConsPlusNormal"/>
            </w:pPr>
          </w:p>
        </w:tc>
      </w:tr>
      <w:tr w:rsidR="00454A29" w14:paraId="29908348" w14:textId="77777777">
        <w:tc>
          <w:tcPr>
            <w:tcW w:w="567" w:type="dxa"/>
            <w:vMerge/>
          </w:tcPr>
          <w:p w14:paraId="6CAACEF5" w14:textId="77777777" w:rsidR="00454A29" w:rsidRDefault="00454A29"/>
        </w:tc>
        <w:tc>
          <w:tcPr>
            <w:tcW w:w="3345" w:type="dxa"/>
            <w:vMerge/>
          </w:tcPr>
          <w:p w14:paraId="6FD28FC0" w14:textId="77777777" w:rsidR="00454A29" w:rsidRDefault="00454A29"/>
        </w:tc>
        <w:tc>
          <w:tcPr>
            <w:tcW w:w="1701" w:type="dxa"/>
            <w:vAlign w:val="center"/>
          </w:tcPr>
          <w:p w14:paraId="7BE1B79A" w14:textId="77777777" w:rsidR="00454A29" w:rsidRDefault="00454A29">
            <w:pPr>
              <w:pStyle w:val="ConsPlusNormal"/>
              <w:jc w:val="center"/>
            </w:pPr>
            <w:r>
              <w:t>2024</w:t>
            </w:r>
          </w:p>
        </w:tc>
        <w:tc>
          <w:tcPr>
            <w:tcW w:w="1417" w:type="dxa"/>
            <w:vMerge/>
          </w:tcPr>
          <w:p w14:paraId="1D4D7CB8" w14:textId="77777777" w:rsidR="00454A29" w:rsidRDefault="00454A29"/>
        </w:tc>
        <w:tc>
          <w:tcPr>
            <w:tcW w:w="2204" w:type="dxa"/>
            <w:vMerge/>
          </w:tcPr>
          <w:p w14:paraId="40B6565E" w14:textId="77777777" w:rsidR="00454A29" w:rsidRDefault="00454A29"/>
        </w:tc>
        <w:tc>
          <w:tcPr>
            <w:tcW w:w="1417" w:type="dxa"/>
            <w:vMerge/>
          </w:tcPr>
          <w:p w14:paraId="2E1C1E7B" w14:textId="77777777" w:rsidR="00454A29" w:rsidRDefault="00454A29"/>
        </w:tc>
        <w:tc>
          <w:tcPr>
            <w:tcW w:w="2324" w:type="dxa"/>
            <w:vMerge/>
          </w:tcPr>
          <w:p w14:paraId="07CA0F5B" w14:textId="77777777" w:rsidR="00454A29" w:rsidRDefault="00454A29"/>
        </w:tc>
        <w:tc>
          <w:tcPr>
            <w:tcW w:w="1701" w:type="dxa"/>
            <w:vAlign w:val="center"/>
          </w:tcPr>
          <w:p w14:paraId="6DBBD226" w14:textId="77777777" w:rsidR="00454A29" w:rsidRDefault="00454A29">
            <w:pPr>
              <w:pStyle w:val="ConsPlusNormal"/>
            </w:pPr>
          </w:p>
        </w:tc>
        <w:tc>
          <w:tcPr>
            <w:tcW w:w="1814" w:type="dxa"/>
            <w:vAlign w:val="center"/>
          </w:tcPr>
          <w:p w14:paraId="5979EF91" w14:textId="77777777" w:rsidR="00454A29" w:rsidRDefault="00454A29">
            <w:pPr>
              <w:pStyle w:val="ConsPlusNormal"/>
            </w:pPr>
          </w:p>
        </w:tc>
        <w:tc>
          <w:tcPr>
            <w:tcW w:w="1701" w:type="dxa"/>
            <w:vAlign w:val="center"/>
          </w:tcPr>
          <w:p w14:paraId="35E87FF1" w14:textId="77777777" w:rsidR="00454A29" w:rsidRDefault="00454A29">
            <w:pPr>
              <w:pStyle w:val="ConsPlusNormal"/>
            </w:pPr>
          </w:p>
        </w:tc>
        <w:tc>
          <w:tcPr>
            <w:tcW w:w="1701" w:type="dxa"/>
            <w:vAlign w:val="center"/>
          </w:tcPr>
          <w:p w14:paraId="33811A77" w14:textId="77777777" w:rsidR="00454A29" w:rsidRDefault="00454A29">
            <w:pPr>
              <w:pStyle w:val="ConsPlusNormal"/>
            </w:pPr>
          </w:p>
        </w:tc>
        <w:tc>
          <w:tcPr>
            <w:tcW w:w="1814" w:type="dxa"/>
            <w:vAlign w:val="center"/>
          </w:tcPr>
          <w:p w14:paraId="7AE11FDE" w14:textId="77777777" w:rsidR="00454A29" w:rsidRDefault="00454A29">
            <w:pPr>
              <w:pStyle w:val="ConsPlusNormal"/>
            </w:pPr>
          </w:p>
        </w:tc>
      </w:tr>
      <w:tr w:rsidR="00454A29" w14:paraId="48EFE146" w14:textId="77777777">
        <w:tc>
          <w:tcPr>
            <w:tcW w:w="567" w:type="dxa"/>
            <w:vMerge/>
          </w:tcPr>
          <w:p w14:paraId="28092FE8" w14:textId="77777777" w:rsidR="00454A29" w:rsidRDefault="00454A29"/>
        </w:tc>
        <w:tc>
          <w:tcPr>
            <w:tcW w:w="3345" w:type="dxa"/>
            <w:vMerge/>
          </w:tcPr>
          <w:p w14:paraId="037FAD74" w14:textId="77777777" w:rsidR="00454A29" w:rsidRDefault="00454A29"/>
        </w:tc>
        <w:tc>
          <w:tcPr>
            <w:tcW w:w="1701" w:type="dxa"/>
            <w:vAlign w:val="center"/>
          </w:tcPr>
          <w:p w14:paraId="542DEA45" w14:textId="77777777" w:rsidR="00454A29" w:rsidRDefault="00454A29">
            <w:pPr>
              <w:pStyle w:val="ConsPlusNormal"/>
              <w:jc w:val="center"/>
            </w:pPr>
            <w:r>
              <w:t>2025</w:t>
            </w:r>
          </w:p>
        </w:tc>
        <w:tc>
          <w:tcPr>
            <w:tcW w:w="1417" w:type="dxa"/>
            <w:vMerge/>
          </w:tcPr>
          <w:p w14:paraId="00813C93" w14:textId="77777777" w:rsidR="00454A29" w:rsidRDefault="00454A29"/>
        </w:tc>
        <w:tc>
          <w:tcPr>
            <w:tcW w:w="2204" w:type="dxa"/>
            <w:vMerge/>
          </w:tcPr>
          <w:p w14:paraId="78FD8F44" w14:textId="77777777" w:rsidR="00454A29" w:rsidRDefault="00454A29"/>
        </w:tc>
        <w:tc>
          <w:tcPr>
            <w:tcW w:w="1417" w:type="dxa"/>
            <w:vMerge/>
          </w:tcPr>
          <w:p w14:paraId="326E28EE" w14:textId="77777777" w:rsidR="00454A29" w:rsidRDefault="00454A29"/>
        </w:tc>
        <w:tc>
          <w:tcPr>
            <w:tcW w:w="2324" w:type="dxa"/>
            <w:vMerge/>
          </w:tcPr>
          <w:p w14:paraId="4724EFD4" w14:textId="77777777" w:rsidR="00454A29" w:rsidRDefault="00454A29"/>
        </w:tc>
        <w:tc>
          <w:tcPr>
            <w:tcW w:w="1701" w:type="dxa"/>
            <w:vAlign w:val="center"/>
          </w:tcPr>
          <w:p w14:paraId="6F1168C9" w14:textId="77777777" w:rsidR="00454A29" w:rsidRDefault="00454A29">
            <w:pPr>
              <w:pStyle w:val="ConsPlusNormal"/>
            </w:pPr>
          </w:p>
        </w:tc>
        <w:tc>
          <w:tcPr>
            <w:tcW w:w="1814" w:type="dxa"/>
            <w:vAlign w:val="center"/>
          </w:tcPr>
          <w:p w14:paraId="09EDDFE2" w14:textId="77777777" w:rsidR="00454A29" w:rsidRDefault="00454A29">
            <w:pPr>
              <w:pStyle w:val="ConsPlusNormal"/>
            </w:pPr>
          </w:p>
        </w:tc>
        <w:tc>
          <w:tcPr>
            <w:tcW w:w="1701" w:type="dxa"/>
            <w:vAlign w:val="center"/>
          </w:tcPr>
          <w:p w14:paraId="05B29422" w14:textId="77777777" w:rsidR="00454A29" w:rsidRDefault="00454A29">
            <w:pPr>
              <w:pStyle w:val="ConsPlusNormal"/>
            </w:pPr>
          </w:p>
        </w:tc>
        <w:tc>
          <w:tcPr>
            <w:tcW w:w="1701" w:type="dxa"/>
            <w:vAlign w:val="center"/>
          </w:tcPr>
          <w:p w14:paraId="2EE98437" w14:textId="77777777" w:rsidR="00454A29" w:rsidRDefault="00454A29">
            <w:pPr>
              <w:pStyle w:val="ConsPlusNormal"/>
            </w:pPr>
          </w:p>
        </w:tc>
        <w:tc>
          <w:tcPr>
            <w:tcW w:w="1814" w:type="dxa"/>
            <w:vAlign w:val="center"/>
          </w:tcPr>
          <w:p w14:paraId="4F81FDBB" w14:textId="77777777" w:rsidR="00454A29" w:rsidRDefault="00454A29">
            <w:pPr>
              <w:pStyle w:val="ConsPlusNormal"/>
            </w:pPr>
          </w:p>
        </w:tc>
      </w:tr>
      <w:tr w:rsidR="00454A29" w14:paraId="09CB7832" w14:textId="77777777">
        <w:tc>
          <w:tcPr>
            <w:tcW w:w="567" w:type="dxa"/>
            <w:vMerge/>
          </w:tcPr>
          <w:p w14:paraId="35A21B50" w14:textId="77777777" w:rsidR="00454A29" w:rsidRDefault="00454A29"/>
        </w:tc>
        <w:tc>
          <w:tcPr>
            <w:tcW w:w="3345" w:type="dxa"/>
            <w:vMerge/>
          </w:tcPr>
          <w:p w14:paraId="26FEA095" w14:textId="77777777" w:rsidR="00454A29" w:rsidRDefault="00454A29"/>
        </w:tc>
        <w:tc>
          <w:tcPr>
            <w:tcW w:w="1701" w:type="dxa"/>
            <w:vAlign w:val="center"/>
          </w:tcPr>
          <w:p w14:paraId="116349C6" w14:textId="77777777" w:rsidR="00454A29" w:rsidRDefault="00454A29">
            <w:pPr>
              <w:pStyle w:val="ConsPlusNormal"/>
              <w:jc w:val="center"/>
            </w:pPr>
            <w:r>
              <w:t>2026</w:t>
            </w:r>
          </w:p>
        </w:tc>
        <w:tc>
          <w:tcPr>
            <w:tcW w:w="1417" w:type="dxa"/>
            <w:vMerge/>
          </w:tcPr>
          <w:p w14:paraId="2911FC02" w14:textId="77777777" w:rsidR="00454A29" w:rsidRDefault="00454A29"/>
        </w:tc>
        <w:tc>
          <w:tcPr>
            <w:tcW w:w="2204" w:type="dxa"/>
            <w:vMerge/>
          </w:tcPr>
          <w:p w14:paraId="31FDB2B7" w14:textId="77777777" w:rsidR="00454A29" w:rsidRDefault="00454A29"/>
        </w:tc>
        <w:tc>
          <w:tcPr>
            <w:tcW w:w="1417" w:type="dxa"/>
            <w:vMerge/>
          </w:tcPr>
          <w:p w14:paraId="6CBDF616" w14:textId="77777777" w:rsidR="00454A29" w:rsidRDefault="00454A29"/>
        </w:tc>
        <w:tc>
          <w:tcPr>
            <w:tcW w:w="2324" w:type="dxa"/>
            <w:vMerge/>
          </w:tcPr>
          <w:p w14:paraId="4E96A181" w14:textId="77777777" w:rsidR="00454A29" w:rsidRDefault="00454A29"/>
        </w:tc>
        <w:tc>
          <w:tcPr>
            <w:tcW w:w="1701" w:type="dxa"/>
            <w:vAlign w:val="center"/>
          </w:tcPr>
          <w:p w14:paraId="03BEA0EB" w14:textId="77777777" w:rsidR="00454A29" w:rsidRDefault="00454A29">
            <w:pPr>
              <w:pStyle w:val="ConsPlusNormal"/>
            </w:pPr>
          </w:p>
        </w:tc>
        <w:tc>
          <w:tcPr>
            <w:tcW w:w="1814" w:type="dxa"/>
            <w:vAlign w:val="center"/>
          </w:tcPr>
          <w:p w14:paraId="432FFCAF" w14:textId="77777777" w:rsidR="00454A29" w:rsidRDefault="00454A29">
            <w:pPr>
              <w:pStyle w:val="ConsPlusNormal"/>
            </w:pPr>
          </w:p>
        </w:tc>
        <w:tc>
          <w:tcPr>
            <w:tcW w:w="1701" w:type="dxa"/>
            <w:vAlign w:val="center"/>
          </w:tcPr>
          <w:p w14:paraId="22FDB0F3" w14:textId="77777777" w:rsidR="00454A29" w:rsidRDefault="00454A29">
            <w:pPr>
              <w:pStyle w:val="ConsPlusNormal"/>
            </w:pPr>
          </w:p>
        </w:tc>
        <w:tc>
          <w:tcPr>
            <w:tcW w:w="1701" w:type="dxa"/>
            <w:vAlign w:val="center"/>
          </w:tcPr>
          <w:p w14:paraId="797A18EA" w14:textId="77777777" w:rsidR="00454A29" w:rsidRDefault="00454A29">
            <w:pPr>
              <w:pStyle w:val="ConsPlusNormal"/>
            </w:pPr>
          </w:p>
        </w:tc>
        <w:tc>
          <w:tcPr>
            <w:tcW w:w="1814" w:type="dxa"/>
            <w:vAlign w:val="center"/>
          </w:tcPr>
          <w:p w14:paraId="5C1AC384" w14:textId="77777777" w:rsidR="00454A29" w:rsidRDefault="00454A29">
            <w:pPr>
              <w:pStyle w:val="ConsPlusNormal"/>
            </w:pPr>
          </w:p>
        </w:tc>
      </w:tr>
      <w:tr w:rsidR="00454A29" w14:paraId="00A684AF" w14:textId="77777777">
        <w:tc>
          <w:tcPr>
            <w:tcW w:w="567" w:type="dxa"/>
            <w:vMerge w:val="restart"/>
            <w:vAlign w:val="center"/>
          </w:tcPr>
          <w:p w14:paraId="5DCED673" w14:textId="77777777" w:rsidR="00454A29" w:rsidRDefault="00454A29">
            <w:pPr>
              <w:pStyle w:val="ConsPlusNormal"/>
              <w:jc w:val="center"/>
            </w:pPr>
            <w:r>
              <w:t>9</w:t>
            </w:r>
          </w:p>
        </w:tc>
        <w:tc>
          <w:tcPr>
            <w:tcW w:w="3345" w:type="dxa"/>
            <w:vMerge w:val="restart"/>
            <w:vAlign w:val="center"/>
          </w:tcPr>
          <w:p w14:paraId="6305F422" w14:textId="77777777" w:rsidR="00454A29" w:rsidRDefault="00454A29">
            <w:pPr>
              <w:pStyle w:val="ConsPlusNormal"/>
              <w:jc w:val="center"/>
            </w:pPr>
            <w:r>
              <w:t>Школа-сад на 20/15 мест в с. Оленегорск</w:t>
            </w:r>
          </w:p>
        </w:tc>
        <w:tc>
          <w:tcPr>
            <w:tcW w:w="1701" w:type="dxa"/>
            <w:vAlign w:val="center"/>
          </w:tcPr>
          <w:p w14:paraId="7673ADF1" w14:textId="77777777" w:rsidR="00454A29" w:rsidRDefault="00454A29">
            <w:pPr>
              <w:pStyle w:val="ConsPlusNormal"/>
              <w:jc w:val="center"/>
            </w:pPr>
            <w:r>
              <w:t>2020 - 2026 годы - всего</w:t>
            </w:r>
          </w:p>
        </w:tc>
        <w:tc>
          <w:tcPr>
            <w:tcW w:w="1417" w:type="dxa"/>
            <w:vMerge w:val="restart"/>
            <w:vAlign w:val="center"/>
          </w:tcPr>
          <w:p w14:paraId="4EE4DE7A" w14:textId="77777777" w:rsidR="00454A29" w:rsidRDefault="00454A29">
            <w:pPr>
              <w:pStyle w:val="ConsPlusNormal"/>
              <w:jc w:val="center"/>
            </w:pPr>
            <w:r>
              <w:t>128 738,58</w:t>
            </w:r>
          </w:p>
        </w:tc>
        <w:tc>
          <w:tcPr>
            <w:tcW w:w="2204" w:type="dxa"/>
            <w:vMerge w:val="restart"/>
            <w:vAlign w:val="center"/>
          </w:tcPr>
          <w:p w14:paraId="3D37C5C3" w14:textId="77777777" w:rsidR="00454A29" w:rsidRDefault="00454A29">
            <w:pPr>
              <w:pStyle w:val="ConsPlusNormal"/>
            </w:pPr>
          </w:p>
        </w:tc>
        <w:tc>
          <w:tcPr>
            <w:tcW w:w="1417" w:type="dxa"/>
            <w:vMerge w:val="restart"/>
            <w:vAlign w:val="center"/>
          </w:tcPr>
          <w:p w14:paraId="1FAAA2B5" w14:textId="77777777" w:rsidR="00454A29" w:rsidRDefault="00454A29">
            <w:pPr>
              <w:pStyle w:val="ConsPlusNormal"/>
              <w:jc w:val="center"/>
            </w:pPr>
            <w:r>
              <w:t>20</w:t>
            </w:r>
          </w:p>
        </w:tc>
        <w:tc>
          <w:tcPr>
            <w:tcW w:w="2324" w:type="dxa"/>
            <w:vMerge w:val="restart"/>
            <w:vAlign w:val="center"/>
          </w:tcPr>
          <w:p w14:paraId="7030BD9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8E525EA" w14:textId="77777777" w:rsidR="00454A29" w:rsidRDefault="00454A29">
            <w:pPr>
              <w:pStyle w:val="ConsPlusNormal"/>
              <w:jc w:val="center"/>
            </w:pPr>
            <w:r>
              <w:t>128 738,58</w:t>
            </w:r>
          </w:p>
        </w:tc>
        <w:tc>
          <w:tcPr>
            <w:tcW w:w="1814" w:type="dxa"/>
            <w:vAlign w:val="center"/>
          </w:tcPr>
          <w:p w14:paraId="29EC4B5D" w14:textId="77777777" w:rsidR="00454A29" w:rsidRDefault="00454A29">
            <w:pPr>
              <w:pStyle w:val="ConsPlusNormal"/>
              <w:jc w:val="center"/>
            </w:pPr>
            <w:r>
              <w:t>1 586,06</w:t>
            </w:r>
          </w:p>
        </w:tc>
        <w:tc>
          <w:tcPr>
            <w:tcW w:w="1701" w:type="dxa"/>
            <w:vAlign w:val="center"/>
          </w:tcPr>
          <w:p w14:paraId="691401F4" w14:textId="77777777" w:rsidR="00454A29" w:rsidRDefault="00454A29">
            <w:pPr>
              <w:pStyle w:val="ConsPlusNormal"/>
              <w:jc w:val="center"/>
            </w:pPr>
            <w:r>
              <w:t>157 019,88</w:t>
            </w:r>
          </w:p>
        </w:tc>
        <w:tc>
          <w:tcPr>
            <w:tcW w:w="1701" w:type="dxa"/>
            <w:vAlign w:val="center"/>
          </w:tcPr>
          <w:p w14:paraId="3F9BDF4F" w14:textId="77777777" w:rsidR="00454A29" w:rsidRDefault="00454A29">
            <w:pPr>
              <w:pStyle w:val="ConsPlusNormal"/>
              <w:jc w:val="center"/>
            </w:pPr>
            <w:r>
              <w:t>-</w:t>
            </w:r>
          </w:p>
        </w:tc>
        <w:tc>
          <w:tcPr>
            <w:tcW w:w="1814" w:type="dxa"/>
            <w:vAlign w:val="center"/>
          </w:tcPr>
          <w:p w14:paraId="59D2A23B" w14:textId="77777777" w:rsidR="00454A29" w:rsidRDefault="00454A29">
            <w:pPr>
              <w:pStyle w:val="ConsPlusNormal"/>
              <w:jc w:val="center"/>
            </w:pPr>
            <w:r>
              <w:t>-</w:t>
            </w:r>
          </w:p>
        </w:tc>
      </w:tr>
      <w:tr w:rsidR="00454A29" w14:paraId="35D69CB4" w14:textId="77777777">
        <w:tc>
          <w:tcPr>
            <w:tcW w:w="567" w:type="dxa"/>
            <w:vMerge/>
          </w:tcPr>
          <w:p w14:paraId="0F3CD97C" w14:textId="77777777" w:rsidR="00454A29" w:rsidRDefault="00454A29"/>
        </w:tc>
        <w:tc>
          <w:tcPr>
            <w:tcW w:w="3345" w:type="dxa"/>
            <w:vMerge/>
          </w:tcPr>
          <w:p w14:paraId="2C702E76" w14:textId="77777777" w:rsidR="00454A29" w:rsidRDefault="00454A29"/>
        </w:tc>
        <w:tc>
          <w:tcPr>
            <w:tcW w:w="1701" w:type="dxa"/>
            <w:vAlign w:val="center"/>
          </w:tcPr>
          <w:p w14:paraId="66B31DA0" w14:textId="77777777" w:rsidR="00454A29" w:rsidRDefault="00454A29">
            <w:pPr>
              <w:pStyle w:val="ConsPlusNormal"/>
              <w:jc w:val="center"/>
            </w:pPr>
            <w:r>
              <w:t>2020</w:t>
            </w:r>
          </w:p>
        </w:tc>
        <w:tc>
          <w:tcPr>
            <w:tcW w:w="1417" w:type="dxa"/>
            <w:vMerge/>
          </w:tcPr>
          <w:p w14:paraId="00846087" w14:textId="77777777" w:rsidR="00454A29" w:rsidRDefault="00454A29"/>
        </w:tc>
        <w:tc>
          <w:tcPr>
            <w:tcW w:w="2204" w:type="dxa"/>
            <w:vMerge/>
          </w:tcPr>
          <w:p w14:paraId="7177CB4B" w14:textId="77777777" w:rsidR="00454A29" w:rsidRDefault="00454A29"/>
        </w:tc>
        <w:tc>
          <w:tcPr>
            <w:tcW w:w="1417" w:type="dxa"/>
            <w:vMerge/>
          </w:tcPr>
          <w:p w14:paraId="1BBEFB8E" w14:textId="77777777" w:rsidR="00454A29" w:rsidRDefault="00454A29"/>
        </w:tc>
        <w:tc>
          <w:tcPr>
            <w:tcW w:w="2324" w:type="dxa"/>
            <w:vMerge/>
          </w:tcPr>
          <w:p w14:paraId="08C5269E" w14:textId="77777777" w:rsidR="00454A29" w:rsidRDefault="00454A29"/>
        </w:tc>
        <w:tc>
          <w:tcPr>
            <w:tcW w:w="1701" w:type="dxa"/>
            <w:vAlign w:val="center"/>
          </w:tcPr>
          <w:p w14:paraId="0E673F70" w14:textId="77777777" w:rsidR="00454A29" w:rsidRDefault="00454A29">
            <w:pPr>
              <w:pStyle w:val="ConsPlusNormal"/>
            </w:pPr>
          </w:p>
        </w:tc>
        <w:tc>
          <w:tcPr>
            <w:tcW w:w="1814" w:type="dxa"/>
            <w:vAlign w:val="center"/>
          </w:tcPr>
          <w:p w14:paraId="29F95C78" w14:textId="77777777" w:rsidR="00454A29" w:rsidRDefault="00454A29">
            <w:pPr>
              <w:pStyle w:val="ConsPlusNormal"/>
            </w:pPr>
          </w:p>
        </w:tc>
        <w:tc>
          <w:tcPr>
            <w:tcW w:w="1701" w:type="dxa"/>
            <w:vAlign w:val="center"/>
          </w:tcPr>
          <w:p w14:paraId="5E5D2495" w14:textId="77777777" w:rsidR="00454A29" w:rsidRDefault="00454A29">
            <w:pPr>
              <w:pStyle w:val="ConsPlusNormal"/>
            </w:pPr>
          </w:p>
        </w:tc>
        <w:tc>
          <w:tcPr>
            <w:tcW w:w="1701" w:type="dxa"/>
            <w:vAlign w:val="center"/>
          </w:tcPr>
          <w:p w14:paraId="365162CA" w14:textId="77777777" w:rsidR="00454A29" w:rsidRDefault="00454A29">
            <w:pPr>
              <w:pStyle w:val="ConsPlusNormal"/>
            </w:pPr>
          </w:p>
        </w:tc>
        <w:tc>
          <w:tcPr>
            <w:tcW w:w="1814" w:type="dxa"/>
            <w:vAlign w:val="center"/>
          </w:tcPr>
          <w:p w14:paraId="6B47A01E" w14:textId="77777777" w:rsidR="00454A29" w:rsidRDefault="00454A29">
            <w:pPr>
              <w:pStyle w:val="ConsPlusNormal"/>
            </w:pPr>
          </w:p>
        </w:tc>
      </w:tr>
      <w:tr w:rsidR="00454A29" w14:paraId="1C0CA85F" w14:textId="77777777">
        <w:tc>
          <w:tcPr>
            <w:tcW w:w="567" w:type="dxa"/>
            <w:vMerge/>
          </w:tcPr>
          <w:p w14:paraId="05467E56" w14:textId="77777777" w:rsidR="00454A29" w:rsidRDefault="00454A29"/>
        </w:tc>
        <w:tc>
          <w:tcPr>
            <w:tcW w:w="3345" w:type="dxa"/>
            <w:vMerge/>
          </w:tcPr>
          <w:p w14:paraId="7C694DA7" w14:textId="77777777" w:rsidR="00454A29" w:rsidRDefault="00454A29"/>
        </w:tc>
        <w:tc>
          <w:tcPr>
            <w:tcW w:w="1701" w:type="dxa"/>
            <w:vAlign w:val="center"/>
          </w:tcPr>
          <w:p w14:paraId="6ED50A82" w14:textId="77777777" w:rsidR="00454A29" w:rsidRDefault="00454A29">
            <w:pPr>
              <w:pStyle w:val="ConsPlusNormal"/>
              <w:jc w:val="center"/>
            </w:pPr>
            <w:r>
              <w:t>2021</w:t>
            </w:r>
          </w:p>
        </w:tc>
        <w:tc>
          <w:tcPr>
            <w:tcW w:w="1417" w:type="dxa"/>
            <w:vMerge/>
          </w:tcPr>
          <w:p w14:paraId="7E010D64" w14:textId="77777777" w:rsidR="00454A29" w:rsidRDefault="00454A29"/>
        </w:tc>
        <w:tc>
          <w:tcPr>
            <w:tcW w:w="2204" w:type="dxa"/>
            <w:vMerge/>
          </w:tcPr>
          <w:p w14:paraId="096BB263" w14:textId="77777777" w:rsidR="00454A29" w:rsidRDefault="00454A29"/>
        </w:tc>
        <w:tc>
          <w:tcPr>
            <w:tcW w:w="1417" w:type="dxa"/>
            <w:vMerge/>
          </w:tcPr>
          <w:p w14:paraId="03A73997" w14:textId="77777777" w:rsidR="00454A29" w:rsidRDefault="00454A29"/>
        </w:tc>
        <w:tc>
          <w:tcPr>
            <w:tcW w:w="2324" w:type="dxa"/>
            <w:vMerge/>
          </w:tcPr>
          <w:p w14:paraId="4158FD1E" w14:textId="77777777" w:rsidR="00454A29" w:rsidRDefault="00454A29"/>
        </w:tc>
        <w:tc>
          <w:tcPr>
            <w:tcW w:w="1701" w:type="dxa"/>
            <w:vAlign w:val="center"/>
          </w:tcPr>
          <w:p w14:paraId="0DF348A2" w14:textId="77777777" w:rsidR="00454A29" w:rsidRDefault="00454A29">
            <w:pPr>
              <w:pStyle w:val="ConsPlusNormal"/>
            </w:pPr>
          </w:p>
        </w:tc>
        <w:tc>
          <w:tcPr>
            <w:tcW w:w="1814" w:type="dxa"/>
            <w:vAlign w:val="center"/>
          </w:tcPr>
          <w:p w14:paraId="4936356F" w14:textId="77777777" w:rsidR="00454A29" w:rsidRDefault="00454A29">
            <w:pPr>
              <w:pStyle w:val="ConsPlusNormal"/>
            </w:pPr>
          </w:p>
        </w:tc>
        <w:tc>
          <w:tcPr>
            <w:tcW w:w="1701" w:type="dxa"/>
            <w:vAlign w:val="center"/>
          </w:tcPr>
          <w:p w14:paraId="3FACC136" w14:textId="77777777" w:rsidR="00454A29" w:rsidRDefault="00454A29">
            <w:pPr>
              <w:pStyle w:val="ConsPlusNormal"/>
            </w:pPr>
          </w:p>
        </w:tc>
        <w:tc>
          <w:tcPr>
            <w:tcW w:w="1701" w:type="dxa"/>
            <w:vAlign w:val="center"/>
          </w:tcPr>
          <w:p w14:paraId="617CFEF2" w14:textId="77777777" w:rsidR="00454A29" w:rsidRDefault="00454A29">
            <w:pPr>
              <w:pStyle w:val="ConsPlusNormal"/>
            </w:pPr>
          </w:p>
        </w:tc>
        <w:tc>
          <w:tcPr>
            <w:tcW w:w="1814" w:type="dxa"/>
            <w:vAlign w:val="center"/>
          </w:tcPr>
          <w:p w14:paraId="134D6AF3" w14:textId="77777777" w:rsidR="00454A29" w:rsidRDefault="00454A29">
            <w:pPr>
              <w:pStyle w:val="ConsPlusNormal"/>
            </w:pPr>
          </w:p>
        </w:tc>
      </w:tr>
      <w:tr w:rsidR="00454A29" w14:paraId="621875FB" w14:textId="77777777">
        <w:tc>
          <w:tcPr>
            <w:tcW w:w="567" w:type="dxa"/>
            <w:vMerge/>
          </w:tcPr>
          <w:p w14:paraId="2CA411EA" w14:textId="77777777" w:rsidR="00454A29" w:rsidRDefault="00454A29"/>
        </w:tc>
        <w:tc>
          <w:tcPr>
            <w:tcW w:w="3345" w:type="dxa"/>
            <w:vMerge/>
          </w:tcPr>
          <w:p w14:paraId="2D5009D6" w14:textId="77777777" w:rsidR="00454A29" w:rsidRDefault="00454A29"/>
        </w:tc>
        <w:tc>
          <w:tcPr>
            <w:tcW w:w="1701" w:type="dxa"/>
            <w:vAlign w:val="center"/>
          </w:tcPr>
          <w:p w14:paraId="729629AF" w14:textId="77777777" w:rsidR="00454A29" w:rsidRDefault="00454A29">
            <w:pPr>
              <w:pStyle w:val="ConsPlusNormal"/>
              <w:jc w:val="center"/>
            </w:pPr>
            <w:r>
              <w:t>2022</w:t>
            </w:r>
          </w:p>
        </w:tc>
        <w:tc>
          <w:tcPr>
            <w:tcW w:w="1417" w:type="dxa"/>
            <w:vMerge/>
          </w:tcPr>
          <w:p w14:paraId="05CA21B4" w14:textId="77777777" w:rsidR="00454A29" w:rsidRDefault="00454A29"/>
        </w:tc>
        <w:tc>
          <w:tcPr>
            <w:tcW w:w="2204" w:type="dxa"/>
            <w:vMerge/>
          </w:tcPr>
          <w:p w14:paraId="367BA512" w14:textId="77777777" w:rsidR="00454A29" w:rsidRDefault="00454A29"/>
        </w:tc>
        <w:tc>
          <w:tcPr>
            <w:tcW w:w="1417" w:type="dxa"/>
            <w:vMerge/>
          </w:tcPr>
          <w:p w14:paraId="40788399" w14:textId="77777777" w:rsidR="00454A29" w:rsidRDefault="00454A29"/>
        </w:tc>
        <w:tc>
          <w:tcPr>
            <w:tcW w:w="2324" w:type="dxa"/>
            <w:vMerge/>
          </w:tcPr>
          <w:p w14:paraId="6A5D592C" w14:textId="77777777" w:rsidR="00454A29" w:rsidRDefault="00454A29"/>
        </w:tc>
        <w:tc>
          <w:tcPr>
            <w:tcW w:w="1701" w:type="dxa"/>
            <w:vAlign w:val="center"/>
          </w:tcPr>
          <w:p w14:paraId="1A32EFF6" w14:textId="77777777" w:rsidR="00454A29" w:rsidRDefault="00454A29">
            <w:pPr>
              <w:pStyle w:val="ConsPlusNormal"/>
            </w:pPr>
          </w:p>
        </w:tc>
        <w:tc>
          <w:tcPr>
            <w:tcW w:w="1814" w:type="dxa"/>
            <w:vAlign w:val="center"/>
          </w:tcPr>
          <w:p w14:paraId="2F2C7753" w14:textId="77777777" w:rsidR="00454A29" w:rsidRDefault="00454A29">
            <w:pPr>
              <w:pStyle w:val="ConsPlusNormal"/>
            </w:pPr>
          </w:p>
        </w:tc>
        <w:tc>
          <w:tcPr>
            <w:tcW w:w="1701" w:type="dxa"/>
            <w:vAlign w:val="center"/>
          </w:tcPr>
          <w:p w14:paraId="57EA8584" w14:textId="77777777" w:rsidR="00454A29" w:rsidRDefault="00454A29">
            <w:pPr>
              <w:pStyle w:val="ConsPlusNormal"/>
            </w:pPr>
          </w:p>
        </w:tc>
        <w:tc>
          <w:tcPr>
            <w:tcW w:w="1701" w:type="dxa"/>
            <w:vAlign w:val="center"/>
          </w:tcPr>
          <w:p w14:paraId="5B10F50A" w14:textId="77777777" w:rsidR="00454A29" w:rsidRDefault="00454A29">
            <w:pPr>
              <w:pStyle w:val="ConsPlusNormal"/>
            </w:pPr>
          </w:p>
        </w:tc>
        <w:tc>
          <w:tcPr>
            <w:tcW w:w="1814" w:type="dxa"/>
            <w:vAlign w:val="center"/>
          </w:tcPr>
          <w:p w14:paraId="3495638A" w14:textId="77777777" w:rsidR="00454A29" w:rsidRDefault="00454A29">
            <w:pPr>
              <w:pStyle w:val="ConsPlusNormal"/>
            </w:pPr>
          </w:p>
        </w:tc>
      </w:tr>
      <w:tr w:rsidR="00454A29" w14:paraId="298168EC" w14:textId="77777777">
        <w:tc>
          <w:tcPr>
            <w:tcW w:w="567" w:type="dxa"/>
            <w:vMerge/>
          </w:tcPr>
          <w:p w14:paraId="5F72F7A5" w14:textId="77777777" w:rsidR="00454A29" w:rsidRDefault="00454A29"/>
        </w:tc>
        <w:tc>
          <w:tcPr>
            <w:tcW w:w="3345" w:type="dxa"/>
            <w:vMerge/>
          </w:tcPr>
          <w:p w14:paraId="5893707F" w14:textId="77777777" w:rsidR="00454A29" w:rsidRDefault="00454A29"/>
        </w:tc>
        <w:tc>
          <w:tcPr>
            <w:tcW w:w="1701" w:type="dxa"/>
            <w:vAlign w:val="center"/>
          </w:tcPr>
          <w:p w14:paraId="2B4FA622" w14:textId="77777777" w:rsidR="00454A29" w:rsidRDefault="00454A29">
            <w:pPr>
              <w:pStyle w:val="ConsPlusNormal"/>
              <w:jc w:val="center"/>
            </w:pPr>
            <w:r>
              <w:t>2023</w:t>
            </w:r>
          </w:p>
        </w:tc>
        <w:tc>
          <w:tcPr>
            <w:tcW w:w="1417" w:type="dxa"/>
            <w:vMerge/>
          </w:tcPr>
          <w:p w14:paraId="29A532B5" w14:textId="77777777" w:rsidR="00454A29" w:rsidRDefault="00454A29"/>
        </w:tc>
        <w:tc>
          <w:tcPr>
            <w:tcW w:w="2204" w:type="dxa"/>
            <w:vMerge/>
          </w:tcPr>
          <w:p w14:paraId="419700C0" w14:textId="77777777" w:rsidR="00454A29" w:rsidRDefault="00454A29"/>
        </w:tc>
        <w:tc>
          <w:tcPr>
            <w:tcW w:w="1417" w:type="dxa"/>
            <w:vMerge/>
          </w:tcPr>
          <w:p w14:paraId="5904AC07" w14:textId="77777777" w:rsidR="00454A29" w:rsidRDefault="00454A29"/>
        </w:tc>
        <w:tc>
          <w:tcPr>
            <w:tcW w:w="2324" w:type="dxa"/>
            <w:vMerge/>
          </w:tcPr>
          <w:p w14:paraId="23486010" w14:textId="77777777" w:rsidR="00454A29" w:rsidRDefault="00454A29"/>
        </w:tc>
        <w:tc>
          <w:tcPr>
            <w:tcW w:w="1701" w:type="dxa"/>
            <w:vAlign w:val="center"/>
          </w:tcPr>
          <w:p w14:paraId="2A99FF49" w14:textId="77777777" w:rsidR="00454A29" w:rsidRDefault="00454A29">
            <w:pPr>
              <w:pStyle w:val="ConsPlusNormal"/>
            </w:pPr>
          </w:p>
        </w:tc>
        <w:tc>
          <w:tcPr>
            <w:tcW w:w="1814" w:type="dxa"/>
            <w:vAlign w:val="center"/>
          </w:tcPr>
          <w:p w14:paraId="70E35335" w14:textId="77777777" w:rsidR="00454A29" w:rsidRDefault="00454A29">
            <w:pPr>
              <w:pStyle w:val="ConsPlusNormal"/>
            </w:pPr>
          </w:p>
        </w:tc>
        <w:tc>
          <w:tcPr>
            <w:tcW w:w="1701" w:type="dxa"/>
            <w:vAlign w:val="center"/>
          </w:tcPr>
          <w:p w14:paraId="5BFC013A" w14:textId="77777777" w:rsidR="00454A29" w:rsidRDefault="00454A29">
            <w:pPr>
              <w:pStyle w:val="ConsPlusNormal"/>
            </w:pPr>
          </w:p>
        </w:tc>
        <w:tc>
          <w:tcPr>
            <w:tcW w:w="1701" w:type="dxa"/>
            <w:vAlign w:val="center"/>
          </w:tcPr>
          <w:p w14:paraId="6DC7FA57" w14:textId="77777777" w:rsidR="00454A29" w:rsidRDefault="00454A29">
            <w:pPr>
              <w:pStyle w:val="ConsPlusNormal"/>
            </w:pPr>
          </w:p>
        </w:tc>
        <w:tc>
          <w:tcPr>
            <w:tcW w:w="1814" w:type="dxa"/>
            <w:vAlign w:val="center"/>
          </w:tcPr>
          <w:p w14:paraId="2BDBC781" w14:textId="77777777" w:rsidR="00454A29" w:rsidRDefault="00454A29">
            <w:pPr>
              <w:pStyle w:val="ConsPlusNormal"/>
            </w:pPr>
          </w:p>
        </w:tc>
      </w:tr>
      <w:tr w:rsidR="00454A29" w14:paraId="2559AB03" w14:textId="77777777">
        <w:tc>
          <w:tcPr>
            <w:tcW w:w="567" w:type="dxa"/>
            <w:vMerge/>
          </w:tcPr>
          <w:p w14:paraId="64A2DD08" w14:textId="77777777" w:rsidR="00454A29" w:rsidRDefault="00454A29"/>
        </w:tc>
        <w:tc>
          <w:tcPr>
            <w:tcW w:w="3345" w:type="dxa"/>
            <w:vMerge/>
          </w:tcPr>
          <w:p w14:paraId="570657B1" w14:textId="77777777" w:rsidR="00454A29" w:rsidRDefault="00454A29"/>
        </w:tc>
        <w:tc>
          <w:tcPr>
            <w:tcW w:w="1701" w:type="dxa"/>
            <w:vAlign w:val="center"/>
          </w:tcPr>
          <w:p w14:paraId="295F0EB3" w14:textId="77777777" w:rsidR="00454A29" w:rsidRDefault="00454A29">
            <w:pPr>
              <w:pStyle w:val="ConsPlusNormal"/>
              <w:jc w:val="center"/>
            </w:pPr>
            <w:r>
              <w:t>2024</w:t>
            </w:r>
          </w:p>
        </w:tc>
        <w:tc>
          <w:tcPr>
            <w:tcW w:w="1417" w:type="dxa"/>
            <w:vMerge/>
          </w:tcPr>
          <w:p w14:paraId="3EC3A3FF" w14:textId="77777777" w:rsidR="00454A29" w:rsidRDefault="00454A29"/>
        </w:tc>
        <w:tc>
          <w:tcPr>
            <w:tcW w:w="2204" w:type="dxa"/>
            <w:vMerge/>
          </w:tcPr>
          <w:p w14:paraId="7277459A" w14:textId="77777777" w:rsidR="00454A29" w:rsidRDefault="00454A29"/>
        </w:tc>
        <w:tc>
          <w:tcPr>
            <w:tcW w:w="1417" w:type="dxa"/>
            <w:vMerge/>
          </w:tcPr>
          <w:p w14:paraId="64B60839" w14:textId="77777777" w:rsidR="00454A29" w:rsidRDefault="00454A29"/>
        </w:tc>
        <w:tc>
          <w:tcPr>
            <w:tcW w:w="2324" w:type="dxa"/>
            <w:vMerge/>
          </w:tcPr>
          <w:p w14:paraId="36666679" w14:textId="77777777" w:rsidR="00454A29" w:rsidRDefault="00454A29"/>
        </w:tc>
        <w:tc>
          <w:tcPr>
            <w:tcW w:w="1701" w:type="dxa"/>
            <w:vAlign w:val="center"/>
          </w:tcPr>
          <w:p w14:paraId="1175FBCA" w14:textId="77777777" w:rsidR="00454A29" w:rsidRDefault="00454A29">
            <w:pPr>
              <w:pStyle w:val="ConsPlusNormal"/>
            </w:pPr>
          </w:p>
        </w:tc>
        <w:tc>
          <w:tcPr>
            <w:tcW w:w="1814" w:type="dxa"/>
            <w:vAlign w:val="center"/>
          </w:tcPr>
          <w:p w14:paraId="764920F6" w14:textId="77777777" w:rsidR="00454A29" w:rsidRDefault="00454A29">
            <w:pPr>
              <w:pStyle w:val="ConsPlusNormal"/>
            </w:pPr>
          </w:p>
        </w:tc>
        <w:tc>
          <w:tcPr>
            <w:tcW w:w="1701" w:type="dxa"/>
            <w:vAlign w:val="center"/>
          </w:tcPr>
          <w:p w14:paraId="6E82807D" w14:textId="77777777" w:rsidR="00454A29" w:rsidRDefault="00454A29">
            <w:pPr>
              <w:pStyle w:val="ConsPlusNormal"/>
            </w:pPr>
          </w:p>
        </w:tc>
        <w:tc>
          <w:tcPr>
            <w:tcW w:w="1701" w:type="dxa"/>
            <w:vAlign w:val="center"/>
          </w:tcPr>
          <w:p w14:paraId="1F8836D2" w14:textId="77777777" w:rsidR="00454A29" w:rsidRDefault="00454A29">
            <w:pPr>
              <w:pStyle w:val="ConsPlusNormal"/>
            </w:pPr>
          </w:p>
        </w:tc>
        <w:tc>
          <w:tcPr>
            <w:tcW w:w="1814" w:type="dxa"/>
            <w:vAlign w:val="center"/>
          </w:tcPr>
          <w:p w14:paraId="47ABD00F" w14:textId="77777777" w:rsidR="00454A29" w:rsidRDefault="00454A29">
            <w:pPr>
              <w:pStyle w:val="ConsPlusNormal"/>
            </w:pPr>
          </w:p>
        </w:tc>
      </w:tr>
      <w:tr w:rsidR="00454A29" w14:paraId="59E7F4FA" w14:textId="77777777">
        <w:tc>
          <w:tcPr>
            <w:tcW w:w="567" w:type="dxa"/>
            <w:vMerge/>
          </w:tcPr>
          <w:p w14:paraId="7C026A94" w14:textId="77777777" w:rsidR="00454A29" w:rsidRDefault="00454A29"/>
        </w:tc>
        <w:tc>
          <w:tcPr>
            <w:tcW w:w="3345" w:type="dxa"/>
            <w:vMerge/>
          </w:tcPr>
          <w:p w14:paraId="03BF9D77" w14:textId="77777777" w:rsidR="00454A29" w:rsidRDefault="00454A29"/>
        </w:tc>
        <w:tc>
          <w:tcPr>
            <w:tcW w:w="1701" w:type="dxa"/>
            <w:vAlign w:val="center"/>
          </w:tcPr>
          <w:p w14:paraId="69088EB5" w14:textId="77777777" w:rsidR="00454A29" w:rsidRDefault="00454A29">
            <w:pPr>
              <w:pStyle w:val="ConsPlusNormal"/>
              <w:jc w:val="center"/>
            </w:pPr>
            <w:r>
              <w:t>2025</w:t>
            </w:r>
          </w:p>
        </w:tc>
        <w:tc>
          <w:tcPr>
            <w:tcW w:w="1417" w:type="dxa"/>
            <w:vMerge/>
          </w:tcPr>
          <w:p w14:paraId="0857A39A" w14:textId="77777777" w:rsidR="00454A29" w:rsidRDefault="00454A29"/>
        </w:tc>
        <w:tc>
          <w:tcPr>
            <w:tcW w:w="2204" w:type="dxa"/>
            <w:vMerge/>
          </w:tcPr>
          <w:p w14:paraId="252C095D" w14:textId="77777777" w:rsidR="00454A29" w:rsidRDefault="00454A29"/>
        </w:tc>
        <w:tc>
          <w:tcPr>
            <w:tcW w:w="1417" w:type="dxa"/>
            <w:vMerge/>
          </w:tcPr>
          <w:p w14:paraId="256FF407" w14:textId="77777777" w:rsidR="00454A29" w:rsidRDefault="00454A29"/>
        </w:tc>
        <w:tc>
          <w:tcPr>
            <w:tcW w:w="2324" w:type="dxa"/>
            <w:vMerge/>
          </w:tcPr>
          <w:p w14:paraId="52F16FB5" w14:textId="77777777" w:rsidR="00454A29" w:rsidRDefault="00454A29"/>
        </w:tc>
        <w:tc>
          <w:tcPr>
            <w:tcW w:w="1701" w:type="dxa"/>
            <w:vAlign w:val="center"/>
          </w:tcPr>
          <w:p w14:paraId="13575151" w14:textId="77777777" w:rsidR="00454A29" w:rsidRDefault="00454A29">
            <w:pPr>
              <w:pStyle w:val="ConsPlusNormal"/>
            </w:pPr>
          </w:p>
        </w:tc>
        <w:tc>
          <w:tcPr>
            <w:tcW w:w="1814" w:type="dxa"/>
            <w:vAlign w:val="center"/>
          </w:tcPr>
          <w:p w14:paraId="17D74CBF" w14:textId="77777777" w:rsidR="00454A29" w:rsidRDefault="00454A29">
            <w:pPr>
              <w:pStyle w:val="ConsPlusNormal"/>
            </w:pPr>
          </w:p>
        </w:tc>
        <w:tc>
          <w:tcPr>
            <w:tcW w:w="1701" w:type="dxa"/>
            <w:vAlign w:val="center"/>
          </w:tcPr>
          <w:p w14:paraId="39A7F754" w14:textId="77777777" w:rsidR="00454A29" w:rsidRDefault="00454A29">
            <w:pPr>
              <w:pStyle w:val="ConsPlusNormal"/>
            </w:pPr>
          </w:p>
        </w:tc>
        <w:tc>
          <w:tcPr>
            <w:tcW w:w="1701" w:type="dxa"/>
            <w:vAlign w:val="center"/>
          </w:tcPr>
          <w:p w14:paraId="7BC83757" w14:textId="77777777" w:rsidR="00454A29" w:rsidRDefault="00454A29">
            <w:pPr>
              <w:pStyle w:val="ConsPlusNormal"/>
            </w:pPr>
          </w:p>
        </w:tc>
        <w:tc>
          <w:tcPr>
            <w:tcW w:w="1814" w:type="dxa"/>
            <w:vAlign w:val="center"/>
          </w:tcPr>
          <w:p w14:paraId="4AFFFF0A" w14:textId="77777777" w:rsidR="00454A29" w:rsidRDefault="00454A29">
            <w:pPr>
              <w:pStyle w:val="ConsPlusNormal"/>
            </w:pPr>
          </w:p>
        </w:tc>
      </w:tr>
      <w:tr w:rsidR="00454A29" w14:paraId="08271348" w14:textId="77777777">
        <w:tc>
          <w:tcPr>
            <w:tcW w:w="567" w:type="dxa"/>
            <w:vMerge/>
          </w:tcPr>
          <w:p w14:paraId="32AE0C90" w14:textId="77777777" w:rsidR="00454A29" w:rsidRDefault="00454A29"/>
        </w:tc>
        <w:tc>
          <w:tcPr>
            <w:tcW w:w="3345" w:type="dxa"/>
            <w:vMerge/>
          </w:tcPr>
          <w:p w14:paraId="5A24BFCF" w14:textId="77777777" w:rsidR="00454A29" w:rsidRDefault="00454A29"/>
        </w:tc>
        <w:tc>
          <w:tcPr>
            <w:tcW w:w="1701" w:type="dxa"/>
            <w:vAlign w:val="center"/>
          </w:tcPr>
          <w:p w14:paraId="4EDF5DB0" w14:textId="77777777" w:rsidR="00454A29" w:rsidRDefault="00454A29">
            <w:pPr>
              <w:pStyle w:val="ConsPlusNormal"/>
              <w:jc w:val="center"/>
            </w:pPr>
            <w:r>
              <w:t>2026</w:t>
            </w:r>
          </w:p>
        </w:tc>
        <w:tc>
          <w:tcPr>
            <w:tcW w:w="1417" w:type="dxa"/>
            <w:vMerge/>
          </w:tcPr>
          <w:p w14:paraId="6A19FB95" w14:textId="77777777" w:rsidR="00454A29" w:rsidRDefault="00454A29"/>
        </w:tc>
        <w:tc>
          <w:tcPr>
            <w:tcW w:w="2204" w:type="dxa"/>
            <w:vMerge/>
          </w:tcPr>
          <w:p w14:paraId="01D56A62" w14:textId="77777777" w:rsidR="00454A29" w:rsidRDefault="00454A29"/>
        </w:tc>
        <w:tc>
          <w:tcPr>
            <w:tcW w:w="1417" w:type="dxa"/>
            <w:vMerge/>
          </w:tcPr>
          <w:p w14:paraId="735EF09D" w14:textId="77777777" w:rsidR="00454A29" w:rsidRDefault="00454A29"/>
        </w:tc>
        <w:tc>
          <w:tcPr>
            <w:tcW w:w="2324" w:type="dxa"/>
            <w:vMerge/>
          </w:tcPr>
          <w:p w14:paraId="1C41AE07" w14:textId="77777777" w:rsidR="00454A29" w:rsidRDefault="00454A29"/>
        </w:tc>
        <w:tc>
          <w:tcPr>
            <w:tcW w:w="1701" w:type="dxa"/>
            <w:vAlign w:val="center"/>
          </w:tcPr>
          <w:p w14:paraId="1EBDF7D2" w14:textId="77777777" w:rsidR="00454A29" w:rsidRDefault="00454A29">
            <w:pPr>
              <w:pStyle w:val="ConsPlusNormal"/>
              <w:jc w:val="center"/>
            </w:pPr>
            <w:r>
              <w:t>128738,58</w:t>
            </w:r>
          </w:p>
        </w:tc>
        <w:tc>
          <w:tcPr>
            <w:tcW w:w="1814" w:type="dxa"/>
            <w:vAlign w:val="center"/>
          </w:tcPr>
          <w:p w14:paraId="78D8EC62" w14:textId="77777777" w:rsidR="00454A29" w:rsidRDefault="00454A29">
            <w:pPr>
              <w:pStyle w:val="ConsPlusNormal"/>
              <w:jc w:val="center"/>
            </w:pPr>
            <w:r>
              <w:t>1586,06</w:t>
            </w:r>
          </w:p>
        </w:tc>
        <w:tc>
          <w:tcPr>
            <w:tcW w:w="1701" w:type="dxa"/>
            <w:vAlign w:val="center"/>
          </w:tcPr>
          <w:p w14:paraId="34F1552D" w14:textId="77777777" w:rsidR="00454A29" w:rsidRDefault="00454A29">
            <w:pPr>
              <w:pStyle w:val="ConsPlusNormal"/>
              <w:jc w:val="center"/>
            </w:pPr>
            <w:r>
              <w:t>157019,8754</w:t>
            </w:r>
          </w:p>
        </w:tc>
        <w:tc>
          <w:tcPr>
            <w:tcW w:w="1701" w:type="dxa"/>
            <w:vAlign w:val="center"/>
          </w:tcPr>
          <w:p w14:paraId="295D76A4" w14:textId="77777777" w:rsidR="00454A29" w:rsidRDefault="00454A29">
            <w:pPr>
              <w:pStyle w:val="ConsPlusNormal"/>
            </w:pPr>
          </w:p>
        </w:tc>
        <w:tc>
          <w:tcPr>
            <w:tcW w:w="1814" w:type="dxa"/>
            <w:vAlign w:val="center"/>
          </w:tcPr>
          <w:p w14:paraId="019D3C83" w14:textId="77777777" w:rsidR="00454A29" w:rsidRDefault="00454A29">
            <w:pPr>
              <w:pStyle w:val="ConsPlusNormal"/>
            </w:pPr>
          </w:p>
        </w:tc>
      </w:tr>
      <w:tr w:rsidR="00454A29" w14:paraId="5E09FFD7" w14:textId="77777777">
        <w:tc>
          <w:tcPr>
            <w:tcW w:w="21706" w:type="dxa"/>
            <w:gridSpan w:val="12"/>
            <w:vAlign w:val="center"/>
          </w:tcPr>
          <w:p w14:paraId="5E1B72A5" w14:textId="77777777" w:rsidR="00454A29" w:rsidRDefault="00454A29">
            <w:pPr>
              <w:pStyle w:val="ConsPlusNormal"/>
              <w:jc w:val="center"/>
              <w:outlineLvl w:val="2"/>
            </w:pPr>
            <w:r>
              <w:t>МР "Амгинский улус (район)"</w:t>
            </w:r>
          </w:p>
        </w:tc>
      </w:tr>
      <w:tr w:rsidR="00454A29" w14:paraId="58683AFE" w14:textId="77777777">
        <w:tc>
          <w:tcPr>
            <w:tcW w:w="567" w:type="dxa"/>
            <w:vMerge w:val="restart"/>
            <w:vAlign w:val="center"/>
          </w:tcPr>
          <w:p w14:paraId="40A8BFCF" w14:textId="77777777" w:rsidR="00454A29" w:rsidRDefault="00454A29">
            <w:pPr>
              <w:pStyle w:val="ConsPlusNormal"/>
              <w:jc w:val="center"/>
            </w:pPr>
            <w:r>
              <w:t>10</w:t>
            </w:r>
          </w:p>
        </w:tc>
        <w:tc>
          <w:tcPr>
            <w:tcW w:w="3345" w:type="dxa"/>
            <w:vMerge w:val="restart"/>
            <w:vAlign w:val="center"/>
          </w:tcPr>
          <w:p w14:paraId="24D346D6" w14:textId="77777777" w:rsidR="00454A29" w:rsidRDefault="00454A29">
            <w:pPr>
              <w:pStyle w:val="ConsPlusNormal"/>
              <w:jc w:val="center"/>
            </w:pPr>
            <w:r>
              <w:t>Гимназия на 360 учащихся в с. Амга (Лицей)</w:t>
            </w:r>
          </w:p>
        </w:tc>
        <w:tc>
          <w:tcPr>
            <w:tcW w:w="1701" w:type="dxa"/>
            <w:vAlign w:val="center"/>
          </w:tcPr>
          <w:p w14:paraId="58514307" w14:textId="77777777" w:rsidR="00454A29" w:rsidRDefault="00454A29">
            <w:pPr>
              <w:pStyle w:val="ConsPlusNormal"/>
              <w:jc w:val="center"/>
            </w:pPr>
            <w:r>
              <w:t>2020 - 2026 годы - всего</w:t>
            </w:r>
          </w:p>
        </w:tc>
        <w:tc>
          <w:tcPr>
            <w:tcW w:w="1417" w:type="dxa"/>
            <w:vMerge w:val="restart"/>
            <w:vAlign w:val="center"/>
          </w:tcPr>
          <w:p w14:paraId="408541BA" w14:textId="77777777" w:rsidR="00454A29" w:rsidRDefault="00454A29">
            <w:pPr>
              <w:pStyle w:val="ConsPlusNormal"/>
              <w:jc w:val="center"/>
            </w:pPr>
            <w:r>
              <w:t>733 339,11</w:t>
            </w:r>
          </w:p>
        </w:tc>
        <w:tc>
          <w:tcPr>
            <w:tcW w:w="2204" w:type="dxa"/>
            <w:vMerge w:val="restart"/>
            <w:vAlign w:val="center"/>
          </w:tcPr>
          <w:p w14:paraId="533762C6" w14:textId="77777777" w:rsidR="00454A29" w:rsidRDefault="00454A29">
            <w:pPr>
              <w:pStyle w:val="ConsPlusNormal"/>
            </w:pPr>
          </w:p>
        </w:tc>
        <w:tc>
          <w:tcPr>
            <w:tcW w:w="1417" w:type="dxa"/>
            <w:vMerge w:val="restart"/>
            <w:vAlign w:val="center"/>
          </w:tcPr>
          <w:p w14:paraId="0ED5167B" w14:textId="77777777" w:rsidR="00454A29" w:rsidRDefault="00454A29">
            <w:pPr>
              <w:pStyle w:val="ConsPlusNormal"/>
              <w:jc w:val="center"/>
            </w:pPr>
            <w:r>
              <w:t>360</w:t>
            </w:r>
          </w:p>
        </w:tc>
        <w:tc>
          <w:tcPr>
            <w:tcW w:w="2324" w:type="dxa"/>
            <w:vMerge w:val="restart"/>
            <w:vAlign w:val="center"/>
          </w:tcPr>
          <w:p w14:paraId="1FCC2A4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67EA51B" w14:textId="77777777" w:rsidR="00454A29" w:rsidRDefault="00454A29">
            <w:pPr>
              <w:pStyle w:val="ConsPlusNormal"/>
              <w:jc w:val="center"/>
            </w:pPr>
            <w:r>
              <w:t>733 339,11</w:t>
            </w:r>
          </w:p>
        </w:tc>
        <w:tc>
          <w:tcPr>
            <w:tcW w:w="1814" w:type="dxa"/>
            <w:vAlign w:val="center"/>
          </w:tcPr>
          <w:p w14:paraId="7390E94D" w14:textId="77777777" w:rsidR="00454A29" w:rsidRDefault="00454A29">
            <w:pPr>
              <w:pStyle w:val="ConsPlusNormal"/>
              <w:jc w:val="center"/>
            </w:pPr>
            <w:r>
              <w:t>9 276,74</w:t>
            </w:r>
          </w:p>
        </w:tc>
        <w:tc>
          <w:tcPr>
            <w:tcW w:w="1701" w:type="dxa"/>
            <w:vAlign w:val="center"/>
          </w:tcPr>
          <w:p w14:paraId="19532FC7" w14:textId="77777777" w:rsidR="00454A29" w:rsidRDefault="00454A29">
            <w:pPr>
              <w:pStyle w:val="ConsPlusNormal"/>
              <w:jc w:val="center"/>
            </w:pPr>
            <w:r>
              <w:t>918 397,23</w:t>
            </w:r>
          </w:p>
        </w:tc>
        <w:tc>
          <w:tcPr>
            <w:tcW w:w="1701" w:type="dxa"/>
            <w:vAlign w:val="center"/>
          </w:tcPr>
          <w:p w14:paraId="275CA210" w14:textId="77777777" w:rsidR="00454A29" w:rsidRDefault="00454A29">
            <w:pPr>
              <w:pStyle w:val="ConsPlusNormal"/>
              <w:jc w:val="center"/>
            </w:pPr>
            <w:r>
              <w:t>-</w:t>
            </w:r>
          </w:p>
        </w:tc>
        <w:tc>
          <w:tcPr>
            <w:tcW w:w="1814" w:type="dxa"/>
            <w:vAlign w:val="center"/>
          </w:tcPr>
          <w:p w14:paraId="27C1FF34" w14:textId="77777777" w:rsidR="00454A29" w:rsidRDefault="00454A29">
            <w:pPr>
              <w:pStyle w:val="ConsPlusNormal"/>
              <w:jc w:val="center"/>
            </w:pPr>
            <w:r>
              <w:t>-</w:t>
            </w:r>
          </w:p>
        </w:tc>
      </w:tr>
      <w:tr w:rsidR="00454A29" w14:paraId="2ED1D60C" w14:textId="77777777">
        <w:tc>
          <w:tcPr>
            <w:tcW w:w="567" w:type="dxa"/>
            <w:vMerge/>
          </w:tcPr>
          <w:p w14:paraId="31ABF898" w14:textId="77777777" w:rsidR="00454A29" w:rsidRDefault="00454A29"/>
        </w:tc>
        <w:tc>
          <w:tcPr>
            <w:tcW w:w="3345" w:type="dxa"/>
            <w:vMerge/>
          </w:tcPr>
          <w:p w14:paraId="2D6C9C49" w14:textId="77777777" w:rsidR="00454A29" w:rsidRDefault="00454A29"/>
        </w:tc>
        <w:tc>
          <w:tcPr>
            <w:tcW w:w="1701" w:type="dxa"/>
            <w:vAlign w:val="center"/>
          </w:tcPr>
          <w:p w14:paraId="3AB477C8" w14:textId="77777777" w:rsidR="00454A29" w:rsidRDefault="00454A29">
            <w:pPr>
              <w:pStyle w:val="ConsPlusNormal"/>
              <w:jc w:val="center"/>
            </w:pPr>
            <w:r>
              <w:t>2020</w:t>
            </w:r>
          </w:p>
        </w:tc>
        <w:tc>
          <w:tcPr>
            <w:tcW w:w="1417" w:type="dxa"/>
            <w:vMerge/>
          </w:tcPr>
          <w:p w14:paraId="386416A3" w14:textId="77777777" w:rsidR="00454A29" w:rsidRDefault="00454A29"/>
        </w:tc>
        <w:tc>
          <w:tcPr>
            <w:tcW w:w="2204" w:type="dxa"/>
            <w:vMerge/>
          </w:tcPr>
          <w:p w14:paraId="72C54307" w14:textId="77777777" w:rsidR="00454A29" w:rsidRDefault="00454A29"/>
        </w:tc>
        <w:tc>
          <w:tcPr>
            <w:tcW w:w="1417" w:type="dxa"/>
            <w:vMerge/>
          </w:tcPr>
          <w:p w14:paraId="14A95F41" w14:textId="77777777" w:rsidR="00454A29" w:rsidRDefault="00454A29"/>
        </w:tc>
        <w:tc>
          <w:tcPr>
            <w:tcW w:w="2324" w:type="dxa"/>
            <w:vMerge/>
          </w:tcPr>
          <w:p w14:paraId="40B7EFE5" w14:textId="77777777" w:rsidR="00454A29" w:rsidRDefault="00454A29"/>
        </w:tc>
        <w:tc>
          <w:tcPr>
            <w:tcW w:w="1701" w:type="dxa"/>
            <w:vAlign w:val="center"/>
          </w:tcPr>
          <w:p w14:paraId="6B7AEF44" w14:textId="77777777" w:rsidR="00454A29" w:rsidRDefault="00454A29">
            <w:pPr>
              <w:pStyle w:val="ConsPlusNormal"/>
            </w:pPr>
          </w:p>
        </w:tc>
        <w:tc>
          <w:tcPr>
            <w:tcW w:w="1814" w:type="dxa"/>
            <w:vAlign w:val="center"/>
          </w:tcPr>
          <w:p w14:paraId="663A040E" w14:textId="77777777" w:rsidR="00454A29" w:rsidRDefault="00454A29">
            <w:pPr>
              <w:pStyle w:val="ConsPlusNormal"/>
            </w:pPr>
          </w:p>
        </w:tc>
        <w:tc>
          <w:tcPr>
            <w:tcW w:w="1701" w:type="dxa"/>
            <w:vAlign w:val="center"/>
          </w:tcPr>
          <w:p w14:paraId="5ABA6CC5" w14:textId="77777777" w:rsidR="00454A29" w:rsidRDefault="00454A29">
            <w:pPr>
              <w:pStyle w:val="ConsPlusNormal"/>
            </w:pPr>
          </w:p>
        </w:tc>
        <w:tc>
          <w:tcPr>
            <w:tcW w:w="1701" w:type="dxa"/>
            <w:vAlign w:val="center"/>
          </w:tcPr>
          <w:p w14:paraId="3CEB99AF" w14:textId="77777777" w:rsidR="00454A29" w:rsidRDefault="00454A29">
            <w:pPr>
              <w:pStyle w:val="ConsPlusNormal"/>
            </w:pPr>
          </w:p>
        </w:tc>
        <w:tc>
          <w:tcPr>
            <w:tcW w:w="1814" w:type="dxa"/>
            <w:vAlign w:val="center"/>
          </w:tcPr>
          <w:p w14:paraId="3573996E" w14:textId="77777777" w:rsidR="00454A29" w:rsidRDefault="00454A29">
            <w:pPr>
              <w:pStyle w:val="ConsPlusNormal"/>
            </w:pPr>
          </w:p>
        </w:tc>
      </w:tr>
      <w:tr w:rsidR="00454A29" w14:paraId="7E752BF4" w14:textId="77777777">
        <w:tc>
          <w:tcPr>
            <w:tcW w:w="567" w:type="dxa"/>
            <w:vMerge/>
          </w:tcPr>
          <w:p w14:paraId="430D4FF8" w14:textId="77777777" w:rsidR="00454A29" w:rsidRDefault="00454A29"/>
        </w:tc>
        <w:tc>
          <w:tcPr>
            <w:tcW w:w="3345" w:type="dxa"/>
            <w:vMerge/>
          </w:tcPr>
          <w:p w14:paraId="70C1AD1D" w14:textId="77777777" w:rsidR="00454A29" w:rsidRDefault="00454A29"/>
        </w:tc>
        <w:tc>
          <w:tcPr>
            <w:tcW w:w="1701" w:type="dxa"/>
            <w:vAlign w:val="center"/>
          </w:tcPr>
          <w:p w14:paraId="511B3170" w14:textId="77777777" w:rsidR="00454A29" w:rsidRDefault="00454A29">
            <w:pPr>
              <w:pStyle w:val="ConsPlusNormal"/>
              <w:jc w:val="center"/>
            </w:pPr>
            <w:r>
              <w:t>2021</w:t>
            </w:r>
          </w:p>
        </w:tc>
        <w:tc>
          <w:tcPr>
            <w:tcW w:w="1417" w:type="dxa"/>
            <w:vMerge/>
          </w:tcPr>
          <w:p w14:paraId="1B4471ED" w14:textId="77777777" w:rsidR="00454A29" w:rsidRDefault="00454A29"/>
        </w:tc>
        <w:tc>
          <w:tcPr>
            <w:tcW w:w="2204" w:type="dxa"/>
            <w:vMerge/>
          </w:tcPr>
          <w:p w14:paraId="2BD35B94" w14:textId="77777777" w:rsidR="00454A29" w:rsidRDefault="00454A29"/>
        </w:tc>
        <w:tc>
          <w:tcPr>
            <w:tcW w:w="1417" w:type="dxa"/>
            <w:vMerge/>
          </w:tcPr>
          <w:p w14:paraId="666D055E" w14:textId="77777777" w:rsidR="00454A29" w:rsidRDefault="00454A29"/>
        </w:tc>
        <w:tc>
          <w:tcPr>
            <w:tcW w:w="2324" w:type="dxa"/>
            <w:vMerge/>
          </w:tcPr>
          <w:p w14:paraId="7F73E7B9" w14:textId="77777777" w:rsidR="00454A29" w:rsidRDefault="00454A29"/>
        </w:tc>
        <w:tc>
          <w:tcPr>
            <w:tcW w:w="1701" w:type="dxa"/>
            <w:vAlign w:val="center"/>
          </w:tcPr>
          <w:p w14:paraId="1C8D98B9" w14:textId="77777777" w:rsidR="00454A29" w:rsidRDefault="00454A29">
            <w:pPr>
              <w:pStyle w:val="ConsPlusNormal"/>
            </w:pPr>
          </w:p>
        </w:tc>
        <w:tc>
          <w:tcPr>
            <w:tcW w:w="1814" w:type="dxa"/>
            <w:vAlign w:val="center"/>
          </w:tcPr>
          <w:p w14:paraId="7F28B610" w14:textId="77777777" w:rsidR="00454A29" w:rsidRDefault="00454A29">
            <w:pPr>
              <w:pStyle w:val="ConsPlusNormal"/>
            </w:pPr>
          </w:p>
        </w:tc>
        <w:tc>
          <w:tcPr>
            <w:tcW w:w="1701" w:type="dxa"/>
            <w:vAlign w:val="center"/>
          </w:tcPr>
          <w:p w14:paraId="57DD813E" w14:textId="77777777" w:rsidR="00454A29" w:rsidRDefault="00454A29">
            <w:pPr>
              <w:pStyle w:val="ConsPlusNormal"/>
            </w:pPr>
          </w:p>
        </w:tc>
        <w:tc>
          <w:tcPr>
            <w:tcW w:w="1701" w:type="dxa"/>
            <w:vAlign w:val="center"/>
          </w:tcPr>
          <w:p w14:paraId="67B4040F" w14:textId="77777777" w:rsidR="00454A29" w:rsidRDefault="00454A29">
            <w:pPr>
              <w:pStyle w:val="ConsPlusNormal"/>
            </w:pPr>
          </w:p>
        </w:tc>
        <w:tc>
          <w:tcPr>
            <w:tcW w:w="1814" w:type="dxa"/>
            <w:vAlign w:val="center"/>
          </w:tcPr>
          <w:p w14:paraId="000C99CE" w14:textId="77777777" w:rsidR="00454A29" w:rsidRDefault="00454A29">
            <w:pPr>
              <w:pStyle w:val="ConsPlusNormal"/>
            </w:pPr>
          </w:p>
        </w:tc>
      </w:tr>
      <w:tr w:rsidR="00454A29" w14:paraId="020A69E4" w14:textId="77777777">
        <w:tc>
          <w:tcPr>
            <w:tcW w:w="567" w:type="dxa"/>
            <w:vMerge/>
          </w:tcPr>
          <w:p w14:paraId="702431B7" w14:textId="77777777" w:rsidR="00454A29" w:rsidRDefault="00454A29"/>
        </w:tc>
        <w:tc>
          <w:tcPr>
            <w:tcW w:w="3345" w:type="dxa"/>
            <w:vMerge/>
          </w:tcPr>
          <w:p w14:paraId="37942DB2" w14:textId="77777777" w:rsidR="00454A29" w:rsidRDefault="00454A29"/>
        </w:tc>
        <w:tc>
          <w:tcPr>
            <w:tcW w:w="1701" w:type="dxa"/>
            <w:vAlign w:val="center"/>
          </w:tcPr>
          <w:p w14:paraId="4AA9D503" w14:textId="77777777" w:rsidR="00454A29" w:rsidRDefault="00454A29">
            <w:pPr>
              <w:pStyle w:val="ConsPlusNormal"/>
              <w:jc w:val="center"/>
            </w:pPr>
            <w:r>
              <w:t>2022</w:t>
            </w:r>
          </w:p>
        </w:tc>
        <w:tc>
          <w:tcPr>
            <w:tcW w:w="1417" w:type="dxa"/>
            <w:vMerge/>
          </w:tcPr>
          <w:p w14:paraId="705DBBA3" w14:textId="77777777" w:rsidR="00454A29" w:rsidRDefault="00454A29"/>
        </w:tc>
        <w:tc>
          <w:tcPr>
            <w:tcW w:w="2204" w:type="dxa"/>
            <w:vMerge/>
          </w:tcPr>
          <w:p w14:paraId="56F45D77" w14:textId="77777777" w:rsidR="00454A29" w:rsidRDefault="00454A29"/>
        </w:tc>
        <w:tc>
          <w:tcPr>
            <w:tcW w:w="1417" w:type="dxa"/>
            <w:vMerge/>
          </w:tcPr>
          <w:p w14:paraId="77B284CE" w14:textId="77777777" w:rsidR="00454A29" w:rsidRDefault="00454A29"/>
        </w:tc>
        <w:tc>
          <w:tcPr>
            <w:tcW w:w="2324" w:type="dxa"/>
            <w:vMerge/>
          </w:tcPr>
          <w:p w14:paraId="169DC63A" w14:textId="77777777" w:rsidR="00454A29" w:rsidRDefault="00454A29"/>
        </w:tc>
        <w:tc>
          <w:tcPr>
            <w:tcW w:w="1701" w:type="dxa"/>
            <w:vAlign w:val="center"/>
          </w:tcPr>
          <w:p w14:paraId="3DCA6E6B" w14:textId="77777777" w:rsidR="00454A29" w:rsidRDefault="00454A29">
            <w:pPr>
              <w:pStyle w:val="ConsPlusNormal"/>
            </w:pPr>
          </w:p>
        </w:tc>
        <w:tc>
          <w:tcPr>
            <w:tcW w:w="1814" w:type="dxa"/>
            <w:vAlign w:val="center"/>
          </w:tcPr>
          <w:p w14:paraId="19FAE66D" w14:textId="77777777" w:rsidR="00454A29" w:rsidRDefault="00454A29">
            <w:pPr>
              <w:pStyle w:val="ConsPlusNormal"/>
            </w:pPr>
          </w:p>
        </w:tc>
        <w:tc>
          <w:tcPr>
            <w:tcW w:w="1701" w:type="dxa"/>
            <w:vAlign w:val="center"/>
          </w:tcPr>
          <w:p w14:paraId="4966981F" w14:textId="77777777" w:rsidR="00454A29" w:rsidRDefault="00454A29">
            <w:pPr>
              <w:pStyle w:val="ConsPlusNormal"/>
            </w:pPr>
          </w:p>
        </w:tc>
        <w:tc>
          <w:tcPr>
            <w:tcW w:w="1701" w:type="dxa"/>
            <w:vAlign w:val="center"/>
          </w:tcPr>
          <w:p w14:paraId="7FE6C3C3" w14:textId="77777777" w:rsidR="00454A29" w:rsidRDefault="00454A29">
            <w:pPr>
              <w:pStyle w:val="ConsPlusNormal"/>
            </w:pPr>
          </w:p>
        </w:tc>
        <w:tc>
          <w:tcPr>
            <w:tcW w:w="1814" w:type="dxa"/>
            <w:vAlign w:val="center"/>
          </w:tcPr>
          <w:p w14:paraId="52F0FC43" w14:textId="77777777" w:rsidR="00454A29" w:rsidRDefault="00454A29">
            <w:pPr>
              <w:pStyle w:val="ConsPlusNormal"/>
            </w:pPr>
          </w:p>
        </w:tc>
      </w:tr>
      <w:tr w:rsidR="00454A29" w14:paraId="05B1A44E" w14:textId="77777777">
        <w:tc>
          <w:tcPr>
            <w:tcW w:w="567" w:type="dxa"/>
            <w:vMerge/>
          </w:tcPr>
          <w:p w14:paraId="648CF13F" w14:textId="77777777" w:rsidR="00454A29" w:rsidRDefault="00454A29"/>
        </w:tc>
        <w:tc>
          <w:tcPr>
            <w:tcW w:w="3345" w:type="dxa"/>
            <w:vMerge/>
          </w:tcPr>
          <w:p w14:paraId="0E0FD82E" w14:textId="77777777" w:rsidR="00454A29" w:rsidRDefault="00454A29"/>
        </w:tc>
        <w:tc>
          <w:tcPr>
            <w:tcW w:w="1701" w:type="dxa"/>
            <w:vAlign w:val="center"/>
          </w:tcPr>
          <w:p w14:paraId="10E52279" w14:textId="77777777" w:rsidR="00454A29" w:rsidRDefault="00454A29">
            <w:pPr>
              <w:pStyle w:val="ConsPlusNormal"/>
              <w:jc w:val="center"/>
            </w:pPr>
            <w:r>
              <w:t>2023</w:t>
            </w:r>
          </w:p>
        </w:tc>
        <w:tc>
          <w:tcPr>
            <w:tcW w:w="1417" w:type="dxa"/>
            <w:vMerge/>
          </w:tcPr>
          <w:p w14:paraId="4168338E" w14:textId="77777777" w:rsidR="00454A29" w:rsidRDefault="00454A29"/>
        </w:tc>
        <w:tc>
          <w:tcPr>
            <w:tcW w:w="2204" w:type="dxa"/>
            <w:vMerge/>
          </w:tcPr>
          <w:p w14:paraId="558E9FE2" w14:textId="77777777" w:rsidR="00454A29" w:rsidRDefault="00454A29"/>
        </w:tc>
        <w:tc>
          <w:tcPr>
            <w:tcW w:w="1417" w:type="dxa"/>
            <w:vMerge/>
          </w:tcPr>
          <w:p w14:paraId="5B987E03" w14:textId="77777777" w:rsidR="00454A29" w:rsidRDefault="00454A29"/>
        </w:tc>
        <w:tc>
          <w:tcPr>
            <w:tcW w:w="2324" w:type="dxa"/>
            <w:vMerge/>
          </w:tcPr>
          <w:p w14:paraId="04271BED" w14:textId="77777777" w:rsidR="00454A29" w:rsidRDefault="00454A29"/>
        </w:tc>
        <w:tc>
          <w:tcPr>
            <w:tcW w:w="1701" w:type="dxa"/>
            <w:vAlign w:val="center"/>
          </w:tcPr>
          <w:p w14:paraId="6B66F69D" w14:textId="77777777" w:rsidR="00454A29" w:rsidRDefault="00454A29">
            <w:pPr>
              <w:pStyle w:val="ConsPlusNormal"/>
            </w:pPr>
          </w:p>
        </w:tc>
        <w:tc>
          <w:tcPr>
            <w:tcW w:w="1814" w:type="dxa"/>
            <w:vAlign w:val="center"/>
          </w:tcPr>
          <w:p w14:paraId="680FC29E" w14:textId="77777777" w:rsidR="00454A29" w:rsidRDefault="00454A29">
            <w:pPr>
              <w:pStyle w:val="ConsPlusNormal"/>
            </w:pPr>
          </w:p>
        </w:tc>
        <w:tc>
          <w:tcPr>
            <w:tcW w:w="1701" w:type="dxa"/>
            <w:vAlign w:val="center"/>
          </w:tcPr>
          <w:p w14:paraId="3FAA22A8" w14:textId="77777777" w:rsidR="00454A29" w:rsidRDefault="00454A29">
            <w:pPr>
              <w:pStyle w:val="ConsPlusNormal"/>
            </w:pPr>
          </w:p>
        </w:tc>
        <w:tc>
          <w:tcPr>
            <w:tcW w:w="1701" w:type="dxa"/>
            <w:vAlign w:val="center"/>
          </w:tcPr>
          <w:p w14:paraId="7D005926" w14:textId="77777777" w:rsidR="00454A29" w:rsidRDefault="00454A29">
            <w:pPr>
              <w:pStyle w:val="ConsPlusNormal"/>
            </w:pPr>
          </w:p>
        </w:tc>
        <w:tc>
          <w:tcPr>
            <w:tcW w:w="1814" w:type="dxa"/>
            <w:vAlign w:val="center"/>
          </w:tcPr>
          <w:p w14:paraId="11690A02" w14:textId="77777777" w:rsidR="00454A29" w:rsidRDefault="00454A29">
            <w:pPr>
              <w:pStyle w:val="ConsPlusNormal"/>
            </w:pPr>
          </w:p>
        </w:tc>
      </w:tr>
      <w:tr w:rsidR="00454A29" w14:paraId="17FD7992" w14:textId="77777777">
        <w:tc>
          <w:tcPr>
            <w:tcW w:w="567" w:type="dxa"/>
            <w:vMerge/>
          </w:tcPr>
          <w:p w14:paraId="0AF8F2F2" w14:textId="77777777" w:rsidR="00454A29" w:rsidRDefault="00454A29"/>
        </w:tc>
        <w:tc>
          <w:tcPr>
            <w:tcW w:w="3345" w:type="dxa"/>
            <w:vMerge/>
          </w:tcPr>
          <w:p w14:paraId="0B8CE0A5" w14:textId="77777777" w:rsidR="00454A29" w:rsidRDefault="00454A29"/>
        </w:tc>
        <w:tc>
          <w:tcPr>
            <w:tcW w:w="1701" w:type="dxa"/>
            <w:vAlign w:val="center"/>
          </w:tcPr>
          <w:p w14:paraId="3692CC4B" w14:textId="77777777" w:rsidR="00454A29" w:rsidRDefault="00454A29">
            <w:pPr>
              <w:pStyle w:val="ConsPlusNormal"/>
              <w:jc w:val="center"/>
            </w:pPr>
            <w:r>
              <w:t>2024</w:t>
            </w:r>
          </w:p>
        </w:tc>
        <w:tc>
          <w:tcPr>
            <w:tcW w:w="1417" w:type="dxa"/>
            <w:vMerge/>
          </w:tcPr>
          <w:p w14:paraId="38B4357C" w14:textId="77777777" w:rsidR="00454A29" w:rsidRDefault="00454A29"/>
        </w:tc>
        <w:tc>
          <w:tcPr>
            <w:tcW w:w="2204" w:type="dxa"/>
            <w:vMerge/>
          </w:tcPr>
          <w:p w14:paraId="7474A086" w14:textId="77777777" w:rsidR="00454A29" w:rsidRDefault="00454A29"/>
        </w:tc>
        <w:tc>
          <w:tcPr>
            <w:tcW w:w="1417" w:type="dxa"/>
            <w:vMerge/>
          </w:tcPr>
          <w:p w14:paraId="393F23A6" w14:textId="77777777" w:rsidR="00454A29" w:rsidRDefault="00454A29"/>
        </w:tc>
        <w:tc>
          <w:tcPr>
            <w:tcW w:w="2324" w:type="dxa"/>
            <w:vMerge/>
          </w:tcPr>
          <w:p w14:paraId="46477198" w14:textId="77777777" w:rsidR="00454A29" w:rsidRDefault="00454A29"/>
        </w:tc>
        <w:tc>
          <w:tcPr>
            <w:tcW w:w="1701" w:type="dxa"/>
            <w:vAlign w:val="center"/>
          </w:tcPr>
          <w:p w14:paraId="3DDDA956" w14:textId="77777777" w:rsidR="00454A29" w:rsidRDefault="00454A29">
            <w:pPr>
              <w:pStyle w:val="ConsPlusNormal"/>
            </w:pPr>
          </w:p>
        </w:tc>
        <w:tc>
          <w:tcPr>
            <w:tcW w:w="1814" w:type="dxa"/>
            <w:vAlign w:val="center"/>
          </w:tcPr>
          <w:p w14:paraId="7BB62F44" w14:textId="77777777" w:rsidR="00454A29" w:rsidRDefault="00454A29">
            <w:pPr>
              <w:pStyle w:val="ConsPlusNormal"/>
            </w:pPr>
          </w:p>
        </w:tc>
        <w:tc>
          <w:tcPr>
            <w:tcW w:w="1701" w:type="dxa"/>
            <w:vAlign w:val="center"/>
          </w:tcPr>
          <w:p w14:paraId="17403A8B" w14:textId="77777777" w:rsidR="00454A29" w:rsidRDefault="00454A29">
            <w:pPr>
              <w:pStyle w:val="ConsPlusNormal"/>
            </w:pPr>
          </w:p>
        </w:tc>
        <w:tc>
          <w:tcPr>
            <w:tcW w:w="1701" w:type="dxa"/>
            <w:vAlign w:val="center"/>
          </w:tcPr>
          <w:p w14:paraId="16129D46" w14:textId="77777777" w:rsidR="00454A29" w:rsidRDefault="00454A29">
            <w:pPr>
              <w:pStyle w:val="ConsPlusNormal"/>
            </w:pPr>
          </w:p>
        </w:tc>
        <w:tc>
          <w:tcPr>
            <w:tcW w:w="1814" w:type="dxa"/>
            <w:vAlign w:val="center"/>
          </w:tcPr>
          <w:p w14:paraId="63283170" w14:textId="77777777" w:rsidR="00454A29" w:rsidRDefault="00454A29">
            <w:pPr>
              <w:pStyle w:val="ConsPlusNormal"/>
            </w:pPr>
          </w:p>
        </w:tc>
      </w:tr>
      <w:tr w:rsidR="00454A29" w14:paraId="71CE0AA1" w14:textId="77777777">
        <w:tc>
          <w:tcPr>
            <w:tcW w:w="567" w:type="dxa"/>
            <w:vMerge/>
          </w:tcPr>
          <w:p w14:paraId="722D8E62" w14:textId="77777777" w:rsidR="00454A29" w:rsidRDefault="00454A29"/>
        </w:tc>
        <w:tc>
          <w:tcPr>
            <w:tcW w:w="3345" w:type="dxa"/>
            <w:vMerge/>
          </w:tcPr>
          <w:p w14:paraId="58BC3638" w14:textId="77777777" w:rsidR="00454A29" w:rsidRDefault="00454A29"/>
        </w:tc>
        <w:tc>
          <w:tcPr>
            <w:tcW w:w="1701" w:type="dxa"/>
            <w:vAlign w:val="center"/>
          </w:tcPr>
          <w:p w14:paraId="4778DC7B" w14:textId="77777777" w:rsidR="00454A29" w:rsidRDefault="00454A29">
            <w:pPr>
              <w:pStyle w:val="ConsPlusNormal"/>
              <w:jc w:val="center"/>
            </w:pPr>
            <w:r>
              <w:t>2025</w:t>
            </w:r>
          </w:p>
        </w:tc>
        <w:tc>
          <w:tcPr>
            <w:tcW w:w="1417" w:type="dxa"/>
            <w:vMerge/>
          </w:tcPr>
          <w:p w14:paraId="02AF483C" w14:textId="77777777" w:rsidR="00454A29" w:rsidRDefault="00454A29"/>
        </w:tc>
        <w:tc>
          <w:tcPr>
            <w:tcW w:w="2204" w:type="dxa"/>
            <w:vMerge/>
          </w:tcPr>
          <w:p w14:paraId="1972C857" w14:textId="77777777" w:rsidR="00454A29" w:rsidRDefault="00454A29"/>
        </w:tc>
        <w:tc>
          <w:tcPr>
            <w:tcW w:w="1417" w:type="dxa"/>
            <w:vMerge/>
          </w:tcPr>
          <w:p w14:paraId="637C8154" w14:textId="77777777" w:rsidR="00454A29" w:rsidRDefault="00454A29"/>
        </w:tc>
        <w:tc>
          <w:tcPr>
            <w:tcW w:w="2324" w:type="dxa"/>
            <w:vMerge/>
          </w:tcPr>
          <w:p w14:paraId="3A7A6E8C" w14:textId="77777777" w:rsidR="00454A29" w:rsidRDefault="00454A29"/>
        </w:tc>
        <w:tc>
          <w:tcPr>
            <w:tcW w:w="1701" w:type="dxa"/>
            <w:vAlign w:val="center"/>
          </w:tcPr>
          <w:p w14:paraId="05EFD471" w14:textId="77777777" w:rsidR="00454A29" w:rsidRDefault="00454A29">
            <w:pPr>
              <w:pStyle w:val="ConsPlusNormal"/>
              <w:jc w:val="center"/>
            </w:pPr>
            <w:r>
              <w:t>733 339,11</w:t>
            </w:r>
          </w:p>
        </w:tc>
        <w:tc>
          <w:tcPr>
            <w:tcW w:w="1814" w:type="dxa"/>
            <w:vAlign w:val="center"/>
          </w:tcPr>
          <w:p w14:paraId="5CB5B5E3" w14:textId="77777777" w:rsidR="00454A29" w:rsidRDefault="00454A29">
            <w:pPr>
              <w:pStyle w:val="ConsPlusNormal"/>
              <w:jc w:val="center"/>
            </w:pPr>
            <w:r>
              <w:t>9 276,74</w:t>
            </w:r>
          </w:p>
        </w:tc>
        <w:tc>
          <w:tcPr>
            <w:tcW w:w="1701" w:type="dxa"/>
            <w:vAlign w:val="center"/>
          </w:tcPr>
          <w:p w14:paraId="420FA034" w14:textId="77777777" w:rsidR="00454A29" w:rsidRDefault="00454A29">
            <w:pPr>
              <w:pStyle w:val="ConsPlusNormal"/>
              <w:jc w:val="center"/>
            </w:pPr>
            <w:r>
              <w:t>918 397,23</w:t>
            </w:r>
          </w:p>
        </w:tc>
        <w:tc>
          <w:tcPr>
            <w:tcW w:w="1701" w:type="dxa"/>
            <w:vAlign w:val="center"/>
          </w:tcPr>
          <w:p w14:paraId="6C81C374" w14:textId="77777777" w:rsidR="00454A29" w:rsidRDefault="00454A29">
            <w:pPr>
              <w:pStyle w:val="ConsPlusNormal"/>
            </w:pPr>
          </w:p>
        </w:tc>
        <w:tc>
          <w:tcPr>
            <w:tcW w:w="1814" w:type="dxa"/>
            <w:vAlign w:val="center"/>
          </w:tcPr>
          <w:p w14:paraId="49342DCE" w14:textId="77777777" w:rsidR="00454A29" w:rsidRDefault="00454A29">
            <w:pPr>
              <w:pStyle w:val="ConsPlusNormal"/>
            </w:pPr>
          </w:p>
        </w:tc>
      </w:tr>
      <w:tr w:rsidR="00454A29" w14:paraId="3F1DC5CA" w14:textId="77777777">
        <w:tc>
          <w:tcPr>
            <w:tcW w:w="567" w:type="dxa"/>
            <w:vMerge/>
          </w:tcPr>
          <w:p w14:paraId="087AB7AE" w14:textId="77777777" w:rsidR="00454A29" w:rsidRDefault="00454A29"/>
        </w:tc>
        <w:tc>
          <w:tcPr>
            <w:tcW w:w="3345" w:type="dxa"/>
            <w:vMerge/>
          </w:tcPr>
          <w:p w14:paraId="66E544FB" w14:textId="77777777" w:rsidR="00454A29" w:rsidRDefault="00454A29"/>
        </w:tc>
        <w:tc>
          <w:tcPr>
            <w:tcW w:w="1701" w:type="dxa"/>
            <w:vAlign w:val="center"/>
          </w:tcPr>
          <w:p w14:paraId="049448EC" w14:textId="77777777" w:rsidR="00454A29" w:rsidRDefault="00454A29">
            <w:pPr>
              <w:pStyle w:val="ConsPlusNormal"/>
              <w:jc w:val="center"/>
            </w:pPr>
            <w:r>
              <w:t>2026</w:t>
            </w:r>
          </w:p>
        </w:tc>
        <w:tc>
          <w:tcPr>
            <w:tcW w:w="1417" w:type="dxa"/>
            <w:vMerge/>
          </w:tcPr>
          <w:p w14:paraId="47BE4340" w14:textId="77777777" w:rsidR="00454A29" w:rsidRDefault="00454A29"/>
        </w:tc>
        <w:tc>
          <w:tcPr>
            <w:tcW w:w="2204" w:type="dxa"/>
            <w:vMerge/>
          </w:tcPr>
          <w:p w14:paraId="6926CCF5" w14:textId="77777777" w:rsidR="00454A29" w:rsidRDefault="00454A29"/>
        </w:tc>
        <w:tc>
          <w:tcPr>
            <w:tcW w:w="1417" w:type="dxa"/>
            <w:vMerge/>
          </w:tcPr>
          <w:p w14:paraId="1091C3A0" w14:textId="77777777" w:rsidR="00454A29" w:rsidRDefault="00454A29"/>
        </w:tc>
        <w:tc>
          <w:tcPr>
            <w:tcW w:w="2324" w:type="dxa"/>
            <w:vMerge/>
          </w:tcPr>
          <w:p w14:paraId="430A84D3" w14:textId="77777777" w:rsidR="00454A29" w:rsidRDefault="00454A29"/>
        </w:tc>
        <w:tc>
          <w:tcPr>
            <w:tcW w:w="1701" w:type="dxa"/>
            <w:vAlign w:val="center"/>
          </w:tcPr>
          <w:p w14:paraId="0596793C" w14:textId="77777777" w:rsidR="00454A29" w:rsidRDefault="00454A29">
            <w:pPr>
              <w:pStyle w:val="ConsPlusNormal"/>
            </w:pPr>
          </w:p>
        </w:tc>
        <w:tc>
          <w:tcPr>
            <w:tcW w:w="1814" w:type="dxa"/>
            <w:vAlign w:val="center"/>
          </w:tcPr>
          <w:p w14:paraId="78B59975" w14:textId="77777777" w:rsidR="00454A29" w:rsidRDefault="00454A29">
            <w:pPr>
              <w:pStyle w:val="ConsPlusNormal"/>
            </w:pPr>
          </w:p>
        </w:tc>
        <w:tc>
          <w:tcPr>
            <w:tcW w:w="1701" w:type="dxa"/>
            <w:vAlign w:val="center"/>
          </w:tcPr>
          <w:p w14:paraId="69CD1337" w14:textId="77777777" w:rsidR="00454A29" w:rsidRDefault="00454A29">
            <w:pPr>
              <w:pStyle w:val="ConsPlusNormal"/>
            </w:pPr>
          </w:p>
        </w:tc>
        <w:tc>
          <w:tcPr>
            <w:tcW w:w="1701" w:type="dxa"/>
            <w:vAlign w:val="center"/>
          </w:tcPr>
          <w:p w14:paraId="7B670C9A" w14:textId="77777777" w:rsidR="00454A29" w:rsidRDefault="00454A29">
            <w:pPr>
              <w:pStyle w:val="ConsPlusNormal"/>
            </w:pPr>
          </w:p>
        </w:tc>
        <w:tc>
          <w:tcPr>
            <w:tcW w:w="1814" w:type="dxa"/>
            <w:vAlign w:val="center"/>
          </w:tcPr>
          <w:p w14:paraId="3B5B782A" w14:textId="77777777" w:rsidR="00454A29" w:rsidRDefault="00454A29">
            <w:pPr>
              <w:pStyle w:val="ConsPlusNormal"/>
            </w:pPr>
          </w:p>
        </w:tc>
      </w:tr>
      <w:tr w:rsidR="00454A29" w14:paraId="4AAC92C0" w14:textId="77777777">
        <w:tc>
          <w:tcPr>
            <w:tcW w:w="567" w:type="dxa"/>
            <w:vMerge w:val="restart"/>
            <w:vAlign w:val="center"/>
          </w:tcPr>
          <w:p w14:paraId="7439AAC0" w14:textId="77777777" w:rsidR="00454A29" w:rsidRDefault="00454A29">
            <w:pPr>
              <w:pStyle w:val="ConsPlusNormal"/>
              <w:jc w:val="center"/>
            </w:pPr>
            <w:r>
              <w:t>11</w:t>
            </w:r>
          </w:p>
        </w:tc>
        <w:tc>
          <w:tcPr>
            <w:tcW w:w="3345" w:type="dxa"/>
            <w:vMerge w:val="restart"/>
            <w:vAlign w:val="center"/>
          </w:tcPr>
          <w:p w14:paraId="635875D1" w14:textId="77777777" w:rsidR="00454A29" w:rsidRDefault="00454A29">
            <w:pPr>
              <w:pStyle w:val="ConsPlusNormal"/>
              <w:jc w:val="center"/>
            </w:pPr>
            <w:r>
              <w:t>Школа на 360 учащихся в с. Амга</w:t>
            </w:r>
          </w:p>
        </w:tc>
        <w:tc>
          <w:tcPr>
            <w:tcW w:w="1701" w:type="dxa"/>
            <w:vAlign w:val="center"/>
          </w:tcPr>
          <w:p w14:paraId="53ACCCAF" w14:textId="77777777" w:rsidR="00454A29" w:rsidRDefault="00454A29">
            <w:pPr>
              <w:pStyle w:val="ConsPlusNormal"/>
              <w:jc w:val="center"/>
            </w:pPr>
            <w:r>
              <w:t>2020 - 2026 годы - всего</w:t>
            </w:r>
          </w:p>
        </w:tc>
        <w:tc>
          <w:tcPr>
            <w:tcW w:w="1417" w:type="dxa"/>
            <w:vMerge w:val="restart"/>
            <w:vAlign w:val="center"/>
          </w:tcPr>
          <w:p w14:paraId="273535C9" w14:textId="77777777" w:rsidR="00454A29" w:rsidRDefault="00454A29">
            <w:pPr>
              <w:pStyle w:val="ConsPlusNormal"/>
              <w:jc w:val="center"/>
            </w:pPr>
            <w:r>
              <w:t>733 339,11</w:t>
            </w:r>
          </w:p>
        </w:tc>
        <w:tc>
          <w:tcPr>
            <w:tcW w:w="2204" w:type="dxa"/>
            <w:vMerge w:val="restart"/>
            <w:vAlign w:val="center"/>
          </w:tcPr>
          <w:p w14:paraId="3F5D1C30" w14:textId="77777777" w:rsidR="00454A29" w:rsidRDefault="00454A29">
            <w:pPr>
              <w:pStyle w:val="ConsPlusNormal"/>
            </w:pPr>
          </w:p>
        </w:tc>
        <w:tc>
          <w:tcPr>
            <w:tcW w:w="1417" w:type="dxa"/>
            <w:vMerge w:val="restart"/>
            <w:vAlign w:val="center"/>
          </w:tcPr>
          <w:p w14:paraId="720F31CE" w14:textId="77777777" w:rsidR="00454A29" w:rsidRDefault="00454A29">
            <w:pPr>
              <w:pStyle w:val="ConsPlusNormal"/>
              <w:jc w:val="center"/>
            </w:pPr>
            <w:r>
              <w:t>360</w:t>
            </w:r>
          </w:p>
        </w:tc>
        <w:tc>
          <w:tcPr>
            <w:tcW w:w="2324" w:type="dxa"/>
            <w:vMerge w:val="restart"/>
            <w:vAlign w:val="center"/>
          </w:tcPr>
          <w:p w14:paraId="4BF699E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E7B2CAD" w14:textId="77777777" w:rsidR="00454A29" w:rsidRDefault="00454A29">
            <w:pPr>
              <w:pStyle w:val="ConsPlusNormal"/>
              <w:jc w:val="center"/>
            </w:pPr>
            <w:r>
              <w:t>733 339,11</w:t>
            </w:r>
          </w:p>
        </w:tc>
        <w:tc>
          <w:tcPr>
            <w:tcW w:w="1814" w:type="dxa"/>
            <w:vAlign w:val="center"/>
          </w:tcPr>
          <w:p w14:paraId="666DC90E" w14:textId="77777777" w:rsidR="00454A29" w:rsidRDefault="00454A29">
            <w:pPr>
              <w:pStyle w:val="ConsPlusNormal"/>
              <w:jc w:val="center"/>
            </w:pPr>
            <w:r>
              <w:t>9 034,74</w:t>
            </w:r>
          </w:p>
        </w:tc>
        <w:tc>
          <w:tcPr>
            <w:tcW w:w="1701" w:type="dxa"/>
            <w:vAlign w:val="center"/>
          </w:tcPr>
          <w:p w14:paraId="1CC7009E" w14:textId="77777777" w:rsidR="00454A29" w:rsidRDefault="00454A29">
            <w:pPr>
              <w:pStyle w:val="ConsPlusNormal"/>
              <w:jc w:val="center"/>
            </w:pPr>
            <w:r>
              <w:t>894 439,04</w:t>
            </w:r>
          </w:p>
        </w:tc>
        <w:tc>
          <w:tcPr>
            <w:tcW w:w="1701" w:type="dxa"/>
            <w:vAlign w:val="center"/>
          </w:tcPr>
          <w:p w14:paraId="196F81C5" w14:textId="77777777" w:rsidR="00454A29" w:rsidRDefault="00454A29">
            <w:pPr>
              <w:pStyle w:val="ConsPlusNormal"/>
              <w:jc w:val="center"/>
            </w:pPr>
            <w:r>
              <w:t>-</w:t>
            </w:r>
          </w:p>
        </w:tc>
        <w:tc>
          <w:tcPr>
            <w:tcW w:w="1814" w:type="dxa"/>
            <w:vAlign w:val="center"/>
          </w:tcPr>
          <w:p w14:paraId="65D22A45" w14:textId="77777777" w:rsidR="00454A29" w:rsidRDefault="00454A29">
            <w:pPr>
              <w:pStyle w:val="ConsPlusNormal"/>
              <w:jc w:val="center"/>
            </w:pPr>
            <w:r>
              <w:t>-</w:t>
            </w:r>
          </w:p>
        </w:tc>
      </w:tr>
      <w:tr w:rsidR="00454A29" w14:paraId="7CC2DA42" w14:textId="77777777">
        <w:tc>
          <w:tcPr>
            <w:tcW w:w="567" w:type="dxa"/>
            <w:vMerge/>
          </w:tcPr>
          <w:p w14:paraId="5986A8FD" w14:textId="77777777" w:rsidR="00454A29" w:rsidRDefault="00454A29"/>
        </w:tc>
        <w:tc>
          <w:tcPr>
            <w:tcW w:w="3345" w:type="dxa"/>
            <w:vMerge/>
          </w:tcPr>
          <w:p w14:paraId="1E0DD890" w14:textId="77777777" w:rsidR="00454A29" w:rsidRDefault="00454A29"/>
        </w:tc>
        <w:tc>
          <w:tcPr>
            <w:tcW w:w="1701" w:type="dxa"/>
            <w:vAlign w:val="center"/>
          </w:tcPr>
          <w:p w14:paraId="1439E04F" w14:textId="77777777" w:rsidR="00454A29" w:rsidRDefault="00454A29">
            <w:pPr>
              <w:pStyle w:val="ConsPlusNormal"/>
              <w:jc w:val="center"/>
            </w:pPr>
            <w:r>
              <w:t>2020</w:t>
            </w:r>
          </w:p>
        </w:tc>
        <w:tc>
          <w:tcPr>
            <w:tcW w:w="1417" w:type="dxa"/>
            <w:vMerge/>
          </w:tcPr>
          <w:p w14:paraId="0B5F01EE" w14:textId="77777777" w:rsidR="00454A29" w:rsidRDefault="00454A29"/>
        </w:tc>
        <w:tc>
          <w:tcPr>
            <w:tcW w:w="2204" w:type="dxa"/>
            <w:vMerge/>
          </w:tcPr>
          <w:p w14:paraId="56D9C906" w14:textId="77777777" w:rsidR="00454A29" w:rsidRDefault="00454A29"/>
        </w:tc>
        <w:tc>
          <w:tcPr>
            <w:tcW w:w="1417" w:type="dxa"/>
            <w:vMerge/>
          </w:tcPr>
          <w:p w14:paraId="7C01C28B" w14:textId="77777777" w:rsidR="00454A29" w:rsidRDefault="00454A29"/>
        </w:tc>
        <w:tc>
          <w:tcPr>
            <w:tcW w:w="2324" w:type="dxa"/>
            <w:vMerge/>
          </w:tcPr>
          <w:p w14:paraId="6A9146C1" w14:textId="77777777" w:rsidR="00454A29" w:rsidRDefault="00454A29"/>
        </w:tc>
        <w:tc>
          <w:tcPr>
            <w:tcW w:w="1701" w:type="dxa"/>
            <w:vAlign w:val="center"/>
          </w:tcPr>
          <w:p w14:paraId="6254487B" w14:textId="77777777" w:rsidR="00454A29" w:rsidRDefault="00454A29">
            <w:pPr>
              <w:pStyle w:val="ConsPlusNormal"/>
            </w:pPr>
          </w:p>
        </w:tc>
        <w:tc>
          <w:tcPr>
            <w:tcW w:w="1814" w:type="dxa"/>
            <w:vAlign w:val="center"/>
          </w:tcPr>
          <w:p w14:paraId="566D85E0" w14:textId="77777777" w:rsidR="00454A29" w:rsidRDefault="00454A29">
            <w:pPr>
              <w:pStyle w:val="ConsPlusNormal"/>
            </w:pPr>
          </w:p>
        </w:tc>
        <w:tc>
          <w:tcPr>
            <w:tcW w:w="1701" w:type="dxa"/>
            <w:vAlign w:val="center"/>
          </w:tcPr>
          <w:p w14:paraId="42B5D17E" w14:textId="77777777" w:rsidR="00454A29" w:rsidRDefault="00454A29">
            <w:pPr>
              <w:pStyle w:val="ConsPlusNormal"/>
            </w:pPr>
          </w:p>
        </w:tc>
        <w:tc>
          <w:tcPr>
            <w:tcW w:w="1701" w:type="dxa"/>
            <w:vAlign w:val="center"/>
          </w:tcPr>
          <w:p w14:paraId="5432B6EC" w14:textId="77777777" w:rsidR="00454A29" w:rsidRDefault="00454A29">
            <w:pPr>
              <w:pStyle w:val="ConsPlusNormal"/>
            </w:pPr>
          </w:p>
        </w:tc>
        <w:tc>
          <w:tcPr>
            <w:tcW w:w="1814" w:type="dxa"/>
            <w:vAlign w:val="center"/>
          </w:tcPr>
          <w:p w14:paraId="38A06802" w14:textId="77777777" w:rsidR="00454A29" w:rsidRDefault="00454A29">
            <w:pPr>
              <w:pStyle w:val="ConsPlusNormal"/>
            </w:pPr>
          </w:p>
        </w:tc>
      </w:tr>
      <w:tr w:rsidR="00454A29" w14:paraId="4FA3BC5E" w14:textId="77777777">
        <w:tc>
          <w:tcPr>
            <w:tcW w:w="567" w:type="dxa"/>
            <w:vMerge/>
          </w:tcPr>
          <w:p w14:paraId="5A3C0565" w14:textId="77777777" w:rsidR="00454A29" w:rsidRDefault="00454A29"/>
        </w:tc>
        <w:tc>
          <w:tcPr>
            <w:tcW w:w="3345" w:type="dxa"/>
            <w:vMerge/>
          </w:tcPr>
          <w:p w14:paraId="4BA7D16D" w14:textId="77777777" w:rsidR="00454A29" w:rsidRDefault="00454A29"/>
        </w:tc>
        <w:tc>
          <w:tcPr>
            <w:tcW w:w="1701" w:type="dxa"/>
            <w:vAlign w:val="center"/>
          </w:tcPr>
          <w:p w14:paraId="001A255B" w14:textId="77777777" w:rsidR="00454A29" w:rsidRDefault="00454A29">
            <w:pPr>
              <w:pStyle w:val="ConsPlusNormal"/>
              <w:jc w:val="center"/>
            </w:pPr>
            <w:r>
              <w:t>2021</w:t>
            </w:r>
          </w:p>
        </w:tc>
        <w:tc>
          <w:tcPr>
            <w:tcW w:w="1417" w:type="dxa"/>
            <w:vMerge/>
          </w:tcPr>
          <w:p w14:paraId="0617D6F9" w14:textId="77777777" w:rsidR="00454A29" w:rsidRDefault="00454A29"/>
        </w:tc>
        <w:tc>
          <w:tcPr>
            <w:tcW w:w="2204" w:type="dxa"/>
            <w:vMerge/>
          </w:tcPr>
          <w:p w14:paraId="5B9EC9CD" w14:textId="77777777" w:rsidR="00454A29" w:rsidRDefault="00454A29"/>
        </w:tc>
        <w:tc>
          <w:tcPr>
            <w:tcW w:w="1417" w:type="dxa"/>
            <w:vMerge/>
          </w:tcPr>
          <w:p w14:paraId="75B0A049" w14:textId="77777777" w:rsidR="00454A29" w:rsidRDefault="00454A29"/>
        </w:tc>
        <w:tc>
          <w:tcPr>
            <w:tcW w:w="2324" w:type="dxa"/>
            <w:vMerge/>
          </w:tcPr>
          <w:p w14:paraId="14021046" w14:textId="77777777" w:rsidR="00454A29" w:rsidRDefault="00454A29"/>
        </w:tc>
        <w:tc>
          <w:tcPr>
            <w:tcW w:w="1701" w:type="dxa"/>
            <w:vAlign w:val="center"/>
          </w:tcPr>
          <w:p w14:paraId="2E371BBB" w14:textId="77777777" w:rsidR="00454A29" w:rsidRDefault="00454A29">
            <w:pPr>
              <w:pStyle w:val="ConsPlusNormal"/>
            </w:pPr>
          </w:p>
        </w:tc>
        <w:tc>
          <w:tcPr>
            <w:tcW w:w="1814" w:type="dxa"/>
            <w:vAlign w:val="center"/>
          </w:tcPr>
          <w:p w14:paraId="132FA7A8" w14:textId="77777777" w:rsidR="00454A29" w:rsidRDefault="00454A29">
            <w:pPr>
              <w:pStyle w:val="ConsPlusNormal"/>
            </w:pPr>
          </w:p>
        </w:tc>
        <w:tc>
          <w:tcPr>
            <w:tcW w:w="1701" w:type="dxa"/>
            <w:vAlign w:val="center"/>
          </w:tcPr>
          <w:p w14:paraId="263F9FE4" w14:textId="77777777" w:rsidR="00454A29" w:rsidRDefault="00454A29">
            <w:pPr>
              <w:pStyle w:val="ConsPlusNormal"/>
            </w:pPr>
          </w:p>
        </w:tc>
        <w:tc>
          <w:tcPr>
            <w:tcW w:w="1701" w:type="dxa"/>
            <w:vAlign w:val="center"/>
          </w:tcPr>
          <w:p w14:paraId="71E5A8B8" w14:textId="77777777" w:rsidR="00454A29" w:rsidRDefault="00454A29">
            <w:pPr>
              <w:pStyle w:val="ConsPlusNormal"/>
            </w:pPr>
          </w:p>
        </w:tc>
        <w:tc>
          <w:tcPr>
            <w:tcW w:w="1814" w:type="dxa"/>
            <w:vAlign w:val="center"/>
          </w:tcPr>
          <w:p w14:paraId="12869235" w14:textId="77777777" w:rsidR="00454A29" w:rsidRDefault="00454A29">
            <w:pPr>
              <w:pStyle w:val="ConsPlusNormal"/>
            </w:pPr>
          </w:p>
        </w:tc>
      </w:tr>
      <w:tr w:rsidR="00454A29" w14:paraId="37A18AED" w14:textId="77777777">
        <w:tc>
          <w:tcPr>
            <w:tcW w:w="567" w:type="dxa"/>
            <w:vMerge/>
          </w:tcPr>
          <w:p w14:paraId="577E3611" w14:textId="77777777" w:rsidR="00454A29" w:rsidRDefault="00454A29"/>
        </w:tc>
        <w:tc>
          <w:tcPr>
            <w:tcW w:w="3345" w:type="dxa"/>
            <w:vMerge/>
          </w:tcPr>
          <w:p w14:paraId="1FED14CD" w14:textId="77777777" w:rsidR="00454A29" w:rsidRDefault="00454A29"/>
        </w:tc>
        <w:tc>
          <w:tcPr>
            <w:tcW w:w="1701" w:type="dxa"/>
            <w:vAlign w:val="center"/>
          </w:tcPr>
          <w:p w14:paraId="6543C227" w14:textId="77777777" w:rsidR="00454A29" w:rsidRDefault="00454A29">
            <w:pPr>
              <w:pStyle w:val="ConsPlusNormal"/>
              <w:jc w:val="center"/>
            </w:pPr>
            <w:r>
              <w:t>2022</w:t>
            </w:r>
          </w:p>
        </w:tc>
        <w:tc>
          <w:tcPr>
            <w:tcW w:w="1417" w:type="dxa"/>
            <w:vMerge/>
          </w:tcPr>
          <w:p w14:paraId="737C4F85" w14:textId="77777777" w:rsidR="00454A29" w:rsidRDefault="00454A29"/>
        </w:tc>
        <w:tc>
          <w:tcPr>
            <w:tcW w:w="2204" w:type="dxa"/>
            <w:vMerge/>
          </w:tcPr>
          <w:p w14:paraId="03039D1A" w14:textId="77777777" w:rsidR="00454A29" w:rsidRDefault="00454A29"/>
        </w:tc>
        <w:tc>
          <w:tcPr>
            <w:tcW w:w="1417" w:type="dxa"/>
            <w:vMerge/>
          </w:tcPr>
          <w:p w14:paraId="3CAEA49E" w14:textId="77777777" w:rsidR="00454A29" w:rsidRDefault="00454A29"/>
        </w:tc>
        <w:tc>
          <w:tcPr>
            <w:tcW w:w="2324" w:type="dxa"/>
            <w:vMerge/>
          </w:tcPr>
          <w:p w14:paraId="12EE27C2" w14:textId="77777777" w:rsidR="00454A29" w:rsidRDefault="00454A29"/>
        </w:tc>
        <w:tc>
          <w:tcPr>
            <w:tcW w:w="1701" w:type="dxa"/>
            <w:vAlign w:val="center"/>
          </w:tcPr>
          <w:p w14:paraId="5577E63D" w14:textId="77777777" w:rsidR="00454A29" w:rsidRDefault="00454A29">
            <w:pPr>
              <w:pStyle w:val="ConsPlusNormal"/>
            </w:pPr>
          </w:p>
        </w:tc>
        <w:tc>
          <w:tcPr>
            <w:tcW w:w="1814" w:type="dxa"/>
            <w:vAlign w:val="center"/>
          </w:tcPr>
          <w:p w14:paraId="73C884CE" w14:textId="77777777" w:rsidR="00454A29" w:rsidRDefault="00454A29">
            <w:pPr>
              <w:pStyle w:val="ConsPlusNormal"/>
            </w:pPr>
          </w:p>
        </w:tc>
        <w:tc>
          <w:tcPr>
            <w:tcW w:w="1701" w:type="dxa"/>
            <w:vAlign w:val="center"/>
          </w:tcPr>
          <w:p w14:paraId="6E9BBA16" w14:textId="77777777" w:rsidR="00454A29" w:rsidRDefault="00454A29">
            <w:pPr>
              <w:pStyle w:val="ConsPlusNormal"/>
            </w:pPr>
          </w:p>
        </w:tc>
        <w:tc>
          <w:tcPr>
            <w:tcW w:w="1701" w:type="dxa"/>
            <w:vAlign w:val="center"/>
          </w:tcPr>
          <w:p w14:paraId="673EC385" w14:textId="77777777" w:rsidR="00454A29" w:rsidRDefault="00454A29">
            <w:pPr>
              <w:pStyle w:val="ConsPlusNormal"/>
            </w:pPr>
          </w:p>
        </w:tc>
        <w:tc>
          <w:tcPr>
            <w:tcW w:w="1814" w:type="dxa"/>
            <w:vAlign w:val="center"/>
          </w:tcPr>
          <w:p w14:paraId="6DDFA3F3" w14:textId="77777777" w:rsidR="00454A29" w:rsidRDefault="00454A29">
            <w:pPr>
              <w:pStyle w:val="ConsPlusNormal"/>
            </w:pPr>
          </w:p>
        </w:tc>
      </w:tr>
      <w:tr w:rsidR="00454A29" w14:paraId="25665264" w14:textId="77777777">
        <w:tc>
          <w:tcPr>
            <w:tcW w:w="567" w:type="dxa"/>
            <w:vMerge/>
          </w:tcPr>
          <w:p w14:paraId="4B5B846F" w14:textId="77777777" w:rsidR="00454A29" w:rsidRDefault="00454A29"/>
        </w:tc>
        <w:tc>
          <w:tcPr>
            <w:tcW w:w="3345" w:type="dxa"/>
            <w:vMerge/>
          </w:tcPr>
          <w:p w14:paraId="10F4641A" w14:textId="77777777" w:rsidR="00454A29" w:rsidRDefault="00454A29"/>
        </w:tc>
        <w:tc>
          <w:tcPr>
            <w:tcW w:w="1701" w:type="dxa"/>
            <w:vAlign w:val="center"/>
          </w:tcPr>
          <w:p w14:paraId="0AB101C1" w14:textId="77777777" w:rsidR="00454A29" w:rsidRDefault="00454A29">
            <w:pPr>
              <w:pStyle w:val="ConsPlusNormal"/>
              <w:jc w:val="center"/>
            </w:pPr>
            <w:r>
              <w:t>2023</w:t>
            </w:r>
          </w:p>
        </w:tc>
        <w:tc>
          <w:tcPr>
            <w:tcW w:w="1417" w:type="dxa"/>
            <w:vMerge/>
          </w:tcPr>
          <w:p w14:paraId="439D0774" w14:textId="77777777" w:rsidR="00454A29" w:rsidRDefault="00454A29"/>
        </w:tc>
        <w:tc>
          <w:tcPr>
            <w:tcW w:w="2204" w:type="dxa"/>
            <w:vMerge/>
          </w:tcPr>
          <w:p w14:paraId="7A33CBC6" w14:textId="77777777" w:rsidR="00454A29" w:rsidRDefault="00454A29"/>
        </w:tc>
        <w:tc>
          <w:tcPr>
            <w:tcW w:w="1417" w:type="dxa"/>
            <w:vMerge/>
          </w:tcPr>
          <w:p w14:paraId="301D5494" w14:textId="77777777" w:rsidR="00454A29" w:rsidRDefault="00454A29"/>
        </w:tc>
        <w:tc>
          <w:tcPr>
            <w:tcW w:w="2324" w:type="dxa"/>
            <w:vMerge/>
          </w:tcPr>
          <w:p w14:paraId="70429019" w14:textId="77777777" w:rsidR="00454A29" w:rsidRDefault="00454A29"/>
        </w:tc>
        <w:tc>
          <w:tcPr>
            <w:tcW w:w="1701" w:type="dxa"/>
            <w:vAlign w:val="center"/>
          </w:tcPr>
          <w:p w14:paraId="449F0339" w14:textId="77777777" w:rsidR="00454A29" w:rsidRDefault="00454A29">
            <w:pPr>
              <w:pStyle w:val="ConsPlusNormal"/>
            </w:pPr>
          </w:p>
        </w:tc>
        <w:tc>
          <w:tcPr>
            <w:tcW w:w="1814" w:type="dxa"/>
            <w:vAlign w:val="center"/>
          </w:tcPr>
          <w:p w14:paraId="234B6A2A" w14:textId="77777777" w:rsidR="00454A29" w:rsidRDefault="00454A29">
            <w:pPr>
              <w:pStyle w:val="ConsPlusNormal"/>
            </w:pPr>
          </w:p>
        </w:tc>
        <w:tc>
          <w:tcPr>
            <w:tcW w:w="1701" w:type="dxa"/>
            <w:vAlign w:val="center"/>
          </w:tcPr>
          <w:p w14:paraId="1F34998A" w14:textId="77777777" w:rsidR="00454A29" w:rsidRDefault="00454A29">
            <w:pPr>
              <w:pStyle w:val="ConsPlusNormal"/>
            </w:pPr>
          </w:p>
        </w:tc>
        <w:tc>
          <w:tcPr>
            <w:tcW w:w="1701" w:type="dxa"/>
            <w:vAlign w:val="center"/>
          </w:tcPr>
          <w:p w14:paraId="3FF2F32A" w14:textId="77777777" w:rsidR="00454A29" w:rsidRDefault="00454A29">
            <w:pPr>
              <w:pStyle w:val="ConsPlusNormal"/>
            </w:pPr>
          </w:p>
        </w:tc>
        <w:tc>
          <w:tcPr>
            <w:tcW w:w="1814" w:type="dxa"/>
            <w:vAlign w:val="center"/>
          </w:tcPr>
          <w:p w14:paraId="6667564A" w14:textId="77777777" w:rsidR="00454A29" w:rsidRDefault="00454A29">
            <w:pPr>
              <w:pStyle w:val="ConsPlusNormal"/>
            </w:pPr>
          </w:p>
        </w:tc>
      </w:tr>
      <w:tr w:rsidR="00454A29" w14:paraId="40D4DC8B" w14:textId="77777777">
        <w:tc>
          <w:tcPr>
            <w:tcW w:w="567" w:type="dxa"/>
            <w:vMerge/>
          </w:tcPr>
          <w:p w14:paraId="61738351" w14:textId="77777777" w:rsidR="00454A29" w:rsidRDefault="00454A29"/>
        </w:tc>
        <w:tc>
          <w:tcPr>
            <w:tcW w:w="3345" w:type="dxa"/>
            <w:vMerge/>
          </w:tcPr>
          <w:p w14:paraId="2781B516" w14:textId="77777777" w:rsidR="00454A29" w:rsidRDefault="00454A29"/>
        </w:tc>
        <w:tc>
          <w:tcPr>
            <w:tcW w:w="1701" w:type="dxa"/>
            <w:vAlign w:val="center"/>
          </w:tcPr>
          <w:p w14:paraId="360CCDBB" w14:textId="77777777" w:rsidR="00454A29" w:rsidRDefault="00454A29">
            <w:pPr>
              <w:pStyle w:val="ConsPlusNormal"/>
              <w:jc w:val="center"/>
            </w:pPr>
            <w:r>
              <w:t>2024</w:t>
            </w:r>
          </w:p>
        </w:tc>
        <w:tc>
          <w:tcPr>
            <w:tcW w:w="1417" w:type="dxa"/>
            <w:vMerge/>
          </w:tcPr>
          <w:p w14:paraId="243D5660" w14:textId="77777777" w:rsidR="00454A29" w:rsidRDefault="00454A29"/>
        </w:tc>
        <w:tc>
          <w:tcPr>
            <w:tcW w:w="2204" w:type="dxa"/>
            <w:vMerge/>
          </w:tcPr>
          <w:p w14:paraId="602779BD" w14:textId="77777777" w:rsidR="00454A29" w:rsidRDefault="00454A29"/>
        </w:tc>
        <w:tc>
          <w:tcPr>
            <w:tcW w:w="1417" w:type="dxa"/>
            <w:vMerge/>
          </w:tcPr>
          <w:p w14:paraId="657631D5" w14:textId="77777777" w:rsidR="00454A29" w:rsidRDefault="00454A29"/>
        </w:tc>
        <w:tc>
          <w:tcPr>
            <w:tcW w:w="2324" w:type="dxa"/>
            <w:vMerge/>
          </w:tcPr>
          <w:p w14:paraId="0262A0FC" w14:textId="77777777" w:rsidR="00454A29" w:rsidRDefault="00454A29"/>
        </w:tc>
        <w:tc>
          <w:tcPr>
            <w:tcW w:w="1701" w:type="dxa"/>
            <w:vAlign w:val="center"/>
          </w:tcPr>
          <w:p w14:paraId="1CC6868A" w14:textId="77777777" w:rsidR="00454A29" w:rsidRDefault="00454A29">
            <w:pPr>
              <w:pStyle w:val="ConsPlusNormal"/>
            </w:pPr>
          </w:p>
        </w:tc>
        <w:tc>
          <w:tcPr>
            <w:tcW w:w="1814" w:type="dxa"/>
            <w:vAlign w:val="center"/>
          </w:tcPr>
          <w:p w14:paraId="07242F4F" w14:textId="77777777" w:rsidR="00454A29" w:rsidRDefault="00454A29">
            <w:pPr>
              <w:pStyle w:val="ConsPlusNormal"/>
            </w:pPr>
          </w:p>
        </w:tc>
        <w:tc>
          <w:tcPr>
            <w:tcW w:w="1701" w:type="dxa"/>
            <w:vAlign w:val="center"/>
          </w:tcPr>
          <w:p w14:paraId="1237A5A5" w14:textId="77777777" w:rsidR="00454A29" w:rsidRDefault="00454A29">
            <w:pPr>
              <w:pStyle w:val="ConsPlusNormal"/>
            </w:pPr>
          </w:p>
        </w:tc>
        <w:tc>
          <w:tcPr>
            <w:tcW w:w="1701" w:type="dxa"/>
            <w:vAlign w:val="center"/>
          </w:tcPr>
          <w:p w14:paraId="7BDA6A67" w14:textId="77777777" w:rsidR="00454A29" w:rsidRDefault="00454A29">
            <w:pPr>
              <w:pStyle w:val="ConsPlusNormal"/>
            </w:pPr>
          </w:p>
        </w:tc>
        <w:tc>
          <w:tcPr>
            <w:tcW w:w="1814" w:type="dxa"/>
            <w:vAlign w:val="center"/>
          </w:tcPr>
          <w:p w14:paraId="0530EBDB" w14:textId="77777777" w:rsidR="00454A29" w:rsidRDefault="00454A29">
            <w:pPr>
              <w:pStyle w:val="ConsPlusNormal"/>
            </w:pPr>
          </w:p>
        </w:tc>
      </w:tr>
      <w:tr w:rsidR="00454A29" w14:paraId="141C08D6" w14:textId="77777777">
        <w:tc>
          <w:tcPr>
            <w:tcW w:w="567" w:type="dxa"/>
            <w:vMerge/>
          </w:tcPr>
          <w:p w14:paraId="411D8BE0" w14:textId="77777777" w:rsidR="00454A29" w:rsidRDefault="00454A29"/>
        </w:tc>
        <w:tc>
          <w:tcPr>
            <w:tcW w:w="3345" w:type="dxa"/>
            <w:vMerge/>
          </w:tcPr>
          <w:p w14:paraId="258BDFE0" w14:textId="77777777" w:rsidR="00454A29" w:rsidRDefault="00454A29"/>
        </w:tc>
        <w:tc>
          <w:tcPr>
            <w:tcW w:w="1701" w:type="dxa"/>
            <w:vAlign w:val="center"/>
          </w:tcPr>
          <w:p w14:paraId="02186381" w14:textId="77777777" w:rsidR="00454A29" w:rsidRDefault="00454A29">
            <w:pPr>
              <w:pStyle w:val="ConsPlusNormal"/>
              <w:jc w:val="center"/>
            </w:pPr>
            <w:r>
              <w:t>2025</w:t>
            </w:r>
          </w:p>
        </w:tc>
        <w:tc>
          <w:tcPr>
            <w:tcW w:w="1417" w:type="dxa"/>
            <w:vMerge/>
          </w:tcPr>
          <w:p w14:paraId="7CADF824" w14:textId="77777777" w:rsidR="00454A29" w:rsidRDefault="00454A29"/>
        </w:tc>
        <w:tc>
          <w:tcPr>
            <w:tcW w:w="2204" w:type="dxa"/>
            <w:vMerge/>
          </w:tcPr>
          <w:p w14:paraId="39158AB2" w14:textId="77777777" w:rsidR="00454A29" w:rsidRDefault="00454A29"/>
        </w:tc>
        <w:tc>
          <w:tcPr>
            <w:tcW w:w="1417" w:type="dxa"/>
            <w:vMerge/>
          </w:tcPr>
          <w:p w14:paraId="0A76A4C3" w14:textId="77777777" w:rsidR="00454A29" w:rsidRDefault="00454A29"/>
        </w:tc>
        <w:tc>
          <w:tcPr>
            <w:tcW w:w="2324" w:type="dxa"/>
            <w:vMerge/>
          </w:tcPr>
          <w:p w14:paraId="049B7501" w14:textId="77777777" w:rsidR="00454A29" w:rsidRDefault="00454A29"/>
        </w:tc>
        <w:tc>
          <w:tcPr>
            <w:tcW w:w="1701" w:type="dxa"/>
            <w:vAlign w:val="center"/>
          </w:tcPr>
          <w:p w14:paraId="5AE468A0" w14:textId="77777777" w:rsidR="00454A29" w:rsidRDefault="00454A29">
            <w:pPr>
              <w:pStyle w:val="ConsPlusNormal"/>
            </w:pPr>
          </w:p>
        </w:tc>
        <w:tc>
          <w:tcPr>
            <w:tcW w:w="1814" w:type="dxa"/>
            <w:vAlign w:val="center"/>
          </w:tcPr>
          <w:p w14:paraId="078EA3FC" w14:textId="77777777" w:rsidR="00454A29" w:rsidRDefault="00454A29">
            <w:pPr>
              <w:pStyle w:val="ConsPlusNormal"/>
            </w:pPr>
          </w:p>
        </w:tc>
        <w:tc>
          <w:tcPr>
            <w:tcW w:w="1701" w:type="dxa"/>
            <w:vAlign w:val="center"/>
          </w:tcPr>
          <w:p w14:paraId="0635B691" w14:textId="77777777" w:rsidR="00454A29" w:rsidRDefault="00454A29">
            <w:pPr>
              <w:pStyle w:val="ConsPlusNormal"/>
            </w:pPr>
          </w:p>
        </w:tc>
        <w:tc>
          <w:tcPr>
            <w:tcW w:w="1701" w:type="dxa"/>
            <w:vAlign w:val="center"/>
          </w:tcPr>
          <w:p w14:paraId="55A99F1B" w14:textId="77777777" w:rsidR="00454A29" w:rsidRDefault="00454A29">
            <w:pPr>
              <w:pStyle w:val="ConsPlusNormal"/>
            </w:pPr>
          </w:p>
        </w:tc>
        <w:tc>
          <w:tcPr>
            <w:tcW w:w="1814" w:type="dxa"/>
            <w:vAlign w:val="center"/>
          </w:tcPr>
          <w:p w14:paraId="6749C51E" w14:textId="77777777" w:rsidR="00454A29" w:rsidRDefault="00454A29">
            <w:pPr>
              <w:pStyle w:val="ConsPlusNormal"/>
            </w:pPr>
          </w:p>
        </w:tc>
      </w:tr>
      <w:tr w:rsidR="00454A29" w14:paraId="75546611" w14:textId="77777777">
        <w:tc>
          <w:tcPr>
            <w:tcW w:w="567" w:type="dxa"/>
            <w:vMerge/>
          </w:tcPr>
          <w:p w14:paraId="128BB3AA" w14:textId="77777777" w:rsidR="00454A29" w:rsidRDefault="00454A29"/>
        </w:tc>
        <w:tc>
          <w:tcPr>
            <w:tcW w:w="3345" w:type="dxa"/>
            <w:vMerge/>
          </w:tcPr>
          <w:p w14:paraId="147843E6" w14:textId="77777777" w:rsidR="00454A29" w:rsidRDefault="00454A29"/>
        </w:tc>
        <w:tc>
          <w:tcPr>
            <w:tcW w:w="1701" w:type="dxa"/>
            <w:vAlign w:val="center"/>
          </w:tcPr>
          <w:p w14:paraId="64D17870" w14:textId="77777777" w:rsidR="00454A29" w:rsidRDefault="00454A29">
            <w:pPr>
              <w:pStyle w:val="ConsPlusNormal"/>
              <w:jc w:val="center"/>
            </w:pPr>
            <w:r>
              <w:t>2026</w:t>
            </w:r>
          </w:p>
        </w:tc>
        <w:tc>
          <w:tcPr>
            <w:tcW w:w="1417" w:type="dxa"/>
            <w:vMerge/>
          </w:tcPr>
          <w:p w14:paraId="53064F22" w14:textId="77777777" w:rsidR="00454A29" w:rsidRDefault="00454A29"/>
        </w:tc>
        <w:tc>
          <w:tcPr>
            <w:tcW w:w="2204" w:type="dxa"/>
            <w:vMerge/>
          </w:tcPr>
          <w:p w14:paraId="34169B27" w14:textId="77777777" w:rsidR="00454A29" w:rsidRDefault="00454A29"/>
        </w:tc>
        <w:tc>
          <w:tcPr>
            <w:tcW w:w="1417" w:type="dxa"/>
            <w:vMerge/>
          </w:tcPr>
          <w:p w14:paraId="624AEBCD" w14:textId="77777777" w:rsidR="00454A29" w:rsidRDefault="00454A29"/>
        </w:tc>
        <w:tc>
          <w:tcPr>
            <w:tcW w:w="2324" w:type="dxa"/>
            <w:vMerge/>
          </w:tcPr>
          <w:p w14:paraId="6F44FFFF" w14:textId="77777777" w:rsidR="00454A29" w:rsidRDefault="00454A29"/>
        </w:tc>
        <w:tc>
          <w:tcPr>
            <w:tcW w:w="1701" w:type="dxa"/>
            <w:vAlign w:val="center"/>
          </w:tcPr>
          <w:p w14:paraId="451DC263" w14:textId="77777777" w:rsidR="00454A29" w:rsidRDefault="00454A29">
            <w:pPr>
              <w:pStyle w:val="ConsPlusNormal"/>
              <w:jc w:val="center"/>
            </w:pPr>
            <w:r>
              <w:t>733 339,11</w:t>
            </w:r>
          </w:p>
        </w:tc>
        <w:tc>
          <w:tcPr>
            <w:tcW w:w="1814" w:type="dxa"/>
            <w:vAlign w:val="center"/>
          </w:tcPr>
          <w:p w14:paraId="21B72769" w14:textId="77777777" w:rsidR="00454A29" w:rsidRDefault="00454A29">
            <w:pPr>
              <w:pStyle w:val="ConsPlusNormal"/>
              <w:jc w:val="center"/>
            </w:pPr>
            <w:r>
              <w:t>9 034,74</w:t>
            </w:r>
          </w:p>
        </w:tc>
        <w:tc>
          <w:tcPr>
            <w:tcW w:w="1701" w:type="dxa"/>
            <w:vAlign w:val="center"/>
          </w:tcPr>
          <w:p w14:paraId="0A6F99A6" w14:textId="77777777" w:rsidR="00454A29" w:rsidRDefault="00454A29">
            <w:pPr>
              <w:pStyle w:val="ConsPlusNormal"/>
              <w:jc w:val="center"/>
            </w:pPr>
            <w:r>
              <w:t>894 439,04</w:t>
            </w:r>
          </w:p>
        </w:tc>
        <w:tc>
          <w:tcPr>
            <w:tcW w:w="1701" w:type="dxa"/>
            <w:vAlign w:val="center"/>
          </w:tcPr>
          <w:p w14:paraId="7666391D" w14:textId="77777777" w:rsidR="00454A29" w:rsidRDefault="00454A29">
            <w:pPr>
              <w:pStyle w:val="ConsPlusNormal"/>
            </w:pPr>
          </w:p>
        </w:tc>
        <w:tc>
          <w:tcPr>
            <w:tcW w:w="1814" w:type="dxa"/>
            <w:vAlign w:val="center"/>
          </w:tcPr>
          <w:p w14:paraId="4AA9F622" w14:textId="77777777" w:rsidR="00454A29" w:rsidRDefault="00454A29">
            <w:pPr>
              <w:pStyle w:val="ConsPlusNormal"/>
            </w:pPr>
          </w:p>
        </w:tc>
      </w:tr>
      <w:tr w:rsidR="00454A29" w14:paraId="2EDEB118" w14:textId="77777777">
        <w:tc>
          <w:tcPr>
            <w:tcW w:w="567" w:type="dxa"/>
            <w:vMerge w:val="restart"/>
            <w:vAlign w:val="center"/>
          </w:tcPr>
          <w:p w14:paraId="41DC93B6" w14:textId="77777777" w:rsidR="00454A29" w:rsidRDefault="00454A29">
            <w:pPr>
              <w:pStyle w:val="ConsPlusNormal"/>
              <w:jc w:val="center"/>
            </w:pPr>
            <w:r>
              <w:t>12</w:t>
            </w:r>
          </w:p>
        </w:tc>
        <w:tc>
          <w:tcPr>
            <w:tcW w:w="3345" w:type="dxa"/>
            <w:vMerge w:val="restart"/>
            <w:vAlign w:val="center"/>
          </w:tcPr>
          <w:p w14:paraId="461B7892" w14:textId="77777777" w:rsidR="00454A29" w:rsidRDefault="00454A29">
            <w:pPr>
              <w:pStyle w:val="ConsPlusNormal"/>
              <w:jc w:val="center"/>
            </w:pPr>
            <w:r>
              <w:t>Школа на 50 учащихся в с. Амга (СКОШИ)</w:t>
            </w:r>
          </w:p>
        </w:tc>
        <w:tc>
          <w:tcPr>
            <w:tcW w:w="1701" w:type="dxa"/>
            <w:vAlign w:val="center"/>
          </w:tcPr>
          <w:p w14:paraId="26ED4F82" w14:textId="77777777" w:rsidR="00454A29" w:rsidRDefault="00454A29">
            <w:pPr>
              <w:pStyle w:val="ConsPlusNormal"/>
              <w:jc w:val="center"/>
            </w:pPr>
            <w:r>
              <w:t>2020 - 2026 годы - всего</w:t>
            </w:r>
          </w:p>
        </w:tc>
        <w:tc>
          <w:tcPr>
            <w:tcW w:w="1417" w:type="dxa"/>
            <w:vMerge w:val="restart"/>
            <w:vAlign w:val="center"/>
          </w:tcPr>
          <w:p w14:paraId="790FF93A" w14:textId="77777777" w:rsidR="00454A29" w:rsidRDefault="00454A29">
            <w:pPr>
              <w:pStyle w:val="ConsPlusNormal"/>
              <w:jc w:val="center"/>
            </w:pPr>
            <w:r>
              <w:t>183 912,26</w:t>
            </w:r>
          </w:p>
        </w:tc>
        <w:tc>
          <w:tcPr>
            <w:tcW w:w="2204" w:type="dxa"/>
            <w:vMerge w:val="restart"/>
            <w:vAlign w:val="center"/>
          </w:tcPr>
          <w:p w14:paraId="74D91F74" w14:textId="77777777" w:rsidR="00454A29" w:rsidRDefault="00454A29">
            <w:pPr>
              <w:pStyle w:val="ConsPlusNormal"/>
            </w:pPr>
          </w:p>
        </w:tc>
        <w:tc>
          <w:tcPr>
            <w:tcW w:w="1417" w:type="dxa"/>
            <w:vMerge w:val="restart"/>
            <w:vAlign w:val="center"/>
          </w:tcPr>
          <w:p w14:paraId="489888DF" w14:textId="77777777" w:rsidR="00454A29" w:rsidRDefault="00454A29">
            <w:pPr>
              <w:pStyle w:val="ConsPlusNormal"/>
              <w:jc w:val="center"/>
            </w:pPr>
            <w:r>
              <w:t>50</w:t>
            </w:r>
          </w:p>
        </w:tc>
        <w:tc>
          <w:tcPr>
            <w:tcW w:w="2324" w:type="dxa"/>
            <w:vMerge w:val="restart"/>
            <w:vAlign w:val="center"/>
          </w:tcPr>
          <w:p w14:paraId="1EC7A3D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BE60862" w14:textId="77777777" w:rsidR="00454A29" w:rsidRDefault="00454A29">
            <w:pPr>
              <w:pStyle w:val="ConsPlusNormal"/>
              <w:jc w:val="center"/>
            </w:pPr>
            <w:r>
              <w:t>183 912,26</w:t>
            </w:r>
          </w:p>
        </w:tc>
        <w:tc>
          <w:tcPr>
            <w:tcW w:w="1814" w:type="dxa"/>
            <w:vAlign w:val="center"/>
          </w:tcPr>
          <w:p w14:paraId="72DC9328" w14:textId="77777777" w:rsidR="00454A29" w:rsidRDefault="00454A29">
            <w:pPr>
              <w:pStyle w:val="ConsPlusNormal"/>
              <w:jc w:val="center"/>
            </w:pPr>
            <w:r>
              <w:t>2 265,80</w:t>
            </w:r>
          </w:p>
        </w:tc>
        <w:tc>
          <w:tcPr>
            <w:tcW w:w="1701" w:type="dxa"/>
            <w:vAlign w:val="center"/>
          </w:tcPr>
          <w:p w14:paraId="1306539B" w14:textId="77777777" w:rsidR="00454A29" w:rsidRDefault="00454A29">
            <w:pPr>
              <w:pStyle w:val="ConsPlusNormal"/>
              <w:jc w:val="center"/>
            </w:pPr>
            <w:r>
              <w:t>224 314,11</w:t>
            </w:r>
          </w:p>
        </w:tc>
        <w:tc>
          <w:tcPr>
            <w:tcW w:w="1701" w:type="dxa"/>
            <w:vAlign w:val="center"/>
          </w:tcPr>
          <w:p w14:paraId="74C20E56" w14:textId="77777777" w:rsidR="00454A29" w:rsidRDefault="00454A29">
            <w:pPr>
              <w:pStyle w:val="ConsPlusNormal"/>
              <w:jc w:val="center"/>
            </w:pPr>
            <w:r>
              <w:t>-</w:t>
            </w:r>
          </w:p>
        </w:tc>
        <w:tc>
          <w:tcPr>
            <w:tcW w:w="1814" w:type="dxa"/>
            <w:vAlign w:val="center"/>
          </w:tcPr>
          <w:p w14:paraId="53ACFFD0" w14:textId="77777777" w:rsidR="00454A29" w:rsidRDefault="00454A29">
            <w:pPr>
              <w:pStyle w:val="ConsPlusNormal"/>
              <w:jc w:val="center"/>
            </w:pPr>
            <w:r>
              <w:t>-</w:t>
            </w:r>
          </w:p>
        </w:tc>
      </w:tr>
      <w:tr w:rsidR="00454A29" w14:paraId="11D391B1" w14:textId="77777777">
        <w:tc>
          <w:tcPr>
            <w:tcW w:w="567" w:type="dxa"/>
            <w:vMerge/>
          </w:tcPr>
          <w:p w14:paraId="303CBA17" w14:textId="77777777" w:rsidR="00454A29" w:rsidRDefault="00454A29"/>
        </w:tc>
        <w:tc>
          <w:tcPr>
            <w:tcW w:w="3345" w:type="dxa"/>
            <w:vMerge/>
          </w:tcPr>
          <w:p w14:paraId="24BBCC10" w14:textId="77777777" w:rsidR="00454A29" w:rsidRDefault="00454A29"/>
        </w:tc>
        <w:tc>
          <w:tcPr>
            <w:tcW w:w="1701" w:type="dxa"/>
            <w:vAlign w:val="center"/>
          </w:tcPr>
          <w:p w14:paraId="53905522" w14:textId="77777777" w:rsidR="00454A29" w:rsidRDefault="00454A29">
            <w:pPr>
              <w:pStyle w:val="ConsPlusNormal"/>
              <w:jc w:val="center"/>
            </w:pPr>
            <w:r>
              <w:t>2020</w:t>
            </w:r>
          </w:p>
        </w:tc>
        <w:tc>
          <w:tcPr>
            <w:tcW w:w="1417" w:type="dxa"/>
            <w:vMerge/>
          </w:tcPr>
          <w:p w14:paraId="631ED297" w14:textId="77777777" w:rsidR="00454A29" w:rsidRDefault="00454A29"/>
        </w:tc>
        <w:tc>
          <w:tcPr>
            <w:tcW w:w="2204" w:type="dxa"/>
            <w:vMerge/>
          </w:tcPr>
          <w:p w14:paraId="3081D182" w14:textId="77777777" w:rsidR="00454A29" w:rsidRDefault="00454A29"/>
        </w:tc>
        <w:tc>
          <w:tcPr>
            <w:tcW w:w="1417" w:type="dxa"/>
            <w:vMerge/>
          </w:tcPr>
          <w:p w14:paraId="7F4F3C38" w14:textId="77777777" w:rsidR="00454A29" w:rsidRDefault="00454A29"/>
        </w:tc>
        <w:tc>
          <w:tcPr>
            <w:tcW w:w="2324" w:type="dxa"/>
            <w:vMerge/>
          </w:tcPr>
          <w:p w14:paraId="1DC621F0" w14:textId="77777777" w:rsidR="00454A29" w:rsidRDefault="00454A29"/>
        </w:tc>
        <w:tc>
          <w:tcPr>
            <w:tcW w:w="1701" w:type="dxa"/>
            <w:vAlign w:val="center"/>
          </w:tcPr>
          <w:p w14:paraId="5510B5C0" w14:textId="77777777" w:rsidR="00454A29" w:rsidRDefault="00454A29">
            <w:pPr>
              <w:pStyle w:val="ConsPlusNormal"/>
            </w:pPr>
          </w:p>
        </w:tc>
        <w:tc>
          <w:tcPr>
            <w:tcW w:w="1814" w:type="dxa"/>
            <w:vAlign w:val="center"/>
          </w:tcPr>
          <w:p w14:paraId="7D195E1D" w14:textId="77777777" w:rsidR="00454A29" w:rsidRDefault="00454A29">
            <w:pPr>
              <w:pStyle w:val="ConsPlusNormal"/>
            </w:pPr>
          </w:p>
        </w:tc>
        <w:tc>
          <w:tcPr>
            <w:tcW w:w="1701" w:type="dxa"/>
            <w:vAlign w:val="center"/>
          </w:tcPr>
          <w:p w14:paraId="513C76CB" w14:textId="77777777" w:rsidR="00454A29" w:rsidRDefault="00454A29">
            <w:pPr>
              <w:pStyle w:val="ConsPlusNormal"/>
            </w:pPr>
          </w:p>
        </w:tc>
        <w:tc>
          <w:tcPr>
            <w:tcW w:w="1701" w:type="dxa"/>
            <w:vAlign w:val="center"/>
          </w:tcPr>
          <w:p w14:paraId="17A6381E" w14:textId="77777777" w:rsidR="00454A29" w:rsidRDefault="00454A29">
            <w:pPr>
              <w:pStyle w:val="ConsPlusNormal"/>
            </w:pPr>
          </w:p>
        </w:tc>
        <w:tc>
          <w:tcPr>
            <w:tcW w:w="1814" w:type="dxa"/>
            <w:vAlign w:val="center"/>
          </w:tcPr>
          <w:p w14:paraId="5EC39FBA" w14:textId="77777777" w:rsidR="00454A29" w:rsidRDefault="00454A29">
            <w:pPr>
              <w:pStyle w:val="ConsPlusNormal"/>
            </w:pPr>
          </w:p>
        </w:tc>
      </w:tr>
      <w:tr w:rsidR="00454A29" w14:paraId="56F6EC31" w14:textId="77777777">
        <w:tc>
          <w:tcPr>
            <w:tcW w:w="567" w:type="dxa"/>
            <w:vMerge/>
          </w:tcPr>
          <w:p w14:paraId="7C88F516" w14:textId="77777777" w:rsidR="00454A29" w:rsidRDefault="00454A29"/>
        </w:tc>
        <w:tc>
          <w:tcPr>
            <w:tcW w:w="3345" w:type="dxa"/>
            <w:vMerge/>
          </w:tcPr>
          <w:p w14:paraId="2D2F3944" w14:textId="77777777" w:rsidR="00454A29" w:rsidRDefault="00454A29"/>
        </w:tc>
        <w:tc>
          <w:tcPr>
            <w:tcW w:w="1701" w:type="dxa"/>
            <w:vAlign w:val="center"/>
          </w:tcPr>
          <w:p w14:paraId="07B4AB51" w14:textId="77777777" w:rsidR="00454A29" w:rsidRDefault="00454A29">
            <w:pPr>
              <w:pStyle w:val="ConsPlusNormal"/>
              <w:jc w:val="center"/>
            </w:pPr>
            <w:r>
              <w:t>2021</w:t>
            </w:r>
          </w:p>
        </w:tc>
        <w:tc>
          <w:tcPr>
            <w:tcW w:w="1417" w:type="dxa"/>
            <w:vMerge/>
          </w:tcPr>
          <w:p w14:paraId="391CEC16" w14:textId="77777777" w:rsidR="00454A29" w:rsidRDefault="00454A29"/>
        </w:tc>
        <w:tc>
          <w:tcPr>
            <w:tcW w:w="2204" w:type="dxa"/>
            <w:vMerge/>
          </w:tcPr>
          <w:p w14:paraId="2599E189" w14:textId="77777777" w:rsidR="00454A29" w:rsidRDefault="00454A29"/>
        </w:tc>
        <w:tc>
          <w:tcPr>
            <w:tcW w:w="1417" w:type="dxa"/>
            <w:vMerge/>
          </w:tcPr>
          <w:p w14:paraId="1B6DFA92" w14:textId="77777777" w:rsidR="00454A29" w:rsidRDefault="00454A29"/>
        </w:tc>
        <w:tc>
          <w:tcPr>
            <w:tcW w:w="2324" w:type="dxa"/>
            <w:vMerge/>
          </w:tcPr>
          <w:p w14:paraId="6532768C" w14:textId="77777777" w:rsidR="00454A29" w:rsidRDefault="00454A29"/>
        </w:tc>
        <w:tc>
          <w:tcPr>
            <w:tcW w:w="1701" w:type="dxa"/>
            <w:vAlign w:val="center"/>
          </w:tcPr>
          <w:p w14:paraId="5BFACBF3" w14:textId="77777777" w:rsidR="00454A29" w:rsidRDefault="00454A29">
            <w:pPr>
              <w:pStyle w:val="ConsPlusNormal"/>
            </w:pPr>
          </w:p>
        </w:tc>
        <w:tc>
          <w:tcPr>
            <w:tcW w:w="1814" w:type="dxa"/>
            <w:vAlign w:val="center"/>
          </w:tcPr>
          <w:p w14:paraId="3F6F031E" w14:textId="77777777" w:rsidR="00454A29" w:rsidRDefault="00454A29">
            <w:pPr>
              <w:pStyle w:val="ConsPlusNormal"/>
            </w:pPr>
          </w:p>
        </w:tc>
        <w:tc>
          <w:tcPr>
            <w:tcW w:w="1701" w:type="dxa"/>
            <w:vAlign w:val="center"/>
          </w:tcPr>
          <w:p w14:paraId="20D76793" w14:textId="77777777" w:rsidR="00454A29" w:rsidRDefault="00454A29">
            <w:pPr>
              <w:pStyle w:val="ConsPlusNormal"/>
            </w:pPr>
          </w:p>
        </w:tc>
        <w:tc>
          <w:tcPr>
            <w:tcW w:w="1701" w:type="dxa"/>
            <w:vAlign w:val="center"/>
          </w:tcPr>
          <w:p w14:paraId="02AD256F" w14:textId="77777777" w:rsidR="00454A29" w:rsidRDefault="00454A29">
            <w:pPr>
              <w:pStyle w:val="ConsPlusNormal"/>
            </w:pPr>
          </w:p>
        </w:tc>
        <w:tc>
          <w:tcPr>
            <w:tcW w:w="1814" w:type="dxa"/>
            <w:vAlign w:val="center"/>
          </w:tcPr>
          <w:p w14:paraId="4781BB30" w14:textId="77777777" w:rsidR="00454A29" w:rsidRDefault="00454A29">
            <w:pPr>
              <w:pStyle w:val="ConsPlusNormal"/>
            </w:pPr>
          </w:p>
        </w:tc>
      </w:tr>
      <w:tr w:rsidR="00454A29" w14:paraId="0FD09E85" w14:textId="77777777">
        <w:tc>
          <w:tcPr>
            <w:tcW w:w="567" w:type="dxa"/>
            <w:vMerge/>
          </w:tcPr>
          <w:p w14:paraId="59CFF6C8" w14:textId="77777777" w:rsidR="00454A29" w:rsidRDefault="00454A29"/>
        </w:tc>
        <w:tc>
          <w:tcPr>
            <w:tcW w:w="3345" w:type="dxa"/>
            <w:vMerge/>
          </w:tcPr>
          <w:p w14:paraId="1A3B2E7A" w14:textId="77777777" w:rsidR="00454A29" w:rsidRDefault="00454A29"/>
        </w:tc>
        <w:tc>
          <w:tcPr>
            <w:tcW w:w="1701" w:type="dxa"/>
            <w:vAlign w:val="center"/>
          </w:tcPr>
          <w:p w14:paraId="6B72AD4C" w14:textId="77777777" w:rsidR="00454A29" w:rsidRDefault="00454A29">
            <w:pPr>
              <w:pStyle w:val="ConsPlusNormal"/>
              <w:jc w:val="center"/>
            </w:pPr>
            <w:r>
              <w:t>2022</w:t>
            </w:r>
          </w:p>
        </w:tc>
        <w:tc>
          <w:tcPr>
            <w:tcW w:w="1417" w:type="dxa"/>
            <w:vMerge/>
          </w:tcPr>
          <w:p w14:paraId="296F388B" w14:textId="77777777" w:rsidR="00454A29" w:rsidRDefault="00454A29"/>
        </w:tc>
        <w:tc>
          <w:tcPr>
            <w:tcW w:w="2204" w:type="dxa"/>
            <w:vMerge/>
          </w:tcPr>
          <w:p w14:paraId="2AD8F0C2" w14:textId="77777777" w:rsidR="00454A29" w:rsidRDefault="00454A29"/>
        </w:tc>
        <w:tc>
          <w:tcPr>
            <w:tcW w:w="1417" w:type="dxa"/>
            <w:vMerge/>
          </w:tcPr>
          <w:p w14:paraId="5F990829" w14:textId="77777777" w:rsidR="00454A29" w:rsidRDefault="00454A29"/>
        </w:tc>
        <w:tc>
          <w:tcPr>
            <w:tcW w:w="2324" w:type="dxa"/>
            <w:vMerge/>
          </w:tcPr>
          <w:p w14:paraId="0CDAE3E4" w14:textId="77777777" w:rsidR="00454A29" w:rsidRDefault="00454A29"/>
        </w:tc>
        <w:tc>
          <w:tcPr>
            <w:tcW w:w="1701" w:type="dxa"/>
            <w:vAlign w:val="center"/>
          </w:tcPr>
          <w:p w14:paraId="446550E2" w14:textId="77777777" w:rsidR="00454A29" w:rsidRDefault="00454A29">
            <w:pPr>
              <w:pStyle w:val="ConsPlusNormal"/>
            </w:pPr>
          </w:p>
        </w:tc>
        <w:tc>
          <w:tcPr>
            <w:tcW w:w="1814" w:type="dxa"/>
            <w:vAlign w:val="center"/>
          </w:tcPr>
          <w:p w14:paraId="7DDCCAA2" w14:textId="77777777" w:rsidR="00454A29" w:rsidRDefault="00454A29">
            <w:pPr>
              <w:pStyle w:val="ConsPlusNormal"/>
            </w:pPr>
          </w:p>
        </w:tc>
        <w:tc>
          <w:tcPr>
            <w:tcW w:w="1701" w:type="dxa"/>
            <w:vAlign w:val="center"/>
          </w:tcPr>
          <w:p w14:paraId="1A56B592" w14:textId="77777777" w:rsidR="00454A29" w:rsidRDefault="00454A29">
            <w:pPr>
              <w:pStyle w:val="ConsPlusNormal"/>
            </w:pPr>
          </w:p>
        </w:tc>
        <w:tc>
          <w:tcPr>
            <w:tcW w:w="1701" w:type="dxa"/>
            <w:vAlign w:val="center"/>
          </w:tcPr>
          <w:p w14:paraId="0B805A50" w14:textId="77777777" w:rsidR="00454A29" w:rsidRDefault="00454A29">
            <w:pPr>
              <w:pStyle w:val="ConsPlusNormal"/>
            </w:pPr>
          </w:p>
        </w:tc>
        <w:tc>
          <w:tcPr>
            <w:tcW w:w="1814" w:type="dxa"/>
            <w:vAlign w:val="center"/>
          </w:tcPr>
          <w:p w14:paraId="56157259" w14:textId="77777777" w:rsidR="00454A29" w:rsidRDefault="00454A29">
            <w:pPr>
              <w:pStyle w:val="ConsPlusNormal"/>
            </w:pPr>
          </w:p>
        </w:tc>
      </w:tr>
      <w:tr w:rsidR="00454A29" w14:paraId="5F5AA35A" w14:textId="77777777">
        <w:tc>
          <w:tcPr>
            <w:tcW w:w="567" w:type="dxa"/>
            <w:vMerge/>
          </w:tcPr>
          <w:p w14:paraId="515E1428" w14:textId="77777777" w:rsidR="00454A29" w:rsidRDefault="00454A29"/>
        </w:tc>
        <w:tc>
          <w:tcPr>
            <w:tcW w:w="3345" w:type="dxa"/>
            <w:vMerge/>
          </w:tcPr>
          <w:p w14:paraId="21381315" w14:textId="77777777" w:rsidR="00454A29" w:rsidRDefault="00454A29"/>
        </w:tc>
        <w:tc>
          <w:tcPr>
            <w:tcW w:w="1701" w:type="dxa"/>
            <w:vAlign w:val="center"/>
          </w:tcPr>
          <w:p w14:paraId="7F40CA37" w14:textId="77777777" w:rsidR="00454A29" w:rsidRDefault="00454A29">
            <w:pPr>
              <w:pStyle w:val="ConsPlusNormal"/>
              <w:jc w:val="center"/>
            </w:pPr>
            <w:r>
              <w:t>2023</w:t>
            </w:r>
          </w:p>
        </w:tc>
        <w:tc>
          <w:tcPr>
            <w:tcW w:w="1417" w:type="dxa"/>
            <w:vMerge/>
          </w:tcPr>
          <w:p w14:paraId="739AAC05" w14:textId="77777777" w:rsidR="00454A29" w:rsidRDefault="00454A29"/>
        </w:tc>
        <w:tc>
          <w:tcPr>
            <w:tcW w:w="2204" w:type="dxa"/>
            <w:vMerge/>
          </w:tcPr>
          <w:p w14:paraId="0FC62864" w14:textId="77777777" w:rsidR="00454A29" w:rsidRDefault="00454A29"/>
        </w:tc>
        <w:tc>
          <w:tcPr>
            <w:tcW w:w="1417" w:type="dxa"/>
            <w:vMerge/>
          </w:tcPr>
          <w:p w14:paraId="40083F72" w14:textId="77777777" w:rsidR="00454A29" w:rsidRDefault="00454A29"/>
        </w:tc>
        <w:tc>
          <w:tcPr>
            <w:tcW w:w="2324" w:type="dxa"/>
            <w:vMerge/>
          </w:tcPr>
          <w:p w14:paraId="1776DE52" w14:textId="77777777" w:rsidR="00454A29" w:rsidRDefault="00454A29"/>
        </w:tc>
        <w:tc>
          <w:tcPr>
            <w:tcW w:w="1701" w:type="dxa"/>
            <w:vAlign w:val="center"/>
          </w:tcPr>
          <w:p w14:paraId="463BA477" w14:textId="77777777" w:rsidR="00454A29" w:rsidRDefault="00454A29">
            <w:pPr>
              <w:pStyle w:val="ConsPlusNormal"/>
            </w:pPr>
          </w:p>
        </w:tc>
        <w:tc>
          <w:tcPr>
            <w:tcW w:w="1814" w:type="dxa"/>
            <w:vAlign w:val="center"/>
          </w:tcPr>
          <w:p w14:paraId="7921374D" w14:textId="77777777" w:rsidR="00454A29" w:rsidRDefault="00454A29">
            <w:pPr>
              <w:pStyle w:val="ConsPlusNormal"/>
            </w:pPr>
          </w:p>
        </w:tc>
        <w:tc>
          <w:tcPr>
            <w:tcW w:w="1701" w:type="dxa"/>
            <w:vAlign w:val="center"/>
          </w:tcPr>
          <w:p w14:paraId="0A538F85" w14:textId="77777777" w:rsidR="00454A29" w:rsidRDefault="00454A29">
            <w:pPr>
              <w:pStyle w:val="ConsPlusNormal"/>
            </w:pPr>
          </w:p>
        </w:tc>
        <w:tc>
          <w:tcPr>
            <w:tcW w:w="1701" w:type="dxa"/>
            <w:vAlign w:val="center"/>
          </w:tcPr>
          <w:p w14:paraId="42B58F3F" w14:textId="77777777" w:rsidR="00454A29" w:rsidRDefault="00454A29">
            <w:pPr>
              <w:pStyle w:val="ConsPlusNormal"/>
            </w:pPr>
          </w:p>
        </w:tc>
        <w:tc>
          <w:tcPr>
            <w:tcW w:w="1814" w:type="dxa"/>
            <w:vAlign w:val="center"/>
          </w:tcPr>
          <w:p w14:paraId="4A454AFD" w14:textId="77777777" w:rsidR="00454A29" w:rsidRDefault="00454A29">
            <w:pPr>
              <w:pStyle w:val="ConsPlusNormal"/>
            </w:pPr>
          </w:p>
        </w:tc>
      </w:tr>
      <w:tr w:rsidR="00454A29" w14:paraId="6C671CC8" w14:textId="77777777">
        <w:tc>
          <w:tcPr>
            <w:tcW w:w="567" w:type="dxa"/>
            <w:vMerge/>
          </w:tcPr>
          <w:p w14:paraId="33398C90" w14:textId="77777777" w:rsidR="00454A29" w:rsidRDefault="00454A29"/>
        </w:tc>
        <w:tc>
          <w:tcPr>
            <w:tcW w:w="3345" w:type="dxa"/>
            <w:vMerge/>
          </w:tcPr>
          <w:p w14:paraId="41D2341F" w14:textId="77777777" w:rsidR="00454A29" w:rsidRDefault="00454A29"/>
        </w:tc>
        <w:tc>
          <w:tcPr>
            <w:tcW w:w="1701" w:type="dxa"/>
            <w:vAlign w:val="center"/>
          </w:tcPr>
          <w:p w14:paraId="382671DD" w14:textId="77777777" w:rsidR="00454A29" w:rsidRDefault="00454A29">
            <w:pPr>
              <w:pStyle w:val="ConsPlusNormal"/>
              <w:jc w:val="center"/>
            </w:pPr>
            <w:r>
              <w:t>2024</w:t>
            </w:r>
          </w:p>
        </w:tc>
        <w:tc>
          <w:tcPr>
            <w:tcW w:w="1417" w:type="dxa"/>
            <w:vMerge/>
          </w:tcPr>
          <w:p w14:paraId="35EAF4A4" w14:textId="77777777" w:rsidR="00454A29" w:rsidRDefault="00454A29"/>
        </w:tc>
        <w:tc>
          <w:tcPr>
            <w:tcW w:w="2204" w:type="dxa"/>
            <w:vMerge/>
          </w:tcPr>
          <w:p w14:paraId="11B80AC0" w14:textId="77777777" w:rsidR="00454A29" w:rsidRDefault="00454A29"/>
        </w:tc>
        <w:tc>
          <w:tcPr>
            <w:tcW w:w="1417" w:type="dxa"/>
            <w:vMerge/>
          </w:tcPr>
          <w:p w14:paraId="5C81330D" w14:textId="77777777" w:rsidR="00454A29" w:rsidRDefault="00454A29"/>
        </w:tc>
        <w:tc>
          <w:tcPr>
            <w:tcW w:w="2324" w:type="dxa"/>
            <w:vMerge/>
          </w:tcPr>
          <w:p w14:paraId="6390689D" w14:textId="77777777" w:rsidR="00454A29" w:rsidRDefault="00454A29"/>
        </w:tc>
        <w:tc>
          <w:tcPr>
            <w:tcW w:w="1701" w:type="dxa"/>
            <w:vAlign w:val="center"/>
          </w:tcPr>
          <w:p w14:paraId="360A48A5" w14:textId="77777777" w:rsidR="00454A29" w:rsidRDefault="00454A29">
            <w:pPr>
              <w:pStyle w:val="ConsPlusNormal"/>
            </w:pPr>
          </w:p>
        </w:tc>
        <w:tc>
          <w:tcPr>
            <w:tcW w:w="1814" w:type="dxa"/>
            <w:vAlign w:val="center"/>
          </w:tcPr>
          <w:p w14:paraId="4391B436" w14:textId="77777777" w:rsidR="00454A29" w:rsidRDefault="00454A29">
            <w:pPr>
              <w:pStyle w:val="ConsPlusNormal"/>
            </w:pPr>
          </w:p>
        </w:tc>
        <w:tc>
          <w:tcPr>
            <w:tcW w:w="1701" w:type="dxa"/>
            <w:vAlign w:val="center"/>
          </w:tcPr>
          <w:p w14:paraId="47BB6664" w14:textId="77777777" w:rsidR="00454A29" w:rsidRDefault="00454A29">
            <w:pPr>
              <w:pStyle w:val="ConsPlusNormal"/>
            </w:pPr>
          </w:p>
        </w:tc>
        <w:tc>
          <w:tcPr>
            <w:tcW w:w="1701" w:type="dxa"/>
            <w:vAlign w:val="center"/>
          </w:tcPr>
          <w:p w14:paraId="7B53DDF2" w14:textId="77777777" w:rsidR="00454A29" w:rsidRDefault="00454A29">
            <w:pPr>
              <w:pStyle w:val="ConsPlusNormal"/>
            </w:pPr>
          </w:p>
        </w:tc>
        <w:tc>
          <w:tcPr>
            <w:tcW w:w="1814" w:type="dxa"/>
            <w:vAlign w:val="center"/>
          </w:tcPr>
          <w:p w14:paraId="5B768207" w14:textId="77777777" w:rsidR="00454A29" w:rsidRDefault="00454A29">
            <w:pPr>
              <w:pStyle w:val="ConsPlusNormal"/>
            </w:pPr>
          </w:p>
        </w:tc>
      </w:tr>
      <w:tr w:rsidR="00454A29" w14:paraId="532CAC26" w14:textId="77777777">
        <w:tc>
          <w:tcPr>
            <w:tcW w:w="567" w:type="dxa"/>
            <w:vMerge/>
          </w:tcPr>
          <w:p w14:paraId="4AC8277B" w14:textId="77777777" w:rsidR="00454A29" w:rsidRDefault="00454A29"/>
        </w:tc>
        <w:tc>
          <w:tcPr>
            <w:tcW w:w="3345" w:type="dxa"/>
            <w:vMerge/>
          </w:tcPr>
          <w:p w14:paraId="7B9F7937" w14:textId="77777777" w:rsidR="00454A29" w:rsidRDefault="00454A29"/>
        </w:tc>
        <w:tc>
          <w:tcPr>
            <w:tcW w:w="1701" w:type="dxa"/>
            <w:vAlign w:val="center"/>
          </w:tcPr>
          <w:p w14:paraId="2FFA2386" w14:textId="77777777" w:rsidR="00454A29" w:rsidRDefault="00454A29">
            <w:pPr>
              <w:pStyle w:val="ConsPlusNormal"/>
              <w:jc w:val="center"/>
            </w:pPr>
            <w:r>
              <w:t>2025</w:t>
            </w:r>
          </w:p>
        </w:tc>
        <w:tc>
          <w:tcPr>
            <w:tcW w:w="1417" w:type="dxa"/>
            <w:vMerge/>
          </w:tcPr>
          <w:p w14:paraId="2A319EED" w14:textId="77777777" w:rsidR="00454A29" w:rsidRDefault="00454A29"/>
        </w:tc>
        <w:tc>
          <w:tcPr>
            <w:tcW w:w="2204" w:type="dxa"/>
            <w:vMerge/>
          </w:tcPr>
          <w:p w14:paraId="4CAABC5E" w14:textId="77777777" w:rsidR="00454A29" w:rsidRDefault="00454A29"/>
        </w:tc>
        <w:tc>
          <w:tcPr>
            <w:tcW w:w="1417" w:type="dxa"/>
            <w:vMerge/>
          </w:tcPr>
          <w:p w14:paraId="4D094CEC" w14:textId="77777777" w:rsidR="00454A29" w:rsidRDefault="00454A29"/>
        </w:tc>
        <w:tc>
          <w:tcPr>
            <w:tcW w:w="2324" w:type="dxa"/>
            <w:vMerge/>
          </w:tcPr>
          <w:p w14:paraId="78D8CD5A" w14:textId="77777777" w:rsidR="00454A29" w:rsidRDefault="00454A29"/>
        </w:tc>
        <w:tc>
          <w:tcPr>
            <w:tcW w:w="1701" w:type="dxa"/>
            <w:vAlign w:val="center"/>
          </w:tcPr>
          <w:p w14:paraId="304AEACF" w14:textId="77777777" w:rsidR="00454A29" w:rsidRDefault="00454A29">
            <w:pPr>
              <w:pStyle w:val="ConsPlusNormal"/>
            </w:pPr>
          </w:p>
        </w:tc>
        <w:tc>
          <w:tcPr>
            <w:tcW w:w="1814" w:type="dxa"/>
            <w:vAlign w:val="center"/>
          </w:tcPr>
          <w:p w14:paraId="451EDD71" w14:textId="77777777" w:rsidR="00454A29" w:rsidRDefault="00454A29">
            <w:pPr>
              <w:pStyle w:val="ConsPlusNormal"/>
            </w:pPr>
          </w:p>
        </w:tc>
        <w:tc>
          <w:tcPr>
            <w:tcW w:w="1701" w:type="dxa"/>
            <w:vAlign w:val="center"/>
          </w:tcPr>
          <w:p w14:paraId="4C221483" w14:textId="77777777" w:rsidR="00454A29" w:rsidRDefault="00454A29">
            <w:pPr>
              <w:pStyle w:val="ConsPlusNormal"/>
            </w:pPr>
          </w:p>
        </w:tc>
        <w:tc>
          <w:tcPr>
            <w:tcW w:w="1701" w:type="dxa"/>
            <w:vAlign w:val="center"/>
          </w:tcPr>
          <w:p w14:paraId="5279C4F9" w14:textId="77777777" w:rsidR="00454A29" w:rsidRDefault="00454A29">
            <w:pPr>
              <w:pStyle w:val="ConsPlusNormal"/>
            </w:pPr>
          </w:p>
        </w:tc>
        <w:tc>
          <w:tcPr>
            <w:tcW w:w="1814" w:type="dxa"/>
            <w:vAlign w:val="center"/>
          </w:tcPr>
          <w:p w14:paraId="24866711" w14:textId="77777777" w:rsidR="00454A29" w:rsidRDefault="00454A29">
            <w:pPr>
              <w:pStyle w:val="ConsPlusNormal"/>
            </w:pPr>
          </w:p>
        </w:tc>
      </w:tr>
      <w:tr w:rsidR="00454A29" w14:paraId="045D59E3" w14:textId="77777777">
        <w:tc>
          <w:tcPr>
            <w:tcW w:w="567" w:type="dxa"/>
            <w:vMerge/>
          </w:tcPr>
          <w:p w14:paraId="73D517C0" w14:textId="77777777" w:rsidR="00454A29" w:rsidRDefault="00454A29"/>
        </w:tc>
        <w:tc>
          <w:tcPr>
            <w:tcW w:w="3345" w:type="dxa"/>
            <w:vMerge/>
          </w:tcPr>
          <w:p w14:paraId="50FD1ACF" w14:textId="77777777" w:rsidR="00454A29" w:rsidRDefault="00454A29"/>
        </w:tc>
        <w:tc>
          <w:tcPr>
            <w:tcW w:w="1701" w:type="dxa"/>
            <w:vAlign w:val="center"/>
          </w:tcPr>
          <w:p w14:paraId="18FA4CFF" w14:textId="77777777" w:rsidR="00454A29" w:rsidRDefault="00454A29">
            <w:pPr>
              <w:pStyle w:val="ConsPlusNormal"/>
              <w:jc w:val="center"/>
            </w:pPr>
            <w:r>
              <w:t>2026</w:t>
            </w:r>
          </w:p>
        </w:tc>
        <w:tc>
          <w:tcPr>
            <w:tcW w:w="1417" w:type="dxa"/>
            <w:vMerge/>
          </w:tcPr>
          <w:p w14:paraId="5568854A" w14:textId="77777777" w:rsidR="00454A29" w:rsidRDefault="00454A29"/>
        </w:tc>
        <w:tc>
          <w:tcPr>
            <w:tcW w:w="2204" w:type="dxa"/>
            <w:vMerge/>
          </w:tcPr>
          <w:p w14:paraId="25CE39A2" w14:textId="77777777" w:rsidR="00454A29" w:rsidRDefault="00454A29"/>
        </w:tc>
        <w:tc>
          <w:tcPr>
            <w:tcW w:w="1417" w:type="dxa"/>
            <w:vMerge/>
          </w:tcPr>
          <w:p w14:paraId="7385B5D8" w14:textId="77777777" w:rsidR="00454A29" w:rsidRDefault="00454A29"/>
        </w:tc>
        <w:tc>
          <w:tcPr>
            <w:tcW w:w="2324" w:type="dxa"/>
            <w:vMerge/>
          </w:tcPr>
          <w:p w14:paraId="6B9E0FEF" w14:textId="77777777" w:rsidR="00454A29" w:rsidRDefault="00454A29"/>
        </w:tc>
        <w:tc>
          <w:tcPr>
            <w:tcW w:w="1701" w:type="dxa"/>
            <w:vAlign w:val="center"/>
          </w:tcPr>
          <w:p w14:paraId="29D63664" w14:textId="77777777" w:rsidR="00454A29" w:rsidRDefault="00454A29">
            <w:pPr>
              <w:pStyle w:val="ConsPlusNormal"/>
              <w:jc w:val="center"/>
            </w:pPr>
            <w:r>
              <w:t>183 912,26</w:t>
            </w:r>
          </w:p>
        </w:tc>
        <w:tc>
          <w:tcPr>
            <w:tcW w:w="1814" w:type="dxa"/>
            <w:vAlign w:val="center"/>
          </w:tcPr>
          <w:p w14:paraId="19F169D4" w14:textId="77777777" w:rsidR="00454A29" w:rsidRDefault="00454A29">
            <w:pPr>
              <w:pStyle w:val="ConsPlusNormal"/>
              <w:jc w:val="center"/>
            </w:pPr>
            <w:r>
              <w:t>2 265,80</w:t>
            </w:r>
          </w:p>
        </w:tc>
        <w:tc>
          <w:tcPr>
            <w:tcW w:w="1701" w:type="dxa"/>
            <w:vAlign w:val="center"/>
          </w:tcPr>
          <w:p w14:paraId="5D75B923" w14:textId="77777777" w:rsidR="00454A29" w:rsidRDefault="00454A29">
            <w:pPr>
              <w:pStyle w:val="ConsPlusNormal"/>
              <w:jc w:val="center"/>
            </w:pPr>
            <w:r>
              <w:t>224 314,11</w:t>
            </w:r>
          </w:p>
        </w:tc>
        <w:tc>
          <w:tcPr>
            <w:tcW w:w="1701" w:type="dxa"/>
            <w:vAlign w:val="center"/>
          </w:tcPr>
          <w:p w14:paraId="084C6CBA" w14:textId="77777777" w:rsidR="00454A29" w:rsidRDefault="00454A29">
            <w:pPr>
              <w:pStyle w:val="ConsPlusNormal"/>
            </w:pPr>
          </w:p>
        </w:tc>
        <w:tc>
          <w:tcPr>
            <w:tcW w:w="1814" w:type="dxa"/>
            <w:vAlign w:val="center"/>
          </w:tcPr>
          <w:p w14:paraId="76F3DC75" w14:textId="77777777" w:rsidR="00454A29" w:rsidRDefault="00454A29">
            <w:pPr>
              <w:pStyle w:val="ConsPlusNormal"/>
            </w:pPr>
          </w:p>
        </w:tc>
      </w:tr>
      <w:tr w:rsidR="00454A29" w14:paraId="6FF30893" w14:textId="77777777">
        <w:tc>
          <w:tcPr>
            <w:tcW w:w="567" w:type="dxa"/>
            <w:vMerge w:val="restart"/>
            <w:vAlign w:val="center"/>
          </w:tcPr>
          <w:p w14:paraId="0C4E03CE" w14:textId="77777777" w:rsidR="00454A29" w:rsidRDefault="00454A29">
            <w:pPr>
              <w:pStyle w:val="ConsPlusNormal"/>
              <w:jc w:val="center"/>
            </w:pPr>
            <w:r>
              <w:t>13</w:t>
            </w:r>
          </w:p>
        </w:tc>
        <w:tc>
          <w:tcPr>
            <w:tcW w:w="3345" w:type="dxa"/>
            <w:vMerge w:val="restart"/>
            <w:vAlign w:val="center"/>
          </w:tcPr>
          <w:p w14:paraId="27F49B01" w14:textId="77777777" w:rsidR="00454A29" w:rsidRDefault="00454A29">
            <w:pPr>
              <w:pStyle w:val="ConsPlusNormal"/>
              <w:jc w:val="center"/>
            </w:pPr>
            <w:r>
              <w:t>Школа на 120 учащихся в с. Соморсун</w:t>
            </w:r>
          </w:p>
        </w:tc>
        <w:tc>
          <w:tcPr>
            <w:tcW w:w="1701" w:type="dxa"/>
            <w:vAlign w:val="center"/>
          </w:tcPr>
          <w:p w14:paraId="6DEB2C6F" w14:textId="77777777" w:rsidR="00454A29" w:rsidRDefault="00454A29">
            <w:pPr>
              <w:pStyle w:val="ConsPlusNormal"/>
              <w:jc w:val="center"/>
            </w:pPr>
            <w:r>
              <w:t>2020 - 2026 годы - всего</w:t>
            </w:r>
          </w:p>
        </w:tc>
        <w:tc>
          <w:tcPr>
            <w:tcW w:w="1417" w:type="dxa"/>
            <w:vMerge w:val="restart"/>
            <w:vAlign w:val="center"/>
          </w:tcPr>
          <w:p w14:paraId="72148B91" w14:textId="77777777" w:rsidR="00454A29" w:rsidRDefault="00454A29">
            <w:pPr>
              <w:pStyle w:val="ConsPlusNormal"/>
              <w:jc w:val="center"/>
            </w:pPr>
            <w:r>
              <w:t>420 044,60</w:t>
            </w:r>
          </w:p>
        </w:tc>
        <w:tc>
          <w:tcPr>
            <w:tcW w:w="2204" w:type="dxa"/>
            <w:vMerge w:val="restart"/>
            <w:vAlign w:val="center"/>
          </w:tcPr>
          <w:p w14:paraId="193B3396" w14:textId="77777777" w:rsidR="00454A29" w:rsidRDefault="00454A29">
            <w:pPr>
              <w:pStyle w:val="ConsPlusNormal"/>
            </w:pPr>
          </w:p>
        </w:tc>
        <w:tc>
          <w:tcPr>
            <w:tcW w:w="1417" w:type="dxa"/>
            <w:vMerge w:val="restart"/>
            <w:vAlign w:val="center"/>
          </w:tcPr>
          <w:p w14:paraId="0F36C95A" w14:textId="77777777" w:rsidR="00454A29" w:rsidRDefault="00454A29">
            <w:pPr>
              <w:pStyle w:val="ConsPlusNormal"/>
              <w:jc w:val="center"/>
            </w:pPr>
            <w:r>
              <w:t>120</w:t>
            </w:r>
          </w:p>
        </w:tc>
        <w:tc>
          <w:tcPr>
            <w:tcW w:w="2324" w:type="dxa"/>
            <w:vMerge w:val="restart"/>
            <w:vAlign w:val="center"/>
          </w:tcPr>
          <w:p w14:paraId="43D73C9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33C3DDB" w14:textId="77777777" w:rsidR="00454A29" w:rsidRDefault="00454A29">
            <w:pPr>
              <w:pStyle w:val="ConsPlusNormal"/>
              <w:jc w:val="center"/>
            </w:pPr>
            <w:r>
              <w:t>420 044,60</w:t>
            </w:r>
          </w:p>
        </w:tc>
        <w:tc>
          <w:tcPr>
            <w:tcW w:w="1814" w:type="dxa"/>
            <w:vAlign w:val="center"/>
          </w:tcPr>
          <w:p w14:paraId="291DBB99" w14:textId="77777777" w:rsidR="00454A29" w:rsidRDefault="00454A29">
            <w:pPr>
              <w:pStyle w:val="ConsPlusNormal"/>
              <w:jc w:val="center"/>
            </w:pPr>
            <w:r>
              <w:t>2 083,42</w:t>
            </w:r>
          </w:p>
        </w:tc>
        <w:tc>
          <w:tcPr>
            <w:tcW w:w="1701" w:type="dxa"/>
            <w:vAlign w:val="center"/>
          </w:tcPr>
          <w:p w14:paraId="74B2A988" w14:textId="77777777" w:rsidR="00454A29" w:rsidRDefault="00454A29">
            <w:pPr>
              <w:pStyle w:val="ConsPlusNormal"/>
              <w:jc w:val="center"/>
            </w:pPr>
            <w:r>
              <w:t>206 258,70</w:t>
            </w:r>
          </w:p>
        </w:tc>
        <w:tc>
          <w:tcPr>
            <w:tcW w:w="1701" w:type="dxa"/>
            <w:vAlign w:val="center"/>
          </w:tcPr>
          <w:p w14:paraId="051EB527" w14:textId="77777777" w:rsidR="00454A29" w:rsidRDefault="00454A29">
            <w:pPr>
              <w:pStyle w:val="ConsPlusNormal"/>
              <w:jc w:val="center"/>
            </w:pPr>
            <w:r>
              <w:t>-</w:t>
            </w:r>
          </w:p>
        </w:tc>
        <w:tc>
          <w:tcPr>
            <w:tcW w:w="1814" w:type="dxa"/>
            <w:vAlign w:val="center"/>
          </w:tcPr>
          <w:p w14:paraId="06185EA1" w14:textId="77777777" w:rsidR="00454A29" w:rsidRDefault="00454A29">
            <w:pPr>
              <w:pStyle w:val="ConsPlusNormal"/>
              <w:jc w:val="center"/>
            </w:pPr>
            <w:r>
              <w:t>-</w:t>
            </w:r>
          </w:p>
        </w:tc>
      </w:tr>
      <w:tr w:rsidR="00454A29" w14:paraId="7AA66539" w14:textId="77777777">
        <w:tc>
          <w:tcPr>
            <w:tcW w:w="567" w:type="dxa"/>
            <w:vMerge/>
          </w:tcPr>
          <w:p w14:paraId="599CD12F" w14:textId="77777777" w:rsidR="00454A29" w:rsidRDefault="00454A29"/>
        </w:tc>
        <w:tc>
          <w:tcPr>
            <w:tcW w:w="3345" w:type="dxa"/>
            <w:vMerge/>
          </w:tcPr>
          <w:p w14:paraId="7011D38F" w14:textId="77777777" w:rsidR="00454A29" w:rsidRDefault="00454A29"/>
        </w:tc>
        <w:tc>
          <w:tcPr>
            <w:tcW w:w="1701" w:type="dxa"/>
            <w:vAlign w:val="center"/>
          </w:tcPr>
          <w:p w14:paraId="76EE0CD5" w14:textId="77777777" w:rsidR="00454A29" w:rsidRDefault="00454A29">
            <w:pPr>
              <w:pStyle w:val="ConsPlusNormal"/>
              <w:jc w:val="center"/>
            </w:pPr>
            <w:r>
              <w:t>2020</w:t>
            </w:r>
          </w:p>
        </w:tc>
        <w:tc>
          <w:tcPr>
            <w:tcW w:w="1417" w:type="dxa"/>
            <w:vMerge/>
          </w:tcPr>
          <w:p w14:paraId="256F3932" w14:textId="77777777" w:rsidR="00454A29" w:rsidRDefault="00454A29"/>
        </w:tc>
        <w:tc>
          <w:tcPr>
            <w:tcW w:w="2204" w:type="dxa"/>
            <w:vMerge/>
          </w:tcPr>
          <w:p w14:paraId="36F209B5" w14:textId="77777777" w:rsidR="00454A29" w:rsidRDefault="00454A29"/>
        </w:tc>
        <w:tc>
          <w:tcPr>
            <w:tcW w:w="1417" w:type="dxa"/>
            <w:vMerge/>
          </w:tcPr>
          <w:p w14:paraId="7E6B36B9" w14:textId="77777777" w:rsidR="00454A29" w:rsidRDefault="00454A29"/>
        </w:tc>
        <w:tc>
          <w:tcPr>
            <w:tcW w:w="2324" w:type="dxa"/>
            <w:vMerge/>
          </w:tcPr>
          <w:p w14:paraId="721F4C78" w14:textId="77777777" w:rsidR="00454A29" w:rsidRDefault="00454A29"/>
        </w:tc>
        <w:tc>
          <w:tcPr>
            <w:tcW w:w="1701" w:type="dxa"/>
            <w:vAlign w:val="center"/>
          </w:tcPr>
          <w:p w14:paraId="35C57BC6" w14:textId="77777777" w:rsidR="00454A29" w:rsidRDefault="00454A29">
            <w:pPr>
              <w:pStyle w:val="ConsPlusNormal"/>
            </w:pPr>
          </w:p>
        </w:tc>
        <w:tc>
          <w:tcPr>
            <w:tcW w:w="1814" w:type="dxa"/>
            <w:vAlign w:val="center"/>
          </w:tcPr>
          <w:p w14:paraId="742A2F39" w14:textId="77777777" w:rsidR="00454A29" w:rsidRDefault="00454A29">
            <w:pPr>
              <w:pStyle w:val="ConsPlusNormal"/>
            </w:pPr>
          </w:p>
        </w:tc>
        <w:tc>
          <w:tcPr>
            <w:tcW w:w="1701" w:type="dxa"/>
            <w:vAlign w:val="center"/>
          </w:tcPr>
          <w:p w14:paraId="116284D0" w14:textId="77777777" w:rsidR="00454A29" w:rsidRDefault="00454A29">
            <w:pPr>
              <w:pStyle w:val="ConsPlusNormal"/>
            </w:pPr>
          </w:p>
        </w:tc>
        <w:tc>
          <w:tcPr>
            <w:tcW w:w="1701" w:type="dxa"/>
            <w:vAlign w:val="center"/>
          </w:tcPr>
          <w:p w14:paraId="0B8DD0A5" w14:textId="77777777" w:rsidR="00454A29" w:rsidRDefault="00454A29">
            <w:pPr>
              <w:pStyle w:val="ConsPlusNormal"/>
            </w:pPr>
          </w:p>
        </w:tc>
        <w:tc>
          <w:tcPr>
            <w:tcW w:w="1814" w:type="dxa"/>
            <w:vAlign w:val="center"/>
          </w:tcPr>
          <w:p w14:paraId="5A89FC71" w14:textId="77777777" w:rsidR="00454A29" w:rsidRDefault="00454A29">
            <w:pPr>
              <w:pStyle w:val="ConsPlusNormal"/>
            </w:pPr>
          </w:p>
        </w:tc>
      </w:tr>
      <w:tr w:rsidR="00454A29" w14:paraId="11ED6164" w14:textId="77777777">
        <w:tc>
          <w:tcPr>
            <w:tcW w:w="567" w:type="dxa"/>
            <w:vMerge/>
          </w:tcPr>
          <w:p w14:paraId="5C86244E" w14:textId="77777777" w:rsidR="00454A29" w:rsidRDefault="00454A29"/>
        </w:tc>
        <w:tc>
          <w:tcPr>
            <w:tcW w:w="3345" w:type="dxa"/>
            <w:vMerge/>
          </w:tcPr>
          <w:p w14:paraId="212BB40E" w14:textId="77777777" w:rsidR="00454A29" w:rsidRDefault="00454A29"/>
        </w:tc>
        <w:tc>
          <w:tcPr>
            <w:tcW w:w="1701" w:type="dxa"/>
            <w:vAlign w:val="center"/>
          </w:tcPr>
          <w:p w14:paraId="24A75042" w14:textId="77777777" w:rsidR="00454A29" w:rsidRDefault="00454A29">
            <w:pPr>
              <w:pStyle w:val="ConsPlusNormal"/>
              <w:jc w:val="center"/>
            </w:pPr>
            <w:r>
              <w:t>2021</w:t>
            </w:r>
          </w:p>
        </w:tc>
        <w:tc>
          <w:tcPr>
            <w:tcW w:w="1417" w:type="dxa"/>
            <w:vMerge/>
          </w:tcPr>
          <w:p w14:paraId="41BEBF48" w14:textId="77777777" w:rsidR="00454A29" w:rsidRDefault="00454A29"/>
        </w:tc>
        <w:tc>
          <w:tcPr>
            <w:tcW w:w="2204" w:type="dxa"/>
            <w:vMerge/>
          </w:tcPr>
          <w:p w14:paraId="4DBCF5B0" w14:textId="77777777" w:rsidR="00454A29" w:rsidRDefault="00454A29"/>
        </w:tc>
        <w:tc>
          <w:tcPr>
            <w:tcW w:w="1417" w:type="dxa"/>
            <w:vMerge/>
          </w:tcPr>
          <w:p w14:paraId="652A342E" w14:textId="77777777" w:rsidR="00454A29" w:rsidRDefault="00454A29"/>
        </w:tc>
        <w:tc>
          <w:tcPr>
            <w:tcW w:w="2324" w:type="dxa"/>
            <w:vMerge/>
          </w:tcPr>
          <w:p w14:paraId="1F20C159" w14:textId="77777777" w:rsidR="00454A29" w:rsidRDefault="00454A29"/>
        </w:tc>
        <w:tc>
          <w:tcPr>
            <w:tcW w:w="1701" w:type="dxa"/>
            <w:vAlign w:val="center"/>
          </w:tcPr>
          <w:p w14:paraId="46A637BE" w14:textId="77777777" w:rsidR="00454A29" w:rsidRDefault="00454A29">
            <w:pPr>
              <w:pStyle w:val="ConsPlusNormal"/>
            </w:pPr>
          </w:p>
        </w:tc>
        <w:tc>
          <w:tcPr>
            <w:tcW w:w="1814" w:type="dxa"/>
            <w:vAlign w:val="center"/>
          </w:tcPr>
          <w:p w14:paraId="71B547A4" w14:textId="77777777" w:rsidR="00454A29" w:rsidRDefault="00454A29">
            <w:pPr>
              <w:pStyle w:val="ConsPlusNormal"/>
            </w:pPr>
          </w:p>
        </w:tc>
        <w:tc>
          <w:tcPr>
            <w:tcW w:w="1701" w:type="dxa"/>
            <w:vAlign w:val="center"/>
          </w:tcPr>
          <w:p w14:paraId="528A53B1" w14:textId="77777777" w:rsidR="00454A29" w:rsidRDefault="00454A29">
            <w:pPr>
              <w:pStyle w:val="ConsPlusNormal"/>
            </w:pPr>
          </w:p>
        </w:tc>
        <w:tc>
          <w:tcPr>
            <w:tcW w:w="1701" w:type="dxa"/>
            <w:vAlign w:val="center"/>
          </w:tcPr>
          <w:p w14:paraId="1FB9838C" w14:textId="77777777" w:rsidR="00454A29" w:rsidRDefault="00454A29">
            <w:pPr>
              <w:pStyle w:val="ConsPlusNormal"/>
            </w:pPr>
          </w:p>
        </w:tc>
        <w:tc>
          <w:tcPr>
            <w:tcW w:w="1814" w:type="dxa"/>
            <w:vAlign w:val="center"/>
          </w:tcPr>
          <w:p w14:paraId="2AF847F6" w14:textId="77777777" w:rsidR="00454A29" w:rsidRDefault="00454A29">
            <w:pPr>
              <w:pStyle w:val="ConsPlusNormal"/>
            </w:pPr>
          </w:p>
        </w:tc>
      </w:tr>
      <w:tr w:rsidR="00454A29" w14:paraId="7369B85E" w14:textId="77777777">
        <w:tc>
          <w:tcPr>
            <w:tcW w:w="567" w:type="dxa"/>
            <w:vMerge/>
          </w:tcPr>
          <w:p w14:paraId="5ABDF592" w14:textId="77777777" w:rsidR="00454A29" w:rsidRDefault="00454A29"/>
        </w:tc>
        <w:tc>
          <w:tcPr>
            <w:tcW w:w="3345" w:type="dxa"/>
            <w:vMerge/>
          </w:tcPr>
          <w:p w14:paraId="4482BD60" w14:textId="77777777" w:rsidR="00454A29" w:rsidRDefault="00454A29"/>
        </w:tc>
        <w:tc>
          <w:tcPr>
            <w:tcW w:w="1701" w:type="dxa"/>
            <w:vAlign w:val="center"/>
          </w:tcPr>
          <w:p w14:paraId="66A7F5D2" w14:textId="77777777" w:rsidR="00454A29" w:rsidRDefault="00454A29">
            <w:pPr>
              <w:pStyle w:val="ConsPlusNormal"/>
              <w:jc w:val="center"/>
            </w:pPr>
            <w:r>
              <w:t>2022</w:t>
            </w:r>
          </w:p>
        </w:tc>
        <w:tc>
          <w:tcPr>
            <w:tcW w:w="1417" w:type="dxa"/>
            <w:vMerge/>
          </w:tcPr>
          <w:p w14:paraId="548E7359" w14:textId="77777777" w:rsidR="00454A29" w:rsidRDefault="00454A29"/>
        </w:tc>
        <w:tc>
          <w:tcPr>
            <w:tcW w:w="2204" w:type="dxa"/>
            <w:vMerge/>
          </w:tcPr>
          <w:p w14:paraId="77EBF30C" w14:textId="77777777" w:rsidR="00454A29" w:rsidRDefault="00454A29"/>
        </w:tc>
        <w:tc>
          <w:tcPr>
            <w:tcW w:w="1417" w:type="dxa"/>
            <w:vMerge/>
          </w:tcPr>
          <w:p w14:paraId="31D80BC5" w14:textId="77777777" w:rsidR="00454A29" w:rsidRDefault="00454A29"/>
        </w:tc>
        <w:tc>
          <w:tcPr>
            <w:tcW w:w="2324" w:type="dxa"/>
            <w:vMerge/>
          </w:tcPr>
          <w:p w14:paraId="48485A82" w14:textId="77777777" w:rsidR="00454A29" w:rsidRDefault="00454A29"/>
        </w:tc>
        <w:tc>
          <w:tcPr>
            <w:tcW w:w="1701" w:type="dxa"/>
            <w:vAlign w:val="center"/>
          </w:tcPr>
          <w:p w14:paraId="1AC5142E" w14:textId="77777777" w:rsidR="00454A29" w:rsidRDefault="00454A29">
            <w:pPr>
              <w:pStyle w:val="ConsPlusNormal"/>
            </w:pPr>
          </w:p>
        </w:tc>
        <w:tc>
          <w:tcPr>
            <w:tcW w:w="1814" w:type="dxa"/>
            <w:vAlign w:val="center"/>
          </w:tcPr>
          <w:p w14:paraId="15A3F238" w14:textId="77777777" w:rsidR="00454A29" w:rsidRDefault="00454A29">
            <w:pPr>
              <w:pStyle w:val="ConsPlusNormal"/>
            </w:pPr>
          </w:p>
        </w:tc>
        <w:tc>
          <w:tcPr>
            <w:tcW w:w="1701" w:type="dxa"/>
            <w:vAlign w:val="center"/>
          </w:tcPr>
          <w:p w14:paraId="4D900916" w14:textId="77777777" w:rsidR="00454A29" w:rsidRDefault="00454A29">
            <w:pPr>
              <w:pStyle w:val="ConsPlusNormal"/>
            </w:pPr>
          </w:p>
        </w:tc>
        <w:tc>
          <w:tcPr>
            <w:tcW w:w="1701" w:type="dxa"/>
            <w:vAlign w:val="center"/>
          </w:tcPr>
          <w:p w14:paraId="29B97A6B" w14:textId="77777777" w:rsidR="00454A29" w:rsidRDefault="00454A29">
            <w:pPr>
              <w:pStyle w:val="ConsPlusNormal"/>
            </w:pPr>
          </w:p>
        </w:tc>
        <w:tc>
          <w:tcPr>
            <w:tcW w:w="1814" w:type="dxa"/>
            <w:vAlign w:val="center"/>
          </w:tcPr>
          <w:p w14:paraId="4B9A2427" w14:textId="77777777" w:rsidR="00454A29" w:rsidRDefault="00454A29">
            <w:pPr>
              <w:pStyle w:val="ConsPlusNormal"/>
            </w:pPr>
          </w:p>
        </w:tc>
      </w:tr>
      <w:tr w:rsidR="00454A29" w14:paraId="76F976A2" w14:textId="77777777">
        <w:tc>
          <w:tcPr>
            <w:tcW w:w="567" w:type="dxa"/>
            <w:vMerge/>
          </w:tcPr>
          <w:p w14:paraId="39D2E3F0" w14:textId="77777777" w:rsidR="00454A29" w:rsidRDefault="00454A29"/>
        </w:tc>
        <w:tc>
          <w:tcPr>
            <w:tcW w:w="3345" w:type="dxa"/>
            <w:vMerge/>
          </w:tcPr>
          <w:p w14:paraId="6A7F3657" w14:textId="77777777" w:rsidR="00454A29" w:rsidRDefault="00454A29"/>
        </w:tc>
        <w:tc>
          <w:tcPr>
            <w:tcW w:w="1701" w:type="dxa"/>
            <w:vAlign w:val="center"/>
          </w:tcPr>
          <w:p w14:paraId="2D54A4BD" w14:textId="77777777" w:rsidR="00454A29" w:rsidRDefault="00454A29">
            <w:pPr>
              <w:pStyle w:val="ConsPlusNormal"/>
              <w:jc w:val="center"/>
            </w:pPr>
            <w:r>
              <w:t>2023</w:t>
            </w:r>
          </w:p>
        </w:tc>
        <w:tc>
          <w:tcPr>
            <w:tcW w:w="1417" w:type="dxa"/>
            <w:vMerge/>
          </w:tcPr>
          <w:p w14:paraId="2340A72D" w14:textId="77777777" w:rsidR="00454A29" w:rsidRDefault="00454A29"/>
        </w:tc>
        <w:tc>
          <w:tcPr>
            <w:tcW w:w="2204" w:type="dxa"/>
            <w:vMerge/>
          </w:tcPr>
          <w:p w14:paraId="025A2BE3" w14:textId="77777777" w:rsidR="00454A29" w:rsidRDefault="00454A29"/>
        </w:tc>
        <w:tc>
          <w:tcPr>
            <w:tcW w:w="1417" w:type="dxa"/>
            <w:vMerge/>
          </w:tcPr>
          <w:p w14:paraId="58526254" w14:textId="77777777" w:rsidR="00454A29" w:rsidRDefault="00454A29"/>
        </w:tc>
        <w:tc>
          <w:tcPr>
            <w:tcW w:w="2324" w:type="dxa"/>
            <w:vMerge/>
          </w:tcPr>
          <w:p w14:paraId="6B931991" w14:textId="77777777" w:rsidR="00454A29" w:rsidRDefault="00454A29"/>
        </w:tc>
        <w:tc>
          <w:tcPr>
            <w:tcW w:w="1701" w:type="dxa"/>
            <w:vAlign w:val="center"/>
          </w:tcPr>
          <w:p w14:paraId="0548B37C" w14:textId="77777777" w:rsidR="00454A29" w:rsidRDefault="00454A29">
            <w:pPr>
              <w:pStyle w:val="ConsPlusNormal"/>
              <w:jc w:val="center"/>
            </w:pPr>
            <w:r>
              <w:t>420 044,60</w:t>
            </w:r>
          </w:p>
        </w:tc>
        <w:tc>
          <w:tcPr>
            <w:tcW w:w="1814" w:type="dxa"/>
            <w:vAlign w:val="center"/>
          </w:tcPr>
          <w:p w14:paraId="511A4D6D" w14:textId="77777777" w:rsidR="00454A29" w:rsidRDefault="00454A29">
            <w:pPr>
              <w:pStyle w:val="ConsPlusNormal"/>
              <w:jc w:val="center"/>
            </w:pPr>
            <w:r>
              <w:t>2 083,42</w:t>
            </w:r>
          </w:p>
        </w:tc>
        <w:tc>
          <w:tcPr>
            <w:tcW w:w="1701" w:type="dxa"/>
            <w:vAlign w:val="center"/>
          </w:tcPr>
          <w:p w14:paraId="79191CF8" w14:textId="77777777" w:rsidR="00454A29" w:rsidRDefault="00454A29">
            <w:pPr>
              <w:pStyle w:val="ConsPlusNormal"/>
              <w:jc w:val="center"/>
            </w:pPr>
            <w:r>
              <w:t>206 258,70</w:t>
            </w:r>
          </w:p>
        </w:tc>
        <w:tc>
          <w:tcPr>
            <w:tcW w:w="1701" w:type="dxa"/>
            <w:vAlign w:val="center"/>
          </w:tcPr>
          <w:p w14:paraId="53795625" w14:textId="77777777" w:rsidR="00454A29" w:rsidRDefault="00454A29">
            <w:pPr>
              <w:pStyle w:val="ConsPlusNormal"/>
            </w:pPr>
          </w:p>
        </w:tc>
        <w:tc>
          <w:tcPr>
            <w:tcW w:w="1814" w:type="dxa"/>
            <w:vAlign w:val="center"/>
          </w:tcPr>
          <w:p w14:paraId="70EAB39D" w14:textId="77777777" w:rsidR="00454A29" w:rsidRDefault="00454A29">
            <w:pPr>
              <w:pStyle w:val="ConsPlusNormal"/>
            </w:pPr>
          </w:p>
        </w:tc>
      </w:tr>
      <w:tr w:rsidR="00454A29" w14:paraId="36861031" w14:textId="77777777">
        <w:tc>
          <w:tcPr>
            <w:tcW w:w="567" w:type="dxa"/>
            <w:vMerge/>
          </w:tcPr>
          <w:p w14:paraId="5B491491" w14:textId="77777777" w:rsidR="00454A29" w:rsidRDefault="00454A29"/>
        </w:tc>
        <w:tc>
          <w:tcPr>
            <w:tcW w:w="3345" w:type="dxa"/>
            <w:vMerge/>
          </w:tcPr>
          <w:p w14:paraId="1DA6F849" w14:textId="77777777" w:rsidR="00454A29" w:rsidRDefault="00454A29"/>
        </w:tc>
        <w:tc>
          <w:tcPr>
            <w:tcW w:w="1701" w:type="dxa"/>
            <w:vAlign w:val="center"/>
          </w:tcPr>
          <w:p w14:paraId="298FDACB" w14:textId="77777777" w:rsidR="00454A29" w:rsidRDefault="00454A29">
            <w:pPr>
              <w:pStyle w:val="ConsPlusNormal"/>
              <w:jc w:val="center"/>
            </w:pPr>
            <w:r>
              <w:t>2024</w:t>
            </w:r>
          </w:p>
        </w:tc>
        <w:tc>
          <w:tcPr>
            <w:tcW w:w="1417" w:type="dxa"/>
            <w:vMerge/>
          </w:tcPr>
          <w:p w14:paraId="0EC96229" w14:textId="77777777" w:rsidR="00454A29" w:rsidRDefault="00454A29"/>
        </w:tc>
        <w:tc>
          <w:tcPr>
            <w:tcW w:w="2204" w:type="dxa"/>
            <w:vMerge/>
          </w:tcPr>
          <w:p w14:paraId="5EC76C26" w14:textId="77777777" w:rsidR="00454A29" w:rsidRDefault="00454A29"/>
        </w:tc>
        <w:tc>
          <w:tcPr>
            <w:tcW w:w="1417" w:type="dxa"/>
            <w:vMerge/>
          </w:tcPr>
          <w:p w14:paraId="238CE2EB" w14:textId="77777777" w:rsidR="00454A29" w:rsidRDefault="00454A29"/>
        </w:tc>
        <w:tc>
          <w:tcPr>
            <w:tcW w:w="2324" w:type="dxa"/>
            <w:vMerge/>
          </w:tcPr>
          <w:p w14:paraId="6EEA2789" w14:textId="77777777" w:rsidR="00454A29" w:rsidRDefault="00454A29"/>
        </w:tc>
        <w:tc>
          <w:tcPr>
            <w:tcW w:w="1701" w:type="dxa"/>
            <w:vAlign w:val="center"/>
          </w:tcPr>
          <w:p w14:paraId="27FBAEA1" w14:textId="77777777" w:rsidR="00454A29" w:rsidRDefault="00454A29">
            <w:pPr>
              <w:pStyle w:val="ConsPlusNormal"/>
            </w:pPr>
          </w:p>
        </w:tc>
        <w:tc>
          <w:tcPr>
            <w:tcW w:w="1814" w:type="dxa"/>
            <w:vAlign w:val="center"/>
          </w:tcPr>
          <w:p w14:paraId="7D6713B4" w14:textId="77777777" w:rsidR="00454A29" w:rsidRDefault="00454A29">
            <w:pPr>
              <w:pStyle w:val="ConsPlusNormal"/>
            </w:pPr>
          </w:p>
        </w:tc>
        <w:tc>
          <w:tcPr>
            <w:tcW w:w="1701" w:type="dxa"/>
            <w:vAlign w:val="center"/>
          </w:tcPr>
          <w:p w14:paraId="766BC996" w14:textId="77777777" w:rsidR="00454A29" w:rsidRDefault="00454A29">
            <w:pPr>
              <w:pStyle w:val="ConsPlusNormal"/>
            </w:pPr>
          </w:p>
        </w:tc>
        <w:tc>
          <w:tcPr>
            <w:tcW w:w="1701" w:type="dxa"/>
            <w:vAlign w:val="center"/>
          </w:tcPr>
          <w:p w14:paraId="20218099" w14:textId="77777777" w:rsidR="00454A29" w:rsidRDefault="00454A29">
            <w:pPr>
              <w:pStyle w:val="ConsPlusNormal"/>
            </w:pPr>
          </w:p>
        </w:tc>
        <w:tc>
          <w:tcPr>
            <w:tcW w:w="1814" w:type="dxa"/>
            <w:vAlign w:val="center"/>
          </w:tcPr>
          <w:p w14:paraId="404F1FDC" w14:textId="77777777" w:rsidR="00454A29" w:rsidRDefault="00454A29">
            <w:pPr>
              <w:pStyle w:val="ConsPlusNormal"/>
            </w:pPr>
          </w:p>
        </w:tc>
      </w:tr>
      <w:tr w:rsidR="00454A29" w14:paraId="207E0F12" w14:textId="77777777">
        <w:tc>
          <w:tcPr>
            <w:tcW w:w="567" w:type="dxa"/>
            <w:vMerge/>
          </w:tcPr>
          <w:p w14:paraId="5027F666" w14:textId="77777777" w:rsidR="00454A29" w:rsidRDefault="00454A29"/>
        </w:tc>
        <w:tc>
          <w:tcPr>
            <w:tcW w:w="3345" w:type="dxa"/>
            <w:vMerge/>
          </w:tcPr>
          <w:p w14:paraId="282495A7" w14:textId="77777777" w:rsidR="00454A29" w:rsidRDefault="00454A29"/>
        </w:tc>
        <w:tc>
          <w:tcPr>
            <w:tcW w:w="1701" w:type="dxa"/>
            <w:vAlign w:val="center"/>
          </w:tcPr>
          <w:p w14:paraId="1E8DDF0B" w14:textId="77777777" w:rsidR="00454A29" w:rsidRDefault="00454A29">
            <w:pPr>
              <w:pStyle w:val="ConsPlusNormal"/>
              <w:jc w:val="center"/>
            </w:pPr>
            <w:r>
              <w:t>2025</w:t>
            </w:r>
          </w:p>
        </w:tc>
        <w:tc>
          <w:tcPr>
            <w:tcW w:w="1417" w:type="dxa"/>
            <w:vMerge/>
          </w:tcPr>
          <w:p w14:paraId="43B26563" w14:textId="77777777" w:rsidR="00454A29" w:rsidRDefault="00454A29"/>
        </w:tc>
        <w:tc>
          <w:tcPr>
            <w:tcW w:w="2204" w:type="dxa"/>
            <w:vMerge/>
          </w:tcPr>
          <w:p w14:paraId="2DE8703E" w14:textId="77777777" w:rsidR="00454A29" w:rsidRDefault="00454A29"/>
        </w:tc>
        <w:tc>
          <w:tcPr>
            <w:tcW w:w="1417" w:type="dxa"/>
            <w:vMerge/>
          </w:tcPr>
          <w:p w14:paraId="4926B5DE" w14:textId="77777777" w:rsidR="00454A29" w:rsidRDefault="00454A29"/>
        </w:tc>
        <w:tc>
          <w:tcPr>
            <w:tcW w:w="2324" w:type="dxa"/>
            <w:vMerge/>
          </w:tcPr>
          <w:p w14:paraId="6D1BDA17" w14:textId="77777777" w:rsidR="00454A29" w:rsidRDefault="00454A29"/>
        </w:tc>
        <w:tc>
          <w:tcPr>
            <w:tcW w:w="1701" w:type="dxa"/>
            <w:vAlign w:val="center"/>
          </w:tcPr>
          <w:p w14:paraId="608A9964" w14:textId="77777777" w:rsidR="00454A29" w:rsidRDefault="00454A29">
            <w:pPr>
              <w:pStyle w:val="ConsPlusNormal"/>
            </w:pPr>
          </w:p>
        </w:tc>
        <w:tc>
          <w:tcPr>
            <w:tcW w:w="1814" w:type="dxa"/>
            <w:vAlign w:val="center"/>
          </w:tcPr>
          <w:p w14:paraId="402B870A" w14:textId="77777777" w:rsidR="00454A29" w:rsidRDefault="00454A29">
            <w:pPr>
              <w:pStyle w:val="ConsPlusNormal"/>
            </w:pPr>
          </w:p>
        </w:tc>
        <w:tc>
          <w:tcPr>
            <w:tcW w:w="1701" w:type="dxa"/>
            <w:vAlign w:val="center"/>
          </w:tcPr>
          <w:p w14:paraId="60E8722F" w14:textId="77777777" w:rsidR="00454A29" w:rsidRDefault="00454A29">
            <w:pPr>
              <w:pStyle w:val="ConsPlusNormal"/>
            </w:pPr>
          </w:p>
        </w:tc>
        <w:tc>
          <w:tcPr>
            <w:tcW w:w="1701" w:type="dxa"/>
            <w:vAlign w:val="center"/>
          </w:tcPr>
          <w:p w14:paraId="50714FF6" w14:textId="77777777" w:rsidR="00454A29" w:rsidRDefault="00454A29">
            <w:pPr>
              <w:pStyle w:val="ConsPlusNormal"/>
            </w:pPr>
          </w:p>
        </w:tc>
        <w:tc>
          <w:tcPr>
            <w:tcW w:w="1814" w:type="dxa"/>
            <w:vAlign w:val="center"/>
          </w:tcPr>
          <w:p w14:paraId="261576DF" w14:textId="77777777" w:rsidR="00454A29" w:rsidRDefault="00454A29">
            <w:pPr>
              <w:pStyle w:val="ConsPlusNormal"/>
            </w:pPr>
          </w:p>
        </w:tc>
      </w:tr>
      <w:tr w:rsidR="00454A29" w14:paraId="7FF1A0B6" w14:textId="77777777">
        <w:tc>
          <w:tcPr>
            <w:tcW w:w="567" w:type="dxa"/>
            <w:vMerge/>
          </w:tcPr>
          <w:p w14:paraId="1F14F903" w14:textId="77777777" w:rsidR="00454A29" w:rsidRDefault="00454A29"/>
        </w:tc>
        <w:tc>
          <w:tcPr>
            <w:tcW w:w="3345" w:type="dxa"/>
            <w:vMerge/>
          </w:tcPr>
          <w:p w14:paraId="02A1A8E8" w14:textId="77777777" w:rsidR="00454A29" w:rsidRDefault="00454A29"/>
        </w:tc>
        <w:tc>
          <w:tcPr>
            <w:tcW w:w="1701" w:type="dxa"/>
            <w:vAlign w:val="center"/>
          </w:tcPr>
          <w:p w14:paraId="0ED98455" w14:textId="77777777" w:rsidR="00454A29" w:rsidRDefault="00454A29">
            <w:pPr>
              <w:pStyle w:val="ConsPlusNormal"/>
              <w:jc w:val="center"/>
            </w:pPr>
            <w:r>
              <w:t>2026</w:t>
            </w:r>
          </w:p>
        </w:tc>
        <w:tc>
          <w:tcPr>
            <w:tcW w:w="1417" w:type="dxa"/>
            <w:vMerge/>
          </w:tcPr>
          <w:p w14:paraId="49B65F43" w14:textId="77777777" w:rsidR="00454A29" w:rsidRDefault="00454A29"/>
        </w:tc>
        <w:tc>
          <w:tcPr>
            <w:tcW w:w="2204" w:type="dxa"/>
            <w:vMerge/>
          </w:tcPr>
          <w:p w14:paraId="74716886" w14:textId="77777777" w:rsidR="00454A29" w:rsidRDefault="00454A29"/>
        </w:tc>
        <w:tc>
          <w:tcPr>
            <w:tcW w:w="1417" w:type="dxa"/>
            <w:vMerge/>
          </w:tcPr>
          <w:p w14:paraId="3DC3DF0E" w14:textId="77777777" w:rsidR="00454A29" w:rsidRDefault="00454A29"/>
        </w:tc>
        <w:tc>
          <w:tcPr>
            <w:tcW w:w="2324" w:type="dxa"/>
            <w:vMerge/>
          </w:tcPr>
          <w:p w14:paraId="1E50F806" w14:textId="77777777" w:rsidR="00454A29" w:rsidRDefault="00454A29"/>
        </w:tc>
        <w:tc>
          <w:tcPr>
            <w:tcW w:w="1701" w:type="dxa"/>
            <w:vAlign w:val="center"/>
          </w:tcPr>
          <w:p w14:paraId="2347D327" w14:textId="77777777" w:rsidR="00454A29" w:rsidRDefault="00454A29">
            <w:pPr>
              <w:pStyle w:val="ConsPlusNormal"/>
            </w:pPr>
          </w:p>
        </w:tc>
        <w:tc>
          <w:tcPr>
            <w:tcW w:w="1814" w:type="dxa"/>
            <w:vAlign w:val="center"/>
          </w:tcPr>
          <w:p w14:paraId="157C31E6" w14:textId="77777777" w:rsidR="00454A29" w:rsidRDefault="00454A29">
            <w:pPr>
              <w:pStyle w:val="ConsPlusNormal"/>
            </w:pPr>
          </w:p>
        </w:tc>
        <w:tc>
          <w:tcPr>
            <w:tcW w:w="1701" w:type="dxa"/>
            <w:vAlign w:val="center"/>
          </w:tcPr>
          <w:p w14:paraId="5892F6E8" w14:textId="77777777" w:rsidR="00454A29" w:rsidRDefault="00454A29">
            <w:pPr>
              <w:pStyle w:val="ConsPlusNormal"/>
            </w:pPr>
          </w:p>
        </w:tc>
        <w:tc>
          <w:tcPr>
            <w:tcW w:w="1701" w:type="dxa"/>
            <w:vAlign w:val="center"/>
          </w:tcPr>
          <w:p w14:paraId="1916FE85" w14:textId="77777777" w:rsidR="00454A29" w:rsidRDefault="00454A29">
            <w:pPr>
              <w:pStyle w:val="ConsPlusNormal"/>
            </w:pPr>
          </w:p>
        </w:tc>
        <w:tc>
          <w:tcPr>
            <w:tcW w:w="1814" w:type="dxa"/>
            <w:vAlign w:val="center"/>
          </w:tcPr>
          <w:p w14:paraId="222EFECC" w14:textId="77777777" w:rsidR="00454A29" w:rsidRDefault="00454A29">
            <w:pPr>
              <w:pStyle w:val="ConsPlusNormal"/>
            </w:pPr>
          </w:p>
        </w:tc>
      </w:tr>
      <w:tr w:rsidR="00454A29" w14:paraId="380E94F1" w14:textId="77777777">
        <w:tc>
          <w:tcPr>
            <w:tcW w:w="567" w:type="dxa"/>
            <w:vMerge w:val="restart"/>
            <w:vAlign w:val="center"/>
          </w:tcPr>
          <w:p w14:paraId="73AF66B1" w14:textId="77777777" w:rsidR="00454A29" w:rsidRDefault="00454A29">
            <w:pPr>
              <w:pStyle w:val="ConsPlusNormal"/>
              <w:jc w:val="center"/>
            </w:pPr>
            <w:r>
              <w:t>14</w:t>
            </w:r>
          </w:p>
        </w:tc>
        <w:tc>
          <w:tcPr>
            <w:tcW w:w="3345" w:type="dxa"/>
            <w:vMerge w:val="restart"/>
            <w:vAlign w:val="center"/>
          </w:tcPr>
          <w:p w14:paraId="2B0388D1" w14:textId="77777777" w:rsidR="00454A29" w:rsidRDefault="00454A29">
            <w:pPr>
              <w:pStyle w:val="ConsPlusNormal"/>
              <w:jc w:val="center"/>
            </w:pPr>
            <w:r>
              <w:t>Школа на 150/75 учащихся в с. Абага</w:t>
            </w:r>
          </w:p>
        </w:tc>
        <w:tc>
          <w:tcPr>
            <w:tcW w:w="1701" w:type="dxa"/>
            <w:vAlign w:val="center"/>
          </w:tcPr>
          <w:p w14:paraId="41A47EC9" w14:textId="77777777" w:rsidR="00454A29" w:rsidRDefault="00454A29">
            <w:pPr>
              <w:pStyle w:val="ConsPlusNormal"/>
              <w:jc w:val="center"/>
            </w:pPr>
            <w:r>
              <w:t>2020 - 2026 годы - всего</w:t>
            </w:r>
          </w:p>
        </w:tc>
        <w:tc>
          <w:tcPr>
            <w:tcW w:w="1417" w:type="dxa"/>
            <w:vMerge w:val="restart"/>
            <w:vAlign w:val="center"/>
          </w:tcPr>
          <w:p w14:paraId="5EA0BC16" w14:textId="77777777" w:rsidR="00454A29" w:rsidRDefault="00454A29">
            <w:pPr>
              <w:pStyle w:val="ConsPlusNormal"/>
              <w:jc w:val="center"/>
            </w:pPr>
            <w:r>
              <w:t>393 750,00</w:t>
            </w:r>
          </w:p>
        </w:tc>
        <w:tc>
          <w:tcPr>
            <w:tcW w:w="2204" w:type="dxa"/>
            <w:vMerge w:val="restart"/>
            <w:vAlign w:val="center"/>
          </w:tcPr>
          <w:p w14:paraId="575C7461" w14:textId="77777777" w:rsidR="00454A29" w:rsidRDefault="00454A29">
            <w:pPr>
              <w:pStyle w:val="ConsPlusNormal"/>
              <w:jc w:val="center"/>
            </w:pPr>
            <w:r>
              <w:t>отсутствует</w:t>
            </w:r>
          </w:p>
        </w:tc>
        <w:tc>
          <w:tcPr>
            <w:tcW w:w="1417" w:type="dxa"/>
            <w:vMerge w:val="restart"/>
            <w:vAlign w:val="center"/>
          </w:tcPr>
          <w:p w14:paraId="10E985A8" w14:textId="77777777" w:rsidR="00454A29" w:rsidRDefault="00454A29">
            <w:pPr>
              <w:pStyle w:val="ConsPlusNormal"/>
              <w:jc w:val="center"/>
            </w:pPr>
            <w:r>
              <w:t>165</w:t>
            </w:r>
          </w:p>
        </w:tc>
        <w:tc>
          <w:tcPr>
            <w:tcW w:w="2324" w:type="dxa"/>
            <w:vMerge w:val="restart"/>
            <w:vAlign w:val="center"/>
          </w:tcPr>
          <w:p w14:paraId="69B93E6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29B83A9" w14:textId="77777777" w:rsidR="00454A29" w:rsidRDefault="00454A29">
            <w:pPr>
              <w:pStyle w:val="ConsPlusNormal"/>
              <w:jc w:val="center"/>
            </w:pPr>
            <w:r>
              <w:t>393 750,00</w:t>
            </w:r>
          </w:p>
        </w:tc>
        <w:tc>
          <w:tcPr>
            <w:tcW w:w="1814" w:type="dxa"/>
            <w:vAlign w:val="center"/>
          </w:tcPr>
          <w:p w14:paraId="23168B24" w14:textId="77777777" w:rsidR="00454A29" w:rsidRDefault="00454A29">
            <w:pPr>
              <w:pStyle w:val="ConsPlusNormal"/>
              <w:jc w:val="center"/>
            </w:pPr>
            <w:r>
              <w:t>393 750,00</w:t>
            </w:r>
          </w:p>
        </w:tc>
        <w:tc>
          <w:tcPr>
            <w:tcW w:w="1701" w:type="dxa"/>
            <w:vAlign w:val="center"/>
          </w:tcPr>
          <w:p w14:paraId="32E4A605" w14:textId="77777777" w:rsidR="00454A29" w:rsidRDefault="00454A29">
            <w:pPr>
              <w:pStyle w:val="ConsPlusNormal"/>
              <w:jc w:val="center"/>
            </w:pPr>
            <w:r>
              <w:t>-</w:t>
            </w:r>
          </w:p>
        </w:tc>
        <w:tc>
          <w:tcPr>
            <w:tcW w:w="1701" w:type="dxa"/>
            <w:vAlign w:val="center"/>
          </w:tcPr>
          <w:p w14:paraId="08C1D24E" w14:textId="77777777" w:rsidR="00454A29" w:rsidRDefault="00454A29">
            <w:pPr>
              <w:pStyle w:val="ConsPlusNormal"/>
              <w:jc w:val="center"/>
            </w:pPr>
            <w:r>
              <w:t>-</w:t>
            </w:r>
          </w:p>
        </w:tc>
        <w:tc>
          <w:tcPr>
            <w:tcW w:w="1814" w:type="dxa"/>
            <w:vAlign w:val="center"/>
          </w:tcPr>
          <w:p w14:paraId="0EADAE90" w14:textId="77777777" w:rsidR="00454A29" w:rsidRDefault="00454A29">
            <w:pPr>
              <w:pStyle w:val="ConsPlusNormal"/>
              <w:jc w:val="center"/>
            </w:pPr>
            <w:r>
              <w:t>-</w:t>
            </w:r>
          </w:p>
        </w:tc>
      </w:tr>
      <w:tr w:rsidR="00454A29" w14:paraId="38DAC2F1" w14:textId="77777777">
        <w:tc>
          <w:tcPr>
            <w:tcW w:w="567" w:type="dxa"/>
            <w:vMerge/>
          </w:tcPr>
          <w:p w14:paraId="2274B818" w14:textId="77777777" w:rsidR="00454A29" w:rsidRDefault="00454A29"/>
        </w:tc>
        <w:tc>
          <w:tcPr>
            <w:tcW w:w="3345" w:type="dxa"/>
            <w:vMerge/>
          </w:tcPr>
          <w:p w14:paraId="72C742B0" w14:textId="77777777" w:rsidR="00454A29" w:rsidRDefault="00454A29"/>
        </w:tc>
        <w:tc>
          <w:tcPr>
            <w:tcW w:w="1701" w:type="dxa"/>
            <w:vAlign w:val="center"/>
          </w:tcPr>
          <w:p w14:paraId="61564F33" w14:textId="77777777" w:rsidR="00454A29" w:rsidRDefault="00454A29">
            <w:pPr>
              <w:pStyle w:val="ConsPlusNormal"/>
              <w:jc w:val="center"/>
            </w:pPr>
            <w:r>
              <w:t>2020</w:t>
            </w:r>
          </w:p>
        </w:tc>
        <w:tc>
          <w:tcPr>
            <w:tcW w:w="1417" w:type="dxa"/>
            <w:vMerge/>
          </w:tcPr>
          <w:p w14:paraId="47293BB5" w14:textId="77777777" w:rsidR="00454A29" w:rsidRDefault="00454A29"/>
        </w:tc>
        <w:tc>
          <w:tcPr>
            <w:tcW w:w="2204" w:type="dxa"/>
            <w:vMerge/>
          </w:tcPr>
          <w:p w14:paraId="13E462FA" w14:textId="77777777" w:rsidR="00454A29" w:rsidRDefault="00454A29"/>
        </w:tc>
        <w:tc>
          <w:tcPr>
            <w:tcW w:w="1417" w:type="dxa"/>
            <w:vMerge/>
          </w:tcPr>
          <w:p w14:paraId="3BB5CA97" w14:textId="77777777" w:rsidR="00454A29" w:rsidRDefault="00454A29"/>
        </w:tc>
        <w:tc>
          <w:tcPr>
            <w:tcW w:w="2324" w:type="dxa"/>
            <w:vMerge/>
          </w:tcPr>
          <w:p w14:paraId="4829DE6B" w14:textId="77777777" w:rsidR="00454A29" w:rsidRDefault="00454A29"/>
        </w:tc>
        <w:tc>
          <w:tcPr>
            <w:tcW w:w="1701" w:type="dxa"/>
            <w:vAlign w:val="center"/>
          </w:tcPr>
          <w:p w14:paraId="0946875D" w14:textId="77777777" w:rsidR="00454A29" w:rsidRDefault="00454A29">
            <w:pPr>
              <w:pStyle w:val="ConsPlusNormal"/>
              <w:jc w:val="center"/>
            </w:pPr>
            <w:r>
              <w:t>118 125,00</w:t>
            </w:r>
          </w:p>
        </w:tc>
        <w:tc>
          <w:tcPr>
            <w:tcW w:w="1814" w:type="dxa"/>
            <w:vAlign w:val="center"/>
          </w:tcPr>
          <w:p w14:paraId="71C3C21D" w14:textId="77777777" w:rsidR="00454A29" w:rsidRDefault="00454A29">
            <w:pPr>
              <w:pStyle w:val="ConsPlusNormal"/>
              <w:jc w:val="center"/>
            </w:pPr>
            <w:r>
              <w:t>118 125,00</w:t>
            </w:r>
          </w:p>
        </w:tc>
        <w:tc>
          <w:tcPr>
            <w:tcW w:w="1701" w:type="dxa"/>
            <w:vAlign w:val="center"/>
          </w:tcPr>
          <w:p w14:paraId="7DFACFBD" w14:textId="77777777" w:rsidR="00454A29" w:rsidRDefault="00454A29">
            <w:pPr>
              <w:pStyle w:val="ConsPlusNormal"/>
            </w:pPr>
          </w:p>
        </w:tc>
        <w:tc>
          <w:tcPr>
            <w:tcW w:w="1701" w:type="dxa"/>
            <w:vAlign w:val="center"/>
          </w:tcPr>
          <w:p w14:paraId="1A007395" w14:textId="77777777" w:rsidR="00454A29" w:rsidRDefault="00454A29">
            <w:pPr>
              <w:pStyle w:val="ConsPlusNormal"/>
            </w:pPr>
          </w:p>
        </w:tc>
        <w:tc>
          <w:tcPr>
            <w:tcW w:w="1814" w:type="dxa"/>
            <w:vAlign w:val="center"/>
          </w:tcPr>
          <w:p w14:paraId="1E5EE097" w14:textId="77777777" w:rsidR="00454A29" w:rsidRDefault="00454A29">
            <w:pPr>
              <w:pStyle w:val="ConsPlusNormal"/>
            </w:pPr>
          </w:p>
        </w:tc>
      </w:tr>
      <w:tr w:rsidR="00454A29" w14:paraId="4934E434" w14:textId="77777777">
        <w:tc>
          <w:tcPr>
            <w:tcW w:w="567" w:type="dxa"/>
            <w:vMerge/>
          </w:tcPr>
          <w:p w14:paraId="3B757955" w14:textId="77777777" w:rsidR="00454A29" w:rsidRDefault="00454A29"/>
        </w:tc>
        <w:tc>
          <w:tcPr>
            <w:tcW w:w="3345" w:type="dxa"/>
            <w:vMerge/>
          </w:tcPr>
          <w:p w14:paraId="24BC8D4B" w14:textId="77777777" w:rsidR="00454A29" w:rsidRDefault="00454A29"/>
        </w:tc>
        <w:tc>
          <w:tcPr>
            <w:tcW w:w="1701" w:type="dxa"/>
            <w:vAlign w:val="center"/>
          </w:tcPr>
          <w:p w14:paraId="708540CC" w14:textId="77777777" w:rsidR="00454A29" w:rsidRDefault="00454A29">
            <w:pPr>
              <w:pStyle w:val="ConsPlusNormal"/>
              <w:jc w:val="center"/>
            </w:pPr>
            <w:r>
              <w:t>2021</w:t>
            </w:r>
          </w:p>
        </w:tc>
        <w:tc>
          <w:tcPr>
            <w:tcW w:w="1417" w:type="dxa"/>
            <w:vMerge/>
          </w:tcPr>
          <w:p w14:paraId="4313C80C" w14:textId="77777777" w:rsidR="00454A29" w:rsidRDefault="00454A29"/>
        </w:tc>
        <w:tc>
          <w:tcPr>
            <w:tcW w:w="2204" w:type="dxa"/>
            <w:vMerge/>
          </w:tcPr>
          <w:p w14:paraId="68EE4A9A" w14:textId="77777777" w:rsidR="00454A29" w:rsidRDefault="00454A29"/>
        </w:tc>
        <w:tc>
          <w:tcPr>
            <w:tcW w:w="1417" w:type="dxa"/>
            <w:vMerge/>
          </w:tcPr>
          <w:p w14:paraId="18B0D269" w14:textId="77777777" w:rsidR="00454A29" w:rsidRDefault="00454A29"/>
        </w:tc>
        <w:tc>
          <w:tcPr>
            <w:tcW w:w="2324" w:type="dxa"/>
            <w:vMerge/>
          </w:tcPr>
          <w:p w14:paraId="5284BF2A" w14:textId="77777777" w:rsidR="00454A29" w:rsidRDefault="00454A29"/>
        </w:tc>
        <w:tc>
          <w:tcPr>
            <w:tcW w:w="1701" w:type="dxa"/>
            <w:vAlign w:val="center"/>
          </w:tcPr>
          <w:p w14:paraId="49A690DD" w14:textId="77777777" w:rsidR="00454A29" w:rsidRDefault="00454A29">
            <w:pPr>
              <w:pStyle w:val="ConsPlusNormal"/>
              <w:jc w:val="center"/>
            </w:pPr>
            <w:r>
              <w:t>275 625,00</w:t>
            </w:r>
          </w:p>
        </w:tc>
        <w:tc>
          <w:tcPr>
            <w:tcW w:w="1814" w:type="dxa"/>
            <w:vAlign w:val="center"/>
          </w:tcPr>
          <w:p w14:paraId="161049A0" w14:textId="77777777" w:rsidR="00454A29" w:rsidRDefault="00454A29">
            <w:pPr>
              <w:pStyle w:val="ConsPlusNormal"/>
              <w:jc w:val="center"/>
            </w:pPr>
            <w:r>
              <w:t>275 625,00</w:t>
            </w:r>
          </w:p>
        </w:tc>
        <w:tc>
          <w:tcPr>
            <w:tcW w:w="1701" w:type="dxa"/>
            <w:vAlign w:val="center"/>
          </w:tcPr>
          <w:p w14:paraId="09E542B7" w14:textId="77777777" w:rsidR="00454A29" w:rsidRDefault="00454A29">
            <w:pPr>
              <w:pStyle w:val="ConsPlusNormal"/>
            </w:pPr>
          </w:p>
        </w:tc>
        <w:tc>
          <w:tcPr>
            <w:tcW w:w="1701" w:type="dxa"/>
            <w:vAlign w:val="center"/>
          </w:tcPr>
          <w:p w14:paraId="3B3D13D0" w14:textId="77777777" w:rsidR="00454A29" w:rsidRDefault="00454A29">
            <w:pPr>
              <w:pStyle w:val="ConsPlusNormal"/>
            </w:pPr>
          </w:p>
        </w:tc>
        <w:tc>
          <w:tcPr>
            <w:tcW w:w="1814" w:type="dxa"/>
            <w:vAlign w:val="center"/>
          </w:tcPr>
          <w:p w14:paraId="312DE848" w14:textId="77777777" w:rsidR="00454A29" w:rsidRDefault="00454A29">
            <w:pPr>
              <w:pStyle w:val="ConsPlusNormal"/>
            </w:pPr>
          </w:p>
        </w:tc>
      </w:tr>
      <w:tr w:rsidR="00454A29" w14:paraId="63A7AE12" w14:textId="77777777">
        <w:tc>
          <w:tcPr>
            <w:tcW w:w="567" w:type="dxa"/>
            <w:vMerge/>
          </w:tcPr>
          <w:p w14:paraId="0D2374C3" w14:textId="77777777" w:rsidR="00454A29" w:rsidRDefault="00454A29"/>
        </w:tc>
        <w:tc>
          <w:tcPr>
            <w:tcW w:w="3345" w:type="dxa"/>
            <w:vMerge/>
          </w:tcPr>
          <w:p w14:paraId="24431676" w14:textId="77777777" w:rsidR="00454A29" w:rsidRDefault="00454A29"/>
        </w:tc>
        <w:tc>
          <w:tcPr>
            <w:tcW w:w="1701" w:type="dxa"/>
            <w:vAlign w:val="center"/>
          </w:tcPr>
          <w:p w14:paraId="3CC17A7E" w14:textId="77777777" w:rsidR="00454A29" w:rsidRDefault="00454A29">
            <w:pPr>
              <w:pStyle w:val="ConsPlusNormal"/>
              <w:jc w:val="center"/>
            </w:pPr>
            <w:r>
              <w:t>2022</w:t>
            </w:r>
          </w:p>
        </w:tc>
        <w:tc>
          <w:tcPr>
            <w:tcW w:w="1417" w:type="dxa"/>
            <w:vMerge/>
          </w:tcPr>
          <w:p w14:paraId="65851481" w14:textId="77777777" w:rsidR="00454A29" w:rsidRDefault="00454A29"/>
        </w:tc>
        <w:tc>
          <w:tcPr>
            <w:tcW w:w="2204" w:type="dxa"/>
            <w:vMerge/>
          </w:tcPr>
          <w:p w14:paraId="3D7085CF" w14:textId="77777777" w:rsidR="00454A29" w:rsidRDefault="00454A29"/>
        </w:tc>
        <w:tc>
          <w:tcPr>
            <w:tcW w:w="1417" w:type="dxa"/>
            <w:vMerge/>
          </w:tcPr>
          <w:p w14:paraId="20CA3416" w14:textId="77777777" w:rsidR="00454A29" w:rsidRDefault="00454A29"/>
        </w:tc>
        <w:tc>
          <w:tcPr>
            <w:tcW w:w="2324" w:type="dxa"/>
            <w:vMerge/>
          </w:tcPr>
          <w:p w14:paraId="083CFA53" w14:textId="77777777" w:rsidR="00454A29" w:rsidRDefault="00454A29"/>
        </w:tc>
        <w:tc>
          <w:tcPr>
            <w:tcW w:w="1701" w:type="dxa"/>
            <w:vAlign w:val="center"/>
          </w:tcPr>
          <w:p w14:paraId="265BFCD3" w14:textId="77777777" w:rsidR="00454A29" w:rsidRDefault="00454A29">
            <w:pPr>
              <w:pStyle w:val="ConsPlusNormal"/>
            </w:pPr>
          </w:p>
        </w:tc>
        <w:tc>
          <w:tcPr>
            <w:tcW w:w="1814" w:type="dxa"/>
            <w:vAlign w:val="center"/>
          </w:tcPr>
          <w:p w14:paraId="31FEE6BF" w14:textId="77777777" w:rsidR="00454A29" w:rsidRDefault="00454A29">
            <w:pPr>
              <w:pStyle w:val="ConsPlusNormal"/>
            </w:pPr>
          </w:p>
        </w:tc>
        <w:tc>
          <w:tcPr>
            <w:tcW w:w="1701" w:type="dxa"/>
            <w:vAlign w:val="center"/>
          </w:tcPr>
          <w:p w14:paraId="1AE6FACA" w14:textId="77777777" w:rsidR="00454A29" w:rsidRDefault="00454A29">
            <w:pPr>
              <w:pStyle w:val="ConsPlusNormal"/>
            </w:pPr>
          </w:p>
        </w:tc>
        <w:tc>
          <w:tcPr>
            <w:tcW w:w="1701" w:type="dxa"/>
            <w:vAlign w:val="center"/>
          </w:tcPr>
          <w:p w14:paraId="2A2FE336" w14:textId="77777777" w:rsidR="00454A29" w:rsidRDefault="00454A29">
            <w:pPr>
              <w:pStyle w:val="ConsPlusNormal"/>
            </w:pPr>
          </w:p>
        </w:tc>
        <w:tc>
          <w:tcPr>
            <w:tcW w:w="1814" w:type="dxa"/>
            <w:vAlign w:val="center"/>
          </w:tcPr>
          <w:p w14:paraId="0A2C6191" w14:textId="77777777" w:rsidR="00454A29" w:rsidRDefault="00454A29">
            <w:pPr>
              <w:pStyle w:val="ConsPlusNormal"/>
            </w:pPr>
          </w:p>
        </w:tc>
      </w:tr>
      <w:tr w:rsidR="00454A29" w14:paraId="0DCDFE3B" w14:textId="77777777">
        <w:tc>
          <w:tcPr>
            <w:tcW w:w="567" w:type="dxa"/>
            <w:vMerge/>
          </w:tcPr>
          <w:p w14:paraId="32CDE3CC" w14:textId="77777777" w:rsidR="00454A29" w:rsidRDefault="00454A29"/>
        </w:tc>
        <w:tc>
          <w:tcPr>
            <w:tcW w:w="3345" w:type="dxa"/>
            <w:vMerge/>
          </w:tcPr>
          <w:p w14:paraId="1FA8DB3C" w14:textId="77777777" w:rsidR="00454A29" w:rsidRDefault="00454A29"/>
        </w:tc>
        <w:tc>
          <w:tcPr>
            <w:tcW w:w="1701" w:type="dxa"/>
            <w:vAlign w:val="center"/>
          </w:tcPr>
          <w:p w14:paraId="2BEF4345" w14:textId="77777777" w:rsidR="00454A29" w:rsidRDefault="00454A29">
            <w:pPr>
              <w:pStyle w:val="ConsPlusNormal"/>
              <w:jc w:val="center"/>
            </w:pPr>
            <w:r>
              <w:t>2023</w:t>
            </w:r>
          </w:p>
        </w:tc>
        <w:tc>
          <w:tcPr>
            <w:tcW w:w="1417" w:type="dxa"/>
            <w:vMerge/>
          </w:tcPr>
          <w:p w14:paraId="14F489EE" w14:textId="77777777" w:rsidR="00454A29" w:rsidRDefault="00454A29"/>
        </w:tc>
        <w:tc>
          <w:tcPr>
            <w:tcW w:w="2204" w:type="dxa"/>
            <w:vMerge/>
          </w:tcPr>
          <w:p w14:paraId="045C3D77" w14:textId="77777777" w:rsidR="00454A29" w:rsidRDefault="00454A29"/>
        </w:tc>
        <w:tc>
          <w:tcPr>
            <w:tcW w:w="1417" w:type="dxa"/>
            <w:vMerge/>
          </w:tcPr>
          <w:p w14:paraId="61AEB514" w14:textId="77777777" w:rsidR="00454A29" w:rsidRDefault="00454A29"/>
        </w:tc>
        <w:tc>
          <w:tcPr>
            <w:tcW w:w="2324" w:type="dxa"/>
            <w:vMerge/>
          </w:tcPr>
          <w:p w14:paraId="0665989C" w14:textId="77777777" w:rsidR="00454A29" w:rsidRDefault="00454A29"/>
        </w:tc>
        <w:tc>
          <w:tcPr>
            <w:tcW w:w="1701" w:type="dxa"/>
            <w:vAlign w:val="center"/>
          </w:tcPr>
          <w:p w14:paraId="029C5212" w14:textId="77777777" w:rsidR="00454A29" w:rsidRDefault="00454A29">
            <w:pPr>
              <w:pStyle w:val="ConsPlusNormal"/>
            </w:pPr>
          </w:p>
        </w:tc>
        <w:tc>
          <w:tcPr>
            <w:tcW w:w="1814" w:type="dxa"/>
            <w:vAlign w:val="center"/>
          </w:tcPr>
          <w:p w14:paraId="42053543" w14:textId="77777777" w:rsidR="00454A29" w:rsidRDefault="00454A29">
            <w:pPr>
              <w:pStyle w:val="ConsPlusNormal"/>
            </w:pPr>
          </w:p>
        </w:tc>
        <w:tc>
          <w:tcPr>
            <w:tcW w:w="1701" w:type="dxa"/>
            <w:vAlign w:val="center"/>
          </w:tcPr>
          <w:p w14:paraId="5CD91213" w14:textId="77777777" w:rsidR="00454A29" w:rsidRDefault="00454A29">
            <w:pPr>
              <w:pStyle w:val="ConsPlusNormal"/>
            </w:pPr>
          </w:p>
        </w:tc>
        <w:tc>
          <w:tcPr>
            <w:tcW w:w="1701" w:type="dxa"/>
            <w:vAlign w:val="center"/>
          </w:tcPr>
          <w:p w14:paraId="0E973F5E" w14:textId="77777777" w:rsidR="00454A29" w:rsidRDefault="00454A29">
            <w:pPr>
              <w:pStyle w:val="ConsPlusNormal"/>
            </w:pPr>
          </w:p>
        </w:tc>
        <w:tc>
          <w:tcPr>
            <w:tcW w:w="1814" w:type="dxa"/>
            <w:vAlign w:val="center"/>
          </w:tcPr>
          <w:p w14:paraId="5B66B22B" w14:textId="77777777" w:rsidR="00454A29" w:rsidRDefault="00454A29">
            <w:pPr>
              <w:pStyle w:val="ConsPlusNormal"/>
            </w:pPr>
          </w:p>
        </w:tc>
      </w:tr>
      <w:tr w:rsidR="00454A29" w14:paraId="71878F8B" w14:textId="77777777">
        <w:tc>
          <w:tcPr>
            <w:tcW w:w="567" w:type="dxa"/>
            <w:vMerge/>
          </w:tcPr>
          <w:p w14:paraId="329ED269" w14:textId="77777777" w:rsidR="00454A29" w:rsidRDefault="00454A29"/>
        </w:tc>
        <w:tc>
          <w:tcPr>
            <w:tcW w:w="3345" w:type="dxa"/>
            <w:vMerge/>
          </w:tcPr>
          <w:p w14:paraId="11FAC9BC" w14:textId="77777777" w:rsidR="00454A29" w:rsidRDefault="00454A29"/>
        </w:tc>
        <w:tc>
          <w:tcPr>
            <w:tcW w:w="1701" w:type="dxa"/>
            <w:vAlign w:val="center"/>
          </w:tcPr>
          <w:p w14:paraId="5D19DEA1" w14:textId="77777777" w:rsidR="00454A29" w:rsidRDefault="00454A29">
            <w:pPr>
              <w:pStyle w:val="ConsPlusNormal"/>
              <w:jc w:val="center"/>
            </w:pPr>
            <w:r>
              <w:t>2024</w:t>
            </w:r>
          </w:p>
        </w:tc>
        <w:tc>
          <w:tcPr>
            <w:tcW w:w="1417" w:type="dxa"/>
            <w:vMerge/>
          </w:tcPr>
          <w:p w14:paraId="447E9C35" w14:textId="77777777" w:rsidR="00454A29" w:rsidRDefault="00454A29"/>
        </w:tc>
        <w:tc>
          <w:tcPr>
            <w:tcW w:w="2204" w:type="dxa"/>
            <w:vMerge/>
          </w:tcPr>
          <w:p w14:paraId="483B6F4D" w14:textId="77777777" w:rsidR="00454A29" w:rsidRDefault="00454A29"/>
        </w:tc>
        <w:tc>
          <w:tcPr>
            <w:tcW w:w="1417" w:type="dxa"/>
            <w:vMerge/>
          </w:tcPr>
          <w:p w14:paraId="2B29B2D8" w14:textId="77777777" w:rsidR="00454A29" w:rsidRDefault="00454A29"/>
        </w:tc>
        <w:tc>
          <w:tcPr>
            <w:tcW w:w="2324" w:type="dxa"/>
            <w:vMerge/>
          </w:tcPr>
          <w:p w14:paraId="79BEC216" w14:textId="77777777" w:rsidR="00454A29" w:rsidRDefault="00454A29"/>
        </w:tc>
        <w:tc>
          <w:tcPr>
            <w:tcW w:w="1701" w:type="dxa"/>
            <w:vAlign w:val="center"/>
          </w:tcPr>
          <w:p w14:paraId="2628B9FC" w14:textId="77777777" w:rsidR="00454A29" w:rsidRDefault="00454A29">
            <w:pPr>
              <w:pStyle w:val="ConsPlusNormal"/>
            </w:pPr>
          </w:p>
        </w:tc>
        <w:tc>
          <w:tcPr>
            <w:tcW w:w="1814" w:type="dxa"/>
            <w:vAlign w:val="center"/>
          </w:tcPr>
          <w:p w14:paraId="0373B2EC" w14:textId="77777777" w:rsidR="00454A29" w:rsidRDefault="00454A29">
            <w:pPr>
              <w:pStyle w:val="ConsPlusNormal"/>
            </w:pPr>
          </w:p>
        </w:tc>
        <w:tc>
          <w:tcPr>
            <w:tcW w:w="1701" w:type="dxa"/>
            <w:vAlign w:val="center"/>
          </w:tcPr>
          <w:p w14:paraId="08A3A7F5" w14:textId="77777777" w:rsidR="00454A29" w:rsidRDefault="00454A29">
            <w:pPr>
              <w:pStyle w:val="ConsPlusNormal"/>
            </w:pPr>
          </w:p>
        </w:tc>
        <w:tc>
          <w:tcPr>
            <w:tcW w:w="1701" w:type="dxa"/>
            <w:vAlign w:val="center"/>
          </w:tcPr>
          <w:p w14:paraId="096F1988" w14:textId="77777777" w:rsidR="00454A29" w:rsidRDefault="00454A29">
            <w:pPr>
              <w:pStyle w:val="ConsPlusNormal"/>
            </w:pPr>
          </w:p>
        </w:tc>
        <w:tc>
          <w:tcPr>
            <w:tcW w:w="1814" w:type="dxa"/>
            <w:vAlign w:val="center"/>
          </w:tcPr>
          <w:p w14:paraId="06331A60" w14:textId="77777777" w:rsidR="00454A29" w:rsidRDefault="00454A29">
            <w:pPr>
              <w:pStyle w:val="ConsPlusNormal"/>
            </w:pPr>
          </w:p>
        </w:tc>
      </w:tr>
      <w:tr w:rsidR="00454A29" w14:paraId="43DD821A" w14:textId="77777777">
        <w:tc>
          <w:tcPr>
            <w:tcW w:w="567" w:type="dxa"/>
            <w:vMerge/>
          </w:tcPr>
          <w:p w14:paraId="789AA9F3" w14:textId="77777777" w:rsidR="00454A29" w:rsidRDefault="00454A29"/>
        </w:tc>
        <w:tc>
          <w:tcPr>
            <w:tcW w:w="3345" w:type="dxa"/>
            <w:vMerge/>
          </w:tcPr>
          <w:p w14:paraId="6076C331" w14:textId="77777777" w:rsidR="00454A29" w:rsidRDefault="00454A29"/>
        </w:tc>
        <w:tc>
          <w:tcPr>
            <w:tcW w:w="1701" w:type="dxa"/>
            <w:vAlign w:val="center"/>
          </w:tcPr>
          <w:p w14:paraId="472B08A4" w14:textId="77777777" w:rsidR="00454A29" w:rsidRDefault="00454A29">
            <w:pPr>
              <w:pStyle w:val="ConsPlusNormal"/>
              <w:jc w:val="center"/>
            </w:pPr>
            <w:r>
              <w:t>2025</w:t>
            </w:r>
          </w:p>
        </w:tc>
        <w:tc>
          <w:tcPr>
            <w:tcW w:w="1417" w:type="dxa"/>
            <w:vMerge/>
          </w:tcPr>
          <w:p w14:paraId="58F74D40" w14:textId="77777777" w:rsidR="00454A29" w:rsidRDefault="00454A29"/>
        </w:tc>
        <w:tc>
          <w:tcPr>
            <w:tcW w:w="2204" w:type="dxa"/>
            <w:vMerge/>
          </w:tcPr>
          <w:p w14:paraId="225B69A4" w14:textId="77777777" w:rsidR="00454A29" w:rsidRDefault="00454A29"/>
        </w:tc>
        <w:tc>
          <w:tcPr>
            <w:tcW w:w="1417" w:type="dxa"/>
            <w:vMerge/>
          </w:tcPr>
          <w:p w14:paraId="27F086CE" w14:textId="77777777" w:rsidR="00454A29" w:rsidRDefault="00454A29"/>
        </w:tc>
        <w:tc>
          <w:tcPr>
            <w:tcW w:w="2324" w:type="dxa"/>
            <w:vMerge/>
          </w:tcPr>
          <w:p w14:paraId="51705896" w14:textId="77777777" w:rsidR="00454A29" w:rsidRDefault="00454A29"/>
        </w:tc>
        <w:tc>
          <w:tcPr>
            <w:tcW w:w="1701" w:type="dxa"/>
            <w:vAlign w:val="center"/>
          </w:tcPr>
          <w:p w14:paraId="5E0364D5" w14:textId="77777777" w:rsidR="00454A29" w:rsidRDefault="00454A29">
            <w:pPr>
              <w:pStyle w:val="ConsPlusNormal"/>
            </w:pPr>
          </w:p>
        </w:tc>
        <w:tc>
          <w:tcPr>
            <w:tcW w:w="1814" w:type="dxa"/>
            <w:vAlign w:val="center"/>
          </w:tcPr>
          <w:p w14:paraId="43402043" w14:textId="77777777" w:rsidR="00454A29" w:rsidRDefault="00454A29">
            <w:pPr>
              <w:pStyle w:val="ConsPlusNormal"/>
            </w:pPr>
          </w:p>
        </w:tc>
        <w:tc>
          <w:tcPr>
            <w:tcW w:w="1701" w:type="dxa"/>
            <w:vAlign w:val="center"/>
          </w:tcPr>
          <w:p w14:paraId="0E227EDD" w14:textId="77777777" w:rsidR="00454A29" w:rsidRDefault="00454A29">
            <w:pPr>
              <w:pStyle w:val="ConsPlusNormal"/>
            </w:pPr>
          </w:p>
        </w:tc>
        <w:tc>
          <w:tcPr>
            <w:tcW w:w="1701" w:type="dxa"/>
            <w:vAlign w:val="center"/>
          </w:tcPr>
          <w:p w14:paraId="5C699390" w14:textId="77777777" w:rsidR="00454A29" w:rsidRDefault="00454A29">
            <w:pPr>
              <w:pStyle w:val="ConsPlusNormal"/>
            </w:pPr>
          </w:p>
        </w:tc>
        <w:tc>
          <w:tcPr>
            <w:tcW w:w="1814" w:type="dxa"/>
            <w:vAlign w:val="center"/>
          </w:tcPr>
          <w:p w14:paraId="594EECC1" w14:textId="77777777" w:rsidR="00454A29" w:rsidRDefault="00454A29">
            <w:pPr>
              <w:pStyle w:val="ConsPlusNormal"/>
            </w:pPr>
          </w:p>
        </w:tc>
      </w:tr>
      <w:tr w:rsidR="00454A29" w14:paraId="3E89D6B1" w14:textId="77777777">
        <w:tc>
          <w:tcPr>
            <w:tcW w:w="567" w:type="dxa"/>
            <w:vMerge/>
          </w:tcPr>
          <w:p w14:paraId="23D4FF0E" w14:textId="77777777" w:rsidR="00454A29" w:rsidRDefault="00454A29"/>
        </w:tc>
        <w:tc>
          <w:tcPr>
            <w:tcW w:w="3345" w:type="dxa"/>
            <w:vMerge/>
          </w:tcPr>
          <w:p w14:paraId="3D498D3C" w14:textId="77777777" w:rsidR="00454A29" w:rsidRDefault="00454A29"/>
        </w:tc>
        <w:tc>
          <w:tcPr>
            <w:tcW w:w="1701" w:type="dxa"/>
            <w:vAlign w:val="center"/>
          </w:tcPr>
          <w:p w14:paraId="49BC05C5" w14:textId="77777777" w:rsidR="00454A29" w:rsidRDefault="00454A29">
            <w:pPr>
              <w:pStyle w:val="ConsPlusNormal"/>
              <w:jc w:val="center"/>
            </w:pPr>
            <w:r>
              <w:t>2026</w:t>
            </w:r>
          </w:p>
        </w:tc>
        <w:tc>
          <w:tcPr>
            <w:tcW w:w="1417" w:type="dxa"/>
            <w:vMerge/>
          </w:tcPr>
          <w:p w14:paraId="4D3641A3" w14:textId="77777777" w:rsidR="00454A29" w:rsidRDefault="00454A29"/>
        </w:tc>
        <w:tc>
          <w:tcPr>
            <w:tcW w:w="2204" w:type="dxa"/>
            <w:vMerge/>
          </w:tcPr>
          <w:p w14:paraId="3580F9B6" w14:textId="77777777" w:rsidR="00454A29" w:rsidRDefault="00454A29"/>
        </w:tc>
        <w:tc>
          <w:tcPr>
            <w:tcW w:w="1417" w:type="dxa"/>
            <w:vMerge/>
          </w:tcPr>
          <w:p w14:paraId="2FF87962" w14:textId="77777777" w:rsidR="00454A29" w:rsidRDefault="00454A29"/>
        </w:tc>
        <w:tc>
          <w:tcPr>
            <w:tcW w:w="2324" w:type="dxa"/>
            <w:vMerge/>
          </w:tcPr>
          <w:p w14:paraId="6A557C44" w14:textId="77777777" w:rsidR="00454A29" w:rsidRDefault="00454A29"/>
        </w:tc>
        <w:tc>
          <w:tcPr>
            <w:tcW w:w="1701" w:type="dxa"/>
            <w:vAlign w:val="center"/>
          </w:tcPr>
          <w:p w14:paraId="6C8D2A78" w14:textId="77777777" w:rsidR="00454A29" w:rsidRDefault="00454A29">
            <w:pPr>
              <w:pStyle w:val="ConsPlusNormal"/>
            </w:pPr>
          </w:p>
        </w:tc>
        <w:tc>
          <w:tcPr>
            <w:tcW w:w="1814" w:type="dxa"/>
            <w:vAlign w:val="center"/>
          </w:tcPr>
          <w:p w14:paraId="7EA341C4" w14:textId="77777777" w:rsidR="00454A29" w:rsidRDefault="00454A29">
            <w:pPr>
              <w:pStyle w:val="ConsPlusNormal"/>
            </w:pPr>
          </w:p>
        </w:tc>
        <w:tc>
          <w:tcPr>
            <w:tcW w:w="1701" w:type="dxa"/>
            <w:vAlign w:val="center"/>
          </w:tcPr>
          <w:p w14:paraId="581EE5ED" w14:textId="77777777" w:rsidR="00454A29" w:rsidRDefault="00454A29">
            <w:pPr>
              <w:pStyle w:val="ConsPlusNormal"/>
            </w:pPr>
          </w:p>
        </w:tc>
        <w:tc>
          <w:tcPr>
            <w:tcW w:w="1701" w:type="dxa"/>
            <w:vAlign w:val="center"/>
          </w:tcPr>
          <w:p w14:paraId="34679A54" w14:textId="77777777" w:rsidR="00454A29" w:rsidRDefault="00454A29">
            <w:pPr>
              <w:pStyle w:val="ConsPlusNormal"/>
            </w:pPr>
          </w:p>
        </w:tc>
        <w:tc>
          <w:tcPr>
            <w:tcW w:w="1814" w:type="dxa"/>
            <w:vAlign w:val="center"/>
          </w:tcPr>
          <w:p w14:paraId="05984B35" w14:textId="77777777" w:rsidR="00454A29" w:rsidRDefault="00454A29">
            <w:pPr>
              <w:pStyle w:val="ConsPlusNormal"/>
            </w:pPr>
          </w:p>
        </w:tc>
      </w:tr>
      <w:tr w:rsidR="00454A29" w14:paraId="1DD2F901" w14:textId="77777777">
        <w:tc>
          <w:tcPr>
            <w:tcW w:w="567" w:type="dxa"/>
            <w:vMerge w:val="restart"/>
            <w:vAlign w:val="center"/>
          </w:tcPr>
          <w:p w14:paraId="48FE251C" w14:textId="77777777" w:rsidR="00454A29" w:rsidRDefault="00454A29">
            <w:pPr>
              <w:pStyle w:val="ConsPlusNormal"/>
              <w:jc w:val="center"/>
            </w:pPr>
            <w:r>
              <w:t>15</w:t>
            </w:r>
          </w:p>
        </w:tc>
        <w:tc>
          <w:tcPr>
            <w:tcW w:w="3345" w:type="dxa"/>
            <w:vMerge w:val="restart"/>
            <w:vAlign w:val="center"/>
          </w:tcPr>
          <w:p w14:paraId="58E270B9" w14:textId="77777777" w:rsidR="00454A29" w:rsidRDefault="00454A29">
            <w:pPr>
              <w:pStyle w:val="ConsPlusNormal"/>
              <w:jc w:val="center"/>
            </w:pPr>
            <w:r>
              <w:t>Школа на 80 учащихся в с. Покровка</w:t>
            </w:r>
          </w:p>
        </w:tc>
        <w:tc>
          <w:tcPr>
            <w:tcW w:w="1701" w:type="dxa"/>
            <w:vAlign w:val="center"/>
          </w:tcPr>
          <w:p w14:paraId="020B42FA" w14:textId="77777777" w:rsidR="00454A29" w:rsidRDefault="00454A29">
            <w:pPr>
              <w:pStyle w:val="ConsPlusNormal"/>
              <w:jc w:val="center"/>
            </w:pPr>
            <w:r>
              <w:t>2020 - 2026 годы - всего</w:t>
            </w:r>
          </w:p>
        </w:tc>
        <w:tc>
          <w:tcPr>
            <w:tcW w:w="1417" w:type="dxa"/>
            <w:vMerge w:val="restart"/>
            <w:vAlign w:val="center"/>
          </w:tcPr>
          <w:p w14:paraId="0515152A" w14:textId="77777777" w:rsidR="00454A29" w:rsidRDefault="00454A29">
            <w:pPr>
              <w:pStyle w:val="ConsPlusNormal"/>
              <w:jc w:val="center"/>
            </w:pPr>
            <w:r>
              <w:t>290 022,29</w:t>
            </w:r>
          </w:p>
        </w:tc>
        <w:tc>
          <w:tcPr>
            <w:tcW w:w="2204" w:type="dxa"/>
            <w:vMerge w:val="restart"/>
            <w:vAlign w:val="center"/>
          </w:tcPr>
          <w:p w14:paraId="14D9A369" w14:textId="77777777" w:rsidR="00454A29" w:rsidRDefault="00454A29">
            <w:pPr>
              <w:pStyle w:val="ConsPlusNormal"/>
            </w:pPr>
          </w:p>
        </w:tc>
        <w:tc>
          <w:tcPr>
            <w:tcW w:w="1417" w:type="dxa"/>
            <w:vMerge w:val="restart"/>
            <w:vAlign w:val="center"/>
          </w:tcPr>
          <w:p w14:paraId="7C5EB19F" w14:textId="77777777" w:rsidR="00454A29" w:rsidRDefault="00454A29">
            <w:pPr>
              <w:pStyle w:val="ConsPlusNormal"/>
              <w:jc w:val="center"/>
            </w:pPr>
            <w:r>
              <w:t>80</w:t>
            </w:r>
          </w:p>
        </w:tc>
        <w:tc>
          <w:tcPr>
            <w:tcW w:w="2324" w:type="dxa"/>
            <w:vMerge w:val="restart"/>
            <w:vAlign w:val="center"/>
          </w:tcPr>
          <w:p w14:paraId="57D1247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D701F6E" w14:textId="77777777" w:rsidR="00454A29" w:rsidRDefault="00454A29">
            <w:pPr>
              <w:pStyle w:val="ConsPlusNormal"/>
              <w:jc w:val="center"/>
            </w:pPr>
            <w:r>
              <w:t>290 022,29</w:t>
            </w:r>
          </w:p>
        </w:tc>
        <w:tc>
          <w:tcPr>
            <w:tcW w:w="1814" w:type="dxa"/>
            <w:vAlign w:val="center"/>
          </w:tcPr>
          <w:p w14:paraId="217275A9" w14:textId="77777777" w:rsidR="00454A29" w:rsidRDefault="00454A29">
            <w:pPr>
              <w:pStyle w:val="ConsPlusNormal"/>
              <w:jc w:val="center"/>
            </w:pPr>
            <w:r>
              <w:t>2 900,22</w:t>
            </w:r>
          </w:p>
        </w:tc>
        <w:tc>
          <w:tcPr>
            <w:tcW w:w="1701" w:type="dxa"/>
            <w:vAlign w:val="center"/>
          </w:tcPr>
          <w:p w14:paraId="3F189ECC" w14:textId="77777777" w:rsidR="00454A29" w:rsidRDefault="00454A29">
            <w:pPr>
              <w:pStyle w:val="ConsPlusNormal"/>
              <w:jc w:val="center"/>
            </w:pPr>
            <w:r>
              <w:t>287 122,06</w:t>
            </w:r>
          </w:p>
        </w:tc>
        <w:tc>
          <w:tcPr>
            <w:tcW w:w="1701" w:type="dxa"/>
            <w:vAlign w:val="center"/>
          </w:tcPr>
          <w:p w14:paraId="2E90E01C" w14:textId="77777777" w:rsidR="00454A29" w:rsidRDefault="00454A29">
            <w:pPr>
              <w:pStyle w:val="ConsPlusNormal"/>
              <w:jc w:val="center"/>
            </w:pPr>
            <w:r>
              <w:t>-</w:t>
            </w:r>
          </w:p>
        </w:tc>
        <w:tc>
          <w:tcPr>
            <w:tcW w:w="1814" w:type="dxa"/>
            <w:vAlign w:val="center"/>
          </w:tcPr>
          <w:p w14:paraId="06F27083" w14:textId="77777777" w:rsidR="00454A29" w:rsidRDefault="00454A29">
            <w:pPr>
              <w:pStyle w:val="ConsPlusNormal"/>
              <w:jc w:val="center"/>
            </w:pPr>
            <w:r>
              <w:t>-</w:t>
            </w:r>
          </w:p>
        </w:tc>
      </w:tr>
      <w:tr w:rsidR="00454A29" w14:paraId="293FBC13" w14:textId="77777777">
        <w:tc>
          <w:tcPr>
            <w:tcW w:w="567" w:type="dxa"/>
            <w:vMerge/>
          </w:tcPr>
          <w:p w14:paraId="41A763AB" w14:textId="77777777" w:rsidR="00454A29" w:rsidRDefault="00454A29"/>
        </w:tc>
        <w:tc>
          <w:tcPr>
            <w:tcW w:w="3345" w:type="dxa"/>
            <w:vMerge/>
          </w:tcPr>
          <w:p w14:paraId="4DA77BD3" w14:textId="77777777" w:rsidR="00454A29" w:rsidRDefault="00454A29"/>
        </w:tc>
        <w:tc>
          <w:tcPr>
            <w:tcW w:w="1701" w:type="dxa"/>
            <w:vAlign w:val="center"/>
          </w:tcPr>
          <w:p w14:paraId="2D462C4A" w14:textId="77777777" w:rsidR="00454A29" w:rsidRDefault="00454A29">
            <w:pPr>
              <w:pStyle w:val="ConsPlusNormal"/>
              <w:jc w:val="center"/>
            </w:pPr>
            <w:r>
              <w:t>2020</w:t>
            </w:r>
          </w:p>
        </w:tc>
        <w:tc>
          <w:tcPr>
            <w:tcW w:w="1417" w:type="dxa"/>
            <w:vMerge/>
          </w:tcPr>
          <w:p w14:paraId="781DD62A" w14:textId="77777777" w:rsidR="00454A29" w:rsidRDefault="00454A29"/>
        </w:tc>
        <w:tc>
          <w:tcPr>
            <w:tcW w:w="2204" w:type="dxa"/>
            <w:vMerge/>
          </w:tcPr>
          <w:p w14:paraId="2BAE0DCF" w14:textId="77777777" w:rsidR="00454A29" w:rsidRDefault="00454A29"/>
        </w:tc>
        <w:tc>
          <w:tcPr>
            <w:tcW w:w="1417" w:type="dxa"/>
            <w:vMerge/>
          </w:tcPr>
          <w:p w14:paraId="4F547E1D" w14:textId="77777777" w:rsidR="00454A29" w:rsidRDefault="00454A29"/>
        </w:tc>
        <w:tc>
          <w:tcPr>
            <w:tcW w:w="2324" w:type="dxa"/>
            <w:vMerge/>
          </w:tcPr>
          <w:p w14:paraId="7776F60C" w14:textId="77777777" w:rsidR="00454A29" w:rsidRDefault="00454A29"/>
        </w:tc>
        <w:tc>
          <w:tcPr>
            <w:tcW w:w="1701" w:type="dxa"/>
            <w:vAlign w:val="center"/>
          </w:tcPr>
          <w:p w14:paraId="29CA308F" w14:textId="77777777" w:rsidR="00454A29" w:rsidRDefault="00454A29">
            <w:pPr>
              <w:pStyle w:val="ConsPlusNormal"/>
            </w:pPr>
          </w:p>
        </w:tc>
        <w:tc>
          <w:tcPr>
            <w:tcW w:w="1814" w:type="dxa"/>
            <w:vAlign w:val="center"/>
          </w:tcPr>
          <w:p w14:paraId="4CB59DB6" w14:textId="77777777" w:rsidR="00454A29" w:rsidRDefault="00454A29">
            <w:pPr>
              <w:pStyle w:val="ConsPlusNormal"/>
            </w:pPr>
          </w:p>
        </w:tc>
        <w:tc>
          <w:tcPr>
            <w:tcW w:w="1701" w:type="dxa"/>
            <w:vAlign w:val="center"/>
          </w:tcPr>
          <w:p w14:paraId="6E703F0F" w14:textId="77777777" w:rsidR="00454A29" w:rsidRDefault="00454A29">
            <w:pPr>
              <w:pStyle w:val="ConsPlusNormal"/>
            </w:pPr>
          </w:p>
        </w:tc>
        <w:tc>
          <w:tcPr>
            <w:tcW w:w="1701" w:type="dxa"/>
            <w:vAlign w:val="center"/>
          </w:tcPr>
          <w:p w14:paraId="63300A86" w14:textId="77777777" w:rsidR="00454A29" w:rsidRDefault="00454A29">
            <w:pPr>
              <w:pStyle w:val="ConsPlusNormal"/>
            </w:pPr>
          </w:p>
        </w:tc>
        <w:tc>
          <w:tcPr>
            <w:tcW w:w="1814" w:type="dxa"/>
            <w:vAlign w:val="center"/>
          </w:tcPr>
          <w:p w14:paraId="45109C0F" w14:textId="77777777" w:rsidR="00454A29" w:rsidRDefault="00454A29">
            <w:pPr>
              <w:pStyle w:val="ConsPlusNormal"/>
            </w:pPr>
          </w:p>
        </w:tc>
      </w:tr>
      <w:tr w:rsidR="00454A29" w14:paraId="57CDB776" w14:textId="77777777">
        <w:tc>
          <w:tcPr>
            <w:tcW w:w="567" w:type="dxa"/>
            <w:vMerge/>
          </w:tcPr>
          <w:p w14:paraId="0D1EE977" w14:textId="77777777" w:rsidR="00454A29" w:rsidRDefault="00454A29"/>
        </w:tc>
        <w:tc>
          <w:tcPr>
            <w:tcW w:w="3345" w:type="dxa"/>
            <w:vMerge/>
          </w:tcPr>
          <w:p w14:paraId="75EF356C" w14:textId="77777777" w:rsidR="00454A29" w:rsidRDefault="00454A29"/>
        </w:tc>
        <w:tc>
          <w:tcPr>
            <w:tcW w:w="1701" w:type="dxa"/>
            <w:vAlign w:val="center"/>
          </w:tcPr>
          <w:p w14:paraId="74E15D1A" w14:textId="77777777" w:rsidR="00454A29" w:rsidRDefault="00454A29">
            <w:pPr>
              <w:pStyle w:val="ConsPlusNormal"/>
              <w:jc w:val="center"/>
            </w:pPr>
            <w:r>
              <w:t>2021</w:t>
            </w:r>
          </w:p>
        </w:tc>
        <w:tc>
          <w:tcPr>
            <w:tcW w:w="1417" w:type="dxa"/>
            <w:vMerge/>
          </w:tcPr>
          <w:p w14:paraId="04BDABCE" w14:textId="77777777" w:rsidR="00454A29" w:rsidRDefault="00454A29"/>
        </w:tc>
        <w:tc>
          <w:tcPr>
            <w:tcW w:w="2204" w:type="dxa"/>
            <w:vMerge/>
          </w:tcPr>
          <w:p w14:paraId="7B74ACF6" w14:textId="77777777" w:rsidR="00454A29" w:rsidRDefault="00454A29"/>
        </w:tc>
        <w:tc>
          <w:tcPr>
            <w:tcW w:w="1417" w:type="dxa"/>
            <w:vMerge/>
          </w:tcPr>
          <w:p w14:paraId="461C633C" w14:textId="77777777" w:rsidR="00454A29" w:rsidRDefault="00454A29"/>
        </w:tc>
        <w:tc>
          <w:tcPr>
            <w:tcW w:w="2324" w:type="dxa"/>
            <w:vMerge/>
          </w:tcPr>
          <w:p w14:paraId="4A17D707" w14:textId="77777777" w:rsidR="00454A29" w:rsidRDefault="00454A29"/>
        </w:tc>
        <w:tc>
          <w:tcPr>
            <w:tcW w:w="1701" w:type="dxa"/>
            <w:vAlign w:val="center"/>
          </w:tcPr>
          <w:p w14:paraId="0FA10668" w14:textId="77777777" w:rsidR="00454A29" w:rsidRDefault="00454A29">
            <w:pPr>
              <w:pStyle w:val="ConsPlusNormal"/>
            </w:pPr>
          </w:p>
        </w:tc>
        <w:tc>
          <w:tcPr>
            <w:tcW w:w="1814" w:type="dxa"/>
            <w:vAlign w:val="center"/>
          </w:tcPr>
          <w:p w14:paraId="2F7F759C" w14:textId="77777777" w:rsidR="00454A29" w:rsidRDefault="00454A29">
            <w:pPr>
              <w:pStyle w:val="ConsPlusNormal"/>
            </w:pPr>
          </w:p>
        </w:tc>
        <w:tc>
          <w:tcPr>
            <w:tcW w:w="1701" w:type="dxa"/>
            <w:vAlign w:val="center"/>
          </w:tcPr>
          <w:p w14:paraId="47CFB37E" w14:textId="77777777" w:rsidR="00454A29" w:rsidRDefault="00454A29">
            <w:pPr>
              <w:pStyle w:val="ConsPlusNormal"/>
            </w:pPr>
          </w:p>
        </w:tc>
        <w:tc>
          <w:tcPr>
            <w:tcW w:w="1701" w:type="dxa"/>
            <w:vAlign w:val="center"/>
          </w:tcPr>
          <w:p w14:paraId="0625D01A" w14:textId="77777777" w:rsidR="00454A29" w:rsidRDefault="00454A29">
            <w:pPr>
              <w:pStyle w:val="ConsPlusNormal"/>
            </w:pPr>
          </w:p>
        </w:tc>
        <w:tc>
          <w:tcPr>
            <w:tcW w:w="1814" w:type="dxa"/>
            <w:vAlign w:val="center"/>
          </w:tcPr>
          <w:p w14:paraId="73AD3B6D" w14:textId="77777777" w:rsidR="00454A29" w:rsidRDefault="00454A29">
            <w:pPr>
              <w:pStyle w:val="ConsPlusNormal"/>
            </w:pPr>
          </w:p>
        </w:tc>
      </w:tr>
      <w:tr w:rsidR="00454A29" w14:paraId="1FB2427F" w14:textId="77777777">
        <w:tc>
          <w:tcPr>
            <w:tcW w:w="567" w:type="dxa"/>
            <w:vMerge/>
          </w:tcPr>
          <w:p w14:paraId="0A04153E" w14:textId="77777777" w:rsidR="00454A29" w:rsidRDefault="00454A29"/>
        </w:tc>
        <w:tc>
          <w:tcPr>
            <w:tcW w:w="3345" w:type="dxa"/>
            <w:vMerge/>
          </w:tcPr>
          <w:p w14:paraId="59AFAA2A" w14:textId="77777777" w:rsidR="00454A29" w:rsidRDefault="00454A29"/>
        </w:tc>
        <w:tc>
          <w:tcPr>
            <w:tcW w:w="1701" w:type="dxa"/>
            <w:vAlign w:val="center"/>
          </w:tcPr>
          <w:p w14:paraId="431FE167" w14:textId="77777777" w:rsidR="00454A29" w:rsidRDefault="00454A29">
            <w:pPr>
              <w:pStyle w:val="ConsPlusNormal"/>
              <w:jc w:val="center"/>
            </w:pPr>
            <w:r>
              <w:t>2022</w:t>
            </w:r>
          </w:p>
        </w:tc>
        <w:tc>
          <w:tcPr>
            <w:tcW w:w="1417" w:type="dxa"/>
            <w:vMerge/>
          </w:tcPr>
          <w:p w14:paraId="39170595" w14:textId="77777777" w:rsidR="00454A29" w:rsidRDefault="00454A29"/>
        </w:tc>
        <w:tc>
          <w:tcPr>
            <w:tcW w:w="2204" w:type="dxa"/>
            <w:vMerge/>
          </w:tcPr>
          <w:p w14:paraId="433E04D0" w14:textId="77777777" w:rsidR="00454A29" w:rsidRDefault="00454A29"/>
        </w:tc>
        <w:tc>
          <w:tcPr>
            <w:tcW w:w="1417" w:type="dxa"/>
            <w:vMerge/>
          </w:tcPr>
          <w:p w14:paraId="3D4B77AE" w14:textId="77777777" w:rsidR="00454A29" w:rsidRDefault="00454A29"/>
        </w:tc>
        <w:tc>
          <w:tcPr>
            <w:tcW w:w="2324" w:type="dxa"/>
            <w:vMerge/>
          </w:tcPr>
          <w:p w14:paraId="133B1911" w14:textId="77777777" w:rsidR="00454A29" w:rsidRDefault="00454A29"/>
        </w:tc>
        <w:tc>
          <w:tcPr>
            <w:tcW w:w="1701" w:type="dxa"/>
            <w:vAlign w:val="center"/>
          </w:tcPr>
          <w:p w14:paraId="5D3D6642" w14:textId="77777777" w:rsidR="00454A29" w:rsidRDefault="00454A29">
            <w:pPr>
              <w:pStyle w:val="ConsPlusNormal"/>
            </w:pPr>
          </w:p>
        </w:tc>
        <w:tc>
          <w:tcPr>
            <w:tcW w:w="1814" w:type="dxa"/>
            <w:vAlign w:val="center"/>
          </w:tcPr>
          <w:p w14:paraId="1788DDF3" w14:textId="77777777" w:rsidR="00454A29" w:rsidRDefault="00454A29">
            <w:pPr>
              <w:pStyle w:val="ConsPlusNormal"/>
            </w:pPr>
          </w:p>
        </w:tc>
        <w:tc>
          <w:tcPr>
            <w:tcW w:w="1701" w:type="dxa"/>
            <w:vAlign w:val="center"/>
          </w:tcPr>
          <w:p w14:paraId="78B7834C" w14:textId="77777777" w:rsidR="00454A29" w:rsidRDefault="00454A29">
            <w:pPr>
              <w:pStyle w:val="ConsPlusNormal"/>
            </w:pPr>
          </w:p>
        </w:tc>
        <w:tc>
          <w:tcPr>
            <w:tcW w:w="1701" w:type="dxa"/>
            <w:vAlign w:val="center"/>
          </w:tcPr>
          <w:p w14:paraId="3334FA83" w14:textId="77777777" w:rsidR="00454A29" w:rsidRDefault="00454A29">
            <w:pPr>
              <w:pStyle w:val="ConsPlusNormal"/>
            </w:pPr>
          </w:p>
        </w:tc>
        <w:tc>
          <w:tcPr>
            <w:tcW w:w="1814" w:type="dxa"/>
            <w:vAlign w:val="center"/>
          </w:tcPr>
          <w:p w14:paraId="127B4FD4" w14:textId="77777777" w:rsidR="00454A29" w:rsidRDefault="00454A29">
            <w:pPr>
              <w:pStyle w:val="ConsPlusNormal"/>
            </w:pPr>
          </w:p>
        </w:tc>
      </w:tr>
      <w:tr w:rsidR="00454A29" w14:paraId="52F46507" w14:textId="77777777">
        <w:tc>
          <w:tcPr>
            <w:tcW w:w="567" w:type="dxa"/>
            <w:vMerge/>
          </w:tcPr>
          <w:p w14:paraId="14ADCABF" w14:textId="77777777" w:rsidR="00454A29" w:rsidRDefault="00454A29"/>
        </w:tc>
        <w:tc>
          <w:tcPr>
            <w:tcW w:w="3345" w:type="dxa"/>
            <w:vMerge/>
          </w:tcPr>
          <w:p w14:paraId="6A47B53C" w14:textId="77777777" w:rsidR="00454A29" w:rsidRDefault="00454A29"/>
        </w:tc>
        <w:tc>
          <w:tcPr>
            <w:tcW w:w="1701" w:type="dxa"/>
            <w:vAlign w:val="center"/>
          </w:tcPr>
          <w:p w14:paraId="5C00B34F" w14:textId="77777777" w:rsidR="00454A29" w:rsidRDefault="00454A29">
            <w:pPr>
              <w:pStyle w:val="ConsPlusNormal"/>
              <w:jc w:val="center"/>
            </w:pPr>
            <w:r>
              <w:t>2023</w:t>
            </w:r>
          </w:p>
        </w:tc>
        <w:tc>
          <w:tcPr>
            <w:tcW w:w="1417" w:type="dxa"/>
            <w:vMerge/>
          </w:tcPr>
          <w:p w14:paraId="21EBC8D9" w14:textId="77777777" w:rsidR="00454A29" w:rsidRDefault="00454A29"/>
        </w:tc>
        <w:tc>
          <w:tcPr>
            <w:tcW w:w="2204" w:type="dxa"/>
            <w:vMerge/>
          </w:tcPr>
          <w:p w14:paraId="6D84FCEE" w14:textId="77777777" w:rsidR="00454A29" w:rsidRDefault="00454A29"/>
        </w:tc>
        <w:tc>
          <w:tcPr>
            <w:tcW w:w="1417" w:type="dxa"/>
            <w:vMerge/>
          </w:tcPr>
          <w:p w14:paraId="21E816F9" w14:textId="77777777" w:rsidR="00454A29" w:rsidRDefault="00454A29"/>
        </w:tc>
        <w:tc>
          <w:tcPr>
            <w:tcW w:w="2324" w:type="dxa"/>
            <w:vMerge/>
          </w:tcPr>
          <w:p w14:paraId="5FC60022" w14:textId="77777777" w:rsidR="00454A29" w:rsidRDefault="00454A29"/>
        </w:tc>
        <w:tc>
          <w:tcPr>
            <w:tcW w:w="1701" w:type="dxa"/>
            <w:vAlign w:val="center"/>
          </w:tcPr>
          <w:p w14:paraId="4A000299" w14:textId="77777777" w:rsidR="00454A29" w:rsidRDefault="00454A29">
            <w:pPr>
              <w:pStyle w:val="ConsPlusNormal"/>
            </w:pPr>
          </w:p>
        </w:tc>
        <w:tc>
          <w:tcPr>
            <w:tcW w:w="1814" w:type="dxa"/>
            <w:vAlign w:val="center"/>
          </w:tcPr>
          <w:p w14:paraId="7D709726" w14:textId="77777777" w:rsidR="00454A29" w:rsidRDefault="00454A29">
            <w:pPr>
              <w:pStyle w:val="ConsPlusNormal"/>
            </w:pPr>
          </w:p>
        </w:tc>
        <w:tc>
          <w:tcPr>
            <w:tcW w:w="1701" w:type="dxa"/>
            <w:vAlign w:val="center"/>
          </w:tcPr>
          <w:p w14:paraId="63637866" w14:textId="77777777" w:rsidR="00454A29" w:rsidRDefault="00454A29">
            <w:pPr>
              <w:pStyle w:val="ConsPlusNormal"/>
            </w:pPr>
          </w:p>
        </w:tc>
        <w:tc>
          <w:tcPr>
            <w:tcW w:w="1701" w:type="dxa"/>
            <w:vAlign w:val="center"/>
          </w:tcPr>
          <w:p w14:paraId="7A0EDAF6" w14:textId="77777777" w:rsidR="00454A29" w:rsidRDefault="00454A29">
            <w:pPr>
              <w:pStyle w:val="ConsPlusNormal"/>
            </w:pPr>
          </w:p>
        </w:tc>
        <w:tc>
          <w:tcPr>
            <w:tcW w:w="1814" w:type="dxa"/>
            <w:vAlign w:val="center"/>
          </w:tcPr>
          <w:p w14:paraId="26F2FD83" w14:textId="77777777" w:rsidR="00454A29" w:rsidRDefault="00454A29">
            <w:pPr>
              <w:pStyle w:val="ConsPlusNormal"/>
            </w:pPr>
          </w:p>
        </w:tc>
      </w:tr>
      <w:tr w:rsidR="00454A29" w14:paraId="4BBB939F" w14:textId="77777777">
        <w:tc>
          <w:tcPr>
            <w:tcW w:w="567" w:type="dxa"/>
            <w:vMerge/>
          </w:tcPr>
          <w:p w14:paraId="04D4A09A" w14:textId="77777777" w:rsidR="00454A29" w:rsidRDefault="00454A29"/>
        </w:tc>
        <w:tc>
          <w:tcPr>
            <w:tcW w:w="3345" w:type="dxa"/>
            <w:vMerge/>
          </w:tcPr>
          <w:p w14:paraId="6C21EC5D" w14:textId="77777777" w:rsidR="00454A29" w:rsidRDefault="00454A29"/>
        </w:tc>
        <w:tc>
          <w:tcPr>
            <w:tcW w:w="1701" w:type="dxa"/>
            <w:vAlign w:val="center"/>
          </w:tcPr>
          <w:p w14:paraId="6C75A35E" w14:textId="77777777" w:rsidR="00454A29" w:rsidRDefault="00454A29">
            <w:pPr>
              <w:pStyle w:val="ConsPlusNormal"/>
              <w:jc w:val="center"/>
            </w:pPr>
            <w:r>
              <w:t>2024</w:t>
            </w:r>
          </w:p>
        </w:tc>
        <w:tc>
          <w:tcPr>
            <w:tcW w:w="1417" w:type="dxa"/>
            <w:vMerge/>
          </w:tcPr>
          <w:p w14:paraId="78094974" w14:textId="77777777" w:rsidR="00454A29" w:rsidRDefault="00454A29"/>
        </w:tc>
        <w:tc>
          <w:tcPr>
            <w:tcW w:w="2204" w:type="dxa"/>
            <w:vMerge/>
          </w:tcPr>
          <w:p w14:paraId="1753CE2B" w14:textId="77777777" w:rsidR="00454A29" w:rsidRDefault="00454A29"/>
        </w:tc>
        <w:tc>
          <w:tcPr>
            <w:tcW w:w="1417" w:type="dxa"/>
            <w:vMerge/>
          </w:tcPr>
          <w:p w14:paraId="0519182C" w14:textId="77777777" w:rsidR="00454A29" w:rsidRDefault="00454A29"/>
        </w:tc>
        <w:tc>
          <w:tcPr>
            <w:tcW w:w="2324" w:type="dxa"/>
            <w:vMerge/>
          </w:tcPr>
          <w:p w14:paraId="2EC10D94" w14:textId="77777777" w:rsidR="00454A29" w:rsidRDefault="00454A29"/>
        </w:tc>
        <w:tc>
          <w:tcPr>
            <w:tcW w:w="1701" w:type="dxa"/>
            <w:vAlign w:val="center"/>
          </w:tcPr>
          <w:p w14:paraId="3F32A615" w14:textId="77777777" w:rsidR="00454A29" w:rsidRDefault="00454A29">
            <w:pPr>
              <w:pStyle w:val="ConsPlusNormal"/>
            </w:pPr>
          </w:p>
        </w:tc>
        <w:tc>
          <w:tcPr>
            <w:tcW w:w="1814" w:type="dxa"/>
            <w:vAlign w:val="center"/>
          </w:tcPr>
          <w:p w14:paraId="151A39C4" w14:textId="77777777" w:rsidR="00454A29" w:rsidRDefault="00454A29">
            <w:pPr>
              <w:pStyle w:val="ConsPlusNormal"/>
            </w:pPr>
          </w:p>
        </w:tc>
        <w:tc>
          <w:tcPr>
            <w:tcW w:w="1701" w:type="dxa"/>
            <w:vAlign w:val="center"/>
          </w:tcPr>
          <w:p w14:paraId="2A26C848" w14:textId="77777777" w:rsidR="00454A29" w:rsidRDefault="00454A29">
            <w:pPr>
              <w:pStyle w:val="ConsPlusNormal"/>
            </w:pPr>
          </w:p>
        </w:tc>
        <w:tc>
          <w:tcPr>
            <w:tcW w:w="1701" w:type="dxa"/>
            <w:vAlign w:val="center"/>
          </w:tcPr>
          <w:p w14:paraId="2CDE2EDA" w14:textId="77777777" w:rsidR="00454A29" w:rsidRDefault="00454A29">
            <w:pPr>
              <w:pStyle w:val="ConsPlusNormal"/>
            </w:pPr>
          </w:p>
        </w:tc>
        <w:tc>
          <w:tcPr>
            <w:tcW w:w="1814" w:type="dxa"/>
            <w:vAlign w:val="center"/>
          </w:tcPr>
          <w:p w14:paraId="62B8199D" w14:textId="77777777" w:rsidR="00454A29" w:rsidRDefault="00454A29">
            <w:pPr>
              <w:pStyle w:val="ConsPlusNormal"/>
            </w:pPr>
          </w:p>
        </w:tc>
      </w:tr>
      <w:tr w:rsidR="00454A29" w14:paraId="70AB2469" w14:textId="77777777">
        <w:tc>
          <w:tcPr>
            <w:tcW w:w="567" w:type="dxa"/>
            <w:vMerge/>
          </w:tcPr>
          <w:p w14:paraId="761B10B4" w14:textId="77777777" w:rsidR="00454A29" w:rsidRDefault="00454A29"/>
        </w:tc>
        <w:tc>
          <w:tcPr>
            <w:tcW w:w="3345" w:type="dxa"/>
            <w:vMerge/>
          </w:tcPr>
          <w:p w14:paraId="075CB059" w14:textId="77777777" w:rsidR="00454A29" w:rsidRDefault="00454A29"/>
        </w:tc>
        <w:tc>
          <w:tcPr>
            <w:tcW w:w="1701" w:type="dxa"/>
            <w:vAlign w:val="center"/>
          </w:tcPr>
          <w:p w14:paraId="09E5E9A0" w14:textId="77777777" w:rsidR="00454A29" w:rsidRDefault="00454A29">
            <w:pPr>
              <w:pStyle w:val="ConsPlusNormal"/>
              <w:jc w:val="center"/>
            </w:pPr>
            <w:r>
              <w:t>2025</w:t>
            </w:r>
          </w:p>
        </w:tc>
        <w:tc>
          <w:tcPr>
            <w:tcW w:w="1417" w:type="dxa"/>
            <w:vMerge/>
          </w:tcPr>
          <w:p w14:paraId="544067CE" w14:textId="77777777" w:rsidR="00454A29" w:rsidRDefault="00454A29"/>
        </w:tc>
        <w:tc>
          <w:tcPr>
            <w:tcW w:w="2204" w:type="dxa"/>
            <w:vMerge/>
          </w:tcPr>
          <w:p w14:paraId="45DB2B05" w14:textId="77777777" w:rsidR="00454A29" w:rsidRDefault="00454A29"/>
        </w:tc>
        <w:tc>
          <w:tcPr>
            <w:tcW w:w="1417" w:type="dxa"/>
            <w:vMerge/>
          </w:tcPr>
          <w:p w14:paraId="040E28D9" w14:textId="77777777" w:rsidR="00454A29" w:rsidRDefault="00454A29"/>
        </w:tc>
        <w:tc>
          <w:tcPr>
            <w:tcW w:w="2324" w:type="dxa"/>
            <w:vMerge/>
          </w:tcPr>
          <w:p w14:paraId="2E41D1FE" w14:textId="77777777" w:rsidR="00454A29" w:rsidRDefault="00454A29"/>
        </w:tc>
        <w:tc>
          <w:tcPr>
            <w:tcW w:w="1701" w:type="dxa"/>
            <w:vAlign w:val="center"/>
          </w:tcPr>
          <w:p w14:paraId="2E21C9DA" w14:textId="77777777" w:rsidR="00454A29" w:rsidRDefault="00454A29">
            <w:pPr>
              <w:pStyle w:val="ConsPlusNormal"/>
            </w:pPr>
          </w:p>
        </w:tc>
        <w:tc>
          <w:tcPr>
            <w:tcW w:w="1814" w:type="dxa"/>
            <w:vAlign w:val="center"/>
          </w:tcPr>
          <w:p w14:paraId="61497C19" w14:textId="77777777" w:rsidR="00454A29" w:rsidRDefault="00454A29">
            <w:pPr>
              <w:pStyle w:val="ConsPlusNormal"/>
            </w:pPr>
          </w:p>
        </w:tc>
        <w:tc>
          <w:tcPr>
            <w:tcW w:w="1701" w:type="dxa"/>
            <w:vAlign w:val="center"/>
          </w:tcPr>
          <w:p w14:paraId="5B2AA4FF" w14:textId="77777777" w:rsidR="00454A29" w:rsidRDefault="00454A29">
            <w:pPr>
              <w:pStyle w:val="ConsPlusNormal"/>
            </w:pPr>
          </w:p>
        </w:tc>
        <w:tc>
          <w:tcPr>
            <w:tcW w:w="1701" w:type="dxa"/>
            <w:vAlign w:val="center"/>
          </w:tcPr>
          <w:p w14:paraId="0E08A348" w14:textId="77777777" w:rsidR="00454A29" w:rsidRDefault="00454A29">
            <w:pPr>
              <w:pStyle w:val="ConsPlusNormal"/>
            </w:pPr>
          </w:p>
        </w:tc>
        <w:tc>
          <w:tcPr>
            <w:tcW w:w="1814" w:type="dxa"/>
            <w:vAlign w:val="center"/>
          </w:tcPr>
          <w:p w14:paraId="7C6CB00F" w14:textId="77777777" w:rsidR="00454A29" w:rsidRDefault="00454A29">
            <w:pPr>
              <w:pStyle w:val="ConsPlusNormal"/>
            </w:pPr>
          </w:p>
        </w:tc>
      </w:tr>
      <w:tr w:rsidR="00454A29" w14:paraId="5055947D" w14:textId="77777777">
        <w:tc>
          <w:tcPr>
            <w:tcW w:w="567" w:type="dxa"/>
            <w:vMerge/>
          </w:tcPr>
          <w:p w14:paraId="70A0BED0" w14:textId="77777777" w:rsidR="00454A29" w:rsidRDefault="00454A29"/>
        </w:tc>
        <w:tc>
          <w:tcPr>
            <w:tcW w:w="3345" w:type="dxa"/>
            <w:vMerge/>
          </w:tcPr>
          <w:p w14:paraId="61C51657" w14:textId="77777777" w:rsidR="00454A29" w:rsidRDefault="00454A29"/>
        </w:tc>
        <w:tc>
          <w:tcPr>
            <w:tcW w:w="1701" w:type="dxa"/>
            <w:vAlign w:val="center"/>
          </w:tcPr>
          <w:p w14:paraId="60F6ED48" w14:textId="77777777" w:rsidR="00454A29" w:rsidRDefault="00454A29">
            <w:pPr>
              <w:pStyle w:val="ConsPlusNormal"/>
              <w:jc w:val="center"/>
            </w:pPr>
            <w:r>
              <w:t>2026</w:t>
            </w:r>
          </w:p>
        </w:tc>
        <w:tc>
          <w:tcPr>
            <w:tcW w:w="1417" w:type="dxa"/>
            <w:vMerge/>
          </w:tcPr>
          <w:p w14:paraId="7BF9CFA6" w14:textId="77777777" w:rsidR="00454A29" w:rsidRDefault="00454A29"/>
        </w:tc>
        <w:tc>
          <w:tcPr>
            <w:tcW w:w="2204" w:type="dxa"/>
            <w:vMerge/>
          </w:tcPr>
          <w:p w14:paraId="39A0141B" w14:textId="77777777" w:rsidR="00454A29" w:rsidRDefault="00454A29"/>
        </w:tc>
        <w:tc>
          <w:tcPr>
            <w:tcW w:w="1417" w:type="dxa"/>
            <w:vMerge/>
          </w:tcPr>
          <w:p w14:paraId="4D3032F0" w14:textId="77777777" w:rsidR="00454A29" w:rsidRDefault="00454A29"/>
        </w:tc>
        <w:tc>
          <w:tcPr>
            <w:tcW w:w="2324" w:type="dxa"/>
            <w:vMerge/>
          </w:tcPr>
          <w:p w14:paraId="4D1F06F1" w14:textId="77777777" w:rsidR="00454A29" w:rsidRDefault="00454A29"/>
        </w:tc>
        <w:tc>
          <w:tcPr>
            <w:tcW w:w="1701" w:type="dxa"/>
            <w:vAlign w:val="center"/>
          </w:tcPr>
          <w:p w14:paraId="3A5A18A7" w14:textId="77777777" w:rsidR="00454A29" w:rsidRDefault="00454A29">
            <w:pPr>
              <w:pStyle w:val="ConsPlusNormal"/>
              <w:jc w:val="center"/>
            </w:pPr>
            <w:r>
              <w:t>290 022,29</w:t>
            </w:r>
          </w:p>
        </w:tc>
        <w:tc>
          <w:tcPr>
            <w:tcW w:w="1814" w:type="dxa"/>
            <w:vAlign w:val="center"/>
          </w:tcPr>
          <w:p w14:paraId="2D7094FD" w14:textId="77777777" w:rsidR="00454A29" w:rsidRDefault="00454A29">
            <w:pPr>
              <w:pStyle w:val="ConsPlusNormal"/>
              <w:jc w:val="center"/>
            </w:pPr>
            <w:r>
              <w:t>2 900,22</w:t>
            </w:r>
          </w:p>
        </w:tc>
        <w:tc>
          <w:tcPr>
            <w:tcW w:w="1701" w:type="dxa"/>
            <w:vAlign w:val="center"/>
          </w:tcPr>
          <w:p w14:paraId="53106AFA" w14:textId="77777777" w:rsidR="00454A29" w:rsidRDefault="00454A29">
            <w:pPr>
              <w:pStyle w:val="ConsPlusNormal"/>
              <w:jc w:val="center"/>
            </w:pPr>
            <w:r>
              <w:t>287 122,06</w:t>
            </w:r>
          </w:p>
        </w:tc>
        <w:tc>
          <w:tcPr>
            <w:tcW w:w="1701" w:type="dxa"/>
            <w:vAlign w:val="center"/>
          </w:tcPr>
          <w:p w14:paraId="37E4D415" w14:textId="77777777" w:rsidR="00454A29" w:rsidRDefault="00454A29">
            <w:pPr>
              <w:pStyle w:val="ConsPlusNormal"/>
            </w:pPr>
          </w:p>
        </w:tc>
        <w:tc>
          <w:tcPr>
            <w:tcW w:w="1814" w:type="dxa"/>
            <w:vAlign w:val="center"/>
          </w:tcPr>
          <w:p w14:paraId="60A90C9C" w14:textId="77777777" w:rsidR="00454A29" w:rsidRDefault="00454A29">
            <w:pPr>
              <w:pStyle w:val="ConsPlusNormal"/>
            </w:pPr>
          </w:p>
        </w:tc>
      </w:tr>
      <w:tr w:rsidR="00454A29" w14:paraId="122AB68C" w14:textId="77777777">
        <w:tc>
          <w:tcPr>
            <w:tcW w:w="567" w:type="dxa"/>
            <w:vMerge w:val="restart"/>
            <w:vAlign w:val="center"/>
          </w:tcPr>
          <w:p w14:paraId="7E2E54C0" w14:textId="77777777" w:rsidR="00454A29" w:rsidRDefault="00454A29">
            <w:pPr>
              <w:pStyle w:val="ConsPlusNormal"/>
              <w:jc w:val="center"/>
            </w:pPr>
            <w:r>
              <w:t>16</w:t>
            </w:r>
          </w:p>
        </w:tc>
        <w:tc>
          <w:tcPr>
            <w:tcW w:w="3345" w:type="dxa"/>
            <w:vMerge w:val="restart"/>
            <w:vAlign w:val="center"/>
          </w:tcPr>
          <w:p w14:paraId="527645AE" w14:textId="77777777" w:rsidR="00454A29" w:rsidRDefault="00454A29">
            <w:pPr>
              <w:pStyle w:val="ConsPlusNormal"/>
              <w:jc w:val="center"/>
            </w:pPr>
            <w:r>
              <w:t>Школа на 100 учащихся в с. Сатагай</w:t>
            </w:r>
          </w:p>
        </w:tc>
        <w:tc>
          <w:tcPr>
            <w:tcW w:w="1701" w:type="dxa"/>
            <w:vAlign w:val="center"/>
          </w:tcPr>
          <w:p w14:paraId="1E5C0ED6" w14:textId="77777777" w:rsidR="00454A29" w:rsidRDefault="00454A29">
            <w:pPr>
              <w:pStyle w:val="ConsPlusNormal"/>
              <w:jc w:val="center"/>
            </w:pPr>
            <w:r>
              <w:t>2020 - 2026 годы - всего</w:t>
            </w:r>
          </w:p>
        </w:tc>
        <w:tc>
          <w:tcPr>
            <w:tcW w:w="1417" w:type="dxa"/>
            <w:vMerge w:val="restart"/>
            <w:vAlign w:val="center"/>
          </w:tcPr>
          <w:p w14:paraId="4CB1ED6D" w14:textId="77777777" w:rsidR="00454A29" w:rsidRDefault="00454A29">
            <w:pPr>
              <w:pStyle w:val="ConsPlusNormal"/>
              <w:jc w:val="center"/>
            </w:pPr>
            <w:r>
              <w:t>367 824,52</w:t>
            </w:r>
          </w:p>
        </w:tc>
        <w:tc>
          <w:tcPr>
            <w:tcW w:w="2204" w:type="dxa"/>
            <w:vMerge w:val="restart"/>
            <w:vAlign w:val="center"/>
          </w:tcPr>
          <w:p w14:paraId="60EE4596" w14:textId="77777777" w:rsidR="00454A29" w:rsidRDefault="00454A29">
            <w:pPr>
              <w:pStyle w:val="ConsPlusNormal"/>
            </w:pPr>
          </w:p>
        </w:tc>
        <w:tc>
          <w:tcPr>
            <w:tcW w:w="1417" w:type="dxa"/>
            <w:vMerge w:val="restart"/>
            <w:vAlign w:val="center"/>
          </w:tcPr>
          <w:p w14:paraId="2FF08746" w14:textId="77777777" w:rsidR="00454A29" w:rsidRDefault="00454A29">
            <w:pPr>
              <w:pStyle w:val="ConsPlusNormal"/>
              <w:jc w:val="center"/>
            </w:pPr>
            <w:r>
              <w:t>100</w:t>
            </w:r>
          </w:p>
        </w:tc>
        <w:tc>
          <w:tcPr>
            <w:tcW w:w="2324" w:type="dxa"/>
            <w:vMerge w:val="restart"/>
            <w:vAlign w:val="center"/>
          </w:tcPr>
          <w:p w14:paraId="398264F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A683E15" w14:textId="77777777" w:rsidR="00454A29" w:rsidRDefault="00454A29">
            <w:pPr>
              <w:pStyle w:val="ConsPlusNormal"/>
              <w:jc w:val="center"/>
            </w:pPr>
            <w:r>
              <w:t>367 824,52</w:t>
            </w:r>
          </w:p>
        </w:tc>
        <w:tc>
          <w:tcPr>
            <w:tcW w:w="1814" w:type="dxa"/>
            <w:vAlign w:val="center"/>
          </w:tcPr>
          <w:p w14:paraId="6C228A1C" w14:textId="77777777" w:rsidR="00454A29" w:rsidRDefault="00454A29">
            <w:pPr>
              <w:pStyle w:val="ConsPlusNormal"/>
              <w:jc w:val="center"/>
            </w:pPr>
            <w:r>
              <w:t>4 531,60</w:t>
            </w:r>
          </w:p>
        </w:tc>
        <w:tc>
          <w:tcPr>
            <w:tcW w:w="1701" w:type="dxa"/>
            <w:vAlign w:val="center"/>
          </w:tcPr>
          <w:p w14:paraId="04195640" w14:textId="77777777" w:rsidR="00454A29" w:rsidRDefault="00454A29">
            <w:pPr>
              <w:pStyle w:val="ConsPlusNormal"/>
              <w:jc w:val="center"/>
            </w:pPr>
            <w:r>
              <w:t>448 628,22</w:t>
            </w:r>
          </w:p>
        </w:tc>
        <w:tc>
          <w:tcPr>
            <w:tcW w:w="1701" w:type="dxa"/>
            <w:vAlign w:val="center"/>
          </w:tcPr>
          <w:p w14:paraId="5B0E9550" w14:textId="77777777" w:rsidR="00454A29" w:rsidRDefault="00454A29">
            <w:pPr>
              <w:pStyle w:val="ConsPlusNormal"/>
              <w:jc w:val="center"/>
            </w:pPr>
            <w:r>
              <w:t>-</w:t>
            </w:r>
          </w:p>
        </w:tc>
        <w:tc>
          <w:tcPr>
            <w:tcW w:w="1814" w:type="dxa"/>
            <w:vAlign w:val="center"/>
          </w:tcPr>
          <w:p w14:paraId="59830384" w14:textId="77777777" w:rsidR="00454A29" w:rsidRDefault="00454A29">
            <w:pPr>
              <w:pStyle w:val="ConsPlusNormal"/>
              <w:jc w:val="center"/>
            </w:pPr>
            <w:r>
              <w:t>-</w:t>
            </w:r>
          </w:p>
        </w:tc>
      </w:tr>
      <w:tr w:rsidR="00454A29" w14:paraId="258872D4" w14:textId="77777777">
        <w:tc>
          <w:tcPr>
            <w:tcW w:w="567" w:type="dxa"/>
            <w:vMerge/>
          </w:tcPr>
          <w:p w14:paraId="0BA9D94D" w14:textId="77777777" w:rsidR="00454A29" w:rsidRDefault="00454A29"/>
        </w:tc>
        <w:tc>
          <w:tcPr>
            <w:tcW w:w="3345" w:type="dxa"/>
            <w:vMerge/>
          </w:tcPr>
          <w:p w14:paraId="0E021A8B" w14:textId="77777777" w:rsidR="00454A29" w:rsidRDefault="00454A29"/>
        </w:tc>
        <w:tc>
          <w:tcPr>
            <w:tcW w:w="1701" w:type="dxa"/>
            <w:vAlign w:val="center"/>
          </w:tcPr>
          <w:p w14:paraId="01C1097C" w14:textId="77777777" w:rsidR="00454A29" w:rsidRDefault="00454A29">
            <w:pPr>
              <w:pStyle w:val="ConsPlusNormal"/>
              <w:jc w:val="center"/>
            </w:pPr>
            <w:r>
              <w:t>2020</w:t>
            </w:r>
          </w:p>
        </w:tc>
        <w:tc>
          <w:tcPr>
            <w:tcW w:w="1417" w:type="dxa"/>
            <w:vMerge/>
          </w:tcPr>
          <w:p w14:paraId="65959C5B" w14:textId="77777777" w:rsidR="00454A29" w:rsidRDefault="00454A29"/>
        </w:tc>
        <w:tc>
          <w:tcPr>
            <w:tcW w:w="2204" w:type="dxa"/>
            <w:vMerge/>
          </w:tcPr>
          <w:p w14:paraId="379C45C0" w14:textId="77777777" w:rsidR="00454A29" w:rsidRDefault="00454A29"/>
        </w:tc>
        <w:tc>
          <w:tcPr>
            <w:tcW w:w="1417" w:type="dxa"/>
            <w:vMerge/>
          </w:tcPr>
          <w:p w14:paraId="012C9671" w14:textId="77777777" w:rsidR="00454A29" w:rsidRDefault="00454A29"/>
        </w:tc>
        <w:tc>
          <w:tcPr>
            <w:tcW w:w="2324" w:type="dxa"/>
            <w:vMerge/>
          </w:tcPr>
          <w:p w14:paraId="26942FAA" w14:textId="77777777" w:rsidR="00454A29" w:rsidRDefault="00454A29"/>
        </w:tc>
        <w:tc>
          <w:tcPr>
            <w:tcW w:w="1701" w:type="dxa"/>
            <w:vAlign w:val="center"/>
          </w:tcPr>
          <w:p w14:paraId="1DF55298" w14:textId="77777777" w:rsidR="00454A29" w:rsidRDefault="00454A29">
            <w:pPr>
              <w:pStyle w:val="ConsPlusNormal"/>
            </w:pPr>
          </w:p>
        </w:tc>
        <w:tc>
          <w:tcPr>
            <w:tcW w:w="1814" w:type="dxa"/>
            <w:vAlign w:val="center"/>
          </w:tcPr>
          <w:p w14:paraId="676E5B49" w14:textId="77777777" w:rsidR="00454A29" w:rsidRDefault="00454A29">
            <w:pPr>
              <w:pStyle w:val="ConsPlusNormal"/>
            </w:pPr>
          </w:p>
        </w:tc>
        <w:tc>
          <w:tcPr>
            <w:tcW w:w="1701" w:type="dxa"/>
            <w:vAlign w:val="center"/>
          </w:tcPr>
          <w:p w14:paraId="0FB0DB59" w14:textId="77777777" w:rsidR="00454A29" w:rsidRDefault="00454A29">
            <w:pPr>
              <w:pStyle w:val="ConsPlusNormal"/>
            </w:pPr>
          </w:p>
        </w:tc>
        <w:tc>
          <w:tcPr>
            <w:tcW w:w="1701" w:type="dxa"/>
            <w:vAlign w:val="center"/>
          </w:tcPr>
          <w:p w14:paraId="0EDB9CA2" w14:textId="77777777" w:rsidR="00454A29" w:rsidRDefault="00454A29">
            <w:pPr>
              <w:pStyle w:val="ConsPlusNormal"/>
            </w:pPr>
          </w:p>
        </w:tc>
        <w:tc>
          <w:tcPr>
            <w:tcW w:w="1814" w:type="dxa"/>
            <w:vAlign w:val="center"/>
          </w:tcPr>
          <w:p w14:paraId="1A14A847" w14:textId="77777777" w:rsidR="00454A29" w:rsidRDefault="00454A29">
            <w:pPr>
              <w:pStyle w:val="ConsPlusNormal"/>
            </w:pPr>
          </w:p>
        </w:tc>
      </w:tr>
      <w:tr w:rsidR="00454A29" w14:paraId="06FB65F2" w14:textId="77777777">
        <w:tc>
          <w:tcPr>
            <w:tcW w:w="567" w:type="dxa"/>
            <w:vMerge/>
          </w:tcPr>
          <w:p w14:paraId="7EA9E9FB" w14:textId="77777777" w:rsidR="00454A29" w:rsidRDefault="00454A29"/>
        </w:tc>
        <w:tc>
          <w:tcPr>
            <w:tcW w:w="3345" w:type="dxa"/>
            <w:vMerge/>
          </w:tcPr>
          <w:p w14:paraId="57824083" w14:textId="77777777" w:rsidR="00454A29" w:rsidRDefault="00454A29"/>
        </w:tc>
        <w:tc>
          <w:tcPr>
            <w:tcW w:w="1701" w:type="dxa"/>
            <w:vAlign w:val="center"/>
          </w:tcPr>
          <w:p w14:paraId="3AF1C505" w14:textId="77777777" w:rsidR="00454A29" w:rsidRDefault="00454A29">
            <w:pPr>
              <w:pStyle w:val="ConsPlusNormal"/>
              <w:jc w:val="center"/>
            </w:pPr>
            <w:r>
              <w:t>2021</w:t>
            </w:r>
          </w:p>
        </w:tc>
        <w:tc>
          <w:tcPr>
            <w:tcW w:w="1417" w:type="dxa"/>
            <w:vMerge/>
          </w:tcPr>
          <w:p w14:paraId="68202C14" w14:textId="77777777" w:rsidR="00454A29" w:rsidRDefault="00454A29"/>
        </w:tc>
        <w:tc>
          <w:tcPr>
            <w:tcW w:w="2204" w:type="dxa"/>
            <w:vMerge/>
          </w:tcPr>
          <w:p w14:paraId="3547DE3F" w14:textId="77777777" w:rsidR="00454A29" w:rsidRDefault="00454A29"/>
        </w:tc>
        <w:tc>
          <w:tcPr>
            <w:tcW w:w="1417" w:type="dxa"/>
            <w:vMerge/>
          </w:tcPr>
          <w:p w14:paraId="2125EEB4" w14:textId="77777777" w:rsidR="00454A29" w:rsidRDefault="00454A29"/>
        </w:tc>
        <w:tc>
          <w:tcPr>
            <w:tcW w:w="2324" w:type="dxa"/>
            <w:vMerge/>
          </w:tcPr>
          <w:p w14:paraId="474344BC" w14:textId="77777777" w:rsidR="00454A29" w:rsidRDefault="00454A29"/>
        </w:tc>
        <w:tc>
          <w:tcPr>
            <w:tcW w:w="1701" w:type="dxa"/>
            <w:vAlign w:val="center"/>
          </w:tcPr>
          <w:p w14:paraId="7AB0B5DD" w14:textId="77777777" w:rsidR="00454A29" w:rsidRDefault="00454A29">
            <w:pPr>
              <w:pStyle w:val="ConsPlusNormal"/>
            </w:pPr>
          </w:p>
        </w:tc>
        <w:tc>
          <w:tcPr>
            <w:tcW w:w="1814" w:type="dxa"/>
            <w:vAlign w:val="center"/>
          </w:tcPr>
          <w:p w14:paraId="683DC9C2" w14:textId="77777777" w:rsidR="00454A29" w:rsidRDefault="00454A29">
            <w:pPr>
              <w:pStyle w:val="ConsPlusNormal"/>
            </w:pPr>
          </w:p>
        </w:tc>
        <w:tc>
          <w:tcPr>
            <w:tcW w:w="1701" w:type="dxa"/>
            <w:vAlign w:val="center"/>
          </w:tcPr>
          <w:p w14:paraId="2571F5AA" w14:textId="77777777" w:rsidR="00454A29" w:rsidRDefault="00454A29">
            <w:pPr>
              <w:pStyle w:val="ConsPlusNormal"/>
            </w:pPr>
          </w:p>
        </w:tc>
        <w:tc>
          <w:tcPr>
            <w:tcW w:w="1701" w:type="dxa"/>
            <w:vAlign w:val="center"/>
          </w:tcPr>
          <w:p w14:paraId="1FEA3A99" w14:textId="77777777" w:rsidR="00454A29" w:rsidRDefault="00454A29">
            <w:pPr>
              <w:pStyle w:val="ConsPlusNormal"/>
            </w:pPr>
          </w:p>
        </w:tc>
        <w:tc>
          <w:tcPr>
            <w:tcW w:w="1814" w:type="dxa"/>
            <w:vAlign w:val="center"/>
          </w:tcPr>
          <w:p w14:paraId="77D6D020" w14:textId="77777777" w:rsidR="00454A29" w:rsidRDefault="00454A29">
            <w:pPr>
              <w:pStyle w:val="ConsPlusNormal"/>
            </w:pPr>
          </w:p>
        </w:tc>
      </w:tr>
      <w:tr w:rsidR="00454A29" w14:paraId="36F0CB71" w14:textId="77777777">
        <w:tc>
          <w:tcPr>
            <w:tcW w:w="567" w:type="dxa"/>
            <w:vMerge/>
          </w:tcPr>
          <w:p w14:paraId="7582B460" w14:textId="77777777" w:rsidR="00454A29" w:rsidRDefault="00454A29"/>
        </w:tc>
        <w:tc>
          <w:tcPr>
            <w:tcW w:w="3345" w:type="dxa"/>
            <w:vMerge/>
          </w:tcPr>
          <w:p w14:paraId="324EC14F" w14:textId="77777777" w:rsidR="00454A29" w:rsidRDefault="00454A29"/>
        </w:tc>
        <w:tc>
          <w:tcPr>
            <w:tcW w:w="1701" w:type="dxa"/>
            <w:vAlign w:val="center"/>
          </w:tcPr>
          <w:p w14:paraId="125AC60C" w14:textId="77777777" w:rsidR="00454A29" w:rsidRDefault="00454A29">
            <w:pPr>
              <w:pStyle w:val="ConsPlusNormal"/>
              <w:jc w:val="center"/>
            </w:pPr>
            <w:r>
              <w:t>2022</w:t>
            </w:r>
          </w:p>
        </w:tc>
        <w:tc>
          <w:tcPr>
            <w:tcW w:w="1417" w:type="dxa"/>
            <w:vMerge/>
          </w:tcPr>
          <w:p w14:paraId="3F6C85BD" w14:textId="77777777" w:rsidR="00454A29" w:rsidRDefault="00454A29"/>
        </w:tc>
        <w:tc>
          <w:tcPr>
            <w:tcW w:w="2204" w:type="dxa"/>
            <w:vMerge/>
          </w:tcPr>
          <w:p w14:paraId="41537329" w14:textId="77777777" w:rsidR="00454A29" w:rsidRDefault="00454A29"/>
        </w:tc>
        <w:tc>
          <w:tcPr>
            <w:tcW w:w="1417" w:type="dxa"/>
            <w:vMerge/>
          </w:tcPr>
          <w:p w14:paraId="3975BB05" w14:textId="77777777" w:rsidR="00454A29" w:rsidRDefault="00454A29"/>
        </w:tc>
        <w:tc>
          <w:tcPr>
            <w:tcW w:w="2324" w:type="dxa"/>
            <w:vMerge/>
          </w:tcPr>
          <w:p w14:paraId="74948176" w14:textId="77777777" w:rsidR="00454A29" w:rsidRDefault="00454A29"/>
        </w:tc>
        <w:tc>
          <w:tcPr>
            <w:tcW w:w="1701" w:type="dxa"/>
            <w:vAlign w:val="center"/>
          </w:tcPr>
          <w:p w14:paraId="0037731F" w14:textId="77777777" w:rsidR="00454A29" w:rsidRDefault="00454A29">
            <w:pPr>
              <w:pStyle w:val="ConsPlusNormal"/>
            </w:pPr>
          </w:p>
        </w:tc>
        <w:tc>
          <w:tcPr>
            <w:tcW w:w="1814" w:type="dxa"/>
            <w:vAlign w:val="center"/>
          </w:tcPr>
          <w:p w14:paraId="6A482B6D" w14:textId="77777777" w:rsidR="00454A29" w:rsidRDefault="00454A29">
            <w:pPr>
              <w:pStyle w:val="ConsPlusNormal"/>
            </w:pPr>
          </w:p>
        </w:tc>
        <w:tc>
          <w:tcPr>
            <w:tcW w:w="1701" w:type="dxa"/>
            <w:vAlign w:val="center"/>
          </w:tcPr>
          <w:p w14:paraId="6DB6D328" w14:textId="77777777" w:rsidR="00454A29" w:rsidRDefault="00454A29">
            <w:pPr>
              <w:pStyle w:val="ConsPlusNormal"/>
            </w:pPr>
          </w:p>
        </w:tc>
        <w:tc>
          <w:tcPr>
            <w:tcW w:w="1701" w:type="dxa"/>
            <w:vAlign w:val="center"/>
          </w:tcPr>
          <w:p w14:paraId="19CF969A" w14:textId="77777777" w:rsidR="00454A29" w:rsidRDefault="00454A29">
            <w:pPr>
              <w:pStyle w:val="ConsPlusNormal"/>
            </w:pPr>
          </w:p>
        </w:tc>
        <w:tc>
          <w:tcPr>
            <w:tcW w:w="1814" w:type="dxa"/>
            <w:vAlign w:val="center"/>
          </w:tcPr>
          <w:p w14:paraId="4BD1492B" w14:textId="77777777" w:rsidR="00454A29" w:rsidRDefault="00454A29">
            <w:pPr>
              <w:pStyle w:val="ConsPlusNormal"/>
            </w:pPr>
          </w:p>
        </w:tc>
      </w:tr>
      <w:tr w:rsidR="00454A29" w14:paraId="2523D672" w14:textId="77777777">
        <w:tc>
          <w:tcPr>
            <w:tcW w:w="567" w:type="dxa"/>
            <w:vMerge/>
          </w:tcPr>
          <w:p w14:paraId="4EB97934" w14:textId="77777777" w:rsidR="00454A29" w:rsidRDefault="00454A29"/>
        </w:tc>
        <w:tc>
          <w:tcPr>
            <w:tcW w:w="3345" w:type="dxa"/>
            <w:vMerge/>
          </w:tcPr>
          <w:p w14:paraId="3C6BA0D9" w14:textId="77777777" w:rsidR="00454A29" w:rsidRDefault="00454A29"/>
        </w:tc>
        <w:tc>
          <w:tcPr>
            <w:tcW w:w="1701" w:type="dxa"/>
            <w:vAlign w:val="center"/>
          </w:tcPr>
          <w:p w14:paraId="08068053" w14:textId="77777777" w:rsidR="00454A29" w:rsidRDefault="00454A29">
            <w:pPr>
              <w:pStyle w:val="ConsPlusNormal"/>
              <w:jc w:val="center"/>
            </w:pPr>
            <w:r>
              <w:t>2023</w:t>
            </w:r>
          </w:p>
        </w:tc>
        <w:tc>
          <w:tcPr>
            <w:tcW w:w="1417" w:type="dxa"/>
            <w:vMerge/>
          </w:tcPr>
          <w:p w14:paraId="7C759B4F" w14:textId="77777777" w:rsidR="00454A29" w:rsidRDefault="00454A29"/>
        </w:tc>
        <w:tc>
          <w:tcPr>
            <w:tcW w:w="2204" w:type="dxa"/>
            <w:vMerge/>
          </w:tcPr>
          <w:p w14:paraId="46D41784" w14:textId="77777777" w:rsidR="00454A29" w:rsidRDefault="00454A29"/>
        </w:tc>
        <w:tc>
          <w:tcPr>
            <w:tcW w:w="1417" w:type="dxa"/>
            <w:vMerge/>
          </w:tcPr>
          <w:p w14:paraId="5196F97F" w14:textId="77777777" w:rsidR="00454A29" w:rsidRDefault="00454A29"/>
        </w:tc>
        <w:tc>
          <w:tcPr>
            <w:tcW w:w="2324" w:type="dxa"/>
            <w:vMerge/>
          </w:tcPr>
          <w:p w14:paraId="27EE4F1C" w14:textId="77777777" w:rsidR="00454A29" w:rsidRDefault="00454A29"/>
        </w:tc>
        <w:tc>
          <w:tcPr>
            <w:tcW w:w="1701" w:type="dxa"/>
            <w:vAlign w:val="center"/>
          </w:tcPr>
          <w:p w14:paraId="7C5DB411" w14:textId="77777777" w:rsidR="00454A29" w:rsidRDefault="00454A29">
            <w:pPr>
              <w:pStyle w:val="ConsPlusNormal"/>
            </w:pPr>
          </w:p>
        </w:tc>
        <w:tc>
          <w:tcPr>
            <w:tcW w:w="1814" w:type="dxa"/>
            <w:vAlign w:val="center"/>
          </w:tcPr>
          <w:p w14:paraId="31D1FAA5" w14:textId="77777777" w:rsidR="00454A29" w:rsidRDefault="00454A29">
            <w:pPr>
              <w:pStyle w:val="ConsPlusNormal"/>
            </w:pPr>
          </w:p>
        </w:tc>
        <w:tc>
          <w:tcPr>
            <w:tcW w:w="1701" w:type="dxa"/>
            <w:vAlign w:val="center"/>
          </w:tcPr>
          <w:p w14:paraId="5F895931" w14:textId="77777777" w:rsidR="00454A29" w:rsidRDefault="00454A29">
            <w:pPr>
              <w:pStyle w:val="ConsPlusNormal"/>
            </w:pPr>
          </w:p>
        </w:tc>
        <w:tc>
          <w:tcPr>
            <w:tcW w:w="1701" w:type="dxa"/>
            <w:vAlign w:val="center"/>
          </w:tcPr>
          <w:p w14:paraId="332F910E" w14:textId="77777777" w:rsidR="00454A29" w:rsidRDefault="00454A29">
            <w:pPr>
              <w:pStyle w:val="ConsPlusNormal"/>
            </w:pPr>
          </w:p>
        </w:tc>
        <w:tc>
          <w:tcPr>
            <w:tcW w:w="1814" w:type="dxa"/>
            <w:vAlign w:val="center"/>
          </w:tcPr>
          <w:p w14:paraId="42DCA146" w14:textId="77777777" w:rsidR="00454A29" w:rsidRDefault="00454A29">
            <w:pPr>
              <w:pStyle w:val="ConsPlusNormal"/>
            </w:pPr>
          </w:p>
        </w:tc>
      </w:tr>
      <w:tr w:rsidR="00454A29" w14:paraId="00DF82B3" w14:textId="77777777">
        <w:tc>
          <w:tcPr>
            <w:tcW w:w="567" w:type="dxa"/>
            <w:vMerge/>
          </w:tcPr>
          <w:p w14:paraId="6AE688FC" w14:textId="77777777" w:rsidR="00454A29" w:rsidRDefault="00454A29"/>
        </w:tc>
        <w:tc>
          <w:tcPr>
            <w:tcW w:w="3345" w:type="dxa"/>
            <w:vMerge/>
          </w:tcPr>
          <w:p w14:paraId="292226E1" w14:textId="77777777" w:rsidR="00454A29" w:rsidRDefault="00454A29"/>
        </w:tc>
        <w:tc>
          <w:tcPr>
            <w:tcW w:w="1701" w:type="dxa"/>
            <w:vAlign w:val="center"/>
          </w:tcPr>
          <w:p w14:paraId="1E3A5EFB" w14:textId="77777777" w:rsidR="00454A29" w:rsidRDefault="00454A29">
            <w:pPr>
              <w:pStyle w:val="ConsPlusNormal"/>
              <w:jc w:val="center"/>
            </w:pPr>
            <w:r>
              <w:t>2024</w:t>
            </w:r>
          </w:p>
        </w:tc>
        <w:tc>
          <w:tcPr>
            <w:tcW w:w="1417" w:type="dxa"/>
            <w:vMerge/>
          </w:tcPr>
          <w:p w14:paraId="405A8379" w14:textId="77777777" w:rsidR="00454A29" w:rsidRDefault="00454A29"/>
        </w:tc>
        <w:tc>
          <w:tcPr>
            <w:tcW w:w="2204" w:type="dxa"/>
            <w:vMerge/>
          </w:tcPr>
          <w:p w14:paraId="6B728CF3" w14:textId="77777777" w:rsidR="00454A29" w:rsidRDefault="00454A29"/>
        </w:tc>
        <w:tc>
          <w:tcPr>
            <w:tcW w:w="1417" w:type="dxa"/>
            <w:vMerge/>
          </w:tcPr>
          <w:p w14:paraId="249637DF" w14:textId="77777777" w:rsidR="00454A29" w:rsidRDefault="00454A29"/>
        </w:tc>
        <w:tc>
          <w:tcPr>
            <w:tcW w:w="2324" w:type="dxa"/>
            <w:vMerge/>
          </w:tcPr>
          <w:p w14:paraId="31EA2793" w14:textId="77777777" w:rsidR="00454A29" w:rsidRDefault="00454A29"/>
        </w:tc>
        <w:tc>
          <w:tcPr>
            <w:tcW w:w="1701" w:type="dxa"/>
            <w:vAlign w:val="center"/>
          </w:tcPr>
          <w:p w14:paraId="7EFD09C4" w14:textId="77777777" w:rsidR="00454A29" w:rsidRDefault="00454A29">
            <w:pPr>
              <w:pStyle w:val="ConsPlusNormal"/>
            </w:pPr>
          </w:p>
        </w:tc>
        <w:tc>
          <w:tcPr>
            <w:tcW w:w="1814" w:type="dxa"/>
            <w:vAlign w:val="center"/>
          </w:tcPr>
          <w:p w14:paraId="4C6C9C76" w14:textId="77777777" w:rsidR="00454A29" w:rsidRDefault="00454A29">
            <w:pPr>
              <w:pStyle w:val="ConsPlusNormal"/>
            </w:pPr>
          </w:p>
        </w:tc>
        <w:tc>
          <w:tcPr>
            <w:tcW w:w="1701" w:type="dxa"/>
            <w:vAlign w:val="center"/>
          </w:tcPr>
          <w:p w14:paraId="7DBB493C" w14:textId="77777777" w:rsidR="00454A29" w:rsidRDefault="00454A29">
            <w:pPr>
              <w:pStyle w:val="ConsPlusNormal"/>
            </w:pPr>
          </w:p>
        </w:tc>
        <w:tc>
          <w:tcPr>
            <w:tcW w:w="1701" w:type="dxa"/>
            <w:vAlign w:val="center"/>
          </w:tcPr>
          <w:p w14:paraId="14F571FE" w14:textId="77777777" w:rsidR="00454A29" w:rsidRDefault="00454A29">
            <w:pPr>
              <w:pStyle w:val="ConsPlusNormal"/>
            </w:pPr>
          </w:p>
        </w:tc>
        <w:tc>
          <w:tcPr>
            <w:tcW w:w="1814" w:type="dxa"/>
            <w:vAlign w:val="center"/>
          </w:tcPr>
          <w:p w14:paraId="2722E608" w14:textId="77777777" w:rsidR="00454A29" w:rsidRDefault="00454A29">
            <w:pPr>
              <w:pStyle w:val="ConsPlusNormal"/>
            </w:pPr>
          </w:p>
        </w:tc>
      </w:tr>
      <w:tr w:rsidR="00454A29" w14:paraId="3B1307C4" w14:textId="77777777">
        <w:tc>
          <w:tcPr>
            <w:tcW w:w="567" w:type="dxa"/>
            <w:vMerge/>
          </w:tcPr>
          <w:p w14:paraId="19A5AC93" w14:textId="77777777" w:rsidR="00454A29" w:rsidRDefault="00454A29"/>
        </w:tc>
        <w:tc>
          <w:tcPr>
            <w:tcW w:w="3345" w:type="dxa"/>
            <w:vMerge/>
          </w:tcPr>
          <w:p w14:paraId="03DA48F1" w14:textId="77777777" w:rsidR="00454A29" w:rsidRDefault="00454A29"/>
        </w:tc>
        <w:tc>
          <w:tcPr>
            <w:tcW w:w="1701" w:type="dxa"/>
            <w:vAlign w:val="center"/>
          </w:tcPr>
          <w:p w14:paraId="682CF3BE" w14:textId="77777777" w:rsidR="00454A29" w:rsidRDefault="00454A29">
            <w:pPr>
              <w:pStyle w:val="ConsPlusNormal"/>
              <w:jc w:val="center"/>
            </w:pPr>
            <w:r>
              <w:t>2025</w:t>
            </w:r>
          </w:p>
        </w:tc>
        <w:tc>
          <w:tcPr>
            <w:tcW w:w="1417" w:type="dxa"/>
            <w:vMerge/>
          </w:tcPr>
          <w:p w14:paraId="1F8FAC56" w14:textId="77777777" w:rsidR="00454A29" w:rsidRDefault="00454A29"/>
        </w:tc>
        <w:tc>
          <w:tcPr>
            <w:tcW w:w="2204" w:type="dxa"/>
            <w:vMerge/>
          </w:tcPr>
          <w:p w14:paraId="65D3150A" w14:textId="77777777" w:rsidR="00454A29" w:rsidRDefault="00454A29"/>
        </w:tc>
        <w:tc>
          <w:tcPr>
            <w:tcW w:w="1417" w:type="dxa"/>
            <w:vMerge/>
          </w:tcPr>
          <w:p w14:paraId="6DDB0A81" w14:textId="77777777" w:rsidR="00454A29" w:rsidRDefault="00454A29"/>
        </w:tc>
        <w:tc>
          <w:tcPr>
            <w:tcW w:w="2324" w:type="dxa"/>
            <w:vMerge/>
          </w:tcPr>
          <w:p w14:paraId="072EE9F5" w14:textId="77777777" w:rsidR="00454A29" w:rsidRDefault="00454A29"/>
        </w:tc>
        <w:tc>
          <w:tcPr>
            <w:tcW w:w="1701" w:type="dxa"/>
            <w:vAlign w:val="center"/>
          </w:tcPr>
          <w:p w14:paraId="2DD20F7B" w14:textId="77777777" w:rsidR="00454A29" w:rsidRDefault="00454A29">
            <w:pPr>
              <w:pStyle w:val="ConsPlusNormal"/>
            </w:pPr>
          </w:p>
        </w:tc>
        <w:tc>
          <w:tcPr>
            <w:tcW w:w="1814" w:type="dxa"/>
            <w:vAlign w:val="center"/>
          </w:tcPr>
          <w:p w14:paraId="6EA8B35A" w14:textId="77777777" w:rsidR="00454A29" w:rsidRDefault="00454A29">
            <w:pPr>
              <w:pStyle w:val="ConsPlusNormal"/>
            </w:pPr>
          </w:p>
        </w:tc>
        <w:tc>
          <w:tcPr>
            <w:tcW w:w="1701" w:type="dxa"/>
            <w:vAlign w:val="center"/>
          </w:tcPr>
          <w:p w14:paraId="58F58372" w14:textId="77777777" w:rsidR="00454A29" w:rsidRDefault="00454A29">
            <w:pPr>
              <w:pStyle w:val="ConsPlusNormal"/>
            </w:pPr>
          </w:p>
        </w:tc>
        <w:tc>
          <w:tcPr>
            <w:tcW w:w="1701" w:type="dxa"/>
            <w:vAlign w:val="center"/>
          </w:tcPr>
          <w:p w14:paraId="5DC0A113" w14:textId="77777777" w:rsidR="00454A29" w:rsidRDefault="00454A29">
            <w:pPr>
              <w:pStyle w:val="ConsPlusNormal"/>
            </w:pPr>
          </w:p>
        </w:tc>
        <w:tc>
          <w:tcPr>
            <w:tcW w:w="1814" w:type="dxa"/>
            <w:vAlign w:val="center"/>
          </w:tcPr>
          <w:p w14:paraId="41F04EFD" w14:textId="77777777" w:rsidR="00454A29" w:rsidRDefault="00454A29">
            <w:pPr>
              <w:pStyle w:val="ConsPlusNormal"/>
            </w:pPr>
          </w:p>
        </w:tc>
      </w:tr>
      <w:tr w:rsidR="00454A29" w14:paraId="06075CE4" w14:textId="77777777">
        <w:tc>
          <w:tcPr>
            <w:tcW w:w="567" w:type="dxa"/>
            <w:vMerge/>
          </w:tcPr>
          <w:p w14:paraId="641DCB75" w14:textId="77777777" w:rsidR="00454A29" w:rsidRDefault="00454A29"/>
        </w:tc>
        <w:tc>
          <w:tcPr>
            <w:tcW w:w="3345" w:type="dxa"/>
            <w:vMerge/>
          </w:tcPr>
          <w:p w14:paraId="66133EDD" w14:textId="77777777" w:rsidR="00454A29" w:rsidRDefault="00454A29"/>
        </w:tc>
        <w:tc>
          <w:tcPr>
            <w:tcW w:w="1701" w:type="dxa"/>
            <w:vAlign w:val="center"/>
          </w:tcPr>
          <w:p w14:paraId="0B5F8BB1" w14:textId="77777777" w:rsidR="00454A29" w:rsidRDefault="00454A29">
            <w:pPr>
              <w:pStyle w:val="ConsPlusNormal"/>
              <w:jc w:val="center"/>
            </w:pPr>
            <w:r>
              <w:t>2026</w:t>
            </w:r>
          </w:p>
        </w:tc>
        <w:tc>
          <w:tcPr>
            <w:tcW w:w="1417" w:type="dxa"/>
            <w:vMerge/>
          </w:tcPr>
          <w:p w14:paraId="6B7EABE3" w14:textId="77777777" w:rsidR="00454A29" w:rsidRDefault="00454A29"/>
        </w:tc>
        <w:tc>
          <w:tcPr>
            <w:tcW w:w="2204" w:type="dxa"/>
            <w:vMerge/>
          </w:tcPr>
          <w:p w14:paraId="75951235" w14:textId="77777777" w:rsidR="00454A29" w:rsidRDefault="00454A29"/>
        </w:tc>
        <w:tc>
          <w:tcPr>
            <w:tcW w:w="1417" w:type="dxa"/>
            <w:vMerge/>
          </w:tcPr>
          <w:p w14:paraId="72E86713" w14:textId="77777777" w:rsidR="00454A29" w:rsidRDefault="00454A29"/>
        </w:tc>
        <w:tc>
          <w:tcPr>
            <w:tcW w:w="2324" w:type="dxa"/>
            <w:vMerge/>
          </w:tcPr>
          <w:p w14:paraId="58C72C6D" w14:textId="77777777" w:rsidR="00454A29" w:rsidRDefault="00454A29"/>
        </w:tc>
        <w:tc>
          <w:tcPr>
            <w:tcW w:w="1701" w:type="dxa"/>
            <w:vAlign w:val="center"/>
          </w:tcPr>
          <w:p w14:paraId="6C003A6C" w14:textId="77777777" w:rsidR="00454A29" w:rsidRDefault="00454A29">
            <w:pPr>
              <w:pStyle w:val="ConsPlusNormal"/>
              <w:jc w:val="center"/>
            </w:pPr>
            <w:r>
              <w:t>367 824,52</w:t>
            </w:r>
          </w:p>
        </w:tc>
        <w:tc>
          <w:tcPr>
            <w:tcW w:w="1814" w:type="dxa"/>
            <w:vAlign w:val="center"/>
          </w:tcPr>
          <w:p w14:paraId="5FCE1F7E" w14:textId="77777777" w:rsidR="00454A29" w:rsidRDefault="00454A29">
            <w:pPr>
              <w:pStyle w:val="ConsPlusNormal"/>
              <w:jc w:val="center"/>
            </w:pPr>
            <w:r>
              <w:t>4 531,60</w:t>
            </w:r>
          </w:p>
        </w:tc>
        <w:tc>
          <w:tcPr>
            <w:tcW w:w="1701" w:type="dxa"/>
            <w:vAlign w:val="center"/>
          </w:tcPr>
          <w:p w14:paraId="019B1219" w14:textId="77777777" w:rsidR="00454A29" w:rsidRDefault="00454A29">
            <w:pPr>
              <w:pStyle w:val="ConsPlusNormal"/>
              <w:jc w:val="center"/>
            </w:pPr>
            <w:r>
              <w:t>448 628,22</w:t>
            </w:r>
          </w:p>
        </w:tc>
        <w:tc>
          <w:tcPr>
            <w:tcW w:w="1701" w:type="dxa"/>
            <w:vAlign w:val="center"/>
          </w:tcPr>
          <w:p w14:paraId="3511FD15" w14:textId="77777777" w:rsidR="00454A29" w:rsidRDefault="00454A29">
            <w:pPr>
              <w:pStyle w:val="ConsPlusNormal"/>
            </w:pPr>
          </w:p>
        </w:tc>
        <w:tc>
          <w:tcPr>
            <w:tcW w:w="1814" w:type="dxa"/>
            <w:vAlign w:val="center"/>
          </w:tcPr>
          <w:p w14:paraId="0E26EAB8" w14:textId="77777777" w:rsidR="00454A29" w:rsidRDefault="00454A29">
            <w:pPr>
              <w:pStyle w:val="ConsPlusNormal"/>
            </w:pPr>
          </w:p>
        </w:tc>
      </w:tr>
      <w:tr w:rsidR="00454A29" w14:paraId="779801C0" w14:textId="77777777">
        <w:tc>
          <w:tcPr>
            <w:tcW w:w="567" w:type="dxa"/>
            <w:vMerge w:val="restart"/>
            <w:vAlign w:val="center"/>
          </w:tcPr>
          <w:p w14:paraId="63834FF6" w14:textId="77777777" w:rsidR="00454A29" w:rsidRDefault="00454A29">
            <w:pPr>
              <w:pStyle w:val="ConsPlusNormal"/>
              <w:jc w:val="center"/>
            </w:pPr>
            <w:r>
              <w:t>17</w:t>
            </w:r>
          </w:p>
        </w:tc>
        <w:tc>
          <w:tcPr>
            <w:tcW w:w="3345" w:type="dxa"/>
            <w:vMerge w:val="restart"/>
            <w:vAlign w:val="center"/>
          </w:tcPr>
          <w:p w14:paraId="3F9F6A3E" w14:textId="77777777" w:rsidR="00454A29" w:rsidRDefault="00454A29">
            <w:pPr>
              <w:pStyle w:val="ConsPlusNormal"/>
              <w:jc w:val="center"/>
            </w:pPr>
            <w:r>
              <w:t xml:space="preserve">Школа-сад на 80/45 мест в с. </w:t>
            </w:r>
            <w:r>
              <w:lastRenderedPageBreak/>
              <w:t>Эмиссы</w:t>
            </w:r>
          </w:p>
        </w:tc>
        <w:tc>
          <w:tcPr>
            <w:tcW w:w="1701" w:type="dxa"/>
            <w:vAlign w:val="center"/>
          </w:tcPr>
          <w:p w14:paraId="61BBB4D2" w14:textId="77777777" w:rsidR="00454A29" w:rsidRDefault="00454A29">
            <w:pPr>
              <w:pStyle w:val="ConsPlusNormal"/>
              <w:jc w:val="center"/>
            </w:pPr>
            <w:r>
              <w:lastRenderedPageBreak/>
              <w:t xml:space="preserve">2020 - 2026 годы </w:t>
            </w:r>
            <w:r>
              <w:lastRenderedPageBreak/>
              <w:t>- всего</w:t>
            </w:r>
          </w:p>
        </w:tc>
        <w:tc>
          <w:tcPr>
            <w:tcW w:w="1417" w:type="dxa"/>
            <w:vMerge w:val="restart"/>
            <w:vAlign w:val="center"/>
          </w:tcPr>
          <w:p w14:paraId="7914D67E" w14:textId="77777777" w:rsidR="00454A29" w:rsidRDefault="00454A29">
            <w:pPr>
              <w:pStyle w:val="ConsPlusNormal"/>
              <w:jc w:val="center"/>
            </w:pPr>
            <w:r>
              <w:lastRenderedPageBreak/>
              <w:t>294 259,62</w:t>
            </w:r>
          </w:p>
        </w:tc>
        <w:tc>
          <w:tcPr>
            <w:tcW w:w="2204" w:type="dxa"/>
            <w:vMerge w:val="restart"/>
            <w:vAlign w:val="center"/>
          </w:tcPr>
          <w:p w14:paraId="2F75A9CB" w14:textId="77777777" w:rsidR="00454A29" w:rsidRDefault="00454A29">
            <w:pPr>
              <w:pStyle w:val="ConsPlusNormal"/>
            </w:pPr>
          </w:p>
        </w:tc>
        <w:tc>
          <w:tcPr>
            <w:tcW w:w="1417" w:type="dxa"/>
            <w:vMerge w:val="restart"/>
            <w:vAlign w:val="center"/>
          </w:tcPr>
          <w:p w14:paraId="4FFF9AB3" w14:textId="77777777" w:rsidR="00454A29" w:rsidRDefault="00454A29">
            <w:pPr>
              <w:pStyle w:val="ConsPlusNormal"/>
              <w:jc w:val="center"/>
            </w:pPr>
            <w:r>
              <w:t>80</w:t>
            </w:r>
          </w:p>
        </w:tc>
        <w:tc>
          <w:tcPr>
            <w:tcW w:w="2324" w:type="dxa"/>
            <w:vMerge w:val="restart"/>
            <w:vAlign w:val="center"/>
          </w:tcPr>
          <w:p w14:paraId="1BDEA995" w14:textId="77777777" w:rsidR="00454A29" w:rsidRDefault="00454A29">
            <w:pPr>
              <w:pStyle w:val="ConsPlusNormal"/>
              <w:jc w:val="center"/>
            </w:pPr>
            <w:r>
              <w:t xml:space="preserve">Минстрой РС(Я), ГКУ </w:t>
            </w:r>
            <w:r>
              <w:lastRenderedPageBreak/>
              <w:t>"Служба государственного заказчика Республики Саха (Якутия)"</w:t>
            </w:r>
          </w:p>
        </w:tc>
        <w:tc>
          <w:tcPr>
            <w:tcW w:w="1701" w:type="dxa"/>
            <w:vAlign w:val="center"/>
          </w:tcPr>
          <w:p w14:paraId="481C89D4" w14:textId="77777777" w:rsidR="00454A29" w:rsidRDefault="00454A29">
            <w:pPr>
              <w:pStyle w:val="ConsPlusNormal"/>
              <w:jc w:val="center"/>
            </w:pPr>
            <w:r>
              <w:lastRenderedPageBreak/>
              <w:t>294 259,62</w:t>
            </w:r>
          </w:p>
        </w:tc>
        <w:tc>
          <w:tcPr>
            <w:tcW w:w="1814" w:type="dxa"/>
            <w:vAlign w:val="center"/>
          </w:tcPr>
          <w:p w14:paraId="09E0558C" w14:textId="77777777" w:rsidR="00454A29" w:rsidRDefault="00454A29">
            <w:pPr>
              <w:pStyle w:val="ConsPlusNormal"/>
              <w:jc w:val="center"/>
            </w:pPr>
            <w:r>
              <w:t>3 625,28</w:t>
            </w:r>
          </w:p>
        </w:tc>
        <w:tc>
          <w:tcPr>
            <w:tcW w:w="1701" w:type="dxa"/>
            <w:vAlign w:val="center"/>
          </w:tcPr>
          <w:p w14:paraId="7E3E92EE" w14:textId="77777777" w:rsidR="00454A29" w:rsidRDefault="00454A29">
            <w:pPr>
              <w:pStyle w:val="ConsPlusNormal"/>
              <w:jc w:val="center"/>
            </w:pPr>
            <w:r>
              <w:t>358 902,57</w:t>
            </w:r>
          </w:p>
        </w:tc>
        <w:tc>
          <w:tcPr>
            <w:tcW w:w="1701" w:type="dxa"/>
            <w:vAlign w:val="center"/>
          </w:tcPr>
          <w:p w14:paraId="4197A1B5" w14:textId="77777777" w:rsidR="00454A29" w:rsidRDefault="00454A29">
            <w:pPr>
              <w:pStyle w:val="ConsPlusNormal"/>
              <w:jc w:val="center"/>
            </w:pPr>
            <w:r>
              <w:t>-</w:t>
            </w:r>
          </w:p>
        </w:tc>
        <w:tc>
          <w:tcPr>
            <w:tcW w:w="1814" w:type="dxa"/>
            <w:vAlign w:val="center"/>
          </w:tcPr>
          <w:p w14:paraId="7123704C" w14:textId="77777777" w:rsidR="00454A29" w:rsidRDefault="00454A29">
            <w:pPr>
              <w:pStyle w:val="ConsPlusNormal"/>
              <w:jc w:val="center"/>
            </w:pPr>
            <w:r>
              <w:t>-</w:t>
            </w:r>
          </w:p>
        </w:tc>
      </w:tr>
      <w:tr w:rsidR="00454A29" w14:paraId="0E19E32A" w14:textId="77777777">
        <w:tc>
          <w:tcPr>
            <w:tcW w:w="567" w:type="dxa"/>
            <w:vMerge/>
          </w:tcPr>
          <w:p w14:paraId="1D88238E" w14:textId="77777777" w:rsidR="00454A29" w:rsidRDefault="00454A29"/>
        </w:tc>
        <w:tc>
          <w:tcPr>
            <w:tcW w:w="3345" w:type="dxa"/>
            <w:vMerge/>
          </w:tcPr>
          <w:p w14:paraId="0AC8BB5B" w14:textId="77777777" w:rsidR="00454A29" w:rsidRDefault="00454A29"/>
        </w:tc>
        <w:tc>
          <w:tcPr>
            <w:tcW w:w="1701" w:type="dxa"/>
            <w:vAlign w:val="center"/>
          </w:tcPr>
          <w:p w14:paraId="51C85172" w14:textId="77777777" w:rsidR="00454A29" w:rsidRDefault="00454A29">
            <w:pPr>
              <w:pStyle w:val="ConsPlusNormal"/>
              <w:jc w:val="center"/>
            </w:pPr>
            <w:r>
              <w:t>2020</w:t>
            </w:r>
          </w:p>
        </w:tc>
        <w:tc>
          <w:tcPr>
            <w:tcW w:w="1417" w:type="dxa"/>
            <w:vMerge/>
          </w:tcPr>
          <w:p w14:paraId="0CE975E2" w14:textId="77777777" w:rsidR="00454A29" w:rsidRDefault="00454A29"/>
        </w:tc>
        <w:tc>
          <w:tcPr>
            <w:tcW w:w="2204" w:type="dxa"/>
            <w:vMerge/>
          </w:tcPr>
          <w:p w14:paraId="735C0F0E" w14:textId="77777777" w:rsidR="00454A29" w:rsidRDefault="00454A29"/>
        </w:tc>
        <w:tc>
          <w:tcPr>
            <w:tcW w:w="1417" w:type="dxa"/>
            <w:vMerge/>
          </w:tcPr>
          <w:p w14:paraId="2DBA6F84" w14:textId="77777777" w:rsidR="00454A29" w:rsidRDefault="00454A29"/>
        </w:tc>
        <w:tc>
          <w:tcPr>
            <w:tcW w:w="2324" w:type="dxa"/>
            <w:vMerge/>
          </w:tcPr>
          <w:p w14:paraId="6454F64A" w14:textId="77777777" w:rsidR="00454A29" w:rsidRDefault="00454A29"/>
        </w:tc>
        <w:tc>
          <w:tcPr>
            <w:tcW w:w="1701" w:type="dxa"/>
            <w:vAlign w:val="center"/>
          </w:tcPr>
          <w:p w14:paraId="2A795ED5" w14:textId="77777777" w:rsidR="00454A29" w:rsidRDefault="00454A29">
            <w:pPr>
              <w:pStyle w:val="ConsPlusNormal"/>
            </w:pPr>
          </w:p>
        </w:tc>
        <w:tc>
          <w:tcPr>
            <w:tcW w:w="1814" w:type="dxa"/>
            <w:vAlign w:val="center"/>
          </w:tcPr>
          <w:p w14:paraId="0D37E514" w14:textId="77777777" w:rsidR="00454A29" w:rsidRDefault="00454A29">
            <w:pPr>
              <w:pStyle w:val="ConsPlusNormal"/>
            </w:pPr>
          </w:p>
        </w:tc>
        <w:tc>
          <w:tcPr>
            <w:tcW w:w="1701" w:type="dxa"/>
            <w:vAlign w:val="center"/>
          </w:tcPr>
          <w:p w14:paraId="345BDF9F" w14:textId="77777777" w:rsidR="00454A29" w:rsidRDefault="00454A29">
            <w:pPr>
              <w:pStyle w:val="ConsPlusNormal"/>
            </w:pPr>
          </w:p>
        </w:tc>
        <w:tc>
          <w:tcPr>
            <w:tcW w:w="1701" w:type="dxa"/>
            <w:vAlign w:val="center"/>
          </w:tcPr>
          <w:p w14:paraId="439EA8CF" w14:textId="77777777" w:rsidR="00454A29" w:rsidRDefault="00454A29">
            <w:pPr>
              <w:pStyle w:val="ConsPlusNormal"/>
            </w:pPr>
          </w:p>
        </w:tc>
        <w:tc>
          <w:tcPr>
            <w:tcW w:w="1814" w:type="dxa"/>
            <w:vAlign w:val="center"/>
          </w:tcPr>
          <w:p w14:paraId="38BEE311" w14:textId="77777777" w:rsidR="00454A29" w:rsidRDefault="00454A29">
            <w:pPr>
              <w:pStyle w:val="ConsPlusNormal"/>
            </w:pPr>
          </w:p>
        </w:tc>
      </w:tr>
      <w:tr w:rsidR="00454A29" w14:paraId="6BD95122" w14:textId="77777777">
        <w:tc>
          <w:tcPr>
            <w:tcW w:w="567" w:type="dxa"/>
            <w:vMerge/>
          </w:tcPr>
          <w:p w14:paraId="122C6986" w14:textId="77777777" w:rsidR="00454A29" w:rsidRDefault="00454A29"/>
        </w:tc>
        <w:tc>
          <w:tcPr>
            <w:tcW w:w="3345" w:type="dxa"/>
            <w:vMerge/>
          </w:tcPr>
          <w:p w14:paraId="4CD8F40C" w14:textId="77777777" w:rsidR="00454A29" w:rsidRDefault="00454A29"/>
        </w:tc>
        <w:tc>
          <w:tcPr>
            <w:tcW w:w="1701" w:type="dxa"/>
            <w:vAlign w:val="center"/>
          </w:tcPr>
          <w:p w14:paraId="3A175D4E" w14:textId="77777777" w:rsidR="00454A29" w:rsidRDefault="00454A29">
            <w:pPr>
              <w:pStyle w:val="ConsPlusNormal"/>
              <w:jc w:val="center"/>
            </w:pPr>
            <w:r>
              <w:t>2021</w:t>
            </w:r>
          </w:p>
        </w:tc>
        <w:tc>
          <w:tcPr>
            <w:tcW w:w="1417" w:type="dxa"/>
            <w:vMerge/>
          </w:tcPr>
          <w:p w14:paraId="2D635739" w14:textId="77777777" w:rsidR="00454A29" w:rsidRDefault="00454A29"/>
        </w:tc>
        <w:tc>
          <w:tcPr>
            <w:tcW w:w="2204" w:type="dxa"/>
            <w:vMerge/>
          </w:tcPr>
          <w:p w14:paraId="5715F009" w14:textId="77777777" w:rsidR="00454A29" w:rsidRDefault="00454A29"/>
        </w:tc>
        <w:tc>
          <w:tcPr>
            <w:tcW w:w="1417" w:type="dxa"/>
            <w:vMerge/>
          </w:tcPr>
          <w:p w14:paraId="7FA66A4C" w14:textId="77777777" w:rsidR="00454A29" w:rsidRDefault="00454A29"/>
        </w:tc>
        <w:tc>
          <w:tcPr>
            <w:tcW w:w="2324" w:type="dxa"/>
            <w:vMerge/>
          </w:tcPr>
          <w:p w14:paraId="2E48EE6E" w14:textId="77777777" w:rsidR="00454A29" w:rsidRDefault="00454A29"/>
        </w:tc>
        <w:tc>
          <w:tcPr>
            <w:tcW w:w="1701" w:type="dxa"/>
            <w:vAlign w:val="center"/>
          </w:tcPr>
          <w:p w14:paraId="3EEFBF83" w14:textId="77777777" w:rsidR="00454A29" w:rsidRDefault="00454A29">
            <w:pPr>
              <w:pStyle w:val="ConsPlusNormal"/>
            </w:pPr>
          </w:p>
        </w:tc>
        <w:tc>
          <w:tcPr>
            <w:tcW w:w="1814" w:type="dxa"/>
            <w:vAlign w:val="center"/>
          </w:tcPr>
          <w:p w14:paraId="0E92DE5B" w14:textId="77777777" w:rsidR="00454A29" w:rsidRDefault="00454A29">
            <w:pPr>
              <w:pStyle w:val="ConsPlusNormal"/>
            </w:pPr>
          </w:p>
        </w:tc>
        <w:tc>
          <w:tcPr>
            <w:tcW w:w="1701" w:type="dxa"/>
            <w:vAlign w:val="center"/>
          </w:tcPr>
          <w:p w14:paraId="336913C3" w14:textId="77777777" w:rsidR="00454A29" w:rsidRDefault="00454A29">
            <w:pPr>
              <w:pStyle w:val="ConsPlusNormal"/>
            </w:pPr>
          </w:p>
        </w:tc>
        <w:tc>
          <w:tcPr>
            <w:tcW w:w="1701" w:type="dxa"/>
            <w:vAlign w:val="center"/>
          </w:tcPr>
          <w:p w14:paraId="6127FD59" w14:textId="77777777" w:rsidR="00454A29" w:rsidRDefault="00454A29">
            <w:pPr>
              <w:pStyle w:val="ConsPlusNormal"/>
            </w:pPr>
          </w:p>
        </w:tc>
        <w:tc>
          <w:tcPr>
            <w:tcW w:w="1814" w:type="dxa"/>
            <w:vAlign w:val="center"/>
          </w:tcPr>
          <w:p w14:paraId="562F338B" w14:textId="77777777" w:rsidR="00454A29" w:rsidRDefault="00454A29">
            <w:pPr>
              <w:pStyle w:val="ConsPlusNormal"/>
            </w:pPr>
          </w:p>
        </w:tc>
      </w:tr>
      <w:tr w:rsidR="00454A29" w14:paraId="775DEAC8" w14:textId="77777777">
        <w:tc>
          <w:tcPr>
            <w:tcW w:w="567" w:type="dxa"/>
            <w:vMerge/>
          </w:tcPr>
          <w:p w14:paraId="0B0A65F0" w14:textId="77777777" w:rsidR="00454A29" w:rsidRDefault="00454A29"/>
        </w:tc>
        <w:tc>
          <w:tcPr>
            <w:tcW w:w="3345" w:type="dxa"/>
            <w:vMerge/>
          </w:tcPr>
          <w:p w14:paraId="28F560E9" w14:textId="77777777" w:rsidR="00454A29" w:rsidRDefault="00454A29"/>
        </w:tc>
        <w:tc>
          <w:tcPr>
            <w:tcW w:w="1701" w:type="dxa"/>
            <w:vAlign w:val="center"/>
          </w:tcPr>
          <w:p w14:paraId="68939160" w14:textId="77777777" w:rsidR="00454A29" w:rsidRDefault="00454A29">
            <w:pPr>
              <w:pStyle w:val="ConsPlusNormal"/>
              <w:jc w:val="center"/>
            </w:pPr>
            <w:r>
              <w:t>2022</w:t>
            </w:r>
          </w:p>
        </w:tc>
        <w:tc>
          <w:tcPr>
            <w:tcW w:w="1417" w:type="dxa"/>
            <w:vMerge/>
          </w:tcPr>
          <w:p w14:paraId="003CFBB3" w14:textId="77777777" w:rsidR="00454A29" w:rsidRDefault="00454A29"/>
        </w:tc>
        <w:tc>
          <w:tcPr>
            <w:tcW w:w="2204" w:type="dxa"/>
            <w:vMerge/>
          </w:tcPr>
          <w:p w14:paraId="3E90C41D" w14:textId="77777777" w:rsidR="00454A29" w:rsidRDefault="00454A29"/>
        </w:tc>
        <w:tc>
          <w:tcPr>
            <w:tcW w:w="1417" w:type="dxa"/>
            <w:vMerge/>
          </w:tcPr>
          <w:p w14:paraId="52C06E51" w14:textId="77777777" w:rsidR="00454A29" w:rsidRDefault="00454A29"/>
        </w:tc>
        <w:tc>
          <w:tcPr>
            <w:tcW w:w="2324" w:type="dxa"/>
            <w:vMerge/>
          </w:tcPr>
          <w:p w14:paraId="3B55033A" w14:textId="77777777" w:rsidR="00454A29" w:rsidRDefault="00454A29"/>
        </w:tc>
        <w:tc>
          <w:tcPr>
            <w:tcW w:w="1701" w:type="dxa"/>
            <w:vAlign w:val="center"/>
          </w:tcPr>
          <w:p w14:paraId="47698DD4" w14:textId="77777777" w:rsidR="00454A29" w:rsidRDefault="00454A29">
            <w:pPr>
              <w:pStyle w:val="ConsPlusNormal"/>
            </w:pPr>
          </w:p>
        </w:tc>
        <w:tc>
          <w:tcPr>
            <w:tcW w:w="1814" w:type="dxa"/>
            <w:vAlign w:val="center"/>
          </w:tcPr>
          <w:p w14:paraId="3772DBFA" w14:textId="77777777" w:rsidR="00454A29" w:rsidRDefault="00454A29">
            <w:pPr>
              <w:pStyle w:val="ConsPlusNormal"/>
            </w:pPr>
          </w:p>
        </w:tc>
        <w:tc>
          <w:tcPr>
            <w:tcW w:w="1701" w:type="dxa"/>
            <w:vAlign w:val="center"/>
          </w:tcPr>
          <w:p w14:paraId="4C6DD71E" w14:textId="77777777" w:rsidR="00454A29" w:rsidRDefault="00454A29">
            <w:pPr>
              <w:pStyle w:val="ConsPlusNormal"/>
            </w:pPr>
          </w:p>
        </w:tc>
        <w:tc>
          <w:tcPr>
            <w:tcW w:w="1701" w:type="dxa"/>
            <w:vAlign w:val="center"/>
          </w:tcPr>
          <w:p w14:paraId="2CE276D0" w14:textId="77777777" w:rsidR="00454A29" w:rsidRDefault="00454A29">
            <w:pPr>
              <w:pStyle w:val="ConsPlusNormal"/>
            </w:pPr>
          </w:p>
        </w:tc>
        <w:tc>
          <w:tcPr>
            <w:tcW w:w="1814" w:type="dxa"/>
            <w:vAlign w:val="center"/>
          </w:tcPr>
          <w:p w14:paraId="06F4C609" w14:textId="77777777" w:rsidR="00454A29" w:rsidRDefault="00454A29">
            <w:pPr>
              <w:pStyle w:val="ConsPlusNormal"/>
            </w:pPr>
          </w:p>
        </w:tc>
      </w:tr>
      <w:tr w:rsidR="00454A29" w14:paraId="309768B3" w14:textId="77777777">
        <w:tc>
          <w:tcPr>
            <w:tcW w:w="567" w:type="dxa"/>
            <w:vMerge/>
          </w:tcPr>
          <w:p w14:paraId="6904FE9A" w14:textId="77777777" w:rsidR="00454A29" w:rsidRDefault="00454A29"/>
        </w:tc>
        <w:tc>
          <w:tcPr>
            <w:tcW w:w="3345" w:type="dxa"/>
            <w:vMerge/>
          </w:tcPr>
          <w:p w14:paraId="7FA85533" w14:textId="77777777" w:rsidR="00454A29" w:rsidRDefault="00454A29"/>
        </w:tc>
        <w:tc>
          <w:tcPr>
            <w:tcW w:w="1701" w:type="dxa"/>
            <w:vAlign w:val="center"/>
          </w:tcPr>
          <w:p w14:paraId="77D97E02" w14:textId="77777777" w:rsidR="00454A29" w:rsidRDefault="00454A29">
            <w:pPr>
              <w:pStyle w:val="ConsPlusNormal"/>
              <w:jc w:val="center"/>
            </w:pPr>
            <w:r>
              <w:t>2023</w:t>
            </w:r>
          </w:p>
        </w:tc>
        <w:tc>
          <w:tcPr>
            <w:tcW w:w="1417" w:type="dxa"/>
            <w:vMerge/>
          </w:tcPr>
          <w:p w14:paraId="6DC415EC" w14:textId="77777777" w:rsidR="00454A29" w:rsidRDefault="00454A29"/>
        </w:tc>
        <w:tc>
          <w:tcPr>
            <w:tcW w:w="2204" w:type="dxa"/>
            <w:vMerge/>
          </w:tcPr>
          <w:p w14:paraId="168A010A" w14:textId="77777777" w:rsidR="00454A29" w:rsidRDefault="00454A29"/>
        </w:tc>
        <w:tc>
          <w:tcPr>
            <w:tcW w:w="1417" w:type="dxa"/>
            <w:vMerge/>
          </w:tcPr>
          <w:p w14:paraId="47568B50" w14:textId="77777777" w:rsidR="00454A29" w:rsidRDefault="00454A29"/>
        </w:tc>
        <w:tc>
          <w:tcPr>
            <w:tcW w:w="2324" w:type="dxa"/>
            <w:vMerge/>
          </w:tcPr>
          <w:p w14:paraId="5E2B5C1E" w14:textId="77777777" w:rsidR="00454A29" w:rsidRDefault="00454A29"/>
        </w:tc>
        <w:tc>
          <w:tcPr>
            <w:tcW w:w="1701" w:type="dxa"/>
            <w:vAlign w:val="center"/>
          </w:tcPr>
          <w:p w14:paraId="4079E5DB" w14:textId="77777777" w:rsidR="00454A29" w:rsidRDefault="00454A29">
            <w:pPr>
              <w:pStyle w:val="ConsPlusNormal"/>
            </w:pPr>
          </w:p>
        </w:tc>
        <w:tc>
          <w:tcPr>
            <w:tcW w:w="1814" w:type="dxa"/>
            <w:vAlign w:val="center"/>
          </w:tcPr>
          <w:p w14:paraId="1F73DF2C" w14:textId="77777777" w:rsidR="00454A29" w:rsidRDefault="00454A29">
            <w:pPr>
              <w:pStyle w:val="ConsPlusNormal"/>
            </w:pPr>
          </w:p>
        </w:tc>
        <w:tc>
          <w:tcPr>
            <w:tcW w:w="1701" w:type="dxa"/>
            <w:vAlign w:val="center"/>
          </w:tcPr>
          <w:p w14:paraId="3B4561F1" w14:textId="77777777" w:rsidR="00454A29" w:rsidRDefault="00454A29">
            <w:pPr>
              <w:pStyle w:val="ConsPlusNormal"/>
            </w:pPr>
          </w:p>
        </w:tc>
        <w:tc>
          <w:tcPr>
            <w:tcW w:w="1701" w:type="dxa"/>
            <w:vAlign w:val="center"/>
          </w:tcPr>
          <w:p w14:paraId="6FCB34E9" w14:textId="77777777" w:rsidR="00454A29" w:rsidRDefault="00454A29">
            <w:pPr>
              <w:pStyle w:val="ConsPlusNormal"/>
            </w:pPr>
          </w:p>
        </w:tc>
        <w:tc>
          <w:tcPr>
            <w:tcW w:w="1814" w:type="dxa"/>
            <w:vAlign w:val="center"/>
          </w:tcPr>
          <w:p w14:paraId="61B9D118" w14:textId="77777777" w:rsidR="00454A29" w:rsidRDefault="00454A29">
            <w:pPr>
              <w:pStyle w:val="ConsPlusNormal"/>
            </w:pPr>
          </w:p>
        </w:tc>
      </w:tr>
      <w:tr w:rsidR="00454A29" w14:paraId="34B715E8" w14:textId="77777777">
        <w:tc>
          <w:tcPr>
            <w:tcW w:w="567" w:type="dxa"/>
            <w:vMerge/>
          </w:tcPr>
          <w:p w14:paraId="3B9872D8" w14:textId="77777777" w:rsidR="00454A29" w:rsidRDefault="00454A29"/>
        </w:tc>
        <w:tc>
          <w:tcPr>
            <w:tcW w:w="3345" w:type="dxa"/>
            <w:vMerge/>
          </w:tcPr>
          <w:p w14:paraId="627A9DCF" w14:textId="77777777" w:rsidR="00454A29" w:rsidRDefault="00454A29"/>
        </w:tc>
        <w:tc>
          <w:tcPr>
            <w:tcW w:w="1701" w:type="dxa"/>
            <w:vAlign w:val="center"/>
          </w:tcPr>
          <w:p w14:paraId="15050A22" w14:textId="77777777" w:rsidR="00454A29" w:rsidRDefault="00454A29">
            <w:pPr>
              <w:pStyle w:val="ConsPlusNormal"/>
              <w:jc w:val="center"/>
            </w:pPr>
            <w:r>
              <w:t>2024</w:t>
            </w:r>
          </w:p>
        </w:tc>
        <w:tc>
          <w:tcPr>
            <w:tcW w:w="1417" w:type="dxa"/>
            <w:vMerge/>
          </w:tcPr>
          <w:p w14:paraId="7D627E75" w14:textId="77777777" w:rsidR="00454A29" w:rsidRDefault="00454A29"/>
        </w:tc>
        <w:tc>
          <w:tcPr>
            <w:tcW w:w="2204" w:type="dxa"/>
            <w:vMerge/>
          </w:tcPr>
          <w:p w14:paraId="469A52FA" w14:textId="77777777" w:rsidR="00454A29" w:rsidRDefault="00454A29"/>
        </w:tc>
        <w:tc>
          <w:tcPr>
            <w:tcW w:w="1417" w:type="dxa"/>
            <w:vMerge/>
          </w:tcPr>
          <w:p w14:paraId="296E200E" w14:textId="77777777" w:rsidR="00454A29" w:rsidRDefault="00454A29"/>
        </w:tc>
        <w:tc>
          <w:tcPr>
            <w:tcW w:w="2324" w:type="dxa"/>
            <w:vMerge/>
          </w:tcPr>
          <w:p w14:paraId="00D08DC2" w14:textId="77777777" w:rsidR="00454A29" w:rsidRDefault="00454A29"/>
        </w:tc>
        <w:tc>
          <w:tcPr>
            <w:tcW w:w="1701" w:type="dxa"/>
            <w:vAlign w:val="center"/>
          </w:tcPr>
          <w:p w14:paraId="5BDB08B1" w14:textId="77777777" w:rsidR="00454A29" w:rsidRDefault="00454A29">
            <w:pPr>
              <w:pStyle w:val="ConsPlusNormal"/>
            </w:pPr>
          </w:p>
        </w:tc>
        <w:tc>
          <w:tcPr>
            <w:tcW w:w="1814" w:type="dxa"/>
            <w:vAlign w:val="center"/>
          </w:tcPr>
          <w:p w14:paraId="7CE9577F" w14:textId="77777777" w:rsidR="00454A29" w:rsidRDefault="00454A29">
            <w:pPr>
              <w:pStyle w:val="ConsPlusNormal"/>
            </w:pPr>
          </w:p>
        </w:tc>
        <w:tc>
          <w:tcPr>
            <w:tcW w:w="1701" w:type="dxa"/>
            <w:vAlign w:val="center"/>
          </w:tcPr>
          <w:p w14:paraId="1ECEAFB4" w14:textId="77777777" w:rsidR="00454A29" w:rsidRDefault="00454A29">
            <w:pPr>
              <w:pStyle w:val="ConsPlusNormal"/>
            </w:pPr>
          </w:p>
        </w:tc>
        <w:tc>
          <w:tcPr>
            <w:tcW w:w="1701" w:type="dxa"/>
            <w:vAlign w:val="center"/>
          </w:tcPr>
          <w:p w14:paraId="7A375CEF" w14:textId="77777777" w:rsidR="00454A29" w:rsidRDefault="00454A29">
            <w:pPr>
              <w:pStyle w:val="ConsPlusNormal"/>
            </w:pPr>
          </w:p>
        </w:tc>
        <w:tc>
          <w:tcPr>
            <w:tcW w:w="1814" w:type="dxa"/>
            <w:vAlign w:val="center"/>
          </w:tcPr>
          <w:p w14:paraId="38F54725" w14:textId="77777777" w:rsidR="00454A29" w:rsidRDefault="00454A29">
            <w:pPr>
              <w:pStyle w:val="ConsPlusNormal"/>
            </w:pPr>
          </w:p>
        </w:tc>
      </w:tr>
      <w:tr w:rsidR="00454A29" w14:paraId="64C1DC12" w14:textId="77777777">
        <w:tc>
          <w:tcPr>
            <w:tcW w:w="567" w:type="dxa"/>
            <w:vMerge/>
          </w:tcPr>
          <w:p w14:paraId="6ED03959" w14:textId="77777777" w:rsidR="00454A29" w:rsidRDefault="00454A29"/>
        </w:tc>
        <w:tc>
          <w:tcPr>
            <w:tcW w:w="3345" w:type="dxa"/>
            <w:vMerge/>
          </w:tcPr>
          <w:p w14:paraId="453503E4" w14:textId="77777777" w:rsidR="00454A29" w:rsidRDefault="00454A29"/>
        </w:tc>
        <w:tc>
          <w:tcPr>
            <w:tcW w:w="1701" w:type="dxa"/>
            <w:vAlign w:val="center"/>
          </w:tcPr>
          <w:p w14:paraId="1DE325B6" w14:textId="77777777" w:rsidR="00454A29" w:rsidRDefault="00454A29">
            <w:pPr>
              <w:pStyle w:val="ConsPlusNormal"/>
              <w:jc w:val="center"/>
            </w:pPr>
            <w:r>
              <w:t>2025</w:t>
            </w:r>
          </w:p>
        </w:tc>
        <w:tc>
          <w:tcPr>
            <w:tcW w:w="1417" w:type="dxa"/>
            <w:vMerge/>
          </w:tcPr>
          <w:p w14:paraId="2E2A6F77" w14:textId="77777777" w:rsidR="00454A29" w:rsidRDefault="00454A29"/>
        </w:tc>
        <w:tc>
          <w:tcPr>
            <w:tcW w:w="2204" w:type="dxa"/>
            <w:vMerge/>
          </w:tcPr>
          <w:p w14:paraId="2D02F27C" w14:textId="77777777" w:rsidR="00454A29" w:rsidRDefault="00454A29"/>
        </w:tc>
        <w:tc>
          <w:tcPr>
            <w:tcW w:w="1417" w:type="dxa"/>
            <w:vMerge/>
          </w:tcPr>
          <w:p w14:paraId="651D591C" w14:textId="77777777" w:rsidR="00454A29" w:rsidRDefault="00454A29"/>
        </w:tc>
        <w:tc>
          <w:tcPr>
            <w:tcW w:w="2324" w:type="dxa"/>
            <w:vMerge/>
          </w:tcPr>
          <w:p w14:paraId="31F06DC0" w14:textId="77777777" w:rsidR="00454A29" w:rsidRDefault="00454A29"/>
        </w:tc>
        <w:tc>
          <w:tcPr>
            <w:tcW w:w="1701" w:type="dxa"/>
            <w:vAlign w:val="center"/>
          </w:tcPr>
          <w:p w14:paraId="6FAF2BC6" w14:textId="77777777" w:rsidR="00454A29" w:rsidRDefault="00454A29">
            <w:pPr>
              <w:pStyle w:val="ConsPlusNormal"/>
            </w:pPr>
          </w:p>
        </w:tc>
        <w:tc>
          <w:tcPr>
            <w:tcW w:w="1814" w:type="dxa"/>
            <w:vAlign w:val="center"/>
          </w:tcPr>
          <w:p w14:paraId="2E2F40A5" w14:textId="77777777" w:rsidR="00454A29" w:rsidRDefault="00454A29">
            <w:pPr>
              <w:pStyle w:val="ConsPlusNormal"/>
            </w:pPr>
          </w:p>
        </w:tc>
        <w:tc>
          <w:tcPr>
            <w:tcW w:w="1701" w:type="dxa"/>
            <w:vAlign w:val="center"/>
          </w:tcPr>
          <w:p w14:paraId="65CFBB34" w14:textId="77777777" w:rsidR="00454A29" w:rsidRDefault="00454A29">
            <w:pPr>
              <w:pStyle w:val="ConsPlusNormal"/>
            </w:pPr>
          </w:p>
        </w:tc>
        <w:tc>
          <w:tcPr>
            <w:tcW w:w="1701" w:type="dxa"/>
            <w:vAlign w:val="center"/>
          </w:tcPr>
          <w:p w14:paraId="6D4D9BBF" w14:textId="77777777" w:rsidR="00454A29" w:rsidRDefault="00454A29">
            <w:pPr>
              <w:pStyle w:val="ConsPlusNormal"/>
            </w:pPr>
          </w:p>
        </w:tc>
        <w:tc>
          <w:tcPr>
            <w:tcW w:w="1814" w:type="dxa"/>
            <w:vAlign w:val="center"/>
          </w:tcPr>
          <w:p w14:paraId="555CD0C4" w14:textId="77777777" w:rsidR="00454A29" w:rsidRDefault="00454A29">
            <w:pPr>
              <w:pStyle w:val="ConsPlusNormal"/>
            </w:pPr>
          </w:p>
        </w:tc>
      </w:tr>
      <w:tr w:rsidR="00454A29" w14:paraId="45FAE11B" w14:textId="77777777">
        <w:tc>
          <w:tcPr>
            <w:tcW w:w="567" w:type="dxa"/>
            <w:vMerge/>
          </w:tcPr>
          <w:p w14:paraId="7C249BD1" w14:textId="77777777" w:rsidR="00454A29" w:rsidRDefault="00454A29"/>
        </w:tc>
        <w:tc>
          <w:tcPr>
            <w:tcW w:w="3345" w:type="dxa"/>
            <w:vMerge/>
          </w:tcPr>
          <w:p w14:paraId="237A95BE" w14:textId="77777777" w:rsidR="00454A29" w:rsidRDefault="00454A29"/>
        </w:tc>
        <w:tc>
          <w:tcPr>
            <w:tcW w:w="1701" w:type="dxa"/>
            <w:vAlign w:val="center"/>
          </w:tcPr>
          <w:p w14:paraId="30CF5465" w14:textId="77777777" w:rsidR="00454A29" w:rsidRDefault="00454A29">
            <w:pPr>
              <w:pStyle w:val="ConsPlusNormal"/>
              <w:jc w:val="center"/>
            </w:pPr>
            <w:r>
              <w:t>2026</w:t>
            </w:r>
          </w:p>
        </w:tc>
        <w:tc>
          <w:tcPr>
            <w:tcW w:w="1417" w:type="dxa"/>
            <w:vMerge/>
          </w:tcPr>
          <w:p w14:paraId="1CE56D47" w14:textId="77777777" w:rsidR="00454A29" w:rsidRDefault="00454A29"/>
        </w:tc>
        <w:tc>
          <w:tcPr>
            <w:tcW w:w="2204" w:type="dxa"/>
            <w:vMerge/>
          </w:tcPr>
          <w:p w14:paraId="289DF451" w14:textId="77777777" w:rsidR="00454A29" w:rsidRDefault="00454A29"/>
        </w:tc>
        <w:tc>
          <w:tcPr>
            <w:tcW w:w="1417" w:type="dxa"/>
            <w:vMerge/>
          </w:tcPr>
          <w:p w14:paraId="4EB291C1" w14:textId="77777777" w:rsidR="00454A29" w:rsidRDefault="00454A29"/>
        </w:tc>
        <w:tc>
          <w:tcPr>
            <w:tcW w:w="2324" w:type="dxa"/>
            <w:vMerge/>
          </w:tcPr>
          <w:p w14:paraId="338E7A26" w14:textId="77777777" w:rsidR="00454A29" w:rsidRDefault="00454A29"/>
        </w:tc>
        <w:tc>
          <w:tcPr>
            <w:tcW w:w="1701" w:type="dxa"/>
            <w:vAlign w:val="center"/>
          </w:tcPr>
          <w:p w14:paraId="7BF0BFE5" w14:textId="77777777" w:rsidR="00454A29" w:rsidRDefault="00454A29">
            <w:pPr>
              <w:pStyle w:val="ConsPlusNormal"/>
              <w:jc w:val="center"/>
            </w:pPr>
            <w:r>
              <w:t>294259,62</w:t>
            </w:r>
          </w:p>
        </w:tc>
        <w:tc>
          <w:tcPr>
            <w:tcW w:w="1814" w:type="dxa"/>
            <w:vAlign w:val="center"/>
          </w:tcPr>
          <w:p w14:paraId="5DFEA7F4" w14:textId="77777777" w:rsidR="00454A29" w:rsidRDefault="00454A29">
            <w:pPr>
              <w:pStyle w:val="ConsPlusNormal"/>
              <w:jc w:val="center"/>
            </w:pPr>
            <w:r>
              <w:t>3625,28</w:t>
            </w:r>
          </w:p>
        </w:tc>
        <w:tc>
          <w:tcPr>
            <w:tcW w:w="1701" w:type="dxa"/>
            <w:vAlign w:val="center"/>
          </w:tcPr>
          <w:p w14:paraId="0D7E2DE9" w14:textId="77777777" w:rsidR="00454A29" w:rsidRDefault="00454A29">
            <w:pPr>
              <w:pStyle w:val="ConsPlusNormal"/>
              <w:jc w:val="center"/>
            </w:pPr>
            <w:r>
              <w:t>358902,57</w:t>
            </w:r>
          </w:p>
        </w:tc>
        <w:tc>
          <w:tcPr>
            <w:tcW w:w="1701" w:type="dxa"/>
            <w:vAlign w:val="center"/>
          </w:tcPr>
          <w:p w14:paraId="3CB3F732" w14:textId="77777777" w:rsidR="00454A29" w:rsidRDefault="00454A29">
            <w:pPr>
              <w:pStyle w:val="ConsPlusNormal"/>
            </w:pPr>
          </w:p>
        </w:tc>
        <w:tc>
          <w:tcPr>
            <w:tcW w:w="1814" w:type="dxa"/>
            <w:vAlign w:val="center"/>
          </w:tcPr>
          <w:p w14:paraId="5F1F11CD" w14:textId="77777777" w:rsidR="00454A29" w:rsidRDefault="00454A29">
            <w:pPr>
              <w:pStyle w:val="ConsPlusNormal"/>
            </w:pPr>
          </w:p>
        </w:tc>
      </w:tr>
      <w:tr w:rsidR="00454A29" w14:paraId="79AF5F5F" w14:textId="77777777">
        <w:tc>
          <w:tcPr>
            <w:tcW w:w="21706" w:type="dxa"/>
            <w:gridSpan w:val="12"/>
            <w:vAlign w:val="center"/>
          </w:tcPr>
          <w:p w14:paraId="449A9769" w14:textId="77777777" w:rsidR="00454A29" w:rsidRDefault="00454A29">
            <w:pPr>
              <w:pStyle w:val="ConsPlusNormal"/>
              <w:jc w:val="center"/>
              <w:outlineLvl w:val="2"/>
            </w:pPr>
            <w:r>
              <w:t>МР "Булунский улус (район)"</w:t>
            </w:r>
          </w:p>
        </w:tc>
      </w:tr>
      <w:tr w:rsidR="00454A29" w14:paraId="055F026F" w14:textId="77777777">
        <w:tc>
          <w:tcPr>
            <w:tcW w:w="567" w:type="dxa"/>
            <w:vMerge w:val="restart"/>
            <w:vAlign w:val="center"/>
          </w:tcPr>
          <w:p w14:paraId="57EAC39C" w14:textId="77777777" w:rsidR="00454A29" w:rsidRDefault="00454A29">
            <w:pPr>
              <w:pStyle w:val="ConsPlusNormal"/>
              <w:jc w:val="center"/>
            </w:pPr>
            <w:r>
              <w:t>18</w:t>
            </w:r>
          </w:p>
        </w:tc>
        <w:tc>
          <w:tcPr>
            <w:tcW w:w="3345" w:type="dxa"/>
            <w:vMerge w:val="restart"/>
            <w:vAlign w:val="center"/>
          </w:tcPr>
          <w:p w14:paraId="645F1A80" w14:textId="77777777" w:rsidR="00454A29" w:rsidRDefault="00454A29">
            <w:pPr>
              <w:pStyle w:val="ConsPlusNormal"/>
              <w:jc w:val="center"/>
            </w:pPr>
            <w:r>
              <w:t>Школа на 120 учащихся в с. Таймылыр</w:t>
            </w:r>
          </w:p>
        </w:tc>
        <w:tc>
          <w:tcPr>
            <w:tcW w:w="1701" w:type="dxa"/>
            <w:vAlign w:val="center"/>
          </w:tcPr>
          <w:p w14:paraId="2F8890BE" w14:textId="77777777" w:rsidR="00454A29" w:rsidRDefault="00454A29">
            <w:pPr>
              <w:pStyle w:val="ConsPlusNormal"/>
              <w:jc w:val="center"/>
            </w:pPr>
            <w:r>
              <w:t>2020 - 2026 годы - всего</w:t>
            </w:r>
          </w:p>
        </w:tc>
        <w:tc>
          <w:tcPr>
            <w:tcW w:w="1417" w:type="dxa"/>
            <w:vMerge w:val="restart"/>
            <w:vAlign w:val="center"/>
          </w:tcPr>
          <w:p w14:paraId="2525A69C" w14:textId="77777777" w:rsidR="00454A29" w:rsidRDefault="00454A29">
            <w:pPr>
              <w:pStyle w:val="ConsPlusNormal"/>
              <w:jc w:val="center"/>
            </w:pPr>
            <w:r>
              <w:t>420 044,60</w:t>
            </w:r>
          </w:p>
        </w:tc>
        <w:tc>
          <w:tcPr>
            <w:tcW w:w="2204" w:type="dxa"/>
            <w:vMerge w:val="restart"/>
            <w:vAlign w:val="center"/>
          </w:tcPr>
          <w:p w14:paraId="3075837E" w14:textId="77777777" w:rsidR="00454A29" w:rsidRDefault="00454A29">
            <w:pPr>
              <w:pStyle w:val="ConsPlusNormal"/>
            </w:pPr>
          </w:p>
        </w:tc>
        <w:tc>
          <w:tcPr>
            <w:tcW w:w="1417" w:type="dxa"/>
            <w:vMerge w:val="restart"/>
            <w:vAlign w:val="center"/>
          </w:tcPr>
          <w:p w14:paraId="274243EE" w14:textId="77777777" w:rsidR="00454A29" w:rsidRDefault="00454A29">
            <w:pPr>
              <w:pStyle w:val="ConsPlusNormal"/>
              <w:jc w:val="center"/>
            </w:pPr>
            <w:r>
              <w:t>120</w:t>
            </w:r>
          </w:p>
        </w:tc>
        <w:tc>
          <w:tcPr>
            <w:tcW w:w="2324" w:type="dxa"/>
            <w:vMerge w:val="restart"/>
            <w:vAlign w:val="center"/>
          </w:tcPr>
          <w:p w14:paraId="3434BC0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61F4092" w14:textId="77777777" w:rsidR="00454A29" w:rsidRDefault="00454A29">
            <w:pPr>
              <w:pStyle w:val="ConsPlusNormal"/>
              <w:jc w:val="center"/>
            </w:pPr>
            <w:r>
              <w:t>420 044,60</w:t>
            </w:r>
          </w:p>
        </w:tc>
        <w:tc>
          <w:tcPr>
            <w:tcW w:w="1814" w:type="dxa"/>
            <w:vAlign w:val="center"/>
          </w:tcPr>
          <w:p w14:paraId="57FD18EC" w14:textId="77777777" w:rsidR="00454A29" w:rsidRDefault="00454A29">
            <w:pPr>
              <w:pStyle w:val="ConsPlusNormal"/>
              <w:jc w:val="center"/>
            </w:pPr>
            <w:r>
              <w:t>5 313,56</w:t>
            </w:r>
          </w:p>
        </w:tc>
        <w:tc>
          <w:tcPr>
            <w:tcW w:w="1701" w:type="dxa"/>
            <w:vAlign w:val="center"/>
          </w:tcPr>
          <w:p w14:paraId="23B2078D" w14:textId="77777777" w:rsidR="00454A29" w:rsidRDefault="00454A29">
            <w:pPr>
              <w:pStyle w:val="ConsPlusNormal"/>
              <w:jc w:val="center"/>
            </w:pPr>
            <w:r>
              <w:t>526 042,85</w:t>
            </w:r>
          </w:p>
        </w:tc>
        <w:tc>
          <w:tcPr>
            <w:tcW w:w="1701" w:type="dxa"/>
            <w:vAlign w:val="center"/>
          </w:tcPr>
          <w:p w14:paraId="7FD882B0" w14:textId="77777777" w:rsidR="00454A29" w:rsidRDefault="00454A29">
            <w:pPr>
              <w:pStyle w:val="ConsPlusNormal"/>
              <w:jc w:val="center"/>
            </w:pPr>
            <w:r>
              <w:t>-</w:t>
            </w:r>
          </w:p>
        </w:tc>
        <w:tc>
          <w:tcPr>
            <w:tcW w:w="1814" w:type="dxa"/>
            <w:vAlign w:val="center"/>
          </w:tcPr>
          <w:p w14:paraId="301A8B4E" w14:textId="77777777" w:rsidR="00454A29" w:rsidRDefault="00454A29">
            <w:pPr>
              <w:pStyle w:val="ConsPlusNormal"/>
              <w:jc w:val="center"/>
            </w:pPr>
            <w:r>
              <w:t>-</w:t>
            </w:r>
          </w:p>
        </w:tc>
      </w:tr>
      <w:tr w:rsidR="00454A29" w14:paraId="2F1CB313" w14:textId="77777777">
        <w:tc>
          <w:tcPr>
            <w:tcW w:w="567" w:type="dxa"/>
            <w:vMerge/>
          </w:tcPr>
          <w:p w14:paraId="28ED20A9" w14:textId="77777777" w:rsidR="00454A29" w:rsidRDefault="00454A29"/>
        </w:tc>
        <w:tc>
          <w:tcPr>
            <w:tcW w:w="3345" w:type="dxa"/>
            <w:vMerge/>
          </w:tcPr>
          <w:p w14:paraId="2C0AC00C" w14:textId="77777777" w:rsidR="00454A29" w:rsidRDefault="00454A29"/>
        </w:tc>
        <w:tc>
          <w:tcPr>
            <w:tcW w:w="1701" w:type="dxa"/>
            <w:vAlign w:val="center"/>
          </w:tcPr>
          <w:p w14:paraId="33765F3B" w14:textId="77777777" w:rsidR="00454A29" w:rsidRDefault="00454A29">
            <w:pPr>
              <w:pStyle w:val="ConsPlusNormal"/>
              <w:jc w:val="center"/>
            </w:pPr>
            <w:r>
              <w:t>2020</w:t>
            </w:r>
          </w:p>
        </w:tc>
        <w:tc>
          <w:tcPr>
            <w:tcW w:w="1417" w:type="dxa"/>
            <w:vMerge/>
          </w:tcPr>
          <w:p w14:paraId="5F30303A" w14:textId="77777777" w:rsidR="00454A29" w:rsidRDefault="00454A29"/>
        </w:tc>
        <w:tc>
          <w:tcPr>
            <w:tcW w:w="2204" w:type="dxa"/>
            <w:vMerge/>
          </w:tcPr>
          <w:p w14:paraId="56B6FA16" w14:textId="77777777" w:rsidR="00454A29" w:rsidRDefault="00454A29"/>
        </w:tc>
        <w:tc>
          <w:tcPr>
            <w:tcW w:w="1417" w:type="dxa"/>
            <w:vMerge/>
          </w:tcPr>
          <w:p w14:paraId="44A4EFBD" w14:textId="77777777" w:rsidR="00454A29" w:rsidRDefault="00454A29"/>
        </w:tc>
        <w:tc>
          <w:tcPr>
            <w:tcW w:w="2324" w:type="dxa"/>
            <w:vMerge/>
          </w:tcPr>
          <w:p w14:paraId="068E0606" w14:textId="77777777" w:rsidR="00454A29" w:rsidRDefault="00454A29"/>
        </w:tc>
        <w:tc>
          <w:tcPr>
            <w:tcW w:w="1701" w:type="dxa"/>
            <w:vAlign w:val="center"/>
          </w:tcPr>
          <w:p w14:paraId="1189B7EC" w14:textId="77777777" w:rsidR="00454A29" w:rsidRDefault="00454A29">
            <w:pPr>
              <w:pStyle w:val="ConsPlusNormal"/>
            </w:pPr>
          </w:p>
        </w:tc>
        <w:tc>
          <w:tcPr>
            <w:tcW w:w="1814" w:type="dxa"/>
            <w:vAlign w:val="center"/>
          </w:tcPr>
          <w:p w14:paraId="6B61A4DC" w14:textId="77777777" w:rsidR="00454A29" w:rsidRDefault="00454A29">
            <w:pPr>
              <w:pStyle w:val="ConsPlusNormal"/>
            </w:pPr>
          </w:p>
        </w:tc>
        <w:tc>
          <w:tcPr>
            <w:tcW w:w="1701" w:type="dxa"/>
            <w:vAlign w:val="center"/>
          </w:tcPr>
          <w:p w14:paraId="1BFE7ABE" w14:textId="77777777" w:rsidR="00454A29" w:rsidRDefault="00454A29">
            <w:pPr>
              <w:pStyle w:val="ConsPlusNormal"/>
            </w:pPr>
          </w:p>
        </w:tc>
        <w:tc>
          <w:tcPr>
            <w:tcW w:w="1701" w:type="dxa"/>
            <w:vAlign w:val="center"/>
          </w:tcPr>
          <w:p w14:paraId="0CB79761" w14:textId="77777777" w:rsidR="00454A29" w:rsidRDefault="00454A29">
            <w:pPr>
              <w:pStyle w:val="ConsPlusNormal"/>
            </w:pPr>
          </w:p>
        </w:tc>
        <w:tc>
          <w:tcPr>
            <w:tcW w:w="1814" w:type="dxa"/>
            <w:vAlign w:val="center"/>
          </w:tcPr>
          <w:p w14:paraId="7A371B3C" w14:textId="77777777" w:rsidR="00454A29" w:rsidRDefault="00454A29">
            <w:pPr>
              <w:pStyle w:val="ConsPlusNormal"/>
            </w:pPr>
          </w:p>
        </w:tc>
      </w:tr>
      <w:tr w:rsidR="00454A29" w14:paraId="20518F68" w14:textId="77777777">
        <w:tc>
          <w:tcPr>
            <w:tcW w:w="567" w:type="dxa"/>
            <w:vMerge/>
          </w:tcPr>
          <w:p w14:paraId="7B0EB77E" w14:textId="77777777" w:rsidR="00454A29" w:rsidRDefault="00454A29"/>
        </w:tc>
        <w:tc>
          <w:tcPr>
            <w:tcW w:w="3345" w:type="dxa"/>
            <w:vMerge/>
          </w:tcPr>
          <w:p w14:paraId="7EA24392" w14:textId="77777777" w:rsidR="00454A29" w:rsidRDefault="00454A29"/>
        </w:tc>
        <w:tc>
          <w:tcPr>
            <w:tcW w:w="1701" w:type="dxa"/>
            <w:vAlign w:val="center"/>
          </w:tcPr>
          <w:p w14:paraId="32074056" w14:textId="77777777" w:rsidR="00454A29" w:rsidRDefault="00454A29">
            <w:pPr>
              <w:pStyle w:val="ConsPlusNormal"/>
              <w:jc w:val="center"/>
            </w:pPr>
            <w:r>
              <w:t>2021</w:t>
            </w:r>
          </w:p>
        </w:tc>
        <w:tc>
          <w:tcPr>
            <w:tcW w:w="1417" w:type="dxa"/>
            <w:vMerge/>
          </w:tcPr>
          <w:p w14:paraId="5B3BE64D" w14:textId="77777777" w:rsidR="00454A29" w:rsidRDefault="00454A29"/>
        </w:tc>
        <w:tc>
          <w:tcPr>
            <w:tcW w:w="2204" w:type="dxa"/>
            <w:vMerge/>
          </w:tcPr>
          <w:p w14:paraId="23FF079E" w14:textId="77777777" w:rsidR="00454A29" w:rsidRDefault="00454A29"/>
        </w:tc>
        <w:tc>
          <w:tcPr>
            <w:tcW w:w="1417" w:type="dxa"/>
            <w:vMerge/>
          </w:tcPr>
          <w:p w14:paraId="09D4049B" w14:textId="77777777" w:rsidR="00454A29" w:rsidRDefault="00454A29"/>
        </w:tc>
        <w:tc>
          <w:tcPr>
            <w:tcW w:w="2324" w:type="dxa"/>
            <w:vMerge/>
          </w:tcPr>
          <w:p w14:paraId="25C1575F" w14:textId="77777777" w:rsidR="00454A29" w:rsidRDefault="00454A29"/>
        </w:tc>
        <w:tc>
          <w:tcPr>
            <w:tcW w:w="1701" w:type="dxa"/>
            <w:vAlign w:val="center"/>
          </w:tcPr>
          <w:p w14:paraId="05419FAC" w14:textId="77777777" w:rsidR="00454A29" w:rsidRDefault="00454A29">
            <w:pPr>
              <w:pStyle w:val="ConsPlusNormal"/>
            </w:pPr>
          </w:p>
        </w:tc>
        <w:tc>
          <w:tcPr>
            <w:tcW w:w="1814" w:type="dxa"/>
            <w:vAlign w:val="center"/>
          </w:tcPr>
          <w:p w14:paraId="419739E3" w14:textId="77777777" w:rsidR="00454A29" w:rsidRDefault="00454A29">
            <w:pPr>
              <w:pStyle w:val="ConsPlusNormal"/>
            </w:pPr>
          </w:p>
        </w:tc>
        <w:tc>
          <w:tcPr>
            <w:tcW w:w="1701" w:type="dxa"/>
            <w:vAlign w:val="center"/>
          </w:tcPr>
          <w:p w14:paraId="6194A057" w14:textId="77777777" w:rsidR="00454A29" w:rsidRDefault="00454A29">
            <w:pPr>
              <w:pStyle w:val="ConsPlusNormal"/>
            </w:pPr>
          </w:p>
        </w:tc>
        <w:tc>
          <w:tcPr>
            <w:tcW w:w="1701" w:type="dxa"/>
            <w:vAlign w:val="center"/>
          </w:tcPr>
          <w:p w14:paraId="1DD81282" w14:textId="77777777" w:rsidR="00454A29" w:rsidRDefault="00454A29">
            <w:pPr>
              <w:pStyle w:val="ConsPlusNormal"/>
            </w:pPr>
          </w:p>
        </w:tc>
        <w:tc>
          <w:tcPr>
            <w:tcW w:w="1814" w:type="dxa"/>
            <w:vAlign w:val="center"/>
          </w:tcPr>
          <w:p w14:paraId="054AC418" w14:textId="77777777" w:rsidR="00454A29" w:rsidRDefault="00454A29">
            <w:pPr>
              <w:pStyle w:val="ConsPlusNormal"/>
            </w:pPr>
          </w:p>
        </w:tc>
      </w:tr>
      <w:tr w:rsidR="00454A29" w14:paraId="00731C96" w14:textId="77777777">
        <w:tc>
          <w:tcPr>
            <w:tcW w:w="567" w:type="dxa"/>
            <w:vMerge/>
          </w:tcPr>
          <w:p w14:paraId="73F75594" w14:textId="77777777" w:rsidR="00454A29" w:rsidRDefault="00454A29"/>
        </w:tc>
        <w:tc>
          <w:tcPr>
            <w:tcW w:w="3345" w:type="dxa"/>
            <w:vMerge/>
          </w:tcPr>
          <w:p w14:paraId="729B15EF" w14:textId="77777777" w:rsidR="00454A29" w:rsidRDefault="00454A29"/>
        </w:tc>
        <w:tc>
          <w:tcPr>
            <w:tcW w:w="1701" w:type="dxa"/>
            <w:vAlign w:val="center"/>
          </w:tcPr>
          <w:p w14:paraId="42A565BD" w14:textId="77777777" w:rsidR="00454A29" w:rsidRDefault="00454A29">
            <w:pPr>
              <w:pStyle w:val="ConsPlusNormal"/>
              <w:jc w:val="center"/>
            </w:pPr>
            <w:r>
              <w:t>2022</w:t>
            </w:r>
          </w:p>
        </w:tc>
        <w:tc>
          <w:tcPr>
            <w:tcW w:w="1417" w:type="dxa"/>
            <w:vMerge/>
          </w:tcPr>
          <w:p w14:paraId="5E3CDD7F" w14:textId="77777777" w:rsidR="00454A29" w:rsidRDefault="00454A29"/>
        </w:tc>
        <w:tc>
          <w:tcPr>
            <w:tcW w:w="2204" w:type="dxa"/>
            <w:vMerge/>
          </w:tcPr>
          <w:p w14:paraId="600A492C" w14:textId="77777777" w:rsidR="00454A29" w:rsidRDefault="00454A29"/>
        </w:tc>
        <w:tc>
          <w:tcPr>
            <w:tcW w:w="1417" w:type="dxa"/>
            <w:vMerge/>
          </w:tcPr>
          <w:p w14:paraId="05A5F661" w14:textId="77777777" w:rsidR="00454A29" w:rsidRDefault="00454A29"/>
        </w:tc>
        <w:tc>
          <w:tcPr>
            <w:tcW w:w="2324" w:type="dxa"/>
            <w:vMerge/>
          </w:tcPr>
          <w:p w14:paraId="4AE98F1A" w14:textId="77777777" w:rsidR="00454A29" w:rsidRDefault="00454A29"/>
        </w:tc>
        <w:tc>
          <w:tcPr>
            <w:tcW w:w="1701" w:type="dxa"/>
            <w:vAlign w:val="center"/>
          </w:tcPr>
          <w:p w14:paraId="7D23A432" w14:textId="77777777" w:rsidR="00454A29" w:rsidRDefault="00454A29">
            <w:pPr>
              <w:pStyle w:val="ConsPlusNormal"/>
            </w:pPr>
          </w:p>
        </w:tc>
        <w:tc>
          <w:tcPr>
            <w:tcW w:w="1814" w:type="dxa"/>
            <w:vAlign w:val="center"/>
          </w:tcPr>
          <w:p w14:paraId="5B5F0481" w14:textId="77777777" w:rsidR="00454A29" w:rsidRDefault="00454A29">
            <w:pPr>
              <w:pStyle w:val="ConsPlusNormal"/>
            </w:pPr>
          </w:p>
        </w:tc>
        <w:tc>
          <w:tcPr>
            <w:tcW w:w="1701" w:type="dxa"/>
            <w:vAlign w:val="center"/>
          </w:tcPr>
          <w:p w14:paraId="673CA9E5" w14:textId="77777777" w:rsidR="00454A29" w:rsidRDefault="00454A29">
            <w:pPr>
              <w:pStyle w:val="ConsPlusNormal"/>
            </w:pPr>
          </w:p>
        </w:tc>
        <w:tc>
          <w:tcPr>
            <w:tcW w:w="1701" w:type="dxa"/>
            <w:vAlign w:val="center"/>
          </w:tcPr>
          <w:p w14:paraId="1D4E98A6" w14:textId="77777777" w:rsidR="00454A29" w:rsidRDefault="00454A29">
            <w:pPr>
              <w:pStyle w:val="ConsPlusNormal"/>
            </w:pPr>
          </w:p>
        </w:tc>
        <w:tc>
          <w:tcPr>
            <w:tcW w:w="1814" w:type="dxa"/>
            <w:vAlign w:val="center"/>
          </w:tcPr>
          <w:p w14:paraId="6B42E5B4" w14:textId="77777777" w:rsidR="00454A29" w:rsidRDefault="00454A29">
            <w:pPr>
              <w:pStyle w:val="ConsPlusNormal"/>
            </w:pPr>
          </w:p>
        </w:tc>
      </w:tr>
      <w:tr w:rsidR="00454A29" w14:paraId="4C809B47" w14:textId="77777777">
        <w:tc>
          <w:tcPr>
            <w:tcW w:w="567" w:type="dxa"/>
            <w:vMerge/>
          </w:tcPr>
          <w:p w14:paraId="5B1C5313" w14:textId="77777777" w:rsidR="00454A29" w:rsidRDefault="00454A29"/>
        </w:tc>
        <w:tc>
          <w:tcPr>
            <w:tcW w:w="3345" w:type="dxa"/>
            <w:vMerge/>
          </w:tcPr>
          <w:p w14:paraId="68ABDCAA" w14:textId="77777777" w:rsidR="00454A29" w:rsidRDefault="00454A29"/>
        </w:tc>
        <w:tc>
          <w:tcPr>
            <w:tcW w:w="1701" w:type="dxa"/>
            <w:vAlign w:val="center"/>
          </w:tcPr>
          <w:p w14:paraId="243D461E" w14:textId="77777777" w:rsidR="00454A29" w:rsidRDefault="00454A29">
            <w:pPr>
              <w:pStyle w:val="ConsPlusNormal"/>
              <w:jc w:val="center"/>
            </w:pPr>
            <w:r>
              <w:t>2023</w:t>
            </w:r>
          </w:p>
        </w:tc>
        <w:tc>
          <w:tcPr>
            <w:tcW w:w="1417" w:type="dxa"/>
            <w:vMerge/>
          </w:tcPr>
          <w:p w14:paraId="5DB7B700" w14:textId="77777777" w:rsidR="00454A29" w:rsidRDefault="00454A29"/>
        </w:tc>
        <w:tc>
          <w:tcPr>
            <w:tcW w:w="2204" w:type="dxa"/>
            <w:vMerge/>
          </w:tcPr>
          <w:p w14:paraId="6BF46D7D" w14:textId="77777777" w:rsidR="00454A29" w:rsidRDefault="00454A29"/>
        </w:tc>
        <w:tc>
          <w:tcPr>
            <w:tcW w:w="1417" w:type="dxa"/>
            <w:vMerge/>
          </w:tcPr>
          <w:p w14:paraId="1B19433B" w14:textId="77777777" w:rsidR="00454A29" w:rsidRDefault="00454A29"/>
        </w:tc>
        <w:tc>
          <w:tcPr>
            <w:tcW w:w="2324" w:type="dxa"/>
            <w:vMerge/>
          </w:tcPr>
          <w:p w14:paraId="3334FAC9" w14:textId="77777777" w:rsidR="00454A29" w:rsidRDefault="00454A29"/>
        </w:tc>
        <w:tc>
          <w:tcPr>
            <w:tcW w:w="1701" w:type="dxa"/>
            <w:vAlign w:val="center"/>
          </w:tcPr>
          <w:p w14:paraId="1285CE62" w14:textId="77777777" w:rsidR="00454A29" w:rsidRDefault="00454A29">
            <w:pPr>
              <w:pStyle w:val="ConsPlusNormal"/>
            </w:pPr>
          </w:p>
        </w:tc>
        <w:tc>
          <w:tcPr>
            <w:tcW w:w="1814" w:type="dxa"/>
            <w:vAlign w:val="center"/>
          </w:tcPr>
          <w:p w14:paraId="324B4584" w14:textId="77777777" w:rsidR="00454A29" w:rsidRDefault="00454A29">
            <w:pPr>
              <w:pStyle w:val="ConsPlusNormal"/>
            </w:pPr>
          </w:p>
        </w:tc>
        <w:tc>
          <w:tcPr>
            <w:tcW w:w="1701" w:type="dxa"/>
            <w:vAlign w:val="center"/>
          </w:tcPr>
          <w:p w14:paraId="0CB6B079" w14:textId="77777777" w:rsidR="00454A29" w:rsidRDefault="00454A29">
            <w:pPr>
              <w:pStyle w:val="ConsPlusNormal"/>
            </w:pPr>
          </w:p>
        </w:tc>
        <w:tc>
          <w:tcPr>
            <w:tcW w:w="1701" w:type="dxa"/>
            <w:vAlign w:val="center"/>
          </w:tcPr>
          <w:p w14:paraId="579CCB6D" w14:textId="77777777" w:rsidR="00454A29" w:rsidRDefault="00454A29">
            <w:pPr>
              <w:pStyle w:val="ConsPlusNormal"/>
            </w:pPr>
          </w:p>
        </w:tc>
        <w:tc>
          <w:tcPr>
            <w:tcW w:w="1814" w:type="dxa"/>
            <w:vAlign w:val="center"/>
          </w:tcPr>
          <w:p w14:paraId="3534FAA7" w14:textId="77777777" w:rsidR="00454A29" w:rsidRDefault="00454A29">
            <w:pPr>
              <w:pStyle w:val="ConsPlusNormal"/>
            </w:pPr>
          </w:p>
        </w:tc>
      </w:tr>
      <w:tr w:rsidR="00454A29" w14:paraId="7E918188" w14:textId="77777777">
        <w:tc>
          <w:tcPr>
            <w:tcW w:w="567" w:type="dxa"/>
            <w:vMerge/>
          </w:tcPr>
          <w:p w14:paraId="7CD1DEFC" w14:textId="77777777" w:rsidR="00454A29" w:rsidRDefault="00454A29"/>
        </w:tc>
        <w:tc>
          <w:tcPr>
            <w:tcW w:w="3345" w:type="dxa"/>
            <w:vMerge/>
          </w:tcPr>
          <w:p w14:paraId="1A6474D7" w14:textId="77777777" w:rsidR="00454A29" w:rsidRDefault="00454A29"/>
        </w:tc>
        <w:tc>
          <w:tcPr>
            <w:tcW w:w="1701" w:type="dxa"/>
            <w:vAlign w:val="center"/>
          </w:tcPr>
          <w:p w14:paraId="1AE3295C" w14:textId="77777777" w:rsidR="00454A29" w:rsidRDefault="00454A29">
            <w:pPr>
              <w:pStyle w:val="ConsPlusNormal"/>
              <w:jc w:val="center"/>
            </w:pPr>
            <w:r>
              <w:t>2024</w:t>
            </w:r>
          </w:p>
        </w:tc>
        <w:tc>
          <w:tcPr>
            <w:tcW w:w="1417" w:type="dxa"/>
            <w:vMerge/>
          </w:tcPr>
          <w:p w14:paraId="17B66C51" w14:textId="77777777" w:rsidR="00454A29" w:rsidRDefault="00454A29"/>
        </w:tc>
        <w:tc>
          <w:tcPr>
            <w:tcW w:w="2204" w:type="dxa"/>
            <w:vMerge/>
          </w:tcPr>
          <w:p w14:paraId="4C661440" w14:textId="77777777" w:rsidR="00454A29" w:rsidRDefault="00454A29"/>
        </w:tc>
        <w:tc>
          <w:tcPr>
            <w:tcW w:w="1417" w:type="dxa"/>
            <w:vMerge/>
          </w:tcPr>
          <w:p w14:paraId="0323B744" w14:textId="77777777" w:rsidR="00454A29" w:rsidRDefault="00454A29"/>
        </w:tc>
        <w:tc>
          <w:tcPr>
            <w:tcW w:w="2324" w:type="dxa"/>
            <w:vMerge/>
          </w:tcPr>
          <w:p w14:paraId="0C3A6148" w14:textId="77777777" w:rsidR="00454A29" w:rsidRDefault="00454A29"/>
        </w:tc>
        <w:tc>
          <w:tcPr>
            <w:tcW w:w="1701" w:type="dxa"/>
            <w:vAlign w:val="center"/>
          </w:tcPr>
          <w:p w14:paraId="36B2B5C4" w14:textId="77777777" w:rsidR="00454A29" w:rsidRDefault="00454A29">
            <w:pPr>
              <w:pStyle w:val="ConsPlusNormal"/>
            </w:pPr>
          </w:p>
        </w:tc>
        <w:tc>
          <w:tcPr>
            <w:tcW w:w="1814" w:type="dxa"/>
            <w:vAlign w:val="center"/>
          </w:tcPr>
          <w:p w14:paraId="00F3E9ED" w14:textId="77777777" w:rsidR="00454A29" w:rsidRDefault="00454A29">
            <w:pPr>
              <w:pStyle w:val="ConsPlusNormal"/>
            </w:pPr>
          </w:p>
        </w:tc>
        <w:tc>
          <w:tcPr>
            <w:tcW w:w="1701" w:type="dxa"/>
            <w:vAlign w:val="center"/>
          </w:tcPr>
          <w:p w14:paraId="2861E976" w14:textId="77777777" w:rsidR="00454A29" w:rsidRDefault="00454A29">
            <w:pPr>
              <w:pStyle w:val="ConsPlusNormal"/>
            </w:pPr>
          </w:p>
        </w:tc>
        <w:tc>
          <w:tcPr>
            <w:tcW w:w="1701" w:type="dxa"/>
            <w:vAlign w:val="center"/>
          </w:tcPr>
          <w:p w14:paraId="4F462ED5" w14:textId="77777777" w:rsidR="00454A29" w:rsidRDefault="00454A29">
            <w:pPr>
              <w:pStyle w:val="ConsPlusNormal"/>
            </w:pPr>
          </w:p>
        </w:tc>
        <w:tc>
          <w:tcPr>
            <w:tcW w:w="1814" w:type="dxa"/>
            <w:vAlign w:val="center"/>
          </w:tcPr>
          <w:p w14:paraId="527F73FD" w14:textId="77777777" w:rsidR="00454A29" w:rsidRDefault="00454A29">
            <w:pPr>
              <w:pStyle w:val="ConsPlusNormal"/>
            </w:pPr>
          </w:p>
        </w:tc>
      </w:tr>
      <w:tr w:rsidR="00454A29" w14:paraId="18257F92" w14:textId="77777777">
        <w:tc>
          <w:tcPr>
            <w:tcW w:w="567" w:type="dxa"/>
            <w:vMerge/>
          </w:tcPr>
          <w:p w14:paraId="2F232955" w14:textId="77777777" w:rsidR="00454A29" w:rsidRDefault="00454A29"/>
        </w:tc>
        <w:tc>
          <w:tcPr>
            <w:tcW w:w="3345" w:type="dxa"/>
            <w:vMerge/>
          </w:tcPr>
          <w:p w14:paraId="72F55D25" w14:textId="77777777" w:rsidR="00454A29" w:rsidRDefault="00454A29"/>
        </w:tc>
        <w:tc>
          <w:tcPr>
            <w:tcW w:w="1701" w:type="dxa"/>
            <w:vAlign w:val="center"/>
          </w:tcPr>
          <w:p w14:paraId="4A034848" w14:textId="77777777" w:rsidR="00454A29" w:rsidRDefault="00454A29">
            <w:pPr>
              <w:pStyle w:val="ConsPlusNormal"/>
              <w:jc w:val="center"/>
            </w:pPr>
            <w:r>
              <w:t>2025</w:t>
            </w:r>
          </w:p>
        </w:tc>
        <w:tc>
          <w:tcPr>
            <w:tcW w:w="1417" w:type="dxa"/>
            <w:vMerge/>
          </w:tcPr>
          <w:p w14:paraId="7AF8C519" w14:textId="77777777" w:rsidR="00454A29" w:rsidRDefault="00454A29"/>
        </w:tc>
        <w:tc>
          <w:tcPr>
            <w:tcW w:w="2204" w:type="dxa"/>
            <w:vMerge/>
          </w:tcPr>
          <w:p w14:paraId="34AE5335" w14:textId="77777777" w:rsidR="00454A29" w:rsidRDefault="00454A29"/>
        </w:tc>
        <w:tc>
          <w:tcPr>
            <w:tcW w:w="1417" w:type="dxa"/>
            <w:vMerge/>
          </w:tcPr>
          <w:p w14:paraId="1EBAED4D" w14:textId="77777777" w:rsidR="00454A29" w:rsidRDefault="00454A29"/>
        </w:tc>
        <w:tc>
          <w:tcPr>
            <w:tcW w:w="2324" w:type="dxa"/>
            <w:vMerge/>
          </w:tcPr>
          <w:p w14:paraId="042E5CAC" w14:textId="77777777" w:rsidR="00454A29" w:rsidRDefault="00454A29"/>
        </w:tc>
        <w:tc>
          <w:tcPr>
            <w:tcW w:w="1701" w:type="dxa"/>
            <w:vAlign w:val="center"/>
          </w:tcPr>
          <w:p w14:paraId="01A5E0B8" w14:textId="77777777" w:rsidR="00454A29" w:rsidRDefault="00454A29">
            <w:pPr>
              <w:pStyle w:val="ConsPlusNormal"/>
              <w:jc w:val="center"/>
            </w:pPr>
            <w:r>
              <w:t>420 044,60</w:t>
            </w:r>
          </w:p>
        </w:tc>
        <w:tc>
          <w:tcPr>
            <w:tcW w:w="1814" w:type="dxa"/>
            <w:vAlign w:val="center"/>
          </w:tcPr>
          <w:p w14:paraId="53AAA917" w14:textId="77777777" w:rsidR="00454A29" w:rsidRDefault="00454A29">
            <w:pPr>
              <w:pStyle w:val="ConsPlusNormal"/>
              <w:jc w:val="center"/>
            </w:pPr>
            <w:r>
              <w:t>5 313,56</w:t>
            </w:r>
          </w:p>
        </w:tc>
        <w:tc>
          <w:tcPr>
            <w:tcW w:w="1701" w:type="dxa"/>
            <w:vAlign w:val="center"/>
          </w:tcPr>
          <w:p w14:paraId="5525C4AD" w14:textId="77777777" w:rsidR="00454A29" w:rsidRDefault="00454A29">
            <w:pPr>
              <w:pStyle w:val="ConsPlusNormal"/>
              <w:jc w:val="center"/>
            </w:pPr>
            <w:r>
              <w:t>526 042,85</w:t>
            </w:r>
          </w:p>
        </w:tc>
        <w:tc>
          <w:tcPr>
            <w:tcW w:w="1701" w:type="dxa"/>
            <w:vAlign w:val="center"/>
          </w:tcPr>
          <w:p w14:paraId="24F706AD" w14:textId="77777777" w:rsidR="00454A29" w:rsidRDefault="00454A29">
            <w:pPr>
              <w:pStyle w:val="ConsPlusNormal"/>
            </w:pPr>
          </w:p>
        </w:tc>
        <w:tc>
          <w:tcPr>
            <w:tcW w:w="1814" w:type="dxa"/>
            <w:vAlign w:val="center"/>
          </w:tcPr>
          <w:p w14:paraId="33C7EEEB" w14:textId="77777777" w:rsidR="00454A29" w:rsidRDefault="00454A29">
            <w:pPr>
              <w:pStyle w:val="ConsPlusNormal"/>
            </w:pPr>
          </w:p>
        </w:tc>
      </w:tr>
      <w:tr w:rsidR="00454A29" w14:paraId="1322226B" w14:textId="77777777">
        <w:tc>
          <w:tcPr>
            <w:tcW w:w="567" w:type="dxa"/>
            <w:vMerge/>
          </w:tcPr>
          <w:p w14:paraId="719BC17A" w14:textId="77777777" w:rsidR="00454A29" w:rsidRDefault="00454A29"/>
        </w:tc>
        <w:tc>
          <w:tcPr>
            <w:tcW w:w="3345" w:type="dxa"/>
            <w:vMerge/>
          </w:tcPr>
          <w:p w14:paraId="7F5A636C" w14:textId="77777777" w:rsidR="00454A29" w:rsidRDefault="00454A29"/>
        </w:tc>
        <w:tc>
          <w:tcPr>
            <w:tcW w:w="1701" w:type="dxa"/>
            <w:vAlign w:val="center"/>
          </w:tcPr>
          <w:p w14:paraId="49A51B0C" w14:textId="77777777" w:rsidR="00454A29" w:rsidRDefault="00454A29">
            <w:pPr>
              <w:pStyle w:val="ConsPlusNormal"/>
              <w:jc w:val="center"/>
            </w:pPr>
            <w:r>
              <w:t>2026</w:t>
            </w:r>
          </w:p>
        </w:tc>
        <w:tc>
          <w:tcPr>
            <w:tcW w:w="1417" w:type="dxa"/>
            <w:vMerge/>
          </w:tcPr>
          <w:p w14:paraId="5E0B7C17" w14:textId="77777777" w:rsidR="00454A29" w:rsidRDefault="00454A29"/>
        </w:tc>
        <w:tc>
          <w:tcPr>
            <w:tcW w:w="2204" w:type="dxa"/>
            <w:vMerge/>
          </w:tcPr>
          <w:p w14:paraId="79A46B4C" w14:textId="77777777" w:rsidR="00454A29" w:rsidRDefault="00454A29"/>
        </w:tc>
        <w:tc>
          <w:tcPr>
            <w:tcW w:w="1417" w:type="dxa"/>
            <w:vMerge/>
          </w:tcPr>
          <w:p w14:paraId="33B546DC" w14:textId="77777777" w:rsidR="00454A29" w:rsidRDefault="00454A29"/>
        </w:tc>
        <w:tc>
          <w:tcPr>
            <w:tcW w:w="2324" w:type="dxa"/>
            <w:vMerge/>
          </w:tcPr>
          <w:p w14:paraId="4C6C3053" w14:textId="77777777" w:rsidR="00454A29" w:rsidRDefault="00454A29"/>
        </w:tc>
        <w:tc>
          <w:tcPr>
            <w:tcW w:w="1701" w:type="dxa"/>
            <w:vAlign w:val="center"/>
          </w:tcPr>
          <w:p w14:paraId="6D86C826" w14:textId="77777777" w:rsidR="00454A29" w:rsidRDefault="00454A29">
            <w:pPr>
              <w:pStyle w:val="ConsPlusNormal"/>
            </w:pPr>
          </w:p>
        </w:tc>
        <w:tc>
          <w:tcPr>
            <w:tcW w:w="1814" w:type="dxa"/>
            <w:vAlign w:val="center"/>
          </w:tcPr>
          <w:p w14:paraId="66B95E80" w14:textId="77777777" w:rsidR="00454A29" w:rsidRDefault="00454A29">
            <w:pPr>
              <w:pStyle w:val="ConsPlusNormal"/>
            </w:pPr>
          </w:p>
        </w:tc>
        <w:tc>
          <w:tcPr>
            <w:tcW w:w="1701" w:type="dxa"/>
            <w:vAlign w:val="center"/>
          </w:tcPr>
          <w:p w14:paraId="706B48B6" w14:textId="77777777" w:rsidR="00454A29" w:rsidRDefault="00454A29">
            <w:pPr>
              <w:pStyle w:val="ConsPlusNormal"/>
            </w:pPr>
          </w:p>
        </w:tc>
        <w:tc>
          <w:tcPr>
            <w:tcW w:w="1701" w:type="dxa"/>
            <w:vAlign w:val="center"/>
          </w:tcPr>
          <w:p w14:paraId="5ED163C1" w14:textId="77777777" w:rsidR="00454A29" w:rsidRDefault="00454A29">
            <w:pPr>
              <w:pStyle w:val="ConsPlusNormal"/>
            </w:pPr>
          </w:p>
        </w:tc>
        <w:tc>
          <w:tcPr>
            <w:tcW w:w="1814" w:type="dxa"/>
            <w:vAlign w:val="center"/>
          </w:tcPr>
          <w:p w14:paraId="21ECC3D9" w14:textId="77777777" w:rsidR="00454A29" w:rsidRDefault="00454A29">
            <w:pPr>
              <w:pStyle w:val="ConsPlusNormal"/>
            </w:pPr>
          </w:p>
        </w:tc>
      </w:tr>
      <w:tr w:rsidR="00454A29" w14:paraId="0F3BAFEE" w14:textId="77777777">
        <w:tc>
          <w:tcPr>
            <w:tcW w:w="567" w:type="dxa"/>
            <w:vMerge w:val="restart"/>
            <w:vAlign w:val="center"/>
          </w:tcPr>
          <w:p w14:paraId="1F8F1A65" w14:textId="77777777" w:rsidR="00454A29" w:rsidRDefault="00454A29">
            <w:pPr>
              <w:pStyle w:val="ConsPlusNormal"/>
              <w:jc w:val="center"/>
            </w:pPr>
            <w:r>
              <w:t>19</w:t>
            </w:r>
          </w:p>
        </w:tc>
        <w:tc>
          <w:tcPr>
            <w:tcW w:w="3345" w:type="dxa"/>
            <w:vMerge w:val="restart"/>
            <w:vAlign w:val="center"/>
          </w:tcPr>
          <w:p w14:paraId="4FF45F05" w14:textId="77777777" w:rsidR="00454A29" w:rsidRDefault="00454A29">
            <w:pPr>
              <w:pStyle w:val="ConsPlusNormal"/>
              <w:jc w:val="center"/>
            </w:pPr>
            <w:r>
              <w:t>Школа на 60 учащихся в с. Быковский</w:t>
            </w:r>
          </w:p>
        </w:tc>
        <w:tc>
          <w:tcPr>
            <w:tcW w:w="1701" w:type="dxa"/>
            <w:vAlign w:val="center"/>
          </w:tcPr>
          <w:p w14:paraId="6CEE23D9" w14:textId="77777777" w:rsidR="00454A29" w:rsidRDefault="00454A29">
            <w:pPr>
              <w:pStyle w:val="ConsPlusNormal"/>
              <w:jc w:val="center"/>
            </w:pPr>
            <w:r>
              <w:t>2020 - 2026 годы - всего</w:t>
            </w:r>
          </w:p>
        </w:tc>
        <w:tc>
          <w:tcPr>
            <w:tcW w:w="1417" w:type="dxa"/>
            <w:vMerge w:val="restart"/>
            <w:vAlign w:val="center"/>
          </w:tcPr>
          <w:p w14:paraId="06E21E4B" w14:textId="77777777" w:rsidR="00454A29" w:rsidRDefault="00454A29">
            <w:pPr>
              <w:pStyle w:val="ConsPlusNormal"/>
              <w:jc w:val="center"/>
            </w:pPr>
            <w:r>
              <w:t>220 694,71</w:t>
            </w:r>
          </w:p>
        </w:tc>
        <w:tc>
          <w:tcPr>
            <w:tcW w:w="2204" w:type="dxa"/>
            <w:vMerge w:val="restart"/>
            <w:vAlign w:val="center"/>
          </w:tcPr>
          <w:p w14:paraId="2BB0CA6F" w14:textId="77777777" w:rsidR="00454A29" w:rsidRDefault="00454A29">
            <w:pPr>
              <w:pStyle w:val="ConsPlusNormal"/>
            </w:pPr>
          </w:p>
        </w:tc>
        <w:tc>
          <w:tcPr>
            <w:tcW w:w="1417" w:type="dxa"/>
            <w:vMerge w:val="restart"/>
            <w:vAlign w:val="center"/>
          </w:tcPr>
          <w:p w14:paraId="3852DE17" w14:textId="77777777" w:rsidR="00454A29" w:rsidRDefault="00454A29">
            <w:pPr>
              <w:pStyle w:val="ConsPlusNormal"/>
              <w:jc w:val="center"/>
            </w:pPr>
            <w:r>
              <w:t>60</w:t>
            </w:r>
          </w:p>
        </w:tc>
        <w:tc>
          <w:tcPr>
            <w:tcW w:w="2324" w:type="dxa"/>
            <w:vMerge w:val="restart"/>
            <w:vAlign w:val="center"/>
          </w:tcPr>
          <w:p w14:paraId="5E1EE30F"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61F993F5" w14:textId="77777777" w:rsidR="00454A29" w:rsidRDefault="00454A29">
            <w:pPr>
              <w:pStyle w:val="ConsPlusNormal"/>
              <w:jc w:val="center"/>
            </w:pPr>
            <w:r>
              <w:lastRenderedPageBreak/>
              <w:t>220 694,71</w:t>
            </w:r>
          </w:p>
        </w:tc>
        <w:tc>
          <w:tcPr>
            <w:tcW w:w="1814" w:type="dxa"/>
            <w:vAlign w:val="center"/>
          </w:tcPr>
          <w:p w14:paraId="3EAE1238" w14:textId="77777777" w:rsidR="00454A29" w:rsidRDefault="00454A29">
            <w:pPr>
              <w:pStyle w:val="ConsPlusNormal"/>
              <w:jc w:val="center"/>
            </w:pPr>
            <w:r>
              <w:t>2 791,79</w:t>
            </w:r>
          </w:p>
        </w:tc>
        <w:tc>
          <w:tcPr>
            <w:tcW w:w="1701" w:type="dxa"/>
            <w:vAlign w:val="center"/>
          </w:tcPr>
          <w:p w14:paraId="36FDBD9E" w14:textId="77777777" w:rsidR="00454A29" w:rsidRDefault="00454A29">
            <w:pPr>
              <w:pStyle w:val="ConsPlusNormal"/>
              <w:jc w:val="center"/>
            </w:pPr>
            <w:r>
              <w:t>276 387,03</w:t>
            </w:r>
          </w:p>
        </w:tc>
        <w:tc>
          <w:tcPr>
            <w:tcW w:w="1701" w:type="dxa"/>
            <w:vAlign w:val="center"/>
          </w:tcPr>
          <w:p w14:paraId="3F6036FB" w14:textId="77777777" w:rsidR="00454A29" w:rsidRDefault="00454A29">
            <w:pPr>
              <w:pStyle w:val="ConsPlusNormal"/>
              <w:jc w:val="center"/>
            </w:pPr>
            <w:r>
              <w:t>-</w:t>
            </w:r>
          </w:p>
        </w:tc>
        <w:tc>
          <w:tcPr>
            <w:tcW w:w="1814" w:type="dxa"/>
            <w:vAlign w:val="center"/>
          </w:tcPr>
          <w:p w14:paraId="692A1A31" w14:textId="77777777" w:rsidR="00454A29" w:rsidRDefault="00454A29">
            <w:pPr>
              <w:pStyle w:val="ConsPlusNormal"/>
              <w:jc w:val="center"/>
            </w:pPr>
            <w:r>
              <w:t>-</w:t>
            </w:r>
          </w:p>
        </w:tc>
      </w:tr>
      <w:tr w:rsidR="00454A29" w14:paraId="0CBFE45B" w14:textId="77777777">
        <w:tc>
          <w:tcPr>
            <w:tcW w:w="567" w:type="dxa"/>
            <w:vMerge/>
          </w:tcPr>
          <w:p w14:paraId="7FD90709" w14:textId="77777777" w:rsidR="00454A29" w:rsidRDefault="00454A29"/>
        </w:tc>
        <w:tc>
          <w:tcPr>
            <w:tcW w:w="3345" w:type="dxa"/>
            <w:vMerge/>
          </w:tcPr>
          <w:p w14:paraId="43EFF2B5" w14:textId="77777777" w:rsidR="00454A29" w:rsidRDefault="00454A29"/>
        </w:tc>
        <w:tc>
          <w:tcPr>
            <w:tcW w:w="1701" w:type="dxa"/>
            <w:vAlign w:val="center"/>
          </w:tcPr>
          <w:p w14:paraId="673EEF21" w14:textId="77777777" w:rsidR="00454A29" w:rsidRDefault="00454A29">
            <w:pPr>
              <w:pStyle w:val="ConsPlusNormal"/>
              <w:jc w:val="center"/>
            </w:pPr>
            <w:r>
              <w:t>2020</w:t>
            </w:r>
          </w:p>
        </w:tc>
        <w:tc>
          <w:tcPr>
            <w:tcW w:w="1417" w:type="dxa"/>
            <w:vMerge/>
          </w:tcPr>
          <w:p w14:paraId="7468BBF9" w14:textId="77777777" w:rsidR="00454A29" w:rsidRDefault="00454A29"/>
        </w:tc>
        <w:tc>
          <w:tcPr>
            <w:tcW w:w="2204" w:type="dxa"/>
            <w:vMerge/>
          </w:tcPr>
          <w:p w14:paraId="71002A61" w14:textId="77777777" w:rsidR="00454A29" w:rsidRDefault="00454A29"/>
        </w:tc>
        <w:tc>
          <w:tcPr>
            <w:tcW w:w="1417" w:type="dxa"/>
            <w:vMerge/>
          </w:tcPr>
          <w:p w14:paraId="2E66ACDF" w14:textId="77777777" w:rsidR="00454A29" w:rsidRDefault="00454A29"/>
        </w:tc>
        <w:tc>
          <w:tcPr>
            <w:tcW w:w="2324" w:type="dxa"/>
            <w:vMerge/>
          </w:tcPr>
          <w:p w14:paraId="3402B490" w14:textId="77777777" w:rsidR="00454A29" w:rsidRDefault="00454A29"/>
        </w:tc>
        <w:tc>
          <w:tcPr>
            <w:tcW w:w="1701" w:type="dxa"/>
            <w:vAlign w:val="center"/>
          </w:tcPr>
          <w:p w14:paraId="66D5D213" w14:textId="77777777" w:rsidR="00454A29" w:rsidRDefault="00454A29">
            <w:pPr>
              <w:pStyle w:val="ConsPlusNormal"/>
            </w:pPr>
          </w:p>
        </w:tc>
        <w:tc>
          <w:tcPr>
            <w:tcW w:w="1814" w:type="dxa"/>
            <w:vAlign w:val="center"/>
          </w:tcPr>
          <w:p w14:paraId="33E913F8" w14:textId="77777777" w:rsidR="00454A29" w:rsidRDefault="00454A29">
            <w:pPr>
              <w:pStyle w:val="ConsPlusNormal"/>
            </w:pPr>
          </w:p>
        </w:tc>
        <w:tc>
          <w:tcPr>
            <w:tcW w:w="1701" w:type="dxa"/>
            <w:vAlign w:val="center"/>
          </w:tcPr>
          <w:p w14:paraId="0FAFEE9C" w14:textId="77777777" w:rsidR="00454A29" w:rsidRDefault="00454A29">
            <w:pPr>
              <w:pStyle w:val="ConsPlusNormal"/>
            </w:pPr>
          </w:p>
        </w:tc>
        <w:tc>
          <w:tcPr>
            <w:tcW w:w="1701" w:type="dxa"/>
            <w:vAlign w:val="center"/>
          </w:tcPr>
          <w:p w14:paraId="6B617E28" w14:textId="77777777" w:rsidR="00454A29" w:rsidRDefault="00454A29">
            <w:pPr>
              <w:pStyle w:val="ConsPlusNormal"/>
            </w:pPr>
          </w:p>
        </w:tc>
        <w:tc>
          <w:tcPr>
            <w:tcW w:w="1814" w:type="dxa"/>
            <w:vAlign w:val="center"/>
          </w:tcPr>
          <w:p w14:paraId="1631BA2C" w14:textId="77777777" w:rsidR="00454A29" w:rsidRDefault="00454A29">
            <w:pPr>
              <w:pStyle w:val="ConsPlusNormal"/>
            </w:pPr>
          </w:p>
        </w:tc>
      </w:tr>
      <w:tr w:rsidR="00454A29" w14:paraId="3C2B7906" w14:textId="77777777">
        <w:tc>
          <w:tcPr>
            <w:tcW w:w="567" w:type="dxa"/>
            <w:vMerge/>
          </w:tcPr>
          <w:p w14:paraId="38A83DA4" w14:textId="77777777" w:rsidR="00454A29" w:rsidRDefault="00454A29"/>
        </w:tc>
        <w:tc>
          <w:tcPr>
            <w:tcW w:w="3345" w:type="dxa"/>
            <w:vMerge/>
          </w:tcPr>
          <w:p w14:paraId="29519A77" w14:textId="77777777" w:rsidR="00454A29" w:rsidRDefault="00454A29"/>
        </w:tc>
        <w:tc>
          <w:tcPr>
            <w:tcW w:w="1701" w:type="dxa"/>
            <w:vAlign w:val="center"/>
          </w:tcPr>
          <w:p w14:paraId="3A9F918F" w14:textId="77777777" w:rsidR="00454A29" w:rsidRDefault="00454A29">
            <w:pPr>
              <w:pStyle w:val="ConsPlusNormal"/>
              <w:jc w:val="center"/>
            </w:pPr>
            <w:r>
              <w:t>2021</w:t>
            </w:r>
          </w:p>
        </w:tc>
        <w:tc>
          <w:tcPr>
            <w:tcW w:w="1417" w:type="dxa"/>
            <w:vMerge/>
          </w:tcPr>
          <w:p w14:paraId="169FFBFC" w14:textId="77777777" w:rsidR="00454A29" w:rsidRDefault="00454A29"/>
        </w:tc>
        <w:tc>
          <w:tcPr>
            <w:tcW w:w="2204" w:type="dxa"/>
            <w:vMerge/>
          </w:tcPr>
          <w:p w14:paraId="1292AEA4" w14:textId="77777777" w:rsidR="00454A29" w:rsidRDefault="00454A29"/>
        </w:tc>
        <w:tc>
          <w:tcPr>
            <w:tcW w:w="1417" w:type="dxa"/>
            <w:vMerge/>
          </w:tcPr>
          <w:p w14:paraId="204296FB" w14:textId="77777777" w:rsidR="00454A29" w:rsidRDefault="00454A29"/>
        </w:tc>
        <w:tc>
          <w:tcPr>
            <w:tcW w:w="2324" w:type="dxa"/>
            <w:vMerge/>
          </w:tcPr>
          <w:p w14:paraId="35A6E703" w14:textId="77777777" w:rsidR="00454A29" w:rsidRDefault="00454A29"/>
        </w:tc>
        <w:tc>
          <w:tcPr>
            <w:tcW w:w="1701" w:type="dxa"/>
            <w:vAlign w:val="center"/>
          </w:tcPr>
          <w:p w14:paraId="5EF93109" w14:textId="77777777" w:rsidR="00454A29" w:rsidRDefault="00454A29">
            <w:pPr>
              <w:pStyle w:val="ConsPlusNormal"/>
            </w:pPr>
          </w:p>
        </w:tc>
        <w:tc>
          <w:tcPr>
            <w:tcW w:w="1814" w:type="dxa"/>
            <w:vAlign w:val="center"/>
          </w:tcPr>
          <w:p w14:paraId="18DB0309" w14:textId="77777777" w:rsidR="00454A29" w:rsidRDefault="00454A29">
            <w:pPr>
              <w:pStyle w:val="ConsPlusNormal"/>
            </w:pPr>
          </w:p>
        </w:tc>
        <w:tc>
          <w:tcPr>
            <w:tcW w:w="1701" w:type="dxa"/>
            <w:vAlign w:val="center"/>
          </w:tcPr>
          <w:p w14:paraId="25101ECD" w14:textId="77777777" w:rsidR="00454A29" w:rsidRDefault="00454A29">
            <w:pPr>
              <w:pStyle w:val="ConsPlusNormal"/>
            </w:pPr>
          </w:p>
        </w:tc>
        <w:tc>
          <w:tcPr>
            <w:tcW w:w="1701" w:type="dxa"/>
            <w:vAlign w:val="center"/>
          </w:tcPr>
          <w:p w14:paraId="767A7097" w14:textId="77777777" w:rsidR="00454A29" w:rsidRDefault="00454A29">
            <w:pPr>
              <w:pStyle w:val="ConsPlusNormal"/>
            </w:pPr>
          </w:p>
        </w:tc>
        <w:tc>
          <w:tcPr>
            <w:tcW w:w="1814" w:type="dxa"/>
            <w:vAlign w:val="center"/>
          </w:tcPr>
          <w:p w14:paraId="523E540E" w14:textId="77777777" w:rsidR="00454A29" w:rsidRDefault="00454A29">
            <w:pPr>
              <w:pStyle w:val="ConsPlusNormal"/>
            </w:pPr>
          </w:p>
        </w:tc>
      </w:tr>
      <w:tr w:rsidR="00454A29" w14:paraId="6F285CDA" w14:textId="77777777">
        <w:tc>
          <w:tcPr>
            <w:tcW w:w="567" w:type="dxa"/>
            <w:vMerge/>
          </w:tcPr>
          <w:p w14:paraId="6ACEB025" w14:textId="77777777" w:rsidR="00454A29" w:rsidRDefault="00454A29"/>
        </w:tc>
        <w:tc>
          <w:tcPr>
            <w:tcW w:w="3345" w:type="dxa"/>
            <w:vMerge/>
          </w:tcPr>
          <w:p w14:paraId="16487AE6" w14:textId="77777777" w:rsidR="00454A29" w:rsidRDefault="00454A29"/>
        </w:tc>
        <w:tc>
          <w:tcPr>
            <w:tcW w:w="1701" w:type="dxa"/>
            <w:vAlign w:val="center"/>
          </w:tcPr>
          <w:p w14:paraId="759F7BFA" w14:textId="77777777" w:rsidR="00454A29" w:rsidRDefault="00454A29">
            <w:pPr>
              <w:pStyle w:val="ConsPlusNormal"/>
              <w:jc w:val="center"/>
            </w:pPr>
            <w:r>
              <w:t>2022</w:t>
            </w:r>
          </w:p>
        </w:tc>
        <w:tc>
          <w:tcPr>
            <w:tcW w:w="1417" w:type="dxa"/>
            <w:vMerge/>
          </w:tcPr>
          <w:p w14:paraId="02642F65" w14:textId="77777777" w:rsidR="00454A29" w:rsidRDefault="00454A29"/>
        </w:tc>
        <w:tc>
          <w:tcPr>
            <w:tcW w:w="2204" w:type="dxa"/>
            <w:vMerge/>
          </w:tcPr>
          <w:p w14:paraId="587AD5AF" w14:textId="77777777" w:rsidR="00454A29" w:rsidRDefault="00454A29"/>
        </w:tc>
        <w:tc>
          <w:tcPr>
            <w:tcW w:w="1417" w:type="dxa"/>
            <w:vMerge/>
          </w:tcPr>
          <w:p w14:paraId="7B6489EB" w14:textId="77777777" w:rsidR="00454A29" w:rsidRDefault="00454A29"/>
        </w:tc>
        <w:tc>
          <w:tcPr>
            <w:tcW w:w="2324" w:type="dxa"/>
            <w:vMerge/>
          </w:tcPr>
          <w:p w14:paraId="5B0BEA11" w14:textId="77777777" w:rsidR="00454A29" w:rsidRDefault="00454A29"/>
        </w:tc>
        <w:tc>
          <w:tcPr>
            <w:tcW w:w="1701" w:type="dxa"/>
            <w:vAlign w:val="center"/>
          </w:tcPr>
          <w:p w14:paraId="731F6504" w14:textId="77777777" w:rsidR="00454A29" w:rsidRDefault="00454A29">
            <w:pPr>
              <w:pStyle w:val="ConsPlusNormal"/>
            </w:pPr>
          </w:p>
        </w:tc>
        <w:tc>
          <w:tcPr>
            <w:tcW w:w="1814" w:type="dxa"/>
            <w:vAlign w:val="center"/>
          </w:tcPr>
          <w:p w14:paraId="1673384D" w14:textId="77777777" w:rsidR="00454A29" w:rsidRDefault="00454A29">
            <w:pPr>
              <w:pStyle w:val="ConsPlusNormal"/>
            </w:pPr>
          </w:p>
        </w:tc>
        <w:tc>
          <w:tcPr>
            <w:tcW w:w="1701" w:type="dxa"/>
            <w:vAlign w:val="center"/>
          </w:tcPr>
          <w:p w14:paraId="5D43A089" w14:textId="77777777" w:rsidR="00454A29" w:rsidRDefault="00454A29">
            <w:pPr>
              <w:pStyle w:val="ConsPlusNormal"/>
            </w:pPr>
          </w:p>
        </w:tc>
        <w:tc>
          <w:tcPr>
            <w:tcW w:w="1701" w:type="dxa"/>
            <w:vAlign w:val="center"/>
          </w:tcPr>
          <w:p w14:paraId="06729B50" w14:textId="77777777" w:rsidR="00454A29" w:rsidRDefault="00454A29">
            <w:pPr>
              <w:pStyle w:val="ConsPlusNormal"/>
            </w:pPr>
          </w:p>
        </w:tc>
        <w:tc>
          <w:tcPr>
            <w:tcW w:w="1814" w:type="dxa"/>
            <w:vAlign w:val="center"/>
          </w:tcPr>
          <w:p w14:paraId="75BD02FB" w14:textId="77777777" w:rsidR="00454A29" w:rsidRDefault="00454A29">
            <w:pPr>
              <w:pStyle w:val="ConsPlusNormal"/>
            </w:pPr>
          </w:p>
        </w:tc>
      </w:tr>
      <w:tr w:rsidR="00454A29" w14:paraId="7286413C" w14:textId="77777777">
        <w:tc>
          <w:tcPr>
            <w:tcW w:w="567" w:type="dxa"/>
            <w:vMerge/>
          </w:tcPr>
          <w:p w14:paraId="7A7F1931" w14:textId="77777777" w:rsidR="00454A29" w:rsidRDefault="00454A29"/>
        </w:tc>
        <w:tc>
          <w:tcPr>
            <w:tcW w:w="3345" w:type="dxa"/>
            <w:vMerge/>
          </w:tcPr>
          <w:p w14:paraId="78F672B2" w14:textId="77777777" w:rsidR="00454A29" w:rsidRDefault="00454A29"/>
        </w:tc>
        <w:tc>
          <w:tcPr>
            <w:tcW w:w="1701" w:type="dxa"/>
            <w:vAlign w:val="center"/>
          </w:tcPr>
          <w:p w14:paraId="219B0749" w14:textId="77777777" w:rsidR="00454A29" w:rsidRDefault="00454A29">
            <w:pPr>
              <w:pStyle w:val="ConsPlusNormal"/>
              <w:jc w:val="center"/>
            </w:pPr>
            <w:r>
              <w:t>2023</w:t>
            </w:r>
          </w:p>
        </w:tc>
        <w:tc>
          <w:tcPr>
            <w:tcW w:w="1417" w:type="dxa"/>
            <w:vMerge/>
          </w:tcPr>
          <w:p w14:paraId="53732F4B" w14:textId="77777777" w:rsidR="00454A29" w:rsidRDefault="00454A29"/>
        </w:tc>
        <w:tc>
          <w:tcPr>
            <w:tcW w:w="2204" w:type="dxa"/>
            <w:vMerge/>
          </w:tcPr>
          <w:p w14:paraId="04EA3DCC" w14:textId="77777777" w:rsidR="00454A29" w:rsidRDefault="00454A29"/>
        </w:tc>
        <w:tc>
          <w:tcPr>
            <w:tcW w:w="1417" w:type="dxa"/>
            <w:vMerge/>
          </w:tcPr>
          <w:p w14:paraId="29515DA7" w14:textId="77777777" w:rsidR="00454A29" w:rsidRDefault="00454A29"/>
        </w:tc>
        <w:tc>
          <w:tcPr>
            <w:tcW w:w="2324" w:type="dxa"/>
            <w:vMerge/>
          </w:tcPr>
          <w:p w14:paraId="31829F65" w14:textId="77777777" w:rsidR="00454A29" w:rsidRDefault="00454A29"/>
        </w:tc>
        <w:tc>
          <w:tcPr>
            <w:tcW w:w="1701" w:type="dxa"/>
            <w:vAlign w:val="center"/>
          </w:tcPr>
          <w:p w14:paraId="7B29A35B" w14:textId="77777777" w:rsidR="00454A29" w:rsidRDefault="00454A29">
            <w:pPr>
              <w:pStyle w:val="ConsPlusNormal"/>
            </w:pPr>
          </w:p>
        </w:tc>
        <w:tc>
          <w:tcPr>
            <w:tcW w:w="1814" w:type="dxa"/>
            <w:vAlign w:val="center"/>
          </w:tcPr>
          <w:p w14:paraId="076CC6B5" w14:textId="77777777" w:rsidR="00454A29" w:rsidRDefault="00454A29">
            <w:pPr>
              <w:pStyle w:val="ConsPlusNormal"/>
            </w:pPr>
          </w:p>
        </w:tc>
        <w:tc>
          <w:tcPr>
            <w:tcW w:w="1701" w:type="dxa"/>
            <w:vAlign w:val="center"/>
          </w:tcPr>
          <w:p w14:paraId="730FCFEA" w14:textId="77777777" w:rsidR="00454A29" w:rsidRDefault="00454A29">
            <w:pPr>
              <w:pStyle w:val="ConsPlusNormal"/>
            </w:pPr>
          </w:p>
        </w:tc>
        <w:tc>
          <w:tcPr>
            <w:tcW w:w="1701" w:type="dxa"/>
            <w:vAlign w:val="center"/>
          </w:tcPr>
          <w:p w14:paraId="40A82CC2" w14:textId="77777777" w:rsidR="00454A29" w:rsidRDefault="00454A29">
            <w:pPr>
              <w:pStyle w:val="ConsPlusNormal"/>
            </w:pPr>
          </w:p>
        </w:tc>
        <w:tc>
          <w:tcPr>
            <w:tcW w:w="1814" w:type="dxa"/>
            <w:vAlign w:val="center"/>
          </w:tcPr>
          <w:p w14:paraId="0EC9E5EC" w14:textId="77777777" w:rsidR="00454A29" w:rsidRDefault="00454A29">
            <w:pPr>
              <w:pStyle w:val="ConsPlusNormal"/>
            </w:pPr>
          </w:p>
        </w:tc>
      </w:tr>
      <w:tr w:rsidR="00454A29" w14:paraId="7700DAB6" w14:textId="77777777">
        <w:tc>
          <w:tcPr>
            <w:tcW w:w="567" w:type="dxa"/>
            <w:vMerge/>
          </w:tcPr>
          <w:p w14:paraId="238184F9" w14:textId="77777777" w:rsidR="00454A29" w:rsidRDefault="00454A29"/>
        </w:tc>
        <w:tc>
          <w:tcPr>
            <w:tcW w:w="3345" w:type="dxa"/>
            <w:vMerge/>
          </w:tcPr>
          <w:p w14:paraId="3AD706C5" w14:textId="77777777" w:rsidR="00454A29" w:rsidRDefault="00454A29"/>
        </w:tc>
        <w:tc>
          <w:tcPr>
            <w:tcW w:w="1701" w:type="dxa"/>
            <w:vAlign w:val="center"/>
          </w:tcPr>
          <w:p w14:paraId="662B83E3" w14:textId="77777777" w:rsidR="00454A29" w:rsidRDefault="00454A29">
            <w:pPr>
              <w:pStyle w:val="ConsPlusNormal"/>
              <w:jc w:val="center"/>
            </w:pPr>
            <w:r>
              <w:t>2024</w:t>
            </w:r>
          </w:p>
        </w:tc>
        <w:tc>
          <w:tcPr>
            <w:tcW w:w="1417" w:type="dxa"/>
            <w:vMerge/>
          </w:tcPr>
          <w:p w14:paraId="2E6F90E1" w14:textId="77777777" w:rsidR="00454A29" w:rsidRDefault="00454A29"/>
        </w:tc>
        <w:tc>
          <w:tcPr>
            <w:tcW w:w="2204" w:type="dxa"/>
            <w:vMerge/>
          </w:tcPr>
          <w:p w14:paraId="0915D36B" w14:textId="77777777" w:rsidR="00454A29" w:rsidRDefault="00454A29"/>
        </w:tc>
        <w:tc>
          <w:tcPr>
            <w:tcW w:w="1417" w:type="dxa"/>
            <w:vMerge/>
          </w:tcPr>
          <w:p w14:paraId="255C74E2" w14:textId="77777777" w:rsidR="00454A29" w:rsidRDefault="00454A29"/>
        </w:tc>
        <w:tc>
          <w:tcPr>
            <w:tcW w:w="2324" w:type="dxa"/>
            <w:vMerge/>
          </w:tcPr>
          <w:p w14:paraId="66FCC0BD" w14:textId="77777777" w:rsidR="00454A29" w:rsidRDefault="00454A29"/>
        </w:tc>
        <w:tc>
          <w:tcPr>
            <w:tcW w:w="1701" w:type="dxa"/>
            <w:vAlign w:val="center"/>
          </w:tcPr>
          <w:p w14:paraId="097B0D2C" w14:textId="77777777" w:rsidR="00454A29" w:rsidRDefault="00454A29">
            <w:pPr>
              <w:pStyle w:val="ConsPlusNormal"/>
            </w:pPr>
          </w:p>
        </w:tc>
        <w:tc>
          <w:tcPr>
            <w:tcW w:w="1814" w:type="dxa"/>
            <w:vAlign w:val="center"/>
          </w:tcPr>
          <w:p w14:paraId="50B503C9" w14:textId="77777777" w:rsidR="00454A29" w:rsidRDefault="00454A29">
            <w:pPr>
              <w:pStyle w:val="ConsPlusNormal"/>
            </w:pPr>
          </w:p>
        </w:tc>
        <w:tc>
          <w:tcPr>
            <w:tcW w:w="1701" w:type="dxa"/>
            <w:vAlign w:val="center"/>
          </w:tcPr>
          <w:p w14:paraId="4B5F15B4" w14:textId="77777777" w:rsidR="00454A29" w:rsidRDefault="00454A29">
            <w:pPr>
              <w:pStyle w:val="ConsPlusNormal"/>
            </w:pPr>
          </w:p>
        </w:tc>
        <w:tc>
          <w:tcPr>
            <w:tcW w:w="1701" w:type="dxa"/>
            <w:vAlign w:val="center"/>
          </w:tcPr>
          <w:p w14:paraId="19D07282" w14:textId="77777777" w:rsidR="00454A29" w:rsidRDefault="00454A29">
            <w:pPr>
              <w:pStyle w:val="ConsPlusNormal"/>
            </w:pPr>
          </w:p>
        </w:tc>
        <w:tc>
          <w:tcPr>
            <w:tcW w:w="1814" w:type="dxa"/>
            <w:vAlign w:val="center"/>
          </w:tcPr>
          <w:p w14:paraId="6CC5B014" w14:textId="77777777" w:rsidR="00454A29" w:rsidRDefault="00454A29">
            <w:pPr>
              <w:pStyle w:val="ConsPlusNormal"/>
            </w:pPr>
          </w:p>
        </w:tc>
      </w:tr>
      <w:tr w:rsidR="00454A29" w14:paraId="3FE4D020" w14:textId="77777777">
        <w:tc>
          <w:tcPr>
            <w:tcW w:w="567" w:type="dxa"/>
            <w:vMerge/>
          </w:tcPr>
          <w:p w14:paraId="76D3643C" w14:textId="77777777" w:rsidR="00454A29" w:rsidRDefault="00454A29"/>
        </w:tc>
        <w:tc>
          <w:tcPr>
            <w:tcW w:w="3345" w:type="dxa"/>
            <w:vMerge/>
          </w:tcPr>
          <w:p w14:paraId="26B95632" w14:textId="77777777" w:rsidR="00454A29" w:rsidRDefault="00454A29"/>
        </w:tc>
        <w:tc>
          <w:tcPr>
            <w:tcW w:w="1701" w:type="dxa"/>
            <w:vAlign w:val="center"/>
          </w:tcPr>
          <w:p w14:paraId="2F2C9482" w14:textId="77777777" w:rsidR="00454A29" w:rsidRDefault="00454A29">
            <w:pPr>
              <w:pStyle w:val="ConsPlusNormal"/>
              <w:jc w:val="center"/>
            </w:pPr>
            <w:r>
              <w:t>2025</w:t>
            </w:r>
          </w:p>
        </w:tc>
        <w:tc>
          <w:tcPr>
            <w:tcW w:w="1417" w:type="dxa"/>
            <w:vMerge/>
          </w:tcPr>
          <w:p w14:paraId="5C49F89F" w14:textId="77777777" w:rsidR="00454A29" w:rsidRDefault="00454A29"/>
        </w:tc>
        <w:tc>
          <w:tcPr>
            <w:tcW w:w="2204" w:type="dxa"/>
            <w:vMerge/>
          </w:tcPr>
          <w:p w14:paraId="1CD3CAD9" w14:textId="77777777" w:rsidR="00454A29" w:rsidRDefault="00454A29"/>
        </w:tc>
        <w:tc>
          <w:tcPr>
            <w:tcW w:w="1417" w:type="dxa"/>
            <w:vMerge/>
          </w:tcPr>
          <w:p w14:paraId="0419AD91" w14:textId="77777777" w:rsidR="00454A29" w:rsidRDefault="00454A29"/>
        </w:tc>
        <w:tc>
          <w:tcPr>
            <w:tcW w:w="2324" w:type="dxa"/>
            <w:vMerge/>
          </w:tcPr>
          <w:p w14:paraId="68245922" w14:textId="77777777" w:rsidR="00454A29" w:rsidRDefault="00454A29"/>
        </w:tc>
        <w:tc>
          <w:tcPr>
            <w:tcW w:w="1701" w:type="dxa"/>
            <w:vAlign w:val="center"/>
          </w:tcPr>
          <w:p w14:paraId="557C55CD" w14:textId="77777777" w:rsidR="00454A29" w:rsidRDefault="00454A29">
            <w:pPr>
              <w:pStyle w:val="ConsPlusNormal"/>
              <w:jc w:val="center"/>
            </w:pPr>
            <w:r>
              <w:t>220 694,71</w:t>
            </w:r>
          </w:p>
        </w:tc>
        <w:tc>
          <w:tcPr>
            <w:tcW w:w="1814" w:type="dxa"/>
            <w:vAlign w:val="center"/>
          </w:tcPr>
          <w:p w14:paraId="1DF47B42" w14:textId="77777777" w:rsidR="00454A29" w:rsidRDefault="00454A29">
            <w:pPr>
              <w:pStyle w:val="ConsPlusNormal"/>
              <w:jc w:val="center"/>
            </w:pPr>
            <w:r>
              <w:t>2 791,79</w:t>
            </w:r>
          </w:p>
        </w:tc>
        <w:tc>
          <w:tcPr>
            <w:tcW w:w="1701" w:type="dxa"/>
            <w:vAlign w:val="center"/>
          </w:tcPr>
          <w:p w14:paraId="47294807" w14:textId="77777777" w:rsidR="00454A29" w:rsidRDefault="00454A29">
            <w:pPr>
              <w:pStyle w:val="ConsPlusNormal"/>
              <w:jc w:val="center"/>
            </w:pPr>
            <w:r>
              <w:t>276 387,03</w:t>
            </w:r>
          </w:p>
        </w:tc>
        <w:tc>
          <w:tcPr>
            <w:tcW w:w="1701" w:type="dxa"/>
            <w:vAlign w:val="center"/>
          </w:tcPr>
          <w:p w14:paraId="15BCFF19" w14:textId="77777777" w:rsidR="00454A29" w:rsidRDefault="00454A29">
            <w:pPr>
              <w:pStyle w:val="ConsPlusNormal"/>
            </w:pPr>
          </w:p>
        </w:tc>
        <w:tc>
          <w:tcPr>
            <w:tcW w:w="1814" w:type="dxa"/>
            <w:vAlign w:val="center"/>
          </w:tcPr>
          <w:p w14:paraId="0E9331A9" w14:textId="77777777" w:rsidR="00454A29" w:rsidRDefault="00454A29">
            <w:pPr>
              <w:pStyle w:val="ConsPlusNormal"/>
            </w:pPr>
          </w:p>
        </w:tc>
      </w:tr>
      <w:tr w:rsidR="00454A29" w14:paraId="76EDEDA6" w14:textId="77777777">
        <w:tc>
          <w:tcPr>
            <w:tcW w:w="567" w:type="dxa"/>
            <w:vMerge/>
          </w:tcPr>
          <w:p w14:paraId="48112A26" w14:textId="77777777" w:rsidR="00454A29" w:rsidRDefault="00454A29"/>
        </w:tc>
        <w:tc>
          <w:tcPr>
            <w:tcW w:w="3345" w:type="dxa"/>
            <w:vMerge/>
          </w:tcPr>
          <w:p w14:paraId="558ADB6E" w14:textId="77777777" w:rsidR="00454A29" w:rsidRDefault="00454A29"/>
        </w:tc>
        <w:tc>
          <w:tcPr>
            <w:tcW w:w="1701" w:type="dxa"/>
            <w:vAlign w:val="center"/>
          </w:tcPr>
          <w:p w14:paraId="4B10ECD1" w14:textId="77777777" w:rsidR="00454A29" w:rsidRDefault="00454A29">
            <w:pPr>
              <w:pStyle w:val="ConsPlusNormal"/>
              <w:jc w:val="center"/>
            </w:pPr>
            <w:r>
              <w:t>2026</w:t>
            </w:r>
          </w:p>
        </w:tc>
        <w:tc>
          <w:tcPr>
            <w:tcW w:w="1417" w:type="dxa"/>
            <w:vMerge/>
          </w:tcPr>
          <w:p w14:paraId="6359F04E" w14:textId="77777777" w:rsidR="00454A29" w:rsidRDefault="00454A29"/>
        </w:tc>
        <w:tc>
          <w:tcPr>
            <w:tcW w:w="2204" w:type="dxa"/>
            <w:vMerge/>
          </w:tcPr>
          <w:p w14:paraId="0C64CD23" w14:textId="77777777" w:rsidR="00454A29" w:rsidRDefault="00454A29"/>
        </w:tc>
        <w:tc>
          <w:tcPr>
            <w:tcW w:w="1417" w:type="dxa"/>
            <w:vMerge/>
          </w:tcPr>
          <w:p w14:paraId="121E614E" w14:textId="77777777" w:rsidR="00454A29" w:rsidRDefault="00454A29"/>
        </w:tc>
        <w:tc>
          <w:tcPr>
            <w:tcW w:w="2324" w:type="dxa"/>
            <w:vMerge/>
          </w:tcPr>
          <w:p w14:paraId="3287998B" w14:textId="77777777" w:rsidR="00454A29" w:rsidRDefault="00454A29"/>
        </w:tc>
        <w:tc>
          <w:tcPr>
            <w:tcW w:w="1701" w:type="dxa"/>
            <w:vAlign w:val="center"/>
          </w:tcPr>
          <w:p w14:paraId="171A49C8" w14:textId="77777777" w:rsidR="00454A29" w:rsidRDefault="00454A29">
            <w:pPr>
              <w:pStyle w:val="ConsPlusNormal"/>
            </w:pPr>
          </w:p>
        </w:tc>
        <w:tc>
          <w:tcPr>
            <w:tcW w:w="1814" w:type="dxa"/>
            <w:vAlign w:val="center"/>
          </w:tcPr>
          <w:p w14:paraId="668D40CA" w14:textId="77777777" w:rsidR="00454A29" w:rsidRDefault="00454A29">
            <w:pPr>
              <w:pStyle w:val="ConsPlusNormal"/>
            </w:pPr>
          </w:p>
        </w:tc>
        <w:tc>
          <w:tcPr>
            <w:tcW w:w="1701" w:type="dxa"/>
            <w:vAlign w:val="center"/>
          </w:tcPr>
          <w:p w14:paraId="53FB7BFE" w14:textId="77777777" w:rsidR="00454A29" w:rsidRDefault="00454A29">
            <w:pPr>
              <w:pStyle w:val="ConsPlusNormal"/>
            </w:pPr>
          </w:p>
        </w:tc>
        <w:tc>
          <w:tcPr>
            <w:tcW w:w="1701" w:type="dxa"/>
            <w:vAlign w:val="center"/>
          </w:tcPr>
          <w:p w14:paraId="71D0ADB7" w14:textId="77777777" w:rsidR="00454A29" w:rsidRDefault="00454A29">
            <w:pPr>
              <w:pStyle w:val="ConsPlusNormal"/>
            </w:pPr>
          </w:p>
        </w:tc>
        <w:tc>
          <w:tcPr>
            <w:tcW w:w="1814" w:type="dxa"/>
            <w:vAlign w:val="center"/>
          </w:tcPr>
          <w:p w14:paraId="6DA53BA4" w14:textId="77777777" w:rsidR="00454A29" w:rsidRDefault="00454A29">
            <w:pPr>
              <w:pStyle w:val="ConsPlusNormal"/>
            </w:pPr>
          </w:p>
        </w:tc>
      </w:tr>
      <w:tr w:rsidR="00454A29" w14:paraId="2662D65F" w14:textId="77777777">
        <w:tc>
          <w:tcPr>
            <w:tcW w:w="567" w:type="dxa"/>
            <w:vMerge w:val="restart"/>
            <w:vAlign w:val="center"/>
          </w:tcPr>
          <w:p w14:paraId="20C2E8E0" w14:textId="77777777" w:rsidR="00454A29" w:rsidRDefault="00454A29">
            <w:pPr>
              <w:pStyle w:val="ConsPlusNormal"/>
              <w:jc w:val="center"/>
            </w:pPr>
            <w:r>
              <w:t>20</w:t>
            </w:r>
          </w:p>
        </w:tc>
        <w:tc>
          <w:tcPr>
            <w:tcW w:w="3345" w:type="dxa"/>
            <w:vMerge w:val="restart"/>
            <w:vAlign w:val="center"/>
          </w:tcPr>
          <w:p w14:paraId="706C9EAE" w14:textId="77777777" w:rsidR="00454A29" w:rsidRDefault="00454A29">
            <w:pPr>
              <w:pStyle w:val="ConsPlusNormal"/>
              <w:jc w:val="center"/>
            </w:pPr>
            <w:r>
              <w:t>Школа-сад на 20/15 мест в с. Сиктях</w:t>
            </w:r>
          </w:p>
        </w:tc>
        <w:tc>
          <w:tcPr>
            <w:tcW w:w="1701" w:type="dxa"/>
            <w:vAlign w:val="center"/>
          </w:tcPr>
          <w:p w14:paraId="12107A17" w14:textId="77777777" w:rsidR="00454A29" w:rsidRDefault="00454A29">
            <w:pPr>
              <w:pStyle w:val="ConsPlusNormal"/>
              <w:jc w:val="center"/>
            </w:pPr>
            <w:r>
              <w:t>2020 - 2026 годы - всего</w:t>
            </w:r>
          </w:p>
        </w:tc>
        <w:tc>
          <w:tcPr>
            <w:tcW w:w="1417" w:type="dxa"/>
            <w:vMerge w:val="restart"/>
            <w:vAlign w:val="center"/>
          </w:tcPr>
          <w:p w14:paraId="1D288805" w14:textId="77777777" w:rsidR="00454A29" w:rsidRDefault="00454A29">
            <w:pPr>
              <w:pStyle w:val="ConsPlusNormal"/>
              <w:jc w:val="center"/>
            </w:pPr>
            <w:r>
              <w:t>162 854,30</w:t>
            </w:r>
          </w:p>
        </w:tc>
        <w:tc>
          <w:tcPr>
            <w:tcW w:w="2204" w:type="dxa"/>
            <w:vMerge w:val="restart"/>
            <w:vAlign w:val="center"/>
          </w:tcPr>
          <w:p w14:paraId="36F6DC1E" w14:textId="77777777" w:rsidR="00454A29" w:rsidRDefault="00454A29">
            <w:pPr>
              <w:pStyle w:val="ConsPlusNormal"/>
            </w:pPr>
          </w:p>
        </w:tc>
        <w:tc>
          <w:tcPr>
            <w:tcW w:w="1417" w:type="dxa"/>
            <w:vMerge w:val="restart"/>
            <w:vAlign w:val="center"/>
          </w:tcPr>
          <w:p w14:paraId="37673C7F" w14:textId="77777777" w:rsidR="00454A29" w:rsidRDefault="00454A29">
            <w:pPr>
              <w:pStyle w:val="ConsPlusNormal"/>
              <w:jc w:val="center"/>
            </w:pPr>
            <w:r>
              <w:t>20</w:t>
            </w:r>
          </w:p>
        </w:tc>
        <w:tc>
          <w:tcPr>
            <w:tcW w:w="2324" w:type="dxa"/>
            <w:vMerge w:val="restart"/>
            <w:vAlign w:val="center"/>
          </w:tcPr>
          <w:p w14:paraId="0E88A69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B6A8E4C" w14:textId="77777777" w:rsidR="00454A29" w:rsidRDefault="00454A29">
            <w:pPr>
              <w:pStyle w:val="ConsPlusNormal"/>
              <w:jc w:val="center"/>
            </w:pPr>
            <w:r>
              <w:t>162 854,30</w:t>
            </w:r>
          </w:p>
        </w:tc>
        <w:tc>
          <w:tcPr>
            <w:tcW w:w="1814" w:type="dxa"/>
            <w:vAlign w:val="center"/>
          </w:tcPr>
          <w:p w14:paraId="31E1C4FD" w14:textId="77777777" w:rsidR="00454A29" w:rsidRDefault="00454A29">
            <w:pPr>
              <w:pStyle w:val="ConsPlusNormal"/>
              <w:jc w:val="center"/>
            </w:pPr>
            <w:r>
              <w:t>1 628,54</w:t>
            </w:r>
          </w:p>
        </w:tc>
        <w:tc>
          <w:tcPr>
            <w:tcW w:w="1701" w:type="dxa"/>
            <w:vAlign w:val="center"/>
          </w:tcPr>
          <w:p w14:paraId="3D4EED69" w14:textId="77777777" w:rsidR="00454A29" w:rsidRDefault="00454A29">
            <w:pPr>
              <w:pStyle w:val="ConsPlusNormal"/>
              <w:jc w:val="center"/>
            </w:pPr>
            <w:r>
              <w:t>161 225,76</w:t>
            </w:r>
          </w:p>
        </w:tc>
        <w:tc>
          <w:tcPr>
            <w:tcW w:w="1701" w:type="dxa"/>
            <w:vAlign w:val="center"/>
          </w:tcPr>
          <w:p w14:paraId="17F6A446" w14:textId="77777777" w:rsidR="00454A29" w:rsidRDefault="00454A29">
            <w:pPr>
              <w:pStyle w:val="ConsPlusNormal"/>
              <w:jc w:val="center"/>
            </w:pPr>
            <w:r>
              <w:t>-</w:t>
            </w:r>
          </w:p>
        </w:tc>
        <w:tc>
          <w:tcPr>
            <w:tcW w:w="1814" w:type="dxa"/>
            <w:vAlign w:val="center"/>
          </w:tcPr>
          <w:p w14:paraId="6C08BDB6" w14:textId="77777777" w:rsidR="00454A29" w:rsidRDefault="00454A29">
            <w:pPr>
              <w:pStyle w:val="ConsPlusNormal"/>
              <w:jc w:val="center"/>
            </w:pPr>
            <w:r>
              <w:t>-</w:t>
            </w:r>
          </w:p>
        </w:tc>
      </w:tr>
      <w:tr w:rsidR="00454A29" w14:paraId="280B82C9" w14:textId="77777777">
        <w:tc>
          <w:tcPr>
            <w:tcW w:w="567" w:type="dxa"/>
            <w:vMerge/>
          </w:tcPr>
          <w:p w14:paraId="38C6B9AD" w14:textId="77777777" w:rsidR="00454A29" w:rsidRDefault="00454A29"/>
        </w:tc>
        <w:tc>
          <w:tcPr>
            <w:tcW w:w="3345" w:type="dxa"/>
            <w:vMerge/>
          </w:tcPr>
          <w:p w14:paraId="3ACE0068" w14:textId="77777777" w:rsidR="00454A29" w:rsidRDefault="00454A29"/>
        </w:tc>
        <w:tc>
          <w:tcPr>
            <w:tcW w:w="1701" w:type="dxa"/>
            <w:vAlign w:val="center"/>
          </w:tcPr>
          <w:p w14:paraId="0BF27877" w14:textId="77777777" w:rsidR="00454A29" w:rsidRDefault="00454A29">
            <w:pPr>
              <w:pStyle w:val="ConsPlusNormal"/>
              <w:jc w:val="center"/>
            </w:pPr>
            <w:r>
              <w:t>2020</w:t>
            </w:r>
          </w:p>
        </w:tc>
        <w:tc>
          <w:tcPr>
            <w:tcW w:w="1417" w:type="dxa"/>
            <w:vMerge/>
          </w:tcPr>
          <w:p w14:paraId="7004292C" w14:textId="77777777" w:rsidR="00454A29" w:rsidRDefault="00454A29"/>
        </w:tc>
        <w:tc>
          <w:tcPr>
            <w:tcW w:w="2204" w:type="dxa"/>
            <w:vMerge/>
          </w:tcPr>
          <w:p w14:paraId="6AAC62CF" w14:textId="77777777" w:rsidR="00454A29" w:rsidRDefault="00454A29"/>
        </w:tc>
        <w:tc>
          <w:tcPr>
            <w:tcW w:w="1417" w:type="dxa"/>
            <w:vMerge/>
          </w:tcPr>
          <w:p w14:paraId="725799B4" w14:textId="77777777" w:rsidR="00454A29" w:rsidRDefault="00454A29"/>
        </w:tc>
        <w:tc>
          <w:tcPr>
            <w:tcW w:w="2324" w:type="dxa"/>
            <w:vMerge/>
          </w:tcPr>
          <w:p w14:paraId="25B08DEC" w14:textId="77777777" w:rsidR="00454A29" w:rsidRDefault="00454A29"/>
        </w:tc>
        <w:tc>
          <w:tcPr>
            <w:tcW w:w="1701" w:type="dxa"/>
            <w:vAlign w:val="center"/>
          </w:tcPr>
          <w:p w14:paraId="01415035" w14:textId="77777777" w:rsidR="00454A29" w:rsidRDefault="00454A29">
            <w:pPr>
              <w:pStyle w:val="ConsPlusNormal"/>
            </w:pPr>
          </w:p>
        </w:tc>
        <w:tc>
          <w:tcPr>
            <w:tcW w:w="1814" w:type="dxa"/>
            <w:vAlign w:val="center"/>
          </w:tcPr>
          <w:p w14:paraId="41AEC0F1" w14:textId="77777777" w:rsidR="00454A29" w:rsidRDefault="00454A29">
            <w:pPr>
              <w:pStyle w:val="ConsPlusNormal"/>
            </w:pPr>
          </w:p>
        </w:tc>
        <w:tc>
          <w:tcPr>
            <w:tcW w:w="1701" w:type="dxa"/>
            <w:vAlign w:val="center"/>
          </w:tcPr>
          <w:p w14:paraId="682CC686" w14:textId="77777777" w:rsidR="00454A29" w:rsidRDefault="00454A29">
            <w:pPr>
              <w:pStyle w:val="ConsPlusNormal"/>
            </w:pPr>
          </w:p>
        </w:tc>
        <w:tc>
          <w:tcPr>
            <w:tcW w:w="1701" w:type="dxa"/>
            <w:vAlign w:val="center"/>
          </w:tcPr>
          <w:p w14:paraId="18C8FA58" w14:textId="77777777" w:rsidR="00454A29" w:rsidRDefault="00454A29">
            <w:pPr>
              <w:pStyle w:val="ConsPlusNormal"/>
            </w:pPr>
          </w:p>
        </w:tc>
        <w:tc>
          <w:tcPr>
            <w:tcW w:w="1814" w:type="dxa"/>
            <w:vAlign w:val="center"/>
          </w:tcPr>
          <w:p w14:paraId="7138B884" w14:textId="77777777" w:rsidR="00454A29" w:rsidRDefault="00454A29">
            <w:pPr>
              <w:pStyle w:val="ConsPlusNormal"/>
            </w:pPr>
          </w:p>
        </w:tc>
      </w:tr>
      <w:tr w:rsidR="00454A29" w14:paraId="45A4459C" w14:textId="77777777">
        <w:tc>
          <w:tcPr>
            <w:tcW w:w="567" w:type="dxa"/>
            <w:vMerge/>
          </w:tcPr>
          <w:p w14:paraId="5CA522F9" w14:textId="77777777" w:rsidR="00454A29" w:rsidRDefault="00454A29"/>
        </w:tc>
        <w:tc>
          <w:tcPr>
            <w:tcW w:w="3345" w:type="dxa"/>
            <w:vMerge/>
          </w:tcPr>
          <w:p w14:paraId="463B8F03" w14:textId="77777777" w:rsidR="00454A29" w:rsidRDefault="00454A29"/>
        </w:tc>
        <w:tc>
          <w:tcPr>
            <w:tcW w:w="1701" w:type="dxa"/>
            <w:vAlign w:val="center"/>
          </w:tcPr>
          <w:p w14:paraId="75EA36C9" w14:textId="77777777" w:rsidR="00454A29" w:rsidRDefault="00454A29">
            <w:pPr>
              <w:pStyle w:val="ConsPlusNormal"/>
              <w:jc w:val="center"/>
            </w:pPr>
            <w:r>
              <w:t>2021</w:t>
            </w:r>
          </w:p>
        </w:tc>
        <w:tc>
          <w:tcPr>
            <w:tcW w:w="1417" w:type="dxa"/>
            <w:vMerge/>
          </w:tcPr>
          <w:p w14:paraId="3544AEE9" w14:textId="77777777" w:rsidR="00454A29" w:rsidRDefault="00454A29"/>
        </w:tc>
        <w:tc>
          <w:tcPr>
            <w:tcW w:w="2204" w:type="dxa"/>
            <w:vMerge/>
          </w:tcPr>
          <w:p w14:paraId="26F6FE15" w14:textId="77777777" w:rsidR="00454A29" w:rsidRDefault="00454A29"/>
        </w:tc>
        <w:tc>
          <w:tcPr>
            <w:tcW w:w="1417" w:type="dxa"/>
            <w:vMerge/>
          </w:tcPr>
          <w:p w14:paraId="6C7E3282" w14:textId="77777777" w:rsidR="00454A29" w:rsidRDefault="00454A29"/>
        </w:tc>
        <w:tc>
          <w:tcPr>
            <w:tcW w:w="2324" w:type="dxa"/>
            <w:vMerge/>
          </w:tcPr>
          <w:p w14:paraId="40649EFC" w14:textId="77777777" w:rsidR="00454A29" w:rsidRDefault="00454A29"/>
        </w:tc>
        <w:tc>
          <w:tcPr>
            <w:tcW w:w="1701" w:type="dxa"/>
            <w:vAlign w:val="center"/>
          </w:tcPr>
          <w:p w14:paraId="6F3409D4" w14:textId="77777777" w:rsidR="00454A29" w:rsidRDefault="00454A29">
            <w:pPr>
              <w:pStyle w:val="ConsPlusNormal"/>
            </w:pPr>
          </w:p>
        </w:tc>
        <w:tc>
          <w:tcPr>
            <w:tcW w:w="1814" w:type="dxa"/>
            <w:vAlign w:val="center"/>
          </w:tcPr>
          <w:p w14:paraId="3A69F384" w14:textId="77777777" w:rsidR="00454A29" w:rsidRDefault="00454A29">
            <w:pPr>
              <w:pStyle w:val="ConsPlusNormal"/>
            </w:pPr>
          </w:p>
        </w:tc>
        <w:tc>
          <w:tcPr>
            <w:tcW w:w="1701" w:type="dxa"/>
            <w:vAlign w:val="center"/>
          </w:tcPr>
          <w:p w14:paraId="0DAFDF34" w14:textId="77777777" w:rsidR="00454A29" w:rsidRDefault="00454A29">
            <w:pPr>
              <w:pStyle w:val="ConsPlusNormal"/>
            </w:pPr>
          </w:p>
        </w:tc>
        <w:tc>
          <w:tcPr>
            <w:tcW w:w="1701" w:type="dxa"/>
            <w:vAlign w:val="center"/>
          </w:tcPr>
          <w:p w14:paraId="2F1295F9" w14:textId="77777777" w:rsidR="00454A29" w:rsidRDefault="00454A29">
            <w:pPr>
              <w:pStyle w:val="ConsPlusNormal"/>
            </w:pPr>
          </w:p>
        </w:tc>
        <w:tc>
          <w:tcPr>
            <w:tcW w:w="1814" w:type="dxa"/>
            <w:vAlign w:val="center"/>
          </w:tcPr>
          <w:p w14:paraId="77104141" w14:textId="77777777" w:rsidR="00454A29" w:rsidRDefault="00454A29">
            <w:pPr>
              <w:pStyle w:val="ConsPlusNormal"/>
            </w:pPr>
          </w:p>
        </w:tc>
      </w:tr>
      <w:tr w:rsidR="00454A29" w14:paraId="491F1E81" w14:textId="77777777">
        <w:tc>
          <w:tcPr>
            <w:tcW w:w="567" w:type="dxa"/>
            <w:vMerge/>
          </w:tcPr>
          <w:p w14:paraId="4A0F5A32" w14:textId="77777777" w:rsidR="00454A29" w:rsidRDefault="00454A29"/>
        </w:tc>
        <w:tc>
          <w:tcPr>
            <w:tcW w:w="3345" w:type="dxa"/>
            <w:vMerge/>
          </w:tcPr>
          <w:p w14:paraId="4A0418EA" w14:textId="77777777" w:rsidR="00454A29" w:rsidRDefault="00454A29"/>
        </w:tc>
        <w:tc>
          <w:tcPr>
            <w:tcW w:w="1701" w:type="dxa"/>
            <w:vAlign w:val="center"/>
          </w:tcPr>
          <w:p w14:paraId="1A3CA04D" w14:textId="77777777" w:rsidR="00454A29" w:rsidRDefault="00454A29">
            <w:pPr>
              <w:pStyle w:val="ConsPlusNormal"/>
              <w:jc w:val="center"/>
            </w:pPr>
            <w:r>
              <w:t>2022</w:t>
            </w:r>
          </w:p>
        </w:tc>
        <w:tc>
          <w:tcPr>
            <w:tcW w:w="1417" w:type="dxa"/>
            <w:vMerge/>
          </w:tcPr>
          <w:p w14:paraId="22DE74E7" w14:textId="77777777" w:rsidR="00454A29" w:rsidRDefault="00454A29"/>
        </w:tc>
        <w:tc>
          <w:tcPr>
            <w:tcW w:w="2204" w:type="dxa"/>
            <w:vMerge/>
          </w:tcPr>
          <w:p w14:paraId="4B378DF8" w14:textId="77777777" w:rsidR="00454A29" w:rsidRDefault="00454A29"/>
        </w:tc>
        <w:tc>
          <w:tcPr>
            <w:tcW w:w="1417" w:type="dxa"/>
            <w:vMerge/>
          </w:tcPr>
          <w:p w14:paraId="2D4E4AF2" w14:textId="77777777" w:rsidR="00454A29" w:rsidRDefault="00454A29"/>
        </w:tc>
        <w:tc>
          <w:tcPr>
            <w:tcW w:w="2324" w:type="dxa"/>
            <w:vMerge/>
          </w:tcPr>
          <w:p w14:paraId="2F9DF650" w14:textId="77777777" w:rsidR="00454A29" w:rsidRDefault="00454A29"/>
        </w:tc>
        <w:tc>
          <w:tcPr>
            <w:tcW w:w="1701" w:type="dxa"/>
            <w:vAlign w:val="center"/>
          </w:tcPr>
          <w:p w14:paraId="59FF3114" w14:textId="77777777" w:rsidR="00454A29" w:rsidRDefault="00454A29">
            <w:pPr>
              <w:pStyle w:val="ConsPlusNormal"/>
            </w:pPr>
          </w:p>
        </w:tc>
        <w:tc>
          <w:tcPr>
            <w:tcW w:w="1814" w:type="dxa"/>
            <w:vAlign w:val="center"/>
          </w:tcPr>
          <w:p w14:paraId="2E0ABA30" w14:textId="77777777" w:rsidR="00454A29" w:rsidRDefault="00454A29">
            <w:pPr>
              <w:pStyle w:val="ConsPlusNormal"/>
            </w:pPr>
          </w:p>
        </w:tc>
        <w:tc>
          <w:tcPr>
            <w:tcW w:w="1701" w:type="dxa"/>
            <w:vAlign w:val="center"/>
          </w:tcPr>
          <w:p w14:paraId="6C9588D2" w14:textId="77777777" w:rsidR="00454A29" w:rsidRDefault="00454A29">
            <w:pPr>
              <w:pStyle w:val="ConsPlusNormal"/>
            </w:pPr>
          </w:p>
        </w:tc>
        <w:tc>
          <w:tcPr>
            <w:tcW w:w="1701" w:type="dxa"/>
            <w:vAlign w:val="center"/>
          </w:tcPr>
          <w:p w14:paraId="3FAEC1C5" w14:textId="77777777" w:rsidR="00454A29" w:rsidRDefault="00454A29">
            <w:pPr>
              <w:pStyle w:val="ConsPlusNormal"/>
            </w:pPr>
          </w:p>
        </w:tc>
        <w:tc>
          <w:tcPr>
            <w:tcW w:w="1814" w:type="dxa"/>
            <w:vAlign w:val="center"/>
          </w:tcPr>
          <w:p w14:paraId="2E4C888C" w14:textId="77777777" w:rsidR="00454A29" w:rsidRDefault="00454A29">
            <w:pPr>
              <w:pStyle w:val="ConsPlusNormal"/>
            </w:pPr>
          </w:p>
        </w:tc>
      </w:tr>
      <w:tr w:rsidR="00454A29" w14:paraId="26942F87" w14:textId="77777777">
        <w:tc>
          <w:tcPr>
            <w:tcW w:w="567" w:type="dxa"/>
            <w:vMerge/>
          </w:tcPr>
          <w:p w14:paraId="49E204D1" w14:textId="77777777" w:rsidR="00454A29" w:rsidRDefault="00454A29"/>
        </w:tc>
        <w:tc>
          <w:tcPr>
            <w:tcW w:w="3345" w:type="dxa"/>
            <w:vMerge/>
          </w:tcPr>
          <w:p w14:paraId="7EDFAA7A" w14:textId="77777777" w:rsidR="00454A29" w:rsidRDefault="00454A29"/>
        </w:tc>
        <w:tc>
          <w:tcPr>
            <w:tcW w:w="1701" w:type="dxa"/>
            <w:vAlign w:val="center"/>
          </w:tcPr>
          <w:p w14:paraId="659C0161" w14:textId="77777777" w:rsidR="00454A29" w:rsidRDefault="00454A29">
            <w:pPr>
              <w:pStyle w:val="ConsPlusNormal"/>
              <w:jc w:val="center"/>
            </w:pPr>
            <w:r>
              <w:t>2023</w:t>
            </w:r>
          </w:p>
        </w:tc>
        <w:tc>
          <w:tcPr>
            <w:tcW w:w="1417" w:type="dxa"/>
            <w:vMerge/>
          </w:tcPr>
          <w:p w14:paraId="2CEDD835" w14:textId="77777777" w:rsidR="00454A29" w:rsidRDefault="00454A29"/>
        </w:tc>
        <w:tc>
          <w:tcPr>
            <w:tcW w:w="2204" w:type="dxa"/>
            <w:vMerge/>
          </w:tcPr>
          <w:p w14:paraId="3B8C274C" w14:textId="77777777" w:rsidR="00454A29" w:rsidRDefault="00454A29"/>
        </w:tc>
        <w:tc>
          <w:tcPr>
            <w:tcW w:w="1417" w:type="dxa"/>
            <w:vMerge/>
          </w:tcPr>
          <w:p w14:paraId="0ACC5160" w14:textId="77777777" w:rsidR="00454A29" w:rsidRDefault="00454A29"/>
        </w:tc>
        <w:tc>
          <w:tcPr>
            <w:tcW w:w="2324" w:type="dxa"/>
            <w:vMerge/>
          </w:tcPr>
          <w:p w14:paraId="5B5A7D48" w14:textId="77777777" w:rsidR="00454A29" w:rsidRDefault="00454A29"/>
        </w:tc>
        <w:tc>
          <w:tcPr>
            <w:tcW w:w="1701" w:type="dxa"/>
            <w:vAlign w:val="center"/>
          </w:tcPr>
          <w:p w14:paraId="39850FD8" w14:textId="77777777" w:rsidR="00454A29" w:rsidRDefault="00454A29">
            <w:pPr>
              <w:pStyle w:val="ConsPlusNormal"/>
            </w:pPr>
          </w:p>
        </w:tc>
        <w:tc>
          <w:tcPr>
            <w:tcW w:w="1814" w:type="dxa"/>
            <w:vAlign w:val="center"/>
          </w:tcPr>
          <w:p w14:paraId="40BD9F65" w14:textId="77777777" w:rsidR="00454A29" w:rsidRDefault="00454A29">
            <w:pPr>
              <w:pStyle w:val="ConsPlusNormal"/>
            </w:pPr>
          </w:p>
        </w:tc>
        <w:tc>
          <w:tcPr>
            <w:tcW w:w="1701" w:type="dxa"/>
            <w:vAlign w:val="center"/>
          </w:tcPr>
          <w:p w14:paraId="4598BBEF" w14:textId="77777777" w:rsidR="00454A29" w:rsidRDefault="00454A29">
            <w:pPr>
              <w:pStyle w:val="ConsPlusNormal"/>
            </w:pPr>
          </w:p>
        </w:tc>
        <w:tc>
          <w:tcPr>
            <w:tcW w:w="1701" w:type="dxa"/>
            <w:vAlign w:val="center"/>
          </w:tcPr>
          <w:p w14:paraId="0F6E9C4A" w14:textId="77777777" w:rsidR="00454A29" w:rsidRDefault="00454A29">
            <w:pPr>
              <w:pStyle w:val="ConsPlusNormal"/>
            </w:pPr>
          </w:p>
        </w:tc>
        <w:tc>
          <w:tcPr>
            <w:tcW w:w="1814" w:type="dxa"/>
            <w:vAlign w:val="center"/>
          </w:tcPr>
          <w:p w14:paraId="216E7BE8" w14:textId="77777777" w:rsidR="00454A29" w:rsidRDefault="00454A29">
            <w:pPr>
              <w:pStyle w:val="ConsPlusNormal"/>
            </w:pPr>
          </w:p>
        </w:tc>
      </w:tr>
      <w:tr w:rsidR="00454A29" w14:paraId="19DB9C5A" w14:textId="77777777">
        <w:tc>
          <w:tcPr>
            <w:tcW w:w="567" w:type="dxa"/>
            <w:vMerge/>
          </w:tcPr>
          <w:p w14:paraId="1DF00305" w14:textId="77777777" w:rsidR="00454A29" w:rsidRDefault="00454A29"/>
        </w:tc>
        <w:tc>
          <w:tcPr>
            <w:tcW w:w="3345" w:type="dxa"/>
            <w:vMerge/>
          </w:tcPr>
          <w:p w14:paraId="1BB09A67" w14:textId="77777777" w:rsidR="00454A29" w:rsidRDefault="00454A29"/>
        </w:tc>
        <w:tc>
          <w:tcPr>
            <w:tcW w:w="1701" w:type="dxa"/>
            <w:vAlign w:val="center"/>
          </w:tcPr>
          <w:p w14:paraId="6120351C" w14:textId="77777777" w:rsidR="00454A29" w:rsidRDefault="00454A29">
            <w:pPr>
              <w:pStyle w:val="ConsPlusNormal"/>
              <w:jc w:val="center"/>
            </w:pPr>
            <w:r>
              <w:t>2024</w:t>
            </w:r>
          </w:p>
        </w:tc>
        <w:tc>
          <w:tcPr>
            <w:tcW w:w="1417" w:type="dxa"/>
            <w:vMerge/>
          </w:tcPr>
          <w:p w14:paraId="2BA26F41" w14:textId="77777777" w:rsidR="00454A29" w:rsidRDefault="00454A29"/>
        </w:tc>
        <w:tc>
          <w:tcPr>
            <w:tcW w:w="2204" w:type="dxa"/>
            <w:vMerge/>
          </w:tcPr>
          <w:p w14:paraId="1192E2AA" w14:textId="77777777" w:rsidR="00454A29" w:rsidRDefault="00454A29"/>
        </w:tc>
        <w:tc>
          <w:tcPr>
            <w:tcW w:w="1417" w:type="dxa"/>
            <w:vMerge/>
          </w:tcPr>
          <w:p w14:paraId="4B0E4343" w14:textId="77777777" w:rsidR="00454A29" w:rsidRDefault="00454A29"/>
        </w:tc>
        <w:tc>
          <w:tcPr>
            <w:tcW w:w="2324" w:type="dxa"/>
            <w:vMerge/>
          </w:tcPr>
          <w:p w14:paraId="7D374152" w14:textId="77777777" w:rsidR="00454A29" w:rsidRDefault="00454A29"/>
        </w:tc>
        <w:tc>
          <w:tcPr>
            <w:tcW w:w="1701" w:type="dxa"/>
            <w:vAlign w:val="center"/>
          </w:tcPr>
          <w:p w14:paraId="4BD1DAC7" w14:textId="77777777" w:rsidR="00454A29" w:rsidRDefault="00454A29">
            <w:pPr>
              <w:pStyle w:val="ConsPlusNormal"/>
            </w:pPr>
          </w:p>
        </w:tc>
        <w:tc>
          <w:tcPr>
            <w:tcW w:w="1814" w:type="dxa"/>
            <w:vAlign w:val="center"/>
          </w:tcPr>
          <w:p w14:paraId="4CC2E506" w14:textId="77777777" w:rsidR="00454A29" w:rsidRDefault="00454A29">
            <w:pPr>
              <w:pStyle w:val="ConsPlusNormal"/>
            </w:pPr>
          </w:p>
        </w:tc>
        <w:tc>
          <w:tcPr>
            <w:tcW w:w="1701" w:type="dxa"/>
            <w:vAlign w:val="center"/>
          </w:tcPr>
          <w:p w14:paraId="6BD90420" w14:textId="77777777" w:rsidR="00454A29" w:rsidRDefault="00454A29">
            <w:pPr>
              <w:pStyle w:val="ConsPlusNormal"/>
            </w:pPr>
          </w:p>
        </w:tc>
        <w:tc>
          <w:tcPr>
            <w:tcW w:w="1701" w:type="dxa"/>
            <w:vAlign w:val="center"/>
          </w:tcPr>
          <w:p w14:paraId="7F801D82" w14:textId="77777777" w:rsidR="00454A29" w:rsidRDefault="00454A29">
            <w:pPr>
              <w:pStyle w:val="ConsPlusNormal"/>
            </w:pPr>
          </w:p>
        </w:tc>
        <w:tc>
          <w:tcPr>
            <w:tcW w:w="1814" w:type="dxa"/>
            <w:vAlign w:val="center"/>
          </w:tcPr>
          <w:p w14:paraId="70F8F4FE" w14:textId="77777777" w:rsidR="00454A29" w:rsidRDefault="00454A29">
            <w:pPr>
              <w:pStyle w:val="ConsPlusNormal"/>
            </w:pPr>
          </w:p>
        </w:tc>
      </w:tr>
      <w:tr w:rsidR="00454A29" w14:paraId="1C1975BD" w14:textId="77777777">
        <w:tc>
          <w:tcPr>
            <w:tcW w:w="567" w:type="dxa"/>
            <w:vMerge/>
          </w:tcPr>
          <w:p w14:paraId="1909E7B6" w14:textId="77777777" w:rsidR="00454A29" w:rsidRDefault="00454A29"/>
        </w:tc>
        <w:tc>
          <w:tcPr>
            <w:tcW w:w="3345" w:type="dxa"/>
            <w:vMerge/>
          </w:tcPr>
          <w:p w14:paraId="2C0B01BE" w14:textId="77777777" w:rsidR="00454A29" w:rsidRDefault="00454A29"/>
        </w:tc>
        <w:tc>
          <w:tcPr>
            <w:tcW w:w="1701" w:type="dxa"/>
            <w:vAlign w:val="center"/>
          </w:tcPr>
          <w:p w14:paraId="3D4E9A95" w14:textId="77777777" w:rsidR="00454A29" w:rsidRDefault="00454A29">
            <w:pPr>
              <w:pStyle w:val="ConsPlusNormal"/>
              <w:jc w:val="center"/>
            </w:pPr>
            <w:r>
              <w:t>2025</w:t>
            </w:r>
          </w:p>
        </w:tc>
        <w:tc>
          <w:tcPr>
            <w:tcW w:w="1417" w:type="dxa"/>
            <w:vMerge/>
          </w:tcPr>
          <w:p w14:paraId="0B8D27B0" w14:textId="77777777" w:rsidR="00454A29" w:rsidRDefault="00454A29"/>
        </w:tc>
        <w:tc>
          <w:tcPr>
            <w:tcW w:w="2204" w:type="dxa"/>
            <w:vMerge/>
          </w:tcPr>
          <w:p w14:paraId="41385172" w14:textId="77777777" w:rsidR="00454A29" w:rsidRDefault="00454A29"/>
        </w:tc>
        <w:tc>
          <w:tcPr>
            <w:tcW w:w="1417" w:type="dxa"/>
            <w:vMerge/>
          </w:tcPr>
          <w:p w14:paraId="28995955" w14:textId="77777777" w:rsidR="00454A29" w:rsidRDefault="00454A29"/>
        </w:tc>
        <w:tc>
          <w:tcPr>
            <w:tcW w:w="2324" w:type="dxa"/>
            <w:vMerge/>
          </w:tcPr>
          <w:p w14:paraId="1E04E055" w14:textId="77777777" w:rsidR="00454A29" w:rsidRDefault="00454A29"/>
        </w:tc>
        <w:tc>
          <w:tcPr>
            <w:tcW w:w="1701" w:type="dxa"/>
            <w:vAlign w:val="center"/>
          </w:tcPr>
          <w:p w14:paraId="3C1ED72C" w14:textId="77777777" w:rsidR="00454A29" w:rsidRDefault="00454A29">
            <w:pPr>
              <w:pStyle w:val="ConsPlusNormal"/>
              <w:jc w:val="center"/>
            </w:pPr>
            <w:r>
              <w:t>162 854,30</w:t>
            </w:r>
          </w:p>
        </w:tc>
        <w:tc>
          <w:tcPr>
            <w:tcW w:w="1814" w:type="dxa"/>
            <w:vAlign w:val="center"/>
          </w:tcPr>
          <w:p w14:paraId="063198F7" w14:textId="77777777" w:rsidR="00454A29" w:rsidRDefault="00454A29">
            <w:pPr>
              <w:pStyle w:val="ConsPlusNormal"/>
              <w:jc w:val="center"/>
            </w:pPr>
            <w:r>
              <w:t>1 628,54</w:t>
            </w:r>
          </w:p>
        </w:tc>
        <w:tc>
          <w:tcPr>
            <w:tcW w:w="1701" w:type="dxa"/>
            <w:vAlign w:val="center"/>
          </w:tcPr>
          <w:p w14:paraId="37C5F760" w14:textId="77777777" w:rsidR="00454A29" w:rsidRDefault="00454A29">
            <w:pPr>
              <w:pStyle w:val="ConsPlusNormal"/>
              <w:jc w:val="center"/>
            </w:pPr>
            <w:r>
              <w:t>161 225,76</w:t>
            </w:r>
          </w:p>
        </w:tc>
        <w:tc>
          <w:tcPr>
            <w:tcW w:w="1701" w:type="dxa"/>
            <w:vAlign w:val="center"/>
          </w:tcPr>
          <w:p w14:paraId="40AFE7D4" w14:textId="77777777" w:rsidR="00454A29" w:rsidRDefault="00454A29">
            <w:pPr>
              <w:pStyle w:val="ConsPlusNormal"/>
            </w:pPr>
          </w:p>
        </w:tc>
        <w:tc>
          <w:tcPr>
            <w:tcW w:w="1814" w:type="dxa"/>
            <w:vAlign w:val="center"/>
          </w:tcPr>
          <w:p w14:paraId="375D9492" w14:textId="77777777" w:rsidR="00454A29" w:rsidRDefault="00454A29">
            <w:pPr>
              <w:pStyle w:val="ConsPlusNormal"/>
            </w:pPr>
          </w:p>
        </w:tc>
      </w:tr>
      <w:tr w:rsidR="00454A29" w14:paraId="78CA7824" w14:textId="77777777">
        <w:tc>
          <w:tcPr>
            <w:tcW w:w="567" w:type="dxa"/>
            <w:vMerge/>
          </w:tcPr>
          <w:p w14:paraId="17C69F31" w14:textId="77777777" w:rsidR="00454A29" w:rsidRDefault="00454A29"/>
        </w:tc>
        <w:tc>
          <w:tcPr>
            <w:tcW w:w="3345" w:type="dxa"/>
            <w:vMerge/>
          </w:tcPr>
          <w:p w14:paraId="39D5D1E0" w14:textId="77777777" w:rsidR="00454A29" w:rsidRDefault="00454A29"/>
        </w:tc>
        <w:tc>
          <w:tcPr>
            <w:tcW w:w="1701" w:type="dxa"/>
            <w:vAlign w:val="center"/>
          </w:tcPr>
          <w:p w14:paraId="5AE14541" w14:textId="77777777" w:rsidR="00454A29" w:rsidRDefault="00454A29">
            <w:pPr>
              <w:pStyle w:val="ConsPlusNormal"/>
              <w:jc w:val="center"/>
            </w:pPr>
            <w:r>
              <w:t>2026</w:t>
            </w:r>
          </w:p>
        </w:tc>
        <w:tc>
          <w:tcPr>
            <w:tcW w:w="1417" w:type="dxa"/>
            <w:vMerge/>
          </w:tcPr>
          <w:p w14:paraId="0F2AC860" w14:textId="77777777" w:rsidR="00454A29" w:rsidRDefault="00454A29"/>
        </w:tc>
        <w:tc>
          <w:tcPr>
            <w:tcW w:w="2204" w:type="dxa"/>
            <w:vMerge/>
          </w:tcPr>
          <w:p w14:paraId="7755C4B7" w14:textId="77777777" w:rsidR="00454A29" w:rsidRDefault="00454A29"/>
        </w:tc>
        <w:tc>
          <w:tcPr>
            <w:tcW w:w="1417" w:type="dxa"/>
            <w:vMerge/>
          </w:tcPr>
          <w:p w14:paraId="3068A960" w14:textId="77777777" w:rsidR="00454A29" w:rsidRDefault="00454A29"/>
        </w:tc>
        <w:tc>
          <w:tcPr>
            <w:tcW w:w="2324" w:type="dxa"/>
            <w:vMerge/>
          </w:tcPr>
          <w:p w14:paraId="3A369C52" w14:textId="77777777" w:rsidR="00454A29" w:rsidRDefault="00454A29"/>
        </w:tc>
        <w:tc>
          <w:tcPr>
            <w:tcW w:w="1701" w:type="dxa"/>
            <w:vAlign w:val="center"/>
          </w:tcPr>
          <w:p w14:paraId="5C17C476" w14:textId="77777777" w:rsidR="00454A29" w:rsidRDefault="00454A29">
            <w:pPr>
              <w:pStyle w:val="ConsPlusNormal"/>
            </w:pPr>
          </w:p>
        </w:tc>
        <w:tc>
          <w:tcPr>
            <w:tcW w:w="1814" w:type="dxa"/>
            <w:vAlign w:val="center"/>
          </w:tcPr>
          <w:p w14:paraId="16D8D86F" w14:textId="77777777" w:rsidR="00454A29" w:rsidRDefault="00454A29">
            <w:pPr>
              <w:pStyle w:val="ConsPlusNormal"/>
            </w:pPr>
          </w:p>
        </w:tc>
        <w:tc>
          <w:tcPr>
            <w:tcW w:w="1701" w:type="dxa"/>
            <w:vAlign w:val="center"/>
          </w:tcPr>
          <w:p w14:paraId="17F3CD94" w14:textId="77777777" w:rsidR="00454A29" w:rsidRDefault="00454A29">
            <w:pPr>
              <w:pStyle w:val="ConsPlusNormal"/>
            </w:pPr>
          </w:p>
        </w:tc>
        <w:tc>
          <w:tcPr>
            <w:tcW w:w="1701" w:type="dxa"/>
            <w:vAlign w:val="center"/>
          </w:tcPr>
          <w:p w14:paraId="7F226387" w14:textId="77777777" w:rsidR="00454A29" w:rsidRDefault="00454A29">
            <w:pPr>
              <w:pStyle w:val="ConsPlusNormal"/>
            </w:pPr>
          </w:p>
        </w:tc>
        <w:tc>
          <w:tcPr>
            <w:tcW w:w="1814" w:type="dxa"/>
            <w:vAlign w:val="center"/>
          </w:tcPr>
          <w:p w14:paraId="65513E28" w14:textId="77777777" w:rsidR="00454A29" w:rsidRDefault="00454A29">
            <w:pPr>
              <w:pStyle w:val="ConsPlusNormal"/>
            </w:pPr>
          </w:p>
        </w:tc>
      </w:tr>
      <w:tr w:rsidR="00454A29" w14:paraId="2345CCE1" w14:textId="77777777">
        <w:tc>
          <w:tcPr>
            <w:tcW w:w="567" w:type="dxa"/>
            <w:vMerge w:val="restart"/>
            <w:vAlign w:val="center"/>
          </w:tcPr>
          <w:p w14:paraId="0A7007B3" w14:textId="77777777" w:rsidR="00454A29" w:rsidRDefault="00454A29">
            <w:pPr>
              <w:pStyle w:val="ConsPlusNormal"/>
              <w:jc w:val="center"/>
            </w:pPr>
            <w:r>
              <w:t>21</w:t>
            </w:r>
          </w:p>
        </w:tc>
        <w:tc>
          <w:tcPr>
            <w:tcW w:w="3345" w:type="dxa"/>
            <w:vMerge w:val="restart"/>
            <w:vAlign w:val="center"/>
          </w:tcPr>
          <w:p w14:paraId="06E41301" w14:textId="77777777" w:rsidR="00454A29" w:rsidRDefault="00454A29">
            <w:pPr>
              <w:pStyle w:val="ConsPlusNormal"/>
              <w:jc w:val="center"/>
            </w:pPr>
            <w:r>
              <w:t>Школа-сад на 90/40 мест в с. Намы</w:t>
            </w:r>
          </w:p>
        </w:tc>
        <w:tc>
          <w:tcPr>
            <w:tcW w:w="1701" w:type="dxa"/>
            <w:vAlign w:val="center"/>
          </w:tcPr>
          <w:p w14:paraId="76B9D0F2" w14:textId="77777777" w:rsidR="00454A29" w:rsidRDefault="00454A29">
            <w:pPr>
              <w:pStyle w:val="ConsPlusNormal"/>
              <w:jc w:val="center"/>
            </w:pPr>
            <w:r>
              <w:t>2020 - 2026 годы - всего</w:t>
            </w:r>
          </w:p>
        </w:tc>
        <w:tc>
          <w:tcPr>
            <w:tcW w:w="1417" w:type="dxa"/>
            <w:vMerge w:val="restart"/>
            <w:vAlign w:val="center"/>
          </w:tcPr>
          <w:p w14:paraId="5191CDF9" w14:textId="77777777" w:rsidR="00454A29" w:rsidRDefault="00454A29">
            <w:pPr>
              <w:pStyle w:val="ConsPlusNormal"/>
              <w:jc w:val="center"/>
            </w:pPr>
            <w:r>
              <w:t>63 854,34</w:t>
            </w:r>
          </w:p>
        </w:tc>
        <w:tc>
          <w:tcPr>
            <w:tcW w:w="2204" w:type="dxa"/>
            <w:vMerge w:val="restart"/>
            <w:vAlign w:val="center"/>
          </w:tcPr>
          <w:p w14:paraId="61979F40" w14:textId="77777777" w:rsidR="00454A29" w:rsidRDefault="00454A29">
            <w:pPr>
              <w:pStyle w:val="ConsPlusNormal"/>
            </w:pPr>
          </w:p>
        </w:tc>
        <w:tc>
          <w:tcPr>
            <w:tcW w:w="1417" w:type="dxa"/>
            <w:vMerge w:val="restart"/>
            <w:vAlign w:val="center"/>
          </w:tcPr>
          <w:p w14:paraId="10C53345" w14:textId="77777777" w:rsidR="00454A29" w:rsidRDefault="00454A29">
            <w:pPr>
              <w:pStyle w:val="ConsPlusNormal"/>
              <w:jc w:val="center"/>
            </w:pPr>
            <w:r>
              <w:t>90</w:t>
            </w:r>
          </w:p>
        </w:tc>
        <w:tc>
          <w:tcPr>
            <w:tcW w:w="2324" w:type="dxa"/>
            <w:vMerge w:val="restart"/>
            <w:vAlign w:val="center"/>
          </w:tcPr>
          <w:p w14:paraId="784C897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B41E123" w14:textId="77777777" w:rsidR="00454A29" w:rsidRDefault="00454A29">
            <w:pPr>
              <w:pStyle w:val="ConsPlusNormal"/>
              <w:jc w:val="center"/>
            </w:pPr>
            <w:r>
              <w:t>63 854,34</w:t>
            </w:r>
          </w:p>
        </w:tc>
        <w:tc>
          <w:tcPr>
            <w:tcW w:w="1814" w:type="dxa"/>
            <w:vAlign w:val="center"/>
          </w:tcPr>
          <w:p w14:paraId="1966C5F9" w14:textId="77777777" w:rsidR="00454A29" w:rsidRDefault="00454A29">
            <w:pPr>
              <w:pStyle w:val="ConsPlusNormal"/>
              <w:jc w:val="center"/>
            </w:pPr>
            <w:r>
              <w:t>638,54</w:t>
            </w:r>
          </w:p>
        </w:tc>
        <w:tc>
          <w:tcPr>
            <w:tcW w:w="1701" w:type="dxa"/>
            <w:vAlign w:val="center"/>
          </w:tcPr>
          <w:p w14:paraId="16C59529" w14:textId="77777777" w:rsidR="00454A29" w:rsidRDefault="00454A29">
            <w:pPr>
              <w:pStyle w:val="ConsPlusNormal"/>
              <w:jc w:val="center"/>
            </w:pPr>
            <w:r>
              <w:t>63 215,79</w:t>
            </w:r>
          </w:p>
        </w:tc>
        <w:tc>
          <w:tcPr>
            <w:tcW w:w="1701" w:type="dxa"/>
            <w:vAlign w:val="center"/>
          </w:tcPr>
          <w:p w14:paraId="34F8061C" w14:textId="77777777" w:rsidR="00454A29" w:rsidRDefault="00454A29">
            <w:pPr>
              <w:pStyle w:val="ConsPlusNormal"/>
              <w:jc w:val="center"/>
            </w:pPr>
            <w:r>
              <w:t>-</w:t>
            </w:r>
          </w:p>
        </w:tc>
        <w:tc>
          <w:tcPr>
            <w:tcW w:w="1814" w:type="dxa"/>
            <w:vAlign w:val="center"/>
          </w:tcPr>
          <w:p w14:paraId="2A0F2D33" w14:textId="77777777" w:rsidR="00454A29" w:rsidRDefault="00454A29">
            <w:pPr>
              <w:pStyle w:val="ConsPlusNormal"/>
              <w:jc w:val="center"/>
            </w:pPr>
            <w:r>
              <w:t>-</w:t>
            </w:r>
          </w:p>
        </w:tc>
      </w:tr>
      <w:tr w:rsidR="00454A29" w14:paraId="7D1B8DD5" w14:textId="77777777">
        <w:tc>
          <w:tcPr>
            <w:tcW w:w="567" w:type="dxa"/>
            <w:vMerge/>
          </w:tcPr>
          <w:p w14:paraId="47D194ED" w14:textId="77777777" w:rsidR="00454A29" w:rsidRDefault="00454A29"/>
        </w:tc>
        <w:tc>
          <w:tcPr>
            <w:tcW w:w="3345" w:type="dxa"/>
            <w:vMerge/>
          </w:tcPr>
          <w:p w14:paraId="4E4B22FC" w14:textId="77777777" w:rsidR="00454A29" w:rsidRDefault="00454A29"/>
        </w:tc>
        <w:tc>
          <w:tcPr>
            <w:tcW w:w="1701" w:type="dxa"/>
            <w:vAlign w:val="center"/>
          </w:tcPr>
          <w:p w14:paraId="338A040D" w14:textId="77777777" w:rsidR="00454A29" w:rsidRDefault="00454A29">
            <w:pPr>
              <w:pStyle w:val="ConsPlusNormal"/>
              <w:jc w:val="center"/>
            </w:pPr>
            <w:r>
              <w:t>2020</w:t>
            </w:r>
          </w:p>
        </w:tc>
        <w:tc>
          <w:tcPr>
            <w:tcW w:w="1417" w:type="dxa"/>
            <w:vMerge/>
          </w:tcPr>
          <w:p w14:paraId="50CA2CC8" w14:textId="77777777" w:rsidR="00454A29" w:rsidRDefault="00454A29"/>
        </w:tc>
        <w:tc>
          <w:tcPr>
            <w:tcW w:w="2204" w:type="dxa"/>
            <w:vMerge/>
          </w:tcPr>
          <w:p w14:paraId="7724C820" w14:textId="77777777" w:rsidR="00454A29" w:rsidRDefault="00454A29"/>
        </w:tc>
        <w:tc>
          <w:tcPr>
            <w:tcW w:w="1417" w:type="dxa"/>
            <w:vMerge/>
          </w:tcPr>
          <w:p w14:paraId="591E5ACD" w14:textId="77777777" w:rsidR="00454A29" w:rsidRDefault="00454A29"/>
        </w:tc>
        <w:tc>
          <w:tcPr>
            <w:tcW w:w="2324" w:type="dxa"/>
            <w:vMerge/>
          </w:tcPr>
          <w:p w14:paraId="7C8E48F4" w14:textId="77777777" w:rsidR="00454A29" w:rsidRDefault="00454A29"/>
        </w:tc>
        <w:tc>
          <w:tcPr>
            <w:tcW w:w="1701" w:type="dxa"/>
            <w:vAlign w:val="center"/>
          </w:tcPr>
          <w:p w14:paraId="7991BAB7" w14:textId="77777777" w:rsidR="00454A29" w:rsidRDefault="00454A29">
            <w:pPr>
              <w:pStyle w:val="ConsPlusNormal"/>
            </w:pPr>
          </w:p>
        </w:tc>
        <w:tc>
          <w:tcPr>
            <w:tcW w:w="1814" w:type="dxa"/>
            <w:vAlign w:val="center"/>
          </w:tcPr>
          <w:p w14:paraId="66B4E4E8" w14:textId="77777777" w:rsidR="00454A29" w:rsidRDefault="00454A29">
            <w:pPr>
              <w:pStyle w:val="ConsPlusNormal"/>
            </w:pPr>
          </w:p>
        </w:tc>
        <w:tc>
          <w:tcPr>
            <w:tcW w:w="1701" w:type="dxa"/>
            <w:vAlign w:val="center"/>
          </w:tcPr>
          <w:p w14:paraId="44BE7DCF" w14:textId="77777777" w:rsidR="00454A29" w:rsidRDefault="00454A29">
            <w:pPr>
              <w:pStyle w:val="ConsPlusNormal"/>
            </w:pPr>
          </w:p>
        </w:tc>
        <w:tc>
          <w:tcPr>
            <w:tcW w:w="1701" w:type="dxa"/>
            <w:vAlign w:val="center"/>
          </w:tcPr>
          <w:p w14:paraId="5AED4CC2" w14:textId="77777777" w:rsidR="00454A29" w:rsidRDefault="00454A29">
            <w:pPr>
              <w:pStyle w:val="ConsPlusNormal"/>
            </w:pPr>
          </w:p>
        </w:tc>
        <w:tc>
          <w:tcPr>
            <w:tcW w:w="1814" w:type="dxa"/>
            <w:vAlign w:val="center"/>
          </w:tcPr>
          <w:p w14:paraId="5CA69128" w14:textId="77777777" w:rsidR="00454A29" w:rsidRDefault="00454A29">
            <w:pPr>
              <w:pStyle w:val="ConsPlusNormal"/>
            </w:pPr>
          </w:p>
        </w:tc>
      </w:tr>
      <w:tr w:rsidR="00454A29" w14:paraId="07E1D4BE" w14:textId="77777777">
        <w:tc>
          <w:tcPr>
            <w:tcW w:w="567" w:type="dxa"/>
            <w:vMerge/>
          </w:tcPr>
          <w:p w14:paraId="251D3092" w14:textId="77777777" w:rsidR="00454A29" w:rsidRDefault="00454A29"/>
        </w:tc>
        <w:tc>
          <w:tcPr>
            <w:tcW w:w="3345" w:type="dxa"/>
            <w:vMerge/>
          </w:tcPr>
          <w:p w14:paraId="6BDD252E" w14:textId="77777777" w:rsidR="00454A29" w:rsidRDefault="00454A29"/>
        </w:tc>
        <w:tc>
          <w:tcPr>
            <w:tcW w:w="1701" w:type="dxa"/>
            <w:vAlign w:val="center"/>
          </w:tcPr>
          <w:p w14:paraId="1DE8553E" w14:textId="77777777" w:rsidR="00454A29" w:rsidRDefault="00454A29">
            <w:pPr>
              <w:pStyle w:val="ConsPlusNormal"/>
              <w:jc w:val="center"/>
            </w:pPr>
            <w:r>
              <w:t>2021</w:t>
            </w:r>
          </w:p>
        </w:tc>
        <w:tc>
          <w:tcPr>
            <w:tcW w:w="1417" w:type="dxa"/>
            <w:vMerge/>
          </w:tcPr>
          <w:p w14:paraId="751AE4FE" w14:textId="77777777" w:rsidR="00454A29" w:rsidRDefault="00454A29"/>
        </w:tc>
        <w:tc>
          <w:tcPr>
            <w:tcW w:w="2204" w:type="dxa"/>
            <w:vMerge/>
          </w:tcPr>
          <w:p w14:paraId="23CFCA54" w14:textId="77777777" w:rsidR="00454A29" w:rsidRDefault="00454A29"/>
        </w:tc>
        <w:tc>
          <w:tcPr>
            <w:tcW w:w="1417" w:type="dxa"/>
            <w:vMerge/>
          </w:tcPr>
          <w:p w14:paraId="7591BB46" w14:textId="77777777" w:rsidR="00454A29" w:rsidRDefault="00454A29"/>
        </w:tc>
        <w:tc>
          <w:tcPr>
            <w:tcW w:w="2324" w:type="dxa"/>
            <w:vMerge/>
          </w:tcPr>
          <w:p w14:paraId="72CA668F" w14:textId="77777777" w:rsidR="00454A29" w:rsidRDefault="00454A29"/>
        </w:tc>
        <w:tc>
          <w:tcPr>
            <w:tcW w:w="1701" w:type="dxa"/>
            <w:vAlign w:val="center"/>
          </w:tcPr>
          <w:p w14:paraId="59CD7F26" w14:textId="77777777" w:rsidR="00454A29" w:rsidRDefault="00454A29">
            <w:pPr>
              <w:pStyle w:val="ConsPlusNormal"/>
            </w:pPr>
          </w:p>
        </w:tc>
        <w:tc>
          <w:tcPr>
            <w:tcW w:w="1814" w:type="dxa"/>
            <w:vAlign w:val="center"/>
          </w:tcPr>
          <w:p w14:paraId="3B93B0BE" w14:textId="77777777" w:rsidR="00454A29" w:rsidRDefault="00454A29">
            <w:pPr>
              <w:pStyle w:val="ConsPlusNormal"/>
            </w:pPr>
          </w:p>
        </w:tc>
        <w:tc>
          <w:tcPr>
            <w:tcW w:w="1701" w:type="dxa"/>
            <w:vAlign w:val="center"/>
          </w:tcPr>
          <w:p w14:paraId="2BF03DFE" w14:textId="77777777" w:rsidR="00454A29" w:rsidRDefault="00454A29">
            <w:pPr>
              <w:pStyle w:val="ConsPlusNormal"/>
            </w:pPr>
          </w:p>
        </w:tc>
        <w:tc>
          <w:tcPr>
            <w:tcW w:w="1701" w:type="dxa"/>
            <w:vAlign w:val="center"/>
          </w:tcPr>
          <w:p w14:paraId="3A87125D" w14:textId="77777777" w:rsidR="00454A29" w:rsidRDefault="00454A29">
            <w:pPr>
              <w:pStyle w:val="ConsPlusNormal"/>
            </w:pPr>
          </w:p>
        </w:tc>
        <w:tc>
          <w:tcPr>
            <w:tcW w:w="1814" w:type="dxa"/>
            <w:vAlign w:val="center"/>
          </w:tcPr>
          <w:p w14:paraId="6AD8527F" w14:textId="77777777" w:rsidR="00454A29" w:rsidRDefault="00454A29">
            <w:pPr>
              <w:pStyle w:val="ConsPlusNormal"/>
            </w:pPr>
          </w:p>
        </w:tc>
      </w:tr>
      <w:tr w:rsidR="00454A29" w14:paraId="295E8974" w14:textId="77777777">
        <w:tc>
          <w:tcPr>
            <w:tcW w:w="567" w:type="dxa"/>
            <w:vMerge/>
          </w:tcPr>
          <w:p w14:paraId="7DAB2136" w14:textId="77777777" w:rsidR="00454A29" w:rsidRDefault="00454A29"/>
        </w:tc>
        <w:tc>
          <w:tcPr>
            <w:tcW w:w="3345" w:type="dxa"/>
            <w:vMerge/>
          </w:tcPr>
          <w:p w14:paraId="29260A8E" w14:textId="77777777" w:rsidR="00454A29" w:rsidRDefault="00454A29"/>
        </w:tc>
        <w:tc>
          <w:tcPr>
            <w:tcW w:w="1701" w:type="dxa"/>
            <w:vAlign w:val="center"/>
          </w:tcPr>
          <w:p w14:paraId="336FBFD4" w14:textId="77777777" w:rsidR="00454A29" w:rsidRDefault="00454A29">
            <w:pPr>
              <w:pStyle w:val="ConsPlusNormal"/>
              <w:jc w:val="center"/>
            </w:pPr>
            <w:r>
              <w:t>2022</w:t>
            </w:r>
          </w:p>
        </w:tc>
        <w:tc>
          <w:tcPr>
            <w:tcW w:w="1417" w:type="dxa"/>
            <w:vMerge/>
          </w:tcPr>
          <w:p w14:paraId="611F047A" w14:textId="77777777" w:rsidR="00454A29" w:rsidRDefault="00454A29"/>
        </w:tc>
        <w:tc>
          <w:tcPr>
            <w:tcW w:w="2204" w:type="dxa"/>
            <w:vMerge/>
          </w:tcPr>
          <w:p w14:paraId="7DFB9BB3" w14:textId="77777777" w:rsidR="00454A29" w:rsidRDefault="00454A29"/>
        </w:tc>
        <w:tc>
          <w:tcPr>
            <w:tcW w:w="1417" w:type="dxa"/>
            <w:vMerge/>
          </w:tcPr>
          <w:p w14:paraId="38912AFF" w14:textId="77777777" w:rsidR="00454A29" w:rsidRDefault="00454A29"/>
        </w:tc>
        <w:tc>
          <w:tcPr>
            <w:tcW w:w="2324" w:type="dxa"/>
            <w:vMerge/>
          </w:tcPr>
          <w:p w14:paraId="342B53FA" w14:textId="77777777" w:rsidR="00454A29" w:rsidRDefault="00454A29"/>
        </w:tc>
        <w:tc>
          <w:tcPr>
            <w:tcW w:w="1701" w:type="dxa"/>
            <w:vAlign w:val="center"/>
          </w:tcPr>
          <w:p w14:paraId="7D416167" w14:textId="77777777" w:rsidR="00454A29" w:rsidRDefault="00454A29">
            <w:pPr>
              <w:pStyle w:val="ConsPlusNormal"/>
            </w:pPr>
          </w:p>
        </w:tc>
        <w:tc>
          <w:tcPr>
            <w:tcW w:w="1814" w:type="dxa"/>
            <w:vAlign w:val="center"/>
          </w:tcPr>
          <w:p w14:paraId="5042A67A" w14:textId="77777777" w:rsidR="00454A29" w:rsidRDefault="00454A29">
            <w:pPr>
              <w:pStyle w:val="ConsPlusNormal"/>
            </w:pPr>
          </w:p>
        </w:tc>
        <w:tc>
          <w:tcPr>
            <w:tcW w:w="1701" w:type="dxa"/>
            <w:vAlign w:val="center"/>
          </w:tcPr>
          <w:p w14:paraId="27F96C1D" w14:textId="77777777" w:rsidR="00454A29" w:rsidRDefault="00454A29">
            <w:pPr>
              <w:pStyle w:val="ConsPlusNormal"/>
            </w:pPr>
          </w:p>
        </w:tc>
        <w:tc>
          <w:tcPr>
            <w:tcW w:w="1701" w:type="dxa"/>
            <w:vAlign w:val="center"/>
          </w:tcPr>
          <w:p w14:paraId="26B56D8D" w14:textId="77777777" w:rsidR="00454A29" w:rsidRDefault="00454A29">
            <w:pPr>
              <w:pStyle w:val="ConsPlusNormal"/>
            </w:pPr>
          </w:p>
        </w:tc>
        <w:tc>
          <w:tcPr>
            <w:tcW w:w="1814" w:type="dxa"/>
            <w:vAlign w:val="center"/>
          </w:tcPr>
          <w:p w14:paraId="19388BF9" w14:textId="77777777" w:rsidR="00454A29" w:rsidRDefault="00454A29">
            <w:pPr>
              <w:pStyle w:val="ConsPlusNormal"/>
            </w:pPr>
          </w:p>
        </w:tc>
      </w:tr>
      <w:tr w:rsidR="00454A29" w14:paraId="0A0D343D" w14:textId="77777777">
        <w:tc>
          <w:tcPr>
            <w:tcW w:w="567" w:type="dxa"/>
            <w:vMerge/>
          </w:tcPr>
          <w:p w14:paraId="2ACBF13F" w14:textId="77777777" w:rsidR="00454A29" w:rsidRDefault="00454A29"/>
        </w:tc>
        <w:tc>
          <w:tcPr>
            <w:tcW w:w="3345" w:type="dxa"/>
            <w:vMerge/>
          </w:tcPr>
          <w:p w14:paraId="6CF2CA03" w14:textId="77777777" w:rsidR="00454A29" w:rsidRDefault="00454A29"/>
        </w:tc>
        <w:tc>
          <w:tcPr>
            <w:tcW w:w="1701" w:type="dxa"/>
            <w:vAlign w:val="center"/>
          </w:tcPr>
          <w:p w14:paraId="393CC3E9" w14:textId="77777777" w:rsidR="00454A29" w:rsidRDefault="00454A29">
            <w:pPr>
              <w:pStyle w:val="ConsPlusNormal"/>
              <w:jc w:val="center"/>
            </w:pPr>
            <w:r>
              <w:t>2023</w:t>
            </w:r>
          </w:p>
        </w:tc>
        <w:tc>
          <w:tcPr>
            <w:tcW w:w="1417" w:type="dxa"/>
            <w:vMerge/>
          </w:tcPr>
          <w:p w14:paraId="6B348DFF" w14:textId="77777777" w:rsidR="00454A29" w:rsidRDefault="00454A29"/>
        </w:tc>
        <w:tc>
          <w:tcPr>
            <w:tcW w:w="2204" w:type="dxa"/>
            <w:vMerge/>
          </w:tcPr>
          <w:p w14:paraId="5A384CFF" w14:textId="77777777" w:rsidR="00454A29" w:rsidRDefault="00454A29"/>
        </w:tc>
        <w:tc>
          <w:tcPr>
            <w:tcW w:w="1417" w:type="dxa"/>
            <w:vMerge/>
          </w:tcPr>
          <w:p w14:paraId="3CEEB910" w14:textId="77777777" w:rsidR="00454A29" w:rsidRDefault="00454A29"/>
        </w:tc>
        <w:tc>
          <w:tcPr>
            <w:tcW w:w="2324" w:type="dxa"/>
            <w:vMerge/>
          </w:tcPr>
          <w:p w14:paraId="2D3E8044" w14:textId="77777777" w:rsidR="00454A29" w:rsidRDefault="00454A29"/>
        </w:tc>
        <w:tc>
          <w:tcPr>
            <w:tcW w:w="1701" w:type="dxa"/>
            <w:vAlign w:val="center"/>
          </w:tcPr>
          <w:p w14:paraId="51CB884B" w14:textId="77777777" w:rsidR="00454A29" w:rsidRDefault="00454A29">
            <w:pPr>
              <w:pStyle w:val="ConsPlusNormal"/>
              <w:jc w:val="center"/>
            </w:pPr>
            <w:r>
              <w:t>63 854,34</w:t>
            </w:r>
          </w:p>
        </w:tc>
        <w:tc>
          <w:tcPr>
            <w:tcW w:w="1814" w:type="dxa"/>
            <w:vAlign w:val="center"/>
          </w:tcPr>
          <w:p w14:paraId="08388C0D" w14:textId="77777777" w:rsidR="00454A29" w:rsidRDefault="00454A29">
            <w:pPr>
              <w:pStyle w:val="ConsPlusNormal"/>
              <w:jc w:val="center"/>
            </w:pPr>
            <w:r>
              <w:t>638,54</w:t>
            </w:r>
          </w:p>
        </w:tc>
        <w:tc>
          <w:tcPr>
            <w:tcW w:w="1701" w:type="dxa"/>
            <w:vAlign w:val="center"/>
          </w:tcPr>
          <w:p w14:paraId="7C618A4A" w14:textId="77777777" w:rsidR="00454A29" w:rsidRDefault="00454A29">
            <w:pPr>
              <w:pStyle w:val="ConsPlusNormal"/>
              <w:jc w:val="center"/>
            </w:pPr>
            <w:r>
              <w:t>63 215,79</w:t>
            </w:r>
          </w:p>
        </w:tc>
        <w:tc>
          <w:tcPr>
            <w:tcW w:w="1701" w:type="dxa"/>
            <w:vAlign w:val="center"/>
          </w:tcPr>
          <w:p w14:paraId="4503223B" w14:textId="77777777" w:rsidR="00454A29" w:rsidRDefault="00454A29">
            <w:pPr>
              <w:pStyle w:val="ConsPlusNormal"/>
            </w:pPr>
          </w:p>
        </w:tc>
        <w:tc>
          <w:tcPr>
            <w:tcW w:w="1814" w:type="dxa"/>
            <w:vAlign w:val="center"/>
          </w:tcPr>
          <w:p w14:paraId="24451A43" w14:textId="77777777" w:rsidR="00454A29" w:rsidRDefault="00454A29">
            <w:pPr>
              <w:pStyle w:val="ConsPlusNormal"/>
            </w:pPr>
          </w:p>
        </w:tc>
      </w:tr>
      <w:tr w:rsidR="00454A29" w14:paraId="56D0830B" w14:textId="77777777">
        <w:tc>
          <w:tcPr>
            <w:tcW w:w="567" w:type="dxa"/>
            <w:vMerge/>
          </w:tcPr>
          <w:p w14:paraId="3799CEF8" w14:textId="77777777" w:rsidR="00454A29" w:rsidRDefault="00454A29"/>
        </w:tc>
        <w:tc>
          <w:tcPr>
            <w:tcW w:w="3345" w:type="dxa"/>
            <w:vMerge/>
          </w:tcPr>
          <w:p w14:paraId="22A5CC86" w14:textId="77777777" w:rsidR="00454A29" w:rsidRDefault="00454A29"/>
        </w:tc>
        <w:tc>
          <w:tcPr>
            <w:tcW w:w="1701" w:type="dxa"/>
            <w:vAlign w:val="center"/>
          </w:tcPr>
          <w:p w14:paraId="4DA3EEA5" w14:textId="77777777" w:rsidR="00454A29" w:rsidRDefault="00454A29">
            <w:pPr>
              <w:pStyle w:val="ConsPlusNormal"/>
              <w:jc w:val="center"/>
            </w:pPr>
            <w:r>
              <w:t>2024</w:t>
            </w:r>
          </w:p>
        </w:tc>
        <w:tc>
          <w:tcPr>
            <w:tcW w:w="1417" w:type="dxa"/>
            <w:vMerge/>
          </w:tcPr>
          <w:p w14:paraId="25071219" w14:textId="77777777" w:rsidR="00454A29" w:rsidRDefault="00454A29"/>
        </w:tc>
        <w:tc>
          <w:tcPr>
            <w:tcW w:w="2204" w:type="dxa"/>
            <w:vMerge/>
          </w:tcPr>
          <w:p w14:paraId="1B4E20FA" w14:textId="77777777" w:rsidR="00454A29" w:rsidRDefault="00454A29"/>
        </w:tc>
        <w:tc>
          <w:tcPr>
            <w:tcW w:w="1417" w:type="dxa"/>
            <w:vMerge/>
          </w:tcPr>
          <w:p w14:paraId="1F53CCC5" w14:textId="77777777" w:rsidR="00454A29" w:rsidRDefault="00454A29"/>
        </w:tc>
        <w:tc>
          <w:tcPr>
            <w:tcW w:w="2324" w:type="dxa"/>
            <w:vMerge/>
          </w:tcPr>
          <w:p w14:paraId="6CE37303" w14:textId="77777777" w:rsidR="00454A29" w:rsidRDefault="00454A29"/>
        </w:tc>
        <w:tc>
          <w:tcPr>
            <w:tcW w:w="1701" w:type="dxa"/>
            <w:vAlign w:val="center"/>
          </w:tcPr>
          <w:p w14:paraId="6CC024EF" w14:textId="77777777" w:rsidR="00454A29" w:rsidRDefault="00454A29">
            <w:pPr>
              <w:pStyle w:val="ConsPlusNormal"/>
            </w:pPr>
          </w:p>
        </w:tc>
        <w:tc>
          <w:tcPr>
            <w:tcW w:w="1814" w:type="dxa"/>
            <w:vAlign w:val="center"/>
          </w:tcPr>
          <w:p w14:paraId="2255E5EE" w14:textId="77777777" w:rsidR="00454A29" w:rsidRDefault="00454A29">
            <w:pPr>
              <w:pStyle w:val="ConsPlusNormal"/>
            </w:pPr>
          </w:p>
        </w:tc>
        <w:tc>
          <w:tcPr>
            <w:tcW w:w="1701" w:type="dxa"/>
            <w:vAlign w:val="center"/>
          </w:tcPr>
          <w:p w14:paraId="54628DBD" w14:textId="77777777" w:rsidR="00454A29" w:rsidRDefault="00454A29">
            <w:pPr>
              <w:pStyle w:val="ConsPlusNormal"/>
            </w:pPr>
          </w:p>
        </w:tc>
        <w:tc>
          <w:tcPr>
            <w:tcW w:w="1701" w:type="dxa"/>
            <w:vAlign w:val="center"/>
          </w:tcPr>
          <w:p w14:paraId="63E460ED" w14:textId="77777777" w:rsidR="00454A29" w:rsidRDefault="00454A29">
            <w:pPr>
              <w:pStyle w:val="ConsPlusNormal"/>
            </w:pPr>
          </w:p>
        </w:tc>
        <w:tc>
          <w:tcPr>
            <w:tcW w:w="1814" w:type="dxa"/>
            <w:vAlign w:val="center"/>
          </w:tcPr>
          <w:p w14:paraId="4B67590F" w14:textId="77777777" w:rsidR="00454A29" w:rsidRDefault="00454A29">
            <w:pPr>
              <w:pStyle w:val="ConsPlusNormal"/>
            </w:pPr>
          </w:p>
        </w:tc>
      </w:tr>
      <w:tr w:rsidR="00454A29" w14:paraId="6A485045" w14:textId="77777777">
        <w:tc>
          <w:tcPr>
            <w:tcW w:w="567" w:type="dxa"/>
            <w:vMerge/>
          </w:tcPr>
          <w:p w14:paraId="18401ABC" w14:textId="77777777" w:rsidR="00454A29" w:rsidRDefault="00454A29"/>
        </w:tc>
        <w:tc>
          <w:tcPr>
            <w:tcW w:w="3345" w:type="dxa"/>
            <w:vMerge/>
          </w:tcPr>
          <w:p w14:paraId="6E4E5AB0" w14:textId="77777777" w:rsidR="00454A29" w:rsidRDefault="00454A29"/>
        </w:tc>
        <w:tc>
          <w:tcPr>
            <w:tcW w:w="1701" w:type="dxa"/>
            <w:vAlign w:val="center"/>
          </w:tcPr>
          <w:p w14:paraId="4EF9FB36" w14:textId="77777777" w:rsidR="00454A29" w:rsidRDefault="00454A29">
            <w:pPr>
              <w:pStyle w:val="ConsPlusNormal"/>
              <w:jc w:val="center"/>
            </w:pPr>
            <w:r>
              <w:t>2025</w:t>
            </w:r>
          </w:p>
        </w:tc>
        <w:tc>
          <w:tcPr>
            <w:tcW w:w="1417" w:type="dxa"/>
            <w:vMerge/>
          </w:tcPr>
          <w:p w14:paraId="67272866" w14:textId="77777777" w:rsidR="00454A29" w:rsidRDefault="00454A29"/>
        </w:tc>
        <w:tc>
          <w:tcPr>
            <w:tcW w:w="2204" w:type="dxa"/>
            <w:vMerge/>
          </w:tcPr>
          <w:p w14:paraId="6445AC77" w14:textId="77777777" w:rsidR="00454A29" w:rsidRDefault="00454A29"/>
        </w:tc>
        <w:tc>
          <w:tcPr>
            <w:tcW w:w="1417" w:type="dxa"/>
            <w:vMerge/>
          </w:tcPr>
          <w:p w14:paraId="5FF64225" w14:textId="77777777" w:rsidR="00454A29" w:rsidRDefault="00454A29"/>
        </w:tc>
        <w:tc>
          <w:tcPr>
            <w:tcW w:w="2324" w:type="dxa"/>
            <w:vMerge/>
          </w:tcPr>
          <w:p w14:paraId="05547B62" w14:textId="77777777" w:rsidR="00454A29" w:rsidRDefault="00454A29"/>
        </w:tc>
        <w:tc>
          <w:tcPr>
            <w:tcW w:w="1701" w:type="dxa"/>
            <w:vAlign w:val="center"/>
          </w:tcPr>
          <w:p w14:paraId="150E0E55" w14:textId="77777777" w:rsidR="00454A29" w:rsidRDefault="00454A29">
            <w:pPr>
              <w:pStyle w:val="ConsPlusNormal"/>
            </w:pPr>
          </w:p>
        </w:tc>
        <w:tc>
          <w:tcPr>
            <w:tcW w:w="1814" w:type="dxa"/>
            <w:vAlign w:val="center"/>
          </w:tcPr>
          <w:p w14:paraId="5748A167" w14:textId="77777777" w:rsidR="00454A29" w:rsidRDefault="00454A29">
            <w:pPr>
              <w:pStyle w:val="ConsPlusNormal"/>
            </w:pPr>
          </w:p>
        </w:tc>
        <w:tc>
          <w:tcPr>
            <w:tcW w:w="1701" w:type="dxa"/>
            <w:vAlign w:val="center"/>
          </w:tcPr>
          <w:p w14:paraId="1864D40C" w14:textId="77777777" w:rsidR="00454A29" w:rsidRDefault="00454A29">
            <w:pPr>
              <w:pStyle w:val="ConsPlusNormal"/>
            </w:pPr>
          </w:p>
        </w:tc>
        <w:tc>
          <w:tcPr>
            <w:tcW w:w="1701" w:type="dxa"/>
            <w:vAlign w:val="center"/>
          </w:tcPr>
          <w:p w14:paraId="6F278BDA" w14:textId="77777777" w:rsidR="00454A29" w:rsidRDefault="00454A29">
            <w:pPr>
              <w:pStyle w:val="ConsPlusNormal"/>
            </w:pPr>
          </w:p>
        </w:tc>
        <w:tc>
          <w:tcPr>
            <w:tcW w:w="1814" w:type="dxa"/>
            <w:vAlign w:val="center"/>
          </w:tcPr>
          <w:p w14:paraId="5B2D0C93" w14:textId="77777777" w:rsidR="00454A29" w:rsidRDefault="00454A29">
            <w:pPr>
              <w:pStyle w:val="ConsPlusNormal"/>
            </w:pPr>
          </w:p>
        </w:tc>
      </w:tr>
      <w:tr w:rsidR="00454A29" w14:paraId="3E629EE5" w14:textId="77777777">
        <w:tc>
          <w:tcPr>
            <w:tcW w:w="567" w:type="dxa"/>
            <w:vMerge/>
          </w:tcPr>
          <w:p w14:paraId="733C6458" w14:textId="77777777" w:rsidR="00454A29" w:rsidRDefault="00454A29"/>
        </w:tc>
        <w:tc>
          <w:tcPr>
            <w:tcW w:w="3345" w:type="dxa"/>
            <w:vMerge/>
          </w:tcPr>
          <w:p w14:paraId="6EE278C8" w14:textId="77777777" w:rsidR="00454A29" w:rsidRDefault="00454A29"/>
        </w:tc>
        <w:tc>
          <w:tcPr>
            <w:tcW w:w="1701" w:type="dxa"/>
            <w:vAlign w:val="center"/>
          </w:tcPr>
          <w:p w14:paraId="01407165" w14:textId="77777777" w:rsidR="00454A29" w:rsidRDefault="00454A29">
            <w:pPr>
              <w:pStyle w:val="ConsPlusNormal"/>
              <w:jc w:val="center"/>
            </w:pPr>
            <w:r>
              <w:t>2026</w:t>
            </w:r>
          </w:p>
        </w:tc>
        <w:tc>
          <w:tcPr>
            <w:tcW w:w="1417" w:type="dxa"/>
            <w:vMerge/>
          </w:tcPr>
          <w:p w14:paraId="204ACFFD" w14:textId="77777777" w:rsidR="00454A29" w:rsidRDefault="00454A29"/>
        </w:tc>
        <w:tc>
          <w:tcPr>
            <w:tcW w:w="2204" w:type="dxa"/>
            <w:vMerge/>
          </w:tcPr>
          <w:p w14:paraId="7119DB66" w14:textId="77777777" w:rsidR="00454A29" w:rsidRDefault="00454A29"/>
        </w:tc>
        <w:tc>
          <w:tcPr>
            <w:tcW w:w="1417" w:type="dxa"/>
            <w:vMerge/>
          </w:tcPr>
          <w:p w14:paraId="0802D022" w14:textId="77777777" w:rsidR="00454A29" w:rsidRDefault="00454A29"/>
        </w:tc>
        <w:tc>
          <w:tcPr>
            <w:tcW w:w="2324" w:type="dxa"/>
            <w:vMerge/>
          </w:tcPr>
          <w:p w14:paraId="6EF74BCA" w14:textId="77777777" w:rsidR="00454A29" w:rsidRDefault="00454A29"/>
        </w:tc>
        <w:tc>
          <w:tcPr>
            <w:tcW w:w="1701" w:type="dxa"/>
            <w:vAlign w:val="center"/>
          </w:tcPr>
          <w:p w14:paraId="2023815E" w14:textId="77777777" w:rsidR="00454A29" w:rsidRDefault="00454A29">
            <w:pPr>
              <w:pStyle w:val="ConsPlusNormal"/>
            </w:pPr>
          </w:p>
        </w:tc>
        <w:tc>
          <w:tcPr>
            <w:tcW w:w="1814" w:type="dxa"/>
            <w:vAlign w:val="center"/>
          </w:tcPr>
          <w:p w14:paraId="0D26A5BA" w14:textId="77777777" w:rsidR="00454A29" w:rsidRDefault="00454A29">
            <w:pPr>
              <w:pStyle w:val="ConsPlusNormal"/>
            </w:pPr>
          </w:p>
        </w:tc>
        <w:tc>
          <w:tcPr>
            <w:tcW w:w="1701" w:type="dxa"/>
            <w:vAlign w:val="center"/>
          </w:tcPr>
          <w:p w14:paraId="1EB09B5A" w14:textId="77777777" w:rsidR="00454A29" w:rsidRDefault="00454A29">
            <w:pPr>
              <w:pStyle w:val="ConsPlusNormal"/>
            </w:pPr>
          </w:p>
        </w:tc>
        <w:tc>
          <w:tcPr>
            <w:tcW w:w="1701" w:type="dxa"/>
            <w:vAlign w:val="center"/>
          </w:tcPr>
          <w:p w14:paraId="784489CF" w14:textId="77777777" w:rsidR="00454A29" w:rsidRDefault="00454A29">
            <w:pPr>
              <w:pStyle w:val="ConsPlusNormal"/>
            </w:pPr>
          </w:p>
        </w:tc>
        <w:tc>
          <w:tcPr>
            <w:tcW w:w="1814" w:type="dxa"/>
            <w:vAlign w:val="center"/>
          </w:tcPr>
          <w:p w14:paraId="7867BA4A" w14:textId="77777777" w:rsidR="00454A29" w:rsidRDefault="00454A29">
            <w:pPr>
              <w:pStyle w:val="ConsPlusNormal"/>
            </w:pPr>
          </w:p>
        </w:tc>
      </w:tr>
      <w:tr w:rsidR="00454A29" w14:paraId="28252BE4" w14:textId="77777777">
        <w:tc>
          <w:tcPr>
            <w:tcW w:w="21706" w:type="dxa"/>
            <w:gridSpan w:val="12"/>
            <w:vAlign w:val="center"/>
          </w:tcPr>
          <w:p w14:paraId="68769453" w14:textId="77777777" w:rsidR="00454A29" w:rsidRDefault="00454A29">
            <w:pPr>
              <w:pStyle w:val="ConsPlusNormal"/>
              <w:jc w:val="center"/>
              <w:outlineLvl w:val="2"/>
            </w:pPr>
            <w:r>
              <w:t>МР "Верхневилюйский улус (район)"</w:t>
            </w:r>
          </w:p>
        </w:tc>
      </w:tr>
      <w:tr w:rsidR="00454A29" w14:paraId="2E91F45E" w14:textId="77777777">
        <w:tc>
          <w:tcPr>
            <w:tcW w:w="567" w:type="dxa"/>
            <w:vMerge w:val="restart"/>
            <w:vAlign w:val="center"/>
          </w:tcPr>
          <w:p w14:paraId="35118758" w14:textId="77777777" w:rsidR="00454A29" w:rsidRDefault="00454A29">
            <w:pPr>
              <w:pStyle w:val="ConsPlusNormal"/>
              <w:jc w:val="center"/>
            </w:pPr>
            <w:r>
              <w:t>22</w:t>
            </w:r>
          </w:p>
        </w:tc>
        <w:tc>
          <w:tcPr>
            <w:tcW w:w="3345" w:type="dxa"/>
            <w:vMerge w:val="restart"/>
            <w:vAlign w:val="center"/>
          </w:tcPr>
          <w:p w14:paraId="7C8219AD" w14:textId="77777777" w:rsidR="00454A29" w:rsidRDefault="00454A29">
            <w:pPr>
              <w:pStyle w:val="ConsPlusNormal"/>
              <w:jc w:val="center"/>
            </w:pPr>
            <w:r>
              <w:t>Школа на 80 учащихся в с. Харбалах</w:t>
            </w:r>
          </w:p>
        </w:tc>
        <w:tc>
          <w:tcPr>
            <w:tcW w:w="1701" w:type="dxa"/>
            <w:vAlign w:val="center"/>
          </w:tcPr>
          <w:p w14:paraId="261FF277" w14:textId="77777777" w:rsidR="00454A29" w:rsidRDefault="00454A29">
            <w:pPr>
              <w:pStyle w:val="ConsPlusNormal"/>
              <w:jc w:val="center"/>
            </w:pPr>
            <w:r>
              <w:t>2020 - 2026 годы - всего</w:t>
            </w:r>
          </w:p>
        </w:tc>
        <w:tc>
          <w:tcPr>
            <w:tcW w:w="1417" w:type="dxa"/>
            <w:vMerge w:val="restart"/>
            <w:vAlign w:val="center"/>
          </w:tcPr>
          <w:p w14:paraId="32A5995F" w14:textId="77777777" w:rsidR="00454A29" w:rsidRDefault="00454A29">
            <w:pPr>
              <w:pStyle w:val="ConsPlusNormal"/>
              <w:jc w:val="center"/>
            </w:pPr>
            <w:r>
              <w:t>294 259,62</w:t>
            </w:r>
          </w:p>
        </w:tc>
        <w:tc>
          <w:tcPr>
            <w:tcW w:w="2204" w:type="dxa"/>
            <w:vMerge w:val="restart"/>
            <w:vAlign w:val="center"/>
          </w:tcPr>
          <w:p w14:paraId="15F998B2" w14:textId="77777777" w:rsidR="00454A29" w:rsidRDefault="00454A29">
            <w:pPr>
              <w:pStyle w:val="ConsPlusNormal"/>
            </w:pPr>
          </w:p>
        </w:tc>
        <w:tc>
          <w:tcPr>
            <w:tcW w:w="1417" w:type="dxa"/>
            <w:vMerge w:val="restart"/>
            <w:vAlign w:val="center"/>
          </w:tcPr>
          <w:p w14:paraId="2363AD92" w14:textId="77777777" w:rsidR="00454A29" w:rsidRDefault="00454A29">
            <w:pPr>
              <w:pStyle w:val="ConsPlusNormal"/>
              <w:jc w:val="center"/>
            </w:pPr>
            <w:r>
              <w:t>80</w:t>
            </w:r>
          </w:p>
        </w:tc>
        <w:tc>
          <w:tcPr>
            <w:tcW w:w="2324" w:type="dxa"/>
            <w:vMerge w:val="restart"/>
            <w:vAlign w:val="center"/>
          </w:tcPr>
          <w:p w14:paraId="420689C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FDFE1DF" w14:textId="77777777" w:rsidR="00454A29" w:rsidRDefault="00454A29">
            <w:pPr>
              <w:pStyle w:val="ConsPlusNormal"/>
              <w:jc w:val="center"/>
            </w:pPr>
            <w:r>
              <w:t>294 259,62</w:t>
            </w:r>
          </w:p>
        </w:tc>
        <w:tc>
          <w:tcPr>
            <w:tcW w:w="1814" w:type="dxa"/>
            <w:vAlign w:val="center"/>
          </w:tcPr>
          <w:p w14:paraId="1AE8EE4C" w14:textId="77777777" w:rsidR="00454A29" w:rsidRDefault="00454A29">
            <w:pPr>
              <w:pStyle w:val="ConsPlusNormal"/>
              <w:jc w:val="center"/>
            </w:pPr>
            <w:r>
              <w:t>3 722,38</w:t>
            </w:r>
          </w:p>
        </w:tc>
        <w:tc>
          <w:tcPr>
            <w:tcW w:w="1701" w:type="dxa"/>
            <w:vAlign w:val="center"/>
          </w:tcPr>
          <w:p w14:paraId="750A9B9E" w14:textId="77777777" w:rsidR="00454A29" w:rsidRDefault="00454A29">
            <w:pPr>
              <w:pStyle w:val="ConsPlusNormal"/>
              <w:jc w:val="center"/>
            </w:pPr>
            <w:r>
              <w:t>368 516,03</w:t>
            </w:r>
          </w:p>
        </w:tc>
        <w:tc>
          <w:tcPr>
            <w:tcW w:w="1701" w:type="dxa"/>
            <w:vAlign w:val="center"/>
          </w:tcPr>
          <w:p w14:paraId="3300FD93" w14:textId="77777777" w:rsidR="00454A29" w:rsidRDefault="00454A29">
            <w:pPr>
              <w:pStyle w:val="ConsPlusNormal"/>
              <w:jc w:val="center"/>
            </w:pPr>
            <w:r>
              <w:t>-</w:t>
            </w:r>
          </w:p>
        </w:tc>
        <w:tc>
          <w:tcPr>
            <w:tcW w:w="1814" w:type="dxa"/>
            <w:vAlign w:val="center"/>
          </w:tcPr>
          <w:p w14:paraId="480CCFF0" w14:textId="77777777" w:rsidR="00454A29" w:rsidRDefault="00454A29">
            <w:pPr>
              <w:pStyle w:val="ConsPlusNormal"/>
              <w:jc w:val="center"/>
            </w:pPr>
            <w:r>
              <w:t>-</w:t>
            </w:r>
          </w:p>
        </w:tc>
      </w:tr>
      <w:tr w:rsidR="00454A29" w14:paraId="3BD5010C" w14:textId="77777777">
        <w:tc>
          <w:tcPr>
            <w:tcW w:w="567" w:type="dxa"/>
            <w:vMerge/>
          </w:tcPr>
          <w:p w14:paraId="30588D3F" w14:textId="77777777" w:rsidR="00454A29" w:rsidRDefault="00454A29"/>
        </w:tc>
        <w:tc>
          <w:tcPr>
            <w:tcW w:w="3345" w:type="dxa"/>
            <w:vMerge/>
          </w:tcPr>
          <w:p w14:paraId="502F6E38" w14:textId="77777777" w:rsidR="00454A29" w:rsidRDefault="00454A29"/>
        </w:tc>
        <w:tc>
          <w:tcPr>
            <w:tcW w:w="1701" w:type="dxa"/>
            <w:vAlign w:val="center"/>
          </w:tcPr>
          <w:p w14:paraId="46A44D5C" w14:textId="77777777" w:rsidR="00454A29" w:rsidRDefault="00454A29">
            <w:pPr>
              <w:pStyle w:val="ConsPlusNormal"/>
              <w:jc w:val="center"/>
            </w:pPr>
            <w:r>
              <w:t>2020</w:t>
            </w:r>
          </w:p>
        </w:tc>
        <w:tc>
          <w:tcPr>
            <w:tcW w:w="1417" w:type="dxa"/>
            <w:vMerge/>
          </w:tcPr>
          <w:p w14:paraId="2838954B" w14:textId="77777777" w:rsidR="00454A29" w:rsidRDefault="00454A29"/>
        </w:tc>
        <w:tc>
          <w:tcPr>
            <w:tcW w:w="2204" w:type="dxa"/>
            <w:vMerge/>
          </w:tcPr>
          <w:p w14:paraId="1DC4340B" w14:textId="77777777" w:rsidR="00454A29" w:rsidRDefault="00454A29"/>
        </w:tc>
        <w:tc>
          <w:tcPr>
            <w:tcW w:w="1417" w:type="dxa"/>
            <w:vMerge/>
          </w:tcPr>
          <w:p w14:paraId="0B0D3CA7" w14:textId="77777777" w:rsidR="00454A29" w:rsidRDefault="00454A29"/>
        </w:tc>
        <w:tc>
          <w:tcPr>
            <w:tcW w:w="2324" w:type="dxa"/>
            <w:vMerge/>
          </w:tcPr>
          <w:p w14:paraId="15DC7E0E" w14:textId="77777777" w:rsidR="00454A29" w:rsidRDefault="00454A29"/>
        </w:tc>
        <w:tc>
          <w:tcPr>
            <w:tcW w:w="1701" w:type="dxa"/>
            <w:vAlign w:val="center"/>
          </w:tcPr>
          <w:p w14:paraId="46DC9915" w14:textId="77777777" w:rsidR="00454A29" w:rsidRDefault="00454A29">
            <w:pPr>
              <w:pStyle w:val="ConsPlusNormal"/>
            </w:pPr>
          </w:p>
        </w:tc>
        <w:tc>
          <w:tcPr>
            <w:tcW w:w="1814" w:type="dxa"/>
            <w:vAlign w:val="center"/>
          </w:tcPr>
          <w:p w14:paraId="17E984BC" w14:textId="77777777" w:rsidR="00454A29" w:rsidRDefault="00454A29">
            <w:pPr>
              <w:pStyle w:val="ConsPlusNormal"/>
            </w:pPr>
          </w:p>
        </w:tc>
        <w:tc>
          <w:tcPr>
            <w:tcW w:w="1701" w:type="dxa"/>
            <w:vAlign w:val="center"/>
          </w:tcPr>
          <w:p w14:paraId="7495EC6C" w14:textId="77777777" w:rsidR="00454A29" w:rsidRDefault="00454A29">
            <w:pPr>
              <w:pStyle w:val="ConsPlusNormal"/>
            </w:pPr>
          </w:p>
        </w:tc>
        <w:tc>
          <w:tcPr>
            <w:tcW w:w="1701" w:type="dxa"/>
            <w:vAlign w:val="center"/>
          </w:tcPr>
          <w:p w14:paraId="369BDA0E" w14:textId="77777777" w:rsidR="00454A29" w:rsidRDefault="00454A29">
            <w:pPr>
              <w:pStyle w:val="ConsPlusNormal"/>
            </w:pPr>
          </w:p>
        </w:tc>
        <w:tc>
          <w:tcPr>
            <w:tcW w:w="1814" w:type="dxa"/>
            <w:vAlign w:val="center"/>
          </w:tcPr>
          <w:p w14:paraId="14091771" w14:textId="77777777" w:rsidR="00454A29" w:rsidRDefault="00454A29">
            <w:pPr>
              <w:pStyle w:val="ConsPlusNormal"/>
            </w:pPr>
          </w:p>
        </w:tc>
      </w:tr>
      <w:tr w:rsidR="00454A29" w14:paraId="3E64F576" w14:textId="77777777">
        <w:tc>
          <w:tcPr>
            <w:tcW w:w="567" w:type="dxa"/>
            <w:vMerge/>
          </w:tcPr>
          <w:p w14:paraId="75960FA2" w14:textId="77777777" w:rsidR="00454A29" w:rsidRDefault="00454A29"/>
        </w:tc>
        <w:tc>
          <w:tcPr>
            <w:tcW w:w="3345" w:type="dxa"/>
            <w:vMerge/>
          </w:tcPr>
          <w:p w14:paraId="18E2B7BC" w14:textId="77777777" w:rsidR="00454A29" w:rsidRDefault="00454A29"/>
        </w:tc>
        <w:tc>
          <w:tcPr>
            <w:tcW w:w="1701" w:type="dxa"/>
            <w:vAlign w:val="center"/>
          </w:tcPr>
          <w:p w14:paraId="4CAF60C4" w14:textId="77777777" w:rsidR="00454A29" w:rsidRDefault="00454A29">
            <w:pPr>
              <w:pStyle w:val="ConsPlusNormal"/>
              <w:jc w:val="center"/>
            </w:pPr>
            <w:r>
              <w:t>2021</w:t>
            </w:r>
          </w:p>
        </w:tc>
        <w:tc>
          <w:tcPr>
            <w:tcW w:w="1417" w:type="dxa"/>
            <w:vMerge/>
          </w:tcPr>
          <w:p w14:paraId="7F202540" w14:textId="77777777" w:rsidR="00454A29" w:rsidRDefault="00454A29"/>
        </w:tc>
        <w:tc>
          <w:tcPr>
            <w:tcW w:w="2204" w:type="dxa"/>
            <w:vMerge/>
          </w:tcPr>
          <w:p w14:paraId="0F421797" w14:textId="77777777" w:rsidR="00454A29" w:rsidRDefault="00454A29"/>
        </w:tc>
        <w:tc>
          <w:tcPr>
            <w:tcW w:w="1417" w:type="dxa"/>
            <w:vMerge/>
          </w:tcPr>
          <w:p w14:paraId="758FC1C3" w14:textId="77777777" w:rsidR="00454A29" w:rsidRDefault="00454A29"/>
        </w:tc>
        <w:tc>
          <w:tcPr>
            <w:tcW w:w="2324" w:type="dxa"/>
            <w:vMerge/>
          </w:tcPr>
          <w:p w14:paraId="270941BD" w14:textId="77777777" w:rsidR="00454A29" w:rsidRDefault="00454A29"/>
        </w:tc>
        <w:tc>
          <w:tcPr>
            <w:tcW w:w="1701" w:type="dxa"/>
            <w:vAlign w:val="center"/>
          </w:tcPr>
          <w:p w14:paraId="292BB8B8" w14:textId="77777777" w:rsidR="00454A29" w:rsidRDefault="00454A29">
            <w:pPr>
              <w:pStyle w:val="ConsPlusNormal"/>
            </w:pPr>
          </w:p>
        </w:tc>
        <w:tc>
          <w:tcPr>
            <w:tcW w:w="1814" w:type="dxa"/>
            <w:vAlign w:val="center"/>
          </w:tcPr>
          <w:p w14:paraId="0D5A2225" w14:textId="77777777" w:rsidR="00454A29" w:rsidRDefault="00454A29">
            <w:pPr>
              <w:pStyle w:val="ConsPlusNormal"/>
            </w:pPr>
          </w:p>
        </w:tc>
        <w:tc>
          <w:tcPr>
            <w:tcW w:w="1701" w:type="dxa"/>
            <w:vAlign w:val="center"/>
          </w:tcPr>
          <w:p w14:paraId="55DC9ADD" w14:textId="77777777" w:rsidR="00454A29" w:rsidRDefault="00454A29">
            <w:pPr>
              <w:pStyle w:val="ConsPlusNormal"/>
            </w:pPr>
          </w:p>
        </w:tc>
        <w:tc>
          <w:tcPr>
            <w:tcW w:w="1701" w:type="dxa"/>
            <w:vAlign w:val="center"/>
          </w:tcPr>
          <w:p w14:paraId="0B2DFDAF" w14:textId="77777777" w:rsidR="00454A29" w:rsidRDefault="00454A29">
            <w:pPr>
              <w:pStyle w:val="ConsPlusNormal"/>
            </w:pPr>
          </w:p>
        </w:tc>
        <w:tc>
          <w:tcPr>
            <w:tcW w:w="1814" w:type="dxa"/>
            <w:vAlign w:val="center"/>
          </w:tcPr>
          <w:p w14:paraId="7E69DD8A" w14:textId="77777777" w:rsidR="00454A29" w:rsidRDefault="00454A29">
            <w:pPr>
              <w:pStyle w:val="ConsPlusNormal"/>
            </w:pPr>
          </w:p>
        </w:tc>
      </w:tr>
      <w:tr w:rsidR="00454A29" w14:paraId="2FC80A34" w14:textId="77777777">
        <w:tc>
          <w:tcPr>
            <w:tcW w:w="567" w:type="dxa"/>
            <w:vMerge/>
          </w:tcPr>
          <w:p w14:paraId="4229934C" w14:textId="77777777" w:rsidR="00454A29" w:rsidRDefault="00454A29"/>
        </w:tc>
        <w:tc>
          <w:tcPr>
            <w:tcW w:w="3345" w:type="dxa"/>
            <w:vMerge/>
          </w:tcPr>
          <w:p w14:paraId="5004A5DF" w14:textId="77777777" w:rsidR="00454A29" w:rsidRDefault="00454A29"/>
        </w:tc>
        <w:tc>
          <w:tcPr>
            <w:tcW w:w="1701" w:type="dxa"/>
            <w:vAlign w:val="center"/>
          </w:tcPr>
          <w:p w14:paraId="5D5C3EFE" w14:textId="77777777" w:rsidR="00454A29" w:rsidRDefault="00454A29">
            <w:pPr>
              <w:pStyle w:val="ConsPlusNormal"/>
              <w:jc w:val="center"/>
            </w:pPr>
            <w:r>
              <w:t>2022</w:t>
            </w:r>
          </w:p>
        </w:tc>
        <w:tc>
          <w:tcPr>
            <w:tcW w:w="1417" w:type="dxa"/>
            <w:vMerge/>
          </w:tcPr>
          <w:p w14:paraId="36E96E17" w14:textId="77777777" w:rsidR="00454A29" w:rsidRDefault="00454A29"/>
        </w:tc>
        <w:tc>
          <w:tcPr>
            <w:tcW w:w="2204" w:type="dxa"/>
            <w:vMerge/>
          </w:tcPr>
          <w:p w14:paraId="34313DB3" w14:textId="77777777" w:rsidR="00454A29" w:rsidRDefault="00454A29"/>
        </w:tc>
        <w:tc>
          <w:tcPr>
            <w:tcW w:w="1417" w:type="dxa"/>
            <w:vMerge/>
          </w:tcPr>
          <w:p w14:paraId="6018D198" w14:textId="77777777" w:rsidR="00454A29" w:rsidRDefault="00454A29"/>
        </w:tc>
        <w:tc>
          <w:tcPr>
            <w:tcW w:w="2324" w:type="dxa"/>
            <w:vMerge/>
          </w:tcPr>
          <w:p w14:paraId="332D9EB1" w14:textId="77777777" w:rsidR="00454A29" w:rsidRDefault="00454A29"/>
        </w:tc>
        <w:tc>
          <w:tcPr>
            <w:tcW w:w="1701" w:type="dxa"/>
            <w:vAlign w:val="center"/>
          </w:tcPr>
          <w:p w14:paraId="782DCA68" w14:textId="77777777" w:rsidR="00454A29" w:rsidRDefault="00454A29">
            <w:pPr>
              <w:pStyle w:val="ConsPlusNormal"/>
            </w:pPr>
          </w:p>
        </w:tc>
        <w:tc>
          <w:tcPr>
            <w:tcW w:w="1814" w:type="dxa"/>
            <w:vAlign w:val="center"/>
          </w:tcPr>
          <w:p w14:paraId="0FBAFD62" w14:textId="77777777" w:rsidR="00454A29" w:rsidRDefault="00454A29">
            <w:pPr>
              <w:pStyle w:val="ConsPlusNormal"/>
            </w:pPr>
          </w:p>
        </w:tc>
        <w:tc>
          <w:tcPr>
            <w:tcW w:w="1701" w:type="dxa"/>
            <w:vAlign w:val="center"/>
          </w:tcPr>
          <w:p w14:paraId="139746FC" w14:textId="77777777" w:rsidR="00454A29" w:rsidRDefault="00454A29">
            <w:pPr>
              <w:pStyle w:val="ConsPlusNormal"/>
            </w:pPr>
          </w:p>
        </w:tc>
        <w:tc>
          <w:tcPr>
            <w:tcW w:w="1701" w:type="dxa"/>
            <w:vAlign w:val="center"/>
          </w:tcPr>
          <w:p w14:paraId="2D8AF5BC" w14:textId="77777777" w:rsidR="00454A29" w:rsidRDefault="00454A29">
            <w:pPr>
              <w:pStyle w:val="ConsPlusNormal"/>
            </w:pPr>
          </w:p>
        </w:tc>
        <w:tc>
          <w:tcPr>
            <w:tcW w:w="1814" w:type="dxa"/>
            <w:vAlign w:val="center"/>
          </w:tcPr>
          <w:p w14:paraId="4701EC03" w14:textId="77777777" w:rsidR="00454A29" w:rsidRDefault="00454A29">
            <w:pPr>
              <w:pStyle w:val="ConsPlusNormal"/>
            </w:pPr>
          </w:p>
        </w:tc>
      </w:tr>
      <w:tr w:rsidR="00454A29" w14:paraId="5257F72D" w14:textId="77777777">
        <w:tc>
          <w:tcPr>
            <w:tcW w:w="567" w:type="dxa"/>
            <w:vMerge/>
          </w:tcPr>
          <w:p w14:paraId="283C41F0" w14:textId="77777777" w:rsidR="00454A29" w:rsidRDefault="00454A29"/>
        </w:tc>
        <w:tc>
          <w:tcPr>
            <w:tcW w:w="3345" w:type="dxa"/>
            <w:vMerge/>
          </w:tcPr>
          <w:p w14:paraId="2ABA4DE2" w14:textId="77777777" w:rsidR="00454A29" w:rsidRDefault="00454A29"/>
        </w:tc>
        <w:tc>
          <w:tcPr>
            <w:tcW w:w="1701" w:type="dxa"/>
            <w:vAlign w:val="center"/>
          </w:tcPr>
          <w:p w14:paraId="484AABB2" w14:textId="77777777" w:rsidR="00454A29" w:rsidRDefault="00454A29">
            <w:pPr>
              <w:pStyle w:val="ConsPlusNormal"/>
              <w:jc w:val="center"/>
            </w:pPr>
            <w:r>
              <w:t>2023</w:t>
            </w:r>
          </w:p>
        </w:tc>
        <w:tc>
          <w:tcPr>
            <w:tcW w:w="1417" w:type="dxa"/>
            <w:vMerge/>
          </w:tcPr>
          <w:p w14:paraId="73A9A846" w14:textId="77777777" w:rsidR="00454A29" w:rsidRDefault="00454A29"/>
        </w:tc>
        <w:tc>
          <w:tcPr>
            <w:tcW w:w="2204" w:type="dxa"/>
            <w:vMerge/>
          </w:tcPr>
          <w:p w14:paraId="4EA972C0" w14:textId="77777777" w:rsidR="00454A29" w:rsidRDefault="00454A29"/>
        </w:tc>
        <w:tc>
          <w:tcPr>
            <w:tcW w:w="1417" w:type="dxa"/>
            <w:vMerge/>
          </w:tcPr>
          <w:p w14:paraId="55A40A30" w14:textId="77777777" w:rsidR="00454A29" w:rsidRDefault="00454A29"/>
        </w:tc>
        <w:tc>
          <w:tcPr>
            <w:tcW w:w="2324" w:type="dxa"/>
            <w:vMerge/>
          </w:tcPr>
          <w:p w14:paraId="1127B67F" w14:textId="77777777" w:rsidR="00454A29" w:rsidRDefault="00454A29"/>
        </w:tc>
        <w:tc>
          <w:tcPr>
            <w:tcW w:w="1701" w:type="dxa"/>
            <w:vAlign w:val="center"/>
          </w:tcPr>
          <w:p w14:paraId="3B90DE8F" w14:textId="77777777" w:rsidR="00454A29" w:rsidRDefault="00454A29">
            <w:pPr>
              <w:pStyle w:val="ConsPlusNormal"/>
            </w:pPr>
          </w:p>
        </w:tc>
        <w:tc>
          <w:tcPr>
            <w:tcW w:w="1814" w:type="dxa"/>
            <w:vAlign w:val="center"/>
          </w:tcPr>
          <w:p w14:paraId="3FB6E52C" w14:textId="77777777" w:rsidR="00454A29" w:rsidRDefault="00454A29">
            <w:pPr>
              <w:pStyle w:val="ConsPlusNormal"/>
            </w:pPr>
          </w:p>
        </w:tc>
        <w:tc>
          <w:tcPr>
            <w:tcW w:w="1701" w:type="dxa"/>
            <w:vAlign w:val="center"/>
          </w:tcPr>
          <w:p w14:paraId="66829EED" w14:textId="77777777" w:rsidR="00454A29" w:rsidRDefault="00454A29">
            <w:pPr>
              <w:pStyle w:val="ConsPlusNormal"/>
            </w:pPr>
          </w:p>
        </w:tc>
        <w:tc>
          <w:tcPr>
            <w:tcW w:w="1701" w:type="dxa"/>
            <w:vAlign w:val="center"/>
          </w:tcPr>
          <w:p w14:paraId="3C17D10D" w14:textId="77777777" w:rsidR="00454A29" w:rsidRDefault="00454A29">
            <w:pPr>
              <w:pStyle w:val="ConsPlusNormal"/>
            </w:pPr>
          </w:p>
        </w:tc>
        <w:tc>
          <w:tcPr>
            <w:tcW w:w="1814" w:type="dxa"/>
            <w:vAlign w:val="center"/>
          </w:tcPr>
          <w:p w14:paraId="78BBA939" w14:textId="77777777" w:rsidR="00454A29" w:rsidRDefault="00454A29">
            <w:pPr>
              <w:pStyle w:val="ConsPlusNormal"/>
            </w:pPr>
          </w:p>
        </w:tc>
      </w:tr>
      <w:tr w:rsidR="00454A29" w14:paraId="59A92694" w14:textId="77777777">
        <w:tc>
          <w:tcPr>
            <w:tcW w:w="567" w:type="dxa"/>
            <w:vMerge/>
          </w:tcPr>
          <w:p w14:paraId="13B262C6" w14:textId="77777777" w:rsidR="00454A29" w:rsidRDefault="00454A29"/>
        </w:tc>
        <w:tc>
          <w:tcPr>
            <w:tcW w:w="3345" w:type="dxa"/>
            <w:vMerge/>
          </w:tcPr>
          <w:p w14:paraId="3D840F36" w14:textId="77777777" w:rsidR="00454A29" w:rsidRDefault="00454A29"/>
        </w:tc>
        <w:tc>
          <w:tcPr>
            <w:tcW w:w="1701" w:type="dxa"/>
            <w:vAlign w:val="center"/>
          </w:tcPr>
          <w:p w14:paraId="0E4856D3" w14:textId="77777777" w:rsidR="00454A29" w:rsidRDefault="00454A29">
            <w:pPr>
              <w:pStyle w:val="ConsPlusNormal"/>
              <w:jc w:val="center"/>
            </w:pPr>
            <w:r>
              <w:t>2024</w:t>
            </w:r>
          </w:p>
        </w:tc>
        <w:tc>
          <w:tcPr>
            <w:tcW w:w="1417" w:type="dxa"/>
            <w:vMerge/>
          </w:tcPr>
          <w:p w14:paraId="083785B7" w14:textId="77777777" w:rsidR="00454A29" w:rsidRDefault="00454A29"/>
        </w:tc>
        <w:tc>
          <w:tcPr>
            <w:tcW w:w="2204" w:type="dxa"/>
            <w:vMerge/>
          </w:tcPr>
          <w:p w14:paraId="551185A3" w14:textId="77777777" w:rsidR="00454A29" w:rsidRDefault="00454A29"/>
        </w:tc>
        <w:tc>
          <w:tcPr>
            <w:tcW w:w="1417" w:type="dxa"/>
            <w:vMerge/>
          </w:tcPr>
          <w:p w14:paraId="1C4094FC" w14:textId="77777777" w:rsidR="00454A29" w:rsidRDefault="00454A29"/>
        </w:tc>
        <w:tc>
          <w:tcPr>
            <w:tcW w:w="2324" w:type="dxa"/>
            <w:vMerge/>
          </w:tcPr>
          <w:p w14:paraId="74A0480F" w14:textId="77777777" w:rsidR="00454A29" w:rsidRDefault="00454A29"/>
        </w:tc>
        <w:tc>
          <w:tcPr>
            <w:tcW w:w="1701" w:type="dxa"/>
            <w:vAlign w:val="center"/>
          </w:tcPr>
          <w:p w14:paraId="43F95059" w14:textId="77777777" w:rsidR="00454A29" w:rsidRDefault="00454A29">
            <w:pPr>
              <w:pStyle w:val="ConsPlusNormal"/>
            </w:pPr>
          </w:p>
        </w:tc>
        <w:tc>
          <w:tcPr>
            <w:tcW w:w="1814" w:type="dxa"/>
            <w:vAlign w:val="center"/>
          </w:tcPr>
          <w:p w14:paraId="4E8C4B8F" w14:textId="77777777" w:rsidR="00454A29" w:rsidRDefault="00454A29">
            <w:pPr>
              <w:pStyle w:val="ConsPlusNormal"/>
            </w:pPr>
          </w:p>
        </w:tc>
        <w:tc>
          <w:tcPr>
            <w:tcW w:w="1701" w:type="dxa"/>
            <w:vAlign w:val="center"/>
          </w:tcPr>
          <w:p w14:paraId="773B95FF" w14:textId="77777777" w:rsidR="00454A29" w:rsidRDefault="00454A29">
            <w:pPr>
              <w:pStyle w:val="ConsPlusNormal"/>
            </w:pPr>
          </w:p>
        </w:tc>
        <w:tc>
          <w:tcPr>
            <w:tcW w:w="1701" w:type="dxa"/>
            <w:vAlign w:val="center"/>
          </w:tcPr>
          <w:p w14:paraId="43F64ACD" w14:textId="77777777" w:rsidR="00454A29" w:rsidRDefault="00454A29">
            <w:pPr>
              <w:pStyle w:val="ConsPlusNormal"/>
            </w:pPr>
          </w:p>
        </w:tc>
        <w:tc>
          <w:tcPr>
            <w:tcW w:w="1814" w:type="dxa"/>
            <w:vAlign w:val="center"/>
          </w:tcPr>
          <w:p w14:paraId="5AA07B5B" w14:textId="77777777" w:rsidR="00454A29" w:rsidRDefault="00454A29">
            <w:pPr>
              <w:pStyle w:val="ConsPlusNormal"/>
            </w:pPr>
          </w:p>
        </w:tc>
      </w:tr>
      <w:tr w:rsidR="00454A29" w14:paraId="0269B60E" w14:textId="77777777">
        <w:tc>
          <w:tcPr>
            <w:tcW w:w="567" w:type="dxa"/>
            <w:vMerge/>
          </w:tcPr>
          <w:p w14:paraId="4939D169" w14:textId="77777777" w:rsidR="00454A29" w:rsidRDefault="00454A29"/>
        </w:tc>
        <w:tc>
          <w:tcPr>
            <w:tcW w:w="3345" w:type="dxa"/>
            <w:vMerge/>
          </w:tcPr>
          <w:p w14:paraId="4A237439" w14:textId="77777777" w:rsidR="00454A29" w:rsidRDefault="00454A29"/>
        </w:tc>
        <w:tc>
          <w:tcPr>
            <w:tcW w:w="1701" w:type="dxa"/>
            <w:vAlign w:val="center"/>
          </w:tcPr>
          <w:p w14:paraId="4D2E88B2" w14:textId="77777777" w:rsidR="00454A29" w:rsidRDefault="00454A29">
            <w:pPr>
              <w:pStyle w:val="ConsPlusNormal"/>
              <w:jc w:val="center"/>
            </w:pPr>
            <w:r>
              <w:t>2025</w:t>
            </w:r>
          </w:p>
        </w:tc>
        <w:tc>
          <w:tcPr>
            <w:tcW w:w="1417" w:type="dxa"/>
            <w:vMerge/>
          </w:tcPr>
          <w:p w14:paraId="0D3EF447" w14:textId="77777777" w:rsidR="00454A29" w:rsidRDefault="00454A29"/>
        </w:tc>
        <w:tc>
          <w:tcPr>
            <w:tcW w:w="2204" w:type="dxa"/>
            <w:vMerge/>
          </w:tcPr>
          <w:p w14:paraId="432DF294" w14:textId="77777777" w:rsidR="00454A29" w:rsidRDefault="00454A29"/>
        </w:tc>
        <w:tc>
          <w:tcPr>
            <w:tcW w:w="1417" w:type="dxa"/>
            <w:vMerge/>
          </w:tcPr>
          <w:p w14:paraId="54BFE6BD" w14:textId="77777777" w:rsidR="00454A29" w:rsidRDefault="00454A29"/>
        </w:tc>
        <w:tc>
          <w:tcPr>
            <w:tcW w:w="2324" w:type="dxa"/>
            <w:vMerge/>
          </w:tcPr>
          <w:p w14:paraId="6103CBBB" w14:textId="77777777" w:rsidR="00454A29" w:rsidRDefault="00454A29"/>
        </w:tc>
        <w:tc>
          <w:tcPr>
            <w:tcW w:w="1701" w:type="dxa"/>
            <w:vAlign w:val="center"/>
          </w:tcPr>
          <w:p w14:paraId="69ABB46D" w14:textId="77777777" w:rsidR="00454A29" w:rsidRDefault="00454A29">
            <w:pPr>
              <w:pStyle w:val="ConsPlusNormal"/>
              <w:jc w:val="center"/>
            </w:pPr>
            <w:r>
              <w:t>294 259,62</w:t>
            </w:r>
          </w:p>
        </w:tc>
        <w:tc>
          <w:tcPr>
            <w:tcW w:w="1814" w:type="dxa"/>
            <w:vAlign w:val="center"/>
          </w:tcPr>
          <w:p w14:paraId="7B359E39" w14:textId="77777777" w:rsidR="00454A29" w:rsidRDefault="00454A29">
            <w:pPr>
              <w:pStyle w:val="ConsPlusNormal"/>
              <w:jc w:val="center"/>
            </w:pPr>
            <w:r>
              <w:t>3 722,38</w:t>
            </w:r>
          </w:p>
        </w:tc>
        <w:tc>
          <w:tcPr>
            <w:tcW w:w="1701" w:type="dxa"/>
            <w:vAlign w:val="center"/>
          </w:tcPr>
          <w:p w14:paraId="5303EEBC" w14:textId="77777777" w:rsidR="00454A29" w:rsidRDefault="00454A29">
            <w:pPr>
              <w:pStyle w:val="ConsPlusNormal"/>
              <w:jc w:val="center"/>
            </w:pPr>
            <w:r>
              <w:t>368 516,03</w:t>
            </w:r>
          </w:p>
        </w:tc>
        <w:tc>
          <w:tcPr>
            <w:tcW w:w="1701" w:type="dxa"/>
            <w:vAlign w:val="center"/>
          </w:tcPr>
          <w:p w14:paraId="58EA9037" w14:textId="77777777" w:rsidR="00454A29" w:rsidRDefault="00454A29">
            <w:pPr>
              <w:pStyle w:val="ConsPlusNormal"/>
            </w:pPr>
          </w:p>
        </w:tc>
        <w:tc>
          <w:tcPr>
            <w:tcW w:w="1814" w:type="dxa"/>
            <w:vAlign w:val="center"/>
          </w:tcPr>
          <w:p w14:paraId="39AB79BA" w14:textId="77777777" w:rsidR="00454A29" w:rsidRDefault="00454A29">
            <w:pPr>
              <w:pStyle w:val="ConsPlusNormal"/>
            </w:pPr>
          </w:p>
        </w:tc>
      </w:tr>
      <w:tr w:rsidR="00454A29" w14:paraId="20395975" w14:textId="77777777">
        <w:tc>
          <w:tcPr>
            <w:tcW w:w="567" w:type="dxa"/>
            <w:vMerge/>
          </w:tcPr>
          <w:p w14:paraId="2C79F6A0" w14:textId="77777777" w:rsidR="00454A29" w:rsidRDefault="00454A29"/>
        </w:tc>
        <w:tc>
          <w:tcPr>
            <w:tcW w:w="3345" w:type="dxa"/>
            <w:vMerge/>
          </w:tcPr>
          <w:p w14:paraId="5DF7332A" w14:textId="77777777" w:rsidR="00454A29" w:rsidRDefault="00454A29"/>
        </w:tc>
        <w:tc>
          <w:tcPr>
            <w:tcW w:w="1701" w:type="dxa"/>
            <w:vAlign w:val="center"/>
          </w:tcPr>
          <w:p w14:paraId="6F72B755" w14:textId="77777777" w:rsidR="00454A29" w:rsidRDefault="00454A29">
            <w:pPr>
              <w:pStyle w:val="ConsPlusNormal"/>
              <w:jc w:val="center"/>
            </w:pPr>
            <w:r>
              <w:t>2026</w:t>
            </w:r>
          </w:p>
        </w:tc>
        <w:tc>
          <w:tcPr>
            <w:tcW w:w="1417" w:type="dxa"/>
            <w:vMerge/>
          </w:tcPr>
          <w:p w14:paraId="1EF0395B" w14:textId="77777777" w:rsidR="00454A29" w:rsidRDefault="00454A29"/>
        </w:tc>
        <w:tc>
          <w:tcPr>
            <w:tcW w:w="2204" w:type="dxa"/>
            <w:vMerge/>
          </w:tcPr>
          <w:p w14:paraId="00D52D1B" w14:textId="77777777" w:rsidR="00454A29" w:rsidRDefault="00454A29"/>
        </w:tc>
        <w:tc>
          <w:tcPr>
            <w:tcW w:w="1417" w:type="dxa"/>
            <w:vMerge/>
          </w:tcPr>
          <w:p w14:paraId="0D301E82" w14:textId="77777777" w:rsidR="00454A29" w:rsidRDefault="00454A29"/>
        </w:tc>
        <w:tc>
          <w:tcPr>
            <w:tcW w:w="2324" w:type="dxa"/>
            <w:vMerge/>
          </w:tcPr>
          <w:p w14:paraId="0A0F0F76" w14:textId="77777777" w:rsidR="00454A29" w:rsidRDefault="00454A29"/>
        </w:tc>
        <w:tc>
          <w:tcPr>
            <w:tcW w:w="1701" w:type="dxa"/>
            <w:vAlign w:val="center"/>
          </w:tcPr>
          <w:p w14:paraId="7ED0E39D" w14:textId="77777777" w:rsidR="00454A29" w:rsidRDefault="00454A29">
            <w:pPr>
              <w:pStyle w:val="ConsPlusNormal"/>
            </w:pPr>
          </w:p>
        </w:tc>
        <w:tc>
          <w:tcPr>
            <w:tcW w:w="1814" w:type="dxa"/>
            <w:vAlign w:val="center"/>
          </w:tcPr>
          <w:p w14:paraId="2EB8FA01" w14:textId="77777777" w:rsidR="00454A29" w:rsidRDefault="00454A29">
            <w:pPr>
              <w:pStyle w:val="ConsPlusNormal"/>
            </w:pPr>
          </w:p>
        </w:tc>
        <w:tc>
          <w:tcPr>
            <w:tcW w:w="1701" w:type="dxa"/>
            <w:vAlign w:val="center"/>
          </w:tcPr>
          <w:p w14:paraId="095BD341" w14:textId="77777777" w:rsidR="00454A29" w:rsidRDefault="00454A29">
            <w:pPr>
              <w:pStyle w:val="ConsPlusNormal"/>
            </w:pPr>
          </w:p>
        </w:tc>
        <w:tc>
          <w:tcPr>
            <w:tcW w:w="1701" w:type="dxa"/>
            <w:vAlign w:val="center"/>
          </w:tcPr>
          <w:p w14:paraId="22C424C1" w14:textId="77777777" w:rsidR="00454A29" w:rsidRDefault="00454A29">
            <w:pPr>
              <w:pStyle w:val="ConsPlusNormal"/>
            </w:pPr>
          </w:p>
        </w:tc>
        <w:tc>
          <w:tcPr>
            <w:tcW w:w="1814" w:type="dxa"/>
            <w:vAlign w:val="center"/>
          </w:tcPr>
          <w:p w14:paraId="59C2C62C" w14:textId="77777777" w:rsidR="00454A29" w:rsidRDefault="00454A29">
            <w:pPr>
              <w:pStyle w:val="ConsPlusNormal"/>
            </w:pPr>
          </w:p>
        </w:tc>
      </w:tr>
      <w:tr w:rsidR="00454A29" w14:paraId="12949949" w14:textId="77777777">
        <w:tc>
          <w:tcPr>
            <w:tcW w:w="567" w:type="dxa"/>
            <w:vMerge w:val="restart"/>
            <w:vAlign w:val="center"/>
          </w:tcPr>
          <w:p w14:paraId="53299E51" w14:textId="77777777" w:rsidR="00454A29" w:rsidRDefault="00454A29">
            <w:pPr>
              <w:pStyle w:val="ConsPlusNormal"/>
              <w:jc w:val="center"/>
            </w:pPr>
            <w:r>
              <w:t>23</w:t>
            </w:r>
          </w:p>
        </w:tc>
        <w:tc>
          <w:tcPr>
            <w:tcW w:w="3345" w:type="dxa"/>
            <w:vMerge w:val="restart"/>
            <w:vAlign w:val="center"/>
          </w:tcPr>
          <w:p w14:paraId="7EAB67D5" w14:textId="77777777" w:rsidR="00454A29" w:rsidRDefault="00454A29">
            <w:pPr>
              <w:pStyle w:val="ConsPlusNormal"/>
              <w:jc w:val="center"/>
            </w:pPr>
            <w:r>
              <w:t>Школа-сад на 50/40 мест в с. Багадя</w:t>
            </w:r>
          </w:p>
        </w:tc>
        <w:tc>
          <w:tcPr>
            <w:tcW w:w="1701" w:type="dxa"/>
            <w:vAlign w:val="center"/>
          </w:tcPr>
          <w:p w14:paraId="10BB517D" w14:textId="77777777" w:rsidR="00454A29" w:rsidRDefault="00454A29">
            <w:pPr>
              <w:pStyle w:val="ConsPlusNormal"/>
              <w:jc w:val="center"/>
            </w:pPr>
            <w:r>
              <w:t>2020 - 2026 годы - всего</w:t>
            </w:r>
          </w:p>
        </w:tc>
        <w:tc>
          <w:tcPr>
            <w:tcW w:w="1417" w:type="dxa"/>
            <w:vMerge w:val="restart"/>
            <w:vAlign w:val="center"/>
          </w:tcPr>
          <w:p w14:paraId="7D31ECAB" w14:textId="77777777" w:rsidR="00454A29" w:rsidRDefault="00454A29">
            <w:pPr>
              <w:pStyle w:val="ConsPlusNormal"/>
              <w:jc w:val="center"/>
            </w:pPr>
            <w:r>
              <w:t>183 912,26</w:t>
            </w:r>
          </w:p>
        </w:tc>
        <w:tc>
          <w:tcPr>
            <w:tcW w:w="2204" w:type="dxa"/>
            <w:vMerge w:val="restart"/>
            <w:vAlign w:val="center"/>
          </w:tcPr>
          <w:p w14:paraId="7F51482A" w14:textId="77777777" w:rsidR="00454A29" w:rsidRDefault="00454A29">
            <w:pPr>
              <w:pStyle w:val="ConsPlusNormal"/>
            </w:pPr>
          </w:p>
        </w:tc>
        <w:tc>
          <w:tcPr>
            <w:tcW w:w="1417" w:type="dxa"/>
            <w:vMerge w:val="restart"/>
            <w:vAlign w:val="center"/>
          </w:tcPr>
          <w:p w14:paraId="6C4A70C3" w14:textId="77777777" w:rsidR="00454A29" w:rsidRDefault="00454A29">
            <w:pPr>
              <w:pStyle w:val="ConsPlusNormal"/>
              <w:jc w:val="center"/>
            </w:pPr>
            <w:r>
              <w:t>50</w:t>
            </w:r>
          </w:p>
        </w:tc>
        <w:tc>
          <w:tcPr>
            <w:tcW w:w="2324" w:type="dxa"/>
            <w:vMerge w:val="restart"/>
            <w:vAlign w:val="center"/>
          </w:tcPr>
          <w:p w14:paraId="7ED4CC4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4AD4E67" w14:textId="77777777" w:rsidR="00454A29" w:rsidRDefault="00454A29">
            <w:pPr>
              <w:pStyle w:val="ConsPlusNormal"/>
              <w:jc w:val="center"/>
            </w:pPr>
            <w:r>
              <w:t>183 912,26</w:t>
            </w:r>
          </w:p>
        </w:tc>
        <w:tc>
          <w:tcPr>
            <w:tcW w:w="1814" w:type="dxa"/>
            <w:vAlign w:val="center"/>
          </w:tcPr>
          <w:p w14:paraId="47A5AF71" w14:textId="77777777" w:rsidR="00454A29" w:rsidRDefault="00454A29">
            <w:pPr>
              <w:pStyle w:val="ConsPlusNormal"/>
              <w:jc w:val="center"/>
            </w:pPr>
            <w:r>
              <w:t>2 326,49</w:t>
            </w:r>
          </w:p>
        </w:tc>
        <w:tc>
          <w:tcPr>
            <w:tcW w:w="1701" w:type="dxa"/>
            <w:vAlign w:val="center"/>
          </w:tcPr>
          <w:p w14:paraId="3A485CB7" w14:textId="77777777" w:rsidR="00454A29" w:rsidRDefault="00454A29">
            <w:pPr>
              <w:pStyle w:val="ConsPlusNormal"/>
              <w:jc w:val="center"/>
            </w:pPr>
            <w:r>
              <w:t>230 322,52</w:t>
            </w:r>
          </w:p>
        </w:tc>
        <w:tc>
          <w:tcPr>
            <w:tcW w:w="1701" w:type="dxa"/>
            <w:vAlign w:val="center"/>
          </w:tcPr>
          <w:p w14:paraId="0519AA15" w14:textId="77777777" w:rsidR="00454A29" w:rsidRDefault="00454A29">
            <w:pPr>
              <w:pStyle w:val="ConsPlusNormal"/>
              <w:jc w:val="center"/>
            </w:pPr>
            <w:r>
              <w:t>-</w:t>
            </w:r>
          </w:p>
        </w:tc>
        <w:tc>
          <w:tcPr>
            <w:tcW w:w="1814" w:type="dxa"/>
            <w:vAlign w:val="center"/>
          </w:tcPr>
          <w:p w14:paraId="449E93B0" w14:textId="77777777" w:rsidR="00454A29" w:rsidRDefault="00454A29">
            <w:pPr>
              <w:pStyle w:val="ConsPlusNormal"/>
              <w:jc w:val="center"/>
            </w:pPr>
            <w:r>
              <w:t>-</w:t>
            </w:r>
          </w:p>
        </w:tc>
      </w:tr>
      <w:tr w:rsidR="00454A29" w14:paraId="7F2A204F" w14:textId="77777777">
        <w:tc>
          <w:tcPr>
            <w:tcW w:w="567" w:type="dxa"/>
            <w:vMerge/>
          </w:tcPr>
          <w:p w14:paraId="69C950E5" w14:textId="77777777" w:rsidR="00454A29" w:rsidRDefault="00454A29"/>
        </w:tc>
        <w:tc>
          <w:tcPr>
            <w:tcW w:w="3345" w:type="dxa"/>
            <w:vMerge/>
          </w:tcPr>
          <w:p w14:paraId="6B31570D" w14:textId="77777777" w:rsidR="00454A29" w:rsidRDefault="00454A29"/>
        </w:tc>
        <w:tc>
          <w:tcPr>
            <w:tcW w:w="1701" w:type="dxa"/>
            <w:vAlign w:val="center"/>
          </w:tcPr>
          <w:p w14:paraId="5EE58335" w14:textId="77777777" w:rsidR="00454A29" w:rsidRDefault="00454A29">
            <w:pPr>
              <w:pStyle w:val="ConsPlusNormal"/>
              <w:jc w:val="center"/>
            </w:pPr>
            <w:r>
              <w:t>2020</w:t>
            </w:r>
          </w:p>
        </w:tc>
        <w:tc>
          <w:tcPr>
            <w:tcW w:w="1417" w:type="dxa"/>
            <w:vMerge/>
          </w:tcPr>
          <w:p w14:paraId="25E78144" w14:textId="77777777" w:rsidR="00454A29" w:rsidRDefault="00454A29"/>
        </w:tc>
        <w:tc>
          <w:tcPr>
            <w:tcW w:w="2204" w:type="dxa"/>
            <w:vMerge/>
          </w:tcPr>
          <w:p w14:paraId="3D56CE97" w14:textId="77777777" w:rsidR="00454A29" w:rsidRDefault="00454A29"/>
        </w:tc>
        <w:tc>
          <w:tcPr>
            <w:tcW w:w="1417" w:type="dxa"/>
            <w:vMerge/>
          </w:tcPr>
          <w:p w14:paraId="46405C3C" w14:textId="77777777" w:rsidR="00454A29" w:rsidRDefault="00454A29"/>
        </w:tc>
        <w:tc>
          <w:tcPr>
            <w:tcW w:w="2324" w:type="dxa"/>
            <w:vMerge/>
          </w:tcPr>
          <w:p w14:paraId="2E1F3A6C" w14:textId="77777777" w:rsidR="00454A29" w:rsidRDefault="00454A29"/>
        </w:tc>
        <w:tc>
          <w:tcPr>
            <w:tcW w:w="1701" w:type="dxa"/>
            <w:vAlign w:val="center"/>
          </w:tcPr>
          <w:p w14:paraId="7F1105CA" w14:textId="77777777" w:rsidR="00454A29" w:rsidRDefault="00454A29">
            <w:pPr>
              <w:pStyle w:val="ConsPlusNormal"/>
            </w:pPr>
          </w:p>
        </w:tc>
        <w:tc>
          <w:tcPr>
            <w:tcW w:w="1814" w:type="dxa"/>
            <w:vAlign w:val="center"/>
          </w:tcPr>
          <w:p w14:paraId="4B181E4D" w14:textId="77777777" w:rsidR="00454A29" w:rsidRDefault="00454A29">
            <w:pPr>
              <w:pStyle w:val="ConsPlusNormal"/>
            </w:pPr>
          </w:p>
        </w:tc>
        <w:tc>
          <w:tcPr>
            <w:tcW w:w="1701" w:type="dxa"/>
            <w:vAlign w:val="center"/>
          </w:tcPr>
          <w:p w14:paraId="774F5CFE" w14:textId="77777777" w:rsidR="00454A29" w:rsidRDefault="00454A29">
            <w:pPr>
              <w:pStyle w:val="ConsPlusNormal"/>
            </w:pPr>
          </w:p>
        </w:tc>
        <w:tc>
          <w:tcPr>
            <w:tcW w:w="1701" w:type="dxa"/>
            <w:vAlign w:val="center"/>
          </w:tcPr>
          <w:p w14:paraId="3AAF6121" w14:textId="77777777" w:rsidR="00454A29" w:rsidRDefault="00454A29">
            <w:pPr>
              <w:pStyle w:val="ConsPlusNormal"/>
            </w:pPr>
          </w:p>
        </w:tc>
        <w:tc>
          <w:tcPr>
            <w:tcW w:w="1814" w:type="dxa"/>
            <w:vAlign w:val="center"/>
          </w:tcPr>
          <w:p w14:paraId="752DF558" w14:textId="77777777" w:rsidR="00454A29" w:rsidRDefault="00454A29">
            <w:pPr>
              <w:pStyle w:val="ConsPlusNormal"/>
            </w:pPr>
          </w:p>
        </w:tc>
      </w:tr>
      <w:tr w:rsidR="00454A29" w14:paraId="660CE55E" w14:textId="77777777">
        <w:tc>
          <w:tcPr>
            <w:tcW w:w="567" w:type="dxa"/>
            <w:vMerge/>
          </w:tcPr>
          <w:p w14:paraId="0E2673E8" w14:textId="77777777" w:rsidR="00454A29" w:rsidRDefault="00454A29"/>
        </w:tc>
        <w:tc>
          <w:tcPr>
            <w:tcW w:w="3345" w:type="dxa"/>
            <w:vMerge/>
          </w:tcPr>
          <w:p w14:paraId="743952D6" w14:textId="77777777" w:rsidR="00454A29" w:rsidRDefault="00454A29"/>
        </w:tc>
        <w:tc>
          <w:tcPr>
            <w:tcW w:w="1701" w:type="dxa"/>
            <w:vAlign w:val="center"/>
          </w:tcPr>
          <w:p w14:paraId="562BC77D" w14:textId="77777777" w:rsidR="00454A29" w:rsidRDefault="00454A29">
            <w:pPr>
              <w:pStyle w:val="ConsPlusNormal"/>
              <w:jc w:val="center"/>
            </w:pPr>
            <w:r>
              <w:t>2021</w:t>
            </w:r>
          </w:p>
        </w:tc>
        <w:tc>
          <w:tcPr>
            <w:tcW w:w="1417" w:type="dxa"/>
            <w:vMerge/>
          </w:tcPr>
          <w:p w14:paraId="6890E80A" w14:textId="77777777" w:rsidR="00454A29" w:rsidRDefault="00454A29"/>
        </w:tc>
        <w:tc>
          <w:tcPr>
            <w:tcW w:w="2204" w:type="dxa"/>
            <w:vMerge/>
          </w:tcPr>
          <w:p w14:paraId="1A22BB79" w14:textId="77777777" w:rsidR="00454A29" w:rsidRDefault="00454A29"/>
        </w:tc>
        <w:tc>
          <w:tcPr>
            <w:tcW w:w="1417" w:type="dxa"/>
            <w:vMerge/>
          </w:tcPr>
          <w:p w14:paraId="417EE3C1" w14:textId="77777777" w:rsidR="00454A29" w:rsidRDefault="00454A29"/>
        </w:tc>
        <w:tc>
          <w:tcPr>
            <w:tcW w:w="2324" w:type="dxa"/>
            <w:vMerge/>
          </w:tcPr>
          <w:p w14:paraId="3BF431F0" w14:textId="77777777" w:rsidR="00454A29" w:rsidRDefault="00454A29"/>
        </w:tc>
        <w:tc>
          <w:tcPr>
            <w:tcW w:w="1701" w:type="dxa"/>
            <w:vAlign w:val="center"/>
          </w:tcPr>
          <w:p w14:paraId="222CA153" w14:textId="77777777" w:rsidR="00454A29" w:rsidRDefault="00454A29">
            <w:pPr>
              <w:pStyle w:val="ConsPlusNormal"/>
            </w:pPr>
          </w:p>
        </w:tc>
        <w:tc>
          <w:tcPr>
            <w:tcW w:w="1814" w:type="dxa"/>
            <w:vAlign w:val="center"/>
          </w:tcPr>
          <w:p w14:paraId="2535BE87" w14:textId="77777777" w:rsidR="00454A29" w:rsidRDefault="00454A29">
            <w:pPr>
              <w:pStyle w:val="ConsPlusNormal"/>
            </w:pPr>
          </w:p>
        </w:tc>
        <w:tc>
          <w:tcPr>
            <w:tcW w:w="1701" w:type="dxa"/>
            <w:vAlign w:val="center"/>
          </w:tcPr>
          <w:p w14:paraId="19DAFE90" w14:textId="77777777" w:rsidR="00454A29" w:rsidRDefault="00454A29">
            <w:pPr>
              <w:pStyle w:val="ConsPlusNormal"/>
            </w:pPr>
          </w:p>
        </w:tc>
        <w:tc>
          <w:tcPr>
            <w:tcW w:w="1701" w:type="dxa"/>
            <w:vAlign w:val="center"/>
          </w:tcPr>
          <w:p w14:paraId="016492AA" w14:textId="77777777" w:rsidR="00454A29" w:rsidRDefault="00454A29">
            <w:pPr>
              <w:pStyle w:val="ConsPlusNormal"/>
            </w:pPr>
          </w:p>
        </w:tc>
        <w:tc>
          <w:tcPr>
            <w:tcW w:w="1814" w:type="dxa"/>
            <w:vAlign w:val="center"/>
          </w:tcPr>
          <w:p w14:paraId="0A5B27A7" w14:textId="77777777" w:rsidR="00454A29" w:rsidRDefault="00454A29">
            <w:pPr>
              <w:pStyle w:val="ConsPlusNormal"/>
            </w:pPr>
          </w:p>
        </w:tc>
      </w:tr>
      <w:tr w:rsidR="00454A29" w14:paraId="17C568D8" w14:textId="77777777">
        <w:tc>
          <w:tcPr>
            <w:tcW w:w="567" w:type="dxa"/>
            <w:vMerge/>
          </w:tcPr>
          <w:p w14:paraId="17C8393B" w14:textId="77777777" w:rsidR="00454A29" w:rsidRDefault="00454A29"/>
        </w:tc>
        <w:tc>
          <w:tcPr>
            <w:tcW w:w="3345" w:type="dxa"/>
            <w:vMerge/>
          </w:tcPr>
          <w:p w14:paraId="774841C8" w14:textId="77777777" w:rsidR="00454A29" w:rsidRDefault="00454A29"/>
        </w:tc>
        <w:tc>
          <w:tcPr>
            <w:tcW w:w="1701" w:type="dxa"/>
            <w:vAlign w:val="center"/>
          </w:tcPr>
          <w:p w14:paraId="2A107C16" w14:textId="77777777" w:rsidR="00454A29" w:rsidRDefault="00454A29">
            <w:pPr>
              <w:pStyle w:val="ConsPlusNormal"/>
              <w:jc w:val="center"/>
            </w:pPr>
            <w:r>
              <w:t>2022</w:t>
            </w:r>
          </w:p>
        </w:tc>
        <w:tc>
          <w:tcPr>
            <w:tcW w:w="1417" w:type="dxa"/>
            <w:vMerge/>
          </w:tcPr>
          <w:p w14:paraId="55751728" w14:textId="77777777" w:rsidR="00454A29" w:rsidRDefault="00454A29"/>
        </w:tc>
        <w:tc>
          <w:tcPr>
            <w:tcW w:w="2204" w:type="dxa"/>
            <w:vMerge/>
          </w:tcPr>
          <w:p w14:paraId="08063818" w14:textId="77777777" w:rsidR="00454A29" w:rsidRDefault="00454A29"/>
        </w:tc>
        <w:tc>
          <w:tcPr>
            <w:tcW w:w="1417" w:type="dxa"/>
            <w:vMerge/>
          </w:tcPr>
          <w:p w14:paraId="71A2AD09" w14:textId="77777777" w:rsidR="00454A29" w:rsidRDefault="00454A29"/>
        </w:tc>
        <w:tc>
          <w:tcPr>
            <w:tcW w:w="2324" w:type="dxa"/>
            <w:vMerge/>
          </w:tcPr>
          <w:p w14:paraId="08D51494" w14:textId="77777777" w:rsidR="00454A29" w:rsidRDefault="00454A29"/>
        </w:tc>
        <w:tc>
          <w:tcPr>
            <w:tcW w:w="1701" w:type="dxa"/>
            <w:vAlign w:val="center"/>
          </w:tcPr>
          <w:p w14:paraId="7183313A" w14:textId="77777777" w:rsidR="00454A29" w:rsidRDefault="00454A29">
            <w:pPr>
              <w:pStyle w:val="ConsPlusNormal"/>
            </w:pPr>
          </w:p>
        </w:tc>
        <w:tc>
          <w:tcPr>
            <w:tcW w:w="1814" w:type="dxa"/>
            <w:vAlign w:val="center"/>
          </w:tcPr>
          <w:p w14:paraId="51047881" w14:textId="77777777" w:rsidR="00454A29" w:rsidRDefault="00454A29">
            <w:pPr>
              <w:pStyle w:val="ConsPlusNormal"/>
            </w:pPr>
          </w:p>
        </w:tc>
        <w:tc>
          <w:tcPr>
            <w:tcW w:w="1701" w:type="dxa"/>
            <w:vAlign w:val="center"/>
          </w:tcPr>
          <w:p w14:paraId="338FBF36" w14:textId="77777777" w:rsidR="00454A29" w:rsidRDefault="00454A29">
            <w:pPr>
              <w:pStyle w:val="ConsPlusNormal"/>
            </w:pPr>
          </w:p>
        </w:tc>
        <w:tc>
          <w:tcPr>
            <w:tcW w:w="1701" w:type="dxa"/>
            <w:vAlign w:val="center"/>
          </w:tcPr>
          <w:p w14:paraId="2CA745FF" w14:textId="77777777" w:rsidR="00454A29" w:rsidRDefault="00454A29">
            <w:pPr>
              <w:pStyle w:val="ConsPlusNormal"/>
            </w:pPr>
          </w:p>
        </w:tc>
        <w:tc>
          <w:tcPr>
            <w:tcW w:w="1814" w:type="dxa"/>
            <w:vAlign w:val="center"/>
          </w:tcPr>
          <w:p w14:paraId="28351723" w14:textId="77777777" w:rsidR="00454A29" w:rsidRDefault="00454A29">
            <w:pPr>
              <w:pStyle w:val="ConsPlusNormal"/>
            </w:pPr>
          </w:p>
        </w:tc>
      </w:tr>
      <w:tr w:rsidR="00454A29" w14:paraId="682BF6F7" w14:textId="77777777">
        <w:tc>
          <w:tcPr>
            <w:tcW w:w="567" w:type="dxa"/>
            <w:vMerge/>
          </w:tcPr>
          <w:p w14:paraId="0B53D2C1" w14:textId="77777777" w:rsidR="00454A29" w:rsidRDefault="00454A29"/>
        </w:tc>
        <w:tc>
          <w:tcPr>
            <w:tcW w:w="3345" w:type="dxa"/>
            <w:vMerge/>
          </w:tcPr>
          <w:p w14:paraId="29C8F701" w14:textId="77777777" w:rsidR="00454A29" w:rsidRDefault="00454A29"/>
        </w:tc>
        <w:tc>
          <w:tcPr>
            <w:tcW w:w="1701" w:type="dxa"/>
            <w:vAlign w:val="center"/>
          </w:tcPr>
          <w:p w14:paraId="1DB8A061" w14:textId="77777777" w:rsidR="00454A29" w:rsidRDefault="00454A29">
            <w:pPr>
              <w:pStyle w:val="ConsPlusNormal"/>
              <w:jc w:val="center"/>
            </w:pPr>
            <w:r>
              <w:t>2023</w:t>
            </w:r>
          </w:p>
        </w:tc>
        <w:tc>
          <w:tcPr>
            <w:tcW w:w="1417" w:type="dxa"/>
            <w:vMerge/>
          </w:tcPr>
          <w:p w14:paraId="4EED79DC" w14:textId="77777777" w:rsidR="00454A29" w:rsidRDefault="00454A29"/>
        </w:tc>
        <w:tc>
          <w:tcPr>
            <w:tcW w:w="2204" w:type="dxa"/>
            <w:vMerge/>
          </w:tcPr>
          <w:p w14:paraId="0768D7D9" w14:textId="77777777" w:rsidR="00454A29" w:rsidRDefault="00454A29"/>
        </w:tc>
        <w:tc>
          <w:tcPr>
            <w:tcW w:w="1417" w:type="dxa"/>
            <w:vMerge/>
          </w:tcPr>
          <w:p w14:paraId="5C2D5B06" w14:textId="77777777" w:rsidR="00454A29" w:rsidRDefault="00454A29"/>
        </w:tc>
        <w:tc>
          <w:tcPr>
            <w:tcW w:w="2324" w:type="dxa"/>
            <w:vMerge/>
          </w:tcPr>
          <w:p w14:paraId="5309E20D" w14:textId="77777777" w:rsidR="00454A29" w:rsidRDefault="00454A29"/>
        </w:tc>
        <w:tc>
          <w:tcPr>
            <w:tcW w:w="1701" w:type="dxa"/>
            <w:vAlign w:val="center"/>
          </w:tcPr>
          <w:p w14:paraId="3D31E3A4" w14:textId="77777777" w:rsidR="00454A29" w:rsidRDefault="00454A29">
            <w:pPr>
              <w:pStyle w:val="ConsPlusNormal"/>
            </w:pPr>
          </w:p>
        </w:tc>
        <w:tc>
          <w:tcPr>
            <w:tcW w:w="1814" w:type="dxa"/>
            <w:vAlign w:val="center"/>
          </w:tcPr>
          <w:p w14:paraId="3DF6D907" w14:textId="77777777" w:rsidR="00454A29" w:rsidRDefault="00454A29">
            <w:pPr>
              <w:pStyle w:val="ConsPlusNormal"/>
            </w:pPr>
          </w:p>
        </w:tc>
        <w:tc>
          <w:tcPr>
            <w:tcW w:w="1701" w:type="dxa"/>
            <w:vAlign w:val="center"/>
          </w:tcPr>
          <w:p w14:paraId="41F0C233" w14:textId="77777777" w:rsidR="00454A29" w:rsidRDefault="00454A29">
            <w:pPr>
              <w:pStyle w:val="ConsPlusNormal"/>
            </w:pPr>
          </w:p>
        </w:tc>
        <w:tc>
          <w:tcPr>
            <w:tcW w:w="1701" w:type="dxa"/>
            <w:vAlign w:val="center"/>
          </w:tcPr>
          <w:p w14:paraId="4C570481" w14:textId="77777777" w:rsidR="00454A29" w:rsidRDefault="00454A29">
            <w:pPr>
              <w:pStyle w:val="ConsPlusNormal"/>
            </w:pPr>
          </w:p>
        </w:tc>
        <w:tc>
          <w:tcPr>
            <w:tcW w:w="1814" w:type="dxa"/>
            <w:vAlign w:val="center"/>
          </w:tcPr>
          <w:p w14:paraId="4154AADF" w14:textId="77777777" w:rsidR="00454A29" w:rsidRDefault="00454A29">
            <w:pPr>
              <w:pStyle w:val="ConsPlusNormal"/>
            </w:pPr>
          </w:p>
        </w:tc>
      </w:tr>
      <w:tr w:rsidR="00454A29" w14:paraId="73C3D1BE" w14:textId="77777777">
        <w:tc>
          <w:tcPr>
            <w:tcW w:w="567" w:type="dxa"/>
            <w:vMerge/>
          </w:tcPr>
          <w:p w14:paraId="79AE4648" w14:textId="77777777" w:rsidR="00454A29" w:rsidRDefault="00454A29"/>
        </w:tc>
        <w:tc>
          <w:tcPr>
            <w:tcW w:w="3345" w:type="dxa"/>
            <w:vMerge/>
          </w:tcPr>
          <w:p w14:paraId="2DCB2F38" w14:textId="77777777" w:rsidR="00454A29" w:rsidRDefault="00454A29"/>
        </w:tc>
        <w:tc>
          <w:tcPr>
            <w:tcW w:w="1701" w:type="dxa"/>
            <w:vAlign w:val="center"/>
          </w:tcPr>
          <w:p w14:paraId="66DF42F2" w14:textId="77777777" w:rsidR="00454A29" w:rsidRDefault="00454A29">
            <w:pPr>
              <w:pStyle w:val="ConsPlusNormal"/>
              <w:jc w:val="center"/>
            </w:pPr>
            <w:r>
              <w:t>2024</w:t>
            </w:r>
          </w:p>
        </w:tc>
        <w:tc>
          <w:tcPr>
            <w:tcW w:w="1417" w:type="dxa"/>
            <w:vMerge/>
          </w:tcPr>
          <w:p w14:paraId="1E182252" w14:textId="77777777" w:rsidR="00454A29" w:rsidRDefault="00454A29"/>
        </w:tc>
        <w:tc>
          <w:tcPr>
            <w:tcW w:w="2204" w:type="dxa"/>
            <w:vMerge/>
          </w:tcPr>
          <w:p w14:paraId="1EE9668D" w14:textId="77777777" w:rsidR="00454A29" w:rsidRDefault="00454A29"/>
        </w:tc>
        <w:tc>
          <w:tcPr>
            <w:tcW w:w="1417" w:type="dxa"/>
            <w:vMerge/>
          </w:tcPr>
          <w:p w14:paraId="7B1002FD" w14:textId="77777777" w:rsidR="00454A29" w:rsidRDefault="00454A29"/>
        </w:tc>
        <w:tc>
          <w:tcPr>
            <w:tcW w:w="2324" w:type="dxa"/>
            <w:vMerge/>
          </w:tcPr>
          <w:p w14:paraId="304FA6F6" w14:textId="77777777" w:rsidR="00454A29" w:rsidRDefault="00454A29"/>
        </w:tc>
        <w:tc>
          <w:tcPr>
            <w:tcW w:w="1701" w:type="dxa"/>
            <w:vAlign w:val="center"/>
          </w:tcPr>
          <w:p w14:paraId="7AC4F95D" w14:textId="77777777" w:rsidR="00454A29" w:rsidRDefault="00454A29">
            <w:pPr>
              <w:pStyle w:val="ConsPlusNormal"/>
            </w:pPr>
          </w:p>
        </w:tc>
        <w:tc>
          <w:tcPr>
            <w:tcW w:w="1814" w:type="dxa"/>
            <w:vAlign w:val="center"/>
          </w:tcPr>
          <w:p w14:paraId="719F685B" w14:textId="77777777" w:rsidR="00454A29" w:rsidRDefault="00454A29">
            <w:pPr>
              <w:pStyle w:val="ConsPlusNormal"/>
            </w:pPr>
          </w:p>
        </w:tc>
        <w:tc>
          <w:tcPr>
            <w:tcW w:w="1701" w:type="dxa"/>
            <w:vAlign w:val="center"/>
          </w:tcPr>
          <w:p w14:paraId="0B7369C4" w14:textId="77777777" w:rsidR="00454A29" w:rsidRDefault="00454A29">
            <w:pPr>
              <w:pStyle w:val="ConsPlusNormal"/>
            </w:pPr>
          </w:p>
        </w:tc>
        <w:tc>
          <w:tcPr>
            <w:tcW w:w="1701" w:type="dxa"/>
            <w:vAlign w:val="center"/>
          </w:tcPr>
          <w:p w14:paraId="65AD3DAC" w14:textId="77777777" w:rsidR="00454A29" w:rsidRDefault="00454A29">
            <w:pPr>
              <w:pStyle w:val="ConsPlusNormal"/>
            </w:pPr>
          </w:p>
        </w:tc>
        <w:tc>
          <w:tcPr>
            <w:tcW w:w="1814" w:type="dxa"/>
            <w:vAlign w:val="center"/>
          </w:tcPr>
          <w:p w14:paraId="4223D589" w14:textId="77777777" w:rsidR="00454A29" w:rsidRDefault="00454A29">
            <w:pPr>
              <w:pStyle w:val="ConsPlusNormal"/>
            </w:pPr>
          </w:p>
        </w:tc>
      </w:tr>
      <w:tr w:rsidR="00454A29" w14:paraId="41B205E7" w14:textId="77777777">
        <w:tc>
          <w:tcPr>
            <w:tcW w:w="567" w:type="dxa"/>
            <w:vMerge/>
          </w:tcPr>
          <w:p w14:paraId="3A525238" w14:textId="77777777" w:rsidR="00454A29" w:rsidRDefault="00454A29"/>
        </w:tc>
        <w:tc>
          <w:tcPr>
            <w:tcW w:w="3345" w:type="dxa"/>
            <w:vMerge/>
          </w:tcPr>
          <w:p w14:paraId="03291347" w14:textId="77777777" w:rsidR="00454A29" w:rsidRDefault="00454A29"/>
        </w:tc>
        <w:tc>
          <w:tcPr>
            <w:tcW w:w="1701" w:type="dxa"/>
            <w:vAlign w:val="center"/>
          </w:tcPr>
          <w:p w14:paraId="59D5319B" w14:textId="77777777" w:rsidR="00454A29" w:rsidRDefault="00454A29">
            <w:pPr>
              <w:pStyle w:val="ConsPlusNormal"/>
              <w:jc w:val="center"/>
            </w:pPr>
            <w:r>
              <w:t>2025</w:t>
            </w:r>
          </w:p>
        </w:tc>
        <w:tc>
          <w:tcPr>
            <w:tcW w:w="1417" w:type="dxa"/>
            <w:vMerge/>
          </w:tcPr>
          <w:p w14:paraId="62DCE498" w14:textId="77777777" w:rsidR="00454A29" w:rsidRDefault="00454A29"/>
        </w:tc>
        <w:tc>
          <w:tcPr>
            <w:tcW w:w="2204" w:type="dxa"/>
            <w:vMerge/>
          </w:tcPr>
          <w:p w14:paraId="4F3A9188" w14:textId="77777777" w:rsidR="00454A29" w:rsidRDefault="00454A29"/>
        </w:tc>
        <w:tc>
          <w:tcPr>
            <w:tcW w:w="1417" w:type="dxa"/>
            <w:vMerge/>
          </w:tcPr>
          <w:p w14:paraId="14EDE0FB" w14:textId="77777777" w:rsidR="00454A29" w:rsidRDefault="00454A29"/>
        </w:tc>
        <w:tc>
          <w:tcPr>
            <w:tcW w:w="2324" w:type="dxa"/>
            <w:vMerge/>
          </w:tcPr>
          <w:p w14:paraId="04DCB71B" w14:textId="77777777" w:rsidR="00454A29" w:rsidRDefault="00454A29"/>
        </w:tc>
        <w:tc>
          <w:tcPr>
            <w:tcW w:w="1701" w:type="dxa"/>
            <w:vAlign w:val="center"/>
          </w:tcPr>
          <w:p w14:paraId="226949F2" w14:textId="77777777" w:rsidR="00454A29" w:rsidRDefault="00454A29">
            <w:pPr>
              <w:pStyle w:val="ConsPlusNormal"/>
              <w:jc w:val="center"/>
            </w:pPr>
            <w:r>
              <w:t>183 912,26</w:t>
            </w:r>
          </w:p>
        </w:tc>
        <w:tc>
          <w:tcPr>
            <w:tcW w:w="1814" w:type="dxa"/>
            <w:vAlign w:val="center"/>
          </w:tcPr>
          <w:p w14:paraId="3C46992A" w14:textId="77777777" w:rsidR="00454A29" w:rsidRDefault="00454A29">
            <w:pPr>
              <w:pStyle w:val="ConsPlusNormal"/>
              <w:jc w:val="center"/>
            </w:pPr>
            <w:r>
              <w:t>2 326,49</w:t>
            </w:r>
          </w:p>
        </w:tc>
        <w:tc>
          <w:tcPr>
            <w:tcW w:w="1701" w:type="dxa"/>
            <w:vAlign w:val="center"/>
          </w:tcPr>
          <w:p w14:paraId="7B6EA856" w14:textId="77777777" w:rsidR="00454A29" w:rsidRDefault="00454A29">
            <w:pPr>
              <w:pStyle w:val="ConsPlusNormal"/>
              <w:jc w:val="center"/>
            </w:pPr>
            <w:r>
              <w:t>230 322,52</w:t>
            </w:r>
          </w:p>
        </w:tc>
        <w:tc>
          <w:tcPr>
            <w:tcW w:w="1701" w:type="dxa"/>
            <w:vAlign w:val="center"/>
          </w:tcPr>
          <w:p w14:paraId="5F3CE167" w14:textId="77777777" w:rsidR="00454A29" w:rsidRDefault="00454A29">
            <w:pPr>
              <w:pStyle w:val="ConsPlusNormal"/>
            </w:pPr>
          </w:p>
        </w:tc>
        <w:tc>
          <w:tcPr>
            <w:tcW w:w="1814" w:type="dxa"/>
            <w:vAlign w:val="center"/>
          </w:tcPr>
          <w:p w14:paraId="3DA0177E" w14:textId="77777777" w:rsidR="00454A29" w:rsidRDefault="00454A29">
            <w:pPr>
              <w:pStyle w:val="ConsPlusNormal"/>
            </w:pPr>
          </w:p>
        </w:tc>
      </w:tr>
      <w:tr w:rsidR="00454A29" w14:paraId="434909C2" w14:textId="77777777">
        <w:tc>
          <w:tcPr>
            <w:tcW w:w="567" w:type="dxa"/>
            <w:vMerge/>
          </w:tcPr>
          <w:p w14:paraId="6599538B" w14:textId="77777777" w:rsidR="00454A29" w:rsidRDefault="00454A29"/>
        </w:tc>
        <w:tc>
          <w:tcPr>
            <w:tcW w:w="3345" w:type="dxa"/>
            <w:vMerge/>
          </w:tcPr>
          <w:p w14:paraId="4626F987" w14:textId="77777777" w:rsidR="00454A29" w:rsidRDefault="00454A29"/>
        </w:tc>
        <w:tc>
          <w:tcPr>
            <w:tcW w:w="1701" w:type="dxa"/>
            <w:vAlign w:val="center"/>
          </w:tcPr>
          <w:p w14:paraId="603F7773" w14:textId="77777777" w:rsidR="00454A29" w:rsidRDefault="00454A29">
            <w:pPr>
              <w:pStyle w:val="ConsPlusNormal"/>
              <w:jc w:val="center"/>
            </w:pPr>
            <w:r>
              <w:t>2026</w:t>
            </w:r>
          </w:p>
        </w:tc>
        <w:tc>
          <w:tcPr>
            <w:tcW w:w="1417" w:type="dxa"/>
            <w:vMerge/>
          </w:tcPr>
          <w:p w14:paraId="7DD65496" w14:textId="77777777" w:rsidR="00454A29" w:rsidRDefault="00454A29"/>
        </w:tc>
        <w:tc>
          <w:tcPr>
            <w:tcW w:w="2204" w:type="dxa"/>
            <w:vMerge/>
          </w:tcPr>
          <w:p w14:paraId="2277E838" w14:textId="77777777" w:rsidR="00454A29" w:rsidRDefault="00454A29"/>
        </w:tc>
        <w:tc>
          <w:tcPr>
            <w:tcW w:w="1417" w:type="dxa"/>
            <w:vMerge/>
          </w:tcPr>
          <w:p w14:paraId="6D146B35" w14:textId="77777777" w:rsidR="00454A29" w:rsidRDefault="00454A29"/>
        </w:tc>
        <w:tc>
          <w:tcPr>
            <w:tcW w:w="2324" w:type="dxa"/>
            <w:vMerge/>
          </w:tcPr>
          <w:p w14:paraId="4361B94E" w14:textId="77777777" w:rsidR="00454A29" w:rsidRDefault="00454A29"/>
        </w:tc>
        <w:tc>
          <w:tcPr>
            <w:tcW w:w="1701" w:type="dxa"/>
            <w:vAlign w:val="center"/>
          </w:tcPr>
          <w:p w14:paraId="170EB24A" w14:textId="77777777" w:rsidR="00454A29" w:rsidRDefault="00454A29">
            <w:pPr>
              <w:pStyle w:val="ConsPlusNormal"/>
            </w:pPr>
          </w:p>
        </w:tc>
        <w:tc>
          <w:tcPr>
            <w:tcW w:w="1814" w:type="dxa"/>
            <w:vAlign w:val="center"/>
          </w:tcPr>
          <w:p w14:paraId="29DA8944" w14:textId="77777777" w:rsidR="00454A29" w:rsidRDefault="00454A29">
            <w:pPr>
              <w:pStyle w:val="ConsPlusNormal"/>
            </w:pPr>
          </w:p>
        </w:tc>
        <w:tc>
          <w:tcPr>
            <w:tcW w:w="1701" w:type="dxa"/>
            <w:vAlign w:val="center"/>
          </w:tcPr>
          <w:p w14:paraId="3FD0BB03" w14:textId="77777777" w:rsidR="00454A29" w:rsidRDefault="00454A29">
            <w:pPr>
              <w:pStyle w:val="ConsPlusNormal"/>
            </w:pPr>
          </w:p>
        </w:tc>
        <w:tc>
          <w:tcPr>
            <w:tcW w:w="1701" w:type="dxa"/>
            <w:vAlign w:val="center"/>
          </w:tcPr>
          <w:p w14:paraId="45A33C9A" w14:textId="77777777" w:rsidR="00454A29" w:rsidRDefault="00454A29">
            <w:pPr>
              <w:pStyle w:val="ConsPlusNormal"/>
            </w:pPr>
          </w:p>
        </w:tc>
        <w:tc>
          <w:tcPr>
            <w:tcW w:w="1814" w:type="dxa"/>
            <w:vAlign w:val="center"/>
          </w:tcPr>
          <w:p w14:paraId="2258C9F9" w14:textId="77777777" w:rsidR="00454A29" w:rsidRDefault="00454A29">
            <w:pPr>
              <w:pStyle w:val="ConsPlusNormal"/>
            </w:pPr>
          </w:p>
        </w:tc>
      </w:tr>
      <w:tr w:rsidR="00454A29" w14:paraId="66F0D7FA" w14:textId="77777777">
        <w:tc>
          <w:tcPr>
            <w:tcW w:w="567" w:type="dxa"/>
            <w:vMerge w:val="restart"/>
            <w:vAlign w:val="center"/>
          </w:tcPr>
          <w:p w14:paraId="64082912" w14:textId="77777777" w:rsidR="00454A29" w:rsidRDefault="00454A29">
            <w:pPr>
              <w:pStyle w:val="ConsPlusNormal"/>
              <w:jc w:val="center"/>
            </w:pPr>
            <w:r>
              <w:t>24</w:t>
            </w:r>
          </w:p>
        </w:tc>
        <w:tc>
          <w:tcPr>
            <w:tcW w:w="3345" w:type="dxa"/>
            <w:vMerge w:val="restart"/>
            <w:vAlign w:val="center"/>
          </w:tcPr>
          <w:p w14:paraId="281C9053" w14:textId="77777777" w:rsidR="00454A29" w:rsidRDefault="00454A29">
            <w:pPr>
              <w:pStyle w:val="ConsPlusNormal"/>
              <w:jc w:val="center"/>
            </w:pPr>
            <w:r>
              <w:t>Школа-сад на 80/45 мест в с. Сайылык</w:t>
            </w:r>
          </w:p>
        </w:tc>
        <w:tc>
          <w:tcPr>
            <w:tcW w:w="1701" w:type="dxa"/>
            <w:vAlign w:val="center"/>
          </w:tcPr>
          <w:p w14:paraId="6AD9927F" w14:textId="77777777" w:rsidR="00454A29" w:rsidRDefault="00454A29">
            <w:pPr>
              <w:pStyle w:val="ConsPlusNormal"/>
              <w:jc w:val="center"/>
            </w:pPr>
            <w:r>
              <w:t>2020 - 2026 годы - всего</w:t>
            </w:r>
          </w:p>
        </w:tc>
        <w:tc>
          <w:tcPr>
            <w:tcW w:w="1417" w:type="dxa"/>
            <w:vMerge w:val="restart"/>
            <w:vAlign w:val="center"/>
          </w:tcPr>
          <w:p w14:paraId="37D603E1" w14:textId="77777777" w:rsidR="00454A29" w:rsidRDefault="00454A29">
            <w:pPr>
              <w:pStyle w:val="ConsPlusNormal"/>
              <w:jc w:val="center"/>
            </w:pPr>
            <w:r>
              <w:t>294 259,62</w:t>
            </w:r>
          </w:p>
        </w:tc>
        <w:tc>
          <w:tcPr>
            <w:tcW w:w="2204" w:type="dxa"/>
            <w:vMerge w:val="restart"/>
            <w:vAlign w:val="center"/>
          </w:tcPr>
          <w:p w14:paraId="285F9E64" w14:textId="77777777" w:rsidR="00454A29" w:rsidRDefault="00454A29">
            <w:pPr>
              <w:pStyle w:val="ConsPlusNormal"/>
            </w:pPr>
          </w:p>
        </w:tc>
        <w:tc>
          <w:tcPr>
            <w:tcW w:w="1417" w:type="dxa"/>
            <w:vMerge w:val="restart"/>
            <w:vAlign w:val="center"/>
          </w:tcPr>
          <w:p w14:paraId="774C1906" w14:textId="77777777" w:rsidR="00454A29" w:rsidRDefault="00454A29">
            <w:pPr>
              <w:pStyle w:val="ConsPlusNormal"/>
              <w:jc w:val="center"/>
            </w:pPr>
            <w:r>
              <w:t>80</w:t>
            </w:r>
          </w:p>
        </w:tc>
        <w:tc>
          <w:tcPr>
            <w:tcW w:w="2324" w:type="dxa"/>
            <w:vMerge w:val="restart"/>
            <w:vAlign w:val="center"/>
          </w:tcPr>
          <w:p w14:paraId="3D68EBF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D308AFC" w14:textId="77777777" w:rsidR="00454A29" w:rsidRDefault="00454A29">
            <w:pPr>
              <w:pStyle w:val="ConsPlusNormal"/>
              <w:jc w:val="center"/>
            </w:pPr>
            <w:r>
              <w:t>294 259,62</w:t>
            </w:r>
          </w:p>
        </w:tc>
        <w:tc>
          <w:tcPr>
            <w:tcW w:w="1814" w:type="dxa"/>
            <w:vAlign w:val="center"/>
          </w:tcPr>
          <w:p w14:paraId="4A50F137" w14:textId="77777777" w:rsidR="00454A29" w:rsidRDefault="00454A29">
            <w:pPr>
              <w:pStyle w:val="ConsPlusNormal"/>
              <w:jc w:val="center"/>
            </w:pPr>
            <w:r>
              <w:t>3 625,28</w:t>
            </w:r>
          </w:p>
        </w:tc>
        <w:tc>
          <w:tcPr>
            <w:tcW w:w="1701" w:type="dxa"/>
            <w:vAlign w:val="center"/>
          </w:tcPr>
          <w:p w14:paraId="1E4294A3" w14:textId="77777777" w:rsidR="00454A29" w:rsidRDefault="00454A29">
            <w:pPr>
              <w:pStyle w:val="ConsPlusNormal"/>
              <w:jc w:val="center"/>
            </w:pPr>
            <w:r>
              <w:t>358 902,57</w:t>
            </w:r>
          </w:p>
        </w:tc>
        <w:tc>
          <w:tcPr>
            <w:tcW w:w="1701" w:type="dxa"/>
            <w:vAlign w:val="center"/>
          </w:tcPr>
          <w:p w14:paraId="7B4CF9E4" w14:textId="77777777" w:rsidR="00454A29" w:rsidRDefault="00454A29">
            <w:pPr>
              <w:pStyle w:val="ConsPlusNormal"/>
              <w:jc w:val="center"/>
            </w:pPr>
            <w:r>
              <w:t>-</w:t>
            </w:r>
          </w:p>
        </w:tc>
        <w:tc>
          <w:tcPr>
            <w:tcW w:w="1814" w:type="dxa"/>
            <w:vAlign w:val="center"/>
          </w:tcPr>
          <w:p w14:paraId="531BA75F" w14:textId="77777777" w:rsidR="00454A29" w:rsidRDefault="00454A29">
            <w:pPr>
              <w:pStyle w:val="ConsPlusNormal"/>
              <w:jc w:val="center"/>
            </w:pPr>
            <w:r>
              <w:t>-</w:t>
            </w:r>
          </w:p>
        </w:tc>
      </w:tr>
      <w:tr w:rsidR="00454A29" w14:paraId="0F448A48" w14:textId="77777777">
        <w:tc>
          <w:tcPr>
            <w:tcW w:w="567" w:type="dxa"/>
            <w:vMerge/>
          </w:tcPr>
          <w:p w14:paraId="409A8450" w14:textId="77777777" w:rsidR="00454A29" w:rsidRDefault="00454A29"/>
        </w:tc>
        <w:tc>
          <w:tcPr>
            <w:tcW w:w="3345" w:type="dxa"/>
            <w:vMerge/>
          </w:tcPr>
          <w:p w14:paraId="02D2B986" w14:textId="77777777" w:rsidR="00454A29" w:rsidRDefault="00454A29"/>
        </w:tc>
        <w:tc>
          <w:tcPr>
            <w:tcW w:w="1701" w:type="dxa"/>
            <w:vAlign w:val="center"/>
          </w:tcPr>
          <w:p w14:paraId="6923EF97" w14:textId="77777777" w:rsidR="00454A29" w:rsidRDefault="00454A29">
            <w:pPr>
              <w:pStyle w:val="ConsPlusNormal"/>
              <w:jc w:val="center"/>
            </w:pPr>
            <w:r>
              <w:t>2020</w:t>
            </w:r>
          </w:p>
        </w:tc>
        <w:tc>
          <w:tcPr>
            <w:tcW w:w="1417" w:type="dxa"/>
            <w:vMerge/>
          </w:tcPr>
          <w:p w14:paraId="22AB709E" w14:textId="77777777" w:rsidR="00454A29" w:rsidRDefault="00454A29"/>
        </w:tc>
        <w:tc>
          <w:tcPr>
            <w:tcW w:w="2204" w:type="dxa"/>
            <w:vMerge/>
          </w:tcPr>
          <w:p w14:paraId="260C1213" w14:textId="77777777" w:rsidR="00454A29" w:rsidRDefault="00454A29"/>
        </w:tc>
        <w:tc>
          <w:tcPr>
            <w:tcW w:w="1417" w:type="dxa"/>
            <w:vMerge/>
          </w:tcPr>
          <w:p w14:paraId="381E30FA" w14:textId="77777777" w:rsidR="00454A29" w:rsidRDefault="00454A29"/>
        </w:tc>
        <w:tc>
          <w:tcPr>
            <w:tcW w:w="2324" w:type="dxa"/>
            <w:vMerge/>
          </w:tcPr>
          <w:p w14:paraId="7949CAFF" w14:textId="77777777" w:rsidR="00454A29" w:rsidRDefault="00454A29"/>
        </w:tc>
        <w:tc>
          <w:tcPr>
            <w:tcW w:w="1701" w:type="dxa"/>
            <w:vAlign w:val="center"/>
          </w:tcPr>
          <w:p w14:paraId="1EFD9339" w14:textId="77777777" w:rsidR="00454A29" w:rsidRDefault="00454A29">
            <w:pPr>
              <w:pStyle w:val="ConsPlusNormal"/>
            </w:pPr>
          </w:p>
        </w:tc>
        <w:tc>
          <w:tcPr>
            <w:tcW w:w="1814" w:type="dxa"/>
            <w:vAlign w:val="center"/>
          </w:tcPr>
          <w:p w14:paraId="0105AB7B" w14:textId="77777777" w:rsidR="00454A29" w:rsidRDefault="00454A29">
            <w:pPr>
              <w:pStyle w:val="ConsPlusNormal"/>
            </w:pPr>
          </w:p>
        </w:tc>
        <w:tc>
          <w:tcPr>
            <w:tcW w:w="1701" w:type="dxa"/>
            <w:vAlign w:val="center"/>
          </w:tcPr>
          <w:p w14:paraId="519042E2" w14:textId="77777777" w:rsidR="00454A29" w:rsidRDefault="00454A29">
            <w:pPr>
              <w:pStyle w:val="ConsPlusNormal"/>
            </w:pPr>
          </w:p>
        </w:tc>
        <w:tc>
          <w:tcPr>
            <w:tcW w:w="1701" w:type="dxa"/>
            <w:vAlign w:val="center"/>
          </w:tcPr>
          <w:p w14:paraId="2662B098" w14:textId="77777777" w:rsidR="00454A29" w:rsidRDefault="00454A29">
            <w:pPr>
              <w:pStyle w:val="ConsPlusNormal"/>
            </w:pPr>
          </w:p>
        </w:tc>
        <w:tc>
          <w:tcPr>
            <w:tcW w:w="1814" w:type="dxa"/>
            <w:vAlign w:val="center"/>
          </w:tcPr>
          <w:p w14:paraId="331D8A04" w14:textId="77777777" w:rsidR="00454A29" w:rsidRDefault="00454A29">
            <w:pPr>
              <w:pStyle w:val="ConsPlusNormal"/>
            </w:pPr>
          </w:p>
        </w:tc>
      </w:tr>
      <w:tr w:rsidR="00454A29" w14:paraId="3D3D2953" w14:textId="77777777">
        <w:tc>
          <w:tcPr>
            <w:tcW w:w="567" w:type="dxa"/>
            <w:vMerge/>
          </w:tcPr>
          <w:p w14:paraId="5379A2EE" w14:textId="77777777" w:rsidR="00454A29" w:rsidRDefault="00454A29"/>
        </w:tc>
        <w:tc>
          <w:tcPr>
            <w:tcW w:w="3345" w:type="dxa"/>
            <w:vMerge/>
          </w:tcPr>
          <w:p w14:paraId="7C6C55D4" w14:textId="77777777" w:rsidR="00454A29" w:rsidRDefault="00454A29"/>
        </w:tc>
        <w:tc>
          <w:tcPr>
            <w:tcW w:w="1701" w:type="dxa"/>
            <w:vAlign w:val="center"/>
          </w:tcPr>
          <w:p w14:paraId="6325B042" w14:textId="77777777" w:rsidR="00454A29" w:rsidRDefault="00454A29">
            <w:pPr>
              <w:pStyle w:val="ConsPlusNormal"/>
              <w:jc w:val="center"/>
            </w:pPr>
            <w:r>
              <w:t>2021</w:t>
            </w:r>
          </w:p>
        </w:tc>
        <w:tc>
          <w:tcPr>
            <w:tcW w:w="1417" w:type="dxa"/>
            <w:vMerge/>
          </w:tcPr>
          <w:p w14:paraId="37E7B2C3" w14:textId="77777777" w:rsidR="00454A29" w:rsidRDefault="00454A29"/>
        </w:tc>
        <w:tc>
          <w:tcPr>
            <w:tcW w:w="2204" w:type="dxa"/>
            <w:vMerge/>
          </w:tcPr>
          <w:p w14:paraId="4EC1B410" w14:textId="77777777" w:rsidR="00454A29" w:rsidRDefault="00454A29"/>
        </w:tc>
        <w:tc>
          <w:tcPr>
            <w:tcW w:w="1417" w:type="dxa"/>
            <w:vMerge/>
          </w:tcPr>
          <w:p w14:paraId="78259FC1" w14:textId="77777777" w:rsidR="00454A29" w:rsidRDefault="00454A29"/>
        </w:tc>
        <w:tc>
          <w:tcPr>
            <w:tcW w:w="2324" w:type="dxa"/>
            <w:vMerge/>
          </w:tcPr>
          <w:p w14:paraId="566E9610" w14:textId="77777777" w:rsidR="00454A29" w:rsidRDefault="00454A29"/>
        </w:tc>
        <w:tc>
          <w:tcPr>
            <w:tcW w:w="1701" w:type="dxa"/>
            <w:vAlign w:val="center"/>
          </w:tcPr>
          <w:p w14:paraId="6B7FD3D4" w14:textId="77777777" w:rsidR="00454A29" w:rsidRDefault="00454A29">
            <w:pPr>
              <w:pStyle w:val="ConsPlusNormal"/>
            </w:pPr>
          </w:p>
        </w:tc>
        <w:tc>
          <w:tcPr>
            <w:tcW w:w="1814" w:type="dxa"/>
            <w:vAlign w:val="center"/>
          </w:tcPr>
          <w:p w14:paraId="21EE5B10" w14:textId="77777777" w:rsidR="00454A29" w:rsidRDefault="00454A29">
            <w:pPr>
              <w:pStyle w:val="ConsPlusNormal"/>
            </w:pPr>
          </w:p>
        </w:tc>
        <w:tc>
          <w:tcPr>
            <w:tcW w:w="1701" w:type="dxa"/>
            <w:vAlign w:val="center"/>
          </w:tcPr>
          <w:p w14:paraId="50282FC8" w14:textId="77777777" w:rsidR="00454A29" w:rsidRDefault="00454A29">
            <w:pPr>
              <w:pStyle w:val="ConsPlusNormal"/>
            </w:pPr>
          </w:p>
        </w:tc>
        <w:tc>
          <w:tcPr>
            <w:tcW w:w="1701" w:type="dxa"/>
            <w:vAlign w:val="center"/>
          </w:tcPr>
          <w:p w14:paraId="30BDE3A0" w14:textId="77777777" w:rsidR="00454A29" w:rsidRDefault="00454A29">
            <w:pPr>
              <w:pStyle w:val="ConsPlusNormal"/>
            </w:pPr>
          </w:p>
        </w:tc>
        <w:tc>
          <w:tcPr>
            <w:tcW w:w="1814" w:type="dxa"/>
            <w:vAlign w:val="center"/>
          </w:tcPr>
          <w:p w14:paraId="7FD22E0A" w14:textId="77777777" w:rsidR="00454A29" w:rsidRDefault="00454A29">
            <w:pPr>
              <w:pStyle w:val="ConsPlusNormal"/>
            </w:pPr>
          </w:p>
        </w:tc>
      </w:tr>
      <w:tr w:rsidR="00454A29" w14:paraId="3220E706" w14:textId="77777777">
        <w:tc>
          <w:tcPr>
            <w:tcW w:w="567" w:type="dxa"/>
            <w:vMerge/>
          </w:tcPr>
          <w:p w14:paraId="6E671A02" w14:textId="77777777" w:rsidR="00454A29" w:rsidRDefault="00454A29"/>
        </w:tc>
        <w:tc>
          <w:tcPr>
            <w:tcW w:w="3345" w:type="dxa"/>
            <w:vMerge/>
          </w:tcPr>
          <w:p w14:paraId="045DBC29" w14:textId="77777777" w:rsidR="00454A29" w:rsidRDefault="00454A29"/>
        </w:tc>
        <w:tc>
          <w:tcPr>
            <w:tcW w:w="1701" w:type="dxa"/>
            <w:vAlign w:val="center"/>
          </w:tcPr>
          <w:p w14:paraId="1B082712" w14:textId="77777777" w:rsidR="00454A29" w:rsidRDefault="00454A29">
            <w:pPr>
              <w:pStyle w:val="ConsPlusNormal"/>
              <w:jc w:val="center"/>
            </w:pPr>
            <w:r>
              <w:t>2022</w:t>
            </w:r>
          </w:p>
        </w:tc>
        <w:tc>
          <w:tcPr>
            <w:tcW w:w="1417" w:type="dxa"/>
            <w:vMerge/>
          </w:tcPr>
          <w:p w14:paraId="22CF9D88" w14:textId="77777777" w:rsidR="00454A29" w:rsidRDefault="00454A29"/>
        </w:tc>
        <w:tc>
          <w:tcPr>
            <w:tcW w:w="2204" w:type="dxa"/>
            <w:vMerge/>
          </w:tcPr>
          <w:p w14:paraId="11DB2288" w14:textId="77777777" w:rsidR="00454A29" w:rsidRDefault="00454A29"/>
        </w:tc>
        <w:tc>
          <w:tcPr>
            <w:tcW w:w="1417" w:type="dxa"/>
            <w:vMerge/>
          </w:tcPr>
          <w:p w14:paraId="1EC870C2" w14:textId="77777777" w:rsidR="00454A29" w:rsidRDefault="00454A29"/>
        </w:tc>
        <w:tc>
          <w:tcPr>
            <w:tcW w:w="2324" w:type="dxa"/>
            <w:vMerge/>
          </w:tcPr>
          <w:p w14:paraId="0A9A828B" w14:textId="77777777" w:rsidR="00454A29" w:rsidRDefault="00454A29"/>
        </w:tc>
        <w:tc>
          <w:tcPr>
            <w:tcW w:w="1701" w:type="dxa"/>
            <w:vAlign w:val="center"/>
          </w:tcPr>
          <w:p w14:paraId="648ECD95" w14:textId="77777777" w:rsidR="00454A29" w:rsidRDefault="00454A29">
            <w:pPr>
              <w:pStyle w:val="ConsPlusNormal"/>
            </w:pPr>
          </w:p>
        </w:tc>
        <w:tc>
          <w:tcPr>
            <w:tcW w:w="1814" w:type="dxa"/>
            <w:vAlign w:val="center"/>
          </w:tcPr>
          <w:p w14:paraId="5571CB15" w14:textId="77777777" w:rsidR="00454A29" w:rsidRDefault="00454A29">
            <w:pPr>
              <w:pStyle w:val="ConsPlusNormal"/>
            </w:pPr>
          </w:p>
        </w:tc>
        <w:tc>
          <w:tcPr>
            <w:tcW w:w="1701" w:type="dxa"/>
            <w:vAlign w:val="center"/>
          </w:tcPr>
          <w:p w14:paraId="0988CB6F" w14:textId="77777777" w:rsidR="00454A29" w:rsidRDefault="00454A29">
            <w:pPr>
              <w:pStyle w:val="ConsPlusNormal"/>
            </w:pPr>
          </w:p>
        </w:tc>
        <w:tc>
          <w:tcPr>
            <w:tcW w:w="1701" w:type="dxa"/>
            <w:vAlign w:val="center"/>
          </w:tcPr>
          <w:p w14:paraId="5FF11CE4" w14:textId="77777777" w:rsidR="00454A29" w:rsidRDefault="00454A29">
            <w:pPr>
              <w:pStyle w:val="ConsPlusNormal"/>
            </w:pPr>
          </w:p>
        </w:tc>
        <w:tc>
          <w:tcPr>
            <w:tcW w:w="1814" w:type="dxa"/>
            <w:vAlign w:val="center"/>
          </w:tcPr>
          <w:p w14:paraId="3FEE402D" w14:textId="77777777" w:rsidR="00454A29" w:rsidRDefault="00454A29">
            <w:pPr>
              <w:pStyle w:val="ConsPlusNormal"/>
            </w:pPr>
          </w:p>
        </w:tc>
      </w:tr>
      <w:tr w:rsidR="00454A29" w14:paraId="51E5FFBD" w14:textId="77777777">
        <w:tc>
          <w:tcPr>
            <w:tcW w:w="567" w:type="dxa"/>
            <w:vMerge/>
          </w:tcPr>
          <w:p w14:paraId="334BA181" w14:textId="77777777" w:rsidR="00454A29" w:rsidRDefault="00454A29"/>
        </w:tc>
        <w:tc>
          <w:tcPr>
            <w:tcW w:w="3345" w:type="dxa"/>
            <w:vMerge/>
          </w:tcPr>
          <w:p w14:paraId="777FA0E9" w14:textId="77777777" w:rsidR="00454A29" w:rsidRDefault="00454A29"/>
        </w:tc>
        <w:tc>
          <w:tcPr>
            <w:tcW w:w="1701" w:type="dxa"/>
            <w:vAlign w:val="center"/>
          </w:tcPr>
          <w:p w14:paraId="764CFCAF" w14:textId="77777777" w:rsidR="00454A29" w:rsidRDefault="00454A29">
            <w:pPr>
              <w:pStyle w:val="ConsPlusNormal"/>
              <w:jc w:val="center"/>
            </w:pPr>
            <w:r>
              <w:t>2023</w:t>
            </w:r>
          </w:p>
        </w:tc>
        <w:tc>
          <w:tcPr>
            <w:tcW w:w="1417" w:type="dxa"/>
            <w:vMerge/>
          </w:tcPr>
          <w:p w14:paraId="0286B11A" w14:textId="77777777" w:rsidR="00454A29" w:rsidRDefault="00454A29"/>
        </w:tc>
        <w:tc>
          <w:tcPr>
            <w:tcW w:w="2204" w:type="dxa"/>
            <w:vMerge/>
          </w:tcPr>
          <w:p w14:paraId="0444D8BD" w14:textId="77777777" w:rsidR="00454A29" w:rsidRDefault="00454A29"/>
        </w:tc>
        <w:tc>
          <w:tcPr>
            <w:tcW w:w="1417" w:type="dxa"/>
            <w:vMerge/>
          </w:tcPr>
          <w:p w14:paraId="603B772B" w14:textId="77777777" w:rsidR="00454A29" w:rsidRDefault="00454A29"/>
        </w:tc>
        <w:tc>
          <w:tcPr>
            <w:tcW w:w="2324" w:type="dxa"/>
            <w:vMerge/>
          </w:tcPr>
          <w:p w14:paraId="64579968" w14:textId="77777777" w:rsidR="00454A29" w:rsidRDefault="00454A29"/>
        </w:tc>
        <w:tc>
          <w:tcPr>
            <w:tcW w:w="1701" w:type="dxa"/>
            <w:vAlign w:val="center"/>
          </w:tcPr>
          <w:p w14:paraId="0FA511D0" w14:textId="77777777" w:rsidR="00454A29" w:rsidRDefault="00454A29">
            <w:pPr>
              <w:pStyle w:val="ConsPlusNormal"/>
            </w:pPr>
          </w:p>
        </w:tc>
        <w:tc>
          <w:tcPr>
            <w:tcW w:w="1814" w:type="dxa"/>
            <w:vAlign w:val="center"/>
          </w:tcPr>
          <w:p w14:paraId="4AA902AC" w14:textId="77777777" w:rsidR="00454A29" w:rsidRDefault="00454A29">
            <w:pPr>
              <w:pStyle w:val="ConsPlusNormal"/>
            </w:pPr>
          </w:p>
        </w:tc>
        <w:tc>
          <w:tcPr>
            <w:tcW w:w="1701" w:type="dxa"/>
            <w:vAlign w:val="center"/>
          </w:tcPr>
          <w:p w14:paraId="50D85D78" w14:textId="77777777" w:rsidR="00454A29" w:rsidRDefault="00454A29">
            <w:pPr>
              <w:pStyle w:val="ConsPlusNormal"/>
            </w:pPr>
          </w:p>
        </w:tc>
        <w:tc>
          <w:tcPr>
            <w:tcW w:w="1701" w:type="dxa"/>
            <w:vAlign w:val="center"/>
          </w:tcPr>
          <w:p w14:paraId="1786AE65" w14:textId="77777777" w:rsidR="00454A29" w:rsidRDefault="00454A29">
            <w:pPr>
              <w:pStyle w:val="ConsPlusNormal"/>
            </w:pPr>
          </w:p>
        </w:tc>
        <w:tc>
          <w:tcPr>
            <w:tcW w:w="1814" w:type="dxa"/>
            <w:vAlign w:val="center"/>
          </w:tcPr>
          <w:p w14:paraId="24DD1E74" w14:textId="77777777" w:rsidR="00454A29" w:rsidRDefault="00454A29">
            <w:pPr>
              <w:pStyle w:val="ConsPlusNormal"/>
            </w:pPr>
          </w:p>
        </w:tc>
      </w:tr>
      <w:tr w:rsidR="00454A29" w14:paraId="0412CE8F" w14:textId="77777777">
        <w:tc>
          <w:tcPr>
            <w:tcW w:w="567" w:type="dxa"/>
            <w:vMerge/>
          </w:tcPr>
          <w:p w14:paraId="7F90C6F4" w14:textId="77777777" w:rsidR="00454A29" w:rsidRDefault="00454A29"/>
        </w:tc>
        <w:tc>
          <w:tcPr>
            <w:tcW w:w="3345" w:type="dxa"/>
            <w:vMerge/>
          </w:tcPr>
          <w:p w14:paraId="702D81EA" w14:textId="77777777" w:rsidR="00454A29" w:rsidRDefault="00454A29"/>
        </w:tc>
        <w:tc>
          <w:tcPr>
            <w:tcW w:w="1701" w:type="dxa"/>
            <w:vAlign w:val="center"/>
          </w:tcPr>
          <w:p w14:paraId="1CDDD0D7" w14:textId="77777777" w:rsidR="00454A29" w:rsidRDefault="00454A29">
            <w:pPr>
              <w:pStyle w:val="ConsPlusNormal"/>
              <w:jc w:val="center"/>
            </w:pPr>
            <w:r>
              <w:t>2024</w:t>
            </w:r>
          </w:p>
        </w:tc>
        <w:tc>
          <w:tcPr>
            <w:tcW w:w="1417" w:type="dxa"/>
            <w:vMerge/>
          </w:tcPr>
          <w:p w14:paraId="04A19210" w14:textId="77777777" w:rsidR="00454A29" w:rsidRDefault="00454A29"/>
        </w:tc>
        <w:tc>
          <w:tcPr>
            <w:tcW w:w="2204" w:type="dxa"/>
            <w:vMerge/>
          </w:tcPr>
          <w:p w14:paraId="456D2E01" w14:textId="77777777" w:rsidR="00454A29" w:rsidRDefault="00454A29"/>
        </w:tc>
        <w:tc>
          <w:tcPr>
            <w:tcW w:w="1417" w:type="dxa"/>
            <w:vMerge/>
          </w:tcPr>
          <w:p w14:paraId="088AAD11" w14:textId="77777777" w:rsidR="00454A29" w:rsidRDefault="00454A29"/>
        </w:tc>
        <w:tc>
          <w:tcPr>
            <w:tcW w:w="2324" w:type="dxa"/>
            <w:vMerge/>
          </w:tcPr>
          <w:p w14:paraId="4B1E0A57" w14:textId="77777777" w:rsidR="00454A29" w:rsidRDefault="00454A29"/>
        </w:tc>
        <w:tc>
          <w:tcPr>
            <w:tcW w:w="1701" w:type="dxa"/>
            <w:vAlign w:val="center"/>
          </w:tcPr>
          <w:p w14:paraId="5A7F890A" w14:textId="77777777" w:rsidR="00454A29" w:rsidRDefault="00454A29">
            <w:pPr>
              <w:pStyle w:val="ConsPlusNormal"/>
            </w:pPr>
          </w:p>
        </w:tc>
        <w:tc>
          <w:tcPr>
            <w:tcW w:w="1814" w:type="dxa"/>
            <w:vAlign w:val="center"/>
          </w:tcPr>
          <w:p w14:paraId="69B931E0" w14:textId="77777777" w:rsidR="00454A29" w:rsidRDefault="00454A29">
            <w:pPr>
              <w:pStyle w:val="ConsPlusNormal"/>
            </w:pPr>
          </w:p>
        </w:tc>
        <w:tc>
          <w:tcPr>
            <w:tcW w:w="1701" w:type="dxa"/>
            <w:vAlign w:val="center"/>
          </w:tcPr>
          <w:p w14:paraId="00BB5823" w14:textId="77777777" w:rsidR="00454A29" w:rsidRDefault="00454A29">
            <w:pPr>
              <w:pStyle w:val="ConsPlusNormal"/>
            </w:pPr>
          </w:p>
        </w:tc>
        <w:tc>
          <w:tcPr>
            <w:tcW w:w="1701" w:type="dxa"/>
            <w:vAlign w:val="center"/>
          </w:tcPr>
          <w:p w14:paraId="2E30F090" w14:textId="77777777" w:rsidR="00454A29" w:rsidRDefault="00454A29">
            <w:pPr>
              <w:pStyle w:val="ConsPlusNormal"/>
            </w:pPr>
          </w:p>
        </w:tc>
        <w:tc>
          <w:tcPr>
            <w:tcW w:w="1814" w:type="dxa"/>
            <w:vAlign w:val="center"/>
          </w:tcPr>
          <w:p w14:paraId="2689807C" w14:textId="77777777" w:rsidR="00454A29" w:rsidRDefault="00454A29">
            <w:pPr>
              <w:pStyle w:val="ConsPlusNormal"/>
            </w:pPr>
          </w:p>
        </w:tc>
      </w:tr>
      <w:tr w:rsidR="00454A29" w14:paraId="0F91B1B0" w14:textId="77777777">
        <w:tc>
          <w:tcPr>
            <w:tcW w:w="567" w:type="dxa"/>
            <w:vMerge/>
          </w:tcPr>
          <w:p w14:paraId="608AF3F0" w14:textId="77777777" w:rsidR="00454A29" w:rsidRDefault="00454A29"/>
        </w:tc>
        <w:tc>
          <w:tcPr>
            <w:tcW w:w="3345" w:type="dxa"/>
            <w:vMerge/>
          </w:tcPr>
          <w:p w14:paraId="4DBD3848" w14:textId="77777777" w:rsidR="00454A29" w:rsidRDefault="00454A29"/>
        </w:tc>
        <w:tc>
          <w:tcPr>
            <w:tcW w:w="1701" w:type="dxa"/>
            <w:vAlign w:val="center"/>
          </w:tcPr>
          <w:p w14:paraId="6F250E80" w14:textId="77777777" w:rsidR="00454A29" w:rsidRDefault="00454A29">
            <w:pPr>
              <w:pStyle w:val="ConsPlusNormal"/>
              <w:jc w:val="center"/>
            </w:pPr>
            <w:r>
              <w:t>2025</w:t>
            </w:r>
          </w:p>
        </w:tc>
        <w:tc>
          <w:tcPr>
            <w:tcW w:w="1417" w:type="dxa"/>
            <w:vMerge/>
          </w:tcPr>
          <w:p w14:paraId="7BAA375D" w14:textId="77777777" w:rsidR="00454A29" w:rsidRDefault="00454A29"/>
        </w:tc>
        <w:tc>
          <w:tcPr>
            <w:tcW w:w="2204" w:type="dxa"/>
            <w:vMerge/>
          </w:tcPr>
          <w:p w14:paraId="4C1AD628" w14:textId="77777777" w:rsidR="00454A29" w:rsidRDefault="00454A29"/>
        </w:tc>
        <w:tc>
          <w:tcPr>
            <w:tcW w:w="1417" w:type="dxa"/>
            <w:vMerge/>
          </w:tcPr>
          <w:p w14:paraId="3C96A19C" w14:textId="77777777" w:rsidR="00454A29" w:rsidRDefault="00454A29"/>
        </w:tc>
        <w:tc>
          <w:tcPr>
            <w:tcW w:w="2324" w:type="dxa"/>
            <w:vMerge/>
          </w:tcPr>
          <w:p w14:paraId="79C2B8C8" w14:textId="77777777" w:rsidR="00454A29" w:rsidRDefault="00454A29"/>
        </w:tc>
        <w:tc>
          <w:tcPr>
            <w:tcW w:w="1701" w:type="dxa"/>
            <w:vAlign w:val="center"/>
          </w:tcPr>
          <w:p w14:paraId="3E37CC10" w14:textId="77777777" w:rsidR="00454A29" w:rsidRDefault="00454A29">
            <w:pPr>
              <w:pStyle w:val="ConsPlusNormal"/>
            </w:pPr>
          </w:p>
        </w:tc>
        <w:tc>
          <w:tcPr>
            <w:tcW w:w="1814" w:type="dxa"/>
            <w:vAlign w:val="center"/>
          </w:tcPr>
          <w:p w14:paraId="7D9C61F1" w14:textId="77777777" w:rsidR="00454A29" w:rsidRDefault="00454A29">
            <w:pPr>
              <w:pStyle w:val="ConsPlusNormal"/>
            </w:pPr>
          </w:p>
        </w:tc>
        <w:tc>
          <w:tcPr>
            <w:tcW w:w="1701" w:type="dxa"/>
            <w:vAlign w:val="center"/>
          </w:tcPr>
          <w:p w14:paraId="73665C79" w14:textId="77777777" w:rsidR="00454A29" w:rsidRDefault="00454A29">
            <w:pPr>
              <w:pStyle w:val="ConsPlusNormal"/>
            </w:pPr>
          </w:p>
        </w:tc>
        <w:tc>
          <w:tcPr>
            <w:tcW w:w="1701" w:type="dxa"/>
            <w:vAlign w:val="center"/>
          </w:tcPr>
          <w:p w14:paraId="38F68CF6" w14:textId="77777777" w:rsidR="00454A29" w:rsidRDefault="00454A29">
            <w:pPr>
              <w:pStyle w:val="ConsPlusNormal"/>
            </w:pPr>
          </w:p>
        </w:tc>
        <w:tc>
          <w:tcPr>
            <w:tcW w:w="1814" w:type="dxa"/>
            <w:vAlign w:val="center"/>
          </w:tcPr>
          <w:p w14:paraId="658A8EB5" w14:textId="77777777" w:rsidR="00454A29" w:rsidRDefault="00454A29">
            <w:pPr>
              <w:pStyle w:val="ConsPlusNormal"/>
            </w:pPr>
          </w:p>
        </w:tc>
      </w:tr>
      <w:tr w:rsidR="00454A29" w14:paraId="042AF0CB" w14:textId="77777777">
        <w:tc>
          <w:tcPr>
            <w:tcW w:w="567" w:type="dxa"/>
            <w:vMerge/>
          </w:tcPr>
          <w:p w14:paraId="635A710C" w14:textId="77777777" w:rsidR="00454A29" w:rsidRDefault="00454A29"/>
        </w:tc>
        <w:tc>
          <w:tcPr>
            <w:tcW w:w="3345" w:type="dxa"/>
            <w:vMerge/>
          </w:tcPr>
          <w:p w14:paraId="1FAFB779" w14:textId="77777777" w:rsidR="00454A29" w:rsidRDefault="00454A29"/>
        </w:tc>
        <w:tc>
          <w:tcPr>
            <w:tcW w:w="1701" w:type="dxa"/>
            <w:vAlign w:val="center"/>
          </w:tcPr>
          <w:p w14:paraId="331E55D4" w14:textId="77777777" w:rsidR="00454A29" w:rsidRDefault="00454A29">
            <w:pPr>
              <w:pStyle w:val="ConsPlusNormal"/>
              <w:jc w:val="center"/>
            </w:pPr>
            <w:r>
              <w:t>2026</w:t>
            </w:r>
          </w:p>
        </w:tc>
        <w:tc>
          <w:tcPr>
            <w:tcW w:w="1417" w:type="dxa"/>
            <w:vMerge/>
          </w:tcPr>
          <w:p w14:paraId="2DCF7AB0" w14:textId="77777777" w:rsidR="00454A29" w:rsidRDefault="00454A29"/>
        </w:tc>
        <w:tc>
          <w:tcPr>
            <w:tcW w:w="2204" w:type="dxa"/>
            <w:vMerge/>
          </w:tcPr>
          <w:p w14:paraId="0BA26F28" w14:textId="77777777" w:rsidR="00454A29" w:rsidRDefault="00454A29"/>
        </w:tc>
        <w:tc>
          <w:tcPr>
            <w:tcW w:w="1417" w:type="dxa"/>
            <w:vMerge/>
          </w:tcPr>
          <w:p w14:paraId="718F145D" w14:textId="77777777" w:rsidR="00454A29" w:rsidRDefault="00454A29"/>
        </w:tc>
        <w:tc>
          <w:tcPr>
            <w:tcW w:w="2324" w:type="dxa"/>
            <w:vMerge/>
          </w:tcPr>
          <w:p w14:paraId="190D34E4" w14:textId="77777777" w:rsidR="00454A29" w:rsidRDefault="00454A29"/>
        </w:tc>
        <w:tc>
          <w:tcPr>
            <w:tcW w:w="1701" w:type="dxa"/>
            <w:vAlign w:val="center"/>
          </w:tcPr>
          <w:p w14:paraId="2AB2C11B" w14:textId="77777777" w:rsidR="00454A29" w:rsidRDefault="00454A29">
            <w:pPr>
              <w:pStyle w:val="ConsPlusNormal"/>
              <w:jc w:val="center"/>
            </w:pPr>
            <w:r>
              <w:t>294259,62</w:t>
            </w:r>
          </w:p>
        </w:tc>
        <w:tc>
          <w:tcPr>
            <w:tcW w:w="1814" w:type="dxa"/>
            <w:vAlign w:val="center"/>
          </w:tcPr>
          <w:p w14:paraId="26A6FE14" w14:textId="77777777" w:rsidR="00454A29" w:rsidRDefault="00454A29">
            <w:pPr>
              <w:pStyle w:val="ConsPlusNormal"/>
              <w:jc w:val="center"/>
            </w:pPr>
            <w:r>
              <w:t>3625,28</w:t>
            </w:r>
          </w:p>
        </w:tc>
        <w:tc>
          <w:tcPr>
            <w:tcW w:w="1701" w:type="dxa"/>
            <w:vAlign w:val="center"/>
          </w:tcPr>
          <w:p w14:paraId="6F6E13DD" w14:textId="77777777" w:rsidR="00454A29" w:rsidRDefault="00454A29">
            <w:pPr>
              <w:pStyle w:val="ConsPlusNormal"/>
              <w:jc w:val="center"/>
            </w:pPr>
            <w:r>
              <w:t>358902,5723</w:t>
            </w:r>
          </w:p>
        </w:tc>
        <w:tc>
          <w:tcPr>
            <w:tcW w:w="1701" w:type="dxa"/>
            <w:vAlign w:val="center"/>
          </w:tcPr>
          <w:p w14:paraId="6CFCF3E0" w14:textId="77777777" w:rsidR="00454A29" w:rsidRDefault="00454A29">
            <w:pPr>
              <w:pStyle w:val="ConsPlusNormal"/>
            </w:pPr>
          </w:p>
        </w:tc>
        <w:tc>
          <w:tcPr>
            <w:tcW w:w="1814" w:type="dxa"/>
            <w:vAlign w:val="center"/>
          </w:tcPr>
          <w:p w14:paraId="3F24DC79" w14:textId="77777777" w:rsidR="00454A29" w:rsidRDefault="00454A29">
            <w:pPr>
              <w:pStyle w:val="ConsPlusNormal"/>
            </w:pPr>
          </w:p>
        </w:tc>
      </w:tr>
      <w:tr w:rsidR="00454A29" w14:paraId="0336420D" w14:textId="77777777">
        <w:tc>
          <w:tcPr>
            <w:tcW w:w="567" w:type="dxa"/>
            <w:vMerge w:val="restart"/>
            <w:vAlign w:val="center"/>
          </w:tcPr>
          <w:p w14:paraId="7E643F42" w14:textId="77777777" w:rsidR="00454A29" w:rsidRDefault="00454A29">
            <w:pPr>
              <w:pStyle w:val="ConsPlusNormal"/>
              <w:jc w:val="center"/>
            </w:pPr>
            <w:r>
              <w:t>25</w:t>
            </w:r>
          </w:p>
        </w:tc>
        <w:tc>
          <w:tcPr>
            <w:tcW w:w="3345" w:type="dxa"/>
            <w:vMerge w:val="restart"/>
            <w:vAlign w:val="center"/>
          </w:tcPr>
          <w:p w14:paraId="66DBCAEC" w14:textId="77777777" w:rsidR="00454A29" w:rsidRDefault="00454A29">
            <w:pPr>
              <w:pStyle w:val="ConsPlusNormal"/>
              <w:jc w:val="center"/>
            </w:pPr>
            <w:r>
              <w:t>Школа на 60 учащихся в с. Липпе-Атах</w:t>
            </w:r>
          </w:p>
        </w:tc>
        <w:tc>
          <w:tcPr>
            <w:tcW w:w="1701" w:type="dxa"/>
            <w:vAlign w:val="center"/>
          </w:tcPr>
          <w:p w14:paraId="1904BAFE" w14:textId="77777777" w:rsidR="00454A29" w:rsidRDefault="00454A29">
            <w:pPr>
              <w:pStyle w:val="ConsPlusNormal"/>
              <w:jc w:val="center"/>
            </w:pPr>
            <w:r>
              <w:t>2020 - 2026 годы - всего</w:t>
            </w:r>
          </w:p>
        </w:tc>
        <w:tc>
          <w:tcPr>
            <w:tcW w:w="1417" w:type="dxa"/>
            <w:vMerge w:val="restart"/>
            <w:vAlign w:val="center"/>
          </w:tcPr>
          <w:p w14:paraId="65867465" w14:textId="77777777" w:rsidR="00454A29" w:rsidRDefault="00454A29">
            <w:pPr>
              <w:pStyle w:val="ConsPlusNormal"/>
              <w:jc w:val="center"/>
            </w:pPr>
            <w:r>
              <w:t>220 694,71</w:t>
            </w:r>
          </w:p>
        </w:tc>
        <w:tc>
          <w:tcPr>
            <w:tcW w:w="2204" w:type="dxa"/>
            <w:vMerge w:val="restart"/>
            <w:vAlign w:val="center"/>
          </w:tcPr>
          <w:p w14:paraId="722C2386" w14:textId="77777777" w:rsidR="00454A29" w:rsidRDefault="00454A29">
            <w:pPr>
              <w:pStyle w:val="ConsPlusNormal"/>
            </w:pPr>
          </w:p>
        </w:tc>
        <w:tc>
          <w:tcPr>
            <w:tcW w:w="1417" w:type="dxa"/>
            <w:vMerge w:val="restart"/>
            <w:vAlign w:val="center"/>
          </w:tcPr>
          <w:p w14:paraId="225BCDE8" w14:textId="77777777" w:rsidR="00454A29" w:rsidRDefault="00454A29">
            <w:pPr>
              <w:pStyle w:val="ConsPlusNormal"/>
              <w:jc w:val="center"/>
            </w:pPr>
            <w:r>
              <w:t>60</w:t>
            </w:r>
          </w:p>
        </w:tc>
        <w:tc>
          <w:tcPr>
            <w:tcW w:w="2324" w:type="dxa"/>
            <w:vMerge w:val="restart"/>
            <w:vAlign w:val="center"/>
          </w:tcPr>
          <w:p w14:paraId="36F70B6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E7E661C" w14:textId="77777777" w:rsidR="00454A29" w:rsidRDefault="00454A29">
            <w:pPr>
              <w:pStyle w:val="ConsPlusNormal"/>
              <w:jc w:val="center"/>
            </w:pPr>
            <w:r>
              <w:t>220 694,71</w:t>
            </w:r>
          </w:p>
        </w:tc>
        <w:tc>
          <w:tcPr>
            <w:tcW w:w="1814" w:type="dxa"/>
            <w:vAlign w:val="center"/>
          </w:tcPr>
          <w:p w14:paraId="12201046" w14:textId="77777777" w:rsidR="00454A29" w:rsidRDefault="00454A29">
            <w:pPr>
              <w:pStyle w:val="ConsPlusNormal"/>
              <w:jc w:val="center"/>
            </w:pPr>
            <w:r>
              <w:t>2 791,79</w:t>
            </w:r>
          </w:p>
        </w:tc>
        <w:tc>
          <w:tcPr>
            <w:tcW w:w="1701" w:type="dxa"/>
            <w:vAlign w:val="center"/>
          </w:tcPr>
          <w:p w14:paraId="731D0792" w14:textId="77777777" w:rsidR="00454A29" w:rsidRDefault="00454A29">
            <w:pPr>
              <w:pStyle w:val="ConsPlusNormal"/>
              <w:jc w:val="center"/>
            </w:pPr>
            <w:r>
              <w:t>276 387,03</w:t>
            </w:r>
          </w:p>
        </w:tc>
        <w:tc>
          <w:tcPr>
            <w:tcW w:w="1701" w:type="dxa"/>
            <w:vAlign w:val="center"/>
          </w:tcPr>
          <w:p w14:paraId="3BB86A72" w14:textId="77777777" w:rsidR="00454A29" w:rsidRDefault="00454A29">
            <w:pPr>
              <w:pStyle w:val="ConsPlusNormal"/>
              <w:jc w:val="center"/>
            </w:pPr>
            <w:r>
              <w:t>-</w:t>
            </w:r>
          </w:p>
        </w:tc>
        <w:tc>
          <w:tcPr>
            <w:tcW w:w="1814" w:type="dxa"/>
            <w:vAlign w:val="center"/>
          </w:tcPr>
          <w:p w14:paraId="2CD85B60" w14:textId="77777777" w:rsidR="00454A29" w:rsidRDefault="00454A29">
            <w:pPr>
              <w:pStyle w:val="ConsPlusNormal"/>
              <w:jc w:val="center"/>
            </w:pPr>
            <w:r>
              <w:t>-</w:t>
            </w:r>
          </w:p>
        </w:tc>
      </w:tr>
      <w:tr w:rsidR="00454A29" w14:paraId="2B9779A9" w14:textId="77777777">
        <w:tc>
          <w:tcPr>
            <w:tcW w:w="567" w:type="dxa"/>
            <w:vMerge/>
          </w:tcPr>
          <w:p w14:paraId="5390ADD6" w14:textId="77777777" w:rsidR="00454A29" w:rsidRDefault="00454A29"/>
        </w:tc>
        <w:tc>
          <w:tcPr>
            <w:tcW w:w="3345" w:type="dxa"/>
            <w:vMerge/>
          </w:tcPr>
          <w:p w14:paraId="7069BEA9" w14:textId="77777777" w:rsidR="00454A29" w:rsidRDefault="00454A29"/>
        </w:tc>
        <w:tc>
          <w:tcPr>
            <w:tcW w:w="1701" w:type="dxa"/>
            <w:vAlign w:val="center"/>
          </w:tcPr>
          <w:p w14:paraId="23C45B06" w14:textId="77777777" w:rsidR="00454A29" w:rsidRDefault="00454A29">
            <w:pPr>
              <w:pStyle w:val="ConsPlusNormal"/>
              <w:jc w:val="center"/>
            </w:pPr>
            <w:r>
              <w:t>2020</w:t>
            </w:r>
          </w:p>
        </w:tc>
        <w:tc>
          <w:tcPr>
            <w:tcW w:w="1417" w:type="dxa"/>
            <w:vMerge/>
          </w:tcPr>
          <w:p w14:paraId="3EE4B1F2" w14:textId="77777777" w:rsidR="00454A29" w:rsidRDefault="00454A29"/>
        </w:tc>
        <w:tc>
          <w:tcPr>
            <w:tcW w:w="2204" w:type="dxa"/>
            <w:vMerge/>
          </w:tcPr>
          <w:p w14:paraId="668B76AA" w14:textId="77777777" w:rsidR="00454A29" w:rsidRDefault="00454A29"/>
        </w:tc>
        <w:tc>
          <w:tcPr>
            <w:tcW w:w="1417" w:type="dxa"/>
            <w:vMerge/>
          </w:tcPr>
          <w:p w14:paraId="0F544B3A" w14:textId="77777777" w:rsidR="00454A29" w:rsidRDefault="00454A29"/>
        </w:tc>
        <w:tc>
          <w:tcPr>
            <w:tcW w:w="2324" w:type="dxa"/>
            <w:vMerge/>
          </w:tcPr>
          <w:p w14:paraId="2FD6A007" w14:textId="77777777" w:rsidR="00454A29" w:rsidRDefault="00454A29"/>
        </w:tc>
        <w:tc>
          <w:tcPr>
            <w:tcW w:w="1701" w:type="dxa"/>
            <w:vAlign w:val="center"/>
          </w:tcPr>
          <w:p w14:paraId="57C5E99C" w14:textId="77777777" w:rsidR="00454A29" w:rsidRDefault="00454A29">
            <w:pPr>
              <w:pStyle w:val="ConsPlusNormal"/>
            </w:pPr>
          </w:p>
        </w:tc>
        <w:tc>
          <w:tcPr>
            <w:tcW w:w="1814" w:type="dxa"/>
            <w:vAlign w:val="center"/>
          </w:tcPr>
          <w:p w14:paraId="5E9FE0EF" w14:textId="77777777" w:rsidR="00454A29" w:rsidRDefault="00454A29">
            <w:pPr>
              <w:pStyle w:val="ConsPlusNormal"/>
            </w:pPr>
          </w:p>
        </w:tc>
        <w:tc>
          <w:tcPr>
            <w:tcW w:w="1701" w:type="dxa"/>
            <w:vAlign w:val="center"/>
          </w:tcPr>
          <w:p w14:paraId="368513CE" w14:textId="77777777" w:rsidR="00454A29" w:rsidRDefault="00454A29">
            <w:pPr>
              <w:pStyle w:val="ConsPlusNormal"/>
            </w:pPr>
          </w:p>
        </w:tc>
        <w:tc>
          <w:tcPr>
            <w:tcW w:w="1701" w:type="dxa"/>
            <w:vAlign w:val="center"/>
          </w:tcPr>
          <w:p w14:paraId="2A559DA7" w14:textId="77777777" w:rsidR="00454A29" w:rsidRDefault="00454A29">
            <w:pPr>
              <w:pStyle w:val="ConsPlusNormal"/>
            </w:pPr>
          </w:p>
        </w:tc>
        <w:tc>
          <w:tcPr>
            <w:tcW w:w="1814" w:type="dxa"/>
            <w:vAlign w:val="center"/>
          </w:tcPr>
          <w:p w14:paraId="318DE503" w14:textId="77777777" w:rsidR="00454A29" w:rsidRDefault="00454A29">
            <w:pPr>
              <w:pStyle w:val="ConsPlusNormal"/>
            </w:pPr>
          </w:p>
        </w:tc>
      </w:tr>
      <w:tr w:rsidR="00454A29" w14:paraId="401722ED" w14:textId="77777777">
        <w:tc>
          <w:tcPr>
            <w:tcW w:w="567" w:type="dxa"/>
            <w:vMerge/>
          </w:tcPr>
          <w:p w14:paraId="6D230C80" w14:textId="77777777" w:rsidR="00454A29" w:rsidRDefault="00454A29"/>
        </w:tc>
        <w:tc>
          <w:tcPr>
            <w:tcW w:w="3345" w:type="dxa"/>
            <w:vMerge/>
          </w:tcPr>
          <w:p w14:paraId="74A38EF8" w14:textId="77777777" w:rsidR="00454A29" w:rsidRDefault="00454A29"/>
        </w:tc>
        <w:tc>
          <w:tcPr>
            <w:tcW w:w="1701" w:type="dxa"/>
            <w:vAlign w:val="center"/>
          </w:tcPr>
          <w:p w14:paraId="41B0C5B1" w14:textId="77777777" w:rsidR="00454A29" w:rsidRDefault="00454A29">
            <w:pPr>
              <w:pStyle w:val="ConsPlusNormal"/>
              <w:jc w:val="center"/>
            </w:pPr>
            <w:r>
              <w:t>2021</w:t>
            </w:r>
          </w:p>
        </w:tc>
        <w:tc>
          <w:tcPr>
            <w:tcW w:w="1417" w:type="dxa"/>
            <w:vMerge/>
          </w:tcPr>
          <w:p w14:paraId="359CEC0C" w14:textId="77777777" w:rsidR="00454A29" w:rsidRDefault="00454A29"/>
        </w:tc>
        <w:tc>
          <w:tcPr>
            <w:tcW w:w="2204" w:type="dxa"/>
            <w:vMerge/>
          </w:tcPr>
          <w:p w14:paraId="60184C8B" w14:textId="77777777" w:rsidR="00454A29" w:rsidRDefault="00454A29"/>
        </w:tc>
        <w:tc>
          <w:tcPr>
            <w:tcW w:w="1417" w:type="dxa"/>
            <w:vMerge/>
          </w:tcPr>
          <w:p w14:paraId="1F3D5594" w14:textId="77777777" w:rsidR="00454A29" w:rsidRDefault="00454A29"/>
        </w:tc>
        <w:tc>
          <w:tcPr>
            <w:tcW w:w="2324" w:type="dxa"/>
            <w:vMerge/>
          </w:tcPr>
          <w:p w14:paraId="0F08C385" w14:textId="77777777" w:rsidR="00454A29" w:rsidRDefault="00454A29"/>
        </w:tc>
        <w:tc>
          <w:tcPr>
            <w:tcW w:w="1701" w:type="dxa"/>
            <w:vAlign w:val="center"/>
          </w:tcPr>
          <w:p w14:paraId="5E4173FF" w14:textId="77777777" w:rsidR="00454A29" w:rsidRDefault="00454A29">
            <w:pPr>
              <w:pStyle w:val="ConsPlusNormal"/>
            </w:pPr>
          </w:p>
        </w:tc>
        <w:tc>
          <w:tcPr>
            <w:tcW w:w="1814" w:type="dxa"/>
            <w:vAlign w:val="center"/>
          </w:tcPr>
          <w:p w14:paraId="100BDDB3" w14:textId="77777777" w:rsidR="00454A29" w:rsidRDefault="00454A29">
            <w:pPr>
              <w:pStyle w:val="ConsPlusNormal"/>
            </w:pPr>
          </w:p>
        </w:tc>
        <w:tc>
          <w:tcPr>
            <w:tcW w:w="1701" w:type="dxa"/>
            <w:vAlign w:val="center"/>
          </w:tcPr>
          <w:p w14:paraId="3244CA42" w14:textId="77777777" w:rsidR="00454A29" w:rsidRDefault="00454A29">
            <w:pPr>
              <w:pStyle w:val="ConsPlusNormal"/>
            </w:pPr>
          </w:p>
        </w:tc>
        <w:tc>
          <w:tcPr>
            <w:tcW w:w="1701" w:type="dxa"/>
            <w:vAlign w:val="center"/>
          </w:tcPr>
          <w:p w14:paraId="14102297" w14:textId="77777777" w:rsidR="00454A29" w:rsidRDefault="00454A29">
            <w:pPr>
              <w:pStyle w:val="ConsPlusNormal"/>
            </w:pPr>
          </w:p>
        </w:tc>
        <w:tc>
          <w:tcPr>
            <w:tcW w:w="1814" w:type="dxa"/>
            <w:vAlign w:val="center"/>
          </w:tcPr>
          <w:p w14:paraId="4A0BC1D0" w14:textId="77777777" w:rsidR="00454A29" w:rsidRDefault="00454A29">
            <w:pPr>
              <w:pStyle w:val="ConsPlusNormal"/>
            </w:pPr>
          </w:p>
        </w:tc>
      </w:tr>
      <w:tr w:rsidR="00454A29" w14:paraId="45B31CFB" w14:textId="77777777">
        <w:tc>
          <w:tcPr>
            <w:tcW w:w="567" w:type="dxa"/>
            <w:vMerge/>
          </w:tcPr>
          <w:p w14:paraId="52A3BA2F" w14:textId="77777777" w:rsidR="00454A29" w:rsidRDefault="00454A29"/>
        </w:tc>
        <w:tc>
          <w:tcPr>
            <w:tcW w:w="3345" w:type="dxa"/>
            <w:vMerge/>
          </w:tcPr>
          <w:p w14:paraId="6E2A7FFA" w14:textId="77777777" w:rsidR="00454A29" w:rsidRDefault="00454A29"/>
        </w:tc>
        <w:tc>
          <w:tcPr>
            <w:tcW w:w="1701" w:type="dxa"/>
            <w:vAlign w:val="center"/>
          </w:tcPr>
          <w:p w14:paraId="6F7C9107" w14:textId="77777777" w:rsidR="00454A29" w:rsidRDefault="00454A29">
            <w:pPr>
              <w:pStyle w:val="ConsPlusNormal"/>
              <w:jc w:val="center"/>
            </w:pPr>
            <w:r>
              <w:t>2022</w:t>
            </w:r>
          </w:p>
        </w:tc>
        <w:tc>
          <w:tcPr>
            <w:tcW w:w="1417" w:type="dxa"/>
            <w:vMerge/>
          </w:tcPr>
          <w:p w14:paraId="18D4B973" w14:textId="77777777" w:rsidR="00454A29" w:rsidRDefault="00454A29"/>
        </w:tc>
        <w:tc>
          <w:tcPr>
            <w:tcW w:w="2204" w:type="dxa"/>
            <w:vMerge/>
          </w:tcPr>
          <w:p w14:paraId="33DB26A7" w14:textId="77777777" w:rsidR="00454A29" w:rsidRDefault="00454A29"/>
        </w:tc>
        <w:tc>
          <w:tcPr>
            <w:tcW w:w="1417" w:type="dxa"/>
            <w:vMerge/>
          </w:tcPr>
          <w:p w14:paraId="79669F25" w14:textId="77777777" w:rsidR="00454A29" w:rsidRDefault="00454A29"/>
        </w:tc>
        <w:tc>
          <w:tcPr>
            <w:tcW w:w="2324" w:type="dxa"/>
            <w:vMerge/>
          </w:tcPr>
          <w:p w14:paraId="70F43D68" w14:textId="77777777" w:rsidR="00454A29" w:rsidRDefault="00454A29"/>
        </w:tc>
        <w:tc>
          <w:tcPr>
            <w:tcW w:w="1701" w:type="dxa"/>
            <w:vAlign w:val="center"/>
          </w:tcPr>
          <w:p w14:paraId="64E4BF6E" w14:textId="77777777" w:rsidR="00454A29" w:rsidRDefault="00454A29">
            <w:pPr>
              <w:pStyle w:val="ConsPlusNormal"/>
            </w:pPr>
          </w:p>
        </w:tc>
        <w:tc>
          <w:tcPr>
            <w:tcW w:w="1814" w:type="dxa"/>
            <w:vAlign w:val="center"/>
          </w:tcPr>
          <w:p w14:paraId="3690DA85" w14:textId="77777777" w:rsidR="00454A29" w:rsidRDefault="00454A29">
            <w:pPr>
              <w:pStyle w:val="ConsPlusNormal"/>
            </w:pPr>
          </w:p>
        </w:tc>
        <w:tc>
          <w:tcPr>
            <w:tcW w:w="1701" w:type="dxa"/>
            <w:vAlign w:val="center"/>
          </w:tcPr>
          <w:p w14:paraId="6E1BE7F2" w14:textId="77777777" w:rsidR="00454A29" w:rsidRDefault="00454A29">
            <w:pPr>
              <w:pStyle w:val="ConsPlusNormal"/>
            </w:pPr>
          </w:p>
        </w:tc>
        <w:tc>
          <w:tcPr>
            <w:tcW w:w="1701" w:type="dxa"/>
            <w:vAlign w:val="center"/>
          </w:tcPr>
          <w:p w14:paraId="3F9E21A1" w14:textId="77777777" w:rsidR="00454A29" w:rsidRDefault="00454A29">
            <w:pPr>
              <w:pStyle w:val="ConsPlusNormal"/>
            </w:pPr>
          </w:p>
        </w:tc>
        <w:tc>
          <w:tcPr>
            <w:tcW w:w="1814" w:type="dxa"/>
            <w:vAlign w:val="center"/>
          </w:tcPr>
          <w:p w14:paraId="307CFAED" w14:textId="77777777" w:rsidR="00454A29" w:rsidRDefault="00454A29">
            <w:pPr>
              <w:pStyle w:val="ConsPlusNormal"/>
            </w:pPr>
          </w:p>
        </w:tc>
      </w:tr>
      <w:tr w:rsidR="00454A29" w14:paraId="0930D9B9" w14:textId="77777777">
        <w:tc>
          <w:tcPr>
            <w:tcW w:w="567" w:type="dxa"/>
            <w:vMerge/>
          </w:tcPr>
          <w:p w14:paraId="036B9C95" w14:textId="77777777" w:rsidR="00454A29" w:rsidRDefault="00454A29"/>
        </w:tc>
        <w:tc>
          <w:tcPr>
            <w:tcW w:w="3345" w:type="dxa"/>
            <w:vMerge/>
          </w:tcPr>
          <w:p w14:paraId="5262B9F9" w14:textId="77777777" w:rsidR="00454A29" w:rsidRDefault="00454A29"/>
        </w:tc>
        <w:tc>
          <w:tcPr>
            <w:tcW w:w="1701" w:type="dxa"/>
            <w:vAlign w:val="center"/>
          </w:tcPr>
          <w:p w14:paraId="308567FD" w14:textId="77777777" w:rsidR="00454A29" w:rsidRDefault="00454A29">
            <w:pPr>
              <w:pStyle w:val="ConsPlusNormal"/>
              <w:jc w:val="center"/>
            </w:pPr>
            <w:r>
              <w:t>2023</w:t>
            </w:r>
          </w:p>
        </w:tc>
        <w:tc>
          <w:tcPr>
            <w:tcW w:w="1417" w:type="dxa"/>
            <w:vMerge/>
          </w:tcPr>
          <w:p w14:paraId="08F32948" w14:textId="77777777" w:rsidR="00454A29" w:rsidRDefault="00454A29"/>
        </w:tc>
        <w:tc>
          <w:tcPr>
            <w:tcW w:w="2204" w:type="dxa"/>
            <w:vMerge/>
          </w:tcPr>
          <w:p w14:paraId="738376DC" w14:textId="77777777" w:rsidR="00454A29" w:rsidRDefault="00454A29"/>
        </w:tc>
        <w:tc>
          <w:tcPr>
            <w:tcW w:w="1417" w:type="dxa"/>
            <w:vMerge/>
          </w:tcPr>
          <w:p w14:paraId="1573CF9C" w14:textId="77777777" w:rsidR="00454A29" w:rsidRDefault="00454A29"/>
        </w:tc>
        <w:tc>
          <w:tcPr>
            <w:tcW w:w="2324" w:type="dxa"/>
            <w:vMerge/>
          </w:tcPr>
          <w:p w14:paraId="16F0468D" w14:textId="77777777" w:rsidR="00454A29" w:rsidRDefault="00454A29"/>
        </w:tc>
        <w:tc>
          <w:tcPr>
            <w:tcW w:w="1701" w:type="dxa"/>
            <w:vAlign w:val="center"/>
          </w:tcPr>
          <w:p w14:paraId="1ACF4F84" w14:textId="77777777" w:rsidR="00454A29" w:rsidRDefault="00454A29">
            <w:pPr>
              <w:pStyle w:val="ConsPlusNormal"/>
            </w:pPr>
          </w:p>
        </w:tc>
        <w:tc>
          <w:tcPr>
            <w:tcW w:w="1814" w:type="dxa"/>
            <w:vAlign w:val="center"/>
          </w:tcPr>
          <w:p w14:paraId="1E2A2896" w14:textId="77777777" w:rsidR="00454A29" w:rsidRDefault="00454A29">
            <w:pPr>
              <w:pStyle w:val="ConsPlusNormal"/>
            </w:pPr>
          </w:p>
        </w:tc>
        <w:tc>
          <w:tcPr>
            <w:tcW w:w="1701" w:type="dxa"/>
            <w:vAlign w:val="center"/>
          </w:tcPr>
          <w:p w14:paraId="5263CDB8" w14:textId="77777777" w:rsidR="00454A29" w:rsidRDefault="00454A29">
            <w:pPr>
              <w:pStyle w:val="ConsPlusNormal"/>
            </w:pPr>
          </w:p>
        </w:tc>
        <w:tc>
          <w:tcPr>
            <w:tcW w:w="1701" w:type="dxa"/>
            <w:vAlign w:val="center"/>
          </w:tcPr>
          <w:p w14:paraId="59D7F3C5" w14:textId="77777777" w:rsidR="00454A29" w:rsidRDefault="00454A29">
            <w:pPr>
              <w:pStyle w:val="ConsPlusNormal"/>
            </w:pPr>
          </w:p>
        </w:tc>
        <w:tc>
          <w:tcPr>
            <w:tcW w:w="1814" w:type="dxa"/>
            <w:vAlign w:val="center"/>
          </w:tcPr>
          <w:p w14:paraId="4CAFA3EF" w14:textId="77777777" w:rsidR="00454A29" w:rsidRDefault="00454A29">
            <w:pPr>
              <w:pStyle w:val="ConsPlusNormal"/>
            </w:pPr>
          </w:p>
        </w:tc>
      </w:tr>
      <w:tr w:rsidR="00454A29" w14:paraId="07A9FCCB" w14:textId="77777777">
        <w:tc>
          <w:tcPr>
            <w:tcW w:w="567" w:type="dxa"/>
            <w:vMerge/>
          </w:tcPr>
          <w:p w14:paraId="321D5624" w14:textId="77777777" w:rsidR="00454A29" w:rsidRDefault="00454A29"/>
        </w:tc>
        <w:tc>
          <w:tcPr>
            <w:tcW w:w="3345" w:type="dxa"/>
            <w:vMerge/>
          </w:tcPr>
          <w:p w14:paraId="2A7E64F1" w14:textId="77777777" w:rsidR="00454A29" w:rsidRDefault="00454A29"/>
        </w:tc>
        <w:tc>
          <w:tcPr>
            <w:tcW w:w="1701" w:type="dxa"/>
            <w:vAlign w:val="center"/>
          </w:tcPr>
          <w:p w14:paraId="4DF33E6D" w14:textId="77777777" w:rsidR="00454A29" w:rsidRDefault="00454A29">
            <w:pPr>
              <w:pStyle w:val="ConsPlusNormal"/>
              <w:jc w:val="center"/>
            </w:pPr>
            <w:r>
              <w:t>2024</w:t>
            </w:r>
          </w:p>
        </w:tc>
        <w:tc>
          <w:tcPr>
            <w:tcW w:w="1417" w:type="dxa"/>
            <w:vMerge/>
          </w:tcPr>
          <w:p w14:paraId="07AEC361" w14:textId="77777777" w:rsidR="00454A29" w:rsidRDefault="00454A29"/>
        </w:tc>
        <w:tc>
          <w:tcPr>
            <w:tcW w:w="2204" w:type="dxa"/>
            <w:vMerge/>
          </w:tcPr>
          <w:p w14:paraId="568A034E" w14:textId="77777777" w:rsidR="00454A29" w:rsidRDefault="00454A29"/>
        </w:tc>
        <w:tc>
          <w:tcPr>
            <w:tcW w:w="1417" w:type="dxa"/>
            <w:vMerge/>
          </w:tcPr>
          <w:p w14:paraId="07ADA17A" w14:textId="77777777" w:rsidR="00454A29" w:rsidRDefault="00454A29"/>
        </w:tc>
        <w:tc>
          <w:tcPr>
            <w:tcW w:w="2324" w:type="dxa"/>
            <w:vMerge/>
          </w:tcPr>
          <w:p w14:paraId="2B188C81" w14:textId="77777777" w:rsidR="00454A29" w:rsidRDefault="00454A29"/>
        </w:tc>
        <w:tc>
          <w:tcPr>
            <w:tcW w:w="1701" w:type="dxa"/>
            <w:vAlign w:val="center"/>
          </w:tcPr>
          <w:p w14:paraId="67D2F9C4" w14:textId="77777777" w:rsidR="00454A29" w:rsidRDefault="00454A29">
            <w:pPr>
              <w:pStyle w:val="ConsPlusNormal"/>
            </w:pPr>
          </w:p>
        </w:tc>
        <w:tc>
          <w:tcPr>
            <w:tcW w:w="1814" w:type="dxa"/>
            <w:vAlign w:val="center"/>
          </w:tcPr>
          <w:p w14:paraId="23C4CA4B" w14:textId="77777777" w:rsidR="00454A29" w:rsidRDefault="00454A29">
            <w:pPr>
              <w:pStyle w:val="ConsPlusNormal"/>
            </w:pPr>
          </w:p>
        </w:tc>
        <w:tc>
          <w:tcPr>
            <w:tcW w:w="1701" w:type="dxa"/>
            <w:vAlign w:val="center"/>
          </w:tcPr>
          <w:p w14:paraId="4F915CE9" w14:textId="77777777" w:rsidR="00454A29" w:rsidRDefault="00454A29">
            <w:pPr>
              <w:pStyle w:val="ConsPlusNormal"/>
            </w:pPr>
          </w:p>
        </w:tc>
        <w:tc>
          <w:tcPr>
            <w:tcW w:w="1701" w:type="dxa"/>
            <w:vAlign w:val="center"/>
          </w:tcPr>
          <w:p w14:paraId="16A6434B" w14:textId="77777777" w:rsidR="00454A29" w:rsidRDefault="00454A29">
            <w:pPr>
              <w:pStyle w:val="ConsPlusNormal"/>
            </w:pPr>
          </w:p>
        </w:tc>
        <w:tc>
          <w:tcPr>
            <w:tcW w:w="1814" w:type="dxa"/>
            <w:vAlign w:val="center"/>
          </w:tcPr>
          <w:p w14:paraId="03705643" w14:textId="77777777" w:rsidR="00454A29" w:rsidRDefault="00454A29">
            <w:pPr>
              <w:pStyle w:val="ConsPlusNormal"/>
            </w:pPr>
          </w:p>
        </w:tc>
      </w:tr>
      <w:tr w:rsidR="00454A29" w14:paraId="5199FED8" w14:textId="77777777">
        <w:tc>
          <w:tcPr>
            <w:tcW w:w="567" w:type="dxa"/>
            <w:vMerge/>
          </w:tcPr>
          <w:p w14:paraId="1F53B0EB" w14:textId="77777777" w:rsidR="00454A29" w:rsidRDefault="00454A29"/>
        </w:tc>
        <w:tc>
          <w:tcPr>
            <w:tcW w:w="3345" w:type="dxa"/>
            <w:vMerge/>
          </w:tcPr>
          <w:p w14:paraId="68B6F18C" w14:textId="77777777" w:rsidR="00454A29" w:rsidRDefault="00454A29"/>
        </w:tc>
        <w:tc>
          <w:tcPr>
            <w:tcW w:w="1701" w:type="dxa"/>
            <w:vAlign w:val="center"/>
          </w:tcPr>
          <w:p w14:paraId="4D5D8151" w14:textId="77777777" w:rsidR="00454A29" w:rsidRDefault="00454A29">
            <w:pPr>
              <w:pStyle w:val="ConsPlusNormal"/>
              <w:jc w:val="center"/>
            </w:pPr>
            <w:r>
              <w:t>2025</w:t>
            </w:r>
          </w:p>
        </w:tc>
        <w:tc>
          <w:tcPr>
            <w:tcW w:w="1417" w:type="dxa"/>
            <w:vMerge/>
          </w:tcPr>
          <w:p w14:paraId="1736EB20" w14:textId="77777777" w:rsidR="00454A29" w:rsidRDefault="00454A29"/>
        </w:tc>
        <w:tc>
          <w:tcPr>
            <w:tcW w:w="2204" w:type="dxa"/>
            <w:vMerge/>
          </w:tcPr>
          <w:p w14:paraId="30E6F747" w14:textId="77777777" w:rsidR="00454A29" w:rsidRDefault="00454A29"/>
        </w:tc>
        <w:tc>
          <w:tcPr>
            <w:tcW w:w="1417" w:type="dxa"/>
            <w:vMerge/>
          </w:tcPr>
          <w:p w14:paraId="27A931AA" w14:textId="77777777" w:rsidR="00454A29" w:rsidRDefault="00454A29"/>
        </w:tc>
        <w:tc>
          <w:tcPr>
            <w:tcW w:w="2324" w:type="dxa"/>
            <w:vMerge/>
          </w:tcPr>
          <w:p w14:paraId="20E31C8E" w14:textId="77777777" w:rsidR="00454A29" w:rsidRDefault="00454A29"/>
        </w:tc>
        <w:tc>
          <w:tcPr>
            <w:tcW w:w="1701" w:type="dxa"/>
            <w:vAlign w:val="center"/>
          </w:tcPr>
          <w:p w14:paraId="43CB263D" w14:textId="77777777" w:rsidR="00454A29" w:rsidRDefault="00454A29">
            <w:pPr>
              <w:pStyle w:val="ConsPlusNormal"/>
              <w:jc w:val="center"/>
            </w:pPr>
            <w:r>
              <w:t>220 694,71</w:t>
            </w:r>
          </w:p>
        </w:tc>
        <w:tc>
          <w:tcPr>
            <w:tcW w:w="1814" w:type="dxa"/>
            <w:vAlign w:val="center"/>
          </w:tcPr>
          <w:p w14:paraId="6386C3E8" w14:textId="77777777" w:rsidR="00454A29" w:rsidRDefault="00454A29">
            <w:pPr>
              <w:pStyle w:val="ConsPlusNormal"/>
              <w:jc w:val="center"/>
            </w:pPr>
            <w:r>
              <w:t>2 791,79</w:t>
            </w:r>
          </w:p>
        </w:tc>
        <w:tc>
          <w:tcPr>
            <w:tcW w:w="1701" w:type="dxa"/>
            <w:vAlign w:val="center"/>
          </w:tcPr>
          <w:p w14:paraId="44167BA4" w14:textId="77777777" w:rsidR="00454A29" w:rsidRDefault="00454A29">
            <w:pPr>
              <w:pStyle w:val="ConsPlusNormal"/>
              <w:jc w:val="center"/>
            </w:pPr>
            <w:r>
              <w:t>276 387,03</w:t>
            </w:r>
          </w:p>
        </w:tc>
        <w:tc>
          <w:tcPr>
            <w:tcW w:w="1701" w:type="dxa"/>
            <w:vAlign w:val="center"/>
          </w:tcPr>
          <w:p w14:paraId="2D920CAF" w14:textId="77777777" w:rsidR="00454A29" w:rsidRDefault="00454A29">
            <w:pPr>
              <w:pStyle w:val="ConsPlusNormal"/>
            </w:pPr>
          </w:p>
        </w:tc>
        <w:tc>
          <w:tcPr>
            <w:tcW w:w="1814" w:type="dxa"/>
            <w:vAlign w:val="center"/>
          </w:tcPr>
          <w:p w14:paraId="56FD61B3" w14:textId="77777777" w:rsidR="00454A29" w:rsidRDefault="00454A29">
            <w:pPr>
              <w:pStyle w:val="ConsPlusNormal"/>
            </w:pPr>
          </w:p>
        </w:tc>
      </w:tr>
      <w:tr w:rsidR="00454A29" w14:paraId="23B0D980" w14:textId="77777777">
        <w:tc>
          <w:tcPr>
            <w:tcW w:w="567" w:type="dxa"/>
            <w:vMerge/>
          </w:tcPr>
          <w:p w14:paraId="1BD2971D" w14:textId="77777777" w:rsidR="00454A29" w:rsidRDefault="00454A29"/>
        </w:tc>
        <w:tc>
          <w:tcPr>
            <w:tcW w:w="3345" w:type="dxa"/>
            <w:vMerge/>
          </w:tcPr>
          <w:p w14:paraId="78FBE390" w14:textId="77777777" w:rsidR="00454A29" w:rsidRDefault="00454A29"/>
        </w:tc>
        <w:tc>
          <w:tcPr>
            <w:tcW w:w="1701" w:type="dxa"/>
            <w:vAlign w:val="center"/>
          </w:tcPr>
          <w:p w14:paraId="7255F5B5" w14:textId="77777777" w:rsidR="00454A29" w:rsidRDefault="00454A29">
            <w:pPr>
              <w:pStyle w:val="ConsPlusNormal"/>
              <w:jc w:val="center"/>
            </w:pPr>
            <w:r>
              <w:t>2026</w:t>
            </w:r>
          </w:p>
        </w:tc>
        <w:tc>
          <w:tcPr>
            <w:tcW w:w="1417" w:type="dxa"/>
            <w:vMerge/>
          </w:tcPr>
          <w:p w14:paraId="66C01E42" w14:textId="77777777" w:rsidR="00454A29" w:rsidRDefault="00454A29"/>
        </w:tc>
        <w:tc>
          <w:tcPr>
            <w:tcW w:w="2204" w:type="dxa"/>
            <w:vMerge/>
          </w:tcPr>
          <w:p w14:paraId="7355AD67" w14:textId="77777777" w:rsidR="00454A29" w:rsidRDefault="00454A29"/>
        </w:tc>
        <w:tc>
          <w:tcPr>
            <w:tcW w:w="1417" w:type="dxa"/>
            <w:vMerge/>
          </w:tcPr>
          <w:p w14:paraId="38EA4A0B" w14:textId="77777777" w:rsidR="00454A29" w:rsidRDefault="00454A29"/>
        </w:tc>
        <w:tc>
          <w:tcPr>
            <w:tcW w:w="2324" w:type="dxa"/>
            <w:vMerge/>
          </w:tcPr>
          <w:p w14:paraId="0F276B21" w14:textId="77777777" w:rsidR="00454A29" w:rsidRDefault="00454A29"/>
        </w:tc>
        <w:tc>
          <w:tcPr>
            <w:tcW w:w="1701" w:type="dxa"/>
            <w:vAlign w:val="center"/>
          </w:tcPr>
          <w:p w14:paraId="76459060" w14:textId="77777777" w:rsidR="00454A29" w:rsidRDefault="00454A29">
            <w:pPr>
              <w:pStyle w:val="ConsPlusNormal"/>
            </w:pPr>
          </w:p>
        </w:tc>
        <w:tc>
          <w:tcPr>
            <w:tcW w:w="1814" w:type="dxa"/>
            <w:vAlign w:val="center"/>
          </w:tcPr>
          <w:p w14:paraId="65C0A656" w14:textId="77777777" w:rsidR="00454A29" w:rsidRDefault="00454A29">
            <w:pPr>
              <w:pStyle w:val="ConsPlusNormal"/>
            </w:pPr>
          </w:p>
        </w:tc>
        <w:tc>
          <w:tcPr>
            <w:tcW w:w="1701" w:type="dxa"/>
            <w:vAlign w:val="center"/>
          </w:tcPr>
          <w:p w14:paraId="2ABA2E00" w14:textId="77777777" w:rsidR="00454A29" w:rsidRDefault="00454A29">
            <w:pPr>
              <w:pStyle w:val="ConsPlusNormal"/>
            </w:pPr>
          </w:p>
        </w:tc>
        <w:tc>
          <w:tcPr>
            <w:tcW w:w="1701" w:type="dxa"/>
            <w:vAlign w:val="center"/>
          </w:tcPr>
          <w:p w14:paraId="43837A09" w14:textId="77777777" w:rsidR="00454A29" w:rsidRDefault="00454A29">
            <w:pPr>
              <w:pStyle w:val="ConsPlusNormal"/>
            </w:pPr>
          </w:p>
        </w:tc>
        <w:tc>
          <w:tcPr>
            <w:tcW w:w="1814" w:type="dxa"/>
            <w:vAlign w:val="center"/>
          </w:tcPr>
          <w:p w14:paraId="25ED826A" w14:textId="77777777" w:rsidR="00454A29" w:rsidRDefault="00454A29">
            <w:pPr>
              <w:pStyle w:val="ConsPlusNormal"/>
            </w:pPr>
          </w:p>
        </w:tc>
      </w:tr>
      <w:tr w:rsidR="00454A29" w14:paraId="0C590322" w14:textId="77777777">
        <w:tc>
          <w:tcPr>
            <w:tcW w:w="567" w:type="dxa"/>
            <w:vMerge w:val="restart"/>
            <w:vAlign w:val="center"/>
          </w:tcPr>
          <w:p w14:paraId="5294D7CB" w14:textId="77777777" w:rsidR="00454A29" w:rsidRDefault="00454A29">
            <w:pPr>
              <w:pStyle w:val="ConsPlusNormal"/>
              <w:jc w:val="center"/>
            </w:pPr>
            <w:r>
              <w:t>26</w:t>
            </w:r>
          </w:p>
        </w:tc>
        <w:tc>
          <w:tcPr>
            <w:tcW w:w="3345" w:type="dxa"/>
            <w:vMerge w:val="restart"/>
            <w:vAlign w:val="center"/>
          </w:tcPr>
          <w:p w14:paraId="33276DD9" w14:textId="77777777" w:rsidR="00454A29" w:rsidRDefault="00454A29">
            <w:pPr>
              <w:pStyle w:val="ConsPlusNormal"/>
              <w:jc w:val="center"/>
            </w:pPr>
            <w:r>
              <w:t>Школа на 165 учащихся в с. Ботулу</w:t>
            </w:r>
          </w:p>
        </w:tc>
        <w:tc>
          <w:tcPr>
            <w:tcW w:w="1701" w:type="dxa"/>
            <w:vAlign w:val="center"/>
          </w:tcPr>
          <w:p w14:paraId="0AADF547" w14:textId="77777777" w:rsidR="00454A29" w:rsidRDefault="00454A29">
            <w:pPr>
              <w:pStyle w:val="ConsPlusNormal"/>
              <w:jc w:val="center"/>
            </w:pPr>
            <w:r>
              <w:t>2020 - 2026 годы - всего</w:t>
            </w:r>
          </w:p>
        </w:tc>
        <w:tc>
          <w:tcPr>
            <w:tcW w:w="1417" w:type="dxa"/>
            <w:vMerge w:val="restart"/>
            <w:vAlign w:val="center"/>
          </w:tcPr>
          <w:p w14:paraId="4EA7574B" w14:textId="77777777" w:rsidR="00454A29" w:rsidRDefault="00454A29">
            <w:pPr>
              <w:pStyle w:val="ConsPlusNormal"/>
              <w:jc w:val="center"/>
            </w:pPr>
            <w:r>
              <w:t>511 525,75</w:t>
            </w:r>
          </w:p>
        </w:tc>
        <w:tc>
          <w:tcPr>
            <w:tcW w:w="2204" w:type="dxa"/>
            <w:vMerge w:val="restart"/>
            <w:vAlign w:val="center"/>
          </w:tcPr>
          <w:p w14:paraId="04CCC26C" w14:textId="77777777" w:rsidR="00454A29" w:rsidRDefault="00454A29">
            <w:pPr>
              <w:pStyle w:val="ConsPlusNormal"/>
            </w:pPr>
          </w:p>
        </w:tc>
        <w:tc>
          <w:tcPr>
            <w:tcW w:w="1417" w:type="dxa"/>
            <w:vMerge w:val="restart"/>
            <w:vAlign w:val="center"/>
          </w:tcPr>
          <w:p w14:paraId="3E4B6B79" w14:textId="77777777" w:rsidR="00454A29" w:rsidRDefault="00454A29">
            <w:pPr>
              <w:pStyle w:val="ConsPlusNormal"/>
              <w:jc w:val="center"/>
            </w:pPr>
            <w:r>
              <w:t>165</w:t>
            </w:r>
          </w:p>
        </w:tc>
        <w:tc>
          <w:tcPr>
            <w:tcW w:w="2324" w:type="dxa"/>
            <w:vMerge w:val="restart"/>
            <w:vAlign w:val="center"/>
          </w:tcPr>
          <w:p w14:paraId="6E66CA4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86C323B" w14:textId="77777777" w:rsidR="00454A29" w:rsidRDefault="00454A29">
            <w:pPr>
              <w:pStyle w:val="ConsPlusNormal"/>
              <w:jc w:val="center"/>
            </w:pPr>
            <w:r>
              <w:t>511 525,75</w:t>
            </w:r>
          </w:p>
        </w:tc>
        <w:tc>
          <w:tcPr>
            <w:tcW w:w="1814" w:type="dxa"/>
            <w:vAlign w:val="center"/>
          </w:tcPr>
          <w:p w14:paraId="69CFF33F" w14:textId="77777777" w:rsidR="00454A29" w:rsidRDefault="00454A29">
            <w:pPr>
              <w:pStyle w:val="ConsPlusNormal"/>
              <w:jc w:val="center"/>
            </w:pPr>
            <w:r>
              <w:t>3 422,11</w:t>
            </w:r>
          </w:p>
        </w:tc>
        <w:tc>
          <w:tcPr>
            <w:tcW w:w="1701" w:type="dxa"/>
            <w:vAlign w:val="center"/>
          </w:tcPr>
          <w:p w14:paraId="69B3B4CA" w14:textId="77777777" w:rsidR="00454A29" w:rsidRDefault="00454A29">
            <w:pPr>
              <w:pStyle w:val="ConsPlusNormal"/>
              <w:jc w:val="center"/>
            </w:pPr>
            <w:r>
              <w:t>338 788,62</w:t>
            </w:r>
          </w:p>
        </w:tc>
        <w:tc>
          <w:tcPr>
            <w:tcW w:w="1701" w:type="dxa"/>
            <w:vAlign w:val="center"/>
          </w:tcPr>
          <w:p w14:paraId="2E2BA1B8" w14:textId="77777777" w:rsidR="00454A29" w:rsidRDefault="00454A29">
            <w:pPr>
              <w:pStyle w:val="ConsPlusNormal"/>
              <w:jc w:val="center"/>
            </w:pPr>
            <w:r>
              <w:t>-</w:t>
            </w:r>
          </w:p>
        </w:tc>
        <w:tc>
          <w:tcPr>
            <w:tcW w:w="1814" w:type="dxa"/>
            <w:vAlign w:val="center"/>
          </w:tcPr>
          <w:p w14:paraId="5AE7DEBE" w14:textId="77777777" w:rsidR="00454A29" w:rsidRDefault="00454A29">
            <w:pPr>
              <w:pStyle w:val="ConsPlusNormal"/>
              <w:jc w:val="center"/>
            </w:pPr>
            <w:r>
              <w:t>-</w:t>
            </w:r>
          </w:p>
        </w:tc>
      </w:tr>
      <w:tr w:rsidR="00454A29" w14:paraId="1EEA295C" w14:textId="77777777">
        <w:tc>
          <w:tcPr>
            <w:tcW w:w="567" w:type="dxa"/>
            <w:vMerge/>
          </w:tcPr>
          <w:p w14:paraId="4DD9D63D" w14:textId="77777777" w:rsidR="00454A29" w:rsidRDefault="00454A29"/>
        </w:tc>
        <w:tc>
          <w:tcPr>
            <w:tcW w:w="3345" w:type="dxa"/>
            <w:vMerge/>
          </w:tcPr>
          <w:p w14:paraId="38FCC66A" w14:textId="77777777" w:rsidR="00454A29" w:rsidRDefault="00454A29"/>
        </w:tc>
        <w:tc>
          <w:tcPr>
            <w:tcW w:w="1701" w:type="dxa"/>
            <w:vAlign w:val="center"/>
          </w:tcPr>
          <w:p w14:paraId="5454ABB2" w14:textId="77777777" w:rsidR="00454A29" w:rsidRDefault="00454A29">
            <w:pPr>
              <w:pStyle w:val="ConsPlusNormal"/>
              <w:jc w:val="center"/>
            </w:pPr>
            <w:r>
              <w:t>2020</w:t>
            </w:r>
          </w:p>
        </w:tc>
        <w:tc>
          <w:tcPr>
            <w:tcW w:w="1417" w:type="dxa"/>
            <w:vMerge/>
          </w:tcPr>
          <w:p w14:paraId="4F4BA7AD" w14:textId="77777777" w:rsidR="00454A29" w:rsidRDefault="00454A29"/>
        </w:tc>
        <w:tc>
          <w:tcPr>
            <w:tcW w:w="2204" w:type="dxa"/>
            <w:vMerge/>
          </w:tcPr>
          <w:p w14:paraId="246C73C9" w14:textId="77777777" w:rsidR="00454A29" w:rsidRDefault="00454A29"/>
        </w:tc>
        <w:tc>
          <w:tcPr>
            <w:tcW w:w="1417" w:type="dxa"/>
            <w:vMerge/>
          </w:tcPr>
          <w:p w14:paraId="6FA2BAFC" w14:textId="77777777" w:rsidR="00454A29" w:rsidRDefault="00454A29"/>
        </w:tc>
        <w:tc>
          <w:tcPr>
            <w:tcW w:w="2324" w:type="dxa"/>
            <w:vMerge/>
          </w:tcPr>
          <w:p w14:paraId="50EC5500" w14:textId="77777777" w:rsidR="00454A29" w:rsidRDefault="00454A29"/>
        </w:tc>
        <w:tc>
          <w:tcPr>
            <w:tcW w:w="1701" w:type="dxa"/>
            <w:vAlign w:val="center"/>
          </w:tcPr>
          <w:p w14:paraId="1585B9CB" w14:textId="77777777" w:rsidR="00454A29" w:rsidRDefault="00454A29">
            <w:pPr>
              <w:pStyle w:val="ConsPlusNormal"/>
            </w:pPr>
          </w:p>
        </w:tc>
        <w:tc>
          <w:tcPr>
            <w:tcW w:w="1814" w:type="dxa"/>
            <w:vAlign w:val="center"/>
          </w:tcPr>
          <w:p w14:paraId="46355D96" w14:textId="77777777" w:rsidR="00454A29" w:rsidRDefault="00454A29">
            <w:pPr>
              <w:pStyle w:val="ConsPlusNormal"/>
            </w:pPr>
          </w:p>
        </w:tc>
        <w:tc>
          <w:tcPr>
            <w:tcW w:w="1701" w:type="dxa"/>
            <w:vAlign w:val="center"/>
          </w:tcPr>
          <w:p w14:paraId="08543038" w14:textId="77777777" w:rsidR="00454A29" w:rsidRDefault="00454A29">
            <w:pPr>
              <w:pStyle w:val="ConsPlusNormal"/>
            </w:pPr>
          </w:p>
        </w:tc>
        <w:tc>
          <w:tcPr>
            <w:tcW w:w="1701" w:type="dxa"/>
            <w:vAlign w:val="center"/>
          </w:tcPr>
          <w:p w14:paraId="20CA76F6" w14:textId="77777777" w:rsidR="00454A29" w:rsidRDefault="00454A29">
            <w:pPr>
              <w:pStyle w:val="ConsPlusNormal"/>
            </w:pPr>
          </w:p>
        </w:tc>
        <w:tc>
          <w:tcPr>
            <w:tcW w:w="1814" w:type="dxa"/>
            <w:vAlign w:val="center"/>
          </w:tcPr>
          <w:p w14:paraId="12429210" w14:textId="77777777" w:rsidR="00454A29" w:rsidRDefault="00454A29">
            <w:pPr>
              <w:pStyle w:val="ConsPlusNormal"/>
            </w:pPr>
          </w:p>
        </w:tc>
      </w:tr>
      <w:tr w:rsidR="00454A29" w14:paraId="4D3F9BE4" w14:textId="77777777">
        <w:tc>
          <w:tcPr>
            <w:tcW w:w="567" w:type="dxa"/>
            <w:vMerge/>
          </w:tcPr>
          <w:p w14:paraId="18417515" w14:textId="77777777" w:rsidR="00454A29" w:rsidRDefault="00454A29"/>
        </w:tc>
        <w:tc>
          <w:tcPr>
            <w:tcW w:w="3345" w:type="dxa"/>
            <w:vMerge/>
          </w:tcPr>
          <w:p w14:paraId="2235651F" w14:textId="77777777" w:rsidR="00454A29" w:rsidRDefault="00454A29"/>
        </w:tc>
        <w:tc>
          <w:tcPr>
            <w:tcW w:w="1701" w:type="dxa"/>
            <w:vAlign w:val="center"/>
          </w:tcPr>
          <w:p w14:paraId="75751C77" w14:textId="77777777" w:rsidR="00454A29" w:rsidRDefault="00454A29">
            <w:pPr>
              <w:pStyle w:val="ConsPlusNormal"/>
              <w:jc w:val="center"/>
            </w:pPr>
            <w:r>
              <w:t>2021</w:t>
            </w:r>
          </w:p>
        </w:tc>
        <w:tc>
          <w:tcPr>
            <w:tcW w:w="1417" w:type="dxa"/>
            <w:vMerge/>
          </w:tcPr>
          <w:p w14:paraId="28D20901" w14:textId="77777777" w:rsidR="00454A29" w:rsidRDefault="00454A29"/>
        </w:tc>
        <w:tc>
          <w:tcPr>
            <w:tcW w:w="2204" w:type="dxa"/>
            <w:vMerge/>
          </w:tcPr>
          <w:p w14:paraId="1CB023F0" w14:textId="77777777" w:rsidR="00454A29" w:rsidRDefault="00454A29"/>
        </w:tc>
        <w:tc>
          <w:tcPr>
            <w:tcW w:w="1417" w:type="dxa"/>
            <w:vMerge/>
          </w:tcPr>
          <w:p w14:paraId="2C5F66FC" w14:textId="77777777" w:rsidR="00454A29" w:rsidRDefault="00454A29"/>
        </w:tc>
        <w:tc>
          <w:tcPr>
            <w:tcW w:w="2324" w:type="dxa"/>
            <w:vMerge/>
          </w:tcPr>
          <w:p w14:paraId="62FE9F3F" w14:textId="77777777" w:rsidR="00454A29" w:rsidRDefault="00454A29"/>
        </w:tc>
        <w:tc>
          <w:tcPr>
            <w:tcW w:w="1701" w:type="dxa"/>
            <w:vAlign w:val="center"/>
          </w:tcPr>
          <w:p w14:paraId="5D301B96" w14:textId="77777777" w:rsidR="00454A29" w:rsidRDefault="00454A29">
            <w:pPr>
              <w:pStyle w:val="ConsPlusNormal"/>
            </w:pPr>
          </w:p>
        </w:tc>
        <w:tc>
          <w:tcPr>
            <w:tcW w:w="1814" w:type="dxa"/>
            <w:vAlign w:val="center"/>
          </w:tcPr>
          <w:p w14:paraId="199F3252" w14:textId="77777777" w:rsidR="00454A29" w:rsidRDefault="00454A29">
            <w:pPr>
              <w:pStyle w:val="ConsPlusNormal"/>
            </w:pPr>
          </w:p>
        </w:tc>
        <w:tc>
          <w:tcPr>
            <w:tcW w:w="1701" w:type="dxa"/>
            <w:vAlign w:val="center"/>
          </w:tcPr>
          <w:p w14:paraId="0B5A2BB0" w14:textId="77777777" w:rsidR="00454A29" w:rsidRDefault="00454A29">
            <w:pPr>
              <w:pStyle w:val="ConsPlusNormal"/>
            </w:pPr>
          </w:p>
        </w:tc>
        <w:tc>
          <w:tcPr>
            <w:tcW w:w="1701" w:type="dxa"/>
            <w:vAlign w:val="center"/>
          </w:tcPr>
          <w:p w14:paraId="1D4AC5BF" w14:textId="77777777" w:rsidR="00454A29" w:rsidRDefault="00454A29">
            <w:pPr>
              <w:pStyle w:val="ConsPlusNormal"/>
            </w:pPr>
          </w:p>
        </w:tc>
        <w:tc>
          <w:tcPr>
            <w:tcW w:w="1814" w:type="dxa"/>
            <w:vAlign w:val="center"/>
          </w:tcPr>
          <w:p w14:paraId="5890FCD0" w14:textId="77777777" w:rsidR="00454A29" w:rsidRDefault="00454A29">
            <w:pPr>
              <w:pStyle w:val="ConsPlusNormal"/>
            </w:pPr>
          </w:p>
        </w:tc>
      </w:tr>
      <w:tr w:rsidR="00454A29" w14:paraId="4A9CDEB4" w14:textId="77777777">
        <w:tc>
          <w:tcPr>
            <w:tcW w:w="567" w:type="dxa"/>
            <w:vMerge/>
          </w:tcPr>
          <w:p w14:paraId="1C4C5BFD" w14:textId="77777777" w:rsidR="00454A29" w:rsidRDefault="00454A29"/>
        </w:tc>
        <w:tc>
          <w:tcPr>
            <w:tcW w:w="3345" w:type="dxa"/>
            <w:vMerge/>
          </w:tcPr>
          <w:p w14:paraId="3871AA70" w14:textId="77777777" w:rsidR="00454A29" w:rsidRDefault="00454A29"/>
        </w:tc>
        <w:tc>
          <w:tcPr>
            <w:tcW w:w="1701" w:type="dxa"/>
            <w:vAlign w:val="center"/>
          </w:tcPr>
          <w:p w14:paraId="7BA466FF" w14:textId="77777777" w:rsidR="00454A29" w:rsidRDefault="00454A29">
            <w:pPr>
              <w:pStyle w:val="ConsPlusNormal"/>
              <w:jc w:val="center"/>
            </w:pPr>
            <w:r>
              <w:t>2022</w:t>
            </w:r>
          </w:p>
        </w:tc>
        <w:tc>
          <w:tcPr>
            <w:tcW w:w="1417" w:type="dxa"/>
            <w:vMerge/>
          </w:tcPr>
          <w:p w14:paraId="6D103C72" w14:textId="77777777" w:rsidR="00454A29" w:rsidRDefault="00454A29"/>
        </w:tc>
        <w:tc>
          <w:tcPr>
            <w:tcW w:w="2204" w:type="dxa"/>
            <w:vMerge/>
          </w:tcPr>
          <w:p w14:paraId="22EBCC57" w14:textId="77777777" w:rsidR="00454A29" w:rsidRDefault="00454A29"/>
        </w:tc>
        <w:tc>
          <w:tcPr>
            <w:tcW w:w="1417" w:type="dxa"/>
            <w:vMerge/>
          </w:tcPr>
          <w:p w14:paraId="4B0AE0E0" w14:textId="77777777" w:rsidR="00454A29" w:rsidRDefault="00454A29"/>
        </w:tc>
        <w:tc>
          <w:tcPr>
            <w:tcW w:w="2324" w:type="dxa"/>
            <w:vMerge/>
          </w:tcPr>
          <w:p w14:paraId="7B61BED9" w14:textId="77777777" w:rsidR="00454A29" w:rsidRDefault="00454A29"/>
        </w:tc>
        <w:tc>
          <w:tcPr>
            <w:tcW w:w="1701" w:type="dxa"/>
            <w:vAlign w:val="center"/>
          </w:tcPr>
          <w:p w14:paraId="6FE383FD" w14:textId="77777777" w:rsidR="00454A29" w:rsidRDefault="00454A29">
            <w:pPr>
              <w:pStyle w:val="ConsPlusNormal"/>
              <w:jc w:val="center"/>
            </w:pPr>
            <w:r>
              <w:t>-</w:t>
            </w:r>
          </w:p>
        </w:tc>
        <w:tc>
          <w:tcPr>
            <w:tcW w:w="1814" w:type="dxa"/>
            <w:vAlign w:val="center"/>
          </w:tcPr>
          <w:p w14:paraId="064B762D" w14:textId="77777777" w:rsidR="00454A29" w:rsidRDefault="00454A29">
            <w:pPr>
              <w:pStyle w:val="ConsPlusNormal"/>
              <w:jc w:val="center"/>
            </w:pPr>
            <w:r>
              <w:t>-</w:t>
            </w:r>
          </w:p>
        </w:tc>
        <w:tc>
          <w:tcPr>
            <w:tcW w:w="1701" w:type="dxa"/>
            <w:vAlign w:val="center"/>
          </w:tcPr>
          <w:p w14:paraId="18015A2B" w14:textId="77777777" w:rsidR="00454A29" w:rsidRDefault="00454A29">
            <w:pPr>
              <w:pStyle w:val="ConsPlusNormal"/>
              <w:jc w:val="center"/>
            </w:pPr>
            <w:r>
              <w:t>-</w:t>
            </w:r>
          </w:p>
        </w:tc>
        <w:tc>
          <w:tcPr>
            <w:tcW w:w="1701" w:type="dxa"/>
            <w:vAlign w:val="center"/>
          </w:tcPr>
          <w:p w14:paraId="06ECD17B" w14:textId="77777777" w:rsidR="00454A29" w:rsidRDefault="00454A29">
            <w:pPr>
              <w:pStyle w:val="ConsPlusNormal"/>
            </w:pPr>
          </w:p>
        </w:tc>
        <w:tc>
          <w:tcPr>
            <w:tcW w:w="1814" w:type="dxa"/>
            <w:vAlign w:val="center"/>
          </w:tcPr>
          <w:p w14:paraId="462D1574" w14:textId="77777777" w:rsidR="00454A29" w:rsidRDefault="00454A29">
            <w:pPr>
              <w:pStyle w:val="ConsPlusNormal"/>
            </w:pPr>
          </w:p>
        </w:tc>
      </w:tr>
      <w:tr w:rsidR="00454A29" w14:paraId="2E488DD2" w14:textId="77777777">
        <w:tc>
          <w:tcPr>
            <w:tcW w:w="567" w:type="dxa"/>
            <w:vMerge/>
          </w:tcPr>
          <w:p w14:paraId="7F1877E1" w14:textId="77777777" w:rsidR="00454A29" w:rsidRDefault="00454A29"/>
        </w:tc>
        <w:tc>
          <w:tcPr>
            <w:tcW w:w="3345" w:type="dxa"/>
            <w:vMerge/>
          </w:tcPr>
          <w:p w14:paraId="68BBE06E" w14:textId="77777777" w:rsidR="00454A29" w:rsidRDefault="00454A29"/>
        </w:tc>
        <w:tc>
          <w:tcPr>
            <w:tcW w:w="1701" w:type="dxa"/>
            <w:vAlign w:val="center"/>
          </w:tcPr>
          <w:p w14:paraId="0A9DD92B" w14:textId="77777777" w:rsidR="00454A29" w:rsidRDefault="00454A29">
            <w:pPr>
              <w:pStyle w:val="ConsPlusNormal"/>
              <w:jc w:val="center"/>
            </w:pPr>
            <w:r>
              <w:t>2023</w:t>
            </w:r>
          </w:p>
        </w:tc>
        <w:tc>
          <w:tcPr>
            <w:tcW w:w="1417" w:type="dxa"/>
            <w:vMerge/>
          </w:tcPr>
          <w:p w14:paraId="64A10E1A" w14:textId="77777777" w:rsidR="00454A29" w:rsidRDefault="00454A29"/>
        </w:tc>
        <w:tc>
          <w:tcPr>
            <w:tcW w:w="2204" w:type="dxa"/>
            <w:vMerge/>
          </w:tcPr>
          <w:p w14:paraId="11A6E03A" w14:textId="77777777" w:rsidR="00454A29" w:rsidRDefault="00454A29"/>
        </w:tc>
        <w:tc>
          <w:tcPr>
            <w:tcW w:w="1417" w:type="dxa"/>
            <w:vMerge/>
          </w:tcPr>
          <w:p w14:paraId="49F4D04F" w14:textId="77777777" w:rsidR="00454A29" w:rsidRDefault="00454A29"/>
        </w:tc>
        <w:tc>
          <w:tcPr>
            <w:tcW w:w="2324" w:type="dxa"/>
            <w:vMerge/>
          </w:tcPr>
          <w:p w14:paraId="4FE84C3A" w14:textId="77777777" w:rsidR="00454A29" w:rsidRDefault="00454A29"/>
        </w:tc>
        <w:tc>
          <w:tcPr>
            <w:tcW w:w="1701" w:type="dxa"/>
            <w:vAlign w:val="center"/>
          </w:tcPr>
          <w:p w14:paraId="1DC12BA2" w14:textId="77777777" w:rsidR="00454A29" w:rsidRDefault="00454A29">
            <w:pPr>
              <w:pStyle w:val="ConsPlusNormal"/>
            </w:pPr>
          </w:p>
        </w:tc>
        <w:tc>
          <w:tcPr>
            <w:tcW w:w="1814" w:type="dxa"/>
            <w:vAlign w:val="center"/>
          </w:tcPr>
          <w:p w14:paraId="16B3A22C" w14:textId="77777777" w:rsidR="00454A29" w:rsidRDefault="00454A29">
            <w:pPr>
              <w:pStyle w:val="ConsPlusNormal"/>
            </w:pPr>
          </w:p>
        </w:tc>
        <w:tc>
          <w:tcPr>
            <w:tcW w:w="1701" w:type="dxa"/>
            <w:vAlign w:val="center"/>
          </w:tcPr>
          <w:p w14:paraId="04612DEE" w14:textId="77777777" w:rsidR="00454A29" w:rsidRDefault="00454A29">
            <w:pPr>
              <w:pStyle w:val="ConsPlusNormal"/>
            </w:pPr>
          </w:p>
        </w:tc>
        <w:tc>
          <w:tcPr>
            <w:tcW w:w="1701" w:type="dxa"/>
            <w:vAlign w:val="center"/>
          </w:tcPr>
          <w:p w14:paraId="1F2BC2ED" w14:textId="77777777" w:rsidR="00454A29" w:rsidRDefault="00454A29">
            <w:pPr>
              <w:pStyle w:val="ConsPlusNormal"/>
            </w:pPr>
          </w:p>
        </w:tc>
        <w:tc>
          <w:tcPr>
            <w:tcW w:w="1814" w:type="dxa"/>
            <w:vAlign w:val="center"/>
          </w:tcPr>
          <w:p w14:paraId="6CE1D22A" w14:textId="77777777" w:rsidR="00454A29" w:rsidRDefault="00454A29">
            <w:pPr>
              <w:pStyle w:val="ConsPlusNormal"/>
            </w:pPr>
          </w:p>
        </w:tc>
      </w:tr>
      <w:tr w:rsidR="00454A29" w14:paraId="634A15CA" w14:textId="77777777">
        <w:tc>
          <w:tcPr>
            <w:tcW w:w="567" w:type="dxa"/>
            <w:vMerge/>
          </w:tcPr>
          <w:p w14:paraId="30756ECE" w14:textId="77777777" w:rsidR="00454A29" w:rsidRDefault="00454A29"/>
        </w:tc>
        <w:tc>
          <w:tcPr>
            <w:tcW w:w="3345" w:type="dxa"/>
            <w:vMerge/>
          </w:tcPr>
          <w:p w14:paraId="2428B38C" w14:textId="77777777" w:rsidR="00454A29" w:rsidRDefault="00454A29"/>
        </w:tc>
        <w:tc>
          <w:tcPr>
            <w:tcW w:w="1701" w:type="dxa"/>
            <w:vAlign w:val="center"/>
          </w:tcPr>
          <w:p w14:paraId="487CCC1D" w14:textId="77777777" w:rsidR="00454A29" w:rsidRDefault="00454A29">
            <w:pPr>
              <w:pStyle w:val="ConsPlusNormal"/>
              <w:jc w:val="center"/>
            </w:pPr>
            <w:r>
              <w:t>2024</w:t>
            </w:r>
          </w:p>
        </w:tc>
        <w:tc>
          <w:tcPr>
            <w:tcW w:w="1417" w:type="dxa"/>
            <w:vMerge/>
          </w:tcPr>
          <w:p w14:paraId="76AF4E99" w14:textId="77777777" w:rsidR="00454A29" w:rsidRDefault="00454A29"/>
        </w:tc>
        <w:tc>
          <w:tcPr>
            <w:tcW w:w="2204" w:type="dxa"/>
            <w:vMerge/>
          </w:tcPr>
          <w:p w14:paraId="3E672A29" w14:textId="77777777" w:rsidR="00454A29" w:rsidRDefault="00454A29"/>
        </w:tc>
        <w:tc>
          <w:tcPr>
            <w:tcW w:w="1417" w:type="dxa"/>
            <w:vMerge/>
          </w:tcPr>
          <w:p w14:paraId="16C93400" w14:textId="77777777" w:rsidR="00454A29" w:rsidRDefault="00454A29"/>
        </w:tc>
        <w:tc>
          <w:tcPr>
            <w:tcW w:w="2324" w:type="dxa"/>
            <w:vMerge/>
          </w:tcPr>
          <w:p w14:paraId="3FDC93F4" w14:textId="77777777" w:rsidR="00454A29" w:rsidRDefault="00454A29"/>
        </w:tc>
        <w:tc>
          <w:tcPr>
            <w:tcW w:w="1701" w:type="dxa"/>
            <w:vAlign w:val="center"/>
          </w:tcPr>
          <w:p w14:paraId="0C24DB13" w14:textId="77777777" w:rsidR="00454A29" w:rsidRDefault="00454A29">
            <w:pPr>
              <w:pStyle w:val="ConsPlusNormal"/>
              <w:jc w:val="center"/>
            </w:pPr>
            <w:r>
              <w:t>511 525,75</w:t>
            </w:r>
          </w:p>
        </w:tc>
        <w:tc>
          <w:tcPr>
            <w:tcW w:w="1814" w:type="dxa"/>
            <w:vAlign w:val="center"/>
          </w:tcPr>
          <w:p w14:paraId="7CF51CCC" w14:textId="77777777" w:rsidR="00454A29" w:rsidRDefault="00454A29">
            <w:pPr>
              <w:pStyle w:val="ConsPlusNormal"/>
              <w:jc w:val="center"/>
            </w:pPr>
            <w:r>
              <w:t>3 422,11</w:t>
            </w:r>
          </w:p>
        </w:tc>
        <w:tc>
          <w:tcPr>
            <w:tcW w:w="1701" w:type="dxa"/>
            <w:vAlign w:val="center"/>
          </w:tcPr>
          <w:p w14:paraId="625EC773" w14:textId="77777777" w:rsidR="00454A29" w:rsidRDefault="00454A29">
            <w:pPr>
              <w:pStyle w:val="ConsPlusNormal"/>
              <w:jc w:val="center"/>
            </w:pPr>
            <w:r>
              <w:t>338 788,62</w:t>
            </w:r>
          </w:p>
        </w:tc>
        <w:tc>
          <w:tcPr>
            <w:tcW w:w="1701" w:type="dxa"/>
            <w:vAlign w:val="center"/>
          </w:tcPr>
          <w:p w14:paraId="69168508" w14:textId="77777777" w:rsidR="00454A29" w:rsidRDefault="00454A29">
            <w:pPr>
              <w:pStyle w:val="ConsPlusNormal"/>
            </w:pPr>
          </w:p>
        </w:tc>
        <w:tc>
          <w:tcPr>
            <w:tcW w:w="1814" w:type="dxa"/>
            <w:vAlign w:val="center"/>
          </w:tcPr>
          <w:p w14:paraId="1FFA6038" w14:textId="77777777" w:rsidR="00454A29" w:rsidRDefault="00454A29">
            <w:pPr>
              <w:pStyle w:val="ConsPlusNormal"/>
            </w:pPr>
          </w:p>
        </w:tc>
      </w:tr>
      <w:tr w:rsidR="00454A29" w14:paraId="5D1642FF" w14:textId="77777777">
        <w:tc>
          <w:tcPr>
            <w:tcW w:w="567" w:type="dxa"/>
            <w:vMerge/>
          </w:tcPr>
          <w:p w14:paraId="2C32D13B" w14:textId="77777777" w:rsidR="00454A29" w:rsidRDefault="00454A29"/>
        </w:tc>
        <w:tc>
          <w:tcPr>
            <w:tcW w:w="3345" w:type="dxa"/>
            <w:vMerge/>
          </w:tcPr>
          <w:p w14:paraId="34919F06" w14:textId="77777777" w:rsidR="00454A29" w:rsidRDefault="00454A29"/>
        </w:tc>
        <w:tc>
          <w:tcPr>
            <w:tcW w:w="1701" w:type="dxa"/>
            <w:vAlign w:val="center"/>
          </w:tcPr>
          <w:p w14:paraId="518E73CF" w14:textId="77777777" w:rsidR="00454A29" w:rsidRDefault="00454A29">
            <w:pPr>
              <w:pStyle w:val="ConsPlusNormal"/>
              <w:jc w:val="center"/>
            </w:pPr>
            <w:r>
              <w:t>2025</w:t>
            </w:r>
          </w:p>
        </w:tc>
        <w:tc>
          <w:tcPr>
            <w:tcW w:w="1417" w:type="dxa"/>
            <w:vMerge/>
          </w:tcPr>
          <w:p w14:paraId="60FDA2BD" w14:textId="77777777" w:rsidR="00454A29" w:rsidRDefault="00454A29"/>
        </w:tc>
        <w:tc>
          <w:tcPr>
            <w:tcW w:w="2204" w:type="dxa"/>
            <w:vMerge/>
          </w:tcPr>
          <w:p w14:paraId="7D5924FE" w14:textId="77777777" w:rsidR="00454A29" w:rsidRDefault="00454A29"/>
        </w:tc>
        <w:tc>
          <w:tcPr>
            <w:tcW w:w="1417" w:type="dxa"/>
            <w:vMerge/>
          </w:tcPr>
          <w:p w14:paraId="5FED1989" w14:textId="77777777" w:rsidR="00454A29" w:rsidRDefault="00454A29"/>
        </w:tc>
        <w:tc>
          <w:tcPr>
            <w:tcW w:w="2324" w:type="dxa"/>
            <w:vMerge/>
          </w:tcPr>
          <w:p w14:paraId="25F980F3" w14:textId="77777777" w:rsidR="00454A29" w:rsidRDefault="00454A29"/>
        </w:tc>
        <w:tc>
          <w:tcPr>
            <w:tcW w:w="1701" w:type="dxa"/>
            <w:vAlign w:val="center"/>
          </w:tcPr>
          <w:p w14:paraId="6FD4BE7F" w14:textId="77777777" w:rsidR="00454A29" w:rsidRDefault="00454A29">
            <w:pPr>
              <w:pStyle w:val="ConsPlusNormal"/>
            </w:pPr>
          </w:p>
        </w:tc>
        <w:tc>
          <w:tcPr>
            <w:tcW w:w="1814" w:type="dxa"/>
            <w:vAlign w:val="center"/>
          </w:tcPr>
          <w:p w14:paraId="4F9CEE45" w14:textId="77777777" w:rsidR="00454A29" w:rsidRDefault="00454A29">
            <w:pPr>
              <w:pStyle w:val="ConsPlusNormal"/>
            </w:pPr>
          </w:p>
        </w:tc>
        <w:tc>
          <w:tcPr>
            <w:tcW w:w="1701" w:type="dxa"/>
            <w:vAlign w:val="center"/>
          </w:tcPr>
          <w:p w14:paraId="526DA8B4" w14:textId="77777777" w:rsidR="00454A29" w:rsidRDefault="00454A29">
            <w:pPr>
              <w:pStyle w:val="ConsPlusNormal"/>
            </w:pPr>
          </w:p>
        </w:tc>
        <w:tc>
          <w:tcPr>
            <w:tcW w:w="1701" w:type="dxa"/>
            <w:vAlign w:val="center"/>
          </w:tcPr>
          <w:p w14:paraId="53EDE0D9" w14:textId="77777777" w:rsidR="00454A29" w:rsidRDefault="00454A29">
            <w:pPr>
              <w:pStyle w:val="ConsPlusNormal"/>
            </w:pPr>
          </w:p>
        </w:tc>
        <w:tc>
          <w:tcPr>
            <w:tcW w:w="1814" w:type="dxa"/>
            <w:vAlign w:val="center"/>
          </w:tcPr>
          <w:p w14:paraId="67D7CE67" w14:textId="77777777" w:rsidR="00454A29" w:rsidRDefault="00454A29">
            <w:pPr>
              <w:pStyle w:val="ConsPlusNormal"/>
            </w:pPr>
          </w:p>
        </w:tc>
      </w:tr>
      <w:tr w:rsidR="00454A29" w14:paraId="29C82D16" w14:textId="77777777">
        <w:tc>
          <w:tcPr>
            <w:tcW w:w="567" w:type="dxa"/>
            <w:vMerge/>
          </w:tcPr>
          <w:p w14:paraId="3A151AF6" w14:textId="77777777" w:rsidR="00454A29" w:rsidRDefault="00454A29"/>
        </w:tc>
        <w:tc>
          <w:tcPr>
            <w:tcW w:w="3345" w:type="dxa"/>
            <w:vMerge/>
          </w:tcPr>
          <w:p w14:paraId="56B81F8A" w14:textId="77777777" w:rsidR="00454A29" w:rsidRDefault="00454A29"/>
        </w:tc>
        <w:tc>
          <w:tcPr>
            <w:tcW w:w="1701" w:type="dxa"/>
            <w:vAlign w:val="center"/>
          </w:tcPr>
          <w:p w14:paraId="709ED89B" w14:textId="77777777" w:rsidR="00454A29" w:rsidRDefault="00454A29">
            <w:pPr>
              <w:pStyle w:val="ConsPlusNormal"/>
              <w:jc w:val="center"/>
            </w:pPr>
            <w:r>
              <w:t>2026</w:t>
            </w:r>
          </w:p>
        </w:tc>
        <w:tc>
          <w:tcPr>
            <w:tcW w:w="1417" w:type="dxa"/>
            <w:vMerge/>
          </w:tcPr>
          <w:p w14:paraId="18E8AC98" w14:textId="77777777" w:rsidR="00454A29" w:rsidRDefault="00454A29"/>
        </w:tc>
        <w:tc>
          <w:tcPr>
            <w:tcW w:w="2204" w:type="dxa"/>
            <w:vMerge/>
          </w:tcPr>
          <w:p w14:paraId="3132077B" w14:textId="77777777" w:rsidR="00454A29" w:rsidRDefault="00454A29"/>
        </w:tc>
        <w:tc>
          <w:tcPr>
            <w:tcW w:w="1417" w:type="dxa"/>
            <w:vMerge/>
          </w:tcPr>
          <w:p w14:paraId="6755BF5D" w14:textId="77777777" w:rsidR="00454A29" w:rsidRDefault="00454A29"/>
        </w:tc>
        <w:tc>
          <w:tcPr>
            <w:tcW w:w="2324" w:type="dxa"/>
            <w:vMerge/>
          </w:tcPr>
          <w:p w14:paraId="5F9B5023" w14:textId="77777777" w:rsidR="00454A29" w:rsidRDefault="00454A29"/>
        </w:tc>
        <w:tc>
          <w:tcPr>
            <w:tcW w:w="1701" w:type="dxa"/>
            <w:vAlign w:val="center"/>
          </w:tcPr>
          <w:p w14:paraId="645E4A7F" w14:textId="77777777" w:rsidR="00454A29" w:rsidRDefault="00454A29">
            <w:pPr>
              <w:pStyle w:val="ConsPlusNormal"/>
            </w:pPr>
          </w:p>
        </w:tc>
        <w:tc>
          <w:tcPr>
            <w:tcW w:w="1814" w:type="dxa"/>
            <w:vAlign w:val="center"/>
          </w:tcPr>
          <w:p w14:paraId="105CC6AD" w14:textId="77777777" w:rsidR="00454A29" w:rsidRDefault="00454A29">
            <w:pPr>
              <w:pStyle w:val="ConsPlusNormal"/>
            </w:pPr>
          </w:p>
        </w:tc>
        <w:tc>
          <w:tcPr>
            <w:tcW w:w="1701" w:type="dxa"/>
            <w:vAlign w:val="center"/>
          </w:tcPr>
          <w:p w14:paraId="523E9AD6" w14:textId="77777777" w:rsidR="00454A29" w:rsidRDefault="00454A29">
            <w:pPr>
              <w:pStyle w:val="ConsPlusNormal"/>
            </w:pPr>
          </w:p>
        </w:tc>
        <w:tc>
          <w:tcPr>
            <w:tcW w:w="1701" w:type="dxa"/>
            <w:vAlign w:val="center"/>
          </w:tcPr>
          <w:p w14:paraId="46C6E23A" w14:textId="77777777" w:rsidR="00454A29" w:rsidRDefault="00454A29">
            <w:pPr>
              <w:pStyle w:val="ConsPlusNormal"/>
            </w:pPr>
          </w:p>
        </w:tc>
        <w:tc>
          <w:tcPr>
            <w:tcW w:w="1814" w:type="dxa"/>
            <w:vAlign w:val="center"/>
          </w:tcPr>
          <w:p w14:paraId="56E1A6C8" w14:textId="77777777" w:rsidR="00454A29" w:rsidRDefault="00454A29">
            <w:pPr>
              <w:pStyle w:val="ConsPlusNormal"/>
            </w:pPr>
          </w:p>
        </w:tc>
      </w:tr>
      <w:tr w:rsidR="00454A29" w14:paraId="707C4106" w14:textId="77777777">
        <w:tc>
          <w:tcPr>
            <w:tcW w:w="567" w:type="dxa"/>
            <w:vMerge w:val="restart"/>
            <w:vAlign w:val="center"/>
          </w:tcPr>
          <w:p w14:paraId="7F766414" w14:textId="77777777" w:rsidR="00454A29" w:rsidRDefault="00454A29">
            <w:pPr>
              <w:pStyle w:val="ConsPlusNormal"/>
              <w:jc w:val="center"/>
            </w:pPr>
            <w:r>
              <w:t>27</w:t>
            </w:r>
          </w:p>
        </w:tc>
        <w:tc>
          <w:tcPr>
            <w:tcW w:w="3345" w:type="dxa"/>
            <w:vMerge w:val="restart"/>
            <w:vAlign w:val="center"/>
          </w:tcPr>
          <w:p w14:paraId="7BEA5137" w14:textId="77777777" w:rsidR="00454A29" w:rsidRDefault="00454A29">
            <w:pPr>
              <w:pStyle w:val="ConsPlusNormal"/>
              <w:jc w:val="center"/>
            </w:pPr>
            <w:r>
              <w:t>Школа на 220 учащихся в с. Дюллюкю</w:t>
            </w:r>
          </w:p>
        </w:tc>
        <w:tc>
          <w:tcPr>
            <w:tcW w:w="1701" w:type="dxa"/>
            <w:vAlign w:val="center"/>
          </w:tcPr>
          <w:p w14:paraId="673AB838" w14:textId="77777777" w:rsidR="00454A29" w:rsidRDefault="00454A29">
            <w:pPr>
              <w:pStyle w:val="ConsPlusNormal"/>
              <w:jc w:val="center"/>
            </w:pPr>
            <w:r>
              <w:t>2020 - 2026 годы - всего</w:t>
            </w:r>
          </w:p>
        </w:tc>
        <w:tc>
          <w:tcPr>
            <w:tcW w:w="1417" w:type="dxa"/>
            <w:vMerge w:val="restart"/>
            <w:vAlign w:val="center"/>
          </w:tcPr>
          <w:p w14:paraId="52BA2551" w14:textId="77777777" w:rsidR="00454A29" w:rsidRDefault="00454A29">
            <w:pPr>
              <w:pStyle w:val="ConsPlusNormal"/>
              <w:jc w:val="center"/>
            </w:pPr>
            <w:r>
              <w:t>588 982,87</w:t>
            </w:r>
          </w:p>
        </w:tc>
        <w:tc>
          <w:tcPr>
            <w:tcW w:w="2204" w:type="dxa"/>
            <w:vMerge w:val="restart"/>
            <w:vAlign w:val="center"/>
          </w:tcPr>
          <w:p w14:paraId="4A36809F" w14:textId="77777777" w:rsidR="00454A29" w:rsidRDefault="00454A29">
            <w:pPr>
              <w:pStyle w:val="ConsPlusNormal"/>
            </w:pPr>
          </w:p>
        </w:tc>
        <w:tc>
          <w:tcPr>
            <w:tcW w:w="1417" w:type="dxa"/>
            <w:vMerge w:val="restart"/>
            <w:vAlign w:val="center"/>
          </w:tcPr>
          <w:p w14:paraId="27F138B1" w14:textId="77777777" w:rsidR="00454A29" w:rsidRDefault="00454A29">
            <w:pPr>
              <w:pStyle w:val="ConsPlusNormal"/>
              <w:jc w:val="center"/>
            </w:pPr>
            <w:r>
              <w:t>220</w:t>
            </w:r>
          </w:p>
        </w:tc>
        <w:tc>
          <w:tcPr>
            <w:tcW w:w="2324" w:type="dxa"/>
            <w:vMerge w:val="restart"/>
            <w:vAlign w:val="center"/>
          </w:tcPr>
          <w:p w14:paraId="6C18AB7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977449C" w14:textId="77777777" w:rsidR="00454A29" w:rsidRDefault="00454A29">
            <w:pPr>
              <w:pStyle w:val="ConsPlusNormal"/>
              <w:jc w:val="center"/>
            </w:pPr>
            <w:r>
              <w:t>588 982,87</w:t>
            </w:r>
          </w:p>
        </w:tc>
        <w:tc>
          <w:tcPr>
            <w:tcW w:w="1814" w:type="dxa"/>
            <w:vAlign w:val="center"/>
          </w:tcPr>
          <w:p w14:paraId="3F8FCDB1" w14:textId="77777777" w:rsidR="00454A29" w:rsidRDefault="00454A29">
            <w:pPr>
              <w:pStyle w:val="ConsPlusNormal"/>
              <w:jc w:val="center"/>
            </w:pPr>
            <w:r>
              <w:t>3 940,30</w:t>
            </w:r>
          </w:p>
        </w:tc>
        <w:tc>
          <w:tcPr>
            <w:tcW w:w="1701" w:type="dxa"/>
            <w:vAlign w:val="center"/>
          </w:tcPr>
          <w:p w14:paraId="0AD2E1E9" w14:textId="77777777" w:rsidR="00454A29" w:rsidRDefault="00454A29">
            <w:pPr>
              <w:pStyle w:val="ConsPlusNormal"/>
              <w:jc w:val="center"/>
            </w:pPr>
            <w:r>
              <w:t>390 089,24</w:t>
            </w:r>
          </w:p>
        </w:tc>
        <w:tc>
          <w:tcPr>
            <w:tcW w:w="1701" w:type="dxa"/>
            <w:vAlign w:val="center"/>
          </w:tcPr>
          <w:p w14:paraId="57315C9E" w14:textId="77777777" w:rsidR="00454A29" w:rsidRDefault="00454A29">
            <w:pPr>
              <w:pStyle w:val="ConsPlusNormal"/>
              <w:jc w:val="center"/>
            </w:pPr>
            <w:r>
              <w:t>-</w:t>
            </w:r>
          </w:p>
        </w:tc>
        <w:tc>
          <w:tcPr>
            <w:tcW w:w="1814" w:type="dxa"/>
            <w:vAlign w:val="center"/>
          </w:tcPr>
          <w:p w14:paraId="1BBB0359" w14:textId="77777777" w:rsidR="00454A29" w:rsidRDefault="00454A29">
            <w:pPr>
              <w:pStyle w:val="ConsPlusNormal"/>
              <w:jc w:val="center"/>
            </w:pPr>
            <w:r>
              <w:t>-</w:t>
            </w:r>
          </w:p>
        </w:tc>
      </w:tr>
      <w:tr w:rsidR="00454A29" w14:paraId="64EC5E14" w14:textId="77777777">
        <w:tc>
          <w:tcPr>
            <w:tcW w:w="567" w:type="dxa"/>
            <w:vMerge/>
          </w:tcPr>
          <w:p w14:paraId="69D77F42" w14:textId="77777777" w:rsidR="00454A29" w:rsidRDefault="00454A29"/>
        </w:tc>
        <w:tc>
          <w:tcPr>
            <w:tcW w:w="3345" w:type="dxa"/>
            <w:vMerge/>
          </w:tcPr>
          <w:p w14:paraId="0B39FF64" w14:textId="77777777" w:rsidR="00454A29" w:rsidRDefault="00454A29"/>
        </w:tc>
        <w:tc>
          <w:tcPr>
            <w:tcW w:w="1701" w:type="dxa"/>
            <w:vAlign w:val="center"/>
          </w:tcPr>
          <w:p w14:paraId="4B074ED5" w14:textId="77777777" w:rsidR="00454A29" w:rsidRDefault="00454A29">
            <w:pPr>
              <w:pStyle w:val="ConsPlusNormal"/>
              <w:jc w:val="center"/>
            </w:pPr>
            <w:r>
              <w:t>2020</w:t>
            </w:r>
          </w:p>
        </w:tc>
        <w:tc>
          <w:tcPr>
            <w:tcW w:w="1417" w:type="dxa"/>
            <w:vMerge/>
          </w:tcPr>
          <w:p w14:paraId="7268215C" w14:textId="77777777" w:rsidR="00454A29" w:rsidRDefault="00454A29"/>
        </w:tc>
        <w:tc>
          <w:tcPr>
            <w:tcW w:w="2204" w:type="dxa"/>
            <w:vMerge/>
          </w:tcPr>
          <w:p w14:paraId="1FD4BA6A" w14:textId="77777777" w:rsidR="00454A29" w:rsidRDefault="00454A29"/>
        </w:tc>
        <w:tc>
          <w:tcPr>
            <w:tcW w:w="1417" w:type="dxa"/>
            <w:vMerge/>
          </w:tcPr>
          <w:p w14:paraId="3F002EE1" w14:textId="77777777" w:rsidR="00454A29" w:rsidRDefault="00454A29"/>
        </w:tc>
        <w:tc>
          <w:tcPr>
            <w:tcW w:w="2324" w:type="dxa"/>
            <w:vMerge/>
          </w:tcPr>
          <w:p w14:paraId="05133453" w14:textId="77777777" w:rsidR="00454A29" w:rsidRDefault="00454A29"/>
        </w:tc>
        <w:tc>
          <w:tcPr>
            <w:tcW w:w="1701" w:type="dxa"/>
            <w:vAlign w:val="center"/>
          </w:tcPr>
          <w:p w14:paraId="4CCB0BAC" w14:textId="77777777" w:rsidR="00454A29" w:rsidRDefault="00454A29">
            <w:pPr>
              <w:pStyle w:val="ConsPlusNormal"/>
            </w:pPr>
          </w:p>
        </w:tc>
        <w:tc>
          <w:tcPr>
            <w:tcW w:w="1814" w:type="dxa"/>
            <w:vAlign w:val="center"/>
          </w:tcPr>
          <w:p w14:paraId="248BB62E" w14:textId="77777777" w:rsidR="00454A29" w:rsidRDefault="00454A29">
            <w:pPr>
              <w:pStyle w:val="ConsPlusNormal"/>
            </w:pPr>
          </w:p>
        </w:tc>
        <w:tc>
          <w:tcPr>
            <w:tcW w:w="1701" w:type="dxa"/>
            <w:vAlign w:val="center"/>
          </w:tcPr>
          <w:p w14:paraId="1ED8BD62" w14:textId="77777777" w:rsidR="00454A29" w:rsidRDefault="00454A29">
            <w:pPr>
              <w:pStyle w:val="ConsPlusNormal"/>
            </w:pPr>
          </w:p>
        </w:tc>
        <w:tc>
          <w:tcPr>
            <w:tcW w:w="1701" w:type="dxa"/>
            <w:vAlign w:val="center"/>
          </w:tcPr>
          <w:p w14:paraId="7BE614B1" w14:textId="77777777" w:rsidR="00454A29" w:rsidRDefault="00454A29">
            <w:pPr>
              <w:pStyle w:val="ConsPlusNormal"/>
            </w:pPr>
          </w:p>
        </w:tc>
        <w:tc>
          <w:tcPr>
            <w:tcW w:w="1814" w:type="dxa"/>
            <w:vAlign w:val="center"/>
          </w:tcPr>
          <w:p w14:paraId="44B4BE11" w14:textId="77777777" w:rsidR="00454A29" w:rsidRDefault="00454A29">
            <w:pPr>
              <w:pStyle w:val="ConsPlusNormal"/>
            </w:pPr>
          </w:p>
        </w:tc>
      </w:tr>
      <w:tr w:rsidR="00454A29" w14:paraId="12AE0478" w14:textId="77777777">
        <w:tc>
          <w:tcPr>
            <w:tcW w:w="567" w:type="dxa"/>
            <w:vMerge/>
          </w:tcPr>
          <w:p w14:paraId="5AE1FF2E" w14:textId="77777777" w:rsidR="00454A29" w:rsidRDefault="00454A29"/>
        </w:tc>
        <w:tc>
          <w:tcPr>
            <w:tcW w:w="3345" w:type="dxa"/>
            <w:vMerge/>
          </w:tcPr>
          <w:p w14:paraId="2B07605A" w14:textId="77777777" w:rsidR="00454A29" w:rsidRDefault="00454A29"/>
        </w:tc>
        <w:tc>
          <w:tcPr>
            <w:tcW w:w="1701" w:type="dxa"/>
            <w:vAlign w:val="center"/>
          </w:tcPr>
          <w:p w14:paraId="550831F6" w14:textId="77777777" w:rsidR="00454A29" w:rsidRDefault="00454A29">
            <w:pPr>
              <w:pStyle w:val="ConsPlusNormal"/>
              <w:jc w:val="center"/>
            </w:pPr>
            <w:r>
              <w:t>2021</w:t>
            </w:r>
          </w:p>
        </w:tc>
        <w:tc>
          <w:tcPr>
            <w:tcW w:w="1417" w:type="dxa"/>
            <w:vMerge/>
          </w:tcPr>
          <w:p w14:paraId="36719F55" w14:textId="77777777" w:rsidR="00454A29" w:rsidRDefault="00454A29"/>
        </w:tc>
        <w:tc>
          <w:tcPr>
            <w:tcW w:w="2204" w:type="dxa"/>
            <w:vMerge/>
          </w:tcPr>
          <w:p w14:paraId="3FFA481C" w14:textId="77777777" w:rsidR="00454A29" w:rsidRDefault="00454A29"/>
        </w:tc>
        <w:tc>
          <w:tcPr>
            <w:tcW w:w="1417" w:type="dxa"/>
            <w:vMerge/>
          </w:tcPr>
          <w:p w14:paraId="7FAD37E7" w14:textId="77777777" w:rsidR="00454A29" w:rsidRDefault="00454A29"/>
        </w:tc>
        <w:tc>
          <w:tcPr>
            <w:tcW w:w="2324" w:type="dxa"/>
            <w:vMerge/>
          </w:tcPr>
          <w:p w14:paraId="3346A20A" w14:textId="77777777" w:rsidR="00454A29" w:rsidRDefault="00454A29"/>
        </w:tc>
        <w:tc>
          <w:tcPr>
            <w:tcW w:w="1701" w:type="dxa"/>
            <w:vAlign w:val="center"/>
          </w:tcPr>
          <w:p w14:paraId="37C31CB2" w14:textId="77777777" w:rsidR="00454A29" w:rsidRDefault="00454A29">
            <w:pPr>
              <w:pStyle w:val="ConsPlusNormal"/>
            </w:pPr>
          </w:p>
        </w:tc>
        <w:tc>
          <w:tcPr>
            <w:tcW w:w="1814" w:type="dxa"/>
            <w:vAlign w:val="center"/>
          </w:tcPr>
          <w:p w14:paraId="5330A1F1" w14:textId="77777777" w:rsidR="00454A29" w:rsidRDefault="00454A29">
            <w:pPr>
              <w:pStyle w:val="ConsPlusNormal"/>
            </w:pPr>
          </w:p>
        </w:tc>
        <w:tc>
          <w:tcPr>
            <w:tcW w:w="1701" w:type="dxa"/>
            <w:vAlign w:val="center"/>
          </w:tcPr>
          <w:p w14:paraId="0BC18D1F" w14:textId="77777777" w:rsidR="00454A29" w:rsidRDefault="00454A29">
            <w:pPr>
              <w:pStyle w:val="ConsPlusNormal"/>
            </w:pPr>
          </w:p>
        </w:tc>
        <w:tc>
          <w:tcPr>
            <w:tcW w:w="1701" w:type="dxa"/>
            <w:vAlign w:val="center"/>
          </w:tcPr>
          <w:p w14:paraId="1B4F8753" w14:textId="77777777" w:rsidR="00454A29" w:rsidRDefault="00454A29">
            <w:pPr>
              <w:pStyle w:val="ConsPlusNormal"/>
            </w:pPr>
          </w:p>
        </w:tc>
        <w:tc>
          <w:tcPr>
            <w:tcW w:w="1814" w:type="dxa"/>
            <w:vAlign w:val="center"/>
          </w:tcPr>
          <w:p w14:paraId="5507434F" w14:textId="77777777" w:rsidR="00454A29" w:rsidRDefault="00454A29">
            <w:pPr>
              <w:pStyle w:val="ConsPlusNormal"/>
            </w:pPr>
          </w:p>
        </w:tc>
      </w:tr>
      <w:tr w:rsidR="00454A29" w14:paraId="6433C367" w14:textId="77777777">
        <w:tc>
          <w:tcPr>
            <w:tcW w:w="567" w:type="dxa"/>
            <w:vMerge/>
          </w:tcPr>
          <w:p w14:paraId="38EE301C" w14:textId="77777777" w:rsidR="00454A29" w:rsidRDefault="00454A29"/>
        </w:tc>
        <w:tc>
          <w:tcPr>
            <w:tcW w:w="3345" w:type="dxa"/>
            <w:vMerge/>
          </w:tcPr>
          <w:p w14:paraId="24B864B6" w14:textId="77777777" w:rsidR="00454A29" w:rsidRDefault="00454A29"/>
        </w:tc>
        <w:tc>
          <w:tcPr>
            <w:tcW w:w="1701" w:type="dxa"/>
            <w:vAlign w:val="center"/>
          </w:tcPr>
          <w:p w14:paraId="50FC58FB" w14:textId="77777777" w:rsidR="00454A29" w:rsidRDefault="00454A29">
            <w:pPr>
              <w:pStyle w:val="ConsPlusNormal"/>
              <w:jc w:val="center"/>
            </w:pPr>
            <w:r>
              <w:t>2022</w:t>
            </w:r>
          </w:p>
        </w:tc>
        <w:tc>
          <w:tcPr>
            <w:tcW w:w="1417" w:type="dxa"/>
            <w:vMerge/>
          </w:tcPr>
          <w:p w14:paraId="7BEE7E3B" w14:textId="77777777" w:rsidR="00454A29" w:rsidRDefault="00454A29"/>
        </w:tc>
        <w:tc>
          <w:tcPr>
            <w:tcW w:w="2204" w:type="dxa"/>
            <w:vMerge/>
          </w:tcPr>
          <w:p w14:paraId="076D909A" w14:textId="77777777" w:rsidR="00454A29" w:rsidRDefault="00454A29"/>
        </w:tc>
        <w:tc>
          <w:tcPr>
            <w:tcW w:w="1417" w:type="dxa"/>
            <w:vMerge/>
          </w:tcPr>
          <w:p w14:paraId="11511E78" w14:textId="77777777" w:rsidR="00454A29" w:rsidRDefault="00454A29"/>
        </w:tc>
        <w:tc>
          <w:tcPr>
            <w:tcW w:w="2324" w:type="dxa"/>
            <w:vMerge/>
          </w:tcPr>
          <w:p w14:paraId="700A8FBF" w14:textId="77777777" w:rsidR="00454A29" w:rsidRDefault="00454A29"/>
        </w:tc>
        <w:tc>
          <w:tcPr>
            <w:tcW w:w="1701" w:type="dxa"/>
            <w:vAlign w:val="center"/>
          </w:tcPr>
          <w:p w14:paraId="60398E64" w14:textId="77777777" w:rsidR="00454A29" w:rsidRDefault="00454A29">
            <w:pPr>
              <w:pStyle w:val="ConsPlusNormal"/>
            </w:pPr>
          </w:p>
        </w:tc>
        <w:tc>
          <w:tcPr>
            <w:tcW w:w="1814" w:type="dxa"/>
            <w:vAlign w:val="center"/>
          </w:tcPr>
          <w:p w14:paraId="1B1883D9" w14:textId="77777777" w:rsidR="00454A29" w:rsidRDefault="00454A29">
            <w:pPr>
              <w:pStyle w:val="ConsPlusNormal"/>
            </w:pPr>
          </w:p>
        </w:tc>
        <w:tc>
          <w:tcPr>
            <w:tcW w:w="1701" w:type="dxa"/>
            <w:vAlign w:val="center"/>
          </w:tcPr>
          <w:p w14:paraId="1686D66E" w14:textId="77777777" w:rsidR="00454A29" w:rsidRDefault="00454A29">
            <w:pPr>
              <w:pStyle w:val="ConsPlusNormal"/>
            </w:pPr>
          </w:p>
        </w:tc>
        <w:tc>
          <w:tcPr>
            <w:tcW w:w="1701" w:type="dxa"/>
            <w:vAlign w:val="center"/>
          </w:tcPr>
          <w:p w14:paraId="4DDCEF16" w14:textId="77777777" w:rsidR="00454A29" w:rsidRDefault="00454A29">
            <w:pPr>
              <w:pStyle w:val="ConsPlusNormal"/>
            </w:pPr>
          </w:p>
        </w:tc>
        <w:tc>
          <w:tcPr>
            <w:tcW w:w="1814" w:type="dxa"/>
            <w:vAlign w:val="center"/>
          </w:tcPr>
          <w:p w14:paraId="2FCCF084" w14:textId="77777777" w:rsidR="00454A29" w:rsidRDefault="00454A29">
            <w:pPr>
              <w:pStyle w:val="ConsPlusNormal"/>
            </w:pPr>
          </w:p>
        </w:tc>
      </w:tr>
      <w:tr w:rsidR="00454A29" w14:paraId="08501EDC" w14:textId="77777777">
        <w:tc>
          <w:tcPr>
            <w:tcW w:w="567" w:type="dxa"/>
            <w:vMerge/>
          </w:tcPr>
          <w:p w14:paraId="30DC4340" w14:textId="77777777" w:rsidR="00454A29" w:rsidRDefault="00454A29"/>
        </w:tc>
        <w:tc>
          <w:tcPr>
            <w:tcW w:w="3345" w:type="dxa"/>
            <w:vMerge/>
          </w:tcPr>
          <w:p w14:paraId="0D0CB942" w14:textId="77777777" w:rsidR="00454A29" w:rsidRDefault="00454A29"/>
        </w:tc>
        <w:tc>
          <w:tcPr>
            <w:tcW w:w="1701" w:type="dxa"/>
            <w:vAlign w:val="center"/>
          </w:tcPr>
          <w:p w14:paraId="3C2BC5A2" w14:textId="77777777" w:rsidR="00454A29" w:rsidRDefault="00454A29">
            <w:pPr>
              <w:pStyle w:val="ConsPlusNormal"/>
              <w:jc w:val="center"/>
            </w:pPr>
            <w:r>
              <w:t>2023</w:t>
            </w:r>
          </w:p>
        </w:tc>
        <w:tc>
          <w:tcPr>
            <w:tcW w:w="1417" w:type="dxa"/>
            <w:vMerge/>
          </w:tcPr>
          <w:p w14:paraId="7649BB94" w14:textId="77777777" w:rsidR="00454A29" w:rsidRDefault="00454A29"/>
        </w:tc>
        <w:tc>
          <w:tcPr>
            <w:tcW w:w="2204" w:type="dxa"/>
            <w:vMerge/>
          </w:tcPr>
          <w:p w14:paraId="05AE13E8" w14:textId="77777777" w:rsidR="00454A29" w:rsidRDefault="00454A29"/>
        </w:tc>
        <w:tc>
          <w:tcPr>
            <w:tcW w:w="1417" w:type="dxa"/>
            <w:vMerge/>
          </w:tcPr>
          <w:p w14:paraId="023E5791" w14:textId="77777777" w:rsidR="00454A29" w:rsidRDefault="00454A29"/>
        </w:tc>
        <w:tc>
          <w:tcPr>
            <w:tcW w:w="2324" w:type="dxa"/>
            <w:vMerge/>
          </w:tcPr>
          <w:p w14:paraId="2CB21691" w14:textId="77777777" w:rsidR="00454A29" w:rsidRDefault="00454A29"/>
        </w:tc>
        <w:tc>
          <w:tcPr>
            <w:tcW w:w="1701" w:type="dxa"/>
            <w:vAlign w:val="center"/>
          </w:tcPr>
          <w:p w14:paraId="471877B1" w14:textId="77777777" w:rsidR="00454A29" w:rsidRDefault="00454A29">
            <w:pPr>
              <w:pStyle w:val="ConsPlusNormal"/>
            </w:pPr>
          </w:p>
        </w:tc>
        <w:tc>
          <w:tcPr>
            <w:tcW w:w="1814" w:type="dxa"/>
            <w:vAlign w:val="center"/>
          </w:tcPr>
          <w:p w14:paraId="10B4A8EE" w14:textId="77777777" w:rsidR="00454A29" w:rsidRDefault="00454A29">
            <w:pPr>
              <w:pStyle w:val="ConsPlusNormal"/>
            </w:pPr>
          </w:p>
        </w:tc>
        <w:tc>
          <w:tcPr>
            <w:tcW w:w="1701" w:type="dxa"/>
            <w:vAlign w:val="center"/>
          </w:tcPr>
          <w:p w14:paraId="7DC16DF3" w14:textId="77777777" w:rsidR="00454A29" w:rsidRDefault="00454A29">
            <w:pPr>
              <w:pStyle w:val="ConsPlusNormal"/>
            </w:pPr>
          </w:p>
        </w:tc>
        <w:tc>
          <w:tcPr>
            <w:tcW w:w="1701" w:type="dxa"/>
            <w:vAlign w:val="center"/>
          </w:tcPr>
          <w:p w14:paraId="00A40C07" w14:textId="77777777" w:rsidR="00454A29" w:rsidRDefault="00454A29">
            <w:pPr>
              <w:pStyle w:val="ConsPlusNormal"/>
            </w:pPr>
          </w:p>
        </w:tc>
        <w:tc>
          <w:tcPr>
            <w:tcW w:w="1814" w:type="dxa"/>
            <w:vAlign w:val="center"/>
          </w:tcPr>
          <w:p w14:paraId="306E08B0" w14:textId="77777777" w:rsidR="00454A29" w:rsidRDefault="00454A29">
            <w:pPr>
              <w:pStyle w:val="ConsPlusNormal"/>
            </w:pPr>
          </w:p>
        </w:tc>
      </w:tr>
      <w:tr w:rsidR="00454A29" w14:paraId="64DB5A71" w14:textId="77777777">
        <w:tc>
          <w:tcPr>
            <w:tcW w:w="567" w:type="dxa"/>
            <w:vMerge/>
          </w:tcPr>
          <w:p w14:paraId="04BC9184" w14:textId="77777777" w:rsidR="00454A29" w:rsidRDefault="00454A29"/>
        </w:tc>
        <w:tc>
          <w:tcPr>
            <w:tcW w:w="3345" w:type="dxa"/>
            <w:vMerge/>
          </w:tcPr>
          <w:p w14:paraId="51271788" w14:textId="77777777" w:rsidR="00454A29" w:rsidRDefault="00454A29"/>
        </w:tc>
        <w:tc>
          <w:tcPr>
            <w:tcW w:w="1701" w:type="dxa"/>
            <w:vAlign w:val="center"/>
          </w:tcPr>
          <w:p w14:paraId="63BEA2CB" w14:textId="77777777" w:rsidR="00454A29" w:rsidRDefault="00454A29">
            <w:pPr>
              <w:pStyle w:val="ConsPlusNormal"/>
              <w:jc w:val="center"/>
            </w:pPr>
            <w:r>
              <w:t>2024</w:t>
            </w:r>
          </w:p>
        </w:tc>
        <w:tc>
          <w:tcPr>
            <w:tcW w:w="1417" w:type="dxa"/>
            <w:vMerge/>
          </w:tcPr>
          <w:p w14:paraId="23783AF0" w14:textId="77777777" w:rsidR="00454A29" w:rsidRDefault="00454A29"/>
        </w:tc>
        <w:tc>
          <w:tcPr>
            <w:tcW w:w="2204" w:type="dxa"/>
            <w:vMerge/>
          </w:tcPr>
          <w:p w14:paraId="5679BFF6" w14:textId="77777777" w:rsidR="00454A29" w:rsidRDefault="00454A29"/>
        </w:tc>
        <w:tc>
          <w:tcPr>
            <w:tcW w:w="1417" w:type="dxa"/>
            <w:vMerge/>
          </w:tcPr>
          <w:p w14:paraId="17C611BE" w14:textId="77777777" w:rsidR="00454A29" w:rsidRDefault="00454A29"/>
        </w:tc>
        <w:tc>
          <w:tcPr>
            <w:tcW w:w="2324" w:type="dxa"/>
            <w:vMerge/>
          </w:tcPr>
          <w:p w14:paraId="24A3638B" w14:textId="77777777" w:rsidR="00454A29" w:rsidRDefault="00454A29"/>
        </w:tc>
        <w:tc>
          <w:tcPr>
            <w:tcW w:w="1701" w:type="dxa"/>
            <w:vAlign w:val="center"/>
          </w:tcPr>
          <w:p w14:paraId="2B2E83D8" w14:textId="77777777" w:rsidR="00454A29" w:rsidRDefault="00454A29">
            <w:pPr>
              <w:pStyle w:val="ConsPlusNormal"/>
              <w:jc w:val="center"/>
            </w:pPr>
            <w:r>
              <w:t>588 982,87</w:t>
            </w:r>
          </w:p>
        </w:tc>
        <w:tc>
          <w:tcPr>
            <w:tcW w:w="1814" w:type="dxa"/>
            <w:vAlign w:val="center"/>
          </w:tcPr>
          <w:p w14:paraId="3284BFB9" w14:textId="77777777" w:rsidR="00454A29" w:rsidRDefault="00454A29">
            <w:pPr>
              <w:pStyle w:val="ConsPlusNormal"/>
              <w:jc w:val="center"/>
            </w:pPr>
            <w:r>
              <w:t>3 940,30</w:t>
            </w:r>
          </w:p>
        </w:tc>
        <w:tc>
          <w:tcPr>
            <w:tcW w:w="1701" w:type="dxa"/>
            <w:vAlign w:val="center"/>
          </w:tcPr>
          <w:p w14:paraId="29BBF646" w14:textId="77777777" w:rsidR="00454A29" w:rsidRDefault="00454A29">
            <w:pPr>
              <w:pStyle w:val="ConsPlusNormal"/>
              <w:jc w:val="center"/>
            </w:pPr>
            <w:r>
              <w:t>390 089,24</w:t>
            </w:r>
          </w:p>
        </w:tc>
        <w:tc>
          <w:tcPr>
            <w:tcW w:w="1701" w:type="dxa"/>
            <w:vAlign w:val="center"/>
          </w:tcPr>
          <w:p w14:paraId="2AE39BA5" w14:textId="77777777" w:rsidR="00454A29" w:rsidRDefault="00454A29">
            <w:pPr>
              <w:pStyle w:val="ConsPlusNormal"/>
            </w:pPr>
          </w:p>
        </w:tc>
        <w:tc>
          <w:tcPr>
            <w:tcW w:w="1814" w:type="dxa"/>
            <w:vAlign w:val="center"/>
          </w:tcPr>
          <w:p w14:paraId="78D6D5F7" w14:textId="77777777" w:rsidR="00454A29" w:rsidRDefault="00454A29">
            <w:pPr>
              <w:pStyle w:val="ConsPlusNormal"/>
            </w:pPr>
          </w:p>
        </w:tc>
      </w:tr>
      <w:tr w:rsidR="00454A29" w14:paraId="3D483900" w14:textId="77777777">
        <w:tc>
          <w:tcPr>
            <w:tcW w:w="567" w:type="dxa"/>
            <w:vMerge/>
          </w:tcPr>
          <w:p w14:paraId="4E2988AD" w14:textId="77777777" w:rsidR="00454A29" w:rsidRDefault="00454A29"/>
        </w:tc>
        <w:tc>
          <w:tcPr>
            <w:tcW w:w="3345" w:type="dxa"/>
            <w:vMerge/>
          </w:tcPr>
          <w:p w14:paraId="2A6D36B5" w14:textId="77777777" w:rsidR="00454A29" w:rsidRDefault="00454A29"/>
        </w:tc>
        <w:tc>
          <w:tcPr>
            <w:tcW w:w="1701" w:type="dxa"/>
            <w:vAlign w:val="center"/>
          </w:tcPr>
          <w:p w14:paraId="3AD879C6" w14:textId="77777777" w:rsidR="00454A29" w:rsidRDefault="00454A29">
            <w:pPr>
              <w:pStyle w:val="ConsPlusNormal"/>
              <w:jc w:val="center"/>
            </w:pPr>
            <w:r>
              <w:t>2025</w:t>
            </w:r>
          </w:p>
        </w:tc>
        <w:tc>
          <w:tcPr>
            <w:tcW w:w="1417" w:type="dxa"/>
            <w:vMerge/>
          </w:tcPr>
          <w:p w14:paraId="1DC4675D" w14:textId="77777777" w:rsidR="00454A29" w:rsidRDefault="00454A29"/>
        </w:tc>
        <w:tc>
          <w:tcPr>
            <w:tcW w:w="2204" w:type="dxa"/>
            <w:vMerge/>
          </w:tcPr>
          <w:p w14:paraId="12BE2ABD" w14:textId="77777777" w:rsidR="00454A29" w:rsidRDefault="00454A29"/>
        </w:tc>
        <w:tc>
          <w:tcPr>
            <w:tcW w:w="1417" w:type="dxa"/>
            <w:vMerge/>
          </w:tcPr>
          <w:p w14:paraId="247A40DF" w14:textId="77777777" w:rsidR="00454A29" w:rsidRDefault="00454A29"/>
        </w:tc>
        <w:tc>
          <w:tcPr>
            <w:tcW w:w="2324" w:type="dxa"/>
            <w:vMerge/>
          </w:tcPr>
          <w:p w14:paraId="011764EF" w14:textId="77777777" w:rsidR="00454A29" w:rsidRDefault="00454A29"/>
        </w:tc>
        <w:tc>
          <w:tcPr>
            <w:tcW w:w="1701" w:type="dxa"/>
            <w:vAlign w:val="center"/>
          </w:tcPr>
          <w:p w14:paraId="7987E7F5" w14:textId="77777777" w:rsidR="00454A29" w:rsidRDefault="00454A29">
            <w:pPr>
              <w:pStyle w:val="ConsPlusNormal"/>
            </w:pPr>
          </w:p>
        </w:tc>
        <w:tc>
          <w:tcPr>
            <w:tcW w:w="1814" w:type="dxa"/>
            <w:vAlign w:val="center"/>
          </w:tcPr>
          <w:p w14:paraId="6DDA989D" w14:textId="77777777" w:rsidR="00454A29" w:rsidRDefault="00454A29">
            <w:pPr>
              <w:pStyle w:val="ConsPlusNormal"/>
            </w:pPr>
          </w:p>
        </w:tc>
        <w:tc>
          <w:tcPr>
            <w:tcW w:w="1701" w:type="dxa"/>
            <w:vAlign w:val="center"/>
          </w:tcPr>
          <w:p w14:paraId="761DB917" w14:textId="77777777" w:rsidR="00454A29" w:rsidRDefault="00454A29">
            <w:pPr>
              <w:pStyle w:val="ConsPlusNormal"/>
            </w:pPr>
          </w:p>
        </w:tc>
        <w:tc>
          <w:tcPr>
            <w:tcW w:w="1701" w:type="dxa"/>
            <w:vAlign w:val="center"/>
          </w:tcPr>
          <w:p w14:paraId="6D52A382" w14:textId="77777777" w:rsidR="00454A29" w:rsidRDefault="00454A29">
            <w:pPr>
              <w:pStyle w:val="ConsPlusNormal"/>
            </w:pPr>
          </w:p>
        </w:tc>
        <w:tc>
          <w:tcPr>
            <w:tcW w:w="1814" w:type="dxa"/>
            <w:vAlign w:val="center"/>
          </w:tcPr>
          <w:p w14:paraId="1657B1AF" w14:textId="77777777" w:rsidR="00454A29" w:rsidRDefault="00454A29">
            <w:pPr>
              <w:pStyle w:val="ConsPlusNormal"/>
            </w:pPr>
          </w:p>
        </w:tc>
      </w:tr>
      <w:tr w:rsidR="00454A29" w14:paraId="115CB77D" w14:textId="77777777">
        <w:tc>
          <w:tcPr>
            <w:tcW w:w="567" w:type="dxa"/>
            <w:vMerge/>
          </w:tcPr>
          <w:p w14:paraId="16BF9835" w14:textId="77777777" w:rsidR="00454A29" w:rsidRDefault="00454A29"/>
        </w:tc>
        <w:tc>
          <w:tcPr>
            <w:tcW w:w="3345" w:type="dxa"/>
            <w:vMerge/>
          </w:tcPr>
          <w:p w14:paraId="4F3EEF9C" w14:textId="77777777" w:rsidR="00454A29" w:rsidRDefault="00454A29"/>
        </w:tc>
        <w:tc>
          <w:tcPr>
            <w:tcW w:w="1701" w:type="dxa"/>
            <w:vAlign w:val="center"/>
          </w:tcPr>
          <w:p w14:paraId="3C7B2304" w14:textId="77777777" w:rsidR="00454A29" w:rsidRDefault="00454A29">
            <w:pPr>
              <w:pStyle w:val="ConsPlusNormal"/>
              <w:jc w:val="center"/>
            </w:pPr>
            <w:r>
              <w:t>2026</w:t>
            </w:r>
          </w:p>
        </w:tc>
        <w:tc>
          <w:tcPr>
            <w:tcW w:w="1417" w:type="dxa"/>
            <w:vMerge/>
          </w:tcPr>
          <w:p w14:paraId="5AFB2725" w14:textId="77777777" w:rsidR="00454A29" w:rsidRDefault="00454A29"/>
        </w:tc>
        <w:tc>
          <w:tcPr>
            <w:tcW w:w="2204" w:type="dxa"/>
            <w:vMerge/>
          </w:tcPr>
          <w:p w14:paraId="70199659" w14:textId="77777777" w:rsidR="00454A29" w:rsidRDefault="00454A29"/>
        </w:tc>
        <w:tc>
          <w:tcPr>
            <w:tcW w:w="1417" w:type="dxa"/>
            <w:vMerge/>
          </w:tcPr>
          <w:p w14:paraId="20A9C15B" w14:textId="77777777" w:rsidR="00454A29" w:rsidRDefault="00454A29"/>
        </w:tc>
        <w:tc>
          <w:tcPr>
            <w:tcW w:w="2324" w:type="dxa"/>
            <w:vMerge/>
          </w:tcPr>
          <w:p w14:paraId="2B6B7EA0" w14:textId="77777777" w:rsidR="00454A29" w:rsidRDefault="00454A29"/>
        </w:tc>
        <w:tc>
          <w:tcPr>
            <w:tcW w:w="1701" w:type="dxa"/>
            <w:vAlign w:val="center"/>
          </w:tcPr>
          <w:p w14:paraId="55E58D4D" w14:textId="77777777" w:rsidR="00454A29" w:rsidRDefault="00454A29">
            <w:pPr>
              <w:pStyle w:val="ConsPlusNormal"/>
            </w:pPr>
          </w:p>
        </w:tc>
        <w:tc>
          <w:tcPr>
            <w:tcW w:w="1814" w:type="dxa"/>
            <w:vAlign w:val="center"/>
          </w:tcPr>
          <w:p w14:paraId="626AA042" w14:textId="77777777" w:rsidR="00454A29" w:rsidRDefault="00454A29">
            <w:pPr>
              <w:pStyle w:val="ConsPlusNormal"/>
            </w:pPr>
          </w:p>
        </w:tc>
        <w:tc>
          <w:tcPr>
            <w:tcW w:w="1701" w:type="dxa"/>
            <w:vAlign w:val="center"/>
          </w:tcPr>
          <w:p w14:paraId="2F92E349" w14:textId="77777777" w:rsidR="00454A29" w:rsidRDefault="00454A29">
            <w:pPr>
              <w:pStyle w:val="ConsPlusNormal"/>
            </w:pPr>
          </w:p>
        </w:tc>
        <w:tc>
          <w:tcPr>
            <w:tcW w:w="1701" w:type="dxa"/>
            <w:vAlign w:val="center"/>
          </w:tcPr>
          <w:p w14:paraId="31264328" w14:textId="77777777" w:rsidR="00454A29" w:rsidRDefault="00454A29">
            <w:pPr>
              <w:pStyle w:val="ConsPlusNormal"/>
            </w:pPr>
          </w:p>
        </w:tc>
        <w:tc>
          <w:tcPr>
            <w:tcW w:w="1814" w:type="dxa"/>
            <w:vAlign w:val="center"/>
          </w:tcPr>
          <w:p w14:paraId="23EB34FE" w14:textId="77777777" w:rsidR="00454A29" w:rsidRDefault="00454A29">
            <w:pPr>
              <w:pStyle w:val="ConsPlusNormal"/>
            </w:pPr>
          </w:p>
        </w:tc>
      </w:tr>
      <w:tr w:rsidR="00454A29" w14:paraId="607BF08A" w14:textId="77777777">
        <w:tc>
          <w:tcPr>
            <w:tcW w:w="567" w:type="dxa"/>
            <w:vMerge w:val="restart"/>
            <w:vAlign w:val="center"/>
          </w:tcPr>
          <w:p w14:paraId="2CF7E744" w14:textId="77777777" w:rsidR="00454A29" w:rsidRDefault="00454A29">
            <w:pPr>
              <w:pStyle w:val="ConsPlusNormal"/>
              <w:jc w:val="center"/>
            </w:pPr>
            <w:r>
              <w:lastRenderedPageBreak/>
              <w:t>28</w:t>
            </w:r>
          </w:p>
        </w:tc>
        <w:tc>
          <w:tcPr>
            <w:tcW w:w="3345" w:type="dxa"/>
            <w:vMerge w:val="restart"/>
            <w:vAlign w:val="center"/>
          </w:tcPr>
          <w:p w14:paraId="3D6FDFAA" w14:textId="77777777" w:rsidR="00454A29" w:rsidRDefault="00454A29">
            <w:pPr>
              <w:pStyle w:val="ConsPlusNormal"/>
              <w:jc w:val="center"/>
            </w:pPr>
            <w:r>
              <w:t>Школа на 120 учащихся в с. Оросу</w:t>
            </w:r>
          </w:p>
        </w:tc>
        <w:tc>
          <w:tcPr>
            <w:tcW w:w="1701" w:type="dxa"/>
            <w:vAlign w:val="center"/>
          </w:tcPr>
          <w:p w14:paraId="07E44CEF" w14:textId="77777777" w:rsidR="00454A29" w:rsidRDefault="00454A29">
            <w:pPr>
              <w:pStyle w:val="ConsPlusNormal"/>
              <w:jc w:val="center"/>
            </w:pPr>
            <w:r>
              <w:t>2020 - 2026 годы - всего</w:t>
            </w:r>
          </w:p>
        </w:tc>
        <w:tc>
          <w:tcPr>
            <w:tcW w:w="1417" w:type="dxa"/>
            <w:vMerge w:val="restart"/>
            <w:vAlign w:val="center"/>
          </w:tcPr>
          <w:p w14:paraId="5C682DEF" w14:textId="77777777" w:rsidR="00454A29" w:rsidRDefault="00454A29">
            <w:pPr>
              <w:pStyle w:val="ConsPlusNormal"/>
              <w:jc w:val="center"/>
            </w:pPr>
            <w:r>
              <w:t>420 044,60</w:t>
            </w:r>
          </w:p>
        </w:tc>
        <w:tc>
          <w:tcPr>
            <w:tcW w:w="2204" w:type="dxa"/>
            <w:vMerge w:val="restart"/>
            <w:vAlign w:val="center"/>
          </w:tcPr>
          <w:p w14:paraId="23B7241C" w14:textId="77777777" w:rsidR="00454A29" w:rsidRDefault="00454A29">
            <w:pPr>
              <w:pStyle w:val="ConsPlusNormal"/>
            </w:pPr>
          </w:p>
        </w:tc>
        <w:tc>
          <w:tcPr>
            <w:tcW w:w="1417" w:type="dxa"/>
            <w:vMerge w:val="restart"/>
            <w:vAlign w:val="center"/>
          </w:tcPr>
          <w:p w14:paraId="43F10A6E" w14:textId="77777777" w:rsidR="00454A29" w:rsidRDefault="00454A29">
            <w:pPr>
              <w:pStyle w:val="ConsPlusNormal"/>
              <w:jc w:val="center"/>
            </w:pPr>
            <w:r>
              <w:t>120</w:t>
            </w:r>
          </w:p>
        </w:tc>
        <w:tc>
          <w:tcPr>
            <w:tcW w:w="2324" w:type="dxa"/>
            <w:vMerge w:val="restart"/>
            <w:vAlign w:val="center"/>
          </w:tcPr>
          <w:p w14:paraId="112A0A0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4CEC5B9" w14:textId="77777777" w:rsidR="00454A29" w:rsidRDefault="00454A29">
            <w:pPr>
              <w:pStyle w:val="ConsPlusNormal"/>
              <w:jc w:val="center"/>
            </w:pPr>
            <w:r>
              <w:t>420 044,60</w:t>
            </w:r>
          </w:p>
        </w:tc>
        <w:tc>
          <w:tcPr>
            <w:tcW w:w="1814" w:type="dxa"/>
            <w:vAlign w:val="center"/>
          </w:tcPr>
          <w:p w14:paraId="5B83F943" w14:textId="77777777" w:rsidR="00454A29" w:rsidRDefault="00454A29">
            <w:pPr>
              <w:pStyle w:val="ConsPlusNormal"/>
              <w:jc w:val="center"/>
            </w:pPr>
            <w:r>
              <w:t>2 083,42</w:t>
            </w:r>
          </w:p>
        </w:tc>
        <w:tc>
          <w:tcPr>
            <w:tcW w:w="1701" w:type="dxa"/>
            <w:vAlign w:val="center"/>
          </w:tcPr>
          <w:p w14:paraId="70FE5BE0" w14:textId="77777777" w:rsidR="00454A29" w:rsidRDefault="00454A29">
            <w:pPr>
              <w:pStyle w:val="ConsPlusNormal"/>
              <w:jc w:val="center"/>
            </w:pPr>
            <w:r>
              <w:t>206 258,70</w:t>
            </w:r>
          </w:p>
        </w:tc>
        <w:tc>
          <w:tcPr>
            <w:tcW w:w="1701" w:type="dxa"/>
            <w:vAlign w:val="center"/>
          </w:tcPr>
          <w:p w14:paraId="691786BA" w14:textId="77777777" w:rsidR="00454A29" w:rsidRDefault="00454A29">
            <w:pPr>
              <w:pStyle w:val="ConsPlusNormal"/>
              <w:jc w:val="center"/>
            </w:pPr>
            <w:r>
              <w:t>-</w:t>
            </w:r>
          </w:p>
        </w:tc>
        <w:tc>
          <w:tcPr>
            <w:tcW w:w="1814" w:type="dxa"/>
            <w:vAlign w:val="center"/>
          </w:tcPr>
          <w:p w14:paraId="46986C34" w14:textId="77777777" w:rsidR="00454A29" w:rsidRDefault="00454A29">
            <w:pPr>
              <w:pStyle w:val="ConsPlusNormal"/>
              <w:jc w:val="center"/>
            </w:pPr>
            <w:r>
              <w:t>-</w:t>
            </w:r>
          </w:p>
        </w:tc>
      </w:tr>
      <w:tr w:rsidR="00454A29" w14:paraId="0246C2D8" w14:textId="77777777">
        <w:tc>
          <w:tcPr>
            <w:tcW w:w="567" w:type="dxa"/>
            <w:vMerge/>
          </w:tcPr>
          <w:p w14:paraId="0DC7BC52" w14:textId="77777777" w:rsidR="00454A29" w:rsidRDefault="00454A29"/>
        </w:tc>
        <w:tc>
          <w:tcPr>
            <w:tcW w:w="3345" w:type="dxa"/>
            <w:vMerge/>
          </w:tcPr>
          <w:p w14:paraId="429055A1" w14:textId="77777777" w:rsidR="00454A29" w:rsidRDefault="00454A29"/>
        </w:tc>
        <w:tc>
          <w:tcPr>
            <w:tcW w:w="1701" w:type="dxa"/>
            <w:vAlign w:val="center"/>
          </w:tcPr>
          <w:p w14:paraId="3631D20A" w14:textId="77777777" w:rsidR="00454A29" w:rsidRDefault="00454A29">
            <w:pPr>
              <w:pStyle w:val="ConsPlusNormal"/>
              <w:jc w:val="center"/>
            </w:pPr>
            <w:r>
              <w:t>2020</w:t>
            </w:r>
          </w:p>
        </w:tc>
        <w:tc>
          <w:tcPr>
            <w:tcW w:w="1417" w:type="dxa"/>
            <w:vMerge/>
          </w:tcPr>
          <w:p w14:paraId="3053873A" w14:textId="77777777" w:rsidR="00454A29" w:rsidRDefault="00454A29"/>
        </w:tc>
        <w:tc>
          <w:tcPr>
            <w:tcW w:w="2204" w:type="dxa"/>
            <w:vMerge/>
          </w:tcPr>
          <w:p w14:paraId="0F777B63" w14:textId="77777777" w:rsidR="00454A29" w:rsidRDefault="00454A29"/>
        </w:tc>
        <w:tc>
          <w:tcPr>
            <w:tcW w:w="1417" w:type="dxa"/>
            <w:vMerge/>
          </w:tcPr>
          <w:p w14:paraId="75C54B18" w14:textId="77777777" w:rsidR="00454A29" w:rsidRDefault="00454A29"/>
        </w:tc>
        <w:tc>
          <w:tcPr>
            <w:tcW w:w="2324" w:type="dxa"/>
            <w:vMerge/>
          </w:tcPr>
          <w:p w14:paraId="2CDED886" w14:textId="77777777" w:rsidR="00454A29" w:rsidRDefault="00454A29"/>
        </w:tc>
        <w:tc>
          <w:tcPr>
            <w:tcW w:w="1701" w:type="dxa"/>
            <w:vAlign w:val="center"/>
          </w:tcPr>
          <w:p w14:paraId="7C254971" w14:textId="77777777" w:rsidR="00454A29" w:rsidRDefault="00454A29">
            <w:pPr>
              <w:pStyle w:val="ConsPlusNormal"/>
            </w:pPr>
          </w:p>
        </w:tc>
        <w:tc>
          <w:tcPr>
            <w:tcW w:w="1814" w:type="dxa"/>
            <w:vAlign w:val="center"/>
          </w:tcPr>
          <w:p w14:paraId="3D7F802B" w14:textId="77777777" w:rsidR="00454A29" w:rsidRDefault="00454A29">
            <w:pPr>
              <w:pStyle w:val="ConsPlusNormal"/>
            </w:pPr>
          </w:p>
        </w:tc>
        <w:tc>
          <w:tcPr>
            <w:tcW w:w="1701" w:type="dxa"/>
            <w:vAlign w:val="center"/>
          </w:tcPr>
          <w:p w14:paraId="5F64BEDF" w14:textId="77777777" w:rsidR="00454A29" w:rsidRDefault="00454A29">
            <w:pPr>
              <w:pStyle w:val="ConsPlusNormal"/>
            </w:pPr>
          </w:p>
        </w:tc>
        <w:tc>
          <w:tcPr>
            <w:tcW w:w="1701" w:type="dxa"/>
            <w:vAlign w:val="center"/>
          </w:tcPr>
          <w:p w14:paraId="36FB5544" w14:textId="77777777" w:rsidR="00454A29" w:rsidRDefault="00454A29">
            <w:pPr>
              <w:pStyle w:val="ConsPlusNormal"/>
            </w:pPr>
          </w:p>
        </w:tc>
        <w:tc>
          <w:tcPr>
            <w:tcW w:w="1814" w:type="dxa"/>
            <w:vAlign w:val="center"/>
          </w:tcPr>
          <w:p w14:paraId="6302ECE4" w14:textId="77777777" w:rsidR="00454A29" w:rsidRDefault="00454A29">
            <w:pPr>
              <w:pStyle w:val="ConsPlusNormal"/>
            </w:pPr>
          </w:p>
        </w:tc>
      </w:tr>
      <w:tr w:rsidR="00454A29" w14:paraId="6FB77A06" w14:textId="77777777">
        <w:tc>
          <w:tcPr>
            <w:tcW w:w="567" w:type="dxa"/>
            <w:vMerge/>
          </w:tcPr>
          <w:p w14:paraId="6FAD8E0A" w14:textId="77777777" w:rsidR="00454A29" w:rsidRDefault="00454A29"/>
        </w:tc>
        <w:tc>
          <w:tcPr>
            <w:tcW w:w="3345" w:type="dxa"/>
            <w:vMerge/>
          </w:tcPr>
          <w:p w14:paraId="702F10F7" w14:textId="77777777" w:rsidR="00454A29" w:rsidRDefault="00454A29"/>
        </w:tc>
        <w:tc>
          <w:tcPr>
            <w:tcW w:w="1701" w:type="dxa"/>
            <w:vAlign w:val="center"/>
          </w:tcPr>
          <w:p w14:paraId="58AAC3E6" w14:textId="77777777" w:rsidR="00454A29" w:rsidRDefault="00454A29">
            <w:pPr>
              <w:pStyle w:val="ConsPlusNormal"/>
              <w:jc w:val="center"/>
            </w:pPr>
            <w:r>
              <w:t>2021</w:t>
            </w:r>
          </w:p>
        </w:tc>
        <w:tc>
          <w:tcPr>
            <w:tcW w:w="1417" w:type="dxa"/>
            <w:vMerge/>
          </w:tcPr>
          <w:p w14:paraId="2A2A2540" w14:textId="77777777" w:rsidR="00454A29" w:rsidRDefault="00454A29"/>
        </w:tc>
        <w:tc>
          <w:tcPr>
            <w:tcW w:w="2204" w:type="dxa"/>
            <w:vMerge/>
          </w:tcPr>
          <w:p w14:paraId="2DE3C1CC" w14:textId="77777777" w:rsidR="00454A29" w:rsidRDefault="00454A29"/>
        </w:tc>
        <w:tc>
          <w:tcPr>
            <w:tcW w:w="1417" w:type="dxa"/>
            <w:vMerge/>
          </w:tcPr>
          <w:p w14:paraId="158E75C5" w14:textId="77777777" w:rsidR="00454A29" w:rsidRDefault="00454A29"/>
        </w:tc>
        <w:tc>
          <w:tcPr>
            <w:tcW w:w="2324" w:type="dxa"/>
            <w:vMerge/>
          </w:tcPr>
          <w:p w14:paraId="1548C50F" w14:textId="77777777" w:rsidR="00454A29" w:rsidRDefault="00454A29"/>
        </w:tc>
        <w:tc>
          <w:tcPr>
            <w:tcW w:w="1701" w:type="dxa"/>
            <w:vAlign w:val="center"/>
          </w:tcPr>
          <w:p w14:paraId="23BC96A9" w14:textId="77777777" w:rsidR="00454A29" w:rsidRDefault="00454A29">
            <w:pPr>
              <w:pStyle w:val="ConsPlusNormal"/>
            </w:pPr>
          </w:p>
        </w:tc>
        <w:tc>
          <w:tcPr>
            <w:tcW w:w="1814" w:type="dxa"/>
            <w:vAlign w:val="center"/>
          </w:tcPr>
          <w:p w14:paraId="14EC8C71" w14:textId="77777777" w:rsidR="00454A29" w:rsidRDefault="00454A29">
            <w:pPr>
              <w:pStyle w:val="ConsPlusNormal"/>
            </w:pPr>
          </w:p>
        </w:tc>
        <w:tc>
          <w:tcPr>
            <w:tcW w:w="1701" w:type="dxa"/>
            <w:vAlign w:val="center"/>
          </w:tcPr>
          <w:p w14:paraId="51D4839F" w14:textId="77777777" w:rsidR="00454A29" w:rsidRDefault="00454A29">
            <w:pPr>
              <w:pStyle w:val="ConsPlusNormal"/>
            </w:pPr>
          </w:p>
        </w:tc>
        <w:tc>
          <w:tcPr>
            <w:tcW w:w="1701" w:type="dxa"/>
            <w:vAlign w:val="center"/>
          </w:tcPr>
          <w:p w14:paraId="60CA49EB" w14:textId="77777777" w:rsidR="00454A29" w:rsidRDefault="00454A29">
            <w:pPr>
              <w:pStyle w:val="ConsPlusNormal"/>
            </w:pPr>
          </w:p>
        </w:tc>
        <w:tc>
          <w:tcPr>
            <w:tcW w:w="1814" w:type="dxa"/>
            <w:vAlign w:val="center"/>
          </w:tcPr>
          <w:p w14:paraId="4B82B06F" w14:textId="77777777" w:rsidR="00454A29" w:rsidRDefault="00454A29">
            <w:pPr>
              <w:pStyle w:val="ConsPlusNormal"/>
            </w:pPr>
          </w:p>
        </w:tc>
      </w:tr>
      <w:tr w:rsidR="00454A29" w14:paraId="51D084F8" w14:textId="77777777">
        <w:tc>
          <w:tcPr>
            <w:tcW w:w="567" w:type="dxa"/>
            <w:vMerge/>
          </w:tcPr>
          <w:p w14:paraId="6CD12101" w14:textId="77777777" w:rsidR="00454A29" w:rsidRDefault="00454A29"/>
        </w:tc>
        <w:tc>
          <w:tcPr>
            <w:tcW w:w="3345" w:type="dxa"/>
            <w:vMerge/>
          </w:tcPr>
          <w:p w14:paraId="2DEC01B3" w14:textId="77777777" w:rsidR="00454A29" w:rsidRDefault="00454A29"/>
        </w:tc>
        <w:tc>
          <w:tcPr>
            <w:tcW w:w="1701" w:type="dxa"/>
            <w:vAlign w:val="center"/>
          </w:tcPr>
          <w:p w14:paraId="5209FDE1" w14:textId="77777777" w:rsidR="00454A29" w:rsidRDefault="00454A29">
            <w:pPr>
              <w:pStyle w:val="ConsPlusNormal"/>
              <w:jc w:val="center"/>
            </w:pPr>
            <w:r>
              <w:t>2022</w:t>
            </w:r>
          </w:p>
        </w:tc>
        <w:tc>
          <w:tcPr>
            <w:tcW w:w="1417" w:type="dxa"/>
            <w:vMerge/>
          </w:tcPr>
          <w:p w14:paraId="645D7003" w14:textId="77777777" w:rsidR="00454A29" w:rsidRDefault="00454A29"/>
        </w:tc>
        <w:tc>
          <w:tcPr>
            <w:tcW w:w="2204" w:type="dxa"/>
            <w:vMerge/>
          </w:tcPr>
          <w:p w14:paraId="6F9F03AB" w14:textId="77777777" w:rsidR="00454A29" w:rsidRDefault="00454A29"/>
        </w:tc>
        <w:tc>
          <w:tcPr>
            <w:tcW w:w="1417" w:type="dxa"/>
            <w:vMerge/>
          </w:tcPr>
          <w:p w14:paraId="425CBC7E" w14:textId="77777777" w:rsidR="00454A29" w:rsidRDefault="00454A29"/>
        </w:tc>
        <w:tc>
          <w:tcPr>
            <w:tcW w:w="2324" w:type="dxa"/>
            <w:vMerge/>
          </w:tcPr>
          <w:p w14:paraId="7AB813E6" w14:textId="77777777" w:rsidR="00454A29" w:rsidRDefault="00454A29"/>
        </w:tc>
        <w:tc>
          <w:tcPr>
            <w:tcW w:w="1701" w:type="dxa"/>
            <w:vAlign w:val="center"/>
          </w:tcPr>
          <w:p w14:paraId="02E04E80" w14:textId="77777777" w:rsidR="00454A29" w:rsidRDefault="00454A29">
            <w:pPr>
              <w:pStyle w:val="ConsPlusNormal"/>
            </w:pPr>
          </w:p>
        </w:tc>
        <w:tc>
          <w:tcPr>
            <w:tcW w:w="1814" w:type="dxa"/>
            <w:vAlign w:val="center"/>
          </w:tcPr>
          <w:p w14:paraId="7230465C" w14:textId="77777777" w:rsidR="00454A29" w:rsidRDefault="00454A29">
            <w:pPr>
              <w:pStyle w:val="ConsPlusNormal"/>
            </w:pPr>
          </w:p>
        </w:tc>
        <w:tc>
          <w:tcPr>
            <w:tcW w:w="1701" w:type="dxa"/>
            <w:vAlign w:val="center"/>
          </w:tcPr>
          <w:p w14:paraId="41082AAA" w14:textId="77777777" w:rsidR="00454A29" w:rsidRDefault="00454A29">
            <w:pPr>
              <w:pStyle w:val="ConsPlusNormal"/>
            </w:pPr>
          </w:p>
        </w:tc>
        <w:tc>
          <w:tcPr>
            <w:tcW w:w="1701" w:type="dxa"/>
            <w:vAlign w:val="center"/>
          </w:tcPr>
          <w:p w14:paraId="7159943F" w14:textId="77777777" w:rsidR="00454A29" w:rsidRDefault="00454A29">
            <w:pPr>
              <w:pStyle w:val="ConsPlusNormal"/>
            </w:pPr>
          </w:p>
        </w:tc>
        <w:tc>
          <w:tcPr>
            <w:tcW w:w="1814" w:type="dxa"/>
            <w:vAlign w:val="center"/>
          </w:tcPr>
          <w:p w14:paraId="14992296" w14:textId="77777777" w:rsidR="00454A29" w:rsidRDefault="00454A29">
            <w:pPr>
              <w:pStyle w:val="ConsPlusNormal"/>
            </w:pPr>
          </w:p>
        </w:tc>
      </w:tr>
      <w:tr w:rsidR="00454A29" w14:paraId="7C1BD9AE" w14:textId="77777777">
        <w:tc>
          <w:tcPr>
            <w:tcW w:w="567" w:type="dxa"/>
            <w:vMerge/>
          </w:tcPr>
          <w:p w14:paraId="478A0BF0" w14:textId="77777777" w:rsidR="00454A29" w:rsidRDefault="00454A29"/>
        </w:tc>
        <w:tc>
          <w:tcPr>
            <w:tcW w:w="3345" w:type="dxa"/>
            <w:vMerge/>
          </w:tcPr>
          <w:p w14:paraId="15F8DAF8" w14:textId="77777777" w:rsidR="00454A29" w:rsidRDefault="00454A29"/>
        </w:tc>
        <w:tc>
          <w:tcPr>
            <w:tcW w:w="1701" w:type="dxa"/>
            <w:vAlign w:val="center"/>
          </w:tcPr>
          <w:p w14:paraId="06F51B56" w14:textId="77777777" w:rsidR="00454A29" w:rsidRDefault="00454A29">
            <w:pPr>
              <w:pStyle w:val="ConsPlusNormal"/>
              <w:jc w:val="center"/>
            </w:pPr>
            <w:r>
              <w:t>2023</w:t>
            </w:r>
          </w:p>
        </w:tc>
        <w:tc>
          <w:tcPr>
            <w:tcW w:w="1417" w:type="dxa"/>
            <w:vMerge/>
          </w:tcPr>
          <w:p w14:paraId="04267169" w14:textId="77777777" w:rsidR="00454A29" w:rsidRDefault="00454A29"/>
        </w:tc>
        <w:tc>
          <w:tcPr>
            <w:tcW w:w="2204" w:type="dxa"/>
            <w:vMerge/>
          </w:tcPr>
          <w:p w14:paraId="51D98157" w14:textId="77777777" w:rsidR="00454A29" w:rsidRDefault="00454A29"/>
        </w:tc>
        <w:tc>
          <w:tcPr>
            <w:tcW w:w="1417" w:type="dxa"/>
            <w:vMerge/>
          </w:tcPr>
          <w:p w14:paraId="2043C94A" w14:textId="77777777" w:rsidR="00454A29" w:rsidRDefault="00454A29"/>
        </w:tc>
        <w:tc>
          <w:tcPr>
            <w:tcW w:w="2324" w:type="dxa"/>
            <w:vMerge/>
          </w:tcPr>
          <w:p w14:paraId="638DD7D3" w14:textId="77777777" w:rsidR="00454A29" w:rsidRDefault="00454A29"/>
        </w:tc>
        <w:tc>
          <w:tcPr>
            <w:tcW w:w="1701" w:type="dxa"/>
            <w:vAlign w:val="center"/>
          </w:tcPr>
          <w:p w14:paraId="539D9F7B" w14:textId="77777777" w:rsidR="00454A29" w:rsidRDefault="00454A29">
            <w:pPr>
              <w:pStyle w:val="ConsPlusNormal"/>
              <w:jc w:val="center"/>
            </w:pPr>
            <w:r>
              <w:t>420044,60</w:t>
            </w:r>
          </w:p>
        </w:tc>
        <w:tc>
          <w:tcPr>
            <w:tcW w:w="1814" w:type="dxa"/>
            <w:vAlign w:val="center"/>
          </w:tcPr>
          <w:p w14:paraId="60FC05C0" w14:textId="77777777" w:rsidR="00454A29" w:rsidRDefault="00454A29">
            <w:pPr>
              <w:pStyle w:val="ConsPlusNormal"/>
              <w:jc w:val="center"/>
            </w:pPr>
            <w:r>
              <w:t>2083,42</w:t>
            </w:r>
          </w:p>
        </w:tc>
        <w:tc>
          <w:tcPr>
            <w:tcW w:w="1701" w:type="dxa"/>
            <w:vAlign w:val="center"/>
          </w:tcPr>
          <w:p w14:paraId="3F758F4F" w14:textId="77777777" w:rsidR="00454A29" w:rsidRDefault="00454A29">
            <w:pPr>
              <w:pStyle w:val="ConsPlusNormal"/>
              <w:jc w:val="center"/>
            </w:pPr>
            <w:r>
              <w:t>206258,6992</w:t>
            </w:r>
          </w:p>
        </w:tc>
        <w:tc>
          <w:tcPr>
            <w:tcW w:w="1701" w:type="dxa"/>
            <w:vAlign w:val="center"/>
          </w:tcPr>
          <w:p w14:paraId="1C07AD82" w14:textId="77777777" w:rsidR="00454A29" w:rsidRDefault="00454A29">
            <w:pPr>
              <w:pStyle w:val="ConsPlusNormal"/>
            </w:pPr>
          </w:p>
        </w:tc>
        <w:tc>
          <w:tcPr>
            <w:tcW w:w="1814" w:type="dxa"/>
            <w:vAlign w:val="center"/>
          </w:tcPr>
          <w:p w14:paraId="6D98059A" w14:textId="77777777" w:rsidR="00454A29" w:rsidRDefault="00454A29">
            <w:pPr>
              <w:pStyle w:val="ConsPlusNormal"/>
            </w:pPr>
          </w:p>
        </w:tc>
      </w:tr>
      <w:tr w:rsidR="00454A29" w14:paraId="6A67D0F9" w14:textId="77777777">
        <w:tc>
          <w:tcPr>
            <w:tcW w:w="567" w:type="dxa"/>
            <w:vMerge/>
          </w:tcPr>
          <w:p w14:paraId="537AE86A" w14:textId="77777777" w:rsidR="00454A29" w:rsidRDefault="00454A29"/>
        </w:tc>
        <w:tc>
          <w:tcPr>
            <w:tcW w:w="3345" w:type="dxa"/>
            <w:vMerge/>
          </w:tcPr>
          <w:p w14:paraId="2D32FC42" w14:textId="77777777" w:rsidR="00454A29" w:rsidRDefault="00454A29"/>
        </w:tc>
        <w:tc>
          <w:tcPr>
            <w:tcW w:w="1701" w:type="dxa"/>
            <w:vAlign w:val="center"/>
          </w:tcPr>
          <w:p w14:paraId="180429F9" w14:textId="77777777" w:rsidR="00454A29" w:rsidRDefault="00454A29">
            <w:pPr>
              <w:pStyle w:val="ConsPlusNormal"/>
              <w:jc w:val="center"/>
            </w:pPr>
            <w:r>
              <w:t>2024</w:t>
            </w:r>
          </w:p>
        </w:tc>
        <w:tc>
          <w:tcPr>
            <w:tcW w:w="1417" w:type="dxa"/>
            <w:vMerge/>
          </w:tcPr>
          <w:p w14:paraId="72CAFF8F" w14:textId="77777777" w:rsidR="00454A29" w:rsidRDefault="00454A29"/>
        </w:tc>
        <w:tc>
          <w:tcPr>
            <w:tcW w:w="2204" w:type="dxa"/>
            <w:vMerge/>
          </w:tcPr>
          <w:p w14:paraId="70BB0370" w14:textId="77777777" w:rsidR="00454A29" w:rsidRDefault="00454A29"/>
        </w:tc>
        <w:tc>
          <w:tcPr>
            <w:tcW w:w="1417" w:type="dxa"/>
            <w:vMerge/>
          </w:tcPr>
          <w:p w14:paraId="517FCE81" w14:textId="77777777" w:rsidR="00454A29" w:rsidRDefault="00454A29"/>
        </w:tc>
        <w:tc>
          <w:tcPr>
            <w:tcW w:w="2324" w:type="dxa"/>
            <w:vMerge/>
          </w:tcPr>
          <w:p w14:paraId="2F221D94" w14:textId="77777777" w:rsidR="00454A29" w:rsidRDefault="00454A29"/>
        </w:tc>
        <w:tc>
          <w:tcPr>
            <w:tcW w:w="1701" w:type="dxa"/>
            <w:vAlign w:val="center"/>
          </w:tcPr>
          <w:p w14:paraId="4AD59420" w14:textId="77777777" w:rsidR="00454A29" w:rsidRDefault="00454A29">
            <w:pPr>
              <w:pStyle w:val="ConsPlusNormal"/>
            </w:pPr>
          </w:p>
        </w:tc>
        <w:tc>
          <w:tcPr>
            <w:tcW w:w="1814" w:type="dxa"/>
            <w:vAlign w:val="center"/>
          </w:tcPr>
          <w:p w14:paraId="7EA075E6" w14:textId="77777777" w:rsidR="00454A29" w:rsidRDefault="00454A29">
            <w:pPr>
              <w:pStyle w:val="ConsPlusNormal"/>
            </w:pPr>
          </w:p>
        </w:tc>
        <w:tc>
          <w:tcPr>
            <w:tcW w:w="1701" w:type="dxa"/>
            <w:vAlign w:val="center"/>
          </w:tcPr>
          <w:p w14:paraId="6CD7F66F" w14:textId="77777777" w:rsidR="00454A29" w:rsidRDefault="00454A29">
            <w:pPr>
              <w:pStyle w:val="ConsPlusNormal"/>
            </w:pPr>
          </w:p>
        </w:tc>
        <w:tc>
          <w:tcPr>
            <w:tcW w:w="1701" w:type="dxa"/>
            <w:vAlign w:val="center"/>
          </w:tcPr>
          <w:p w14:paraId="3415E029" w14:textId="77777777" w:rsidR="00454A29" w:rsidRDefault="00454A29">
            <w:pPr>
              <w:pStyle w:val="ConsPlusNormal"/>
            </w:pPr>
          </w:p>
        </w:tc>
        <w:tc>
          <w:tcPr>
            <w:tcW w:w="1814" w:type="dxa"/>
            <w:vAlign w:val="center"/>
          </w:tcPr>
          <w:p w14:paraId="464544A9" w14:textId="77777777" w:rsidR="00454A29" w:rsidRDefault="00454A29">
            <w:pPr>
              <w:pStyle w:val="ConsPlusNormal"/>
            </w:pPr>
          </w:p>
        </w:tc>
      </w:tr>
      <w:tr w:rsidR="00454A29" w14:paraId="55CA84E7" w14:textId="77777777">
        <w:tc>
          <w:tcPr>
            <w:tcW w:w="567" w:type="dxa"/>
            <w:vMerge/>
          </w:tcPr>
          <w:p w14:paraId="2BC8C889" w14:textId="77777777" w:rsidR="00454A29" w:rsidRDefault="00454A29"/>
        </w:tc>
        <w:tc>
          <w:tcPr>
            <w:tcW w:w="3345" w:type="dxa"/>
            <w:vMerge/>
          </w:tcPr>
          <w:p w14:paraId="50C1EEB5" w14:textId="77777777" w:rsidR="00454A29" w:rsidRDefault="00454A29"/>
        </w:tc>
        <w:tc>
          <w:tcPr>
            <w:tcW w:w="1701" w:type="dxa"/>
            <w:vAlign w:val="center"/>
          </w:tcPr>
          <w:p w14:paraId="3AEF85C6" w14:textId="77777777" w:rsidR="00454A29" w:rsidRDefault="00454A29">
            <w:pPr>
              <w:pStyle w:val="ConsPlusNormal"/>
              <w:jc w:val="center"/>
            </w:pPr>
            <w:r>
              <w:t>2025</w:t>
            </w:r>
          </w:p>
        </w:tc>
        <w:tc>
          <w:tcPr>
            <w:tcW w:w="1417" w:type="dxa"/>
            <w:vMerge/>
          </w:tcPr>
          <w:p w14:paraId="11EBC59D" w14:textId="77777777" w:rsidR="00454A29" w:rsidRDefault="00454A29"/>
        </w:tc>
        <w:tc>
          <w:tcPr>
            <w:tcW w:w="2204" w:type="dxa"/>
            <w:vMerge/>
          </w:tcPr>
          <w:p w14:paraId="1D08D2DB" w14:textId="77777777" w:rsidR="00454A29" w:rsidRDefault="00454A29"/>
        </w:tc>
        <w:tc>
          <w:tcPr>
            <w:tcW w:w="1417" w:type="dxa"/>
            <w:vMerge/>
          </w:tcPr>
          <w:p w14:paraId="768DE596" w14:textId="77777777" w:rsidR="00454A29" w:rsidRDefault="00454A29"/>
        </w:tc>
        <w:tc>
          <w:tcPr>
            <w:tcW w:w="2324" w:type="dxa"/>
            <w:vMerge/>
          </w:tcPr>
          <w:p w14:paraId="3CAD9704" w14:textId="77777777" w:rsidR="00454A29" w:rsidRDefault="00454A29"/>
        </w:tc>
        <w:tc>
          <w:tcPr>
            <w:tcW w:w="1701" w:type="dxa"/>
            <w:vAlign w:val="center"/>
          </w:tcPr>
          <w:p w14:paraId="6A87411A" w14:textId="77777777" w:rsidR="00454A29" w:rsidRDefault="00454A29">
            <w:pPr>
              <w:pStyle w:val="ConsPlusNormal"/>
            </w:pPr>
          </w:p>
        </w:tc>
        <w:tc>
          <w:tcPr>
            <w:tcW w:w="1814" w:type="dxa"/>
            <w:vAlign w:val="center"/>
          </w:tcPr>
          <w:p w14:paraId="61D97BAD" w14:textId="77777777" w:rsidR="00454A29" w:rsidRDefault="00454A29">
            <w:pPr>
              <w:pStyle w:val="ConsPlusNormal"/>
            </w:pPr>
          </w:p>
        </w:tc>
        <w:tc>
          <w:tcPr>
            <w:tcW w:w="1701" w:type="dxa"/>
            <w:vAlign w:val="center"/>
          </w:tcPr>
          <w:p w14:paraId="6F6A9800" w14:textId="77777777" w:rsidR="00454A29" w:rsidRDefault="00454A29">
            <w:pPr>
              <w:pStyle w:val="ConsPlusNormal"/>
            </w:pPr>
          </w:p>
        </w:tc>
        <w:tc>
          <w:tcPr>
            <w:tcW w:w="1701" w:type="dxa"/>
            <w:vAlign w:val="center"/>
          </w:tcPr>
          <w:p w14:paraId="67563760" w14:textId="77777777" w:rsidR="00454A29" w:rsidRDefault="00454A29">
            <w:pPr>
              <w:pStyle w:val="ConsPlusNormal"/>
            </w:pPr>
          </w:p>
        </w:tc>
        <w:tc>
          <w:tcPr>
            <w:tcW w:w="1814" w:type="dxa"/>
            <w:vAlign w:val="center"/>
          </w:tcPr>
          <w:p w14:paraId="719755FB" w14:textId="77777777" w:rsidR="00454A29" w:rsidRDefault="00454A29">
            <w:pPr>
              <w:pStyle w:val="ConsPlusNormal"/>
            </w:pPr>
          </w:p>
        </w:tc>
      </w:tr>
      <w:tr w:rsidR="00454A29" w14:paraId="3FDF9CDD" w14:textId="77777777">
        <w:tc>
          <w:tcPr>
            <w:tcW w:w="567" w:type="dxa"/>
            <w:vMerge/>
          </w:tcPr>
          <w:p w14:paraId="55598289" w14:textId="77777777" w:rsidR="00454A29" w:rsidRDefault="00454A29"/>
        </w:tc>
        <w:tc>
          <w:tcPr>
            <w:tcW w:w="3345" w:type="dxa"/>
            <w:vMerge/>
          </w:tcPr>
          <w:p w14:paraId="65F19BD5" w14:textId="77777777" w:rsidR="00454A29" w:rsidRDefault="00454A29"/>
        </w:tc>
        <w:tc>
          <w:tcPr>
            <w:tcW w:w="1701" w:type="dxa"/>
            <w:vAlign w:val="center"/>
          </w:tcPr>
          <w:p w14:paraId="00F420F6" w14:textId="77777777" w:rsidR="00454A29" w:rsidRDefault="00454A29">
            <w:pPr>
              <w:pStyle w:val="ConsPlusNormal"/>
              <w:jc w:val="center"/>
            </w:pPr>
            <w:r>
              <w:t>2026</w:t>
            </w:r>
          </w:p>
        </w:tc>
        <w:tc>
          <w:tcPr>
            <w:tcW w:w="1417" w:type="dxa"/>
            <w:vMerge/>
          </w:tcPr>
          <w:p w14:paraId="30A12408" w14:textId="77777777" w:rsidR="00454A29" w:rsidRDefault="00454A29"/>
        </w:tc>
        <w:tc>
          <w:tcPr>
            <w:tcW w:w="2204" w:type="dxa"/>
            <w:vMerge/>
          </w:tcPr>
          <w:p w14:paraId="30F01642" w14:textId="77777777" w:rsidR="00454A29" w:rsidRDefault="00454A29"/>
        </w:tc>
        <w:tc>
          <w:tcPr>
            <w:tcW w:w="1417" w:type="dxa"/>
            <w:vMerge/>
          </w:tcPr>
          <w:p w14:paraId="0592AEAB" w14:textId="77777777" w:rsidR="00454A29" w:rsidRDefault="00454A29"/>
        </w:tc>
        <w:tc>
          <w:tcPr>
            <w:tcW w:w="2324" w:type="dxa"/>
            <w:vMerge/>
          </w:tcPr>
          <w:p w14:paraId="6743994B" w14:textId="77777777" w:rsidR="00454A29" w:rsidRDefault="00454A29"/>
        </w:tc>
        <w:tc>
          <w:tcPr>
            <w:tcW w:w="1701" w:type="dxa"/>
            <w:vAlign w:val="center"/>
          </w:tcPr>
          <w:p w14:paraId="275CB929" w14:textId="77777777" w:rsidR="00454A29" w:rsidRDefault="00454A29">
            <w:pPr>
              <w:pStyle w:val="ConsPlusNormal"/>
            </w:pPr>
          </w:p>
        </w:tc>
        <w:tc>
          <w:tcPr>
            <w:tcW w:w="1814" w:type="dxa"/>
            <w:vAlign w:val="center"/>
          </w:tcPr>
          <w:p w14:paraId="2B383310" w14:textId="77777777" w:rsidR="00454A29" w:rsidRDefault="00454A29">
            <w:pPr>
              <w:pStyle w:val="ConsPlusNormal"/>
            </w:pPr>
          </w:p>
        </w:tc>
        <w:tc>
          <w:tcPr>
            <w:tcW w:w="1701" w:type="dxa"/>
            <w:vAlign w:val="center"/>
          </w:tcPr>
          <w:p w14:paraId="260BA622" w14:textId="77777777" w:rsidR="00454A29" w:rsidRDefault="00454A29">
            <w:pPr>
              <w:pStyle w:val="ConsPlusNormal"/>
            </w:pPr>
          </w:p>
        </w:tc>
        <w:tc>
          <w:tcPr>
            <w:tcW w:w="1701" w:type="dxa"/>
            <w:vAlign w:val="center"/>
          </w:tcPr>
          <w:p w14:paraId="27F13E78" w14:textId="77777777" w:rsidR="00454A29" w:rsidRDefault="00454A29">
            <w:pPr>
              <w:pStyle w:val="ConsPlusNormal"/>
            </w:pPr>
          </w:p>
        </w:tc>
        <w:tc>
          <w:tcPr>
            <w:tcW w:w="1814" w:type="dxa"/>
            <w:vAlign w:val="center"/>
          </w:tcPr>
          <w:p w14:paraId="6CF64C72" w14:textId="77777777" w:rsidR="00454A29" w:rsidRDefault="00454A29">
            <w:pPr>
              <w:pStyle w:val="ConsPlusNormal"/>
            </w:pPr>
          </w:p>
        </w:tc>
      </w:tr>
      <w:tr w:rsidR="00454A29" w14:paraId="6B4FD3F4" w14:textId="77777777">
        <w:tc>
          <w:tcPr>
            <w:tcW w:w="21706" w:type="dxa"/>
            <w:gridSpan w:val="12"/>
            <w:vAlign w:val="center"/>
          </w:tcPr>
          <w:p w14:paraId="0091900C" w14:textId="77777777" w:rsidR="00454A29" w:rsidRDefault="00454A29">
            <w:pPr>
              <w:pStyle w:val="ConsPlusNormal"/>
              <w:jc w:val="center"/>
              <w:outlineLvl w:val="2"/>
            </w:pPr>
            <w:r>
              <w:t>МР "Верхнеколымский район"</w:t>
            </w:r>
          </w:p>
        </w:tc>
      </w:tr>
      <w:tr w:rsidR="00454A29" w14:paraId="399B93D5" w14:textId="77777777">
        <w:tc>
          <w:tcPr>
            <w:tcW w:w="567" w:type="dxa"/>
            <w:vMerge w:val="restart"/>
            <w:vAlign w:val="center"/>
          </w:tcPr>
          <w:p w14:paraId="70832F4D" w14:textId="77777777" w:rsidR="00454A29" w:rsidRDefault="00454A29">
            <w:pPr>
              <w:pStyle w:val="ConsPlusNormal"/>
              <w:jc w:val="center"/>
            </w:pPr>
            <w:r>
              <w:t>29</w:t>
            </w:r>
          </w:p>
        </w:tc>
        <w:tc>
          <w:tcPr>
            <w:tcW w:w="3345" w:type="dxa"/>
            <w:vMerge w:val="restart"/>
            <w:vAlign w:val="center"/>
          </w:tcPr>
          <w:p w14:paraId="73BA857F" w14:textId="77777777" w:rsidR="00454A29" w:rsidRDefault="00454A29">
            <w:pPr>
              <w:pStyle w:val="ConsPlusNormal"/>
              <w:jc w:val="center"/>
            </w:pPr>
            <w:r>
              <w:t>Школа-сад на 18/15 мест в с. Угольное</w:t>
            </w:r>
          </w:p>
        </w:tc>
        <w:tc>
          <w:tcPr>
            <w:tcW w:w="1701" w:type="dxa"/>
            <w:vAlign w:val="center"/>
          </w:tcPr>
          <w:p w14:paraId="55A041F6" w14:textId="77777777" w:rsidR="00454A29" w:rsidRDefault="00454A29">
            <w:pPr>
              <w:pStyle w:val="ConsPlusNormal"/>
              <w:jc w:val="center"/>
            </w:pPr>
            <w:r>
              <w:t>2020 - 2026 годы - всего</w:t>
            </w:r>
          </w:p>
        </w:tc>
        <w:tc>
          <w:tcPr>
            <w:tcW w:w="1417" w:type="dxa"/>
            <w:vMerge w:val="restart"/>
            <w:vAlign w:val="center"/>
          </w:tcPr>
          <w:p w14:paraId="000F58B5" w14:textId="77777777" w:rsidR="00454A29" w:rsidRDefault="00454A29">
            <w:pPr>
              <w:pStyle w:val="ConsPlusNormal"/>
              <w:jc w:val="center"/>
            </w:pPr>
            <w:r>
              <w:t>121 382,09</w:t>
            </w:r>
          </w:p>
        </w:tc>
        <w:tc>
          <w:tcPr>
            <w:tcW w:w="2204" w:type="dxa"/>
            <w:vMerge w:val="restart"/>
            <w:vAlign w:val="center"/>
          </w:tcPr>
          <w:p w14:paraId="67CABF2A" w14:textId="77777777" w:rsidR="00454A29" w:rsidRDefault="00454A29">
            <w:pPr>
              <w:pStyle w:val="ConsPlusNormal"/>
            </w:pPr>
          </w:p>
        </w:tc>
        <w:tc>
          <w:tcPr>
            <w:tcW w:w="1417" w:type="dxa"/>
            <w:vMerge w:val="restart"/>
            <w:vAlign w:val="center"/>
          </w:tcPr>
          <w:p w14:paraId="68149CED" w14:textId="77777777" w:rsidR="00454A29" w:rsidRDefault="00454A29">
            <w:pPr>
              <w:pStyle w:val="ConsPlusNormal"/>
              <w:jc w:val="center"/>
            </w:pPr>
            <w:r>
              <w:t>18</w:t>
            </w:r>
          </w:p>
        </w:tc>
        <w:tc>
          <w:tcPr>
            <w:tcW w:w="2324" w:type="dxa"/>
            <w:vMerge w:val="restart"/>
            <w:vAlign w:val="center"/>
          </w:tcPr>
          <w:p w14:paraId="79D5226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0970393" w14:textId="77777777" w:rsidR="00454A29" w:rsidRDefault="00454A29">
            <w:pPr>
              <w:pStyle w:val="ConsPlusNormal"/>
              <w:jc w:val="center"/>
            </w:pPr>
            <w:r>
              <w:t>121 382,09</w:t>
            </w:r>
          </w:p>
        </w:tc>
        <w:tc>
          <w:tcPr>
            <w:tcW w:w="1814" w:type="dxa"/>
            <w:vAlign w:val="center"/>
          </w:tcPr>
          <w:p w14:paraId="3C70CCA2" w14:textId="77777777" w:rsidR="00454A29" w:rsidRDefault="00454A29">
            <w:pPr>
              <w:pStyle w:val="ConsPlusNormal"/>
              <w:jc w:val="center"/>
            </w:pPr>
            <w:r>
              <w:t>1 495,43</w:t>
            </w:r>
          </w:p>
        </w:tc>
        <w:tc>
          <w:tcPr>
            <w:tcW w:w="1701" w:type="dxa"/>
            <w:vAlign w:val="center"/>
          </w:tcPr>
          <w:p w14:paraId="4E673F77" w14:textId="77777777" w:rsidR="00454A29" w:rsidRDefault="00454A29">
            <w:pPr>
              <w:pStyle w:val="ConsPlusNormal"/>
              <w:jc w:val="center"/>
            </w:pPr>
            <w:r>
              <w:t>148 047,31</w:t>
            </w:r>
          </w:p>
        </w:tc>
        <w:tc>
          <w:tcPr>
            <w:tcW w:w="1701" w:type="dxa"/>
            <w:vAlign w:val="center"/>
          </w:tcPr>
          <w:p w14:paraId="69FA8AA6" w14:textId="77777777" w:rsidR="00454A29" w:rsidRDefault="00454A29">
            <w:pPr>
              <w:pStyle w:val="ConsPlusNormal"/>
              <w:jc w:val="center"/>
            </w:pPr>
            <w:r>
              <w:t>-</w:t>
            </w:r>
          </w:p>
        </w:tc>
        <w:tc>
          <w:tcPr>
            <w:tcW w:w="1814" w:type="dxa"/>
            <w:vAlign w:val="center"/>
          </w:tcPr>
          <w:p w14:paraId="4BA5FB04" w14:textId="77777777" w:rsidR="00454A29" w:rsidRDefault="00454A29">
            <w:pPr>
              <w:pStyle w:val="ConsPlusNormal"/>
              <w:jc w:val="center"/>
            </w:pPr>
            <w:r>
              <w:t>-</w:t>
            </w:r>
          </w:p>
        </w:tc>
      </w:tr>
      <w:tr w:rsidR="00454A29" w14:paraId="00D1FE60" w14:textId="77777777">
        <w:tc>
          <w:tcPr>
            <w:tcW w:w="567" w:type="dxa"/>
            <w:vMerge/>
          </w:tcPr>
          <w:p w14:paraId="208321E1" w14:textId="77777777" w:rsidR="00454A29" w:rsidRDefault="00454A29"/>
        </w:tc>
        <w:tc>
          <w:tcPr>
            <w:tcW w:w="3345" w:type="dxa"/>
            <w:vMerge/>
          </w:tcPr>
          <w:p w14:paraId="61B783DC" w14:textId="77777777" w:rsidR="00454A29" w:rsidRDefault="00454A29"/>
        </w:tc>
        <w:tc>
          <w:tcPr>
            <w:tcW w:w="1701" w:type="dxa"/>
            <w:vAlign w:val="center"/>
          </w:tcPr>
          <w:p w14:paraId="584A87EE" w14:textId="77777777" w:rsidR="00454A29" w:rsidRDefault="00454A29">
            <w:pPr>
              <w:pStyle w:val="ConsPlusNormal"/>
              <w:jc w:val="center"/>
            </w:pPr>
            <w:r>
              <w:t>2020</w:t>
            </w:r>
          </w:p>
        </w:tc>
        <w:tc>
          <w:tcPr>
            <w:tcW w:w="1417" w:type="dxa"/>
            <w:vMerge/>
          </w:tcPr>
          <w:p w14:paraId="3E4D9CB6" w14:textId="77777777" w:rsidR="00454A29" w:rsidRDefault="00454A29"/>
        </w:tc>
        <w:tc>
          <w:tcPr>
            <w:tcW w:w="2204" w:type="dxa"/>
            <w:vMerge/>
          </w:tcPr>
          <w:p w14:paraId="4281D77F" w14:textId="77777777" w:rsidR="00454A29" w:rsidRDefault="00454A29"/>
        </w:tc>
        <w:tc>
          <w:tcPr>
            <w:tcW w:w="1417" w:type="dxa"/>
            <w:vMerge/>
          </w:tcPr>
          <w:p w14:paraId="0A34F3C3" w14:textId="77777777" w:rsidR="00454A29" w:rsidRDefault="00454A29"/>
        </w:tc>
        <w:tc>
          <w:tcPr>
            <w:tcW w:w="2324" w:type="dxa"/>
            <w:vMerge/>
          </w:tcPr>
          <w:p w14:paraId="2C784467" w14:textId="77777777" w:rsidR="00454A29" w:rsidRDefault="00454A29"/>
        </w:tc>
        <w:tc>
          <w:tcPr>
            <w:tcW w:w="1701" w:type="dxa"/>
            <w:vAlign w:val="center"/>
          </w:tcPr>
          <w:p w14:paraId="1CE4DE9D" w14:textId="77777777" w:rsidR="00454A29" w:rsidRDefault="00454A29">
            <w:pPr>
              <w:pStyle w:val="ConsPlusNormal"/>
            </w:pPr>
          </w:p>
        </w:tc>
        <w:tc>
          <w:tcPr>
            <w:tcW w:w="1814" w:type="dxa"/>
            <w:vAlign w:val="center"/>
          </w:tcPr>
          <w:p w14:paraId="133CF38C" w14:textId="77777777" w:rsidR="00454A29" w:rsidRDefault="00454A29">
            <w:pPr>
              <w:pStyle w:val="ConsPlusNormal"/>
            </w:pPr>
          </w:p>
        </w:tc>
        <w:tc>
          <w:tcPr>
            <w:tcW w:w="1701" w:type="dxa"/>
            <w:vAlign w:val="center"/>
          </w:tcPr>
          <w:p w14:paraId="2457F26A" w14:textId="77777777" w:rsidR="00454A29" w:rsidRDefault="00454A29">
            <w:pPr>
              <w:pStyle w:val="ConsPlusNormal"/>
            </w:pPr>
          </w:p>
        </w:tc>
        <w:tc>
          <w:tcPr>
            <w:tcW w:w="1701" w:type="dxa"/>
            <w:vAlign w:val="center"/>
          </w:tcPr>
          <w:p w14:paraId="5CFB9AF5" w14:textId="77777777" w:rsidR="00454A29" w:rsidRDefault="00454A29">
            <w:pPr>
              <w:pStyle w:val="ConsPlusNormal"/>
            </w:pPr>
          </w:p>
        </w:tc>
        <w:tc>
          <w:tcPr>
            <w:tcW w:w="1814" w:type="dxa"/>
            <w:vAlign w:val="center"/>
          </w:tcPr>
          <w:p w14:paraId="3B7489A9" w14:textId="77777777" w:rsidR="00454A29" w:rsidRDefault="00454A29">
            <w:pPr>
              <w:pStyle w:val="ConsPlusNormal"/>
            </w:pPr>
          </w:p>
        </w:tc>
      </w:tr>
      <w:tr w:rsidR="00454A29" w14:paraId="17D4E9F0" w14:textId="77777777">
        <w:tc>
          <w:tcPr>
            <w:tcW w:w="567" w:type="dxa"/>
            <w:vMerge/>
          </w:tcPr>
          <w:p w14:paraId="13186485" w14:textId="77777777" w:rsidR="00454A29" w:rsidRDefault="00454A29"/>
        </w:tc>
        <w:tc>
          <w:tcPr>
            <w:tcW w:w="3345" w:type="dxa"/>
            <w:vMerge/>
          </w:tcPr>
          <w:p w14:paraId="29D50C46" w14:textId="77777777" w:rsidR="00454A29" w:rsidRDefault="00454A29"/>
        </w:tc>
        <w:tc>
          <w:tcPr>
            <w:tcW w:w="1701" w:type="dxa"/>
            <w:vAlign w:val="center"/>
          </w:tcPr>
          <w:p w14:paraId="6D44A31F" w14:textId="77777777" w:rsidR="00454A29" w:rsidRDefault="00454A29">
            <w:pPr>
              <w:pStyle w:val="ConsPlusNormal"/>
              <w:jc w:val="center"/>
            </w:pPr>
            <w:r>
              <w:t>2021</w:t>
            </w:r>
          </w:p>
        </w:tc>
        <w:tc>
          <w:tcPr>
            <w:tcW w:w="1417" w:type="dxa"/>
            <w:vMerge/>
          </w:tcPr>
          <w:p w14:paraId="7D32BB9B" w14:textId="77777777" w:rsidR="00454A29" w:rsidRDefault="00454A29"/>
        </w:tc>
        <w:tc>
          <w:tcPr>
            <w:tcW w:w="2204" w:type="dxa"/>
            <w:vMerge/>
          </w:tcPr>
          <w:p w14:paraId="1E541BBA" w14:textId="77777777" w:rsidR="00454A29" w:rsidRDefault="00454A29"/>
        </w:tc>
        <w:tc>
          <w:tcPr>
            <w:tcW w:w="1417" w:type="dxa"/>
            <w:vMerge/>
          </w:tcPr>
          <w:p w14:paraId="1BB87023" w14:textId="77777777" w:rsidR="00454A29" w:rsidRDefault="00454A29"/>
        </w:tc>
        <w:tc>
          <w:tcPr>
            <w:tcW w:w="2324" w:type="dxa"/>
            <w:vMerge/>
          </w:tcPr>
          <w:p w14:paraId="0DB29FB9" w14:textId="77777777" w:rsidR="00454A29" w:rsidRDefault="00454A29"/>
        </w:tc>
        <w:tc>
          <w:tcPr>
            <w:tcW w:w="1701" w:type="dxa"/>
            <w:vAlign w:val="center"/>
          </w:tcPr>
          <w:p w14:paraId="18A627BE" w14:textId="77777777" w:rsidR="00454A29" w:rsidRDefault="00454A29">
            <w:pPr>
              <w:pStyle w:val="ConsPlusNormal"/>
            </w:pPr>
          </w:p>
        </w:tc>
        <w:tc>
          <w:tcPr>
            <w:tcW w:w="1814" w:type="dxa"/>
            <w:vAlign w:val="center"/>
          </w:tcPr>
          <w:p w14:paraId="394F6BF5" w14:textId="77777777" w:rsidR="00454A29" w:rsidRDefault="00454A29">
            <w:pPr>
              <w:pStyle w:val="ConsPlusNormal"/>
            </w:pPr>
          </w:p>
        </w:tc>
        <w:tc>
          <w:tcPr>
            <w:tcW w:w="1701" w:type="dxa"/>
            <w:vAlign w:val="center"/>
          </w:tcPr>
          <w:p w14:paraId="36ED57DE" w14:textId="77777777" w:rsidR="00454A29" w:rsidRDefault="00454A29">
            <w:pPr>
              <w:pStyle w:val="ConsPlusNormal"/>
            </w:pPr>
          </w:p>
        </w:tc>
        <w:tc>
          <w:tcPr>
            <w:tcW w:w="1701" w:type="dxa"/>
            <w:vAlign w:val="center"/>
          </w:tcPr>
          <w:p w14:paraId="4A50AC86" w14:textId="77777777" w:rsidR="00454A29" w:rsidRDefault="00454A29">
            <w:pPr>
              <w:pStyle w:val="ConsPlusNormal"/>
            </w:pPr>
          </w:p>
        </w:tc>
        <w:tc>
          <w:tcPr>
            <w:tcW w:w="1814" w:type="dxa"/>
            <w:vAlign w:val="center"/>
          </w:tcPr>
          <w:p w14:paraId="13F77875" w14:textId="77777777" w:rsidR="00454A29" w:rsidRDefault="00454A29">
            <w:pPr>
              <w:pStyle w:val="ConsPlusNormal"/>
            </w:pPr>
          </w:p>
        </w:tc>
      </w:tr>
      <w:tr w:rsidR="00454A29" w14:paraId="573C4CF8" w14:textId="77777777">
        <w:tc>
          <w:tcPr>
            <w:tcW w:w="567" w:type="dxa"/>
            <w:vMerge/>
          </w:tcPr>
          <w:p w14:paraId="5E1F4FF6" w14:textId="77777777" w:rsidR="00454A29" w:rsidRDefault="00454A29"/>
        </w:tc>
        <w:tc>
          <w:tcPr>
            <w:tcW w:w="3345" w:type="dxa"/>
            <w:vMerge/>
          </w:tcPr>
          <w:p w14:paraId="724B7DE9" w14:textId="77777777" w:rsidR="00454A29" w:rsidRDefault="00454A29"/>
        </w:tc>
        <w:tc>
          <w:tcPr>
            <w:tcW w:w="1701" w:type="dxa"/>
            <w:vAlign w:val="center"/>
          </w:tcPr>
          <w:p w14:paraId="552A42E9" w14:textId="77777777" w:rsidR="00454A29" w:rsidRDefault="00454A29">
            <w:pPr>
              <w:pStyle w:val="ConsPlusNormal"/>
              <w:jc w:val="center"/>
            </w:pPr>
            <w:r>
              <w:t>2022</w:t>
            </w:r>
          </w:p>
        </w:tc>
        <w:tc>
          <w:tcPr>
            <w:tcW w:w="1417" w:type="dxa"/>
            <w:vMerge/>
          </w:tcPr>
          <w:p w14:paraId="5155DACE" w14:textId="77777777" w:rsidR="00454A29" w:rsidRDefault="00454A29"/>
        </w:tc>
        <w:tc>
          <w:tcPr>
            <w:tcW w:w="2204" w:type="dxa"/>
            <w:vMerge/>
          </w:tcPr>
          <w:p w14:paraId="65B7FBD5" w14:textId="77777777" w:rsidR="00454A29" w:rsidRDefault="00454A29"/>
        </w:tc>
        <w:tc>
          <w:tcPr>
            <w:tcW w:w="1417" w:type="dxa"/>
            <w:vMerge/>
          </w:tcPr>
          <w:p w14:paraId="5E4502E7" w14:textId="77777777" w:rsidR="00454A29" w:rsidRDefault="00454A29"/>
        </w:tc>
        <w:tc>
          <w:tcPr>
            <w:tcW w:w="2324" w:type="dxa"/>
            <w:vMerge/>
          </w:tcPr>
          <w:p w14:paraId="188D40AC" w14:textId="77777777" w:rsidR="00454A29" w:rsidRDefault="00454A29"/>
        </w:tc>
        <w:tc>
          <w:tcPr>
            <w:tcW w:w="1701" w:type="dxa"/>
            <w:vAlign w:val="center"/>
          </w:tcPr>
          <w:p w14:paraId="7DF6B769" w14:textId="77777777" w:rsidR="00454A29" w:rsidRDefault="00454A29">
            <w:pPr>
              <w:pStyle w:val="ConsPlusNormal"/>
            </w:pPr>
          </w:p>
        </w:tc>
        <w:tc>
          <w:tcPr>
            <w:tcW w:w="1814" w:type="dxa"/>
            <w:vAlign w:val="center"/>
          </w:tcPr>
          <w:p w14:paraId="7CE7286F" w14:textId="77777777" w:rsidR="00454A29" w:rsidRDefault="00454A29">
            <w:pPr>
              <w:pStyle w:val="ConsPlusNormal"/>
            </w:pPr>
          </w:p>
        </w:tc>
        <w:tc>
          <w:tcPr>
            <w:tcW w:w="1701" w:type="dxa"/>
            <w:vAlign w:val="center"/>
          </w:tcPr>
          <w:p w14:paraId="4B071CBD" w14:textId="77777777" w:rsidR="00454A29" w:rsidRDefault="00454A29">
            <w:pPr>
              <w:pStyle w:val="ConsPlusNormal"/>
            </w:pPr>
          </w:p>
        </w:tc>
        <w:tc>
          <w:tcPr>
            <w:tcW w:w="1701" w:type="dxa"/>
            <w:vAlign w:val="center"/>
          </w:tcPr>
          <w:p w14:paraId="6AE66695" w14:textId="77777777" w:rsidR="00454A29" w:rsidRDefault="00454A29">
            <w:pPr>
              <w:pStyle w:val="ConsPlusNormal"/>
            </w:pPr>
          </w:p>
        </w:tc>
        <w:tc>
          <w:tcPr>
            <w:tcW w:w="1814" w:type="dxa"/>
            <w:vAlign w:val="center"/>
          </w:tcPr>
          <w:p w14:paraId="23FA5FDC" w14:textId="77777777" w:rsidR="00454A29" w:rsidRDefault="00454A29">
            <w:pPr>
              <w:pStyle w:val="ConsPlusNormal"/>
            </w:pPr>
          </w:p>
        </w:tc>
      </w:tr>
      <w:tr w:rsidR="00454A29" w14:paraId="16CDE408" w14:textId="77777777">
        <w:tc>
          <w:tcPr>
            <w:tcW w:w="567" w:type="dxa"/>
            <w:vMerge/>
          </w:tcPr>
          <w:p w14:paraId="3F619BF6" w14:textId="77777777" w:rsidR="00454A29" w:rsidRDefault="00454A29"/>
        </w:tc>
        <w:tc>
          <w:tcPr>
            <w:tcW w:w="3345" w:type="dxa"/>
            <w:vMerge/>
          </w:tcPr>
          <w:p w14:paraId="1EA90C5A" w14:textId="77777777" w:rsidR="00454A29" w:rsidRDefault="00454A29"/>
        </w:tc>
        <w:tc>
          <w:tcPr>
            <w:tcW w:w="1701" w:type="dxa"/>
            <w:vAlign w:val="center"/>
          </w:tcPr>
          <w:p w14:paraId="564BA652" w14:textId="77777777" w:rsidR="00454A29" w:rsidRDefault="00454A29">
            <w:pPr>
              <w:pStyle w:val="ConsPlusNormal"/>
              <w:jc w:val="center"/>
            </w:pPr>
            <w:r>
              <w:t>2023</w:t>
            </w:r>
          </w:p>
        </w:tc>
        <w:tc>
          <w:tcPr>
            <w:tcW w:w="1417" w:type="dxa"/>
            <w:vMerge/>
          </w:tcPr>
          <w:p w14:paraId="2F387886" w14:textId="77777777" w:rsidR="00454A29" w:rsidRDefault="00454A29"/>
        </w:tc>
        <w:tc>
          <w:tcPr>
            <w:tcW w:w="2204" w:type="dxa"/>
            <w:vMerge/>
          </w:tcPr>
          <w:p w14:paraId="24747344" w14:textId="77777777" w:rsidR="00454A29" w:rsidRDefault="00454A29"/>
        </w:tc>
        <w:tc>
          <w:tcPr>
            <w:tcW w:w="1417" w:type="dxa"/>
            <w:vMerge/>
          </w:tcPr>
          <w:p w14:paraId="2276AF3A" w14:textId="77777777" w:rsidR="00454A29" w:rsidRDefault="00454A29"/>
        </w:tc>
        <w:tc>
          <w:tcPr>
            <w:tcW w:w="2324" w:type="dxa"/>
            <w:vMerge/>
          </w:tcPr>
          <w:p w14:paraId="3E2D0E66" w14:textId="77777777" w:rsidR="00454A29" w:rsidRDefault="00454A29"/>
        </w:tc>
        <w:tc>
          <w:tcPr>
            <w:tcW w:w="1701" w:type="dxa"/>
            <w:vAlign w:val="center"/>
          </w:tcPr>
          <w:p w14:paraId="618E4016" w14:textId="77777777" w:rsidR="00454A29" w:rsidRDefault="00454A29">
            <w:pPr>
              <w:pStyle w:val="ConsPlusNormal"/>
            </w:pPr>
          </w:p>
        </w:tc>
        <w:tc>
          <w:tcPr>
            <w:tcW w:w="1814" w:type="dxa"/>
            <w:vAlign w:val="center"/>
          </w:tcPr>
          <w:p w14:paraId="293D6E73" w14:textId="77777777" w:rsidR="00454A29" w:rsidRDefault="00454A29">
            <w:pPr>
              <w:pStyle w:val="ConsPlusNormal"/>
            </w:pPr>
          </w:p>
        </w:tc>
        <w:tc>
          <w:tcPr>
            <w:tcW w:w="1701" w:type="dxa"/>
            <w:vAlign w:val="center"/>
          </w:tcPr>
          <w:p w14:paraId="34C2FF2E" w14:textId="77777777" w:rsidR="00454A29" w:rsidRDefault="00454A29">
            <w:pPr>
              <w:pStyle w:val="ConsPlusNormal"/>
            </w:pPr>
          </w:p>
        </w:tc>
        <w:tc>
          <w:tcPr>
            <w:tcW w:w="1701" w:type="dxa"/>
            <w:vAlign w:val="center"/>
          </w:tcPr>
          <w:p w14:paraId="37C4538A" w14:textId="77777777" w:rsidR="00454A29" w:rsidRDefault="00454A29">
            <w:pPr>
              <w:pStyle w:val="ConsPlusNormal"/>
            </w:pPr>
          </w:p>
        </w:tc>
        <w:tc>
          <w:tcPr>
            <w:tcW w:w="1814" w:type="dxa"/>
            <w:vAlign w:val="center"/>
          </w:tcPr>
          <w:p w14:paraId="01C5A815" w14:textId="77777777" w:rsidR="00454A29" w:rsidRDefault="00454A29">
            <w:pPr>
              <w:pStyle w:val="ConsPlusNormal"/>
            </w:pPr>
          </w:p>
        </w:tc>
      </w:tr>
      <w:tr w:rsidR="00454A29" w14:paraId="6E2A3C7E" w14:textId="77777777">
        <w:tc>
          <w:tcPr>
            <w:tcW w:w="567" w:type="dxa"/>
            <w:vMerge/>
          </w:tcPr>
          <w:p w14:paraId="73B1B570" w14:textId="77777777" w:rsidR="00454A29" w:rsidRDefault="00454A29"/>
        </w:tc>
        <w:tc>
          <w:tcPr>
            <w:tcW w:w="3345" w:type="dxa"/>
            <w:vMerge/>
          </w:tcPr>
          <w:p w14:paraId="038A72D1" w14:textId="77777777" w:rsidR="00454A29" w:rsidRDefault="00454A29"/>
        </w:tc>
        <w:tc>
          <w:tcPr>
            <w:tcW w:w="1701" w:type="dxa"/>
            <w:vAlign w:val="center"/>
          </w:tcPr>
          <w:p w14:paraId="71636968" w14:textId="77777777" w:rsidR="00454A29" w:rsidRDefault="00454A29">
            <w:pPr>
              <w:pStyle w:val="ConsPlusNormal"/>
              <w:jc w:val="center"/>
            </w:pPr>
            <w:r>
              <w:t>2024</w:t>
            </w:r>
          </w:p>
        </w:tc>
        <w:tc>
          <w:tcPr>
            <w:tcW w:w="1417" w:type="dxa"/>
            <w:vMerge/>
          </w:tcPr>
          <w:p w14:paraId="0DCF9E70" w14:textId="77777777" w:rsidR="00454A29" w:rsidRDefault="00454A29"/>
        </w:tc>
        <w:tc>
          <w:tcPr>
            <w:tcW w:w="2204" w:type="dxa"/>
            <w:vMerge/>
          </w:tcPr>
          <w:p w14:paraId="70FDF8A4" w14:textId="77777777" w:rsidR="00454A29" w:rsidRDefault="00454A29"/>
        </w:tc>
        <w:tc>
          <w:tcPr>
            <w:tcW w:w="1417" w:type="dxa"/>
            <w:vMerge/>
          </w:tcPr>
          <w:p w14:paraId="5A389021" w14:textId="77777777" w:rsidR="00454A29" w:rsidRDefault="00454A29"/>
        </w:tc>
        <w:tc>
          <w:tcPr>
            <w:tcW w:w="2324" w:type="dxa"/>
            <w:vMerge/>
          </w:tcPr>
          <w:p w14:paraId="46FE3933" w14:textId="77777777" w:rsidR="00454A29" w:rsidRDefault="00454A29"/>
        </w:tc>
        <w:tc>
          <w:tcPr>
            <w:tcW w:w="1701" w:type="dxa"/>
            <w:vAlign w:val="center"/>
          </w:tcPr>
          <w:p w14:paraId="21E532FE" w14:textId="77777777" w:rsidR="00454A29" w:rsidRDefault="00454A29">
            <w:pPr>
              <w:pStyle w:val="ConsPlusNormal"/>
            </w:pPr>
          </w:p>
        </w:tc>
        <w:tc>
          <w:tcPr>
            <w:tcW w:w="1814" w:type="dxa"/>
            <w:vAlign w:val="center"/>
          </w:tcPr>
          <w:p w14:paraId="70E20F77" w14:textId="77777777" w:rsidR="00454A29" w:rsidRDefault="00454A29">
            <w:pPr>
              <w:pStyle w:val="ConsPlusNormal"/>
            </w:pPr>
          </w:p>
        </w:tc>
        <w:tc>
          <w:tcPr>
            <w:tcW w:w="1701" w:type="dxa"/>
            <w:vAlign w:val="center"/>
          </w:tcPr>
          <w:p w14:paraId="2B78363A" w14:textId="77777777" w:rsidR="00454A29" w:rsidRDefault="00454A29">
            <w:pPr>
              <w:pStyle w:val="ConsPlusNormal"/>
            </w:pPr>
          </w:p>
        </w:tc>
        <w:tc>
          <w:tcPr>
            <w:tcW w:w="1701" w:type="dxa"/>
            <w:vAlign w:val="center"/>
          </w:tcPr>
          <w:p w14:paraId="3DC51B6C" w14:textId="77777777" w:rsidR="00454A29" w:rsidRDefault="00454A29">
            <w:pPr>
              <w:pStyle w:val="ConsPlusNormal"/>
            </w:pPr>
          </w:p>
        </w:tc>
        <w:tc>
          <w:tcPr>
            <w:tcW w:w="1814" w:type="dxa"/>
            <w:vAlign w:val="center"/>
          </w:tcPr>
          <w:p w14:paraId="4DB9DB98" w14:textId="77777777" w:rsidR="00454A29" w:rsidRDefault="00454A29">
            <w:pPr>
              <w:pStyle w:val="ConsPlusNormal"/>
            </w:pPr>
          </w:p>
        </w:tc>
      </w:tr>
      <w:tr w:rsidR="00454A29" w14:paraId="4DF86495" w14:textId="77777777">
        <w:tc>
          <w:tcPr>
            <w:tcW w:w="567" w:type="dxa"/>
            <w:vMerge/>
          </w:tcPr>
          <w:p w14:paraId="655FABA7" w14:textId="77777777" w:rsidR="00454A29" w:rsidRDefault="00454A29"/>
        </w:tc>
        <w:tc>
          <w:tcPr>
            <w:tcW w:w="3345" w:type="dxa"/>
            <w:vMerge/>
          </w:tcPr>
          <w:p w14:paraId="22490581" w14:textId="77777777" w:rsidR="00454A29" w:rsidRDefault="00454A29"/>
        </w:tc>
        <w:tc>
          <w:tcPr>
            <w:tcW w:w="1701" w:type="dxa"/>
            <w:vAlign w:val="center"/>
          </w:tcPr>
          <w:p w14:paraId="6664E58D" w14:textId="77777777" w:rsidR="00454A29" w:rsidRDefault="00454A29">
            <w:pPr>
              <w:pStyle w:val="ConsPlusNormal"/>
              <w:jc w:val="center"/>
            </w:pPr>
            <w:r>
              <w:t>2025</w:t>
            </w:r>
          </w:p>
        </w:tc>
        <w:tc>
          <w:tcPr>
            <w:tcW w:w="1417" w:type="dxa"/>
            <w:vMerge/>
          </w:tcPr>
          <w:p w14:paraId="47C73B32" w14:textId="77777777" w:rsidR="00454A29" w:rsidRDefault="00454A29"/>
        </w:tc>
        <w:tc>
          <w:tcPr>
            <w:tcW w:w="2204" w:type="dxa"/>
            <w:vMerge/>
          </w:tcPr>
          <w:p w14:paraId="4136D95C" w14:textId="77777777" w:rsidR="00454A29" w:rsidRDefault="00454A29"/>
        </w:tc>
        <w:tc>
          <w:tcPr>
            <w:tcW w:w="1417" w:type="dxa"/>
            <w:vMerge/>
          </w:tcPr>
          <w:p w14:paraId="703D8359" w14:textId="77777777" w:rsidR="00454A29" w:rsidRDefault="00454A29"/>
        </w:tc>
        <w:tc>
          <w:tcPr>
            <w:tcW w:w="2324" w:type="dxa"/>
            <w:vMerge/>
          </w:tcPr>
          <w:p w14:paraId="02E4E0E0" w14:textId="77777777" w:rsidR="00454A29" w:rsidRDefault="00454A29"/>
        </w:tc>
        <w:tc>
          <w:tcPr>
            <w:tcW w:w="1701" w:type="dxa"/>
            <w:vAlign w:val="center"/>
          </w:tcPr>
          <w:p w14:paraId="2193A873" w14:textId="77777777" w:rsidR="00454A29" w:rsidRDefault="00454A29">
            <w:pPr>
              <w:pStyle w:val="ConsPlusNormal"/>
            </w:pPr>
          </w:p>
        </w:tc>
        <w:tc>
          <w:tcPr>
            <w:tcW w:w="1814" w:type="dxa"/>
            <w:vAlign w:val="center"/>
          </w:tcPr>
          <w:p w14:paraId="38B20AAA" w14:textId="77777777" w:rsidR="00454A29" w:rsidRDefault="00454A29">
            <w:pPr>
              <w:pStyle w:val="ConsPlusNormal"/>
            </w:pPr>
          </w:p>
        </w:tc>
        <w:tc>
          <w:tcPr>
            <w:tcW w:w="1701" w:type="dxa"/>
            <w:vAlign w:val="center"/>
          </w:tcPr>
          <w:p w14:paraId="214FDFCB" w14:textId="77777777" w:rsidR="00454A29" w:rsidRDefault="00454A29">
            <w:pPr>
              <w:pStyle w:val="ConsPlusNormal"/>
            </w:pPr>
          </w:p>
        </w:tc>
        <w:tc>
          <w:tcPr>
            <w:tcW w:w="1701" w:type="dxa"/>
            <w:vAlign w:val="center"/>
          </w:tcPr>
          <w:p w14:paraId="104945E4" w14:textId="77777777" w:rsidR="00454A29" w:rsidRDefault="00454A29">
            <w:pPr>
              <w:pStyle w:val="ConsPlusNormal"/>
            </w:pPr>
          </w:p>
        </w:tc>
        <w:tc>
          <w:tcPr>
            <w:tcW w:w="1814" w:type="dxa"/>
            <w:vAlign w:val="center"/>
          </w:tcPr>
          <w:p w14:paraId="660AF8D1" w14:textId="77777777" w:rsidR="00454A29" w:rsidRDefault="00454A29">
            <w:pPr>
              <w:pStyle w:val="ConsPlusNormal"/>
            </w:pPr>
          </w:p>
        </w:tc>
      </w:tr>
      <w:tr w:rsidR="00454A29" w14:paraId="4ED42952" w14:textId="77777777">
        <w:tc>
          <w:tcPr>
            <w:tcW w:w="567" w:type="dxa"/>
            <w:vMerge/>
          </w:tcPr>
          <w:p w14:paraId="4D378F3B" w14:textId="77777777" w:rsidR="00454A29" w:rsidRDefault="00454A29"/>
        </w:tc>
        <w:tc>
          <w:tcPr>
            <w:tcW w:w="3345" w:type="dxa"/>
            <w:vMerge/>
          </w:tcPr>
          <w:p w14:paraId="677EA1DF" w14:textId="77777777" w:rsidR="00454A29" w:rsidRDefault="00454A29"/>
        </w:tc>
        <w:tc>
          <w:tcPr>
            <w:tcW w:w="1701" w:type="dxa"/>
            <w:vAlign w:val="center"/>
          </w:tcPr>
          <w:p w14:paraId="0014E73F" w14:textId="77777777" w:rsidR="00454A29" w:rsidRDefault="00454A29">
            <w:pPr>
              <w:pStyle w:val="ConsPlusNormal"/>
              <w:jc w:val="center"/>
            </w:pPr>
            <w:r>
              <w:t>2026</w:t>
            </w:r>
          </w:p>
        </w:tc>
        <w:tc>
          <w:tcPr>
            <w:tcW w:w="1417" w:type="dxa"/>
            <w:vMerge/>
          </w:tcPr>
          <w:p w14:paraId="3CF7F956" w14:textId="77777777" w:rsidR="00454A29" w:rsidRDefault="00454A29"/>
        </w:tc>
        <w:tc>
          <w:tcPr>
            <w:tcW w:w="2204" w:type="dxa"/>
            <w:vMerge/>
          </w:tcPr>
          <w:p w14:paraId="10251A7C" w14:textId="77777777" w:rsidR="00454A29" w:rsidRDefault="00454A29"/>
        </w:tc>
        <w:tc>
          <w:tcPr>
            <w:tcW w:w="1417" w:type="dxa"/>
            <w:vMerge/>
          </w:tcPr>
          <w:p w14:paraId="7A75B7AC" w14:textId="77777777" w:rsidR="00454A29" w:rsidRDefault="00454A29"/>
        </w:tc>
        <w:tc>
          <w:tcPr>
            <w:tcW w:w="2324" w:type="dxa"/>
            <w:vMerge/>
          </w:tcPr>
          <w:p w14:paraId="11143D45" w14:textId="77777777" w:rsidR="00454A29" w:rsidRDefault="00454A29"/>
        </w:tc>
        <w:tc>
          <w:tcPr>
            <w:tcW w:w="1701" w:type="dxa"/>
            <w:vAlign w:val="center"/>
          </w:tcPr>
          <w:p w14:paraId="507F363D" w14:textId="77777777" w:rsidR="00454A29" w:rsidRDefault="00454A29">
            <w:pPr>
              <w:pStyle w:val="ConsPlusNormal"/>
              <w:jc w:val="center"/>
            </w:pPr>
            <w:r>
              <w:t>121 382,09</w:t>
            </w:r>
          </w:p>
        </w:tc>
        <w:tc>
          <w:tcPr>
            <w:tcW w:w="1814" w:type="dxa"/>
            <w:vAlign w:val="center"/>
          </w:tcPr>
          <w:p w14:paraId="3B50A883" w14:textId="77777777" w:rsidR="00454A29" w:rsidRDefault="00454A29">
            <w:pPr>
              <w:pStyle w:val="ConsPlusNormal"/>
              <w:jc w:val="center"/>
            </w:pPr>
            <w:r>
              <w:t>1 495,43</w:t>
            </w:r>
          </w:p>
        </w:tc>
        <w:tc>
          <w:tcPr>
            <w:tcW w:w="1701" w:type="dxa"/>
            <w:vAlign w:val="center"/>
          </w:tcPr>
          <w:p w14:paraId="205D8814" w14:textId="77777777" w:rsidR="00454A29" w:rsidRDefault="00454A29">
            <w:pPr>
              <w:pStyle w:val="ConsPlusNormal"/>
              <w:jc w:val="center"/>
            </w:pPr>
            <w:r>
              <w:t>148 047,31</w:t>
            </w:r>
          </w:p>
        </w:tc>
        <w:tc>
          <w:tcPr>
            <w:tcW w:w="1701" w:type="dxa"/>
            <w:vAlign w:val="center"/>
          </w:tcPr>
          <w:p w14:paraId="3F3A1C9D" w14:textId="77777777" w:rsidR="00454A29" w:rsidRDefault="00454A29">
            <w:pPr>
              <w:pStyle w:val="ConsPlusNormal"/>
            </w:pPr>
          </w:p>
        </w:tc>
        <w:tc>
          <w:tcPr>
            <w:tcW w:w="1814" w:type="dxa"/>
            <w:vAlign w:val="center"/>
          </w:tcPr>
          <w:p w14:paraId="33689977" w14:textId="77777777" w:rsidR="00454A29" w:rsidRDefault="00454A29">
            <w:pPr>
              <w:pStyle w:val="ConsPlusNormal"/>
            </w:pPr>
          </w:p>
        </w:tc>
      </w:tr>
      <w:tr w:rsidR="00454A29" w14:paraId="4BFB9E0A" w14:textId="77777777">
        <w:tc>
          <w:tcPr>
            <w:tcW w:w="21706" w:type="dxa"/>
            <w:gridSpan w:val="12"/>
            <w:vAlign w:val="center"/>
          </w:tcPr>
          <w:p w14:paraId="3C420661" w14:textId="77777777" w:rsidR="00454A29" w:rsidRDefault="00454A29">
            <w:pPr>
              <w:pStyle w:val="ConsPlusNormal"/>
              <w:jc w:val="center"/>
              <w:outlineLvl w:val="2"/>
            </w:pPr>
            <w:r>
              <w:t>МО "Верхоянский район"</w:t>
            </w:r>
          </w:p>
        </w:tc>
      </w:tr>
      <w:tr w:rsidR="00454A29" w14:paraId="68FBCE91" w14:textId="77777777">
        <w:tc>
          <w:tcPr>
            <w:tcW w:w="567" w:type="dxa"/>
            <w:vMerge w:val="restart"/>
            <w:vAlign w:val="center"/>
          </w:tcPr>
          <w:p w14:paraId="0EEAC791" w14:textId="77777777" w:rsidR="00454A29" w:rsidRDefault="00454A29">
            <w:pPr>
              <w:pStyle w:val="ConsPlusNormal"/>
              <w:jc w:val="center"/>
            </w:pPr>
            <w:r>
              <w:lastRenderedPageBreak/>
              <w:t>30</w:t>
            </w:r>
          </w:p>
        </w:tc>
        <w:tc>
          <w:tcPr>
            <w:tcW w:w="3345" w:type="dxa"/>
            <w:vMerge w:val="restart"/>
            <w:vAlign w:val="center"/>
          </w:tcPr>
          <w:p w14:paraId="5FF6C8A9" w14:textId="77777777" w:rsidR="00454A29" w:rsidRDefault="00454A29">
            <w:pPr>
              <w:pStyle w:val="ConsPlusNormal"/>
              <w:jc w:val="center"/>
            </w:pPr>
            <w:r>
              <w:t>Школа на 120 учащихся в с. Сайды</w:t>
            </w:r>
          </w:p>
        </w:tc>
        <w:tc>
          <w:tcPr>
            <w:tcW w:w="1701" w:type="dxa"/>
            <w:vAlign w:val="center"/>
          </w:tcPr>
          <w:p w14:paraId="197CE412" w14:textId="77777777" w:rsidR="00454A29" w:rsidRDefault="00454A29">
            <w:pPr>
              <w:pStyle w:val="ConsPlusNormal"/>
              <w:jc w:val="center"/>
            </w:pPr>
            <w:r>
              <w:t>2020 - 2026 годы - всего</w:t>
            </w:r>
          </w:p>
        </w:tc>
        <w:tc>
          <w:tcPr>
            <w:tcW w:w="1417" w:type="dxa"/>
            <w:vMerge w:val="restart"/>
            <w:vAlign w:val="center"/>
          </w:tcPr>
          <w:p w14:paraId="674656DC" w14:textId="77777777" w:rsidR="00454A29" w:rsidRDefault="00454A29">
            <w:pPr>
              <w:pStyle w:val="ConsPlusNormal"/>
              <w:jc w:val="center"/>
            </w:pPr>
            <w:r>
              <w:t>208 337,92</w:t>
            </w:r>
          </w:p>
        </w:tc>
        <w:tc>
          <w:tcPr>
            <w:tcW w:w="2204" w:type="dxa"/>
            <w:vMerge w:val="restart"/>
            <w:vAlign w:val="center"/>
          </w:tcPr>
          <w:p w14:paraId="107F2B56" w14:textId="77777777" w:rsidR="00454A29" w:rsidRDefault="00454A29">
            <w:pPr>
              <w:pStyle w:val="ConsPlusNormal"/>
              <w:jc w:val="center"/>
            </w:pPr>
            <w:r>
              <w:t>имеется</w:t>
            </w:r>
          </w:p>
        </w:tc>
        <w:tc>
          <w:tcPr>
            <w:tcW w:w="1417" w:type="dxa"/>
            <w:vMerge w:val="restart"/>
            <w:vAlign w:val="center"/>
          </w:tcPr>
          <w:p w14:paraId="79AE4DEB" w14:textId="77777777" w:rsidR="00454A29" w:rsidRDefault="00454A29">
            <w:pPr>
              <w:pStyle w:val="ConsPlusNormal"/>
              <w:jc w:val="center"/>
            </w:pPr>
            <w:r>
              <w:t>120</w:t>
            </w:r>
          </w:p>
        </w:tc>
        <w:tc>
          <w:tcPr>
            <w:tcW w:w="2324" w:type="dxa"/>
            <w:vMerge w:val="restart"/>
            <w:vAlign w:val="center"/>
          </w:tcPr>
          <w:p w14:paraId="2EF01BB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C652D1A" w14:textId="77777777" w:rsidR="00454A29" w:rsidRDefault="00454A29">
            <w:pPr>
              <w:pStyle w:val="ConsPlusNormal"/>
              <w:jc w:val="center"/>
            </w:pPr>
            <w:r>
              <w:t>208 337,92</w:t>
            </w:r>
          </w:p>
        </w:tc>
        <w:tc>
          <w:tcPr>
            <w:tcW w:w="1814" w:type="dxa"/>
            <w:vAlign w:val="center"/>
          </w:tcPr>
          <w:p w14:paraId="6080198E" w14:textId="77777777" w:rsidR="00454A29" w:rsidRDefault="00454A29">
            <w:pPr>
              <w:pStyle w:val="ConsPlusNormal"/>
              <w:jc w:val="center"/>
            </w:pPr>
            <w:r>
              <w:t>2 079,22</w:t>
            </w:r>
          </w:p>
        </w:tc>
        <w:tc>
          <w:tcPr>
            <w:tcW w:w="1701" w:type="dxa"/>
            <w:vAlign w:val="center"/>
          </w:tcPr>
          <w:p w14:paraId="2D6157FF" w14:textId="77777777" w:rsidR="00454A29" w:rsidRDefault="00454A29">
            <w:pPr>
              <w:pStyle w:val="ConsPlusNormal"/>
              <w:jc w:val="center"/>
            </w:pPr>
            <w:r>
              <w:t>206 258,70</w:t>
            </w:r>
          </w:p>
        </w:tc>
        <w:tc>
          <w:tcPr>
            <w:tcW w:w="1701" w:type="dxa"/>
            <w:vAlign w:val="center"/>
          </w:tcPr>
          <w:p w14:paraId="0A798B56" w14:textId="77777777" w:rsidR="00454A29" w:rsidRDefault="00454A29">
            <w:pPr>
              <w:pStyle w:val="ConsPlusNormal"/>
              <w:jc w:val="center"/>
            </w:pPr>
            <w:r>
              <w:t>-</w:t>
            </w:r>
          </w:p>
        </w:tc>
        <w:tc>
          <w:tcPr>
            <w:tcW w:w="1814" w:type="dxa"/>
            <w:vAlign w:val="center"/>
          </w:tcPr>
          <w:p w14:paraId="73E31078" w14:textId="77777777" w:rsidR="00454A29" w:rsidRDefault="00454A29">
            <w:pPr>
              <w:pStyle w:val="ConsPlusNormal"/>
              <w:jc w:val="center"/>
            </w:pPr>
            <w:r>
              <w:t>-</w:t>
            </w:r>
          </w:p>
        </w:tc>
      </w:tr>
      <w:tr w:rsidR="00454A29" w14:paraId="32C3D926" w14:textId="77777777">
        <w:tc>
          <w:tcPr>
            <w:tcW w:w="567" w:type="dxa"/>
            <w:vMerge/>
          </w:tcPr>
          <w:p w14:paraId="1F307E00" w14:textId="77777777" w:rsidR="00454A29" w:rsidRDefault="00454A29"/>
        </w:tc>
        <w:tc>
          <w:tcPr>
            <w:tcW w:w="3345" w:type="dxa"/>
            <w:vMerge/>
          </w:tcPr>
          <w:p w14:paraId="225E7A01" w14:textId="77777777" w:rsidR="00454A29" w:rsidRDefault="00454A29"/>
        </w:tc>
        <w:tc>
          <w:tcPr>
            <w:tcW w:w="1701" w:type="dxa"/>
            <w:vAlign w:val="center"/>
          </w:tcPr>
          <w:p w14:paraId="1D7B2E17" w14:textId="77777777" w:rsidR="00454A29" w:rsidRDefault="00454A29">
            <w:pPr>
              <w:pStyle w:val="ConsPlusNormal"/>
              <w:jc w:val="center"/>
            </w:pPr>
            <w:r>
              <w:t>2020</w:t>
            </w:r>
          </w:p>
        </w:tc>
        <w:tc>
          <w:tcPr>
            <w:tcW w:w="1417" w:type="dxa"/>
            <w:vMerge/>
          </w:tcPr>
          <w:p w14:paraId="19A3E4E6" w14:textId="77777777" w:rsidR="00454A29" w:rsidRDefault="00454A29"/>
        </w:tc>
        <w:tc>
          <w:tcPr>
            <w:tcW w:w="2204" w:type="dxa"/>
            <w:vMerge/>
          </w:tcPr>
          <w:p w14:paraId="3F911C67" w14:textId="77777777" w:rsidR="00454A29" w:rsidRDefault="00454A29"/>
        </w:tc>
        <w:tc>
          <w:tcPr>
            <w:tcW w:w="1417" w:type="dxa"/>
            <w:vMerge/>
          </w:tcPr>
          <w:p w14:paraId="3CFB74E2" w14:textId="77777777" w:rsidR="00454A29" w:rsidRDefault="00454A29"/>
        </w:tc>
        <w:tc>
          <w:tcPr>
            <w:tcW w:w="2324" w:type="dxa"/>
            <w:vMerge/>
          </w:tcPr>
          <w:p w14:paraId="15BFD74C" w14:textId="77777777" w:rsidR="00454A29" w:rsidRDefault="00454A29"/>
        </w:tc>
        <w:tc>
          <w:tcPr>
            <w:tcW w:w="1701" w:type="dxa"/>
            <w:vAlign w:val="center"/>
          </w:tcPr>
          <w:p w14:paraId="7BB3463D" w14:textId="77777777" w:rsidR="00454A29" w:rsidRDefault="00454A29">
            <w:pPr>
              <w:pStyle w:val="ConsPlusNormal"/>
            </w:pPr>
          </w:p>
        </w:tc>
        <w:tc>
          <w:tcPr>
            <w:tcW w:w="1814" w:type="dxa"/>
            <w:vAlign w:val="center"/>
          </w:tcPr>
          <w:p w14:paraId="279A84E1" w14:textId="77777777" w:rsidR="00454A29" w:rsidRDefault="00454A29">
            <w:pPr>
              <w:pStyle w:val="ConsPlusNormal"/>
            </w:pPr>
          </w:p>
        </w:tc>
        <w:tc>
          <w:tcPr>
            <w:tcW w:w="1701" w:type="dxa"/>
            <w:vAlign w:val="center"/>
          </w:tcPr>
          <w:p w14:paraId="6DE862CF" w14:textId="77777777" w:rsidR="00454A29" w:rsidRDefault="00454A29">
            <w:pPr>
              <w:pStyle w:val="ConsPlusNormal"/>
            </w:pPr>
          </w:p>
        </w:tc>
        <w:tc>
          <w:tcPr>
            <w:tcW w:w="1701" w:type="dxa"/>
            <w:vAlign w:val="center"/>
          </w:tcPr>
          <w:p w14:paraId="07238C73" w14:textId="77777777" w:rsidR="00454A29" w:rsidRDefault="00454A29">
            <w:pPr>
              <w:pStyle w:val="ConsPlusNormal"/>
            </w:pPr>
          </w:p>
        </w:tc>
        <w:tc>
          <w:tcPr>
            <w:tcW w:w="1814" w:type="dxa"/>
            <w:vAlign w:val="center"/>
          </w:tcPr>
          <w:p w14:paraId="79CFC4F5" w14:textId="77777777" w:rsidR="00454A29" w:rsidRDefault="00454A29">
            <w:pPr>
              <w:pStyle w:val="ConsPlusNormal"/>
            </w:pPr>
          </w:p>
        </w:tc>
      </w:tr>
      <w:tr w:rsidR="00454A29" w14:paraId="71F9DB4D" w14:textId="77777777">
        <w:tc>
          <w:tcPr>
            <w:tcW w:w="567" w:type="dxa"/>
            <w:vMerge/>
          </w:tcPr>
          <w:p w14:paraId="1E6E613F" w14:textId="77777777" w:rsidR="00454A29" w:rsidRDefault="00454A29"/>
        </w:tc>
        <w:tc>
          <w:tcPr>
            <w:tcW w:w="3345" w:type="dxa"/>
            <w:vMerge/>
          </w:tcPr>
          <w:p w14:paraId="0B956A95" w14:textId="77777777" w:rsidR="00454A29" w:rsidRDefault="00454A29"/>
        </w:tc>
        <w:tc>
          <w:tcPr>
            <w:tcW w:w="1701" w:type="dxa"/>
            <w:vAlign w:val="center"/>
          </w:tcPr>
          <w:p w14:paraId="7E268E8C" w14:textId="77777777" w:rsidR="00454A29" w:rsidRDefault="00454A29">
            <w:pPr>
              <w:pStyle w:val="ConsPlusNormal"/>
              <w:jc w:val="center"/>
            </w:pPr>
            <w:r>
              <w:t>2021</w:t>
            </w:r>
          </w:p>
        </w:tc>
        <w:tc>
          <w:tcPr>
            <w:tcW w:w="1417" w:type="dxa"/>
            <w:vMerge/>
          </w:tcPr>
          <w:p w14:paraId="28378872" w14:textId="77777777" w:rsidR="00454A29" w:rsidRDefault="00454A29"/>
        </w:tc>
        <w:tc>
          <w:tcPr>
            <w:tcW w:w="2204" w:type="dxa"/>
            <w:vMerge/>
          </w:tcPr>
          <w:p w14:paraId="757A535B" w14:textId="77777777" w:rsidR="00454A29" w:rsidRDefault="00454A29"/>
        </w:tc>
        <w:tc>
          <w:tcPr>
            <w:tcW w:w="1417" w:type="dxa"/>
            <w:vMerge/>
          </w:tcPr>
          <w:p w14:paraId="70DCB102" w14:textId="77777777" w:rsidR="00454A29" w:rsidRDefault="00454A29"/>
        </w:tc>
        <w:tc>
          <w:tcPr>
            <w:tcW w:w="2324" w:type="dxa"/>
            <w:vMerge/>
          </w:tcPr>
          <w:p w14:paraId="5D7F89BE" w14:textId="77777777" w:rsidR="00454A29" w:rsidRDefault="00454A29"/>
        </w:tc>
        <w:tc>
          <w:tcPr>
            <w:tcW w:w="1701" w:type="dxa"/>
            <w:vAlign w:val="center"/>
          </w:tcPr>
          <w:p w14:paraId="00D42D25" w14:textId="77777777" w:rsidR="00454A29" w:rsidRDefault="00454A29">
            <w:pPr>
              <w:pStyle w:val="ConsPlusNormal"/>
            </w:pPr>
          </w:p>
        </w:tc>
        <w:tc>
          <w:tcPr>
            <w:tcW w:w="1814" w:type="dxa"/>
            <w:vAlign w:val="center"/>
          </w:tcPr>
          <w:p w14:paraId="66D4A63A" w14:textId="77777777" w:rsidR="00454A29" w:rsidRDefault="00454A29">
            <w:pPr>
              <w:pStyle w:val="ConsPlusNormal"/>
            </w:pPr>
          </w:p>
        </w:tc>
        <w:tc>
          <w:tcPr>
            <w:tcW w:w="1701" w:type="dxa"/>
            <w:vAlign w:val="center"/>
          </w:tcPr>
          <w:p w14:paraId="06F9EB59" w14:textId="77777777" w:rsidR="00454A29" w:rsidRDefault="00454A29">
            <w:pPr>
              <w:pStyle w:val="ConsPlusNormal"/>
            </w:pPr>
          </w:p>
        </w:tc>
        <w:tc>
          <w:tcPr>
            <w:tcW w:w="1701" w:type="dxa"/>
            <w:vAlign w:val="center"/>
          </w:tcPr>
          <w:p w14:paraId="3CC65FF7" w14:textId="77777777" w:rsidR="00454A29" w:rsidRDefault="00454A29">
            <w:pPr>
              <w:pStyle w:val="ConsPlusNormal"/>
            </w:pPr>
          </w:p>
        </w:tc>
        <w:tc>
          <w:tcPr>
            <w:tcW w:w="1814" w:type="dxa"/>
            <w:vAlign w:val="center"/>
          </w:tcPr>
          <w:p w14:paraId="215C6E22" w14:textId="77777777" w:rsidR="00454A29" w:rsidRDefault="00454A29">
            <w:pPr>
              <w:pStyle w:val="ConsPlusNormal"/>
            </w:pPr>
          </w:p>
        </w:tc>
      </w:tr>
      <w:tr w:rsidR="00454A29" w14:paraId="1794B6AB" w14:textId="77777777">
        <w:tc>
          <w:tcPr>
            <w:tcW w:w="567" w:type="dxa"/>
            <w:vMerge/>
          </w:tcPr>
          <w:p w14:paraId="195F07B8" w14:textId="77777777" w:rsidR="00454A29" w:rsidRDefault="00454A29"/>
        </w:tc>
        <w:tc>
          <w:tcPr>
            <w:tcW w:w="3345" w:type="dxa"/>
            <w:vMerge/>
          </w:tcPr>
          <w:p w14:paraId="6DB7E34D" w14:textId="77777777" w:rsidR="00454A29" w:rsidRDefault="00454A29"/>
        </w:tc>
        <w:tc>
          <w:tcPr>
            <w:tcW w:w="1701" w:type="dxa"/>
            <w:vAlign w:val="center"/>
          </w:tcPr>
          <w:p w14:paraId="4297E96C" w14:textId="77777777" w:rsidR="00454A29" w:rsidRDefault="00454A29">
            <w:pPr>
              <w:pStyle w:val="ConsPlusNormal"/>
              <w:jc w:val="center"/>
            </w:pPr>
            <w:r>
              <w:t>2022</w:t>
            </w:r>
          </w:p>
        </w:tc>
        <w:tc>
          <w:tcPr>
            <w:tcW w:w="1417" w:type="dxa"/>
            <w:vMerge/>
          </w:tcPr>
          <w:p w14:paraId="58E2B62A" w14:textId="77777777" w:rsidR="00454A29" w:rsidRDefault="00454A29"/>
        </w:tc>
        <w:tc>
          <w:tcPr>
            <w:tcW w:w="2204" w:type="dxa"/>
            <w:vMerge/>
          </w:tcPr>
          <w:p w14:paraId="0C73529C" w14:textId="77777777" w:rsidR="00454A29" w:rsidRDefault="00454A29"/>
        </w:tc>
        <w:tc>
          <w:tcPr>
            <w:tcW w:w="1417" w:type="dxa"/>
            <w:vMerge/>
          </w:tcPr>
          <w:p w14:paraId="3F34ECFC" w14:textId="77777777" w:rsidR="00454A29" w:rsidRDefault="00454A29"/>
        </w:tc>
        <w:tc>
          <w:tcPr>
            <w:tcW w:w="2324" w:type="dxa"/>
            <w:vMerge/>
          </w:tcPr>
          <w:p w14:paraId="6C744FDE" w14:textId="77777777" w:rsidR="00454A29" w:rsidRDefault="00454A29"/>
        </w:tc>
        <w:tc>
          <w:tcPr>
            <w:tcW w:w="1701" w:type="dxa"/>
            <w:vAlign w:val="center"/>
          </w:tcPr>
          <w:p w14:paraId="4528ED10" w14:textId="77777777" w:rsidR="00454A29" w:rsidRDefault="00454A29">
            <w:pPr>
              <w:pStyle w:val="ConsPlusNormal"/>
            </w:pPr>
          </w:p>
        </w:tc>
        <w:tc>
          <w:tcPr>
            <w:tcW w:w="1814" w:type="dxa"/>
            <w:vAlign w:val="center"/>
          </w:tcPr>
          <w:p w14:paraId="4E1B4A91" w14:textId="77777777" w:rsidR="00454A29" w:rsidRDefault="00454A29">
            <w:pPr>
              <w:pStyle w:val="ConsPlusNormal"/>
            </w:pPr>
          </w:p>
        </w:tc>
        <w:tc>
          <w:tcPr>
            <w:tcW w:w="1701" w:type="dxa"/>
            <w:vAlign w:val="center"/>
          </w:tcPr>
          <w:p w14:paraId="080868A8" w14:textId="77777777" w:rsidR="00454A29" w:rsidRDefault="00454A29">
            <w:pPr>
              <w:pStyle w:val="ConsPlusNormal"/>
            </w:pPr>
          </w:p>
        </w:tc>
        <w:tc>
          <w:tcPr>
            <w:tcW w:w="1701" w:type="dxa"/>
            <w:vAlign w:val="center"/>
          </w:tcPr>
          <w:p w14:paraId="45A3AF8D" w14:textId="77777777" w:rsidR="00454A29" w:rsidRDefault="00454A29">
            <w:pPr>
              <w:pStyle w:val="ConsPlusNormal"/>
            </w:pPr>
          </w:p>
        </w:tc>
        <w:tc>
          <w:tcPr>
            <w:tcW w:w="1814" w:type="dxa"/>
            <w:vAlign w:val="center"/>
          </w:tcPr>
          <w:p w14:paraId="339288BE" w14:textId="77777777" w:rsidR="00454A29" w:rsidRDefault="00454A29">
            <w:pPr>
              <w:pStyle w:val="ConsPlusNormal"/>
            </w:pPr>
          </w:p>
        </w:tc>
      </w:tr>
      <w:tr w:rsidR="00454A29" w14:paraId="7F21CC91" w14:textId="77777777">
        <w:tc>
          <w:tcPr>
            <w:tcW w:w="567" w:type="dxa"/>
            <w:vMerge/>
          </w:tcPr>
          <w:p w14:paraId="3F308933" w14:textId="77777777" w:rsidR="00454A29" w:rsidRDefault="00454A29"/>
        </w:tc>
        <w:tc>
          <w:tcPr>
            <w:tcW w:w="3345" w:type="dxa"/>
            <w:vMerge/>
          </w:tcPr>
          <w:p w14:paraId="440C4384" w14:textId="77777777" w:rsidR="00454A29" w:rsidRDefault="00454A29"/>
        </w:tc>
        <w:tc>
          <w:tcPr>
            <w:tcW w:w="1701" w:type="dxa"/>
            <w:vAlign w:val="center"/>
          </w:tcPr>
          <w:p w14:paraId="2586FE90" w14:textId="77777777" w:rsidR="00454A29" w:rsidRDefault="00454A29">
            <w:pPr>
              <w:pStyle w:val="ConsPlusNormal"/>
              <w:jc w:val="center"/>
            </w:pPr>
            <w:r>
              <w:t>2023</w:t>
            </w:r>
          </w:p>
        </w:tc>
        <w:tc>
          <w:tcPr>
            <w:tcW w:w="1417" w:type="dxa"/>
            <w:vMerge/>
          </w:tcPr>
          <w:p w14:paraId="46E0AB76" w14:textId="77777777" w:rsidR="00454A29" w:rsidRDefault="00454A29"/>
        </w:tc>
        <w:tc>
          <w:tcPr>
            <w:tcW w:w="2204" w:type="dxa"/>
            <w:vMerge/>
          </w:tcPr>
          <w:p w14:paraId="341E9CD8" w14:textId="77777777" w:rsidR="00454A29" w:rsidRDefault="00454A29"/>
        </w:tc>
        <w:tc>
          <w:tcPr>
            <w:tcW w:w="1417" w:type="dxa"/>
            <w:vMerge/>
          </w:tcPr>
          <w:p w14:paraId="1573CF2E" w14:textId="77777777" w:rsidR="00454A29" w:rsidRDefault="00454A29"/>
        </w:tc>
        <w:tc>
          <w:tcPr>
            <w:tcW w:w="2324" w:type="dxa"/>
            <w:vMerge/>
          </w:tcPr>
          <w:p w14:paraId="16DFE0D8" w14:textId="77777777" w:rsidR="00454A29" w:rsidRDefault="00454A29"/>
        </w:tc>
        <w:tc>
          <w:tcPr>
            <w:tcW w:w="1701" w:type="dxa"/>
            <w:vAlign w:val="center"/>
          </w:tcPr>
          <w:p w14:paraId="25C17CBC" w14:textId="77777777" w:rsidR="00454A29" w:rsidRDefault="00454A29">
            <w:pPr>
              <w:pStyle w:val="ConsPlusNormal"/>
              <w:jc w:val="center"/>
            </w:pPr>
            <w:r>
              <w:t>208 337,92</w:t>
            </w:r>
          </w:p>
        </w:tc>
        <w:tc>
          <w:tcPr>
            <w:tcW w:w="1814" w:type="dxa"/>
            <w:vAlign w:val="center"/>
          </w:tcPr>
          <w:p w14:paraId="0ADB0FF7" w14:textId="77777777" w:rsidR="00454A29" w:rsidRDefault="00454A29">
            <w:pPr>
              <w:pStyle w:val="ConsPlusNormal"/>
              <w:jc w:val="center"/>
            </w:pPr>
            <w:r>
              <w:t>2 079,22</w:t>
            </w:r>
          </w:p>
        </w:tc>
        <w:tc>
          <w:tcPr>
            <w:tcW w:w="1701" w:type="dxa"/>
            <w:vAlign w:val="center"/>
          </w:tcPr>
          <w:p w14:paraId="11003E24" w14:textId="77777777" w:rsidR="00454A29" w:rsidRDefault="00454A29">
            <w:pPr>
              <w:pStyle w:val="ConsPlusNormal"/>
              <w:jc w:val="center"/>
            </w:pPr>
            <w:r>
              <w:t>206 258,70</w:t>
            </w:r>
          </w:p>
        </w:tc>
        <w:tc>
          <w:tcPr>
            <w:tcW w:w="1701" w:type="dxa"/>
            <w:vAlign w:val="center"/>
          </w:tcPr>
          <w:p w14:paraId="515CA286" w14:textId="77777777" w:rsidR="00454A29" w:rsidRDefault="00454A29">
            <w:pPr>
              <w:pStyle w:val="ConsPlusNormal"/>
            </w:pPr>
          </w:p>
        </w:tc>
        <w:tc>
          <w:tcPr>
            <w:tcW w:w="1814" w:type="dxa"/>
            <w:vAlign w:val="center"/>
          </w:tcPr>
          <w:p w14:paraId="69D3D867" w14:textId="77777777" w:rsidR="00454A29" w:rsidRDefault="00454A29">
            <w:pPr>
              <w:pStyle w:val="ConsPlusNormal"/>
            </w:pPr>
          </w:p>
        </w:tc>
      </w:tr>
      <w:tr w:rsidR="00454A29" w14:paraId="7BB4CB09" w14:textId="77777777">
        <w:tc>
          <w:tcPr>
            <w:tcW w:w="567" w:type="dxa"/>
            <w:vMerge/>
          </w:tcPr>
          <w:p w14:paraId="4EB1DF1F" w14:textId="77777777" w:rsidR="00454A29" w:rsidRDefault="00454A29"/>
        </w:tc>
        <w:tc>
          <w:tcPr>
            <w:tcW w:w="3345" w:type="dxa"/>
            <w:vMerge/>
          </w:tcPr>
          <w:p w14:paraId="18C97943" w14:textId="77777777" w:rsidR="00454A29" w:rsidRDefault="00454A29"/>
        </w:tc>
        <w:tc>
          <w:tcPr>
            <w:tcW w:w="1701" w:type="dxa"/>
            <w:vAlign w:val="center"/>
          </w:tcPr>
          <w:p w14:paraId="043DC062" w14:textId="77777777" w:rsidR="00454A29" w:rsidRDefault="00454A29">
            <w:pPr>
              <w:pStyle w:val="ConsPlusNormal"/>
              <w:jc w:val="center"/>
            </w:pPr>
            <w:r>
              <w:t>2024</w:t>
            </w:r>
          </w:p>
        </w:tc>
        <w:tc>
          <w:tcPr>
            <w:tcW w:w="1417" w:type="dxa"/>
            <w:vMerge/>
          </w:tcPr>
          <w:p w14:paraId="500A1630" w14:textId="77777777" w:rsidR="00454A29" w:rsidRDefault="00454A29"/>
        </w:tc>
        <w:tc>
          <w:tcPr>
            <w:tcW w:w="2204" w:type="dxa"/>
            <w:vMerge/>
          </w:tcPr>
          <w:p w14:paraId="2E021E2F" w14:textId="77777777" w:rsidR="00454A29" w:rsidRDefault="00454A29"/>
        </w:tc>
        <w:tc>
          <w:tcPr>
            <w:tcW w:w="1417" w:type="dxa"/>
            <w:vMerge/>
          </w:tcPr>
          <w:p w14:paraId="224CB663" w14:textId="77777777" w:rsidR="00454A29" w:rsidRDefault="00454A29"/>
        </w:tc>
        <w:tc>
          <w:tcPr>
            <w:tcW w:w="2324" w:type="dxa"/>
            <w:vMerge/>
          </w:tcPr>
          <w:p w14:paraId="73FDA81D" w14:textId="77777777" w:rsidR="00454A29" w:rsidRDefault="00454A29"/>
        </w:tc>
        <w:tc>
          <w:tcPr>
            <w:tcW w:w="1701" w:type="dxa"/>
            <w:vAlign w:val="center"/>
          </w:tcPr>
          <w:p w14:paraId="65274A8F" w14:textId="77777777" w:rsidR="00454A29" w:rsidRDefault="00454A29">
            <w:pPr>
              <w:pStyle w:val="ConsPlusNormal"/>
            </w:pPr>
          </w:p>
        </w:tc>
        <w:tc>
          <w:tcPr>
            <w:tcW w:w="1814" w:type="dxa"/>
            <w:vAlign w:val="center"/>
          </w:tcPr>
          <w:p w14:paraId="2F642AB0" w14:textId="77777777" w:rsidR="00454A29" w:rsidRDefault="00454A29">
            <w:pPr>
              <w:pStyle w:val="ConsPlusNormal"/>
            </w:pPr>
          </w:p>
        </w:tc>
        <w:tc>
          <w:tcPr>
            <w:tcW w:w="1701" w:type="dxa"/>
            <w:vAlign w:val="center"/>
          </w:tcPr>
          <w:p w14:paraId="30C67A81" w14:textId="77777777" w:rsidR="00454A29" w:rsidRDefault="00454A29">
            <w:pPr>
              <w:pStyle w:val="ConsPlusNormal"/>
            </w:pPr>
          </w:p>
        </w:tc>
        <w:tc>
          <w:tcPr>
            <w:tcW w:w="1701" w:type="dxa"/>
            <w:vAlign w:val="center"/>
          </w:tcPr>
          <w:p w14:paraId="4956752A" w14:textId="77777777" w:rsidR="00454A29" w:rsidRDefault="00454A29">
            <w:pPr>
              <w:pStyle w:val="ConsPlusNormal"/>
            </w:pPr>
          </w:p>
        </w:tc>
        <w:tc>
          <w:tcPr>
            <w:tcW w:w="1814" w:type="dxa"/>
            <w:vAlign w:val="center"/>
          </w:tcPr>
          <w:p w14:paraId="14D99EFB" w14:textId="77777777" w:rsidR="00454A29" w:rsidRDefault="00454A29">
            <w:pPr>
              <w:pStyle w:val="ConsPlusNormal"/>
            </w:pPr>
          </w:p>
        </w:tc>
      </w:tr>
      <w:tr w:rsidR="00454A29" w14:paraId="3EEBB472" w14:textId="77777777">
        <w:tc>
          <w:tcPr>
            <w:tcW w:w="567" w:type="dxa"/>
            <w:vMerge/>
          </w:tcPr>
          <w:p w14:paraId="61DE1FE3" w14:textId="77777777" w:rsidR="00454A29" w:rsidRDefault="00454A29"/>
        </w:tc>
        <w:tc>
          <w:tcPr>
            <w:tcW w:w="3345" w:type="dxa"/>
            <w:vMerge/>
          </w:tcPr>
          <w:p w14:paraId="217A3EFA" w14:textId="77777777" w:rsidR="00454A29" w:rsidRDefault="00454A29"/>
        </w:tc>
        <w:tc>
          <w:tcPr>
            <w:tcW w:w="1701" w:type="dxa"/>
            <w:vAlign w:val="center"/>
          </w:tcPr>
          <w:p w14:paraId="69CECBCB" w14:textId="77777777" w:rsidR="00454A29" w:rsidRDefault="00454A29">
            <w:pPr>
              <w:pStyle w:val="ConsPlusNormal"/>
              <w:jc w:val="center"/>
            </w:pPr>
            <w:r>
              <w:t>2025</w:t>
            </w:r>
          </w:p>
        </w:tc>
        <w:tc>
          <w:tcPr>
            <w:tcW w:w="1417" w:type="dxa"/>
            <w:vMerge/>
          </w:tcPr>
          <w:p w14:paraId="3D6D15D2" w14:textId="77777777" w:rsidR="00454A29" w:rsidRDefault="00454A29"/>
        </w:tc>
        <w:tc>
          <w:tcPr>
            <w:tcW w:w="2204" w:type="dxa"/>
            <w:vMerge/>
          </w:tcPr>
          <w:p w14:paraId="1CEAE26C" w14:textId="77777777" w:rsidR="00454A29" w:rsidRDefault="00454A29"/>
        </w:tc>
        <w:tc>
          <w:tcPr>
            <w:tcW w:w="1417" w:type="dxa"/>
            <w:vMerge/>
          </w:tcPr>
          <w:p w14:paraId="79FD077F" w14:textId="77777777" w:rsidR="00454A29" w:rsidRDefault="00454A29"/>
        </w:tc>
        <w:tc>
          <w:tcPr>
            <w:tcW w:w="2324" w:type="dxa"/>
            <w:vMerge/>
          </w:tcPr>
          <w:p w14:paraId="7B15912A" w14:textId="77777777" w:rsidR="00454A29" w:rsidRDefault="00454A29"/>
        </w:tc>
        <w:tc>
          <w:tcPr>
            <w:tcW w:w="1701" w:type="dxa"/>
            <w:vAlign w:val="center"/>
          </w:tcPr>
          <w:p w14:paraId="056EE62E" w14:textId="77777777" w:rsidR="00454A29" w:rsidRDefault="00454A29">
            <w:pPr>
              <w:pStyle w:val="ConsPlusNormal"/>
            </w:pPr>
          </w:p>
        </w:tc>
        <w:tc>
          <w:tcPr>
            <w:tcW w:w="1814" w:type="dxa"/>
            <w:vAlign w:val="center"/>
          </w:tcPr>
          <w:p w14:paraId="0A81382C" w14:textId="77777777" w:rsidR="00454A29" w:rsidRDefault="00454A29">
            <w:pPr>
              <w:pStyle w:val="ConsPlusNormal"/>
            </w:pPr>
          </w:p>
        </w:tc>
        <w:tc>
          <w:tcPr>
            <w:tcW w:w="1701" w:type="dxa"/>
            <w:vAlign w:val="center"/>
          </w:tcPr>
          <w:p w14:paraId="1A54B213" w14:textId="77777777" w:rsidR="00454A29" w:rsidRDefault="00454A29">
            <w:pPr>
              <w:pStyle w:val="ConsPlusNormal"/>
            </w:pPr>
          </w:p>
        </w:tc>
        <w:tc>
          <w:tcPr>
            <w:tcW w:w="1701" w:type="dxa"/>
            <w:vAlign w:val="center"/>
          </w:tcPr>
          <w:p w14:paraId="3E403E52" w14:textId="77777777" w:rsidR="00454A29" w:rsidRDefault="00454A29">
            <w:pPr>
              <w:pStyle w:val="ConsPlusNormal"/>
            </w:pPr>
          </w:p>
        </w:tc>
        <w:tc>
          <w:tcPr>
            <w:tcW w:w="1814" w:type="dxa"/>
            <w:vAlign w:val="center"/>
          </w:tcPr>
          <w:p w14:paraId="41A3AB34" w14:textId="77777777" w:rsidR="00454A29" w:rsidRDefault="00454A29">
            <w:pPr>
              <w:pStyle w:val="ConsPlusNormal"/>
            </w:pPr>
          </w:p>
        </w:tc>
      </w:tr>
      <w:tr w:rsidR="00454A29" w14:paraId="4188CA15" w14:textId="77777777">
        <w:tc>
          <w:tcPr>
            <w:tcW w:w="567" w:type="dxa"/>
            <w:vMerge/>
          </w:tcPr>
          <w:p w14:paraId="737648FC" w14:textId="77777777" w:rsidR="00454A29" w:rsidRDefault="00454A29"/>
        </w:tc>
        <w:tc>
          <w:tcPr>
            <w:tcW w:w="3345" w:type="dxa"/>
            <w:vMerge/>
          </w:tcPr>
          <w:p w14:paraId="1BDAE801" w14:textId="77777777" w:rsidR="00454A29" w:rsidRDefault="00454A29"/>
        </w:tc>
        <w:tc>
          <w:tcPr>
            <w:tcW w:w="1701" w:type="dxa"/>
            <w:vAlign w:val="center"/>
          </w:tcPr>
          <w:p w14:paraId="38033CF7" w14:textId="77777777" w:rsidR="00454A29" w:rsidRDefault="00454A29">
            <w:pPr>
              <w:pStyle w:val="ConsPlusNormal"/>
              <w:jc w:val="center"/>
            </w:pPr>
            <w:r>
              <w:t>2026</w:t>
            </w:r>
          </w:p>
        </w:tc>
        <w:tc>
          <w:tcPr>
            <w:tcW w:w="1417" w:type="dxa"/>
            <w:vMerge/>
          </w:tcPr>
          <w:p w14:paraId="6F4697F5" w14:textId="77777777" w:rsidR="00454A29" w:rsidRDefault="00454A29"/>
        </w:tc>
        <w:tc>
          <w:tcPr>
            <w:tcW w:w="2204" w:type="dxa"/>
            <w:vMerge/>
          </w:tcPr>
          <w:p w14:paraId="0240961B" w14:textId="77777777" w:rsidR="00454A29" w:rsidRDefault="00454A29"/>
        </w:tc>
        <w:tc>
          <w:tcPr>
            <w:tcW w:w="1417" w:type="dxa"/>
            <w:vMerge/>
          </w:tcPr>
          <w:p w14:paraId="02CB4648" w14:textId="77777777" w:rsidR="00454A29" w:rsidRDefault="00454A29"/>
        </w:tc>
        <w:tc>
          <w:tcPr>
            <w:tcW w:w="2324" w:type="dxa"/>
            <w:vMerge/>
          </w:tcPr>
          <w:p w14:paraId="4B53DBAD" w14:textId="77777777" w:rsidR="00454A29" w:rsidRDefault="00454A29"/>
        </w:tc>
        <w:tc>
          <w:tcPr>
            <w:tcW w:w="1701" w:type="dxa"/>
            <w:vAlign w:val="center"/>
          </w:tcPr>
          <w:p w14:paraId="6B1F4A11" w14:textId="77777777" w:rsidR="00454A29" w:rsidRDefault="00454A29">
            <w:pPr>
              <w:pStyle w:val="ConsPlusNormal"/>
            </w:pPr>
          </w:p>
        </w:tc>
        <w:tc>
          <w:tcPr>
            <w:tcW w:w="1814" w:type="dxa"/>
            <w:vAlign w:val="center"/>
          </w:tcPr>
          <w:p w14:paraId="2A6958A7" w14:textId="77777777" w:rsidR="00454A29" w:rsidRDefault="00454A29">
            <w:pPr>
              <w:pStyle w:val="ConsPlusNormal"/>
            </w:pPr>
          </w:p>
        </w:tc>
        <w:tc>
          <w:tcPr>
            <w:tcW w:w="1701" w:type="dxa"/>
            <w:vAlign w:val="center"/>
          </w:tcPr>
          <w:p w14:paraId="267AB67E" w14:textId="77777777" w:rsidR="00454A29" w:rsidRDefault="00454A29">
            <w:pPr>
              <w:pStyle w:val="ConsPlusNormal"/>
            </w:pPr>
          </w:p>
        </w:tc>
        <w:tc>
          <w:tcPr>
            <w:tcW w:w="1701" w:type="dxa"/>
            <w:vAlign w:val="center"/>
          </w:tcPr>
          <w:p w14:paraId="4CB7BF9D" w14:textId="77777777" w:rsidR="00454A29" w:rsidRDefault="00454A29">
            <w:pPr>
              <w:pStyle w:val="ConsPlusNormal"/>
            </w:pPr>
          </w:p>
        </w:tc>
        <w:tc>
          <w:tcPr>
            <w:tcW w:w="1814" w:type="dxa"/>
            <w:vAlign w:val="center"/>
          </w:tcPr>
          <w:p w14:paraId="403EBA95" w14:textId="77777777" w:rsidR="00454A29" w:rsidRDefault="00454A29">
            <w:pPr>
              <w:pStyle w:val="ConsPlusNormal"/>
            </w:pPr>
          </w:p>
        </w:tc>
      </w:tr>
      <w:tr w:rsidR="00454A29" w14:paraId="2359EC80" w14:textId="77777777">
        <w:tc>
          <w:tcPr>
            <w:tcW w:w="567" w:type="dxa"/>
            <w:vMerge w:val="restart"/>
            <w:vAlign w:val="center"/>
          </w:tcPr>
          <w:p w14:paraId="37BD6D4F" w14:textId="77777777" w:rsidR="00454A29" w:rsidRDefault="00454A29">
            <w:pPr>
              <w:pStyle w:val="ConsPlusNormal"/>
              <w:jc w:val="center"/>
            </w:pPr>
            <w:r>
              <w:t>31</w:t>
            </w:r>
          </w:p>
        </w:tc>
        <w:tc>
          <w:tcPr>
            <w:tcW w:w="3345" w:type="dxa"/>
            <w:vMerge w:val="restart"/>
            <w:vAlign w:val="center"/>
          </w:tcPr>
          <w:p w14:paraId="791735D4" w14:textId="77777777" w:rsidR="00454A29" w:rsidRDefault="00454A29">
            <w:pPr>
              <w:pStyle w:val="ConsPlusNormal"/>
              <w:jc w:val="center"/>
            </w:pPr>
            <w:r>
              <w:t>Школа-сад на 120/75 учащихся в с. Бетенкес</w:t>
            </w:r>
          </w:p>
        </w:tc>
        <w:tc>
          <w:tcPr>
            <w:tcW w:w="1701" w:type="dxa"/>
            <w:vAlign w:val="center"/>
          </w:tcPr>
          <w:p w14:paraId="0A7906D2" w14:textId="77777777" w:rsidR="00454A29" w:rsidRDefault="00454A29">
            <w:pPr>
              <w:pStyle w:val="ConsPlusNormal"/>
              <w:jc w:val="center"/>
            </w:pPr>
            <w:r>
              <w:t>2020 - 2026 годы - всего</w:t>
            </w:r>
          </w:p>
        </w:tc>
        <w:tc>
          <w:tcPr>
            <w:tcW w:w="1417" w:type="dxa"/>
            <w:vMerge w:val="restart"/>
            <w:vAlign w:val="center"/>
          </w:tcPr>
          <w:p w14:paraId="6007630E" w14:textId="77777777" w:rsidR="00454A29" w:rsidRDefault="00454A29">
            <w:pPr>
              <w:pStyle w:val="ConsPlusNormal"/>
              <w:jc w:val="center"/>
            </w:pPr>
            <w:r>
              <w:t>475 023,96</w:t>
            </w:r>
          </w:p>
        </w:tc>
        <w:tc>
          <w:tcPr>
            <w:tcW w:w="2204" w:type="dxa"/>
            <w:vMerge w:val="restart"/>
            <w:vAlign w:val="center"/>
          </w:tcPr>
          <w:p w14:paraId="166FF5D7" w14:textId="77777777" w:rsidR="00454A29" w:rsidRDefault="00454A29">
            <w:pPr>
              <w:pStyle w:val="ConsPlusNormal"/>
              <w:jc w:val="center"/>
            </w:pPr>
            <w:r>
              <w:t>имеется</w:t>
            </w:r>
          </w:p>
        </w:tc>
        <w:tc>
          <w:tcPr>
            <w:tcW w:w="1417" w:type="dxa"/>
            <w:vMerge w:val="restart"/>
            <w:vAlign w:val="center"/>
          </w:tcPr>
          <w:p w14:paraId="60370634" w14:textId="77777777" w:rsidR="00454A29" w:rsidRDefault="00454A29">
            <w:pPr>
              <w:pStyle w:val="ConsPlusNormal"/>
              <w:jc w:val="center"/>
            </w:pPr>
            <w:r>
              <w:t>120</w:t>
            </w:r>
          </w:p>
        </w:tc>
        <w:tc>
          <w:tcPr>
            <w:tcW w:w="2324" w:type="dxa"/>
            <w:vMerge w:val="restart"/>
            <w:vAlign w:val="center"/>
          </w:tcPr>
          <w:p w14:paraId="39F5F59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BDAC578" w14:textId="77777777" w:rsidR="00454A29" w:rsidRDefault="00454A29">
            <w:pPr>
              <w:pStyle w:val="ConsPlusNormal"/>
              <w:jc w:val="center"/>
            </w:pPr>
            <w:r>
              <w:t>475 023,96</w:t>
            </w:r>
          </w:p>
        </w:tc>
        <w:tc>
          <w:tcPr>
            <w:tcW w:w="1814" w:type="dxa"/>
            <w:vAlign w:val="center"/>
          </w:tcPr>
          <w:p w14:paraId="02D667DC" w14:textId="77777777" w:rsidR="00454A29" w:rsidRDefault="00454A29">
            <w:pPr>
              <w:pStyle w:val="ConsPlusNormal"/>
              <w:jc w:val="center"/>
            </w:pPr>
            <w:r>
              <w:t>167 426,09</w:t>
            </w:r>
          </w:p>
        </w:tc>
        <w:tc>
          <w:tcPr>
            <w:tcW w:w="1701" w:type="dxa"/>
            <w:vAlign w:val="center"/>
          </w:tcPr>
          <w:p w14:paraId="765B1F89" w14:textId="77777777" w:rsidR="00454A29" w:rsidRDefault="00454A29">
            <w:pPr>
              <w:pStyle w:val="ConsPlusNormal"/>
              <w:jc w:val="center"/>
            </w:pPr>
            <w:r>
              <w:t>433 479,22</w:t>
            </w:r>
          </w:p>
        </w:tc>
        <w:tc>
          <w:tcPr>
            <w:tcW w:w="1701" w:type="dxa"/>
            <w:vAlign w:val="center"/>
          </w:tcPr>
          <w:p w14:paraId="20D5C8F4" w14:textId="77777777" w:rsidR="00454A29" w:rsidRDefault="00454A29">
            <w:pPr>
              <w:pStyle w:val="ConsPlusNormal"/>
              <w:jc w:val="center"/>
            </w:pPr>
            <w:r>
              <w:t>-</w:t>
            </w:r>
          </w:p>
        </w:tc>
        <w:tc>
          <w:tcPr>
            <w:tcW w:w="1814" w:type="dxa"/>
            <w:vAlign w:val="center"/>
          </w:tcPr>
          <w:p w14:paraId="448AFEB3" w14:textId="77777777" w:rsidR="00454A29" w:rsidRDefault="00454A29">
            <w:pPr>
              <w:pStyle w:val="ConsPlusNormal"/>
              <w:jc w:val="center"/>
            </w:pPr>
            <w:r>
              <w:t>-</w:t>
            </w:r>
          </w:p>
        </w:tc>
      </w:tr>
      <w:tr w:rsidR="00454A29" w14:paraId="6E0F7FA3" w14:textId="77777777">
        <w:tc>
          <w:tcPr>
            <w:tcW w:w="567" w:type="dxa"/>
            <w:vMerge/>
          </w:tcPr>
          <w:p w14:paraId="4BD2AB50" w14:textId="77777777" w:rsidR="00454A29" w:rsidRDefault="00454A29"/>
        </w:tc>
        <w:tc>
          <w:tcPr>
            <w:tcW w:w="3345" w:type="dxa"/>
            <w:vMerge/>
          </w:tcPr>
          <w:p w14:paraId="6C02FA78" w14:textId="77777777" w:rsidR="00454A29" w:rsidRDefault="00454A29"/>
        </w:tc>
        <w:tc>
          <w:tcPr>
            <w:tcW w:w="1701" w:type="dxa"/>
            <w:vAlign w:val="center"/>
          </w:tcPr>
          <w:p w14:paraId="494FC8B3" w14:textId="77777777" w:rsidR="00454A29" w:rsidRDefault="00454A29">
            <w:pPr>
              <w:pStyle w:val="ConsPlusNormal"/>
              <w:jc w:val="center"/>
            </w:pPr>
            <w:r>
              <w:t>2020</w:t>
            </w:r>
          </w:p>
        </w:tc>
        <w:tc>
          <w:tcPr>
            <w:tcW w:w="1417" w:type="dxa"/>
            <w:vMerge/>
          </w:tcPr>
          <w:p w14:paraId="14D365A7" w14:textId="77777777" w:rsidR="00454A29" w:rsidRDefault="00454A29"/>
        </w:tc>
        <w:tc>
          <w:tcPr>
            <w:tcW w:w="2204" w:type="dxa"/>
            <w:vMerge/>
          </w:tcPr>
          <w:p w14:paraId="0CEF7D5B" w14:textId="77777777" w:rsidR="00454A29" w:rsidRDefault="00454A29"/>
        </w:tc>
        <w:tc>
          <w:tcPr>
            <w:tcW w:w="1417" w:type="dxa"/>
            <w:vMerge/>
          </w:tcPr>
          <w:p w14:paraId="5AA8BCB0" w14:textId="77777777" w:rsidR="00454A29" w:rsidRDefault="00454A29"/>
        </w:tc>
        <w:tc>
          <w:tcPr>
            <w:tcW w:w="2324" w:type="dxa"/>
            <w:vMerge/>
          </w:tcPr>
          <w:p w14:paraId="165B815C" w14:textId="77777777" w:rsidR="00454A29" w:rsidRDefault="00454A29"/>
        </w:tc>
        <w:tc>
          <w:tcPr>
            <w:tcW w:w="1701" w:type="dxa"/>
            <w:vAlign w:val="center"/>
          </w:tcPr>
          <w:p w14:paraId="4F7E5C98" w14:textId="77777777" w:rsidR="00454A29" w:rsidRDefault="00454A29">
            <w:pPr>
              <w:pStyle w:val="ConsPlusNormal"/>
            </w:pPr>
          </w:p>
        </w:tc>
        <w:tc>
          <w:tcPr>
            <w:tcW w:w="1814" w:type="dxa"/>
            <w:vAlign w:val="center"/>
          </w:tcPr>
          <w:p w14:paraId="3DB31992" w14:textId="77777777" w:rsidR="00454A29" w:rsidRDefault="00454A29">
            <w:pPr>
              <w:pStyle w:val="ConsPlusNormal"/>
            </w:pPr>
          </w:p>
        </w:tc>
        <w:tc>
          <w:tcPr>
            <w:tcW w:w="1701" w:type="dxa"/>
            <w:vAlign w:val="center"/>
          </w:tcPr>
          <w:p w14:paraId="1AE8D487" w14:textId="77777777" w:rsidR="00454A29" w:rsidRDefault="00454A29">
            <w:pPr>
              <w:pStyle w:val="ConsPlusNormal"/>
            </w:pPr>
          </w:p>
        </w:tc>
        <w:tc>
          <w:tcPr>
            <w:tcW w:w="1701" w:type="dxa"/>
            <w:vAlign w:val="center"/>
          </w:tcPr>
          <w:p w14:paraId="712DF464" w14:textId="77777777" w:rsidR="00454A29" w:rsidRDefault="00454A29">
            <w:pPr>
              <w:pStyle w:val="ConsPlusNormal"/>
            </w:pPr>
          </w:p>
        </w:tc>
        <w:tc>
          <w:tcPr>
            <w:tcW w:w="1814" w:type="dxa"/>
            <w:vAlign w:val="center"/>
          </w:tcPr>
          <w:p w14:paraId="0B0586C2" w14:textId="77777777" w:rsidR="00454A29" w:rsidRDefault="00454A29">
            <w:pPr>
              <w:pStyle w:val="ConsPlusNormal"/>
            </w:pPr>
          </w:p>
        </w:tc>
      </w:tr>
      <w:tr w:rsidR="00454A29" w14:paraId="24AA1B33" w14:textId="77777777">
        <w:tc>
          <w:tcPr>
            <w:tcW w:w="567" w:type="dxa"/>
            <w:vMerge/>
          </w:tcPr>
          <w:p w14:paraId="63A09523" w14:textId="77777777" w:rsidR="00454A29" w:rsidRDefault="00454A29"/>
        </w:tc>
        <w:tc>
          <w:tcPr>
            <w:tcW w:w="3345" w:type="dxa"/>
            <w:vMerge/>
          </w:tcPr>
          <w:p w14:paraId="2286428C" w14:textId="77777777" w:rsidR="00454A29" w:rsidRDefault="00454A29"/>
        </w:tc>
        <w:tc>
          <w:tcPr>
            <w:tcW w:w="1701" w:type="dxa"/>
            <w:vAlign w:val="center"/>
          </w:tcPr>
          <w:p w14:paraId="13B3BEBE" w14:textId="77777777" w:rsidR="00454A29" w:rsidRDefault="00454A29">
            <w:pPr>
              <w:pStyle w:val="ConsPlusNormal"/>
              <w:jc w:val="center"/>
            </w:pPr>
            <w:r>
              <w:t>2021</w:t>
            </w:r>
          </w:p>
        </w:tc>
        <w:tc>
          <w:tcPr>
            <w:tcW w:w="1417" w:type="dxa"/>
            <w:vMerge/>
          </w:tcPr>
          <w:p w14:paraId="71A9363E" w14:textId="77777777" w:rsidR="00454A29" w:rsidRDefault="00454A29"/>
        </w:tc>
        <w:tc>
          <w:tcPr>
            <w:tcW w:w="2204" w:type="dxa"/>
            <w:vMerge/>
          </w:tcPr>
          <w:p w14:paraId="0392E3B6" w14:textId="77777777" w:rsidR="00454A29" w:rsidRDefault="00454A29"/>
        </w:tc>
        <w:tc>
          <w:tcPr>
            <w:tcW w:w="1417" w:type="dxa"/>
            <w:vMerge/>
          </w:tcPr>
          <w:p w14:paraId="353661E8" w14:textId="77777777" w:rsidR="00454A29" w:rsidRDefault="00454A29"/>
        </w:tc>
        <w:tc>
          <w:tcPr>
            <w:tcW w:w="2324" w:type="dxa"/>
            <w:vMerge/>
          </w:tcPr>
          <w:p w14:paraId="0256E23E" w14:textId="77777777" w:rsidR="00454A29" w:rsidRDefault="00454A29"/>
        </w:tc>
        <w:tc>
          <w:tcPr>
            <w:tcW w:w="1701" w:type="dxa"/>
            <w:vAlign w:val="center"/>
          </w:tcPr>
          <w:p w14:paraId="5A3219A5" w14:textId="77777777" w:rsidR="00454A29" w:rsidRDefault="00454A29">
            <w:pPr>
              <w:pStyle w:val="ConsPlusNormal"/>
            </w:pPr>
          </w:p>
        </w:tc>
        <w:tc>
          <w:tcPr>
            <w:tcW w:w="1814" w:type="dxa"/>
            <w:vAlign w:val="center"/>
          </w:tcPr>
          <w:p w14:paraId="4F0EC6D4" w14:textId="77777777" w:rsidR="00454A29" w:rsidRDefault="00454A29">
            <w:pPr>
              <w:pStyle w:val="ConsPlusNormal"/>
            </w:pPr>
          </w:p>
        </w:tc>
        <w:tc>
          <w:tcPr>
            <w:tcW w:w="1701" w:type="dxa"/>
            <w:vAlign w:val="center"/>
          </w:tcPr>
          <w:p w14:paraId="04EE957A" w14:textId="77777777" w:rsidR="00454A29" w:rsidRDefault="00454A29">
            <w:pPr>
              <w:pStyle w:val="ConsPlusNormal"/>
            </w:pPr>
          </w:p>
        </w:tc>
        <w:tc>
          <w:tcPr>
            <w:tcW w:w="1701" w:type="dxa"/>
            <w:vAlign w:val="center"/>
          </w:tcPr>
          <w:p w14:paraId="4FE9105B" w14:textId="77777777" w:rsidR="00454A29" w:rsidRDefault="00454A29">
            <w:pPr>
              <w:pStyle w:val="ConsPlusNormal"/>
            </w:pPr>
          </w:p>
        </w:tc>
        <w:tc>
          <w:tcPr>
            <w:tcW w:w="1814" w:type="dxa"/>
            <w:vAlign w:val="center"/>
          </w:tcPr>
          <w:p w14:paraId="3B256540" w14:textId="77777777" w:rsidR="00454A29" w:rsidRDefault="00454A29">
            <w:pPr>
              <w:pStyle w:val="ConsPlusNormal"/>
            </w:pPr>
          </w:p>
        </w:tc>
      </w:tr>
      <w:tr w:rsidR="00454A29" w14:paraId="79C20F19" w14:textId="77777777">
        <w:tc>
          <w:tcPr>
            <w:tcW w:w="567" w:type="dxa"/>
            <w:vMerge/>
          </w:tcPr>
          <w:p w14:paraId="2CE229ED" w14:textId="77777777" w:rsidR="00454A29" w:rsidRDefault="00454A29"/>
        </w:tc>
        <w:tc>
          <w:tcPr>
            <w:tcW w:w="3345" w:type="dxa"/>
            <w:vMerge/>
          </w:tcPr>
          <w:p w14:paraId="7B6F3DFD" w14:textId="77777777" w:rsidR="00454A29" w:rsidRDefault="00454A29"/>
        </w:tc>
        <w:tc>
          <w:tcPr>
            <w:tcW w:w="1701" w:type="dxa"/>
            <w:vAlign w:val="center"/>
          </w:tcPr>
          <w:p w14:paraId="75AA0B64" w14:textId="77777777" w:rsidR="00454A29" w:rsidRDefault="00454A29">
            <w:pPr>
              <w:pStyle w:val="ConsPlusNormal"/>
              <w:jc w:val="center"/>
            </w:pPr>
            <w:r>
              <w:t>2022</w:t>
            </w:r>
          </w:p>
        </w:tc>
        <w:tc>
          <w:tcPr>
            <w:tcW w:w="1417" w:type="dxa"/>
            <w:vMerge/>
          </w:tcPr>
          <w:p w14:paraId="1783FE88" w14:textId="77777777" w:rsidR="00454A29" w:rsidRDefault="00454A29"/>
        </w:tc>
        <w:tc>
          <w:tcPr>
            <w:tcW w:w="2204" w:type="dxa"/>
            <w:vMerge/>
          </w:tcPr>
          <w:p w14:paraId="3DC85CFB" w14:textId="77777777" w:rsidR="00454A29" w:rsidRDefault="00454A29"/>
        </w:tc>
        <w:tc>
          <w:tcPr>
            <w:tcW w:w="1417" w:type="dxa"/>
            <w:vMerge/>
          </w:tcPr>
          <w:p w14:paraId="4AA3DE27" w14:textId="77777777" w:rsidR="00454A29" w:rsidRDefault="00454A29"/>
        </w:tc>
        <w:tc>
          <w:tcPr>
            <w:tcW w:w="2324" w:type="dxa"/>
            <w:vMerge/>
          </w:tcPr>
          <w:p w14:paraId="0B8E5743" w14:textId="77777777" w:rsidR="00454A29" w:rsidRDefault="00454A29"/>
        </w:tc>
        <w:tc>
          <w:tcPr>
            <w:tcW w:w="1701" w:type="dxa"/>
            <w:vAlign w:val="center"/>
          </w:tcPr>
          <w:p w14:paraId="6EB657B0" w14:textId="77777777" w:rsidR="00454A29" w:rsidRDefault="00454A29">
            <w:pPr>
              <w:pStyle w:val="ConsPlusNormal"/>
            </w:pPr>
          </w:p>
        </w:tc>
        <w:tc>
          <w:tcPr>
            <w:tcW w:w="1814" w:type="dxa"/>
            <w:vAlign w:val="center"/>
          </w:tcPr>
          <w:p w14:paraId="644EFD89" w14:textId="77777777" w:rsidR="00454A29" w:rsidRDefault="00454A29">
            <w:pPr>
              <w:pStyle w:val="ConsPlusNormal"/>
            </w:pPr>
          </w:p>
        </w:tc>
        <w:tc>
          <w:tcPr>
            <w:tcW w:w="1701" w:type="dxa"/>
            <w:vAlign w:val="center"/>
          </w:tcPr>
          <w:p w14:paraId="456161B0" w14:textId="77777777" w:rsidR="00454A29" w:rsidRDefault="00454A29">
            <w:pPr>
              <w:pStyle w:val="ConsPlusNormal"/>
            </w:pPr>
          </w:p>
        </w:tc>
        <w:tc>
          <w:tcPr>
            <w:tcW w:w="1701" w:type="dxa"/>
            <w:vAlign w:val="center"/>
          </w:tcPr>
          <w:p w14:paraId="43ED6C83" w14:textId="77777777" w:rsidR="00454A29" w:rsidRDefault="00454A29">
            <w:pPr>
              <w:pStyle w:val="ConsPlusNormal"/>
            </w:pPr>
          </w:p>
        </w:tc>
        <w:tc>
          <w:tcPr>
            <w:tcW w:w="1814" w:type="dxa"/>
            <w:vAlign w:val="center"/>
          </w:tcPr>
          <w:p w14:paraId="0668B3B0" w14:textId="77777777" w:rsidR="00454A29" w:rsidRDefault="00454A29">
            <w:pPr>
              <w:pStyle w:val="ConsPlusNormal"/>
            </w:pPr>
          </w:p>
        </w:tc>
      </w:tr>
      <w:tr w:rsidR="00454A29" w14:paraId="720985D8" w14:textId="77777777">
        <w:tc>
          <w:tcPr>
            <w:tcW w:w="567" w:type="dxa"/>
            <w:vMerge/>
          </w:tcPr>
          <w:p w14:paraId="24CA19B6" w14:textId="77777777" w:rsidR="00454A29" w:rsidRDefault="00454A29"/>
        </w:tc>
        <w:tc>
          <w:tcPr>
            <w:tcW w:w="3345" w:type="dxa"/>
            <w:vMerge/>
          </w:tcPr>
          <w:p w14:paraId="784916AF" w14:textId="77777777" w:rsidR="00454A29" w:rsidRDefault="00454A29"/>
        </w:tc>
        <w:tc>
          <w:tcPr>
            <w:tcW w:w="1701" w:type="dxa"/>
            <w:vAlign w:val="center"/>
          </w:tcPr>
          <w:p w14:paraId="26F820ED" w14:textId="77777777" w:rsidR="00454A29" w:rsidRDefault="00454A29">
            <w:pPr>
              <w:pStyle w:val="ConsPlusNormal"/>
              <w:jc w:val="center"/>
            </w:pPr>
            <w:r>
              <w:t>2023</w:t>
            </w:r>
          </w:p>
        </w:tc>
        <w:tc>
          <w:tcPr>
            <w:tcW w:w="1417" w:type="dxa"/>
            <w:vMerge/>
          </w:tcPr>
          <w:p w14:paraId="1813E690" w14:textId="77777777" w:rsidR="00454A29" w:rsidRDefault="00454A29"/>
        </w:tc>
        <w:tc>
          <w:tcPr>
            <w:tcW w:w="2204" w:type="dxa"/>
            <w:vMerge/>
          </w:tcPr>
          <w:p w14:paraId="4E80DA35" w14:textId="77777777" w:rsidR="00454A29" w:rsidRDefault="00454A29"/>
        </w:tc>
        <w:tc>
          <w:tcPr>
            <w:tcW w:w="1417" w:type="dxa"/>
            <w:vMerge/>
          </w:tcPr>
          <w:p w14:paraId="4040106D" w14:textId="77777777" w:rsidR="00454A29" w:rsidRDefault="00454A29"/>
        </w:tc>
        <w:tc>
          <w:tcPr>
            <w:tcW w:w="2324" w:type="dxa"/>
            <w:vMerge/>
          </w:tcPr>
          <w:p w14:paraId="74C2F206" w14:textId="77777777" w:rsidR="00454A29" w:rsidRDefault="00454A29"/>
        </w:tc>
        <w:tc>
          <w:tcPr>
            <w:tcW w:w="1701" w:type="dxa"/>
            <w:vAlign w:val="center"/>
          </w:tcPr>
          <w:p w14:paraId="75CBB481" w14:textId="77777777" w:rsidR="00454A29" w:rsidRDefault="00454A29">
            <w:pPr>
              <w:pStyle w:val="ConsPlusNormal"/>
            </w:pPr>
          </w:p>
        </w:tc>
        <w:tc>
          <w:tcPr>
            <w:tcW w:w="1814" w:type="dxa"/>
            <w:vAlign w:val="center"/>
          </w:tcPr>
          <w:p w14:paraId="22D8C176" w14:textId="77777777" w:rsidR="00454A29" w:rsidRDefault="00454A29">
            <w:pPr>
              <w:pStyle w:val="ConsPlusNormal"/>
            </w:pPr>
          </w:p>
        </w:tc>
        <w:tc>
          <w:tcPr>
            <w:tcW w:w="1701" w:type="dxa"/>
            <w:vAlign w:val="center"/>
          </w:tcPr>
          <w:p w14:paraId="7082846F" w14:textId="77777777" w:rsidR="00454A29" w:rsidRDefault="00454A29">
            <w:pPr>
              <w:pStyle w:val="ConsPlusNormal"/>
            </w:pPr>
          </w:p>
        </w:tc>
        <w:tc>
          <w:tcPr>
            <w:tcW w:w="1701" w:type="dxa"/>
            <w:vAlign w:val="center"/>
          </w:tcPr>
          <w:p w14:paraId="5A1F9BD8" w14:textId="77777777" w:rsidR="00454A29" w:rsidRDefault="00454A29">
            <w:pPr>
              <w:pStyle w:val="ConsPlusNormal"/>
            </w:pPr>
          </w:p>
        </w:tc>
        <w:tc>
          <w:tcPr>
            <w:tcW w:w="1814" w:type="dxa"/>
            <w:vAlign w:val="center"/>
          </w:tcPr>
          <w:p w14:paraId="09AAA1B0" w14:textId="77777777" w:rsidR="00454A29" w:rsidRDefault="00454A29">
            <w:pPr>
              <w:pStyle w:val="ConsPlusNormal"/>
            </w:pPr>
          </w:p>
        </w:tc>
      </w:tr>
      <w:tr w:rsidR="00454A29" w14:paraId="4BC61670" w14:textId="77777777">
        <w:tc>
          <w:tcPr>
            <w:tcW w:w="567" w:type="dxa"/>
            <w:vMerge/>
          </w:tcPr>
          <w:p w14:paraId="7260B669" w14:textId="77777777" w:rsidR="00454A29" w:rsidRDefault="00454A29"/>
        </w:tc>
        <w:tc>
          <w:tcPr>
            <w:tcW w:w="3345" w:type="dxa"/>
            <w:vMerge/>
          </w:tcPr>
          <w:p w14:paraId="0342DF99" w14:textId="77777777" w:rsidR="00454A29" w:rsidRDefault="00454A29"/>
        </w:tc>
        <w:tc>
          <w:tcPr>
            <w:tcW w:w="1701" w:type="dxa"/>
            <w:vAlign w:val="center"/>
          </w:tcPr>
          <w:p w14:paraId="37889107" w14:textId="77777777" w:rsidR="00454A29" w:rsidRDefault="00454A29">
            <w:pPr>
              <w:pStyle w:val="ConsPlusNormal"/>
              <w:jc w:val="center"/>
            </w:pPr>
            <w:r>
              <w:t>2024</w:t>
            </w:r>
          </w:p>
        </w:tc>
        <w:tc>
          <w:tcPr>
            <w:tcW w:w="1417" w:type="dxa"/>
            <w:vMerge/>
          </w:tcPr>
          <w:p w14:paraId="0D3085FA" w14:textId="77777777" w:rsidR="00454A29" w:rsidRDefault="00454A29"/>
        </w:tc>
        <w:tc>
          <w:tcPr>
            <w:tcW w:w="2204" w:type="dxa"/>
            <w:vMerge/>
          </w:tcPr>
          <w:p w14:paraId="1990766E" w14:textId="77777777" w:rsidR="00454A29" w:rsidRDefault="00454A29"/>
        </w:tc>
        <w:tc>
          <w:tcPr>
            <w:tcW w:w="1417" w:type="dxa"/>
            <w:vMerge/>
          </w:tcPr>
          <w:p w14:paraId="561C0CB0" w14:textId="77777777" w:rsidR="00454A29" w:rsidRDefault="00454A29"/>
        </w:tc>
        <w:tc>
          <w:tcPr>
            <w:tcW w:w="2324" w:type="dxa"/>
            <w:vMerge/>
          </w:tcPr>
          <w:p w14:paraId="0D1F94A8" w14:textId="77777777" w:rsidR="00454A29" w:rsidRDefault="00454A29"/>
        </w:tc>
        <w:tc>
          <w:tcPr>
            <w:tcW w:w="1701" w:type="dxa"/>
            <w:vAlign w:val="center"/>
          </w:tcPr>
          <w:p w14:paraId="0F96A6E8" w14:textId="77777777" w:rsidR="00454A29" w:rsidRDefault="00454A29">
            <w:pPr>
              <w:pStyle w:val="ConsPlusNormal"/>
            </w:pPr>
          </w:p>
        </w:tc>
        <w:tc>
          <w:tcPr>
            <w:tcW w:w="1814" w:type="dxa"/>
            <w:vAlign w:val="center"/>
          </w:tcPr>
          <w:p w14:paraId="218DDCC3" w14:textId="77777777" w:rsidR="00454A29" w:rsidRDefault="00454A29">
            <w:pPr>
              <w:pStyle w:val="ConsPlusNormal"/>
            </w:pPr>
          </w:p>
        </w:tc>
        <w:tc>
          <w:tcPr>
            <w:tcW w:w="1701" w:type="dxa"/>
            <w:vAlign w:val="center"/>
          </w:tcPr>
          <w:p w14:paraId="5A5AED72" w14:textId="77777777" w:rsidR="00454A29" w:rsidRDefault="00454A29">
            <w:pPr>
              <w:pStyle w:val="ConsPlusNormal"/>
            </w:pPr>
          </w:p>
        </w:tc>
        <w:tc>
          <w:tcPr>
            <w:tcW w:w="1701" w:type="dxa"/>
            <w:vAlign w:val="center"/>
          </w:tcPr>
          <w:p w14:paraId="6D5408A0" w14:textId="77777777" w:rsidR="00454A29" w:rsidRDefault="00454A29">
            <w:pPr>
              <w:pStyle w:val="ConsPlusNormal"/>
            </w:pPr>
          </w:p>
        </w:tc>
        <w:tc>
          <w:tcPr>
            <w:tcW w:w="1814" w:type="dxa"/>
            <w:vAlign w:val="center"/>
          </w:tcPr>
          <w:p w14:paraId="4BDBD6A3" w14:textId="77777777" w:rsidR="00454A29" w:rsidRDefault="00454A29">
            <w:pPr>
              <w:pStyle w:val="ConsPlusNormal"/>
            </w:pPr>
          </w:p>
        </w:tc>
      </w:tr>
      <w:tr w:rsidR="00454A29" w14:paraId="15773C79" w14:textId="77777777">
        <w:tc>
          <w:tcPr>
            <w:tcW w:w="567" w:type="dxa"/>
            <w:vMerge/>
          </w:tcPr>
          <w:p w14:paraId="09579DC2" w14:textId="77777777" w:rsidR="00454A29" w:rsidRDefault="00454A29"/>
        </w:tc>
        <w:tc>
          <w:tcPr>
            <w:tcW w:w="3345" w:type="dxa"/>
            <w:vMerge/>
          </w:tcPr>
          <w:p w14:paraId="014BD181" w14:textId="77777777" w:rsidR="00454A29" w:rsidRDefault="00454A29"/>
        </w:tc>
        <w:tc>
          <w:tcPr>
            <w:tcW w:w="1701" w:type="dxa"/>
            <w:vAlign w:val="center"/>
          </w:tcPr>
          <w:p w14:paraId="54B0F3EA" w14:textId="77777777" w:rsidR="00454A29" w:rsidRDefault="00454A29">
            <w:pPr>
              <w:pStyle w:val="ConsPlusNormal"/>
              <w:jc w:val="center"/>
            </w:pPr>
            <w:r>
              <w:t>2025</w:t>
            </w:r>
          </w:p>
        </w:tc>
        <w:tc>
          <w:tcPr>
            <w:tcW w:w="1417" w:type="dxa"/>
            <w:vMerge/>
          </w:tcPr>
          <w:p w14:paraId="238A3EBD" w14:textId="77777777" w:rsidR="00454A29" w:rsidRDefault="00454A29"/>
        </w:tc>
        <w:tc>
          <w:tcPr>
            <w:tcW w:w="2204" w:type="dxa"/>
            <w:vMerge/>
          </w:tcPr>
          <w:p w14:paraId="099598BA" w14:textId="77777777" w:rsidR="00454A29" w:rsidRDefault="00454A29"/>
        </w:tc>
        <w:tc>
          <w:tcPr>
            <w:tcW w:w="1417" w:type="dxa"/>
            <w:vMerge/>
          </w:tcPr>
          <w:p w14:paraId="4B10D6A9" w14:textId="77777777" w:rsidR="00454A29" w:rsidRDefault="00454A29"/>
        </w:tc>
        <w:tc>
          <w:tcPr>
            <w:tcW w:w="2324" w:type="dxa"/>
            <w:vMerge/>
          </w:tcPr>
          <w:p w14:paraId="6007E8FC" w14:textId="77777777" w:rsidR="00454A29" w:rsidRDefault="00454A29"/>
        </w:tc>
        <w:tc>
          <w:tcPr>
            <w:tcW w:w="1701" w:type="dxa"/>
            <w:vAlign w:val="center"/>
          </w:tcPr>
          <w:p w14:paraId="2A81F25A" w14:textId="77777777" w:rsidR="00454A29" w:rsidRDefault="00454A29">
            <w:pPr>
              <w:pStyle w:val="ConsPlusNormal"/>
              <w:jc w:val="center"/>
            </w:pPr>
            <w:r>
              <w:t>475 023,96</w:t>
            </w:r>
          </w:p>
        </w:tc>
        <w:tc>
          <w:tcPr>
            <w:tcW w:w="1814" w:type="dxa"/>
            <w:vAlign w:val="center"/>
          </w:tcPr>
          <w:p w14:paraId="563B2243" w14:textId="77777777" w:rsidR="00454A29" w:rsidRDefault="00454A29">
            <w:pPr>
              <w:pStyle w:val="ConsPlusNormal"/>
              <w:jc w:val="center"/>
            </w:pPr>
            <w:r>
              <w:t>167 426,09</w:t>
            </w:r>
          </w:p>
        </w:tc>
        <w:tc>
          <w:tcPr>
            <w:tcW w:w="1701" w:type="dxa"/>
            <w:vAlign w:val="center"/>
          </w:tcPr>
          <w:p w14:paraId="359E4DB1" w14:textId="77777777" w:rsidR="00454A29" w:rsidRDefault="00454A29">
            <w:pPr>
              <w:pStyle w:val="ConsPlusNormal"/>
              <w:jc w:val="center"/>
            </w:pPr>
            <w:r>
              <w:t>433 479,22</w:t>
            </w:r>
          </w:p>
        </w:tc>
        <w:tc>
          <w:tcPr>
            <w:tcW w:w="1701" w:type="dxa"/>
            <w:vAlign w:val="center"/>
          </w:tcPr>
          <w:p w14:paraId="1517419E" w14:textId="77777777" w:rsidR="00454A29" w:rsidRDefault="00454A29">
            <w:pPr>
              <w:pStyle w:val="ConsPlusNormal"/>
            </w:pPr>
          </w:p>
        </w:tc>
        <w:tc>
          <w:tcPr>
            <w:tcW w:w="1814" w:type="dxa"/>
            <w:vAlign w:val="center"/>
          </w:tcPr>
          <w:p w14:paraId="383CF45C" w14:textId="77777777" w:rsidR="00454A29" w:rsidRDefault="00454A29">
            <w:pPr>
              <w:pStyle w:val="ConsPlusNormal"/>
            </w:pPr>
          </w:p>
        </w:tc>
      </w:tr>
      <w:tr w:rsidR="00454A29" w14:paraId="4CFB02F9" w14:textId="77777777">
        <w:tc>
          <w:tcPr>
            <w:tcW w:w="567" w:type="dxa"/>
            <w:vMerge/>
          </w:tcPr>
          <w:p w14:paraId="1A57B9A3" w14:textId="77777777" w:rsidR="00454A29" w:rsidRDefault="00454A29"/>
        </w:tc>
        <w:tc>
          <w:tcPr>
            <w:tcW w:w="3345" w:type="dxa"/>
            <w:vMerge/>
          </w:tcPr>
          <w:p w14:paraId="3279673A" w14:textId="77777777" w:rsidR="00454A29" w:rsidRDefault="00454A29"/>
        </w:tc>
        <w:tc>
          <w:tcPr>
            <w:tcW w:w="1701" w:type="dxa"/>
            <w:vAlign w:val="center"/>
          </w:tcPr>
          <w:p w14:paraId="7679DAB5" w14:textId="77777777" w:rsidR="00454A29" w:rsidRDefault="00454A29">
            <w:pPr>
              <w:pStyle w:val="ConsPlusNormal"/>
              <w:jc w:val="center"/>
            </w:pPr>
            <w:r>
              <w:t>2026</w:t>
            </w:r>
          </w:p>
        </w:tc>
        <w:tc>
          <w:tcPr>
            <w:tcW w:w="1417" w:type="dxa"/>
            <w:vMerge/>
          </w:tcPr>
          <w:p w14:paraId="3BC84C43" w14:textId="77777777" w:rsidR="00454A29" w:rsidRDefault="00454A29"/>
        </w:tc>
        <w:tc>
          <w:tcPr>
            <w:tcW w:w="2204" w:type="dxa"/>
            <w:vMerge/>
          </w:tcPr>
          <w:p w14:paraId="0E227F95" w14:textId="77777777" w:rsidR="00454A29" w:rsidRDefault="00454A29"/>
        </w:tc>
        <w:tc>
          <w:tcPr>
            <w:tcW w:w="1417" w:type="dxa"/>
            <w:vMerge/>
          </w:tcPr>
          <w:p w14:paraId="5C85376A" w14:textId="77777777" w:rsidR="00454A29" w:rsidRDefault="00454A29"/>
        </w:tc>
        <w:tc>
          <w:tcPr>
            <w:tcW w:w="2324" w:type="dxa"/>
            <w:vMerge/>
          </w:tcPr>
          <w:p w14:paraId="7DABD7DD" w14:textId="77777777" w:rsidR="00454A29" w:rsidRDefault="00454A29"/>
        </w:tc>
        <w:tc>
          <w:tcPr>
            <w:tcW w:w="1701" w:type="dxa"/>
            <w:vAlign w:val="center"/>
          </w:tcPr>
          <w:p w14:paraId="44852AE0" w14:textId="77777777" w:rsidR="00454A29" w:rsidRDefault="00454A29">
            <w:pPr>
              <w:pStyle w:val="ConsPlusNormal"/>
            </w:pPr>
          </w:p>
        </w:tc>
        <w:tc>
          <w:tcPr>
            <w:tcW w:w="1814" w:type="dxa"/>
            <w:vAlign w:val="center"/>
          </w:tcPr>
          <w:p w14:paraId="43CABB4D" w14:textId="77777777" w:rsidR="00454A29" w:rsidRDefault="00454A29">
            <w:pPr>
              <w:pStyle w:val="ConsPlusNormal"/>
            </w:pPr>
          </w:p>
        </w:tc>
        <w:tc>
          <w:tcPr>
            <w:tcW w:w="1701" w:type="dxa"/>
            <w:vAlign w:val="center"/>
          </w:tcPr>
          <w:p w14:paraId="53805057" w14:textId="77777777" w:rsidR="00454A29" w:rsidRDefault="00454A29">
            <w:pPr>
              <w:pStyle w:val="ConsPlusNormal"/>
            </w:pPr>
          </w:p>
        </w:tc>
        <w:tc>
          <w:tcPr>
            <w:tcW w:w="1701" w:type="dxa"/>
            <w:vAlign w:val="center"/>
          </w:tcPr>
          <w:p w14:paraId="7C96EB80" w14:textId="77777777" w:rsidR="00454A29" w:rsidRDefault="00454A29">
            <w:pPr>
              <w:pStyle w:val="ConsPlusNormal"/>
            </w:pPr>
          </w:p>
        </w:tc>
        <w:tc>
          <w:tcPr>
            <w:tcW w:w="1814" w:type="dxa"/>
            <w:vAlign w:val="center"/>
          </w:tcPr>
          <w:p w14:paraId="44D57BCB" w14:textId="77777777" w:rsidR="00454A29" w:rsidRDefault="00454A29">
            <w:pPr>
              <w:pStyle w:val="ConsPlusNormal"/>
            </w:pPr>
          </w:p>
        </w:tc>
      </w:tr>
      <w:tr w:rsidR="00454A29" w14:paraId="4E76B8D4" w14:textId="77777777">
        <w:tc>
          <w:tcPr>
            <w:tcW w:w="567" w:type="dxa"/>
            <w:vMerge w:val="restart"/>
            <w:vAlign w:val="center"/>
          </w:tcPr>
          <w:p w14:paraId="54ADD755" w14:textId="77777777" w:rsidR="00454A29" w:rsidRDefault="00454A29">
            <w:pPr>
              <w:pStyle w:val="ConsPlusNormal"/>
              <w:jc w:val="center"/>
            </w:pPr>
            <w:r>
              <w:t>32</w:t>
            </w:r>
          </w:p>
        </w:tc>
        <w:tc>
          <w:tcPr>
            <w:tcW w:w="3345" w:type="dxa"/>
            <w:vMerge w:val="restart"/>
            <w:vAlign w:val="center"/>
          </w:tcPr>
          <w:p w14:paraId="2C2ABFA8" w14:textId="77777777" w:rsidR="00454A29" w:rsidRDefault="00454A29">
            <w:pPr>
              <w:pStyle w:val="ConsPlusNormal"/>
              <w:jc w:val="center"/>
            </w:pPr>
            <w:r>
              <w:t>Школа на 350 учащихся в п. Батагай</w:t>
            </w:r>
          </w:p>
        </w:tc>
        <w:tc>
          <w:tcPr>
            <w:tcW w:w="1701" w:type="dxa"/>
            <w:vAlign w:val="center"/>
          </w:tcPr>
          <w:p w14:paraId="7F075975" w14:textId="77777777" w:rsidR="00454A29" w:rsidRDefault="00454A29">
            <w:pPr>
              <w:pStyle w:val="ConsPlusNormal"/>
              <w:jc w:val="center"/>
            </w:pPr>
            <w:r>
              <w:t>2020 - 2026 годы - всего</w:t>
            </w:r>
          </w:p>
        </w:tc>
        <w:tc>
          <w:tcPr>
            <w:tcW w:w="1417" w:type="dxa"/>
            <w:vMerge w:val="restart"/>
            <w:vAlign w:val="center"/>
          </w:tcPr>
          <w:p w14:paraId="57FFDE01" w14:textId="77777777" w:rsidR="00454A29" w:rsidRDefault="00454A29">
            <w:pPr>
              <w:pStyle w:val="ConsPlusNormal"/>
              <w:jc w:val="center"/>
            </w:pPr>
            <w:r>
              <w:t>726 680,97</w:t>
            </w:r>
          </w:p>
        </w:tc>
        <w:tc>
          <w:tcPr>
            <w:tcW w:w="2204" w:type="dxa"/>
            <w:vMerge w:val="restart"/>
            <w:vAlign w:val="center"/>
          </w:tcPr>
          <w:p w14:paraId="0DF4B9FD" w14:textId="77777777" w:rsidR="00454A29" w:rsidRDefault="00454A29">
            <w:pPr>
              <w:pStyle w:val="ConsPlusNormal"/>
            </w:pPr>
          </w:p>
        </w:tc>
        <w:tc>
          <w:tcPr>
            <w:tcW w:w="1417" w:type="dxa"/>
            <w:vMerge w:val="restart"/>
            <w:vAlign w:val="center"/>
          </w:tcPr>
          <w:p w14:paraId="008FC86D" w14:textId="77777777" w:rsidR="00454A29" w:rsidRDefault="00454A29">
            <w:pPr>
              <w:pStyle w:val="ConsPlusNormal"/>
              <w:jc w:val="center"/>
            </w:pPr>
            <w:r>
              <w:t>350</w:t>
            </w:r>
          </w:p>
        </w:tc>
        <w:tc>
          <w:tcPr>
            <w:tcW w:w="2324" w:type="dxa"/>
            <w:vMerge w:val="restart"/>
            <w:vAlign w:val="center"/>
          </w:tcPr>
          <w:p w14:paraId="2708A2D7"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115BD027" w14:textId="77777777" w:rsidR="00454A29" w:rsidRDefault="00454A29">
            <w:pPr>
              <w:pStyle w:val="ConsPlusNormal"/>
              <w:jc w:val="center"/>
            </w:pPr>
            <w:r>
              <w:lastRenderedPageBreak/>
              <w:t>726 680,97</w:t>
            </w:r>
          </w:p>
        </w:tc>
        <w:tc>
          <w:tcPr>
            <w:tcW w:w="1814" w:type="dxa"/>
            <w:vAlign w:val="center"/>
          </w:tcPr>
          <w:p w14:paraId="0A4D1012" w14:textId="77777777" w:rsidR="00454A29" w:rsidRDefault="00454A29">
            <w:pPr>
              <w:pStyle w:val="ConsPlusNormal"/>
              <w:jc w:val="center"/>
            </w:pPr>
            <w:r>
              <w:t>9 192,51</w:t>
            </w:r>
          </w:p>
        </w:tc>
        <w:tc>
          <w:tcPr>
            <w:tcW w:w="1701" w:type="dxa"/>
            <w:vAlign w:val="center"/>
          </w:tcPr>
          <w:p w14:paraId="496E3E98" w14:textId="77777777" w:rsidR="00454A29" w:rsidRDefault="00454A29">
            <w:pPr>
              <w:pStyle w:val="ConsPlusNormal"/>
              <w:jc w:val="center"/>
            </w:pPr>
            <w:r>
              <w:t>910 058,91</w:t>
            </w:r>
          </w:p>
        </w:tc>
        <w:tc>
          <w:tcPr>
            <w:tcW w:w="1701" w:type="dxa"/>
            <w:vAlign w:val="center"/>
          </w:tcPr>
          <w:p w14:paraId="25642A52" w14:textId="77777777" w:rsidR="00454A29" w:rsidRDefault="00454A29">
            <w:pPr>
              <w:pStyle w:val="ConsPlusNormal"/>
              <w:jc w:val="center"/>
            </w:pPr>
            <w:r>
              <w:t>-</w:t>
            </w:r>
          </w:p>
        </w:tc>
        <w:tc>
          <w:tcPr>
            <w:tcW w:w="1814" w:type="dxa"/>
            <w:vAlign w:val="center"/>
          </w:tcPr>
          <w:p w14:paraId="0EB84689" w14:textId="77777777" w:rsidR="00454A29" w:rsidRDefault="00454A29">
            <w:pPr>
              <w:pStyle w:val="ConsPlusNormal"/>
              <w:jc w:val="center"/>
            </w:pPr>
            <w:r>
              <w:t>-</w:t>
            </w:r>
          </w:p>
        </w:tc>
      </w:tr>
      <w:tr w:rsidR="00454A29" w14:paraId="32AE152A" w14:textId="77777777">
        <w:tc>
          <w:tcPr>
            <w:tcW w:w="567" w:type="dxa"/>
            <w:vMerge/>
          </w:tcPr>
          <w:p w14:paraId="3B9D8CA9" w14:textId="77777777" w:rsidR="00454A29" w:rsidRDefault="00454A29"/>
        </w:tc>
        <w:tc>
          <w:tcPr>
            <w:tcW w:w="3345" w:type="dxa"/>
            <w:vMerge/>
          </w:tcPr>
          <w:p w14:paraId="2629FB99" w14:textId="77777777" w:rsidR="00454A29" w:rsidRDefault="00454A29"/>
        </w:tc>
        <w:tc>
          <w:tcPr>
            <w:tcW w:w="1701" w:type="dxa"/>
            <w:vAlign w:val="center"/>
          </w:tcPr>
          <w:p w14:paraId="33A5EC02" w14:textId="77777777" w:rsidR="00454A29" w:rsidRDefault="00454A29">
            <w:pPr>
              <w:pStyle w:val="ConsPlusNormal"/>
              <w:jc w:val="center"/>
            </w:pPr>
            <w:r>
              <w:t>2020</w:t>
            </w:r>
          </w:p>
        </w:tc>
        <w:tc>
          <w:tcPr>
            <w:tcW w:w="1417" w:type="dxa"/>
            <w:vMerge/>
          </w:tcPr>
          <w:p w14:paraId="7F5BD0E1" w14:textId="77777777" w:rsidR="00454A29" w:rsidRDefault="00454A29"/>
        </w:tc>
        <w:tc>
          <w:tcPr>
            <w:tcW w:w="2204" w:type="dxa"/>
            <w:vMerge/>
          </w:tcPr>
          <w:p w14:paraId="006944DF" w14:textId="77777777" w:rsidR="00454A29" w:rsidRDefault="00454A29"/>
        </w:tc>
        <w:tc>
          <w:tcPr>
            <w:tcW w:w="1417" w:type="dxa"/>
            <w:vMerge/>
          </w:tcPr>
          <w:p w14:paraId="6183DFAC" w14:textId="77777777" w:rsidR="00454A29" w:rsidRDefault="00454A29"/>
        </w:tc>
        <w:tc>
          <w:tcPr>
            <w:tcW w:w="2324" w:type="dxa"/>
            <w:vMerge/>
          </w:tcPr>
          <w:p w14:paraId="1B28C053" w14:textId="77777777" w:rsidR="00454A29" w:rsidRDefault="00454A29"/>
        </w:tc>
        <w:tc>
          <w:tcPr>
            <w:tcW w:w="1701" w:type="dxa"/>
            <w:vAlign w:val="center"/>
          </w:tcPr>
          <w:p w14:paraId="0566F52A" w14:textId="77777777" w:rsidR="00454A29" w:rsidRDefault="00454A29">
            <w:pPr>
              <w:pStyle w:val="ConsPlusNormal"/>
            </w:pPr>
          </w:p>
        </w:tc>
        <w:tc>
          <w:tcPr>
            <w:tcW w:w="1814" w:type="dxa"/>
            <w:vAlign w:val="center"/>
          </w:tcPr>
          <w:p w14:paraId="59D80AE6" w14:textId="77777777" w:rsidR="00454A29" w:rsidRDefault="00454A29">
            <w:pPr>
              <w:pStyle w:val="ConsPlusNormal"/>
            </w:pPr>
          </w:p>
        </w:tc>
        <w:tc>
          <w:tcPr>
            <w:tcW w:w="1701" w:type="dxa"/>
            <w:vAlign w:val="center"/>
          </w:tcPr>
          <w:p w14:paraId="5026EDB3" w14:textId="77777777" w:rsidR="00454A29" w:rsidRDefault="00454A29">
            <w:pPr>
              <w:pStyle w:val="ConsPlusNormal"/>
            </w:pPr>
          </w:p>
        </w:tc>
        <w:tc>
          <w:tcPr>
            <w:tcW w:w="1701" w:type="dxa"/>
            <w:vAlign w:val="center"/>
          </w:tcPr>
          <w:p w14:paraId="0079C532" w14:textId="77777777" w:rsidR="00454A29" w:rsidRDefault="00454A29">
            <w:pPr>
              <w:pStyle w:val="ConsPlusNormal"/>
            </w:pPr>
          </w:p>
        </w:tc>
        <w:tc>
          <w:tcPr>
            <w:tcW w:w="1814" w:type="dxa"/>
            <w:vAlign w:val="center"/>
          </w:tcPr>
          <w:p w14:paraId="5A8EC87C" w14:textId="77777777" w:rsidR="00454A29" w:rsidRDefault="00454A29">
            <w:pPr>
              <w:pStyle w:val="ConsPlusNormal"/>
            </w:pPr>
          </w:p>
        </w:tc>
      </w:tr>
      <w:tr w:rsidR="00454A29" w14:paraId="7CF4BB22" w14:textId="77777777">
        <w:tc>
          <w:tcPr>
            <w:tcW w:w="567" w:type="dxa"/>
            <w:vMerge/>
          </w:tcPr>
          <w:p w14:paraId="5B6EC293" w14:textId="77777777" w:rsidR="00454A29" w:rsidRDefault="00454A29"/>
        </w:tc>
        <w:tc>
          <w:tcPr>
            <w:tcW w:w="3345" w:type="dxa"/>
            <w:vMerge/>
          </w:tcPr>
          <w:p w14:paraId="432B64D5" w14:textId="77777777" w:rsidR="00454A29" w:rsidRDefault="00454A29"/>
        </w:tc>
        <w:tc>
          <w:tcPr>
            <w:tcW w:w="1701" w:type="dxa"/>
            <w:vAlign w:val="center"/>
          </w:tcPr>
          <w:p w14:paraId="72C81AA4" w14:textId="77777777" w:rsidR="00454A29" w:rsidRDefault="00454A29">
            <w:pPr>
              <w:pStyle w:val="ConsPlusNormal"/>
              <w:jc w:val="center"/>
            </w:pPr>
            <w:r>
              <w:t>2021</w:t>
            </w:r>
          </w:p>
        </w:tc>
        <w:tc>
          <w:tcPr>
            <w:tcW w:w="1417" w:type="dxa"/>
            <w:vMerge/>
          </w:tcPr>
          <w:p w14:paraId="01B2E890" w14:textId="77777777" w:rsidR="00454A29" w:rsidRDefault="00454A29"/>
        </w:tc>
        <w:tc>
          <w:tcPr>
            <w:tcW w:w="2204" w:type="dxa"/>
            <w:vMerge/>
          </w:tcPr>
          <w:p w14:paraId="47908DD7" w14:textId="77777777" w:rsidR="00454A29" w:rsidRDefault="00454A29"/>
        </w:tc>
        <w:tc>
          <w:tcPr>
            <w:tcW w:w="1417" w:type="dxa"/>
            <w:vMerge/>
          </w:tcPr>
          <w:p w14:paraId="0F9E4D6C" w14:textId="77777777" w:rsidR="00454A29" w:rsidRDefault="00454A29"/>
        </w:tc>
        <w:tc>
          <w:tcPr>
            <w:tcW w:w="2324" w:type="dxa"/>
            <w:vMerge/>
          </w:tcPr>
          <w:p w14:paraId="470CEA52" w14:textId="77777777" w:rsidR="00454A29" w:rsidRDefault="00454A29"/>
        </w:tc>
        <w:tc>
          <w:tcPr>
            <w:tcW w:w="1701" w:type="dxa"/>
            <w:vAlign w:val="center"/>
          </w:tcPr>
          <w:p w14:paraId="55862D92" w14:textId="77777777" w:rsidR="00454A29" w:rsidRDefault="00454A29">
            <w:pPr>
              <w:pStyle w:val="ConsPlusNormal"/>
            </w:pPr>
          </w:p>
        </w:tc>
        <w:tc>
          <w:tcPr>
            <w:tcW w:w="1814" w:type="dxa"/>
            <w:vAlign w:val="center"/>
          </w:tcPr>
          <w:p w14:paraId="178F1574" w14:textId="77777777" w:rsidR="00454A29" w:rsidRDefault="00454A29">
            <w:pPr>
              <w:pStyle w:val="ConsPlusNormal"/>
            </w:pPr>
          </w:p>
        </w:tc>
        <w:tc>
          <w:tcPr>
            <w:tcW w:w="1701" w:type="dxa"/>
            <w:vAlign w:val="center"/>
          </w:tcPr>
          <w:p w14:paraId="6736CDB1" w14:textId="77777777" w:rsidR="00454A29" w:rsidRDefault="00454A29">
            <w:pPr>
              <w:pStyle w:val="ConsPlusNormal"/>
            </w:pPr>
          </w:p>
        </w:tc>
        <w:tc>
          <w:tcPr>
            <w:tcW w:w="1701" w:type="dxa"/>
            <w:vAlign w:val="center"/>
          </w:tcPr>
          <w:p w14:paraId="3C7DF53D" w14:textId="77777777" w:rsidR="00454A29" w:rsidRDefault="00454A29">
            <w:pPr>
              <w:pStyle w:val="ConsPlusNormal"/>
            </w:pPr>
          </w:p>
        </w:tc>
        <w:tc>
          <w:tcPr>
            <w:tcW w:w="1814" w:type="dxa"/>
            <w:vAlign w:val="center"/>
          </w:tcPr>
          <w:p w14:paraId="4735FB41" w14:textId="77777777" w:rsidR="00454A29" w:rsidRDefault="00454A29">
            <w:pPr>
              <w:pStyle w:val="ConsPlusNormal"/>
            </w:pPr>
          </w:p>
        </w:tc>
      </w:tr>
      <w:tr w:rsidR="00454A29" w14:paraId="7EBBF532" w14:textId="77777777">
        <w:tc>
          <w:tcPr>
            <w:tcW w:w="567" w:type="dxa"/>
            <w:vMerge/>
          </w:tcPr>
          <w:p w14:paraId="53BC1557" w14:textId="77777777" w:rsidR="00454A29" w:rsidRDefault="00454A29"/>
        </w:tc>
        <w:tc>
          <w:tcPr>
            <w:tcW w:w="3345" w:type="dxa"/>
            <w:vMerge/>
          </w:tcPr>
          <w:p w14:paraId="718B8C89" w14:textId="77777777" w:rsidR="00454A29" w:rsidRDefault="00454A29"/>
        </w:tc>
        <w:tc>
          <w:tcPr>
            <w:tcW w:w="1701" w:type="dxa"/>
            <w:vAlign w:val="center"/>
          </w:tcPr>
          <w:p w14:paraId="119B4D1F" w14:textId="77777777" w:rsidR="00454A29" w:rsidRDefault="00454A29">
            <w:pPr>
              <w:pStyle w:val="ConsPlusNormal"/>
              <w:jc w:val="center"/>
            </w:pPr>
            <w:r>
              <w:t>2022</w:t>
            </w:r>
          </w:p>
        </w:tc>
        <w:tc>
          <w:tcPr>
            <w:tcW w:w="1417" w:type="dxa"/>
            <w:vMerge/>
          </w:tcPr>
          <w:p w14:paraId="0DEA60BA" w14:textId="77777777" w:rsidR="00454A29" w:rsidRDefault="00454A29"/>
        </w:tc>
        <w:tc>
          <w:tcPr>
            <w:tcW w:w="2204" w:type="dxa"/>
            <w:vMerge/>
          </w:tcPr>
          <w:p w14:paraId="738D7777" w14:textId="77777777" w:rsidR="00454A29" w:rsidRDefault="00454A29"/>
        </w:tc>
        <w:tc>
          <w:tcPr>
            <w:tcW w:w="1417" w:type="dxa"/>
            <w:vMerge/>
          </w:tcPr>
          <w:p w14:paraId="152CFD67" w14:textId="77777777" w:rsidR="00454A29" w:rsidRDefault="00454A29"/>
        </w:tc>
        <w:tc>
          <w:tcPr>
            <w:tcW w:w="2324" w:type="dxa"/>
            <w:vMerge/>
          </w:tcPr>
          <w:p w14:paraId="7A0224EB" w14:textId="77777777" w:rsidR="00454A29" w:rsidRDefault="00454A29"/>
        </w:tc>
        <w:tc>
          <w:tcPr>
            <w:tcW w:w="1701" w:type="dxa"/>
            <w:vAlign w:val="center"/>
          </w:tcPr>
          <w:p w14:paraId="3F4F36AB" w14:textId="77777777" w:rsidR="00454A29" w:rsidRDefault="00454A29">
            <w:pPr>
              <w:pStyle w:val="ConsPlusNormal"/>
            </w:pPr>
          </w:p>
        </w:tc>
        <w:tc>
          <w:tcPr>
            <w:tcW w:w="1814" w:type="dxa"/>
            <w:vAlign w:val="center"/>
          </w:tcPr>
          <w:p w14:paraId="5CF11C28" w14:textId="77777777" w:rsidR="00454A29" w:rsidRDefault="00454A29">
            <w:pPr>
              <w:pStyle w:val="ConsPlusNormal"/>
            </w:pPr>
          </w:p>
        </w:tc>
        <w:tc>
          <w:tcPr>
            <w:tcW w:w="1701" w:type="dxa"/>
            <w:vAlign w:val="center"/>
          </w:tcPr>
          <w:p w14:paraId="28D202CC" w14:textId="77777777" w:rsidR="00454A29" w:rsidRDefault="00454A29">
            <w:pPr>
              <w:pStyle w:val="ConsPlusNormal"/>
            </w:pPr>
          </w:p>
        </w:tc>
        <w:tc>
          <w:tcPr>
            <w:tcW w:w="1701" w:type="dxa"/>
            <w:vAlign w:val="center"/>
          </w:tcPr>
          <w:p w14:paraId="1BC224E7" w14:textId="77777777" w:rsidR="00454A29" w:rsidRDefault="00454A29">
            <w:pPr>
              <w:pStyle w:val="ConsPlusNormal"/>
            </w:pPr>
          </w:p>
        </w:tc>
        <w:tc>
          <w:tcPr>
            <w:tcW w:w="1814" w:type="dxa"/>
            <w:vAlign w:val="center"/>
          </w:tcPr>
          <w:p w14:paraId="020E6EC4" w14:textId="77777777" w:rsidR="00454A29" w:rsidRDefault="00454A29">
            <w:pPr>
              <w:pStyle w:val="ConsPlusNormal"/>
            </w:pPr>
          </w:p>
        </w:tc>
      </w:tr>
      <w:tr w:rsidR="00454A29" w14:paraId="2003BDDD" w14:textId="77777777">
        <w:tc>
          <w:tcPr>
            <w:tcW w:w="567" w:type="dxa"/>
            <w:vMerge/>
          </w:tcPr>
          <w:p w14:paraId="0BBA6E83" w14:textId="77777777" w:rsidR="00454A29" w:rsidRDefault="00454A29"/>
        </w:tc>
        <w:tc>
          <w:tcPr>
            <w:tcW w:w="3345" w:type="dxa"/>
            <w:vMerge/>
          </w:tcPr>
          <w:p w14:paraId="0A2E5F00" w14:textId="77777777" w:rsidR="00454A29" w:rsidRDefault="00454A29"/>
        </w:tc>
        <w:tc>
          <w:tcPr>
            <w:tcW w:w="1701" w:type="dxa"/>
            <w:vAlign w:val="center"/>
          </w:tcPr>
          <w:p w14:paraId="2FFF3A73" w14:textId="77777777" w:rsidR="00454A29" w:rsidRDefault="00454A29">
            <w:pPr>
              <w:pStyle w:val="ConsPlusNormal"/>
              <w:jc w:val="center"/>
            </w:pPr>
            <w:r>
              <w:t>2023</w:t>
            </w:r>
          </w:p>
        </w:tc>
        <w:tc>
          <w:tcPr>
            <w:tcW w:w="1417" w:type="dxa"/>
            <w:vMerge/>
          </w:tcPr>
          <w:p w14:paraId="6D721123" w14:textId="77777777" w:rsidR="00454A29" w:rsidRDefault="00454A29"/>
        </w:tc>
        <w:tc>
          <w:tcPr>
            <w:tcW w:w="2204" w:type="dxa"/>
            <w:vMerge/>
          </w:tcPr>
          <w:p w14:paraId="4C0850DE" w14:textId="77777777" w:rsidR="00454A29" w:rsidRDefault="00454A29"/>
        </w:tc>
        <w:tc>
          <w:tcPr>
            <w:tcW w:w="1417" w:type="dxa"/>
            <w:vMerge/>
          </w:tcPr>
          <w:p w14:paraId="761336E0" w14:textId="77777777" w:rsidR="00454A29" w:rsidRDefault="00454A29"/>
        </w:tc>
        <w:tc>
          <w:tcPr>
            <w:tcW w:w="2324" w:type="dxa"/>
            <w:vMerge/>
          </w:tcPr>
          <w:p w14:paraId="5A2D3499" w14:textId="77777777" w:rsidR="00454A29" w:rsidRDefault="00454A29"/>
        </w:tc>
        <w:tc>
          <w:tcPr>
            <w:tcW w:w="1701" w:type="dxa"/>
            <w:vAlign w:val="center"/>
          </w:tcPr>
          <w:p w14:paraId="1347A9ED" w14:textId="77777777" w:rsidR="00454A29" w:rsidRDefault="00454A29">
            <w:pPr>
              <w:pStyle w:val="ConsPlusNormal"/>
            </w:pPr>
          </w:p>
        </w:tc>
        <w:tc>
          <w:tcPr>
            <w:tcW w:w="1814" w:type="dxa"/>
            <w:vAlign w:val="center"/>
          </w:tcPr>
          <w:p w14:paraId="3F4EA27E" w14:textId="77777777" w:rsidR="00454A29" w:rsidRDefault="00454A29">
            <w:pPr>
              <w:pStyle w:val="ConsPlusNormal"/>
            </w:pPr>
          </w:p>
        </w:tc>
        <w:tc>
          <w:tcPr>
            <w:tcW w:w="1701" w:type="dxa"/>
            <w:vAlign w:val="center"/>
          </w:tcPr>
          <w:p w14:paraId="46BC9ADB" w14:textId="77777777" w:rsidR="00454A29" w:rsidRDefault="00454A29">
            <w:pPr>
              <w:pStyle w:val="ConsPlusNormal"/>
            </w:pPr>
          </w:p>
        </w:tc>
        <w:tc>
          <w:tcPr>
            <w:tcW w:w="1701" w:type="dxa"/>
            <w:vAlign w:val="center"/>
          </w:tcPr>
          <w:p w14:paraId="4C8DB0A7" w14:textId="77777777" w:rsidR="00454A29" w:rsidRDefault="00454A29">
            <w:pPr>
              <w:pStyle w:val="ConsPlusNormal"/>
            </w:pPr>
          </w:p>
        </w:tc>
        <w:tc>
          <w:tcPr>
            <w:tcW w:w="1814" w:type="dxa"/>
            <w:vAlign w:val="center"/>
          </w:tcPr>
          <w:p w14:paraId="72BEE27D" w14:textId="77777777" w:rsidR="00454A29" w:rsidRDefault="00454A29">
            <w:pPr>
              <w:pStyle w:val="ConsPlusNormal"/>
            </w:pPr>
          </w:p>
        </w:tc>
      </w:tr>
      <w:tr w:rsidR="00454A29" w14:paraId="377F1B45" w14:textId="77777777">
        <w:tc>
          <w:tcPr>
            <w:tcW w:w="567" w:type="dxa"/>
            <w:vMerge/>
          </w:tcPr>
          <w:p w14:paraId="4A9782DA" w14:textId="77777777" w:rsidR="00454A29" w:rsidRDefault="00454A29"/>
        </w:tc>
        <w:tc>
          <w:tcPr>
            <w:tcW w:w="3345" w:type="dxa"/>
            <w:vMerge/>
          </w:tcPr>
          <w:p w14:paraId="3183CE8C" w14:textId="77777777" w:rsidR="00454A29" w:rsidRDefault="00454A29"/>
        </w:tc>
        <w:tc>
          <w:tcPr>
            <w:tcW w:w="1701" w:type="dxa"/>
            <w:vAlign w:val="center"/>
          </w:tcPr>
          <w:p w14:paraId="2897932C" w14:textId="77777777" w:rsidR="00454A29" w:rsidRDefault="00454A29">
            <w:pPr>
              <w:pStyle w:val="ConsPlusNormal"/>
              <w:jc w:val="center"/>
            </w:pPr>
            <w:r>
              <w:t>2024</w:t>
            </w:r>
          </w:p>
        </w:tc>
        <w:tc>
          <w:tcPr>
            <w:tcW w:w="1417" w:type="dxa"/>
            <w:vMerge/>
          </w:tcPr>
          <w:p w14:paraId="59F5CF4E" w14:textId="77777777" w:rsidR="00454A29" w:rsidRDefault="00454A29"/>
        </w:tc>
        <w:tc>
          <w:tcPr>
            <w:tcW w:w="2204" w:type="dxa"/>
            <w:vMerge/>
          </w:tcPr>
          <w:p w14:paraId="461ED8C0" w14:textId="77777777" w:rsidR="00454A29" w:rsidRDefault="00454A29"/>
        </w:tc>
        <w:tc>
          <w:tcPr>
            <w:tcW w:w="1417" w:type="dxa"/>
            <w:vMerge/>
          </w:tcPr>
          <w:p w14:paraId="286E096E" w14:textId="77777777" w:rsidR="00454A29" w:rsidRDefault="00454A29"/>
        </w:tc>
        <w:tc>
          <w:tcPr>
            <w:tcW w:w="2324" w:type="dxa"/>
            <w:vMerge/>
          </w:tcPr>
          <w:p w14:paraId="206C85F9" w14:textId="77777777" w:rsidR="00454A29" w:rsidRDefault="00454A29"/>
        </w:tc>
        <w:tc>
          <w:tcPr>
            <w:tcW w:w="1701" w:type="dxa"/>
            <w:vAlign w:val="center"/>
          </w:tcPr>
          <w:p w14:paraId="7E5C6018" w14:textId="77777777" w:rsidR="00454A29" w:rsidRDefault="00454A29">
            <w:pPr>
              <w:pStyle w:val="ConsPlusNormal"/>
            </w:pPr>
          </w:p>
        </w:tc>
        <w:tc>
          <w:tcPr>
            <w:tcW w:w="1814" w:type="dxa"/>
            <w:vAlign w:val="center"/>
          </w:tcPr>
          <w:p w14:paraId="38DF733A" w14:textId="77777777" w:rsidR="00454A29" w:rsidRDefault="00454A29">
            <w:pPr>
              <w:pStyle w:val="ConsPlusNormal"/>
            </w:pPr>
          </w:p>
        </w:tc>
        <w:tc>
          <w:tcPr>
            <w:tcW w:w="1701" w:type="dxa"/>
            <w:vAlign w:val="center"/>
          </w:tcPr>
          <w:p w14:paraId="6F54514F" w14:textId="77777777" w:rsidR="00454A29" w:rsidRDefault="00454A29">
            <w:pPr>
              <w:pStyle w:val="ConsPlusNormal"/>
            </w:pPr>
          </w:p>
        </w:tc>
        <w:tc>
          <w:tcPr>
            <w:tcW w:w="1701" w:type="dxa"/>
            <w:vAlign w:val="center"/>
          </w:tcPr>
          <w:p w14:paraId="10C02A5B" w14:textId="77777777" w:rsidR="00454A29" w:rsidRDefault="00454A29">
            <w:pPr>
              <w:pStyle w:val="ConsPlusNormal"/>
            </w:pPr>
          </w:p>
        </w:tc>
        <w:tc>
          <w:tcPr>
            <w:tcW w:w="1814" w:type="dxa"/>
            <w:vAlign w:val="center"/>
          </w:tcPr>
          <w:p w14:paraId="372592D7" w14:textId="77777777" w:rsidR="00454A29" w:rsidRDefault="00454A29">
            <w:pPr>
              <w:pStyle w:val="ConsPlusNormal"/>
            </w:pPr>
          </w:p>
        </w:tc>
      </w:tr>
      <w:tr w:rsidR="00454A29" w14:paraId="4EE2EF3A" w14:textId="77777777">
        <w:tc>
          <w:tcPr>
            <w:tcW w:w="567" w:type="dxa"/>
            <w:vMerge/>
          </w:tcPr>
          <w:p w14:paraId="224605C1" w14:textId="77777777" w:rsidR="00454A29" w:rsidRDefault="00454A29"/>
        </w:tc>
        <w:tc>
          <w:tcPr>
            <w:tcW w:w="3345" w:type="dxa"/>
            <w:vMerge/>
          </w:tcPr>
          <w:p w14:paraId="73576EDD" w14:textId="77777777" w:rsidR="00454A29" w:rsidRDefault="00454A29"/>
        </w:tc>
        <w:tc>
          <w:tcPr>
            <w:tcW w:w="1701" w:type="dxa"/>
            <w:vAlign w:val="center"/>
          </w:tcPr>
          <w:p w14:paraId="7C450580" w14:textId="77777777" w:rsidR="00454A29" w:rsidRDefault="00454A29">
            <w:pPr>
              <w:pStyle w:val="ConsPlusNormal"/>
              <w:jc w:val="center"/>
            </w:pPr>
            <w:r>
              <w:t>2025</w:t>
            </w:r>
          </w:p>
        </w:tc>
        <w:tc>
          <w:tcPr>
            <w:tcW w:w="1417" w:type="dxa"/>
            <w:vMerge/>
          </w:tcPr>
          <w:p w14:paraId="7EF0EB05" w14:textId="77777777" w:rsidR="00454A29" w:rsidRDefault="00454A29"/>
        </w:tc>
        <w:tc>
          <w:tcPr>
            <w:tcW w:w="2204" w:type="dxa"/>
            <w:vMerge/>
          </w:tcPr>
          <w:p w14:paraId="7B7511D4" w14:textId="77777777" w:rsidR="00454A29" w:rsidRDefault="00454A29"/>
        </w:tc>
        <w:tc>
          <w:tcPr>
            <w:tcW w:w="1417" w:type="dxa"/>
            <w:vMerge/>
          </w:tcPr>
          <w:p w14:paraId="5539EB53" w14:textId="77777777" w:rsidR="00454A29" w:rsidRDefault="00454A29"/>
        </w:tc>
        <w:tc>
          <w:tcPr>
            <w:tcW w:w="2324" w:type="dxa"/>
            <w:vMerge/>
          </w:tcPr>
          <w:p w14:paraId="2A05ABFD" w14:textId="77777777" w:rsidR="00454A29" w:rsidRDefault="00454A29"/>
        </w:tc>
        <w:tc>
          <w:tcPr>
            <w:tcW w:w="1701" w:type="dxa"/>
            <w:vAlign w:val="center"/>
          </w:tcPr>
          <w:p w14:paraId="36A3E4C6" w14:textId="77777777" w:rsidR="00454A29" w:rsidRDefault="00454A29">
            <w:pPr>
              <w:pStyle w:val="ConsPlusNormal"/>
              <w:jc w:val="center"/>
            </w:pPr>
            <w:r>
              <w:t>726 680,97</w:t>
            </w:r>
          </w:p>
        </w:tc>
        <w:tc>
          <w:tcPr>
            <w:tcW w:w="1814" w:type="dxa"/>
            <w:vAlign w:val="center"/>
          </w:tcPr>
          <w:p w14:paraId="488C4DEE" w14:textId="77777777" w:rsidR="00454A29" w:rsidRDefault="00454A29">
            <w:pPr>
              <w:pStyle w:val="ConsPlusNormal"/>
              <w:jc w:val="center"/>
            </w:pPr>
            <w:r>
              <w:t>9 192,51</w:t>
            </w:r>
          </w:p>
        </w:tc>
        <w:tc>
          <w:tcPr>
            <w:tcW w:w="1701" w:type="dxa"/>
            <w:vAlign w:val="center"/>
          </w:tcPr>
          <w:p w14:paraId="499680AC" w14:textId="77777777" w:rsidR="00454A29" w:rsidRDefault="00454A29">
            <w:pPr>
              <w:pStyle w:val="ConsPlusNormal"/>
              <w:jc w:val="center"/>
            </w:pPr>
            <w:r>
              <w:t>910 058,91</w:t>
            </w:r>
          </w:p>
        </w:tc>
        <w:tc>
          <w:tcPr>
            <w:tcW w:w="1701" w:type="dxa"/>
            <w:vAlign w:val="center"/>
          </w:tcPr>
          <w:p w14:paraId="2DD31ED4" w14:textId="77777777" w:rsidR="00454A29" w:rsidRDefault="00454A29">
            <w:pPr>
              <w:pStyle w:val="ConsPlusNormal"/>
            </w:pPr>
          </w:p>
        </w:tc>
        <w:tc>
          <w:tcPr>
            <w:tcW w:w="1814" w:type="dxa"/>
            <w:vAlign w:val="center"/>
          </w:tcPr>
          <w:p w14:paraId="1752646A" w14:textId="77777777" w:rsidR="00454A29" w:rsidRDefault="00454A29">
            <w:pPr>
              <w:pStyle w:val="ConsPlusNormal"/>
            </w:pPr>
          </w:p>
        </w:tc>
      </w:tr>
      <w:tr w:rsidR="00454A29" w14:paraId="5AF29538" w14:textId="77777777">
        <w:tc>
          <w:tcPr>
            <w:tcW w:w="567" w:type="dxa"/>
            <w:vMerge/>
          </w:tcPr>
          <w:p w14:paraId="7300712A" w14:textId="77777777" w:rsidR="00454A29" w:rsidRDefault="00454A29"/>
        </w:tc>
        <w:tc>
          <w:tcPr>
            <w:tcW w:w="3345" w:type="dxa"/>
            <w:vMerge/>
          </w:tcPr>
          <w:p w14:paraId="73024414" w14:textId="77777777" w:rsidR="00454A29" w:rsidRDefault="00454A29"/>
        </w:tc>
        <w:tc>
          <w:tcPr>
            <w:tcW w:w="1701" w:type="dxa"/>
            <w:vAlign w:val="center"/>
          </w:tcPr>
          <w:p w14:paraId="38FA9BCB" w14:textId="77777777" w:rsidR="00454A29" w:rsidRDefault="00454A29">
            <w:pPr>
              <w:pStyle w:val="ConsPlusNormal"/>
              <w:jc w:val="center"/>
            </w:pPr>
            <w:r>
              <w:t>2026</w:t>
            </w:r>
          </w:p>
        </w:tc>
        <w:tc>
          <w:tcPr>
            <w:tcW w:w="1417" w:type="dxa"/>
            <w:vMerge/>
          </w:tcPr>
          <w:p w14:paraId="01377D36" w14:textId="77777777" w:rsidR="00454A29" w:rsidRDefault="00454A29"/>
        </w:tc>
        <w:tc>
          <w:tcPr>
            <w:tcW w:w="2204" w:type="dxa"/>
            <w:vMerge/>
          </w:tcPr>
          <w:p w14:paraId="48CB3883" w14:textId="77777777" w:rsidR="00454A29" w:rsidRDefault="00454A29"/>
        </w:tc>
        <w:tc>
          <w:tcPr>
            <w:tcW w:w="1417" w:type="dxa"/>
            <w:vMerge/>
          </w:tcPr>
          <w:p w14:paraId="3743E6C3" w14:textId="77777777" w:rsidR="00454A29" w:rsidRDefault="00454A29"/>
        </w:tc>
        <w:tc>
          <w:tcPr>
            <w:tcW w:w="2324" w:type="dxa"/>
            <w:vMerge/>
          </w:tcPr>
          <w:p w14:paraId="42F89EBB" w14:textId="77777777" w:rsidR="00454A29" w:rsidRDefault="00454A29"/>
        </w:tc>
        <w:tc>
          <w:tcPr>
            <w:tcW w:w="1701" w:type="dxa"/>
            <w:vAlign w:val="center"/>
          </w:tcPr>
          <w:p w14:paraId="56EE483F" w14:textId="77777777" w:rsidR="00454A29" w:rsidRDefault="00454A29">
            <w:pPr>
              <w:pStyle w:val="ConsPlusNormal"/>
            </w:pPr>
          </w:p>
        </w:tc>
        <w:tc>
          <w:tcPr>
            <w:tcW w:w="1814" w:type="dxa"/>
            <w:vAlign w:val="center"/>
          </w:tcPr>
          <w:p w14:paraId="0E566A56" w14:textId="77777777" w:rsidR="00454A29" w:rsidRDefault="00454A29">
            <w:pPr>
              <w:pStyle w:val="ConsPlusNormal"/>
            </w:pPr>
          </w:p>
        </w:tc>
        <w:tc>
          <w:tcPr>
            <w:tcW w:w="1701" w:type="dxa"/>
            <w:vAlign w:val="center"/>
          </w:tcPr>
          <w:p w14:paraId="243A29BB" w14:textId="77777777" w:rsidR="00454A29" w:rsidRDefault="00454A29">
            <w:pPr>
              <w:pStyle w:val="ConsPlusNormal"/>
            </w:pPr>
          </w:p>
        </w:tc>
        <w:tc>
          <w:tcPr>
            <w:tcW w:w="1701" w:type="dxa"/>
            <w:vAlign w:val="center"/>
          </w:tcPr>
          <w:p w14:paraId="665F9F28" w14:textId="77777777" w:rsidR="00454A29" w:rsidRDefault="00454A29">
            <w:pPr>
              <w:pStyle w:val="ConsPlusNormal"/>
            </w:pPr>
          </w:p>
        </w:tc>
        <w:tc>
          <w:tcPr>
            <w:tcW w:w="1814" w:type="dxa"/>
            <w:vAlign w:val="center"/>
          </w:tcPr>
          <w:p w14:paraId="7D69B285" w14:textId="77777777" w:rsidR="00454A29" w:rsidRDefault="00454A29">
            <w:pPr>
              <w:pStyle w:val="ConsPlusNormal"/>
            </w:pPr>
          </w:p>
        </w:tc>
      </w:tr>
      <w:tr w:rsidR="00454A29" w14:paraId="569642AC" w14:textId="77777777">
        <w:tc>
          <w:tcPr>
            <w:tcW w:w="567" w:type="dxa"/>
            <w:vMerge w:val="restart"/>
            <w:vAlign w:val="center"/>
          </w:tcPr>
          <w:p w14:paraId="27537DC1" w14:textId="77777777" w:rsidR="00454A29" w:rsidRDefault="00454A29">
            <w:pPr>
              <w:pStyle w:val="ConsPlusNormal"/>
              <w:jc w:val="center"/>
            </w:pPr>
            <w:r>
              <w:t>33</w:t>
            </w:r>
          </w:p>
        </w:tc>
        <w:tc>
          <w:tcPr>
            <w:tcW w:w="3345" w:type="dxa"/>
            <w:vMerge w:val="restart"/>
            <w:vAlign w:val="center"/>
          </w:tcPr>
          <w:p w14:paraId="490C2AFB" w14:textId="77777777" w:rsidR="00454A29" w:rsidRDefault="00454A29">
            <w:pPr>
              <w:pStyle w:val="ConsPlusNormal"/>
              <w:jc w:val="center"/>
            </w:pPr>
            <w:r>
              <w:t>Школа на 165 учащихся в с. Улахан-Кюель</w:t>
            </w:r>
          </w:p>
        </w:tc>
        <w:tc>
          <w:tcPr>
            <w:tcW w:w="1701" w:type="dxa"/>
            <w:vAlign w:val="center"/>
          </w:tcPr>
          <w:p w14:paraId="72D9BF2A" w14:textId="77777777" w:rsidR="00454A29" w:rsidRDefault="00454A29">
            <w:pPr>
              <w:pStyle w:val="ConsPlusNormal"/>
              <w:jc w:val="center"/>
            </w:pPr>
            <w:r>
              <w:t>2020 - 2026 годы - всего</w:t>
            </w:r>
          </w:p>
        </w:tc>
        <w:tc>
          <w:tcPr>
            <w:tcW w:w="1417" w:type="dxa"/>
            <w:vMerge w:val="restart"/>
            <w:vAlign w:val="center"/>
          </w:tcPr>
          <w:p w14:paraId="2687A240" w14:textId="77777777" w:rsidR="00454A29" w:rsidRDefault="00454A29">
            <w:pPr>
              <w:pStyle w:val="ConsPlusNormal"/>
              <w:jc w:val="center"/>
            </w:pPr>
            <w:r>
              <w:t>511 525,75</w:t>
            </w:r>
          </w:p>
        </w:tc>
        <w:tc>
          <w:tcPr>
            <w:tcW w:w="2204" w:type="dxa"/>
            <w:vMerge w:val="restart"/>
            <w:vAlign w:val="center"/>
          </w:tcPr>
          <w:p w14:paraId="3C682B9F" w14:textId="77777777" w:rsidR="00454A29" w:rsidRDefault="00454A29">
            <w:pPr>
              <w:pStyle w:val="ConsPlusNormal"/>
            </w:pPr>
          </w:p>
        </w:tc>
        <w:tc>
          <w:tcPr>
            <w:tcW w:w="1417" w:type="dxa"/>
            <w:vMerge w:val="restart"/>
            <w:vAlign w:val="center"/>
          </w:tcPr>
          <w:p w14:paraId="035E3959" w14:textId="77777777" w:rsidR="00454A29" w:rsidRDefault="00454A29">
            <w:pPr>
              <w:pStyle w:val="ConsPlusNormal"/>
              <w:jc w:val="center"/>
            </w:pPr>
            <w:r>
              <w:t>165</w:t>
            </w:r>
          </w:p>
        </w:tc>
        <w:tc>
          <w:tcPr>
            <w:tcW w:w="2324" w:type="dxa"/>
            <w:vMerge w:val="restart"/>
            <w:vAlign w:val="center"/>
          </w:tcPr>
          <w:p w14:paraId="50CAC2D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DA215E4" w14:textId="77777777" w:rsidR="00454A29" w:rsidRDefault="00454A29">
            <w:pPr>
              <w:pStyle w:val="ConsPlusNormal"/>
              <w:jc w:val="center"/>
            </w:pPr>
            <w:r>
              <w:t>511 525,75</w:t>
            </w:r>
          </w:p>
        </w:tc>
        <w:tc>
          <w:tcPr>
            <w:tcW w:w="1814" w:type="dxa"/>
            <w:vAlign w:val="center"/>
          </w:tcPr>
          <w:p w14:paraId="1E2E8680" w14:textId="77777777" w:rsidR="00454A29" w:rsidRDefault="00454A29">
            <w:pPr>
              <w:pStyle w:val="ConsPlusNormal"/>
              <w:jc w:val="center"/>
            </w:pPr>
            <w:r>
              <w:t>6 302,00</w:t>
            </w:r>
          </w:p>
        </w:tc>
        <w:tc>
          <w:tcPr>
            <w:tcW w:w="1701" w:type="dxa"/>
            <w:vAlign w:val="center"/>
          </w:tcPr>
          <w:p w14:paraId="79EA9897" w14:textId="77777777" w:rsidR="00454A29" w:rsidRDefault="00454A29">
            <w:pPr>
              <w:pStyle w:val="ConsPlusNormal"/>
              <w:jc w:val="center"/>
            </w:pPr>
            <w:r>
              <w:t>623 897,73</w:t>
            </w:r>
          </w:p>
        </w:tc>
        <w:tc>
          <w:tcPr>
            <w:tcW w:w="1701" w:type="dxa"/>
            <w:vAlign w:val="center"/>
          </w:tcPr>
          <w:p w14:paraId="37ECCC9F" w14:textId="77777777" w:rsidR="00454A29" w:rsidRDefault="00454A29">
            <w:pPr>
              <w:pStyle w:val="ConsPlusNormal"/>
              <w:jc w:val="center"/>
            </w:pPr>
            <w:r>
              <w:t>-</w:t>
            </w:r>
          </w:p>
        </w:tc>
        <w:tc>
          <w:tcPr>
            <w:tcW w:w="1814" w:type="dxa"/>
            <w:vAlign w:val="center"/>
          </w:tcPr>
          <w:p w14:paraId="1272BBAB" w14:textId="77777777" w:rsidR="00454A29" w:rsidRDefault="00454A29">
            <w:pPr>
              <w:pStyle w:val="ConsPlusNormal"/>
              <w:jc w:val="center"/>
            </w:pPr>
            <w:r>
              <w:t>-</w:t>
            </w:r>
          </w:p>
        </w:tc>
      </w:tr>
      <w:tr w:rsidR="00454A29" w14:paraId="03545B67" w14:textId="77777777">
        <w:tc>
          <w:tcPr>
            <w:tcW w:w="567" w:type="dxa"/>
            <w:vMerge/>
          </w:tcPr>
          <w:p w14:paraId="5D889920" w14:textId="77777777" w:rsidR="00454A29" w:rsidRDefault="00454A29"/>
        </w:tc>
        <w:tc>
          <w:tcPr>
            <w:tcW w:w="3345" w:type="dxa"/>
            <w:vMerge/>
          </w:tcPr>
          <w:p w14:paraId="5C6735E4" w14:textId="77777777" w:rsidR="00454A29" w:rsidRDefault="00454A29"/>
        </w:tc>
        <w:tc>
          <w:tcPr>
            <w:tcW w:w="1701" w:type="dxa"/>
            <w:vAlign w:val="center"/>
          </w:tcPr>
          <w:p w14:paraId="7E8B60CA" w14:textId="77777777" w:rsidR="00454A29" w:rsidRDefault="00454A29">
            <w:pPr>
              <w:pStyle w:val="ConsPlusNormal"/>
              <w:jc w:val="center"/>
            </w:pPr>
            <w:r>
              <w:t>2020</w:t>
            </w:r>
          </w:p>
        </w:tc>
        <w:tc>
          <w:tcPr>
            <w:tcW w:w="1417" w:type="dxa"/>
            <w:vMerge/>
          </w:tcPr>
          <w:p w14:paraId="440D13FA" w14:textId="77777777" w:rsidR="00454A29" w:rsidRDefault="00454A29"/>
        </w:tc>
        <w:tc>
          <w:tcPr>
            <w:tcW w:w="2204" w:type="dxa"/>
            <w:vMerge/>
          </w:tcPr>
          <w:p w14:paraId="44C43B8E" w14:textId="77777777" w:rsidR="00454A29" w:rsidRDefault="00454A29"/>
        </w:tc>
        <w:tc>
          <w:tcPr>
            <w:tcW w:w="1417" w:type="dxa"/>
            <w:vMerge/>
          </w:tcPr>
          <w:p w14:paraId="372D9958" w14:textId="77777777" w:rsidR="00454A29" w:rsidRDefault="00454A29"/>
        </w:tc>
        <w:tc>
          <w:tcPr>
            <w:tcW w:w="2324" w:type="dxa"/>
            <w:vMerge/>
          </w:tcPr>
          <w:p w14:paraId="6B6087E1" w14:textId="77777777" w:rsidR="00454A29" w:rsidRDefault="00454A29"/>
        </w:tc>
        <w:tc>
          <w:tcPr>
            <w:tcW w:w="1701" w:type="dxa"/>
            <w:vAlign w:val="center"/>
          </w:tcPr>
          <w:p w14:paraId="7149A471" w14:textId="77777777" w:rsidR="00454A29" w:rsidRDefault="00454A29">
            <w:pPr>
              <w:pStyle w:val="ConsPlusNormal"/>
            </w:pPr>
          </w:p>
        </w:tc>
        <w:tc>
          <w:tcPr>
            <w:tcW w:w="1814" w:type="dxa"/>
            <w:vAlign w:val="center"/>
          </w:tcPr>
          <w:p w14:paraId="31367DDC" w14:textId="77777777" w:rsidR="00454A29" w:rsidRDefault="00454A29">
            <w:pPr>
              <w:pStyle w:val="ConsPlusNormal"/>
            </w:pPr>
          </w:p>
        </w:tc>
        <w:tc>
          <w:tcPr>
            <w:tcW w:w="1701" w:type="dxa"/>
            <w:vAlign w:val="center"/>
          </w:tcPr>
          <w:p w14:paraId="12872FAD" w14:textId="77777777" w:rsidR="00454A29" w:rsidRDefault="00454A29">
            <w:pPr>
              <w:pStyle w:val="ConsPlusNormal"/>
            </w:pPr>
          </w:p>
        </w:tc>
        <w:tc>
          <w:tcPr>
            <w:tcW w:w="1701" w:type="dxa"/>
            <w:vAlign w:val="center"/>
          </w:tcPr>
          <w:p w14:paraId="673CAFA6" w14:textId="77777777" w:rsidR="00454A29" w:rsidRDefault="00454A29">
            <w:pPr>
              <w:pStyle w:val="ConsPlusNormal"/>
            </w:pPr>
          </w:p>
        </w:tc>
        <w:tc>
          <w:tcPr>
            <w:tcW w:w="1814" w:type="dxa"/>
            <w:vAlign w:val="center"/>
          </w:tcPr>
          <w:p w14:paraId="1E2B6F2A" w14:textId="77777777" w:rsidR="00454A29" w:rsidRDefault="00454A29">
            <w:pPr>
              <w:pStyle w:val="ConsPlusNormal"/>
            </w:pPr>
          </w:p>
        </w:tc>
      </w:tr>
      <w:tr w:rsidR="00454A29" w14:paraId="36D1E5F0" w14:textId="77777777">
        <w:tc>
          <w:tcPr>
            <w:tcW w:w="567" w:type="dxa"/>
            <w:vMerge/>
          </w:tcPr>
          <w:p w14:paraId="56433A49" w14:textId="77777777" w:rsidR="00454A29" w:rsidRDefault="00454A29"/>
        </w:tc>
        <w:tc>
          <w:tcPr>
            <w:tcW w:w="3345" w:type="dxa"/>
            <w:vMerge/>
          </w:tcPr>
          <w:p w14:paraId="6C1FE161" w14:textId="77777777" w:rsidR="00454A29" w:rsidRDefault="00454A29"/>
        </w:tc>
        <w:tc>
          <w:tcPr>
            <w:tcW w:w="1701" w:type="dxa"/>
            <w:vAlign w:val="center"/>
          </w:tcPr>
          <w:p w14:paraId="1E16356F" w14:textId="77777777" w:rsidR="00454A29" w:rsidRDefault="00454A29">
            <w:pPr>
              <w:pStyle w:val="ConsPlusNormal"/>
              <w:jc w:val="center"/>
            </w:pPr>
            <w:r>
              <w:t>2021</w:t>
            </w:r>
          </w:p>
        </w:tc>
        <w:tc>
          <w:tcPr>
            <w:tcW w:w="1417" w:type="dxa"/>
            <w:vMerge/>
          </w:tcPr>
          <w:p w14:paraId="550CAC14" w14:textId="77777777" w:rsidR="00454A29" w:rsidRDefault="00454A29"/>
        </w:tc>
        <w:tc>
          <w:tcPr>
            <w:tcW w:w="2204" w:type="dxa"/>
            <w:vMerge/>
          </w:tcPr>
          <w:p w14:paraId="6232636A" w14:textId="77777777" w:rsidR="00454A29" w:rsidRDefault="00454A29"/>
        </w:tc>
        <w:tc>
          <w:tcPr>
            <w:tcW w:w="1417" w:type="dxa"/>
            <w:vMerge/>
          </w:tcPr>
          <w:p w14:paraId="421CC5C8" w14:textId="77777777" w:rsidR="00454A29" w:rsidRDefault="00454A29"/>
        </w:tc>
        <w:tc>
          <w:tcPr>
            <w:tcW w:w="2324" w:type="dxa"/>
            <w:vMerge/>
          </w:tcPr>
          <w:p w14:paraId="64DC4F30" w14:textId="77777777" w:rsidR="00454A29" w:rsidRDefault="00454A29"/>
        </w:tc>
        <w:tc>
          <w:tcPr>
            <w:tcW w:w="1701" w:type="dxa"/>
            <w:vAlign w:val="center"/>
          </w:tcPr>
          <w:p w14:paraId="72D6D3DA" w14:textId="77777777" w:rsidR="00454A29" w:rsidRDefault="00454A29">
            <w:pPr>
              <w:pStyle w:val="ConsPlusNormal"/>
            </w:pPr>
          </w:p>
        </w:tc>
        <w:tc>
          <w:tcPr>
            <w:tcW w:w="1814" w:type="dxa"/>
            <w:vAlign w:val="center"/>
          </w:tcPr>
          <w:p w14:paraId="368A5638" w14:textId="77777777" w:rsidR="00454A29" w:rsidRDefault="00454A29">
            <w:pPr>
              <w:pStyle w:val="ConsPlusNormal"/>
            </w:pPr>
          </w:p>
        </w:tc>
        <w:tc>
          <w:tcPr>
            <w:tcW w:w="1701" w:type="dxa"/>
            <w:vAlign w:val="center"/>
          </w:tcPr>
          <w:p w14:paraId="741A7E47" w14:textId="77777777" w:rsidR="00454A29" w:rsidRDefault="00454A29">
            <w:pPr>
              <w:pStyle w:val="ConsPlusNormal"/>
            </w:pPr>
          </w:p>
        </w:tc>
        <w:tc>
          <w:tcPr>
            <w:tcW w:w="1701" w:type="dxa"/>
            <w:vAlign w:val="center"/>
          </w:tcPr>
          <w:p w14:paraId="376B6520" w14:textId="77777777" w:rsidR="00454A29" w:rsidRDefault="00454A29">
            <w:pPr>
              <w:pStyle w:val="ConsPlusNormal"/>
            </w:pPr>
          </w:p>
        </w:tc>
        <w:tc>
          <w:tcPr>
            <w:tcW w:w="1814" w:type="dxa"/>
            <w:vAlign w:val="center"/>
          </w:tcPr>
          <w:p w14:paraId="2E1355DE" w14:textId="77777777" w:rsidR="00454A29" w:rsidRDefault="00454A29">
            <w:pPr>
              <w:pStyle w:val="ConsPlusNormal"/>
            </w:pPr>
          </w:p>
        </w:tc>
      </w:tr>
      <w:tr w:rsidR="00454A29" w14:paraId="1ADD48F0" w14:textId="77777777">
        <w:tc>
          <w:tcPr>
            <w:tcW w:w="567" w:type="dxa"/>
            <w:vMerge/>
          </w:tcPr>
          <w:p w14:paraId="2D6EFC2F" w14:textId="77777777" w:rsidR="00454A29" w:rsidRDefault="00454A29"/>
        </w:tc>
        <w:tc>
          <w:tcPr>
            <w:tcW w:w="3345" w:type="dxa"/>
            <w:vMerge/>
          </w:tcPr>
          <w:p w14:paraId="15CD624E" w14:textId="77777777" w:rsidR="00454A29" w:rsidRDefault="00454A29"/>
        </w:tc>
        <w:tc>
          <w:tcPr>
            <w:tcW w:w="1701" w:type="dxa"/>
            <w:vAlign w:val="center"/>
          </w:tcPr>
          <w:p w14:paraId="03410BE7" w14:textId="77777777" w:rsidR="00454A29" w:rsidRDefault="00454A29">
            <w:pPr>
              <w:pStyle w:val="ConsPlusNormal"/>
              <w:jc w:val="center"/>
            </w:pPr>
            <w:r>
              <w:t>2022</w:t>
            </w:r>
          </w:p>
        </w:tc>
        <w:tc>
          <w:tcPr>
            <w:tcW w:w="1417" w:type="dxa"/>
            <w:vMerge/>
          </w:tcPr>
          <w:p w14:paraId="71724DEB" w14:textId="77777777" w:rsidR="00454A29" w:rsidRDefault="00454A29"/>
        </w:tc>
        <w:tc>
          <w:tcPr>
            <w:tcW w:w="2204" w:type="dxa"/>
            <w:vMerge/>
          </w:tcPr>
          <w:p w14:paraId="492428A2" w14:textId="77777777" w:rsidR="00454A29" w:rsidRDefault="00454A29"/>
        </w:tc>
        <w:tc>
          <w:tcPr>
            <w:tcW w:w="1417" w:type="dxa"/>
            <w:vMerge/>
          </w:tcPr>
          <w:p w14:paraId="0B37ADCA" w14:textId="77777777" w:rsidR="00454A29" w:rsidRDefault="00454A29"/>
        </w:tc>
        <w:tc>
          <w:tcPr>
            <w:tcW w:w="2324" w:type="dxa"/>
            <w:vMerge/>
          </w:tcPr>
          <w:p w14:paraId="7212D72D" w14:textId="77777777" w:rsidR="00454A29" w:rsidRDefault="00454A29"/>
        </w:tc>
        <w:tc>
          <w:tcPr>
            <w:tcW w:w="1701" w:type="dxa"/>
            <w:vAlign w:val="center"/>
          </w:tcPr>
          <w:p w14:paraId="57D5CD69" w14:textId="77777777" w:rsidR="00454A29" w:rsidRDefault="00454A29">
            <w:pPr>
              <w:pStyle w:val="ConsPlusNormal"/>
            </w:pPr>
          </w:p>
        </w:tc>
        <w:tc>
          <w:tcPr>
            <w:tcW w:w="1814" w:type="dxa"/>
            <w:vAlign w:val="center"/>
          </w:tcPr>
          <w:p w14:paraId="40361CEC" w14:textId="77777777" w:rsidR="00454A29" w:rsidRDefault="00454A29">
            <w:pPr>
              <w:pStyle w:val="ConsPlusNormal"/>
            </w:pPr>
          </w:p>
        </w:tc>
        <w:tc>
          <w:tcPr>
            <w:tcW w:w="1701" w:type="dxa"/>
            <w:vAlign w:val="center"/>
          </w:tcPr>
          <w:p w14:paraId="77005329" w14:textId="77777777" w:rsidR="00454A29" w:rsidRDefault="00454A29">
            <w:pPr>
              <w:pStyle w:val="ConsPlusNormal"/>
            </w:pPr>
          </w:p>
        </w:tc>
        <w:tc>
          <w:tcPr>
            <w:tcW w:w="1701" w:type="dxa"/>
            <w:vAlign w:val="center"/>
          </w:tcPr>
          <w:p w14:paraId="62834C65" w14:textId="77777777" w:rsidR="00454A29" w:rsidRDefault="00454A29">
            <w:pPr>
              <w:pStyle w:val="ConsPlusNormal"/>
            </w:pPr>
          </w:p>
        </w:tc>
        <w:tc>
          <w:tcPr>
            <w:tcW w:w="1814" w:type="dxa"/>
            <w:vAlign w:val="center"/>
          </w:tcPr>
          <w:p w14:paraId="6216AC4F" w14:textId="77777777" w:rsidR="00454A29" w:rsidRDefault="00454A29">
            <w:pPr>
              <w:pStyle w:val="ConsPlusNormal"/>
            </w:pPr>
          </w:p>
        </w:tc>
      </w:tr>
      <w:tr w:rsidR="00454A29" w14:paraId="01D03533" w14:textId="77777777">
        <w:tc>
          <w:tcPr>
            <w:tcW w:w="567" w:type="dxa"/>
            <w:vMerge/>
          </w:tcPr>
          <w:p w14:paraId="3643EACB" w14:textId="77777777" w:rsidR="00454A29" w:rsidRDefault="00454A29"/>
        </w:tc>
        <w:tc>
          <w:tcPr>
            <w:tcW w:w="3345" w:type="dxa"/>
            <w:vMerge/>
          </w:tcPr>
          <w:p w14:paraId="66932BC9" w14:textId="77777777" w:rsidR="00454A29" w:rsidRDefault="00454A29"/>
        </w:tc>
        <w:tc>
          <w:tcPr>
            <w:tcW w:w="1701" w:type="dxa"/>
            <w:vAlign w:val="center"/>
          </w:tcPr>
          <w:p w14:paraId="3703A725" w14:textId="77777777" w:rsidR="00454A29" w:rsidRDefault="00454A29">
            <w:pPr>
              <w:pStyle w:val="ConsPlusNormal"/>
              <w:jc w:val="center"/>
            </w:pPr>
            <w:r>
              <w:t>2023</w:t>
            </w:r>
          </w:p>
        </w:tc>
        <w:tc>
          <w:tcPr>
            <w:tcW w:w="1417" w:type="dxa"/>
            <w:vMerge/>
          </w:tcPr>
          <w:p w14:paraId="22300A37" w14:textId="77777777" w:rsidR="00454A29" w:rsidRDefault="00454A29"/>
        </w:tc>
        <w:tc>
          <w:tcPr>
            <w:tcW w:w="2204" w:type="dxa"/>
            <w:vMerge/>
          </w:tcPr>
          <w:p w14:paraId="2804964E" w14:textId="77777777" w:rsidR="00454A29" w:rsidRDefault="00454A29"/>
        </w:tc>
        <w:tc>
          <w:tcPr>
            <w:tcW w:w="1417" w:type="dxa"/>
            <w:vMerge/>
          </w:tcPr>
          <w:p w14:paraId="5306FC43" w14:textId="77777777" w:rsidR="00454A29" w:rsidRDefault="00454A29"/>
        </w:tc>
        <w:tc>
          <w:tcPr>
            <w:tcW w:w="2324" w:type="dxa"/>
            <w:vMerge/>
          </w:tcPr>
          <w:p w14:paraId="4E086C95" w14:textId="77777777" w:rsidR="00454A29" w:rsidRDefault="00454A29"/>
        </w:tc>
        <w:tc>
          <w:tcPr>
            <w:tcW w:w="1701" w:type="dxa"/>
            <w:vAlign w:val="center"/>
          </w:tcPr>
          <w:p w14:paraId="343A6C97" w14:textId="77777777" w:rsidR="00454A29" w:rsidRDefault="00454A29">
            <w:pPr>
              <w:pStyle w:val="ConsPlusNormal"/>
            </w:pPr>
          </w:p>
        </w:tc>
        <w:tc>
          <w:tcPr>
            <w:tcW w:w="1814" w:type="dxa"/>
            <w:vAlign w:val="center"/>
          </w:tcPr>
          <w:p w14:paraId="4064BC3D" w14:textId="77777777" w:rsidR="00454A29" w:rsidRDefault="00454A29">
            <w:pPr>
              <w:pStyle w:val="ConsPlusNormal"/>
            </w:pPr>
          </w:p>
        </w:tc>
        <w:tc>
          <w:tcPr>
            <w:tcW w:w="1701" w:type="dxa"/>
            <w:vAlign w:val="center"/>
          </w:tcPr>
          <w:p w14:paraId="739652C3" w14:textId="77777777" w:rsidR="00454A29" w:rsidRDefault="00454A29">
            <w:pPr>
              <w:pStyle w:val="ConsPlusNormal"/>
            </w:pPr>
          </w:p>
        </w:tc>
        <w:tc>
          <w:tcPr>
            <w:tcW w:w="1701" w:type="dxa"/>
            <w:vAlign w:val="center"/>
          </w:tcPr>
          <w:p w14:paraId="68F2048A" w14:textId="77777777" w:rsidR="00454A29" w:rsidRDefault="00454A29">
            <w:pPr>
              <w:pStyle w:val="ConsPlusNormal"/>
            </w:pPr>
          </w:p>
        </w:tc>
        <w:tc>
          <w:tcPr>
            <w:tcW w:w="1814" w:type="dxa"/>
            <w:vAlign w:val="center"/>
          </w:tcPr>
          <w:p w14:paraId="27A50C28" w14:textId="77777777" w:rsidR="00454A29" w:rsidRDefault="00454A29">
            <w:pPr>
              <w:pStyle w:val="ConsPlusNormal"/>
            </w:pPr>
          </w:p>
        </w:tc>
      </w:tr>
      <w:tr w:rsidR="00454A29" w14:paraId="5A420324" w14:textId="77777777">
        <w:tc>
          <w:tcPr>
            <w:tcW w:w="567" w:type="dxa"/>
            <w:vMerge/>
          </w:tcPr>
          <w:p w14:paraId="2B9590C3" w14:textId="77777777" w:rsidR="00454A29" w:rsidRDefault="00454A29"/>
        </w:tc>
        <w:tc>
          <w:tcPr>
            <w:tcW w:w="3345" w:type="dxa"/>
            <w:vMerge/>
          </w:tcPr>
          <w:p w14:paraId="23DF5B44" w14:textId="77777777" w:rsidR="00454A29" w:rsidRDefault="00454A29"/>
        </w:tc>
        <w:tc>
          <w:tcPr>
            <w:tcW w:w="1701" w:type="dxa"/>
            <w:vAlign w:val="center"/>
          </w:tcPr>
          <w:p w14:paraId="4ABD02B0" w14:textId="77777777" w:rsidR="00454A29" w:rsidRDefault="00454A29">
            <w:pPr>
              <w:pStyle w:val="ConsPlusNormal"/>
              <w:jc w:val="center"/>
            </w:pPr>
            <w:r>
              <w:t>2024</w:t>
            </w:r>
          </w:p>
        </w:tc>
        <w:tc>
          <w:tcPr>
            <w:tcW w:w="1417" w:type="dxa"/>
            <w:vMerge/>
          </w:tcPr>
          <w:p w14:paraId="501D029D" w14:textId="77777777" w:rsidR="00454A29" w:rsidRDefault="00454A29"/>
        </w:tc>
        <w:tc>
          <w:tcPr>
            <w:tcW w:w="2204" w:type="dxa"/>
            <w:vMerge/>
          </w:tcPr>
          <w:p w14:paraId="03FA115D" w14:textId="77777777" w:rsidR="00454A29" w:rsidRDefault="00454A29"/>
        </w:tc>
        <w:tc>
          <w:tcPr>
            <w:tcW w:w="1417" w:type="dxa"/>
            <w:vMerge/>
          </w:tcPr>
          <w:p w14:paraId="2B78C579" w14:textId="77777777" w:rsidR="00454A29" w:rsidRDefault="00454A29"/>
        </w:tc>
        <w:tc>
          <w:tcPr>
            <w:tcW w:w="2324" w:type="dxa"/>
            <w:vMerge/>
          </w:tcPr>
          <w:p w14:paraId="533C7EA2" w14:textId="77777777" w:rsidR="00454A29" w:rsidRDefault="00454A29"/>
        </w:tc>
        <w:tc>
          <w:tcPr>
            <w:tcW w:w="1701" w:type="dxa"/>
            <w:vAlign w:val="center"/>
          </w:tcPr>
          <w:p w14:paraId="52D2F839" w14:textId="77777777" w:rsidR="00454A29" w:rsidRDefault="00454A29">
            <w:pPr>
              <w:pStyle w:val="ConsPlusNormal"/>
            </w:pPr>
          </w:p>
        </w:tc>
        <w:tc>
          <w:tcPr>
            <w:tcW w:w="1814" w:type="dxa"/>
            <w:vAlign w:val="center"/>
          </w:tcPr>
          <w:p w14:paraId="028987B7" w14:textId="77777777" w:rsidR="00454A29" w:rsidRDefault="00454A29">
            <w:pPr>
              <w:pStyle w:val="ConsPlusNormal"/>
            </w:pPr>
          </w:p>
        </w:tc>
        <w:tc>
          <w:tcPr>
            <w:tcW w:w="1701" w:type="dxa"/>
            <w:vAlign w:val="center"/>
          </w:tcPr>
          <w:p w14:paraId="71282542" w14:textId="77777777" w:rsidR="00454A29" w:rsidRDefault="00454A29">
            <w:pPr>
              <w:pStyle w:val="ConsPlusNormal"/>
            </w:pPr>
          </w:p>
        </w:tc>
        <w:tc>
          <w:tcPr>
            <w:tcW w:w="1701" w:type="dxa"/>
            <w:vAlign w:val="center"/>
          </w:tcPr>
          <w:p w14:paraId="2C2A5482" w14:textId="77777777" w:rsidR="00454A29" w:rsidRDefault="00454A29">
            <w:pPr>
              <w:pStyle w:val="ConsPlusNormal"/>
            </w:pPr>
          </w:p>
        </w:tc>
        <w:tc>
          <w:tcPr>
            <w:tcW w:w="1814" w:type="dxa"/>
            <w:vAlign w:val="center"/>
          </w:tcPr>
          <w:p w14:paraId="6EF8CF9F" w14:textId="77777777" w:rsidR="00454A29" w:rsidRDefault="00454A29">
            <w:pPr>
              <w:pStyle w:val="ConsPlusNormal"/>
            </w:pPr>
          </w:p>
        </w:tc>
      </w:tr>
      <w:tr w:rsidR="00454A29" w14:paraId="0879E5E4" w14:textId="77777777">
        <w:tc>
          <w:tcPr>
            <w:tcW w:w="567" w:type="dxa"/>
            <w:vMerge/>
          </w:tcPr>
          <w:p w14:paraId="317F6A00" w14:textId="77777777" w:rsidR="00454A29" w:rsidRDefault="00454A29"/>
        </w:tc>
        <w:tc>
          <w:tcPr>
            <w:tcW w:w="3345" w:type="dxa"/>
            <w:vMerge/>
          </w:tcPr>
          <w:p w14:paraId="00124763" w14:textId="77777777" w:rsidR="00454A29" w:rsidRDefault="00454A29"/>
        </w:tc>
        <w:tc>
          <w:tcPr>
            <w:tcW w:w="1701" w:type="dxa"/>
            <w:vAlign w:val="center"/>
          </w:tcPr>
          <w:p w14:paraId="58495C15" w14:textId="77777777" w:rsidR="00454A29" w:rsidRDefault="00454A29">
            <w:pPr>
              <w:pStyle w:val="ConsPlusNormal"/>
              <w:jc w:val="center"/>
            </w:pPr>
            <w:r>
              <w:t>2025</w:t>
            </w:r>
          </w:p>
        </w:tc>
        <w:tc>
          <w:tcPr>
            <w:tcW w:w="1417" w:type="dxa"/>
            <w:vMerge/>
          </w:tcPr>
          <w:p w14:paraId="115E7789" w14:textId="77777777" w:rsidR="00454A29" w:rsidRDefault="00454A29"/>
        </w:tc>
        <w:tc>
          <w:tcPr>
            <w:tcW w:w="2204" w:type="dxa"/>
            <w:vMerge/>
          </w:tcPr>
          <w:p w14:paraId="701C8514" w14:textId="77777777" w:rsidR="00454A29" w:rsidRDefault="00454A29"/>
        </w:tc>
        <w:tc>
          <w:tcPr>
            <w:tcW w:w="1417" w:type="dxa"/>
            <w:vMerge/>
          </w:tcPr>
          <w:p w14:paraId="112A46F5" w14:textId="77777777" w:rsidR="00454A29" w:rsidRDefault="00454A29"/>
        </w:tc>
        <w:tc>
          <w:tcPr>
            <w:tcW w:w="2324" w:type="dxa"/>
            <w:vMerge/>
          </w:tcPr>
          <w:p w14:paraId="1DF0CDB1" w14:textId="77777777" w:rsidR="00454A29" w:rsidRDefault="00454A29"/>
        </w:tc>
        <w:tc>
          <w:tcPr>
            <w:tcW w:w="1701" w:type="dxa"/>
            <w:vAlign w:val="center"/>
          </w:tcPr>
          <w:p w14:paraId="3A0FCAFB" w14:textId="77777777" w:rsidR="00454A29" w:rsidRDefault="00454A29">
            <w:pPr>
              <w:pStyle w:val="ConsPlusNormal"/>
            </w:pPr>
          </w:p>
        </w:tc>
        <w:tc>
          <w:tcPr>
            <w:tcW w:w="1814" w:type="dxa"/>
            <w:vAlign w:val="center"/>
          </w:tcPr>
          <w:p w14:paraId="0AEAC432" w14:textId="77777777" w:rsidR="00454A29" w:rsidRDefault="00454A29">
            <w:pPr>
              <w:pStyle w:val="ConsPlusNormal"/>
            </w:pPr>
          </w:p>
        </w:tc>
        <w:tc>
          <w:tcPr>
            <w:tcW w:w="1701" w:type="dxa"/>
            <w:vAlign w:val="center"/>
          </w:tcPr>
          <w:p w14:paraId="6B7570CD" w14:textId="77777777" w:rsidR="00454A29" w:rsidRDefault="00454A29">
            <w:pPr>
              <w:pStyle w:val="ConsPlusNormal"/>
            </w:pPr>
          </w:p>
        </w:tc>
        <w:tc>
          <w:tcPr>
            <w:tcW w:w="1701" w:type="dxa"/>
            <w:vAlign w:val="center"/>
          </w:tcPr>
          <w:p w14:paraId="137562FC" w14:textId="77777777" w:rsidR="00454A29" w:rsidRDefault="00454A29">
            <w:pPr>
              <w:pStyle w:val="ConsPlusNormal"/>
            </w:pPr>
          </w:p>
        </w:tc>
        <w:tc>
          <w:tcPr>
            <w:tcW w:w="1814" w:type="dxa"/>
            <w:vAlign w:val="center"/>
          </w:tcPr>
          <w:p w14:paraId="1963106D" w14:textId="77777777" w:rsidR="00454A29" w:rsidRDefault="00454A29">
            <w:pPr>
              <w:pStyle w:val="ConsPlusNormal"/>
            </w:pPr>
          </w:p>
        </w:tc>
      </w:tr>
      <w:tr w:rsidR="00454A29" w14:paraId="3A4A3353" w14:textId="77777777">
        <w:tc>
          <w:tcPr>
            <w:tcW w:w="567" w:type="dxa"/>
            <w:vMerge/>
          </w:tcPr>
          <w:p w14:paraId="47750976" w14:textId="77777777" w:rsidR="00454A29" w:rsidRDefault="00454A29"/>
        </w:tc>
        <w:tc>
          <w:tcPr>
            <w:tcW w:w="3345" w:type="dxa"/>
            <w:vMerge/>
          </w:tcPr>
          <w:p w14:paraId="6FF8BF18" w14:textId="77777777" w:rsidR="00454A29" w:rsidRDefault="00454A29"/>
        </w:tc>
        <w:tc>
          <w:tcPr>
            <w:tcW w:w="1701" w:type="dxa"/>
            <w:vAlign w:val="center"/>
          </w:tcPr>
          <w:p w14:paraId="34C7E3A5" w14:textId="77777777" w:rsidR="00454A29" w:rsidRDefault="00454A29">
            <w:pPr>
              <w:pStyle w:val="ConsPlusNormal"/>
              <w:jc w:val="center"/>
            </w:pPr>
            <w:r>
              <w:t>2026</w:t>
            </w:r>
          </w:p>
        </w:tc>
        <w:tc>
          <w:tcPr>
            <w:tcW w:w="1417" w:type="dxa"/>
            <w:vMerge/>
          </w:tcPr>
          <w:p w14:paraId="73750861" w14:textId="77777777" w:rsidR="00454A29" w:rsidRDefault="00454A29"/>
        </w:tc>
        <w:tc>
          <w:tcPr>
            <w:tcW w:w="2204" w:type="dxa"/>
            <w:vMerge/>
          </w:tcPr>
          <w:p w14:paraId="6BCF7077" w14:textId="77777777" w:rsidR="00454A29" w:rsidRDefault="00454A29"/>
        </w:tc>
        <w:tc>
          <w:tcPr>
            <w:tcW w:w="1417" w:type="dxa"/>
            <w:vMerge/>
          </w:tcPr>
          <w:p w14:paraId="101A6F8F" w14:textId="77777777" w:rsidR="00454A29" w:rsidRDefault="00454A29"/>
        </w:tc>
        <w:tc>
          <w:tcPr>
            <w:tcW w:w="2324" w:type="dxa"/>
            <w:vMerge/>
          </w:tcPr>
          <w:p w14:paraId="61366AD5" w14:textId="77777777" w:rsidR="00454A29" w:rsidRDefault="00454A29"/>
        </w:tc>
        <w:tc>
          <w:tcPr>
            <w:tcW w:w="1701" w:type="dxa"/>
            <w:vAlign w:val="center"/>
          </w:tcPr>
          <w:p w14:paraId="7FAD5BD2" w14:textId="77777777" w:rsidR="00454A29" w:rsidRDefault="00454A29">
            <w:pPr>
              <w:pStyle w:val="ConsPlusNormal"/>
              <w:jc w:val="center"/>
            </w:pPr>
            <w:r>
              <w:t>511 525,75</w:t>
            </w:r>
          </w:p>
        </w:tc>
        <w:tc>
          <w:tcPr>
            <w:tcW w:w="1814" w:type="dxa"/>
            <w:vAlign w:val="center"/>
          </w:tcPr>
          <w:p w14:paraId="38A87D74" w14:textId="77777777" w:rsidR="00454A29" w:rsidRDefault="00454A29">
            <w:pPr>
              <w:pStyle w:val="ConsPlusNormal"/>
              <w:jc w:val="center"/>
            </w:pPr>
            <w:r>
              <w:t>6 302,00</w:t>
            </w:r>
          </w:p>
        </w:tc>
        <w:tc>
          <w:tcPr>
            <w:tcW w:w="1701" w:type="dxa"/>
            <w:vAlign w:val="center"/>
          </w:tcPr>
          <w:p w14:paraId="32E18FDA" w14:textId="77777777" w:rsidR="00454A29" w:rsidRDefault="00454A29">
            <w:pPr>
              <w:pStyle w:val="ConsPlusNormal"/>
              <w:jc w:val="center"/>
            </w:pPr>
            <w:r>
              <w:t>623 897,73</w:t>
            </w:r>
          </w:p>
        </w:tc>
        <w:tc>
          <w:tcPr>
            <w:tcW w:w="1701" w:type="dxa"/>
            <w:vAlign w:val="center"/>
          </w:tcPr>
          <w:p w14:paraId="12586754" w14:textId="77777777" w:rsidR="00454A29" w:rsidRDefault="00454A29">
            <w:pPr>
              <w:pStyle w:val="ConsPlusNormal"/>
            </w:pPr>
          </w:p>
        </w:tc>
        <w:tc>
          <w:tcPr>
            <w:tcW w:w="1814" w:type="dxa"/>
            <w:vAlign w:val="center"/>
          </w:tcPr>
          <w:p w14:paraId="6480BFC7" w14:textId="77777777" w:rsidR="00454A29" w:rsidRDefault="00454A29">
            <w:pPr>
              <w:pStyle w:val="ConsPlusNormal"/>
            </w:pPr>
          </w:p>
        </w:tc>
      </w:tr>
      <w:tr w:rsidR="00454A29" w14:paraId="29A4D591" w14:textId="77777777">
        <w:tc>
          <w:tcPr>
            <w:tcW w:w="567" w:type="dxa"/>
            <w:vMerge w:val="restart"/>
            <w:vAlign w:val="center"/>
          </w:tcPr>
          <w:p w14:paraId="4B9FBE8F" w14:textId="77777777" w:rsidR="00454A29" w:rsidRDefault="00454A29">
            <w:pPr>
              <w:pStyle w:val="ConsPlusNormal"/>
              <w:jc w:val="center"/>
            </w:pPr>
            <w:r>
              <w:t>34</w:t>
            </w:r>
          </w:p>
        </w:tc>
        <w:tc>
          <w:tcPr>
            <w:tcW w:w="3345" w:type="dxa"/>
            <w:vMerge w:val="restart"/>
            <w:vAlign w:val="center"/>
          </w:tcPr>
          <w:p w14:paraId="4A5E51C2" w14:textId="77777777" w:rsidR="00454A29" w:rsidRDefault="00454A29">
            <w:pPr>
              <w:pStyle w:val="ConsPlusNormal"/>
              <w:jc w:val="center"/>
            </w:pPr>
            <w:r>
              <w:t>Школа на 50 учащихся в с. Суордах</w:t>
            </w:r>
          </w:p>
        </w:tc>
        <w:tc>
          <w:tcPr>
            <w:tcW w:w="1701" w:type="dxa"/>
            <w:vAlign w:val="center"/>
          </w:tcPr>
          <w:p w14:paraId="1F736934" w14:textId="77777777" w:rsidR="00454A29" w:rsidRDefault="00454A29">
            <w:pPr>
              <w:pStyle w:val="ConsPlusNormal"/>
              <w:jc w:val="center"/>
            </w:pPr>
            <w:r>
              <w:t>2020 - 2026 годы - всего</w:t>
            </w:r>
          </w:p>
        </w:tc>
        <w:tc>
          <w:tcPr>
            <w:tcW w:w="1417" w:type="dxa"/>
            <w:vMerge w:val="restart"/>
            <w:vAlign w:val="center"/>
          </w:tcPr>
          <w:p w14:paraId="2997AEAF" w14:textId="77777777" w:rsidR="00454A29" w:rsidRDefault="00454A29">
            <w:pPr>
              <w:pStyle w:val="ConsPlusNormal"/>
              <w:jc w:val="center"/>
            </w:pPr>
            <w:r>
              <w:t>183 912,26</w:t>
            </w:r>
          </w:p>
        </w:tc>
        <w:tc>
          <w:tcPr>
            <w:tcW w:w="2204" w:type="dxa"/>
            <w:vMerge w:val="restart"/>
            <w:vAlign w:val="center"/>
          </w:tcPr>
          <w:p w14:paraId="3B152B4B" w14:textId="77777777" w:rsidR="00454A29" w:rsidRDefault="00454A29">
            <w:pPr>
              <w:pStyle w:val="ConsPlusNormal"/>
            </w:pPr>
          </w:p>
        </w:tc>
        <w:tc>
          <w:tcPr>
            <w:tcW w:w="1417" w:type="dxa"/>
            <w:vMerge w:val="restart"/>
            <w:vAlign w:val="center"/>
          </w:tcPr>
          <w:p w14:paraId="362AAD2B" w14:textId="77777777" w:rsidR="00454A29" w:rsidRDefault="00454A29">
            <w:pPr>
              <w:pStyle w:val="ConsPlusNormal"/>
              <w:jc w:val="center"/>
            </w:pPr>
            <w:r>
              <w:t>50</w:t>
            </w:r>
          </w:p>
        </w:tc>
        <w:tc>
          <w:tcPr>
            <w:tcW w:w="2324" w:type="dxa"/>
            <w:vMerge w:val="restart"/>
            <w:vAlign w:val="center"/>
          </w:tcPr>
          <w:p w14:paraId="1E422B0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B7A8928" w14:textId="77777777" w:rsidR="00454A29" w:rsidRDefault="00454A29">
            <w:pPr>
              <w:pStyle w:val="ConsPlusNormal"/>
              <w:jc w:val="center"/>
            </w:pPr>
            <w:r>
              <w:t>183 912,26</w:t>
            </w:r>
          </w:p>
        </w:tc>
        <w:tc>
          <w:tcPr>
            <w:tcW w:w="1814" w:type="dxa"/>
            <w:vAlign w:val="center"/>
          </w:tcPr>
          <w:p w14:paraId="56ECB1E6" w14:textId="77777777" w:rsidR="00454A29" w:rsidRDefault="00454A29">
            <w:pPr>
              <w:pStyle w:val="ConsPlusNormal"/>
              <w:jc w:val="center"/>
            </w:pPr>
            <w:r>
              <w:t>2 326,49</w:t>
            </w:r>
          </w:p>
        </w:tc>
        <w:tc>
          <w:tcPr>
            <w:tcW w:w="1701" w:type="dxa"/>
            <w:vAlign w:val="center"/>
          </w:tcPr>
          <w:p w14:paraId="5171B3D3" w14:textId="77777777" w:rsidR="00454A29" w:rsidRDefault="00454A29">
            <w:pPr>
              <w:pStyle w:val="ConsPlusNormal"/>
              <w:jc w:val="center"/>
            </w:pPr>
            <w:r>
              <w:t>230 322,52</w:t>
            </w:r>
          </w:p>
        </w:tc>
        <w:tc>
          <w:tcPr>
            <w:tcW w:w="1701" w:type="dxa"/>
            <w:vAlign w:val="center"/>
          </w:tcPr>
          <w:p w14:paraId="120C7561" w14:textId="77777777" w:rsidR="00454A29" w:rsidRDefault="00454A29">
            <w:pPr>
              <w:pStyle w:val="ConsPlusNormal"/>
              <w:jc w:val="center"/>
            </w:pPr>
            <w:r>
              <w:t>-</w:t>
            </w:r>
          </w:p>
        </w:tc>
        <w:tc>
          <w:tcPr>
            <w:tcW w:w="1814" w:type="dxa"/>
            <w:vAlign w:val="center"/>
          </w:tcPr>
          <w:p w14:paraId="02FFC7E9" w14:textId="77777777" w:rsidR="00454A29" w:rsidRDefault="00454A29">
            <w:pPr>
              <w:pStyle w:val="ConsPlusNormal"/>
              <w:jc w:val="center"/>
            </w:pPr>
            <w:r>
              <w:t>-</w:t>
            </w:r>
          </w:p>
        </w:tc>
      </w:tr>
      <w:tr w:rsidR="00454A29" w14:paraId="740B9271" w14:textId="77777777">
        <w:tc>
          <w:tcPr>
            <w:tcW w:w="567" w:type="dxa"/>
            <w:vMerge/>
          </w:tcPr>
          <w:p w14:paraId="33A1DDB1" w14:textId="77777777" w:rsidR="00454A29" w:rsidRDefault="00454A29"/>
        </w:tc>
        <w:tc>
          <w:tcPr>
            <w:tcW w:w="3345" w:type="dxa"/>
            <w:vMerge/>
          </w:tcPr>
          <w:p w14:paraId="63C29AC0" w14:textId="77777777" w:rsidR="00454A29" w:rsidRDefault="00454A29"/>
        </w:tc>
        <w:tc>
          <w:tcPr>
            <w:tcW w:w="1701" w:type="dxa"/>
            <w:vAlign w:val="center"/>
          </w:tcPr>
          <w:p w14:paraId="3BB7B495" w14:textId="77777777" w:rsidR="00454A29" w:rsidRDefault="00454A29">
            <w:pPr>
              <w:pStyle w:val="ConsPlusNormal"/>
              <w:jc w:val="center"/>
            </w:pPr>
            <w:r>
              <w:t>2020</w:t>
            </w:r>
          </w:p>
        </w:tc>
        <w:tc>
          <w:tcPr>
            <w:tcW w:w="1417" w:type="dxa"/>
            <w:vMerge/>
          </w:tcPr>
          <w:p w14:paraId="11978323" w14:textId="77777777" w:rsidR="00454A29" w:rsidRDefault="00454A29"/>
        </w:tc>
        <w:tc>
          <w:tcPr>
            <w:tcW w:w="2204" w:type="dxa"/>
            <w:vMerge/>
          </w:tcPr>
          <w:p w14:paraId="7C8E825E" w14:textId="77777777" w:rsidR="00454A29" w:rsidRDefault="00454A29"/>
        </w:tc>
        <w:tc>
          <w:tcPr>
            <w:tcW w:w="1417" w:type="dxa"/>
            <w:vMerge/>
          </w:tcPr>
          <w:p w14:paraId="022C5A3F" w14:textId="77777777" w:rsidR="00454A29" w:rsidRDefault="00454A29"/>
        </w:tc>
        <w:tc>
          <w:tcPr>
            <w:tcW w:w="2324" w:type="dxa"/>
            <w:vMerge/>
          </w:tcPr>
          <w:p w14:paraId="7A8ECD5E" w14:textId="77777777" w:rsidR="00454A29" w:rsidRDefault="00454A29"/>
        </w:tc>
        <w:tc>
          <w:tcPr>
            <w:tcW w:w="1701" w:type="dxa"/>
            <w:vAlign w:val="center"/>
          </w:tcPr>
          <w:p w14:paraId="53698EFA" w14:textId="77777777" w:rsidR="00454A29" w:rsidRDefault="00454A29">
            <w:pPr>
              <w:pStyle w:val="ConsPlusNormal"/>
            </w:pPr>
          </w:p>
        </w:tc>
        <w:tc>
          <w:tcPr>
            <w:tcW w:w="1814" w:type="dxa"/>
            <w:vAlign w:val="center"/>
          </w:tcPr>
          <w:p w14:paraId="139EF918" w14:textId="77777777" w:rsidR="00454A29" w:rsidRDefault="00454A29">
            <w:pPr>
              <w:pStyle w:val="ConsPlusNormal"/>
            </w:pPr>
          </w:p>
        </w:tc>
        <w:tc>
          <w:tcPr>
            <w:tcW w:w="1701" w:type="dxa"/>
            <w:vAlign w:val="center"/>
          </w:tcPr>
          <w:p w14:paraId="54C6D340" w14:textId="77777777" w:rsidR="00454A29" w:rsidRDefault="00454A29">
            <w:pPr>
              <w:pStyle w:val="ConsPlusNormal"/>
            </w:pPr>
          </w:p>
        </w:tc>
        <w:tc>
          <w:tcPr>
            <w:tcW w:w="1701" w:type="dxa"/>
            <w:vAlign w:val="center"/>
          </w:tcPr>
          <w:p w14:paraId="6AA32DAB" w14:textId="77777777" w:rsidR="00454A29" w:rsidRDefault="00454A29">
            <w:pPr>
              <w:pStyle w:val="ConsPlusNormal"/>
            </w:pPr>
          </w:p>
        </w:tc>
        <w:tc>
          <w:tcPr>
            <w:tcW w:w="1814" w:type="dxa"/>
            <w:vAlign w:val="center"/>
          </w:tcPr>
          <w:p w14:paraId="111BD6C9" w14:textId="77777777" w:rsidR="00454A29" w:rsidRDefault="00454A29">
            <w:pPr>
              <w:pStyle w:val="ConsPlusNormal"/>
            </w:pPr>
          </w:p>
        </w:tc>
      </w:tr>
      <w:tr w:rsidR="00454A29" w14:paraId="074F03D9" w14:textId="77777777">
        <w:tc>
          <w:tcPr>
            <w:tcW w:w="567" w:type="dxa"/>
            <w:vMerge/>
          </w:tcPr>
          <w:p w14:paraId="7AFDE671" w14:textId="77777777" w:rsidR="00454A29" w:rsidRDefault="00454A29"/>
        </w:tc>
        <w:tc>
          <w:tcPr>
            <w:tcW w:w="3345" w:type="dxa"/>
            <w:vMerge/>
          </w:tcPr>
          <w:p w14:paraId="797E84BE" w14:textId="77777777" w:rsidR="00454A29" w:rsidRDefault="00454A29"/>
        </w:tc>
        <w:tc>
          <w:tcPr>
            <w:tcW w:w="1701" w:type="dxa"/>
            <w:vAlign w:val="center"/>
          </w:tcPr>
          <w:p w14:paraId="05B76B6E" w14:textId="77777777" w:rsidR="00454A29" w:rsidRDefault="00454A29">
            <w:pPr>
              <w:pStyle w:val="ConsPlusNormal"/>
              <w:jc w:val="center"/>
            </w:pPr>
            <w:r>
              <w:t>2021</w:t>
            </w:r>
          </w:p>
        </w:tc>
        <w:tc>
          <w:tcPr>
            <w:tcW w:w="1417" w:type="dxa"/>
            <w:vMerge/>
          </w:tcPr>
          <w:p w14:paraId="68A11EEB" w14:textId="77777777" w:rsidR="00454A29" w:rsidRDefault="00454A29"/>
        </w:tc>
        <w:tc>
          <w:tcPr>
            <w:tcW w:w="2204" w:type="dxa"/>
            <w:vMerge/>
          </w:tcPr>
          <w:p w14:paraId="082C13E9" w14:textId="77777777" w:rsidR="00454A29" w:rsidRDefault="00454A29"/>
        </w:tc>
        <w:tc>
          <w:tcPr>
            <w:tcW w:w="1417" w:type="dxa"/>
            <w:vMerge/>
          </w:tcPr>
          <w:p w14:paraId="1E0492C2" w14:textId="77777777" w:rsidR="00454A29" w:rsidRDefault="00454A29"/>
        </w:tc>
        <w:tc>
          <w:tcPr>
            <w:tcW w:w="2324" w:type="dxa"/>
            <w:vMerge/>
          </w:tcPr>
          <w:p w14:paraId="307EF066" w14:textId="77777777" w:rsidR="00454A29" w:rsidRDefault="00454A29"/>
        </w:tc>
        <w:tc>
          <w:tcPr>
            <w:tcW w:w="1701" w:type="dxa"/>
            <w:vAlign w:val="center"/>
          </w:tcPr>
          <w:p w14:paraId="10D93D51" w14:textId="77777777" w:rsidR="00454A29" w:rsidRDefault="00454A29">
            <w:pPr>
              <w:pStyle w:val="ConsPlusNormal"/>
            </w:pPr>
          </w:p>
        </w:tc>
        <w:tc>
          <w:tcPr>
            <w:tcW w:w="1814" w:type="dxa"/>
            <w:vAlign w:val="center"/>
          </w:tcPr>
          <w:p w14:paraId="7912121B" w14:textId="77777777" w:rsidR="00454A29" w:rsidRDefault="00454A29">
            <w:pPr>
              <w:pStyle w:val="ConsPlusNormal"/>
            </w:pPr>
          </w:p>
        </w:tc>
        <w:tc>
          <w:tcPr>
            <w:tcW w:w="1701" w:type="dxa"/>
            <w:vAlign w:val="center"/>
          </w:tcPr>
          <w:p w14:paraId="454D932A" w14:textId="77777777" w:rsidR="00454A29" w:rsidRDefault="00454A29">
            <w:pPr>
              <w:pStyle w:val="ConsPlusNormal"/>
            </w:pPr>
          </w:p>
        </w:tc>
        <w:tc>
          <w:tcPr>
            <w:tcW w:w="1701" w:type="dxa"/>
            <w:vAlign w:val="center"/>
          </w:tcPr>
          <w:p w14:paraId="4C1387C0" w14:textId="77777777" w:rsidR="00454A29" w:rsidRDefault="00454A29">
            <w:pPr>
              <w:pStyle w:val="ConsPlusNormal"/>
            </w:pPr>
          </w:p>
        </w:tc>
        <w:tc>
          <w:tcPr>
            <w:tcW w:w="1814" w:type="dxa"/>
            <w:vAlign w:val="center"/>
          </w:tcPr>
          <w:p w14:paraId="244BB442" w14:textId="77777777" w:rsidR="00454A29" w:rsidRDefault="00454A29">
            <w:pPr>
              <w:pStyle w:val="ConsPlusNormal"/>
            </w:pPr>
          </w:p>
        </w:tc>
      </w:tr>
      <w:tr w:rsidR="00454A29" w14:paraId="6F455955" w14:textId="77777777">
        <w:tc>
          <w:tcPr>
            <w:tcW w:w="567" w:type="dxa"/>
            <w:vMerge/>
          </w:tcPr>
          <w:p w14:paraId="7D535453" w14:textId="77777777" w:rsidR="00454A29" w:rsidRDefault="00454A29"/>
        </w:tc>
        <w:tc>
          <w:tcPr>
            <w:tcW w:w="3345" w:type="dxa"/>
            <w:vMerge/>
          </w:tcPr>
          <w:p w14:paraId="00D6F2B6" w14:textId="77777777" w:rsidR="00454A29" w:rsidRDefault="00454A29"/>
        </w:tc>
        <w:tc>
          <w:tcPr>
            <w:tcW w:w="1701" w:type="dxa"/>
            <w:vAlign w:val="center"/>
          </w:tcPr>
          <w:p w14:paraId="5129DBA6" w14:textId="77777777" w:rsidR="00454A29" w:rsidRDefault="00454A29">
            <w:pPr>
              <w:pStyle w:val="ConsPlusNormal"/>
              <w:jc w:val="center"/>
            </w:pPr>
            <w:r>
              <w:t>2022</w:t>
            </w:r>
          </w:p>
        </w:tc>
        <w:tc>
          <w:tcPr>
            <w:tcW w:w="1417" w:type="dxa"/>
            <w:vMerge/>
          </w:tcPr>
          <w:p w14:paraId="4DDC5D9A" w14:textId="77777777" w:rsidR="00454A29" w:rsidRDefault="00454A29"/>
        </w:tc>
        <w:tc>
          <w:tcPr>
            <w:tcW w:w="2204" w:type="dxa"/>
            <w:vMerge/>
          </w:tcPr>
          <w:p w14:paraId="19FFAA46" w14:textId="77777777" w:rsidR="00454A29" w:rsidRDefault="00454A29"/>
        </w:tc>
        <w:tc>
          <w:tcPr>
            <w:tcW w:w="1417" w:type="dxa"/>
            <w:vMerge/>
          </w:tcPr>
          <w:p w14:paraId="0034044B" w14:textId="77777777" w:rsidR="00454A29" w:rsidRDefault="00454A29"/>
        </w:tc>
        <w:tc>
          <w:tcPr>
            <w:tcW w:w="2324" w:type="dxa"/>
            <w:vMerge/>
          </w:tcPr>
          <w:p w14:paraId="669561F3" w14:textId="77777777" w:rsidR="00454A29" w:rsidRDefault="00454A29"/>
        </w:tc>
        <w:tc>
          <w:tcPr>
            <w:tcW w:w="1701" w:type="dxa"/>
            <w:vAlign w:val="center"/>
          </w:tcPr>
          <w:p w14:paraId="0BDB83AB" w14:textId="77777777" w:rsidR="00454A29" w:rsidRDefault="00454A29">
            <w:pPr>
              <w:pStyle w:val="ConsPlusNormal"/>
            </w:pPr>
          </w:p>
        </w:tc>
        <w:tc>
          <w:tcPr>
            <w:tcW w:w="1814" w:type="dxa"/>
            <w:vAlign w:val="center"/>
          </w:tcPr>
          <w:p w14:paraId="7F56F78E" w14:textId="77777777" w:rsidR="00454A29" w:rsidRDefault="00454A29">
            <w:pPr>
              <w:pStyle w:val="ConsPlusNormal"/>
            </w:pPr>
          </w:p>
        </w:tc>
        <w:tc>
          <w:tcPr>
            <w:tcW w:w="1701" w:type="dxa"/>
            <w:vAlign w:val="center"/>
          </w:tcPr>
          <w:p w14:paraId="46640AE1" w14:textId="77777777" w:rsidR="00454A29" w:rsidRDefault="00454A29">
            <w:pPr>
              <w:pStyle w:val="ConsPlusNormal"/>
            </w:pPr>
          </w:p>
        </w:tc>
        <w:tc>
          <w:tcPr>
            <w:tcW w:w="1701" w:type="dxa"/>
            <w:vAlign w:val="center"/>
          </w:tcPr>
          <w:p w14:paraId="0702432B" w14:textId="77777777" w:rsidR="00454A29" w:rsidRDefault="00454A29">
            <w:pPr>
              <w:pStyle w:val="ConsPlusNormal"/>
            </w:pPr>
          </w:p>
        </w:tc>
        <w:tc>
          <w:tcPr>
            <w:tcW w:w="1814" w:type="dxa"/>
            <w:vAlign w:val="center"/>
          </w:tcPr>
          <w:p w14:paraId="7CD76B89" w14:textId="77777777" w:rsidR="00454A29" w:rsidRDefault="00454A29">
            <w:pPr>
              <w:pStyle w:val="ConsPlusNormal"/>
            </w:pPr>
          </w:p>
        </w:tc>
      </w:tr>
      <w:tr w:rsidR="00454A29" w14:paraId="1091E051" w14:textId="77777777">
        <w:tc>
          <w:tcPr>
            <w:tcW w:w="567" w:type="dxa"/>
            <w:vMerge/>
          </w:tcPr>
          <w:p w14:paraId="528107BE" w14:textId="77777777" w:rsidR="00454A29" w:rsidRDefault="00454A29"/>
        </w:tc>
        <w:tc>
          <w:tcPr>
            <w:tcW w:w="3345" w:type="dxa"/>
            <w:vMerge/>
          </w:tcPr>
          <w:p w14:paraId="3B12D339" w14:textId="77777777" w:rsidR="00454A29" w:rsidRDefault="00454A29"/>
        </w:tc>
        <w:tc>
          <w:tcPr>
            <w:tcW w:w="1701" w:type="dxa"/>
            <w:vAlign w:val="center"/>
          </w:tcPr>
          <w:p w14:paraId="5C3E0B52" w14:textId="77777777" w:rsidR="00454A29" w:rsidRDefault="00454A29">
            <w:pPr>
              <w:pStyle w:val="ConsPlusNormal"/>
              <w:jc w:val="center"/>
            </w:pPr>
            <w:r>
              <w:t>2023</w:t>
            </w:r>
          </w:p>
        </w:tc>
        <w:tc>
          <w:tcPr>
            <w:tcW w:w="1417" w:type="dxa"/>
            <w:vMerge/>
          </w:tcPr>
          <w:p w14:paraId="53452BEB" w14:textId="77777777" w:rsidR="00454A29" w:rsidRDefault="00454A29"/>
        </w:tc>
        <w:tc>
          <w:tcPr>
            <w:tcW w:w="2204" w:type="dxa"/>
            <w:vMerge/>
          </w:tcPr>
          <w:p w14:paraId="1FB2BC20" w14:textId="77777777" w:rsidR="00454A29" w:rsidRDefault="00454A29"/>
        </w:tc>
        <w:tc>
          <w:tcPr>
            <w:tcW w:w="1417" w:type="dxa"/>
            <w:vMerge/>
          </w:tcPr>
          <w:p w14:paraId="26E7E4BA" w14:textId="77777777" w:rsidR="00454A29" w:rsidRDefault="00454A29"/>
        </w:tc>
        <w:tc>
          <w:tcPr>
            <w:tcW w:w="2324" w:type="dxa"/>
            <w:vMerge/>
          </w:tcPr>
          <w:p w14:paraId="293E89E4" w14:textId="77777777" w:rsidR="00454A29" w:rsidRDefault="00454A29"/>
        </w:tc>
        <w:tc>
          <w:tcPr>
            <w:tcW w:w="1701" w:type="dxa"/>
            <w:vAlign w:val="center"/>
          </w:tcPr>
          <w:p w14:paraId="5F3CACE5" w14:textId="77777777" w:rsidR="00454A29" w:rsidRDefault="00454A29">
            <w:pPr>
              <w:pStyle w:val="ConsPlusNormal"/>
            </w:pPr>
          </w:p>
        </w:tc>
        <w:tc>
          <w:tcPr>
            <w:tcW w:w="1814" w:type="dxa"/>
            <w:vAlign w:val="center"/>
          </w:tcPr>
          <w:p w14:paraId="35C1A874" w14:textId="77777777" w:rsidR="00454A29" w:rsidRDefault="00454A29">
            <w:pPr>
              <w:pStyle w:val="ConsPlusNormal"/>
            </w:pPr>
          </w:p>
        </w:tc>
        <w:tc>
          <w:tcPr>
            <w:tcW w:w="1701" w:type="dxa"/>
            <w:vAlign w:val="center"/>
          </w:tcPr>
          <w:p w14:paraId="61684D1F" w14:textId="77777777" w:rsidR="00454A29" w:rsidRDefault="00454A29">
            <w:pPr>
              <w:pStyle w:val="ConsPlusNormal"/>
            </w:pPr>
          </w:p>
        </w:tc>
        <w:tc>
          <w:tcPr>
            <w:tcW w:w="1701" w:type="dxa"/>
            <w:vAlign w:val="center"/>
          </w:tcPr>
          <w:p w14:paraId="79637613" w14:textId="77777777" w:rsidR="00454A29" w:rsidRDefault="00454A29">
            <w:pPr>
              <w:pStyle w:val="ConsPlusNormal"/>
            </w:pPr>
          </w:p>
        </w:tc>
        <w:tc>
          <w:tcPr>
            <w:tcW w:w="1814" w:type="dxa"/>
            <w:vAlign w:val="center"/>
          </w:tcPr>
          <w:p w14:paraId="77B5B29B" w14:textId="77777777" w:rsidR="00454A29" w:rsidRDefault="00454A29">
            <w:pPr>
              <w:pStyle w:val="ConsPlusNormal"/>
            </w:pPr>
          </w:p>
        </w:tc>
      </w:tr>
      <w:tr w:rsidR="00454A29" w14:paraId="1361FC60" w14:textId="77777777">
        <w:tc>
          <w:tcPr>
            <w:tcW w:w="567" w:type="dxa"/>
            <w:vMerge/>
          </w:tcPr>
          <w:p w14:paraId="47574E94" w14:textId="77777777" w:rsidR="00454A29" w:rsidRDefault="00454A29"/>
        </w:tc>
        <w:tc>
          <w:tcPr>
            <w:tcW w:w="3345" w:type="dxa"/>
            <w:vMerge/>
          </w:tcPr>
          <w:p w14:paraId="7B6E64B8" w14:textId="77777777" w:rsidR="00454A29" w:rsidRDefault="00454A29"/>
        </w:tc>
        <w:tc>
          <w:tcPr>
            <w:tcW w:w="1701" w:type="dxa"/>
            <w:vAlign w:val="center"/>
          </w:tcPr>
          <w:p w14:paraId="551AE8B2" w14:textId="77777777" w:rsidR="00454A29" w:rsidRDefault="00454A29">
            <w:pPr>
              <w:pStyle w:val="ConsPlusNormal"/>
              <w:jc w:val="center"/>
            </w:pPr>
            <w:r>
              <w:t>2024</w:t>
            </w:r>
          </w:p>
        </w:tc>
        <w:tc>
          <w:tcPr>
            <w:tcW w:w="1417" w:type="dxa"/>
            <w:vMerge/>
          </w:tcPr>
          <w:p w14:paraId="045DC644" w14:textId="77777777" w:rsidR="00454A29" w:rsidRDefault="00454A29"/>
        </w:tc>
        <w:tc>
          <w:tcPr>
            <w:tcW w:w="2204" w:type="dxa"/>
            <w:vMerge/>
          </w:tcPr>
          <w:p w14:paraId="1C8BCAC3" w14:textId="77777777" w:rsidR="00454A29" w:rsidRDefault="00454A29"/>
        </w:tc>
        <w:tc>
          <w:tcPr>
            <w:tcW w:w="1417" w:type="dxa"/>
            <w:vMerge/>
          </w:tcPr>
          <w:p w14:paraId="39EE6D30" w14:textId="77777777" w:rsidR="00454A29" w:rsidRDefault="00454A29"/>
        </w:tc>
        <w:tc>
          <w:tcPr>
            <w:tcW w:w="2324" w:type="dxa"/>
            <w:vMerge/>
          </w:tcPr>
          <w:p w14:paraId="0ADF95D2" w14:textId="77777777" w:rsidR="00454A29" w:rsidRDefault="00454A29"/>
        </w:tc>
        <w:tc>
          <w:tcPr>
            <w:tcW w:w="1701" w:type="dxa"/>
            <w:vAlign w:val="center"/>
          </w:tcPr>
          <w:p w14:paraId="3E83426D" w14:textId="77777777" w:rsidR="00454A29" w:rsidRDefault="00454A29">
            <w:pPr>
              <w:pStyle w:val="ConsPlusNormal"/>
            </w:pPr>
          </w:p>
        </w:tc>
        <w:tc>
          <w:tcPr>
            <w:tcW w:w="1814" w:type="dxa"/>
            <w:vAlign w:val="center"/>
          </w:tcPr>
          <w:p w14:paraId="4C981EB9" w14:textId="77777777" w:rsidR="00454A29" w:rsidRDefault="00454A29">
            <w:pPr>
              <w:pStyle w:val="ConsPlusNormal"/>
            </w:pPr>
          </w:p>
        </w:tc>
        <w:tc>
          <w:tcPr>
            <w:tcW w:w="1701" w:type="dxa"/>
            <w:vAlign w:val="center"/>
          </w:tcPr>
          <w:p w14:paraId="02DF71DB" w14:textId="77777777" w:rsidR="00454A29" w:rsidRDefault="00454A29">
            <w:pPr>
              <w:pStyle w:val="ConsPlusNormal"/>
            </w:pPr>
          </w:p>
        </w:tc>
        <w:tc>
          <w:tcPr>
            <w:tcW w:w="1701" w:type="dxa"/>
            <w:vAlign w:val="center"/>
          </w:tcPr>
          <w:p w14:paraId="511F9F72" w14:textId="77777777" w:rsidR="00454A29" w:rsidRDefault="00454A29">
            <w:pPr>
              <w:pStyle w:val="ConsPlusNormal"/>
            </w:pPr>
          </w:p>
        </w:tc>
        <w:tc>
          <w:tcPr>
            <w:tcW w:w="1814" w:type="dxa"/>
            <w:vAlign w:val="center"/>
          </w:tcPr>
          <w:p w14:paraId="4534BDCB" w14:textId="77777777" w:rsidR="00454A29" w:rsidRDefault="00454A29">
            <w:pPr>
              <w:pStyle w:val="ConsPlusNormal"/>
            </w:pPr>
          </w:p>
        </w:tc>
      </w:tr>
      <w:tr w:rsidR="00454A29" w14:paraId="0B2F1175" w14:textId="77777777">
        <w:tc>
          <w:tcPr>
            <w:tcW w:w="567" w:type="dxa"/>
            <w:vMerge/>
          </w:tcPr>
          <w:p w14:paraId="311BAA5F" w14:textId="77777777" w:rsidR="00454A29" w:rsidRDefault="00454A29"/>
        </w:tc>
        <w:tc>
          <w:tcPr>
            <w:tcW w:w="3345" w:type="dxa"/>
            <w:vMerge/>
          </w:tcPr>
          <w:p w14:paraId="0D63BA88" w14:textId="77777777" w:rsidR="00454A29" w:rsidRDefault="00454A29"/>
        </w:tc>
        <w:tc>
          <w:tcPr>
            <w:tcW w:w="1701" w:type="dxa"/>
            <w:vAlign w:val="center"/>
          </w:tcPr>
          <w:p w14:paraId="45F7B9D7" w14:textId="77777777" w:rsidR="00454A29" w:rsidRDefault="00454A29">
            <w:pPr>
              <w:pStyle w:val="ConsPlusNormal"/>
              <w:jc w:val="center"/>
            </w:pPr>
            <w:r>
              <w:t>2025</w:t>
            </w:r>
          </w:p>
        </w:tc>
        <w:tc>
          <w:tcPr>
            <w:tcW w:w="1417" w:type="dxa"/>
            <w:vMerge/>
          </w:tcPr>
          <w:p w14:paraId="4BA13D0E" w14:textId="77777777" w:rsidR="00454A29" w:rsidRDefault="00454A29"/>
        </w:tc>
        <w:tc>
          <w:tcPr>
            <w:tcW w:w="2204" w:type="dxa"/>
            <w:vMerge/>
          </w:tcPr>
          <w:p w14:paraId="03B014A9" w14:textId="77777777" w:rsidR="00454A29" w:rsidRDefault="00454A29"/>
        </w:tc>
        <w:tc>
          <w:tcPr>
            <w:tcW w:w="1417" w:type="dxa"/>
            <w:vMerge/>
          </w:tcPr>
          <w:p w14:paraId="15155151" w14:textId="77777777" w:rsidR="00454A29" w:rsidRDefault="00454A29"/>
        </w:tc>
        <w:tc>
          <w:tcPr>
            <w:tcW w:w="2324" w:type="dxa"/>
            <w:vMerge/>
          </w:tcPr>
          <w:p w14:paraId="6DDD538F" w14:textId="77777777" w:rsidR="00454A29" w:rsidRDefault="00454A29"/>
        </w:tc>
        <w:tc>
          <w:tcPr>
            <w:tcW w:w="1701" w:type="dxa"/>
            <w:vAlign w:val="center"/>
          </w:tcPr>
          <w:p w14:paraId="5EDB8B8F" w14:textId="77777777" w:rsidR="00454A29" w:rsidRDefault="00454A29">
            <w:pPr>
              <w:pStyle w:val="ConsPlusNormal"/>
              <w:jc w:val="center"/>
            </w:pPr>
            <w:r>
              <w:t>183 912,26</w:t>
            </w:r>
          </w:p>
        </w:tc>
        <w:tc>
          <w:tcPr>
            <w:tcW w:w="1814" w:type="dxa"/>
            <w:vAlign w:val="center"/>
          </w:tcPr>
          <w:p w14:paraId="2785DB78" w14:textId="77777777" w:rsidR="00454A29" w:rsidRDefault="00454A29">
            <w:pPr>
              <w:pStyle w:val="ConsPlusNormal"/>
              <w:jc w:val="center"/>
            </w:pPr>
            <w:r>
              <w:t>2 326,49</w:t>
            </w:r>
          </w:p>
        </w:tc>
        <w:tc>
          <w:tcPr>
            <w:tcW w:w="1701" w:type="dxa"/>
            <w:vAlign w:val="center"/>
          </w:tcPr>
          <w:p w14:paraId="5541615C" w14:textId="77777777" w:rsidR="00454A29" w:rsidRDefault="00454A29">
            <w:pPr>
              <w:pStyle w:val="ConsPlusNormal"/>
              <w:jc w:val="center"/>
            </w:pPr>
            <w:r>
              <w:t>230 322,52</w:t>
            </w:r>
          </w:p>
        </w:tc>
        <w:tc>
          <w:tcPr>
            <w:tcW w:w="1701" w:type="dxa"/>
            <w:vAlign w:val="center"/>
          </w:tcPr>
          <w:p w14:paraId="4840ED4C" w14:textId="77777777" w:rsidR="00454A29" w:rsidRDefault="00454A29">
            <w:pPr>
              <w:pStyle w:val="ConsPlusNormal"/>
            </w:pPr>
          </w:p>
        </w:tc>
        <w:tc>
          <w:tcPr>
            <w:tcW w:w="1814" w:type="dxa"/>
            <w:vAlign w:val="center"/>
          </w:tcPr>
          <w:p w14:paraId="7DDC6581" w14:textId="77777777" w:rsidR="00454A29" w:rsidRDefault="00454A29">
            <w:pPr>
              <w:pStyle w:val="ConsPlusNormal"/>
            </w:pPr>
          </w:p>
        </w:tc>
      </w:tr>
      <w:tr w:rsidR="00454A29" w14:paraId="7DEE6728" w14:textId="77777777">
        <w:tc>
          <w:tcPr>
            <w:tcW w:w="567" w:type="dxa"/>
            <w:vMerge/>
          </w:tcPr>
          <w:p w14:paraId="27BD7844" w14:textId="77777777" w:rsidR="00454A29" w:rsidRDefault="00454A29"/>
        </w:tc>
        <w:tc>
          <w:tcPr>
            <w:tcW w:w="3345" w:type="dxa"/>
            <w:vMerge/>
          </w:tcPr>
          <w:p w14:paraId="2ABB9C79" w14:textId="77777777" w:rsidR="00454A29" w:rsidRDefault="00454A29"/>
        </w:tc>
        <w:tc>
          <w:tcPr>
            <w:tcW w:w="1701" w:type="dxa"/>
            <w:vAlign w:val="center"/>
          </w:tcPr>
          <w:p w14:paraId="7A6EAAA4" w14:textId="77777777" w:rsidR="00454A29" w:rsidRDefault="00454A29">
            <w:pPr>
              <w:pStyle w:val="ConsPlusNormal"/>
              <w:jc w:val="center"/>
            </w:pPr>
            <w:r>
              <w:t>2026</w:t>
            </w:r>
          </w:p>
        </w:tc>
        <w:tc>
          <w:tcPr>
            <w:tcW w:w="1417" w:type="dxa"/>
            <w:vMerge/>
          </w:tcPr>
          <w:p w14:paraId="029549DF" w14:textId="77777777" w:rsidR="00454A29" w:rsidRDefault="00454A29"/>
        </w:tc>
        <w:tc>
          <w:tcPr>
            <w:tcW w:w="2204" w:type="dxa"/>
            <w:vMerge/>
          </w:tcPr>
          <w:p w14:paraId="343F9FE4" w14:textId="77777777" w:rsidR="00454A29" w:rsidRDefault="00454A29"/>
        </w:tc>
        <w:tc>
          <w:tcPr>
            <w:tcW w:w="1417" w:type="dxa"/>
            <w:vMerge/>
          </w:tcPr>
          <w:p w14:paraId="07E5CA4C" w14:textId="77777777" w:rsidR="00454A29" w:rsidRDefault="00454A29"/>
        </w:tc>
        <w:tc>
          <w:tcPr>
            <w:tcW w:w="2324" w:type="dxa"/>
            <w:vMerge/>
          </w:tcPr>
          <w:p w14:paraId="158E6F46" w14:textId="77777777" w:rsidR="00454A29" w:rsidRDefault="00454A29"/>
        </w:tc>
        <w:tc>
          <w:tcPr>
            <w:tcW w:w="1701" w:type="dxa"/>
            <w:vAlign w:val="center"/>
          </w:tcPr>
          <w:p w14:paraId="144F839C" w14:textId="77777777" w:rsidR="00454A29" w:rsidRDefault="00454A29">
            <w:pPr>
              <w:pStyle w:val="ConsPlusNormal"/>
            </w:pPr>
          </w:p>
        </w:tc>
        <w:tc>
          <w:tcPr>
            <w:tcW w:w="1814" w:type="dxa"/>
            <w:vAlign w:val="center"/>
          </w:tcPr>
          <w:p w14:paraId="4978AD78" w14:textId="77777777" w:rsidR="00454A29" w:rsidRDefault="00454A29">
            <w:pPr>
              <w:pStyle w:val="ConsPlusNormal"/>
            </w:pPr>
          </w:p>
        </w:tc>
        <w:tc>
          <w:tcPr>
            <w:tcW w:w="1701" w:type="dxa"/>
            <w:vAlign w:val="center"/>
          </w:tcPr>
          <w:p w14:paraId="35A3BE78" w14:textId="77777777" w:rsidR="00454A29" w:rsidRDefault="00454A29">
            <w:pPr>
              <w:pStyle w:val="ConsPlusNormal"/>
            </w:pPr>
          </w:p>
        </w:tc>
        <w:tc>
          <w:tcPr>
            <w:tcW w:w="1701" w:type="dxa"/>
            <w:vAlign w:val="center"/>
          </w:tcPr>
          <w:p w14:paraId="65CECE51" w14:textId="77777777" w:rsidR="00454A29" w:rsidRDefault="00454A29">
            <w:pPr>
              <w:pStyle w:val="ConsPlusNormal"/>
            </w:pPr>
          </w:p>
        </w:tc>
        <w:tc>
          <w:tcPr>
            <w:tcW w:w="1814" w:type="dxa"/>
            <w:vAlign w:val="center"/>
          </w:tcPr>
          <w:p w14:paraId="49CDF9A1" w14:textId="77777777" w:rsidR="00454A29" w:rsidRDefault="00454A29">
            <w:pPr>
              <w:pStyle w:val="ConsPlusNormal"/>
            </w:pPr>
          </w:p>
        </w:tc>
      </w:tr>
      <w:tr w:rsidR="00454A29" w14:paraId="45362E60" w14:textId="77777777">
        <w:tc>
          <w:tcPr>
            <w:tcW w:w="567" w:type="dxa"/>
            <w:vMerge w:val="restart"/>
            <w:vAlign w:val="center"/>
          </w:tcPr>
          <w:p w14:paraId="3DF86949" w14:textId="77777777" w:rsidR="00454A29" w:rsidRDefault="00454A29">
            <w:pPr>
              <w:pStyle w:val="ConsPlusNormal"/>
              <w:jc w:val="center"/>
            </w:pPr>
            <w:r>
              <w:t>35</w:t>
            </w:r>
          </w:p>
        </w:tc>
        <w:tc>
          <w:tcPr>
            <w:tcW w:w="3345" w:type="dxa"/>
            <w:vMerge w:val="restart"/>
            <w:vAlign w:val="center"/>
          </w:tcPr>
          <w:p w14:paraId="7DEBE3D1" w14:textId="77777777" w:rsidR="00454A29" w:rsidRDefault="00454A29">
            <w:pPr>
              <w:pStyle w:val="ConsPlusNormal"/>
              <w:jc w:val="center"/>
            </w:pPr>
            <w:r>
              <w:t>Школа-сад на 80/45 мест в с. Юнкюр</w:t>
            </w:r>
          </w:p>
        </w:tc>
        <w:tc>
          <w:tcPr>
            <w:tcW w:w="1701" w:type="dxa"/>
            <w:vAlign w:val="center"/>
          </w:tcPr>
          <w:p w14:paraId="5D8FC202" w14:textId="77777777" w:rsidR="00454A29" w:rsidRDefault="00454A29">
            <w:pPr>
              <w:pStyle w:val="ConsPlusNormal"/>
              <w:jc w:val="center"/>
            </w:pPr>
            <w:r>
              <w:t>2020 - 2026 годы - всего</w:t>
            </w:r>
          </w:p>
        </w:tc>
        <w:tc>
          <w:tcPr>
            <w:tcW w:w="1417" w:type="dxa"/>
            <w:vMerge w:val="restart"/>
            <w:vAlign w:val="center"/>
          </w:tcPr>
          <w:p w14:paraId="6F12B4F2" w14:textId="77777777" w:rsidR="00454A29" w:rsidRDefault="00454A29">
            <w:pPr>
              <w:pStyle w:val="ConsPlusNormal"/>
              <w:jc w:val="center"/>
            </w:pPr>
            <w:r>
              <w:t>431 987,91</w:t>
            </w:r>
          </w:p>
        </w:tc>
        <w:tc>
          <w:tcPr>
            <w:tcW w:w="2204" w:type="dxa"/>
            <w:vMerge w:val="restart"/>
            <w:vAlign w:val="center"/>
          </w:tcPr>
          <w:p w14:paraId="3BB4892C" w14:textId="77777777" w:rsidR="00454A29" w:rsidRDefault="00454A29">
            <w:pPr>
              <w:pStyle w:val="ConsPlusNormal"/>
            </w:pPr>
          </w:p>
        </w:tc>
        <w:tc>
          <w:tcPr>
            <w:tcW w:w="1417" w:type="dxa"/>
            <w:vMerge w:val="restart"/>
            <w:vAlign w:val="center"/>
          </w:tcPr>
          <w:p w14:paraId="17FF2E22" w14:textId="77777777" w:rsidR="00454A29" w:rsidRDefault="00454A29">
            <w:pPr>
              <w:pStyle w:val="ConsPlusNormal"/>
              <w:jc w:val="center"/>
            </w:pPr>
            <w:r>
              <w:t>80</w:t>
            </w:r>
          </w:p>
        </w:tc>
        <w:tc>
          <w:tcPr>
            <w:tcW w:w="2324" w:type="dxa"/>
            <w:vMerge w:val="restart"/>
            <w:vAlign w:val="center"/>
          </w:tcPr>
          <w:p w14:paraId="33999D5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735643A" w14:textId="77777777" w:rsidR="00454A29" w:rsidRDefault="00454A29">
            <w:pPr>
              <w:pStyle w:val="ConsPlusNormal"/>
              <w:jc w:val="center"/>
            </w:pPr>
            <w:r>
              <w:t>431 987,91</w:t>
            </w:r>
          </w:p>
        </w:tc>
        <w:tc>
          <w:tcPr>
            <w:tcW w:w="1814" w:type="dxa"/>
            <w:vAlign w:val="center"/>
          </w:tcPr>
          <w:p w14:paraId="4652CE33" w14:textId="77777777" w:rsidR="00454A29" w:rsidRDefault="00454A29">
            <w:pPr>
              <w:pStyle w:val="ConsPlusNormal"/>
              <w:jc w:val="center"/>
            </w:pPr>
            <w:r>
              <w:t>5 322,09</w:t>
            </w:r>
          </w:p>
        </w:tc>
        <w:tc>
          <w:tcPr>
            <w:tcW w:w="1701" w:type="dxa"/>
            <w:vAlign w:val="center"/>
          </w:tcPr>
          <w:p w14:paraId="71BD5F27" w14:textId="77777777" w:rsidR="00454A29" w:rsidRDefault="00454A29">
            <w:pPr>
              <w:pStyle w:val="ConsPlusNormal"/>
              <w:jc w:val="center"/>
            </w:pPr>
            <w:r>
              <w:t>526 887,01</w:t>
            </w:r>
          </w:p>
        </w:tc>
        <w:tc>
          <w:tcPr>
            <w:tcW w:w="1701" w:type="dxa"/>
            <w:vAlign w:val="center"/>
          </w:tcPr>
          <w:p w14:paraId="08F85933" w14:textId="77777777" w:rsidR="00454A29" w:rsidRDefault="00454A29">
            <w:pPr>
              <w:pStyle w:val="ConsPlusNormal"/>
              <w:jc w:val="center"/>
            </w:pPr>
            <w:r>
              <w:t>-</w:t>
            </w:r>
          </w:p>
        </w:tc>
        <w:tc>
          <w:tcPr>
            <w:tcW w:w="1814" w:type="dxa"/>
            <w:vAlign w:val="center"/>
          </w:tcPr>
          <w:p w14:paraId="3A82C116" w14:textId="77777777" w:rsidR="00454A29" w:rsidRDefault="00454A29">
            <w:pPr>
              <w:pStyle w:val="ConsPlusNormal"/>
              <w:jc w:val="center"/>
            </w:pPr>
            <w:r>
              <w:t>-</w:t>
            </w:r>
          </w:p>
        </w:tc>
      </w:tr>
      <w:tr w:rsidR="00454A29" w14:paraId="38F950D3" w14:textId="77777777">
        <w:tc>
          <w:tcPr>
            <w:tcW w:w="567" w:type="dxa"/>
            <w:vMerge/>
          </w:tcPr>
          <w:p w14:paraId="4A9DFA5B" w14:textId="77777777" w:rsidR="00454A29" w:rsidRDefault="00454A29"/>
        </w:tc>
        <w:tc>
          <w:tcPr>
            <w:tcW w:w="3345" w:type="dxa"/>
            <w:vMerge/>
          </w:tcPr>
          <w:p w14:paraId="299A5AF6" w14:textId="77777777" w:rsidR="00454A29" w:rsidRDefault="00454A29"/>
        </w:tc>
        <w:tc>
          <w:tcPr>
            <w:tcW w:w="1701" w:type="dxa"/>
            <w:vAlign w:val="center"/>
          </w:tcPr>
          <w:p w14:paraId="21A06A68" w14:textId="77777777" w:rsidR="00454A29" w:rsidRDefault="00454A29">
            <w:pPr>
              <w:pStyle w:val="ConsPlusNormal"/>
              <w:jc w:val="center"/>
            </w:pPr>
            <w:r>
              <w:t>2020</w:t>
            </w:r>
          </w:p>
        </w:tc>
        <w:tc>
          <w:tcPr>
            <w:tcW w:w="1417" w:type="dxa"/>
            <w:vMerge/>
          </w:tcPr>
          <w:p w14:paraId="221EE5DC" w14:textId="77777777" w:rsidR="00454A29" w:rsidRDefault="00454A29"/>
        </w:tc>
        <w:tc>
          <w:tcPr>
            <w:tcW w:w="2204" w:type="dxa"/>
            <w:vMerge/>
          </w:tcPr>
          <w:p w14:paraId="1664E6BE" w14:textId="77777777" w:rsidR="00454A29" w:rsidRDefault="00454A29"/>
        </w:tc>
        <w:tc>
          <w:tcPr>
            <w:tcW w:w="1417" w:type="dxa"/>
            <w:vMerge/>
          </w:tcPr>
          <w:p w14:paraId="37F4B4E1" w14:textId="77777777" w:rsidR="00454A29" w:rsidRDefault="00454A29"/>
        </w:tc>
        <w:tc>
          <w:tcPr>
            <w:tcW w:w="2324" w:type="dxa"/>
            <w:vMerge/>
          </w:tcPr>
          <w:p w14:paraId="41CBFBDF" w14:textId="77777777" w:rsidR="00454A29" w:rsidRDefault="00454A29"/>
        </w:tc>
        <w:tc>
          <w:tcPr>
            <w:tcW w:w="1701" w:type="dxa"/>
            <w:vAlign w:val="center"/>
          </w:tcPr>
          <w:p w14:paraId="498A7593" w14:textId="77777777" w:rsidR="00454A29" w:rsidRDefault="00454A29">
            <w:pPr>
              <w:pStyle w:val="ConsPlusNormal"/>
            </w:pPr>
          </w:p>
        </w:tc>
        <w:tc>
          <w:tcPr>
            <w:tcW w:w="1814" w:type="dxa"/>
            <w:vAlign w:val="center"/>
          </w:tcPr>
          <w:p w14:paraId="5FCD60E4" w14:textId="77777777" w:rsidR="00454A29" w:rsidRDefault="00454A29">
            <w:pPr>
              <w:pStyle w:val="ConsPlusNormal"/>
            </w:pPr>
          </w:p>
        </w:tc>
        <w:tc>
          <w:tcPr>
            <w:tcW w:w="1701" w:type="dxa"/>
            <w:vAlign w:val="center"/>
          </w:tcPr>
          <w:p w14:paraId="650AF885" w14:textId="77777777" w:rsidR="00454A29" w:rsidRDefault="00454A29">
            <w:pPr>
              <w:pStyle w:val="ConsPlusNormal"/>
            </w:pPr>
          </w:p>
        </w:tc>
        <w:tc>
          <w:tcPr>
            <w:tcW w:w="1701" w:type="dxa"/>
            <w:vAlign w:val="center"/>
          </w:tcPr>
          <w:p w14:paraId="70ED0385" w14:textId="77777777" w:rsidR="00454A29" w:rsidRDefault="00454A29">
            <w:pPr>
              <w:pStyle w:val="ConsPlusNormal"/>
            </w:pPr>
          </w:p>
        </w:tc>
        <w:tc>
          <w:tcPr>
            <w:tcW w:w="1814" w:type="dxa"/>
            <w:vAlign w:val="center"/>
          </w:tcPr>
          <w:p w14:paraId="4FACF329" w14:textId="77777777" w:rsidR="00454A29" w:rsidRDefault="00454A29">
            <w:pPr>
              <w:pStyle w:val="ConsPlusNormal"/>
            </w:pPr>
          </w:p>
        </w:tc>
      </w:tr>
      <w:tr w:rsidR="00454A29" w14:paraId="32DD0B26" w14:textId="77777777">
        <w:tc>
          <w:tcPr>
            <w:tcW w:w="567" w:type="dxa"/>
            <w:vMerge/>
          </w:tcPr>
          <w:p w14:paraId="4F9E7BD4" w14:textId="77777777" w:rsidR="00454A29" w:rsidRDefault="00454A29"/>
        </w:tc>
        <w:tc>
          <w:tcPr>
            <w:tcW w:w="3345" w:type="dxa"/>
            <w:vMerge/>
          </w:tcPr>
          <w:p w14:paraId="0E01514E" w14:textId="77777777" w:rsidR="00454A29" w:rsidRDefault="00454A29"/>
        </w:tc>
        <w:tc>
          <w:tcPr>
            <w:tcW w:w="1701" w:type="dxa"/>
            <w:vAlign w:val="center"/>
          </w:tcPr>
          <w:p w14:paraId="6398D648" w14:textId="77777777" w:rsidR="00454A29" w:rsidRDefault="00454A29">
            <w:pPr>
              <w:pStyle w:val="ConsPlusNormal"/>
              <w:jc w:val="center"/>
            </w:pPr>
            <w:r>
              <w:t>2021</w:t>
            </w:r>
          </w:p>
        </w:tc>
        <w:tc>
          <w:tcPr>
            <w:tcW w:w="1417" w:type="dxa"/>
            <w:vMerge/>
          </w:tcPr>
          <w:p w14:paraId="796163CA" w14:textId="77777777" w:rsidR="00454A29" w:rsidRDefault="00454A29"/>
        </w:tc>
        <w:tc>
          <w:tcPr>
            <w:tcW w:w="2204" w:type="dxa"/>
            <w:vMerge/>
          </w:tcPr>
          <w:p w14:paraId="283E4235" w14:textId="77777777" w:rsidR="00454A29" w:rsidRDefault="00454A29"/>
        </w:tc>
        <w:tc>
          <w:tcPr>
            <w:tcW w:w="1417" w:type="dxa"/>
            <w:vMerge/>
          </w:tcPr>
          <w:p w14:paraId="777EAE9D" w14:textId="77777777" w:rsidR="00454A29" w:rsidRDefault="00454A29"/>
        </w:tc>
        <w:tc>
          <w:tcPr>
            <w:tcW w:w="2324" w:type="dxa"/>
            <w:vMerge/>
          </w:tcPr>
          <w:p w14:paraId="51FDA230" w14:textId="77777777" w:rsidR="00454A29" w:rsidRDefault="00454A29"/>
        </w:tc>
        <w:tc>
          <w:tcPr>
            <w:tcW w:w="1701" w:type="dxa"/>
            <w:vAlign w:val="center"/>
          </w:tcPr>
          <w:p w14:paraId="0A43EDAC" w14:textId="77777777" w:rsidR="00454A29" w:rsidRDefault="00454A29">
            <w:pPr>
              <w:pStyle w:val="ConsPlusNormal"/>
            </w:pPr>
          </w:p>
        </w:tc>
        <w:tc>
          <w:tcPr>
            <w:tcW w:w="1814" w:type="dxa"/>
            <w:vAlign w:val="center"/>
          </w:tcPr>
          <w:p w14:paraId="6B0197FA" w14:textId="77777777" w:rsidR="00454A29" w:rsidRDefault="00454A29">
            <w:pPr>
              <w:pStyle w:val="ConsPlusNormal"/>
            </w:pPr>
          </w:p>
        </w:tc>
        <w:tc>
          <w:tcPr>
            <w:tcW w:w="1701" w:type="dxa"/>
            <w:vAlign w:val="center"/>
          </w:tcPr>
          <w:p w14:paraId="37305060" w14:textId="77777777" w:rsidR="00454A29" w:rsidRDefault="00454A29">
            <w:pPr>
              <w:pStyle w:val="ConsPlusNormal"/>
            </w:pPr>
          </w:p>
        </w:tc>
        <w:tc>
          <w:tcPr>
            <w:tcW w:w="1701" w:type="dxa"/>
            <w:vAlign w:val="center"/>
          </w:tcPr>
          <w:p w14:paraId="538844C5" w14:textId="77777777" w:rsidR="00454A29" w:rsidRDefault="00454A29">
            <w:pPr>
              <w:pStyle w:val="ConsPlusNormal"/>
            </w:pPr>
          </w:p>
        </w:tc>
        <w:tc>
          <w:tcPr>
            <w:tcW w:w="1814" w:type="dxa"/>
            <w:vAlign w:val="center"/>
          </w:tcPr>
          <w:p w14:paraId="2DC327DD" w14:textId="77777777" w:rsidR="00454A29" w:rsidRDefault="00454A29">
            <w:pPr>
              <w:pStyle w:val="ConsPlusNormal"/>
            </w:pPr>
          </w:p>
        </w:tc>
      </w:tr>
      <w:tr w:rsidR="00454A29" w14:paraId="7093B8D2" w14:textId="77777777">
        <w:tc>
          <w:tcPr>
            <w:tcW w:w="567" w:type="dxa"/>
            <w:vMerge/>
          </w:tcPr>
          <w:p w14:paraId="65017DAE" w14:textId="77777777" w:rsidR="00454A29" w:rsidRDefault="00454A29"/>
        </w:tc>
        <w:tc>
          <w:tcPr>
            <w:tcW w:w="3345" w:type="dxa"/>
            <w:vMerge/>
          </w:tcPr>
          <w:p w14:paraId="053F63FE" w14:textId="77777777" w:rsidR="00454A29" w:rsidRDefault="00454A29"/>
        </w:tc>
        <w:tc>
          <w:tcPr>
            <w:tcW w:w="1701" w:type="dxa"/>
            <w:vAlign w:val="center"/>
          </w:tcPr>
          <w:p w14:paraId="6BEBAA56" w14:textId="77777777" w:rsidR="00454A29" w:rsidRDefault="00454A29">
            <w:pPr>
              <w:pStyle w:val="ConsPlusNormal"/>
              <w:jc w:val="center"/>
            </w:pPr>
            <w:r>
              <w:t>2022</w:t>
            </w:r>
          </w:p>
        </w:tc>
        <w:tc>
          <w:tcPr>
            <w:tcW w:w="1417" w:type="dxa"/>
            <w:vMerge/>
          </w:tcPr>
          <w:p w14:paraId="4AF2A5BE" w14:textId="77777777" w:rsidR="00454A29" w:rsidRDefault="00454A29"/>
        </w:tc>
        <w:tc>
          <w:tcPr>
            <w:tcW w:w="2204" w:type="dxa"/>
            <w:vMerge/>
          </w:tcPr>
          <w:p w14:paraId="59CD57A4" w14:textId="77777777" w:rsidR="00454A29" w:rsidRDefault="00454A29"/>
        </w:tc>
        <w:tc>
          <w:tcPr>
            <w:tcW w:w="1417" w:type="dxa"/>
            <w:vMerge/>
          </w:tcPr>
          <w:p w14:paraId="35A824D1" w14:textId="77777777" w:rsidR="00454A29" w:rsidRDefault="00454A29"/>
        </w:tc>
        <w:tc>
          <w:tcPr>
            <w:tcW w:w="2324" w:type="dxa"/>
            <w:vMerge/>
          </w:tcPr>
          <w:p w14:paraId="0E993188" w14:textId="77777777" w:rsidR="00454A29" w:rsidRDefault="00454A29"/>
        </w:tc>
        <w:tc>
          <w:tcPr>
            <w:tcW w:w="1701" w:type="dxa"/>
            <w:vAlign w:val="center"/>
          </w:tcPr>
          <w:p w14:paraId="260DEC73" w14:textId="77777777" w:rsidR="00454A29" w:rsidRDefault="00454A29">
            <w:pPr>
              <w:pStyle w:val="ConsPlusNormal"/>
            </w:pPr>
          </w:p>
        </w:tc>
        <w:tc>
          <w:tcPr>
            <w:tcW w:w="1814" w:type="dxa"/>
            <w:vAlign w:val="center"/>
          </w:tcPr>
          <w:p w14:paraId="7F34BA89" w14:textId="77777777" w:rsidR="00454A29" w:rsidRDefault="00454A29">
            <w:pPr>
              <w:pStyle w:val="ConsPlusNormal"/>
            </w:pPr>
          </w:p>
        </w:tc>
        <w:tc>
          <w:tcPr>
            <w:tcW w:w="1701" w:type="dxa"/>
            <w:vAlign w:val="center"/>
          </w:tcPr>
          <w:p w14:paraId="24E513E8" w14:textId="77777777" w:rsidR="00454A29" w:rsidRDefault="00454A29">
            <w:pPr>
              <w:pStyle w:val="ConsPlusNormal"/>
            </w:pPr>
          </w:p>
        </w:tc>
        <w:tc>
          <w:tcPr>
            <w:tcW w:w="1701" w:type="dxa"/>
            <w:vAlign w:val="center"/>
          </w:tcPr>
          <w:p w14:paraId="033961C2" w14:textId="77777777" w:rsidR="00454A29" w:rsidRDefault="00454A29">
            <w:pPr>
              <w:pStyle w:val="ConsPlusNormal"/>
            </w:pPr>
          </w:p>
        </w:tc>
        <w:tc>
          <w:tcPr>
            <w:tcW w:w="1814" w:type="dxa"/>
            <w:vAlign w:val="center"/>
          </w:tcPr>
          <w:p w14:paraId="4B6804FA" w14:textId="77777777" w:rsidR="00454A29" w:rsidRDefault="00454A29">
            <w:pPr>
              <w:pStyle w:val="ConsPlusNormal"/>
            </w:pPr>
          </w:p>
        </w:tc>
      </w:tr>
      <w:tr w:rsidR="00454A29" w14:paraId="07C882C4" w14:textId="77777777">
        <w:tc>
          <w:tcPr>
            <w:tcW w:w="567" w:type="dxa"/>
            <w:vMerge/>
          </w:tcPr>
          <w:p w14:paraId="6E264480" w14:textId="77777777" w:rsidR="00454A29" w:rsidRDefault="00454A29"/>
        </w:tc>
        <w:tc>
          <w:tcPr>
            <w:tcW w:w="3345" w:type="dxa"/>
            <w:vMerge/>
          </w:tcPr>
          <w:p w14:paraId="4D1ED836" w14:textId="77777777" w:rsidR="00454A29" w:rsidRDefault="00454A29"/>
        </w:tc>
        <w:tc>
          <w:tcPr>
            <w:tcW w:w="1701" w:type="dxa"/>
            <w:vAlign w:val="center"/>
          </w:tcPr>
          <w:p w14:paraId="3359773E" w14:textId="77777777" w:rsidR="00454A29" w:rsidRDefault="00454A29">
            <w:pPr>
              <w:pStyle w:val="ConsPlusNormal"/>
              <w:jc w:val="center"/>
            </w:pPr>
            <w:r>
              <w:t>2023</w:t>
            </w:r>
          </w:p>
        </w:tc>
        <w:tc>
          <w:tcPr>
            <w:tcW w:w="1417" w:type="dxa"/>
            <w:vMerge/>
          </w:tcPr>
          <w:p w14:paraId="0A406762" w14:textId="77777777" w:rsidR="00454A29" w:rsidRDefault="00454A29"/>
        </w:tc>
        <w:tc>
          <w:tcPr>
            <w:tcW w:w="2204" w:type="dxa"/>
            <w:vMerge/>
          </w:tcPr>
          <w:p w14:paraId="63CAD69E" w14:textId="77777777" w:rsidR="00454A29" w:rsidRDefault="00454A29"/>
        </w:tc>
        <w:tc>
          <w:tcPr>
            <w:tcW w:w="1417" w:type="dxa"/>
            <w:vMerge/>
          </w:tcPr>
          <w:p w14:paraId="77985831" w14:textId="77777777" w:rsidR="00454A29" w:rsidRDefault="00454A29"/>
        </w:tc>
        <w:tc>
          <w:tcPr>
            <w:tcW w:w="2324" w:type="dxa"/>
            <w:vMerge/>
          </w:tcPr>
          <w:p w14:paraId="2A7C461D" w14:textId="77777777" w:rsidR="00454A29" w:rsidRDefault="00454A29"/>
        </w:tc>
        <w:tc>
          <w:tcPr>
            <w:tcW w:w="1701" w:type="dxa"/>
            <w:vAlign w:val="center"/>
          </w:tcPr>
          <w:p w14:paraId="7C9A992D" w14:textId="77777777" w:rsidR="00454A29" w:rsidRDefault="00454A29">
            <w:pPr>
              <w:pStyle w:val="ConsPlusNormal"/>
            </w:pPr>
          </w:p>
        </w:tc>
        <w:tc>
          <w:tcPr>
            <w:tcW w:w="1814" w:type="dxa"/>
            <w:vAlign w:val="center"/>
          </w:tcPr>
          <w:p w14:paraId="51F360F6" w14:textId="77777777" w:rsidR="00454A29" w:rsidRDefault="00454A29">
            <w:pPr>
              <w:pStyle w:val="ConsPlusNormal"/>
            </w:pPr>
          </w:p>
        </w:tc>
        <w:tc>
          <w:tcPr>
            <w:tcW w:w="1701" w:type="dxa"/>
            <w:vAlign w:val="center"/>
          </w:tcPr>
          <w:p w14:paraId="00DBA2E6" w14:textId="77777777" w:rsidR="00454A29" w:rsidRDefault="00454A29">
            <w:pPr>
              <w:pStyle w:val="ConsPlusNormal"/>
            </w:pPr>
          </w:p>
        </w:tc>
        <w:tc>
          <w:tcPr>
            <w:tcW w:w="1701" w:type="dxa"/>
            <w:vAlign w:val="center"/>
          </w:tcPr>
          <w:p w14:paraId="050509C1" w14:textId="77777777" w:rsidR="00454A29" w:rsidRDefault="00454A29">
            <w:pPr>
              <w:pStyle w:val="ConsPlusNormal"/>
            </w:pPr>
          </w:p>
        </w:tc>
        <w:tc>
          <w:tcPr>
            <w:tcW w:w="1814" w:type="dxa"/>
            <w:vAlign w:val="center"/>
          </w:tcPr>
          <w:p w14:paraId="2D53ED6F" w14:textId="77777777" w:rsidR="00454A29" w:rsidRDefault="00454A29">
            <w:pPr>
              <w:pStyle w:val="ConsPlusNormal"/>
            </w:pPr>
          </w:p>
        </w:tc>
      </w:tr>
      <w:tr w:rsidR="00454A29" w14:paraId="1F6B162E" w14:textId="77777777">
        <w:tc>
          <w:tcPr>
            <w:tcW w:w="567" w:type="dxa"/>
            <w:vMerge/>
          </w:tcPr>
          <w:p w14:paraId="324D5FAD" w14:textId="77777777" w:rsidR="00454A29" w:rsidRDefault="00454A29"/>
        </w:tc>
        <w:tc>
          <w:tcPr>
            <w:tcW w:w="3345" w:type="dxa"/>
            <w:vMerge/>
          </w:tcPr>
          <w:p w14:paraId="5D5C3019" w14:textId="77777777" w:rsidR="00454A29" w:rsidRDefault="00454A29"/>
        </w:tc>
        <w:tc>
          <w:tcPr>
            <w:tcW w:w="1701" w:type="dxa"/>
            <w:vAlign w:val="center"/>
          </w:tcPr>
          <w:p w14:paraId="34AE12C6" w14:textId="77777777" w:rsidR="00454A29" w:rsidRDefault="00454A29">
            <w:pPr>
              <w:pStyle w:val="ConsPlusNormal"/>
              <w:jc w:val="center"/>
            </w:pPr>
            <w:r>
              <w:t>2024</w:t>
            </w:r>
          </w:p>
        </w:tc>
        <w:tc>
          <w:tcPr>
            <w:tcW w:w="1417" w:type="dxa"/>
            <w:vMerge/>
          </w:tcPr>
          <w:p w14:paraId="15131671" w14:textId="77777777" w:rsidR="00454A29" w:rsidRDefault="00454A29"/>
        </w:tc>
        <w:tc>
          <w:tcPr>
            <w:tcW w:w="2204" w:type="dxa"/>
            <w:vMerge/>
          </w:tcPr>
          <w:p w14:paraId="18509EBB" w14:textId="77777777" w:rsidR="00454A29" w:rsidRDefault="00454A29"/>
        </w:tc>
        <w:tc>
          <w:tcPr>
            <w:tcW w:w="1417" w:type="dxa"/>
            <w:vMerge/>
          </w:tcPr>
          <w:p w14:paraId="67E62FD1" w14:textId="77777777" w:rsidR="00454A29" w:rsidRDefault="00454A29"/>
        </w:tc>
        <w:tc>
          <w:tcPr>
            <w:tcW w:w="2324" w:type="dxa"/>
            <w:vMerge/>
          </w:tcPr>
          <w:p w14:paraId="04C5547F" w14:textId="77777777" w:rsidR="00454A29" w:rsidRDefault="00454A29"/>
        </w:tc>
        <w:tc>
          <w:tcPr>
            <w:tcW w:w="1701" w:type="dxa"/>
            <w:vAlign w:val="center"/>
          </w:tcPr>
          <w:p w14:paraId="2147515F" w14:textId="77777777" w:rsidR="00454A29" w:rsidRDefault="00454A29">
            <w:pPr>
              <w:pStyle w:val="ConsPlusNormal"/>
            </w:pPr>
          </w:p>
        </w:tc>
        <w:tc>
          <w:tcPr>
            <w:tcW w:w="1814" w:type="dxa"/>
            <w:vAlign w:val="center"/>
          </w:tcPr>
          <w:p w14:paraId="48097D0E" w14:textId="77777777" w:rsidR="00454A29" w:rsidRDefault="00454A29">
            <w:pPr>
              <w:pStyle w:val="ConsPlusNormal"/>
            </w:pPr>
          </w:p>
        </w:tc>
        <w:tc>
          <w:tcPr>
            <w:tcW w:w="1701" w:type="dxa"/>
            <w:vAlign w:val="center"/>
          </w:tcPr>
          <w:p w14:paraId="2F0F703B" w14:textId="77777777" w:rsidR="00454A29" w:rsidRDefault="00454A29">
            <w:pPr>
              <w:pStyle w:val="ConsPlusNormal"/>
            </w:pPr>
          </w:p>
        </w:tc>
        <w:tc>
          <w:tcPr>
            <w:tcW w:w="1701" w:type="dxa"/>
            <w:vAlign w:val="center"/>
          </w:tcPr>
          <w:p w14:paraId="7E5161B8" w14:textId="77777777" w:rsidR="00454A29" w:rsidRDefault="00454A29">
            <w:pPr>
              <w:pStyle w:val="ConsPlusNormal"/>
            </w:pPr>
          </w:p>
        </w:tc>
        <w:tc>
          <w:tcPr>
            <w:tcW w:w="1814" w:type="dxa"/>
            <w:vAlign w:val="center"/>
          </w:tcPr>
          <w:p w14:paraId="131ECB54" w14:textId="77777777" w:rsidR="00454A29" w:rsidRDefault="00454A29">
            <w:pPr>
              <w:pStyle w:val="ConsPlusNormal"/>
            </w:pPr>
          </w:p>
        </w:tc>
      </w:tr>
      <w:tr w:rsidR="00454A29" w14:paraId="65B3C42A" w14:textId="77777777">
        <w:tc>
          <w:tcPr>
            <w:tcW w:w="567" w:type="dxa"/>
            <w:vMerge/>
          </w:tcPr>
          <w:p w14:paraId="6A3EB32F" w14:textId="77777777" w:rsidR="00454A29" w:rsidRDefault="00454A29"/>
        </w:tc>
        <w:tc>
          <w:tcPr>
            <w:tcW w:w="3345" w:type="dxa"/>
            <w:vMerge/>
          </w:tcPr>
          <w:p w14:paraId="026CEF10" w14:textId="77777777" w:rsidR="00454A29" w:rsidRDefault="00454A29"/>
        </w:tc>
        <w:tc>
          <w:tcPr>
            <w:tcW w:w="1701" w:type="dxa"/>
            <w:vAlign w:val="center"/>
          </w:tcPr>
          <w:p w14:paraId="281BFC40" w14:textId="77777777" w:rsidR="00454A29" w:rsidRDefault="00454A29">
            <w:pPr>
              <w:pStyle w:val="ConsPlusNormal"/>
              <w:jc w:val="center"/>
            </w:pPr>
            <w:r>
              <w:t>2025</w:t>
            </w:r>
          </w:p>
        </w:tc>
        <w:tc>
          <w:tcPr>
            <w:tcW w:w="1417" w:type="dxa"/>
            <w:vMerge/>
          </w:tcPr>
          <w:p w14:paraId="54A8E902" w14:textId="77777777" w:rsidR="00454A29" w:rsidRDefault="00454A29"/>
        </w:tc>
        <w:tc>
          <w:tcPr>
            <w:tcW w:w="2204" w:type="dxa"/>
            <w:vMerge/>
          </w:tcPr>
          <w:p w14:paraId="6EFFE6B0" w14:textId="77777777" w:rsidR="00454A29" w:rsidRDefault="00454A29"/>
        </w:tc>
        <w:tc>
          <w:tcPr>
            <w:tcW w:w="1417" w:type="dxa"/>
            <w:vMerge/>
          </w:tcPr>
          <w:p w14:paraId="6A41DC88" w14:textId="77777777" w:rsidR="00454A29" w:rsidRDefault="00454A29"/>
        </w:tc>
        <w:tc>
          <w:tcPr>
            <w:tcW w:w="2324" w:type="dxa"/>
            <w:vMerge/>
          </w:tcPr>
          <w:p w14:paraId="7BB62B23" w14:textId="77777777" w:rsidR="00454A29" w:rsidRDefault="00454A29"/>
        </w:tc>
        <w:tc>
          <w:tcPr>
            <w:tcW w:w="1701" w:type="dxa"/>
            <w:vAlign w:val="center"/>
          </w:tcPr>
          <w:p w14:paraId="16A1E6D6" w14:textId="77777777" w:rsidR="00454A29" w:rsidRDefault="00454A29">
            <w:pPr>
              <w:pStyle w:val="ConsPlusNormal"/>
            </w:pPr>
          </w:p>
        </w:tc>
        <w:tc>
          <w:tcPr>
            <w:tcW w:w="1814" w:type="dxa"/>
            <w:vAlign w:val="center"/>
          </w:tcPr>
          <w:p w14:paraId="5C2162CD" w14:textId="77777777" w:rsidR="00454A29" w:rsidRDefault="00454A29">
            <w:pPr>
              <w:pStyle w:val="ConsPlusNormal"/>
            </w:pPr>
          </w:p>
        </w:tc>
        <w:tc>
          <w:tcPr>
            <w:tcW w:w="1701" w:type="dxa"/>
            <w:vAlign w:val="center"/>
          </w:tcPr>
          <w:p w14:paraId="07D8421F" w14:textId="77777777" w:rsidR="00454A29" w:rsidRDefault="00454A29">
            <w:pPr>
              <w:pStyle w:val="ConsPlusNormal"/>
            </w:pPr>
          </w:p>
        </w:tc>
        <w:tc>
          <w:tcPr>
            <w:tcW w:w="1701" w:type="dxa"/>
            <w:vAlign w:val="center"/>
          </w:tcPr>
          <w:p w14:paraId="0E6D451B" w14:textId="77777777" w:rsidR="00454A29" w:rsidRDefault="00454A29">
            <w:pPr>
              <w:pStyle w:val="ConsPlusNormal"/>
            </w:pPr>
          </w:p>
        </w:tc>
        <w:tc>
          <w:tcPr>
            <w:tcW w:w="1814" w:type="dxa"/>
            <w:vAlign w:val="center"/>
          </w:tcPr>
          <w:p w14:paraId="1100C5DF" w14:textId="77777777" w:rsidR="00454A29" w:rsidRDefault="00454A29">
            <w:pPr>
              <w:pStyle w:val="ConsPlusNormal"/>
            </w:pPr>
          </w:p>
        </w:tc>
      </w:tr>
      <w:tr w:rsidR="00454A29" w14:paraId="4D968CA3" w14:textId="77777777">
        <w:tc>
          <w:tcPr>
            <w:tcW w:w="567" w:type="dxa"/>
            <w:vMerge/>
          </w:tcPr>
          <w:p w14:paraId="3C797C63" w14:textId="77777777" w:rsidR="00454A29" w:rsidRDefault="00454A29"/>
        </w:tc>
        <w:tc>
          <w:tcPr>
            <w:tcW w:w="3345" w:type="dxa"/>
            <w:vMerge/>
          </w:tcPr>
          <w:p w14:paraId="1BA5C8D8" w14:textId="77777777" w:rsidR="00454A29" w:rsidRDefault="00454A29"/>
        </w:tc>
        <w:tc>
          <w:tcPr>
            <w:tcW w:w="1701" w:type="dxa"/>
            <w:vAlign w:val="center"/>
          </w:tcPr>
          <w:p w14:paraId="4216C901" w14:textId="77777777" w:rsidR="00454A29" w:rsidRDefault="00454A29">
            <w:pPr>
              <w:pStyle w:val="ConsPlusNormal"/>
              <w:jc w:val="center"/>
            </w:pPr>
            <w:r>
              <w:t>2026</w:t>
            </w:r>
          </w:p>
        </w:tc>
        <w:tc>
          <w:tcPr>
            <w:tcW w:w="1417" w:type="dxa"/>
            <w:vMerge/>
          </w:tcPr>
          <w:p w14:paraId="7F2A1096" w14:textId="77777777" w:rsidR="00454A29" w:rsidRDefault="00454A29"/>
        </w:tc>
        <w:tc>
          <w:tcPr>
            <w:tcW w:w="2204" w:type="dxa"/>
            <w:vMerge/>
          </w:tcPr>
          <w:p w14:paraId="0BCB59E9" w14:textId="77777777" w:rsidR="00454A29" w:rsidRDefault="00454A29"/>
        </w:tc>
        <w:tc>
          <w:tcPr>
            <w:tcW w:w="1417" w:type="dxa"/>
            <w:vMerge/>
          </w:tcPr>
          <w:p w14:paraId="1344E63C" w14:textId="77777777" w:rsidR="00454A29" w:rsidRDefault="00454A29"/>
        </w:tc>
        <w:tc>
          <w:tcPr>
            <w:tcW w:w="2324" w:type="dxa"/>
            <w:vMerge/>
          </w:tcPr>
          <w:p w14:paraId="5541542D" w14:textId="77777777" w:rsidR="00454A29" w:rsidRDefault="00454A29"/>
        </w:tc>
        <w:tc>
          <w:tcPr>
            <w:tcW w:w="1701" w:type="dxa"/>
            <w:vAlign w:val="center"/>
          </w:tcPr>
          <w:p w14:paraId="46472E05" w14:textId="77777777" w:rsidR="00454A29" w:rsidRDefault="00454A29">
            <w:pPr>
              <w:pStyle w:val="ConsPlusNormal"/>
              <w:jc w:val="center"/>
            </w:pPr>
            <w:r>
              <w:t>431 987,91</w:t>
            </w:r>
          </w:p>
        </w:tc>
        <w:tc>
          <w:tcPr>
            <w:tcW w:w="1814" w:type="dxa"/>
            <w:vAlign w:val="center"/>
          </w:tcPr>
          <w:p w14:paraId="33BD5055" w14:textId="77777777" w:rsidR="00454A29" w:rsidRDefault="00454A29">
            <w:pPr>
              <w:pStyle w:val="ConsPlusNormal"/>
              <w:jc w:val="center"/>
            </w:pPr>
            <w:r>
              <w:t>5 322,09</w:t>
            </w:r>
          </w:p>
        </w:tc>
        <w:tc>
          <w:tcPr>
            <w:tcW w:w="1701" w:type="dxa"/>
            <w:vAlign w:val="center"/>
          </w:tcPr>
          <w:p w14:paraId="00BF908B" w14:textId="77777777" w:rsidR="00454A29" w:rsidRDefault="00454A29">
            <w:pPr>
              <w:pStyle w:val="ConsPlusNormal"/>
              <w:jc w:val="center"/>
            </w:pPr>
            <w:r>
              <w:t>526 887,01</w:t>
            </w:r>
          </w:p>
        </w:tc>
        <w:tc>
          <w:tcPr>
            <w:tcW w:w="1701" w:type="dxa"/>
            <w:vAlign w:val="center"/>
          </w:tcPr>
          <w:p w14:paraId="5018D8CC" w14:textId="77777777" w:rsidR="00454A29" w:rsidRDefault="00454A29">
            <w:pPr>
              <w:pStyle w:val="ConsPlusNormal"/>
            </w:pPr>
          </w:p>
        </w:tc>
        <w:tc>
          <w:tcPr>
            <w:tcW w:w="1814" w:type="dxa"/>
            <w:vAlign w:val="center"/>
          </w:tcPr>
          <w:p w14:paraId="6441DBB5" w14:textId="77777777" w:rsidR="00454A29" w:rsidRDefault="00454A29">
            <w:pPr>
              <w:pStyle w:val="ConsPlusNormal"/>
            </w:pPr>
          </w:p>
        </w:tc>
      </w:tr>
      <w:tr w:rsidR="00454A29" w14:paraId="00D97273" w14:textId="77777777">
        <w:tc>
          <w:tcPr>
            <w:tcW w:w="567" w:type="dxa"/>
            <w:vMerge w:val="restart"/>
            <w:vAlign w:val="center"/>
          </w:tcPr>
          <w:p w14:paraId="239E39E9" w14:textId="77777777" w:rsidR="00454A29" w:rsidRDefault="00454A29">
            <w:pPr>
              <w:pStyle w:val="ConsPlusNormal"/>
              <w:jc w:val="center"/>
            </w:pPr>
            <w:r>
              <w:t>36</w:t>
            </w:r>
          </w:p>
        </w:tc>
        <w:tc>
          <w:tcPr>
            <w:tcW w:w="3345" w:type="dxa"/>
            <w:vMerge w:val="restart"/>
            <w:vAlign w:val="center"/>
          </w:tcPr>
          <w:p w14:paraId="08205A51" w14:textId="77777777" w:rsidR="00454A29" w:rsidRDefault="00454A29">
            <w:pPr>
              <w:pStyle w:val="ConsPlusNormal"/>
              <w:jc w:val="center"/>
            </w:pPr>
            <w:r>
              <w:t>Школа на 20 учащихся в с. Столбы</w:t>
            </w:r>
          </w:p>
        </w:tc>
        <w:tc>
          <w:tcPr>
            <w:tcW w:w="1701" w:type="dxa"/>
            <w:vAlign w:val="center"/>
          </w:tcPr>
          <w:p w14:paraId="5C359184" w14:textId="77777777" w:rsidR="00454A29" w:rsidRDefault="00454A29">
            <w:pPr>
              <w:pStyle w:val="ConsPlusNormal"/>
              <w:jc w:val="center"/>
            </w:pPr>
            <w:r>
              <w:t>2020 - 2026 годы - всего</w:t>
            </w:r>
          </w:p>
        </w:tc>
        <w:tc>
          <w:tcPr>
            <w:tcW w:w="1417" w:type="dxa"/>
            <w:vMerge w:val="restart"/>
            <w:vAlign w:val="center"/>
          </w:tcPr>
          <w:p w14:paraId="0E1C68B9" w14:textId="77777777" w:rsidR="00454A29" w:rsidRDefault="00454A29">
            <w:pPr>
              <w:pStyle w:val="ConsPlusNormal"/>
              <w:jc w:val="center"/>
            </w:pPr>
            <w:r>
              <w:t>90 631,96</w:t>
            </w:r>
          </w:p>
        </w:tc>
        <w:tc>
          <w:tcPr>
            <w:tcW w:w="2204" w:type="dxa"/>
            <w:vMerge w:val="restart"/>
            <w:vAlign w:val="center"/>
          </w:tcPr>
          <w:p w14:paraId="72EA26AB" w14:textId="77777777" w:rsidR="00454A29" w:rsidRDefault="00454A29">
            <w:pPr>
              <w:pStyle w:val="ConsPlusNormal"/>
            </w:pPr>
          </w:p>
        </w:tc>
        <w:tc>
          <w:tcPr>
            <w:tcW w:w="1417" w:type="dxa"/>
            <w:vMerge w:val="restart"/>
            <w:vAlign w:val="center"/>
          </w:tcPr>
          <w:p w14:paraId="1BDA676F" w14:textId="77777777" w:rsidR="00454A29" w:rsidRDefault="00454A29">
            <w:pPr>
              <w:pStyle w:val="ConsPlusNormal"/>
              <w:jc w:val="center"/>
            </w:pPr>
            <w:r>
              <w:t>20</w:t>
            </w:r>
          </w:p>
        </w:tc>
        <w:tc>
          <w:tcPr>
            <w:tcW w:w="2324" w:type="dxa"/>
            <w:vMerge w:val="restart"/>
            <w:vAlign w:val="center"/>
          </w:tcPr>
          <w:p w14:paraId="24BEC3C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56A44F9" w14:textId="77777777" w:rsidR="00454A29" w:rsidRDefault="00454A29">
            <w:pPr>
              <w:pStyle w:val="ConsPlusNormal"/>
              <w:jc w:val="center"/>
            </w:pPr>
            <w:r>
              <w:t>90 631,96</w:t>
            </w:r>
          </w:p>
        </w:tc>
        <w:tc>
          <w:tcPr>
            <w:tcW w:w="1814" w:type="dxa"/>
            <w:vAlign w:val="center"/>
          </w:tcPr>
          <w:p w14:paraId="18E4D276" w14:textId="77777777" w:rsidR="00454A29" w:rsidRDefault="00454A29">
            <w:pPr>
              <w:pStyle w:val="ConsPlusNormal"/>
              <w:jc w:val="center"/>
            </w:pPr>
            <w:r>
              <w:t>906,32</w:t>
            </w:r>
          </w:p>
        </w:tc>
        <w:tc>
          <w:tcPr>
            <w:tcW w:w="1701" w:type="dxa"/>
            <w:vAlign w:val="center"/>
          </w:tcPr>
          <w:p w14:paraId="1D6AAFB8" w14:textId="77777777" w:rsidR="00454A29" w:rsidRDefault="00454A29">
            <w:pPr>
              <w:pStyle w:val="ConsPlusNormal"/>
              <w:jc w:val="center"/>
            </w:pPr>
            <w:r>
              <w:t>89 725,64</w:t>
            </w:r>
          </w:p>
        </w:tc>
        <w:tc>
          <w:tcPr>
            <w:tcW w:w="1701" w:type="dxa"/>
            <w:vAlign w:val="center"/>
          </w:tcPr>
          <w:p w14:paraId="20E3D7D3" w14:textId="77777777" w:rsidR="00454A29" w:rsidRDefault="00454A29">
            <w:pPr>
              <w:pStyle w:val="ConsPlusNormal"/>
              <w:jc w:val="center"/>
            </w:pPr>
            <w:r>
              <w:t>-</w:t>
            </w:r>
          </w:p>
        </w:tc>
        <w:tc>
          <w:tcPr>
            <w:tcW w:w="1814" w:type="dxa"/>
            <w:vAlign w:val="center"/>
          </w:tcPr>
          <w:p w14:paraId="5FDB730C" w14:textId="77777777" w:rsidR="00454A29" w:rsidRDefault="00454A29">
            <w:pPr>
              <w:pStyle w:val="ConsPlusNormal"/>
              <w:jc w:val="center"/>
            </w:pPr>
            <w:r>
              <w:t>-</w:t>
            </w:r>
          </w:p>
        </w:tc>
      </w:tr>
      <w:tr w:rsidR="00454A29" w14:paraId="26291950" w14:textId="77777777">
        <w:tc>
          <w:tcPr>
            <w:tcW w:w="567" w:type="dxa"/>
            <w:vMerge/>
          </w:tcPr>
          <w:p w14:paraId="31084626" w14:textId="77777777" w:rsidR="00454A29" w:rsidRDefault="00454A29"/>
        </w:tc>
        <w:tc>
          <w:tcPr>
            <w:tcW w:w="3345" w:type="dxa"/>
            <w:vMerge/>
          </w:tcPr>
          <w:p w14:paraId="2577E544" w14:textId="77777777" w:rsidR="00454A29" w:rsidRDefault="00454A29"/>
        </w:tc>
        <w:tc>
          <w:tcPr>
            <w:tcW w:w="1701" w:type="dxa"/>
            <w:vAlign w:val="center"/>
          </w:tcPr>
          <w:p w14:paraId="03A32F4C" w14:textId="77777777" w:rsidR="00454A29" w:rsidRDefault="00454A29">
            <w:pPr>
              <w:pStyle w:val="ConsPlusNormal"/>
              <w:jc w:val="center"/>
            </w:pPr>
            <w:r>
              <w:t>2020</w:t>
            </w:r>
          </w:p>
        </w:tc>
        <w:tc>
          <w:tcPr>
            <w:tcW w:w="1417" w:type="dxa"/>
            <w:vMerge/>
          </w:tcPr>
          <w:p w14:paraId="265A1A51" w14:textId="77777777" w:rsidR="00454A29" w:rsidRDefault="00454A29"/>
        </w:tc>
        <w:tc>
          <w:tcPr>
            <w:tcW w:w="2204" w:type="dxa"/>
            <w:vMerge/>
          </w:tcPr>
          <w:p w14:paraId="69B04AE3" w14:textId="77777777" w:rsidR="00454A29" w:rsidRDefault="00454A29"/>
        </w:tc>
        <w:tc>
          <w:tcPr>
            <w:tcW w:w="1417" w:type="dxa"/>
            <w:vMerge/>
          </w:tcPr>
          <w:p w14:paraId="2B35C42A" w14:textId="77777777" w:rsidR="00454A29" w:rsidRDefault="00454A29"/>
        </w:tc>
        <w:tc>
          <w:tcPr>
            <w:tcW w:w="2324" w:type="dxa"/>
            <w:vMerge/>
          </w:tcPr>
          <w:p w14:paraId="48B34B62" w14:textId="77777777" w:rsidR="00454A29" w:rsidRDefault="00454A29"/>
        </w:tc>
        <w:tc>
          <w:tcPr>
            <w:tcW w:w="1701" w:type="dxa"/>
            <w:vAlign w:val="center"/>
          </w:tcPr>
          <w:p w14:paraId="215FDD6C" w14:textId="77777777" w:rsidR="00454A29" w:rsidRDefault="00454A29">
            <w:pPr>
              <w:pStyle w:val="ConsPlusNormal"/>
            </w:pPr>
          </w:p>
        </w:tc>
        <w:tc>
          <w:tcPr>
            <w:tcW w:w="1814" w:type="dxa"/>
            <w:vAlign w:val="center"/>
          </w:tcPr>
          <w:p w14:paraId="75BE4482" w14:textId="77777777" w:rsidR="00454A29" w:rsidRDefault="00454A29">
            <w:pPr>
              <w:pStyle w:val="ConsPlusNormal"/>
            </w:pPr>
          </w:p>
        </w:tc>
        <w:tc>
          <w:tcPr>
            <w:tcW w:w="1701" w:type="dxa"/>
            <w:vAlign w:val="center"/>
          </w:tcPr>
          <w:p w14:paraId="1F572BFC" w14:textId="77777777" w:rsidR="00454A29" w:rsidRDefault="00454A29">
            <w:pPr>
              <w:pStyle w:val="ConsPlusNormal"/>
            </w:pPr>
          </w:p>
        </w:tc>
        <w:tc>
          <w:tcPr>
            <w:tcW w:w="1701" w:type="dxa"/>
            <w:vAlign w:val="center"/>
          </w:tcPr>
          <w:p w14:paraId="6E3F26A7" w14:textId="77777777" w:rsidR="00454A29" w:rsidRDefault="00454A29">
            <w:pPr>
              <w:pStyle w:val="ConsPlusNormal"/>
            </w:pPr>
          </w:p>
        </w:tc>
        <w:tc>
          <w:tcPr>
            <w:tcW w:w="1814" w:type="dxa"/>
            <w:vAlign w:val="center"/>
          </w:tcPr>
          <w:p w14:paraId="07BAD925" w14:textId="77777777" w:rsidR="00454A29" w:rsidRDefault="00454A29">
            <w:pPr>
              <w:pStyle w:val="ConsPlusNormal"/>
            </w:pPr>
          </w:p>
        </w:tc>
      </w:tr>
      <w:tr w:rsidR="00454A29" w14:paraId="665545D2" w14:textId="77777777">
        <w:tc>
          <w:tcPr>
            <w:tcW w:w="567" w:type="dxa"/>
            <w:vMerge/>
          </w:tcPr>
          <w:p w14:paraId="11BCE6BC" w14:textId="77777777" w:rsidR="00454A29" w:rsidRDefault="00454A29"/>
        </w:tc>
        <w:tc>
          <w:tcPr>
            <w:tcW w:w="3345" w:type="dxa"/>
            <w:vMerge/>
          </w:tcPr>
          <w:p w14:paraId="16EC7784" w14:textId="77777777" w:rsidR="00454A29" w:rsidRDefault="00454A29"/>
        </w:tc>
        <w:tc>
          <w:tcPr>
            <w:tcW w:w="1701" w:type="dxa"/>
            <w:vAlign w:val="center"/>
          </w:tcPr>
          <w:p w14:paraId="08B1C5CB" w14:textId="77777777" w:rsidR="00454A29" w:rsidRDefault="00454A29">
            <w:pPr>
              <w:pStyle w:val="ConsPlusNormal"/>
              <w:jc w:val="center"/>
            </w:pPr>
            <w:r>
              <w:t>2021</w:t>
            </w:r>
          </w:p>
        </w:tc>
        <w:tc>
          <w:tcPr>
            <w:tcW w:w="1417" w:type="dxa"/>
            <w:vMerge/>
          </w:tcPr>
          <w:p w14:paraId="26FDB11F" w14:textId="77777777" w:rsidR="00454A29" w:rsidRDefault="00454A29"/>
        </w:tc>
        <w:tc>
          <w:tcPr>
            <w:tcW w:w="2204" w:type="dxa"/>
            <w:vMerge/>
          </w:tcPr>
          <w:p w14:paraId="6D80CAD3" w14:textId="77777777" w:rsidR="00454A29" w:rsidRDefault="00454A29"/>
        </w:tc>
        <w:tc>
          <w:tcPr>
            <w:tcW w:w="1417" w:type="dxa"/>
            <w:vMerge/>
          </w:tcPr>
          <w:p w14:paraId="00F1F552" w14:textId="77777777" w:rsidR="00454A29" w:rsidRDefault="00454A29"/>
        </w:tc>
        <w:tc>
          <w:tcPr>
            <w:tcW w:w="2324" w:type="dxa"/>
            <w:vMerge/>
          </w:tcPr>
          <w:p w14:paraId="5D5CF738" w14:textId="77777777" w:rsidR="00454A29" w:rsidRDefault="00454A29"/>
        </w:tc>
        <w:tc>
          <w:tcPr>
            <w:tcW w:w="1701" w:type="dxa"/>
            <w:vAlign w:val="center"/>
          </w:tcPr>
          <w:p w14:paraId="52851488" w14:textId="77777777" w:rsidR="00454A29" w:rsidRDefault="00454A29">
            <w:pPr>
              <w:pStyle w:val="ConsPlusNormal"/>
            </w:pPr>
          </w:p>
        </w:tc>
        <w:tc>
          <w:tcPr>
            <w:tcW w:w="1814" w:type="dxa"/>
            <w:vAlign w:val="center"/>
          </w:tcPr>
          <w:p w14:paraId="56718E01" w14:textId="77777777" w:rsidR="00454A29" w:rsidRDefault="00454A29">
            <w:pPr>
              <w:pStyle w:val="ConsPlusNormal"/>
            </w:pPr>
          </w:p>
        </w:tc>
        <w:tc>
          <w:tcPr>
            <w:tcW w:w="1701" w:type="dxa"/>
            <w:vAlign w:val="center"/>
          </w:tcPr>
          <w:p w14:paraId="5D61AC14" w14:textId="77777777" w:rsidR="00454A29" w:rsidRDefault="00454A29">
            <w:pPr>
              <w:pStyle w:val="ConsPlusNormal"/>
            </w:pPr>
          </w:p>
        </w:tc>
        <w:tc>
          <w:tcPr>
            <w:tcW w:w="1701" w:type="dxa"/>
            <w:vAlign w:val="center"/>
          </w:tcPr>
          <w:p w14:paraId="071374CE" w14:textId="77777777" w:rsidR="00454A29" w:rsidRDefault="00454A29">
            <w:pPr>
              <w:pStyle w:val="ConsPlusNormal"/>
            </w:pPr>
          </w:p>
        </w:tc>
        <w:tc>
          <w:tcPr>
            <w:tcW w:w="1814" w:type="dxa"/>
            <w:vAlign w:val="center"/>
          </w:tcPr>
          <w:p w14:paraId="1074A7C7" w14:textId="77777777" w:rsidR="00454A29" w:rsidRDefault="00454A29">
            <w:pPr>
              <w:pStyle w:val="ConsPlusNormal"/>
            </w:pPr>
          </w:p>
        </w:tc>
      </w:tr>
      <w:tr w:rsidR="00454A29" w14:paraId="27D75084" w14:textId="77777777">
        <w:tc>
          <w:tcPr>
            <w:tcW w:w="567" w:type="dxa"/>
            <w:vMerge/>
          </w:tcPr>
          <w:p w14:paraId="706482E5" w14:textId="77777777" w:rsidR="00454A29" w:rsidRDefault="00454A29"/>
        </w:tc>
        <w:tc>
          <w:tcPr>
            <w:tcW w:w="3345" w:type="dxa"/>
            <w:vMerge/>
          </w:tcPr>
          <w:p w14:paraId="5AFE83D3" w14:textId="77777777" w:rsidR="00454A29" w:rsidRDefault="00454A29"/>
        </w:tc>
        <w:tc>
          <w:tcPr>
            <w:tcW w:w="1701" w:type="dxa"/>
            <w:vAlign w:val="center"/>
          </w:tcPr>
          <w:p w14:paraId="71142093" w14:textId="77777777" w:rsidR="00454A29" w:rsidRDefault="00454A29">
            <w:pPr>
              <w:pStyle w:val="ConsPlusNormal"/>
              <w:jc w:val="center"/>
            </w:pPr>
            <w:r>
              <w:t>2022</w:t>
            </w:r>
          </w:p>
        </w:tc>
        <w:tc>
          <w:tcPr>
            <w:tcW w:w="1417" w:type="dxa"/>
            <w:vMerge/>
          </w:tcPr>
          <w:p w14:paraId="2C3288F6" w14:textId="77777777" w:rsidR="00454A29" w:rsidRDefault="00454A29"/>
        </w:tc>
        <w:tc>
          <w:tcPr>
            <w:tcW w:w="2204" w:type="dxa"/>
            <w:vMerge/>
          </w:tcPr>
          <w:p w14:paraId="29BD0C07" w14:textId="77777777" w:rsidR="00454A29" w:rsidRDefault="00454A29"/>
        </w:tc>
        <w:tc>
          <w:tcPr>
            <w:tcW w:w="1417" w:type="dxa"/>
            <w:vMerge/>
          </w:tcPr>
          <w:p w14:paraId="54832708" w14:textId="77777777" w:rsidR="00454A29" w:rsidRDefault="00454A29"/>
        </w:tc>
        <w:tc>
          <w:tcPr>
            <w:tcW w:w="2324" w:type="dxa"/>
            <w:vMerge/>
          </w:tcPr>
          <w:p w14:paraId="467D4A7A" w14:textId="77777777" w:rsidR="00454A29" w:rsidRDefault="00454A29"/>
        </w:tc>
        <w:tc>
          <w:tcPr>
            <w:tcW w:w="1701" w:type="dxa"/>
            <w:vAlign w:val="center"/>
          </w:tcPr>
          <w:p w14:paraId="4F9F0BBA" w14:textId="77777777" w:rsidR="00454A29" w:rsidRDefault="00454A29">
            <w:pPr>
              <w:pStyle w:val="ConsPlusNormal"/>
            </w:pPr>
          </w:p>
        </w:tc>
        <w:tc>
          <w:tcPr>
            <w:tcW w:w="1814" w:type="dxa"/>
            <w:vAlign w:val="center"/>
          </w:tcPr>
          <w:p w14:paraId="2391BD82" w14:textId="77777777" w:rsidR="00454A29" w:rsidRDefault="00454A29">
            <w:pPr>
              <w:pStyle w:val="ConsPlusNormal"/>
            </w:pPr>
          </w:p>
        </w:tc>
        <w:tc>
          <w:tcPr>
            <w:tcW w:w="1701" w:type="dxa"/>
            <w:vAlign w:val="center"/>
          </w:tcPr>
          <w:p w14:paraId="291FDD06" w14:textId="77777777" w:rsidR="00454A29" w:rsidRDefault="00454A29">
            <w:pPr>
              <w:pStyle w:val="ConsPlusNormal"/>
            </w:pPr>
          </w:p>
        </w:tc>
        <w:tc>
          <w:tcPr>
            <w:tcW w:w="1701" w:type="dxa"/>
            <w:vAlign w:val="center"/>
          </w:tcPr>
          <w:p w14:paraId="466EFCE1" w14:textId="77777777" w:rsidR="00454A29" w:rsidRDefault="00454A29">
            <w:pPr>
              <w:pStyle w:val="ConsPlusNormal"/>
            </w:pPr>
          </w:p>
        </w:tc>
        <w:tc>
          <w:tcPr>
            <w:tcW w:w="1814" w:type="dxa"/>
            <w:vAlign w:val="center"/>
          </w:tcPr>
          <w:p w14:paraId="2AE82B71" w14:textId="77777777" w:rsidR="00454A29" w:rsidRDefault="00454A29">
            <w:pPr>
              <w:pStyle w:val="ConsPlusNormal"/>
            </w:pPr>
          </w:p>
        </w:tc>
      </w:tr>
      <w:tr w:rsidR="00454A29" w14:paraId="21C582F5" w14:textId="77777777">
        <w:tc>
          <w:tcPr>
            <w:tcW w:w="567" w:type="dxa"/>
            <w:vMerge/>
          </w:tcPr>
          <w:p w14:paraId="0A388FDA" w14:textId="77777777" w:rsidR="00454A29" w:rsidRDefault="00454A29"/>
        </w:tc>
        <w:tc>
          <w:tcPr>
            <w:tcW w:w="3345" w:type="dxa"/>
            <w:vMerge/>
          </w:tcPr>
          <w:p w14:paraId="36F36501" w14:textId="77777777" w:rsidR="00454A29" w:rsidRDefault="00454A29"/>
        </w:tc>
        <w:tc>
          <w:tcPr>
            <w:tcW w:w="1701" w:type="dxa"/>
            <w:vAlign w:val="center"/>
          </w:tcPr>
          <w:p w14:paraId="3276A3CB" w14:textId="77777777" w:rsidR="00454A29" w:rsidRDefault="00454A29">
            <w:pPr>
              <w:pStyle w:val="ConsPlusNormal"/>
              <w:jc w:val="center"/>
            </w:pPr>
            <w:r>
              <w:t>2023</w:t>
            </w:r>
          </w:p>
        </w:tc>
        <w:tc>
          <w:tcPr>
            <w:tcW w:w="1417" w:type="dxa"/>
            <w:vMerge/>
          </w:tcPr>
          <w:p w14:paraId="0C7660B7" w14:textId="77777777" w:rsidR="00454A29" w:rsidRDefault="00454A29"/>
        </w:tc>
        <w:tc>
          <w:tcPr>
            <w:tcW w:w="2204" w:type="dxa"/>
            <w:vMerge/>
          </w:tcPr>
          <w:p w14:paraId="34690846" w14:textId="77777777" w:rsidR="00454A29" w:rsidRDefault="00454A29"/>
        </w:tc>
        <w:tc>
          <w:tcPr>
            <w:tcW w:w="1417" w:type="dxa"/>
            <w:vMerge/>
          </w:tcPr>
          <w:p w14:paraId="3C6F3D52" w14:textId="77777777" w:rsidR="00454A29" w:rsidRDefault="00454A29"/>
        </w:tc>
        <w:tc>
          <w:tcPr>
            <w:tcW w:w="2324" w:type="dxa"/>
            <w:vMerge/>
          </w:tcPr>
          <w:p w14:paraId="12904F1B" w14:textId="77777777" w:rsidR="00454A29" w:rsidRDefault="00454A29"/>
        </w:tc>
        <w:tc>
          <w:tcPr>
            <w:tcW w:w="1701" w:type="dxa"/>
            <w:vAlign w:val="center"/>
          </w:tcPr>
          <w:p w14:paraId="453769E4" w14:textId="77777777" w:rsidR="00454A29" w:rsidRDefault="00454A29">
            <w:pPr>
              <w:pStyle w:val="ConsPlusNormal"/>
            </w:pPr>
          </w:p>
        </w:tc>
        <w:tc>
          <w:tcPr>
            <w:tcW w:w="1814" w:type="dxa"/>
            <w:vAlign w:val="center"/>
          </w:tcPr>
          <w:p w14:paraId="79E63AAC" w14:textId="77777777" w:rsidR="00454A29" w:rsidRDefault="00454A29">
            <w:pPr>
              <w:pStyle w:val="ConsPlusNormal"/>
            </w:pPr>
          </w:p>
        </w:tc>
        <w:tc>
          <w:tcPr>
            <w:tcW w:w="1701" w:type="dxa"/>
            <w:vAlign w:val="center"/>
          </w:tcPr>
          <w:p w14:paraId="1065D970" w14:textId="77777777" w:rsidR="00454A29" w:rsidRDefault="00454A29">
            <w:pPr>
              <w:pStyle w:val="ConsPlusNormal"/>
            </w:pPr>
          </w:p>
        </w:tc>
        <w:tc>
          <w:tcPr>
            <w:tcW w:w="1701" w:type="dxa"/>
            <w:vAlign w:val="center"/>
          </w:tcPr>
          <w:p w14:paraId="2E536864" w14:textId="77777777" w:rsidR="00454A29" w:rsidRDefault="00454A29">
            <w:pPr>
              <w:pStyle w:val="ConsPlusNormal"/>
            </w:pPr>
          </w:p>
        </w:tc>
        <w:tc>
          <w:tcPr>
            <w:tcW w:w="1814" w:type="dxa"/>
            <w:vAlign w:val="center"/>
          </w:tcPr>
          <w:p w14:paraId="50D8A1D7" w14:textId="77777777" w:rsidR="00454A29" w:rsidRDefault="00454A29">
            <w:pPr>
              <w:pStyle w:val="ConsPlusNormal"/>
            </w:pPr>
          </w:p>
        </w:tc>
      </w:tr>
      <w:tr w:rsidR="00454A29" w14:paraId="25009E1E" w14:textId="77777777">
        <w:tc>
          <w:tcPr>
            <w:tcW w:w="567" w:type="dxa"/>
            <w:vMerge/>
          </w:tcPr>
          <w:p w14:paraId="313DC047" w14:textId="77777777" w:rsidR="00454A29" w:rsidRDefault="00454A29"/>
        </w:tc>
        <w:tc>
          <w:tcPr>
            <w:tcW w:w="3345" w:type="dxa"/>
            <w:vMerge/>
          </w:tcPr>
          <w:p w14:paraId="29064461" w14:textId="77777777" w:rsidR="00454A29" w:rsidRDefault="00454A29"/>
        </w:tc>
        <w:tc>
          <w:tcPr>
            <w:tcW w:w="1701" w:type="dxa"/>
            <w:vAlign w:val="center"/>
          </w:tcPr>
          <w:p w14:paraId="7079F5E2" w14:textId="77777777" w:rsidR="00454A29" w:rsidRDefault="00454A29">
            <w:pPr>
              <w:pStyle w:val="ConsPlusNormal"/>
              <w:jc w:val="center"/>
            </w:pPr>
            <w:r>
              <w:t>2024</w:t>
            </w:r>
          </w:p>
        </w:tc>
        <w:tc>
          <w:tcPr>
            <w:tcW w:w="1417" w:type="dxa"/>
            <w:vMerge/>
          </w:tcPr>
          <w:p w14:paraId="11DAC53B" w14:textId="77777777" w:rsidR="00454A29" w:rsidRDefault="00454A29"/>
        </w:tc>
        <w:tc>
          <w:tcPr>
            <w:tcW w:w="2204" w:type="dxa"/>
            <w:vMerge/>
          </w:tcPr>
          <w:p w14:paraId="10CD3217" w14:textId="77777777" w:rsidR="00454A29" w:rsidRDefault="00454A29"/>
        </w:tc>
        <w:tc>
          <w:tcPr>
            <w:tcW w:w="1417" w:type="dxa"/>
            <w:vMerge/>
          </w:tcPr>
          <w:p w14:paraId="2B07650A" w14:textId="77777777" w:rsidR="00454A29" w:rsidRDefault="00454A29"/>
        </w:tc>
        <w:tc>
          <w:tcPr>
            <w:tcW w:w="2324" w:type="dxa"/>
            <w:vMerge/>
          </w:tcPr>
          <w:p w14:paraId="55BBEB73" w14:textId="77777777" w:rsidR="00454A29" w:rsidRDefault="00454A29"/>
        </w:tc>
        <w:tc>
          <w:tcPr>
            <w:tcW w:w="1701" w:type="dxa"/>
            <w:vAlign w:val="center"/>
          </w:tcPr>
          <w:p w14:paraId="25448B2C" w14:textId="77777777" w:rsidR="00454A29" w:rsidRDefault="00454A29">
            <w:pPr>
              <w:pStyle w:val="ConsPlusNormal"/>
            </w:pPr>
          </w:p>
        </w:tc>
        <w:tc>
          <w:tcPr>
            <w:tcW w:w="1814" w:type="dxa"/>
            <w:vAlign w:val="center"/>
          </w:tcPr>
          <w:p w14:paraId="519BDC24" w14:textId="77777777" w:rsidR="00454A29" w:rsidRDefault="00454A29">
            <w:pPr>
              <w:pStyle w:val="ConsPlusNormal"/>
            </w:pPr>
          </w:p>
        </w:tc>
        <w:tc>
          <w:tcPr>
            <w:tcW w:w="1701" w:type="dxa"/>
            <w:vAlign w:val="center"/>
          </w:tcPr>
          <w:p w14:paraId="63594404" w14:textId="77777777" w:rsidR="00454A29" w:rsidRDefault="00454A29">
            <w:pPr>
              <w:pStyle w:val="ConsPlusNormal"/>
            </w:pPr>
          </w:p>
        </w:tc>
        <w:tc>
          <w:tcPr>
            <w:tcW w:w="1701" w:type="dxa"/>
            <w:vAlign w:val="center"/>
          </w:tcPr>
          <w:p w14:paraId="72933FB7" w14:textId="77777777" w:rsidR="00454A29" w:rsidRDefault="00454A29">
            <w:pPr>
              <w:pStyle w:val="ConsPlusNormal"/>
            </w:pPr>
          </w:p>
        </w:tc>
        <w:tc>
          <w:tcPr>
            <w:tcW w:w="1814" w:type="dxa"/>
            <w:vAlign w:val="center"/>
          </w:tcPr>
          <w:p w14:paraId="16004FC3" w14:textId="77777777" w:rsidR="00454A29" w:rsidRDefault="00454A29">
            <w:pPr>
              <w:pStyle w:val="ConsPlusNormal"/>
            </w:pPr>
          </w:p>
        </w:tc>
      </w:tr>
      <w:tr w:rsidR="00454A29" w14:paraId="7AA3D77B" w14:textId="77777777">
        <w:tc>
          <w:tcPr>
            <w:tcW w:w="567" w:type="dxa"/>
            <w:vMerge/>
          </w:tcPr>
          <w:p w14:paraId="23BEBA2B" w14:textId="77777777" w:rsidR="00454A29" w:rsidRDefault="00454A29"/>
        </w:tc>
        <w:tc>
          <w:tcPr>
            <w:tcW w:w="3345" w:type="dxa"/>
            <w:vMerge/>
          </w:tcPr>
          <w:p w14:paraId="66F8D238" w14:textId="77777777" w:rsidR="00454A29" w:rsidRDefault="00454A29"/>
        </w:tc>
        <w:tc>
          <w:tcPr>
            <w:tcW w:w="1701" w:type="dxa"/>
            <w:vAlign w:val="center"/>
          </w:tcPr>
          <w:p w14:paraId="72A59CEF" w14:textId="77777777" w:rsidR="00454A29" w:rsidRDefault="00454A29">
            <w:pPr>
              <w:pStyle w:val="ConsPlusNormal"/>
              <w:jc w:val="center"/>
            </w:pPr>
            <w:r>
              <w:t>2025</w:t>
            </w:r>
          </w:p>
        </w:tc>
        <w:tc>
          <w:tcPr>
            <w:tcW w:w="1417" w:type="dxa"/>
            <w:vMerge/>
          </w:tcPr>
          <w:p w14:paraId="568280EC" w14:textId="77777777" w:rsidR="00454A29" w:rsidRDefault="00454A29"/>
        </w:tc>
        <w:tc>
          <w:tcPr>
            <w:tcW w:w="2204" w:type="dxa"/>
            <w:vMerge/>
          </w:tcPr>
          <w:p w14:paraId="6798C090" w14:textId="77777777" w:rsidR="00454A29" w:rsidRDefault="00454A29"/>
        </w:tc>
        <w:tc>
          <w:tcPr>
            <w:tcW w:w="1417" w:type="dxa"/>
            <w:vMerge/>
          </w:tcPr>
          <w:p w14:paraId="6A20448E" w14:textId="77777777" w:rsidR="00454A29" w:rsidRDefault="00454A29"/>
        </w:tc>
        <w:tc>
          <w:tcPr>
            <w:tcW w:w="2324" w:type="dxa"/>
            <w:vMerge/>
          </w:tcPr>
          <w:p w14:paraId="72F2D92B" w14:textId="77777777" w:rsidR="00454A29" w:rsidRDefault="00454A29"/>
        </w:tc>
        <w:tc>
          <w:tcPr>
            <w:tcW w:w="1701" w:type="dxa"/>
            <w:vAlign w:val="center"/>
          </w:tcPr>
          <w:p w14:paraId="698241CD" w14:textId="77777777" w:rsidR="00454A29" w:rsidRDefault="00454A29">
            <w:pPr>
              <w:pStyle w:val="ConsPlusNormal"/>
            </w:pPr>
          </w:p>
        </w:tc>
        <w:tc>
          <w:tcPr>
            <w:tcW w:w="1814" w:type="dxa"/>
            <w:vAlign w:val="center"/>
          </w:tcPr>
          <w:p w14:paraId="452346FD" w14:textId="77777777" w:rsidR="00454A29" w:rsidRDefault="00454A29">
            <w:pPr>
              <w:pStyle w:val="ConsPlusNormal"/>
            </w:pPr>
          </w:p>
        </w:tc>
        <w:tc>
          <w:tcPr>
            <w:tcW w:w="1701" w:type="dxa"/>
            <w:vAlign w:val="center"/>
          </w:tcPr>
          <w:p w14:paraId="756738DD" w14:textId="77777777" w:rsidR="00454A29" w:rsidRDefault="00454A29">
            <w:pPr>
              <w:pStyle w:val="ConsPlusNormal"/>
            </w:pPr>
          </w:p>
        </w:tc>
        <w:tc>
          <w:tcPr>
            <w:tcW w:w="1701" w:type="dxa"/>
            <w:vAlign w:val="center"/>
          </w:tcPr>
          <w:p w14:paraId="13FD7824" w14:textId="77777777" w:rsidR="00454A29" w:rsidRDefault="00454A29">
            <w:pPr>
              <w:pStyle w:val="ConsPlusNormal"/>
            </w:pPr>
          </w:p>
        </w:tc>
        <w:tc>
          <w:tcPr>
            <w:tcW w:w="1814" w:type="dxa"/>
            <w:vAlign w:val="center"/>
          </w:tcPr>
          <w:p w14:paraId="7DF6A84F" w14:textId="77777777" w:rsidR="00454A29" w:rsidRDefault="00454A29">
            <w:pPr>
              <w:pStyle w:val="ConsPlusNormal"/>
            </w:pPr>
          </w:p>
        </w:tc>
      </w:tr>
      <w:tr w:rsidR="00454A29" w14:paraId="1140890C" w14:textId="77777777">
        <w:tc>
          <w:tcPr>
            <w:tcW w:w="567" w:type="dxa"/>
            <w:vMerge/>
          </w:tcPr>
          <w:p w14:paraId="7A8E8264" w14:textId="77777777" w:rsidR="00454A29" w:rsidRDefault="00454A29"/>
        </w:tc>
        <w:tc>
          <w:tcPr>
            <w:tcW w:w="3345" w:type="dxa"/>
            <w:vMerge/>
          </w:tcPr>
          <w:p w14:paraId="482D2825" w14:textId="77777777" w:rsidR="00454A29" w:rsidRDefault="00454A29"/>
        </w:tc>
        <w:tc>
          <w:tcPr>
            <w:tcW w:w="1701" w:type="dxa"/>
            <w:vAlign w:val="center"/>
          </w:tcPr>
          <w:p w14:paraId="0769E9FD" w14:textId="77777777" w:rsidR="00454A29" w:rsidRDefault="00454A29">
            <w:pPr>
              <w:pStyle w:val="ConsPlusNormal"/>
              <w:jc w:val="center"/>
            </w:pPr>
            <w:r>
              <w:t>2026</w:t>
            </w:r>
          </w:p>
        </w:tc>
        <w:tc>
          <w:tcPr>
            <w:tcW w:w="1417" w:type="dxa"/>
            <w:vMerge/>
          </w:tcPr>
          <w:p w14:paraId="05423A86" w14:textId="77777777" w:rsidR="00454A29" w:rsidRDefault="00454A29"/>
        </w:tc>
        <w:tc>
          <w:tcPr>
            <w:tcW w:w="2204" w:type="dxa"/>
            <w:vMerge/>
          </w:tcPr>
          <w:p w14:paraId="58CBCF37" w14:textId="77777777" w:rsidR="00454A29" w:rsidRDefault="00454A29"/>
        </w:tc>
        <w:tc>
          <w:tcPr>
            <w:tcW w:w="1417" w:type="dxa"/>
            <w:vMerge/>
          </w:tcPr>
          <w:p w14:paraId="1DD95516" w14:textId="77777777" w:rsidR="00454A29" w:rsidRDefault="00454A29"/>
        </w:tc>
        <w:tc>
          <w:tcPr>
            <w:tcW w:w="2324" w:type="dxa"/>
            <w:vMerge/>
          </w:tcPr>
          <w:p w14:paraId="35A1FA3F" w14:textId="77777777" w:rsidR="00454A29" w:rsidRDefault="00454A29"/>
        </w:tc>
        <w:tc>
          <w:tcPr>
            <w:tcW w:w="1701" w:type="dxa"/>
            <w:vAlign w:val="center"/>
          </w:tcPr>
          <w:p w14:paraId="220A00C8" w14:textId="77777777" w:rsidR="00454A29" w:rsidRDefault="00454A29">
            <w:pPr>
              <w:pStyle w:val="ConsPlusNormal"/>
              <w:jc w:val="center"/>
            </w:pPr>
            <w:r>
              <w:t>90 631,96</w:t>
            </w:r>
          </w:p>
        </w:tc>
        <w:tc>
          <w:tcPr>
            <w:tcW w:w="1814" w:type="dxa"/>
            <w:vAlign w:val="center"/>
          </w:tcPr>
          <w:p w14:paraId="74CCAD7A" w14:textId="77777777" w:rsidR="00454A29" w:rsidRDefault="00454A29">
            <w:pPr>
              <w:pStyle w:val="ConsPlusNormal"/>
              <w:jc w:val="center"/>
            </w:pPr>
            <w:r>
              <w:t>906,32</w:t>
            </w:r>
          </w:p>
        </w:tc>
        <w:tc>
          <w:tcPr>
            <w:tcW w:w="1701" w:type="dxa"/>
            <w:vAlign w:val="center"/>
          </w:tcPr>
          <w:p w14:paraId="6B2823B1" w14:textId="77777777" w:rsidR="00454A29" w:rsidRDefault="00454A29">
            <w:pPr>
              <w:pStyle w:val="ConsPlusNormal"/>
              <w:jc w:val="center"/>
            </w:pPr>
            <w:r>
              <w:t>89 725,64</w:t>
            </w:r>
          </w:p>
        </w:tc>
        <w:tc>
          <w:tcPr>
            <w:tcW w:w="1701" w:type="dxa"/>
            <w:vAlign w:val="center"/>
          </w:tcPr>
          <w:p w14:paraId="7DEE3F99" w14:textId="77777777" w:rsidR="00454A29" w:rsidRDefault="00454A29">
            <w:pPr>
              <w:pStyle w:val="ConsPlusNormal"/>
            </w:pPr>
          </w:p>
        </w:tc>
        <w:tc>
          <w:tcPr>
            <w:tcW w:w="1814" w:type="dxa"/>
            <w:vAlign w:val="center"/>
          </w:tcPr>
          <w:p w14:paraId="380ACBFD" w14:textId="77777777" w:rsidR="00454A29" w:rsidRDefault="00454A29">
            <w:pPr>
              <w:pStyle w:val="ConsPlusNormal"/>
            </w:pPr>
          </w:p>
        </w:tc>
      </w:tr>
      <w:tr w:rsidR="00454A29" w14:paraId="1A762AFD" w14:textId="77777777">
        <w:tc>
          <w:tcPr>
            <w:tcW w:w="567" w:type="dxa"/>
            <w:vMerge w:val="restart"/>
            <w:vAlign w:val="center"/>
          </w:tcPr>
          <w:p w14:paraId="73D6468E" w14:textId="77777777" w:rsidR="00454A29" w:rsidRDefault="00454A29">
            <w:pPr>
              <w:pStyle w:val="ConsPlusNormal"/>
              <w:jc w:val="center"/>
            </w:pPr>
            <w:r>
              <w:t>37</w:t>
            </w:r>
          </w:p>
        </w:tc>
        <w:tc>
          <w:tcPr>
            <w:tcW w:w="3345" w:type="dxa"/>
            <w:vMerge w:val="restart"/>
            <w:vAlign w:val="center"/>
          </w:tcPr>
          <w:p w14:paraId="7E5DB470" w14:textId="77777777" w:rsidR="00454A29" w:rsidRDefault="00454A29">
            <w:pPr>
              <w:pStyle w:val="ConsPlusNormal"/>
              <w:jc w:val="center"/>
            </w:pPr>
            <w:r>
              <w:t>Школа на 45 учащихся в с. Томтор</w:t>
            </w:r>
          </w:p>
        </w:tc>
        <w:tc>
          <w:tcPr>
            <w:tcW w:w="1701" w:type="dxa"/>
            <w:vAlign w:val="center"/>
          </w:tcPr>
          <w:p w14:paraId="6BE01A75" w14:textId="77777777" w:rsidR="00454A29" w:rsidRDefault="00454A29">
            <w:pPr>
              <w:pStyle w:val="ConsPlusNormal"/>
              <w:jc w:val="center"/>
            </w:pPr>
            <w:r>
              <w:t>2020 - 2026 годы - всего</w:t>
            </w:r>
          </w:p>
        </w:tc>
        <w:tc>
          <w:tcPr>
            <w:tcW w:w="1417" w:type="dxa"/>
            <w:vMerge w:val="restart"/>
            <w:vAlign w:val="center"/>
          </w:tcPr>
          <w:p w14:paraId="0F63D864" w14:textId="77777777" w:rsidR="00454A29" w:rsidRDefault="00454A29">
            <w:pPr>
              <w:pStyle w:val="ConsPlusNormal"/>
              <w:jc w:val="center"/>
            </w:pPr>
            <w:r>
              <w:t>165 521,04</w:t>
            </w:r>
          </w:p>
        </w:tc>
        <w:tc>
          <w:tcPr>
            <w:tcW w:w="2204" w:type="dxa"/>
            <w:vMerge w:val="restart"/>
            <w:vAlign w:val="center"/>
          </w:tcPr>
          <w:p w14:paraId="04713EBC" w14:textId="77777777" w:rsidR="00454A29" w:rsidRDefault="00454A29">
            <w:pPr>
              <w:pStyle w:val="ConsPlusNormal"/>
            </w:pPr>
          </w:p>
        </w:tc>
        <w:tc>
          <w:tcPr>
            <w:tcW w:w="1417" w:type="dxa"/>
            <w:vMerge w:val="restart"/>
            <w:vAlign w:val="center"/>
          </w:tcPr>
          <w:p w14:paraId="078073F0" w14:textId="77777777" w:rsidR="00454A29" w:rsidRDefault="00454A29">
            <w:pPr>
              <w:pStyle w:val="ConsPlusNormal"/>
              <w:jc w:val="center"/>
            </w:pPr>
            <w:r>
              <w:t>45</w:t>
            </w:r>
          </w:p>
        </w:tc>
        <w:tc>
          <w:tcPr>
            <w:tcW w:w="2324" w:type="dxa"/>
            <w:vMerge w:val="restart"/>
            <w:vAlign w:val="center"/>
          </w:tcPr>
          <w:p w14:paraId="65EC762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B7DD0AC" w14:textId="77777777" w:rsidR="00454A29" w:rsidRDefault="00454A29">
            <w:pPr>
              <w:pStyle w:val="ConsPlusNormal"/>
              <w:jc w:val="center"/>
            </w:pPr>
            <w:r>
              <w:t>165 521,04</w:t>
            </w:r>
          </w:p>
        </w:tc>
        <w:tc>
          <w:tcPr>
            <w:tcW w:w="1814" w:type="dxa"/>
            <w:vAlign w:val="center"/>
          </w:tcPr>
          <w:p w14:paraId="64BB1ECA" w14:textId="77777777" w:rsidR="00454A29" w:rsidRDefault="00454A29">
            <w:pPr>
              <w:pStyle w:val="ConsPlusNormal"/>
              <w:jc w:val="center"/>
            </w:pPr>
            <w:r>
              <w:t>2 039,22</w:t>
            </w:r>
          </w:p>
        </w:tc>
        <w:tc>
          <w:tcPr>
            <w:tcW w:w="1701" w:type="dxa"/>
            <w:vAlign w:val="center"/>
          </w:tcPr>
          <w:p w14:paraId="79991015" w14:textId="77777777" w:rsidR="00454A29" w:rsidRDefault="00454A29">
            <w:pPr>
              <w:pStyle w:val="ConsPlusNormal"/>
              <w:jc w:val="center"/>
            </w:pPr>
            <w:r>
              <w:t>201 882,70</w:t>
            </w:r>
          </w:p>
        </w:tc>
        <w:tc>
          <w:tcPr>
            <w:tcW w:w="1701" w:type="dxa"/>
            <w:vAlign w:val="center"/>
          </w:tcPr>
          <w:p w14:paraId="000AFAA1" w14:textId="77777777" w:rsidR="00454A29" w:rsidRDefault="00454A29">
            <w:pPr>
              <w:pStyle w:val="ConsPlusNormal"/>
              <w:jc w:val="center"/>
            </w:pPr>
            <w:r>
              <w:t>-</w:t>
            </w:r>
          </w:p>
        </w:tc>
        <w:tc>
          <w:tcPr>
            <w:tcW w:w="1814" w:type="dxa"/>
            <w:vAlign w:val="center"/>
          </w:tcPr>
          <w:p w14:paraId="403DB5D9" w14:textId="77777777" w:rsidR="00454A29" w:rsidRDefault="00454A29">
            <w:pPr>
              <w:pStyle w:val="ConsPlusNormal"/>
              <w:jc w:val="center"/>
            </w:pPr>
            <w:r>
              <w:t>-</w:t>
            </w:r>
          </w:p>
        </w:tc>
      </w:tr>
      <w:tr w:rsidR="00454A29" w14:paraId="6D3E4720" w14:textId="77777777">
        <w:tc>
          <w:tcPr>
            <w:tcW w:w="567" w:type="dxa"/>
            <w:vMerge/>
          </w:tcPr>
          <w:p w14:paraId="425BF544" w14:textId="77777777" w:rsidR="00454A29" w:rsidRDefault="00454A29"/>
        </w:tc>
        <w:tc>
          <w:tcPr>
            <w:tcW w:w="3345" w:type="dxa"/>
            <w:vMerge/>
          </w:tcPr>
          <w:p w14:paraId="5CDD04DF" w14:textId="77777777" w:rsidR="00454A29" w:rsidRDefault="00454A29"/>
        </w:tc>
        <w:tc>
          <w:tcPr>
            <w:tcW w:w="1701" w:type="dxa"/>
            <w:vAlign w:val="center"/>
          </w:tcPr>
          <w:p w14:paraId="2610D0AE" w14:textId="77777777" w:rsidR="00454A29" w:rsidRDefault="00454A29">
            <w:pPr>
              <w:pStyle w:val="ConsPlusNormal"/>
              <w:jc w:val="center"/>
            </w:pPr>
            <w:r>
              <w:t>2020</w:t>
            </w:r>
          </w:p>
        </w:tc>
        <w:tc>
          <w:tcPr>
            <w:tcW w:w="1417" w:type="dxa"/>
            <w:vMerge/>
          </w:tcPr>
          <w:p w14:paraId="6E226BBD" w14:textId="77777777" w:rsidR="00454A29" w:rsidRDefault="00454A29"/>
        </w:tc>
        <w:tc>
          <w:tcPr>
            <w:tcW w:w="2204" w:type="dxa"/>
            <w:vMerge/>
          </w:tcPr>
          <w:p w14:paraId="398C2B45" w14:textId="77777777" w:rsidR="00454A29" w:rsidRDefault="00454A29"/>
        </w:tc>
        <w:tc>
          <w:tcPr>
            <w:tcW w:w="1417" w:type="dxa"/>
            <w:vMerge/>
          </w:tcPr>
          <w:p w14:paraId="5164C869" w14:textId="77777777" w:rsidR="00454A29" w:rsidRDefault="00454A29"/>
        </w:tc>
        <w:tc>
          <w:tcPr>
            <w:tcW w:w="2324" w:type="dxa"/>
            <w:vMerge/>
          </w:tcPr>
          <w:p w14:paraId="226955E3" w14:textId="77777777" w:rsidR="00454A29" w:rsidRDefault="00454A29"/>
        </w:tc>
        <w:tc>
          <w:tcPr>
            <w:tcW w:w="1701" w:type="dxa"/>
            <w:vAlign w:val="center"/>
          </w:tcPr>
          <w:p w14:paraId="3E10B4F7" w14:textId="77777777" w:rsidR="00454A29" w:rsidRDefault="00454A29">
            <w:pPr>
              <w:pStyle w:val="ConsPlusNormal"/>
            </w:pPr>
          </w:p>
        </w:tc>
        <w:tc>
          <w:tcPr>
            <w:tcW w:w="1814" w:type="dxa"/>
            <w:vAlign w:val="center"/>
          </w:tcPr>
          <w:p w14:paraId="21FB36DB" w14:textId="77777777" w:rsidR="00454A29" w:rsidRDefault="00454A29">
            <w:pPr>
              <w:pStyle w:val="ConsPlusNormal"/>
            </w:pPr>
          </w:p>
        </w:tc>
        <w:tc>
          <w:tcPr>
            <w:tcW w:w="1701" w:type="dxa"/>
            <w:vAlign w:val="center"/>
          </w:tcPr>
          <w:p w14:paraId="3D744234" w14:textId="77777777" w:rsidR="00454A29" w:rsidRDefault="00454A29">
            <w:pPr>
              <w:pStyle w:val="ConsPlusNormal"/>
            </w:pPr>
          </w:p>
        </w:tc>
        <w:tc>
          <w:tcPr>
            <w:tcW w:w="1701" w:type="dxa"/>
            <w:vAlign w:val="center"/>
          </w:tcPr>
          <w:p w14:paraId="301CAC25" w14:textId="77777777" w:rsidR="00454A29" w:rsidRDefault="00454A29">
            <w:pPr>
              <w:pStyle w:val="ConsPlusNormal"/>
            </w:pPr>
          </w:p>
        </w:tc>
        <w:tc>
          <w:tcPr>
            <w:tcW w:w="1814" w:type="dxa"/>
            <w:vAlign w:val="center"/>
          </w:tcPr>
          <w:p w14:paraId="5704C674" w14:textId="77777777" w:rsidR="00454A29" w:rsidRDefault="00454A29">
            <w:pPr>
              <w:pStyle w:val="ConsPlusNormal"/>
            </w:pPr>
          </w:p>
        </w:tc>
      </w:tr>
      <w:tr w:rsidR="00454A29" w14:paraId="19506486" w14:textId="77777777">
        <w:tc>
          <w:tcPr>
            <w:tcW w:w="567" w:type="dxa"/>
            <w:vMerge/>
          </w:tcPr>
          <w:p w14:paraId="093B818D" w14:textId="77777777" w:rsidR="00454A29" w:rsidRDefault="00454A29"/>
        </w:tc>
        <w:tc>
          <w:tcPr>
            <w:tcW w:w="3345" w:type="dxa"/>
            <w:vMerge/>
          </w:tcPr>
          <w:p w14:paraId="4AE5B97E" w14:textId="77777777" w:rsidR="00454A29" w:rsidRDefault="00454A29"/>
        </w:tc>
        <w:tc>
          <w:tcPr>
            <w:tcW w:w="1701" w:type="dxa"/>
            <w:vAlign w:val="center"/>
          </w:tcPr>
          <w:p w14:paraId="6A09E43F" w14:textId="77777777" w:rsidR="00454A29" w:rsidRDefault="00454A29">
            <w:pPr>
              <w:pStyle w:val="ConsPlusNormal"/>
              <w:jc w:val="center"/>
            </w:pPr>
            <w:r>
              <w:t>2021</w:t>
            </w:r>
          </w:p>
        </w:tc>
        <w:tc>
          <w:tcPr>
            <w:tcW w:w="1417" w:type="dxa"/>
            <w:vMerge/>
          </w:tcPr>
          <w:p w14:paraId="18863E0C" w14:textId="77777777" w:rsidR="00454A29" w:rsidRDefault="00454A29"/>
        </w:tc>
        <w:tc>
          <w:tcPr>
            <w:tcW w:w="2204" w:type="dxa"/>
            <w:vMerge/>
          </w:tcPr>
          <w:p w14:paraId="7107212E" w14:textId="77777777" w:rsidR="00454A29" w:rsidRDefault="00454A29"/>
        </w:tc>
        <w:tc>
          <w:tcPr>
            <w:tcW w:w="1417" w:type="dxa"/>
            <w:vMerge/>
          </w:tcPr>
          <w:p w14:paraId="3990E536" w14:textId="77777777" w:rsidR="00454A29" w:rsidRDefault="00454A29"/>
        </w:tc>
        <w:tc>
          <w:tcPr>
            <w:tcW w:w="2324" w:type="dxa"/>
            <w:vMerge/>
          </w:tcPr>
          <w:p w14:paraId="06B61A11" w14:textId="77777777" w:rsidR="00454A29" w:rsidRDefault="00454A29"/>
        </w:tc>
        <w:tc>
          <w:tcPr>
            <w:tcW w:w="1701" w:type="dxa"/>
            <w:vAlign w:val="center"/>
          </w:tcPr>
          <w:p w14:paraId="1312C2AA" w14:textId="77777777" w:rsidR="00454A29" w:rsidRDefault="00454A29">
            <w:pPr>
              <w:pStyle w:val="ConsPlusNormal"/>
            </w:pPr>
          </w:p>
        </w:tc>
        <w:tc>
          <w:tcPr>
            <w:tcW w:w="1814" w:type="dxa"/>
            <w:vAlign w:val="center"/>
          </w:tcPr>
          <w:p w14:paraId="51C2A7FB" w14:textId="77777777" w:rsidR="00454A29" w:rsidRDefault="00454A29">
            <w:pPr>
              <w:pStyle w:val="ConsPlusNormal"/>
            </w:pPr>
          </w:p>
        </w:tc>
        <w:tc>
          <w:tcPr>
            <w:tcW w:w="1701" w:type="dxa"/>
            <w:vAlign w:val="center"/>
          </w:tcPr>
          <w:p w14:paraId="33B3392D" w14:textId="77777777" w:rsidR="00454A29" w:rsidRDefault="00454A29">
            <w:pPr>
              <w:pStyle w:val="ConsPlusNormal"/>
            </w:pPr>
          </w:p>
        </w:tc>
        <w:tc>
          <w:tcPr>
            <w:tcW w:w="1701" w:type="dxa"/>
            <w:vAlign w:val="center"/>
          </w:tcPr>
          <w:p w14:paraId="7DA549E3" w14:textId="77777777" w:rsidR="00454A29" w:rsidRDefault="00454A29">
            <w:pPr>
              <w:pStyle w:val="ConsPlusNormal"/>
            </w:pPr>
          </w:p>
        </w:tc>
        <w:tc>
          <w:tcPr>
            <w:tcW w:w="1814" w:type="dxa"/>
            <w:vAlign w:val="center"/>
          </w:tcPr>
          <w:p w14:paraId="491081CD" w14:textId="77777777" w:rsidR="00454A29" w:rsidRDefault="00454A29">
            <w:pPr>
              <w:pStyle w:val="ConsPlusNormal"/>
            </w:pPr>
          </w:p>
        </w:tc>
      </w:tr>
      <w:tr w:rsidR="00454A29" w14:paraId="47D48C0C" w14:textId="77777777">
        <w:tc>
          <w:tcPr>
            <w:tcW w:w="567" w:type="dxa"/>
            <w:vMerge/>
          </w:tcPr>
          <w:p w14:paraId="3C2D345C" w14:textId="77777777" w:rsidR="00454A29" w:rsidRDefault="00454A29"/>
        </w:tc>
        <w:tc>
          <w:tcPr>
            <w:tcW w:w="3345" w:type="dxa"/>
            <w:vMerge/>
          </w:tcPr>
          <w:p w14:paraId="2D3E726F" w14:textId="77777777" w:rsidR="00454A29" w:rsidRDefault="00454A29"/>
        </w:tc>
        <w:tc>
          <w:tcPr>
            <w:tcW w:w="1701" w:type="dxa"/>
            <w:vAlign w:val="center"/>
          </w:tcPr>
          <w:p w14:paraId="4FB8CAF7" w14:textId="77777777" w:rsidR="00454A29" w:rsidRDefault="00454A29">
            <w:pPr>
              <w:pStyle w:val="ConsPlusNormal"/>
              <w:jc w:val="center"/>
            </w:pPr>
            <w:r>
              <w:t>2022</w:t>
            </w:r>
          </w:p>
        </w:tc>
        <w:tc>
          <w:tcPr>
            <w:tcW w:w="1417" w:type="dxa"/>
            <w:vMerge/>
          </w:tcPr>
          <w:p w14:paraId="7F4F39DF" w14:textId="77777777" w:rsidR="00454A29" w:rsidRDefault="00454A29"/>
        </w:tc>
        <w:tc>
          <w:tcPr>
            <w:tcW w:w="2204" w:type="dxa"/>
            <w:vMerge/>
          </w:tcPr>
          <w:p w14:paraId="1D6C1F8B" w14:textId="77777777" w:rsidR="00454A29" w:rsidRDefault="00454A29"/>
        </w:tc>
        <w:tc>
          <w:tcPr>
            <w:tcW w:w="1417" w:type="dxa"/>
            <w:vMerge/>
          </w:tcPr>
          <w:p w14:paraId="5802D0F7" w14:textId="77777777" w:rsidR="00454A29" w:rsidRDefault="00454A29"/>
        </w:tc>
        <w:tc>
          <w:tcPr>
            <w:tcW w:w="2324" w:type="dxa"/>
            <w:vMerge/>
          </w:tcPr>
          <w:p w14:paraId="7F1779C7" w14:textId="77777777" w:rsidR="00454A29" w:rsidRDefault="00454A29"/>
        </w:tc>
        <w:tc>
          <w:tcPr>
            <w:tcW w:w="1701" w:type="dxa"/>
            <w:vAlign w:val="center"/>
          </w:tcPr>
          <w:p w14:paraId="42A7D6A2" w14:textId="77777777" w:rsidR="00454A29" w:rsidRDefault="00454A29">
            <w:pPr>
              <w:pStyle w:val="ConsPlusNormal"/>
            </w:pPr>
          </w:p>
        </w:tc>
        <w:tc>
          <w:tcPr>
            <w:tcW w:w="1814" w:type="dxa"/>
            <w:vAlign w:val="center"/>
          </w:tcPr>
          <w:p w14:paraId="3BE1CAC3" w14:textId="77777777" w:rsidR="00454A29" w:rsidRDefault="00454A29">
            <w:pPr>
              <w:pStyle w:val="ConsPlusNormal"/>
            </w:pPr>
          </w:p>
        </w:tc>
        <w:tc>
          <w:tcPr>
            <w:tcW w:w="1701" w:type="dxa"/>
            <w:vAlign w:val="center"/>
          </w:tcPr>
          <w:p w14:paraId="602C605F" w14:textId="77777777" w:rsidR="00454A29" w:rsidRDefault="00454A29">
            <w:pPr>
              <w:pStyle w:val="ConsPlusNormal"/>
            </w:pPr>
          </w:p>
        </w:tc>
        <w:tc>
          <w:tcPr>
            <w:tcW w:w="1701" w:type="dxa"/>
            <w:vAlign w:val="center"/>
          </w:tcPr>
          <w:p w14:paraId="217A0BEF" w14:textId="77777777" w:rsidR="00454A29" w:rsidRDefault="00454A29">
            <w:pPr>
              <w:pStyle w:val="ConsPlusNormal"/>
            </w:pPr>
          </w:p>
        </w:tc>
        <w:tc>
          <w:tcPr>
            <w:tcW w:w="1814" w:type="dxa"/>
            <w:vAlign w:val="center"/>
          </w:tcPr>
          <w:p w14:paraId="6228871F" w14:textId="77777777" w:rsidR="00454A29" w:rsidRDefault="00454A29">
            <w:pPr>
              <w:pStyle w:val="ConsPlusNormal"/>
            </w:pPr>
          </w:p>
        </w:tc>
      </w:tr>
      <w:tr w:rsidR="00454A29" w14:paraId="3453D458" w14:textId="77777777">
        <w:tc>
          <w:tcPr>
            <w:tcW w:w="567" w:type="dxa"/>
            <w:vMerge/>
          </w:tcPr>
          <w:p w14:paraId="400D95C1" w14:textId="77777777" w:rsidR="00454A29" w:rsidRDefault="00454A29"/>
        </w:tc>
        <w:tc>
          <w:tcPr>
            <w:tcW w:w="3345" w:type="dxa"/>
            <w:vMerge/>
          </w:tcPr>
          <w:p w14:paraId="6436EE71" w14:textId="77777777" w:rsidR="00454A29" w:rsidRDefault="00454A29"/>
        </w:tc>
        <w:tc>
          <w:tcPr>
            <w:tcW w:w="1701" w:type="dxa"/>
            <w:vAlign w:val="center"/>
          </w:tcPr>
          <w:p w14:paraId="2A666362" w14:textId="77777777" w:rsidR="00454A29" w:rsidRDefault="00454A29">
            <w:pPr>
              <w:pStyle w:val="ConsPlusNormal"/>
              <w:jc w:val="center"/>
            </w:pPr>
            <w:r>
              <w:t>2023</w:t>
            </w:r>
          </w:p>
        </w:tc>
        <w:tc>
          <w:tcPr>
            <w:tcW w:w="1417" w:type="dxa"/>
            <w:vMerge/>
          </w:tcPr>
          <w:p w14:paraId="34FF6385" w14:textId="77777777" w:rsidR="00454A29" w:rsidRDefault="00454A29"/>
        </w:tc>
        <w:tc>
          <w:tcPr>
            <w:tcW w:w="2204" w:type="dxa"/>
            <w:vMerge/>
          </w:tcPr>
          <w:p w14:paraId="4499B2A4" w14:textId="77777777" w:rsidR="00454A29" w:rsidRDefault="00454A29"/>
        </w:tc>
        <w:tc>
          <w:tcPr>
            <w:tcW w:w="1417" w:type="dxa"/>
            <w:vMerge/>
          </w:tcPr>
          <w:p w14:paraId="576728CD" w14:textId="77777777" w:rsidR="00454A29" w:rsidRDefault="00454A29"/>
        </w:tc>
        <w:tc>
          <w:tcPr>
            <w:tcW w:w="2324" w:type="dxa"/>
            <w:vMerge/>
          </w:tcPr>
          <w:p w14:paraId="2B95178A" w14:textId="77777777" w:rsidR="00454A29" w:rsidRDefault="00454A29"/>
        </w:tc>
        <w:tc>
          <w:tcPr>
            <w:tcW w:w="1701" w:type="dxa"/>
            <w:vAlign w:val="center"/>
          </w:tcPr>
          <w:p w14:paraId="11B4E586" w14:textId="77777777" w:rsidR="00454A29" w:rsidRDefault="00454A29">
            <w:pPr>
              <w:pStyle w:val="ConsPlusNormal"/>
            </w:pPr>
          </w:p>
        </w:tc>
        <w:tc>
          <w:tcPr>
            <w:tcW w:w="1814" w:type="dxa"/>
            <w:vAlign w:val="center"/>
          </w:tcPr>
          <w:p w14:paraId="63D5F7BB" w14:textId="77777777" w:rsidR="00454A29" w:rsidRDefault="00454A29">
            <w:pPr>
              <w:pStyle w:val="ConsPlusNormal"/>
            </w:pPr>
          </w:p>
        </w:tc>
        <w:tc>
          <w:tcPr>
            <w:tcW w:w="1701" w:type="dxa"/>
            <w:vAlign w:val="center"/>
          </w:tcPr>
          <w:p w14:paraId="228DA7AA" w14:textId="77777777" w:rsidR="00454A29" w:rsidRDefault="00454A29">
            <w:pPr>
              <w:pStyle w:val="ConsPlusNormal"/>
            </w:pPr>
          </w:p>
        </w:tc>
        <w:tc>
          <w:tcPr>
            <w:tcW w:w="1701" w:type="dxa"/>
            <w:vAlign w:val="center"/>
          </w:tcPr>
          <w:p w14:paraId="2F65D95C" w14:textId="77777777" w:rsidR="00454A29" w:rsidRDefault="00454A29">
            <w:pPr>
              <w:pStyle w:val="ConsPlusNormal"/>
            </w:pPr>
          </w:p>
        </w:tc>
        <w:tc>
          <w:tcPr>
            <w:tcW w:w="1814" w:type="dxa"/>
            <w:vAlign w:val="center"/>
          </w:tcPr>
          <w:p w14:paraId="71506587" w14:textId="77777777" w:rsidR="00454A29" w:rsidRDefault="00454A29">
            <w:pPr>
              <w:pStyle w:val="ConsPlusNormal"/>
            </w:pPr>
          </w:p>
        </w:tc>
      </w:tr>
      <w:tr w:rsidR="00454A29" w14:paraId="269D390E" w14:textId="77777777">
        <w:tc>
          <w:tcPr>
            <w:tcW w:w="567" w:type="dxa"/>
            <w:vMerge/>
          </w:tcPr>
          <w:p w14:paraId="0F0607D1" w14:textId="77777777" w:rsidR="00454A29" w:rsidRDefault="00454A29"/>
        </w:tc>
        <w:tc>
          <w:tcPr>
            <w:tcW w:w="3345" w:type="dxa"/>
            <w:vMerge/>
          </w:tcPr>
          <w:p w14:paraId="75669A37" w14:textId="77777777" w:rsidR="00454A29" w:rsidRDefault="00454A29"/>
        </w:tc>
        <w:tc>
          <w:tcPr>
            <w:tcW w:w="1701" w:type="dxa"/>
            <w:vAlign w:val="center"/>
          </w:tcPr>
          <w:p w14:paraId="7C372025" w14:textId="77777777" w:rsidR="00454A29" w:rsidRDefault="00454A29">
            <w:pPr>
              <w:pStyle w:val="ConsPlusNormal"/>
              <w:jc w:val="center"/>
            </w:pPr>
            <w:r>
              <w:t>2024</w:t>
            </w:r>
          </w:p>
        </w:tc>
        <w:tc>
          <w:tcPr>
            <w:tcW w:w="1417" w:type="dxa"/>
            <w:vMerge/>
          </w:tcPr>
          <w:p w14:paraId="69D9287F" w14:textId="77777777" w:rsidR="00454A29" w:rsidRDefault="00454A29"/>
        </w:tc>
        <w:tc>
          <w:tcPr>
            <w:tcW w:w="2204" w:type="dxa"/>
            <w:vMerge/>
          </w:tcPr>
          <w:p w14:paraId="4AF3701F" w14:textId="77777777" w:rsidR="00454A29" w:rsidRDefault="00454A29"/>
        </w:tc>
        <w:tc>
          <w:tcPr>
            <w:tcW w:w="1417" w:type="dxa"/>
            <w:vMerge/>
          </w:tcPr>
          <w:p w14:paraId="782122E2" w14:textId="77777777" w:rsidR="00454A29" w:rsidRDefault="00454A29"/>
        </w:tc>
        <w:tc>
          <w:tcPr>
            <w:tcW w:w="2324" w:type="dxa"/>
            <w:vMerge/>
          </w:tcPr>
          <w:p w14:paraId="2A443F33" w14:textId="77777777" w:rsidR="00454A29" w:rsidRDefault="00454A29"/>
        </w:tc>
        <w:tc>
          <w:tcPr>
            <w:tcW w:w="1701" w:type="dxa"/>
            <w:vAlign w:val="center"/>
          </w:tcPr>
          <w:p w14:paraId="17394E30" w14:textId="77777777" w:rsidR="00454A29" w:rsidRDefault="00454A29">
            <w:pPr>
              <w:pStyle w:val="ConsPlusNormal"/>
            </w:pPr>
          </w:p>
        </w:tc>
        <w:tc>
          <w:tcPr>
            <w:tcW w:w="1814" w:type="dxa"/>
            <w:vAlign w:val="center"/>
          </w:tcPr>
          <w:p w14:paraId="0C7945EE" w14:textId="77777777" w:rsidR="00454A29" w:rsidRDefault="00454A29">
            <w:pPr>
              <w:pStyle w:val="ConsPlusNormal"/>
            </w:pPr>
          </w:p>
        </w:tc>
        <w:tc>
          <w:tcPr>
            <w:tcW w:w="1701" w:type="dxa"/>
            <w:vAlign w:val="center"/>
          </w:tcPr>
          <w:p w14:paraId="237C81AC" w14:textId="77777777" w:rsidR="00454A29" w:rsidRDefault="00454A29">
            <w:pPr>
              <w:pStyle w:val="ConsPlusNormal"/>
            </w:pPr>
          </w:p>
        </w:tc>
        <w:tc>
          <w:tcPr>
            <w:tcW w:w="1701" w:type="dxa"/>
            <w:vAlign w:val="center"/>
          </w:tcPr>
          <w:p w14:paraId="7A875E86" w14:textId="77777777" w:rsidR="00454A29" w:rsidRDefault="00454A29">
            <w:pPr>
              <w:pStyle w:val="ConsPlusNormal"/>
            </w:pPr>
          </w:p>
        </w:tc>
        <w:tc>
          <w:tcPr>
            <w:tcW w:w="1814" w:type="dxa"/>
            <w:vAlign w:val="center"/>
          </w:tcPr>
          <w:p w14:paraId="36423FFA" w14:textId="77777777" w:rsidR="00454A29" w:rsidRDefault="00454A29">
            <w:pPr>
              <w:pStyle w:val="ConsPlusNormal"/>
            </w:pPr>
          </w:p>
        </w:tc>
      </w:tr>
      <w:tr w:rsidR="00454A29" w14:paraId="4382F1DE" w14:textId="77777777">
        <w:tc>
          <w:tcPr>
            <w:tcW w:w="567" w:type="dxa"/>
            <w:vMerge/>
          </w:tcPr>
          <w:p w14:paraId="78A2A2C0" w14:textId="77777777" w:rsidR="00454A29" w:rsidRDefault="00454A29"/>
        </w:tc>
        <w:tc>
          <w:tcPr>
            <w:tcW w:w="3345" w:type="dxa"/>
            <w:vMerge/>
          </w:tcPr>
          <w:p w14:paraId="124AA9B2" w14:textId="77777777" w:rsidR="00454A29" w:rsidRDefault="00454A29"/>
        </w:tc>
        <w:tc>
          <w:tcPr>
            <w:tcW w:w="1701" w:type="dxa"/>
            <w:vAlign w:val="center"/>
          </w:tcPr>
          <w:p w14:paraId="555CD493" w14:textId="77777777" w:rsidR="00454A29" w:rsidRDefault="00454A29">
            <w:pPr>
              <w:pStyle w:val="ConsPlusNormal"/>
              <w:jc w:val="center"/>
            </w:pPr>
            <w:r>
              <w:t>2025</w:t>
            </w:r>
          </w:p>
        </w:tc>
        <w:tc>
          <w:tcPr>
            <w:tcW w:w="1417" w:type="dxa"/>
            <w:vMerge/>
          </w:tcPr>
          <w:p w14:paraId="6553ED1B" w14:textId="77777777" w:rsidR="00454A29" w:rsidRDefault="00454A29"/>
        </w:tc>
        <w:tc>
          <w:tcPr>
            <w:tcW w:w="2204" w:type="dxa"/>
            <w:vMerge/>
          </w:tcPr>
          <w:p w14:paraId="5FBC1F9D" w14:textId="77777777" w:rsidR="00454A29" w:rsidRDefault="00454A29"/>
        </w:tc>
        <w:tc>
          <w:tcPr>
            <w:tcW w:w="1417" w:type="dxa"/>
            <w:vMerge/>
          </w:tcPr>
          <w:p w14:paraId="4F15BF13" w14:textId="77777777" w:rsidR="00454A29" w:rsidRDefault="00454A29"/>
        </w:tc>
        <w:tc>
          <w:tcPr>
            <w:tcW w:w="2324" w:type="dxa"/>
            <w:vMerge/>
          </w:tcPr>
          <w:p w14:paraId="10500B1B" w14:textId="77777777" w:rsidR="00454A29" w:rsidRDefault="00454A29"/>
        </w:tc>
        <w:tc>
          <w:tcPr>
            <w:tcW w:w="1701" w:type="dxa"/>
            <w:vAlign w:val="center"/>
          </w:tcPr>
          <w:p w14:paraId="69C6BE0F" w14:textId="77777777" w:rsidR="00454A29" w:rsidRDefault="00454A29">
            <w:pPr>
              <w:pStyle w:val="ConsPlusNormal"/>
            </w:pPr>
          </w:p>
        </w:tc>
        <w:tc>
          <w:tcPr>
            <w:tcW w:w="1814" w:type="dxa"/>
            <w:vAlign w:val="center"/>
          </w:tcPr>
          <w:p w14:paraId="08762895" w14:textId="77777777" w:rsidR="00454A29" w:rsidRDefault="00454A29">
            <w:pPr>
              <w:pStyle w:val="ConsPlusNormal"/>
            </w:pPr>
          </w:p>
        </w:tc>
        <w:tc>
          <w:tcPr>
            <w:tcW w:w="1701" w:type="dxa"/>
            <w:vAlign w:val="center"/>
          </w:tcPr>
          <w:p w14:paraId="37FF9B85" w14:textId="77777777" w:rsidR="00454A29" w:rsidRDefault="00454A29">
            <w:pPr>
              <w:pStyle w:val="ConsPlusNormal"/>
            </w:pPr>
          </w:p>
        </w:tc>
        <w:tc>
          <w:tcPr>
            <w:tcW w:w="1701" w:type="dxa"/>
            <w:vAlign w:val="center"/>
          </w:tcPr>
          <w:p w14:paraId="63FE0A6A" w14:textId="77777777" w:rsidR="00454A29" w:rsidRDefault="00454A29">
            <w:pPr>
              <w:pStyle w:val="ConsPlusNormal"/>
            </w:pPr>
          </w:p>
        </w:tc>
        <w:tc>
          <w:tcPr>
            <w:tcW w:w="1814" w:type="dxa"/>
            <w:vAlign w:val="center"/>
          </w:tcPr>
          <w:p w14:paraId="23E28131" w14:textId="77777777" w:rsidR="00454A29" w:rsidRDefault="00454A29">
            <w:pPr>
              <w:pStyle w:val="ConsPlusNormal"/>
            </w:pPr>
          </w:p>
        </w:tc>
      </w:tr>
      <w:tr w:rsidR="00454A29" w14:paraId="6F57D9FA" w14:textId="77777777">
        <w:tc>
          <w:tcPr>
            <w:tcW w:w="567" w:type="dxa"/>
            <w:vMerge/>
          </w:tcPr>
          <w:p w14:paraId="1185ACEA" w14:textId="77777777" w:rsidR="00454A29" w:rsidRDefault="00454A29"/>
        </w:tc>
        <w:tc>
          <w:tcPr>
            <w:tcW w:w="3345" w:type="dxa"/>
            <w:vMerge/>
          </w:tcPr>
          <w:p w14:paraId="504749A0" w14:textId="77777777" w:rsidR="00454A29" w:rsidRDefault="00454A29"/>
        </w:tc>
        <w:tc>
          <w:tcPr>
            <w:tcW w:w="1701" w:type="dxa"/>
            <w:vAlign w:val="center"/>
          </w:tcPr>
          <w:p w14:paraId="59E056F1" w14:textId="77777777" w:rsidR="00454A29" w:rsidRDefault="00454A29">
            <w:pPr>
              <w:pStyle w:val="ConsPlusNormal"/>
              <w:jc w:val="center"/>
            </w:pPr>
            <w:r>
              <w:t>2026</w:t>
            </w:r>
          </w:p>
        </w:tc>
        <w:tc>
          <w:tcPr>
            <w:tcW w:w="1417" w:type="dxa"/>
            <w:vMerge/>
          </w:tcPr>
          <w:p w14:paraId="0E7430E6" w14:textId="77777777" w:rsidR="00454A29" w:rsidRDefault="00454A29"/>
        </w:tc>
        <w:tc>
          <w:tcPr>
            <w:tcW w:w="2204" w:type="dxa"/>
            <w:vMerge/>
          </w:tcPr>
          <w:p w14:paraId="1A8496C3" w14:textId="77777777" w:rsidR="00454A29" w:rsidRDefault="00454A29"/>
        </w:tc>
        <w:tc>
          <w:tcPr>
            <w:tcW w:w="1417" w:type="dxa"/>
            <w:vMerge/>
          </w:tcPr>
          <w:p w14:paraId="6B987AF3" w14:textId="77777777" w:rsidR="00454A29" w:rsidRDefault="00454A29"/>
        </w:tc>
        <w:tc>
          <w:tcPr>
            <w:tcW w:w="2324" w:type="dxa"/>
            <w:vMerge/>
          </w:tcPr>
          <w:p w14:paraId="53B19A63" w14:textId="77777777" w:rsidR="00454A29" w:rsidRDefault="00454A29"/>
        </w:tc>
        <w:tc>
          <w:tcPr>
            <w:tcW w:w="1701" w:type="dxa"/>
            <w:vAlign w:val="center"/>
          </w:tcPr>
          <w:p w14:paraId="5F7CA732" w14:textId="77777777" w:rsidR="00454A29" w:rsidRDefault="00454A29">
            <w:pPr>
              <w:pStyle w:val="ConsPlusNormal"/>
              <w:jc w:val="center"/>
            </w:pPr>
            <w:r>
              <w:t>165521,04</w:t>
            </w:r>
          </w:p>
        </w:tc>
        <w:tc>
          <w:tcPr>
            <w:tcW w:w="1814" w:type="dxa"/>
            <w:vAlign w:val="center"/>
          </w:tcPr>
          <w:p w14:paraId="4C272432" w14:textId="77777777" w:rsidR="00454A29" w:rsidRDefault="00454A29">
            <w:pPr>
              <w:pStyle w:val="ConsPlusNormal"/>
              <w:jc w:val="center"/>
            </w:pPr>
            <w:r>
              <w:t>2039,219161</w:t>
            </w:r>
          </w:p>
        </w:tc>
        <w:tc>
          <w:tcPr>
            <w:tcW w:w="1701" w:type="dxa"/>
            <w:vAlign w:val="center"/>
          </w:tcPr>
          <w:p w14:paraId="14A475BF" w14:textId="77777777" w:rsidR="00454A29" w:rsidRDefault="00454A29">
            <w:pPr>
              <w:pStyle w:val="ConsPlusNormal"/>
              <w:jc w:val="center"/>
            </w:pPr>
            <w:r>
              <w:t>201882,6969</w:t>
            </w:r>
          </w:p>
        </w:tc>
        <w:tc>
          <w:tcPr>
            <w:tcW w:w="1701" w:type="dxa"/>
            <w:vAlign w:val="center"/>
          </w:tcPr>
          <w:p w14:paraId="0445E33A" w14:textId="77777777" w:rsidR="00454A29" w:rsidRDefault="00454A29">
            <w:pPr>
              <w:pStyle w:val="ConsPlusNormal"/>
            </w:pPr>
          </w:p>
        </w:tc>
        <w:tc>
          <w:tcPr>
            <w:tcW w:w="1814" w:type="dxa"/>
            <w:vAlign w:val="center"/>
          </w:tcPr>
          <w:p w14:paraId="082ADC73" w14:textId="77777777" w:rsidR="00454A29" w:rsidRDefault="00454A29">
            <w:pPr>
              <w:pStyle w:val="ConsPlusNormal"/>
            </w:pPr>
          </w:p>
        </w:tc>
      </w:tr>
      <w:tr w:rsidR="00454A29" w14:paraId="0EB7D218" w14:textId="77777777">
        <w:tc>
          <w:tcPr>
            <w:tcW w:w="567" w:type="dxa"/>
            <w:vMerge w:val="restart"/>
            <w:vAlign w:val="center"/>
          </w:tcPr>
          <w:p w14:paraId="1852407D" w14:textId="77777777" w:rsidR="00454A29" w:rsidRDefault="00454A29">
            <w:pPr>
              <w:pStyle w:val="ConsPlusNormal"/>
              <w:jc w:val="center"/>
            </w:pPr>
            <w:r>
              <w:t>38</w:t>
            </w:r>
          </w:p>
        </w:tc>
        <w:tc>
          <w:tcPr>
            <w:tcW w:w="3345" w:type="dxa"/>
            <w:vMerge w:val="restart"/>
            <w:vAlign w:val="center"/>
          </w:tcPr>
          <w:p w14:paraId="2680A7D8" w14:textId="77777777" w:rsidR="00454A29" w:rsidRDefault="00454A29">
            <w:pPr>
              <w:pStyle w:val="ConsPlusNormal"/>
              <w:jc w:val="center"/>
            </w:pPr>
            <w:r>
              <w:t>Школа-сад на 80/45 мест с. Бала</w:t>
            </w:r>
          </w:p>
        </w:tc>
        <w:tc>
          <w:tcPr>
            <w:tcW w:w="1701" w:type="dxa"/>
            <w:vAlign w:val="center"/>
          </w:tcPr>
          <w:p w14:paraId="30B3D84B" w14:textId="77777777" w:rsidR="00454A29" w:rsidRDefault="00454A29">
            <w:pPr>
              <w:pStyle w:val="ConsPlusNormal"/>
              <w:jc w:val="center"/>
            </w:pPr>
            <w:r>
              <w:t>2020 - 2026 годы - всего</w:t>
            </w:r>
          </w:p>
        </w:tc>
        <w:tc>
          <w:tcPr>
            <w:tcW w:w="1417" w:type="dxa"/>
            <w:vMerge w:val="restart"/>
            <w:vAlign w:val="center"/>
          </w:tcPr>
          <w:p w14:paraId="7E7D9261" w14:textId="77777777" w:rsidR="00454A29" w:rsidRDefault="00454A29">
            <w:pPr>
              <w:pStyle w:val="ConsPlusNormal"/>
              <w:jc w:val="center"/>
            </w:pPr>
            <w:r>
              <w:t>431 987,91</w:t>
            </w:r>
          </w:p>
        </w:tc>
        <w:tc>
          <w:tcPr>
            <w:tcW w:w="2204" w:type="dxa"/>
            <w:vMerge w:val="restart"/>
            <w:vAlign w:val="center"/>
          </w:tcPr>
          <w:p w14:paraId="32658AFA" w14:textId="77777777" w:rsidR="00454A29" w:rsidRDefault="00454A29">
            <w:pPr>
              <w:pStyle w:val="ConsPlusNormal"/>
            </w:pPr>
          </w:p>
        </w:tc>
        <w:tc>
          <w:tcPr>
            <w:tcW w:w="1417" w:type="dxa"/>
            <w:vMerge w:val="restart"/>
            <w:vAlign w:val="center"/>
          </w:tcPr>
          <w:p w14:paraId="7C91567C" w14:textId="77777777" w:rsidR="00454A29" w:rsidRDefault="00454A29">
            <w:pPr>
              <w:pStyle w:val="ConsPlusNormal"/>
              <w:jc w:val="center"/>
            </w:pPr>
            <w:r>
              <w:t>80</w:t>
            </w:r>
          </w:p>
        </w:tc>
        <w:tc>
          <w:tcPr>
            <w:tcW w:w="2324" w:type="dxa"/>
            <w:vMerge w:val="restart"/>
            <w:vAlign w:val="center"/>
          </w:tcPr>
          <w:p w14:paraId="6EAFBFB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759D1D3" w14:textId="77777777" w:rsidR="00454A29" w:rsidRDefault="00454A29">
            <w:pPr>
              <w:pStyle w:val="ConsPlusNormal"/>
              <w:jc w:val="center"/>
            </w:pPr>
            <w:r>
              <w:t>431 987,91</w:t>
            </w:r>
          </w:p>
        </w:tc>
        <w:tc>
          <w:tcPr>
            <w:tcW w:w="1814" w:type="dxa"/>
            <w:vAlign w:val="center"/>
          </w:tcPr>
          <w:p w14:paraId="7BD37479" w14:textId="77777777" w:rsidR="00454A29" w:rsidRDefault="00454A29">
            <w:pPr>
              <w:pStyle w:val="ConsPlusNormal"/>
              <w:jc w:val="center"/>
            </w:pPr>
            <w:r>
              <w:t>5 322,09</w:t>
            </w:r>
          </w:p>
        </w:tc>
        <w:tc>
          <w:tcPr>
            <w:tcW w:w="1701" w:type="dxa"/>
            <w:vAlign w:val="center"/>
          </w:tcPr>
          <w:p w14:paraId="7A284A94" w14:textId="77777777" w:rsidR="00454A29" w:rsidRDefault="00454A29">
            <w:pPr>
              <w:pStyle w:val="ConsPlusNormal"/>
              <w:jc w:val="center"/>
            </w:pPr>
            <w:r>
              <w:t>526 887,01</w:t>
            </w:r>
          </w:p>
        </w:tc>
        <w:tc>
          <w:tcPr>
            <w:tcW w:w="1701" w:type="dxa"/>
            <w:vAlign w:val="center"/>
          </w:tcPr>
          <w:p w14:paraId="76C1FD15" w14:textId="77777777" w:rsidR="00454A29" w:rsidRDefault="00454A29">
            <w:pPr>
              <w:pStyle w:val="ConsPlusNormal"/>
              <w:jc w:val="center"/>
            </w:pPr>
            <w:r>
              <w:t>-</w:t>
            </w:r>
          </w:p>
        </w:tc>
        <w:tc>
          <w:tcPr>
            <w:tcW w:w="1814" w:type="dxa"/>
            <w:vAlign w:val="center"/>
          </w:tcPr>
          <w:p w14:paraId="0B170F6F" w14:textId="77777777" w:rsidR="00454A29" w:rsidRDefault="00454A29">
            <w:pPr>
              <w:pStyle w:val="ConsPlusNormal"/>
              <w:jc w:val="center"/>
            </w:pPr>
            <w:r>
              <w:t>-</w:t>
            </w:r>
          </w:p>
        </w:tc>
      </w:tr>
      <w:tr w:rsidR="00454A29" w14:paraId="3C279AD9" w14:textId="77777777">
        <w:tc>
          <w:tcPr>
            <w:tcW w:w="567" w:type="dxa"/>
            <w:vMerge/>
          </w:tcPr>
          <w:p w14:paraId="3D03A21C" w14:textId="77777777" w:rsidR="00454A29" w:rsidRDefault="00454A29"/>
        </w:tc>
        <w:tc>
          <w:tcPr>
            <w:tcW w:w="3345" w:type="dxa"/>
            <w:vMerge/>
          </w:tcPr>
          <w:p w14:paraId="4F6ED946" w14:textId="77777777" w:rsidR="00454A29" w:rsidRDefault="00454A29"/>
        </w:tc>
        <w:tc>
          <w:tcPr>
            <w:tcW w:w="1701" w:type="dxa"/>
            <w:vAlign w:val="center"/>
          </w:tcPr>
          <w:p w14:paraId="6A9228BF" w14:textId="77777777" w:rsidR="00454A29" w:rsidRDefault="00454A29">
            <w:pPr>
              <w:pStyle w:val="ConsPlusNormal"/>
              <w:jc w:val="center"/>
            </w:pPr>
            <w:r>
              <w:t>2020</w:t>
            </w:r>
          </w:p>
        </w:tc>
        <w:tc>
          <w:tcPr>
            <w:tcW w:w="1417" w:type="dxa"/>
            <w:vMerge/>
          </w:tcPr>
          <w:p w14:paraId="04320AD2" w14:textId="77777777" w:rsidR="00454A29" w:rsidRDefault="00454A29"/>
        </w:tc>
        <w:tc>
          <w:tcPr>
            <w:tcW w:w="2204" w:type="dxa"/>
            <w:vMerge/>
          </w:tcPr>
          <w:p w14:paraId="0ED5CF31" w14:textId="77777777" w:rsidR="00454A29" w:rsidRDefault="00454A29"/>
        </w:tc>
        <w:tc>
          <w:tcPr>
            <w:tcW w:w="1417" w:type="dxa"/>
            <w:vMerge/>
          </w:tcPr>
          <w:p w14:paraId="3B7A476B" w14:textId="77777777" w:rsidR="00454A29" w:rsidRDefault="00454A29"/>
        </w:tc>
        <w:tc>
          <w:tcPr>
            <w:tcW w:w="2324" w:type="dxa"/>
            <w:vMerge/>
          </w:tcPr>
          <w:p w14:paraId="5D12ABB0" w14:textId="77777777" w:rsidR="00454A29" w:rsidRDefault="00454A29"/>
        </w:tc>
        <w:tc>
          <w:tcPr>
            <w:tcW w:w="1701" w:type="dxa"/>
            <w:vAlign w:val="center"/>
          </w:tcPr>
          <w:p w14:paraId="30515448" w14:textId="77777777" w:rsidR="00454A29" w:rsidRDefault="00454A29">
            <w:pPr>
              <w:pStyle w:val="ConsPlusNormal"/>
            </w:pPr>
          </w:p>
        </w:tc>
        <w:tc>
          <w:tcPr>
            <w:tcW w:w="1814" w:type="dxa"/>
            <w:vAlign w:val="center"/>
          </w:tcPr>
          <w:p w14:paraId="3B1B23BA" w14:textId="77777777" w:rsidR="00454A29" w:rsidRDefault="00454A29">
            <w:pPr>
              <w:pStyle w:val="ConsPlusNormal"/>
            </w:pPr>
          </w:p>
        </w:tc>
        <w:tc>
          <w:tcPr>
            <w:tcW w:w="1701" w:type="dxa"/>
            <w:vAlign w:val="center"/>
          </w:tcPr>
          <w:p w14:paraId="1B365AAF" w14:textId="77777777" w:rsidR="00454A29" w:rsidRDefault="00454A29">
            <w:pPr>
              <w:pStyle w:val="ConsPlusNormal"/>
            </w:pPr>
          </w:p>
        </w:tc>
        <w:tc>
          <w:tcPr>
            <w:tcW w:w="1701" w:type="dxa"/>
            <w:vAlign w:val="center"/>
          </w:tcPr>
          <w:p w14:paraId="0F41A353" w14:textId="77777777" w:rsidR="00454A29" w:rsidRDefault="00454A29">
            <w:pPr>
              <w:pStyle w:val="ConsPlusNormal"/>
            </w:pPr>
          </w:p>
        </w:tc>
        <w:tc>
          <w:tcPr>
            <w:tcW w:w="1814" w:type="dxa"/>
            <w:vAlign w:val="center"/>
          </w:tcPr>
          <w:p w14:paraId="64236005" w14:textId="77777777" w:rsidR="00454A29" w:rsidRDefault="00454A29">
            <w:pPr>
              <w:pStyle w:val="ConsPlusNormal"/>
            </w:pPr>
          </w:p>
        </w:tc>
      </w:tr>
      <w:tr w:rsidR="00454A29" w14:paraId="79CB8CCF" w14:textId="77777777">
        <w:tc>
          <w:tcPr>
            <w:tcW w:w="567" w:type="dxa"/>
            <w:vMerge/>
          </w:tcPr>
          <w:p w14:paraId="566C5A69" w14:textId="77777777" w:rsidR="00454A29" w:rsidRDefault="00454A29"/>
        </w:tc>
        <w:tc>
          <w:tcPr>
            <w:tcW w:w="3345" w:type="dxa"/>
            <w:vMerge/>
          </w:tcPr>
          <w:p w14:paraId="15D55759" w14:textId="77777777" w:rsidR="00454A29" w:rsidRDefault="00454A29"/>
        </w:tc>
        <w:tc>
          <w:tcPr>
            <w:tcW w:w="1701" w:type="dxa"/>
            <w:vAlign w:val="center"/>
          </w:tcPr>
          <w:p w14:paraId="3484A5B5" w14:textId="77777777" w:rsidR="00454A29" w:rsidRDefault="00454A29">
            <w:pPr>
              <w:pStyle w:val="ConsPlusNormal"/>
              <w:jc w:val="center"/>
            </w:pPr>
            <w:r>
              <w:t>2021</w:t>
            </w:r>
          </w:p>
        </w:tc>
        <w:tc>
          <w:tcPr>
            <w:tcW w:w="1417" w:type="dxa"/>
            <w:vMerge/>
          </w:tcPr>
          <w:p w14:paraId="5FD5E951" w14:textId="77777777" w:rsidR="00454A29" w:rsidRDefault="00454A29"/>
        </w:tc>
        <w:tc>
          <w:tcPr>
            <w:tcW w:w="2204" w:type="dxa"/>
            <w:vMerge/>
          </w:tcPr>
          <w:p w14:paraId="2C64BD17" w14:textId="77777777" w:rsidR="00454A29" w:rsidRDefault="00454A29"/>
        </w:tc>
        <w:tc>
          <w:tcPr>
            <w:tcW w:w="1417" w:type="dxa"/>
            <w:vMerge/>
          </w:tcPr>
          <w:p w14:paraId="2FB6EE14" w14:textId="77777777" w:rsidR="00454A29" w:rsidRDefault="00454A29"/>
        </w:tc>
        <w:tc>
          <w:tcPr>
            <w:tcW w:w="2324" w:type="dxa"/>
            <w:vMerge/>
          </w:tcPr>
          <w:p w14:paraId="17D83D20" w14:textId="77777777" w:rsidR="00454A29" w:rsidRDefault="00454A29"/>
        </w:tc>
        <w:tc>
          <w:tcPr>
            <w:tcW w:w="1701" w:type="dxa"/>
            <w:vAlign w:val="center"/>
          </w:tcPr>
          <w:p w14:paraId="5DADAF84" w14:textId="77777777" w:rsidR="00454A29" w:rsidRDefault="00454A29">
            <w:pPr>
              <w:pStyle w:val="ConsPlusNormal"/>
            </w:pPr>
          </w:p>
        </w:tc>
        <w:tc>
          <w:tcPr>
            <w:tcW w:w="1814" w:type="dxa"/>
            <w:vAlign w:val="center"/>
          </w:tcPr>
          <w:p w14:paraId="6B335250" w14:textId="77777777" w:rsidR="00454A29" w:rsidRDefault="00454A29">
            <w:pPr>
              <w:pStyle w:val="ConsPlusNormal"/>
            </w:pPr>
          </w:p>
        </w:tc>
        <w:tc>
          <w:tcPr>
            <w:tcW w:w="1701" w:type="dxa"/>
            <w:vAlign w:val="center"/>
          </w:tcPr>
          <w:p w14:paraId="2AE9AE77" w14:textId="77777777" w:rsidR="00454A29" w:rsidRDefault="00454A29">
            <w:pPr>
              <w:pStyle w:val="ConsPlusNormal"/>
            </w:pPr>
          </w:p>
        </w:tc>
        <w:tc>
          <w:tcPr>
            <w:tcW w:w="1701" w:type="dxa"/>
            <w:vAlign w:val="center"/>
          </w:tcPr>
          <w:p w14:paraId="61D6D82E" w14:textId="77777777" w:rsidR="00454A29" w:rsidRDefault="00454A29">
            <w:pPr>
              <w:pStyle w:val="ConsPlusNormal"/>
            </w:pPr>
          </w:p>
        </w:tc>
        <w:tc>
          <w:tcPr>
            <w:tcW w:w="1814" w:type="dxa"/>
            <w:vAlign w:val="center"/>
          </w:tcPr>
          <w:p w14:paraId="0A304B75" w14:textId="77777777" w:rsidR="00454A29" w:rsidRDefault="00454A29">
            <w:pPr>
              <w:pStyle w:val="ConsPlusNormal"/>
            </w:pPr>
          </w:p>
        </w:tc>
      </w:tr>
      <w:tr w:rsidR="00454A29" w14:paraId="61634157" w14:textId="77777777">
        <w:tc>
          <w:tcPr>
            <w:tcW w:w="567" w:type="dxa"/>
            <w:vMerge/>
          </w:tcPr>
          <w:p w14:paraId="10E5E214" w14:textId="77777777" w:rsidR="00454A29" w:rsidRDefault="00454A29"/>
        </w:tc>
        <w:tc>
          <w:tcPr>
            <w:tcW w:w="3345" w:type="dxa"/>
            <w:vMerge/>
          </w:tcPr>
          <w:p w14:paraId="5E1EDCED" w14:textId="77777777" w:rsidR="00454A29" w:rsidRDefault="00454A29"/>
        </w:tc>
        <w:tc>
          <w:tcPr>
            <w:tcW w:w="1701" w:type="dxa"/>
            <w:vAlign w:val="center"/>
          </w:tcPr>
          <w:p w14:paraId="610E4AC2" w14:textId="77777777" w:rsidR="00454A29" w:rsidRDefault="00454A29">
            <w:pPr>
              <w:pStyle w:val="ConsPlusNormal"/>
              <w:jc w:val="center"/>
            </w:pPr>
            <w:r>
              <w:t>2022</w:t>
            </w:r>
          </w:p>
        </w:tc>
        <w:tc>
          <w:tcPr>
            <w:tcW w:w="1417" w:type="dxa"/>
            <w:vMerge/>
          </w:tcPr>
          <w:p w14:paraId="7C56EC6F" w14:textId="77777777" w:rsidR="00454A29" w:rsidRDefault="00454A29"/>
        </w:tc>
        <w:tc>
          <w:tcPr>
            <w:tcW w:w="2204" w:type="dxa"/>
            <w:vMerge/>
          </w:tcPr>
          <w:p w14:paraId="2DB9571C" w14:textId="77777777" w:rsidR="00454A29" w:rsidRDefault="00454A29"/>
        </w:tc>
        <w:tc>
          <w:tcPr>
            <w:tcW w:w="1417" w:type="dxa"/>
            <w:vMerge/>
          </w:tcPr>
          <w:p w14:paraId="3A4F9F85" w14:textId="77777777" w:rsidR="00454A29" w:rsidRDefault="00454A29"/>
        </w:tc>
        <w:tc>
          <w:tcPr>
            <w:tcW w:w="2324" w:type="dxa"/>
            <w:vMerge/>
          </w:tcPr>
          <w:p w14:paraId="1BA77CB2" w14:textId="77777777" w:rsidR="00454A29" w:rsidRDefault="00454A29"/>
        </w:tc>
        <w:tc>
          <w:tcPr>
            <w:tcW w:w="1701" w:type="dxa"/>
            <w:vAlign w:val="center"/>
          </w:tcPr>
          <w:p w14:paraId="0367882B" w14:textId="77777777" w:rsidR="00454A29" w:rsidRDefault="00454A29">
            <w:pPr>
              <w:pStyle w:val="ConsPlusNormal"/>
            </w:pPr>
          </w:p>
        </w:tc>
        <w:tc>
          <w:tcPr>
            <w:tcW w:w="1814" w:type="dxa"/>
            <w:vAlign w:val="center"/>
          </w:tcPr>
          <w:p w14:paraId="35DF8262" w14:textId="77777777" w:rsidR="00454A29" w:rsidRDefault="00454A29">
            <w:pPr>
              <w:pStyle w:val="ConsPlusNormal"/>
            </w:pPr>
          </w:p>
        </w:tc>
        <w:tc>
          <w:tcPr>
            <w:tcW w:w="1701" w:type="dxa"/>
            <w:vAlign w:val="center"/>
          </w:tcPr>
          <w:p w14:paraId="5A99BC3F" w14:textId="77777777" w:rsidR="00454A29" w:rsidRDefault="00454A29">
            <w:pPr>
              <w:pStyle w:val="ConsPlusNormal"/>
            </w:pPr>
          </w:p>
        </w:tc>
        <w:tc>
          <w:tcPr>
            <w:tcW w:w="1701" w:type="dxa"/>
            <w:vAlign w:val="center"/>
          </w:tcPr>
          <w:p w14:paraId="56D7A423" w14:textId="77777777" w:rsidR="00454A29" w:rsidRDefault="00454A29">
            <w:pPr>
              <w:pStyle w:val="ConsPlusNormal"/>
            </w:pPr>
          </w:p>
        </w:tc>
        <w:tc>
          <w:tcPr>
            <w:tcW w:w="1814" w:type="dxa"/>
            <w:vAlign w:val="center"/>
          </w:tcPr>
          <w:p w14:paraId="29C0B818" w14:textId="77777777" w:rsidR="00454A29" w:rsidRDefault="00454A29">
            <w:pPr>
              <w:pStyle w:val="ConsPlusNormal"/>
            </w:pPr>
          </w:p>
        </w:tc>
      </w:tr>
      <w:tr w:rsidR="00454A29" w14:paraId="4A4DB0F0" w14:textId="77777777">
        <w:tc>
          <w:tcPr>
            <w:tcW w:w="567" w:type="dxa"/>
            <w:vMerge/>
          </w:tcPr>
          <w:p w14:paraId="37CE9187" w14:textId="77777777" w:rsidR="00454A29" w:rsidRDefault="00454A29"/>
        </w:tc>
        <w:tc>
          <w:tcPr>
            <w:tcW w:w="3345" w:type="dxa"/>
            <w:vMerge/>
          </w:tcPr>
          <w:p w14:paraId="0AB1C99A" w14:textId="77777777" w:rsidR="00454A29" w:rsidRDefault="00454A29"/>
        </w:tc>
        <w:tc>
          <w:tcPr>
            <w:tcW w:w="1701" w:type="dxa"/>
            <w:vAlign w:val="center"/>
          </w:tcPr>
          <w:p w14:paraId="618FDF73" w14:textId="77777777" w:rsidR="00454A29" w:rsidRDefault="00454A29">
            <w:pPr>
              <w:pStyle w:val="ConsPlusNormal"/>
              <w:jc w:val="center"/>
            </w:pPr>
            <w:r>
              <w:t>2023</w:t>
            </w:r>
          </w:p>
        </w:tc>
        <w:tc>
          <w:tcPr>
            <w:tcW w:w="1417" w:type="dxa"/>
            <w:vMerge/>
          </w:tcPr>
          <w:p w14:paraId="677C3C0E" w14:textId="77777777" w:rsidR="00454A29" w:rsidRDefault="00454A29"/>
        </w:tc>
        <w:tc>
          <w:tcPr>
            <w:tcW w:w="2204" w:type="dxa"/>
            <w:vMerge/>
          </w:tcPr>
          <w:p w14:paraId="2418D9E7" w14:textId="77777777" w:rsidR="00454A29" w:rsidRDefault="00454A29"/>
        </w:tc>
        <w:tc>
          <w:tcPr>
            <w:tcW w:w="1417" w:type="dxa"/>
            <w:vMerge/>
          </w:tcPr>
          <w:p w14:paraId="686C2D36" w14:textId="77777777" w:rsidR="00454A29" w:rsidRDefault="00454A29"/>
        </w:tc>
        <w:tc>
          <w:tcPr>
            <w:tcW w:w="2324" w:type="dxa"/>
            <w:vMerge/>
          </w:tcPr>
          <w:p w14:paraId="190F5699" w14:textId="77777777" w:rsidR="00454A29" w:rsidRDefault="00454A29"/>
        </w:tc>
        <w:tc>
          <w:tcPr>
            <w:tcW w:w="1701" w:type="dxa"/>
            <w:vAlign w:val="center"/>
          </w:tcPr>
          <w:p w14:paraId="7C79E739" w14:textId="77777777" w:rsidR="00454A29" w:rsidRDefault="00454A29">
            <w:pPr>
              <w:pStyle w:val="ConsPlusNormal"/>
            </w:pPr>
          </w:p>
        </w:tc>
        <w:tc>
          <w:tcPr>
            <w:tcW w:w="1814" w:type="dxa"/>
            <w:vAlign w:val="center"/>
          </w:tcPr>
          <w:p w14:paraId="6BA86606" w14:textId="77777777" w:rsidR="00454A29" w:rsidRDefault="00454A29">
            <w:pPr>
              <w:pStyle w:val="ConsPlusNormal"/>
            </w:pPr>
          </w:p>
        </w:tc>
        <w:tc>
          <w:tcPr>
            <w:tcW w:w="1701" w:type="dxa"/>
            <w:vAlign w:val="center"/>
          </w:tcPr>
          <w:p w14:paraId="365ED8CF" w14:textId="77777777" w:rsidR="00454A29" w:rsidRDefault="00454A29">
            <w:pPr>
              <w:pStyle w:val="ConsPlusNormal"/>
            </w:pPr>
          </w:p>
        </w:tc>
        <w:tc>
          <w:tcPr>
            <w:tcW w:w="1701" w:type="dxa"/>
            <w:vAlign w:val="center"/>
          </w:tcPr>
          <w:p w14:paraId="6FB054F0" w14:textId="77777777" w:rsidR="00454A29" w:rsidRDefault="00454A29">
            <w:pPr>
              <w:pStyle w:val="ConsPlusNormal"/>
            </w:pPr>
          </w:p>
        </w:tc>
        <w:tc>
          <w:tcPr>
            <w:tcW w:w="1814" w:type="dxa"/>
            <w:vAlign w:val="center"/>
          </w:tcPr>
          <w:p w14:paraId="5AB76FED" w14:textId="77777777" w:rsidR="00454A29" w:rsidRDefault="00454A29">
            <w:pPr>
              <w:pStyle w:val="ConsPlusNormal"/>
            </w:pPr>
          </w:p>
        </w:tc>
      </w:tr>
      <w:tr w:rsidR="00454A29" w14:paraId="392E3DA2" w14:textId="77777777">
        <w:tc>
          <w:tcPr>
            <w:tcW w:w="567" w:type="dxa"/>
            <w:vMerge/>
          </w:tcPr>
          <w:p w14:paraId="2189B8DD" w14:textId="77777777" w:rsidR="00454A29" w:rsidRDefault="00454A29"/>
        </w:tc>
        <w:tc>
          <w:tcPr>
            <w:tcW w:w="3345" w:type="dxa"/>
            <w:vMerge/>
          </w:tcPr>
          <w:p w14:paraId="3B85A950" w14:textId="77777777" w:rsidR="00454A29" w:rsidRDefault="00454A29"/>
        </w:tc>
        <w:tc>
          <w:tcPr>
            <w:tcW w:w="1701" w:type="dxa"/>
            <w:vAlign w:val="center"/>
          </w:tcPr>
          <w:p w14:paraId="11BD304A" w14:textId="77777777" w:rsidR="00454A29" w:rsidRDefault="00454A29">
            <w:pPr>
              <w:pStyle w:val="ConsPlusNormal"/>
              <w:jc w:val="center"/>
            </w:pPr>
            <w:r>
              <w:t>2024</w:t>
            </w:r>
          </w:p>
        </w:tc>
        <w:tc>
          <w:tcPr>
            <w:tcW w:w="1417" w:type="dxa"/>
            <w:vMerge/>
          </w:tcPr>
          <w:p w14:paraId="21F252A3" w14:textId="77777777" w:rsidR="00454A29" w:rsidRDefault="00454A29"/>
        </w:tc>
        <w:tc>
          <w:tcPr>
            <w:tcW w:w="2204" w:type="dxa"/>
            <w:vMerge/>
          </w:tcPr>
          <w:p w14:paraId="68590331" w14:textId="77777777" w:rsidR="00454A29" w:rsidRDefault="00454A29"/>
        </w:tc>
        <w:tc>
          <w:tcPr>
            <w:tcW w:w="1417" w:type="dxa"/>
            <w:vMerge/>
          </w:tcPr>
          <w:p w14:paraId="39DC4FAF" w14:textId="77777777" w:rsidR="00454A29" w:rsidRDefault="00454A29"/>
        </w:tc>
        <w:tc>
          <w:tcPr>
            <w:tcW w:w="2324" w:type="dxa"/>
            <w:vMerge/>
          </w:tcPr>
          <w:p w14:paraId="53E9C118" w14:textId="77777777" w:rsidR="00454A29" w:rsidRDefault="00454A29"/>
        </w:tc>
        <w:tc>
          <w:tcPr>
            <w:tcW w:w="1701" w:type="dxa"/>
            <w:vAlign w:val="center"/>
          </w:tcPr>
          <w:p w14:paraId="49A18B5D" w14:textId="77777777" w:rsidR="00454A29" w:rsidRDefault="00454A29">
            <w:pPr>
              <w:pStyle w:val="ConsPlusNormal"/>
            </w:pPr>
          </w:p>
        </w:tc>
        <w:tc>
          <w:tcPr>
            <w:tcW w:w="1814" w:type="dxa"/>
            <w:vAlign w:val="center"/>
          </w:tcPr>
          <w:p w14:paraId="556C39DD" w14:textId="77777777" w:rsidR="00454A29" w:rsidRDefault="00454A29">
            <w:pPr>
              <w:pStyle w:val="ConsPlusNormal"/>
            </w:pPr>
          </w:p>
        </w:tc>
        <w:tc>
          <w:tcPr>
            <w:tcW w:w="1701" w:type="dxa"/>
            <w:vAlign w:val="center"/>
          </w:tcPr>
          <w:p w14:paraId="33F4AD46" w14:textId="77777777" w:rsidR="00454A29" w:rsidRDefault="00454A29">
            <w:pPr>
              <w:pStyle w:val="ConsPlusNormal"/>
            </w:pPr>
          </w:p>
        </w:tc>
        <w:tc>
          <w:tcPr>
            <w:tcW w:w="1701" w:type="dxa"/>
            <w:vAlign w:val="center"/>
          </w:tcPr>
          <w:p w14:paraId="4CA8360A" w14:textId="77777777" w:rsidR="00454A29" w:rsidRDefault="00454A29">
            <w:pPr>
              <w:pStyle w:val="ConsPlusNormal"/>
            </w:pPr>
          </w:p>
        </w:tc>
        <w:tc>
          <w:tcPr>
            <w:tcW w:w="1814" w:type="dxa"/>
            <w:vAlign w:val="center"/>
          </w:tcPr>
          <w:p w14:paraId="6C2DEEC7" w14:textId="77777777" w:rsidR="00454A29" w:rsidRDefault="00454A29">
            <w:pPr>
              <w:pStyle w:val="ConsPlusNormal"/>
            </w:pPr>
          </w:p>
        </w:tc>
      </w:tr>
      <w:tr w:rsidR="00454A29" w14:paraId="611031CD" w14:textId="77777777">
        <w:tc>
          <w:tcPr>
            <w:tcW w:w="567" w:type="dxa"/>
            <w:vMerge/>
          </w:tcPr>
          <w:p w14:paraId="3DFF34B6" w14:textId="77777777" w:rsidR="00454A29" w:rsidRDefault="00454A29"/>
        </w:tc>
        <w:tc>
          <w:tcPr>
            <w:tcW w:w="3345" w:type="dxa"/>
            <w:vMerge/>
          </w:tcPr>
          <w:p w14:paraId="02960130" w14:textId="77777777" w:rsidR="00454A29" w:rsidRDefault="00454A29"/>
        </w:tc>
        <w:tc>
          <w:tcPr>
            <w:tcW w:w="1701" w:type="dxa"/>
            <w:vAlign w:val="center"/>
          </w:tcPr>
          <w:p w14:paraId="4FB84476" w14:textId="77777777" w:rsidR="00454A29" w:rsidRDefault="00454A29">
            <w:pPr>
              <w:pStyle w:val="ConsPlusNormal"/>
              <w:jc w:val="center"/>
            </w:pPr>
            <w:r>
              <w:t>2025</w:t>
            </w:r>
          </w:p>
        </w:tc>
        <w:tc>
          <w:tcPr>
            <w:tcW w:w="1417" w:type="dxa"/>
            <w:vMerge/>
          </w:tcPr>
          <w:p w14:paraId="6B273B48" w14:textId="77777777" w:rsidR="00454A29" w:rsidRDefault="00454A29"/>
        </w:tc>
        <w:tc>
          <w:tcPr>
            <w:tcW w:w="2204" w:type="dxa"/>
            <w:vMerge/>
          </w:tcPr>
          <w:p w14:paraId="5B1A36E2" w14:textId="77777777" w:rsidR="00454A29" w:rsidRDefault="00454A29"/>
        </w:tc>
        <w:tc>
          <w:tcPr>
            <w:tcW w:w="1417" w:type="dxa"/>
            <w:vMerge/>
          </w:tcPr>
          <w:p w14:paraId="17B87484" w14:textId="77777777" w:rsidR="00454A29" w:rsidRDefault="00454A29"/>
        </w:tc>
        <w:tc>
          <w:tcPr>
            <w:tcW w:w="2324" w:type="dxa"/>
            <w:vMerge/>
          </w:tcPr>
          <w:p w14:paraId="1A5A9B76" w14:textId="77777777" w:rsidR="00454A29" w:rsidRDefault="00454A29"/>
        </w:tc>
        <w:tc>
          <w:tcPr>
            <w:tcW w:w="1701" w:type="dxa"/>
            <w:vAlign w:val="center"/>
          </w:tcPr>
          <w:p w14:paraId="210AB77D" w14:textId="77777777" w:rsidR="00454A29" w:rsidRDefault="00454A29">
            <w:pPr>
              <w:pStyle w:val="ConsPlusNormal"/>
            </w:pPr>
          </w:p>
        </w:tc>
        <w:tc>
          <w:tcPr>
            <w:tcW w:w="1814" w:type="dxa"/>
            <w:vAlign w:val="center"/>
          </w:tcPr>
          <w:p w14:paraId="332E0409" w14:textId="77777777" w:rsidR="00454A29" w:rsidRDefault="00454A29">
            <w:pPr>
              <w:pStyle w:val="ConsPlusNormal"/>
            </w:pPr>
          </w:p>
        </w:tc>
        <w:tc>
          <w:tcPr>
            <w:tcW w:w="1701" w:type="dxa"/>
            <w:vAlign w:val="center"/>
          </w:tcPr>
          <w:p w14:paraId="075DAE01" w14:textId="77777777" w:rsidR="00454A29" w:rsidRDefault="00454A29">
            <w:pPr>
              <w:pStyle w:val="ConsPlusNormal"/>
            </w:pPr>
          </w:p>
        </w:tc>
        <w:tc>
          <w:tcPr>
            <w:tcW w:w="1701" w:type="dxa"/>
            <w:vAlign w:val="center"/>
          </w:tcPr>
          <w:p w14:paraId="2FE922F2" w14:textId="77777777" w:rsidR="00454A29" w:rsidRDefault="00454A29">
            <w:pPr>
              <w:pStyle w:val="ConsPlusNormal"/>
            </w:pPr>
          </w:p>
        </w:tc>
        <w:tc>
          <w:tcPr>
            <w:tcW w:w="1814" w:type="dxa"/>
            <w:vAlign w:val="center"/>
          </w:tcPr>
          <w:p w14:paraId="1DEE7BCD" w14:textId="77777777" w:rsidR="00454A29" w:rsidRDefault="00454A29">
            <w:pPr>
              <w:pStyle w:val="ConsPlusNormal"/>
            </w:pPr>
          </w:p>
        </w:tc>
      </w:tr>
      <w:tr w:rsidR="00454A29" w14:paraId="20B9FCDB" w14:textId="77777777">
        <w:tc>
          <w:tcPr>
            <w:tcW w:w="567" w:type="dxa"/>
            <w:vMerge/>
          </w:tcPr>
          <w:p w14:paraId="45536681" w14:textId="77777777" w:rsidR="00454A29" w:rsidRDefault="00454A29"/>
        </w:tc>
        <w:tc>
          <w:tcPr>
            <w:tcW w:w="3345" w:type="dxa"/>
            <w:vMerge/>
          </w:tcPr>
          <w:p w14:paraId="2B904552" w14:textId="77777777" w:rsidR="00454A29" w:rsidRDefault="00454A29"/>
        </w:tc>
        <w:tc>
          <w:tcPr>
            <w:tcW w:w="1701" w:type="dxa"/>
            <w:vAlign w:val="center"/>
          </w:tcPr>
          <w:p w14:paraId="58C02830" w14:textId="77777777" w:rsidR="00454A29" w:rsidRDefault="00454A29">
            <w:pPr>
              <w:pStyle w:val="ConsPlusNormal"/>
              <w:jc w:val="center"/>
            </w:pPr>
            <w:r>
              <w:t>2026</w:t>
            </w:r>
          </w:p>
        </w:tc>
        <w:tc>
          <w:tcPr>
            <w:tcW w:w="1417" w:type="dxa"/>
            <w:vMerge/>
          </w:tcPr>
          <w:p w14:paraId="5ED2ABA0" w14:textId="77777777" w:rsidR="00454A29" w:rsidRDefault="00454A29"/>
        </w:tc>
        <w:tc>
          <w:tcPr>
            <w:tcW w:w="2204" w:type="dxa"/>
            <w:vMerge/>
          </w:tcPr>
          <w:p w14:paraId="530F126F" w14:textId="77777777" w:rsidR="00454A29" w:rsidRDefault="00454A29"/>
        </w:tc>
        <w:tc>
          <w:tcPr>
            <w:tcW w:w="1417" w:type="dxa"/>
            <w:vMerge/>
          </w:tcPr>
          <w:p w14:paraId="04430917" w14:textId="77777777" w:rsidR="00454A29" w:rsidRDefault="00454A29"/>
        </w:tc>
        <w:tc>
          <w:tcPr>
            <w:tcW w:w="2324" w:type="dxa"/>
            <w:vMerge/>
          </w:tcPr>
          <w:p w14:paraId="1AC065E3" w14:textId="77777777" w:rsidR="00454A29" w:rsidRDefault="00454A29"/>
        </w:tc>
        <w:tc>
          <w:tcPr>
            <w:tcW w:w="1701" w:type="dxa"/>
            <w:vAlign w:val="center"/>
          </w:tcPr>
          <w:p w14:paraId="62118796" w14:textId="77777777" w:rsidR="00454A29" w:rsidRDefault="00454A29">
            <w:pPr>
              <w:pStyle w:val="ConsPlusNormal"/>
              <w:jc w:val="center"/>
            </w:pPr>
            <w:r>
              <w:t>431 987,91</w:t>
            </w:r>
          </w:p>
        </w:tc>
        <w:tc>
          <w:tcPr>
            <w:tcW w:w="1814" w:type="dxa"/>
            <w:vAlign w:val="center"/>
          </w:tcPr>
          <w:p w14:paraId="558B6254" w14:textId="77777777" w:rsidR="00454A29" w:rsidRDefault="00454A29">
            <w:pPr>
              <w:pStyle w:val="ConsPlusNormal"/>
              <w:jc w:val="center"/>
            </w:pPr>
            <w:r>
              <w:t>5 322,09</w:t>
            </w:r>
          </w:p>
        </w:tc>
        <w:tc>
          <w:tcPr>
            <w:tcW w:w="1701" w:type="dxa"/>
            <w:vAlign w:val="center"/>
          </w:tcPr>
          <w:p w14:paraId="5F480C60" w14:textId="77777777" w:rsidR="00454A29" w:rsidRDefault="00454A29">
            <w:pPr>
              <w:pStyle w:val="ConsPlusNormal"/>
              <w:jc w:val="center"/>
            </w:pPr>
            <w:r>
              <w:t>526 887,01</w:t>
            </w:r>
          </w:p>
        </w:tc>
        <w:tc>
          <w:tcPr>
            <w:tcW w:w="1701" w:type="dxa"/>
            <w:vAlign w:val="center"/>
          </w:tcPr>
          <w:p w14:paraId="6A0FB33D" w14:textId="77777777" w:rsidR="00454A29" w:rsidRDefault="00454A29">
            <w:pPr>
              <w:pStyle w:val="ConsPlusNormal"/>
            </w:pPr>
          </w:p>
        </w:tc>
        <w:tc>
          <w:tcPr>
            <w:tcW w:w="1814" w:type="dxa"/>
            <w:vAlign w:val="center"/>
          </w:tcPr>
          <w:p w14:paraId="775C085E" w14:textId="77777777" w:rsidR="00454A29" w:rsidRDefault="00454A29">
            <w:pPr>
              <w:pStyle w:val="ConsPlusNormal"/>
            </w:pPr>
          </w:p>
        </w:tc>
      </w:tr>
      <w:tr w:rsidR="00454A29" w14:paraId="424E4D98" w14:textId="77777777">
        <w:tc>
          <w:tcPr>
            <w:tcW w:w="21706" w:type="dxa"/>
            <w:gridSpan w:val="12"/>
            <w:vAlign w:val="center"/>
          </w:tcPr>
          <w:p w14:paraId="1A261708" w14:textId="77777777" w:rsidR="00454A29" w:rsidRDefault="00454A29">
            <w:pPr>
              <w:pStyle w:val="ConsPlusNormal"/>
              <w:jc w:val="center"/>
              <w:outlineLvl w:val="2"/>
            </w:pPr>
            <w:r>
              <w:t>МР "Вилюйский улус (район)"</w:t>
            </w:r>
          </w:p>
        </w:tc>
      </w:tr>
      <w:tr w:rsidR="00454A29" w14:paraId="679E97C8" w14:textId="77777777">
        <w:tc>
          <w:tcPr>
            <w:tcW w:w="567" w:type="dxa"/>
            <w:vMerge w:val="restart"/>
            <w:vAlign w:val="center"/>
          </w:tcPr>
          <w:p w14:paraId="5103A931" w14:textId="77777777" w:rsidR="00454A29" w:rsidRDefault="00454A29">
            <w:pPr>
              <w:pStyle w:val="ConsPlusNormal"/>
              <w:jc w:val="center"/>
            </w:pPr>
            <w:r>
              <w:t>39</w:t>
            </w:r>
          </w:p>
        </w:tc>
        <w:tc>
          <w:tcPr>
            <w:tcW w:w="3345" w:type="dxa"/>
            <w:vMerge w:val="restart"/>
            <w:vAlign w:val="center"/>
          </w:tcPr>
          <w:p w14:paraId="147EA900" w14:textId="77777777" w:rsidR="00454A29" w:rsidRDefault="00454A29">
            <w:pPr>
              <w:pStyle w:val="ConsPlusNormal"/>
              <w:jc w:val="center"/>
            </w:pPr>
            <w:r>
              <w:t>Школа на 80 учащихся в с. Сатагай</w:t>
            </w:r>
          </w:p>
        </w:tc>
        <w:tc>
          <w:tcPr>
            <w:tcW w:w="1701" w:type="dxa"/>
            <w:vAlign w:val="center"/>
          </w:tcPr>
          <w:p w14:paraId="5A262390" w14:textId="77777777" w:rsidR="00454A29" w:rsidRDefault="00454A29">
            <w:pPr>
              <w:pStyle w:val="ConsPlusNormal"/>
              <w:jc w:val="center"/>
            </w:pPr>
            <w:r>
              <w:t>2020 - 2026 годы - всего</w:t>
            </w:r>
          </w:p>
        </w:tc>
        <w:tc>
          <w:tcPr>
            <w:tcW w:w="1417" w:type="dxa"/>
            <w:vMerge w:val="restart"/>
            <w:vAlign w:val="center"/>
          </w:tcPr>
          <w:p w14:paraId="042F3EDB" w14:textId="77777777" w:rsidR="00454A29" w:rsidRDefault="00454A29">
            <w:pPr>
              <w:pStyle w:val="ConsPlusNormal"/>
              <w:jc w:val="center"/>
            </w:pPr>
            <w:r>
              <w:t>294 259,62</w:t>
            </w:r>
          </w:p>
        </w:tc>
        <w:tc>
          <w:tcPr>
            <w:tcW w:w="2204" w:type="dxa"/>
            <w:vMerge w:val="restart"/>
            <w:vAlign w:val="center"/>
          </w:tcPr>
          <w:p w14:paraId="238B0E7C" w14:textId="77777777" w:rsidR="00454A29" w:rsidRDefault="00454A29">
            <w:pPr>
              <w:pStyle w:val="ConsPlusNormal"/>
            </w:pPr>
          </w:p>
        </w:tc>
        <w:tc>
          <w:tcPr>
            <w:tcW w:w="1417" w:type="dxa"/>
            <w:vMerge w:val="restart"/>
            <w:vAlign w:val="center"/>
          </w:tcPr>
          <w:p w14:paraId="28B763FE" w14:textId="77777777" w:rsidR="00454A29" w:rsidRDefault="00454A29">
            <w:pPr>
              <w:pStyle w:val="ConsPlusNormal"/>
              <w:jc w:val="center"/>
            </w:pPr>
            <w:r>
              <w:t>80</w:t>
            </w:r>
          </w:p>
        </w:tc>
        <w:tc>
          <w:tcPr>
            <w:tcW w:w="2324" w:type="dxa"/>
            <w:vMerge w:val="restart"/>
            <w:vAlign w:val="center"/>
          </w:tcPr>
          <w:p w14:paraId="1E83E2E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4A4E41A" w14:textId="77777777" w:rsidR="00454A29" w:rsidRDefault="00454A29">
            <w:pPr>
              <w:pStyle w:val="ConsPlusNormal"/>
              <w:jc w:val="center"/>
            </w:pPr>
            <w:r>
              <w:t>294 259,62</w:t>
            </w:r>
          </w:p>
        </w:tc>
        <w:tc>
          <w:tcPr>
            <w:tcW w:w="1814" w:type="dxa"/>
            <w:vAlign w:val="center"/>
          </w:tcPr>
          <w:p w14:paraId="04CFA306" w14:textId="77777777" w:rsidR="00454A29" w:rsidRDefault="00454A29">
            <w:pPr>
              <w:pStyle w:val="ConsPlusNormal"/>
              <w:jc w:val="center"/>
            </w:pPr>
            <w:r>
              <w:t>3 722,38</w:t>
            </w:r>
          </w:p>
        </w:tc>
        <w:tc>
          <w:tcPr>
            <w:tcW w:w="1701" w:type="dxa"/>
            <w:vAlign w:val="center"/>
          </w:tcPr>
          <w:p w14:paraId="2CADCE09" w14:textId="77777777" w:rsidR="00454A29" w:rsidRDefault="00454A29">
            <w:pPr>
              <w:pStyle w:val="ConsPlusNormal"/>
              <w:jc w:val="center"/>
            </w:pPr>
            <w:r>
              <w:t>368 516,03</w:t>
            </w:r>
          </w:p>
        </w:tc>
        <w:tc>
          <w:tcPr>
            <w:tcW w:w="1701" w:type="dxa"/>
            <w:vAlign w:val="center"/>
          </w:tcPr>
          <w:p w14:paraId="22C5F33B" w14:textId="77777777" w:rsidR="00454A29" w:rsidRDefault="00454A29">
            <w:pPr>
              <w:pStyle w:val="ConsPlusNormal"/>
              <w:jc w:val="center"/>
            </w:pPr>
            <w:r>
              <w:t>-</w:t>
            </w:r>
          </w:p>
        </w:tc>
        <w:tc>
          <w:tcPr>
            <w:tcW w:w="1814" w:type="dxa"/>
            <w:vAlign w:val="center"/>
          </w:tcPr>
          <w:p w14:paraId="1F10EE9C" w14:textId="77777777" w:rsidR="00454A29" w:rsidRDefault="00454A29">
            <w:pPr>
              <w:pStyle w:val="ConsPlusNormal"/>
              <w:jc w:val="center"/>
            </w:pPr>
            <w:r>
              <w:t>-</w:t>
            </w:r>
          </w:p>
        </w:tc>
      </w:tr>
      <w:tr w:rsidR="00454A29" w14:paraId="166CC546" w14:textId="77777777">
        <w:tc>
          <w:tcPr>
            <w:tcW w:w="567" w:type="dxa"/>
            <w:vMerge/>
          </w:tcPr>
          <w:p w14:paraId="4A31CDF0" w14:textId="77777777" w:rsidR="00454A29" w:rsidRDefault="00454A29"/>
        </w:tc>
        <w:tc>
          <w:tcPr>
            <w:tcW w:w="3345" w:type="dxa"/>
            <w:vMerge/>
          </w:tcPr>
          <w:p w14:paraId="73B65ACF" w14:textId="77777777" w:rsidR="00454A29" w:rsidRDefault="00454A29"/>
        </w:tc>
        <w:tc>
          <w:tcPr>
            <w:tcW w:w="1701" w:type="dxa"/>
            <w:vAlign w:val="center"/>
          </w:tcPr>
          <w:p w14:paraId="35C6A33F" w14:textId="77777777" w:rsidR="00454A29" w:rsidRDefault="00454A29">
            <w:pPr>
              <w:pStyle w:val="ConsPlusNormal"/>
              <w:jc w:val="center"/>
            </w:pPr>
            <w:r>
              <w:t>2020</w:t>
            </w:r>
          </w:p>
        </w:tc>
        <w:tc>
          <w:tcPr>
            <w:tcW w:w="1417" w:type="dxa"/>
            <w:vMerge/>
          </w:tcPr>
          <w:p w14:paraId="20717F08" w14:textId="77777777" w:rsidR="00454A29" w:rsidRDefault="00454A29"/>
        </w:tc>
        <w:tc>
          <w:tcPr>
            <w:tcW w:w="2204" w:type="dxa"/>
            <w:vMerge/>
          </w:tcPr>
          <w:p w14:paraId="3D2312E6" w14:textId="77777777" w:rsidR="00454A29" w:rsidRDefault="00454A29"/>
        </w:tc>
        <w:tc>
          <w:tcPr>
            <w:tcW w:w="1417" w:type="dxa"/>
            <w:vMerge/>
          </w:tcPr>
          <w:p w14:paraId="0598D5DA" w14:textId="77777777" w:rsidR="00454A29" w:rsidRDefault="00454A29"/>
        </w:tc>
        <w:tc>
          <w:tcPr>
            <w:tcW w:w="2324" w:type="dxa"/>
            <w:vMerge/>
          </w:tcPr>
          <w:p w14:paraId="5350CCEF" w14:textId="77777777" w:rsidR="00454A29" w:rsidRDefault="00454A29"/>
        </w:tc>
        <w:tc>
          <w:tcPr>
            <w:tcW w:w="1701" w:type="dxa"/>
            <w:vAlign w:val="center"/>
          </w:tcPr>
          <w:p w14:paraId="5DD2C444" w14:textId="77777777" w:rsidR="00454A29" w:rsidRDefault="00454A29">
            <w:pPr>
              <w:pStyle w:val="ConsPlusNormal"/>
            </w:pPr>
          </w:p>
        </w:tc>
        <w:tc>
          <w:tcPr>
            <w:tcW w:w="1814" w:type="dxa"/>
            <w:vAlign w:val="center"/>
          </w:tcPr>
          <w:p w14:paraId="79C03D91" w14:textId="77777777" w:rsidR="00454A29" w:rsidRDefault="00454A29">
            <w:pPr>
              <w:pStyle w:val="ConsPlusNormal"/>
            </w:pPr>
          </w:p>
        </w:tc>
        <w:tc>
          <w:tcPr>
            <w:tcW w:w="1701" w:type="dxa"/>
            <w:vAlign w:val="center"/>
          </w:tcPr>
          <w:p w14:paraId="5F06CDD9" w14:textId="77777777" w:rsidR="00454A29" w:rsidRDefault="00454A29">
            <w:pPr>
              <w:pStyle w:val="ConsPlusNormal"/>
            </w:pPr>
          </w:p>
        </w:tc>
        <w:tc>
          <w:tcPr>
            <w:tcW w:w="1701" w:type="dxa"/>
            <w:vAlign w:val="center"/>
          </w:tcPr>
          <w:p w14:paraId="2313E682" w14:textId="77777777" w:rsidR="00454A29" w:rsidRDefault="00454A29">
            <w:pPr>
              <w:pStyle w:val="ConsPlusNormal"/>
            </w:pPr>
          </w:p>
        </w:tc>
        <w:tc>
          <w:tcPr>
            <w:tcW w:w="1814" w:type="dxa"/>
            <w:vAlign w:val="center"/>
          </w:tcPr>
          <w:p w14:paraId="4D7ED98D" w14:textId="77777777" w:rsidR="00454A29" w:rsidRDefault="00454A29">
            <w:pPr>
              <w:pStyle w:val="ConsPlusNormal"/>
            </w:pPr>
          </w:p>
        </w:tc>
      </w:tr>
      <w:tr w:rsidR="00454A29" w14:paraId="723C0495" w14:textId="77777777">
        <w:tc>
          <w:tcPr>
            <w:tcW w:w="567" w:type="dxa"/>
            <w:vMerge/>
          </w:tcPr>
          <w:p w14:paraId="65D8DA1B" w14:textId="77777777" w:rsidR="00454A29" w:rsidRDefault="00454A29"/>
        </w:tc>
        <w:tc>
          <w:tcPr>
            <w:tcW w:w="3345" w:type="dxa"/>
            <w:vMerge/>
          </w:tcPr>
          <w:p w14:paraId="4B34292E" w14:textId="77777777" w:rsidR="00454A29" w:rsidRDefault="00454A29"/>
        </w:tc>
        <w:tc>
          <w:tcPr>
            <w:tcW w:w="1701" w:type="dxa"/>
            <w:vAlign w:val="center"/>
          </w:tcPr>
          <w:p w14:paraId="2B1CAEB7" w14:textId="77777777" w:rsidR="00454A29" w:rsidRDefault="00454A29">
            <w:pPr>
              <w:pStyle w:val="ConsPlusNormal"/>
              <w:jc w:val="center"/>
            </w:pPr>
            <w:r>
              <w:t>2021</w:t>
            </w:r>
          </w:p>
        </w:tc>
        <w:tc>
          <w:tcPr>
            <w:tcW w:w="1417" w:type="dxa"/>
            <w:vMerge/>
          </w:tcPr>
          <w:p w14:paraId="066776A1" w14:textId="77777777" w:rsidR="00454A29" w:rsidRDefault="00454A29"/>
        </w:tc>
        <w:tc>
          <w:tcPr>
            <w:tcW w:w="2204" w:type="dxa"/>
            <w:vMerge/>
          </w:tcPr>
          <w:p w14:paraId="4A3EB14A" w14:textId="77777777" w:rsidR="00454A29" w:rsidRDefault="00454A29"/>
        </w:tc>
        <w:tc>
          <w:tcPr>
            <w:tcW w:w="1417" w:type="dxa"/>
            <w:vMerge/>
          </w:tcPr>
          <w:p w14:paraId="62244391" w14:textId="77777777" w:rsidR="00454A29" w:rsidRDefault="00454A29"/>
        </w:tc>
        <w:tc>
          <w:tcPr>
            <w:tcW w:w="2324" w:type="dxa"/>
            <w:vMerge/>
          </w:tcPr>
          <w:p w14:paraId="2440E9CB" w14:textId="77777777" w:rsidR="00454A29" w:rsidRDefault="00454A29"/>
        </w:tc>
        <w:tc>
          <w:tcPr>
            <w:tcW w:w="1701" w:type="dxa"/>
            <w:vAlign w:val="center"/>
          </w:tcPr>
          <w:p w14:paraId="6955DB99" w14:textId="77777777" w:rsidR="00454A29" w:rsidRDefault="00454A29">
            <w:pPr>
              <w:pStyle w:val="ConsPlusNormal"/>
            </w:pPr>
          </w:p>
        </w:tc>
        <w:tc>
          <w:tcPr>
            <w:tcW w:w="1814" w:type="dxa"/>
            <w:vAlign w:val="center"/>
          </w:tcPr>
          <w:p w14:paraId="1DD66808" w14:textId="77777777" w:rsidR="00454A29" w:rsidRDefault="00454A29">
            <w:pPr>
              <w:pStyle w:val="ConsPlusNormal"/>
            </w:pPr>
          </w:p>
        </w:tc>
        <w:tc>
          <w:tcPr>
            <w:tcW w:w="1701" w:type="dxa"/>
            <w:vAlign w:val="center"/>
          </w:tcPr>
          <w:p w14:paraId="4561C084" w14:textId="77777777" w:rsidR="00454A29" w:rsidRDefault="00454A29">
            <w:pPr>
              <w:pStyle w:val="ConsPlusNormal"/>
            </w:pPr>
          </w:p>
        </w:tc>
        <w:tc>
          <w:tcPr>
            <w:tcW w:w="1701" w:type="dxa"/>
            <w:vAlign w:val="center"/>
          </w:tcPr>
          <w:p w14:paraId="522357FA" w14:textId="77777777" w:rsidR="00454A29" w:rsidRDefault="00454A29">
            <w:pPr>
              <w:pStyle w:val="ConsPlusNormal"/>
            </w:pPr>
          </w:p>
        </w:tc>
        <w:tc>
          <w:tcPr>
            <w:tcW w:w="1814" w:type="dxa"/>
            <w:vAlign w:val="center"/>
          </w:tcPr>
          <w:p w14:paraId="30F2EB5C" w14:textId="77777777" w:rsidR="00454A29" w:rsidRDefault="00454A29">
            <w:pPr>
              <w:pStyle w:val="ConsPlusNormal"/>
            </w:pPr>
          </w:p>
        </w:tc>
      </w:tr>
      <w:tr w:rsidR="00454A29" w14:paraId="1DA674E1" w14:textId="77777777">
        <w:tc>
          <w:tcPr>
            <w:tcW w:w="567" w:type="dxa"/>
            <w:vMerge/>
          </w:tcPr>
          <w:p w14:paraId="0388B202" w14:textId="77777777" w:rsidR="00454A29" w:rsidRDefault="00454A29"/>
        </w:tc>
        <w:tc>
          <w:tcPr>
            <w:tcW w:w="3345" w:type="dxa"/>
            <w:vMerge/>
          </w:tcPr>
          <w:p w14:paraId="2E219D2B" w14:textId="77777777" w:rsidR="00454A29" w:rsidRDefault="00454A29"/>
        </w:tc>
        <w:tc>
          <w:tcPr>
            <w:tcW w:w="1701" w:type="dxa"/>
            <w:vAlign w:val="center"/>
          </w:tcPr>
          <w:p w14:paraId="5A973510" w14:textId="77777777" w:rsidR="00454A29" w:rsidRDefault="00454A29">
            <w:pPr>
              <w:pStyle w:val="ConsPlusNormal"/>
              <w:jc w:val="center"/>
            </w:pPr>
            <w:r>
              <w:t>2022</w:t>
            </w:r>
          </w:p>
        </w:tc>
        <w:tc>
          <w:tcPr>
            <w:tcW w:w="1417" w:type="dxa"/>
            <w:vMerge/>
          </w:tcPr>
          <w:p w14:paraId="75DB9AB9" w14:textId="77777777" w:rsidR="00454A29" w:rsidRDefault="00454A29"/>
        </w:tc>
        <w:tc>
          <w:tcPr>
            <w:tcW w:w="2204" w:type="dxa"/>
            <w:vMerge/>
          </w:tcPr>
          <w:p w14:paraId="04CBAB57" w14:textId="77777777" w:rsidR="00454A29" w:rsidRDefault="00454A29"/>
        </w:tc>
        <w:tc>
          <w:tcPr>
            <w:tcW w:w="1417" w:type="dxa"/>
            <w:vMerge/>
          </w:tcPr>
          <w:p w14:paraId="1478CD19" w14:textId="77777777" w:rsidR="00454A29" w:rsidRDefault="00454A29"/>
        </w:tc>
        <w:tc>
          <w:tcPr>
            <w:tcW w:w="2324" w:type="dxa"/>
            <w:vMerge/>
          </w:tcPr>
          <w:p w14:paraId="7960FD2A" w14:textId="77777777" w:rsidR="00454A29" w:rsidRDefault="00454A29"/>
        </w:tc>
        <w:tc>
          <w:tcPr>
            <w:tcW w:w="1701" w:type="dxa"/>
            <w:vAlign w:val="center"/>
          </w:tcPr>
          <w:p w14:paraId="18DD203B" w14:textId="77777777" w:rsidR="00454A29" w:rsidRDefault="00454A29">
            <w:pPr>
              <w:pStyle w:val="ConsPlusNormal"/>
            </w:pPr>
          </w:p>
        </w:tc>
        <w:tc>
          <w:tcPr>
            <w:tcW w:w="1814" w:type="dxa"/>
            <w:vAlign w:val="center"/>
          </w:tcPr>
          <w:p w14:paraId="762A4787" w14:textId="77777777" w:rsidR="00454A29" w:rsidRDefault="00454A29">
            <w:pPr>
              <w:pStyle w:val="ConsPlusNormal"/>
            </w:pPr>
          </w:p>
        </w:tc>
        <w:tc>
          <w:tcPr>
            <w:tcW w:w="1701" w:type="dxa"/>
            <w:vAlign w:val="center"/>
          </w:tcPr>
          <w:p w14:paraId="4F070CEA" w14:textId="77777777" w:rsidR="00454A29" w:rsidRDefault="00454A29">
            <w:pPr>
              <w:pStyle w:val="ConsPlusNormal"/>
            </w:pPr>
          </w:p>
        </w:tc>
        <w:tc>
          <w:tcPr>
            <w:tcW w:w="1701" w:type="dxa"/>
            <w:vAlign w:val="center"/>
          </w:tcPr>
          <w:p w14:paraId="5C87450C" w14:textId="77777777" w:rsidR="00454A29" w:rsidRDefault="00454A29">
            <w:pPr>
              <w:pStyle w:val="ConsPlusNormal"/>
            </w:pPr>
          </w:p>
        </w:tc>
        <w:tc>
          <w:tcPr>
            <w:tcW w:w="1814" w:type="dxa"/>
            <w:vAlign w:val="center"/>
          </w:tcPr>
          <w:p w14:paraId="4C70C79B" w14:textId="77777777" w:rsidR="00454A29" w:rsidRDefault="00454A29">
            <w:pPr>
              <w:pStyle w:val="ConsPlusNormal"/>
            </w:pPr>
          </w:p>
        </w:tc>
      </w:tr>
      <w:tr w:rsidR="00454A29" w14:paraId="73294693" w14:textId="77777777">
        <w:tc>
          <w:tcPr>
            <w:tcW w:w="567" w:type="dxa"/>
            <w:vMerge/>
          </w:tcPr>
          <w:p w14:paraId="15DEA0FA" w14:textId="77777777" w:rsidR="00454A29" w:rsidRDefault="00454A29"/>
        </w:tc>
        <w:tc>
          <w:tcPr>
            <w:tcW w:w="3345" w:type="dxa"/>
            <w:vMerge/>
          </w:tcPr>
          <w:p w14:paraId="18D24401" w14:textId="77777777" w:rsidR="00454A29" w:rsidRDefault="00454A29"/>
        </w:tc>
        <w:tc>
          <w:tcPr>
            <w:tcW w:w="1701" w:type="dxa"/>
            <w:vAlign w:val="center"/>
          </w:tcPr>
          <w:p w14:paraId="5587A225" w14:textId="77777777" w:rsidR="00454A29" w:rsidRDefault="00454A29">
            <w:pPr>
              <w:pStyle w:val="ConsPlusNormal"/>
              <w:jc w:val="center"/>
            </w:pPr>
            <w:r>
              <w:t>2023</w:t>
            </w:r>
          </w:p>
        </w:tc>
        <w:tc>
          <w:tcPr>
            <w:tcW w:w="1417" w:type="dxa"/>
            <w:vMerge/>
          </w:tcPr>
          <w:p w14:paraId="4F643FBB" w14:textId="77777777" w:rsidR="00454A29" w:rsidRDefault="00454A29"/>
        </w:tc>
        <w:tc>
          <w:tcPr>
            <w:tcW w:w="2204" w:type="dxa"/>
            <w:vMerge/>
          </w:tcPr>
          <w:p w14:paraId="53EDBE0D" w14:textId="77777777" w:rsidR="00454A29" w:rsidRDefault="00454A29"/>
        </w:tc>
        <w:tc>
          <w:tcPr>
            <w:tcW w:w="1417" w:type="dxa"/>
            <w:vMerge/>
          </w:tcPr>
          <w:p w14:paraId="62A0DFBF" w14:textId="77777777" w:rsidR="00454A29" w:rsidRDefault="00454A29"/>
        </w:tc>
        <w:tc>
          <w:tcPr>
            <w:tcW w:w="2324" w:type="dxa"/>
            <w:vMerge/>
          </w:tcPr>
          <w:p w14:paraId="50B49939" w14:textId="77777777" w:rsidR="00454A29" w:rsidRDefault="00454A29"/>
        </w:tc>
        <w:tc>
          <w:tcPr>
            <w:tcW w:w="1701" w:type="dxa"/>
            <w:vAlign w:val="center"/>
          </w:tcPr>
          <w:p w14:paraId="3B66FCB2" w14:textId="77777777" w:rsidR="00454A29" w:rsidRDefault="00454A29">
            <w:pPr>
              <w:pStyle w:val="ConsPlusNormal"/>
            </w:pPr>
          </w:p>
        </w:tc>
        <w:tc>
          <w:tcPr>
            <w:tcW w:w="1814" w:type="dxa"/>
            <w:vAlign w:val="center"/>
          </w:tcPr>
          <w:p w14:paraId="78F8FC19" w14:textId="77777777" w:rsidR="00454A29" w:rsidRDefault="00454A29">
            <w:pPr>
              <w:pStyle w:val="ConsPlusNormal"/>
            </w:pPr>
          </w:p>
        </w:tc>
        <w:tc>
          <w:tcPr>
            <w:tcW w:w="1701" w:type="dxa"/>
            <w:vAlign w:val="center"/>
          </w:tcPr>
          <w:p w14:paraId="02EC3735" w14:textId="77777777" w:rsidR="00454A29" w:rsidRDefault="00454A29">
            <w:pPr>
              <w:pStyle w:val="ConsPlusNormal"/>
            </w:pPr>
          </w:p>
        </w:tc>
        <w:tc>
          <w:tcPr>
            <w:tcW w:w="1701" w:type="dxa"/>
            <w:vAlign w:val="center"/>
          </w:tcPr>
          <w:p w14:paraId="3B0EA3ED" w14:textId="77777777" w:rsidR="00454A29" w:rsidRDefault="00454A29">
            <w:pPr>
              <w:pStyle w:val="ConsPlusNormal"/>
            </w:pPr>
          </w:p>
        </w:tc>
        <w:tc>
          <w:tcPr>
            <w:tcW w:w="1814" w:type="dxa"/>
            <w:vAlign w:val="center"/>
          </w:tcPr>
          <w:p w14:paraId="3BB3935E" w14:textId="77777777" w:rsidR="00454A29" w:rsidRDefault="00454A29">
            <w:pPr>
              <w:pStyle w:val="ConsPlusNormal"/>
            </w:pPr>
          </w:p>
        </w:tc>
      </w:tr>
      <w:tr w:rsidR="00454A29" w14:paraId="0B12E927" w14:textId="77777777">
        <w:tc>
          <w:tcPr>
            <w:tcW w:w="567" w:type="dxa"/>
            <w:vMerge/>
          </w:tcPr>
          <w:p w14:paraId="118575E8" w14:textId="77777777" w:rsidR="00454A29" w:rsidRDefault="00454A29"/>
        </w:tc>
        <w:tc>
          <w:tcPr>
            <w:tcW w:w="3345" w:type="dxa"/>
            <w:vMerge/>
          </w:tcPr>
          <w:p w14:paraId="48090C8A" w14:textId="77777777" w:rsidR="00454A29" w:rsidRDefault="00454A29"/>
        </w:tc>
        <w:tc>
          <w:tcPr>
            <w:tcW w:w="1701" w:type="dxa"/>
            <w:vAlign w:val="center"/>
          </w:tcPr>
          <w:p w14:paraId="1E32DA02" w14:textId="77777777" w:rsidR="00454A29" w:rsidRDefault="00454A29">
            <w:pPr>
              <w:pStyle w:val="ConsPlusNormal"/>
              <w:jc w:val="center"/>
            </w:pPr>
            <w:r>
              <w:t>2024</w:t>
            </w:r>
          </w:p>
        </w:tc>
        <w:tc>
          <w:tcPr>
            <w:tcW w:w="1417" w:type="dxa"/>
            <w:vMerge/>
          </w:tcPr>
          <w:p w14:paraId="1FE24A55" w14:textId="77777777" w:rsidR="00454A29" w:rsidRDefault="00454A29"/>
        </w:tc>
        <w:tc>
          <w:tcPr>
            <w:tcW w:w="2204" w:type="dxa"/>
            <w:vMerge/>
          </w:tcPr>
          <w:p w14:paraId="474A5CEB" w14:textId="77777777" w:rsidR="00454A29" w:rsidRDefault="00454A29"/>
        </w:tc>
        <w:tc>
          <w:tcPr>
            <w:tcW w:w="1417" w:type="dxa"/>
            <w:vMerge/>
          </w:tcPr>
          <w:p w14:paraId="0ADB8C80" w14:textId="77777777" w:rsidR="00454A29" w:rsidRDefault="00454A29"/>
        </w:tc>
        <w:tc>
          <w:tcPr>
            <w:tcW w:w="2324" w:type="dxa"/>
            <w:vMerge/>
          </w:tcPr>
          <w:p w14:paraId="23A9B7E9" w14:textId="77777777" w:rsidR="00454A29" w:rsidRDefault="00454A29"/>
        </w:tc>
        <w:tc>
          <w:tcPr>
            <w:tcW w:w="1701" w:type="dxa"/>
            <w:vAlign w:val="center"/>
          </w:tcPr>
          <w:p w14:paraId="41011BF8" w14:textId="77777777" w:rsidR="00454A29" w:rsidRDefault="00454A29">
            <w:pPr>
              <w:pStyle w:val="ConsPlusNormal"/>
            </w:pPr>
          </w:p>
        </w:tc>
        <w:tc>
          <w:tcPr>
            <w:tcW w:w="1814" w:type="dxa"/>
            <w:vAlign w:val="center"/>
          </w:tcPr>
          <w:p w14:paraId="629AC704" w14:textId="77777777" w:rsidR="00454A29" w:rsidRDefault="00454A29">
            <w:pPr>
              <w:pStyle w:val="ConsPlusNormal"/>
            </w:pPr>
          </w:p>
        </w:tc>
        <w:tc>
          <w:tcPr>
            <w:tcW w:w="1701" w:type="dxa"/>
            <w:vAlign w:val="center"/>
          </w:tcPr>
          <w:p w14:paraId="66D1E10F" w14:textId="77777777" w:rsidR="00454A29" w:rsidRDefault="00454A29">
            <w:pPr>
              <w:pStyle w:val="ConsPlusNormal"/>
            </w:pPr>
          </w:p>
        </w:tc>
        <w:tc>
          <w:tcPr>
            <w:tcW w:w="1701" w:type="dxa"/>
            <w:vAlign w:val="center"/>
          </w:tcPr>
          <w:p w14:paraId="1CB3D8EA" w14:textId="77777777" w:rsidR="00454A29" w:rsidRDefault="00454A29">
            <w:pPr>
              <w:pStyle w:val="ConsPlusNormal"/>
            </w:pPr>
          </w:p>
        </w:tc>
        <w:tc>
          <w:tcPr>
            <w:tcW w:w="1814" w:type="dxa"/>
            <w:vAlign w:val="center"/>
          </w:tcPr>
          <w:p w14:paraId="3A954207" w14:textId="77777777" w:rsidR="00454A29" w:rsidRDefault="00454A29">
            <w:pPr>
              <w:pStyle w:val="ConsPlusNormal"/>
            </w:pPr>
          </w:p>
        </w:tc>
      </w:tr>
      <w:tr w:rsidR="00454A29" w14:paraId="3A0D7B8B" w14:textId="77777777">
        <w:tc>
          <w:tcPr>
            <w:tcW w:w="567" w:type="dxa"/>
            <w:vMerge/>
          </w:tcPr>
          <w:p w14:paraId="6F873224" w14:textId="77777777" w:rsidR="00454A29" w:rsidRDefault="00454A29"/>
        </w:tc>
        <w:tc>
          <w:tcPr>
            <w:tcW w:w="3345" w:type="dxa"/>
            <w:vMerge/>
          </w:tcPr>
          <w:p w14:paraId="309B7907" w14:textId="77777777" w:rsidR="00454A29" w:rsidRDefault="00454A29"/>
        </w:tc>
        <w:tc>
          <w:tcPr>
            <w:tcW w:w="1701" w:type="dxa"/>
            <w:vAlign w:val="center"/>
          </w:tcPr>
          <w:p w14:paraId="577ED563" w14:textId="77777777" w:rsidR="00454A29" w:rsidRDefault="00454A29">
            <w:pPr>
              <w:pStyle w:val="ConsPlusNormal"/>
              <w:jc w:val="center"/>
            </w:pPr>
            <w:r>
              <w:t>2025</w:t>
            </w:r>
          </w:p>
        </w:tc>
        <w:tc>
          <w:tcPr>
            <w:tcW w:w="1417" w:type="dxa"/>
            <w:vMerge/>
          </w:tcPr>
          <w:p w14:paraId="37CD1A9F" w14:textId="77777777" w:rsidR="00454A29" w:rsidRDefault="00454A29"/>
        </w:tc>
        <w:tc>
          <w:tcPr>
            <w:tcW w:w="2204" w:type="dxa"/>
            <w:vMerge/>
          </w:tcPr>
          <w:p w14:paraId="52830F91" w14:textId="77777777" w:rsidR="00454A29" w:rsidRDefault="00454A29"/>
        </w:tc>
        <w:tc>
          <w:tcPr>
            <w:tcW w:w="1417" w:type="dxa"/>
            <w:vMerge/>
          </w:tcPr>
          <w:p w14:paraId="08F9044C" w14:textId="77777777" w:rsidR="00454A29" w:rsidRDefault="00454A29"/>
        </w:tc>
        <w:tc>
          <w:tcPr>
            <w:tcW w:w="2324" w:type="dxa"/>
            <w:vMerge/>
          </w:tcPr>
          <w:p w14:paraId="54268A2F" w14:textId="77777777" w:rsidR="00454A29" w:rsidRDefault="00454A29"/>
        </w:tc>
        <w:tc>
          <w:tcPr>
            <w:tcW w:w="1701" w:type="dxa"/>
            <w:vAlign w:val="center"/>
          </w:tcPr>
          <w:p w14:paraId="65901E37" w14:textId="77777777" w:rsidR="00454A29" w:rsidRDefault="00454A29">
            <w:pPr>
              <w:pStyle w:val="ConsPlusNormal"/>
              <w:jc w:val="center"/>
            </w:pPr>
            <w:r>
              <w:t>294 259,62</w:t>
            </w:r>
          </w:p>
        </w:tc>
        <w:tc>
          <w:tcPr>
            <w:tcW w:w="1814" w:type="dxa"/>
            <w:vAlign w:val="center"/>
          </w:tcPr>
          <w:p w14:paraId="64E40875" w14:textId="77777777" w:rsidR="00454A29" w:rsidRDefault="00454A29">
            <w:pPr>
              <w:pStyle w:val="ConsPlusNormal"/>
              <w:jc w:val="center"/>
            </w:pPr>
            <w:r>
              <w:t>3 722,38</w:t>
            </w:r>
          </w:p>
        </w:tc>
        <w:tc>
          <w:tcPr>
            <w:tcW w:w="1701" w:type="dxa"/>
            <w:vAlign w:val="center"/>
          </w:tcPr>
          <w:p w14:paraId="1B256099" w14:textId="77777777" w:rsidR="00454A29" w:rsidRDefault="00454A29">
            <w:pPr>
              <w:pStyle w:val="ConsPlusNormal"/>
              <w:jc w:val="center"/>
            </w:pPr>
            <w:r>
              <w:t>368 516,03</w:t>
            </w:r>
          </w:p>
        </w:tc>
        <w:tc>
          <w:tcPr>
            <w:tcW w:w="1701" w:type="dxa"/>
            <w:vAlign w:val="center"/>
          </w:tcPr>
          <w:p w14:paraId="03F79D3C" w14:textId="77777777" w:rsidR="00454A29" w:rsidRDefault="00454A29">
            <w:pPr>
              <w:pStyle w:val="ConsPlusNormal"/>
            </w:pPr>
          </w:p>
        </w:tc>
        <w:tc>
          <w:tcPr>
            <w:tcW w:w="1814" w:type="dxa"/>
            <w:vAlign w:val="center"/>
          </w:tcPr>
          <w:p w14:paraId="4D57BD7E" w14:textId="77777777" w:rsidR="00454A29" w:rsidRDefault="00454A29">
            <w:pPr>
              <w:pStyle w:val="ConsPlusNormal"/>
            </w:pPr>
          </w:p>
        </w:tc>
      </w:tr>
      <w:tr w:rsidR="00454A29" w14:paraId="0F8BC2FE" w14:textId="77777777">
        <w:tc>
          <w:tcPr>
            <w:tcW w:w="567" w:type="dxa"/>
            <w:vMerge/>
          </w:tcPr>
          <w:p w14:paraId="32494522" w14:textId="77777777" w:rsidR="00454A29" w:rsidRDefault="00454A29"/>
        </w:tc>
        <w:tc>
          <w:tcPr>
            <w:tcW w:w="3345" w:type="dxa"/>
            <w:vMerge/>
          </w:tcPr>
          <w:p w14:paraId="3FEE07B0" w14:textId="77777777" w:rsidR="00454A29" w:rsidRDefault="00454A29"/>
        </w:tc>
        <w:tc>
          <w:tcPr>
            <w:tcW w:w="1701" w:type="dxa"/>
            <w:vAlign w:val="center"/>
          </w:tcPr>
          <w:p w14:paraId="29A9B8B7" w14:textId="77777777" w:rsidR="00454A29" w:rsidRDefault="00454A29">
            <w:pPr>
              <w:pStyle w:val="ConsPlusNormal"/>
              <w:jc w:val="center"/>
            </w:pPr>
            <w:r>
              <w:t>2026</w:t>
            </w:r>
          </w:p>
        </w:tc>
        <w:tc>
          <w:tcPr>
            <w:tcW w:w="1417" w:type="dxa"/>
            <w:vMerge/>
          </w:tcPr>
          <w:p w14:paraId="6F200CC9" w14:textId="77777777" w:rsidR="00454A29" w:rsidRDefault="00454A29"/>
        </w:tc>
        <w:tc>
          <w:tcPr>
            <w:tcW w:w="2204" w:type="dxa"/>
            <w:vMerge/>
          </w:tcPr>
          <w:p w14:paraId="3B975FB9" w14:textId="77777777" w:rsidR="00454A29" w:rsidRDefault="00454A29"/>
        </w:tc>
        <w:tc>
          <w:tcPr>
            <w:tcW w:w="1417" w:type="dxa"/>
            <w:vMerge/>
          </w:tcPr>
          <w:p w14:paraId="39401AD8" w14:textId="77777777" w:rsidR="00454A29" w:rsidRDefault="00454A29"/>
        </w:tc>
        <w:tc>
          <w:tcPr>
            <w:tcW w:w="2324" w:type="dxa"/>
            <w:vMerge/>
          </w:tcPr>
          <w:p w14:paraId="6B5293C1" w14:textId="77777777" w:rsidR="00454A29" w:rsidRDefault="00454A29"/>
        </w:tc>
        <w:tc>
          <w:tcPr>
            <w:tcW w:w="1701" w:type="dxa"/>
            <w:vAlign w:val="center"/>
          </w:tcPr>
          <w:p w14:paraId="59FB314C" w14:textId="77777777" w:rsidR="00454A29" w:rsidRDefault="00454A29">
            <w:pPr>
              <w:pStyle w:val="ConsPlusNormal"/>
            </w:pPr>
          </w:p>
        </w:tc>
        <w:tc>
          <w:tcPr>
            <w:tcW w:w="1814" w:type="dxa"/>
            <w:vAlign w:val="center"/>
          </w:tcPr>
          <w:p w14:paraId="149F16E4" w14:textId="77777777" w:rsidR="00454A29" w:rsidRDefault="00454A29">
            <w:pPr>
              <w:pStyle w:val="ConsPlusNormal"/>
            </w:pPr>
          </w:p>
        </w:tc>
        <w:tc>
          <w:tcPr>
            <w:tcW w:w="1701" w:type="dxa"/>
            <w:vAlign w:val="center"/>
          </w:tcPr>
          <w:p w14:paraId="363DD9FB" w14:textId="77777777" w:rsidR="00454A29" w:rsidRDefault="00454A29">
            <w:pPr>
              <w:pStyle w:val="ConsPlusNormal"/>
            </w:pPr>
          </w:p>
        </w:tc>
        <w:tc>
          <w:tcPr>
            <w:tcW w:w="1701" w:type="dxa"/>
            <w:vAlign w:val="center"/>
          </w:tcPr>
          <w:p w14:paraId="7DE05203" w14:textId="77777777" w:rsidR="00454A29" w:rsidRDefault="00454A29">
            <w:pPr>
              <w:pStyle w:val="ConsPlusNormal"/>
            </w:pPr>
          </w:p>
        </w:tc>
        <w:tc>
          <w:tcPr>
            <w:tcW w:w="1814" w:type="dxa"/>
            <w:vAlign w:val="center"/>
          </w:tcPr>
          <w:p w14:paraId="21B74982" w14:textId="77777777" w:rsidR="00454A29" w:rsidRDefault="00454A29">
            <w:pPr>
              <w:pStyle w:val="ConsPlusNormal"/>
            </w:pPr>
          </w:p>
        </w:tc>
      </w:tr>
      <w:tr w:rsidR="00454A29" w14:paraId="7B7D1C49" w14:textId="77777777">
        <w:tc>
          <w:tcPr>
            <w:tcW w:w="567" w:type="dxa"/>
            <w:vMerge w:val="restart"/>
            <w:vAlign w:val="center"/>
          </w:tcPr>
          <w:p w14:paraId="7FC437AD" w14:textId="77777777" w:rsidR="00454A29" w:rsidRDefault="00454A29">
            <w:pPr>
              <w:pStyle w:val="ConsPlusNormal"/>
              <w:jc w:val="center"/>
            </w:pPr>
            <w:r>
              <w:t>40</w:t>
            </w:r>
          </w:p>
        </w:tc>
        <w:tc>
          <w:tcPr>
            <w:tcW w:w="3345" w:type="dxa"/>
            <w:vMerge w:val="restart"/>
            <w:vAlign w:val="center"/>
          </w:tcPr>
          <w:p w14:paraId="2598EAE6" w14:textId="77777777" w:rsidR="00454A29" w:rsidRDefault="00454A29">
            <w:pPr>
              <w:pStyle w:val="ConsPlusNormal"/>
              <w:jc w:val="center"/>
            </w:pPr>
            <w:r>
              <w:t>Школа на 990 учащихся в г. Вилюйск</w:t>
            </w:r>
          </w:p>
        </w:tc>
        <w:tc>
          <w:tcPr>
            <w:tcW w:w="1701" w:type="dxa"/>
            <w:vAlign w:val="center"/>
          </w:tcPr>
          <w:p w14:paraId="7678478D" w14:textId="77777777" w:rsidR="00454A29" w:rsidRDefault="00454A29">
            <w:pPr>
              <w:pStyle w:val="ConsPlusNormal"/>
              <w:jc w:val="center"/>
            </w:pPr>
            <w:r>
              <w:t>2020 - 2026 годы - всего</w:t>
            </w:r>
          </w:p>
        </w:tc>
        <w:tc>
          <w:tcPr>
            <w:tcW w:w="1417" w:type="dxa"/>
            <w:vMerge w:val="restart"/>
            <w:vAlign w:val="center"/>
          </w:tcPr>
          <w:p w14:paraId="7F5DEFCB" w14:textId="77777777" w:rsidR="00454A29" w:rsidRDefault="00454A29">
            <w:pPr>
              <w:pStyle w:val="ConsPlusNormal"/>
              <w:jc w:val="center"/>
            </w:pPr>
            <w:r>
              <w:t>1 367 070,39</w:t>
            </w:r>
          </w:p>
        </w:tc>
        <w:tc>
          <w:tcPr>
            <w:tcW w:w="2204" w:type="dxa"/>
            <w:vMerge w:val="restart"/>
            <w:vAlign w:val="center"/>
          </w:tcPr>
          <w:p w14:paraId="51C53D73" w14:textId="77777777" w:rsidR="00454A29" w:rsidRDefault="00454A29">
            <w:pPr>
              <w:pStyle w:val="ConsPlusNormal"/>
            </w:pPr>
          </w:p>
        </w:tc>
        <w:tc>
          <w:tcPr>
            <w:tcW w:w="1417" w:type="dxa"/>
            <w:vMerge w:val="restart"/>
            <w:vAlign w:val="center"/>
          </w:tcPr>
          <w:p w14:paraId="16D3449D" w14:textId="77777777" w:rsidR="00454A29" w:rsidRDefault="00454A29">
            <w:pPr>
              <w:pStyle w:val="ConsPlusNormal"/>
              <w:jc w:val="center"/>
            </w:pPr>
            <w:r>
              <w:t>990</w:t>
            </w:r>
          </w:p>
        </w:tc>
        <w:tc>
          <w:tcPr>
            <w:tcW w:w="2324" w:type="dxa"/>
            <w:vMerge w:val="restart"/>
            <w:vAlign w:val="center"/>
          </w:tcPr>
          <w:p w14:paraId="41FBFAB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ACE742E" w14:textId="77777777" w:rsidR="00454A29" w:rsidRDefault="00454A29">
            <w:pPr>
              <w:pStyle w:val="ConsPlusNormal"/>
              <w:jc w:val="center"/>
            </w:pPr>
            <w:r>
              <w:t>1 367 070,39</w:t>
            </w:r>
          </w:p>
        </w:tc>
        <w:tc>
          <w:tcPr>
            <w:tcW w:w="1814" w:type="dxa"/>
            <w:vAlign w:val="center"/>
          </w:tcPr>
          <w:p w14:paraId="5D4BF4E8" w14:textId="77777777" w:rsidR="00454A29" w:rsidRDefault="00454A29">
            <w:pPr>
              <w:pStyle w:val="ConsPlusNormal"/>
              <w:jc w:val="center"/>
            </w:pPr>
            <w:r>
              <w:t>6 780,67</w:t>
            </w:r>
          </w:p>
        </w:tc>
        <w:tc>
          <w:tcPr>
            <w:tcW w:w="1701" w:type="dxa"/>
            <w:vAlign w:val="center"/>
          </w:tcPr>
          <w:p w14:paraId="45FF4D36" w14:textId="77777777" w:rsidR="00454A29" w:rsidRDefault="00454A29">
            <w:pPr>
              <w:pStyle w:val="ConsPlusNormal"/>
              <w:jc w:val="center"/>
            </w:pPr>
            <w:r>
              <w:t>671 286,24</w:t>
            </w:r>
          </w:p>
        </w:tc>
        <w:tc>
          <w:tcPr>
            <w:tcW w:w="1701" w:type="dxa"/>
            <w:vAlign w:val="center"/>
          </w:tcPr>
          <w:p w14:paraId="6E41DDCA" w14:textId="77777777" w:rsidR="00454A29" w:rsidRDefault="00454A29">
            <w:pPr>
              <w:pStyle w:val="ConsPlusNormal"/>
              <w:jc w:val="center"/>
            </w:pPr>
            <w:r>
              <w:t>-</w:t>
            </w:r>
          </w:p>
        </w:tc>
        <w:tc>
          <w:tcPr>
            <w:tcW w:w="1814" w:type="dxa"/>
            <w:vAlign w:val="center"/>
          </w:tcPr>
          <w:p w14:paraId="6FE69207" w14:textId="77777777" w:rsidR="00454A29" w:rsidRDefault="00454A29">
            <w:pPr>
              <w:pStyle w:val="ConsPlusNormal"/>
              <w:jc w:val="center"/>
            </w:pPr>
            <w:r>
              <w:t>-</w:t>
            </w:r>
          </w:p>
        </w:tc>
      </w:tr>
      <w:tr w:rsidR="00454A29" w14:paraId="3BE49773" w14:textId="77777777">
        <w:tc>
          <w:tcPr>
            <w:tcW w:w="567" w:type="dxa"/>
            <w:vMerge/>
          </w:tcPr>
          <w:p w14:paraId="09B32591" w14:textId="77777777" w:rsidR="00454A29" w:rsidRDefault="00454A29"/>
        </w:tc>
        <w:tc>
          <w:tcPr>
            <w:tcW w:w="3345" w:type="dxa"/>
            <w:vMerge/>
          </w:tcPr>
          <w:p w14:paraId="38B4E7B2" w14:textId="77777777" w:rsidR="00454A29" w:rsidRDefault="00454A29"/>
        </w:tc>
        <w:tc>
          <w:tcPr>
            <w:tcW w:w="1701" w:type="dxa"/>
            <w:vAlign w:val="center"/>
          </w:tcPr>
          <w:p w14:paraId="0F295E1A" w14:textId="77777777" w:rsidR="00454A29" w:rsidRDefault="00454A29">
            <w:pPr>
              <w:pStyle w:val="ConsPlusNormal"/>
              <w:jc w:val="center"/>
            </w:pPr>
            <w:r>
              <w:t>2020</w:t>
            </w:r>
          </w:p>
        </w:tc>
        <w:tc>
          <w:tcPr>
            <w:tcW w:w="1417" w:type="dxa"/>
            <w:vMerge/>
          </w:tcPr>
          <w:p w14:paraId="410BB508" w14:textId="77777777" w:rsidR="00454A29" w:rsidRDefault="00454A29"/>
        </w:tc>
        <w:tc>
          <w:tcPr>
            <w:tcW w:w="2204" w:type="dxa"/>
            <w:vMerge/>
          </w:tcPr>
          <w:p w14:paraId="792CC679" w14:textId="77777777" w:rsidR="00454A29" w:rsidRDefault="00454A29"/>
        </w:tc>
        <w:tc>
          <w:tcPr>
            <w:tcW w:w="1417" w:type="dxa"/>
            <w:vMerge/>
          </w:tcPr>
          <w:p w14:paraId="45C7169A" w14:textId="77777777" w:rsidR="00454A29" w:rsidRDefault="00454A29"/>
        </w:tc>
        <w:tc>
          <w:tcPr>
            <w:tcW w:w="2324" w:type="dxa"/>
            <w:vMerge/>
          </w:tcPr>
          <w:p w14:paraId="01BAFB86" w14:textId="77777777" w:rsidR="00454A29" w:rsidRDefault="00454A29"/>
        </w:tc>
        <w:tc>
          <w:tcPr>
            <w:tcW w:w="1701" w:type="dxa"/>
            <w:vAlign w:val="center"/>
          </w:tcPr>
          <w:p w14:paraId="7D4FF488" w14:textId="77777777" w:rsidR="00454A29" w:rsidRDefault="00454A29">
            <w:pPr>
              <w:pStyle w:val="ConsPlusNormal"/>
            </w:pPr>
          </w:p>
        </w:tc>
        <w:tc>
          <w:tcPr>
            <w:tcW w:w="1814" w:type="dxa"/>
            <w:vAlign w:val="center"/>
          </w:tcPr>
          <w:p w14:paraId="7F64EFBA" w14:textId="77777777" w:rsidR="00454A29" w:rsidRDefault="00454A29">
            <w:pPr>
              <w:pStyle w:val="ConsPlusNormal"/>
            </w:pPr>
          </w:p>
        </w:tc>
        <w:tc>
          <w:tcPr>
            <w:tcW w:w="1701" w:type="dxa"/>
            <w:vAlign w:val="center"/>
          </w:tcPr>
          <w:p w14:paraId="5E4DC01C" w14:textId="77777777" w:rsidR="00454A29" w:rsidRDefault="00454A29">
            <w:pPr>
              <w:pStyle w:val="ConsPlusNormal"/>
            </w:pPr>
          </w:p>
        </w:tc>
        <w:tc>
          <w:tcPr>
            <w:tcW w:w="1701" w:type="dxa"/>
            <w:vAlign w:val="center"/>
          </w:tcPr>
          <w:p w14:paraId="67CFD0A8" w14:textId="77777777" w:rsidR="00454A29" w:rsidRDefault="00454A29">
            <w:pPr>
              <w:pStyle w:val="ConsPlusNormal"/>
            </w:pPr>
          </w:p>
        </w:tc>
        <w:tc>
          <w:tcPr>
            <w:tcW w:w="1814" w:type="dxa"/>
            <w:vAlign w:val="center"/>
          </w:tcPr>
          <w:p w14:paraId="2A8498BF" w14:textId="77777777" w:rsidR="00454A29" w:rsidRDefault="00454A29">
            <w:pPr>
              <w:pStyle w:val="ConsPlusNormal"/>
            </w:pPr>
          </w:p>
        </w:tc>
      </w:tr>
      <w:tr w:rsidR="00454A29" w14:paraId="3B9E833F" w14:textId="77777777">
        <w:tc>
          <w:tcPr>
            <w:tcW w:w="567" w:type="dxa"/>
            <w:vMerge/>
          </w:tcPr>
          <w:p w14:paraId="4B92FC3B" w14:textId="77777777" w:rsidR="00454A29" w:rsidRDefault="00454A29"/>
        </w:tc>
        <w:tc>
          <w:tcPr>
            <w:tcW w:w="3345" w:type="dxa"/>
            <w:vMerge/>
          </w:tcPr>
          <w:p w14:paraId="60E33B06" w14:textId="77777777" w:rsidR="00454A29" w:rsidRDefault="00454A29"/>
        </w:tc>
        <w:tc>
          <w:tcPr>
            <w:tcW w:w="1701" w:type="dxa"/>
            <w:vAlign w:val="center"/>
          </w:tcPr>
          <w:p w14:paraId="085C3BFC" w14:textId="77777777" w:rsidR="00454A29" w:rsidRDefault="00454A29">
            <w:pPr>
              <w:pStyle w:val="ConsPlusNormal"/>
              <w:jc w:val="center"/>
            </w:pPr>
            <w:r>
              <w:t>2021</w:t>
            </w:r>
          </w:p>
        </w:tc>
        <w:tc>
          <w:tcPr>
            <w:tcW w:w="1417" w:type="dxa"/>
            <w:vMerge/>
          </w:tcPr>
          <w:p w14:paraId="5575EE1D" w14:textId="77777777" w:rsidR="00454A29" w:rsidRDefault="00454A29"/>
        </w:tc>
        <w:tc>
          <w:tcPr>
            <w:tcW w:w="2204" w:type="dxa"/>
            <w:vMerge/>
          </w:tcPr>
          <w:p w14:paraId="283CB7E3" w14:textId="77777777" w:rsidR="00454A29" w:rsidRDefault="00454A29"/>
        </w:tc>
        <w:tc>
          <w:tcPr>
            <w:tcW w:w="1417" w:type="dxa"/>
            <w:vMerge/>
          </w:tcPr>
          <w:p w14:paraId="3C6741C7" w14:textId="77777777" w:rsidR="00454A29" w:rsidRDefault="00454A29"/>
        </w:tc>
        <w:tc>
          <w:tcPr>
            <w:tcW w:w="2324" w:type="dxa"/>
            <w:vMerge/>
          </w:tcPr>
          <w:p w14:paraId="60533F9D" w14:textId="77777777" w:rsidR="00454A29" w:rsidRDefault="00454A29"/>
        </w:tc>
        <w:tc>
          <w:tcPr>
            <w:tcW w:w="1701" w:type="dxa"/>
            <w:vAlign w:val="center"/>
          </w:tcPr>
          <w:p w14:paraId="74BC5F72" w14:textId="77777777" w:rsidR="00454A29" w:rsidRDefault="00454A29">
            <w:pPr>
              <w:pStyle w:val="ConsPlusNormal"/>
            </w:pPr>
          </w:p>
        </w:tc>
        <w:tc>
          <w:tcPr>
            <w:tcW w:w="1814" w:type="dxa"/>
            <w:vAlign w:val="center"/>
          </w:tcPr>
          <w:p w14:paraId="79A68A74" w14:textId="77777777" w:rsidR="00454A29" w:rsidRDefault="00454A29">
            <w:pPr>
              <w:pStyle w:val="ConsPlusNormal"/>
            </w:pPr>
          </w:p>
        </w:tc>
        <w:tc>
          <w:tcPr>
            <w:tcW w:w="1701" w:type="dxa"/>
            <w:vAlign w:val="center"/>
          </w:tcPr>
          <w:p w14:paraId="051A6FAB" w14:textId="77777777" w:rsidR="00454A29" w:rsidRDefault="00454A29">
            <w:pPr>
              <w:pStyle w:val="ConsPlusNormal"/>
            </w:pPr>
          </w:p>
        </w:tc>
        <w:tc>
          <w:tcPr>
            <w:tcW w:w="1701" w:type="dxa"/>
            <w:vAlign w:val="center"/>
          </w:tcPr>
          <w:p w14:paraId="623A9968" w14:textId="77777777" w:rsidR="00454A29" w:rsidRDefault="00454A29">
            <w:pPr>
              <w:pStyle w:val="ConsPlusNormal"/>
            </w:pPr>
          </w:p>
        </w:tc>
        <w:tc>
          <w:tcPr>
            <w:tcW w:w="1814" w:type="dxa"/>
            <w:vAlign w:val="center"/>
          </w:tcPr>
          <w:p w14:paraId="7D1C2403" w14:textId="77777777" w:rsidR="00454A29" w:rsidRDefault="00454A29">
            <w:pPr>
              <w:pStyle w:val="ConsPlusNormal"/>
            </w:pPr>
          </w:p>
        </w:tc>
      </w:tr>
      <w:tr w:rsidR="00454A29" w14:paraId="4DFD3BD9" w14:textId="77777777">
        <w:tc>
          <w:tcPr>
            <w:tcW w:w="567" w:type="dxa"/>
            <w:vMerge/>
          </w:tcPr>
          <w:p w14:paraId="4B1DE0FA" w14:textId="77777777" w:rsidR="00454A29" w:rsidRDefault="00454A29"/>
        </w:tc>
        <w:tc>
          <w:tcPr>
            <w:tcW w:w="3345" w:type="dxa"/>
            <w:vMerge/>
          </w:tcPr>
          <w:p w14:paraId="544CAF89" w14:textId="77777777" w:rsidR="00454A29" w:rsidRDefault="00454A29"/>
        </w:tc>
        <w:tc>
          <w:tcPr>
            <w:tcW w:w="1701" w:type="dxa"/>
            <w:vAlign w:val="center"/>
          </w:tcPr>
          <w:p w14:paraId="1CF6F702" w14:textId="77777777" w:rsidR="00454A29" w:rsidRDefault="00454A29">
            <w:pPr>
              <w:pStyle w:val="ConsPlusNormal"/>
              <w:jc w:val="center"/>
            </w:pPr>
            <w:r>
              <w:t>2022</w:t>
            </w:r>
          </w:p>
        </w:tc>
        <w:tc>
          <w:tcPr>
            <w:tcW w:w="1417" w:type="dxa"/>
            <w:vMerge/>
          </w:tcPr>
          <w:p w14:paraId="496ED234" w14:textId="77777777" w:rsidR="00454A29" w:rsidRDefault="00454A29"/>
        </w:tc>
        <w:tc>
          <w:tcPr>
            <w:tcW w:w="2204" w:type="dxa"/>
            <w:vMerge/>
          </w:tcPr>
          <w:p w14:paraId="3B8303DC" w14:textId="77777777" w:rsidR="00454A29" w:rsidRDefault="00454A29"/>
        </w:tc>
        <w:tc>
          <w:tcPr>
            <w:tcW w:w="1417" w:type="dxa"/>
            <w:vMerge/>
          </w:tcPr>
          <w:p w14:paraId="2C37E923" w14:textId="77777777" w:rsidR="00454A29" w:rsidRDefault="00454A29"/>
        </w:tc>
        <w:tc>
          <w:tcPr>
            <w:tcW w:w="2324" w:type="dxa"/>
            <w:vMerge/>
          </w:tcPr>
          <w:p w14:paraId="77F7B1DD" w14:textId="77777777" w:rsidR="00454A29" w:rsidRDefault="00454A29"/>
        </w:tc>
        <w:tc>
          <w:tcPr>
            <w:tcW w:w="1701" w:type="dxa"/>
            <w:vAlign w:val="center"/>
          </w:tcPr>
          <w:p w14:paraId="746F566E" w14:textId="77777777" w:rsidR="00454A29" w:rsidRDefault="00454A29">
            <w:pPr>
              <w:pStyle w:val="ConsPlusNormal"/>
            </w:pPr>
          </w:p>
        </w:tc>
        <w:tc>
          <w:tcPr>
            <w:tcW w:w="1814" w:type="dxa"/>
            <w:vAlign w:val="center"/>
          </w:tcPr>
          <w:p w14:paraId="6E53B092" w14:textId="77777777" w:rsidR="00454A29" w:rsidRDefault="00454A29">
            <w:pPr>
              <w:pStyle w:val="ConsPlusNormal"/>
            </w:pPr>
          </w:p>
        </w:tc>
        <w:tc>
          <w:tcPr>
            <w:tcW w:w="1701" w:type="dxa"/>
            <w:vAlign w:val="center"/>
          </w:tcPr>
          <w:p w14:paraId="1BA9BF90" w14:textId="77777777" w:rsidR="00454A29" w:rsidRDefault="00454A29">
            <w:pPr>
              <w:pStyle w:val="ConsPlusNormal"/>
            </w:pPr>
          </w:p>
        </w:tc>
        <w:tc>
          <w:tcPr>
            <w:tcW w:w="1701" w:type="dxa"/>
            <w:vAlign w:val="center"/>
          </w:tcPr>
          <w:p w14:paraId="5A26A7CA" w14:textId="77777777" w:rsidR="00454A29" w:rsidRDefault="00454A29">
            <w:pPr>
              <w:pStyle w:val="ConsPlusNormal"/>
            </w:pPr>
          </w:p>
        </w:tc>
        <w:tc>
          <w:tcPr>
            <w:tcW w:w="1814" w:type="dxa"/>
            <w:vAlign w:val="center"/>
          </w:tcPr>
          <w:p w14:paraId="17FFDE3B" w14:textId="77777777" w:rsidR="00454A29" w:rsidRDefault="00454A29">
            <w:pPr>
              <w:pStyle w:val="ConsPlusNormal"/>
            </w:pPr>
          </w:p>
        </w:tc>
      </w:tr>
      <w:tr w:rsidR="00454A29" w14:paraId="1E120A3D" w14:textId="77777777">
        <w:tc>
          <w:tcPr>
            <w:tcW w:w="567" w:type="dxa"/>
            <w:vMerge/>
          </w:tcPr>
          <w:p w14:paraId="06EDD970" w14:textId="77777777" w:rsidR="00454A29" w:rsidRDefault="00454A29"/>
        </w:tc>
        <w:tc>
          <w:tcPr>
            <w:tcW w:w="3345" w:type="dxa"/>
            <w:vMerge/>
          </w:tcPr>
          <w:p w14:paraId="6DBB5CD9" w14:textId="77777777" w:rsidR="00454A29" w:rsidRDefault="00454A29"/>
        </w:tc>
        <w:tc>
          <w:tcPr>
            <w:tcW w:w="1701" w:type="dxa"/>
            <w:vAlign w:val="center"/>
          </w:tcPr>
          <w:p w14:paraId="47E5F5C1" w14:textId="77777777" w:rsidR="00454A29" w:rsidRDefault="00454A29">
            <w:pPr>
              <w:pStyle w:val="ConsPlusNormal"/>
              <w:jc w:val="center"/>
            </w:pPr>
            <w:r>
              <w:t>2023</w:t>
            </w:r>
          </w:p>
        </w:tc>
        <w:tc>
          <w:tcPr>
            <w:tcW w:w="1417" w:type="dxa"/>
            <w:vMerge/>
          </w:tcPr>
          <w:p w14:paraId="5C11CFF1" w14:textId="77777777" w:rsidR="00454A29" w:rsidRDefault="00454A29"/>
        </w:tc>
        <w:tc>
          <w:tcPr>
            <w:tcW w:w="2204" w:type="dxa"/>
            <w:vMerge/>
          </w:tcPr>
          <w:p w14:paraId="326340CB" w14:textId="77777777" w:rsidR="00454A29" w:rsidRDefault="00454A29"/>
        </w:tc>
        <w:tc>
          <w:tcPr>
            <w:tcW w:w="1417" w:type="dxa"/>
            <w:vMerge/>
          </w:tcPr>
          <w:p w14:paraId="24B98955" w14:textId="77777777" w:rsidR="00454A29" w:rsidRDefault="00454A29"/>
        </w:tc>
        <w:tc>
          <w:tcPr>
            <w:tcW w:w="2324" w:type="dxa"/>
            <w:vMerge/>
          </w:tcPr>
          <w:p w14:paraId="7CD656B2" w14:textId="77777777" w:rsidR="00454A29" w:rsidRDefault="00454A29"/>
        </w:tc>
        <w:tc>
          <w:tcPr>
            <w:tcW w:w="1701" w:type="dxa"/>
            <w:vAlign w:val="center"/>
          </w:tcPr>
          <w:p w14:paraId="45C8DC2E" w14:textId="77777777" w:rsidR="00454A29" w:rsidRDefault="00454A29">
            <w:pPr>
              <w:pStyle w:val="ConsPlusNormal"/>
              <w:jc w:val="center"/>
            </w:pPr>
            <w:r>
              <w:t>1 367 070,39</w:t>
            </w:r>
          </w:p>
        </w:tc>
        <w:tc>
          <w:tcPr>
            <w:tcW w:w="1814" w:type="dxa"/>
            <w:vAlign w:val="center"/>
          </w:tcPr>
          <w:p w14:paraId="45B3B1BE" w14:textId="77777777" w:rsidR="00454A29" w:rsidRDefault="00454A29">
            <w:pPr>
              <w:pStyle w:val="ConsPlusNormal"/>
              <w:jc w:val="center"/>
            </w:pPr>
            <w:r>
              <w:t>6 780,67</w:t>
            </w:r>
          </w:p>
        </w:tc>
        <w:tc>
          <w:tcPr>
            <w:tcW w:w="1701" w:type="dxa"/>
            <w:vAlign w:val="center"/>
          </w:tcPr>
          <w:p w14:paraId="19B6A87B" w14:textId="77777777" w:rsidR="00454A29" w:rsidRDefault="00454A29">
            <w:pPr>
              <w:pStyle w:val="ConsPlusNormal"/>
              <w:jc w:val="center"/>
            </w:pPr>
            <w:r>
              <w:t>671 286,24</w:t>
            </w:r>
          </w:p>
        </w:tc>
        <w:tc>
          <w:tcPr>
            <w:tcW w:w="1701" w:type="dxa"/>
            <w:vAlign w:val="center"/>
          </w:tcPr>
          <w:p w14:paraId="0F6A4416" w14:textId="77777777" w:rsidR="00454A29" w:rsidRDefault="00454A29">
            <w:pPr>
              <w:pStyle w:val="ConsPlusNormal"/>
            </w:pPr>
          </w:p>
        </w:tc>
        <w:tc>
          <w:tcPr>
            <w:tcW w:w="1814" w:type="dxa"/>
            <w:vAlign w:val="center"/>
          </w:tcPr>
          <w:p w14:paraId="7AC2CBD1" w14:textId="77777777" w:rsidR="00454A29" w:rsidRDefault="00454A29">
            <w:pPr>
              <w:pStyle w:val="ConsPlusNormal"/>
            </w:pPr>
          </w:p>
        </w:tc>
      </w:tr>
      <w:tr w:rsidR="00454A29" w14:paraId="35322FF5" w14:textId="77777777">
        <w:tc>
          <w:tcPr>
            <w:tcW w:w="567" w:type="dxa"/>
            <w:vMerge/>
          </w:tcPr>
          <w:p w14:paraId="351F7CA2" w14:textId="77777777" w:rsidR="00454A29" w:rsidRDefault="00454A29"/>
        </w:tc>
        <w:tc>
          <w:tcPr>
            <w:tcW w:w="3345" w:type="dxa"/>
            <w:vMerge/>
          </w:tcPr>
          <w:p w14:paraId="13FD2EB7" w14:textId="77777777" w:rsidR="00454A29" w:rsidRDefault="00454A29"/>
        </w:tc>
        <w:tc>
          <w:tcPr>
            <w:tcW w:w="1701" w:type="dxa"/>
            <w:vAlign w:val="center"/>
          </w:tcPr>
          <w:p w14:paraId="72F5F07A" w14:textId="77777777" w:rsidR="00454A29" w:rsidRDefault="00454A29">
            <w:pPr>
              <w:pStyle w:val="ConsPlusNormal"/>
              <w:jc w:val="center"/>
            </w:pPr>
            <w:r>
              <w:t>2024</w:t>
            </w:r>
          </w:p>
        </w:tc>
        <w:tc>
          <w:tcPr>
            <w:tcW w:w="1417" w:type="dxa"/>
            <w:vMerge/>
          </w:tcPr>
          <w:p w14:paraId="60177BE5" w14:textId="77777777" w:rsidR="00454A29" w:rsidRDefault="00454A29"/>
        </w:tc>
        <w:tc>
          <w:tcPr>
            <w:tcW w:w="2204" w:type="dxa"/>
            <w:vMerge/>
          </w:tcPr>
          <w:p w14:paraId="7FF8D887" w14:textId="77777777" w:rsidR="00454A29" w:rsidRDefault="00454A29"/>
        </w:tc>
        <w:tc>
          <w:tcPr>
            <w:tcW w:w="1417" w:type="dxa"/>
            <w:vMerge/>
          </w:tcPr>
          <w:p w14:paraId="0897B92B" w14:textId="77777777" w:rsidR="00454A29" w:rsidRDefault="00454A29"/>
        </w:tc>
        <w:tc>
          <w:tcPr>
            <w:tcW w:w="2324" w:type="dxa"/>
            <w:vMerge/>
          </w:tcPr>
          <w:p w14:paraId="3FA75F7E" w14:textId="77777777" w:rsidR="00454A29" w:rsidRDefault="00454A29"/>
        </w:tc>
        <w:tc>
          <w:tcPr>
            <w:tcW w:w="1701" w:type="dxa"/>
            <w:vAlign w:val="center"/>
          </w:tcPr>
          <w:p w14:paraId="13073972" w14:textId="77777777" w:rsidR="00454A29" w:rsidRDefault="00454A29">
            <w:pPr>
              <w:pStyle w:val="ConsPlusNormal"/>
            </w:pPr>
          </w:p>
        </w:tc>
        <w:tc>
          <w:tcPr>
            <w:tcW w:w="1814" w:type="dxa"/>
            <w:vAlign w:val="center"/>
          </w:tcPr>
          <w:p w14:paraId="173387A2" w14:textId="77777777" w:rsidR="00454A29" w:rsidRDefault="00454A29">
            <w:pPr>
              <w:pStyle w:val="ConsPlusNormal"/>
            </w:pPr>
          </w:p>
        </w:tc>
        <w:tc>
          <w:tcPr>
            <w:tcW w:w="1701" w:type="dxa"/>
            <w:vAlign w:val="center"/>
          </w:tcPr>
          <w:p w14:paraId="2EE714B0" w14:textId="77777777" w:rsidR="00454A29" w:rsidRDefault="00454A29">
            <w:pPr>
              <w:pStyle w:val="ConsPlusNormal"/>
            </w:pPr>
          </w:p>
        </w:tc>
        <w:tc>
          <w:tcPr>
            <w:tcW w:w="1701" w:type="dxa"/>
            <w:vAlign w:val="center"/>
          </w:tcPr>
          <w:p w14:paraId="72117EAC" w14:textId="77777777" w:rsidR="00454A29" w:rsidRDefault="00454A29">
            <w:pPr>
              <w:pStyle w:val="ConsPlusNormal"/>
            </w:pPr>
          </w:p>
        </w:tc>
        <w:tc>
          <w:tcPr>
            <w:tcW w:w="1814" w:type="dxa"/>
            <w:vAlign w:val="center"/>
          </w:tcPr>
          <w:p w14:paraId="24358B6A" w14:textId="77777777" w:rsidR="00454A29" w:rsidRDefault="00454A29">
            <w:pPr>
              <w:pStyle w:val="ConsPlusNormal"/>
            </w:pPr>
          </w:p>
        </w:tc>
      </w:tr>
      <w:tr w:rsidR="00454A29" w14:paraId="5FFE843A" w14:textId="77777777">
        <w:tc>
          <w:tcPr>
            <w:tcW w:w="567" w:type="dxa"/>
            <w:vMerge/>
          </w:tcPr>
          <w:p w14:paraId="6166AAA9" w14:textId="77777777" w:rsidR="00454A29" w:rsidRDefault="00454A29"/>
        </w:tc>
        <w:tc>
          <w:tcPr>
            <w:tcW w:w="3345" w:type="dxa"/>
            <w:vMerge/>
          </w:tcPr>
          <w:p w14:paraId="3AADFB5F" w14:textId="77777777" w:rsidR="00454A29" w:rsidRDefault="00454A29"/>
        </w:tc>
        <w:tc>
          <w:tcPr>
            <w:tcW w:w="1701" w:type="dxa"/>
            <w:vAlign w:val="center"/>
          </w:tcPr>
          <w:p w14:paraId="3F914D85" w14:textId="77777777" w:rsidR="00454A29" w:rsidRDefault="00454A29">
            <w:pPr>
              <w:pStyle w:val="ConsPlusNormal"/>
              <w:jc w:val="center"/>
            </w:pPr>
            <w:r>
              <w:t>2025</w:t>
            </w:r>
          </w:p>
        </w:tc>
        <w:tc>
          <w:tcPr>
            <w:tcW w:w="1417" w:type="dxa"/>
            <w:vMerge/>
          </w:tcPr>
          <w:p w14:paraId="4457B145" w14:textId="77777777" w:rsidR="00454A29" w:rsidRDefault="00454A29"/>
        </w:tc>
        <w:tc>
          <w:tcPr>
            <w:tcW w:w="2204" w:type="dxa"/>
            <w:vMerge/>
          </w:tcPr>
          <w:p w14:paraId="7338889E" w14:textId="77777777" w:rsidR="00454A29" w:rsidRDefault="00454A29"/>
        </w:tc>
        <w:tc>
          <w:tcPr>
            <w:tcW w:w="1417" w:type="dxa"/>
            <w:vMerge/>
          </w:tcPr>
          <w:p w14:paraId="5ADE0C75" w14:textId="77777777" w:rsidR="00454A29" w:rsidRDefault="00454A29"/>
        </w:tc>
        <w:tc>
          <w:tcPr>
            <w:tcW w:w="2324" w:type="dxa"/>
            <w:vMerge/>
          </w:tcPr>
          <w:p w14:paraId="1390D679" w14:textId="77777777" w:rsidR="00454A29" w:rsidRDefault="00454A29"/>
        </w:tc>
        <w:tc>
          <w:tcPr>
            <w:tcW w:w="1701" w:type="dxa"/>
            <w:vAlign w:val="center"/>
          </w:tcPr>
          <w:p w14:paraId="36809E00" w14:textId="77777777" w:rsidR="00454A29" w:rsidRDefault="00454A29">
            <w:pPr>
              <w:pStyle w:val="ConsPlusNormal"/>
            </w:pPr>
          </w:p>
        </w:tc>
        <w:tc>
          <w:tcPr>
            <w:tcW w:w="1814" w:type="dxa"/>
            <w:vAlign w:val="center"/>
          </w:tcPr>
          <w:p w14:paraId="7F3A28C2" w14:textId="77777777" w:rsidR="00454A29" w:rsidRDefault="00454A29">
            <w:pPr>
              <w:pStyle w:val="ConsPlusNormal"/>
            </w:pPr>
          </w:p>
        </w:tc>
        <w:tc>
          <w:tcPr>
            <w:tcW w:w="1701" w:type="dxa"/>
            <w:vAlign w:val="center"/>
          </w:tcPr>
          <w:p w14:paraId="753A949B" w14:textId="77777777" w:rsidR="00454A29" w:rsidRDefault="00454A29">
            <w:pPr>
              <w:pStyle w:val="ConsPlusNormal"/>
            </w:pPr>
          </w:p>
        </w:tc>
        <w:tc>
          <w:tcPr>
            <w:tcW w:w="1701" w:type="dxa"/>
            <w:vAlign w:val="center"/>
          </w:tcPr>
          <w:p w14:paraId="63640182" w14:textId="77777777" w:rsidR="00454A29" w:rsidRDefault="00454A29">
            <w:pPr>
              <w:pStyle w:val="ConsPlusNormal"/>
            </w:pPr>
          </w:p>
        </w:tc>
        <w:tc>
          <w:tcPr>
            <w:tcW w:w="1814" w:type="dxa"/>
            <w:vAlign w:val="center"/>
          </w:tcPr>
          <w:p w14:paraId="0E9AB42B" w14:textId="77777777" w:rsidR="00454A29" w:rsidRDefault="00454A29">
            <w:pPr>
              <w:pStyle w:val="ConsPlusNormal"/>
            </w:pPr>
          </w:p>
        </w:tc>
      </w:tr>
      <w:tr w:rsidR="00454A29" w14:paraId="1B58F2C4" w14:textId="77777777">
        <w:tc>
          <w:tcPr>
            <w:tcW w:w="567" w:type="dxa"/>
            <w:vMerge/>
          </w:tcPr>
          <w:p w14:paraId="42237E29" w14:textId="77777777" w:rsidR="00454A29" w:rsidRDefault="00454A29"/>
        </w:tc>
        <w:tc>
          <w:tcPr>
            <w:tcW w:w="3345" w:type="dxa"/>
            <w:vMerge/>
          </w:tcPr>
          <w:p w14:paraId="66ABC39C" w14:textId="77777777" w:rsidR="00454A29" w:rsidRDefault="00454A29"/>
        </w:tc>
        <w:tc>
          <w:tcPr>
            <w:tcW w:w="1701" w:type="dxa"/>
            <w:vAlign w:val="center"/>
          </w:tcPr>
          <w:p w14:paraId="667C13E8" w14:textId="77777777" w:rsidR="00454A29" w:rsidRDefault="00454A29">
            <w:pPr>
              <w:pStyle w:val="ConsPlusNormal"/>
              <w:jc w:val="center"/>
            </w:pPr>
            <w:r>
              <w:t>2026</w:t>
            </w:r>
          </w:p>
        </w:tc>
        <w:tc>
          <w:tcPr>
            <w:tcW w:w="1417" w:type="dxa"/>
            <w:vMerge/>
          </w:tcPr>
          <w:p w14:paraId="41149C20" w14:textId="77777777" w:rsidR="00454A29" w:rsidRDefault="00454A29"/>
        </w:tc>
        <w:tc>
          <w:tcPr>
            <w:tcW w:w="2204" w:type="dxa"/>
            <w:vMerge/>
          </w:tcPr>
          <w:p w14:paraId="4EB6403B" w14:textId="77777777" w:rsidR="00454A29" w:rsidRDefault="00454A29"/>
        </w:tc>
        <w:tc>
          <w:tcPr>
            <w:tcW w:w="1417" w:type="dxa"/>
            <w:vMerge/>
          </w:tcPr>
          <w:p w14:paraId="40CAF1A6" w14:textId="77777777" w:rsidR="00454A29" w:rsidRDefault="00454A29"/>
        </w:tc>
        <w:tc>
          <w:tcPr>
            <w:tcW w:w="2324" w:type="dxa"/>
            <w:vMerge/>
          </w:tcPr>
          <w:p w14:paraId="44A53B74" w14:textId="77777777" w:rsidR="00454A29" w:rsidRDefault="00454A29"/>
        </w:tc>
        <w:tc>
          <w:tcPr>
            <w:tcW w:w="1701" w:type="dxa"/>
            <w:vAlign w:val="center"/>
          </w:tcPr>
          <w:p w14:paraId="11E6BC4B" w14:textId="77777777" w:rsidR="00454A29" w:rsidRDefault="00454A29">
            <w:pPr>
              <w:pStyle w:val="ConsPlusNormal"/>
            </w:pPr>
          </w:p>
        </w:tc>
        <w:tc>
          <w:tcPr>
            <w:tcW w:w="1814" w:type="dxa"/>
            <w:vAlign w:val="center"/>
          </w:tcPr>
          <w:p w14:paraId="5BD232FB" w14:textId="77777777" w:rsidR="00454A29" w:rsidRDefault="00454A29">
            <w:pPr>
              <w:pStyle w:val="ConsPlusNormal"/>
            </w:pPr>
          </w:p>
        </w:tc>
        <w:tc>
          <w:tcPr>
            <w:tcW w:w="1701" w:type="dxa"/>
            <w:vAlign w:val="center"/>
          </w:tcPr>
          <w:p w14:paraId="29FAA7B1" w14:textId="77777777" w:rsidR="00454A29" w:rsidRDefault="00454A29">
            <w:pPr>
              <w:pStyle w:val="ConsPlusNormal"/>
            </w:pPr>
          </w:p>
        </w:tc>
        <w:tc>
          <w:tcPr>
            <w:tcW w:w="1701" w:type="dxa"/>
            <w:vAlign w:val="center"/>
          </w:tcPr>
          <w:p w14:paraId="10000958" w14:textId="77777777" w:rsidR="00454A29" w:rsidRDefault="00454A29">
            <w:pPr>
              <w:pStyle w:val="ConsPlusNormal"/>
            </w:pPr>
          </w:p>
        </w:tc>
        <w:tc>
          <w:tcPr>
            <w:tcW w:w="1814" w:type="dxa"/>
            <w:vAlign w:val="center"/>
          </w:tcPr>
          <w:p w14:paraId="6C7338DA" w14:textId="77777777" w:rsidR="00454A29" w:rsidRDefault="00454A29">
            <w:pPr>
              <w:pStyle w:val="ConsPlusNormal"/>
            </w:pPr>
          </w:p>
        </w:tc>
      </w:tr>
      <w:tr w:rsidR="00454A29" w14:paraId="59E155B9" w14:textId="77777777">
        <w:tc>
          <w:tcPr>
            <w:tcW w:w="567" w:type="dxa"/>
            <w:vMerge w:val="restart"/>
            <w:vAlign w:val="center"/>
          </w:tcPr>
          <w:p w14:paraId="3E660E83" w14:textId="77777777" w:rsidR="00454A29" w:rsidRDefault="00454A29">
            <w:pPr>
              <w:pStyle w:val="ConsPlusNormal"/>
              <w:jc w:val="center"/>
            </w:pPr>
            <w:r>
              <w:lastRenderedPageBreak/>
              <w:t>41</w:t>
            </w:r>
          </w:p>
        </w:tc>
        <w:tc>
          <w:tcPr>
            <w:tcW w:w="3345" w:type="dxa"/>
            <w:vMerge w:val="restart"/>
            <w:vAlign w:val="center"/>
          </w:tcPr>
          <w:p w14:paraId="6C47921A" w14:textId="77777777" w:rsidR="00454A29" w:rsidRDefault="00454A29">
            <w:pPr>
              <w:pStyle w:val="ConsPlusNormal"/>
              <w:jc w:val="center"/>
            </w:pPr>
            <w:r>
              <w:t>Школа на 80 мест в с. Тербяс</w:t>
            </w:r>
          </w:p>
        </w:tc>
        <w:tc>
          <w:tcPr>
            <w:tcW w:w="1701" w:type="dxa"/>
            <w:vAlign w:val="center"/>
          </w:tcPr>
          <w:p w14:paraId="10BCD979" w14:textId="77777777" w:rsidR="00454A29" w:rsidRDefault="00454A29">
            <w:pPr>
              <w:pStyle w:val="ConsPlusNormal"/>
              <w:jc w:val="center"/>
            </w:pPr>
            <w:r>
              <w:t>2020 - 2026 годы - всего</w:t>
            </w:r>
          </w:p>
        </w:tc>
        <w:tc>
          <w:tcPr>
            <w:tcW w:w="1417" w:type="dxa"/>
            <w:vMerge w:val="restart"/>
            <w:vAlign w:val="center"/>
          </w:tcPr>
          <w:p w14:paraId="37EFAB55" w14:textId="77777777" w:rsidR="00454A29" w:rsidRDefault="00454A29">
            <w:pPr>
              <w:pStyle w:val="ConsPlusNormal"/>
              <w:jc w:val="center"/>
            </w:pPr>
            <w:r>
              <w:t>294 259,62</w:t>
            </w:r>
          </w:p>
        </w:tc>
        <w:tc>
          <w:tcPr>
            <w:tcW w:w="2204" w:type="dxa"/>
            <w:vMerge w:val="restart"/>
            <w:vAlign w:val="center"/>
          </w:tcPr>
          <w:p w14:paraId="008CB473" w14:textId="77777777" w:rsidR="00454A29" w:rsidRDefault="00454A29">
            <w:pPr>
              <w:pStyle w:val="ConsPlusNormal"/>
            </w:pPr>
          </w:p>
        </w:tc>
        <w:tc>
          <w:tcPr>
            <w:tcW w:w="1417" w:type="dxa"/>
            <w:vMerge w:val="restart"/>
            <w:vAlign w:val="center"/>
          </w:tcPr>
          <w:p w14:paraId="30F347B7" w14:textId="77777777" w:rsidR="00454A29" w:rsidRDefault="00454A29">
            <w:pPr>
              <w:pStyle w:val="ConsPlusNormal"/>
              <w:jc w:val="center"/>
            </w:pPr>
            <w:r>
              <w:t>80</w:t>
            </w:r>
          </w:p>
        </w:tc>
        <w:tc>
          <w:tcPr>
            <w:tcW w:w="2324" w:type="dxa"/>
            <w:vMerge w:val="restart"/>
            <w:vAlign w:val="center"/>
          </w:tcPr>
          <w:p w14:paraId="00130A3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57B403F" w14:textId="77777777" w:rsidR="00454A29" w:rsidRDefault="00454A29">
            <w:pPr>
              <w:pStyle w:val="ConsPlusNormal"/>
              <w:jc w:val="center"/>
            </w:pPr>
            <w:r>
              <w:t>294 259,62</w:t>
            </w:r>
          </w:p>
        </w:tc>
        <w:tc>
          <w:tcPr>
            <w:tcW w:w="1814" w:type="dxa"/>
            <w:vAlign w:val="center"/>
          </w:tcPr>
          <w:p w14:paraId="145CA0CC" w14:textId="77777777" w:rsidR="00454A29" w:rsidRDefault="00454A29">
            <w:pPr>
              <w:pStyle w:val="ConsPlusNormal"/>
              <w:jc w:val="center"/>
            </w:pPr>
            <w:r>
              <w:t>3 625,28</w:t>
            </w:r>
          </w:p>
        </w:tc>
        <w:tc>
          <w:tcPr>
            <w:tcW w:w="1701" w:type="dxa"/>
            <w:vAlign w:val="center"/>
          </w:tcPr>
          <w:p w14:paraId="40916AD5" w14:textId="77777777" w:rsidR="00454A29" w:rsidRDefault="00454A29">
            <w:pPr>
              <w:pStyle w:val="ConsPlusNormal"/>
              <w:jc w:val="center"/>
            </w:pPr>
            <w:r>
              <w:t>358 902,57</w:t>
            </w:r>
          </w:p>
        </w:tc>
        <w:tc>
          <w:tcPr>
            <w:tcW w:w="1701" w:type="dxa"/>
            <w:vAlign w:val="center"/>
          </w:tcPr>
          <w:p w14:paraId="25BC341D" w14:textId="77777777" w:rsidR="00454A29" w:rsidRDefault="00454A29">
            <w:pPr>
              <w:pStyle w:val="ConsPlusNormal"/>
              <w:jc w:val="center"/>
            </w:pPr>
            <w:r>
              <w:t>-</w:t>
            </w:r>
          </w:p>
        </w:tc>
        <w:tc>
          <w:tcPr>
            <w:tcW w:w="1814" w:type="dxa"/>
            <w:vAlign w:val="center"/>
          </w:tcPr>
          <w:p w14:paraId="402801FE" w14:textId="77777777" w:rsidR="00454A29" w:rsidRDefault="00454A29">
            <w:pPr>
              <w:pStyle w:val="ConsPlusNormal"/>
              <w:jc w:val="center"/>
            </w:pPr>
            <w:r>
              <w:t>-</w:t>
            </w:r>
          </w:p>
        </w:tc>
      </w:tr>
      <w:tr w:rsidR="00454A29" w14:paraId="235794C4" w14:textId="77777777">
        <w:tc>
          <w:tcPr>
            <w:tcW w:w="567" w:type="dxa"/>
            <w:vMerge/>
          </w:tcPr>
          <w:p w14:paraId="34A27BFD" w14:textId="77777777" w:rsidR="00454A29" w:rsidRDefault="00454A29"/>
        </w:tc>
        <w:tc>
          <w:tcPr>
            <w:tcW w:w="3345" w:type="dxa"/>
            <w:vMerge/>
          </w:tcPr>
          <w:p w14:paraId="587B7452" w14:textId="77777777" w:rsidR="00454A29" w:rsidRDefault="00454A29"/>
        </w:tc>
        <w:tc>
          <w:tcPr>
            <w:tcW w:w="1701" w:type="dxa"/>
            <w:vAlign w:val="center"/>
          </w:tcPr>
          <w:p w14:paraId="132A5EB6" w14:textId="77777777" w:rsidR="00454A29" w:rsidRDefault="00454A29">
            <w:pPr>
              <w:pStyle w:val="ConsPlusNormal"/>
              <w:jc w:val="center"/>
            </w:pPr>
            <w:r>
              <w:t>2020</w:t>
            </w:r>
          </w:p>
        </w:tc>
        <w:tc>
          <w:tcPr>
            <w:tcW w:w="1417" w:type="dxa"/>
            <w:vMerge/>
          </w:tcPr>
          <w:p w14:paraId="5B801554" w14:textId="77777777" w:rsidR="00454A29" w:rsidRDefault="00454A29"/>
        </w:tc>
        <w:tc>
          <w:tcPr>
            <w:tcW w:w="2204" w:type="dxa"/>
            <w:vMerge/>
          </w:tcPr>
          <w:p w14:paraId="5BBF0D9B" w14:textId="77777777" w:rsidR="00454A29" w:rsidRDefault="00454A29"/>
        </w:tc>
        <w:tc>
          <w:tcPr>
            <w:tcW w:w="1417" w:type="dxa"/>
            <w:vMerge/>
          </w:tcPr>
          <w:p w14:paraId="4B79E832" w14:textId="77777777" w:rsidR="00454A29" w:rsidRDefault="00454A29"/>
        </w:tc>
        <w:tc>
          <w:tcPr>
            <w:tcW w:w="2324" w:type="dxa"/>
            <w:vMerge/>
          </w:tcPr>
          <w:p w14:paraId="1ECDADCB" w14:textId="77777777" w:rsidR="00454A29" w:rsidRDefault="00454A29"/>
        </w:tc>
        <w:tc>
          <w:tcPr>
            <w:tcW w:w="1701" w:type="dxa"/>
            <w:vAlign w:val="center"/>
          </w:tcPr>
          <w:p w14:paraId="5391003D" w14:textId="77777777" w:rsidR="00454A29" w:rsidRDefault="00454A29">
            <w:pPr>
              <w:pStyle w:val="ConsPlusNormal"/>
            </w:pPr>
          </w:p>
        </w:tc>
        <w:tc>
          <w:tcPr>
            <w:tcW w:w="1814" w:type="dxa"/>
            <w:vAlign w:val="center"/>
          </w:tcPr>
          <w:p w14:paraId="7CC3068A" w14:textId="77777777" w:rsidR="00454A29" w:rsidRDefault="00454A29">
            <w:pPr>
              <w:pStyle w:val="ConsPlusNormal"/>
            </w:pPr>
          </w:p>
        </w:tc>
        <w:tc>
          <w:tcPr>
            <w:tcW w:w="1701" w:type="dxa"/>
            <w:vAlign w:val="center"/>
          </w:tcPr>
          <w:p w14:paraId="60DEC8ED" w14:textId="77777777" w:rsidR="00454A29" w:rsidRDefault="00454A29">
            <w:pPr>
              <w:pStyle w:val="ConsPlusNormal"/>
            </w:pPr>
          </w:p>
        </w:tc>
        <w:tc>
          <w:tcPr>
            <w:tcW w:w="1701" w:type="dxa"/>
            <w:vAlign w:val="center"/>
          </w:tcPr>
          <w:p w14:paraId="5DCF2268" w14:textId="77777777" w:rsidR="00454A29" w:rsidRDefault="00454A29">
            <w:pPr>
              <w:pStyle w:val="ConsPlusNormal"/>
            </w:pPr>
          </w:p>
        </w:tc>
        <w:tc>
          <w:tcPr>
            <w:tcW w:w="1814" w:type="dxa"/>
            <w:vAlign w:val="center"/>
          </w:tcPr>
          <w:p w14:paraId="6E67E8B7" w14:textId="77777777" w:rsidR="00454A29" w:rsidRDefault="00454A29">
            <w:pPr>
              <w:pStyle w:val="ConsPlusNormal"/>
            </w:pPr>
          </w:p>
        </w:tc>
      </w:tr>
      <w:tr w:rsidR="00454A29" w14:paraId="0B7E0F51" w14:textId="77777777">
        <w:tc>
          <w:tcPr>
            <w:tcW w:w="567" w:type="dxa"/>
            <w:vMerge/>
          </w:tcPr>
          <w:p w14:paraId="71F2E669" w14:textId="77777777" w:rsidR="00454A29" w:rsidRDefault="00454A29"/>
        </w:tc>
        <w:tc>
          <w:tcPr>
            <w:tcW w:w="3345" w:type="dxa"/>
            <w:vMerge/>
          </w:tcPr>
          <w:p w14:paraId="0E7E47BA" w14:textId="77777777" w:rsidR="00454A29" w:rsidRDefault="00454A29"/>
        </w:tc>
        <w:tc>
          <w:tcPr>
            <w:tcW w:w="1701" w:type="dxa"/>
            <w:vAlign w:val="center"/>
          </w:tcPr>
          <w:p w14:paraId="1D926E88" w14:textId="77777777" w:rsidR="00454A29" w:rsidRDefault="00454A29">
            <w:pPr>
              <w:pStyle w:val="ConsPlusNormal"/>
              <w:jc w:val="center"/>
            </w:pPr>
            <w:r>
              <w:t>2021</w:t>
            </w:r>
          </w:p>
        </w:tc>
        <w:tc>
          <w:tcPr>
            <w:tcW w:w="1417" w:type="dxa"/>
            <w:vMerge/>
          </w:tcPr>
          <w:p w14:paraId="15A72795" w14:textId="77777777" w:rsidR="00454A29" w:rsidRDefault="00454A29"/>
        </w:tc>
        <w:tc>
          <w:tcPr>
            <w:tcW w:w="2204" w:type="dxa"/>
            <w:vMerge/>
          </w:tcPr>
          <w:p w14:paraId="48A6403E" w14:textId="77777777" w:rsidR="00454A29" w:rsidRDefault="00454A29"/>
        </w:tc>
        <w:tc>
          <w:tcPr>
            <w:tcW w:w="1417" w:type="dxa"/>
            <w:vMerge/>
          </w:tcPr>
          <w:p w14:paraId="2CFB5E72" w14:textId="77777777" w:rsidR="00454A29" w:rsidRDefault="00454A29"/>
        </w:tc>
        <w:tc>
          <w:tcPr>
            <w:tcW w:w="2324" w:type="dxa"/>
            <w:vMerge/>
          </w:tcPr>
          <w:p w14:paraId="4262FFAD" w14:textId="77777777" w:rsidR="00454A29" w:rsidRDefault="00454A29"/>
        </w:tc>
        <w:tc>
          <w:tcPr>
            <w:tcW w:w="1701" w:type="dxa"/>
            <w:vAlign w:val="center"/>
          </w:tcPr>
          <w:p w14:paraId="6AF75587" w14:textId="77777777" w:rsidR="00454A29" w:rsidRDefault="00454A29">
            <w:pPr>
              <w:pStyle w:val="ConsPlusNormal"/>
            </w:pPr>
          </w:p>
        </w:tc>
        <w:tc>
          <w:tcPr>
            <w:tcW w:w="1814" w:type="dxa"/>
            <w:vAlign w:val="center"/>
          </w:tcPr>
          <w:p w14:paraId="2D991966" w14:textId="77777777" w:rsidR="00454A29" w:rsidRDefault="00454A29">
            <w:pPr>
              <w:pStyle w:val="ConsPlusNormal"/>
            </w:pPr>
          </w:p>
        </w:tc>
        <w:tc>
          <w:tcPr>
            <w:tcW w:w="1701" w:type="dxa"/>
            <w:vAlign w:val="center"/>
          </w:tcPr>
          <w:p w14:paraId="6570338C" w14:textId="77777777" w:rsidR="00454A29" w:rsidRDefault="00454A29">
            <w:pPr>
              <w:pStyle w:val="ConsPlusNormal"/>
            </w:pPr>
          </w:p>
        </w:tc>
        <w:tc>
          <w:tcPr>
            <w:tcW w:w="1701" w:type="dxa"/>
            <w:vAlign w:val="center"/>
          </w:tcPr>
          <w:p w14:paraId="1C76655E" w14:textId="77777777" w:rsidR="00454A29" w:rsidRDefault="00454A29">
            <w:pPr>
              <w:pStyle w:val="ConsPlusNormal"/>
            </w:pPr>
          </w:p>
        </w:tc>
        <w:tc>
          <w:tcPr>
            <w:tcW w:w="1814" w:type="dxa"/>
            <w:vAlign w:val="center"/>
          </w:tcPr>
          <w:p w14:paraId="051B8305" w14:textId="77777777" w:rsidR="00454A29" w:rsidRDefault="00454A29">
            <w:pPr>
              <w:pStyle w:val="ConsPlusNormal"/>
            </w:pPr>
          </w:p>
        </w:tc>
      </w:tr>
      <w:tr w:rsidR="00454A29" w14:paraId="0F2F0988" w14:textId="77777777">
        <w:tc>
          <w:tcPr>
            <w:tcW w:w="567" w:type="dxa"/>
            <w:vMerge/>
          </w:tcPr>
          <w:p w14:paraId="7E1E4840" w14:textId="77777777" w:rsidR="00454A29" w:rsidRDefault="00454A29"/>
        </w:tc>
        <w:tc>
          <w:tcPr>
            <w:tcW w:w="3345" w:type="dxa"/>
            <w:vMerge/>
          </w:tcPr>
          <w:p w14:paraId="6AC6B76F" w14:textId="77777777" w:rsidR="00454A29" w:rsidRDefault="00454A29"/>
        </w:tc>
        <w:tc>
          <w:tcPr>
            <w:tcW w:w="1701" w:type="dxa"/>
            <w:vAlign w:val="center"/>
          </w:tcPr>
          <w:p w14:paraId="647804A6" w14:textId="77777777" w:rsidR="00454A29" w:rsidRDefault="00454A29">
            <w:pPr>
              <w:pStyle w:val="ConsPlusNormal"/>
              <w:jc w:val="center"/>
            </w:pPr>
            <w:r>
              <w:t>2022</w:t>
            </w:r>
          </w:p>
        </w:tc>
        <w:tc>
          <w:tcPr>
            <w:tcW w:w="1417" w:type="dxa"/>
            <w:vMerge/>
          </w:tcPr>
          <w:p w14:paraId="6B5740B9" w14:textId="77777777" w:rsidR="00454A29" w:rsidRDefault="00454A29"/>
        </w:tc>
        <w:tc>
          <w:tcPr>
            <w:tcW w:w="2204" w:type="dxa"/>
            <w:vMerge/>
          </w:tcPr>
          <w:p w14:paraId="0D5AF30B" w14:textId="77777777" w:rsidR="00454A29" w:rsidRDefault="00454A29"/>
        </w:tc>
        <w:tc>
          <w:tcPr>
            <w:tcW w:w="1417" w:type="dxa"/>
            <w:vMerge/>
          </w:tcPr>
          <w:p w14:paraId="752AADF5" w14:textId="77777777" w:rsidR="00454A29" w:rsidRDefault="00454A29"/>
        </w:tc>
        <w:tc>
          <w:tcPr>
            <w:tcW w:w="2324" w:type="dxa"/>
            <w:vMerge/>
          </w:tcPr>
          <w:p w14:paraId="01607C5B" w14:textId="77777777" w:rsidR="00454A29" w:rsidRDefault="00454A29"/>
        </w:tc>
        <w:tc>
          <w:tcPr>
            <w:tcW w:w="1701" w:type="dxa"/>
            <w:vAlign w:val="center"/>
          </w:tcPr>
          <w:p w14:paraId="6D8F5558" w14:textId="77777777" w:rsidR="00454A29" w:rsidRDefault="00454A29">
            <w:pPr>
              <w:pStyle w:val="ConsPlusNormal"/>
            </w:pPr>
          </w:p>
        </w:tc>
        <w:tc>
          <w:tcPr>
            <w:tcW w:w="1814" w:type="dxa"/>
            <w:vAlign w:val="center"/>
          </w:tcPr>
          <w:p w14:paraId="2ECA0A35" w14:textId="77777777" w:rsidR="00454A29" w:rsidRDefault="00454A29">
            <w:pPr>
              <w:pStyle w:val="ConsPlusNormal"/>
            </w:pPr>
          </w:p>
        </w:tc>
        <w:tc>
          <w:tcPr>
            <w:tcW w:w="1701" w:type="dxa"/>
            <w:vAlign w:val="center"/>
          </w:tcPr>
          <w:p w14:paraId="17F64E3A" w14:textId="77777777" w:rsidR="00454A29" w:rsidRDefault="00454A29">
            <w:pPr>
              <w:pStyle w:val="ConsPlusNormal"/>
            </w:pPr>
          </w:p>
        </w:tc>
        <w:tc>
          <w:tcPr>
            <w:tcW w:w="1701" w:type="dxa"/>
            <w:vAlign w:val="center"/>
          </w:tcPr>
          <w:p w14:paraId="5F23B8AC" w14:textId="77777777" w:rsidR="00454A29" w:rsidRDefault="00454A29">
            <w:pPr>
              <w:pStyle w:val="ConsPlusNormal"/>
            </w:pPr>
          </w:p>
        </w:tc>
        <w:tc>
          <w:tcPr>
            <w:tcW w:w="1814" w:type="dxa"/>
            <w:vAlign w:val="center"/>
          </w:tcPr>
          <w:p w14:paraId="787081C3" w14:textId="77777777" w:rsidR="00454A29" w:rsidRDefault="00454A29">
            <w:pPr>
              <w:pStyle w:val="ConsPlusNormal"/>
            </w:pPr>
          </w:p>
        </w:tc>
      </w:tr>
      <w:tr w:rsidR="00454A29" w14:paraId="3761B8FF" w14:textId="77777777">
        <w:tc>
          <w:tcPr>
            <w:tcW w:w="567" w:type="dxa"/>
            <w:vMerge/>
          </w:tcPr>
          <w:p w14:paraId="1A8D6B45" w14:textId="77777777" w:rsidR="00454A29" w:rsidRDefault="00454A29"/>
        </w:tc>
        <w:tc>
          <w:tcPr>
            <w:tcW w:w="3345" w:type="dxa"/>
            <w:vMerge/>
          </w:tcPr>
          <w:p w14:paraId="3E58E6C5" w14:textId="77777777" w:rsidR="00454A29" w:rsidRDefault="00454A29"/>
        </w:tc>
        <w:tc>
          <w:tcPr>
            <w:tcW w:w="1701" w:type="dxa"/>
            <w:vAlign w:val="center"/>
          </w:tcPr>
          <w:p w14:paraId="7399EFF3" w14:textId="77777777" w:rsidR="00454A29" w:rsidRDefault="00454A29">
            <w:pPr>
              <w:pStyle w:val="ConsPlusNormal"/>
              <w:jc w:val="center"/>
            </w:pPr>
            <w:r>
              <w:t>2023</w:t>
            </w:r>
          </w:p>
        </w:tc>
        <w:tc>
          <w:tcPr>
            <w:tcW w:w="1417" w:type="dxa"/>
            <w:vMerge/>
          </w:tcPr>
          <w:p w14:paraId="73973C0E" w14:textId="77777777" w:rsidR="00454A29" w:rsidRDefault="00454A29"/>
        </w:tc>
        <w:tc>
          <w:tcPr>
            <w:tcW w:w="2204" w:type="dxa"/>
            <w:vMerge/>
          </w:tcPr>
          <w:p w14:paraId="0BE7CBD1" w14:textId="77777777" w:rsidR="00454A29" w:rsidRDefault="00454A29"/>
        </w:tc>
        <w:tc>
          <w:tcPr>
            <w:tcW w:w="1417" w:type="dxa"/>
            <w:vMerge/>
          </w:tcPr>
          <w:p w14:paraId="5682C599" w14:textId="77777777" w:rsidR="00454A29" w:rsidRDefault="00454A29"/>
        </w:tc>
        <w:tc>
          <w:tcPr>
            <w:tcW w:w="2324" w:type="dxa"/>
            <w:vMerge/>
          </w:tcPr>
          <w:p w14:paraId="71E37305" w14:textId="77777777" w:rsidR="00454A29" w:rsidRDefault="00454A29"/>
        </w:tc>
        <w:tc>
          <w:tcPr>
            <w:tcW w:w="1701" w:type="dxa"/>
            <w:vAlign w:val="center"/>
          </w:tcPr>
          <w:p w14:paraId="3DC06AFF" w14:textId="77777777" w:rsidR="00454A29" w:rsidRDefault="00454A29">
            <w:pPr>
              <w:pStyle w:val="ConsPlusNormal"/>
            </w:pPr>
          </w:p>
        </w:tc>
        <w:tc>
          <w:tcPr>
            <w:tcW w:w="1814" w:type="dxa"/>
            <w:vAlign w:val="center"/>
          </w:tcPr>
          <w:p w14:paraId="19D58CEF" w14:textId="77777777" w:rsidR="00454A29" w:rsidRDefault="00454A29">
            <w:pPr>
              <w:pStyle w:val="ConsPlusNormal"/>
            </w:pPr>
          </w:p>
        </w:tc>
        <w:tc>
          <w:tcPr>
            <w:tcW w:w="1701" w:type="dxa"/>
            <w:vAlign w:val="center"/>
          </w:tcPr>
          <w:p w14:paraId="308C6D90" w14:textId="77777777" w:rsidR="00454A29" w:rsidRDefault="00454A29">
            <w:pPr>
              <w:pStyle w:val="ConsPlusNormal"/>
            </w:pPr>
          </w:p>
        </w:tc>
        <w:tc>
          <w:tcPr>
            <w:tcW w:w="1701" w:type="dxa"/>
            <w:vAlign w:val="center"/>
          </w:tcPr>
          <w:p w14:paraId="165404C2" w14:textId="77777777" w:rsidR="00454A29" w:rsidRDefault="00454A29">
            <w:pPr>
              <w:pStyle w:val="ConsPlusNormal"/>
            </w:pPr>
          </w:p>
        </w:tc>
        <w:tc>
          <w:tcPr>
            <w:tcW w:w="1814" w:type="dxa"/>
            <w:vAlign w:val="center"/>
          </w:tcPr>
          <w:p w14:paraId="304738FB" w14:textId="77777777" w:rsidR="00454A29" w:rsidRDefault="00454A29">
            <w:pPr>
              <w:pStyle w:val="ConsPlusNormal"/>
            </w:pPr>
          </w:p>
        </w:tc>
      </w:tr>
      <w:tr w:rsidR="00454A29" w14:paraId="7439643F" w14:textId="77777777">
        <w:tc>
          <w:tcPr>
            <w:tcW w:w="567" w:type="dxa"/>
            <w:vMerge/>
          </w:tcPr>
          <w:p w14:paraId="3B02D0E0" w14:textId="77777777" w:rsidR="00454A29" w:rsidRDefault="00454A29"/>
        </w:tc>
        <w:tc>
          <w:tcPr>
            <w:tcW w:w="3345" w:type="dxa"/>
            <w:vMerge/>
          </w:tcPr>
          <w:p w14:paraId="7613EABA" w14:textId="77777777" w:rsidR="00454A29" w:rsidRDefault="00454A29"/>
        </w:tc>
        <w:tc>
          <w:tcPr>
            <w:tcW w:w="1701" w:type="dxa"/>
            <w:vAlign w:val="center"/>
          </w:tcPr>
          <w:p w14:paraId="7520DB1A" w14:textId="77777777" w:rsidR="00454A29" w:rsidRDefault="00454A29">
            <w:pPr>
              <w:pStyle w:val="ConsPlusNormal"/>
              <w:jc w:val="center"/>
            </w:pPr>
            <w:r>
              <w:t>2024</w:t>
            </w:r>
          </w:p>
        </w:tc>
        <w:tc>
          <w:tcPr>
            <w:tcW w:w="1417" w:type="dxa"/>
            <w:vMerge/>
          </w:tcPr>
          <w:p w14:paraId="08826644" w14:textId="77777777" w:rsidR="00454A29" w:rsidRDefault="00454A29"/>
        </w:tc>
        <w:tc>
          <w:tcPr>
            <w:tcW w:w="2204" w:type="dxa"/>
            <w:vMerge/>
          </w:tcPr>
          <w:p w14:paraId="0D99EEE3" w14:textId="77777777" w:rsidR="00454A29" w:rsidRDefault="00454A29"/>
        </w:tc>
        <w:tc>
          <w:tcPr>
            <w:tcW w:w="1417" w:type="dxa"/>
            <w:vMerge/>
          </w:tcPr>
          <w:p w14:paraId="656E2612" w14:textId="77777777" w:rsidR="00454A29" w:rsidRDefault="00454A29"/>
        </w:tc>
        <w:tc>
          <w:tcPr>
            <w:tcW w:w="2324" w:type="dxa"/>
            <w:vMerge/>
          </w:tcPr>
          <w:p w14:paraId="4DB775CD" w14:textId="77777777" w:rsidR="00454A29" w:rsidRDefault="00454A29"/>
        </w:tc>
        <w:tc>
          <w:tcPr>
            <w:tcW w:w="1701" w:type="dxa"/>
            <w:vAlign w:val="center"/>
          </w:tcPr>
          <w:p w14:paraId="122F1D94" w14:textId="77777777" w:rsidR="00454A29" w:rsidRDefault="00454A29">
            <w:pPr>
              <w:pStyle w:val="ConsPlusNormal"/>
            </w:pPr>
          </w:p>
        </w:tc>
        <w:tc>
          <w:tcPr>
            <w:tcW w:w="1814" w:type="dxa"/>
            <w:vAlign w:val="center"/>
          </w:tcPr>
          <w:p w14:paraId="348E8405" w14:textId="77777777" w:rsidR="00454A29" w:rsidRDefault="00454A29">
            <w:pPr>
              <w:pStyle w:val="ConsPlusNormal"/>
            </w:pPr>
          </w:p>
        </w:tc>
        <w:tc>
          <w:tcPr>
            <w:tcW w:w="1701" w:type="dxa"/>
            <w:vAlign w:val="center"/>
          </w:tcPr>
          <w:p w14:paraId="5A6B71B5" w14:textId="77777777" w:rsidR="00454A29" w:rsidRDefault="00454A29">
            <w:pPr>
              <w:pStyle w:val="ConsPlusNormal"/>
            </w:pPr>
          </w:p>
        </w:tc>
        <w:tc>
          <w:tcPr>
            <w:tcW w:w="1701" w:type="dxa"/>
            <w:vAlign w:val="center"/>
          </w:tcPr>
          <w:p w14:paraId="66F607F1" w14:textId="77777777" w:rsidR="00454A29" w:rsidRDefault="00454A29">
            <w:pPr>
              <w:pStyle w:val="ConsPlusNormal"/>
            </w:pPr>
          </w:p>
        </w:tc>
        <w:tc>
          <w:tcPr>
            <w:tcW w:w="1814" w:type="dxa"/>
            <w:vAlign w:val="center"/>
          </w:tcPr>
          <w:p w14:paraId="079B8491" w14:textId="77777777" w:rsidR="00454A29" w:rsidRDefault="00454A29">
            <w:pPr>
              <w:pStyle w:val="ConsPlusNormal"/>
            </w:pPr>
          </w:p>
        </w:tc>
      </w:tr>
      <w:tr w:rsidR="00454A29" w14:paraId="3A423DD9" w14:textId="77777777">
        <w:tc>
          <w:tcPr>
            <w:tcW w:w="567" w:type="dxa"/>
            <w:vMerge/>
          </w:tcPr>
          <w:p w14:paraId="58C7C038" w14:textId="77777777" w:rsidR="00454A29" w:rsidRDefault="00454A29"/>
        </w:tc>
        <w:tc>
          <w:tcPr>
            <w:tcW w:w="3345" w:type="dxa"/>
            <w:vMerge/>
          </w:tcPr>
          <w:p w14:paraId="0225FD96" w14:textId="77777777" w:rsidR="00454A29" w:rsidRDefault="00454A29"/>
        </w:tc>
        <w:tc>
          <w:tcPr>
            <w:tcW w:w="1701" w:type="dxa"/>
            <w:vAlign w:val="center"/>
          </w:tcPr>
          <w:p w14:paraId="067E23C9" w14:textId="77777777" w:rsidR="00454A29" w:rsidRDefault="00454A29">
            <w:pPr>
              <w:pStyle w:val="ConsPlusNormal"/>
              <w:jc w:val="center"/>
            </w:pPr>
            <w:r>
              <w:t>2025</w:t>
            </w:r>
          </w:p>
        </w:tc>
        <w:tc>
          <w:tcPr>
            <w:tcW w:w="1417" w:type="dxa"/>
            <w:vMerge/>
          </w:tcPr>
          <w:p w14:paraId="302F83A8" w14:textId="77777777" w:rsidR="00454A29" w:rsidRDefault="00454A29"/>
        </w:tc>
        <w:tc>
          <w:tcPr>
            <w:tcW w:w="2204" w:type="dxa"/>
            <w:vMerge/>
          </w:tcPr>
          <w:p w14:paraId="29DA7FE4" w14:textId="77777777" w:rsidR="00454A29" w:rsidRDefault="00454A29"/>
        </w:tc>
        <w:tc>
          <w:tcPr>
            <w:tcW w:w="1417" w:type="dxa"/>
            <w:vMerge/>
          </w:tcPr>
          <w:p w14:paraId="3E691D71" w14:textId="77777777" w:rsidR="00454A29" w:rsidRDefault="00454A29"/>
        </w:tc>
        <w:tc>
          <w:tcPr>
            <w:tcW w:w="2324" w:type="dxa"/>
            <w:vMerge/>
          </w:tcPr>
          <w:p w14:paraId="619B3E72" w14:textId="77777777" w:rsidR="00454A29" w:rsidRDefault="00454A29"/>
        </w:tc>
        <w:tc>
          <w:tcPr>
            <w:tcW w:w="1701" w:type="dxa"/>
            <w:vAlign w:val="center"/>
          </w:tcPr>
          <w:p w14:paraId="1BB77B06" w14:textId="77777777" w:rsidR="00454A29" w:rsidRDefault="00454A29">
            <w:pPr>
              <w:pStyle w:val="ConsPlusNormal"/>
            </w:pPr>
          </w:p>
        </w:tc>
        <w:tc>
          <w:tcPr>
            <w:tcW w:w="1814" w:type="dxa"/>
            <w:vAlign w:val="center"/>
          </w:tcPr>
          <w:p w14:paraId="68F76653" w14:textId="77777777" w:rsidR="00454A29" w:rsidRDefault="00454A29">
            <w:pPr>
              <w:pStyle w:val="ConsPlusNormal"/>
            </w:pPr>
          </w:p>
        </w:tc>
        <w:tc>
          <w:tcPr>
            <w:tcW w:w="1701" w:type="dxa"/>
            <w:vAlign w:val="center"/>
          </w:tcPr>
          <w:p w14:paraId="761D737D" w14:textId="77777777" w:rsidR="00454A29" w:rsidRDefault="00454A29">
            <w:pPr>
              <w:pStyle w:val="ConsPlusNormal"/>
            </w:pPr>
          </w:p>
        </w:tc>
        <w:tc>
          <w:tcPr>
            <w:tcW w:w="1701" w:type="dxa"/>
            <w:vAlign w:val="center"/>
          </w:tcPr>
          <w:p w14:paraId="62E46D7B" w14:textId="77777777" w:rsidR="00454A29" w:rsidRDefault="00454A29">
            <w:pPr>
              <w:pStyle w:val="ConsPlusNormal"/>
            </w:pPr>
          </w:p>
        </w:tc>
        <w:tc>
          <w:tcPr>
            <w:tcW w:w="1814" w:type="dxa"/>
            <w:vAlign w:val="center"/>
          </w:tcPr>
          <w:p w14:paraId="7048F740" w14:textId="77777777" w:rsidR="00454A29" w:rsidRDefault="00454A29">
            <w:pPr>
              <w:pStyle w:val="ConsPlusNormal"/>
            </w:pPr>
          </w:p>
        </w:tc>
      </w:tr>
      <w:tr w:rsidR="00454A29" w14:paraId="30E464BA" w14:textId="77777777">
        <w:tc>
          <w:tcPr>
            <w:tcW w:w="567" w:type="dxa"/>
            <w:vMerge/>
          </w:tcPr>
          <w:p w14:paraId="1A4B8161" w14:textId="77777777" w:rsidR="00454A29" w:rsidRDefault="00454A29"/>
        </w:tc>
        <w:tc>
          <w:tcPr>
            <w:tcW w:w="3345" w:type="dxa"/>
            <w:vMerge/>
          </w:tcPr>
          <w:p w14:paraId="5DAF2E05" w14:textId="77777777" w:rsidR="00454A29" w:rsidRDefault="00454A29"/>
        </w:tc>
        <w:tc>
          <w:tcPr>
            <w:tcW w:w="1701" w:type="dxa"/>
            <w:vAlign w:val="center"/>
          </w:tcPr>
          <w:p w14:paraId="2485501B" w14:textId="77777777" w:rsidR="00454A29" w:rsidRDefault="00454A29">
            <w:pPr>
              <w:pStyle w:val="ConsPlusNormal"/>
              <w:jc w:val="center"/>
            </w:pPr>
            <w:r>
              <w:t>2026</w:t>
            </w:r>
          </w:p>
        </w:tc>
        <w:tc>
          <w:tcPr>
            <w:tcW w:w="1417" w:type="dxa"/>
            <w:vMerge/>
          </w:tcPr>
          <w:p w14:paraId="295EF0EE" w14:textId="77777777" w:rsidR="00454A29" w:rsidRDefault="00454A29"/>
        </w:tc>
        <w:tc>
          <w:tcPr>
            <w:tcW w:w="2204" w:type="dxa"/>
            <w:vMerge/>
          </w:tcPr>
          <w:p w14:paraId="3A4D9B20" w14:textId="77777777" w:rsidR="00454A29" w:rsidRDefault="00454A29"/>
        </w:tc>
        <w:tc>
          <w:tcPr>
            <w:tcW w:w="1417" w:type="dxa"/>
            <w:vMerge/>
          </w:tcPr>
          <w:p w14:paraId="4E44EB19" w14:textId="77777777" w:rsidR="00454A29" w:rsidRDefault="00454A29"/>
        </w:tc>
        <w:tc>
          <w:tcPr>
            <w:tcW w:w="2324" w:type="dxa"/>
            <w:vMerge/>
          </w:tcPr>
          <w:p w14:paraId="44FBFB11" w14:textId="77777777" w:rsidR="00454A29" w:rsidRDefault="00454A29"/>
        </w:tc>
        <w:tc>
          <w:tcPr>
            <w:tcW w:w="1701" w:type="dxa"/>
            <w:vAlign w:val="center"/>
          </w:tcPr>
          <w:p w14:paraId="11DBA4FA" w14:textId="77777777" w:rsidR="00454A29" w:rsidRDefault="00454A29">
            <w:pPr>
              <w:pStyle w:val="ConsPlusNormal"/>
              <w:jc w:val="center"/>
            </w:pPr>
            <w:r>
              <w:t>294 259,62</w:t>
            </w:r>
          </w:p>
        </w:tc>
        <w:tc>
          <w:tcPr>
            <w:tcW w:w="1814" w:type="dxa"/>
            <w:vAlign w:val="center"/>
          </w:tcPr>
          <w:p w14:paraId="3254D094" w14:textId="77777777" w:rsidR="00454A29" w:rsidRDefault="00454A29">
            <w:pPr>
              <w:pStyle w:val="ConsPlusNormal"/>
              <w:jc w:val="center"/>
            </w:pPr>
            <w:r>
              <w:t>3 625,28</w:t>
            </w:r>
          </w:p>
        </w:tc>
        <w:tc>
          <w:tcPr>
            <w:tcW w:w="1701" w:type="dxa"/>
            <w:vAlign w:val="center"/>
          </w:tcPr>
          <w:p w14:paraId="7AD29BB9" w14:textId="77777777" w:rsidR="00454A29" w:rsidRDefault="00454A29">
            <w:pPr>
              <w:pStyle w:val="ConsPlusNormal"/>
              <w:jc w:val="center"/>
            </w:pPr>
            <w:r>
              <w:t>358 902,57</w:t>
            </w:r>
          </w:p>
        </w:tc>
        <w:tc>
          <w:tcPr>
            <w:tcW w:w="1701" w:type="dxa"/>
            <w:vAlign w:val="center"/>
          </w:tcPr>
          <w:p w14:paraId="7CACFFDD" w14:textId="77777777" w:rsidR="00454A29" w:rsidRDefault="00454A29">
            <w:pPr>
              <w:pStyle w:val="ConsPlusNormal"/>
            </w:pPr>
          </w:p>
        </w:tc>
        <w:tc>
          <w:tcPr>
            <w:tcW w:w="1814" w:type="dxa"/>
            <w:vAlign w:val="center"/>
          </w:tcPr>
          <w:p w14:paraId="13E0C4A3" w14:textId="77777777" w:rsidR="00454A29" w:rsidRDefault="00454A29">
            <w:pPr>
              <w:pStyle w:val="ConsPlusNormal"/>
            </w:pPr>
          </w:p>
        </w:tc>
      </w:tr>
      <w:tr w:rsidR="00454A29" w14:paraId="42930DF9" w14:textId="77777777">
        <w:tc>
          <w:tcPr>
            <w:tcW w:w="567" w:type="dxa"/>
            <w:vMerge w:val="restart"/>
            <w:vAlign w:val="center"/>
          </w:tcPr>
          <w:p w14:paraId="44F9004C" w14:textId="77777777" w:rsidR="00454A29" w:rsidRDefault="00454A29">
            <w:pPr>
              <w:pStyle w:val="ConsPlusNormal"/>
              <w:jc w:val="center"/>
            </w:pPr>
            <w:r>
              <w:t>42</w:t>
            </w:r>
          </w:p>
        </w:tc>
        <w:tc>
          <w:tcPr>
            <w:tcW w:w="3345" w:type="dxa"/>
            <w:vMerge w:val="restart"/>
            <w:vAlign w:val="center"/>
          </w:tcPr>
          <w:p w14:paraId="1F8D3D73" w14:textId="77777777" w:rsidR="00454A29" w:rsidRDefault="00454A29">
            <w:pPr>
              <w:pStyle w:val="ConsPlusNormal"/>
              <w:jc w:val="center"/>
            </w:pPr>
            <w:r>
              <w:t>Школа на 150 учащихся в с. Усун</w:t>
            </w:r>
          </w:p>
        </w:tc>
        <w:tc>
          <w:tcPr>
            <w:tcW w:w="1701" w:type="dxa"/>
            <w:vAlign w:val="center"/>
          </w:tcPr>
          <w:p w14:paraId="087B3674" w14:textId="77777777" w:rsidR="00454A29" w:rsidRDefault="00454A29">
            <w:pPr>
              <w:pStyle w:val="ConsPlusNormal"/>
              <w:jc w:val="center"/>
            </w:pPr>
            <w:r>
              <w:t>2020 - 2026 годы - всего</w:t>
            </w:r>
          </w:p>
        </w:tc>
        <w:tc>
          <w:tcPr>
            <w:tcW w:w="1417" w:type="dxa"/>
            <w:vMerge w:val="restart"/>
            <w:vAlign w:val="center"/>
          </w:tcPr>
          <w:p w14:paraId="79E4B32A" w14:textId="77777777" w:rsidR="00454A29" w:rsidRDefault="00454A29">
            <w:pPr>
              <w:pStyle w:val="ConsPlusNormal"/>
              <w:jc w:val="center"/>
            </w:pPr>
            <w:r>
              <w:t>485 034,19</w:t>
            </w:r>
          </w:p>
        </w:tc>
        <w:tc>
          <w:tcPr>
            <w:tcW w:w="2204" w:type="dxa"/>
            <w:vMerge w:val="restart"/>
            <w:vAlign w:val="center"/>
          </w:tcPr>
          <w:p w14:paraId="55BA46D8" w14:textId="77777777" w:rsidR="00454A29" w:rsidRDefault="00454A29">
            <w:pPr>
              <w:pStyle w:val="ConsPlusNormal"/>
              <w:jc w:val="center"/>
            </w:pPr>
            <w:r>
              <w:t>имеется</w:t>
            </w:r>
          </w:p>
        </w:tc>
        <w:tc>
          <w:tcPr>
            <w:tcW w:w="1417" w:type="dxa"/>
            <w:vMerge w:val="restart"/>
            <w:vAlign w:val="center"/>
          </w:tcPr>
          <w:p w14:paraId="663CBE95" w14:textId="77777777" w:rsidR="00454A29" w:rsidRDefault="00454A29">
            <w:pPr>
              <w:pStyle w:val="ConsPlusNormal"/>
              <w:jc w:val="center"/>
            </w:pPr>
            <w:r>
              <w:t>150</w:t>
            </w:r>
          </w:p>
        </w:tc>
        <w:tc>
          <w:tcPr>
            <w:tcW w:w="2324" w:type="dxa"/>
            <w:vMerge w:val="restart"/>
            <w:vAlign w:val="center"/>
          </w:tcPr>
          <w:p w14:paraId="43684C7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34A787B" w14:textId="77777777" w:rsidR="00454A29" w:rsidRDefault="00454A29">
            <w:pPr>
              <w:pStyle w:val="ConsPlusNormal"/>
              <w:jc w:val="center"/>
            </w:pPr>
            <w:r>
              <w:t>485 034,19</w:t>
            </w:r>
          </w:p>
        </w:tc>
        <w:tc>
          <w:tcPr>
            <w:tcW w:w="1814" w:type="dxa"/>
            <w:vAlign w:val="center"/>
          </w:tcPr>
          <w:p w14:paraId="2AFCB4D7" w14:textId="77777777" w:rsidR="00454A29" w:rsidRDefault="00454A29">
            <w:pPr>
              <w:pStyle w:val="ConsPlusNormal"/>
              <w:jc w:val="center"/>
            </w:pPr>
            <w:r>
              <w:t>6 135,68</w:t>
            </w:r>
          </w:p>
        </w:tc>
        <w:tc>
          <w:tcPr>
            <w:tcW w:w="1701" w:type="dxa"/>
            <w:vAlign w:val="center"/>
          </w:tcPr>
          <w:p w14:paraId="3BB271C0" w14:textId="77777777" w:rsidR="00454A29" w:rsidRDefault="00454A29">
            <w:pPr>
              <w:pStyle w:val="ConsPlusNormal"/>
              <w:jc w:val="center"/>
            </w:pPr>
            <w:r>
              <w:t>607 432,57</w:t>
            </w:r>
          </w:p>
        </w:tc>
        <w:tc>
          <w:tcPr>
            <w:tcW w:w="1701" w:type="dxa"/>
            <w:vAlign w:val="center"/>
          </w:tcPr>
          <w:p w14:paraId="47C29DD4" w14:textId="77777777" w:rsidR="00454A29" w:rsidRDefault="00454A29">
            <w:pPr>
              <w:pStyle w:val="ConsPlusNormal"/>
              <w:jc w:val="center"/>
            </w:pPr>
            <w:r>
              <w:t>-</w:t>
            </w:r>
          </w:p>
        </w:tc>
        <w:tc>
          <w:tcPr>
            <w:tcW w:w="1814" w:type="dxa"/>
            <w:vAlign w:val="center"/>
          </w:tcPr>
          <w:p w14:paraId="102DA802" w14:textId="77777777" w:rsidR="00454A29" w:rsidRDefault="00454A29">
            <w:pPr>
              <w:pStyle w:val="ConsPlusNormal"/>
              <w:jc w:val="center"/>
            </w:pPr>
            <w:r>
              <w:t>-</w:t>
            </w:r>
          </w:p>
        </w:tc>
      </w:tr>
      <w:tr w:rsidR="00454A29" w14:paraId="7865E663" w14:textId="77777777">
        <w:tc>
          <w:tcPr>
            <w:tcW w:w="567" w:type="dxa"/>
            <w:vMerge/>
          </w:tcPr>
          <w:p w14:paraId="1E8BDA9B" w14:textId="77777777" w:rsidR="00454A29" w:rsidRDefault="00454A29"/>
        </w:tc>
        <w:tc>
          <w:tcPr>
            <w:tcW w:w="3345" w:type="dxa"/>
            <w:vMerge/>
          </w:tcPr>
          <w:p w14:paraId="764E3B48" w14:textId="77777777" w:rsidR="00454A29" w:rsidRDefault="00454A29"/>
        </w:tc>
        <w:tc>
          <w:tcPr>
            <w:tcW w:w="1701" w:type="dxa"/>
            <w:vAlign w:val="center"/>
          </w:tcPr>
          <w:p w14:paraId="3245243B" w14:textId="77777777" w:rsidR="00454A29" w:rsidRDefault="00454A29">
            <w:pPr>
              <w:pStyle w:val="ConsPlusNormal"/>
              <w:jc w:val="center"/>
            </w:pPr>
            <w:r>
              <w:t>2020</w:t>
            </w:r>
          </w:p>
        </w:tc>
        <w:tc>
          <w:tcPr>
            <w:tcW w:w="1417" w:type="dxa"/>
            <w:vMerge/>
          </w:tcPr>
          <w:p w14:paraId="218BB4A4" w14:textId="77777777" w:rsidR="00454A29" w:rsidRDefault="00454A29"/>
        </w:tc>
        <w:tc>
          <w:tcPr>
            <w:tcW w:w="2204" w:type="dxa"/>
            <w:vMerge/>
          </w:tcPr>
          <w:p w14:paraId="079DBCD1" w14:textId="77777777" w:rsidR="00454A29" w:rsidRDefault="00454A29"/>
        </w:tc>
        <w:tc>
          <w:tcPr>
            <w:tcW w:w="1417" w:type="dxa"/>
            <w:vMerge/>
          </w:tcPr>
          <w:p w14:paraId="49614B1B" w14:textId="77777777" w:rsidR="00454A29" w:rsidRDefault="00454A29"/>
        </w:tc>
        <w:tc>
          <w:tcPr>
            <w:tcW w:w="2324" w:type="dxa"/>
            <w:vMerge/>
          </w:tcPr>
          <w:p w14:paraId="348B38F4" w14:textId="77777777" w:rsidR="00454A29" w:rsidRDefault="00454A29"/>
        </w:tc>
        <w:tc>
          <w:tcPr>
            <w:tcW w:w="1701" w:type="dxa"/>
            <w:vAlign w:val="center"/>
          </w:tcPr>
          <w:p w14:paraId="5C14C2EE" w14:textId="77777777" w:rsidR="00454A29" w:rsidRDefault="00454A29">
            <w:pPr>
              <w:pStyle w:val="ConsPlusNormal"/>
            </w:pPr>
          </w:p>
        </w:tc>
        <w:tc>
          <w:tcPr>
            <w:tcW w:w="1814" w:type="dxa"/>
            <w:vAlign w:val="center"/>
          </w:tcPr>
          <w:p w14:paraId="2386F995" w14:textId="77777777" w:rsidR="00454A29" w:rsidRDefault="00454A29">
            <w:pPr>
              <w:pStyle w:val="ConsPlusNormal"/>
            </w:pPr>
          </w:p>
        </w:tc>
        <w:tc>
          <w:tcPr>
            <w:tcW w:w="1701" w:type="dxa"/>
            <w:vAlign w:val="center"/>
          </w:tcPr>
          <w:p w14:paraId="0C2189CC" w14:textId="77777777" w:rsidR="00454A29" w:rsidRDefault="00454A29">
            <w:pPr>
              <w:pStyle w:val="ConsPlusNormal"/>
            </w:pPr>
          </w:p>
        </w:tc>
        <w:tc>
          <w:tcPr>
            <w:tcW w:w="1701" w:type="dxa"/>
            <w:vAlign w:val="center"/>
          </w:tcPr>
          <w:p w14:paraId="7DB00137" w14:textId="77777777" w:rsidR="00454A29" w:rsidRDefault="00454A29">
            <w:pPr>
              <w:pStyle w:val="ConsPlusNormal"/>
            </w:pPr>
          </w:p>
        </w:tc>
        <w:tc>
          <w:tcPr>
            <w:tcW w:w="1814" w:type="dxa"/>
            <w:vAlign w:val="center"/>
          </w:tcPr>
          <w:p w14:paraId="642B9E54" w14:textId="77777777" w:rsidR="00454A29" w:rsidRDefault="00454A29">
            <w:pPr>
              <w:pStyle w:val="ConsPlusNormal"/>
            </w:pPr>
          </w:p>
        </w:tc>
      </w:tr>
      <w:tr w:rsidR="00454A29" w14:paraId="6C413FB2" w14:textId="77777777">
        <w:tc>
          <w:tcPr>
            <w:tcW w:w="567" w:type="dxa"/>
            <w:vMerge/>
          </w:tcPr>
          <w:p w14:paraId="7844570D" w14:textId="77777777" w:rsidR="00454A29" w:rsidRDefault="00454A29"/>
        </w:tc>
        <w:tc>
          <w:tcPr>
            <w:tcW w:w="3345" w:type="dxa"/>
            <w:vMerge/>
          </w:tcPr>
          <w:p w14:paraId="70CC8DEC" w14:textId="77777777" w:rsidR="00454A29" w:rsidRDefault="00454A29"/>
        </w:tc>
        <w:tc>
          <w:tcPr>
            <w:tcW w:w="1701" w:type="dxa"/>
            <w:vAlign w:val="center"/>
          </w:tcPr>
          <w:p w14:paraId="726D8ED7" w14:textId="77777777" w:rsidR="00454A29" w:rsidRDefault="00454A29">
            <w:pPr>
              <w:pStyle w:val="ConsPlusNormal"/>
              <w:jc w:val="center"/>
            </w:pPr>
            <w:r>
              <w:t>2021</w:t>
            </w:r>
          </w:p>
        </w:tc>
        <w:tc>
          <w:tcPr>
            <w:tcW w:w="1417" w:type="dxa"/>
            <w:vMerge/>
          </w:tcPr>
          <w:p w14:paraId="700DD4E6" w14:textId="77777777" w:rsidR="00454A29" w:rsidRDefault="00454A29"/>
        </w:tc>
        <w:tc>
          <w:tcPr>
            <w:tcW w:w="2204" w:type="dxa"/>
            <w:vMerge/>
          </w:tcPr>
          <w:p w14:paraId="5DAD7310" w14:textId="77777777" w:rsidR="00454A29" w:rsidRDefault="00454A29"/>
        </w:tc>
        <w:tc>
          <w:tcPr>
            <w:tcW w:w="1417" w:type="dxa"/>
            <w:vMerge/>
          </w:tcPr>
          <w:p w14:paraId="62242239" w14:textId="77777777" w:rsidR="00454A29" w:rsidRDefault="00454A29"/>
        </w:tc>
        <w:tc>
          <w:tcPr>
            <w:tcW w:w="2324" w:type="dxa"/>
            <w:vMerge/>
          </w:tcPr>
          <w:p w14:paraId="1F41D6C0" w14:textId="77777777" w:rsidR="00454A29" w:rsidRDefault="00454A29"/>
        </w:tc>
        <w:tc>
          <w:tcPr>
            <w:tcW w:w="1701" w:type="dxa"/>
            <w:vAlign w:val="center"/>
          </w:tcPr>
          <w:p w14:paraId="3BD848C2" w14:textId="77777777" w:rsidR="00454A29" w:rsidRDefault="00454A29">
            <w:pPr>
              <w:pStyle w:val="ConsPlusNormal"/>
            </w:pPr>
          </w:p>
        </w:tc>
        <w:tc>
          <w:tcPr>
            <w:tcW w:w="1814" w:type="dxa"/>
            <w:vAlign w:val="center"/>
          </w:tcPr>
          <w:p w14:paraId="736C1F7A" w14:textId="77777777" w:rsidR="00454A29" w:rsidRDefault="00454A29">
            <w:pPr>
              <w:pStyle w:val="ConsPlusNormal"/>
            </w:pPr>
          </w:p>
        </w:tc>
        <w:tc>
          <w:tcPr>
            <w:tcW w:w="1701" w:type="dxa"/>
            <w:vAlign w:val="center"/>
          </w:tcPr>
          <w:p w14:paraId="160085D5" w14:textId="77777777" w:rsidR="00454A29" w:rsidRDefault="00454A29">
            <w:pPr>
              <w:pStyle w:val="ConsPlusNormal"/>
            </w:pPr>
          </w:p>
        </w:tc>
        <w:tc>
          <w:tcPr>
            <w:tcW w:w="1701" w:type="dxa"/>
            <w:vAlign w:val="center"/>
          </w:tcPr>
          <w:p w14:paraId="2D1AEF42" w14:textId="77777777" w:rsidR="00454A29" w:rsidRDefault="00454A29">
            <w:pPr>
              <w:pStyle w:val="ConsPlusNormal"/>
            </w:pPr>
          </w:p>
        </w:tc>
        <w:tc>
          <w:tcPr>
            <w:tcW w:w="1814" w:type="dxa"/>
            <w:vAlign w:val="center"/>
          </w:tcPr>
          <w:p w14:paraId="7D597743" w14:textId="77777777" w:rsidR="00454A29" w:rsidRDefault="00454A29">
            <w:pPr>
              <w:pStyle w:val="ConsPlusNormal"/>
            </w:pPr>
          </w:p>
        </w:tc>
      </w:tr>
      <w:tr w:rsidR="00454A29" w14:paraId="3DA9C661" w14:textId="77777777">
        <w:tc>
          <w:tcPr>
            <w:tcW w:w="567" w:type="dxa"/>
            <w:vMerge/>
          </w:tcPr>
          <w:p w14:paraId="1E358155" w14:textId="77777777" w:rsidR="00454A29" w:rsidRDefault="00454A29"/>
        </w:tc>
        <w:tc>
          <w:tcPr>
            <w:tcW w:w="3345" w:type="dxa"/>
            <w:vMerge/>
          </w:tcPr>
          <w:p w14:paraId="05AF627D" w14:textId="77777777" w:rsidR="00454A29" w:rsidRDefault="00454A29"/>
        </w:tc>
        <w:tc>
          <w:tcPr>
            <w:tcW w:w="1701" w:type="dxa"/>
            <w:vAlign w:val="center"/>
          </w:tcPr>
          <w:p w14:paraId="34620943" w14:textId="77777777" w:rsidR="00454A29" w:rsidRDefault="00454A29">
            <w:pPr>
              <w:pStyle w:val="ConsPlusNormal"/>
              <w:jc w:val="center"/>
            </w:pPr>
            <w:r>
              <w:t>2022</w:t>
            </w:r>
          </w:p>
        </w:tc>
        <w:tc>
          <w:tcPr>
            <w:tcW w:w="1417" w:type="dxa"/>
            <w:vMerge/>
          </w:tcPr>
          <w:p w14:paraId="300A1D7E" w14:textId="77777777" w:rsidR="00454A29" w:rsidRDefault="00454A29"/>
        </w:tc>
        <w:tc>
          <w:tcPr>
            <w:tcW w:w="2204" w:type="dxa"/>
            <w:vMerge/>
          </w:tcPr>
          <w:p w14:paraId="0F1A2F90" w14:textId="77777777" w:rsidR="00454A29" w:rsidRDefault="00454A29"/>
        </w:tc>
        <w:tc>
          <w:tcPr>
            <w:tcW w:w="1417" w:type="dxa"/>
            <w:vMerge/>
          </w:tcPr>
          <w:p w14:paraId="7A9F510B" w14:textId="77777777" w:rsidR="00454A29" w:rsidRDefault="00454A29"/>
        </w:tc>
        <w:tc>
          <w:tcPr>
            <w:tcW w:w="2324" w:type="dxa"/>
            <w:vMerge/>
          </w:tcPr>
          <w:p w14:paraId="4CF519DE" w14:textId="77777777" w:rsidR="00454A29" w:rsidRDefault="00454A29"/>
        </w:tc>
        <w:tc>
          <w:tcPr>
            <w:tcW w:w="1701" w:type="dxa"/>
            <w:vAlign w:val="center"/>
          </w:tcPr>
          <w:p w14:paraId="71EE31B0" w14:textId="77777777" w:rsidR="00454A29" w:rsidRDefault="00454A29">
            <w:pPr>
              <w:pStyle w:val="ConsPlusNormal"/>
            </w:pPr>
          </w:p>
        </w:tc>
        <w:tc>
          <w:tcPr>
            <w:tcW w:w="1814" w:type="dxa"/>
            <w:vAlign w:val="center"/>
          </w:tcPr>
          <w:p w14:paraId="59F5172F" w14:textId="77777777" w:rsidR="00454A29" w:rsidRDefault="00454A29">
            <w:pPr>
              <w:pStyle w:val="ConsPlusNormal"/>
            </w:pPr>
          </w:p>
        </w:tc>
        <w:tc>
          <w:tcPr>
            <w:tcW w:w="1701" w:type="dxa"/>
            <w:vAlign w:val="center"/>
          </w:tcPr>
          <w:p w14:paraId="2A8755CB" w14:textId="77777777" w:rsidR="00454A29" w:rsidRDefault="00454A29">
            <w:pPr>
              <w:pStyle w:val="ConsPlusNormal"/>
            </w:pPr>
          </w:p>
        </w:tc>
        <w:tc>
          <w:tcPr>
            <w:tcW w:w="1701" w:type="dxa"/>
            <w:vAlign w:val="center"/>
          </w:tcPr>
          <w:p w14:paraId="24F31FEB" w14:textId="77777777" w:rsidR="00454A29" w:rsidRDefault="00454A29">
            <w:pPr>
              <w:pStyle w:val="ConsPlusNormal"/>
            </w:pPr>
          </w:p>
        </w:tc>
        <w:tc>
          <w:tcPr>
            <w:tcW w:w="1814" w:type="dxa"/>
            <w:vAlign w:val="center"/>
          </w:tcPr>
          <w:p w14:paraId="1E1C45AD" w14:textId="77777777" w:rsidR="00454A29" w:rsidRDefault="00454A29">
            <w:pPr>
              <w:pStyle w:val="ConsPlusNormal"/>
            </w:pPr>
          </w:p>
        </w:tc>
      </w:tr>
      <w:tr w:rsidR="00454A29" w14:paraId="28FAA4AB" w14:textId="77777777">
        <w:tc>
          <w:tcPr>
            <w:tcW w:w="567" w:type="dxa"/>
            <w:vMerge/>
          </w:tcPr>
          <w:p w14:paraId="352C4A7C" w14:textId="77777777" w:rsidR="00454A29" w:rsidRDefault="00454A29"/>
        </w:tc>
        <w:tc>
          <w:tcPr>
            <w:tcW w:w="3345" w:type="dxa"/>
            <w:vMerge/>
          </w:tcPr>
          <w:p w14:paraId="7F324951" w14:textId="77777777" w:rsidR="00454A29" w:rsidRDefault="00454A29"/>
        </w:tc>
        <w:tc>
          <w:tcPr>
            <w:tcW w:w="1701" w:type="dxa"/>
            <w:vAlign w:val="center"/>
          </w:tcPr>
          <w:p w14:paraId="47339333" w14:textId="77777777" w:rsidR="00454A29" w:rsidRDefault="00454A29">
            <w:pPr>
              <w:pStyle w:val="ConsPlusNormal"/>
              <w:jc w:val="center"/>
            </w:pPr>
            <w:r>
              <w:t>2023</w:t>
            </w:r>
          </w:p>
        </w:tc>
        <w:tc>
          <w:tcPr>
            <w:tcW w:w="1417" w:type="dxa"/>
            <w:vMerge/>
          </w:tcPr>
          <w:p w14:paraId="20A2DF39" w14:textId="77777777" w:rsidR="00454A29" w:rsidRDefault="00454A29"/>
        </w:tc>
        <w:tc>
          <w:tcPr>
            <w:tcW w:w="2204" w:type="dxa"/>
            <w:vMerge/>
          </w:tcPr>
          <w:p w14:paraId="235A636D" w14:textId="77777777" w:rsidR="00454A29" w:rsidRDefault="00454A29"/>
        </w:tc>
        <w:tc>
          <w:tcPr>
            <w:tcW w:w="1417" w:type="dxa"/>
            <w:vMerge/>
          </w:tcPr>
          <w:p w14:paraId="5DA51EA5" w14:textId="77777777" w:rsidR="00454A29" w:rsidRDefault="00454A29"/>
        </w:tc>
        <w:tc>
          <w:tcPr>
            <w:tcW w:w="2324" w:type="dxa"/>
            <w:vMerge/>
          </w:tcPr>
          <w:p w14:paraId="229575D0" w14:textId="77777777" w:rsidR="00454A29" w:rsidRDefault="00454A29"/>
        </w:tc>
        <w:tc>
          <w:tcPr>
            <w:tcW w:w="1701" w:type="dxa"/>
            <w:vAlign w:val="center"/>
          </w:tcPr>
          <w:p w14:paraId="5AD5662E" w14:textId="77777777" w:rsidR="00454A29" w:rsidRDefault="00454A29">
            <w:pPr>
              <w:pStyle w:val="ConsPlusNormal"/>
            </w:pPr>
          </w:p>
        </w:tc>
        <w:tc>
          <w:tcPr>
            <w:tcW w:w="1814" w:type="dxa"/>
            <w:vAlign w:val="center"/>
          </w:tcPr>
          <w:p w14:paraId="47BDE6B3" w14:textId="77777777" w:rsidR="00454A29" w:rsidRDefault="00454A29">
            <w:pPr>
              <w:pStyle w:val="ConsPlusNormal"/>
            </w:pPr>
          </w:p>
        </w:tc>
        <w:tc>
          <w:tcPr>
            <w:tcW w:w="1701" w:type="dxa"/>
            <w:vAlign w:val="center"/>
          </w:tcPr>
          <w:p w14:paraId="5B4841C2" w14:textId="77777777" w:rsidR="00454A29" w:rsidRDefault="00454A29">
            <w:pPr>
              <w:pStyle w:val="ConsPlusNormal"/>
            </w:pPr>
          </w:p>
        </w:tc>
        <w:tc>
          <w:tcPr>
            <w:tcW w:w="1701" w:type="dxa"/>
            <w:vAlign w:val="center"/>
          </w:tcPr>
          <w:p w14:paraId="7E0F9C6B" w14:textId="77777777" w:rsidR="00454A29" w:rsidRDefault="00454A29">
            <w:pPr>
              <w:pStyle w:val="ConsPlusNormal"/>
            </w:pPr>
          </w:p>
        </w:tc>
        <w:tc>
          <w:tcPr>
            <w:tcW w:w="1814" w:type="dxa"/>
            <w:vAlign w:val="center"/>
          </w:tcPr>
          <w:p w14:paraId="37F0B91F" w14:textId="77777777" w:rsidR="00454A29" w:rsidRDefault="00454A29">
            <w:pPr>
              <w:pStyle w:val="ConsPlusNormal"/>
            </w:pPr>
          </w:p>
        </w:tc>
      </w:tr>
      <w:tr w:rsidR="00454A29" w14:paraId="332C817D" w14:textId="77777777">
        <w:tc>
          <w:tcPr>
            <w:tcW w:w="567" w:type="dxa"/>
            <w:vMerge/>
          </w:tcPr>
          <w:p w14:paraId="328BF5C2" w14:textId="77777777" w:rsidR="00454A29" w:rsidRDefault="00454A29"/>
        </w:tc>
        <w:tc>
          <w:tcPr>
            <w:tcW w:w="3345" w:type="dxa"/>
            <w:vMerge/>
          </w:tcPr>
          <w:p w14:paraId="3E5FF1D0" w14:textId="77777777" w:rsidR="00454A29" w:rsidRDefault="00454A29"/>
        </w:tc>
        <w:tc>
          <w:tcPr>
            <w:tcW w:w="1701" w:type="dxa"/>
            <w:vAlign w:val="center"/>
          </w:tcPr>
          <w:p w14:paraId="01CC8658" w14:textId="77777777" w:rsidR="00454A29" w:rsidRDefault="00454A29">
            <w:pPr>
              <w:pStyle w:val="ConsPlusNormal"/>
              <w:jc w:val="center"/>
            </w:pPr>
            <w:r>
              <w:t>2024</w:t>
            </w:r>
          </w:p>
        </w:tc>
        <w:tc>
          <w:tcPr>
            <w:tcW w:w="1417" w:type="dxa"/>
            <w:vMerge/>
          </w:tcPr>
          <w:p w14:paraId="1E4A7FEA" w14:textId="77777777" w:rsidR="00454A29" w:rsidRDefault="00454A29"/>
        </w:tc>
        <w:tc>
          <w:tcPr>
            <w:tcW w:w="2204" w:type="dxa"/>
            <w:vMerge/>
          </w:tcPr>
          <w:p w14:paraId="2B19F25A" w14:textId="77777777" w:rsidR="00454A29" w:rsidRDefault="00454A29"/>
        </w:tc>
        <w:tc>
          <w:tcPr>
            <w:tcW w:w="1417" w:type="dxa"/>
            <w:vMerge/>
          </w:tcPr>
          <w:p w14:paraId="1D7335F9" w14:textId="77777777" w:rsidR="00454A29" w:rsidRDefault="00454A29"/>
        </w:tc>
        <w:tc>
          <w:tcPr>
            <w:tcW w:w="2324" w:type="dxa"/>
            <w:vMerge/>
          </w:tcPr>
          <w:p w14:paraId="67EA4BAD" w14:textId="77777777" w:rsidR="00454A29" w:rsidRDefault="00454A29"/>
        </w:tc>
        <w:tc>
          <w:tcPr>
            <w:tcW w:w="1701" w:type="dxa"/>
            <w:vAlign w:val="center"/>
          </w:tcPr>
          <w:p w14:paraId="22660ADC" w14:textId="77777777" w:rsidR="00454A29" w:rsidRDefault="00454A29">
            <w:pPr>
              <w:pStyle w:val="ConsPlusNormal"/>
            </w:pPr>
          </w:p>
        </w:tc>
        <w:tc>
          <w:tcPr>
            <w:tcW w:w="1814" w:type="dxa"/>
            <w:vAlign w:val="center"/>
          </w:tcPr>
          <w:p w14:paraId="3FBB59B0" w14:textId="77777777" w:rsidR="00454A29" w:rsidRDefault="00454A29">
            <w:pPr>
              <w:pStyle w:val="ConsPlusNormal"/>
            </w:pPr>
          </w:p>
        </w:tc>
        <w:tc>
          <w:tcPr>
            <w:tcW w:w="1701" w:type="dxa"/>
            <w:vAlign w:val="center"/>
          </w:tcPr>
          <w:p w14:paraId="116C7E85" w14:textId="77777777" w:rsidR="00454A29" w:rsidRDefault="00454A29">
            <w:pPr>
              <w:pStyle w:val="ConsPlusNormal"/>
            </w:pPr>
          </w:p>
        </w:tc>
        <w:tc>
          <w:tcPr>
            <w:tcW w:w="1701" w:type="dxa"/>
            <w:vAlign w:val="center"/>
          </w:tcPr>
          <w:p w14:paraId="0A3E7608" w14:textId="77777777" w:rsidR="00454A29" w:rsidRDefault="00454A29">
            <w:pPr>
              <w:pStyle w:val="ConsPlusNormal"/>
            </w:pPr>
          </w:p>
        </w:tc>
        <w:tc>
          <w:tcPr>
            <w:tcW w:w="1814" w:type="dxa"/>
            <w:vAlign w:val="center"/>
          </w:tcPr>
          <w:p w14:paraId="1942CFD9" w14:textId="77777777" w:rsidR="00454A29" w:rsidRDefault="00454A29">
            <w:pPr>
              <w:pStyle w:val="ConsPlusNormal"/>
            </w:pPr>
          </w:p>
        </w:tc>
      </w:tr>
      <w:tr w:rsidR="00454A29" w14:paraId="070E8FE9" w14:textId="77777777">
        <w:tc>
          <w:tcPr>
            <w:tcW w:w="567" w:type="dxa"/>
            <w:vMerge/>
          </w:tcPr>
          <w:p w14:paraId="4D706117" w14:textId="77777777" w:rsidR="00454A29" w:rsidRDefault="00454A29"/>
        </w:tc>
        <w:tc>
          <w:tcPr>
            <w:tcW w:w="3345" w:type="dxa"/>
            <w:vMerge/>
          </w:tcPr>
          <w:p w14:paraId="6B499089" w14:textId="77777777" w:rsidR="00454A29" w:rsidRDefault="00454A29"/>
        </w:tc>
        <w:tc>
          <w:tcPr>
            <w:tcW w:w="1701" w:type="dxa"/>
            <w:vAlign w:val="center"/>
          </w:tcPr>
          <w:p w14:paraId="003AC82B" w14:textId="77777777" w:rsidR="00454A29" w:rsidRDefault="00454A29">
            <w:pPr>
              <w:pStyle w:val="ConsPlusNormal"/>
              <w:jc w:val="center"/>
            </w:pPr>
            <w:r>
              <w:t>2025</w:t>
            </w:r>
          </w:p>
        </w:tc>
        <w:tc>
          <w:tcPr>
            <w:tcW w:w="1417" w:type="dxa"/>
            <w:vMerge/>
          </w:tcPr>
          <w:p w14:paraId="6A1DB86A" w14:textId="77777777" w:rsidR="00454A29" w:rsidRDefault="00454A29"/>
        </w:tc>
        <w:tc>
          <w:tcPr>
            <w:tcW w:w="2204" w:type="dxa"/>
            <w:vMerge/>
          </w:tcPr>
          <w:p w14:paraId="1138AD74" w14:textId="77777777" w:rsidR="00454A29" w:rsidRDefault="00454A29"/>
        </w:tc>
        <w:tc>
          <w:tcPr>
            <w:tcW w:w="1417" w:type="dxa"/>
            <w:vMerge/>
          </w:tcPr>
          <w:p w14:paraId="4662EF11" w14:textId="77777777" w:rsidR="00454A29" w:rsidRDefault="00454A29"/>
        </w:tc>
        <w:tc>
          <w:tcPr>
            <w:tcW w:w="2324" w:type="dxa"/>
            <w:vMerge/>
          </w:tcPr>
          <w:p w14:paraId="5C7A344B" w14:textId="77777777" w:rsidR="00454A29" w:rsidRDefault="00454A29"/>
        </w:tc>
        <w:tc>
          <w:tcPr>
            <w:tcW w:w="1701" w:type="dxa"/>
            <w:vAlign w:val="center"/>
          </w:tcPr>
          <w:p w14:paraId="57350845" w14:textId="77777777" w:rsidR="00454A29" w:rsidRDefault="00454A29">
            <w:pPr>
              <w:pStyle w:val="ConsPlusNormal"/>
              <w:jc w:val="center"/>
            </w:pPr>
            <w:r>
              <w:t>485 034,19</w:t>
            </w:r>
          </w:p>
        </w:tc>
        <w:tc>
          <w:tcPr>
            <w:tcW w:w="1814" w:type="dxa"/>
            <w:vAlign w:val="center"/>
          </w:tcPr>
          <w:p w14:paraId="288B35E8" w14:textId="77777777" w:rsidR="00454A29" w:rsidRDefault="00454A29">
            <w:pPr>
              <w:pStyle w:val="ConsPlusNormal"/>
              <w:jc w:val="center"/>
            </w:pPr>
            <w:r>
              <w:t>6 135,68</w:t>
            </w:r>
          </w:p>
        </w:tc>
        <w:tc>
          <w:tcPr>
            <w:tcW w:w="1701" w:type="dxa"/>
            <w:vAlign w:val="center"/>
          </w:tcPr>
          <w:p w14:paraId="7F9FBBE7" w14:textId="77777777" w:rsidR="00454A29" w:rsidRDefault="00454A29">
            <w:pPr>
              <w:pStyle w:val="ConsPlusNormal"/>
              <w:jc w:val="center"/>
            </w:pPr>
            <w:r>
              <w:t>607 432,57</w:t>
            </w:r>
          </w:p>
        </w:tc>
        <w:tc>
          <w:tcPr>
            <w:tcW w:w="1701" w:type="dxa"/>
            <w:vAlign w:val="center"/>
          </w:tcPr>
          <w:p w14:paraId="2DF876B8" w14:textId="77777777" w:rsidR="00454A29" w:rsidRDefault="00454A29">
            <w:pPr>
              <w:pStyle w:val="ConsPlusNormal"/>
            </w:pPr>
          </w:p>
        </w:tc>
        <w:tc>
          <w:tcPr>
            <w:tcW w:w="1814" w:type="dxa"/>
            <w:vAlign w:val="center"/>
          </w:tcPr>
          <w:p w14:paraId="2FEF369A" w14:textId="77777777" w:rsidR="00454A29" w:rsidRDefault="00454A29">
            <w:pPr>
              <w:pStyle w:val="ConsPlusNormal"/>
            </w:pPr>
          </w:p>
        </w:tc>
      </w:tr>
      <w:tr w:rsidR="00454A29" w14:paraId="4F330BE9" w14:textId="77777777">
        <w:tc>
          <w:tcPr>
            <w:tcW w:w="567" w:type="dxa"/>
            <w:vMerge/>
          </w:tcPr>
          <w:p w14:paraId="54B38894" w14:textId="77777777" w:rsidR="00454A29" w:rsidRDefault="00454A29"/>
        </w:tc>
        <w:tc>
          <w:tcPr>
            <w:tcW w:w="3345" w:type="dxa"/>
            <w:vMerge/>
          </w:tcPr>
          <w:p w14:paraId="068B72AE" w14:textId="77777777" w:rsidR="00454A29" w:rsidRDefault="00454A29"/>
        </w:tc>
        <w:tc>
          <w:tcPr>
            <w:tcW w:w="1701" w:type="dxa"/>
            <w:vAlign w:val="center"/>
          </w:tcPr>
          <w:p w14:paraId="2EBB39AE" w14:textId="77777777" w:rsidR="00454A29" w:rsidRDefault="00454A29">
            <w:pPr>
              <w:pStyle w:val="ConsPlusNormal"/>
              <w:jc w:val="center"/>
            </w:pPr>
            <w:r>
              <w:t>2026</w:t>
            </w:r>
          </w:p>
        </w:tc>
        <w:tc>
          <w:tcPr>
            <w:tcW w:w="1417" w:type="dxa"/>
            <w:vMerge/>
          </w:tcPr>
          <w:p w14:paraId="5FA09217" w14:textId="77777777" w:rsidR="00454A29" w:rsidRDefault="00454A29"/>
        </w:tc>
        <w:tc>
          <w:tcPr>
            <w:tcW w:w="2204" w:type="dxa"/>
            <w:vMerge/>
          </w:tcPr>
          <w:p w14:paraId="2E1159F1" w14:textId="77777777" w:rsidR="00454A29" w:rsidRDefault="00454A29"/>
        </w:tc>
        <w:tc>
          <w:tcPr>
            <w:tcW w:w="1417" w:type="dxa"/>
            <w:vMerge/>
          </w:tcPr>
          <w:p w14:paraId="6AB4475E" w14:textId="77777777" w:rsidR="00454A29" w:rsidRDefault="00454A29"/>
        </w:tc>
        <w:tc>
          <w:tcPr>
            <w:tcW w:w="2324" w:type="dxa"/>
            <w:vMerge/>
          </w:tcPr>
          <w:p w14:paraId="2122D2AB" w14:textId="77777777" w:rsidR="00454A29" w:rsidRDefault="00454A29"/>
        </w:tc>
        <w:tc>
          <w:tcPr>
            <w:tcW w:w="1701" w:type="dxa"/>
            <w:vAlign w:val="center"/>
          </w:tcPr>
          <w:p w14:paraId="4FF8A4B7" w14:textId="77777777" w:rsidR="00454A29" w:rsidRDefault="00454A29">
            <w:pPr>
              <w:pStyle w:val="ConsPlusNormal"/>
            </w:pPr>
          </w:p>
        </w:tc>
        <w:tc>
          <w:tcPr>
            <w:tcW w:w="1814" w:type="dxa"/>
            <w:vAlign w:val="center"/>
          </w:tcPr>
          <w:p w14:paraId="10D3DBF9" w14:textId="77777777" w:rsidR="00454A29" w:rsidRDefault="00454A29">
            <w:pPr>
              <w:pStyle w:val="ConsPlusNormal"/>
            </w:pPr>
          </w:p>
        </w:tc>
        <w:tc>
          <w:tcPr>
            <w:tcW w:w="1701" w:type="dxa"/>
            <w:vAlign w:val="center"/>
          </w:tcPr>
          <w:p w14:paraId="2AAA8A9E" w14:textId="77777777" w:rsidR="00454A29" w:rsidRDefault="00454A29">
            <w:pPr>
              <w:pStyle w:val="ConsPlusNormal"/>
            </w:pPr>
          </w:p>
        </w:tc>
        <w:tc>
          <w:tcPr>
            <w:tcW w:w="1701" w:type="dxa"/>
            <w:vAlign w:val="center"/>
          </w:tcPr>
          <w:p w14:paraId="6B949AD9" w14:textId="77777777" w:rsidR="00454A29" w:rsidRDefault="00454A29">
            <w:pPr>
              <w:pStyle w:val="ConsPlusNormal"/>
            </w:pPr>
          </w:p>
        </w:tc>
        <w:tc>
          <w:tcPr>
            <w:tcW w:w="1814" w:type="dxa"/>
            <w:vAlign w:val="center"/>
          </w:tcPr>
          <w:p w14:paraId="3F0573AA" w14:textId="77777777" w:rsidR="00454A29" w:rsidRDefault="00454A29">
            <w:pPr>
              <w:pStyle w:val="ConsPlusNormal"/>
            </w:pPr>
          </w:p>
        </w:tc>
      </w:tr>
      <w:tr w:rsidR="00454A29" w14:paraId="1D45A6D1" w14:textId="77777777">
        <w:tc>
          <w:tcPr>
            <w:tcW w:w="567" w:type="dxa"/>
            <w:vMerge w:val="restart"/>
            <w:vAlign w:val="center"/>
          </w:tcPr>
          <w:p w14:paraId="745CCA99" w14:textId="77777777" w:rsidR="00454A29" w:rsidRDefault="00454A29">
            <w:pPr>
              <w:pStyle w:val="ConsPlusNormal"/>
              <w:jc w:val="center"/>
            </w:pPr>
            <w:r>
              <w:t>43</w:t>
            </w:r>
          </w:p>
        </w:tc>
        <w:tc>
          <w:tcPr>
            <w:tcW w:w="3345" w:type="dxa"/>
            <w:vMerge w:val="restart"/>
            <w:vAlign w:val="center"/>
          </w:tcPr>
          <w:p w14:paraId="26D5516F" w14:textId="77777777" w:rsidR="00454A29" w:rsidRDefault="00454A29">
            <w:pPr>
              <w:pStyle w:val="ConsPlusNormal"/>
              <w:jc w:val="center"/>
            </w:pPr>
            <w:r>
              <w:t>Школа на 120 учащихся в с. Чинеке</w:t>
            </w:r>
          </w:p>
        </w:tc>
        <w:tc>
          <w:tcPr>
            <w:tcW w:w="1701" w:type="dxa"/>
            <w:vAlign w:val="center"/>
          </w:tcPr>
          <w:p w14:paraId="60A1E0EB" w14:textId="77777777" w:rsidR="00454A29" w:rsidRDefault="00454A29">
            <w:pPr>
              <w:pStyle w:val="ConsPlusNormal"/>
              <w:jc w:val="center"/>
            </w:pPr>
            <w:r>
              <w:t>2020 - 2026 годы - всего</w:t>
            </w:r>
          </w:p>
        </w:tc>
        <w:tc>
          <w:tcPr>
            <w:tcW w:w="1417" w:type="dxa"/>
            <w:vMerge w:val="restart"/>
            <w:vAlign w:val="center"/>
          </w:tcPr>
          <w:p w14:paraId="3D3E9028" w14:textId="77777777" w:rsidR="00454A29" w:rsidRDefault="00454A29">
            <w:pPr>
              <w:pStyle w:val="ConsPlusNormal"/>
              <w:jc w:val="center"/>
            </w:pPr>
            <w:r>
              <w:t>281 009,84</w:t>
            </w:r>
          </w:p>
        </w:tc>
        <w:tc>
          <w:tcPr>
            <w:tcW w:w="2204" w:type="dxa"/>
            <w:vMerge w:val="restart"/>
            <w:vAlign w:val="center"/>
          </w:tcPr>
          <w:p w14:paraId="242D20E1" w14:textId="77777777" w:rsidR="00454A29" w:rsidRDefault="00454A29">
            <w:pPr>
              <w:pStyle w:val="ConsPlusNormal"/>
            </w:pPr>
          </w:p>
        </w:tc>
        <w:tc>
          <w:tcPr>
            <w:tcW w:w="1417" w:type="dxa"/>
            <w:vMerge w:val="restart"/>
            <w:vAlign w:val="center"/>
          </w:tcPr>
          <w:p w14:paraId="7253231D" w14:textId="77777777" w:rsidR="00454A29" w:rsidRDefault="00454A29">
            <w:pPr>
              <w:pStyle w:val="ConsPlusNormal"/>
              <w:jc w:val="center"/>
            </w:pPr>
            <w:r>
              <w:t>120</w:t>
            </w:r>
          </w:p>
        </w:tc>
        <w:tc>
          <w:tcPr>
            <w:tcW w:w="2324" w:type="dxa"/>
            <w:vMerge w:val="restart"/>
            <w:vAlign w:val="center"/>
          </w:tcPr>
          <w:p w14:paraId="7A770565"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4316E941" w14:textId="77777777" w:rsidR="00454A29" w:rsidRDefault="00454A29">
            <w:pPr>
              <w:pStyle w:val="ConsPlusNormal"/>
              <w:jc w:val="center"/>
            </w:pPr>
            <w:r>
              <w:lastRenderedPageBreak/>
              <w:t>281 009,84</w:t>
            </w:r>
          </w:p>
        </w:tc>
        <w:tc>
          <w:tcPr>
            <w:tcW w:w="1814" w:type="dxa"/>
            <w:vAlign w:val="center"/>
          </w:tcPr>
          <w:p w14:paraId="60FF3C4D" w14:textId="77777777" w:rsidR="00454A29" w:rsidRDefault="00454A29">
            <w:pPr>
              <w:pStyle w:val="ConsPlusNormal"/>
              <w:jc w:val="center"/>
            </w:pPr>
            <w:r>
              <w:t>2 810,10</w:t>
            </w:r>
          </w:p>
        </w:tc>
        <w:tc>
          <w:tcPr>
            <w:tcW w:w="1701" w:type="dxa"/>
            <w:vAlign w:val="center"/>
          </w:tcPr>
          <w:p w14:paraId="3AB94012" w14:textId="77777777" w:rsidR="00454A29" w:rsidRDefault="00454A29">
            <w:pPr>
              <w:pStyle w:val="ConsPlusNormal"/>
              <w:jc w:val="center"/>
            </w:pPr>
            <w:r>
              <w:t>278 199,74</w:t>
            </w:r>
          </w:p>
        </w:tc>
        <w:tc>
          <w:tcPr>
            <w:tcW w:w="1701" w:type="dxa"/>
            <w:vAlign w:val="center"/>
          </w:tcPr>
          <w:p w14:paraId="6FDBD42B" w14:textId="77777777" w:rsidR="00454A29" w:rsidRDefault="00454A29">
            <w:pPr>
              <w:pStyle w:val="ConsPlusNormal"/>
              <w:jc w:val="center"/>
            </w:pPr>
            <w:r>
              <w:t>-</w:t>
            </w:r>
          </w:p>
        </w:tc>
        <w:tc>
          <w:tcPr>
            <w:tcW w:w="1814" w:type="dxa"/>
            <w:vAlign w:val="center"/>
          </w:tcPr>
          <w:p w14:paraId="5F676975" w14:textId="77777777" w:rsidR="00454A29" w:rsidRDefault="00454A29">
            <w:pPr>
              <w:pStyle w:val="ConsPlusNormal"/>
              <w:jc w:val="center"/>
            </w:pPr>
            <w:r>
              <w:t>-</w:t>
            </w:r>
          </w:p>
        </w:tc>
      </w:tr>
      <w:tr w:rsidR="00454A29" w14:paraId="4A96AA35" w14:textId="77777777">
        <w:tc>
          <w:tcPr>
            <w:tcW w:w="567" w:type="dxa"/>
            <w:vMerge/>
          </w:tcPr>
          <w:p w14:paraId="141D5654" w14:textId="77777777" w:rsidR="00454A29" w:rsidRDefault="00454A29"/>
        </w:tc>
        <w:tc>
          <w:tcPr>
            <w:tcW w:w="3345" w:type="dxa"/>
            <w:vMerge/>
          </w:tcPr>
          <w:p w14:paraId="4485830C" w14:textId="77777777" w:rsidR="00454A29" w:rsidRDefault="00454A29"/>
        </w:tc>
        <w:tc>
          <w:tcPr>
            <w:tcW w:w="1701" w:type="dxa"/>
            <w:vAlign w:val="center"/>
          </w:tcPr>
          <w:p w14:paraId="5101357B" w14:textId="77777777" w:rsidR="00454A29" w:rsidRDefault="00454A29">
            <w:pPr>
              <w:pStyle w:val="ConsPlusNormal"/>
              <w:jc w:val="center"/>
            </w:pPr>
            <w:r>
              <w:t>2020</w:t>
            </w:r>
          </w:p>
        </w:tc>
        <w:tc>
          <w:tcPr>
            <w:tcW w:w="1417" w:type="dxa"/>
            <w:vMerge/>
          </w:tcPr>
          <w:p w14:paraId="366D8C85" w14:textId="77777777" w:rsidR="00454A29" w:rsidRDefault="00454A29"/>
        </w:tc>
        <w:tc>
          <w:tcPr>
            <w:tcW w:w="2204" w:type="dxa"/>
            <w:vMerge/>
          </w:tcPr>
          <w:p w14:paraId="23B4A62E" w14:textId="77777777" w:rsidR="00454A29" w:rsidRDefault="00454A29"/>
        </w:tc>
        <w:tc>
          <w:tcPr>
            <w:tcW w:w="1417" w:type="dxa"/>
            <w:vMerge/>
          </w:tcPr>
          <w:p w14:paraId="645800B6" w14:textId="77777777" w:rsidR="00454A29" w:rsidRDefault="00454A29"/>
        </w:tc>
        <w:tc>
          <w:tcPr>
            <w:tcW w:w="2324" w:type="dxa"/>
            <w:vMerge/>
          </w:tcPr>
          <w:p w14:paraId="1F202355" w14:textId="77777777" w:rsidR="00454A29" w:rsidRDefault="00454A29"/>
        </w:tc>
        <w:tc>
          <w:tcPr>
            <w:tcW w:w="1701" w:type="dxa"/>
            <w:vAlign w:val="center"/>
          </w:tcPr>
          <w:p w14:paraId="2EF825DC" w14:textId="77777777" w:rsidR="00454A29" w:rsidRDefault="00454A29">
            <w:pPr>
              <w:pStyle w:val="ConsPlusNormal"/>
            </w:pPr>
          </w:p>
        </w:tc>
        <w:tc>
          <w:tcPr>
            <w:tcW w:w="1814" w:type="dxa"/>
            <w:vAlign w:val="center"/>
          </w:tcPr>
          <w:p w14:paraId="00D12252" w14:textId="77777777" w:rsidR="00454A29" w:rsidRDefault="00454A29">
            <w:pPr>
              <w:pStyle w:val="ConsPlusNormal"/>
            </w:pPr>
          </w:p>
        </w:tc>
        <w:tc>
          <w:tcPr>
            <w:tcW w:w="1701" w:type="dxa"/>
            <w:vAlign w:val="center"/>
          </w:tcPr>
          <w:p w14:paraId="721E5C82" w14:textId="77777777" w:rsidR="00454A29" w:rsidRDefault="00454A29">
            <w:pPr>
              <w:pStyle w:val="ConsPlusNormal"/>
            </w:pPr>
          </w:p>
        </w:tc>
        <w:tc>
          <w:tcPr>
            <w:tcW w:w="1701" w:type="dxa"/>
            <w:vAlign w:val="center"/>
          </w:tcPr>
          <w:p w14:paraId="11CFD454" w14:textId="77777777" w:rsidR="00454A29" w:rsidRDefault="00454A29">
            <w:pPr>
              <w:pStyle w:val="ConsPlusNormal"/>
            </w:pPr>
          </w:p>
        </w:tc>
        <w:tc>
          <w:tcPr>
            <w:tcW w:w="1814" w:type="dxa"/>
            <w:vAlign w:val="center"/>
          </w:tcPr>
          <w:p w14:paraId="6D114526" w14:textId="77777777" w:rsidR="00454A29" w:rsidRDefault="00454A29">
            <w:pPr>
              <w:pStyle w:val="ConsPlusNormal"/>
            </w:pPr>
          </w:p>
        </w:tc>
      </w:tr>
      <w:tr w:rsidR="00454A29" w14:paraId="5868B2E5" w14:textId="77777777">
        <w:tc>
          <w:tcPr>
            <w:tcW w:w="567" w:type="dxa"/>
            <w:vMerge/>
          </w:tcPr>
          <w:p w14:paraId="110C8035" w14:textId="77777777" w:rsidR="00454A29" w:rsidRDefault="00454A29"/>
        </w:tc>
        <w:tc>
          <w:tcPr>
            <w:tcW w:w="3345" w:type="dxa"/>
            <w:vMerge/>
          </w:tcPr>
          <w:p w14:paraId="279F39A3" w14:textId="77777777" w:rsidR="00454A29" w:rsidRDefault="00454A29"/>
        </w:tc>
        <w:tc>
          <w:tcPr>
            <w:tcW w:w="1701" w:type="dxa"/>
            <w:vAlign w:val="center"/>
          </w:tcPr>
          <w:p w14:paraId="2272E787" w14:textId="77777777" w:rsidR="00454A29" w:rsidRDefault="00454A29">
            <w:pPr>
              <w:pStyle w:val="ConsPlusNormal"/>
              <w:jc w:val="center"/>
            </w:pPr>
            <w:r>
              <w:t>2021</w:t>
            </w:r>
          </w:p>
        </w:tc>
        <w:tc>
          <w:tcPr>
            <w:tcW w:w="1417" w:type="dxa"/>
            <w:vMerge/>
          </w:tcPr>
          <w:p w14:paraId="2D28DA32" w14:textId="77777777" w:rsidR="00454A29" w:rsidRDefault="00454A29"/>
        </w:tc>
        <w:tc>
          <w:tcPr>
            <w:tcW w:w="2204" w:type="dxa"/>
            <w:vMerge/>
          </w:tcPr>
          <w:p w14:paraId="134773D4" w14:textId="77777777" w:rsidR="00454A29" w:rsidRDefault="00454A29"/>
        </w:tc>
        <w:tc>
          <w:tcPr>
            <w:tcW w:w="1417" w:type="dxa"/>
            <w:vMerge/>
          </w:tcPr>
          <w:p w14:paraId="37334051" w14:textId="77777777" w:rsidR="00454A29" w:rsidRDefault="00454A29"/>
        </w:tc>
        <w:tc>
          <w:tcPr>
            <w:tcW w:w="2324" w:type="dxa"/>
            <w:vMerge/>
          </w:tcPr>
          <w:p w14:paraId="44373506" w14:textId="77777777" w:rsidR="00454A29" w:rsidRDefault="00454A29"/>
        </w:tc>
        <w:tc>
          <w:tcPr>
            <w:tcW w:w="1701" w:type="dxa"/>
            <w:vAlign w:val="center"/>
          </w:tcPr>
          <w:p w14:paraId="14F9F99B" w14:textId="77777777" w:rsidR="00454A29" w:rsidRDefault="00454A29">
            <w:pPr>
              <w:pStyle w:val="ConsPlusNormal"/>
            </w:pPr>
          </w:p>
        </w:tc>
        <w:tc>
          <w:tcPr>
            <w:tcW w:w="1814" w:type="dxa"/>
            <w:vAlign w:val="center"/>
          </w:tcPr>
          <w:p w14:paraId="54E95B4A" w14:textId="77777777" w:rsidR="00454A29" w:rsidRDefault="00454A29">
            <w:pPr>
              <w:pStyle w:val="ConsPlusNormal"/>
            </w:pPr>
          </w:p>
        </w:tc>
        <w:tc>
          <w:tcPr>
            <w:tcW w:w="1701" w:type="dxa"/>
            <w:vAlign w:val="center"/>
          </w:tcPr>
          <w:p w14:paraId="176017A0" w14:textId="77777777" w:rsidR="00454A29" w:rsidRDefault="00454A29">
            <w:pPr>
              <w:pStyle w:val="ConsPlusNormal"/>
            </w:pPr>
          </w:p>
        </w:tc>
        <w:tc>
          <w:tcPr>
            <w:tcW w:w="1701" w:type="dxa"/>
            <w:vAlign w:val="center"/>
          </w:tcPr>
          <w:p w14:paraId="5C77249F" w14:textId="77777777" w:rsidR="00454A29" w:rsidRDefault="00454A29">
            <w:pPr>
              <w:pStyle w:val="ConsPlusNormal"/>
            </w:pPr>
          </w:p>
        </w:tc>
        <w:tc>
          <w:tcPr>
            <w:tcW w:w="1814" w:type="dxa"/>
            <w:vAlign w:val="center"/>
          </w:tcPr>
          <w:p w14:paraId="61C4DD3F" w14:textId="77777777" w:rsidR="00454A29" w:rsidRDefault="00454A29">
            <w:pPr>
              <w:pStyle w:val="ConsPlusNormal"/>
            </w:pPr>
          </w:p>
        </w:tc>
      </w:tr>
      <w:tr w:rsidR="00454A29" w14:paraId="727BA8AA" w14:textId="77777777">
        <w:tc>
          <w:tcPr>
            <w:tcW w:w="567" w:type="dxa"/>
            <w:vMerge/>
          </w:tcPr>
          <w:p w14:paraId="43A3E271" w14:textId="77777777" w:rsidR="00454A29" w:rsidRDefault="00454A29"/>
        </w:tc>
        <w:tc>
          <w:tcPr>
            <w:tcW w:w="3345" w:type="dxa"/>
            <w:vMerge/>
          </w:tcPr>
          <w:p w14:paraId="0132EE6F" w14:textId="77777777" w:rsidR="00454A29" w:rsidRDefault="00454A29"/>
        </w:tc>
        <w:tc>
          <w:tcPr>
            <w:tcW w:w="1701" w:type="dxa"/>
            <w:vAlign w:val="center"/>
          </w:tcPr>
          <w:p w14:paraId="19F1C296" w14:textId="77777777" w:rsidR="00454A29" w:rsidRDefault="00454A29">
            <w:pPr>
              <w:pStyle w:val="ConsPlusNormal"/>
              <w:jc w:val="center"/>
            </w:pPr>
            <w:r>
              <w:t>2022</w:t>
            </w:r>
          </w:p>
        </w:tc>
        <w:tc>
          <w:tcPr>
            <w:tcW w:w="1417" w:type="dxa"/>
            <w:vMerge/>
          </w:tcPr>
          <w:p w14:paraId="6AC2B90D" w14:textId="77777777" w:rsidR="00454A29" w:rsidRDefault="00454A29"/>
        </w:tc>
        <w:tc>
          <w:tcPr>
            <w:tcW w:w="2204" w:type="dxa"/>
            <w:vMerge/>
          </w:tcPr>
          <w:p w14:paraId="4B4214C8" w14:textId="77777777" w:rsidR="00454A29" w:rsidRDefault="00454A29"/>
        </w:tc>
        <w:tc>
          <w:tcPr>
            <w:tcW w:w="1417" w:type="dxa"/>
            <w:vMerge/>
          </w:tcPr>
          <w:p w14:paraId="412411C6" w14:textId="77777777" w:rsidR="00454A29" w:rsidRDefault="00454A29"/>
        </w:tc>
        <w:tc>
          <w:tcPr>
            <w:tcW w:w="2324" w:type="dxa"/>
            <w:vMerge/>
          </w:tcPr>
          <w:p w14:paraId="1FCABFF5" w14:textId="77777777" w:rsidR="00454A29" w:rsidRDefault="00454A29"/>
        </w:tc>
        <w:tc>
          <w:tcPr>
            <w:tcW w:w="1701" w:type="dxa"/>
            <w:vAlign w:val="center"/>
          </w:tcPr>
          <w:p w14:paraId="4032EA7A" w14:textId="77777777" w:rsidR="00454A29" w:rsidRDefault="00454A29">
            <w:pPr>
              <w:pStyle w:val="ConsPlusNormal"/>
            </w:pPr>
          </w:p>
        </w:tc>
        <w:tc>
          <w:tcPr>
            <w:tcW w:w="1814" w:type="dxa"/>
            <w:vAlign w:val="center"/>
          </w:tcPr>
          <w:p w14:paraId="7C5A274E" w14:textId="77777777" w:rsidR="00454A29" w:rsidRDefault="00454A29">
            <w:pPr>
              <w:pStyle w:val="ConsPlusNormal"/>
            </w:pPr>
          </w:p>
        </w:tc>
        <w:tc>
          <w:tcPr>
            <w:tcW w:w="1701" w:type="dxa"/>
            <w:vAlign w:val="center"/>
          </w:tcPr>
          <w:p w14:paraId="29A2C523" w14:textId="77777777" w:rsidR="00454A29" w:rsidRDefault="00454A29">
            <w:pPr>
              <w:pStyle w:val="ConsPlusNormal"/>
            </w:pPr>
          </w:p>
        </w:tc>
        <w:tc>
          <w:tcPr>
            <w:tcW w:w="1701" w:type="dxa"/>
            <w:vAlign w:val="center"/>
          </w:tcPr>
          <w:p w14:paraId="64719579" w14:textId="77777777" w:rsidR="00454A29" w:rsidRDefault="00454A29">
            <w:pPr>
              <w:pStyle w:val="ConsPlusNormal"/>
            </w:pPr>
          </w:p>
        </w:tc>
        <w:tc>
          <w:tcPr>
            <w:tcW w:w="1814" w:type="dxa"/>
            <w:vAlign w:val="center"/>
          </w:tcPr>
          <w:p w14:paraId="748020EA" w14:textId="77777777" w:rsidR="00454A29" w:rsidRDefault="00454A29">
            <w:pPr>
              <w:pStyle w:val="ConsPlusNormal"/>
            </w:pPr>
          </w:p>
        </w:tc>
      </w:tr>
      <w:tr w:rsidR="00454A29" w14:paraId="63AFE80B" w14:textId="77777777">
        <w:tc>
          <w:tcPr>
            <w:tcW w:w="567" w:type="dxa"/>
            <w:vMerge/>
          </w:tcPr>
          <w:p w14:paraId="0D02851C" w14:textId="77777777" w:rsidR="00454A29" w:rsidRDefault="00454A29"/>
        </w:tc>
        <w:tc>
          <w:tcPr>
            <w:tcW w:w="3345" w:type="dxa"/>
            <w:vMerge/>
          </w:tcPr>
          <w:p w14:paraId="34B946AF" w14:textId="77777777" w:rsidR="00454A29" w:rsidRDefault="00454A29"/>
        </w:tc>
        <w:tc>
          <w:tcPr>
            <w:tcW w:w="1701" w:type="dxa"/>
            <w:vAlign w:val="center"/>
          </w:tcPr>
          <w:p w14:paraId="42D9744D" w14:textId="77777777" w:rsidR="00454A29" w:rsidRDefault="00454A29">
            <w:pPr>
              <w:pStyle w:val="ConsPlusNormal"/>
              <w:jc w:val="center"/>
            </w:pPr>
            <w:r>
              <w:t>2023</w:t>
            </w:r>
          </w:p>
        </w:tc>
        <w:tc>
          <w:tcPr>
            <w:tcW w:w="1417" w:type="dxa"/>
            <w:vMerge/>
          </w:tcPr>
          <w:p w14:paraId="2B4F87D0" w14:textId="77777777" w:rsidR="00454A29" w:rsidRDefault="00454A29"/>
        </w:tc>
        <w:tc>
          <w:tcPr>
            <w:tcW w:w="2204" w:type="dxa"/>
            <w:vMerge/>
          </w:tcPr>
          <w:p w14:paraId="251A083C" w14:textId="77777777" w:rsidR="00454A29" w:rsidRDefault="00454A29"/>
        </w:tc>
        <w:tc>
          <w:tcPr>
            <w:tcW w:w="1417" w:type="dxa"/>
            <w:vMerge/>
          </w:tcPr>
          <w:p w14:paraId="72BABF2F" w14:textId="77777777" w:rsidR="00454A29" w:rsidRDefault="00454A29"/>
        </w:tc>
        <w:tc>
          <w:tcPr>
            <w:tcW w:w="2324" w:type="dxa"/>
            <w:vMerge/>
          </w:tcPr>
          <w:p w14:paraId="014562AB" w14:textId="77777777" w:rsidR="00454A29" w:rsidRDefault="00454A29"/>
        </w:tc>
        <w:tc>
          <w:tcPr>
            <w:tcW w:w="1701" w:type="dxa"/>
            <w:vAlign w:val="center"/>
          </w:tcPr>
          <w:p w14:paraId="5DE6DF82" w14:textId="77777777" w:rsidR="00454A29" w:rsidRDefault="00454A29">
            <w:pPr>
              <w:pStyle w:val="ConsPlusNormal"/>
            </w:pPr>
          </w:p>
        </w:tc>
        <w:tc>
          <w:tcPr>
            <w:tcW w:w="1814" w:type="dxa"/>
            <w:vAlign w:val="center"/>
          </w:tcPr>
          <w:p w14:paraId="7D197091" w14:textId="77777777" w:rsidR="00454A29" w:rsidRDefault="00454A29">
            <w:pPr>
              <w:pStyle w:val="ConsPlusNormal"/>
            </w:pPr>
          </w:p>
        </w:tc>
        <w:tc>
          <w:tcPr>
            <w:tcW w:w="1701" w:type="dxa"/>
            <w:vAlign w:val="center"/>
          </w:tcPr>
          <w:p w14:paraId="54005705" w14:textId="77777777" w:rsidR="00454A29" w:rsidRDefault="00454A29">
            <w:pPr>
              <w:pStyle w:val="ConsPlusNormal"/>
            </w:pPr>
          </w:p>
        </w:tc>
        <w:tc>
          <w:tcPr>
            <w:tcW w:w="1701" w:type="dxa"/>
            <w:vAlign w:val="center"/>
          </w:tcPr>
          <w:p w14:paraId="2C174DD5" w14:textId="77777777" w:rsidR="00454A29" w:rsidRDefault="00454A29">
            <w:pPr>
              <w:pStyle w:val="ConsPlusNormal"/>
            </w:pPr>
          </w:p>
        </w:tc>
        <w:tc>
          <w:tcPr>
            <w:tcW w:w="1814" w:type="dxa"/>
            <w:vAlign w:val="center"/>
          </w:tcPr>
          <w:p w14:paraId="1511B741" w14:textId="77777777" w:rsidR="00454A29" w:rsidRDefault="00454A29">
            <w:pPr>
              <w:pStyle w:val="ConsPlusNormal"/>
            </w:pPr>
          </w:p>
        </w:tc>
      </w:tr>
      <w:tr w:rsidR="00454A29" w14:paraId="6C5E9D7D" w14:textId="77777777">
        <w:tc>
          <w:tcPr>
            <w:tcW w:w="567" w:type="dxa"/>
            <w:vMerge/>
          </w:tcPr>
          <w:p w14:paraId="6E65C702" w14:textId="77777777" w:rsidR="00454A29" w:rsidRDefault="00454A29"/>
        </w:tc>
        <w:tc>
          <w:tcPr>
            <w:tcW w:w="3345" w:type="dxa"/>
            <w:vMerge/>
          </w:tcPr>
          <w:p w14:paraId="51908FD6" w14:textId="77777777" w:rsidR="00454A29" w:rsidRDefault="00454A29"/>
        </w:tc>
        <w:tc>
          <w:tcPr>
            <w:tcW w:w="1701" w:type="dxa"/>
            <w:vAlign w:val="center"/>
          </w:tcPr>
          <w:p w14:paraId="31EAE52D" w14:textId="77777777" w:rsidR="00454A29" w:rsidRDefault="00454A29">
            <w:pPr>
              <w:pStyle w:val="ConsPlusNormal"/>
              <w:jc w:val="center"/>
            </w:pPr>
            <w:r>
              <w:t>2024</w:t>
            </w:r>
          </w:p>
        </w:tc>
        <w:tc>
          <w:tcPr>
            <w:tcW w:w="1417" w:type="dxa"/>
            <w:vMerge/>
          </w:tcPr>
          <w:p w14:paraId="1B66C06C" w14:textId="77777777" w:rsidR="00454A29" w:rsidRDefault="00454A29"/>
        </w:tc>
        <w:tc>
          <w:tcPr>
            <w:tcW w:w="2204" w:type="dxa"/>
            <w:vMerge/>
          </w:tcPr>
          <w:p w14:paraId="4FF0B73D" w14:textId="77777777" w:rsidR="00454A29" w:rsidRDefault="00454A29"/>
        </w:tc>
        <w:tc>
          <w:tcPr>
            <w:tcW w:w="1417" w:type="dxa"/>
            <w:vMerge/>
          </w:tcPr>
          <w:p w14:paraId="60B28E5A" w14:textId="77777777" w:rsidR="00454A29" w:rsidRDefault="00454A29"/>
        </w:tc>
        <w:tc>
          <w:tcPr>
            <w:tcW w:w="2324" w:type="dxa"/>
            <w:vMerge/>
          </w:tcPr>
          <w:p w14:paraId="3D0C01D1" w14:textId="77777777" w:rsidR="00454A29" w:rsidRDefault="00454A29"/>
        </w:tc>
        <w:tc>
          <w:tcPr>
            <w:tcW w:w="1701" w:type="dxa"/>
            <w:vAlign w:val="center"/>
          </w:tcPr>
          <w:p w14:paraId="10AE70B7" w14:textId="77777777" w:rsidR="00454A29" w:rsidRDefault="00454A29">
            <w:pPr>
              <w:pStyle w:val="ConsPlusNormal"/>
              <w:jc w:val="center"/>
            </w:pPr>
            <w:r>
              <w:t>281 009,84</w:t>
            </w:r>
          </w:p>
        </w:tc>
        <w:tc>
          <w:tcPr>
            <w:tcW w:w="1814" w:type="dxa"/>
            <w:vAlign w:val="center"/>
          </w:tcPr>
          <w:p w14:paraId="0F26E264" w14:textId="77777777" w:rsidR="00454A29" w:rsidRDefault="00454A29">
            <w:pPr>
              <w:pStyle w:val="ConsPlusNormal"/>
              <w:jc w:val="center"/>
            </w:pPr>
            <w:r>
              <w:t>2 810,10</w:t>
            </w:r>
          </w:p>
        </w:tc>
        <w:tc>
          <w:tcPr>
            <w:tcW w:w="1701" w:type="dxa"/>
            <w:vAlign w:val="center"/>
          </w:tcPr>
          <w:p w14:paraId="61C7DBDC" w14:textId="77777777" w:rsidR="00454A29" w:rsidRDefault="00454A29">
            <w:pPr>
              <w:pStyle w:val="ConsPlusNormal"/>
              <w:jc w:val="center"/>
            </w:pPr>
            <w:r>
              <w:t>278 199,74</w:t>
            </w:r>
          </w:p>
        </w:tc>
        <w:tc>
          <w:tcPr>
            <w:tcW w:w="1701" w:type="dxa"/>
            <w:vAlign w:val="center"/>
          </w:tcPr>
          <w:p w14:paraId="4B4A7657" w14:textId="77777777" w:rsidR="00454A29" w:rsidRDefault="00454A29">
            <w:pPr>
              <w:pStyle w:val="ConsPlusNormal"/>
            </w:pPr>
          </w:p>
        </w:tc>
        <w:tc>
          <w:tcPr>
            <w:tcW w:w="1814" w:type="dxa"/>
            <w:vAlign w:val="center"/>
          </w:tcPr>
          <w:p w14:paraId="02AAC545" w14:textId="77777777" w:rsidR="00454A29" w:rsidRDefault="00454A29">
            <w:pPr>
              <w:pStyle w:val="ConsPlusNormal"/>
            </w:pPr>
          </w:p>
        </w:tc>
      </w:tr>
      <w:tr w:rsidR="00454A29" w14:paraId="331071D7" w14:textId="77777777">
        <w:tc>
          <w:tcPr>
            <w:tcW w:w="567" w:type="dxa"/>
            <w:vMerge/>
          </w:tcPr>
          <w:p w14:paraId="04CCB1D0" w14:textId="77777777" w:rsidR="00454A29" w:rsidRDefault="00454A29"/>
        </w:tc>
        <w:tc>
          <w:tcPr>
            <w:tcW w:w="3345" w:type="dxa"/>
            <w:vMerge/>
          </w:tcPr>
          <w:p w14:paraId="3BCE243F" w14:textId="77777777" w:rsidR="00454A29" w:rsidRDefault="00454A29"/>
        </w:tc>
        <w:tc>
          <w:tcPr>
            <w:tcW w:w="1701" w:type="dxa"/>
            <w:vAlign w:val="center"/>
          </w:tcPr>
          <w:p w14:paraId="6E515AC1" w14:textId="77777777" w:rsidR="00454A29" w:rsidRDefault="00454A29">
            <w:pPr>
              <w:pStyle w:val="ConsPlusNormal"/>
              <w:jc w:val="center"/>
            </w:pPr>
            <w:r>
              <w:t>2025</w:t>
            </w:r>
          </w:p>
        </w:tc>
        <w:tc>
          <w:tcPr>
            <w:tcW w:w="1417" w:type="dxa"/>
            <w:vMerge/>
          </w:tcPr>
          <w:p w14:paraId="42137E19" w14:textId="77777777" w:rsidR="00454A29" w:rsidRDefault="00454A29"/>
        </w:tc>
        <w:tc>
          <w:tcPr>
            <w:tcW w:w="2204" w:type="dxa"/>
            <w:vMerge/>
          </w:tcPr>
          <w:p w14:paraId="00D952C9" w14:textId="77777777" w:rsidR="00454A29" w:rsidRDefault="00454A29"/>
        </w:tc>
        <w:tc>
          <w:tcPr>
            <w:tcW w:w="1417" w:type="dxa"/>
            <w:vMerge/>
          </w:tcPr>
          <w:p w14:paraId="2C49AA5C" w14:textId="77777777" w:rsidR="00454A29" w:rsidRDefault="00454A29"/>
        </w:tc>
        <w:tc>
          <w:tcPr>
            <w:tcW w:w="2324" w:type="dxa"/>
            <w:vMerge/>
          </w:tcPr>
          <w:p w14:paraId="21194DE3" w14:textId="77777777" w:rsidR="00454A29" w:rsidRDefault="00454A29"/>
        </w:tc>
        <w:tc>
          <w:tcPr>
            <w:tcW w:w="1701" w:type="dxa"/>
            <w:vAlign w:val="center"/>
          </w:tcPr>
          <w:p w14:paraId="62CDC0DC" w14:textId="77777777" w:rsidR="00454A29" w:rsidRDefault="00454A29">
            <w:pPr>
              <w:pStyle w:val="ConsPlusNormal"/>
            </w:pPr>
          </w:p>
        </w:tc>
        <w:tc>
          <w:tcPr>
            <w:tcW w:w="1814" w:type="dxa"/>
            <w:vAlign w:val="center"/>
          </w:tcPr>
          <w:p w14:paraId="0A6CB3BF" w14:textId="77777777" w:rsidR="00454A29" w:rsidRDefault="00454A29">
            <w:pPr>
              <w:pStyle w:val="ConsPlusNormal"/>
            </w:pPr>
          </w:p>
        </w:tc>
        <w:tc>
          <w:tcPr>
            <w:tcW w:w="1701" w:type="dxa"/>
            <w:vAlign w:val="center"/>
          </w:tcPr>
          <w:p w14:paraId="07384CE7" w14:textId="77777777" w:rsidR="00454A29" w:rsidRDefault="00454A29">
            <w:pPr>
              <w:pStyle w:val="ConsPlusNormal"/>
            </w:pPr>
          </w:p>
        </w:tc>
        <w:tc>
          <w:tcPr>
            <w:tcW w:w="1701" w:type="dxa"/>
            <w:vAlign w:val="center"/>
          </w:tcPr>
          <w:p w14:paraId="15EAFB55" w14:textId="77777777" w:rsidR="00454A29" w:rsidRDefault="00454A29">
            <w:pPr>
              <w:pStyle w:val="ConsPlusNormal"/>
            </w:pPr>
          </w:p>
        </w:tc>
        <w:tc>
          <w:tcPr>
            <w:tcW w:w="1814" w:type="dxa"/>
            <w:vAlign w:val="center"/>
          </w:tcPr>
          <w:p w14:paraId="72B8B54E" w14:textId="77777777" w:rsidR="00454A29" w:rsidRDefault="00454A29">
            <w:pPr>
              <w:pStyle w:val="ConsPlusNormal"/>
            </w:pPr>
          </w:p>
        </w:tc>
      </w:tr>
      <w:tr w:rsidR="00454A29" w14:paraId="2FB35134" w14:textId="77777777">
        <w:tc>
          <w:tcPr>
            <w:tcW w:w="567" w:type="dxa"/>
            <w:vMerge/>
          </w:tcPr>
          <w:p w14:paraId="18EC0C5D" w14:textId="77777777" w:rsidR="00454A29" w:rsidRDefault="00454A29"/>
        </w:tc>
        <w:tc>
          <w:tcPr>
            <w:tcW w:w="3345" w:type="dxa"/>
            <w:vMerge/>
          </w:tcPr>
          <w:p w14:paraId="32A31BA9" w14:textId="77777777" w:rsidR="00454A29" w:rsidRDefault="00454A29"/>
        </w:tc>
        <w:tc>
          <w:tcPr>
            <w:tcW w:w="1701" w:type="dxa"/>
            <w:vAlign w:val="center"/>
          </w:tcPr>
          <w:p w14:paraId="3668EE00" w14:textId="77777777" w:rsidR="00454A29" w:rsidRDefault="00454A29">
            <w:pPr>
              <w:pStyle w:val="ConsPlusNormal"/>
              <w:jc w:val="center"/>
            </w:pPr>
            <w:r>
              <w:t>2026</w:t>
            </w:r>
          </w:p>
        </w:tc>
        <w:tc>
          <w:tcPr>
            <w:tcW w:w="1417" w:type="dxa"/>
            <w:vMerge/>
          </w:tcPr>
          <w:p w14:paraId="727F340A" w14:textId="77777777" w:rsidR="00454A29" w:rsidRDefault="00454A29"/>
        </w:tc>
        <w:tc>
          <w:tcPr>
            <w:tcW w:w="2204" w:type="dxa"/>
            <w:vMerge/>
          </w:tcPr>
          <w:p w14:paraId="14FC4CC3" w14:textId="77777777" w:rsidR="00454A29" w:rsidRDefault="00454A29"/>
        </w:tc>
        <w:tc>
          <w:tcPr>
            <w:tcW w:w="1417" w:type="dxa"/>
            <w:vMerge/>
          </w:tcPr>
          <w:p w14:paraId="2E198253" w14:textId="77777777" w:rsidR="00454A29" w:rsidRDefault="00454A29"/>
        </w:tc>
        <w:tc>
          <w:tcPr>
            <w:tcW w:w="2324" w:type="dxa"/>
            <w:vMerge/>
          </w:tcPr>
          <w:p w14:paraId="23A96772" w14:textId="77777777" w:rsidR="00454A29" w:rsidRDefault="00454A29"/>
        </w:tc>
        <w:tc>
          <w:tcPr>
            <w:tcW w:w="1701" w:type="dxa"/>
            <w:vAlign w:val="center"/>
          </w:tcPr>
          <w:p w14:paraId="34F24A38" w14:textId="77777777" w:rsidR="00454A29" w:rsidRDefault="00454A29">
            <w:pPr>
              <w:pStyle w:val="ConsPlusNormal"/>
            </w:pPr>
          </w:p>
        </w:tc>
        <w:tc>
          <w:tcPr>
            <w:tcW w:w="1814" w:type="dxa"/>
            <w:vAlign w:val="center"/>
          </w:tcPr>
          <w:p w14:paraId="4E161CF6" w14:textId="77777777" w:rsidR="00454A29" w:rsidRDefault="00454A29">
            <w:pPr>
              <w:pStyle w:val="ConsPlusNormal"/>
            </w:pPr>
          </w:p>
        </w:tc>
        <w:tc>
          <w:tcPr>
            <w:tcW w:w="1701" w:type="dxa"/>
            <w:vAlign w:val="center"/>
          </w:tcPr>
          <w:p w14:paraId="4161E24F" w14:textId="77777777" w:rsidR="00454A29" w:rsidRDefault="00454A29">
            <w:pPr>
              <w:pStyle w:val="ConsPlusNormal"/>
            </w:pPr>
          </w:p>
        </w:tc>
        <w:tc>
          <w:tcPr>
            <w:tcW w:w="1701" w:type="dxa"/>
            <w:vAlign w:val="center"/>
          </w:tcPr>
          <w:p w14:paraId="6333BB7A" w14:textId="77777777" w:rsidR="00454A29" w:rsidRDefault="00454A29">
            <w:pPr>
              <w:pStyle w:val="ConsPlusNormal"/>
            </w:pPr>
          </w:p>
        </w:tc>
        <w:tc>
          <w:tcPr>
            <w:tcW w:w="1814" w:type="dxa"/>
            <w:vAlign w:val="center"/>
          </w:tcPr>
          <w:p w14:paraId="52AC1BCC" w14:textId="77777777" w:rsidR="00454A29" w:rsidRDefault="00454A29">
            <w:pPr>
              <w:pStyle w:val="ConsPlusNormal"/>
            </w:pPr>
          </w:p>
        </w:tc>
      </w:tr>
      <w:tr w:rsidR="00454A29" w14:paraId="1E9491E8" w14:textId="77777777">
        <w:tc>
          <w:tcPr>
            <w:tcW w:w="567" w:type="dxa"/>
            <w:vMerge w:val="restart"/>
            <w:vAlign w:val="center"/>
          </w:tcPr>
          <w:p w14:paraId="0D3F078B" w14:textId="77777777" w:rsidR="00454A29" w:rsidRDefault="00454A29">
            <w:pPr>
              <w:pStyle w:val="ConsPlusNormal"/>
              <w:jc w:val="center"/>
            </w:pPr>
            <w:r>
              <w:t>44</w:t>
            </w:r>
          </w:p>
        </w:tc>
        <w:tc>
          <w:tcPr>
            <w:tcW w:w="3345" w:type="dxa"/>
            <w:vMerge w:val="restart"/>
            <w:vAlign w:val="center"/>
          </w:tcPr>
          <w:p w14:paraId="46111632" w14:textId="77777777" w:rsidR="00454A29" w:rsidRDefault="00454A29">
            <w:pPr>
              <w:pStyle w:val="ConsPlusNormal"/>
              <w:jc w:val="center"/>
            </w:pPr>
            <w:r>
              <w:t>Школа-сад на 70/30 мест в с. Чай</w:t>
            </w:r>
          </w:p>
        </w:tc>
        <w:tc>
          <w:tcPr>
            <w:tcW w:w="1701" w:type="dxa"/>
            <w:vAlign w:val="center"/>
          </w:tcPr>
          <w:p w14:paraId="188D4692" w14:textId="77777777" w:rsidR="00454A29" w:rsidRDefault="00454A29">
            <w:pPr>
              <w:pStyle w:val="ConsPlusNormal"/>
              <w:jc w:val="center"/>
            </w:pPr>
            <w:r>
              <w:t>2020 - 2026 годы - всего</w:t>
            </w:r>
          </w:p>
        </w:tc>
        <w:tc>
          <w:tcPr>
            <w:tcW w:w="1417" w:type="dxa"/>
            <w:vMerge w:val="restart"/>
            <w:vAlign w:val="center"/>
          </w:tcPr>
          <w:p w14:paraId="7ED910AC" w14:textId="77777777" w:rsidR="00454A29" w:rsidRDefault="00454A29">
            <w:pPr>
              <w:pStyle w:val="ConsPlusNormal"/>
              <w:jc w:val="center"/>
            </w:pPr>
            <w:r>
              <w:t>317 211,87</w:t>
            </w:r>
          </w:p>
        </w:tc>
        <w:tc>
          <w:tcPr>
            <w:tcW w:w="2204" w:type="dxa"/>
            <w:vMerge w:val="restart"/>
            <w:vAlign w:val="center"/>
          </w:tcPr>
          <w:p w14:paraId="68619B2E" w14:textId="77777777" w:rsidR="00454A29" w:rsidRDefault="00454A29">
            <w:pPr>
              <w:pStyle w:val="ConsPlusNormal"/>
            </w:pPr>
          </w:p>
        </w:tc>
        <w:tc>
          <w:tcPr>
            <w:tcW w:w="1417" w:type="dxa"/>
            <w:vMerge w:val="restart"/>
            <w:vAlign w:val="center"/>
          </w:tcPr>
          <w:p w14:paraId="038B27EE" w14:textId="77777777" w:rsidR="00454A29" w:rsidRDefault="00454A29">
            <w:pPr>
              <w:pStyle w:val="ConsPlusNormal"/>
              <w:jc w:val="center"/>
            </w:pPr>
            <w:r>
              <w:t>70</w:t>
            </w:r>
          </w:p>
        </w:tc>
        <w:tc>
          <w:tcPr>
            <w:tcW w:w="2324" w:type="dxa"/>
            <w:vMerge w:val="restart"/>
            <w:vAlign w:val="center"/>
          </w:tcPr>
          <w:p w14:paraId="0C877E6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507E318" w14:textId="77777777" w:rsidR="00454A29" w:rsidRDefault="00454A29">
            <w:pPr>
              <w:pStyle w:val="ConsPlusNormal"/>
              <w:jc w:val="center"/>
            </w:pPr>
            <w:r>
              <w:t>317 211,87</w:t>
            </w:r>
          </w:p>
        </w:tc>
        <w:tc>
          <w:tcPr>
            <w:tcW w:w="1814" w:type="dxa"/>
            <w:vAlign w:val="center"/>
          </w:tcPr>
          <w:p w14:paraId="5A9FEEBA" w14:textId="77777777" w:rsidR="00454A29" w:rsidRDefault="00454A29">
            <w:pPr>
              <w:pStyle w:val="ConsPlusNormal"/>
              <w:jc w:val="center"/>
            </w:pPr>
            <w:r>
              <w:t>3 172,12</w:t>
            </w:r>
          </w:p>
        </w:tc>
        <w:tc>
          <w:tcPr>
            <w:tcW w:w="1701" w:type="dxa"/>
            <w:vAlign w:val="center"/>
          </w:tcPr>
          <w:p w14:paraId="44963BB3" w14:textId="77777777" w:rsidR="00454A29" w:rsidRDefault="00454A29">
            <w:pPr>
              <w:pStyle w:val="ConsPlusNormal"/>
              <w:jc w:val="center"/>
            </w:pPr>
            <w:r>
              <w:t>314 039,75</w:t>
            </w:r>
          </w:p>
        </w:tc>
        <w:tc>
          <w:tcPr>
            <w:tcW w:w="1701" w:type="dxa"/>
            <w:vAlign w:val="center"/>
          </w:tcPr>
          <w:p w14:paraId="527D0B9B" w14:textId="77777777" w:rsidR="00454A29" w:rsidRDefault="00454A29">
            <w:pPr>
              <w:pStyle w:val="ConsPlusNormal"/>
              <w:jc w:val="center"/>
            </w:pPr>
            <w:r>
              <w:t>-</w:t>
            </w:r>
          </w:p>
        </w:tc>
        <w:tc>
          <w:tcPr>
            <w:tcW w:w="1814" w:type="dxa"/>
            <w:vAlign w:val="center"/>
          </w:tcPr>
          <w:p w14:paraId="22332163" w14:textId="77777777" w:rsidR="00454A29" w:rsidRDefault="00454A29">
            <w:pPr>
              <w:pStyle w:val="ConsPlusNormal"/>
              <w:jc w:val="center"/>
            </w:pPr>
            <w:r>
              <w:t>-</w:t>
            </w:r>
          </w:p>
        </w:tc>
      </w:tr>
      <w:tr w:rsidR="00454A29" w14:paraId="781E8741" w14:textId="77777777">
        <w:tc>
          <w:tcPr>
            <w:tcW w:w="567" w:type="dxa"/>
            <w:vMerge/>
          </w:tcPr>
          <w:p w14:paraId="44AE3AF0" w14:textId="77777777" w:rsidR="00454A29" w:rsidRDefault="00454A29"/>
        </w:tc>
        <w:tc>
          <w:tcPr>
            <w:tcW w:w="3345" w:type="dxa"/>
            <w:vMerge/>
          </w:tcPr>
          <w:p w14:paraId="6B17D1DE" w14:textId="77777777" w:rsidR="00454A29" w:rsidRDefault="00454A29"/>
        </w:tc>
        <w:tc>
          <w:tcPr>
            <w:tcW w:w="1701" w:type="dxa"/>
            <w:vAlign w:val="center"/>
          </w:tcPr>
          <w:p w14:paraId="0BDB12D5" w14:textId="77777777" w:rsidR="00454A29" w:rsidRDefault="00454A29">
            <w:pPr>
              <w:pStyle w:val="ConsPlusNormal"/>
              <w:jc w:val="center"/>
            </w:pPr>
            <w:r>
              <w:t>2020</w:t>
            </w:r>
          </w:p>
        </w:tc>
        <w:tc>
          <w:tcPr>
            <w:tcW w:w="1417" w:type="dxa"/>
            <w:vMerge/>
          </w:tcPr>
          <w:p w14:paraId="6E6E3F7B" w14:textId="77777777" w:rsidR="00454A29" w:rsidRDefault="00454A29"/>
        </w:tc>
        <w:tc>
          <w:tcPr>
            <w:tcW w:w="2204" w:type="dxa"/>
            <w:vMerge/>
          </w:tcPr>
          <w:p w14:paraId="1686442D" w14:textId="77777777" w:rsidR="00454A29" w:rsidRDefault="00454A29"/>
        </w:tc>
        <w:tc>
          <w:tcPr>
            <w:tcW w:w="1417" w:type="dxa"/>
            <w:vMerge/>
          </w:tcPr>
          <w:p w14:paraId="37F23ACE" w14:textId="77777777" w:rsidR="00454A29" w:rsidRDefault="00454A29"/>
        </w:tc>
        <w:tc>
          <w:tcPr>
            <w:tcW w:w="2324" w:type="dxa"/>
            <w:vMerge/>
          </w:tcPr>
          <w:p w14:paraId="62C6BD1C" w14:textId="77777777" w:rsidR="00454A29" w:rsidRDefault="00454A29"/>
        </w:tc>
        <w:tc>
          <w:tcPr>
            <w:tcW w:w="1701" w:type="dxa"/>
            <w:vAlign w:val="center"/>
          </w:tcPr>
          <w:p w14:paraId="7D51D7ED" w14:textId="77777777" w:rsidR="00454A29" w:rsidRDefault="00454A29">
            <w:pPr>
              <w:pStyle w:val="ConsPlusNormal"/>
            </w:pPr>
          </w:p>
        </w:tc>
        <w:tc>
          <w:tcPr>
            <w:tcW w:w="1814" w:type="dxa"/>
            <w:vAlign w:val="center"/>
          </w:tcPr>
          <w:p w14:paraId="47D5897F" w14:textId="77777777" w:rsidR="00454A29" w:rsidRDefault="00454A29">
            <w:pPr>
              <w:pStyle w:val="ConsPlusNormal"/>
            </w:pPr>
          </w:p>
        </w:tc>
        <w:tc>
          <w:tcPr>
            <w:tcW w:w="1701" w:type="dxa"/>
            <w:vAlign w:val="center"/>
          </w:tcPr>
          <w:p w14:paraId="6608A447" w14:textId="77777777" w:rsidR="00454A29" w:rsidRDefault="00454A29">
            <w:pPr>
              <w:pStyle w:val="ConsPlusNormal"/>
            </w:pPr>
          </w:p>
        </w:tc>
        <w:tc>
          <w:tcPr>
            <w:tcW w:w="1701" w:type="dxa"/>
            <w:vAlign w:val="center"/>
          </w:tcPr>
          <w:p w14:paraId="74931B25" w14:textId="77777777" w:rsidR="00454A29" w:rsidRDefault="00454A29">
            <w:pPr>
              <w:pStyle w:val="ConsPlusNormal"/>
            </w:pPr>
          </w:p>
        </w:tc>
        <w:tc>
          <w:tcPr>
            <w:tcW w:w="1814" w:type="dxa"/>
            <w:vAlign w:val="center"/>
          </w:tcPr>
          <w:p w14:paraId="4A855519" w14:textId="77777777" w:rsidR="00454A29" w:rsidRDefault="00454A29">
            <w:pPr>
              <w:pStyle w:val="ConsPlusNormal"/>
            </w:pPr>
          </w:p>
        </w:tc>
      </w:tr>
      <w:tr w:rsidR="00454A29" w14:paraId="6C47898C" w14:textId="77777777">
        <w:tc>
          <w:tcPr>
            <w:tcW w:w="567" w:type="dxa"/>
            <w:vMerge/>
          </w:tcPr>
          <w:p w14:paraId="4637CD63" w14:textId="77777777" w:rsidR="00454A29" w:rsidRDefault="00454A29"/>
        </w:tc>
        <w:tc>
          <w:tcPr>
            <w:tcW w:w="3345" w:type="dxa"/>
            <w:vMerge/>
          </w:tcPr>
          <w:p w14:paraId="65CF23B5" w14:textId="77777777" w:rsidR="00454A29" w:rsidRDefault="00454A29"/>
        </w:tc>
        <w:tc>
          <w:tcPr>
            <w:tcW w:w="1701" w:type="dxa"/>
            <w:vAlign w:val="center"/>
          </w:tcPr>
          <w:p w14:paraId="5699C14D" w14:textId="77777777" w:rsidR="00454A29" w:rsidRDefault="00454A29">
            <w:pPr>
              <w:pStyle w:val="ConsPlusNormal"/>
              <w:jc w:val="center"/>
            </w:pPr>
            <w:r>
              <w:t>2021</w:t>
            </w:r>
          </w:p>
        </w:tc>
        <w:tc>
          <w:tcPr>
            <w:tcW w:w="1417" w:type="dxa"/>
            <w:vMerge/>
          </w:tcPr>
          <w:p w14:paraId="63998C0D" w14:textId="77777777" w:rsidR="00454A29" w:rsidRDefault="00454A29"/>
        </w:tc>
        <w:tc>
          <w:tcPr>
            <w:tcW w:w="2204" w:type="dxa"/>
            <w:vMerge/>
          </w:tcPr>
          <w:p w14:paraId="149EA9D7" w14:textId="77777777" w:rsidR="00454A29" w:rsidRDefault="00454A29"/>
        </w:tc>
        <w:tc>
          <w:tcPr>
            <w:tcW w:w="1417" w:type="dxa"/>
            <w:vMerge/>
          </w:tcPr>
          <w:p w14:paraId="25E64BCA" w14:textId="77777777" w:rsidR="00454A29" w:rsidRDefault="00454A29"/>
        </w:tc>
        <w:tc>
          <w:tcPr>
            <w:tcW w:w="2324" w:type="dxa"/>
            <w:vMerge/>
          </w:tcPr>
          <w:p w14:paraId="0EF63E15" w14:textId="77777777" w:rsidR="00454A29" w:rsidRDefault="00454A29"/>
        </w:tc>
        <w:tc>
          <w:tcPr>
            <w:tcW w:w="1701" w:type="dxa"/>
            <w:vAlign w:val="center"/>
          </w:tcPr>
          <w:p w14:paraId="17B859DD" w14:textId="77777777" w:rsidR="00454A29" w:rsidRDefault="00454A29">
            <w:pPr>
              <w:pStyle w:val="ConsPlusNormal"/>
            </w:pPr>
          </w:p>
        </w:tc>
        <w:tc>
          <w:tcPr>
            <w:tcW w:w="1814" w:type="dxa"/>
            <w:vAlign w:val="center"/>
          </w:tcPr>
          <w:p w14:paraId="165C2989" w14:textId="77777777" w:rsidR="00454A29" w:rsidRDefault="00454A29">
            <w:pPr>
              <w:pStyle w:val="ConsPlusNormal"/>
            </w:pPr>
          </w:p>
        </w:tc>
        <w:tc>
          <w:tcPr>
            <w:tcW w:w="1701" w:type="dxa"/>
            <w:vAlign w:val="center"/>
          </w:tcPr>
          <w:p w14:paraId="68B233B9" w14:textId="77777777" w:rsidR="00454A29" w:rsidRDefault="00454A29">
            <w:pPr>
              <w:pStyle w:val="ConsPlusNormal"/>
            </w:pPr>
          </w:p>
        </w:tc>
        <w:tc>
          <w:tcPr>
            <w:tcW w:w="1701" w:type="dxa"/>
            <w:vAlign w:val="center"/>
          </w:tcPr>
          <w:p w14:paraId="177740F0" w14:textId="77777777" w:rsidR="00454A29" w:rsidRDefault="00454A29">
            <w:pPr>
              <w:pStyle w:val="ConsPlusNormal"/>
            </w:pPr>
          </w:p>
        </w:tc>
        <w:tc>
          <w:tcPr>
            <w:tcW w:w="1814" w:type="dxa"/>
            <w:vAlign w:val="center"/>
          </w:tcPr>
          <w:p w14:paraId="5502ECE9" w14:textId="77777777" w:rsidR="00454A29" w:rsidRDefault="00454A29">
            <w:pPr>
              <w:pStyle w:val="ConsPlusNormal"/>
            </w:pPr>
          </w:p>
        </w:tc>
      </w:tr>
      <w:tr w:rsidR="00454A29" w14:paraId="61ADC219" w14:textId="77777777">
        <w:tc>
          <w:tcPr>
            <w:tcW w:w="567" w:type="dxa"/>
            <w:vMerge/>
          </w:tcPr>
          <w:p w14:paraId="0F74B713" w14:textId="77777777" w:rsidR="00454A29" w:rsidRDefault="00454A29"/>
        </w:tc>
        <w:tc>
          <w:tcPr>
            <w:tcW w:w="3345" w:type="dxa"/>
            <w:vMerge/>
          </w:tcPr>
          <w:p w14:paraId="0BA00715" w14:textId="77777777" w:rsidR="00454A29" w:rsidRDefault="00454A29"/>
        </w:tc>
        <w:tc>
          <w:tcPr>
            <w:tcW w:w="1701" w:type="dxa"/>
            <w:vAlign w:val="center"/>
          </w:tcPr>
          <w:p w14:paraId="153C666E" w14:textId="77777777" w:rsidR="00454A29" w:rsidRDefault="00454A29">
            <w:pPr>
              <w:pStyle w:val="ConsPlusNormal"/>
              <w:jc w:val="center"/>
            </w:pPr>
            <w:r>
              <w:t>2022</w:t>
            </w:r>
          </w:p>
        </w:tc>
        <w:tc>
          <w:tcPr>
            <w:tcW w:w="1417" w:type="dxa"/>
            <w:vMerge/>
          </w:tcPr>
          <w:p w14:paraId="49324D79" w14:textId="77777777" w:rsidR="00454A29" w:rsidRDefault="00454A29"/>
        </w:tc>
        <w:tc>
          <w:tcPr>
            <w:tcW w:w="2204" w:type="dxa"/>
            <w:vMerge/>
          </w:tcPr>
          <w:p w14:paraId="29D2E7AF" w14:textId="77777777" w:rsidR="00454A29" w:rsidRDefault="00454A29"/>
        </w:tc>
        <w:tc>
          <w:tcPr>
            <w:tcW w:w="1417" w:type="dxa"/>
            <w:vMerge/>
          </w:tcPr>
          <w:p w14:paraId="1B0EFE6A" w14:textId="77777777" w:rsidR="00454A29" w:rsidRDefault="00454A29"/>
        </w:tc>
        <w:tc>
          <w:tcPr>
            <w:tcW w:w="2324" w:type="dxa"/>
            <w:vMerge/>
          </w:tcPr>
          <w:p w14:paraId="2942FA2E" w14:textId="77777777" w:rsidR="00454A29" w:rsidRDefault="00454A29"/>
        </w:tc>
        <w:tc>
          <w:tcPr>
            <w:tcW w:w="1701" w:type="dxa"/>
            <w:vAlign w:val="center"/>
          </w:tcPr>
          <w:p w14:paraId="0984901B" w14:textId="77777777" w:rsidR="00454A29" w:rsidRDefault="00454A29">
            <w:pPr>
              <w:pStyle w:val="ConsPlusNormal"/>
            </w:pPr>
          </w:p>
        </w:tc>
        <w:tc>
          <w:tcPr>
            <w:tcW w:w="1814" w:type="dxa"/>
            <w:vAlign w:val="center"/>
          </w:tcPr>
          <w:p w14:paraId="3D9903AC" w14:textId="77777777" w:rsidR="00454A29" w:rsidRDefault="00454A29">
            <w:pPr>
              <w:pStyle w:val="ConsPlusNormal"/>
            </w:pPr>
          </w:p>
        </w:tc>
        <w:tc>
          <w:tcPr>
            <w:tcW w:w="1701" w:type="dxa"/>
            <w:vAlign w:val="center"/>
          </w:tcPr>
          <w:p w14:paraId="322EA93D" w14:textId="77777777" w:rsidR="00454A29" w:rsidRDefault="00454A29">
            <w:pPr>
              <w:pStyle w:val="ConsPlusNormal"/>
            </w:pPr>
          </w:p>
        </w:tc>
        <w:tc>
          <w:tcPr>
            <w:tcW w:w="1701" w:type="dxa"/>
            <w:vAlign w:val="center"/>
          </w:tcPr>
          <w:p w14:paraId="431F5523" w14:textId="77777777" w:rsidR="00454A29" w:rsidRDefault="00454A29">
            <w:pPr>
              <w:pStyle w:val="ConsPlusNormal"/>
            </w:pPr>
          </w:p>
        </w:tc>
        <w:tc>
          <w:tcPr>
            <w:tcW w:w="1814" w:type="dxa"/>
            <w:vAlign w:val="center"/>
          </w:tcPr>
          <w:p w14:paraId="24120099" w14:textId="77777777" w:rsidR="00454A29" w:rsidRDefault="00454A29">
            <w:pPr>
              <w:pStyle w:val="ConsPlusNormal"/>
            </w:pPr>
          </w:p>
        </w:tc>
      </w:tr>
      <w:tr w:rsidR="00454A29" w14:paraId="364140FC" w14:textId="77777777">
        <w:tc>
          <w:tcPr>
            <w:tcW w:w="567" w:type="dxa"/>
            <w:vMerge/>
          </w:tcPr>
          <w:p w14:paraId="61FC3516" w14:textId="77777777" w:rsidR="00454A29" w:rsidRDefault="00454A29"/>
        </w:tc>
        <w:tc>
          <w:tcPr>
            <w:tcW w:w="3345" w:type="dxa"/>
            <w:vMerge/>
          </w:tcPr>
          <w:p w14:paraId="238D7E70" w14:textId="77777777" w:rsidR="00454A29" w:rsidRDefault="00454A29"/>
        </w:tc>
        <w:tc>
          <w:tcPr>
            <w:tcW w:w="1701" w:type="dxa"/>
            <w:vAlign w:val="center"/>
          </w:tcPr>
          <w:p w14:paraId="06384251" w14:textId="77777777" w:rsidR="00454A29" w:rsidRDefault="00454A29">
            <w:pPr>
              <w:pStyle w:val="ConsPlusNormal"/>
              <w:jc w:val="center"/>
            </w:pPr>
            <w:r>
              <w:t>2023</w:t>
            </w:r>
          </w:p>
        </w:tc>
        <w:tc>
          <w:tcPr>
            <w:tcW w:w="1417" w:type="dxa"/>
            <w:vMerge/>
          </w:tcPr>
          <w:p w14:paraId="3754D6AC" w14:textId="77777777" w:rsidR="00454A29" w:rsidRDefault="00454A29"/>
        </w:tc>
        <w:tc>
          <w:tcPr>
            <w:tcW w:w="2204" w:type="dxa"/>
            <w:vMerge/>
          </w:tcPr>
          <w:p w14:paraId="4CBC55A2" w14:textId="77777777" w:rsidR="00454A29" w:rsidRDefault="00454A29"/>
        </w:tc>
        <w:tc>
          <w:tcPr>
            <w:tcW w:w="1417" w:type="dxa"/>
            <w:vMerge/>
          </w:tcPr>
          <w:p w14:paraId="702DF6D3" w14:textId="77777777" w:rsidR="00454A29" w:rsidRDefault="00454A29"/>
        </w:tc>
        <w:tc>
          <w:tcPr>
            <w:tcW w:w="2324" w:type="dxa"/>
            <w:vMerge/>
          </w:tcPr>
          <w:p w14:paraId="2E62E7BA" w14:textId="77777777" w:rsidR="00454A29" w:rsidRDefault="00454A29"/>
        </w:tc>
        <w:tc>
          <w:tcPr>
            <w:tcW w:w="1701" w:type="dxa"/>
            <w:vAlign w:val="center"/>
          </w:tcPr>
          <w:p w14:paraId="236093C7" w14:textId="77777777" w:rsidR="00454A29" w:rsidRDefault="00454A29">
            <w:pPr>
              <w:pStyle w:val="ConsPlusNormal"/>
            </w:pPr>
          </w:p>
        </w:tc>
        <w:tc>
          <w:tcPr>
            <w:tcW w:w="1814" w:type="dxa"/>
            <w:vAlign w:val="center"/>
          </w:tcPr>
          <w:p w14:paraId="4B11FE87" w14:textId="77777777" w:rsidR="00454A29" w:rsidRDefault="00454A29">
            <w:pPr>
              <w:pStyle w:val="ConsPlusNormal"/>
            </w:pPr>
          </w:p>
        </w:tc>
        <w:tc>
          <w:tcPr>
            <w:tcW w:w="1701" w:type="dxa"/>
            <w:vAlign w:val="center"/>
          </w:tcPr>
          <w:p w14:paraId="0C5E5497" w14:textId="77777777" w:rsidR="00454A29" w:rsidRDefault="00454A29">
            <w:pPr>
              <w:pStyle w:val="ConsPlusNormal"/>
            </w:pPr>
          </w:p>
        </w:tc>
        <w:tc>
          <w:tcPr>
            <w:tcW w:w="1701" w:type="dxa"/>
            <w:vAlign w:val="center"/>
          </w:tcPr>
          <w:p w14:paraId="19DFECA4" w14:textId="77777777" w:rsidR="00454A29" w:rsidRDefault="00454A29">
            <w:pPr>
              <w:pStyle w:val="ConsPlusNormal"/>
            </w:pPr>
          </w:p>
        </w:tc>
        <w:tc>
          <w:tcPr>
            <w:tcW w:w="1814" w:type="dxa"/>
            <w:vAlign w:val="center"/>
          </w:tcPr>
          <w:p w14:paraId="3E860381" w14:textId="77777777" w:rsidR="00454A29" w:rsidRDefault="00454A29">
            <w:pPr>
              <w:pStyle w:val="ConsPlusNormal"/>
            </w:pPr>
          </w:p>
        </w:tc>
      </w:tr>
      <w:tr w:rsidR="00454A29" w14:paraId="4AFC4C21" w14:textId="77777777">
        <w:tc>
          <w:tcPr>
            <w:tcW w:w="567" w:type="dxa"/>
            <w:vMerge/>
          </w:tcPr>
          <w:p w14:paraId="0066C437" w14:textId="77777777" w:rsidR="00454A29" w:rsidRDefault="00454A29"/>
        </w:tc>
        <w:tc>
          <w:tcPr>
            <w:tcW w:w="3345" w:type="dxa"/>
            <w:vMerge/>
          </w:tcPr>
          <w:p w14:paraId="01821C18" w14:textId="77777777" w:rsidR="00454A29" w:rsidRDefault="00454A29"/>
        </w:tc>
        <w:tc>
          <w:tcPr>
            <w:tcW w:w="1701" w:type="dxa"/>
            <w:vAlign w:val="center"/>
          </w:tcPr>
          <w:p w14:paraId="777C7B57" w14:textId="77777777" w:rsidR="00454A29" w:rsidRDefault="00454A29">
            <w:pPr>
              <w:pStyle w:val="ConsPlusNormal"/>
              <w:jc w:val="center"/>
            </w:pPr>
            <w:r>
              <w:t>2024</w:t>
            </w:r>
          </w:p>
        </w:tc>
        <w:tc>
          <w:tcPr>
            <w:tcW w:w="1417" w:type="dxa"/>
            <w:vMerge/>
          </w:tcPr>
          <w:p w14:paraId="7D94B0C6" w14:textId="77777777" w:rsidR="00454A29" w:rsidRDefault="00454A29"/>
        </w:tc>
        <w:tc>
          <w:tcPr>
            <w:tcW w:w="2204" w:type="dxa"/>
            <w:vMerge/>
          </w:tcPr>
          <w:p w14:paraId="4C4E9E61" w14:textId="77777777" w:rsidR="00454A29" w:rsidRDefault="00454A29"/>
        </w:tc>
        <w:tc>
          <w:tcPr>
            <w:tcW w:w="1417" w:type="dxa"/>
            <w:vMerge/>
          </w:tcPr>
          <w:p w14:paraId="7F1ED237" w14:textId="77777777" w:rsidR="00454A29" w:rsidRDefault="00454A29"/>
        </w:tc>
        <w:tc>
          <w:tcPr>
            <w:tcW w:w="2324" w:type="dxa"/>
            <w:vMerge/>
          </w:tcPr>
          <w:p w14:paraId="5C738629" w14:textId="77777777" w:rsidR="00454A29" w:rsidRDefault="00454A29"/>
        </w:tc>
        <w:tc>
          <w:tcPr>
            <w:tcW w:w="1701" w:type="dxa"/>
            <w:vAlign w:val="center"/>
          </w:tcPr>
          <w:p w14:paraId="56EEA83D" w14:textId="77777777" w:rsidR="00454A29" w:rsidRDefault="00454A29">
            <w:pPr>
              <w:pStyle w:val="ConsPlusNormal"/>
            </w:pPr>
          </w:p>
        </w:tc>
        <w:tc>
          <w:tcPr>
            <w:tcW w:w="1814" w:type="dxa"/>
            <w:vAlign w:val="center"/>
          </w:tcPr>
          <w:p w14:paraId="1CB901BB" w14:textId="77777777" w:rsidR="00454A29" w:rsidRDefault="00454A29">
            <w:pPr>
              <w:pStyle w:val="ConsPlusNormal"/>
            </w:pPr>
          </w:p>
        </w:tc>
        <w:tc>
          <w:tcPr>
            <w:tcW w:w="1701" w:type="dxa"/>
            <w:vAlign w:val="center"/>
          </w:tcPr>
          <w:p w14:paraId="0084270C" w14:textId="77777777" w:rsidR="00454A29" w:rsidRDefault="00454A29">
            <w:pPr>
              <w:pStyle w:val="ConsPlusNormal"/>
            </w:pPr>
          </w:p>
        </w:tc>
        <w:tc>
          <w:tcPr>
            <w:tcW w:w="1701" w:type="dxa"/>
            <w:vAlign w:val="center"/>
          </w:tcPr>
          <w:p w14:paraId="68DAAF1B" w14:textId="77777777" w:rsidR="00454A29" w:rsidRDefault="00454A29">
            <w:pPr>
              <w:pStyle w:val="ConsPlusNormal"/>
            </w:pPr>
          </w:p>
        </w:tc>
        <w:tc>
          <w:tcPr>
            <w:tcW w:w="1814" w:type="dxa"/>
            <w:vAlign w:val="center"/>
          </w:tcPr>
          <w:p w14:paraId="287C7E0C" w14:textId="77777777" w:rsidR="00454A29" w:rsidRDefault="00454A29">
            <w:pPr>
              <w:pStyle w:val="ConsPlusNormal"/>
            </w:pPr>
          </w:p>
        </w:tc>
      </w:tr>
      <w:tr w:rsidR="00454A29" w14:paraId="1DF26DF4" w14:textId="77777777">
        <w:tc>
          <w:tcPr>
            <w:tcW w:w="567" w:type="dxa"/>
            <w:vMerge/>
          </w:tcPr>
          <w:p w14:paraId="4C01698D" w14:textId="77777777" w:rsidR="00454A29" w:rsidRDefault="00454A29"/>
        </w:tc>
        <w:tc>
          <w:tcPr>
            <w:tcW w:w="3345" w:type="dxa"/>
            <w:vMerge/>
          </w:tcPr>
          <w:p w14:paraId="6D3B1EB6" w14:textId="77777777" w:rsidR="00454A29" w:rsidRDefault="00454A29"/>
        </w:tc>
        <w:tc>
          <w:tcPr>
            <w:tcW w:w="1701" w:type="dxa"/>
            <w:vAlign w:val="center"/>
          </w:tcPr>
          <w:p w14:paraId="101619D1" w14:textId="77777777" w:rsidR="00454A29" w:rsidRDefault="00454A29">
            <w:pPr>
              <w:pStyle w:val="ConsPlusNormal"/>
              <w:jc w:val="center"/>
            </w:pPr>
            <w:r>
              <w:t>2025</w:t>
            </w:r>
          </w:p>
        </w:tc>
        <w:tc>
          <w:tcPr>
            <w:tcW w:w="1417" w:type="dxa"/>
            <w:vMerge/>
          </w:tcPr>
          <w:p w14:paraId="3AE91768" w14:textId="77777777" w:rsidR="00454A29" w:rsidRDefault="00454A29"/>
        </w:tc>
        <w:tc>
          <w:tcPr>
            <w:tcW w:w="2204" w:type="dxa"/>
            <w:vMerge/>
          </w:tcPr>
          <w:p w14:paraId="1B33B844" w14:textId="77777777" w:rsidR="00454A29" w:rsidRDefault="00454A29"/>
        </w:tc>
        <w:tc>
          <w:tcPr>
            <w:tcW w:w="1417" w:type="dxa"/>
            <w:vMerge/>
          </w:tcPr>
          <w:p w14:paraId="2A30C71F" w14:textId="77777777" w:rsidR="00454A29" w:rsidRDefault="00454A29"/>
        </w:tc>
        <w:tc>
          <w:tcPr>
            <w:tcW w:w="2324" w:type="dxa"/>
            <w:vMerge/>
          </w:tcPr>
          <w:p w14:paraId="2C53AF81" w14:textId="77777777" w:rsidR="00454A29" w:rsidRDefault="00454A29"/>
        </w:tc>
        <w:tc>
          <w:tcPr>
            <w:tcW w:w="1701" w:type="dxa"/>
            <w:vAlign w:val="center"/>
          </w:tcPr>
          <w:p w14:paraId="2180A708" w14:textId="77777777" w:rsidR="00454A29" w:rsidRDefault="00454A29">
            <w:pPr>
              <w:pStyle w:val="ConsPlusNormal"/>
            </w:pPr>
          </w:p>
        </w:tc>
        <w:tc>
          <w:tcPr>
            <w:tcW w:w="1814" w:type="dxa"/>
            <w:vAlign w:val="center"/>
          </w:tcPr>
          <w:p w14:paraId="5F94961A" w14:textId="77777777" w:rsidR="00454A29" w:rsidRDefault="00454A29">
            <w:pPr>
              <w:pStyle w:val="ConsPlusNormal"/>
            </w:pPr>
          </w:p>
        </w:tc>
        <w:tc>
          <w:tcPr>
            <w:tcW w:w="1701" w:type="dxa"/>
            <w:vAlign w:val="center"/>
          </w:tcPr>
          <w:p w14:paraId="624F4620" w14:textId="77777777" w:rsidR="00454A29" w:rsidRDefault="00454A29">
            <w:pPr>
              <w:pStyle w:val="ConsPlusNormal"/>
            </w:pPr>
          </w:p>
        </w:tc>
        <w:tc>
          <w:tcPr>
            <w:tcW w:w="1701" w:type="dxa"/>
            <w:vAlign w:val="center"/>
          </w:tcPr>
          <w:p w14:paraId="16421BEF" w14:textId="77777777" w:rsidR="00454A29" w:rsidRDefault="00454A29">
            <w:pPr>
              <w:pStyle w:val="ConsPlusNormal"/>
            </w:pPr>
          </w:p>
        </w:tc>
        <w:tc>
          <w:tcPr>
            <w:tcW w:w="1814" w:type="dxa"/>
            <w:vAlign w:val="center"/>
          </w:tcPr>
          <w:p w14:paraId="01365F4B" w14:textId="77777777" w:rsidR="00454A29" w:rsidRDefault="00454A29">
            <w:pPr>
              <w:pStyle w:val="ConsPlusNormal"/>
            </w:pPr>
          </w:p>
        </w:tc>
      </w:tr>
      <w:tr w:rsidR="00454A29" w14:paraId="6430A14C" w14:textId="77777777">
        <w:tc>
          <w:tcPr>
            <w:tcW w:w="567" w:type="dxa"/>
            <w:vMerge/>
          </w:tcPr>
          <w:p w14:paraId="7870FBD6" w14:textId="77777777" w:rsidR="00454A29" w:rsidRDefault="00454A29"/>
        </w:tc>
        <w:tc>
          <w:tcPr>
            <w:tcW w:w="3345" w:type="dxa"/>
            <w:vMerge/>
          </w:tcPr>
          <w:p w14:paraId="217A300D" w14:textId="77777777" w:rsidR="00454A29" w:rsidRDefault="00454A29"/>
        </w:tc>
        <w:tc>
          <w:tcPr>
            <w:tcW w:w="1701" w:type="dxa"/>
            <w:vAlign w:val="center"/>
          </w:tcPr>
          <w:p w14:paraId="679222C9" w14:textId="77777777" w:rsidR="00454A29" w:rsidRDefault="00454A29">
            <w:pPr>
              <w:pStyle w:val="ConsPlusNormal"/>
              <w:jc w:val="center"/>
            </w:pPr>
            <w:r>
              <w:t>2026</w:t>
            </w:r>
          </w:p>
        </w:tc>
        <w:tc>
          <w:tcPr>
            <w:tcW w:w="1417" w:type="dxa"/>
            <w:vMerge/>
          </w:tcPr>
          <w:p w14:paraId="6C4D5E78" w14:textId="77777777" w:rsidR="00454A29" w:rsidRDefault="00454A29"/>
        </w:tc>
        <w:tc>
          <w:tcPr>
            <w:tcW w:w="2204" w:type="dxa"/>
            <w:vMerge/>
          </w:tcPr>
          <w:p w14:paraId="6F2E1F8C" w14:textId="77777777" w:rsidR="00454A29" w:rsidRDefault="00454A29"/>
        </w:tc>
        <w:tc>
          <w:tcPr>
            <w:tcW w:w="1417" w:type="dxa"/>
            <w:vMerge/>
          </w:tcPr>
          <w:p w14:paraId="577D24BC" w14:textId="77777777" w:rsidR="00454A29" w:rsidRDefault="00454A29"/>
        </w:tc>
        <w:tc>
          <w:tcPr>
            <w:tcW w:w="2324" w:type="dxa"/>
            <w:vMerge/>
          </w:tcPr>
          <w:p w14:paraId="76F72945" w14:textId="77777777" w:rsidR="00454A29" w:rsidRDefault="00454A29"/>
        </w:tc>
        <w:tc>
          <w:tcPr>
            <w:tcW w:w="1701" w:type="dxa"/>
            <w:vAlign w:val="center"/>
          </w:tcPr>
          <w:p w14:paraId="02F72844" w14:textId="77777777" w:rsidR="00454A29" w:rsidRDefault="00454A29">
            <w:pPr>
              <w:pStyle w:val="ConsPlusNormal"/>
              <w:jc w:val="center"/>
            </w:pPr>
            <w:r>
              <w:t>317 211,87</w:t>
            </w:r>
          </w:p>
        </w:tc>
        <w:tc>
          <w:tcPr>
            <w:tcW w:w="1814" w:type="dxa"/>
            <w:vAlign w:val="center"/>
          </w:tcPr>
          <w:p w14:paraId="5ED07744" w14:textId="77777777" w:rsidR="00454A29" w:rsidRDefault="00454A29">
            <w:pPr>
              <w:pStyle w:val="ConsPlusNormal"/>
              <w:jc w:val="center"/>
            </w:pPr>
            <w:r>
              <w:t>3 172,12</w:t>
            </w:r>
          </w:p>
        </w:tc>
        <w:tc>
          <w:tcPr>
            <w:tcW w:w="1701" w:type="dxa"/>
            <w:vAlign w:val="center"/>
          </w:tcPr>
          <w:p w14:paraId="7E7C5F3E" w14:textId="77777777" w:rsidR="00454A29" w:rsidRDefault="00454A29">
            <w:pPr>
              <w:pStyle w:val="ConsPlusNormal"/>
              <w:jc w:val="center"/>
            </w:pPr>
            <w:r>
              <w:t>314 039,75</w:t>
            </w:r>
          </w:p>
        </w:tc>
        <w:tc>
          <w:tcPr>
            <w:tcW w:w="1701" w:type="dxa"/>
            <w:vAlign w:val="center"/>
          </w:tcPr>
          <w:p w14:paraId="045EC1D1" w14:textId="77777777" w:rsidR="00454A29" w:rsidRDefault="00454A29">
            <w:pPr>
              <w:pStyle w:val="ConsPlusNormal"/>
            </w:pPr>
          </w:p>
        </w:tc>
        <w:tc>
          <w:tcPr>
            <w:tcW w:w="1814" w:type="dxa"/>
            <w:vAlign w:val="center"/>
          </w:tcPr>
          <w:p w14:paraId="423E1ECE" w14:textId="77777777" w:rsidR="00454A29" w:rsidRDefault="00454A29">
            <w:pPr>
              <w:pStyle w:val="ConsPlusNormal"/>
            </w:pPr>
          </w:p>
        </w:tc>
      </w:tr>
      <w:tr w:rsidR="00454A29" w14:paraId="775CB9A9" w14:textId="77777777">
        <w:tc>
          <w:tcPr>
            <w:tcW w:w="567" w:type="dxa"/>
            <w:vMerge w:val="restart"/>
            <w:vAlign w:val="center"/>
          </w:tcPr>
          <w:p w14:paraId="38A8BFFE" w14:textId="77777777" w:rsidR="00454A29" w:rsidRDefault="00454A29">
            <w:pPr>
              <w:pStyle w:val="ConsPlusNormal"/>
              <w:jc w:val="center"/>
            </w:pPr>
            <w:r>
              <w:t>45</w:t>
            </w:r>
          </w:p>
        </w:tc>
        <w:tc>
          <w:tcPr>
            <w:tcW w:w="3345" w:type="dxa"/>
            <w:vMerge w:val="restart"/>
            <w:vAlign w:val="center"/>
          </w:tcPr>
          <w:p w14:paraId="3CDA55E1" w14:textId="77777777" w:rsidR="00454A29" w:rsidRDefault="00454A29">
            <w:pPr>
              <w:pStyle w:val="ConsPlusNormal"/>
              <w:jc w:val="center"/>
            </w:pPr>
            <w:r>
              <w:t>Школа на 70 учащихся в с. Киров</w:t>
            </w:r>
          </w:p>
        </w:tc>
        <w:tc>
          <w:tcPr>
            <w:tcW w:w="1701" w:type="dxa"/>
            <w:vAlign w:val="center"/>
          </w:tcPr>
          <w:p w14:paraId="1F1D7414" w14:textId="77777777" w:rsidR="00454A29" w:rsidRDefault="00454A29">
            <w:pPr>
              <w:pStyle w:val="ConsPlusNormal"/>
              <w:jc w:val="center"/>
            </w:pPr>
            <w:r>
              <w:t>2020 - 2026 годы - всего</w:t>
            </w:r>
          </w:p>
        </w:tc>
        <w:tc>
          <w:tcPr>
            <w:tcW w:w="1417" w:type="dxa"/>
            <w:vMerge w:val="restart"/>
            <w:vAlign w:val="center"/>
          </w:tcPr>
          <w:p w14:paraId="47FAE6DA" w14:textId="77777777" w:rsidR="00454A29" w:rsidRDefault="00454A29">
            <w:pPr>
              <w:pStyle w:val="ConsPlusNormal"/>
              <w:jc w:val="center"/>
            </w:pPr>
            <w:r>
              <w:t>257 477,17</w:t>
            </w:r>
          </w:p>
        </w:tc>
        <w:tc>
          <w:tcPr>
            <w:tcW w:w="2204" w:type="dxa"/>
            <w:vMerge w:val="restart"/>
            <w:vAlign w:val="center"/>
          </w:tcPr>
          <w:p w14:paraId="7F770CE3" w14:textId="77777777" w:rsidR="00454A29" w:rsidRDefault="00454A29">
            <w:pPr>
              <w:pStyle w:val="ConsPlusNormal"/>
            </w:pPr>
          </w:p>
        </w:tc>
        <w:tc>
          <w:tcPr>
            <w:tcW w:w="1417" w:type="dxa"/>
            <w:vMerge w:val="restart"/>
            <w:vAlign w:val="center"/>
          </w:tcPr>
          <w:p w14:paraId="15365C8D" w14:textId="77777777" w:rsidR="00454A29" w:rsidRDefault="00454A29">
            <w:pPr>
              <w:pStyle w:val="ConsPlusNormal"/>
              <w:jc w:val="center"/>
            </w:pPr>
            <w:r>
              <w:t>70</w:t>
            </w:r>
          </w:p>
        </w:tc>
        <w:tc>
          <w:tcPr>
            <w:tcW w:w="2324" w:type="dxa"/>
            <w:vMerge w:val="restart"/>
            <w:vAlign w:val="center"/>
          </w:tcPr>
          <w:p w14:paraId="618938E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858F226" w14:textId="77777777" w:rsidR="00454A29" w:rsidRDefault="00454A29">
            <w:pPr>
              <w:pStyle w:val="ConsPlusNormal"/>
              <w:jc w:val="center"/>
            </w:pPr>
            <w:r>
              <w:t>257 477,17</w:t>
            </w:r>
          </w:p>
        </w:tc>
        <w:tc>
          <w:tcPr>
            <w:tcW w:w="1814" w:type="dxa"/>
            <w:vAlign w:val="center"/>
          </w:tcPr>
          <w:p w14:paraId="374E7BCA" w14:textId="77777777" w:rsidR="00454A29" w:rsidRDefault="00454A29">
            <w:pPr>
              <w:pStyle w:val="ConsPlusNormal"/>
              <w:jc w:val="center"/>
            </w:pPr>
            <w:r>
              <w:t>3 257,10</w:t>
            </w:r>
          </w:p>
        </w:tc>
        <w:tc>
          <w:tcPr>
            <w:tcW w:w="1701" w:type="dxa"/>
            <w:vAlign w:val="center"/>
          </w:tcPr>
          <w:p w14:paraId="58EFC202" w14:textId="77777777" w:rsidR="00454A29" w:rsidRDefault="00454A29">
            <w:pPr>
              <w:pStyle w:val="ConsPlusNormal"/>
              <w:jc w:val="center"/>
            </w:pPr>
            <w:r>
              <w:t>322 451,54</w:t>
            </w:r>
          </w:p>
        </w:tc>
        <w:tc>
          <w:tcPr>
            <w:tcW w:w="1701" w:type="dxa"/>
            <w:vAlign w:val="center"/>
          </w:tcPr>
          <w:p w14:paraId="00F2A777" w14:textId="77777777" w:rsidR="00454A29" w:rsidRDefault="00454A29">
            <w:pPr>
              <w:pStyle w:val="ConsPlusNormal"/>
              <w:jc w:val="center"/>
            </w:pPr>
            <w:r>
              <w:t>-</w:t>
            </w:r>
          </w:p>
        </w:tc>
        <w:tc>
          <w:tcPr>
            <w:tcW w:w="1814" w:type="dxa"/>
            <w:vAlign w:val="center"/>
          </w:tcPr>
          <w:p w14:paraId="780F2072" w14:textId="77777777" w:rsidR="00454A29" w:rsidRDefault="00454A29">
            <w:pPr>
              <w:pStyle w:val="ConsPlusNormal"/>
              <w:jc w:val="center"/>
            </w:pPr>
            <w:r>
              <w:t>-</w:t>
            </w:r>
          </w:p>
        </w:tc>
      </w:tr>
      <w:tr w:rsidR="00454A29" w14:paraId="512FE158" w14:textId="77777777">
        <w:tc>
          <w:tcPr>
            <w:tcW w:w="567" w:type="dxa"/>
            <w:vMerge/>
          </w:tcPr>
          <w:p w14:paraId="3B4B84B4" w14:textId="77777777" w:rsidR="00454A29" w:rsidRDefault="00454A29"/>
        </w:tc>
        <w:tc>
          <w:tcPr>
            <w:tcW w:w="3345" w:type="dxa"/>
            <w:vMerge/>
          </w:tcPr>
          <w:p w14:paraId="5B2EAE0D" w14:textId="77777777" w:rsidR="00454A29" w:rsidRDefault="00454A29"/>
        </w:tc>
        <w:tc>
          <w:tcPr>
            <w:tcW w:w="1701" w:type="dxa"/>
            <w:vAlign w:val="center"/>
          </w:tcPr>
          <w:p w14:paraId="28D81F90" w14:textId="77777777" w:rsidR="00454A29" w:rsidRDefault="00454A29">
            <w:pPr>
              <w:pStyle w:val="ConsPlusNormal"/>
              <w:jc w:val="center"/>
            </w:pPr>
            <w:r>
              <w:t>2020</w:t>
            </w:r>
          </w:p>
        </w:tc>
        <w:tc>
          <w:tcPr>
            <w:tcW w:w="1417" w:type="dxa"/>
            <w:vMerge/>
          </w:tcPr>
          <w:p w14:paraId="063F8DF0" w14:textId="77777777" w:rsidR="00454A29" w:rsidRDefault="00454A29"/>
        </w:tc>
        <w:tc>
          <w:tcPr>
            <w:tcW w:w="2204" w:type="dxa"/>
            <w:vMerge/>
          </w:tcPr>
          <w:p w14:paraId="4F34F39F" w14:textId="77777777" w:rsidR="00454A29" w:rsidRDefault="00454A29"/>
        </w:tc>
        <w:tc>
          <w:tcPr>
            <w:tcW w:w="1417" w:type="dxa"/>
            <w:vMerge/>
          </w:tcPr>
          <w:p w14:paraId="3D7306E2" w14:textId="77777777" w:rsidR="00454A29" w:rsidRDefault="00454A29"/>
        </w:tc>
        <w:tc>
          <w:tcPr>
            <w:tcW w:w="2324" w:type="dxa"/>
            <w:vMerge/>
          </w:tcPr>
          <w:p w14:paraId="00DBEA11" w14:textId="77777777" w:rsidR="00454A29" w:rsidRDefault="00454A29"/>
        </w:tc>
        <w:tc>
          <w:tcPr>
            <w:tcW w:w="1701" w:type="dxa"/>
            <w:vAlign w:val="center"/>
          </w:tcPr>
          <w:p w14:paraId="0FAF391D" w14:textId="77777777" w:rsidR="00454A29" w:rsidRDefault="00454A29">
            <w:pPr>
              <w:pStyle w:val="ConsPlusNormal"/>
            </w:pPr>
          </w:p>
        </w:tc>
        <w:tc>
          <w:tcPr>
            <w:tcW w:w="1814" w:type="dxa"/>
            <w:vAlign w:val="center"/>
          </w:tcPr>
          <w:p w14:paraId="502EC415" w14:textId="77777777" w:rsidR="00454A29" w:rsidRDefault="00454A29">
            <w:pPr>
              <w:pStyle w:val="ConsPlusNormal"/>
            </w:pPr>
          </w:p>
        </w:tc>
        <w:tc>
          <w:tcPr>
            <w:tcW w:w="1701" w:type="dxa"/>
            <w:vAlign w:val="center"/>
          </w:tcPr>
          <w:p w14:paraId="2D2547F6" w14:textId="77777777" w:rsidR="00454A29" w:rsidRDefault="00454A29">
            <w:pPr>
              <w:pStyle w:val="ConsPlusNormal"/>
            </w:pPr>
          </w:p>
        </w:tc>
        <w:tc>
          <w:tcPr>
            <w:tcW w:w="1701" w:type="dxa"/>
            <w:vAlign w:val="center"/>
          </w:tcPr>
          <w:p w14:paraId="0A4680F0" w14:textId="77777777" w:rsidR="00454A29" w:rsidRDefault="00454A29">
            <w:pPr>
              <w:pStyle w:val="ConsPlusNormal"/>
            </w:pPr>
          </w:p>
        </w:tc>
        <w:tc>
          <w:tcPr>
            <w:tcW w:w="1814" w:type="dxa"/>
            <w:vAlign w:val="center"/>
          </w:tcPr>
          <w:p w14:paraId="4DCD1F20" w14:textId="77777777" w:rsidR="00454A29" w:rsidRDefault="00454A29">
            <w:pPr>
              <w:pStyle w:val="ConsPlusNormal"/>
            </w:pPr>
          </w:p>
        </w:tc>
      </w:tr>
      <w:tr w:rsidR="00454A29" w14:paraId="3A9069EE" w14:textId="77777777">
        <w:tc>
          <w:tcPr>
            <w:tcW w:w="567" w:type="dxa"/>
            <w:vMerge/>
          </w:tcPr>
          <w:p w14:paraId="34E4DB30" w14:textId="77777777" w:rsidR="00454A29" w:rsidRDefault="00454A29"/>
        </w:tc>
        <w:tc>
          <w:tcPr>
            <w:tcW w:w="3345" w:type="dxa"/>
            <w:vMerge/>
          </w:tcPr>
          <w:p w14:paraId="4AB9A1B2" w14:textId="77777777" w:rsidR="00454A29" w:rsidRDefault="00454A29"/>
        </w:tc>
        <w:tc>
          <w:tcPr>
            <w:tcW w:w="1701" w:type="dxa"/>
            <w:vAlign w:val="center"/>
          </w:tcPr>
          <w:p w14:paraId="4E7CFAA9" w14:textId="77777777" w:rsidR="00454A29" w:rsidRDefault="00454A29">
            <w:pPr>
              <w:pStyle w:val="ConsPlusNormal"/>
              <w:jc w:val="center"/>
            </w:pPr>
            <w:r>
              <w:t>2021</w:t>
            </w:r>
          </w:p>
        </w:tc>
        <w:tc>
          <w:tcPr>
            <w:tcW w:w="1417" w:type="dxa"/>
            <w:vMerge/>
          </w:tcPr>
          <w:p w14:paraId="2BA90CCC" w14:textId="77777777" w:rsidR="00454A29" w:rsidRDefault="00454A29"/>
        </w:tc>
        <w:tc>
          <w:tcPr>
            <w:tcW w:w="2204" w:type="dxa"/>
            <w:vMerge/>
          </w:tcPr>
          <w:p w14:paraId="0F5CBB10" w14:textId="77777777" w:rsidR="00454A29" w:rsidRDefault="00454A29"/>
        </w:tc>
        <w:tc>
          <w:tcPr>
            <w:tcW w:w="1417" w:type="dxa"/>
            <w:vMerge/>
          </w:tcPr>
          <w:p w14:paraId="73811D31" w14:textId="77777777" w:rsidR="00454A29" w:rsidRDefault="00454A29"/>
        </w:tc>
        <w:tc>
          <w:tcPr>
            <w:tcW w:w="2324" w:type="dxa"/>
            <w:vMerge/>
          </w:tcPr>
          <w:p w14:paraId="3B49CC79" w14:textId="77777777" w:rsidR="00454A29" w:rsidRDefault="00454A29"/>
        </w:tc>
        <w:tc>
          <w:tcPr>
            <w:tcW w:w="1701" w:type="dxa"/>
            <w:vAlign w:val="center"/>
          </w:tcPr>
          <w:p w14:paraId="1936188C" w14:textId="77777777" w:rsidR="00454A29" w:rsidRDefault="00454A29">
            <w:pPr>
              <w:pStyle w:val="ConsPlusNormal"/>
            </w:pPr>
          </w:p>
        </w:tc>
        <w:tc>
          <w:tcPr>
            <w:tcW w:w="1814" w:type="dxa"/>
            <w:vAlign w:val="center"/>
          </w:tcPr>
          <w:p w14:paraId="4B587D7D" w14:textId="77777777" w:rsidR="00454A29" w:rsidRDefault="00454A29">
            <w:pPr>
              <w:pStyle w:val="ConsPlusNormal"/>
            </w:pPr>
          </w:p>
        </w:tc>
        <w:tc>
          <w:tcPr>
            <w:tcW w:w="1701" w:type="dxa"/>
            <w:vAlign w:val="center"/>
          </w:tcPr>
          <w:p w14:paraId="1CD2FAF4" w14:textId="77777777" w:rsidR="00454A29" w:rsidRDefault="00454A29">
            <w:pPr>
              <w:pStyle w:val="ConsPlusNormal"/>
            </w:pPr>
          </w:p>
        </w:tc>
        <w:tc>
          <w:tcPr>
            <w:tcW w:w="1701" w:type="dxa"/>
            <w:vAlign w:val="center"/>
          </w:tcPr>
          <w:p w14:paraId="64F2349C" w14:textId="77777777" w:rsidR="00454A29" w:rsidRDefault="00454A29">
            <w:pPr>
              <w:pStyle w:val="ConsPlusNormal"/>
            </w:pPr>
          </w:p>
        </w:tc>
        <w:tc>
          <w:tcPr>
            <w:tcW w:w="1814" w:type="dxa"/>
            <w:vAlign w:val="center"/>
          </w:tcPr>
          <w:p w14:paraId="3AD939EF" w14:textId="77777777" w:rsidR="00454A29" w:rsidRDefault="00454A29">
            <w:pPr>
              <w:pStyle w:val="ConsPlusNormal"/>
            </w:pPr>
          </w:p>
        </w:tc>
      </w:tr>
      <w:tr w:rsidR="00454A29" w14:paraId="19146411" w14:textId="77777777">
        <w:tc>
          <w:tcPr>
            <w:tcW w:w="567" w:type="dxa"/>
            <w:vMerge/>
          </w:tcPr>
          <w:p w14:paraId="513C9CB6" w14:textId="77777777" w:rsidR="00454A29" w:rsidRDefault="00454A29"/>
        </w:tc>
        <w:tc>
          <w:tcPr>
            <w:tcW w:w="3345" w:type="dxa"/>
            <w:vMerge/>
          </w:tcPr>
          <w:p w14:paraId="1D54D660" w14:textId="77777777" w:rsidR="00454A29" w:rsidRDefault="00454A29"/>
        </w:tc>
        <w:tc>
          <w:tcPr>
            <w:tcW w:w="1701" w:type="dxa"/>
            <w:vAlign w:val="center"/>
          </w:tcPr>
          <w:p w14:paraId="5AB0D5B3" w14:textId="77777777" w:rsidR="00454A29" w:rsidRDefault="00454A29">
            <w:pPr>
              <w:pStyle w:val="ConsPlusNormal"/>
              <w:jc w:val="center"/>
            </w:pPr>
            <w:r>
              <w:t>2022</w:t>
            </w:r>
          </w:p>
        </w:tc>
        <w:tc>
          <w:tcPr>
            <w:tcW w:w="1417" w:type="dxa"/>
            <w:vMerge/>
          </w:tcPr>
          <w:p w14:paraId="4D03100A" w14:textId="77777777" w:rsidR="00454A29" w:rsidRDefault="00454A29"/>
        </w:tc>
        <w:tc>
          <w:tcPr>
            <w:tcW w:w="2204" w:type="dxa"/>
            <w:vMerge/>
          </w:tcPr>
          <w:p w14:paraId="098B2B93" w14:textId="77777777" w:rsidR="00454A29" w:rsidRDefault="00454A29"/>
        </w:tc>
        <w:tc>
          <w:tcPr>
            <w:tcW w:w="1417" w:type="dxa"/>
            <w:vMerge/>
          </w:tcPr>
          <w:p w14:paraId="3B135502" w14:textId="77777777" w:rsidR="00454A29" w:rsidRDefault="00454A29"/>
        </w:tc>
        <w:tc>
          <w:tcPr>
            <w:tcW w:w="2324" w:type="dxa"/>
            <w:vMerge/>
          </w:tcPr>
          <w:p w14:paraId="6FB106D0" w14:textId="77777777" w:rsidR="00454A29" w:rsidRDefault="00454A29"/>
        </w:tc>
        <w:tc>
          <w:tcPr>
            <w:tcW w:w="1701" w:type="dxa"/>
            <w:vAlign w:val="center"/>
          </w:tcPr>
          <w:p w14:paraId="755F58A3" w14:textId="77777777" w:rsidR="00454A29" w:rsidRDefault="00454A29">
            <w:pPr>
              <w:pStyle w:val="ConsPlusNormal"/>
            </w:pPr>
          </w:p>
        </w:tc>
        <w:tc>
          <w:tcPr>
            <w:tcW w:w="1814" w:type="dxa"/>
            <w:vAlign w:val="center"/>
          </w:tcPr>
          <w:p w14:paraId="65D867D0" w14:textId="77777777" w:rsidR="00454A29" w:rsidRDefault="00454A29">
            <w:pPr>
              <w:pStyle w:val="ConsPlusNormal"/>
            </w:pPr>
          </w:p>
        </w:tc>
        <w:tc>
          <w:tcPr>
            <w:tcW w:w="1701" w:type="dxa"/>
            <w:vAlign w:val="center"/>
          </w:tcPr>
          <w:p w14:paraId="3A13877B" w14:textId="77777777" w:rsidR="00454A29" w:rsidRDefault="00454A29">
            <w:pPr>
              <w:pStyle w:val="ConsPlusNormal"/>
            </w:pPr>
          </w:p>
        </w:tc>
        <w:tc>
          <w:tcPr>
            <w:tcW w:w="1701" w:type="dxa"/>
            <w:vAlign w:val="center"/>
          </w:tcPr>
          <w:p w14:paraId="1A414943" w14:textId="77777777" w:rsidR="00454A29" w:rsidRDefault="00454A29">
            <w:pPr>
              <w:pStyle w:val="ConsPlusNormal"/>
            </w:pPr>
          </w:p>
        </w:tc>
        <w:tc>
          <w:tcPr>
            <w:tcW w:w="1814" w:type="dxa"/>
            <w:vAlign w:val="center"/>
          </w:tcPr>
          <w:p w14:paraId="55A43F11" w14:textId="77777777" w:rsidR="00454A29" w:rsidRDefault="00454A29">
            <w:pPr>
              <w:pStyle w:val="ConsPlusNormal"/>
            </w:pPr>
          </w:p>
        </w:tc>
      </w:tr>
      <w:tr w:rsidR="00454A29" w14:paraId="272CB3D0" w14:textId="77777777">
        <w:tc>
          <w:tcPr>
            <w:tcW w:w="567" w:type="dxa"/>
            <w:vMerge/>
          </w:tcPr>
          <w:p w14:paraId="3E4FA170" w14:textId="77777777" w:rsidR="00454A29" w:rsidRDefault="00454A29"/>
        </w:tc>
        <w:tc>
          <w:tcPr>
            <w:tcW w:w="3345" w:type="dxa"/>
            <w:vMerge/>
          </w:tcPr>
          <w:p w14:paraId="0FF1278C" w14:textId="77777777" w:rsidR="00454A29" w:rsidRDefault="00454A29"/>
        </w:tc>
        <w:tc>
          <w:tcPr>
            <w:tcW w:w="1701" w:type="dxa"/>
            <w:vAlign w:val="center"/>
          </w:tcPr>
          <w:p w14:paraId="3186E1E1" w14:textId="77777777" w:rsidR="00454A29" w:rsidRDefault="00454A29">
            <w:pPr>
              <w:pStyle w:val="ConsPlusNormal"/>
              <w:jc w:val="center"/>
            </w:pPr>
            <w:r>
              <w:t>2023</w:t>
            </w:r>
          </w:p>
        </w:tc>
        <w:tc>
          <w:tcPr>
            <w:tcW w:w="1417" w:type="dxa"/>
            <w:vMerge/>
          </w:tcPr>
          <w:p w14:paraId="1E943B2C" w14:textId="77777777" w:rsidR="00454A29" w:rsidRDefault="00454A29"/>
        </w:tc>
        <w:tc>
          <w:tcPr>
            <w:tcW w:w="2204" w:type="dxa"/>
            <w:vMerge/>
          </w:tcPr>
          <w:p w14:paraId="37AED6EF" w14:textId="77777777" w:rsidR="00454A29" w:rsidRDefault="00454A29"/>
        </w:tc>
        <w:tc>
          <w:tcPr>
            <w:tcW w:w="1417" w:type="dxa"/>
            <w:vMerge/>
          </w:tcPr>
          <w:p w14:paraId="49786165" w14:textId="77777777" w:rsidR="00454A29" w:rsidRDefault="00454A29"/>
        </w:tc>
        <w:tc>
          <w:tcPr>
            <w:tcW w:w="2324" w:type="dxa"/>
            <w:vMerge/>
          </w:tcPr>
          <w:p w14:paraId="2A3D3FFA" w14:textId="77777777" w:rsidR="00454A29" w:rsidRDefault="00454A29"/>
        </w:tc>
        <w:tc>
          <w:tcPr>
            <w:tcW w:w="1701" w:type="dxa"/>
            <w:vAlign w:val="center"/>
          </w:tcPr>
          <w:p w14:paraId="0ACC1CF6" w14:textId="77777777" w:rsidR="00454A29" w:rsidRDefault="00454A29">
            <w:pPr>
              <w:pStyle w:val="ConsPlusNormal"/>
            </w:pPr>
          </w:p>
        </w:tc>
        <w:tc>
          <w:tcPr>
            <w:tcW w:w="1814" w:type="dxa"/>
            <w:vAlign w:val="center"/>
          </w:tcPr>
          <w:p w14:paraId="537FB340" w14:textId="77777777" w:rsidR="00454A29" w:rsidRDefault="00454A29">
            <w:pPr>
              <w:pStyle w:val="ConsPlusNormal"/>
            </w:pPr>
          </w:p>
        </w:tc>
        <w:tc>
          <w:tcPr>
            <w:tcW w:w="1701" w:type="dxa"/>
            <w:vAlign w:val="center"/>
          </w:tcPr>
          <w:p w14:paraId="650C8CB1" w14:textId="77777777" w:rsidR="00454A29" w:rsidRDefault="00454A29">
            <w:pPr>
              <w:pStyle w:val="ConsPlusNormal"/>
            </w:pPr>
          </w:p>
        </w:tc>
        <w:tc>
          <w:tcPr>
            <w:tcW w:w="1701" w:type="dxa"/>
            <w:vAlign w:val="center"/>
          </w:tcPr>
          <w:p w14:paraId="2D7E5877" w14:textId="77777777" w:rsidR="00454A29" w:rsidRDefault="00454A29">
            <w:pPr>
              <w:pStyle w:val="ConsPlusNormal"/>
            </w:pPr>
          </w:p>
        </w:tc>
        <w:tc>
          <w:tcPr>
            <w:tcW w:w="1814" w:type="dxa"/>
            <w:vAlign w:val="center"/>
          </w:tcPr>
          <w:p w14:paraId="631491DD" w14:textId="77777777" w:rsidR="00454A29" w:rsidRDefault="00454A29">
            <w:pPr>
              <w:pStyle w:val="ConsPlusNormal"/>
            </w:pPr>
          </w:p>
        </w:tc>
      </w:tr>
      <w:tr w:rsidR="00454A29" w14:paraId="4482162F" w14:textId="77777777">
        <w:tc>
          <w:tcPr>
            <w:tcW w:w="567" w:type="dxa"/>
            <w:vMerge/>
          </w:tcPr>
          <w:p w14:paraId="78FAF4F2" w14:textId="77777777" w:rsidR="00454A29" w:rsidRDefault="00454A29"/>
        </w:tc>
        <w:tc>
          <w:tcPr>
            <w:tcW w:w="3345" w:type="dxa"/>
            <w:vMerge/>
          </w:tcPr>
          <w:p w14:paraId="4E93E591" w14:textId="77777777" w:rsidR="00454A29" w:rsidRDefault="00454A29"/>
        </w:tc>
        <w:tc>
          <w:tcPr>
            <w:tcW w:w="1701" w:type="dxa"/>
            <w:vAlign w:val="center"/>
          </w:tcPr>
          <w:p w14:paraId="1ADADD0B" w14:textId="77777777" w:rsidR="00454A29" w:rsidRDefault="00454A29">
            <w:pPr>
              <w:pStyle w:val="ConsPlusNormal"/>
              <w:jc w:val="center"/>
            </w:pPr>
            <w:r>
              <w:t>2024</w:t>
            </w:r>
          </w:p>
        </w:tc>
        <w:tc>
          <w:tcPr>
            <w:tcW w:w="1417" w:type="dxa"/>
            <w:vMerge/>
          </w:tcPr>
          <w:p w14:paraId="595EC204" w14:textId="77777777" w:rsidR="00454A29" w:rsidRDefault="00454A29"/>
        </w:tc>
        <w:tc>
          <w:tcPr>
            <w:tcW w:w="2204" w:type="dxa"/>
            <w:vMerge/>
          </w:tcPr>
          <w:p w14:paraId="2345F72F" w14:textId="77777777" w:rsidR="00454A29" w:rsidRDefault="00454A29"/>
        </w:tc>
        <w:tc>
          <w:tcPr>
            <w:tcW w:w="1417" w:type="dxa"/>
            <w:vMerge/>
          </w:tcPr>
          <w:p w14:paraId="4E2896D9" w14:textId="77777777" w:rsidR="00454A29" w:rsidRDefault="00454A29"/>
        </w:tc>
        <w:tc>
          <w:tcPr>
            <w:tcW w:w="2324" w:type="dxa"/>
            <w:vMerge/>
          </w:tcPr>
          <w:p w14:paraId="062FD555" w14:textId="77777777" w:rsidR="00454A29" w:rsidRDefault="00454A29"/>
        </w:tc>
        <w:tc>
          <w:tcPr>
            <w:tcW w:w="1701" w:type="dxa"/>
            <w:vAlign w:val="center"/>
          </w:tcPr>
          <w:p w14:paraId="7417D0D4" w14:textId="77777777" w:rsidR="00454A29" w:rsidRDefault="00454A29">
            <w:pPr>
              <w:pStyle w:val="ConsPlusNormal"/>
            </w:pPr>
          </w:p>
        </w:tc>
        <w:tc>
          <w:tcPr>
            <w:tcW w:w="1814" w:type="dxa"/>
            <w:vAlign w:val="center"/>
          </w:tcPr>
          <w:p w14:paraId="50B342A3" w14:textId="77777777" w:rsidR="00454A29" w:rsidRDefault="00454A29">
            <w:pPr>
              <w:pStyle w:val="ConsPlusNormal"/>
            </w:pPr>
          </w:p>
        </w:tc>
        <w:tc>
          <w:tcPr>
            <w:tcW w:w="1701" w:type="dxa"/>
            <w:vAlign w:val="center"/>
          </w:tcPr>
          <w:p w14:paraId="0810372B" w14:textId="77777777" w:rsidR="00454A29" w:rsidRDefault="00454A29">
            <w:pPr>
              <w:pStyle w:val="ConsPlusNormal"/>
            </w:pPr>
          </w:p>
        </w:tc>
        <w:tc>
          <w:tcPr>
            <w:tcW w:w="1701" w:type="dxa"/>
            <w:vAlign w:val="center"/>
          </w:tcPr>
          <w:p w14:paraId="712118D3" w14:textId="77777777" w:rsidR="00454A29" w:rsidRDefault="00454A29">
            <w:pPr>
              <w:pStyle w:val="ConsPlusNormal"/>
            </w:pPr>
          </w:p>
        </w:tc>
        <w:tc>
          <w:tcPr>
            <w:tcW w:w="1814" w:type="dxa"/>
            <w:vAlign w:val="center"/>
          </w:tcPr>
          <w:p w14:paraId="1DC25D4D" w14:textId="77777777" w:rsidR="00454A29" w:rsidRDefault="00454A29">
            <w:pPr>
              <w:pStyle w:val="ConsPlusNormal"/>
            </w:pPr>
          </w:p>
        </w:tc>
      </w:tr>
      <w:tr w:rsidR="00454A29" w14:paraId="768F5A89" w14:textId="77777777">
        <w:tc>
          <w:tcPr>
            <w:tcW w:w="567" w:type="dxa"/>
            <w:vMerge/>
          </w:tcPr>
          <w:p w14:paraId="4D99E04A" w14:textId="77777777" w:rsidR="00454A29" w:rsidRDefault="00454A29"/>
        </w:tc>
        <w:tc>
          <w:tcPr>
            <w:tcW w:w="3345" w:type="dxa"/>
            <w:vMerge/>
          </w:tcPr>
          <w:p w14:paraId="233E6135" w14:textId="77777777" w:rsidR="00454A29" w:rsidRDefault="00454A29"/>
        </w:tc>
        <w:tc>
          <w:tcPr>
            <w:tcW w:w="1701" w:type="dxa"/>
            <w:vAlign w:val="center"/>
          </w:tcPr>
          <w:p w14:paraId="2B23FE6E" w14:textId="77777777" w:rsidR="00454A29" w:rsidRDefault="00454A29">
            <w:pPr>
              <w:pStyle w:val="ConsPlusNormal"/>
              <w:jc w:val="center"/>
            </w:pPr>
            <w:r>
              <w:t>2025</w:t>
            </w:r>
          </w:p>
        </w:tc>
        <w:tc>
          <w:tcPr>
            <w:tcW w:w="1417" w:type="dxa"/>
            <w:vMerge/>
          </w:tcPr>
          <w:p w14:paraId="1EE48313" w14:textId="77777777" w:rsidR="00454A29" w:rsidRDefault="00454A29"/>
        </w:tc>
        <w:tc>
          <w:tcPr>
            <w:tcW w:w="2204" w:type="dxa"/>
            <w:vMerge/>
          </w:tcPr>
          <w:p w14:paraId="3F8543D3" w14:textId="77777777" w:rsidR="00454A29" w:rsidRDefault="00454A29"/>
        </w:tc>
        <w:tc>
          <w:tcPr>
            <w:tcW w:w="1417" w:type="dxa"/>
            <w:vMerge/>
          </w:tcPr>
          <w:p w14:paraId="7687B9E9" w14:textId="77777777" w:rsidR="00454A29" w:rsidRDefault="00454A29"/>
        </w:tc>
        <w:tc>
          <w:tcPr>
            <w:tcW w:w="2324" w:type="dxa"/>
            <w:vMerge/>
          </w:tcPr>
          <w:p w14:paraId="4FF40BB1" w14:textId="77777777" w:rsidR="00454A29" w:rsidRDefault="00454A29"/>
        </w:tc>
        <w:tc>
          <w:tcPr>
            <w:tcW w:w="1701" w:type="dxa"/>
            <w:vAlign w:val="center"/>
          </w:tcPr>
          <w:p w14:paraId="60715C71" w14:textId="77777777" w:rsidR="00454A29" w:rsidRDefault="00454A29">
            <w:pPr>
              <w:pStyle w:val="ConsPlusNormal"/>
              <w:jc w:val="center"/>
            </w:pPr>
            <w:r>
              <w:t>257 477,17</w:t>
            </w:r>
          </w:p>
        </w:tc>
        <w:tc>
          <w:tcPr>
            <w:tcW w:w="1814" w:type="dxa"/>
            <w:vAlign w:val="center"/>
          </w:tcPr>
          <w:p w14:paraId="77F43E67" w14:textId="77777777" w:rsidR="00454A29" w:rsidRDefault="00454A29">
            <w:pPr>
              <w:pStyle w:val="ConsPlusNormal"/>
              <w:jc w:val="center"/>
            </w:pPr>
            <w:r>
              <w:t>3 257,10</w:t>
            </w:r>
          </w:p>
        </w:tc>
        <w:tc>
          <w:tcPr>
            <w:tcW w:w="1701" w:type="dxa"/>
            <w:vAlign w:val="center"/>
          </w:tcPr>
          <w:p w14:paraId="700AF013" w14:textId="77777777" w:rsidR="00454A29" w:rsidRDefault="00454A29">
            <w:pPr>
              <w:pStyle w:val="ConsPlusNormal"/>
              <w:jc w:val="center"/>
            </w:pPr>
            <w:r>
              <w:t>322 451,54</w:t>
            </w:r>
          </w:p>
        </w:tc>
        <w:tc>
          <w:tcPr>
            <w:tcW w:w="1701" w:type="dxa"/>
            <w:vAlign w:val="center"/>
          </w:tcPr>
          <w:p w14:paraId="6EA8F013" w14:textId="77777777" w:rsidR="00454A29" w:rsidRDefault="00454A29">
            <w:pPr>
              <w:pStyle w:val="ConsPlusNormal"/>
            </w:pPr>
          </w:p>
        </w:tc>
        <w:tc>
          <w:tcPr>
            <w:tcW w:w="1814" w:type="dxa"/>
            <w:vAlign w:val="center"/>
          </w:tcPr>
          <w:p w14:paraId="620F0DC0" w14:textId="77777777" w:rsidR="00454A29" w:rsidRDefault="00454A29">
            <w:pPr>
              <w:pStyle w:val="ConsPlusNormal"/>
            </w:pPr>
          </w:p>
        </w:tc>
      </w:tr>
      <w:tr w:rsidR="00454A29" w14:paraId="559A4652" w14:textId="77777777">
        <w:tc>
          <w:tcPr>
            <w:tcW w:w="567" w:type="dxa"/>
            <w:vMerge/>
          </w:tcPr>
          <w:p w14:paraId="74912729" w14:textId="77777777" w:rsidR="00454A29" w:rsidRDefault="00454A29"/>
        </w:tc>
        <w:tc>
          <w:tcPr>
            <w:tcW w:w="3345" w:type="dxa"/>
            <w:vMerge/>
          </w:tcPr>
          <w:p w14:paraId="7F985796" w14:textId="77777777" w:rsidR="00454A29" w:rsidRDefault="00454A29"/>
        </w:tc>
        <w:tc>
          <w:tcPr>
            <w:tcW w:w="1701" w:type="dxa"/>
            <w:vAlign w:val="center"/>
          </w:tcPr>
          <w:p w14:paraId="126513E6" w14:textId="77777777" w:rsidR="00454A29" w:rsidRDefault="00454A29">
            <w:pPr>
              <w:pStyle w:val="ConsPlusNormal"/>
              <w:jc w:val="center"/>
            </w:pPr>
            <w:r>
              <w:t>2026</w:t>
            </w:r>
          </w:p>
        </w:tc>
        <w:tc>
          <w:tcPr>
            <w:tcW w:w="1417" w:type="dxa"/>
            <w:vMerge/>
          </w:tcPr>
          <w:p w14:paraId="4AB92284" w14:textId="77777777" w:rsidR="00454A29" w:rsidRDefault="00454A29"/>
        </w:tc>
        <w:tc>
          <w:tcPr>
            <w:tcW w:w="2204" w:type="dxa"/>
            <w:vMerge/>
          </w:tcPr>
          <w:p w14:paraId="3B6DF221" w14:textId="77777777" w:rsidR="00454A29" w:rsidRDefault="00454A29"/>
        </w:tc>
        <w:tc>
          <w:tcPr>
            <w:tcW w:w="1417" w:type="dxa"/>
            <w:vMerge/>
          </w:tcPr>
          <w:p w14:paraId="03EE9D1B" w14:textId="77777777" w:rsidR="00454A29" w:rsidRDefault="00454A29"/>
        </w:tc>
        <w:tc>
          <w:tcPr>
            <w:tcW w:w="2324" w:type="dxa"/>
            <w:vMerge/>
          </w:tcPr>
          <w:p w14:paraId="740DC25D" w14:textId="77777777" w:rsidR="00454A29" w:rsidRDefault="00454A29"/>
        </w:tc>
        <w:tc>
          <w:tcPr>
            <w:tcW w:w="1701" w:type="dxa"/>
            <w:vAlign w:val="center"/>
          </w:tcPr>
          <w:p w14:paraId="4EE65468" w14:textId="77777777" w:rsidR="00454A29" w:rsidRDefault="00454A29">
            <w:pPr>
              <w:pStyle w:val="ConsPlusNormal"/>
            </w:pPr>
          </w:p>
        </w:tc>
        <w:tc>
          <w:tcPr>
            <w:tcW w:w="1814" w:type="dxa"/>
            <w:vAlign w:val="center"/>
          </w:tcPr>
          <w:p w14:paraId="754105E6" w14:textId="77777777" w:rsidR="00454A29" w:rsidRDefault="00454A29">
            <w:pPr>
              <w:pStyle w:val="ConsPlusNormal"/>
            </w:pPr>
          </w:p>
        </w:tc>
        <w:tc>
          <w:tcPr>
            <w:tcW w:w="1701" w:type="dxa"/>
            <w:vAlign w:val="center"/>
          </w:tcPr>
          <w:p w14:paraId="5A8C4CE0" w14:textId="77777777" w:rsidR="00454A29" w:rsidRDefault="00454A29">
            <w:pPr>
              <w:pStyle w:val="ConsPlusNormal"/>
            </w:pPr>
          </w:p>
        </w:tc>
        <w:tc>
          <w:tcPr>
            <w:tcW w:w="1701" w:type="dxa"/>
            <w:vAlign w:val="center"/>
          </w:tcPr>
          <w:p w14:paraId="536E252F" w14:textId="77777777" w:rsidR="00454A29" w:rsidRDefault="00454A29">
            <w:pPr>
              <w:pStyle w:val="ConsPlusNormal"/>
            </w:pPr>
          </w:p>
        </w:tc>
        <w:tc>
          <w:tcPr>
            <w:tcW w:w="1814" w:type="dxa"/>
            <w:vAlign w:val="center"/>
          </w:tcPr>
          <w:p w14:paraId="439566EC" w14:textId="77777777" w:rsidR="00454A29" w:rsidRDefault="00454A29">
            <w:pPr>
              <w:pStyle w:val="ConsPlusNormal"/>
            </w:pPr>
          </w:p>
        </w:tc>
      </w:tr>
      <w:tr w:rsidR="00454A29" w14:paraId="7ECA708E" w14:textId="77777777">
        <w:tc>
          <w:tcPr>
            <w:tcW w:w="567" w:type="dxa"/>
            <w:vMerge w:val="restart"/>
            <w:vAlign w:val="center"/>
          </w:tcPr>
          <w:p w14:paraId="1A88A8C9" w14:textId="77777777" w:rsidR="00454A29" w:rsidRDefault="00454A29">
            <w:pPr>
              <w:pStyle w:val="ConsPlusNormal"/>
              <w:jc w:val="center"/>
            </w:pPr>
            <w:r>
              <w:t>46</w:t>
            </w:r>
          </w:p>
        </w:tc>
        <w:tc>
          <w:tcPr>
            <w:tcW w:w="3345" w:type="dxa"/>
            <w:vMerge w:val="restart"/>
            <w:vAlign w:val="center"/>
          </w:tcPr>
          <w:p w14:paraId="07BFD734" w14:textId="77777777" w:rsidR="00454A29" w:rsidRDefault="00454A29">
            <w:pPr>
              <w:pStyle w:val="ConsPlusNormal"/>
              <w:jc w:val="center"/>
            </w:pPr>
            <w:r>
              <w:t>Школа на 80 учащихся в с. Тосу</w:t>
            </w:r>
          </w:p>
        </w:tc>
        <w:tc>
          <w:tcPr>
            <w:tcW w:w="1701" w:type="dxa"/>
            <w:vAlign w:val="center"/>
          </w:tcPr>
          <w:p w14:paraId="65AF917F" w14:textId="77777777" w:rsidR="00454A29" w:rsidRDefault="00454A29">
            <w:pPr>
              <w:pStyle w:val="ConsPlusNormal"/>
              <w:jc w:val="center"/>
            </w:pPr>
            <w:r>
              <w:t>2020 - 2026 годы - всего</w:t>
            </w:r>
          </w:p>
        </w:tc>
        <w:tc>
          <w:tcPr>
            <w:tcW w:w="1417" w:type="dxa"/>
            <w:vMerge w:val="restart"/>
            <w:vAlign w:val="center"/>
          </w:tcPr>
          <w:p w14:paraId="1B6DAA67" w14:textId="77777777" w:rsidR="00454A29" w:rsidRDefault="00454A29">
            <w:pPr>
              <w:pStyle w:val="ConsPlusNormal"/>
              <w:jc w:val="center"/>
            </w:pPr>
            <w:r>
              <w:t>362 527,85</w:t>
            </w:r>
          </w:p>
        </w:tc>
        <w:tc>
          <w:tcPr>
            <w:tcW w:w="2204" w:type="dxa"/>
            <w:vMerge w:val="restart"/>
            <w:vAlign w:val="center"/>
          </w:tcPr>
          <w:p w14:paraId="592EEF28" w14:textId="77777777" w:rsidR="00454A29" w:rsidRDefault="00454A29">
            <w:pPr>
              <w:pStyle w:val="ConsPlusNormal"/>
            </w:pPr>
          </w:p>
        </w:tc>
        <w:tc>
          <w:tcPr>
            <w:tcW w:w="1417" w:type="dxa"/>
            <w:vMerge w:val="restart"/>
            <w:vAlign w:val="center"/>
          </w:tcPr>
          <w:p w14:paraId="7899C524" w14:textId="77777777" w:rsidR="00454A29" w:rsidRDefault="00454A29">
            <w:pPr>
              <w:pStyle w:val="ConsPlusNormal"/>
              <w:jc w:val="center"/>
            </w:pPr>
            <w:r>
              <w:t>80</w:t>
            </w:r>
          </w:p>
        </w:tc>
        <w:tc>
          <w:tcPr>
            <w:tcW w:w="2324" w:type="dxa"/>
            <w:vMerge w:val="restart"/>
            <w:vAlign w:val="center"/>
          </w:tcPr>
          <w:p w14:paraId="3E2D00B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F808800" w14:textId="77777777" w:rsidR="00454A29" w:rsidRDefault="00454A29">
            <w:pPr>
              <w:pStyle w:val="ConsPlusNormal"/>
              <w:jc w:val="center"/>
            </w:pPr>
            <w:r>
              <w:t>362 527,85</w:t>
            </w:r>
          </w:p>
        </w:tc>
        <w:tc>
          <w:tcPr>
            <w:tcW w:w="1814" w:type="dxa"/>
            <w:vAlign w:val="center"/>
          </w:tcPr>
          <w:p w14:paraId="60EE51F2" w14:textId="77777777" w:rsidR="00454A29" w:rsidRDefault="00454A29">
            <w:pPr>
              <w:pStyle w:val="ConsPlusNormal"/>
              <w:jc w:val="center"/>
            </w:pPr>
            <w:r>
              <w:t>3 625,28</w:t>
            </w:r>
          </w:p>
        </w:tc>
        <w:tc>
          <w:tcPr>
            <w:tcW w:w="1701" w:type="dxa"/>
            <w:vAlign w:val="center"/>
          </w:tcPr>
          <w:p w14:paraId="31CAAAF9" w14:textId="77777777" w:rsidR="00454A29" w:rsidRDefault="00454A29">
            <w:pPr>
              <w:pStyle w:val="ConsPlusNormal"/>
              <w:jc w:val="center"/>
            </w:pPr>
            <w:r>
              <w:t>358 902,57</w:t>
            </w:r>
          </w:p>
        </w:tc>
        <w:tc>
          <w:tcPr>
            <w:tcW w:w="1701" w:type="dxa"/>
            <w:vAlign w:val="center"/>
          </w:tcPr>
          <w:p w14:paraId="470DE82D" w14:textId="77777777" w:rsidR="00454A29" w:rsidRDefault="00454A29">
            <w:pPr>
              <w:pStyle w:val="ConsPlusNormal"/>
              <w:jc w:val="center"/>
            </w:pPr>
            <w:r>
              <w:t>-</w:t>
            </w:r>
          </w:p>
        </w:tc>
        <w:tc>
          <w:tcPr>
            <w:tcW w:w="1814" w:type="dxa"/>
            <w:vAlign w:val="center"/>
          </w:tcPr>
          <w:p w14:paraId="7B90D864" w14:textId="77777777" w:rsidR="00454A29" w:rsidRDefault="00454A29">
            <w:pPr>
              <w:pStyle w:val="ConsPlusNormal"/>
              <w:jc w:val="center"/>
            </w:pPr>
            <w:r>
              <w:t>-</w:t>
            </w:r>
          </w:p>
        </w:tc>
      </w:tr>
      <w:tr w:rsidR="00454A29" w14:paraId="26A40CE2" w14:textId="77777777">
        <w:tc>
          <w:tcPr>
            <w:tcW w:w="567" w:type="dxa"/>
            <w:vMerge/>
          </w:tcPr>
          <w:p w14:paraId="374CFE15" w14:textId="77777777" w:rsidR="00454A29" w:rsidRDefault="00454A29"/>
        </w:tc>
        <w:tc>
          <w:tcPr>
            <w:tcW w:w="3345" w:type="dxa"/>
            <w:vMerge/>
          </w:tcPr>
          <w:p w14:paraId="1FBC4745" w14:textId="77777777" w:rsidR="00454A29" w:rsidRDefault="00454A29"/>
        </w:tc>
        <w:tc>
          <w:tcPr>
            <w:tcW w:w="1701" w:type="dxa"/>
            <w:vAlign w:val="center"/>
          </w:tcPr>
          <w:p w14:paraId="1506DB2A" w14:textId="77777777" w:rsidR="00454A29" w:rsidRDefault="00454A29">
            <w:pPr>
              <w:pStyle w:val="ConsPlusNormal"/>
              <w:jc w:val="center"/>
            </w:pPr>
            <w:r>
              <w:t>2020</w:t>
            </w:r>
          </w:p>
        </w:tc>
        <w:tc>
          <w:tcPr>
            <w:tcW w:w="1417" w:type="dxa"/>
            <w:vMerge/>
          </w:tcPr>
          <w:p w14:paraId="43129D78" w14:textId="77777777" w:rsidR="00454A29" w:rsidRDefault="00454A29"/>
        </w:tc>
        <w:tc>
          <w:tcPr>
            <w:tcW w:w="2204" w:type="dxa"/>
            <w:vMerge/>
          </w:tcPr>
          <w:p w14:paraId="3C2FDBD0" w14:textId="77777777" w:rsidR="00454A29" w:rsidRDefault="00454A29"/>
        </w:tc>
        <w:tc>
          <w:tcPr>
            <w:tcW w:w="1417" w:type="dxa"/>
            <w:vMerge/>
          </w:tcPr>
          <w:p w14:paraId="13107E87" w14:textId="77777777" w:rsidR="00454A29" w:rsidRDefault="00454A29"/>
        </w:tc>
        <w:tc>
          <w:tcPr>
            <w:tcW w:w="2324" w:type="dxa"/>
            <w:vMerge/>
          </w:tcPr>
          <w:p w14:paraId="7AD2AADA" w14:textId="77777777" w:rsidR="00454A29" w:rsidRDefault="00454A29"/>
        </w:tc>
        <w:tc>
          <w:tcPr>
            <w:tcW w:w="1701" w:type="dxa"/>
            <w:vAlign w:val="center"/>
          </w:tcPr>
          <w:p w14:paraId="7EF154AB" w14:textId="77777777" w:rsidR="00454A29" w:rsidRDefault="00454A29">
            <w:pPr>
              <w:pStyle w:val="ConsPlusNormal"/>
            </w:pPr>
          </w:p>
        </w:tc>
        <w:tc>
          <w:tcPr>
            <w:tcW w:w="1814" w:type="dxa"/>
            <w:vAlign w:val="center"/>
          </w:tcPr>
          <w:p w14:paraId="0B4A1E7C" w14:textId="77777777" w:rsidR="00454A29" w:rsidRDefault="00454A29">
            <w:pPr>
              <w:pStyle w:val="ConsPlusNormal"/>
            </w:pPr>
          </w:p>
        </w:tc>
        <w:tc>
          <w:tcPr>
            <w:tcW w:w="1701" w:type="dxa"/>
            <w:vAlign w:val="center"/>
          </w:tcPr>
          <w:p w14:paraId="35801FFD" w14:textId="77777777" w:rsidR="00454A29" w:rsidRDefault="00454A29">
            <w:pPr>
              <w:pStyle w:val="ConsPlusNormal"/>
            </w:pPr>
          </w:p>
        </w:tc>
        <w:tc>
          <w:tcPr>
            <w:tcW w:w="1701" w:type="dxa"/>
            <w:vAlign w:val="center"/>
          </w:tcPr>
          <w:p w14:paraId="0F57F572" w14:textId="77777777" w:rsidR="00454A29" w:rsidRDefault="00454A29">
            <w:pPr>
              <w:pStyle w:val="ConsPlusNormal"/>
            </w:pPr>
          </w:p>
        </w:tc>
        <w:tc>
          <w:tcPr>
            <w:tcW w:w="1814" w:type="dxa"/>
            <w:vAlign w:val="center"/>
          </w:tcPr>
          <w:p w14:paraId="3C6FC34C" w14:textId="77777777" w:rsidR="00454A29" w:rsidRDefault="00454A29">
            <w:pPr>
              <w:pStyle w:val="ConsPlusNormal"/>
            </w:pPr>
          </w:p>
        </w:tc>
      </w:tr>
      <w:tr w:rsidR="00454A29" w14:paraId="358537E6" w14:textId="77777777">
        <w:tc>
          <w:tcPr>
            <w:tcW w:w="567" w:type="dxa"/>
            <w:vMerge/>
          </w:tcPr>
          <w:p w14:paraId="7E8EFE82" w14:textId="77777777" w:rsidR="00454A29" w:rsidRDefault="00454A29"/>
        </w:tc>
        <w:tc>
          <w:tcPr>
            <w:tcW w:w="3345" w:type="dxa"/>
            <w:vMerge/>
          </w:tcPr>
          <w:p w14:paraId="4EC6BB36" w14:textId="77777777" w:rsidR="00454A29" w:rsidRDefault="00454A29"/>
        </w:tc>
        <w:tc>
          <w:tcPr>
            <w:tcW w:w="1701" w:type="dxa"/>
            <w:vAlign w:val="center"/>
          </w:tcPr>
          <w:p w14:paraId="3908D55E" w14:textId="77777777" w:rsidR="00454A29" w:rsidRDefault="00454A29">
            <w:pPr>
              <w:pStyle w:val="ConsPlusNormal"/>
              <w:jc w:val="center"/>
            </w:pPr>
            <w:r>
              <w:t>2021</w:t>
            </w:r>
          </w:p>
        </w:tc>
        <w:tc>
          <w:tcPr>
            <w:tcW w:w="1417" w:type="dxa"/>
            <w:vMerge/>
          </w:tcPr>
          <w:p w14:paraId="22EE4D51" w14:textId="77777777" w:rsidR="00454A29" w:rsidRDefault="00454A29"/>
        </w:tc>
        <w:tc>
          <w:tcPr>
            <w:tcW w:w="2204" w:type="dxa"/>
            <w:vMerge/>
          </w:tcPr>
          <w:p w14:paraId="2B18F1EC" w14:textId="77777777" w:rsidR="00454A29" w:rsidRDefault="00454A29"/>
        </w:tc>
        <w:tc>
          <w:tcPr>
            <w:tcW w:w="1417" w:type="dxa"/>
            <w:vMerge/>
          </w:tcPr>
          <w:p w14:paraId="7705A7DF" w14:textId="77777777" w:rsidR="00454A29" w:rsidRDefault="00454A29"/>
        </w:tc>
        <w:tc>
          <w:tcPr>
            <w:tcW w:w="2324" w:type="dxa"/>
            <w:vMerge/>
          </w:tcPr>
          <w:p w14:paraId="2F061E9B" w14:textId="77777777" w:rsidR="00454A29" w:rsidRDefault="00454A29"/>
        </w:tc>
        <w:tc>
          <w:tcPr>
            <w:tcW w:w="1701" w:type="dxa"/>
            <w:vAlign w:val="center"/>
          </w:tcPr>
          <w:p w14:paraId="18D0FF3F" w14:textId="77777777" w:rsidR="00454A29" w:rsidRDefault="00454A29">
            <w:pPr>
              <w:pStyle w:val="ConsPlusNormal"/>
            </w:pPr>
          </w:p>
        </w:tc>
        <w:tc>
          <w:tcPr>
            <w:tcW w:w="1814" w:type="dxa"/>
            <w:vAlign w:val="center"/>
          </w:tcPr>
          <w:p w14:paraId="24DCCCAF" w14:textId="77777777" w:rsidR="00454A29" w:rsidRDefault="00454A29">
            <w:pPr>
              <w:pStyle w:val="ConsPlusNormal"/>
            </w:pPr>
          </w:p>
        </w:tc>
        <w:tc>
          <w:tcPr>
            <w:tcW w:w="1701" w:type="dxa"/>
            <w:vAlign w:val="center"/>
          </w:tcPr>
          <w:p w14:paraId="45A52346" w14:textId="77777777" w:rsidR="00454A29" w:rsidRDefault="00454A29">
            <w:pPr>
              <w:pStyle w:val="ConsPlusNormal"/>
            </w:pPr>
          </w:p>
        </w:tc>
        <w:tc>
          <w:tcPr>
            <w:tcW w:w="1701" w:type="dxa"/>
            <w:vAlign w:val="center"/>
          </w:tcPr>
          <w:p w14:paraId="6B471C21" w14:textId="77777777" w:rsidR="00454A29" w:rsidRDefault="00454A29">
            <w:pPr>
              <w:pStyle w:val="ConsPlusNormal"/>
            </w:pPr>
          </w:p>
        </w:tc>
        <w:tc>
          <w:tcPr>
            <w:tcW w:w="1814" w:type="dxa"/>
            <w:vAlign w:val="center"/>
          </w:tcPr>
          <w:p w14:paraId="220F06D1" w14:textId="77777777" w:rsidR="00454A29" w:rsidRDefault="00454A29">
            <w:pPr>
              <w:pStyle w:val="ConsPlusNormal"/>
            </w:pPr>
          </w:p>
        </w:tc>
      </w:tr>
      <w:tr w:rsidR="00454A29" w14:paraId="491B9998" w14:textId="77777777">
        <w:tc>
          <w:tcPr>
            <w:tcW w:w="567" w:type="dxa"/>
            <w:vMerge/>
          </w:tcPr>
          <w:p w14:paraId="52BE4054" w14:textId="77777777" w:rsidR="00454A29" w:rsidRDefault="00454A29"/>
        </w:tc>
        <w:tc>
          <w:tcPr>
            <w:tcW w:w="3345" w:type="dxa"/>
            <w:vMerge/>
          </w:tcPr>
          <w:p w14:paraId="67B6C52F" w14:textId="77777777" w:rsidR="00454A29" w:rsidRDefault="00454A29"/>
        </w:tc>
        <w:tc>
          <w:tcPr>
            <w:tcW w:w="1701" w:type="dxa"/>
            <w:vAlign w:val="center"/>
          </w:tcPr>
          <w:p w14:paraId="69B780C7" w14:textId="77777777" w:rsidR="00454A29" w:rsidRDefault="00454A29">
            <w:pPr>
              <w:pStyle w:val="ConsPlusNormal"/>
              <w:jc w:val="center"/>
            </w:pPr>
            <w:r>
              <w:t>2022</w:t>
            </w:r>
          </w:p>
        </w:tc>
        <w:tc>
          <w:tcPr>
            <w:tcW w:w="1417" w:type="dxa"/>
            <w:vMerge/>
          </w:tcPr>
          <w:p w14:paraId="3FD430EE" w14:textId="77777777" w:rsidR="00454A29" w:rsidRDefault="00454A29"/>
        </w:tc>
        <w:tc>
          <w:tcPr>
            <w:tcW w:w="2204" w:type="dxa"/>
            <w:vMerge/>
          </w:tcPr>
          <w:p w14:paraId="4A65DDBF" w14:textId="77777777" w:rsidR="00454A29" w:rsidRDefault="00454A29"/>
        </w:tc>
        <w:tc>
          <w:tcPr>
            <w:tcW w:w="1417" w:type="dxa"/>
            <w:vMerge/>
          </w:tcPr>
          <w:p w14:paraId="40F8C692" w14:textId="77777777" w:rsidR="00454A29" w:rsidRDefault="00454A29"/>
        </w:tc>
        <w:tc>
          <w:tcPr>
            <w:tcW w:w="2324" w:type="dxa"/>
            <w:vMerge/>
          </w:tcPr>
          <w:p w14:paraId="22E6B53E" w14:textId="77777777" w:rsidR="00454A29" w:rsidRDefault="00454A29"/>
        </w:tc>
        <w:tc>
          <w:tcPr>
            <w:tcW w:w="1701" w:type="dxa"/>
            <w:vAlign w:val="center"/>
          </w:tcPr>
          <w:p w14:paraId="07C3DC13" w14:textId="77777777" w:rsidR="00454A29" w:rsidRDefault="00454A29">
            <w:pPr>
              <w:pStyle w:val="ConsPlusNormal"/>
            </w:pPr>
          </w:p>
        </w:tc>
        <w:tc>
          <w:tcPr>
            <w:tcW w:w="1814" w:type="dxa"/>
            <w:vAlign w:val="center"/>
          </w:tcPr>
          <w:p w14:paraId="7FDE827D" w14:textId="77777777" w:rsidR="00454A29" w:rsidRDefault="00454A29">
            <w:pPr>
              <w:pStyle w:val="ConsPlusNormal"/>
            </w:pPr>
          </w:p>
        </w:tc>
        <w:tc>
          <w:tcPr>
            <w:tcW w:w="1701" w:type="dxa"/>
            <w:vAlign w:val="center"/>
          </w:tcPr>
          <w:p w14:paraId="16410174" w14:textId="77777777" w:rsidR="00454A29" w:rsidRDefault="00454A29">
            <w:pPr>
              <w:pStyle w:val="ConsPlusNormal"/>
            </w:pPr>
          </w:p>
        </w:tc>
        <w:tc>
          <w:tcPr>
            <w:tcW w:w="1701" w:type="dxa"/>
            <w:vAlign w:val="center"/>
          </w:tcPr>
          <w:p w14:paraId="56E18559" w14:textId="77777777" w:rsidR="00454A29" w:rsidRDefault="00454A29">
            <w:pPr>
              <w:pStyle w:val="ConsPlusNormal"/>
            </w:pPr>
          </w:p>
        </w:tc>
        <w:tc>
          <w:tcPr>
            <w:tcW w:w="1814" w:type="dxa"/>
            <w:vAlign w:val="center"/>
          </w:tcPr>
          <w:p w14:paraId="24C588BE" w14:textId="77777777" w:rsidR="00454A29" w:rsidRDefault="00454A29">
            <w:pPr>
              <w:pStyle w:val="ConsPlusNormal"/>
            </w:pPr>
          </w:p>
        </w:tc>
      </w:tr>
      <w:tr w:rsidR="00454A29" w14:paraId="25CF90D9" w14:textId="77777777">
        <w:tc>
          <w:tcPr>
            <w:tcW w:w="567" w:type="dxa"/>
            <w:vMerge/>
          </w:tcPr>
          <w:p w14:paraId="42E03B61" w14:textId="77777777" w:rsidR="00454A29" w:rsidRDefault="00454A29"/>
        </w:tc>
        <w:tc>
          <w:tcPr>
            <w:tcW w:w="3345" w:type="dxa"/>
            <w:vMerge/>
          </w:tcPr>
          <w:p w14:paraId="2F52C5F1" w14:textId="77777777" w:rsidR="00454A29" w:rsidRDefault="00454A29"/>
        </w:tc>
        <w:tc>
          <w:tcPr>
            <w:tcW w:w="1701" w:type="dxa"/>
            <w:vAlign w:val="center"/>
          </w:tcPr>
          <w:p w14:paraId="15806FE4" w14:textId="77777777" w:rsidR="00454A29" w:rsidRDefault="00454A29">
            <w:pPr>
              <w:pStyle w:val="ConsPlusNormal"/>
              <w:jc w:val="center"/>
            </w:pPr>
            <w:r>
              <w:t>2023</w:t>
            </w:r>
          </w:p>
        </w:tc>
        <w:tc>
          <w:tcPr>
            <w:tcW w:w="1417" w:type="dxa"/>
            <w:vMerge/>
          </w:tcPr>
          <w:p w14:paraId="7B514049" w14:textId="77777777" w:rsidR="00454A29" w:rsidRDefault="00454A29"/>
        </w:tc>
        <w:tc>
          <w:tcPr>
            <w:tcW w:w="2204" w:type="dxa"/>
            <w:vMerge/>
          </w:tcPr>
          <w:p w14:paraId="771C3524" w14:textId="77777777" w:rsidR="00454A29" w:rsidRDefault="00454A29"/>
        </w:tc>
        <w:tc>
          <w:tcPr>
            <w:tcW w:w="1417" w:type="dxa"/>
            <w:vMerge/>
          </w:tcPr>
          <w:p w14:paraId="102F9367" w14:textId="77777777" w:rsidR="00454A29" w:rsidRDefault="00454A29"/>
        </w:tc>
        <w:tc>
          <w:tcPr>
            <w:tcW w:w="2324" w:type="dxa"/>
            <w:vMerge/>
          </w:tcPr>
          <w:p w14:paraId="0C368A7F" w14:textId="77777777" w:rsidR="00454A29" w:rsidRDefault="00454A29"/>
        </w:tc>
        <w:tc>
          <w:tcPr>
            <w:tcW w:w="1701" w:type="dxa"/>
            <w:vAlign w:val="center"/>
          </w:tcPr>
          <w:p w14:paraId="236BE6D5" w14:textId="77777777" w:rsidR="00454A29" w:rsidRDefault="00454A29">
            <w:pPr>
              <w:pStyle w:val="ConsPlusNormal"/>
            </w:pPr>
          </w:p>
        </w:tc>
        <w:tc>
          <w:tcPr>
            <w:tcW w:w="1814" w:type="dxa"/>
            <w:vAlign w:val="center"/>
          </w:tcPr>
          <w:p w14:paraId="7D8331CC" w14:textId="77777777" w:rsidR="00454A29" w:rsidRDefault="00454A29">
            <w:pPr>
              <w:pStyle w:val="ConsPlusNormal"/>
            </w:pPr>
          </w:p>
        </w:tc>
        <w:tc>
          <w:tcPr>
            <w:tcW w:w="1701" w:type="dxa"/>
            <w:vAlign w:val="center"/>
          </w:tcPr>
          <w:p w14:paraId="2D1A56B2" w14:textId="77777777" w:rsidR="00454A29" w:rsidRDefault="00454A29">
            <w:pPr>
              <w:pStyle w:val="ConsPlusNormal"/>
            </w:pPr>
          </w:p>
        </w:tc>
        <w:tc>
          <w:tcPr>
            <w:tcW w:w="1701" w:type="dxa"/>
            <w:vAlign w:val="center"/>
          </w:tcPr>
          <w:p w14:paraId="667CC09B" w14:textId="77777777" w:rsidR="00454A29" w:rsidRDefault="00454A29">
            <w:pPr>
              <w:pStyle w:val="ConsPlusNormal"/>
            </w:pPr>
          </w:p>
        </w:tc>
        <w:tc>
          <w:tcPr>
            <w:tcW w:w="1814" w:type="dxa"/>
            <w:vAlign w:val="center"/>
          </w:tcPr>
          <w:p w14:paraId="5AF5E142" w14:textId="77777777" w:rsidR="00454A29" w:rsidRDefault="00454A29">
            <w:pPr>
              <w:pStyle w:val="ConsPlusNormal"/>
            </w:pPr>
          </w:p>
        </w:tc>
      </w:tr>
      <w:tr w:rsidR="00454A29" w14:paraId="6A407F0C" w14:textId="77777777">
        <w:tc>
          <w:tcPr>
            <w:tcW w:w="567" w:type="dxa"/>
            <w:vMerge/>
          </w:tcPr>
          <w:p w14:paraId="26F48F94" w14:textId="77777777" w:rsidR="00454A29" w:rsidRDefault="00454A29"/>
        </w:tc>
        <w:tc>
          <w:tcPr>
            <w:tcW w:w="3345" w:type="dxa"/>
            <w:vMerge/>
          </w:tcPr>
          <w:p w14:paraId="0F34E3D4" w14:textId="77777777" w:rsidR="00454A29" w:rsidRDefault="00454A29"/>
        </w:tc>
        <w:tc>
          <w:tcPr>
            <w:tcW w:w="1701" w:type="dxa"/>
            <w:vAlign w:val="center"/>
          </w:tcPr>
          <w:p w14:paraId="7B15054B" w14:textId="77777777" w:rsidR="00454A29" w:rsidRDefault="00454A29">
            <w:pPr>
              <w:pStyle w:val="ConsPlusNormal"/>
              <w:jc w:val="center"/>
            </w:pPr>
            <w:r>
              <w:t>2024</w:t>
            </w:r>
          </w:p>
        </w:tc>
        <w:tc>
          <w:tcPr>
            <w:tcW w:w="1417" w:type="dxa"/>
            <w:vMerge/>
          </w:tcPr>
          <w:p w14:paraId="707900CF" w14:textId="77777777" w:rsidR="00454A29" w:rsidRDefault="00454A29"/>
        </w:tc>
        <w:tc>
          <w:tcPr>
            <w:tcW w:w="2204" w:type="dxa"/>
            <w:vMerge/>
          </w:tcPr>
          <w:p w14:paraId="6D20FB0F" w14:textId="77777777" w:rsidR="00454A29" w:rsidRDefault="00454A29"/>
        </w:tc>
        <w:tc>
          <w:tcPr>
            <w:tcW w:w="1417" w:type="dxa"/>
            <w:vMerge/>
          </w:tcPr>
          <w:p w14:paraId="254C6403" w14:textId="77777777" w:rsidR="00454A29" w:rsidRDefault="00454A29"/>
        </w:tc>
        <w:tc>
          <w:tcPr>
            <w:tcW w:w="2324" w:type="dxa"/>
            <w:vMerge/>
          </w:tcPr>
          <w:p w14:paraId="7EA5A0C7" w14:textId="77777777" w:rsidR="00454A29" w:rsidRDefault="00454A29"/>
        </w:tc>
        <w:tc>
          <w:tcPr>
            <w:tcW w:w="1701" w:type="dxa"/>
            <w:vAlign w:val="center"/>
          </w:tcPr>
          <w:p w14:paraId="3315DC64" w14:textId="77777777" w:rsidR="00454A29" w:rsidRDefault="00454A29">
            <w:pPr>
              <w:pStyle w:val="ConsPlusNormal"/>
            </w:pPr>
          </w:p>
        </w:tc>
        <w:tc>
          <w:tcPr>
            <w:tcW w:w="1814" w:type="dxa"/>
            <w:vAlign w:val="center"/>
          </w:tcPr>
          <w:p w14:paraId="68B4C9F5" w14:textId="77777777" w:rsidR="00454A29" w:rsidRDefault="00454A29">
            <w:pPr>
              <w:pStyle w:val="ConsPlusNormal"/>
            </w:pPr>
          </w:p>
        </w:tc>
        <w:tc>
          <w:tcPr>
            <w:tcW w:w="1701" w:type="dxa"/>
            <w:vAlign w:val="center"/>
          </w:tcPr>
          <w:p w14:paraId="7AB4AFD7" w14:textId="77777777" w:rsidR="00454A29" w:rsidRDefault="00454A29">
            <w:pPr>
              <w:pStyle w:val="ConsPlusNormal"/>
            </w:pPr>
          </w:p>
        </w:tc>
        <w:tc>
          <w:tcPr>
            <w:tcW w:w="1701" w:type="dxa"/>
            <w:vAlign w:val="center"/>
          </w:tcPr>
          <w:p w14:paraId="00CAC445" w14:textId="77777777" w:rsidR="00454A29" w:rsidRDefault="00454A29">
            <w:pPr>
              <w:pStyle w:val="ConsPlusNormal"/>
            </w:pPr>
          </w:p>
        </w:tc>
        <w:tc>
          <w:tcPr>
            <w:tcW w:w="1814" w:type="dxa"/>
            <w:vAlign w:val="center"/>
          </w:tcPr>
          <w:p w14:paraId="7DD83399" w14:textId="77777777" w:rsidR="00454A29" w:rsidRDefault="00454A29">
            <w:pPr>
              <w:pStyle w:val="ConsPlusNormal"/>
            </w:pPr>
          </w:p>
        </w:tc>
      </w:tr>
      <w:tr w:rsidR="00454A29" w14:paraId="0B21C376" w14:textId="77777777">
        <w:tc>
          <w:tcPr>
            <w:tcW w:w="567" w:type="dxa"/>
            <w:vMerge/>
          </w:tcPr>
          <w:p w14:paraId="4756EE83" w14:textId="77777777" w:rsidR="00454A29" w:rsidRDefault="00454A29"/>
        </w:tc>
        <w:tc>
          <w:tcPr>
            <w:tcW w:w="3345" w:type="dxa"/>
            <w:vMerge/>
          </w:tcPr>
          <w:p w14:paraId="6D08FACB" w14:textId="77777777" w:rsidR="00454A29" w:rsidRDefault="00454A29"/>
        </w:tc>
        <w:tc>
          <w:tcPr>
            <w:tcW w:w="1701" w:type="dxa"/>
            <w:vAlign w:val="center"/>
          </w:tcPr>
          <w:p w14:paraId="0C8A2A78" w14:textId="77777777" w:rsidR="00454A29" w:rsidRDefault="00454A29">
            <w:pPr>
              <w:pStyle w:val="ConsPlusNormal"/>
              <w:jc w:val="center"/>
            </w:pPr>
            <w:r>
              <w:t>2025</w:t>
            </w:r>
          </w:p>
        </w:tc>
        <w:tc>
          <w:tcPr>
            <w:tcW w:w="1417" w:type="dxa"/>
            <w:vMerge/>
          </w:tcPr>
          <w:p w14:paraId="2B8C06A7" w14:textId="77777777" w:rsidR="00454A29" w:rsidRDefault="00454A29"/>
        </w:tc>
        <w:tc>
          <w:tcPr>
            <w:tcW w:w="2204" w:type="dxa"/>
            <w:vMerge/>
          </w:tcPr>
          <w:p w14:paraId="35E7EBF7" w14:textId="77777777" w:rsidR="00454A29" w:rsidRDefault="00454A29"/>
        </w:tc>
        <w:tc>
          <w:tcPr>
            <w:tcW w:w="1417" w:type="dxa"/>
            <w:vMerge/>
          </w:tcPr>
          <w:p w14:paraId="1D543E85" w14:textId="77777777" w:rsidR="00454A29" w:rsidRDefault="00454A29"/>
        </w:tc>
        <w:tc>
          <w:tcPr>
            <w:tcW w:w="2324" w:type="dxa"/>
            <w:vMerge/>
          </w:tcPr>
          <w:p w14:paraId="43EF3B59" w14:textId="77777777" w:rsidR="00454A29" w:rsidRDefault="00454A29"/>
        </w:tc>
        <w:tc>
          <w:tcPr>
            <w:tcW w:w="1701" w:type="dxa"/>
            <w:vAlign w:val="center"/>
          </w:tcPr>
          <w:p w14:paraId="4BC4A6AA" w14:textId="77777777" w:rsidR="00454A29" w:rsidRDefault="00454A29">
            <w:pPr>
              <w:pStyle w:val="ConsPlusNormal"/>
            </w:pPr>
          </w:p>
        </w:tc>
        <w:tc>
          <w:tcPr>
            <w:tcW w:w="1814" w:type="dxa"/>
            <w:vAlign w:val="center"/>
          </w:tcPr>
          <w:p w14:paraId="523A9FB9" w14:textId="77777777" w:rsidR="00454A29" w:rsidRDefault="00454A29">
            <w:pPr>
              <w:pStyle w:val="ConsPlusNormal"/>
            </w:pPr>
          </w:p>
        </w:tc>
        <w:tc>
          <w:tcPr>
            <w:tcW w:w="1701" w:type="dxa"/>
            <w:vAlign w:val="center"/>
          </w:tcPr>
          <w:p w14:paraId="2E0E5F7D" w14:textId="77777777" w:rsidR="00454A29" w:rsidRDefault="00454A29">
            <w:pPr>
              <w:pStyle w:val="ConsPlusNormal"/>
            </w:pPr>
          </w:p>
        </w:tc>
        <w:tc>
          <w:tcPr>
            <w:tcW w:w="1701" w:type="dxa"/>
            <w:vAlign w:val="center"/>
          </w:tcPr>
          <w:p w14:paraId="78720BBC" w14:textId="77777777" w:rsidR="00454A29" w:rsidRDefault="00454A29">
            <w:pPr>
              <w:pStyle w:val="ConsPlusNormal"/>
            </w:pPr>
          </w:p>
        </w:tc>
        <w:tc>
          <w:tcPr>
            <w:tcW w:w="1814" w:type="dxa"/>
            <w:vAlign w:val="center"/>
          </w:tcPr>
          <w:p w14:paraId="4A391685" w14:textId="77777777" w:rsidR="00454A29" w:rsidRDefault="00454A29">
            <w:pPr>
              <w:pStyle w:val="ConsPlusNormal"/>
            </w:pPr>
          </w:p>
        </w:tc>
      </w:tr>
      <w:tr w:rsidR="00454A29" w14:paraId="142DE7E8" w14:textId="77777777">
        <w:tc>
          <w:tcPr>
            <w:tcW w:w="567" w:type="dxa"/>
            <w:vMerge/>
          </w:tcPr>
          <w:p w14:paraId="295442DC" w14:textId="77777777" w:rsidR="00454A29" w:rsidRDefault="00454A29"/>
        </w:tc>
        <w:tc>
          <w:tcPr>
            <w:tcW w:w="3345" w:type="dxa"/>
            <w:vMerge/>
          </w:tcPr>
          <w:p w14:paraId="2095C638" w14:textId="77777777" w:rsidR="00454A29" w:rsidRDefault="00454A29"/>
        </w:tc>
        <w:tc>
          <w:tcPr>
            <w:tcW w:w="1701" w:type="dxa"/>
            <w:vAlign w:val="center"/>
          </w:tcPr>
          <w:p w14:paraId="2CE21315" w14:textId="77777777" w:rsidR="00454A29" w:rsidRDefault="00454A29">
            <w:pPr>
              <w:pStyle w:val="ConsPlusNormal"/>
              <w:jc w:val="center"/>
            </w:pPr>
            <w:r>
              <w:t>2026</w:t>
            </w:r>
          </w:p>
        </w:tc>
        <w:tc>
          <w:tcPr>
            <w:tcW w:w="1417" w:type="dxa"/>
            <w:vMerge/>
          </w:tcPr>
          <w:p w14:paraId="7802E411" w14:textId="77777777" w:rsidR="00454A29" w:rsidRDefault="00454A29"/>
        </w:tc>
        <w:tc>
          <w:tcPr>
            <w:tcW w:w="2204" w:type="dxa"/>
            <w:vMerge/>
          </w:tcPr>
          <w:p w14:paraId="21F45F68" w14:textId="77777777" w:rsidR="00454A29" w:rsidRDefault="00454A29"/>
        </w:tc>
        <w:tc>
          <w:tcPr>
            <w:tcW w:w="1417" w:type="dxa"/>
            <w:vMerge/>
          </w:tcPr>
          <w:p w14:paraId="36FCDCBE" w14:textId="77777777" w:rsidR="00454A29" w:rsidRDefault="00454A29"/>
        </w:tc>
        <w:tc>
          <w:tcPr>
            <w:tcW w:w="2324" w:type="dxa"/>
            <w:vMerge/>
          </w:tcPr>
          <w:p w14:paraId="1DAD3533" w14:textId="77777777" w:rsidR="00454A29" w:rsidRDefault="00454A29"/>
        </w:tc>
        <w:tc>
          <w:tcPr>
            <w:tcW w:w="1701" w:type="dxa"/>
            <w:vAlign w:val="center"/>
          </w:tcPr>
          <w:p w14:paraId="18DEA6A5" w14:textId="77777777" w:rsidR="00454A29" w:rsidRDefault="00454A29">
            <w:pPr>
              <w:pStyle w:val="ConsPlusNormal"/>
              <w:jc w:val="center"/>
            </w:pPr>
            <w:r>
              <w:t>362 527,85</w:t>
            </w:r>
          </w:p>
        </w:tc>
        <w:tc>
          <w:tcPr>
            <w:tcW w:w="1814" w:type="dxa"/>
            <w:vAlign w:val="center"/>
          </w:tcPr>
          <w:p w14:paraId="30ABB580" w14:textId="77777777" w:rsidR="00454A29" w:rsidRDefault="00454A29">
            <w:pPr>
              <w:pStyle w:val="ConsPlusNormal"/>
              <w:jc w:val="center"/>
            </w:pPr>
            <w:r>
              <w:t>3 625,28</w:t>
            </w:r>
          </w:p>
        </w:tc>
        <w:tc>
          <w:tcPr>
            <w:tcW w:w="1701" w:type="dxa"/>
            <w:vAlign w:val="center"/>
          </w:tcPr>
          <w:p w14:paraId="465EB3C2" w14:textId="77777777" w:rsidR="00454A29" w:rsidRDefault="00454A29">
            <w:pPr>
              <w:pStyle w:val="ConsPlusNormal"/>
              <w:jc w:val="center"/>
            </w:pPr>
            <w:r>
              <w:t>358 902,57</w:t>
            </w:r>
          </w:p>
        </w:tc>
        <w:tc>
          <w:tcPr>
            <w:tcW w:w="1701" w:type="dxa"/>
            <w:vAlign w:val="center"/>
          </w:tcPr>
          <w:p w14:paraId="3A230586" w14:textId="77777777" w:rsidR="00454A29" w:rsidRDefault="00454A29">
            <w:pPr>
              <w:pStyle w:val="ConsPlusNormal"/>
            </w:pPr>
          </w:p>
        </w:tc>
        <w:tc>
          <w:tcPr>
            <w:tcW w:w="1814" w:type="dxa"/>
            <w:vAlign w:val="center"/>
          </w:tcPr>
          <w:p w14:paraId="6C97BCAB" w14:textId="77777777" w:rsidR="00454A29" w:rsidRDefault="00454A29">
            <w:pPr>
              <w:pStyle w:val="ConsPlusNormal"/>
            </w:pPr>
          </w:p>
        </w:tc>
      </w:tr>
      <w:tr w:rsidR="00454A29" w14:paraId="0D9A8812" w14:textId="77777777">
        <w:tc>
          <w:tcPr>
            <w:tcW w:w="567" w:type="dxa"/>
            <w:vMerge w:val="restart"/>
            <w:vAlign w:val="center"/>
          </w:tcPr>
          <w:p w14:paraId="40266574" w14:textId="77777777" w:rsidR="00454A29" w:rsidRDefault="00454A29">
            <w:pPr>
              <w:pStyle w:val="ConsPlusNormal"/>
              <w:jc w:val="center"/>
            </w:pPr>
            <w:r>
              <w:t>47</w:t>
            </w:r>
          </w:p>
        </w:tc>
        <w:tc>
          <w:tcPr>
            <w:tcW w:w="3345" w:type="dxa"/>
            <w:vMerge w:val="restart"/>
            <w:vAlign w:val="center"/>
          </w:tcPr>
          <w:p w14:paraId="1C0EF97F" w14:textId="77777777" w:rsidR="00454A29" w:rsidRDefault="00454A29">
            <w:pPr>
              <w:pStyle w:val="ConsPlusNormal"/>
              <w:jc w:val="center"/>
            </w:pPr>
            <w:r>
              <w:t>Школа на 90 учащихся в с. Кюбяинде</w:t>
            </w:r>
          </w:p>
        </w:tc>
        <w:tc>
          <w:tcPr>
            <w:tcW w:w="1701" w:type="dxa"/>
            <w:vAlign w:val="center"/>
          </w:tcPr>
          <w:p w14:paraId="05863543" w14:textId="77777777" w:rsidR="00454A29" w:rsidRDefault="00454A29">
            <w:pPr>
              <w:pStyle w:val="ConsPlusNormal"/>
              <w:jc w:val="center"/>
            </w:pPr>
            <w:r>
              <w:t>2020 - 2026 годы - всего</w:t>
            </w:r>
          </w:p>
        </w:tc>
        <w:tc>
          <w:tcPr>
            <w:tcW w:w="1417" w:type="dxa"/>
            <w:vMerge w:val="restart"/>
            <w:vAlign w:val="center"/>
          </w:tcPr>
          <w:p w14:paraId="08B600B1" w14:textId="77777777" w:rsidR="00454A29" w:rsidRDefault="00454A29">
            <w:pPr>
              <w:pStyle w:val="ConsPlusNormal"/>
              <w:jc w:val="center"/>
            </w:pPr>
            <w:r>
              <w:t>331 042,08</w:t>
            </w:r>
          </w:p>
        </w:tc>
        <w:tc>
          <w:tcPr>
            <w:tcW w:w="2204" w:type="dxa"/>
            <w:vMerge w:val="restart"/>
            <w:vAlign w:val="center"/>
          </w:tcPr>
          <w:p w14:paraId="4945465D" w14:textId="77777777" w:rsidR="00454A29" w:rsidRDefault="00454A29">
            <w:pPr>
              <w:pStyle w:val="ConsPlusNormal"/>
            </w:pPr>
          </w:p>
        </w:tc>
        <w:tc>
          <w:tcPr>
            <w:tcW w:w="1417" w:type="dxa"/>
            <w:vMerge w:val="restart"/>
            <w:vAlign w:val="center"/>
          </w:tcPr>
          <w:p w14:paraId="01A9433E" w14:textId="77777777" w:rsidR="00454A29" w:rsidRDefault="00454A29">
            <w:pPr>
              <w:pStyle w:val="ConsPlusNormal"/>
              <w:jc w:val="center"/>
            </w:pPr>
            <w:r>
              <w:t>90</w:t>
            </w:r>
          </w:p>
        </w:tc>
        <w:tc>
          <w:tcPr>
            <w:tcW w:w="2324" w:type="dxa"/>
            <w:vMerge w:val="restart"/>
            <w:vAlign w:val="center"/>
          </w:tcPr>
          <w:p w14:paraId="558552C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6C4768D" w14:textId="77777777" w:rsidR="00454A29" w:rsidRDefault="00454A29">
            <w:pPr>
              <w:pStyle w:val="ConsPlusNormal"/>
              <w:jc w:val="center"/>
            </w:pPr>
            <w:r>
              <w:t>331 042,08</w:t>
            </w:r>
          </w:p>
        </w:tc>
        <w:tc>
          <w:tcPr>
            <w:tcW w:w="1814" w:type="dxa"/>
            <w:vAlign w:val="center"/>
          </w:tcPr>
          <w:p w14:paraId="6A04EC9E" w14:textId="77777777" w:rsidR="00454A29" w:rsidRDefault="00454A29">
            <w:pPr>
              <w:pStyle w:val="ConsPlusNormal"/>
              <w:jc w:val="center"/>
            </w:pPr>
            <w:r>
              <w:t>4 078,44</w:t>
            </w:r>
          </w:p>
        </w:tc>
        <w:tc>
          <w:tcPr>
            <w:tcW w:w="1701" w:type="dxa"/>
            <w:vAlign w:val="center"/>
          </w:tcPr>
          <w:p w14:paraId="59F64ABB" w14:textId="77777777" w:rsidR="00454A29" w:rsidRDefault="00454A29">
            <w:pPr>
              <w:pStyle w:val="ConsPlusNormal"/>
              <w:jc w:val="center"/>
            </w:pPr>
            <w:r>
              <w:t>403 765,41</w:t>
            </w:r>
          </w:p>
        </w:tc>
        <w:tc>
          <w:tcPr>
            <w:tcW w:w="1701" w:type="dxa"/>
            <w:vAlign w:val="center"/>
          </w:tcPr>
          <w:p w14:paraId="589DBFE6" w14:textId="77777777" w:rsidR="00454A29" w:rsidRDefault="00454A29">
            <w:pPr>
              <w:pStyle w:val="ConsPlusNormal"/>
              <w:jc w:val="center"/>
            </w:pPr>
            <w:r>
              <w:t>-</w:t>
            </w:r>
          </w:p>
        </w:tc>
        <w:tc>
          <w:tcPr>
            <w:tcW w:w="1814" w:type="dxa"/>
            <w:vAlign w:val="center"/>
          </w:tcPr>
          <w:p w14:paraId="36D7BDD6" w14:textId="77777777" w:rsidR="00454A29" w:rsidRDefault="00454A29">
            <w:pPr>
              <w:pStyle w:val="ConsPlusNormal"/>
              <w:jc w:val="center"/>
            </w:pPr>
            <w:r>
              <w:t>-</w:t>
            </w:r>
          </w:p>
        </w:tc>
      </w:tr>
      <w:tr w:rsidR="00454A29" w14:paraId="7BA622CE" w14:textId="77777777">
        <w:tc>
          <w:tcPr>
            <w:tcW w:w="567" w:type="dxa"/>
            <w:vMerge/>
          </w:tcPr>
          <w:p w14:paraId="7C62DF65" w14:textId="77777777" w:rsidR="00454A29" w:rsidRDefault="00454A29"/>
        </w:tc>
        <w:tc>
          <w:tcPr>
            <w:tcW w:w="3345" w:type="dxa"/>
            <w:vMerge/>
          </w:tcPr>
          <w:p w14:paraId="7821231E" w14:textId="77777777" w:rsidR="00454A29" w:rsidRDefault="00454A29"/>
        </w:tc>
        <w:tc>
          <w:tcPr>
            <w:tcW w:w="1701" w:type="dxa"/>
            <w:vAlign w:val="center"/>
          </w:tcPr>
          <w:p w14:paraId="2A4D38CD" w14:textId="77777777" w:rsidR="00454A29" w:rsidRDefault="00454A29">
            <w:pPr>
              <w:pStyle w:val="ConsPlusNormal"/>
              <w:jc w:val="center"/>
            </w:pPr>
            <w:r>
              <w:t>2020</w:t>
            </w:r>
          </w:p>
        </w:tc>
        <w:tc>
          <w:tcPr>
            <w:tcW w:w="1417" w:type="dxa"/>
            <w:vMerge/>
          </w:tcPr>
          <w:p w14:paraId="6F88D089" w14:textId="77777777" w:rsidR="00454A29" w:rsidRDefault="00454A29"/>
        </w:tc>
        <w:tc>
          <w:tcPr>
            <w:tcW w:w="2204" w:type="dxa"/>
            <w:vMerge/>
          </w:tcPr>
          <w:p w14:paraId="6EB4FD38" w14:textId="77777777" w:rsidR="00454A29" w:rsidRDefault="00454A29"/>
        </w:tc>
        <w:tc>
          <w:tcPr>
            <w:tcW w:w="1417" w:type="dxa"/>
            <w:vMerge/>
          </w:tcPr>
          <w:p w14:paraId="30634B73" w14:textId="77777777" w:rsidR="00454A29" w:rsidRDefault="00454A29"/>
        </w:tc>
        <w:tc>
          <w:tcPr>
            <w:tcW w:w="2324" w:type="dxa"/>
            <w:vMerge/>
          </w:tcPr>
          <w:p w14:paraId="6C52493A" w14:textId="77777777" w:rsidR="00454A29" w:rsidRDefault="00454A29"/>
        </w:tc>
        <w:tc>
          <w:tcPr>
            <w:tcW w:w="1701" w:type="dxa"/>
            <w:vAlign w:val="center"/>
          </w:tcPr>
          <w:p w14:paraId="2BD016BB" w14:textId="77777777" w:rsidR="00454A29" w:rsidRDefault="00454A29">
            <w:pPr>
              <w:pStyle w:val="ConsPlusNormal"/>
            </w:pPr>
          </w:p>
        </w:tc>
        <w:tc>
          <w:tcPr>
            <w:tcW w:w="1814" w:type="dxa"/>
            <w:vAlign w:val="center"/>
          </w:tcPr>
          <w:p w14:paraId="6904C3B2" w14:textId="77777777" w:rsidR="00454A29" w:rsidRDefault="00454A29">
            <w:pPr>
              <w:pStyle w:val="ConsPlusNormal"/>
            </w:pPr>
          </w:p>
        </w:tc>
        <w:tc>
          <w:tcPr>
            <w:tcW w:w="1701" w:type="dxa"/>
            <w:vAlign w:val="center"/>
          </w:tcPr>
          <w:p w14:paraId="76D4739B" w14:textId="77777777" w:rsidR="00454A29" w:rsidRDefault="00454A29">
            <w:pPr>
              <w:pStyle w:val="ConsPlusNormal"/>
            </w:pPr>
          </w:p>
        </w:tc>
        <w:tc>
          <w:tcPr>
            <w:tcW w:w="1701" w:type="dxa"/>
            <w:vAlign w:val="center"/>
          </w:tcPr>
          <w:p w14:paraId="4F63E962" w14:textId="77777777" w:rsidR="00454A29" w:rsidRDefault="00454A29">
            <w:pPr>
              <w:pStyle w:val="ConsPlusNormal"/>
            </w:pPr>
          </w:p>
        </w:tc>
        <w:tc>
          <w:tcPr>
            <w:tcW w:w="1814" w:type="dxa"/>
            <w:vAlign w:val="center"/>
          </w:tcPr>
          <w:p w14:paraId="46FD39FB" w14:textId="77777777" w:rsidR="00454A29" w:rsidRDefault="00454A29">
            <w:pPr>
              <w:pStyle w:val="ConsPlusNormal"/>
            </w:pPr>
          </w:p>
        </w:tc>
      </w:tr>
      <w:tr w:rsidR="00454A29" w14:paraId="60EF214B" w14:textId="77777777">
        <w:tc>
          <w:tcPr>
            <w:tcW w:w="567" w:type="dxa"/>
            <w:vMerge/>
          </w:tcPr>
          <w:p w14:paraId="2F9223C3" w14:textId="77777777" w:rsidR="00454A29" w:rsidRDefault="00454A29"/>
        </w:tc>
        <w:tc>
          <w:tcPr>
            <w:tcW w:w="3345" w:type="dxa"/>
            <w:vMerge/>
          </w:tcPr>
          <w:p w14:paraId="1472AB1C" w14:textId="77777777" w:rsidR="00454A29" w:rsidRDefault="00454A29"/>
        </w:tc>
        <w:tc>
          <w:tcPr>
            <w:tcW w:w="1701" w:type="dxa"/>
            <w:vAlign w:val="center"/>
          </w:tcPr>
          <w:p w14:paraId="0E1B1EA7" w14:textId="77777777" w:rsidR="00454A29" w:rsidRDefault="00454A29">
            <w:pPr>
              <w:pStyle w:val="ConsPlusNormal"/>
              <w:jc w:val="center"/>
            </w:pPr>
            <w:r>
              <w:t>2021</w:t>
            </w:r>
          </w:p>
        </w:tc>
        <w:tc>
          <w:tcPr>
            <w:tcW w:w="1417" w:type="dxa"/>
            <w:vMerge/>
          </w:tcPr>
          <w:p w14:paraId="4173991A" w14:textId="77777777" w:rsidR="00454A29" w:rsidRDefault="00454A29"/>
        </w:tc>
        <w:tc>
          <w:tcPr>
            <w:tcW w:w="2204" w:type="dxa"/>
            <w:vMerge/>
          </w:tcPr>
          <w:p w14:paraId="0AC54946" w14:textId="77777777" w:rsidR="00454A29" w:rsidRDefault="00454A29"/>
        </w:tc>
        <w:tc>
          <w:tcPr>
            <w:tcW w:w="1417" w:type="dxa"/>
            <w:vMerge/>
          </w:tcPr>
          <w:p w14:paraId="4D98B934" w14:textId="77777777" w:rsidR="00454A29" w:rsidRDefault="00454A29"/>
        </w:tc>
        <w:tc>
          <w:tcPr>
            <w:tcW w:w="2324" w:type="dxa"/>
            <w:vMerge/>
          </w:tcPr>
          <w:p w14:paraId="7705D142" w14:textId="77777777" w:rsidR="00454A29" w:rsidRDefault="00454A29"/>
        </w:tc>
        <w:tc>
          <w:tcPr>
            <w:tcW w:w="1701" w:type="dxa"/>
            <w:vAlign w:val="center"/>
          </w:tcPr>
          <w:p w14:paraId="3539DB38" w14:textId="77777777" w:rsidR="00454A29" w:rsidRDefault="00454A29">
            <w:pPr>
              <w:pStyle w:val="ConsPlusNormal"/>
            </w:pPr>
          </w:p>
        </w:tc>
        <w:tc>
          <w:tcPr>
            <w:tcW w:w="1814" w:type="dxa"/>
            <w:vAlign w:val="center"/>
          </w:tcPr>
          <w:p w14:paraId="079BD222" w14:textId="77777777" w:rsidR="00454A29" w:rsidRDefault="00454A29">
            <w:pPr>
              <w:pStyle w:val="ConsPlusNormal"/>
            </w:pPr>
          </w:p>
        </w:tc>
        <w:tc>
          <w:tcPr>
            <w:tcW w:w="1701" w:type="dxa"/>
            <w:vAlign w:val="center"/>
          </w:tcPr>
          <w:p w14:paraId="7FD90D35" w14:textId="77777777" w:rsidR="00454A29" w:rsidRDefault="00454A29">
            <w:pPr>
              <w:pStyle w:val="ConsPlusNormal"/>
            </w:pPr>
          </w:p>
        </w:tc>
        <w:tc>
          <w:tcPr>
            <w:tcW w:w="1701" w:type="dxa"/>
            <w:vAlign w:val="center"/>
          </w:tcPr>
          <w:p w14:paraId="44DCA68F" w14:textId="77777777" w:rsidR="00454A29" w:rsidRDefault="00454A29">
            <w:pPr>
              <w:pStyle w:val="ConsPlusNormal"/>
            </w:pPr>
          </w:p>
        </w:tc>
        <w:tc>
          <w:tcPr>
            <w:tcW w:w="1814" w:type="dxa"/>
            <w:vAlign w:val="center"/>
          </w:tcPr>
          <w:p w14:paraId="5FEEA2F9" w14:textId="77777777" w:rsidR="00454A29" w:rsidRDefault="00454A29">
            <w:pPr>
              <w:pStyle w:val="ConsPlusNormal"/>
            </w:pPr>
          </w:p>
        </w:tc>
      </w:tr>
      <w:tr w:rsidR="00454A29" w14:paraId="3DDC5432" w14:textId="77777777">
        <w:tc>
          <w:tcPr>
            <w:tcW w:w="567" w:type="dxa"/>
            <w:vMerge/>
          </w:tcPr>
          <w:p w14:paraId="50DD173B" w14:textId="77777777" w:rsidR="00454A29" w:rsidRDefault="00454A29"/>
        </w:tc>
        <w:tc>
          <w:tcPr>
            <w:tcW w:w="3345" w:type="dxa"/>
            <w:vMerge/>
          </w:tcPr>
          <w:p w14:paraId="4CD11C3B" w14:textId="77777777" w:rsidR="00454A29" w:rsidRDefault="00454A29"/>
        </w:tc>
        <w:tc>
          <w:tcPr>
            <w:tcW w:w="1701" w:type="dxa"/>
            <w:vAlign w:val="center"/>
          </w:tcPr>
          <w:p w14:paraId="0D34EF8F" w14:textId="77777777" w:rsidR="00454A29" w:rsidRDefault="00454A29">
            <w:pPr>
              <w:pStyle w:val="ConsPlusNormal"/>
              <w:jc w:val="center"/>
            </w:pPr>
            <w:r>
              <w:t>2022</w:t>
            </w:r>
          </w:p>
        </w:tc>
        <w:tc>
          <w:tcPr>
            <w:tcW w:w="1417" w:type="dxa"/>
            <w:vMerge/>
          </w:tcPr>
          <w:p w14:paraId="42D6F88C" w14:textId="77777777" w:rsidR="00454A29" w:rsidRDefault="00454A29"/>
        </w:tc>
        <w:tc>
          <w:tcPr>
            <w:tcW w:w="2204" w:type="dxa"/>
            <w:vMerge/>
          </w:tcPr>
          <w:p w14:paraId="4C09E428" w14:textId="77777777" w:rsidR="00454A29" w:rsidRDefault="00454A29"/>
        </w:tc>
        <w:tc>
          <w:tcPr>
            <w:tcW w:w="1417" w:type="dxa"/>
            <w:vMerge/>
          </w:tcPr>
          <w:p w14:paraId="3282AF72" w14:textId="77777777" w:rsidR="00454A29" w:rsidRDefault="00454A29"/>
        </w:tc>
        <w:tc>
          <w:tcPr>
            <w:tcW w:w="2324" w:type="dxa"/>
            <w:vMerge/>
          </w:tcPr>
          <w:p w14:paraId="5A9164E1" w14:textId="77777777" w:rsidR="00454A29" w:rsidRDefault="00454A29"/>
        </w:tc>
        <w:tc>
          <w:tcPr>
            <w:tcW w:w="1701" w:type="dxa"/>
            <w:vAlign w:val="center"/>
          </w:tcPr>
          <w:p w14:paraId="16D7FBFC" w14:textId="77777777" w:rsidR="00454A29" w:rsidRDefault="00454A29">
            <w:pPr>
              <w:pStyle w:val="ConsPlusNormal"/>
            </w:pPr>
          </w:p>
        </w:tc>
        <w:tc>
          <w:tcPr>
            <w:tcW w:w="1814" w:type="dxa"/>
            <w:vAlign w:val="center"/>
          </w:tcPr>
          <w:p w14:paraId="76EAA9C4" w14:textId="77777777" w:rsidR="00454A29" w:rsidRDefault="00454A29">
            <w:pPr>
              <w:pStyle w:val="ConsPlusNormal"/>
            </w:pPr>
          </w:p>
        </w:tc>
        <w:tc>
          <w:tcPr>
            <w:tcW w:w="1701" w:type="dxa"/>
            <w:vAlign w:val="center"/>
          </w:tcPr>
          <w:p w14:paraId="237FBF63" w14:textId="77777777" w:rsidR="00454A29" w:rsidRDefault="00454A29">
            <w:pPr>
              <w:pStyle w:val="ConsPlusNormal"/>
            </w:pPr>
          </w:p>
        </w:tc>
        <w:tc>
          <w:tcPr>
            <w:tcW w:w="1701" w:type="dxa"/>
            <w:vAlign w:val="center"/>
          </w:tcPr>
          <w:p w14:paraId="76DE041D" w14:textId="77777777" w:rsidR="00454A29" w:rsidRDefault="00454A29">
            <w:pPr>
              <w:pStyle w:val="ConsPlusNormal"/>
            </w:pPr>
          </w:p>
        </w:tc>
        <w:tc>
          <w:tcPr>
            <w:tcW w:w="1814" w:type="dxa"/>
            <w:vAlign w:val="center"/>
          </w:tcPr>
          <w:p w14:paraId="3E50D3DB" w14:textId="77777777" w:rsidR="00454A29" w:rsidRDefault="00454A29">
            <w:pPr>
              <w:pStyle w:val="ConsPlusNormal"/>
            </w:pPr>
          </w:p>
        </w:tc>
      </w:tr>
      <w:tr w:rsidR="00454A29" w14:paraId="1C644F53" w14:textId="77777777">
        <w:tc>
          <w:tcPr>
            <w:tcW w:w="567" w:type="dxa"/>
            <w:vMerge/>
          </w:tcPr>
          <w:p w14:paraId="4896E19F" w14:textId="77777777" w:rsidR="00454A29" w:rsidRDefault="00454A29"/>
        </w:tc>
        <w:tc>
          <w:tcPr>
            <w:tcW w:w="3345" w:type="dxa"/>
            <w:vMerge/>
          </w:tcPr>
          <w:p w14:paraId="5F5A7A56" w14:textId="77777777" w:rsidR="00454A29" w:rsidRDefault="00454A29"/>
        </w:tc>
        <w:tc>
          <w:tcPr>
            <w:tcW w:w="1701" w:type="dxa"/>
            <w:vAlign w:val="center"/>
          </w:tcPr>
          <w:p w14:paraId="2D140C76" w14:textId="77777777" w:rsidR="00454A29" w:rsidRDefault="00454A29">
            <w:pPr>
              <w:pStyle w:val="ConsPlusNormal"/>
              <w:jc w:val="center"/>
            </w:pPr>
            <w:r>
              <w:t>2023</w:t>
            </w:r>
          </w:p>
        </w:tc>
        <w:tc>
          <w:tcPr>
            <w:tcW w:w="1417" w:type="dxa"/>
            <w:vMerge/>
          </w:tcPr>
          <w:p w14:paraId="752ECED3" w14:textId="77777777" w:rsidR="00454A29" w:rsidRDefault="00454A29"/>
        </w:tc>
        <w:tc>
          <w:tcPr>
            <w:tcW w:w="2204" w:type="dxa"/>
            <w:vMerge/>
          </w:tcPr>
          <w:p w14:paraId="1FC16B31" w14:textId="77777777" w:rsidR="00454A29" w:rsidRDefault="00454A29"/>
        </w:tc>
        <w:tc>
          <w:tcPr>
            <w:tcW w:w="1417" w:type="dxa"/>
            <w:vMerge/>
          </w:tcPr>
          <w:p w14:paraId="5A39F810" w14:textId="77777777" w:rsidR="00454A29" w:rsidRDefault="00454A29"/>
        </w:tc>
        <w:tc>
          <w:tcPr>
            <w:tcW w:w="2324" w:type="dxa"/>
            <w:vMerge/>
          </w:tcPr>
          <w:p w14:paraId="7CEE5FAA" w14:textId="77777777" w:rsidR="00454A29" w:rsidRDefault="00454A29"/>
        </w:tc>
        <w:tc>
          <w:tcPr>
            <w:tcW w:w="1701" w:type="dxa"/>
            <w:vAlign w:val="center"/>
          </w:tcPr>
          <w:p w14:paraId="5FD90580" w14:textId="77777777" w:rsidR="00454A29" w:rsidRDefault="00454A29">
            <w:pPr>
              <w:pStyle w:val="ConsPlusNormal"/>
            </w:pPr>
          </w:p>
        </w:tc>
        <w:tc>
          <w:tcPr>
            <w:tcW w:w="1814" w:type="dxa"/>
            <w:vAlign w:val="center"/>
          </w:tcPr>
          <w:p w14:paraId="23B4EC5F" w14:textId="77777777" w:rsidR="00454A29" w:rsidRDefault="00454A29">
            <w:pPr>
              <w:pStyle w:val="ConsPlusNormal"/>
            </w:pPr>
          </w:p>
        </w:tc>
        <w:tc>
          <w:tcPr>
            <w:tcW w:w="1701" w:type="dxa"/>
            <w:vAlign w:val="center"/>
          </w:tcPr>
          <w:p w14:paraId="6EDCCF6D" w14:textId="77777777" w:rsidR="00454A29" w:rsidRDefault="00454A29">
            <w:pPr>
              <w:pStyle w:val="ConsPlusNormal"/>
            </w:pPr>
          </w:p>
        </w:tc>
        <w:tc>
          <w:tcPr>
            <w:tcW w:w="1701" w:type="dxa"/>
            <w:vAlign w:val="center"/>
          </w:tcPr>
          <w:p w14:paraId="280E7D6A" w14:textId="77777777" w:rsidR="00454A29" w:rsidRDefault="00454A29">
            <w:pPr>
              <w:pStyle w:val="ConsPlusNormal"/>
            </w:pPr>
          </w:p>
        </w:tc>
        <w:tc>
          <w:tcPr>
            <w:tcW w:w="1814" w:type="dxa"/>
            <w:vAlign w:val="center"/>
          </w:tcPr>
          <w:p w14:paraId="4EEE05E0" w14:textId="77777777" w:rsidR="00454A29" w:rsidRDefault="00454A29">
            <w:pPr>
              <w:pStyle w:val="ConsPlusNormal"/>
            </w:pPr>
          </w:p>
        </w:tc>
      </w:tr>
      <w:tr w:rsidR="00454A29" w14:paraId="14642098" w14:textId="77777777">
        <w:tc>
          <w:tcPr>
            <w:tcW w:w="567" w:type="dxa"/>
            <w:vMerge/>
          </w:tcPr>
          <w:p w14:paraId="4F43DAAC" w14:textId="77777777" w:rsidR="00454A29" w:rsidRDefault="00454A29"/>
        </w:tc>
        <w:tc>
          <w:tcPr>
            <w:tcW w:w="3345" w:type="dxa"/>
            <w:vMerge/>
          </w:tcPr>
          <w:p w14:paraId="7928E92C" w14:textId="77777777" w:rsidR="00454A29" w:rsidRDefault="00454A29"/>
        </w:tc>
        <w:tc>
          <w:tcPr>
            <w:tcW w:w="1701" w:type="dxa"/>
            <w:vAlign w:val="center"/>
          </w:tcPr>
          <w:p w14:paraId="31864462" w14:textId="77777777" w:rsidR="00454A29" w:rsidRDefault="00454A29">
            <w:pPr>
              <w:pStyle w:val="ConsPlusNormal"/>
              <w:jc w:val="center"/>
            </w:pPr>
            <w:r>
              <w:t>2024</w:t>
            </w:r>
          </w:p>
        </w:tc>
        <w:tc>
          <w:tcPr>
            <w:tcW w:w="1417" w:type="dxa"/>
            <w:vMerge/>
          </w:tcPr>
          <w:p w14:paraId="06FA1FC6" w14:textId="77777777" w:rsidR="00454A29" w:rsidRDefault="00454A29"/>
        </w:tc>
        <w:tc>
          <w:tcPr>
            <w:tcW w:w="2204" w:type="dxa"/>
            <w:vMerge/>
          </w:tcPr>
          <w:p w14:paraId="44A19CF0" w14:textId="77777777" w:rsidR="00454A29" w:rsidRDefault="00454A29"/>
        </w:tc>
        <w:tc>
          <w:tcPr>
            <w:tcW w:w="1417" w:type="dxa"/>
            <w:vMerge/>
          </w:tcPr>
          <w:p w14:paraId="070E6AE6" w14:textId="77777777" w:rsidR="00454A29" w:rsidRDefault="00454A29"/>
        </w:tc>
        <w:tc>
          <w:tcPr>
            <w:tcW w:w="2324" w:type="dxa"/>
            <w:vMerge/>
          </w:tcPr>
          <w:p w14:paraId="4F27A683" w14:textId="77777777" w:rsidR="00454A29" w:rsidRDefault="00454A29"/>
        </w:tc>
        <w:tc>
          <w:tcPr>
            <w:tcW w:w="1701" w:type="dxa"/>
            <w:vAlign w:val="center"/>
          </w:tcPr>
          <w:p w14:paraId="3F2BC8D4" w14:textId="77777777" w:rsidR="00454A29" w:rsidRDefault="00454A29">
            <w:pPr>
              <w:pStyle w:val="ConsPlusNormal"/>
            </w:pPr>
          </w:p>
        </w:tc>
        <w:tc>
          <w:tcPr>
            <w:tcW w:w="1814" w:type="dxa"/>
            <w:vAlign w:val="center"/>
          </w:tcPr>
          <w:p w14:paraId="0DC453AC" w14:textId="77777777" w:rsidR="00454A29" w:rsidRDefault="00454A29">
            <w:pPr>
              <w:pStyle w:val="ConsPlusNormal"/>
            </w:pPr>
          </w:p>
        </w:tc>
        <w:tc>
          <w:tcPr>
            <w:tcW w:w="1701" w:type="dxa"/>
            <w:vAlign w:val="center"/>
          </w:tcPr>
          <w:p w14:paraId="3FCA9B1E" w14:textId="77777777" w:rsidR="00454A29" w:rsidRDefault="00454A29">
            <w:pPr>
              <w:pStyle w:val="ConsPlusNormal"/>
            </w:pPr>
          </w:p>
        </w:tc>
        <w:tc>
          <w:tcPr>
            <w:tcW w:w="1701" w:type="dxa"/>
            <w:vAlign w:val="center"/>
          </w:tcPr>
          <w:p w14:paraId="5AAD9920" w14:textId="77777777" w:rsidR="00454A29" w:rsidRDefault="00454A29">
            <w:pPr>
              <w:pStyle w:val="ConsPlusNormal"/>
            </w:pPr>
          </w:p>
        </w:tc>
        <w:tc>
          <w:tcPr>
            <w:tcW w:w="1814" w:type="dxa"/>
            <w:vAlign w:val="center"/>
          </w:tcPr>
          <w:p w14:paraId="50D8488D" w14:textId="77777777" w:rsidR="00454A29" w:rsidRDefault="00454A29">
            <w:pPr>
              <w:pStyle w:val="ConsPlusNormal"/>
            </w:pPr>
          </w:p>
        </w:tc>
      </w:tr>
      <w:tr w:rsidR="00454A29" w14:paraId="65A572A8" w14:textId="77777777">
        <w:tc>
          <w:tcPr>
            <w:tcW w:w="567" w:type="dxa"/>
            <w:vMerge/>
          </w:tcPr>
          <w:p w14:paraId="604312C0" w14:textId="77777777" w:rsidR="00454A29" w:rsidRDefault="00454A29"/>
        </w:tc>
        <w:tc>
          <w:tcPr>
            <w:tcW w:w="3345" w:type="dxa"/>
            <w:vMerge/>
          </w:tcPr>
          <w:p w14:paraId="08333E0C" w14:textId="77777777" w:rsidR="00454A29" w:rsidRDefault="00454A29"/>
        </w:tc>
        <w:tc>
          <w:tcPr>
            <w:tcW w:w="1701" w:type="dxa"/>
            <w:vAlign w:val="center"/>
          </w:tcPr>
          <w:p w14:paraId="30E01439" w14:textId="77777777" w:rsidR="00454A29" w:rsidRDefault="00454A29">
            <w:pPr>
              <w:pStyle w:val="ConsPlusNormal"/>
              <w:jc w:val="center"/>
            </w:pPr>
            <w:r>
              <w:t>2025</w:t>
            </w:r>
          </w:p>
        </w:tc>
        <w:tc>
          <w:tcPr>
            <w:tcW w:w="1417" w:type="dxa"/>
            <w:vMerge/>
          </w:tcPr>
          <w:p w14:paraId="1F749B96" w14:textId="77777777" w:rsidR="00454A29" w:rsidRDefault="00454A29"/>
        </w:tc>
        <w:tc>
          <w:tcPr>
            <w:tcW w:w="2204" w:type="dxa"/>
            <w:vMerge/>
          </w:tcPr>
          <w:p w14:paraId="57818AE7" w14:textId="77777777" w:rsidR="00454A29" w:rsidRDefault="00454A29"/>
        </w:tc>
        <w:tc>
          <w:tcPr>
            <w:tcW w:w="1417" w:type="dxa"/>
            <w:vMerge/>
          </w:tcPr>
          <w:p w14:paraId="1FBAAFB7" w14:textId="77777777" w:rsidR="00454A29" w:rsidRDefault="00454A29"/>
        </w:tc>
        <w:tc>
          <w:tcPr>
            <w:tcW w:w="2324" w:type="dxa"/>
            <w:vMerge/>
          </w:tcPr>
          <w:p w14:paraId="57F3B341" w14:textId="77777777" w:rsidR="00454A29" w:rsidRDefault="00454A29"/>
        </w:tc>
        <w:tc>
          <w:tcPr>
            <w:tcW w:w="1701" w:type="dxa"/>
            <w:vAlign w:val="center"/>
          </w:tcPr>
          <w:p w14:paraId="3B30B229" w14:textId="77777777" w:rsidR="00454A29" w:rsidRDefault="00454A29">
            <w:pPr>
              <w:pStyle w:val="ConsPlusNormal"/>
            </w:pPr>
          </w:p>
        </w:tc>
        <w:tc>
          <w:tcPr>
            <w:tcW w:w="1814" w:type="dxa"/>
            <w:vAlign w:val="center"/>
          </w:tcPr>
          <w:p w14:paraId="562F97CC" w14:textId="77777777" w:rsidR="00454A29" w:rsidRDefault="00454A29">
            <w:pPr>
              <w:pStyle w:val="ConsPlusNormal"/>
            </w:pPr>
          </w:p>
        </w:tc>
        <w:tc>
          <w:tcPr>
            <w:tcW w:w="1701" w:type="dxa"/>
            <w:vAlign w:val="center"/>
          </w:tcPr>
          <w:p w14:paraId="7ADF6331" w14:textId="77777777" w:rsidR="00454A29" w:rsidRDefault="00454A29">
            <w:pPr>
              <w:pStyle w:val="ConsPlusNormal"/>
            </w:pPr>
          </w:p>
        </w:tc>
        <w:tc>
          <w:tcPr>
            <w:tcW w:w="1701" w:type="dxa"/>
            <w:vAlign w:val="center"/>
          </w:tcPr>
          <w:p w14:paraId="66ED5931" w14:textId="77777777" w:rsidR="00454A29" w:rsidRDefault="00454A29">
            <w:pPr>
              <w:pStyle w:val="ConsPlusNormal"/>
            </w:pPr>
          </w:p>
        </w:tc>
        <w:tc>
          <w:tcPr>
            <w:tcW w:w="1814" w:type="dxa"/>
            <w:vAlign w:val="center"/>
          </w:tcPr>
          <w:p w14:paraId="3A839986" w14:textId="77777777" w:rsidR="00454A29" w:rsidRDefault="00454A29">
            <w:pPr>
              <w:pStyle w:val="ConsPlusNormal"/>
            </w:pPr>
          </w:p>
        </w:tc>
      </w:tr>
      <w:tr w:rsidR="00454A29" w14:paraId="315ED2EE" w14:textId="77777777">
        <w:tc>
          <w:tcPr>
            <w:tcW w:w="567" w:type="dxa"/>
            <w:vMerge/>
          </w:tcPr>
          <w:p w14:paraId="172C9417" w14:textId="77777777" w:rsidR="00454A29" w:rsidRDefault="00454A29"/>
        </w:tc>
        <w:tc>
          <w:tcPr>
            <w:tcW w:w="3345" w:type="dxa"/>
            <w:vMerge/>
          </w:tcPr>
          <w:p w14:paraId="2439EFE7" w14:textId="77777777" w:rsidR="00454A29" w:rsidRDefault="00454A29"/>
        </w:tc>
        <w:tc>
          <w:tcPr>
            <w:tcW w:w="1701" w:type="dxa"/>
            <w:vAlign w:val="center"/>
          </w:tcPr>
          <w:p w14:paraId="5DB53793" w14:textId="77777777" w:rsidR="00454A29" w:rsidRDefault="00454A29">
            <w:pPr>
              <w:pStyle w:val="ConsPlusNormal"/>
              <w:jc w:val="center"/>
            </w:pPr>
            <w:r>
              <w:t>2026</w:t>
            </w:r>
          </w:p>
        </w:tc>
        <w:tc>
          <w:tcPr>
            <w:tcW w:w="1417" w:type="dxa"/>
            <w:vMerge/>
          </w:tcPr>
          <w:p w14:paraId="0C21E742" w14:textId="77777777" w:rsidR="00454A29" w:rsidRDefault="00454A29"/>
        </w:tc>
        <w:tc>
          <w:tcPr>
            <w:tcW w:w="2204" w:type="dxa"/>
            <w:vMerge/>
          </w:tcPr>
          <w:p w14:paraId="0BB19530" w14:textId="77777777" w:rsidR="00454A29" w:rsidRDefault="00454A29"/>
        </w:tc>
        <w:tc>
          <w:tcPr>
            <w:tcW w:w="1417" w:type="dxa"/>
            <w:vMerge/>
          </w:tcPr>
          <w:p w14:paraId="36B50D7B" w14:textId="77777777" w:rsidR="00454A29" w:rsidRDefault="00454A29"/>
        </w:tc>
        <w:tc>
          <w:tcPr>
            <w:tcW w:w="2324" w:type="dxa"/>
            <w:vMerge/>
          </w:tcPr>
          <w:p w14:paraId="5AD3069E" w14:textId="77777777" w:rsidR="00454A29" w:rsidRDefault="00454A29"/>
        </w:tc>
        <w:tc>
          <w:tcPr>
            <w:tcW w:w="1701" w:type="dxa"/>
            <w:vAlign w:val="center"/>
          </w:tcPr>
          <w:p w14:paraId="6CB1BA8E" w14:textId="77777777" w:rsidR="00454A29" w:rsidRDefault="00454A29">
            <w:pPr>
              <w:pStyle w:val="ConsPlusNormal"/>
              <w:jc w:val="center"/>
            </w:pPr>
            <w:r>
              <w:t>331 042,08</w:t>
            </w:r>
          </w:p>
        </w:tc>
        <w:tc>
          <w:tcPr>
            <w:tcW w:w="1814" w:type="dxa"/>
            <w:vAlign w:val="center"/>
          </w:tcPr>
          <w:p w14:paraId="794ECDA6" w14:textId="77777777" w:rsidR="00454A29" w:rsidRDefault="00454A29">
            <w:pPr>
              <w:pStyle w:val="ConsPlusNormal"/>
              <w:jc w:val="center"/>
            </w:pPr>
            <w:r>
              <w:t>4 078,44</w:t>
            </w:r>
          </w:p>
        </w:tc>
        <w:tc>
          <w:tcPr>
            <w:tcW w:w="1701" w:type="dxa"/>
            <w:vAlign w:val="center"/>
          </w:tcPr>
          <w:p w14:paraId="5F344114" w14:textId="77777777" w:rsidR="00454A29" w:rsidRDefault="00454A29">
            <w:pPr>
              <w:pStyle w:val="ConsPlusNormal"/>
              <w:jc w:val="center"/>
            </w:pPr>
            <w:r>
              <w:t>403 765,41</w:t>
            </w:r>
          </w:p>
        </w:tc>
        <w:tc>
          <w:tcPr>
            <w:tcW w:w="1701" w:type="dxa"/>
            <w:vAlign w:val="center"/>
          </w:tcPr>
          <w:p w14:paraId="72B18C21" w14:textId="77777777" w:rsidR="00454A29" w:rsidRDefault="00454A29">
            <w:pPr>
              <w:pStyle w:val="ConsPlusNormal"/>
            </w:pPr>
          </w:p>
        </w:tc>
        <w:tc>
          <w:tcPr>
            <w:tcW w:w="1814" w:type="dxa"/>
            <w:vAlign w:val="center"/>
          </w:tcPr>
          <w:p w14:paraId="2059D576" w14:textId="77777777" w:rsidR="00454A29" w:rsidRDefault="00454A29">
            <w:pPr>
              <w:pStyle w:val="ConsPlusNormal"/>
            </w:pPr>
          </w:p>
        </w:tc>
      </w:tr>
      <w:tr w:rsidR="00454A29" w14:paraId="246C818D" w14:textId="77777777">
        <w:tc>
          <w:tcPr>
            <w:tcW w:w="567" w:type="dxa"/>
            <w:vMerge w:val="restart"/>
            <w:vAlign w:val="center"/>
          </w:tcPr>
          <w:p w14:paraId="1DCEBDBE" w14:textId="77777777" w:rsidR="00454A29" w:rsidRDefault="00454A29">
            <w:pPr>
              <w:pStyle w:val="ConsPlusNormal"/>
              <w:jc w:val="center"/>
            </w:pPr>
            <w:r>
              <w:t>48</w:t>
            </w:r>
          </w:p>
        </w:tc>
        <w:tc>
          <w:tcPr>
            <w:tcW w:w="3345" w:type="dxa"/>
            <w:vMerge w:val="restart"/>
            <w:vAlign w:val="center"/>
          </w:tcPr>
          <w:p w14:paraId="1F51EE3A" w14:textId="77777777" w:rsidR="00454A29" w:rsidRDefault="00454A29">
            <w:pPr>
              <w:pStyle w:val="ConsPlusNormal"/>
              <w:jc w:val="center"/>
            </w:pPr>
            <w:r>
              <w:t>Школа на 80 учащихся в с. Лекечен</w:t>
            </w:r>
          </w:p>
        </w:tc>
        <w:tc>
          <w:tcPr>
            <w:tcW w:w="1701" w:type="dxa"/>
            <w:vAlign w:val="center"/>
          </w:tcPr>
          <w:p w14:paraId="252CF67F" w14:textId="77777777" w:rsidR="00454A29" w:rsidRDefault="00454A29">
            <w:pPr>
              <w:pStyle w:val="ConsPlusNormal"/>
              <w:jc w:val="center"/>
            </w:pPr>
            <w:r>
              <w:t>2020 - 2026 годы - всего</w:t>
            </w:r>
          </w:p>
        </w:tc>
        <w:tc>
          <w:tcPr>
            <w:tcW w:w="1417" w:type="dxa"/>
            <w:vMerge w:val="restart"/>
            <w:vAlign w:val="center"/>
          </w:tcPr>
          <w:p w14:paraId="48F92E4B" w14:textId="77777777" w:rsidR="00454A29" w:rsidRDefault="00454A29">
            <w:pPr>
              <w:pStyle w:val="ConsPlusNormal"/>
              <w:jc w:val="center"/>
            </w:pPr>
            <w:r>
              <w:t>294 259,62</w:t>
            </w:r>
          </w:p>
        </w:tc>
        <w:tc>
          <w:tcPr>
            <w:tcW w:w="2204" w:type="dxa"/>
            <w:vMerge w:val="restart"/>
            <w:vAlign w:val="center"/>
          </w:tcPr>
          <w:p w14:paraId="1A71CA04" w14:textId="77777777" w:rsidR="00454A29" w:rsidRDefault="00454A29">
            <w:pPr>
              <w:pStyle w:val="ConsPlusNormal"/>
            </w:pPr>
          </w:p>
        </w:tc>
        <w:tc>
          <w:tcPr>
            <w:tcW w:w="1417" w:type="dxa"/>
            <w:vMerge w:val="restart"/>
            <w:vAlign w:val="center"/>
          </w:tcPr>
          <w:p w14:paraId="1A5FBBF8" w14:textId="77777777" w:rsidR="00454A29" w:rsidRDefault="00454A29">
            <w:pPr>
              <w:pStyle w:val="ConsPlusNormal"/>
              <w:jc w:val="center"/>
            </w:pPr>
            <w:r>
              <w:t>80</w:t>
            </w:r>
          </w:p>
        </w:tc>
        <w:tc>
          <w:tcPr>
            <w:tcW w:w="2324" w:type="dxa"/>
            <w:vMerge w:val="restart"/>
            <w:vAlign w:val="center"/>
          </w:tcPr>
          <w:p w14:paraId="65BADBA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C8894B7" w14:textId="77777777" w:rsidR="00454A29" w:rsidRDefault="00454A29">
            <w:pPr>
              <w:pStyle w:val="ConsPlusNormal"/>
              <w:jc w:val="center"/>
            </w:pPr>
            <w:r>
              <w:t>294 259,62</w:t>
            </w:r>
          </w:p>
        </w:tc>
        <w:tc>
          <w:tcPr>
            <w:tcW w:w="1814" w:type="dxa"/>
            <w:vAlign w:val="center"/>
          </w:tcPr>
          <w:p w14:paraId="2EBE1988" w14:textId="77777777" w:rsidR="00454A29" w:rsidRDefault="00454A29">
            <w:pPr>
              <w:pStyle w:val="ConsPlusNormal"/>
              <w:jc w:val="center"/>
            </w:pPr>
            <w:r>
              <w:t>3 625,28</w:t>
            </w:r>
          </w:p>
        </w:tc>
        <w:tc>
          <w:tcPr>
            <w:tcW w:w="1701" w:type="dxa"/>
            <w:vAlign w:val="center"/>
          </w:tcPr>
          <w:p w14:paraId="4DE64335" w14:textId="77777777" w:rsidR="00454A29" w:rsidRDefault="00454A29">
            <w:pPr>
              <w:pStyle w:val="ConsPlusNormal"/>
              <w:jc w:val="center"/>
            </w:pPr>
            <w:r>
              <w:t>358 902,57</w:t>
            </w:r>
          </w:p>
        </w:tc>
        <w:tc>
          <w:tcPr>
            <w:tcW w:w="1701" w:type="dxa"/>
            <w:vAlign w:val="center"/>
          </w:tcPr>
          <w:p w14:paraId="15AD2910" w14:textId="77777777" w:rsidR="00454A29" w:rsidRDefault="00454A29">
            <w:pPr>
              <w:pStyle w:val="ConsPlusNormal"/>
              <w:jc w:val="center"/>
            </w:pPr>
            <w:r>
              <w:t>-</w:t>
            </w:r>
          </w:p>
        </w:tc>
        <w:tc>
          <w:tcPr>
            <w:tcW w:w="1814" w:type="dxa"/>
            <w:vAlign w:val="center"/>
          </w:tcPr>
          <w:p w14:paraId="2F0D185D" w14:textId="77777777" w:rsidR="00454A29" w:rsidRDefault="00454A29">
            <w:pPr>
              <w:pStyle w:val="ConsPlusNormal"/>
              <w:jc w:val="center"/>
            </w:pPr>
            <w:r>
              <w:t>-</w:t>
            </w:r>
          </w:p>
        </w:tc>
      </w:tr>
      <w:tr w:rsidR="00454A29" w14:paraId="63581A16" w14:textId="77777777">
        <w:tc>
          <w:tcPr>
            <w:tcW w:w="567" w:type="dxa"/>
            <w:vMerge/>
          </w:tcPr>
          <w:p w14:paraId="71B2C8EC" w14:textId="77777777" w:rsidR="00454A29" w:rsidRDefault="00454A29"/>
        </w:tc>
        <w:tc>
          <w:tcPr>
            <w:tcW w:w="3345" w:type="dxa"/>
            <w:vMerge/>
          </w:tcPr>
          <w:p w14:paraId="72D3099B" w14:textId="77777777" w:rsidR="00454A29" w:rsidRDefault="00454A29"/>
        </w:tc>
        <w:tc>
          <w:tcPr>
            <w:tcW w:w="1701" w:type="dxa"/>
            <w:vAlign w:val="center"/>
          </w:tcPr>
          <w:p w14:paraId="25247386" w14:textId="77777777" w:rsidR="00454A29" w:rsidRDefault="00454A29">
            <w:pPr>
              <w:pStyle w:val="ConsPlusNormal"/>
              <w:jc w:val="center"/>
            </w:pPr>
            <w:r>
              <w:t>2020</w:t>
            </w:r>
          </w:p>
        </w:tc>
        <w:tc>
          <w:tcPr>
            <w:tcW w:w="1417" w:type="dxa"/>
            <w:vMerge/>
          </w:tcPr>
          <w:p w14:paraId="0270AB08" w14:textId="77777777" w:rsidR="00454A29" w:rsidRDefault="00454A29"/>
        </w:tc>
        <w:tc>
          <w:tcPr>
            <w:tcW w:w="2204" w:type="dxa"/>
            <w:vMerge/>
          </w:tcPr>
          <w:p w14:paraId="375E1318" w14:textId="77777777" w:rsidR="00454A29" w:rsidRDefault="00454A29"/>
        </w:tc>
        <w:tc>
          <w:tcPr>
            <w:tcW w:w="1417" w:type="dxa"/>
            <w:vMerge/>
          </w:tcPr>
          <w:p w14:paraId="2F0F5A9C" w14:textId="77777777" w:rsidR="00454A29" w:rsidRDefault="00454A29"/>
        </w:tc>
        <w:tc>
          <w:tcPr>
            <w:tcW w:w="2324" w:type="dxa"/>
            <w:vMerge/>
          </w:tcPr>
          <w:p w14:paraId="7B13E9CF" w14:textId="77777777" w:rsidR="00454A29" w:rsidRDefault="00454A29"/>
        </w:tc>
        <w:tc>
          <w:tcPr>
            <w:tcW w:w="1701" w:type="dxa"/>
            <w:vAlign w:val="center"/>
          </w:tcPr>
          <w:p w14:paraId="45FDB3EB" w14:textId="77777777" w:rsidR="00454A29" w:rsidRDefault="00454A29">
            <w:pPr>
              <w:pStyle w:val="ConsPlusNormal"/>
            </w:pPr>
          </w:p>
        </w:tc>
        <w:tc>
          <w:tcPr>
            <w:tcW w:w="1814" w:type="dxa"/>
            <w:vAlign w:val="center"/>
          </w:tcPr>
          <w:p w14:paraId="30EC12D1" w14:textId="77777777" w:rsidR="00454A29" w:rsidRDefault="00454A29">
            <w:pPr>
              <w:pStyle w:val="ConsPlusNormal"/>
            </w:pPr>
          </w:p>
        </w:tc>
        <w:tc>
          <w:tcPr>
            <w:tcW w:w="1701" w:type="dxa"/>
            <w:vAlign w:val="center"/>
          </w:tcPr>
          <w:p w14:paraId="6B9AAA99" w14:textId="77777777" w:rsidR="00454A29" w:rsidRDefault="00454A29">
            <w:pPr>
              <w:pStyle w:val="ConsPlusNormal"/>
            </w:pPr>
          </w:p>
        </w:tc>
        <w:tc>
          <w:tcPr>
            <w:tcW w:w="1701" w:type="dxa"/>
            <w:vAlign w:val="center"/>
          </w:tcPr>
          <w:p w14:paraId="278FA525" w14:textId="77777777" w:rsidR="00454A29" w:rsidRDefault="00454A29">
            <w:pPr>
              <w:pStyle w:val="ConsPlusNormal"/>
            </w:pPr>
          </w:p>
        </w:tc>
        <w:tc>
          <w:tcPr>
            <w:tcW w:w="1814" w:type="dxa"/>
            <w:vAlign w:val="center"/>
          </w:tcPr>
          <w:p w14:paraId="4CBF5621" w14:textId="77777777" w:rsidR="00454A29" w:rsidRDefault="00454A29">
            <w:pPr>
              <w:pStyle w:val="ConsPlusNormal"/>
            </w:pPr>
          </w:p>
        </w:tc>
      </w:tr>
      <w:tr w:rsidR="00454A29" w14:paraId="290630E8" w14:textId="77777777">
        <w:tc>
          <w:tcPr>
            <w:tcW w:w="567" w:type="dxa"/>
            <w:vMerge/>
          </w:tcPr>
          <w:p w14:paraId="45ED9FA0" w14:textId="77777777" w:rsidR="00454A29" w:rsidRDefault="00454A29"/>
        </w:tc>
        <w:tc>
          <w:tcPr>
            <w:tcW w:w="3345" w:type="dxa"/>
            <w:vMerge/>
          </w:tcPr>
          <w:p w14:paraId="48118A9A" w14:textId="77777777" w:rsidR="00454A29" w:rsidRDefault="00454A29"/>
        </w:tc>
        <w:tc>
          <w:tcPr>
            <w:tcW w:w="1701" w:type="dxa"/>
            <w:vAlign w:val="center"/>
          </w:tcPr>
          <w:p w14:paraId="63FF08BD" w14:textId="77777777" w:rsidR="00454A29" w:rsidRDefault="00454A29">
            <w:pPr>
              <w:pStyle w:val="ConsPlusNormal"/>
              <w:jc w:val="center"/>
            </w:pPr>
            <w:r>
              <w:t>2021</w:t>
            </w:r>
          </w:p>
        </w:tc>
        <w:tc>
          <w:tcPr>
            <w:tcW w:w="1417" w:type="dxa"/>
            <w:vMerge/>
          </w:tcPr>
          <w:p w14:paraId="49FF2FD9" w14:textId="77777777" w:rsidR="00454A29" w:rsidRDefault="00454A29"/>
        </w:tc>
        <w:tc>
          <w:tcPr>
            <w:tcW w:w="2204" w:type="dxa"/>
            <w:vMerge/>
          </w:tcPr>
          <w:p w14:paraId="5DDB74F7" w14:textId="77777777" w:rsidR="00454A29" w:rsidRDefault="00454A29"/>
        </w:tc>
        <w:tc>
          <w:tcPr>
            <w:tcW w:w="1417" w:type="dxa"/>
            <w:vMerge/>
          </w:tcPr>
          <w:p w14:paraId="47231F77" w14:textId="77777777" w:rsidR="00454A29" w:rsidRDefault="00454A29"/>
        </w:tc>
        <w:tc>
          <w:tcPr>
            <w:tcW w:w="2324" w:type="dxa"/>
            <w:vMerge/>
          </w:tcPr>
          <w:p w14:paraId="297AFC1D" w14:textId="77777777" w:rsidR="00454A29" w:rsidRDefault="00454A29"/>
        </w:tc>
        <w:tc>
          <w:tcPr>
            <w:tcW w:w="1701" w:type="dxa"/>
            <w:vAlign w:val="center"/>
          </w:tcPr>
          <w:p w14:paraId="6E269CE1" w14:textId="77777777" w:rsidR="00454A29" w:rsidRDefault="00454A29">
            <w:pPr>
              <w:pStyle w:val="ConsPlusNormal"/>
            </w:pPr>
          </w:p>
        </w:tc>
        <w:tc>
          <w:tcPr>
            <w:tcW w:w="1814" w:type="dxa"/>
            <w:vAlign w:val="center"/>
          </w:tcPr>
          <w:p w14:paraId="5A5D545B" w14:textId="77777777" w:rsidR="00454A29" w:rsidRDefault="00454A29">
            <w:pPr>
              <w:pStyle w:val="ConsPlusNormal"/>
            </w:pPr>
          </w:p>
        </w:tc>
        <w:tc>
          <w:tcPr>
            <w:tcW w:w="1701" w:type="dxa"/>
            <w:vAlign w:val="center"/>
          </w:tcPr>
          <w:p w14:paraId="497A0132" w14:textId="77777777" w:rsidR="00454A29" w:rsidRDefault="00454A29">
            <w:pPr>
              <w:pStyle w:val="ConsPlusNormal"/>
            </w:pPr>
          </w:p>
        </w:tc>
        <w:tc>
          <w:tcPr>
            <w:tcW w:w="1701" w:type="dxa"/>
            <w:vAlign w:val="center"/>
          </w:tcPr>
          <w:p w14:paraId="688CC8B5" w14:textId="77777777" w:rsidR="00454A29" w:rsidRDefault="00454A29">
            <w:pPr>
              <w:pStyle w:val="ConsPlusNormal"/>
            </w:pPr>
          </w:p>
        </w:tc>
        <w:tc>
          <w:tcPr>
            <w:tcW w:w="1814" w:type="dxa"/>
            <w:vAlign w:val="center"/>
          </w:tcPr>
          <w:p w14:paraId="7BFCB705" w14:textId="77777777" w:rsidR="00454A29" w:rsidRDefault="00454A29">
            <w:pPr>
              <w:pStyle w:val="ConsPlusNormal"/>
            </w:pPr>
          </w:p>
        </w:tc>
      </w:tr>
      <w:tr w:rsidR="00454A29" w14:paraId="0843ECCC" w14:textId="77777777">
        <w:tc>
          <w:tcPr>
            <w:tcW w:w="567" w:type="dxa"/>
            <w:vMerge/>
          </w:tcPr>
          <w:p w14:paraId="6D8EF1F2" w14:textId="77777777" w:rsidR="00454A29" w:rsidRDefault="00454A29"/>
        </w:tc>
        <w:tc>
          <w:tcPr>
            <w:tcW w:w="3345" w:type="dxa"/>
            <w:vMerge/>
          </w:tcPr>
          <w:p w14:paraId="1FE4BD90" w14:textId="77777777" w:rsidR="00454A29" w:rsidRDefault="00454A29"/>
        </w:tc>
        <w:tc>
          <w:tcPr>
            <w:tcW w:w="1701" w:type="dxa"/>
            <w:vAlign w:val="center"/>
          </w:tcPr>
          <w:p w14:paraId="2548FF7A" w14:textId="77777777" w:rsidR="00454A29" w:rsidRDefault="00454A29">
            <w:pPr>
              <w:pStyle w:val="ConsPlusNormal"/>
              <w:jc w:val="center"/>
            </w:pPr>
            <w:r>
              <w:t>2022</w:t>
            </w:r>
          </w:p>
        </w:tc>
        <w:tc>
          <w:tcPr>
            <w:tcW w:w="1417" w:type="dxa"/>
            <w:vMerge/>
          </w:tcPr>
          <w:p w14:paraId="7C7DADB4" w14:textId="77777777" w:rsidR="00454A29" w:rsidRDefault="00454A29"/>
        </w:tc>
        <w:tc>
          <w:tcPr>
            <w:tcW w:w="2204" w:type="dxa"/>
            <w:vMerge/>
          </w:tcPr>
          <w:p w14:paraId="7C7DD00B" w14:textId="77777777" w:rsidR="00454A29" w:rsidRDefault="00454A29"/>
        </w:tc>
        <w:tc>
          <w:tcPr>
            <w:tcW w:w="1417" w:type="dxa"/>
            <w:vMerge/>
          </w:tcPr>
          <w:p w14:paraId="01A3275E" w14:textId="77777777" w:rsidR="00454A29" w:rsidRDefault="00454A29"/>
        </w:tc>
        <w:tc>
          <w:tcPr>
            <w:tcW w:w="2324" w:type="dxa"/>
            <w:vMerge/>
          </w:tcPr>
          <w:p w14:paraId="6B29EDE1" w14:textId="77777777" w:rsidR="00454A29" w:rsidRDefault="00454A29"/>
        </w:tc>
        <w:tc>
          <w:tcPr>
            <w:tcW w:w="1701" w:type="dxa"/>
            <w:vAlign w:val="center"/>
          </w:tcPr>
          <w:p w14:paraId="4297BB70" w14:textId="77777777" w:rsidR="00454A29" w:rsidRDefault="00454A29">
            <w:pPr>
              <w:pStyle w:val="ConsPlusNormal"/>
            </w:pPr>
          </w:p>
        </w:tc>
        <w:tc>
          <w:tcPr>
            <w:tcW w:w="1814" w:type="dxa"/>
            <w:vAlign w:val="center"/>
          </w:tcPr>
          <w:p w14:paraId="51FE8FE1" w14:textId="77777777" w:rsidR="00454A29" w:rsidRDefault="00454A29">
            <w:pPr>
              <w:pStyle w:val="ConsPlusNormal"/>
            </w:pPr>
          </w:p>
        </w:tc>
        <w:tc>
          <w:tcPr>
            <w:tcW w:w="1701" w:type="dxa"/>
            <w:vAlign w:val="center"/>
          </w:tcPr>
          <w:p w14:paraId="2DE27C90" w14:textId="77777777" w:rsidR="00454A29" w:rsidRDefault="00454A29">
            <w:pPr>
              <w:pStyle w:val="ConsPlusNormal"/>
            </w:pPr>
          </w:p>
        </w:tc>
        <w:tc>
          <w:tcPr>
            <w:tcW w:w="1701" w:type="dxa"/>
            <w:vAlign w:val="center"/>
          </w:tcPr>
          <w:p w14:paraId="64D16146" w14:textId="77777777" w:rsidR="00454A29" w:rsidRDefault="00454A29">
            <w:pPr>
              <w:pStyle w:val="ConsPlusNormal"/>
            </w:pPr>
          </w:p>
        </w:tc>
        <w:tc>
          <w:tcPr>
            <w:tcW w:w="1814" w:type="dxa"/>
            <w:vAlign w:val="center"/>
          </w:tcPr>
          <w:p w14:paraId="4F8DA6C6" w14:textId="77777777" w:rsidR="00454A29" w:rsidRDefault="00454A29">
            <w:pPr>
              <w:pStyle w:val="ConsPlusNormal"/>
            </w:pPr>
          </w:p>
        </w:tc>
      </w:tr>
      <w:tr w:rsidR="00454A29" w14:paraId="7044FC0B" w14:textId="77777777">
        <w:tc>
          <w:tcPr>
            <w:tcW w:w="567" w:type="dxa"/>
            <w:vMerge/>
          </w:tcPr>
          <w:p w14:paraId="30E0130B" w14:textId="77777777" w:rsidR="00454A29" w:rsidRDefault="00454A29"/>
        </w:tc>
        <w:tc>
          <w:tcPr>
            <w:tcW w:w="3345" w:type="dxa"/>
            <w:vMerge/>
          </w:tcPr>
          <w:p w14:paraId="1F476B09" w14:textId="77777777" w:rsidR="00454A29" w:rsidRDefault="00454A29"/>
        </w:tc>
        <w:tc>
          <w:tcPr>
            <w:tcW w:w="1701" w:type="dxa"/>
            <w:vAlign w:val="center"/>
          </w:tcPr>
          <w:p w14:paraId="11E1EA2D" w14:textId="77777777" w:rsidR="00454A29" w:rsidRDefault="00454A29">
            <w:pPr>
              <w:pStyle w:val="ConsPlusNormal"/>
              <w:jc w:val="center"/>
            </w:pPr>
            <w:r>
              <w:t>2023</w:t>
            </w:r>
          </w:p>
        </w:tc>
        <w:tc>
          <w:tcPr>
            <w:tcW w:w="1417" w:type="dxa"/>
            <w:vMerge/>
          </w:tcPr>
          <w:p w14:paraId="22E172C7" w14:textId="77777777" w:rsidR="00454A29" w:rsidRDefault="00454A29"/>
        </w:tc>
        <w:tc>
          <w:tcPr>
            <w:tcW w:w="2204" w:type="dxa"/>
            <w:vMerge/>
          </w:tcPr>
          <w:p w14:paraId="3DFCF923" w14:textId="77777777" w:rsidR="00454A29" w:rsidRDefault="00454A29"/>
        </w:tc>
        <w:tc>
          <w:tcPr>
            <w:tcW w:w="1417" w:type="dxa"/>
            <w:vMerge/>
          </w:tcPr>
          <w:p w14:paraId="2CEE7A13" w14:textId="77777777" w:rsidR="00454A29" w:rsidRDefault="00454A29"/>
        </w:tc>
        <w:tc>
          <w:tcPr>
            <w:tcW w:w="2324" w:type="dxa"/>
            <w:vMerge/>
          </w:tcPr>
          <w:p w14:paraId="53CDF3E2" w14:textId="77777777" w:rsidR="00454A29" w:rsidRDefault="00454A29"/>
        </w:tc>
        <w:tc>
          <w:tcPr>
            <w:tcW w:w="1701" w:type="dxa"/>
            <w:vAlign w:val="center"/>
          </w:tcPr>
          <w:p w14:paraId="1F11FBCC" w14:textId="77777777" w:rsidR="00454A29" w:rsidRDefault="00454A29">
            <w:pPr>
              <w:pStyle w:val="ConsPlusNormal"/>
            </w:pPr>
          </w:p>
        </w:tc>
        <w:tc>
          <w:tcPr>
            <w:tcW w:w="1814" w:type="dxa"/>
            <w:vAlign w:val="center"/>
          </w:tcPr>
          <w:p w14:paraId="0FF57AA8" w14:textId="77777777" w:rsidR="00454A29" w:rsidRDefault="00454A29">
            <w:pPr>
              <w:pStyle w:val="ConsPlusNormal"/>
            </w:pPr>
          </w:p>
        </w:tc>
        <w:tc>
          <w:tcPr>
            <w:tcW w:w="1701" w:type="dxa"/>
            <w:vAlign w:val="center"/>
          </w:tcPr>
          <w:p w14:paraId="576F45B0" w14:textId="77777777" w:rsidR="00454A29" w:rsidRDefault="00454A29">
            <w:pPr>
              <w:pStyle w:val="ConsPlusNormal"/>
            </w:pPr>
          </w:p>
        </w:tc>
        <w:tc>
          <w:tcPr>
            <w:tcW w:w="1701" w:type="dxa"/>
            <w:vAlign w:val="center"/>
          </w:tcPr>
          <w:p w14:paraId="62D155CA" w14:textId="77777777" w:rsidR="00454A29" w:rsidRDefault="00454A29">
            <w:pPr>
              <w:pStyle w:val="ConsPlusNormal"/>
            </w:pPr>
          </w:p>
        </w:tc>
        <w:tc>
          <w:tcPr>
            <w:tcW w:w="1814" w:type="dxa"/>
            <w:vAlign w:val="center"/>
          </w:tcPr>
          <w:p w14:paraId="13D512F5" w14:textId="77777777" w:rsidR="00454A29" w:rsidRDefault="00454A29">
            <w:pPr>
              <w:pStyle w:val="ConsPlusNormal"/>
            </w:pPr>
          </w:p>
        </w:tc>
      </w:tr>
      <w:tr w:rsidR="00454A29" w14:paraId="4341772C" w14:textId="77777777">
        <w:tc>
          <w:tcPr>
            <w:tcW w:w="567" w:type="dxa"/>
            <w:vMerge/>
          </w:tcPr>
          <w:p w14:paraId="2186374C" w14:textId="77777777" w:rsidR="00454A29" w:rsidRDefault="00454A29"/>
        </w:tc>
        <w:tc>
          <w:tcPr>
            <w:tcW w:w="3345" w:type="dxa"/>
            <w:vMerge/>
          </w:tcPr>
          <w:p w14:paraId="3504177B" w14:textId="77777777" w:rsidR="00454A29" w:rsidRDefault="00454A29"/>
        </w:tc>
        <w:tc>
          <w:tcPr>
            <w:tcW w:w="1701" w:type="dxa"/>
            <w:vAlign w:val="center"/>
          </w:tcPr>
          <w:p w14:paraId="79059E59" w14:textId="77777777" w:rsidR="00454A29" w:rsidRDefault="00454A29">
            <w:pPr>
              <w:pStyle w:val="ConsPlusNormal"/>
              <w:jc w:val="center"/>
            </w:pPr>
            <w:r>
              <w:t>2024</w:t>
            </w:r>
          </w:p>
        </w:tc>
        <w:tc>
          <w:tcPr>
            <w:tcW w:w="1417" w:type="dxa"/>
            <w:vMerge/>
          </w:tcPr>
          <w:p w14:paraId="6798C646" w14:textId="77777777" w:rsidR="00454A29" w:rsidRDefault="00454A29"/>
        </w:tc>
        <w:tc>
          <w:tcPr>
            <w:tcW w:w="2204" w:type="dxa"/>
            <w:vMerge/>
          </w:tcPr>
          <w:p w14:paraId="6AFB54B4" w14:textId="77777777" w:rsidR="00454A29" w:rsidRDefault="00454A29"/>
        </w:tc>
        <w:tc>
          <w:tcPr>
            <w:tcW w:w="1417" w:type="dxa"/>
            <w:vMerge/>
          </w:tcPr>
          <w:p w14:paraId="46ED5F19" w14:textId="77777777" w:rsidR="00454A29" w:rsidRDefault="00454A29"/>
        </w:tc>
        <w:tc>
          <w:tcPr>
            <w:tcW w:w="2324" w:type="dxa"/>
            <w:vMerge/>
          </w:tcPr>
          <w:p w14:paraId="1B661687" w14:textId="77777777" w:rsidR="00454A29" w:rsidRDefault="00454A29"/>
        </w:tc>
        <w:tc>
          <w:tcPr>
            <w:tcW w:w="1701" w:type="dxa"/>
            <w:vAlign w:val="center"/>
          </w:tcPr>
          <w:p w14:paraId="367B07B8" w14:textId="77777777" w:rsidR="00454A29" w:rsidRDefault="00454A29">
            <w:pPr>
              <w:pStyle w:val="ConsPlusNormal"/>
            </w:pPr>
          </w:p>
        </w:tc>
        <w:tc>
          <w:tcPr>
            <w:tcW w:w="1814" w:type="dxa"/>
            <w:vAlign w:val="center"/>
          </w:tcPr>
          <w:p w14:paraId="28E3ED0B" w14:textId="77777777" w:rsidR="00454A29" w:rsidRDefault="00454A29">
            <w:pPr>
              <w:pStyle w:val="ConsPlusNormal"/>
            </w:pPr>
          </w:p>
        </w:tc>
        <w:tc>
          <w:tcPr>
            <w:tcW w:w="1701" w:type="dxa"/>
            <w:vAlign w:val="center"/>
          </w:tcPr>
          <w:p w14:paraId="4B09989C" w14:textId="77777777" w:rsidR="00454A29" w:rsidRDefault="00454A29">
            <w:pPr>
              <w:pStyle w:val="ConsPlusNormal"/>
            </w:pPr>
          </w:p>
        </w:tc>
        <w:tc>
          <w:tcPr>
            <w:tcW w:w="1701" w:type="dxa"/>
            <w:vAlign w:val="center"/>
          </w:tcPr>
          <w:p w14:paraId="4A307BCD" w14:textId="77777777" w:rsidR="00454A29" w:rsidRDefault="00454A29">
            <w:pPr>
              <w:pStyle w:val="ConsPlusNormal"/>
            </w:pPr>
          </w:p>
        </w:tc>
        <w:tc>
          <w:tcPr>
            <w:tcW w:w="1814" w:type="dxa"/>
            <w:vAlign w:val="center"/>
          </w:tcPr>
          <w:p w14:paraId="410A4D3A" w14:textId="77777777" w:rsidR="00454A29" w:rsidRDefault="00454A29">
            <w:pPr>
              <w:pStyle w:val="ConsPlusNormal"/>
            </w:pPr>
          </w:p>
        </w:tc>
      </w:tr>
      <w:tr w:rsidR="00454A29" w14:paraId="13890348" w14:textId="77777777">
        <w:tc>
          <w:tcPr>
            <w:tcW w:w="567" w:type="dxa"/>
            <w:vMerge/>
          </w:tcPr>
          <w:p w14:paraId="4185A94D" w14:textId="77777777" w:rsidR="00454A29" w:rsidRDefault="00454A29"/>
        </w:tc>
        <w:tc>
          <w:tcPr>
            <w:tcW w:w="3345" w:type="dxa"/>
            <w:vMerge/>
          </w:tcPr>
          <w:p w14:paraId="3FBCD267" w14:textId="77777777" w:rsidR="00454A29" w:rsidRDefault="00454A29"/>
        </w:tc>
        <w:tc>
          <w:tcPr>
            <w:tcW w:w="1701" w:type="dxa"/>
            <w:vAlign w:val="center"/>
          </w:tcPr>
          <w:p w14:paraId="49E094AE" w14:textId="77777777" w:rsidR="00454A29" w:rsidRDefault="00454A29">
            <w:pPr>
              <w:pStyle w:val="ConsPlusNormal"/>
              <w:jc w:val="center"/>
            </w:pPr>
            <w:r>
              <w:t>2025</w:t>
            </w:r>
          </w:p>
        </w:tc>
        <w:tc>
          <w:tcPr>
            <w:tcW w:w="1417" w:type="dxa"/>
            <w:vMerge/>
          </w:tcPr>
          <w:p w14:paraId="47B4BA31" w14:textId="77777777" w:rsidR="00454A29" w:rsidRDefault="00454A29"/>
        </w:tc>
        <w:tc>
          <w:tcPr>
            <w:tcW w:w="2204" w:type="dxa"/>
            <w:vMerge/>
          </w:tcPr>
          <w:p w14:paraId="7B57C19D" w14:textId="77777777" w:rsidR="00454A29" w:rsidRDefault="00454A29"/>
        </w:tc>
        <w:tc>
          <w:tcPr>
            <w:tcW w:w="1417" w:type="dxa"/>
            <w:vMerge/>
          </w:tcPr>
          <w:p w14:paraId="70AB9FBD" w14:textId="77777777" w:rsidR="00454A29" w:rsidRDefault="00454A29"/>
        </w:tc>
        <w:tc>
          <w:tcPr>
            <w:tcW w:w="2324" w:type="dxa"/>
            <w:vMerge/>
          </w:tcPr>
          <w:p w14:paraId="031C11AC" w14:textId="77777777" w:rsidR="00454A29" w:rsidRDefault="00454A29"/>
        </w:tc>
        <w:tc>
          <w:tcPr>
            <w:tcW w:w="1701" w:type="dxa"/>
            <w:vAlign w:val="center"/>
          </w:tcPr>
          <w:p w14:paraId="66DE9846" w14:textId="77777777" w:rsidR="00454A29" w:rsidRDefault="00454A29">
            <w:pPr>
              <w:pStyle w:val="ConsPlusNormal"/>
            </w:pPr>
          </w:p>
        </w:tc>
        <w:tc>
          <w:tcPr>
            <w:tcW w:w="1814" w:type="dxa"/>
            <w:vAlign w:val="center"/>
          </w:tcPr>
          <w:p w14:paraId="04849665" w14:textId="77777777" w:rsidR="00454A29" w:rsidRDefault="00454A29">
            <w:pPr>
              <w:pStyle w:val="ConsPlusNormal"/>
            </w:pPr>
          </w:p>
        </w:tc>
        <w:tc>
          <w:tcPr>
            <w:tcW w:w="1701" w:type="dxa"/>
            <w:vAlign w:val="center"/>
          </w:tcPr>
          <w:p w14:paraId="6D8A4674" w14:textId="77777777" w:rsidR="00454A29" w:rsidRDefault="00454A29">
            <w:pPr>
              <w:pStyle w:val="ConsPlusNormal"/>
            </w:pPr>
          </w:p>
        </w:tc>
        <w:tc>
          <w:tcPr>
            <w:tcW w:w="1701" w:type="dxa"/>
            <w:vAlign w:val="center"/>
          </w:tcPr>
          <w:p w14:paraId="6CBDBEF5" w14:textId="77777777" w:rsidR="00454A29" w:rsidRDefault="00454A29">
            <w:pPr>
              <w:pStyle w:val="ConsPlusNormal"/>
            </w:pPr>
          </w:p>
        </w:tc>
        <w:tc>
          <w:tcPr>
            <w:tcW w:w="1814" w:type="dxa"/>
            <w:vAlign w:val="center"/>
          </w:tcPr>
          <w:p w14:paraId="4653AFB8" w14:textId="77777777" w:rsidR="00454A29" w:rsidRDefault="00454A29">
            <w:pPr>
              <w:pStyle w:val="ConsPlusNormal"/>
            </w:pPr>
          </w:p>
        </w:tc>
      </w:tr>
      <w:tr w:rsidR="00454A29" w14:paraId="07A58DDB" w14:textId="77777777">
        <w:tc>
          <w:tcPr>
            <w:tcW w:w="567" w:type="dxa"/>
            <w:vMerge/>
          </w:tcPr>
          <w:p w14:paraId="0A4FA80B" w14:textId="77777777" w:rsidR="00454A29" w:rsidRDefault="00454A29"/>
        </w:tc>
        <w:tc>
          <w:tcPr>
            <w:tcW w:w="3345" w:type="dxa"/>
            <w:vMerge/>
          </w:tcPr>
          <w:p w14:paraId="2CEE5B08" w14:textId="77777777" w:rsidR="00454A29" w:rsidRDefault="00454A29"/>
        </w:tc>
        <w:tc>
          <w:tcPr>
            <w:tcW w:w="1701" w:type="dxa"/>
            <w:vAlign w:val="center"/>
          </w:tcPr>
          <w:p w14:paraId="4F26FBC0" w14:textId="77777777" w:rsidR="00454A29" w:rsidRDefault="00454A29">
            <w:pPr>
              <w:pStyle w:val="ConsPlusNormal"/>
              <w:jc w:val="center"/>
            </w:pPr>
            <w:r>
              <w:t>2026</w:t>
            </w:r>
          </w:p>
        </w:tc>
        <w:tc>
          <w:tcPr>
            <w:tcW w:w="1417" w:type="dxa"/>
            <w:vMerge/>
          </w:tcPr>
          <w:p w14:paraId="2594D748" w14:textId="77777777" w:rsidR="00454A29" w:rsidRDefault="00454A29"/>
        </w:tc>
        <w:tc>
          <w:tcPr>
            <w:tcW w:w="2204" w:type="dxa"/>
            <w:vMerge/>
          </w:tcPr>
          <w:p w14:paraId="5A13B986" w14:textId="77777777" w:rsidR="00454A29" w:rsidRDefault="00454A29"/>
        </w:tc>
        <w:tc>
          <w:tcPr>
            <w:tcW w:w="1417" w:type="dxa"/>
            <w:vMerge/>
          </w:tcPr>
          <w:p w14:paraId="41C137C0" w14:textId="77777777" w:rsidR="00454A29" w:rsidRDefault="00454A29"/>
        </w:tc>
        <w:tc>
          <w:tcPr>
            <w:tcW w:w="2324" w:type="dxa"/>
            <w:vMerge/>
          </w:tcPr>
          <w:p w14:paraId="2C849412" w14:textId="77777777" w:rsidR="00454A29" w:rsidRDefault="00454A29"/>
        </w:tc>
        <w:tc>
          <w:tcPr>
            <w:tcW w:w="1701" w:type="dxa"/>
            <w:vAlign w:val="center"/>
          </w:tcPr>
          <w:p w14:paraId="75314FC7" w14:textId="77777777" w:rsidR="00454A29" w:rsidRDefault="00454A29">
            <w:pPr>
              <w:pStyle w:val="ConsPlusNormal"/>
              <w:jc w:val="center"/>
            </w:pPr>
            <w:r>
              <w:t>294 259,62</w:t>
            </w:r>
          </w:p>
        </w:tc>
        <w:tc>
          <w:tcPr>
            <w:tcW w:w="1814" w:type="dxa"/>
            <w:vAlign w:val="center"/>
          </w:tcPr>
          <w:p w14:paraId="7FCE6BF1" w14:textId="77777777" w:rsidR="00454A29" w:rsidRDefault="00454A29">
            <w:pPr>
              <w:pStyle w:val="ConsPlusNormal"/>
              <w:jc w:val="center"/>
            </w:pPr>
            <w:r>
              <w:t>3 625,28</w:t>
            </w:r>
          </w:p>
        </w:tc>
        <w:tc>
          <w:tcPr>
            <w:tcW w:w="1701" w:type="dxa"/>
            <w:vAlign w:val="center"/>
          </w:tcPr>
          <w:p w14:paraId="2D0FF70F" w14:textId="77777777" w:rsidR="00454A29" w:rsidRDefault="00454A29">
            <w:pPr>
              <w:pStyle w:val="ConsPlusNormal"/>
              <w:jc w:val="center"/>
            </w:pPr>
            <w:r>
              <w:t>358 902,57</w:t>
            </w:r>
          </w:p>
        </w:tc>
        <w:tc>
          <w:tcPr>
            <w:tcW w:w="1701" w:type="dxa"/>
            <w:vAlign w:val="center"/>
          </w:tcPr>
          <w:p w14:paraId="5885D3B0" w14:textId="77777777" w:rsidR="00454A29" w:rsidRDefault="00454A29">
            <w:pPr>
              <w:pStyle w:val="ConsPlusNormal"/>
            </w:pPr>
          </w:p>
        </w:tc>
        <w:tc>
          <w:tcPr>
            <w:tcW w:w="1814" w:type="dxa"/>
            <w:vAlign w:val="center"/>
          </w:tcPr>
          <w:p w14:paraId="2116ED97" w14:textId="77777777" w:rsidR="00454A29" w:rsidRDefault="00454A29">
            <w:pPr>
              <w:pStyle w:val="ConsPlusNormal"/>
            </w:pPr>
          </w:p>
        </w:tc>
      </w:tr>
      <w:tr w:rsidR="00454A29" w14:paraId="2739AA29" w14:textId="77777777">
        <w:tc>
          <w:tcPr>
            <w:tcW w:w="21706" w:type="dxa"/>
            <w:gridSpan w:val="12"/>
            <w:vAlign w:val="center"/>
          </w:tcPr>
          <w:p w14:paraId="753FAF6C" w14:textId="77777777" w:rsidR="00454A29" w:rsidRDefault="00454A29">
            <w:pPr>
              <w:pStyle w:val="ConsPlusNormal"/>
              <w:jc w:val="center"/>
              <w:outlineLvl w:val="2"/>
            </w:pPr>
            <w:r>
              <w:t>МР "Горный улус"</w:t>
            </w:r>
          </w:p>
        </w:tc>
      </w:tr>
      <w:tr w:rsidR="00454A29" w14:paraId="60CB948C" w14:textId="77777777">
        <w:tc>
          <w:tcPr>
            <w:tcW w:w="567" w:type="dxa"/>
            <w:vMerge w:val="restart"/>
            <w:vAlign w:val="center"/>
          </w:tcPr>
          <w:p w14:paraId="6A41BE55" w14:textId="77777777" w:rsidR="00454A29" w:rsidRDefault="00454A29">
            <w:pPr>
              <w:pStyle w:val="ConsPlusNormal"/>
              <w:jc w:val="center"/>
            </w:pPr>
            <w:r>
              <w:t>49</w:t>
            </w:r>
          </w:p>
        </w:tc>
        <w:tc>
          <w:tcPr>
            <w:tcW w:w="3345" w:type="dxa"/>
            <w:vMerge w:val="restart"/>
            <w:vAlign w:val="center"/>
          </w:tcPr>
          <w:p w14:paraId="772FC21B" w14:textId="77777777" w:rsidR="00454A29" w:rsidRDefault="00454A29">
            <w:pPr>
              <w:pStyle w:val="ConsPlusNormal"/>
              <w:jc w:val="center"/>
            </w:pPr>
            <w:r>
              <w:t>Школа на 550 учащихся в с. Бердигестях</w:t>
            </w:r>
          </w:p>
        </w:tc>
        <w:tc>
          <w:tcPr>
            <w:tcW w:w="1701" w:type="dxa"/>
            <w:vAlign w:val="center"/>
          </w:tcPr>
          <w:p w14:paraId="7E366FFB" w14:textId="77777777" w:rsidR="00454A29" w:rsidRDefault="00454A29">
            <w:pPr>
              <w:pStyle w:val="ConsPlusNormal"/>
              <w:jc w:val="center"/>
            </w:pPr>
            <w:r>
              <w:t>2020 - 2026 годы - всего</w:t>
            </w:r>
          </w:p>
        </w:tc>
        <w:tc>
          <w:tcPr>
            <w:tcW w:w="1417" w:type="dxa"/>
            <w:vMerge w:val="restart"/>
            <w:vAlign w:val="center"/>
          </w:tcPr>
          <w:p w14:paraId="0972D8DD" w14:textId="77777777" w:rsidR="00454A29" w:rsidRDefault="00454A29">
            <w:pPr>
              <w:pStyle w:val="ConsPlusNormal"/>
              <w:jc w:val="center"/>
            </w:pPr>
            <w:r>
              <w:t>913 743,00</w:t>
            </w:r>
          </w:p>
        </w:tc>
        <w:tc>
          <w:tcPr>
            <w:tcW w:w="2204" w:type="dxa"/>
            <w:vMerge w:val="restart"/>
            <w:vAlign w:val="center"/>
          </w:tcPr>
          <w:p w14:paraId="15F64053" w14:textId="77777777" w:rsidR="00454A29" w:rsidRDefault="00454A29">
            <w:pPr>
              <w:pStyle w:val="ConsPlusNormal"/>
            </w:pPr>
          </w:p>
        </w:tc>
        <w:tc>
          <w:tcPr>
            <w:tcW w:w="1417" w:type="dxa"/>
            <w:vMerge w:val="restart"/>
            <w:vAlign w:val="center"/>
          </w:tcPr>
          <w:p w14:paraId="230E5FCF" w14:textId="77777777" w:rsidR="00454A29" w:rsidRDefault="00454A29">
            <w:pPr>
              <w:pStyle w:val="ConsPlusNormal"/>
              <w:jc w:val="center"/>
            </w:pPr>
            <w:r>
              <w:t>550</w:t>
            </w:r>
          </w:p>
        </w:tc>
        <w:tc>
          <w:tcPr>
            <w:tcW w:w="2324" w:type="dxa"/>
            <w:vMerge w:val="restart"/>
            <w:vAlign w:val="center"/>
          </w:tcPr>
          <w:p w14:paraId="797E4FC1" w14:textId="77777777" w:rsidR="00454A29" w:rsidRDefault="00454A29">
            <w:pPr>
              <w:pStyle w:val="ConsPlusNormal"/>
              <w:jc w:val="center"/>
            </w:pPr>
            <w:r>
              <w:t>МР "Горный улус"</w:t>
            </w:r>
          </w:p>
        </w:tc>
        <w:tc>
          <w:tcPr>
            <w:tcW w:w="1701" w:type="dxa"/>
            <w:vAlign w:val="center"/>
          </w:tcPr>
          <w:p w14:paraId="7DC68ADB" w14:textId="77777777" w:rsidR="00454A29" w:rsidRDefault="00454A29">
            <w:pPr>
              <w:pStyle w:val="ConsPlusNormal"/>
              <w:jc w:val="center"/>
            </w:pPr>
            <w:r>
              <w:t>913 743,00</w:t>
            </w:r>
          </w:p>
        </w:tc>
        <w:tc>
          <w:tcPr>
            <w:tcW w:w="1814" w:type="dxa"/>
            <w:vAlign w:val="center"/>
          </w:tcPr>
          <w:p w14:paraId="44C9FB8E" w14:textId="77777777" w:rsidR="00454A29" w:rsidRDefault="00454A29">
            <w:pPr>
              <w:pStyle w:val="ConsPlusNormal"/>
              <w:jc w:val="center"/>
            </w:pPr>
            <w:r>
              <w:t>11 558,85</w:t>
            </w:r>
          </w:p>
        </w:tc>
        <w:tc>
          <w:tcPr>
            <w:tcW w:w="1701" w:type="dxa"/>
            <w:vAlign w:val="center"/>
          </w:tcPr>
          <w:p w14:paraId="13C44424" w14:textId="77777777" w:rsidR="00454A29" w:rsidRDefault="00454A29">
            <w:pPr>
              <w:pStyle w:val="ConsPlusNormal"/>
              <w:jc w:val="center"/>
            </w:pPr>
            <w:r>
              <w:t>1 144 326,05</w:t>
            </w:r>
          </w:p>
        </w:tc>
        <w:tc>
          <w:tcPr>
            <w:tcW w:w="1701" w:type="dxa"/>
            <w:vAlign w:val="center"/>
          </w:tcPr>
          <w:p w14:paraId="6B76CC7A" w14:textId="77777777" w:rsidR="00454A29" w:rsidRDefault="00454A29">
            <w:pPr>
              <w:pStyle w:val="ConsPlusNormal"/>
              <w:jc w:val="center"/>
            </w:pPr>
            <w:r>
              <w:t>-</w:t>
            </w:r>
          </w:p>
        </w:tc>
        <w:tc>
          <w:tcPr>
            <w:tcW w:w="1814" w:type="dxa"/>
            <w:vAlign w:val="center"/>
          </w:tcPr>
          <w:p w14:paraId="478F5563" w14:textId="77777777" w:rsidR="00454A29" w:rsidRDefault="00454A29">
            <w:pPr>
              <w:pStyle w:val="ConsPlusNormal"/>
              <w:jc w:val="center"/>
            </w:pPr>
            <w:r>
              <w:t>-</w:t>
            </w:r>
          </w:p>
        </w:tc>
      </w:tr>
      <w:tr w:rsidR="00454A29" w14:paraId="384FACE6" w14:textId="77777777">
        <w:tc>
          <w:tcPr>
            <w:tcW w:w="567" w:type="dxa"/>
            <w:vMerge/>
          </w:tcPr>
          <w:p w14:paraId="7D0EBA0A" w14:textId="77777777" w:rsidR="00454A29" w:rsidRDefault="00454A29"/>
        </w:tc>
        <w:tc>
          <w:tcPr>
            <w:tcW w:w="3345" w:type="dxa"/>
            <w:vMerge/>
          </w:tcPr>
          <w:p w14:paraId="39040326" w14:textId="77777777" w:rsidR="00454A29" w:rsidRDefault="00454A29"/>
        </w:tc>
        <w:tc>
          <w:tcPr>
            <w:tcW w:w="1701" w:type="dxa"/>
            <w:vAlign w:val="center"/>
          </w:tcPr>
          <w:p w14:paraId="69F9A9D6" w14:textId="77777777" w:rsidR="00454A29" w:rsidRDefault="00454A29">
            <w:pPr>
              <w:pStyle w:val="ConsPlusNormal"/>
              <w:jc w:val="center"/>
            </w:pPr>
            <w:r>
              <w:t>2020</w:t>
            </w:r>
          </w:p>
        </w:tc>
        <w:tc>
          <w:tcPr>
            <w:tcW w:w="1417" w:type="dxa"/>
            <w:vMerge/>
          </w:tcPr>
          <w:p w14:paraId="29F55933" w14:textId="77777777" w:rsidR="00454A29" w:rsidRDefault="00454A29"/>
        </w:tc>
        <w:tc>
          <w:tcPr>
            <w:tcW w:w="2204" w:type="dxa"/>
            <w:vMerge/>
          </w:tcPr>
          <w:p w14:paraId="446BC6EE" w14:textId="77777777" w:rsidR="00454A29" w:rsidRDefault="00454A29"/>
        </w:tc>
        <w:tc>
          <w:tcPr>
            <w:tcW w:w="1417" w:type="dxa"/>
            <w:vMerge/>
          </w:tcPr>
          <w:p w14:paraId="75BB6449" w14:textId="77777777" w:rsidR="00454A29" w:rsidRDefault="00454A29"/>
        </w:tc>
        <w:tc>
          <w:tcPr>
            <w:tcW w:w="2324" w:type="dxa"/>
            <w:vMerge/>
          </w:tcPr>
          <w:p w14:paraId="31033DD4" w14:textId="77777777" w:rsidR="00454A29" w:rsidRDefault="00454A29"/>
        </w:tc>
        <w:tc>
          <w:tcPr>
            <w:tcW w:w="1701" w:type="dxa"/>
            <w:vAlign w:val="center"/>
          </w:tcPr>
          <w:p w14:paraId="6467CADA" w14:textId="77777777" w:rsidR="00454A29" w:rsidRDefault="00454A29">
            <w:pPr>
              <w:pStyle w:val="ConsPlusNormal"/>
            </w:pPr>
          </w:p>
        </w:tc>
        <w:tc>
          <w:tcPr>
            <w:tcW w:w="1814" w:type="dxa"/>
            <w:vAlign w:val="center"/>
          </w:tcPr>
          <w:p w14:paraId="7CDDE90E" w14:textId="77777777" w:rsidR="00454A29" w:rsidRDefault="00454A29">
            <w:pPr>
              <w:pStyle w:val="ConsPlusNormal"/>
            </w:pPr>
          </w:p>
        </w:tc>
        <w:tc>
          <w:tcPr>
            <w:tcW w:w="1701" w:type="dxa"/>
            <w:vAlign w:val="center"/>
          </w:tcPr>
          <w:p w14:paraId="6842B273" w14:textId="77777777" w:rsidR="00454A29" w:rsidRDefault="00454A29">
            <w:pPr>
              <w:pStyle w:val="ConsPlusNormal"/>
            </w:pPr>
          </w:p>
        </w:tc>
        <w:tc>
          <w:tcPr>
            <w:tcW w:w="1701" w:type="dxa"/>
            <w:vAlign w:val="center"/>
          </w:tcPr>
          <w:p w14:paraId="61C4C310" w14:textId="77777777" w:rsidR="00454A29" w:rsidRDefault="00454A29">
            <w:pPr>
              <w:pStyle w:val="ConsPlusNormal"/>
            </w:pPr>
          </w:p>
        </w:tc>
        <w:tc>
          <w:tcPr>
            <w:tcW w:w="1814" w:type="dxa"/>
            <w:vAlign w:val="center"/>
          </w:tcPr>
          <w:p w14:paraId="547C1C1F" w14:textId="77777777" w:rsidR="00454A29" w:rsidRDefault="00454A29">
            <w:pPr>
              <w:pStyle w:val="ConsPlusNormal"/>
            </w:pPr>
          </w:p>
        </w:tc>
      </w:tr>
      <w:tr w:rsidR="00454A29" w14:paraId="6F347385" w14:textId="77777777">
        <w:tc>
          <w:tcPr>
            <w:tcW w:w="567" w:type="dxa"/>
            <w:vMerge/>
          </w:tcPr>
          <w:p w14:paraId="63A8D303" w14:textId="77777777" w:rsidR="00454A29" w:rsidRDefault="00454A29"/>
        </w:tc>
        <w:tc>
          <w:tcPr>
            <w:tcW w:w="3345" w:type="dxa"/>
            <w:vMerge/>
          </w:tcPr>
          <w:p w14:paraId="5EB403AA" w14:textId="77777777" w:rsidR="00454A29" w:rsidRDefault="00454A29"/>
        </w:tc>
        <w:tc>
          <w:tcPr>
            <w:tcW w:w="1701" w:type="dxa"/>
            <w:vAlign w:val="center"/>
          </w:tcPr>
          <w:p w14:paraId="3AFD67FA" w14:textId="77777777" w:rsidR="00454A29" w:rsidRDefault="00454A29">
            <w:pPr>
              <w:pStyle w:val="ConsPlusNormal"/>
              <w:jc w:val="center"/>
            </w:pPr>
            <w:r>
              <w:t>2021</w:t>
            </w:r>
          </w:p>
        </w:tc>
        <w:tc>
          <w:tcPr>
            <w:tcW w:w="1417" w:type="dxa"/>
            <w:vMerge/>
          </w:tcPr>
          <w:p w14:paraId="268AA5C8" w14:textId="77777777" w:rsidR="00454A29" w:rsidRDefault="00454A29"/>
        </w:tc>
        <w:tc>
          <w:tcPr>
            <w:tcW w:w="2204" w:type="dxa"/>
            <w:vMerge/>
          </w:tcPr>
          <w:p w14:paraId="3006B9D5" w14:textId="77777777" w:rsidR="00454A29" w:rsidRDefault="00454A29"/>
        </w:tc>
        <w:tc>
          <w:tcPr>
            <w:tcW w:w="1417" w:type="dxa"/>
            <w:vMerge/>
          </w:tcPr>
          <w:p w14:paraId="0D13E17F" w14:textId="77777777" w:rsidR="00454A29" w:rsidRDefault="00454A29"/>
        </w:tc>
        <w:tc>
          <w:tcPr>
            <w:tcW w:w="2324" w:type="dxa"/>
            <w:vMerge/>
          </w:tcPr>
          <w:p w14:paraId="4EBE72B1" w14:textId="77777777" w:rsidR="00454A29" w:rsidRDefault="00454A29"/>
        </w:tc>
        <w:tc>
          <w:tcPr>
            <w:tcW w:w="1701" w:type="dxa"/>
            <w:vAlign w:val="center"/>
          </w:tcPr>
          <w:p w14:paraId="7B42DAEC" w14:textId="77777777" w:rsidR="00454A29" w:rsidRDefault="00454A29">
            <w:pPr>
              <w:pStyle w:val="ConsPlusNormal"/>
            </w:pPr>
          </w:p>
        </w:tc>
        <w:tc>
          <w:tcPr>
            <w:tcW w:w="1814" w:type="dxa"/>
            <w:vAlign w:val="center"/>
          </w:tcPr>
          <w:p w14:paraId="4ED57BC8" w14:textId="77777777" w:rsidR="00454A29" w:rsidRDefault="00454A29">
            <w:pPr>
              <w:pStyle w:val="ConsPlusNormal"/>
            </w:pPr>
          </w:p>
        </w:tc>
        <w:tc>
          <w:tcPr>
            <w:tcW w:w="1701" w:type="dxa"/>
            <w:vAlign w:val="center"/>
          </w:tcPr>
          <w:p w14:paraId="6EFA7ECC" w14:textId="77777777" w:rsidR="00454A29" w:rsidRDefault="00454A29">
            <w:pPr>
              <w:pStyle w:val="ConsPlusNormal"/>
            </w:pPr>
          </w:p>
        </w:tc>
        <w:tc>
          <w:tcPr>
            <w:tcW w:w="1701" w:type="dxa"/>
            <w:vAlign w:val="center"/>
          </w:tcPr>
          <w:p w14:paraId="1ADF3B78" w14:textId="77777777" w:rsidR="00454A29" w:rsidRDefault="00454A29">
            <w:pPr>
              <w:pStyle w:val="ConsPlusNormal"/>
            </w:pPr>
          </w:p>
        </w:tc>
        <w:tc>
          <w:tcPr>
            <w:tcW w:w="1814" w:type="dxa"/>
            <w:vAlign w:val="center"/>
          </w:tcPr>
          <w:p w14:paraId="00F918AE" w14:textId="77777777" w:rsidR="00454A29" w:rsidRDefault="00454A29">
            <w:pPr>
              <w:pStyle w:val="ConsPlusNormal"/>
            </w:pPr>
          </w:p>
        </w:tc>
      </w:tr>
      <w:tr w:rsidR="00454A29" w14:paraId="137FEBF8" w14:textId="77777777">
        <w:tc>
          <w:tcPr>
            <w:tcW w:w="567" w:type="dxa"/>
            <w:vMerge/>
          </w:tcPr>
          <w:p w14:paraId="4A40AAE1" w14:textId="77777777" w:rsidR="00454A29" w:rsidRDefault="00454A29"/>
        </w:tc>
        <w:tc>
          <w:tcPr>
            <w:tcW w:w="3345" w:type="dxa"/>
            <w:vMerge/>
          </w:tcPr>
          <w:p w14:paraId="2DE85EF8" w14:textId="77777777" w:rsidR="00454A29" w:rsidRDefault="00454A29"/>
        </w:tc>
        <w:tc>
          <w:tcPr>
            <w:tcW w:w="1701" w:type="dxa"/>
            <w:vAlign w:val="center"/>
          </w:tcPr>
          <w:p w14:paraId="469012C8" w14:textId="77777777" w:rsidR="00454A29" w:rsidRDefault="00454A29">
            <w:pPr>
              <w:pStyle w:val="ConsPlusNormal"/>
              <w:jc w:val="center"/>
            </w:pPr>
            <w:r>
              <w:t>2022</w:t>
            </w:r>
          </w:p>
        </w:tc>
        <w:tc>
          <w:tcPr>
            <w:tcW w:w="1417" w:type="dxa"/>
            <w:vMerge/>
          </w:tcPr>
          <w:p w14:paraId="202D4F76" w14:textId="77777777" w:rsidR="00454A29" w:rsidRDefault="00454A29"/>
        </w:tc>
        <w:tc>
          <w:tcPr>
            <w:tcW w:w="2204" w:type="dxa"/>
            <w:vMerge/>
          </w:tcPr>
          <w:p w14:paraId="054E1C51" w14:textId="77777777" w:rsidR="00454A29" w:rsidRDefault="00454A29"/>
        </w:tc>
        <w:tc>
          <w:tcPr>
            <w:tcW w:w="1417" w:type="dxa"/>
            <w:vMerge/>
          </w:tcPr>
          <w:p w14:paraId="20A0F69E" w14:textId="77777777" w:rsidR="00454A29" w:rsidRDefault="00454A29"/>
        </w:tc>
        <w:tc>
          <w:tcPr>
            <w:tcW w:w="2324" w:type="dxa"/>
            <w:vMerge/>
          </w:tcPr>
          <w:p w14:paraId="5A21BECC" w14:textId="77777777" w:rsidR="00454A29" w:rsidRDefault="00454A29"/>
        </w:tc>
        <w:tc>
          <w:tcPr>
            <w:tcW w:w="1701" w:type="dxa"/>
            <w:vAlign w:val="center"/>
          </w:tcPr>
          <w:p w14:paraId="5BA1892D" w14:textId="77777777" w:rsidR="00454A29" w:rsidRDefault="00454A29">
            <w:pPr>
              <w:pStyle w:val="ConsPlusNormal"/>
            </w:pPr>
          </w:p>
        </w:tc>
        <w:tc>
          <w:tcPr>
            <w:tcW w:w="1814" w:type="dxa"/>
            <w:vAlign w:val="center"/>
          </w:tcPr>
          <w:p w14:paraId="5F1860DB" w14:textId="77777777" w:rsidR="00454A29" w:rsidRDefault="00454A29">
            <w:pPr>
              <w:pStyle w:val="ConsPlusNormal"/>
            </w:pPr>
          </w:p>
        </w:tc>
        <w:tc>
          <w:tcPr>
            <w:tcW w:w="1701" w:type="dxa"/>
            <w:vAlign w:val="center"/>
          </w:tcPr>
          <w:p w14:paraId="4548A5C6" w14:textId="77777777" w:rsidR="00454A29" w:rsidRDefault="00454A29">
            <w:pPr>
              <w:pStyle w:val="ConsPlusNormal"/>
            </w:pPr>
          </w:p>
        </w:tc>
        <w:tc>
          <w:tcPr>
            <w:tcW w:w="1701" w:type="dxa"/>
            <w:vAlign w:val="center"/>
          </w:tcPr>
          <w:p w14:paraId="0F0C6C35" w14:textId="77777777" w:rsidR="00454A29" w:rsidRDefault="00454A29">
            <w:pPr>
              <w:pStyle w:val="ConsPlusNormal"/>
            </w:pPr>
          </w:p>
        </w:tc>
        <w:tc>
          <w:tcPr>
            <w:tcW w:w="1814" w:type="dxa"/>
            <w:vAlign w:val="center"/>
          </w:tcPr>
          <w:p w14:paraId="6A9FE779" w14:textId="77777777" w:rsidR="00454A29" w:rsidRDefault="00454A29">
            <w:pPr>
              <w:pStyle w:val="ConsPlusNormal"/>
            </w:pPr>
          </w:p>
        </w:tc>
      </w:tr>
      <w:tr w:rsidR="00454A29" w14:paraId="5EACD429" w14:textId="77777777">
        <w:tc>
          <w:tcPr>
            <w:tcW w:w="567" w:type="dxa"/>
            <w:vMerge/>
          </w:tcPr>
          <w:p w14:paraId="2D8C48DC" w14:textId="77777777" w:rsidR="00454A29" w:rsidRDefault="00454A29"/>
        </w:tc>
        <w:tc>
          <w:tcPr>
            <w:tcW w:w="3345" w:type="dxa"/>
            <w:vMerge/>
          </w:tcPr>
          <w:p w14:paraId="79D3E980" w14:textId="77777777" w:rsidR="00454A29" w:rsidRDefault="00454A29"/>
        </w:tc>
        <w:tc>
          <w:tcPr>
            <w:tcW w:w="1701" w:type="dxa"/>
            <w:vAlign w:val="center"/>
          </w:tcPr>
          <w:p w14:paraId="51B1BB93" w14:textId="77777777" w:rsidR="00454A29" w:rsidRDefault="00454A29">
            <w:pPr>
              <w:pStyle w:val="ConsPlusNormal"/>
              <w:jc w:val="center"/>
            </w:pPr>
            <w:r>
              <w:t>2023</w:t>
            </w:r>
          </w:p>
        </w:tc>
        <w:tc>
          <w:tcPr>
            <w:tcW w:w="1417" w:type="dxa"/>
            <w:vMerge/>
          </w:tcPr>
          <w:p w14:paraId="2A75DBC8" w14:textId="77777777" w:rsidR="00454A29" w:rsidRDefault="00454A29"/>
        </w:tc>
        <w:tc>
          <w:tcPr>
            <w:tcW w:w="2204" w:type="dxa"/>
            <w:vMerge/>
          </w:tcPr>
          <w:p w14:paraId="067D5848" w14:textId="77777777" w:rsidR="00454A29" w:rsidRDefault="00454A29"/>
        </w:tc>
        <w:tc>
          <w:tcPr>
            <w:tcW w:w="1417" w:type="dxa"/>
            <w:vMerge/>
          </w:tcPr>
          <w:p w14:paraId="11B086B8" w14:textId="77777777" w:rsidR="00454A29" w:rsidRDefault="00454A29"/>
        </w:tc>
        <w:tc>
          <w:tcPr>
            <w:tcW w:w="2324" w:type="dxa"/>
            <w:vMerge/>
          </w:tcPr>
          <w:p w14:paraId="3C2CFC0A" w14:textId="77777777" w:rsidR="00454A29" w:rsidRDefault="00454A29"/>
        </w:tc>
        <w:tc>
          <w:tcPr>
            <w:tcW w:w="1701" w:type="dxa"/>
            <w:vAlign w:val="center"/>
          </w:tcPr>
          <w:p w14:paraId="24CDD224" w14:textId="77777777" w:rsidR="00454A29" w:rsidRDefault="00454A29">
            <w:pPr>
              <w:pStyle w:val="ConsPlusNormal"/>
            </w:pPr>
          </w:p>
        </w:tc>
        <w:tc>
          <w:tcPr>
            <w:tcW w:w="1814" w:type="dxa"/>
            <w:vAlign w:val="center"/>
          </w:tcPr>
          <w:p w14:paraId="07038600" w14:textId="77777777" w:rsidR="00454A29" w:rsidRDefault="00454A29">
            <w:pPr>
              <w:pStyle w:val="ConsPlusNormal"/>
            </w:pPr>
          </w:p>
        </w:tc>
        <w:tc>
          <w:tcPr>
            <w:tcW w:w="1701" w:type="dxa"/>
            <w:vAlign w:val="center"/>
          </w:tcPr>
          <w:p w14:paraId="2D385617" w14:textId="77777777" w:rsidR="00454A29" w:rsidRDefault="00454A29">
            <w:pPr>
              <w:pStyle w:val="ConsPlusNormal"/>
            </w:pPr>
          </w:p>
        </w:tc>
        <w:tc>
          <w:tcPr>
            <w:tcW w:w="1701" w:type="dxa"/>
            <w:vAlign w:val="center"/>
          </w:tcPr>
          <w:p w14:paraId="654B6AA6" w14:textId="77777777" w:rsidR="00454A29" w:rsidRDefault="00454A29">
            <w:pPr>
              <w:pStyle w:val="ConsPlusNormal"/>
            </w:pPr>
          </w:p>
        </w:tc>
        <w:tc>
          <w:tcPr>
            <w:tcW w:w="1814" w:type="dxa"/>
            <w:vAlign w:val="center"/>
          </w:tcPr>
          <w:p w14:paraId="19474849" w14:textId="77777777" w:rsidR="00454A29" w:rsidRDefault="00454A29">
            <w:pPr>
              <w:pStyle w:val="ConsPlusNormal"/>
            </w:pPr>
          </w:p>
        </w:tc>
      </w:tr>
      <w:tr w:rsidR="00454A29" w14:paraId="72B19DD5" w14:textId="77777777">
        <w:tc>
          <w:tcPr>
            <w:tcW w:w="567" w:type="dxa"/>
            <w:vMerge/>
          </w:tcPr>
          <w:p w14:paraId="27541937" w14:textId="77777777" w:rsidR="00454A29" w:rsidRDefault="00454A29"/>
        </w:tc>
        <w:tc>
          <w:tcPr>
            <w:tcW w:w="3345" w:type="dxa"/>
            <w:vMerge/>
          </w:tcPr>
          <w:p w14:paraId="6058112B" w14:textId="77777777" w:rsidR="00454A29" w:rsidRDefault="00454A29"/>
        </w:tc>
        <w:tc>
          <w:tcPr>
            <w:tcW w:w="1701" w:type="dxa"/>
            <w:vAlign w:val="center"/>
          </w:tcPr>
          <w:p w14:paraId="2D9795AF" w14:textId="77777777" w:rsidR="00454A29" w:rsidRDefault="00454A29">
            <w:pPr>
              <w:pStyle w:val="ConsPlusNormal"/>
              <w:jc w:val="center"/>
            </w:pPr>
            <w:r>
              <w:t>2024</w:t>
            </w:r>
          </w:p>
        </w:tc>
        <w:tc>
          <w:tcPr>
            <w:tcW w:w="1417" w:type="dxa"/>
            <w:vMerge/>
          </w:tcPr>
          <w:p w14:paraId="2B56261B" w14:textId="77777777" w:rsidR="00454A29" w:rsidRDefault="00454A29"/>
        </w:tc>
        <w:tc>
          <w:tcPr>
            <w:tcW w:w="2204" w:type="dxa"/>
            <w:vMerge/>
          </w:tcPr>
          <w:p w14:paraId="230090E2" w14:textId="77777777" w:rsidR="00454A29" w:rsidRDefault="00454A29"/>
        </w:tc>
        <w:tc>
          <w:tcPr>
            <w:tcW w:w="1417" w:type="dxa"/>
            <w:vMerge/>
          </w:tcPr>
          <w:p w14:paraId="67C2F4FB" w14:textId="77777777" w:rsidR="00454A29" w:rsidRDefault="00454A29"/>
        </w:tc>
        <w:tc>
          <w:tcPr>
            <w:tcW w:w="2324" w:type="dxa"/>
            <w:vMerge/>
          </w:tcPr>
          <w:p w14:paraId="3D3D3AF1" w14:textId="77777777" w:rsidR="00454A29" w:rsidRDefault="00454A29"/>
        </w:tc>
        <w:tc>
          <w:tcPr>
            <w:tcW w:w="1701" w:type="dxa"/>
            <w:vAlign w:val="center"/>
          </w:tcPr>
          <w:p w14:paraId="710B0FC2" w14:textId="77777777" w:rsidR="00454A29" w:rsidRDefault="00454A29">
            <w:pPr>
              <w:pStyle w:val="ConsPlusNormal"/>
            </w:pPr>
          </w:p>
        </w:tc>
        <w:tc>
          <w:tcPr>
            <w:tcW w:w="1814" w:type="dxa"/>
            <w:vAlign w:val="center"/>
          </w:tcPr>
          <w:p w14:paraId="50686802" w14:textId="77777777" w:rsidR="00454A29" w:rsidRDefault="00454A29">
            <w:pPr>
              <w:pStyle w:val="ConsPlusNormal"/>
            </w:pPr>
          </w:p>
        </w:tc>
        <w:tc>
          <w:tcPr>
            <w:tcW w:w="1701" w:type="dxa"/>
            <w:vAlign w:val="center"/>
          </w:tcPr>
          <w:p w14:paraId="506AE92C" w14:textId="77777777" w:rsidR="00454A29" w:rsidRDefault="00454A29">
            <w:pPr>
              <w:pStyle w:val="ConsPlusNormal"/>
            </w:pPr>
          </w:p>
        </w:tc>
        <w:tc>
          <w:tcPr>
            <w:tcW w:w="1701" w:type="dxa"/>
            <w:vAlign w:val="center"/>
          </w:tcPr>
          <w:p w14:paraId="30800BA9" w14:textId="77777777" w:rsidR="00454A29" w:rsidRDefault="00454A29">
            <w:pPr>
              <w:pStyle w:val="ConsPlusNormal"/>
            </w:pPr>
          </w:p>
        </w:tc>
        <w:tc>
          <w:tcPr>
            <w:tcW w:w="1814" w:type="dxa"/>
            <w:vAlign w:val="center"/>
          </w:tcPr>
          <w:p w14:paraId="3B4C2198" w14:textId="77777777" w:rsidR="00454A29" w:rsidRDefault="00454A29">
            <w:pPr>
              <w:pStyle w:val="ConsPlusNormal"/>
            </w:pPr>
          </w:p>
        </w:tc>
      </w:tr>
      <w:tr w:rsidR="00454A29" w14:paraId="1D84CC18" w14:textId="77777777">
        <w:tc>
          <w:tcPr>
            <w:tcW w:w="567" w:type="dxa"/>
            <w:vMerge/>
          </w:tcPr>
          <w:p w14:paraId="2300D783" w14:textId="77777777" w:rsidR="00454A29" w:rsidRDefault="00454A29"/>
        </w:tc>
        <w:tc>
          <w:tcPr>
            <w:tcW w:w="3345" w:type="dxa"/>
            <w:vMerge/>
          </w:tcPr>
          <w:p w14:paraId="72587C0D" w14:textId="77777777" w:rsidR="00454A29" w:rsidRDefault="00454A29"/>
        </w:tc>
        <w:tc>
          <w:tcPr>
            <w:tcW w:w="1701" w:type="dxa"/>
            <w:vAlign w:val="center"/>
          </w:tcPr>
          <w:p w14:paraId="479BF928" w14:textId="77777777" w:rsidR="00454A29" w:rsidRDefault="00454A29">
            <w:pPr>
              <w:pStyle w:val="ConsPlusNormal"/>
              <w:jc w:val="center"/>
            </w:pPr>
            <w:r>
              <w:t>2025</w:t>
            </w:r>
          </w:p>
        </w:tc>
        <w:tc>
          <w:tcPr>
            <w:tcW w:w="1417" w:type="dxa"/>
            <w:vMerge/>
          </w:tcPr>
          <w:p w14:paraId="45B245E1" w14:textId="77777777" w:rsidR="00454A29" w:rsidRDefault="00454A29"/>
        </w:tc>
        <w:tc>
          <w:tcPr>
            <w:tcW w:w="2204" w:type="dxa"/>
            <w:vMerge/>
          </w:tcPr>
          <w:p w14:paraId="632F941D" w14:textId="77777777" w:rsidR="00454A29" w:rsidRDefault="00454A29"/>
        </w:tc>
        <w:tc>
          <w:tcPr>
            <w:tcW w:w="1417" w:type="dxa"/>
            <w:vMerge/>
          </w:tcPr>
          <w:p w14:paraId="33521266" w14:textId="77777777" w:rsidR="00454A29" w:rsidRDefault="00454A29"/>
        </w:tc>
        <w:tc>
          <w:tcPr>
            <w:tcW w:w="2324" w:type="dxa"/>
            <w:vMerge/>
          </w:tcPr>
          <w:p w14:paraId="6E98A22D" w14:textId="77777777" w:rsidR="00454A29" w:rsidRDefault="00454A29"/>
        </w:tc>
        <w:tc>
          <w:tcPr>
            <w:tcW w:w="1701" w:type="dxa"/>
            <w:vAlign w:val="center"/>
          </w:tcPr>
          <w:p w14:paraId="7092915B" w14:textId="77777777" w:rsidR="00454A29" w:rsidRDefault="00454A29">
            <w:pPr>
              <w:pStyle w:val="ConsPlusNormal"/>
              <w:jc w:val="center"/>
            </w:pPr>
            <w:r>
              <w:t>913 743,00</w:t>
            </w:r>
          </w:p>
        </w:tc>
        <w:tc>
          <w:tcPr>
            <w:tcW w:w="1814" w:type="dxa"/>
            <w:vAlign w:val="center"/>
          </w:tcPr>
          <w:p w14:paraId="41DF3763" w14:textId="77777777" w:rsidR="00454A29" w:rsidRDefault="00454A29">
            <w:pPr>
              <w:pStyle w:val="ConsPlusNormal"/>
              <w:jc w:val="center"/>
            </w:pPr>
            <w:r>
              <w:t>11 558,85</w:t>
            </w:r>
          </w:p>
        </w:tc>
        <w:tc>
          <w:tcPr>
            <w:tcW w:w="1701" w:type="dxa"/>
            <w:vAlign w:val="center"/>
          </w:tcPr>
          <w:p w14:paraId="2B5C9706" w14:textId="77777777" w:rsidR="00454A29" w:rsidRDefault="00454A29">
            <w:pPr>
              <w:pStyle w:val="ConsPlusNormal"/>
              <w:jc w:val="center"/>
            </w:pPr>
            <w:r>
              <w:t>1 144 326,05</w:t>
            </w:r>
          </w:p>
        </w:tc>
        <w:tc>
          <w:tcPr>
            <w:tcW w:w="1701" w:type="dxa"/>
            <w:vAlign w:val="center"/>
          </w:tcPr>
          <w:p w14:paraId="1A1A94A7" w14:textId="77777777" w:rsidR="00454A29" w:rsidRDefault="00454A29">
            <w:pPr>
              <w:pStyle w:val="ConsPlusNormal"/>
            </w:pPr>
          </w:p>
        </w:tc>
        <w:tc>
          <w:tcPr>
            <w:tcW w:w="1814" w:type="dxa"/>
            <w:vAlign w:val="center"/>
          </w:tcPr>
          <w:p w14:paraId="08C58B7C" w14:textId="77777777" w:rsidR="00454A29" w:rsidRDefault="00454A29">
            <w:pPr>
              <w:pStyle w:val="ConsPlusNormal"/>
            </w:pPr>
          </w:p>
        </w:tc>
      </w:tr>
      <w:tr w:rsidR="00454A29" w14:paraId="438E702F" w14:textId="77777777">
        <w:tc>
          <w:tcPr>
            <w:tcW w:w="567" w:type="dxa"/>
            <w:vMerge/>
          </w:tcPr>
          <w:p w14:paraId="0A968977" w14:textId="77777777" w:rsidR="00454A29" w:rsidRDefault="00454A29"/>
        </w:tc>
        <w:tc>
          <w:tcPr>
            <w:tcW w:w="3345" w:type="dxa"/>
            <w:vMerge/>
          </w:tcPr>
          <w:p w14:paraId="4C245E6A" w14:textId="77777777" w:rsidR="00454A29" w:rsidRDefault="00454A29"/>
        </w:tc>
        <w:tc>
          <w:tcPr>
            <w:tcW w:w="1701" w:type="dxa"/>
            <w:vAlign w:val="center"/>
          </w:tcPr>
          <w:p w14:paraId="2A46ED96" w14:textId="77777777" w:rsidR="00454A29" w:rsidRDefault="00454A29">
            <w:pPr>
              <w:pStyle w:val="ConsPlusNormal"/>
              <w:jc w:val="center"/>
            </w:pPr>
            <w:r>
              <w:t>2026</w:t>
            </w:r>
          </w:p>
        </w:tc>
        <w:tc>
          <w:tcPr>
            <w:tcW w:w="1417" w:type="dxa"/>
            <w:vMerge/>
          </w:tcPr>
          <w:p w14:paraId="7E156E9A" w14:textId="77777777" w:rsidR="00454A29" w:rsidRDefault="00454A29"/>
        </w:tc>
        <w:tc>
          <w:tcPr>
            <w:tcW w:w="2204" w:type="dxa"/>
            <w:vMerge/>
          </w:tcPr>
          <w:p w14:paraId="1741055B" w14:textId="77777777" w:rsidR="00454A29" w:rsidRDefault="00454A29"/>
        </w:tc>
        <w:tc>
          <w:tcPr>
            <w:tcW w:w="1417" w:type="dxa"/>
            <w:vMerge/>
          </w:tcPr>
          <w:p w14:paraId="34772DD4" w14:textId="77777777" w:rsidR="00454A29" w:rsidRDefault="00454A29"/>
        </w:tc>
        <w:tc>
          <w:tcPr>
            <w:tcW w:w="2324" w:type="dxa"/>
            <w:vMerge/>
          </w:tcPr>
          <w:p w14:paraId="5B25F994" w14:textId="77777777" w:rsidR="00454A29" w:rsidRDefault="00454A29"/>
        </w:tc>
        <w:tc>
          <w:tcPr>
            <w:tcW w:w="1701" w:type="dxa"/>
            <w:vAlign w:val="center"/>
          </w:tcPr>
          <w:p w14:paraId="5AE47B41" w14:textId="77777777" w:rsidR="00454A29" w:rsidRDefault="00454A29">
            <w:pPr>
              <w:pStyle w:val="ConsPlusNormal"/>
            </w:pPr>
          </w:p>
        </w:tc>
        <w:tc>
          <w:tcPr>
            <w:tcW w:w="1814" w:type="dxa"/>
            <w:vAlign w:val="center"/>
          </w:tcPr>
          <w:p w14:paraId="0A595A50" w14:textId="77777777" w:rsidR="00454A29" w:rsidRDefault="00454A29">
            <w:pPr>
              <w:pStyle w:val="ConsPlusNormal"/>
            </w:pPr>
          </w:p>
        </w:tc>
        <w:tc>
          <w:tcPr>
            <w:tcW w:w="1701" w:type="dxa"/>
            <w:vAlign w:val="center"/>
          </w:tcPr>
          <w:p w14:paraId="20EA5F8B" w14:textId="77777777" w:rsidR="00454A29" w:rsidRDefault="00454A29">
            <w:pPr>
              <w:pStyle w:val="ConsPlusNormal"/>
            </w:pPr>
          </w:p>
        </w:tc>
        <w:tc>
          <w:tcPr>
            <w:tcW w:w="1701" w:type="dxa"/>
            <w:vAlign w:val="center"/>
          </w:tcPr>
          <w:p w14:paraId="5A601EFA" w14:textId="77777777" w:rsidR="00454A29" w:rsidRDefault="00454A29">
            <w:pPr>
              <w:pStyle w:val="ConsPlusNormal"/>
            </w:pPr>
          </w:p>
        </w:tc>
        <w:tc>
          <w:tcPr>
            <w:tcW w:w="1814" w:type="dxa"/>
            <w:vAlign w:val="center"/>
          </w:tcPr>
          <w:p w14:paraId="3491419A" w14:textId="77777777" w:rsidR="00454A29" w:rsidRDefault="00454A29">
            <w:pPr>
              <w:pStyle w:val="ConsPlusNormal"/>
            </w:pPr>
          </w:p>
        </w:tc>
      </w:tr>
      <w:tr w:rsidR="00454A29" w14:paraId="46E33F98" w14:textId="77777777">
        <w:tc>
          <w:tcPr>
            <w:tcW w:w="567" w:type="dxa"/>
            <w:vMerge w:val="restart"/>
            <w:vAlign w:val="center"/>
          </w:tcPr>
          <w:p w14:paraId="4A72A09A" w14:textId="77777777" w:rsidR="00454A29" w:rsidRDefault="00454A29">
            <w:pPr>
              <w:pStyle w:val="ConsPlusNormal"/>
              <w:jc w:val="center"/>
            </w:pPr>
            <w:r>
              <w:t>50</w:t>
            </w:r>
          </w:p>
        </w:tc>
        <w:tc>
          <w:tcPr>
            <w:tcW w:w="3345" w:type="dxa"/>
            <w:vMerge w:val="restart"/>
            <w:vAlign w:val="center"/>
          </w:tcPr>
          <w:p w14:paraId="2A881282" w14:textId="77777777" w:rsidR="00454A29" w:rsidRDefault="00454A29">
            <w:pPr>
              <w:pStyle w:val="ConsPlusNormal"/>
              <w:jc w:val="center"/>
            </w:pPr>
            <w:r>
              <w:t>Школа на 100 учащихся в с. Бясь-Кюель</w:t>
            </w:r>
          </w:p>
        </w:tc>
        <w:tc>
          <w:tcPr>
            <w:tcW w:w="1701" w:type="dxa"/>
            <w:vAlign w:val="center"/>
          </w:tcPr>
          <w:p w14:paraId="413AC18B" w14:textId="77777777" w:rsidR="00454A29" w:rsidRDefault="00454A29">
            <w:pPr>
              <w:pStyle w:val="ConsPlusNormal"/>
              <w:jc w:val="center"/>
            </w:pPr>
            <w:r>
              <w:t>2020 - 2026 годы - всего</w:t>
            </w:r>
          </w:p>
        </w:tc>
        <w:tc>
          <w:tcPr>
            <w:tcW w:w="1417" w:type="dxa"/>
            <w:vMerge w:val="restart"/>
            <w:vAlign w:val="center"/>
          </w:tcPr>
          <w:p w14:paraId="061FD3CE" w14:textId="77777777" w:rsidR="00454A29" w:rsidRDefault="00454A29">
            <w:pPr>
              <w:pStyle w:val="ConsPlusNormal"/>
              <w:jc w:val="center"/>
            </w:pPr>
            <w:r>
              <w:t>367 824,52</w:t>
            </w:r>
          </w:p>
        </w:tc>
        <w:tc>
          <w:tcPr>
            <w:tcW w:w="2204" w:type="dxa"/>
            <w:vMerge w:val="restart"/>
            <w:vAlign w:val="center"/>
          </w:tcPr>
          <w:p w14:paraId="0E0D454E" w14:textId="77777777" w:rsidR="00454A29" w:rsidRDefault="00454A29">
            <w:pPr>
              <w:pStyle w:val="ConsPlusNormal"/>
            </w:pPr>
          </w:p>
        </w:tc>
        <w:tc>
          <w:tcPr>
            <w:tcW w:w="1417" w:type="dxa"/>
            <w:vMerge w:val="restart"/>
            <w:vAlign w:val="center"/>
          </w:tcPr>
          <w:p w14:paraId="2E286F0B" w14:textId="77777777" w:rsidR="00454A29" w:rsidRDefault="00454A29">
            <w:pPr>
              <w:pStyle w:val="ConsPlusNormal"/>
              <w:jc w:val="center"/>
            </w:pPr>
            <w:r>
              <w:t>100</w:t>
            </w:r>
          </w:p>
        </w:tc>
        <w:tc>
          <w:tcPr>
            <w:tcW w:w="2324" w:type="dxa"/>
            <w:vMerge w:val="restart"/>
            <w:vAlign w:val="center"/>
          </w:tcPr>
          <w:p w14:paraId="6038CB3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DD7FA9A" w14:textId="77777777" w:rsidR="00454A29" w:rsidRDefault="00454A29">
            <w:pPr>
              <w:pStyle w:val="ConsPlusNormal"/>
              <w:jc w:val="center"/>
            </w:pPr>
            <w:r>
              <w:t>367 824,52</w:t>
            </w:r>
          </w:p>
        </w:tc>
        <w:tc>
          <w:tcPr>
            <w:tcW w:w="1814" w:type="dxa"/>
            <w:vAlign w:val="center"/>
          </w:tcPr>
          <w:p w14:paraId="61B5E40C" w14:textId="77777777" w:rsidR="00454A29" w:rsidRDefault="00454A29">
            <w:pPr>
              <w:pStyle w:val="ConsPlusNormal"/>
              <w:jc w:val="center"/>
            </w:pPr>
            <w:r>
              <w:t>4 652,97</w:t>
            </w:r>
          </w:p>
        </w:tc>
        <w:tc>
          <w:tcPr>
            <w:tcW w:w="1701" w:type="dxa"/>
            <w:vAlign w:val="center"/>
          </w:tcPr>
          <w:p w14:paraId="19FA952D" w14:textId="77777777" w:rsidR="00454A29" w:rsidRDefault="00454A29">
            <w:pPr>
              <w:pStyle w:val="ConsPlusNormal"/>
              <w:jc w:val="center"/>
            </w:pPr>
            <w:r>
              <w:t>460 645,04</w:t>
            </w:r>
          </w:p>
        </w:tc>
        <w:tc>
          <w:tcPr>
            <w:tcW w:w="1701" w:type="dxa"/>
            <w:vAlign w:val="center"/>
          </w:tcPr>
          <w:p w14:paraId="3D3999A4" w14:textId="77777777" w:rsidR="00454A29" w:rsidRDefault="00454A29">
            <w:pPr>
              <w:pStyle w:val="ConsPlusNormal"/>
              <w:jc w:val="center"/>
            </w:pPr>
            <w:r>
              <w:t>-</w:t>
            </w:r>
          </w:p>
        </w:tc>
        <w:tc>
          <w:tcPr>
            <w:tcW w:w="1814" w:type="dxa"/>
            <w:vAlign w:val="center"/>
          </w:tcPr>
          <w:p w14:paraId="65C80E8E" w14:textId="77777777" w:rsidR="00454A29" w:rsidRDefault="00454A29">
            <w:pPr>
              <w:pStyle w:val="ConsPlusNormal"/>
              <w:jc w:val="center"/>
            </w:pPr>
            <w:r>
              <w:t>-</w:t>
            </w:r>
          </w:p>
        </w:tc>
      </w:tr>
      <w:tr w:rsidR="00454A29" w14:paraId="0D902038" w14:textId="77777777">
        <w:tc>
          <w:tcPr>
            <w:tcW w:w="567" w:type="dxa"/>
            <w:vMerge/>
          </w:tcPr>
          <w:p w14:paraId="170B742D" w14:textId="77777777" w:rsidR="00454A29" w:rsidRDefault="00454A29"/>
        </w:tc>
        <w:tc>
          <w:tcPr>
            <w:tcW w:w="3345" w:type="dxa"/>
            <w:vMerge/>
          </w:tcPr>
          <w:p w14:paraId="2D74A08A" w14:textId="77777777" w:rsidR="00454A29" w:rsidRDefault="00454A29"/>
        </w:tc>
        <w:tc>
          <w:tcPr>
            <w:tcW w:w="1701" w:type="dxa"/>
            <w:vAlign w:val="center"/>
          </w:tcPr>
          <w:p w14:paraId="6E3F9ED4" w14:textId="77777777" w:rsidR="00454A29" w:rsidRDefault="00454A29">
            <w:pPr>
              <w:pStyle w:val="ConsPlusNormal"/>
              <w:jc w:val="center"/>
            </w:pPr>
            <w:r>
              <w:t>2020</w:t>
            </w:r>
          </w:p>
        </w:tc>
        <w:tc>
          <w:tcPr>
            <w:tcW w:w="1417" w:type="dxa"/>
            <w:vMerge/>
          </w:tcPr>
          <w:p w14:paraId="19BD1CE9" w14:textId="77777777" w:rsidR="00454A29" w:rsidRDefault="00454A29"/>
        </w:tc>
        <w:tc>
          <w:tcPr>
            <w:tcW w:w="2204" w:type="dxa"/>
            <w:vMerge/>
          </w:tcPr>
          <w:p w14:paraId="070ACDB8" w14:textId="77777777" w:rsidR="00454A29" w:rsidRDefault="00454A29"/>
        </w:tc>
        <w:tc>
          <w:tcPr>
            <w:tcW w:w="1417" w:type="dxa"/>
            <w:vMerge/>
          </w:tcPr>
          <w:p w14:paraId="4482D2BA" w14:textId="77777777" w:rsidR="00454A29" w:rsidRDefault="00454A29"/>
        </w:tc>
        <w:tc>
          <w:tcPr>
            <w:tcW w:w="2324" w:type="dxa"/>
            <w:vMerge/>
          </w:tcPr>
          <w:p w14:paraId="69DAFCF7" w14:textId="77777777" w:rsidR="00454A29" w:rsidRDefault="00454A29"/>
        </w:tc>
        <w:tc>
          <w:tcPr>
            <w:tcW w:w="1701" w:type="dxa"/>
            <w:vAlign w:val="center"/>
          </w:tcPr>
          <w:p w14:paraId="11276FF1" w14:textId="77777777" w:rsidR="00454A29" w:rsidRDefault="00454A29">
            <w:pPr>
              <w:pStyle w:val="ConsPlusNormal"/>
            </w:pPr>
          </w:p>
        </w:tc>
        <w:tc>
          <w:tcPr>
            <w:tcW w:w="1814" w:type="dxa"/>
            <w:vAlign w:val="center"/>
          </w:tcPr>
          <w:p w14:paraId="30FE2CB8" w14:textId="77777777" w:rsidR="00454A29" w:rsidRDefault="00454A29">
            <w:pPr>
              <w:pStyle w:val="ConsPlusNormal"/>
            </w:pPr>
          </w:p>
        </w:tc>
        <w:tc>
          <w:tcPr>
            <w:tcW w:w="1701" w:type="dxa"/>
            <w:vAlign w:val="center"/>
          </w:tcPr>
          <w:p w14:paraId="22066337" w14:textId="77777777" w:rsidR="00454A29" w:rsidRDefault="00454A29">
            <w:pPr>
              <w:pStyle w:val="ConsPlusNormal"/>
            </w:pPr>
          </w:p>
        </w:tc>
        <w:tc>
          <w:tcPr>
            <w:tcW w:w="1701" w:type="dxa"/>
            <w:vAlign w:val="center"/>
          </w:tcPr>
          <w:p w14:paraId="6A18FCAF" w14:textId="77777777" w:rsidR="00454A29" w:rsidRDefault="00454A29">
            <w:pPr>
              <w:pStyle w:val="ConsPlusNormal"/>
            </w:pPr>
          </w:p>
        </w:tc>
        <w:tc>
          <w:tcPr>
            <w:tcW w:w="1814" w:type="dxa"/>
            <w:vAlign w:val="center"/>
          </w:tcPr>
          <w:p w14:paraId="5BA2BF42" w14:textId="77777777" w:rsidR="00454A29" w:rsidRDefault="00454A29">
            <w:pPr>
              <w:pStyle w:val="ConsPlusNormal"/>
            </w:pPr>
          </w:p>
        </w:tc>
      </w:tr>
      <w:tr w:rsidR="00454A29" w14:paraId="5E50AFEC" w14:textId="77777777">
        <w:tc>
          <w:tcPr>
            <w:tcW w:w="567" w:type="dxa"/>
            <w:vMerge/>
          </w:tcPr>
          <w:p w14:paraId="6D30C4A1" w14:textId="77777777" w:rsidR="00454A29" w:rsidRDefault="00454A29"/>
        </w:tc>
        <w:tc>
          <w:tcPr>
            <w:tcW w:w="3345" w:type="dxa"/>
            <w:vMerge/>
          </w:tcPr>
          <w:p w14:paraId="02F44EDA" w14:textId="77777777" w:rsidR="00454A29" w:rsidRDefault="00454A29"/>
        </w:tc>
        <w:tc>
          <w:tcPr>
            <w:tcW w:w="1701" w:type="dxa"/>
            <w:vAlign w:val="center"/>
          </w:tcPr>
          <w:p w14:paraId="7181A622" w14:textId="77777777" w:rsidR="00454A29" w:rsidRDefault="00454A29">
            <w:pPr>
              <w:pStyle w:val="ConsPlusNormal"/>
              <w:jc w:val="center"/>
            </w:pPr>
            <w:r>
              <w:t>2021</w:t>
            </w:r>
          </w:p>
        </w:tc>
        <w:tc>
          <w:tcPr>
            <w:tcW w:w="1417" w:type="dxa"/>
            <w:vMerge/>
          </w:tcPr>
          <w:p w14:paraId="15CF5540" w14:textId="77777777" w:rsidR="00454A29" w:rsidRDefault="00454A29"/>
        </w:tc>
        <w:tc>
          <w:tcPr>
            <w:tcW w:w="2204" w:type="dxa"/>
            <w:vMerge/>
          </w:tcPr>
          <w:p w14:paraId="4E063C36" w14:textId="77777777" w:rsidR="00454A29" w:rsidRDefault="00454A29"/>
        </w:tc>
        <w:tc>
          <w:tcPr>
            <w:tcW w:w="1417" w:type="dxa"/>
            <w:vMerge/>
          </w:tcPr>
          <w:p w14:paraId="6040B3CA" w14:textId="77777777" w:rsidR="00454A29" w:rsidRDefault="00454A29"/>
        </w:tc>
        <w:tc>
          <w:tcPr>
            <w:tcW w:w="2324" w:type="dxa"/>
            <w:vMerge/>
          </w:tcPr>
          <w:p w14:paraId="2D3E33DC" w14:textId="77777777" w:rsidR="00454A29" w:rsidRDefault="00454A29"/>
        </w:tc>
        <w:tc>
          <w:tcPr>
            <w:tcW w:w="1701" w:type="dxa"/>
            <w:vAlign w:val="center"/>
          </w:tcPr>
          <w:p w14:paraId="465852D7" w14:textId="77777777" w:rsidR="00454A29" w:rsidRDefault="00454A29">
            <w:pPr>
              <w:pStyle w:val="ConsPlusNormal"/>
            </w:pPr>
          </w:p>
        </w:tc>
        <w:tc>
          <w:tcPr>
            <w:tcW w:w="1814" w:type="dxa"/>
            <w:vAlign w:val="center"/>
          </w:tcPr>
          <w:p w14:paraId="456EECBA" w14:textId="77777777" w:rsidR="00454A29" w:rsidRDefault="00454A29">
            <w:pPr>
              <w:pStyle w:val="ConsPlusNormal"/>
            </w:pPr>
          </w:p>
        </w:tc>
        <w:tc>
          <w:tcPr>
            <w:tcW w:w="1701" w:type="dxa"/>
            <w:vAlign w:val="center"/>
          </w:tcPr>
          <w:p w14:paraId="4B7C879E" w14:textId="77777777" w:rsidR="00454A29" w:rsidRDefault="00454A29">
            <w:pPr>
              <w:pStyle w:val="ConsPlusNormal"/>
            </w:pPr>
          </w:p>
        </w:tc>
        <w:tc>
          <w:tcPr>
            <w:tcW w:w="1701" w:type="dxa"/>
            <w:vAlign w:val="center"/>
          </w:tcPr>
          <w:p w14:paraId="036B8F65" w14:textId="77777777" w:rsidR="00454A29" w:rsidRDefault="00454A29">
            <w:pPr>
              <w:pStyle w:val="ConsPlusNormal"/>
            </w:pPr>
          </w:p>
        </w:tc>
        <w:tc>
          <w:tcPr>
            <w:tcW w:w="1814" w:type="dxa"/>
            <w:vAlign w:val="center"/>
          </w:tcPr>
          <w:p w14:paraId="5068C4BF" w14:textId="77777777" w:rsidR="00454A29" w:rsidRDefault="00454A29">
            <w:pPr>
              <w:pStyle w:val="ConsPlusNormal"/>
            </w:pPr>
          </w:p>
        </w:tc>
      </w:tr>
      <w:tr w:rsidR="00454A29" w14:paraId="71115423" w14:textId="77777777">
        <w:tc>
          <w:tcPr>
            <w:tcW w:w="567" w:type="dxa"/>
            <w:vMerge/>
          </w:tcPr>
          <w:p w14:paraId="5879D716" w14:textId="77777777" w:rsidR="00454A29" w:rsidRDefault="00454A29"/>
        </w:tc>
        <w:tc>
          <w:tcPr>
            <w:tcW w:w="3345" w:type="dxa"/>
            <w:vMerge/>
          </w:tcPr>
          <w:p w14:paraId="553D457A" w14:textId="77777777" w:rsidR="00454A29" w:rsidRDefault="00454A29"/>
        </w:tc>
        <w:tc>
          <w:tcPr>
            <w:tcW w:w="1701" w:type="dxa"/>
            <w:vAlign w:val="center"/>
          </w:tcPr>
          <w:p w14:paraId="2A9F3509" w14:textId="77777777" w:rsidR="00454A29" w:rsidRDefault="00454A29">
            <w:pPr>
              <w:pStyle w:val="ConsPlusNormal"/>
              <w:jc w:val="center"/>
            </w:pPr>
            <w:r>
              <w:t>2022</w:t>
            </w:r>
          </w:p>
        </w:tc>
        <w:tc>
          <w:tcPr>
            <w:tcW w:w="1417" w:type="dxa"/>
            <w:vMerge/>
          </w:tcPr>
          <w:p w14:paraId="38C25A56" w14:textId="77777777" w:rsidR="00454A29" w:rsidRDefault="00454A29"/>
        </w:tc>
        <w:tc>
          <w:tcPr>
            <w:tcW w:w="2204" w:type="dxa"/>
            <w:vMerge/>
          </w:tcPr>
          <w:p w14:paraId="13105456" w14:textId="77777777" w:rsidR="00454A29" w:rsidRDefault="00454A29"/>
        </w:tc>
        <w:tc>
          <w:tcPr>
            <w:tcW w:w="1417" w:type="dxa"/>
            <w:vMerge/>
          </w:tcPr>
          <w:p w14:paraId="74801878" w14:textId="77777777" w:rsidR="00454A29" w:rsidRDefault="00454A29"/>
        </w:tc>
        <w:tc>
          <w:tcPr>
            <w:tcW w:w="2324" w:type="dxa"/>
            <w:vMerge/>
          </w:tcPr>
          <w:p w14:paraId="71379A65" w14:textId="77777777" w:rsidR="00454A29" w:rsidRDefault="00454A29"/>
        </w:tc>
        <w:tc>
          <w:tcPr>
            <w:tcW w:w="1701" w:type="dxa"/>
            <w:vAlign w:val="center"/>
          </w:tcPr>
          <w:p w14:paraId="7D2AF69F" w14:textId="77777777" w:rsidR="00454A29" w:rsidRDefault="00454A29">
            <w:pPr>
              <w:pStyle w:val="ConsPlusNormal"/>
            </w:pPr>
          </w:p>
        </w:tc>
        <w:tc>
          <w:tcPr>
            <w:tcW w:w="1814" w:type="dxa"/>
            <w:vAlign w:val="center"/>
          </w:tcPr>
          <w:p w14:paraId="74441B2F" w14:textId="77777777" w:rsidR="00454A29" w:rsidRDefault="00454A29">
            <w:pPr>
              <w:pStyle w:val="ConsPlusNormal"/>
            </w:pPr>
          </w:p>
        </w:tc>
        <w:tc>
          <w:tcPr>
            <w:tcW w:w="1701" w:type="dxa"/>
            <w:vAlign w:val="center"/>
          </w:tcPr>
          <w:p w14:paraId="73D3C9CA" w14:textId="77777777" w:rsidR="00454A29" w:rsidRDefault="00454A29">
            <w:pPr>
              <w:pStyle w:val="ConsPlusNormal"/>
            </w:pPr>
          </w:p>
        </w:tc>
        <w:tc>
          <w:tcPr>
            <w:tcW w:w="1701" w:type="dxa"/>
            <w:vAlign w:val="center"/>
          </w:tcPr>
          <w:p w14:paraId="1EF143FE" w14:textId="77777777" w:rsidR="00454A29" w:rsidRDefault="00454A29">
            <w:pPr>
              <w:pStyle w:val="ConsPlusNormal"/>
            </w:pPr>
          </w:p>
        </w:tc>
        <w:tc>
          <w:tcPr>
            <w:tcW w:w="1814" w:type="dxa"/>
            <w:vAlign w:val="center"/>
          </w:tcPr>
          <w:p w14:paraId="28CA399F" w14:textId="77777777" w:rsidR="00454A29" w:rsidRDefault="00454A29">
            <w:pPr>
              <w:pStyle w:val="ConsPlusNormal"/>
            </w:pPr>
          </w:p>
        </w:tc>
      </w:tr>
      <w:tr w:rsidR="00454A29" w14:paraId="2EAFFE4F" w14:textId="77777777">
        <w:tc>
          <w:tcPr>
            <w:tcW w:w="567" w:type="dxa"/>
            <w:vMerge/>
          </w:tcPr>
          <w:p w14:paraId="40D5B894" w14:textId="77777777" w:rsidR="00454A29" w:rsidRDefault="00454A29"/>
        </w:tc>
        <w:tc>
          <w:tcPr>
            <w:tcW w:w="3345" w:type="dxa"/>
            <w:vMerge/>
          </w:tcPr>
          <w:p w14:paraId="6216D4F7" w14:textId="77777777" w:rsidR="00454A29" w:rsidRDefault="00454A29"/>
        </w:tc>
        <w:tc>
          <w:tcPr>
            <w:tcW w:w="1701" w:type="dxa"/>
            <w:vAlign w:val="center"/>
          </w:tcPr>
          <w:p w14:paraId="20F4E159" w14:textId="77777777" w:rsidR="00454A29" w:rsidRDefault="00454A29">
            <w:pPr>
              <w:pStyle w:val="ConsPlusNormal"/>
              <w:jc w:val="center"/>
            </w:pPr>
            <w:r>
              <w:t>2023</w:t>
            </w:r>
          </w:p>
        </w:tc>
        <w:tc>
          <w:tcPr>
            <w:tcW w:w="1417" w:type="dxa"/>
            <w:vMerge/>
          </w:tcPr>
          <w:p w14:paraId="6D75D019" w14:textId="77777777" w:rsidR="00454A29" w:rsidRDefault="00454A29"/>
        </w:tc>
        <w:tc>
          <w:tcPr>
            <w:tcW w:w="2204" w:type="dxa"/>
            <w:vMerge/>
          </w:tcPr>
          <w:p w14:paraId="5BBD34D5" w14:textId="77777777" w:rsidR="00454A29" w:rsidRDefault="00454A29"/>
        </w:tc>
        <w:tc>
          <w:tcPr>
            <w:tcW w:w="1417" w:type="dxa"/>
            <w:vMerge/>
          </w:tcPr>
          <w:p w14:paraId="04A0C2FF" w14:textId="77777777" w:rsidR="00454A29" w:rsidRDefault="00454A29"/>
        </w:tc>
        <w:tc>
          <w:tcPr>
            <w:tcW w:w="2324" w:type="dxa"/>
            <w:vMerge/>
          </w:tcPr>
          <w:p w14:paraId="26656E88" w14:textId="77777777" w:rsidR="00454A29" w:rsidRDefault="00454A29"/>
        </w:tc>
        <w:tc>
          <w:tcPr>
            <w:tcW w:w="1701" w:type="dxa"/>
            <w:vAlign w:val="center"/>
          </w:tcPr>
          <w:p w14:paraId="1C4E0C3C" w14:textId="77777777" w:rsidR="00454A29" w:rsidRDefault="00454A29">
            <w:pPr>
              <w:pStyle w:val="ConsPlusNormal"/>
            </w:pPr>
          </w:p>
        </w:tc>
        <w:tc>
          <w:tcPr>
            <w:tcW w:w="1814" w:type="dxa"/>
            <w:vAlign w:val="center"/>
          </w:tcPr>
          <w:p w14:paraId="79380F71" w14:textId="77777777" w:rsidR="00454A29" w:rsidRDefault="00454A29">
            <w:pPr>
              <w:pStyle w:val="ConsPlusNormal"/>
            </w:pPr>
          </w:p>
        </w:tc>
        <w:tc>
          <w:tcPr>
            <w:tcW w:w="1701" w:type="dxa"/>
            <w:vAlign w:val="center"/>
          </w:tcPr>
          <w:p w14:paraId="76B56459" w14:textId="77777777" w:rsidR="00454A29" w:rsidRDefault="00454A29">
            <w:pPr>
              <w:pStyle w:val="ConsPlusNormal"/>
            </w:pPr>
          </w:p>
        </w:tc>
        <w:tc>
          <w:tcPr>
            <w:tcW w:w="1701" w:type="dxa"/>
            <w:vAlign w:val="center"/>
          </w:tcPr>
          <w:p w14:paraId="27D7A5BE" w14:textId="77777777" w:rsidR="00454A29" w:rsidRDefault="00454A29">
            <w:pPr>
              <w:pStyle w:val="ConsPlusNormal"/>
            </w:pPr>
          </w:p>
        </w:tc>
        <w:tc>
          <w:tcPr>
            <w:tcW w:w="1814" w:type="dxa"/>
            <w:vAlign w:val="center"/>
          </w:tcPr>
          <w:p w14:paraId="16FE23CC" w14:textId="77777777" w:rsidR="00454A29" w:rsidRDefault="00454A29">
            <w:pPr>
              <w:pStyle w:val="ConsPlusNormal"/>
            </w:pPr>
          </w:p>
        </w:tc>
      </w:tr>
      <w:tr w:rsidR="00454A29" w14:paraId="69892BE4" w14:textId="77777777">
        <w:tc>
          <w:tcPr>
            <w:tcW w:w="567" w:type="dxa"/>
            <w:vMerge/>
          </w:tcPr>
          <w:p w14:paraId="30BBF531" w14:textId="77777777" w:rsidR="00454A29" w:rsidRDefault="00454A29"/>
        </w:tc>
        <w:tc>
          <w:tcPr>
            <w:tcW w:w="3345" w:type="dxa"/>
            <w:vMerge/>
          </w:tcPr>
          <w:p w14:paraId="35BA2022" w14:textId="77777777" w:rsidR="00454A29" w:rsidRDefault="00454A29"/>
        </w:tc>
        <w:tc>
          <w:tcPr>
            <w:tcW w:w="1701" w:type="dxa"/>
            <w:vAlign w:val="center"/>
          </w:tcPr>
          <w:p w14:paraId="406F8F32" w14:textId="77777777" w:rsidR="00454A29" w:rsidRDefault="00454A29">
            <w:pPr>
              <w:pStyle w:val="ConsPlusNormal"/>
              <w:jc w:val="center"/>
            </w:pPr>
            <w:r>
              <w:t>2024</w:t>
            </w:r>
          </w:p>
        </w:tc>
        <w:tc>
          <w:tcPr>
            <w:tcW w:w="1417" w:type="dxa"/>
            <w:vMerge/>
          </w:tcPr>
          <w:p w14:paraId="12D538A6" w14:textId="77777777" w:rsidR="00454A29" w:rsidRDefault="00454A29"/>
        </w:tc>
        <w:tc>
          <w:tcPr>
            <w:tcW w:w="2204" w:type="dxa"/>
            <w:vMerge/>
          </w:tcPr>
          <w:p w14:paraId="18EAF6B9" w14:textId="77777777" w:rsidR="00454A29" w:rsidRDefault="00454A29"/>
        </w:tc>
        <w:tc>
          <w:tcPr>
            <w:tcW w:w="1417" w:type="dxa"/>
            <w:vMerge/>
          </w:tcPr>
          <w:p w14:paraId="0907D673" w14:textId="77777777" w:rsidR="00454A29" w:rsidRDefault="00454A29"/>
        </w:tc>
        <w:tc>
          <w:tcPr>
            <w:tcW w:w="2324" w:type="dxa"/>
            <w:vMerge/>
          </w:tcPr>
          <w:p w14:paraId="0CBAB8F2" w14:textId="77777777" w:rsidR="00454A29" w:rsidRDefault="00454A29"/>
        </w:tc>
        <w:tc>
          <w:tcPr>
            <w:tcW w:w="1701" w:type="dxa"/>
            <w:vAlign w:val="center"/>
          </w:tcPr>
          <w:p w14:paraId="7255D41C" w14:textId="77777777" w:rsidR="00454A29" w:rsidRDefault="00454A29">
            <w:pPr>
              <w:pStyle w:val="ConsPlusNormal"/>
            </w:pPr>
          </w:p>
        </w:tc>
        <w:tc>
          <w:tcPr>
            <w:tcW w:w="1814" w:type="dxa"/>
            <w:vAlign w:val="center"/>
          </w:tcPr>
          <w:p w14:paraId="61B718DA" w14:textId="77777777" w:rsidR="00454A29" w:rsidRDefault="00454A29">
            <w:pPr>
              <w:pStyle w:val="ConsPlusNormal"/>
            </w:pPr>
          </w:p>
        </w:tc>
        <w:tc>
          <w:tcPr>
            <w:tcW w:w="1701" w:type="dxa"/>
            <w:vAlign w:val="center"/>
          </w:tcPr>
          <w:p w14:paraId="48414593" w14:textId="77777777" w:rsidR="00454A29" w:rsidRDefault="00454A29">
            <w:pPr>
              <w:pStyle w:val="ConsPlusNormal"/>
            </w:pPr>
          </w:p>
        </w:tc>
        <w:tc>
          <w:tcPr>
            <w:tcW w:w="1701" w:type="dxa"/>
            <w:vAlign w:val="center"/>
          </w:tcPr>
          <w:p w14:paraId="0B170534" w14:textId="77777777" w:rsidR="00454A29" w:rsidRDefault="00454A29">
            <w:pPr>
              <w:pStyle w:val="ConsPlusNormal"/>
            </w:pPr>
          </w:p>
        </w:tc>
        <w:tc>
          <w:tcPr>
            <w:tcW w:w="1814" w:type="dxa"/>
            <w:vAlign w:val="center"/>
          </w:tcPr>
          <w:p w14:paraId="0D2F457B" w14:textId="77777777" w:rsidR="00454A29" w:rsidRDefault="00454A29">
            <w:pPr>
              <w:pStyle w:val="ConsPlusNormal"/>
            </w:pPr>
          </w:p>
        </w:tc>
      </w:tr>
      <w:tr w:rsidR="00454A29" w14:paraId="2E3D11B1" w14:textId="77777777">
        <w:tc>
          <w:tcPr>
            <w:tcW w:w="567" w:type="dxa"/>
            <w:vMerge/>
          </w:tcPr>
          <w:p w14:paraId="4E65AA1C" w14:textId="77777777" w:rsidR="00454A29" w:rsidRDefault="00454A29"/>
        </w:tc>
        <w:tc>
          <w:tcPr>
            <w:tcW w:w="3345" w:type="dxa"/>
            <w:vMerge/>
          </w:tcPr>
          <w:p w14:paraId="2D3BDDAC" w14:textId="77777777" w:rsidR="00454A29" w:rsidRDefault="00454A29"/>
        </w:tc>
        <w:tc>
          <w:tcPr>
            <w:tcW w:w="1701" w:type="dxa"/>
            <w:vAlign w:val="center"/>
          </w:tcPr>
          <w:p w14:paraId="6CB3DFBB" w14:textId="77777777" w:rsidR="00454A29" w:rsidRDefault="00454A29">
            <w:pPr>
              <w:pStyle w:val="ConsPlusNormal"/>
              <w:jc w:val="center"/>
            </w:pPr>
            <w:r>
              <w:t>2025</w:t>
            </w:r>
          </w:p>
        </w:tc>
        <w:tc>
          <w:tcPr>
            <w:tcW w:w="1417" w:type="dxa"/>
            <w:vMerge/>
          </w:tcPr>
          <w:p w14:paraId="4B9AF761" w14:textId="77777777" w:rsidR="00454A29" w:rsidRDefault="00454A29"/>
        </w:tc>
        <w:tc>
          <w:tcPr>
            <w:tcW w:w="2204" w:type="dxa"/>
            <w:vMerge/>
          </w:tcPr>
          <w:p w14:paraId="13111431" w14:textId="77777777" w:rsidR="00454A29" w:rsidRDefault="00454A29"/>
        </w:tc>
        <w:tc>
          <w:tcPr>
            <w:tcW w:w="1417" w:type="dxa"/>
            <w:vMerge/>
          </w:tcPr>
          <w:p w14:paraId="11404803" w14:textId="77777777" w:rsidR="00454A29" w:rsidRDefault="00454A29"/>
        </w:tc>
        <w:tc>
          <w:tcPr>
            <w:tcW w:w="2324" w:type="dxa"/>
            <w:vMerge/>
          </w:tcPr>
          <w:p w14:paraId="6A175502" w14:textId="77777777" w:rsidR="00454A29" w:rsidRDefault="00454A29"/>
        </w:tc>
        <w:tc>
          <w:tcPr>
            <w:tcW w:w="1701" w:type="dxa"/>
            <w:vAlign w:val="center"/>
          </w:tcPr>
          <w:p w14:paraId="1C25173A" w14:textId="77777777" w:rsidR="00454A29" w:rsidRDefault="00454A29">
            <w:pPr>
              <w:pStyle w:val="ConsPlusNormal"/>
              <w:jc w:val="center"/>
            </w:pPr>
            <w:r>
              <w:t>367 824,52</w:t>
            </w:r>
          </w:p>
        </w:tc>
        <w:tc>
          <w:tcPr>
            <w:tcW w:w="1814" w:type="dxa"/>
            <w:vAlign w:val="center"/>
          </w:tcPr>
          <w:p w14:paraId="55F8DC51" w14:textId="77777777" w:rsidR="00454A29" w:rsidRDefault="00454A29">
            <w:pPr>
              <w:pStyle w:val="ConsPlusNormal"/>
              <w:jc w:val="center"/>
            </w:pPr>
            <w:r>
              <w:t>4 652,97</w:t>
            </w:r>
          </w:p>
        </w:tc>
        <w:tc>
          <w:tcPr>
            <w:tcW w:w="1701" w:type="dxa"/>
            <w:vAlign w:val="center"/>
          </w:tcPr>
          <w:p w14:paraId="4728FDDF" w14:textId="77777777" w:rsidR="00454A29" w:rsidRDefault="00454A29">
            <w:pPr>
              <w:pStyle w:val="ConsPlusNormal"/>
              <w:jc w:val="center"/>
            </w:pPr>
            <w:r>
              <w:t>460 645,04</w:t>
            </w:r>
          </w:p>
        </w:tc>
        <w:tc>
          <w:tcPr>
            <w:tcW w:w="1701" w:type="dxa"/>
            <w:vAlign w:val="center"/>
          </w:tcPr>
          <w:p w14:paraId="0AA023D0" w14:textId="77777777" w:rsidR="00454A29" w:rsidRDefault="00454A29">
            <w:pPr>
              <w:pStyle w:val="ConsPlusNormal"/>
            </w:pPr>
          </w:p>
        </w:tc>
        <w:tc>
          <w:tcPr>
            <w:tcW w:w="1814" w:type="dxa"/>
            <w:vAlign w:val="center"/>
          </w:tcPr>
          <w:p w14:paraId="3C8AA733" w14:textId="77777777" w:rsidR="00454A29" w:rsidRDefault="00454A29">
            <w:pPr>
              <w:pStyle w:val="ConsPlusNormal"/>
            </w:pPr>
          </w:p>
        </w:tc>
      </w:tr>
      <w:tr w:rsidR="00454A29" w14:paraId="6960E041" w14:textId="77777777">
        <w:tc>
          <w:tcPr>
            <w:tcW w:w="567" w:type="dxa"/>
            <w:vMerge/>
          </w:tcPr>
          <w:p w14:paraId="77DC75AF" w14:textId="77777777" w:rsidR="00454A29" w:rsidRDefault="00454A29"/>
        </w:tc>
        <w:tc>
          <w:tcPr>
            <w:tcW w:w="3345" w:type="dxa"/>
            <w:vMerge/>
          </w:tcPr>
          <w:p w14:paraId="5F9BB83A" w14:textId="77777777" w:rsidR="00454A29" w:rsidRDefault="00454A29"/>
        </w:tc>
        <w:tc>
          <w:tcPr>
            <w:tcW w:w="1701" w:type="dxa"/>
            <w:vAlign w:val="center"/>
          </w:tcPr>
          <w:p w14:paraId="73F77A6F" w14:textId="77777777" w:rsidR="00454A29" w:rsidRDefault="00454A29">
            <w:pPr>
              <w:pStyle w:val="ConsPlusNormal"/>
              <w:jc w:val="center"/>
            </w:pPr>
            <w:r>
              <w:t>2026</w:t>
            </w:r>
          </w:p>
        </w:tc>
        <w:tc>
          <w:tcPr>
            <w:tcW w:w="1417" w:type="dxa"/>
            <w:vMerge/>
          </w:tcPr>
          <w:p w14:paraId="7820EDB4" w14:textId="77777777" w:rsidR="00454A29" w:rsidRDefault="00454A29"/>
        </w:tc>
        <w:tc>
          <w:tcPr>
            <w:tcW w:w="2204" w:type="dxa"/>
            <w:vMerge/>
          </w:tcPr>
          <w:p w14:paraId="224C1C7C" w14:textId="77777777" w:rsidR="00454A29" w:rsidRDefault="00454A29"/>
        </w:tc>
        <w:tc>
          <w:tcPr>
            <w:tcW w:w="1417" w:type="dxa"/>
            <w:vMerge/>
          </w:tcPr>
          <w:p w14:paraId="5CED91E5" w14:textId="77777777" w:rsidR="00454A29" w:rsidRDefault="00454A29"/>
        </w:tc>
        <w:tc>
          <w:tcPr>
            <w:tcW w:w="2324" w:type="dxa"/>
            <w:vMerge/>
          </w:tcPr>
          <w:p w14:paraId="2102D7A8" w14:textId="77777777" w:rsidR="00454A29" w:rsidRDefault="00454A29"/>
        </w:tc>
        <w:tc>
          <w:tcPr>
            <w:tcW w:w="1701" w:type="dxa"/>
            <w:vAlign w:val="center"/>
          </w:tcPr>
          <w:p w14:paraId="05181D3B" w14:textId="77777777" w:rsidR="00454A29" w:rsidRDefault="00454A29">
            <w:pPr>
              <w:pStyle w:val="ConsPlusNormal"/>
            </w:pPr>
          </w:p>
        </w:tc>
        <w:tc>
          <w:tcPr>
            <w:tcW w:w="1814" w:type="dxa"/>
            <w:vAlign w:val="center"/>
          </w:tcPr>
          <w:p w14:paraId="092601B5" w14:textId="77777777" w:rsidR="00454A29" w:rsidRDefault="00454A29">
            <w:pPr>
              <w:pStyle w:val="ConsPlusNormal"/>
            </w:pPr>
          </w:p>
        </w:tc>
        <w:tc>
          <w:tcPr>
            <w:tcW w:w="1701" w:type="dxa"/>
            <w:vAlign w:val="center"/>
          </w:tcPr>
          <w:p w14:paraId="121C22BF" w14:textId="77777777" w:rsidR="00454A29" w:rsidRDefault="00454A29">
            <w:pPr>
              <w:pStyle w:val="ConsPlusNormal"/>
            </w:pPr>
          </w:p>
        </w:tc>
        <w:tc>
          <w:tcPr>
            <w:tcW w:w="1701" w:type="dxa"/>
            <w:vAlign w:val="center"/>
          </w:tcPr>
          <w:p w14:paraId="5C6DB062" w14:textId="77777777" w:rsidR="00454A29" w:rsidRDefault="00454A29">
            <w:pPr>
              <w:pStyle w:val="ConsPlusNormal"/>
            </w:pPr>
          </w:p>
        </w:tc>
        <w:tc>
          <w:tcPr>
            <w:tcW w:w="1814" w:type="dxa"/>
            <w:vAlign w:val="center"/>
          </w:tcPr>
          <w:p w14:paraId="771485E0" w14:textId="77777777" w:rsidR="00454A29" w:rsidRDefault="00454A29">
            <w:pPr>
              <w:pStyle w:val="ConsPlusNormal"/>
            </w:pPr>
          </w:p>
        </w:tc>
      </w:tr>
      <w:tr w:rsidR="00454A29" w14:paraId="45AF0B42" w14:textId="77777777">
        <w:tc>
          <w:tcPr>
            <w:tcW w:w="567" w:type="dxa"/>
            <w:vMerge w:val="restart"/>
            <w:vAlign w:val="center"/>
          </w:tcPr>
          <w:p w14:paraId="4487FD72" w14:textId="77777777" w:rsidR="00454A29" w:rsidRDefault="00454A29">
            <w:pPr>
              <w:pStyle w:val="ConsPlusNormal"/>
              <w:jc w:val="center"/>
            </w:pPr>
            <w:r>
              <w:t>51</w:t>
            </w:r>
          </w:p>
        </w:tc>
        <w:tc>
          <w:tcPr>
            <w:tcW w:w="3345" w:type="dxa"/>
            <w:vMerge w:val="restart"/>
            <w:vAlign w:val="center"/>
          </w:tcPr>
          <w:p w14:paraId="3012E478" w14:textId="77777777" w:rsidR="00454A29" w:rsidRDefault="00454A29">
            <w:pPr>
              <w:pStyle w:val="ConsPlusNormal"/>
              <w:jc w:val="center"/>
            </w:pPr>
            <w:r>
              <w:t>Школа на 90 учащихся в с. Дикимдя</w:t>
            </w:r>
          </w:p>
        </w:tc>
        <w:tc>
          <w:tcPr>
            <w:tcW w:w="1701" w:type="dxa"/>
            <w:vAlign w:val="center"/>
          </w:tcPr>
          <w:p w14:paraId="5FD39234" w14:textId="77777777" w:rsidR="00454A29" w:rsidRDefault="00454A29">
            <w:pPr>
              <w:pStyle w:val="ConsPlusNormal"/>
              <w:jc w:val="center"/>
            </w:pPr>
            <w:r>
              <w:t>2020 - 2026 годы - всего</w:t>
            </w:r>
          </w:p>
        </w:tc>
        <w:tc>
          <w:tcPr>
            <w:tcW w:w="1417" w:type="dxa"/>
            <w:vMerge w:val="restart"/>
            <w:vAlign w:val="center"/>
          </w:tcPr>
          <w:p w14:paraId="529CC116" w14:textId="77777777" w:rsidR="00454A29" w:rsidRDefault="00454A29">
            <w:pPr>
              <w:pStyle w:val="ConsPlusNormal"/>
              <w:jc w:val="center"/>
            </w:pPr>
            <w:r>
              <w:t>331 042,08</w:t>
            </w:r>
          </w:p>
        </w:tc>
        <w:tc>
          <w:tcPr>
            <w:tcW w:w="2204" w:type="dxa"/>
            <w:vMerge w:val="restart"/>
            <w:vAlign w:val="center"/>
          </w:tcPr>
          <w:p w14:paraId="62A84DEB" w14:textId="77777777" w:rsidR="00454A29" w:rsidRDefault="00454A29">
            <w:pPr>
              <w:pStyle w:val="ConsPlusNormal"/>
            </w:pPr>
          </w:p>
        </w:tc>
        <w:tc>
          <w:tcPr>
            <w:tcW w:w="1417" w:type="dxa"/>
            <w:vMerge w:val="restart"/>
            <w:vAlign w:val="center"/>
          </w:tcPr>
          <w:p w14:paraId="6DC223E8" w14:textId="77777777" w:rsidR="00454A29" w:rsidRDefault="00454A29">
            <w:pPr>
              <w:pStyle w:val="ConsPlusNormal"/>
              <w:jc w:val="center"/>
            </w:pPr>
            <w:r>
              <w:t>90</w:t>
            </w:r>
          </w:p>
        </w:tc>
        <w:tc>
          <w:tcPr>
            <w:tcW w:w="2324" w:type="dxa"/>
            <w:vMerge w:val="restart"/>
            <w:vAlign w:val="center"/>
          </w:tcPr>
          <w:p w14:paraId="4BE87EE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15A4FD9" w14:textId="77777777" w:rsidR="00454A29" w:rsidRDefault="00454A29">
            <w:pPr>
              <w:pStyle w:val="ConsPlusNormal"/>
              <w:jc w:val="center"/>
            </w:pPr>
            <w:r>
              <w:t>331 042,08</w:t>
            </w:r>
          </w:p>
        </w:tc>
        <w:tc>
          <w:tcPr>
            <w:tcW w:w="1814" w:type="dxa"/>
            <w:vAlign w:val="center"/>
          </w:tcPr>
          <w:p w14:paraId="70B5F412" w14:textId="77777777" w:rsidR="00454A29" w:rsidRDefault="00454A29">
            <w:pPr>
              <w:pStyle w:val="ConsPlusNormal"/>
              <w:jc w:val="center"/>
            </w:pPr>
            <w:r>
              <w:t>4 187,68</w:t>
            </w:r>
          </w:p>
        </w:tc>
        <w:tc>
          <w:tcPr>
            <w:tcW w:w="1701" w:type="dxa"/>
            <w:vAlign w:val="center"/>
          </w:tcPr>
          <w:p w14:paraId="0F61583E" w14:textId="77777777" w:rsidR="00454A29" w:rsidRDefault="00454A29">
            <w:pPr>
              <w:pStyle w:val="ConsPlusNormal"/>
              <w:jc w:val="center"/>
            </w:pPr>
            <w:r>
              <w:t>414 580,55</w:t>
            </w:r>
          </w:p>
        </w:tc>
        <w:tc>
          <w:tcPr>
            <w:tcW w:w="1701" w:type="dxa"/>
            <w:vAlign w:val="center"/>
          </w:tcPr>
          <w:p w14:paraId="24830630" w14:textId="77777777" w:rsidR="00454A29" w:rsidRDefault="00454A29">
            <w:pPr>
              <w:pStyle w:val="ConsPlusNormal"/>
              <w:jc w:val="center"/>
            </w:pPr>
            <w:r>
              <w:t>-</w:t>
            </w:r>
          </w:p>
        </w:tc>
        <w:tc>
          <w:tcPr>
            <w:tcW w:w="1814" w:type="dxa"/>
            <w:vAlign w:val="center"/>
          </w:tcPr>
          <w:p w14:paraId="519113BD" w14:textId="77777777" w:rsidR="00454A29" w:rsidRDefault="00454A29">
            <w:pPr>
              <w:pStyle w:val="ConsPlusNormal"/>
              <w:jc w:val="center"/>
            </w:pPr>
            <w:r>
              <w:t>-</w:t>
            </w:r>
          </w:p>
        </w:tc>
      </w:tr>
      <w:tr w:rsidR="00454A29" w14:paraId="561247AC" w14:textId="77777777">
        <w:tc>
          <w:tcPr>
            <w:tcW w:w="567" w:type="dxa"/>
            <w:vMerge/>
          </w:tcPr>
          <w:p w14:paraId="674FB565" w14:textId="77777777" w:rsidR="00454A29" w:rsidRDefault="00454A29"/>
        </w:tc>
        <w:tc>
          <w:tcPr>
            <w:tcW w:w="3345" w:type="dxa"/>
            <w:vMerge/>
          </w:tcPr>
          <w:p w14:paraId="77EEDC66" w14:textId="77777777" w:rsidR="00454A29" w:rsidRDefault="00454A29"/>
        </w:tc>
        <w:tc>
          <w:tcPr>
            <w:tcW w:w="1701" w:type="dxa"/>
            <w:vAlign w:val="center"/>
          </w:tcPr>
          <w:p w14:paraId="218A26CC" w14:textId="77777777" w:rsidR="00454A29" w:rsidRDefault="00454A29">
            <w:pPr>
              <w:pStyle w:val="ConsPlusNormal"/>
              <w:jc w:val="center"/>
            </w:pPr>
            <w:r>
              <w:t>2020</w:t>
            </w:r>
          </w:p>
        </w:tc>
        <w:tc>
          <w:tcPr>
            <w:tcW w:w="1417" w:type="dxa"/>
            <w:vMerge/>
          </w:tcPr>
          <w:p w14:paraId="4BFF2FC2" w14:textId="77777777" w:rsidR="00454A29" w:rsidRDefault="00454A29"/>
        </w:tc>
        <w:tc>
          <w:tcPr>
            <w:tcW w:w="2204" w:type="dxa"/>
            <w:vMerge/>
          </w:tcPr>
          <w:p w14:paraId="17D8028A" w14:textId="77777777" w:rsidR="00454A29" w:rsidRDefault="00454A29"/>
        </w:tc>
        <w:tc>
          <w:tcPr>
            <w:tcW w:w="1417" w:type="dxa"/>
            <w:vMerge/>
          </w:tcPr>
          <w:p w14:paraId="54E63289" w14:textId="77777777" w:rsidR="00454A29" w:rsidRDefault="00454A29"/>
        </w:tc>
        <w:tc>
          <w:tcPr>
            <w:tcW w:w="2324" w:type="dxa"/>
            <w:vMerge/>
          </w:tcPr>
          <w:p w14:paraId="1E2D99C6" w14:textId="77777777" w:rsidR="00454A29" w:rsidRDefault="00454A29"/>
        </w:tc>
        <w:tc>
          <w:tcPr>
            <w:tcW w:w="1701" w:type="dxa"/>
            <w:vAlign w:val="center"/>
          </w:tcPr>
          <w:p w14:paraId="5670F8E6" w14:textId="77777777" w:rsidR="00454A29" w:rsidRDefault="00454A29">
            <w:pPr>
              <w:pStyle w:val="ConsPlusNormal"/>
            </w:pPr>
          </w:p>
        </w:tc>
        <w:tc>
          <w:tcPr>
            <w:tcW w:w="1814" w:type="dxa"/>
            <w:vAlign w:val="center"/>
          </w:tcPr>
          <w:p w14:paraId="470983B2" w14:textId="77777777" w:rsidR="00454A29" w:rsidRDefault="00454A29">
            <w:pPr>
              <w:pStyle w:val="ConsPlusNormal"/>
            </w:pPr>
          </w:p>
        </w:tc>
        <w:tc>
          <w:tcPr>
            <w:tcW w:w="1701" w:type="dxa"/>
            <w:vAlign w:val="center"/>
          </w:tcPr>
          <w:p w14:paraId="530E0BF8" w14:textId="77777777" w:rsidR="00454A29" w:rsidRDefault="00454A29">
            <w:pPr>
              <w:pStyle w:val="ConsPlusNormal"/>
            </w:pPr>
          </w:p>
        </w:tc>
        <w:tc>
          <w:tcPr>
            <w:tcW w:w="1701" w:type="dxa"/>
            <w:vAlign w:val="center"/>
          </w:tcPr>
          <w:p w14:paraId="5CEE0DCC" w14:textId="77777777" w:rsidR="00454A29" w:rsidRDefault="00454A29">
            <w:pPr>
              <w:pStyle w:val="ConsPlusNormal"/>
            </w:pPr>
          </w:p>
        </w:tc>
        <w:tc>
          <w:tcPr>
            <w:tcW w:w="1814" w:type="dxa"/>
            <w:vAlign w:val="center"/>
          </w:tcPr>
          <w:p w14:paraId="339429BF" w14:textId="77777777" w:rsidR="00454A29" w:rsidRDefault="00454A29">
            <w:pPr>
              <w:pStyle w:val="ConsPlusNormal"/>
            </w:pPr>
          </w:p>
        </w:tc>
      </w:tr>
      <w:tr w:rsidR="00454A29" w14:paraId="5B3C4129" w14:textId="77777777">
        <w:tc>
          <w:tcPr>
            <w:tcW w:w="567" w:type="dxa"/>
            <w:vMerge/>
          </w:tcPr>
          <w:p w14:paraId="16546FAC" w14:textId="77777777" w:rsidR="00454A29" w:rsidRDefault="00454A29"/>
        </w:tc>
        <w:tc>
          <w:tcPr>
            <w:tcW w:w="3345" w:type="dxa"/>
            <w:vMerge/>
          </w:tcPr>
          <w:p w14:paraId="404CD953" w14:textId="77777777" w:rsidR="00454A29" w:rsidRDefault="00454A29"/>
        </w:tc>
        <w:tc>
          <w:tcPr>
            <w:tcW w:w="1701" w:type="dxa"/>
            <w:vAlign w:val="center"/>
          </w:tcPr>
          <w:p w14:paraId="5F3A15B3" w14:textId="77777777" w:rsidR="00454A29" w:rsidRDefault="00454A29">
            <w:pPr>
              <w:pStyle w:val="ConsPlusNormal"/>
              <w:jc w:val="center"/>
            </w:pPr>
            <w:r>
              <w:t>2021</w:t>
            </w:r>
          </w:p>
        </w:tc>
        <w:tc>
          <w:tcPr>
            <w:tcW w:w="1417" w:type="dxa"/>
            <w:vMerge/>
          </w:tcPr>
          <w:p w14:paraId="525F57FB" w14:textId="77777777" w:rsidR="00454A29" w:rsidRDefault="00454A29"/>
        </w:tc>
        <w:tc>
          <w:tcPr>
            <w:tcW w:w="2204" w:type="dxa"/>
            <w:vMerge/>
          </w:tcPr>
          <w:p w14:paraId="2EBF1DDD" w14:textId="77777777" w:rsidR="00454A29" w:rsidRDefault="00454A29"/>
        </w:tc>
        <w:tc>
          <w:tcPr>
            <w:tcW w:w="1417" w:type="dxa"/>
            <w:vMerge/>
          </w:tcPr>
          <w:p w14:paraId="74E96D6A" w14:textId="77777777" w:rsidR="00454A29" w:rsidRDefault="00454A29"/>
        </w:tc>
        <w:tc>
          <w:tcPr>
            <w:tcW w:w="2324" w:type="dxa"/>
            <w:vMerge/>
          </w:tcPr>
          <w:p w14:paraId="3A177C4F" w14:textId="77777777" w:rsidR="00454A29" w:rsidRDefault="00454A29"/>
        </w:tc>
        <w:tc>
          <w:tcPr>
            <w:tcW w:w="1701" w:type="dxa"/>
            <w:vAlign w:val="center"/>
          </w:tcPr>
          <w:p w14:paraId="3208C5D5" w14:textId="77777777" w:rsidR="00454A29" w:rsidRDefault="00454A29">
            <w:pPr>
              <w:pStyle w:val="ConsPlusNormal"/>
            </w:pPr>
          </w:p>
        </w:tc>
        <w:tc>
          <w:tcPr>
            <w:tcW w:w="1814" w:type="dxa"/>
            <w:vAlign w:val="center"/>
          </w:tcPr>
          <w:p w14:paraId="159A3BC5" w14:textId="77777777" w:rsidR="00454A29" w:rsidRDefault="00454A29">
            <w:pPr>
              <w:pStyle w:val="ConsPlusNormal"/>
            </w:pPr>
          </w:p>
        </w:tc>
        <w:tc>
          <w:tcPr>
            <w:tcW w:w="1701" w:type="dxa"/>
            <w:vAlign w:val="center"/>
          </w:tcPr>
          <w:p w14:paraId="58F3C1AB" w14:textId="77777777" w:rsidR="00454A29" w:rsidRDefault="00454A29">
            <w:pPr>
              <w:pStyle w:val="ConsPlusNormal"/>
            </w:pPr>
          </w:p>
        </w:tc>
        <w:tc>
          <w:tcPr>
            <w:tcW w:w="1701" w:type="dxa"/>
            <w:vAlign w:val="center"/>
          </w:tcPr>
          <w:p w14:paraId="1A599371" w14:textId="77777777" w:rsidR="00454A29" w:rsidRDefault="00454A29">
            <w:pPr>
              <w:pStyle w:val="ConsPlusNormal"/>
            </w:pPr>
          </w:p>
        </w:tc>
        <w:tc>
          <w:tcPr>
            <w:tcW w:w="1814" w:type="dxa"/>
            <w:vAlign w:val="center"/>
          </w:tcPr>
          <w:p w14:paraId="797A131D" w14:textId="77777777" w:rsidR="00454A29" w:rsidRDefault="00454A29">
            <w:pPr>
              <w:pStyle w:val="ConsPlusNormal"/>
            </w:pPr>
          </w:p>
        </w:tc>
      </w:tr>
      <w:tr w:rsidR="00454A29" w14:paraId="7B833603" w14:textId="77777777">
        <w:tc>
          <w:tcPr>
            <w:tcW w:w="567" w:type="dxa"/>
            <w:vMerge/>
          </w:tcPr>
          <w:p w14:paraId="319CA507" w14:textId="77777777" w:rsidR="00454A29" w:rsidRDefault="00454A29"/>
        </w:tc>
        <w:tc>
          <w:tcPr>
            <w:tcW w:w="3345" w:type="dxa"/>
            <w:vMerge/>
          </w:tcPr>
          <w:p w14:paraId="6173BCEE" w14:textId="77777777" w:rsidR="00454A29" w:rsidRDefault="00454A29"/>
        </w:tc>
        <w:tc>
          <w:tcPr>
            <w:tcW w:w="1701" w:type="dxa"/>
            <w:vAlign w:val="center"/>
          </w:tcPr>
          <w:p w14:paraId="3023E9ED" w14:textId="77777777" w:rsidR="00454A29" w:rsidRDefault="00454A29">
            <w:pPr>
              <w:pStyle w:val="ConsPlusNormal"/>
              <w:jc w:val="center"/>
            </w:pPr>
            <w:r>
              <w:t>2022</w:t>
            </w:r>
          </w:p>
        </w:tc>
        <w:tc>
          <w:tcPr>
            <w:tcW w:w="1417" w:type="dxa"/>
            <w:vMerge/>
          </w:tcPr>
          <w:p w14:paraId="6CD1FF6A" w14:textId="77777777" w:rsidR="00454A29" w:rsidRDefault="00454A29"/>
        </w:tc>
        <w:tc>
          <w:tcPr>
            <w:tcW w:w="2204" w:type="dxa"/>
            <w:vMerge/>
          </w:tcPr>
          <w:p w14:paraId="4F4068F0" w14:textId="77777777" w:rsidR="00454A29" w:rsidRDefault="00454A29"/>
        </w:tc>
        <w:tc>
          <w:tcPr>
            <w:tcW w:w="1417" w:type="dxa"/>
            <w:vMerge/>
          </w:tcPr>
          <w:p w14:paraId="75069A86" w14:textId="77777777" w:rsidR="00454A29" w:rsidRDefault="00454A29"/>
        </w:tc>
        <w:tc>
          <w:tcPr>
            <w:tcW w:w="2324" w:type="dxa"/>
            <w:vMerge/>
          </w:tcPr>
          <w:p w14:paraId="1962F0A2" w14:textId="77777777" w:rsidR="00454A29" w:rsidRDefault="00454A29"/>
        </w:tc>
        <w:tc>
          <w:tcPr>
            <w:tcW w:w="1701" w:type="dxa"/>
            <w:vAlign w:val="center"/>
          </w:tcPr>
          <w:p w14:paraId="03B62456" w14:textId="77777777" w:rsidR="00454A29" w:rsidRDefault="00454A29">
            <w:pPr>
              <w:pStyle w:val="ConsPlusNormal"/>
            </w:pPr>
          </w:p>
        </w:tc>
        <w:tc>
          <w:tcPr>
            <w:tcW w:w="1814" w:type="dxa"/>
            <w:vAlign w:val="center"/>
          </w:tcPr>
          <w:p w14:paraId="7D9CB488" w14:textId="77777777" w:rsidR="00454A29" w:rsidRDefault="00454A29">
            <w:pPr>
              <w:pStyle w:val="ConsPlusNormal"/>
            </w:pPr>
          </w:p>
        </w:tc>
        <w:tc>
          <w:tcPr>
            <w:tcW w:w="1701" w:type="dxa"/>
            <w:vAlign w:val="center"/>
          </w:tcPr>
          <w:p w14:paraId="7FC6B592" w14:textId="77777777" w:rsidR="00454A29" w:rsidRDefault="00454A29">
            <w:pPr>
              <w:pStyle w:val="ConsPlusNormal"/>
            </w:pPr>
          </w:p>
        </w:tc>
        <w:tc>
          <w:tcPr>
            <w:tcW w:w="1701" w:type="dxa"/>
            <w:vAlign w:val="center"/>
          </w:tcPr>
          <w:p w14:paraId="05309F19" w14:textId="77777777" w:rsidR="00454A29" w:rsidRDefault="00454A29">
            <w:pPr>
              <w:pStyle w:val="ConsPlusNormal"/>
            </w:pPr>
          </w:p>
        </w:tc>
        <w:tc>
          <w:tcPr>
            <w:tcW w:w="1814" w:type="dxa"/>
            <w:vAlign w:val="center"/>
          </w:tcPr>
          <w:p w14:paraId="35543BB4" w14:textId="77777777" w:rsidR="00454A29" w:rsidRDefault="00454A29">
            <w:pPr>
              <w:pStyle w:val="ConsPlusNormal"/>
            </w:pPr>
          </w:p>
        </w:tc>
      </w:tr>
      <w:tr w:rsidR="00454A29" w14:paraId="261F2C4E" w14:textId="77777777">
        <w:tc>
          <w:tcPr>
            <w:tcW w:w="567" w:type="dxa"/>
            <w:vMerge/>
          </w:tcPr>
          <w:p w14:paraId="73BC182F" w14:textId="77777777" w:rsidR="00454A29" w:rsidRDefault="00454A29"/>
        </w:tc>
        <w:tc>
          <w:tcPr>
            <w:tcW w:w="3345" w:type="dxa"/>
            <w:vMerge/>
          </w:tcPr>
          <w:p w14:paraId="11F8B019" w14:textId="77777777" w:rsidR="00454A29" w:rsidRDefault="00454A29"/>
        </w:tc>
        <w:tc>
          <w:tcPr>
            <w:tcW w:w="1701" w:type="dxa"/>
            <w:vAlign w:val="center"/>
          </w:tcPr>
          <w:p w14:paraId="0C886DA7" w14:textId="77777777" w:rsidR="00454A29" w:rsidRDefault="00454A29">
            <w:pPr>
              <w:pStyle w:val="ConsPlusNormal"/>
              <w:jc w:val="center"/>
            </w:pPr>
            <w:r>
              <w:t>2023</w:t>
            </w:r>
          </w:p>
        </w:tc>
        <w:tc>
          <w:tcPr>
            <w:tcW w:w="1417" w:type="dxa"/>
            <w:vMerge/>
          </w:tcPr>
          <w:p w14:paraId="68E3467B" w14:textId="77777777" w:rsidR="00454A29" w:rsidRDefault="00454A29"/>
        </w:tc>
        <w:tc>
          <w:tcPr>
            <w:tcW w:w="2204" w:type="dxa"/>
            <w:vMerge/>
          </w:tcPr>
          <w:p w14:paraId="7213B9F7" w14:textId="77777777" w:rsidR="00454A29" w:rsidRDefault="00454A29"/>
        </w:tc>
        <w:tc>
          <w:tcPr>
            <w:tcW w:w="1417" w:type="dxa"/>
            <w:vMerge/>
          </w:tcPr>
          <w:p w14:paraId="79D23E66" w14:textId="77777777" w:rsidR="00454A29" w:rsidRDefault="00454A29"/>
        </w:tc>
        <w:tc>
          <w:tcPr>
            <w:tcW w:w="2324" w:type="dxa"/>
            <w:vMerge/>
          </w:tcPr>
          <w:p w14:paraId="11B0D10F" w14:textId="77777777" w:rsidR="00454A29" w:rsidRDefault="00454A29"/>
        </w:tc>
        <w:tc>
          <w:tcPr>
            <w:tcW w:w="1701" w:type="dxa"/>
            <w:vAlign w:val="center"/>
          </w:tcPr>
          <w:p w14:paraId="4750E59F" w14:textId="77777777" w:rsidR="00454A29" w:rsidRDefault="00454A29">
            <w:pPr>
              <w:pStyle w:val="ConsPlusNormal"/>
            </w:pPr>
          </w:p>
        </w:tc>
        <w:tc>
          <w:tcPr>
            <w:tcW w:w="1814" w:type="dxa"/>
            <w:vAlign w:val="center"/>
          </w:tcPr>
          <w:p w14:paraId="0585CEF2" w14:textId="77777777" w:rsidR="00454A29" w:rsidRDefault="00454A29">
            <w:pPr>
              <w:pStyle w:val="ConsPlusNormal"/>
            </w:pPr>
          </w:p>
        </w:tc>
        <w:tc>
          <w:tcPr>
            <w:tcW w:w="1701" w:type="dxa"/>
            <w:vAlign w:val="center"/>
          </w:tcPr>
          <w:p w14:paraId="7960C6A5" w14:textId="77777777" w:rsidR="00454A29" w:rsidRDefault="00454A29">
            <w:pPr>
              <w:pStyle w:val="ConsPlusNormal"/>
            </w:pPr>
          </w:p>
        </w:tc>
        <w:tc>
          <w:tcPr>
            <w:tcW w:w="1701" w:type="dxa"/>
            <w:vAlign w:val="center"/>
          </w:tcPr>
          <w:p w14:paraId="10B192A4" w14:textId="77777777" w:rsidR="00454A29" w:rsidRDefault="00454A29">
            <w:pPr>
              <w:pStyle w:val="ConsPlusNormal"/>
            </w:pPr>
          </w:p>
        </w:tc>
        <w:tc>
          <w:tcPr>
            <w:tcW w:w="1814" w:type="dxa"/>
            <w:vAlign w:val="center"/>
          </w:tcPr>
          <w:p w14:paraId="07536A3C" w14:textId="77777777" w:rsidR="00454A29" w:rsidRDefault="00454A29">
            <w:pPr>
              <w:pStyle w:val="ConsPlusNormal"/>
            </w:pPr>
          </w:p>
        </w:tc>
      </w:tr>
      <w:tr w:rsidR="00454A29" w14:paraId="6BC12A06" w14:textId="77777777">
        <w:tc>
          <w:tcPr>
            <w:tcW w:w="567" w:type="dxa"/>
            <w:vMerge/>
          </w:tcPr>
          <w:p w14:paraId="14F38222" w14:textId="77777777" w:rsidR="00454A29" w:rsidRDefault="00454A29"/>
        </w:tc>
        <w:tc>
          <w:tcPr>
            <w:tcW w:w="3345" w:type="dxa"/>
            <w:vMerge/>
          </w:tcPr>
          <w:p w14:paraId="5CD40500" w14:textId="77777777" w:rsidR="00454A29" w:rsidRDefault="00454A29"/>
        </w:tc>
        <w:tc>
          <w:tcPr>
            <w:tcW w:w="1701" w:type="dxa"/>
            <w:vAlign w:val="center"/>
          </w:tcPr>
          <w:p w14:paraId="4CD0C91C" w14:textId="77777777" w:rsidR="00454A29" w:rsidRDefault="00454A29">
            <w:pPr>
              <w:pStyle w:val="ConsPlusNormal"/>
              <w:jc w:val="center"/>
            </w:pPr>
            <w:r>
              <w:t>2024</w:t>
            </w:r>
          </w:p>
        </w:tc>
        <w:tc>
          <w:tcPr>
            <w:tcW w:w="1417" w:type="dxa"/>
            <w:vMerge/>
          </w:tcPr>
          <w:p w14:paraId="00C01789" w14:textId="77777777" w:rsidR="00454A29" w:rsidRDefault="00454A29"/>
        </w:tc>
        <w:tc>
          <w:tcPr>
            <w:tcW w:w="2204" w:type="dxa"/>
            <w:vMerge/>
          </w:tcPr>
          <w:p w14:paraId="64538682" w14:textId="77777777" w:rsidR="00454A29" w:rsidRDefault="00454A29"/>
        </w:tc>
        <w:tc>
          <w:tcPr>
            <w:tcW w:w="1417" w:type="dxa"/>
            <w:vMerge/>
          </w:tcPr>
          <w:p w14:paraId="735C1BB7" w14:textId="77777777" w:rsidR="00454A29" w:rsidRDefault="00454A29"/>
        </w:tc>
        <w:tc>
          <w:tcPr>
            <w:tcW w:w="2324" w:type="dxa"/>
            <w:vMerge/>
          </w:tcPr>
          <w:p w14:paraId="2FA035C4" w14:textId="77777777" w:rsidR="00454A29" w:rsidRDefault="00454A29"/>
        </w:tc>
        <w:tc>
          <w:tcPr>
            <w:tcW w:w="1701" w:type="dxa"/>
            <w:vAlign w:val="center"/>
          </w:tcPr>
          <w:p w14:paraId="303B6477" w14:textId="77777777" w:rsidR="00454A29" w:rsidRDefault="00454A29">
            <w:pPr>
              <w:pStyle w:val="ConsPlusNormal"/>
            </w:pPr>
          </w:p>
        </w:tc>
        <w:tc>
          <w:tcPr>
            <w:tcW w:w="1814" w:type="dxa"/>
            <w:vAlign w:val="center"/>
          </w:tcPr>
          <w:p w14:paraId="7189EEE9" w14:textId="77777777" w:rsidR="00454A29" w:rsidRDefault="00454A29">
            <w:pPr>
              <w:pStyle w:val="ConsPlusNormal"/>
            </w:pPr>
          </w:p>
        </w:tc>
        <w:tc>
          <w:tcPr>
            <w:tcW w:w="1701" w:type="dxa"/>
            <w:vAlign w:val="center"/>
          </w:tcPr>
          <w:p w14:paraId="539F5E00" w14:textId="77777777" w:rsidR="00454A29" w:rsidRDefault="00454A29">
            <w:pPr>
              <w:pStyle w:val="ConsPlusNormal"/>
            </w:pPr>
          </w:p>
        </w:tc>
        <w:tc>
          <w:tcPr>
            <w:tcW w:w="1701" w:type="dxa"/>
            <w:vAlign w:val="center"/>
          </w:tcPr>
          <w:p w14:paraId="23E5FB7F" w14:textId="77777777" w:rsidR="00454A29" w:rsidRDefault="00454A29">
            <w:pPr>
              <w:pStyle w:val="ConsPlusNormal"/>
            </w:pPr>
          </w:p>
        </w:tc>
        <w:tc>
          <w:tcPr>
            <w:tcW w:w="1814" w:type="dxa"/>
            <w:vAlign w:val="center"/>
          </w:tcPr>
          <w:p w14:paraId="48EDF447" w14:textId="77777777" w:rsidR="00454A29" w:rsidRDefault="00454A29">
            <w:pPr>
              <w:pStyle w:val="ConsPlusNormal"/>
            </w:pPr>
          </w:p>
        </w:tc>
      </w:tr>
      <w:tr w:rsidR="00454A29" w14:paraId="4DF5C505" w14:textId="77777777">
        <w:tc>
          <w:tcPr>
            <w:tcW w:w="567" w:type="dxa"/>
            <w:vMerge/>
          </w:tcPr>
          <w:p w14:paraId="6C760709" w14:textId="77777777" w:rsidR="00454A29" w:rsidRDefault="00454A29"/>
        </w:tc>
        <w:tc>
          <w:tcPr>
            <w:tcW w:w="3345" w:type="dxa"/>
            <w:vMerge/>
          </w:tcPr>
          <w:p w14:paraId="06F8E2FA" w14:textId="77777777" w:rsidR="00454A29" w:rsidRDefault="00454A29"/>
        </w:tc>
        <w:tc>
          <w:tcPr>
            <w:tcW w:w="1701" w:type="dxa"/>
            <w:vAlign w:val="center"/>
          </w:tcPr>
          <w:p w14:paraId="15284A4B" w14:textId="77777777" w:rsidR="00454A29" w:rsidRDefault="00454A29">
            <w:pPr>
              <w:pStyle w:val="ConsPlusNormal"/>
              <w:jc w:val="center"/>
            </w:pPr>
            <w:r>
              <w:t>2025</w:t>
            </w:r>
          </w:p>
        </w:tc>
        <w:tc>
          <w:tcPr>
            <w:tcW w:w="1417" w:type="dxa"/>
            <w:vMerge/>
          </w:tcPr>
          <w:p w14:paraId="45B6DEEF" w14:textId="77777777" w:rsidR="00454A29" w:rsidRDefault="00454A29"/>
        </w:tc>
        <w:tc>
          <w:tcPr>
            <w:tcW w:w="2204" w:type="dxa"/>
            <w:vMerge/>
          </w:tcPr>
          <w:p w14:paraId="13935FCD" w14:textId="77777777" w:rsidR="00454A29" w:rsidRDefault="00454A29"/>
        </w:tc>
        <w:tc>
          <w:tcPr>
            <w:tcW w:w="1417" w:type="dxa"/>
            <w:vMerge/>
          </w:tcPr>
          <w:p w14:paraId="17CF014F" w14:textId="77777777" w:rsidR="00454A29" w:rsidRDefault="00454A29"/>
        </w:tc>
        <w:tc>
          <w:tcPr>
            <w:tcW w:w="2324" w:type="dxa"/>
            <w:vMerge/>
          </w:tcPr>
          <w:p w14:paraId="7B71F243" w14:textId="77777777" w:rsidR="00454A29" w:rsidRDefault="00454A29"/>
        </w:tc>
        <w:tc>
          <w:tcPr>
            <w:tcW w:w="1701" w:type="dxa"/>
            <w:vAlign w:val="center"/>
          </w:tcPr>
          <w:p w14:paraId="5D67E7E1" w14:textId="77777777" w:rsidR="00454A29" w:rsidRDefault="00454A29">
            <w:pPr>
              <w:pStyle w:val="ConsPlusNormal"/>
              <w:jc w:val="center"/>
            </w:pPr>
            <w:r>
              <w:t>331 042,08</w:t>
            </w:r>
          </w:p>
        </w:tc>
        <w:tc>
          <w:tcPr>
            <w:tcW w:w="1814" w:type="dxa"/>
            <w:vAlign w:val="center"/>
          </w:tcPr>
          <w:p w14:paraId="7637802C" w14:textId="77777777" w:rsidR="00454A29" w:rsidRDefault="00454A29">
            <w:pPr>
              <w:pStyle w:val="ConsPlusNormal"/>
              <w:jc w:val="center"/>
            </w:pPr>
            <w:r>
              <w:t>4 187,68</w:t>
            </w:r>
          </w:p>
        </w:tc>
        <w:tc>
          <w:tcPr>
            <w:tcW w:w="1701" w:type="dxa"/>
            <w:vAlign w:val="center"/>
          </w:tcPr>
          <w:p w14:paraId="4A3D053B" w14:textId="77777777" w:rsidR="00454A29" w:rsidRDefault="00454A29">
            <w:pPr>
              <w:pStyle w:val="ConsPlusNormal"/>
              <w:jc w:val="center"/>
            </w:pPr>
            <w:r>
              <w:t>414 580,55</w:t>
            </w:r>
          </w:p>
        </w:tc>
        <w:tc>
          <w:tcPr>
            <w:tcW w:w="1701" w:type="dxa"/>
            <w:vAlign w:val="center"/>
          </w:tcPr>
          <w:p w14:paraId="21FE7BFB" w14:textId="77777777" w:rsidR="00454A29" w:rsidRDefault="00454A29">
            <w:pPr>
              <w:pStyle w:val="ConsPlusNormal"/>
            </w:pPr>
          </w:p>
        </w:tc>
        <w:tc>
          <w:tcPr>
            <w:tcW w:w="1814" w:type="dxa"/>
            <w:vAlign w:val="center"/>
          </w:tcPr>
          <w:p w14:paraId="3AE713F7" w14:textId="77777777" w:rsidR="00454A29" w:rsidRDefault="00454A29">
            <w:pPr>
              <w:pStyle w:val="ConsPlusNormal"/>
            </w:pPr>
          </w:p>
        </w:tc>
      </w:tr>
      <w:tr w:rsidR="00454A29" w14:paraId="10D9B8C3" w14:textId="77777777">
        <w:tc>
          <w:tcPr>
            <w:tcW w:w="567" w:type="dxa"/>
            <w:vMerge/>
          </w:tcPr>
          <w:p w14:paraId="689425EF" w14:textId="77777777" w:rsidR="00454A29" w:rsidRDefault="00454A29"/>
        </w:tc>
        <w:tc>
          <w:tcPr>
            <w:tcW w:w="3345" w:type="dxa"/>
            <w:vMerge/>
          </w:tcPr>
          <w:p w14:paraId="168028DA" w14:textId="77777777" w:rsidR="00454A29" w:rsidRDefault="00454A29"/>
        </w:tc>
        <w:tc>
          <w:tcPr>
            <w:tcW w:w="1701" w:type="dxa"/>
            <w:vAlign w:val="center"/>
          </w:tcPr>
          <w:p w14:paraId="4DAC03AB" w14:textId="77777777" w:rsidR="00454A29" w:rsidRDefault="00454A29">
            <w:pPr>
              <w:pStyle w:val="ConsPlusNormal"/>
              <w:jc w:val="center"/>
            </w:pPr>
            <w:r>
              <w:t>2026</w:t>
            </w:r>
          </w:p>
        </w:tc>
        <w:tc>
          <w:tcPr>
            <w:tcW w:w="1417" w:type="dxa"/>
            <w:vMerge/>
          </w:tcPr>
          <w:p w14:paraId="5B15941B" w14:textId="77777777" w:rsidR="00454A29" w:rsidRDefault="00454A29"/>
        </w:tc>
        <w:tc>
          <w:tcPr>
            <w:tcW w:w="2204" w:type="dxa"/>
            <w:vMerge/>
          </w:tcPr>
          <w:p w14:paraId="65DFB99B" w14:textId="77777777" w:rsidR="00454A29" w:rsidRDefault="00454A29"/>
        </w:tc>
        <w:tc>
          <w:tcPr>
            <w:tcW w:w="1417" w:type="dxa"/>
            <w:vMerge/>
          </w:tcPr>
          <w:p w14:paraId="52E05B6E" w14:textId="77777777" w:rsidR="00454A29" w:rsidRDefault="00454A29"/>
        </w:tc>
        <w:tc>
          <w:tcPr>
            <w:tcW w:w="2324" w:type="dxa"/>
            <w:vMerge/>
          </w:tcPr>
          <w:p w14:paraId="042068ED" w14:textId="77777777" w:rsidR="00454A29" w:rsidRDefault="00454A29"/>
        </w:tc>
        <w:tc>
          <w:tcPr>
            <w:tcW w:w="1701" w:type="dxa"/>
            <w:vAlign w:val="center"/>
          </w:tcPr>
          <w:p w14:paraId="6A65F708" w14:textId="77777777" w:rsidR="00454A29" w:rsidRDefault="00454A29">
            <w:pPr>
              <w:pStyle w:val="ConsPlusNormal"/>
            </w:pPr>
          </w:p>
        </w:tc>
        <w:tc>
          <w:tcPr>
            <w:tcW w:w="1814" w:type="dxa"/>
            <w:vAlign w:val="center"/>
          </w:tcPr>
          <w:p w14:paraId="64C2CAD1" w14:textId="77777777" w:rsidR="00454A29" w:rsidRDefault="00454A29">
            <w:pPr>
              <w:pStyle w:val="ConsPlusNormal"/>
            </w:pPr>
          </w:p>
        </w:tc>
        <w:tc>
          <w:tcPr>
            <w:tcW w:w="1701" w:type="dxa"/>
            <w:vAlign w:val="center"/>
          </w:tcPr>
          <w:p w14:paraId="1FEB96C2" w14:textId="77777777" w:rsidR="00454A29" w:rsidRDefault="00454A29">
            <w:pPr>
              <w:pStyle w:val="ConsPlusNormal"/>
            </w:pPr>
          </w:p>
        </w:tc>
        <w:tc>
          <w:tcPr>
            <w:tcW w:w="1701" w:type="dxa"/>
            <w:vAlign w:val="center"/>
          </w:tcPr>
          <w:p w14:paraId="2C035A5B" w14:textId="77777777" w:rsidR="00454A29" w:rsidRDefault="00454A29">
            <w:pPr>
              <w:pStyle w:val="ConsPlusNormal"/>
            </w:pPr>
          </w:p>
        </w:tc>
        <w:tc>
          <w:tcPr>
            <w:tcW w:w="1814" w:type="dxa"/>
            <w:vAlign w:val="center"/>
          </w:tcPr>
          <w:p w14:paraId="17AE32A6" w14:textId="77777777" w:rsidR="00454A29" w:rsidRDefault="00454A29">
            <w:pPr>
              <w:pStyle w:val="ConsPlusNormal"/>
            </w:pPr>
          </w:p>
        </w:tc>
      </w:tr>
      <w:tr w:rsidR="00454A29" w14:paraId="0597EAFA" w14:textId="77777777">
        <w:tc>
          <w:tcPr>
            <w:tcW w:w="567" w:type="dxa"/>
            <w:vMerge w:val="restart"/>
            <w:vAlign w:val="center"/>
          </w:tcPr>
          <w:p w14:paraId="0B91DBFF" w14:textId="77777777" w:rsidR="00454A29" w:rsidRDefault="00454A29">
            <w:pPr>
              <w:pStyle w:val="ConsPlusNormal"/>
              <w:jc w:val="center"/>
            </w:pPr>
            <w:r>
              <w:lastRenderedPageBreak/>
              <w:t>52</w:t>
            </w:r>
          </w:p>
        </w:tc>
        <w:tc>
          <w:tcPr>
            <w:tcW w:w="3345" w:type="dxa"/>
            <w:vMerge w:val="restart"/>
            <w:vAlign w:val="center"/>
          </w:tcPr>
          <w:p w14:paraId="75B1803A" w14:textId="77777777" w:rsidR="00454A29" w:rsidRDefault="00454A29">
            <w:pPr>
              <w:pStyle w:val="ConsPlusNormal"/>
              <w:jc w:val="center"/>
            </w:pPr>
            <w:r>
              <w:t>Школа на 80 учащихся в с. Ерт</w:t>
            </w:r>
          </w:p>
        </w:tc>
        <w:tc>
          <w:tcPr>
            <w:tcW w:w="1701" w:type="dxa"/>
            <w:vAlign w:val="center"/>
          </w:tcPr>
          <w:p w14:paraId="359132EC" w14:textId="77777777" w:rsidR="00454A29" w:rsidRDefault="00454A29">
            <w:pPr>
              <w:pStyle w:val="ConsPlusNormal"/>
              <w:jc w:val="center"/>
            </w:pPr>
            <w:r>
              <w:t>2020 - 2026 годы - всего</w:t>
            </w:r>
          </w:p>
        </w:tc>
        <w:tc>
          <w:tcPr>
            <w:tcW w:w="1417" w:type="dxa"/>
            <w:vMerge w:val="restart"/>
            <w:vAlign w:val="center"/>
          </w:tcPr>
          <w:p w14:paraId="1E5B5955" w14:textId="77777777" w:rsidR="00454A29" w:rsidRDefault="00454A29">
            <w:pPr>
              <w:pStyle w:val="ConsPlusNormal"/>
              <w:jc w:val="center"/>
            </w:pPr>
            <w:r>
              <w:t>294 259,62</w:t>
            </w:r>
          </w:p>
        </w:tc>
        <w:tc>
          <w:tcPr>
            <w:tcW w:w="2204" w:type="dxa"/>
            <w:vMerge w:val="restart"/>
            <w:vAlign w:val="center"/>
          </w:tcPr>
          <w:p w14:paraId="317EE44D" w14:textId="77777777" w:rsidR="00454A29" w:rsidRDefault="00454A29">
            <w:pPr>
              <w:pStyle w:val="ConsPlusNormal"/>
            </w:pPr>
          </w:p>
        </w:tc>
        <w:tc>
          <w:tcPr>
            <w:tcW w:w="1417" w:type="dxa"/>
            <w:vMerge w:val="restart"/>
            <w:vAlign w:val="center"/>
          </w:tcPr>
          <w:p w14:paraId="6C093051" w14:textId="77777777" w:rsidR="00454A29" w:rsidRDefault="00454A29">
            <w:pPr>
              <w:pStyle w:val="ConsPlusNormal"/>
              <w:jc w:val="center"/>
            </w:pPr>
            <w:r>
              <w:t>80</w:t>
            </w:r>
          </w:p>
        </w:tc>
        <w:tc>
          <w:tcPr>
            <w:tcW w:w="2324" w:type="dxa"/>
            <w:vMerge w:val="restart"/>
            <w:vAlign w:val="center"/>
          </w:tcPr>
          <w:p w14:paraId="378F852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7F49246" w14:textId="77777777" w:rsidR="00454A29" w:rsidRDefault="00454A29">
            <w:pPr>
              <w:pStyle w:val="ConsPlusNormal"/>
              <w:jc w:val="center"/>
            </w:pPr>
            <w:r>
              <w:t>294 259,62</w:t>
            </w:r>
          </w:p>
        </w:tc>
        <w:tc>
          <w:tcPr>
            <w:tcW w:w="1814" w:type="dxa"/>
            <w:vAlign w:val="center"/>
          </w:tcPr>
          <w:p w14:paraId="1C9C3E21" w14:textId="77777777" w:rsidR="00454A29" w:rsidRDefault="00454A29">
            <w:pPr>
              <w:pStyle w:val="ConsPlusNormal"/>
              <w:jc w:val="center"/>
            </w:pPr>
            <w:r>
              <w:t>1 968,60</w:t>
            </w:r>
          </w:p>
        </w:tc>
        <w:tc>
          <w:tcPr>
            <w:tcW w:w="1701" w:type="dxa"/>
            <w:vAlign w:val="center"/>
          </w:tcPr>
          <w:p w14:paraId="31084265" w14:textId="77777777" w:rsidR="00454A29" w:rsidRDefault="00454A29">
            <w:pPr>
              <w:pStyle w:val="ConsPlusNormal"/>
              <w:jc w:val="center"/>
            </w:pPr>
            <w:r>
              <w:t>194 891,09</w:t>
            </w:r>
          </w:p>
        </w:tc>
        <w:tc>
          <w:tcPr>
            <w:tcW w:w="1701" w:type="dxa"/>
            <w:vAlign w:val="center"/>
          </w:tcPr>
          <w:p w14:paraId="24E7DE55" w14:textId="77777777" w:rsidR="00454A29" w:rsidRDefault="00454A29">
            <w:pPr>
              <w:pStyle w:val="ConsPlusNormal"/>
              <w:jc w:val="center"/>
            </w:pPr>
            <w:r>
              <w:t>-</w:t>
            </w:r>
          </w:p>
        </w:tc>
        <w:tc>
          <w:tcPr>
            <w:tcW w:w="1814" w:type="dxa"/>
            <w:vAlign w:val="center"/>
          </w:tcPr>
          <w:p w14:paraId="6E491AD9" w14:textId="77777777" w:rsidR="00454A29" w:rsidRDefault="00454A29">
            <w:pPr>
              <w:pStyle w:val="ConsPlusNormal"/>
              <w:jc w:val="center"/>
            </w:pPr>
            <w:r>
              <w:t>-</w:t>
            </w:r>
          </w:p>
        </w:tc>
      </w:tr>
      <w:tr w:rsidR="00454A29" w14:paraId="24D08F95" w14:textId="77777777">
        <w:tc>
          <w:tcPr>
            <w:tcW w:w="567" w:type="dxa"/>
            <w:vMerge/>
          </w:tcPr>
          <w:p w14:paraId="301E1AEA" w14:textId="77777777" w:rsidR="00454A29" w:rsidRDefault="00454A29"/>
        </w:tc>
        <w:tc>
          <w:tcPr>
            <w:tcW w:w="3345" w:type="dxa"/>
            <w:vMerge/>
          </w:tcPr>
          <w:p w14:paraId="0DFB4F4A" w14:textId="77777777" w:rsidR="00454A29" w:rsidRDefault="00454A29"/>
        </w:tc>
        <w:tc>
          <w:tcPr>
            <w:tcW w:w="1701" w:type="dxa"/>
            <w:vAlign w:val="center"/>
          </w:tcPr>
          <w:p w14:paraId="7D1D79E9" w14:textId="77777777" w:rsidR="00454A29" w:rsidRDefault="00454A29">
            <w:pPr>
              <w:pStyle w:val="ConsPlusNormal"/>
              <w:jc w:val="center"/>
            </w:pPr>
            <w:r>
              <w:t>2020</w:t>
            </w:r>
          </w:p>
        </w:tc>
        <w:tc>
          <w:tcPr>
            <w:tcW w:w="1417" w:type="dxa"/>
            <w:vMerge/>
          </w:tcPr>
          <w:p w14:paraId="6EDACA0A" w14:textId="77777777" w:rsidR="00454A29" w:rsidRDefault="00454A29"/>
        </w:tc>
        <w:tc>
          <w:tcPr>
            <w:tcW w:w="2204" w:type="dxa"/>
            <w:vMerge/>
          </w:tcPr>
          <w:p w14:paraId="5A85DF23" w14:textId="77777777" w:rsidR="00454A29" w:rsidRDefault="00454A29"/>
        </w:tc>
        <w:tc>
          <w:tcPr>
            <w:tcW w:w="1417" w:type="dxa"/>
            <w:vMerge/>
          </w:tcPr>
          <w:p w14:paraId="5CCE2525" w14:textId="77777777" w:rsidR="00454A29" w:rsidRDefault="00454A29"/>
        </w:tc>
        <w:tc>
          <w:tcPr>
            <w:tcW w:w="2324" w:type="dxa"/>
            <w:vMerge/>
          </w:tcPr>
          <w:p w14:paraId="6B73D7B4" w14:textId="77777777" w:rsidR="00454A29" w:rsidRDefault="00454A29"/>
        </w:tc>
        <w:tc>
          <w:tcPr>
            <w:tcW w:w="1701" w:type="dxa"/>
            <w:vAlign w:val="center"/>
          </w:tcPr>
          <w:p w14:paraId="5626F75F" w14:textId="77777777" w:rsidR="00454A29" w:rsidRDefault="00454A29">
            <w:pPr>
              <w:pStyle w:val="ConsPlusNormal"/>
            </w:pPr>
          </w:p>
        </w:tc>
        <w:tc>
          <w:tcPr>
            <w:tcW w:w="1814" w:type="dxa"/>
            <w:vAlign w:val="center"/>
          </w:tcPr>
          <w:p w14:paraId="2FECCF67" w14:textId="77777777" w:rsidR="00454A29" w:rsidRDefault="00454A29">
            <w:pPr>
              <w:pStyle w:val="ConsPlusNormal"/>
            </w:pPr>
          </w:p>
        </w:tc>
        <w:tc>
          <w:tcPr>
            <w:tcW w:w="1701" w:type="dxa"/>
            <w:vAlign w:val="center"/>
          </w:tcPr>
          <w:p w14:paraId="2ADD7EBB" w14:textId="77777777" w:rsidR="00454A29" w:rsidRDefault="00454A29">
            <w:pPr>
              <w:pStyle w:val="ConsPlusNormal"/>
            </w:pPr>
          </w:p>
        </w:tc>
        <w:tc>
          <w:tcPr>
            <w:tcW w:w="1701" w:type="dxa"/>
            <w:vAlign w:val="center"/>
          </w:tcPr>
          <w:p w14:paraId="0E539D62" w14:textId="77777777" w:rsidR="00454A29" w:rsidRDefault="00454A29">
            <w:pPr>
              <w:pStyle w:val="ConsPlusNormal"/>
            </w:pPr>
          </w:p>
        </w:tc>
        <w:tc>
          <w:tcPr>
            <w:tcW w:w="1814" w:type="dxa"/>
            <w:vAlign w:val="center"/>
          </w:tcPr>
          <w:p w14:paraId="38C97D16" w14:textId="77777777" w:rsidR="00454A29" w:rsidRDefault="00454A29">
            <w:pPr>
              <w:pStyle w:val="ConsPlusNormal"/>
            </w:pPr>
          </w:p>
        </w:tc>
      </w:tr>
      <w:tr w:rsidR="00454A29" w14:paraId="27801103" w14:textId="77777777">
        <w:tc>
          <w:tcPr>
            <w:tcW w:w="567" w:type="dxa"/>
            <w:vMerge/>
          </w:tcPr>
          <w:p w14:paraId="702111C1" w14:textId="77777777" w:rsidR="00454A29" w:rsidRDefault="00454A29"/>
        </w:tc>
        <w:tc>
          <w:tcPr>
            <w:tcW w:w="3345" w:type="dxa"/>
            <w:vMerge/>
          </w:tcPr>
          <w:p w14:paraId="3FB31605" w14:textId="77777777" w:rsidR="00454A29" w:rsidRDefault="00454A29"/>
        </w:tc>
        <w:tc>
          <w:tcPr>
            <w:tcW w:w="1701" w:type="dxa"/>
            <w:vAlign w:val="center"/>
          </w:tcPr>
          <w:p w14:paraId="54608FDD" w14:textId="77777777" w:rsidR="00454A29" w:rsidRDefault="00454A29">
            <w:pPr>
              <w:pStyle w:val="ConsPlusNormal"/>
              <w:jc w:val="center"/>
            </w:pPr>
            <w:r>
              <w:t>2021</w:t>
            </w:r>
          </w:p>
        </w:tc>
        <w:tc>
          <w:tcPr>
            <w:tcW w:w="1417" w:type="dxa"/>
            <w:vMerge/>
          </w:tcPr>
          <w:p w14:paraId="177BE728" w14:textId="77777777" w:rsidR="00454A29" w:rsidRDefault="00454A29"/>
        </w:tc>
        <w:tc>
          <w:tcPr>
            <w:tcW w:w="2204" w:type="dxa"/>
            <w:vMerge/>
          </w:tcPr>
          <w:p w14:paraId="075FA328" w14:textId="77777777" w:rsidR="00454A29" w:rsidRDefault="00454A29"/>
        </w:tc>
        <w:tc>
          <w:tcPr>
            <w:tcW w:w="1417" w:type="dxa"/>
            <w:vMerge/>
          </w:tcPr>
          <w:p w14:paraId="7B02DCCA" w14:textId="77777777" w:rsidR="00454A29" w:rsidRDefault="00454A29"/>
        </w:tc>
        <w:tc>
          <w:tcPr>
            <w:tcW w:w="2324" w:type="dxa"/>
            <w:vMerge/>
          </w:tcPr>
          <w:p w14:paraId="37DD387B" w14:textId="77777777" w:rsidR="00454A29" w:rsidRDefault="00454A29"/>
        </w:tc>
        <w:tc>
          <w:tcPr>
            <w:tcW w:w="1701" w:type="dxa"/>
            <w:vAlign w:val="center"/>
          </w:tcPr>
          <w:p w14:paraId="3CCC8D57" w14:textId="77777777" w:rsidR="00454A29" w:rsidRDefault="00454A29">
            <w:pPr>
              <w:pStyle w:val="ConsPlusNormal"/>
            </w:pPr>
          </w:p>
        </w:tc>
        <w:tc>
          <w:tcPr>
            <w:tcW w:w="1814" w:type="dxa"/>
            <w:vAlign w:val="center"/>
          </w:tcPr>
          <w:p w14:paraId="0E572776" w14:textId="77777777" w:rsidR="00454A29" w:rsidRDefault="00454A29">
            <w:pPr>
              <w:pStyle w:val="ConsPlusNormal"/>
            </w:pPr>
          </w:p>
        </w:tc>
        <w:tc>
          <w:tcPr>
            <w:tcW w:w="1701" w:type="dxa"/>
            <w:vAlign w:val="center"/>
          </w:tcPr>
          <w:p w14:paraId="4091A013" w14:textId="77777777" w:rsidR="00454A29" w:rsidRDefault="00454A29">
            <w:pPr>
              <w:pStyle w:val="ConsPlusNormal"/>
            </w:pPr>
          </w:p>
        </w:tc>
        <w:tc>
          <w:tcPr>
            <w:tcW w:w="1701" w:type="dxa"/>
            <w:vAlign w:val="center"/>
          </w:tcPr>
          <w:p w14:paraId="2DB6DA50" w14:textId="77777777" w:rsidR="00454A29" w:rsidRDefault="00454A29">
            <w:pPr>
              <w:pStyle w:val="ConsPlusNormal"/>
            </w:pPr>
          </w:p>
        </w:tc>
        <w:tc>
          <w:tcPr>
            <w:tcW w:w="1814" w:type="dxa"/>
            <w:vAlign w:val="center"/>
          </w:tcPr>
          <w:p w14:paraId="5AE1E7A2" w14:textId="77777777" w:rsidR="00454A29" w:rsidRDefault="00454A29">
            <w:pPr>
              <w:pStyle w:val="ConsPlusNormal"/>
            </w:pPr>
          </w:p>
        </w:tc>
      </w:tr>
      <w:tr w:rsidR="00454A29" w14:paraId="4D2C1CED" w14:textId="77777777">
        <w:tc>
          <w:tcPr>
            <w:tcW w:w="567" w:type="dxa"/>
            <w:vMerge/>
          </w:tcPr>
          <w:p w14:paraId="77196DCA" w14:textId="77777777" w:rsidR="00454A29" w:rsidRDefault="00454A29"/>
        </w:tc>
        <w:tc>
          <w:tcPr>
            <w:tcW w:w="3345" w:type="dxa"/>
            <w:vMerge/>
          </w:tcPr>
          <w:p w14:paraId="2595C616" w14:textId="77777777" w:rsidR="00454A29" w:rsidRDefault="00454A29"/>
        </w:tc>
        <w:tc>
          <w:tcPr>
            <w:tcW w:w="1701" w:type="dxa"/>
            <w:vAlign w:val="center"/>
          </w:tcPr>
          <w:p w14:paraId="7DDCFC73" w14:textId="77777777" w:rsidR="00454A29" w:rsidRDefault="00454A29">
            <w:pPr>
              <w:pStyle w:val="ConsPlusNormal"/>
              <w:jc w:val="center"/>
            </w:pPr>
            <w:r>
              <w:t>2022</w:t>
            </w:r>
          </w:p>
        </w:tc>
        <w:tc>
          <w:tcPr>
            <w:tcW w:w="1417" w:type="dxa"/>
            <w:vMerge/>
          </w:tcPr>
          <w:p w14:paraId="21CDCC67" w14:textId="77777777" w:rsidR="00454A29" w:rsidRDefault="00454A29"/>
        </w:tc>
        <w:tc>
          <w:tcPr>
            <w:tcW w:w="2204" w:type="dxa"/>
            <w:vMerge/>
          </w:tcPr>
          <w:p w14:paraId="6F27525F" w14:textId="77777777" w:rsidR="00454A29" w:rsidRDefault="00454A29"/>
        </w:tc>
        <w:tc>
          <w:tcPr>
            <w:tcW w:w="1417" w:type="dxa"/>
            <w:vMerge/>
          </w:tcPr>
          <w:p w14:paraId="5290073D" w14:textId="77777777" w:rsidR="00454A29" w:rsidRDefault="00454A29"/>
        </w:tc>
        <w:tc>
          <w:tcPr>
            <w:tcW w:w="2324" w:type="dxa"/>
            <w:vMerge/>
          </w:tcPr>
          <w:p w14:paraId="7A728B65" w14:textId="77777777" w:rsidR="00454A29" w:rsidRDefault="00454A29"/>
        </w:tc>
        <w:tc>
          <w:tcPr>
            <w:tcW w:w="1701" w:type="dxa"/>
            <w:vAlign w:val="center"/>
          </w:tcPr>
          <w:p w14:paraId="175A9289" w14:textId="77777777" w:rsidR="00454A29" w:rsidRDefault="00454A29">
            <w:pPr>
              <w:pStyle w:val="ConsPlusNormal"/>
            </w:pPr>
          </w:p>
        </w:tc>
        <w:tc>
          <w:tcPr>
            <w:tcW w:w="1814" w:type="dxa"/>
            <w:vAlign w:val="center"/>
          </w:tcPr>
          <w:p w14:paraId="08B45A87" w14:textId="77777777" w:rsidR="00454A29" w:rsidRDefault="00454A29">
            <w:pPr>
              <w:pStyle w:val="ConsPlusNormal"/>
            </w:pPr>
          </w:p>
        </w:tc>
        <w:tc>
          <w:tcPr>
            <w:tcW w:w="1701" w:type="dxa"/>
            <w:vAlign w:val="center"/>
          </w:tcPr>
          <w:p w14:paraId="0A01AED5" w14:textId="77777777" w:rsidR="00454A29" w:rsidRDefault="00454A29">
            <w:pPr>
              <w:pStyle w:val="ConsPlusNormal"/>
            </w:pPr>
          </w:p>
        </w:tc>
        <w:tc>
          <w:tcPr>
            <w:tcW w:w="1701" w:type="dxa"/>
            <w:vAlign w:val="center"/>
          </w:tcPr>
          <w:p w14:paraId="7D9CE749" w14:textId="77777777" w:rsidR="00454A29" w:rsidRDefault="00454A29">
            <w:pPr>
              <w:pStyle w:val="ConsPlusNormal"/>
            </w:pPr>
          </w:p>
        </w:tc>
        <w:tc>
          <w:tcPr>
            <w:tcW w:w="1814" w:type="dxa"/>
            <w:vAlign w:val="center"/>
          </w:tcPr>
          <w:p w14:paraId="0761C76C" w14:textId="77777777" w:rsidR="00454A29" w:rsidRDefault="00454A29">
            <w:pPr>
              <w:pStyle w:val="ConsPlusNormal"/>
            </w:pPr>
          </w:p>
        </w:tc>
      </w:tr>
      <w:tr w:rsidR="00454A29" w14:paraId="465E5733" w14:textId="77777777">
        <w:tc>
          <w:tcPr>
            <w:tcW w:w="567" w:type="dxa"/>
            <w:vMerge/>
          </w:tcPr>
          <w:p w14:paraId="305E8DC2" w14:textId="77777777" w:rsidR="00454A29" w:rsidRDefault="00454A29"/>
        </w:tc>
        <w:tc>
          <w:tcPr>
            <w:tcW w:w="3345" w:type="dxa"/>
            <w:vMerge/>
          </w:tcPr>
          <w:p w14:paraId="36712744" w14:textId="77777777" w:rsidR="00454A29" w:rsidRDefault="00454A29"/>
        </w:tc>
        <w:tc>
          <w:tcPr>
            <w:tcW w:w="1701" w:type="dxa"/>
            <w:vAlign w:val="center"/>
          </w:tcPr>
          <w:p w14:paraId="2DFC22BD" w14:textId="77777777" w:rsidR="00454A29" w:rsidRDefault="00454A29">
            <w:pPr>
              <w:pStyle w:val="ConsPlusNormal"/>
              <w:jc w:val="center"/>
            </w:pPr>
            <w:r>
              <w:t>2023</w:t>
            </w:r>
          </w:p>
        </w:tc>
        <w:tc>
          <w:tcPr>
            <w:tcW w:w="1417" w:type="dxa"/>
            <w:vMerge/>
          </w:tcPr>
          <w:p w14:paraId="3CCD67A1" w14:textId="77777777" w:rsidR="00454A29" w:rsidRDefault="00454A29"/>
        </w:tc>
        <w:tc>
          <w:tcPr>
            <w:tcW w:w="2204" w:type="dxa"/>
            <w:vMerge/>
          </w:tcPr>
          <w:p w14:paraId="2F0D6375" w14:textId="77777777" w:rsidR="00454A29" w:rsidRDefault="00454A29"/>
        </w:tc>
        <w:tc>
          <w:tcPr>
            <w:tcW w:w="1417" w:type="dxa"/>
            <w:vMerge/>
          </w:tcPr>
          <w:p w14:paraId="2FAD3C6C" w14:textId="77777777" w:rsidR="00454A29" w:rsidRDefault="00454A29"/>
        </w:tc>
        <w:tc>
          <w:tcPr>
            <w:tcW w:w="2324" w:type="dxa"/>
            <w:vMerge/>
          </w:tcPr>
          <w:p w14:paraId="23F3C890" w14:textId="77777777" w:rsidR="00454A29" w:rsidRDefault="00454A29"/>
        </w:tc>
        <w:tc>
          <w:tcPr>
            <w:tcW w:w="1701" w:type="dxa"/>
            <w:vAlign w:val="center"/>
          </w:tcPr>
          <w:p w14:paraId="5A62012C" w14:textId="77777777" w:rsidR="00454A29" w:rsidRDefault="00454A29">
            <w:pPr>
              <w:pStyle w:val="ConsPlusNormal"/>
            </w:pPr>
          </w:p>
        </w:tc>
        <w:tc>
          <w:tcPr>
            <w:tcW w:w="1814" w:type="dxa"/>
            <w:vAlign w:val="center"/>
          </w:tcPr>
          <w:p w14:paraId="7CD3CC0C" w14:textId="77777777" w:rsidR="00454A29" w:rsidRDefault="00454A29">
            <w:pPr>
              <w:pStyle w:val="ConsPlusNormal"/>
            </w:pPr>
          </w:p>
        </w:tc>
        <w:tc>
          <w:tcPr>
            <w:tcW w:w="1701" w:type="dxa"/>
            <w:vAlign w:val="center"/>
          </w:tcPr>
          <w:p w14:paraId="6447EB1B" w14:textId="77777777" w:rsidR="00454A29" w:rsidRDefault="00454A29">
            <w:pPr>
              <w:pStyle w:val="ConsPlusNormal"/>
            </w:pPr>
          </w:p>
        </w:tc>
        <w:tc>
          <w:tcPr>
            <w:tcW w:w="1701" w:type="dxa"/>
            <w:vAlign w:val="center"/>
          </w:tcPr>
          <w:p w14:paraId="361369AA" w14:textId="77777777" w:rsidR="00454A29" w:rsidRDefault="00454A29">
            <w:pPr>
              <w:pStyle w:val="ConsPlusNormal"/>
            </w:pPr>
          </w:p>
        </w:tc>
        <w:tc>
          <w:tcPr>
            <w:tcW w:w="1814" w:type="dxa"/>
            <w:vAlign w:val="center"/>
          </w:tcPr>
          <w:p w14:paraId="21C96617" w14:textId="77777777" w:rsidR="00454A29" w:rsidRDefault="00454A29">
            <w:pPr>
              <w:pStyle w:val="ConsPlusNormal"/>
            </w:pPr>
          </w:p>
        </w:tc>
      </w:tr>
      <w:tr w:rsidR="00454A29" w14:paraId="1C90B0BB" w14:textId="77777777">
        <w:tc>
          <w:tcPr>
            <w:tcW w:w="567" w:type="dxa"/>
            <w:vMerge/>
          </w:tcPr>
          <w:p w14:paraId="2C440703" w14:textId="77777777" w:rsidR="00454A29" w:rsidRDefault="00454A29"/>
        </w:tc>
        <w:tc>
          <w:tcPr>
            <w:tcW w:w="3345" w:type="dxa"/>
            <w:vMerge/>
          </w:tcPr>
          <w:p w14:paraId="48CDBC81" w14:textId="77777777" w:rsidR="00454A29" w:rsidRDefault="00454A29"/>
        </w:tc>
        <w:tc>
          <w:tcPr>
            <w:tcW w:w="1701" w:type="dxa"/>
            <w:vAlign w:val="center"/>
          </w:tcPr>
          <w:p w14:paraId="17C58678" w14:textId="77777777" w:rsidR="00454A29" w:rsidRDefault="00454A29">
            <w:pPr>
              <w:pStyle w:val="ConsPlusNormal"/>
              <w:jc w:val="center"/>
            </w:pPr>
            <w:r>
              <w:t>2024</w:t>
            </w:r>
          </w:p>
        </w:tc>
        <w:tc>
          <w:tcPr>
            <w:tcW w:w="1417" w:type="dxa"/>
            <w:vMerge/>
          </w:tcPr>
          <w:p w14:paraId="0FC468C3" w14:textId="77777777" w:rsidR="00454A29" w:rsidRDefault="00454A29"/>
        </w:tc>
        <w:tc>
          <w:tcPr>
            <w:tcW w:w="2204" w:type="dxa"/>
            <w:vMerge/>
          </w:tcPr>
          <w:p w14:paraId="7CF3B908" w14:textId="77777777" w:rsidR="00454A29" w:rsidRDefault="00454A29"/>
        </w:tc>
        <w:tc>
          <w:tcPr>
            <w:tcW w:w="1417" w:type="dxa"/>
            <w:vMerge/>
          </w:tcPr>
          <w:p w14:paraId="2D0E70F4" w14:textId="77777777" w:rsidR="00454A29" w:rsidRDefault="00454A29"/>
        </w:tc>
        <w:tc>
          <w:tcPr>
            <w:tcW w:w="2324" w:type="dxa"/>
            <w:vMerge/>
          </w:tcPr>
          <w:p w14:paraId="1E0FFCA9" w14:textId="77777777" w:rsidR="00454A29" w:rsidRDefault="00454A29"/>
        </w:tc>
        <w:tc>
          <w:tcPr>
            <w:tcW w:w="1701" w:type="dxa"/>
            <w:vAlign w:val="center"/>
          </w:tcPr>
          <w:p w14:paraId="665CA5D3" w14:textId="77777777" w:rsidR="00454A29" w:rsidRDefault="00454A29">
            <w:pPr>
              <w:pStyle w:val="ConsPlusNormal"/>
              <w:jc w:val="center"/>
            </w:pPr>
            <w:r>
              <w:t>294 259,62</w:t>
            </w:r>
          </w:p>
        </w:tc>
        <w:tc>
          <w:tcPr>
            <w:tcW w:w="1814" w:type="dxa"/>
            <w:vAlign w:val="center"/>
          </w:tcPr>
          <w:p w14:paraId="0B5285F8" w14:textId="77777777" w:rsidR="00454A29" w:rsidRDefault="00454A29">
            <w:pPr>
              <w:pStyle w:val="ConsPlusNormal"/>
              <w:jc w:val="center"/>
            </w:pPr>
            <w:r>
              <w:t>1 968,60</w:t>
            </w:r>
          </w:p>
        </w:tc>
        <w:tc>
          <w:tcPr>
            <w:tcW w:w="1701" w:type="dxa"/>
            <w:vAlign w:val="center"/>
          </w:tcPr>
          <w:p w14:paraId="77EA274C" w14:textId="77777777" w:rsidR="00454A29" w:rsidRDefault="00454A29">
            <w:pPr>
              <w:pStyle w:val="ConsPlusNormal"/>
              <w:jc w:val="center"/>
            </w:pPr>
            <w:r>
              <w:t>194 891,09</w:t>
            </w:r>
          </w:p>
        </w:tc>
        <w:tc>
          <w:tcPr>
            <w:tcW w:w="1701" w:type="dxa"/>
            <w:vAlign w:val="center"/>
          </w:tcPr>
          <w:p w14:paraId="6CF29541" w14:textId="77777777" w:rsidR="00454A29" w:rsidRDefault="00454A29">
            <w:pPr>
              <w:pStyle w:val="ConsPlusNormal"/>
            </w:pPr>
          </w:p>
        </w:tc>
        <w:tc>
          <w:tcPr>
            <w:tcW w:w="1814" w:type="dxa"/>
            <w:vAlign w:val="center"/>
          </w:tcPr>
          <w:p w14:paraId="3154C830" w14:textId="77777777" w:rsidR="00454A29" w:rsidRDefault="00454A29">
            <w:pPr>
              <w:pStyle w:val="ConsPlusNormal"/>
            </w:pPr>
          </w:p>
        </w:tc>
      </w:tr>
      <w:tr w:rsidR="00454A29" w14:paraId="1E776388" w14:textId="77777777">
        <w:tc>
          <w:tcPr>
            <w:tcW w:w="567" w:type="dxa"/>
            <w:vMerge/>
          </w:tcPr>
          <w:p w14:paraId="75D8C0DC" w14:textId="77777777" w:rsidR="00454A29" w:rsidRDefault="00454A29"/>
        </w:tc>
        <w:tc>
          <w:tcPr>
            <w:tcW w:w="3345" w:type="dxa"/>
            <w:vMerge/>
          </w:tcPr>
          <w:p w14:paraId="176BAA57" w14:textId="77777777" w:rsidR="00454A29" w:rsidRDefault="00454A29"/>
        </w:tc>
        <w:tc>
          <w:tcPr>
            <w:tcW w:w="1701" w:type="dxa"/>
            <w:vAlign w:val="center"/>
          </w:tcPr>
          <w:p w14:paraId="18728D2C" w14:textId="77777777" w:rsidR="00454A29" w:rsidRDefault="00454A29">
            <w:pPr>
              <w:pStyle w:val="ConsPlusNormal"/>
              <w:jc w:val="center"/>
            </w:pPr>
            <w:r>
              <w:t>2025</w:t>
            </w:r>
          </w:p>
        </w:tc>
        <w:tc>
          <w:tcPr>
            <w:tcW w:w="1417" w:type="dxa"/>
            <w:vMerge/>
          </w:tcPr>
          <w:p w14:paraId="7D9E81FC" w14:textId="77777777" w:rsidR="00454A29" w:rsidRDefault="00454A29"/>
        </w:tc>
        <w:tc>
          <w:tcPr>
            <w:tcW w:w="2204" w:type="dxa"/>
            <w:vMerge/>
          </w:tcPr>
          <w:p w14:paraId="44ED98CF" w14:textId="77777777" w:rsidR="00454A29" w:rsidRDefault="00454A29"/>
        </w:tc>
        <w:tc>
          <w:tcPr>
            <w:tcW w:w="1417" w:type="dxa"/>
            <w:vMerge/>
          </w:tcPr>
          <w:p w14:paraId="6A0C0534" w14:textId="77777777" w:rsidR="00454A29" w:rsidRDefault="00454A29"/>
        </w:tc>
        <w:tc>
          <w:tcPr>
            <w:tcW w:w="2324" w:type="dxa"/>
            <w:vMerge/>
          </w:tcPr>
          <w:p w14:paraId="6A308B15" w14:textId="77777777" w:rsidR="00454A29" w:rsidRDefault="00454A29"/>
        </w:tc>
        <w:tc>
          <w:tcPr>
            <w:tcW w:w="1701" w:type="dxa"/>
            <w:vAlign w:val="center"/>
          </w:tcPr>
          <w:p w14:paraId="635493BF" w14:textId="77777777" w:rsidR="00454A29" w:rsidRDefault="00454A29">
            <w:pPr>
              <w:pStyle w:val="ConsPlusNormal"/>
            </w:pPr>
          </w:p>
        </w:tc>
        <w:tc>
          <w:tcPr>
            <w:tcW w:w="1814" w:type="dxa"/>
            <w:vAlign w:val="center"/>
          </w:tcPr>
          <w:p w14:paraId="3EB4EE8A" w14:textId="77777777" w:rsidR="00454A29" w:rsidRDefault="00454A29">
            <w:pPr>
              <w:pStyle w:val="ConsPlusNormal"/>
            </w:pPr>
          </w:p>
        </w:tc>
        <w:tc>
          <w:tcPr>
            <w:tcW w:w="1701" w:type="dxa"/>
            <w:vAlign w:val="center"/>
          </w:tcPr>
          <w:p w14:paraId="3E2FEA0B" w14:textId="77777777" w:rsidR="00454A29" w:rsidRDefault="00454A29">
            <w:pPr>
              <w:pStyle w:val="ConsPlusNormal"/>
            </w:pPr>
          </w:p>
        </w:tc>
        <w:tc>
          <w:tcPr>
            <w:tcW w:w="1701" w:type="dxa"/>
            <w:vAlign w:val="center"/>
          </w:tcPr>
          <w:p w14:paraId="4F326D87" w14:textId="77777777" w:rsidR="00454A29" w:rsidRDefault="00454A29">
            <w:pPr>
              <w:pStyle w:val="ConsPlusNormal"/>
            </w:pPr>
          </w:p>
        </w:tc>
        <w:tc>
          <w:tcPr>
            <w:tcW w:w="1814" w:type="dxa"/>
            <w:vAlign w:val="center"/>
          </w:tcPr>
          <w:p w14:paraId="5CA0C376" w14:textId="77777777" w:rsidR="00454A29" w:rsidRDefault="00454A29">
            <w:pPr>
              <w:pStyle w:val="ConsPlusNormal"/>
            </w:pPr>
          </w:p>
        </w:tc>
      </w:tr>
      <w:tr w:rsidR="00454A29" w14:paraId="7588ED8C" w14:textId="77777777">
        <w:tc>
          <w:tcPr>
            <w:tcW w:w="567" w:type="dxa"/>
            <w:vMerge/>
          </w:tcPr>
          <w:p w14:paraId="65320DD4" w14:textId="77777777" w:rsidR="00454A29" w:rsidRDefault="00454A29"/>
        </w:tc>
        <w:tc>
          <w:tcPr>
            <w:tcW w:w="3345" w:type="dxa"/>
            <w:vMerge/>
          </w:tcPr>
          <w:p w14:paraId="4C496B69" w14:textId="77777777" w:rsidR="00454A29" w:rsidRDefault="00454A29"/>
        </w:tc>
        <w:tc>
          <w:tcPr>
            <w:tcW w:w="1701" w:type="dxa"/>
            <w:vAlign w:val="center"/>
          </w:tcPr>
          <w:p w14:paraId="37AA7C7A" w14:textId="77777777" w:rsidR="00454A29" w:rsidRDefault="00454A29">
            <w:pPr>
              <w:pStyle w:val="ConsPlusNormal"/>
              <w:jc w:val="center"/>
            </w:pPr>
            <w:r>
              <w:t>2026</w:t>
            </w:r>
          </w:p>
        </w:tc>
        <w:tc>
          <w:tcPr>
            <w:tcW w:w="1417" w:type="dxa"/>
            <w:vMerge/>
          </w:tcPr>
          <w:p w14:paraId="22762C4A" w14:textId="77777777" w:rsidR="00454A29" w:rsidRDefault="00454A29"/>
        </w:tc>
        <w:tc>
          <w:tcPr>
            <w:tcW w:w="2204" w:type="dxa"/>
            <w:vMerge/>
          </w:tcPr>
          <w:p w14:paraId="2A8DCFCD" w14:textId="77777777" w:rsidR="00454A29" w:rsidRDefault="00454A29"/>
        </w:tc>
        <w:tc>
          <w:tcPr>
            <w:tcW w:w="1417" w:type="dxa"/>
            <w:vMerge/>
          </w:tcPr>
          <w:p w14:paraId="1D69B8CD" w14:textId="77777777" w:rsidR="00454A29" w:rsidRDefault="00454A29"/>
        </w:tc>
        <w:tc>
          <w:tcPr>
            <w:tcW w:w="2324" w:type="dxa"/>
            <w:vMerge/>
          </w:tcPr>
          <w:p w14:paraId="7BE35554" w14:textId="77777777" w:rsidR="00454A29" w:rsidRDefault="00454A29"/>
        </w:tc>
        <w:tc>
          <w:tcPr>
            <w:tcW w:w="1701" w:type="dxa"/>
            <w:vAlign w:val="center"/>
          </w:tcPr>
          <w:p w14:paraId="5B4D74F2" w14:textId="77777777" w:rsidR="00454A29" w:rsidRDefault="00454A29">
            <w:pPr>
              <w:pStyle w:val="ConsPlusNormal"/>
            </w:pPr>
          </w:p>
        </w:tc>
        <w:tc>
          <w:tcPr>
            <w:tcW w:w="1814" w:type="dxa"/>
            <w:vAlign w:val="center"/>
          </w:tcPr>
          <w:p w14:paraId="458C4473" w14:textId="77777777" w:rsidR="00454A29" w:rsidRDefault="00454A29">
            <w:pPr>
              <w:pStyle w:val="ConsPlusNormal"/>
            </w:pPr>
          </w:p>
        </w:tc>
        <w:tc>
          <w:tcPr>
            <w:tcW w:w="1701" w:type="dxa"/>
            <w:vAlign w:val="center"/>
          </w:tcPr>
          <w:p w14:paraId="312AD621" w14:textId="77777777" w:rsidR="00454A29" w:rsidRDefault="00454A29">
            <w:pPr>
              <w:pStyle w:val="ConsPlusNormal"/>
            </w:pPr>
          </w:p>
        </w:tc>
        <w:tc>
          <w:tcPr>
            <w:tcW w:w="1701" w:type="dxa"/>
            <w:vAlign w:val="center"/>
          </w:tcPr>
          <w:p w14:paraId="53658E79" w14:textId="77777777" w:rsidR="00454A29" w:rsidRDefault="00454A29">
            <w:pPr>
              <w:pStyle w:val="ConsPlusNormal"/>
            </w:pPr>
          </w:p>
        </w:tc>
        <w:tc>
          <w:tcPr>
            <w:tcW w:w="1814" w:type="dxa"/>
            <w:vAlign w:val="center"/>
          </w:tcPr>
          <w:p w14:paraId="7A1793AB" w14:textId="77777777" w:rsidR="00454A29" w:rsidRDefault="00454A29">
            <w:pPr>
              <w:pStyle w:val="ConsPlusNormal"/>
            </w:pPr>
          </w:p>
        </w:tc>
      </w:tr>
      <w:tr w:rsidR="00454A29" w14:paraId="3025299A" w14:textId="77777777">
        <w:tc>
          <w:tcPr>
            <w:tcW w:w="21706" w:type="dxa"/>
            <w:gridSpan w:val="12"/>
            <w:vAlign w:val="center"/>
          </w:tcPr>
          <w:p w14:paraId="210DF964" w14:textId="77777777" w:rsidR="00454A29" w:rsidRDefault="00454A29">
            <w:pPr>
              <w:pStyle w:val="ConsPlusNormal"/>
              <w:jc w:val="center"/>
              <w:outlineLvl w:val="2"/>
            </w:pPr>
            <w:r>
              <w:t>ГО "Жатай"</w:t>
            </w:r>
          </w:p>
        </w:tc>
      </w:tr>
      <w:tr w:rsidR="00454A29" w14:paraId="1125043E" w14:textId="77777777">
        <w:tc>
          <w:tcPr>
            <w:tcW w:w="567" w:type="dxa"/>
            <w:vMerge w:val="restart"/>
            <w:vAlign w:val="center"/>
          </w:tcPr>
          <w:p w14:paraId="1CB9BC3C" w14:textId="77777777" w:rsidR="00454A29" w:rsidRDefault="00454A29">
            <w:pPr>
              <w:pStyle w:val="ConsPlusNormal"/>
              <w:jc w:val="center"/>
            </w:pPr>
            <w:r>
              <w:t>54</w:t>
            </w:r>
          </w:p>
        </w:tc>
        <w:tc>
          <w:tcPr>
            <w:tcW w:w="3345" w:type="dxa"/>
            <w:vMerge w:val="restart"/>
            <w:vAlign w:val="center"/>
          </w:tcPr>
          <w:p w14:paraId="1C77019F" w14:textId="77777777" w:rsidR="00454A29" w:rsidRDefault="00454A29">
            <w:pPr>
              <w:pStyle w:val="ConsPlusNormal"/>
              <w:jc w:val="center"/>
            </w:pPr>
            <w:r>
              <w:t>Школа на 450 учащихся в п. Жатай</w:t>
            </w:r>
          </w:p>
        </w:tc>
        <w:tc>
          <w:tcPr>
            <w:tcW w:w="1701" w:type="dxa"/>
            <w:vAlign w:val="center"/>
          </w:tcPr>
          <w:p w14:paraId="1C85F09A" w14:textId="77777777" w:rsidR="00454A29" w:rsidRDefault="00454A29">
            <w:pPr>
              <w:pStyle w:val="ConsPlusNormal"/>
              <w:jc w:val="center"/>
            </w:pPr>
            <w:r>
              <w:t>2020 - 2026 годы - всего</w:t>
            </w:r>
          </w:p>
        </w:tc>
        <w:tc>
          <w:tcPr>
            <w:tcW w:w="1417" w:type="dxa"/>
            <w:vMerge w:val="restart"/>
            <w:vAlign w:val="center"/>
          </w:tcPr>
          <w:p w14:paraId="596C147E" w14:textId="77777777" w:rsidR="00454A29" w:rsidRDefault="00454A29">
            <w:pPr>
              <w:pStyle w:val="ConsPlusNormal"/>
              <w:jc w:val="center"/>
            </w:pPr>
            <w:r>
              <w:t>557 775,45</w:t>
            </w:r>
          </w:p>
        </w:tc>
        <w:tc>
          <w:tcPr>
            <w:tcW w:w="2204" w:type="dxa"/>
            <w:vMerge w:val="restart"/>
            <w:vAlign w:val="center"/>
          </w:tcPr>
          <w:p w14:paraId="225B09BB" w14:textId="77777777" w:rsidR="00454A29" w:rsidRDefault="00454A29">
            <w:pPr>
              <w:pStyle w:val="ConsPlusNormal"/>
            </w:pPr>
          </w:p>
        </w:tc>
        <w:tc>
          <w:tcPr>
            <w:tcW w:w="1417" w:type="dxa"/>
            <w:vMerge w:val="restart"/>
            <w:vAlign w:val="center"/>
          </w:tcPr>
          <w:p w14:paraId="19910A40" w14:textId="77777777" w:rsidR="00454A29" w:rsidRDefault="00454A29">
            <w:pPr>
              <w:pStyle w:val="ConsPlusNormal"/>
              <w:jc w:val="center"/>
            </w:pPr>
            <w:r>
              <w:t>450</w:t>
            </w:r>
          </w:p>
        </w:tc>
        <w:tc>
          <w:tcPr>
            <w:tcW w:w="2324" w:type="dxa"/>
            <w:vMerge w:val="restart"/>
            <w:vAlign w:val="center"/>
          </w:tcPr>
          <w:p w14:paraId="6C42FF6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14C2D0A" w14:textId="77777777" w:rsidR="00454A29" w:rsidRDefault="00454A29">
            <w:pPr>
              <w:pStyle w:val="ConsPlusNormal"/>
              <w:jc w:val="center"/>
            </w:pPr>
            <w:r>
              <w:t>557 775,45</w:t>
            </w:r>
          </w:p>
        </w:tc>
        <w:tc>
          <w:tcPr>
            <w:tcW w:w="1814" w:type="dxa"/>
            <w:vAlign w:val="center"/>
          </w:tcPr>
          <w:p w14:paraId="4268BBC3" w14:textId="77777777" w:rsidR="00454A29" w:rsidRDefault="00454A29">
            <w:pPr>
              <w:pStyle w:val="ConsPlusNormal"/>
              <w:jc w:val="center"/>
            </w:pPr>
            <w:r>
              <w:t>7 055,85</w:t>
            </w:r>
          </w:p>
        </w:tc>
        <w:tc>
          <w:tcPr>
            <w:tcW w:w="1701" w:type="dxa"/>
            <w:vAlign w:val="center"/>
          </w:tcPr>
          <w:p w14:paraId="46F80D98" w14:textId="77777777" w:rsidR="00454A29" w:rsidRDefault="00454A29">
            <w:pPr>
              <w:pStyle w:val="ConsPlusNormal"/>
              <w:jc w:val="center"/>
            </w:pPr>
            <w:r>
              <w:t>698 530,09</w:t>
            </w:r>
          </w:p>
        </w:tc>
        <w:tc>
          <w:tcPr>
            <w:tcW w:w="1701" w:type="dxa"/>
            <w:vAlign w:val="center"/>
          </w:tcPr>
          <w:p w14:paraId="352E4D52" w14:textId="77777777" w:rsidR="00454A29" w:rsidRDefault="00454A29">
            <w:pPr>
              <w:pStyle w:val="ConsPlusNormal"/>
              <w:jc w:val="center"/>
            </w:pPr>
            <w:r>
              <w:t>-</w:t>
            </w:r>
          </w:p>
        </w:tc>
        <w:tc>
          <w:tcPr>
            <w:tcW w:w="1814" w:type="dxa"/>
            <w:vAlign w:val="center"/>
          </w:tcPr>
          <w:p w14:paraId="4C59191B" w14:textId="77777777" w:rsidR="00454A29" w:rsidRDefault="00454A29">
            <w:pPr>
              <w:pStyle w:val="ConsPlusNormal"/>
              <w:jc w:val="center"/>
            </w:pPr>
            <w:r>
              <w:t>-</w:t>
            </w:r>
          </w:p>
        </w:tc>
      </w:tr>
      <w:tr w:rsidR="00454A29" w14:paraId="55AE5FCD" w14:textId="77777777">
        <w:tc>
          <w:tcPr>
            <w:tcW w:w="567" w:type="dxa"/>
            <w:vMerge/>
          </w:tcPr>
          <w:p w14:paraId="5420736C" w14:textId="77777777" w:rsidR="00454A29" w:rsidRDefault="00454A29"/>
        </w:tc>
        <w:tc>
          <w:tcPr>
            <w:tcW w:w="3345" w:type="dxa"/>
            <w:vMerge/>
          </w:tcPr>
          <w:p w14:paraId="7BF8D936" w14:textId="77777777" w:rsidR="00454A29" w:rsidRDefault="00454A29"/>
        </w:tc>
        <w:tc>
          <w:tcPr>
            <w:tcW w:w="1701" w:type="dxa"/>
            <w:vAlign w:val="center"/>
          </w:tcPr>
          <w:p w14:paraId="14B1EACD" w14:textId="77777777" w:rsidR="00454A29" w:rsidRDefault="00454A29">
            <w:pPr>
              <w:pStyle w:val="ConsPlusNormal"/>
              <w:jc w:val="center"/>
            </w:pPr>
            <w:r>
              <w:t>2020</w:t>
            </w:r>
          </w:p>
        </w:tc>
        <w:tc>
          <w:tcPr>
            <w:tcW w:w="1417" w:type="dxa"/>
            <w:vMerge/>
          </w:tcPr>
          <w:p w14:paraId="08896975" w14:textId="77777777" w:rsidR="00454A29" w:rsidRDefault="00454A29"/>
        </w:tc>
        <w:tc>
          <w:tcPr>
            <w:tcW w:w="2204" w:type="dxa"/>
            <w:vMerge/>
          </w:tcPr>
          <w:p w14:paraId="1A9F5CB6" w14:textId="77777777" w:rsidR="00454A29" w:rsidRDefault="00454A29"/>
        </w:tc>
        <w:tc>
          <w:tcPr>
            <w:tcW w:w="1417" w:type="dxa"/>
            <w:vMerge/>
          </w:tcPr>
          <w:p w14:paraId="6EB47639" w14:textId="77777777" w:rsidR="00454A29" w:rsidRDefault="00454A29"/>
        </w:tc>
        <w:tc>
          <w:tcPr>
            <w:tcW w:w="2324" w:type="dxa"/>
            <w:vMerge/>
          </w:tcPr>
          <w:p w14:paraId="1C286D2F" w14:textId="77777777" w:rsidR="00454A29" w:rsidRDefault="00454A29"/>
        </w:tc>
        <w:tc>
          <w:tcPr>
            <w:tcW w:w="1701" w:type="dxa"/>
            <w:vAlign w:val="center"/>
          </w:tcPr>
          <w:p w14:paraId="55F15CF2" w14:textId="77777777" w:rsidR="00454A29" w:rsidRDefault="00454A29">
            <w:pPr>
              <w:pStyle w:val="ConsPlusNormal"/>
            </w:pPr>
          </w:p>
        </w:tc>
        <w:tc>
          <w:tcPr>
            <w:tcW w:w="1814" w:type="dxa"/>
            <w:vAlign w:val="center"/>
          </w:tcPr>
          <w:p w14:paraId="27878496" w14:textId="77777777" w:rsidR="00454A29" w:rsidRDefault="00454A29">
            <w:pPr>
              <w:pStyle w:val="ConsPlusNormal"/>
            </w:pPr>
          </w:p>
        </w:tc>
        <w:tc>
          <w:tcPr>
            <w:tcW w:w="1701" w:type="dxa"/>
            <w:vAlign w:val="center"/>
          </w:tcPr>
          <w:p w14:paraId="14F62BB6" w14:textId="77777777" w:rsidR="00454A29" w:rsidRDefault="00454A29">
            <w:pPr>
              <w:pStyle w:val="ConsPlusNormal"/>
            </w:pPr>
          </w:p>
        </w:tc>
        <w:tc>
          <w:tcPr>
            <w:tcW w:w="1701" w:type="dxa"/>
            <w:vAlign w:val="center"/>
          </w:tcPr>
          <w:p w14:paraId="42F7A7F4" w14:textId="77777777" w:rsidR="00454A29" w:rsidRDefault="00454A29">
            <w:pPr>
              <w:pStyle w:val="ConsPlusNormal"/>
            </w:pPr>
          </w:p>
        </w:tc>
        <w:tc>
          <w:tcPr>
            <w:tcW w:w="1814" w:type="dxa"/>
            <w:vAlign w:val="center"/>
          </w:tcPr>
          <w:p w14:paraId="31F31661" w14:textId="77777777" w:rsidR="00454A29" w:rsidRDefault="00454A29">
            <w:pPr>
              <w:pStyle w:val="ConsPlusNormal"/>
            </w:pPr>
          </w:p>
        </w:tc>
      </w:tr>
      <w:tr w:rsidR="00454A29" w14:paraId="4C61DB8B" w14:textId="77777777">
        <w:tc>
          <w:tcPr>
            <w:tcW w:w="567" w:type="dxa"/>
            <w:vMerge/>
          </w:tcPr>
          <w:p w14:paraId="1D9E3023" w14:textId="77777777" w:rsidR="00454A29" w:rsidRDefault="00454A29"/>
        </w:tc>
        <w:tc>
          <w:tcPr>
            <w:tcW w:w="3345" w:type="dxa"/>
            <w:vMerge/>
          </w:tcPr>
          <w:p w14:paraId="58A9816F" w14:textId="77777777" w:rsidR="00454A29" w:rsidRDefault="00454A29"/>
        </w:tc>
        <w:tc>
          <w:tcPr>
            <w:tcW w:w="1701" w:type="dxa"/>
            <w:vAlign w:val="center"/>
          </w:tcPr>
          <w:p w14:paraId="79D76D8A" w14:textId="77777777" w:rsidR="00454A29" w:rsidRDefault="00454A29">
            <w:pPr>
              <w:pStyle w:val="ConsPlusNormal"/>
              <w:jc w:val="center"/>
            </w:pPr>
            <w:r>
              <w:t>2021</w:t>
            </w:r>
          </w:p>
        </w:tc>
        <w:tc>
          <w:tcPr>
            <w:tcW w:w="1417" w:type="dxa"/>
            <w:vMerge/>
          </w:tcPr>
          <w:p w14:paraId="58924EC0" w14:textId="77777777" w:rsidR="00454A29" w:rsidRDefault="00454A29"/>
        </w:tc>
        <w:tc>
          <w:tcPr>
            <w:tcW w:w="2204" w:type="dxa"/>
            <w:vMerge/>
          </w:tcPr>
          <w:p w14:paraId="7FE41342" w14:textId="77777777" w:rsidR="00454A29" w:rsidRDefault="00454A29"/>
        </w:tc>
        <w:tc>
          <w:tcPr>
            <w:tcW w:w="1417" w:type="dxa"/>
            <w:vMerge/>
          </w:tcPr>
          <w:p w14:paraId="6BC3C050" w14:textId="77777777" w:rsidR="00454A29" w:rsidRDefault="00454A29"/>
        </w:tc>
        <w:tc>
          <w:tcPr>
            <w:tcW w:w="2324" w:type="dxa"/>
            <w:vMerge/>
          </w:tcPr>
          <w:p w14:paraId="4FB5A849" w14:textId="77777777" w:rsidR="00454A29" w:rsidRDefault="00454A29"/>
        </w:tc>
        <w:tc>
          <w:tcPr>
            <w:tcW w:w="1701" w:type="dxa"/>
            <w:vAlign w:val="center"/>
          </w:tcPr>
          <w:p w14:paraId="0705CFAA" w14:textId="77777777" w:rsidR="00454A29" w:rsidRDefault="00454A29">
            <w:pPr>
              <w:pStyle w:val="ConsPlusNormal"/>
            </w:pPr>
          </w:p>
        </w:tc>
        <w:tc>
          <w:tcPr>
            <w:tcW w:w="1814" w:type="dxa"/>
            <w:vAlign w:val="center"/>
          </w:tcPr>
          <w:p w14:paraId="04FC69C1" w14:textId="77777777" w:rsidR="00454A29" w:rsidRDefault="00454A29">
            <w:pPr>
              <w:pStyle w:val="ConsPlusNormal"/>
            </w:pPr>
          </w:p>
        </w:tc>
        <w:tc>
          <w:tcPr>
            <w:tcW w:w="1701" w:type="dxa"/>
            <w:vAlign w:val="center"/>
          </w:tcPr>
          <w:p w14:paraId="6271BF0B" w14:textId="77777777" w:rsidR="00454A29" w:rsidRDefault="00454A29">
            <w:pPr>
              <w:pStyle w:val="ConsPlusNormal"/>
            </w:pPr>
          </w:p>
        </w:tc>
        <w:tc>
          <w:tcPr>
            <w:tcW w:w="1701" w:type="dxa"/>
            <w:vAlign w:val="center"/>
          </w:tcPr>
          <w:p w14:paraId="40BAF019" w14:textId="77777777" w:rsidR="00454A29" w:rsidRDefault="00454A29">
            <w:pPr>
              <w:pStyle w:val="ConsPlusNormal"/>
            </w:pPr>
          </w:p>
        </w:tc>
        <w:tc>
          <w:tcPr>
            <w:tcW w:w="1814" w:type="dxa"/>
            <w:vAlign w:val="center"/>
          </w:tcPr>
          <w:p w14:paraId="5E99C686" w14:textId="77777777" w:rsidR="00454A29" w:rsidRDefault="00454A29">
            <w:pPr>
              <w:pStyle w:val="ConsPlusNormal"/>
            </w:pPr>
          </w:p>
        </w:tc>
      </w:tr>
      <w:tr w:rsidR="00454A29" w14:paraId="20776951" w14:textId="77777777">
        <w:tc>
          <w:tcPr>
            <w:tcW w:w="567" w:type="dxa"/>
            <w:vMerge/>
          </w:tcPr>
          <w:p w14:paraId="61304DAB" w14:textId="77777777" w:rsidR="00454A29" w:rsidRDefault="00454A29"/>
        </w:tc>
        <w:tc>
          <w:tcPr>
            <w:tcW w:w="3345" w:type="dxa"/>
            <w:vMerge/>
          </w:tcPr>
          <w:p w14:paraId="152081B9" w14:textId="77777777" w:rsidR="00454A29" w:rsidRDefault="00454A29"/>
        </w:tc>
        <w:tc>
          <w:tcPr>
            <w:tcW w:w="1701" w:type="dxa"/>
            <w:vAlign w:val="center"/>
          </w:tcPr>
          <w:p w14:paraId="1B1D5F90" w14:textId="77777777" w:rsidR="00454A29" w:rsidRDefault="00454A29">
            <w:pPr>
              <w:pStyle w:val="ConsPlusNormal"/>
              <w:jc w:val="center"/>
            </w:pPr>
            <w:r>
              <w:t>2022</w:t>
            </w:r>
          </w:p>
        </w:tc>
        <w:tc>
          <w:tcPr>
            <w:tcW w:w="1417" w:type="dxa"/>
            <w:vMerge/>
          </w:tcPr>
          <w:p w14:paraId="50E7EA7B" w14:textId="77777777" w:rsidR="00454A29" w:rsidRDefault="00454A29"/>
        </w:tc>
        <w:tc>
          <w:tcPr>
            <w:tcW w:w="2204" w:type="dxa"/>
            <w:vMerge/>
          </w:tcPr>
          <w:p w14:paraId="6C1B6259" w14:textId="77777777" w:rsidR="00454A29" w:rsidRDefault="00454A29"/>
        </w:tc>
        <w:tc>
          <w:tcPr>
            <w:tcW w:w="1417" w:type="dxa"/>
            <w:vMerge/>
          </w:tcPr>
          <w:p w14:paraId="7198DF39" w14:textId="77777777" w:rsidR="00454A29" w:rsidRDefault="00454A29"/>
        </w:tc>
        <w:tc>
          <w:tcPr>
            <w:tcW w:w="2324" w:type="dxa"/>
            <w:vMerge/>
          </w:tcPr>
          <w:p w14:paraId="10B88752" w14:textId="77777777" w:rsidR="00454A29" w:rsidRDefault="00454A29"/>
        </w:tc>
        <w:tc>
          <w:tcPr>
            <w:tcW w:w="1701" w:type="dxa"/>
            <w:vAlign w:val="center"/>
          </w:tcPr>
          <w:p w14:paraId="122C00C6" w14:textId="77777777" w:rsidR="00454A29" w:rsidRDefault="00454A29">
            <w:pPr>
              <w:pStyle w:val="ConsPlusNormal"/>
            </w:pPr>
          </w:p>
        </w:tc>
        <w:tc>
          <w:tcPr>
            <w:tcW w:w="1814" w:type="dxa"/>
            <w:vAlign w:val="center"/>
          </w:tcPr>
          <w:p w14:paraId="3D26774F" w14:textId="77777777" w:rsidR="00454A29" w:rsidRDefault="00454A29">
            <w:pPr>
              <w:pStyle w:val="ConsPlusNormal"/>
            </w:pPr>
          </w:p>
        </w:tc>
        <w:tc>
          <w:tcPr>
            <w:tcW w:w="1701" w:type="dxa"/>
            <w:vAlign w:val="center"/>
          </w:tcPr>
          <w:p w14:paraId="07BBE134" w14:textId="77777777" w:rsidR="00454A29" w:rsidRDefault="00454A29">
            <w:pPr>
              <w:pStyle w:val="ConsPlusNormal"/>
            </w:pPr>
          </w:p>
        </w:tc>
        <w:tc>
          <w:tcPr>
            <w:tcW w:w="1701" w:type="dxa"/>
            <w:vAlign w:val="center"/>
          </w:tcPr>
          <w:p w14:paraId="4DBB30A7" w14:textId="77777777" w:rsidR="00454A29" w:rsidRDefault="00454A29">
            <w:pPr>
              <w:pStyle w:val="ConsPlusNormal"/>
            </w:pPr>
          </w:p>
        </w:tc>
        <w:tc>
          <w:tcPr>
            <w:tcW w:w="1814" w:type="dxa"/>
            <w:vAlign w:val="center"/>
          </w:tcPr>
          <w:p w14:paraId="21464951" w14:textId="77777777" w:rsidR="00454A29" w:rsidRDefault="00454A29">
            <w:pPr>
              <w:pStyle w:val="ConsPlusNormal"/>
            </w:pPr>
          </w:p>
        </w:tc>
      </w:tr>
      <w:tr w:rsidR="00454A29" w14:paraId="65B7CD6D" w14:textId="77777777">
        <w:tc>
          <w:tcPr>
            <w:tcW w:w="567" w:type="dxa"/>
            <w:vMerge/>
          </w:tcPr>
          <w:p w14:paraId="20100771" w14:textId="77777777" w:rsidR="00454A29" w:rsidRDefault="00454A29"/>
        </w:tc>
        <w:tc>
          <w:tcPr>
            <w:tcW w:w="3345" w:type="dxa"/>
            <w:vMerge/>
          </w:tcPr>
          <w:p w14:paraId="21FA4AAD" w14:textId="77777777" w:rsidR="00454A29" w:rsidRDefault="00454A29"/>
        </w:tc>
        <w:tc>
          <w:tcPr>
            <w:tcW w:w="1701" w:type="dxa"/>
            <w:vAlign w:val="center"/>
          </w:tcPr>
          <w:p w14:paraId="1A0F9369" w14:textId="77777777" w:rsidR="00454A29" w:rsidRDefault="00454A29">
            <w:pPr>
              <w:pStyle w:val="ConsPlusNormal"/>
              <w:jc w:val="center"/>
            </w:pPr>
            <w:r>
              <w:t>2023</w:t>
            </w:r>
          </w:p>
        </w:tc>
        <w:tc>
          <w:tcPr>
            <w:tcW w:w="1417" w:type="dxa"/>
            <w:vMerge/>
          </w:tcPr>
          <w:p w14:paraId="6296DE56" w14:textId="77777777" w:rsidR="00454A29" w:rsidRDefault="00454A29"/>
        </w:tc>
        <w:tc>
          <w:tcPr>
            <w:tcW w:w="2204" w:type="dxa"/>
            <w:vMerge/>
          </w:tcPr>
          <w:p w14:paraId="50DC761D" w14:textId="77777777" w:rsidR="00454A29" w:rsidRDefault="00454A29"/>
        </w:tc>
        <w:tc>
          <w:tcPr>
            <w:tcW w:w="1417" w:type="dxa"/>
            <w:vMerge/>
          </w:tcPr>
          <w:p w14:paraId="34AC0D74" w14:textId="77777777" w:rsidR="00454A29" w:rsidRDefault="00454A29"/>
        </w:tc>
        <w:tc>
          <w:tcPr>
            <w:tcW w:w="2324" w:type="dxa"/>
            <w:vMerge/>
          </w:tcPr>
          <w:p w14:paraId="478CE997" w14:textId="77777777" w:rsidR="00454A29" w:rsidRDefault="00454A29"/>
        </w:tc>
        <w:tc>
          <w:tcPr>
            <w:tcW w:w="1701" w:type="dxa"/>
            <w:vAlign w:val="center"/>
          </w:tcPr>
          <w:p w14:paraId="03EA2684" w14:textId="77777777" w:rsidR="00454A29" w:rsidRDefault="00454A29">
            <w:pPr>
              <w:pStyle w:val="ConsPlusNormal"/>
            </w:pPr>
          </w:p>
        </w:tc>
        <w:tc>
          <w:tcPr>
            <w:tcW w:w="1814" w:type="dxa"/>
            <w:vAlign w:val="center"/>
          </w:tcPr>
          <w:p w14:paraId="48D45591" w14:textId="77777777" w:rsidR="00454A29" w:rsidRDefault="00454A29">
            <w:pPr>
              <w:pStyle w:val="ConsPlusNormal"/>
            </w:pPr>
          </w:p>
        </w:tc>
        <w:tc>
          <w:tcPr>
            <w:tcW w:w="1701" w:type="dxa"/>
            <w:vAlign w:val="center"/>
          </w:tcPr>
          <w:p w14:paraId="14E37DAF" w14:textId="77777777" w:rsidR="00454A29" w:rsidRDefault="00454A29">
            <w:pPr>
              <w:pStyle w:val="ConsPlusNormal"/>
            </w:pPr>
          </w:p>
        </w:tc>
        <w:tc>
          <w:tcPr>
            <w:tcW w:w="1701" w:type="dxa"/>
            <w:vAlign w:val="center"/>
          </w:tcPr>
          <w:p w14:paraId="76596C87" w14:textId="77777777" w:rsidR="00454A29" w:rsidRDefault="00454A29">
            <w:pPr>
              <w:pStyle w:val="ConsPlusNormal"/>
            </w:pPr>
          </w:p>
        </w:tc>
        <w:tc>
          <w:tcPr>
            <w:tcW w:w="1814" w:type="dxa"/>
            <w:vAlign w:val="center"/>
          </w:tcPr>
          <w:p w14:paraId="5FA55B98" w14:textId="77777777" w:rsidR="00454A29" w:rsidRDefault="00454A29">
            <w:pPr>
              <w:pStyle w:val="ConsPlusNormal"/>
            </w:pPr>
          </w:p>
        </w:tc>
      </w:tr>
      <w:tr w:rsidR="00454A29" w14:paraId="697EBAF1" w14:textId="77777777">
        <w:tc>
          <w:tcPr>
            <w:tcW w:w="567" w:type="dxa"/>
            <w:vMerge/>
          </w:tcPr>
          <w:p w14:paraId="5750CE6D" w14:textId="77777777" w:rsidR="00454A29" w:rsidRDefault="00454A29"/>
        </w:tc>
        <w:tc>
          <w:tcPr>
            <w:tcW w:w="3345" w:type="dxa"/>
            <w:vMerge/>
          </w:tcPr>
          <w:p w14:paraId="520C00CA" w14:textId="77777777" w:rsidR="00454A29" w:rsidRDefault="00454A29"/>
        </w:tc>
        <w:tc>
          <w:tcPr>
            <w:tcW w:w="1701" w:type="dxa"/>
            <w:vAlign w:val="center"/>
          </w:tcPr>
          <w:p w14:paraId="31873361" w14:textId="77777777" w:rsidR="00454A29" w:rsidRDefault="00454A29">
            <w:pPr>
              <w:pStyle w:val="ConsPlusNormal"/>
              <w:jc w:val="center"/>
            </w:pPr>
            <w:r>
              <w:t>2024</w:t>
            </w:r>
          </w:p>
        </w:tc>
        <w:tc>
          <w:tcPr>
            <w:tcW w:w="1417" w:type="dxa"/>
            <w:vMerge/>
          </w:tcPr>
          <w:p w14:paraId="2ACADC98" w14:textId="77777777" w:rsidR="00454A29" w:rsidRDefault="00454A29"/>
        </w:tc>
        <w:tc>
          <w:tcPr>
            <w:tcW w:w="2204" w:type="dxa"/>
            <w:vMerge/>
          </w:tcPr>
          <w:p w14:paraId="437D6A37" w14:textId="77777777" w:rsidR="00454A29" w:rsidRDefault="00454A29"/>
        </w:tc>
        <w:tc>
          <w:tcPr>
            <w:tcW w:w="1417" w:type="dxa"/>
            <w:vMerge/>
          </w:tcPr>
          <w:p w14:paraId="3D60A642" w14:textId="77777777" w:rsidR="00454A29" w:rsidRDefault="00454A29"/>
        </w:tc>
        <w:tc>
          <w:tcPr>
            <w:tcW w:w="2324" w:type="dxa"/>
            <w:vMerge/>
          </w:tcPr>
          <w:p w14:paraId="3FD7097E" w14:textId="77777777" w:rsidR="00454A29" w:rsidRDefault="00454A29"/>
        </w:tc>
        <w:tc>
          <w:tcPr>
            <w:tcW w:w="1701" w:type="dxa"/>
            <w:vAlign w:val="center"/>
          </w:tcPr>
          <w:p w14:paraId="3794069C" w14:textId="77777777" w:rsidR="00454A29" w:rsidRDefault="00454A29">
            <w:pPr>
              <w:pStyle w:val="ConsPlusNormal"/>
            </w:pPr>
          </w:p>
        </w:tc>
        <w:tc>
          <w:tcPr>
            <w:tcW w:w="1814" w:type="dxa"/>
            <w:vAlign w:val="center"/>
          </w:tcPr>
          <w:p w14:paraId="44CE4E5C" w14:textId="77777777" w:rsidR="00454A29" w:rsidRDefault="00454A29">
            <w:pPr>
              <w:pStyle w:val="ConsPlusNormal"/>
            </w:pPr>
          </w:p>
        </w:tc>
        <w:tc>
          <w:tcPr>
            <w:tcW w:w="1701" w:type="dxa"/>
            <w:vAlign w:val="center"/>
          </w:tcPr>
          <w:p w14:paraId="39A10866" w14:textId="77777777" w:rsidR="00454A29" w:rsidRDefault="00454A29">
            <w:pPr>
              <w:pStyle w:val="ConsPlusNormal"/>
            </w:pPr>
          </w:p>
        </w:tc>
        <w:tc>
          <w:tcPr>
            <w:tcW w:w="1701" w:type="dxa"/>
            <w:vAlign w:val="center"/>
          </w:tcPr>
          <w:p w14:paraId="71CBF6E3" w14:textId="77777777" w:rsidR="00454A29" w:rsidRDefault="00454A29">
            <w:pPr>
              <w:pStyle w:val="ConsPlusNormal"/>
            </w:pPr>
          </w:p>
        </w:tc>
        <w:tc>
          <w:tcPr>
            <w:tcW w:w="1814" w:type="dxa"/>
            <w:vAlign w:val="center"/>
          </w:tcPr>
          <w:p w14:paraId="38CB4765" w14:textId="77777777" w:rsidR="00454A29" w:rsidRDefault="00454A29">
            <w:pPr>
              <w:pStyle w:val="ConsPlusNormal"/>
            </w:pPr>
          </w:p>
        </w:tc>
      </w:tr>
      <w:tr w:rsidR="00454A29" w14:paraId="56DAEFD3" w14:textId="77777777">
        <w:tc>
          <w:tcPr>
            <w:tcW w:w="567" w:type="dxa"/>
            <w:vMerge/>
          </w:tcPr>
          <w:p w14:paraId="3DD693CE" w14:textId="77777777" w:rsidR="00454A29" w:rsidRDefault="00454A29"/>
        </w:tc>
        <w:tc>
          <w:tcPr>
            <w:tcW w:w="3345" w:type="dxa"/>
            <w:vMerge/>
          </w:tcPr>
          <w:p w14:paraId="6BF12105" w14:textId="77777777" w:rsidR="00454A29" w:rsidRDefault="00454A29"/>
        </w:tc>
        <w:tc>
          <w:tcPr>
            <w:tcW w:w="1701" w:type="dxa"/>
            <w:vAlign w:val="center"/>
          </w:tcPr>
          <w:p w14:paraId="1C8CBF32" w14:textId="77777777" w:rsidR="00454A29" w:rsidRDefault="00454A29">
            <w:pPr>
              <w:pStyle w:val="ConsPlusNormal"/>
              <w:jc w:val="center"/>
            </w:pPr>
            <w:r>
              <w:t>2025</w:t>
            </w:r>
          </w:p>
        </w:tc>
        <w:tc>
          <w:tcPr>
            <w:tcW w:w="1417" w:type="dxa"/>
            <w:vMerge/>
          </w:tcPr>
          <w:p w14:paraId="5E8F96BC" w14:textId="77777777" w:rsidR="00454A29" w:rsidRDefault="00454A29"/>
        </w:tc>
        <w:tc>
          <w:tcPr>
            <w:tcW w:w="2204" w:type="dxa"/>
            <w:vMerge/>
          </w:tcPr>
          <w:p w14:paraId="4596A5A1" w14:textId="77777777" w:rsidR="00454A29" w:rsidRDefault="00454A29"/>
        </w:tc>
        <w:tc>
          <w:tcPr>
            <w:tcW w:w="1417" w:type="dxa"/>
            <w:vMerge/>
          </w:tcPr>
          <w:p w14:paraId="3F5CEA94" w14:textId="77777777" w:rsidR="00454A29" w:rsidRDefault="00454A29"/>
        </w:tc>
        <w:tc>
          <w:tcPr>
            <w:tcW w:w="2324" w:type="dxa"/>
            <w:vMerge/>
          </w:tcPr>
          <w:p w14:paraId="6AA0087A" w14:textId="77777777" w:rsidR="00454A29" w:rsidRDefault="00454A29"/>
        </w:tc>
        <w:tc>
          <w:tcPr>
            <w:tcW w:w="1701" w:type="dxa"/>
            <w:vAlign w:val="center"/>
          </w:tcPr>
          <w:p w14:paraId="187232EC" w14:textId="77777777" w:rsidR="00454A29" w:rsidRDefault="00454A29">
            <w:pPr>
              <w:pStyle w:val="ConsPlusNormal"/>
              <w:jc w:val="center"/>
            </w:pPr>
            <w:r>
              <w:t>557 775,45</w:t>
            </w:r>
          </w:p>
        </w:tc>
        <w:tc>
          <w:tcPr>
            <w:tcW w:w="1814" w:type="dxa"/>
            <w:vAlign w:val="center"/>
          </w:tcPr>
          <w:p w14:paraId="70185236" w14:textId="77777777" w:rsidR="00454A29" w:rsidRDefault="00454A29">
            <w:pPr>
              <w:pStyle w:val="ConsPlusNormal"/>
              <w:jc w:val="center"/>
            </w:pPr>
            <w:r>
              <w:t>7 055,85</w:t>
            </w:r>
          </w:p>
        </w:tc>
        <w:tc>
          <w:tcPr>
            <w:tcW w:w="1701" w:type="dxa"/>
            <w:vAlign w:val="center"/>
          </w:tcPr>
          <w:p w14:paraId="7016D095" w14:textId="77777777" w:rsidR="00454A29" w:rsidRDefault="00454A29">
            <w:pPr>
              <w:pStyle w:val="ConsPlusNormal"/>
              <w:jc w:val="center"/>
            </w:pPr>
            <w:r>
              <w:t>698 530,09</w:t>
            </w:r>
          </w:p>
        </w:tc>
        <w:tc>
          <w:tcPr>
            <w:tcW w:w="1701" w:type="dxa"/>
            <w:vAlign w:val="center"/>
          </w:tcPr>
          <w:p w14:paraId="364CE4C8" w14:textId="77777777" w:rsidR="00454A29" w:rsidRDefault="00454A29">
            <w:pPr>
              <w:pStyle w:val="ConsPlusNormal"/>
            </w:pPr>
          </w:p>
        </w:tc>
        <w:tc>
          <w:tcPr>
            <w:tcW w:w="1814" w:type="dxa"/>
            <w:vAlign w:val="center"/>
          </w:tcPr>
          <w:p w14:paraId="3EF1A1DA" w14:textId="77777777" w:rsidR="00454A29" w:rsidRDefault="00454A29">
            <w:pPr>
              <w:pStyle w:val="ConsPlusNormal"/>
            </w:pPr>
          </w:p>
        </w:tc>
      </w:tr>
      <w:tr w:rsidR="00454A29" w14:paraId="586F1EF8" w14:textId="77777777">
        <w:tc>
          <w:tcPr>
            <w:tcW w:w="567" w:type="dxa"/>
            <w:vMerge/>
          </w:tcPr>
          <w:p w14:paraId="282F645F" w14:textId="77777777" w:rsidR="00454A29" w:rsidRDefault="00454A29"/>
        </w:tc>
        <w:tc>
          <w:tcPr>
            <w:tcW w:w="3345" w:type="dxa"/>
            <w:vMerge/>
          </w:tcPr>
          <w:p w14:paraId="3D2A4782" w14:textId="77777777" w:rsidR="00454A29" w:rsidRDefault="00454A29"/>
        </w:tc>
        <w:tc>
          <w:tcPr>
            <w:tcW w:w="1701" w:type="dxa"/>
            <w:vAlign w:val="center"/>
          </w:tcPr>
          <w:p w14:paraId="1A062C82" w14:textId="77777777" w:rsidR="00454A29" w:rsidRDefault="00454A29">
            <w:pPr>
              <w:pStyle w:val="ConsPlusNormal"/>
              <w:jc w:val="center"/>
            </w:pPr>
            <w:r>
              <w:t>2026</w:t>
            </w:r>
          </w:p>
        </w:tc>
        <w:tc>
          <w:tcPr>
            <w:tcW w:w="1417" w:type="dxa"/>
            <w:vMerge/>
          </w:tcPr>
          <w:p w14:paraId="79E62860" w14:textId="77777777" w:rsidR="00454A29" w:rsidRDefault="00454A29"/>
        </w:tc>
        <w:tc>
          <w:tcPr>
            <w:tcW w:w="2204" w:type="dxa"/>
            <w:vMerge/>
          </w:tcPr>
          <w:p w14:paraId="0DA7F113" w14:textId="77777777" w:rsidR="00454A29" w:rsidRDefault="00454A29"/>
        </w:tc>
        <w:tc>
          <w:tcPr>
            <w:tcW w:w="1417" w:type="dxa"/>
            <w:vMerge/>
          </w:tcPr>
          <w:p w14:paraId="7ED825AA" w14:textId="77777777" w:rsidR="00454A29" w:rsidRDefault="00454A29"/>
        </w:tc>
        <w:tc>
          <w:tcPr>
            <w:tcW w:w="2324" w:type="dxa"/>
            <w:vMerge/>
          </w:tcPr>
          <w:p w14:paraId="4529DAB3" w14:textId="77777777" w:rsidR="00454A29" w:rsidRDefault="00454A29"/>
        </w:tc>
        <w:tc>
          <w:tcPr>
            <w:tcW w:w="1701" w:type="dxa"/>
            <w:vAlign w:val="center"/>
          </w:tcPr>
          <w:p w14:paraId="71B7ED40" w14:textId="77777777" w:rsidR="00454A29" w:rsidRDefault="00454A29">
            <w:pPr>
              <w:pStyle w:val="ConsPlusNormal"/>
            </w:pPr>
          </w:p>
        </w:tc>
        <w:tc>
          <w:tcPr>
            <w:tcW w:w="1814" w:type="dxa"/>
            <w:vAlign w:val="center"/>
          </w:tcPr>
          <w:p w14:paraId="3815A37E" w14:textId="77777777" w:rsidR="00454A29" w:rsidRDefault="00454A29">
            <w:pPr>
              <w:pStyle w:val="ConsPlusNormal"/>
            </w:pPr>
          </w:p>
        </w:tc>
        <w:tc>
          <w:tcPr>
            <w:tcW w:w="1701" w:type="dxa"/>
            <w:vAlign w:val="center"/>
          </w:tcPr>
          <w:p w14:paraId="312DDA56" w14:textId="77777777" w:rsidR="00454A29" w:rsidRDefault="00454A29">
            <w:pPr>
              <w:pStyle w:val="ConsPlusNormal"/>
            </w:pPr>
          </w:p>
        </w:tc>
        <w:tc>
          <w:tcPr>
            <w:tcW w:w="1701" w:type="dxa"/>
            <w:vAlign w:val="center"/>
          </w:tcPr>
          <w:p w14:paraId="471DEC9C" w14:textId="77777777" w:rsidR="00454A29" w:rsidRDefault="00454A29">
            <w:pPr>
              <w:pStyle w:val="ConsPlusNormal"/>
            </w:pPr>
          </w:p>
        </w:tc>
        <w:tc>
          <w:tcPr>
            <w:tcW w:w="1814" w:type="dxa"/>
            <w:vAlign w:val="center"/>
          </w:tcPr>
          <w:p w14:paraId="620AEE91" w14:textId="77777777" w:rsidR="00454A29" w:rsidRDefault="00454A29">
            <w:pPr>
              <w:pStyle w:val="ConsPlusNormal"/>
            </w:pPr>
          </w:p>
        </w:tc>
      </w:tr>
      <w:tr w:rsidR="00454A29" w14:paraId="455A2EAA" w14:textId="77777777">
        <w:tc>
          <w:tcPr>
            <w:tcW w:w="21706" w:type="dxa"/>
            <w:gridSpan w:val="12"/>
            <w:vAlign w:val="center"/>
          </w:tcPr>
          <w:p w14:paraId="3A03F852" w14:textId="77777777" w:rsidR="00454A29" w:rsidRDefault="00454A29">
            <w:pPr>
              <w:pStyle w:val="ConsPlusNormal"/>
              <w:jc w:val="center"/>
              <w:outlineLvl w:val="2"/>
            </w:pPr>
            <w:r>
              <w:t>МР "Жиганский национальный эвенкийский район"</w:t>
            </w:r>
          </w:p>
        </w:tc>
      </w:tr>
      <w:tr w:rsidR="00454A29" w14:paraId="78744656" w14:textId="77777777">
        <w:tc>
          <w:tcPr>
            <w:tcW w:w="567" w:type="dxa"/>
            <w:vMerge w:val="restart"/>
            <w:vAlign w:val="center"/>
          </w:tcPr>
          <w:p w14:paraId="2FBD1789" w14:textId="77777777" w:rsidR="00454A29" w:rsidRDefault="00454A29">
            <w:pPr>
              <w:pStyle w:val="ConsPlusNormal"/>
              <w:jc w:val="center"/>
            </w:pPr>
            <w:r>
              <w:lastRenderedPageBreak/>
              <w:t>55</w:t>
            </w:r>
          </w:p>
        </w:tc>
        <w:tc>
          <w:tcPr>
            <w:tcW w:w="3345" w:type="dxa"/>
            <w:vMerge w:val="restart"/>
            <w:vAlign w:val="center"/>
          </w:tcPr>
          <w:p w14:paraId="043CAC34" w14:textId="77777777" w:rsidR="00454A29" w:rsidRDefault="00454A29">
            <w:pPr>
              <w:pStyle w:val="ConsPlusNormal"/>
              <w:jc w:val="center"/>
            </w:pPr>
            <w:r>
              <w:t>Школа-сад на 60/30 учащихся в с. Кыстатыам</w:t>
            </w:r>
          </w:p>
        </w:tc>
        <w:tc>
          <w:tcPr>
            <w:tcW w:w="1701" w:type="dxa"/>
            <w:vAlign w:val="center"/>
          </w:tcPr>
          <w:p w14:paraId="26A6FAAB" w14:textId="77777777" w:rsidR="00454A29" w:rsidRDefault="00454A29">
            <w:pPr>
              <w:pStyle w:val="ConsPlusNormal"/>
              <w:jc w:val="center"/>
            </w:pPr>
            <w:r>
              <w:t>2020 - 2026 годы - всего</w:t>
            </w:r>
          </w:p>
        </w:tc>
        <w:tc>
          <w:tcPr>
            <w:tcW w:w="1417" w:type="dxa"/>
            <w:vMerge w:val="restart"/>
            <w:vAlign w:val="center"/>
          </w:tcPr>
          <w:p w14:paraId="6EEB394D" w14:textId="77777777" w:rsidR="00454A29" w:rsidRDefault="00454A29">
            <w:pPr>
              <w:pStyle w:val="ConsPlusNormal"/>
              <w:jc w:val="center"/>
            </w:pPr>
            <w:r>
              <w:t>164 196,87</w:t>
            </w:r>
          </w:p>
        </w:tc>
        <w:tc>
          <w:tcPr>
            <w:tcW w:w="2204" w:type="dxa"/>
            <w:vMerge w:val="restart"/>
            <w:vAlign w:val="center"/>
          </w:tcPr>
          <w:p w14:paraId="51022E3E" w14:textId="77777777" w:rsidR="00454A29" w:rsidRDefault="00454A29">
            <w:pPr>
              <w:pStyle w:val="ConsPlusNormal"/>
              <w:jc w:val="center"/>
            </w:pPr>
            <w:r>
              <w:t>имеется</w:t>
            </w:r>
          </w:p>
        </w:tc>
        <w:tc>
          <w:tcPr>
            <w:tcW w:w="1417" w:type="dxa"/>
            <w:vMerge w:val="restart"/>
            <w:vAlign w:val="center"/>
          </w:tcPr>
          <w:p w14:paraId="5BB4D052" w14:textId="77777777" w:rsidR="00454A29" w:rsidRDefault="00454A29">
            <w:pPr>
              <w:pStyle w:val="ConsPlusNormal"/>
              <w:jc w:val="center"/>
            </w:pPr>
            <w:r>
              <w:t>60</w:t>
            </w:r>
          </w:p>
        </w:tc>
        <w:tc>
          <w:tcPr>
            <w:tcW w:w="2324" w:type="dxa"/>
            <w:vMerge w:val="restart"/>
            <w:vAlign w:val="center"/>
          </w:tcPr>
          <w:p w14:paraId="42A8C4C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F923B8B" w14:textId="77777777" w:rsidR="00454A29" w:rsidRDefault="00454A29">
            <w:pPr>
              <w:pStyle w:val="ConsPlusNormal"/>
              <w:jc w:val="center"/>
            </w:pPr>
            <w:r>
              <w:t>164 196,87</w:t>
            </w:r>
          </w:p>
        </w:tc>
        <w:tc>
          <w:tcPr>
            <w:tcW w:w="1814" w:type="dxa"/>
            <w:vAlign w:val="center"/>
          </w:tcPr>
          <w:p w14:paraId="08032C40" w14:textId="77777777" w:rsidR="00454A29" w:rsidRDefault="00454A29">
            <w:pPr>
              <w:pStyle w:val="ConsPlusNormal"/>
              <w:jc w:val="center"/>
            </w:pPr>
            <w:r>
              <w:t>1 641,97</w:t>
            </w:r>
          </w:p>
        </w:tc>
        <w:tc>
          <w:tcPr>
            <w:tcW w:w="1701" w:type="dxa"/>
            <w:vAlign w:val="center"/>
          </w:tcPr>
          <w:p w14:paraId="7CC5442D" w14:textId="77777777" w:rsidR="00454A29" w:rsidRDefault="00454A29">
            <w:pPr>
              <w:pStyle w:val="ConsPlusNormal"/>
              <w:jc w:val="center"/>
            </w:pPr>
            <w:r>
              <w:t>162 554,90</w:t>
            </w:r>
          </w:p>
        </w:tc>
        <w:tc>
          <w:tcPr>
            <w:tcW w:w="1701" w:type="dxa"/>
            <w:vAlign w:val="center"/>
          </w:tcPr>
          <w:p w14:paraId="36D563A4" w14:textId="77777777" w:rsidR="00454A29" w:rsidRDefault="00454A29">
            <w:pPr>
              <w:pStyle w:val="ConsPlusNormal"/>
              <w:jc w:val="center"/>
            </w:pPr>
            <w:r>
              <w:t>-</w:t>
            </w:r>
          </w:p>
        </w:tc>
        <w:tc>
          <w:tcPr>
            <w:tcW w:w="1814" w:type="dxa"/>
            <w:vAlign w:val="center"/>
          </w:tcPr>
          <w:p w14:paraId="335C56A2" w14:textId="77777777" w:rsidR="00454A29" w:rsidRDefault="00454A29">
            <w:pPr>
              <w:pStyle w:val="ConsPlusNormal"/>
              <w:jc w:val="center"/>
            </w:pPr>
            <w:r>
              <w:t>-</w:t>
            </w:r>
          </w:p>
        </w:tc>
      </w:tr>
      <w:tr w:rsidR="00454A29" w14:paraId="5D78DD00" w14:textId="77777777">
        <w:tc>
          <w:tcPr>
            <w:tcW w:w="567" w:type="dxa"/>
            <w:vMerge/>
          </w:tcPr>
          <w:p w14:paraId="1FBB4801" w14:textId="77777777" w:rsidR="00454A29" w:rsidRDefault="00454A29"/>
        </w:tc>
        <w:tc>
          <w:tcPr>
            <w:tcW w:w="3345" w:type="dxa"/>
            <w:vMerge/>
          </w:tcPr>
          <w:p w14:paraId="6EC62474" w14:textId="77777777" w:rsidR="00454A29" w:rsidRDefault="00454A29"/>
        </w:tc>
        <w:tc>
          <w:tcPr>
            <w:tcW w:w="1701" w:type="dxa"/>
            <w:vAlign w:val="center"/>
          </w:tcPr>
          <w:p w14:paraId="42716B07" w14:textId="77777777" w:rsidR="00454A29" w:rsidRDefault="00454A29">
            <w:pPr>
              <w:pStyle w:val="ConsPlusNormal"/>
              <w:jc w:val="center"/>
            </w:pPr>
            <w:r>
              <w:t>2020</w:t>
            </w:r>
          </w:p>
        </w:tc>
        <w:tc>
          <w:tcPr>
            <w:tcW w:w="1417" w:type="dxa"/>
            <w:vMerge/>
          </w:tcPr>
          <w:p w14:paraId="1423D32C" w14:textId="77777777" w:rsidR="00454A29" w:rsidRDefault="00454A29"/>
        </w:tc>
        <w:tc>
          <w:tcPr>
            <w:tcW w:w="2204" w:type="dxa"/>
            <w:vMerge/>
          </w:tcPr>
          <w:p w14:paraId="3D68FA7A" w14:textId="77777777" w:rsidR="00454A29" w:rsidRDefault="00454A29"/>
        </w:tc>
        <w:tc>
          <w:tcPr>
            <w:tcW w:w="1417" w:type="dxa"/>
            <w:vMerge/>
          </w:tcPr>
          <w:p w14:paraId="7F5DFCB3" w14:textId="77777777" w:rsidR="00454A29" w:rsidRDefault="00454A29"/>
        </w:tc>
        <w:tc>
          <w:tcPr>
            <w:tcW w:w="2324" w:type="dxa"/>
            <w:vMerge/>
          </w:tcPr>
          <w:p w14:paraId="53B44BD3" w14:textId="77777777" w:rsidR="00454A29" w:rsidRDefault="00454A29"/>
        </w:tc>
        <w:tc>
          <w:tcPr>
            <w:tcW w:w="1701" w:type="dxa"/>
            <w:vAlign w:val="center"/>
          </w:tcPr>
          <w:p w14:paraId="46CDAD9A" w14:textId="77777777" w:rsidR="00454A29" w:rsidRDefault="00454A29">
            <w:pPr>
              <w:pStyle w:val="ConsPlusNormal"/>
            </w:pPr>
          </w:p>
        </w:tc>
        <w:tc>
          <w:tcPr>
            <w:tcW w:w="1814" w:type="dxa"/>
            <w:vAlign w:val="center"/>
          </w:tcPr>
          <w:p w14:paraId="5B89BF84" w14:textId="77777777" w:rsidR="00454A29" w:rsidRDefault="00454A29">
            <w:pPr>
              <w:pStyle w:val="ConsPlusNormal"/>
            </w:pPr>
          </w:p>
        </w:tc>
        <w:tc>
          <w:tcPr>
            <w:tcW w:w="1701" w:type="dxa"/>
            <w:vAlign w:val="center"/>
          </w:tcPr>
          <w:p w14:paraId="4E850B3C" w14:textId="77777777" w:rsidR="00454A29" w:rsidRDefault="00454A29">
            <w:pPr>
              <w:pStyle w:val="ConsPlusNormal"/>
            </w:pPr>
          </w:p>
        </w:tc>
        <w:tc>
          <w:tcPr>
            <w:tcW w:w="1701" w:type="dxa"/>
            <w:vAlign w:val="center"/>
          </w:tcPr>
          <w:p w14:paraId="610CE64B" w14:textId="77777777" w:rsidR="00454A29" w:rsidRDefault="00454A29">
            <w:pPr>
              <w:pStyle w:val="ConsPlusNormal"/>
            </w:pPr>
          </w:p>
        </w:tc>
        <w:tc>
          <w:tcPr>
            <w:tcW w:w="1814" w:type="dxa"/>
            <w:vAlign w:val="center"/>
          </w:tcPr>
          <w:p w14:paraId="46EBC1DC" w14:textId="77777777" w:rsidR="00454A29" w:rsidRDefault="00454A29">
            <w:pPr>
              <w:pStyle w:val="ConsPlusNormal"/>
            </w:pPr>
          </w:p>
        </w:tc>
      </w:tr>
      <w:tr w:rsidR="00454A29" w14:paraId="4BC60E31" w14:textId="77777777">
        <w:tc>
          <w:tcPr>
            <w:tcW w:w="567" w:type="dxa"/>
            <w:vMerge/>
          </w:tcPr>
          <w:p w14:paraId="00C33F2B" w14:textId="77777777" w:rsidR="00454A29" w:rsidRDefault="00454A29"/>
        </w:tc>
        <w:tc>
          <w:tcPr>
            <w:tcW w:w="3345" w:type="dxa"/>
            <w:vMerge/>
          </w:tcPr>
          <w:p w14:paraId="5D5AF2E4" w14:textId="77777777" w:rsidR="00454A29" w:rsidRDefault="00454A29"/>
        </w:tc>
        <w:tc>
          <w:tcPr>
            <w:tcW w:w="1701" w:type="dxa"/>
            <w:vAlign w:val="center"/>
          </w:tcPr>
          <w:p w14:paraId="0524FD5C" w14:textId="77777777" w:rsidR="00454A29" w:rsidRDefault="00454A29">
            <w:pPr>
              <w:pStyle w:val="ConsPlusNormal"/>
              <w:jc w:val="center"/>
            </w:pPr>
            <w:r>
              <w:t>2021</w:t>
            </w:r>
          </w:p>
        </w:tc>
        <w:tc>
          <w:tcPr>
            <w:tcW w:w="1417" w:type="dxa"/>
            <w:vMerge/>
          </w:tcPr>
          <w:p w14:paraId="771859E8" w14:textId="77777777" w:rsidR="00454A29" w:rsidRDefault="00454A29"/>
        </w:tc>
        <w:tc>
          <w:tcPr>
            <w:tcW w:w="2204" w:type="dxa"/>
            <w:vMerge/>
          </w:tcPr>
          <w:p w14:paraId="7C3E0EEA" w14:textId="77777777" w:rsidR="00454A29" w:rsidRDefault="00454A29"/>
        </w:tc>
        <w:tc>
          <w:tcPr>
            <w:tcW w:w="1417" w:type="dxa"/>
            <w:vMerge/>
          </w:tcPr>
          <w:p w14:paraId="73CF2E1A" w14:textId="77777777" w:rsidR="00454A29" w:rsidRDefault="00454A29"/>
        </w:tc>
        <w:tc>
          <w:tcPr>
            <w:tcW w:w="2324" w:type="dxa"/>
            <w:vMerge/>
          </w:tcPr>
          <w:p w14:paraId="6E288877" w14:textId="77777777" w:rsidR="00454A29" w:rsidRDefault="00454A29"/>
        </w:tc>
        <w:tc>
          <w:tcPr>
            <w:tcW w:w="1701" w:type="dxa"/>
            <w:vAlign w:val="center"/>
          </w:tcPr>
          <w:p w14:paraId="24082229" w14:textId="77777777" w:rsidR="00454A29" w:rsidRDefault="00454A29">
            <w:pPr>
              <w:pStyle w:val="ConsPlusNormal"/>
            </w:pPr>
          </w:p>
        </w:tc>
        <w:tc>
          <w:tcPr>
            <w:tcW w:w="1814" w:type="dxa"/>
            <w:vAlign w:val="center"/>
          </w:tcPr>
          <w:p w14:paraId="67134C25" w14:textId="77777777" w:rsidR="00454A29" w:rsidRDefault="00454A29">
            <w:pPr>
              <w:pStyle w:val="ConsPlusNormal"/>
            </w:pPr>
          </w:p>
        </w:tc>
        <w:tc>
          <w:tcPr>
            <w:tcW w:w="1701" w:type="dxa"/>
            <w:vAlign w:val="center"/>
          </w:tcPr>
          <w:p w14:paraId="6A5D0BB1" w14:textId="77777777" w:rsidR="00454A29" w:rsidRDefault="00454A29">
            <w:pPr>
              <w:pStyle w:val="ConsPlusNormal"/>
            </w:pPr>
          </w:p>
        </w:tc>
        <w:tc>
          <w:tcPr>
            <w:tcW w:w="1701" w:type="dxa"/>
            <w:vAlign w:val="center"/>
          </w:tcPr>
          <w:p w14:paraId="0E9686DB" w14:textId="77777777" w:rsidR="00454A29" w:rsidRDefault="00454A29">
            <w:pPr>
              <w:pStyle w:val="ConsPlusNormal"/>
            </w:pPr>
          </w:p>
        </w:tc>
        <w:tc>
          <w:tcPr>
            <w:tcW w:w="1814" w:type="dxa"/>
            <w:vAlign w:val="center"/>
          </w:tcPr>
          <w:p w14:paraId="3FC03535" w14:textId="77777777" w:rsidR="00454A29" w:rsidRDefault="00454A29">
            <w:pPr>
              <w:pStyle w:val="ConsPlusNormal"/>
            </w:pPr>
          </w:p>
        </w:tc>
      </w:tr>
      <w:tr w:rsidR="00454A29" w14:paraId="44D68036" w14:textId="77777777">
        <w:tc>
          <w:tcPr>
            <w:tcW w:w="567" w:type="dxa"/>
            <w:vMerge/>
          </w:tcPr>
          <w:p w14:paraId="081B42C6" w14:textId="77777777" w:rsidR="00454A29" w:rsidRDefault="00454A29"/>
        </w:tc>
        <w:tc>
          <w:tcPr>
            <w:tcW w:w="3345" w:type="dxa"/>
            <w:vMerge/>
          </w:tcPr>
          <w:p w14:paraId="18DD58A9" w14:textId="77777777" w:rsidR="00454A29" w:rsidRDefault="00454A29"/>
        </w:tc>
        <w:tc>
          <w:tcPr>
            <w:tcW w:w="1701" w:type="dxa"/>
            <w:vAlign w:val="center"/>
          </w:tcPr>
          <w:p w14:paraId="7E9EFDBE" w14:textId="77777777" w:rsidR="00454A29" w:rsidRDefault="00454A29">
            <w:pPr>
              <w:pStyle w:val="ConsPlusNormal"/>
              <w:jc w:val="center"/>
            </w:pPr>
            <w:r>
              <w:t>2022</w:t>
            </w:r>
          </w:p>
        </w:tc>
        <w:tc>
          <w:tcPr>
            <w:tcW w:w="1417" w:type="dxa"/>
            <w:vMerge/>
          </w:tcPr>
          <w:p w14:paraId="347964A0" w14:textId="77777777" w:rsidR="00454A29" w:rsidRDefault="00454A29"/>
        </w:tc>
        <w:tc>
          <w:tcPr>
            <w:tcW w:w="2204" w:type="dxa"/>
            <w:vMerge/>
          </w:tcPr>
          <w:p w14:paraId="301618AE" w14:textId="77777777" w:rsidR="00454A29" w:rsidRDefault="00454A29"/>
        </w:tc>
        <w:tc>
          <w:tcPr>
            <w:tcW w:w="1417" w:type="dxa"/>
            <w:vMerge/>
          </w:tcPr>
          <w:p w14:paraId="5ABD9AC9" w14:textId="77777777" w:rsidR="00454A29" w:rsidRDefault="00454A29"/>
        </w:tc>
        <w:tc>
          <w:tcPr>
            <w:tcW w:w="2324" w:type="dxa"/>
            <w:vMerge/>
          </w:tcPr>
          <w:p w14:paraId="36E7E71D" w14:textId="77777777" w:rsidR="00454A29" w:rsidRDefault="00454A29"/>
        </w:tc>
        <w:tc>
          <w:tcPr>
            <w:tcW w:w="1701" w:type="dxa"/>
            <w:vAlign w:val="center"/>
          </w:tcPr>
          <w:p w14:paraId="799A120F" w14:textId="77777777" w:rsidR="00454A29" w:rsidRDefault="00454A29">
            <w:pPr>
              <w:pStyle w:val="ConsPlusNormal"/>
            </w:pPr>
          </w:p>
        </w:tc>
        <w:tc>
          <w:tcPr>
            <w:tcW w:w="1814" w:type="dxa"/>
            <w:vAlign w:val="center"/>
          </w:tcPr>
          <w:p w14:paraId="26B3B114" w14:textId="77777777" w:rsidR="00454A29" w:rsidRDefault="00454A29">
            <w:pPr>
              <w:pStyle w:val="ConsPlusNormal"/>
            </w:pPr>
          </w:p>
        </w:tc>
        <w:tc>
          <w:tcPr>
            <w:tcW w:w="1701" w:type="dxa"/>
            <w:vAlign w:val="center"/>
          </w:tcPr>
          <w:p w14:paraId="569D07D5" w14:textId="77777777" w:rsidR="00454A29" w:rsidRDefault="00454A29">
            <w:pPr>
              <w:pStyle w:val="ConsPlusNormal"/>
            </w:pPr>
          </w:p>
        </w:tc>
        <w:tc>
          <w:tcPr>
            <w:tcW w:w="1701" w:type="dxa"/>
            <w:vAlign w:val="center"/>
          </w:tcPr>
          <w:p w14:paraId="61425FBA" w14:textId="77777777" w:rsidR="00454A29" w:rsidRDefault="00454A29">
            <w:pPr>
              <w:pStyle w:val="ConsPlusNormal"/>
            </w:pPr>
          </w:p>
        </w:tc>
        <w:tc>
          <w:tcPr>
            <w:tcW w:w="1814" w:type="dxa"/>
            <w:vAlign w:val="center"/>
          </w:tcPr>
          <w:p w14:paraId="4A5F4B3F" w14:textId="77777777" w:rsidR="00454A29" w:rsidRDefault="00454A29">
            <w:pPr>
              <w:pStyle w:val="ConsPlusNormal"/>
            </w:pPr>
          </w:p>
        </w:tc>
      </w:tr>
      <w:tr w:rsidR="00454A29" w14:paraId="31715196" w14:textId="77777777">
        <w:tc>
          <w:tcPr>
            <w:tcW w:w="567" w:type="dxa"/>
            <w:vMerge/>
          </w:tcPr>
          <w:p w14:paraId="740166AA" w14:textId="77777777" w:rsidR="00454A29" w:rsidRDefault="00454A29"/>
        </w:tc>
        <w:tc>
          <w:tcPr>
            <w:tcW w:w="3345" w:type="dxa"/>
            <w:vMerge/>
          </w:tcPr>
          <w:p w14:paraId="74CC79CC" w14:textId="77777777" w:rsidR="00454A29" w:rsidRDefault="00454A29"/>
        </w:tc>
        <w:tc>
          <w:tcPr>
            <w:tcW w:w="1701" w:type="dxa"/>
            <w:vAlign w:val="center"/>
          </w:tcPr>
          <w:p w14:paraId="636972A1" w14:textId="77777777" w:rsidR="00454A29" w:rsidRDefault="00454A29">
            <w:pPr>
              <w:pStyle w:val="ConsPlusNormal"/>
              <w:jc w:val="center"/>
            </w:pPr>
            <w:r>
              <w:t>2023</w:t>
            </w:r>
          </w:p>
        </w:tc>
        <w:tc>
          <w:tcPr>
            <w:tcW w:w="1417" w:type="dxa"/>
            <w:vMerge/>
          </w:tcPr>
          <w:p w14:paraId="5F5F7D80" w14:textId="77777777" w:rsidR="00454A29" w:rsidRDefault="00454A29"/>
        </w:tc>
        <w:tc>
          <w:tcPr>
            <w:tcW w:w="2204" w:type="dxa"/>
            <w:vMerge/>
          </w:tcPr>
          <w:p w14:paraId="6D5E90BB" w14:textId="77777777" w:rsidR="00454A29" w:rsidRDefault="00454A29"/>
        </w:tc>
        <w:tc>
          <w:tcPr>
            <w:tcW w:w="1417" w:type="dxa"/>
            <w:vMerge/>
          </w:tcPr>
          <w:p w14:paraId="5FE35217" w14:textId="77777777" w:rsidR="00454A29" w:rsidRDefault="00454A29"/>
        </w:tc>
        <w:tc>
          <w:tcPr>
            <w:tcW w:w="2324" w:type="dxa"/>
            <w:vMerge/>
          </w:tcPr>
          <w:p w14:paraId="2ED11572" w14:textId="77777777" w:rsidR="00454A29" w:rsidRDefault="00454A29"/>
        </w:tc>
        <w:tc>
          <w:tcPr>
            <w:tcW w:w="1701" w:type="dxa"/>
            <w:vAlign w:val="center"/>
          </w:tcPr>
          <w:p w14:paraId="26308F22" w14:textId="77777777" w:rsidR="00454A29" w:rsidRDefault="00454A29">
            <w:pPr>
              <w:pStyle w:val="ConsPlusNormal"/>
              <w:jc w:val="center"/>
            </w:pPr>
            <w:r>
              <w:t>164 196,87</w:t>
            </w:r>
          </w:p>
        </w:tc>
        <w:tc>
          <w:tcPr>
            <w:tcW w:w="1814" w:type="dxa"/>
            <w:vAlign w:val="center"/>
          </w:tcPr>
          <w:p w14:paraId="2FEFC13A" w14:textId="77777777" w:rsidR="00454A29" w:rsidRDefault="00454A29">
            <w:pPr>
              <w:pStyle w:val="ConsPlusNormal"/>
              <w:jc w:val="center"/>
            </w:pPr>
            <w:r>
              <w:t>1 641,97</w:t>
            </w:r>
          </w:p>
        </w:tc>
        <w:tc>
          <w:tcPr>
            <w:tcW w:w="1701" w:type="dxa"/>
            <w:vAlign w:val="center"/>
          </w:tcPr>
          <w:p w14:paraId="1BD4988D" w14:textId="77777777" w:rsidR="00454A29" w:rsidRDefault="00454A29">
            <w:pPr>
              <w:pStyle w:val="ConsPlusNormal"/>
              <w:jc w:val="center"/>
            </w:pPr>
            <w:r>
              <w:t>162 554,90</w:t>
            </w:r>
          </w:p>
        </w:tc>
        <w:tc>
          <w:tcPr>
            <w:tcW w:w="1701" w:type="dxa"/>
            <w:vAlign w:val="center"/>
          </w:tcPr>
          <w:p w14:paraId="45ED21D4" w14:textId="77777777" w:rsidR="00454A29" w:rsidRDefault="00454A29">
            <w:pPr>
              <w:pStyle w:val="ConsPlusNormal"/>
            </w:pPr>
          </w:p>
        </w:tc>
        <w:tc>
          <w:tcPr>
            <w:tcW w:w="1814" w:type="dxa"/>
            <w:vAlign w:val="center"/>
          </w:tcPr>
          <w:p w14:paraId="35379C3B" w14:textId="77777777" w:rsidR="00454A29" w:rsidRDefault="00454A29">
            <w:pPr>
              <w:pStyle w:val="ConsPlusNormal"/>
            </w:pPr>
          </w:p>
        </w:tc>
      </w:tr>
      <w:tr w:rsidR="00454A29" w14:paraId="2FB5CB43" w14:textId="77777777">
        <w:tc>
          <w:tcPr>
            <w:tcW w:w="567" w:type="dxa"/>
            <w:vMerge/>
          </w:tcPr>
          <w:p w14:paraId="6353AC46" w14:textId="77777777" w:rsidR="00454A29" w:rsidRDefault="00454A29"/>
        </w:tc>
        <w:tc>
          <w:tcPr>
            <w:tcW w:w="3345" w:type="dxa"/>
            <w:vMerge/>
          </w:tcPr>
          <w:p w14:paraId="1C04EFE5" w14:textId="77777777" w:rsidR="00454A29" w:rsidRDefault="00454A29"/>
        </w:tc>
        <w:tc>
          <w:tcPr>
            <w:tcW w:w="1701" w:type="dxa"/>
            <w:vAlign w:val="center"/>
          </w:tcPr>
          <w:p w14:paraId="0473DE57" w14:textId="77777777" w:rsidR="00454A29" w:rsidRDefault="00454A29">
            <w:pPr>
              <w:pStyle w:val="ConsPlusNormal"/>
              <w:jc w:val="center"/>
            </w:pPr>
            <w:r>
              <w:t>2024</w:t>
            </w:r>
          </w:p>
        </w:tc>
        <w:tc>
          <w:tcPr>
            <w:tcW w:w="1417" w:type="dxa"/>
            <w:vMerge/>
          </w:tcPr>
          <w:p w14:paraId="6C256148" w14:textId="77777777" w:rsidR="00454A29" w:rsidRDefault="00454A29"/>
        </w:tc>
        <w:tc>
          <w:tcPr>
            <w:tcW w:w="2204" w:type="dxa"/>
            <w:vMerge/>
          </w:tcPr>
          <w:p w14:paraId="7111F167" w14:textId="77777777" w:rsidR="00454A29" w:rsidRDefault="00454A29"/>
        </w:tc>
        <w:tc>
          <w:tcPr>
            <w:tcW w:w="1417" w:type="dxa"/>
            <w:vMerge/>
          </w:tcPr>
          <w:p w14:paraId="5866EC23" w14:textId="77777777" w:rsidR="00454A29" w:rsidRDefault="00454A29"/>
        </w:tc>
        <w:tc>
          <w:tcPr>
            <w:tcW w:w="2324" w:type="dxa"/>
            <w:vMerge/>
          </w:tcPr>
          <w:p w14:paraId="7F7DCDF5" w14:textId="77777777" w:rsidR="00454A29" w:rsidRDefault="00454A29"/>
        </w:tc>
        <w:tc>
          <w:tcPr>
            <w:tcW w:w="1701" w:type="dxa"/>
            <w:vAlign w:val="center"/>
          </w:tcPr>
          <w:p w14:paraId="185328A4" w14:textId="77777777" w:rsidR="00454A29" w:rsidRDefault="00454A29">
            <w:pPr>
              <w:pStyle w:val="ConsPlusNormal"/>
            </w:pPr>
          </w:p>
        </w:tc>
        <w:tc>
          <w:tcPr>
            <w:tcW w:w="1814" w:type="dxa"/>
            <w:vAlign w:val="center"/>
          </w:tcPr>
          <w:p w14:paraId="494AE023" w14:textId="77777777" w:rsidR="00454A29" w:rsidRDefault="00454A29">
            <w:pPr>
              <w:pStyle w:val="ConsPlusNormal"/>
            </w:pPr>
          </w:p>
        </w:tc>
        <w:tc>
          <w:tcPr>
            <w:tcW w:w="1701" w:type="dxa"/>
            <w:vAlign w:val="center"/>
          </w:tcPr>
          <w:p w14:paraId="58858045" w14:textId="77777777" w:rsidR="00454A29" w:rsidRDefault="00454A29">
            <w:pPr>
              <w:pStyle w:val="ConsPlusNormal"/>
            </w:pPr>
          </w:p>
        </w:tc>
        <w:tc>
          <w:tcPr>
            <w:tcW w:w="1701" w:type="dxa"/>
            <w:vAlign w:val="center"/>
          </w:tcPr>
          <w:p w14:paraId="1496C3F1" w14:textId="77777777" w:rsidR="00454A29" w:rsidRDefault="00454A29">
            <w:pPr>
              <w:pStyle w:val="ConsPlusNormal"/>
            </w:pPr>
          </w:p>
        </w:tc>
        <w:tc>
          <w:tcPr>
            <w:tcW w:w="1814" w:type="dxa"/>
            <w:vAlign w:val="center"/>
          </w:tcPr>
          <w:p w14:paraId="76E7A51A" w14:textId="77777777" w:rsidR="00454A29" w:rsidRDefault="00454A29">
            <w:pPr>
              <w:pStyle w:val="ConsPlusNormal"/>
            </w:pPr>
          </w:p>
        </w:tc>
      </w:tr>
      <w:tr w:rsidR="00454A29" w14:paraId="0B6B2A92" w14:textId="77777777">
        <w:tc>
          <w:tcPr>
            <w:tcW w:w="567" w:type="dxa"/>
            <w:vMerge/>
          </w:tcPr>
          <w:p w14:paraId="6C4383B5" w14:textId="77777777" w:rsidR="00454A29" w:rsidRDefault="00454A29"/>
        </w:tc>
        <w:tc>
          <w:tcPr>
            <w:tcW w:w="3345" w:type="dxa"/>
            <w:vMerge/>
          </w:tcPr>
          <w:p w14:paraId="7520A3B2" w14:textId="77777777" w:rsidR="00454A29" w:rsidRDefault="00454A29"/>
        </w:tc>
        <w:tc>
          <w:tcPr>
            <w:tcW w:w="1701" w:type="dxa"/>
            <w:vAlign w:val="center"/>
          </w:tcPr>
          <w:p w14:paraId="0034E811" w14:textId="77777777" w:rsidR="00454A29" w:rsidRDefault="00454A29">
            <w:pPr>
              <w:pStyle w:val="ConsPlusNormal"/>
              <w:jc w:val="center"/>
            </w:pPr>
            <w:r>
              <w:t>2025</w:t>
            </w:r>
          </w:p>
        </w:tc>
        <w:tc>
          <w:tcPr>
            <w:tcW w:w="1417" w:type="dxa"/>
            <w:vMerge/>
          </w:tcPr>
          <w:p w14:paraId="08B78628" w14:textId="77777777" w:rsidR="00454A29" w:rsidRDefault="00454A29"/>
        </w:tc>
        <w:tc>
          <w:tcPr>
            <w:tcW w:w="2204" w:type="dxa"/>
            <w:vMerge/>
          </w:tcPr>
          <w:p w14:paraId="03A265EF" w14:textId="77777777" w:rsidR="00454A29" w:rsidRDefault="00454A29"/>
        </w:tc>
        <w:tc>
          <w:tcPr>
            <w:tcW w:w="1417" w:type="dxa"/>
            <w:vMerge/>
          </w:tcPr>
          <w:p w14:paraId="082D2290" w14:textId="77777777" w:rsidR="00454A29" w:rsidRDefault="00454A29"/>
        </w:tc>
        <w:tc>
          <w:tcPr>
            <w:tcW w:w="2324" w:type="dxa"/>
            <w:vMerge/>
          </w:tcPr>
          <w:p w14:paraId="4693A0FE" w14:textId="77777777" w:rsidR="00454A29" w:rsidRDefault="00454A29"/>
        </w:tc>
        <w:tc>
          <w:tcPr>
            <w:tcW w:w="1701" w:type="dxa"/>
            <w:vAlign w:val="center"/>
          </w:tcPr>
          <w:p w14:paraId="2894096E" w14:textId="77777777" w:rsidR="00454A29" w:rsidRDefault="00454A29">
            <w:pPr>
              <w:pStyle w:val="ConsPlusNormal"/>
            </w:pPr>
          </w:p>
        </w:tc>
        <w:tc>
          <w:tcPr>
            <w:tcW w:w="1814" w:type="dxa"/>
            <w:vAlign w:val="center"/>
          </w:tcPr>
          <w:p w14:paraId="523A915C" w14:textId="77777777" w:rsidR="00454A29" w:rsidRDefault="00454A29">
            <w:pPr>
              <w:pStyle w:val="ConsPlusNormal"/>
            </w:pPr>
          </w:p>
        </w:tc>
        <w:tc>
          <w:tcPr>
            <w:tcW w:w="1701" w:type="dxa"/>
            <w:vAlign w:val="center"/>
          </w:tcPr>
          <w:p w14:paraId="2BE74C71" w14:textId="77777777" w:rsidR="00454A29" w:rsidRDefault="00454A29">
            <w:pPr>
              <w:pStyle w:val="ConsPlusNormal"/>
            </w:pPr>
          </w:p>
        </w:tc>
        <w:tc>
          <w:tcPr>
            <w:tcW w:w="1701" w:type="dxa"/>
            <w:vAlign w:val="center"/>
          </w:tcPr>
          <w:p w14:paraId="636C529B" w14:textId="77777777" w:rsidR="00454A29" w:rsidRDefault="00454A29">
            <w:pPr>
              <w:pStyle w:val="ConsPlusNormal"/>
            </w:pPr>
          </w:p>
        </w:tc>
        <w:tc>
          <w:tcPr>
            <w:tcW w:w="1814" w:type="dxa"/>
            <w:vAlign w:val="center"/>
          </w:tcPr>
          <w:p w14:paraId="4DA9F00E" w14:textId="77777777" w:rsidR="00454A29" w:rsidRDefault="00454A29">
            <w:pPr>
              <w:pStyle w:val="ConsPlusNormal"/>
            </w:pPr>
          </w:p>
        </w:tc>
      </w:tr>
      <w:tr w:rsidR="00454A29" w14:paraId="2C917AA1" w14:textId="77777777">
        <w:tc>
          <w:tcPr>
            <w:tcW w:w="567" w:type="dxa"/>
            <w:vMerge/>
          </w:tcPr>
          <w:p w14:paraId="294CE294" w14:textId="77777777" w:rsidR="00454A29" w:rsidRDefault="00454A29"/>
        </w:tc>
        <w:tc>
          <w:tcPr>
            <w:tcW w:w="3345" w:type="dxa"/>
            <w:vMerge/>
          </w:tcPr>
          <w:p w14:paraId="059D22CF" w14:textId="77777777" w:rsidR="00454A29" w:rsidRDefault="00454A29"/>
        </w:tc>
        <w:tc>
          <w:tcPr>
            <w:tcW w:w="1701" w:type="dxa"/>
            <w:vAlign w:val="center"/>
          </w:tcPr>
          <w:p w14:paraId="784D06E8" w14:textId="77777777" w:rsidR="00454A29" w:rsidRDefault="00454A29">
            <w:pPr>
              <w:pStyle w:val="ConsPlusNormal"/>
              <w:jc w:val="center"/>
            </w:pPr>
            <w:r>
              <w:t>2026</w:t>
            </w:r>
          </w:p>
        </w:tc>
        <w:tc>
          <w:tcPr>
            <w:tcW w:w="1417" w:type="dxa"/>
            <w:vMerge/>
          </w:tcPr>
          <w:p w14:paraId="3E0EFCD3" w14:textId="77777777" w:rsidR="00454A29" w:rsidRDefault="00454A29"/>
        </w:tc>
        <w:tc>
          <w:tcPr>
            <w:tcW w:w="2204" w:type="dxa"/>
            <w:vMerge/>
          </w:tcPr>
          <w:p w14:paraId="6005FEF2" w14:textId="77777777" w:rsidR="00454A29" w:rsidRDefault="00454A29"/>
        </w:tc>
        <w:tc>
          <w:tcPr>
            <w:tcW w:w="1417" w:type="dxa"/>
            <w:vMerge/>
          </w:tcPr>
          <w:p w14:paraId="61127104" w14:textId="77777777" w:rsidR="00454A29" w:rsidRDefault="00454A29"/>
        </w:tc>
        <w:tc>
          <w:tcPr>
            <w:tcW w:w="2324" w:type="dxa"/>
            <w:vMerge/>
          </w:tcPr>
          <w:p w14:paraId="1B867DE6" w14:textId="77777777" w:rsidR="00454A29" w:rsidRDefault="00454A29"/>
        </w:tc>
        <w:tc>
          <w:tcPr>
            <w:tcW w:w="1701" w:type="dxa"/>
            <w:vAlign w:val="center"/>
          </w:tcPr>
          <w:p w14:paraId="1198930F" w14:textId="77777777" w:rsidR="00454A29" w:rsidRDefault="00454A29">
            <w:pPr>
              <w:pStyle w:val="ConsPlusNormal"/>
            </w:pPr>
          </w:p>
        </w:tc>
        <w:tc>
          <w:tcPr>
            <w:tcW w:w="1814" w:type="dxa"/>
            <w:vAlign w:val="center"/>
          </w:tcPr>
          <w:p w14:paraId="254E6A43" w14:textId="77777777" w:rsidR="00454A29" w:rsidRDefault="00454A29">
            <w:pPr>
              <w:pStyle w:val="ConsPlusNormal"/>
            </w:pPr>
          </w:p>
        </w:tc>
        <w:tc>
          <w:tcPr>
            <w:tcW w:w="1701" w:type="dxa"/>
            <w:vAlign w:val="center"/>
          </w:tcPr>
          <w:p w14:paraId="4C4F4E93" w14:textId="77777777" w:rsidR="00454A29" w:rsidRDefault="00454A29">
            <w:pPr>
              <w:pStyle w:val="ConsPlusNormal"/>
            </w:pPr>
          </w:p>
        </w:tc>
        <w:tc>
          <w:tcPr>
            <w:tcW w:w="1701" w:type="dxa"/>
            <w:vAlign w:val="center"/>
          </w:tcPr>
          <w:p w14:paraId="19864D20" w14:textId="77777777" w:rsidR="00454A29" w:rsidRDefault="00454A29">
            <w:pPr>
              <w:pStyle w:val="ConsPlusNormal"/>
            </w:pPr>
          </w:p>
        </w:tc>
        <w:tc>
          <w:tcPr>
            <w:tcW w:w="1814" w:type="dxa"/>
            <w:vAlign w:val="center"/>
          </w:tcPr>
          <w:p w14:paraId="5049716E" w14:textId="77777777" w:rsidR="00454A29" w:rsidRDefault="00454A29">
            <w:pPr>
              <w:pStyle w:val="ConsPlusNormal"/>
            </w:pPr>
          </w:p>
        </w:tc>
      </w:tr>
      <w:tr w:rsidR="00454A29" w14:paraId="232BFD83" w14:textId="77777777">
        <w:tc>
          <w:tcPr>
            <w:tcW w:w="567" w:type="dxa"/>
            <w:vMerge w:val="restart"/>
            <w:vAlign w:val="center"/>
          </w:tcPr>
          <w:p w14:paraId="641A3B04" w14:textId="77777777" w:rsidR="00454A29" w:rsidRDefault="00454A29">
            <w:pPr>
              <w:pStyle w:val="ConsPlusNormal"/>
              <w:jc w:val="center"/>
            </w:pPr>
            <w:r>
              <w:t>56</w:t>
            </w:r>
          </w:p>
        </w:tc>
        <w:tc>
          <w:tcPr>
            <w:tcW w:w="3345" w:type="dxa"/>
            <w:vMerge w:val="restart"/>
            <w:vAlign w:val="center"/>
          </w:tcPr>
          <w:p w14:paraId="5D57020F" w14:textId="77777777" w:rsidR="00454A29" w:rsidRDefault="00454A29">
            <w:pPr>
              <w:pStyle w:val="ConsPlusNormal"/>
              <w:jc w:val="center"/>
            </w:pPr>
            <w:r>
              <w:t>Школа сад на 80/45 мест с. Жиганск</w:t>
            </w:r>
          </w:p>
        </w:tc>
        <w:tc>
          <w:tcPr>
            <w:tcW w:w="1701" w:type="dxa"/>
            <w:vAlign w:val="center"/>
          </w:tcPr>
          <w:p w14:paraId="6DF6F215" w14:textId="77777777" w:rsidR="00454A29" w:rsidRDefault="00454A29">
            <w:pPr>
              <w:pStyle w:val="ConsPlusNormal"/>
              <w:jc w:val="center"/>
            </w:pPr>
            <w:r>
              <w:t>2020 - 2026 годы - всего</w:t>
            </w:r>
          </w:p>
        </w:tc>
        <w:tc>
          <w:tcPr>
            <w:tcW w:w="1417" w:type="dxa"/>
            <w:vMerge w:val="restart"/>
            <w:vAlign w:val="center"/>
          </w:tcPr>
          <w:p w14:paraId="35B1FA67" w14:textId="77777777" w:rsidR="00454A29" w:rsidRDefault="00454A29">
            <w:pPr>
              <w:pStyle w:val="ConsPlusNormal"/>
              <w:jc w:val="center"/>
            </w:pPr>
            <w:r>
              <w:t>414 708,39</w:t>
            </w:r>
          </w:p>
        </w:tc>
        <w:tc>
          <w:tcPr>
            <w:tcW w:w="2204" w:type="dxa"/>
            <w:vMerge w:val="restart"/>
            <w:vAlign w:val="center"/>
          </w:tcPr>
          <w:p w14:paraId="07E0151E" w14:textId="77777777" w:rsidR="00454A29" w:rsidRDefault="00454A29">
            <w:pPr>
              <w:pStyle w:val="ConsPlusNormal"/>
            </w:pPr>
          </w:p>
        </w:tc>
        <w:tc>
          <w:tcPr>
            <w:tcW w:w="1417" w:type="dxa"/>
            <w:vMerge w:val="restart"/>
            <w:vAlign w:val="center"/>
          </w:tcPr>
          <w:p w14:paraId="3A96CF41" w14:textId="77777777" w:rsidR="00454A29" w:rsidRDefault="00454A29">
            <w:pPr>
              <w:pStyle w:val="ConsPlusNormal"/>
              <w:jc w:val="center"/>
            </w:pPr>
            <w:r>
              <w:t>80</w:t>
            </w:r>
          </w:p>
        </w:tc>
        <w:tc>
          <w:tcPr>
            <w:tcW w:w="2324" w:type="dxa"/>
            <w:vMerge w:val="restart"/>
            <w:vAlign w:val="center"/>
          </w:tcPr>
          <w:p w14:paraId="4699C2A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3CDA344" w14:textId="77777777" w:rsidR="00454A29" w:rsidRDefault="00454A29">
            <w:pPr>
              <w:pStyle w:val="ConsPlusNormal"/>
              <w:jc w:val="center"/>
            </w:pPr>
            <w:r>
              <w:t>414 708,39</w:t>
            </w:r>
          </w:p>
        </w:tc>
        <w:tc>
          <w:tcPr>
            <w:tcW w:w="1814" w:type="dxa"/>
            <w:vAlign w:val="center"/>
          </w:tcPr>
          <w:p w14:paraId="52FD2152" w14:textId="77777777" w:rsidR="00454A29" w:rsidRDefault="00454A29">
            <w:pPr>
              <w:pStyle w:val="ConsPlusNormal"/>
              <w:jc w:val="center"/>
            </w:pPr>
            <w:r>
              <w:t>5 109,20</w:t>
            </w:r>
          </w:p>
        </w:tc>
        <w:tc>
          <w:tcPr>
            <w:tcW w:w="1701" w:type="dxa"/>
            <w:vAlign w:val="center"/>
          </w:tcPr>
          <w:p w14:paraId="53F43AC7" w14:textId="77777777" w:rsidR="00454A29" w:rsidRDefault="00454A29">
            <w:pPr>
              <w:pStyle w:val="ConsPlusNormal"/>
              <w:jc w:val="center"/>
            </w:pPr>
            <w:r>
              <w:t>505 811,53</w:t>
            </w:r>
          </w:p>
        </w:tc>
        <w:tc>
          <w:tcPr>
            <w:tcW w:w="1701" w:type="dxa"/>
            <w:vAlign w:val="center"/>
          </w:tcPr>
          <w:p w14:paraId="5B7FC506" w14:textId="77777777" w:rsidR="00454A29" w:rsidRDefault="00454A29">
            <w:pPr>
              <w:pStyle w:val="ConsPlusNormal"/>
              <w:jc w:val="center"/>
            </w:pPr>
            <w:r>
              <w:t>-</w:t>
            </w:r>
          </w:p>
        </w:tc>
        <w:tc>
          <w:tcPr>
            <w:tcW w:w="1814" w:type="dxa"/>
            <w:vAlign w:val="center"/>
          </w:tcPr>
          <w:p w14:paraId="4FB66420" w14:textId="77777777" w:rsidR="00454A29" w:rsidRDefault="00454A29">
            <w:pPr>
              <w:pStyle w:val="ConsPlusNormal"/>
              <w:jc w:val="center"/>
            </w:pPr>
            <w:r>
              <w:t>-</w:t>
            </w:r>
          </w:p>
        </w:tc>
      </w:tr>
      <w:tr w:rsidR="00454A29" w14:paraId="5F241AED" w14:textId="77777777">
        <w:tc>
          <w:tcPr>
            <w:tcW w:w="567" w:type="dxa"/>
            <w:vMerge/>
          </w:tcPr>
          <w:p w14:paraId="69A954EB" w14:textId="77777777" w:rsidR="00454A29" w:rsidRDefault="00454A29"/>
        </w:tc>
        <w:tc>
          <w:tcPr>
            <w:tcW w:w="3345" w:type="dxa"/>
            <w:vMerge/>
          </w:tcPr>
          <w:p w14:paraId="202B9C68" w14:textId="77777777" w:rsidR="00454A29" w:rsidRDefault="00454A29"/>
        </w:tc>
        <w:tc>
          <w:tcPr>
            <w:tcW w:w="1701" w:type="dxa"/>
            <w:vAlign w:val="center"/>
          </w:tcPr>
          <w:p w14:paraId="441BFDE0" w14:textId="77777777" w:rsidR="00454A29" w:rsidRDefault="00454A29">
            <w:pPr>
              <w:pStyle w:val="ConsPlusNormal"/>
              <w:jc w:val="center"/>
            </w:pPr>
            <w:r>
              <w:t>2020</w:t>
            </w:r>
          </w:p>
        </w:tc>
        <w:tc>
          <w:tcPr>
            <w:tcW w:w="1417" w:type="dxa"/>
            <w:vMerge/>
          </w:tcPr>
          <w:p w14:paraId="00E747C8" w14:textId="77777777" w:rsidR="00454A29" w:rsidRDefault="00454A29"/>
        </w:tc>
        <w:tc>
          <w:tcPr>
            <w:tcW w:w="2204" w:type="dxa"/>
            <w:vMerge/>
          </w:tcPr>
          <w:p w14:paraId="43B9691F" w14:textId="77777777" w:rsidR="00454A29" w:rsidRDefault="00454A29"/>
        </w:tc>
        <w:tc>
          <w:tcPr>
            <w:tcW w:w="1417" w:type="dxa"/>
            <w:vMerge/>
          </w:tcPr>
          <w:p w14:paraId="3B029D36" w14:textId="77777777" w:rsidR="00454A29" w:rsidRDefault="00454A29"/>
        </w:tc>
        <w:tc>
          <w:tcPr>
            <w:tcW w:w="2324" w:type="dxa"/>
            <w:vMerge/>
          </w:tcPr>
          <w:p w14:paraId="6E55E27A" w14:textId="77777777" w:rsidR="00454A29" w:rsidRDefault="00454A29"/>
        </w:tc>
        <w:tc>
          <w:tcPr>
            <w:tcW w:w="1701" w:type="dxa"/>
            <w:vAlign w:val="center"/>
          </w:tcPr>
          <w:p w14:paraId="6FDE558F" w14:textId="77777777" w:rsidR="00454A29" w:rsidRDefault="00454A29">
            <w:pPr>
              <w:pStyle w:val="ConsPlusNormal"/>
            </w:pPr>
          </w:p>
        </w:tc>
        <w:tc>
          <w:tcPr>
            <w:tcW w:w="1814" w:type="dxa"/>
            <w:vAlign w:val="center"/>
          </w:tcPr>
          <w:p w14:paraId="3F8536E0" w14:textId="77777777" w:rsidR="00454A29" w:rsidRDefault="00454A29">
            <w:pPr>
              <w:pStyle w:val="ConsPlusNormal"/>
            </w:pPr>
          </w:p>
        </w:tc>
        <w:tc>
          <w:tcPr>
            <w:tcW w:w="1701" w:type="dxa"/>
            <w:vAlign w:val="center"/>
          </w:tcPr>
          <w:p w14:paraId="749706D0" w14:textId="77777777" w:rsidR="00454A29" w:rsidRDefault="00454A29">
            <w:pPr>
              <w:pStyle w:val="ConsPlusNormal"/>
            </w:pPr>
          </w:p>
        </w:tc>
        <w:tc>
          <w:tcPr>
            <w:tcW w:w="1701" w:type="dxa"/>
            <w:vAlign w:val="center"/>
          </w:tcPr>
          <w:p w14:paraId="60ED58CA" w14:textId="77777777" w:rsidR="00454A29" w:rsidRDefault="00454A29">
            <w:pPr>
              <w:pStyle w:val="ConsPlusNormal"/>
            </w:pPr>
          </w:p>
        </w:tc>
        <w:tc>
          <w:tcPr>
            <w:tcW w:w="1814" w:type="dxa"/>
            <w:vAlign w:val="center"/>
          </w:tcPr>
          <w:p w14:paraId="0C7427B6" w14:textId="77777777" w:rsidR="00454A29" w:rsidRDefault="00454A29">
            <w:pPr>
              <w:pStyle w:val="ConsPlusNormal"/>
            </w:pPr>
          </w:p>
        </w:tc>
      </w:tr>
      <w:tr w:rsidR="00454A29" w14:paraId="1D2A5CE1" w14:textId="77777777">
        <w:tc>
          <w:tcPr>
            <w:tcW w:w="567" w:type="dxa"/>
            <w:vMerge/>
          </w:tcPr>
          <w:p w14:paraId="0729DD94" w14:textId="77777777" w:rsidR="00454A29" w:rsidRDefault="00454A29"/>
        </w:tc>
        <w:tc>
          <w:tcPr>
            <w:tcW w:w="3345" w:type="dxa"/>
            <w:vMerge/>
          </w:tcPr>
          <w:p w14:paraId="6C262452" w14:textId="77777777" w:rsidR="00454A29" w:rsidRDefault="00454A29"/>
        </w:tc>
        <w:tc>
          <w:tcPr>
            <w:tcW w:w="1701" w:type="dxa"/>
            <w:vAlign w:val="center"/>
          </w:tcPr>
          <w:p w14:paraId="0E4C486A" w14:textId="77777777" w:rsidR="00454A29" w:rsidRDefault="00454A29">
            <w:pPr>
              <w:pStyle w:val="ConsPlusNormal"/>
              <w:jc w:val="center"/>
            </w:pPr>
            <w:r>
              <w:t>2021</w:t>
            </w:r>
          </w:p>
        </w:tc>
        <w:tc>
          <w:tcPr>
            <w:tcW w:w="1417" w:type="dxa"/>
            <w:vMerge/>
          </w:tcPr>
          <w:p w14:paraId="1F82D045" w14:textId="77777777" w:rsidR="00454A29" w:rsidRDefault="00454A29"/>
        </w:tc>
        <w:tc>
          <w:tcPr>
            <w:tcW w:w="2204" w:type="dxa"/>
            <w:vMerge/>
          </w:tcPr>
          <w:p w14:paraId="787C9EA9" w14:textId="77777777" w:rsidR="00454A29" w:rsidRDefault="00454A29"/>
        </w:tc>
        <w:tc>
          <w:tcPr>
            <w:tcW w:w="1417" w:type="dxa"/>
            <w:vMerge/>
          </w:tcPr>
          <w:p w14:paraId="5FDFB10E" w14:textId="77777777" w:rsidR="00454A29" w:rsidRDefault="00454A29"/>
        </w:tc>
        <w:tc>
          <w:tcPr>
            <w:tcW w:w="2324" w:type="dxa"/>
            <w:vMerge/>
          </w:tcPr>
          <w:p w14:paraId="23984313" w14:textId="77777777" w:rsidR="00454A29" w:rsidRDefault="00454A29"/>
        </w:tc>
        <w:tc>
          <w:tcPr>
            <w:tcW w:w="1701" w:type="dxa"/>
            <w:vAlign w:val="center"/>
          </w:tcPr>
          <w:p w14:paraId="2351F357" w14:textId="77777777" w:rsidR="00454A29" w:rsidRDefault="00454A29">
            <w:pPr>
              <w:pStyle w:val="ConsPlusNormal"/>
            </w:pPr>
          </w:p>
        </w:tc>
        <w:tc>
          <w:tcPr>
            <w:tcW w:w="1814" w:type="dxa"/>
            <w:vAlign w:val="center"/>
          </w:tcPr>
          <w:p w14:paraId="19F1165E" w14:textId="77777777" w:rsidR="00454A29" w:rsidRDefault="00454A29">
            <w:pPr>
              <w:pStyle w:val="ConsPlusNormal"/>
            </w:pPr>
          </w:p>
        </w:tc>
        <w:tc>
          <w:tcPr>
            <w:tcW w:w="1701" w:type="dxa"/>
            <w:vAlign w:val="center"/>
          </w:tcPr>
          <w:p w14:paraId="50F3CBBF" w14:textId="77777777" w:rsidR="00454A29" w:rsidRDefault="00454A29">
            <w:pPr>
              <w:pStyle w:val="ConsPlusNormal"/>
            </w:pPr>
          </w:p>
        </w:tc>
        <w:tc>
          <w:tcPr>
            <w:tcW w:w="1701" w:type="dxa"/>
            <w:vAlign w:val="center"/>
          </w:tcPr>
          <w:p w14:paraId="33DC2FAF" w14:textId="77777777" w:rsidR="00454A29" w:rsidRDefault="00454A29">
            <w:pPr>
              <w:pStyle w:val="ConsPlusNormal"/>
            </w:pPr>
          </w:p>
        </w:tc>
        <w:tc>
          <w:tcPr>
            <w:tcW w:w="1814" w:type="dxa"/>
            <w:vAlign w:val="center"/>
          </w:tcPr>
          <w:p w14:paraId="211E297D" w14:textId="77777777" w:rsidR="00454A29" w:rsidRDefault="00454A29">
            <w:pPr>
              <w:pStyle w:val="ConsPlusNormal"/>
            </w:pPr>
          </w:p>
        </w:tc>
      </w:tr>
      <w:tr w:rsidR="00454A29" w14:paraId="58F0EE58" w14:textId="77777777">
        <w:tc>
          <w:tcPr>
            <w:tcW w:w="567" w:type="dxa"/>
            <w:vMerge/>
          </w:tcPr>
          <w:p w14:paraId="7D39ED9D" w14:textId="77777777" w:rsidR="00454A29" w:rsidRDefault="00454A29"/>
        </w:tc>
        <w:tc>
          <w:tcPr>
            <w:tcW w:w="3345" w:type="dxa"/>
            <w:vMerge/>
          </w:tcPr>
          <w:p w14:paraId="325DA3FC" w14:textId="77777777" w:rsidR="00454A29" w:rsidRDefault="00454A29"/>
        </w:tc>
        <w:tc>
          <w:tcPr>
            <w:tcW w:w="1701" w:type="dxa"/>
            <w:vAlign w:val="center"/>
          </w:tcPr>
          <w:p w14:paraId="4D68CF71" w14:textId="77777777" w:rsidR="00454A29" w:rsidRDefault="00454A29">
            <w:pPr>
              <w:pStyle w:val="ConsPlusNormal"/>
              <w:jc w:val="center"/>
            </w:pPr>
            <w:r>
              <w:t>2022</w:t>
            </w:r>
          </w:p>
        </w:tc>
        <w:tc>
          <w:tcPr>
            <w:tcW w:w="1417" w:type="dxa"/>
            <w:vMerge/>
          </w:tcPr>
          <w:p w14:paraId="48EAF42C" w14:textId="77777777" w:rsidR="00454A29" w:rsidRDefault="00454A29"/>
        </w:tc>
        <w:tc>
          <w:tcPr>
            <w:tcW w:w="2204" w:type="dxa"/>
            <w:vMerge/>
          </w:tcPr>
          <w:p w14:paraId="78A618D1" w14:textId="77777777" w:rsidR="00454A29" w:rsidRDefault="00454A29"/>
        </w:tc>
        <w:tc>
          <w:tcPr>
            <w:tcW w:w="1417" w:type="dxa"/>
            <w:vMerge/>
          </w:tcPr>
          <w:p w14:paraId="17130C27" w14:textId="77777777" w:rsidR="00454A29" w:rsidRDefault="00454A29"/>
        </w:tc>
        <w:tc>
          <w:tcPr>
            <w:tcW w:w="2324" w:type="dxa"/>
            <w:vMerge/>
          </w:tcPr>
          <w:p w14:paraId="50C60251" w14:textId="77777777" w:rsidR="00454A29" w:rsidRDefault="00454A29"/>
        </w:tc>
        <w:tc>
          <w:tcPr>
            <w:tcW w:w="1701" w:type="dxa"/>
            <w:vAlign w:val="center"/>
          </w:tcPr>
          <w:p w14:paraId="5753C892" w14:textId="77777777" w:rsidR="00454A29" w:rsidRDefault="00454A29">
            <w:pPr>
              <w:pStyle w:val="ConsPlusNormal"/>
            </w:pPr>
          </w:p>
        </w:tc>
        <w:tc>
          <w:tcPr>
            <w:tcW w:w="1814" w:type="dxa"/>
            <w:vAlign w:val="center"/>
          </w:tcPr>
          <w:p w14:paraId="44427F80" w14:textId="77777777" w:rsidR="00454A29" w:rsidRDefault="00454A29">
            <w:pPr>
              <w:pStyle w:val="ConsPlusNormal"/>
            </w:pPr>
          </w:p>
        </w:tc>
        <w:tc>
          <w:tcPr>
            <w:tcW w:w="1701" w:type="dxa"/>
            <w:vAlign w:val="center"/>
          </w:tcPr>
          <w:p w14:paraId="46223202" w14:textId="77777777" w:rsidR="00454A29" w:rsidRDefault="00454A29">
            <w:pPr>
              <w:pStyle w:val="ConsPlusNormal"/>
            </w:pPr>
          </w:p>
        </w:tc>
        <w:tc>
          <w:tcPr>
            <w:tcW w:w="1701" w:type="dxa"/>
            <w:vAlign w:val="center"/>
          </w:tcPr>
          <w:p w14:paraId="28E54EC5" w14:textId="77777777" w:rsidR="00454A29" w:rsidRDefault="00454A29">
            <w:pPr>
              <w:pStyle w:val="ConsPlusNormal"/>
            </w:pPr>
          </w:p>
        </w:tc>
        <w:tc>
          <w:tcPr>
            <w:tcW w:w="1814" w:type="dxa"/>
            <w:vAlign w:val="center"/>
          </w:tcPr>
          <w:p w14:paraId="000B9F75" w14:textId="77777777" w:rsidR="00454A29" w:rsidRDefault="00454A29">
            <w:pPr>
              <w:pStyle w:val="ConsPlusNormal"/>
            </w:pPr>
          </w:p>
        </w:tc>
      </w:tr>
      <w:tr w:rsidR="00454A29" w14:paraId="22E45E52" w14:textId="77777777">
        <w:tc>
          <w:tcPr>
            <w:tcW w:w="567" w:type="dxa"/>
            <w:vMerge/>
          </w:tcPr>
          <w:p w14:paraId="2DF49192" w14:textId="77777777" w:rsidR="00454A29" w:rsidRDefault="00454A29"/>
        </w:tc>
        <w:tc>
          <w:tcPr>
            <w:tcW w:w="3345" w:type="dxa"/>
            <w:vMerge/>
          </w:tcPr>
          <w:p w14:paraId="1A8148DC" w14:textId="77777777" w:rsidR="00454A29" w:rsidRDefault="00454A29"/>
        </w:tc>
        <w:tc>
          <w:tcPr>
            <w:tcW w:w="1701" w:type="dxa"/>
            <w:vAlign w:val="center"/>
          </w:tcPr>
          <w:p w14:paraId="6CD4E9F3" w14:textId="77777777" w:rsidR="00454A29" w:rsidRDefault="00454A29">
            <w:pPr>
              <w:pStyle w:val="ConsPlusNormal"/>
              <w:jc w:val="center"/>
            </w:pPr>
            <w:r>
              <w:t>2023</w:t>
            </w:r>
          </w:p>
        </w:tc>
        <w:tc>
          <w:tcPr>
            <w:tcW w:w="1417" w:type="dxa"/>
            <w:vMerge/>
          </w:tcPr>
          <w:p w14:paraId="3F1FFACD" w14:textId="77777777" w:rsidR="00454A29" w:rsidRDefault="00454A29"/>
        </w:tc>
        <w:tc>
          <w:tcPr>
            <w:tcW w:w="2204" w:type="dxa"/>
            <w:vMerge/>
          </w:tcPr>
          <w:p w14:paraId="48E55720" w14:textId="77777777" w:rsidR="00454A29" w:rsidRDefault="00454A29"/>
        </w:tc>
        <w:tc>
          <w:tcPr>
            <w:tcW w:w="1417" w:type="dxa"/>
            <w:vMerge/>
          </w:tcPr>
          <w:p w14:paraId="214C397F" w14:textId="77777777" w:rsidR="00454A29" w:rsidRDefault="00454A29"/>
        </w:tc>
        <w:tc>
          <w:tcPr>
            <w:tcW w:w="2324" w:type="dxa"/>
            <w:vMerge/>
          </w:tcPr>
          <w:p w14:paraId="044692EF" w14:textId="77777777" w:rsidR="00454A29" w:rsidRDefault="00454A29"/>
        </w:tc>
        <w:tc>
          <w:tcPr>
            <w:tcW w:w="1701" w:type="dxa"/>
            <w:vAlign w:val="center"/>
          </w:tcPr>
          <w:p w14:paraId="227F8D7A" w14:textId="77777777" w:rsidR="00454A29" w:rsidRDefault="00454A29">
            <w:pPr>
              <w:pStyle w:val="ConsPlusNormal"/>
            </w:pPr>
          </w:p>
        </w:tc>
        <w:tc>
          <w:tcPr>
            <w:tcW w:w="1814" w:type="dxa"/>
            <w:vAlign w:val="center"/>
          </w:tcPr>
          <w:p w14:paraId="12635312" w14:textId="77777777" w:rsidR="00454A29" w:rsidRDefault="00454A29">
            <w:pPr>
              <w:pStyle w:val="ConsPlusNormal"/>
            </w:pPr>
          </w:p>
        </w:tc>
        <w:tc>
          <w:tcPr>
            <w:tcW w:w="1701" w:type="dxa"/>
            <w:vAlign w:val="center"/>
          </w:tcPr>
          <w:p w14:paraId="0776938A" w14:textId="77777777" w:rsidR="00454A29" w:rsidRDefault="00454A29">
            <w:pPr>
              <w:pStyle w:val="ConsPlusNormal"/>
            </w:pPr>
          </w:p>
        </w:tc>
        <w:tc>
          <w:tcPr>
            <w:tcW w:w="1701" w:type="dxa"/>
            <w:vAlign w:val="center"/>
          </w:tcPr>
          <w:p w14:paraId="6B06B8DF" w14:textId="77777777" w:rsidR="00454A29" w:rsidRDefault="00454A29">
            <w:pPr>
              <w:pStyle w:val="ConsPlusNormal"/>
            </w:pPr>
          </w:p>
        </w:tc>
        <w:tc>
          <w:tcPr>
            <w:tcW w:w="1814" w:type="dxa"/>
            <w:vAlign w:val="center"/>
          </w:tcPr>
          <w:p w14:paraId="7BEF3580" w14:textId="77777777" w:rsidR="00454A29" w:rsidRDefault="00454A29">
            <w:pPr>
              <w:pStyle w:val="ConsPlusNormal"/>
            </w:pPr>
          </w:p>
        </w:tc>
      </w:tr>
      <w:tr w:rsidR="00454A29" w14:paraId="491010A1" w14:textId="77777777">
        <w:tc>
          <w:tcPr>
            <w:tcW w:w="567" w:type="dxa"/>
            <w:vMerge/>
          </w:tcPr>
          <w:p w14:paraId="2E033C24" w14:textId="77777777" w:rsidR="00454A29" w:rsidRDefault="00454A29"/>
        </w:tc>
        <w:tc>
          <w:tcPr>
            <w:tcW w:w="3345" w:type="dxa"/>
            <w:vMerge/>
          </w:tcPr>
          <w:p w14:paraId="4D270E70" w14:textId="77777777" w:rsidR="00454A29" w:rsidRDefault="00454A29"/>
        </w:tc>
        <w:tc>
          <w:tcPr>
            <w:tcW w:w="1701" w:type="dxa"/>
            <w:vAlign w:val="center"/>
          </w:tcPr>
          <w:p w14:paraId="6E61C4F6" w14:textId="77777777" w:rsidR="00454A29" w:rsidRDefault="00454A29">
            <w:pPr>
              <w:pStyle w:val="ConsPlusNormal"/>
              <w:jc w:val="center"/>
            </w:pPr>
            <w:r>
              <w:t>2024</w:t>
            </w:r>
          </w:p>
        </w:tc>
        <w:tc>
          <w:tcPr>
            <w:tcW w:w="1417" w:type="dxa"/>
            <w:vMerge/>
          </w:tcPr>
          <w:p w14:paraId="37CE0F3F" w14:textId="77777777" w:rsidR="00454A29" w:rsidRDefault="00454A29"/>
        </w:tc>
        <w:tc>
          <w:tcPr>
            <w:tcW w:w="2204" w:type="dxa"/>
            <w:vMerge/>
          </w:tcPr>
          <w:p w14:paraId="772BC3B8" w14:textId="77777777" w:rsidR="00454A29" w:rsidRDefault="00454A29"/>
        </w:tc>
        <w:tc>
          <w:tcPr>
            <w:tcW w:w="1417" w:type="dxa"/>
            <w:vMerge/>
          </w:tcPr>
          <w:p w14:paraId="65004FE5" w14:textId="77777777" w:rsidR="00454A29" w:rsidRDefault="00454A29"/>
        </w:tc>
        <w:tc>
          <w:tcPr>
            <w:tcW w:w="2324" w:type="dxa"/>
            <w:vMerge/>
          </w:tcPr>
          <w:p w14:paraId="5805ED51" w14:textId="77777777" w:rsidR="00454A29" w:rsidRDefault="00454A29"/>
        </w:tc>
        <w:tc>
          <w:tcPr>
            <w:tcW w:w="1701" w:type="dxa"/>
            <w:vAlign w:val="center"/>
          </w:tcPr>
          <w:p w14:paraId="766E1031" w14:textId="77777777" w:rsidR="00454A29" w:rsidRDefault="00454A29">
            <w:pPr>
              <w:pStyle w:val="ConsPlusNormal"/>
            </w:pPr>
          </w:p>
        </w:tc>
        <w:tc>
          <w:tcPr>
            <w:tcW w:w="1814" w:type="dxa"/>
            <w:vAlign w:val="center"/>
          </w:tcPr>
          <w:p w14:paraId="77702AD9" w14:textId="77777777" w:rsidR="00454A29" w:rsidRDefault="00454A29">
            <w:pPr>
              <w:pStyle w:val="ConsPlusNormal"/>
            </w:pPr>
          </w:p>
        </w:tc>
        <w:tc>
          <w:tcPr>
            <w:tcW w:w="1701" w:type="dxa"/>
            <w:vAlign w:val="center"/>
          </w:tcPr>
          <w:p w14:paraId="2528BB33" w14:textId="77777777" w:rsidR="00454A29" w:rsidRDefault="00454A29">
            <w:pPr>
              <w:pStyle w:val="ConsPlusNormal"/>
            </w:pPr>
          </w:p>
        </w:tc>
        <w:tc>
          <w:tcPr>
            <w:tcW w:w="1701" w:type="dxa"/>
            <w:vAlign w:val="center"/>
          </w:tcPr>
          <w:p w14:paraId="26A24A74" w14:textId="77777777" w:rsidR="00454A29" w:rsidRDefault="00454A29">
            <w:pPr>
              <w:pStyle w:val="ConsPlusNormal"/>
            </w:pPr>
          </w:p>
        </w:tc>
        <w:tc>
          <w:tcPr>
            <w:tcW w:w="1814" w:type="dxa"/>
            <w:vAlign w:val="center"/>
          </w:tcPr>
          <w:p w14:paraId="3B0EFD16" w14:textId="77777777" w:rsidR="00454A29" w:rsidRDefault="00454A29">
            <w:pPr>
              <w:pStyle w:val="ConsPlusNormal"/>
            </w:pPr>
          </w:p>
        </w:tc>
      </w:tr>
      <w:tr w:rsidR="00454A29" w14:paraId="583A60C3" w14:textId="77777777">
        <w:tc>
          <w:tcPr>
            <w:tcW w:w="567" w:type="dxa"/>
            <w:vMerge/>
          </w:tcPr>
          <w:p w14:paraId="085ACFF3" w14:textId="77777777" w:rsidR="00454A29" w:rsidRDefault="00454A29"/>
        </w:tc>
        <w:tc>
          <w:tcPr>
            <w:tcW w:w="3345" w:type="dxa"/>
            <w:vMerge/>
          </w:tcPr>
          <w:p w14:paraId="1EE8607E" w14:textId="77777777" w:rsidR="00454A29" w:rsidRDefault="00454A29"/>
        </w:tc>
        <w:tc>
          <w:tcPr>
            <w:tcW w:w="1701" w:type="dxa"/>
            <w:vAlign w:val="center"/>
          </w:tcPr>
          <w:p w14:paraId="53CA72A0" w14:textId="77777777" w:rsidR="00454A29" w:rsidRDefault="00454A29">
            <w:pPr>
              <w:pStyle w:val="ConsPlusNormal"/>
              <w:jc w:val="center"/>
            </w:pPr>
            <w:r>
              <w:t>2025</w:t>
            </w:r>
          </w:p>
        </w:tc>
        <w:tc>
          <w:tcPr>
            <w:tcW w:w="1417" w:type="dxa"/>
            <w:vMerge/>
          </w:tcPr>
          <w:p w14:paraId="189C4E73" w14:textId="77777777" w:rsidR="00454A29" w:rsidRDefault="00454A29"/>
        </w:tc>
        <w:tc>
          <w:tcPr>
            <w:tcW w:w="2204" w:type="dxa"/>
            <w:vMerge/>
          </w:tcPr>
          <w:p w14:paraId="3F7A61F3" w14:textId="77777777" w:rsidR="00454A29" w:rsidRDefault="00454A29"/>
        </w:tc>
        <w:tc>
          <w:tcPr>
            <w:tcW w:w="1417" w:type="dxa"/>
            <w:vMerge/>
          </w:tcPr>
          <w:p w14:paraId="550C8EC1" w14:textId="77777777" w:rsidR="00454A29" w:rsidRDefault="00454A29"/>
        </w:tc>
        <w:tc>
          <w:tcPr>
            <w:tcW w:w="2324" w:type="dxa"/>
            <w:vMerge/>
          </w:tcPr>
          <w:p w14:paraId="5DCD5608" w14:textId="77777777" w:rsidR="00454A29" w:rsidRDefault="00454A29"/>
        </w:tc>
        <w:tc>
          <w:tcPr>
            <w:tcW w:w="1701" w:type="dxa"/>
            <w:vAlign w:val="center"/>
          </w:tcPr>
          <w:p w14:paraId="296A5B88" w14:textId="77777777" w:rsidR="00454A29" w:rsidRDefault="00454A29">
            <w:pPr>
              <w:pStyle w:val="ConsPlusNormal"/>
            </w:pPr>
          </w:p>
        </w:tc>
        <w:tc>
          <w:tcPr>
            <w:tcW w:w="1814" w:type="dxa"/>
            <w:vAlign w:val="center"/>
          </w:tcPr>
          <w:p w14:paraId="70463616" w14:textId="77777777" w:rsidR="00454A29" w:rsidRDefault="00454A29">
            <w:pPr>
              <w:pStyle w:val="ConsPlusNormal"/>
            </w:pPr>
          </w:p>
        </w:tc>
        <w:tc>
          <w:tcPr>
            <w:tcW w:w="1701" w:type="dxa"/>
            <w:vAlign w:val="center"/>
          </w:tcPr>
          <w:p w14:paraId="5095E759" w14:textId="77777777" w:rsidR="00454A29" w:rsidRDefault="00454A29">
            <w:pPr>
              <w:pStyle w:val="ConsPlusNormal"/>
            </w:pPr>
          </w:p>
        </w:tc>
        <w:tc>
          <w:tcPr>
            <w:tcW w:w="1701" w:type="dxa"/>
            <w:vAlign w:val="center"/>
          </w:tcPr>
          <w:p w14:paraId="21D916D4" w14:textId="77777777" w:rsidR="00454A29" w:rsidRDefault="00454A29">
            <w:pPr>
              <w:pStyle w:val="ConsPlusNormal"/>
            </w:pPr>
          </w:p>
        </w:tc>
        <w:tc>
          <w:tcPr>
            <w:tcW w:w="1814" w:type="dxa"/>
            <w:vAlign w:val="center"/>
          </w:tcPr>
          <w:p w14:paraId="204D8029" w14:textId="77777777" w:rsidR="00454A29" w:rsidRDefault="00454A29">
            <w:pPr>
              <w:pStyle w:val="ConsPlusNormal"/>
            </w:pPr>
          </w:p>
        </w:tc>
      </w:tr>
      <w:tr w:rsidR="00454A29" w14:paraId="6D07F374" w14:textId="77777777">
        <w:tc>
          <w:tcPr>
            <w:tcW w:w="567" w:type="dxa"/>
            <w:vMerge/>
          </w:tcPr>
          <w:p w14:paraId="529EF7B3" w14:textId="77777777" w:rsidR="00454A29" w:rsidRDefault="00454A29"/>
        </w:tc>
        <w:tc>
          <w:tcPr>
            <w:tcW w:w="3345" w:type="dxa"/>
            <w:vMerge/>
          </w:tcPr>
          <w:p w14:paraId="37916638" w14:textId="77777777" w:rsidR="00454A29" w:rsidRDefault="00454A29"/>
        </w:tc>
        <w:tc>
          <w:tcPr>
            <w:tcW w:w="1701" w:type="dxa"/>
            <w:vAlign w:val="center"/>
          </w:tcPr>
          <w:p w14:paraId="600B442A" w14:textId="77777777" w:rsidR="00454A29" w:rsidRDefault="00454A29">
            <w:pPr>
              <w:pStyle w:val="ConsPlusNormal"/>
              <w:jc w:val="center"/>
            </w:pPr>
            <w:r>
              <w:t>2026</w:t>
            </w:r>
          </w:p>
        </w:tc>
        <w:tc>
          <w:tcPr>
            <w:tcW w:w="1417" w:type="dxa"/>
            <w:vMerge/>
          </w:tcPr>
          <w:p w14:paraId="2B42E696" w14:textId="77777777" w:rsidR="00454A29" w:rsidRDefault="00454A29"/>
        </w:tc>
        <w:tc>
          <w:tcPr>
            <w:tcW w:w="2204" w:type="dxa"/>
            <w:vMerge/>
          </w:tcPr>
          <w:p w14:paraId="4094CE7A" w14:textId="77777777" w:rsidR="00454A29" w:rsidRDefault="00454A29"/>
        </w:tc>
        <w:tc>
          <w:tcPr>
            <w:tcW w:w="1417" w:type="dxa"/>
            <w:vMerge/>
          </w:tcPr>
          <w:p w14:paraId="27C1EAD3" w14:textId="77777777" w:rsidR="00454A29" w:rsidRDefault="00454A29"/>
        </w:tc>
        <w:tc>
          <w:tcPr>
            <w:tcW w:w="2324" w:type="dxa"/>
            <w:vMerge/>
          </w:tcPr>
          <w:p w14:paraId="555A6596" w14:textId="77777777" w:rsidR="00454A29" w:rsidRDefault="00454A29"/>
        </w:tc>
        <w:tc>
          <w:tcPr>
            <w:tcW w:w="1701" w:type="dxa"/>
            <w:vAlign w:val="center"/>
          </w:tcPr>
          <w:p w14:paraId="07F80988" w14:textId="77777777" w:rsidR="00454A29" w:rsidRDefault="00454A29">
            <w:pPr>
              <w:pStyle w:val="ConsPlusNormal"/>
              <w:jc w:val="center"/>
            </w:pPr>
            <w:r>
              <w:t>414 708,39</w:t>
            </w:r>
          </w:p>
        </w:tc>
        <w:tc>
          <w:tcPr>
            <w:tcW w:w="1814" w:type="dxa"/>
            <w:vAlign w:val="center"/>
          </w:tcPr>
          <w:p w14:paraId="5192584F" w14:textId="77777777" w:rsidR="00454A29" w:rsidRDefault="00454A29">
            <w:pPr>
              <w:pStyle w:val="ConsPlusNormal"/>
              <w:jc w:val="center"/>
            </w:pPr>
            <w:r>
              <w:t>5 109,20</w:t>
            </w:r>
          </w:p>
        </w:tc>
        <w:tc>
          <w:tcPr>
            <w:tcW w:w="1701" w:type="dxa"/>
            <w:vAlign w:val="center"/>
          </w:tcPr>
          <w:p w14:paraId="7652A77C" w14:textId="77777777" w:rsidR="00454A29" w:rsidRDefault="00454A29">
            <w:pPr>
              <w:pStyle w:val="ConsPlusNormal"/>
              <w:jc w:val="center"/>
            </w:pPr>
            <w:r>
              <w:t>505 811,53</w:t>
            </w:r>
          </w:p>
        </w:tc>
        <w:tc>
          <w:tcPr>
            <w:tcW w:w="1701" w:type="dxa"/>
            <w:vAlign w:val="center"/>
          </w:tcPr>
          <w:p w14:paraId="5BF0499D" w14:textId="77777777" w:rsidR="00454A29" w:rsidRDefault="00454A29">
            <w:pPr>
              <w:pStyle w:val="ConsPlusNormal"/>
            </w:pPr>
          </w:p>
        </w:tc>
        <w:tc>
          <w:tcPr>
            <w:tcW w:w="1814" w:type="dxa"/>
            <w:vAlign w:val="center"/>
          </w:tcPr>
          <w:p w14:paraId="2C44F8C2" w14:textId="77777777" w:rsidR="00454A29" w:rsidRDefault="00454A29">
            <w:pPr>
              <w:pStyle w:val="ConsPlusNormal"/>
            </w:pPr>
          </w:p>
        </w:tc>
      </w:tr>
      <w:tr w:rsidR="00454A29" w14:paraId="14D66084" w14:textId="77777777">
        <w:tc>
          <w:tcPr>
            <w:tcW w:w="567" w:type="dxa"/>
            <w:vMerge w:val="restart"/>
            <w:vAlign w:val="center"/>
          </w:tcPr>
          <w:p w14:paraId="6513A632" w14:textId="77777777" w:rsidR="00454A29" w:rsidRDefault="00454A29">
            <w:pPr>
              <w:pStyle w:val="ConsPlusNormal"/>
              <w:jc w:val="center"/>
            </w:pPr>
            <w:r>
              <w:t>57</w:t>
            </w:r>
          </w:p>
        </w:tc>
        <w:tc>
          <w:tcPr>
            <w:tcW w:w="3345" w:type="dxa"/>
            <w:vMerge w:val="restart"/>
            <w:vAlign w:val="center"/>
          </w:tcPr>
          <w:p w14:paraId="3DDBAC26" w14:textId="77777777" w:rsidR="00454A29" w:rsidRDefault="00454A29">
            <w:pPr>
              <w:pStyle w:val="ConsPlusNormal"/>
              <w:jc w:val="center"/>
            </w:pPr>
            <w:r>
              <w:t>Школа на 600 учащихся в с. Жиганск</w:t>
            </w:r>
          </w:p>
        </w:tc>
        <w:tc>
          <w:tcPr>
            <w:tcW w:w="1701" w:type="dxa"/>
            <w:vAlign w:val="center"/>
          </w:tcPr>
          <w:p w14:paraId="2F67FB6F" w14:textId="77777777" w:rsidR="00454A29" w:rsidRDefault="00454A29">
            <w:pPr>
              <w:pStyle w:val="ConsPlusNormal"/>
              <w:jc w:val="center"/>
            </w:pPr>
            <w:r>
              <w:t>2020 - 2026 годы - всего</w:t>
            </w:r>
          </w:p>
        </w:tc>
        <w:tc>
          <w:tcPr>
            <w:tcW w:w="1417" w:type="dxa"/>
            <w:vMerge w:val="restart"/>
            <w:vAlign w:val="center"/>
          </w:tcPr>
          <w:p w14:paraId="43258BB2" w14:textId="77777777" w:rsidR="00454A29" w:rsidRDefault="00454A29">
            <w:pPr>
              <w:pStyle w:val="ConsPlusNormal"/>
              <w:jc w:val="center"/>
            </w:pPr>
            <w:r>
              <w:t>973 376,21</w:t>
            </w:r>
          </w:p>
        </w:tc>
        <w:tc>
          <w:tcPr>
            <w:tcW w:w="2204" w:type="dxa"/>
            <w:vMerge w:val="restart"/>
            <w:vAlign w:val="center"/>
          </w:tcPr>
          <w:p w14:paraId="126CF240" w14:textId="77777777" w:rsidR="00454A29" w:rsidRDefault="00454A29">
            <w:pPr>
              <w:pStyle w:val="ConsPlusNormal"/>
            </w:pPr>
          </w:p>
        </w:tc>
        <w:tc>
          <w:tcPr>
            <w:tcW w:w="1417" w:type="dxa"/>
            <w:vMerge w:val="restart"/>
            <w:vAlign w:val="center"/>
          </w:tcPr>
          <w:p w14:paraId="789638C5" w14:textId="77777777" w:rsidR="00454A29" w:rsidRDefault="00454A29">
            <w:pPr>
              <w:pStyle w:val="ConsPlusNormal"/>
              <w:jc w:val="center"/>
            </w:pPr>
            <w:r>
              <w:t>600</w:t>
            </w:r>
          </w:p>
        </w:tc>
        <w:tc>
          <w:tcPr>
            <w:tcW w:w="2324" w:type="dxa"/>
            <w:vMerge w:val="restart"/>
            <w:vAlign w:val="center"/>
          </w:tcPr>
          <w:p w14:paraId="360CCE42"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24519B03" w14:textId="77777777" w:rsidR="00454A29" w:rsidRDefault="00454A29">
            <w:pPr>
              <w:pStyle w:val="ConsPlusNormal"/>
              <w:jc w:val="center"/>
            </w:pPr>
            <w:r>
              <w:lastRenderedPageBreak/>
              <w:t>973 376,21</w:t>
            </w:r>
          </w:p>
        </w:tc>
        <w:tc>
          <w:tcPr>
            <w:tcW w:w="1814" w:type="dxa"/>
            <w:vAlign w:val="center"/>
          </w:tcPr>
          <w:p w14:paraId="69B47E2E" w14:textId="77777777" w:rsidR="00454A29" w:rsidRDefault="00454A29">
            <w:pPr>
              <w:pStyle w:val="ConsPlusNormal"/>
              <w:jc w:val="center"/>
            </w:pPr>
            <w:r>
              <w:t>12 313,22</w:t>
            </w:r>
          </w:p>
        </w:tc>
        <w:tc>
          <w:tcPr>
            <w:tcW w:w="1701" w:type="dxa"/>
            <w:vAlign w:val="center"/>
          </w:tcPr>
          <w:p w14:paraId="4C599E7A" w14:textId="77777777" w:rsidR="00454A29" w:rsidRDefault="00454A29">
            <w:pPr>
              <w:pStyle w:val="ConsPlusNormal"/>
              <w:jc w:val="center"/>
            </w:pPr>
            <w:r>
              <w:t>1 219 007,70</w:t>
            </w:r>
          </w:p>
        </w:tc>
        <w:tc>
          <w:tcPr>
            <w:tcW w:w="1701" w:type="dxa"/>
            <w:vAlign w:val="center"/>
          </w:tcPr>
          <w:p w14:paraId="25217A26" w14:textId="77777777" w:rsidR="00454A29" w:rsidRDefault="00454A29">
            <w:pPr>
              <w:pStyle w:val="ConsPlusNormal"/>
              <w:jc w:val="center"/>
            </w:pPr>
            <w:r>
              <w:t>-</w:t>
            </w:r>
          </w:p>
        </w:tc>
        <w:tc>
          <w:tcPr>
            <w:tcW w:w="1814" w:type="dxa"/>
            <w:vAlign w:val="center"/>
          </w:tcPr>
          <w:p w14:paraId="1057D6C1" w14:textId="77777777" w:rsidR="00454A29" w:rsidRDefault="00454A29">
            <w:pPr>
              <w:pStyle w:val="ConsPlusNormal"/>
              <w:jc w:val="center"/>
            </w:pPr>
            <w:r>
              <w:t>-</w:t>
            </w:r>
          </w:p>
        </w:tc>
      </w:tr>
      <w:tr w:rsidR="00454A29" w14:paraId="0A95670B" w14:textId="77777777">
        <w:tc>
          <w:tcPr>
            <w:tcW w:w="567" w:type="dxa"/>
            <w:vMerge/>
          </w:tcPr>
          <w:p w14:paraId="7F41567B" w14:textId="77777777" w:rsidR="00454A29" w:rsidRDefault="00454A29"/>
        </w:tc>
        <w:tc>
          <w:tcPr>
            <w:tcW w:w="3345" w:type="dxa"/>
            <w:vMerge/>
          </w:tcPr>
          <w:p w14:paraId="089FA52C" w14:textId="77777777" w:rsidR="00454A29" w:rsidRDefault="00454A29"/>
        </w:tc>
        <w:tc>
          <w:tcPr>
            <w:tcW w:w="1701" w:type="dxa"/>
            <w:vAlign w:val="center"/>
          </w:tcPr>
          <w:p w14:paraId="6F903F74" w14:textId="77777777" w:rsidR="00454A29" w:rsidRDefault="00454A29">
            <w:pPr>
              <w:pStyle w:val="ConsPlusNormal"/>
              <w:jc w:val="center"/>
            </w:pPr>
            <w:r>
              <w:t>2020</w:t>
            </w:r>
          </w:p>
        </w:tc>
        <w:tc>
          <w:tcPr>
            <w:tcW w:w="1417" w:type="dxa"/>
            <w:vMerge/>
          </w:tcPr>
          <w:p w14:paraId="0BDF475F" w14:textId="77777777" w:rsidR="00454A29" w:rsidRDefault="00454A29"/>
        </w:tc>
        <w:tc>
          <w:tcPr>
            <w:tcW w:w="2204" w:type="dxa"/>
            <w:vMerge/>
          </w:tcPr>
          <w:p w14:paraId="0FC1AF4D" w14:textId="77777777" w:rsidR="00454A29" w:rsidRDefault="00454A29"/>
        </w:tc>
        <w:tc>
          <w:tcPr>
            <w:tcW w:w="1417" w:type="dxa"/>
            <w:vMerge/>
          </w:tcPr>
          <w:p w14:paraId="146EE1C3" w14:textId="77777777" w:rsidR="00454A29" w:rsidRDefault="00454A29"/>
        </w:tc>
        <w:tc>
          <w:tcPr>
            <w:tcW w:w="2324" w:type="dxa"/>
            <w:vMerge/>
          </w:tcPr>
          <w:p w14:paraId="7CD79F92" w14:textId="77777777" w:rsidR="00454A29" w:rsidRDefault="00454A29"/>
        </w:tc>
        <w:tc>
          <w:tcPr>
            <w:tcW w:w="1701" w:type="dxa"/>
            <w:vAlign w:val="center"/>
          </w:tcPr>
          <w:p w14:paraId="7711AAE8" w14:textId="77777777" w:rsidR="00454A29" w:rsidRDefault="00454A29">
            <w:pPr>
              <w:pStyle w:val="ConsPlusNormal"/>
            </w:pPr>
          </w:p>
        </w:tc>
        <w:tc>
          <w:tcPr>
            <w:tcW w:w="1814" w:type="dxa"/>
            <w:vAlign w:val="center"/>
          </w:tcPr>
          <w:p w14:paraId="7BD684AF" w14:textId="77777777" w:rsidR="00454A29" w:rsidRDefault="00454A29">
            <w:pPr>
              <w:pStyle w:val="ConsPlusNormal"/>
            </w:pPr>
          </w:p>
        </w:tc>
        <w:tc>
          <w:tcPr>
            <w:tcW w:w="1701" w:type="dxa"/>
            <w:vAlign w:val="center"/>
          </w:tcPr>
          <w:p w14:paraId="6FAD17E5" w14:textId="77777777" w:rsidR="00454A29" w:rsidRDefault="00454A29">
            <w:pPr>
              <w:pStyle w:val="ConsPlusNormal"/>
            </w:pPr>
          </w:p>
        </w:tc>
        <w:tc>
          <w:tcPr>
            <w:tcW w:w="1701" w:type="dxa"/>
            <w:vAlign w:val="center"/>
          </w:tcPr>
          <w:p w14:paraId="5E7AA2CD" w14:textId="77777777" w:rsidR="00454A29" w:rsidRDefault="00454A29">
            <w:pPr>
              <w:pStyle w:val="ConsPlusNormal"/>
            </w:pPr>
          </w:p>
        </w:tc>
        <w:tc>
          <w:tcPr>
            <w:tcW w:w="1814" w:type="dxa"/>
            <w:vAlign w:val="center"/>
          </w:tcPr>
          <w:p w14:paraId="21C480FE" w14:textId="77777777" w:rsidR="00454A29" w:rsidRDefault="00454A29">
            <w:pPr>
              <w:pStyle w:val="ConsPlusNormal"/>
            </w:pPr>
          </w:p>
        </w:tc>
      </w:tr>
      <w:tr w:rsidR="00454A29" w14:paraId="2D192397" w14:textId="77777777">
        <w:tc>
          <w:tcPr>
            <w:tcW w:w="567" w:type="dxa"/>
            <w:vMerge/>
          </w:tcPr>
          <w:p w14:paraId="209ED183" w14:textId="77777777" w:rsidR="00454A29" w:rsidRDefault="00454A29"/>
        </w:tc>
        <w:tc>
          <w:tcPr>
            <w:tcW w:w="3345" w:type="dxa"/>
            <w:vMerge/>
          </w:tcPr>
          <w:p w14:paraId="07D85121" w14:textId="77777777" w:rsidR="00454A29" w:rsidRDefault="00454A29"/>
        </w:tc>
        <w:tc>
          <w:tcPr>
            <w:tcW w:w="1701" w:type="dxa"/>
            <w:vAlign w:val="center"/>
          </w:tcPr>
          <w:p w14:paraId="10AD1DDB" w14:textId="77777777" w:rsidR="00454A29" w:rsidRDefault="00454A29">
            <w:pPr>
              <w:pStyle w:val="ConsPlusNormal"/>
              <w:jc w:val="center"/>
            </w:pPr>
            <w:r>
              <w:t>2021</w:t>
            </w:r>
          </w:p>
        </w:tc>
        <w:tc>
          <w:tcPr>
            <w:tcW w:w="1417" w:type="dxa"/>
            <w:vMerge/>
          </w:tcPr>
          <w:p w14:paraId="5C5F1D3E" w14:textId="77777777" w:rsidR="00454A29" w:rsidRDefault="00454A29"/>
        </w:tc>
        <w:tc>
          <w:tcPr>
            <w:tcW w:w="2204" w:type="dxa"/>
            <w:vMerge/>
          </w:tcPr>
          <w:p w14:paraId="47F1C6B0" w14:textId="77777777" w:rsidR="00454A29" w:rsidRDefault="00454A29"/>
        </w:tc>
        <w:tc>
          <w:tcPr>
            <w:tcW w:w="1417" w:type="dxa"/>
            <w:vMerge/>
          </w:tcPr>
          <w:p w14:paraId="21602EBF" w14:textId="77777777" w:rsidR="00454A29" w:rsidRDefault="00454A29"/>
        </w:tc>
        <w:tc>
          <w:tcPr>
            <w:tcW w:w="2324" w:type="dxa"/>
            <w:vMerge/>
          </w:tcPr>
          <w:p w14:paraId="01EE22F1" w14:textId="77777777" w:rsidR="00454A29" w:rsidRDefault="00454A29"/>
        </w:tc>
        <w:tc>
          <w:tcPr>
            <w:tcW w:w="1701" w:type="dxa"/>
            <w:vAlign w:val="center"/>
          </w:tcPr>
          <w:p w14:paraId="27BF2AF4" w14:textId="77777777" w:rsidR="00454A29" w:rsidRDefault="00454A29">
            <w:pPr>
              <w:pStyle w:val="ConsPlusNormal"/>
            </w:pPr>
          </w:p>
        </w:tc>
        <w:tc>
          <w:tcPr>
            <w:tcW w:w="1814" w:type="dxa"/>
            <w:vAlign w:val="center"/>
          </w:tcPr>
          <w:p w14:paraId="6BDF9D58" w14:textId="77777777" w:rsidR="00454A29" w:rsidRDefault="00454A29">
            <w:pPr>
              <w:pStyle w:val="ConsPlusNormal"/>
            </w:pPr>
          </w:p>
        </w:tc>
        <w:tc>
          <w:tcPr>
            <w:tcW w:w="1701" w:type="dxa"/>
            <w:vAlign w:val="center"/>
          </w:tcPr>
          <w:p w14:paraId="7CA42D7B" w14:textId="77777777" w:rsidR="00454A29" w:rsidRDefault="00454A29">
            <w:pPr>
              <w:pStyle w:val="ConsPlusNormal"/>
            </w:pPr>
          </w:p>
        </w:tc>
        <w:tc>
          <w:tcPr>
            <w:tcW w:w="1701" w:type="dxa"/>
            <w:vAlign w:val="center"/>
          </w:tcPr>
          <w:p w14:paraId="4171B2E8" w14:textId="77777777" w:rsidR="00454A29" w:rsidRDefault="00454A29">
            <w:pPr>
              <w:pStyle w:val="ConsPlusNormal"/>
            </w:pPr>
          </w:p>
        </w:tc>
        <w:tc>
          <w:tcPr>
            <w:tcW w:w="1814" w:type="dxa"/>
            <w:vAlign w:val="center"/>
          </w:tcPr>
          <w:p w14:paraId="41E9456C" w14:textId="77777777" w:rsidR="00454A29" w:rsidRDefault="00454A29">
            <w:pPr>
              <w:pStyle w:val="ConsPlusNormal"/>
            </w:pPr>
          </w:p>
        </w:tc>
      </w:tr>
      <w:tr w:rsidR="00454A29" w14:paraId="5E76268E" w14:textId="77777777">
        <w:tc>
          <w:tcPr>
            <w:tcW w:w="567" w:type="dxa"/>
            <w:vMerge/>
          </w:tcPr>
          <w:p w14:paraId="38772C27" w14:textId="77777777" w:rsidR="00454A29" w:rsidRDefault="00454A29"/>
        </w:tc>
        <w:tc>
          <w:tcPr>
            <w:tcW w:w="3345" w:type="dxa"/>
            <w:vMerge/>
          </w:tcPr>
          <w:p w14:paraId="4EE594E8" w14:textId="77777777" w:rsidR="00454A29" w:rsidRDefault="00454A29"/>
        </w:tc>
        <w:tc>
          <w:tcPr>
            <w:tcW w:w="1701" w:type="dxa"/>
            <w:vAlign w:val="center"/>
          </w:tcPr>
          <w:p w14:paraId="588E5FB9" w14:textId="77777777" w:rsidR="00454A29" w:rsidRDefault="00454A29">
            <w:pPr>
              <w:pStyle w:val="ConsPlusNormal"/>
              <w:jc w:val="center"/>
            </w:pPr>
            <w:r>
              <w:t>2022</w:t>
            </w:r>
          </w:p>
        </w:tc>
        <w:tc>
          <w:tcPr>
            <w:tcW w:w="1417" w:type="dxa"/>
            <w:vMerge/>
          </w:tcPr>
          <w:p w14:paraId="68FB1512" w14:textId="77777777" w:rsidR="00454A29" w:rsidRDefault="00454A29"/>
        </w:tc>
        <w:tc>
          <w:tcPr>
            <w:tcW w:w="2204" w:type="dxa"/>
            <w:vMerge/>
          </w:tcPr>
          <w:p w14:paraId="03643DB7" w14:textId="77777777" w:rsidR="00454A29" w:rsidRDefault="00454A29"/>
        </w:tc>
        <w:tc>
          <w:tcPr>
            <w:tcW w:w="1417" w:type="dxa"/>
            <w:vMerge/>
          </w:tcPr>
          <w:p w14:paraId="37A057B8" w14:textId="77777777" w:rsidR="00454A29" w:rsidRDefault="00454A29"/>
        </w:tc>
        <w:tc>
          <w:tcPr>
            <w:tcW w:w="2324" w:type="dxa"/>
            <w:vMerge/>
          </w:tcPr>
          <w:p w14:paraId="1D51F733" w14:textId="77777777" w:rsidR="00454A29" w:rsidRDefault="00454A29"/>
        </w:tc>
        <w:tc>
          <w:tcPr>
            <w:tcW w:w="1701" w:type="dxa"/>
            <w:vAlign w:val="center"/>
          </w:tcPr>
          <w:p w14:paraId="6C8532B2" w14:textId="77777777" w:rsidR="00454A29" w:rsidRDefault="00454A29">
            <w:pPr>
              <w:pStyle w:val="ConsPlusNormal"/>
            </w:pPr>
          </w:p>
        </w:tc>
        <w:tc>
          <w:tcPr>
            <w:tcW w:w="1814" w:type="dxa"/>
            <w:vAlign w:val="center"/>
          </w:tcPr>
          <w:p w14:paraId="4CF6C854" w14:textId="77777777" w:rsidR="00454A29" w:rsidRDefault="00454A29">
            <w:pPr>
              <w:pStyle w:val="ConsPlusNormal"/>
            </w:pPr>
          </w:p>
        </w:tc>
        <w:tc>
          <w:tcPr>
            <w:tcW w:w="1701" w:type="dxa"/>
            <w:vAlign w:val="center"/>
          </w:tcPr>
          <w:p w14:paraId="32702D7C" w14:textId="77777777" w:rsidR="00454A29" w:rsidRDefault="00454A29">
            <w:pPr>
              <w:pStyle w:val="ConsPlusNormal"/>
            </w:pPr>
          </w:p>
        </w:tc>
        <w:tc>
          <w:tcPr>
            <w:tcW w:w="1701" w:type="dxa"/>
            <w:vAlign w:val="center"/>
          </w:tcPr>
          <w:p w14:paraId="148DC843" w14:textId="77777777" w:rsidR="00454A29" w:rsidRDefault="00454A29">
            <w:pPr>
              <w:pStyle w:val="ConsPlusNormal"/>
            </w:pPr>
          </w:p>
        </w:tc>
        <w:tc>
          <w:tcPr>
            <w:tcW w:w="1814" w:type="dxa"/>
            <w:vAlign w:val="center"/>
          </w:tcPr>
          <w:p w14:paraId="1E48807E" w14:textId="77777777" w:rsidR="00454A29" w:rsidRDefault="00454A29">
            <w:pPr>
              <w:pStyle w:val="ConsPlusNormal"/>
            </w:pPr>
          </w:p>
        </w:tc>
      </w:tr>
      <w:tr w:rsidR="00454A29" w14:paraId="406C335D" w14:textId="77777777">
        <w:tc>
          <w:tcPr>
            <w:tcW w:w="567" w:type="dxa"/>
            <w:vMerge/>
          </w:tcPr>
          <w:p w14:paraId="75B20C0B" w14:textId="77777777" w:rsidR="00454A29" w:rsidRDefault="00454A29"/>
        </w:tc>
        <w:tc>
          <w:tcPr>
            <w:tcW w:w="3345" w:type="dxa"/>
            <w:vMerge/>
          </w:tcPr>
          <w:p w14:paraId="4A8508DE" w14:textId="77777777" w:rsidR="00454A29" w:rsidRDefault="00454A29"/>
        </w:tc>
        <w:tc>
          <w:tcPr>
            <w:tcW w:w="1701" w:type="dxa"/>
            <w:vAlign w:val="center"/>
          </w:tcPr>
          <w:p w14:paraId="6CB204B0" w14:textId="77777777" w:rsidR="00454A29" w:rsidRDefault="00454A29">
            <w:pPr>
              <w:pStyle w:val="ConsPlusNormal"/>
              <w:jc w:val="center"/>
            </w:pPr>
            <w:r>
              <w:t>2023</w:t>
            </w:r>
          </w:p>
        </w:tc>
        <w:tc>
          <w:tcPr>
            <w:tcW w:w="1417" w:type="dxa"/>
            <w:vMerge/>
          </w:tcPr>
          <w:p w14:paraId="046ABE31" w14:textId="77777777" w:rsidR="00454A29" w:rsidRDefault="00454A29"/>
        </w:tc>
        <w:tc>
          <w:tcPr>
            <w:tcW w:w="2204" w:type="dxa"/>
            <w:vMerge/>
          </w:tcPr>
          <w:p w14:paraId="0E0F00CC" w14:textId="77777777" w:rsidR="00454A29" w:rsidRDefault="00454A29"/>
        </w:tc>
        <w:tc>
          <w:tcPr>
            <w:tcW w:w="1417" w:type="dxa"/>
            <w:vMerge/>
          </w:tcPr>
          <w:p w14:paraId="709E3EEA" w14:textId="77777777" w:rsidR="00454A29" w:rsidRDefault="00454A29"/>
        </w:tc>
        <w:tc>
          <w:tcPr>
            <w:tcW w:w="2324" w:type="dxa"/>
            <w:vMerge/>
          </w:tcPr>
          <w:p w14:paraId="01E088AE" w14:textId="77777777" w:rsidR="00454A29" w:rsidRDefault="00454A29"/>
        </w:tc>
        <w:tc>
          <w:tcPr>
            <w:tcW w:w="1701" w:type="dxa"/>
            <w:vAlign w:val="center"/>
          </w:tcPr>
          <w:p w14:paraId="1DE81D75" w14:textId="77777777" w:rsidR="00454A29" w:rsidRDefault="00454A29">
            <w:pPr>
              <w:pStyle w:val="ConsPlusNormal"/>
            </w:pPr>
          </w:p>
        </w:tc>
        <w:tc>
          <w:tcPr>
            <w:tcW w:w="1814" w:type="dxa"/>
            <w:vAlign w:val="center"/>
          </w:tcPr>
          <w:p w14:paraId="6CBEC55B" w14:textId="77777777" w:rsidR="00454A29" w:rsidRDefault="00454A29">
            <w:pPr>
              <w:pStyle w:val="ConsPlusNormal"/>
            </w:pPr>
          </w:p>
        </w:tc>
        <w:tc>
          <w:tcPr>
            <w:tcW w:w="1701" w:type="dxa"/>
            <w:vAlign w:val="center"/>
          </w:tcPr>
          <w:p w14:paraId="6DA61936" w14:textId="77777777" w:rsidR="00454A29" w:rsidRDefault="00454A29">
            <w:pPr>
              <w:pStyle w:val="ConsPlusNormal"/>
            </w:pPr>
          </w:p>
        </w:tc>
        <w:tc>
          <w:tcPr>
            <w:tcW w:w="1701" w:type="dxa"/>
            <w:vAlign w:val="center"/>
          </w:tcPr>
          <w:p w14:paraId="18220EDA" w14:textId="77777777" w:rsidR="00454A29" w:rsidRDefault="00454A29">
            <w:pPr>
              <w:pStyle w:val="ConsPlusNormal"/>
            </w:pPr>
          </w:p>
        </w:tc>
        <w:tc>
          <w:tcPr>
            <w:tcW w:w="1814" w:type="dxa"/>
            <w:vAlign w:val="center"/>
          </w:tcPr>
          <w:p w14:paraId="6DA079C4" w14:textId="77777777" w:rsidR="00454A29" w:rsidRDefault="00454A29">
            <w:pPr>
              <w:pStyle w:val="ConsPlusNormal"/>
            </w:pPr>
          </w:p>
        </w:tc>
      </w:tr>
      <w:tr w:rsidR="00454A29" w14:paraId="4E33091D" w14:textId="77777777">
        <w:tc>
          <w:tcPr>
            <w:tcW w:w="567" w:type="dxa"/>
            <w:vMerge/>
          </w:tcPr>
          <w:p w14:paraId="11FB44A4" w14:textId="77777777" w:rsidR="00454A29" w:rsidRDefault="00454A29"/>
        </w:tc>
        <w:tc>
          <w:tcPr>
            <w:tcW w:w="3345" w:type="dxa"/>
            <w:vMerge/>
          </w:tcPr>
          <w:p w14:paraId="6F84F07D" w14:textId="77777777" w:rsidR="00454A29" w:rsidRDefault="00454A29"/>
        </w:tc>
        <w:tc>
          <w:tcPr>
            <w:tcW w:w="1701" w:type="dxa"/>
            <w:vAlign w:val="center"/>
          </w:tcPr>
          <w:p w14:paraId="5A0ACBFE" w14:textId="77777777" w:rsidR="00454A29" w:rsidRDefault="00454A29">
            <w:pPr>
              <w:pStyle w:val="ConsPlusNormal"/>
              <w:jc w:val="center"/>
            </w:pPr>
            <w:r>
              <w:t>2024</w:t>
            </w:r>
          </w:p>
        </w:tc>
        <w:tc>
          <w:tcPr>
            <w:tcW w:w="1417" w:type="dxa"/>
            <w:vMerge/>
          </w:tcPr>
          <w:p w14:paraId="6B40AE5B" w14:textId="77777777" w:rsidR="00454A29" w:rsidRDefault="00454A29"/>
        </w:tc>
        <w:tc>
          <w:tcPr>
            <w:tcW w:w="2204" w:type="dxa"/>
            <w:vMerge/>
          </w:tcPr>
          <w:p w14:paraId="2B6DC628" w14:textId="77777777" w:rsidR="00454A29" w:rsidRDefault="00454A29"/>
        </w:tc>
        <w:tc>
          <w:tcPr>
            <w:tcW w:w="1417" w:type="dxa"/>
            <w:vMerge/>
          </w:tcPr>
          <w:p w14:paraId="2D57B1FE" w14:textId="77777777" w:rsidR="00454A29" w:rsidRDefault="00454A29"/>
        </w:tc>
        <w:tc>
          <w:tcPr>
            <w:tcW w:w="2324" w:type="dxa"/>
            <w:vMerge/>
          </w:tcPr>
          <w:p w14:paraId="18541F5D" w14:textId="77777777" w:rsidR="00454A29" w:rsidRDefault="00454A29"/>
        </w:tc>
        <w:tc>
          <w:tcPr>
            <w:tcW w:w="1701" w:type="dxa"/>
            <w:vAlign w:val="center"/>
          </w:tcPr>
          <w:p w14:paraId="6E43EE33" w14:textId="77777777" w:rsidR="00454A29" w:rsidRDefault="00454A29">
            <w:pPr>
              <w:pStyle w:val="ConsPlusNormal"/>
            </w:pPr>
          </w:p>
        </w:tc>
        <w:tc>
          <w:tcPr>
            <w:tcW w:w="1814" w:type="dxa"/>
            <w:vAlign w:val="center"/>
          </w:tcPr>
          <w:p w14:paraId="3F161C4E" w14:textId="77777777" w:rsidR="00454A29" w:rsidRDefault="00454A29">
            <w:pPr>
              <w:pStyle w:val="ConsPlusNormal"/>
            </w:pPr>
          </w:p>
        </w:tc>
        <w:tc>
          <w:tcPr>
            <w:tcW w:w="1701" w:type="dxa"/>
            <w:vAlign w:val="center"/>
          </w:tcPr>
          <w:p w14:paraId="4E48A6E4" w14:textId="77777777" w:rsidR="00454A29" w:rsidRDefault="00454A29">
            <w:pPr>
              <w:pStyle w:val="ConsPlusNormal"/>
            </w:pPr>
          </w:p>
        </w:tc>
        <w:tc>
          <w:tcPr>
            <w:tcW w:w="1701" w:type="dxa"/>
            <w:vAlign w:val="center"/>
          </w:tcPr>
          <w:p w14:paraId="54374867" w14:textId="77777777" w:rsidR="00454A29" w:rsidRDefault="00454A29">
            <w:pPr>
              <w:pStyle w:val="ConsPlusNormal"/>
            </w:pPr>
          </w:p>
        </w:tc>
        <w:tc>
          <w:tcPr>
            <w:tcW w:w="1814" w:type="dxa"/>
            <w:vAlign w:val="center"/>
          </w:tcPr>
          <w:p w14:paraId="67E16D82" w14:textId="77777777" w:rsidR="00454A29" w:rsidRDefault="00454A29">
            <w:pPr>
              <w:pStyle w:val="ConsPlusNormal"/>
            </w:pPr>
          </w:p>
        </w:tc>
      </w:tr>
      <w:tr w:rsidR="00454A29" w14:paraId="62BB4D1E" w14:textId="77777777">
        <w:tc>
          <w:tcPr>
            <w:tcW w:w="567" w:type="dxa"/>
            <w:vMerge/>
          </w:tcPr>
          <w:p w14:paraId="16F1852A" w14:textId="77777777" w:rsidR="00454A29" w:rsidRDefault="00454A29"/>
        </w:tc>
        <w:tc>
          <w:tcPr>
            <w:tcW w:w="3345" w:type="dxa"/>
            <w:vMerge/>
          </w:tcPr>
          <w:p w14:paraId="4A8E57C0" w14:textId="77777777" w:rsidR="00454A29" w:rsidRDefault="00454A29"/>
        </w:tc>
        <w:tc>
          <w:tcPr>
            <w:tcW w:w="1701" w:type="dxa"/>
            <w:vAlign w:val="center"/>
          </w:tcPr>
          <w:p w14:paraId="51C94321" w14:textId="77777777" w:rsidR="00454A29" w:rsidRDefault="00454A29">
            <w:pPr>
              <w:pStyle w:val="ConsPlusNormal"/>
              <w:jc w:val="center"/>
            </w:pPr>
            <w:r>
              <w:t>2025</w:t>
            </w:r>
          </w:p>
        </w:tc>
        <w:tc>
          <w:tcPr>
            <w:tcW w:w="1417" w:type="dxa"/>
            <w:vMerge/>
          </w:tcPr>
          <w:p w14:paraId="312135C9" w14:textId="77777777" w:rsidR="00454A29" w:rsidRDefault="00454A29"/>
        </w:tc>
        <w:tc>
          <w:tcPr>
            <w:tcW w:w="2204" w:type="dxa"/>
            <w:vMerge/>
          </w:tcPr>
          <w:p w14:paraId="62192FF7" w14:textId="77777777" w:rsidR="00454A29" w:rsidRDefault="00454A29"/>
        </w:tc>
        <w:tc>
          <w:tcPr>
            <w:tcW w:w="1417" w:type="dxa"/>
            <w:vMerge/>
          </w:tcPr>
          <w:p w14:paraId="7B520FA9" w14:textId="77777777" w:rsidR="00454A29" w:rsidRDefault="00454A29"/>
        </w:tc>
        <w:tc>
          <w:tcPr>
            <w:tcW w:w="2324" w:type="dxa"/>
            <w:vMerge/>
          </w:tcPr>
          <w:p w14:paraId="162FCD0B" w14:textId="77777777" w:rsidR="00454A29" w:rsidRDefault="00454A29"/>
        </w:tc>
        <w:tc>
          <w:tcPr>
            <w:tcW w:w="1701" w:type="dxa"/>
            <w:vAlign w:val="center"/>
          </w:tcPr>
          <w:p w14:paraId="42D9E235" w14:textId="77777777" w:rsidR="00454A29" w:rsidRDefault="00454A29">
            <w:pPr>
              <w:pStyle w:val="ConsPlusNormal"/>
              <w:jc w:val="center"/>
            </w:pPr>
            <w:r>
              <w:t>973 376,21</w:t>
            </w:r>
          </w:p>
        </w:tc>
        <w:tc>
          <w:tcPr>
            <w:tcW w:w="1814" w:type="dxa"/>
            <w:vAlign w:val="center"/>
          </w:tcPr>
          <w:p w14:paraId="3BC7E279" w14:textId="77777777" w:rsidR="00454A29" w:rsidRDefault="00454A29">
            <w:pPr>
              <w:pStyle w:val="ConsPlusNormal"/>
              <w:jc w:val="center"/>
            </w:pPr>
            <w:r>
              <w:t>12 313,22</w:t>
            </w:r>
          </w:p>
        </w:tc>
        <w:tc>
          <w:tcPr>
            <w:tcW w:w="1701" w:type="dxa"/>
            <w:vAlign w:val="center"/>
          </w:tcPr>
          <w:p w14:paraId="7E47FFEA" w14:textId="77777777" w:rsidR="00454A29" w:rsidRDefault="00454A29">
            <w:pPr>
              <w:pStyle w:val="ConsPlusNormal"/>
              <w:jc w:val="center"/>
            </w:pPr>
            <w:r>
              <w:t>1 219 007,70</w:t>
            </w:r>
          </w:p>
        </w:tc>
        <w:tc>
          <w:tcPr>
            <w:tcW w:w="1701" w:type="dxa"/>
            <w:vAlign w:val="center"/>
          </w:tcPr>
          <w:p w14:paraId="2B31AA8C" w14:textId="77777777" w:rsidR="00454A29" w:rsidRDefault="00454A29">
            <w:pPr>
              <w:pStyle w:val="ConsPlusNormal"/>
            </w:pPr>
          </w:p>
        </w:tc>
        <w:tc>
          <w:tcPr>
            <w:tcW w:w="1814" w:type="dxa"/>
            <w:vAlign w:val="center"/>
          </w:tcPr>
          <w:p w14:paraId="2B687E20" w14:textId="77777777" w:rsidR="00454A29" w:rsidRDefault="00454A29">
            <w:pPr>
              <w:pStyle w:val="ConsPlusNormal"/>
            </w:pPr>
          </w:p>
        </w:tc>
      </w:tr>
      <w:tr w:rsidR="00454A29" w14:paraId="4D0AE608" w14:textId="77777777">
        <w:tc>
          <w:tcPr>
            <w:tcW w:w="567" w:type="dxa"/>
            <w:vMerge/>
          </w:tcPr>
          <w:p w14:paraId="468A5A47" w14:textId="77777777" w:rsidR="00454A29" w:rsidRDefault="00454A29"/>
        </w:tc>
        <w:tc>
          <w:tcPr>
            <w:tcW w:w="3345" w:type="dxa"/>
            <w:vMerge/>
          </w:tcPr>
          <w:p w14:paraId="44B64297" w14:textId="77777777" w:rsidR="00454A29" w:rsidRDefault="00454A29"/>
        </w:tc>
        <w:tc>
          <w:tcPr>
            <w:tcW w:w="1701" w:type="dxa"/>
            <w:vAlign w:val="center"/>
          </w:tcPr>
          <w:p w14:paraId="1F256ACE" w14:textId="77777777" w:rsidR="00454A29" w:rsidRDefault="00454A29">
            <w:pPr>
              <w:pStyle w:val="ConsPlusNormal"/>
              <w:jc w:val="center"/>
            </w:pPr>
            <w:r>
              <w:t>2026</w:t>
            </w:r>
          </w:p>
        </w:tc>
        <w:tc>
          <w:tcPr>
            <w:tcW w:w="1417" w:type="dxa"/>
            <w:vMerge/>
          </w:tcPr>
          <w:p w14:paraId="797F3367" w14:textId="77777777" w:rsidR="00454A29" w:rsidRDefault="00454A29"/>
        </w:tc>
        <w:tc>
          <w:tcPr>
            <w:tcW w:w="2204" w:type="dxa"/>
            <w:vMerge/>
          </w:tcPr>
          <w:p w14:paraId="1FE3FD11" w14:textId="77777777" w:rsidR="00454A29" w:rsidRDefault="00454A29"/>
        </w:tc>
        <w:tc>
          <w:tcPr>
            <w:tcW w:w="1417" w:type="dxa"/>
            <w:vMerge/>
          </w:tcPr>
          <w:p w14:paraId="08703864" w14:textId="77777777" w:rsidR="00454A29" w:rsidRDefault="00454A29"/>
        </w:tc>
        <w:tc>
          <w:tcPr>
            <w:tcW w:w="2324" w:type="dxa"/>
            <w:vMerge/>
          </w:tcPr>
          <w:p w14:paraId="5430052E" w14:textId="77777777" w:rsidR="00454A29" w:rsidRDefault="00454A29"/>
        </w:tc>
        <w:tc>
          <w:tcPr>
            <w:tcW w:w="1701" w:type="dxa"/>
            <w:vAlign w:val="center"/>
          </w:tcPr>
          <w:p w14:paraId="5143A009" w14:textId="77777777" w:rsidR="00454A29" w:rsidRDefault="00454A29">
            <w:pPr>
              <w:pStyle w:val="ConsPlusNormal"/>
            </w:pPr>
          </w:p>
        </w:tc>
        <w:tc>
          <w:tcPr>
            <w:tcW w:w="1814" w:type="dxa"/>
            <w:vAlign w:val="center"/>
          </w:tcPr>
          <w:p w14:paraId="2A5F4972" w14:textId="77777777" w:rsidR="00454A29" w:rsidRDefault="00454A29">
            <w:pPr>
              <w:pStyle w:val="ConsPlusNormal"/>
            </w:pPr>
          </w:p>
        </w:tc>
        <w:tc>
          <w:tcPr>
            <w:tcW w:w="1701" w:type="dxa"/>
            <w:vAlign w:val="center"/>
          </w:tcPr>
          <w:p w14:paraId="24915B87" w14:textId="77777777" w:rsidR="00454A29" w:rsidRDefault="00454A29">
            <w:pPr>
              <w:pStyle w:val="ConsPlusNormal"/>
            </w:pPr>
          </w:p>
        </w:tc>
        <w:tc>
          <w:tcPr>
            <w:tcW w:w="1701" w:type="dxa"/>
            <w:vAlign w:val="center"/>
          </w:tcPr>
          <w:p w14:paraId="77711DF6" w14:textId="77777777" w:rsidR="00454A29" w:rsidRDefault="00454A29">
            <w:pPr>
              <w:pStyle w:val="ConsPlusNormal"/>
            </w:pPr>
          </w:p>
        </w:tc>
        <w:tc>
          <w:tcPr>
            <w:tcW w:w="1814" w:type="dxa"/>
            <w:vAlign w:val="center"/>
          </w:tcPr>
          <w:p w14:paraId="499750FD" w14:textId="77777777" w:rsidR="00454A29" w:rsidRDefault="00454A29">
            <w:pPr>
              <w:pStyle w:val="ConsPlusNormal"/>
            </w:pPr>
          </w:p>
        </w:tc>
      </w:tr>
      <w:tr w:rsidR="00454A29" w14:paraId="29067BF3" w14:textId="77777777">
        <w:tc>
          <w:tcPr>
            <w:tcW w:w="21706" w:type="dxa"/>
            <w:gridSpan w:val="12"/>
            <w:vAlign w:val="center"/>
          </w:tcPr>
          <w:p w14:paraId="36279EDE" w14:textId="77777777" w:rsidR="00454A29" w:rsidRDefault="00454A29">
            <w:pPr>
              <w:pStyle w:val="ConsPlusNormal"/>
              <w:jc w:val="center"/>
              <w:outlineLvl w:val="2"/>
            </w:pPr>
            <w:r>
              <w:t>МО "Кобяйский улус (район)"</w:t>
            </w:r>
          </w:p>
        </w:tc>
      </w:tr>
      <w:tr w:rsidR="00454A29" w14:paraId="2AD38DA4" w14:textId="77777777">
        <w:tc>
          <w:tcPr>
            <w:tcW w:w="567" w:type="dxa"/>
            <w:vMerge w:val="restart"/>
            <w:vAlign w:val="center"/>
          </w:tcPr>
          <w:p w14:paraId="78CDCFD2" w14:textId="77777777" w:rsidR="00454A29" w:rsidRDefault="00454A29">
            <w:pPr>
              <w:pStyle w:val="ConsPlusNormal"/>
              <w:jc w:val="center"/>
            </w:pPr>
            <w:r>
              <w:t>58</w:t>
            </w:r>
          </w:p>
        </w:tc>
        <w:tc>
          <w:tcPr>
            <w:tcW w:w="3345" w:type="dxa"/>
            <w:vMerge w:val="restart"/>
            <w:vAlign w:val="center"/>
          </w:tcPr>
          <w:p w14:paraId="0AAAB47D" w14:textId="77777777" w:rsidR="00454A29" w:rsidRDefault="00454A29">
            <w:pPr>
              <w:pStyle w:val="ConsPlusNormal"/>
              <w:jc w:val="center"/>
            </w:pPr>
            <w:r>
              <w:t>Школа-сад на 20/16 мест в с. Арылаах</w:t>
            </w:r>
          </w:p>
        </w:tc>
        <w:tc>
          <w:tcPr>
            <w:tcW w:w="1701" w:type="dxa"/>
            <w:vAlign w:val="center"/>
          </w:tcPr>
          <w:p w14:paraId="51DAC300" w14:textId="77777777" w:rsidR="00454A29" w:rsidRDefault="00454A29">
            <w:pPr>
              <w:pStyle w:val="ConsPlusNormal"/>
              <w:jc w:val="center"/>
            </w:pPr>
            <w:r>
              <w:t>2020 - 2026 годы - всего</w:t>
            </w:r>
          </w:p>
        </w:tc>
        <w:tc>
          <w:tcPr>
            <w:tcW w:w="1417" w:type="dxa"/>
            <w:vMerge w:val="restart"/>
            <w:vAlign w:val="center"/>
          </w:tcPr>
          <w:p w14:paraId="5077BB8E" w14:textId="77777777" w:rsidR="00454A29" w:rsidRDefault="00454A29">
            <w:pPr>
              <w:pStyle w:val="ConsPlusNormal"/>
              <w:jc w:val="center"/>
            </w:pPr>
            <w:r>
              <w:t>324 458,73</w:t>
            </w:r>
          </w:p>
        </w:tc>
        <w:tc>
          <w:tcPr>
            <w:tcW w:w="2204" w:type="dxa"/>
            <w:vMerge w:val="restart"/>
            <w:vAlign w:val="center"/>
          </w:tcPr>
          <w:p w14:paraId="1C630749" w14:textId="77777777" w:rsidR="00454A29" w:rsidRDefault="00454A29">
            <w:pPr>
              <w:pStyle w:val="ConsPlusNormal"/>
            </w:pPr>
          </w:p>
        </w:tc>
        <w:tc>
          <w:tcPr>
            <w:tcW w:w="1417" w:type="dxa"/>
            <w:vMerge w:val="restart"/>
            <w:vAlign w:val="center"/>
          </w:tcPr>
          <w:p w14:paraId="1E1B470D" w14:textId="77777777" w:rsidR="00454A29" w:rsidRDefault="00454A29">
            <w:pPr>
              <w:pStyle w:val="ConsPlusNormal"/>
              <w:jc w:val="center"/>
            </w:pPr>
            <w:r>
              <w:t>20</w:t>
            </w:r>
          </w:p>
        </w:tc>
        <w:tc>
          <w:tcPr>
            <w:tcW w:w="2324" w:type="dxa"/>
            <w:vMerge w:val="restart"/>
            <w:vAlign w:val="center"/>
          </w:tcPr>
          <w:p w14:paraId="178174CC"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C6A7CFD" w14:textId="77777777" w:rsidR="00454A29" w:rsidRDefault="00454A29">
            <w:pPr>
              <w:pStyle w:val="ConsPlusNormal"/>
              <w:jc w:val="center"/>
            </w:pPr>
            <w:r>
              <w:t>324 458,73</w:t>
            </w:r>
          </w:p>
        </w:tc>
        <w:tc>
          <w:tcPr>
            <w:tcW w:w="1814" w:type="dxa"/>
            <w:vAlign w:val="center"/>
          </w:tcPr>
          <w:p w14:paraId="7C49EFAA" w14:textId="77777777" w:rsidR="00454A29" w:rsidRDefault="00454A29">
            <w:pPr>
              <w:pStyle w:val="ConsPlusNormal"/>
              <w:jc w:val="center"/>
            </w:pPr>
            <w:r>
              <w:t>1 675,07</w:t>
            </w:r>
          </w:p>
        </w:tc>
        <w:tc>
          <w:tcPr>
            <w:tcW w:w="1701" w:type="dxa"/>
            <w:vAlign w:val="center"/>
          </w:tcPr>
          <w:p w14:paraId="3B7C5354" w14:textId="77777777" w:rsidR="00454A29" w:rsidRDefault="00454A29">
            <w:pPr>
              <w:pStyle w:val="ConsPlusNormal"/>
              <w:jc w:val="center"/>
            </w:pPr>
            <w:r>
              <w:t>165 832,22</w:t>
            </w:r>
          </w:p>
        </w:tc>
        <w:tc>
          <w:tcPr>
            <w:tcW w:w="1701" w:type="dxa"/>
            <w:vAlign w:val="center"/>
          </w:tcPr>
          <w:p w14:paraId="2B95A00C" w14:textId="77777777" w:rsidR="00454A29" w:rsidRDefault="00454A29">
            <w:pPr>
              <w:pStyle w:val="ConsPlusNormal"/>
              <w:jc w:val="center"/>
            </w:pPr>
            <w:r>
              <w:t>-</w:t>
            </w:r>
          </w:p>
        </w:tc>
        <w:tc>
          <w:tcPr>
            <w:tcW w:w="1814" w:type="dxa"/>
            <w:vAlign w:val="center"/>
          </w:tcPr>
          <w:p w14:paraId="2629C0BB" w14:textId="77777777" w:rsidR="00454A29" w:rsidRDefault="00454A29">
            <w:pPr>
              <w:pStyle w:val="ConsPlusNormal"/>
              <w:jc w:val="center"/>
            </w:pPr>
            <w:r>
              <w:t>-</w:t>
            </w:r>
          </w:p>
        </w:tc>
      </w:tr>
      <w:tr w:rsidR="00454A29" w14:paraId="60146A69" w14:textId="77777777">
        <w:tc>
          <w:tcPr>
            <w:tcW w:w="567" w:type="dxa"/>
            <w:vMerge/>
          </w:tcPr>
          <w:p w14:paraId="10ED9FE7" w14:textId="77777777" w:rsidR="00454A29" w:rsidRDefault="00454A29"/>
        </w:tc>
        <w:tc>
          <w:tcPr>
            <w:tcW w:w="3345" w:type="dxa"/>
            <w:vMerge/>
          </w:tcPr>
          <w:p w14:paraId="071C13CC" w14:textId="77777777" w:rsidR="00454A29" w:rsidRDefault="00454A29"/>
        </w:tc>
        <w:tc>
          <w:tcPr>
            <w:tcW w:w="1701" w:type="dxa"/>
            <w:vAlign w:val="center"/>
          </w:tcPr>
          <w:p w14:paraId="5B303966" w14:textId="77777777" w:rsidR="00454A29" w:rsidRDefault="00454A29">
            <w:pPr>
              <w:pStyle w:val="ConsPlusNormal"/>
              <w:jc w:val="center"/>
            </w:pPr>
            <w:r>
              <w:t>2020</w:t>
            </w:r>
          </w:p>
        </w:tc>
        <w:tc>
          <w:tcPr>
            <w:tcW w:w="1417" w:type="dxa"/>
            <w:vMerge/>
          </w:tcPr>
          <w:p w14:paraId="6416D20C" w14:textId="77777777" w:rsidR="00454A29" w:rsidRDefault="00454A29"/>
        </w:tc>
        <w:tc>
          <w:tcPr>
            <w:tcW w:w="2204" w:type="dxa"/>
            <w:vMerge/>
          </w:tcPr>
          <w:p w14:paraId="5A8507F3" w14:textId="77777777" w:rsidR="00454A29" w:rsidRDefault="00454A29"/>
        </w:tc>
        <w:tc>
          <w:tcPr>
            <w:tcW w:w="1417" w:type="dxa"/>
            <w:vMerge/>
          </w:tcPr>
          <w:p w14:paraId="3C8EDD34" w14:textId="77777777" w:rsidR="00454A29" w:rsidRDefault="00454A29"/>
        </w:tc>
        <w:tc>
          <w:tcPr>
            <w:tcW w:w="2324" w:type="dxa"/>
            <w:vMerge/>
          </w:tcPr>
          <w:p w14:paraId="4FC8EB42" w14:textId="77777777" w:rsidR="00454A29" w:rsidRDefault="00454A29"/>
        </w:tc>
        <w:tc>
          <w:tcPr>
            <w:tcW w:w="1701" w:type="dxa"/>
            <w:vAlign w:val="center"/>
          </w:tcPr>
          <w:p w14:paraId="69F614DF" w14:textId="77777777" w:rsidR="00454A29" w:rsidRDefault="00454A29">
            <w:pPr>
              <w:pStyle w:val="ConsPlusNormal"/>
            </w:pPr>
          </w:p>
        </w:tc>
        <w:tc>
          <w:tcPr>
            <w:tcW w:w="1814" w:type="dxa"/>
            <w:vAlign w:val="center"/>
          </w:tcPr>
          <w:p w14:paraId="208B9D4F" w14:textId="77777777" w:rsidR="00454A29" w:rsidRDefault="00454A29">
            <w:pPr>
              <w:pStyle w:val="ConsPlusNormal"/>
            </w:pPr>
          </w:p>
        </w:tc>
        <w:tc>
          <w:tcPr>
            <w:tcW w:w="1701" w:type="dxa"/>
            <w:vAlign w:val="center"/>
          </w:tcPr>
          <w:p w14:paraId="271EA190" w14:textId="77777777" w:rsidR="00454A29" w:rsidRDefault="00454A29">
            <w:pPr>
              <w:pStyle w:val="ConsPlusNormal"/>
            </w:pPr>
          </w:p>
        </w:tc>
        <w:tc>
          <w:tcPr>
            <w:tcW w:w="1701" w:type="dxa"/>
            <w:vAlign w:val="center"/>
          </w:tcPr>
          <w:p w14:paraId="5D28DE30" w14:textId="77777777" w:rsidR="00454A29" w:rsidRDefault="00454A29">
            <w:pPr>
              <w:pStyle w:val="ConsPlusNormal"/>
            </w:pPr>
          </w:p>
        </w:tc>
        <w:tc>
          <w:tcPr>
            <w:tcW w:w="1814" w:type="dxa"/>
            <w:vAlign w:val="center"/>
          </w:tcPr>
          <w:p w14:paraId="03E0BF38" w14:textId="77777777" w:rsidR="00454A29" w:rsidRDefault="00454A29">
            <w:pPr>
              <w:pStyle w:val="ConsPlusNormal"/>
            </w:pPr>
          </w:p>
        </w:tc>
      </w:tr>
      <w:tr w:rsidR="00454A29" w14:paraId="69D9B6D9" w14:textId="77777777">
        <w:tc>
          <w:tcPr>
            <w:tcW w:w="567" w:type="dxa"/>
            <w:vMerge/>
          </w:tcPr>
          <w:p w14:paraId="0A431849" w14:textId="77777777" w:rsidR="00454A29" w:rsidRDefault="00454A29"/>
        </w:tc>
        <w:tc>
          <w:tcPr>
            <w:tcW w:w="3345" w:type="dxa"/>
            <w:vMerge/>
          </w:tcPr>
          <w:p w14:paraId="4B076FB3" w14:textId="77777777" w:rsidR="00454A29" w:rsidRDefault="00454A29"/>
        </w:tc>
        <w:tc>
          <w:tcPr>
            <w:tcW w:w="1701" w:type="dxa"/>
            <w:vAlign w:val="center"/>
          </w:tcPr>
          <w:p w14:paraId="7755154B" w14:textId="77777777" w:rsidR="00454A29" w:rsidRDefault="00454A29">
            <w:pPr>
              <w:pStyle w:val="ConsPlusNormal"/>
              <w:jc w:val="center"/>
            </w:pPr>
            <w:r>
              <w:t>2021</w:t>
            </w:r>
          </w:p>
        </w:tc>
        <w:tc>
          <w:tcPr>
            <w:tcW w:w="1417" w:type="dxa"/>
            <w:vMerge/>
          </w:tcPr>
          <w:p w14:paraId="161ED456" w14:textId="77777777" w:rsidR="00454A29" w:rsidRDefault="00454A29"/>
        </w:tc>
        <w:tc>
          <w:tcPr>
            <w:tcW w:w="2204" w:type="dxa"/>
            <w:vMerge/>
          </w:tcPr>
          <w:p w14:paraId="37C4A4E9" w14:textId="77777777" w:rsidR="00454A29" w:rsidRDefault="00454A29"/>
        </w:tc>
        <w:tc>
          <w:tcPr>
            <w:tcW w:w="1417" w:type="dxa"/>
            <w:vMerge/>
          </w:tcPr>
          <w:p w14:paraId="0DF744EE" w14:textId="77777777" w:rsidR="00454A29" w:rsidRDefault="00454A29"/>
        </w:tc>
        <w:tc>
          <w:tcPr>
            <w:tcW w:w="2324" w:type="dxa"/>
            <w:vMerge/>
          </w:tcPr>
          <w:p w14:paraId="621C2079" w14:textId="77777777" w:rsidR="00454A29" w:rsidRDefault="00454A29"/>
        </w:tc>
        <w:tc>
          <w:tcPr>
            <w:tcW w:w="1701" w:type="dxa"/>
            <w:vAlign w:val="center"/>
          </w:tcPr>
          <w:p w14:paraId="6C169CC5" w14:textId="77777777" w:rsidR="00454A29" w:rsidRDefault="00454A29">
            <w:pPr>
              <w:pStyle w:val="ConsPlusNormal"/>
            </w:pPr>
          </w:p>
        </w:tc>
        <w:tc>
          <w:tcPr>
            <w:tcW w:w="1814" w:type="dxa"/>
            <w:vAlign w:val="center"/>
          </w:tcPr>
          <w:p w14:paraId="3A89111A" w14:textId="77777777" w:rsidR="00454A29" w:rsidRDefault="00454A29">
            <w:pPr>
              <w:pStyle w:val="ConsPlusNormal"/>
            </w:pPr>
          </w:p>
        </w:tc>
        <w:tc>
          <w:tcPr>
            <w:tcW w:w="1701" w:type="dxa"/>
            <w:vAlign w:val="center"/>
          </w:tcPr>
          <w:p w14:paraId="3761DCB3" w14:textId="77777777" w:rsidR="00454A29" w:rsidRDefault="00454A29">
            <w:pPr>
              <w:pStyle w:val="ConsPlusNormal"/>
            </w:pPr>
          </w:p>
        </w:tc>
        <w:tc>
          <w:tcPr>
            <w:tcW w:w="1701" w:type="dxa"/>
            <w:vAlign w:val="center"/>
          </w:tcPr>
          <w:p w14:paraId="405C9917" w14:textId="77777777" w:rsidR="00454A29" w:rsidRDefault="00454A29">
            <w:pPr>
              <w:pStyle w:val="ConsPlusNormal"/>
            </w:pPr>
          </w:p>
        </w:tc>
        <w:tc>
          <w:tcPr>
            <w:tcW w:w="1814" w:type="dxa"/>
            <w:vAlign w:val="center"/>
          </w:tcPr>
          <w:p w14:paraId="3B69EDEF" w14:textId="77777777" w:rsidR="00454A29" w:rsidRDefault="00454A29">
            <w:pPr>
              <w:pStyle w:val="ConsPlusNormal"/>
            </w:pPr>
          </w:p>
        </w:tc>
      </w:tr>
      <w:tr w:rsidR="00454A29" w14:paraId="01F2F70A" w14:textId="77777777">
        <w:tc>
          <w:tcPr>
            <w:tcW w:w="567" w:type="dxa"/>
            <w:vMerge/>
          </w:tcPr>
          <w:p w14:paraId="6048988B" w14:textId="77777777" w:rsidR="00454A29" w:rsidRDefault="00454A29"/>
        </w:tc>
        <w:tc>
          <w:tcPr>
            <w:tcW w:w="3345" w:type="dxa"/>
            <w:vMerge/>
          </w:tcPr>
          <w:p w14:paraId="5C10F40C" w14:textId="77777777" w:rsidR="00454A29" w:rsidRDefault="00454A29"/>
        </w:tc>
        <w:tc>
          <w:tcPr>
            <w:tcW w:w="1701" w:type="dxa"/>
            <w:vAlign w:val="center"/>
          </w:tcPr>
          <w:p w14:paraId="116F4B40" w14:textId="77777777" w:rsidR="00454A29" w:rsidRDefault="00454A29">
            <w:pPr>
              <w:pStyle w:val="ConsPlusNormal"/>
              <w:jc w:val="center"/>
            </w:pPr>
            <w:r>
              <w:t>2022</w:t>
            </w:r>
          </w:p>
        </w:tc>
        <w:tc>
          <w:tcPr>
            <w:tcW w:w="1417" w:type="dxa"/>
            <w:vMerge/>
          </w:tcPr>
          <w:p w14:paraId="75A69663" w14:textId="77777777" w:rsidR="00454A29" w:rsidRDefault="00454A29"/>
        </w:tc>
        <w:tc>
          <w:tcPr>
            <w:tcW w:w="2204" w:type="dxa"/>
            <w:vMerge/>
          </w:tcPr>
          <w:p w14:paraId="12E44064" w14:textId="77777777" w:rsidR="00454A29" w:rsidRDefault="00454A29"/>
        </w:tc>
        <w:tc>
          <w:tcPr>
            <w:tcW w:w="1417" w:type="dxa"/>
            <w:vMerge/>
          </w:tcPr>
          <w:p w14:paraId="5986E982" w14:textId="77777777" w:rsidR="00454A29" w:rsidRDefault="00454A29"/>
        </w:tc>
        <w:tc>
          <w:tcPr>
            <w:tcW w:w="2324" w:type="dxa"/>
            <w:vMerge/>
          </w:tcPr>
          <w:p w14:paraId="27B90E5F" w14:textId="77777777" w:rsidR="00454A29" w:rsidRDefault="00454A29"/>
        </w:tc>
        <w:tc>
          <w:tcPr>
            <w:tcW w:w="1701" w:type="dxa"/>
            <w:vAlign w:val="center"/>
          </w:tcPr>
          <w:p w14:paraId="01692CCE" w14:textId="77777777" w:rsidR="00454A29" w:rsidRDefault="00454A29">
            <w:pPr>
              <w:pStyle w:val="ConsPlusNormal"/>
            </w:pPr>
          </w:p>
        </w:tc>
        <w:tc>
          <w:tcPr>
            <w:tcW w:w="1814" w:type="dxa"/>
            <w:vAlign w:val="center"/>
          </w:tcPr>
          <w:p w14:paraId="3AE88998" w14:textId="77777777" w:rsidR="00454A29" w:rsidRDefault="00454A29">
            <w:pPr>
              <w:pStyle w:val="ConsPlusNormal"/>
            </w:pPr>
          </w:p>
        </w:tc>
        <w:tc>
          <w:tcPr>
            <w:tcW w:w="1701" w:type="dxa"/>
            <w:vAlign w:val="center"/>
          </w:tcPr>
          <w:p w14:paraId="05F34CE3" w14:textId="77777777" w:rsidR="00454A29" w:rsidRDefault="00454A29">
            <w:pPr>
              <w:pStyle w:val="ConsPlusNormal"/>
            </w:pPr>
          </w:p>
        </w:tc>
        <w:tc>
          <w:tcPr>
            <w:tcW w:w="1701" w:type="dxa"/>
            <w:vAlign w:val="center"/>
          </w:tcPr>
          <w:p w14:paraId="61D95609" w14:textId="77777777" w:rsidR="00454A29" w:rsidRDefault="00454A29">
            <w:pPr>
              <w:pStyle w:val="ConsPlusNormal"/>
            </w:pPr>
          </w:p>
        </w:tc>
        <w:tc>
          <w:tcPr>
            <w:tcW w:w="1814" w:type="dxa"/>
            <w:vAlign w:val="center"/>
          </w:tcPr>
          <w:p w14:paraId="69C69299" w14:textId="77777777" w:rsidR="00454A29" w:rsidRDefault="00454A29">
            <w:pPr>
              <w:pStyle w:val="ConsPlusNormal"/>
            </w:pPr>
          </w:p>
        </w:tc>
      </w:tr>
      <w:tr w:rsidR="00454A29" w14:paraId="60BB8BFA" w14:textId="77777777">
        <w:tc>
          <w:tcPr>
            <w:tcW w:w="567" w:type="dxa"/>
            <w:vMerge/>
          </w:tcPr>
          <w:p w14:paraId="60FBECFC" w14:textId="77777777" w:rsidR="00454A29" w:rsidRDefault="00454A29"/>
        </w:tc>
        <w:tc>
          <w:tcPr>
            <w:tcW w:w="3345" w:type="dxa"/>
            <w:vMerge/>
          </w:tcPr>
          <w:p w14:paraId="3BBF5BC9" w14:textId="77777777" w:rsidR="00454A29" w:rsidRDefault="00454A29"/>
        </w:tc>
        <w:tc>
          <w:tcPr>
            <w:tcW w:w="1701" w:type="dxa"/>
            <w:vAlign w:val="center"/>
          </w:tcPr>
          <w:p w14:paraId="37310F81" w14:textId="77777777" w:rsidR="00454A29" w:rsidRDefault="00454A29">
            <w:pPr>
              <w:pStyle w:val="ConsPlusNormal"/>
              <w:jc w:val="center"/>
            </w:pPr>
            <w:r>
              <w:t>2023</w:t>
            </w:r>
          </w:p>
        </w:tc>
        <w:tc>
          <w:tcPr>
            <w:tcW w:w="1417" w:type="dxa"/>
            <w:vMerge/>
          </w:tcPr>
          <w:p w14:paraId="702C8766" w14:textId="77777777" w:rsidR="00454A29" w:rsidRDefault="00454A29"/>
        </w:tc>
        <w:tc>
          <w:tcPr>
            <w:tcW w:w="2204" w:type="dxa"/>
            <w:vMerge/>
          </w:tcPr>
          <w:p w14:paraId="77535574" w14:textId="77777777" w:rsidR="00454A29" w:rsidRDefault="00454A29"/>
        </w:tc>
        <w:tc>
          <w:tcPr>
            <w:tcW w:w="1417" w:type="dxa"/>
            <w:vMerge/>
          </w:tcPr>
          <w:p w14:paraId="530237A7" w14:textId="77777777" w:rsidR="00454A29" w:rsidRDefault="00454A29"/>
        </w:tc>
        <w:tc>
          <w:tcPr>
            <w:tcW w:w="2324" w:type="dxa"/>
            <w:vMerge/>
          </w:tcPr>
          <w:p w14:paraId="171DECE5" w14:textId="77777777" w:rsidR="00454A29" w:rsidRDefault="00454A29"/>
        </w:tc>
        <w:tc>
          <w:tcPr>
            <w:tcW w:w="1701" w:type="dxa"/>
            <w:vAlign w:val="center"/>
          </w:tcPr>
          <w:p w14:paraId="7215BDE4" w14:textId="77777777" w:rsidR="00454A29" w:rsidRDefault="00454A29">
            <w:pPr>
              <w:pStyle w:val="ConsPlusNormal"/>
            </w:pPr>
          </w:p>
        </w:tc>
        <w:tc>
          <w:tcPr>
            <w:tcW w:w="1814" w:type="dxa"/>
            <w:vAlign w:val="center"/>
          </w:tcPr>
          <w:p w14:paraId="4722D694" w14:textId="77777777" w:rsidR="00454A29" w:rsidRDefault="00454A29">
            <w:pPr>
              <w:pStyle w:val="ConsPlusNormal"/>
            </w:pPr>
          </w:p>
        </w:tc>
        <w:tc>
          <w:tcPr>
            <w:tcW w:w="1701" w:type="dxa"/>
            <w:vAlign w:val="center"/>
          </w:tcPr>
          <w:p w14:paraId="1E8EC442" w14:textId="77777777" w:rsidR="00454A29" w:rsidRDefault="00454A29">
            <w:pPr>
              <w:pStyle w:val="ConsPlusNormal"/>
            </w:pPr>
          </w:p>
        </w:tc>
        <w:tc>
          <w:tcPr>
            <w:tcW w:w="1701" w:type="dxa"/>
            <w:vAlign w:val="center"/>
          </w:tcPr>
          <w:p w14:paraId="660BDF4E" w14:textId="77777777" w:rsidR="00454A29" w:rsidRDefault="00454A29">
            <w:pPr>
              <w:pStyle w:val="ConsPlusNormal"/>
            </w:pPr>
          </w:p>
        </w:tc>
        <w:tc>
          <w:tcPr>
            <w:tcW w:w="1814" w:type="dxa"/>
            <w:vAlign w:val="center"/>
          </w:tcPr>
          <w:p w14:paraId="7082B08A" w14:textId="77777777" w:rsidR="00454A29" w:rsidRDefault="00454A29">
            <w:pPr>
              <w:pStyle w:val="ConsPlusNormal"/>
            </w:pPr>
          </w:p>
        </w:tc>
      </w:tr>
      <w:tr w:rsidR="00454A29" w14:paraId="6BB974DD" w14:textId="77777777">
        <w:tc>
          <w:tcPr>
            <w:tcW w:w="567" w:type="dxa"/>
            <w:vMerge/>
          </w:tcPr>
          <w:p w14:paraId="15F5DAC0" w14:textId="77777777" w:rsidR="00454A29" w:rsidRDefault="00454A29"/>
        </w:tc>
        <w:tc>
          <w:tcPr>
            <w:tcW w:w="3345" w:type="dxa"/>
            <w:vMerge/>
          </w:tcPr>
          <w:p w14:paraId="13D5C4EE" w14:textId="77777777" w:rsidR="00454A29" w:rsidRDefault="00454A29"/>
        </w:tc>
        <w:tc>
          <w:tcPr>
            <w:tcW w:w="1701" w:type="dxa"/>
            <w:vAlign w:val="center"/>
          </w:tcPr>
          <w:p w14:paraId="0AF09563" w14:textId="77777777" w:rsidR="00454A29" w:rsidRDefault="00454A29">
            <w:pPr>
              <w:pStyle w:val="ConsPlusNormal"/>
              <w:jc w:val="center"/>
            </w:pPr>
            <w:r>
              <w:t>2024</w:t>
            </w:r>
          </w:p>
        </w:tc>
        <w:tc>
          <w:tcPr>
            <w:tcW w:w="1417" w:type="dxa"/>
            <w:vMerge/>
          </w:tcPr>
          <w:p w14:paraId="4A9FAFE9" w14:textId="77777777" w:rsidR="00454A29" w:rsidRDefault="00454A29"/>
        </w:tc>
        <w:tc>
          <w:tcPr>
            <w:tcW w:w="2204" w:type="dxa"/>
            <w:vMerge/>
          </w:tcPr>
          <w:p w14:paraId="6B2C5948" w14:textId="77777777" w:rsidR="00454A29" w:rsidRDefault="00454A29"/>
        </w:tc>
        <w:tc>
          <w:tcPr>
            <w:tcW w:w="1417" w:type="dxa"/>
            <w:vMerge/>
          </w:tcPr>
          <w:p w14:paraId="1F69FE9E" w14:textId="77777777" w:rsidR="00454A29" w:rsidRDefault="00454A29"/>
        </w:tc>
        <w:tc>
          <w:tcPr>
            <w:tcW w:w="2324" w:type="dxa"/>
            <w:vMerge/>
          </w:tcPr>
          <w:p w14:paraId="4059B6C2" w14:textId="77777777" w:rsidR="00454A29" w:rsidRDefault="00454A29"/>
        </w:tc>
        <w:tc>
          <w:tcPr>
            <w:tcW w:w="1701" w:type="dxa"/>
            <w:vAlign w:val="center"/>
          </w:tcPr>
          <w:p w14:paraId="4CC515A1" w14:textId="77777777" w:rsidR="00454A29" w:rsidRDefault="00454A29">
            <w:pPr>
              <w:pStyle w:val="ConsPlusNormal"/>
            </w:pPr>
          </w:p>
        </w:tc>
        <w:tc>
          <w:tcPr>
            <w:tcW w:w="1814" w:type="dxa"/>
            <w:vAlign w:val="center"/>
          </w:tcPr>
          <w:p w14:paraId="3FDBA392" w14:textId="77777777" w:rsidR="00454A29" w:rsidRDefault="00454A29">
            <w:pPr>
              <w:pStyle w:val="ConsPlusNormal"/>
            </w:pPr>
          </w:p>
        </w:tc>
        <w:tc>
          <w:tcPr>
            <w:tcW w:w="1701" w:type="dxa"/>
            <w:vAlign w:val="center"/>
          </w:tcPr>
          <w:p w14:paraId="681EE8F6" w14:textId="77777777" w:rsidR="00454A29" w:rsidRDefault="00454A29">
            <w:pPr>
              <w:pStyle w:val="ConsPlusNormal"/>
            </w:pPr>
          </w:p>
        </w:tc>
        <w:tc>
          <w:tcPr>
            <w:tcW w:w="1701" w:type="dxa"/>
            <w:vAlign w:val="center"/>
          </w:tcPr>
          <w:p w14:paraId="04DC05CE" w14:textId="77777777" w:rsidR="00454A29" w:rsidRDefault="00454A29">
            <w:pPr>
              <w:pStyle w:val="ConsPlusNormal"/>
            </w:pPr>
          </w:p>
        </w:tc>
        <w:tc>
          <w:tcPr>
            <w:tcW w:w="1814" w:type="dxa"/>
            <w:vAlign w:val="center"/>
          </w:tcPr>
          <w:p w14:paraId="07D75A8C" w14:textId="77777777" w:rsidR="00454A29" w:rsidRDefault="00454A29">
            <w:pPr>
              <w:pStyle w:val="ConsPlusNormal"/>
            </w:pPr>
          </w:p>
        </w:tc>
      </w:tr>
      <w:tr w:rsidR="00454A29" w14:paraId="0ABD1562" w14:textId="77777777">
        <w:tc>
          <w:tcPr>
            <w:tcW w:w="567" w:type="dxa"/>
            <w:vMerge/>
          </w:tcPr>
          <w:p w14:paraId="44C5317B" w14:textId="77777777" w:rsidR="00454A29" w:rsidRDefault="00454A29"/>
        </w:tc>
        <w:tc>
          <w:tcPr>
            <w:tcW w:w="3345" w:type="dxa"/>
            <w:vMerge/>
          </w:tcPr>
          <w:p w14:paraId="5C080470" w14:textId="77777777" w:rsidR="00454A29" w:rsidRDefault="00454A29"/>
        </w:tc>
        <w:tc>
          <w:tcPr>
            <w:tcW w:w="1701" w:type="dxa"/>
            <w:vAlign w:val="center"/>
          </w:tcPr>
          <w:p w14:paraId="3A9F24D7" w14:textId="77777777" w:rsidR="00454A29" w:rsidRDefault="00454A29">
            <w:pPr>
              <w:pStyle w:val="ConsPlusNormal"/>
              <w:jc w:val="center"/>
            </w:pPr>
            <w:r>
              <w:t>2025</w:t>
            </w:r>
          </w:p>
        </w:tc>
        <w:tc>
          <w:tcPr>
            <w:tcW w:w="1417" w:type="dxa"/>
            <w:vMerge/>
          </w:tcPr>
          <w:p w14:paraId="06551204" w14:textId="77777777" w:rsidR="00454A29" w:rsidRDefault="00454A29"/>
        </w:tc>
        <w:tc>
          <w:tcPr>
            <w:tcW w:w="2204" w:type="dxa"/>
            <w:vMerge/>
          </w:tcPr>
          <w:p w14:paraId="08A0E8FE" w14:textId="77777777" w:rsidR="00454A29" w:rsidRDefault="00454A29"/>
        </w:tc>
        <w:tc>
          <w:tcPr>
            <w:tcW w:w="1417" w:type="dxa"/>
            <w:vMerge/>
          </w:tcPr>
          <w:p w14:paraId="2016FAF8" w14:textId="77777777" w:rsidR="00454A29" w:rsidRDefault="00454A29"/>
        </w:tc>
        <w:tc>
          <w:tcPr>
            <w:tcW w:w="2324" w:type="dxa"/>
            <w:vMerge/>
          </w:tcPr>
          <w:p w14:paraId="2CA6B364" w14:textId="77777777" w:rsidR="00454A29" w:rsidRDefault="00454A29"/>
        </w:tc>
        <w:tc>
          <w:tcPr>
            <w:tcW w:w="1701" w:type="dxa"/>
            <w:vAlign w:val="center"/>
          </w:tcPr>
          <w:p w14:paraId="123CDF1E" w14:textId="77777777" w:rsidR="00454A29" w:rsidRDefault="00454A29">
            <w:pPr>
              <w:pStyle w:val="ConsPlusNormal"/>
              <w:jc w:val="center"/>
            </w:pPr>
            <w:r>
              <w:t>324 458,73</w:t>
            </w:r>
          </w:p>
        </w:tc>
        <w:tc>
          <w:tcPr>
            <w:tcW w:w="1814" w:type="dxa"/>
            <w:vAlign w:val="center"/>
          </w:tcPr>
          <w:p w14:paraId="444848EE" w14:textId="77777777" w:rsidR="00454A29" w:rsidRDefault="00454A29">
            <w:pPr>
              <w:pStyle w:val="ConsPlusNormal"/>
              <w:jc w:val="center"/>
            </w:pPr>
            <w:r>
              <w:t>1 675,07</w:t>
            </w:r>
          </w:p>
        </w:tc>
        <w:tc>
          <w:tcPr>
            <w:tcW w:w="1701" w:type="dxa"/>
            <w:vAlign w:val="center"/>
          </w:tcPr>
          <w:p w14:paraId="2422B3CB" w14:textId="77777777" w:rsidR="00454A29" w:rsidRDefault="00454A29">
            <w:pPr>
              <w:pStyle w:val="ConsPlusNormal"/>
              <w:jc w:val="center"/>
            </w:pPr>
            <w:r>
              <w:t>165 832,22</w:t>
            </w:r>
          </w:p>
        </w:tc>
        <w:tc>
          <w:tcPr>
            <w:tcW w:w="1701" w:type="dxa"/>
            <w:vAlign w:val="center"/>
          </w:tcPr>
          <w:p w14:paraId="62584AB6" w14:textId="77777777" w:rsidR="00454A29" w:rsidRDefault="00454A29">
            <w:pPr>
              <w:pStyle w:val="ConsPlusNormal"/>
            </w:pPr>
          </w:p>
        </w:tc>
        <w:tc>
          <w:tcPr>
            <w:tcW w:w="1814" w:type="dxa"/>
            <w:vAlign w:val="center"/>
          </w:tcPr>
          <w:p w14:paraId="70370B65" w14:textId="77777777" w:rsidR="00454A29" w:rsidRDefault="00454A29">
            <w:pPr>
              <w:pStyle w:val="ConsPlusNormal"/>
            </w:pPr>
          </w:p>
        </w:tc>
      </w:tr>
      <w:tr w:rsidR="00454A29" w14:paraId="4AEFF8C6" w14:textId="77777777">
        <w:tc>
          <w:tcPr>
            <w:tcW w:w="567" w:type="dxa"/>
            <w:vMerge/>
          </w:tcPr>
          <w:p w14:paraId="12EA1577" w14:textId="77777777" w:rsidR="00454A29" w:rsidRDefault="00454A29"/>
        </w:tc>
        <w:tc>
          <w:tcPr>
            <w:tcW w:w="3345" w:type="dxa"/>
            <w:vMerge/>
          </w:tcPr>
          <w:p w14:paraId="394626EF" w14:textId="77777777" w:rsidR="00454A29" w:rsidRDefault="00454A29"/>
        </w:tc>
        <w:tc>
          <w:tcPr>
            <w:tcW w:w="1701" w:type="dxa"/>
            <w:vAlign w:val="center"/>
          </w:tcPr>
          <w:p w14:paraId="53507B36" w14:textId="77777777" w:rsidR="00454A29" w:rsidRDefault="00454A29">
            <w:pPr>
              <w:pStyle w:val="ConsPlusNormal"/>
              <w:jc w:val="center"/>
            </w:pPr>
            <w:r>
              <w:t>2026</w:t>
            </w:r>
          </w:p>
        </w:tc>
        <w:tc>
          <w:tcPr>
            <w:tcW w:w="1417" w:type="dxa"/>
            <w:vMerge/>
          </w:tcPr>
          <w:p w14:paraId="51939F08" w14:textId="77777777" w:rsidR="00454A29" w:rsidRDefault="00454A29"/>
        </w:tc>
        <w:tc>
          <w:tcPr>
            <w:tcW w:w="2204" w:type="dxa"/>
            <w:vMerge/>
          </w:tcPr>
          <w:p w14:paraId="2748DCA3" w14:textId="77777777" w:rsidR="00454A29" w:rsidRDefault="00454A29"/>
        </w:tc>
        <w:tc>
          <w:tcPr>
            <w:tcW w:w="1417" w:type="dxa"/>
            <w:vMerge/>
          </w:tcPr>
          <w:p w14:paraId="31450DD1" w14:textId="77777777" w:rsidR="00454A29" w:rsidRDefault="00454A29"/>
        </w:tc>
        <w:tc>
          <w:tcPr>
            <w:tcW w:w="2324" w:type="dxa"/>
            <w:vMerge/>
          </w:tcPr>
          <w:p w14:paraId="412FD208" w14:textId="77777777" w:rsidR="00454A29" w:rsidRDefault="00454A29"/>
        </w:tc>
        <w:tc>
          <w:tcPr>
            <w:tcW w:w="1701" w:type="dxa"/>
            <w:vAlign w:val="center"/>
          </w:tcPr>
          <w:p w14:paraId="62996534" w14:textId="77777777" w:rsidR="00454A29" w:rsidRDefault="00454A29">
            <w:pPr>
              <w:pStyle w:val="ConsPlusNormal"/>
            </w:pPr>
          </w:p>
        </w:tc>
        <w:tc>
          <w:tcPr>
            <w:tcW w:w="1814" w:type="dxa"/>
            <w:vAlign w:val="center"/>
          </w:tcPr>
          <w:p w14:paraId="31CC761A" w14:textId="77777777" w:rsidR="00454A29" w:rsidRDefault="00454A29">
            <w:pPr>
              <w:pStyle w:val="ConsPlusNormal"/>
            </w:pPr>
          </w:p>
        </w:tc>
        <w:tc>
          <w:tcPr>
            <w:tcW w:w="1701" w:type="dxa"/>
            <w:vAlign w:val="center"/>
          </w:tcPr>
          <w:p w14:paraId="0BDB80BD" w14:textId="77777777" w:rsidR="00454A29" w:rsidRDefault="00454A29">
            <w:pPr>
              <w:pStyle w:val="ConsPlusNormal"/>
            </w:pPr>
          </w:p>
        </w:tc>
        <w:tc>
          <w:tcPr>
            <w:tcW w:w="1701" w:type="dxa"/>
            <w:vAlign w:val="center"/>
          </w:tcPr>
          <w:p w14:paraId="7EE69C76" w14:textId="77777777" w:rsidR="00454A29" w:rsidRDefault="00454A29">
            <w:pPr>
              <w:pStyle w:val="ConsPlusNormal"/>
            </w:pPr>
          </w:p>
        </w:tc>
        <w:tc>
          <w:tcPr>
            <w:tcW w:w="1814" w:type="dxa"/>
            <w:vAlign w:val="center"/>
          </w:tcPr>
          <w:p w14:paraId="700D57D8" w14:textId="77777777" w:rsidR="00454A29" w:rsidRDefault="00454A29">
            <w:pPr>
              <w:pStyle w:val="ConsPlusNormal"/>
            </w:pPr>
          </w:p>
        </w:tc>
      </w:tr>
      <w:tr w:rsidR="00454A29" w14:paraId="36D210E3" w14:textId="77777777">
        <w:tc>
          <w:tcPr>
            <w:tcW w:w="567" w:type="dxa"/>
            <w:vMerge w:val="restart"/>
            <w:vAlign w:val="center"/>
          </w:tcPr>
          <w:p w14:paraId="73278EC8" w14:textId="77777777" w:rsidR="00454A29" w:rsidRDefault="00454A29">
            <w:pPr>
              <w:pStyle w:val="ConsPlusNormal"/>
              <w:jc w:val="center"/>
            </w:pPr>
            <w:r>
              <w:t>59</w:t>
            </w:r>
          </w:p>
        </w:tc>
        <w:tc>
          <w:tcPr>
            <w:tcW w:w="3345" w:type="dxa"/>
            <w:vMerge w:val="restart"/>
            <w:vAlign w:val="center"/>
          </w:tcPr>
          <w:p w14:paraId="4F9D7A1A" w14:textId="77777777" w:rsidR="00454A29" w:rsidRDefault="00454A29">
            <w:pPr>
              <w:pStyle w:val="ConsPlusNormal"/>
              <w:jc w:val="center"/>
            </w:pPr>
            <w:r>
              <w:t>Школа-сад на 35/18 мест с. Кальвица</w:t>
            </w:r>
          </w:p>
        </w:tc>
        <w:tc>
          <w:tcPr>
            <w:tcW w:w="1701" w:type="dxa"/>
            <w:vAlign w:val="center"/>
          </w:tcPr>
          <w:p w14:paraId="67622391" w14:textId="77777777" w:rsidR="00454A29" w:rsidRDefault="00454A29">
            <w:pPr>
              <w:pStyle w:val="ConsPlusNormal"/>
              <w:jc w:val="center"/>
            </w:pPr>
            <w:r>
              <w:t>2020 - 2026 годы - всего</w:t>
            </w:r>
          </w:p>
        </w:tc>
        <w:tc>
          <w:tcPr>
            <w:tcW w:w="1417" w:type="dxa"/>
            <w:vMerge w:val="restart"/>
            <w:vAlign w:val="center"/>
          </w:tcPr>
          <w:p w14:paraId="3AFB4FA3" w14:textId="77777777" w:rsidR="00454A29" w:rsidRDefault="00454A29">
            <w:pPr>
              <w:pStyle w:val="ConsPlusNormal"/>
              <w:jc w:val="center"/>
            </w:pPr>
            <w:r>
              <w:t>96 693,71</w:t>
            </w:r>
          </w:p>
        </w:tc>
        <w:tc>
          <w:tcPr>
            <w:tcW w:w="2204" w:type="dxa"/>
            <w:vMerge w:val="restart"/>
            <w:vAlign w:val="center"/>
          </w:tcPr>
          <w:p w14:paraId="562AF183" w14:textId="77777777" w:rsidR="00454A29" w:rsidRDefault="00454A29">
            <w:pPr>
              <w:pStyle w:val="ConsPlusNormal"/>
              <w:jc w:val="center"/>
            </w:pPr>
            <w:r>
              <w:t>имеется</w:t>
            </w:r>
          </w:p>
        </w:tc>
        <w:tc>
          <w:tcPr>
            <w:tcW w:w="1417" w:type="dxa"/>
            <w:vMerge w:val="restart"/>
            <w:vAlign w:val="center"/>
          </w:tcPr>
          <w:p w14:paraId="48800B80" w14:textId="77777777" w:rsidR="00454A29" w:rsidRDefault="00454A29">
            <w:pPr>
              <w:pStyle w:val="ConsPlusNormal"/>
              <w:jc w:val="center"/>
            </w:pPr>
            <w:r>
              <w:t>35</w:t>
            </w:r>
          </w:p>
        </w:tc>
        <w:tc>
          <w:tcPr>
            <w:tcW w:w="2324" w:type="dxa"/>
            <w:vMerge w:val="restart"/>
            <w:vAlign w:val="center"/>
          </w:tcPr>
          <w:p w14:paraId="73461054" w14:textId="77777777" w:rsidR="00454A29" w:rsidRDefault="00454A29">
            <w:pPr>
              <w:pStyle w:val="ConsPlusNormal"/>
              <w:jc w:val="center"/>
            </w:pPr>
            <w:r>
              <w:t xml:space="preserve">Минстрой РС(Я), ГКУ "Служба государственного </w:t>
            </w:r>
            <w:r>
              <w:lastRenderedPageBreak/>
              <w:t>заказчика Республики Саха (Якутия)"</w:t>
            </w:r>
          </w:p>
        </w:tc>
        <w:tc>
          <w:tcPr>
            <w:tcW w:w="1701" w:type="dxa"/>
            <w:vAlign w:val="center"/>
          </w:tcPr>
          <w:p w14:paraId="61ED56C2" w14:textId="77777777" w:rsidR="00454A29" w:rsidRDefault="00454A29">
            <w:pPr>
              <w:pStyle w:val="ConsPlusNormal"/>
              <w:jc w:val="center"/>
            </w:pPr>
            <w:r>
              <w:lastRenderedPageBreak/>
              <w:t>96 693,71</w:t>
            </w:r>
          </w:p>
        </w:tc>
        <w:tc>
          <w:tcPr>
            <w:tcW w:w="1814" w:type="dxa"/>
            <w:vAlign w:val="center"/>
          </w:tcPr>
          <w:p w14:paraId="69262E36" w14:textId="77777777" w:rsidR="00454A29" w:rsidRDefault="00454A29">
            <w:pPr>
              <w:pStyle w:val="ConsPlusNormal"/>
              <w:jc w:val="center"/>
            </w:pPr>
            <w:r>
              <w:t>966,94</w:t>
            </w:r>
          </w:p>
        </w:tc>
        <w:tc>
          <w:tcPr>
            <w:tcW w:w="1701" w:type="dxa"/>
            <w:vAlign w:val="center"/>
          </w:tcPr>
          <w:p w14:paraId="78C7B05F" w14:textId="77777777" w:rsidR="00454A29" w:rsidRDefault="00454A29">
            <w:pPr>
              <w:pStyle w:val="ConsPlusNormal"/>
              <w:jc w:val="center"/>
            </w:pPr>
            <w:r>
              <w:t>95 726,77</w:t>
            </w:r>
          </w:p>
        </w:tc>
        <w:tc>
          <w:tcPr>
            <w:tcW w:w="1701" w:type="dxa"/>
            <w:vAlign w:val="center"/>
          </w:tcPr>
          <w:p w14:paraId="1FC615CA" w14:textId="77777777" w:rsidR="00454A29" w:rsidRDefault="00454A29">
            <w:pPr>
              <w:pStyle w:val="ConsPlusNormal"/>
              <w:jc w:val="center"/>
            </w:pPr>
            <w:r>
              <w:t>-</w:t>
            </w:r>
          </w:p>
        </w:tc>
        <w:tc>
          <w:tcPr>
            <w:tcW w:w="1814" w:type="dxa"/>
            <w:vAlign w:val="center"/>
          </w:tcPr>
          <w:p w14:paraId="0D3EA1CE" w14:textId="77777777" w:rsidR="00454A29" w:rsidRDefault="00454A29">
            <w:pPr>
              <w:pStyle w:val="ConsPlusNormal"/>
              <w:jc w:val="center"/>
            </w:pPr>
            <w:r>
              <w:t>-</w:t>
            </w:r>
          </w:p>
        </w:tc>
      </w:tr>
      <w:tr w:rsidR="00454A29" w14:paraId="44F9F8EF" w14:textId="77777777">
        <w:tc>
          <w:tcPr>
            <w:tcW w:w="567" w:type="dxa"/>
            <w:vMerge/>
          </w:tcPr>
          <w:p w14:paraId="33DE9F05" w14:textId="77777777" w:rsidR="00454A29" w:rsidRDefault="00454A29"/>
        </w:tc>
        <w:tc>
          <w:tcPr>
            <w:tcW w:w="3345" w:type="dxa"/>
            <w:vMerge/>
          </w:tcPr>
          <w:p w14:paraId="7E875263" w14:textId="77777777" w:rsidR="00454A29" w:rsidRDefault="00454A29"/>
        </w:tc>
        <w:tc>
          <w:tcPr>
            <w:tcW w:w="1701" w:type="dxa"/>
            <w:vAlign w:val="center"/>
          </w:tcPr>
          <w:p w14:paraId="28709C6C" w14:textId="77777777" w:rsidR="00454A29" w:rsidRDefault="00454A29">
            <w:pPr>
              <w:pStyle w:val="ConsPlusNormal"/>
              <w:jc w:val="center"/>
            </w:pPr>
            <w:r>
              <w:t>2020</w:t>
            </w:r>
          </w:p>
        </w:tc>
        <w:tc>
          <w:tcPr>
            <w:tcW w:w="1417" w:type="dxa"/>
            <w:vMerge/>
          </w:tcPr>
          <w:p w14:paraId="032DA9D7" w14:textId="77777777" w:rsidR="00454A29" w:rsidRDefault="00454A29"/>
        </w:tc>
        <w:tc>
          <w:tcPr>
            <w:tcW w:w="2204" w:type="dxa"/>
            <w:vMerge/>
          </w:tcPr>
          <w:p w14:paraId="09D93EFA" w14:textId="77777777" w:rsidR="00454A29" w:rsidRDefault="00454A29"/>
        </w:tc>
        <w:tc>
          <w:tcPr>
            <w:tcW w:w="1417" w:type="dxa"/>
            <w:vMerge/>
          </w:tcPr>
          <w:p w14:paraId="6E51B431" w14:textId="77777777" w:rsidR="00454A29" w:rsidRDefault="00454A29"/>
        </w:tc>
        <w:tc>
          <w:tcPr>
            <w:tcW w:w="2324" w:type="dxa"/>
            <w:vMerge/>
          </w:tcPr>
          <w:p w14:paraId="4F7AB58D" w14:textId="77777777" w:rsidR="00454A29" w:rsidRDefault="00454A29"/>
        </w:tc>
        <w:tc>
          <w:tcPr>
            <w:tcW w:w="1701" w:type="dxa"/>
            <w:vAlign w:val="center"/>
          </w:tcPr>
          <w:p w14:paraId="3193B339" w14:textId="77777777" w:rsidR="00454A29" w:rsidRDefault="00454A29">
            <w:pPr>
              <w:pStyle w:val="ConsPlusNormal"/>
            </w:pPr>
          </w:p>
        </w:tc>
        <w:tc>
          <w:tcPr>
            <w:tcW w:w="1814" w:type="dxa"/>
            <w:vAlign w:val="center"/>
          </w:tcPr>
          <w:p w14:paraId="0A4F52C0" w14:textId="77777777" w:rsidR="00454A29" w:rsidRDefault="00454A29">
            <w:pPr>
              <w:pStyle w:val="ConsPlusNormal"/>
            </w:pPr>
          </w:p>
        </w:tc>
        <w:tc>
          <w:tcPr>
            <w:tcW w:w="1701" w:type="dxa"/>
            <w:vAlign w:val="center"/>
          </w:tcPr>
          <w:p w14:paraId="20263657" w14:textId="77777777" w:rsidR="00454A29" w:rsidRDefault="00454A29">
            <w:pPr>
              <w:pStyle w:val="ConsPlusNormal"/>
            </w:pPr>
          </w:p>
        </w:tc>
        <w:tc>
          <w:tcPr>
            <w:tcW w:w="1701" w:type="dxa"/>
            <w:vAlign w:val="center"/>
          </w:tcPr>
          <w:p w14:paraId="74FF6FFC" w14:textId="77777777" w:rsidR="00454A29" w:rsidRDefault="00454A29">
            <w:pPr>
              <w:pStyle w:val="ConsPlusNormal"/>
            </w:pPr>
          </w:p>
        </w:tc>
        <w:tc>
          <w:tcPr>
            <w:tcW w:w="1814" w:type="dxa"/>
            <w:vAlign w:val="center"/>
          </w:tcPr>
          <w:p w14:paraId="06780239" w14:textId="77777777" w:rsidR="00454A29" w:rsidRDefault="00454A29">
            <w:pPr>
              <w:pStyle w:val="ConsPlusNormal"/>
            </w:pPr>
          </w:p>
        </w:tc>
      </w:tr>
      <w:tr w:rsidR="00454A29" w14:paraId="661C89EA" w14:textId="77777777">
        <w:tc>
          <w:tcPr>
            <w:tcW w:w="567" w:type="dxa"/>
            <w:vMerge/>
          </w:tcPr>
          <w:p w14:paraId="44CFB374" w14:textId="77777777" w:rsidR="00454A29" w:rsidRDefault="00454A29"/>
        </w:tc>
        <w:tc>
          <w:tcPr>
            <w:tcW w:w="3345" w:type="dxa"/>
            <w:vMerge/>
          </w:tcPr>
          <w:p w14:paraId="6F243FAE" w14:textId="77777777" w:rsidR="00454A29" w:rsidRDefault="00454A29"/>
        </w:tc>
        <w:tc>
          <w:tcPr>
            <w:tcW w:w="1701" w:type="dxa"/>
            <w:vAlign w:val="center"/>
          </w:tcPr>
          <w:p w14:paraId="5CABEE8B" w14:textId="77777777" w:rsidR="00454A29" w:rsidRDefault="00454A29">
            <w:pPr>
              <w:pStyle w:val="ConsPlusNormal"/>
              <w:jc w:val="center"/>
            </w:pPr>
            <w:r>
              <w:t>2021</w:t>
            </w:r>
          </w:p>
        </w:tc>
        <w:tc>
          <w:tcPr>
            <w:tcW w:w="1417" w:type="dxa"/>
            <w:vMerge/>
          </w:tcPr>
          <w:p w14:paraId="4AEB3FE9" w14:textId="77777777" w:rsidR="00454A29" w:rsidRDefault="00454A29"/>
        </w:tc>
        <w:tc>
          <w:tcPr>
            <w:tcW w:w="2204" w:type="dxa"/>
            <w:vMerge/>
          </w:tcPr>
          <w:p w14:paraId="3DFF9953" w14:textId="77777777" w:rsidR="00454A29" w:rsidRDefault="00454A29"/>
        </w:tc>
        <w:tc>
          <w:tcPr>
            <w:tcW w:w="1417" w:type="dxa"/>
            <w:vMerge/>
          </w:tcPr>
          <w:p w14:paraId="11A9CA2A" w14:textId="77777777" w:rsidR="00454A29" w:rsidRDefault="00454A29"/>
        </w:tc>
        <w:tc>
          <w:tcPr>
            <w:tcW w:w="2324" w:type="dxa"/>
            <w:vMerge/>
          </w:tcPr>
          <w:p w14:paraId="39BD6BE6" w14:textId="77777777" w:rsidR="00454A29" w:rsidRDefault="00454A29"/>
        </w:tc>
        <w:tc>
          <w:tcPr>
            <w:tcW w:w="1701" w:type="dxa"/>
            <w:vAlign w:val="center"/>
          </w:tcPr>
          <w:p w14:paraId="32E12AB3" w14:textId="77777777" w:rsidR="00454A29" w:rsidRDefault="00454A29">
            <w:pPr>
              <w:pStyle w:val="ConsPlusNormal"/>
            </w:pPr>
          </w:p>
        </w:tc>
        <w:tc>
          <w:tcPr>
            <w:tcW w:w="1814" w:type="dxa"/>
            <w:vAlign w:val="center"/>
          </w:tcPr>
          <w:p w14:paraId="032FEE32" w14:textId="77777777" w:rsidR="00454A29" w:rsidRDefault="00454A29">
            <w:pPr>
              <w:pStyle w:val="ConsPlusNormal"/>
            </w:pPr>
          </w:p>
        </w:tc>
        <w:tc>
          <w:tcPr>
            <w:tcW w:w="1701" w:type="dxa"/>
            <w:vAlign w:val="center"/>
          </w:tcPr>
          <w:p w14:paraId="60D1AD7C" w14:textId="77777777" w:rsidR="00454A29" w:rsidRDefault="00454A29">
            <w:pPr>
              <w:pStyle w:val="ConsPlusNormal"/>
            </w:pPr>
          </w:p>
        </w:tc>
        <w:tc>
          <w:tcPr>
            <w:tcW w:w="1701" w:type="dxa"/>
            <w:vAlign w:val="center"/>
          </w:tcPr>
          <w:p w14:paraId="66F9462A" w14:textId="77777777" w:rsidR="00454A29" w:rsidRDefault="00454A29">
            <w:pPr>
              <w:pStyle w:val="ConsPlusNormal"/>
            </w:pPr>
          </w:p>
        </w:tc>
        <w:tc>
          <w:tcPr>
            <w:tcW w:w="1814" w:type="dxa"/>
            <w:vAlign w:val="center"/>
          </w:tcPr>
          <w:p w14:paraId="04059B1E" w14:textId="77777777" w:rsidR="00454A29" w:rsidRDefault="00454A29">
            <w:pPr>
              <w:pStyle w:val="ConsPlusNormal"/>
            </w:pPr>
          </w:p>
        </w:tc>
      </w:tr>
      <w:tr w:rsidR="00454A29" w14:paraId="56CDE8AF" w14:textId="77777777">
        <w:tc>
          <w:tcPr>
            <w:tcW w:w="567" w:type="dxa"/>
            <w:vMerge/>
          </w:tcPr>
          <w:p w14:paraId="6FE3C2CD" w14:textId="77777777" w:rsidR="00454A29" w:rsidRDefault="00454A29"/>
        </w:tc>
        <w:tc>
          <w:tcPr>
            <w:tcW w:w="3345" w:type="dxa"/>
            <w:vMerge/>
          </w:tcPr>
          <w:p w14:paraId="0FB528CA" w14:textId="77777777" w:rsidR="00454A29" w:rsidRDefault="00454A29"/>
        </w:tc>
        <w:tc>
          <w:tcPr>
            <w:tcW w:w="1701" w:type="dxa"/>
            <w:vAlign w:val="center"/>
          </w:tcPr>
          <w:p w14:paraId="33EA79AB" w14:textId="77777777" w:rsidR="00454A29" w:rsidRDefault="00454A29">
            <w:pPr>
              <w:pStyle w:val="ConsPlusNormal"/>
              <w:jc w:val="center"/>
            </w:pPr>
            <w:r>
              <w:t>2022</w:t>
            </w:r>
          </w:p>
        </w:tc>
        <w:tc>
          <w:tcPr>
            <w:tcW w:w="1417" w:type="dxa"/>
            <w:vMerge/>
          </w:tcPr>
          <w:p w14:paraId="454A5602" w14:textId="77777777" w:rsidR="00454A29" w:rsidRDefault="00454A29"/>
        </w:tc>
        <w:tc>
          <w:tcPr>
            <w:tcW w:w="2204" w:type="dxa"/>
            <w:vMerge/>
          </w:tcPr>
          <w:p w14:paraId="4FD2701B" w14:textId="77777777" w:rsidR="00454A29" w:rsidRDefault="00454A29"/>
        </w:tc>
        <w:tc>
          <w:tcPr>
            <w:tcW w:w="1417" w:type="dxa"/>
            <w:vMerge/>
          </w:tcPr>
          <w:p w14:paraId="57238C6E" w14:textId="77777777" w:rsidR="00454A29" w:rsidRDefault="00454A29"/>
        </w:tc>
        <w:tc>
          <w:tcPr>
            <w:tcW w:w="2324" w:type="dxa"/>
            <w:vMerge/>
          </w:tcPr>
          <w:p w14:paraId="09CF42E3" w14:textId="77777777" w:rsidR="00454A29" w:rsidRDefault="00454A29"/>
        </w:tc>
        <w:tc>
          <w:tcPr>
            <w:tcW w:w="1701" w:type="dxa"/>
            <w:vAlign w:val="center"/>
          </w:tcPr>
          <w:p w14:paraId="6F45B9A8" w14:textId="77777777" w:rsidR="00454A29" w:rsidRDefault="00454A29">
            <w:pPr>
              <w:pStyle w:val="ConsPlusNormal"/>
            </w:pPr>
          </w:p>
        </w:tc>
        <w:tc>
          <w:tcPr>
            <w:tcW w:w="1814" w:type="dxa"/>
            <w:vAlign w:val="center"/>
          </w:tcPr>
          <w:p w14:paraId="60F04EE6" w14:textId="77777777" w:rsidR="00454A29" w:rsidRDefault="00454A29">
            <w:pPr>
              <w:pStyle w:val="ConsPlusNormal"/>
            </w:pPr>
          </w:p>
        </w:tc>
        <w:tc>
          <w:tcPr>
            <w:tcW w:w="1701" w:type="dxa"/>
            <w:vAlign w:val="center"/>
          </w:tcPr>
          <w:p w14:paraId="7E0FCAE8" w14:textId="77777777" w:rsidR="00454A29" w:rsidRDefault="00454A29">
            <w:pPr>
              <w:pStyle w:val="ConsPlusNormal"/>
            </w:pPr>
          </w:p>
        </w:tc>
        <w:tc>
          <w:tcPr>
            <w:tcW w:w="1701" w:type="dxa"/>
            <w:vAlign w:val="center"/>
          </w:tcPr>
          <w:p w14:paraId="3EE82210" w14:textId="77777777" w:rsidR="00454A29" w:rsidRDefault="00454A29">
            <w:pPr>
              <w:pStyle w:val="ConsPlusNormal"/>
            </w:pPr>
          </w:p>
        </w:tc>
        <w:tc>
          <w:tcPr>
            <w:tcW w:w="1814" w:type="dxa"/>
            <w:vAlign w:val="center"/>
          </w:tcPr>
          <w:p w14:paraId="6A6F9C59" w14:textId="77777777" w:rsidR="00454A29" w:rsidRDefault="00454A29">
            <w:pPr>
              <w:pStyle w:val="ConsPlusNormal"/>
            </w:pPr>
          </w:p>
        </w:tc>
      </w:tr>
      <w:tr w:rsidR="00454A29" w14:paraId="21673A2F" w14:textId="77777777">
        <w:tc>
          <w:tcPr>
            <w:tcW w:w="567" w:type="dxa"/>
            <w:vMerge/>
          </w:tcPr>
          <w:p w14:paraId="3464600F" w14:textId="77777777" w:rsidR="00454A29" w:rsidRDefault="00454A29"/>
        </w:tc>
        <w:tc>
          <w:tcPr>
            <w:tcW w:w="3345" w:type="dxa"/>
            <w:vMerge/>
          </w:tcPr>
          <w:p w14:paraId="09C5FB2A" w14:textId="77777777" w:rsidR="00454A29" w:rsidRDefault="00454A29"/>
        </w:tc>
        <w:tc>
          <w:tcPr>
            <w:tcW w:w="1701" w:type="dxa"/>
            <w:vAlign w:val="center"/>
          </w:tcPr>
          <w:p w14:paraId="0B413A53" w14:textId="77777777" w:rsidR="00454A29" w:rsidRDefault="00454A29">
            <w:pPr>
              <w:pStyle w:val="ConsPlusNormal"/>
              <w:jc w:val="center"/>
            </w:pPr>
            <w:r>
              <w:t>2023</w:t>
            </w:r>
          </w:p>
        </w:tc>
        <w:tc>
          <w:tcPr>
            <w:tcW w:w="1417" w:type="dxa"/>
            <w:vMerge/>
          </w:tcPr>
          <w:p w14:paraId="6067413E" w14:textId="77777777" w:rsidR="00454A29" w:rsidRDefault="00454A29"/>
        </w:tc>
        <w:tc>
          <w:tcPr>
            <w:tcW w:w="2204" w:type="dxa"/>
            <w:vMerge/>
          </w:tcPr>
          <w:p w14:paraId="743EBF1D" w14:textId="77777777" w:rsidR="00454A29" w:rsidRDefault="00454A29"/>
        </w:tc>
        <w:tc>
          <w:tcPr>
            <w:tcW w:w="1417" w:type="dxa"/>
            <w:vMerge/>
          </w:tcPr>
          <w:p w14:paraId="2636A257" w14:textId="77777777" w:rsidR="00454A29" w:rsidRDefault="00454A29"/>
        </w:tc>
        <w:tc>
          <w:tcPr>
            <w:tcW w:w="2324" w:type="dxa"/>
            <w:vMerge/>
          </w:tcPr>
          <w:p w14:paraId="18FE9F2D" w14:textId="77777777" w:rsidR="00454A29" w:rsidRDefault="00454A29"/>
        </w:tc>
        <w:tc>
          <w:tcPr>
            <w:tcW w:w="1701" w:type="dxa"/>
            <w:vAlign w:val="center"/>
          </w:tcPr>
          <w:p w14:paraId="7B2D4455" w14:textId="77777777" w:rsidR="00454A29" w:rsidRDefault="00454A29">
            <w:pPr>
              <w:pStyle w:val="ConsPlusNormal"/>
              <w:jc w:val="center"/>
            </w:pPr>
            <w:r>
              <w:t>96 693,71</w:t>
            </w:r>
          </w:p>
        </w:tc>
        <w:tc>
          <w:tcPr>
            <w:tcW w:w="1814" w:type="dxa"/>
            <w:vAlign w:val="center"/>
          </w:tcPr>
          <w:p w14:paraId="12A3598F" w14:textId="77777777" w:rsidR="00454A29" w:rsidRDefault="00454A29">
            <w:pPr>
              <w:pStyle w:val="ConsPlusNormal"/>
              <w:jc w:val="center"/>
            </w:pPr>
            <w:r>
              <w:t>966,94</w:t>
            </w:r>
          </w:p>
        </w:tc>
        <w:tc>
          <w:tcPr>
            <w:tcW w:w="1701" w:type="dxa"/>
            <w:vAlign w:val="center"/>
          </w:tcPr>
          <w:p w14:paraId="1FAF6CFC" w14:textId="77777777" w:rsidR="00454A29" w:rsidRDefault="00454A29">
            <w:pPr>
              <w:pStyle w:val="ConsPlusNormal"/>
              <w:jc w:val="center"/>
            </w:pPr>
            <w:r>
              <w:t>95726,77488</w:t>
            </w:r>
          </w:p>
        </w:tc>
        <w:tc>
          <w:tcPr>
            <w:tcW w:w="1701" w:type="dxa"/>
            <w:vAlign w:val="center"/>
          </w:tcPr>
          <w:p w14:paraId="27F4D591" w14:textId="77777777" w:rsidR="00454A29" w:rsidRDefault="00454A29">
            <w:pPr>
              <w:pStyle w:val="ConsPlusNormal"/>
            </w:pPr>
          </w:p>
        </w:tc>
        <w:tc>
          <w:tcPr>
            <w:tcW w:w="1814" w:type="dxa"/>
            <w:vAlign w:val="center"/>
          </w:tcPr>
          <w:p w14:paraId="76B1E33B" w14:textId="77777777" w:rsidR="00454A29" w:rsidRDefault="00454A29">
            <w:pPr>
              <w:pStyle w:val="ConsPlusNormal"/>
            </w:pPr>
          </w:p>
        </w:tc>
      </w:tr>
      <w:tr w:rsidR="00454A29" w14:paraId="7BF606DD" w14:textId="77777777">
        <w:tc>
          <w:tcPr>
            <w:tcW w:w="567" w:type="dxa"/>
            <w:vMerge/>
          </w:tcPr>
          <w:p w14:paraId="102FD859" w14:textId="77777777" w:rsidR="00454A29" w:rsidRDefault="00454A29"/>
        </w:tc>
        <w:tc>
          <w:tcPr>
            <w:tcW w:w="3345" w:type="dxa"/>
            <w:vMerge/>
          </w:tcPr>
          <w:p w14:paraId="168B7573" w14:textId="77777777" w:rsidR="00454A29" w:rsidRDefault="00454A29"/>
        </w:tc>
        <w:tc>
          <w:tcPr>
            <w:tcW w:w="1701" w:type="dxa"/>
            <w:vAlign w:val="center"/>
          </w:tcPr>
          <w:p w14:paraId="7F256935" w14:textId="77777777" w:rsidR="00454A29" w:rsidRDefault="00454A29">
            <w:pPr>
              <w:pStyle w:val="ConsPlusNormal"/>
              <w:jc w:val="center"/>
            </w:pPr>
            <w:r>
              <w:t>2024</w:t>
            </w:r>
          </w:p>
        </w:tc>
        <w:tc>
          <w:tcPr>
            <w:tcW w:w="1417" w:type="dxa"/>
            <w:vMerge/>
          </w:tcPr>
          <w:p w14:paraId="59420B71" w14:textId="77777777" w:rsidR="00454A29" w:rsidRDefault="00454A29"/>
        </w:tc>
        <w:tc>
          <w:tcPr>
            <w:tcW w:w="2204" w:type="dxa"/>
            <w:vMerge/>
          </w:tcPr>
          <w:p w14:paraId="55BDCB30" w14:textId="77777777" w:rsidR="00454A29" w:rsidRDefault="00454A29"/>
        </w:tc>
        <w:tc>
          <w:tcPr>
            <w:tcW w:w="1417" w:type="dxa"/>
            <w:vMerge/>
          </w:tcPr>
          <w:p w14:paraId="6D28C1CF" w14:textId="77777777" w:rsidR="00454A29" w:rsidRDefault="00454A29"/>
        </w:tc>
        <w:tc>
          <w:tcPr>
            <w:tcW w:w="2324" w:type="dxa"/>
            <w:vMerge/>
          </w:tcPr>
          <w:p w14:paraId="4FA00614" w14:textId="77777777" w:rsidR="00454A29" w:rsidRDefault="00454A29"/>
        </w:tc>
        <w:tc>
          <w:tcPr>
            <w:tcW w:w="1701" w:type="dxa"/>
            <w:vAlign w:val="center"/>
          </w:tcPr>
          <w:p w14:paraId="49160C0D" w14:textId="77777777" w:rsidR="00454A29" w:rsidRDefault="00454A29">
            <w:pPr>
              <w:pStyle w:val="ConsPlusNormal"/>
            </w:pPr>
          </w:p>
        </w:tc>
        <w:tc>
          <w:tcPr>
            <w:tcW w:w="1814" w:type="dxa"/>
            <w:vAlign w:val="center"/>
          </w:tcPr>
          <w:p w14:paraId="6DD91FF1" w14:textId="77777777" w:rsidR="00454A29" w:rsidRDefault="00454A29">
            <w:pPr>
              <w:pStyle w:val="ConsPlusNormal"/>
            </w:pPr>
          </w:p>
        </w:tc>
        <w:tc>
          <w:tcPr>
            <w:tcW w:w="1701" w:type="dxa"/>
            <w:vAlign w:val="center"/>
          </w:tcPr>
          <w:p w14:paraId="3DAB5CDB" w14:textId="77777777" w:rsidR="00454A29" w:rsidRDefault="00454A29">
            <w:pPr>
              <w:pStyle w:val="ConsPlusNormal"/>
            </w:pPr>
          </w:p>
        </w:tc>
        <w:tc>
          <w:tcPr>
            <w:tcW w:w="1701" w:type="dxa"/>
            <w:vAlign w:val="center"/>
          </w:tcPr>
          <w:p w14:paraId="72162495" w14:textId="77777777" w:rsidR="00454A29" w:rsidRDefault="00454A29">
            <w:pPr>
              <w:pStyle w:val="ConsPlusNormal"/>
            </w:pPr>
          </w:p>
        </w:tc>
        <w:tc>
          <w:tcPr>
            <w:tcW w:w="1814" w:type="dxa"/>
            <w:vAlign w:val="center"/>
          </w:tcPr>
          <w:p w14:paraId="56865EF7" w14:textId="77777777" w:rsidR="00454A29" w:rsidRDefault="00454A29">
            <w:pPr>
              <w:pStyle w:val="ConsPlusNormal"/>
            </w:pPr>
          </w:p>
        </w:tc>
      </w:tr>
      <w:tr w:rsidR="00454A29" w14:paraId="5F3C37C7" w14:textId="77777777">
        <w:tc>
          <w:tcPr>
            <w:tcW w:w="567" w:type="dxa"/>
            <w:vMerge/>
          </w:tcPr>
          <w:p w14:paraId="28724406" w14:textId="77777777" w:rsidR="00454A29" w:rsidRDefault="00454A29"/>
        </w:tc>
        <w:tc>
          <w:tcPr>
            <w:tcW w:w="3345" w:type="dxa"/>
            <w:vMerge/>
          </w:tcPr>
          <w:p w14:paraId="42A857D9" w14:textId="77777777" w:rsidR="00454A29" w:rsidRDefault="00454A29"/>
        </w:tc>
        <w:tc>
          <w:tcPr>
            <w:tcW w:w="1701" w:type="dxa"/>
            <w:vAlign w:val="center"/>
          </w:tcPr>
          <w:p w14:paraId="4F3EE61D" w14:textId="77777777" w:rsidR="00454A29" w:rsidRDefault="00454A29">
            <w:pPr>
              <w:pStyle w:val="ConsPlusNormal"/>
              <w:jc w:val="center"/>
            </w:pPr>
            <w:r>
              <w:t>2025</w:t>
            </w:r>
          </w:p>
        </w:tc>
        <w:tc>
          <w:tcPr>
            <w:tcW w:w="1417" w:type="dxa"/>
            <w:vMerge/>
          </w:tcPr>
          <w:p w14:paraId="3B0ECEE9" w14:textId="77777777" w:rsidR="00454A29" w:rsidRDefault="00454A29"/>
        </w:tc>
        <w:tc>
          <w:tcPr>
            <w:tcW w:w="2204" w:type="dxa"/>
            <w:vMerge/>
          </w:tcPr>
          <w:p w14:paraId="42249B75" w14:textId="77777777" w:rsidR="00454A29" w:rsidRDefault="00454A29"/>
        </w:tc>
        <w:tc>
          <w:tcPr>
            <w:tcW w:w="1417" w:type="dxa"/>
            <w:vMerge/>
          </w:tcPr>
          <w:p w14:paraId="116CB70A" w14:textId="77777777" w:rsidR="00454A29" w:rsidRDefault="00454A29"/>
        </w:tc>
        <w:tc>
          <w:tcPr>
            <w:tcW w:w="2324" w:type="dxa"/>
            <w:vMerge/>
          </w:tcPr>
          <w:p w14:paraId="12B6C4D1" w14:textId="77777777" w:rsidR="00454A29" w:rsidRDefault="00454A29"/>
        </w:tc>
        <w:tc>
          <w:tcPr>
            <w:tcW w:w="1701" w:type="dxa"/>
            <w:vAlign w:val="center"/>
          </w:tcPr>
          <w:p w14:paraId="08A932A9" w14:textId="77777777" w:rsidR="00454A29" w:rsidRDefault="00454A29">
            <w:pPr>
              <w:pStyle w:val="ConsPlusNormal"/>
            </w:pPr>
          </w:p>
        </w:tc>
        <w:tc>
          <w:tcPr>
            <w:tcW w:w="1814" w:type="dxa"/>
            <w:vAlign w:val="center"/>
          </w:tcPr>
          <w:p w14:paraId="5E0941BA" w14:textId="77777777" w:rsidR="00454A29" w:rsidRDefault="00454A29">
            <w:pPr>
              <w:pStyle w:val="ConsPlusNormal"/>
            </w:pPr>
          </w:p>
        </w:tc>
        <w:tc>
          <w:tcPr>
            <w:tcW w:w="1701" w:type="dxa"/>
            <w:vAlign w:val="center"/>
          </w:tcPr>
          <w:p w14:paraId="242B6F96" w14:textId="77777777" w:rsidR="00454A29" w:rsidRDefault="00454A29">
            <w:pPr>
              <w:pStyle w:val="ConsPlusNormal"/>
            </w:pPr>
          </w:p>
        </w:tc>
        <w:tc>
          <w:tcPr>
            <w:tcW w:w="1701" w:type="dxa"/>
            <w:vAlign w:val="center"/>
          </w:tcPr>
          <w:p w14:paraId="3164A05D" w14:textId="77777777" w:rsidR="00454A29" w:rsidRDefault="00454A29">
            <w:pPr>
              <w:pStyle w:val="ConsPlusNormal"/>
            </w:pPr>
          </w:p>
        </w:tc>
        <w:tc>
          <w:tcPr>
            <w:tcW w:w="1814" w:type="dxa"/>
            <w:vAlign w:val="center"/>
          </w:tcPr>
          <w:p w14:paraId="7C68E593" w14:textId="77777777" w:rsidR="00454A29" w:rsidRDefault="00454A29">
            <w:pPr>
              <w:pStyle w:val="ConsPlusNormal"/>
            </w:pPr>
          </w:p>
        </w:tc>
      </w:tr>
      <w:tr w:rsidR="00454A29" w14:paraId="0ABC07CE" w14:textId="77777777">
        <w:tc>
          <w:tcPr>
            <w:tcW w:w="567" w:type="dxa"/>
            <w:vMerge/>
          </w:tcPr>
          <w:p w14:paraId="2434C568" w14:textId="77777777" w:rsidR="00454A29" w:rsidRDefault="00454A29"/>
        </w:tc>
        <w:tc>
          <w:tcPr>
            <w:tcW w:w="3345" w:type="dxa"/>
            <w:vMerge/>
          </w:tcPr>
          <w:p w14:paraId="1785E0C7" w14:textId="77777777" w:rsidR="00454A29" w:rsidRDefault="00454A29"/>
        </w:tc>
        <w:tc>
          <w:tcPr>
            <w:tcW w:w="1701" w:type="dxa"/>
            <w:vAlign w:val="center"/>
          </w:tcPr>
          <w:p w14:paraId="060CFC67" w14:textId="77777777" w:rsidR="00454A29" w:rsidRDefault="00454A29">
            <w:pPr>
              <w:pStyle w:val="ConsPlusNormal"/>
              <w:jc w:val="center"/>
            </w:pPr>
            <w:r>
              <w:t>2026</w:t>
            </w:r>
          </w:p>
        </w:tc>
        <w:tc>
          <w:tcPr>
            <w:tcW w:w="1417" w:type="dxa"/>
            <w:vMerge/>
          </w:tcPr>
          <w:p w14:paraId="3B3BA12F" w14:textId="77777777" w:rsidR="00454A29" w:rsidRDefault="00454A29"/>
        </w:tc>
        <w:tc>
          <w:tcPr>
            <w:tcW w:w="2204" w:type="dxa"/>
            <w:vMerge/>
          </w:tcPr>
          <w:p w14:paraId="79A35087" w14:textId="77777777" w:rsidR="00454A29" w:rsidRDefault="00454A29"/>
        </w:tc>
        <w:tc>
          <w:tcPr>
            <w:tcW w:w="1417" w:type="dxa"/>
            <w:vMerge/>
          </w:tcPr>
          <w:p w14:paraId="09553DB0" w14:textId="77777777" w:rsidR="00454A29" w:rsidRDefault="00454A29"/>
        </w:tc>
        <w:tc>
          <w:tcPr>
            <w:tcW w:w="2324" w:type="dxa"/>
            <w:vMerge/>
          </w:tcPr>
          <w:p w14:paraId="262C391E" w14:textId="77777777" w:rsidR="00454A29" w:rsidRDefault="00454A29"/>
        </w:tc>
        <w:tc>
          <w:tcPr>
            <w:tcW w:w="1701" w:type="dxa"/>
            <w:vAlign w:val="center"/>
          </w:tcPr>
          <w:p w14:paraId="099805E0" w14:textId="77777777" w:rsidR="00454A29" w:rsidRDefault="00454A29">
            <w:pPr>
              <w:pStyle w:val="ConsPlusNormal"/>
            </w:pPr>
          </w:p>
        </w:tc>
        <w:tc>
          <w:tcPr>
            <w:tcW w:w="1814" w:type="dxa"/>
            <w:vAlign w:val="center"/>
          </w:tcPr>
          <w:p w14:paraId="28260AEA" w14:textId="77777777" w:rsidR="00454A29" w:rsidRDefault="00454A29">
            <w:pPr>
              <w:pStyle w:val="ConsPlusNormal"/>
            </w:pPr>
          </w:p>
        </w:tc>
        <w:tc>
          <w:tcPr>
            <w:tcW w:w="1701" w:type="dxa"/>
            <w:vAlign w:val="center"/>
          </w:tcPr>
          <w:p w14:paraId="567D70BF" w14:textId="77777777" w:rsidR="00454A29" w:rsidRDefault="00454A29">
            <w:pPr>
              <w:pStyle w:val="ConsPlusNormal"/>
            </w:pPr>
          </w:p>
        </w:tc>
        <w:tc>
          <w:tcPr>
            <w:tcW w:w="1701" w:type="dxa"/>
            <w:vAlign w:val="center"/>
          </w:tcPr>
          <w:p w14:paraId="255B4301" w14:textId="77777777" w:rsidR="00454A29" w:rsidRDefault="00454A29">
            <w:pPr>
              <w:pStyle w:val="ConsPlusNormal"/>
            </w:pPr>
          </w:p>
        </w:tc>
        <w:tc>
          <w:tcPr>
            <w:tcW w:w="1814" w:type="dxa"/>
            <w:vAlign w:val="center"/>
          </w:tcPr>
          <w:p w14:paraId="39263B41" w14:textId="77777777" w:rsidR="00454A29" w:rsidRDefault="00454A29">
            <w:pPr>
              <w:pStyle w:val="ConsPlusNormal"/>
            </w:pPr>
          </w:p>
        </w:tc>
      </w:tr>
      <w:tr w:rsidR="00454A29" w14:paraId="1C173FD3" w14:textId="77777777">
        <w:tc>
          <w:tcPr>
            <w:tcW w:w="567" w:type="dxa"/>
            <w:vMerge w:val="restart"/>
            <w:vAlign w:val="center"/>
          </w:tcPr>
          <w:p w14:paraId="6A841F7B" w14:textId="77777777" w:rsidR="00454A29" w:rsidRDefault="00454A29">
            <w:pPr>
              <w:pStyle w:val="ConsPlusNormal"/>
              <w:jc w:val="center"/>
            </w:pPr>
            <w:r>
              <w:t>60</w:t>
            </w:r>
          </w:p>
        </w:tc>
        <w:tc>
          <w:tcPr>
            <w:tcW w:w="3345" w:type="dxa"/>
            <w:vMerge w:val="restart"/>
            <w:vAlign w:val="center"/>
          </w:tcPr>
          <w:p w14:paraId="69B8B3FB" w14:textId="77777777" w:rsidR="00454A29" w:rsidRDefault="00454A29">
            <w:pPr>
              <w:pStyle w:val="ConsPlusNormal"/>
              <w:jc w:val="center"/>
            </w:pPr>
            <w:r>
              <w:t>Школа на 120 учащихся в с. Чагда</w:t>
            </w:r>
          </w:p>
        </w:tc>
        <w:tc>
          <w:tcPr>
            <w:tcW w:w="1701" w:type="dxa"/>
            <w:vAlign w:val="center"/>
          </w:tcPr>
          <w:p w14:paraId="6DDD9F83" w14:textId="77777777" w:rsidR="00454A29" w:rsidRDefault="00454A29">
            <w:pPr>
              <w:pStyle w:val="ConsPlusNormal"/>
              <w:jc w:val="center"/>
            </w:pPr>
            <w:r>
              <w:t>2020 - 2026 годы - всего</w:t>
            </w:r>
          </w:p>
        </w:tc>
        <w:tc>
          <w:tcPr>
            <w:tcW w:w="1417" w:type="dxa"/>
            <w:vMerge w:val="restart"/>
            <w:vAlign w:val="center"/>
          </w:tcPr>
          <w:p w14:paraId="6A3D640A" w14:textId="77777777" w:rsidR="00454A29" w:rsidRDefault="00454A29">
            <w:pPr>
              <w:pStyle w:val="ConsPlusNormal"/>
              <w:jc w:val="center"/>
            </w:pPr>
            <w:r>
              <w:t>531 356,42</w:t>
            </w:r>
          </w:p>
        </w:tc>
        <w:tc>
          <w:tcPr>
            <w:tcW w:w="2204" w:type="dxa"/>
            <w:vMerge w:val="restart"/>
            <w:vAlign w:val="center"/>
          </w:tcPr>
          <w:p w14:paraId="5033D2C9" w14:textId="77777777" w:rsidR="00454A29" w:rsidRDefault="00454A29">
            <w:pPr>
              <w:pStyle w:val="ConsPlusNormal"/>
            </w:pPr>
          </w:p>
        </w:tc>
        <w:tc>
          <w:tcPr>
            <w:tcW w:w="1417" w:type="dxa"/>
            <w:vMerge w:val="restart"/>
            <w:vAlign w:val="center"/>
          </w:tcPr>
          <w:p w14:paraId="6F2A4C39" w14:textId="77777777" w:rsidR="00454A29" w:rsidRDefault="00454A29">
            <w:pPr>
              <w:pStyle w:val="ConsPlusNormal"/>
              <w:jc w:val="center"/>
            </w:pPr>
            <w:r>
              <w:t>120</w:t>
            </w:r>
          </w:p>
        </w:tc>
        <w:tc>
          <w:tcPr>
            <w:tcW w:w="2324" w:type="dxa"/>
            <w:vMerge w:val="restart"/>
            <w:vAlign w:val="center"/>
          </w:tcPr>
          <w:p w14:paraId="44BB136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7E52C04" w14:textId="77777777" w:rsidR="00454A29" w:rsidRDefault="00454A29">
            <w:pPr>
              <w:pStyle w:val="ConsPlusNormal"/>
              <w:jc w:val="center"/>
            </w:pPr>
            <w:r>
              <w:t>531 356,42</w:t>
            </w:r>
          </w:p>
        </w:tc>
        <w:tc>
          <w:tcPr>
            <w:tcW w:w="1814" w:type="dxa"/>
            <w:vAlign w:val="center"/>
          </w:tcPr>
          <w:p w14:paraId="0DD6731E" w14:textId="77777777" w:rsidR="00454A29" w:rsidRDefault="00454A29">
            <w:pPr>
              <w:pStyle w:val="ConsPlusNormal"/>
              <w:jc w:val="center"/>
            </w:pPr>
            <w:r>
              <w:t>5 313,56</w:t>
            </w:r>
          </w:p>
        </w:tc>
        <w:tc>
          <w:tcPr>
            <w:tcW w:w="1701" w:type="dxa"/>
            <w:vAlign w:val="center"/>
          </w:tcPr>
          <w:p w14:paraId="770AFB52" w14:textId="77777777" w:rsidR="00454A29" w:rsidRDefault="00454A29">
            <w:pPr>
              <w:pStyle w:val="ConsPlusNormal"/>
              <w:jc w:val="center"/>
            </w:pPr>
            <w:r>
              <w:t>526 042,85</w:t>
            </w:r>
          </w:p>
        </w:tc>
        <w:tc>
          <w:tcPr>
            <w:tcW w:w="1701" w:type="dxa"/>
            <w:vAlign w:val="center"/>
          </w:tcPr>
          <w:p w14:paraId="7B58662E" w14:textId="77777777" w:rsidR="00454A29" w:rsidRDefault="00454A29">
            <w:pPr>
              <w:pStyle w:val="ConsPlusNormal"/>
              <w:jc w:val="center"/>
            </w:pPr>
            <w:r>
              <w:t>-</w:t>
            </w:r>
          </w:p>
        </w:tc>
        <w:tc>
          <w:tcPr>
            <w:tcW w:w="1814" w:type="dxa"/>
            <w:vAlign w:val="center"/>
          </w:tcPr>
          <w:p w14:paraId="0954FA69" w14:textId="77777777" w:rsidR="00454A29" w:rsidRDefault="00454A29">
            <w:pPr>
              <w:pStyle w:val="ConsPlusNormal"/>
              <w:jc w:val="center"/>
            </w:pPr>
            <w:r>
              <w:t>-</w:t>
            </w:r>
          </w:p>
        </w:tc>
      </w:tr>
      <w:tr w:rsidR="00454A29" w14:paraId="463F1F2D" w14:textId="77777777">
        <w:tc>
          <w:tcPr>
            <w:tcW w:w="567" w:type="dxa"/>
            <w:vMerge/>
          </w:tcPr>
          <w:p w14:paraId="42F8458A" w14:textId="77777777" w:rsidR="00454A29" w:rsidRDefault="00454A29"/>
        </w:tc>
        <w:tc>
          <w:tcPr>
            <w:tcW w:w="3345" w:type="dxa"/>
            <w:vMerge/>
          </w:tcPr>
          <w:p w14:paraId="49908856" w14:textId="77777777" w:rsidR="00454A29" w:rsidRDefault="00454A29"/>
        </w:tc>
        <w:tc>
          <w:tcPr>
            <w:tcW w:w="1701" w:type="dxa"/>
            <w:vAlign w:val="center"/>
          </w:tcPr>
          <w:p w14:paraId="48CB36D7" w14:textId="77777777" w:rsidR="00454A29" w:rsidRDefault="00454A29">
            <w:pPr>
              <w:pStyle w:val="ConsPlusNormal"/>
              <w:jc w:val="center"/>
            </w:pPr>
            <w:r>
              <w:t>2020</w:t>
            </w:r>
          </w:p>
        </w:tc>
        <w:tc>
          <w:tcPr>
            <w:tcW w:w="1417" w:type="dxa"/>
            <w:vMerge/>
          </w:tcPr>
          <w:p w14:paraId="3703A9A7" w14:textId="77777777" w:rsidR="00454A29" w:rsidRDefault="00454A29"/>
        </w:tc>
        <w:tc>
          <w:tcPr>
            <w:tcW w:w="2204" w:type="dxa"/>
            <w:vMerge/>
          </w:tcPr>
          <w:p w14:paraId="22903374" w14:textId="77777777" w:rsidR="00454A29" w:rsidRDefault="00454A29"/>
        </w:tc>
        <w:tc>
          <w:tcPr>
            <w:tcW w:w="1417" w:type="dxa"/>
            <w:vMerge/>
          </w:tcPr>
          <w:p w14:paraId="11129D12" w14:textId="77777777" w:rsidR="00454A29" w:rsidRDefault="00454A29"/>
        </w:tc>
        <w:tc>
          <w:tcPr>
            <w:tcW w:w="2324" w:type="dxa"/>
            <w:vMerge/>
          </w:tcPr>
          <w:p w14:paraId="12206A4C" w14:textId="77777777" w:rsidR="00454A29" w:rsidRDefault="00454A29"/>
        </w:tc>
        <w:tc>
          <w:tcPr>
            <w:tcW w:w="1701" w:type="dxa"/>
            <w:vAlign w:val="center"/>
          </w:tcPr>
          <w:p w14:paraId="009AA647" w14:textId="77777777" w:rsidR="00454A29" w:rsidRDefault="00454A29">
            <w:pPr>
              <w:pStyle w:val="ConsPlusNormal"/>
            </w:pPr>
          </w:p>
        </w:tc>
        <w:tc>
          <w:tcPr>
            <w:tcW w:w="1814" w:type="dxa"/>
            <w:vAlign w:val="center"/>
          </w:tcPr>
          <w:p w14:paraId="47E99BE7" w14:textId="77777777" w:rsidR="00454A29" w:rsidRDefault="00454A29">
            <w:pPr>
              <w:pStyle w:val="ConsPlusNormal"/>
            </w:pPr>
          </w:p>
        </w:tc>
        <w:tc>
          <w:tcPr>
            <w:tcW w:w="1701" w:type="dxa"/>
            <w:vAlign w:val="center"/>
          </w:tcPr>
          <w:p w14:paraId="680EC9E7" w14:textId="77777777" w:rsidR="00454A29" w:rsidRDefault="00454A29">
            <w:pPr>
              <w:pStyle w:val="ConsPlusNormal"/>
            </w:pPr>
          </w:p>
        </w:tc>
        <w:tc>
          <w:tcPr>
            <w:tcW w:w="1701" w:type="dxa"/>
            <w:vAlign w:val="center"/>
          </w:tcPr>
          <w:p w14:paraId="1A64982F" w14:textId="77777777" w:rsidR="00454A29" w:rsidRDefault="00454A29">
            <w:pPr>
              <w:pStyle w:val="ConsPlusNormal"/>
            </w:pPr>
          </w:p>
        </w:tc>
        <w:tc>
          <w:tcPr>
            <w:tcW w:w="1814" w:type="dxa"/>
            <w:vAlign w:val="center"/>
          </w:tcPr>
          <w:p w14:paraId="202F00D1" w14:textId="77777777" w:rsidR="00454A29" w:rsidRDefault="00454A29">
            <w:pPr>
              <w:pStyle w:val="ConsPlusNormal"/>
            </w:pPr>
          </w:p>
        </w:tc>
      </w:tr>
      <w:tr w:rsidR="00454A29" w14:paraId="65B9321E" w14:textId="77777777">
        <w:tc>
          <w:tcPr>
            <w:tcW w:w="567" w:type="dxa"/>
            <w:vMerge/>
          </w:tcPr>
          <w:p w14:paraId="7E9BE599" w14:textId="77777777" w:rsidR="00454A29" w:rsidRDefault="00454A29"/>
        </w:tc>
        <w:tc>
          <w:tcPr>
            <w:tcW w:w="3345" w:type="dxa"/>
            <w:vMerge/>
          </w:tcPr>
          <w:p w14:paraId="3DC42022" w14:textId="77777777" w:rsidR="00454A29" w:rsidRDefault="00454A29"/>
        </w:tc>
        <w:tc>
          <w:tcPr>
            <w:tcW w:w="1701" w:type="dxa"/>
            <w:vAlign w:val="center"/>
          </w:tcPr>
          <w:p w14:paraId="28119471" w14:textId="77777777" w:rsidR="00454A29" w:rsidRDefault="00454A29">
            <w:pPr>
              <w:pStyle w:val="ConsPlusNormal"/>
              <w:jc w:val="center"/>
            </w:pPr>
            <w:r>
              <w:t>2021</w:t>
            </w:r>
          </w:p>
        </w:tc>
        <w:tc>
          <w:tcPr>
            <w:tcW w:w="1417" w:type="dxa"/>
            <w:vMerge/>
          </w:tcPr>
          <w:p w14:paraId="45786F98" w14:textId="77777777" w:rsidR="00454A29" w:rsidRDefault="00454A29"/>
        </w:tc>
        <w:tc>
          <w:tcPr>
            <w:tcW w:w="2204" w:type="dxa"/>
            <w:vMerge/>
          </w:tcPr>
          <w:p w14:paraId="385DEB11" w14:textId="77777777" w:rsidR="00454A29" w:rsidRDefault="00454A29"/>
        </w:tc>
        <w:tc>
          <w:tcPr>
            <w:tcW w:w="1417" w:type="dxa"/>
            <w:vMerge/>
          </w:tcPr>
          <w:p w14:paraId="060FC4A5" w14:textId="77777777" w:rsidR="00454A29" w:rsidRDefault="00454A29"/>
        </w:tc>
        <w:tc>
          <w:tcPr>
            <w:tcW w:w="2324" w:type="dxa"/>
            <w:vMerge/>
          </w:tcPr>
          <w:p w14:paraId="25F79CC6" w14:textId="77777777" w:rsidR="00454A29" w:rsidRDefault="00454A29"/>
        </w:tc>
        <w:tc>
          <w:tcPr>
            <w:tcW w:w="1701" w:type="dxa"/>
            <w:vAlign w:val="center"/>
          </w:tcPr>
          <w:p w14:paraId="27461F90" w14:textId="77777777" w:rsidR="00454A29" w:rsidRDefault="00454A29">
            <w:pPr>
              <w:pStyle w:val="ConsPlusNormal"/>
              <w:jc w:val="center"/>
            </w:pPr>
            <w:r>
              <w:t>-</w:t>
            </w:r>
          </w:p>
        </w:tc>
        <w:tc>
          <w:tcPr>
            <w:tcW w:w="1814" w:type="dxa"/>
            <w:vAlign w:val="center"/>
          </w:tcPr>
          <w:p w14:paraId="4835A3AA" w14:textId="77777777" w:rsidR="00454A29" w:rsidRDefault="00454A29">
            <w:pPr>
              <w:pStyle w:val="ConsPlusNormal"/>
            </w:pPr>
          </w:p>
        </w:tc>
        <w:tc>
          <w:tcPr>
            <w:tcW w:w="1701" w:type="dxa"/>
            <w:vAlign w:val="center"/>
          </w:tcPr>
          <w:p w14:paraId="4CD48E1E" w14:textId="77777777" w:rsidR="00454A29" w:rsidRDefault="00454A29">
            <w:pPr>
              <w:pStyle w:val="ConsPlusNormal"/>
            </w:pPr>
          </w:p>
        </w:tc>
        <w:tc>
          <w:tcPr>
            <w:tcW w:w="1701" w:type="dxa"/>
            <w:vAlign w:val="center"/>
          </w:tcPr>
          <w:p w14:paraId="115CFB2E" w14:textId="77777777" w:rsidR="00454A29" w:rsidRDefault="00454A29">
            <w:pPr>
              <w:pStyle w:val="ConsPlusNormal"/>
            </w:pPr>
          </w:p>
        </w:tc>
        <w:tc>
          <w:tcPr>
            <w:tcW w:w="1814" w:type="dxa"/>
            <w:vAlign w:val="center"/>
          </w:tcPr>
          <w:p w14:paraId="371CC4DD" w14:textId="77777777" w:rsidR="00454A29" w:rsidRDefault="00454A29">
            <w:pPr>
              <w:pStyle w:val="ConsPlusNormal"/>
            </w:pPr>
          </w:p>
        </w:tc>
      </w:tr>
      <w:tr w:rsidR="00454A29" w14:paraId="03A2855A" w14:textId="77777777">
        <w:tc>
          <w:tcPr>
            <w:tcW w:w="567" w:type="dxa"/>
            <w:vMerge/>
          </w:tcPr>
          <w:p w14:paraId="0CC48EF4" w14:textId="77777777" w:rsidR="00454A29" w:rsidRDefault="00454A29"/>
        </w:tc>
        <w:tc>
          <w:tcPr>
            <w:tcW w:w="3345" w:type="dxa"/>
            <w:vMerge/>
          </w:tcPr>
          <w:p w14:paraId="6BACE940" w14:textId="77777777" w:rsidR="00454A29" w:rsidRDefault="00454A29"/>
        </w:tc>
        <w:tc>
          <w:tcPr>
            <w:tcW w:w="1701" w:type="dxa"/>
            <w:vAlign w:val="center"/>
          </w:tcPr>
          <w:p w14:paraId="637D2872" w14:textId="77777777" w:rsidR="00454A29" w:rsidRDefault="00454A29">
            <w:pPr>
              <w:pStyle w:val="ConsPlusNormal"/>
              <w:jc w:val="center"/>
            </w:pPr>
            <w:r>
              <w:t>2022</w:t>
            </w:r>
          </w:p>
        </w:tc>
        <w:tc>
          <w:tcPr>
            <w:tcW w:w="1417" w:type="dxa"/>
            <w:vMerge/>
          </w:tcPr>
          <w:p w14:paraId="53858257" w14:textId="77777777" w:rsidR="00454A29" w:rsidRDefault="00454A29"/>
        </w:tc>
        <w:tc>
          <w:tcPr>
            <w:tcW w:w="2204" w:type="dxa"/>
            <w:vMerge/>
          </w:tcPr>
          <w:p w14:paraId="43E63725" w14:textId="77777777" w:rsidR="00454A29" w:rsidRDefault="00454A29"/>
        </w:tc>
        <w:tc>
          <w:tcPr>
            <w:tcW w:w="1417" w:type="dxa"/>
            <w:vMerge/>
          </w:tcPr>
          <w:p w14:paraId="71DE63B9" w14:textId="77777777" w:rsidR="00454A29" w:rsidRDefault="00454A29"/>
        </w:tc>
        <w:tc>
          <w:tcPr>
            <w:tcW w:w="2324" w:type="dxa"/>
            <w:vMerge/>
          </w:tcPr>
          <w:p w14:paraId="7BA4B5E0" w14:textId="77777777" w:rsidR="00454A29" w:rsidRDefault="00454A29"/>
        </w:tc>
        <w:tc>
          <w:tcPr>
            <w:tcW w:w="1701" w:type="dxa"/>
            <w:vAlign w:val="center"/>
          </w:tcPr>
          <w:p w14:paraId="78E2545F" w14:textId="77777777" w:rsidR="00454A29" w:rsidRDefault="00454A29">
            <w:pPr>
              <w:pStyle w:val="ConsPlusNormal"/>
            </w:pPr>
          </w:p>
        </w:tc>
        <w:tc>
          <w:tcPr>
            <w:tcW w:w="1814" w:type="dxa"/>
            <w:vAlign w:val="center"/>
          </w:tcPr>
          <w:p w14:paraId="1DCBC669" w14:textId="77777777" w:rsidR="00454A29" w:rsidRDefault="00454A29">
            <w:pPr>
              <w:pStyle w:val="ConsPlusNormal"/>
            </w:pPr>
          </w:p>
        </w:tc>
        <w:tc>
          <w:tcPr>
            <w:tcW w:w="1701" w:type="dxa"/>
            <w:vAlign w:val="center"/>
          </w:tcPr>
          <w:p w14:paraId="2D877466" w14:textId="77777777" w:rsidR="00454A29" w:rsidRDefault="00454A29">
            <w:pPr>
              <w:pStyle w:val="ConsPlusNormal"/>
            </w:pPr>
          </w:p>
        </w:tc>
        <w:tc>
          <w:tcPr>
            <w:tcW w:w="1701" w:type="dxa"/>
            <w:vAlign w:val="center"/>
          </w:tcPr>
          <w:p w14:paraId="4089471E" w14:textId="77777777" w:rsidR="00454A29" w:rsidRDefault="00454A29">
            <w:pPr>
              <w:pStyle w:val="ConsPlusNormal"/>
            </w:pPr>
          </w:p>
        </w:tc>
        <w:tc>
          <w:tcPr>
            <w:tcW w:w="1814" w:type="dxa"/>
            <w:vAlign w:val="center"/>
          </w:tcPr>
          <w:p w14:paraId="6D7A3079" w14:textId="77777777" w:rsidR="00454A29" w:rsidRDefault="00454A29">
            <w:pPr>
              <w:pStyle w:val="ConsPlusNormal"/>
            </w:pPr>
          </w:p>
        </w:tc>
      </w:tr>
      <w:tr w:rsidR="00454A29" w14:paraId="5BCEE401" w14:textId="77777777">
        <w:tc>
          <w:tcPr>
            <w:tcW w:w="567" w:type="dxa"/>
            <w:vMerge/>
          </w:tcPr>
          <w:p w14:paraId="0CE276AF" w14:textId="77777777" w:rsidR="00454A29" w:rsidRDefault="00454A29"/>
        </w:tc>
        <w:tc>
          <w:tcPr>
            <w:tcW w:w="3345" w:type="dxa"/>
            <w:vMerge/>
          </w:tcPr>
          <w:p w14:paraId="66EFD8C3" w14:textId="77777777" w:rsidR="00454A29" w:rsidRDefault="00454A29"/>
        </w:tc>
        <w:tc>
          <w:tcPr>
            <w:tcW w:w="1701" w:type="dxa"/>
            <w:vAlign w:val="center"/>
          </w:tcPr>
          <w:p w14:paraId="1A5B8BBB" w14:textId="77777777" w:rsidR="00454A29" w:rsidRDefault="00454A29">
            <w:pPr>
              <w:pStyle w:val="ConsPlusNormal"/>
              <w:jc w:val="center"/>
            </w:pPr>
            <w:r>
              <w:t>2023</w:t>
            </w:r>
          </w:p>
        </w:tc>
        <w:tc>
          <w:tcPr>
            <w:tcW w:w="1417" w:type="dxa"/>
            <w:vMerge/>
          </w:tcPr>
          <w:p w14:paraId="450C4512" w14:textId="77777777" w:rsidR="00454A29" w:rsidRDefault="00454A29"/>
        </w:tc>
        <w:tc>
          <w:tcPr>
            <w:tcW w:w="2204" w:type="dxa"/>
            <w:vMerge/>
          </w:tcPr>
          <w:p w14:paraId="02C2AFF7" w14:textId="77777777" w:rsidR="00454A29" w:rsidRDefault="00454A29"/>
        </w:tc>
        <w:tc>
          <w:tcPr>
            <w:tcW w:w="1417" w:type="dxa"/>
            <w:vMerge/>
          </w:tcPr>
          <w:p w14:paraId="01E543D7" w14:textId="77777777" w:rsidR="00454A29" w:rsidRDefault="00454A29"/>
        </w:tc>
        <w:tc>
          <w:tcPr>
            <w:tcW w:w="2324" w:type="dxa"/>
            <w:vMerge/>
          </w:tcPr>
          <w:p w14:paraId="53684FEC" w14:textId="77777777" w:rsidR="00454A29" w:rsidRDefault="00454A29"/>
        </w:tc>
        <w:tc>
          <w:tcPr>
            <w:tcW w:w="1701" w:type="dxa"/>
            <w:vAlign w:val="center"/>
          </w:tcPr>
          <w:p w14:paraId="63CEDFC7" w14:textId="77777777" w:rsidR="00454A29" w:rsidRDefault="00454A29">
            <w:pPr>
              <w:pStyle w:val="ConsPlusNormal"/>
            </w:pPr>
          </w:p>
        </w:tc>
        <w:tc>
          <w:tcPr>
            <w:tcW w:w="1814" w:type="dxa"/>
            <w:vAlign w:val="center"/>
          </w:tcPr>
          <w:p w14:paraId="126BBFB2" w14:textId="77777777" w:rsidR="00454A29" w:rsidRDefault="00454A29">
            <w:pPr>
              <w:pStyle w:val="ConsPlusNormal"/>
            </w:pPr>
          </w:p>
        </w:tc>
        <w:tc>
          <w:tcPr>
            <w:tcW w:w="1701" w:type="dxa"/>
            <w:vAlign w:val="center"/>
          </w:tcPr>
          <w:p w14:paraId="4AA5C071" w14:textId="77777777" w:rsidR="00454A29" w:rsidRDefault="00454A29">
            <w:pPr>
              <w:pStyle w:val="ConsPlusNormal"/>
            </w:pPr>
          </w:p>
        </w:tc>
        <w:tc>
          <w:tcPr>
            <w:tcW w:w="1701" w:type="dxa"/>
            <w:vAlign w:val="center"/>
          </w:tcPr>
          <w:p w14:paraId="53D49268" w14:textId="77777777" w:rsidR="00454A29" w:rsidRDefault="00454A29">
            <w:pPr>
              <w:pStyle w:val="ConsPlusNormal"/>
            </w:pPr>
          </w:p>
        </w:tc>
        <w:tc>
          <w:tcPr>
            <w:tcW w:w="1814" w:type="dxa"/>
            <w:vAlign w:val="center"/>
          </w:tcPr>
          <w:p w14:paraId="1D017414" w14:textId="77777777" w:rsidR="00454A29" w:rsidRDefault="00454A29">
            <w:pPr>
              <w:pStyle w:val="ConsPlusNormal"/>
            </w:pPr>
          </w:p>
        </w:tc>
      </w:tr>
      <w:tr w:rsidR="00454A29" w14:paraId="105B6B3C" w14:textId="77777777">
        <w:tc>
          <w:tcPr>
            <w:tcW w:w="567" w:type="dxa"/>
            <w:vMerge/>
          </w:tcPr>
          <w:p w14:paraId="2B0DD1CE" w14:textId="77777777" w:rsidR="00454A29" w:rsidRDefault="00454A29"/>
        </w:tc>
        <w:tc>
          <w:tcPr>
            <w:tcW w:w="3345" w:type="dxa"/>
            <w:vMerge/>
          </w:tcPr>
          <w:p w14:paraId="4C36A4B3" w14:textId="77777777" w:rsidR="00454A29" w:rsidRDefault="00454A29"/>
        </w:tc>
        <w:tc>
          <w:tcPr>
            <w:tcW w:w="1701" w:type="dxa"/>
            <w:vAlign w:val="center"/>
          </w:tcPr>
          <w:p w14:paraId="67595133" w14:textId="77777777" w:rsidR="00454A29" w:rsidRDefault="00454A29">
            <w:pPr>
              <w:pStyle w:val="ConsPlusNormal"/>
              <w:jc w:val="center"/>
            </w:pPr>
            <w:r>
              <w:t>2024</w:t>
            </w:r>
          </w:p>
        </w:tc>
        <w:tc>
          <w:tcPr>
            <w:tcW w:w="1417" w:type="dxa"/>
            <w:vMerge/>
          </w:tcPr>
          <w:p w14:paraId="688CFA20" w14:textId="77777777" w:rsidR="00454A29" w:rsidRDefault="00454A29"/>
        </w:tc>
        <w:tc>
          <w:tcPr>
            <w:tcW w:w="2204" w:type="dxa"/>
            <w:vMerge/>
          </w:tcPr>
          <w:p w14:paraId="03648D59" w14:textId="77777777" w:rsidR="00454A29" w:rsidRDefault="00454A29"/>
        </w:tc>
        <w:tc>
          <w:tcPr>
            <w:tcW w:w="1417" w:type="dxa"/>
            <w:vMerge/>
          </w:tcPr>
          <w:p w14:paraId="438F3C24" w14:textId="77777777" w:rsidR="00454A29" w:rsidRDefault="00454A29"/>
        </w:tc>
        <w:tc>
          <w:tcPr>
            <w:tcW w:w="2324" w:type="dxa"/>
            <w:vMerge/>
          </w:tcPr>
          <w:p w14:paraId="6902FC61" w14:textId="77777777" w:rsidR="00454A29" w:rsidRDefault="00454A29"/>
        </w:tc>
        <w:tc>
          <w:tcPr>
            <w:tcW w:w="1701" w:type="dxa"/>
            <w:vAlign w:val="center"/>
          </w:tcPr>
          <w:p w14:paraId="32990422" w14:textId="77777777" w:rsidR="00454A29" w:rsidRDefault="00454A29">
            <w:pPr>
              <w:pStyle w:val="ConsPlusNormal"/>
            </w:pPr>
          </w:p>
        </w:tc>
        <w:tc>
          <w:tcPr>
            <w:tcW w:w="1814" w:type="dxa"/>
            <w:vAlign w:val="center"/>
          </w:tcPr>
          <w:p w14:paraId="33405F99" w14:textId="77777777" w:rsidR="00454A29" w:rsidRDefault="00454A29">
            <w:pPr>
              <w:pStyle w:val="ConsPlusNormal"/>
            </w:pPr>
          </w:p>
        </w:tc>
        <w:tc>
          <w:tcPr>
            <w:tcW w:w="1701" w:type="dxa"/>
            <w:vAlign w:val="center"/>
          </w:tcPr>
          <w:p w14:paraId="47A042DA" w14:textId="77777777" w:rsidR="00454A29" w:rsidRDefault="00454A29">
            <w:pPr>
              <w:pStyle w:val="ConsPlusNormal"/>
            </w:pPr>
          </w:p>
        </w:tc>
        <w:tc>
          <w:tcPr>
            <w:tcW w:w="1701" w:type="dxa"/>
            <w:vAlign w:val="center"/>
          </w:tcPr>
          <w:p w14:paraId="6A318FF7" w14:textId="77777777" w:rsidR="00454A29" w:rsidRDefault="00454A29">
            <w:pPr>
              <w:pStyle w:val="ConsPlusNormal"/>
            </w:pPr>
          </w:p>
        </w:tc>
        <w:tc>
          <w:tcPr>
            <w:tcW w:w="1814" w:type="dxa"/>
            <w:vAlign w:val="center"/>
          </w:tcPr>
          <w:p w14:paraId="0A6CF0B8" w14:textId="77777777" w:rsidR="00454A29" w:rsidRDefault="00454A29">
            <w:pPr>
              <w:pStyle w:val="ConsPlusNormal"/>
            </w:pPr>
          </w:p>
        </w:tc>
      </w:tr>
      <w:tr w:rsidR="00454A29" w14:paraId="75B76BFF" w14:textId="77777777">
        <w:tc>
          <w:tcPr>
            <w:tcW w:w="567" w:type="dxa"/>
            <w:vMerge/>
          </w:tcPr>
          <w:p w14:paraId="1E2D8C9B" w14:textId="77777777" w:rsidR="00454A29" w:rsidRDefault="00454A29"/>
        </w:tc>
        <w:tc>
          <w:tcPr>
            <w:tcW w:w="3345" w:type="dxa"/>
            <w:vMerge/>
          </w:tcPr>
          <w:p w14:paraId="5477C570" w14:textId="77777777" w:rsidR="00454A29" w:rsidRDefault="00454A29"/>
        </w:tc>
        <w:tc>
          <w:tcPr>
            <w:tcW w:w="1701" w:type="dxa"/>
            <w:vAlign w:val="center"/>
          </w:tcPr>
          <w:p w14:paraId="11DE3D32" w14:textId="77777777" w:rsidR="00454A29" w:rsidRDefault="00454A29">
            <w:pPr>
              <w:pStyle w:val="ConsPlusNormal"/>
              <w:jc w:val="center"/>
            </w:pPr>
            <w:r>
              <w:t>2025</w:t>
            </w:r>
          </w:p>
        </w:tc>
        <w:tc>
          <w:tcPr>
            <w:tcW w:w="1417" w:type="dxa"/>
            <w:vMerge/>
          </w:tcPr>
          <w:p w14:paraId="15DE6309" w14:textId="77777777" w:rsidR="00454A29" w:rsidRDefault="00454A29"/>
        </w:tc>
        <w:tc>
          <w:tcPr>
            <w:tcW w:w="2204" w:type="dxa"/>
            <w:vMerge/>
          </w:tcPr>
          <w:p w14:paraId="0F8A08C5" w14:textId="77777777" w:rsidR="00454A29" w:rsidRDefault="00454A29"/>
        </w:tc>
        <w:tc>
          <w:tcPr>
            <w:tcW w:w="1417" w:type="dxa"/>
            <w:vMerge/>
          </w:tcPr>
          <w:p w14:paraId="3D7F1F65" w14:textId="77777777" w:rsidR="00454A29" w:rsidRDefault="00454A29"/>
        </w:tc>
        <w:tc>
          <w:tcPr>
            <w:tcW w:w="2324" w:type="dxa"/>
            <w:vMerge/>
          </w:tcPr>
          <w:p w14:paraId="50E43783" w14:textId="77777777" w:rsidR="00454A29" w:rsidRDefault="00454A29"/>
        </w:tc>
        <w:tc>
          <w:tcPr>
            <w:tcW w:w="1701" w:type="dxa"/>
            <w:vAlign w:val="center"/>
          </w:tcPr>
          <w:p w14:paraId="5E3283EA" w14:textId="77777777" w:rsidR="00454A29" w:rsidRDefault="00454A29">
            <w:pPr>
              <w:pStyle w:val="ConsPlusNormal"/>
              <w:jc w:val="center"/>
            </w:pPr>
            <w:r>
              <w:t>531 356,42</w:t>
            </w:r>
          </w:p>
        </w:tc>
        <w:tc>
          <w:tcPr>
            <w:tcW w:w="1814" w:type="dxa"/>
            <w:vAlign w:val="center"/>
          </w:tcPr>
          <w:p w14:paraId="52FB945A" w14:textId="77777777" w:rsidR="00454A29" w:rsidRDefault="00454A29">
            <w:pPr>
              <w:pStyle w:val="ConsPlusNormal"/>
              <w:jc w:val="center"/>
            </w:pPr>
            <w:r>
              <w:t>5 313,56</w:t>
            </w:r>
          </w:p>
        </w:tc>
        <w:tc>
          <w:tcPr>
            <w:tcW w:w="1701" w:type="dxa"/>
            <w:vAlign w:val="center"/>
          </w:tcPr>
          <w:p w14:paraId="18773390" w14:textId="77777777" w:rsidR="00454A29" w:rsidRDefault="00454A29">
            <w:pPr>
              <w:pStyle w:val="ConsPlusNormal"/>
              <w:jc w:val="center"/>
            </w:pPr>
            <w:r>
              <w:t>526 042,85</w:t>
            </w:r>
          </w:p>
        </w:tc>
        <w:tc>
          <w:tcPr>
            <w:tcW w:w="1701" w:type="dxa"/>
            <w:vAlign w:val="center"/>
          </w:tcPr>
          <w:p w14:paraId="3001E03F" w14:textId="77777777" w:rsidR="00454A29" w:rsidRDefault="00454A29">
            <w:pPr>
              <w:pStyle w:val="ConsPlusNormal"/>
            </w:pPr>
          </w:p>
        </w:tc>
        <w:tc>
          <w:tcPr>
            <w:tcW w:w="1814" w:type="dxa"/>
            <w:vAlign w:val="center"/>
          </w:tcPr>
          <w:p w14:paraId="5304AEEC" w14:textId="77777777" w:rsidR="00454A29" w:rsidRDefault="00454A29">
            <w:pPr>
              <w:pStyle w:val="ConsPlusNormal"/>
            </w:pPr>
          </w:p>
        </w:tc>
      </w:tr>
      <w:tr w:rsidR="00454A29" w14:paraId="51DCEFA6" w14:textId="77777777">
        <w:tc>
          <w:tcPr>
            <w:tcW w:w="567" w:type="dxa"/>
            <w:vMerge/>
          </w:tcPr>
          <w:p w14:paraId="18B714CB" w14:textId="77777777" w:rsidR="00454A29" w:rsidRDefault="00454A29"/>
        </w:tc>
        <w:tc>
          <w:tcPr>
            <w:tcW w:w="3345" w:type="dxa"/>
            <w:vMerge/>
          </w:tcPr>
          <w:p w14:paraId="42A56CAA" w14:textId="77777777" w:rsidR="00454A29" w:rsidRDefault="00454A29"/>
        </w:tc>
        <w:tc>
          <w:tcPr>
            <w:tcW w:w="1701" w:type="dxa"/>
            <w:vAlign w:val="center"/>
          </w:tcPr>
          <w:p w14:paraId="5F468315" w14:textId="77777777" w:rsidR="00454A29" w:rsidRDefault="00454A29">
            <w:pPr>
              <w:pStyle w:val="ConsPlusNormal"/>
              <w:jc w:val="center"/>
            </w:pPr>
            <w:r>
              <w:t>2026</w:t>
            </w:r>
          </w:p>
        </w:tc>
        <w:tc>
          <w:tcPr>
            <w:tcW w:w="1417" w:type="dxa"/>
            <w:vMerge/>
          </w:tcPr>
          <w:p w14:paraId="2F1FA7DA" w14:textId="77777777" w:rsidR="00454A29" w:rsidRDefault="00454A29"/>
        </w:tc>
        <w:tc>
          <w:tcPr>
            <w:tcW w:w="2204" w:type="dxa"/>
            <w:vMerge/>
          </w:tcPr>
          <w:p w14:paraId="6C772D42" w14:textId="77777777" w:rsidR="00454A29" w:rsidRDefault="00454A29"/>
        </w:tc>
        <w:tc>
          <w:tcPr>
            <w:tcW w:w="1417" w:type="dxa"/>
            <w:vMerge/>
          </w:tcPr>
          <w:p w14:paraId="33103FBA" w14:textId="77777777" w:rsidR="00454A29" w:rsidRDefault="00454A29"/>
        </w:tc>
        <w:tc>
          <w:tcPr>
            <w:tcW w:w="2324" w:type="dxa"/>
            <w:vMerge/>
          </w:tcPr>
          <w:p w14:paraId="11699B10" w14:textId="77777777" w:rsidR="00454A29" w:rsidRDefault="00454A29"/>
        </w:tc>
        <w:tc>
          <w:tcPr>
            <w:tcW w:w="1701" w:type="dxa"/>
            <w:vAlign w:val="center"/>
          </w:tcPr>
          <w:p w14:paraId="1B6E7C26" w14:textId="77777777" w:rsidR="00454A29" w:rsidRDefault="00454A29">
            <w:pPr>
              <w:pStyle w:val="ConsPlusNormal"/>
            </w:pPr>
          </w:p>
        </w:tc>
        <w:tc>
          <w:tcPr>
            <w:tcW w:w="1814" w:type="dxa"/>
            <w:vAlign w:val="center"/>
          </w:tcPr>
          <w:p w14:paraId="789D6E48" w14:textId="77777777" w:rsidR="00454A29" w:rsidRDefault="00454A29">
            <w:pPr>
              <w:pStyle w:val="ConsPlusNormal"/>
            </w:pPr>
          </w:p>
        </w:tc>
        <w:tc>
          <w:tcPr>
            <w:tcW w:w="1701" w:type="dxa"/>
            <w:vAlign w:val="center"/>
          </w:tcPr>
          <w:p w14:paraId="4A9CAE00" w14:textId="77777777" w:rsidR="00454A29" w:rsidRDefault="00454A29">
            <w:pPr>
              <w:pStyle w:val="ConsPlusNormal"/>
            </w:pPr>
          </w:p>
        </w:tc>
        <w:tc>
          <w:tcPr>
            <w:tcW w:w="1701" w:type="dxa"/>
            <w:vAlign w:val="center"/>
          </w:tcPr>
          <w:p w14:paraId="77CC1AED" w14:textId="77777777" w:rsidR="00454A29" w:rsidRDefault="00454A29">
            <w:pPr>
              <w:pStyle w:val="ConsPlusNormal"/>
            </w:pPr>
          </w:p>
        </w:tc>
        <w:tc>
          <w:tcPr>
            <w:tcW w:w="1814" w:type="dxa"/>
            <w:vAlign w:val="center"/>
          </w:tcPr>
          <w:p w14:paraId="6C31E9A2" w14:textId="77777777" w:rsidR="00454A29" w:rsidRDefault="00454A29">
            <w:pPr>
              <w:pStyle w:val="ConsPlusNormal"/>
            </w:pPr>
          </w:p>
        </w:tc>
      </w:tr>
      <w:tr w:rsidR="00454A29" w14:paraId="76836159" w14:textId="77777777">
        <w:tc>
          <w:tcPr>
            <w:tcW w:w="567" w:type="dxa"/>
            <w:vMerge w:val="restart"/>
            <w:vAlign w:val="center"/>
          </w:tcPr>
          <w:p w14:paraId="23E2A0A1" w14:textId="77777777" w:rsidR="00454A29" w:rsidRDefault="00454A29">
            <w:pPr>
              <w:pStyle w:val="ConsPlusNormal"/>
              <w:jc w:val="center"/>
            </w:pPr>
            <w:r>
              <w:t>61</w:t>
            </w:r>
          </w:p>
        </w:tc>
        <w:tc>
          <w:tcPr>
            <w:tcW w:w="3345" w:type="dxa"/>
            <w:vMerge w:val="restart"/>
            <w:vAlign w:val="center"/>
          </w:tcPr>
          <w:p w14:paraId="4838F47D" w14:textId="77777777" w:rsidR="00454A29" w:rsidRDefault="00454A29">
            <w:pPr>
              <w:pStyle w:val="ConsPlusNormal"/>
              <w:jc w:val="center"/>
            </w:pPr>
            <w:r>
              <w:t>Школа на 550 учащихся в п. Сангар</w:t>
            </w:r>
          </w:p>
        </w:tc>
        <w:tc>
          <w:tcPr>
            <w:tcW w:w="1701" w:type="dxa"/>
            <w:vAlign w:val="center"/>
          </w:tcPr>
          <w:p w14:paraId="4C083B7F" w14:textId="77777777" w:rsidR="00454A29" w:rsidRDefault="00454A29">
            <w:pPr>
              <w:pStyle w:val="ConsPlusNormal"/>
              <w:jc w:val="center"/>
            </w:pPr>
            <w:r>
              <w:t>2020 - 2026 годы - всего</w:t>
            </w:r>
          </w:p>
        </w:tc>
        <w:tc>
          <w:tcPr>
            <w:tcW w:w="1417" w:type="dxa"/>
            <w:vMerge w:val="restart"/>
            <w:vAlign w:val="center"/>
          </w:tcPr>
          <w:p w14:paraId="72DF5A0A" w14:textId="77777777" w:rsidR="00454A29" w:rsidRDefault="00454A29">
            <w:pPr>
              <w:pStyle w:val="ConsPlusNormal"/>
              <w:jc w:val="center"/>
            </w:pPr>
            <w:r>
              <w:t>913 743,00</w:t>
            </w:r>
          </w:p>
        </w:tc>
        <w:tc>
          <w:tcPr>
            <w:tcW w:w="2204" w:type="dxa"/>
            <w:vMerge w:val="restart"/>
            <w:vAlign w:val="center"/>
          </w:tcPr>
          <w:p w14:paraId="7D8E28D7" w14:textId="77777777" w:rsidR="00454A29" w:rsidRDefault="00454A29">
            <w:pPr>
              <w:pStyle w:val="ConsPlusNormal"/>
            </w:pPr>
          </w:p>
        </w:tc>
        <w:tc>
          <w:tcPr>
            <w:tcW w:w="1417" w:type="dxa"/>
            <w:vMerge w:val="restart"/>
            <w:vAlign w:val="center"/>
          </w:tcPr>
          <w:p w14:paraId="51C1C002" w14:textId="77777777" w:rsidR="00454A29" w:rsidRDefault="00454A29">
            <w:pPr>
              <w:pStyle w:val="ConsPlusNormal"/>
              <w:jc w:val="center"/>
            </w:pPr>
            <w:r>
              <w:t>550</w:t>
            </w:r>
          </w:p>
        </w:tc>
        <w:tc>
          <w:tcPr>
            <w:tcW w:w="2324" w:type="dxa"/>
            <w:vMerge w:val="restart"/>
            <w:vAlign w:val="center"/>
          </w:tcPr>
          <w:p w14:paraId="10EFE8F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EC91635" w14:textId="77777777" w:rsidR="00454A29" w:rsidRDefault="00454A29">
            <w:pPr>
              <w:pStyle w:val="ConsPlusNormal"/>
              <w:jc w:val="center"/>
            </w:pPr>
            <w:r>
              <w:t>913 743,00</w:t>
            </w:r>
          </w:p>
        </w:tc>
        <w:tc>
          <w:tcPr>
            <w:tcW w:w="1814" w:type="dxa"/>
            <w:vAlign w:val="center"/>
          </w:tcPr>
          <w:p w14:paraId="6365DE39" w14:textId="77777777" w:rsidR="00454A29" w:rsidRDefault="00454A29">
            <w:pPr>
              <w:pStyle w:val="ConsPlusNormal"/>
              <w:jc w:val="center"/>
            </w:pPr>
            <w:r>
              <w:t>11 558,85</w:t>
            </w:r>
          </w:p>
        </w:tc>
        <w:tc>
          <w:tcPr>
            <w:tcW w:w="1701" w:type="dxa"/>
            <w:vAlign w:val="center"/>
          </w:tcPr>
          <w:p w14:paraId="560B0AEB" w14:textId="77777777" w:rsidR="00454A29" w:rsidRDefault="00454A29">
            <w:pPr>
              <w:pStyle w:val="ConsPlusNormal"/>
              <w:jc w:val="center"/>
            </w:pPr>
            <w:r>
              <w:t>1 144 326,05</w:t>
            </w:r>
          </w:p>
        </w:tc>
        <w:tc>
          <w:tcPr>
            <w:tcW w:w="1701" w:type="dxa"/>
            <w:vAlign w:val="center"/>
          </w:tcPr>
          <w:p w14:paraId="00AECDE4" w14:textId="77777777" w:rsidR="00454A29" w:rsidRDefault="00454A29">
            <w:pPr>
              <w:pStyle w:val="ConsPlusNormal"/>
              <w:jc w:val="center"/>
            </w:pPr>
            <w:r>
              <w:t>-</w:t>
            </w:r>
          </w:p>
        </w:tc>
        <w:tc>
          <w:tcPr>
            <w:tcW w:w="1814" w:type="dxa"/>
            <w:vAlign w:val="center"/>
          </w:tcPr>
          <w:p w14:paraId="4D1D4240" w14:textId="77777777" w:rsidR="00454A29" w:rsidRDefault="00454A29">
            <w:pPr>
              <w:pStyle w:val="ConsPlusNormal"/>
              <w:jc w:val="center"/>
            </w:pPr>
            <w:r>
              <w:t>-</w:t>
            </w:r>
          </w:p>
        </w:tc>
      </w:tr>
      <w:tr w:rsidR="00454A29" w14:paraId="1CB056C4" w14:textId="77777777">
        <w:tc>
          <w:tcPr>
            <w:tcW w:w="567" w:type="dxa"/>
            <w:vMerge/>
          </w:tcPr>
          <w:p w14:paraId="293A7F4E" w14:textId="77777777" w:rsidR="00454A29" w:rsidRDefault="00454A29"/>
        </w:tc>
        <w:tc>
          <w:tcPr>
            <w:tcW w:w="3345" w:type="dxa"/>
            <w:vMerge/>
          </w:tcPr>
          <w:p w14:paraId="4432A36F" w14:textId="77777777" w:rsidR="00454A29" w:rsidRDefault="00454A29"/>
        </w:tc>
        <w:tc>
          <w:tcPr>
            <w:tcW w:w="1701" w:type="dxa"/>
            <w:vAlign w:val="center"/>
          </w:tcPr>
          <w:p w14:paraId="65B4B9D4" w14:textId="77777777" w:rsidR="00454A29" w:rsidRDefault="00454A29">
            <w:pPr>
              <w:pStyle w:val="ConsPlusNormal"/>
              <w:jc w:val="center"/>
            </w:pPr>
            <w:r>
              <w:t>2020</w:t>
            </w:r>
          </w:p>
        </w:tc>
        <w:tc>
          <w:tcPr>
            <w:tcW w:w="1417" w:type="dxa"/>
            <w:vMerge/>
          </w:tcPr>
          <w:p w14:paraId="6149F86B" w14:textId="77777777" w:rsidR="00454A29" w:rsidRDefault="00454A29"/>
        </w:tc>
        <w:tc>
          <w:tcPr>
            <w:tcW w:w="2204" w:type="dxa"/>
            <w:vMerge/>
          </w:tcPr>
          <w:p w14:paraId="6DCC0B1E" w14:textId="77777777" w:rsidR="00454A29" w:rsidRDefault="00454A29"/>
        </w:tc>
        <w:tc>
          <w:tcPr>
            <w:tcW w:w="1417" w:type="dxa"/>
            <w:vMerge/>
          </w:tcPr>
          <w:p w14:paraId="47D36D77" w14:textId="77777777" w:rsidR="00454A29" w:rsidRDefault="00454A29"/>
        </w:tc>
        <w:tc>
          <w:tcPr>
            <w:tcW w:w="2324" w:type="dxa"/>
            <w:vMerge/>
          </w:tcPr>
          <w:p w14:paraId="151B59E8" w14:textId="77777777" w:rsidR="00454A29" w:rsidRDefault="00454A29"/>
        </w:tc>
        <w:tc>
          <w:tcPr>
            <w:tcW w:w="1701" w:type="dxa"/>
            <w:vAlign w:val="center"/>
          </w:tcPr>
          <w:p w14:paraId="5554CD6E" w14:textId="77777777" w:rsidR="00454A29" w:rsidRDefault="00454A29">
            <w:pPr>
              <w:pStyle w:val="ConsPlusNormal"/>
            </w:pPr>
          </w:p>
        </w:tc>
        <w:tc>
          <w:tcPr>
            <w:tcW w:w="1814" w:type="dxa"/>
            <w:vAlign w:val="center"/>
          </w:tcPr>
          <w:p w14:paraId="3159DEFC" w14:textId="77777777" w:rsidR="00454A29" w:rsidRDefault="00454A29">
            <w:pPr>
              <w:pStyle w:val="ConsPlusNormal"/>
            </w:pPr>
          </w:p>
        </w:tc>
        <w:tc>
          <w:tcPr>
            <w:tcW w:w="1701" w:type="dxa"/>
            <w:vAlign w:val="center"/>
          </w:tcPr>
          <w:p w14:paraId="5FCC4435" w14:textId="77777777" w:rsidR="00454A29" w:rsidRDefault="00454A29">
            <w:pPr>
              <w:pStyle w:val="ConsPlusNormal"/>
            </w:pPr>
          </w:p>
        </w:tc>
        <w:tc>
          <w:tcPr>
            <w:tcW w:w="1701" w:type="dxa"/>
            <w:vAlign w:val="center"/>
          </w:tcPr>
          <w:p w14:paraId="3A619D37" w14:textId="77777777" w:rsidR="00454A29" w:rsidRDefault="00454A29">
            <w:pPr>
              <w:pStyle w:val="ConsPlusNormal"/>
            </w:pPr>
          </w:p>
        </w:tc>
        <w:tc>
          <w:tcPr>
            <w:tcW w:w="1814" w:type="dxa"/>
            <w:vAlign w:val="center"/>
          </w:tcPr>
          <w:p w14:paraId="4DD91967" w14:textId="77777777" w:rsidR="00454A29" w:rsidRDefault="00454A29">
            <w:pPr>
              <w:pStyle w:val="ConsPlusNormal"/>
            </w:pPr>
          </w:p>
        </w:tc>
      </w:tr>
      <w:tr w:rsidR="00454A29" w14:paraId="2099EF15" w14:textId="77777777">
        <w:tc>
          <w:tcPr>
            <w:tcW w:w="567" w:type="dxa"/>
            <w:vMerge/>
          </w:tcPr>
          <w:p w14:paraId="33FD6895" w14:textId="77777777" w:rsidR="00454A29" w:rsidRDefault="00454A29"/>
        </w:tc>
        <w:tc>
          <w:tcPr>
            <w:tcW w:w="3345" w:type="dxa"/>
            <w:vMerge/>
          </w:tcPr>
          <w:p w14:paraId="1BA1EBA1" w14:textId="77777777" w:rsidR="00454A29" w:rsidRDefault="00454A29"/>
        </w:tc>
        <w:tc>
          <w:tcPr>
            <w:tcW w:w="1701" w:type="dxa"/>
            <w:vAlign w:val="center"/>
          </w:tcPr>
          <w:p w14:paraId="2DD94E9D" w14:textId="77777777" w:rsidR="00454A29" w:rsidRDefault="00454A29">
            <w:pPr>
              <w:pStyle w:val="ConsPlusNormal"/>
              <w:jc w:val="center"/>
            </w:pPr>
            <w:r>
              <w:t>2021</w:t>
            </w:r>
          </w:p>
        </w:tc>
        <w:tc>
          <w:tcPr>
            <w:tcW w:w="1417" w:type="dxa"/>
            <w:vMerge/>
          </w:tcPr>
          <w:p w14:paraId="04A9AFAF" w14:textId="77777777" w:rsidR="00454A29" w:rsidRDefault="00454A29"/>
        </w:tc>
        <w:tc>
          <w:tcPr>
            <w:tcW w:w="2204" w:type="dxa"/>
            <w:vMerge/>
          </w:tcPr>
          <w:p w14:paraId="7CC58D75" w14:textId="77777777" w:rsidR="00454A29" w:rsidRDefault="00454A29"/>
        </w:tc>
        <w:tc>
          <w:tcPr>
            <w:tcW w:w="1417" w:type="dxa"/>
            <w:vMerge/>
          </w:tcPr>
          <w:p w14:paraId="41D0CD3F" w14:textId="77777777" w:rsidR="00454A29" w:rsidRDefault="00454A29"/>
        </w:tc>
        <w:tc>
          <w:tcPr>
            <w:tcW w:w="2324" w:type="dxa"/>
            <w:vMerge/>
          </w:tcPr>
          <w:p w14:paraId="025EBA97" w14:textId="77777777" w:rsidR="00454A29" w:rsidRDefault="00454A29"/>
        </w:tc>
        <w:tc>
          <w:tcPr>
            <w:tcW w:w="1701" w:type="dxa"/>
            <w:vAlign w:val="center"/>
          </w:tcPr>
          <w:p w14:paraId="0728D806" w14:textId="77777777" w:rsidR="00454A29" w:rsidRDefault="00454A29">
            <w:pPr>
              <w:pStyle w:val="ConsPlusNormal"/>
              <w:jc w:val="center"/>
            </w:pPr>
            <w:r>
              <w:t>-</w:t>
            </w:r>
          </w:p>
        </w:tc>
        <w:tc>
          <w:tcPr>
            <w:tcW w:w="1814" w:type="dxa"/>
            <w:vAlign w:val="center"/>
          </w:tcPr>
          <w:p w14:paraId="44F41541" w14:textId="77777777" w:rsidR="00454A29" w:rsidRDefault="00454A29">
            <w:pPr>
              <w:pStyle w:val="ConsPlusNormal"/>
            </w:pPr>
          </w:p>
        </w:tc>
        <w:tc>
          <w:tcPr>
            <w:tcW w:w="1701" w:type="dxa"/>
            <w:vAlign w:val="center"/>
          </w:tcPr>
          <w:p w14:paraId="62E03C7D" w14:textId="77777777" w:rsidR="00454A29" w:rsidRDefault="00454A29">
            <w:pPr>
              <w:pStyle w:val="ConsPlusNormal"/>
            </w:pPr>
          </w:p>
        </w:tc>
        <w:tc>
          <w:tcPr>
            <w:tcW w:w="1701" w:type="dxa"/>
            <w:vAlign w:val="center"/>
          </w:tcPr>
          <w:p w14:paraId="4F7D68D1" w14:textId="77777777" w:rsidR="00454A29" w:rsidRDefault="00454A29">
            <w:pPr>
              <w:pStyle w:val="ConsPlusNormal"/>
            </w:pPr>
          </w:p>
        </w:tc>
        <w:tc>
          <w:tcPr>
            <w:tcW w:w="1814" w:type="dxa"/>
            <w:vAlign w:val="center"/>
          </w:tcPr>
          <w:p w14:paraId="192AF8DD" w14:textId="77777777" w:rsidR="00454A29" w:rsidRDefault="00454A29">
            <w:pPr>
              <w:pStyle w:val="ConsPlusNormal"/>
            </w:pPr>
          </w:p>
        </w:tc>
      </w:tr>
      <w:tr w:rsidR="00454A29" w14:paraId="7B3166CF" w14:textId="77777777">
        <w:tc>
          <w:tcPr>
            <w:tcW w:w="567" w:type="dxa"/>
            <w:vMerge/>
          </w:tcPr>
          <w:p w14:paraId="4C75C654" w14:textId="77777777" w:rsidR="00454A29" w:rsidRDefault="00454A29"/>
        </w:tc>
        <w:tc>
          <w:tcPr>
            <w:tcW w:w="3345" w:type="dxa"/>
            <w:vMerge/>
          </w:tcPr>
          <w:p w14:paraId="5D466C37" w14:textId="77777777" w:rsidR="00454A29" w:rsidRDefault="00454A29"/>
        </w:tc>
        <w:tc>
          <w:tcPr>
            <w:tcW w:w="1701" w:type="dxa"/>
            <w:vAlign w:val="center"/>
          </w:tcPr>
          <w:p w14:paraId="71B262CD" w14:textId="77777777" w:rsidR="00454A29" w:rsidRDefault="00454A29">
            <w:pPr>
              <w:pStyle w:val="ConsPlusNormal"/>
              <w:jc w:val="center"/>
            </w:pPr>
            <w:r>
              <w:t>2022</w:t>
            </w:r>
          </w:p>
        </w:tc>
        <w:tc>
          <w:tcPr>
            <w:tcW w:w="1417" w:type="dxa"/>
            <w:vMerge/>
          </w:tcPr>
          <w:p w14:paraId="63855718" w14:textId="77777777" w:rsidR="00454A29" w:rsidRDefault="00454A29"/>
        </w:tc>
        <w:tc>
          <w:tcPr>
            <w:tcW w:w="2204" w:type="dxa"/>
            <w:vMerge/>
          </w:tcPr>
          <w:p w14:paraId="0D6B210B" w14:textId="77777777" w:rsidR="00454A29" w:rsidRDefault="00454A29"/>
        </w:tc>
        <w:tc>
          <w:tcPr>
            <w:tcW w:w="1417" w:type="dxa"/>
            <w:vMerge/>
          </w:tcPr>
          <w:p w14:paraId="61DF56FF" w14:textId="77777777" w:rsidR="00454A29" w:rsidRDefault="00454A29"/>
        </w:tc>
        <w:tc>
          <w:tcPr>
            <w:tcW w:w="2324" w:type="dxa"/>
            <w:vMerge/>
          </w:tcPr>
          <w:p w14:paraId="501950B9" w14:textId="77777777" w:rsidR="00454A29" w:rsidRDefault="00454A29"/>
        </w:tc>
        <w:tc>
          <w:tcPr>
            <w:tcW w:w="1701" w:type="dxa"/>
            <w:vAlign w:val="center"/>
          </w:tcPr>
          <w:p w14:paraId="763AAC1C" w14:textId="77777777" w:rsidR="00454A29" w:rsidRDefault="00454A29">
            <w:pPr>
              <w:pStyle w:val="ConsPlusNormal"/>
            </w:pPr>
          </w:p>
        </w:tc>
        <w:tc>
          <w:tcPr>
            <w:tcW w:w="1814" w:type="dxa"/>
            <w:vAlign w:val="center"/>
          </w:tcPr>
          <w:p w14:paraId="43E9A562" w14:textId="77777777" w:rsidR="00454A29" w:rsidRDefault="00454A29">
            <w:pPr>
              <w:pStyle w:val="ConsPlusNormal"/>
            </w:pPr>
          </w:p>
        </w:tc>
        <w:tc>
          <w:tcPr>
            <w:tcW w:w="1701" w:type="dxa"/>
            <w:vAlign w:val="center"/>
          </w:tcPr>
          <w:p w14:paraId="757A7A23" w14:textId="77777777" w:rsidR="00454A29" w:rsidRDefault="00454A29">
            <w:pPr>
              <w:pStyle w:val="ConsPlusNormal"/>
            </w:pPr>
          </w:p>
        </w:tc>
        <w:tc>
          <w:tcPr>
            <w:tcW w:w="1701" w:type="dxa"/>
            <w:vAlign w:val="center"/>
          </w:tcPr>
          <w:p w14:paraId="76AC933D" w14:textId="77777777" w:rsidR="00454A29" w:rsidRDefault="00454A29">
            <w:pPr>
              <w:pStyle w:val="ConsPlusNormal"/>
            </w:pPr>
          </w:p>
        </w:tc>
        <w:tc>
          <w:tcPr>
            <w:tcW w:w="1814" w:type="dxa"/>
            <w:vAlign w:val="center"/>
          </w:tcPr>
          <w:p w14:paraId="5599752F" w14:textId="77777777" w:rsidR="00454A29" w:rsidRDefault="00454A29">
            <w:pPr>
              <w:pStyle w:val="ConsPlusNormal"/>
            </w:pPr>
          </w:p>
        </w:tc>
      </w:tr>
      <w:tr w:rsidR="00454A29" w14:paraId="3981A4C5" w14:textId="77777777">
        <w:tc>
          <w:tcPr>
            <w:tcW w:w="567" w:type="dxa"/>
            <w:vMerge/>
          </w:tcPr>
          <w:p w14:paraId="31421221" w14:textId="77777777" w:rsidR="00454A29" w:rsidRDefault="00454A29"/>
        </w:tc>
        <w:tc>
          <w:tcPr>
            <w:tcW w:w="3345" w:type="dxa"/>
            <w:vMerge/>
          </w:tcPr>
          <w:p w14:paraId="4EBE4A70" w14:textId="77777777" w:rsidR="00454A29" w:rsidRDefault="00454A29"/>
        </w:tc>
        <w:tc>
          <w:tcPr>
            <w:tcW w:w="1701" w:type="dxa"/>
            <w:vAlign w:val="center"/>
          </w:tcPr>
          <w:p w14:paraId="753A8B58" w14:textId="77777777" w:rsidR="00454A29" w:rsidRDefault="00454A29">
            <w:pPr>
              <w:pStyle w:val="ConsPlusNormal"/>
              <w:jc w:val="center"/>
            </w:pPr>
            <w:r>
              <w:t>2023</w:t>
            </w:r>
          </w:p>
        </w:tc>
        <w:tc>
          <w:tcPr>
            <w:tcW w:w="1417" w:type="dxa"/>
            <w:vMerge/>
          </w:tcPr>
          <w:p w14:paraId="620094F2" w14:textId="77777777" w:rsidR="00454A29" w:rsidRDefault="00454A29"/>
        </w:tc>
        <w:tc>
          <w:tcPr>
            <w:tcW w:w="2204" w:type="dxa"/>
            <w:vMerge/>
          </w:tcPr>
          <w:p w14:paraId="4B5EE9FF" w14:textId="77777777" w:rsidR="00454A29" w:rsidRDefault="00454A29"/>
        </w:tc>
        <w:tc>
          <w:tcPr>
            <w:tcW w:w="1417" w:type="dxa"/>
            <w:vMerge/>
          </w:tcPr>
          <w:p w14:paraId="1343AC90" w14:textId="77777777" w:rsidR="00454A29" w:rsidRDefault="00454A29"/>
        </w:tc>
        <w:tc>
          <w:tcPr>
            <w:tcW w:w="2324" w:type="dxa"/>
            <w:vMerge/>
          </w:tcPr>
          <w:p w14:paraId="263FCA62" w14:textId="77777777" w:rsidR="00454A29" w:rsidRDefault="00454A29"/>
        </w:tc>
        <w:tc>
          <w:tcPr>
            <w:tcW w:w="1701" w:type="dxa"/>
            <w:vAlign w:val="center"/>
          </w:tcPr>
          <w:p w14:paraId="7843E2AC" w14:textId="77777777" w:rsidR="00454A29" w:rsidRDefault="00454A29">
            <w:pPr>
              <w:pStyle w:val="ConsPlusNormal"/>
            </w:pPr>
          </w:p>
        </w:tc>
        <w:tc>
          <w:tcPr>
            <w:tcW w:w="1814" w:type="dxa"/>
            <w:vAlign w:val="center"/>
          </w:tcPr>
          <w:p w14:paraId="5F5BCEDA" w14:textId="77777777" w:rsidR="00454A29" w:rsidRDefault="00454A29">
            <w:pPr>
              <w:pStyle w:val="ConsPlusNormal"/>
            </w:pPr>
          </w:p>
        </w:tc>
        <w:tc>
          <w:tcPr>
            <w:tcW w:w="1701" w:type="dxa"/>
            <w:vAlign w:val="center"/>
          </w:tcPr>
          <w:p w14:paraId="601B7076" w14:textId="77777777" w:rsidR="00454A29" w:rsidRDefault="00454A29">
            <w:pPr>
              <w:pStyle w:val="ConsPlusNormal"/>
            </w:pPr>
          </w:p>
        </w:tc>
        <w:tc>
          <w:tcPr>
            <w:tcW w:w="1701" w:type="dxa"/>
            <w:vAlign w:val="center"/>
          </w:tcPr>
          <w:p w14:paraId="17B654F5" w14:textId="77777777" w:rsidR="00454A29" w:rsidRDefault="00454A29">
            <w:pPr>
              <w:pStyle w:val="ConsPlusNormal"/>
            </w:pPr>
          </w:p>
        </w:tc>
        <w:tc>
          <w:tcPr>
            <w:tcW w:w="1814" w:type="dxa"/>
            <w:vAlign w:val="center"/>
          </w:tcPr>
          <w:p w14:paraId="48E5F8AB" w14:textId="77777777" w:rsidR="00454A29" w:rsidRDefault="00454A29">
            <w:pPr>
              <w:pStyle w:val="ConsPlusNormal"/>
            </w:pPr>
          </w:p>
        </w:tc>
      </w:tr>
      <w:tr w:rsidR="00454A29" w14:paraId="1799AFF1" w14:textId="77777777">
        <w:tc>
          <w:tcPr>
            <w:tcW w:w="567" w:type="dxa"/>
            <w:vMerge/>
          </w:tcPr>
          <w:p w14:paraId="3D9ADB94" w14:textId="77777777" w:rsidR="00454A29" w:rsidRDefault="00454A29"/>
        </w:tc>
        <w:tc>
          <w:tcPr>
            <w:tcW w:w="3345" w:type="dxa"/>
            <w:vMerge/>
          </w:tcPr>
          <w:p w14:paraId="78E69793" w14:textId="77777777" w:rsidR="00454A29" w:rsidRDefault="00454A29"/>
        </w:tc>
        <w:tc>
          <w:tcPr>
            <w:tcW w:w="1701" w:type="dxa"/>
            <w:vAlign w:val="center"/>
          </w:tcPr>
          <w:p w14:paraId="4151E84D" w14:textId="77777777" w:rsidR="00454A29" w:rsidRDefault="00454A29">
            <w:pPr>
              <w:pStyle w:val="ConsPlusNormal"/>
              <w:jc w:val="center"/>
            </w:pPr>
            <w:r>
              <w:t>2024</w:t>
            </w:r>
          </w:p>
        </w:tc>
        <w:tc>
          <w:tcPr>
            <w:tcW w:w="1417" w:type="dxa"/>
            <w:vMerge/>
          </w:tcPr>
          <w:p w14:paraId="7E499C39" w14:textId="77777777" w:rsidR="00454A29" w:rsidRDefault="00454A29"/>
        </w:tc>
        <w:tc>
          <w:tcPr>
            <w:tcW w:w="2204" w:type="dxa"/>
            <w:vMerge/>
          </w:tcPr>
          <w:p w14:paraId="68FB3722" w14:textId="77777777" w:rsidR="00454A29" w:rsidRDefault="00454A29"/>
        </w:tc>
        <w:tc>
          <w:tcPr>
            <w:tcW w:w="1417" w:type="dxa"/>
            <w:vMerge/>
          </w:tcPr>
          <w:p w14:paraId="087EFA15" w14:textId="77777777" w:rsidR="00454A29" w:rsidRDefault="00454A29"/>
        </w:tc>
        <w:tc>
          <w:tcPr>
            <w:tcW w:w="2324" w:type="dxa"/>
            <w:vMerge/>
          </w:tcPr>
          <w:p w14:paraId="0A4CAC3B" w14:textId="77777777" w:rsidR="00454A29" w:rsidRDefault="00454A29"/>
        </w:tc>
        <w:tc>
          <w:tcPr>
            <w:tcW w:w="1701" w:type="dxa"/>
            <w:vAlign w:val="center"/>
          </w:tcPr>
          <w:p w14:paraId="3A781A8B" w14:textId="77777777" w:rsidR="00454A29" w:rsidRDefault="00454A29">
            <w:pPr>
              <w:pStyle w:val="ConsPlusNormal"/>
            </w:pPr>
          </w:p>
        </w:tc>
        <w:tc>
          <w:tcPr>
            <w:tcW w:w="1814" w:type="dxa"/>
            <w:vAlign w:val="center"/>
          </w:tcPr>
          <w:p w14:paraId="2C9F086F" w14:textId="77777777" w:rsidR="00454A29" w:rsidRDefault="00454A29">
            <w:pPr>
              <w:pStyle w:val="ConsPlusNormal"/>
            </w:pPr>
          </w:p>
        </w:tc>
        <w:tc>
          <w:tcPr>
            <w:tcW w:w="1701" w:type="dxa"/>
            <w:vAlign w:val="center"/>
          </w:tcPr>
          <w:p w14:paraId="6C135E2B" w14:textId="77777777" w:rsidR="00454A29" w:rsidRDefault="00454A29">
            <w:pPr>
              <w:pStyle w:val="ConsPlusNormal"/>
            </w:pPr>
          </w:p>
        </w:tc>
        <w:tc>
          <w:tcPr>
            <w:tcW w:w="1701" w:type="dxa"/>
            <w:vAlign w:val="center"/>
          </w:tcPr>
          <w:p w14:paraId="3E107B47" w14:textId="77777777" w:rsidR="00454A29" w:rsidRDefault="00454A29">
            <w:pPr>
              <w:pStyle w:val="ConsPlusNormal"/>
            </w:pPr>
          </w:p>
        </w:tc>
        <w:tc>
          <w:tcPr>
            <w:tcW w:w="1814" w:type="dxa"/>
            <w:vAlign w:val="center"/>
          </w:tcPr>
          <w:p w14:paraId="19561CC0" w14:textId="77777777" w:rsidR="00454A29" w:rsidRDefault="00454A29">
            <w:pPr>
              <w:pStyle w:val="ConsPlusNormal"/>
            </w:pPr>
          </w:p>
        </w:tc>
      </w:tr>
      <w:tr w:rsidR="00454A29" w14:paraId="22714648" w14:textId="77777777">
        <w:tc>
          <w:tcPr>
            <w:tcW w:w="567" w:type="dxa"/>
            <w:vMerge/>
          </w:tcPr>
          <w:p w14:paraId="7DFF813F" w14:textId="77777777" w:rsidR="00454A29" w:rsidRDefault="00454A29"/>
        </w:tc>
        <w:tc>
          <w:tcPr>
            <w:tcW w:w="3345" w:type="dxa"/>
            <w:vMerge/>
          </w:tcPr>
          <w:p w14:paraId="4E0E3FC7" w14:textId="77777777" w:rsidR="00454A29" w:rsidRDefault="00454A29"/>
        </w:tc>
        <w:tc>
          <w:tcPr>
            <w:tcW w:w="1701" w:type="dxa"/>
            <w:vAlign w:val="center"/>
          </w:tcPr>
          <w:p w14:paraId="13B192BB" w14:textId="77777777" w:rsidR="00454A29" w:rsidRDefault="00454A29">
            <w:pPr>
              <w:pStyle w:val="ConsPlusNormal"/>
              <w:jc w:val="center"/>
            </w:pPr>
            <w:r>
              <w:t>2025</w:t>
            </w:r>
          </w:p>
        </w:tc>
        <w:tc>
          <w:tcPr>
            <w:tcW w:w="1417" w:type="dxa"/>
            <w:vMerge/>
          </w:tcPr>
          <w:p w14:paraId="1E56D6D1" w14:textId="77777777" w:rsidR="00454A29" w:rsidRDefault="00454A29"/>
        </w:tc>
        <w:tc>
          <w:tcPr>
            <w:tcW w:w="2204" w:type="dxa"/>
            <w:vMerge/>
          </w:tcPr>
          <w:p w14:paraId="047BE353" w14:textId="77777777" w:rsidR="00454A29" w:rsidRDefault="00454A29"/>
        </w:tc>
        <w:tc>
          <w:tcPr>
            <w:tcW w:w="1417" w:type="dxa"/>
            <w:vMerge/>
          </w:tcPr>
          <w:p w14:paraId="1FCCA100" w14:textId="77777777" w:rsidR="00454A29" w:rsidRDefault="00454A29"/>
        </w:tc>
        <w:tc>
          <w:tcPr>
            <w:tcW w:w="2324" w:type="dxa"/>
            <w:vMerge/>
          </w:tcPr>
          <w:p w14:paraId="0849392C" w14:textId="77777777" w:rsidR="00454A29" w:rsidRDefault="00454A29"/>
        </w:tc>
        <w:tc>
          <w:tcPr>
            <w:tcW w:w="1701" w:type="dxa"/>
            <w:vAlign w:val="center"/>
          </w:tcPr>
          <w:p w14:paraId="7C22FAFD" w14:textId="77777777" w:rsidR="00454A29" w:rsidRDefault="00454A29">
            <w:pPr>
              <w:pStyle w:val="ConsPlusNormal"/>
              <w:jc w:val="center"/>
            </w:pPr>
            <w:r>
              <w:t>913 743,00</w:t>
            </w:r>
          </w:p>
        </w:tc>
        <w:tc>
          <w:tcPr>
            <w:tcW w:w="1814" w:type="dxa"/>
            <w:vAlign w:val="center"/>
          </w:tcPr>
          <w:p w14:paraId="6503A9FA" w14:textId="77777777" w:rsidR="00454A29" w:rsidRDefault="00454A29">
            <w:pPr>
              <w:pStyle w:val="ConsPlusNormal"/>
              <w:jc w:val="center"/>
            </w:pPr>
            <w:r>
              <w:t>11 558,85</w:t>
            </w:r>
          </w:p>
        </w:tc>
        <w:tc>
          <w:tcPr>
            <w:tcW w:w="1701" w:type="dxa"/>
            <w:vAlign w:val="center"/>
          </w:tcPr>
          <w:p w14:paraId="589CD594" w14:textId="77777777" w:rsidR="00454A29" w:rsidRDefault="00454A29">
            <w:pPr>
              <w:pStyle w:val="ConsPlusNormal"/>
              <w:jc w:val="center"/>
            </w:pPr>
            <w:r>
              <w:t>1 144 326,05</w:t>
            </w:r>
          </w:p>
        </w:tc>
        <w:tc>
          <w:tcPr>
            <w:tcW w:w="1701" w:type="dxa"/>
            <w:vAlign w:val="center"/>
          </w:tcPr>
          <w:p w14:paraId="13BA6EFA" w14:textId="77777777" w:rsidR="00454A29" w:rsidRDefault="00454A29">
            <w:pPr>
              <w:pStyle w:val="ConsPlusNormal"/>
            </w:pPr>
          </w:p>
        </w:tc>
        <w:tc>
          <w:tcPr>
            <w:tcW w:w="1814" w:type="dxa"/>
            <w:vAlign w:val="center"/>
          </w:tcPr>
          <w:p w14:paraId="724028FC" w14:textId="77777777" w:rsidR="00454A29" w:rsidRDefault="00454A29">
            <w:pPr>
              <w:pStyle w:val="ConsPlusNormal"/>
            </w:pPr>
          </w:p>
        </w:tc>
      </w:tr>
      <w:tr w:rsidR="00454A29" w14:paraId="45D2FBC8" w14:textId="77777777">
        <w:tc>
          <w:tcPr>
            <w:tcW w:w="567" w:type="dxa"/>
            <w:vMerge/>
          </w:tcPr>
          <w:p w14:paraId="6EA20003" w14:textId="77777777" w:rsidR="00454A29" w:rsidRDefault="00454A29"/>
        </w:tc>
        <w:tc>
          <w:tcPr>
            <w:tcW w:w="3345" w:type="dxa"/>
            <w:vMerge/>
          </w:tcPr>
          <w:p w14:paraId="57E75458" w14:textId="77777777" w:rsidR="00454A29" w:rsidRDefault="00454A29"/>
        </w:tc>
        <w:tc>
          <w:tcPr>
            <w:tcW w:w="1701" w:type="dxa"/>
            <w:vAlign w:val="center"/>
          </w:tcPr>
          <w:p w14:paraId="609BAB7A" w14:textId="77777777" w:rsidR="00454A29" w:rsidRDefault="00454A29">
            <w:pPr>
              <w:pStyle w:val="ConsPlusNormal"/>
              <w:jc w:val="center"/>
            </w:pPr>
            <w:r>
              <w:t>2026</w:t>
            </w:r>
          </w:p>
        </w:tc>
        <w:tc>
          <w:tcPr>
            <w:tcW w:w="1417" w:type="dxa"/>
            <w:vMerge/>
          </w:tcPr>
          <w:p w14:paraId="4F0E5CA8" w14:textId="77777777" w:rsidR="00454A29" w:rsidRDefault="00454A29"/>
        </w:tc>
        <w:tc>
          <w:tcPr>
            <w:tcW w:w="2204" w:type="dxa"/>
            <w:vMerge/>
          </w:tcPr>
          <w:p w14:paraId="7505841A" w14:textId="77777777" w:rsidR="00454A29" w:rsidRDefault="00454A29"/>
        </w:tc>
        <w:tc>
          <w:tcPr>
            <w:tcW w:w="1417" w:type="dxa"/>
            <w:vMerge/>
          </w:tcPr>
          <w:p w14:paraId="6FA9C8F0" w14:textId="77777777" w:rsidR="00454A29" w:rsidRDefault="00454A29"/>
        </w:tc>
        <w:tc>
          <w:tcPr>
            <w:tcW w:w="2324" w:type="dxa"/>
            <w:vMerge/>
          </w:tcPr>
          <w:p w14:paraId="5F8E83D1" w14:textId="77777777" w:rsidR="00454A29" w:rsidRDefault="00454A29"/>
        </w:tc>
        <w:tc>
          <w:tcPr>
            <w:tcW w:w="1701" w:type="dxa"/>
            <w:vAlign w:val="center"/>
          </w:tcPr>
          <w:p w14:paraId="7963C0AA" w14:textId="77777777" w:rsidR="00454A29" w:rsidRDefault="00454A29">
            <w:pPr>
              <w:pStyle w:val="ConsPlusNormal"/>
            </w:pPr>
          </w:p>
        </w:tc>
        <w:tc>
          <w:tcPr>
            <w:tcW w:w="1814" w:type="dxa"/>
            <w:vAlign w:val="center"/>
          </w:tcPr>
          <w:p w14:paraId="02E32E80" w14:textId="77777777" w:rsidR="00454A29" w:rsidRDefault="00454A29">
            <w:pPr>
              <w:pStyle w:val="ConsPlusNormal"/>
            </w:pPr>
          </w:p>
        </w:tc>
        <w:tc>
          <w:tcPr>
            <w:tcW w:w="1701" w:type="dxa"/>
            <w:vAlign w:val="center"/>
          </w:tcPr>
          <w:p w14:paraId="607B97F9" w14:textId="77777777" w:rsidR="00454A29" w:rsidRDefault="00454A29">
            <w:pPr>
              <w:pStyle w:val="ConsPlusNormal"/>
            </w:pPr>
          </w:p>
        </w:tc>
        <w:tc>
          <w:tcPr>
            <w:tcW w:w="1701" w:type="dxa"/>
            <w:vAlign w:val="center"/>
          </w:tcPr>
          <w:p w14:paraId="00822380" w14:textId="77777777" w:rsidR="00454A29" w:rsidRDefault="00454A29">
            <w:pPr>
              <w:pStyle w:val="ConsPlusNormal"/>
            </w:pPr>
          </w:p>
        </w:tc>
        <w:tc>
          <w:tcPr>
            <w:tcW w:w="1814" w:type="dxa"/>
            <w:vAlign w:val="center"/>
          </w:tcPr>
          <w:p w14:paraId="1B98892B" w14:textId="77777777" w:rsidR="00454A29" w:rsidRDefault="00454A29">
            <w:pPr>
              <w:pStyle w:val="ConsPlusNormal"/>
            </w:pPr>
          </w:p>
        </w:tc>
      </w:tr>
      <w:tr w:rsidR="00454A29" w14:paraId="54EACA44" w14:textId="77777777">
        <w:tc>
          <w:tcPr>
            <w:tcW w:w="567" w:type="dxa"/>
            <w:vMerge w:val="restart"/>
            <w:vAlign w:val="center"/>
          </w:tcPr>
          <w:p w14:paraId="4A11FFBC" w14:textId="77777777" w:rsidR="00454A29" w:rsidRDefault="00454A29">
            <w:pPr>
              <w:pStyle w:val="ConsPlusNormal"/>
              <w:jc w:val="center"/>
            </w:pPr>
            <w:r>
              <w:t>62</w:t>
            </w:r>
          </w:p>
        </w:tc>
        <w:tc>
          <w:tcPr>
            <w:tcW w:w="3345" w:type="dxa"/>
            <w:vMerge w:val="restart"/>
            <w:vAlign w:val="center"/>
          </w:tcPr>
          <w:p w14:paraId="2F8CA9D0" w14:textId="77777777" w:rsidR="00454A29" w:rsidRDefault="00454A29">
            <w:pPr>
              <w:pStyle w:val="ConsPlusNormal"/>
              <w:jc w:val="center"/>
            </w:pPr>
            <w:r>
              <w:t>Школа на 80 учащихся в с. Тыайа</w:t>
            </w:r>
          </w:p>
        </w:tc>
        <w:tc>
          <w:tcPr>
            <w:tcW w:w="1701" w:type="dxa"/>
            <w:vAlign w:val="center"/>
          </w:tcPr>
          <w:p w14:paraId="425B5439" w14:textId="77777777" w:rsidR="00454A29" w:rsidRDefault="00454A29">
            <w:pPr>
              <w:pStyle w:val="ConsPlusNormal"/>
              <w:jc w:val="center"/>
            </w:pPr>
            <w:r>
              <w:t>2020 - 2026 годы - всего</w:t>
            </w:r>
          </w:p>
        </w:tc>
        <w:tc>
          <w:tcPr>
            <w:tcW w:w="1417" w:type="dxa"/>
            <w:vMerge w:val="restart"/>
            <w:vAlign w:val="center"/>
          </w:tcPr>
          <w:p w14:paraId="44BAE95F" w14:textId="77777777" w:rsidR="00454A29" w:rsidRDefault="00454A29">
            <w:pPr>
              <w:pStyle w:val="ConsPlusNormal"/>
              <w:jc w:val="center"/>
            </w:pPr>
            <w:r>
              <w:t>294 259,62</w:t>
            </w:r>
          </w:p>
        </w:tc>
        <w:tc>
          <w:tcPr>
            <w:tcW w:w="2204" w:type="dxa"/>
            <w:vMerge w:val="restart"/>
            <w:vAlign w:val="center"/>
          </w:tcPr>
          <w:p w14:paraId="5197B31C" w14:textId="77777777" w:rsidR="00454A29" w:rsidRDefault="00454A29">
            <w:pPr>
              <w:pStyle w:val="ConsPlusNormal"/>
            </w:pPr>
          </w:p>
        </w:tc>
        <w:tc>
          <w:tcPr>
            <w:tcW w:w="1417" w:type="dxa"/>
            <w:vMerge w:val="restart"/>
            <w:vAlign w:val="center"/>
          </w:tcPr>
          <w:p w14:paraId="43BF0B98" w14:textId="77777777" w:rsidR="00454A29" w:rsidRDefault="00454A29">
            <w:pPr>
              <w:pStyle w:val="ConsPlusNormal"/>
              <w:jc w:val="center"/>
            </w:pPr>
            <w:r>
              <w:t>80</w:t>
            </w:r>
          </w:p>
        </w:tc>
        <w:tc>
          <w:tcPr>
            <w:tcW w:w="2324" w:type="dxa"/>
            <w:vMerge w:val="restart"/>
            <w:vAlign w:val="center"/>
          </w:tcPr>
          <w:p w14:paraId="132C989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0E5BE0E" w14:textId="77777777" w:rsidR="00454A29" w:rsidRDefault="00454A29">
            <w:pPr>
              <w:pStyle w:val="ConsPlusNormal"/>
              <w:jc w:val="center"/>
            </w:pPr>
            <w:r>
              <w:t>294 259,62</w:t>
            </w:r>
          </w:p>
        </w:tc>
        <w:tc>
          <w:tcPr>
            <w:tcW w:w="1814" w:type="dxa"/>
            <w:vAlign w:val="center"/>
          </w:tcPr>
          <w:p w14:paraId="78B8EE95" w14:textId="77777777" w:rsidR="00454A29" w:rsidRDefault="00454A29">
            <w:pPr>
              <w:pStyle w:val="ConsPlusNormal"/>
              <w:jc w:val="center"/>
            </w:pPr>
            <w:r>
              <w:t>3 722,39</w:t>
            </w:r>
          </w:p>
        </w:tc>
        <w:tc>
          <w:tcPr>
            <w:tcW w:w="1701" w:type="dxa"/>
            <w:vAlign w:val="center"/>
          </w:tcPr>
          <w:p w14:paraId="69A5BF9D" w14:textId="77777777" w:rsidR="00454A29" w:rsidRDefault="00454A29">
            <w:pPr>
              <w:pStyle w:val="ConsPlusNormal"/>
              <w:jc w:val="center"/>
            </w:pPr>
            <w:r>
              <w:t>368 516,03</w:t>
            </w:r>
          </w:p>
        </w:tc>
        <w:tc>
          <w:tcPr>
            <w:tcW w:w="1701" w:type="dxa"/>
            <w:vAlign w:val="center"/>
          </w:tcPr>
          <w:p w14:paraId="16B4E30C" w14:textId="77777777" w:rsidR="00454A29" w:rsidRDefault="00454A29">
            <w:pPr>
              <w:pStyle w:val="ConsPlusNormal"/>
              <w:jc w:val="center"/>
            </w:pPr>
            <w:r>
              <w:t>-</w:t>
            </w:r>
          </w:p>
        </w:tc>
        <w:tc>
          <w:tcPr>
            <w:tcW w:w="1814" w:type="dxa"/>
            <w:vAlign w:val="center"/>
          </w:tcPr>
          <w:p w14:paraId="34770440" w14:textId="77777777" w:rsidR="00454A29" w:rsidRDefault="00454A29">
            <w:pPr>
              <w:pStyle w:val="ConsPlusNormal"/>
              <w:jc w:val="center"/>
            </w:pPr>
            <w:r>
              <w:t>-</w:t>
            </w:r>
          </w:p>
        </w:tc>
      </w:tr>
      <w:tr w:rsidR="00454A29" w14:paraId="0A419E67" w14:textId="77777777">
        <w:tc>
          <w:tcPr>
            <w:tcW w:w="567" w:type="dxa"/>
            <w:vMerge/>
          </w:tcPr>
          <w:p w14:paraId="4E5E6353" w14:textId="77777777" w:rsidR="00454A29" w:rsidRDefault="00454A29"/>
        </w:tc>
        <w:tc>
          <w:tcPr>
            <w:tcW w:w="3345" w:type="dxa"/>
            <w:vMerge/>
          </w:tcPr>
          <w:p w14:paraId="16155214" w14:textId="77777777" w:rsidR="00454A29" w:rsidRDefault="00454A29"/>
        </w:tc>
        <w:tc>
          <w:tcPr>
            <w:tcW w:w="1701" w:type="dxa"/>
            <w:vAlign w:val="center"/>
          </w:tcPr>
          <w:p w14:paraId="4AFA8475" w14:textId="77777777" w:rsidR="00454A29" w:rsidRDefault="00454A29">
            <w:pPr>
              <w:pStyle w:val="ConsPlusNormal"/>
              <w:jc w:val="center"/>
            </w:pPr>
            <w:r>
              <w:t>2020</w:t>
            </w:r>
          </w:p>
        </w:tc>
        <w:tc>
          <w:tcPr>
            <w:tcW w:w="1417" w:type="dxa"/>
            <w:vMerge/>
          </w:tcPr>
          <w:p w14:paraId="07B86961" w14:textId="77777777" w:rsidR="00454A29" w:rsidRDefault="00454A29"/>
        </w:tc>
        <w:tc>
          <w:tcPr>
            <w:tcW w:w="2204" w:type="dxa"/>
            <w:vMerge/>
          </w:tcPr>
          <w:p w14:paraId="48AF5ECB" w14:textId="77777777" w:rsidR="00454A29" w:rsidRDefault="00454A29"/>
        </w:tc>
        <w:tc>
          <w:tcPr>
            <w:tcW w:w="1417" w:type="dxa"/>
            <w:vMerge/>
          </w:tcPr>
          <w:p w14:paraId="0AD46033" w14:textId="77777777" w:rsidR="00454A29" w:rsidRDefault="00454A29"/>
        </w:tc>
        <w:tc>
          <w:tcPr>
            <w:tcW w:w="2324" w:type="dxa"/>
            <w:vMerge/>
          </w:tcPr>
          <w:p w14:paraId="107B3ED3" w14:textId="77777777" w:rsidR="00454A29" w:rsidRDefault="00454A29"/>
        </w:tc>
        <w:tc>
          <w:tcPr>
            <w:tcW w:w="1701" w:type="dxa"/>
            <w:vAlign w:val="center"/>
          </w:tcPr>
          <w:p w14:paraId="6325E444" w14:textId="77777777" w:rsidR="00454A29" w:rsidRDefault="00454A29">
            <w:pPr>
              <w:pStyle w:val="ConsPlusNormal"/>
            </w:pPr>
          </w:p>
        </w:tc>
        <w:tc>
          <w:tcPr>
            <w:tcW w:w="1814" w:type="dxa"/>
            <w:vAlign w:val="center"/>
          </w:tcPr>
          <w:p w14:paraId="3FB2E6B6" w14:textId="77777777" w:rsidR="00454A29" w:rsidRDefault="00454A29">
            <w:pPr>
              <w:pStyle w:val="ConsPlusNormal"/>
            </w:pPr>
          </w:p>
        </w:tc>
        <w:tc>
          <w:tcPr>
            <w:tcW w:w="1701" w:type="dxa"/>
            <w:vAlign w:val="center"/>
          </w:tcPr>
          <w:p w14:paraId="4D499E12" w14:textId="77777777" w:rsidR="00454A29" w:rsidRDefault="00454A29">
            <w:pPr>
              <w:pStyle w:val="ConsPlusNormal"/>
            </w:pPr>
          </w:p>
        </w:tc>
        <w:tc>
          <w:tcPr>
            <w:tcW w:w="1701" w:type="dxa"/>
            <w:vAlign w:val="center"/>
          </w:tcPr>
          <w:p w14:paraId="1C41FD18" w14:textId="77777777" w:rsidR="00454A29" w:rsidRDefault="00454A29">
            <w:pPr>
              <w:pStyle w:val="ConsPlusNormal"/>
            </w:pPr>
          </w:p>
        </w:tc>
        <w:tc>
          <w:tcPr>
            <w:tcW w:w="1814" w:type="dxa"/>
            <w:vAlign w:val="center"/>
          </w:tcPr>
          <w:p w14:paraId="2A97526B" w14:textId="77777777" w:rsidR="00454A29" w:rsidRDefault="00454A29">
            <w:pPr>
              <w:pStyle w:val="ConsPlusNormal"/>
            </w:pPr>
          </w:p>
        </w:tc>
      </w:tr>
      <w:tr w:rsidR="00454A29" w14:paraId="7EA46A5D" w14:textId="77777777">
        <w:tc>
          <w:tcPr>
            <w:tcW w:w="567" w:type="dxa"/>
            <w:vMerge/>
          </w:tcPr>
          <w:p w14:paraId="12668C7E" w14:textId="77777777" w:rsidR="00454A29" w:rsidRDefault="00454A29"/>
        </w:tc>
        <w:tc>
          <w:tcPr>
            <w:tcW w:w="3345" w:type="dxa"/>
            <w:vMerge/>
          </w:tcPr>
          <w:p w14:paraId="032884A9" w14:textId="77777777" w:rsidR="00454A29" w:rsidRDefault="00454A29"/>
        </w:tc>
        <w:tc>
          <w:tcPr>
            <w:tcW w:w="1701" w:type="dxa"/>
            <w:vAlign w:val="center"/>
          </w:tcPr>
          <w:p w14:paraId="4475F46D" w14:textId="77777777" w:rsidR="00454A29" w:rsidRDefault="00454A29">
            <w:pPr>
              <w:pStyle w:val="ConsPlusNormal"/>
              <w:jc w:val="center"/>
            </w:pPr>
            <w:r>
              <w:t>2021</w:t>
            </w:r>
          </w:p>
        </w:tc>
        <w:tc>
          <w:tcPr>
            <w:tcW w:w="1417" w:type="dxa"/>
            <w:vMerge/>
          </w:tcPr>
          <w:p w14:paraId="7C2ED9CE" w14:textId="77777777" w:rsidR="00454A29" w:rsidRDefault="00454A29"/>
        </w:tc>
        <w:tc>
          <w:tcPr>
            <w:tcW w:w="2204" w:type="dxa"/>
            <w:vMerge/>
          </w:tcPr>
          <w:p w14:paraId="2C66AD5F" w14:textId="77777777" w:rsidR="00454A29" w:rsidRDefault="00454A29"/>
        </w:tc>
        <w:tc>
          <w:tcPr>
            <w:tcW w:w="1417" w:type="dxa"/>
            <w:vMerge/>
          </w:tcPr>
          <w:p w14:paraId="7A15E0F6" w14:textId="77777777" w:rsidR="00454A29" w:rsidRDefault="00454A29"/>
        </w:tc>
        <w:tc>
          <w:tcPr>
            <w:tcW w:w="2324" w:type="dxa"/>
            <w:vMerge/>
          </w:tcPr>
          <w:p w14:paraId="34643A33" w14:textId="77777777" w:rsidR="00454A29" w:rsidRDefault="00454A29"/>
        </w:tc>
        <w:tc>
          <w:tcPr>
            <w:tcW w:w="1701" w:type="dxa"/>
            <w:vAlign w:val="center"/>
          </w:tcPr>
          <w:p w14:paraId="041981AF" w14:textId="77777777" w:rsidR="00454A29" w:rsidRDefault="00454A29">
            <w:pPr>
              <w:pStyle w:val="ConsPlusNormal"/>
            </w:pPr>
          </w:p>
        </w:tc>
        <w:tc>
          <w:tcPr>
            <w:tcW w:w="1814" w:type="dxa"/>
            <w:vAlign w:val="center"/>
          </w:tcPr>
          <w:p w14:paraId="6190D12B" w14:textId="77777777" w:rsidR="00454A29" w:rsidRDefault="00454A29">
            <w:pPr>
              <w:pStyle w:val="ConsPlusNormal"/>
            </w:pPr>
          </w:p>
        </w:tc>
        <w:tc>
          <w:tcPr>
            <w:tcW w:w="1701" w:type="dxa"/>
            <w:vAlign w:val="center"/>
          </w:tcPr>
          <w:p w14:paraId="0BB53A1D" w14:textId="77777777" w:rsidR="00454A29" w:rsidRDefault="00454A29">
            <w:pPr>
              <w:pStyle w:val="ConsPlusNormal"/>
            </w:pPr>
          </w:p>
        </w:tc>
        <w:tc>
          <w:tcPr>
            <w:tcW w:w="1701" w:type="dxa"/>
            <w:vAlign w:val="center"/>
          </w:tcPr>
          <w:p w14:paraId="428315B2" w14:textId="77777777" w:rsidR="00454A29" w:rsidRDefault="00454A29">
            <w:pPr>
              <w:pStyle w:val="ConsPlusNormal"/>
            </w:pPr>
          </w:p>
        </w:tc>
        <w:tc>
          <w:tcPr>
            <w:tcW w:w="1814" w:type="dxa"/>
            <w:vAlign w:val="center"/>
          </w:tcPr>
          <w:p w14:paraId="39E4191E" w14:textId="77777777" w:rsidR="00454A29" w:rsidRDefault="00454A29">
            <w:pPr>
              <w:pStyle w:val="ConsPlusNormal"/>
            </w:pPr>
          </w:p>
        </w:tc>
      </w:tr>
      <w:tr w:rsidR="00454A29" w14:paraId="4FF315E2" w14:textId="77777777">
        <w:tc>
          <w:tcPr>
            <w:tcW w:w="567" w:type="dxa"/>
            <w:vMerge/>
          </w:tcPr>
          <w:p w14:paraId="04916328" w14:textId="77777777" w:rsidR="00454A29" w:rsidRDefault="00454A29"/>
        </w:tc>
        <w:tc>
          <w:tcPr>
            <w:tcW w:w="3345" w:type="dxa"/>
            <w:vMerge/>
          </w:tcPr>
          <w:p w14:paraId="5895A243" w14:textId="77777777" w:rsidR="00454A29" w:rsidRDefault="00454A29"/>
        </w:tc>
        <w:tc>
          <w:tcPr>
            <w:tcW w:w="1701" w:type="dxa"/>
            <w:vAlign w:val="center"/>
          </w:tcPr>
          <w:p w14:paraId="7F7ECF09" w14:textId="77777777" w:rsidR="00454A29" w:rsidRDefault="00454A29">
            <w:pPr>
              <w:pStyle w:val="ConsPlusNormal"/>
              <w:jc w:val="center"/>
            </w:pPr>
            <w:r>
              <w:t>2022</w:t>
            </w:r>
          </w:p>
        </w:tc>
        <w:tc>
          <w:tcPr>
            <w:tcW w:w="1417" w:type="dxa"/>
            <w:vMerge/>
          </w:tcPr>
          <w:p w14:paraId="3ED97F49" w14:textId="77777777" w:rsidR="00454A29" w:rsidRDefault="00454A29"/>
        </w:tc>
        <w:tc>
          <w:tcPr>
            <w:tcW w:w="2204" w:type="dxa"/>
            <w:vMerge/>
          </w:tcPr>
          <w:p w14:paraId="38F4E677" w14:textId="77777777" w:rsidR="00454A29" w:rsidRDefault="00454A29"/>
        </w:tc>
        <w:tc>
          <w:tcPr>
            <w:tcW w:w="1417" w:type="dxa"/>
            <w:vMerge/>
          </w:tcPr>
          <w:p w14:paraId="263A3FFE" w14:textId="77777777" w:rsidR="00454A29" w:rsidRDefault="00454A29"/>
        </w:tc>
        <w:tc>
          <w:tcPr>
            <w:tcW w:w="2324" w:type="dxa"/>
            <w:vMerge/>
          </w:tcPr>
          <w:p w14:paraId="23B5C82B" w14:textId="77777777" w:rsidR="00454A29" w:rsidRDefault="00454A29"/>
        </w:tc>
        <w:tc>
          <w:tcPr>
            <w:tcW w:w="1701" w:type="dxa"/>
            <w:vAlign w:val="center"/>
          </w:tcPr>
          <w:p w14:paraId="0FCCEBBF" w14:textId="77777777" w:rsidR="00454A29" w:rsidRDefault="00454A29">
            <w:pPr>
              <w:pStyle w:val="ConsPlusNormal"/>
            </w:pPr>
          </w:p>
        </w:tc>
        <w:tc>
          <w:tcPr>
            <w:tcW w:w="1814" w:type="dxa"/>
            <w:vAlign w:val="center"/>
          </w:tcPr>
          <w:p w14:paraId="437CB4DC" w14:textId="77777777" w:rsidR="00454A29" w:rsidRDefault="00454A29">
            <w:pPr>
              <w:pStyle w:val="ConsPlusNormal"/>
            </w:pPr>
          </w:p>
        </w:tc>
        <w:tc>
          <w:tcPr>
            <w:tcW w:w="1701" w:type="dxa"/>
            <w:vAlign w:val="center"/>
          </w:tcPr>
          <w:p w14:paraId="223337C9" w14:textId="77777777" w:rsidR="00454A29" w:rsidRDefault="00454A29">
            <w:pPr>
              <w:pStyle w:val="ConsPlusNormal"/>
            </w:pPr>
          </w:p>
        </w:tc>
        <w:tc>
          <w:tcPr>
            <w:tcW w:w="1701" w:type="dxa"/>
            <w:vAlign w:val="center"/>
          </w:tcPr>
          <w:p w14:paraId="21EFE806" w14:textId="77777777" w:rsidR="00454A29" w:rsidRDefault="00454A29">
            <w:pPr>
              <w:pStyle w:val="ConsPlusNormal"/>
            </w:pPr>
          </w:p>
        </w:tc>
        <w:tc>
          <w:tcPr>
            <w:tcW w:w="1814" w:type="dxa"/>
            <w:vAlign w:val="center"/>
          </w:tcPr>
          <w:p w14:paraId="0BA4E508" w14:textId="77777777" w:rsidR="00454A29" w:rsidRDefault="00454A29">
            <w:pPr>
              <w:pStyle w:val="ConsPlusNormal"/>
            </w:pPr>
          </w:p>
        </w:tc>
      </w:tr>
      <w:tr w:rsidR="00454A29" w14:paraId="67383A76" w14:textId="77777777">
        <w:tc>
          <w:tcPr>
            <w:tcW w:w="567" w:type="dxa"/>
            <w:vMerge/>
          </w:tcPr>
          <w:p w14:paraId="3B9B5EDC" w14:textId="77777777" w:rsidR="00454A29" w:rsidRDefault="00454A29"/>
        </w:tc>
        <w:tc>
          <w:tcPr>
            <w:tcW w:w="3345" w:type="dxa"/>
            <w:vMerge/>
          </w:tcPr>
          <w:p w14:paraId="5292FD01" w14:textId="77777777" w:rsidR="00454A29" w:rsidRDefault="00454A29"/>
        </w:tc>
        <w:tc>
          <w:tcPr>
            <w:tcW w:w="1701" w:type="dxa"/>
            <w:vAlign w:val="center"/>
          </w:tcPr>
          <w:p w14:paraId="6C00FC75" w14:textId="77777777" w:rsidR="00454A29" w:rsidRDefault="00454A29">
            <w:pPr>
              <w:pStyle w:val="ConsPlusNormal"/>
              <w:jc w:val="center"/>
            </w:pPr>
            <w:r>
              <w:t>2023</w:t>
            </w:r>
          </w:p>
        </w:tc>
        <w:tc>
          <w:tcPr>
            <w:tcW w:w="1417" w:type="dxa"/>
            <w:vMerge/>
          </w:tcPr>
          <w:p w14:paraId="7CE20053" w14:textId="77777777" w:rsidR="00454A29" w:rsidRDefault="00454A29"/>
        </w:tc>
        <w:tc>
          <w:tcPr>
            <w:tcW w:w="2204" w:type="dxa"/>
            <w:vMerge/>
          </w:tcPr>
          <w:p w14:paraId="053358AE" w14:textId="77777777" w:rsidR="00454A29" w:rsidRDefault="00454A29"/>
        </w:tc>
        <w:tc>
          <w:tcPr>
            <w:tcW w:w="1417" w:type="dxa"/>
            <w:vMerge/>
          </w:tcPr>
          <w:p w14:paraId="1DDDCDAD" w14:textId="77777777" w:rsidR="00454A29" w:rsidRDefault="00454A29"/>
        </w:tc>
        <w:tc>
          <w:tcPr>
            <w:tcW w:w="2324" w:type="dxa"/>
            <w:vMerge/>
          </w:tcPr>
          <w:p w14:paraId="61281DBE" w14:textId="77777777" w:rsidR="00454A29" w:rsidRDefault="00454A29"/>
        </w:tc>
        <w:tc>
          <w:tcPr>
            <w:tcW w:w="1701" w:type="dxa"/>
            <w:vAlign w:val="center"/>
          </w:tcPr>
          <w:p w14:paraId="5B09EF31" w14:textId="77777777" w:rsidR="00454A29" w:rsidRDefault="00454A29">
            <w:pPr>
              <w:pStyle w:val="ConsPlusNormal"/>
            </w:pPr>
          </w:p>
        </w:tc>
        <w:tc>
          <w:tcPr>
            <w:tcW w:w="1814" w:type="dxa"/>
            <w:vAlign w:val="center"/>
          </w:tcPr>
          <w:p w14:paraId="272A1D98" w14:textId="77777777" w:rsidR="00454A29" w:rsidRDefault="00454A29">
            <w:pPr>
              <w:pStyle w:val="ConsPlusNormal"/>
            </w:pPr>
          </w:p>
        </w:tc>
        <w:tc>
          <w:tcPr>
            <w:tcW w:w="1701" w:type="dxa"/>
            <w:vAlign w:val="center"/>
          </w:tcPr>
          <w:p w14:paraId="15BE0E30" w14:textId="77777777" w:rsidR="00454A29" w:rsidRDefault="00454A29">
            <w:pPr>
              <w:pStyle w:val="ConsPlusNormal"/>
            </w:pPr>
          </w:p>
        </w:tc>
        <w:tc>
          <w:tcPr>
            <w:tcW w:w="1701" w:type="dxa"/>
            <w:vAlign w:val="center"/>
          </w:tcPr>
          <w:p w14:paraId="3733033B" w14:textId="77777777" w:rsidR="00454A29" w:rsidRDefault="00454A29">
            <w:pPr>
              <w:pStyle w:val="ConsPlusNormal"/>
            </w:pPr>
          </w:p>
        </w:tc>
        <w:tc>
          <w:tcPr>
            <w:tcW w:w="1814" w:type="dxa"/>
            <w:vAlign w:val="center"/>
          </w:tcPr>
          <w:p w14:paraId="3B0FC653" w14:textId="77777777" w:rsidR="00454A29" w:rsidRDefault="00454A29">
            <w:pPr>
              <w:pStyle w:val="ConsPlusNormal"/>
            </w:pPr>
          </w:p>
        </w:tc>
      </w:tr>
      <w:tr w:rsidR="00454A29" w14:paraId="34A05FD2" w14:textId="77777777">
        <w:tc>
          <w:tcPr>
            <w:tcW w:w="567" w:type="dxa"/>
            <w:vMerge/>
          </w:tcPr>
          <w:p w14:paraId="7327B8AD" w14:textId="77777777" w:rsidR="00454A29" w:rsidRDefault="00454A29"/>
        </w:tc>
        <w:tc>
          <w:tcPr>
            <w:tcW w:w="3345" w:type="dxa"/>
            <w:vMerge/>
          </w:tcPr>
          <w:p w14:paraId="55E4AFB2" w14:textId="77777777" w:rsidR="00454A29" w:rsidRDefault="00454A29"/>
        </w:tc>
        <w:tc>
          <w:tcPr>
            <w:tcW w:w="1701" w:type="dxa"/>
            <w:vAlign w:val="center"/>
          </w:tcPr>
          <w:p w14:paraId="41351A67" w14:textId="77777777" w:rsidR="00454A29" w:rsidRDefault="00454A29">
            <w:pPr>
              <w:pStyle w:val="ConsPlusNormal"/>
              <w:jc w:val="center"/>
            </w:pPr>
            <w:r>
              <w:t>2024</w:t>
            </w:r>
          </w:p>
        </w:tc>
        <w:tc>
          <w:tcPr>
            <w:tcW w:w="1417" w:type="dxa"/>
            <w:vMerge/>
          </w:tcPr>
          <w:p w14:paraId="2D42B9FC" w14:textId="77777777" w:rsidR="00454A29" w:rsidRDefault="00454A29"/>
        </w:tc>
        <w:tc>
          <w:tcPr>
            <w:tcW w:w="2204" w:type="dxa"/>
            <w:vMerge/>
          </w:tcPr>
          <w:p w14:paraId="73E5C6D8" w14:textId="77777777" w:rsidR="00454A29" w:rsidRDefault="00454A29"/>
        </w:tc>
        <w:tc>
          <w:tcPr>
            <w:tcW w:w="1417" w:type="dxa"/>
            <w:vMerge/>
          </w:tcPr>
          <w:p w14:paraId="510A458D" w14:textId="77777777" w:rsidR="00454A29" w:rsidRDefault="00454A29"/>
        </w:tc>
        <w:tc>
          <w:tcPr>
            <w:tcW w:w="2324" w:type="dxa"/>
            <w:vMerge/>
          </w:tcPr>
          <w:p w14:paraId="121B2072" w14:textId="77777777" w:rsidR="00454A29" w:rsidRDefault="00454A29"/>
        </w:tc>
        <w:tc>
          <w:tcPr>
            <w:tcW w:w="1701" w:type="dxa"/>
            <w:vAlign w:val="center"/>
          </w:tcPr>
          <w:p w14:paraId="35B8704F" w14:textId="77777777" w:rsidR="00454A29" w:rsidRDefault="00454A29">
            <w:pPr>
              <w:pStyle w:val="ConsPlusNormal"/>
            </w:pPr>
          </w:p>
        </w:tc>
        <w:tc>
          <w:tcPr>
            <w:tcW w:w="1814" w:type="dxa"/>
            <w:vAlign w:val="center"/>
          </w:tcPr>
          <w:p w14:paraId="7FB957B1" w14:textId="77777777" w:rsidR="00454A29" w:rsidRDefault="00454A29">
            <w:pPr>
              <w:pStyle w:val="ConsPlusNormal"/>
            </w:pPr>
          </w:p>
        </w:tc>
        <w:tc>
          <w:tcPr>
            <w:tcW w:w="1701" w:type="dxa"/>
            <w:vAlign w:val="center"/>
          </w:tcPr>
          <w:p w14:paraId="04662F12" w14:textId="77777777" w:rsidR="00454A29" w:rsidRDefault="00454A29">
            <w:pPr>
              <w:pStyle w:val="ConsPlusNormal"/>
            </w:pPr>
          </w:p>
        </w:tc>
        <w:tc>
          <w:tcPr>
            <w:tcW w:w="1701" w:type="dxa"/>
            <w:vAlign w:val="center"/>
          </w:tcPr>
          <w:p w14:paraId="5F286C20" w14:textId="77777777" w:rsidR="00454A29" w:rsidRDefault="00454A29">
            <w:pPr>
              <w:pStyle w:val="ConsPlusNormal"/>
            </w:pPr>
          </w:p>
        </w:tc>
        <w:tc>
          <w:tcPr>
            <w:tcW w:w="1814" w:type="dxa"/>
            <w:vAlign w:val="center"/>
          </w:tcPr>
          <w:p w14:paraId="2CC8F65F" w14:textId="77777777" w:rsidR="00454A29" w:rsidRDefault="00454A29">
            <w:pPr>
              <w:pStyle w:val="ConsPlusNormal"/>
            </w:pPr>
          </w:p>
        </w:tc>
      </w:tr>
      <w:tr w:rsidR="00454A29" w14:paraId="20E161D0" w14:textId="77777777">
        <w:tc>
          <w:tcPr>
            <w:tcW w:w="567" w:type="dxa"/>
            <w:vMerge/>
          </w:tcPr>
          <w:p w14:paraId="0788D5CE" w14:textId="77777777" w:rsidR="00454A29" w:rsidRDefault="00454A29"/>
        </w:tc>
        <w:tc>
          <w:tcPr>
            <w:tcW w:w="3345" w:type="dxa"/>
            <w:vMerge/>
          </w:tcPr>
          <w:p w14:paraId="277F037F" w14:textId="77777777" w:rsidR="00454A29" w:rsidRDefault="00454A29"/>
        </w:tc>
        <w:tc>
          <w:tcPr>
            <w:tcW w:w="1701" w:type="dxa"/>
            <w:vAlign w:val="center"/>
          </w:tcPr>
          <w:p w14:paraId="4EB5F9CD" w14:textId="77777777" w:rsidR="00454A29" w:rsidRDefault="00454A29">
            <w:pPr>
              <w:pStyle w:val="ConsPlusNormal"/>
              <w:jc w:val="center"/>
            </w:pPr>
            <w:r>
              <w:t>2025</w:t>
            </w:r>
          </w:p>
        </w:tc>
        <w:tc>
          <w:tcPr>
            <w:tcW w:w="1417" w:type="dxa"/>
            <w:vMerge/>
          </w:tcPr>
          <w:p w14:paraId="363CFF12" w14:textId="77777777" w:rsidR="00454A29" w:rsidRDefault="00454A29"/>
        </w:tc>
        <w:tc>
          <w:tcPr>
            <w:tcW w:w="2204" w:type="dxa"/>
            <w:vMerge/>
          </w:tcPr>
          <w:p w14:paraId="5D1227F5" w14:textId="77777777" w:rsidR="00454A29" w:rsidRDefault="00454A29"/>
        </w:tc>
        <w:tc>
          <w:tcPr>
            <w:tcW w:w="1417" w:type="dxa"/>
            <w:vMerge/>
          </w:tcPr>
          <w:p w14:paraId="1C93DAB7" w14:textId="77777777" w:rsidR="00454A29" w:rsidRDefault="00454A29"/>
        </w:tc>
        <w:tc>
          <w:tcPr>
            <w:tcW w:w="2324" w:type="dxa"/>
            <w:vMerge/>
          </w:tcPr>
          <w:p w14:paraId="6F3A69DB" w14:textId="77777777" w:rsidR="00454A29" w:rsidRDefault="00454A29"/>
        </w:tc>
        <w:tc>
          <w:tcPr>
            <w:tcW w:w="1701" w:type="dxa"/>
            <w:vAlign w:val="center"/>
          </w:tcPr>
          <w:p w14:paraId="2EFBEC6C" w14:textId="77777777" w:rsidR="00454A29" w:rsidRDefault="00454A29">
            <w:pPr>
              <w:pStyle w:val="ConsPlusNormal"/>
              <w:jc w:val="center"/>
            </w:pPr>
            <w:r>
              <w:t>294 259,62</w:t>
            </w:r>
          </w:p>
        </w:tc>
        <w:tc>
          <w:tcPr>
            <w:tcW w:w="1814" w:type="dxa"/>
            <w:vAlign w:val="center"/>
          </w:tcPr>
          <w:p w14:paraId="11A9BA70" w14:textId="77777777" w:rsidR="00454A29" w:rsidRDefault="00454A29">
            <w:pPr>
              <w:pStyle w:val="ConsPlusNormal"/>
              <w:jc w:val="center"/>
            </w:pPr>
            <w:r>
              <w:t>3 722,39</w:t>
            </w:r>
          </w:p>
        </w:tc>
        <w:tc>
          <w:tcPr>
            <w:tcW w:w="1701" w:type="dxa"/>
            <w:vAlign w:val="center"/>
          </w:tcPr>
          <w:p w14:paraId="37620DF0" w14:textId="77777777" w:rsidR="00454A29" w:rsidRDefault="00454A29">
            <w:pPr>
              <w:pStyle w:val="ConsPlusNormal"/>
              <w:jc w:val="center"/>
            </w:pPr>
            <w:r>
              <w:t>368 516,03</w:t>
            </w:r>
          </w:p>
        </w:tc>
        <w:tc>
          <w:tcPr>
            <w:tcW w:w="1701" w:type="dxa"/>
            <w:vAlign w:val="center"/>
          </w:tcPr>
          <w:p w14:paraId="47BD9351" w14:textId="77777777" w:rsidR="00454A29" w:rsidRDefault="00454A29">
            <w:pPr>
              <w:pStyle w:val="ConsPlusNormal"/>
            </w:pPr>
          </w:p>
        </w:tc>
        <w:tc>
          <w:tcPr>
            <w:tcW w:w="1814" w:type="dxa"/>
            <w:vAlign w:val="center"/>
          </w:tcPr>
          <w:p w14:paraId="4EC9702E" w14:textId="77777777" w:rsidR="00454A29" w:rsidRDefault="00454A29">
            <w:pPr>
              <w:pStyle w:val="ConsPlusNormal"/>
            </w:pPr>
          </w:p>
        </w:tc>
      </w:tr>
      <w:tr w:rsidR="00454A29" w14:paraId="2F60854C" w14:textId="77777777">
        <w:tc>
          <w:tcPr>
            <w:tcW w:w="567" w:type="dxa"/>
            <w:vMerge/>
          </w:tcPr>
          <w:p w14:paraId="01723EE2" w14:textId="77777777" w:rsidR="00454A29" w:rsidRDefault="00454A29"/>
        </w:tc>
        <w:tc>
          <w:tcPr>
            <w:tcW w:w="3345" w:type="dxa"/>
            <w:vMerge/>
          </w:tcPr>
          <w:p w14:paraId="16E3212C" w14:textId="77777777" w:rsidR="00454A29" w:rsidRDefault="00454A29"/>
        </w:tc>
        <w:tc>
          <w:tcPr>
            <w:tcW w:w="1701" w:type="dxa"/>
            <w:vAlign w:val="center"/>
          </w:tcPr>
          <w:p w14:paraId="227C49E3" w14:textId="77777777" w:rsidR="00454A29" w:rsidRDefault="00454A29">
            <w:pPr>
              <w:pStyle w:val="ConsPlusNormal"/>
              <w:jc w:val="center"/>
            </w:pPr>
            <w:r>
              <w:t>2026</w:t>
            </w:r>
          </w:p>
        </w:tc>
        <w:tc>
          <w:tcPr>
            <w:tcW w:w="1417" w:type="dxa"/>
            <w:vMerge/>
          </w:tcPr>
          <w:p w14:paraId="152B5196" w14:textId="77777777" w:rsidR="00454A29" w:rsidRDefault="00454A29"/>
        </w:tc>
        <w:tc>
          <w:tcPr>
            <w:tcW w:w="2204" w:type="dxa"/>
            <w:vMerge/>
          </w:tcPr>
          <w:p w14:paraId="39E5A798" w14:textId="77777777" w:rsidR="00454A29" w:rsidRDefault="00454A29"/>
        </w:tc>
        <w:tc>
          <w:tcPr>
            <w:tcW w:w="1417" w:type="dxa"/>
            <w:vMerge/>
          </w:tcPr>
          <w:p w14:paraId="3A5B47FA" w14:textId="77777777" w:rsidR="00454A29" w:rsidRDefault="00454A29"/>
        </w:tc>
        <w:tc>
          <w:tcPr>
            <w:tcW w:w="2324" w:type="dxa"/>
            <w:vMerge/>
          </w:tcPr>
          <w:p w14:paraId="5AE50435" w14:textId="77777777" w:rsidR="00454A29" w:rsidRDefault="00454A29"/>
        </w:tc>
        <w:tc>
          <w:tcPr>
            <w:tcW w:w="1701" w:type="dxa"/>
            <w:vAlign w:val="center"/>
          </w:tcPr>
          <w:p w14:paraId="1EDF3C8C" w14:textId="77777777" w:rsidR="00454A29" w:rsidRDefault="00454A29">
            <w:pPr>
              <w:pStyle w:val="ConsPlusNormal"/>
            </w:pPr>
          </w:p>
        </w:tc>
        <w:tc>
          <w:tcPr>
            <w:tcW w:w="1814" w:type="dxa"/>
            <w:vAlign w:val="center"/>
          </w:tcPr>
          <w:p w14:paraId="752291C9" w14:textId="77777777" w:rsidR="00454A29" w:rsidRDefault="00454A29">
            <w:pPr>
              <w:pStyle w:val="ConsPlusNormal"/>
            </w:pPr>
          </w:p>
        </w:tc>
        <w:tc>
          <w:tcPr>
            <w:tcW w:w="1701" w:type="dxa"/>
            <w:vAlign w:val="center"/>
          </w:tcPr>
          <w:p w14:paraId="4A3FBE6F" w14:textId="77777777" w:rsidR="00454A29" w:rsidRDefault="00454A29">
            <w:pPr>
              <w:pStyle w:val="ConsPlusNormal"/>
            </w:pPr>
          </w:p>
        </w:tc>
        <w:tc>
          <w:tcPr>
            <w:tcW w:w="1701" w:type="dxa"/>
            <w:vAlign w:val="center"/>
          </w:tcPr>
          <w:p w14:paraId="0A799041" w14:textId="77777777" w:rsidR="00454A29" w:rsidRDefault="00454A29">
            <w:pPr>
              <w:pStyle w:val="ConsPlusNormal"/>
            </w:pPr>
          </w:p>
        </w:tc>
        <w:tc>
          <w:tcPr>
            <w:tcW w:w="1814" w:type="dxa"/>
            <w:vAlign w:val="center"/>
          </w:tcPr>
          <w:p w14:paraId="749FBE9D" w14:textId="77777777" w:rsidR="00454A29" w:rsidRDefault="00454A29">
            <w:pPr>
              <w:pStyle w:val="ConsPlusNormal"/>
            </w:pPr>
          </w:p>
        </w:tc>
      </w:tr>
      <w:tr w:rsidR="00454A29" w14:paraId="3947823B" w14:textId="77777777">
        <w:tc>
          <w:tcPr>
            <w:tcW w:w="21706" w:type="dxa"/>
            <w:gridSpan w:val="12"/>
            <w:vAlign w:val="center"/>
          </w:tcPr>
          <w:p w14:paraId="24E67C9E" w14:textId="77777777" w:rsidR="00454A29" w:rsidRDefault="00454A29">
            <w:pPr>
              <w:pStyle w:val="ConsPlusNormal"/>
              <w:jc w:val="center"/>
              <w:outlineLvl w:val="2"/>
            </w:pPr>
            <w:r>
              <w:t>МО "Ленский район"</w:t>
            </w:r>
          </w:p>
        </w:tc>
      </w:tr>
      <w:tr w:rsidR="00454A29" w14:paraId="63AEEF35" w14:textId="77777777">
        <w:tc>
          <w:tcPr>
            <w:tcW w:w="567" w:type="dxa"/>
            <w:vMerge w:val="restart"/>
            <w:vAlign w:val="center"/>
          </w:tcPr>
          <w:p w14:paraId="075BDA31" w14:textId="77777777" w:rsidR="00454A29" w:rsidRDefault="00454A29">
            <w:pPr>
              <w:pStyle w:val="ConsPlusNormal"/>
              <w:jc w:val="center"/>
            </w:pPr>
            <w:r>
              <w:t>63</w:t>
            </w:r>
          </w:p>
        </w:tc>
        <w:tc>
          <w:tcPr>
            <w:tcW w:w="3345" w:type="dxa"/>
            <w:vMerge w:val="restart"/>
            <w:vAlign w:val="center"/>
          </w:tcPr>
          <w:p w14:paraId="69CE4B96" w14:textId="77777777" w:rsidR="00454A29" w:rsidRDefault="00454A29">
            <w:pPr>
              <w:pStyle w:val="ConsPlusNormal"/>
              <w:jc w:val="center"/>
            </w:pPr>
            <w:r>
              <w:t>Школа на 990 учащихся в г. Ленск</w:t>
            </w:r>
          </w:p>
        </w:tc>
        <w:tc>
          <w:tcPr>
            <w:tcW w:w="1701" w:type="dxa"/>
            <w:vAlign w:val="center"/>
          </w:tcPr>
          <w:p w14:paraId="2A36A5C4" w14:textId="77777777" w:rsidR="00454A29" w:rsidRDefault="00454A29">
            <w:pPr>
              <w:pStyle w:val="ConsPlusNormal"/>
              <w:jc w:val="center"/>
            </w:pPr>
            <w:r>
              <w:t>2020 - 2026 годы - всего</w:t>
            </w:r>
          </w:p>
        </w:tc>
        <w:tc>
          <w:tcPr>
            <w:tcW w:w="1417" w:type="dxa"/>
            <w:vMerge w:val="restart"/>
            <w:vAlign w:val="center"/>
          </w:tcPr>
          <w:p w14:paraId="0D8215BD" w14:textId="77777777" w:rsidR="00454A29" w:rsidRDefault="00454A29">
            <w:pPr>
              <w:pStyle w:val="ConsPlusNormal"/>
              <w:jc w:val="center"/>
            </w:pPr>
            <w:r>
              <w:t>1 367 070,39</w:t>
            </w:r>
          </w:p>
        </w:tc>
        <w:tc>
          <w:tcPr>
            <w:tcW w:w="2204" w:type="dxa"/>
            <w:vMerge w:val="restart"/>
            <w:vAlign w:val="center"/>
          </w:tcPr>
          <w:p w14:paraId="5288BCB7" w14:textId="77777777" w:rsidR="00454A29" w:rsidRDefault="00454A29">
            <w:pPr>
              <w:pStyle w:val="ConsPlusNormal"/>
            </w:pPr>
          </w:p>
        </w:tc>
        <w:tc>
          <w:tcPr>
            <w:tcW w:w="1417" w:type="dxa"/>
            <w:vMerge w:val="restart"/>
            <w:vAlign w:val="center"/>
          </w:tcPr>
          <w:p w14:paraId="62BC9624" w14:textId="77777777" w:rsidR="00454A29" w:rsidRDefault="00454A29">
            <w:pPr>
              <w:pStyle w:val="ConsPlusNormal"/>
              <w:jc w:val="center"/>
            </w:pPr>
            <w:r>
              <w:t>990</w:t>
            </w:r>
          </w:p>
        </w:tc>
        <w:tc>
          <w:tcPr>
            <w:tcW w:w="2324" w:type="dxa"/>
            <w:vMerge w:val="restart"/>
            <w:vAlign w:val="center"/>
          </w:tcPr>
          <w:p w14:paraId="77D8BED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11F11AE" w14:textId="77777777" w:rsidR="00454A29" w:rsidRDefault="00454A29">
            <w:pPr>
              <w:pStyle w:val="ConsPlusNormal"/>
              <w:jc w:val="center"/>
            </w:pPr>
            <w:r>
              <w:t>1 367 070,39</w:t>
            </w:r>
          </w:p>
        </w:tc>
        <w:tc>
          <w:tcPr>
            <w:tcW w:w="1814" w:type="dxa"/>
            <w:vAlign w:val="center"/>
          </w:tcPr>
          <w:p w14:paraId="2FF6218B" w14:textId="77777777" w:rsidR="00454A29" w:rsidRDefault="00454A29">
            <w:pPr>
              <w:pStyle w:val="ConsPlusNormal"/>
              <w:jc w:val="center"/>
            </w:pPr>
            <w:r>
              <w:t>16 842,31</w:t>
            </w:r>
          </w:p>
        </w:tc>
        <w:tc>
          <w:tcPr>
            <w:tcW w:w="1701" w:type="dxa"/>
            <w:vAlign w:val="center"/>
          </w:tcPr>
          <w:p w14:paraId="1071A977" w14:textId="77777777" w:rsidR="00454A29" w:rsidRDefault="00454A29">
            <w:pPr>
              <w:pStyle w:val="ConsPlusNormal"/>
              <w:jc w:val="center"/>
            </w:pPr>
            <w:r>
              <w:t>1 667 388,41</w:t>
            </w:r>
          </w:p>
        </w:tc>
        <w:tc>
          <w:tcPr>
            <w:tcW w:w="1701" w:type="dxa"/>
            <w:vAlign w:val="center"/>
          </w:tcPr>
          <w:p w14:paraId="737EF725" w14:textId="77777777" w:rsidR="00454A29" w:rsidRDefault="00454A29">
            <w:pPr>
              <w:pStyle w:val="ConsPlusNormal"/>
              <w:jc w:val="center"/>
            </w:pPr>
            <w:r>
              <w:t>-</w:t>
            </w:r>
          </w:p>
        </w:tc>
        <w:tc>
          <w:tcPr>
            <w:tcW w:w="1814" w:type="dxa"/>
            <w:vAlign w:val="center"/>
          </w:tcPr>
          <w:p w14:paraId="68DC3A21" w14:textId="77777777" w:rsidR="00454A29" w:rsidRDefault="00454A29">
            <w:pPr>
              <w:pStyle w:val="ConsPlusNormal"/>
              <w:jc w:val="center"/>
            </w:pPr>
            <w:r>
              <w:t>-</w:t>
            </w:r>
          </w:p>
        </w:tc>
      </w:tr>
      <w:tr w:rsidR="00454A29" w14:paraId="69DE5D75" w14:textId="77777777">
        <w:tc>
          <w:tcPr>
            <w:tcW w:w="567" w:type="dxa"/>
            <w:vMerge/>
          </w:tcPr>
          <w:p w14:paraId="491BC1AF" w14:textId="77777777" w:rsidR="00454A29" w:rsidRDefault="00454A29"/>
        </w:tc>
        <w:tc>
          <w:tcPr>
            <w:tcW w:w="3345" w:type="dxa"/>
            <w:vMerge/>
          </w:tcPr>
          <w:p w14:paraId="48E232F6" w14:textId="77777777" w:rsidR="00454A29" w:rsidRDefault="00454A29"/>
        </w:tc>
        <w:tc>
          <w:tcPr>
            <w:tcW w:w="1701" w:type="dxa"/>
            <w:vAlign w:val="center"/>
          </w:tcPr>
          <w:p w14:paraId="28C9DFC9" w14:textId="77777777" w:rsidR="00454A29" w:rsidRDefault="00454A29">
            <w:pPr>
              <w:pStyle w:val="ConsPlusNormal"/>
              <w:jc w:val="center"/>
            </w:pPr>
            <w:r>
              <w:t>2020</w:t>
            </w:r>
          </w:p>
        </w:tc>
        <w:tc>
          <w:tcPr>
            <w:tcW w:w="1417" w:type="dxa"/>
            <w:vMerge/>
          </w:tcPr>
          <w:p w14:paraId="639AE262" w14:textId="77777777" w:rsidR="00454A29" w:rsidRDefault="00454A29"/>
        </w:tc>
        <w:tc>
          <w:tcPr>
            <w:tcW w:w="2204" w:type="dxa"/>
            <w:vMerge/>
          </w:tcPr>
          <w:p w14:paraId="47EBA490" w14:textId="77777777" w:rsidR="00454A29" w:rsidRDefault="00454A29"/>
        </w:tc>
        <w:tc>
          <w:tcPr>
            <w:tcW w:w="1417" w:type="dxa"/>
            <w:vMerge/>
          </w:tcPr>
          <w:p w14:paraId="361515C9" w14:textId="77777777" w:rsidR="00454A29" w:rsidRDefault="00454A29"/>
        </w:tc>
        <w:tc>
          <w:tcPr>
            <w:tcW w:w="2324" w:type="dxa"/>
            <w:vMerge/>
          </w:tcPr>
          <w:p w14:paraId="61F181F4" w14:textId="77777777" w:rsidR="00454A29" w:rsidRDefault="00454A29"/>
        </w:tc>
        <w:tc>
          <w:tcPr>
            <w:tcW w:w="1701" w:type="dxa"/>
            <w:vAlign w:val="center"/>
          </w:tcPr>
          <w:p w14:paraId="091367DA" w14:textId="77777777" w:rsidR="00454A29" w:rsidRDefault="00454A29">
            <w:pPr>
              <w:pStyle w:val="ConsPlusNormal"/>
            </w:pPr>
          </w:p>
        </w:tc>
        <w:tc>
          <w:tcPr>
            <w:tcW w:w="1814" w:type="dxa"/>
            <w:vAlign w:val="center"/>
          </w:tcPr>
          <w:p w14:paraId="4883D37D" w14:textId="77777777" w:rsidR="00454A29" w:rsidRDefault="00454A29">
            <w:pPr>
              <w:pStyle w:val="ConsPlusNormal"/>
            </w:pPr>
          </w:p>
        </w:tc>
        <w:tc>
          <w:tcPr>
            <w:tcW w:w="1701" w:type="dxa"/>
            <w:vAlign w:val="center"/>
          </w:tcPr>
          <w:p w14:paraId="04552C38" w14:textId="77777777" w:rsidR="00454A29" w:rsidRDefault="00454A29">
            <w:pPr>
              <w:pStyle w:val="ConsPlusNormal"/>
            </w:pPr>
          </w:p>
        </w:tc>
        <w:tc>
          <w:tcPr>
            <w:tcW w:w="1701" w:type="dxa"/>
            <w:vAlign w:val="center"/>
          </w:tcPr>
          <w:p w14:paraId="528E1099" w14:textId="77777777" w:rsidR="00454A29" w:rsidRDefault="00454A29">
            <w:pPr>
              <w:pStyle w:val="ConsPlusNormal"/>
            </w:pPr>
          </w:p>
        </w:tc>
        <w:tc>
          <w:tcPr>
            <w:tcW w:w="1814" w:type="dxa"/>
            <w:vAlign w:val="center"/>
          </w:tcPr>
          <w:p w14:paraId="2F1F9686" w14:textId="77777777" w:rsidR="00454A29" w:rsidRDefault="00454A29">
            <w:pPr>
              <w:pStyle w:val="ConsPlusNormal"/>
            </w:pPr>
          </w:p>
        </w:tc>
      </w:tr>
      <w:tr w:rsidR="00454A29" w14:paraId="7426C23E" w14:textId="77777777">
        <w:tc>
          <w:tcPr>
            <w:tcW w:w="567" w:type="dxa"/>
            <w:vMerge/>
          </w:tcPr>
          <w:p w14:paraId="12B435FC" w14:textId="77777777" w:rsidR="00454A29" w:rsidRDefault="00454A29"/>
        </w:tc>
        <w:tc>
          <w:tcPr>
            <w:tcW w:w="3345" w:type="dxa"/>
            <w:vMerge/>
          </w:tcPr>
          <w:p w14:paraId="2687CE47" w14:textId="77777777" w:rsidR="00454A29" w:rsidRDefault="00454A29"/>
        </w:tc>
        <w:tc>
          <w:tcPr>
            <w:tcW w:w="1701" w:type="dxa"/>
            <w:vAlign w:val="center"/>
          </w:tcPr>
          <w:p w14:paraId="43014971" w14:textId="77777777" w:rsidR="00454A29" w:rsidRDefault="00454A29">
            <w:pPr>
              <w:pStyle w:val="ConsPlusNormal"/>
              <w:jc w:val="center"/>
            </w:pPr>
            <w:r>
              <w:t>2021</w:t>
            </w:r>
          </w:p>
        </w:tc>
        <w:tc>
          <w:tcPr>
            <w:tcW w:w="1417" w:type="dxa"/>
            <w:vMerge/>
          </w:tcPr>
          <w:p w14:paraId="236B511D" w14:textId="77777777" w:rsidR="00454A29" w:rsidRDefault="00454A29"/>
        </w:tc>
        <w:tc>
          <w:tcPr>
            <w:tcW w:w="2204" w:type="dxa"/>
            <w:vMerge/>
          </w:tcPr>
          <w:p w14:paraId="67138FF0" w14:textId="77777777" w:rsidR="00454A29" w:rsidRDefault="00454A29"/>
        </w:tc>
        <w:tc>
          <w:tcPr>
            <w:tcW w:w="1417" w:type="dxa"/>
            <w:vMerge/>
          </w:tcPr>
          <w:p w14:paraId="7485D22F" w14:textId="77777777" w:rsidR="00454A29" w:rsidRDefault="00454A29"/>
        </w:tc>
        <w:tc>
          <w:tcPr>
            <w:tcW w:w="2324" w:type="dxa"/>
            <w:vMerge/>
          </w:tcPr>
          <w:p w14:paraId="4CDD59C6" w14:textId="77777777" w:rsidR="00454A29" w:rsidRDefault="00454A29"/>
        </w:tc>
        <w:tc>
          <w:tcPr>
            <w:tcW w:w="1701" w:type="dxa"/>
            <w:vAlign w:val="center"/>
          </w:tcPr>
          <w:p w14:paraId="62C9CEC7" w14:textId="77777777" w:rsidR="00454A29" w:rsidRDefault="00454A29">
            <w:pPr>
              <w:pStyle w:val="ConsPlusNormal"/>
            </w:pPr>
          </w:p>
        </w:tc>
        <w:tc>
          <w:tcPr>
            <w:tcW w:w="1814" w:type="dxa"/>
            <w:vAlign w:val="center"/>
          </w:tcPr>
          <w:p w14:paraId="730E9DED" w14:textId="77777777" w:rsidR="00454A29" w:rsidRDefault="00454A29">
            <w:pPr>
              <w:pStyle w:val="ConsPlusNormal"/>
            </w:pPr>
          </w:p>
        </w:tc>
        <w:tc>
          <w:tcPr>
            <w:tcW w:w="1701" w:type="dxa"/>
            <w:vAlign w:val="center"/>
          </w:tcPr>
          <w:p w14:paraId="12CD940C" w14:textId="77777777" w:rsidR="00454A29" w:rsidRDefault="00454A29">
            <w:pPr>
              <w:pStyle w:val="ConsPlusNormal"/>
            </w:pPr>
          </w:p>
        </w:tc>
        <w:tc>
          <w:tcPr>
            <w:tcW w:w="1701" w:type="dxa"/>
            <w:vAlign w:val="center"/>
          </w:tcPr>
          <w:p w14:paraId="73B54914" w14:textId="77777777" w:rsidR="00454A29" w:rsidRDefault="00454A29">
            <w:pPr>
              <w:pStyle w:val="ConsPlusNormal"/>
            </w:pPr>
          </w:p>
        </w:tc>
        <w:tc>
          <w:tcPr>
            <w:tcW w:w="1814" w:type="dxa"/>
            <w:vAlign w:val="center"/>
          </w:tcPr>
          <w:p w14:paraId="0CC1715D" w14:textId="77777777" w:rsidR="00454A29" w:rsidRDefault="00454A29">
            <w:pPr>
              <w:pStyle w:val="ConsPlusNormal"/>
            </w:pPr>
          </w:p>
        </w:tc>
      </w:tr>
      <w:tr w:rsidR="00454A29" w14:paraId="7D450E99" w14:textId="77777777">
        <w:tc>
          <w:tcPr>
            <w:tcW w:w="567" w:type="dxa"/>
            <w:vMerge/>
          </w:tcPr>
          <w:p w14:paraId="0DF6ACFA" w14:textId="77777777" w:rsidR="00454A29" w:rsidRDefault="00454A29"/>
        </w:tc>
        <w:tc>
          <w:tcPr>
            <w:tcW w:w="3345" w:type="dxa"/>
            <w:vMerge/>
          </w:tcPr>
          <w:p w14:paraId="4B56AE63" w14:textId="77777777" w:rsidR="00454A29" w:rsidRDefault="00454A29"/>
        </w:tc>
        <w:tc>
          <w:tcPr>
            <w:tcW w:w="1701" w:type="dxa"/>
            <w:vAlign w:val="center"/>
          </w:tcPr>
          <w:p w14:paraId="576CF550" w14:textId="77777777" w:rsidR="00454A29" w:rsidRDefault="00454A29">
            <w:pPr>
              <w:pStyle w:val="ConsPlusNormal"/>
              <w:jc w:val="center"/>
            </w:pPr>
            <w:r>
              <w:t>2022</w:t>
            </w:r>
          </w:p>
        </w:tc>
        <w:tc>
          <w:tcPr>
            <w:tcW w:w="1417" w:type="dxa"/>
            <w:vMerge/>
          </w:tcPr>
          <w:p w14:paraId="0A0BE6BE" w14:textId="77777777" w:rsidR="00454A29" w:rsidRDefault="00454A29"/>
        </w:tc>
        <w:tc>
          <w:tcPr>
            <w:tcW w:w="2204" w:type="dxa"/>
            <w:vMerge/>
          </w:tcPr>
          <w:p w14:paraId="059FB0FD" w14:textId="77777777" w:rsidR="00454A29" w:rsidRDefault="00454A29"/>
        </w:tc>
        <w:tc>
          <w:tcPr>
            <w:tcW w:w="1417" w:type="dxa"/>
            <w:vMerge/>
          </w:tcPr>
          <w:p w14:paraId="5A558298" w14:textId="77777777" w:rsidR="00454A29" w:rsidRDefault="00454A29"/>
        </w:tc>
        <w:tc>
          <w:tcPr>
            <w:tcW w:w="2324" w:type="dxa"/>
            <w:vMerge/>
          </w:tcPr>
          <w:p w14:paraId="1D7FF343" w14:textId="77777777" w:rsidR="00454A29" w:rsidRDefault="00454A29"/>
        </w:tc>
        <w:tc>
          <w:tcPr>
            <w:tcW w:w="1701" w:type="dxa"/>
            <w:vAlign w:val="center"/>
          </w:tcPr>
          <w:p w14:paraId="50A41659" w14:textId="77777777" w:rsidR="00454A29" w:rsidRDefault="00454A29">
            <w:pPr>
              <w:pStyle w:val="ConsPlusNormal"/>
            </w:pPr>
          </w:p>
        </w:tc>
        <w:tc>
          <w:tcPr>
            <w:tcW w:w="1814" w:type="dxa"/>
            <w:vAlign w:val="center"/>
          </w:tcPr>
          <w:p w14:paraId="41FA3956" w14:textId="77777777" w:rsidR="00454A29" w:rsidRDefault="00454A29">
            <w:pPr>
              <w:pStyle w:val="ConsPlusNormal"/>
            </w:pPr>
          </w:p>
        </w:tc>
        <w:tc>
          <w:tcPr>
            <w:tcW w:w="1701" w:type="dxa"/>
            <w:vAlign w:val="center"/>
          </w:tcPr>
          <w:p w14:paraId="37766C63" w14:textId="77777777" w:rsidR="00454A29" w:rsidRDefault="00454A29">
            <w:pPr>
              <w:pStyle w:val="ConsPlusNormal"/>
            </w:pPr>
          </w:p>
        </w:tc>
        <w:tc>
          <w:tcPr>
            <w:tcW w:w="1701" w:type="dxa"/>
            <w:vAlign w:val="center"/>
          </w:tcPr>
          <w:p w14:paraId="5528EB21" w14:textId="77777777" w:rsidR="00454A29" w:rsidRDefault="00454A29">
            <w:pPr>
              <w:pStyle w:val="ConsPlusNormal"/>
            </w:pPr>
          </w:p>
        </w:tc>
        <w:tc>
          <w:tcPr>
            <w:tcW w:w="1814" w:type="dxa"/>
            <w:vAlign w:val="center"/>
          </w:tcPr>
          <w:p w14:paraId="1DD130AD" w14:textId="77777777" w:rsidR="00454A29" w:rsidRDefault="00454A29">
            <w:pPr>
              <w:pStyle w:val="ConsPlusNormal"/>
            </w:pPr>
          </w:p>
        </w:tc>
      </w:tr>
      <w:tr w:rsidR="00454A29" w14:paraId="3327743A" w14:textId="77777777">
        <w:tc>
          <w:tcPr>
            <w:tcW w:w="567" w:type="dxa"/>
            <w:vMerge/>
          </w:tcPr>
          <w:p w14:paraId="5D4DF4CC" w14:textId="77777777" w:rsidR="00454A29" w:rsidRDefault="00454A29"/>
        </w:tc>
        <w:tc>
          <w:tcPr>
            <w:tcW w:w="3345" w:type="dxa"/>
            <w:vMerge/>
          </w:tcPr>
          <w:p w14:paraId="12B521A2" w14:textId="77777777" w:rsidR="00454A29" w:rsidRDefault="00454A29"/>
        </w:tc>
        <w:tc>
          <w:tcPr>
            <w:tcW w:w="1701" w:type="dxa"/>
            <w:vAlign w:val="center"/>
          </w:tcPr>
          <w:p w14:paraId="49D8106E" w14:textId="77777777" w:rsidR="00454A29" w:rsidRDefault="00454A29">
            <w:pPr>
              <w:pStyle w:val="ConsPlusNormal"/>
              <w:jc w:val="center"/>
            </w:pPr>
            <w:r>
              <w:t>2023</w:t>
            </w:r>
          </w:p>
        </w:tc>
        <w:tc>
          <w:tcPr>
            <w:tcW w:w="1417" w:type="dxa"/>
            <w:vMerge/>
          </w:tcPr>
          <w:p w14:paraId="00FB17DE" w14:textId="77777777" w:rsidR="00454A29" w:rsidRDefault="00454A29"/>
        </w:tc>
        <w:tc>
          <w:tcPr>
            <w:tcW w:w="2204" w:type="dxa"/>
            <w:vMerge/>
          </w:tcPr>
          <w:p w14:paraId="3BCF5333" w14:textId="77777777" w:rsidR="00454A29" w:rsidRDefault="00454A29"/>
        </w:tc>
        <w:tc>
          <w:tcPr>
            <w:tcW w:w="1417" w:type="dxa"/>
            <w:vMerge/>
          </w:tcPr>
          <w:p w14:paraId="1BB7A42C" w14:textId="77777777" w:rsidR="00454A29" w:rsidRDefault="00454A29"/>
        </w:tc>
        <w:tc>
          <w:tcPr>
            <w:tcW w:w="2324" w:type="dxa"/>
            <w:vMerge/>
          </w:tcPr>
          <w:p w14:paraId="6F21E65A" w14:textId="77777777" w:rsidR="00454A29" w:rsidRDefault="00454A29"/>
        </w:tc>
        <w:tc>
          <w:tcPr>
            <w:tcW w:w="1701" w:type="dxa"/>
            <w:vAlign w:val="center"/>
          </w:tcPr>
          <w:p w14:paraId="028EF7A5" w14:textId="77777777" w:rsidR="00454A29" w:rsidRDefault="00454A29">
            <w:pPr>
              <w:pStyle w:val="ConsPlusNormal"/>
            </w:pPr>
          </w:p>
        </w:tc>
        <w:tc>
          <w:tcPr>
            <w:tcW w:w="1814" w:type="dxa"/>
            <w:vAlign w:val="center"/>
          </w:tcPr>
          <w:p w14:paraId="41BF2C9D" w14:textId="77777777" w:rsidR="00454A29" w:rsidRDefault="00454A29">
            <w:pPr>
              <w:pStyle w:val="ConsPlusNormal"/>
            </w:pPr>
          </w:p>
        </w:tc>
        <w:tc>
          <w:tcPr>
            <w:tcW w:w="1701" w:type="dxa"/>
            <w:vAlign w:val="center"/>
          </w:tcPr>
          <w:p w14:paraId="5E1F5B4D" w14:textId="77777777" w:rsidR="00454A29" w:rsidRDefault="00454A29">
            <w:pPr>
              <w:pStyle w:val="ConsPlusNormal"/>
            </w:pPr>
          </w:p>
        </w:tc>
        <w:tc>
          <w:tcPr>
            <w:tcW w:w="1701" w:type="dxa"/>
            <w:vAlign w:val="center"/>
          </w:tcPr>
          <w:p w14:paraId="73FE88C3" w14:textId="77777777" w:rsidR="00454A29" w:rsidRDefault="00454A29">
            <w:pPr>
              <w:pStyle w:val="ConsPlusNormal"/>
            </w:pPr>
          </w:p>
        </w:tc>
        <w:tc>
          <w:tcPr>
            <w:tcW w:w="1814" w:type="dxa"/>
            <w:vAlign w:val="center"/>
          </w:tcPr>
          <w:p w14:paraId="06D1A158" w14:textId="77777777" w:rsidR="00454A29" w:rsidRDefault="00454A29">
            <w:pPr>
              <w:pStyle w:val="ConsPlusNormal"/>
            </w:pPr>
          </w:p>
        </w:tc>
      </w:tr>
      <w:tr w:rsidR="00454A29" w14:paraId="013FECF8" w14:textId="77777777">
        <w:tc>
          <w:tcPr>
            <w:tcW w:w="567" w:type="dxa"/>
            <w:vMerge/>
          </w:tcPr>
          <w:p w14:paraId="0BA2A4F3" w14:textId="77777777" w:rsidR="00454A29" w:rsidRDefault="00454A29"/>
        </w:tc>
        <w:tc>
          <w:tcPr>
            <w:tcW w:w="3345" w:type="dxa"/>
            <w:vMerge/>
          </w:tcPr>
          <w:p w14:paraId="799EA383" w14:textId="77777777" w:rsidR="00454A29" w:rsidRDefault="00454A29"/>
        </w:tc>
        <w:tc>
          <w:tcPr>
            <w:tcW w:w="1701" w:type="dxa"/>
            <w:vAlign w:val="center"/>
          </w:tcPr>
          <w:p w14:paraId="55F3E35B" w14:textId="77777777" w:rsidR="00454A29" w:rsidRDefault="00454A29">
            <w:pPr>
              <w:pStyle w:val="ConsPlusNormal"/>
              <w:jc w:val="center"/>
            </w:pPr>
            <w:r>
              <w:t>2024</w:t>
            </w:r>
          </w:p>
        </w:tc>
        <w:tc>
          <w:tcPr>
            <w:tcW w:w="1417" w:type="dxa"/>
            <w:vMerge/>
          </w:tcPr>
          <w:p w14:paraId="08660330" w14:textId="77777777" w:rsidR="00454A29" w:rsidRDefault="00454A29"/>
        </w:tc>
        <w:tc>
          <w:tcPr>
            <w:tcW w:w="2204" w:type="dxa"/>
            <w:vMerge/>
          </w:tcPr>
          <w:p w14:paraId="4C94F5D8" w14:textId="77777777" w:rsidR="00454A29" w:rsidRDefault="00454A29"/>
        </w:tc>
        <w:tc>
          <w:tcPr>
            <w:tcW w:w="1417" w:type="dxa"/>
            <w:vMerge/>
          </w:tcPr>
          <w:p w14:paraId="09A83C29" w14:textId="77777777" w:rsidR="00454A29" w:rsidRDefault="00454A29"/>
        </w:tc>
        <w:tc>
          <w:tcPr>
            <w:tcW w:w="2324" w:type="dxa"/>
            <w:vMerge/>
          </w:tcPr>
          <w:p w14:paraId="16189876" w14:textId="77777777" w:rsidR="00454A29" w:rsidRDefault="00454A29"/>
        </w:tc>
        <w:tc>
          <w:tcPr>
            <w:tcW w:w="1701" w:type="dxa"/>
            <w:vAlign w:val="center"/>
          </w:tcPr>
          <w:p w14:paraId="489D96BF" w14:textId="77777777" w:rsidR="00454A29" w:rsidRDefault="00454A29">
            <w:pPr>
              <w:pStyle w:val="ConsPlusNormal"/>
            </w:pPr>
          </w:p>
        </w:tc>
        <w:tc>
          <w:tcPr>
            <w:tcW w:w="1814" w:type="dxa"/>
            <w:vAlign w:val="center"/>
          </w:tcPr>
          <w:p w14:paraId="60ACF9D9" w14:textId="77777777" w:rsidR="00454A29" w:rsidRDefault="00454A29">
            <w:pPr>
              <w:pStyle w:val="ConsPlusNormal"/>
            </w:pPr>
          </w:p>
        </w:tc>
        <w:tc>
          <w:tcPr>
            <w:tcW w:w="1701" w:type="dxa"/>
            <w:vAlign w:val="center"/>
          </w:tcPr>
          <w:p w14:paraId="66F9D937" w14:textId="77777777" w:rsidR="00454A29" w:rsidRDefault="00454A29">
            <w:pPr>
              <w:pStyle w:val="ConsPlusNormal"/>
            </w:pPr>
          </w:p>
        </w:tc>
        <w:tc>
          <w:tcPr>
            <w:tcW w:w="1701" w:type="dxa"/>
            <w:vAlign w:val="center"/>
          </w:tcPr>
          <w:p w14:paraId="1A0EF597" w14:textId="77777777" w:rsidR="00454A29" w:rsidRDefault="00454A29">
            <w:pPr>
              <w:pStyle w:val="ConsPlusNormal"/>
            </w:pPr>
          </w:p>
        </w:tc>
        <w:tc>
          <w:tcPr>
            <w:tcW w:w="1814" w:type="dxa"/>
            <w:vAlign w:val="center"/>
          </w:tcPr>
          <w:p w14:paraId="4AF056D4" w14:textId="77777777" w:rsidR="00454A29" w:rsidRDefault="00454A29">
            <w:pPr>
              <w:pStyle w:val="ConsPlusNormal"/>
            </w:pPr>
          </w:p>
        </w:tc>
      </w:tr>
      <w:tr w:rsidR="00454A29" w14:paraId="01FB45DA" w14:textId="77777777">
        <w:tc>
          <w:tcPr>
            <w:tcW w:w="567" w:type="dxa"/>
            <w:vMerge/>
          </w:tcPr>
          <w:p w14:paraId="0C72936E" w14:textId="77777777" w:rsidR="00454A29" w:rsidRDefault="00454A29"/>
        </w:tc>
        <w:tc>
          <w:tcPr>
            <w:tcW w:w="3345" w:type="dxa"/>
            <w:vMerge/>
          </w:tcPr>
          <w:p w14:paraId="228E9252" w14:textId="77777777" w:rsidR="00454A29" w:rsidRDefault="00454A29"/>
        </w:tc>
        <w:tc>
          <w:tcPr>
            <w:tcW w:w="1701" w:type="dxa"/>
            <w:vAlign w:val="center"/>
          </w:tcPr>
          <w:p w14:paraId="52900AF9" w14:textId="77777777" w:rsidR="00454A29" w:rsidRDefault="00454A29">
            <w:pPr>
              <w:pStyle w:val="ConsPlusNormal"/>
              <w:jc w:val="center"/>
            </w:pPr>
            <w:r>
              <w:t>2025</w:t>
            </w:r>
          </w:p>
        </w:tc>
        <w:tc>
          <w:tcPr>
            <w:tcW w:w="1417" w:type="dxa"/>
            <w:vMerge/>
          </w:tcPr>
          <w:p w14:paraId="7B01D6F8" w14:textId="77777777" w:rsidR="00454A29" w:rsidRDefault="00454A29"/>
        </w:tc>
        <w:tc>
          <w:tcPr>
            <w:tcW w:w="2204" w:type="dxa"/>
            <w:vMerge/>
          </w:tcPr>
          <w:p w14:paraId="10A0EED1" w14:textId="77777777" w:rsidR="00454A29" w:rsidRDefault="00454A29"/>
        </w:tc>
        <w:tc>
          <w:tcPr>
            <w:tcW w:w="1417" w:type="dxa"/>
            <w:vMerge/>
          </w:tcPr>
          <w:p w14:paraId="08F6922F" w14:textId="77777777" w:rsidR="00454A29" w:rsidRDefault="00454A29"/>
        </w:tc>
        <w:tc>
          <w:tcPr>
            <w:tcW w:w="2324" w:type="dxa"/>
            <w:vMerge/>
          </w:tcPr>
          <w:p w14:paraId="7652C8C6" w14:textId="77777777" w:rsidR="00454A29" w:rsidRDefault="00454A29"/>
        </w:tc>
        <w:tc>
          <w:tcPr>
            <w:tcW w:w="1701" w:type="dxa"/>
            <w:vAlign w:val="center"/>
          </w:tcPr>
          <w:p w14:paraId="60ED3A81" w14:textId="77777777" w:rsidR="00454A29" w:rsidRDefault="00454A29">
            <w:pPr>
              <w:pStyle w:val="ConsPlusNormal"/>
            </w:pPr>
          </w:p>
        </w:tc>
        <w:tc>
          <w:tcPr>
            <w:tcW w:w="1814" w:type="dxa"/>
            <w:vAlign w:val="center"/>
          </w:tcPr>
          <w:p w14:paraId="07EA5A55" w14:textId="77777777" w:rsidR="00454A29" w:rsidRDefault="00454A29">
            <w:pPr>
              <w:pStyle w:val="ConsPlusNormal"/>
            </w:pPr>
          </w:p>
        </w:tc>
        <w:tc>
          <w:tcPr>
            <w:tcW w:w="1701" w:type="dxa"/>
            <w:vAlign w:val="center"/>
          </w:tcPr>
          <w:p w14:paraId="44981ED5" w14:textId="77777777" w:rsidR="00454A29" w:rsidRDefault="00454A29">
            <w:pPr>
              <w:pStyle w:val="ConsPlusNormal"/>
            </w:pPr>
          </w:p>
        </w:tc>
        <w:tc>
          <w:tcPr>
            <w:tcW w:w="1701" w:type="dxa"/>
            <w:vAlign w:val="center"/>
          </w:tcPr>
          <w:p w14:paraId="1AE3B4D0" w14:textId="77777777" w:rsidR="00454A29" w:rsidRDefault="00454A29">
            <w:pPr>
              <w:pStyle w:val="ConsPlusNormal"/>
            </w:pPr>
          </w:p>
        </w:tc>
        <w:tc>
          <w:tcPr>
            <w:tcW w:w="1814" w:type="dxa"/>
            <w:vAlign w:val="center"/>
          </w:tcPr>
          <w:p w14:paraId="2C9C4477" w14:textId="77777777" w:rsidR="00454A29" w:rsidRDefault="00454A29">
            <w:pPr>
              <w:pStyle w:val="ConsPlusNormal"/>
            </w:pPr>
          </w:p>
        </w:tc>
      </w:tr>
      <w:tr w:rsidR="00454A29" w14:paraId="2736C855" w14:textId="77777777">
        <w:tc>
          <w:tcPr>
            <w:tcW w:w="567" w:type="dxa"/>
            <w:vMerge/>
          </w:tcPr>
          <w:p w14:paraId="1FB36DA6" w14:textId="77777777" w:rsidR="00454A29" w:rsidRDefault="00454A29"/>
        </w:tc>
        <w:tc>
          <w:tcPr>
            <w:tcW w:w="3345" w:type="dxa"/>
            <w:vMerge/>
          </w:tcPr>
          <w:p w14:paraId="41824EA7" w14:textId="77777777" w:rsidR="00454A29" w:rsidRDefault="00454A29"/>
        </w:tc>
        <w:tc>
          <w:tcPr>
            <w:tcW w:w="1701" w:type="dxa"/>
            <w:vAlign w:val="center"/>
          </w:tcPr>
          <w:p w14:paraId="3F1022E0" w14:textId="77777777" w:rsidR="00454A29" w:rsidRDefault="00454A29">
            <w:pPr>
              <w:pStyle w:val="ConsPlusNormal"/>
              <w:jc w:val="center"/>
            </w:pPr>
            <w:r>
              <w:t>2026</w:t>
            </w:r>
          </w:p>
        </w:tc>
        <w:tc>
          <w:tcPr>
            <w:tcW w:w="1417" w:type="dxa"/>
            <w:vMerge/>
          </w:tcPr>
          <w:p w14:paraId="6916CCC8" w14:textId="77777777" w:rsidR="00454A29" w:rsidRDefault="00454A29"/>
        </w:tc>
        <w:tc>
          <w:tcPr>
            <w:tcW w:w="2204" w:type="dxa"/>
            <w:vMerge/>
          </w:tcPr>
          <w:p w14:paraId="2ABAF398" w14:textId="77777777" w:rsidR="00454A29" w:rsidRDefault="00454A29"/>
        </w:tc>
        <w:tc>
          <w:tcPr>
            <w:tcW w:w="1417" w:type="dxa"/>
            <w:vMerge/>
          </w:tcPr>
          <w:p w14:paraId="611FC703" w14:textId="77777777" w:rsidR="00454A29" w:rsidRDefault="00454A29"/>
        </w:tc>
        <w:tc>
          <w:tcPr>
            <w:tcW w:w="2324" w:type="dxa"/>
            <w:vMerge/>
          </w:tcPr>
          <w:p w14:paraId="1B22B228" w14:textId="77777777" w:rsidR="00454A29" w:rsidRDefault="00454A29"/>
        </w:tc>
        <w:tc>
          <w:tcPr>
            <w:tcW w:w="1701" w:type="dxa"/>
            <w:vAlign w:val="center"/>
          </w:tcPr>
          <w:p w14:paraId="1D1969DF" w14:textId="77777777" w:rsidR="00454A29" w:rsidRDefault="00454A29">
            <w:pPr>
              <w:pStyle w:val="ConsPlusNormal"/>
              <w:jc w:val="center"/>
            </w:pPr>
            <w:r>
              <w:t>1 367 070,39</w:t>
            </w:r>
          </w:p>
        </w:tc>
        <w:tc>
          <w:tcPr>
            <w:tcW w:w="1814" w:type="dxa"/>
            <w:vAlign w:val="center"/>
          </w:tcPr>
          <w:p w14:paraId="72FF5278" w14:textId="77777777" w:rsidR="00454A29" w:rsidRDefault="00454A29">
            <w:pPr>
              <w:pStyle w:val="ConsPlusNormal"/>
              <w:jc w:val="center"/>
            </w:pPr>
            <w:r>
              <w:t>16 842,31</w:t>
            </w:r>
          </w:p>
        </w:tc>
        <w:tc>
          <w:tcPr>
            <w:tcW w:w="1701" w:type="dxa"/>
            <w:vAlign w:val="center"/>
          </w:tcPr>
          <w:p w14:paraId="480BCA37" w14:textId="77777777" w:rsidR="00454A29" w:rsidRDefault="00454A29">
            <w:pPr>
              <w:pStyle w:val="ConsPlusNormal"/>
              <w:jc w:val="center"/>
            </w:pPr>
            <w:r>
              <w:t>1 667 388,41</w:t>
            </w:r>
          </w:p>
        </w:tc>
        <w:tc>
          <w:tcPr>
            <w:tcW w:w="1701" w:type="dxa"/>
            <w:vAlign w:val="center"/>
          </w:tcPr>
          <w:p w14:paraId="07598D4E" w14:textId="77777777" w:rsidR="00454A29" w:rsidRDefault="00454A29">
            <w:pPr>
              <w:pStyle w:val="ConsPlusNormal"/>
            </w:pPr>
          </w:p>
        </w:tc>
        <w:tc>
          <w:tcPr>
            <w:tcW w:w="1814" w:type="dxa"/>
            <w:vAlign w:val="center"/>
          </w:tcPr>
          <w:p w14:paraId="118E9D57" w14:textId="77777777" w:rsidR="00454A29" w:rsidRDefault="00454A29">
            <w:pPr>
              <w:pStyle w:val="ConsPlusNormal"/>
            </w:pPr>
          </w:p>
        </w:tc>
      </w:tr>
      <w:tr w:rsidR="00454A29" w14:paraId="31F907E7" w14:textId="77777777">
        <w:tc>
          <w:tcPr>
            <w:tcW w:w="567" w:type="dxa"/>
            <w:vMerge w:val="restart"/>
            <w:vAlign w:val="center"/>
          </w:tcPr>
          <w:p w14:paraId="7BB0216B" w14:textId="77777777" w:rsidR="00454A29" w:rsidRDefault="00454A29">
            <w:pPr>
              <w:pStyle w:val="ConsPlusNormal"/>
              <w:jc w:val="center"/>
            </w:pPr>
            <w:r>
              <w:t>64</w:t>
            </w:r>
          </w:p>
        </w:tc>
        <w:tc>
          <w:tcPr>
            <w:tcW w:w="3345" w:type="dxa"/>
            <w:vMerge w:val="restart"/>
            <w:vAlign w:val="center"/>
          </w:tcPr>
          <w:p w14:paraId="2EFEFD15" w14:textId="77777777" w:rsidR="00454A29" w:rsidRDefault="00454A29">
            <w:pPr>
              <w:pStyle w:val="ConsPlusNormal"/>
              <w:jc w:val="center"/>
            </w:pPr>
            <w:r>
              <w:t>Школа-сад на 18/15 мест в с. Дорожный</w:t>
            </w:r>
          </w:p>
        </w:tc>
        <w:tc>
          <w:tcPr>
            <w:tcW w:w="1701" w:type="dxa"/>
            <w:vAlign w:val="center"/>
          </w:tcPr>
          <w:p w14:paraId="073FE82C" w14:textId="77777777" w:rsidR="00454A29" w:rsidRDefault="00454A29">
            <w:pPr>
              <w:pStyle w:val="ConsPlusNormal"/>
              <w:jc w:val="center"/>
            </w:pPr>
            <w:r>
              <w:t>2020 - 2026 годы - всего</w:t>
            </w:r>
          </w:p>
        </w:tc>
        <w:tc>
          <w:tcPr>
            <w:tcW w:w="1417" w:type="dxa"/>
            <w:vMerge w:val="restart"/>
            <w:vAlign w:val="center"/>
          </w:tcPr>
          <w:p w14:paraId="39BA95C9" w14:textId="77777777" w:rsidR="00454A29" w:rsidRDefault="00454A29">
            <w:pPr>
              <w:pStyle w:val="ConsPlusNormal"/>
              <w:jc w:val="center"/>
            </w:pPr>
            <w:r>
              <w:t>121 382,10</w:t>
            </w:r>
          </w:p>
        </w:tc>
        <w:tc>
          <w:tcPr>
            <w:tcW w:w="2204" w:type="dxa"/>
            <w:vMerge w:val="restart"/>
            <w:vAlign w:val="center"/>
          </w:tcPr>
          <w:p w14:paraId="46110388" w14:textId="77777777" w:rsidR="00454A29" w:rsidRDefault="00454A29">
            <w:pPr>
              <w:pStyle w:val="ConsPlusNormal"/>
            </w:pPr>
          </w:p>
        </w:tc>
        <w:tc>
          <w:tcPr>
            <w:tcW w:w="1417" w:type="dxa"/>
            <w:vMerge w:val="restart"/>
            <w:vAlign w:val="center"/>
          </w:tcPr>
          <w:p w14:paraId="15C14523" w14:textId="77777777" w:rsidR="00454A29" w:rsidRDefault="00454A29">
            <w:pPr>
              <w:pStyle w:val="ConsPlusNormal"/>
              <w:jc w:val="center"/>
            </w:pPr>
            <w:r>
              <w:t>18</w:t>
            </w:r>
          </w:p>
        </w:tc>
        <w:tc>
          <w:tcPr>
            <w:tcW w:w="2324" w:type="dxa"/>
            <w:vMerge w:val="restart"/>
            <w:vAlign w:val="center"/>
          </w:tcPr>
          <w:p w14:paraId="3286033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A354079" w14:textId="77777777" w:rsidR="00454A29" w:rsidRDefault="00454A29">
            <w:pPr>
              <w:pStyle w:val="ConsPlusNormal"/>
              <w:jc w:val="center"/>
            </w:pPr>
            <w:r>
              <w:t>121 382,10</w:t>
            </w:r>
          </w:p>
        </w:tc>
        <w:tc>
          <w:tcPr>
            <w:tcW w:w="1814" w:type="dxa"/>
            <w:vAlign w:val="center"/>
          </w:tcPr>
          <w:p w14:paraId="47F73B59" w14:textId="77777777" w:rsidR="00454A29" w:rsidRDefault="00454A29">
            <w:pPr>
              <w:pStyle w:val="ConsPlusNormal"/>
              <w:jc w:val="center"/>
            </w:pPr>
            <w:r>
              <w:t>1 495,43</w:t>
            </w:r>
          </w:p>
        </w:tc>
        <w:tc>
          <w:tcPr>
            <w:tcW w:w="1701" w:type="dxa"/>
            <w:vAlign w:val="center"/>
          </w:tcPr>
          <w:p w14:paraId="72AC938E" w14:textId="77777777" w:rsidR="00454A29" w:rsidRDefault="00454A29">
            <w:pPr>
              <w:pStyle w:val="ConsPlusNormal"/>
              <w:jc w:val="center"/>
            </w:pPr>
            <w:r>
              <w:t>148 047,32</w:t>
            </w:r>
          </w:p>
        </w:tc>
        <w:tc>
          <w:tcPr>
            <w:tcW w:w="1701" w:type="dxa"/>
            <w:vAlign w:val="center"/>
          </w:tcPr>
          <w:p w14:paraId="61A5A0B3" w14:textId="77777777" w:rsidR="00454A29" w:rsidRDefault="00454A29">
            <w:pPr>
              <w:pStyle w:val="ConsPlusNormal"/>
              <w:jc w:val="center"/>
            </w:pPr>
            <w:r>
              <w:t>-</w:t>
            </w:r>
          </w:p>
        </w:tc>
        <w:tc>
          <w:tcPr>
            <w:tcW w:w="1814" w:type="dxa"/>
            <w:vAlign w:val="center"/>
          </w:tcPr>
          <w:p w14:paraId="2A12E572" w14:textId="77777777" w:rsidR="00454A29" w:rsidRDefault="00454A29">
            <w:pPr>
              <w:pStyle w:val="ConsPlusNormal"/>
              <w:jc w:val="center"/>
            </w:pPr>
            <w:r>
              <w:t>-</w:t>
            </w:r>
          </w:p>
        </w:tc>
      </w:tr>
      <w:tr w:rsidR="00454A29" w14:paraId="37F2DCEC" w14:textId="77777777">
        <w:tc>
          <w:tcPr>
            <w:tcW w:w="567" w:type="dxa"/>
            <w:vMerge/>
          </w:tcPr>
          <w:p w14:paraId="39B0F951" w14:textId="77777777" w:rsidR="00454A29" w:rsidRDefault="00454A29"/>
        </w:tc>
        <w:tc>
          <w:tcPr>
            <w:tcW w:w="3345" w:type="dxa"/>
            <w:vMerge/>
          </w:tcPr>
          <w:p w14:paraId="55596E71" w14:textId="77777777" w:rsidR="00454A29" w:rsidRDefault="00454A29"/>
        </w:tc>
        <w:tc>
          <w:tcPr>
            <w:tcW w:w="1701" w:type="dxa"/>
            <w:vAlign w:val="center"/>
          </w:tcPr>
          <w:p w14:paraId="62EED2F8" w14:textId="77777777" w:rsidR="00454A29" w:rsidRDefault="00454A29">
            <w:pPr>
              <w:pStyle w:val="ConsPlusNormal"/>
              <w:jc w:val="center"/>
            </w:pPr>
            <w:r>
              <w:t>2020</w:t>
            </w:r>
          </w:p>
        </w:tc>
        <w:tc>
          <w:tcPr>
            <w:tcW w:w="1417" w:type="dxa"/>
            <w:vMerge/>
          </w:tcPr>
          <w:p w14:paraId="7F205FD6" w14:textId="77777777" w:rsidR="00454A29" w:rsidRDefault="00454A29"/>
        </w:tc>
        <w:tc>
          <w:tcPr>
            <w:tcW w:w="2204" w:type="dxa"/>
            <w:vMerge/>
          </w:tcPr>
          <w:p w14:paraId="18099C97" w14:textId="77777777" w:rsidR="00454A29" w:rsidRDefault="00454A29"/>
        </w:tc>
        <w:tc>
          <w:tcPr>
            <w:tcW w:w="1417" w:type="dxa"/>
            <w:vMerge/>
          </w:tcPr>
          <w:p w14:paraId="43C90C78" w14:textId="77777777" w:rsidR="00454A29" w:rsidRDefault="00454A29"/>
        </w:tc>
        <w:tc>
          <w:tcPr>
            <w:tcW w:w="2324" w:type="dxa"/>
            <w:vMerge/>
          </w:tcPr>
          <w:p w14:paraId="12F0399A" w14:textId="77777777" w:rsidR="00454A29" w:rsidRDefault="00454A29"/>
        </w:tc>
        <w:tc>
          <w:tcPr>
            <w:tcW w:w="1701" w:type="dxa"/>
            <w:vAlign w:val="center"/>
          </w:tcPr>
          <w:p w14:paraId="24DE92E7" w14:textId="77777777" w:rsidR="00454A29" w:rsidRDefault="00454A29">
            <w:pPr>
              <w:pStyle w:val="ConsPlusNormal"/>
            </w:pPr>
          </w:p>
        </w:tc>
        <w:tc>
          <w:tcPr>
            <w:tcW w:w="1814" w:type="dxa"/>
            <w:vAlign w:val="center"/>
          </w:tcPr>
          <w:p w14:paraId="09B6661D" w14:textId="77777777" w:rsidR="00454A29" w:rsidRDefault="00454A29">
            <w:pPr>
              <w:pStyle w:val="ConsPlusNormal"/>
            </w:pPr>
          </w:p>
        </w:tc>
        <w:tc>
          <w:tcPr>
            <w:tcW w:w="1701" w:type="dxa"/>
            <w:vAlign w:val="center"/>
          </w:tcPr>
          <w:p w14:paraId="357810DF" w14:textId="77777777" w:rsidR="00454A29" w:rsidRDefault="00454A29">
            <w:pPr>
              <w:pStyle w:val="ConsPlusNormal"/>
            </w:pPr>
          </w:p>
        </w:tc>
        <w:tc>
          <w:tcPr>
            <w:tcW w:w="1701" w:type="dxa"/>
            <w:vAlign w:val="center"/>
          </w:tcPr>
          <w:p w14:paraId="5A2C068A" w14:textId="77777777" w:rsidR="00454A29" w:rsidRDefault="00454A29">
            <w:pPr>
              <w:pStyle w:val="ConsPlusNormal"/>
            </w:pPr>
          </w:p>
        </w:tc>
        <w:tc>
          <w:tcPr>
            <w:tcW w:w="1814" w:type="dxa"/>
            <w:vAlign w:val="center"/>
          </w:tcPr>
          <w:p w14:paraId="6603B991" w14:textId="77777777" w:rsidR="00454A29" w:rsidRDefault="00454A29">
            <w:pPr>
              <w:pStyle w:val="ConsPlusNormal"/>
            </w:pPr>
          </w:p>
        </w:tc>
      </w:tr>
      <w:tr w:rsidR="00454A29" w14:paraId="58482907" w14:textId="77777777">
        <w:tc>
          <w:tcPr>
            <w:tcW w:w="567" w:type="dxa"/>
            <w:vMerge/>
          </w:tcPr>
          <w:p w14:paraId="7B121D20" w14:textId="77777777" w:rsidR="00454A29" w:rsidRDefault="00454A29"/>
        </w:tc>
        <w:tc>
          <w:tcPr>
            <w:tcW w:w="3345" w:type="dxa"/>
            <w:vMerge/>
          </w:tcPr>
          <w:p w14:paraId="00F45B33" w14:textId="77777777" w:rsidR="00454A29" w:rsidRDefault="00454A29"/>
        </w:tc>
        <w:tc>
          <w:tcPr>
            <w:tcW w:w="1701" w:type="dxa"/>
            <w:vAlign w:val="center"/>
          </w:tcPr>
          <w:p w14:paraId="395B6FB2" w14:textId="77777777" w:rsidR="00454A29" w:rsidRDefault="00454A29">
            <w:pPr>
              <w:pStyle w:val="ConsPlusNormal"/>
              <w:jc w:val="center"/>
            </w:pPr>
            <w:r>
              <w:t>2021</w:t>
            </w:r>
          </w:p>
        </w:tc>
        <w:tc>
          <w:tcPr>
            <w:tcW w:w="1417" w:type="dxa"/>
            <w:vMerge/>
          </w:tcPr>
          <w:p w14:paraId="03D8D40A" w14:textId="77777777" w:rsidR="00454A29" w:rsidRDefault="00454A29"/>
        </w:tc>
        <w:tc>
          <w:tcPr>
            <w:tcW w:w="2204" w:type="dxa"/>
            <w:vMerge/>
          </w:tcPr>
          <w:p w14:paraId="304B3071" w14:textId="77777777" w:rsidR="00454A29" w:rsidRDefault="00454A29"/>
        </w:tc>
        <w:tc>
          <w:tcPr>
            <w:tcW w:w="1417" w:type="dxa"/>
            <w:vMerge/>
          </w:tcPr>
          <w:p w14:paraId="4F8E2A5A" w14:textId="77777777" w:rsidR="00454A29" w:rsidRDefault="00454A29"/>
        </w:tc>
        <w:tc>
          <w:tcPr>
            <w:tcW w:w="2324" w:type="dxa"/>
            <w:vMerge/>
          </w:tcPr>
          <w:p w14:paraId="1BFBAD97" w14:textId="77777777" w:rsidR="00454A29" w:rsidRDefault="00454A29"/>
        </w:tc>
        <w:tc>
          <w:tcPr>
            <w:tcW w:w="1701" w:type="dxa"/>
            <w:vAlign w:val="center"/>
          </w:tcPr>
          <w:p w14:paraId="213F4D1A" w14:textId="77777777" w:rsidR="00454A29" w:rsidRDefault="00454A29">
            <w:pPr>
              <w:pStyle w:val="ConsPlusNormal"/>
            </w:pPr>
          </w:p>
        </w:tc>
        <w:tc>
          <w:tcPr>
            <w:tcW w:w="1814" w:type="dxa"/>
            <w:vAlign w:val="center"/>
          </w:tcPr>
          <w:p w14:paraId="147DB0B8" w14:textId="77777777" w:rsidR="00454A29" w:rsidRDefault="00454A29">
            <w:pPr>
              <w:pStyle w:val="ConsPlusNormal"/>
            </w:pPr>
          </w:p>
        </w:tc>
        <w:tc>
          <w:tcPr>
            <w:tcW w:w="1701" w:type="dxa"/>
            <w:vAlign w:val="center"/>
          </w:tcPr>
          <w:p w14:paraId="34F14741" w14:textId="77777777" w:rsidR="00454A29" w:rsidRDefault="00454A29">
            <w:pPr>
              <w:pStyle w:val="ConsPlusNormal"/>
            </w:pPr>
          </w:p>
        </w:tc>
        <w:tc>
          <w:tcPr>
            <w:tcW w:w="1701" w:type="dxa"/>
            <w:vAlign w:val="center"/>
          </w:tcPr>
          <w:p w14:paraId="27475C3C" w14:textId="77777777" w:rsidR="00454A29" w:rsidRDefault="00454A29">
            <w:pPr>
              <w:pStyle w:val="ConsPlusNormal"/>
            </w:pPr>
          </w:p>
        </w:tc>
        <w:tc>
          <w:tcPr>
            <w:tcW w:w="1814" w:type="dxa"/>
            <w:vAlign w:val="center"/>
          </w:tcPr>
          <w:p w14:paraId="77AA388B" w14:textId="77777777" w:rsidR="00454A29" w:rsidRDefault="00454A29">
            <w:pPr>
              <w:pStyle w:val="ConsPlusNormal"/>
            </w:pPr>
          </w:p>
        </w:tc>
      </w:tr>
      <w:tr w:rsidR="00454A29" w14:paraId="0EAB9D51" w14:textId="77777777">
        <w:tc>
          <w:tcPr>
            <w:tcW w:w="567" w:type="dxa"/>
            <w:vMerge/>
          </w:tcPr>
          <w:p w14:paraId="635AC72F" w14:textId="77777777" w:rsidR="00454A29" w:rsidRDefault="00454A29"/>
        </w:tc>
        <w:tc>
          <w:tcPr>
            <w:tcW w:w="3345" w:type="dxa"/>
            <w:vMerge/>
          </w:tcPr>
          <w:p w14:paraId="2C984784" w14:textId="77777777" w:rsidR="00454A29" w:rsidRDefault="00454A29"/>
        </w:tc>
        <w:tc>
          <w:tcPr>
            <w:tcW w:w="1701" w:type="dxa"/>
            <w:vAlign w:val="center"/>
          </w:tcPr>
          <w:p w14:paraId="68FC6CF1" w14:textId="77777777" w:rsidR="00454A29" w:rsidRDefault="00454A29">
            <w:pPr>
              <w:pStyle w:val="ConsPlusNormal"/>
              <w:jc w:val="center"/>
            </w:pPr>
            <w:r>
              <w:t>2022</w:t>
            </w:r>
          </w:p>
        </w:tc>
        <w:tc>
          <w:tcPr>
            <w:tcW w:w="1417" w:type="dxa"/>
            <w:vMerge/>
          </w:tcPr>
          <w:p w14:paraId="36EC3929" w14:textId="77777777" w:rsidR="00454A29" w:rsidRDefault="00454A29"/>
        </w:tc>
        <w:tc>
          <w:tcPr>
            <w:tcW w:w="2204" w:type="dxa"/>
            <w:vMerge/>
          </w:tcPr>
          <w:p w14:paraId="1F59AB0B" w14:textId="77777777" w:rsidR="00454A29" w:rsidRDefault="00454A29"/>
        </w:tc>
        <w:tc>
          <w:tcPr>
            <w:tcW w:w="1417" w:type="dxa"/>
            <w:vMerge/>
          </w:tcPr>
          <w:p w14:paraId="4E0393F8" w14:textId="77777777" w:rsidR="00454A29" w:rsidRDefault="00454A29"/>
        </w:tc>
        <w:tc>
          <w:tcPr>
            <w:tcW w:w="2324" w:type="dxa"/>
            <w:vMerge/>
          </w:tcPr>
          <w:p w14:paraId="7A507C2A" w14:textId="77777777" w:rsidR="00454A29" w:rsidRDefault="00454A29"/>
        </w:tc>
        <w:tc>
          <w:tcPr>
            <w:tcW w:w="1701" w:type="dxa"/>
            <w:vAlign w:val="center"/>
          </w:tcPr>
          <w:p w14:paraId="7CB846BF" w14:textId="77777777" w:rsidR="00454A29" w:rsidRDefault="00454A29">
            <w:pPr>
              <w:pStyle w:val="ConsPlusNormal"/>
            </w:pPr>
          </w:p>
        </w:tc>
        <w:tc>
          <w:tcPr>
            <w:tcW w:w="1814" w:type="dxa"/>
            <w:vAlign w:val="center"/>
          </w:tcPr>
          <w:p w14:paraId="447F1861" w14:textId="77777777" w:rsidR="00454A29" w:rsidRDefault="00454A29">
            <w:pPr>
              <w:pStyle w:val="ConsPlusNormal"/>
            </w:pPr>
          </w:p>
        </w:tc>
        <w:tc>
          <w:tcPr>
            <w:tcW w:w="1701" w:type="dxa"/>
            <w:vAlign w:val="center"/>
          </w:tcPr>
          <w:p w14:paraId="5AD718FA" w14:textId="77777777" w:rsidR="00454A29" w:rsidRDefault="00454A29">
            <w:pPr>
              <w:pStyle w:val="ConsPlusNormal"/>
            </w:pPr>
          </w:p>
        </w:tc>
        <w:tc>
          <w:tcPr>
            <w:tcW w:w="1701" w:type="dxa"/>
            <w:vAlign w:val="center"/>
          </w:tcPr>
          <w:p w14:paraId="08E62390" w14:textId="77777777" w:rsidR="00454A29" w:rsidRDefault="00454A29">
            <w:pPr>
              <w:pStyle w:val="ConsPlusNormal"/>
            </w:pPr>
          </w:p>
        </w:tc>
        <w:tc>
          <w:tcPr>
            <w:tcW w:w="1814" w:type="dxa"/>
            <w:vAlign w:val="center"/>
          </w:tcPr>
          <w:p w14:paraId="7FEEFEA3" w14:textId="77777777" w:rsidR="00454A29" w:rsidRDefault="00454A29">
            <w:pPr>
              <w:pStyle w:val="ConsPlusNormal"/>
            </w:pPr>
          </w:p>
        </w:tc>
      </w:tr>
      <w:tr w:rsidR="00454A29" w14:paraId="4FF5E11F" w14:textId="77777777">
        <w:tc>
          <w:tcPr>
            <w:tcW w:w="567" w:type="dxa"/>
            <w:vMerge/>
          </w:tcPr>
          <w:p w14:paraId="68BEE7B1" w14:textId="77777777" w:rsidR="00454A29" w:rsidRDefault="00454A29"/>
        </w:tc>
        <w:tc>
          <w:tcPr>
            <w:tcW w:w="3345" w:type="dxa"/>
            <w:vMerge/>
          </w:tcPr>
          <w:p w14:paraId="7ECB6523" w14:textId="77777777" w:rsidR="00454A29" w:rsidRDefault="00454A29"/>
        </w:tc>
        <w:tc>
          <w:tcPr>
            <w:tcW w:w="1701" w:type="dxa"/>
            <w:vAlign w:val="center"/>
          </w:tcPr>
          <w:p w14:paraId="5BF3E8DF" w14:textId="77777777" w:rsidR="00454A29" w:rsidRDefault="00454A29">
            <w:pPr>
              <w:pStyle w:val="ConsPlusNormal"/>
              <w:jc w:val="center"/>
            </w:pPr>
            <w:r>
              <w:t>2023</w:t>
            </w:r>
          </w:p>
        </w:tc>
        <w:tc>
          <w:tcPr>
            <w:tcW w:w="1417" w:type="dxa"/>
            <w:vMerge/>
          </w:tcPr>
          <w:p w14:paraId="3739A846" w14:textId="77777777" w:rsidR="00454A29" w:rsidRDefault="00454A29"/>
        </w:tc>
        <w:tc>
          <w:tcPr>
            <w:tcW w:w="2204" w:type="dxa"/>
            <w:vMerge/>
          </w:tcPr>
          <w:p w14:paraId="39F96989" w14:textId="77777777" w:rsidR="00454A29" w:rsidRDefault="00454A29"/>
        </w:tc>
        <w:tc>
          <w:tcPr>
            <w:tcW w:w="1417" w:type="dxa"/>
            <w:vMerge/>
          </w:tcPr>
          <w:p w14:paraId="30527A06" w14:textId="77777777" w:rsidR="00454A29" w:rsidRDefault="00454A29"/>
        </w:tc>
        <w:tc>
          <w:tcPr>
            <w:tcW w:w="2324" w:type="dxa"/>
            <w:vMerge/>
          </w:tcPr>
          <w:p w14:paraId="671FF612" w14:textId="77777777" w:rsidR="00454A29" w:rsidRDefault="00454A29"/>
        </w:tc>
        <w:tc>
          <w:tcPr>
            <w:tcW w:w="1701" w:type="dxa"/>
            <w:vAlign w:val="center"/>
          </w:tcPr>
          <w:p w14:paraId="502FEBBA" w14:textId="77777777" w:rsidR="00454A29" w:rsidRDefault="00454A29">
            <w:pPr>
              <w:pStyle w:val="ConsPlusNormal"/>
            </w:pPr>
          </w:p>
        </w:tc>
        <w:tc>
          <w:tcPr>
            <w:tcW w:w="1814" w:type="dxa"/>
            <w:vAlign w:val="center"/>
          </w:tcPr>
          <w:p w14:paraId="59731A95" w14:textId="77777777" w:rsidR="00454A29" w:rsidRDefault="00454A29">
            <w:pPr>
              <w:pStyle w:val="ConsPlusNormal"/>
            </w:pPr>
          </w:p>
        </w:tc>
        <w:tc>
          <w:tcPr>
            <w:tcW w:w="1701" w:type="dxa"/>
            <w:vAlign w:val="center"/>
          </w:tcPr>
          <w:p w14:paraId="2FCFA211" w14:textId="77777777" w:rsidR="00454A29" w:rsidRDefault="00454A29">
            <w:pPr>
              <w:pStyle w:val="ConsPlusNormal"/>
            </w:pPr>
          </w:p>
        </w:tc>
        <w:tc>
          <w:tcPr>
            <w:tcW w:w="1701" w:type="dxa"/>
            <w:vAlign w:val="center"/>
          </w:tcPr>
          <w:p w14:paraId="4B893B25" w14:textId="77777777" w:rsidR="00454A29" w:rsidRDefault="00454A29">
            <w:pPr>
              <w:pStyle w:val="ConsPlusNormal"/>
            </w:pPr>
          </w:p>
        </w:tc>
        <w:tc>
          <w:tcPr>
            <w:tcW w:w="1814" w:type="dxa"/>
            <w:vAlign w:val="center"/>
          </w:tcPr>
          <w:p w14:paraId="6AAED387" w14:textId="77777777" w:rsidR="00454A29" w:rsidRDefault="00454A29">
            <w:pPr>
              <w:pStyle w:val="ConsPlusNormal"/>
            </w:pPr>
          </w:p>
        </w:tc>
      </w:tr>
      <w:tr w:rsidR="00454A29" w14:paraId="30F08D58" w14:textId="77777777">
        <w:tc>
          <w:tcPr>
            <w:tcW w:w="567" w:type="dxa"/>
            <w:vMerge/>
          </w:tcPr>
          <w:p w14:paraId="26CA3E80" w14:textId="77777777" w:rsidR="00454A29" w:rsidRDefault="00454A29"/>
        </w:tc>
        <w:tc>
          <w:tcPr>
            <w:tcW w:w="3345" w:type="dxa"/>
            <w:vMerge/>
          </w:tcPr>
          <w:p w14:paraId="37CC7EFB" w14:textId="77777777" w:rsidR="00454A29" w:rsidRDefault="00454A29"/>
        </w:tc>
        <w:tc>
          <w:tcPr>
            <w:tcW w:w="1701" w:type="dxa"/>
            <w:vAlign w:val="center"/>
          </w:tcPr>
          <w:p w14:paraId="3B302BCA" w14:textId="77777777" w:rsidR="00454A29" w:rsidRDefault="00454A29">
            <w:pPr>
              <w:pStyle w:val="ConsPlusNormal"/>
              <w:jc w:val="center"/>
            </w:pPr>
            <w:r>
              <w:t>2024</w:t>
            </w:r>
          </w:p>
        </w:tc>
        <w:tc>
          <w:tcPr>
            <w:tcW w:w="1417" w:type="dxa"/>
            <w:vMerge/>
          </w:tcPr>
          <w:p w14:paraId="420CBE99" w14:textId="77777777" w:rsidR="00454A29" w:rsidRDefault="00454A29"/>
        </w:tc>
        <w:tc>
          <w:tcPr>
            <w:tcW w:w="2204" w:type="dxa"/>
            <w:vMerge/>
          </w:tcPr>
          <w:p w14:paraId="7DF8C1BB" w14:textId="77777777" w:rsidR="00454A29" w:rsidRDefault="00454A29"/>
        </w:tc>
        <w:tc>
          <w:tcPr>
            <w:tcW w:w="1417" w:type="dxa"/>
            <w:vMerge/>
          </w:tcPr>
          <w:p w14:paraId="4B2D0E15" w14:textId="77777777" w:rsidR="00454A29" w:rsidRDefault="00454A29"/>
        </w:tc>
        <w:tc>
          <w:tcPr>
            <w:tcW w:w="2324" w:type="dxa"/>
            <w:vMerge/>
          </w:tcPr>
          <w:p w14:paraId="1A820BE1" w14:textId="77777777" w:rsidR="00454A29" w:rsidRDefault="00454A29"/>
        </w:tc>
        <w:tc>
          <w:tcPr>
            <w:tcW w:w="1701" w:type="dxa"/>
            <w:vAlign w:val="center"/>
          </w:tcPr>
          <w:p w14:paraId="0A0E7ED3" w14:textId="77777777" w:rsidR="00454A29" w:rsidRDefault="00454A29">
            <w:pPr>
              <w:pStyle w:val="ConsPlusNormal"/>
            </w:pPr>
          </w:p>
        </w:tc>
        <w:tc>
          <w:tcPr>
            <w:tcW w:w="1814" w:type="dxa"/>
            <w:vAlign w:val="center"/>
          </w:tcPr>
          <w:p w14:paraId="69240E16" w14:textId="77777777" w:rsidR="00454A29" w:rsidRDefault="00454A29">
            <w:pPr>
              <w:pStyle w:val="ConsPlusNormal"/>
            </w:pPr>
          </w:p>
        </w:tc>
        <w:tc>
          <w:tcPr>
            <w:tcW w:w="1701" w:type="dxa"/>
            <w:vAlign w:val="center"/>
          </w:tcPr>
          <w:p w14:paraId="273D4CFE" w14:textId="77777777" w:rsidR="00454A29" w:rsidRDefault="00454A29">
            <w:pPr>
              <w:pStyle w:val="ConsPlusNormal"/>
            </w:pPr>
          </w:p>
        </w:tc>
        <w:tc>
          <w:tcPr>
            <w:tcW w:w="1701" w:type="dxa"/>
            <w:vAlign w:val="center"/>
          </w:tcPr>
          <w:p w14:paraId="75BF6E6F" w14:textId="77777777" w:rsidR="00454A29" w:rsidRDefault="00454A29">
            <w:pPr>
              <w:pStyle w:val="ConsPlusNormal"/>
            </w:pPr>
          </w:p>
        </w:tc>
        <w:tc>
          <w:tcPr>
            <w:tcW w:w="1814" w:type="dxa"/>
            <w:vAlign w:val="center"/>
          </w:tcPr>
          <w:p w14:paraId="4BFC8113" w14:textId="77777777" w:rsidR="00454A29" w:rsidRDefault="00454A29">
            <w:pPr>
              <w:pStyle w:val="ConsPlusNormal"/>
            </w:pPr>
          </w:p>
        </w:tc>
      </w:tr>
      <w:tr w:rsidR="00454A29" w14:paraId="505A6CAF" w14:textId="77777777">
        <w:tc>
          <w:tcPr>
            <w:tcW w:w="567" w:type="dxa"/>
            <w:vMerge/>
          </w:tcPr>
          <w:p w14:paraId="176B41D6" w14:textId="77777777" w:rsidR="00454A29" w:rsidRDefault="00454A29"/>
        </w:tc>
        <w:tc>
          <w:tcPr>
            <w:tcW w:w="3345" w:type="dxa"/>
            <w:vMerge/>
          </w:tcPr>
          <w:p w14:paraId="08C9728E" w14:textId="77777777" w:rsidR="00454A29" w:rsidRDefault="00454A29"/>
        </w:tc>
        <w:tc>
          <w:tcPr>
            <w:tcW w:w="1701" w:type="dxa"/>
            <w:vAlign w:val="center"/>
          </w:tcPr>
          <w:p w14:paraId="333C73D3" w14:textId="77777777" w:rsidR="00454A29" w:rsidRDefault="00454A29">
            <w:pPr>
              <w:pStyle w:val="ConsPlusNormal"/>
              <w:jc w:val="center"/>
            </w:pPr>
            <w:r>
              <w:t>2025</w:t>
            </w:r>
          </w:p>
        </w:tc>
        <w:tc>
          <w:tcPr>
            <w:tcW w:w="1417" w:type="dxa"/>
            <w:vMerge/>
          </w:tcPr>
          <w:p w14:paraId="31342F02" w14:textId="77777777" w:rsidR="00454A29" w:rsidRDefault="00454A29"/>
        </w:tc>
        <w:tc>
          <w:tcPr>
            <w:tcW w:w="2204" w:type="dxa"/>
            <w:vMerge/>
          </w:tcPr>
          <w:p w14:paraId="39FC32E6" w14:textId="77777777" w:rsidR="00454A29" w:rsidRDefault="00454A29"/>
        </w:tc>
        <w:tc>
          <w:tcPr>
            <w:tcW w:w="1417" w:type="dxa"/>
            <w:vMerge/>
          </w:tcPr>
          <w:p w14:paraId="1B396CDC" w14:textId="77777777" w:rsidR="00454A29" w:rsidRDefault="00454A29"/>
        </w:tc>
        <w:tc>
          <w:tcPr>
            <w:tcW w:w="2324" w:type="dxa"/>
            <w:vMerge/>
          </w:tcPr>
          <w:p w14:paraId="0511FC75" w14:textId="77777777" w:rsidR="00454A29" w:rsidRDefault="00454A29"/>
        </w:tc>
        <w:tc>
          <w:tcPr>
            <w:tcW w:w="1701" w:type="dxa"/>
            <w:vAlign w:val="center"/>
          </w:tcPr>
          <w:p w14:paraId="1E0EC163" w14:textId="77777777" w:rsidR="00454A29" w:rsidRDefault="00454A29">
            <w:pPr>
              <w:pStyle w:val="ConsPlusNormal"/>
            </w:pPr>
          </w:p>
        </w:tc>
        <w:tc>
          <w:tcPr>
            <w:tcW w:w="1814" w:type="dxa"/>
            <w:vAlign w:val="center"/>
          </w:tcPr>
          <w:p w14:paraId="371DC53D" w14:textId="77777777" w:rsidR="00454A29" w:rsidRDefault="00454A29">
            <w:pPr>
              <w:pStyle w:val="ConsPlusNormal"/>
            </w:pPr>
          </w:p>
        </w:tc>
        <w:tc>
          <w:tcPr>
            <w:tcW w:w="1701" w:type="dxa"/>
            <w:vAlign w:val="center"/>
          </w:tcPr>
          <w:p w14:paraId="0C247993" w14:textId="77777777" w:rsidR="00454A29" w:rsidRDefault="00454A29">
            <w:pPr>
              <w:pStyle w:val="ConsPlusNormal"/>
            </w:pPr>
          </w:p>
        </w:tc>
        <w:tc>
          <w:tcPr>
            <w:tcW w:w="1701" w:type="dxa"/>
            <w:vAlign w:val="center"/>
          </w:tcPr>
          <w:p w14:paraId="6E58A9A8" w14:textId="77777777" w:rsidR="00454A29" w:rsidRDefault="00454A29">
            <w:pPr>
              <w:pStyle w:val="ConsPlusNormal"/>
            </w:pPr>
          </w:p>
        </w:tc>
        <w:tc>
          <w:tcPr>
            <w:tcW w:w="1814" w:type="dxa"/>
            <w:vAlign w:val="center"/>
          </w:tcPr>
          <w:p w14:paraId="5A718725" w14:textId="77777777" w:rsidR="00454A29" w:rsidRDefault="00454A29">
            <w:pPr>
              <w:pStyle w:val="ConsPlusNormal"/>
            </w:pPr>
          </w:p>
        </w:tc>
      </w:tr>
      <w:tr w:rsidR="00454A29" w14:paraId="786C2F48" w14:textId="77777777">
        <w:tc>
          <w:tcPr>
            <w:tcW w:w="567" w:type="dxa"/>
            <w:vMerge/>
          </w:tcPr>
          <w:p w14:paraId="38085209" w14:textId="77777777" w:rsidR="00454A29" w:rsidRDefault="00454A29"/>
        </w:tc>
        <w:tc>
          <w:tcPr>
            <w:tcW w:w="3345" w:type="dxa"/>
            <w:vMerge/>
          </w:tcPr>
          <w:p w14:paraId="324002A8" w14:textId="77777777" w:rsidR="00454A29" w:rsidRDefault="00454A29"/>
        </w:tc>
        <w:tc>
          <w:tcPr>
            <w:tcW w:w="1701" w:type="dxa"/>
            <w:vAlign w:val="center"/>
          </w:tcPr>
          <w:p w14:paraId="5CB2A346" w14:textId="77777777" w:rsidR="00454A29" w:rsidRDefault="00454A29">
            <w:pPr>
              <w:pStyle w:val="ConsPlusNormal"/>
              <w:jc w:val="center"/>
            </w:pPr>
            <w:r>
              <w:t>2026</w:t>
            </w:r>
          </w:p>
        </w:tc>
        <w:tc>
          <w:tcPr>
            <w:tcW w:w="1417" w:type="dxa"/>
            <w:vMerge/>
          </w:tcPr>
          <w:p w14:paraId="4C2E8FC4" w14:textId="77777777" w:rsidR="00454A29" w:rsidRDefault="00454A29"/>
        </w:tc>
        <w:tc>
          <w:tcPr>
            <w:tcW w:w="2204" w:type="dxa"/>
            <w:vMerge/>
          </w:tcPr>
          <w:p w14:paraId="314E3C27" w14:textId="77777777" w:rsidR="00454A29" w:rsidRDefault="00454A29"/>
        </w:tc>
        <w:tc>
          <w:tcPr>
            <w:tcW w:w="1417" w:type="dxa"/>
            <w:vMerge/>
          </w:tcPr>
          <w:p w14:paraId="216677DD" w14:textId="77777777" w:rsidR="00454A29" w:rsidRDefault="00454A29"/>
        </w:tc>
        <w:tc>
          <w:tcPr>
            <w:tcW w:w="2324" w:type="dxa"/>
            <w:vMerge/>
          </w:tcPr>
          <w:p w14:paraId="73112F00" w14:textId="77777777" w:rsidR="00454A29" w:rsidRDefault="00454A29"/>
        </w:tc>
        <w:tc>
          <w:tcPr>
            <w:tcW w:w="1701" w:type="dxa"/>
            <w:vAlign w:val="center"/>
          </w:tcPr>
          <w:p w14:paraId="75450B68" w14:textId="77777777" w:rsidR="00454A29" w:rsidRDefault="00454A29">
            <w:pPr>
              <w:pStyle w:val="ConsPlusNormal"/>
              <w:jc w:val="center"/>
            </w:pPr>
            <w:r>
              <w:t>121 382,10</w:t>
            </w:r>
          </w:p>
        </w:tc>
        <w:tc>
          <w:tcPr>
            <w:tcW w:w="1814" w:type="dxa"/>
            <w:vAlign w:val="center"/>
          </w:tcPr>
          <w:p w14:paraId="74D39116" w14:textId="77777777" w:rsidR="00454A29" w:rsidRDefault="00454A29">
            <w:pPr>
              <w:pStyle w:val="ConsPlusNormal"/>
              <w:jc w:val="center"/>
            </w:pPr>
            <w:r>
              <w:t>1 495,43</w:t>
            </w:r>
          </w:p>
        </w:tc>
        <w:tc>
          <w:tcPr>
            <w:tcW w:w="1701" w:type="dxa"/>
            <w:vAlign w:val="center"/>
          </w:tcPr>
          <w:p w14:paraId="7371E004" w14:textId="77777777" w:rsidR="00454A29" w:rsidRDefault="00454A29">
            <w:pPr>
              <w:pStyle w:val="ConsPlusNormal"/>
              <w:jc w:val="center"/>
            </w:pPr>
            <w:r>
              <w:t>148 047,32</w:t>
            </w:r>
          </w:p>
        </w:tc>
        <w:tc>
          <w:tcPr>
            <w:tcW w:w="1701" w:type="dxa"/>
            <w:vAlign w:val="center"/>
          </w:tcPr>
          <w:p w14:paraId="72ABF05D" w14:textId="77777777" w:rsidR="00454A29" w:rsidRDefault="00454A29">
            <w:pPr>
              <w:pStyle w:val="ConsPlusNormal"/>
            </w:pPr>
          </w:p>
        </w:tc>
        <w:tc>
          <w:tcPr>
            <w:tcW w:w="1814" w:type="dxa"/>
            <w:vAlign w:val="center"/>
          </w:tcPr>
          <w:p w14:paraId="493103D0" w14:textId="77777777" w:rsidR="00454A29" w:rsidRDefault="00454A29">
            <w:pPr>
              <w:pStyle w:val="ConsPlusNormal"/>
            </w:pPr>
          </w:p>
        </w:tc>
      </w:tr>
      <w:tr w:rsidR="00454A29" w14:paraId="1D4335A4" w14:textId="77777777">
        <w:tc>
          <w:tcPr>
            <w:tcW w:w="567" w:type="dxa"/>
            <w:vMerge w:val="restart"/>
            <w:vAlign w:val="center"/>
          </w:tcPr>
          <w:p w14:paraId="695ECC7F" w14:textId="77777777" w:rsidR="00454A29" w:rsidRDefault="00454A29">
            <w:pPr>
              <w:pStyle w:val="ConsPlusNormal"/>
              <w:jc w:val="center"/>
            </w:pPr>
            <w:r>
              <w:t>65</w:t>
            </w:r>
          </w:p>
        </w:tc>
        <w:tc>
          <w:tcPr>
            <w:tcW w:w="3345" w:type="dxa"/>
            <w:vMerge w:val="restart"/>
            <w:vAlign w:val="center"/>
          </w:tcPr>
          <w:p w14:paraId="74D82157" w14:textId="77777777" w:rsidR="00454A29" w:rsidRDefault="00454A29">
            <w:pPr>
              <w:pStyle w:val="ConsPlusNormal"/>
              <w:jc w:val="center"/>
            </w:pPr>
            <w:r>
              <w:t>Школа на 100 учащихся в с. Нюя</w:t>
            </w:r>
          </w:p>
        </w:tc>
        <w:tc>
          <w:tcPr>
            <w:tcW w:w="1701" w:type="dxa"/>
            <w:vAlign w:val="center"/>
          </w:tcPr>
          <w:p w14:paraId="2283F474" w14:textId="77777777" w:rsidR="00454A29" w:rsidRDefault="00454A29">
            <w:pPr>
              <w:pStyle w:val="ConsPlusNormal"/>
              <w:jc w:val="center"/>
            </w:pPr>
            <w:r>
              <w:t>2020 - 2026 годы - всего</w:t>
            </w:r>
          </w:p>
        </w:tc>
        <w:tc>
          <w:tcPr>
            <w:tcW w:w="1417" w:type="dxa"/>
            <w:vMerge w:val="restart"/>
            <w:vAlign w:val="center"/>
          </w:tcPr>
          <w:p w14:paraId="3B45C4B5" w14:textId="77777777" w:rsidR="00454A29" w:rsidRDefault="00454A29">
            <w:pPr>
              <w:pStyle w:val="ConsPlusNormal"/>
              <w:jc w:val="center"/>
            </w:pPr>
            <w:r>
              <w:t>367 824,52</w:t>
            </w:r>
          </w:p>
        </w:tc>
        <w:tc>
          <w:tcPr>
            <w:tcW w:w="2204" w:type="dxa"/>
            <w:vMerge w:val="restart"/>
            <w:vAlign w:val="center"/>
          </w:tcPr>
          <w:p w14:paraId="7E9820ED" w14:textId="77777777" w:rsidR="00454A29" w:rsidRDefault="00454A29">
            <w:pPr>
              <w:pStyle w:val="ConsPlusNormal"/>
            </w:pPr>
          </w:p>
        </w:tc>
        <w:tc>
          <w:tcPr>
            <w:tcW w:w="1417" w:type="dxa"/>
            <w:vMerge w:val="restart"/>
            <w:vAlign w:val="center"/>
          </w:tcPr>
          <w:p w14:paraId="2D3427C0" w14:textId="77777777" w:rsidR="00454A29" w:rsidRDefault="00454A29">
            <w:pPr>
              <w:pStyle w:val="ConsPlusNormal"/>
              <w:jc w:val="center"/>
            </w:pPr>
            <w:r>
              <w:t>100</w:t>
            </w:r>
          </w:p>
        </w:tc>
        <w:tc>
          <w:tcPr>
            <w:tcW w:w="2324" w:type="dxa"/>
            <w:vMerge w:val="restart"/>
            <w:vAlign w:val="center"/>
          </w:tcPr>
          <w:p w14:paraId="44E5A9C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9AECD2C" w14:textId="77777777" w:rsidR="00454A29" w:rsidRDefault="00454A29">
            <w:pPr>
              <w:pStyle w:val="ConsPlusNormal"/>
              <w:jc w:val="center"/>
            </w:pPr>
            <w:r>
              <w:t>367 824,52</w:t>
            </w:r>
          </w:p>
        </w:tc>
        <w:tc>
          <w:tcPr>
            <w:tcW w:w="1814" w:type="dxa"/>
            <w:vAlign w:val="center"/>
          </w:tcPr>
          <w:p w14:paraId="0201EC53" w14:textId="77777777" w:rsidR="00454A29" w:rsidRDefault="00454A29">
            <w:pPr>
              <w:pStyle w:val="ConsPlusNormal"/>
              <w:jc w:val="center"/>
            </w:pPr>
            <w:r>
              <w:t>4 531,59</w:t>
            </w:r>
          </w:p>
        </w:tc>
        <w:tc>
          <w:tcPr>
            <w:tcW w:w="1701" w:type="dxa"/>
            <w:vAlign w:val="center"/>
          </w:tcPr>
          <w:p w14:paraId="1ED3EFBD" w14:textId="77777777" w:rsidR="00454A29" w:rsidRDefault="00454A29">
            <w:pPr>
              <w:pStyle w:val="ConsPlusNormal"/>
              <w:jc w:val="center"/>
            </w:pPr>
            <w:r>
              <w:t>448 628,22</w:t>
            </w:r>
          </w:p>
        </w:tc>
        <w:tc>
          <w:tcPr>
            <w:tcW w:w="1701" w:type="dxa"/>
            <w:vAlign w:val="center"/>
          </w:tcPr>
          <w:p w14:paraId="43A0F95C" w14:textId="77777777" w:rsidR="00454A29" w:rsidRDefault="00454A29">
            <w:pPr>
              <w:pStyle w:val="ConsPlusNormal"/>
              <w:jc w:val="center"/>
            </w:pPr>
            <w:r>
              <w:t>-</w:t>
            </w:r>
          </w:p>
        </w:tc>
        <w:tc>
          <w:tcPr>
            <w:tcW w:w="1814" w:type="dxa"/>
            <w:vAlign w:val="center"/>
          </w:tcPr>
          <w:p w14:paraId="118B04C8" w14:textId="77777777" w:rsidR="00454A29" w:rsidRDefault="00454A29">
            <w:pPr>
              <w:pStyle w:val="ConsPlusNormal"/>
              <w:jc w:val="center"/>
            </w:pPr>
            <w:r>
              <w:t>-</w:t>
            </w:r>
          </w:p>
        </w:tc>
      </w:tr>
      <w:tr w:rsidR="00454A29" w14:paraId="05BF4989" w14:textId="77777777">
        <w:tc>
          <w:tcPr>
            <w:tcW w:w="567" w:type="dxa"/>
            <w:vMerge/>
          </w:tcPr>
          <w:p w14:paraId="366D84E8" w14:textId="77777777" w:rsidR="00454A29" w:rsidRDefault="00454A29"/>
        </w:tc>
        <w:tc>
          <w:tcPr>
            <w:tcW w:w="3345" w:type="dxa"/>
            <w:vMerge/>
          </w:tcPr>
          <w:p w14:paraId="22909831" w14:textId="77777777" w:rsidR="00454A29" w:rsidRDefault="00454A29"/>
        </w:tc>
        <w:tc>
          <w:tcPr>
            <w:tcW w:w="1701" w:type="dxa"/>
            <w:vAlign w:val="center"/>
          </w:tcPr>
          <w:p w14:paraId="202B5676" w14:textId="77777777" w:rsidR="00454A29" w:rsidRDefault="00454A29">
            <w:pPr>
              <w:pStyle w:val="ConsPlusNormal"/>
              <w:jc w:val="center"/>
            </w:pPr>
            <w:r>
              <w:t>2020</w:t>
            </w:r>
          </w:p>
        </w:tc>
        <w:tc>
          <w:tcPr>
            <w:tcW w:w="1417" w:type="dxa"/>
            <w:vMerge/>
          </w:tcPr>
          <w:p w14:paraId="39A0AB5C" w14:textId="77777777" w:rsidR="00454A29" w:rsidRDefault="00454A29"/>
        </w:tc>
        <w:tc>
          <w:tcPr>
            <w:tcW w:w="2204" w:type="dxa"/>
            <w:vMerge/>
          </w:tcPr>
          <w:p w14:paraId="63DAAEA1" w14:textId="77777777" w:rsidR="00454A29" w:rsidRDefault="00454A29"/>
        </w:tc>
        <w:tc>
          <w:tcPr>
            <w:tcW w:w="1417" w:type="dxa"/>
            <w:vMerge/>
          </w:tcPr>
          <w:p w14:paraId="576A37E5" w14:textId="77777777" w:rsidR="00454A29" w:rsidRDefault="00454A29"/>
        </w:tc>
        <w:tc>
          <w:tcPr>
            <w:tcW w:w="2324" w:type="dxa"/>
            <w:vMerge/>
          </w:tcPr>
          <w:p w14:paraId="20EF2B21" w14:textId="77777777" w:rsidR="00454A29" w:rsidRDefault="00454A29"/>
        </w:tc>
        <w:tc>
          <w:tcPr>
            <w:tcW w:w="1701" w:type="dxa"/>
            <w:vAlign w:val="center"/>
          </w:tcPr>
          <w:p w14:paraId="125649C9" w14:textId="77777777" w:rsidR="00454A29" w:rsidRDefault="00454A29">
            <w:pPr>
              <w:pStyle w:val="ConsPlusNormal"/>
            </w:pPr>
          </w:p>
        </w:tc>
        <w:tc>
          <w:tcPr>
            <w:tcW w:w="1814" w:type="dxa"/>
            <w:vAlign w:val="center"/>
          </w:tcPr>
          <w:p w14:paraId="135971B9" w14:textId="77777777" w:rsidR="00454A29" w:rsidRDefault="00454A29">
            <w:pPr>
              <w:pStyle w:val="ConsPlusNormal"/>
            </w:pPr>
          </w:p>
        </w:tc>
        <w:tc>
          <w:tcPr>
            <w:tcW w:w="1701" w:type="dxa"/>
            <w:vAlign w:val="center"/>
          </w:tcPr>
          <w:p w14:paraId="696C878B" w14:textId="77777777" w:rsidR="00454A29" w:rsidRDefault="00454A29">
            <w:pPr>
              <w:pStyle w:val="ConsPlusNormal"/>
            </w:pPr>
          </w:p>
        </w:tc>
        <w:tc>
          <w:tcPr>
            <w:tcW w:w="1701" w:type="dxa"/>
            <w:vAlign w:val="center"/>
          </w:tcPr>
          <w:p w14:paraId="0398C853" w14:textId="77777777" w:rsidR="00454A29" w:rsidRDefault="00454A29">
            <w:pPr>
              <w:pStyle w:val="ConsPlusNormal"/>
            </w:pPr>
          </w:p>
        </w:tc>
        <w:tc>
          <w:tcPr>
            <w:tcW w:w="1814" w:type="dxa"/>
            <w:vAlign w:val="center"/>
          </w:tcPr>
          <w:p w14:paraId="1749D00D" w14:textId="77777777" w:rsidR="00454A29" w:rsidRDefault="00454A29">
            <w:pPr>
              <w:pStyle w:val="ConsPlusNormal"/>
            </w:pPr>
          </w:p>
        </w:tc>
      </w:tr>
      <w:tr w:rsidR="00454A29" w14:paraId="193096F9" w14:textId="77777777">
        <w:tc>
          <w:tcPr>
            <w:tcW w:w="567" w:type="dxa"/>
            <w:vMerge/>
          </w:tcPr>
          <w:p w14:paraId="1674B2D6" w14:textId="77777777" w:rsidR="00454A29" w:rsidRDefault="00454A29"/>
        </w:tc>
        <w:tc>
          <w:tcPr>
            <w:tcW w:w="3345" w:type="dxa"/>
            <w:vMerge/>
          </w:tcPr>
          <w:p w14:paraId="15FD79B6" w14:textId="77777777" w:rsidR="00454A29" w:rsidRDefault="00454A29"/>
        </w:tc>
        <w:tc>
          <w:tcPr>
            <w:tcW w:w="1701" w:type="dxa"/>
            <w:vAlign w:val="center"/>
          </w:tcPr>
          <w:p w14:paraId="3832F6E9" w14:textId="77777777" w:rsidR="00454A29" w:rsidRDefault="00454A29">
            <w:pPr>
              <w:pStyle w:val="ConsPlusNormal"/>
              <w:jc w:val="center"/>
            </w:pPr>
            <w:r>
              <w:t>2021</w:t>
            </w:r>
          </w:p>
        </w:tc>
        <w:tc>
          <w:tcPr>
            <w:tcW w:w="1417" w:type="dxa"/>
            <w:vMerge/>
          </w:tcPr>
          <w:p w14:paraId="1637208A" w14:textId="77777777" w:rsidR="00454A29" w:rsidRDefault="00454A29"/>
        </w:tc>
        <w:tc>
          <w:tcPr>
            <w:tcW w:w="2204" w:type="dxa"/>
            <w:vMerge/>
          </w:tcPr>
          <w:p w14:paraId="5BE80414" w14:textId="77777777" w:rsidR="00454A29" w:rsidRDefault="00454A29"/>
        </w:tc>
        <w:tc>
          <w:tcPr>
            <w:tcW w:w="1417" w:type="dxa"/>
            <w:vMerge/>
          </w:tcPr>
          <w:p w14:paraId="6EF16B13" w14:textId="77777777" w:rsidR="00454A29" w:rsidRDefault="00454A29"/>
        </w:tc>
        <w:tc>
          <w:tcPr>
            <w:tcW w:w="2324" w:type="dxa"/>
            <w:vMerge/>
          </w:tcPr>
          <w:p w14:paraId="3EA5A2C0" w14:textId="77777777" w:rsidR="00454A29" w:rsidRDefault="00454A29"/>
        </w:tc>
        <w:tc>
          <w:tcPr>
            <w:tcW w:w="1701" w:type="dxa"/>
            <w:vAlign w:val="center"/>
          </w:tcPr>
          <w:p w14:paraId="73617A7C" w14:textId="77777777" w:rsidR="00454A29" w:rsidRDefault="00454A29">
            <w:pPr>
              <w:pStyle w:val="ConsPlusNormal"/>
            </w:pPr>
          </w:p>
        </w:tc>
        <w:tc>
          <w:tcPr>
            <w:tcW w:w="1814" w:type="dxa"/>
            <w:vAlign w:val="center"/>
          </w:tcPr>
          <w:p w14:paraId="7DA4E5F9" w14:textId="77777777" w:rsidR="00454A29" w:rsidRDefault="00454A29">
            <w:pPr>
              <w:pStyle w:val="ConsPlusNormal"/>
            </w:pPr>
          </w:p>
        </w:tc>
        <w:tc>
          <w:tcPr>
            <w:tcW w:w="1701" w:type="dxa"/>
            <w:vAlign w:val="center"/>
          </w:tcPr>
          <w:p w14:paraId="3A177645" w14:textId="77777777" w:rsidR="00454A29" w:rsidRDefault="00454A29">
            <w:pPr>
              <w:pStyle w:val="ConsPlusNormal"/>
            </w:pPr>
          </w:p>
        </w:tc>
        <w:tc>
          <w:tcPr>
            <w:tcW w:w="1701" w:type="dxa"/>
            <w:vAlign w:val="center"/>
          </w:tcPr>
          <w:p w14:paraId="312115CD" w14:textId="77777777" w:rsidR="00454A29" w:rsidRDefault="00454A29">
            <w:pPr>
              <w:pStyle w:val="ConsPlusNormal"/>
            </w:pPr>
          </w:p>
        </w:tc>
        <w:tc>
          <w:tcPr>
            <w:tcW w:w="1814" w:type="dxa"/>
            <w:vAlign w:val="center"/>
          </w:tcPr>
          <w:p w14:paraId="5D4E200E" w14:textId="77777777" w:rsidR="00454A29" w:rsidRDefault="00454A29">
            <w:pPr>
              <w:pStyle w:val="ConsPlusNormal"/>
            </w:pPr>
          </w:p>
        </w:tc>
      </w:tr>
      <w:tr w:rsidR="00454A29" w14:paraId="7E6A0540" w14:textId="77777777">
        <w:tc>
          <w:tcPr>
            <w:tcW w:w="567" w:type="dxa"/>
            <w:vMerge/>
          </w:tcPr>
          <w:p w14:paraId="781C98C8" w14:textId="77777777" w:rsidR="00454A29" w:rsidRDefault="00454A29"/>
        </w:tc>
        <w:tc>
          <w:tcPr>
            <w:tcW w:w="3345" w:type="dxa"/>
            <w:vMerge/>
          </w:tcPr>
          <w:p w14:paraId="7C1E380C" w14:textId="77777777" w:rsidR="00454A29" w:rsidRDefault="00454A29"/>
        </w:tc>
        <w:tc>
          <w:tcPr>
            <w:tcW w:w="1701" w:type="dxa"/>
            <w:vAlign w:val="center"/>
          </w:tcPr>
          <w:p w14:paraId="2E592D41" w14:textId="77777777" w:rsidR="00454A29" w:rsidRDefault="00454A29">
            <w:pPr>
              <w:pStyle w:val="ConsPlusNormal"/>
              <w:jc w:val="center"/>
            </w:pPr>
            <w:r>
              <w:t>2022</w:t>
            </w:r>
          </w:p>
        </w:tc>
        <w:tc>
          <w:tcPr>
            <w:tcW w:w="1417" w:type="dxa"/>
            <w:vMerge/>
          </w:tcPr>
          <w:p w14:paraId="2E29EB0F" w14:textId="77777777" w:rsidR="00454A29" w:rsidRDefault="00454A29"/>
        </w:tc>
        <w:tc>
          <w:tcPr>
            <w:tcW w:w="2204" w:type="dxa"/>
            <w:vMerge/>
          </w:tcPr>
          <w:p w14:paraId="192B6D20" w14:textId="77777777" w:rsidR="00454A29" w:rsidRDefault="00454A29"/>
        </w:tc>
        <w:tc>
          <w:tcPr>
            <w:tcW w:w="1417" w:type="dxa"/>
            <w:vMerge/>
          </w:tcPr>
          <w:p w14:paraId="320633D3" w14:textId="77777777" w:rsidR="00454A29" w:rsidRDefault="00454A29"/>
        </w:tc>
        <w:tc>
          <w:tcPr>
            <w:tcW w:w="2324" w:type="dxa"/>
            <w:vMerge/>
          </w:tcPr>
          <w:p w14:paraId="32FEFF45" w14:textId="77777777" w:rsidR="00454A29" w:rsidRDefault="00454A29"/>
        </w:tc>
        <w:tc>
          <w:tcPr>
            <w:tcW w:w="1701" w:type="dxa"/>
            <w:vAlign w:val="center"/>
          </w:tcPr>
          <w:p w14:paraId="7B93B6D4" w14:textId="77777777" w:rsidR="00454A29" w:rsidRDefault="00454A29">
            <w:pPr>
              <w:pStyle w:val="ConsPlusNormal"/>
            </w:pPr>
          </w:p>
        </w:tc>
        <w:tc>
          <w:tcPr>
            <w:tcW w:w="1814" w:type="dxa"/>
            <w:vAlign w:val="center"/>
          </w:tcPr>
          <w:p w14:paraId="6CD9EF21" w14:textId="77777777" w:rsidR="00454A29" w:rsidRDefault="00454A29">
            <w:pPr>
              <w:pStyle w:val="ConsPlusNormal"/>
            </w:pPr>
          </w:p>
        </w:tc>
        <w:tc>
          <w:tcPr>
            <w:tcW w:w="1701" w:type="dxa"/>
            <w:vAlign w:val="center"/>
          </w:tcPr>
          <w:p w14:paraId="7FB7B899" w14:textId="77777777" w:rsidR="00454A29" w:rsidRDefault="00454A29">
            <w:pPr>
              <w:pStyle w:val="ConsPlusNormal"/>
            </w:pPr>
          </w:p>
        </w:tc>
        <w:tc>
          <w:tcPr>
            <w:tcW w:w="1701" w:type="dxa"/>
            <w:vAlign w:val="center"/>
          </w:tcPr>
          <w:p w14:paraId="4631D046" w14:textId="77777777" w:rsidR="00454A29" w:rsidRDefault="00454A29">
            <w:pPr>
              <w:pStyle w:val="ConsPlusNormal"/>
            </w:pPr>
          </w:p>
        </w:tc>
        <w:tc>
          <w:tcPr>
            <w:tcW w:w="1814" w:type="dxa"/>
            <w:vAlign w:val="center"/>
          </w:tcPr>
          <w:p w14:paraId="000FEFAA" w14:textId="77777777" w:rsidR="00454A29" w:rsidRDefault="00454A29">
            <w:pPr>
              <w:pStyle w:val="ConsPlusNormal"/>
            </w:pPr>
          </w:p>
        </w:tc>
      </w:tr>
      <w:tr w:rsidR="00454A29" w14:paraId="01C41DCA" w14:textId="77777777">
        <w:tc>
          <w:tcPr>
            <w:tcW w:w="567" w:type="dxa"/>
            <w:vMerge/>
          </w:tcPr>
          <w:p w14:paraId="445866CE" w14:textId="77777777" w:rsidR="00454A29" w:rsidRDefault="00454A29"/>
        </w:tc>
        <w:tc>
          <w:tcPr>
            <w:tcW w:w="3345" w:type="dxa"/>
            <w:vMerge/>
          </w:tcPr>
          <w:p w14:paraId="0E6CCC5F" w14:textId="77777777" w:rsidR="00454A29" w:rsidRDefault="00454A29"/>
        </w:tc>
        <w:tc>
          <w:tcPr>
            <w:tcW w:w="1701" w:type="dxa"/>
            <w:vAlign w:val="center"/>
          </w:tcPr>
          <w:p w14:paraId="7EE922B0" w14:textId="77777777" w:rsidR="00454A29" w:rsidRDefault="00454A29">
            <w:pPr>
              <w:pStyle w:val="ConsPlusNormal"/>
              <w:jc w:val="center"/>
            </w:pPr>
            <w:r>
              <w:t>2023</w:t>
            </w:r>
          </w:p>
        </w:tc>
        <w:tc>
          <w:tcPr>
            <w:tcW w:w="1417" w:type="dxa"/>
            <w:vMerge/>
          </w:tcPr>
          <w:p w14:paraId="50E4B365" w14:textId="77777777" w:rsidR="00454A29" w:rsidRDefault="00454A29"/>
        </w:tc>
        <w:tc>
          <w:tcPr>
            <w:tcW w:w="2204" w:type="dxa"/>
            <w:vMerge/>
          </w:tcPr>
          <w:p w14:paraId="70C31476" w14:textId="77777777" w:rsidR="00454A29" w:rsidRDefault="00454A29"/>
        </w:tc>
        <w:tc>
          <w:tcPr>
            <w:tcW w:w="1417" w:type="dxa"/>
            <w:vMerge/>
          </w:tcPr>
          <w:p w14:paraId="06F4ECDB" w14:textId="77777777" w:rsidR="00454A29" w:rsidRDefault="00454A29"/>
        </w:tc>
        <w:tc>
          <w:tcPr>
            <w:tcW w:w="2324" w:type="dxa"/>
            <w:vMerge/>
          </w:tcPr>
          <w:p w14:paraId="7D2F35F1" w14:textId="77777777" w:rsidR="00454A29" w:rsidRDefault="00454A29"/>
        </w:tc>
        <w:tc>
          <w:tcPr>
            <w:tcW w:w="1701" w:type="dxa"/>
            <w:vAlign w:val="center"/>
          </w:tcPr>
          <w:p w14:paraId="17355B16" w14:textId="77777777" w:rsidR="00454A29" w:rsidRDefault="00454A29">
            <w:pPr>
              <w:pStyle w:val="ConsPlusNormal"/>
            </w:pPr>
          </w:p>
        </w:tc>
        <w:tc>
          <w:tcPr>
            <w:tcW w:w="1814" w:type="dxa"/>
            <w:vAlign w:val="center"/>
          </w:tcPr>
          <w:p w14:paraId="74F40A45" w14:textId="77777777" w:rsidR="00454A29" w:rsidRDefault="00454A29">
            <w:pPr>
              <w:pStyle w:val="ConsPlusNormal"/>
            </w:pPr>
          </w:p>
        </w:tc>
        <w:tc>
          <w:tcPr>
            <w:tcW w:w="1701" w:type="dxa"/>
            <w:vAlign w:val="center"/>
          </w:tcPr>
          <w:p w14:paraId="513AEA82" w14:textId="77777777" w:rsidR="00454A29" w:rsidRDefault="00454A29">
            <w:pPr>
              <w:pStyle w:val="ConsPlusNormal"/>
            </w:pPr>
          </w:p>
        </w:tc>
        <w:tc>
          <w:tcPr>
            <w:tcW w:w="1701" w:type="dxa"/>
            <w:vAlign w:val="center"/>
          </w:tcPr>
          <w:p w14:paraId="5C43575D" w14:textId="77777777" w:rsidR="00454A29" w:rsidRDefault="00454A29">
            <w:pPr>
              <w:pStyle w:val="ConsPlusNormal"/>
            </w:pPr>
          </w:p>
        </w:tc>
        <w:tc>
          <w:tcPr>
            <w:tcW w:w="1814" w:type="dxa"/>
            <w:vAlign w:val="center"/>
          </w:tcPr>
          <w:p w14:paraId="1E7B7855" w14:textId="77777777" w:rsidR="00454A29" w:rsidRDefault="00454A29">
            <w:pPr>
              <w:pStyle w:val="ConsPlusNormal"/>
            </w:pPr>
          </w:p>
        </w:tc>
      </w:tr>
      <w:tr w:rsidR="00454A29" w14:paraId="06558821" w14:textId="77777777">
        <w:tc>
          <w:tcPr>
            <w:tcW w:w="567" w:type="dxa"/>
            <w:vMerge/>
          </w:tcPr>
          <w:p w14:paraId="5BB777BE" w14:textId="77777777" w:rsidR="00454A29" w:rsidRDefault="00454A29"/>
        </w:tc>
        <w:tc>
          <w:tcPr>
            <w:tcW w:w="3345" w:type="dxa"/>
            <w:vMerge/>
          </w:tcPr>
          <w:p w14:paraId="2879980F" w14:textId="77777777" w:rsidR="00454A29" w:rsidRDefault="00454A29"/>
        </w:tc>
        <w:tc>
          <w:tcPr>
            <w:tcW w:w="1701" w:type="dxa"/>
            <w:vAlign w:val="center"/>
          </w:tcPr>
          <w:p w14:paraId="5BCB2E5F" w14:textId="77777777" w:rsidR="00454A29" w:rsidRDefault="00454A29">
            <w:pPr>
              <w:pStyle w:val="ConsPlusNormal"/>
              <w:jc w:val="center"/>
            </w:pPr>
            <w:r>
              <w:t>2024</w:t>
            </w:r>
          </w:p>
        </w:tc>
        <w:tc>
          <w:tcPr>
            <w:tcW w:w="1417" w:type="dxa"/>
            <w:vMerge/>
          </w:tcPr>
          <w:p w14:paraId="1CBED1D3" w14:textId="77777777" w:rsidR="00454A29" w:rsidRDefault="00454A29"/>
        </w:tc>
        <w:tc>
          <w:tcPr>
            <w:tcW w:w="2204" w:type="dxa"/>
            <w:vMerge/>
          </w:tcPr>
          <w:p w14:paraId="5F8440ED" w14:textId="77777777" w:rsidR="00454A29" w:rsidRDefault="00454A29"/>
        </w:tc>
        <w:tc>
          <w:tcPr>
            <w:tcW w:w="1417" w:type="dxa"/>
            <w:vMerge/>
          </w:tcPr>
          <w:p w14:paraId="6FBBA38E" w14:textId="77777777" w:rsidR="00454A29" w:rsidRDefault="00454A29"/>
        </w:tc>
        <w:tc>
          <w:tcPr>
            <w:tcW w:w="2324" w:type="dxa"/>
            <w:vMerge/>
          </w:tcPr>
          <w:p w14:paraId="0C7E682A" w14:textId="77777777" w:rsidR="00454A29" w:rsidRDefault="00454A29"/>
        </w:tc>
        <w:tc>
          <w:tcPr>
            <w:tcW w:w="1701" w:type="dxa"/>
            <w:vAlign w:val="center"/>
          </w:tcPr>
          <w:p w14:paraId="686EC42F" w14:textId="77777777" w:rsidR="00454A29" w:rsidRDefault="00454A29">
            <w:pPr>
              <w:pStyle w:val="ConsPlusNormal"/>
            </w:pPr>
          </w:p>
        </w:tc>
        <w:tc>
          <w:tcPr>
            <w:tcW w:w="1814" w:type="dxa"/>
            <w:vAlign w:val="center"/>
          </w:tcPr>
          <w:p w14:paraId="7C69305D" w14:textId="77777777" w:rsidR="00454A29" w:rsidRDefault="00454A29">
            <w:pPr>
              <w:pStyle w:val="ConsPlusNormal"/>
            </w:pPr>
          </w:p>
        </w:tc>
        <w:tc>
          <w:tcPr>
            <w:tcW w:w="1701" w:type="dxa"/>
            <w:vAlign w:val="center"/>
          </w:tcPr>
          <w:p w14:paraId="6A715233" w14:textId="77777777" w:rsidR="00454A29" w:rsidRDefault="00454A29">
            <w:pPr>
              <w:pStyle w:val="ConsPlusNormal"/>
            </w:pPr>
          </w:p>
        </w:tc>
        <w:tc>
          <w:tcPr>
            <w:tcW w:w="1701" w:type="dxa"/>
            <w:vAlign w:val="center"/>
          </w:tcPr>
          <w:p w14:paraId="186B5675" w14:textId="77777777" w:rsidR="00454A29" w:rsidRDefault="00454A29">
            <w:pPr>
              <w:pStyle w:val="ConsPlusNormal"/>
            </w:pPr>
          </w:p>
        </w:tc>
        <w:tc>
          <w:tcPr>
            <w:tcW w:w="1814" w:type="dxa"/>
            <w:vAlign w:val="center"/>
          </w:tcPr>
          <w:p w14:paraId="68E07781" w14:textId="77777777" w:rsidR="00454A29" w:rsidRDefault="00454A29">
            <w:pPr>
              <w:pStyle w:val="ConsPlusNormal"/>
            </w:pPr>
          </w:p>
        </w:tc>
      </w:tr>
      <w:tr w:rsidR="00454A29" w14:paraId="560C7CB0" w14:textId="77777777">
        <w:tc>
          <w:tcPr>
            <w:tcW w:w="567" w:type="dxa"/>
            <w:vMerge/>
          </w:tcPr>
          <w:p w14:paraId="1A53FB8F" w14:textId="77777777" w:rsidR="00454A29" w:rsidRDefault="00454A29"/>
        </w:tc>
        <w:tc>
          <w:tcPr>
            <w:tcW w:w="3345" w:type="dxa"/>
            <w:vMerge/>
          </w:tcPr>
          <w:p w14:paraId="22E65ED0" w14:textId="77777777" w:rsidR="00454A29" w:rsidRDefault="00454A29"/>
        </w:tc>
        <w:tc>
          <w:tcPr>
            <w:tcW w:w="1701" w:type="dxa"/>
            <w:vAlign w:val="center"/>
          </w:tcPr>
          <w:p w14:paraId="7AD01E70" w14:textId="77777777" w:rsidR="00454A29" w:rsidRDefault="00454A29">
            <w:pPr>
              <w:pStyle w:val="ConsPlusNormal"/>
              <w:jc w:val="center"/>
            </w:pPr>
            <w:r>
              <w:t>2025</w:t>
            </w:r>
          </w:p>
        </w:tc>
        <w:tc>
          <w:tcPr>
            <w:tcW w:w="1417" w:type="dxa"/>
            <w:vMerge/>
          </w:tcPr>
          <w:p w14:paraId="1D2C9677" w14:textId="77777777" w:rsidR="00454A29" w:rsidRDefault="00454A29"/>
        </w:tc>
        <w:tc>
          <w:tcPr>
            <w:tcW w:w="2204" w:type="dxa"/>
            <w:vMerge/>
          </w:tcPr>
          <w:p w14:paraId="52951CBC" w14:textId="77777777" w:rsidR="00454A29" w:rsidRDefault="00454A29"/>
        </w:tc>
        <w:tc>
          <w:tcPr>
            <w:tcW w:w="1417" w:type="dxa"/>
            <w:vMerge/>
          </w:tcPr>
          <w:p w14:paraId="3D7C3968" w14:textId="77777777" w:rsidR="00454A29" w:rsidRDefault="00454A29"/>
        </w:tc>
        <w:tc>
          <w:tcPr>
            <w:tcW w:w="2324" w:type="dxa"/>
            <w:vMerge/>
          </w:tcPr>
          <w:p w14:paraId="61B30DD7" w14:textId="77777777" w:rsidR="00454A29" w:rsidRDefault="00454A29"/>
        </w:tc>
        <w:tc>
          <w:tcPr>
            <w:tcW w:w="1701" w:type="dxa"/>
            <w:vAlign w:val="center"/>
          </w:tcPr>
          <w:p w14:paraId="2D26E0C0" w14:textId="77777777" w:rsidR="00454A29" w:rsidRDefault="00454A29">
            <w:pPr>
              <w:pStyle w:val="ConsPlusNormal"/>
            </w:pPr>
          </w:p>
        </w:tc>
        <w:tc>
          <w:tcPr>
            <w:tcW w:w="1814" w:type="dxa"/>
            <w:vAlign w:val="center"/>
          </w:tcPr>
          <w:p w14:paraId="4788F1F4" w14:textId="77777777" w:rsidR="00454A29" w:rsidRDefault="00454A29">
            <w:pPr>
              <w:pStyle w:val="ConsPlusNormal"/>
            </w:pPr>
          </w:p>
        </w:tc>
        <w:tc>
          <w:tcPr>
            <w:tcW w:w="1701" w:type="dxa"/>
            <w:vAlign w:val="center"/>
          </w:tcPr>
          <w:p w14:paraId="6BB6ED10" w14:textId="77777777" w:rsidR="00454A29" w:rsidRDefault="00454A29">
            <w:pPr>
              <w:pStyle w:val="ConsPlusNormal"/>
            </w:pPr>
          </w:p>
        </w:tc>
        <w:tc>
          <w:tcPr>
            <w:tcW w:w="1701" w:type="dxa"/>
            <w:vAlign w:val="center"/>
          </w:tcPr>
          <w:p w14:paraId="63B16D54" w14:textId="77777777" w:rsidR="00454A29" w:rsidRDefault="00454A29">
            <w:pPr>
              <w:pStyle w:val="ConsPlusNormal"/>
            </w:pPr>
          </w:p>
        </w:tc>
        <w:tc>
          <w:tcPr>
            <w:tcW w:w="1814" w:type="dxa"/>
            <w:vAlign w:val="center"/>
          </w:tcPr>
          <w:p w14:paraId="28BC2CB9" w14:textId="77777777" w:rsidR="00454A29" w:rsidRDefault="00454A29">
            <w:pPr>
              <w:pStyle w:val="ConsPlusNormal"/>
            </w:pPr>
          </w:p>
        </w:tc>
      </w:tr>
      <w:tr w:rsidR="00454A29" w14:paraId="5C18C87C" w14:textId="77777777">
        <w:tc>
          <w:tcPr>
            <w:tcW w:w="567" w:type="dxa"/>
            <w:vMerge/>
          </w:tcPr>
          <w:p w14:paraId="381850B8" w14:textId="77777777" w:rsidR="00454A29" w:rsidRDefault="00454A29"/>
        </w:tc>
        <w:tc>
          <w:tcPr>
            <w:tcW w:w="3345" w:type="dxa"/>
            <w:vMerge/>
          </w:tcPr>
          <w:p w14:paraId="17DD6216" w14:textId="77777777" w:rsidR="00454A29" w:rsidRDefault="00454A29"/>
        </w:tc>
        <w:tc>
          <w:tcPr>
            <w:tcW w:w="1701" w:type="dxa"/>
            <w:vAlign w:val="center"/>
          </w:tcPr>
          <w:p w14:paraId="2308A529" w14:textId="77777777" w:rsidR="00454A29" w:rsidRDefault="00454A29">
            <w:pPr>
              <w:pStyle w:val="ConsPlusNormal"/>
              <w:jc w:val="center"/>
            </w:pPr>
            <w:r>
              <w:t>2026</w:t>
            </w:r>
          </w:p>
        </w:tc>
        <w:tc>
          <w:tcPr>
            <w:tcW w:w="1417" w:type="dxa"/>
            <w:vMerge/>
          </w:tcPr>
          <w:p w14:paraId="1DB4CE18" w14:textId="77777777" w:rsidR="00454A29" w:rsidRDefault="00454A29"/>
        </w:tc>
        <w:tc>
          <w:tcPr>
            <w:tcW w:w="2204" w:type="dxa"/>
            <w:vMerge/>
          </w:tcPr>
          <w:p w14:paraId="3C532B09" w14:textId="77777777" w:rsidR="00454A29" w:rsidRDefault="00454A29"/>
        </w:tc>
        <w:tc>
          <w:tcPr>
            <w:tcW w:w="1417" w:type="dxa"/>
            <w:vMerge/>
          </w:tcPr>
          <w:p w14:paraId="5DA6DA93" w14:textId="77777777" w:rsidR="00454A29" w:rsidRDefault="00454A29"/>
        </w:tc>
        <w:tc>
          <w:tcPr>
            <w:tcW w:w="2324" w:type="dxa"/>
            <w:vMerge/>
          </w:tcPr>
          <w:p w14:paraId="651C1F3A" w14:textId="77777777" w:rsidR="00454A29" w:rsidRDefault="00454A29"/>
        </w:tc>
        <w:tc>
          <w:tcPr>
            <w:tcW w:w="1701" w:type="dxa"/>
            <w:vAlign w:val="center"/>
          </w:tcPr>
          <w:p w14:paraId="02E6EE82" w14:textId="77777777" w:rsidR="00454A29" w:rsidRDefault="00454A29">
            <w:pPr>
              <w:pStyle w:val="ConsPlusNormal"/>
              <w:jc w:val="center"/>
            </w:pPr>
            <w:r>
              <w:t>367 824,52</w:t>
            </w:r>
          </w:p>
        </w:tc>
        <w:tc>
          <w:tcPr>
            <w:tcW w:w="1814" w:type="dxa"/>
            <w:vAlign w:val="center"/>
          </w:tcPr>
          <w:p w14:paraId="70589D0F" w14:textId="77777777" w:rsidR="00454A29" w:rsidRDefault="00454A29">
            <w:pPr>
              <w:pStyle w:val="ConsPlusNormal"/>
              <w:jc w:val="center"/>
            </w:pPr>
            <w:r>
              <w:t>4 531,59</w:t>
            </w:r>
          </w:p>
        </w:tc>
        <w:tc>
          <w:tcPr>
            <w:tcW w:w="1701" w:type="dxa"/>
            <w:vAlign w:val="center"/>
          </w:tcPr>
          <w:p w14:paraId="128E2C42" w14:textId="77777777" w:rsidR="00454A29" w:rsidRDefault="00454A29">
            <w:pPr>
              <w:pStyle w:val="ConsPlusNormal"/>
              <w:jc w:val="center"/>
            </w:pPr>
            <w:r>
              <w:t>448 628,22</w:t>
            </w:r>
          </w:p>
        </w:tc>
        <w:tc>
          <w:tcPr>
            <w:tcW w:w="1701" w:type="dxa"/>
            <w:vAlign w:val="center"/>
          </w:tcPr>
          <w:p w14:paraId="7344A86E" w14:textId="77777777" w:rsidR="00454A29" w:rsidRDefault="00454A29">
            <w:pPr>
              <w:pStyle w:val="ConsPlusNormal"/>
            </w:pPr>
          </w:p>
        </w:tc>
        <w:tc>
          <w:tcPr>
            <w:tcW w:w="1814" w:type="dxa"/>
            <w:vAlign w:val="center"/>
          </w:tcPr>
          <w:p w14:paraId="2BFE769A" w14:textId="77777777" w:rsidR="00454A29" w:rsidRDefault="00454A29">
            <w:pPr>
              <w:pStyle w:val="ConsPlusNormal"/>
            </w:pPr>
          </w:p>
        </w:tc>
      </w:tr>
      <w:tr w:rsidR="00454A29" w14:paraId="495A1C72" w14:textId="77777777">
        <w:tc>
          <w:tcPr>
            <w:tcW w:w="567" w:type="dxa"/>
            <w:vMerge w:val="restart"/>
            <w:vAlign w:val="center"/>
          </w:tcPr>
          <w:p w14:paraId="3DD03562" w14:textId="77777777" w:rsidR="00454A29" w:rsidRDefault="00454A29">
            <w:pPr>
              <w:pStyle w:val="ConsPlusNormal"/>
              <w:jc w:val="center"/>
            </w:pPr>
            <w:r>
              <w:t>66</w:t>
            </w:r>
          </w:p>
        </w:tc>
        <w:tc>
          <w:tcPr>
            <w:tcW w:w="3345" w:type="dxa"/>
            <w:vMerge w:val="restart"/>
            <w:vAlign w:val="center"/>
          </w:tcPr>
          <w:p w14:paraId="779CBF7F" w14:textId="77777777" w:rsidR="00454A29" w:rsidRDefault="00454A29">
            <w:pPr>
              <w:pStyle w:val="ConsPlusNormal"/>
              <w:jc w:val="center"/>
            </w:pPr>
            <w:r>
              <w:t>Школа на 50 учащихся в с. Натора</w:t>
            </w:r>
          </w:p>
        </w:tc>
        <w:tc>
          <w:tcPr>
            <w:tcW w:w="1701" w:type="dxa"/>
            <w:vAlign w:val="center"/>
          </w:tcPr>
          <w:p w14:paraId="536B759A" w14:textId="77777777" w:rsidR="00454A29" w:rsidRDefault="00454A29">
            <w:pPr>
              <w:pStyle w:val="ConsPlusNormal"/>
              <w:jc w:val="center"/>
            </w:pPr>
            <w:r>
              <w:t>2020 - 2026 годы - всего</w:t>
            </w:r>
          </w:p>
        </w:tc>
        <w:tc>
          <w:tcPr>
            <w:tcW w:w="1417" w:type="dxa"/>
            <w:vMerge w:val="restart"/>
            <w:vAlign w:val="center"/>
          </w:tcPr>
          <w:p w14:paraId="5C8B888F" w14:textId="77777777" w:rsidR="00454A29" w:rsidRDefault="00454A29">
            <w:pPr>
              <w:pStyle w:val="ConsPlusNormal"/>
              <w:jc w:val="center"/>
            </w:pPr>
            <w:r>
              <w:t>66 526,20</w:t>
            </w:r>
          </w:p>
        </w:tc>
        <w:tc>
          <w:tcPr>
            <w:tcW w:w="2204" w:type="dxa"/>
            <w:vMerge w:val="restart"/>
            <w:vAlign w:val="center"/>
          </w:tcPr>
          <w:p w14:paraId="7002BA33" w14:textId="77777777" w:rsidR="00454A29" w:rsidRDefault="00454A29">
            <w:pPr>
              <w:pStyle w:val="ConsPlusNormal"/>
              <w:jc w:val="center"/>
            </w:pPr>
            <w:r>
              <w:t>имеется</w:t>
            </w:r>
          </w:p>
        </w:tc>
        <w:tc>
          <w:tcPr>
            <w:tcW w:w="1417" w:type="dxa"/>
            <w:vMerge w:val="restart"/>
            <w:vAlign w:val="center"/>
          </w:tcPr>
          <w:p w14:paraId="33AE3814" w14:textId="77777777" w:rsidR="00454A29" w:rsidRDefault="00454A29">
            <w:pPr>
              <w:pStyle w:val="ConsPlusNormal"/>
              <w:jc w:val="center"/>
            </w:pPr>
            <w:r>
              <w:t>50</w:t>
            </w:r>
          </w:p>
        </w:tc>
        <w:tc>
          <w:tcPr>
            <w:tcW w:w="2324" w:type="dxa"/>
            <w:vMerge w:val="restart"/>
            <w:vAlign w:val="center"/>
          </w:tcPr>
          <w:p w14:paraId="3DAA335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580E69A" w14:textId="77777777" w:rsidR="00454A29" w:rsidRDefault="00454A29">
            <w:pPr>
              <w:pStyle w:val="ConsPlusNormal"/>
              <w:jc w:val="center"/>
            </w:pPr>
            <w:r>
              <w:t>66 526,20</w:t>
            </w:r>
          </w:p>
        </w:tc>
        <w:tc>
          <w:tcPr>
            <w:tcW w:w="1814" w:type="dxa"/>
            <w:vAlign w:val="center"/>
          </w:tcPr>
          <w:p w14:paraId="7D1B72CA" w14:textId="77777777" w:rsidR="00454A29" w:rsidRDefault="00454A29">
            <w:pPr>
              <w:pStyle w:val="ConsPlusNormal"/>
              <w:jc w:val="center"/>
            </w:pPr>
            <w:r>
              <w:t>60 000,00</w:t>
            </w:r>
          </w:p>
        </w:tc>
        <w:tc>
          <w:tcPr>
            <w:tcW w:w="1701" w:type="dxa"/>
            <w:vAlign w:val="center"/>
          </w:tcPr>
          <w:p w14:paraId="210FAF36" w14:textId="77777777" w:rsidR="00454A29" w:rsidRDefault="00454A29">
            <w:pPr>
              <w:pStyle w:val="ConsPlusNormal"/>
              <w:jc w:val="center"/>
            </w:pPr>
            <w:r>
              <w:t>-</w:t>
            </w:r>
          </w:p>
        </w:tc>
        <w:tc>
          <w:tcPr>
            <w:tcW w:w="1701" w:type="dxa"/>
            <w:vAlign w:val="center"/>
          </w:tcPr>
          <w:p w14:paraId="71C17FF5" w14:textId="77777777" w:rsidR="00454A29" w:rsidRDefault="00454A29">
            <w:pPr>
              <w:pStyle w:val="ConsPlusNormal"/>
              <w:jc w:val="center"/>
            </w:pPr>
            <w:r>
              <w:t>6 526,20</w:t>
            </w:r>
          </w:p>
        </w:tc>
        <w:tc>
          <w:tcPr>
            <w:tcW w:w="1814" w:type="dxa"/>
            <w:vAlign w:val="center"/>
          </w:tcPr>
          <w:p w14:paraId="2756D5F0" w14:textId="77777777" w:rsidR="00454A29" w:rsidRDefault="00454A29">
            <w:pPr>
              <w:pStyle w:val="ConsPlusNormal"/>
              <w:jc w:val="center"/>
            </w:pPr>
            <w:r>
              <w:t>-</w:t>
            </w:r>
          </w:p>
        </w:tc>
      </w:tr>
      <w:tr w:rsidR="00454A29" w14:paraId="0AC409C1" w14:textId="77777777">
        <w:tc>
          <w:tcPr>
            <w:tcW w:w="567" w:type="dxa"/>
            <w:vMerge/>
          </w:tcPr>
          <w:p w14:paraId="21022D76" w14:textId="77777777" w:rsidR="00454A29" w:rsidRDefault="00454A29"/>
        </w:tc>
        <w:tc>
          <w:tcPr>
            <w:tcW w:w="3345" w:type="dxa"/>
            <w:vMerge/>
          </w:tcPr>
          <w:p w14:paraId="6B96DEDB" w14:textId="77777777" w:rsidR="00454A29" w:rsidRDefault="00454A29"/>
        </w:tc>
        <w:tc>
          <w:tcPr>
            <w:tcW w:w="1701" w:type="dxa"/>
            <w:vAlign w:val="center"/>
          </w:tcPr>
          <w:p w14:paraId="15F07358" w14:textId="77777777" w:rsidR="00454A29" w:rsidRDefault="00454A29">
            <w:pPr>
              <w:pStyle w:val="ConsPlusNormal"/>
              <w:jc w:val="center"/>
            </w:pPr>
            <w:r>
              <w:t>2020</w:t>
            </w:r>
          </w:p>
        </w:tc>
        <w:tc>
          <w:tcPr>
            <w:tcW w:w="1417" w:type="dxa"/>
            <w:vMerge/>
          </w:tcPr>
          <w:p w14:paraId="4485AD24" w14:textId="77777777" w:rsidR="00454A29" w:rsidRDefault="00454A29"/>
        </w:tc>
        <w:tc>
          <w:tcPr>
            <w:tcW w:w="2204" w:type="dxa"/>
            <w:vMerge/>
          </w:tcPr>
          <w:p w14:paraId="5750246E" w14:textId="77777777" w:rsidR="00454A29" w:rsidRDefault="00454A29"/>
        </w:tc>
        <w:tc>
          <w:tcPr>
            <w:tcW w:w="1417" w:type="dxa"/>
            <w:vMerge/>
          </w:tcPr>
          <w:p w14:paraId="38926E72" w14:textId="77777777" w:rsidR="00454A29" w:rsidRDefault="00454A29"/>
        </w:tc>
        <w:tc>
          <w:tcPr>
            <w:tcW w:w="2324" w:type="dxa"/>
            <w:vMerge/>
          </w:tcPr>
          <w:p w14:paraId="64A3E720" w14:textId="77777777" w:rsidR="00454A29" w:rsidRDefault="00454A29"/>
        </w:tc>
        <w:tc>
          <w:tcPr>
            <w:tcW w:w="1701" w:type="dxa"/>
            <w:vAlign w:val="center"/>
          </w:tcPr>
          <w:p w14:paraId="7EE69D0C" w14:textId="77777777" w:rsidR="00454A29" w:rsidRDefault="00454A29">
            <w:pPr>
              <w:pStyle w:val="ConsPlusNormal"/>
              <w:jc w:val="center"/>
            </w:pPr>
            <w:r>
              <w:t>60 000,00</w:t>
            </w:r>
          </w:p>
        </w:tc>
        <w:tc>
          <w:tcPr>
            <w:tcW w:w="1814" w:type="dxa"/>
            <w:vAlign w:val="center"/>
          </w:tcPr>
          <w:p w14:paraId="7023E12C" w14:textId="77777777" w:rsidR="00454A29" w:rsidRDefault="00454A29">
            <w:pPr>
              <w:pStyle w:val="ConsPlusNormal"/>
              <w:jc w:val="center"/>
            </w:pPr>
            <w:r>
              <w:t>60 000,00</w:t>
            </w:r>
          </w:p>
        </w:tc>
        <w:tc>
          <w:tcPr>
            <w:tcW w:w="1701" w:type="dxa"/>
            <w:vAlign w:val="center"/>
          </w:tcPr>
          <w:p w14:paraId="2B825317" w14:textId="77777777" w:rsidR="00454A29" w:rsidRDefault="00454A29">
            <w:pPr>
              <w:pStyle w:val="ConsPlusNormal"/>
            </w:pPr>
          </w:p>
        </w:tc>
        <w:tc>
          <w:tcPr>
            <w:tcW w:w="1701" w:type="dxa"/>
            <w:vAlign w:val="center"/>
          </w:tcPr>
          <w:p w14:paraId="41BA67CE" w14:textId="77777777" w:rsidR="00454A29" w:rsidRDefault="00454A29">
            <w:pPr>
              <w:pStyle w:val="ConsPlusNormal"/>
            </w:pPr>
          </w:p>
        </w:tc>
        <w:tc>
          <w:tcPr>
            <w:tcW w:w="1814" w:type="dxa"/>
            <w:vAlign w:val="center"/>
          </w:tcPr>
          <w:p w14:paraId="272D2A7F" w14:textId="77777777" w:rsidR="00454A29" w:rsidRDefault="00454A29">
            <w:pPr>
              <w:pStyle w:val="ConsPlusNormal"/>
            </w:pPr>
          </w:p>
        </w:tc>
      </w:tr>
      <w:tr w:rsidR="00454A29" w14:paraId="5040828A" w14:textId="77777777">
        <w:tc>
          <w:tcPr>
            <w:tcW w:w="567" w:type="dxa"/>
            <w:vMerge/>
          </w:tcPr>
          <w:p w14:paraId="1DB6ECC2" w14:textId="77777777" w:rsidR="00454A29" w:rsidRDefault="00454A29"/>
        </w:tc>
        <w:tc>
          <w:tcPr>
            <w:tcW w:w="3345" w:type="dxa"/>
            <w:vMerge/>
          </w:tcPr>
          <w:p w14:paraId="0DA5986F" w14:textId="77777777" w:rsidR="00454A29" w:rsidRDefault="00454A29"/>
        </w:tc>
        <w:tc>
          <w:tcPr>
            <w:tcW w:w="1701" w:type="dxa"/>
            <w:vAlign w:val="center"/>
          </w:tcPr>
          <w:p w14:paraId="24D59884" w14:textId="77777777" w:rsidR="00454A29" w:rsidRDefault="00454A29">
            <w:pPr>
              <w:pStyle w:val="ConsPlusNormal"/>
              <w:jc w:val="center"/>
            </w:pPr>
            <w:r>
              <w:t>2021</w:t>
            </w:r>
          </w:p>
        </w:tc>
        <w:tc>
          <w:tcPr>
            <w:tcW w:w="1417" w:type="dxa"/>
            <w:vMerge/>
          </w:tcPr>
          <w:p w14:paraId="3148D0A7" w14:textId="77777777" w:rsidR="00454A29" w:rsidRDefault="00454A29"/>
        </w:tc>
        <w:tc>
          <w:tcPr>
            <w:tcW w:w="2204" w:type="dxa"/>
            <w:vMerge/>
          </w:tcPr>
          <w:p w14:paraId="51796232" w14:textId="77777777" w:rsidR="00454A29" w:rsidRDefault="00454A29"/>
        </w:tc>
        <w:tc>
          <w:tcPr>
            <w:tcW w:w="1417" w:type="dxa"/>
            <w:vMerge/>
          </w:tcPr>
          <w:p w14:paraId="38B8F59A" w14:textId="77777777" w:rsidR="00454A29" w:rsidRDefault="00454A29"/>
        </w:tc>
        <w:tc>
          <w:tcPr>
            <w:tcW w:w="2324" w:type="dxa"/>
            <w:vMerge/>
          </w:tcPr>
          <w:p w14:paraId="2AB2DBD4" w14:textId="77777777" w:rsidR="00454A29" w:rsidRDefault="00454A29"/>
        </w:tc>
        <w:tc>
          <w:tcPr>
            <w:tcW w:w="1701" w:type="dxa"/>
            <w:vAlign w:val="center"/>
          </w:tcPr>
          <w:p w14:paraId="2AA8276A" w14:textId="77777777" w:rsidR="00454A29" w:rsidRDefault="00454A29">
            <w:pPr>
              <w:pStyle w:val="ConsPlusNormal"/>
              <w:jc w:val="center"/>
            </w:pPr>
            <w:r>
              <w:t>6 526,20</w:t>
            </w:r>
          </w:p>
        </w:tc>
        <w:tc>
          <w:tcPr>
            <w:tcW w:w="1814" w:type="dxa"/>
            <w:vAlign w:val="center"/>
          </w:tcPr>
          <w:p w14:paraId="0FFCC75B" w14:textId="77777777" w:rsidR="00454A29" w:rsidRDefault="00454A29">
            <w:pPr>
              <w:pStyle w:val="ConsPlusNormal"/>
            </w:pPr>
          </w:p>
        </w:tc>
        <w:tc>
          <w:tcPr>
            <w:tcW w:w="1701" w:type="dxa"/>
            <w:vAlign w:val="center"/>
          </w:tcPr>
          <w:p w14:paraId="6F78AA39" w14:textId="77777777" w:rsidR="00454A29" w:rsidRDefault="00454A29">
            <w:pPr>
              <w:pStyle w:val="ConsPlusNormal"/>
            </w:pPr>
          </w:p>
        </w:tc>
        <w:tc>
          <w:tcPr>
            <w:tcW w:w="1701" w:type="dxa"/>
            <w:vAlign w:val="center"/>
          </w:tcPr>
          <w:p w14:paraId="03274772" w14:textId="77777777" w:rsidR="00454A29" w:rsidRDefault="00454A29">
            <w:pPr>
              <w:pStyle w:val="ConsPlusNormal"/>
              <w:jc w:val="center"/>
            </w:pPr>
            <w:r>
              <w:t>6 526,20</w:t>
            </w:r>
          </w:p>
        </w:tc>
        <w:tc>
          <w:tcPr>
            <w:tcW w:w="1814" w:type="dxa"/>
            <w:vAlign w:val="center"/>
          </w:tcPr>
          <w:p w14:paraId="14EC81E9" w14:textId="77777777" w:rsidR="00454A29" w:rsidRDefault="00454A29">
            <w:pPr>
              <w:pStyle w:val="ConsPlusNormal"/>
            </w:pPr>
          </w:p>
        </w:tc>
      </w:tr>
      <w:tr w:rsidR="00454A29" w14:paraId="286EA3A7" w14:textId="77777777">
        <w:tc>
          <w:tcPr>
            <w:tcW w:w="567" w:type="dxa"/>
            <w:vMerge/>
          </w:tcPr>
          <w:p w14:paraId="55DCD022" w14:textId="77777777" w:rsidR="00454A29" w:rsidRDefault="00454A29"/>
        </w:tc>
        <w:tc>
          <w:tcPr>
            <w:tcW w:w="3345" w:type="dxa"/>
            <w:vMerge/>
          </w:tcPr>
          <w:p w14:paraId="132986B0" w14:textId="77777777" w:rsidR="00454A29" w:rsidRDefault="00454A29"/>
        </w:tc>
        <w:tc>
          <w:tcPr>
            <w:tcW w:w="1701" w:type="dxa"/>
            <w:vAlign w:val="center"/>
          </w:tcPr>
          <w:p w14:paraId="3B20DBB7" w14:textId="77777777" w:rsidR="00454A29" w:rsidRDefault="00454A29">
            <w:pPr>
              <w:pStyle w:val="ConsPlusNormal"/>
              <w:jc w:val="center"/>
            </w:pPr>
            <w:r>
              <w:t>2022</w:t>
            </w:r>
          </w:p>
        </w:tc>
        <w:tc>
          <w:tcPr>
            <w:tcW w:w="1417" w:type="dxa"/>
            <w:vMerge/>
          </w:tcPr>
          <w:p w14:paraId="7699C3C9" w14:textId="77777777" w:rsidR="00454A29" w:rsidRDefault="00454A29"/>
        </w:tc>
        <w:tc>
          <w:tcPr>
            <w:tcW w:w="2204" w:type="dxa"/>
            <w:vMerge/>
          </w:tcPr>
          <w:p w14:paraId="03F8DABA" w14:textId="77777777" w:rsidR="00454A29" w:rsidRDefault="00454A29"/>
        </w:tc>
        <w:tc>
          <w:tcPr>
            <w:tcW w:w="1417" w:type="dxa"/>
            <w:vMerge/>
          </w:tcPr>
          <w:p w14:paraId="7CEBC9D7" w14:textId="77777777" w:rsidR="00454A29" w:rsidRDefault="00454A29"/>
        </w:tc>
        <w:tc>
          <w:tcPr>
            <w:tcW w:w="2324" w:type="dxa"/>
            <w:vMerge/>
          </w:tcPr>
          <w:p w14:paraId="7CAB26C0" w14:textId="77777777" w:rsidR="00454A29" w:rsidRDefault="00454A29"/>
        </w:tc>
        <w:tc>
          <w:tcPr>
            <w:tcW w:w="1701" w:type="dxa"/>
            <w:vAlign w:val="center"/>
          </w:tcPr>
          <w:p w14:paraId="4CFA9873" w14:textId="77777777" w:rsidR="00454A29" w:rsidRDefault="00454A29">
            <w:pPr>
              <w:pStyle w:val="ConsPlusNormal"/>
            </w:pPr>
          </w:p>
        </w:tc>
        <w:tc>
          <w:tcPr>
            <w:tcW w:w="1814" w:type="dxa"/>
            <w:vAlign w:val="center"/>
          </w:tcPr>
          <w:p w14:paraId="44B741A1" w14:textId="77777777" w:rsidR="00454A29" w:rsidRDefault="00454A29">
            <w:pPr>
              <w:pStyle w:val="ConsPlusNormal"/>
            </w:pPr>
          </w:p>
        </w:tc>
        <w:tc>
          <w:tcPr>
            <w:tcW w:w="1701" w:type="dxa"/>
            <w:vAlign w:val="center"/>
          </w:tcPr>
          <w:p w14:paraId="455D8CC3" w14:textId="77777777" w:rsidR="00454A29" w:rsidRDefault="00454A29">
            <w:pPr>
              <w:pStyle w:val="ConsPlusNormal"/>
            </w:pPr>
          </w:p>
        </w:tc>
        <w:tc>
          <w:tcPr>
            <w:tcW w:w="1701" w:type="dxa"/>
            <w:vAlign w:val="center"/>
          </w:tcPr>
          <w:p w14:paraId="30EDF56C" w14:textId="77777777" w:rsidR="00454A29" w:rsidRDefault="00454A29">
            <w:pPr>
              <w:pStyle w:val="ConsPlusNormal"/>
            </w:pPr>
          </w:p>
        </w:tc>
        <w:tc>
          <w:tcPr>
            <w:tcW w:w="1814" w:type="dxa"/>
            <w:vAlign w:val="center"/>
          </w:tcPr>
          <w:p w14:paraId="33ED0F3F" w14:textId="77777777" w:rsidR="00454A29" w:rsidRDefault="00454A29">
            <w:pPr>
              <w:pStyle w:val="ConsPlusNormal"/>
            </w:pPr>
          </w:p>
        </w:tc>
      </w:tr>
      <w:tr w:rsidR="00454A29" w14:paraId="58E496E2" w14:textId="77777777">
        <w:tc>
          <w:tcPr>
            <w:tcW w:w="567" w:type="dxa"/>
            <w:vMerge/>
          </w:tcPr>
          <w:p w14:paraId="37890740" w14:textId="77777777" w:rsidR="00454A29" w:rsidRDefault="00454A29"/>
        </w:tc>
        <w:tc>
          <w:tcPr>
            <w:tcW w:w="3345" w:type="dxa"/>
            <w:vMerge/>
          </w:tcPr>
          <w:p w14:paraId="1EE7E3F7" w14:textId="77777777" w:rsidR="00454A29" w:rsidRDefault="00454A29"/>
        </w:tc>
        <w:tc>
          <w:tcPr>
            <w:tcW w:w="1701" w:type="dxa"/>
            <w:vAlign w:val="center"/>
          </w:tcPr>
          <w:p w14:paraId="412139AC" w14:textId="77777777" w:rsidR="00454A29" w:rsidRDefault="00454A29">
            <w:pPr>
              <w:pStyle w:val="ConsPlusNormal"/>
              <w:jc w:val="center"/>
            </w:pPr>
            <w:r>
              <w:t>2023</w:t>
            </w:r>
          </w:p>
        </w:tc>
        <w:tc>
          <w:tcPr>
            <w:tcW w:w="1417" w:type="dxa"/>
            <w:vMerge/>
          </w:tcPr>
          <w:p w14:paraId="32AE4524" w14:textId="77777777" w:rsidR="00454A29" w:rsidRDefault="00454A29"/>
        </w:tc>
        <w:tc>
          <w:tcPr>
            <w:tcW w:w="2204" w:type="dxa"/>
            <w:vMerge/>
          </w:tcPr>
          <w:p w14:paraId="629F3EC2" w14:textId="77777777" w:rsidR="00454A29" w:rsidRDefault="00454A29"/>
        </w:tc>
        <w:tc>
          <w:tcPr>
            <w:tcW w:w="1417" w:type="dxa"/>
            <w:vMerge/>
          </w:tcPr>
          <w:p w14:paraId="123779A9" w14:textId="77777777" w:rsidR="00454A29" w:rsidRDefault="00454A29"/>
        </w:tc>
        <w:tc>
          <w:tcPr>
            <w:tcW w:w="2324" w:type="dxa"/>
            <w:vMerge/>
          </w:tcPr>
          <w:p w14:paraId="7543126C" w14:textId="77777777" w:rsidR="00454A29" w:rsidRDefault="00454A29"/>
        </w:tc>
        <w:tc>
          <w:tcPr>
            <w:tcW w:w="1701" w:type="dxa"/>
            <w:vAlign w:val="center"/>
          </w:tcPr>
          <w:p w14:paraId="2926A4C2" w14:textId="77777777" w:rsidR="00454A29" w:rsidRDefault="00454A29">
            <w:pPr>
              <w:pStyle w:val="ConsPlusNormal"/>
            </w:pPr>
          </w:p>
        </w:tc>
        <w:tc>
          <w:tcPr>
            <w:tcW w:w="1814" w:type="dxa"/>
            <w:vAlign w:val="center"/>
          </w:tcPr>
          <w:p w14:paraId="4A8B7321" w14:textId="77777777" w:rsidR="00454A29" w:rsidRDefault="00454A29">
            <w:pPr>
              <w:pStyle w:val="ConsPlusNormal"/>
            </w:pPr>
          </w:p>
        </w:tc>
        <w:tc>
          <w:tcPr>
            <w:tcW w:w="1701" w:type="dxa"/>
            <w:vAlign w:val="center"/>
          </w:tcPr>
          <w:p w14:paraId="62CC8BDB" w14:textId="77777777" w:rsidR="00454A29" w:rsidRDefault="00454A29">
            <w:pPr>
              <w:pStyle w:val="ConsPlusNormal"/>
            </w:pPr>
          </w:p>
        </w:tc>
        <w:tc>
          <w:tcPr>
            <w:tcW w:w="1701" w:type="dxa"/>
            <w:vAlign w:val="center"/>
          </w:tcPr>
          <w:p w14:paraId="5C1E4CB7" w14:textId="77777777" w:rsidR="00454A29" w:rsidRDefault="00454A29">
            <w:pPr>
              <w:pStyle w:val="ConsPlusNormal"/>
            </w:pPr>
          </w:p>
        </w:tc>
        <w:tc>
          <w:tcPr>
            <w:tcW w:w="1814" w:type="dxa"/>
            <w:vAlign w:val="center"/>
          </w:tcPr>
          <w:p w14:paraId="1171E180" w14:textId="77777777" w:rsidR="00454A29" w:rsidRDefault="00454A29">
            <w:pPr>
              <w:pStyle w:val="ConsPlusNormal"/>
            </w:pPr>
          </w:p>
        </w:tc>
      </w:tr>
      <w:tr w:rsidR="00454A29" w14:paraId="3CB60655" w14:textId="77777777">
        <w:tc>
          <w:tcPr>
            <w:tcW w:w="567" w:type="dxa"/>
            <w:vMerge/>
          </w:tcPr>
          <w:p w14:paraId="547D3C75" w14:textId="77777777" w:rsidR="00454A29" w:rsidRDefault="00454A29"/>
        </w:tc>
        <w:tc>
          <w:tcPr>
            <w:tcW w:w="3345" w:type="dxa"/>
            <w:vMerge/>
          </w:tcPr>
          <w:p w14:paraId="638544F8" w14:textId="77777777" w:rsidR="00454A29" w:rsidRDefault="00454A29"/>
        </w:tc>
        <w:tc>
          <w:tcPr>
            <w:tcW w:w="1701" w:type="dxa"/>
            <w:vAlign w:val="center"/>
          </w:tcPr>
          <w:p w14:paraId="0AB3D096" w14:textId="77777777" w:rsidR="00454A29" w:rsidRDefault="00454A29">
            <w:pPr>
              <w:pStyle w:val="ConsPlusNormal"/>
              <w:jc w:val="center"/>
            </w:pPr>
            <w:r>
              <w:t>2024</w:t>
            </w:r>
          </w:p>
        </w:tc>
        <w:tc>
          <w:tcPr>
            <w:tcW w:w="1417" w:type="dxa"/>
            <w:vMerge/>
          </w:tcPr>
          <w:p w14:paraId="2F55D2F3" w14:textId="77777777" w:rsidR="00454A29" w:rsidRDefault="00454A29"/>
        </w:tc>
        <w:tc>
          <w:tcPr>
            <w:tcW w:w="2204" w:type="dxa"/>
            <w:vMerge/>
          </w:tcPr>
          <w:p w14:paraId="0A8A808F" w14:textId="77777777" w:rsidR="00454A29" w:rsidRDefault="00454A29"/>
        </w:tc>
        <w:tc>
          <w:tcPr>
            <w:tcW w:w="1417" w:type="dxa"/>
            <w:vMerge/>
          </w:tcPr>
          <w:p w14:paraId="7E729DFA" w14:textId="77777777" w:rsidR="00454A29" w:rsidRDefault="00454A29"/>
        </w:tc>
        <w:tc>
          <w:tcPr>
            <w:tcW w:w="2324" w:type="dxa"/>
            <w:vMerge/>
          </w:tcPr>
          <w:p w14:paraId="0E236A39" w14:textId="77777777" w:rsidR="00454A29" w:rsidRDefault="00454A29"/>
        </w:tc>
        <w:tc>
          <w:tcPr>
            <w:tcW w:w="1701" w:type="dxa"/>
            <w:vAlign w:val="center"/>
          </w:tcPr>
          <w:p w14:paraId="7FAEBD7B" w14:textId="77777777" w:rsidR="00454A29" w:rsidRDefault="00454A29">
            <w:pPr>
              <w:pStyle w:val="ConsPlusNormal"/>
            </w:pPr>
          </w:p>
        </w:tc>
        <w:tc>
          <w:tcPr>
            <w:tcW w:w="1814" w:type="dxa"/>
            <w:vAlign w:val="center"/>
          </w:tcPr>
          <w:p w14:paraId="6DA82166" w14:textId="77777777" w:rsidR="00454A29" w:rsidRDefault="00454A29">
            <w:pPr>
              <w:pStyle w:val="ConsPlusNormal"/>
            </w:pPr>
          </w:p>
        </w:tc>
        <w:tc>
          <w:tcPr>
            <w:tcW w:w="1701" w:type="dxa"/>
            <w:vAlign w:val="center"/>
          </w:tcPr>
          <w:p w14:paraId="661640DC" w14:textId="77777777" w:rsidR="00454A29" w:rsidRDefault="00454A29">
            <w:pPr>
              <w:pStyle w:val="ConsPlusNormal"/>
            </w:pPr>
          </w:p>
        </w:tc>
        <w:tc>
          <w:tcPr>
            <w:tcW w:w="1701" w:type="dxa"/>
            <w:vAlign w:val="center"/>
          </w:tcPr>
          <w:p w14:paraId="7EC32D08" w14:textId="77777777" w:rsidR="00454A29" w:rsidRDefault="00454A29">
            <w:pPr>
              <w:pStyle w:val="ConsPlusNormal"/>
            </w:pPr>
          </w:p>
        </w:tc>
        <w:tc>
          <w:tcPr>
            <w:tcW w:w="1814" w:type="dxa"/>
            <w:vAlign w:val="center"/>
          </w:tcPr>
          <w:p w14:paraId="20A38870" w14:textId="77777777" w:rsidR="00454A29" w:rsidRDefault="00454A29">
            <w:pPr>
              <w:pStyle w:val="ConsPlusNormal"/>
            </w:pPr>
          </w:p>
        </w:tc>
      </w:tr>
      <w:tr w:rsidR="00454A29" w14:paraId="1716FD5B" w14:textId="77777777">
        <w:tc>
          <w:tcPr>
            <w:tcW w:w="567" w:type="dxa"/>
            <w:vMerge/>
          </w:tcPr>
          <w:p w14:paraId="2E1DB5F5" w14:textId="77777777" w:rsidR="00454A29" w:rsidRDefault="00454A29"/>
        </w:tc>
        <w:tc>
          <w:tcPr>
            <w:tcW w:w="3345" w:type="dxa"/>
            <w:vMerge/>
          </w:tcPr>
          <w:p w14:paraId="44DA51FE" w14:textId="77777777" w:rsidR="00454A29" w:rsidRDefault="00454A29"/>
        </w:tc>
        <w:tc>
          <w:tcPr>
            <w:tcW w:w="1701" w:type="dxa"/>
            <w:vAlign w:val="center"/>
          </w:tcPr>
          <w:p w14:paraId="06885CE3" w14:textId="77777777" w:rsidR="00454A29" w:rsidRDefault="00454A29">
            <w:pPr>
              <w:pStyle w:val="ConsPlusNormal"/>
              <w:jc w:val="center"/>
            </w:pPr>
            <w:r>
              <w:t>2025</w:t>
            </w:r>
          </w:p>
        </w:tc>
        <w:tc>
          <w:tcPr>
            <w:tcW w:w="1417" w:type="dxa"/>
            <w:vMerge/>
          </w:tcPr>
          <w:p w14:paraId="38601B40" w14:textId="77777777" w:rsidR="00454A29" w:rsidRDefault="00454A29"/>
        </w:tc>
        <w:tc>
          <w:tcPr>
            <w:tcW w:w="2204" w:type="dxa"/>
            <w:vMerge/>
          </w:tcPr>
          <w:p w14:paraId="5A023539" w14:textId="77777777" w:rsidR="00454A29" w:rsidRDefault="00454A29"/>
        </w:tc>
        <w:tc>
          <w:tcPr>
            <w:tcW w:w="1417" w:type="dxa"/>
            <w:vMerge/>
          </w:tcPr>
          <w:p w14:paraId="21C0B6C8" w14:textId="77777777" w:rsidR="00454A29" w:rsidRDefault="00454A29"/>
        </w:tc>
        <w:tc>
          <w:tcPr>
            <w:tcW w:w="2324" w:type="dxa"/>
            <w:vMerge/>
          </w:tcPr>
          <w:p w14:paraId="7930DFC8" w14:textId="77777777" w:rsidR="00454A29" w:rsidRDefault="00454A29"/>
        </w:tc>
        <w:tc>
          <w:tcPr>
            <w:tcW w:w="1701" w:type="dxa"/>
            <w:vAlign w:val="center"/>
          </w:tcPr>
          <w:p w14:paraId="630606A5" w14:textId="77777777" w:rsidR="00454A29" w:rsidRDefault="00454A29">
            <w:pPr>
              <w:pStyle w:val="ConsPlusNormal"/>
            </w:pPr>
          </w:p>
        </w:tc>
        <w:tc>
          <w:tcPr>
            <w:tcW w:w="1814" w:type="dxa"/>
            <w:vAlign w:val="center"/>
          </w:tcPr>
          <w:p w14:paraId="7939E60B" w14:textId="77777777" w:rsidR="00454A29" w:rsidRDefault="00454A29">
            <w:pPr>
              <w:pStyle w:val="ConsPlusNormal"/>
            </w:pPr>
          </w:p>
        </w:tc>
        <w:tc>
          <w:tcPr>
            <w:tcW w:w="1701" w:type="dxa"/>
            <w:vAlign w:val="center"/>
          </w:tcPr>
          <w:p w14:paraId="3D3B28BC" w14:textId="77777777" w:rsidR="00454A29" w:rsidRDefault="00454A29">
            <w:pPr>
              <w:pStyle w:val="ConsPlusNormal"/>
            </w:pPr>
          </w:p>
        </w:tc>
        <w:tc>
          <w:tcPr>
            <w:tcW w:w="1701" w:type="dxa"/>
            <w:vAlign w:val="center"/>
          </w:tcPr>
          <w:p w14:paraId="21968E23" w14:textId="77777777" w:rsidR="00454A29" w:rsidRDefault="00454A29">
            <w:pPr>
              <w:pStyle w:val="ConsPlusNormal"/>
            </w:pPr>
          </w:p>
        </w:tc>
        <w:tc>
          <w:tcPr>
            <w:tcW w:w="1814" w:type="dxa"/>
            <w:vAlign w:val="center"/>
          </w:tcPr>
          <w:p w14:paraId="27D7A663" w14:textId="77777777" w:rsidR="00454A29" w:rsidRDefault="00454A29">
            <w:pPr>
              <w:pStyle w:val="ConsPlusNormal"/>
            </w:pPr>
          </w:p>
        </w:tc>
      </w:tr>
      <w:tr w:rsidR="00454A29" w14:paraId="51B7E8B2" w14:textId="77777777">
        <w:tc>
          <w:tcPr>
            <w:tcW w:w="567" w:type="dxa"/>
            <w:vMerge/>
          </w:tcPr>
          <w:p w14:paraId="68025A48" w14:textId="77777777" w:rsidR="00454A29" w:rsidRDefault="00454A29"/>
        </w:tc>
        <w:tc>
          <w:tcPr>
            <w:tcW w:w="3345" w:type="dxa"/>
            <w:vMerge/>
          </w:tcPr>
          <w:p w14:paraId="3D4E6E46" w14:textId="77777777" w:rsidR="00454A29" w:rsidRDefault="00454A29"/>
        </w:tc>
        <w:tc>
          <w:tcPr>
            <w:tcW w:w="1701" w:type="dxa"/>
            <w:vAlign w:val="center"/>
          </w:tcPr>
          <w:p w14:paraId="04E93F69" w14:textId="77777777" w:rsidR="00454A29" w:rsidRDefault="00454A29">
            <w:pPr>
              <w:pStyle w:val="ConsPlusNormal"/>
              <w:jc w:val="center"/>
            </w:pPr>
            <w:r>
              <w:t>2026</w:t>
            </w:r>
          </w:p>
        </w:tc>
        <w:tc>
          <w:tcPr>
            <w:tcW w:w="1417" w:type="dxa"/>
            <w:vMerge/>
          </w:tcPr>
          <w:p w14:paraId="033259AB" w14:textId="77777777" w:rsidR="00454A29" w:rsidRDefault="00454A29"/>
        </w:tc>
        <w:tc>
          <w:tcPr>
            <w:tcW w:w="2204" w:type="dxa"/>
            <w:vMerge/>
          </w:tcPr>
          <w:p w14:paraId="3DA6A347" w14:textId="77777777" w:rsidR="00454A29" w:rsidRDefault="00454A29"/>
        </w:tc>
        <w:tc>
          <w:tcPr>
            <w:tcW w:w="1417" w:type="dxa"/>
            <w:vMerge/>
          </w:tcPr>
          <w:p w14:paraId="3CD2B070" w14:textId="77777777" w:rsidR="00454A29" w:rsidRDefault="00454A29"/>
        </w:tc>
        <w:tc>
          <w:tcPr>
            <w:tcW w:w="2324" w:type="dxa"/>
            <w:vMerge/>
          </w:tcPr>
          <w:p w14:paraId="79C79AC4" w14:textId="77777777" w:rsidR="00454A29" w:rsidRDefault="00454A29"/>
        </w:tc>
        <w:tc>
          <w:tcPr>
            <w:tcW w:w="1701" w:type="dxa"/>
            <w:vAlign w:val="center"/>
          </w:tcPr>
          <w:p w14:paraId="7989487C" w14:textId="77777777" w:rsidR="00454A29" w:rsidRDefault="00454A29">
            <w:pPr>
              <w:pStyle w:val="ConsPlusNormal"/>
            </w:pPr>
          </w:p>
        </w:tc>
        <w:tc>
          <w:tcPr>
            <w:tcW w:w="1814" w:type="dxa"/>
            <w:vAlign w:val="center"/>
          </w:tcPr>
          <w:p w14:paraId="22AEC3D8" w14:textId="77777777" w:rsidR="00454A29" w:rsidRDefault="00454A29">
            <w:pPr>
              <w:pStyle w:val="ConsPlusNormal"/>
            </w:pPr>
          </w:p>
        </w:tc>
        <w:tc>
          <w:tcPr>
            <w:tcW w:w="1701" w:type="dxa"/>
            <w:vAlign w:val="center"/>
          </w:tcPr>
          <w:p w14:paraId="259C069E" w14:textId="77777777" w:rsidR="00454A29" w:rsidRDefault="00454A29">
            <w:pPr>
              <w:pStyle w:val="ConsPlusNormal"/>
            </w:pPr>
          </w:p>
        </w:tc>
        <w:tc>
          <w:tcPr>
            <w:tcW w:w="1701" w:type="dxa"/>
            <w:vAlign w:val="center"/>
          </w:tcPr>
          <w:p w14:paraId="6DB6AA5F" w14:textId="77777777" w:rsidR="00454A29" w:rsidRDefault="00454A29">
            <w:pPr>
              <w:pStyle w:val="ConsPlusNormal"/>
            </w:pPr>
          </w:p>
        </w:tc>
        <w:tc>
          <w:tcPr>
            <w:tcW w:w="1814" w:type="dxa"/>
            <w:vAlign w:val="center"/>
          </w:tcPr>
          <w:p w14:paraId="13B2E996" w14:textId="77777777" w:rsidR="00454A29" w:rsidRDefault="00454A29">
            <w:pPr>
              <w:pStyle w:val="ConsPlusNormal"/>
            </w:pPr>
          </w:p>
        </w:tc>
      </w:tr>
      <w:tr w:rsidR="00454A29" w14:paraId="60B63DE2" w14:textId="77777777">
        <w:tc>
          <w:tcPr>
            <w:tcW w:w="21706" w:type="dxa"/>
            <w:gridSpan w:val="12"/>
            <w:vAlign w:val="center"/>
          </w:tcPr>
          <w:p w14:paraId="1766E044" w14:textId="77777777" w:rsidR="00454A29" w:rsidRDefault="00454A29">
            <w:pPr>
              <w:pStyle w:val="ConsPlusNormal"/>
              <w:jc w:val="center"/>
              <w:outlineLvl w:val="2"/>
            </w:pPr>
            <w:r>
              <w:t>МР "Мегино-Кангаласский улус"</w:t>
            </w:r>
          </w:p>
        </w:tc>
      </w:tr>
      <w:tr w:rsidR="00454A29" w14:paraId="4BFF5B23" w14:textId="77777777">
        <w:tc>
          <w:tcPr>
            <w:tcW w:w="567" w:type="dxa"/>
            <w:vMerge w:val="restart"/>
            <w:vAlign w:val="center"/>
          </w:tcPr>
          <w:p w14:paraId="4A70F53F" w14:textId="77777777" w:rsidR="00454A29" w:rsidRDefault="00454A29">
            <w:pPr>
              <w:pStyle w:val="ConsPlusNormal"/>
              <w:jc w:val="center"/>
            </w:pPr>
            <w:r>
              <w:t>67</w:t>
            </w:r>
          </w:p>
        </w:tc>
        <w:tc>
          <w:tcPr>
            <w:tcW w:w="3345" w:type="dxa"/>
            <w:vMerge w:val="restart"/>
            <w:vAlign w:val="center"/>
          </w:tcPr>
          <w:p w14:paraId="6A7D4C2C" w14:textId="77777777" w:rsidR="00454A29" w:rsidRDefault="00454A29">
            <w:pPr>
              <w:pStyle w:val="ConsPlusNormal"/>
              <w:jc w:val="center"/>
            </w:pPr>
            <w:r>
              <w:t>Школа на 150 учащихся в с. Балыктах</w:t>
            </w:r>
          </w:p>
        </w:tc>
        <w:tc>
          <w:tcPr>
            <w:tcW w:w="1701" w:type="dxa"/>
            <w:vAlign w:val="center"/>
          </w:tcPr>
          <w:p w14:paraId="63E02F77" w14:textId="77777777" w:rsidR="00454A29" w:rsidRDefault="00454A29">
            <w:pPr>
              <w:pStyle w:val="ConsPlusNormal"/>
              <w:jc w:val="center"/>
            </w:pPr>
            <w:r>
              <w:t>2020 - 2026 годы - всего</w:t>
            </w:r>
          </w:p>
        </w:tc>
        <w:tc>
          <w:tcPr>
            <w:tcW w:w="1417" w:type="dxa"/>
            <w:vMerge w:val="restart"/>
            <w:vAlign w:val="center"/>
          </w:tcPr>
          <w:p w14:paraId="2A89CF42" w14:textId="77777777" w:rsidR="00454A29" w:rsidRDefault="00454A29">
            <w:pPr>
              <w:pStyle w:val="ConsPlusNormal"/>
              <w:jc w:val="center"/>
            </w:pPr>
            <w:r>
              <w:t>239 793,58</w:t>
            </w:r>
          </w:p>
        </w:tc>
        <w:tc>
          <w:tcPr>
            <w:tcW w:w="2204" w:type="dxa"/>
            <w:vMerge w:val="restart"/>
            <w:vAlign w:val="center"/>
          </w:tcPr>
          <w:p w14:paraId="03E0E774" w14:textId="77777777" w:rsidR="00454A29" w:rsidRDefault="00454A29">
            <w:pPr>
              <w:pStyle w:val="ConsPlusNormal"/>
              <w:jc w:val="center"/>
            </w:pPr>
            <w:r>
              <w:t>имеется</w:t>
            </w:r>
          </w:p>
        </w:tc>
        <w:tc>
          <w:tcPr>
            <w:tcW w:w="1417" w:type="dxa"/>
            <w:vMerge w:val="restart"/>
            <w:vAlign w:val="center"/>
          </w:tcPr>
          <w:p w14:paraId="661C03C3" w14:textId="77777777" w:rsidR="00454A29" w:rsidRDefault="00454A29">
            <w:pPr>
              <w:pStyle w:val="ConsPlusNormal"/>
              <w:jc w:val="center"/>
            </w:pPr>
            <w:r>
              <w:t>150</w:t>
            </w:r>
          </w:p>
        </w:tc>
        <w:tc>
          <w:tcPr>
            <w:tcW w:w="2324" w:type="dxa"/>
            <w:vMerge w:val="restart"/>
            <w:vAlign w:val="center"/>
          </w:tcPr>
          <w:p w14:paraId="5BC939A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1B50E56" w14:textId="77777777" w:rsidR="00454A29" w:rsidRDefault="00454A29">
            <w:pPr>
              <w:pStyle w:val="ConsPlusNormal"/>
              <w:jc w:val="center"/>
            </w:pPr>
            <w:r>
              <w:t>239 793,58</w:t>
            </w:r>
          </w:p>
        </w:tc>
        <w:tc>
          <w:tcPr>
            <w:tcW w:w="1814" w:type="dxa"/>
            <w:vAlign w:val="center"/>
          </w:tcPr>
          <w:p w14:paraId="29F3D734" w14:textId="77777777" w:rsidR="00454A29" w:rsidRDefault="00454A29">
            <w:pPr>
              <w:pStyle w:val="ConsPlusNormal"/>
              <w:jc w:val="center"/>
            </w:pPr>
            <w:r>
              <w:t>239 793,58</w:t>
            </w:r>
          </w:p>
        </w:tc>
        <w:tc>
          <w:tcPr>
            <w:tcW w:w="1701" w:type="dxa"/>
            <w:vAlign w:val="center"/>
          </w:tcPr>
          <w:p w14:paraId="0A93B731" w14:textId="77777777" w:rsidR="00454A29" w:rsidRDefault="00454A29">
            <w:pPr>
              <w:pStyle w:val="ConsPlusNormal"/>
              <w:jc w:val="center"/>
            </w:pPr>
            <w:r>
              <w:t>-</w:t>
            </w:r>
          </w:p>
        </w:tc>
        <w:tc>
          <w:tcPr>
            <w:tcW w:w="1701" w:type="dxa"/>
            <w:vAlign w:val="center"/>
          </w:tcPr>
          <w:p w14:paraId="5FE78959" w14:textId="77777777" w:rsidR="00454A29" w:rsidRDefault="00454A29">
            <w:pPr>
              <w:pStyle w:val="ConsPlusNormal"/>
              <w:jc w:val="center"/>
            </w:pPr>
            <w:r>
              <w:t>-</w:t>
            </w:r>
          </w:p>
        </w:tc>
        <w:tc>
          <w:tcPr>
            <w:tcW w:w="1814" w:type="dxa"/>
            <w:vAlign w:val="center"/>
          </w:tcPr>
          <w:p w14:paraId="508CFE29" w14:textId="77777777" w:rsidR="00454A29" w:rsidRDefault="00454A29">
            <w:pPr>
              <w:pStyle w:val="ConsPlusNormal"/>
              <w:jc w:val="center"/>
            </w:pPr>
            <w:r>
              <w:t>-</w:t>
            </w:r>
          </w:p>
        </w:tc>
      </w:tr>
      <w:tr w:rsidR="00454A29" w14:paraId="0A8C922F" w14:textId="77777777">
        <w:tc>
          <w:tcPr>
            <w:tcW w:w="567" w:type="dxa"/>
            <w:vMerge/>
          </w:tcPr>
          <w:p w14:paraId="1E582B4D" w14:textId="77777777" w:rsidR="00454A29" w:rsidRDefault="00454A29"/>
        </w:tc>
        <w:tc>
          <w:tcPr>
            <w:tcW w:w="3345" w:type="dxa"/>
            <w:vMerge/>
          </w:tcPr>
          <w:p w14:paraId="3781FDCB" w14:textId="77777777" w:rsidR="00454A29" w:rsidRDefault="00454A29"/>
        </w:tc>
        <w:tc>
          <w:tcPr>
            <w:tcW w:w="1701" w:type="dxa"/>
            <w:vAlign w:val="center"/>
          </w:tcPr>
          <w:p w14:paraId="10F21FE7" w14:textId="77777777" w:rsidR="00454A29" w:rsidRDefault="00454A29">
            <w:pPr>
              <w:pStyle w:val="ConsPlusNormal"/>
              <w:jc w:val="center"/>
            </w:pPr>
            <w:r>
              <w:t>2020</w:t>
            </w:r>
          </w:p>
        </w:tc>
        <w:tc>
          <w:tcPr>
            <w:tcW w:w="1417" w:type="dxa"/>
            <w:vMerge/>
          </w:tcPr>
          <w:p w14:paraId="33BE9B83" w14:textId="77777777" w:rsidR="00454A29" w:rsidRDefault="00454A29"/>
        </w:tc>
        <w:tc>
          <w:tcPr>
            <w:tcW w:w="2204" w:type="dxa"/>
            <w:vMerge/>
          </w:tcPr>
          <w:p w14:paraId="3260CC14" w14:textId="77777777" w:rsidR="00454A29" w:rsidRDefault="00454A29"/>
        </w:tc>
        <w:tc>
          <w:tcPr>
            <w:tcW w:w="1417" w:type="dxa"/>
            <w:vMerge/>
          </w:tcPr>
          <w:p w14:paraId="4681ECCA" w14:textId="77777777" w:rsidR="00454A29" w:rsidRDefault="00454A29"/>
        </w:tc>
        <w:tc>
          <w:tcPr>
            <w:tcW w:w="2324" w:type="dxa"/>
            <w:vMerge/>
          </w:tcPr>
          <w:p w14:paraId="0165CCD7" w14:textId="77777777" w:rsidR="00454A29" w:rsidRDefault="00454A29"/>
        </w:tc>
        <w:tc>
          <w:tcPr>
            <w:tcW w:w="1701" w:type="dxa"/>
            <w:vAlign w:val="center"/>
          </w:tcPr>
          <w:p w14:paraId="39700436" w14:textId="77777777" w:rsidR="00454A29" w:rsidRDefault="00454A29">
            <w:pPr>
              <w:pStyle w:val="ConsPlusNormal"/>
              <w:jc w:val="center"/>
            </w:pPr>
            <w:r>
              <w:t>239 793,58</w:t>
            </w:r>
          </w:p>
        </w:tc>
        <w:tc>
          <w:tcPr>
            <w:tcW w:w="1814" w:type="dxa"/>
            <w:vAlign w:val="center"/>
          </w:tcPr>
          <w:p w14:paraId="195E56A0" w14:textId="77777777" w:rsidR="00454A29" w:rsidRDefault="00454A29">
            <w:pPr>
              <w:pStyle w:val="ConsPlusNormal"/>
              <w:jc w:val="center"/>
            </w:pPr>
            <w:r>
              <w:t>239 793,58</w:t>
            </w:r>
          </w:p>
        </w:tc>
        <w:tc>
          <w:tcPr>
            <w:tcW w:w="1701" w:type="dxa"/>
            <w:vAlign w:val="center"/>
          </w:tcPr>
          <w:p w14:paraId="532DF03F" w14:textId="77777777" w:rsidR="00454A29" w:rsidRDefault="00454A29">
            <w:pPr>
              <w:pStyle w:val="ConsPlusNormal"/>
            </w:pPr>
          </w:p>
        </w:tc>
        <w:tc>
          <w:tcPr>
            <w:tcW w:w="1701" w:type="dxa"/>
            <w:vAlign w:val="center"/>
          </w:tcPr>
          <w:p w14:paraId="24667C9A" w14:textId="77777777" w:rsidR="00454A29" w:rsidRDefault="00454A29">
            <w:pPr>
              <w:pStyle w:val="ConsPlusNormal"/>
            </w:pPr>
          </w:p>
        </w:tc>
        <w:tc>
          <w:tcPr>
            <w:tcW w:w="1814" w:type="dxa"/>
            <w:vAlign w:val="center"/>
          </w:tcPr>
          <w:p w14:paraId="0AC6E003" w14:textId="77777777" w:rsidR="00454A29" w:rsidRDefault="00454A29">
            <w:pPr>
              <w:pStyle w:val="ConsPlusNormal"/>
            </w:pPr>
          </w:p>
        </w:tc>
      </w:tr>
      <w:tr w:rsidR="00454A29" w14:paraId="441FB761" w14:textId="77777777">
        <w:tc>
          <w:tcPr>
            <w:tcW w:w="567" w:type="dxa"/>
            <w:vMerge/>
          </w:tcPr>
          <w:p w14:paraId="4DD0C64D" w14:textId="77777777" w:rsidR="00454A29" w:rsidRDefault="00454A29"/>
        </w:tc>
        <w:tc>
          <w:tcPr>
            <w:tcW w:w="3345" w:type="dxa"/>
            <w:vMerge/>
          </w:tcPr>
          <w:p w14:paraId="5D545EC6" w14:textId="77777777" w:rsidR="00454A29" w:rsidRDefault="00454A29"/>
        </w:tc>
        <w:tc>
          <w:tcPr>
            <w:tcW w:w="1701" w:type="dxa"/>
            <w:vAlign w:val="center"/>
          </w:tcPr>
          <w:p w14:paraId="08C4B3DD" w14:textId="77777777" w:rsidR="00454A29" w:rsidRDefault="00454A29">
            <w:pPr>
              <w:pStyle w:val="ConsPlusNormal"/>
              <w:jc w:val="center"/>
            </w:pPr>
            <w:r>
              <w:t>2021</w:t>
            </w:r>
          </w:p>
        </w:tc>
        <w:tc>
          <w:tcPr>
            <w:tcW w:w="1417" w:type="dxa"/>
            <w:vMerge/>
          </w:tcPr>
          <w:p w14:paraId="7D34E845" w14:textId="77777777" w:rsidR="00454A29" w:rsidRDefault="00454A29"/>
        </w:tc>
        <w:tc>
          <w:tcPr>
            <w:tcW w:w="2204" w:type="dxa"/>
            <w:vMerge/>
          </w:tcPr>
          <w:p w14:paraId="71BF87BD" w14:textId="77777777" w:rsidR="00454A29" w:rsidRDefault="00454A29"/>
        </w:tc>
        <w:tc>
          <w:tcPr>
            <w:tcW w:w="1417" w:type="dxa"/>
            <w:vMerge/>
          </w:tcPr>
          <w:p w14:paraId="5BC7546C" w14:textId="77777777" w:rsidR="00454A29" w:rsidRDefault="00454A29"/>
        </w:tc>
        <w:tc>
          <w:tcPr>
            <w:tcW w:w="2324" w:type="dxa"/>
            <w:vMerge/>
          </w:tcPr>
          <w:p w14:paraId="08FE8955" w14:textId="77777777" w:rsidR="00454A29" w:rsidRDefault="00454A29"/>
        </w:tc>
        <w:tc>
          <w:tcPr>
            <w:tcW w:w="1701" w:type="dxa"/>
            <w:vAlign w:val="center"/>
          </w:tcPr>
          <w:p w14:paraId="27E72A0B" w14:textId="77777777" w:rsidR="00454A29" w:rsidRDefault="00454A29">
            <w:pPr>
              <w:pStyle w:val="ConsPlusNormal"/>
            </w:pPr>
          </w:p>
        </w:tc>
        <w:tc>
          <w:tcPr>
            <w:tcW w:w="1814" w:type="dxa"/>
            <w:vAlign w:val="center"/>
          </w:tcPr>
          <w:p w14:paraId="6A44A942" w14:textId="77777777" w:rsidR="00454A29" w:rsidRDefault="00454A29">
            <w:pPr>
              <w:pStyle w:val="ConsPlusNormal"/>
            </w:pPr>
          </w:p>
        </w:tc>
        <w:tc>
          <w:tcPr>
            <w:tcW w:w="1701" w:type="dxa"/>
            <w:vAlign w:val="center"/>
          </w:tcPr>
          <w:p w14:paraId="671E2AD5" w14:textId="77777777" w:rsidR="00454A29" w:rsidRDefault="00454A29">
            <w:pPr>
              <w:pStyle w:val="ConsPlusNormal"/>
            </w:pPr>
          </w:p>
        </w:tc>
        <w:tc>
          <w:tcPr>
            <w:tcW w:w="1701" w:type="dxa"/>
            <w:vAlign w:val="center"/>
          </w:tcPr>
          <w:p w14:paraId="0B5E0FC3" w14:textId="77777777" w:rsidR="00454A29" w:rsidRDefault="00454A29">
            <w:pPr>
              <w:pStyle w:val="ConsPlusNormal"/>
            </w:pPr>
          </w:p>
        </w:tc>
        <w:tc>
          <w:tcPr>
            <w:tcW w:w="1814" w:type="dxa"/>
            <w:vAlign w:val="center"/>
          </w:tcPr>
          <w:p w14:paraId="328F7246" w14:textId="77777777" w:rsidR="00454A29" w:rsidRDefault="00454A29">
            <w:pPr>
              <w:pStyle w:val="ConsPlusNormal"/>
            </w:pPr>
          </w:p>
        </w:tc>
      </w:tr>
      <w:tr w:rsidR="00454A29" w14:paraId="620CDEF8" w14:textId="77777777">
        <w:tc>
          <w:tcPr>
            <w:tcW w:w="567" w:type="dxa"/>
            <w:vMerge/>
          </w:tcPr>
          <w:p w14:paraId="0FCAD6D0" w14:textId="77777777" w:rsidR="00454A29" w:rsidRDefault="00454A29"/>
        </w:tc>
        <w:tc>
          <w:tcPr>
            <w:tcW w:w="3345" w:type="dxa"/>
            <w:vMerge/>
          </w:tcPr>
          <w:p w14:paraId="739FA37B" w14:textId="77777777" w:rsidR="00454A29" w:rsidRDefault="00454A29"/>
        </w:tc>
        <w:tc>
          <w:tcPr>
            <w:tcW w:w="1701" w:type="dxa"/>
            <w:vAlign w:val="center"/>
          </w:tcPr>
          <w:p w14:paraId="4E4F8F2F" w14:textId="77777777" w:rsidR="00454A29" w:rsidRDefault="00454A29">
            <w:pPr>
              <w:pStyle w:val="ConsPlusNormal"/>
              <w:jc w:val="center"/>
            </w:pPr>
            <w:r>
              <w:t>2022</w:t>
            </w:r>
          </w:p>
        </w:tc>
        <w:tc>
          <w:tcPr>
            <w:tcW w:w="1417" w:type="dxa"/>
            <w:vMerge/>
          </w:tcPr>
          <w:p w14:paraId="5D34CE52" w14:textId="77777777" w:rsidR="00454A29" w:rsidRDefault="00454A29"/>
        </w:tc>
        <w:tc>
          <w:tcPr>
            <w:tcW w:w="2204" w:type="dxa"/>
            <w:vMerge/>
          </w:tcPr>
          <w:p w14:paraId="4DDC0E3C" w14:textId="77777777" w:rsidR="00454A29" w:rsidRDefault="00454A29"/>
        </w:tc>
        <w:tc>
          <w:tcPr>
            <w:tcW w:w="1417" w:type="dxa"/>
            <w:vMerge/>
          </w:tcPr>
          <w:p w14:paraId="0E1AE399" w14:textId="77777777" w:rsidR="00454A29" w:rsidRDefault="00454A29"/>
        </w:tc>
        <w:tc>
          <w:tcPr>
            <w:tcW w:w="2324" w:type="dxa"/>
            <w:vMerge/>
          </w:tcPr>
          <w:p w14:paraId="389A2938" w14:textId="77777777" w:rsidR="00454A29" w:rsidRDefault="00454A29"/>
        </w:tc>
        <w:tc>
          <w:tcPr>
            <w:tcW w:w="1701" w:type="dxa"/>
            <w:vAlign w:val="center"/>
          </w:tcPr>
          <w:p w14:paraId="0D2C0B82" w14:textId="77777777" w:rsidR="00454A29" w:rsidRDefault="00454A29">
            <w:pPr>
              <w:pStyle w:val="ConsPlusNormal"/>
            </w:pPr>
          </w:p>
        </w:tc>
        <w:tc>
          <w:tcPr>
            <w:tcW w:w="1814" w:type="dxa"/>
            <w:vAlign w:val="center"/>
          </w:tcPr>
          <w:p w14:paraId="6DC23C9C" w14:textId="77777777" w:rsidR="00454A29" w:rsidRDefault="00454A29">
            <w:pPr>
              <w:pStyle w:val="ConsPlusNormal"/>
            </w:pPr>
          </w:p>
        </w:tc>
        <w:tc>
          <w:tcPr>
            <w:tcW w:w="1701" w:type="dxa"/>
            <w:vAlign w:val="center"/>
          </w:tcPr>
          <w:p w14:paraId="4F9C2A53" w14:textId="77777777" w:rsidR="00454A29" w:rsidRDefault="00454A29">
            <w:pPr>
              <w:pStyle w:val="ConsPlusNormal"/>
            </w:pPr>
          </w:p>
        </w:tc>
        <w:tc>
          <w:tcPr>
            <w:tcW w:w="1701" w:type="dxa"/>
            <w:vAlign w:val="center"/>
          </w:tcPr>
          <w:p w14:paraId="3510A385" w14:textId="77777777" w:rsidR="00454A29" w:rsidRDefault="00454A29">
            <w:pPr>
              <w:pStyle w:val="ConsPlusNormal"/>
            </w:pPr>
          </w:p>
        </w:tc>
        <w:tc>
          <w:tcPr>
            <w:tcW w:w="1814" w:type="dxa"/>
            <w:vAlign w:val="center"/>
          </w:tcPr>
          <w:p w14:paraId="5A5DF856" w14:textId="77777777" w:rsidR="00454A29" w:rsidRDefault="00454A29">
            <w:pPr>
              <w:pStyle w:val="ConsPlusNormal"/>
            </w:pPr>
          </w:p>
        </w:tc>
      </w:tr>
      <w:tr w:rsidR="00454A29" w14:paraId="7A246021" w14:textId="77777777">
        <w:tc>
          <w:tcPr>
            <w:tcW w:w="567" w:type="dxa"/>
            <w:vMerge/>
          </w:tcPr>
          <w:p w14:paraId="22D2C73B" w14:textId="77777777" w:rsidR="00454A29" w:rsidRDefault="00454A29"/>
        </w:tc>
        <w:tc>
          <w:tcPr>
            <w:tcW w:w="3345" w:type="dxa"/>
            <w:vMerge/>
          </w:tcPr>
          <w:p w14:paraId="0B31F4EF" w14:textId="77777777" w:rsidR="00454A29" w:rsidRDefault="00454A29"/>
        </w:tc>
        <w:tc>
          <w:tcPr>
            <w:tcW w:w="1701" w:type="dxa"/>
            <w:vAlign w:val="center"/>
          </w:tcPr>
          <w:p w14:paraId="168E27C7" w14:textId="77777777" w:rsidR="00454A29" w:rsidRDefault="00454A29">
            <w:pPr>
              <w:pStyle w:val="ConsPlusNormal"/>
              <w:jc w:val="center"/>
            </w:pPr>
            <w:r>
              <w:t>2023</w:t>
            </w:r>
          </w:p>
        </w:tc>
        <w:tc>
          <w:tcPr>
            <w:tcW w:w="1417" w:type="dxa"/>
            <w:vMerge/>
          </w:tcPr>
          <w:p w14:paraId="6698C48C" w14:textId="77777777" w:rsidR="00454A29" w:rsidRDefault="00454A29"/>
        </w:tc>
        <w:tc>
          <w:tcPr>
            <w:tcW w:w="2204" w:type="dxa"/>
            <w:vMerge/>
          </w:tcPr>
          <w:p w14:paraId="0DB9251A" w14:textId="77777777" w:rsidR="00454A29" w:rsidRDefault="00454A29"/>
        </w:tc>
        <w:tc>
          <w:tcPr>
            <w:tcW w:w="1417" w:type="dxa"/>
            <w:vMerge/>
          </w:tcPr>
          <w:p w14:paraId="12D0FBB0" w14:textId="77777777" w:rsidR="00454A29" w:rsidRDefault="00454A29"/>
        </w:tc>
        <w:tc>
          <w:tcPr>
            <w:tcW w:w="2324" w:type="dxa"/>
            <w:vMerge/>
          </w:tcPr>
          <w:p w14:paraId="76544CFA" w14:textId="77777777" w:rsidR="00454A29" w:rsidRDefault="00454A29"/>
        </w:tc>
        <w:tc>
          <w:tcPr>
            <w:tcW w:w="1701" w:type="dxa"/>
            <w:vAlign w:val="center"/>
          </w:tcPr>
          <w:p w14:paraId="1B19FBF3" w14:textId="77777777" w:rsidR="00454A29" w:rsidRDefault="00454A29">
            <w:pPr>
              <w:pStyle w:val="ConsPlusNormal"/>
            </w:pPr>
          </w:p>
        </w:tc>
        <w:tc>
          <w:tcPr>
            <w:tcW w:w="1814" w:type="dxa"/>
            <w:vAlign w:val="center"/>
          </w:tcPr>
          <w:p w14:paraId="4EE346C2" w14:textId="77777777" w:rsidR="00454A29" w:rsidRDefault="00454A29">
            <w:pPr>
              <w:pStyle w:val="ConsPlusNormal"/>
            </w:pPr>
          </w:p>
        </w:tc>
        <w:tc>
          <w:tcPr>
            <w:tcW w:w="1701" w:type="dxa"/>
            <w:vAlign w:val="center"/>
          </w:tcPr>
          <w:p w14:paraId="001E6423" w14:textId="77777777" w:rsidR="00454A29" w:rsidRDefault="00454A29">
            <w:pPr>
              <w:pStyle w:val="ConsPlusNormal"/>
            </w:pPr>
          </w:p>
        </w:tc>
        <w:tc>
          <w:tcPr>
            <w:tcW w:w="1701" w:type="dxa"/>
            <w:vAlign w:val="center"/>
          </w:tcPr>
          <w:p w14:paraId="28F43628" w14:textId="77777777" w:rsidR="00454A29" w:rsidRDefault="00454A29">
            <w:pPr>
              <w:pStyle w:val="ConsPlusNormal"/>
            </w:pPr>
          </w:p>
        </w:tc>
        <w:tc>
          <w:tcPr>
            <w:tcW w:w="1814" w:type="dxa"/>
            <w:vAlign w:val="center"/>
          </w:tcPr>
          <w:p w14:paraId="3BCE7327" w14:textId="77777777" w:rsidR="00454A29" w:rsidRDefault="00454A29">
            <w:pPr>
              <w:pStyle w:val="ConsPlusNormal"/>
            </w:pPr>
          </w:p>
        </w:tc>
      </w:tr>
      <w:tr w:rsidR="00454A29" w14:paraId="5DFFF592" w14:textId="77777777">
        <w:tc>
          <w:tcPr>
            <w:tcW w:w="567" w:type="dxa"/>
            <w:vMerge/>
          </w:tcPr>
          <w:p w14:paraId="6088BE55" w14:textId="77777777" w:rsidR="00454A29" w:rsidRDefault="00454A29"/>
        </w:tc>
        <w:tc>
          <w:tcPr>
            <w:tcW w:w="3345" w:type="dxa"/>
            <w:vMerge/>
          </w:tcPr>
          <w:p w14:paraId="78FAB5E4" w14:textId="77777777" w:rsidR="00454A29" w:rsidRDefault="00454A29"/>
        </w:tc>
        <w:tc>
          <w:tcPr>
            <w:tcW w:w="1701" w:type="dxa"/>
            <w:vAlign w:val="center"/>
          </w:tcPr>
          <w:p w14:paraId="4520E510" w14:textId="77777777" w:rsidR="00454A29" w:rsidRDefault="00454A29">
            <w:pPr>
              <w:pStyle w:val="ConsPlusNormal"/>
              <w:jc w:val="center"/>
            </w:pPr>
            <w:r>
              <w:t>2024</w:t>
            </w:r>
          </w:p>
        </w:tc>
        <w:tc>
          <w:tcPr>
            <w:tcW w:w="1417" w:type="dxa"/>
            <w:vMerge/>
          </w:tcPr>
          <w:p w14:paraId="1A006CC2" w14:textId="77777777" w:rsidR="00454A29" w:rsidRDefault="00454A29"/>
        </w:tc>
        <w:tc>
          <w:tcPr>
            <w:tcW w:w="2204" w:type="dxa"/>
            <w:vMerge/>
          </w:tcPr>
          <w:p w14:paraId="1D590F11" w14:textId="77777777" w:rsidR="00454A29" w:rsidRDefault="00454A29"/>
        </w:tc>
        <w:tc>
          <w:tcPr>
            <w:tcW w:w="1417" w:type="dxa"/>
            <w:vMerge/>
          </w:tcPr>
          <w:p w14:paraId="7CA3C8AD" w14:textId="77777777" w:rsidR="00454A29" w:rsidRDefault="00454A29"/>
        </w:tc>
        <w:tc>
          <w:tcPr>
            <w:tcW w:w="2324" w:type="dxa"/>
            <w:vMerge/>
          </w:tcPr>
          <w:p w14:paraId="32569C52" w14:textId="77777777" w:rsidR="00454A29" w:rsidRDefault="00454A29"/>
        </w:tc>
        <w:tc>
          <w:tcPr>
            <w:tcW w:w="1701" w:type="dxa"/>
            <w:vAlign w:val="center"/>
          </w:tcPr>
          <w:p w14:paraId="3FB7B8DA" w14:textId="77777777" w:rsidR="00454A29" w:rsidRDefault="00454A29">
            <w:pPr>
              <w:pStyle w:val="ConsPlusNormal"/>
            </w:pPr>
          </w:p>
        </w:tc>
        <w:tc>
          <w:tcPr>
            <w:tcW w:w="1814" w:type="dxa"/>
            <w:vAlign w:val="center"/>
          </w:tcPr>
          <w:p w14:paraId="063B4C7B" w14:textId="77777777" w:rsidR="00454A29" w:rsidRDefault="00454A29">
            <w:pPr>
              <w:pStyle w:val="ConsPlusNormal"/>
            </w:pPr>
          </w:p>
        </w:tc>
        <w:tc>
          <w:tcPr>
            <w:tcW w:w="1701" w:type="dxa"/>
            <w:vAlign w:val="center"/>
          </w:tcPr>
          <w:p w14:paraId="2BF1B086" w14:textId="77777777" w:rsidR="00454A29" w:rsidRDefault="00454A29">
            <w:pPr>
              <w:pStyle w:val="ConsPlusNormal"/>
            </w:pPr>
          </w:p>
        </w:tc>
        <w:tc>
          <w:tcPr>
            <w:tcW w:w="1701" w:type="dxa"/>
            <w:vAlign w:val="center"/>
          </w:tcPr>
          <w:p w14:paraId="720DD41A" w14:textId="77777777" w:rsidR="00454A29" w:rsidRDefault="00454A29">
            <w:pPr>
              <w:pStyle w:val="ConsPlusNormal"/>
            </w:pPr>
          </w:p>
        </w:tc>
        <w:tc>
          <w:tcPr>
            <w:tcW w:w="1814" w:type="dxa"/>
            <w:vAlign w:val="center"/>
          </w:tcPr>
          <w:p w14:paraId="178ED7F8" w14:textId="77777777" w:rsidR="00454A29" w:rsidRDefault="00454A29">
            <w:pPr>
              <w:pStyle w:val="ConsPlusNormal"/>
            </w:pPr>
          </w:p>
        </w:tc>
      </w:tr>
      <w:tr w:rsidR="00454A29" w14:paraId="610852E0" w14:textId="77777777">
        <w:tc>
          <w:tcPr>
            <w:tcW w:w="567" w:type="dxa"/>
            <w:vMerge/>
          </w:tcPr>
          <w:p w14:paraId="3F7CCFE2" w14:textId="77777777" w:rsidR="00454A29" w:rsidRDefault="00454A29"/>
        </w:tc>
        <w:tc>
          <w:tcPr>
            <w:tcW w:w="3345" w:type="dxa"/>
            <w:vMerge/>
          </w:tcPr>
          <w:p w14:paraId="323FF5E2" w14:textId="77777777" w:rsidR="00454A29" w:rsidRDefault="00454A29"/>
        </w:tc>
        <w:tc>
          <w:tcPr>
            <w:tcW w:w="1701" w:type="dxa"/>
            <w:vAlign w:val="center"/>
          </w:tcPr>
          <w:p w14:paraId="5AC89E57" w14:textId="77777777" w:rsidR="00454A29" w:rsidRDefault="00454A29">
            <w:pPr>
              <w:pStyle w:val="ConsPlusNormal"/>
              <w:jc w:val="center"/>
            </w:pPr>
            <w:r>
              <w:t>2025</w:t>
            </w:r>
          </w:p>
        </w:tc>
        <w:tc>
          <w:tcPr>
            <w:tcW w:w="1417" w:type="dxa"/>
            <w:vMerge/>
          </w:tcPr>
          <w:p w14:paraId="5D6F5522" w14:textId="77777777" w:rsidR="00454A29" w:rsidRDefault="00454A29"/>
        </w:tc>
        <w:tc>
          <w:tcPr>
            <w:tcW w:w="2204" w:type="dxa"/>
            <w:vMerge/>
          </w:tcPr>
          <w:p w14:paraId="1321D7EA" w14:textId="77777777" w:rsidR="00454A29" w:rsidRDefault="00454A29"/>
        </w:tc>
        <w:tc>
          <w:tcPr>
            <w:tcW w:w="1417" w:type="dxa"/>
            <w:vMerge/>
          </w:tcPr>
          <w:p w14:paraId="1464E854" w14:textId="77777777" w:rsidR="00454A29" w:rsidRDefault="00454A29"/>
        </w:tc>
        <w:tc>
          <w:tcPr>
            <w:tcW w:w="2324" w:type="dxa"/>
            <w:vMerge/>
          </w:tcPr>
          <w:p w14:paraId="7E319A74" w14:textId="77777777" w:rsidR="00454A29" w:rsidRDefault="00454A29"/>
        </w:tc>
        <w:tc>
          <w:tcPr>
            <w:tcW w:w="1701" w:type="dxa"/>
            <w:vAlign w:val="center"/>
          </w:tcPr>
          <w:p w14:paraId="4FFF6055" w14:textId="77777777" w:rsidR="00454A29" w:rsidRDefault="00454A29">
            <w:pPr>
              <w:pStyle w:val="ConsPlusNormal"/>
            </w:pPr>
          </w:p>
        </w:tc>
        <w:tc>
          <w:tcPr>
            <w:tcW w:w="1814" w:type="dxa"/>
            <w:vAlign w:val="center"/>
          </w:tcPr>
          <w:p w14:paraId="131F7107" w14:textId="77777777" w:rsidR="00454A29" w:rsidRDefault="00454A29">
            <w:pPr>
              <w:pStyle w:val="ConsPlusNormal"/>
            </w:pPr>
          </w:p>
        </w:tc>
        <w:tc>
          <w:tcPr>
            <w:tcW w:w="1701" w:type="dxa"/>
            <w:vAlign w:val="center"/>
          </w:tcPr>
          <w:p w14:paraId="383FCC58" w14:textId="77777777" w:rsidR="00454A29" w:rsidRDefault="00454A29">
            <w:pPr>
              <w:pStyle w:val="ConsPlusNormal"/>
            </w:pPr>
          </w:p>
        </w:tc>
        <w:tc>
          <w:tcPr>
            <w:tcW w:w="1701" w:type="dxa"/>
            <w:vAlign w:val="center"/>
          </w:tcPr>
          <w:p w14:paraId="028F2BA8" w14:textId="77777777" w:rsidR="00454A29" w:rsidRDefault="00454A29">
            <w:pPr>
              <w:pStyle w:val="ConsPlusNormal"/>
            </w:pPr>
          </w:p>
        </w:tc>
        <w:tc>
          <w:tcPr>
            <w:tcW w:w="1814" w:type="dxa"/>
            <w:vAlign w:val="center"/>
          </w:tcPr>
          <w:p w14:paraId="498A7DC9" w14:textId="77777777" w:rsidR="00454A29" w:rsidRDefault="00454A29">
            <w:pPr>
              <w:pStyle w:val="ConsPlusNormal"/>
            </w:pPr>
          </w:p>
        </w:tc>
      </w:tr>
      <w:tr w:rsidR="00454A29" w14:paraId="0A15565F" w14:textId="77777777">
        <w:tc>
          <w:tcPr>
            <w:tcW w:w="567" w:type="dxa"/>
            <w:vMerge/>
          </w:tcPr>
          <w:p w14:paraId="17603777" w14:textId="77777777" w:rsidR="00454A29" w:rsidRDefault="00454A29"/>
        </w:tc>
        <w:tc>
          <w:tcPr>
            <w:tcW w:w="3345" w:type="dxa"/>
            <w:vMerge/>
          </w:tcPr>
          <w:p w14:paraId="613C8CC5" w14:textId="77777777" w:rsidR="00454A29" w:rsidRDefault="00454A29"/>
        </w:tc>
        <w:tc>
          <w:tcPr>
            <w:tcW w:w="1701" w:type="dxa"/>
            <w:vAlign w:val="center"/>
          </w:tcPr>
          <w:p w14:paraId="6AF158C6" w14:textId="77777777" w:rsidR="00454A29" w:rsidRDefault="00454A29">
            <w:pPr>
              <w:pStyle w:val="ConsPlusNormal"/>
              <w:jc w:val="center"/>
            </w:pPr>
            <w:r>
              <w:t>2026</w:t>
            </w:r>
          </w:p>
        </w:tc>
        <w:tc>
          <w:tcPr>
            <w:tcW w:w="1417" w:type="dxa"/>
            <w:vMerge/>
          </w:tcPr>
          <w:p w14:paraId="47E7A3C2" w14:textId="77777777" w:rsidR="00454A29" w:rsidRDefault="00454A29"/>
        </w:tc>
        <w:tc>
          <w:tcPr>
            <w:tcW w:w="2204" w:type="dxa"/>
            <w:vMerge/>
          </w:tcPr>
          <w:p w14:paraId="1C821ED3" w14:textId="77777777" w:rsidR="00454A29" w:rsidRDefault="00454A29"/>
        </w:tc>
        <w:tc>
          <w:tcPr>
            <w:tcW w:w="1417" w:type="dxa"/>
            <w:vMerge/>
          </w:tcPr>
          <w:p w14:paraId="46E533DB" w14:textId="77777777" w:rsidR="00454A29" w:rsidRDefault="00454A29"/>
        </w:tc>
        <w:tc>
          <w:tcPr>
            <w:tcW w:w="2324" w:type="dxa"/>
            <w:vMerge/>
          </w:tcPr>
          <w:p w14:paraId="62034308" w14:textId="77777777" w:rsidR="00454A29" w:rsidRDefault="00454A29"/>
        </w:tc>
        <w:tc>
          <w:tcPr>
            <w:tcW w:w="1701" w:type="dxa"/>
            <w:vAlign w:val="center"/>
          </w:tcPr>
          <w:p w14:paraId="322F6804" w14:textId="77777777" w:rsidR="00454A29" w:rsidRDefault="00454A29">
            <w:pPr>
              <w:pStyle w:val="ConsPlusNormal"/>
            </w:pPr>
          </w:p>
        </w:tc>
        <w:tc>
          <w:tcPr>
            <w:tcW w:w="1814" w:type="dxa"/>
            <w:vAlign w:val="center"/>
          </w:tcPr>
          <w:p w14:paraId="5FB640AF" w14:textId="77777777" w:rsidR="00454A29" w:rsidRDefault="00454A29">
            <w:pPr>
              <w:pStyle w:val="ConsPlusNormal"/>
            </w:pPr>
          </w:p>
        </w:tc>
        <w:tc>
          <w:tcPr>
            <w:tcW w:w="1701" w:type="dxa"/>
            <w:vAlign w:val="center"/>
          </w:tcPr>
          <w:p w14:paraId="6DDC749B" w14:textId="77777777" w:rsidR="00454A29" w:rsidRDefault="00454A29">
            <w:pPr>
              <w:pStyle w:val="ConsPlusNormal"/>
            </w:pPr>
          </w:p>
        </w:tc>
        <w:tc>
          <w:tcPr>
            <w:tcW w:w="1701" w:type="dxa"/>
            <w:vAlign w:val="center"/>
          </w:tcPr>
          <w:p w14:paraId="3D7241E4" w14:textId="77777777" w:rsidR="00454A29" w:rsidRDefault="00454A29">
            <w:pPr>
              <w:pStyle w:val="ConsPlusNormal"/>
            </w:pPr>
          </w:p>
        </w:tc>
        <w:tc>
          <w:tcPr>
            <w:tcW w:w="1814" w:type="dxa"/>
            <w:vAlign w:val="center"/>
          </w:tcPr>
          <w:p w14:paraId="63568ABD" w14:textId="77777777" w:rsidR="00454A29" w:rsidRDefault="00454A29">
            <w:pPr>
              <w:pStyle w:val="ConsPlusNormal"/>
            </w:pPr>
          </w:p>
        </w:tc>
      </w:tr>
      <w:tr w:rsidR="00454A29" w14:paraId="5AF6ED21" w14:textId="77777777">
        <w:tc>
          <w:tcPr>
            <w:tcW w:w="567" w:type="dxa"/>
            <w:vMerge w:val="restart"/>
            <w:vAlign w:val="center"/>
          </w:tcPr>
          <w:p w14:paraId="6F9F2897" w14:textId="77777777" w:rsidR="00454A29" w:rsidRDefault="00454A29">
            <w:pPr>
              <w:pStyle w:val="ConsPlusNormal"/>
              <w:jc w:val="center"/>
            </w:pPr>
            <w:r>
              <w:lastRenderedPageBreak/>
              <w:t>68</w:t>
            </w:r>
          </w:p>
        </w:tc>
        <w:tc>
          <w:tcPr>
            <w:tcW w:w="3345" w:type="dxa"/>
            <w:vMerge w:val="restart"/>
            <w:vAlign w:val="center"/>
          </w:tcPr>
          <w:p w14:paraId="47E51DE5" w14:textId="77777777" w:rsidR="00454A29" w:rsidRDefault="00454A29">
            <w:pPr>
              <w:pStyle w:val="ConsPlusNormal"/>
              <w:jc w:val="center"/>
            </w:pPr>
            <w:r>
              <w:t>Школа на 450 учащихся в п. Нижний Бестях</w:t>
            </w:r>
          </w:p>
        </w:tc>
        <w:tc>
          <w:tcPr>
            <w:tcW w:w="1701" w:type="dxa"/>
            <w:vAlign w:val="center"/>
          </w:tcPr>
          <w:p w14:paraId="3BB8A98B" w14:textId="77777777" w:rsidR="00454A29" w:rsidRDefault="00454A29">
            <w:pPr>
              <w:pStyle w:val="ConsPlusNormal"/>
              <w:jc w:val="center"/>
            </w:pPr>
            <w:r>
              <w:t>2020 - 2026 годы - всего</w:t>
            </w:r>
          </w:p>
        </w:tc>
        <w:tc>
          <w:tcPr>
            <w:tcW w:w="1417" w:type="dxa"/>
            <w:vMerge w:val="restart"/>
            <w:vAlign w:val="center"/>
          </w:tcPr>
          <w:p w14:paraId="364CFAAF" w14:textId="77777777" w:rsidR="00454A29" w:rsidRDefault="00454A29">
            <w:pPr>
              <w:pStyle w:val="ConsPlusNormal"/>
              <w:jc w:val="center"/>
            </w:pPr>
            <w:r>
              <w:t>867 173,65</w:t>
            </w:r>
          </w:p>
        </w:tc>
        <w:tc>
          <w:tcPr>
            <w:tcW w:w="2204" w:type="dxa"/>
            <w:vMerge w:val="restart"/>
            <w:vAlign w:val="center"/>
          </w:tcPr>
          <w:p w14:paraId="4239E676" w14:textId="77777777" w:rsidR="00454A29" w:rsidRDefault="00454A29">
            <w:pPr>
              <w:pStyle w:val="ConsPlusNormal"/>
            </w:pPr>
          </w:p>
        </w:tc>
        <w:tc>
          <w:tcPr>
            <w:tcW w:w="1417" w:type="dxa"/>
            <w:vMerge w:val="restart"/>
            <w:vAlign w:val="center"/>
          </w:tcPr>
          <w:p w14:paraId="424B235F" w14:textId="77777777" w:rsidR="00454A29" w:rsidRDefault="00454A29">
            <w:pPr>
              <w:pStyle w:val="ConsPlusNormal"/>
              <w:jc w:val="center"/>
            </w:pPr>
            <w:r>
              <w:t>500</w:t>
            </w:r>
          </w:p>
        </w:tc>
        <w:tc>
          <w:tcPr>
            <w:tcW w:w="2324" w:type="dxa"/>
            <w:vMerge w:val="restart"/>
            <w:vAlign w:val="center"/>
          </w:tcPr>
          <w:p w14:paraId="5798B99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913E983" w14:textId="77777777" w:rsidR="00454A29" w:rsidRDefault="00454A29">
            <w:pPr>
              <w:pStyle w:val="ConsPlusNormal"/>
              <w:jc w:val="center"/>
            </w:pPr>
            <w:r>
              <w:t>867 173,65</w:t>
            </w:r>
          </w:p>
        </w:tc>
        <w:tc>
          <w:tcPr>
            <w:tcW w:w="1814" w:type="dxa"/>
            <w:vAlign w:val="center"/>
          </w:tcPr>
          <w:p w14:paraId="2BF20768" w14:textId="77777777" w:rsidR="00454A29" w:rsidRDefault="00454A29">
            <w:pPr>
              <w:pStyle w:val="ConsPlusNormal"/>
              <w:jc w:val="center"/>
            </w:pPr>
            <w:r>
              <w:t>4 301,18</w:t>
            </w:r>
          </w:p>
        </w:tc>
        <w:tc>
          <w:tcPr>
            <w:tcW w:w="1701" w:type="dxa"/>
            <w:vAlign w:val="center"/>
          </w:tcPr>
          <w:p w14:paraId="7F12D8D3" w14:textId="77777777" w:rsidR="00454A29" w:rsidRDefault="00454A29">
            <w:pPr>
              <w:pStyle w:val="ConsPlusNormal"/>
              <w:jc w:val="center"/>
            </w:pPr>
            <w:r>
              <w:t>425 816,95</w:t>
            </w:r>
          </w:p>
        </w:tc>
        <w:tc>
          <w:tcPr>
            <w:tcW w:w="1701" w:type="dxa"/>
            <w:vAlign w:val="center"/>
          </w:tcPr>
          <w:p w14:paraId="111511C3" w14:textId="77777777" w:rsidR="00454A29" w:rsidRDefault="00454A29">
            <w:pPr>
              <w:pStyle w:val="ConsPlusNormal"/>
              <w:jc w:val="center"/>
            </w:pPr>
            <w:r>
              <w:t>-</w:t>
            </w:r>
          </w:p>
        </w:tc>
        <w:tc>
          <w:tcPr>
            <w:tcW w:w="1814" w:type="dxa"/>
            <w:vAlign w:val="center"/>
          </w:tcPr>
          <w:p w14:paraId="70572A19" w14:textId="77777777" w:rsidR="00454A29" w:rsidRDefault="00454A29">
            <w:pPr>
              <w:pStyle w:val="ConsPlusNormal"/>
              <w:jc w:val="center"/>
            </w:pPr>
            <w:r>
              <w:t>-</w:t>
            </w:r>
          </w:p>
        </w:tc>
      </w:tr>
      <w:tr w:rsidR="00454A29" w14:paraId="751F22B9" w14:textId="77777777">
        <w:tc>
          <w:tcPr>
            <w:tcW w:w="567" w:type="dxa"/>
            <w:vMerge/>
          </w:tcPr>
          <w:p w14:paraId="4DF3E221" w14:textId="77777777" w:rsidR="00454A29" w:rsidRDefault="00454A29"/>
        </w:tc>
        <w:tc>
          <w:tcPr>
            <w:tcW w:w="3345" w:type="dxa"/>
            <w:vMerge/>
          </w:tcPr>
          <w:p w14:paraId="2036EF58" w14:textId="77777777" w:rsidR="00454A29" w:rsidRDefault="00454A29"/>
        </w:tc>
        <w:tc>
          <w:tcPr>
            <w:tcW w:w="1701" w:type="dxa"/>
            <w:vAlign w:val="center"/>
          </w:tcPr>
          <w:p w14:paraId="7688D743" w14:textId="77777777" w:rsidR="00454A29" w:rsidRDefault="00454A29">
            <w:pPr>
              <w:pStyle w:val="ConsPlusNormal"/>
              <w:jc w:val="center"/>
            </w:pPr>
            <w:r>
              <w:t>2020</w:t>
            </w:r>
          </w:p>
        </w:tc>
        <w:tc>
          <w:tcPr>
            <w:tcW w:w="1417" w:type="dxa"/>
            <w:vMerge/>
          </w:tcPr>
          <w:p w14:paraId="7AB70C70" w14:textId="77777777" w:rsidR="00454A29" w:rsidRDefault="00454A29"/>
        </w:tc>
        <w:tc>
          <w:tcPr>
            <w:tcW w:w="2204" w:type="dxa"/>
            <w:vMerge/>
          </w:tcPr>
          <w:p w14:paraId="5B65227E" w14:textId="77777777" w:rsidR="00454A29" w:rsidRDefault="00454A29"/>
        </w:tc>
        <w:tc>
          <w:tcPr>
            <w:tcW w:w="1417" w:type="dxa"/>
            <w:vMerge/>
          </w:tcPr>
          <w:p w14:paraId="51E914B6" w14:textId="77777777" w:rsidR="00454A29" w:rsidRDefault="00454A29"/>
        </w:tc>
        <w:tc>
          <w:tcPr>
            <w:tcW w:w="2324" w:type="dxa"/>
            <w:vMerge/>
          </w:tcPr>
          <w:p w14:paraId="75CC7B42" w14:textId="77777777" w:rsidR="00454A29" w:rsidRDefault="00454A29"/>
        </w:tc>
        <w:tc>
          <w:tcPr>
            <w:tcW w:w="1701" w:type="dxa"/>
            <w:vAlign w:val="center"/>
          </w:tcPr>
          <w:p w14:paraId="40A17775" w14:textId="77777777" w:rsidR="00454A29" w:rsidRDefault="00454A29">
            <w:pPr>
              <w:pStyle w:val="ConsPlusNormal"/>
            </w:pPr>
          </w:p>
        </w:tc>
        <w:tc>
          <w:tcPr>
            <w:tcW w:w="1814" w:type="dxa"/>
            <w:vAlign w:val="center"/>
          </w:tcPr>
          <w:p w14:paraId="0D708D50" w14:textId="77777777" w:rsidR="00454A29" w:rsidRDefault="00454A29">
            <w:pPr>
              <w:pStyle w:val="ConsPlusNormal"/>
            </w:pPr>
          </w:p>
        </w:tc>
        <w:tc>
          <w:tcPr>
            <w:tcW w:w="1701" w:type="dxa"/>
            <w:vAlign w:val="center"/>
          </w:tcPr>
          <w:p w14:paraId="31E9E651" w14:textId="77777777" w:rsidR="00454A29" w:rsidRDefault="00454A29">
            <w:pPr>
              <w:pStyle w:val="ConsPlusNormal"/>
            </w:pPr>
          </w:p>
        </w:tc>
        <w:tc>
          <w:tcPr>
            <w:tcW w:w="1701" w:type="dxa"/>
            <w:vAlign w:val="center"/>
          </w:tcPr>
          <w:p w14:paraId="75358A5D" w14:textId="77777777" w:rsidR="00454A29" w:rsidRDefault="00454A29">
            <w:pPr>
              <w:pStyle w:val="ConsPlusNormal"/>
            </w:pPr>
          </w:p>
        </w:tc>
        <w:tc>
          <w:tcPr>
            <w:tcW w:w="1814" w:type="dxa"/>
            <w:vAlign w:val="center"/>
          </w:tcPr>
          <w:p w14:paraId="220A02EE" w14:textId="77777777" w:rsidR="00454A29" w:rsidRDefault="00454A29">
            <w:pPr>
              <w:pStyle w:val="ConsPlusNormal"/>
            </w:pPr>
          </w:p>
        </w:tc>
      </w:tr>
      <w:tr w:rsidR="00454A29" w14:paraId="3B3C3506" w14:textId="77777777">
        <w:tc>
          <w:tcPr>
            <w:tcW w:w="567" w:type="dxa"/>
            <w:vMerge/>
          </w:tcPr>
          <w:p w14:paraId="4684113D" w14:textId="77777777" w:rsidR="00454A29" w:rsidRDefault="00454A29"/>
        </w:tc>
        <w:tc>
          <w:tcPr>
            <w:tcW w:w="3345" w:type="dxa"/>
            <w:vMerge/>
          </w:tcPr>
          <w:p w14:paraId="539618B7" w14:textId="77777777" w:rsidR="00454A29" w:rsidRDefault="00454A29"/>
        </w:tc>
        <w:tc>
          <w:tcPr>
            <w:tcW w:w="1701" w:type="dxa"/>
            <w:vAlign w:val="center"/>
          </w:tcPr>
          <w:p w14:paraId="403F103A" w14:textId="77777777" w:rsidR="00454A29" w:rsidRDefault="00454A29">
            <w:pPr>
              <w:pStyle w:val="ConsPlusNormal"/>
              <w:jc w:val="center"/>
            </w:pPr>
            <w:r>
              <w:t>2021</w:t>
            </w:r>
          </w:p>
        </w:tc>
        <w:tc>
          <w:tcPr>
            <w:tcW w:w="1417" w:type="dxa"/>
            <w:vMerge/>
          </w:tcPr>
          <w:p w14:paraId="4E5E628D" w14:textId="77777777" w:rsidR="00454A29" w:rsidRDefault="00454A29"/>
        </w:tc>
        <w:tc>
          <w:tcPr>
            <w:tcW w:w="2204" w:type="dxa"/>
            <w:vMerge/>
          </w:tcPr>
          <w:p w14:paraId="15F7A121" w14:textId="77777777" w:rsidR="00454A29" w:rsidRDefault="00454A29"/>
        </w:tc>
        <w:tc>
          <w:tcPr>
            <w:tcW w:w="1417" w:type="dxa"/>
            <w:vMerge/>
          </w:tcPr>
          <w:p w14:paraId="57ED23A9" w14:textId="77777777" w:rsidR="00454A29" w:rsidRDefault="00454A29"/>
        </w:tc>
        <w:tc>
          <w:tcPr>
            <w:tcW w:w="2324" w:type="dxa"/>
            <w:vMerge/>
          </w:tcPr>
          <w:p w14:paraId="3F7DFED5" w14:textId="77777777" w:rsidR="00454A29" w:rsidRDefault="00454A29"/>
        </w:tc>
        <w:tc>
          <w:tcPr>
            <w:tcW w:w="1701" w:type="dxa"/>
            <w:vAlign w:val="center"/>
          </w:tcPr>
          <w:p w14:paraId="5FA6158E" w14:textId="77777777" w:rsidR="00454A29" w:rsidRDefault="00454A29">
            <w:pPr>
              <w:pStyle w:val="ConsPlusNormal"/>
            </w:pPr>
          </w:p>
        </w:tc>
        <w:tc>
          <w:tcPr>
            <w:tcW w:w="1814" w:type="dxa"/>
            <w:vAlign w:val="center"/>
          </w:tcPr>
          <w:p w14:paraId="0195E32C" w14:textId="77777777" w:rsidR="00454A29" w:rsidRDefault="00454A29">
            <w:pPr>
              <w:pStyle w:val="ConsPlusNormal"/>
            </w:pPr>
          </w:p>
        </w:tc>
        <w:tc>
          <w:tcPr>
            <w:tcW w:w="1701" w:type="dxa"/>
            <w:vAlign w:val="center"/>
          </w:tcPr>
          <w:p w14:paraId="6E38C8C0" w14:textId="77777777" w:rsidR="00454A29" w:rsidRDefault="00454A29">
            <w:pPr>
              <w:pStyle w:val="ConsPlusNormal"/>
            </w:pPr>
          </w:p>
        </w:tc>
        <w:tc>
          <w:tcPr>
            <w:tcW w:w="1701" w:type="dxa"/>
            <w:vAlign w:val="center"/>
          </w:tcPr>
          <w:p w14:paraId="137A6FAE" w14:textId="77777777" w:rsidR="00454A29" w:rsidRDefault="00454A29">
            <w:pPr>
              <w:pStyle w:val="ConsPlusNormal"/>
            </w:pPr>
          </w:p>
        </w:tc>
        <w:tc>
          <w:tcPr>
            <w:tcW w:w="1814" w:type="dxa"/>
            <w:vAlign w:val="center"/>
          </w:tcPr>
          <w:p w14:paraId="5B1B23E0" w14:textId="77777777" w:rsidR="00454A29" w:rsidRDefault="00454A29">
            <w:pPr>
              <w:pStyle w:val="ConsPlusNormal"/>
            </w:pPr>
          </w:p>
        </w:tc>
      </w:tr>
      <w:tr w:rsidR="00454A29" w14:paraId="477ED874" w14:textId="77777777">
        <w:tc>
          <w:tcPr>
            <w:tcW w:w="567" w:type="dxa"/>
            <w:vMerge/>
          </w:tcPr>
          <w:p w14:paraId="0FCAE932" w14:textId="77777777" w:rsidR="00454A29" w:rsidRDefault="00454A29"/>
        </w:tc>
        <w:tc>
          <w:tcPr>
            <w:tcW w:w="3345" w:type="dxa"/>
            <w:vMerge/>
          </w:tcPr>
          <w:p w14:paraId="7660D79C" w14:textId="77777777" w:rsidR="00454A29" w:rsidRDefault="00454A29"/>
        </w:tc>
        <w:tc>
          <w:tcPr>
            <w:tcW w:w="1701" w:type="dxa"/>
            <w:vAlign w:val="center"/>
          </w:tcPr>
          <w:p w14:paraId="7C3C8191" w14:textId="77777777" w:rsidR="00454A29" w:rsidRDefault="00454A29">
            <w:pPr>
              <w:pStyle w:val="ConsPlusNormal"/>
              <w:jc w:val="center"/>
            </w:pPr>
            <w:r>
              <w:t>2022</w:t>
            </w:r>
          </w:p>
        </w:tc>
        <w:tc>
          <w:tcPr>
            <w:tcW w:w="1417" w:type="dxa"/>
            <w:vMerge/>
          </w:tcPr>
          <w:p w14:paraId="3843884B" w14:textId="77777777" w:rsidR="00454A29" w:rsidRDefault="00454A29"/>
        </w:tc>
        <w:tc>
          <w:tcPr>
            <w:tcW w:w="2204" w:type="dxa"/>
            <w:vMerge/>
          </w:tcPr>
          <w:p w14:paraId="11D07F63" w14:textId="77777777" w:rsidR="00454A29" w:rsidRDefault="00454A29"/>
        </w:tc>
        <w:tc>
          <w:tcPr>
            <w:tcW w:w="1417" w:type="dxa"/>
            <w:vMerge/>
          </w:tcPr>
          <w:p w14:paraId="06B3C027" w14:textId="77777777" w:rsidR="00454A29" w:rsidRDefault="00454A29"/>
        </w:tc>
        <w:tc>
          <w:tcPr>
            <w:tcW w:w="2324" w:type="dxa"/>
            <w:vMerge/>
          </w:tcPr>
          <w:p w14:paraId="38DF3AB6" w14:textId="77777777" w:rsidR="00454A29" w:rsidRDefault="00454A29"/>
        </w:tc>
        <w:tc>
          <w:tcPr>
            <w:tcW w:w="1701" w:type="dxa"/>
            <w:vAlign w:val="center"/>
          </w:tcPr>
          <w:p w14:paraId="66DC27D7" w14:textId="77777777" w:rsidR="00454A29" w:rsidRDefault="00454A29">
            <w:pPr>
              <w:pStyle w:val="ConsPlusNormal"/>
            </w:pPr>
          </w:p>
        </w:tc>
        <w:tc>
          <w:tcPr>
            <w:tcW w:w="1814" w:type="dxa"/>
            <w:vAlign w:val="center"/>
          </w:tcPr>
          <w:p w14:paraId="26F14723" w14:textId="77777777" w:rsidR="00454A29" w:rsidRDefault="00454A29">
            <w:pPr>
              <w:pStyle w:val="ConsPlusNormal"/>
            </w:pPr>
          </w:p>
        </w:tc>
        <w:tc>
          <w:tcPr>
            <w:tcW w:w="1701" w:type="dxa"/>
            <w:vAlign w:val="center"/>
          </w:tcPr>
          <w:p w14:paraId="1142D000" w14:textId="77777777" w:rsidR="00454A29" w:rsidRDefault="00454A29">
            <w:pPr>
              <w:pStyle w:val="ConsPlusNormal"/>
            </w:pPr>
          </w:p>
        </w:tc>
        <w:tc>
          <w:tcPr>
            <w:tcW w:w="1701" w:type="dxa"/>
            <w:vAlign w:val="center"/>
          </w:tcPr>
          <w:p w14:paraId="4B325203" w14:textId="77777777" w:rsidR="00454A29" w:rsidRDefault="00454A29">
            <w:pPr>
              <w:pStyle w:val="ConsPlusNormal"/>
            </w:pPr>
          </w:p>
        </w:tc>
        <w:tc>
          <w:tcPr>
            <w:tcW w:w="1814" w:type="dxa"/>
            <w:vAlign w:val="center"/>
          </w:tcPr>
          <w:p w14:paraId="648117E7" w14:textId="77777777" w:rsidR="00454A29" w:rsidRDefault="00454A29">
            <w:pPr>
              <w:pStyle w:val="ConsPlusNormal"/>
            </w:pPr>
          </w:p>
        </w:tc>
      </w:tr>
      <w:tr w:rsidR="00454A29" w14:paraId="74C72A10" w14:textId="77777777">
        <w:tc>
          <w:tcPr>
            <w:tcW w:w="567" w:type="dxa"/>
            <w:vMerge/>
          </w:tcPr>
          <w:p w14:paraId="6842A451" w14:textId="77777777" w:rsidR="00454A29" w:rsidRDefault="00454A29"/>
        </w:tc>
        <w:tc>
          <w:tcPr>
            <w:tcW w:w="3345" w:type="dxa"/>
            <w:vMerge/>
          </w:tcPr>
          <w:p w14:paraId="5FA6B0E2" w14:textId="77777777" w:rsidR="00454A29" w:rsidRDefault="00454A29"/>
        </w:tc>
        <w:tc>
          <w:tcPr>
            <w:tcW w:w="1701" w:type="dxa"/>
            <w:vAlign w:val="center"/>
          </w:tcPr>
          <w:p w14:paraId="18DCB8CD" w14:textId="77777777" w:rsidR="00454A29" w:rsidRDefault="00454A29">
            <w:pPr>
              <w:pStyle w:val="ConsPlusNormal"/>
              <w:jc w:val="center"/>
            </w:pPr>
            <w:r>
              <w:t>2023</w:t>
            </w:r>
          </w:p>
        </w:tc>
        <w:tc>
          <w:tcPr>
            <w:tcW w:w="1417" w:type="dxa"/>
            <w:vMerge/>
          </w:tcPr>
          <w:p w14:paraId="66AA5D1F" w14:textId="77777777" w:rsidR="00454A29" w:rsidRDefault="00454A29"/>
        </w:tc>
        <w:tc>
          <w:tcPr>
            <w:tcW w:w="2204" w:type="dxa"/>
            <w:vMerge/>
          </w:tcPr>
          <w:p w14:paraId="30C3677F" w14:textId="77777777" w:rsidR="00454A29" w:rsidRDefault="00454A29"/>
        </w:tc>
        <w:tc>
          <w:tcPr>
            <w:tcW w:w="1417" w:type="dxa"/>
            <w:vMerge/>
          </w:tcPr>
          <w:p w14:paraId="536648EE" w14:textId="77777777" w:rsidR="00454A29" w:rsidRDefault="00454A29"/>
        </w:tc>
        <w:tc>
          <w:tcPr>
            <w:tcW w:w="2324" w:type="dxa"/>
            <w:vMerge/>
          </w:tcPr>
          <w:p w14:paraId="1608AB7B" w14:textId="77777777" w:rsidR="00454A29" w:rsidRDefault="00454A29"/>
        </w:tc>
        <w:tc>
          <w:tcPr>
            <w:tcW w:w="1701" w:type="dxa"/>
            <w:vAlign w:val="center"/>
          </w:tcPr>
          <w:p w14:paraId="65A73911" w14:textId="77777777" w:rsidR="00454A29" w:rsidRDefault="00454A29">
            <w:pPr>
              <w:pStyle w:val="ConsPlusNormal"/>
              <w:jc w:val="center"/>
            </w:pPr>
            <w:r>
              <w:t>867 173,65</w:t>
            </w:r>
          </w:p>
        </w:tc>
        <w:tc>
          <w:tcPr>
            <w:tcW w:w="1814" w:type="dxa"/>
            <w:vAlign w:val="center"/>
          </w:tcPr>
          <w:p w14:paraId="5B452188" w14:textId="77777777" w:rsidR="00454A29" w:rsidRDefault="00454A29">
            <w:pPr>
              <w:pStyle w:val="ConsPlusNormal"/>
              <w:jc w:val="center"/>
            </w:pPr>
            <w:r>
              <w:t>4 301,18</w:t>
            </w:r>
          </w:p>
        </w:tc>
        <w:tc>
          <w:tcPr>
            <w:tcW w:w="1701" w:type="dxa"/>
            <w:vAlign w:val="center"/>
          </w:tcPr>
          <w:p w14:paraId="06244EE1" w14:textId="77777777" w:rsidR="00454A29" w:rsidRDefault="00454A29">
            <w:pPr>
              <w:pStyle w:val="ConsPlusNormal"/>
              <w:jc w:val="center"/>
            </w:pPr>
            <w:r>
              <w:t>425 816,95</w:t>
            </w:r>
          </w:p>
        </w:tc>
        <w:tc>
          <w:tcPr>
            <w:tcW w:w="1701" w:type="dxa"/>
            <w:vAlign w:val="center"/>
          </w:tcPr>
          <w:p w14:paraId="39F2B381" w14:textId="77777777" w:rsidR="00454A29" w:rsidRDefault="00454A29">
            <w:pPr>
              <w:pStyle w:val="ConsPlusNormal"/>
            </w:pPr>
          </w:p>
        </w:tc>
        <w:tc>
          <w:tcPr>
            <w:tcW w:w="1814" w:type="dxa"/>
            <w:vAlign w:val="center"/>
          </w:tcPr>
          <w:p w14:paraId="2EDD2452" w14:textId="77777777" w:rsidR="00454A29" w:rsidRDefault="00454A29">
            <w:pPr>
              <w:pStyle w:val="ConsPlusNormal"/>
            </w:pPr>
          </w:p>
        </w:tc>
      </w:tr>
      <w:tr w:rsidR="00454A29" w14:paraId="41093EDD" w14:textId="77777777">
        <w:tc>
          <w:tcPr>
            <w:tcW w:w="567" w:type="dxa"/>
            <w:vMerge/>
          </w:tcPr>
          <w:p w14:paraId="17A5A492" w14:textId="77777777" w:rsidR="00454A29" w:rsidRDefault="00454A29"/>
        </w:tc>
        <w:tc>
          <w:tcPr>
            <w:tcW w:w="3345" w:type="dxa"/>
            <w:vMerge/>
          </w:tcPr>
          <w:p w14:paraId="48A73926" w14:textId="77777777" w:rsidR="00454A29" w:rsidRDefault="00454A29"/>
        </w:tc>
        <w:tc>
          <w:tcPr>
            <w:tcW w:w="1701" w:type="dxa"/>
            <w:vAlign w:val="center"/>
          </w:tcPr>
          <w:p w14:paraId="524844EA" w14:textId="77777777" w:rsidR="00454A29" w:rsidRDefault="00454A29">
            <w:pPr>
              <w:pStyle w:val="ConsPlusNormal"/>
              <w:jc w:val="center"/>
            </w:pPr>
            <w:r>
              <w:t>2024</w:t>
            </w:r>
          </w:p>
        </w:tc>
        <w:tc>
          <w:tcPr>
            <w:tcW w:w="1417" w:type="dxa"/>
            <w:vMerge/>
          </w:tcPr>
          <w:p w14:paraId="3988A43E" w14:textId="77777777" w:rsidR="00454A29" w:rsidRDefault="00454A29"/>
        </w:tc>
        <w:tc>
          <w:tcPr>
            <w:tcW w:w="2204" w:type="dxa"/>
            <w:vMerge/>
          </w:tcPr>
          <w:p w14:paraId="4A11B331" w14:textId="77777777" w:rsidR="00454A29" w:rsidRDefault="00454A29"/>
        </w:tc>
        <w:tc>
          <w:tcPr>
            <w:tcW w:w="1417" w:type="dxa"/>
            <w:vMerge/>
          </w:tcPr>
          <w:p w14:paraId="24144262" w14:textId="77777777" w:rsidR="00454A29" w:rsidRDefault="00454A29"/>
        </w:tc>
        <w:tc>
          <w:tcPr>
            <w:tcW w:w="2324" w:type="dxa"/>
            <w:vMerge/>
          </w:tcPr>
          <w:p w14:paraId="38436C70" w14:textId="77777777" w:rsidR="00454A29" w:rsidRDefault="00454A29"/>
        </w:tc>
        <w:tc>
          <w:tcPr>
            <w:tcW w:w="1701" w:type="dxa"/>
            <w:vAlign w:val="center"/>
          </w:tcPr>
          <w:p w14:paraId="0DA3DF6E" w14:textId="77777777" w:rsidR="00454A29" w:rsidRDefault="00454A29">
            <w:pPr>
              <w:pStyle w:val="ConsPlusNormal"/>
            </w:pPr>
          </w:p>
        </w:tc>
        <w:tc>
          <w:tcPr>
            <w:tcW w:w="1814" w:type="dxa"/>
            <w:vAlign w:val="center"/>
          </w:tcPr>
          <w:p w14:paraId="62BF3129" w14:textId="77777777" w:rsidR="00454A29" w:rsidRDefault="00454A29">
            <w:pPr>
              <w:pStyle w:val="ConsPlusNormal"/>
            </w:pPr>
          </w:p>
        </w:tc>
        <w:tc>
          <w:tcPr>
            <w:tcW w:w="1701" w:type="dxa"/>
            <w:vAlign w:val="center"/>
          </w:tcPr>
          <w:p w14:paraId="5BCDE68E" w14:textId="77777777" w:rsidR="00454A29" w:rsidRDefault="00454A29">
            <w:pPr>
              <w:pStyle w:val="ConsPlusNormal"/>
            </w:pPr>
          </w:p>
        </w:tc>
        <w:tc>
          <w:tcPr>
            <w:tcW w:w="1701" w:type="dxa"/>
            <w:vAlign w:val="center"/>
          </w:tcPr>
          <w:p w14:paraId="0512CEAD" w14:textId="77777777" w:rsidR="00454A29" w:rsidRDefault="00454A29">
            <w:pPr>
              <w:pStyle w:val="ConsPlusNormal"/>
            </w:pPr>
          </w:p>
        </w:tc>
        <w:tc>
          <w:tcPr>
            <w:tcW w:w="1814" w:type="dxa"/>
            <w:vAlign w:val="center"/>
          </w:tcPr>
          <w:p w14:paraId="3D8F6457" w14:textId="77777777" w:rsidR="00454A29" w:rsidRDefault="00454A29">
            <w:pPr>
              <w:pStyle w:val="ConsPlusNormal"/>
            </w:pPr>
          </w:p>
        </w:tc>
      </w:tr>
      <w:tr w:rsidR="00454A29" w14:paraId="55627443" w14:textId="77777777">
        <w:tc>
          <w:tcPr>
            <w:tcW w:w="567" w:type="dxa"/>
            <w:vMerge/>
          </w:tcPr>
          <w:p w14:paraId="1ABD7549" w14:textId="77777777" w:rsidR="00454A29" w:rsidRDefault="00454A29"/>
        </w:tc>
        <w:tc>
          <w:tcPr>
            <w:tcW w:w="3345" w:type="dxa"/>
            <w:vMerge/>
          </w:tcPr>
          <w:p w14:paraId="7149328E" w14:textId="77777777" w:rsidR="00454A29" w:rsidRDefault="00454A29"/>
        </w:tc>
        <w:tc>
          <w:tcPr>
            <w:tcW w:w="1701" w:type="dxa"/>
            <w:vAlign w:val="center"/>
          </w:tcPr>
          <w:p w14:paraId="202564E7" w14:textId="77777777" w:rsidR="00454A29" w:rsidRDefault="00454A29">
            <w:pPr>
              <w:pStyle w:val="ConsPlusNormal"/>
              <w:jc w:val="center"/>
            </w:pPr>
            <w:r>
              <w:t>2025</w:t>
            </w:r>
          </w:p>
        </w:tc>
        <w:tc>
          <w:tcPr>
            <w:tcW w:w="1417" w:type="dxa"/>
            <w:vMerge/>
          </w:tcPr>
          <w:p w14:paraId="559CBA5F" w14:textId="77777777" w:rsidR="00454A29" w:rsidRDefault="00454A29"/>
        </w:tc>
        <w:tc>
          <w:tcPr>
            <w:tcW w:w="2204" w:type="dxa"/>
            <w:vMerge/>
          </w:tcPr>
          <w:p w14:paraId="78A6C126" w14:textId="77777777" w:rsidR="00454A29" w:rsidRDefault="00454A29"/>
        </w:tc>
        <w:tc>
          <w:tcPr>
            <w:tcW w:w="1417" w:type="dxa"/>
            <w:vMerge/>
          </w:tcPr>
          <w:p w14:paraId="304CCB90" w14:textId="77777777" w:rsidR="00454A29" w:rsidRDefault="00454A29"/>
        </w:tc>
        <w:tc>
          <w:tcPr>
            <w:tcW w:w="2324" w:type="dxa"/>
            <w:vMerge/>
          </w:tcPr>
          <w:p w14:paraId="0D2A176D" w14:textId="77777777" w:rsidR="00454A29" w:rsidRDefault="00454A29"/>
        </w:tc>
        <w:tc>
          <w:tcPr>
            <w:tcW w:w="1701" w:type="dxa"/>
            <w:vAlign w:val="center"/>
          </w:tcPr>
          <w:p w14:paraId="22D16859" w14:textId="77777777" w:rsidR="00454A29" w:rsidRDefault="00454A29">
            <w:pPr>
              <w:pStyle w:val="ConsPlusNormal"/>
            </w:pPr>
          </w:p>
        </w:tc>
        <w:tc>
          <w:tcPr>
            <w:tcW w:w="1814" w:type="dxa"/>
            <w:vAlign w:val="center"/>
          </w:tcPr>
          <w:p w14:paraId="569CD734" w14:textId="77777777" w:rsidR="00454A29" w:rsidRDefault="00454A29">
            <w:pPr>
              <w:pStyle w:val="ConsPlusNormal"/>
            </w:pPr>
          </w:p>
        </w:tc>
        <w:tc>
          <w:tcPr>
            <w:tcW w:w="1701" w:type="dxa"/>
            <w:vAlign w:val="center"/>
          </w:tcPr>
          <w:p w14:paraId="59F8BA8F" w14:textId="77777777" w:rsidR="00454A29" w:rsidRDefault="00454A29">
            <w:pPr>
              <w:pStyle w:val="ConsPlusNormal"/>
            </w:pPr>
          </w:p>
        </w:tc>
        <w:tc>
          <w:tcPr>
            <w:tcW w:w="1701" w:type="dxa"/>
            <w:vAlign w:val="center"/>
          </w:tcPr>
          <w:p w14:paraId="3619E388" w14:textId="77777777" w:rsidR="00454A29" w:rsidRDefault="00454A29">
            <w:pPr>
              <w:pStyle w:val="ConsPlusNormal"/>
            </w:pPr>
          </w:p>
        </w:tc>
        <w:tc>
          <w:tcPr>
            <w:tcW w:w="1814" w:type="dxa"/>
            <w:vAlign w:val="center"/>
          </w:tcPr>
          <w:p w14:paraId="1A3A9B3F" w14:textId="77777777" w:rsidR="00454A29" w:rsidRDefault="00454A29">
            <w:pPr>
              <w:pStyle w:val="ConsPlusNormal"/>
            </w:pPr>
          </w:p>
        </w:tc>
      </w:tr>
      <w:tr w:rsidR="00454A29" w14:paraId="35AD45F9" w14:textId="77777777">
        <w:tc>
          <w:tcPr>
            <w:tcW w:w="567" w:type="dxa"/>
            <w:vMerge/>
          </w:tcPr>
          <w:p w14:paraId="3D1306E8" w14:textId="77777777" w:rsidR="00454A29" w:rsidRDefault="00454A29"/>
        </w:tc>
        <w:tc>
          <w:tcPr>
            <w:tcW w:w="3345" w:type="dxa"/>
            <w:vMerge/>
          </w:tcPr>
          <w:p w14:paraId="1DFCC095" w14:textId="77777777" w:rsidR="00454A29" w:rsidRDefault="00454A29"/>
        </w:tc>
        <w:tc>
          <w:tcPr>
            <w:tcW w:w="1701" w:type="dxa"/>
            <w:vAlign w:val="center"/>
          </w:tcPr>
          <w:p w14:paraId="0474E6DB" w14:textId="77777777" w:rsidR="00454A29" w:rsidRDefault="00454A29">
            <w:pPr>
              <w:pStyle w:val="ConsPlusNormal"/>
              <w:jc w:val="center"/>
            </w:pPr>
            <w:r>
              <w:t>2026</w:t>
            </w:r>
          </w:p>
        </w:tc>
        <w:tc>
          <w:tcPr>
            <w:tcW w:w="1417" w:type="dxa"/>
            <w:vMerge/>
          </w:tcPr>
          <w:p w14:paraId="13C9010E" w14:textId="77777777" w:rsidR="00454A29" w:rsidRDefault="00454A29"/>
        </w:tc>
        <w:tc>
          <w:tcPr>
            <w:tcW w:w="2204" w:type="dxa"/>
            <w:vMerge/>
          </w:tcPr>
          <w:p w14:paraId="213A30FB" w14:textId="77777777" w:rsidR="00454A29" w:rsidRDefault="00454A29"/>
        </w:tc>
        <w:tc>
          <w:tcPr>
            <w:tcW w:w="1417" w:type="dxa"/>
            <w:vMerge/>
          </w:tcPr>
          <w:p w14:paraId="5075DE2E" w14:textId="77777777" w:rsidR="00454A29" w:rsidRDefault="00454A29"/>
        </w:tc>
        <w:tc>
          <w:tcPr>
            <w:tcW w:w="2324" w:type="dxa"/>
            <w:vMerge/>
          </w:tcPr>
          <w:p w14:paraId="54D9721C" w14:textId="77777777" w:rsidR="00454A29" w:rsidRDefault="00454A29"/>
        </w:tc>
        <w:tc>
          <w:tcPr>
            <w:tcW w:w="1701" w:type="dxa"/>
            <w:vAlign w:val="center"/>
          </w:tcPr>
          <w:p w14:paraId="34FB8F7D" w14:textId="77777777" w:rsidR="00454A29" w:rsidRDefault="00454A29">
            <w:pPr>
              <w:pStyle w:val="ConsPlusNormal"/>
            </w:pPr>
          </w:p>
        </w:tc>
        <w:tc>
          <w:tcPr>
            <w:tcW w:w="1814" w:type="dxa"/>
            <w:vAlign w:val="center"/>
          </w:tcPr>
          <w:p w14:paraId="31BC76CB" w14:textId="77777777" w:rsidR="00454A29" w:rsidRDefault="00454A29">
            <w:pPr>
              <w:pStyle w:val="ConsPlusNormal"/>
            </w:pPr>
          </w:p>
        </w:tc>
        <w:tc>
          <w:tcPr>
            <w:tcW w:w="1701" w:type="dxa"/>
            <w:vAlign w:val="center"/>
          </w:tcPr>
          <w:p w14:paraId="26260F0F" w14:textId="77777777" w:rsidR="00454A29" w:rsidRDefault="00454A29">
            <w:pPr>
              <w:pStyle w:val="ConsPlusNormal"/>
            </w:pPr>
          </w:p>
        </w:tc>
        <w:tc>
          <w:tcPr>
            <w:tcW w:w="1701" w:type="dxa"/>
            <w:vAlign w:val="center"/>
          </w:tcPr>
          <w:p w14:paraId="1D1C669A" w14:textId="77777777" w:rsidR="00454A29" w:rsidRDefault="00454A29">
            <w:pPr>
              <w:pStyle w:val="ConsPlusNormal"/>
            </w:pPr>
          </w:p>
        </w:tc>
        <w:tc>
          <w:tcPr>
            <w:tcW w:w="1814" w:type="dxa"/>
            <w:vAlign w:val="center"/>
          </w:tcPr>
          <w:p w14:paraId="6598E59B" w14:textId="77777777" w:rsidR="00454A29" w:rsidRDefault="00454A29">
            <w:pPr>
              <w:pStyle w:val="ConsPlusNormal"/>
            </w:pPr>
          </w:p>
        </w:tc>
      </w:tr>
      <w:tr w:rsidR="00454A29" w14:paraId="5F11D3AB" w14:textId="77777777">
        <w:tc>
          <w:tcPr>
            <w:tcW w:w="567" w:type="dxa"/>
            <w:vMerge w:val="restart"/>
            <w:vAlign w:val="center"/>
          </w:tcPr>
          <w:p w14:paraId="5362330E" w14:textId="77777777" w:rsidR="00454A29" w:rsidRDefault="00454A29">
            <w:pPr>
              <w:pStyle w:val="ConsPlusNormal"/>
              <w:jc w:val="center"/>
            </w:pPr>
            <w:r>
              <w:t>69</w:t>
            </w:r>
          </w:p>
        </w:tc>
        <w:tc>
          <w:tcPr>
            <w:tcW w:w="3345" w:type="dxa"/>
            <w:vMerge w:val="restart"/>
            <w:vAlign w:val="center"/>
          </w:tcPr>
          <w:p w14:paraId="794D7281" w14:textId="77777777" w:rsidR="00454A29" w:rsidRDefault="00454A29">
            <w:pPr>
              <w:pStyle w:val="ConsPlusNormal"/>
              <w:jc w:val="center"/>
            </w:pPr>
            <w:r>
              <w:t>Школа на 176 учащихся в с. Хаптагай</w:t>
            </w:r>
          </w:p>
        </w:tc>
        <w:tc>
          <w:tcPr>
            <w:tcW w:w="1701" w:type="dxa"/>
            <w:vAlign w:val="center"/>
          </w:tcPr>
          <w:p w14:paraId="2B2EB793" w14:textId="77777777" w:rsidR="00454A29" w:rsidRDefault="00454A29">
            <w:pPr>
              <w:pStyle w:val="ConsPlusNormal"/>
              <w:jc w:val="center"/>
            </w:pPr>
            <w:r>
              <w:t>2020 - 2026 годы - всего</w:t>
            </w:r>
          </w:p>
        </w:tc>
        <w:tc>
          <w:tcPr>
            <w:tcW w:w="1417" w:type="dxa"/>
            <w:vMerge w:val="restart"/>
            <w:vAlign w:val="center"/>
          </w:tcPr>
          <w:p w14:paraId="3A454DDB" w14:textId="77777777" w:rsidR="00454A29" w:rsidRDefault="00454A29">
            <w:pPr>
              <w:pStyle w:val="ConsPlusNormal"/>
              <w:jc w:val="center"/>
            </w:pPr>
            <w:r>
              <w:t>528 409,31</w:t>
            </w:r>
          </w:p>
        </w:tc>
        <w:tc>
          <w:tcPr>
            <w:tcW w:w="2204" w:type="dxa"/>
            <w:vMerge w:val="restart"/>
            <w:vAlign w:val="center"/>
          </w:tcPr>
          <w:p w14:paraId="0FC8A107" w14:textId="77777777" w:rsidR="00454A29" w:rsidRDefault="00454A29">
            <w:pPr>
              <w:pStyle w:val="ConsPlusNormal"/>
            </w:pPr>
          </w:p>
        </w:tc>
        <w:tc>
          <w:tcPr>
            <w:tcW w:w="1417" w:type="dxa"/>
            <w:vMerge w:val="restart"/>
            <w:vAlign w:val="center"/>
          </w:tcPr>
          <w:p w14:paraId="1ED6548C" w14:textId="77777777" w:rsidR="00454A29" w:rsidRDefault="00454A29">
            <w:pPr>
              <w:pStyle w:val="ConsPlusNormal"/>
              <w:jc w:val="center"/>
            </w:pPr>
            <w:r>
              <w:t>176</w:t>
            </w:r>
          </w:p>
        </w:tc>
        <w:tc>
          <w:tcPr>
            <w:tcW w:w="2324" w:type="dxa"/>
            <w:vMerge w:val="restart"/>
            <w:vAlign w:val="center"/>
          </w:tcPr>
          <w:p w14:paraId="1F7651E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9300878" w14:textId="77777777" w:rsidR="00454A29" w:rsidRDefault="00454A29">
            <w:pPr>
              <w:pStyle w:val="ConsPlusNormal"/>
              <w:jc w:val="center"/>
            </w:pPr>
            <w:r>
              <w:t>528 409,31</w:t>
            </w:r>
          </w:p>
        </w:tc>
        <w:tc>
          <w:tcPr>
            <w:tcW w:w="1814" w:type="dxa"/>
            <w:vAlign w:val="center"/>
          </w:tcPr>
          <w:p w14:paraId="62C1B45D" w14:textId="77777777" w:rsidR="00454A29" w:rsidRDefault="00454A29">
            <w:pPr>
              <w:pStyle w:val="ConsPlusNormal"/>
              <w:jc w:val="center"/>
            </w:pPr>
            <w:r>
              <w:t>6 510,01</w:t>
            </w:r>
          </w:p>
        </w:tc>
        <w:tc>
          <w:tcPr>
            <w:tcW w:w="1701" w:type="dxa"/>
            <w:vAlign w:val="center"/>
          </w:tcPr>
          <w:p w14:paraId="3C314CA5" w14:textId="77777777" w:rsidR="00454A29" w:rsidRDefault="00454A29">
            <w:pPr>
              <w:pStyle w:val="ConsPlusNormal"/>
              <w:jc w:val="center"/>
            </w:pPr>
            <w:r>
              <w:t>644 490,27</w:t>
            </w:r>
          </w:p>
        </w:tc>
        <w:tc>
          <w:tcPr>
            <w:tcW w:w="1701" w:type="dxa"/>
            <w:vAlign w:val="center"/>
          </w:tcPr>
          <w:p w14:paraId="4A562F41" w14:textId="77777777" w:rsidR="00454A29" w:rsidRDefault="00454A29">
            <w:pPr>
              <w:pStyle w:val="ConsPlusNormal"/>
              <w:jc w:val="center"/>
            </w:pPr>
            <w:r>
              <w:t>-</w:t>
            </w:r>
          </w:p>
        </w:tc>
        <w:tc>
          <w:tcPr>
            <w:tcW w:w="1814" w:type="dxa"/>
            <w:vAlign w:val="center"/>
          </w:tcPr>
          <w:p w14:paraId="675FBE3B" w14:textId="77777777" w:rsidR="00454A29" w:rsidRDefault="00454A29">
            <w:pPr>
              <w:pStyle w:val="ConsPlusNormal"/>
              <w:jc w:val="center"/>
            </w:pPr>
            <w:r>
              <w:t>-</w:t>
            </w:r>
          </w:p>
        </w:tc>
      </w:tr>
      <w:tr w:rsidR="00454A29" w14:paraId="13D669C1" w14:textId="77777777">
        <w:tc>
          <w:tcPr>
            <w:tcW w:w="567" w:type="dxa"/>
            <w:vMerge/>
          </w:tcPr>
          <w:p w14:paraId="49F23916" w14:textId="77777777" w:rsidR="00454A29" w:rsidRDefault="00454A29"/>
        </w:tc>
        <w:tc>
          <w:tcPr>
            <w:tcW w:w="3345" w:type="dxa"/>
            <w:vMerge/>
          </w:tcPr>
          <w:p w14:paraId="6C84E565" w14:textId="77777777" w:rsidR="00454A29" w:rsidRDefault="00454A29"/>
        </w:tc>
        <w:tc>
          <w:tcPr>
            <w:tcW w:w="1701" w:type="dxa"/>
            <w:vAlign w:val="center"/>
          </w:tcPr>
          <w:p w14:paraId="41613CD1" w14:textId="77777777" w:rsidR="00454A29" w:rsidRDefault="00454A29">
            <w:pPr>
              <w:pStyle w:val="ConsPlusNormal"/>
              <w:jc w:val="center"/>
            </w:pPr>
            <w:r>
              <w:t>2020</w:t>
            </w:r>
          </w:p>
        </w:tc>
        <w:tc>
          <w:tcPr>
            <w:tcW w:w="1417" w:type="dxa"/>
            <w:vMerge/>
          </w:tcPr>
          <w:p w14:paraId="4A66F1C5" w14:textId="77777777" w:rsidR="00454A29" w:rsidRDefault="00454A29"/>
        </w:tc>
        <w:tc>
          <w:tcPr>
            <w:tcW w:w="2204" w:type="dxa"/>
            <w:vMerge/>
          </w:tcPr>
          <w:p w14:paraId="6A55F638" w14:textId="77777777" w:rsidR="00454A29" w:rsidRDefault="00454A29"/>
        </w:tc>
        <w:tc>
          <w:tcPr>
            <w:tcW w:w="1417" w:type="dxa"/>
            <w:vMerge/>
          </w:tcPr>
          <w:p w14:paraId="7ED3B282" w14:textId="77777777" w:rsidR="00454A29" w:rsidRDefault="00454A29"/>
        </w:tc>
        <w:tc>
          <w:tcPr>
            <w:tcW w:w="2324" w:type="dxa"/>
            <w:vMerge/>
          </w:tcPr>
          <w:p w14:paraId="1A742236" w14:textId="77777777" w:rsidR="00454A29" w:rsidRDefault="00454A29"/>
        </w:tc>
        <w:tc>
          <w:tcPr>
            <w:tcW w:w="1701" w:type="dxa"/>
            <w:vAlign w:val="center"/>
          </w:tcPr>
          <w:p w14:paraId="74512431" w14:textId="77777777" w:rsidR="00454A29" w:rsidRDefault="00454A29">
            <w:pPr>
              <w:pStyle w:val="ConsPlusNormal"/>
            </w:pPr>
          </w:p>
        </w:tc>
        <w:tc>
          <w:tcPr>
            <w:tcW w:w="1814" w:type="dxa"/>
            <w:vAlign w:val="center"/>
          </w:tcPr>
          <w:p w14:paraId="67E65CF1" w14:textId="77777777" w:rsidR="00454A29" w:rsidRDefault="00454A29">
            <w:pPr>
              <w:pStyle w:val="ConsPlusNormal"/>
            </w:pPr>
          </w:p>
        </w:tc>
        <w:tc>
          <w:tcPr>
            <w:tcW w:w="1701" w:type="dxa"/>
            <w:vAlign w:val="center"/>
          </w:tcPr>
          <w:p w14:paraId="0B886E2F" w14:textId="77777777" w:rsidR="00454A29" w:rsidRDefault="00454A29">
            <w:pPr>
              <w:pStyle w:val="ConsPlusNormal"/>
            </w:pPr>
          </w:p>
        </w:tc>
        <w:tc>
          <w:tcPr>
            <w:tcW w:w="1701" w:type="dxa"/>
            <w:vAlign w:val="center"/>
          </w:tcPr>
          <w:p w14:paraId="0BF7B261" w14:textId="77777777" w:rsidR="00454A29" w:rsidRDefault="00454A29">
            <w:pPr>
              <w:pStyle w:val="ConsPlusNormal"/>
            </w:pPr>
          </w:p>
        </w:tc>
        <w:tc>
          <w:tcPr>
            <w:tcW w:w="1814" w:type="dxa"/>
            <w:vAlign w:val="center"/>
          </w:tcPr>
          <w:p w14:paraId="3882FAA5" w14:textId="77777777" w:rsidR="00454A29" w:rsidRDefault="00454A29">
            <w:pPr>
              <w:pStyle w:val="ConsPlusNormal"/>
            </w:pPr>
          </w:p>
        </w:tc>
      </w:tr>
      <w:tr w:rsidR="00454A29" w14:paraId="7D3636F1" w14:textId="77777777">
        <w:tc>
          <w:tcPr>
            <w:tcW w:w="567" w:type="dxa"/>
            <w:vMerge/>
          </w:tcPr>
          <w:p w14:paraId="23A3D47A" w14:textId="77777777" w:rsidR="00454A29" w:rsidRDefault="00454A29"/>
        </w:tc>
        <w:tc>
          <w:tcPr>
            <w:tcW w:w="3345" w:type="dxa"/>
            <w:vMerge/>
          </w:tcPr>
          <w:p w14:paraId="5F1B0B1C" w14:textId="77777777" w:rsidR="00454A29" w:rsidRDefault="00454A29"/>
        </w:tc>
        <w:tc>
          <w:tcPr>
            <w:tcW w:w="1701" w:type="dxa"/>
            <w:vAlign w:val="center"/>
          </w:tcPr>
          <w:p w14:paraId="2B861341" w14:textId="77777777" w:rsidR="00454A29" w:rsidRDefault="00454A29">
            <w:pPr>
              <w:pStyle w:val="ConsPlusNormal"/>
              <w:jc w:val="center"/>
            </w:pPr>
            <w:r>
              <w:t>2021</w:t>
            </w:r>
          </w:p>
        </w:tc>
        <w:tc>
          <w:tcPr>
            <w:tcW w:w="1417" w:type="dxa"/>
            <w:vMerge/>
          </w:tcPr>
          <w:p w14:paraId="519D7589" w14:textId="77777777" w:rsidR="00454A29" w:rsidRDefault="00454A29"/>
        </w:tc>
        <w:tc>
          <w:tcPr>
            <w:tcW w:w="2204" w:type="dxa"/>
            <w:vMerge/>
          </w:tcPr>
          <w:p w14:paraId="20B2E934" w14:textId="77777777" w:rsidR="00454A29" w:rsidRDefault="00454A29"/>
        </w:tc>
        <w:tc>
          <w:tcPr>
            <w:tcW w:w="1417" w:type="dxa"/>
            <w:vMerge/>
          </w:tcPr>
          <w:p w14:paraId="0AA940F7" w14:textId="77777777" w:rsidR="00454A29" w:rsidRDefault="00454A29"/>
        </w:tc>
        <w:tc>
          <w:tcPr>
            <w:tcW w:w="2324" w:type="dxa"/>
            <w:vMerge/>
          </w:tcPr>
          <w:p w14:paraId="1A2E0BBD" w14:textId="77777777" w:rsidR="00454A29" w:rsidRDefault="00454A29"/>
        </w:tc>
        <w:tc>
          <w:tcPr>
            <w:tcW w:w="1701" w:type="dxa"/>
            <w:vAlign w:val="center"/>
          </w:tcPr>
          <w:p w14:paraId="73851A7D" w14:textId="77777777" w:rsidR="00454A29" w:rsidRDefault="00454A29">
            <w:pPr>
              <w:pStyle w:val="ConsPlusNormal"/>
            </w:pPr>
          </w:p>
        </w:tc>
        <w:tc>
          <w:tcPr>
            <w:tcW w:w="1814" w:type="dxa"/>
            <w:vAlign w:val="center"/>
          </w:tcPr>
          <w:p w14:paraId="54561C87" w14:textId="77777777" w:rsidR="00454A29" w:rsidRDefault="00454A29">
            <w:pPr>
              <w:pStyle w:val="ConsPlusNormal"/>
            </w:pPr>
          </w:p>
        </w:tc>
        <w:tc>
          <w:tcPr>
            <w:tcW w:w="1701" w:type="dxa"/>
            <w:vAlign w:val="center"/>
          </w:tcPr>
          <w:p w14:paraId="06914F46" w14:textId="77777777" w:rsidR="00454A29" w:rsidRDefault="00454A29">
            <w:pPr>
              <w:pStyle w:val="ConsPlusNormal"/>
            </w:pPr>
          </w:p>
        </w:tc>
        <w:tc>
          <w:tcPr>
            <w:tcW w:w="1701" w:type="dxa"/>
            <w:vAlign w:val="center"/>
          </w:tcPr>
          <w:p w14:paraId="0F9AD6F2" w14:textId="77777777" w:rsidR="00454A29" w:rsidRDefault="00454A29">
            <w:pPr>
              <w:pStyle w:val="ConsPlusNormal"/>
            </w:pPr>
          </w:p>
        </w:tc>
        <w:tc>
          <w:tcPr>
            <w:tcW w:w="1814" w:type="dxa"/>
            <w:vAlign w:val="center"/>
          </w:tcPr>
          <w:p w14:paraId="4234C354" w14:textId="77777777" w:rsidR="00454A29" w:rsidRDefault="00454A29">
            <w:pPr>
              <w:pStyle w:val="ConsPlusNormal"/>
            </w:pPr>
          </w:p>
        </w:tc>
      </w:tr>
      <w:tr w:rsidR="00454A29" w14:paraId="651C2D62" w14:textId="77777777">
        <w:tc>
          <w:tcPr>
            <w:tcW w:w="567" w:type="dxa"/>
            <w:vMerge/>
          </w:tcPr>
          <w:p w14:paraId="23E6BC0E" w14:textId="77777777" w:rsidR="00454A29" w:rsidRDefault="00454A29"/>
        </w:tc>
        <w:tc>
          <w:tcPr>
            <w:tcW w:w="3345" w:type="dxa"/>
            <w:vMerge/>
          </w:tcPr>
          <w:p w14:paraId="65C92C57" w14:textId="77777777" w:rsidR="00454A29" w:rsidRDefault="00454A29"/>
        </w:tc>
        <w:tc>
          <w:tcPr>
            <w:tcW w:w="1701" w:type="dxa"/>
            <w:vAlign w:val="center"/>
          </w:tcPr>
          <w:p w14:paraId="71B6FBD7" w14:textId="77777777" w:rsidR="00454A29" w:rsidRDefault="00454A29">
            <w:pPr>
              <w:pStyle w:val="ConsPlusNormal"/>
              <w:jc w:val="center"/>
            </w:pPr>
            <w:r>
              <w:t>2022</w:t>
            </w:r>
          </w:p>
        </w:tc>
        <w:tc>
          <w:tcPr>
            <w:tcW w:w="1417" w:type="dxa"/>
            <w:vMerge/>
          </w:tcPr>
          <w:p w14:paraId="13E85913" w14:textId="77777777" w:rsidR="00454A29" w:rsidRDefault="00454A29"/>
        </w:tc>
        <w:tc>
          <w:tcPr>
            <w:tcW w:w="2204" w:type="dxa"/>
            <w:vMerge/>
          </w:tcPr>
          <w:p w14:paraId="53ADEC04" w14:textId="77777777" w:rsidR="00454A29" w:rsidRDefault="00454A29"/>
        </w:tc>
        <w:tc>
          <w:tcPr>
            <w:tcW w:w="1417" w:type="dxa"/>
            <w:vMerge/>
          </w:tcPr>
          <w:p w14:paraId="5244458C" w14:textId="77777777" w:rsidR="00454A29" w:rsidRDefault="00454A29"/>
        </w:tc>
        <w:tc>
          <w:tcPr>
            <w:tcW w:w="2324" w:type="dxa"/>
            <w:vMerge/>
          </w:tcPr>
          <w:p w14:paraId="202CDB83" w14:textId="77777777" w:rsidR="00454A29" w:rsidRDefault="00454A29"/>
        </w:tc>
        <w:tc>
          <w:tcPr>
            <w:tcW w:w="1701" w:type="dxa"/>
            <w:vAlign w:val="center"/>
          </w:tcPr>
          <w:p w14:paraId="73EDE749" w14:textId="77777777" w:rsidR="00454A29" w:rsidRDefault="00454A29">
            <w:pPr>
              <w:pStyle w:val="ConsPlusNormal"/>
            </w:pPr>
          </w:p>
        </w:tc>
        <w:tc>
          <w:tcPr>
            <w:tcW w:w="1814" w:type="dxa"/>
            <w:vAlign w:val="center"/>
          </w:tcPr>
          <w:p w14:paraId="08CECC4A" w14:textId="77777777" w:rsidR="00454A29" w:rsidRDefault="00454A29">
            <w:pPr>
              <w:pStyle w:val="ConsPlusNormal"/>
            </w:pPr>
          </w:p>
        </w:tc>
        <w:tc>
          <w:tcPr>
            <w:tcW w:w="1701" w:type="dxa"/>
            <w:vAlign w:val="center"/>
          </w:tcPr>
          <w:p w14:paraId="007FF499" w14:textId="77777777" w:rsidR="00454A29" w:rsidRDefault="00454A29">
            <w:pPr>
              <w:pStyle w:val="ConsPlusNormal"/>
            </w:pPr>
          </w:p>
        </w:tc>
        <w:tc>
          <w:tcPr>
            <w:tcW w:w="1701" w:type="dxa"/>
            <w:vAlign w:val="center"/>
          </w:tcPr>
          <w:p w14:paraId="47D75086" w14:textId="77777777" w:rsidR="00454A29" w:rsidRDefault="00454A29">
            <w:pPr>
              <w:pStyle w:val="ConsPlusNormal"/>
            </w:pPr>
          </w:p>
        </w:tc>
        <w:tc>
          <w:tcPr>
            <w:tcW w:w="1814" w:type="dxa"/>
            <w:vAlign w:val="center"/>
          </w:tcPr>
          <w:p w14:paraId="2A38EE56" w14:textId="77777777" w:rsidR="00454A29" w:rsidRDefault="00454A29">
            <w:pPr>
              <w:pStyle w:val="ConsPlusNormal"/>
            </w:pPr>
          </w:p>
        </w:tc>
      </w:tr>
      <w:tr w:rsidR="00454A29" w14:paraId="17812676" w14:textId="77777777">
        <w:tc>
          <w:tcPr>
            <w:tcW w:w="567" w:type="dxa"/>
            <w:vMerge/>
          </w:tcPr>
          <w:p w14:paraId="05060822" w14:textId="77777777" w:rsidR="00454A29" w:rsidRDefault="00454A29"/>
        </w:tc>
        <w:tc>
          <w:tcPr>
            <w:tcW w:w="3345" w:type="dxa"/>
            <w:vMerge/>
          </w:tcPr>
          <w:p w14:paraId="5372B9AC" w14:textId="77777777" w:rsidR="00454A29" w:rsidRDefault="00454A29"/>
        </w:tc>
        <w:tc>
          <w:tcPr>
            <w:tcW w:w="1701" w:type="dxa"/>
            <w:vAlign w:val="center"/>
          </w:tcPr>
          <w:p w14:paraId="7349D399" w14:textId="77777777" w:rsidR="00454A29" w:rsidRDefault="00454A29">
            <w:pPr>
              <w:pStyle w:val="ConsPlusNormal"/>
              <w:jc w:val="center"/>
            </w:pPr>
            <w:r>
              <w:t>2023</w:t>
            </w:r>
          </w:p>
        </w:tc>
        <w:tc>
          <w:tcPr>
            <w:tcW w:w="1417" w:type="dxa"/>
            <w:vMerge/>
          </w:tcPr>
          <w:p w14:paraId="724785CC" w14:textId="77777777" w:rsidR="00454A29" w:rsidRDefault="00454A29"/>
        </w:tc>
        <w:tc>
          <w:tcPr>
            <w:tcW w:w="2204" w:type="dxa"/>
            <w:vMerge/>
          </w:tcPr>
          <w:p w14:paraId="3CE4CEA2" w14:textId="77777777" w:rsidR="00454A29" w:rsidRDefault="00454A29"/>
        </w:tc>
        <w:tc>
          <w:tcPr>
            <w:tcW w:w="1417" w:type="dxa"/>
            <w:vMerge/>
          </w:tcPr>
          <w:p w14:paraId="30D7E981" w14:textId="77777777" w:rsidR="00454A29" w:rsidRDefault="00454A29"/>
        </w:tc>
        <w:tc>
          <w:tcPr>
            <w:tcW w:w="2324" w:type="dxa"/>
            <w:vMerge/>
          </w:tcPr>
          <w:p w14:paraId="6625CCBB" w14:textId="77777777" w:rsidR="00454A29" w:rsidRDefault="00454A29"/>
        </w:tc>
        <w:tc>
          <w:tcPr>
            <w:tcW w:w="1701" w:type="dxa"/>
            <w:vAlign w:val="center"/>
          </w:tcPr>
          <w:p w14:paraId="532C1E17" w14:textId="77777777" w:rsidR="00454A29" w:rsidRDefault="00454A29">
            <w:pPr>
              <w:pStyle w:val="ConsPlusNormal"/>
            </w:pPr>
          </w:p>
        </w:tc>
        <w:tc>
          <w:tcPr>
            <w:tcW w:w="1814" w:type="dxa"/>
            <w:vAlign w:val="center"/>
          </w:tcPr>
          <w:p w14:paraId="5E8B315E" w14:textId="77777777" w:rsidR="00454A29" w:rsidRDefault="00454A29">
            <w:pPr>
              <w:pStyle w:val="ConsPlusNormal"/>
            </w:pPr>
          </w:p>
        </w:tc>
        <w:tc>
          <w:tcPr>
            <w:tcW w:w="1701" w:type="dxa"/>
            <w:vAlign w:val="center"/>
          </w:tcPr>
          <w:p w14:paraId="1CF1DB43" w14:textId="77777777" w:rsidR="00454A29" w:rsidRDefault="00454A29">
            <w:pPr>
              <w:pStyle w:val="ConsPlusNormal"/>
            </w:pPr>
          </w:p>
        </w:tc>
        <w:tc>
          <w:tcPr>
            <w:tcW w:w="1701" w:type="dxa"/>
            <w:vAlign w:val="center"/>
          </w:tcPr>
          <w:p w14:paraId="05755357" w14:textId="77777777" w:rsidR="00454A29" w:rsidRDefault="00454A29">
            <w:pPr>
              <w:pStyle w:val="ConsPlusNormal"/>
            </w:pPr>
          </w:p>
        </w:tc>
        <w:tc>
          <w:tcPr>
            <w:tcW w:w="1814" w:type="dxa"/>
            <w:vAlign w:val="center"/>
          </w:tcPr>
          <w:p w14:paraId="010AD45A" w14:textId="77777777" w:rsidR="00454A29" w:rsidRDefault="00454A29">
            <w:pPr>
              <w:pStyle w:val="ConsPlusNormal"/>
            </w:pPr>
          </w:p>
        </w:tc>
      </w:tr>
      <w:tr w:rsidR="00454A29" w14:paraId="054ACB3B" w14:textId="77777777">
        <w:tc>
          <w:tcPr>
            <w:tcW w:w="567" w:type="dxa"/>
            <w:vMerge/>
          </w:tcPr>
          <w:p w14:paraId="50AD4553" w14:textId="77777777" w:rsidR="00454A29" w:rsidRDefault="00454A29"/>
        </w:tc>
        <w:tc>
          <w:tcPr>
            <w:tcW w:w="3345" w:type="dxa"/>
            <w:vMerge/>
          </w:tcPr>
          <w:p w14:paraId="224958EF" w14:textId="77777777" w:rsidR="00454A29" w:rsidRDefault="00454A29"/>
        </w:tc>
        <w:tc>
          <w:tcPr>
            <w:tcW w:w="1701" w:type="dxa"/>
            <w:vAlign w:val="center"/>
          </w:tcPr>
          <w:p w14:paraId="72E58776" w14:textId="77777777" w:rsidR="00454A29" w:rsidRDefault="00454A29">
            <w:pPr>
              <w:pStyle w:val="ConsPlusNormal"/>
              <w:jc w:val="center"/>
            </w:pPr>
            <w:r>
              <w:t>2024</w:t>
            </w:r>
          </w:p>
        </w:tc>
        <w:tc>
          <w:tcPr>
            <w:tcW w:w="1417" w:type="dxa"/>
            <w:vMerge/>
          </w:tcPr>
          <w:p w14:paraId="6A8AB45F" w14:textId="77777777" w:rsidR="00454A29" w:rsidRDefault="00454A29"/>
        </w:tc>
        <w:tc>
          <w:tcPr>
            <w:tcW w:w="2204" w:type="dxa"/>
            <w:vMerge/>
          </w:tcPr>
          <w:p w14:paraId="6636A01D" w14:textId="77777777" w:rsidR="00454A29" w:rsidRDefault="00454A29"/>
        </w:tc>
        <w:tc>
          <w:tcPr>
            <w:tcW w:w="1417" w:type="dxa"/>
            <w:vMerge/>
          </w:tcPr>
          <w:p w14:paraId="58A95F30" w14:textId="77777777" w:rsidR="00454A29" w:rsidRDefault="00454A29"/>
        </w:tc>
        <w:tc>
          <w:tcPr>
            <w:tcW w:w="2324" w:type="dxa"/>
            <w:vMerge/>
          </w:tcPr>
          <w:p w14:paraId="74B5886E" w14:textId="77777777" w:rsidR="00454A29" w:rsidRDefault="00454A29"/>
        </w:tc>
        <w:tc>
          <w:tcPr>
            <w:tcW w:w="1701" w:type="dxa"/>
            <w:vAlign w:val="center"/>
          </w:tcPr>
          <w:p w14:paraId="733FD58D" w14:textId="77777777" w:rsidR="00454A29" w:rsidRDefault="00454A29">
            <w:pPr>
              <w:pStyle w:val="ConsPlusNormal"/>
            </w:pPr>
          </w:p>
        </w:tc>
        <w:tc>
          <w:tcPr>
            <w:tcW w:w="1814" w:type="dxa"/>
            <w:vAlign w:val="center"/>
          </w:tcPr>
          <w:p w14:paraId="72F06A25" w14:textId="77777777" w:rsidR="00454A29" w:rsidRDefault="00454A29">
            <w:pPr>
              <w:pStyle w:val="ConsPlusNormal"/>
            </w:pPr>
          </w:p>
        </w:tc>
        <w:tc>
          <w:tcPr>
            <w:tcW w:w="1701" w:type="dxa"/>
            <w:vAlign w:val="center"/>
          </w:tcPr>
          <w:p w14:paraId="0C250B40" w14:textId="77777777" w:rsidR="00454A29" w:rsidRDefault="00454A29">
            <w:pPr>
              <w:pStyle w:val="ConsPlusNormal"/>
            </w:pPr>
          </w:p>
        </w:tc>
        <w:tc>
          <w:tcPr>
            <w:tcW w:w="1701" w:type="dxa"/>
            <w:vAlign w:val="center"/>
          </w:tcPr>
          <w:p w14:paraId="042D48D5" w14:textId="77777777" w:rsidR="00454A29" w:rsidRDefault="00454A29">
            <w:pPr>
              <w:pStyle w:val="ConsPlusNormal"/>
            </w:pPr>
          </w:p>
        </w:tc>
        <w:tc>
          <w:tcPr>
            <w:tcW w:w="1814" w:type="dxa"/>
            <w:vAlign w:val="center"/>
          </w:tcPr>
          <w:p w14:paraId="584FB7CB" w14:textId="77777777" w:rsidR="00454A29" w:rsidRDefault="00454A29">
            <w:pPr>
              <w:pStyle w:val="ConsPlusNormal"/>
            </w:pPr>
          </w:p>
        </w:tc>
      </w:tr>
      <w:tr w:rsidR="00454A29" w14:paraId="2E5B5D84" w14:textId="77777777">
        <w:tc>
          <w:tcPr>
            <w:tcW w:w="567" w:type="dxa"/>
            <w:vMerge/>
          </w:tcPr>
          <w:p w14:paraId="216339CD" w14:textId="77777777" w:rsidR="00454A29" w:rsidRDefault="00454A29"/>
        </w:tc>
        <w:tc>
          <w:tcPr>
            <w:tcW w:w="3345" w:type="dxa"/>
            <w:vMerge/>
          </w:tcPr>
          <w:p w14:paraId="76AD3D1E" w14:textId="77777777" w:rsidR="00454A29" w:rsidRDefault="00454A29"/>
        </w:tc>
        <w:tc>
          <w:tcPr>
            <w:tcW w:w="1701" w:type="dxa"/>
            <w:vAlign w:val="center"/>
          </w:tcPr>
          <w:p w14:paraId="6F0EAB52" w14:textId="77777777" w:rsidR="00454A29" w:rsidRDefault="00454A29">
            <w:pPr>
              <w:pStyle w:val="ConsPlusNormal"/>
              <w:jc w:val="center"/>
            </w:pPr>
            <w:r>
              <w:t>2025</w:t>
            </w:r>
          </w:p>
        </w:tc>
        <w:tc>
          <w:tcPr>
            <w:tcW w:w="1417" w:type="dxa"/>
            <w:vMerge/>
          </w:tcPr>
          <w:p w14:paraId="20CF59B5" w14:textId="77777777" w:rsidR="00454A29" w:rsidRDefault="00454A29"/>
        </w:tc>
        <w:tc>
          <w:tcPr>
            <w:tcW w:w="2204" w:type="dxa"/>
            <w:vMerge/>
          </w:tcPr>
          <w:p w14:paraId="4DB14467" w14:textId="77777777" w:rsidR="00454A29" w:rsidRDefault="00454A29"/>
        </w:tc>
        <w:tc>
          <w:tcPr>
            <w:tcW w:w="1417" w:type="dxa"/>
            <w:vMerge/>
          </w:tcPr>
          <w:p w14:paraId="249A007B" w14:textId="77777777" w:rsidR="00454A29" w:rsidRDefault="00454A29"/>
        </w:tc>
        <w:tc>
          <w:tcPr>
            <w:tcW w:w="2324" w:type="dxa"/>
            <w:vMerge/>
          </w:tcPr>
          <w:p w14:paraId="43113916" w14:textId="77777777" w:rsidR="00454A29" w:rsidRDefault="00454A29"/>
        </w:tc>
        <w:tc>
          <w:tcPr>
            <w:tcW w:w="1701" w:type="dxa"/>
            <w:vAlign w:val="center"/>
          </w:tcPr>
          <w:p w14:paraId="06C7E8FF" w14:textId="77777777" w:rsidR="00454A29" w:rsidRDefault="00454A29">
            <w:pPr>
              <w:pStyle w:val="ConsPlusNormal"/>
            </w:pPr>
          </w:p>
        </w:tc>
        <w:tc>
          <w:tcPr>
            <w:tcW w:w="1814" w:type="dxa"/>
            <w:vAlign w:val="center"/>
          </w:tcPr>
          <w:p w14:paraId="3E42369C" w14:textId="77777777" w:rsidR="00454A29" w:rsidRDefault="00454A29">
            <w:pPr>
              <w:pStyle w:val="ConsPlusNormal"/>
            </w:pPr>
          </w:p>
        </w:tc>
        <w:tc>
          <w:tcPr>
            <w:tcW w:w="1701" w:type="dxa"/>
            <w:vAlign w:val="center"/>
          </w:tcPr>
          <w:p w14:paraId="0D35CC73" w14:textId="77777777" w:rsidR="00454A29" w:rsidRDefault="00454A29">
            <w:pPr>
              <w:pStyle w:val="ConsPlusNormal"/>
            </w:pPr>
          </w:p>
        </w:tc>
        <w:tc>
          <w:tcPr>
            <w:tcW w:w="1701" w:type="dxa"/>
            <w:vAlign w:val="center"/>
          </w:tcPr>
          <w:p w14:paraId="63F12015" w14:textId="77777777" w:rsidR="00454A29" w:rsidRDefault="00454A29">
            <w:pPr>
              <w:pStyle w:val="ConsPlusNormal"/>
            </w:pPr>
          </w:p>
        </w:tc>
        <w:tc>
          <w:tcPr>
            <w:tcW w:w="1814" w:type="dxa"/>
            <w:vAlign w:val="center"/>
          </w:tcPr>
          <w:p w14:paraId="3468AA55" w14:textId="77777777" w:rsidR="00454A29" w:rsidRDefault="00454A29">
            <w:pPr>
              <w:pStyle w:val="ConsPlusNormal"/>
            </w:pPr>
          </w:p>
        </w:tc>
      </w:tr>
      <w:tr w:rsidR="00454A29" w14:paraId="2497031A" w14:textId="77777777">
        <w:tc>
          <w:tcPr>
            <w:tcW w:w="567" w:type="dxa"/>
            <w:vMerge/>
          </w:tcPr>
          <w:p w14:paraId="021F543E" w14:textId="77777777" w:rsidR="00454A29" w:rsidRDefault="00454A29"/>
        </w:tc>
        <w:tc>
          <w:tcPr>
            <w:tcW w:w="3345" w:type="dxa"/>
            <w:vMerge/>
          </w:tcPr>
          <w:p w14:paraId="06EF8659" w14:textId="77777777" w:rsidR="00454A29" w:rsidRDefault="00454A29"/>
        </w:tc>
        <w:tc>
          <w:tcPr>
            <w:tcW w:w="1701" w:type="dxa"/>
            <w:vAlign w:val="center"/>
          </w:tcPr>
          <w:p w14:paraId="2E01C42D" w14:textId="77777777" w:rsidR="00454A29" w:rsidRDefault="00454A29">
            <w:pPr>
              <w:pStyle w:val="ConsPlusNormal"/>
              <w:jc w:val="center"/>
            </w:pPr>
            <w:r>
              <w:t>2026</w:t>
            </w:r>
          </w:p>
        </w:tc>
        <w:tc>
          <w:tcPr>
            <w:tcW w:w="1417" w:type="dxa"/>
            <w:vMerge/>
          </w:tcPr>
          <w:p w14:paraId="14CFB387" w14:textId="77777777" w:rsidR="00454A29" w:rsidRDefault="00454A29"/>
        </w:tc>
        <w:tc>
          <w:tcPr>
            <w:tcW w:w="2204" w:type="dxa"/>
            <w:vMerge/>
          </w:tcPr>
          <w:p w14:paraId="7F270DAE" w14:textId="77777777" w:rsidR="00454A29" w:rsidRDefault="00454A29"/>
        </w:tc>
        <w:tc>
          <w:tcPr>
            <w:tcW w:w="1417" w:type="dxa"/>
            <w:vMerge/>
          </w:tcPr>
          <w:p w14:paraId="1844C749" w14:textId="77777777" w:rsidR="00454A29" w:rsidRDefault="00454A29"/>
        </w:tc>
        <w:tc>
          <w:tcPr>
            <w:tcW w:w="2324" w:type="dxa"/>
            <w:vMerge/>
          </w:tcPr>
          <w:p w14:paraId="219DE927" w14:textId="77777777" w:rsidR="00454A29" w:rsidRDefault="00454A29"/>
        </w:tc>
        <w:tc>
          <w:tcPr>
            <w:tcW w:w="1701" w:type="dxa"/>
            <w:vAlign w:val="center"/>
          </w:tcPr>
          <w:p w14:paraId="42064865" w14:textId="77777777" w:rsidR="00454A29" w:rsidRDefault="00454A29">
            <w:pPr>
              <w:pStyle w:val="ConsPlusNormal"/>
              <w:jc w:val="center"/>
            </w:pPr>
            <w:r>
              <w:t>528409,31</w:t>
            </w:r>
          </w:p>
        </w:tc>
        <w:tc>
          <w:tcPr>
            <w:tcW w:w="1814" w:type="dxa"/>
            <w:vAlign w:val="center"/>
          </w:tcPr>
          <w:p w14:paraId="0614329F" w14:textId="77777777" w:rsidR="00454A29" w:rsidRDefault="00454A29">
            <w:pPr>
              <w:pStyle w:val="ConsPlusNormal"/>
              <w:jc w:val="center"/>
            </w:pPr>
            <w:r>
              <w:t>6510,0112</w:t>
            </w:r>
          </w:p>
        </w:tc>
        <w:tc>
          <w:tcPr>
            <w:tcW w:w="1701" w:type="dxa"/>
            <w:vAlign w:val="center"/>
          </w:tcPr>
          <w:p w14:paraId="4FE6AEC4" w14:textId="77777777" w:rsidR="00454A29" w:rsidRDefault="00454A29">
            <w:pPr>
              <w:pStyle w:val="ConsPlusNormal"/>
              <w:jc w:val="center"/>
            </w:pPr>
            <w:r>
              <w:t>644490,271</w:t>
            </w:r>
          </w:p>
        </w:tc>
        <w:tc>
          <w:tcPr>
            <w:tcW w:w="1701" w:type="dxa"/>
            <w:vAlign w:val="center"/>
          </w:tcPr>
          <w:p w14:paraId="5FCB6719" w14:textId="77777777" w:rsidR="00454A29" w:rsidRDefault="00454A29">
            <w:pPr>
              <w:pStyle w:val="ConsPlusNormal"/>
            </w:pPr>
          </w:p>
        </w:tc>
        <w:tc>
          <w:tcPr>
            <w:tcW w:w="1814" w:type="dxa"/>
            <w:vAlign w:val="center"/>
          </w:tcPr>
          <w:p w14:paraId="193F1861" w14:textId="77777777" w:rsidR="00454A29" w:rsidRDefault="00454A29">
            <w:pPr>
              <w:pStyle w:val="ConsPlusNormal"/>
            </w:pPr>
          </w:p>
        </w:tc>
      </w:tr>
      <w:tr w:rsidR="00454A29" w14:paraId="417E2AA2" w14:textId="77777777">
        <w:tc>
          <w:tcPr>
            <w:tcW w:w="567" w:type="dxa"/>
            <w:vMerge w:val="restart"/>
            <w:vAlign w:val="center"/>
          </w:tcPr>
          <w:p w14:paraId="505EC952" w14:textId="77777777" w:rsidR="00454A29" w:rsidRDefault="00454A29">
            <w:pPr>
              <w:pStyle w:val="ConsPlusNormal"/>
              <w:jc w:val="center"/>
            </w:pPr>
            <w:r>
              <w:t>70</w:t>
            </w:r>
          </w:p>
        </w:tc>
        <w:tc>
          <w:tcPr>
            <w:tcW w:w="3345" w:type="dxa"/>
            <w:vMerge w:val="restart"/>
            <w:vAlign w:val="center"/>
          </w:tcPr>
          <w:p w14:paraId="5F5E3690" w14:textId="77777777" w:rsidR="00454A29" w:rsidRDefault="00454A29">
            <w:pPr>
              <w:pStyle w:val="ConsPlusNormal"/>
              <w:jc w:val="center"/>
            </w:pPr>
            <w:r>
              <w:t>Школа на 90 учащихся в с. Телиги</w:t>
            </w:r>
          </w:p>
        </w:tc>
        <w:tc>
          <w:tcPr>
            <w:tcW w:w="1701" w:type="dxa"/>
            <w:vAlign w:val="center"/>
          </w:tcPr>
          <w:p w14:paraId="3C60221B" w14:textId="77777777" w:rsidR="00454A29" w:rsidRDefault="00454A29">
            <w:pPr>
              <w:pStyle w:val="ConsPlusNormal"/>
              <w:jc w:val="center"/>
            </w:pPr>
            <w:r>
              <w:t>2020 - 2026 годы - всего</w:t>
            </w:r>
          </w:p>
        </w:tc>
        <w:tc>
          <w:tcPr>
            <w:tcW w:w="1417" w:type="dxa"/>
            <w:vMerge w:val="restart"/>
            <w:vAlign w:val="center"/>
          </w:tcPr>
          <w:p w14:paraId="4F093FF2" w14:textId="77777777" w:rsidR="00454A29" w:rsidRDefault="00454A29">
            <w:pPr>
              <w:pStyle w:val="ConsPlusNormal"/>
              <w:jc w:val="center"/>
            </w:pPr>
            <w:r>
              <w:t>331 042,08</w:t>
            </w:r>
          </w:p>
        </w:tc>
        <w:tc>
          <w:tcPr>
            <w:tcW w:w="2204" w:type="dxa"/>
            <w:vMerge w:val="restart"/>
            <w:vAlign w:val="center"/>
          </w:tcPr>
          <w:p w14:paraId="30E71476" w14:textId="77777777" w:rsidR="00454A29" w:rsidRDefault="00454A29">
            <w:pPr>
              <w:pStyle w:val="ConsPlusNormal"/>
            </w:pPr>
          </w:p>
        </w:tc>
        <w:tc>
          <w:tcPr>
            <w:tcW w:w="1417" w:type="dxa"/>
            <w:vMerge w:val="restart"/>
            <w:vAlign w:val="center"/>
          </w:tcPr>
          <w:p w14:paraId="2C08BBC6" w14:textId="77777777" w:rsidR="00454A29" w:rsidRDefault="00454A29">
            <w:pPr>
              <w:pStyle w:val="ConsPlusNormal"/>
              <w:jc w:val="center"/>
            </w:pPr>
            <w:r>
              <w:t>90</w:t>
            </w:r>
          </w:p>
        </w:tc>
        <w:tc>
          <w:tcPr>
            <w:tcW w:w="2324" w:type="dxa"/>
            <w:vMerge w:val="restart"/>
            <w:vAlign w:val="center"/>
          </w:tcPr>
          <w:p w14:paraId="66186AA7"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51C06CB2" w14:textId="77777777" w:rsidR="00454A29" w:rsidRDefault="00454A29">
            <w:pPr>
              <w:pStyle w:val="ConsPlusNormal"/>
              <w:jc w:val="center"/>
            </w:pPr>
            <w:r>
              <w:lastRenderedPageBreak/>
              <w:t>331 042,08</w:t>
            </w:r>
          </w:p>
        </w:tc>
        <w:tc>
          <w:tcPr>
            <w:tcW w:w="1814" w:type="dxa"/>
            <w:vAlign w:val="center"/>
          </w:tcPr>
          <w:p w14:paraId="5E16D54F" w14:textId="77777777" w:rsidR="00454A29" w:rsidRDefault="00454A29">
            <w:pPr>
              <w:pStyle w:val="ConsPlusNormal"/>
              <w:jc w:val="center"/>
            </w:pPr>
            <w:r>
              <w:t>4 078,44</w:t>
            </w:r>
          </w:p>
        </w:tc>
        <w:tc>
          <w:tcPr>
            <w:tcW w:w="1701" w:type="dxa"/>
            <w:vAlign w:val="center"/>
          </w:tcPr>
          <w:p w14:paraId="2D022013" w14:textId="77777777" w:rsidR="00454A29" w:rsidRDefault="00454A29">
            <w:pPr>
              <w:pStyle w:val="ConsPlusNormal"/>
              <w:jc w:val="center"/>
            </w:pPr>
            <w:r>
              <w:t>403 765,41</w:t>
            </w:r>
          </w:p>
        </w:tc>
        <w:tc>
          <w:tcPr>
            <w:tcW w:w="1701" w:type="dxa"/>
            <w:vAlign w:val="center"/>
          </w:tcPr>
          <w:p w14:paraId="459553B7" w14:textId="77777777" w:rsidR="00454A29" w:rsidRDefault="00454A29">
            <w:pPr>
              <w:pStyle w:val="ConsPlusNormal"/>
              <w:jc w:val="center"/>
            </w:pPr>
            <w:r>
              <w:t>-</w:t>
            </w:r>
          </w:p>
        </w:tc>
        <w:tc>
          <w:tcPr>
            <w:tcW w:w="1814" w:type="dxa"/>
            <w:vAlign w:val="center"/>
          </w:tcPr>
          <w:p w14:paraId="0CB97304" w14:textId="77777777" w:rsidR="00454A29" w:rsidRDefault="00454A29">
            <w:pPr>
              <w:pStyle w:val="ConsPlusNormal"/>
              <w:jc w:val="center"/>
            </w:pPr>
            <w:r>
              <w:t>-</w:t>
            </w:r>
          </w:p>
        </w:tc>
      </w:tr>
      <w:tr w:rsidR="00454A29" w14:paraId="72F0EFFC" w14:textId="77777777">
        <w:tc>
          <w:tcPr>
            <w:tcW w:w="567" w:type="dxa"/>
            <w:vMerge/>
          </w:tcPr>
          <w:p w14:paraId="20365BF3" w14:textId="77777777" w:rsidR="00454A29" w:rsidRDefault="00454A29"/>
        </w:tc>
        <w:tc>
          <w:tcPr>
            <w:tcW w:w="3345" w:type="dxa"/>
            <w:vMerge/>
          </w:tcPr>
          <w:p w14:paraId="60723D9C" w14:textId="77777777" w:rsidR="00454A29" w:rsidRDefault="00454A29"/>
        </w:tc>
        <w:tc>
          <w:tcPr>
            <w:tcW w:w="1701" w:type="dxa"/>
            <w:vAlign w:val="center"/>
          </w:tcPr>
          <w:p w14:paraId="19B27CB1" w14:textId="77777777" w:rsidR="00454A29" w:rsidRDefault="00454A29">
            <w:pPr>
              <w:pStyle w:val="ConsPlusNormal"/>
              <w:jc w:val="center"/>
            </w:pPr>
            <w:r>
              <w:t>2020</w:t>
            </w:r>
          </w:p>
        </w:tc>
        <w:tc>
          <w:tcPr>
            <w:tcW w:w="1417" w:type="dxa"/>
            <w:vMerge/>
          </w:tcPr>
          <w:p w14:paraId="6F663ECE" w14:textId="77777777" w:rsidR="00454A29" w:rsidRDefault="00454A29"/>
        </w:tc>
        <w:tc>
          <w:tcPr>
            <w:tcW w:w="2204" w:type="dxa"/>
            <w:vMerge/>
          </w:tcPr>
          <w:p w14:paraId="408460FE" w14:textId="77777777" w:rsidR="00454A29" w:rsidRDefault="00454A29"/>
        </w:tc>
        <w:tc>
          <w:tcPr>
            <w:tcW w:w="1417" w:type="dxa"/>
            <w:vMerge/>
          </w:tcPr>
          <w:p w14:paraId="3189C95D" w14:textId="77777777" w:rsidR="00454A29" w:rsidRDefault="00454A29"/>
        </w:tc>
        <w:tc>
          <w:tcPr>
            <w:tcW w:w="2324" w:type="dxa"/>
            <w:vMerge/>
          </w:tcPr>
          <w:p w14:paraId="0DFECD81" w14:textId="77777777" w:rsidR="00454A29" w:rsidRDefault="00454A29"/>
        </w:tc>
        <w:tc>
          <w:tcPr>
            <w:tcW w:w="1701" w:type="dxa"/>
            <w:vAlign w:val="center"/>
          </w:tcPr>
          <w:p w14:paraId="031E83BE" w14:textId="77777777" w:rsidR="00454A29" w:rsidRDefault="00454A29">
            <w:pPr>
              <w:pStyle w:val="ConsPlusNormal"/>
            </w:pPr>
          </w:p>
        </w:tc>
        <w:tc>
          <w:tcPr>
            <w:tcW w:w="1814" w:type="dxa"/>
            <w:vAlign w:val="center"/>
          </w:tcPr>
          <w:p w14:paraId="44B0B424" w14:textId="77777777" w:rsidR="00454A29" w:rsidRDefault="00454A29">
            <w:pPr>
              <w:pStyle w:val="ConsPlusNormal"/>
            </w:pPr>
          </w:p>
        </w:tc>
        <w:tc>
          <w:tcPr>
            <w:tcW w:w="1701" w:type="dxa"/>
            <w:vAlign w:val="center"/>
          </w:tcPr>
          <w:p w14:paraId="49FB91B0" w14:textId="77777777" w:rsidR="00454A29" w:rsidRDefault="00454A29">
            <w:pPr>
              <w:pStyle w:val="ConsPlusNormal"/>
            </w:pPr>
          </w:p>
        </w:tc>
        <w:tc>
          <w:tcPr>
            <w:tcW w:w="1701" w:type="dxa"/>
            <w:vAlign w:val="center"/>
          </w:tcPr>
          <w:p w14:paraId="5310D7CA" w14:textId="77777777" w:rsidR="00454A29" w:rsidRDefault="00454A29">
            <w:pPr>
              <w:pStyle w:val="ConsPlusNormal"/>
            </w:pPr>
          </w:p>
        </w:tc>
        <w:tc>
          <w:tcPr>
            <w:tcW w:w="1814" w:type="dxa"/>
            <w:vAlign w:val="center"/>
          </w:tcPr>
          <w:p w14:paraId="48334BD4" w14:textId="77777777" w:rsidR="00454A29" w:rsidRDefault="00454A29">
            <w:pPr>
              <w:pStyle w:val="ConsPlusNormal"/>
            </w:pPr>
          </w:p>
        </w:tc>
      </w:tr>
      <w:tr w:rsidR="00454A29" w14:paraId="35D801B6" w14:textId="77777777">
        <w:tc>
          <w:tcPr>
            <w:tcW w:w="567" w:type="dxa"/>
            <w:vMerge/>
          </w:tcPr>
          <w:p w14:paraId="20338CF0" w14:textId="77777777" w:rsidR="00454A29" w:rsidRDefault="00454A29"/>
        </w:tc>
        <w:tc>
          <w:tcPr>
            <w:tcW w:w="3345" w:type="dxa"/>
            <w:vMerge/>
          </w:tcPr>
          <w:p w14:paraId="74B2865C" w14:textId="77777777" w:rsidR="00454A29" w:rsidRDefault="00454A29"/>
        </w:tc>
        <w:tc>
          <w:tcPr>
            <w:tcW w:w="1701" w:type="dxa"/>
            <w:vAlign w:val="center"/>
          </w:tcPr>
          <w:p w14:paraId="7FD979F2" w14:textId="77777777" w:rsidR="00454A29" w:rsidRDefault="00454A29">
            <w:pPr>
              <w:pStyle w:val="ConsPlusNormal"/>
              <w:jc w:val="center"/>
            </w:pPr>
            <w:r>
              <w:t>2021</w:t>
            </w:r>
          </w:p>
        </w:tc>
        <w:tc>
          <w:tcPr>
            <w:tcW w:w="1417" w:type="dxa"/>
            <w:vMerge/>
          </w:tcPr>
          <w:p w14:paraId="552822F0" w14:textId="77777777" w:rsidR="00454A29" w:rsidRDefault="00454A29"/>
        </w:tc>
        <w:tc>
          <w:tcPr>
            <w:tcW w:w="2204" w:type="dxa"/>
            <w:vMerge/>
          </w:tcPr>
          <w:p w14:paraId="7FD12BEC" w14:textId="77777777" w:rsidR="00454A29" w:rsidRDefault="00454A29"/>
        </w:tc>
        <w:tc>
          <w:tcPr>
            <w:tcW w:w="1417" w:type="dxa"/>
            <w:vMerge/>
          </w:tcPr>
          <w:p w14:paraId="168EFBAA" w14:textId="77777777" w:rsidR="00454A29" w:rsidRDefault="00454A29"/>
        </w:tc>
        <w:tc>
          <w:tcPr>
            <w:tcW w:w="2324" w:type="dxa"/>
            <w:vMerge/>
          </w:tcPr>
          <w:p w14:paraId="06597736" w14:textId="77777777" w:rsidR="00454A29" w:rsidRDefault="00454A29"/>
        </w:tc>
        <w:tc>
          <w:tcPr>
            <w:tcW w:w="1701" w:type="dxa"/>
            <w:vAlign w:val="center"/>
          </w:tcPr>
          <w:p w14:paraId="313F0CEA" w14:textId="77777777" w:rsidR="00454A29" w:rsidRDefault="00454A29">
            <w:pPr>
              <w:pStyle w:val="ConsPlusNormal"/>
            </w:pPr>
          </w:p>
        </w:tc>
        <w:tc>
          <w:tcPr>
            <w:tcW w:w="1814" w:type="dxa"/>
            <w:vAlign w:val="center"/>
          </w:tcPr>
          <w:p w14:paraId="5ADF2C9F" w14:textId="77777777" w:rsidR="00454A29" w:rsidRDefault="00454A29">
            <w:pPr>
              <w:pStyle w:val="ConsPlusNormal"/>
            </w:pPr>
          </w:p>
        </w:tc>
        <w:tc>
          <w:tcPr>
            <w:tcW w:w="1701" w:type="dxa"/>
            <w:vAlign w:val="center"/>
          </w:tcPr>
          <w:p w14:paraId="3EBFB1C5" w14:textId="77777777" w:rsidR="00454A29" w:rsidRDefault="00454A29">
            <w:pPr>
              <w:pStyle w:val="ConsPlusNormal"/>
            </w:pPr>
          </w:p>
        </w:tc>
        <w:tc>
          <w:tcPr>
            <w:tcW w:w="1701" w:type="dxa"/>
            <w:vAlign w:val="center"/>
          </w:tcPr>
          <w:p w14:paraId="5B139C85" w14:textId="77777777" w:rsidR="00454A29" w:rsidRDefault="00454A29">
            <w:pPr>
              <w:pStyle w:val="ConsPlusNormal"/>
            </w:pPr>
          </w:p>
        </w:tc>
        <w:tc>
          <w:tcPr>
            <w:tcW w:w="1814" w:type="dxa"/>
            <w:vAlign w:val="center"/>
          </w:tcPr>
          <w:p w14:paraId="1A687EDF" w14:textId="77777777" w:rsidR="00454A29" w:rsidRDefault="00454A29">
            <w:pPr>
              <w:pStyle w:val="ConsPlusNormal"/>
            </w:pPr>
          </w:p>
        </w:tc>
      </w:tr>
      <w:tr w:rsidR="00454A29" w14:paraId="47D7A0A1" w14:textId="77777777">
        <w:tc>
          <w:tcPr>
            <w:tcW w:w="567" w:type="dxa"/>
            <w:vMerge/>
          </w:tcPr>
          <w:p w14:paraId="3AC66EA5" w14:textId="77777777" w:rsidR="00454A29" w:rsidRDefault="00454A29"/>
        </w:tc>
        <w:tc>
          <w:tcPr>
            <w:tcW w:w="3345" w:type="dxa"/>
            <w:vMerge/>
          </w:tcPr>
          <w:p w14:paraId="698F8D60" w14:textId="77777777" w:rsidR="00454A29" w:rsidRDefault="00454A29"/>
        </w:tc>
        <w:tc>
          <w:tcPr>
            <w:tcW w:w="1701" w:type="dxa"/>
            <w:vAlign w:val="center"/>
          </w:tcPr>
          <w:p w14:paraId="432F891F" w14:textId="77777777" w:rsidR="00454A29" w:rsidRDefault="00454A29">
            <w:pPr>
              <w:pStyle w:val="ConsPlusNormal"/>
              <w:jc w:val="center"/>
            </w:pPr>
            <w:r>
              <w:t>2022</w:t>
            </w:r>
          </w:p>
        </w:tc>
        <w:tc>
          <w:tcPr>
            <w:tcW w:w="1417" w:type="dxa"/>
            <w:vMerge/>
          </w:tcPr>
          <w:p w14:paraId="11AC3DA9" w14:textId="77777777" w:rsidR="00454A29" w:rsidRDefault="00454A29"/>
        </w:tc>
        <w:tc>
          <w:tcPr>
            <w:tcW w:w="2204" w:type="dxa"/>
            <w:vMerge/>
          </w:tcPr>
          <w:p w14:paraId="17C6363E" w14:textId="77777777" w:rsidR="00454A29" w:rsidRDefault="00454A29"/>
        </w:tc>
        <w:tc>
          <w:tcPr>
            <w:tcW w:w="1417" w:type="dxa"/>
            <w:vMerge/>
          </w:tcPr>
          <w:p w14:paraId="2A1BA4B1" w14:textId="77777777" w:rsidR="00454A29" w:rsidRDefault="00454A29"/>
        </w:tc>
        <w:tc>
          <w:tcPr>
            <w:tcW w:w="2324" w:type="dxa"/>
            <w:vMerge/>
          </w:tcPr>
          <w:p w14:paraId="0189EEAD" w14:textId="77777777" w:rsidR="00454A29" w:rsidRDefault="00454A29"/>
        </w:tc>
        <w:tc>
          <w:tcPr>
            <w:tcW w:w="1701" w:type="dxa"/>
            <w:vAlign w:val="center"/>
          </w:tcPr>
          <w:p w14:paraId="23960431" w14:textId="77777777" w:rsidR="00454A29" w:rsidRDefault="00454A29">
            <w:pPr>
              <w:pStyle w:val="ConsPlusNormal"/>
            </w:pPr>
          </w:p>
        </w:tc>
        <w:tc>
          <w:tcPr>
            <w:tcW w:w="1814" w:type="dxa"/>
            <w:vAlign w:val="center"/>
          </w:tcPr>
          <w:p w14:paraId="4D2B9F1F" w14:textId="77777777" w:rsidR="00454A29" w:rsidRDefault="00454A29">
            <w:pPr>
              <w:pStyle w:val="ConsPlusNormal"/>
            </w:pPr>
          </w:p>
        </w:tc>
        <w:tc>
          <w:tcPr>
            <w:tcW w:w="1701" w:type="dxa"/>
            <w:vAlign w:val="center"/>
          </w:tcPr>
          <w:p w14:paraId="1D844D01" w14:textId="77777777" w:rsidR="00454A29" w:rsidRDefault="00454A29">
            <w:pPr>
              <w:pStyle w:val="ConsPlusNormal"/>
            </w:pPr>
          </w:p>
        </w:tc>
        <w:tc>
          <w:tcPr>
            <w:tcW w:w="1701" w:type="dxa"/>
            <w:vAlign w:val="center"/>
          </w:tcPr>
          <w:p w14:paraId="778AEE56" w14:textId="77777777" w:rsidR="00454A29" w:rsidRDefault="00454A29">
            <w:pPr>
              <w:pStyle w:val="ConsPlusNormal"/>
            </w:pPr>
          </w:p>
        </w:tc>
        <w:tc>
          <w:tcPr>
            <w:tcW w:w="1814" w:type="dxa"/>
            <w:vAlign w:val="center"/>
          </w:tcPr>
          <w:p w14:paraId="27E64451" w14:textId="77777777" w:rsidR="00454A29" w:rsidRDefault="00454A29">
            <w:pPr>
              <w:pStyle w:val="ConsPlusNormal"/>
            </w:pPr>
          </w:p>
        </w:tc>
      </w:tr>
      <w:tr w:rsidR="00454A29" w14:paraId="420A3A06" w14:textId="77777777">
        <w:tc>
          <w:tcPr>
            <w:tcW w:w="567" w:type="dxa"/>
            <w:vMerge/>
          </w:tcPr>
          <w:p w14:paraId="363A2C16" w14:textId="77777777" w:rsidR="00454A29" w:rsidRDefault="00454A29"/>
        </w:tc>
        <w:tc>
          <w:tcPr>
            <w:tcW w:w="3345" w:type="dxa"/>
            <w:vMerge/>
          </w:tcPr>
          <w:p w14:paraId="70BA1B89" w14:textId="77777777" w:rsidR="00454A29" w:rsidRDefault="00454A29"/>
        </w:tc>
        <w:tc>
          <w:tcPr>
            <w:tcW w:w="1701" w:type="dxa"/>
            <w:vAlign w:val="center"/>
          </w:tcPr>
          <w:p w14:paraId="2EBF44EA" w14:textId="77777777" w:rsidR="00454A29" w:rsidRDefault="00454A29">
            <w:pPr>
              <w:pStyle w:val="ConsPlusNormal"/>
              <w:jc w:val="center"/>
            </w:pPr>
            <w:r>
              <w:t>2023</w:t>
            </w:r>
          </w:p>
        </w:tc>
        <w:tc>
          <w:tcPr>
            <w:tcW w:w="1417" w:type="dxa"/>
            <w:vMerge/>
          </w:tcPr>
          <w:p w14:paraId="7AC39F71" w14:textId="77777777" w:rsidR="00454A29" w:rsidRDefault="00454A29"/>
        </w:tc>
        <w:tc>
          <w:tcPr>
            <w:tcW w:w="2204" w:type="dxa"/>
            <w:vMerge/>
          </w:tcPr>
          <w:p w14:paraId="3DC8BB78" w14:textId="77777777" w:rsidR="00454A29" w:rsidRDefault="00454A29"/>
        </w:tc>
        <w:tc>
          <w:tcPr>
            <w:tcW w:w="1417" w:type="dxa"/>
            <w:vMerge/>
          </w:tcPr>
          <w:p w14:paraId="58CCC987" w14:textId="77777777" w:rsidR="00454A29" w:rsidRDefault="00454A29"/>
        </w:tc>
        <w:tc>
          <w:tcPr>
            <w:tcW w:w="2324" w:type="dxa"/>
            <w:vMerge/>
          </w:tcPr>
          <w:p w14:paraId="435C1F34" w14:textId="77777777" w:rsidR="00454A29" w:rsidRDefault="00454A29"/>
        </w:tc>
        <w:tc>
          <w:tcPr>
            <w:tcW w:w="1701" w:type="dxa"/>
            <w:vAlign w:val="center"/>
          </w:tcPr>
          <w:p w14:paraId="4025DB97" w14:textId="77777777" w:rsidR="00454A29" w:rsidRDefault="00454A29">
            <w:pPr>
              <w:pStyle w:val="ConsPlusNormal"/>
            </w:pPr>
          </w:p>
        </w:tc>
        <w:tc>
          <w:tcPr>
            <w:tcW w:w="1814" w:type="dxa"/>
            <w:vAlign w:val="center"/>
          </w:tcPr>
          <w:p w14:paraId="0766178F" w14:textId="77777777" w:rsidR="00454A29" w:rsidRDefault="00454A29">
            <w:pPr>
              <w:pStyle w:val="ConsPlusNormal"/>
            </w:pPr>
          </w:p>
        </w:tc>
        <w:tc>
          <w:tcPr>
            <w:tcW w:w="1701" w:type="dxa"/>
            <w:vAlign w:val="center"/>
          </w:tcPr>
          <w:p w14:paraId="72A28B68" w14:textId="77777777" w:rsidR="00454A29" w:rsidRDefault="00454A29">
            <w:pPr>
              <w:pStyle w:val="ConsPlusNormal"/>
            </w:pPr>
          </w:p>
        </w:tc>
        <w:tc>
          <w:tcPr>
            <w:tcW w:w="1701" w:type="dxa"/>
            <w:vAlign w:val="center"/>
          </w:tcPr>
          <w:p w14:paraId="60CB1967" w14:textId="77777777" w:rsidR="00454A29" w:rsidRDefault="00454A29">
            <w:pPr>
              <w:pStyle w:val="ConsPlusNormal"/>
            </w:pPr>
          </w:p>
        </w:tc>
        <w:tc>
          <w:tcPr>
            <w:tcW w:w="1814" w:type="dxa"/>
            <w:vAlign w:val="center"/>
          </w:tcPr>
          <w:p w14:paraId="6A9A71BC" w14:textId="77777777" w:rsidR="00454A29" w:rsidRDefault="00454A29">
            <w:pPr>
              <w:pStyle w:val="ConsPlusNormal"/>
            </w:pPr>
          </w:p>
        </w:tc>
      </w:tr>
      <w:tr w:rsidR="00454A29" w14:paraId="30343DD5" w14:textId="77777777">
        <w:tc>
          <w:tcPr>
            <w:tcW w:w="567" w:type="dxa"/>
            <w:vMerge/>
          </w:tcPr>
          <w:p w14:paraId="1D60D445" w14:textId="77777777" w:rsidR="00454A29" w:rsidRDefault="00454A29"/>
        </w:tc>
        <w:tc>
          <w:tcPr>
            <w:tcW w:w="3345" w:type="dxa"/>
            <w:vMerge/>
          </w:tcPr>
          <w:p w14:paraId="26BC179C" w14:textId="77777777" w:rsidR="00454A29" w:rsidRDefault="00454A29"/>
        </w:tc>
        <w:tc>
          <w:tcPr>
            <w:tcW w:w="1701" w:type="dxa"/>
            <w:vAlign w:val="center"/>
          </w:tcPr>
          <w:p w14:paraId="18E28C86" w14:textId="77777777" w:rsidR="00454A29" w:rsidRDefault="00454A29">
            <w:pPr>
              <w:pStyle w:val="ConsPlusNormal"/>
              <w:jc w:val="center"/>
            </w:pPr>
            <w:r>
              <w:t>2024</w:t>
            </w:r>
          </w:p>
        </w:tc>
        <w:tc>
          <w:tcPr>
            <w:tcW w:w="1417" w:type="dxa"/>
            <w:vMerge/>
          </w:tcPr>
          <w:p w14:paraId="4635A3C8" w14:textId="77777777" w:rsidR="00454A29" w:rsidRDefault="00454A29"/>
        </w:tc>
        <w:tc>
          <w:tcPr>
            <w:tcW w:w="2204" w:type="dxa"/>
            <w:vMerge/>
          </w:tcPr>
          <w:p w14:paraId="12D904DA" w14:textId="77777777" w:rsidR="00454A29" w:rsidRDefault="00454A29"/>
        </w:tc>
        <w:tc>
          <w:tcPr>
            <w:tcW w:w="1417" w:type="dxa"/>
            <w:vMerge/>
          </w:tcPr>
          <w:p w14:paraId="2A9BE6D4" w14:textId="77777777" w:rsidR="00454A29" w:rsidRDefault="00454A29"/>
        </w:tc>
        <w:tc>
          <w:tcPr>
            <w:tcW w:w="2324" w:type="dxa"/>
            <w:vMerge/>
          </w:tcPr>
          <w:p w14:paraId="39F31F5E" w14:textId="77777777" w:rsidR="00454A29" w:rsidRDefault="00454A29"/>
        </w:tc>
        <w:tc>
          <w:tcPr>
            <w:tcW w:w="1701" w:type="dxa"/>
            <w:vAlign w:val="center"/>
          </w:tcPr>
          <w:p w14:paraId="3F073682" w14:textId="77777777" w:rsidR="00454A29" w:rsidRDefault="00454A29">
            <w:pPr>
              <w:pStyle w:val="ConsPlusNormal"/>
            </w:pPr>
          </w:p>
        </w:tc>
        <w:tc>
          <w:tcPr>
            <w:tcW w:w="1814" w:type="dxa"/>
            <w:vAlign w:val="center"/>
          </w:tcPr>
          <w:p w14:paraId="12C2FF82" w14:textId="77777777" w:rsidR="00454A29" w:rsidRDefault="00454A29">
            <w:pPr>
              <w:pStyle w:val="ConsPlusNormal"/>
            </w:pPr>
          </w:p>
        </w:tc>
        <w:tc>
          <w:tcPr>
            <w:tcW w:w="1701" w:type="dxa"/>
            <w:vAlign w:val="center"/>
          </w:tcPr>
          <w:p w14:paraId="5DD0CF61" w14:textId="77777777" w:rsidR="00454A29" w:rsidRDefault="00454A29">
            <w:pPr>
              <w:pStyle w:val="ConsPlusNormal"/>
            </w:pPr>
          </w:p>
        </w:tc>
        <w:tc>
          <w:tcPr>
            <w:tcW w:w="1701" w:type="dxa"/>
            <w:vAlign w:val="center"/>
          </w:tcPr>
          <w:p w14:paraId="2EB09C13" w14:textId="77777777" w:rsidR="00454A29" w:rsidRDefault="00454A29">
            <w:pPr>
              <w:pStyle w:val="ConsPlusNormal"/>
            </w:pPr>
          </w:p>
        </w:tc>
        <w:tc>
          <w:tcPr>
            <w:tcW w:w="1814" w:type="dxa"/>
            <w:vAlign w:val="center"/>
          </w:tcPr>
          <w:p w14:paraId="48604497" w14:textId="77777777" w:rsidR="00454A29" w:rsidRDefault="00454A29">
            <w:pPr>
              <w:pStyle w:val="ConsPlusNormal"/>
            </w:pPr>
          </w:p>
        </w:tc>
      </w:tr>
      <w:tr w:rsidR="00454A29" w14:paraId="2D74554B" w14:textId="77777777">
        <w:tc>
          <w:tcPr>
            <w:tcW w:w="567" w:type="dxa"/>
            <w:vMerge/>
          </w:tcPr>
          <w:p w14:paraId="5F34DA36" w14:textId="77777777" w:rsidR="00454A29" w:rsidRDefault="00454A29"/>
        </w:tc>
        <w:tc>
          <w:tcPr>
            <w:tcW w:w="3345" w:type="dxa"/>
            <w:vMerge/>
          </w:tcPr>
          <w:p w14:paraId="09A42E8D" w14:textId="77777777" w:rsidR="00454A29" w:rsidRDefault="00454A29"/>
        </w:tc>
        <w:tc>
          <w:tcPr>
            <w:tcW w:w="1701" w:type="dxa"/>
            <w:vAlign w:val="center"/>
          </w:tcPr>
          <w:p w14:paraId="7A9A7E08" w14:textId="77777777" w:rsidR="00454A29" w:rsidRDefault="00454A29">
            <w:pPr>
              <w:pStyle w:val="ConsPlusNormal"/>
              <w:jc w:val="center"/>
            </w:pPr>
            <w:r>
              <w:t>2025</w:t>
            </w:r>
          </w:p>
        </w:tc>
        <w:tc>
          <w:tcPr>
            <w:tcW w:w="1417" w:type="dxa"/>
            <w:vMerge/>
          </w:tcPr>
          <w:p w14:paraId="13E1FC8F" w14:textId="77777777" w:rsidR="00454A29" w:rsidRDefault="00454A29"/>
        </w:tc>
        <w:tc>
          <w:tcPr>
            <w:tcW w:w="2204" w:type="dxa"/>
            <w:vMerge/>
          </w:tcPr>
          <w:p w14:paraId="5FA2B2F8" w14:textId="77777777" w:rsidR="00454A29" w:rsidRDefault="00454A29"/>
        </w:tc>
        <w:tc>
          <w:tcPr>
            <w:tcW w:w="1417" w:type="dxa"/>
            <w:vMerge/>
          </w:tcPr>
          <w:p w14:paraId="7FB8B6B2" w14:textId="77777777" w:rsidR="00454A29" w:rsidRDefault="00454A29"/>
        </w:tc>
        <w:tc>
          <w:tcPr>
            <w:tcW w:w="2324" w:type="dxa"/>
            <w:vMerge/>
          </w:tcPr>
          <w:p w14:paraId="6C45CC5D" w14:textId="77777777" w:rsidR="00454A29" w:rsidRDefault="00454A29"/>
        </w:tc>
        <w:tc>
          <w:tcPr>
            <w:tcW w:w="1701" w:type="dxa"/>
            <w:vAlign w:val="center"/>
          </w:tcPr>
          <w:p w14:paraId="4CBDF5CF" w14:textId="77777777" w:rsidR="00454A29" w:rsidRDefault="00454A29">
            <w:pPr>
              <w:pStyle w:val="ConsPlusNormal"/>
            </w:pPr>
          </w:p>
        </w:tc>
        <w:tc>
          <w:tcPr>
            <w:tcW w:w="1814" w:type="dxa"/>
            <w:vAlign w:val="center"/>
          </w:tcPr>
          <w:p w14:paraId="2E8BE0F0" w14:textId="77777777" w:rsidR="00454A29" w:rsidRDefault="00454A29">
            <w:pPr>
              <w:pStyle w:val="ConsPlusNormal"/>
            </w:pPr>
          </w:p>
        </w:tc>
        <w:tc>
          <w:tcPr>
            <w:tcW w:w="1701" w:type="dxa"/>
            <w:vAlign w:val="center"/>
          </w:tcPr>
          <w:p w14:paraId="47412FC1" w14:textId="77777777" w:rsidR="00454A29" w:rsidRDefault="00454A29">
            <w:pPr>
              <w:pStyle w:val="ConsPlusNormal"/>
            </w:pPr>
          </w:p>
        </w:tc>
        <w:tc>
          <w:tcPr>
            <w:tcW w:w="1701" w:type="dxa"/>
            <w:vAlign w:val="center"/>
          </w:tcPr>
          <w:p w14:paraId="2AD1CD6A" w14:textId="77777777" w:rsidR="00454A29" w:rsidRDefault="00454A29">
            <w:pPr>
              <w:pStyle w:val="ConsPlusNormal"/>
            </w:pPr>
          </w:p>
        </w:tc>
        <w:tc>
          <w:tcPr>
            <w:tcW w:w="1814" w:type="dxa"/>
            <w:vAlign w:val="center"/>
          </w:tcPr>
          <w:p w14:paraId="4DC22E3A" w14:textId="77777777" w:rsidR="00454A29" w:rsidRDefault="00454A29">
            <w:pPr>
              <w:pStyle w:val="ConsPlusNormal"/>
            </w:pPr>
          </w:p>
        </w:tc>
      </w:tr>
      <w:tr w:rsidR="00454A29" w14:paraId="11B60C9A" w14:textId="77777777">
        <w:tc>
          <w:tcPr>
            <w:tcW w:w="567" w:type="dxa"/>
            <w:vMerge/>
          </w:tcPr>
          <w:p w14:paraId="62F8D923" w14:textId="77777777" w:rsidR="00454A29" w:rsidRDefault="00454A29"/>
        </w:tc>
        <w:tc>
          <w:tcPr>
            <w:tcW w:w="3345" w:type="dxa"/>
            <w:vMerge/>
          </w:tcPr>
          <w:p w14:paraId="7FAF0B12" w14:textId="77777777" w:rsidR="00454A29" w:rsidRDefault="00454A29"/>
        </w:tc>
        <w:tc>
          <w:tcPr>
            <w:tcW w:w="1701" w:type="dxa"/>
            <w:vAlign w:val="center"/>
          </w:tcPr>
          <w:p w14:paraId="7948BF4D" w14:textId="77777777" w:rsidR="00454A29" w:rsidRDefault="00454A29">
            <w:pPr>
              <w:pStyle w:val="ConsPlusNormal"/>
              <w:jc w:val="center"/>
            </w:pPr>
            <w:r>
              <w:t>2026</w:t>
            </w:r>
          </w:p>
        </w:tc>
        <w:tc>
          <w:tcPr>
            <w:tcW w:w="1417" w:type="dxa"/>
            <w:vMerge/>
          </w:tcPr>
          <w:p w14:paraId="76DFE049" w14:textId="77777777" w:rsidR="00454A29" w:rsidRDefault="00454A29"/>
        </w:tc>
        <w:tc>
          <w:tcPr>
            <w:tcW w:w="2204" w:type="dxa"/>
            <w:vMerge/>
          </w:tcPr>
          <w:p w14:paraId="05AC3F58" w14:textId="77777777" w:rsidR="00454A29" w:rsidRDefault="00454A29"/>
        </w:tc>
        <w:tc>
          <w:tcPr>
            <w:tcW w:w="1417" w:type="dxa"/>
            <w:vMerge/>
          </w:tcPr>
          <w:p w14:paraId="3C06B8F5" w14:textId="77777777" w:rsidR="00454A29" w:rsidRDefault="00454A29"/>
        </w:tc>
        <w:tc>
          <w:tcPr>
            <w:tcW w:w="2324" w:type="dxa"/>
            <w:vMerge/>
          </w:tcPr>
          <w:p w14:paraId="68F26C5D" w14:textId="77777777" w:rsidR="00454A29" w:rsidRDefault="00454A29"/>
        </w:tc>
        <w:tc>
          <w:tcPr>
            <w:tcW w:w="1701" w:type="dxa"/>
            <w:vAlign w:val="center"/>
          </w:tcPr>
          <w:p w14:paraId="37341210" w14:textId="77777777" w:rsidR="00454A29" w:rsidRDefault="00454A29">
            <w:pPr>
              <w:pStyle w:val="ConsPlusNormal"/>
              <w:jc w:val="center"/>
            </w:pPr>
            <w:r>
              <w:t>331 042,08</w:t>
            </w:r>
          </w:p>
        </w:tc>
        <w:tc>
          <w:tcPr>
            <w:tcW w:w="1814" w:type="dxa"/>
            <w:vAlign w:val="center"/>
          </w:tcPr>
          <w:p w14:paraId="63A5C754" w14:textId="77777777" w:rsidR="00454A29" w:rsidRDefault="00454A29">
            <w:pPr>
              <w:pStyle w:val="ConsPlusNormal"/>
              <w:jc w:val="center"/>
            </w:pPr>
            <w:r>
              <w:t>4 078,44</w:t>
            </w:r>
          </w:p>
        </w:tc>
        <w:tc>
          <w:tcPr>
            <w:tcW w:w="1701" w:type="dxa"/>
            <w:vAlign w:val="center"/>
          </w:tcPr>
          <w:p w14:paraId="69DCC159" w14:textId="77777777" w:rsidR="00454A29" w:rsidRDefault="00454A29">
            <w:pPr>
              <w:pStyle w:val="ConsPlusNormal"/>
              <w:jc w:val="center"/>
            </w:pPr>
            <w:r>
              <w:t>403 765,41</w:t>
            </w:r>
          </w:p>
        </w:tc>
        <w:tc>
          <w:tcPr>
            <w:tcW w:w="1701" w:type="dxa"/>
            <w:vAlign w:val="center"/>
          </w:tcPr>
          <w:p w14:paraId="54F25962" w14:textId="77777777" w:rsidR="00454A29" w:rsidRDefault="00454A29">
            <w:pPr>
              <w:pStyle w:val="ConsPlusNormal"/>
            </w:pPr>
          </w:p>
        </w:tc>
        <w:tc>
          <w:tcPr>
            <w:tcW w:w="1814" w:type="dxa"/>
            <w:vAlign w:val="center"/>
          </w:tcPr>
          <w:p w14:paraId="705BED93" w14:textId="77777777" w:rsidR="00454A29" w:rsidRDefault="00454A29">
            <w:pPr>
              <w:pStyle w:val="ConsPlusNormal"/>
            </w:pPr>
          </w:p>
        </w:tc>
      </w:tr>
      <w:tr w:rsidR="00454A29" w14:paraId="06E1006F" w14:textId="77777777">
        <w:tc>
          <w:tcPr>
            <w:tcW w:w="567" w:type="dxa"/>
            <w:vMerge w:val="restart"/>
            <w:vAlign w:val="center"/>
          </w:tcPr>
          <w:p w14:paraId="100E2E84" w14:textId="77777777" w:rsidR="00454A29" w:rsidRDefault="00454A29">
            <w:pPr>
              <w:pStyle w:val="ConsPlusNormal"/>
              <w:jc w:val="center"/>
            </w:pPr>
            <w:r>
              <w:t>71</w:t>
            </w:r>
          </w:p>
        </w:tc>
        <w:tc>
          <w:tcPr>
            <w:tcW w:w="3345" w:type="dxa"/>
            <w:vMerge w:val="restart"/>
            <w:vAlign w:val="center"/>
          </w:tcPr>
          <w:p w14:paraId="0B1B24C5" w14:textId="77777777" w:rsidR="00454A29" w:rsidRDefault="00454A29">
            <w:pPr>
              <w:pStyle w:val="ConsPlusNormal"/>
              <w:jc w:val="center"/>
            </w:pPr>
            <w:r>
              <w:t>Школа на 150 учащихся в с. Табага</w:t>
            </w:r>
          </w:p>
        </w:tc>
        <w:tc>
          <w:tcPr>
            <w:tcW w:w="1701" w:type="dxa"/>
            <w:vAlign w:val="center"/>
          </w:tcPr>
          <w:p w14:paraId="2B5E507E" w14:textId="77777777" w:rsidR="00454A29" w:rsidRDefault="00454A29">
            <w:pPr>
              <w:pStyle w:val="ConsPlusNormal"/>
              <w:jc w:val="center"/>
            </w:pPr>
            <w:r>
              <w:t>2020 - 2026 годы - всего</w:t>
            </w:r>
          </w:p>
        </w:tc>
        <w:tc>
          <w:tcPr>
            <w:tcW w:w="1417" w:type="dxa"/>
            <w:vMerge w:val="restart"/>
            <w:vAlign w:val="center"/>
          </w:tcPr>
          <w:p w14:paraId="5C42AAB8" w14:textId="77777777" w:rsidR="00454A29" w:rsidRDefault="00454A29">
            <w:pPr>
              <w:pStyle w:val="ConsPlusNormal"/>
              <w:jc w:val="center"/>
            </w:pPr>
            <w:r>
              <w:t>485 034,19</w:t>
            </w:r>
          </w:p>
        </w:tc>
        <w:tc>
          <w:tcPr>
            <w:tcW w:w="2204" w:type="dxa"/>
            <w:vMerge w:val="restart"/>
            <w:vAlign w:val="center"/>
          </w:tcPr>
          <w:p w14:paraId="049C307C" w14:textId="77777777" w:rsidR="00454A29" w:rsidRDefault="00454A29">
            <w:pPr>
              <w:pStyle w:val="ConsPlusNormal"/>
            </w:pPr>
          </w:p>
        </w:tc>
        <w:tc>
          <w:tcPr>
            <w:tcW w:w="1417" w:type="dxa"/>
            <w:vMerge w:val="restart"/>
            <w:vAlign w:val="center"/>
          </w:tcPr>
          <w:p w14:paraId="76FCBE24" w14:textId="77777777" w:rsidR="00454A29" w:rsidRDefault="00454A29">
            <w:pPr>
              <w:pStyle w:val="ConsPlusNormal"/>
              <w:jc w:val="center"/>
            </w:pPr>
            <w:r>
              <w:t>150</w:t>
            </w:r>
          </w:p>
        </w:tc>
        <w:tc>
          <w:tcPr>
            <w:tcW w:w="2324" w:type="dxa"/>
            <w:vMerge w:val="restart"/>
            <w:vAlign w:val="center"/>
          </w:tcPr>
          <w:p w14:paraId="591754A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F1761F5" w14:textId="77777777" w:rsidR="00454A29" w:rsidRDefault="00454A29">
            <w:pPr>
              <w:pStyle w:val="ConsPlusNormal"/>
              <w:jc w:val="center"/>
            </w:pPr>
            <w:r>
              <w:t>485 034,19</w:t>
            </w:r>
          </w:p>
        </w:tc>
        <w:tc>
          <w:tcPr>
            <w:tcW w:w="1814" w:type="dxa"/>
            <w:vAlign w:val="center"/>
          </w:tcPr>
          <w:p w14:paraId="6F15E54B" w14:textId="77777777" w:rsidR="00454A29" w:rsidRDefault="00454A29">
            <w:pPr>
              <w:pStyle w:val="ConsPlusNormal"/>
              <w:jc w:val="center"/>
            </w:pPr>
            <w:r>
              <w:t>5 975,62</w:t>
            </w:r>
          </w:p>
        </w:tc>
        <w:tc>
          <w:tcPr>
            <w:tcW w:w="1701" w:type="dxa"/>
            <w:vAlign w:val="center"/>
          </w:tcPr>
          <w:p w14:paraId="360A60AA" w14:textId="77777777" w:rsidR="00454A29" w:rsidRDefault="00454A29">
            <w:pPr>
              <w:pStyle w:val="ConsPlusNormal"/>
              <w:jc w:val="center"/>
            </w:pPr>
            <w:r>
              <w:t>591 586,50</w:t>
            </w:r>
          </w:p>
        </w:tc>
        <w:tc>
          <w:tcPr>
            <w:tcW w:w="1701" w:type="dxa"/>
            <w:vAlign w:val="center"/>
          </w:tcPr>
          <w:p w14:paraId="472B1B52" w14:textId="77777777" w:rsidR="00454A29" w:rsidRDefault="00454A29">
            <w:pPr>
              <w:pStyle w:val="ConsPlusNormal"/>
              <w:jc w:val="center"/>
            </w:pPr>
            <w:r>
              <w:t>-</w:t>
            </w:r>
          </w:p>
        </w:tc>
        <w:tc>
          <w:tcPr>
            <w:tcW w:w="1814" w:type="dxa"/>
            <w:vAlign w:val="center"/>
          </w:tcPr>
          <w:p w14:paraId="5BC3F027" w14:textId="77777777" w:rsidR="00454A29" w:rsidRDefault="00454A29">
            <w:pPr>
              <w:pStyle w:val="ConsPlusNormal"/>
              <w:jc w:val="center"/>
            </w:pPr>
            <w:r>
              <w:t>-</w:t>
            </w:r>
          </w:p>
        </w:tc>
      </w:tr>
      <w:tr w:rsidR="00454A29" w14:paraId="54852597" w14:textId="77777777">
        <w:tc>
          <w:tcPr>
            <w:tcW w:w="567" w:type="dxa"/>
            <w:vMerge/>
          </w:tcPr>
          <w:p w14:paraId="00DA43E5" w14:textId="77777777" w:rsidR="00454A29" w:rsidRDefault="00454A29"/>
        </w:tc>
        <w:tc>
          <w:tcPr>
            <w:tcW w:w="3345" w:type="dxa"/>
            <w:vMerge/>
          </w:tcPr>
          <w:p w14:paraId="506B6A0D" w14:textId="77777777" w:rsidR="00454A29" w:rsidRDefault="00454A29"/>
        </w:tc>
        <w:tc>
          <w:tcPr>
            <w:tcW w:w="1701" w:type="dxa"/>
            <w:vAlign w:val="center"/>
          </w:tcPr>
          <w:p w14:paraId="43D067F7" w14:textId="77777777" w:rsidR="00454A29" w:rsidRDefault="00454A29">
            <w:pPr>
              <w:pStyle w:val="ConsPlusNormal"/>
              <w:jc w:val="center"/>
            </w:pPr>
            <w:r>
              <w:t>2020</w:t>
            </w:r>
          </w:p>
        </w:tc>
        <w:tc>
          <w:tcPr>
            <w:tcW w:w="1417" w:type="dxa"/>
            <w:vMerge/>
          </w:tcPr>
          <w:p w14:paraId="2D313B9C" w14:textId="77777777" w:rsidR="00454A29" w:rsidRDefault="00454A29"/>
        </w:tc>
        <w:tc>
          <w:tcPr>
            <w:tcW w:w="2204" w:type="dxa"/>
            <w:vMerge/>
          </w:tcPr>
          <w:p w14:paraId="54C89115" w14:textId="77777777" w:rsidR="00454A29" w:rsidRDefault="00454A29"/>
        </w:tc>
        <w:tc>
          <w:tcPr>
            <w:tcW w:w="1417" w:type="dxa"/>
            <w:vMerge/>
          </w:tcPr>
          <w:p w14:paraId="2D72C26C" w14:textId="77777777" w:rsidR="00454A29" w:rsidRDefault="00454A29"/>
        </w:tc>
        <w:tc>
          <w:tcPr>
            <w:tcW w:w="2324" w:type="dxa"/>
            <w:vMerge/>
          </w:tcPr>
          <w:p w14:paraId="26998360" w14:textId="77777777" w:rsidR="00454A29" w:rsidRDefault="00454A29"/>
        </w:tc>
        <w:tc>
          <w:tcPr>
            <w:tcW w:w="1701" w:type="dxa"/>
            <w:vAlign w:val="center"/>
          </w:tcPr>
          <w:p w14:paraId="6A51C10E" w14:textId="77777777" w:rsidR="00454A29" w:rsidRDefault="00454A29">
            <w:pPr>
              <w:pStyle w:val="ConsPlusNormal"/>
            </w:pPr>
          </w:p>
        </w:tc>
        <w:tc>
          <w:tcPr>
            <w:tcW w:w="1814" w:type="dxa"/>
            <w:vAlign w:val="center"/>
          </w:tcPr>
          <w:p w14:paraId="5D68255A" w14:textId="77777777" w:rsidR="00454A29" w:rsidRDefault="00454A29">
            <w:pPr>
              <w:pStyle w:val="ConsPlusNormal"/>
            </w:pPr>
          </w:p>
        </w:tc>
        <w:tc>
          <w:tcPr>
            <w:tcW w:w="1701" w:type="dxa"/>
            <w:vAlign w:val="center"/>
          </w:tcPr>
          <w:p w14:paraId="7F6DE3C7" w14:textId="77777777" w:rsidR="00454A29" w:rsidRDefault="00454A29">
            <w:pPr>
              <w:pStyle w:val="ConsPlusNormal"/>
            </w:pPr>
          </w:p>
        </w:tc>
        <w:tc>
          <w:tcPr>
            <w:tcW w:w="1701" w:type="dxa"/>
            <w:vAlign w:val="center"/>
          </w:tcPr>
          <w:p w14:paraId="35C853B0" w14:textId="77777777" w:rsidR="00454A29" w:rsidRDefault="00454A29">
            <w:pPr>
              <w:pStyle w:val="ConsPlusNormal"/>
            </w:pPr>
          </w:p>
        </w:tc>
        <w:tc>
          <w:tcPr>
            <w:tcW w:w="1814" w:type="dxa"/>
            <w:vAlign w:val="center"/>
          </w:tcPr>
          <w:p w14:paraId="613F4D4B" w14:textId="77777777" w:rsidR="00454A29" w:rsidRDefault="00454A29">
            <w:pPr>
              <w:pStyle w:val="ConsPlusNormal"/>
            </w:pPr>
          </w:p>
        </w:tc>
      </w:tr>
      <w:tr w:rsidR="00454A29" w14:paraId="3DEFED72" w14:textId="77777777">
        <w:tc>
          <w:tcPr>
            <w:tcW w:w="567" w:type="dxa"/>
            <w:vMerge/>
          </w:tcPr>
          <w:p w14:paraId="12FFE88D" w14:textId="77777777" w:rsidR="00454A29" w:rsidRDefault="00454A29"/>
        </w:tc>
        <w:tc>
          <w:tcPr>
            <w:tcW w:w="3345" w:type="dxa"/>
            <w:vMerge/>
          </w:tcPr>
          <w:p w14:paraId="7E8922C4" w14:textId="77777777" w:rsidR="00454A29" w:rsidRDefault="00454A29"/>
        </w:tc>
        <w:tc>
          <w:tcPr>
            <w:tcW w:w="1701" w:type="dxa"/>
            <w:vAlign w:val="center"/>
          </w:tcPr>
          <w:p w14:paraId="6E07A639" w14:textId="77777777" w:rsidR="00454A29" w:rsidRDefault="00454A29">
            <w:pPr>
              <w:pStyle w:val="ConsPlusNormal"/>
              <w:jc w:val="center"/>
            </w:pPr>
            <w:r>
              <w:t>2021</w:t>
            </w:r>
          </w:p>
        </w:tc>
        <w:tc>
          <w:tcPr>
            <w:tcW w:w="1417" w:type="dxa"/>
            <w:vMerge/>
          </w:tcPr>
          <w:p w14:paraId="3680BDA3" w14:textId="77777777" w:rsidR="00454A29" w:rsidRDefault="00454A29"/>
        </w:tc>
        <w:tc>
          <w:tcPr>
            <w:tcW w:w="2204" w:type="dxa"/>
            <w:vMerge/>
          </w:tcPr>
          <w:p w14:paraId="03F7E378" w14:textId="77777777" w:rsidR="00454A29" w:rsidRDefault="00454A29"/>
        </w:tc>
        <w:tc>
          <w:tcPr>
            <w:tcW w:w="1417" w:type="dxa"/>
            <w:vMerge/>
          </w:tcPr>
          <w:p w14:paraId="57DE307C" w14:textId="77777777" w:rsidR="00454A29" w:rsidRDefault="00454A29"/>
        </w:tc>
        <w:tc>
          <w:tcPr>
            <w:tcW w:w="2324" w:type="dxa"/>
            <w:vMerge/>
          </w:tcPr>
          <w:p w14:paraId="01F6E03D" w14:textId="77777777" w:rsidR="00454A29" w:rsidRDefault="00454A29"/>
        </w:tc>
        <w:tc>
          <w:tcPr>
            <w:tcW w:w="1701" w:type="dxa"/>
            <w:vAlign w:val="center"/>
          </w:tcPr>
          <w:p w14:paraId="770539CE" w14:textId="77777777" w:rsidR="00454A29" w:rsidRDefault="00454A29">
            <w:pPr>
              <w:pStyle w:val="ConsPlusNormal"/>
            </w:pPr>
          </w:p>
        </w:tc>
        <w:tc>
          <w:tcPr>
            <w:tcW w:w="1814" w:type="dxa"/>
            <w:vAlign w:val="center"/>
          </w:tcPr>
          <w:p w14:paraId="1E879624" w14:textId="77777777" w:rsidR="00454A29" w:rsidRDefault="00454A29">
            <w:pPr>
              <w:pStyle w:val="ConsPlusNormal"/>
            </w:pPr>
          </w:p>
        </w:tc>
        <w:tc>
          <w:tcPr>
            <w:tcW w:w="1701" w:type="dxa"/>
            <w:vAlign w:val="center"/>
          </w:tcPr>
          <w:p w14:paraId="5297A8B0" w14:textId="77777777" w:rsidR="00454A29" w:rsidRDefault="00454A29">
            <w:pPr>
              <w:pStyle w:val="ConsPlusNormal"/>
            </w:pPr>
          </w:p>
        </w:tc>
        <w:tc>
          <w:tcPr>
            <w:tcW w:w="1701" w:type="dxa"/>
            <w:vAlign w:val="center"/>
          </w:tcPr>
          <w:p w14:paraId="1F2F37F7" w14:textId="77777777" w:rsidR="00454A29" w:rsidRDefault="00454A29">
            <w:pPr>
              <w:pStyle w:val="ConsPlusNormal"/>
            </w:pPr>
          </w:p>
        </w:tc>
        <w:tc>
          <w:tcPr>
            <w:tcW w:w="1814" w:type="dxa"/>
            <w:vAlign w:val="center"/>
          </w:tcPr>
          <w:p w14:paraId="7182B1E7" w14:textId="77777777" w:rsidR="00454A29" w:rsidRDefault="00454A29">
            <w:pPr>
              <w:pStyle w:val="ConsPlusNormal"/>
            </w:pPr>
          </w:p>
        </w:tc>
      </w:tr>
      <w:tr w:rsidR="00454A29" w14:paraId="6BB6544F" w14:textId="77777777">
        <w:tc>
          <w:tcPr>
            <w:tcW w:w="567" w:type="dxa"/>
            <w:vMerge/>
          </w:tcPr>
          <w:p w14:paraId="3874F213" w14:textId="77777777" w:rsidR="00454A29" w:rsidRDefault="00454A29"/>
        </w:tc>
        <w:tc>
          <w:tcPr>
            <w:tcW w:w="3345" w:type="dxa"/>
            <w:vMerge/>
          </w:tcPr>
          <w:p w14:paraId="79779D90" w14:textId="77777777" w:rsidR="00454A29" w:rsidRDefault="00454A29"/>
        </w:tc>
        <w:tc>
          <w:tcPr>
            <w:tcW w:w="1701" w:type="dxa"/>
            <w:vAlign w:val="center"/>
          </w:tcPr>
          <w:p w14:paraId="7CE49545" w14:textId="77777777" w:rsidR="00454A29" w:rsidRDefault="00454A29">
            <w:pPr>
              <w:pStyle w:val="ConsPlusNormal"/>
              <w:jc w:val="center"/>
            </w:pPr>
            <w:r>
              <w:t>2022</w:t>
            </w:r>
          </w:p>
        </w:tc>
        <w:tc>
          <w:tcPr>
            <w:tcW w:w="1417" w:type="dxa"/>
            <w:vMerge/>
          </w:tcPr>
          <w:p w14:paraId="683F70EC" w14:textId="77777777" w:rsidR="00454A29" w:rsidRDefault="00454A29"/>
        </w:tc>
        <w:tc>
          <w:tcPr>
            <w:tcW w:w="2204" w:type="dxa"/>
            <w:vMerge/>
          </w:tcPr>
          <w:p w14:paraId="64DC0D7C" w14:textId="77777777" w:rsidR="00454A29" w:rsidRDefault="00454A29"/>
        </w:tc>
        <w:tc>
          <w:tcPr>
            <w:tcW w:w="1417" w:type="dxa"/>
            <w:vMerge/>
          </w:tcPr>
          <w:p w14:paraId="68FE42A2" w14:textId="77777777" w:rsidR="00454A29" w:rsidRDefault="00454A29"/>
        </w:tc>
        <w:tc>
          <w:tcPr>
            <w:tcW w:w="2324" w:type="dxa"/>
            <w:vMerge/>
          </w:tcPr>
          <w:p w14:paraId="7D4F32F7" w14:textId="77777777" w:rsidR="00454A29" w:rsidRDefault="00454A29"/>
        </w:tc>
        <w:tc>
          <w:tcPr>
            <w:tcW w:w="1701" w:type="dxa"/>
            <w:vAlign w:val="center"/>
          </w:tcPr>
          <w:p w14:paraId="62632012" w14:textId="77777777" w:rsidR="00454A29" w:rsidRDefault="00454A29">
            <w:pPr>
              <w:pStyle w:val="ConsPlusNormal"/>
            </w:pPr>
          </w:p>
        </w:tc>
        <w:tc>
          <w:tcPr>
            <w:tcW w:w="1814" w:type="dxa"/>
            <w:vAlign w:val="center"/>
          </w:tcPr>
          <w:p w14:paraId="0FD23393" w14:textId="77777777" w:rsidR="00454A29" w:rsidRDefault="00454A29">
            <w:pPr>
              <w:pStyle w:val="ConsPlusNormal"/>
            </w:pPr>
          </w:p>
        </w:tc>
        <w:tc>
          <w:tcPr>
            <w:tcW w:w="1701" w:type="dxa"/>
            <w:vAlign w:val="center"/>
          </w:tcPr>
          <w:p w14:paraId="0E114A80" w14:textId="77777777" w:rsidR="00454A29" w:rsidRDefault="00454A29">
            <w:pPr>
              <w:pStyle w:val="ConsPlusNormal"/>
            </w:pPr>
          </w:p>
        </w:tc>
        <w:tc>
          <w:tcPr>
            <w:tcW w:w="1701" w:type="dxa"/>
            <w:vAlign w:val="center"/>
          </w:tcPr>
          <w:p w14:paraId="4863B78A" w14:textId="77777777" w:rsidR="00454A29" w:rsidRDefault="00454A29">
            <w:pPr>
              <w:pStyle w:val="ConsPlusNormal"/>
            </w:pPr>
          </w:p>
        </w:tc>
        <w:tc>
          <w:tcPr>
            <w:tcW w:w="1814" w:type="dxa"/>
            <w:vAlign w:val="center"/>
          </w:tcPr>
          <w:p w14:paraId="3484F4F6" w14:textId="77777777" w:rsidR="00454A29" w:rsidRDefault="00454A29">
            <w:pPr>
              <w:pStyle w:val="ConsPlusNormal"/>
            </w:pPr>
          </w:p>
        </w:tc>
      </w:tr>
      <w:tr w:rsidR="00454A29" w14:paraId="32221991" w14:textId="77777777">
        <w:tc>
          <w:tcPr>
            <w:tcW w:w="567" w:type="dxa"/>
            <w:vMerge/>
          </w:tcPr>
          <w:p w14:paraId="4CCD5DD3" w14:textId="77777777" w:rsidR="00454A29" w:rsidRDefault="00454A29"/>
        </w:tc>
        <w:tc>
          <w:tcPr>
            <w:tcW w:w="3345" w:type="dxa"/>
            <w:vMerge/>
          </w:tcPr>
          <w:p w14:paraId="7D953CB1" w14:textId="77777777" w:rsidR="00454A29" w:rsidRDefault="00454A29"/>
        </w:tc>
        <w:tc>
          <w:tcPr>
            <w:tcW w:w="1701" w:type="dxa"/>
            <w:vAlign w:val="center"/>
          </w:tcPr>
          <w:p w14:paraId="614658B8" w14:textId="77777777" w:rsidR="00454A29" w:rsidRDefault="00454A29">
            <w:pPr>
              <w:pStyle w:val="ConsPlusNormal"/>
              <w:jc w:val="center"/>
            </w:pPr>
            <w:r>
              <w:t>2023</w:t>
            </w:r>
          </w:p>
        </w:tc>
        <w:tc>
          <w:tcPr>
            <w:tcW w:w="1417" w:type="dxa"/>
            <w:vMerge/>
          </w:tcPr>
          <w:p w14:paraId="62C685F3" w14:textId="77777777" w:rsidR="00454A29" w:rsidRDefault="00454A29"/>
        </w:tc>
        <w:tc>
          <w:tcPr>
            <w:tcW w:w="2204" w:type="dxa"/>
            <w:vMerge/>
          </w:tcPr>
          <w:p w14:paraId="750DA5D3" w14:textId="77777777" w:rsidR="00454A29" w:rsidRDefault="00454A29"/>
        </w:tc>
        <w:tc>
          <w:tcPr>
            <w:tcW w:w="1417" w:type="dxa"/>
            <w:vMerge/>
          </w:tcPr>
          <w:p w14:paraId="279F74BC" w14:textId="77777777" w:rsidR="00454A29" w:rsidRDefault="00454A29"/>
        </w:tc>
        <w:tc>
          <w:tcPr>
            <w:tcW w:w="2324" w:type="dxa"/>
            <w:vMerge/>
          </w:tcPr>
          <w:p w14:paraId="2B4E051F" w14:textId="77777777" w:rsidR="00454A29" w:rsidRDefault="00454A29"/>
        </w:tc>
        <w:tc>
          <w:tcPr>
            <w:tcW w:w="1701" w:type="dxa"/>
            <w:vAlign w:val="center"/>
          </w:tcPr>
          <w:p w14:paraId="6B275245" w14:textId="77777777" w:rsidR="00454A29" w:rsidRDefault="00454A29">
            <w:pPr>
              <w:pStyle w:val="ConsPlusNormal"/>
            </w:pPr>
          </w:p>
        </w:tc>
        <w:tc>
          <w:tcPr>
            <w:tcW w:w="1814" w:type="dxa"/>
            <w:vAlign w:val="center"/>
          </w:tcPr>
          <w:p w14:paraId="5E8C235D" w14:textId="77777777" w:rsidR="00454A29" w:rsidRDefault="00454A29">
            <w:pPr>
              <w:pStyle w:val="ConsPlusNormal"/>
            </w:pPr>
          </w:p>
        </w:tc>
        <w:tc>
          <w:tcPr>
            <w:tcW w:w="1701" w:type="dxa"/>
            <w:vAlign w:val="center"/>
          </w:tcPr>
          <w:p w14:paraId="4135A231" w14:textId="77777777" w:rsidR="00454A29" w:rsidRDefault="00454A29">
            <w:pPr>
              <w:pStyle w:val="ConsPlusNormal"/>
            </w:pPr>
          </w:p>
        </w:tc>
        <w:tc>
          <w:tcPr>
            <w:tcW w:w="1701" w:type="dxa"/>
            <w:vAlign w:val="center"/>
          </w:tcPr>
          <w:p w14:paraId="419C11DC" w14:textId="77777777" w:rsidR="00454A29" w:rsidRDefault="00454A29">
            <w:pPr>
              <w:pStyle w:val="ConsPlusNormal"/>
            </w:pPr>
          </w:p>
        </w:tc>
        <w:tc>
          <w:tcPr>
            <w:tcW w:w="1814" w:type="dxa"/>
            <w:vAlign w:val="center"/>
          </w:tcPr>
          <w:p w14:paraId="1B65F985" w14:textId="77777777" w:rsidR="00454A29" w:rsidRDefault="00454A29">
            <w:pPr>
              <w:pStyle w:val="ConsPlusNormal"/>
            </w:pPr>
          </w:p>
        </w:tc>
      </w:tr>
      <w:tr w:rsidR="00454A29" w14:paraId="41FBA6C9" w14:textId="77777777">
        <w:tc>
          <w:tcPr>
            <w:tcW w:w="567" w:type="dxa"/>
            <w:vMerge/>
          </w:tcPr>
          <w:p w14:paraId="613B96A2" w14:textId="77777777" w:rsidR="00454A29" w:rsidRDefault="00454A29"/>
        </w:tc>
        <w:tc>
          <w:tcPr>
            <w:tcW w:w="3345" w:type="dxa"/>
            <w:vMerge/>
          </w:tcPr>
          <w:p w14:paraId="460E9F37" w14:textId="77777777" w:rsidR="00454A29" w:rsidRDefault="00454A29"/>
        </w:tc>
        <w:tc>
          <w:tcPr>
            <w:tcW w:w="1701" w:type="dxa"/>
            <w:vAlign w:val="center"/>
          </w:tcPr>
          <w:p w14:paraId="39FEDD11" w14:textId="77777777" w:rsidR="00454A29" w:rsidRDefault="00454A29">
            <w:pPr>
              <w:pStyle w:val="ConsPlusNormal"/>
              <w:jc w:val="center"/>
            </w:pPr>
            <w:r>
              <w:t>2024</w:t>
            </w:r>
          </w:p>
        </w:tc>
        <w:tc>
          <w:tcPr>
            <w:tcW w:w="1417" w:type="dxa"/>
            <w:vMerge/>
          </w:tcPr>
          <w:p w14:paraId="0173B816" w14:textId="77777777" w:rsidR="00454A29" w:rsidRDefault="00454A29"/>
        </w:tc>
        <w:tc>
          <w:tcPr>
            <w:tcW w:w="2204" w:type="dxa"/>
            <w:vMerge/>
          </w:tcPr>
          <w:p w14:paraId="4F69CE7A" w14:textId="77777777" w:rsidR="00454A29" w:rsidRDefault="00454A29"/>
        </w:tc>
        <w:tc>
          <w:tcPr>
            <w:tcW w:w="1417" w:type="dxa"/>
            <w:vMerge/>
          </w:tcPr>
          <w:p w14:paraId="2922F7CA" w14:textId="77777777" w:rsidR="00454A29" w:rsidRDefault="00454A29"/>
        </w:tc>
        <w:tc>
          <w:tcPr>
            <w:tcW w:w="2324" w:type="dxa"/>
            <w:vMerge/>
          </w:tcPr>
          <w:p w14:paraId="3D88BAAD" w14:textId="77777777" w:rsidR="00454A29" w:rsidRDefault="00454A29"/>
        </w:tc>
        <w:tc>
          <w:tcPr>
            <w:tcW w:w="1701" w:type="dxa"/>
            <w:vAlign w:val="center"/>
          </w:tcPr>
          <w:p w14:paraId="416E64D3" w14:textId="77777777" w:rsidR="00454A29" w:rsidRDefault="00454A29">
            <w:pPr>
              <w:pStyle w:val="ConsPlusNormal"/>
            </w:pPr>
          </w:p>
        </w:tc>
        <w:tc>
          <w:tcPr>
            <w:tcW w:w="1814" w:type="dxa"/>
            <w:vAlign w:val="center"/>
          </w:tcPr>
          <w:p w14:paraId="431ED4A9" w14:textId="77777777" w:rsidR="00454A29" w:rsidRDefault="00454A29">
            <w:pPr>
              <w:pStyle w:val="ConsPlusNormal"/>
            </w:pPr>
          </w:p>
        </w:tc>
        <w:tc>
          <w:tcPr>
            <w:tcW w:w="1701" w:type="dxa"/>
            <w:vAlign w:val="center"/>
          </w:tcPr>
          <w:p w14:paraId="10D1215A" w14:textId="77777777" w:rsidR="00454A29" w:rsidRDefault="00454A29">
            <w:pPr>
              <w:pStyle w:val="ConsPlusNormal"/>
            </w:pPr>
          </w:p>
        </w:tc>
        <w:tc>
          <w:tcPr>
            <w:tcW w:w="1701" w:type="dxa"/>
            <w:vAlign w:val="center"/>
          </w:tcPr>
          <w:p w14:paraId="41F937E3" w14:textId="77777777" w:rsidR="00454A29" w:rsidRDefault="00454A29">
            <w:pPr>
              <w:pStyle w:val="ConsPlusNormal"/>
            </w:pPr>
          </w:p>
        </w:tc>
        <w:tc>
          <w:tcPr>
            <w:tcW w:w="1814" w:type="dxa"/>
            <w:vAlign w:val="center"/>
          </w:tcPr>
          <w:p w14:paraId="10E1D02A" w14:textId="77777777" w:rsidR="00454A29" w:rsidRDefault="00454A29">
            <w:pPr>
              <w:pStyle w:val="ConsPlusNormal"/>
            </w:pPr>
          </w:p>
        </w:tc>
      </w:tr>
      <w:tr w:rsidR="00454A29" w14:paraId="1D32D0D1" w14:textId="77777777">
        <w:tc>
          <w:tcPr>
            <w:tcW w:w="567" w:type="dxa"/>
            <w:vMerge/>
          </w:tcPr>
          <w:p w14:paraId="6E3A4A74" w14:textId="77777777" w:rsidR="00454A29" w:rsidRDefault="00454A29"/>
        </w:tc>
        <w:tc>
          <w:tcPr>
            <w:tcW w:w="3345" w:type="dxa"/>
            <w:vMerge/>
          </w:tcPr>
          <w:p w14:paraId="4D473163" w14:textId="77777777" w:rsidR="00454A29" w:rsidRDefault="00454A29"/>
        </w:tc>
        <w:tc>
          <w:tcPr>
            <w:tcW w:w="1701" w:type="dxa"/>
            <w:vAlign w:val="center"/>
          </w:tcPr>
          <w:p w14:paraId="3F3E7683" w14:textId="77777777" w:rsidR="00454A29" w:rsidRDefault="00454A29">
            <w:pPr>
              <w:pStyle w:val="ConsPlusNormal"/>
              <w:jc w:val="center"/>
            </w:pPr>
            <w:r>
              <w:t>2025</w:t>
            </w:r>
          </w:p>
        </w:tc>
        <w:tc>
          <w:tcPr>
            <w:tcW w:w="1417" w:type="dxa"/>
            <w:vMerge/>
          </w:tcPr>
          <w:p w14:paraId="5A55475F" w14:textId="77777777" w:rsidR="00454A29" w:rsidRDefault="00454A29"/>
        </w:tc>
        <w:tc>
          <w:tcPr>
            <w:tcW w:w="2204" w:type="dxa"/>
            <w:vMerge/>
          </w:tcPr>
          <w:p w14:paraId="149FE1CE" w14:textId="77777777" w:rsidR="00454A29" w:rsidRDefault="00454A29"/>
        </w:tc>
        <w:tc>
          <w:tcPr>
            <w:tcW w:w="1417" w:type="dxa"/>
            <w:vMerge/>
          </w:tcPr>
          <w:p w14:paraId="54A64A97" w14:textId="77777777" w:rsidR="00454A29" w:rsidRDefault="00454A29"/>
        </w:tc>
        <w:tc>
          <w:tcPr>
            <w:tcW w:w="2324" w:type="dxa"/>
            <w:vMerge/>
          </w:tcPr>
          <w:p w14:paraId="0A8869E3" w14:textId="77777777" w:rsidR="00454A29" w:rsidRDefault="00454A29"/>
        </w:tc>
        <w:tc>
          <w:tcPr>
            <w:tcW w:w="1701" w:type="dxa"/>
            <w:vAlign w:val="center"/>
          </w:tcPr>
          <w:p w14:paraId="2E52D393" w14:textId="77777777" w:rsidR="00454A29" w:rsidRDefault="00454A29">
            <w:pPr>
              <w:pStyle w:val="ConsPlusNormal"/>
            </w:pPr>
          </w:p>
        </w:tc>
        <w:tc>
          <w:tcPr>
            <w:tcW w:w="1814" w:type="dxa"/>
            <w:vAlign w:val="center"/>
          </w:tcPr>
          <w:p w14:paraId="3A8B8B64" w14:textId="77777777" w:rsidR="00454A29" w:rsidRDefault="00454A29">
            <w:pPr>
              <w:pStyle w:val="ConsPlusNormal"/>
            </w:pPr>
          </w:p>
        </w:tc>
        <w:tc>
          <w:tcPr>
            <w:tcW w:w="1701" w:type="dxa"/>
            <w:vAlign w:val="center"/>
          </w:tcPr>
          <w:p w14:paraId="166F3EC4" w14:textId="77777777" w:rsidR="00454A29" w:rsidRDefault="00454A29">
            <w:pPr>
              <w:pStyle w:val="ConsPlusNormal"/>
            </w:pPr>
          </w:p>
        </w:tc>
        <w:tc>
          <w:tcPr>
            <w:tcW w:w="1701" w:type="dxa"/>
            <w:vAlign w:val="center"/>
          </w:tcPr>
          <w:p w14:paraId="44C7AAF6" w14:textId="77777777" w:rsidR="00454A29" w:rsidRDefault="00454A29">
            <w:pPr>
              <w:pStyle w:val="ConsPlusNormal"/>
            </w:pPr>
          </w:p>
        </w:tc>
        <w:tc>
          <w:tcPr>
            <w:tcW w:w="1814" w:type="dxa"/>
            <w:vAlign w:val="center"/>
          </w:tcPr>
          <w:p w14:paraId="3AF67D54" w14:textId="77777777" w:rsidR="00454A29" w:rsidRDefault="00454A29">
            <w:pPr>
              <w:pStyle w:val="ConsPlusNormal"/>
            </w:pPr>
          </w:p>
        </w:tc>
      </w:tr>
      <w:tr w:rsidR="00454A29" w14:paraId="5F65F820" w14:textId="77777777">
        <w:tc>
          <w:tcPr>
            <w:tcW w:w="567" w:type="dxa"/>
            <w:vMerge/>
          </w:tcPr>
          <w:p w14:paraId="41819879" w14:textId="77777777" w:rsidR="00454A29" w:rsidRDefault="00454A29"/>
        </w:tc>
        <w:tc>
          <w:tcPr>
            <w:tcW w:w="3345" w:type="dxa"/>
            <w:vMerge/>
          </w:tcPr>
          <w:p w14:paraId="23C33CCA" w14:textId="77777777" w:rsidR="00454A29" w:rsidRDefault="00454A29"/>
        </w:tc>
        <w:tc>
          <w:tcPr>
            <w:tcW w:w="1701" w:type="dxa"/>
            <w:vAlign w:val="center"/>
          </w:tcPr>
          <w:p w14:paraId="13FFDB44" w14:textId="77777777" w:rsidR="00454A29" w:rsidRDefault="00454A29">
            <w:pPr>
              <w:pStyle w:val="ConsPlusNormal"/>
              <w:jc w:val="center"/>
            </w:pPr>
            <w:r>
              <w:t>2026</w:t>
            </w:r>
          </w:p>
        </w:tc>
        <w:tc>
          <w:tcPr>
            <w:tcW w:w="1417" w:type="dxa"/>
            <w:vMerge/>
          </w:tcPr>
          <w:p w14:paraId="598B76ED" w14:textId="77777777" w:rsidR="00454A29" w:rsidRDefault="00454A29"/>
        </w:tc>
        <w:tc>
          <w:tcPr>
            <w:tcW w:w="2204" w:type="dxa"/>
            <w:vMerge/>
          </w:tcPr>
          <w:p w14:paraId="565E36EA" w14:textId="77777777" w:rsidR="00454A29" w:rsidRDefault="00454A29"/>
        </w:tc>
        <w:tc>
          <w:tcPr>
            <w:tcW w:w="1417" w:type="dxa"/>
            <w:vMerge/>
          </w:tcPr>
          <w:p w14:paraId="776DA085" w14:textId="77777777" w:rsidR="00454A29" w:rsidRDefault="00454A29"/>
        </w:tc>
        <w:tc>
          <w:tcPr>
            <w:tcW w:w="2324" w:type="dxa"/>
            <w:vMerge/>
          </w:tcPr>
          <w:p w14:paraId="43B415A3" w14:textId="77777777" w:rsidR="00454A29" w:rsidRDefault="00454A29"/>
        </w:tc>
        <w:tc>
          <w:tcPr>
            <w:tcW w:w="1701" w:type="dxa"/>
            <w:vAlign w:val="center"/>
          </w:tcPr>
          <w:p w14:paraId="6EAEE9DA" w14:textId="77777777" w:rsidR="00454A29" w:rsidRDefault="00454A29">
            <w:pPr>
              <w:pStyle w:val="ConsPlusNormal"/>
              <w:jc w:val="center"/>
            </w:pPr>
            <w:r>
              <w:t>485034,19</w:t>
            </w:r>
          </w:p>
        </w:tc>
        <w:tc>
          <w:tcPr>
            <w:tcW w:w="1814" w:type="dxa"/>
            <w:vAlign w:val="center"/>
          </w:tcPr>
          <w:p w14:paraId="474E2FA7" w14:textId="77777777" w:rsidR="00454A29" w:rsidRDefault="00454A29">
            <w:pPr>
              <w:pStyle w:val="ConsPlusNormal"/>
              <w:jc w:val="center"/>
            </w:pPr>
            <w:r>
              <w:t>5975,621206</w:t>
            </w:r>
          </w:p>
        </w:tc>
        <w:tc>
          <w:tcPr>
            <w:tcW w:w="1701" w:type="dxa"/>
            <w:vAlign w:val="center"/>
          </w:tcPr>
          <w:p w14:paraId="1D870365" w14:textId="77777777" w:rsidR="00454A29" w:rsidRDefault="00454A29">
            <w:pPr>
              <w:pStyle w:val="ConsPlusNormal"/>
              <w:jc w:val="center"/>
            </w:pPr>
            <w:r>
              <w:t>591586,4994</w:t>
            </w:r>
          </w:p>
        </w:tc>
        <w:tc>
          <w:tcPr>
            <w:tcW w:w="1701" w:type="dxa"/>
            <w:vAlign w:val="center"/>
          </w:tcPr>
          <w:p w14:paraId="5F99F87B" w14:textId="77777777" w:rsidR="00454A29" w:rsidRDefault="00454A29">
            <w:pPr>
              <w:pStyle w:val="ConsPlusNormal"/>
            </w:pPr>
          </w:p>
        </w:tc>
        <w:tc>
          <w:tcPr>
            <w:tcW w:w="1814" w:type="dxa"/>
            <w:vAlign w:val="center"/>
          </w:tcPr>
          <w:p w14:paraId="30DE68C4" w14:textId="77777777" w:rsidR="00454A29" w:rsidRDefault="00454A29">
            <w:pPr>
              <w:pStyle w:val="ConsPlusNormal"/>
            </w:pPr>
          </w:p>
        </w:tc>
      </w:tr>
      <w:tr w:rsidR="00454A29" w14:paraId="4E403637" w14:textId="77777777">
        <w:tc>
          <w:tcPr>
            <w:tcW w:w="567" w:type="dxa"/>
            <w:vMerge w:val="restart"/>
            <w:vAlign w:val="center"/>
          </w:tcPr>
          <w:p w14:paraId="65ECC40E" w14:textId="77777777" w:rsidR="00454A29" w:rsidRDefault="00454A29">
            <w:pPr>
              <w:pStyle w:val="ConsPlusNormal"/>
              <w:jc w:val="center"/>
            </w:pPr>
            <w:r>
              <w:t>72</w:t>
            </w:r>
          </w:p>
        </w:tc>
        <w:tc>
          <w:tcPr>
            <w:tcW w:w="3345" w:type="dxa"/>
            <w:vMerge w:val="restart"/>
            <w:vAlign w:val="center"/>
          </w:tcPr>
          <w:p w14:paraId="472A4486" w14:textId="77777777" w:rsidR="00454A29" w:rsidRDefault="00454A29">
            <w:pPr>
              <w:pStyle w:val="ConsPlusNormal"/>
              <w:jc w:val="center"/>
            </w:pPr>
            <w:r>
              <w:t>Школа на 120 учащихся в с. Нуорагана</w:t>
            </w:r>
          </w:p>
        </w:tc>
        <w:tc>
          <w:tcPr>
            <w:tcW w:w="1701" w:type="dxa"/>
            <w:vAlign w:val="center"/>
          </w:tcPr>
          <w:p w14:paraId="3B9390B0" w14:textId="77777777" w:rsidR="00454A29" w:rsidRDefault="00454A29">
            <w:pPr>
              <w:pStyle w:val="ConsPlusNormal"/>
              <w:jc w:val="center"/>
            </w:pPr>
            <w:r>
              <w:t>2020 - 2026 годы - всего</w:t>
            </w:r>
          </w:p>
        </w:tc>
        <w:tc>
          <w:tcPr>
            <w:tcW w:w="1417" w:type="dxa"/>
            <w:vMerge w:val="restart"/>
            <w:vAlign w:val="center"/>
          </w:tcPr>
          <w:p w14:paraId="272278C5" w14:textId="77777777" w:rsidR="00454A29" w:rsidRDefault="00454A29">
            <w:pPr>
              <w:pStyle w:val="ConsPlusNormal"/>
              <w:jc w:val="center"/>
            </w:pPr>
            <w:r>
              <w:t>420 044,60</w:t>
            </w:r>
          </w:p>
        </w:tc>
        <w:tc>
          <w:tcPr>
            <w:tcW w:w="2204" w:type="dxa"/>
            <w:vMerge w:val="restart"/>
            <w:vAlign w:val="center"/>
          </w:tcPr>
          <w:p w14:paraId="707FE652" w14:textId="77777777" w:rsidR="00454A29" w:rsidRDefault="00454A29">
            <w:pPr>
              <w:pStyle w:val="ConsPlusNormal"/>
            </w:pPr>
          </w:p>
        </w:tc>
        <w:tc>
          <w:tcPr>
            <w:tcW w:w="1417" w:type="dxa"/>
            <w:vMerge w:val="restart"/>
            <w:vAlign w:val="center"/>
          </w:tcPr>
          <w:p w14:paraId="75B3BFF0" w14:textId="77777777" w:rsidR="00454A29" w:rsidRDefault="00454A29">
            <w:pPr>
              <w:pStyle w:val="ConsPlusNormal"/>
              <w:jc w:val="center"/>
            </w:pPr>
            <w:r>
              <w:t>120</w:t>
            </w:r>
          </w:p>
        </w:tc>
        <w:tc>
          <w:tcPr>
            <w:tcW w:w="2324" w:type="dxa"/>
            <w:vMerge w:val="restart"/>
            <w:vAlign w:val="center"/>
          </w:tcPr>
          <w:p w14:paraId="0BD7469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CBCA237" w14:textId="77777777" w:rsidR="00454A29" w:rsidRDefault="00454A29">
            <w:pPr>
              <w:pStyle w:val="ConsPlusNormal"/>
              <w:jc w:val="center"/>
            </w:pPr>
            <w:r>
              <w:t>420 044,60</w:t>
            </w:r>
          </w:p>
        </w:tc>
        <w:tc>
          <w:tcPr>
            <w:tcW w:w="1814" w:type="dxa"/>
            <w:vAlign w:val="center"/>
          </w:tcPr>
          <w:p w14:paraId="4BA80620" w14:textId="77777777" w:rsidR="00454A29" w:rsidRDefault="00454A29">
            <w:pPr>
              <w:pStyle w:val="ConsPlusNormal"/>
              <w:jc w:val="center"/>
            </w:pPr>
            <w:r>
              <w:t>5 313,56</w:t>
            </w:r>
          </w:p>
        </w:tc>
        <w:tc>
          <w:tcPr>
            <w:tcW w:w="1701" w:type="dxa"/>
            <w:vAlign w:val="center"/>
          </w:tcPr>
          <w:p w14:paraId="07FFD3EB" w14:textId="77777777" w:rsidR="00454A29" w:rsidRDefault="00454A29">
            <w:pPr>
              <w:pStyle w:val="ConsPlusNormal"/>
              <w:jc w:val="center"/>
            </w:pPr>
            <w:r>
              <w:t>526 042,86</w:t>
            </w:r>
          </w:p>
        </w:tc>
        <w:tc>
          <w:tcPr>
            <w:tcW w:w="1701" w:type="dxa"/>
            <w:vAlign w:val="center"/>
          </w:tcPr>
          <w:p w14:paraId="7C718D1F" w14:textId="77777777" w:rsidR="00454A29" w:rsidRDefault="00454A29">
            <w:pPr>
              <w:pStyle w:val="ConsPlusNormal"/>
              <w:jc w:val="center"/>
            </w:pPr>
            <w:r>
              <w:t>-</w:t>
            </w:r>
          </w:p>
        </w:tc>
        <w:tc>
          <w:tcPr>
            <w:tcW w:w="1814" w:type="dxa"/>
            <w:vAlign w:val="center"/>
          </w:tcPr>
          <w:p w14:paraId="2B3FEBA7" w14:textId="77777777" w:rsidR="00454A29" w:rsidRDefault="00454A29">
            <w:pPr>
              <w:pStyle w:val="ConsPlusNormal"/>
              <w:jc w:val="center"/>
            </w:pPr>
            <w:r>
              <w:t>-</w:t>
            </w:r>
          </w:p>
        </w:tc>
      </w:tr>
      <w:tr w:rsidR="00454A29" w14:paraId="139BE4F1" w14:textId="77777777">
        <w:tc>
          <w:tcPr>
            <w:tcW w:w="567" w:type="dxa"/>
            <w:vMerge/>
          </w:tcPr>
          <w:p w14:paraId="106CBFF0" w14:textId="77777777" w:rsidR="00454A29" w:rsidRDefault="00454A29"/>
        </w:tc>
        <w:tc>
          <w:tcPr>
            <w:tcW w:w="3345" w:type="dxa"/>
            <w:vMerge/>
          </w:tcPr>
          <w:p w14:paraId="370C1981" w14:textId="77777777" w:rsidR="00454A29" w:rsidRDefault="00454A29"/>
        </w:tc>
        <w:tc>
          <w:tcPr>
            <w:tcW w:w="1701" w:type="dxa"/>
            <w:vAlign w:val="center"/>
          </w:tcPr>
          <w:p w14:paraId="663B2FFF" w14:textId="77777777" w:rsidR="00454A29" w:rsidRDefault="00454A29">
            <w:pPr>
              <w:pStyle w:val="ConsPlusNormal"/>
              <w:jc w:val="center"/>
            </w:pPr>
            <w:r>
              <w:t>2020</w:t>
            </w:r>
          </w:p>
        </w:tc>
        <w:tc>
          <w:tcPr>
            <w:tcW w:w="1417" w:type="dxa"/>
            <w:vMerge/>
          </w:tcPr>
          <w:p w14:paraId="07AD2414" w14:textId="77777777" w:rsidR="00454A29" w:rsidRDefault="00454A29"/>
        </w:tc>
        <w:tc>
          <w:tcPr>
            <w:tcW w:w="2204" w:type="dxa"/>
            <w:vMerge/>
          </w:tcPr>
          <w:p w14:paraId="184DCFF6" w14:textId="77777777" w:rsidR="00454A29" w:rsidRDefault="00454A29"/>
        </w:tc>
        <w:tc>
          <w:tcPr>
            <w:tcW w:w="1417" w:type="dxa"/>
            <w:vMerge/>
          </w:tcPr>
          <w:p w14:paraId="7C2FC8C9" w14:textId="77777777" w:rsidR="00454A29" w:rsidRDefault="00454A29"/>
        </w:tc>
        <w:tc>
          <w:tcPr>
            <w:tcW w:w="2324" w:type="dxa"/>
            <w:vMerge/>
          </w:tcPr>
          <w:p w14:paraId="5036BE9B" w14:textId="77777777" w:rsidR="00454A29" w:rsidRDefault="00454A29"/>
        </w:tc>
        <w:tc>
          <w:tcPr>
            <w:tcW w:w="1701" w:type="dxa"/>
            <w:vAlign w:val="center"/>
          </w:tcPr>
          <w:p w14:paraId="5F3B1640" w14:textId="77777777" w:rsidR="00454A29" w:rsidRDefault="00454A29">
            <w:pPr>
              <w:pStyle w:val="ConsPlusNormal"/>
            </w:pPr>
          </w:p>
        </w:tc>
        <w:tc>
          <w:tcPr>
            <w:tcW w:w="1814" w:type="dxa"/>
            <w:vAlign w:val="center"/>
          </w:tcPr>
          <w:p w14:paraId="78D17C33" w14:textId="77777777" w:rsidR="00454A29" w:rsidRDefault="00454A29">
            <w:pPr>
              <w:pStyle w:val="ConsPlusNormal"/>
            </w:pPr>
          </w:p>
        </w:tc>
        <w:tc>
          <w:tcPr>
            <w:tcW w:w="1701" w:type="dxa"/>
            <w:vAlign w:val="center"/>
          </w:tcPr>
          <w:p w14:paraId="1796A066" w14:textId="77777777" w:rsidR="00454A29" w:rsidRDefault="00454A29">
            <w:pPr>
              <w:pStyle w:val="ConsPlusNormal"/>
            </w:pPr>
          </w:p>
        </w:tc>
        <w:tc>
          <w:tcPr>
            <w:tcW w:w="1701" w:type="dxa"/>
            <w:vAlign w:val="center"/>
          </w:tcPr>
          <w:p w14:paraId="089423E1" w14:textId="77777777" w:rsidR="00454A29" w:rsidRDefault="00454A29">
            <w:pPr>
              <w:pStyle w:val="ConsPlusNormal"/>
            </w:pPr>
          </w:p>
        </w:tc>
        <w:tc>
          <w:tcPr>
            <w:tcW w:w="1814" w:type="dxa"/>
            <w:vAlign w:val="center"/>
          </w:tcPr>
          <w:p w14:paraId="36311268" w14:textId="77777777" w:rsidR="00454A29" w:rsidRDefault="00454A29">
            <w:pPr>
              <w:pStyle w:val="ConsPlusNormal"/>
            </w:pPr>
          </w:p>
        </w:tc>
      </w:tr>
      <w:tr w:rsidR="00454A29" w14:paraId="5B595442" w14:textId="77777777">
        <w:tc>
          <w:tcPr>
            <w:tcW w:w="567" w:type="dxa"/>
            <w:vMerge/>
          </w:tcPr>
          <w:p w14:paraId="5EAABE20" w14:textId="77777777" w:rsidR="00454A29" w:rsidRDefault="00454A29"/>
        </w:tc>
        <w:tc>
          <w:tcPr>
            <w:tcW w:w="3345" w:type="dxa"/>
            <w:vMerge/>
          </w:tcPr>
          <w:p w14:paraId="574CC3E4" w14:textId="77777777" w:rsidR="00454A29" w:rsidRDefault="00454A29"/>
        </w:tc>
        <w:tc>
          <w:tcPr>
            <w:tcW w:w="1701" w:type="dxa"/>
            <w:vAlign w:val="center"/>
          </w:tcPr>
          <w:p w14:paraId="3703DBBE" w14:textId="77777777" w:rsidR="00454A29" w:rsidRDefault="00454A29">
            <w:pPr>
              <w:pStyle w:val="ConsPlusNormal"/>
              <w:jc w:val="center"/>
            </w:pPr>
            <w:r>
              <w:t>2021</w:t>
            </w:r>
          </w:p>
        </w:tc>
        <w:tc>
          <w:tcPr>
            <w:tcW w:w="1417" w:type="dxa"/>
            <w:vMerge/>
          </w:tcPr>
          <w:p w14:paraId="2A11E0AA" w14:textId="77777777" w:rsidR="00454A29" w:rsidRDefault="00454A29"/>
        </w:tc>
        <w:tc>
          <w:tcPr>
            <w:tcW w:w="2204" w:type="dxa"/>
            <w:vMerge/>
          </w:tcPr>
          <w:p w14:paraId="0AE4AF08" w14:textId="77777777" w:rsidR="00454A29" w:rsidRDefault="00454A29"/>
        </w:tc>
        <w:tc>
          <w:tcPr>
            <w:tcW w:w="1417" w:type="dxa"/>
            <w:vMerge/>
          </w:tcPr>
          <w:p w14:paraId="021B6E26" w14:textId="77777777" w:rsidR="00454A29" w:rsidRDefault="00454A29"/>
        </w:tc>
        <w:tc>
          <w:tcPr>
            <w:tcW w:w="2324" w:type="dxa"/>
            <w:vMerge/>
          </w:tcPr>
          <w:p w14:paraId="715D49AB" w14:textId="77777777" w:rsidR="00454A29" w:rsidRDefault="00454A29"/>
        </w:tc>
        <w:tc>
          <w:tcPr>
            <w:tcW w:w="1701" w:type="dxa"/>
            <w:vAlign w:val="center"/>
          </w:tcPr>
          <w:p w14:paraId="22E02939" w14:textId="77777777" w:rsidR="00454A29" w:rsidRDefault="00454A29">
            <w:pPr>
              <w:pStyle w:val="ConsPlusNormal"/>
            </w:pPr>
          </w:p>
        </w:tc>
        <w:tc>
          <w:tcPr>
            <w:tcW w:w="1814" w:type="dxa"/>
            <w:vAlign w:val="center"/>
          </w:tcPr>
          <w:p w14:paraId="0C9A431B" w14:textId="77777777" w:rsidR="00454A29" w:rsidRDefault="00454A29">
            <w:pPr>
              <w:pStyle w:val="ConsPlusNormal"/>
            </w:pPr>
          </w:p>
        </w:tc>
        <w:tc>
          <w:tcPr>
            <w:tcW w:w="1701" w:type="dxa"/>
            <w:vAlign w:val="center"/>
          </w:tcPr>
          <w:p w14:paraId="150D1CA8" w14:textId="77777777" w:rsidR="00454A29" w:rsidRDefault="00454A29">
            <w:pPr>
              <w:pStyle w:val="ConsPlusNormal"/>
            </w:pPr>
          </w:p>
        </w:tc>
        <w:tc>
          <w:tcPr>
            <w:tcW w:w="1701" w:type="dxa"/>
            <w:vAlign w:val="center"/>
          </w:tcPr>
          <w:p w14:paraId="33111533" w14:textId="77777777" w:rsidR="00454A29" w:rsidRDefault="00454A29">
            <w:pPr>
              <w:pStyle w:val="ConsPlusNormal"/>
            </w:pPr>
          </w:p>
        </w:tc>
        <w:tc>
          <w:tcPr>
            <w:tcW w:w="1814" w:type="dxa"/>
            <w:vAlign w:val="center"/>
          </w:tcPr>
          <w:p w14:paraId="316719E6" w14:textId="77777777" w:rsidR="00454A29" w:rsidRDefault="00454A29">
            <w:pPr>
              <w:pStyle w:val="ConsPlusNormal"/>
            </w:pPr>
          </w:p>
        </w:tc>
      </w:tr>
      <w:tr w:rsidR="00454A29" w14:paraId="0D1E3D49" w14:textId="77777777">
        <w:tc>
          <w:tcPr>
            <w:tcW w:w="567" w:type="dxa"/>
            <w:vMerge/>
          </w:tcPr>
          <w:p w14:paraId="0D0261AA" w14:textId="77777777" w:rsidR="00454A29" w:rsidRDefault="00454A29"/>
        </w:tc>
        <w:tc>
          <w:tcPr>
            <w:tcW w:w="3345" w:type="dxa"/>
            <w:vMerge/>
          </w:tcPr>
          <w:p w14:paraId="2F6969A3" w14:textId="77777777" w:rsidR="00454A29" w:rsidRDefault="00454A29"/>
        </w:tc>
        <w:tc>
          <w:tcPr>
            <w:tcW w:w="1701" w:type="dxa"/>
            <w:vAlign w:val="center"/>
          </w:tcPr>
          <w:p w14:paraId="7A065280" w14:textId="77777777" w:rsidR="00454A29" w:rsidRDefault="00454A29">
            <w:pPr>
              <w:pStyle w:val="ConsPlusNormal"/>
              <w:jc w:val="center"/>
            </w:pPr>
            <w:r>
              <w:t>2022</w:t>
            </w:r>
          </w:p>
        </w:tc>
        <w:tc>
          <w:tcPr>
            <w:tcW w:w="1417" w:type="dxa"/>
            <w:vMerge/>
          </w:tcPr>
          <w:p w14:paraId="5F97F2DB" w14:textId="77777777" w:rsidR="00454A29" w:rsidRDefault="00454A29"/>
        </w:tc>
        <w:tc>
          <w:tcPr>
            <w:tcW w:w="2204" w:type="dxa"/>
            <w:vMerge/>
          </w:tcPr>
          <w:p w14:paraId="634CAD39" w14:textId="77777777" w:rsidR="00454A29" w:rsidRDefault="00454A29"/>
        </w:tc>
        <w:tc>
          <w:tcPr>
            <w:tcW w:w="1417" w:type="dxa"/>
            <w:vMerge/>
          </w:tcPr>
          <w:p w14:paraId="0F9E529B" w14:textId="77777777" w:rsidR="00454A29" w:rsidRDefault="00454A29"/>
        </w:tc>
        <w:tc>
          <w:tcPr>
            <w:tcW w:w="2324" w:type="dxa"/>
            <w:vMerge/>
          </w:tcPr>
          <w:p w14:paraId="47D3B131" w14:textId="77777777" w:rsidR="00454A29" w:rsidRDefault="00454A29"/>
        </w:tc>
        <w:tc>
          <w:tcPr>
            <w:tcW w:w="1701" w:type="dxa"/>
            <w:vAlign w:val="center"/>
          </w:tcPr>
          <w:p w14:paraId="1F417713" w14:textId="77777777" w:rsidR="00454A29" w:rsidRDefault="00454A29">
            <w:pPr>
              <w:pStyle w:val="ConsPlusNormal"/>
            </w:pPr>
          </w:p>
        </w:tc>
        <w:tc>
          <w:tcPr>
            <w:tcW w:w="1814" w:type="dxa"/>
            <w:vAlign w:val="center"/>
          </w:tcPr>
          <w:p w14:paraId="2D81D850" w14:textId="77777777" w:rsidR="00454A29" w:rsidRDefault="00454A29">
            <w:pPr>
              <w:pStyle w:val="ConsPlusNormal"/>
            </w:pPr>
          </w:p>
        </w:tc>
        <w:tc>
          <w:tcPr>
            <w:tcW w:w="1701" w:type="dxa"/>
            <w:vAlign w:val="center"/>
          </w:tcPr>
          <w:p w14:paraId="695448AE" w14:textId="77777777" w:rsidR="00454A29" w:rsidRDefault="00454A29">
            <w:pPr>
              <w:pStyle w:val="ConsPlusNormal"/>
            </w:pPr>
          </w:p>
        </w:tc>
        <w:tc>
          <w:tcPr>
            <w:tcW w:w="1701" w:type="dxa"/>
            <w:vAlign w:val="center"/>
          </w:tcPr>
          <w:p w14:paraId="61753052" w14:textId="77777777" w:rsidR="00454A29" w:rsidRDefault="00454A29">
            <w:pPr>
              <w:pStyle w:val="ConsPlusNormal"/>
            </w:pPr>
          </w:p>
        </w:tc>
        <w:tc>
          <w:tcPr>
            <w:tcW w:w="1814" w:type="dxa"/>
            <w:vAlign w:val="center"/>
          </w:tcPr>
          <w:p w14:paraId="67CBB651" w14:textId="77777777" w:rsidR="00454A29" w:rsidRDefault="00454A29">
            <w:pPr>
              <w:pStyle w:val="ConsPlusNormal"/>
            </w:pPr>
          </w:p>
        </w:tc>
      </w:tr>
      <w:tr w:rsidR="00454A29" w14:paraId="105985A4" w14:textId="77777777">
        <w:tc>
          <w:tcPr>
            <w:tcW w:w="567" w:type="dxa"/>
            <w:vMerge/>
          </w:tcPr>
          <w:p w14:paraId="5C21D6A9" w14:textId="77777777" w:rsidR="00454A29" w:rsidRDefault="00454A29"/>
        </w:tc>
        <w:tc>
          <w:tcPr>
            <w:tcW w:w="3345" w:type="dxa"/>
            <w:vMerge/>
          </w:tcPr>
          <w:p w14:paraId="1934F3A1" w14:textId="77777777" w:rsidR="00454A29" w:rsidRDefault="00454A29"/>
        </w:tc>
        <w:tc>
          <w:tcPr>
            <w:tcW w:w="1701" w:type="dxa"/>
            <w:vAlign w:val="center"/>
          </w:tcPr>
          <w:p w14:paraId="1F731FFD" w14:textId="77777777" w:rsidR="00454A29" w:rsidRDefault="00454A29">
            <w:pPr>
              <w:pStyle w:val="ConsPlusNormal"/>
              <w:jc w:val="center"/>
            </w:pPr>
            <w:r>
              <w:t>2023</w:t>
            </w:r>
          </w:p>
        </w:tc>
        <w:tc>
          <w:tcPr>
            <w:tcW w:w="1417" w:type="dxa"/>
            <w:vMerge/>
          </w:tcPr>
          <w:p w14:paraId="1E9EDEBD" w14:textId="77777777" w:rsidR="00454A29" w:rsidRDefault="00454A29"/>
        </w:tc>
        <w:tc>
          <w:tcPr>
            <w:tcW w:w="2204" w:type="dxa"/>
            <w:vMerge/>
          </w:tcPr>
          <w:p w14:paraId="4FD3CA7B" w14:textId="77777777" w:rsidR="00454A29" w:rsidRDefault="00454A29"/>
        </w:tc>
        <w:tc>
          <w:tcPr>
            <w:tcW w:w="1417" w:type="dxa"/>
            <w:vMerge/>
          </w:tcPr>
          <w:p w14:paraId="0B0BB803" w14:textId="77777777" w:rsidR="00454A29" w:rsidRDefault="00454A29"/>
        </w:tc>
        <w:tc>
          <w:tcPr>
            <w:tcW w:w="2324" w:type="dxa"/>
            <w:vMerge/>
          </w:tcPr>
          <w:p w14:paraId="5B9F1112" w14:textId="77777777" w:rsidR="00454A29" w:rsidRDefault="00454A29"/>
        </w:tc>
        <w:tc>
          <w:tcPr>
            <w:tcW w:w="1701" w:type="dxa"/>
            <w:vAlign w:val="center"/>
          </w:tcPr>
          <w:p w14:paraId="005ED269" w14:textId="77777777" w:rsidR="00454A29" w:rsidRDefault="00454A29">
            <w:pPr>
              <w:pStyle w:val="ConsPlusNormal"/>
            </w:pPr>
          </w:p>
        </w:tc>
        <w:tc>
          <w:tcPr>
            <w:tcW w:w="1814" w:type="dxa"/>
            <w:vAlign w:val="center"/>
          </w:tcPr>
          <w:p w14:paraId="50BAA4B7" w14:textId="77777777" w:rsidR="00454A29" w:rsidRDefault="00454A29">
            <w:pPr>
              <w:pStyle w:val="ConsPlusNormal"/>
            </w:pPr>
          </w:p>
        </w:tc>
        <w:tc>
          <w:tcPr>
            <w:tcW w:w="1701" w:type="dxa"/>
            <w:vAlign w:val="center"/>
          </w:tcPr>
          <w:p w14:paraId="234DDE85" w14:textId="77777777" w:rsidR="00454A29" w:rsidRDefault="00454A29">
            <w:pPr>
              <w:pStyle w:val="ConsPlusNormal"/>
            </w:pPr>
          </w:p>
        </w:tc>
        <w:tc>
          <w:tcPr>
            <w:tcW w:w="1701" w:type="dxa"/>
            <w:vAlign w:val="center"/>
          </w:tcPr>
          <w:p w14:paraId="7D5E549A" w14:textId="77777777" w:rsidR="00454A29" w:rsidRDefault="00454A29">
            <w:pPr>
              <w:pStyle w:val="ConsPlusNormal"/>
            </w:pPr>
          </w:p>
        </w:tc>
        <w:tc>
          <w:tcPr>
            <w:tcW w:w="1814" w:type="dxa"/>
            <w:vAlign w:val="center"/>
          </w:tcPr>
          <w:p w14:paraId="26E0924E" w14:textId="77777777" w:rsidR="00454A29" w:rsidRDefault="00454A29">
            <w:pPr>
              <w:pStyle w:val="ConsPlusNormal"/>
            </w:pPr>
          </w:p>
        </w:tc>
      </w:tr>
      <w:tr w:rsidR="00454A29" w14:paraId="26B001F1" w14:textId="77777777">
        <w:tc>
          <w:tcPr>
            <w:tcW w:w="567" w:type="dxa"/>
            <w:vMerge/>
          </w:tcPr>
          <w:p w14:paraId="5568AD1C" w14:textId="77777777" w:rsidR="00454A29" w:rsidRDefault="00454A29"/>
        </w:tc>
        <w:tc>
          <w:tcPr>
            <w:tcW w:w="3345" w:type="dxa"/>
            <w:vMerge/>
          </w:tcPr>
          <w:p w14:paraId="2BC5DE6B" w14:textId="77777777" w:rsidR="00454A29" w:rsidRDefault="00454A29"/>
        </w:tc>
        <w:tc>
          <w:tcPr>
            <w:tcW w:w="1701" w:type="dxa"/>
            <w:vAlign w:val="center"/>
          </w:tcPr>
          <w:p w14:paraId="60F28124" w14:textId="77777777" w:rsidR="00454A29" w:rsidRDefault="00454A29">
            <w:pPr>
              <w:pStyle w:val="ConsPlusNormal"/>
              <w:jc w:val="center"/>
            </w:pPr>
            <w:r>
              <w:t>2024</w:t>
            </w:r>
          </w:p>
        </w:tc>
        <w:tc>
          <w:tcPr>
            <w:tcW w:w="1417" w:type="dxa"/>
            <w:vMerge/>
          </w:tcPr>
          <w:p w14:paraId="52512CDA" w14:textId="77777777" w:rsidR="00454A29" w:rsidRDefault="00454A29"/>
        </w:tc>
        <w:tc>
          <w:tcPr>
            <w:tcW w:w="2204" w:type="dxa"/>
            <w:vMerge/>
          </w:tcPr>
          <w:p w14:paraId="0F327AD2" w14:textId="77777777" w:rsidR="00454A29" w:rsidRDefault="00454A29"/>
        </w:tc>
        <w:tc>
          <w:tcPr>
            <w:tcW w:w="1417" w:type="dxa"/>
            <w:vMerge/>
          </w:tcPr>
          <w:p w14:paraId="1E9E72AE" w14:textId="77777777" w:rsidR="00454A29" w:rsidRDefault="00454A29"/>
        </w:tc>
        <w:tc>
          <w:tcPr>
            <w:tcW w:w="2324" w:type="dxa"/>
            <w:vMerge/>
          </w:tcPr>
          <w:p w14:paraId="3FA22D04" w14:textId="77777777" w:rsidR="00454A29" w:rsidRDefault="00454A29"/>
        </w:tc>
        <w:tc>
          <w:tcPr>
            <w:tcW w:w="1701" w:type="dxa"/>
            <w:vAlign w:val="center"/>
          </w:tcPr>
          <w:p w14:paraId="4BA5C7F2" w14:textId="77777777" w:rsidR="00454A29" w:rsidRDefault="00454A29">
            <w:pPr>
              <w:pStyle w:val="ConsPlusNormal"/>
            </w:pPr>
          </w:p>
        </w:tc>
        <w:tc>
          <w:tcPr>
            <w:tcW w:w="1814" w:type="dxa"/>
            <w:vAlign w:val="center"/>
          </w:tcPr>
          <w:p w14:paraId="31F4726C" w14:textId="77777777" w:rsidR="00454A29" w:rsidRDefault="00454A29">
            <w:pPr>
              <w:pStyle w:val="ConsPlusNormal"/>
            </w:pPr>
          </w:p>
        </w:tc>
        <w:tc>
          <w:tcPr>
            <w:tcW w:w="1701" w:type="dxa"/>
            <w:vAlign w:val="center"/>
          </w:tcPr>
          <w:p w14:paraId="09D6551B" w14:textId="77777777" w:rsidR="00454A29" w:rsidRDefault="00454A29">
            <w:pPr>
              <w:pStyle w:val="ConsPlusNormal"/>
            </w:pPr>
          </w:p>
        </w:tc>
        <w:tc>
          <w:tcPr>
            <w:tcW w:w="1701" w:type="dxa"/>
            <w:vAlign w:val="center"/>
          </w:tcPr>
          <w:p w14:paraId="7E8BA54D" w14:textId="77777777" w:rsidR="00454A29" w:rsidRDefault="00454A29">
            <w:pPr>
              <w:pStyle w:val="ConsPlusNormal"/>
            </w:pPr>
          </w:p>
        </w:tc>
        <w:tc>
          <w:tcPr>
            <w:tcW w:w="1814" w:type="dxa"/>
            <w:vAlign w:val="center"/>
          </w:tcPr>
          <w:p w14:paraId="4E517987" w14:textId="77777777" w:rsidR="00454A29" w:rsidRDefault="00454A29">
            <w:pPr>
              <w:pStyle w:val="ConsPlusNormal"/>
            </w:pPr>
          </w:p>
        </w:tc>
      </w:tr>
      <w:tr w:rsidR="00454A29" w14:paraId="0CC7E56F" w14:textId="77777777">
        <w:tc>
          <w:tcPr>
            <w:tcW w:w="567" w:type="dxa"/>
            <w:vMerge/>
          </w:tcPr>
          <w:p w14:paraId="4947427B" w14:textId="77777777" w:rsidR="00454A29" w:rsidRDefault="00454A29"/>
        </w:tc>
        <w:tc>
          <w:tcPr>
            <w:tcW w:w="3345" w:type="dxa"/>
            <w:vMerge/>
          </w:tcPr>
          <w:p w14:paraId="4DCE50E9" w14:textId="77777777" w:rsidR="00454A29" w:rsidRDefault="00454A29"/>
        </w:tc>
        <w:tc>
          <w:tcPr>
            <w:tcW w:w="1701" w:type="dxa"/>
            <w:vAlign w:val="center"/>
          </w:tcPr>
          <w:p w14:paraId="7F02C784" w14:textId="77777777" w:rsidR="00454A29" w:rsidRDefault="00454A29">
            <w:pPr>
              <w:pStyle w:val="ConsPlusNormal"/>
              <w:jc w:val="center"/>
            </w:pPr>
            <w:r>
              <w:t>2025</w:t>
            </w:r>
          </w:p>
        </w:tc>
        <w:tc>
          <w:tcPr>
            <w:tcW w:w="1417" w:type="dxa"/>
            <w:vMerge/>
          </w:tcPr>
          <w:p w14:paraId="28AD2118" w14:textId="77777777" w:rsidR="00454A29" w:rsidRDefault="00454A29"/>
        </w:tc>
        <w:tc>
          <w:tcPr>
            <w:tcW w:w="2204" w:type="dxa"/>
            <w:vMerge/>
          </w:tcPr>
          <w:p w14:paraId="14DB5F3A" w14:textId="77777777" w:rsidR="00454A29" w:rsidRDefault="00454A29"/>
        </w:tc>
        <w:tc>
          <w:tcPr>
            <w:tcW w:w="1417" w:type="dxa"/>
            <w:vMerge/>
          </w:tcPr>
          <w:p w14:paraId="3EE0EED1" w14:textId="77777777" w:rsidR="00454A29" w:rsidRDefault="00454A29"/>
        </w:tc>
        <w:tc>
          <w:tcPr>
            <w:tcW w:w="2324" w:type="dxa"/>
            <w:vMerge/>
          </w:tcPr>
          <w:p w14:paraId="56368AFC" w14:textId="77777777" w:rsidR="00454A29" w:rsidRDefault="00454A29"/>
        </w:tc>
        <w:tc>
          <w:tcPr>
            <w:tcW w:w="1701" w:type="dxa"/>
            <w:vAlign w:val="center"/>
          </w:tcPr>
          <w:p w14:paraId="057ED532" w14:textId="77777777" w:rsidR="00454A29" w:rsidRDefault="00454A29">
            <w:pPr>
              <w:pStyle w:val="ConsPlusNormal"/>
              <w:jc w:val="center"/>
            </w:pPr>
            <w:r>
              <w:t>420 044,60</w:t>
            </w:r>
          </w:p>
        </w:tc>
        <w:tc>
          <w:tcPr>
            <w:tcW w:w="1814" w:type="dxa"/>
            <w:vAlign w:val="center"/>
          </w:tcPr>
          <w:p w14:paraId="6DC58500" w14:textId="77777777" w:rsidR="00454A29" w:rsidRDefault="00454A29">
            <w:pPr>
              <w:pStyle w:val="ConsPlusNormal"/>
              <w:jc w:val="center"/>
            </w:pPr>
            <w:r>
              <w:t>5 313,56</w:t>
            </w:r>
          </w:p>
        </w:tc>
        <w:tc>
          <w:tcPr>
            <w:tcW w:w="1701" w:type="dxa"/>
            <w:vAlign w:val="center"/>
          </w:tcPr>
          <w:p w14:paraId="4D8C46C9" w14:textId="77777777" w:rsidR="00454A29" w:rsidRDefault="00454A29">
            <w:pPr>
              <w:pStyle w:val="ConsPlusNormal"/>
              <w:jc w:val="center"/>
            </w:pPr>
            <w:r>
              <w:t>526 042,86</w:t>
            </w:r>
          </w:p>
        </w:tc>
        <w:tc>
          <w:tcPr>
            <w:tcW w:w="1701" w:type="dxa"/>
            <w:vAlign w:val="center"/>
          </w:tcPr>
          <w:p w14:paraId="19847B8B" w14:textId="77777777" w:rsidR="00454A29" w:rsidRDefault="00454A29">
            <w:pPr>
              <w:pStyle w:val="ConsPlusNormal"/>
            </w:pPr>
          </w:p>
        </w:tc>
        <w:tc>
          <w:tcPr>
            <w:tcW w:w="1814" w:type="dxa"/>
            <w:vAlign w:val="center"/>
          </w:tcPr>
          <w:p w14:paraId="0A8433E7" w14:textId="77777777" w:rsidR="00454A29" w:rsidRDefault="00454A29">
            <w:pPr>
              <w:pStyle w:val="ConsPlusNormal"/>
            </w:pPr>
          </w:p>
        </w:tc>
      </w:tr>
      <w:tr w:rsidR="00454A29" w14:paraId="21606273" w14:textId="77777777">
        <w:tc>
          <w:tcPr>
            <w:tcW w:w="567" w:type="dxa"/>
            <w:vMerge/>
          </w:tcPr>
          <w:p w14:paraId="6BB995DC" w14:textId="77777777" w:rsidR="00454A29" w:rsidRDefault="00454A29"/>
        </w:tc>
        <w:tc>
          <w:tcPr>
            <w:tcW w:w="3345" w:type="dxa"/>
            <w:vMerge/>
          </w:tcPr>
          <w:p w14:paraId="49B6FE26" w14:textId="77777777" w:rsidR="00454A29" w:rsidRDefault="00454A29"/>
        </w:tc>
        <w:tc>
          <w:tcPr>
            <w:tcW w:w="1701" w:type="dxa"/>
            <w:vAlign w:val="center"/>
          </w:tcPr>
          <w:p w14:paraId="0C40E0EF" w14:textId="77777777" w:rsidR="00454A29" w:rsidRDefault="00454A29">
            <w:pPr>
              <w:pStyle w:val="ConsPlusNormal"/>
              <w:jc w:val="center"/>
            </w:pPr>
            <w:r>
              <w:t>2026</w:t>
            </w:r>
          </w:p>
        </w:tc>
        <w:tc>
          <w:tcPr>
            <w:tcW w:w="1417" w:type="dxa"/>
            <w:vMerge/>
          </w:tcPr>
          <w:p w14:paraId="3001DE3B" w14:textId="77777777" w:rsidR="00454A29" w:rsidRDefault="00454A29"/>
        </w:tc>
        <w:tc>
          <w:tcPr>
            <w:tcW w:w="2204" w:type="dxa"/>
            <w:vMerge/>
          </w:tcPr>
          <w:p w14:paraId="52B75A1E" w14:textId="77777777" w:rsidR="00454A29" w:rsidRDefault="00454A29"/>
        </w:tc>
        <w:tc>
          <w:tcPr>
            <w:tcW w:w="1417" w:type="dxa"/>
            <w:vMerge/>
          </w:tcPr>
          <w:p w14:paraId="5F092530" w14:textId="77777777" w:rsidR="00454A29" w:rsidRDefault="00454A29"/>
        </w:tc>
        <w:tc>
          <w:tcPr>
            <w:tcW w:w="2324" w:type="dxa"/>
            <w:vMerge/>
          </w:tcPr>
          <w:p w14:paraId="7CE478AD" w14:textId="77777777" w:rsidR="00454A29" w:rsidRDefault="00454A29"/>
        </w:tc>
        <w:tc>
          <w:tcPr>
            <w:tcW w:w="1701" w:type="dxa"/>
            <w:vAlign w:val="center"/>
          </w:tcPr>
          <w:p w14:paraId="63F687AC" w14:textId="77777777" w:rsidR="00454A29" w:rsidRDefault="00454A29">
            <w:pPr>
              <w:pStyle w:val="ConsPlusNormal"/>
            </w:pPr>
          </w:p>
        </w:tc>
        <w:tc>
          <w:tcPr>
            <w:tcW w:w="1814" w:type="dxa"/>
            <w:vAlign w:val="center"/>
          </w:tcPr>
          <w:p w14:paraId="03BFB106" w14:textId="77777777" w:rsidR="00454A29" w:rsidRDefault="00454A29">
            <w:pPr>
              <w:pStyle w:val="ConsPlusNormal"/>
            </w:pPr>
          </w:p>
        </w:tc>
        <w:tc>
          <w:tcPr>
            <w:tcW w:w="1701" w:type="dxa"/>
            <w:vAlign w:val="center"/>
          </w:tcPr>
          <w:p w14:paraId="6BF6D6FE" w14:textId="77777777" w:rsidR="00454A29" w:rsidRDefault="00454A29">
            <w:pPr>
              <w:pStyle w:val="ConsPlusNormal"/>
            </w:pPr>
          </w:p>
        </w:tc>
        <w:tc>
          <w:tcPr>
            <w:tcW w:w="1701" w:type="dxa"/>
            <w:vAlign w:val="center"/>
          </w:tcPr>
          <w:p w14:paraId="77A2C7BB" w14:textId="77777777" w:rsidR="00454A29" w:rsidRDefault="00454A29">
            <w:pPr>
              <w:pStyle w:val="ConsPlusNormal"/>
            </w:pPr>
          </w:p>
        </w:tc>
        <w:tc>
          <w:tcPr>
            <w:tcW w:w="1814" w:type="dxa"/>
            <w:vAlign w:val="center"/>
          </w:tcPr>
          <w:p w14:paraId="3AD53BB5" w14:textId="77777777" w:rsidR="00454A29" w:rsidRDefault="00454A29">
            <w:pPr>
              <w:pStyle w:val="ConsPlusNormal"/>
            </w:pPr>
          </w:p>
        </w:tc>
      </w:tr>
      <w:tr w:rsidR="00454A29" w14:paraId="6698F92E" w14:textId="77777777">
        <w:tc>
          <w:tcPr>
            <w:tcW w:w="21706" w:type="dxa"/>
            <w:gridSpan w:val="12"/>
            <w:vAlign w:val="center"/>
          </w:tcPr>
          <w:p w14:paraId="09ADAB80" w14:textId="77777777" w:rsidR="00454A29" w:rsidRDefault="00454A29">
            <w:pPr>
              <w:pStyle w:val="ConsPlusNormal"/>
              <w:jc w:val="center"/>
              <w:outlineLvl w:val="2"/>
            </w:pPr>
            <w:r>
              <w:t>МО "Мирнинский район"</w:t>
            </w:r>
          </w:p>
        </w:tc>
      </w:tr>
      <w:tr w:rsidR="00454A29" w14:paraId="346265C2" w14:textId="77777777">
        <w:tc>
          <w:tcPr>
            <w:tcW w:w="567" w:type="dxa"/>
            <w:vMerge w:val="restart"/>
            <w:vAlign w:val="center"/>
          </w:tcPr>
          <w:p w14:paraId="159C55F2" w14:textId="77777777" w:rsidR="00454A29" w:rsidRDefault="00454A29">
            <w:pPr>
              <w:pStyle w:val="ConsPlusNormal"/>
              <w:jc w:val="center"/>
            </w:pPr>
            <w:r>
              <w:t>73</w:t>
            </w:r>
          </w:p>
        </w:tc>
        <w:tc>
          <w:tcPr>
            <w:tcW w:w="3345" w:type="dxa"/>
            <w:vMerge w:val="restart"/>
            <w:vAlign w:val="center"/>
          </w:tcPr>
          <w:p w14:paraId="2999DE89" w14:textId="77777777" w:rsidR="00454A29" w:rsidRDefault="00454A29">
            <w:pPr>
              <w:pStyle w:val="ConsPlusNormal"/>
              <w:jc w:val="center"/>
            </w:pPr>
            <w:r>
              <w:t>Школа на 275 учащихся в п. Алмазный</w:t>
            </w:r>
          </w:p>
        </w:tc>
        <w:tc>
          <w:tcPr>
            <w:tcW w:w="1701" w:type="dxa"/>
            <w:vAlign w:val="center"/>
          </w:tcPr>
          <w:p w14:paraId="0EFAFB66" w14:textId="77777777" w:rsidR="00454A29" w:rsidRDefault="00454A29">
            <w:pPr>
              <w:pStyle w:val="ConsPlusNormal"/>
              <w:jc w:val="center"/>
            </w:pPr>
            <w:r>
              <w:t>2020 - 2026 годы - всего</w:t>
            </w:r>
          </w:p>
        </w:tc>
        <w:tc>
          <w:tcPr>
            <w:tcW w:w="1417" w:type="dxa"/>
            <w:vMerge w:val="restart"/>
            <w:vAlign w:val="center"/>
          </w:tcPr>
          <w:p w14:paraId="4D8B326C" w14:textId="77777777" w:rsidR="00454A29" w:rsidRDefault="00454A29">
            <w:pPr>
              <w:pStyle w:val="ConsPlusNormal"/>
              <w:jc w:val="center"/>
            </w:pPr>
            <w:r>
              <w:t>359 808,56</w:t>
            </w:r>
          </w:p>
        </w:tc>
        <w:tc>
          <w:tcPr>
            <w:tcW w:w="2204" w:type="dxa"/>
            <w:vMerge w:val="restart"/>
            <w:vAlign w:val="center"/>
          </w:tcPr>
          <w:p w14:paraId="701A462D" w14:textId="77777777" w:rsidR="00454A29" w:rsidRDefault="00454A29">
            <w:pPr>
              <w:pStyle w:val="ConsPlusNormal"/>
              <w:jc w:val="center"/>
            </w:pPr>
            <w:r>
              <w:t>имеется</w:t>
            </w:r>
          </w:p>
        </w:tc>
        <w:tc>
          <w:tcPr>
            <w:tcW w:w="1417" w:type="dxa"/>
            <w:vMerge w:val="restart"/>
            <w:vAlign w:val="center"/>
          </w:tcPr>
          <w:p w14:paraId="3B033099" w14:textId="77777777" w:rsidR="00454A29" w:rsidRDefault="00454A29">
            <w:pPr>
              <w:pStyle w:val="ConsPlusNormal"/>
              <w:jc w:val="center"/>
            </w:pPr>
            <w:r>
              <w:t>275</w:t>
            </w:r>
          </w:p>
        </w:tc>
        <w:tc>
          <w:tcPr>
            <w:tcW w:w="2324" w:type="dxa"/>
            <w:vMerge w:val="restart"/>
            <w:vAlign w:val="center"/>
          </w:tcPr>
          <w:p w14:paraId="046C27F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446D68C" w14:textId="77777777" w:rsidR="00454A29" w:rsidRDefault="00454A29">
            <w:pPr>
              <w:pStyle w:val="ConsPlusNormal"/>
              <w:jc w:val="center"/>
            </w:pPr>
            <w:r>
              <w:t>359 808,56</w:t>
            </w:r>
          </w:p>
        </w:tc>
        <w:tc>
          <w:tcPr>
            <w:tcW w:w="1814" w:type="dxa"/>
            <w:vAlign w:val="center"/>
          </w:tcPr>
          <w:p w14:paraId="6CA19731" w14:textId="77777777" w:rsidR="00454A29" w:rsidRDefault="00454A29">
            <w:pPr>
              <w:pStyle w:val="ConsPlusNormal"/>
              <w:jc w:val="center"/>
            </w:pPr>
            <w:r>
              <w:t>253 872,36</w:t>
            </w:r>
          </w:p>
        </w:tc>
        <w:tc>
          <w:tcPr>
            <w:tcW w:w="1701" w:type="dxa"/>
            <w:vAlign w:val="center"/>
          </w:tcPr>
          <w:p w14:paraId="0E3226F1" w14:textId="77777777" w:rsidR="00454A29" w:rsidRDefault="00454A29">
            <w:pPr>
              <w:pStyle w:val="ConsPlusNormal"/>
              <w:jc w:val="center"/>
            </w:pPr>
            <w:r>
              <w:t>-</w:t>
            </w:r>
          </w:p>
        </w:tc>
        <w:tc>
          <w:tcPr>
            <w:tcW w:w="1701" w:type="dxa"/>
            <w:vAlign w:val="center"/>
          </w:tcPr>
          <w:p w14:paraId="350CB402" w14:textId="77777777" w:rsidR="00454A29" w:rsidRDefault="00454A29">
            <w:pPr>
              <w:pStyle w:val="ConsPlusNormal"/>
              <w:jc w:val="center"/>
            </w:pPr>
            <w:r>
              <w:t>105 936,20</w:t>
            </w:r>
          </w:p>
        </w:tc>
        <w:tc>
          <w:tcPr>
            <w:tcW w:w="1814" w:type="dxa"/>
            <w:vAlign w:val="center"/>
          </w:tcPr>
          <w:p w14:paraId="43627D01" w14:textId="77777777" w:rsidR="00454A29" w:rsidRDefault="00454A29">
            <w:pPr>
              <w:pStyle w:val="ConsPlusNormal"/>
              <w:jc w:val="center"/>
            </w:pPr>
            <w:r>
              <w:t>-</w:t>
            </w:r>
          </w:p>
        </w:tc>
      </w:tr>
      <w:tr w:rsidR="00454A29" w14:paraId="0CC2F333" w14:textId="77777777">
        <w:tc>
          <w:tcPr>
            <w:tcW w:w="567" w:type="dxa"/>
            <w:vMerge/>
          </w:tcPr>
          <w:p w14:paraId="3DE68783" w14:textId="77777777" w:rsidR="00454A29" w:rsidRDefault="00454A29"/>
        </w:tc>
        <w:tc>
          <w:tcPr>
            <w:tcW w:w="3345" w:type="dxa"/>
            <w:vMerge/>
          </w:tcPr>
          <w:p w14:paraId="4FE983BB" w14:textId="77777777" w:rsidR="00454A29" w:rsidRDefault="00454A29"/>
        </w:tc>
        <w:tc>
          <w:tcPr>
            <w:tcW w:w="1701" w:type="dxa"/>
            <w:vAlign w:val="center"/>
          </w:tcPr>
          <w:p w14:paraId="4C6F804A" w14:textId="77777777" w:rsidR="00454A29" w:rsidRDefault="00454A29">
            <w:pPr>
              <w:pStyle w:val="ConsPlusNormal"/>
              <w:jc w:val="center"/>
            </w:pPr>
            <w:r>
              <w:t>2020</w:t>
            </w:r>
          </w:p>
        </w:tc>
        <w:tc>
          <w:tcPr>
            <w:tcW w:w="1417" w:type="dxa"/>
            <w:vMerge/>
          </w:tcPr>
          <w:p w14:paraId="6C996B2D" w14:textId="77777777" w:rsidR="00454A29" w:rsidRDefault="00454A29"/>
        </w:tc>
        <w:tc>
          <w:tcPr>
            <w:tcW w:w="2204" w:type="dxa"/>
            <w:vMerge/>
          </w:tcPr>
          <w:p w14:paraId="54B18473" w14:textId="77777777" w:rsidR="00454A29" w:rsidRDefault="00454A29"/>
        </w:tc>
        <w:tc>
          <w:tcPr>
            <w:tcW w:w="1417" w:type="dxa"/>
            <w:vMerge/>
          </w:tcPr>
          <w:p w14:paraId="39330738" w14:textId="77777777" w:rsidR="00454A29" w:rsidRDefault="00454A29"/>
        </w:tc>
        <w:tc>
          <w:tcPr>
            <w:tcW w:w="2324" w:type="dxa"/>
            <w:vMerge/>
          </w:tcPr>
          <w:p w14:paraId="75A8C835" w14:textId="77777777" w:rsidR="00454A29" w:rsidRDefault="00454A29"/>
        </w:tc>
        <w:tc>
          <w:tcPr>
            <w:tcW w:w="1701" w:type="dxa"/>
            <w:vAlign w:val="center"/>
          </w:tcPr>
          <w:p w14:paraId="6715836D" w14:textId="77777777" w:rsidR="00454A29" w:rsidRDefault="00454A29">
            <w:pPr>
              <w:pStyle w:val="ConsPlusNormal"/>
              <w:jc w:val="center"/>
            </w:pPr>
            <w:r>
              <w:t>359 808,56</w:t>
            </w:r>
          </w:p>
        </w:tc>
        <w:tc>
          <w:tcPr>
            <w:tcW w:w="1814" w:type="dxa"/>
            <w:vAlign w:val="center"/>
          </w:tcPr>
          <w:p w14:paraId="3F5FD546" w14:textId="77777777" w:rsidR="00454A29" w:rsidRDefault="00454A29">
            <w:pPr>
              <w:pStyle w:val="ConsPlusNormal"/>
              <w:jc w:val="center"/>
            </w:pPr>
            <w:r>
              <w:t>253 872,36</w:t>
            </w:r>
          </w:p>
        </w:tc>
        <w:tc>
          <w:tcPr>
            <w:tcW w:w="1701" w:type="dxa"/>
            <w:vAlign w:val="center"/>
          </w:tcPr>
          <w:p w14:paraId="5A85AEC0" w14:textId="77777777" w:rsidR="00454A29" w:rsidRDefault="00454A29">
            <w:pPr>
              <w:pStyle w:val="ConsPlusNormal"/>
            </w:pPr>
          </w:p>
        </w:tc>
        <w:tc>
          <w:tcPr>
            <w:tcW w:w="1701" w:type="dxa"/>
            <w:vAlign w:val="center"/>
          </w:tcPr>
          <w:p w14:paraId="558DF129" w14:textId="77777777" w:rsidR="00454A29" w:rsidRDefault="00454A29">
            <w:pPr>
              <w:pStyle w:val="ConsPlusNormal"/>
              <w:jc w:val="center"/>
            </w:pPr>
            <w:r>
              <w:t>105 936,20</w:t>
            </w:r>
          </w:p>
        </w:tc>
        <w:tc>
          <w:tcPr>
            <w:tcW w:w="1814" w:type="dxa"/>
            <w:vAlign w:val="center"/>
          </w:tcPr>
          <w:p w14:paraId="4169A3F0" w14:textId="77777777" w:rsidR="00454A29" w:rsidRDefault="00454A29">
            <w:pPr>
              <w:pStyle w:val="ConsPlusNormal"/>
            </w:pPr>
          </w:p>
        </w:tc>
      </w:tr>
      <w:tr w:rsidR="00454A29" w14:paraId="588F891B" w14:textId="77777777">
        <w:tc>
          <w:tcPr>
            <w:tcW w:w="567" w:type="dxa"/>
            <w:vMerge/>
          </w:tcPr>
          <w:p w14:paraId="2DF8AA2B" w14:textId="77777777" w:rsidR="00454A29" w:rsidRDefault="00454A29"/>
        </w:tc>
        <w:tc>
          <w:tcPr>
            <w:tcW w:w="3345" w:type="dxa"/>
            <w:vMerge/>
          </w:tcPr>
          <w:p w14:paraId="37A507C4" w14:textId="77777777" w:rsidR="00454A29" w:rsidRDefault="00454A29"/>
        </w:tc>
        <w:tc>
          <w:tcPr>
            <w:tcW w:w="1701" w:type="dxa"/>
            <w:vAlign w:val="center"/>
          </w:tcPr>
          <w:p w14:paraId="5127C35E" w14:textId="77777777" w:rsidR="00454A29" w:rsidRDefault="00454A29">
            <w:pPr>
              <w:pStyle w:val="ConsPlusNormal"/>
              <w:jc w:val="center"/>
            </w:pPr>
            <w:r>
              <w:t>2021</w:t>
            </w:r>
          </w:p>
        </w:tc>
        <w:tc>
          <w:tcPr>
            <w:tcW w:w="1417" w:type="dxa"/>
            <w:vMerge/>
          </w:tcPr>
          <w:p w14:paraId="7D7ECCD4" w14:textId="77777777" w:rsidR="00454A29" w:rsidRDefault="00454A29"/>
        </w:tc>
        <w:tc>
          <w:tcPr>
            <w:tcW w:w="2204" w:type="dxa"/>
            <w:vMerge/>
          </w:tcPr>
          <w:p w14:paraId="0484DF80" w14:textId="77777777" w:rsidR="00454A29" w:rsidRDefault="00454A29"/>
        </w:tc>
        <w:tc>
          <w:tcPr>
            <w:tcW w:w="1417" w:type="dxa"/>
            <w:vMerge/>
          </w:tcPr>
          <w:p w14:paraId="787ED5FD" w14:textId="77777777" w:rsidR="00454A29" w:rsidRDefault="00454A29"/>
        </w:tc>
        <w:tc>
          <w:tcPr>
            <w:tcW w:w="2324" w:type="dxa"/>
            <w:vMerge/>
          </w:tcPr>
          <w:p w14:paraId="34E4365C" w14:textId="77777777" w:rsidR="00454A29" w:rsidRDefault="00454A29"/>
        </w:tc>
        <w:tc>
          <w:tcPr>
            <w:tcW w:w="1701" w:type="dxa"/>
            <w:vAlign w:val="center"/>
          </w:tcPr>
          <w:p w14:paraId="32062D2E" w14:textId="77777777" w:rsidR="00454A29" w:rsidRDefault="00454A29">
            <w:pPr>
              <w:pStyle w:val="ConsPlusNormal"/>
            </w:pPr>
          </w:p>
        </w:tc>
        <w:tc>
          <w:tcPr>
            <w:tcW w:w="1814" w:type="dxa"/>
            <w:vAlign w:val="center"/>
          </w:tcPr>
          <w:p w14:paraId="32001BAC" w14:textId="77777777" w:rsidR="00454A29" w:rsidRDefault="00454A29">
            <w:pPr>
              <w:pStyle w:val="ConsPlusNormal"/>
            </w:pPr>
          </w:p>
        </w:tc>
        <w:tc>
          <w:tcPr>
            <w:tcW w:w="1701" w:type="dxa"/>
            <w:vAlign w:val="center"/>
          </w:tcPr>
          <w:p w14:paraId="493266C8" w14:textId="77777777" w:rsidR="00454A29" w:rsidRDefault="00454A29">
            <w:pPr>
              <w:pStyle w:val="ConsPlusNormal"/>
            </w:pPr>
          </w:p>
        </w:tc>
        <w:tc>
          <w:tcPr>
            <w:tcW w:w="1701" w:type="dxa"/>
            <w:vAlign w:val="center"/>
          </w:tcPr>
          <w:p w14:paraId="2D9DE392" w14:textId="77777777" w:rsidR="00454A29" w:rsidRDefault="00454A29">
            <w:pPr>
              <w:pStyle w:val="ConsPlusNormal"/>
            </w:pPr>
          </w:p>
        </w:tc>
        <w:tc>
          <w:tcPr>
            <w:tcW w:w="1814" w:type="dxa"/>
            <w:vAlign w:val="center"/>
          </w:tcPr>
          <w:p w14:paraId="1D301482" w14:textId="77777777" w:rsidR="00454A29" w:rsidRDefault="00454A29">
            <w:pPr>
              <w:pStyle w:val="ConsPlusNormal"/>
            </w:pPr>
          </w:p>
        </w:tc>
      </w:tr>
      <w:tr w:rsidR="00454A29" w14:paraId="3269F791" w14:textId="77777777">
        <w:tc>
          <w:tcPr>
            <w:tcW w:w="567" w:type="dxa"/>
            <w:vMerge/>
          </w:tcPr>
          <w:p w14:paraId="158BAE66" w14:textId="77777777" w:rsidR="00454A29" w:rsidRDefault="00454A29"/>
        </w:tc>
        <w:tc>
          <w:tcPr>
            <w:tcW w:w="3345" w:type="dxa"/>
            <w:vMerge/>
          </w:tcPr>
          <w:p w14:paraId="2AAE2D83" w14:textId="77777777" w:rsidR="00454A29" w:rsidRDefault="00454A29"/>
        </w:tc>
        <w:tc>
          <w:tcPr>
            <w:tcW w:w="1701" w:type="dxa"/>
            <w:vAlign w:val="center"/>
          </w:tcPr>
          <w:p w14:paraId="7714C5BD" w14:textId="77777777" w:rsidR="00454A29" w:rsidRDefault="00454A29">
            <w:pPr>
              <w:pStyle w:val="ConsPlusNormal"/>
              <w:jc w:val="center"/>
            </w:pPr>
            <w:r>
              <w:t>2022</w:t>
            </w:r>
          </w:p>
        </w:tc>
        <w:tc>
          <w:tcPr>
            <w:tcW w:w="1417" w:type="dxa"/>
            <w:vMerge/>
          </w:tcPr>
          <w:p w14:paraId="72F2EAFA" w14:textId="77777777" w:rsidR="00454A29" w:rsidRDefault="00454A29"/>
        </w:tc>
        <w:tc>
          <w:tcPr>
            <w:tcW w:w="2204" w:type="dxa"/>
            <w:vMerge/>
          </w:tcPr>
          <w:p w14:paraId="6C2D7AD2" w14:textId="77777777" w:rsidR="00454A29" w:rsidRDefault="00454A29"/>
        </w:tc>
        <w:tc>
          <w:tcPr>
            <w:tcW w:w="1417" w:type="dxa"/>
            <w:vMerge/>
          </w:tcPr>
          <w:p w14:paraId="27CDA9D3" w14:textId="77777777" w:rsidR="00454A29" w:rsidRDefault="00454A29"/>
        </w:tc>
        <w:tc>
          <w:tcPr>
            <w:tcW w:w="2324" w:type="dxa"/>
            <w:vMerge/>
          </w:tcPr>
          <w:p w14:paraId="17F8CDE9" w14:textId="77777777" w:rsidR="00454A29" w:rsidRDefault="00454A29"/>
        </w:tc>
        <w:tc>
          <w:tcPr>
            <w:tcW w:w="1701" w:type="dxa"/>
            <w:vAlign w:val="center"/>
          </w:tcPr>
          <w:p w14:paraId="3F001758" w14:textId="77777777" w:rsidR="00454A29" w:rsidRDefault="00454A29">
            <w:pPr>
              <w:pStyle w:val="ConsPlusNormal"/>
            </w:pPr>
          </w:p>
        </w:tc>
        <w:tc>
          <w:tcPr>
            <w:tcW w:w="1814" w:type="dxa"/>
            <w:vAlign w:val="center"/>
          </w:tcPr>
          <w:p w14:paraId="018C718D" w14:textId="77777777" w:rsidR="00454A29" w:rsidRDefault="00454A29">
            <w:pPr>
              <w:pStyle w:val="ConsPlusNormal"/>
            </w:pPr>
          </w:p>
        </w:tc>
        <w:tc>
          <w:tcPr>
            <w:tcW w:w="1701" w:type="dxa"/>
            <w:vAlign w:val="center"/>
          </w:tcPr>
          <w:p w14:paraId="03ECD4E4" w14:textId="77777777" w:rsidR="00454A29" w:rsidRDefault="00454A29">
            <w:pPr>
              <w:pStyle w:val="ConsPlusNormal"/>
            </w:pPr>
          </w:p>
        </w:tc>
        <w:tc>
          <w:tcPr>
            <w:tcW w:w="1701" w:type="dxa"/>
            <w:vAlign w:val="center"/>
          </w:tcPr>
          <w:p w14:paraId="2FAFD7D1" w14:textId="77777777" w:rsidR="00454A29" w:rsidRDefault="00454A29">
            <w:pPr>
              <w:pStyle w:val="ConsPlusNormal"/>
            </w:pPr>
          </w:p>
        </w:tc>
        <w:tc>
          <w:tcPr>
            <w:tcW w:w="1814" w:type="dxa"/>
            <w:vAlign w:val="center"/>
          </w:tcPr>
          <w:p w14:paraId="07F7399D" w14:textId="77777777" w:rsidR="00454A29" w:rsidRDefault="00454A29">
            <w:pPr>
              <w:pStyle w:val="ConsPlusNormal"/>
            </w:pPr>
          </w:p>
        </w:tc>
      </w:tr>
      <w:tr w:rsidR="00454A29" w14:paraId="47679FC2" w14:textId="77777777">
        <w:tc>
          <w:tcPr>
            <w:tcW w:w="567" w:type="dxa"/>
            <w:vMerge/>
          </w:tcPr>
          <w:p w14:paraId="264B485C" w14:textId="77777777" w:rsidR="00454A29" w:rsidRDefault="00454A29"/>
        </w:tc>
        <w:tc>
          <w:tcPr>
            <w:tcW w:w="3345" w:type="dxa"/>
            <w:vMerge/>
          </w:tcPr>
          <w:p w14:paraId="3123C8FA" w14:textId="77777777" w:rsidR="00454A29" w:rsidRDefault="00454A29"/>
        </w:tc>
        <w:tc>
          <w:tcPr>
            <w:tcW w:w="1701" w:type="dxa"/>
            <w:vAlign w:val="center"/>
          </w:tcPr>
          <w:p w14:paraId="44E1EEF5" w14:textId="77777777" w:rsidR="00454A29" w:rsidRDefault="00454A29">
            <w:pPr>
              <w:pStyle w:val="ConsPlusNormal"/>
              <w:jc w:val="center"/>
            </w:pPr>
            <w:r>
              <w:t>2023</w:t>
            </w:r>
          </w:p>
        </w:tc>
        <w:tc>
          <w:tcPr>
            <w:tcW w:w="1417" w:type="dxa"/>
            <w:vMerge/>
          </w:tcPr>
          <w:p w14:paraId="2A98FDD1" w14:textId="77777777" w:rsidR="00454A29" w:rsidRDefault="00454A29"/>
        </w:tc>
        <w:tc>
          <w:tcPr>
            <w:tcW w:w="2204" w:type="dxa"/>
            <w:vMerge/>
          </w:tcPr>
          <w:p w14:paraId="4A4DFDC3" w14:textId="77777777" w:rsidR="00454A29" w:rsidRDefault="00454A29"/>
        </w:tc>
        <w:tc>
          <w:tcPr>
            <w:tcW w:w="1417" w:type="dxa"/>
            <w:vMerge/>
          </w:tcPr>
          <w:p w14:paraId="2D0CFC94" w14:textId="77777777" w:rsidR="00454A29" w:rsidRDefault="00454A29"/>
        </w:tc>
        <w:tc>
          <w:tcPr>
            <w:tcW w:w="2324" w:type="dxa"/>
            <w:vMerge/>
          </w:tcPr>
          <w:p w14:paraId="66429254" w14:textId="77777777" w:rsidR="00454A29" w:rsidRDefault="00454A29"/>
        </w:tc>
        <w:tc>
          <w:tcPr>
            <w:tcW w:w="1701" w:type="dxa"/>
            <w:vAlign w:val="center"/>
          </w:tcPr>
          <w:p w14:paraId="22F4952E" w14:textId="77777777" w:rsidR="00454A29" w:rsidRDefault="00454A29">
            <w:pPr>
              <w:pStyle w:val="ConsPlusNormal"/>
            </w:pPr>
          </w:p>
        </w:tc>
        <w:tc>
          <w:tcPr>
            <w:tcW w:w="1814" w:type="dxa"/>
            <w:vAlign w:val="center"/>
          </w:tcPr>
          <w:p w14:paraId="1C0BD86F" w14:textId="77777777" w:rsidR="00454A29" w:rsidRDefault="00454A29">
            <w:pPr>
              <w:pStyle w:val="ConsPlusNormal"/>
            </w:pPr>
          </w:p>
        </w:tc>
        <w:tc>
          <w:tcPr>
            <w:tcW w:w="1701" w:type="dxa"/>
            <w:vAlign w:val="center"/>
          </w:tcPr>
          <w:p w14:paraId="0D7AE22F" w14:textId="77777777" w:rsidR="00454A29" w:rsidRDefault="00454A29">
            <w:pPr>
              <w:pStyle w:val="ConsPlusNormal"/>
            </w:pPr>
          </w:p>
        </w:tc>
        <w:tc>
          <w:tcPr>
            <w:tcW w:w="1701" w:type="dxa"/>
            <w:vAlign w:val="center"/>
          </w:tcPr>
          <w:p w14:paraId="3E43DFF8" w14:textId="77777777" w:rsidR="00454A29" w:rsidRDefault="00454A29">
            <w:pPr>
              <w:pStyle w:val="ConsPlusNormal"/>
            </w:pPr>
          </w:p>
        </w:tc>
        <w:tc>
          <w:tcPr>
            <w:tcW w:w="1814" w:type="dxa"/>
            <w:vAlign w:val="center"/>
          </w:tcPr>
          <w:p w14:paraId="4CF3FE17" w14:textId="77777777" w:rsidR="00454A29" w:rsidRDefault="00454A29">
            <w:pPr>
              <w:pStyle w:val="ConsPlusNormal"/>
            </w:pPr>
          </w:p>
        </w:tc>
      </w:tr>
      <w:tr w:rsidR="00454A29" w14:paraId="67B49237" w14:textId="77777777">
        <w:tc>
          <w:tcPr>
            <w:tcW w:w="567" w:type="dxa"/>
            <w:vMerge/>
          </w:tcPr>
          <w:p w14:paraId="6D68A26D" w14:textId="77777777" w:rsidR="00454A29" w:rsidRDefault="00454A29"/>
        </w:tc>
        <w:tc>
          <w:tcPr>
            <w:tcW w:w="3345" w:type="dxa"/>
            <w:vMerge/>
          </w:tcPr>
          <w:p w14:paraId="622C1E57" w14:textId="77777777" w:rsidR="00454A29" w:rsidRDefault="00454A29"/>
        </w:tc>
        <w:tc>
          <w:tcPr>
            <w:tcW w:w="1701" w:type="dxa"/>
            <w:vAlign w:val="center"/>
          </w:tcPr>
          <w:p w14:paraId="5194DB6D" w14:textId="77777777" w:rsidR="00454A29" w:rsidRDefault="00454A29">
            <w:pPr>
              <w:pStyle w:val="ConsPlusNormal"/>
              <w:jc w:val="center"/>
            </w:pPr>
            <w:r>
              <w:t>2024</w:t>
            </w:r>
          </w:p>
        </w:tc>
        <w:tc>
          <w:tcPr>
            <w:tcW w:w="1417" w:type="dxa"/>
            <w:vMerge/>
          </w:tcPr>
          <w:p w14:paraId="56B2CD0C" w14:textId="77777777" w:rsidR="00454A29" w:rsidRDefault="00454A29"/>
        </w:tc>
        <w:tc>
          <w:tcPr>
            <w:tcW w:w="2204" w:type="dxa"/>
            <w:vMerge/>
          </w:tcPr>
          <w:p w14:paraId="24712725" w14:textId="77777777" w:rsidR="00454A29" w:rsidRDefault="00454A29"/>
        </w:tc>
        <w:tc>
          <w:tcPr>
            <w:tcW w:w="1417" w:type="dxa"/>
            <w:vMerge/>
          </w:tcPr>
          <w:p w14:paraId="23F76B7E" w14:textId="77777777" w:rsidR="00454A29" w:rsidRDefault="00454A29"/>
        </w:tc>
        <w:tc>
          <w:tcPr>
            <w:tcW w:w="2324" w:type="dxa"/>
            <w:vMerge/>
          </w:tcPr>
          <w:p w14:paraId="65E38B53" w14:textId="77777777" w:rsidR="00454A29" w:rsidRDefault="00454A29"/>
        </w:tc>
        <w:tc>
          <w:tcPr>
            <w:tcW w:w="1701" w:type="dxa"/>
            <w:vAlign w:val="center"/>
          </w:tcPr>
          <w:p w14:paraId="6564E516" w14:textId="77777777" w:rsidR="00454A29" w:rsidRDefault="00454A29">
            <w:pPr>
              <w:pStyle w:val="ConsPlusNormal"/>
            </w:pPr>
          </w:p>
        </w:tc>
        <w:tc>
          <w:tcPr>
            <w:tcW w:w="1814" w:type="dxa"/>
            <w:vAlign w:val="center"/>
          </w:tcPr>
          <w:p w14:paraId="6AB57972" w14:textId="77777777" w:rsidR="00454A29" w:rsidRDefault="00454A29">
            <w:pPr>
              <w:pStyle w:val="ConsPlusNormal"/>
            </w:pPr>
          </w:p>
        </w:tc>
        <w:tc>
          <w:tcPr>
            <w:tcW w:w="1701" w:type="dxa"/>
            <w:vAlign w:val="center"/>
          </w:tcPr>
          <w:p w14:paraId="4F00FF4D" w14:textId="77777777" w:rsidR="00454A29" w:rsidRDefault="00454A29">
            <w:pPr>
              <w:pStyle w:val="ConsPlusNormal"/>
            </w:pPr>
          </w:p>
        </w:tc>
        <w:tc>
          <w:tcPr>
            <w:tcW w:w="1701" w:type="dxa"/>
            <w:vAlign w:val="center"/>
          </w:tcPr>
          <w:p w14:paraId="744F1498" w14:textId="77777777" w:rsidR="00454A29" w:rsidRDefault="00454A29">
            <w:pPr>
              <w:pStyle w:val="ConsPlusNormal"/>
            </w:pPr>
          </w:p>
        </w:tc>
        <w:tc>
          <w:tcPr>
            <w:tcW w:w="1814" w:type="dxa"/>
            <w:vAlign w:val="center"/>
          </w:tcPr>
          <w:p w14:paraId="18D61371" w14:textId="77777777" w:rsidR="00454A29" w:rsidRDefault="00454A29">
            <w:pPr>
              <w:pStyle w:val="ConsPlusNormal"/>
            </w:pPr>
          </w:p>
        </w:tc>
      </w:tr>
      <w:tr w:rsidR="00454A29" w14:paraId="01EC8DCC" w14:textId="77777777">
        <w:tc>
          <w:tcPr>
            <w:tcW w:w="567" w:type="dxa"/>
            <w:vMerge/>
          </w:tcPr>
          <w:p w14:paraId="155A42B7" w14:textId="77777777" w:rsidR="00454A29" w:rsidRDefault="00454A29"/>
        </w:tc>
        <w:tc>
          <w:tcPr>
            <w:tcW w:w="3345" w:type="dxa"/>
            <w:vMerge/>
          </w:tcPr>
          <w:p w14:paraId="42BE2E30" w14:textId="77777777" w:rsidR="00454A29" w:rsidRDefault="00454A29"/>
        </w:tc>
        <w:tc>
          <w:tcPr>
            <w:tcW w:w="1701" w:type="dxa"/>
            <w:vAlign w:val="center"/>
          </w:tcPr>
          <w:p w14:paraId="14FEBAC3" w14:textId="77777777" w:rsidR="00454A29" w:rsidRDefault="00454A29">
            <w:pPr>
              <w:pStyle w:val="ConsPlusNormal"/>
              <w:jc w:val="center"/>
            </w:pPr>
            <w:r>
              <w:t>2025</w:t>
            </w:r>
          </w:p>
        </w:tc>
        <w:tc>
          <w:tcPr>
            <w:tcW w:w="1417" w:type="dxa"/>
            <w:vMerge/>
          </w:tcPr>
          <w:p w14:paraId="0B4F7DB8" w14:textId="77777777" w:rsidR="00454A29" w:rsidRDefault="00454A29"/>
        </w:tc>
        <w:tc>
          <w:tcPr>
            <w:tcW w:w="2204" w:type="dxa"/>
            <w:vMerge/>
          </w:tcPr>
          <w:p w14:paraId="0396BC23" w14:textId="77777777" w:rsidR="00454A29" w:rsidRDefault="00454A29"/>
        </w:tc>
        <w:tc>
          <w:tcPr>
            <w:tcW w:w="1417" w:type="dxa"/>
            <w:vMerge/>
          </w:tcPr>
          <w:p w14:paraId="48BC3859" w14:textId="77777777" w:rsidR="00454A29" w:rsidRDefault="00454A29"/>
        </w:tc>
        <w:tc>
          <w:tcPr>
            <w:tcW w:w="2324" w:type="dxa"/>
            <w:vMerge/>
          </w:tcPr>
          <w:p w14:paraId="77CA798F" w14:textId="77777777" w:rsidR="00454A29" w:rsidRDefault="00454A29"/>
        </w:tc>
        <w:tc>
          <w:tcPr>
            <w:tcW w:w="1701" w:type="dxa"/>
            <w:vAlign w:val="center"/>
          </w:tcPr>
          <w:p w14:paraId="2DA64AE0" w14:textId="77777777" w:rsidR="00454A29" w:rsidRDefault="00454A29">
            <w:pPr>
              <w:pStyle w:val="ConsPlusNormal"/>
            </w:pPr>
          </w:p>
        </w:tc>
        <w:tc>
          <w:tcPr>
            <w:tcW w:w="1814" w:type="dxa"/>
            <w:vAlign w:val="center"/>
          </w:tcPr>
          <w:p w14:paraId="5F934AD1" w14:textId="77777777" w:rsidR="00454A29" w:rsidRDefault="00454A29">
            <w:pPr>
              <w:pStyle w:val="ConsPlusNormal"/>
            </w:pPr>
          </w:p>
        </w:tc>
        <w:tc>
          <w:tcPr>
            <w:tcW w:w="1701" w:type="dxa"/>
            <w:vAlign w:val="center"/>
          </w:tcPr>
          <w:p w14:paraId="30AA0CCB" w14:textId="77777777" w:rsidR="00454A29" w:rsidRDefault="00454A29">
            <w:pPr>
              <w:pStyle w:val="ConsPlusNormal"/>
            </w:pPr>
          </w:p>
        </w:tc>
        <w:tc>
          <w:tcPr>
            <w:tcW w:w="1701" w:type="dxa"/>
            <w:vAlign w:val="center"/>
          </w:tcPr>
          <w:p w14:paraId="06B98B8F" w14:textId="77777777" w:rsidR="00454A29" w:rsidRDefault="00454A29">
            <w:pPr>
              <w:pStyle w:val="ConsPlusNormal"/>
            </w:pPr>
          </w:p>
        </w:tc>
        <w:tc>
          <w:tcPr>
            <w:tcW w:w="1814" w:type="dxa"/>
            <w:vAlign w:val="center"/>
          </w:tcPr>
          <w:p w14:paraId="172BAF30" w14:textId="77777777" w:rsidR="00454A29" w:rsidRDefault="00454A29">
            <w:pPr>
              <w:pStyle w:val="ConsPlusNormal"/>
            </w:pPr>
          </w:p>
        </w:tc>
      </w:tr>
      <w:tr w:rsidR="00454A29" w14:paraId="1124C53B" w14:textId="77777777">
        <w:tc>
          <w:tcPr>
            <w:tcW w:w="567" w:type="dxa"/>
            <w:vMerge/>
          </w:tcPr>
          <w:p w14:paraId="6B0877EA" w14:textId="77777777" w:rsidR="00454A29" w:rsidRDefault="00454A29"/>
        </w:tc>
        <w:tc>
          <w:tcPr>
            <w:tcW w:w="3345" w:type="dxa"/>
            <w:vMerge/>
          </w:tcPr>
          <w:p w14:paraId="3EED3DAD" w14:textId="77777777" w:rsidR="00454A29" w:rsidRDefault="00454A29"/>
        </w:tc>
        <w:tc>
          <w:tcPr>
            <w:tcW w:w="1701" w:type="dxa"/>
            <w:vAlign w:val="center"/>
          </w:tcPr>
          <w:p w14:paraId="2E63F562" w14:textId="77777777" w:rsidR="00454A29" w:rsidRDefault="00454A29">
            <w:pPr>
              <w:pStyle w:val="ConsPlusNormal"/>
              <w:jc w:val="center"/>
            </w:pPr>
            <w:r>
              <w:t>2026</w:t>
            </w:r>
          </w:p>
        </w:tc>
        <w:tc>
          <w:tcPr>
            <w:tcW w:w="1417" w:type="dxa"/>
            <w:vMerge/>
          </w:tcPr>
          <w:p w14:paraId="4BC97AC8" w14:textId="77777777" w:rsidR="00454A29" w:rsidRDefault="00454A29"/>
        </w:tc>
        <w:tc>
          <w:tcPr>
            <w:tcW w:w="2204" w:type="dxa"/>
            <w:vMerge/>
          </w:tcPr>
          <w:p w14:paraId="0B781DC1" w14:textId="77777777" w:rsidR="00454A29" w:rsidRDefault="00454A29"/>
        </w:tc>
        <w:tc>
          <w:tcPr>
            <w:tcW w:w="1417" w:type="dxa"/>
            <w:vMerge/>
          </w:tcPr>
          <w:p w14:paraId="1A1A3973" w14:textId="77777777" w:rsidR="00454A29" w:rsidRDefault="00454A29"/>
        </w:tc>
        <w:tc>
          <w:tcPr>
            <w:tcW w:w="2324" w:type="dxa"/>
            <w:vMerge/>
          </w:tcPr>
          <w:p w14:paraId="7B1ABD6D" w14:textId="77777777" w:rsidR="00454A29" w:rsidRDefault="00454A29"/>
        </w:tc>
        <w:tc>
          <w:tcPr>
            <w:tcW w:w="1701" w:type="dxa"/>
            <w:vAlign w:val="center"/>
          </w:tcPr>
          <w:p w14:paraId="4BE1F7D5" w14:textId="77777777" w:rsidR="00454A29" w:rsidRDefault="00454A29">
            <w:pPr>
              <w:pStyle w:val="ConsPlusNormal"/>
            </w:pPr>
          </w:p>
        </w:tc>
        <w:tc>
          <w:tcPr>
            <w:tcW w:w="1814" w:type="dxa"/>
            <w:vAlign w:val="center"/>
          </w:tcPr>
          <w:p w14:paraId="36ED7C53" w14:textId="77777777" w:rsidR="00454A29" w:rsidRDefault="00454A29">
            <w:pPr>
              <w:pStyle w:val="ConsPlusNormal"/>
            </w:pPr>
          </w:p>
        </w:tc>
        <w:tc>
          <w:tcPr>
            <w:tcW w:w="1701" w:type="dxa"/>
            <w:vAlign w:val="center"/>
          </w:tcPr>
          <w:p w14:paraId="4FC73CBD" w14:textId="77777777" w:rsidR="00454A29" w:rsidRDefault="00454A29">
            <w:pPr>
              <w:pStyle w:val="ConsPlusNormal"/>
            </w:pPr>
          </w:p>
        </w:tc>
        <w:tc>
          <w:tcPr>
            <w:tcW w:w="1701" w:type="dxa"/>
            <w:vAlign w:val="center"/>
          </w:tcPr>
          <w:p w14:paraId="29720E88" w14:textId="77777777" w:rsidR="00454A29" w:rsidRDefault="00454A29">
            <w:pPr>
              <w:pStyle w:val="ConsPlusNormal"/>
            </w:pPr>
          </w:p>
        </w:tc>
        <w:tc>
          <w:tcPr>
            <w:tcW w:w="1814" w:type="dxa"/>
            <w:vAlign w:val="center"/>
          </w:tcPr>
          <w:p w14:paraId="17A43227" w14:textId="77777777" w:rsidR="00454A29" w:rsidRDefault="00454A29">
            <w:pPr>
              <w:pStyle w:val="ConsPlusNormal"/>
            </w:pPr>
          </w:p>
        </w:tc>
      </w:tr>
      <w:tr w:rsidR="00454A29" w14:paraId="5F522A41" w14:textId="77777777">
        <w:tc>
          <w:tcPr>
            <w:tcW w:w="567" w:type="dxa"/>
            <w:vMerge w:val="restart"/>
            <w:vAlign w:val="center"/>
          </w:tcPr>
          <w:p w14:paraId="4AAF31B7" w14:textId="77777777" w:rsidR="00454A29" w:rsidRDefault="00454A29">
            <w:pPr>
              <w:pStyle w:val="ConsPlusNormal"/>
              <w:jc w:val="center"/>
            </w:pPr>
            <w:r>
              <w:t>74</w:t>
            </w:r>
          </w:p>
        </w:tc>
        <w:tc>
          <w:tcPr>
            <w:tcW w:w="3345" w:type="dxa"/>
            <w:vMerge w:val="restart"/>
            <w:vAlign w:val="center"/>
          </w:tcPr>
          <w:p w14:paraId="3E1305AF" w14:textId="77777777" w:rsidR="00454A29" w:rsidRDefault="00454A29">
            <w:pPr>
              <w:pStyle w:val="ConsPlusNormal"/>
              <w:jc w:val="center"/>
            </w:pPr>
            <w:r>
              <w:t>Школа на 990 учащихся в г. Мирный</w:t>
            </w:r>
          </w:p>
        </w:tc>
        <w:tc>
          <w:tcPr>
            <w:tcW w:w="1701" w:type="dxa"/>
            <w:vAlign w:val="center"/>
          </w:tcPr>
          <w:p w14:paraId="7ACDD9FF" w14:textId="77777777" w:rsidR="00454A29" w:rsidRDefault="00454A29">
            <w:pPr>
              <w:pStyle w:val="ConsPlusNormal"/>
              <w:jc w:val="center"/>
            </w:pPr>
            <w:r>
              <w:t>2020 - 2026 годы - всего</w:t>
            </w:r>
          </w:p>
        </w:tc>
        <w:tc>
          <w:tcPr>
            <w:tcW w:w="1417" w:type="dxa"/>
            <w:vMerge w:val="restart"/>
            <w:vAlign w:val="center"/>
          </w:tcPr>
          <w:p w14:paraId="4630FA28" w14:textId="77777777" w:rsidR="00454A29" w:rsidRDefault="00454A29">
            <w:pPr>
              <w:pStyle w:val="ConsPlusNormal"/>
              <w:jc w:val="center"/>
            </w:pPr>
            <w:r>
              <w:t>813 304,68</w:t>
            </w:r>
          </w:p>
        </w:tc>
        <w:tc>
          <w:tcPr>
            <w:tcW w:w="2204" w:type="dxa"/>
            <w:vMerge w:val="restart"/>
            <w:vAlign w:val="center"/>
          </w:tcPr>
          <w:p w14:paraId="5FF9A75F" w14:textId="77777777" w:rsidR="00454A29" w:rsidRDefault="00454A29">
            <w:pPr>
              <w:pStyle w:val="ConsPlusNormal"/>
            </w:pPr>
          </w:p>
        </w:tc>
        <w:tc>
          <w:tcPr>
            <w:tcW w:w="1417" w:type="dxa"/>
            <w:vMerge w:val="restart"/>
            <w:vAlign w:val="center"/>
          </w:tcPr>
          <w:p w14:paraId="0796D55C" w14:textId="77777777" w:rsidR="00454A29" w:rsidRDefault="00454A29">
            <w:pPr>
              <w:pStyle w:val="ConsPlusNormal"/>
              <w:jc w:val="center"/>
            </w:pPr>
            <w:r>
              <w:t>990</w:t>
            </w:r>
          </w:p>
        </w:tc>
        <w:tc>
          <w:tcPr>
            <w:tcW w:w="2324" w:type="dxa"/>
            <w:vMerge w:val="restart"/>
            <w:vAlign w:val="center"/>
          </w:tcPr>
          <w:p w14:paraId="4083E8D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F883F59" w14:textId="77777777" w:rsidR="00454A29" w:rsidRDefault="00454A29">
            <w:pPr>
              <w:pStyle w:val="ConsPlusNormal"/>
              <w:jc w:val="center"/>
            </w:pPr>
            <w:r>
              <w:t>813 304,68</w:t>
            </w:r>
          </w:p>
        </w:tc>
        <w:tc>
          <w:tcPr>
            <w:tcW w:w="1814" w:type="dxa"/>
            <w:vAlign w:val="center"/>
          </w:tcPr>
          <w:p w14:paraId="48F2F87F" w14:textId="77777777" w:rsidR="00454A29" w:rsidRDefault="00454A29">
            <w:pPr>
              <w:pStyle w:val="ConsPlusNormal"/>
              <w:jc w:val="center"/>
            </w:pPr>
            <w:r>
              <w:t>10 019,93</w:t>
            </w:r>
          </w:p>
        </w:tc>
        <w:tc>
          <w:tcPr>
            <w:tcW w:w="1701" w:type="dxa"/>
            <w:vAlign w:val="center"/>
          </w:tcPr>
          <w:p w14:paraId="2C33FEB3" w14:textId="77777777" w:rsidR="00454A29" w:rsidRDefault="00454A29">
            <w:pPr>
              <w:pStyle w:val="ConsPlusNormal"/>
              <w:jc w:val="center"/>
            </w:pPr>
            <w:r>
              <w:t>991 971,44</w:t>
            </w:r>
          </w:p>
        </w:tc>
        <w:tc>
          <w:tcPr>
            <w:tcW w:w="1701" w:type="dxa"/>
            <w:vAlign w:val="center"/>
          </w:tcPr>
          <w:p w14:paraId="61BED558" w14:textId="77777777" w:rsidR="00454A29" w:rsidRDefault="00454A29">
            <w:pPr>
              <w:pStyle w:val="ConsPlusNormal"/>
              <w:jc w:val="center"/>
            </w:pPr>
            <w:r>
              <w:t>-</w:t>
            </w:r>
          </w:p>
        </w:tc>
        <w:tc>
          <w:tcPr>
            <w:tcW w:w="1814" w:type="dxa"/>
            <w:vAlign w:val="center"/>
          </w:tcPr>
          <w:p w14:paraId="710B7346" w14:textId="77777777" w:rsidR="00454A29" w:rsidRDefault="00454A29">
            <w:pPr>
              <w:pStyle w:val="ConsPlusNormal"/>
              <w:jc w:val="center"/>
            </w:pPr>
            <w:r>
              <w:t>-</w:t>
            </w:r>
          </w:p>
        </w:tc>
      </w:tr>
      <w:tr w:rsidR="00454A29" w14:paraId="0DD05024" w14:textId="77777777">
        <w:tc>
          <w:tcPr>
            <w:tcW w:w="567" w:type="dxa"/>
            <w:vMerge/>
          </w:tcPr>
          <w:p w14:paraId="6E2BFA1E" w14:textId="77777777" w:rsidR="00454A29" w:rsidRDefault="00454A29"/>
        </w:tc>
        <w:tc>
          <w:tcPr>
            <w:tcW w:w="3345" w:type="dxa"/>
            <w:vMerge/>
          </w:tcPr>
          <w:p w14:paraId="2827506E" w14:textId="77777777" w:rsidR="00454A29" w:rsidRDefault="00454A29"/>
        </w:tc>
        <w:tc>
          <w:tcPr>
            <w:tcW w:w="1701" w:type="dxa"/>
            <w:vAlign w:val="center"/>
          </w:tcPr>
          <w:p w14:paraId="0745456F" w14:textId="77777777" w:rsidR="00454A29" w:rsidRDefault="00454A29">
            <w:pPr>
              <w:pStyle w:val="ConsPlusNormal"/>
              <w:jc w:val="center"/>
            </w:pPr>
            <w:r>
              <w:t>2020</w:t>
            </w:r>
          </w:p>
        </w:tc>
        <w:tc>
          <w:tcPr>
            <w:tcW w:w="1417" w:type="dxa"/>
            <w:vMerge/>
          </w:tcPr>
          <w:p w14:paraId="07857304" w14:textId="77777777" w:rsidR="00454A29" w:rsidRDefault="00454A29"/>
        </w:tc>
        <w:tc>
          <w:tcPr>
            <w:tcW w:w="2204" w:type="dxa"/>
            <w:vMerge/>
          </w:tcPr>
          <w:p w14:paraId="259A2311" w14:textId="77777777" w:rsidR="00454A29" w:rsidRDefault="00454A29"/>
        </w:tc>
        <w:tc>
          <w:tcPr>
            <w:tcW w:w="1417" w:type="dxa"/>
            <w:vMerge/>
          </w:tcPr>
          <w:p w14:paraId="25400903" w14:textId="77777777" w:rsidR="00454A29" w:rsidRDefault="00454A29"/>
        </w:tc>
        <w:tc>
          <w:tcPr>
            <w:tcW w:w="2324" w:type="dxa"/>
            <w:vMerge/>
          </w:tcPr>
          <w:p w14:paraId="24A676A8" w14:textId="77777777" w:rsidR="00454A29" w:rsidRDefault="00454A29"/>
        </w:tc>
        <w:tc>
          <w:tcPr>
            <w:tcW w:w="1701" w:type="dxa"/>
            <w:vAlign w:val="center"/>
          </w:tcPr>
          <w:p w14:paraId="2122D836" w14:textId="77777777" w:rsidR="00454A29" w:rsidRDefault="00454A29">
            <w:pPr>
              <w:pStyle w:val="ConsPlusNormal"/>
            </w:pPr>
          </w:p>
        </w:tc>
        <w:tc>
          <w:tcPr>
            <w:tcW w:w="1814" w:type="dxa"/>
            <w:vAlign w:val="center"/>
          </w:tcPr>
          <w:p w14:paraId="50CD468A" w14:textId="77777777" w:rsidR="00454A29" w:rsidRDefault="00454A29">
            <w:pPr>
              <w:pStyle w:val="ConsPlusNormal"/>
            </w:pPr>
          </w:p>
        </w:tc>
        <w:tc>
          <w:tcPr>
            <w:tcW w:w="1701" w:type="dxa"/>
            <w:vAlign w:val="center"/>
          </w:tcPr>
          <w:p w14:paraId="6E17FB70" w14:textId="77777777" w:rsidR="00454A29" w:rsidRDefault="00454A29">
            <w:pPr>
              <w:pStyle w:val="ConsPlusNormal"/>
            </w:pPr>
          </w:p>
        </w:tc>
        <w:tc>
          <w:tcPr>
            <w:tcW w:w="1701" w:type="dxa"/>
            <w:vAlign w:val="center"/>
          </w:tcPr>
          <w:p w14:paraId="2915F9B1" w14:textId="77777777" w:rsidR="00454A29" w:rsidRDefault="00454A29">
            <w:pPr>
              <w:pStyle w:val="ConsPlusNormal"/>
            </w:pPr>
          </w:p>
        </w:tc>
        <w:tc>
          <w:tcPr>
            <w:tcW w:w="1814" w:type="dxa"/>
            <w:vAlign w:val="center"/>
          </w:tcPr>
          <w:p w14:paraId="4B18B479" w14:textId="77777777" w:rsidR="00454A29" w:rsidRDefault="00454A29">
            <w:pPr>
              <w:pStyle w:val="ConsPlusNormal"/>
            </w:pPr>
          </w:p>
        </w:tc>
      </w:tr>
      <w:tr w:rsidR="00454A29" w14:paraId="51BCD798" w14:textId="77777777">
        <w:tc>
          <w:tcPr>
            <w:tcW w:w="567" w:type="dxa"/>
            <w:vMerge/>
          </w:tcPr>
          <w:p w14:paraId="0B9F21D0" w14:textId="77777777" w:rsidR="00454A29" w:rsidRDefault="00454A29"/>
        </w:tc>
        <w:tc>
          <w:tcPr>
            <w:tcW w:w="3345" w:type="dxa"/>
            <w:vMerge/>
          </w:tcPr>
          <w:p w14:paraId="72E0ECE5" w14:textId="77777777" w:rsidR="00454A29" w:rsidRDefault="00454A29"/>
        </w:tc>
        <w:tc>
          <w:tcPr>
            <w:tcW w:w="1701" w:type="dxa"/>
            <w:vAlign w:val="center"/>
          </w:tcPr>
          <w:p w14:paraId="39ED0035" w14:textId="77777777" w:rsidR="00454A29" w:rsidRDefault="00454A29">
            <w:pPr>
              <w:pStyle w:val="ConsPlusNormal"/>
              <w:jc w:val="center"/>
            </w:pPr>
            <w:r>
              <w:t>2021</w:t>
            </w:r>
          </w:p>
        </w:tc>
        <w:tc>
          <w:tcPr>
            <w:tcW w:w="1417" w:type="dxa"/>
            <w:vMerge/>
          </w:tcPr>
          <w:p w14:paraId="542DC433" w14:textId="77777777" w:rsidR="00454A29" w:rsidRDefault="00454A29"/>
        </w:tc>
        <w:tc>
          <w:tcPr>
            <w:tcW w:w="2204" w:type="dxa"/>
            <w:vMerge/>
          </w:tcPr>
          <w:p w14:paraId="7ACCB549" w14:textId="77777777" w:rsidR="00454A29" w:rsidRDefault="00454A29"/>
        </w:tc>
        <w:tc>
          <w:tcPr>
            <w:tcW w:w="1417" w:type="dxa"/>
            <w:vMerge/>
          </w:tcPr>
          <w:p w14:paraId="1A53ACC7" w14:textId="77777777" w:rsidR="00454A29" w:rsidRDefault="00454A29"/>
        </w:tc>
        <w:tc>
          <w:tcPr>
            <w:tcW w:w="2324" w:type="dxa"/>
            <w:vMerge/>
          </w:tcPr>
          <w:p w14:paraId="1718207E" w14:textId="77777777" w:rsidR="00454A29" w:rsidRDefault="00454A29"/>
        </w:tc>
        <w:tc>
          <w:tcPr>
            <w:tcW w:w="1701" w:type="dxa"/>
            <w:vAlign w:val="center"/>
          </w:tcPr>
          <w:p w14:paraId="13A33F38" w14:textId="77777777" w:rsidR="00454A29" w:rsidRDefault="00454A29">
            <w:pPr>
              <w:pStyle w:val="ConsPlusNormal"/>
              <w:jc w:val="center"/>
            </w:pPr>
            <w:r>
              <w:t>-</w:t>
            </w:r>
          </w:p>
        </w:tc>
        <w:tc>
          <w:tcPr>
            <w:tcW w:w="1814" w:type="dxa"/>
            <w:vAlign w:val="center"/>
          </w:tcPr>
          <w:p w14:paraId="78BCF8B8" w14:textId="77777777" w:rsidR="00454A29" w:rsidRDefault="00454A29">
            <w:pPr>
              <w:pStyle w:val="ConsPlusNormal"/>
            </w:pPr>
          </w:p>
        </w:tc>
        <w:tc>
          <w:tcPr>
            <w:tcW w:w="1701" w:type="dxa"/>
            <w:vAlign w:val="center"/>
          </w:tcPr>
          <w:p w14:paraId="049E9F96" w14:textId="77777777" w:rsidR="00454A29" w:rsidRDefault="00454A29">
            <w:pPr>
              <w:pStyle w:val="ConsPlusNormal"/>
            </w:pPr>
          </w:p>
        </w:tc>
        <w:tc>
          <w:tcPr>
            <w:tcW w:w="1701" w:type="dxa"/>
            <w:vAlign w:val="center"/>
          </w:tcPr>
          <w:p w14:paraId="545CF0F8" w14:textId="77777777" w:rsidR="00454A29" w:rsidRDefault="00454A29">
            <w:pPr>
              <w:pStyle w:val="ConsPlusNormal"/>
            </w:pPr>
          </w:p>
        </w:tc>
        <w:tc>
          <w:tcPr>
            <w:tcW w:w="1814" w:type="dxa"/>
            <w:vAlign w:val="center"/>
          </w:tcPr>
          <w:p w14:paraId="0C952BC5" w14:textId="77777777" w:rsidR="00454A29" w:rsidRDefault="00454A29">
            <w:pPr>
              <w:pStyle w:val="ConsPlusNormal"/>
            </w:pPr>
          </w:p>
        </w:tc>
      </w:tr>
      <w:tr w:rsidR="00454A29" w14:paraId="46D9090C" w14:textId="77777777">
        <w:tc>
          <w:tcPr>
            <w:tcW w:w="567" w:type="dxa"/>
            <w:vMerge/>
          </w:tcPr>
          <w:p w14:paraId="54A7B071" w14:textId="77777777" w:rsidR="00454A29" w:rsidRDefault="00454A29"/>
        </w:tc>
        <w:tc>
          <w:tcPr>
            <w:tcW w:w="3345" w:type="dxa"/>
            <w:vMerge/>
          </w:tcPr>
          <w:p w14:paraId="4028D12B" w14:textId="77777777" w:rsidR="00454A29" w:rsidRDefault="00454A29"/>
        </w:tc>
        <w:tc>
          <w:tcPr>
            <w:tcW w:w="1701" w:type="dxa"/>
            <w:vAlign w:val="center"/>
          </w:tcPr>
          <w:p w14:paraId="78ED2A98" w14:textId="77777777" w:rsidR="00454A29" w:rsidRDefault="00454A29">
            <w:pPr>
              <w:pStyle w:val="ConsPlusNormal"/>
              <w:jc w:val="center"/>
            </w:pPr>
            <w:r>
              <w:t>2022</w:t>
            </w:r>
          </w:p>
        </w:tc>
        <w:tc>
          <w:tcPr>
            <w:tcW w:w="1417" w:type="dxa"/>
            <w:vMerge/>
          </w:tcPr>
          <w:p w14:paraId="3D881077" w14:textId="77777777" w:rsidR="00454A29" w:rsidRDefault="00454A29"/>
        </w:tc>
        <w:tc>
          <w:tcPr>
            <w:tcW w:w="2204" w:type="dxa"/>
            <w:vMerge/>
          </w:tcPr>
          <w:p w14:paraId="27EC79D4" w14:textId="77777777" w:rsidR="00454A29" w:rsidRDefault="00454A29"/>
        </w:tc>
        <w:tc>
          <w:tcPr>
            <w:tcW w:w="1417" w:type="dxa"/>
            <w:vMerge/>
          </w:tcPr>
          <w:p w14:paraId="360A7044" w14:textId="77777777" w:rsidR="00454A29" w:rsidRDefault="00454A29"/>
        </w:tc>
        <w:tc>
          <w:tcPr>
            <w:tcW w:w="2324" w:type="dxa"/>
            <w:vMerge/>
          </w:tcPr>
          <w:p w14:paraId="4981A7A9" w14:textId="77777777" w:rsidR="00454A29" w:rsidRDefault="00454A29"/>
        </w:tc>
        <w:tc>
          <w:tcPr>
            <w:tcW w:w="1701" w:type="dxa"/>
            <w:vAlign w:val="center"/>
          </w:tcPr>
          <w:p w14:paraId="0E09D8C3" w14:textId="77777777" w:rsidR="00454A29" w:rsidRDefault="00454A29">
            <w:pPr>
              <w:pStyle w:val="ConsPlusNormal"/>
            </w:pPr>
          </w:p>
        </w:tc>
        <w:tc>
          <w:tcPr>
            <w:tcW w:w="1814" w:type="dxa"/>
            <w:vAlign w:val="center"/>
          </w:tcPr>
          <w:p w14:paraId="2ACD6691" w14:textId="77777777" w:rsidR="00454A29" w:rsidRDefault="00454A29">
            <w:pPr>
              <w:pStyle w:val="ConsPlusNormal"/>
            </w:pPr>
          </w:p>
        </w:tc>
        <w:tc>
          <w:tcPr>
            <w:tcW w:w="1701" w:type="dxa"/>
            <w:vAlign w:val="center"/>
          </w:tcPr>
          <w:p w14:paraId="24E48538" w14:textId="77777777" w:rsidR="00454A29" w:rsidRDefault="00454A29">
            <w:pPr>
              <w:pStyle w:val="ConsPlusNormal"/>
            </w:pPr>
          </w:p>
        </w:tc>
        <w:tc>
          <w:tcPr>
            <w:tcW w:w="1701" w:type="dxa"/>
            <w:vAlign w:val="center"/>
          </w:tcPr>
          <w:p w14:paraId="6DD78630" w14:textId="77777777" w:rsidR="00454A29" w:rsidRDefault="00454A29">
            <w:pPr>
              <w:pStyle w:val="ConsPlusNormal"/>
            </w:pPr>
          </w:p>
        </w:tc>
        <w:tc>
          <w:tcPr>
            <w:tcW w:w="1814" w:type="dxa"/>
            <w:vAlign w:val="center"/>
          </w:tcPr>
          <w:p w14:paraId="0043DF45" w14:textId="77777777" w:rsidR="00454A29" w:rsidRDefault="00454A29">
            <w:pPr>
              <w:pStyle w:val="ConsPlusNormal"/>
            </w:pPr>
          </w:p>
        </w:tc>
      </w:tr>
      <w:tr w:rsidR="00454A29" w14:paraId="0355D7FB" w14:textId="77777777">
        <w:tc>
          <w:tcPr>
            <w:tcW w:w="567" w:type="dxa"/>
            <w:vMerge/>
          </w:tcPr>
          <w:p w14:paraId="0F3CE6EF" w14:textId="77777777" w:rsidR="00454A29" w:rsidRDefault="00454A29"/>
        </w:tc>
        <w:tc>
          <w:tcPr>
            <w:tcW w:w="3345" w:type="dxa"/>
            <w:vMerge/>
          </w:tcPr>
          <w:p w14:paraId="2E740AF5" w14:textId="77777777" w:rsidR="00454A29" w:rsidRDefault="00454A29"/>
        </w:tc>
        <w:tc>
          <w:tcPr>
            <w:tcW w:w="1701" w:type="dxa"/>
            <w:vAlign w:val="center"/>
          </w:tcPr>
          <w:p w14:paraId="34D53252" w14:textId="77777777" w:rsidR="00454A29" w:rsidRDefault="00454A29">
            <w:pPr>
              <w:pStyle w:val="ConsPlusNormal"/>
              <w:jc w:val="center"/>
            </w:pPr>
            <w:r>
              <w:t>2023</w:t>
            </w:r>
          </w:p>
        </w:tc>
        <w:tc>
          <w:tcPr>
            <w:tcW w:w="1417" w:type="dxa"/>
            <w:vMerge/>
          </w:tcPr>
          <w:p w14:paraId="71F83B0B" w14:textId="77777777" w:rsidR="00454A29" w:rsidRDefault="00454A29"/>
        </w:tc>
        <w:tc>
          <w:tcPr>
            <w:tcW w:w="2204" w:type="dxa"/>
            <w:vMerge/>
          </w:tcPr>
          <w:p w14:paraId="5AFE0B3B" w14:textId="77777777" w:rsidR="00454A29" w:rsidRDefault="00454A29"/>
        </w:tc>
        <w:tc>
          <w:tcPr>
            <w:tcW w:w="1417" w:type="dxa"/>
            <w:vMerge/>
          </w:tcPr>
          <w:p w14:paraId="5F01C88C" w14:textId="77777777" w:rsidR="00454A29" w:rsidRDefault="00454A29"/>
        </w:tc>
        <w:tc>
          <w:tcPr>
            <w:tcW w:w="2324" w:type="dxa"/>
            <w:vMerge/>
          </w:tcPr>
          <w:p w14:paraId="62779533" w14:textId="77777777" w:rsidR="00454A29" w:rsidRDefault="00454A29"/>
        </w:tc>
        <w:tc>
          <w:tcPr>
            <w:tcW w:w="1701" w:type="dxa"/>
            <w:vAlign w:val="center"/>
          </w:tcPr>
          <w:p w14:paraId="20A3A669" w14:textId="77777777" w:rsidR="00454A29" w:rsidRDefault="00454A29">
            <w:pPr>
              <w:pStyle w:val="ConsPlusNormal"/>
            </w:pPr>
          </w:p>
        </w:tc>
        <w:tc>
          <w:tcPr>
            <w:tcW w:w="1814" w:type="dxa"/>
            <w:vAlign w:val="center"/>
          </w:tcPr>
          <w:p w14:paraId="4133DEAA" w14:textId="77777777" w:rsidR="00454A29" w:rsidRDefault="00454A29">
            <w:pPr>
              <w:pStyle w:val="ConsPlusNormal"/>
            </w:pPr>
          </w:p>
        </w:tc>
        <w:tc>
          <w:tcPr>
            <w:tcW w:w="1701" w:type="dxa"/>
            <w:vAlign w:val="center"/>
          </w:tcPr>
          <w:p w14:paraId="7DF1F566" w14:textId="77777777" w:rsidR="00454A29" w:rsidRDefault="00454A29">
            <w:pPr>
              <w:pStyle w:val="ConsPlusNormal"/>
            </w:pPr>
          </w:p>
        </w:tc>
        <w:tc>
          <w:tcPr>
            <w:tcW w:w="1701" w:type="dxa"/>
            <w:vAlign w:val="center"/>
          </w:tcPr>
          <w:p w14:paraId="46603B7F" w14:textId="77777777" w:rsidR="00454A29" w:rsidRDefault="00454A29">
            <w:pPr>
              <w:pStyle w:val="ConsPlusNormal"/>
            </w:pPr>
          </w:p>
        </w:tc>
        <w:tc>
          <w:tcPr>
            <w:tcW w:w="1814" w:type="dxa"/>
            <w:vAlign w:val="center"/>
          </w:tcPr>
          <w:p w14:paraId="74D75146" w14:textId="77777777" w:rsidR="00454A29" w:rsidRDefault="00454A29">
            <w:pPr>
              <w:pStyle w:val="ConsPlusNormal"/>
            </w:pPr>
          </w:p>
        </w:tc>
      </w:tr>
      <w:tr w:rsidR="00454A29" w14:paraId="520AA47B" w14:textId="77777777">
        <w:tc>
          <w:tcPr>
            <w:tcW w:w="567" w:type="dxa"/>
            <w:vMerge/>
          </w:tcPr>
          <w:p w14:paraId="0F4B5AE1" w14:textId="77777777" w:rsidR="00454A29" w:rsidRDefault="00454A29"/>
        </w:tc>
        <w:tc>
          <w:tcPr>
            <w:tcW w:w="3345" w:type="dxa"/>
            <w:vMerge/>
          </w:tcPr>
          <w:p w14:paraId="58EA2109" w14:textId="77777777" w:rsidR="00454A29" w:rsidRDefault="00454A29"/>
        </w:tc>
        <w:tc>
          <w:tcPr>
            <w:tcW w:w="1701" w:type="dxa"/>
            <w:vAlign w:val="center"/>
          </w:tcPr>
          <w:p w14:paraId="2902320F" w14:textId="77777777" w:rsidR="00454A29" w:rsidRDefault="00454A29">
            <w:pPr>
              <w:pStyle w:val="ConsPlusNormal"/>
              <w:jc w:val="center"/>
            </w:pPr>
            <w:r>
              <w:t>2024</w:t>
            </w:r>
          </w:p>
        </w:tc>
        <w:tc>
          <w:tcPr>
            <w:tcW w:w="1417" w:type="dxa"/>
            <w:vMerge/>
          </w:tcPr>
          <w:p w14:paraId="5447307B" w14:textId="77777777" w:rsidR="00454A29" w:rsidRDefault="00454A29"/>
        </w:tc>
        <w:tc>
          <w:tcPr>
            <w:tcW w:w="2204" w:type="dxa"/>
            <w:vMerge/>
          </w:tcPr>
          <w:p w14:paraId="4A1BC004" w14:textId="77777777" w:rsidR="00454A29" w:rsidRDefault="00454A29"/>
        </w:tc>
        <w:tc>
          <w:tcPr>
            <w:tcW w:w="1417" w:type="dxa"/>
            <w:vMerge/>
          </w:tcPr>
          <w:p w14:paraId="25A2316C" w14:textId="77777777" w:rsidR="00454A29" w:rsidRDefault="00454A29"/>
        </w:tc>
        <w:tc>
          <w:tcPr>
            <w:tcW w:w="2324" w:type="dxa"/>
            <w:vMerge/>
          </w:tcPr>
          <w:p w14:paraId="5A4EB926" w14:textId="77777777" w:rsidR="00454A29" w:rsidRDefault="00454A29"/>
        </w:tc>
        <w:tc>
          <w:tcPr>
            <w:tcW w:w="1701" w:type="dxa"/>
            <w:vAlign w:val="center"/>
          </w:tcPr>
          <w:p w14:paraId="1921DA7F" w14:textId="77777777" w:rsidR="00454A29" w:rsidRDefault="00454A29">
            <w:pPr>
              <w:pStyle w:val="ConsPlusNormal"/>
            </w:pPr>
          </w:p>
        </w:tc>
        <w:tc>
          <w:tcPr>
            <w:tcW w:w="1814" w:type="dxa"/>
            <w:vAlign w:val="center"/>
          </w:tcPr>
          <w:p w14:paraId="42C7FEFF" w14:textId="77777777" w:rsidR="00454A29" w:rsidRDefault="00454A29">
            <w:pPr>
              <w:pStyle w:val="ConsPlusNormal"/>
            </w:pPr>
          </w:p>
        </w:tc>
        <w:tc>
          <w:tcPr>
            <w:tcW w:w="1701" w:type="dxa"/>
            <w:vAlign w:val="center"/>
          </w:tcPr>
          <w:p w14:paraId="0D8E53B5" w14:textId="77777777" w:rsidR="00454A29" w:rsidRDefault="00454A29">
            <w:pPr>
              <w:pStyle w:val="ConsPlusNormal"/>
            </w:pPr>
          </w:p>
        </w:tc>
        <w:tc>
          <w:tcPr>
            <w:tcW w:w="1701" w:type="dxa"/>
            <w:vAlign w:val="center"/>
          </w:tcPr>
          <w:p w14:paraId="282DFCC7" w14:textId="77777777" w:rsidR="00454A29" w:rsidRDefault="00454A29">
            <w:pPr>
              <w:pStyle w:val="ConsPlusNormal"/>
            </w:pPr>
          </w:p>
        </w:tc>
        <w:tc>
          <w:tcPr>
            <w:tcW w:w="1814" w:type="dxa"/>
            <w:vAlign w:val="center"/>
          </w:tcPr>
          <w:p w14:paraId="074736B6" w14:textId="77777777" w:rsidR="00454A29" w:rsidRDefault="00454A29">
            <w:pPr>
              <w:pStyle w:val="ConsPlusNormal"/>
            </w:pPr>
          </w:p>
        </w:tc>
      </w:tr>
      <w:tr w:rsidR="00454A29" w14:paraId="2F0827D4" w14:textId="77777777">
        <w:tc>
          <w:tcPr>
            <w:tcW w:w="567" w:type="dxa"/>
            <w:vMerge/>
          </w:tcPr>
          <w:p w14:paraId="7D54DDA5" w14:textId="77777777" w:rsidR="00454A29" w:rsidRDefault="00454A29"/>
        </w:tc>
        <w:tc>
          <w:tcPr>
            <w:tcW w:w="3345" w:type="dxa"/>
            <w:vMerge/>
          </w:tcPr>
          <w:p w14:paraId="3BC7F06A" w14:textId="77777777" w:rsidR="00454A29" w:rsidRDefault="00454A29"/>
        </w:tc>
        <w:tc>
          <w:tcPr>
            <w:tcW w:w="1701" w:type="dxa"/>
            <w:vAlign w:val="center"/>
          </w:tcPr>
          <w:p w14:paraId="005ED486" w14:textId="77777777" w:rsidR="00454A29" w:rsidRDefault="00454A29">
            <w:pPr>
              <w:pStyle w:val="ConsPlusNormal"/>
              <w:jc w:val="center"/>
            </w:pPr>
            <w:r>
              <w:t>2025</w:t>
            </w:r>
          </w:p>
        </w:tc>
        <w:tc>
          <w:tcPr>
            <w:tcW w:w="1417" w:type="dxa"/>
            <w:vMerge/>
          </w:tcPr>
          <w:p w14:paraId="510BCD21" w14:textId="77777777" w:rsidR="00454A29" w:rsidRDefault="00454A29"/>
        </w:tc>
        <w:tc>
          <w:tcPr>
            <w:tcW w:w="2204" w:type="dxa"/>
            <w:vMerge/>
          </w:tcPr>
          <w:p w14:paraId="4CC94A86" w14:textId="77777777" w:rsidR="00454A29" w:rsidRDefault="00454A29"/>
        </w:tc>
        <w:tc>
          <w:tcPr>
            <w:tcW w:w="1417" w:type="dxa"/>
            <w:vMerge/>
          </w:tcPr>
          <w:p w14:paraId="613CCF3E" w14:textId="77777777" w:rsidR="00454A29" w:rsidRDefault="00454A29"/>
        </w:tc>
        <w:tc>
          <w:tcPr>
            <w:tcW w:w="2324" w:type="dxa"/>
            <w:vMerge/>
          </w:tcPr>
          <w:p w14:paraId="74E7722F" w14:textId="77777777" w:rsidR="00454A29" w:rsidRDefault="00454A29"/>
        </w:tc>
        <w:tc>
          <w:tcPr>
            <w:tcW w:w="1701" w:type="dxa"/>
            <w:vAlign w:val="center"/>
          </w:tcPr>
          <w:p w14:paraId="6E146E28" w14:textId="77777777" w:rsidR="00454A29" w:rsidRDefault="00454A29">
            <w:pPr>
              <w:pStyle w:val="ConsPlusNormal"/>
            </w:pPr>
          </w:p>
        </w:tc>
        <w:tc>
          <w:tcPr>
            <w:tcW w:w="1814" w:type="dxa"/>
            <w:vAlign w:val="center"/>
          </w:tcPr>
          <w:p w14:paraId="20D2E2C1" w14:textId="77777777" w:rsidR="00454A29" w:rsidRDefault="00454A29">
            <w:pPr>
              <w:pStyle w:val="ConsPlusNormal"/>
            </w:pPr>
          </w:p>
        </w:tc>
        <w:tc>
          <w:tcPr>
            <w:tcW w:w="1701" w:type="dxa"/>
            <w:vAlign w:val="center"/>
          </w:tcPr>
          <w:p w14:paraId="5551C115" w14:textId="77777777" w:rsidR="00454A29" w:rsidRDefault="00454A29">
            <w:pPr>
              <w:pStyle w:val="ConsPlusNormal"/>
            </w:pPr>
          </w:p>
        </w:tc>
        <w:tc>
          <w:tcPr>
            <w:tcW w:w="1701" w:type="dxa"/>
            <w:vAlign w:val="center"/>
          </w:tcPr>
          <w:p w14:paraId="3C691A98" w14:textId="77777777" w:rsidR="00454A29" w:rsidRDefault="00454A29">
            <w:pPr>
              <w:pStyle w:val="ConsPlusNormal"/>
            </w:pPr>
          </w:p>
        </w:tc>
        <w:tc>
          <w:tcPr>
            <w:tcW w:w="1814" w:type="dxa"/>
            <w:vAlign w:val="center"/>
          </w:tcPr>
          <w:p w14:paraId="272E1C80" w14:textId="77777777" w:rsidR="00454A29" w:rsidRDefault="00454A29">
            <w:pPr>
              <w:pStyle w:val="ConsPlusNormal"/>
            </w:pPr>
          </w:p>
        </w:tc>
      </w:tr>
      <w:tr w:rsidR="00454A29" w14:paraId="7F9A3E57" w14:textId="77777777">
        <w:tc>
          <w:tcPr>
            <w:tcW w:w="567" w:type="dxa"/>
            <w:vMerge/>
          </w:tcPr>
          <w:p w14:paraId="66ECB4DF" w14:textId="77777777" w:rsidR="00454A29" w:rsidRDefault="00454A29"/>
        </w:tc>
        <w:tc>
          <w:tcPr>
            <w:tcW w:w="3345" w:type="dxa"/>
            <w:vMerge/>
          </w:tcPr>
          <w:p w14:paraId="21E3CC72" w14:textId="77777777" w:rsidR="00454A29" w:rsidRDefault="00454A29"/>
        </w:tc>
        <w:tc>
          <w:tcPr>
            <w:tcW w:w="1701" w:type="dxa"/>
            <w:vAlign w:val="center"/>
          </w:tcPr>
          <w:p w14:paraId="3B26E770" w14:textId="77777777" w:rsidR="00454A29" w:rsidRDefault="00454A29">
            <w:pPr>
              <w:pStyle w:val="ConsPlusNormal"/>
              <w:jc w:val="center"/>
            </w:pPr>
            <w:r>
              <w:t>2026</w:t>
            </w:r>
          </w:p>
        </w:tc>
        <w:tc>
          <w:tcPr>
            <w:tcW w:w="1417" w:type="dxa"/>
            <w:vMerge/>
          </w:tcPr>
          <w:p w14:paraId="5E898C1A" w14:textId="77777777" w:rsidR="00454A29" w:rsidRDefault="00454A29"/>
        </w:tc>
        <w:tc>
          <w:tcPr>
            <w:tcW w:w="2204" w:type="dxa"/>
            <w:vMerge/>
          </w:tcPr>
          <w:p w14:paraId="5DD0A82C" w14:textId="77777777" w:rsidR="00454A29" w:rsidRDefault="00454A29"/>
        </w:tc>
        <w:tc>
          <w:tcPr>
            <w:tcW w:w="1417" w:type="dxa"/>
            <w:vMerge/>
          </w:tcPr>
          <w:p w14:paraId="28D07AF3" w14:textId="77777777" w:rsidR="00454A29" w:rsidRDefault="00454A29"/>
        </w:tc>
        <w:tc>
          <w:tcPr>
            <w:tcW w:w="2324" w:type="dxa"/>
            <w:vMerge/>
          </w:tcPr>
          <w:p w14:paraId="61098362" w14:textId="77777777" w:rsidR="00454A29" w:rsidRDefault="00454A29"/>
        </w:tc>
        <w:tc>
          <w:tcPr>
            <w:tcW w:w="1701" w:type="dxa"/>
            <w:vAlign w:val="center"/>
          </w:tcPr>
          <w:p w14:paraId="45022EE7" w14:textId="77777777" w:rsidR="00454A29" w:rsidRDefault="00454A29">
            <w:pPr>
              <w:pStyle w:val="ConsPlusNormal"/>
              <w:jc w:val="center"/>
            </w:pPr>
            <w:r>
              <w:t>813 304,68</w:t>
            </w:r>
          </w:p>
        </w:tc>
        <w:tc>
          <w:tcPr>
            <w:tcW w:w="1814" w:type="dxa"/>
            <w:vAlign w:val="center"/>
          </w:tcPr>
          <w:p w14:paraId="7FCE27C2" w14:textId="77777777" w:rsidR="00454A29" w:rsidRDefault="00454A29">
            <w:pPr>
              <w:pStyle w:val="ConsPlusNormal"/>
              <w:jc w:val="center"/>
            </w:pPr>
            <w:r>
              <w:t>10 019,93</w:t>
            </w:r>
          </w:p>
        </w:tc>
        <w:tc>
          <w:tcPr>
            <w:tcW w:w="1701" w:type="dxa"/>
            <w:vAlign w:val="center"/>
          </w:tcPr>
          <w:p w14:paraId="22D8477F" w14:textId="77777777" w:rsidR="00454A29" w:rsidRDefault="00454A29">
            <w:pPr>
              <w:pStyle w:val="ConsPlusNormal"/>
              <w:jc w:val="center"/>
            </w:pPr>
            <w:r>
              <w:t>991 971,44</w:t>
            </w:r>
          </w:p>
        </w:tc>
        <w:tc>
          <w:tcPr>
            <w:tcW w:w="1701" w:type="dxa"/>
            <w:vAlign w:val="center"/>
          </w:tcPr>
          <w:p w14:paraId="5E3B9D17" w14:textId="77777777" w:rsidR="00454A29" w:rsidRDefault="00454A29">
            <w:pPr>
              <w:pStyle w:val="ConsPlusNormal"/>
            </w:pPr>
          </w:p>
        </w:tc>
        <w:tc>
          <w:tcPr>
            <w:tcW w:w="1814" w:type="dxa"/>
            <w:vAlign w:val="center"/>
          </w:tcPr>
          <w:p w14:paraId="30065FE9" w14:textId="77777777" w:rsidR="00454A29" w:rsidRDefault="00454A29">
            <w:pPr>
              <w:pStyle w:val="ConsPlusNormal"/>
            </w:pPr>
          </w:p>
        </w:tc>
      </w:tr>
      <w:tr w:rsidR="00454A29" w14:paraId="20EC9AB7" w14:textId="77777777">
        <w:tc>
          <w:tcPr>
            <w:tcW w:w="567" w:type="dxa"/>
            <w:vMerge w:val="restart"/>
            <w:vAlign w:val="center"/>
          </w:tcPr>
          <w:p w14:paraId="5B56817F" w14:textId="77777777" w:rsidR="00454A29" w:rsidRDefault="00454A29">
            <w:pPr>
              <w:pStyle w:val="ConsPlusNormal"/>
              <w:jc w:val="center"/>
            </w:pPr>
            <w:r>
              <w:t>75</w:t>
            </w:r>
          </w:p>
        </w:tc>
        <w:tc>
          <w:tcPr>
            <w:tcW w:w="3345" w:type="dxa"/>
            <w:vMerge w:val="restart"/>
            <w:vAlign w:val="center"/>
          </w:tcPr>
          <w:p w14:paraId="20B2C293" w14:textId="77777777" w:rsidR="00454A29" w:rsidRDefault="00454A29">
            <w:pPr>
              <w:pStyle w:val="ConsPlusNormal"/>
              <w:jc w:val="center"/>
            </w:pPr>
            <w:r>
              <w:t>Школа N 23 на 660 учащихся в п. Айхал</w:t>
            </w:r>
          </w:p>
        </w:tc>
        <w:tc>
          <w:tcPr>
            <w:tcW w:w="1701" w:type="dxa"/>
            <w:vAlign w:val="center"/>
          </w:tcPr>
          <w:p w14:paraId="04DF484A" w14:textId="77777777" w:rsidR="00454A29" w:rsidRDefault="00454A29">
            <w:pPr>
              <w:pStyle w:val="ConsPlusNormal"/>
              <w:jc w:val="center"/>
            </w:pPr>
            <w:r>
              <w:t>2020 - 2026 годы - всего</w:t>
            </w:r>
          </w:p>
        </w:tc>
        <w:tc>
          <w:tcPr>
            <w:tcW w:w="1417" w:type="dxa"/>
            <w:vMerge w:val="restart"/>
            <w:vAlign w:val="center"/>
          </w:tcPr>
          <w:p w14:paraId="04E4EBEB" w14:textId="77777777" w:rsidR="00454A29" w:rsidRDefault="00454A29">
            <w:pPr>
              <w:pStyle w:val="ConsPlusNormal"/>
              <w:jc w:val="center"/>
            </w:pPr>
            <w:r>
              <w:t>1 039 780,48</w:t>
            </w:r>
          </w:p>
        </w:tc>
        <w:tc>
          <w:tcPr>
            <w:tcW w:w="2204" w:type="dxa"/>
            <w:vMerge w:val="restart"/>
            <w:vAlign w:val="center"/>
          </w:tcPr>
          <w:p w14:paraId="5D3B5037" w14:textId="77777777" w:rsidR="00454A29" w:rsidRDefault="00454A29">
            <w:pPr>
              <w:pStyle w:val="ConsPlusNormal"/>
            </w:pPr>
          </w:p>
        </w:tc>
        <w:tc>
          <w:tcPr>
            <w:tcW w:w="1417" w:type="dxa"/>
            <w:vMerge w:val="restart"/>
            <w:vAlign w:val="center"/>
          </w:tcPr>
          <w:p w14:paraId="47813083" w14:textId="77777777" w:rsidR="00454A29" w:rsidRDefault="00454A29">
            <w:pPr>
              <w:pStyle w:val="ConsPlusNormal"/>
              <w:jc w:val="center"/>
            </w:pPr>
            <w:r>
              <w:t>660</w:t>
            </w:r>
          </w:p>
        </w:tc>
        <w:tc>
          <w:tcPr>
            <w:tcW w:w="2324" w:type="dxa"/>
            <w:vMerge w:val="restart"/>
            <w:vAlign w:val="center"/>
          </w:tcPr>
          <w:p w14:paraId="422EE5F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C38D613" w14:textId="77777777" w:rsidR="00454A29" w:rsidRDefault="00454A29">
            <w:pPr>
              <w:pStyle w:val="ConsPlusNormal"/>
              <w:jc w:val="center"/>
            </w:pPr>
            <w:r>
              <w:t>1 039 780,48</w:t>
            </w:r>
          </w:p>
        </w:tc>
        <w:tc>
          <w:tcPr>
            <w:tcW w:w="1814" w:type="dxa"/>
            <w:vAlign w:val="center"/>
          </w:tcPr>
          <w:p w14:paraId="4B796A39" w14:textId="77777777" w:rsidR="00454A29" w:rsidRDefault="00454A29">
            <w:pPr>
              <w:pStyle w:val="ConsPlusNormal"/>
              <w:jc w:val="center"/>
            </w:pPr>
            <w:r>
              <w:t>13 153,22</w:t>
            </w:r>
          </w:p>
        </w:tc>
        <w:tc>
          <w:tcPr>
            <w:tcW w:w="1701" w:type="dxa"/>
            <w:vAlign w:val="center"/>
          </w:tcPr>
          <w:p w14:paraId="0BECE5F3" w14:textId="77777777" w:rsidR="00454A29" w:rsidRDefault="00454A29">
            <w:pPr>
              <w:pStyle w:val="ConsPlusNormal"/>
              <w:jc w:val="center"/>
            </w:pPr>
            <w:r>
              <w:t>1 302 169,08</w:t>
            </w:r>
          </w:p>
        </w:tc>
        <w:tc>
          <w:tcPr>
            <w:tcW w:w="1701" w:type="dxa"/>
            <w:vAlign w:val="center"/>
          </w:tcPr>
          <w:p w14:paraId="1A3E5B92" w14:textId="77777777" w:rsidR="00454A29" w:rsidRDefault="00454A29">
            <w:pPr>
              <w:pStyle w:val="ConsPlusNormal"/>
              <w:jc w:val="center"/>
            </w:pPr>
            <w:r>
              <w:t>-</w:t>
            </w:r>
          </w:p>
        </w:tc>
        <w:tc>
          <w:tcPr>
            <w:tcW w:w="1814" w:type="dxa"/>
            <w:vAlign w:val="center"/>
          </w:tcPr>
          <w:p w14:paraId="654B9DAB" w14:textId="77777777" w:rsidR="00454A29" w:rsidRDefault="00454A29">
            <w:pPr>
              <w:pStyle w:val="ConsPlusNormal"/>
              <w:jc w:val="center"/>
            </w:pPr>
            <w:r>
              <w:t>-</w:t>
            </w:r>
          </w:p>
        </w:tc>
      </w:tr>
      <w:tr w:rsidR="00454A29" w14:paraId="331533D0" w14:textId="77777777">
        <w:tc>
          <w:tcPr>
            <w:tcW w:w="567" w:type="dxa"/>
            <w:vMerge/>
          </w:tcPr>
          <w:p w14:paraId="2FF8200B" w14:textId="77777777" w:rsidR="00454A29" w:rsidRDefault="00454A29"/>
        </w:tc>
        <w:tc>
          <w:tcPr>
            <w:tcW w:w="3345" w:type="dxa"/>
            <w:vMerge/>
          </w:tcPr>
          <w:p w14:paraId="5CF21D5C" w14:textId="77777777" w:rsidR="00454A29" w:rsidRDefault="00454A29"/>
        </w:tc>
        <w:tc>
          <w:tcPr>
            <w:tcW w:w="1701" w:type="dxa"/>
            <w:vAlign w:val="center"/>
          </w:tcPr>
          <w:p w14:paraId="4F5D4AAE" w14:textId="77777777" w:rsidR="00454A29" w:rsidRDefault="00454A29">
            <w:pPr>
              <w:pStyle w:val="ConsPlusNormal"/>
              <w:jc w:val="center"/>
            </w:pPr>
            <w:r>
              <w:t>2020</w:t>
            </w:r>
          </w:p>
        </w:tc>
        <w:tc>
          <w:tcPr>
            <w:tcW w:w="1417" w:type="dxa"/>
            <w:vMerge/>
          </w:tcPr>
          <w:p w14:paraId="4906E381" w14:textId="77777777" w:rsidR="00454A29" w:rsidRDefault="00454A29"/>
        </w:tc>
        <w:tc>
          <w:tcPr>
            <w:tcW w:w="2204" w:type="dxa"/>
            <w:vMerge/>
          </w:tcPr>
          <w:p w14:paraId="2852B417" w14:textId="77777777" w:rsidR="00454A29" w:rsidRDefault="00454A29"/>
        </w:tc>
        <w:tc>
          <w:tcPr>
            <w:tcW w:w="1417" w:type="dxa"/>
            <w:vMerge/>
          </w:tcPr>
          <w:p w14:paraId="07D3A33C" w14:textId="77777777" w:rsidR="00454A29" w:rsidRDefault="00454A29"/>
        </w:tc>
        <w:tc>
          <w:tcPr>
            <w:tcW w:w="2324" w:type="dxa"/>
            <w:vMerge/>
          </w:tcPr>
          <w:p w14:paraId="5D29F635" w14:textId="77777777" w:rsidR="00454A29" w:rsidRDefault="00454A29"/>
        </w:tc>
        <w:tc>
          <w:tcPr>
            <w:tcW w:w="1701" w:type="dxa"/>
            <w:vAlign w:val="center"/>
          </w:tcPr>
          <w:p w14:paraId="2DD73F0C" w14:textId="77777777" w:rsidR="00454A29" w:rsidRDefault="00454A29">
            <w:pPr>
              <w:pStyle w:val="ConsPlusNormal"/>
            </w:pPr>
          </w:p>
        </w:tc>
        <w:tc>
          <w:tcPr>
            <w:tcW w:w="1814" w:type="dxa"/>
            <w:vAlign w:val="center"/>
          </w:tcPr>
          <w:p w14:paraId="359A8980" w14:textId="77777777" w:rsidR="00454A29" w:rsidRDefault="00454A29">
            <w:pPr>
              <w:pStyle w:val="ConsPlusNormal"/>
            </w:pPr>
          </w:p>
        </w:tc>
        <w:tc>
          <w:tcPr>
            <w:tcW w:w="1701" w:type="dxa"/>
            <w:vAlign w:val="center"/>
          </w:tcPr>
          <w:p w14:paraId="0499BAB0" w14:textId="77777777" w:rsidR="00454A29" w:rsidRDefault="00454A29">
            <w:pPr>
              <w:pStyle w:val="ConsPlusNormal"/>
            </w:pPr>
          </w:p>
        </w:tc>
        <w:tc>
          <w:tcPr>
            <w:tcW w:w="1701" w:type="dxa"/>
            <w:vAlign w:val="center"/>
          </w:tcPr>
          <w:p w14:paraId="189B947B" w14:textId="77777777" w:rsidR="00454A29" w:rsidRDefault="00454A29">
            <w:pPr>
              <w:pStyle w:val="ConsPlusNormal"/>
            </w:pPr>
          </w:p>
        </w:tc>
        <w:tc>
          <w:tcPr>
            <w:tcW w:w="1814" w:type="dxa"/>
            <w:vAlign w:val="center"/>
          </w:tcPr>
          <w:p w14:paraId="239C0269" w14:textId="77777777" w:rsidR="00454A29" w:rsidRDefault="00454A29">
            <w:pPr>
              <w:pStyle w:val="ConsPlusNormal"/>
            </w:pPr>
          </w:p>
        </w:tc>
      </w:tr>
      <w:tr w:rsidR="00454A29" w14:paraId="4488FB52" w14:textId="77777777">
        <w:tc>
          <w:tcPr>
            <w:tcW w:w="567" w:type="dxa"/>
            <w:vMerge/>
          </w:tcPr>
          <w:p w14:paraId="4F7178D8" w14:textId="77777777" w:rsidR="00454A29" w:rsidRDefault="00454A29"/>
        </w:tc>
        <w:tc>
          <w:tcPr>
            <w:tcW w:w="3345" w:type="dxa"/>
            <w:vMerge/>
          </w:tcPr>
          <w:p w14:paraId="4F35DED8" w14:textId="77777777" w:rsidR="00454A29" w:rsidRDefault="00454A29"/>
        </w:tc>
        <w:tc>
          <w:tcPr>
            <w:tcW w:w="1701" w:type="dxa"/>
            <w:vAlign w:val="center"/>
          </w:tcPr>
          <w:p w14:paraId="60B2DF48" w14:textId="77777777" w:rsidR="00454A29" w:rsidRDefault="00454A29">
            <w:pPr>
              <w:pStyle w:val="ConsPlusNormal"/>
              <w:jc w:val="center"/>
            </w:pPr>
            <w:r>
              <w:t>2021</w:t>
            </w:r>
          </w:p>
        </w:tc>
        <w:tc>
          <w:tcPr>
            <w:tcW w:w="1417" w:type="dxa"/>
            <w:vMerge/>
          </w:tcPr>
          <w:p w14:paraId="492CACB1" w14:textId="77777777" w:rsidR="00454A29" w:rsidRDefault="00454A29"/>
        </w:tc>
        <w:tc>
          <w:tcPr>
            <w:tcW w:w="2204" w:type="dxa"/>
            <w:vMerge/>
          </w:tcPr>
          <w:p w14:paraId="51E9CC7B" w14:textId="77777777" w:rsidR="00454A29" w:rsidRDefault="00454A29"/>
        </w:tc>
        <w:tc>
          <w:tcPr>
            <w:tcW w:w="1417" w:type="dxa"/>
            <w:vMerge/>
          </w:tcPr>
          <w:p w14:paraId="11565DC8" w14:textId="77777777" w:rsidR="00454A29" w:rsidRDefault="00454A29"/>
        </w:tc>
        <w:tc>
          <w:tcPr>
            <w:tcW w:w="2324" w:type="dxa"/>
            <w:vMerge/>
          </w:tcPr>
          <w:p w14:paraId="395885FE" w14:textId="77777777" w:rsidR="00454A29" w:rsidRDefault="00454A29"/>
        </w:tc>
        <w:tc>
          <w:tcPr>
            <w:tcW w:w="1701" w:type="dxa"/>
            <w:vAlign w:val="center"/>
          </w:tcPr>
          <w:p w14:paraId="14192DEE" w14:textId="77777777" w:rsidR="00454A29" w:rsidRDefault="00454A29">
            <w:pPr>
              <w:pStyle w:val="ConsPlusNormal"/>
              <w:jc w:val="center"/>
            </w:pPr>
            <w:r>
              <w:t>-</w:t>
            </w:r>
          </w:p>
        </w:tc>
        <w:tc>
          <w:tcPr>
            <w:tcW w:w="1814" w:type="dxa"/>
            <w:vAlign w:val="center"/>
          </w:tcPr>
          <w:p w14:paraId="2503AFF8" w14:textId="77777777" w:rsidR="00454A29" w:rsidRDefault="00454A29">
            <w:pPr>
              <w:pStyle w:val="ConsPlusNormal"/>
            </w:pPr>
          </w:p>
        </w:tc>
        <w:tc>
          <w:tcPr>
            <w:tcW w:w="1701" w:type="dxa"/>
            <w:vAlign w:val="center"/>
          </w:tcPr>
          <w:p w14:paraId="198292E4" w14:textId="77777777" w:rsidR="00454A29" w:rsidRDefault="00454A29">
            <w:pPr>
              <w:pStyle w:val="ConsPlusNormal"/>
            </w:pPr>
          </w:p>
        </w:tc>
        <w:tc>
          <w:tcPr>
            <w:tcW w:w="1701" w:type="dxa"/>
            <w:vAlign w:val="center"/>
          </w:tcPr>
          <w:p w14:paraId="4149E77B" w14:textId="77777777" w:rsidR="00454A29" w:rsidRDefault="00454A29">
            <w:pPr>
              <w:pStyle w:val="ConsPlusNormal"/>
            </w:pPr>
          </w:p>
        </w:tc>
        <w:tc>
          <w:tcPr>
            <w:tcW w:w="1814" w:type="dxa"/>
            <w:vAlign w:val="center"/>
          </w:tcPr>
          <w:p w14:paraId="4B422B6E" w14:textId="77777777" w:rsidR="00454A29" w:rsidRDefault="00454A29">
            <w:pPr>
              <w:pStyle w:val="ConsPlusNormal"/>
            </w:pPr>
          </w:p>
        </w:tc>
      </w:tr>
      <w:tr w:rsidR="00454A29" w14:paraId="1A9C821A" w14:textId="77777777">
        <w:tc>
          <w:tcPr>
            <w:tcW w:w="567" w:type="dxa"/>
            <w:vMerge/>
          </w:tcPr>
          <w:p w14:paraId="561E42E4" w14:textId="77777777" w:rsidR="00454A29" w:rsidRDefault="00454A29"/>
        </w:tc>
        <w:tc>
          <w:tcPr>
            <w:tcW w:w="3345" w:type="dxa"/>
            <w:vMerge/>
          </w:tcPr>
          <w:p w14:paraId="61F91751" w14:textId="77777777" w:rsidR="00454A29" w:rsidRDefault="00454A29"/>
        </w:tc>
        <w:tc>
          <w:tcPr>
            <w:tcW w:w="1701" w:type="dxa"/>
            <w:vAlign w:val="center"/>
          </w:tcPr>
          <w:p w14:paraId="2C006D3F" w14:textId="77777777" w:rsidR="00454A29" w:rsidRDefault="00454A29">
            <w:pPr>
              <w:pStyle w:val="ConsPlusNormal"/>
              <w:jc w:val="center"/>
            </w:pPr>
            <w:r>
              <w:t>2022</w:t>
            </w:r>
          </w:p>
        </w:tc>
        <w:tc>
          <w:tcPr>
            <w:tcW w:w="1417" w:type="dxa"/>
            <w:vMerge/>
          </w:tcPr>
          <w:p w14:paraId="276BD62A" w14:textId="77777777" w:rsidR="00454A29" w:rsidRDefault="00454A29"/>
        </w:tc>
        <w:tc>
          <w:tcPr>
            <w:tcW w:w="2204" w:type="dxa"/>
            <w:vMerge/>
          </w:tcPr>
          <w:p w14:paraId="6F03DFA6" w14:textId="77777777" w:rsidR="00454A29" w:rsidRDefault="00454A29"/>
        </w:tc>
        <w:tc>
          <w:tcPr>
            <w:tcW w:w="1417" w:type="dxa"/>
            <w:vMerge/>
          </w:tcPr>
          <w:p w14:paraId="02A7CDB5" w14:textId="77777777" w:rsidR="00454A29" w:rsidRDefault="00454A29"/>
        </w:tc>
        <w:tc>
          <w:tcPr>
            <w:tcW w:w="2324" w:type="dxa"/>
            <w:vMerge/>
          </w:tcPr>
          <w:p w14:paraId="7A8B4987" w14:textId="77777777" w:rsidR="00454A29" w:rsidRDefault="00454A29"/>
        </w:tc>
        <w:tc>
          <w:tcPr>
            <w:tcW w:w="1701" w:type="dxa"/>
            <w:vAlign w:val="center"/>
          </w:tcPr>
          <w:p w14:paraId="4C90C9C3" w14:textId="77777777" w:rsidR="00454A29" w:rsidRDefault="00454A29">
            <w:pPr>
              <w:pStyle w:val="ConsPlusNormal"/>
            </w:pPr>
          </w:p>
        </w:tc>
        <w:tc>
          <w:tcPr>
            <w:tcW w:w="1814" w:type="dxa"/>
            <w:vAlign w:val="center"/>
          </w:tcPr>
          <w:p w14:paraId="69992936" w14:textId="77777777" w:rsidR="00454A29" w:rsidRDefault="00454A29">
            <w:pPr>
              <w:pStyle w:val="ConsPlusNormal"/>
            </w:pPr>
          </w:p>
        </w:tc>
        <w:tc>
          <w:tcPr>
            <w:tcW w:w="1701" w:type="dxa"/>
            <w:vAlign w:val="center"/>
          </w:tcPr>
          <w:p w14:paraId="33CEE19F" w14:textId="77777777" w:rsidR="00454A29" w:rsidRDefault="00454A29">
            <w:pPr>
              <w:pStyle w:val="ConsPlusNormal"/>
            </w:pPr>
          </w:p>
        </w:tc>
        <w:tc>
          <w:tcPr>
            <w:tcW w:w="1701" w:type="dxa"/>
            <w:vAlign w:val="center"/>
          </w:tcPr>
          <w:p w14:paraId="22B264E9" w14:textId="77777777" w:rsidR="00454A29" w:rsidRDefault="00454A29">
            <w:pPr>
              <w:pStyle w:val="ConsPlusNormal"/>
            </w:pPr>
          </w:p>
        </w:tc>
        <w:tc>
          <w:tcPr>
            <w:tcW w:w="1814" w:type="dxa"/>
            <w:vAlign w:val="center"/>
          </w:tcPr>
          <w:p w14:paraId="30D5F172" w14:textId="77777777" w:rsidR="00454A29" w:rsidRDefault="00454A29">
            <w:pPr>
              <w:pStyle w:val="ConsPlusNormal"/>
            </w:pPr>
          </w:p>
        </w:tc>
      </w:tr>
      <w:tr w:rsidR="00454A29" w14:paraId="77711F38" w14:textId="77777777">
        <w:tc>
          <w:tcPr>
            <w:tcW w:w="567" w:type="dxa"/>
            <w:vMerge/>
          </w:tcPr>
          <w:p w14:paraId="0137D134" w14:textId="77777777" w:rsidR="00454A29" w:rsidRDefault="00454A29"/>
        </w:tc>
        <w:tc>
          <w:tcPr>
            <w:tcW w:w="3345" w:type="dxa"/>
            <w:vMerge/>
          </w:tcPr>
          <w:p w14:paraId="55615C61" w14:textId="77777777" w:rsidR="00454A29" w:rsidRDefault="00454A29"/>
        </w:tc>
        <w:tc>
          <w:tcPr>
            <w:tcW w:w="1701" w:type="dxa"/>
            <w:vAlign w:val="center"/>
          </w:tcPr>
          <w:p w14:paraId="1321E0B1" w14:textId="77777777" w:rsidR="00454A29" w:rsidRDefault="00454A29">
            <w:pPr>
              <w:pStyle w:val="ConsPlusNormal"/>
              <w:jc w:val="center"/>
            </w:pPr>
            <w:r>
              <w:t>2023</w:t>
            </w:r>
          </w:p>
        </w:tc>
        <w:tc>
          <w:tcPr>
            <w:tcW w:w="1417" w:type="dxa"/>
            <w:vMerge/>
          </w:tcPr>
          <w:p w14:paraId="15B59103" w14:textId="77777777" w:rsidR="00454A29" w:rsidRDefault="00454A29"/>
        </w:tc>
        <w:tc>
          <w:tcPr>
            <w:tcW w:w="2204" w:type="dxa"/>
            <w:vMerge/>
          </w:tcPr>
          <w:p w14:paraId="7188E818" w14:textId="77777777" w:rsidR="00454A29" w:rsidRDefault="00454A29"/>
        </w:tc>
        <w:tc>
          <w:tcPr>
            <w:tcW w:w="1417" w:type="dxa"/>
            <w:vMerge/>
          </w:tcPr>
          <w:p w14:paraId="2C3CCFEA" w14:textId="77777777" w:rsidR="00454A29" w:rsidRDefault="00454A29"/>
        </w:tc>
        <w:tc>
          <w:tcPr>
            <w:tcW w:w="2324" w:type="dxa"/>
            <w:vMerge/>
          </w:tcPr>
          <w:p w14:paraId="34010CC4" w14:textId="77777777" w:rsidR="00454A29" w:rsidRDefault="00454A29"/>
        </w:tc>
        <w:tc>
          <w:tcPr>
            <w:tcW w:w="1701" w:type="dxa"/>
            <w:vAlign w:val="center"/>
          </w:tcPr>
          <w:p w14:paraId="27537CFE" w14:textId="77777777" w:rsidR="00454A29" w:rsidRDefault="00454A29">
            <w:pPr>
              <w:pStyle w:val="ConsPlusNormal"/>
              <w:jc w:val="center"/>
            </w:pPr>
            <w:r>
              <w:t>-</w:t>
            </w:r>
          </w:p>
        </w:tc>
        <w:tc>
          <w:tcPr>
            <w:tcW w:w="1814" w:type="dxa"/>
            <w:vAlign w:val="center"/>
          </w:tcPr>
          <w:p w14:paraId="48EEE22E" w14:textId="77777777" w:rsidR="00454A29" w:rsidRDefault="00454A29">
            <w:pPr>
              <w:pStyle w:val="ConsPlusNormal"/>
            </w:pPr>
          </w:p>
        </w:tc>
        <w:tc>
          <w:tcPr>
            <w:tcW w:w="1701" w:type="dxa"/>
            <w:vAlign w:val="center"/>
          </w:tcPr>
          <w:p w14:paraId="0F67EA9C" w14:textId="77777777" w:rsidR="00454A29" w:rsidRDefault="00454A29">
            <w:pPr>
              <w:pStyle w:val="ConsPlusNormal"/>
            </w:pPr>
          </w:p>
        </w:tc>
        <w:tc>
          <w:tcPr>
            <w:tcW w:w="1701" w:type="dxa"/>
            <w:vAlign w:val="center"/>
          </w:tcPr>
          <w:p w14:paraId="20A02BBB" w14:textId="77777777" w:rsidR="00454A29" w:rsidRDefault="00454A29">
            <w:pPr>
              <w:pStyle w:val="ConsPlusNormal"/>
            </w:pPr>
          </w:p>
        </w:tc>
        <w:tc>
          <w:tcPr>
            <w:tcW w:w="1814" w:type="dxa"/>
            <w:vAlign w:val="center"/>
          </w:tcPr>
          <w:p w14:paraId="3BBA5C3B" w14:textId="77777777" w:rsidR="00454A29" w:rsidRDefault="00454A29">
            <w:pPr>
              <w:pStyle w:val="ConsPlusNormal"/>
            </w:pPr>
          </w:p>
        </w:tc>
      </w:tr>
      <w:tr w:rsidR="00454A29" w14:paraId="2440D994" w14:textId="77777777">
        <w:tc>
          <w:tcPr>
            <w:tcW w:w="567" w:type="dxa"/>
            <w:vMerge/>
          </w:tcPr>
          <w:p w14:paraId="49C794BD" w14:textId="77777777" w:rsidR="00454A29" w:rsidRDefault="00454A29"/>
        </w:tc>
        <w:tc>
          <w:tcPr>
            <w:tcW w:w="3345" w:type="dxa"/>
            <w:vMerge/>
          </w:tcPr>
          <w:p w14:paraId="08A1F7FF" w14:textId="77777777" w:rsidR="00454A29" w:rsidRDefault="00454A29"/>
        </w:tc>
        <w:tc>
          <w:tcPr>
            <w:tcW w:w="1701" w:type="dxa"/>
            <w:vAlign w:val="center"/>
          </w:tcPr>
          <w:p w14:paraId="48B3A33D" w14:textId="77777777" w:rsidR="00454A29" w:rsidRDefault="00454A29">
            <w:pPr>
              <w:pStyle w:val="ConsPlusNormal"/>
              <w:jc w:val="center"/>
            </w:pPr>
            <w:r>
              <w:t>2024</w:t>
            </w:r>
          </w:p>
        </w:tc>
        <w:tc>
          <w:tcPr>
            <w:tcW w:w="1417" w:type="dxa"/>
            <w:vMerge/>
          </w:tcPr>
          <w:p w14:paraId="2E8A3E71" w14:textId="77777777" w:rsidR="00454A29" w:rsidRDefault="00454A29"/>
        </w:tc>
        <w:tc>
          <w:tcPr>
            <w:tcW w:w="2204" w:type="dxa"/>
            <w:vMerge/>
          </w:tcPr>
          <w:p w14:paraId="088A4261" w14:textId="77777777" w:rsidR="00454A29" w:rsidRDefault="00454A29"/>
        </w:tc>
        <w:tc>
          <w:tcPr>
            <w:tcW w:w="1417" w:type="dxa"/>
            <w:vMerge/>
          </w:tcPr>
          <w:p w14:paraId="3B214819" w14:textId="77777777" w:rsidR="00454A29" w:rsidRDefault="00454A29"/>
        </w:tc>
        <w:tc>
          <w:tcPr>
            <w:tcW w:w="2324" w:type="dxa"/>
            <w:vMerge/>
          </w:tcPr>
          <w:p w14:paraId="06D7BE27" w14:textId="77777777" w:rsidR="00454A29" w:rsidRDefault="00454A29"/>
        </w:tc>
        <w:tc>
          <w:tcPr>
            <w:tcW w:w="1701" w:type="dxa"/>
            <w:vAlign w:val="center"/>
          </w:tcPr>
          <w:p w14:paraId="1DA69432" w14:textId="77777777" w:rsidR="00454A29" w:rsidRDefault="00454A29">
            <w:pPr>
              <w:pStyle w:val="ConsPlusNormal"/>
            </w:pPr>
          </w:p>
        </w:tc>
        <w:tc>
          <w:tcPr>
            <w:tcW w:w="1814" w:type="dxa"/>
            <w:vAlign w:val="center"/>
          </w:tcPr>
          <w:p w14:paraId="1A8FF438" w14:textId="77777777" w:rsidR="00454A29" w:rsidRDefault="00454A29">
            <w:pPr>
              <w:pStyle w:val="ConsPlusNormal"/>
            </w:pPr>
          </w:p>
        </w:tc>
        <w:tc>
          <w:tcPr>
            <w:tcW w:w="1701" w:type="dxa"/>
            <w:vAlign w:val="center"/>
          </w:tcPr>
          <w:p w14:paraId="1F98C8B6" w14:textId="77777777" w:rsidR="00454A29" w:rsidRDefault="00454A29">
            <w:pPr>
              <w:pStyle w:val="ConsPlusNormal"/>
            </w:pPr>
          </w:p>
        </w:tc>
        <w:tc>
          <w:tcPr>
            <w:tcW w:w="1701" w:type="dxa"/>
            <w:vAlign w:val="center"/>
          </w:tcPr>
          <w:p w14:paraId="4358A2B8" w14:textId="77777777" w:rsidR="00454A29" w:rsidRDefault="00454A29">
            <w:pPr>
              <w:pStyle w:val="ConsPlusNormal"/>
            </w:pPr>
          </w:p>
        </w:tc>
        <w:tc>
          <w:tcPr>
            <w:tcW w:w="1814" w:type="dxa"/>
            <w:vAlign w:val="center"/>
          </w:tcPr>
          <w:p w14:paraId="3A6733F4" w14:textId="77777777" w:rsidR="00454A29" w:rsidRDefault="00454A29">
            <w:pPr>
              <w:pStyle w:val="ConsPlusNormal"/>
            </w:pPr>
          </w:p>
        </w:tc>
      </w:tr>
      <w:tr w:rsidR="00454A29" w14:paraId="4C9FA3D9" w14:textId="77777777">
        <w:tc>
          <w:tcPr>
            <w:tcW w:w="567" w:type="dxa"/>
            <w:vMerge/>
          </w:tcPr>
          <w:p w14:paraId="66E7D69C" w14:textId="77777777" w:rsidR="00454A29" w:rsidRDefault="00454A29"/>
        </w:tc>
        <w:tc>
          <w:tcPr>
            <w:tcW w:w="3345" w:type="dxa"/>
            <w:vMerge/>
          </w:tcPr>
          <w:p w14:paraId="67210253" w14:textId="77777777" w:rsidR="00454A29" w:rsidRDefault="00454A29"/>
        </w:tc>
        <w:tc>
          <w:tcPr>
            <w:tcW w:w="1701" w:type="dxa"/>
            <w:vAlign w:val="center"/>
          </w:tcPr>
          <w:p w14:paraId="78631A51" w14:textId="77777777" w:rsidR="00454A29" w:rsidRDefault="00454A29">
            <w:pPr>
              <w:pStyle w:val="ConsPlusNormal"/>
              <w:jc w:val="center"/>
            </w:pPr>
            <w:r>
              <w:t>2025</w:t>
            </w:r>
          </w:p>
        </w:tc>
        <w:tc>
          <w:tcPr>
            <w:tcW w:w="1417" w:type="dxa"/>
            <w:vMerge/>
          </w:tcPr>
          <w:p w14:paraId="0CF59269" w14:textId="77777777" w:rsidR="00454A29" w:rsidRDefault="00454A29"/>
        </w:tc>
        <w:tc>
          <w:tcPr>
            <w:tcW w:w="2204" w:type="dxa"/>
            <w:vMerge/>
          </w:tcPr>
          <w:p w14:paraId="43FE78B9" w14:textId="77777777" w:rsidR="00454A29" w:rsidRDefault="00454A29"/>
        </w:tc>
        <w:tc>
          <w:tcPr>
            <w:tcW w:w="1417" w:type="dxa"/>
            <w:vMerge/>
          </w:tcPr>
          <w:p w14:paraId="146A1BFD" w14:textId="77777777" w:rsidR="00454A29" w:rsidRDefault="00454A29"/>
        </w:tc>
        <w:tc>
          <w:tcPr>
            <w:tcW w:w="2324" w:type="dxa"/>
            <w:vMerge/>
          </w:tcPr>
          <w:p w14:paraId="45C07707" w14:textId="77777777" w:rsidR="00454A29" w:rsidRDefault="00454A29"/>
        </w:tc>
        <w:tc>
          <w:tcPr>
            <w:tcW w:w="1701" w:type="dxa"/>
            <w:vAlign w:val="center"/>
          </w:tcPr>
          <w:p w14:paraId="03A31147" w14:textId="77777777" w:rsidR="00454A29" w:rsidRDefault="00454A29">
            <w:pPr>
              <w:pStyle w:val="ConsPlusNormal"/>
              <w:jc w:val="center"/>
            </w:pPr>
            <w:r>
              <w:t>1 039 780,48</w:t>
            </w:r>
          </w:p>
        </w:tc>
        <w:tc>
          <w:tcPr>
            <w:tcW w:w="1814" w:type="dxa"/>
            <w:vAlign w:val="center"/>
          </w:tcPr>
          <w:p w14:paraId="21DA7A15" w14:textId="77777777" w:rsidR="00454A29" w:rsidRDefault="00454A29">
            <w:pPr>
              <w:pStyle w:val="ConsPlusNormal"/>
              <w:jc w:val="center"/>
            </w:pPr>
            <w:r>
              <w:t>13 153,22</w:t>
            </w:r>
          </w:p>
        </w:tc>
        <w:tc>
          <w:tcPr>
            <w:tcW w:w="1701" w:type="dxa"/>
            <w:vAlign w:val="center"/>
          </w:tcPr>
          <w:p w14:paraId="558A2E53" w14:textId="77777777" w:rsidR="00454A29" w:rsidRDefault="00454A29">
            <w:pPr>
              <w:pStyle w:val="ConsPlusNormal"/>
              <w:jc w:val="center"/>
            </w:pPr>
            <w:r>
              <w:t>1 302 169,08</w:t>
            </w:r>
          </w:p>
        </w:tc>
        <w:tc>
          <w:tcPr>
            <w:tcW w:w="1701" w:type="dxa"/>
            <w:vAlign w:val="center"/>
          </w:tcPr>
          <w:p w14:paraId="312016EC" w14:textId="77777777" w:rsidR="00454A29" w:rsidRDefault="00454A29">
            <w:pPr>
              <w:pStyle w:val="ConsPlusNormal"/>
            </w:pPr>
          </w:p>
        </w:tc>
        <w:tc>
          <w:tcPr>
            <w:tcW w:w="1814" w:type="dxa"/>
            <w:vAlign w:val="center"/>
          </w:tcPr>
          <w:p w14:paraId="371C1D5F" w14:textId="77777777" w:rsidR="00454A29" w:rsidRDefault="00454A29">
            <w:pPr>
              <w:pStyle w:val="ConsPlusNormal"/>
            </w:pPr>
          </w:p>
        </w:tc>
      </w:tr>
      <w:tr w:rsidR="00454A29" w14:paraId="6C168FB4" w14:textId="77777777">
        <w:tc>
          <w:tcPr>
            <w:tcW w:w="567" w:type="dxa"/>
            <w:vMerge/>
          </w:tcPr>
          <w:p w14:paraId="235D899C" w14:textId="77777777" w:rsidR="00454A29" w:rsidRDefault="00454A29"/>
        </w:tc>
        <w:tc>
          <w:tcPr>
            <w:tcW w:w="3345" w:type="dxa"/>
            <w:vMerge/>
          </w:tcPr>
          <w:p w14:paraId="5674EDFA" w14:textId="77777777" w:rsidR="00454A29" w:rsidRDefault="00454A29"/>
        </w:tc>
        <w:tc>
          <w:tcPr>
            <w:tcW w:w="1701" w:type="dxa"/>
            <w:vAlign w:val="center"/>
          </w:tcPr>
          <w:p w14:paraId="5EDA7486" w14:textId="77777777" w:rsidR="00454A29" w:rsidRDefault="00454A29">
            <w:pPr>
              <w:pStyle w:val="ConsPlusNormal"/>
              <w:jc w:val="center"/>
            </w:pPr>
            <w:r>
              <w:t>2026</w:t>
            </w:r>
          </w:p>
        </w:tc>
        <w:tc>
          <w:tcPr>
            <w:tcW w:w="1417" w:type="dxa"/>
            <w:vMerge/>
          </w:tcPr>
          <w:p w14:paraId="7DB51750" w14:textId="77777777" w:rsidR="00454A29" w:rsidRDefault="00454A29"/>
        </w:tc>
        <w:tc>
          <w:tcPr>
            <w:tcW w:w="2204" w:type="dxa"/>
            <w:vMerge/>
          </w:tcPr>
          <w:p w14:paraId="274C41B7" w14:textId="77777777" w:rsidR="00454A29" w:rsidRDefault="00454A29"/>
        </w:tc>
        <w:tc>
          <w:tcPr>
            <w:tcW w:w="1417" w:type="dxa"/>
            <w:vMerge/>
          </w:tcPr>
          <w:p w14:paraId="3381C174" w14:textId="77777777" w:rsidR="00454A29" w:rsidRDefault="00454A29"/>
        </w:tc>
        <w:tc>
          <w:tcPr>
            <w:tcW w:w="2324" w:type="dxa"/>
            <w:vMerge/>
          </w:tcPr>
          <w:p w14:paraId="13E74CEB" w14:textId="77777777" w:rsidR="00454A29" w:rsidRDefault="00454A29"/>
        </w:tc>
        <w:tc>
          <w:tcPr>
            <w:tcW w:w="1701" w:type="dxa"/>
            <w:vAlign w:val="center"/>
          </w:tcPr>
          <w:p w14:paraId="2B7E9BAE" w14:textId="77777777" w:rsidR="00454A29" w:rsidRDefault="00454A29">
            <w:pPr>
              <w:pStyle w:val="ConsPlusNormal"/>
            </w:pPr>
          </w:p>
        </w:tc>
        <w:tc>
          <w:tcPr>
            <w:tcW w:w="1814" w:type="dxa"/>
            <w:vAlign w:val="center"/>
          </w:tcPr>
          <w:p w14:paraId="3327208D" w14:textId="77777777" w:rsidR="00454A29" w:rsidRDefault="00454A29">
            <w:pPr>
              <w:pStyle w:val="ConsPlusNormal"/>
            </w:pPr>
          </w:p>
        </w:tc>
        <w:tc>
          <w:tcPr>
            <w:tcW w:w="1701" w:type="dxa"/>
            <w:vAlign w:val="center"/>
          </w:tcPr>
          <w:p w14:paraId="7F189FDB" w14:textId="77777777" w:rsidR="00454A29" w:rsidRDefault="00454A29">
            <w:pPr>
              <w:pStyle w:val="ConsPlusNormal"/>
            </w:pPr>
          </w:p>
        </w:tc>
        <w:tc>
          <w:tcPr>
            <w:tcW w:w="1701" w:type="dxa"/>
            <w:vAlign w:val="center"/>
          </w:tcPr>
          <w:p w14:paraId="6EB97E34" w14:textId="77777777" w:rsidR="00454A29" w:rsidRDefault="00454A29">
            <w:pPr>
              <w:pStyle w:val="ConsPlusNormal"/>
            </w:pPr>
          </w:p>
        </w:tc>
        <w:tc>
          <w:tcPr>
            <w:tcW w:w="1814" w:type="dxa"/>
            <w:vAlign w:val="center"/>
          </w:tcPr>
          <w:p w14:paraId="5D2B9596" w14:textId="77777777" w:rsidR="00454A29" w:rsidRDefault="00454A29">
            <w:pPr>
              <w:pStyle w:val="ConsPlusNormal"/>
            </w:pPr>
          </w:p>
        </w:tc>
      </w:tr>
      <w:tr w:rsidR="00454A29" w14:paraId="510BC684" w14:textId="77777777">
        <w:tc>
          <w:tcPr>
            <w:tcW w:w="567" w:type="dxa"/>
            <w:vMerge w:val="restart"/>
            <w:vAlign w:val="center"/>
          </w:tcPr>
          <w:p w14:paraId="3893E207" w14:textId="77777777" w:rsidR="00454A29" w:rsidRDefault="00454A29">
            <w:pPr>
              <w:pStyle w:val="ConsPlusNormal"/>
              <w:jc w:val="center"/>
            </w:pPr>
            <w:r>
              <w:t>76</w:t>
            </w:r>
          </w:p>
        </w:tc>
        <w:tc>
          <w:tcPr>
            <w:tcW w:w="3345" w:type="dxa"/>
            <w:vMerge w:val="restart"/>
            <w:vAlign w:val="center"/>
          </w:tcPr>
          <w:p w14:paraId="1C530747" w14:textId="77777777" w:rsidR="00454A29" w:rsidRDefault="00454A29">
            <w:pPr>
              <w:pStyle w:val="ConsPlusNormal"/>
              <w:jc w:val="center"/>
            </w:pPr>
            <w:r>
              <w:t>Школа N 19 на 330 учащихся в п. Удачный</w:t>
            </w:r>
          </w:p>
        </w:tc>
        <w:tc>
          <w:tcPr>
            <w:tcW w:w="1701" w:type="dxa"/>
            <w:vAlign w:val="center"/>
          </w:tcPr>
          <w:p w14:paraId="384AF560" w14:textId="77777777" w:rsidR="00454A29" w:rsidRDefault="00454A29">
            <w:pPr>
              <w:pStyle w:val="ConsPlusNormal"/>
              <w:jc w:val="center"/>
            </w:pPr>
            <w:r>
              <w:t>2020 - 2026 годы - всего</w:t>
            </w:r>
          </w:p>
        </w:tc>
        <w:tc>
          <w:tcPr>
            <w:tcW w:w="1417" w:type="dxa"/>
            <w:vMerge w:val="restart"/>
            <w:vAlign w:val="center"/>
          </w:tcPr>
          <w:p w14:paraId="2EB441C3" w14:textId="77777777" w:rsidR="00454A29" w:rsidRDefault="00454A29">
            <w:pPr>
              <w:pStyle w:val="ConsPlusNormal"/>
              <w:jc w:val="center"/>
            </w:pPr>
            <w:r>
              <w:t>711 013,99</w:t>
            </w:r>
          </w:p>
        </w:tc>
        <w:tc>
          <w:tcPr>
            <w:tcW w:w="2204" w:type="dxa"/>
            <w:vMerge w:val="restart"/>
            <w:vAlign w:val="center"/>
          </w:tcPr>
          <w:p w14:paraId="544BA02B" w14:textId="77777777" w:rsidR="00454A29" w:rsidRDefault="00454A29">
            <w:pPr>
              <w:pStyle w:val="ConsPlusNormal"/>
            </w:pPr>
          </w:p>
        </w:tc>
        <w:tc>
          <w:tcPr>
            <w:tcW w:w="1417" w:type="dxa"/>
            <w:vMerge w:val="restart"/>
            <w:vAlign w:val="center"/>
          </w:tcPr>
          <w:p w14:paraId="744C72A6" w14:textId="77777777" w:rsidR="00454A29" w:rsidRDefault="00454A29">
            <w:pPr>
              <w:pStyle w:val="ConsPlusNormal"/>
              <w:jc w:val="center"/>
            </w:pPr>
            <w:r>
              <w:t>330</w:t>
            </w:r>
          </w:p>
        </w:tc>
        <w:tc>
          <w:tcPr>
            <w:tcW w:w="2324" w:type="dxa"/>
            <w:vMerge w:val="restart"/>
            <w:vAlign w:val="center"/>
          </w:tcPr>
          <w:p w14:paraId="33D7532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69CC02C" w14:textId="77777777" w:rsidR="00454A29" w:rsidRDefault="00454A29">
            <w:pPr>
              <w:pStyle w:val="ConsPlusNormal"/>
              <w:jc w:val="center"/>
            </w:pPr>
            <w:r>
              <w:t>711 013,99</w:t>
            </w:r>
          </w:p>
        </w:tc>
        <w:tc>
          <w:tcPr>
            <w:tcW w:w="1814" w:type="dxa"/>
            <w:vAlign w:val="center"/>
          </w:tcPr>
          <w:p w14:paraId="2685581D" w14:textId="77777777" w:rsidR="00454A29" w:rsidRDefault="00454A29">
            <w:pPr>
              <w:pStyle w:val="ConsPlusNormal"/>
              <w:jc w:val="center"/>
            </w:pPr>
            <w:r>
              <w:t>8 759,69</w:t>
            </w:r>
          </w:p>
        </w:tc>
        <w:tc>
          <w:tcPr>
            <w:tcW w:w="1701" w:type="dxa"/>
            <w:vAlign w:val="center"/>
          </w:tcPr>
          <w:p w14:paraId="64921B3D" w14:textId="77777777" w:rsidR="00454A29" w:rsidRDefault="00454A29">
            <w:pPr>
              <w:pStyle w:val="ConsPlusNormal"/>
              <w:jc w:val="center"/>
            </w:pPr>
            <w:r>
              <w:t>867 209,54</w:t>
            </w:r>
          </w:p>
        </w:tc>
        <w:tc>
          <w:tcPr>
            <w:tcW w:w="1701" w:type="dxa"/>
            <w:vAlign w:val="center"/>
          </w:tcPr>
          <w:p w14:paraId="542BD0AB" w14:textId="77777777" w:rsidR="00454A29" w:rsidRDefault="00454A29">
            <w:pPr>
              <w:pStyle w:val="ConsPlusNormal"/>
              <w:jc w:val="center"/>
            </w:pPr>
            <w:r>
              <w:t>-</w:t>
            </w:r>
          </w:p>
        </w:tc>
        <w:tc>
          <w:tcPr>
            <w:tcW w:w="1814" w:type="dxa"/>
            <w:vAlign w:val="center"/>
          </w:tcPr>
          <w:p w14:paraId="2FF12456" w14:textId="77777777" w:rsidR="00454A29" w:rsidRDefault="00454A29">
            <w:pPr>
              <w:pStyle w:val="ConsPlusNormal"/>
              <w:jc w:val="center"/>
            </w:pPr>
            <w:r>
              <w:t>-</w:t>
            </w:r>
          </w:p>
        </w:tc>
      </w:tr>
      <w:tr w:rsidR="00454A29" w14:paraId="136C23F1" w14:textId="77777777">
        <w:tc>
          <w:tcPr>
            <w:tcW w:w="567" w:type="dxa"/>
            <w:vMerge/>
          </w:tcPr>
          <w:p w14:paraId="4BCB9689" w14:textId="77777777" w:rsidR="00454A29" w:rsidRDefault="00454A29"/>
        </w:tc>
        <w:tc>
          <w:tcPr>
            <w:tcW w:w="3345" w:type="dxa"/>
            <w:vMerge/>
          </w:tcPr>
          <w:p w14:paraId="5C5AE4C7" w14:textId="77777777" w:rsidR="00454A29" w:rsidRDefault="00454A29"/>
        </w:tc>
        <w:tc>
          <w:tcPr>
            <w:tcW w:w="1701" w:type="dxa"/>
            <w:vAlign w:val="center"/>
          </w:tcPr>
          <w:p w14:paraId="26078C6C" w14:textId="77777777" w:rsidR="00454A29" w:rsidRDefault="00454A29">
            <w:pPr>
              <w:pStyle w:val="ConsPlusNormal"/>
              <w:jc w:val="center"/>
            </w:pPr>
            <w:r>
              <w:t>2020</w:t>
            </w:r>
          </w:p>
        </w:tc>
        <w:tc>
          <w:tcPr>
            <w:tcW w:w="1417" w:type="dxa"/>
            <w:vMerge/>
          </w:tcPr>
          <w:p w14:paraId="0AA2D4D1" w14:textId="77777777" w:rsidR="00454A29" w:rsidRDefault="00454A29"/>
        </w:tc>
        <w:tc>
          <w:tcPr>
            <w:tcW w:w="2204" w:type="dxa"/>
            <w:vMerge/>
          </w:tcPr>
          <w:p w14:paraId="23CB17A4" w14:textId="77777777" w:rsidR="00454A29" w:rsidRDefault="00454A29"/>
        </w:tc>
        <w:tc>
          <w:tcPr>
            <w:tcW w:w="1417" w:type="dxa"/>
            <w:vMerge/>
          </w:tcPr>
          <w:p w14:paraId="4156AD85" w14:textId="77777777" w:rsidR="00454A29" w:rsidRDefault="00454A29"/>
        </w:tc>
        <w:tc>
          <w:tcPr>
            <w:tcW w:w="2324" w:type="dxa"/>
            <w:vMerge/>
          </w:tcPr>
          <w:p w14:paraId="354B90F9" w14:textId="77777777" w:rsidR="00454A29" w:rsidRDefault="00454A29"/>
        </w:tc>
        <w:tc>
          <w:tcPr>
            <w:tcW w:w="1701" w:type="dxa"/>
            <w:vAlign w:val="center"/>
          </w:tcPr>
          <w:p w14:paraId="2F056924" w14:textId="77777777" w:rsidR="00454A29" w:rsidRDefault="00454A29">
            <w:pPr>
              <w:pStyle w:val="ConsPlusNormal"/>
            </w:pPr>
          </w:p>
        </w:tc>
        <w:tc>
          <w:tcPr>
            <w:tcW w:w="1814" w:type="dxa"/>
            <w:vAlign w:val="center"/>
          </w:tcPr>
          <w:p w14:paraId="7D9F44E5" w14:textId="77777777" w:rsidR="00454A29" w:rsidRDefault="00454A29">
            <w:pPr>
              <w:pStyle w:val="ConsPlusNormal"/>
            </w:pPr>
          </w:p>
        </w:tc>
        <w:tc>
          <w:tcPr>
            <w:tcW w:w="1701" w:type="dxa"/>
            <w:vAlign w:val="center"/>
          </w:tcPr>
          <w:p w14:paraId="6222F595" w14:textId="77777777" w:rsidR="00454A29" w:rsidRDefault="00454A29">
            <w:pPr>
              <w:pStyle w:val="ConsPlusNormal"/>
            </w:pPr>
          </w:p>
        </w:tc>
        <w:tc>
          <w:tcPr>
            <w:tcW w:w="1701" w:type="dxa"/>
            <w:vAlign w:val="center"/>
          </w:tcPr>
          <w:p w14:paraId="723440A6" w14:textId="77777777" w:rsidR="00454A29" w:rsidRDefault="00454A29">
            <w:pPr>
              <w:pStyle w:val="ConsPlusNormal"/>
            </w:pPr>
          </w:p>
        </w:tc>
        <w:tc>
          <w:tcPr>
            <w:tcW w:w="1814" w:type="dxa"/>
            <w:vAlign w:val="center"/>
          </w:tcPr>
          <w:p w14:paraId="59A1133E" w14:textId="77777777" w:rsidR="00454A29" w:rsidRDefault="00454A29">
            <w:pPr>
              <w:pStyle w:val="ConsPlusNormal"/>
            </w:pPr>
          </w:p>
        </w:tc>
      </w:tr>
      <w:tr w:rsidR="00454A29" w14:paraId="5B9E46C1" w14:textId="77777777">
        <w:tc>
          <w:tcPr>
            <w:tcW w:w="567" w:type="dxa"/>
            <w:vMerge/>
          </w:tcPr>
          <w:p w14:paraId="36AB960A" w14:textId="77777777" w:rsidR="00454A29" w:rsidRDefault="00454A29"/>
        </w:tc>
        <w:tc>
          <w:tcPr>
            <w:tcW w:w="3345" w:type="dxa"/>
            <w:vMerge/>
          </w:tcPr>
          <w:p w14:paraId="6FA7CE07" w14:textId="77777777" w:rsidR="00454A29" w:rsidRDefault="00454A29"/>
        </w:tc>
        <w:tc>
          <w:tcPr>
            <w:tcW w:w="1701" w:type="dxa"/>
            <w:vAlign w:val="center"/>
          </w:tcPr>
          <w:p w14:paraId="1397DEED" w14:textId="77777777" w:rsidR="00454A29" w:rsidRDefault="00454A29">
            <w:pPr>
              <w:pStyle w:val="ConsPlusNormal"/>
              <w:jc w:val="center"/>
            </w:pPr>
            <w:r>
              <w:t>2021</w:t>
            </w:r>
          </w:p>
        </w:tc>
        <w:tc>
          <w:tcPr>
            <w:tcW w:w="1417" w:type="dxa"/>
            <w:vMerge/>
          </w:tcPr>
          <w:p w14:paraId="444FF1A7" w14:textId="77777777" w:rsidR="00454A29" w:rsidRDefault="00454A29"/>
        </w:tc>
        <w:tc>
          <w:tcPr>
            <w:tcW w:w="2204" w:type="dxa"/>
            <w:vMerge/>
          </w:tcPr>
          <w:p w14:paraId="49F67F6A" w14:textId="77777777" w:rsidR="00454A29" w:rsidRDefault="00454A29"/>
        </w:tc>
        <w:tc>
          <w:tcPr>
            <w:tcW w:w="1417" w:type="dxa"/>
            <w:vMerge/>
          </w:tcPr>
          <w:p w14:paraId="1082E6FE" w14:textId="77777777" w:rsidR="00454A29" w:rsidRDefault="00454A29"/>
        </w:tc>
        <w:tc>
          <w:tcPr>
            <w:tcW w:w="2324" w:type="dxa"/>
            <w:vMerge/>
          </w:tcPr>
          <w:p w14:paraId="08E45DD1" w14:textId="77777777" w:rsidR="00454A29" w:rsidRDefault="00454A29"/>
        </w:tc>
        <w:tc>
          <w:tcPr>
            <w:tcW w:w="1701" w:type="dxa"/>
            <w:vAlign w:val="center"/>
          </w:tcPr>
          <w:p w14:paraId="3BEFCF9A" w14:textId="77777777" w:rsidR="00454A29" w:rsidRDefault="00454A29">
            <w:pPr>
              <w:pStyle w:val="ConsPlusNormal"/>
              <w:jc w:val="center"/>
            </w:pPr>
            <w:r>
              <w:t>-</w:t>
            </w:r>
          </w:p>
        </w:tc>
        <w:tc>
          <w:tcPr>
            <w:tcW w:w="1814" w:type="dxa"/>
            <w:vAlign w:val="center"/>
          </w:tcPr>
          <w:p w14:paraId="79FC1504" w14:textId="77777777" w:rsidR="00454A29" w:rsidRDefault="00454A29">
            <w:pPr>
              <w:pStyle w:val="ConsPlusNormal"/>
            </w:pPr>
          </w:p>
        </w:tc>
        <w:tc>
          <w:tcPr>
            <w:tcW w:w="1701" w:type="dxa"/>
            <w:vAlign w:val="center"/>
          </w:tcPr>
          <w:p w14:paraId="56BF44FF" w14:textId="77777777" w:rsidR="00454A29" w:rsidRDefault="00454A29">
            <w:pPr>
              <w:pStyle w:val="ConsPlusNormal"/>
            </w:pPr>
          </w:p>
        </w:tc>
        <w:tc>
          <w:tcPr>
            <w:tcW w:w="1701" w:type="dxa"/>
            <w:vAlign w:val="center"/>
          </w:tcPr>
          <w:p w14:paraId="02C6BEEF" w14:textId="77777777" w:rsidR="00454A29" w:rsidRDefault="00454A29">
            <w:pPr>
              <w:pStyle w:val="ConsPlusNormal"/>
            </w:pPr>
          </w:p>
        </w:tc>
        <w:tc>
          <w:tcPr>
            <w:tcW w:w="1814" w:type="dxa"/>
            <w:vAlign w:val="center"/>
          </w:tcPr>
          <w:p w14:paraId="1D979791" w14:textId="77777777" w:rsidR="00454A29" w:rsidRDefault="00454A29">
            <w:pPr>
              <w:pStyle w:val="ConsPlusNormal"/>
            </w:pPr>
          </w:p>
        </w:tc>
      </w:tr>
      <w:tr w:rsidR="00454A29" w14:paraId="3D5A61FE" w14:textId="77777777">
        <w:tc>
          <w:tcPr>
            <w:tcW w:w="567" w:type="dxa"/>
            <w:vMerge/>
          </w:tcPr>
          <w:p w14:paraId="620D49FB" w14:textId="77777777" w:rsidR="00454A29" w:rsidRDefault="00454A29"/>
        </w:tc>
        <w:tc>
          <w:tcPr>
            <w:tcW w:w="3345" w:type="dxa"/>
            <w:vMerge/>
          </w:tcPr>
          <w:p w14:paraId="32DC034B" w14:textId="77777777" w:rsidR="00454A29" w:rsidRDefault="00454A29"/>
        </w:tc>
        <w:tc>
          <w:tcPr>
            <w:tcW w:w="1701" w:type="dxa"/>
            <w:vAlign w:val="center"/>
          </w:tcPr>
          <w:p w14:paraId="3D77174F" w14:textId="77777777" w:rsidR="00454A29" w:rsidRDefault="00454A29">
            <w:pPr>
              <w:pStyle w:val="ConsPlusNormal"/>
              <w:jc w:val="center"/>
            </w:pPr>
            <w:r>
              <w:t>2022</w:t>
            </w:r>
          </w:p>
        </w:tc>
        <w:tc>
          <w:tcPr>
            <w:tcW w:w="1417" w:type="dxa"/>
            <w:vMerge/>
          </w:tcPr>
          <w:p w14:paraId="1CC5FAFB" w14:textId="77777777" w:rsidR="00454A29" w:rsidRDefault="00454A29"/>
        </w:tc>
        <w:tc>
          <w:tcPr>
            <w:tcW w:w="2204" w:type="dxa"/>
            <w:vMerge/>
          </w:tcPr>
          <w:p w14:paraId="723A3B62" w14:textId="77777777" w:rsidR="00454A29" w:rsidRDefault="00454A29"/>
        </w:tc>
        <w:tc>
          <w:tcPr>
            <w:tcW w:w="1417" w:type="dxa"/>
            <w:vMerge/>
          </w:tcPr>
          <w:p w14:paraId="3F051464" w14:textId="77777777" w:rsidR="00454A29" w:rsidRDefault="00454A29"/>
        </w:tc>
        <w:tc>
          <w:tcPr>
            <w:tcW w:w="2324" w:type="dxa"/>
            <w:vMerge/>
          </w:tcPr>
          <w:p w14:paraId="40EC087C" w14:textId="77777777" w:rsidR="00454A29" w:rsidRDefault="00454A29"/>
        </w:tc>
        <w:tc>
          <w:tcPr>
            <w:tcW w:w="1701" w:type="dxa"/>
            <w:vAlign w:val="center"/>
          </w:tcPr>
          <w:p w14:paraId="3A0E53D1" w14:textId="77777777" w:rsidR="00454A29" w:rsidRDefault="00454A29">
            <w:pPr>
              <w:pStyle w:val="ConsPlusNormal"/>
            </w:pPr>
          </w:p>
        </w:tc>
        <w:tc>
          <w:tcPr>
            <w:tcW w:w="1814" w:type="dxa"/>
            <w:vAlign w:val="center"/>
          </w:tcPr>
          <w:p w14:paraId="52B23970" w14:textId="77777777" w:rsidR="00454A29" w:rsidRDefault="00454A29">
            <w:pPr>
              <w:pStyle w:val="ConsPlusNormal"/>
            </w:pPr>
          </w:p>
        </w:tc>
        <w:tc>
          <w:tcPr>
            <w:tcW w:w="1701" w:type="dxa"/>
            <w:vAlign w:val="center"/>
          </w:tcPr>
          <w:p w14:paraId="1A526697" w14:textId="77777777" w:rsidR="00454A29" w:rsidRDefault="00454A29">
            <w:pPr>
              <w:pStyle w:val="ConsPlusNormal"/>
            </w:pPr>
          </w:p>
        </w:tc>
        <w:tc>
          <w:tcPr>
            <w:tcW w:w="1701" w:type="dxa"/>
            <w:vAlign w:val="center"/>
          </w:tcPr>
          <w:p w14:paraId="66366DB8" w14:textId="77777777" w:rsidR="00454A29" w:rsidRDefault="00454A29">
            <w:pPr>
              <w:pStyle w:val="ConsPlusNormal"/>
            </w:pPr>
          </w:p>
        </w:tc>
        <w:tc>
          <w:tcPr>
            <w:tcW w:w="1814" w:type="dxa"/>
            <w:vAlign w:val="center"/>
          </w:tcPr>
          <w:p w14:paraId="511C14E4" w14:textId="77777777" w:rsidR="00454A29" w:rsidRDefault="00454A29">
            <w:pPr>
              <w:pStyle w:val="ConsPlusNormal"/>
            </w:pPr>
          </w:p>
        </w:tc>
      </w:tr>
      <w:tr w:rsidR="00454A29" w14:paraId="71065DA9" w14:textId="77777777">
        <w:tc>
          <w:tcPr>
            <w:tcW w:w="567" w:type="dxa"/>
            <w:vMerge/>
          </w:tcPr>
          <w:p w14:paraId="4F6E2E15" w14:textId="77777777" w:rsidR="00454A29" w:rsidRDefault="00454A29"/>
        </w:tc>
        <w:tc>
          <w:tcPr>
            <w:tcW w:w="3345" w:type="dxa"/>
            <w:vMerge/>
          </w:tcPr>
          <w:p w14:paraId="50EAA92E" w14:textId="77777777" w:rsidR="00454A29" w:rsidRDefault="00454A29"/>
        </w:tc>
        <w:tc>
          <w:tcPr>
            <w:tcW w:w="1701" w:type="dxa"/>
            <w:vAlign w:val="center"/>
          </w:tcPr>
          <w:p w14:paraId="55692379" w14:textId="77777777" w:rsidR="00454A29" w:rsidRDefault="00454A29">
            <w:pPr>
              <w:pStyle w:val="ConsPlusNormal"/>
              <w:jc w:val="center"/>
            </w:pPr>
            <w:r>
              <w:t>2023</w:t>
            </w:r>
          </w:p>
        </w:tc>
        <w:tc>
          <w:tcPr>
            <w:tcW w:w="1417" w:type="dxa"/>
            <w:vMerge/>
          </w:tcPr>
          <w:p w14:paraId="3D82CA06" w14:textId="77777777" w:rsidR="00454A29" w:rsidRDefault="00454A29"/>
        </w:tc>
        <w:tc>
          <w:tcPr>
            <w:tcW w:w="2204" w:type="dxa"/>
            <w:vMerge/>
          </w:tcPr>
          <w:p w14:paraId="5D8D25B0" w14:textId="77777777" w:rsidR="00454A29" w:rsidRDefault="00454A29"/>
        </w:tc>
        <w:tc>
          <w:tcPr>
            <w:tcW w:w="1417" w:type="dxa"/>
            <w:vMerge/>
          </w:tcPr>
          <w:p w14:paraId="0AEBC528" w14:textId="77777777" w:rsidR="00454A29" w:rsidRDefault="00454A29"/>
        </w:tc>
        <w:tc>
          <w:tcPr>
            <w:tcW w:w="2324" w:type="dxa"/>
            <w:vMerge/>
          </w:tcPr>
          <w:p w14:paraId="11F73872" w14:textId="77777777" w:rsidR="00454A29" w:rsidRDefault="00454A29"/>
        </w:tc>
        <w:tc>
          <w:tcPr>
            <w:tcW w:w="1701" w:type="dxa"/>
            <w:vAlign w:val="center"/>
          </w:tcPr>
          <w:p w14:paraId="543D27A2" w14:textId="77777777" w:rsidR="00454A29" w:rsidRDefault="00454A29">
            <w:pPr>
              <w:pStyle w:val="ConsPlusNormal"/>
              <w:jc w:val="center"/>
            </w:pPr>
            <w:r>
              <w:t>-</w:t>
            </w:r>
          </w:p>
        </w:tc>
        <w:tc>
          <w:tcPr>
            <w:tcW w:w="1814" w:type="dxa"/>
            <w:vAlign w:val="center"/>
          </w:tcPr>
          <w:p w14:paraId="492650DC" w14:textId="77777777" w:rsidR="00454A29" w:rsidRDefault="00454A29">
            <w:pPr>
              <w:pStyle w:val="ConsPlusNormal"/>
            </w:pPr>
          </w:p>
        </w:tc>
        <w:tc>
          <w:tcPr>
            <w:tcW w:w="1701" w:type="dxa"/>
            <w:vAlign w:val="center"/>
          </w:tcPr>
          <w:p w14:paraId="5DF8EE0C" w14:textId="77777777" w:rsidR="00454A29" w:rsidRDefault="00454A29">
            <w:pPr>
              <w:pStyle w:val="ConsPlusNormal"/>
            </w:pPr>
          </w:p>
        </w:tc>
        <w:tc>
          <w:tcPr>
            <w:tcW w:w="1701" w:type="dxa"/>
            <w:vAlign w:val="center"/>
          </w:tcPr>
          <w:p w14:paraId="31D1324E" w14:textId="77777777" w:rsidR="00454A29" w:rsidRDefault="00454A29">
            <w:pPr>
              <w:pStyle w:val="ConsPlusNormal"/>
            </w:pPr>
          </w:p>
        </w:tc>
        <w:tc>
          <w:tcPr>
            <w:tcW w:w="1814" w:type="dxa"/>
            <w:vAlign w:val="center"/>
          </w:tcPr>
          <w:p w14:paraId="41839C0C" w14:textId="77777777" w:rsidR="00454A29" w:rsidRDefault="00454A29">
            <w:pPr>
              <w:pStyle w:val="ConsPlusNormal"/>
            </w:pPr>
          </w:p>
        </w:tc>
      </w:tr>
      <w:tr w:rsidR="00454A29" w14:paraId="47ECEBB4" w14:textId="77777777">
        <w:tc>
          <w:tcPr>
            <w:tcW w:w="567" w:type="dxa"/>
            <w:vMerge/>
          </w:tcPr>
          <w:p w14:paraId="1C440C6A" w14:textId="77777777" w:rsidR="00454A29" w:rsidRDefault="00454A29"/>
        </w:tc>
        <w:tc>
          <w:tcPr>
            <w:tcW w:w="3345" w:type="dxa"/>
            <w:vMerge/>
          </w:tcPr>
          <w:p w14:paraId="799D0743" w14:textId="77777777" w:rsidR="00454A29" w:rsidRDefault="00454A29"/>
        </w:tc>
        <w:tc>
          <w:tcPr>
            <w:tcW w:w="1701" w:type="dxa"/>
            <w:vAlign w:val="center"/>
          </w:tcPr>
          <w:p w14:paraId="182C7D7E" w14:textId="77777777" w:rsidR="00454A29" w:rsidRDefault="00454A29">
            <w:pPr>
              <w:pStyle w:val="ConsPlusNormal"/>
              <w:jc w:val="center"/>
            </w:pPr>
            <w:r>
              <w:t>2024</w:t>
            </w:r>
          </w:p>
        </w:tc>
        <w:tc>
          <w:tcPr>
            <w:tcW w:w="1417" w:type="dxa"/>
            <w:vMerge/>
          </w:tcPr>
          <w:p w14:paraId="7DD710D4" w14:textId="77777777" w:rsidR="00454A29" w:rsidRDefault="00454A29"/>
        </w:tc>
        <w:tc>
          <w:tcPr>
            <w:tcW w:w="2204" w:type="dxa"/>
            <w:vMerge/>
          </w:tcPr>
          <w:p w14:paraId="3EAD8ED9" w14:textId="77777777" w:rsidR="00454A29" w:rsidRDefault="00454A29"/>
        </w:tc>
        <w:tc>
          <w:tcPr>
            <w:tcW w:w="1417" w:type="dxa"/>
            <w:vMerge/>
          </w:tcPr>
          <w:p w14:paraId="234E0229" w14:textId="77777777" w:rsidR="00454A29" w:rsidRDefault="00454A29"/>
        </w:tc>
        <w:tc>
          <w:tcPr>
            <w:tcW w:w="2324" w:type="dxa"/>
            <w:vMerge/>
          </w:tcPr>
          <w:p w14:paraId="02B5A4E2" w14:textId="77777777" w:rsidR="00454A29" w:rsidRDefault="00454A29"/>
        </w:tc>
        <w:tc>
          <w:tcPr>
            <w:tcW w:w="1701" w:type="dxa"/>
            <w:vAlign w:val="center"/>
          </w:tcPr>
          <w:p w14:paraId="0D83183E" w14:textId="77777777" w:rsidR="00454A29" w:rsidRDefault="00454A29">
            <w:pPr>
              <w:pStyle w:val="ConsPlusNormal"/>
            </w:pPr>
          </w:p>
        </w:tc>
        <w:tc>
          <w:tcPr>
            <w:tcW w:w="1814" w:type="dxa"/>
            <w:vAlign w:val="center"/>
          </w:tcPr>
          <w:p w14:paraId="7945C775" w14:textId="77777777" w:rsidR="00454A29" w:rsidRDefault="00454A29">
            <w:pPr>
              <w:pStyle w:val="ConsPlusNormal"/>
            </w:pPr>
          </w:p>
        </w:tc>
        <w:tc>
          <w:tcPr>
            <w:tcW w:w="1701" w:type="dxa"/>
            <w:vAlign w:val="center"/>
          </w:tcPr>
          <w:p w14:paraId="0501C88C" w14:textId="77777777" w:rsidR="00454A29" w:rsidRDefault="00454A29">
            <w:pPr>
              <w:pStyle w:val="ConsPlusNormal"/>
            </w:pPr>
          </w:p>
        </w:tc>
        <w:tc>
          <w:tcPr>
            <w:tcW w:w="1701" w:type="dxa"/>
            <w:vAlign w:val="center"/>
          </w:tcPr>
          <w:p w14:paraId="30774BD9" w14:textId="77777777" w:rsidR="00454A29" w:rsidRDefault="00454A29">
            <w:pPr>
              <w:pStyle w:val="ConsPlusNormal"/>
            </w:pPr>
          </w:p>
        </w:tc>
        <w:tc>
          <w:tcPr>
            <w:tcW w:w="1814" w:type="dxa"/>
            <w:vAlign w:val="center"/>
          </w:tcPr>
          <w:p w14:paraId="6BA58504" w14:textId="77777777" w:rsidR="00454A29" w:rsidRDefault="00454A29">
            <w:pPr>
              <w:pStyle w:val="ConsPlusNormal"/>
            </w:pPr>
          </w:p>
        </w:tc>
      </w:tr>
      <w:tr w:rsidR="00454A29" w14:paraId="39412B91" w14:textId="77777777">
        <w:tc>
          <w:tcPr>
            <w:tcW w:w="567" w:type="dxa"/>
            <w:vMerge/>
          </w:tcPr>
          <w:p w14:paraId="671B3EF7" w14:textId="77777777" w:rsidR="00454A29" w:rsidRDefault="00454A29"/>
        </w:tc>
        <w:tc>
          <w:tcPr>
            <w:tcW w:w="3345" w:type="dxa"/>
            <w:vMerge/>
          </w:tcPr>
          <w:p w14:paraId="1B4B7D1F" w14:textId="77777777" w:rsidR="00454A29" w:rsidRDefault="00454A29"/>
        </w:tc>
        <w:tc>
          <w:tcPr>
            <w:tcW w:w="1701" w:type="dxa"/>
            <w:vAlign w:val="center"/>
          </w:tcPr>
          <w:p w14:paraId="3A0BDD9D" w14:textId="77777777" w:rsidR="00454A29" w:rsidRDefault="00454A29">
            <w:pPr>
              <w:pStyle w:val="ConsPlusNormal"/>
              <w:jc w:val="center"/>
            </w:pPr>
            <w:r>
              <w:t>2025</w:t>
            </w:r>
          </w:p>
        </w:tc>
        <w:tc>
          <w:tcPr>
            <w:tcW w:w="1417" w:type="dxa"/>
            <w:vMerge/>
          </w:tcPr>
          <w:p w14:paraId="74419138" w14:textId="77777777" w:rsidR="00454A29" w:rsidRDefault="00454A29"/>
        </w:tc>
        <w:tc>
          <w:tcPr>
            <w:tcW w:w="2204" w:type="dxa"/>
            <w:vMerge/>
          </w:tcPr>
          <w:p w14:paraId="126D1299" w14:textId="77777777" w:rsidR="00454A29" w:rsidRDefault="00454A29"/>
        </w:tc>
        <w:tc>
          <w:tcPr>
            <w:tcW w:w="1417" w:type="dxa"/>
            <w:vMerge/>
          </w:tcPr>
          <w:p w14:paraId="7D6F37CB" w14:textId="77777777" w:rsidR="00454A29" w:rsidRDefault="00454A29"/>
        </w:tc>
        <w:tc>
          <w:tcPr>
            <w:tcW w:w="2324" w:type="dxa"/>
            <w:vMerge/>
          </w:tcPr>
          <w:p w14:paraId="2EBC5A23" w14:textId="77777777" w:rsidR="00454A29" w:rsidRDefault="00454A29"/>
        </w:tc>
        <w:tc>
          <w:tcPr>
            <w:tcW w:w="1701" w:type="dxa"/>
            <w:vAlign w:val="center"/>
          </w:tcPr>
          <w:p w14:paraId="0ADAC011" w14:textId="77777777" w:rsidR="00454A29" w:rsidRDefault="00454A29">
            <w:pPr>
              <w:pStyle w:val="ConsPlusNormal"/>
            </w:pPr>
          </w:p>
        </w:tc>
        <w:tc>
          <w:tcPr>
            <w:tcW w:w="1814" w:type="dxa"/>
            <w:vAlign w:val="center"/>
          </w:tcPr>
          <w:p w14:paraId="05070D5E" w14:textId="77777777" w:rsidR="00454A29" w:rsidRDefault="00454A29">
            <w:pPr>
              <w:pStyle w:val="ConsPlusNormal"/>
            </w:pPr>
          </w:p>
        </w:tc>
        <w:tc>
          <w:tcPr>
            <w:tcW w:w="1701" w:type="dxa"/>
            <w:vAlign w:val="center"/>
          </w:tcPr>
          <w:p w14:paraId="7A9883AC" w14:textId="77777777" w:rsidR="00454A29" w:rsidRDefault="00454A29">
            <w:pPr>
              <w:pStyle w:val="ConsPlusNormal"/>
            </w:pPr>
          </w:p>
        </w:tc>
        <w:tc>
          <w:tcPr>
            <w:tcW w:w="1701" w:type="dxa"/>
            <w:vAlign w:val="center"/>
          </w:tcPr>
          <w:p w14:paraId="480043FC" w14:textId="77777777" w:rsidR="00454A29" w:rsidRDefault="00454A29">
            <w:pPr>
              <w:pStyle w:val="ConsPlusNormal"/>
            </w:pPr>
          </w:p>
        </w:tc>
        <w:tc>
          <w:tcPr>
            <w:tcW w:w="1814" w:type="dxa"/>
            <w:vAlign w:val="center"/>
          </w:tcPr>
          <w:p w14:paraId="4D3D06F8" w14:textId="77777777" w:rsidR="00454A29" w:rsidRDefault="00454A29">
            <w:pPr>
              <w:pStyle w:val="ConsPlusNormal"/>
            </w:pPr>
          </w:p>
        </w:tc>
      </w:tr>
      <w:tr w:rsidR="00454A29" w14:paraId="2E78EEB2" w14:textId="77777777">
        <w:tc>
          <w:tcPr>
            <w:tcW w:w="567" w:type="dxa"/>
            <w:vMerge/>
          </w:tcPr>
          <w:p w14:paraId="14311A7E" w14:textId="77777777" w:rsidR="00454A29" w:rsidRDefault="00454A29"/>
        </w:tc>
        <w:tc>
          <w:tcPr>
            <w:tcW w:w="3345" w:type="dxa"/>
            <w:vMerge/>
          </w:tcPr>
          <w:p w14:paraId="3AD20BD2" w14:textId="77777777" w:rsidR="00454A29" w:rsidRDefault="00454A29"/>
        </w:tc>
        <w:tc>
          <w:tcPr>
            <w:tcW w:w="1701" w:type="dxa"/>
            <w:vAlign w:val="center"/>
          </w:tcPr>
          <w:p w14:paraId="271C4C09" w14:textId="77777777" w:rsidR="00454A29" w:rsidRDefault="00454A29">
            <w:pPr>
              <w:pStyle w:val="ConsPlusNormal"/>
              <w:jc w:val="center"/>
            </w:pPr>
            <w:r>
              <w:t>2026</w:t>
            </w:r>
          </w:p>
        </w:tc>
        <w:tc>
          <w:tcPr>
            <w:tcW w:w="1417" w:type="dxa"/>
            <w:vMerge/>
          </w:tcPr>
          <w:p w14:paraId="039DB975" w14:textId="77777777" w:rsidR="00454A29" w:rsidRDefault="00454A29"/>
        </w:tc>
        <w:tc>
          <w:tcPr>
            <w:tcW w:w="2204" w:type="dxa"/>
            <w:vMerge/>
          </w:tcPr>
          <w:p w14:paraId="54E07C38" w14:textId="77777777" w:rsidR="00454A29" w:rsidRDefault="00454A29"/>
        </w:tc>
        <w:tc>
          <w:tcPr>
            <w:tcW w:w="1417" w:type="dxa"/>
            <w:vMerge/>
          </w:tcPr>
          <w:p w14:paraId="430A4B75" w14:textId="77777777" w:rsidR="00454A29" w:rsidRDefault="00454A29"/>
        </w:tc>
        <w:tc>
          <w:tcPr>
            <w:tcW w:w="2324" w:type="dxa"/>
            <w:vMerge/>
          </w:tcPr>
          <w:p w14:paraId="7CFD9C8B" w14:textId="77777777" w:rsidR="00454A29" w:rsidRDefault="00454A29"/>
        </w:tc>
        <w:tc>
          <w:tcPr>
            <w:tcW w:w="1701" w:type="dxa"/>
            <w:vAlign w:val="center"/>
          </w:tcPr>
          <w:p w14:paraId="286B86EB" w14:textId="77777777" w:rsidR="00454A29" w:rsidRDefault="00454A29">
            <w:pPr>
              <w:pStyle w:val="ConsPlusNormal"/>
              <w:jc w:val="center"/>
            </w:pPr>
            <w:r>
              <w:t>711 013,99</w:t>
            </w:r>
          </w:p>
        </w:tc>
        <w:tc>
          <w:tcPr>
            <w:tcW w:w="1814" w:type="dxa"/>
            <w:vAlign w:val="center"/>
          </w:tcPr>
          <w:p w14:paraId="4023BA1E" w14:textId="77777777" w:rsidR="00454A29" w:rsidRDefault="00454A29">
            <w:pPr>
              <w:pStyle w:val="ConsPlusNormal"/>
              <w:jc w:val="center"/>
            </w:pPr>
            <w:r>
              <w:t>8 759,69</w:t>
            </w:r>
          </w:p>
        </w:tc>
        <w:tc>
          <w:tcPr>
            <w:tcW w:w="1701" w:type="dxa"/>
            <w:vAlign w:val="center"/>
          </w:tcPr>
          <w:p w14:paraId="35A7D516" w14:textId="77777777" w:rsidR="00454A29" w:rsidRDefault="00454A29">
            <w:pPr>
              <w:pStyle w:val="ConsPlusNormal"/>
              <w:jc w:val="center"/>
            </w:pPr>
            <w:r>
              <w:t>867 209,54</w:t>
            </w:r>
          </w:p>
        </w:tc>
        <w:tc>
          <w:tcPr>
            <w:tcW w:w="1701" w:type="dxa"/>
            <w:vAlign w:val="center"/>
          </w:tcPr>
          <w:p w14:paraId="02A66BB6" w14:textId="77777777" w:rsidR="00454A29" w:rsidRDefault="00454A29">
            <w:pPr>
              <w:pStyle w:val="ConsPlusNormal"/>
            </w:pPr>
          </w:p>
        </w:tc>
        <w:tc>
          <w:tcPr>
            <w:tcW w:w="1814" w:type="dxa"/>
            <w:vAlign w:val="center"/>
          </w:tcPr>
          <w:p w14:paraId="457ED9DE" w14:textId="77777777" w:rsidR="00454A29" w:rsidRDefault="00454A29">
            <w:pPr>
              <w:pStyle w:val="ConsPlusNormal"/>
            </w:pPr>
          </w:p>
        </w:tc>
      </w:tr>
      <w:tr w:rsidR="00454A29" w14:paraId="1E415BCE" w14:textId="77777777">
        <w:tc>
          <w:tcPr>
            <w:tcW w:w="567" w:type="dxa"/>
            <w:vMerge w:val="restart"/>
            <w:vAlign w:val="center"/>
          </w:tcPr>
          <w:p w14:paraId="7069F35C" w14:textId="77777777" w:rsidR="00454A29" w:rsidRDefault="00454A29">
            <w:pPr>
              <w:pStyle w:val="ConsPlusNormal"/>
              <w:jc w:val="center"/>
            </w:pPr>
            <w:r>
              <w:t>77</w:t>
            </w:r>
          </w:p>
        </w:tc>
        <w:tc>
          <w:tcPr>
            <w:tcW w:w="3345" w:type="dxa"/>
            <w:vMerge w:val="restart"/>
            <w:vAlign w:val="center"/>
          </w:tcPr>
          <w:p w14:paraId="2BAA0250" w14:textId="77777777" w:rsidR="00454A29" w:rsidRDefault="00454A29">
            <w:pPr>
              <w:pStyle w:val="ConsPlusNormal"/>
              <w:jc w:val="center"/>
            </w:pPr>
            <w:r>
              <w:t>Школа на 50 мест в с. Сюльдюкар</w:t>
            </w:r>
          </w:p>
        </w:tc>
        <w:tc>
          <w:tcPr>
            <w:tcW w:w="1701" w:type="dxa"/>
            <w:vAlign w:val="center"/>
          </w:tcPr>
          <w:p w14:paraId="34279480" w14:textId="77777777" w:rsidR="00454A29" w:rsidRDefault="00454A29">
            <w:pPr>
              <w:pStyle w:val="ConsPlusNormal"/>
              <w:jc w:val="center"/>
            </w:pPr>
            <w:r>
              <w:t>2020 - 2026 годы - всего</w:t>
            </w:r>
          </w:p>
        </w:tc>
        <w:tc>
          <w:tcPr>
            <w:tcW w:w="1417" w:type="dxa"/>
            <w:vMerge w:val="restart"/>
            <w:vAlign w:val="center"/>
          </w:tcPr>
          <w:p w14:paraId="6D78B961" w14:textId="77777777" w:rsidR="00454A29" w:rsidRDefault="00454A29">
            <w:pPr>
              <w:pStyle w:val="ConsPlusNormal"/>
              <w:jc w:val="center"/>
            </w:pPr>
            <w:r>
              <w:t>183 912,26</w:t>
            </w:r>
          </w:p>
        </w:tc>
        <w:tc>
          <w:tcPr>
            <w:tcW w:w="2204" w:type="dxa"/>
            <w:vMerge w:val="restart"/>
            <w:vAlign w:val="center"/>
          </w:tcPr>
          <w:p w14:paraId="4B6CB7FF" w14:textId="77777777" w:rsidR="00454A29" w:rsidRDefault="00454A29">
            <w:pPr>
              <w:pStyle w:val="ConsPlusNormal"/>
            </w:pPr>
          </w:p>
        </w:tc>
        <w:tc>
          <w:tcPr>
            <w:tcW w:w="1417" w:type="dxa"/>
            <w:vMerge w:val="restart"/>
            <w:vAlign w:val="center"/>
          </w:tcPr>
          <w:p w14:paraId="24DB91EC" w14:textId="77777777" w:rsidR="00454A29" w:rsidRDefault="00454A29">
            <w:pPr>
              <w:pStyle w:val="ConsPlusNormal"/>
              <w:jc w:val="center"/>
            </w:pPr>
            <w:r>
              <w:t>50</w:t>
            </w:r>
          </w:p>
        </w:tc>
        <w:tc>
          <w:tcPr>
            <w:tcW w:w="2324" w:type="dxa"/>
            <w:vMerge w:val="restart"/>
            <w:vAlign w:val="center"/>
          </w:tcPr>
          <w:p w14:paraId="1679CDD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9DBB442" w14:textId="77777777" w:rsidR="00454A29" w:rsidRDefault="00454A29">
            <w:pPr>
              <w:pStyle w:val="ConsPlusNormal"/>
              <w:jc w:val="center"/>
            </w:pPr>
            <w:r>
              <w:t>183 912,26</w:t>
            </w:r>
          </w:p>
        </w:tc>
        <w:tc>
          <w:tcPr>
            <w:tcW w:w="1814" w:type="dxa"/>
            <w:vAlign w:val="center"/>
          </w:tcPr>
          <w:p w14:paraId="5C9F366B" w14:textId="77777777" w:rsidR="00454A29" w:rsidRDefault="00454A29">
            <w:pPr>
              <w:pStyle w:val="ConsPlusNormal"/>
              <w:jc w:val="center"/>
            </w:pPr>
            <w:r>
              <w:t>2 326,49</w:t>
            </w:r>
          </w:p>
        </w:tc>
        <w:tc>
          <w:tcPr>
            <w:tcW w:w="1701" w:type="dxa"/>
            <w:vAlign w:val="center"/>
          </w:tcPr>
          <w:p w14:paraId="62F79D08" w14:textId="77777777" w:rsidR="00454A29" w:rsidRDefault="00454A29">
            <w:pPr>
              <w:pStyle w:val="ConsPlusNormal"/>
              <w:jc w:val="center"/>
            </w:pPr>
            <w:r>
              <w:t>230 322,52</w:t>
            </w:r>
          </w:p>
        </w:tc>
        <w:tc>
          <w:tcPr>
            <w:tcW w:w="1701" w:type="dxa"/>
            <w:vAlign w:val="center"/>
          </w:tcPr>
          <w:p w14:paraId="505026E7" w14:textId="77777777" w:rsidR="00454A29" w:rsidRDefault="00454A29">
            <w:pPr>
              <w:pStyle w:val="ConsPlusNormal"/>
              <w:jc w:val="center"/>
            </w:pPr>
            <w:r>
              <w:t>-</w:t>
            </w:r>
          </w:p>
        </w:tc>
        <w:tc>
          <w:tcPr>
            <w:tcW w:w="1814" w:type="dxa"/>
            <w:vAlign w:val="center"/>
          </w:tcPr>
          <w:p w14:paraId="2DF15472" w14:textId="77777777" w:rsidR="00454A29" w:rsidRDefault="00454A29">
            <w:pPr>
              <w:pStyle w:val="ConsPlusNormal"/>
              <w:jc w:val="center"/>
            </w:pPr>
            <w:r>
              <w:t>-</w:t>
            </w:r>
          </w:p>
        </w:tc>
      </w:tr>
      <w:tr w:rsidR="00454A29" w14:paraId="608D3DB5" w14:textId="77777777">
        <w:tc>
          <w:tcPr>
            <w:tcW w:w="567" w:type="dxa"/>
            <w:vMerge/>
          </w:tcPr>
          <w:p w14:paraId="4C6B9EC4" w14:textId="77777777" w:rsidR="00454A29" w:rsidRDefault="00454A29"/>
        </w:tc>
        <w:tc>
          <w:tcPr>
            <w:tcW w:w="3345" w:type="dxa"/>
            <w:vMerge/>
          </w:tcPr>
          <w:p w14:paraId="57B69021" w14:textId="77777777" w:rsidR="00454A29" w:rsidRDefault="00454A29"/>
        </w:tc>
        <w:tc>
          <w:tcPr>
            <w:tcW w:w="1701" w:type="dxa"/>
            <w:vAlign w:val="center"/>
          </w:tcPr>
          <w:p w14:paraId="11C43468" w14:textId="77777777" w:rsidR="00454A29" w:rsidRDefault="00454A29">
            <w:pPr>
              <w:pStyle w:val="ConsPlusNormal"/>
              <w:jc w:val="center"/>
            </w:pPr>
            <w:r>
              <w:t>2020</w:t>
            </w:r>
          </w:p>
        </w:tc>
        <w:tc>
          <w:tcPr>
            <w:tcW w:w="1417" w:type="dxa"/>
            <w:vMerge/>
          </w:tcPr>
          <w:p w14:paraId="2F1B3B45" w14:textId="77777777" w:rsidR="00454A29" w:rsidRDefault="00454A29"/>
        </w:tc>
        <w:tc>
          <w:tcPr>
            <w:tcW w:w="2204" w:type="dxa"/>
            <w:vMerge/>
          </w:tcPr>
          <w:p w14:paraId="42BD9677" w14:textId="77777777" w:rsidR="00454A29" w:rsidRDefault="00454A29"/>
        </w:tc>
        <w:tc>
          <w:tcPr>
            <w:tcW w:w="1417" w:type="dxa"/>
            <w:vMerge/>
          </w:tcPr>
          <w:p w14:paraId="7E42293F" w14:textId="77777777" w:rsidR="00454A29" w:rsidRDefault="00454A29"/>
        </w:tc>
        <w:tc>
          <w:tcPr>
            <w:tcW w:w="2324" w:type="dxa"/>
            <w:vMerge/>
          </w:tcPr>
          <w:p w14:paraId="4B3543CE" w14:textId="77777777" w:rsidR="00454A29" w:rsidRDefault="00454A29"/>
        </w:tc>
        <w:tc>
          <w:tcPr>
            <w:tcW w:w="1701" w:type="dxa"/>
            <w:vAlign w:val="center"/>
          </w:tcPr>
          <w:p w14:paraId="557721A8" w14:textId="77777777" w:rsidR="00454A29" w:rsidRDefault="00454A29">
            <w:pPr>
              <w:pStyle w:val="ConsPlusNormal"/>
            </w:pPr>
          </w:p>
        </w:tc>
        <w:tc>
          <w:tcPr>
            <w:tcW w:w="1814" w:type="dxa"/>
            <w:vAlign w:val="center"/>
          </w:tcPr>
          <w:p w14:paraId="5653127B" w14:textId="77777777" w:rsidR="00454A29" w:rsidRDefault="00454A29">
            <w:pPr>
              <w:pStyle w:val="ConsPlusNormal"/>
            </w:pPr>
          </w:p>
        </w:tc>
        <w:tc>
          <w:tcPr>
            <w:tcW w:w="1701" w:type="dxa"/>
            <w:vAlign w:val="center"/>
          </w:tcPr>
          <w:p w14:paraId="4BF8DA77" w14:textId="77777777" w:rsidR="00454A29" w:rsidRDefault="00454A29">
            <w:pPr>
              <w:pStyle w:val="ConsPlusNormal"/>
            </w:pPr>
          </w:p>
        </w:tc>
        <w:tc>
          <w:tcPr>
            <w:tcW w:w="1701" w:type="dxa"/>
            <w:vAlign w:val="center"/>
          </w:tcPr>
          <w:p w14:paraId="24E1E2A5" w14:textId="77777777" w:rsidR="00454A29" w:rsidRDefault="00454A29">
            <w:pPr>
              <w:pStyle w:val="ConsPlusNormal"/>
            </w:pPr>
          </w:p>
        </w:tc>
        <w:tc>
          <w:tcPr>
            <w:tcW w:w="1814" w:type="dxa"/>
            <w:vAlign w:val="center"/>
          </w:tcPr>
          <w:p w14:paraId="08C09E80" w14:textId="77777777" w:rsidR="00454A29" w:rsidRDefault="00454A29">
            <w:pPr>
              <w:pStyle w:val="ConsPlusNormal"/>
            </w:pPr>
          </w:p>
        </w:tc>
      </w:tr>
      <w:tr w:rsidR="00454A29" w14:paraId="727CD65A" w14:textId="77777777">
        <w:tc>
          <w:tcPr>
            <w:tcW w:w="567" w:type="dxa"/>
            <w:vMerge/>
          </w:tcPr>
          <w:p w14:paraId="25854536" w14:textId="77777777" w:rsidR="00454A29" w:rsidRDefault="00454A29"/>
        </w:tc>
        <w:tc>
          <w:tcPr>
            <w:tcW w:w="3345" w:type="dxa"/>
            <w:vMerge/>
          </w:tcPr>
          <w:p w14:paraId="04BCF725" w14:textId="77777777" w:rsidR="00454A29" w:rsidRDefault="00454A29"/>
        </w:tc>
        <w:tc>
          <w:tcPr>
            <w:tcW w:w="1701" w:type="dxa"/>
            <w:vAlign w:val="center"/>
          </w:tcPr>
          <w:p w14:paraId="606207B4" w14:textId="77777777" w:rsidR="00454A29" w:rsidRDefault="00454A29">
            <w:pPr>
              <w:pStyle w:val="ConsPlusNormal"/>
              <w:jc w:val="center"/>
            </w:pPr>
            <w:r>
              <w:t>2021</w:t>
            </w:r>
          </w:p>
        </w:tc>
        <w:tc>
          <w:tcPr>
            <w:tcW w:w="1417" w:type="dxa"/>
            <w:vMerge/>
          </w:tcPr>
          <w:p w14:paraId="2BCE6640" w14:textId="77777777" w:rsidR="00454A29" w:rsidRDefault="00454A29"/>
        </w:tc>
        <w:tc>
          <w:tcPr>
            <w:tcW w:w="2204" w:type="dxa"/>
            <w:vMerge/>
          </w:tcPr>
          <w:p w14:paraId="28356145" w14:textId="77777777" w:rsidR="00454A29" w:rsidRDefault="00454A29"/>
        </w:tc>
        <w:tc>
          <w:tcPr>
            <w:tcW w:w="1417" w:type="dxa"/>
            <w:vMerge/>
          </w:tcPr>
          <w:p w14:paraId="22E15A80" w14:textId="77777777" w:rsidR="00454A29" w:rsidRDefault="00454A29"/>
        </w:tc>
        <w:tc>
          <w:tcPr>
            <w:tcW w:w="2324" w:type="dxa"/>
            <w:vMerge/>
          </w:tcPr>
          <w:p w14:paraId="3A59B073" w14:textId="77777777" w:rsidR="00454A29" w:rsidRDefault="00454A29"/>
        </w:tc>
        <w:tc>
          <w:tcPr>
            <w:tcW w:w="1701" w:type="dxa"/>
            <w:vAlign w:val="center"/>
          </w:tcPr>
          <w:p w14:paraId="1DD2FE5A" w14:textId="77777777" w:rsidR="00454A29" w:rsidRDefault="00454A29">
            <w:pPr>
              <w:pStyle w:val="ConsPlusNormal"/>
              <w:jc w:val="center"/>
            </w:pPr>
            <w:r>
              <w:t>-</w:t>
            </w:r>
          </w:p>
        </w:tc>
        <w:tc>
          <w:tcPr>
            <w:tcW w:w="1814" w:type="dxa"/>
            <w:vAlign w:val="center"/>
          </w:tcPr>
          <w:p w14:paraId="42747C9D" w14:textId="77777777" w:rsidR="00454A29" w:rsidRDefault="00454A29">
            <w:pPr>
              <w:pStyle w:val="ConsPlusNormal"/>
            </w:pPr>
          </w:p>
        </w:tc>
        <w:tc>
          <w:tcPr>
            <w:tcW w:w="1701" w:type="dxa"/>
            <w:vAlign w:val="center"/>
          </w:tcPr>
          <w:p w14:paraId="09DD7C8A" w14:textId="77777777" w:rsidR="00454A29" w:rsidRDefault="00454A29">
            <w:pPr>
              <w:pStyle w:val="ConsPlusNormal"/>
            </w:pPr>
          </w:p>
        </w:tc>
        <w:tc>
          <w:tcPr>
            <w:tcW w:w="1701" w:type="dxa"/>
            <w:vAlign w:val="center"/>
          </w:tcPr>
          <w:p w14:paraId="10FF6405" w14:textId="77777777" w:rsidR="00454A29" w:rsidRDefault="00454A29">
            <w:pPr>
              <w:pStyle w:val="ConsPlusNormal"/>
            </w:pPr>
          </w:p>
        </w:tc>
        <w:tc>
          <w:tcPr>
            <w:tcW w:w="1814" w:type="dxa"/>
            <w:vAlign w:val="center"/>
          </w:tcPr>
          <w:p w14:paraId="30ACDBE6" w14:textId="77777777" w:rsidR="00454A29" w:rsidRDefault="00454A29">
            <w:pPr>
              <w:pStyle w:val="ConsPlusNormal"/>
            </w:pPr>
          </w:p>
        </w:tc>
      </w:tr>
      <w:tr w:rsidR="00454A29" w14:paraId="61F6418D" w14:textId="77777777">
        <w:tc>
          <w:tcPr>
            <w:tcW w:w="567" w:type="dxa"/>
            <w:vMerge/>
          </w:tcPr>
          <w:p w14:paraId="3A3825B2" w14:textId="77777777" w:rsidR="00454A29" w:rsidRDefault="00454A29"/>
        </w:tc>
        <w:tc>
          <w:tcPr>
            <w:tcW w:w="3345" w:type="dxa"/>
            <w:vMerge/>
          </w:tcPr>
          <w:p w14:paraId="170ADFD4" w14:textId="77777777" w:rsidR="00454A29" w:rsidRDefault="00454A29"/>
        </w:tc>
        <w:tc>
          <w:tcPr>
            <w:tcW w:w="1701" w:type="dxa"/>
            <w:vAlign w:val="center"/>
          </w:tcPr>
          <w:p w14:paraId="17398A68" w14:textId="77777777" w:rsidR="00454A29" w:rsidRDefault="00454A29">
            <w:pPr>
              <w:pStyle w:val="ConsPlusNormal"/>
              <w:jc w:val="center"/>
            </w:pPr>
            <w:r>
              <w:t>2022</w:t>
            </w:r>
          </w:p>
        </w:tc>
        <w:tc>
          <w:tcPr>
            <w:tcW w:w="1417" w:type="dxa"/>
            <w:vMerge/>
          </w:tcPr>
          <w:p w14:paraId="157F68B6" w14:textId="77777777" w:rsidR="00454A29" w:rsidRDefault="00454A29"/>
        </w:tc>
        <w:tc>
          <w:tcPr>
            <w:tcW w:w="2204" w:type="dxa"/>
            <w:vMerge/>
          </w:tcPr>
          <w:p w14:paraId="53E0D90B" w14:textId="77777777" w:rsidR="00454A29" w:rsidRDefault="00454A29"/>
        </w:tc>
        <w:tc>
          <w:tcPr>
            <w:tcW w:w="1417" w:type="dxa"/>
            <w:vMerge/>
          </w:tcPr>
          <w:p w14:paraId="73F36D69" w14:textId="77777777" w:rsidR="00454A29" w:rsidRDefault="00454A29"/>
        </w:tc>
        <w:tc>
          <w:tcPr>
            <w:tcW w:w="2324" w:type="dxa"/>
            <w:vMerge/>
          </w:tcPr>
          <w:p w14:paraId="5CB93CFE" w14:textId="77777777" w:rsidR="00454A29" w:rsidRDefault="00454A29"/>
        </w:tc>
        <w:tc>
          <w:tcPr>
            <w:tcW w:w="1701" w:type="dxa"/>
            <w:vAlign w:val="center"/>
          </w:tcPr>
          <w:p w14:paraId="4965D32F" w14:textId="77777777" w:rsidR="00454A29" w:rsidRDefault="00454A29">
            <w:pPr>
              <w:pStyle w:val="ConsPlusNormal"/>
            </w:pPr>
          </w:p>
        </w:tc>
        <w:tc>
          <w:tcPr>
            <w:tcW w:w="1814" w:type="dxa"/>
            <w:vAlign w:val="center"/>
          </w:tcPr>
          <w:p w14:paraId="62639607" w14:textId="77777777" w:rsidR="00454A29" w:rsidRDefault="00454A29">
            <w:pPr>
              <w:pStyle w:val="ConsPlusNormal"/>
            </w:pPr>
          </w:p>
        </w:tc>
        <w:tc>
          <w:tcPr>
            <w:tcW w:w="1701" w:type="dxa"/>
            <w:vAlign w:val="center"/>
          </w:tcPr>
          <w:p w14:paraId="217F7039" w14:textId="77777777" w:rsidR="00454A29" w:rsidRDefault="00454A29">
            <w:pPr>
              <w:pStyle w:val="ConsPlusNormal"/>
            </w:pPr>
          </w:p>
        </w:tc>
        <w:tc>
          <w:tcPr>
            <w:tcW w:w="1701" w:type="dxa"/>
            <w:vAlign w:val="center"/>
          </w:tcPr>
          <w:p w14:paraId="310100D7" w14:textId="77777777" w:rsidR="00454A29" w:rsidRDefault="00454A29">
            <w:pPr>
              <w:pStyle w:val="ConsPlusNormal"/>
            </w:pPr>
          </w:p>
        </w:tc>
        <w:tc>
          <w:tcPr>
            <w:tcW w:w="1814" w:type="dxa"/>
            <w:vAlign w:val="center"/>
          </w:tcPr>
          <w:p w14:paraId="0E8A128C" w14:textId="77777777" w:rsidR="00454A29" w:rsidRDefault="00454A29">
            <w:pPr>
              <w:pStyle w:val="ConsPlusNormal"/>
            </w:pPr>
          </w:p>
        </w:tc>
      </w:tr>
      <w:tr w:rsidR="00454A29" w14:paraId="33F76F07" w14:textId="77777777">
        <w:tc>
          <w:tcPr>
            <w:tcW w:w="567" w:type="dxa"/>
            <w:vMerge/>
          </w:tcPr>
          <w:p w14:paraId="3F3D9D02" w14:textId="77777777" w:rsidR="00454A29" w:rsidRDefault="00454A29"/>
        </w:tc>
        <w:tc>
          <w:tcPr>
            <w:tcW w:w="3345" w:type="dxa"/>
            <w:vMerge/>
          </w:tcPr>
          <w:p w14:paraId="39BD26F3" w14:textId="77777777" w:rsidR="00454A29" w:rsidRDefault="00454A29"/>
        </w:tc>
        <w:tc>
          <w:tcPr>
            <w:tcW w:w="1701" w:type="dxa"/>
            <w:vAlign w:val="center"/>
          </w:tcPr>
          <w:p w14:paraId="288C0E39" w14:textId="77777777" w:rsidR="00454A29" w:rsidRDefault="00454A29">
            <w:pPr>
              <w:pStyle w:val="ConsPlusNormal"/>
              <w:jc w:val="center"/>
            </w:pPr>
            <w:r>
              <w:t>2023</w:t>
            </w:r>
          </w:p>
        </w:tc>
        <w:tc>
          <w:tcPr>
            <w:tcW w:w="1417" w:type="dxa"/>
            <w:vMerge/>
          </w:tcPr>
          <w:p w14:paraId="200A614C" w14:textId="77777777" w:rsidR="00454A29" w:rsidRDefault="00454A29"/>
        </w:tc>
        <w:tc>
          <w:tcPr>
            <w:tcW w:w="2204" w:type="dxa"/>
            <w:vMerge/>
          </w:tcPr>
          <w:p w14:paraId="49436A1D" w14:textId="77777777" w:rsidR="00454A29" w:rsidRDefault="00454A29"/>
        </w:tc>
        <w:tc>
          <w:tcPr>
            <w:tcW w:w="1417" w:type="dxa"/>
            <w:vMerge/>
          </w:tcPr>
          <w:p w14:paraId="3A4ABBA5" w14:textId="77777777" w:rsidR="00454A29" w:rsidRDefault="00454A29"/>
        </w:tc>
        <w:tc>
          <w:tcPr>
            <w:tcW w:w="2324" w:type="dxa"/>
            <w:vMerge/>
          </w:tcPr>
          <w:p w14:paraId="600D6C00" w14:textId="77777777" w:rsidR="00454A29" w:rsidRDefault="00454A29"/>
        </w:tc>
        <w:tc>
          <w:tcPr>
            <w:tcW w:w="1701" w:type="dxa"/>
            <w:vAlign w:val="center"/>
          </w:tcPr>
          <w:p w14:paraId="7DF52BA4" w14:textId="77777777" w:rsidR="00454A29" w:rsidRDefault="00454A29">
            <w:pPr>
              <w:pStyle w:val="ConsPlusNormal"/>
              <w:jc w:val="center"/>
            </w:pPr>
            <w:r>
              <w:t>-</w:t>
            </w:r>
          </w:p>
        </w:tc>
        <w:tc>
          <w:tcPr>
            <w:tcW w:w="1814" w:type="dxa"/>
            <w:vAlign w:val="center"/>
          </w:tcPr>
          <w:p w14:paraId="41982525" w14:textId="77777777" w:rsidR="00454A29" w:rsidRDefault="00454A29">
            <w:pPr>
              <w:pStyle w:val="ConsPlusNormal"/>
            </w:pPr>
          </w:p>
        </w:tc>
        <w:tc>
          <w:tcPr>
            <w:tcW w:w="1701" w:type="dxa"/>
            <w:vAlign w:val="center"/>
          </w:tcPr>
          <w:p w14:paraId="04D5CBF2" w14:textId="77777777" w:rsidR="00454A29" w:rsidRDefault="00454A29">
            <w:pPr>
              <w:pStyle w:val="ConsPlusNormal"/>
            </w:pPr>
          </w:p>
        </w:tc>
        <w:tc>
          <w:tcPr>
            <w:tcW w:w="1701" w:type="dxa"/>
            <w:vAlign w:val="center"/>
          </w:tcPr>
          <w:p w14:paraId="18FDABAE" w14:textId="77777777" w:rsidR="00454A29" w:rsidRDefault="00454A29">
            <w:pPr>
              <w:pStyle w:val="ConsPlusNormal"/>
            </w:pPr>
          </w:p>
        </w:tc>
        <w:tc>
          <w:tcPr>
            <w:tcW w:w="1814" w:type="dxa"/>
            <w:vAlign w:val="center"/>
          </w:tcPr>
          <w:p w14:paraId="56AFDE7E" w14:textId="77777777" w:rsidR="00454A29" w:rsidRDefault="00454A29">
            <w:pPr>
              <w:pStyle w:val="ConsPlusNormal"/>
            </w:pPr>
          </w:p>
        </w:tc>
      </w:tr>
      <w:tr w:rsidR="00454A29" w14:paraId="2AAE6A9A" w14:textId="77777777">
        <w:tc>
          <w:tcPr>
            <w:tcW w:w="567" w:type="dxa"/>
            <w:vMerge/>
          </w:tcPr>
          <w:p w14:paraId="366B1E8F" w14:textId="77777777" w:rsidR="00454A29" w:rsidRDefault="00454A29"/>
        </w:tc>
        <w:tc>
          <w:tcPr>
            <w:tcW w:w="3345" w:type="dxa"/>
            <w:vMerge/>
          </w:tcPr>
          <w:p w14:paraId="46802492" w14:textId="77777777" w:rsidR="00454A29" w:rsidRDefault="00454A29"/>
        </w:tc>
        <w:tc>
          <w:tcPr>
            <w:tcW w:w="1701" w:type="dxa"/>
            <w:vAlign w:val="center"/>
          </w:tcPr>
          <w:p w14:paraId="3D07DFF6" w14:textId="77777777" w:rsidR="00454A29" w:rsidRDefault="00454A29">
            <w:pPr>
              <w:pStyle w:val="ConsPlusNormal"/>
              <w:jc w:val="center"/>
            </w:pPr>
            <w:r>
              <w:t>2024</w:t>
            </w:r>
          </w:p>
        </w:tc>
        <w:tc>
          <w:tcPr>
            <w:tcW w:w="1417" w:type="dxa"/>
            <w:vMerge/>
          </w:tcPr>
          <w:p w14:paraId="7227C1EC" w14:textId="77777777" w:rsidR="00454A29" w:rsidRDefault="00454A29"/>
        </w:tc>
        <w:tc>
          <w:tcPr>
            <w:tcW w:w="2204" w:type="dxa"/>
            <w:vMerge/>
          </w:tcPr>
          <w:p w14:paraId="7A47679A" w14:textId="77777777" w:rsidR="00454A29" w:rsidRDefault="00454A29"/>
        </w:tc>
        <w:tc>
          <w:tcPr>
            <w:tcW w:w="1417" w:type="dxa"/>
            <w:vMerge/>
          </w:tcPr>
          <w:p w14:paraId="205E7C4D" w14:textId="77777777" w:rsidR="00454A29" w:rsidRDefault="00454A29"/>
        </w:tc>
        <w:tc>
          <w:tcPr>
            <w:tcW w:w="2324" w:type="dxa"/>
            <w:vMerge/>
          </w:tcPr>
          <w:p w14:paraId="63D36B77" w14:textId="77777777" w:rsidR="00454A29" w:rsidRDefault="00454A29"/>
        </w:tc>
        <w:tc>
          <w:tcPr>
            <w:tcW w:w="1701" w:type="dxa"/>
            <w:vAlign w:val="center"/>
          </w:tcPr>
          <w:p w14:paraId="40CE97BC" w14:textId="77777777" w:rsidR="00454A29" w:rsidRDefault="00454A29">
            <w:pPr>
              <w:pStyle w:val="ConsPlusNormal"/>
            </w:pPr>
          </w:p>
        </w:tc>
        <w:tc>
          <w:tcPr>
            <w:tcW w:w="1814" w:type="dxa"/>
            <w:vAlign w:val="center"/>
          </w:tcPr>
          <w:p w14:paraId="509FE987" w14:textId="77777777" w:rsidR="00454A29" w:rsidRDefault="00454A29">
            <w:pPr>
              <w:pStyle w:val="ConsPlusNormal"/>
            </w:pPr>
          </w:p>
        </w:tc>
        <w:tc>
          <w:tcPr>
            <w:tcW w:w="1701" w:type="dxa"/>
            <w:vAlign w:val="center"/>
          </w:tcPr>
          <w:p w14:paraId="21CEBEE8" w14:textId="77777777" w:rsidR="00454A29" w:rsidRDefault="00454A29">
            <w:pPr>
              <w:pStyle w:val="ConsPlusNormal"/>
            </w:pPr>
          </w:p>
        </w:tc>
        <w:tc>
          <w:tcPr>
            <w:tcW w:w="1701" w:type="dxa"/>
            <w:vAlign w:val="center"/>
          </w:tcPr>
          <w:p w14:paraId="137E7C1D" w14:textId="77777777" w:rsidR="00454A29" w:rsidRDefault="00454A29">
            <w:pPr>
              <w:pStyle w:val="ConsPlusNormal"/>
            </w:pPr>
          </w:p>
        </w:tc>
        <w:tc>
          <w:tcPr>
            <w:tcW w:w="1814" w:type="dxa"/>
            <w:vAlign w:val="center"/>
          </w:tcPr>
          <w:p w14:paraId="766C0FFE" w14:textId="77777777" w:rsidR="00454A29" w:rsidRDefault="00454A29">
            <w:pPr>
              <w:pStyle w:val="ConsPlusNormal"/>
            </w:pPr>
          </w:p>
        </w:tc>
      </w:tr>
      <w:tr w:rsidR="00454A29" w14:paraId="5C3601F5" w14:textId="77777777">
        <w:tc>
          <w:tcPr>
            <w:tcW w:w="567" w:type="dxa"/>
            <w:vMerge/>
          </w:tcPr>
          <w:p w14:paraId="003C5C02" w14:textId="77777777" w:rsidR="00454A29" w:rsidRDefault="00454A29"/>
        </w:tc>
        <w:tc>
          <w:tcPr>
            <w:tcW w:w="3345" w:type="dxa"/>
            <w:vMerge/>
          </w:tcPr>
          <w:p w14:paraId="26A265D6" w14:textId="77777777" w:rsidR="00454A29" w:rsidRDefault="00454A29"/>
        </w:tc>
        <w:tc>
          <w:tcPr>
            <w:tcW w:w="1701" w:type="dxa"/>
            <w:vAlign w:val="center"/>
          </w:tcPr>
          <w:p w14:paraId="3F29838F" w14:textId="77777777" w:rsidR="00454A29" w:rsidRDefault="00454A29">
            <w:pPr>
              <w:pStyle w:val="ConsPlusNormal"/>
              <w:jc w:val="center"/>
            </w:pPr>
            <w:r>
              <w:t>2025</w:t>
            </w:r>
          </w:p>
        </w:tc>
        <w:tc>
          <w:tcPr>
            <w:tcW w:w="1417" w:type="dxa"/>
            <w:vMerge/>
          </w:tcPr>
          <w:p w14:paraId="36A8CB62" w14:textId="77777777" w:rsidR="00454A29" w:rsidRDefault="00454A29"/>
        </w:tc>
        <w:tc>
          <w:tcPr>
            <w:tcW w:w="2204" w:type="dxa"/>
            <w:vMerge/>
          </w:tcPr>
          <w:p w14:paraId="048F3E8E" w14:textId="77777777" w:rsidR="00454A29" w:rsidRDefault="00454A29"/>
        </w:tc>
        <w:tc>
          <w:tcPr>
            <w:tcW w:w="1417" w:type="dxa"/>
            <w:vMerge/>
          </w:tcPr>
          <w:p w14:paraId="065F79CC" w14:textId="77777777" w:rsidR="00454A29" w:rsidRDefault="00454A29"/>
        </w:tc>
        <w:tc>
          <w:tcPr>
            <w:tcW w:w="2324" w:type="dxa"/>
            <w:vMerge/>
          </w:tcPr>
          <w:p w14:paraId="17D04108" w14:textId="77777777" w:rsidR="00454A29" w:rsidRDefault="00454A29"/>
        </w:tc>
        <w:tc>
          <w:tcPr>
            <w:tcW w:w="1701" w:type="dxa"/>
            <w:vAlign w:val="center"/>
          </w:tcPr>
          <w:p w14:paraId="2B5B930B" w14:textId="77777777" w:rsidR="00454A29" w:rsidRDefault="00454A29">
            <w:pPr>
              <w:pStyle w:val="ConsPlusNormal"/>
              <w:jc w:val="center"/>
            </w:pPr>
            <w:r>
              <w:t>183 912,26</w:t>
            </w:r>
          </w:p>
        </w:tc>
        <w:tc>
          <w:tcPr>
            <w:tcW w:w="1814" w:type="dxa"/>
            <w:vAlign w:val="center"/>
          </w:tcPr>
          <w:p w14:paraId="7324DD3E" w14:textId="77777777" w:rsidR="00454A29" w:rsidRDefault="00454A29">
            <w:pPr>
              <w:pStyle w:val="ConsPlusNormal"/>
              <w:jc w:val="center"/>
            </w:pPr>
            <w:r>
              <w:t>2 326,49</w:t>
            </w:r>
          </w:p>
        </w:tc>
        <w:tc>
          <w:tcPr>
            <w:tcW w:w="1701" w:type="dxa"/>
            <w:vAlign w:val="center"/>
          </w:tcPr>
          <w:p w14:paraId="684881F7" w14:textId="77777777" w:rsidR="00454A29" w:rsidRDefault="00454A29">
            <w:pPr>
              <w:pStyle w:val="ConsPlusNormal"/>
              <w:jc w:val="center"/>
            </w:pPr>
            <w:r>
              <w:t>230 322,52</w:t>
            </w:r>
          </w:p>
        </w:tc>
        <w:tc>
          <w:tcPr>
            <w:tcW w:w="1701" w:type="dxa"/>
            <w:vAlign w:val="center"/>
          </w:tcPr>
          <w:p w14:paraId="40AED70B" w14:textId="77777777" w:rsidR="00454A29" w:rsidRDefault="00454A29">
            <w:pPr>
              <w:pStyle w:val="ConsPlusNormal"/>
            </w:pPr>
          </w:p>
        </w:tc>
        <w:tc>
          <w:tcPr>
            <w:tcW w:w="1814" w:type="dxa"/>
            <w:vAlign w:val="center"/>
          </w:tcPr>
          <w:p w14:paraId="0E7C9392" w14:textId="77777777" w:rsidR="00454A29" w:rsidRDefault="00454A29">
            <w:pPr>
              <w:pStyle w:val="ConsPlusNormal"/>
            </w:pPr>
          </w:p>
        </w:tc>
      </w:tr>
      <w:tr w:rsidR="00454A29" w14:paraId="7CBBB3C1" w14:textId="77777777">
        <w:tc>
          <w:tcPr>
            <w:tcW w:w="567" w:type="dxa"/>
            <w:vMerge/>
          </w:tcPr>
          <w:p w14:paraId="1EF5FD81" w14:textId="77777777" w:rsidR="00454A29" w:rsidRDefault="00454A29"/>
        </w:tc>
        <w:tc>
          <w:tcPr>
            <w:tcW w:w="3345" w:type="dxa"/>
            <w:vMerge/>
          </w:tcPr>
          <w:p w14:paraId="5E0B0E1C" w14:textId="77777777" w:rsidR="00454A29" w:rsidRDefault="00454A29"/>
        </w:tc>
        <w:tc>
          <w:tcPr>
            <w:tcW w:w="1701" w:type="dxa"/>
            <w:vAlign w:val="center"/>
          </w:tcPr>
          <w:p w14:paraId="6929369D" w14:textId="77777777" w:rsidR="00454A29" w:rsidRDefault="00454A29">
            <w:pPr>
              <w:pStyle w:val="ConsPlusNormal"/>
              <w:jc w:val="center"/>
            </w:pPr>
            <w:r>
              <w:t>2026</w:t>
            </w:r>
          </w:p>
        </w:tc>
        <w:tc>
          <w:tcPr>
            <w:tcW w:w="1417" w:type="dxa"/>
            <w:vMerge/>
          </w:tcPr>
          <w:p w14:paraId="6D211B32" w14:textId="77777777" w:rsidR="00454A29" w:rsidRDefault="00454A29"/>
        </w:tc>
        <w:tc>
          <w:tcPr>
            <w:tcW w:w="2204" w:type="dxa"/>
            <w:vMerge/>
          </w:tcPr>
          <w:p w14:paraId="2A1D382A" w14:textId="77777777" w:rsidR="00454A29" w:rsidRDefault="00454A29"/>
        </w:tc>
        <w:tc>
          <w:tcPr>
            <w:tcW w:w="1417" w:type="dxa"/>
            <w:vMerge/>
          </w:tcPr>
          <w:p w14:paraId="3E00656C" w14:textId="77777777" w:rsidR="00454A29" w:rsidRDefault="00454A29"/>
        </w:tc>
        <w:tc>
          <w:tcPr>
            <w:tcW w:w="2324" w:type="dxa"/>
            <w:vMerge/>
          </w:tcPr>
          <w:p w14:paraId="303FA29F" w14:textId="77777777" w:rsidR="00454A29" w:rsidRDefault="00454A29"/>
        </w:tc>
        <w:tc>
          <w:tcPr>
            <w:tcW w:w="1701" w:type="dxa"/>
            <w:vAlign w:val="center"/>
          </w:tcPr>
          <w:p w14:paraId="144E850E" w14:textId="77777777" w:rsidR="00454A29" w:rsidRDefault="00454A29">
            <w:pPr>
              <w:pStyle w:val="ConsPlusNormal"/>
            </w:pPr>
          </w:p>
        </w:tc>
        <w:tc>
          <w:tcPr>
            <w:tcW w:w="1814" w:type="dxa"/>
            <w:vAlign w:val="center"/>
          </w:tcPr>
          <w:p w14:paraId="23533504" w14:textId="77777777" w:rsidR="00454A29" w:rsidRDefault="00454A29">
            <w:pPr>
              <w:pStyle w:val="ConsPlusNormal"/>
            </w:pPr>
          </w:p>
        </w:tc>
        <w:tc>
          <w:tcPr>
            <w:tcW w:w="1701" w:type="dxa"/>
            <w:vAlign w:val="center"/>
          </w:tcPr>
          <w:p w14:paraId="4A25A681" w14:textId="77777777" w:rsidR="00454A29" w:rsidRDefault="00454A29">
            <w:pPr>
              <w:pStyle w:val="ConsPlusNormal"/>
            </w:pPr>
          </w:p>
        </w:tc>
        <w:tc>
          <w:tcPr>
            <w:tcW w:w="1701" w:type="dxa"/>
            <w:vAlign w:val="center"/>
          </w:tcPr>
          <w:p w14:paraId="21718AB7" w14:textId="77777777" w:rsidR="00454A29" w:rsidRDefault="00454A29">
            <w:pPr>
              <w:pStyle w:val="ConsPlusNormal"/>
            </w:pPr>
          </w:p>
        </w:tc>
        <w:tc>
          <w:tcPr>
            <w:tcW w:w="1814" w:type="dxa"/>
            <w:vAlign w:val="center"/>
          </w:tcPr>
          <w:p w14:paraId="1BE35EE2" w14:textId="77777777" w:rsidR="00454A29" w:rsidRDefault="00454A29">
            <w:pPr>
              <w:pStyle w:val="ConsPlusNormal"/>
            </w:pPr>
          </w:p>
        </w:tc>
      </w:tr>
      <w:tr w:rsidR="00454A29" w14:paraId="3F24DBBA" w14:textId="77777777">
        <w:tc>
          <w:tcPr>
            <w:tcW w:w="21706" w:type="dxa"/>
            <w:gridSpan w:val="12"/>
            <w:vAlign w:val="center"/>
          </w:tcPr>
          <w:p w14:paraId="47EBE108" w14:textId="77777777" w:rsidR="00454A29" w:rsidRDefault="00454A29">
            <w:pPr>
              <w:pStyle w:val="ConsPlusNormal"/>
              <w:jc w:val="center"/>
              <w:outlineLvl w:val="2"/>
            </w:pPr>
            <w:r>
              <w:t>МО "Момский район"</w:t>
            </w:r>
          </w:p>
        </w:tc>
      </w:tr>
      <w:tr w:rsidR="00454A29" w14:paraId="2575FD28" w14:textId="77777777">
        <w:tc>
          <w:tcPr>
            <w:tcW w:w="567" w:type="dxa"/>
            <w:vMerge w:val="restart"/>
            <w:vAlign w:val="center"/>
          </w:tcPr>
          <w:p w14:paraId="040E5706" w14:textId="77777777" w:rsidR="00454A29" w:rsidRDefault="00454A29">
            <w:pPr>
              <w:pStyle w:val="ConsPlusNormal"/>
              <w:jc w:val="center"/>
            </w:pPr>
            <w:r>
              <w:t>78</w:t>
            </w:r>
          </w:p>
        </w:tc>
        <w:tc>
          <w:tcPr>
            <w:tcW w:w="3345" w:type="dxa"/>
            <w:vMerge w:val="restart"/>
            <w:vAlign w:val="center"/>
          </w:tcPr>
          <w:p w14:paraId="352D3C99" w14:textId="77777777" w:rsidR="00454A29" w:rsidRDefault="00454A29">
            <w:pPr>
              <w:pStyle w:val="ConsPlusNormal"/>
              <w:jc w:val="center"/>
            </w:pPr>
            <w:r>
              <w:t>Школа-сад на 60/30 мест в с. Буор-Сысы</w:t>
            </w:r>
          </w:p>
        </w:tc>
        <w:tc>
          <w:tcPr>
            <w:tcW w:w="1701" w:type="dxa"/>
            <w:vAlign w:val="center"/>
          </w:tcPr>
          <w:p w14:paraId="237A94FF" w14:textId="77777777" w:rsidR="00454A29" w:rsidRDefault="00454A29">
            <w:pPr>
              <w:pStyle w:val="ConsPlusNormal"/>
              <w:jc w:val="center"/>
            </w:pPr>
            <w:r>
              <w:t>2020 - 2026 годы - всего</w:t>
            </w:r>
          </w:p>
        </w:tc>
        <w:tc>
          <w:tcPr>
            <w:tcW w:w="1417" w:type="dxa"/>
            <w:vMerge w:val="restart"/>
            <w:vAlign w:val="center"/>
          </w:tcPr>
          <w:p w14:paraId="30B2C531" w14:textId="77777777" w:rsidR="00454A29" w:rsidRDefault="00454A29">
            <w:pPr>
              <w:pStyle w:val="ConsPlusNormal"/>
              <w:jc w:val="center"/>
            </w:pPr>
            <w:r>
              <w:t>331 042,07</w:t>
            </w:r>
          </w:p>
        </w:tc>
        <w:tc>
          <w:tcPr>
            <w:tcW w:w="2204" w:type="dxa"/>
            <w:vMerge w:val="restart"/>
            <w:vAlign w:val="center"/>
          </w:tcPr>
          <w:p w14:paraId="5543B860" w14:textId="77777777" w:rsidR="00454A29" w:rsidRDefault="00454A29">
            <w:pPr>
              <w:pStyle w:val="ConsPlusNormal"/>
            </w:pPr>
          </w:p>
        </w:tc>
        <w:tc>
          <w:tcPr>
            <w:tcW w:w="1417" w:type="dxa"/>
            <w:vMerge w:val="restart"/>
            <w:vAlign w:val="center"/>
          </w:tcPr>
          <w:p w14:paraId="220510F8" w14:textId="77777777" w:rsidR="00454A29" w:rsidRDefault="00454A29">
            <w:pPr>
              <w:pStyle w:val="ConsPlusNormal"/>
              <w:jc w:val="center"/>
            </w:pPr>
            <w:r>
              <w:t>60</w:t>
            </w:r>
          </w:p>
        </w:tc>
        <w:tc>
          <w:tcPr>
            <w:tcW w:w="2324" w:type="dxa"/>
            <w:vMerge w:val="restart"/>
            <w:vAlign w:val="center"/>
          </w:tcPr>
          <w:p w14:paraId="3768C89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9E53D06" w14:textId="77777777" w:rsidR="00454A29" w:rsidRDefault="00454A29">
            <w:pPr>
              <w:pStyle w:val="ConsPlusNormal"/>
              <w:jc w:val="center"/>
            </w:pPr>
            <w:r>
              <w:t>331 042,07</w:t>
            </w:r>
          </w:p>
        </w:tc>
        <w:tc>
          <w:tcPr>
            <w:tcW w:w="1814" w:type="dxa"/>
            <w:vAlign w:val="center"/>
          </w:tcPr>
          <w:p w14:paraId="7A62F108" w14:textId="77777777" w:rsidR="00454A29" w:rsidRDefault="00454A29">
            <w:pPr>
              <w:pStyle w:val="ConsPlusNormal"/>
              <w:jc w:val="center"/>
            </w:pPr>
            <w:r>
              <w:t>4 078,44</w:t>
            </w:r>
          </w:p>
        </w:tc>
        <w:tc>
          <w:tcPr>
            <w:tcW w:w="1701" w:type="dxa"/>
            <w:vAlign w:val="center"/>
          </w:tcPr>
          <w:p w14:paraId="40C5C8A7" w14:textId="77777777" w:rsidR="00454A29" w:rsidRDefault="00454A29">
            <w:pPr>
              <w:pStyle w:val="ConsPlusNormal"/>
              <w:jc w:val="center"/>
            </w:pPr>
            <w:r>
              <w:t>403 765,39</w:t>
            </w:r>
          </w:p>
        </w:tc>
        <w:tc>
          <w:tcPr>
            <w:tcW w:w="1701" w:type="dxa"/>
            <w:vAlign w:val="center"/>
          </w:tcPr>
          <w:p w14:paraId="7EAF752C" w14:textId="77777777" w:rsidR="00454A29" w:rsidRDefault="00454A29">
            <w:pPr>
              <w:pStyle w:val="ConsPlusNormal"/>
              <w:jc w:val="center"/>
            </w:pPr>
            <w:r>
              <w:t>-</w:t>
            </w:r>
          </w:p>
        </w:tc>
        <w:tc>
          <w:tcPr>
            <w:tcW w:w="1814" w:type="dxa"/>
            <w:vAlign w:val="center"/>
          </w:tcPr>
          <w:p w14:paraId="2C2F1644" w14:textId="77777777" w:rsidR="00454A29" w:rsidRDefault="00454A29">
            <w:pPr>
              <w:pStyle w:val="ConsPlusNormal"/>
              <w:jc w:val="center"/>
            </w:pPr>
            <w:r>
              <w:t>-</w:t>
            </w:r>
          </w:p>
        </w:tc>
      </w:tr>
      <w:tr w:rsidR="00454A29" w14:paraId="518BE8CF" w14:textId="77777777">
        <w:tc>
          <w:tcPr>
            <w:tcW w:w="567" w:type="dxa"/>
            <w:vMerge/>
          </w:tcPr>
          <w:p w14:paraId="3A7DA1D3" w14:textId="77777777" w:rsidR="00454A29" w:rsidRDefault="00454A29"/>
        </w:tc>
        <w:tc>
          <w:tcPr>
            <w:tcW w:w="3345" w:type="dxa"/>
            <w:vMerge/>
          </w:tcPr>
          <w:p w14:paraId="00B601A2" w14:textId="77777777" w:rsidR="00454A29" w:rsidRDefault="00454A29"/>
        </w:tc>
        <w:tc>
          <w:tcPr>
            <w:tcW w:w="1701" w:type="dxa"/>
            <w:vAlign w:val="center"/>
          </w:tcPr>
          <w:p w14:paraId="61695F7E" w14:textId="77777777" w:rsidR="00454A29" w:rsidRDefault="00454A29">
            <w:pPr>
              <w:pStyle w:val="ConsPlusNormal"/>
              <w:jc w:val="center"/>
            </w:pPr>
            <w:r>
              <w:t>2020</w:t>
            </w:r>
          </w:p>
        </w:tc>
        <w:tc>
          <w:tcPr>
            <w:tcW w:w="1417" w:type="dxa"/>
            <w:vMerge/>
          </w:tcPr>
          <w:p w14:paraId="22815518" w14:textId="77777777" w:rsidR="00454A29" w:rsidRDefault="00454A29"/>
        </w:tc>
        <w:tc>
          <w:tcPr>
            <w:tcW w:w="2204" w:type="dxa"/>
            <w:vMerge/>
          </w:tcPr>
          <w:p w14:paraId="56AA435F" w14:textId="77777777" w:rsidR="00454A29" w:rsidRDefault="00454A29"/>
        </w:tc>
        <w:tc>
          <w:tcPr>
            <w:tcW w:w="1417" w:type="dxa"/>
            <w:vMerge/>
          </w:tcPr>
          <w:p w14:paraId="5CE7828E" w14:textId="77777777" w:rsidR="00454A29" w:rsidRDefault="00454A29"/>
        </w:tc>
        <w:tc>
          <w:tcPr>
            <w:tcW w:w="2324" w:type="dxa"/>
            <w:vMerge/>
          </w:tcPr>
          <w:p w14:paraId="388862C5" w14:textId="77777777" w:rsidR="00454A29" w:rsidRDefault="00454A29"/>
        </w:tc>
        <w:tc>
          <w:tcPr>
            <w:tcW w:w="1701" w:type="dxa"/>
            <w:vAlign w:val="center"/>
          </w:tcPr>
          <w:p w14:paraId="6341E998" w14:textId="77777777" w:rsidR="00454A29" w:rsidRDefault="00454A29">
            <w:pPr>
              <w:pStyle w:val="ConsPlusNormal"/>
            </w:pPr>
          </w:p>
        </w:tc>
        <w:tc>
          <w:tcPr>
            <w:tcW w:w="1814" w:type="dxa"/>
            <w:vAlign w:val="center"/>
          </w:tcPr>
          <w:p w14:paraId="72AB57BD" w14:textId="77777777" w:rsidR="00454A29" w:rsidRDefault="00454A29">
            <w:pPr>
              <w:pStyle w:val="ConsPlusNormal"/>
            </w:pPr>
          </w:p>
        </w:tc>
        <w:tc>
          <w:tcPr>
            <w:tcW w:w="1701" w:type="dxa"/>
            <w:vAlign w:val="center"/>
          </w:tcPr>
          <w:p w14:paraId="3251E09A" w14:textId="77777777" w:rsidR="00454A29" w:rsidRDefault="00454A29">
            <w:pPr>
              <w:pStyle w:val="ConsPlusNormal"/>
            </w:pPr>
          </w:p>
        </w:tc>
        <w:tc>
          <w:tcPr>
            <w:tcW w:w="1701" w:type="dxa"/>
            <w:vAlign w:val="center"/>
          </w:tcPr>
          <w:p w14:paraId="0A224000" w14:textId="77777777" w:rsidR="00454A29" w:rsidRDefault="00454A29">
            <w:pPr>
              <w:pStyle w:val="ConsPlusNormal"/>
            </w:pPr>
          </w:p>
        </w:tc>
        <w:tc>
          <w:tcPr>
            <w:tcW w:w="1814" w:type="dxa"/>
            <w:vAlign w:val="center"/>
          </w:tcPr>
          <w:p w14:paraId="5EFE017C" w14:textId="77777777" w:rsidR="00454A29" w:rsidRDefault="00454A29">
            <w:pPr>
              <w:pStyle w:val="ConsPlusNormal"/>
            </w:pPr>
          </w:p>
        </w:tc>
      </w:tr>
      <w:tr w:rsidR="00454A29" w14:paraId="7E2EA7BC" w14:textId="77777777">
        <w:tc>
          <w:tcPr>
            <w:tcW w:w="567" w:type="dxa"/>
            <w:vMerge/>
          </w:tcPr>
          <w:p w14:paraId="7F6F2337" w14:textId="77777777" w:rsidR="00454A29" w:rsidRDefault="00454A29"/>
        </w:tc>
        <w:tc>
          <w:tcPr>
            <w:tcW w:w="3345" w:type="dxa"/>
            <w:vMerge/>
          </w:tcPr>
          <w:p w14:paraId="65A6E2E6" w14:textId="77777777" w:rsidR="00454A29" w:rsidRDefault="00454A29"/>
        </w:tc>
        <w:tc>
          <w:tcPr>
            <w:tcW w:w="1701" w:type="dxa"/>
            <w:vAlign w:val="center"/>
          </w:tcPr>
          <w:p w14:paraId="4E5B7D60" w14:textId="77777777" w:rsidR="00454A29" w:rsidRDefault="00454A29">
            <w:pPr>
              <w:pStyle w:val="ConsPlusNormal"/>
              <w:jc w:val="center"/>
            </w:pPr>
            <w:r>
              <w:t>2021</w:t>
            </w:r>
          </w:p>
        </w:tc>
        <w:tc>
          <w:tcPr>
            <w:tcW w:w="1417" w:type="dxa"/>
            <w:vMerge/>
          </w:tcPr>
          <w:p w14:paraId="26E5B454" w14:textId="77777777" w:rsidR="00454A29" w:rsidRDefault="00454A29"/>
        </w:tc>
        <w:tc>
          <w:tcPr>
            <w:tcW w:w="2204" w:type="dxa"/>
            <w:vMerge/>
          </w:tcPr>
          <w:p w14:paraId="5543B5EF" w14:textId="77777777" w:rsidR="00454A29" w:rsidRDefault="00454A29"/>
        </w:tc>
        <w:tc>
          <w:tcPr>
            <w:tcW w:w="1417" w:type="dxa"/>
            <w:vMerge/>
          </w:tcPr>
          <w:p w14:paraId="21A76D3D" w14:textId="77777777" w:rsidR="00454A29" w:rsidRDefault="00454A29"/>
        </w:tc>
        <w:tc>
          <w:tcPr>
            <w:tcW w:w="2324" w:type="dxa"/>
            <w:vMerge/>
          </w:tcPr>
          <w:p w14:paraId="2F1687B7" w14:textId="77777777" w:rsidR="00454A29" w:rsidRDefault="00454A29"/>
        </w:tc>
        <w:tc>
          <w:tcPr>
            <w:tcW w:w="1701" w:type="dxa"/>
            <w:vAlign w:val="center"/>
          </w:tcPr>
          <w:p w14:paraId="0E61470F" w14:textId="77777777" w:rsidR="00454A29" w:rsidRDefault="00454A29">
            <w:pPr>
              <w:pStyle w:val="ConsPlusNormal"/>
            </w:pPr>
          </w:p>
        </w:tc>
        <w:tc>
          <w:tcPr>
            <w:tcW w:w="1814" w:type="dxa"/>
            <w:vAlign w:val="center"/>
          </w:tcPr>
          <w:p w14:paraId="44EFBA2E" w14:textId="77777777" w:rsidR="00454A29" w:rsidRDefault="00454A29">
            <w:pPr>
              <w:pStyle w:val="ConsPlusNormal"/>
            </w:pPr>
          </w:p>
        </w:tc>
        <w:tc>
          <w:tcPr>
            <w:tcW w:w="1701" w:type="dxa"/>
            <w:vAlign w:val="center"/>
          </w:tcPr>
          <w:p w14:paraId="3BC6453D" w14:textId="77777777" w:rsidR="00454A29" w:rsidRDefault="00454A29">
            <w:pPr>
              <w:pStyle w:val="ConsPlusNormal"/>
            </w:pPr>
          </w:p>
        </w:tc>
        <w:tc>
          <w:tcPr>
            <w:tcW w:w="1701" w:type="dxa"/>
            <w:vAlign w:val="center"/>
          </w:tcPr>
          <w:p w14:paraId="405AF66C" w14:textId="77777777" w:rsidR="00454A29" w:rsidRDefault="00454A29">
            <w:pPr>
              <w:pStyle w:val="ConsPlusNormal"/>
            </w:pPr>
          </w:p>
        </w:tc>
        <w:tc>
          <w:tcPr>
            <w:tcW w:w="1814" w:type="dxa"/>
            <w:vAlign w:val="center"/>
          </w:tcPr>
          <w:p w14:paraId="7CAC6F16" w14:textId="77777777" w:rsidR="00454A29" w:rsidRDefault="00454A29">
            <w:pPr>
              <w:pStyle w:val="ConsPlusNormal"/>
            </w:pPr>
          </w:p>
        </w:tc>
      </w:tr>
      <w:tr w:rsidR="00454A29" w14:paraId="7C5365A0" w14:textId="77777777">
        <w:tc>
          <w:tcPr>
            <w:tcW w:w="567" w:type="dxa"/>
            <w:vMerge/>
          </w:tcPr>
          <w:p w14:paraId="5EE5C42B" w14:textId="77777777" w:rsidR="00454A29" w:rsidRDefault="00454A29"/>
        </w:tc>
        <w:tc>
          <w:tcPr>
            <w:tcW w:w="3345" w:type="dxa"/>
            <w:vMerge/>
          </w:tcPr>
          <w:p w14:paraId="2FA37C9D" w14:textId="77777777" w:rsidR="00454A29" w:rsidRDefault="00454A29"/>
        </w:tc>
        <w:tc>
          <w:tcPr>
            <w:tcW w:w="1701" w:type="dxa"/>
            <w:vAlign w:val="center"/>
          </w:tcPr>
          <w:p w14:paraId="2DF06874" w14:textId="77777777" w:rsidR="00454A29" w:rsidRDefault="00454A29">
            <w:pPr>
              <w:pStyle w:val="ConsPlusNormal"/>
              <w:jc w:val="center"/>
            </w:pPr>
            <w:r>
              <w:t>2022</w:t>
            </w:r>
          </w:p>
        </w:tc>
        <w:tc>
          <w:tcPr>
            <w:tcW w:w="1417" w:type="dxa"/>
            <w:vMerge/>
          </w:tcPr>
          <w:p w14:paraId="7AE406AC" w14:textId="77777777" w:rsidR="00454A29" w:rsidRDefault="00454A29"/>
        </w:tc>
        <w:tc>
          <w:tcPr>
            <w:tcW w:w="2204" w:type="dxa"/>
            <w:vMerge/>
          </w:tcPr>
          <w:p w14:paraId="18E10134" w14:textId="77777777" w:rsidR="00454A29" w:rsidRDefault="00454A29"/>
        </w:tc>
        <w:tc>
          <w:tcPr>
            <w:tcW w:w="1417" w:type="dxa"/>
            <w:vMerge/>
          </w:tcPr>
          <w:p w14:paraId="0AF7E02A" w14:textId="77777777" w:rsidR="00454A29" w:rsidRDefault="00454A29"/>
        </w:tc>
        <w:tc>
          <w:tcPr>
            <w:tcW w:w="2324" w:type="dxa"/>
            <w:vMerge/>
          </w:tcPr>
          <w:p w14:paraId="625F6E8B" w14:textId="77777777" w:rsidR="00454A29" w:rsidRDefault="00454A29"/>
        </w:tc>
        <w:tc>
          <w:tcPr>
            <w:tcW w:w="1701" w:type="dxa"/>
            <w:vAlign w:val="center"/>
          </w:tcPr>
          <w:p w14:paraId="0220A8AF" w14:textId="77777777" w:rsidR="00454A29" w:rsidRDefault="00454A29">
            <w:pPr>
              <w:pStyle w:val="ConsPlusNormal"/>
            </w:pPr>
          </w:p>
        </w:tc>
        <w:tc>
          <w:tcPr>
            <w:tcW w:w="1814" w:type="dxa"/>
            <w:vAlign w:val="center"/>
          </w:tcPr>
          <w:p w14:paraId="39F4016A" w14:textId="77777777" w:rsidR="00454A29" w:rsidRDefault="00454A29">
            <w:pPr>
              <w:pStyle w:val="ConsPlusNormal"/>
            </w:pPr>
          </w:p>
        </w:tc>
        <w:tc>
          <w:tcPr>
            <w:tcW w:w="1701" w:type="dxa"/>
            <w:vAlign w:val="center"/>
          </w:tcPr>
          <w:p w14:paraId="60E7100E" w14:textId="77777777" w:rsidR="00454A29" w:rsidRDefault="00454A29">
            <w:pPr>
              <w:pStyle w:val="ConsPlusNormal"/>
            </w:pPr>
          </w:p>
        </w:tc>
        <w:tc>
          <w:tcPr>
            <w:tcW w:w="1701" w:type="dxa"/>
            <w:vAlign w:val="center"/>
          </w:tcPr>
          <w:p w14:paraId="1B5FE40C" w14:textId="77777777" w:rsidR="00454A29" w:rsidRDefault="00454A29">
            <w:pPr>
              <w:pStyle w:val="ConsPlusNormal"/>
            </w:pPr>
          </w:p>
        </w:tc>
        <w:tc>
          <w:tcPr>
            <w:tcW w:w="1814" w:type="dxa"/>
            <w:vAlign w:val="center"/>
          </w:tcPr>
          <w:p w14:paraId="48BC569B" w14:textId="77777777" w:rsidR="00454A29" w:rsidRDefault="00454A29">
            <w:pPr>
              <w:pStyle w:val="ConsPlusNormal"/>
            </w:pPr>
          </w:p>
        </w:tc>
      </w:tr>
      <w:tr w:rsidR="00454A29" w14:paraId="245966C2" w14:textId="77777777">
        <w:tc>
          <w:tcPr>
            <w:tcW w:w="567" w:type="dxa"/>
            <w:vMerge/>
          </w:tcPr>
          <w:p w14:paraId="266EABDB" w14:textId="77777777" w:rsidR="00454A29" w:rsidRDefault="00454A29"/>
        </w:tc>
        <w:tc>
          <w:tcPr>
            <w:tcW w:w="3345" w:type="dxa"/>
            <w:vMerge/>
          </w:tcPr>
          <w:p w14:paraId="7EC3A66E" w14:textId="77777777" w:rsidR="00454A29" w:rsidRDefault="00454A29"/>
        </w:tc>
        <w:tc>
          <w:tcPr>
            <w:tcW w:w="1701" w:type="dxa"/>
            <w:vAlign w:val="center"/>
          </w:tcPr>
          <w:p w14:paraId="32D4BACE" w14:textId="77777777" w:rsidR="00454A29" w:rsidRDefault="00454A29">
            <w:pPr>
              <w:pStyle w:val="ConsPlusNormal"/>
              <w:jc w:val="center"/>
            </w:pPr>
            <w:r>
              <w:t>2023</w:t>
            </w:r>
          </w:p>
        </w:tc>
        <w:tc>
          <w:tcPr>
            <w:tcW w:w="1417" w:type="dxa"/>
            <w:vMerge/>
          </w:tcPr>
          <w:p w14:paraId="260F3998" w14:textId="77777777" w:rsidR="00454A29" w:rsidRDefault="00454A29"/>
        </w:tc>
        <w:tc>
          <w:tcPr>
            <w:tcW w:w="2204" w:type="dxa"/>
            <w:vMerge/>
          </w:tcPr>
          <w:p w14:paraId="31213E02" w14:textId="77777777" w:rsidR="00454A29" w:rsidRDefault="00454A29"/>
        </w:tc>
        <w:tc>
          <w:tcPr>
            <w:tcW w:w="1417" w:type="dxa"/>
            <w:vMerge/>
          </w:tcPr>
          <w:p w14:paraId="635498A2" w14:textId="77777777" w:rsidR="00454A29" w:rsidRDefault="00454A29"/>
        </w:tc>
        <w:tc>
          <w:tcPr>
            <w:tcW w:w="2324" w:type="dxa"/>
            <w:vMerge/>
          </w:tcPr>
          <w:p w14:paraId="3F706AC0" w14:textId="77777777" w:rsidR="00454A29" w:rsidRDefault="00454A29"/>
        </w:tc>
        <w:tc>
          <w:tcPr>
            <w:tcW w:w="1701" w:type="dxa"/>
            <w:vAlign w:val="center"/>
          </w:tcPr>
          <w:p w14:paraId="56BC10CE" w14:textId="77777777" w:rsidR="00454A29" w:rsidRDefault="00454A29">
            <w:pPr>
              <w:pStyle w:val="ConsPlusNormal"/>
            </w:pPr>
          </w:p>
        </w:tc>
        <w:tc>
          <w:tcPr>
            <w:tcW w:w="1814" w:type="dxa"/>
            <w:vAlign w:val="center"/>
          </w:tcPr>
          <w:p w14:paraId="07DD8C80" w14:textId="77777777" w:rsidR="00454A29" w:rsidRDefault="00454A29">
            <w:pPr>
              <w:pStyle w:val="ConsPlusNormal"/>
            </w:pPr>
          </w:p>
        </w:tc>
        <w:tc>
          <w:tcPr>
            <w:tcW w:w="1701" w:type="dxa"/>
            <w:vAlign w:val="center"/>
          </w:tcPr>
          <w:p w14:paraId="5963BFEC" w14:textId="77777777" w:rsidR="00454A29" w:rsidRDefault="00454A29">
            <w:pPr>
              <w:pStyle w:val="ConsPlusNormal"/>
            </w:pPr>
          </w:p>
        </w:tc>
        <w:tc>
          <w:tcPr>
            <w:tcW w:w="1701" w:type="dxa"/>
            <w:vAlign w:val="center"/>
          </w:tcPr>
          <w:p w14:paraId="62C6AE21" w14:textId="77777777" w:rsidR="00454A29" w:rsidRDefault="00454A29">
            <w:pPr>
              <w:pStyle w:val="ConsPlusNormal"/>
            </w:pPr>
          </w:p>
        </w:tc>
        <w:tc>
          <w:tcPr>
            <w:tcW w:w="1814" w:type="dxa"/>
            <w:vAlign w:val="center"/>
          </w:tcPr>
          <w:p w14:paraId="7B130951" w14:textId="77777777" w:rsidR="00454A29" w:rsidRDefault="00454A29">
            <w:pPr>
              <w:pStyle w:val="ConsPlusNormal"/>
            </w:pPr>
          </w:p>
        </w:tc>
      </w:tr>
      <w:tr w:rsidR="00454A29" w14:paraId="30B45DCF" w14:textId="77777777">
        <w:tc>
          <w:tcPr>
            <w:tcW w:w="567" w:type="dxa"/>
            <w:vMerge/>
          </w:tcPr>
          <w:p w14:paraId="14C7DD8C" w14:textId="77777777" w:rsidR="00454A29" w:rsidRDefault="00454A29"/>
        </w:tc>
        <w:tc>
          <w:tcPr>
            <w:tcW w:w="3345" w:type="dxa"/>
            <w:vMerge/>
          </w:tcPr>
          <w:p w14:paraId="528AF8C2" w14:textId="77777777" w:rsidR="00454A29" w:rsidRDefault="00454A29"/>
        </w:tc>
        <w:tc>
          <w:tcPr>
            <w:tcW w:w="1701" w:type="dxa"/>
            <w:vAlign w:val="center"/>
          </w:tcPr>
          <w:p w14:paraId="38760D75" w14:textId="77777777" w:rsidR="00454A29" w:rsidRDefault="00454A29">
            <w:pPr>
              <w:pStyle w:val="ConsPlusNormal"/>
              <w:jc w:val="center"/>
            </w:pPr>
            <w:r>
              <w:t>2024</w:t>
            </w:r>
          </w:p>
        </w:tc>
        <w:tc>
          <w:tcPr>
            <w:tcW w:w="1417" w:type="dxa"/>
            <w:vMerge/>
          </w:tcPr>
          <w:p w14:paraId="23EF1952" w14:textId="77777777" w:rsidR="00454A29" w:rsidRDefault="00454A29"/>
        </w:tc>
        <w:tc>
          <w:tcPr>
            <w:tcW w:w="2204" w:type="dxa"/>
            <w:vMerge/>
          </w:tcPr>
          <w:p w14:paraId="26AB3422" w14:textId="77777777" w:rsidR="00454A29" w:rsidRDefault="00454A29"/>
        </w:tc>
        <w:tc>
          <w:tcPr>
            <w:tcW w:w="1417" w:type="dxa"/>
            <w:vMerge/>
          </w:tcPr>
          <w:p w14:paraId="10FBD1EC" w14:textId="77777777" w:rsidR="00454A29" w:rsidRDefault="00454A29"/>
        </w:tc>
        <w:tc>
          <w:tcPr>
            <w:tcW w:w="2324" w:type="dxa"/>
            <w:vMerge/>
          </w:tcPr>
          <w:p w14:paraId="27B10ED9" w14:textId="77777777" w:rsidR="00454A29" w:rsidRDefault="00454A29"/>
        </w:tc>
        <w:tc>
          <w:tcPr>
            <w:tcW w:w="1701" w:type="dxa"/>
            <w:vAlign w:val="center"/>
          </w:tcPr>
          <w:p w14:paraId="4E935294" w14:textId="77777777" w:rsidR="00454A29" w:rsidRDefault="00454A29">
            <w:pPr>
              <w:pStyle w:val="ConsPlusNormal"/>
            </w:pPr>
          </w:p>
        </w:tc>
        <w:tc>
          <w:tcPr>
            <w:tcW w:w="1814" w:type="dxa"/>
            <w:vAlign w:val="center"/>
          </w:tcPr>
          <w:p w14:paraId="04D3D701" w14:textId="77777777" w:rsidR="00454A29" w:rsidRDefault="00454A29">
            <w:pPr>
              <w:pStyle w:val="ConsPlusNormal"/>
            </w:pPr>
          </w:p>
        </w:tc>
        <w:tc>
          <w:tcPr>
            <w:tcW w:w="1701" w:type="dxa"/>
            <w:vAlign w:val="center"/>
          </w:tcPr>
          <w:p w14:paraId="4DEBEFAB" w14:textId="77777777" w:rsidR="00454A29" w:rsidRDefault="00454A29">
            <w:pPr>
              <w:pStyle w:val="ConsPlusNormal"/>
            </w:pPr>
          </w:p>
        </w:tc>
        <w:tc>
          <w:tcPr>
            <w:tcW w:w="1701" w:type="dxa"/>
            <w:vAlign w:val="center"/>
          </w:tcPr>
          <w:p w14:paraId="6F5656B3" w14:textId="77777777" w:rsidR="00454A29" w:rsidRDefault="00454A29">
            <w:pPr>
              <w:pStyle w:val="ConsPlusNormal"/>
            </w:pPr>
          </w:p>
        </w:tc>
        <w:tc>
          <w:tcPr>
            <w:tcW w:w="1814" w:type="dxa"/>
            <w:vAlign w:val="center"/>
          </w:tcPr>
          <w:p w14:paraId="5E48FA3A" w14:textId="77777777" w:rsidR="00454A29" w:rsidRDefault="00454A29">
            <w:pPr>
              <w:pStyle w:val="ConsPlusNormal"/>
            </w:pPr>
          </w:p>
        </w:tc>
      </w:tr>
      <w:tr w:rsidR="00454A29" w14:paraId="17010E29" w14:textId="77777777">
        <w:tc>
          <w:tcPr>
            <w:tcW w:w="567" w:type="dxa"/>
            <w:vMerge/>
          </w:tcPr>
          <w:p w14:paraId="127FA6C4" w14:textId="77777777" w:rsidR="00454A29" w:rsidRDefault="00454A29"/>
        </w:tc>
        <w:tc>
          <w:tcPr>
            <w:tcW w:w="3345" w:type="dxa"/>
            <w:vMerge/>
          </w:tcPr>
          <w:p w14:paraId="462D7B81" w14:textId="77777777" w:rsidR="00454A29" w:rsidRDefault="00454A29"/>
        </w:tc>
        <w:tc>
          <w:tcPr>
            <w:tcW w:w="1701" w:type="dxa"/>
            <w:vAlign w:val="center"/>
          </w:tcPr>
          <w:p w14:paraId="59E7D695" w14:textId="77777777" w:rsidR="00454A29" w:rsidRDefault="00454A29">
            <w:pPr>
              <w:pStyle w:val="ConsPlusNormal"/>
              <w:jc w:val="center"/>
            </w:pPr>
            <w:r>
              <w:t>2025</w:t>
            </w:r>
          </w:p>
        </w:tc>
        <w:tc>
          <w:tcPr>
            <w:tcW w:w="1417" w:type="dxa"/>
            <w:vMerge/>
          </w:tcPr>
          <w:p w14:paraId="2E20005A" w14:textId="77777777" w:rsidR="00454A29" w:rsidRDefault="00454A29"/>
        </w:tc>
        <w:tc>
          <w:tcPr>
            <w:tcW w:w="2204" w:type="dxa"/>
            <w:vMerge/>
          </w:tcPr>
          <w:p w14:paraId="1CBA3797" w14:textId="77777777" w:rsidR="00454A29" w:rsidRDefault="00454A29"/>
        </w:tc>
        <w:tc>
          <w:tcPr>
            <w:tcW w:w="1417" w:type="dxa"/>
            <w:vMerge/>
          </w:tcPr>
          <w:p w14:paraId="2EF36CDB" w14:textId="77777777" w:rsidR="00454A29" w:rsidRDefault="00454A29"/>
        </w:tc>
        <w:tc>
          <w:tcPr>
            <w:tcW w:w="2324" w:type="dxa"/>
            <w:vMerge/>
          </w:tcPr>
          <w:p w14:paraId="4BA3CE99" w14:textId="77777777" w:rsidR="00454A29" w:rsidRDefault="00454A29"/>
        </w:tc>
        <w:tc>
          <w:tcPr>
            <w:tcW w:w="1701" w:type="dxa"/>
            <w:vAlign w:val="center"/>
          </w:tcPr>
          <w:p w14:paraId="66399088" w14:textId="77777777" w:rsidR="00454A29" w:rsidRDefault="00454A29">
            <w:pPr>
              <w:pStyle w:val="ConsPlusNormal"/>
            </w:pPr>
          </w:p>
        </w:tc>
        <w:tc>
          <w:tcPr>
            <w:tcW w:w="1814" w:type="dxa"/>
            <w:vAlign w:val="center"/>
          </w:tcPr>
          <w:p w14:paraId="496AA026" w14:textId="77777777" w:rsidR="00454A29" w:rsidRDefault="00454A29">
            <w:pPr>
              <w:pStyle w:val="ConsPlusNormal"/>
            </w:pPr>
          </w:p>
        </w:tc>
        <w:tc>
          <w:tcPr>
            <w:tcW w:w="1701" w:type="dxa"/>
            <w:vAlign w:val="center"/>
          </w:tcPr>
          <w:p w14:paraId="1A8EBD7B" w14:textId="77777777" w:rsidR="00454A29" w:rsidRDefault="00454A29">
            <w:pPr>
              <w:pStyle w:val="ConsPlusNormal"/>
            </w:pPr>
          </w:p>
        </w:tc>
        <w:tc>
          <w:tcPr>
            <w:tcW w:w="1701" w:type="dxa"/>
            <w:vAlign w:val="center"/>
          </w:tcPr>
          <w:p w14:paraId="7107CBD5" w14:textId="77777777" w:rsidR="00454A29" w:rsidRDefault="00454A29">
            <w:pPr>
              <w:pStyle w:val="ConsPlusNormal"/>
            </w:pPr>
          </w:p>
        </w:tc>
        <w:tc>
          <w:tcPr>
            <w:tcW w:w="1814" w:type="dxa"/>
            <w:vAlign w:val="center"/>
          </w:tcPr>
          <w:p w14:paraId="53239467" w14:textId="77777777" w:rsidR="00454A29" w:rsidRDefault="00454A29">
            <w:pPr>
              <w:pStyle w:val="ConsPlusNormal"/>
            </w:pPr>
          </w:p>
        </w:tc>
      </w:tr>
      <w:tr w:rsidR="00454A29" w14:paraId="222B4D7E" w14:textId="77777777">
        <w:tc>
          <w:tcPr>
            <w:tcW w:w="567" w:type="dxa"/>
            <w:vMerge/>
          </w:tcPr>
          <w:p w14:paraId="1E88ED19" w14:textId="77777777" w:rsidR="00454A29" w:rsidRDefault="00454A29"/>
        </w:tc>
        <w:tc>
          <w:tcPr>
            <w:tcW w:w="3345" w:type="dxa"/>
            <w:vMerge/>
          </w:tcPr>
          <w:p w14:paraId="05FCA663" w14:textId="77777777" w:rsidR="00454A29" w:rsidRDefault="00454A29"/>
        </w:tc>
        <w:tc>
          <w:tcPr>
            <w:tcW w:w="1701" w:type="dxa"/>
            <w:vAlign w:val="center"/>
          </w:tcPr>
          <w:p w14:paraId="4887D052" w14:textId="77777777" w:rsidR="00454A29" w:rsidRDefault="00454A29">
            <w:pPr>
              <w:pStyle w:val="ConsPlusNormal"/>
              <w:jc w:val="center"/>
            </w:pPr>
            <w:r>
              <w:t>2026</w:t>
            </w:r>
          </w:p>
        </w:tc>
        <w:tc>
          <w:tcPr>
            <w:tcW w:w="1417" w:type="dxa"/>
            <w:vMerge/>
          </w:tcPr>
          <w:p w14:paraId="1D4FC803" w14:textId="77777777" w:rsidR="00454A29" w:rsidRDefault="00454A29"/>
        </w:tc>
        <w:tc>
          <w:tcPr>
            <w:tcW w:w="2204" w:type="dxa"/>
            <w:vMerge/>
          </w:tcPr>
          <w:p w14:paraId="18B8D5FC" w14:textId="77777777" w:rsidR="00454A29" w:rsidRDefault="00454A29"/>
        </w:tc>
        <w:tc>
          <w:tcPr>
            <w:tcW w:w="1417" w:type="dxa"/>
            <w:vMerge/>
          </w:tcPr>
          <w:p w14:paraId="05F5F58C" w14:textId="77777777" w:rsidR="00454A29" w:rsidRDefault="00454A29"/>
        </w:tc>
        <w:tc>
          <w:tcPr>
            <w:tcW w:w="2324" w:type="dxa"/>
            <w:vMerge/>
          </w:tcPr>
          <w:p w14:paraId="47D9BCE6" w14:textId="77777777" w:rsidR="00454A29" w:rsidRDefault="00454A29"/>
        </w:tc>
        <w:tc>
          <w:tcPr>
            <w:tcW w:w="1701" w:type="dxa"/>
            <w:vAlign w:val="center"/>
          </w:tcPr>
          <w:p w14:paraId="07309083" w14:textId="77777777" w:rsidR="00454A29" w:rsidRDefault="00454A29">
            <w:pPr>
              <w:pStyle w:val="ConsPlusNormal"/>
              <w:jc w:val="center"/>
            </w:pPr>
            <w:r>
              <w:t>331 042,07</w:t>
            </w:r>
          </w:p>
        </w:tc>
        <w:tc>
          <w:tcPr>
            <w:tcW w:w="1814" w:type="dxa"/>
            <w:vAlign w:val="center"/>
          </w:tcPr>
          <w:p w14:paraId="6D24939B" w14:textId="77777777" w:rsidR="00454A29" w:rsidRDefault="00454A29">
            <w:pPr>
              <w:pStyle w:val="ConsPlusNormal"/>
              <w:jc w:val="center"/>
            </w:pPr>
            <w:r>
              <w:t>4 078,44</w:t>
            </w:r>
          </w:p>
        </w:tc>
        <w:tc>
          <w:tcPr>
            <w:tcW w:w="1701" w:type="dxa"/>
            <w:vAlign w:val="center"/>
          </w:tcPr>
          <w:p w14:paraId="2F3F8CFB" w14:textId="77777777" w:rsidR="00454A29" w:rsidRDefault="00454A29">
            <w:pPr>
              <w:pStyle w:val="ConsPlusNormal"/>
              <w:jc w:val="center"/>
            </w:pPr>
            <w:r>
              <w:t>403 765,39</w:t>
            </w:r>
          </w:p>
        </w:tc>
        <w:tc>
          <w:tcPr>
            <w:tcW w:w="1701" w:type="dxa"/>
            <w:vAlign w:val="center"/>
          </w:tcPr>
          <w:p w14:paraId="341053C6" w14:textId="77777777" w:rsidR="00454A29" w:rsidRDefault="00454A29">
            <w:pPr>
              <w:pStyle w:val="ConsPlusNormal"/>
            </w:pPr>
          </w:p>
        </w:tc>
        <w:tc>
          <w:tcPr>
            <w:tcW w:w="1814" w:type="dxa"/>
            <w:vAlign w:val="center"/>
          </w:tcPr>
          <w:p w14:paraId="716A9D8E" w14:textId="77777777" w:rsidR="00454A29" w:rsidRDefault="00454A29">
            <w:pPr>
              <w:pStyle w:val="ConsPlusNormal"/>
            </w:pPr>
          </w:p>
        </w:tc>
      </w:tr>
      <w:tr w:rsidR="00454A29" w14:paraId="0E3E9D78" w14:textId="77777777">
        <w:tc>
          <w:tcPr>
            <w:tcW w:w="567" w:type="dxa"/>
            <w:vMerge w:val="restart"/>
            <w:vAlign w:val="center"/>
          </w:tcPr>
          <w:p w14:paraId="7248ACD1" w14:textId="77777777" w:rsidR="00454A29" w:rsidRDefault="00454A29">
            <w:pPr>
              <w:pStyle w:val="ConsPlusNormal"/>
              <w:jc w:val="center"/>
            </w:pPr>
            <w:r>
              <w:t>79</w:t>
            </w:r>
          </w:p>
        </w:tc>
        <w:tc>
          <w:tcPr>
            <w:tcW w:w="3345" w:type="dxa"/>
            <w:vMerge w:val="restart"/>
            <w:vAlign w:val="center"/>
          </w:tcPr>
          <w:p w14:paraId="691ACA28" w14:textId="77777777" w:rsidR="00454A29" w:rsidRDefault="00454A29">
            <w:pPr>
              <w:pStyle w:val="ConsPlusNormal"/>
              <w:jc w:val="center"/>
            </w:pPr>
            <w:r>
              <w:t>Школа-сад на 20/15 мест в с. Кулун-Елбют</w:t>
            </w:r>
          </w:p>
        </w:tc>
        <w:tc>
          <w:tcPr>
            <w:tcW w:w="1701" w:type="dxa"/>
            <w:vAlign w:val="center"/>
          </w:tcPr>
          <w:p w14:paraId="43CA40AA" w14:textId="77777777" w:rsidR="00454A29" w:rsidRDefault="00454A29">
            <w:pPr>
              <w:pStyle w:val="ConsPlusNormal"/>
              <w:jc w:val="center"/>
            </w:pPr>
            <w:r>
              <w:t>2020 - 2026 годы - всего</w:t>
            </w:r>
          </w:p>
        </w:tc>
        <w:tc>
          <w:tcPr>
            <w:tcW w:w="1417" w:type="dxa"/>
            <w:vMerge w:val="restart"/>
            <w:vAlign w:val="center"/>
          </w:tcPr>
          <w:p w14:paraId="411F9552" w14:textId="77777777" w:rsidR="00454A29" w:rsidRDefault="00454A29">
            <w:pPr>
              <w:pStyle w:val="ConsPlusNormal"/>
              <w:jc w:val="center"/>
            </w:pPr>
            <w:r>
              <w:t>162 854,31</w:t>
            </w:r>
          </w:p>
        </w:tc>
        <w:tc>
          <w:tcPr>
            <w:tcW w:w="2204" w:type="dxa"/>
            <w:vMerge w:val="restart"/>
            <w:vAlign w:val="center"/>
          </w:tcPr>
          <w:p w14:paraId="73B04347" w14:textId="77777777" w:rsidR="00454A29" w:rsidRDefault="00454A29">
            <w:pPr>
              <w:pStyle w:val="ConsPlusNormal"/>
            </w:pPr>
          </w:p>
        </w:tc>
        <w:tc>
          <w:tcPr>
            <w:tcW w:w="1417" w:type="dxa"/>
            <w:vMerge w:val="restart"/>
            <w:vAlign w:val="center"/>
          </w:tcPr>
          <w:p w14:paraId="4C11E87D" w14:textId="77777777" w:rsidR="00454A29" w:rsidRDefault="00454A29">
            <w:pPr>
              <w:pStyle w:val="ConsPlusNormal"/>
              <w:jc w:val="center"/>
            </w:pPr>
            <w:r>
              <w:t>20</w:t>
            </w:r>
          </w:p>
        </w:tc>
        <w:tc>
          <w:tcPr>
            <w:tcW w:w="2324" w:type="dxa"/>
            <w:vMerge w:val="restart"/>
            <w:vAlign w:val="center"/>
          </w:tcPr>
          <w:p w14:paraId="6610DA4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F91B719" w14:textId="77777777" w:rsidR="00454A29" w:rsidRDefault="00454A29">
            <w:pPr>
              <w:pStyle w:val="ConsPlusNormal"/>
              <w:jc w:val="center"/>
            </w:pPr>
            <w:r>
              <w:t>162 854,31</w:t>
            </w:r>
          </w:p>
        </w:tc>
        <w:tc>
          <w:tcPr>
            <w:tcW w:w="1814" w:type="dxa"/>
            <w:vAlign w:val="center"/>
          </w:tcPr>
          <w:p w14:paraId="0429F880" w14:textId="77777777" w:rsidR="00454A29" w:rsidRDefault="00454A29">
            <w:pPr>
              <w:pStyle w:val="ConsPlusNormal"/>
              <w:jc w:val="center"/>
            </w:pPr>
            <w:r>
              <w:t>1 628,54</w:t>
            </w:r>
          </w:p>
        </w:tc>
        <w:tc>
          <w:tcPr>
            <w:tcW w:w="1701" w:type="dxa"/>
            <w:vAlign w:val="center"/>
          </w:tcPr>
          <w:p w14:paraId="592F05BD" w14:textId="77777777" w:rsidR="00454A29" w:rsidRDefault="00454A29">
            <w:pPr>
              <w:pStyle w:val="ConsPlusNormal"/>
              <w:jc w:val="center"/>
            </w:pPr>
            <w:r>
              <w:t>161 225,76</w:t>
            </w:r>
          </w:p>
        </w:tc>
        <w:tc>
          <w:tcPr>
            <w:tcW w:w="1701" w:type="dxa"/>
            <w:vAlign w:val="center"/>
          </w:tcPr>
          <w:p w14:paraId="7BFC092F" w14:textId="77777777" w:rsidR="00454A29" w:rsidRDefault="00454A29">
            <w:pPr>
              <w:pStyle w:val="ConsPlusNormal"/>
              <w:jc w:val="center"/>
            </w:pPr>
            <w:r>
              <w:t>-</w:t>
            </w:r>
          </w:p>
        </w:tc>
        <w:tc>
          <w:tcPr>
            <w:tcW w:w="1814" w:type="dxa"/>
            <w:vAlign w:val="center"/>
          </w:tcPr>
          <w:p w14:paraId="0EF95500" w14:textId="77777777" w:rsidR="00454A29" w:rsidRDefault="00454A29">
            <w:pPr>
              <w:pStyle w:val="ConsPlusNormal"/>
              <w:jc w:val="center"/>
            </w:pPr>
            <w:r>
              <w:t>-</w:t>
            </w:r>
          </w:p>
        </w:tc>
      </w:tr>
      <w:tr w:rsidR="00454A29" w14:paraId="6D80618D" w14:textId="77777777">
        <w:tc>
          <w:tcPr>
            <w:tcW w:w="567" w:type="dxa"/>
            <w:vMerge/>
          </w:tcPr>
          <w:p w14:paraId="132BCE7A" w14:textId="77777777" w:rsidR="00454A29" w:rsidRDefault="00454A29"/>
        </w:tc>
        <w:tc>
          <w:tcPr>
            <w:tcW w:w="3345" w:type="dxa"/>
            <w:vMerge/>
          </w:tcPr>
          <w:p w14:paraId="129CD58C" w14:textId="77777777" w:rsidR="00454A29" w:rsidRDefault="00454A29"/>
        </w:tc>
        <w:tc>
          <w:tcPr>
            <w:tcW w:w="1701" w:type="dxa"/>
            <w:vAlign w:val="center"/>
          </w:tcPr>
          <w:p w14:paraId="25B90A51" w14:textId="77777777" w:rsidR="00454A29" w:rsidRDefault="00454A29">
            <w:pPr>
              <w:pStyle w:val="ConsPlusNormal"/>
              <w:jc w:val="center"/>
            </w:pPr>
            <w:r>
              <w:t>2020</w:t>
            </w:r>
          </w:p>
        </w:tc>
        <w:tc>
          <w:tcPr>
            <w:tcW w:w="1417" w:type="dxa"/>
            <w:vMerge/>
          </w:tcPr>
          <w:p w14:paraId="46CD9094" w14:textId="77777777" w:rsidR="00454A29" w:rsidRDefault="00454A29"/>
        </w:tc>
        <w:tc>
          <w:tcPr>
            <w:tcW w:w="2204" w:type="dxa"/>
            <w:vMerge/>
          </w:tcPr>
          <w:p w14:paraId="57305EB9" w14:textId="77777777" w:rsidR="00454A29" w:rsidRDefault="00454A29"/>
        </w:tc>
        <w:tc>
          <w:tcPr>
            <w:tcW w:w="1417" w:type="dxa"/>
            <w:vMerge/>
          </w:tcPr>
          <w:p w14:paraId="75AEBAB1" w14:textId="77777777" w:rsidR="00454A29" w:rsidRDefault="00454A29"/>
        </w:tc>
        <w:tc>
          <w:tcPr>
            <w:tcW w:w="2324" w:type="dxa"/>
            <w:vMerge/>
          </w:tcPr>
          <w:p w14:paraId="4B3D1030" w14:textId="77777777" w:rsidR="00454A29" w:rsidRDefault="00454A29"/>
        </w:tc>
        <w:tc>
          <w:tcPr>
            <w:tcW w:w="1701" w:type="dxa"/>
            <w:vAlign w:val="center"/>
          </w:tcPr>
          <w:p w14:paraId="00A2CCE5" w14:textId="77777777" w:rsidR="00454A29" w:rsidRDefault="00454A29">
            <w:pPr>
              <w:pStyle w:val="ConsPlusNormal"/>
            </w:pPr>
          </w:p>
        </w:tc>
        <w:tc>
          <w:tcPr>
            <w:tcW w:w="1814" w:type="dxa"/>
            <w:vAlign w:val="center"/>
          </w:tcPr>
          <w:p w14:paraId="009B1D4D" w14:textId="77777777" w:rsidR="00454A29" w:rsidRDefault="00454A29">
            <w:pPr>
              <w:pStyle w:val="ConsPlusNormal"/>
            </w:pPr>
          </w:p>
        </w:tc>
        <w:tc>
          <w:tcPr>
            <w:tcW w:w="1701" w:type="dxa"/>
            <w:vAlign w:val="center"/>
          </w:tcPr>
          <w:p w14:paraId="59BFB79D" w14:textId="77777777" w:rsidR="00454A29" w:rsidRDefault="00454A29">
            <w:pPr>
              <w:pStyle w:val="ConsPlusNormal"/>
            </w:pPr>
          </w:p>
        </w:tc>
        <w:tc>
          <w:tcPr>
            <w:tcW w:w="1701" w:type="dxa"/>
            <w:vAlign w:val="center"/>
          </w:tcPr>
          <w:p w14:paraId="2AF3E08E" w14:textId="77777777" w:rsidR="00454A29" w:rsidRDefault="00454A29">
            <w:pPr>
              <w:pStyle w:val="ConsPlusNormal"/>
            </w:pPr>
          </w:p>
        </w:tc>
        <w:tc>
          <w:tcPr>
            <w:tcW w:w="1814" w:type="dxa"/>
            <w:vAlign w:val="center"/>
          </w:tcPr>
          <w:p w14:paraId="68FA82FF" w14:textId="77777777" w:rsidR="00454A29" w:rsidRDefault="00454A29">
            <w:pPr>
              <w:pStyle w:val="ConsPlusNormal"/>
            </w:pPr>
          </w:p>
        </w:tc>
      </w:tr>
      <w:tr w:rsidR="00454A29" w14:paraId="38EDB339" w14:textId="77777777">
        <w:tc>
          <w:tcPr>
            <w:tcW w:w="567" w:type="dxa"/>
            <w:vMerge/>
          </w:tcPr>
          <w:p w14:paraId="712B5428" w14:textId="77777777" w:rsidR="00454A29" w:rsidRDefault="00454A29"/>
        </w:tc>
        <w:tc>
          <w:tcPr>
            <w:tcW w:w="3345" w:type="dxa"/>
            <w:vMerge/>
          </w:tcPr>
          <w:p w14:paraId="26487F24" w14:textId="77777777" w:rsidR="00454A29" w:rsidRDefault="00454A29"/>
        </w:tc>
        <w:tc>
          <w:tcPr>
            <w:tcW w:w="1701" w:type="dxa"/>
            <w:vAlign w:val="center"/>
          </w:tcPr>
          <w:p w14:paraId="46423E40" w14:textId="77777777" w:rsidR="00454A29" w:rsidRDefault="00454A29">
            <w:pPr>
              <w:pStyle w:val="ConsPlusNormal"/>
              <w:jc w:val="center"/>
            </w:pPr>
            <w:r>
              <w:t>2021</w:t>
            </w:r>
          </w:p>
        </w:tc>
        <w:tc>
          <w:tcPr>
            <w:tcW w:w="1417" w:type="dxa"/>
            <w:vMerge/>
          </w:tcPr>
          <w:p w14:paraId="765B0399" w14:textId="77777777" w:rsidR="00454A29" w:rsidRDefault="00454A29"/>
        </w:tc>
        <w:tc>
          <w:tcPr>
            <w:tcW w:w="2204" w:type="dxa"/>
            <w:vMerge/>
          </w:tcPr>
          <w:p w14:paraId="1CA6096F" w14:textId="77777777" w:rsidR="00454A29" w:rsidRDefault="00454A29"/>
        </w:tc>
        <w:tc>
          <w:tcPr>
            <w:tcW w:w="1417" w:type="dxa"/>
            <w:vMerge/>
          </w:tcPr>
          <w:p w14:paraId="28C49CC0" w14:textId="77777777" w:rsidR="00454A29" w:rsidRDefault="00454A29"/>
        </w:tc>
        <w:tc>
          <w:tcPr>
            <w:tcW w:w="2324" w:type="dxa"/>
            <w:vMerge/>
          </w:tcPr>
          <w:p w14:paraId="19BE38C9" w14:textId="77777777" w:rsidR="00454A29" w:rsidRDefault="00454A29"/>
        </w:tc>
        <w:tc>
          <w:tcPr>
            <w:tcW w:w="1701" w:type="dxa"/>
            <w:vAlign w:val="center"/>
          </w:tcPr>
          <w:p w14:paraId="319531FD" w14:textId="77777777" w:rsidR="00454A29" w:rsidRDefault="00454A29">
            <w:pPr>
              <w:pStyle w:val="ConsPlusNormal"/>
            </w:pPr>
          </w:p>
        </w:tc>
        <w:tc>
          <w:tcPr>
            <w:tcW w:w="1814" w:type="dxa"/>
            <w:vAlign w:val="center"/>
          </w:tcPr>
          <w:p w14:paraId="43AB8EE0" w14:textId="77777777" w:rsidR="00454A29" w:rsidRDefault="00454A29">
            <w:pPr>
              <w:pStyle w:val="ConsPlusNormal"/>
            </w:pPr>
          </w:p>
        </w:tc>
        <w:tc>
          <w:tcPr>
            <w:tcW w:w="1701" w:type="dxa"/>
            <w:vAlign w:val="center"/>
          </w:tcPr>
          <w:p w14:paraId="27950AA8" w14:textId="77777777" w:rsidR="00454A29" w:rsidRDefault="00454A29">
            <w:pPr>
              <w:pStyle w:val="ConsPlusNormal"/>
            </w:pPr>
          </w:p>
        </w:tc>
        <w:tc>
          <w:tcPr>
            <w:tcW w:w="1701" w:type="dxa"/>
            <w:vAlign w:val="center"/>
          </w:tcPr>
          <w:p w14:paraId="1BC69C5C" w14:textId="77777777" w:rsidR="00454A29" w:rsidRDefault="00454A29">
            <w:pPr>
              <w:pStyle w:val="ConsPlusNormal"/>
            </w:pPr>
          </w:p>
        </w:tc>
        <w:tc>
          <w:tcPr>
            <w:tcW w:w="1814" w:type="dxa"/>
            <w:vAlign w:val="center"/>
          </w:tcPr>
          <w:p w14:paraId="2D693A48" w14:textId="77777777" w:rsidR="00454A29" w:rsidRDefault="00454A29">
            <w:pPr>
              <w:pStyle w:val="ConsPlusNormal"/>
            </w:pPr>
          </w:p>
        </w:tc>
      </w:tr>
      <w:tr w:rsidR="00454A29" w14:paraId="187C80EB" w14:textId="77777777">
        <w:tc>
          <w:tcPr>
            <w:tcW w:w="567" w:type="dxa"/>
            <w:vMerge/>
          </w:tcPr>
          <w:p w14:paraId="12016E19" w14:textId="77777777" w:rsidR="00454A29" w:rsidRDefault="00454A29"/>
        </w:tc>
        <w:tc>
          <w:tcPr>
            <w:tcW w:w="3345" w:type="dxa"/>
            <w:vMerge/>
          </w:tcPr>
          <w:p w14:paraId="5BE96722" w14:textId="77777777" w:rsidR="00454A29" w:rsidRDefault="00454A29"/>
        </w:tc>
        <w:tc>
          <w:tcPr>
            <w:tcW w:w="1701" w:type="dxa"/>
            <w:vAlign w:val="center"/>
          </w:tcPr>
          <w:p w14:paraId="24266A15" w14:textId="77777777" w:rsidR="00454A29" w:rsidRDefault="00454A29">
            <w:pPr>
              <w:pStyle w:val="ConsPlusNormal"/>
              <w:jc w:val="center"/>
            </w:pPr>
            <w:r>
              <w:t>2022</w:t>
            </w:r>
          </w:p>
        </w:tc>
        <w:tc>
          <w:tcPr>
            <w:tcW w:w="1417" w:type="dxa"/>
            <w:vMerge/>
          </w:tcPr>
          <w:p w14:paraId="70C05C3A" w14:textId="77777777" w:rsidR="00454A29" w:rsidRDefault="00454A29"/>
        </w:tc>
        <w:tc>
          <w:tcPr>
            <w:tcW w:w="2204" w:type="dxa"/>
            <w:vMerge/>
          </w:tcPr>
          <w:p w14:paraId="1E9F0A8B" w14:textId="77777777" w:rsidR="00454A29" w:rsidRDefault="00454A29"/>
        </w:tc>
        <w:tc>
          <w:tcPr>
            <w:tcW w:w="1417" w:type="dxa"/>
            <w:vMerge/>
          </w:tcPr>
          <w:p w14:paraId="56643882" w14:textId="77777777" w:rsidR="00454A29" w:rsidRDefault="00454A29"/>
        </w:tc>
        <w:tc>
          <w:tcPr>
            <w:tcW w:w="2324" w:type="dxa"/>
            <w:vMerge/>
          </w:tcPr>
          <w:p w14:paraId="5DD8AE0A" w14:textId="77777777" w:rsidR="00454A29" w:rsidRDefault="00454A29"/>
        </w:tc>
        <w:tc>
          <w:tcPr>
            <w:tcW w:w="1701" w:type="dxa"/>
            <w:vAlign w:val="center"/>
          </w:tcPr>
          <w:p w14:paraId="5C99952A" w14:textId="77777777" w:rsidR="00454A29" w:rsidRDefault="00454A29">
            <w:pPr>
              <w:pStyle w:val="ConsPlusNormal"/>
            </w:pPr>
          </w:p>
        </w:tc>
        <w:tc>
          <w:tcPr>
            <w:tcW w:w="1814" w:type="dxa"/>
            <w:vAlign w:val="center"/>
          </w:tcPr>
          <w:p w14:paraId="0AFC5CCE" w14:textId="77777777" w:rsidR="00454A29" w:rsidRDefault="00454A29">
            <w:pPr>
              <w:pStyle w:val="ConsPlusNormal"/>
            </w:pPr>
          </w:p>
        </w:tc>
        <w:tc>
          <w:tcPr>
            <w:tcW w:w="1701" w:type="dxa"/>
            <w:vAlign w:val="center"/>
          </w:tcPr>
          <w:p w14:paraId="0E80F792" w14:textId="77777777" w:rsidR="00454A29" w:rsidRDefault="00454A29">
            <w:pPr>
              <w:pStyle w:val="ConsPlusNormal"/>
            </w:pPr>
          </w:p>
        </w:tc>
        <w:tc>
          <w:tcPr>
            <w:tcW w:w="1701" w:type="dxa"/>
            <w:vAlign w:val="center"/>
          </w:tcPr>
          <w:p w14:paraId="04A66061" w14:textId="77777777" w:rsidR="00454A29" w:rsidRDefault="00454A29">
            <w:pPr>
              <w:pStyle w:val="ConsPlusNormal"/>
            </w:pPr>
          </w:p>
        </w:tc>
        <w:tc>
          <w:tcPr>
            <w:tcW w:w="1814" w:type="dxa"/>
            <w:vAlign w:val="center"/>
          </w:tcPr>
          <w:p w14:paraId="7DCC0F86" w14:textId="77777777" w:rsidR="00454A29" w:rsidRDefault="00454A29">
            <w:pPr>
              <w:pStyle w:val="ConsPlusNormal"/>
            </w:pPr>
          </w:p>
        </w:tc>
      </w:tr>
      <w:tr w:rsidR="00454A29" w14:paraId="41B1C125" w14:textId="77777777">
        <w:tc>
          <w:tcPr>
            <w:tcW w:w="567" w:type="dxa"/>
            <w:vMerge/>
          </w:tcPr>
          <w:p w14:paraId="7B6A66F2" w14:textId="77777777" w:rsidR="00454A29" w:rsidRDefault="00454A29"/>
        </w:tc>
        <w:tc>
          <w:tcPr>
            <w:tcW w:w="3345" w:type="dxa"/>
            <w:vMerge/>
          </w:tcPr>
          <w:p w14:paraId="3BFC5F3B" w14:textId="77777777" w:rsidR="00454A29" w:rsidRDefault="00454A29"/>
        </w:tc>
        <w:tc>
          <w:tcPr>
            <w:tcW w:w="1701" w:type="dxa"/>
            <w:vAlign w:val="center"/>
          </w:tcPr>
          <w:p w14:paraId="5BDE2416" w14:textId="77777777" w:rsidR="00454A29" w:rsidRDefault="00454A29">
            <w:pPr>
              <w:pStyle w:val="ConsPlusNormal"/>
              <w:jc w:val="center"/>
            </w:pPr>
            <w:r>
              <w:t>2023</w:t>
            </w:r>
          </w:p>
        </w:tc>
        <w:tc>
          <w:tcPr>
            <w:tcW w:w="1417" w:type="dxa"/>
            <w:vMerge/>
          </w:tcPr>
          <w:p w14:paraId="741B4F08" w14:textId="77777777" w:rsidR="00454A29" w:rsidRDefault="00454A29"/>
        </w:tc>
        <w:tc>
          <w:tcPr>
            <w:tcW w:w="2204" w:type="dxa"/>
            <w:vMerge/>
          </w:tcPr>
          <w:p w14:paraId="56B3ED73" w14:textId="77777777" w:rsidR="00454A29" w:rsidRDefault="00454A29"/>
        </w:tc>
        <w:tc>
          <w:tcPr>
            <w:tcW w:w="1417" w:type="dxa"/>
            <w:vMerge/>
          </w:tcPr>
          <w:p w14:paraId="4FA9453E" w14:textId="77777777" w:rsidR="00454A29" w:rsidRDefault="00454A29"/>
        </w:tc>
        <w:tc>
          <w:tcPr>
            <w:tcW w:w="2324" w:type="dxa"/>
            <w:vMerge/>
          </w:tcPr>
          <w:p w14:paraId="2BD24E04" w14:textId="77777777" w:rsidR="00454A29" w:rsidRDefault="00454A29"/>
        </w:tc>
        <w:tc>
          <w:tcPr>
            <w:tcW w:w="1701" w:type="dxa"/>
            <w:vAlign w:val="center"/>
          </w:tcPr>
          <w:p w14:paraId="3E07B7E9" w14:textId="77777777" w:rsidR="00454A29" w:rsidRDefault="00454A29">
            <w:pPr>
              <w:pStyle w:val="ConsPlusNormal"/>
              <w:jc w:val="center"/>
            </w:pPr>
            <w:r>
              <w:t>-</w:t>
            </w:r>
          </w:p>
        </w:tc>
        <w:tc>
          <w:tcPr>
            <w:tcW w:w="1814" w:type="dxa"/>
            <w:vAlign w:val="center"/>
          </w:tcPr>
          <w:p w14:paraId="492731EC" w14:textId="77777777" w:rsidR="00454A29" w:rsidRDefault="00454A29">
            <w:pPr>
              <w:pStyle w:val="ConsPlusNormal"/>
            </w:pPr>
          </w:p>
        </w:tc>
        <w:tc>
          <w:tcPr>
            <w:tcW w:w="1701" w:type="dxa"/>
            <w:vAlign w:val="center"/>
          </w:tcPr>
          <w:p w14:paraId="7FB30120" w14:textId="77777777" w:rsidR="00454A29" w:rsidRDefault="00454A29">
            <w:pPr>
              <w:pStyle w:val="ConsPlusNormal"/>
            </w:pPr>
          </w:p>
        </w:tc>
        <w:tc>
          <w:tcPr>
            <w:tcW w:w="1701" w:type="dxa"/>
            <w:vAlign w:val="center"/>
          </w:tcPr>
          <w:p w14:paraId="113F1307" w14:textId="77777777" w:rsidR="00454A29" w:rsidRDefault="00454A29">
            <w:pPr>
              <w:pStyle w:val="ConsPlusNormal"/>
            </w:pPr>
          </w:p>
        </w:tc>
        <w:tc>
          <w:tcPr>
            <w:tcW w:w="1814" w:type="dxa"/>
            <w:vAlign w:val="center"/>
          </w:tcPr>
          <w:p w14:paraId="3BC9A452" w14:textId="77777777" w:rsidR="00454A29" w:rsidRDefault="00454A29">
            <w:pPr>
              <w:pStyle w:val="ConsPlusNormal"/>
            </w:pPr>
          </w:p>
        </w:tc>
      </w:tr>
      <w:tr w:rsidR="00454A29" w14:paraId="180506D7" w14:textId="77777777">
        <w:tc>
          <w:tcPr>
            <w:tcW w:w="567" w:type="dxa"/>
            <w:vMerge/>
          </w:tcPr>
          <w:p w14:paraId="5B4B7CBC" w14:textId="77777777" w:rsidR="00454A29" w:rsidRDefault="00454A29"/>
        </w:tc>
        <w:tc>
          <w:tcPr>
            <w:tcW w:w="3345" w:type="dxa"/>
            <w:vMerge/>
          </w:tcPr>
          <w:p w14:paraId="79FD1F65" w14:textId="77777777" w:rsidR="00454A29" w:rsidRDefault="00454A29"/>
        </w:tc>
        <w:tc>
          <w:tcPr>
            <w:tcW w:w="1701" w:type="dxa"/>
            <w:vAlign w:val="center"/>
          </w:tcPr>
          <w:p w14:paraId="7EAA637E" w14:textId="77777777" w:rsidR="00454A29" w:rsidRDefault="00454A29">
            <w:pPr>
              <w:pStyle w:val="ConsPlusNormal"/>
              <w:jc w:val="center"/>
            </w:pPr>
            <w:r>
              <w:t>2024</w:t>
            </w:r>
          </w:p>
        </w:tc>
        <w:tc>
          <w:tcPr>
            <w:tcW w:w="1417" w:type="dxa"/>
            <w:vMerge/>
          </w:tcPr>
          <w:p w14:paraId="69B7D813" w14:textId="77777777" w:rsidR="00454A29" w:rsidRDefault="00454A29"/>
        </w:tc>
        <w:tc>
          <w:tcPr>
            <w:tcW w:w="2204" w:type="dxa"/>
            <w:vMerge/>
          </w:tcPr>
          <w:p w14:paraId="4CE9421E" w14:textId="77777777" w:rsidR="00454A29" w:rsidRDefault="00454A29"/>
        </w:tc>
        <w:tc>
          <w:tcPr>
            <w:tcW w:w="1417" w:type="dxa"/>
            <w:vMerge/>
          </w:tcPr>
          <w:p w14:paraId="2B9A6459" w14:textId="77777777" w:rsidR="00454A29" w:rsidRDefault="00454A29"/>
        </w:tc>
        <w:tc>
          <w:tcPr>
            <w:tcW w:w="2324" w:type="dxa"/>
            <w:vMerge/>
          </w:tcPr>
          <w:p w14:paraId="5D086FF0" w14:textId="77777777" w:rsidR="00454A29" w:rsidRDefault="00454A29"/>
        </w:tc>
        <w:tc>
          <w:tcPr>
            <w:tcW w:w="1701" w:type="dxa"/>
            <w:vAlign w:val="center"/>
          </w:tcPr>
          <w:p w14:paraId="27BB4093" w14:textId="77777777" w:rsidR="00454A29" w:rsidRDefault="00454A29">
            <w:pPr>
              <w:pStyle w:val="ConsPlusNormal"/>
            </w:pPr>
          </w:p>
        </w:tc>
        <w:tc>
          <w:tcPr>
            <w:tcW w:w="1814" w:type="dxa"/>
            <w:vAlign w:val="center"/>
          </w:tcPr>
          <w:p w14:paraId="55A920F1" w14:textId="77777777" w:rsidR="00454A29" w:rsidRDefault="00454A29">
            <w:pPr>
              <w:pStyle w:val="ConsPlusNormal"/>
            </w:pPr>
          </w:p>
        </w:tc>
        <w:tc>
          <w:tcPr>
            <w:tcW w:w="1701" w:type="dxa"/>
            <w:vAlign w:val="center"/>
          </w:tcPr>
          <w:p w14:paraId="546199B6" w14:textId="77777777" w:rsidR="00454A29" w:rsidRDefault="00454A29">
            <w:pPr>
              <w:pStyle w:val="ConsPlusNormal"/>
            </w:pPr>
          </w:p>
        </w:tc>
        <w:tc>
          <w:tcPr>
            <w:tcW w:w="1701" w:type="dxa"/>
            <w:vAlign w:val="center"/>
          </w:tcPr>
          <w:p w14:paraId="3F52C4FE" w14:textId="77777777" w:rsidR="00454A29" w:rsidRDefault="00454A29">
            <w:pPr>
              <w:pStyle w:val="ConsPlusNormal"/>
            </w:pPr>
          </w:p>
        </w:tc>
        <w:tc>
          <w:tcPr>
            <w:tcW w:w="1814" w:type="dxa"/>
            <w:vAlign w:val="center"/>
          </w:tcPr>
          <w:p w14:paraId="655C1100" w14:textId="77777777" w:rsidR="00454A29" w:rsidRDefault="00454A29">
            <w:pPr>
              <w:pStyle w:val="ConsPlusNormal"/>
            </w:pPr>
          </w:p>
        </w:tc>
      </w:tr>
      <w:tr w:rsidR="00454A29" w14:paraId="5C6FE1E1" w14:textId="77777777">
        <w:tc>
          <w:tcPr>
            <w:tcW w:w="567" w:type="dxa"/>
            <w:vMerge/>
          </w:tcPr>
          <w:p w14:paraId="13E437C8" w14:textId="77777777" w:rsidR="00454A29" w:rsidRDefault="00454A29"/>
        </w:tc>
        <w:tc>
          <w:tcPr>
            <w:tcW w:w="3345" w:type="dxa"/>
            <w:vMerge/>
          </w:tcPr>
          <w:p w14:paraId="353CA6AF" w14:textId="77777777" w:rsidR="00454A29" w:rsidRDefault="00454A29"/>
        </w:tc>
        <w:tc>
          <w:tcPr>
            <w:tcW w:w="1701" w:type="dxa"/>
            <w:vAlign w:val="center"/>
          </w:tcPr>
          <w:p w14:paraId="72D355CC" w14:textId="77777777" w:rsidR="00454A29" w:rsidRDefault="00454A29">
            <w:pPr>
              <w:pStyle w:val="ConsPlusNormal"/>
              <w:jc w:val="center"/>
            </w:pPr>
            <w:r>
              <w:t>2025</w:t>
            </w:r>
          </w:p>
        </w:tc>
        <w:tc>
          <w:tcPr>
            <w:tcW w:w="1417" w:type="dxa"/>
            <w:vMerge/>
          </w:tcPr>
          <w:p w14:paraId="308F653A" w14:textId="77777777" w:rsidR="00454A29" w:rsidRDefault="00454A29"/>
        </w:tc>
        <w:tc>
          <w:tcPr>
            <w:tcW w:w="2204" w:type="dxa"/>
            <w:vMerge/>
          </w:tcPr>
          <w:p w14:paraId="082B2E20" w14:textId="77777777" w:rsidR="00454A29" w:rsidRDefault="00454A29"/>
        </w:tc>
        <w:tc>
          <w:tcPr>
            <w:tcW w:w="1417" w:type="dxa"/>
            <w:vMerge/>
          </w:tcPr>
          <w:p w14:paraId="7B95431C" w14:textId="77777777" w:rsidR="00454A29" w:rsidRDefault="00454A29"/>
        </w:tc>
        <w:tc>
          <w:tcPr>
            <w:tcW w:w="2324" w:type="dxa"/>
            <w:vMerge/>
          </w:tcPr>
          <w:p w14:paraId="283C7FEF" w14:textId="77777777" w:rsidR="00454A29" w:rsidRDefault="00454A29"/>
        </w:tc>
        <w:tc>
          <w:tcPr>
            <w:tcW w:w="1701" w:type="dxa"/>
            <w:vAlign w:val="center"/>
          </w:tcPr>
          <w:p w14:paraId="3404C9EB" w14:textId="77777777" w:rsidR="00454A29" w:rsidRDefault="00454A29">
            <w:pPr>
              <w:pStyle w:val="ConsPlusNormal"/>
              <w:jc w:val="center"/>
            </w:pPr>
            <w:r>
              <w:t>162 854,31</w:t>
            </w:r>
          </w:p>
        </w:tc>
        <w:tc>
          <w:tcPr>
            <w:tcW w:w="1814" w:type="dxa"/>
            <w:vAlign w:val="center"/>
          </w:tcPr>
          <w:p w14:paraId="36C30AE6" w14:textId="77777777" w:rsidR="00454A29" w:rsidRDefault="00454A29">
            <w:pPr>
              <w:pStyle w:val="ConsPlusNormal"/>
              <w:jc w:val="center"/>
            </w:pPr>
            <w:r>
              <w:t>1 628,54</w:t>
            </w:r>
          </w:p>
        </w:tc>
        <w:tc>
          <w:tcPr>
            <w:tcW w:w="1701" w:type="dxa"/>
            <w:vAlign w:val="center"/>
          </w:tcPr>
          <w:p w14:paraId="7385DAD0" w14:textId="77777777" w:rsidR="00454A29" w:rsidRDefault="00454A29">
            <w:pPr>
              <w:pStyle w:val="ConsPlusNormal"/>
              <w:jc w:val="center"/>
            </w:pPr>
            <w:r>
              <w:t>161 225,76</w:t>
            </w:r>
          </w:p>
        </w:tc>
        <w:tc>
          <w:tcPr>
            <w:tcW w:w="1701" w:type="dxa"/>
            <w:vAlign w:val="center"/>
          </w:tcPr>
          <w:p w14:paraId="712865C8" w14:textId="77777777" w:rsidR="00454A29" w:rsidRDefault="00454A29">
            <w:pPr>
              <w:pStyle w:val="ConsPlusNormal"/>
            </w:pPr>
          </w:p>
        </w:tc>
        <w:tc>
          <w:tcPr>
            <w:tcW w:w="1814" w:type="dxa"/>
            <w:vAlign w:val="center"/>
          </w:tcPr>
          <w:p w14:paraId="35D58C30" w14:textId="77777777" w:rsidR="00454A29" w:rsidRDefault="00454A29">
            <w:pPr>
              <w:pStyle w:val="ConsPlusNormal"/>
            </w:pPr>
          </w:p>
        </w:tc>
      </w:tr>
      <w:tr w:rsidR="00454A29" w14:paraId="34B1426B" w14:textId="77777777">
        <w:tc>
          <w:tcPr>
            <w:tcW w:w="567" w:type="dxa"/>
            <w:vMerge/>
          </w:tcPr>
          <w:p w14:paraId="4B3969C7" w14:textId="77777777" w:rsidR="00454A29" w:rsidRDefault="00454A29"/>
        </w:tc>
        <w:tc>
          <w:tcPr>
            <w:tcW w:w="3345" w:type="dxa"/>
            <w:vMerge/>
          </w:tcPr>
          <w:p w14:paraId="749BC67D" w14:textId="77777777" w:rsidR="00454A29" w:rsidRDefault="00454A29"/>
        </w:tc>
        <w:tc>
          <w:tcPr>
            <w:tcW w:w="1701" w:type="dxa"/>
            <w:vAlign w:val="center"/>
          </w:tcPr>
          <w:p w14:paraId="171AA964" w14:textId="77777777" w:rsidR="00454A29" w:rsidRDefault="00454A29">
            <w:pPr>
              <w:pStyle w:val="ConsPlusNormal"/>
              <w:jc w:val="center"/>
            </w:pPr>
            <w:r>
              <w:t>2026</w:t>
            </w:r>
          </w:p>
        </w:tc>
        <w:tc>
          <w:tcPr>
            <w:tcW w:w="1417" w:type="dxa"/>
            <w:vMerge/>
          </w:tcPr>
          <w:p w14:paraId="74E11E18" w14:textId="77777777" w:rsidR="00454A29" w:rsidRDefault="00454A29"/>
        </w:tc>
        <w:tc>
          <w:tcPr>
            <w:tcW w:w="2204" w:type="dxa"/>
            <w:vMerge/>
          </w:tcPr>
          <w:p w14:paraId="7B4C6478" w14:textId="77777777" w:rsidR="00454A29" w:rsidRDefault="00454A29"/>
        </w:tc>
        <w:tc>
          <w:tcPr>
            <w:tcW w:w="1417" w:type="dxa"/>
            <w:vMerge/>
          </w:tcPr>
          <w:p w14:paraId="3CB74335" w14:textId="77777777" w:rsidR="00454A29" w:rsidRDefault="00454A29"/>
        </w:tc>
        <w:tc>
          <w:tcPr>
            <w:tcW w:w="2324" w:type="dxa"/>
            <w:vMerge/>
          </w:tcPr>
          <w:p w14:paraId="5D9A2C95" w14:textId="77777777" w:rsidR="00454A29" w:rsidRDefault="00454A29"/>
        </w:tc>
        <w:tc>
          <w:tcPr>
            <w:tcW w:w="1701" w:type="dxa"/>
            <w:vAlign w:val="center"/>
          </w:tcPr>
          <w:p w14:paraId="7EAD3248" w14:textId="77777777" w:rsidR="00454A29" w:rsidRDefault="00454A29">
            <w:pPr>
              <w:pStyle w:val="ConsPlusNormal"/>
            </w:pPr>
          </w:p>
        </w:tc>
        <w:tc>
          <w:tcPr>
            <w:tcW w:w="1814" w:type="dxa"/>
            <w:vAlign w:val="center"/>
          </w:tcPr>
          <w:p w14:paraId="556EF269" w14:textId="77777777" w:rsidR="00454A29" w:rsidRDefault="00454A29">
            <w:pPr>
              <w:pStyle w:val="ConsPlusNormal"/>
            </w:pPr>
          </w:p>
        </w:tc>
        <w:tc>
          <w:tcPr>
            <w:tcW w:w="1701" w:type="dxa"/>
            <w:vAlign w:val="center"/>
          </w:tcPr>
          <w:p w14:paraId="1C568289" w14:textId="77777777" w:rsidR="00454A29" w:rsidRDefault="00454A29">
            <w:pPr>
              <w:pStyle w:val="ConsPlusNormal"/>
            </w:pPr>
          </w:p>
        </w:tc>
        <w:tc>
          <w:tcPr>
            <w:tcW w:w="1701" w:type="dxa"/>
            <w:vAlign w:val="center"/>
          </w:tcPr>
          <w:p w14:paraId="3DDA73D2" w14:textId="77777777" w:rsidR="00454A29" w:rsidRDefault="00454A29">
            <w:pPr>
              <w:pStyle w:val="ConsPlusNormal"/>
            </w:pPr>
          </w:p>
        </w:tc>
        <w:tc>
          <w:tcPr>
            <w:tcW w:w="1814" w:type="dxa"/>
            <w:vAlign w:val="center"/>
          </w:tcPr>
          <w:p w14:paraId="009A2605" w14:textId="77777777" w:rsidR="00454A29" w:rsidRDefault="00454A29">
            <w:pPr>
              <w:pStyle w:val="ConsPlusNormal"/>
            </w:pPr>
          </w:p>
        </w:tc>
      </w:tr>
      <w:tr w:rsidR="00454A29" w14:paraId="28F5895B" w14:textId="77777777">
        <w:tc>
          <w:tcPr>
            <w:tcW w:w="567" w:type="dxa"/>
            <w:vMerge w:val="restart"/>
            <w:vAlign w:val="center"/>
          </w:tcPr>
          <w:p w14:paraId="0F4DC9FC" w14:textId="77777777" w:rsidR="00454A29" w:rsidRDefault="00454A29">
            <w:pPr>
              <w:pStyle w:val="ConsPlusNormal"/>
              <w:jc w:val="center"/>
            </w:pPr>
            <w:r>
              <w:t>80</w:t>
            </w:r>
          </w:p>
        </w:tc>
        <w:tc>
          <w:tcPr>
            <w:tcW w:w="3345" w:type="dxa"/>
            <w:vMerge w:val="restart"/>
            <w:vAlign w:val="center"/>
          </w:tcPr>
          <w:p w14:paraId="364A6F9F" w14:textId="77777777" w:rsidR="00454A29" w:rsidRDefault="00454A29">
            <w:pPr>
              <w:pStyle w:val="ConsPlusNormal"/>
              <w:jc w:val="center"/>
            </w:pPr>
            <w:r>
              <w:t>Школа-сад на 120/75 мест в с. Хонуу</w:t>
            </w:r>
          </w:p>
        </w:tc>
        <w:tc>
          <w:tcPr>
            <w:tcW w:w="1701" w:type="dxa"/>
            <w:vAlign w:val="center"/>
          </w:tcPr>
          <w:p w14:paraId="60A90941" w14:textId="77777777" w:rsidR="00454A29" w:rsidRDefault="00454A29">
            <w:pPr>
              <w:pStyle w:val="ConsPlusNormal"/>
              <w:jc w:val="center"/>
            </w:pPr>
            <w:r>
              <w:t>2020 - 2026 годы - всего</w:t>
            </w:r>
          </w:p>
        </w:tc>
        <w:tc>
          <w:tcPr>
            <w:tcW w:w="1417" w:type="dxa"/>
            <w:vMerge w:val="restart"/>
            <w:vAlign w:val="center"/>
          </w:tcPr>
          <w:p w14:paraId="4FD4E6B8" w14:textId="77777777" w:rsidR="00454A29" w:rsidRDefault="00454A29">
            <w:pPr>
              <w:pStyle w:val="ConsPlusNormal"/>
              <w:jc w:val="center"/>
            </w:pPr>
            <w:r>
              <w:t>552 502,41</w:t>
            </w:r>
          </w:p>
        </w:tc>
        <w:tc>
          <w:tcPr>
            <w:tcW w:w="2204" w:type="dxa"/>
            <w:vMerge w:val="restart"/>
            <w:vAlign w:val="center"/>
          </w:tcPr>
          <w:p w14:paraId="35A3EE19" w14:textId="77777777" w:rsidR="00454A29" w:rsidRDefault="00454A29">
            <w:pPr>
              <w:pStyle w:val="ConsPlusNormal"/>
            </w:pPr>
          </w:p>
        </w:tc>
        <w:tc>
          <w:tcPr>
            <w:tcW w:w="1417" w:type="dxa"/>
            <w:vMerge w:val="restart"/>
            <w:vAlign w:val="center"/>
          </w:tcPr>
          <w:p w14:paraId="6CF1F2F8" w14:textId="77777777" w:rsidR="00454A29" w:rsidRDefault="00454A29">
            <w:pPr>
              <w:pStyle w:val="ConsPlusNormal"/>
              <w:jc w:val="center"/>
            </w:pPr>
            <w:r>
              <w:t>120</w:t>
            </w:r>
          </w:p>
        </w:tc>
        <w:tc>
          <w:tcPr>
            <w:tcW w:w="2324" w:type="dxa"/>
            <w:vMerge w:val="restart"/>
            <w:vAlign w:val="center"/>
          </w:tcPr>
          <w:p w14:paraId="190315A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6623708" w14:textId="77777777" w:rsidR="00454A29" w:rsidRDefault="00454A29">
            <w:pPr>
              <w:pStyle w:val="ConsPlusNormal"/>
              <w:jc w:val="center"/>
            </w:pPr>
            <w:r>
              <w:t>552 502,41</w:t>
            </w:r>
          </w:p>
        </w:tc>
        <w:tc>
          <w:tcPr>
            <w:tcW w:w="1814" w:type="dxa"/>
            <w:vAlign w:val="center"/>
          </w:tcPr>
          <w:p w14:paraId="20E5EA73" w14:textId="77777777" w:rsidR="00454A29" w:rsidRDefault="00454A29">
            <w:pPr>
              <w:pStyle w:val="ConsPlusNormal"/>
              <w:jc w:val="center"/>
            </w:pPr>
            <w:r>
              <w:t>6 806,83</w:t>
            </w:r>
          </w:p>
        </w:tc>
        <w:tc>
          <w:tcPr>
            <w:tcW w:w="1701" w:type="dxa"/>
            <w:vAlign w:val="center"/>
          </w:tcPr>
          <w:p w14:paraId="2F600EA0" w14:textId="77777777" w:rsidR="00454A29" w:rsidRDefault="00454A29">
            <w:pPr>
              <w:pStyle w:val="ConsPlusNormal"/>
              <w:jc w:val="center"/>
            </w:pPr>
            <w:r>
              <w:t>673 876,14</w:t>
            </w:r>
          </w:p>
        </w:tc>
        <w:tc>
          <w:tcPr>
            <w:tcW w:w="1701" w:type="dxa"/>
            <w:vAlign w:val="center"/>
          </w:tcPr>
          <w:p w14:paraId="131DE998" w14:textId="77777777" w:rsidR="00454A29" w:rsidRDefault="00454A29">
            <w:pPr>
              <w:pStyle w:val="ConsPlusNormal"/>
              <w:jc w:val="center"/>
            </w:pPr>
            <w:r>
              <w:t>-</w:t>
            </w:r>
          </w:p>
        </w:tc>
        <w:tc>
          <w:tcPr>
            <w:tcW w:w="1814" w:type="dxa"/>
            <w:vAlign w:val="center"/>
          </w:tcPr>
          <w:p w14:paraId="7D971B0C" w14:textId="77777777" w:rsidR="00454A29" w:rsidRDefault="00454A29">
            <w:pPr>
              <w:pStyle w:val="ConsPlusNormal"/>
              <w:jc w:val="center"/>
            </w:pPr>
            <w:r>
              <w:t>-</w:t>
            </w:r>
          </w:p>
        </w:tc>
      </w:tr>
      <w:tr w:rsidR="00454A29" w14:paraId="1A030B9B" w14:textId="77777777">
        <w:tc>
          <w:tcPr>
            <w:tcW w:w="567" w:type="dxa"/>
            <w:vMerge/>
          </w:tcPr>
          <w:p w14:paraId="6EA33468" w14:textId="77777777" w:rsidR="00454A29" w:rsidRDefault="00454A29"/>
        </w:tc>
        <w:tc>
          <w:tcPr>
            <w:tcW w:w="3345" w:type="dxa"/>
            <w:vMerge/>
          </w:tcPr>
          <w:p w14:paraId="061E7D82" w14:textId="77777777" w:rsidR="00454A29" w:rsidRDefault="00454A29"/>
        </w:tc>
        <w:tc>
          <w:tcPr>
            <w:tcW w:w="1701" w:type="dxa"/>
            <w:vAlign w:val="center"/>
          </w:tcPr>
          <w:p w14:paraId="5AC1A44A" w14:textId="77777777" w:rsidR="00454A29" w:rsidRDefault="00454A29">
            <w:pPr>
              <w:pStyle w:val="ConsPlusNormal"/>
              <w:jc w:val="center"/>
            </w:pPr>
            <w:r>
              <w:t>2020</w:t>
            </w:r>
          </w:p>
        </w:tc>
        <w:tc>
          <w:tcPr>
            <w:tcW w:w="1417" w:type="dxa"/>
            <w:vMerge/>
          </w:tcPr>
          <w:p w14:paraId="51C89056" w14:textId="77777777" w:rsidR="00454A29" w:rsidRDefault="00454A29"/>
        </w:tc>
        <w:tc>
          <w:tcPr>
            <w:tcW w:w="2204" w:type="dxa"/>
            <w:vMerge/>
          </w:tcPr>
          <w:p w14:paraId="16560AD6" w14:textId="77777777" w:rsidR="00454A29" w:rsidRDefault="00454A29"/>
        </w:tc>
        <w:tc>
          <w:tcPr>
            <w:tcW w:w="1417" w:type="dxa"/>
            <w:vMerge/>
          </w:tcPr>
          <w:p w14:paraId="7DEA742D" w14:textId="77777777" w:rsidR="00454A29" w:rsidRDefault="00454A29"/>
        </w:tc>
        <w:tc>
          <w:tcPr>
            <w:tcW w:w="2324" w:type="dxa"/>
            <w:vMerge/>
          </w:tcPr>
          <w:p w14:paraId="2677EAA5" w14:textId="77777777" w:rsidR="00454A29" w:rsidRDefault="00454A29"/>
        </w:tc>
        <w:tc>
          <w:tcPr>
            <w:tcW w:w="1701" w:type="dxa"/>
            <w:vAlign w:val="center"/>
          </w:tcPr>
          <w:p w14:paraId="61717F00" w14:textId="77777777" w:rsidR="00454A29" w:rsidRDefault="00454A29">
            <w:pPr>
              <w:pStyle w:val="ConsPlusNormal"/>
            </w:pPr>
          </w:p>
        </w:tc>
        <w:tc>
          <w:tcPr>
            <w:tcW w:w="1814" w:type="dxa"/>
            <w:vAlign w:val="center"/>
          </w:tcPr>
          <w:p w14:paraId="5A2212A4" w14:textId="77777777" w:rsidR="00454A29" w:rsidRDefault="00454A29">
            <w:pPr>
              <w:pStyle w:val="ConsPlusNormal"/>
            </w:pPr>
          </w:p>
        </w:tc>
        <w:tc>
          <w:tcPr>
            <w:tcW w:w="1701" w:type="dxa"/>
            <w:vAlign w:val="center"/>
          </w:tcPr>
          <w:p w14:paraId="68321024" w14:textId="77777777" w:rsidR="00454A29" w:rsidRDefault="00454A29">
            <w:pPr>
              <w:pStyle w:val="ConsPlusNormal"/>
            </w:pPr>
          </w:p>
        </w:tc>
        <w:tc>
          <w:tcPr>
            <w:tcW w:w="1701" w:type="dxa"/>
            <w:vAlign w:val="center"/>
          </w:tcPr>
          <w:p w14:paraId="63A22ADD" w14:textId="77777777" w:rsidR="00454A29" w:rsidRDefault="00454A29">
            <w:pPr>
              <w:pStyle w:val="ConsPlusNormal"/>
            </w:pPr>
          </w:p>
        </w:tc>
        <w:tc>
          <w:tcPr>
            <w:tcW w:w="1814" w:type="dxa"/>
            <w:vAlign w:val="center"/>
          </w:tcPr>
          <w:p w14:paraId="5F534ECE" w14:textId="77777777" w:rsidR="00454A29" w:rsidRDefault="00454A29">
            <w:pPr>
              <w:pStyle w:val="ConsPlusNormal"/>
            </w:pPr>
          </w:p>
        </w:tc>
      </w:tr>
      <w:tr w:rsidR="00454A29" w14:paraId="256D4337" w14:textId="77777777">
        <w:tc>
          <w:tcPr>
            <w:tcW w:w="567" w:type="dxa"/>
            <w:vMerge/>
          </w:tcPr>
          <w:p w14:paraId="01E0F9D3" w14:textId="77777777" w:rsidR="00454A29" w:rsidRDefault="00454A29"/>
        </w:tc>
        <w:tc>
          <w:tcPr>
            <w:tcW w:w="3345" w:type="dxa"/>
            <w:vMerge/>
          </w:tcPr>
          <w:p w14:paraId="2EDCD631" w14:textId="77777777" w:rsidR="00454A29" w:rsidRDefault="00454A29"/>
        </w:tc>
        <w:tc>
          <w:tcPr>
            <w:tcW w:w="1701" w:type="dxa"/>
            <w:vAlign w:val="center"/>
          </w:tcPr>
          <w:p w14:paraId="6911D4AA" w14:textId="77777777" w:rsidR="00454A29" w:rsidRDefault="00454A29">
            <w:pPr>
              <w:pStyle w:val="ConsPlusNormal"/>
              <w:jc w:val="center"/>
            </w:pPr>
            <w:r>
              <w:t>2021</w:t>
            </w:r>
          </w:p>
        </w:tc>
        <w:tc>
          <w:tcPr>
            <w:tcW w:w="1417" w:type="dxa"/>
            <w:vMerge/>
          </w:tcPr>
          <w:p w14:paraId="6C187DCF" w14:textId="77777777" w:rsidR="00454A29" w:rsidRDefault="00454A29"/>
        </w:tc>
        <w:tc>
          <w:tcPr>
            <w:tcW w:w="2204" w:type="dxa"/>
            <w:vMerge/>
          </w:tcPr>
          <w:p w14:paraId="029F584D" w14:textId="77777777" w:rsidR="00454A29" w:rsidRDefault="00454A29"/>
        </w:tc>
        <w:tc>
          <w:tcPr>
            <w:tcW w:w="1417" w:type="dxa"/>
            <w:vMerge/>
          </w:tcPr>
          <w:p w14:paraId="360B3D3E" w14:textId="77777777" w:rsidR="00454A29" w:rsidRDefault="00454A29"/>
        </w:tc>
        <w:tc>
          <w:tcPr>
            <w:tcW w:w="2324" w:type="dxa"/>
            <w:vMerge/>
          </w:tcPr>
          <w:p w14:paraId="68394100" w14:textId="77777777" w:rsidR="00454A29" w:rsidRDefault="00454A29"/>
        </w:tc>
        <w:tc>
          <w:tcPr>
            <w:tcW w:w="1701" w:type="dxa"/>
            <w:vAlign w:val="center"/>
          </w:tcPr>
          <w:p w14:paraId="777F86CC" w14:textId="77777777" w:rsidR="00454A29" w:rsidRDefault="00454A29">
            <w:pPr>
              <w:pStyle w:val="ConsPlusNormal"/>
              <w:jc w:val="center"/>
            </w:pPr>
            <w:r>
              <w:t>-</w:t>
            </w:r>
          </w:p>
        </w:tc>
        <w:tc>
          <w:tcPr>
            <w:tcW w:w="1814" w:type="dxa"/>
            <w:vAlign w:val="center"/>
          </w:tcPr>
          <w:p w14:paraId="72632C3A" w14:textId="77777777" w:rsidR="00454A29" w:rsidRDefault="00454A29">
            <w:pPr>
              <w:pStyle w:val="ConsPlusNormal"/>
            </w:pPr>
          </w:p>
        </w:tc>
        <w:tc>
          <w:tcPr>
            <w:tcW w:w="1701" w:type="dxa"/>
            <w:vAlign w:val="center"/>
          </w:tcPr>
          <w:p w14:paraId="61A4B178" w14:textId="77777777" w:rsidR="00454A29" w:rsidRDefault="00454A29">
            <w:pPr>
              <w:pStyle w:val="ConsPlusNormal"/>
            </w:pPr>
          </w:p>
        </w:tc>
        <w:tc>
          <w:tcPr>
            <w:tcW w:w="1701" w:type="dxa"/>
            <w:vAlign w:val="center"/>
          </w:tcPr>
          <w:p w14:paraId="063920F0" w14:textId="77777777" w:rsidR="00454A29" w:rsidRDefault="00454A29">
            <w:pPr>
              <w:pStyle w:val="ConsPlusNormal"/>
            </w:pPr>
          </w:p>
        </w:tc>
        <w:tc>
          <w:tcPr>
            <w:tcW w:w="1814" w:type="dxa"/>
            <w:vAlign w:val="center"/>
          </w:tcPr>
          <w:p w14:paraId="58B15095" w14:textId="77777777" w:rsidR="00454A29" w:rsidRDefault="00454A29">
            <w:pPr>
              <w:pStyle w:val="ConsPlusNormal"/>
            </w:pPr>
          </w:p>
        </w:tc>
      </w:tr>
      <w:tr w:rsidR="00454A29" w14:paraId="773927B9" w14:textId="77777777">
        <w:tc>
          <w:tcPr>
            <w:tcW w:w="567" w:type="dxa"/>
            <w:vMerge/>
          </w:tcPr>
          <w:p w14:paraId="6BB85BB6" w14:textId="77777777" w:rsidR="00454A29" w:rsidRDefault="00454A29"/>
        </w:tc>
        <w:tc>
          <w:tcPr>
            <w:tcW w:w="3345" w:type="dxa"/>
            <w:vMerge/>
          </w:tcPr>
          <w:p w14:paraId="1AA340F1" w14:textId="77777777" w:rsidR="00454A29" w:rsidRDefault="00454A29"/>
        </w:tc>
        <w:tc>
          <w:tcPr>
            <w:tcW w:w="1701" w:type="dxa"/>
            <w:vAlign w:val="center"/>
          </w:tcPr>
          <w:p w14:paraId="03FF1FB7" w14:textId="77777777" w:rsidR="00454A29" w:rsidRDefault="00454A29">
            <w:pPr>
              <w:pStyle w:val="ConsPlusNormal"/>
              <w:jc w:val="center"/>
            </w:pPr>
            <w:r>
              <w:t>2022</w:t>
            </w:r>
          </w:p>
        </w:tc>
        <w:tc>
          <w:tcPr>
            <w:tcW w:w="1417" w:type="dxa"/>
            <w:vMerge/>
          </w:tcPr>
          <w:p w14:paraId="6D7071DD" w14:textId="77777777" w:rsidR="00454A29" w:rsidRDefault="00454A29"/>
        </w:tc>
        <w:tc>
          <w:tcPr>
            <w:tcW w:w="2204" w:type="dxa"/>
            <w:vMerge/>
          </w:tcPr>
          <w:p w14:paraId="0DCD28F1" w14:textId="77777777" w:rsidR="00454A29" w:rsidRDefault="00454A29"/>
        </w:tc>
        <w:tc>
          <w:tcPr>
            <w:tcW w:w="1417" w:type="dxa"/>
            <w:vMerge/>
          </w:tcPr>
          <w:p w14:paraId="12A8708F" w14:textId="77777777" w:rsidR="00454A29" w:rsidRDefault="00454A29"/>
        </w:tc>
        <w:tc>
          <w:tcPr>
            <w:tcW w:w="2324" w:type="dxa"/>
            <w:vMerge/>
          </w:tcPr>
          <w:p w14:paraId="62F2CA9B" w14:textId="77777777" w:rsidR="00454A29" w:rsidRDefault="00454A29"/>
        </w:tc>
        <w:tc>
          <w:tcPr>
            <w:tcW w:w="1701" w:type="dxa"/>
            <w:vAlign w:val="center"/>
          </w:tcPr>
          <w:p w14:paraId="1753800A" w14:textId="77777777" w:rsidR="00454A29" w:rsidRDefault="00454A29">
            <w:pPr>
              <w:pStyle w:val="ConsPlusNormal"/>
            </w:pPr>
          </w:p>
        </w:tc>
        <w:tc>
          <w:tcPr>
            <w:tcW w:w="1814" w:type="dxa"/>
            <w:vAlign w:val="center"/>
          </w:tcPr>
          <w:p w14:paraId="7963D067" w14:textId="77777777" w:rsidR="00454A29" w:rsidRDefault="00454A29">
            <w:pPr>
              <w:pStyle w:val="ConsPlusNormal"/>
            </w:pPr>
          </w:p>
        </w:tc>
        <w:tc>
          <w:tcPr>
            <w:tcW w:w="1701" w:type="dxa"/>
            <w:vAlign w:val="center"/>
          </w:tcPr>
          <w:p w14:paraId="053EF848" w14:textId="77777777" w:rsidR="00454A29" w:rsidRDefault="00454A29">
            <w:pPr>
              <w:pStyle w:val="ConsPlusNormal"/>
            </w:pPr>
          </w:p>
        </w:tc>
        <w:tc>
          <w:tcPr>
            <w:tcW w:w="1701" w:type="dxa"/>
            <w:vAlign w:val="center"/>
          </w:tcPr>
          <w:p w14:paraId="5BC7952E" w14:textId="77777777" w:rsidR="00454A29" w:rsidRDefault="00454A29">
            <w:pPr>
              <w:pStyle w:val="ConsPlusNormal"/>
            </w:pPr>
          </w:p>
        </w:tc>
        <w:tc>
          <w:tcPr>
            <w:tcW w:w="1814" w:type="dxa"/>
            <w:vAlign w:val="center"/>
          </w:tcPr>
          <w:p w14:paraId="12B2FA4D" w14:textId="77777777" w:rsidR="00454A29" w:rsidRDefault="00454A29">
            <w:pPr>
              <w:pStyle w:val="ConsPlusNormal"/>
            </w:pPr>
          </w:p>
        </w:tc>
      </w:tr>
      <w:tr w:rsidR="00454A29" w14:paraId="366F0D93" w14:textId="77777777">
        <w:tc>
          <w:tcPr>
            <w:tcW w:w="567" w:type="dxa"/>
            <w:vMerge/>
          </w:tcPr>
          <w:p w14:paraId="66B5D68C" w14:textId="77777777" w:rsidR="00454A29" w:rsidRDefault="00454A29"/>
        </w:tc>
        <w:tc>
          <w:tcPr>
            <w:tcW w:w="3345" w:type="dxa"/>
            <w:vMerge/>
          </w:tcPr>
          <w:p w14:paraId="68F499E4" w14:textId="77777777" w:rsidR="00454A29" w:rsidRDefault="00454A29"/>
        </w:tc>
        <w:tc>
          <w:tcPr>
            <w:tcW w:w="1701" w:type="dxa"/>
            <w:vAlign w:val="center"/>
          </w:tcPr>
          <w:p w14:paraId="0AC0A24A" w14:textId="77777777" w:rsidR="00454A29" w:rsidRDefault="00454A29">
            <w:pPr>
              <w:pStyle w:val="ConsPlusNormal"/>
              <w:jc w:val="center"/>
            </w:pPr>
            <w:r>
              <w:t>2023</w:t>
            </w:r>
          </w:p>
        </w:tc>
        <w:tc>
          <w:tcPr>
            <w:tcW w:w="1417" w:type="dxa"/>
            <w:vMerge/>
          </w:tcPr>
          <w:p w14:paraId="1B1E97EC" w14:textId="77777777" w:rsidR="00454A29" w:rsidRDefault="00454A29"/>
        </w:tc>
        <w:tc>
          <w:tcPr>
            <w:tcW w:w="2204" w:type="dxa"/>
            <w:vMerge/>
          </w:tcPr>
          <w:p w14:paraId="7FB7048F" w14:textId="77777777" w:rsidR="00454A29" w:rsidRDefault="00454A29"/>
        </w:tc>
        <w:tc>
          <w:tcPr>
            <w:tcW w:w="1417" w:type="dxa"/>
            <w:vMerge/>
          </w:tcPr>
          <w:p w14:paraId="2B36DB42" w14:textId="77777777" w:rsidR="00454A29" w:rsidRDefault="00454A29"/>
        </w:tc>
        <w:tc>
          <w:tcPr>
            <w:tcW w:w="2324" w:type="dxa"/>
            <w:vMerge/>
          </w:tcPr>
          <w:p w14:paraId="72864FCF" w14:textId="77777777" w:rsidR="00454A29" w:rsidRDefault="00454A29"/>
        </w:tc>
        <w:tc>
          <w:tcPr>
            <w:tcW w:w="1701" w:type="dxa"/>
            <w:vAlign w:val="center"/>
          </w:tcPr>
          <w:p w14:paraId="25B0BA6D" w14:textId="77777777" w:rsidR="00454A29" w:rsidRDefault="00454A29">
            <w:pPr>
              <w:pStyle w:val="ConsPlusNormal"/>
              <w:jc w:val="center"/>
            </w:pPr>
            <w:r>
              <w:t>-</w:t>
            </w:r>
          </w:p>
        </w:tc>
        <w:tc>
          <w:tcPr>
            <w:tcW w:w="1814" w:type="dxa"/>
            <w:vAlign w:val="center"/>
          </w:tcPr>
          <w:p w14:paraId="07ECB5C0" w14:textId="77777777" w:rsidR="00454A29" w:rsidRDefault="00454A29">
            <w:pPr>
              <w:pStyle w:val="ConsPlusNormal"/>
            </w:pPr>
          </w:p>
        </w:tc>
        <w:tc>
          <w:tcPr>
            <w:tcW w:w="1701" w:type="dxa"/>
            <w:vAlign w:val="center"/>
          </w:tcPr>
          <w:p w14:paraId="1F054B89" w14:textId="77777777" w:rsidR="00454A29" w:rsidRDefault="00454A29">
            <w:pPr>
              <w:pStyle w:val="ConsPlusNormal"/>
            </w:pPr>
          </w:p>
        </w:tc>
        <w:tc>
          <w:tcPr>
            <w:tcW w:w="1701" w:type="dxa"/>
            <w:vAlign w:val="center"/>
          </w:tcPr>
          <w:p w14:paraId="292F96DF" w14:textId="77777777" w:rsidR="00454A29" w:rsidRDefault="00454A29">
            <w:pPr>
              <w:pStyle w:val="ConsPlusNormal"/>
            </w:pPr>
          </w:p>
        </w:tc>
        <w:tc>
          <w:tcPr>
            <w:tcW w:w="1814" w:type="dxa"/>
            <w:vAlign w:val="center"/>
          </w:tcPr>
          <w:p w14:paraId="21BBA329" w14:textId="77777777" w:rsidR="00454A29" w:rsidRDefault="00454A29">
            <w:pPr>
              <w:pStyle w:val="ConsPlusNormal"/>
            </w:pPr>
          </w:p>
        </w:tc>
      </w:tr>
      <w:tr w:rsidR="00454A29" w14:paraId="42943EBB" w14:textId="77777777">
        <w:tc>
          <w:tcPr>
            <w:tcW w:w="567" w:type="dxa"/>
            <w:vMerge/>
          </w:tcPr>
          <w:p w14:paraId="5D688449" w14:textId="77777777" w:rsidR="00454A29" w:rsidRDefault="00454A29"/>
        </w:tc>
        <w:tc>
          <w:tcPr>
            <w:tcW w:w="3345" w:type="dxa"/>
            <w:vMerge/>
          </w:tcPr>
          <w:p w14:paraId="0DA7D417" w14:textId="77777777" w:rsidR="00454A29" w:rsidRDefault="00454A29"/>
        </w:tc>
        <w:tc>
          <w:tcPr>
            <w:tcW w:w="1701" w:type="dxa"/>
            <w:vAlign w:val="center"/>
          </w:tcPr>
          <w:p w14:paraId="7A803B96" w14:textId="77777777" w:rsidR="00454A29" w:rsidRDefault="00454A29">
            <w:pPr>
              <w:pStyle w:val="ConsPlusNormal"/>
              <w:jc w:val="center"/>
            </w:pPr>
            <w:r>
              <w:t>2024</w:t>
            </w:r>
          </w:p>
        </w:tc>
        <w:tc>
          <w:tcPr>
            <w:tcW w:w="1417" w:type="dxa"/>
            <w:vMerge/>
          </w:tcPr>
          <w:p w14:paraId="247AE367" w14:textId="77777777" w:rsidR="00454A29" w:rsidRDefault="00454A29"/>
        </w:tc>
        <w:tc>
          <w:tcPr>
            <w:tcW w:w="2204" w:type="dxa"/>
            <w:vMerge/>
          </w:tcPr>
          <w:p w14:paraId="1972AE47" w14:textId="77777777" w:rsidR="00454A29" w:rsidRDefault="00454A29"/>
        </w:tc>
        <w:tc>
          <w:tcPr>
            <w:tcW w:w="1417" w:type="dxa"/>
            <w:vMerge/>
          </w:tcPr>
          <w:p w14:paraId="5F9494AF" w14:textId="77777777" w:rsidR="00454A29" w:rsidRDefault="00454A29"/>
        </w:tc>
        <w:tc>
          <w:tcPr>
            <w:tcW w:w="2324" w:type="dxa"/>
            <w:vMerge/>
          </w:tcPr>
          <w:p w14:paraId="6218F4EF" w14:textId="77777777" w:rsidR="00454A29" w:rsidRDefault="00454A29"/>
        </w:tc>
        <w:tc>
          <w:tcPr>
            <w:tcW w:w="1701" w:type="dxa"/>
            <w:vAlign w:val="center"/>
          </w:tcPr>
          <w:p w14:paraId="72795C39" w14:textId="77777777" w:rsidR="00454A29" w:rsidRDefault="00454A29">
            <w:pPr>
              <w:pStyle w:val="ConsPlusNormal"/>
            </w:pPr>
          </w:p>
        </w:tc>
        <w:tc>
          <w:tcPr>
            <w:tcW w:w="1814" w:type="dxa"/>
            <w:vAlign w:val="center"/>
          </w:tcPr>
          <w:p w14:paraId="34D3EA06" w14:textId="77777777" w:rsidR="00454A29" w:rsidRDefault="00454A29">
            <w:pPr>
              <w:pStyle w:val="ConsPlusNormal"/>
            </w:pPr>
          </w:p>
        </w:tc>
        <w:tc>
          <w:tcPr>
            <w:tcW w:w="1701" w:type="dxa"/>
            <w:vAlign w:val="center"/>
          </w:tcPr>
          <w:p w14:paraId="40C5B0A3" w14:textId="77777777" w:rsidR="00454A29" w:rsidRDefault="00454A29">
            <w:pPr>
              <w:pStyle w:val="ConsPlusNormal"/>
            </w:pPr>
          </w:p>
        </w:tc>
        <w:tc>
          <w:tcPr>
            <w:tcW w:w="1701" w:type="dxa"/>
            <w:vAlign w:val="center"/>
          </w:tcPr>
          <w:p w14:paraId="7B16297D" w14:textId="77777777" w:rsidR="00454A29" w:rsidRDefault="00454A29">
            <w:pPr>
              <w:pStyle w:val="ConsPlusNormal"/>
            </w:pPr>
          </w:p>
        </w:tc>
        <w:tc>
          <w:tcPr>
            <w:tcW w:w="1814" w:type="dxa"/>
            <w:vAlign w:val="center"/>
          </w:tcPr>
          <w:p w14:paraId="1C429D2B" w14:textId="77777777" w:rsidR="00454A29" w:rsidRDefault="00454A29">
            <w:pPr>
              <w:pStyle w:val="ConsPlusNormal"/>
            </w:pPr>
          </w:p>
        </w:tc>
      </w:tr>
      <w:tr w:rsidR="00454A29" w14:paraId="4A7D358E" w14:textId="77777777">
        <w:tc>
          <w:tcPr>
            <w:tcW w:w="567" w:type="dxa"/>
            <w:vMerge/>
          </w:tcPr>
          <w:p w14:paraId="4C376A0B" w14:textId="77777777" w:rsidR="00454A29" w:rsidRDefault="00454A29"/>
        </w:tc>
        <w:tc>
          <w:tcPr>
            <w:tcW w:w="3345" w:type="dxa"/>
            <w:vMerge/>
          </w:tcPr>
          <w:p w14:paraId="04EC073C" w14:textId="77777777" w:rsidR="00454A29" w:rsidRDefault="00454A29"/>
        </w:tc>
        <w:tc>
          <w:tcPr>
            <w:tcW w:w="1701" w:type="dxa"/>
            <w:vAlign w:val="center"/>
          </w:tcPr>
          <w:p w14:paraId="6DDE371A" w14:textId="77777777" w:rsidR="00454A29" w:rsidRDefault="00454A29">
            <w:pPr>
              <w:pStyle w:val="ConsPlusNormal"/>
              <w:jc w:val="center"/>
            </w:pPr>
            <w:r>
              <w:t>2025</w:t>
            </w:r>
          </w:p>
        </w:tc>
        <w:tc>
          <w:tcPr>
            <w:tcW w:w="1417" w:type="dxa"/>
            <w:vMerge/>
          </w:tcPr>
          <w:p w14:paraId="00F4C407" w14:textId="77777777" w:rsidR="00454A29" w:rsidRDefault="00454A29"/>
        </w:tc>
        <w:tc>
          <w:tcPr>
            <w:tcW w:w="2204" w:type="dxa"/>
            <w:vMerge/>
          </w:tcPr>
          <w:p w14:paraId="49110374" w14:textId="77777777" w:rsidR="00454A29" w:rsidRDefault="00454A29"/>
        </w:tc>
        <w:tc>
          <w:tcPr>
            <w:tcW w:w="1417" w:type="dxa"/>
            <w:vMerge/>
          </w:tcPr>
          <w:p w14:paraId="2CBE5ADA" w14:textId="77777777" w:rsidR="00454A29" w:rsidRDefault="00454A29"/>
        </w:tc>
        <w:tc>
          <w:tcPr>
            <w:tcW w:w="2324" w:type="dxa"/>
            <w:vMerge/>
          </w:tcPr>
          <w:p w14:paraId="1DB016BE" w14:textId="77777777" w:rsidR="00454A29" w:rsidRDefault="00454A29"/>
        </w:tc>
        <w:tc>
          <w:tcPr>
            <w:tcW w:w="1701" w:type="dxa"/>
            <w:vAlign w:val="center"/>
          </w:tcPr>
          <w:p w14:paraId="07653DAF" w14:textId="77777777" w:rsidR="00454A29" w:rsidRDefault="00454A29">
            <w:pPr>
              <w:pStyle w:val="ConsPlusNormal"/>
            </w:pPr>
          </w:p>
        </w:tc>
        <w:tc>
          <w:tcPr>
            <w:tcW w:w="1814" w:type="dxa"/>
            <w:vAlign w:val="center"/>
          </w:tcPr>
          <w:p w14:paraId="51FC2110" w14:textId="77777777" w:rsidR="00454A29" w:rsidRDefault="00454A29">
            <w:pPr>
              <w:pStyle w:val="ConsPlusNormal"/>
            </w:pPr>
          </w:p>
        </w:tc>
        <w:tc>
          <w:tcPr>
            <w:tcW w:w="1701" w:type="dxa"/>
            <w:vAlign w:val="center"/>
          </w:tcPr>
          <w:p w14:paraId="508D4F62" w14:textId="77777777" w:rsidR="00454A29" w:rsidRDefault="00454A29">
            <w:pPr>
              <w:pStyle w:val="ConsPlusNormal"/>
            </w:pPr>
          </w:p>
        </w:tc>
        <w:tc>
          <w:tcPr>
            <w:tcW w:w="1701" w:type="dxa"/>
            <w:vAlign w:val="center"/>
          </w:tcPr>
          <w:p w14:paraId="582B4402" w14:textId="77777777" w:rsidR="00454A29" w:rsidRDefault="00454A29">
            <w:pPr>
              <w:pStyle w:val="ConsPlusNormal"/>
            </w:pPr>
          </w:p>
        </w:tc>
        <w:tc>
          <w:tcPr>
            <w:tcW w:w="1814" w:type="dxa"/>
            <w:vAlign w:val="center"/>
          </w:tcPr>
          <w:p w14:paraId="0EDCDFAA" w14:textId="77777777" w:rsidR="00454A29" w:rsidRDefault="00454A29">
            <w:pPr>
              <w:pStyle w:val="ConsPlusNormal"/>
            </w:pPr>
          </w:p>
        </w:tc>
      </w:tr>
      <w:tr w:rsidR="00454A29" w14:paraId="74A946A9" w14:textId="77777777">
        <w:tc>
          <w:tcPr>
            <w:tcW w:w="567" w:type="dxa"/>
            <w:vMerge/>
          </w:tcPr>
          <w:p w14:paraId="407C5649" w14:textId="77777777" w:rsidR="00454A29" w:rsidRDefault="00454A29"/>
        </w:tc>
        <w:tc>
          <w:tcPr>
            <w:tcW w:w="3345" w:type="dxa"/>
            <w:vMerge/>
          </w:tcPr>
          <w:p w14:paraId="7D071638" w14:textId="77777777" w:rsidR="00454A29" w:rsidRDefault="00454A29"/>
        </w:tc>
        <w:tc>
          <w:tcPr>
            <w:tcW w:w="1701" w:type="dxa"/>
            <w:vAlign w:val="center"/>
          </w:tcPr>
          <w:p w14:paraId="13EC4B2C" w14:textId="77777777" w:rsidR="00454A29" w:rsidRDefault="00454A29">
            <w:pPr>
              <w:pStyle w:val="ConsPlusNormal"/>
              <w:jc w:val="center"/>
            </w:pPr>
            <w:r>
              <w:t>2026</w:t>
            </w:r>
          </w:p>
        </w:tc>
        <w:tc>
          <w:tcPr>
            <w:tcW w:w="1417" w:type="dxa"/>
            <w:vMerge/>
          </w:tcPr>
          <w:p w14:paraId="6B0C8EF4" w14:textId="77777777" w:rsidR="00454A29" w:rsidRDefault="00454A29"/>
        </w:tc>
        <w:tc>
          <w:tcPr>
            <w:tcW w:w="2204" w:type="dxa"/>
            <w:vMerge/>
          </w:tcPr>
          <w:p w14:paraId="5BD51AC7" w14:textId="77777777" w:rsidR="00454A29" w:rsidRDefault="00454A29"/>
        </w:tc>
        <w:tc>
          <w:tcPr>
            <w:tcW w:w="1417" w:type="dxa"/>
            <w:vMerge/>
          </w:tcPr>
          <w:p w14:paraId="1971331D" w14:textId="77777777" w:rsidR="00454A29" w:rsidRDefault="00454A29"/>
        </w:tc>
        <w:tc>
          <w:tcPr>
            <w:tcW w:w="2324" w:type="dxa"/>
            <w:vMerge/>
          </w:tcPr>
          <w:p w14:paraId="26C2ABD0" w14:textId="77777777" w:rsidR="00454A29" w:rsidRDefault="00454A29"/>
        </w:tc>
        <w:tc>
          <w:tcPr>
            <w:tcW w:w="1701" w:type="dxa"/>
            <w:vAlign w:val="center"/>
          </w:tcPr>
          <w:p w14:paraId="154620F5" w14:textId="77777777" w:rsidR="00454A29" w:rsidRDefault="00454A29">
            <w:pPr>
              <w:pStyle w:val="ConsPlusNormal"/>
              <w:jc w:val="center"/>
            </w:pPr>
            <w:r>
              <w:t>552 502,41</w:t>
            </w:r>
          </w:p>
        </w:tc>
        <w:tc>
          <w:tcPr>
            <w:tcW w:w="1814" w:type="dxa"/>
            <w:vAlign w:val="center"/>
          </w:tcPr>
          <w:p w14:paraId="3E6B1B0A" w14:textId="77777777" w:rsidR="00454A29" w:rsidRDefault="00454A29">
            <w:pPr>
              <w:pStyle w:val="ConsPlusNormal"/>
              <w:jc w:val="center"/>
            </w:pPr>
            <w:r>
              <w:t>6 806,83</w:t>
            </w:r>
          </w:p>
        </w:tc>
        <w:tc>
          <w:tcPr>
            <w:tcW w:w="1701" w:type="dxa"/>
            <w:vAlign w:val="center"/>
          </w:tcPr>
          <w:p w14:paraId="2DF925C7" w14:textId="77777777" w:rsidR="00454A29" w:rsidRDefault="00454A29">
            <w:pPr>
              <w:pStyle w:val="ConsPlusNormal"/>
              <w:jc w:val="center"/>
            </w:pPr>
            <w:r>
              <w:t>673 876,14</w:t>
            </w:r>
          </w:p>
        </w:tc>
        <w:tc>
          <w:tcPr>
            <w:tcW w:w="1701" w:type="dxa"/>
            <w:vAlign w:val="center"/>
          </w:tcPr>
          <w:p w14:paraId="4A2B0049" w14:textId="77777777" w:rsidR="00454A29" w:rsidRDefault="00454A29">
            <w:pPr>
              <w:pStyle w:val="ConsPlusNormal"/>
            </w:pPr>
          </w:p>
        </w:tc>
        <w:tc>
          <w:tcPr>
            <w:tcW w:w="1814" w:type="dxa"/>
            <w:vAlign w:val="center"/>
          </w:tcPr>
          <w:p w14:paraId="6EB6C4D0" w14:textId="77777777" w:rsidR="00454A29" w:rsidRDefault="00454A29">
            <w:pPr>
              <w:pStyle w:val="ConsPlusNormal"/>
            </w:pPr>
          </w:p>
        </w:tc>
      </w:tr>
      <w:tr w:rsidR="00454A29" w14:paraId="7524639E" w14:textId="77777777">
        <w:tc>
          <w:tcPr>
            <w:tcW w:w="567" w:type="dxa"/>
            <w:vMerge w:val="restart"/>
            <w:vAlign w:val="center"/>
          </w:tcPr>
          <w:p w14:paraId="1D08BF34" w14:textId="77777777" w:rsidR="00454A29" w:rsidRDefault="00454A29">
            <w:pPr>
              <w:pStyle w:val="ConsPlusNormal"/>
              <w:jc w:val="center"/>
            </w:pPr>
            <w:r>
              <w:t>81</w:t>
            </w:r>
          </w:p>
        </w:tc>
        <w:tc>
          <w:tcPr>
            <w:tcW w:w="3345" w:type="dxa"/>
            <w:vMerge w:val="restart"/>
            <w:vAlign w:val="center"/>
          </w:tcPr>
          <w:p w14:paraId="739BE077" w14:textId="77777777" w:rsidR="00454A29" w:rsidRDefault="00454A29">
            <w:pPr>
              <w:pStyle w:val="ConsPlusNormal"/>
              <w:jc w:val="center"/>
            </w:pPr>
            <w:r>
              <w:t xml:space="preserve">Школа на 50 учащихся в с. </w:t>
            </w:r>
            <w:r>
              <w:lastRenderedPageBreak/>
              <w:t>Соболох</w:t>
            </w:r>
          </w:p>
        </w:tc>
        <w:tc>
          <w:tcPr>
            <w:tcW w:w="1701" w:type="dxa"/>
            <w:vAlign w:val="center"/>
          </w:tcPr>
          <w:p w14:paraId="3DFF265F" w14:textId="77777777" w:rsidR="00454A29" w:rsidRDefault="00454A29">
            <w:pPr>
              <w:pStyle w:val="ConsPlusNormal"/>
              <w:jc w:val="center"/>
            </w:pPr>
            <w:r>
              <w:lastRenderedPageBreak/>
              <w:t xml:space="preserve">2020 - 2026 годы </w:t>
            </w:r>
            <w:r>
              <w:lastRenderedPageBreak/>
              <w:t>- всего</w:t>
            </w:r>
          </w:p>
        </w:tc>
        <w:tc>
          <w:tcPr>
            <w:tcW w:w="1417" w:type="dxa"/>
            <w:vMerge w:val="restart"/>
            <w:vAlign w:val="center"/>
          </w:tcPr>
          <w:p w14:paraId="006FEF25" w14:textId="77777777" w:rsidR="00454A29" w:rsidRDefault="00454A29">
            <w:pPr>
              <w:pStyle w:val="ConsPlusNormal"/>
              <w:jc w:val="center"/>
            </w:pPr>
            <w:r>
              <w:lastRenderedPageBreak/>
              <w:t>183 912,26</w:t>
            </w:r>
          </w:p>
        </w:tc>
        <w:tc>
          <w:tcPr>
            <w:tcW w:w="2204" w:type="dxa"/>
            <w:vMerge w:val="restart"/>
            <w:vAlign w:val="center"/>
          </w:tcPr>
          <w:p w14:paraId="61360FBE" w14:textId="77777777" w:rsidR="00454A29" w:rsidRDefault="00454A29">
            <w:pPr>
              <w:pStyle w:val="ConsPlusNormal"/>
            </w:pPr>
          </w:p>
        </w:tc>
        <w:tc>
          <w:tcPr>
            <w:tcW w:w="1417" w:type="dxa"/>
            <w:vMerge w:val="restart"/>
            <w:vAlign w:val="center"/>
          </w:tcPr>
          <w:p w14:paraId="7206D9CB" w14:textId="77777777" w:rsidR="00454A29" w:rsidRDefault="00454A29">
            <w:pPr>
              <w:pStyle w:val="ConsPlusNormal"/>
              <w:jc w:val="center"/>
            </w:pPr>
            <w:r>
              <w:t>50</w:t>
            </w:r>
          </w:p>
        </w:tc>
        <w:tc>
          <w:tcPr>
            <w:tcW w:w="2324" w:type="dxa"/>
            <w:vMerge w:val="restart"/>
            <w:vAlign w:val="center"/>
          </w:tcPr>
          <w:p w14:paraId="0BDE2A06" w14:textId="77777777" w:rsidR="00454A29" w:rsidRDefault="00454A29">
            <w:pPr>
              <w:pStyle w:val="ConsPlusNormal"/>
              <w:jc w:val="center"/>
            </w:pPr>
            <w:r>
              <w:t xml:space="preserve">Минстрой РС(Я), ГКУ </w:t>
            </w:r>
            <w:r>
              <w:lastRenderedPageBreak/>
              <w:t>"Служба государственного заказчика Республики Саха (Якутия)"</w:t>
            </w:r>
          </w:p>
        </w:tc>
        <w:tc>
          <w:tcPr>
            <w:tcW w:w="1701" w:type="dxa"/>
            <w:vAlign w:val="center"/>
          </w:tcPr>
          <w:p w14:paraId="64FEE399" w14:textId="77777777" w:rsidR="00454A29" w:rsidRDefault="00454A29">
            <w:pPr>
              <w:pStyle w:val="ConsPlusNormal"/>
              <w:jc w:val="center"/>
            </w:pPr>
            <w:r>
              <w:lastRenderedPageBreak/>
              <w:t>183 912,26</w:t>
            </w:r>
          </w:p>
        </w:tc>
        <w:tc>
          <w:tcPr>
            <w:tcW w:w="1814" w:type="dxa"/>
            <w:vAlign w:val="center"/>
          </w:tcPr>
          <w:p w14:paraId="216E3FFF" w14:textId="77777777" w:rsidR="00454A29" w:rsidRDefault="00454A29">
            <w:pPr>
              <w:pStyle w:val="ConsPlusNormal"/>
              <w:jc w:val="center"/>
            </w:pPr>
            <w:r>
              <w:t>2 326,49</w:t>
            </w:r>
          </w:p>
        </w:tc>
        <w:tc>
          <w:tcPr>
            <w:tcW w:w="1701" w:type="dxa"/>
            <w:vAlign w:val="center"/>
          </w:tcPr>
          <w:p w14:paraId="1D99E431" w14:textId="77777777" w:rsidR="00454A29" w:rsidRDefault="00454A29">
            <w:pPr>
              <w:pStyle w:val="ConsPlusNormal"/>
              <w:jc w:val="center"/>
            </w:pPr>
            <w:r>
              <w:t>230 322,52</w:t>
            </w:r>
          </w:p>
        </w:tc>
        <w:tc>
          <w:tcPr>
            <w:tcW w:w="1701" w:type="dxa"/>
            <w:vAlign w:val="center"/>
          </w:tcPr>
          <w:p w14:paraId="33D3FB60" w14:textId="77777777" w:rsidR="00454A29" w:rsidRDefault="00454A29">
            <w:pPr>
              <w:pStyle w:val="ConsPlusNormal"/>
              <w:jc w:val="center"/>
            </w:pPr>
            <w:r>
              <w:t>-</w:t>
            </w:r>
          </w:p>
        </w:tc>
        <w:tc>
          <w:tcPr>
            <w:tcW w:w="1814" w:type="dxa"/>
            <w:vAlign w:val="center"/>
          </w:tcPr>
          <w:p w14:paraId="665F67F7" w14:textId="77777777" w:rsidR="00454A29" w:rsidRDefault="00454A29">
            <w:pPr>
              <w:pStyle w:val="ConsPlusNormal"/>
              <w:jc w:val="center"/>
            </w:pPr>
            <w:r>
              <w:t>-</w:t>
            </w:r>
          </w:p>
        </w:tc>
      </w:tr>
      <w:tr w:rsidR="00454A29" w14:paraId="2F517C83" w14:textId="77777777">
        <w:tc>
          <w:tcPr>
            <w:tcW w:w="567" w:type="dxa"/>
            <w:vMerge/>
          </w:tcPr>
          <w:p w14:paraId="100E8C07" w14:textId="77777777" w:rsidR="00454A29" w:rsidRDefault="00454A29"/>
        </w:tc>
        <w:tc>
          <w:tcPr>
            <w:tcW w:w="3345" w:type="dxa"/>
            <w:vMerge/>
          </w:tcPr>
          <w:p w14:paraId="191EA41D" w14:textId="77777777" w:rsidR="00454A29" w:rsidRDefault="00454A29"/>
        </w:tc>
        <w:tc>
          <w:tcPr>
            <w:tcW w:w="1701" w:type="dxa"/>
            <w:vAlign w:val="center"/>
          </w:tcPr>
          <w:p w14:paraId="478AAF85" w14:textId="77777777" w:rsidR="00454A29" w:rsidRDefault="00454A29">
            <w:pPr>
              <w:pStyle w:val="ConsPlusNormal"/>
              <w:jc w:val="center"/>
            </w:pPr>
            <w:r>
              <w:t>2020</w:t>
            </w:r>
          </w:p>
        </w:tc>
        <w:tc>
          <w:tcPr>
            <w:tcW w:w="1417" w:type="dxa"/>
            <w:vMerge/>
          </w:tcPr>
          <w:p w14:paraId="2E7C69FE" w14:textId="77777777" w:rsidR="00454A29" w:rsidRDefault="00454A29"/>
        </w:tc>
        <w:tc>
          <w:tcPr>
            <w:tcW w:w="2204" w:type="dxa"/>
            <w:vMerge/>
          </w:tcPr>
          <w:p w14:paraId="75FB0598" w14:textId="77777777" w:rsidR="00454A29" w:rsidRDefault="00454A29"/>
        </w:tc>
        <w:tc>
          <w:tcPr>
            <w:tcW w:w="1417" w:type="dxa"/>
            <w:vMerge/>
          </w:tcPr>
          <w:p w14:paraId="3A128DA2" w14:textId="77777777" w:rsidR="00454A29" w:rsidRDefault="00454A29"/>
        </w:tc>
        <w:tc>
          <w:tcPr>
            <w:tcW w:w="2324" w:type="dxa"/>
            <w:vMerge/>
          </w:tcPr>
          <w:p w14:paraId="74D04B9A" w14:textId="77777777" w:rsidR="00454A29" w:rsidRDefault="00454A29"/>
        </w:tc>
        <w:tc>
          <w:tcPr>
            <w:tcW w:w="1701" w:type="dxa"/>
            <w:vAlign w:val="center"/>
          </w:tcPr>
          <w:p w14:paraId="75F14548" w14:textId="77777777" w:rsidR="00454A29" w:rsidRDefault="00454A29">
            <w:pPr>
              <w:pStyle w:val="ConsPlusNormal"/>
            </w:pPr>
          </w:p>
        </w:tc>
        <w:tc>
          <w:tcPr>
            <w:tcW w:w="1814" w:type="dxa"/>
            <w:vAlign w:val="center"/>
          </w:tcPr>
          <w:p w14:paraId="43FBE28D" w14:textId="77777777" w:rsidR="00454A29" w:rsidRDefault="00454A29">
            <w:pPr>
              <w:pStyle w:val="ConsPlusNormal"/>
            </w:pPr>
          </w:p>
        </w:tc>
        <w:tc>
          <w:tcPr>
            <w:tcW w:w="1701" w:type="dxa"/>
            <w:vAlign w:val="center"/>
          </w:tcPr>
          <w:p w14:paraId="312F1DC1" w14:textId="77777777" w:rsidR="00454A29" w:rsidRDefault="00454A29">
            <w:pPr>
              <w:pStyle w:val="ConsPlusNormal"/>
            </w:pPr>
          </w:p>
        </w:tc>
        <w:tc>
          <w:tcPr>
            <w:tcW w:w="1701" w:type="dxa"/>
            <w:vAlign w:val="center"/>
          </w:tcPr>
          <w:p w14:paraId="7795497B" w14:textId="77777777" w:rsidR="00454A29" w:rsidRDefault="00454A29">
            <w:pPr>
              <w:pStyle w:val="ConsPlusNormal"/>
            </w:pPr>
          </w:p>
        </w:tc>
        <w:tc>
          <w:tcPr>
            <w:tcW w:w="1814" w:type="dxa"/>
            <w:vAlign w:val="center"/>
          </w:tcPr>
          <w:p w14:paraId="3530E1C1" w14:textId="77777777" w:rsidR="00454A29" w:rsidRDefault="00454A29">
            <w:pPr>
              <w:pStyle w:val="ConsPlusNormal"/>
            </w:pPr>
          </w:p>
        </w:tc>
      </w:tr>
      <w:tr w:rsidR="00454A29" w14:paraId="0F29933A" w14:textId="77777777">
        <w:tc>
          <w:tcPr>
            <w:tcW w:w="567" w:type="dxa"/>
            <w:vMerge/>
          </w:tcPr>
          <w:p w14:paraId="6422676F" w14:textId="77777777" w:rsidR="00454A29" w:rsidRDefault="00454A29"/>
        </w:tc>
        <w:tc>
          <w:tcPr>
            <w:tcW w:w="3345" w:type="dxa"/>
            <w:vMerge/>
          </w:tcPr>
          <w:p w14:paraId="16E6EFDC" w14:textId="77777777" w:rsidR="00454A29" w:rsidRDefault="00454A29"/>
        </w:tc>
        <w:tc>
          <w:tcPr>
            <w:tcW w:w="1701" w:type="dxa"/>
            <w:vAlign w:val="center"/>
          </w:tcPr>
          <w:p w14:paraId="348C78EE" w14:textId="77777777" w:rsidR="00454A29" w:rsidRDefault="00454A29">
            <w:pPr>
              <w:pStyle w:val="ConsPlusNormal"/>
              <w:jc w:val="center"/>
            </w:pPr>
            <w:r>
              <w:t>2021</w:t>
            </w:r>
          </w:p>
        </w:tc>
        <w:tc>
          <w:tcPr>
            <w:tcW w:w="1417" w:type="dxa"/>
            <w:vMerge/>
          </w:tcPr>
          <w:p w14:paraId="0C080A2C" w14:textId="77777777" w:rsidR="00454A29" w:rsidRDefault="00454A29"/>
        </w:tc>
        <w:tc>
          <w:tcPr>
            <w:tcW w:w="2204" w:type="dxa"/>
            <w:vMerge/>
          </w:tcPr>
          <w:p w14:paraId="2B7AE6F1" w14:textId="77777777" w:rsidR="00454A29" w:rsidRDefault="00454A29"/>
        </w:tc>
        <w:tc>
          <w:tcPr>
            <w:tcW w:w="1417" w:type="dxa"/>
            <w:vMerge/>
          </w:tcPr>
          <w:p w14:paraId="24FA84CB" w14:textId="77777777" w:rsidR="00454A29" w:rsidRDefault="00454A29"/>
        </w:tc>
        <w:tc>
          <w:tcPr>
            <w:tcW w:w="2324" w:type="dxa"/>
            <w:vMerge/>
          </w:tcPr>
          <w:p w14:paraId="39C52009" w14:textId="77777777" w:rsidR="00454A29" w:rsidRDefault="00454A29"/>
        </w:tc>
        <w:tc>
          <w:tcPr>
            <w:tcW w:w="1701" w:type="dxa"/>
            <w:vAlign w:val="center"/>
          </w:tcPr>
          <w:p w14:paraId="5A6ACD43" w14:textId="77777777" w:rsidR="00454A29" w:rsidRDefault="00454A29">
            <w:pPr>
              <w:pStyle w:val="ConsPlusNormal"/>
            </w:pPr>
          </w:p>
        </w:tc>
        <w:tc>
          <w:tcPr>
            <w:tcW w:w="1814" w:type="dxa"/>
            <w:vAlign w:val="center"/>
          </w:tcPr>
          <w:p w14:paraId="4E5174EE" w14:textId="77777777" w:rsidR="00454A29" w:rsidRDefault="00454A29">
            <w:pPr>
              <w:pStyle w:val="ConsPlusNormal"/>
            </w:pPr>
          </w:p>
        </w:tc>
        <w:tc>
          <w:tcPr>
            <w:tcW w:w="1701" w:type="dxa"/>
            <w:vAlign w:val="center"/>
          </w:tcPr>
          <w:p w14:paraId="25FFB663" w14:textId="77777777" w:rsidR="00454A29" w:rsidRDefault="00454A29">
            <w:pPr>
              <w:pStyle w:val="ConsPlusNormal"/>
            </w:pPr>
          </w:p>
        </w:tc>
        <w:tc>
          <w:tcPr>
            <w:tcW w:w="1701" w:type="dxa"/>
            <w:vAlign w:val="center"/>
          </w:tcPr>
          <w:p w14:paraId="5E04CB54" w14:textId="77777777" w:rsidR="00454A29" w:rsidRDefault="00454A29">
            <w:pPr>
              <w:pStyle w:val="ConsPlusNormal"/>
            </w:pPr>
          </w:p>
        </w:tc>
        <w:tc>
          <w:tcPr>
            <w:tcW w:w="1814" w:type="dxa"/>
            <w:vAlign w:val="center"/>
          </w:tcPr>
          <w:p w14:paraId="78F94DC6" w14:textId="77777777" w:rsidR="00454A29" w:rsidRDefault="00454A29">
            <w:pPr>
              <w:pStyle w:val="ConsPlusNormal"/>
            </w:pPr>
          </w:p>
        </w:tc>
      </w:tr>
      <w:tr w:rsidR="00454A29" w14:paraId="36FB43C5" w14:textId="77777777">
        <w:tc>
          <w:tcPr>
            <w:tcW w:w="567" w:type="dxa"/>
            <w:vMerge/>
          </w:tcPr>
          <w:p w14:paraId="4901D9EF" w14:textId="77777777" w:rsidR="00454A29" w:rsidRDefault="00454A29"/>
        </w:tc>
        <w:tc>
          <w:tcPr>
            <w:tcW w:w="3345" w:type="dxa"/>
            <w:vMerge/>
          </w:tcPr>
          <w:p w14:paraId="671272B3" w14:textId="77777777" w:rsidR="00454A29" w:rsidRDefault="00454A29"/>
        </w:tc>
        <w:tc>
          <w:tcPr>
            <w:tcW w:w="1701" w:type="dxa"/>
            <w:vAlign w:val="center"/>
          </w:tcPr>
          <w:p w14:paraId="49C724CE" w14:textId="77777777" w:rsidR="00454A29" w:rsidRDefault="00454A29">
            <w:pPr>
              <w:pStyle w:val="ConsPlusNormal"/>
              <w:jc w:val="center"/>
            </w:pPr>
            <w:r>
              <w:t>2022</w:t>
            </w:r>
          </w:p>
        </w:tc>
        <w:tc>
          <w:tcPr>
            <w:tcW w:w="1417" w:type="dxa"/>
            <w:vMerge/>
          </w:tcPr>
          <w:p w14:paraId="77DBBC43" w14:textId="77777777" w:rsidR="00454A29" w:rsidRDefault="00454A29"/>
        </w:tc>
        <w:tc>
          <w:tcPr>
            <w:tcW w:w="2204" w:type="dxa"/>
            <w:vMerge/>
          </w:tcPr>
          <w:p w14:paraId="43D256D8" w14:textId="77777777" w:rsidR="00454A29" w:rsidRDefault="00454A29"/>
        </w:tc>
        <w:tc>
          <w:tcPr>
            <w:tcW w:w="1417" w:type="dxa"/>
            <w:vMerge/>
          </w:tcPr>
          <w:p w14:paraId="775A63B9" w14:textId="77777777" w:rsidR="00454A29" w:rsidRDefault="00454A29"/>
        </w:tc>
        <w:tc>
          <w:tcPr>
            <w:tcW w:w="2324" w:type="dxa"/>
            <w:vMerge/>
          </w:tcPr>
          <w:p w14:paraId="61B0A671" w14:textId="77777777" w:rsidR="00454A29" w:rsidRDefault="00454A29"/>
        </w:tc>
        <w:tc>
          <w:tcPr>
            <w:tcW w:w="1701" w:type="dxa"/>
            <w:vAlign w:val="center"/>
          </w:tcPr>
          <w:p w14:paraId="50EE2F2A" w14:textId="77777777" w:rsidR="00454A29" w:rsidRDefault="00454A29">
            <w:pPr>
              <w:pStyle w:val="ConsPlusNormal"/>
            </w:pPr>
          </w:p>
        </w:tc>
        <w:tc>
          <w:tcPr>
            <w:tcW w:w="1814" w:type="dxa"/>
            <w:vAlign w:val="center"/>
          </w:tcPr>
          <w:p w14:paraId="5C945099" w14:textId="77777777" w:rsidR="00454A29" w:rsidRDefault="00454A29">
            <w:pPr>
              <w:pStyle w:val="ConsPlusNormal"/>
            </w:pPr>
          </w:p>
        </w:tc>
        <w:tc>
          <w:tcPr>
            <w:tcW w:w="1701" w:type="dxa"/>
            <w:vAlign w:val="center"/>
          </w:tcPr>
          <w:p w14:paraId="40E4DE77" w14:textId="77777777" w:rsidR="00454A29" w:rsidRDefault="00454A29">
            <w:pPr>
              <w:pStyle w:val="ConsPlusNormal"/>
            </w:pPr>
          </w:p>
        </w:tc>
        <w:tc>
          <w:tcPr>
            <w:tcW w:w="1701" w:type="dxa"/>
            <w:vAlign w:val="center"/>
          </w:tcPr>
          <w:p w14:paraId="27374FC0" w14:textId="77777777" w:rsidR="00454A29" w:rsidRDefault="00454A29">
            <w:pPr>
              <w:pStyle w:val="ConsPlusNormal"/>
            </w:pPr>
          </w:p>
        </w:tc>
        <w:tc>
          <w:tcPr>
            <w:tcW w:w="1814" w:type="dxa"/>
            <w:vAlign w:val="center"/>
          </w:tcPr>
          <w:p w14:paraId="0FFB4E65" w14:textId="77777777" w:rsidR="00454A29" w:rsidRDefault="00454A29">
            <w:pPr>
              <w:pStyle w:val="ConsPlusNormal"/>
            </w:pPr>
          </w:p>
        </w:tc>
      </w:tr>
      <w:tr w:rsidR="00454A29" w14:paraId="16174906" w14:textId="77777777">
        <w:tc>
          <w:tcPr>
            <w:tcW w:w="567" w:type="dxa"/>
            <w:vMerge/>
          </w:tcPr>
          <w:p w14:paraId="6063B68E" w14:textId="77777777" w:rsidR="00454A29" w:rsidRDefault="00454A29"/>
        </w:tc>
        <w:tc>
          <w:tcPr>
            <w:tcW w:w="3345" w:type="dxa"/>
            <w:vMerge/>
          </w:tcPr>
          <w:p w14:paraId="6C5F4531" w14:textId="77777777" w:rsidR="00454A29" w:rsidRDefault="00454A29"/>
        </w:tc>
        <w:tc>
          <w:tcPr>
            <w:tcW w:w="1701" w:type="dxa"/>
            <w:vAlign w:val="center"/>
          </w:tcPr>
          <w:p w14:paraId="1DEE6050" w14:textId="77777777" w:rsidR="00454A29" w:rsidRDefault="00454A29">
            <w:pPr>
              <w:pStyle w:val="ConsPlusNormal"/>
              <w:jc w:val="center"/>
            </w:pPr>
            <w:r>
              <w:t>2023</w:t>
            </w:r>
          </w:p>
        </w:tc>
        <w:tc>
          <w:tcPr>
            <w:tcW w:w="1417" w:type="dxa"/>
            <w:vMerge/>
          </w:tcPr>
          <w:p w14:paraId="5CF1AC1C" w14:textId="77777777" w:rsidR="00454A29" w:rsidRDefault="00454A29"/>
        </w:tc>
        <w:tc>
          <w:tcPr>
            <w:tcW w:w="2204" w:type="dxa"/>
            <w:vMerge/>
          </w:tcPr>
          <w:p w14:paraId="3E64A037" w14:textId="77777777" w:rsidR="00454A29" w:rsidRDefault="00454A29"/>
        </w:tc>
        <w:tc>
          <w:tcPr>
            <w:tcW w:w="1417" w:type="dxa"/>
            <w:vMerge/>
          </w:tcPr>
          <w:p w14:paraId="356322FE" w14:textId="77777777" w:rsidR="00454A29" w:rsidRDefault="00454A29"/>
        </w:tc>
        <w:tc>
          <w:tcPr>
            <w:tcW w:w="2324" w:type="dxa"/>
            <w:vMerge/>
          </w:tcPr>
          <w:p w14:paraId="374228EA" w14:textId="77777777" w:rsidR="00454A29" w:rsidRDefault="00454A29"/>
        </w:tc>
        <w:tc>
          <w:tcPr>
            <w:tcW w:w="1701" w:type="dxa"/>
            <w:vAlign w:val="center"/>
          </w:tcPr>
          <w:p w14:paraId="00286D28" w14:textId="77777777" w:rsidR="00454A29" w:rsidRDefault="00454A29">
            <w:pPr>
              <w:pStyle w:val="ConsPlusNormal"/>
            </w:pPr>
          </w:p>
        </w:tc>
        <w:tc>
          <w:tcPr>
            <w:tcW w:w="1814" w:type="dxa"/>
            <w:vAlign w:val="center"/>
          </w:tcPr>
          <w:p w14:paraId="29F04A56" w14:textId="77777777" w:rsidR="00454A29" w:rsidRDefault="00454A29">
            <w:pPr>
              <w:pStyle w:val="ConsPlusNormal"/>
            </w:pPr>
          </w:p>
        </w:tc>
        <w:tc>
          <w:tcPr>
            <w:tcW w:w="1701" w:type="dxa"/>
            <w:vAlign w:val="center"/>
          </w:tcPr>
          <w:p w14:paraId="02607E91" w14:textId="77777777" w:rsidR="00454A29" w:rsidRDefault="00454A29">
            <w:pPr>
              <w:pStyle w:val="ConsPlusNormal"/>
            </w:pPr>
          </w:p>
        </w:tc>
        <w:tc>
          <w:tcPr>
            <w:tcW w:w="1701" w:type="dxa"/>
            <w:vAlign w:val="center"/>
          </w:tcPr>
          <w:p w14:paraId="4AE440D0" w14:textId="77777777" w:rsidR="00454A29" w:rsidRDefault="00454A29">
            <w:pPr>
              <w:pStyle w:val="ConsPlusNormal"/>
            </w:pPr>
          </w:p>
        </w:tc>
        <w:tc>
          <w:tcPr>
            <w:tcW w:w="1814" w:type="dxa"/>
            <w:vAlign w:val="center"/>
          </w:tcPr>
          <w:p w14:paraId="319757FD" w14:textId="77777777" w:rsidR="00454A29" w:rsidRDefault="00454A29">
            <w:pPr>
              <w:pStyle w:val="ConsPlusNormal"/>
            </w:pPr>
          </w:p>
        </w:tc>
      </w:tr>
      <w:tr w:rsidR="00454A29" w14:paraId="24F78834" w14:textId="77777777">
        <w:tc>
          <w:tcPr>
            <w:tcW w:w="567" w:type="dxa"/>
            <w:vMerge/>
          </w:tcPr>
          <w:p w14:paraId="165922EE" w14:textId="77777777" w:rsidR="00454A29" w:rsidRDefault="00454A29"/>
        </w:tc>
        <w:tc>
          <w:tcPr>
            <w:tcW w:w="3345" w:type="dxa"/>
            <w:vMerge/>
          </w:tcPr>
          <w:p w14:paraId="749DBD54" w14:textId="77777777" w:rsidR="00454A29" w:rsidRDefault="00454A29"/>
        </w:tc>
        <w:tc>
          <w:tcPr>
            <w:tcW w:w="1701" w:type="dxa"/>
            <w:vAlign w:val="center"/>
          </w:tcPr>
          <w:p w14:paraId="62753A8C" w14:textId="77777777" w:rsidR="00454A29" w:rsidRDefault="00454A29">
            <w:pPr>
              <w:pStyle w:val="ConsPlusNormal"/>
              <w:jc w:val="center"/>
            </w:pPr>
            <w:r>
              <w:t>2024</w:t>
            </w:r>
          </w:p>
        </w:tc>
        <w:tc>
          <w:tcPr>
            <w:tcW w:w="1417" w:type="dxa"/>
            <w:vMerge/>
          </w:tcPr>
          <w:p w14:paraId="4653F097" w14:textId="77777777" w:rsidR="00454A29" w:rsidRDefault="00454A29"/>
        </w:tc>
        <w:tc>
          <w:tcPr>
            <w:tcW w:w="2204" w:type="dxa"/>
            <w:vMerge/>
          </w:tcPr>
          <w:p w14:paraId="1D41A1A1" w14:textId="77777777" w:rsidR="00454A29" w:rsidRDefault="00454A29"/>
        </w:tc>
        <w:tc>
          <w:tcPr>
            <w:tcW w:w="1417" w:type="dxa"/>
            <w:vMerge/>
          </w:tcPr>
          <w:p w14:paraId="79E26FFB" w14:textId="77777777" w:rsidR="00454A29" w:rsidRDefault="00454A29"/>
        </w:tc>
        <w:tc>
          <w:tcPr>
            <w:tcW w:w="2324" w:type="dxa"/>
            <w:vMerge/>
          </w:tcPr>
          <w:p w14:paraId="7EEEEFDC" w14:textId="77777777" w:rsidR="00454A29" w:rsidRDefault="00454A29"/>
        </w:tc>
        <w:tc>
          <w:tcPr>
            <w:tcW w:w="1701" w:type="dxa"/>
            <w:vAlign w:val="center"/>
          </w:tcPr>
          <w:p w14:paraId="2F74B88B" w14:textId="77777777" w:rsidR="00454A29" w:rsidRDefault="00454A29">
            <w:pPr>
              <w:pStyle w:val="ConsPlusNormal"/>
            </w:pPr>
          </w:p>
        </w:tc>
        <w:tc>
          <w:tcPr>
            <w:tcW w:w="1814" w:type="dxa"/>
            <w:vAlign w:val="center"/>
          </w:tcPr>
          <w:p w14:paraId="2BD87C72" w14:textId="77777777" w:rsidR="00454A29" w:rsidRDefault="00454A29">
            <w:pPr>
              <w:pStyle w:val="ConsPlusNormal"/>
            </w:pPr>
          </w:p>
        </w:tc>
        <w:tc>
          <w:tcPr>
            <w:tcW w:w="1701" w:type="dxa"/>
            <w:vAlign w:val="center"/>
          </w:tcPr>
          <w:p w14:paraId="2B2AF3FD" w14:textId="77777777" w:rsidR="00454A29" w:rsidRDefault="00454A29">
            <w:pPr>
              <w:pStyle w:val="ConsPlusNormal"/>
            </w:pPr>
          </w:p>
        </w:tc>
        <w:tc>
          <w:tcPr>
            <w:tcW w:w="1701" w:type="dxa"/>
            <w:vAlign w:val="center"/>
          </w:tcPr>
          <w:p w14:paraId="29DEEAD5" w14:textId="77777777" w:rsidR="00454A29" w:rsidRDefault="00454A29">
            <w:pPr>
              <w:pStyle w:val="ConsPlusNormal"/>
            </w:pPr>
          </w:p>
        </w:tc>
        <w:tc>
          <w:tcPr>
            <w:tcW w:w="1814" w:type="dxa"/>
            <w:vAlign w:val="center"/>
          </w:tcPr>
          <w:p w14:paraId="67E3B083" w14:textId="77777777" w:rsidR="00454A29" w:rsidRDefault="00454A29">
            <w:pPr>
              <w:pStyle w:val="ConsPlusNormal"/>
            </w:pPr>
          </w:p>
        </w:tc>
      </w:tr>
      <w:tr w:rsidR="00454A29" w14:paraId="1448770F" w14:textId="77777777">
        <w:tc>
          <w:tcPr>
            <w:tcW w:w="567" w:type="dxa"/>
            <w:vMerge/>
          </w:tcPr>
          <w:p w14:paraId="4730FAF9" w14:textId="77777777" w:rsidR="00454A29" w:rsidRDefault="00454A29"/>
        </w:tc>
        <w:tc>
          <w:tcPr>
            <w:tcW w:w="3345" w:type="dxa"/>
            <w:vMerge/>
          </w:tcPr>
          <w:p w14:paraId="3D18F242" w14:textId="77777777" w:rsidR="00454A29" w:rsidRDefault="00454A29"/>
        </w:tc>
        <w:tc>
          <w:tcPr>
            <w:tcW w:w="1701" w:type="dxa"/>
            <w:vAlign w:val="center"/>
          </w:tcPr>
          <w:p w14:paraId="0112929D" w14:textId="77777777" w:rsidR="00454A29" w:rsidRDefault="00454A29">
            <w:pPr>
              <w:pStyle w:val="ConsPlusNormal"/>
              <w:jc w:val="center"/>
            </w:pPr>
            <w:r>
              <w:t>2025</w:t>
            </w:r>
          </w:p>
        </w:tc>
        <w:tc>
          <w:tcPr>
            <w:tcW w:w="1417" w:type="dxa"/>
            <w:vMerge/>
          </w:tcPr>
          <w:p w14:paraId="408F5332" w14:textId="77777777" w:rsidR="00454A29" w:rsidRDefault="00454A29"/>
        </w:tc>
        <w:tc>
          <w:tcPr>
            <w:tcW w:w="2204" w:type="dxa"/>
            <w:vMerge/>
          </w:tcPr>
          <w:p w14:paraId="55778DEA" w14:textId="77777777" w:rsidR="00454A29" w:rsidRDefault="00454A29"/>
        </w:tc>
        <w:tc>
          <w:tcPr>
            <w:tcW w:w="1417" w:type="dxa"/>
            <w:vMerge/>
          </w:tcPr>
          <w:p w14:paraId="668C2CC3" w14:textId="77777777" w:rsidR="00454A29" w:rsidRDefault="00454A29"/>
        </w:tc>
        <w:tc>
          <w:tcPr>
            <w:tcW w:w="2324" w:type="dxa"/>
            <w:vMerge/>
          </w:tcPr>
          <w:p w14:paraId="2A9E1E1E" w14:textId="77777777" w:rsidR="00454A29" w:rsidRDefault="00454A29"/>
        </w:tc>
        <w:tc>
          <w:tcPr>
            <w:tcW w:w="1701" w:type="dxa"/>
            <w:vAlign w:val="center"/>
          </w:tcPr>
          <w:p w14:paraId="0EF6203F" w14:textId="77777777" w:rsidR="00454A29" w:rsidRDefault="00454A29">
            <w:pPr>
              <w:pStyle w:val="ConsPlusNormal"/>
              <w:jc w:val="center"/>
            </w:pPr>
            <w:r>
              <w:t>183 912,26</w:t>
            </w:r>
          </w:p>
        </w:tc>
        <w:tc>
          <w:tcPr>
            <w:tcW w:w="1814" w:type="dxa"/>
            <w:vAlign w:val="center"/>
          </w:tcPr>
          <w:p w14:paraId="133FBEF8" w14:textId="77777777" w:rsidR="00454A29" w:rsidRDefault="00454A29">
            <w:pPr>
              <w:pStyle w:val="ConsPlusNormal"/>
              <w:jc w:val="center"/>
            </w:pPr>
            <w:r>
              <w:t>2 326,49</w:t>
            </w:r>
          </w:p>
        </w:tc>
        <w:tc>
          <w:tcPr>
            <w:tcW w:w="1701" w:type="dxa"/>
            <w:vAlign w:val="center"/>
          </w:tcPr>
          <w:p w14:paraId="0F8DFEC6" w14:textId="77777777" w:rsidR="00454A29" w:rsidRDefault="00454A29">
            <w:pPr>
              <w:pStyle w:val="ConsPlusNormal"/>
              <w:jc w:val="center"/>
            </w:pPr>
            <w:r>
              <w:t>230 322,52</w:t>
            </w:r>
          </w:p>
        </w:tc>
        <w:tc>
          <w:tcPr>
            <w:tcW w:w="1701" w:type="dxa"/>
            <w:vAlign w:val="center"/>
          </w:tcPr>
          <w:p w14:paraId="55739AC4" w14:textId="77777777" w:rsidR="00454A29" w:rsidRDefault="00454A29">
            <w:pPr>
              <w:pStyle w:val="ConsPlusNormal"/>
            </w:pPr>
          </w:p>
        </w:tc>
        <w:tc>
          <w:tcPr>
            <w:tcW w:w="1814" w:type="dxa"/>
            <w:vAlign w:val="center"/>
          </w:tcPr>
          <w:p w14:paraId="4F052AD1" w14:textId="77777777" w:rsidR="00454A29" w:rsidRDefault="00454A29">
            <w:pPr>
              <w:pStyle w:val="ConsPlusNormal"/>
            </w:pPr>
          </w:p>
        </w:tc>
      </w:tr>
      <w:tr w:rsidR="00454A29" w14:paraId="17BA11F7" w14:textId="77777777">
        <w:tc>
          <w:tcPr>
            <w:tcW w:w="567" w:type="dxa"/>
            <w:vMerge/>
          </w:tcPr>
          <w:p w14:paraId="3B0C39D7" w14:textId="77777777" w:rsidR="00454A29" w:rsidRDefault="00454A29"/>
        </w:tc>
        <w:tc>
          <w:tcPr>
            <w:tcW w:w="3345" w:type="dxa"/>
            <w:vMerge/>
          </w:tcPr>
          <w:p w14:paraId="5F13BA35" w14:textId="77777777" w:rsidR="00454A29" w:rsidRDefault="00454A29"/>
        </w:tc>
        <w:tc>
          <w:tcPr>
            <w:tcW w:w="1701" w:type="dxa"/>
            <w:vAlign w:val="center"/>
          </w:tcPr>
          <w:p w14:paraId="12DB5993" w14:textId="77777777" w:rsidR="00454A29" w:rsidRDefault="00454A29">
            <w:pPr>
              <w:pStyle w:val="ConsPlusNormal"/>
              <w:jc w:val="center"/>
            </w:pPr>
            <w:r>
              <w:t>2026</w:t>
            </w:r>
          </w:p>
        </w:tc>
        <w:tc>
          <w:tcPr>
            <w:tcW w:w="1417" w:type="dxa"/>
            <w:vMerge/>
          </w:tcPr>
          <w:p w14:paraId="04081979" w14:textId="77777777" w:rsidR="00454A29" w:rsidRDefault="00454A29"/>
        </w:tc>
        <w:tc>
          <w:tcPr>
            <w:tcW w:w="2204" w:type="dxa"/>
            <w:vMerge/>
          </w:tcPr>
          <w:p w14:paraId="45C5EBDB" w14:textId="77777777" w:rsidR="00454A29" w:rsidRDefault="00454A29"/>
        </w:tc>
        <w:tc>
          <w:tcPr>
            <w:tcW w:w="1417" w:type="dxa"/>
            <w:vMerge/>
          </w:tcPr>
          <w:p w14:paraId="54F6138A" w14:textId="77777777" w:rsidR="00454A29" w:rsidRDefault="00454A29"/>
        </w:tc>
        <w:tc>
          <w:tcPr>
            <w:tcW w:w="2324" w:type="dxa"/>
            <w:vMerge/>
          </w:tcPr>
          <w:p w14:paraId="7F586CF2" w14:textId="77777777" w:rsidR="00454A29" w:rsidRDefault="00454A29"/>
        </w:tc>
        <w:tc>
          <w:tcPr>
            <w:tcW w:w="1701" w:type="dxa"/>
            <w:vAlign w:val="center"/>
          </w:tcPr>
          <w:p w14:paraId="7E587B9E" w14:textId="77777777" w:rsidR="00454A29" w:rsidRDefault="00454A29">
            <w:pPr>
              <w:pStyle w:val="ConsPlusNormal"/>
              <w:jc w:val="center"/>
            </w:pPr>
            <w:r>
              <w:t>-</w:t>
            </w:r>
          </w:p>
        </w:tc>
        <w:tc>
          <w:tcPr>
            <w:tcW w:w="1814" w:type="dxa"/>
            <w:vAlign w:val="center"/>
          </w:tcPr>
          <w:p w14:paraId="238B5868" w14:textId="77777777" w:rsidR="00454A29" w:rsidRDefault="00454A29">
            <w:pPr>
              <w:pStyle w:val="ConsPlusNormal"/>
            </w:pPr>
          </w:p>
        </w:tc>
        <w:tc>
          <w:tcPr>
            <w:tcW w:w="1701" w:type="dxa"/>
            <w:vAlign w:val="center"/>
          </w:tcPr>
          <w:p w14:paraId="33CB58EF" w14:textId="77777777" w:rsidR="00454A29" w:rsidRDefault="00454A29">
            <w:pPr>
              <w:pStyle w:val="ConsPlusNormal"/>
            </w:pPr>
          </w:p>
        </w:tc>
        <w:tc>
          <w:tcPr>
            <w:tcW w:w="1701" w:type="dxa"/>
            <w:vAlign w:val="center"/>
          </w:tcPr>
          <w:p w14:paraId="1B1FA9C9" w14:textId="77777777" w:rsidR="00454A29" w:rsidRDefault="00454A29">
            <w:pPr>
              <w:pStyle w:val="ConsPlusNormal"/>
            </w:pPr>
          </w:p>
        </w:tc>
        <w:tc>
          <w:tcPr>
            <w:tcW w:w="1814" w:type="dxa"/>
            <w:vAlign w:val="center"/>
          </w:tcPr>
          <w:p w14:paraId="28C13925" w14:textId="77777777" w:rsidR="00454A29" w:rsidRDefault="00454A29">
            <w:pPr>
              <w:pStyle w:val="ConsPlusNormal"/>
            </w:pPr>
          </w:p>
        </w:tc>
      </w:tr>
      <w:tr w:rsidR="00454A29" w14:paraId="499157E5" w14:textId="77777777">
        <w:tc>
          <w:tcPr>
            <w:tcW w:w="567" w:type="dxa"/>
            <w:vMerge w:val="restart"/>
            <w:vAlign w:val="center"/>
          </w:tcPr>
          <w:p w14:paraId="584FFC2F" w14:textId="77777777" w:rsidR="00454A29" w:rsidRDefault="00454A29">
            <w:pPr>
              <w:pStyle w:val="ConsPlusNormal"/>
              <w:jc w:val="center"/>
            </w:pPr>
            <w:r>
              <w:t>82</w:t>
            </w:r>
          </w:p>
        </w:tc>
        <w:tc>
          <w:tcPr>
            <w:tcW w:w="3345" w:type="dxa"/>
            <w:vMerge w:val="restart"/>
            <w:vAlign w:val="center"/>
          </w:tcPr>
          <w:p w14:paraId="0F8A6D8B" w14:textId="77777777" w:rsidR="00454A29" w:rsidRDefault="00454A29">
            <w:pPr>
              <w:pStyle w:val="ConsPlusNormal"/>
              <w:jc w:val="center"/>
            </w:pPr>
            <w:r>
              <w:t>Школа на 50 учащихся в с. Чумпу-Кытыл</w:t>
            </w:r>
          </w:p>
        </w:tc>
        <w:tc>
          <w:tcPr>
            <w:tcW w:w="1701" w:type="dxa"/>
            <w:vAlign w:val="center"/>
          </w:tcPr>
          <w:p w14:paraId="4C993880" w14:textId="77777777" w:rsidR="00454A29" w:rsidRDefault="00454A29">
            <w:pPr>
              <w:pStyle w:val="ConsPlusNormal"/>
              <w:jc w:val="center"/>
            </w:pPr>
            <w:r>
              <w:t>2020 - 2026 годы - всего</w:t>
            </w:r>
          </w:p>
        </w:tc>
        <w:tc>
          <w:tcPr>
            <w:tcW w:w="1417" w:type="dxa"/>
            <w:vMerge w:val="restart"/>
            <w:vAlign w:val="center"/>
          </w:tcPr>
          <w:p w14:paraId="2D195986" w14:textId="77777777" w:rsidR="00454A29" w:rsidRDefault="00454A29">
            <w:pPr>
              <w:pStyle w:val="ConsPlusNormal"/>
              <w:jc w:val="center"/>
            </w:pPr>
            <w:r>
              <w:t>183 912,26</w:t>
            </w:r>
          </w:p>
        </w:tc>
        <w:tc>
          <w:tcPr>
            <w:tcW w:w="2204" w:type="dxa"/>
            <w:vMerge w:val="restart"/>
            <w:vAlign w:val="center"/>
          </w:tcPr>
          <w:p w14:paraId="408C270C" w14:textId="77777777" w:rsidR="00454A29" w:rsidRDefault="00454A29">
            <w:pPr>
              <w:pStyle w:val="ConsPlusNormal"/>
            </w:pPr>
          </w:p>
        </w:tc>
        <w:tc>
          <w:tcPr>
            <w:tcW w:w="1417" w:type="dxa"/>
            <w:vMerge w:val="restart"/>
            <w:vAlign w:val="center"/>
          </w:tcPr>
          <w:p w14:paraId="5BC2C821" w14:textId="77777777" w:rsidR="00454A29" w:rsidRDefault="00454A29">
            <w:pPr>
              <w:pStyle w:val="ConsPlusNormal"/>
              <w:jc w:val="center"/>
            </w:pPr>
            <w:r>
              <w:t>50</w:t>
            </w:r>
          </w:p>
        </w:tc>
        <w:tc>
          <w:tcPr>
            <w:tcW w:w="2324" w:type="dxa"/>
            <w:vMerge w:val="restart"/>
            <w:vAlign w:val="center"/>
          </w:tcPr>
          <w:p w14:paraId="5A8492D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B026826" w14:textId="77777777" w:rsidR="00454A29" w:rsidRDefault="00454A29">
            <w:pPr>
              <w:pStyle w:val="ConsPlusNormal"/>
              <w:jc w:val="center"/>
            </w:pPr>
            <w:r>
              <w:t>183 912,26</w:t>
            </w:r>
          </w:p>
        </w:tc>
        <w:tc>
          <w:tcPr>
            <w:tcW w:w="1814" w:type="dxa"/>
            <w:vAlign w:val="center"/>
          </w:tcPr>
          <w:p w14:paraId="16624110" w14:textId="77777777" w:rsidR="00454A29" w:rsidRDefault="00454A29">
            <w:pPr>
              <w:pStyle w:val="ConsPlusNormal"/>
              <w:jc w:val="center"/>
            </w:pPr>
            <w:r>
              <w:t>2 326,49</w:t>
            </w:r>
          </w:p>
        </w:tc>
        <w:tc>
          <w:tcPr>
            <w:tcW w:w="1701" w:type="dxa"/>
            <w:vAlign w:val="center"/>
          </w:tcPr>
          <w:p w14:paraId="5266D2AF" w14:textId="77777777" w:rsidR="00454A29" w:rsidRDefault="00454A29">
            <w:pPr>
              <w:pStyle w:val="ConsPlusNormal"/>
              <w:jc w:val="center"/>
            </w:pPr>
            <w:r>
              <w:t>230 322,52</w:t>
            </w:r>
          </w:p>
        </w:tc>
        <w:tc>
          <w:tcPr>
            <w:tcW w:w="1701" w:type="dxa"/>
            <w:vAlign w:val="center"/>
          </w:tcPr>
          <w:p w14:paraId="4DAD758A" w14:textId="77777777" w:rsidR="00454A29" w:rsidRDefault="00454A29">
            <w:pPr>
              <w:pStyle w:val="ConsPlusNormal"/>
              <w:jc w:val="center"/>
            </w:pPr>
            <w:r>
              <w:t>-</w:t>
            </w:r>
          </w:p>
        </w:tc>
        <w:tc>
          <w:tcPr>
            <w:tcW w:w="1814" w:type="dxa"/>
            <w:vAlign w:val="center"/>
          </w:tcPr>
          <w:p w14:paraId="1283138A" w14:textId="77777777" w:rsidR="00454A29" w:rsidRDefault="00454A29">
            <w:pPr>
              <w:pStyle w:val="ConsPlusNormal"/>
              <w:jc w:val="center"/>
            </w:pPr>
            <w:r>
              <w:t>-</w:t>
            </w:r>
          </w:p>
        </w:tc>
      </w:tr>
      <w:tr w:rsidR="00454A29" w14:paraId="7FF427E9" w14:textId="77777777">
        <w:tc>
          <w:tcPr>
            <w:tcW w:w="567" w:type="dxa"/>
            <w:vMerge/>
          </w:tcPr>
          <w:p w14:paraId="67E5BFF6" w14:textId="77777777" w:rsidR="00454A29" w:rsidRDefault="00454A29"/>
        </w:tc>
        <w:tc>
          <w:tcPr>
            <w:tcW w:w="3345" w:type="dxa"/>
            <w:vMerge/>
          </w:tcPr>
          <w:p w14:paraId="74021D0D" w14:textId="77777777" w:rsidR="00454A29" w:rsidRDefault="00454A29"/>
        </w:tc>
        <w:tc>
          <w:tcPr>
            <w:tcW w:w="1701" w:type="dxa"/>
            <w:vAlign w:val="center"/>
          </w:tcPr>
          <w:p w14:paraId="10217004" w14:textId="77777777" w:rsidR="00454A29" w:rsidRDefault="00454A29">
            <w:pPr>
              <w:pStyle w:val="ConsPlusNormal"/>
              <w:jc w:val="center"/>
            </w:pPr>
            <w:r>
              <w:t>2020</w:t>
            </w:r>
          </w:p>
        </w:tc>
        <w:tc>
          <w:tcPr>
            <w:tcW w:w="1417" w:type="dxa"/>
            <w:vMerge/>
          </w:tcPr>
          <w:p w14:paraId="6DD2F954" w14:textId="77777777" w:rsidR="00454A29" w:rsidRDefault="00454A29"/>
        </w:tc>
        <w:tc>
          <w:tcPr>
            <w:tcW w:w="2204" w:type="dxa"/>
            <w:vMerge/>
          </w:tcPr>
          <w:p w14:paraId="51B40E57" w14:textId="77777777" w:rsidR="00454A29" w:rsidRDefault="00454A29"/>
        </w:tc>
        <w:tc>
          <w:tcPr>
            <w:tcW w:w="1417" w:type="dxa"/>
            <w:vMerge/>
          </w:tcPr>
          <w:p w14:paraId="0396FF25" w14:textId="77777777" w:rsidR="00454A29" w:rsidRDefault="00454A29"/>
        </w:tc>
        <w:tc>
          <w:tcPr>
            <w:tcW w:w="2324" w:type="dxa"/>
            <w:vMerge/>
          </w:tcPr>
          <w:p w14:paraId="52C6D242" w14:textId="77777777" w:rsidR="00454A29" w:rsidRDefault="00454A29"/>
        </w:tc>
        <w:tc>
          <w:tcPr>
            <w:tcW w:w="1701" w:type="dxa"/>
            <w:vAlign w:val="center"/>
          </w:tcPr>
          <w:p w14:paraId="307D0113" w14:textId="77777777" w:rsidR="00454A29" w:rsidRDefault="00454A29">
            <w:pPr>
              <w:pStyle w:val="ConsPlusNormal"/>
            </w:pPr>
          </w:p>
        </w:tc>
        <w:tc>
          <w:tcPr>
            <w:tcW w:w="1814" w:type="dxa"/>
            <w:vAlign w:val="center"/>
          </w:tcPr>
          <w:p w14:paraId="469EFA3D" w14:textId="77777777" w:rsidR="00454A29" w:rsidRDefault="00454A29">
            <w:pPr>
              <w:pStyle w:val="ConsPlusNormal"/>
            </w:pPr>
          </w:p>
        </w:tc>
        <w:tc>
          <w:tcPr>
            <w:tcW w:w="1701" w:type="dxa"/>
            <w:vAlign w:val="center"/>
          </w:tcPr>
          <w:p w14:paraId="5BF2C2CF" w14:textId="77777777" w:rsidR="00454A29" w:rsidRDefault="00454A29">
            <w:pPr>
              <w:pStyle w:val="ConsPlusNormal"/>
            </w:pPr>
          </w:p>
        </w:tc>
        <w:tc>
          <w:tcPr>
            <w:tcW w:w="1701" w:type="dxa"/>
            <w:vAlign w:val="center"/>
          </w:tcPr>
          <w:p w14:paraId="0B287870" w14:textId="77777777" w:rsidR="00454A29" w:rsidRDefault="00454A29">
            <w:pPr>
              <w:pStyle w:val="ConsPlusNormal"/>
            </w:pPr>
          </w:p>
        </w:tc>
        <w:tc>
          <w:tcPr>
            <w:tcW w:w="1814" w:type="dxa"/>
            <w:vAlign w:val="center"/>
          </w:tcPr>
          <w:p w14:paraId="2AA1101E" w14:textId="77777777" w:rsidR="00454A29" w:rsidRDefault="00454A29">
            <w:pPr>
              <w:pStyle w:val="ConsPlusNormal"/>
            </w:pPr>
          </w:p>
        </w:tc>
      </w:tr>
      <w:tr w:rsidR="00454A29" w14:paraId="2BD3FC8A" w14:textId="77777777">
        <w:tc>
          <w:tcPr>
            <w:tcW w:w="567" w:type="dxa"/>
            <w:vMerge/>
          </w:tcPr>
          <w:p w14:paraId="54AC0DC1" w14:textId="77777777" w:rsidR="00454A29" w:rsidRDefault="00454A29"/>
        </w:tc>
        <w:tc>
          <w:tcPr>
            <w:tcW w:w="3345" w:type="dxa"/>
            <w:vMerge/>
          </w:tcPr>
          <w:p w14:paraId="6798858B" w14:textId="77777777" w:rsidR="00454A29" w:rsidRDefault="00454A29"/>
        </w:tc>
        <w:tc>
          <w:tcPr>
            <w:tcW w:w="1701" w:type="dxa"/>
            <w:vAlign w:val="center"/>
          </w:tcPr>
          <w:p w14:paraId="61481CEE" w14:textId="77777777" w:rsidR="00454A29" w:rsidRDefault="00454A29">
            <w:pPr>
              <w:pStyle w:val="ConsPlusNormal"/>
              <w:jc w:val="center"/>
            </w:pPr>
            <w:r>
              <w:t>2021</w:t>
            </w:r>
          </w:p>
        </w:tc>
        <w:tc>
          <w:tcPr>
            <w:tcW w:w="1417" w:type="dxa"/>
            <w:vMerge/>
          </w:tcPr>
          <w:p w14:paraId="268AC4D5" w14:textId="77777777" w:rsidR="00454A29" w:rsidRDefault="00454A29"/>
        </w:tc>
        <w:tc>
          <w:tcPr>
            <w:tcW w:w="2204" w:type="dxa"/>
            <w:vMerge/>
          </w:tcPr>
          <w:p w14:paraId="34ADE836" w14:textId="77777777" w:rsidR="00454A29" w:rsidRDefault="00454A29"/>
        </w:tc>
        <w:tc>
          <w:tcPr>
            <w:tcW w:w="1417" w:type="dxa"/>
            <w:vMerge/>
          </w:tcPr>
          <w:p w14:paraId="0EB22860" w14:textId="77777777" w:rsidR="00454A29" w:rsidRDefault="00454A29"/>
        </w:tc>
        <w:tc>
          <w:tcPr>
            <w:tcW w:w="2324" w:type="dxa"/>
            <w:vMerge/>
          </w:tcPr>
          <w:p w14:paraId="63C3ACA9" w14:textId="77777777" w:rsidR="00454A29" w:rsidRDefault="00454A29"/>
        </w:tc>
        <w:tc>
          <w:tcPr>
            <w:tcW w:w="1701" w:type="dxa"/>
            <w:vAlign w:val="center"/>
          </w:tcPr>
          <w:p w14:paraId="64C3BBAA" w14:textId="77777777" w:rsidR="00454A29" w:rsidRDefault="00454A29">
            <w:pPr>
              <w:pStyle w:val="ConsPlusNormal"/>
            </w:pPr>
          </w:p>
        </w:tc>
        <w:tc>
          <w:tcPr>
            <w:tcW w:w="1814" w:type="dxa"/>
            <w:vAlign w:val="center"/>
          </w:tcPr>
          <w:p w14:paraId="440354A8" w14:textId="77777777" w:rsidR="00454A29" w:rsidRDefault="00454A29">
            <w:pPr>
              <w:pStyle w:val="ConsPlusNormal"/>
            </w:pPr>
          </w:p>
        </w:tc>
        <w:tc>
          <w:tcPr>
            <w:tcW w:w="1701" w:type="dxa"/>
            <w:vAlign w:val="center"/>
          </w:tcPr>
          <w:p w14:paraId="4ED37A16" w14:textId="77777777" w:rsidR="00454A29" w:rsidRDefault="00454A29">
            <w:pPr>
              <w:pStyle w:val="ConsPlusNormal"/>
            </w:pPr>
          </w:p>
        </w:tc>
        <w:tc>
          <w:tcPr>
            <w:tcW w:w="1701" w:type="dxa"/>
            <w:vAlign w:val="center"/>
          </w:tcPr>
          <w:p w14:paraId="21FF7BA8" w14:textId="77777777" w:rsidR="00454A29" w:rsidRDefault="00454A29">
            <w:pPr>
              <w:pStyle w:val="ConsPlusNormal"/>
            </w:pPr>
          </w:p>
        </w:tc>
        <w:tc>
          <w:tcPr>
            <w:tcW w:w="1814" w:type="dxa"/>
            <w:vAlign w:val="center"/>
          </w:tcPr>
          <w:p w14:paraId="61379174" w14:textId="77777777" w:rsidR="00454A29" w:rsidRDefault="00454A29">
            <w:pPr>
              <w:pStyle w:val="ConsPlusNormal"/>
            </w:pPr>
          </w:p>
        </w:tc>
      </w:tr>
      <w:tr w:rsidR="00454A29" w14:paraId="657AF9FB" w14:textId="77777777">
        <w:tc>
          <w:tcPr>
            <w:tcW w:w="567" w:type="dxa"/>
            <w:vMerge/>
          </w:tcPr>
          <w:p w14:paraId="7E8BF519" w14:textId="77777777" w:rsidR="00454A29" w:rsidRDefault="00454A29"/>
        </w:tc>
        <w:tc>
          <w:tcPr>
            <w:tcW w:w="3345" w:type="dxa"/>
            <w:vMerge/>
          </w:tcPr>
          <w:p w14:paraId="5A46BE69" w14:textId="77777777" w:rsidR="00454A29" w:rsidRDefault="00454A29"/>
        </w:tc>
        <w:tc>
          <w:tcPr>
            <w:tcW w:w="1701" w:type="dxa"/>
            <w:vAlign w:val="center"/>
          </w:tcPr>
          <w:p w14:paraId="6703A593" w14:textId="77777777" w:rsidR="00454A29" w:rsidRDefault="00454A29">
            <w:pPr>
              <w:pStyle w:val="ConsPlusNormal"/>
              <w:jc w:val="center"/>
            </w:pPr>
            <w:r>
              <w:t>2022</w:t>
            </w:r>
          </w:p>
        </w:tc>
        <w:tc>
          <w:tcPr>
            <w:tcW w:w="1417" w:type="dxa"/>
            <w:vMerge/>
          </w:tcPr>
          <w:p w14:paraId="11F3D3AB" w14:textId="77777777" w:rsidR="00454A29" w:rsidRDefault="00454A29"/>
        </w:tc>
        <w:tc>
          <w:tcPr>
            <w:tcW w:w="2204" w:type="dxa"/>
            <w:vMerge/>
          </w:tcPr>
          <w:p w14:paraId="520C03BD" w14:textId="77777777" w:rsidR="00454A29" w:rsidRDefault="00454A29"/>
        </w:tc>
        <w:tc>
          <w:tcPr>
            <w:tcW w:w="1417" w:type="dxa"/>
            <w:vMerge/>
          </w:tcPr>
          <w:p w14:paraId="31F8417A" w14:textId="77777777" w:rsidR="00454A29" w:rsidRDefault="00454A29"/>
        </w:tc>
        <w:tc>
          <w:tcPr>
            <w:tcW w:w="2324" w:type="dxa"/>
            <w:vMerge/>
          </w:tcPr>
          <w:p w14:paraId="1BF4BAAB" w14:textId="77777777" w:rsidR="00454A29" w:rsidRDefault="00454A29"/>
        </w:tc>
        <w:tc>
          <w:tcPr>
            <w:tcW w:w="1701" w:type="dxa"/>
            <w:vAlign w:val="center"/>
          </w:tcPr>
          <w:p w14:paraId="16A9E154" w14:textId="77777777" w:rsidR="00454A29" w:rsidRDefault="00454A29">
            <w:pPr>
              <w:pStyle w:val="ConsPlusNormal"/>
            </w:pPr>
          </w:p>
        </w:tc>
        <w:tc>
          <w:tcPr>
            <w:tcW w:w="1814" w:type="dxa"/>
            <w:vAlign w:val="center"/>
          </w:tcPr>
          <w:p w14:paraId="0E3617A1" w14:textId="77777777" w:rsidR="00454A29" w:rsidRDefault="00454A29">
            <w:pPr>
              <w:pStyle w:val="ConsPlusNormal"/>
            </w:pPr>
          </w:p>
        </w:tc>
        <w:tc>
          <w:tcPr>
            <w:tcW w:w="1701" w:type="dxa"/>
            <w:vAlign w:val="center"/>
          </w:tcPr>
          <w:p w14:paraId="4C35333C" w14:textId="77777777" w:rsidR="00454A29" w:rsidRDefault="00454A29">
            <w:pPr>
              <w:pStyle w:val="ConsPlusNormal"/>
            </w:pPr>
          </w:p>
        </w:tc>
        <w:tc>
          <w:tcPr>
            <w:tcW w:w="1701" w:type="dxa"/>
            <w:vAlign w:val="center"/>
          </w:tcPr>
          <w:p w14:paraId="2FFB6408" w14:textId="77777777" w:rsidR="00454A29" w:rsidRDefault="00454A29">
            <w:pPr>
              <w:pStyle w:val="ConsPlusNormal"/>
            </w:pPr>
          </w:p>
        </w:tc>
        <w:tc>
          <w:tcPr>
            <w:tcW w:w="1814" w:type="dxa"/>
            <w:vAlign w:val="center"/>
          </w:tcPr>
          <w:p w14:paraId="5A395B93" w14:textId="77777777" w:rsidR="00454A29" w:rsidRDefault="00454A29">
            <w:pPr>
              <w:pStyle w:val="ConsPlusNormal"/>
            </w:pPr>
          </w:p>
        </w:tc>
      </w:tr>
      <w:tr w:rsidR="00454A29" w14:paraId="6A3C846F" w14:textId="77777777">
        <w:tc>
          <w:tcPr>
            <w:tcW w:w="567" w:type="dxa"/>
            <w:vMerge/>
          </w:tcPr>
          <w:p w14:paraId="39D4FB62" w14:textId="77777777" w:rsidR="00454A29" w:rsidRDefault="00454A29"/>
        </w:tc>
        <w:tc>
          <w:tcPr>
            <w:tcW w:w="3345" w:type="dxa"/>
            <w:vMerge/>
          </w:tcPr>
          <w:p w14:paraId="3ABCB957" w14:textId="77777777" w:rsidR="00454A29" w:rsidRDefault="00454A29"/>
        </w:tc>
        <w:tc>
          <w:tcPr>
            <w:tcW w:w="1701" w:type="dxa"/>
            <w:vAlign w:val="center"/>
          </w:tcPr>
          <w:p w14:paraId="751F172B" w14:textId="77777777" w:rsidR="00454A29" w:rsidRDefault="00454A29">
            <w:pPr>
              <w:pStyle w:val="ConsPlusNormal"/>
              <w:jc w:val="center"/>
            </w:pPr>
            <w:r>
              <w:t>2023</w:t>
            </w:r>
          </w:p>
        </w:tc>
        <w:tc>
          <w:tcPr>
            <w:tcW w:w="1417" w:type="dxa"/>
            <w:vMerge/>
          </w:tcPr>
          <w:p w14:paraId="44C8C149" w14:textId="77777777" w:rsidR="00454A29" w:rsidRDefault="00454A29"/>
        </w:tc>
        <w:tc>
          <w:tcPr>
            <w:tcW w:w="2204" w:type="dxa"/>
            <w:vMerge/>
          </w:tcPr>
          <w:p w14:paraId="64ABE050" w14:textId="77777777" w:rsidR="00454A29" w:rsidRDefault="00454A29"/>
        </w:tc>
        <w:tc>
          <w:tcPr>
            <w:tcW w:w="1417" w:type="dxa"/>
            <w:vMerge/>
          </w:tcPr>
          <w:p w14:paraId="30C95240" w14:textId="77777777" w:rsidR="00454A29" w:rsidRDefault="00454A29"/>
        </w:tc>
        <w:tc>
          <w:tcPr>
            <w:tcW w:w="2324" w:type="dxa"/>
            <w:vMerge/>
          </w:tcPr>
          <w:p w14:paraId="36653E63" w14:textId="77777777" w:rsidR="00454A29" w:rsidRDefault="00454A29"/>
        </w:tc>
        <w:tc>
          <w:tcPr>
            <w:tcW w:w="1701" w:type="dxa"/>
            <w:vAlign w:val="center"/>
          </w:tcPr>
          <w:p w14:paraId="65172D56" w14:textId="77777777" w:rsidR="00454A29" w:rsidRDefault="00454A29">
            <w:pPr>
              <w:pStyle w:val="ConsPlusNormal"/>
            </w:pPr>
          </w:p>
        </w:tc>
        <w:tc>
          <w:tcPr>
            <w:tcW w:w="1814" w:type="dxa"/>
            <w:vAlign w:val="center"/>
          </w:tcPr>
          <w:p w14:paraId="4533201F" w14:textId="77777777" w:rsidR="00454A29" w:rsidRDefault="00454A29">
            <w:pPr>
              <w:pStyle w:val="ConsPlusNormal"/>
            </w:pPr>
          </w:p>
        </w:tc>
        <w:tc>
          <w:tcPr>
            <w:tcW w:w="1701" w:type="dxa"/>
            <w:vAlign w:val="center"/>
          </w:tcPr>
          <w:p w14:paraId="556423F8" w14:textId="77777777" w:rsidR="00454A29" w:rsidRDefault="00454A29">
            <w:pPr>
              <w:pStyle w:val="ConsPlusNormal"/>
            </w:pPr>
          </w:p>
        </w:tc>
        <w:tc>
          <w:tcPr>
            <w:tcW w:w="1701" w:type="dxa"/>
            <w:vAlign w:val="center"/>
          </w:tcPr>
          <w:p w14:paraId="7DC4D1B5" w14:textId="77777777" w:rsidR="00454A29" w:rsidRDefault="00454A29">
            <w:pPr>
              <w:pStyle w:val="ConsPlusNormal"/>
            </w:pPr>
          </w:p>
        </w:tc>
        <w:tc>
          <w:tcPr>
            <w:tcW w:w="1814" w:type="dxa"/>
            <w:vAlign w:val="center"/>
          </w:tcPr>
          <w:p w14:paraId="02AE0D2F" w14:textId="77777777" w:rsidR="00454A29" w:rsidRDefault="00454A29">
            <w:pPr>
              <w:pStyle w:val="ConsPlusNormal"/>
            </w:pPr>
          </w:p>
        </w:tc>
      </w:tr>
      <w:tr w:rsidR="00454A29" w14:paraId="211C9AB4" w14:textId="77777777">
        <w:tc>
          <w:tcPr>
            <w:tcW w:w="567" w:type="dxa"/>
            <w:vMerge/>
          </w:tcPr>
          <w:p w14:paraId="2EB197A7" w14:textId="77777777" w:rsidR="00454A29" w:rsidRDefault="00454A29"/>
        </w:tc>
        <w:tc>
          <w:tcPr>
            <w:tcW w:w="3345" w:type="dxa"/>
            <w:vMerge/>
          </w:tcPr>
          <w:p w14:paraId="6E13BFC7" w14:textId="77777777" w:rsidR="00454A29" w:rsidRDefault="00454A29"/>
        </w:tc>
        <w:tc>
          <w:tcPr>
            <w:tcW w:w="1701" w:type="dxa"/>
            <w:vAlign w:val="center"/>
          </w:tcPr>
          <w:p w14:paraId="06B11488" w14:textId="77777777" w:rsidR="00454A29" w:rsidRDefault="00454A29">
            <w:pPr>
              <w:pStyle w:val="ConsPlusNormal"/>
              <w:jc w:val="center"/>
            </w:pPr>
            <w:r>
              <w:t>2024</w:t>
            </w:r>
          </w:p>
        </w:tc>
        <w:tc>
          <w:tcPr>
            <w:tcW w:w="1417" w:type="dxa"/>
            <w:vMerge/>
          </w:tcPr>
          <w:p w14:paraId="526D53C9" w14:textId="77777777" w:rsidR="00454A29" w:rsidRDefault="00454A29"/>
        </w:tc>
        <w:tc>
          <w:tcPr>
            <w:tcW w:w="2204" w:type="dxa"/>
            <w:vMerge/>
          </w:tcPr>
          <w:p w14:paraId="47343091" w14:textId="77777777" w:rsidR="00454A29" w:rsidRDefault="00454A29"/>
        </w:tc>
        <w:tc>
          <w:tcPr>
            <w:tcW w:w="1417" w:type="dxa"/>
            <w:vMerge/>
          </w:tcPr>
          <w:p w14:paraId="38380FC1" w14:textId="77777777" w:rsidR="00454A29" w:rsidRDefault="00454A29"/>
        </w:tc>
        <w:tc>
          <w:tcPr>
            <w:tcW w:w="2324" w:type="dxa"/>
            <w:vMerge/>
          </w:tcPr>
          <w:p w14:paraId="59C13A3A" w14:textId="77777777" w:rsidR="00454A29" w:rsidRDefault="00454A29"/>
        </w:tc>
        <w:tc>
          <w:tcPr>
            <w:tcW w:w="1701" w:type="dxa"/>
            <w:vAlign w:val="center"/>
          </w:tcPr>
          <w:p w14:paraId="64E3981D" w14:textId="77777777" w:rsidR="00454A29" w:rsidRDefault="00454A29">
            <w:pPr>
              <w:pStyle w:val="ConsPlusNormal"/>
            </w:pPr>
          </w:p>
        </w:tc>
        <w:tc>
          <w:tcPr>
            <w:tcW w:w="1814" w:type="dxa"/>
            <w:vAlign w:val="center"/>
          </w:tcPr>
          <w:p w14:paraId="0A4F7099" w14:textId="77777777" w:rsidR="00454A29" w:rsidRDefault="00454A29">
            <w:pPr>
              <w:pStyle w:val="ConsPlusNormal"/>
            </w:pPr>
          </w:p>
        </w:tc>
        <w:tc>
          <w:tcPr>
            <w:tcW w:w="1701" w:type="dxa"/>
            <w:vAlign w:val="center"/>
          </w:tcPr>
          <w:p w14:paraId="249F4BD1" w14:textId="77777777" w:rsidR="00454A29" w:rsidRDefault="00454A29">
            <w:pPr>
              <w:pStyle w:val="ConsPlusNormal"/>
            </w:pPr>
          </w:p>
        </w:tc>
        <w:tc>
          <w:tcPr>
            <w:tcW w:w="1701" w:type="dxa"/>
            <w:vAlign w:val="center"/>
          </w:tcPr>
          <w:p w14:paraId="0E2C472D" w14:textId="77777777" w:rsidR="00454A29" w:rsidRDefault="00454A29">
            <w:pPr>
              <w:pStyle w:val="ConsPlusNormal"/>
            </w:pPr>
          </w:p>
        </w:tc>
        <w:tc>
          <w:tcPr>
            <w:tcW w:w="1814" w:type="dxa"/>
            <w:vAlign w:val="center"/>
          </w:tcPr>
          <w:p w14:paraId="53B3504E" w14:textId="77777777" w:rsidR="00454A29" w:rsidRDefault="00454A29">
            <w:pPr>
              <w:pStyle w:val="ConsPlusNormal"/>
            </w:pPr>
          </w:p>
        </w:tc>
      </w:tr>
      <w:tr w:rsidR="00454A29" w14:paraId="07B7A88B" w14:textId="77777777">
        <w:tc>
          <w:tcPr>
            <w:tcW w:w="567" w:type="dxa"/>
            <w:vMerge/>
          </w:tcPr>
          <w:p w14:paraId="6167A11D" w14:textId="77777777" w:rsidR="00454A29" w:rsidRDefault="00454A29"/>
        </w:tc>
        <w:tc>
          <w:tcPr>
            <w:tcW w:w="3345" w:type="dxa"/>
            <w:vMerge/>
          </w:tcPr>
          <w:p w14:paraId="5F9CB870" w14:textId="77777777" w:rsidR="00454A29" w:rsidRDefault="00454A29"/>
        </w:tc>
        <w:tc>
          <w:tcPr>
            <w:tcW w:w="1701" w:type="dxa"/>
            <w:vAlign w:val="center"/>
          </w:tcPr>
          <w:p w14:paraId="1A5C97E7" w14:textId="77777777" w:rsidR="00454A29" w:rsidRDefault="00454A29">
            <w:pPr>
              <w:pStyle w:val="ConsPlusNormal"/>
              <w:jc w:val="center"/>
            </w:pPr>
            <w:r>
              <w:t>2025</w:t>
            </w:r>
          </w:p>
        </w:tc>
        <w:tc>
          <w:tcPr>
            <w:tcW w:w="1417" w:type="dxa"/>
            <w:vMerge/>
          </w:tcPr>
          <w:p w14:paraId="6D3C2C04" w14:textId="77777777" w:rsidR="00454A29" w:rsidRDefault="00454A29"/>
        </w:tc>
        <w:tc>
          <w:tcPr>
            <w:tcW w:w="2204" w:type="dxa"/>
            <w:vMerge/>
          </w:tcPr>
          <w:p w14:paraId="38719103" w14:textId="77777777" w:rsidR="00454A29" w:rsidRDefault="00454A29"/>
        </w:tc>
        <w:tc>
          <w:tcPr>
            <w:tcW w:w="1417" w:type="dxa"/>
            <w:vMerge/>
          </w:tcPr>
          <w:p w14:paraId="77D4E7CB" w14:textId="77777777" w:rsidR="00454A29" w:rsidRDefault="00454A29"/>
        </w:tc>
        <w:tc>
          <w:tcPr>
            <w:tcW w:w="2324" w:type="dxa"/>
            <w:vMerge/>
          </w:tcPr>
          <w:p w14:paraId="3DCD506E" w14:textId="77777777" w:rsidR="00454A29" w:rsidRDefault="00454A29"/>
        </w:tc>
        <w:tc>
          <w:tcPr>
            <w:tcW w:w="1701" w:type="dxa"/>
            <w:vAlign w:val="center"/>
          </w:tcPr>
          <w:p w14:paraId="08936534" w14:textId="77777777" w:rsidR="00454A29" w:rsidRDefault="00454A29">
            <w:pPr>
              <w:pStyle w:val="ConsPlusNormal"/>
              <w:jc w:val="center"/>
            </w:pPr>
            <w:r>
              <w:t>183 912,26</w:t>
            </w:r>
          </w:p>
        </w:tc>
        <w:tc>
          <w:tcPr>
            <w:tcW w:w="1814" w:type="dxa"/>
            <w:vAlign w:val="center"/>
          </w:tcPr>
          <w:p w14:paraId="199E3C2F" w14:textId="77777777" w:rsidR="00454A29" w:rsidRDefault="00454A29">
            <w:pPr>
              <w:pStyle w:val="ConsPlusNormal"/>
              <w:jc w:val="center"/>
            </w:pPr>
            <w:r>
              <w:t>2 326,49</w:t>
            </w:r>
          </w:p>
        </w:tc>
        <w:tc>
          <w:tcPr>
            <w:tcW w:w="1701" w:type="dxa"/>
            <w:vAlign w:val="center"/>
          </w:tcPr>
          <w:p w14:paraId="667784B4" w14:textId="77777777" w:rsidR="00454A29" w:rsidRDefault="00454A29">
            <w:pPr>
              <w:pStyle w:val="ConsPlusNormal"/>
              <w:jc w:val="center"/>
            </w:pPr>
            <w:r>
              <w:t>230 322,52</w:t>
            </w:r>
          </w:p>
        </w:tc>
        <w:tc>
          <w:tcPr>
            <w:tcW w:w="1701" w:type="dxa"/>
            <w:vAlign w:val="center"/>
          </w:tcPr>
          <w:p w14:paraId="122ADEFC" w14:textId="77777777" w:rsidR="00454A29" w:rsidRDefault="00454A29">
            <w:pPr>
              <w:pStyle w:val="ConsPlusNormal"/>
            </w:pPr>
          </w:p>
        </w:tc>
        <w:tc>
          <w:tcPr>
            <w:tcW w:w="1814" w:type="dxa"/>
            <w:vAlign w:val="center"/>
          </w:tcPr>
          <w:p w14:paraId="11B92B1D" w14:textId="77777777" w:rsidR="00454A29" w:rsidRDefault="00454A29">
            <w:pPr>
              <w:pStyle w:val="ConsPlusNormal"/>
            </w:pPr>
          </w:p>
        </w:tc>
      </w:tr>
      <w:tr w:rsidR="00454A29" w14:paraId="5EB382F0" w14:textId="77777777">
        <w:tc>
          <w:tcPr>
            <w:tcW w:w="567" w:type="dxa"/>
            <w:vMerge/>
          </w:tcPr>
          <w:p w14:paraId="2BC98808" w14:textId="77777777" w:rsidR="00454A29" w:rsidRDefault="00454A29"/>
        </w:tc>
        <w:tc>
          <w:tcPr>
            <w:tcW w:w="3345" w:type="dxa"/>
            <w:vMerge/>
          </w:tcPr>
          <w:p w14:paraId="6D7462D6" w14:textId="77777777" w:rsidR="00454A29" w:rsidRDefault="00454A29"/>
        </w:tc>
        <w:tc>
          <w:tcPr>
            <w:tcW w:w="1701" w:type="dxa"/>
            <w:vAlign w:val="center"/>
          </w:tcPr>
          <w:p w14:paraId="250093F8" w14:textId="77777777" w:rsidR="00454A29" w:rsidRDefault="00454A29">
            <w:pPr>
              <w:pStyle w:val="ConsPlusNormal"/>
              <w:jc w:val="center"/>
            </w:pPr>
            <w:r>
              <w:t>2026</w:t>
            </w:r>
          </w:p>
        </w:tc>
        <w:tc>
          <w:tcPr>
            <w:tcW w:w="1417" w:type="dxa"/>
            <w:vMerge/>
          </w:tcPr>
          <w:p w14:paraId="22395E0C" w14:textId="77777777" w:rsidR="00454A29" w:rsidRDefault="00454A29"/>
        </w:tc>
        <w:tc>
          <w:tcPr>
            <w:tcW w:w="2204" w:type="dxa"/>
            <w:vMerge/>
          </w:tcPr>
          <w:p w14:paraId="0DD9BABE" w14:textId="77777777" w:rsidR="00454A29" w:rsidRDefault="00454A29"/>
        </w:tc>
        <w:tc>
          <w:tcPr>
            <w:tcW w:w="1417" w:type="dxa"/>
            <w:vMerge/>
          </w:tcPr>
          <w:p w14:paraId="74DDD054" w14:textId="77777777" w:rsidR="00454A29" w:rsidRDefault="00454A29"/>
        </w:tc>
        <w:tc>
          <w:tcPr>
            <w:tcW w:w="2324" w:type="dxa"/>
            <w:vMerge/>
          </w:tcPr>
          <w:p w14:paraId="7C8E2764" w14:textId="77777777" w:rsidR="00454A29" w:rsidRDefault="00454A29"/>
        </w:tc>
        <w:tc>
          <w:tcPr>
            <w:tcW w:w="1701" w:type="dxa"/>
            <w:vAlign w:val="center"/>
          </w:tcPr>
          <w:p w14:paraId="748A1159" w14:textId="77777777" w:rsidR="00454A29" w:rsidRDefault="00454A29">
            <w:pPr>
              <w:pStyle w:val="ConsPlusNormal"/>
            </w:pPr>
          </w:p>
        </w:tc>
        <w:tc>
          <w:tcPr>
            <w:tcW w:w="1814" w:type="dxa"/>
            <w:vAlign w:val="center"/>
          </w:tcPr>
          <w:p w14:paraId="6FC8846E" w14:textId="77777777" w:rsidR="00454A29" w:rsidRDefault="00454A29">
            <w:pPr>
              <w:pStyle w:val="ConsPlusNormal"/>
            </w:pPr>
          </w:p>
        </w:tc>
        <w:tc>
          <w:tcPr>
            <w:tcW w:w="1701" w:type="dxa"/>
            <w:vAlign w:val="center"/>
          </w:tcPr>
          <w:p w14:paraId="7A8D6EF6" w14:textId="77777777" w:rsidR="00454A29" w:rsidRDefault="00454A29">
            <w:pPr>
              <w:pStyle w:val="ConsPlusNormal"/>
            </w:pPr>
          </w:p>
        </w:tc>
        <w:tc>
          <w:tcPr>
            <w:tcW w:w="1701" w:type="dxa"/>
            <w:vAlign w:val="center"/>
          </w:tcPr>
          <w:p w14:paraId="1EE6CF13" w14:textId="77777777" w:rsidR="00454A29" w:rsidRDefault="00454A29">
            <w:pPr>
              <w:pStyle w:val="ConsPlusNormal"/>
            </w:pPr>
          </w:p>
        </w:tc>
        <w:tc>
          <w:tcPr>
            <w:tcW w:w="1814" w:type="dxa"/>
            <w:vAlign w:val="center"/>
          </w:tcPr>
          <w:p w14:paraId="17A2E18C" w14:textId="77777777" w:rsidR="00454A29" w:rsidRDefault="00454A29">
            <w:pPr>
              <w:pStyle w:val="ConsPlusNormal"/>
            </w:pPr>
          </w:p>
        </w:tc>
      </w:tr>
      <w:tr w:rsidR="00454A29" w14:paraId="1AC09CF5" w14:textId="77777777">
        <w:tc>
          <w:tcPr>
            <w:tcW w:w="21706" w:type="dxa"/>
            <w:gridSpan w:val="12"/>
            <w:vAlign w:val="center"/>
          </w:tcPr>
          <w:p w14:paraId="27B30B2E" w14:textId="77777777" w:rsidR="00454A29" w:rsidRDefault="00454A29">
            <w:pPr>
              <w:pStyle w:val="ConsPlusNormal"/>
              <w:jc w:val="center"/>
              <w:outlineLvl w:val="2"/>
            </w:pPr>
            <w:r>
              <w:t>МО "Намский улус"</w:t>
            </w:r>
          </w:p>
        </w:tc>
      </w:tr>
      <w:tr w:rsidR="00454A29" w14:paraId="0E64B29A" w14:textId="77777777">
        <w:tc>
          <w:tcPr>
            <w:tcW w:w="567" w:type="dxa"/>
            <w:vMerge w:val="restart"/>
            <w:vAlign w:val="center"/>
          </w:tcPr>
          <w:p w14:paraId="6A523426" w14:textId="77777777" w:rsidR="00454A29" w:rsidRDefault="00454A29">
            <w:pPr>
              <w:pStyle w:val="ConsPlusNormal"/>
              <w:jc w:val="center"/>
            </w:pPr>
            <w:r>
              <w:t>83</w:t>
            </w:r>
          </w:p>
        </w:tc>
        <w:tc>
          <w:tcPr>
            <w:tcW w:w="3345" w:type="dxa"/>
            <w:vMerge w:val="restart"/>
            <w:vAlign w:val="center"/>
          </w:tcPr>
          <w:p w14:paraId="6EA78B24" w14:textId="77777777" w:rsidR="00454A29" w:rsidRDefault="00454A29">
            <w:pPr>
              <w:pStyle w:val="ConsPlusNormal"/>
              <w:jc w:val="center"/>
            </w:pPr>
            <w:r>
              <w:t>Школа на 450 учащихся в с. Намцы</w:t>
            </w:r>
          </w:p>
        </w:tc>
        <w:tc>
          <w:tcPr>
            <w:tcW w:w="1701" w:type="dxa"/>
            <w:vAlign w:val="center"/>
          </w:tcPr>
          <w:p w14:paraId="2C91CF27" w14:textId="77777777" w:rsidR="00454A29" w:rsidRDefault="00454A29">
            <w:pPr>
              <w:pStyle w:val="ConsPlusNormal"/>
              <w:jc w:val="center"/>
            </w:pPr>
            <w:r>
              <w:t>2020 - 2026 годы - всего</w:t>
            </w:r>
          </w:p>
        </w:tc>
        <w:tc>
          <w:tcPr>
            <w:tcW w:w="1417" w:type="dxa"/>
            <w:vMerge w:val="restart"/>
            <w:vAlign w:val="center"/>
          </w:tcPr>
          <w:p w14:paraId="70C4D45F" w14:textId="77777777" w:rsidR="00454A29" w:rsidRDefault="00454A29">
            <w:pPr>
              <w:pStyle w:val="ConsPlusNormal"/>
              <w:jc w:val="center"/>
            </w:pPr>
            <w:r>
              <w:t>1 039 780,48</w:t>
            </w:r>
          </w:p>
        </w:tc>
        <w:tc>
          <w:tcPr>
            <w:tcW w:w="2204" w:type="dxa"/>
            <w:vMerge w:val="restart"/>
            <w:vAlign w:val="center"/>
          </w:tcPr>
          <w:p w14:paraId="4A142C1C" w14:textId="77777777" w:rsidR="00454A29" w:rsidRDefault="00454A29">
            <w:pPr>
              <w:pStyle w:val="ConsPlusNormal"/>
            </w:pPr>
          </w:p>
        </w:tc>
        <w:tc>
          <w:tcPr>
            <w:tcW w:w="1417" w:type="dxa"/>
            <w:vMerge w:val="restart"/>
            <w:vAlign w:val="center"/>
          </w:tcPr>
          <w:p w14:paraId="02ED01B9" w14:textId="77777777" w:rsidR="00454A29" w:rsidRDefault="00454A29">
            <w:pPr>
              <w:pStyle w:val="ConsPlusNormal"/>
              <w:jc w:val="center"/>
            </w:pPr>
            <w:r>
              <w:t>450</w:t>
            </w:r>
          </w:p>
        </w:tc>
        <w:tc>
          <w:tcPr>
            <w:tcW w:w="2324" w:type="dxa"/>
            <w:vMerge w:val="restart"/>
            <w:vAlign w:val="center"/>
          </w:tcPr>
          <w:p w14:paraId="5967B7A0"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7AFC4F6A" w14:textId="77777777" w:rsidR="00454A29" w:rsidRDefault="00454A29">
            <w:pPr>
              <w:pStyle w:val="ConsPlusNormal"/>
              <w:jc w:val="center"/>
            </w:pPr>
            <w:r>
              <w:lastRenderedPageBreak/>
              <w:t>1 039 780,48</w:t>
            </w:r>
          </w:p>
        </w:tc>
        <w:tc>
          <w:tcPr>
            <w:tcW w:w="1814" w:type="dxa"/>
            <w:vAlign w:val="center"/>
          </w:tcPr>
          <w:p w14:paraId="3C7F81A1" w14:textId="77777777" w:rsidR="00454A29" w:rsidRDefault="00454A29">
            <w:pPr>
              <w:pStyle w:val="ConsPlusNormal"/>
              <w:jc w:val="center"/>
            </w:pPr>
            <w:r>
              <w:t>13 153,22</w:t>
            </w:r>
          </w:p>
        </w:tc>
        <w:tc>
          <w:tcPr>
            <w:tcW w:w="1701" w:type="dxa"/>
            <w:vAlign w:val="center"/>
          </w:tcPr>
          <w:p w14:paraId="029CDB87" w14:textId="77777777" w:rsidR="00454A29" w:rsidRDefault="00454A29">
            <w:pPr>
              <w:pStyle w:val="ConsPlusNormal"/>
              <w:jc w:val="center"/>
            </w:pPr>
            <w:r>
              <w:t>1 302 169,08</w:t>
            </w:r>
          </w:p>
        </w:tc>
        <w:tc>
          <w:tcPr>
            <w:tcW w:w="1701" w:type="dxa"/>
            <w:vAlign w:val="center"/>
          </w:tcPr>
          <w:p w14:paraId="569E7BF2" w14:textId="77777777" w:rsidR="00454A29" w:rsidRDefault="00454A29">
            <w:pPr>
              <w:pStyle w:val="ConsPlusNormal"/>
              <w:jc w:val="center"/>
            </w:pPr>
            <w:r>
              <w:t>-</w:t>
            </w:r>
          </w:p>
        </w:tc>
        <w:tc>
          <w:tcPr>
            <w:tcW w:w="1814" w:type="dxa"/>
            <w:vAlign w:val="center"/>
          </w:tcPr>
          <w:p w14:paraId="1905CBB6" w14:textId="77777777" w:rsidR="00454A29" w:rsidRDefault="00454A29">
            <w:pPr>
              <w:pStyle w:val="ConsPlusNormal"/>
              <w:jc w:val="center"/>
            </w:pPr>
            <w:r>
              <w:t>-</w:t>
            </w:r>
          </w:p>
        </w:tc>
      </w:tr>
      <w:tr w:rsidR="00454A29" w14:paraId="11473A1E" w14:textId="77777777">
        <w:tc>
          <w:tcPr>
            <w:tcW w:w="567" w:type="dxa"/>
            <w:vMerge/>
          </w:tcPr>
          <w:p w14:paraId="48247B3D" w14:textId="77777777" w:rsidR="00454A29" w:rsidRDefault="00454A29"/>
        </w:tc>
        <w:tc>
          <w:tcPr>
            <w:tcW w:w="3345" w:type="dxa"/>
            <w:vMerge/>
          </w:tcPr>
          <w:p w14:paraId="3A989CF7" w14:textId="77777777" w:rsidR="00454A29" w:rsidRDefault="00454A29"/>
        </w:tc>
        <w:tc>
          <w:tcPr>
            <w:tcW w:w="1701" w:type="dxa"/>
            <w:vAlign w:val="center"/>
          </w:tcPr>
          <w:p w14:paraId="0BCA865A" w14:textId="77777777" w:rsidR="00454A29" w:rsidRDefault="00454A29">
            <w:pPr>
              <w:pStyle w:val="ConsPlusNormal"/>
              <w:jc w:val="center"/>
            </w:pPr>
            <w:r>
              <w:t>2020</w:t>
            </w:r>
          </w:p>
        </w:tc>
        <w:tc>
          <w:tcPr>
            <w:tcW w:w="1417" w:type="dxa"/>
            <w:vMerge/>
          </w:tcPr>
          <w:p w14:paraId="7390DD45" w14:textId="77777777" w:rsidR="00454A29" w:rsidRDefault="00454A29"/>
        </w:tc>
        <w:tc>
          <w:tcPr>
            <w:tcW w:w="2204" w:type="dxa"/>
            <w:vMerge/>
          </w:tcPr>
          <w:p w14:paraId="17859136" w14:textId="77777777" w:rsidR="00454A29" w:rsidRDefault="00454A29"/>
        </w:tc>
        <w:tc>
          <w:tcPr>
            <w:tcW w:w="1417" w:type="dxa"/>
            <w:vMerge/>
          </w:tcPr>
          <w:p w14:paraId="7A2082E1" w14:textId="77777777" w:rsidR="00454A29" w:rsidRDefault="00454A29"/>
        </w:tc>
        <w:tc>
          <w:tcPr>
            <w:tcW w:w="2324" w:type="dxa"/>
            <w:vMerge/>
          </w:tcPr>
          <w:p w14:paraId="4C49EFC4" w14:textId="77777777" w:rsidR="00454A29" w:rsidRDefault="00454A29"/>
        </w:tc>
        <w:tc>
          <w:tcPr>
            <w:tcW w:w="1701" w:type="dxa"/>
            <w:vAlign w:val="center"/>
          </w:tcPr>
          <w:p w14:paraId="4B80201F" w14:textId="77777777" w:rsidR="00454A29" w:rsidRDefault="00454A29">
            <w:pPr>
              <w:pStyle w:val="ConsPlusNormal"/>
            </w:pPr>
          </w:p>
        </w:tc>
        <w:tc>
          <w:tcPr>
            <w:tcW w:w="1814" w:type="dxa"/>
            <w:vAlign w:val="center"/>
          </w:tcPr>
          <w:p w14:paraId="0D5D3103" w14:textId="77777777" w:rsidR="00454A29" w:rsidRDefault="00454A29">
            <w:pPr>
              <w:pStyle w:val="ConsPlusNormal"/>
            </w:pPr>
          </w:p>
        </w:tc>
        <w:tc>
          <w:tcPr>
            <w:tcW w:w="1701" w:type="dxa"/>
            <w:vAlign w:val="center"/>
          </w:tcPr>
          <w:p w14:paraId="4B2DFB35" w14:textId="77777777" w:rsidR="00454A29" w:rsidRDefault="00454A29">
            <w:pPr>
              <w:pStyle w:val="ConsPlusNormal"/>
            </w:pPr>
          </w:p>
        </w:tc>
        <w:tc>
          <w:tcPr>
            <w:tcW w:w="1701" w:type="dxa"/>
            <w:vAlign w:val="center"/>
          </w:tcPr>
          <w:p w14:paraId="3E0B0628" w14:textId="77777777" w:rsidR="00454A29" w:rsidRDefault="00454A29">
            <w:pPr>
              <w:pStyle w:val="ConsPlusNormal"/>
            </w:pPr>
          </w:p>
        </w:tc>
        <w:tc>
          <w:tcPr>
            <w:tcW w:w="1814" w:type="dxa"/>
            <w:vAlign w:val="center"/>
          </w:tcPr>
          <w:p w14:paraId="47F80792" w14:textId="77777777" w:rsidR="00454A29" w:rsidRDefault="00454A29">
            <w:pPr>
              <w:pStyle w:val="ConsPlusNormal"/>
            </w:pPr>
          </w:p>
        </w:tc>
      </w:tr>
      <w:tr w:rsidR="00454A29" w14:paraId="2D580124" w14:textId="77777777">
        <w:tc>
          <w:tcPr>
            <w:tcW w:w="567" w:type="dxa"/>
            <w:vMerge/>
          </w:tcPr>
          <w:p w14:paraId="748D4EB6" w14:textId="77777777" w:rsidR="00454A29" w:rsidRDefault="00454A29"/>
        </w:tc>
        <w:tc>
          <w:tcPr>
            <w:tcW w:w="3345" w:type="dxa"/>
            <w:vMerge/>
          </w:tcPr>
          <w:p w14:paraId="6C1196B3" w14:textId="77777777" w:rsidR="00454A29" w:rsidRDefault="00454A29"/>
        </w:tc>
        <w:tc>
          <w:tcPr>
            <w:tcW w:w="1701" w:type="dxa"/>
            <w:vAlign w:val="center"/>
          </w:tcPr>
          <w:p w14:paraId="79CF3128" w14:textId="77777777" w:rsidR="00454A29" w:rsidRDefault="00454A29">
            <w:pPr>
              <w:pStyle w:val="ConsPlusNormal"/>
              <w:jc w:val="center"/>
            </w:pPr>
            <w:r>
              <w:t>2021</w:t>
            </w:r>
          </w:p>
        </w:tc>
        <w:tc>
          <w:tcPr>
            <w:tcW w:w="1417" w:type="dxa"/>
            <w:vMerge/>
          </w:tcPr>
          <w:p w14:paraId="1C9DCD89" w14:textId="77777777" w:rsidR="00454A29" w:rsidRDefault="00454A29"/>
        </w:tc>
        <w:tc>
          <w:tcPr>
            <w:tcW w:w="2204" w:type="dxa"/>
            <w:vMerge/>
          </w:tcPr>
          <w:p w14:paraId="6CE2B9F0" w14:textId="77777777" w:rsidR="00454A29" w:rsidRDefault="00454A29"/>
        </w:tc>
        <w:tc>
          <w:tcPr>
            <w:tcW w:w="1417" w:type="dxa"/>
            <w:vMerge/>
          </w:tcPr>
          <w:p w14:paraId="51041CBB" w14:textId="77777777" w:rsidR="00454A29" w:rsidRDefault="00454A29"/>
        </w:tc>
        <w:tc>
          <w:tcPr>
            <w:tcW w:w="2324" w:type="dxa"/>
            <w:vMerge/>
          </w:tcPr>
          <w:p w14:paraId="25CF052E" w14:textId="77777777" w:rsidR="00454A29" w:rsidRDefault="00454A29"/>
        </w:tc>
        <w:tc>
          <w:tcPr>
            <w:tcW w:w="1701" w:type="dxa"/>
            <w:vAlign w:val="center"/>
          </w:tcPr>
          <w:p w14:paraId="120687FC" w14:textId="77777777" w:rsidR="00454A29" w:rsidRDefault="00454A29">
            <w:pPr>
              <w:pStyle w:val="ConsPlusNormal"/>
              <w:jc w:val="center"/>
            </w:pPr>
            <w:r>
              <w:t>-</w:t>
            </w:r>
          </w:p>
        </w:tc>
        <w:tc>
          <w:tcPr>
            <w:tcW w:w="1814" w:type="dxa"/>
            <w:vAlign w:val="center"/>
          </w:tcPr>
          <w:p w14:paraId="1F9B92F5" w14:textId="77777777" w:rsidR="00454A29" w:rsidRDefault="00454A29">
            <w:pPr>
              <w:pStyle w:val="ConsPlusNormal"/>
            </w:pPr>
          </w:p>
        </w:tc>
        <w:tc>
          <w:tcPr>
            <w:tcW w:w="1701" w:type="dxa"/>
            <w:vAlign w:val="center"/>
          </w:tcPr>
          <w:p w14:paraId="2E6194A0" w14:textId="77777777" w:rsidR="00454A29" w:rsidRDefault="00454A29">
            <w:pPr>
              <w:pStyle w:val="ConsPlusNormal"/>
            </w:pPr>
          </w:p>
        </w:tc>
        <w:tc>
          <w:tcPr>
            <w:tcW w:w="1701" w:type="dxa"/>
            <w:vAlign w:val="center"/>
          </w:tcPr>
          <w:p w14:paraId="708F8CDF" w14:textId="77777777" w:rsidR="00454A29" w:rsidRDefault="00454A29">
            <w:pPr>
              <w:pStyle w:val="ConsPlusNormal"/>
            </w:pPr>
          </w:p>
        </w:tc>
        <w:tc>
          <w:tcPr>
            <w:tcW w:w="1814" w:type="dxa"/>
            <w:vAlign w:val="center"/>
          </w:tcPr>
          <w:p w14:paraId="4E1C438B" w14:textId="77777777" w:rsidR="00454A29" w:rsidRDefault="00454A29">
            <w:pPr>
              <w:pStyle w:val="ConsPlusNormal"/>
            </w:pPr>
          </w:p>
        </w:tc>
      </w:tr>
      <w:tr w:rsidR="00454A29" w14:paraId="7677480A" w14:textId="77777777">
        <w:tc>
          <w:tcPr>
            <w:tcW w:w="567" w:type="dxa"/>
            <w:vMerge/>
          </w:tcPr>
          <w:p w14:paraId="24308D29" w14:textId="77777777" w:rsidR="00454A29" w:rsidRDefault="00454A29"/>
        </w:tc>
        <w:tc>
          <w:tcPr>
            <w:tcW w:w="3345" w:type="dxa"/>
            <w:vMerge/>
          </w:tcPr>
          <w:p w14:paraId="75A41184" w14:textId="77777777" w:rsidR="00454A29" w:rsidRDefault="00454A29"/>
        </w:tc>
        <w:tc>
          <w:tcPr>
            <w:tcW w:w="1701" w:type="dxa"/>
            <w:vAlign w:val="center"/>
          </w:tcPr>
          <w:p w14:paraId="3240FAED" w14:textId="77777777" w:rsidR="00454A29" w:rsidRDefault="00454A29">
            <w:pPr>
              <w:pStyle w:val="ConsPlusNormal"/>
              <w:jc w:val="center"/>
            </w:pPr>
            <w:r>
              <w:t>2022</w:t>
            </w:r>
          </w:p>
        </w:tc>
        <w:tc>
          <w:tcPr>
            <w:tcW w:w="1417" w:type="dxa"/>
            <w:vMerge/>
          </w:tcPr>
          <w:p w14:paraId="01E72740" w14:textId="77777777" w:rsidR="00454A29" w:rsidRDefault="00454A29"/>
        </w:tc>
        <w:tc>
          <w:tcPr>
            <w:tcW w:w="2204" w:type="dxa"/>
            <w:vMerge/>
          </w:tcPr>
          <w:p w14:paraId="1BD96ADD" w14:textId="77777777" w:rsidR="00454A29" w:rsidRDefault="00454A29"/>
        </w:tc>
        <w:tc>
          <w:tcPr>
            <w:tcW w:w="1417" w:type="dxa"/>
            <w:vMerge/>
          </w:tcPr>
          <w:p w14:paraId="7EE564FE" w14:textId="77777777" w:rsidR="00454A29" w:rsidRDefault="00454A29"/>
        </w:tc>
        <w:tc>
          <w:tcPr>
            <w:tcW w:w="2324" w:type="dxa"/>
            <w:vMerge/>
          </w:tcPr>
          <w:p w14:paraId="41606AC5" w14:textId="77777777" w:rsidR="00454A29" w:rsidRDefault="00454A29"/>
        </w:tc>
        <w:tc>
          <w:tcPr>
            <w:tcW w:w="1701" w:type="dxa"/>
            <w:vAlign w:val="center"/>
          </w:tcPr>
          <w:p w14:paraId="2AECE335" w14:textId="77777777" w:rsidR="00454A29" w:rsidRDefault="00454A29">
            <w:pPr>
              <w:pStyle w:val="ConsPlusNormal"/>
            </w:pPr>
          </w:p>
        </w:tc>
        <w:tc>
          <w:tcPr>
            <w:tcW w:w="1814" w:type="dxa"/>
            <w:vAlign w:val="center"/>
          </w:tcPr>
          <w:p w14:paraId="5CD52159" w14:textId="77777777" w:rsidR="00454A29" w:rsidRDefault="00454A29">
            <w:pPr>
              <w:pStyle w:val="ConsPlusNormal"/>
            </w:pPr>
          </w:p>
        </w:tc>
        <w:tc>
          <w:tcPr>
            <w:tcW w:w="1701" w:type="dxa"/>
            <w:vAlign w:val="center"/>
          </w:tcPr>
          <w:p w14:paraId="776D3CE7" w14:textId="77777777" w:rsidR="00454A29" w:rsidRDefault="00454A29">
            <w:pPr>
              <w:pStyle w:val="ConsPlusNormal"/>
            </w:pPr>
          </w:p>
        </w:tc>
        <w:tc>
          <w:tcPr>
            <w:tcW w:w="1701" w:type="dxa"/>
            <w:vAlign w:val="center"/>
          </w:tcPr>
          <w:p w14:paraId="34C66780" w14:textId="77777777" w:rsidR="00454A29" w:rsidRDefault="00454A29">
            <w:pPr>
              <w:pStyle w:val="ConsPlusNormal"/>
            </w:pPr>
          </w:p>
        </w:tc>
        <w:tc>
          <w:tcPr>
            <w:tcW w:w="1814" w:type="dxa"/>
            <w:vAlign w:val="center"/>
          </w:tcPr>
          <w:p w14:paraId="3A7D5D76" w14:textId="77777777" w:rsidR="00454A29" w:rsidRDefault="00454A29">
            <w:pPr>
              <w:pStyle w:val="ConsPlusNormal"/>
            </w:pPr>
          </w:p>
        </w:tc>
      </w:tr>
      <w:tr w:rsidR="00454A29" w14:paraId="22E8D65A" w14:textId="77777777">
        <w:tc>
          <w:tcPr>
            <w:tcW w:w="567" w:type="dxa"/>
            <w:vMerge/>
          </w:tcPr>
          <w:p w14:paraId="59138F1C" w14:textId="77777777" w:rsidR="00454A29" w:rsidRDefault="00454A29"/>
        </w:tc>
        <w:tc>
          <w:tcPr>
            <w:tcW w:w="3345" w:type="dxa"/>
            <w:vMerge/>
          </w:tcPr>
          <w:p w14:paraId="5E65F92A" w14:textId="77777777" w:rsidR="00454A29" w:rsidRDefault="00454A29"/>
        </w:tc>
        <w:tc>
          <w:tcPr>
            <w:tcW w:w="1701" w:type="dxa"/>
            <w:vAlign w:val="center"/>
          </w:tcPr>
          <w:p w14:paraId="0914B1DA" w14:textId="77777777" w:rsidR="00454A29" w:rsidRDefault="00454A29">
            <w:pPr>
              <w:pStyle w:val="ConsPlusNormal"/>
              <w:jc w:val="center"/>
            </w:pPr>
            <w:r>
              <w:t>2023</w:t>
            </w:r>
          </w:p>
        </w:tc>
        <w:tc>
          <w:tcPr>
            <w:tcW w:w="1417" w:type="dxa"/>
            <w:vMerge/>
          </w:tcPr>
          <w:p w14:paraId="79F7B9C1" w14:textId="77777777" w:rsidR="00454A29" w:rsidRDefault="00454A29"/>
        </w:tc>
        <w:tc>
          <w:tcPr>
            <w:tcW w:w="2204" w:type="dxa"/>
            <w:vMerge/>
          </w:tcPr>
          <w:p w14:paraId="2F9E1ED8" w14:textId="77777777" w:rsidR="00454A29" w:rsidRDefault="00454A29"/>
        </w:tc>
        <w:tc>
          <w:tcPr>
            <w:tcW w:w="1417" w:type="dxa"/>
            <w:vMerge/>
          </w:tcPr>
          <w:p w14:paraId="60121683" w14:textId="77777777" w:rsidR="00454A29" w:rsidRDefault="00454A29"/>
        </w:tc>
        <w:tc>
          <w:tcPr>
            <w:tcW w:w="2324" w:type="dxa"/>
            <w:vMerge/>
          </w:tcPr>
          <w:p w14:paraId="30F69BD2" w14:textId="77777777" w:rsidR="00454A29" w:rsidRDefault="00454A29"/>
        </w:tc>
        <w:tc>
          <w:tcPr>
            <w:tcW w:w="1701" w:type="dxa"/>
            <w:vAlign w:val="center"/>
          </w:tcPr>
          <w:p w14:paraId="7FC4A745" w14:textId="77777777" w:rsidR="00454A29" w:rsidRDefault="00454A29">
            <w:pPr>
              <w:pStyle w:val="ConsPlusNormal"/>
              <w:jc w:val="center"/>
            </w:pPr>
            <w:r>
              <w:t>-</w:t>
            </w:r>
          </w:p>
        </w:tc>
        <w:tc>
          <w:tcPr>
            <w:tcW w:w="1814" w:type="dxa"/>
            <w:vAlign w:val="center"/>
          </w:tcPr>
          <w:p w14:paraId="3651F60E" w14:textId="77777777" w:rsidR="00454A29" w:rsidRDefault="00454A29">
            <w:pPr>
              <w:pStyle w:val="ConsPlusNormal"/>
            </w:pPr>
          </w:p>
        </w:tc>
        <w:tc>
          <w:tcPr>
            <w:tcW w:w="1701" w:type="dxa"/>
            <w:vAlign w:val="center"/>
          </w:tcPr>
          <w:p w14:paraId="015957D3" w14:textId="77777777" w:rsidR="00454A29" w:rsidRDefault="00454A29">
            <w:pPr>
              <w:pStyle w:val="ConsPlusNormal"/>
            </w:pPr>
          </w:p>
        </w:tc>
        <w:tc>
          <w:tcPr>
            <w:tcW w:w="1701" w:type="dxa"/>
            <w:vAlign w:val="center"/>
          </w:tcPr>
          <w:p w14:paraId="5B8AD9DF" w14:textId="77777777" w:rsidR="00454A29" w:rsidRDefault="00454A29">
            <w:pPr>
              <w:pStyle w:val="ConsPlusNormal"/>
            </w:pPr>
          </w:p>
        </w:tc>
        <w:tc>
          <w:tcPr>
            <w:tcW w:w="1814" w:type="dxa"/>
            <w:vAlign w:val="center"/>
          </w:tcPr>
          <w:p w14:paraId="78D51DE5" w14:textId="77777777" w:rsidR="00454A29" w:rsidRDefault="00454A29">
            <w:pPr>
              <w:pStyle w:val="ConsPlusNormal"/>
            </w:pPr>
          </w:p>
        </w:tc>
      </w:tr>
      <w:tr w:rsidR="00454A29" w14:paraId="042B554A" w14:textId="77777777">
        <w:tc>
          <w:tcPr>
            <w:tcW w:w="567" w:type="dxa"/>
            <w:vMerge/>
          </w:tcPr>
          <w:p w14:paraId="5973ED6C" w14:textId="77777777" w:rsidR="00454A29" w:rsidRDefault="00454A29"/>
        </w:tc>
        <w:tc>
          <w:tcPr>
            <w:tcW w:w="3345" w:type="dxa"/>
            <w:vMerge/>
          </w:tcPr>
          <w:p w14:paraId="4F6820F3" w14:textId="77777777" w:rsidR="00454A29" w:rsidRDefault="00454A29"/>
        </w:tc>
        <w:tc>
          <w:tcPr>
            <w:tcW w:w="1701" w:type="dxa"/>
            <w:vAlign w:val="center"/>
          </w:tcPr>
          <w:p w14:paraId="68C4E683" w14:textId="77777777" w:rsidR="00454A29" w:rsidRDefault="00454A29">
            <w:pPr>
              <w:pStyle w:val="ConsPlusNormal"/>
              <w:jc w:val="center"/>
            </w:pPr>
            <w:r>
              <w:t>2024</w:t>
            </w:r>
          </w:p>
        </w:tc>
        <w:tc>
          <w:tcPr>
            <w:tcW w:w="1417" w:type="dxa"/>
            <w:vMerge/>
          </w:tcPr>
          <w:p w14:paraId="64CC206E" w14:textId="77777777" w:rsidR="00454A29" w:rsidRDefault="00454A29"/>
        </w:tc>
        <w:tc>
          <w:tcPr>
            <w:tcW w:w="2204" w:type="dxa"/>
            <w:vMerge/>
          </w:tcPr>
          <w:p w14:paraId="06050AEF" w14:textId="77777777" w:rsidR="00454A29" w:rsidRDefault="00454A29"/>
        </w:tc>
        <w:tc>
          <w:tcPr>
            <w:tcW w:w="1417" w:type="dxa"/>
            <w:vMerge/>
          </w:tcPr>
          <w:p w14:paraId="0A8126AE" w14:textId="77777777" w:rsidR="00454A29" w:rsidRDefault="00454A29"/>
        </w:tc>
        <w:tc>
          <w:tcPr>
            <w:tcW w:w="2324" w:type="dxa"/>
            <w:vMerge/>
          </w:tcPr>
          <w:p w14:paraId="17B58900" w14:textId="77777777" w:rsidR="00454A29" w:rsidRDefault="00454A29"/>
        </w:tc>
        <w:tc>
          <w:tcPr>
            <w:tcW w:w="1701" w:type="dxa"/>
            <w:vAlign w:val="center"/>
          </w:tcPr>
          <w:p w14:paraId="2A5589C9" w14:textId="77777777" w:rsidR="00454A29" w:rsidRDefault="00454A29">
            <w:pPr>
              <w:pStyle w:val="ConsPlusNormal"/>
            </w:pPr>
          </w:p>
        </w:tc>
        <w:tc>
          <w:tcPr>
            <w:tcW w:w="1814" w:type="dxa"/>
            <w:vAlign w:val="center"/>
          </w:tcPr>
          <w:p w14:paraId="2E93B41F" w14:textId="77777777" w:rsidR="00454A29" w:rsidRDefault="00454A29">
            <w:pPr>
              <w:pStyle w:val="ConsPlusNormal"/>
            </w:pPr>
          </w:p>
        </w:tc>
        <w:tc>
          <w:tcPr>
            <w:tcW w:w="1701" w:type="dxa"/>
            <w:vAlign w:val="center"/>
          </w:tcPr>
          <w:p w14:paraId="7371C367" w14:textId="77777777" w:rsidR="00454A29" w:rsidRDefault="00454A29">
            <w:pPr>
              <w:pStyle w:val="ConsPlusNormal"/>
            </w:pPr>
          </w:p>
        </w:tc>
        <w:tc>
          <w:tcPr>
            <w:tcW w:w="1701" w:type="dxa"/>
            <w:vAlign w:val="center"/>
          </w:tcPr>
          <w:p w14:paraId="6E6244D2" w14:textId="77777777" w:rsidR="00454A29" w:rsidRDefault="00454A29">
            <w:pPr>
              <w:pStyle w:val="ConsPlusNormal"/>
            </w:pPr>
          </w:p>
        </w:tc>
        <w:tc>
          <w:tcPr>
            <w:tcW w:w="1814" w:type="dxa"/>
            <w:vAlign w:val="center"/>
          </w:tcPr>
          <w:p w14:paraId="4AF7169D" w14:textId="77777777" w:rsidR="00454A29" w:rsidRDefault="00454A29">
            <w:pPr>
              <w:pStyle w:val="ConsPlusNormal"/>
            </w:pPr>
          </w:p>
        </w:tc>
      </w:tr>
      <w:tr w:rsidR="00454A29" w14:paraId="26355ECF" w14:textId="77777777">
        <w:tc>
          <w:tcPr>
            <w:tcW w:w="567" w:type="dxa"/>
            <w:vMerge/>
          </w:tcPr>
          <w:p w14:paraId="0D73999B" w14:textId="77777777" w:rsidR="00454A29" w:rsidRDefault="00454A29"/>
        </w:tc>
        <w:tc>
          <w:tcPr>
            <w:tcW w:w="3345" w:type="dxa"/>
            <w:vMerge/>
          </w:tcPr>
          <w:p w14:paraId="26D878BF" w14:textId="77777777" w:rsidR="00454A29" w:rsidRDefault="00454A29"/>
        </w:tc>
        <w:tc>
          <w:tcPr>
            <w:tcW w:w="1701" w:type="dxa"/>
            <w:vAlign w:val="center"/>
          </w:tcPr>
          <w:p w14:paraId="599CFC05" w14:textId="77777777" w:rsidR="00454A29" w:rsidRDefault="00454A29">
            <w:pPr>
              <w:pStyle w:val="ConsPlusNormal"/>
              <w:jc w:val="center"/>
            </w:pPr>
            <w:r>
              <w:t>2025</w:t>
            </w:r>
          </w:p>
        </w:tc>
        <w:tc>
          <w:tcPr>
            <w:tcW w:w="1417" w:type="dxa"/>
            <w:vMerge/>
          </w:tcPr>
          <w:p w14:paraId="767D3457" w14:textId="77777777" w:rsidR="00454A29" w:rsidRDefault="00454A29"/>
        </w:tc>
        <w:tc>
          <w:tcPr>
            <w:tcW w:w="2204" w:type="dxa"/>
            <w:vMerge/>
          </w:tcPr>
          <w:p w14:paraId="3C4DD65B" w14:textId="77777777" w:rsidR="00454A29" w:rsidRDefault="00454A29"/>
        </w:tc>
        <w:tc>
          <w:tcPr>
            <w:tcW w:w="1417" w:type="dxa"/>
            <w:vMerge/>
          </w:tcPr>
          <w:p w14:paraId="11253881" w14:textId="77777777" w:rsidR="00454A29" w:rsidRDefault="00454A29"/>
        </w:tc>
        <w:tc>
          <w:tcPr>
            <w:tcW w:w="2324" w:type="dxa"/>
            <w:vMerge/>
          </w:tcPr>
          <w:p w14:paraId="5BF55F5D" w14:textId="77777777" w:rsidR="00454A29" w:rsidRDefault="00454A29"/>
        </w:tc>
        <w:tc>
          <w:tcPr>
            <w:tcW w:w="1701" w:type="dxa"/>
            <w:vAlign w:val="center"/>
          </w:tcPr>
          <w:p w14:paraId="6F585CF5" w14:textId="77777777" w:rsidR="00454A29" w:rsidRDefault="00454A29">
            <w:pPr>
              <w:pStyle w:val="ConsPlusNormal"/>
              <w:jc w:val="center"/>
            </w:pPr>
            <w:r>
              <w:t>1 039 780,48</w:t>
            </w:r>
          </w:p>
        </w:tc>
        <w:tc>
          <w:tcPr>
            <w:tcW w:w="1814" w:type="dxa"/>
            <w:vAlign w:val="center"/>
          </w:tcPr>
          <w:p w14:paraId="2BF30B9B" w14:textId="77777777" w:rsidR="00454A29" w:rsidRDefault="00454A29">
            <w:pPr>
              <w:pStyle w:val="ConsPlusNormal"/>
              <w:jc w:val="center"/>
            </w:pPr>
            <w:r>
              <w:t>13 153,22</w:t>
            </w:r>
          </w:p>
        </w:tc>
        <w:tc>
          <w:tcPr>
            <w:tcW w:w="1701" w:type="dxa"/>
            <w:vAlign w:val="center"/>
          </w:tcPr>
          <w:p w14:paraId="261102AA" w14:textId="77777777" w:rsidR="00454A29" w:rsidRDefault="00454A29">
            <w:pPr>
              <w:pStyle w:val="ConsPlusNormal"/>
              <w:jc w:val="center"/>
            </w:pPr>
            <w:r>
              <w:t>1 302 169,08</w:t>
            </w:r>
          </w:p>
        </w:tc>
        <w:tc>
          <w:tcPr>
            <w:tcW w:w="1701" w:type="dxa"/>
            <w:vAlign w:val="center"/>
          </w:tcPr>
          <w:p w14:paraId="75A006ED" w14:textId="77777777" w:rsidR="00454A29" w:rsidRDefault="00454A29">
            <w:pPr>
              <w:pStyle w:val="ConsPlusNormal"/>
            </w:pPr>
          </w:p>
        </w:tc>
        <w:tc>
          <w:tcPr>
            <w:tcW w:w="1814" w:type="dxa"/>
            <w:vAlign w:val="center"/>
          </w:tcPr>
          <w:p w14:paraId="1736A3C4" w14:textId="77777777" w:rsidR="00454A29" w:rsidRDefault="00454A29">
            <w:pPr>
              <w:pStyle w:val="ConsPlusNormal"/>
            </w:pPr>
          </w:p>
        </w:tc>
      </w:tr>
      <w:tr w:rsidR="00454A29" w14:paraId="4AB97E76" w14:textId="77777777">
        <w:tc>
          <w:tcPr>
            <w:tcW w:w="567" w:type="dxa"/>
            <w:vMerge/>
          </w:tcPr>
          <w:p w14:paraId="68830569" w14:textId="77777777" w:rsidR="00454A29" w:rsidRDefault="00454A29"/>
        </w:tc>
        <w:tc>
          <w:tcPr>
            <w:tcW w:w="3345" w:type="dxa"/>
            <w:vMerge/>
          </w:tcPr>
          <w:p w14:paraId="057381A9" w14:textId="77777777" w:rsidR="00454A29" w:rsidRDefault="00454A29"/>
        </w:tc>
        <w:tc>
          <w:tcPr>
            <w:tcW w:w="1701" w:type="dxa"/>
            <w:vAlign w:val="center"/>
          </w:tcPr>
          <w:p w14:paraId="3B41F52E" w14:textId="77777777" w:rsidR="00454A29" w:rsidRDefault="00454A29">
            <w:pPr>
              <w:pStyle w:val="ConsPlusNormal"/>
              <w:jc w:val="center"/>
            </w:pPr>
            <w:r>
              <w:t>2026</w:t>
            </w:r>
          </w:p>
        </w:tc>
        <w:tc>
          <w:tcPr>
            <w:tcW w:w="1417" w:type="dxa"/>
            <w:vMerge/>
          </w:tcPr>
          <w:p w14:paraId="6C67B5CF" w14:textId="77777777" w:rsidR="00454A29" w:rsidRDefault="00454A29"/>
        </w:tc>
        <w:tc>
          <w:tcPr>
            <w:tcW w:w="2204" w:type="dxa"/>
            <w:vMerge/>
          </w:tcPr>
          <w:p w14:paraId="61B6A6B5" w14:textId="77777777" w:rsidR="00454A29" w:rsidRDefault="00454A29"/>
        </w:tc>
        <w:tc>
          <w:tcPr>
            <w:tcW w:w="1417" w:type="dxa"/>
            <w:vMerge/>
          </w:tcPr>
          <w:p w14:paraId="372645CC" w14:textId="77777777" w:rsidR="00454A29" w:rsidRDefault="00454A29"/>
        </w:tc>
        <w:tc>
          <w:tcPr>
            <w:tcW w:w="2324" w:type="dxa"/>
            <w:vMerge/>
          </w:tcPr>
          <w:p w14:paraId="525066FE" w14:textId="77777777" w:rsidR="00454A29" w:rsidRDefault="00454A29"/>
        </w:tc>
        <w:tc>
          <w:tcPr>
            <w:tcW w:w="1701" w:type="dxa"/>
            <w:vAlign w:val="center"/>
          </w:tcPr>
          <w:p w14:paraId="718C0DD7" w14:textId="77777777" w:rsidR="00454A29" w:rsidRDefault="00454A29">
            <w:pPr>
              <w:pStyle w:val="ConsPlusNormal"/>
            </w:pPr>
          </w:p>
        </w:tc>
        <w:tc>
          <w:tcPr>
            <w:tcW w:w="1814" w:type="dxa"/>
            <w:vAlign w:val="center"/>
          </w:tcPr>
          <w:p w14:paraId="24FBDCB4" w14:textId="77777777" w:rsidR="00454A29" w:rsidRDefault="00454A29">
            <w:pPr>
              <w:pStyle w:val="ConsPlusNormal"/>
            </w:pPr>
          </w:p>
        </w:tc>
        <w:tc>
          <w:tcPr>
            <w:tcW w:w="1701" w:type="dxa"/>
            <w:vAlign w:val="center"/>
          </w:tcPr>
          <w:p w14:paraId="6D4EB8EF" w14:textId="77777777" w:rsidR="00454A29" w:rsidRDefault="00454A29">
            <w:pPr>
              <w:pStyle w:val="ConsPlusNormal"/>
            </w:pPr>
          </w:p>
        </w:tc>
        <w:tc>
          <w:tcPr>
            <w:tcW w:w="1701" w:type="dxa"/>
            <w:vAlign w:val="center"/>
          </w:tcPr>
          <w:p w14:paraId="001996F9" w14:textId="77777777" w:rsidR="00454A29" w:rsidRDefault="00454A29">
            <w:pPr>
              <w:pStyle w:val="ConsPlusNormal"/>
            </w:pPr>
          </w:p>
        </w:tc>
        <w:tc>
          <w:tcPr>
            <w:tcW w:w="1814" w:type="dxa"/>
            <w:vAlign w:val="center"/>
          </w:tcPr>
          <w:p w14:paraId="70C18288" w14:textId="77777777" w:rsidR="00454A29" w:rsidRDefault="00454A29">
            <w:pPr>
              <w:pStyle w:val="ConsPlusNormal"/>
            </w:pPr>
          </w:p>
        </w:tc>
      </w:tr>
      <w:tr w:rsidR="00454A29" w14:paraId="42109342" w14:textId="77777777">
        <w:tc>
          <w:tcPr>
            <w:tcW w:w="567" w:type="dxa"/>
            <w:vMerge w:val="restart"/>
            <w:vAlign w:val="center"/>
          </w:tcPr>
          <w:p w14:paraId="49356170" w14:textId="77777777" w:rsidR="00454A29" w:rsidRDefault="00454A29">
            <w:pPr>
              <w:pStyle w:val="ConsPlusNormal"/>
              <w:jc w:val="center"/>
            </w:pPr>
            <w:r>
              <w:t>84</w:t>
            </w:r>
          </w:p>
        </w:tc>
        <w:tc>
          <w:tcPr>
            <w:tcW w:w="3345" w:type="dxa"/>
            <w:vMerge w:val="restart"/>
            <w:vAlign w:val="center"/>
          </w:tcPr>
          <w:p w14:paraId="1FE7E719" w14:textId="77777777" w:rsidR="00454A29" w:rsidRDefault="00454A29">
            <w:pPr>
              <w:pStyle w:val="ConsPlusNormal"/>
              <w:jc w:val="center"/>
            </w:pPr>
            <w:r>
              <w:t>Школа на 60 учащихся в с. Бютяй-Юрдя</w:t>
            </w:r>
          </w:p>
        </w:tc>
        <w:tc>
          <w:tcPr>
            <w:tcW w:w="1701" w:type="dxa"/>
            <w:vAlign w:val="center"/>
          </w:tcPr>
          <w:p w14:paraId="1E9962A8" w14:textId="77777777" w:rsidR="00454A29" w:rsidRDefault="00454A29">
            <w:pPr>
              <w:pStyle w:val="ConsPlusNormal"/>
              <w:jc w:val="center"/>
            </w:pPr>
            <w:r>
              <w:t>2020 - 2026 годы - всего</w:t>
            </w:r>
          </w:p>
        </w:tc>
        <w:tc>
          <w:tcPr>
            <w:tcW w:w="1417" w:type="dxa"/>
            <w:vMerge w:val="restart"/>
            <w:vAlign w:val="center"/>
          </w:tcPr>
          <w:p w14:paraId="7D6A7FD3" w14:textId="77777777" w:rsidR="00454A29" w:rsidRDefault="00454A29">
            <w:pPr>
              <w:pStyle w:val="ConsPlusNormal"/>
              <w:jc w:val="center"/>
            </w:pPr>
            <w:r>
              <w:t>220 694,71</w:t>
            </w:r>
          </w:p>
        </w:tc>
        <w:tc>
          <w:tcPr>
            <w:tcW w:w="2204" w:type="dxa"/>
            <w:vMerge w:val="restart"/>
            <w:vAlign w:val="center"/>
          </w:tcPr>
          <w:p w14:paraId="79B6B5B7" w14:textId="77777777" w:rsidR="00454A29" w:rsidRDefault="00454A29">
            <w:pPr>
              <w:pStyle w:val="ConsPlusNormal"/>
            </w:pPr>
          </w:p>
        </w:tc>
        <w:tc>
          <w:tcPr>
            <w:tcW w:w="1417" w:type="dxa"/>
            <w:vMerge w:val="restart"/>
            <w:vAlign w:val="center"/>
          </w:tcPr>
          <w:p w14:paraId="71661541" w14:textId="77777777" w:rsidR="00454A29" w:rsidRDefault="00454A29">
            <w:pPr>
              <w:pStyle w:val="ConsPlusNormal"/>
              <w:jc w:val="center"/>
            </w:pPr>
            <w:r>
              <w:t>60</w:t>
            </w:r>
          </w:p>
        </w:tc>
        <w:tc>
          <w:tcPr>
            <w:tcW w:w="2324" w:type="dxa"/>
            <w:vMerge w:val="restart"/>
            <w:vAlign w:val="center"/>
          </w:tcPr>
          <w:p w14:paraId="744A4E7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1B1A5DD" w14:textId="77777777" w:rsidR="00454A29" w:rsidRDefault="00454A29">
            <w:pPr>
              <w:pStyle w:val="ConsPlusNormal"/>
              <w:jc w:val="center"/>
            </w:pPr>
            <w:r>
              <w:t>220 694,71</w:t>
            </w:r>
          </w:p>
        </w:tc>
        <w:tc>
          <w:tcPr>
            <w:tcW w:w="1814" w:type="dxa"/>
            <w:vAlign w:val="center"/>
          </w:tcPr>
          <w:p w14:paraId="7734FFC0" w14:textId="77777777" w:rsidR="00454A29" w:rsidRDefault="00454A29">
            <w:pPr>
              <w:pStyle w:val="ConsPlusNormal"/>
              <w:jc w:val="center"/>
            </w:pPr>
            <w:r>
              <w:t>2 718,96</w:t>
            </w:r>
          </w:p>
        </w:tc>
        <w:tc>
          <w:tcPr>
            <w:tcW w:w="1701" w:type="dxa"/>
            <w:vAlign w:val="center"/>
          </w:tcPr>
          <w:p w14:paraId="47445B3E" w14:textId="77777777" w:rsidR="00454A29" w:rsidRDefault="00454A29">
            <w:pPr>
              <w:pStyle w:val="ConsPlusNormal"/>
              <w:jc w:val="center"/>
            </w:pPr>
            <w:r>
              <w:t>269 176,93</w:t>
            </w:r>
          </w:p>
        </w:tc>
        <w:tc>
          <w:tcPr>
            <w:tcW w:w="1701" w:type="dxa"/>
            <w:vAlign w:val="center"/>
          </w:tcPr>
          <w:p w14:paraId="246D21FB" w14:textId="77777777" w:rsidR="00454A29" w:rsidRDefault="00454A29">
            <w:pPr>
              <w:pStyle w:val="ConsPlusNormal"/>
              <w:jc w:val="center"/>
            </w:pPr>
            <w:r>
              <w:t>-</w:t>
            </w:r>
          </w:p>
        </w:tc>
        <w:tc>
          <w:tcPr>
            <w:tcW w:w="1814" w:type="dxa"/>
            <w:vAlign w:val="center"/>
          </w:tcPr>
          <w:p w14:paraId="09BD6677" w14:textId="77777777" w:rsidR="00454A29" w:rsidRDefault="00454A29">
            <w:pPr>
              <w:pStyle w:val="ConsPlusNormal"/>
              <w:jc w:val="center"/>
            </w:pPr>
            <w:r>
              <w:t>-</w:t>
            </w:r>
          </w:p>
        </w:tc>
      </w:tr>
      <w:tr w:rsidR="00454A29" w14:paraId="0EE5B475" w14:textId="77777777">
        <w:tc>
          <w:tcPr>
            <w:tcW w:w="567" w:type="dxa"/>
            <w:vMerge/>
          </w:tcPr>
          <w:p w14:paraId="10EE3561" w14:textId="77777777" w:rsidR="00454A29" w:rsidRDefault="00454A29"/>
        </w:tc>
        <w:tc>
          <w:tcPr>
            <w:tcW w:w="3345" w:type="dxa"/>
            <w:vMerge/>
          </w:tcPr>
          <w:p w14:paraId="1D827B05" w14:textId="77777777" w:rsidR="00454A29" w:rsidRDefault="00454A29"/>
        </w:tc>
        <w:tc>
          <w:tcPr>
            <w:tcW w:w="1701" w:type="dxa"/>
            <w:vAlign w:val="center"/>
          </w:tcPr>
          <w:p w14:paraId="31B62BCF" w14:textId="77777777" w:rsidR="00454A29" w:rsidRDefault="00454A29">
            <w:pPr>
              <w:pStyle w:val="ConsPlusNormal"/>
              <w:jc w:val="center"/>
            </w:pPr>
            <w:r>
              <w:t>2020</w:t>
            </w:r>
          </w:p>
        </w:tc>
        <w:tc>
          <w:tcPr>
            <w:tcW w:w="1417" w:type="dxa"/>
            <w:vMerge/>
          </w:tcPr>
          <w:p w14:paraId="34BB787F" w14:textId="77777777" w:rsidR="00454A29" w:rsidRDefault="00454A29"/>
        </w:tc>
        <w:tc>
          <w:tcPr>
            <w:tcW w:w="2204" w:type="dxa"/>
            <w:vMerge/>
          </w:tcPr>
          <w:p w14:paraId="170A60E1" w14:textId="77777777" w:rsidR="00454A29" w:rsidRDefault="00454A29"/>
        </w:tc>
        <w:tc>
          <w:tcPr>
            <w:tcW w:w="1417" w:type="dxa"/>
            <w:vMerge/>
          </w:tcPr>
          <w:p w14:paraId="043348D2" w14:textId="77777777" w:rsidR="00454A29" w:rsidRDefault="00454A29"/>
        </w:tc>
        <w:tc>
          <w:tcPr>
            <w:tcW w:w="2324" w:type="dxa"/>
            <w:vMerge/>
          </w:tcPr>
          <w:p w14:paraId="3E7D52CB" w14:textId="77777777" w:rsidR="00454A29" w:rsidRDefault="00454A29"/>
        </w:tc>
        <w:tc>
          <w:tcPr>
            <w:tcW w:w="1701" w:type="dxa"/>
            <w:vAlign w:val="center"/>
          </w:tcPr>
          <w:p w14:paraId="68DDF98E" w14:textId="77777777" w:rsidR="00454A29" w:rsidRDefault="00454A29">
            <w:pPr>
              <w:pStyle w:val="ConsPlusNormal"/>
            </w:pPr>
          </w:p>
        </w:tc>
        <w:tc>
          <w:tcPr>
            <w:tcW w:w="1814" w:type="dxa"/>
            <w:vAlign w:val="center"/>
          </w:tcPr>
          <w:p w14:paraId="26BBA530" w14:textId="77777777" w:rsidR="00454A29" w:rsidRDefault="00454A29">
            <w:pPr>
              <w:pStyle w:val="ConsPlusNormal"/>
            </w:pPr>
          </w:p>
        </w:tc>
        <w:tc>
          <w:tcPr>
            <w:tcW w:w="1701" w:type="dxa"/>
            <w:vAlign w:val="center"/>
          </w:tcPr>
          <w:p w14:paraId="07BCEBCC" w14:textId="77777777" w:rsidR="00454A29" w:rsidRDefault="00454A29">
            <w:pPr>
              <w:pStyle w:val="ConsPlusNormal"/>
            </w:pPr>
          </w:p>
        </w:tc>
        <w:tc>
          <w:tcPr>
            <w:tcW w:w="1701" w:type="dxa"/>
            <w:vAlign w:val="center"/>
          </w:tcPr>
          <w:p w14:paraId="75AE9DEA" w14:textId="77777777" w:rsidR="00454A29" w:rsidRDefault="00454A29">
            <w:pPr>
              <w:pStyle w:val="ConsPlusNormal"/>
            </w:pPr>
          </w:p>
        </w:tc>
        <w:tc>
          <w:tcPr>
            <w:tcW w:w="1814" w:type="dxa"/>
            <w:vAlign w:val="center"/>
          </w:tcPr>
          <w:p w14:paraId="46ED0BAD" w14:textId="77777777" w:rsidR="00454A29" w:rsidRDefault="00454A29">
            <w:pPr>
              <w:pStyle w:val="ConsPlusNormal"/>
            </w:pPr>
          </w:p>
        </w:tc>
      </w:tr>
      <w:tr w:rsidR="00454A29" w14:paraId="40FBA52D" w14:textId="77777777">
        <w:tc>
          <w:tcPr>
            <w:tcW w:w="567" w:type="dxa"/>
            <w:vMerge/>
          </w:tcPr>
          <w:p w14:paraId="1D48A05B" w14:textId="77777777" w:rsidR="00454A29" w:rsidRDefault="00454A29"/>
        </w:tc>
        <w:tc>
          <w:tcPr>
            <w:tcW w:w="3345" w:type="dxa"/>
            <w:vMerge/>
          </w:tcPr>
          <w:p w14:paraId="063C9136" w14:textId="77777777" w:rsidR="00454A29" w:rsidRDefault="00454A29"/>
        </w:tc>
        <w:tc>
          <w:tcPr>
            <w:tcW w:w="1701" w:type="dxa"/>
            <w:vAlign w:val="center"/>
          </w:tcPr>
          <w:p w14:paraId="5C9B8966" w14:textId="77777777" w:rsidR="00454A29" w:rsidRDefault="00454A29">
            <w:pPr>
              <w:pStyle w:val="ConsPlusNormal"/>
              <w:jc w:val="center"/>
            </w:pPr>
            <w:r>
              <w:t>2021</w:t>
            </w:r>
          </w:p>
        </w:tc>
        <w:tc>
          <w:tcPr>
            <w:tcW w:w="1417" w:type="dxa"/>
            <w:vMerge/>
          </w:tcPr>
          <w:p w14:paraId="55F30484" w14:textId="77777777" w:rsidR="00454A29" w:rsidRDefault="00454A29"/>
        </w:tc>
        <w:tc>
          <w:tcPr>
            <w:tcW w:w="2204" w:type="dxa"/>
            <w:vMerge/>
          </w:tcPr>
          <w:p w14:paraId="67011C75" w14:textId="77777777" w:rsidR="00454A29" w:rsidRDefault="00454A29"/>
        </w:tc>
        <w:tc>
          <w:tcPr>
            <w:tcW w:w="1417" w:type="dxa"/>
            <w:vMerge/>
          </w:tcPr>
          <w:p w14:paraId="30ADB2E9" w14:textId="77777777" w:rsidR="00454A29" w:rsidRDefault="00454A29"/>
        </w:tc>
        <w:tc>
          <w:tcPr>
            <w:tcW w:w="2324" w:type="dxa"/>
            <w:vMerge/>
          </w:tcPr>
          <w:p w14:paraId="12B55888" w14:textId="77777777" w:rsidR="00454A29" w:rsidRDefault="00454A29"/>
        </w:tc>
        <w:tc>
          <w:tcPr>
            <w:tcW w:w="1701" w:type="dxa"/>
            <w:vAlign w:val="center"/>
          </w:tcPr>
          <w:p w14:paraId="5212229C" w14:textId="77777777" w:rsidR="00454A29" w:rsidRDefault="00454A29">
            <w:pPr>
              <w:pStyle w:val="ConsPlusNormal"/>
            </w:pPr>
          </w:p>
        </w:tc>
        <w:tc>
          <w:tcPr>
            <w:tcW w:w="1814" w:type="dxa"/>
            <w:vAlign w:val="center"/>
          </w:tcPr>
          <w:p w14:paraId="1CC6A645" w14:textId="77777777" w:rsidR="00454A29" w:rsidRDefault="00454A29">
            <w:pPr>
              <w:pStyle w:val="ConsPlusNormal"/>
            </w:pPr>
          </w:p>
        </w:tc>
        <w:tc>
          <w:tcPr>
            <w:tcW w:w="1701" w:type="dxa"/>
            <w:vAlign w:val="center"/>
          </w:tcPr>
          <w:p w14:paraId="0BE5789D" w14:textId="77777777" w:rsidR="00454A29" w:rsidRDefault="00454A29">
            <w:pPr>
              <w:pStyle w:val="ConsPlusNormal"/>
            </w:pPr>
          </w:p>
        </w:tc>
        <w:tc>
          <w:tcPr>
            <w:tcW w:w="1701" w:type="dxa"/>
            <w:vAlign w:val="center"/>
          </w:tcPr>
          <w:p w14:paraId="7D50E6D0" w14:textId="77777777" w:rsidR="00454A29" w:rsidRDefault="00454A29">
            <w:pPr>
              <w:pStyle w:val="ConsPlusNormal"/>
            </w:pPr>
          </w:p>
        </w:tc>
        <w:tc>
          <w:tcPr>
            <w:tcW w:w="1814" w:type="dxa"/>
            <w:vAlign w:val="center"/>
          </w:tcPr>
          <w:p w14:paraId="23B3BA37" w14:textId="77777777" w:rsidR="00454A29" w:rsidRDefault="00454A29">
            <w:pPr>
              <w:pStyle w:val="ConsPlusNormal"/>
            </w:pPr>
          </w:p>
        </w:tc>
      </w:tr>
      <w:tr w:rsidR="00454A29" w14:paraId="4DA9021C" w14:textId="77777777">
        <w:tc>
          <w:tcPr>
            <w:tcW w:w="567" w:type="dxa"/>
            <w:vMerge/>
          </w:tcPr>
          <w:p w14:paraId="10FC76FB" w14:textId="77777777" w:rsidR="00454A29" w:rsidRDefault="00454A29"/>
        </w:tc>
        <w:tc>
          <w:tcPr>
            <w:tcW w:w="3345" w:type="dxa"/>
            <w:vMerge/>
          </w:tcPr>
          <w:p w14:paraId="406D4789" w14:textId="77777777" w:rsidR="00454A29" w:rsidRDefault="00454A29"/>
        </w:tc>
        <w:tc>
          <w:tcPr>
            <w:tcW w:w="1701" w:type="dxa"/>
            <w:vAlign w:val="center"/>
          </w:tcPr>
          <w:p w14:paraId="3B5E3021" w14:textId="77777777" w:rsidR="00454A29" w:rsidRDefault="00454A29">
            <w:pPr>
              <w:pStyle w:val="ConsPlusNormal"/>
              <w:jc w:val="center"/>
            </w:pPr>
            <w:r>
              <w:t>2022</w:t>
            </w:r>
          </w:p>
        </w:tc>
        <w:tc>
          <w:tcPr>
            <w:tcW w:w="1417" w:type="dxa"/>
            <w:vMerge/>
          </w:tcPr>
          <w:p w14:paraId="27694844" w14:textId="77777777" w:rsidR="00454A29" w:rsidRDefault="00454A29"/>
        </w:tc>
        <w:tc>
          <w:tcPr>
            <w:tcW w:w="2204" w:type="dxa"/>
            <w:vMerge/>
          </w:tcPr>
          <w:p w14:paraId="0D063039" w14:textId="77777777" w:rsidR="00454A29" w:rsidRDefault="00454A29"/>
        </w:tc>
        <w:tc>
          <w:tcPr>
            <w:tcW w:w="1417" w:type="dxa"/>
            <w:vMerge/>
          </w:tcPr>
          <w:p w14:paraId="4174B42D" w14:textId="77777777" w:rsidR="00454A29" w:rsidRDefault="00454A29"/>
        </w:tc>
        <w:tc>
          <w:tcPr>
            <w:tcW w:w="2324" w:type="dxa"/>
            <w:vMerge/>
          </w:tcPr>
          <w:p w14:paraId="35310867" w14:textId="77777777" w:rsidR="00454A29" w:rsidRDefault="00454A29"/>
        </w:tc>
        <w:tc>
          <w:tcPr>
            <w:tcW w:w="1701" w:type="dxa"/>
            <w:vAlign w:val="center"/>
          </w:tcPr>
          <w:p w14:paraId="351C1A08" w14:textId="77777777" w:rsidR="00454A29" w:rsidRDefault="00454A29">
            <w:pPr>
              <w:pStyle w:val="ConsPlusNormal"/>
            </w:pPr>
          </w:p>
        </w:tc>
        <w:tc>
          <w:tcPr>
            <w:tcW w:w="1814" w:type="dxa"/>
            <w:vAlign w:val="center"/>
          </w:tcPr>
          <w:p w14:paraId="121F6ABE" w14:textId="77777777" w:rsidR="00454A29" w:rsidRDefault="00454A29">
            <w:pPr>
              <w:pStyle w:val="ConsPlusNormal"/>
            </w:pPr>
          </w:p>
        </w:tc>
        <w:tc>
          <w:tcPr>
            <w:tcW w:w="1701" w:type="dxa"/>
            <w:vAlign w:val="center"/>
          </w:tcPr>
          <w:p w14:paraId="5A4EB996" w14:textId="77777777" w:rsidR="00454A29" w:rsidRDefault="00454A29">
            <w:pPr>
              <w:pStyle w:val="ConsPlusNormal"/>
            </w:pPr>
          </w:p>
        </w:tc>
        <w:tc>
          <w:tcPr>
            <w:tcW w:w="1701" w:type="dxa"/>
            <w:vAlign w:val="center"/>
          </w:tcPr>
          <w:p w14:paraId="1932A309" w14:textId="77777777" w:rsidR="00454A29" w:rsidRDefault="00454A29">
            <w:pPr>
              <w:pStyle w:val="ConsPlusNormal"/>
            </w:pPr>
          </w:p>
        </w:tc>
        <w:tc>
          <w:tcPr>
            <w:tcW w:w="1814" w:type="dxa"/>
            <w:vAlign w:val="center"/>
          </w:tcPr>
          <w:p w14:paraId="46A54731" w14:textId="77777777" w:rsidR="00454A29" w:rsidRDefault="00454A29">
            <w:pPr>
              <w:pStyle w:val="ConsPlusNormal"/>
            </w:pPr>
          </w:p>
        </w:tc>
      </w:tr>
      <w:tr w:rsidR="00454A29" w14:paraId="3680E7CB" w14:textId="77777777">
        <w:tc>
          <w:tcPr>
            <w:tcW w:w="567" w:type="dxa"/>
            <w:vMerge/>
          </w:tcPr>
          <w:p w14:paraId="67C2C7CF" w14:textId="77777777" w:rsidR="00454A29" w:rsidRDefault="00454A29"/>
        </w:tc>
        <w:tc>
          <w:tcPr>
            <w:tcW w:w="3345" w:type="dxa"/>
            <w:vMerge/>
          </w:tcPr>
          <w:p w14:paraId="36782FA9" w14:textId="77777777" w:rsidR="00454A29" w:rsidRDefault="00454A29"/>
        </w:tc>
        <w:tc>
          <w:tcPr>
            <w:tcW w:w="1701" w:type="dxa"/>
            <w:vAlign w:val="center"/>
          </w:tcPr>
          <w:p w14:paraId="3BC9299B" w14:textId="77777777" w:rsidR="00454A29" w:rsidRDefault="00454A29">
            <w:pPr>
              <w:pStyle w:val="ConsPlusNormal"/>
              <w:jc w:val="center"/>
            </w:pPr>
            <w:r>
              <w:t>2023</w:t>
            </w:r>
          </w:p>
        </w:tc>
        <w:tc>
          <w:tcPr>
            <w:tcW w:w="1417" w:type="dxa"/>
            <w:vMerge/>
          </w:tcPr>
          <w:p w14:paraId="2F4DF687" w14:textId="77777777" w:rsidR="00454A29" w:rsidRDefault="00454A29"/>
        </w:tc>
        <w:tc>
          <w:tcPr>
            <w:tcW w:w="2204" w:type="dxa"/>
            <w:vMerge/>
          </w:tcPr>
          <w:p w14:paraId="5CF75D00" w14:textId="77777777" w:rsidR="00454A29" w:rsidRDefault="00454A29"/>
        </w:tc>
        <w:tc>
          <w:tcPr>
            <w:tcW w:w="1417" w:type="dxa"/>
            <w:vMerge/>
          </w:tcPr>
          <w:p w14:paraId="18B7BF8A" w14:textId="77777777" w:rsidR="00454A29" w:rsidRDefault="00454A29"/>
        </w:tc>
        <w:tc>
          <w:tcPr>
            <w:tcW w:w="2324" w:type="dxa"/>
            <w:vMerge/>
          </w:tcPr>
          <w:p w14:paraId="5C3BD23E" w14:textId="77777777" w:rsidR="00454A29" w:rsidRDefault="00454A29"/>
        </w:tc>
        <w:tc>
          <w:tcPr>
            <w:tcW w:w="1701" w:type="dxa"/>
            <w:vAlign w:val="center"/>
          </w:tcPr>
          <w:p w14:paraId="7DFD8ECE" w14:textId="77777777" w:rsidR="00454A29" w:rsidRDefault="00454A29">
            <w:pPr>
              <w:pStyle w:val="ConsPlusNormal"/>
            </w:pPr>
          </w:p>
        </w:tc>
        <w:tc>
          <w:tcPr>
            <w:tcW w:w="1814" w:type="dxa"/>
            <w:vAlign w:val="center"/>
          </w:tcPr>
          <w:p w14:paraId="035C5F77" w14:textId="77777777" w:rsidR="00454A29" w:rsidRDefault="00454A29">
            <w:pPr>
              <w:pStyle w:val="ConsPlusNormal"/>
            </w:pPr>
          </w:p>
        </w:tc>
        <w:tc>
          <w:tcPr>
            <w:tcW w:w="1701" w:type="dxa"/>
            <w:vAlign w:val="center"/>
          </w:tcPr>
          <w:p w14:paraId="09C6F7A1" w14:textId="77777777" w:rsidR="00454A29" w:rsidRDefault="00454A29">
            <w:pPr>
              <w:pStyle w:val="ConsPlusNormal"/>
            </w:pPr>
          </w:p>
        </w:tc>
        <w:tc>
          <w:tcPr>
            <w:tcW w:w="1701" w:type="dxa"/>
            <w:vAlign w:val="center"/>
          </w:tcPr>
          <w:p w14:paraId="31169316" w14:textId="77777777" w:rsidR="00454A29" w:rsidRDefault="00454A29">
            <w:pPr>
              <w:pStyle w:val="ConsPlusNormal"/>
            </w:pPr>
          </w:p>
        </w:tc>
        <w:tc>
          <w:tcPr>
            <w:tcW w:w="1814" w:type="dxa"/>
            <w:vAlign w:val="center"/>
          </w:tcPr>
          <w:p w14:paraId="4A15844A" w14:textId="77777777" w:rsidR="00454A29" w:rsidRDefault="00454A29">
            <w:pPr>
              <w:pStyle w:val="ConsPlusNormal"/>
            </w:pPr>
          </w:p>
        </w:tc>
      </w:tr>
      <w:tr w:rsidR="00454A29" w14:paraId="61143A87" w14:textId="77777777">
        <w:tc>
          <w:tcPr>
            <w:tcW w:w="567" w:type="dxa"/>
            <w:vMerge/>
          </w:tcPr>
          <w:p w14:paraId="0A493995" w14:textId="77777777" w:rsidR="00454A29" w:rsidRDefault="00454A29"/>
        </w:tc>
        <w:tc>
          <w:tcPr>
            <w:tcW w:w="3345" w:type="dxa"/>
            <w:vMerge/>
          </w:tcPr>
          <w:p w14:paraId="3632ACA5" w14:textId="77777777" w:rsidR="00454A29" w:rsidRDefault="00454A29"/>
        </w:tc>
        <w:tc>
          <w:tcPr>
            <w:tcW w:w="1701" w:type="dxa"/>
            <w:vAlign w:val="center"/>
          </w:tcPr>
          <w:p w14:paraId="51161387" w14:textId="77777777" w:rsidR="00454A29" w:rsidRDefault="00454A29">
            <w:pPr>
              <w:pStyle w:val="ConsPlusNormal"/>
              <w:jc w:val="center"/>
            </w:pPr>
            <w:r>
              <w:t>2024</w:t>
            </w:r>
          </w:p>
        </w:tc>
        <w:tc>
          <w:tcPr>
            <w:tcW w:w="1417" w:type="dxa"/>
            <w:vMerge/>
          </w:tcPr>
          <w:p w14:paraId="56F7F6DC" w14:textId="77777777" w:rsidR="00454A29" w:rsidRDefault="00454A29"/>
        </w:tc>
        <w:tc>
          <w:tcPr>
            <w:tcW w:w="2204" w:type="dxa"/>
            <w:vMerge/>
          </w:tcPr>
          <w:p w14:paraId="01C64771" w14:textId="77777777" w:rsidR="00454A29" w:rsidRDefault="00454A29"/>
        </w:tc>
        <w:tc>
          <w:tcPr>
            <w:tcW w:w="1417" w:type="dxa"/>
            <w:vMerge/>
          </w:tcPr>
          <w:p w14:paraId="2EAF74A5" w14:textId="77777777" w:rsidR="00454A29" w:rsidRDefault="00454A29"/>
        </w:tc>
        <w:tc>
          <w:tcPr>
            <w:tcW w:w="2324" w:type="dxa"/>
            <w:vMerge/>
          </w:tcPr>
          <w:p w14:paraId="1C1AB96F" w14:textId="77777777" w:rsidR="00454A29" w:rsidRDefault="00454A29"/>
        </w:tc>
        <w:tc>
          <w:tcPr>
            <w:tcW w:w="1701" w:type="dxa"/>
            <w:vAlign w:val="center"/>
          </w:tcPr>
          <w:p w14:paraId="4848997C" w14:textId="77777777" w:rsidR="00454A29" w:rsidRDefault="00454A29">
            <w:pPr>
              <w:pStyle w:val="ConsPlusNormal"/>
              <w:jc w:val="center"/>
            </w:pPr>
            <w:r>
              <w:t>-</w:t>
            </w:r>
          </w:p>
        </w:tc>
        <w:tc>
          <w:tcPr>
            <w:tcW w:w="1814" w:type="dxa"/>
            <w:vAlign w:val="center"/>
          </w:tcPr>
          <w:p w14:paraId="243512CC" w14:textId="77777777" w:rsidR="00454A29" w:rsidRDefault="00454A29">
            <w:pPr>
              <w:pStyle w:val="ConsPlusNormal"/>
            </w:pPr>
          </w:p>
        </w:tc>
        <w:tc>
          <w:tcPr>
            <w:tcW w:w="1701" w:type="dxa"/>
            <w:vAlign w:val="center"/>
          </w:tcPr>
          <w:p w14:paraId="231EF367" w14:textId="77777777" w:rsidR="00454A29" w:rsidRDefault="00454A29">
            <w:pPr>
              <w:pStyle w:val="ConsPlusNormal"/>
            </w:pPr>
          </w:p>
        </w:tc>
        <w:tc>
          <w:tcPr>
            <w:tcW w:w="1701" w:type="dxa"/>
            <w:vAlign w:val="center"/>
          </w:tcPr>
          <w:p w14:paraId="756C8158" w14:textId="77777777" w:rsidR="00454A29" w:rsidRDefault="00454A29">
            <w:pPr>
              <w:pStyle w:val="ConsPlusNormal"/>
            </w:pPr>
          </w:p>
        </w:tc>
        <w:tc>
          <w:tcPr>
            <w:tcW w:w="1814" w:type="dxa"/>
            <w:vAlign w:val="center"/>
          </w:tcPr>
          <w:p w14:paraId="5EAAFF62" w14:textId="77777777" w:rsidR="00454A29" w:rsidRDefault="00454A29">
            <w:pPr>
              <w:pStyle w:val="ConsPlusNormal"/>
            </w:pPr>
          </w:p>
        </w:tc>
      </w:tr>
      <w:tr w:rsidR="00454A29" w14:paraId="39070483" w14:textId="77777777">
        <w:tc>
          <w:tcPr>
            <w:tcW w:w="567" w:type="dxa"/>
            <w:vMerge/>
          </w:tcPr>
          <w:p w14:paraId="60162468" w14:textId="77777777" w:rsidR="00454A29" w:rsidRDefault="00454A29"/>
        </w:tc>
        <w:tc>
          <w:tcPr>
            <w:tcW w:w="3345" w:type="dxa"/>
            <w:vMerge/>
          </w:tcPr>
          <w:p w14:paraId="4C7FA20A" w14:textId="77777777" w:rsidR="00454A29" w:rsidRDefault="00454A29"/>
        </w:tc>
        <w:tc>
          <w:tcPr>
            <w:tcW w:w="1701" w:type="dxa"/>
            <w:vAlign w:val="center"/>
          </w:tcPr>
          <w:p w14:paraId="577847ED" w14:textId="77777777" w:rsidR="00454A29" w:rsidRDefault="00454A29">
            <w:pPr>
              <w:pStyle w:val="ConsPlusNormal"/>
              <w:jc w:val="center"/>
            </w:pPr>
            <w:r>
              <w:t>2025</w:t>
            </w:r>
          </w:p>
        </w:tc>
        <w:tc>
          <w:tcPr>
            <w:tcW w:w="1417" w:type="dxa"/>
            <w:vMerge/>
          </w:tcPr>
          <w:p w14:paraId="3C6C3753" w14:textId="77777777" w:rsidR="00454A29" w:rsidRDefault="00454A29"/>
        </w:tc>
        <w:tc>
          <w:tcPr>
            <w:tcW w:w="2204" w:type="dxa"/>
            <w:vMerge/>
          </w:tcPr>
          <w:p w14:paraId="1E933808" w14:textId="77777777" w:rsidR="00454A29" w:rsidRDefault="00454A29"/>
        </w:tc>
        <w:tc>
          <w:tcPr>
            <w:tcW w:w="1417" w:type="dxa"/>
            <w:vMerge/>
          </w:tcPr>
          <w:p w14:paraId="10D94C52" w14:textId="77777777" w:rsidR="00454A29" w:rsidRDefault="00454A29"/>
        </w:tc>
        <w:tc>
          <w:tcPr>
            <w:tcW w:w="2324" w:type="dxa"/>
            <w:vMerge/>
          </w:tcPr>
          <w:p w14:paraId="7B51AF37" w14:textId="77777777" w:rsidR="00454A29" w:rsidRDefault="00454A29"/>
        </w:tc>
        <w:tc>
          <w:tcPr>
            <w:tcW w:w="1701" w:type="dxa"/>
            <w:vAlign w:val="center"/>
          </w:tcPr>
          <w:p w14:paraId="07BBD17C" w14:textId="77777777" w:rsidR="00454A29" w:rsidRDefault="00454A29">
            <w:pPr>
              <w:pStyle w:val="ConsPlusNormal"/>
            </w:pPr>
          </w:p>
        </w:tc>
        <w:tc>
          <w:tcPr>
            <w:tcW w:w="1814" w:type="dxa"/>
            <w:vAlign w:val="center"/>
          </w:tcPr>
          <w:p w14:paraId="4B60494E" w14:textId="77777777" w:rsidR="00454A29" w:rsidRDefault="00454A29">
            <w:pPr>
              <w:pStyle w:val="ConsPlusNormal"/>
            </w:pPr>
          </w:p>
        </w:tc>
        <w:tc>
          <w:tcPr>
            <w:tcW w:w="1701" w:type="dxa"/>
            <w:vAlign w:val="center"/>
          </w:tcPr>
          <w:p w14:paraId="47E90536" w14:textId="77777777" w:rsidR="00454A29" w:rsidRDefault="00454A29">
            <w:pPr>
              <w:pStyle w:val="ConsPlusNormal"/>
            </w:pPr>
          </w:p>
        </w:tc>
        <w:tc>
          <w:tcPr>
            <w:tcW w:w="1701" w:type="dxa"/>
            <w:vAlign w:val="center"/>
          </w:tcPr>
          <w:p w14:paraId="5179B438" w14:textId="77777777" w:rsidR="00454A29" w:rsidRDefault="00454A29">
            <w:pPr>
              <w:pStyle w:val="ConsPlusNormal"/>
            </w:pPr>
          </w:p>
        </w:tc>
        <w:tc>
          <w:tcPr>
            <w:tcW w:w="1814" w:type="dxa"/>
            <w:vAlign w:val="center"/>
          </w:tcPr>
          <w:p w14:paraId="4503ACBF" w14:textId="77777777" w:rsidR="00454A29" w:rsidRDefault="00454A29">
            <w:pPr>
              <w:pStyle w:val="ConsPlusNormal"/>
            </w:pPr>
          </w:p>
        </w:tc>
      </w:tr>
      <w:tr w:rsidR="00454A29" w14:paraId="08B3F9F1" w14:textId="77777777">
        <w:tc>
          <w:tcPr>
            <w:tcW w:w="567" w:type="dxa"/>
            <w:vMerge/>
          </w:tcPr>
          <w:p w14:paraId="5D44E95C" w14:textId="77777777" w:rsidR="00454A29" w:rsidRDefault="00454A29"/>
        </w:tc>
        <w:tc>
          <w:tcPr>
            <w:tcW w:w="3345" w:type="dxa"/>
            <w:vMerge/>
          </w:tcPr>
          <w:p w14:paraId="37B94B1C" w14:textId="77777777" w:rsidR="00454A29" w:rsidRDefault="00454A29"/>
        </w:tc>
        <w:tc>
          <w:tcPr>
            <w:tcW w:w="1701" w:type="dxa"/>
            <w:vAlign w:val="center"/>
          </w:tcPr>
          <w:p w14:paraId="5A833F19" w14:textId="77777777" w:rsidR="00454A29" w:rsidRDefault="00454A29">
            <w:pPr>
              <w:pStyle w:val="ConsPlusNormal"/>
              <w:jc w:val="center"/>
            </w:pPr>
            <w:r>
              <w:t>2026</w:t>
            </w:r>
          </w:p>
        </w:tc>
        <w:tc>
          <w:tcPr>
            <w:tcW w:w="1417" w:type="dxa"/>
            <w:vMerge/>
          </w:tcPr>
          <w:p w14:paraId="78187852" w14:textId="77777777" w:rsidR="00454A29" w:rsidRDefault="00454A29"/>
        </w:tc>
        <w:tc>
          <w:tcPr>
            <w:tcW w:w="2204" w:type="dxa"/>
            <w:vMerge/>
          </w:tcPr>
          <w:p w14:paraId="5DCCE49D" w14:textId="77777777" w:rsidR="00454A29" w:rsidRDefault="00454A29"/>
        </w:tc>
        <w:tc>
          <w:tcPr>
            <w:tcW w:w="1417" w:type="dxa"/>
            <w:vMerge/>
          </w:tcPr>
          <w:p w14:paraId="186B3A92" w14:textId="77777777" w:rsidR="00454A29" w:rsidRDefault="00454A29"/>
        </w:tc>
        <w:tc>
          <w:tcPr>
            <w:tcW w:w="2324" w:type="dxa"/>
            <w:vMerge/>
          </w:tcPr>
          <w:p w14:paraId="64B2BD37" w14:textId="77777777" w:rsidR="00454A29" w:rsidRDefault="00454A29"/>
        </w:tc>
        <w:tc>
          <w:tcPr>
            <w:tcW w:w="1701" w:type="dxa"/>
            <w:vAlign w:val="center"/>
          </w:tcPr>
          <w:p w14:paraId="3811E071" w14:textId="77777777" w:rsidR="00454A29" w:rsidRDefault="00454A29">
            <w:pPr>
              <w:pStyle w:val="ConsPlusNormal"/>
              <w:jc w:val="center"/>
            </w:pPr>
            <w:r>
              <w:t>220 694,71</w:t>
            </w:r>
          </w:p>
        </w:tc>
        <w:tc>
          <w:tcPr>
            <w:tcW w:w="1814" w:type="dxa"/>
            <w:vAlign w:val="center"/>
          </w:tcPr>
          <w:p w14:paraId="20DC1363" w14:textId="77777777" w:rsidR="00454A29" w:rsidRDefault="00454A29">
            <w:pPr>
              <w:pStyle w:val="ConsPlusNormal"/>
              <w:jc w:val="center"/>
            </w:pPr>
            <w:r>
              <w:t>2 718,96</w:t>
            </w:r>
          </w:p>
        </w:tc>
        <w:tc>
          <w:tcPr>
            <w:tcW w:w="1701" w:type="dxa"/>
            <w:vAlign w:val="center"/>
          </w:tcPr>
          <w:p w14:paraId="35E0899E" w14:textId="77777777" w:rsidR="00454A29" w:rsidRDefault="00454A29">
            <w:pPr>
              <w:pStyle w:val="ConsPlusNormal"/>
              <w:jc w:val="center"/>
            </w:pPr>
            <w:r>
              <w:t>269 176,93</w:t>
            </w:r>
          </w:p>
        </w:tc>
        <w:tc>
          <w:tcPr>
            <w:tcW w:w="1701" w:type="dxa"/>
            <w:vAlign w:val="center"/>
          </w:tcPr>
          <w:p w14:paraId="020C4546" w14:textId="77777777" w:rsidR="00454A29" w:rsidRDefault="00454A29">
            <w:pPr>
              <w:pStyle w:val="ConsPlusNormal"/>
            </w:pPr>
          </w:p>
        </w:tc>
        <w:tc>
          <w:tcPr>
            <w:tcW w:w="1814" w:type="dxa"/>
            <w:vAlign w:val="center"/>
          </w:tcPr>
          <w:p w14:paraId="2BCA3DDC" w14:textId="77777777" w:rsidR="00454A29" w:rsidRDefault="00454A29">
            <w:pPr>
              <w:pStyle w:val="ConsPlusNormal"/>
            </w:pPr>
          </w:p>
        </w:tc>
      </w:tr>
      <w:tr w:rsidR="00454A29" w14:paraId="2F5B817D" w14:textId="77777777">
        <w:tc>
          <w:tcPr>
            <w:tcW w:w="567" w:type="dxa"/>
            <w:vMerge w:val="restart"/>
            <w:vAlign w:val="center"/>
          </w:tcPr>
          <w:p w14:paraId="7B8854EF" w14:textId="77777777" w:rsidR="00454A29" w:rsidRDefault="00454A29">
            <w:pPr>
              <w:pStyle w:val="ConsPlusNormal"/>
              <w:jc w:val="center"/>
            </w:pPr>
            <w:r>
              <w:t>85</w:t>
            </w:r>
          </w:p>
        </w:tc>
        <w:tc>
          <w:tcPr>
            <w:tcW w:w="3345" w:type="dxa"/>
            <w:vMerge w:val="restart"/>
            <w:vAlign w:val="center"/>
          </w:tcPr>
          <w:p w14:paraId="382F527B" w14:textId="77777777" w:rsidR="00454A29" w:rsidRDefault="00454A29">
            <w:pPr>
              <w:pStyle w:val="ConsPlusNormal"/>
              <w:jc w:val="center"/>
            </w:pPr>
            <w:r>
              <w:t>Школа на 100 учащихся в с. Тумул</w:t>
            </w:r>
          </w:p>
        </w:tc>
        <w:tc>
          <w:tcPr>
            <w:tcW w:w="1701" w:type="dxa"/>
            <w:vAlign w:val="center"/>
          </w:tcPr>
          <w:p w14:paraId="0A7C03B1" w14:textId="77777777" w:rsidR="00454A29" w:rsidRDefault="00454A29">
            <w:pPr>
              <w:pStyle w:val="ConsPlusNormal"/>
              <w:jc w:val="center"/>
            </w:pPr>
            <w:r>
              <w:t>2020 - 2026 годы - всего</w:t>
            </w:r>
          </w:p>
        </w:tc>
        <w:tc>
          <w:tcPr>
            <w:tcW w:w="1417" w:type="dxa"/>
            <w:vMerge w:val="restart"/>
            <w:vAlign w:val="center"/>
          </w:tcPr>
          <w:p w14:paraId="52A649F5" w14:textId="77777777" w:rsidR="00454A29" w:rsidRDefault="00454A29">
            <w:pPr>
              <w:pStyle w:val="ConsPlusNormal"/>
              <w:jc w:val="center"/>
            </w:pPr>
            <w:r>
              <w:t>367 824,52</w:t>
            </w:r>
          </w:p>
        </w:tc>
        <w:tc>
          <w:tcPr>
            <w:tcW w:w="2204" w:type="dxa"/>
            <w:vMerge w:val="restart"/>
            <w:vAlign w:val="center"/>
          </w:tcPr>
          <w:p w14:paraId="50701FBC" w14:textId="77777777" w:rsidR="00454A29" w:rsidRDefault="00454A29">
            <w:pPr>
              <w:pStyle w:val="ConsPlusNormal"/>
            </w:pPr>
          </w:p>
        </w:tc>
        <w:tc>
          <w:tcPr>
            <w:tcW w:w="1417" w:type="dxa"/>
            <w:vMerge w:val="restart"/>
            <w:vAlign w:val="center"/>
          </w:tcPr>
          <w:p w14:paraId="787E4011" w14:textId="77777777" w:rsidR="00454A29" w:rsidRDefault="00454A29">
            <w:pPr>
              <w:pStyle w:val="ConsPlusNormal"/>
              <w:jc w:val="center"/>
            </w:pPr>
            <w:r>
              <w:t>100</w:t>
            </w:r>
          </w:p>
        </w:tc>
        <w:tc>
          <w:tcPr>
            <w:tcW w:w="2324" w:type="dxa"/>
            <w:vMerge w:val="restart"/>
            <w:vAlign w:val="center"/>
          </w:tcPr>
          <w:p w14:paraId="1E6CC50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DCFC3A9" w14:textId="77777777" w:rsidR="00454A29" w:rsidRDefault="00454A29">
            <w:pPr>
              <w:pStyle w:val="ConsPlusNormal"/>
              <w:jc w:val="center"/>
            </w:pPr>
            <w:r>
              <w:t>367 824,52</w:t>
            </w:r>
          </w:p>
        </w:tc>
        <w:tc>
          <w:tcPr>
            <w:tcW w:w="1814" w:type="dxa"/>
            <w:vAlign w:val="center"/>
          </w:tcPr>
          <w:p w14:paraId="3691F89F" w14:textId="77777777" w:rsidR="00454A29" w:rsidRDefault="00454A29">
            <w:pPr>
              <w:pStyle w:val="ConsPlusNormal"/>
              <w:jc w:val="center"/>
            </w:pPr>
            <w:r>
              <w:t>4 652,98</w:t>
            </w:r>
          </w:p>
        </w:tc>
        <w:tc>
          <w:tcPr>
            <w:tcW w:w="1701" w:type="dxa"/>
            <w:vAlign w:val="center"/>
          </w:tcPr>
          <w:p w14:paraId="18FBB784" w14:textId="77777777" w:rsidR="00454A29" w:rsidRDefault="00454A29">
            <w:pPr>
              <w:pStyle w:val="ConsPlusNormal"/>
              <w:jc w:val="center"/>
            </w:pPr>
            <w:r>
              <w:t>460 645,04</w:t>
            </w:r>
          </w:p>
        </w:tc>
        <w:tc>
          <w:tcPr>
            <w:tcW w:w="1701" w:type="dxa"/>
            <w:vAlign w:val="center"/>
          </w:tcPr>
          <w:p w14:paraId="0BBC0EEF" w14:textId="77777777" w:rsidR="00454A29" w:rsidRDefault="00454A29">
            <w:pPr>
              <w:pStyle w:val="ConsPlusNormal"/>
              <w:jc w:val="center"/>
            </w:pPr>
            <w:r>
              <w:t>-</w:t>
            </w:r>
          </w:p>
        </w:tc>
        <w:tc>
          <w:tcPr>
            <w:tcW w:w="1814" w:type="dxa"/>
            <w:vAlign w:val="center"/>
          </w:tcPr>
          <w:p w14:paraId="4895A158" w14:textId="77777777" w:rsidR="00454A29" w:rsidRDefault="00454A29">
            <w:pPr>
              <w:pStyle w:val="ConsPlusNormal"/>
              <w:jc w:val="center"/>
            </w:pPr>
            <w:r>
              <w:t>-</w:t>
            </w:r>
          </w:p>
        </w:tc>
      </w:tr>
      <w:tr w:rsidR="00454A29" w14:paraId="66751E06" w14:textId="77777777">
        <w:tc>
          <w:tcPr>
            <w:tcW w:w="567" w:type="dxa"/>
            <w:vMerge/>
          </w:tcPr>
          <w:p w14:paraId="64836E0D" w14:textId="77777777" w:rsidR="00454A29" w:rsidRDefault="00454A29"/>
        </w:tc>
        <w:tc>
          <w:tcPr>
            <w:tcW w:w="3345" w:type="dxa"/>
            <w:vMerge/>
          </w:tcPr>
          <w:p w14:paraId="2121DA2B" w14:textId="77777777" w:rsidR="00454A29" w:rsidRDefault="00454A29"/>
        </w:tc>
        <w:tc>
          <w:tcPr>
            <w:tcW w:w="1701" w:type="dxa"/>
            <w:vAlign w:val="center"/>
          </w:tcPr>
          <w:p w14:paraId="2ABB5740" w14:textId="77777777" w:rsidR="00454A29" w:rsidRDefault="00454A29">
            <w:pPr>
              <w:pStyle w:val="ConsPlusNormal"/>
              <w:jc w:val="center"/>
            </w:pPr>
            <w:r>
              <w:t>2020</w:t>
            </w:r>
          </w:p>
        </w:tc>
        <w:tc>
          <w:tcPr>
            <w:tcW w:w="1417" w:type="dxa"/>
            <w:vMerge/>
          </w:tcPr>
          <w:p w14:paraId="700EEB7E" w14:textId="77777777" w:rsidR="00454A29" w:rsidRDefault="00454A29"/>
        </w:tc>
        <w:tc>
          <w:tcPr>
            <w:tcW w:w="2204" w:type="dxa"/>
            <w:vMerge/>
          </w:tcPr>
          <w:p w14:paraId="076D384A" w14:textId="77777777" w:rsidR="00454A29" w:rsidRDefault="00454A29"/>
        </w:tc>
        <w:tc>
          <w:tcPr>
            <w:tcW w:w="1417" w:type="dxa"/>
            <w:vMerge/>
          </w:tcPr>
          <w:p w14:paraId="04151793" w14:textId="77777777" w:rsidR="00454A29" w:rsidRDefault="00454A29"/>
        </w:tc>
        <w:tc>
          <w:tcPr>
            <w:tcW w:w="2324" w:type="dxa"/>
            <w:vMerge/>
          </w:tcPr>
          <w:p w14:paraId="383607B8" w14:textId="77777777" w:rsidR="00454A29" w:rsidRDefault="00454A29"/>
        </w:tc>
        <w:tc>
          <w:tcPr>
            <w:tcW w:w="1701" w:type="dxa"/>
            <w:vAlign w:val="center"/>
          </w:tcPr>
          <w:p w14:paraId="0BD2E2DB" w14:textId="77777777" w:rsidR="00454A29" w:rsidRDefault="00454A29">
            <w:pPr>
              <w:pStyle w:val="ConsPlusNormal"/>
            </w:pPr>
          </w:p>
        </w:tc>
        <w:tc>
          <w:tcPr>
            <w:tcW w:w="1814" w:type="dxa"/>
            <w:vAlign w:val="center"/>
          </w:tcPr>
          <w:p w14:paraId="3455AA33" w14:textId="77777777" w:rsidR="00454A29" w:rsidRDefault="00454A29">
            <w:pPr>
              <w:pStyle w:val="ConsPlusNormal"/>
            </w:pPr>
          </w:p>
        </w:tc>
        <w:tc>
          <w:tcPr>
            <w:tcW w:w="1701" w:type="dxa"/>
            <w:vAlign w:val="center"/>
          </w:tcPr>
          <w:p w14:paraId="556F3AAC" w14:textId="77777777" w:rsidR="00454A29" w:rsidRDefault="00454A29">
            <w:pPr>
              <w:pStyle w:val="ConsPlusNormal"/>
            </w:pPr>
          </w:p>
        </w:tc>
        <w:tc>
          <w:tcPr>
            <w:tcW w:w="1701" w:type="dxa"/>
            <w:vAlign w:val="center"/>
          </w:tcPr>
          <w:p w14:paraId="272AB1A7" w14:textId="77777777" w:rsidR="00454A29" w:rsidRDefault="00454A29">
            <w:pPr>
              <w:pStyle w:val="ConsPlusNormal"/>
            </w:pPr>
          </w:p>
        </w:tc>
        <w:tc>
          <w:tcPr>
            <w:tcW w:w="1814" w:type="dxa"/>
            <w:vAlign w:val="center"/>
          </w:tcPr>
          <w:p w14:paraId="2BEE0CFD" w14:textId="77777777" w:rsidR="00454A29" w:rsidRDefault="00454A29">
            <w:pPr>
              <w:pStyle w:val="ConsPlusNormal"/>
            </w:pPr>
          </w:p>
        </w:tc>
      </w:tr>
      <w:tr w:rsidR="00454A29" w14:paraId="48A79159" w14:textId="77777777">
        <w:tc>
          <w:tcPr>
            <w:tcW w:w="567" w:type="dxa"/>
            <w:vMerge/>
          </w:tcPr>
          <w:p w14:paraId="360DBD66" w14:textId="77777777" w:rsidR="00454A29" w:rsidRDefault="00454A29"/>
        </w:tc>
        <w:tc>
          <w:tcPr>
            <w:tcW w:w="3345" w:type="dxa"/>
            <w:vMerge/>
          </w:tcPr>
          <w:p w14:paraId="4827B723" w14:textId="77777777" w:rsidR="00454A29" w:rsidRDefault="00454A29"/>
        </w:tc>
        <w:tc>
          <w:tcPr>
            <w:tcW w:w="1701" w:type="dxa"/>
            <w:vAlign w:val="center"/>
          </w:tcPr>
          <w:p w14:paraId="36A9A5B0" w14:textId="77777777" w:rsidR="00454A29" w:rsidRDefault="00454A29">
            <w:pPr>
              <w:pStyle w:val="ConsPlusNormal"/>
              <w:jc w:val="center"/>
            </w:pPr>
            <w:r>
              <w:t>2021</w:t>
            </w:r>
          </w:p>
        </w:tc>
        <w:tc>
          <w:tcPr>
            <w:tcW w:w="1417" w:type="dxa"/>
            <w:vMerge/>
          </w:tcPr>
          <w:p w14:paraId="254620F6" w14:textId="77777777" w:rsidR="00454A29" w:rsidRDefault="00454A29"/>
        </w:tc>
        <w:tc>
          <w:tcPr>
            <w:tcW w:w="2204" w:type="dxa"/>
            <w:vMerge/>
          </w:tcPr>
          <w:p w14:paraId="0E6B56E9" w14:textId="77777777" w:rsidR="00454A29" w:rsidRDefault="00454A29"/>
        </w:tc>
        <w:tc>
          <w:tcPr>
            <w:tcW w:w="1417" w:type="dxa"/>
            <w:vMerge/>
          </w:tcPr>
          <w:p w14:paraId="46F1DE71" w14:textId="77777777" w:rsidR="00454A29" w:rsidRDefault="00454A29"/>
        </w:tc>
        <w:tc>
          <w:tcPr>
            <w:tcW w:w="2324" w:type="dxa"/>
            <w:vMerge/>
          </w:tcPr>
          <w:p w14:paraId="47EF7EED" w14:textId="77777777" w:rsidR="00454A29" w:rsidRDefault="00454A29"/>
        </w:tc>
        <w:tc>
          <w:tcPr>
            <w:tcW w:w="1701" w:type="dxa"/>
            <w:vAlign w:val="center"/>
          </w:tcPr>
          <w:p w14:paraId="49E516D3" w14:textId="77777777" w:rsidR="00454A29" w:rsidRDefault="00454A29">
            <w:pPr>
              <w:pStyle w:val="ConsPlusNormal"/>
            </w:pPr>
          </w:p>
        </w:tc>
        <w:tc>
          <w:tcPr>
            <w:tcW w:w="1814" w:type="dxa"/>
            <w:vAlign w:val="center"/>
          </w:tcPr>
          <w:p w14:paraId="74A9767D" w14:textId="77777777" w:rsidR="00454A29" w:rsidRDefault="00454A29">
            <w:pPr>
              <w:pStyle w:val="ConsPlusNormal"/>
            </w:pPr>
          </w:p>
        </w:tc>
        <w:tc>
          <w:tcPr>
            <w:tcW w:w="1701" w:type="dxa"/>
            <w:vAlign w:val="center"/>
          </w:tcPr>
          <w:p w14:paraId="24339173" w14:textId="77777777" w:rsidR="00454A29" w:rsidRDefault="00454A29">
            <w:pPr>
              <w:pStyle w:val="ConsPlusNormal"/>
            </w:pPr>
          </w:p>
        </w:tc>
        <w:tc>
          <w:tcPr>
            <w:tcW w:w="1701" w:type="dxa"/>
            <w:vAlign w:val="center"/>
          </w:tcPr>
          <w:p w14:paraId="695F9BF4" w14:textId="77777777" w:rsidR="00454A29" w:rsidRDefault="00454A29">
            <w:pPr>
              <w:pStyle w:val="ConsPlusNormal"/>
            </w:pPr>
          </w:p>
        </w:tc>
        <w:tc>
          <w:tcPr>
            <w:tcW w:w="1814" w:type="dxa"/>
            <w:vAlign w:val="center"/>
          </w:tcPr>
          <w:p w14:paraId="13EEBBCE" w14:textId="77777777" w:rsidR="00454A29" w:rsidRDefault="00454A29">
            <w:pPr>
              <w:pStyle w:val="ConsPlusNormal"/>
            </w:pPr>
          </w:p>
        </w:tc>
      </w:tr>
      <w:tr w:rsidR="00454A29" w14:paraId="3EBA92F0" w14:textId="77777777">
        <w:tc>
          <w:tcPr>
            <w:tcW w:w="567" w:type="dxa"/>
            <w:vMerge/>
          </w:tcPr>
          <w:p w14:paraId="5F7FD00F" w14:textId="77777777" w:rsidR="00454A29" w:rsidRDefault="00454A29"/>
        </w:tc>
        <w:tc>
          <w:tcPr>
            <w:tcW w:w="3345" w:type="dxa"/>
            <w:vMerge/>
          </w:tcPr>
          <w:p w14:paraId="455DA94A" w14:textId="77777777" w:rsidR="00454A29" w:rsidRDefault="00454A29"/>
        </w:tc>
        <w:tc>
          <w:tcPr>
            <w:tcW w:w="1701" w:type="dxa"/>
            <w:vAlign w:val="center"/>
          </w:tcPr>
          <w:p w14:paraId="35344D8E" w14:textId="77777777" w:rsidR="00454A29" w:rsidRDefault="00454A29">
            <w:pPr>
              <w:pStyle w:val="ConsPlusNormal"/>
              <w:jc w:val="center"/>
            </w:pPr>
            <w:r>
              <w:t>2022</w:t>
            </w:r>
          </w:p>
        </w:tc>
        <w:tc>
          <w:tcPr>
            <w:tcW w:w="1417" w:type="dxa"/>
            <w:vMerge/>
          </w:tcPr>
          <w:p w14:paraId="329019FA" w14:textId="77777777" w:rsidR="00454A29" w:rsidRDefault="00454A29"/>
        </w:tc>
        <w:tc>
          <w:tcPr>
            <w:tcW w:w="2204" w:type="dxa"/>
            <w:vMerge/>
          </w:tcPr>
          <w:p w14:paraId="5D415A0B" w14:textId="77777777" w:rsidR="00454A29" w:rsidRDefault="00454A29"/>
        </w:tc>
        <w:tc>
          <w:tcPr>
            <w:tcW w:w="1417" w:type="dxa"/>
            <w:vMerge/>
          </w:tcPr>
          <w:p w14:paraId="2F284A1D" w14:textId="77777777" w:rsidR="00454A29" w:rsidRDefault="00454A29"/>
        </w:tc>
        <w:tc>
          <w:tcPr>
            <w:tcW w:w="2324" w:type="dxa"/>
            <w:vMerge/>
          </w:tcPr>
          <w:p w14:paraId="37B00683" w14:textId="77777777" w:rsidR="00454A29" w:rsidRDefault="00454A29"/>
        </w:tc>
        <w:tc>
          <w:tcPr>
            <w:tcW w:w="1701" w:type="dxa"/>
            <w:vAlign w:val="center"/>
          </w:tcPr>
          <w:p w14:paraId="76F6B078" w14:textId="77777777" w:rsidR="00454A29" w:rsidRDefault="00454A29">
            <w:pPr>
              <w:pStyle w:val="ConsPlusNormal"/>
            </w:pPr>
          </w:p>
        </w:tc>
        <w:tc>
          <w:tcPr>
            <w:tcW w:w="1814" w:type="dxa"/>
            <w:vAlign w:val="center"/>
          </w:tcPr>
          <w:p w14:paraId="70DCE679" w14:textId="77777777" w:rsidR="00454A29" w:rsidRDefault="00454A29">
            <w:pPr>
              <w:pStyle w:val="ConsPlusNormal"/>
            </w:pPr>
          </w:p>
        </w:tc>
        <w:tc>
          <w:tcPr>
            <w:tcW w:w="1701" w:type="dxa"/>
            <w:vAlign w:val="center"/>
          </w:tcPr>
          <w:p w14:paraId="6582ABF6" w14:textId="77777777" w:rsidR="00454A29" w:rsidRDefault="00454A29">
            <w:pPr>
              <w:pStyle w:val="ConsPlusNormal"/>
            </w:pPr>
          </w:p>
        </w:tc>
        <w:tc>
          <w:tcPr>
            <w:tcW w:w="1701" w:type="dxa"/>
            <w:vAlign w:val="center"/>
          </w:tcPr>
          <w:p w14:paraId="610BEDE2" w14:textId="77777777" w:rsidR="00454A29" w:rsidRDefault="00454A29">
            <w:pPr>
              <w:pStyle w:val="ConsPlusNormal"/>
            </w:pPr>
          </w:p>
        </w:tc>
        <w:tc>
          <w:tcPr>
            <w:tcW w:w="1814" w:type="dxa"/>
            <w:vAlign w:val="center"/>
          </w:tcPr>
          <w:p w14:paraId="21B1D810" w14:textId="77777777" w:rsidR="00454A29" w:rsidRDefault="00454A29">
            <w:pPr>
              <w:pStyle w:val="ConsPlusNormal"/>
            </w:pPr>
          </w:p>
        </w:tc>
      </w:tr>
      <w:tr w:rsidR="00454A29" w14:paraId="220805D9" w14:textId="77777777">
        <w:tc>
          <w:tcPr>
            <w:tcW w:w="567" w:type="dxa"/>
            <w:vMerge/>
          </w:tcPr>
          <w:p w14:paraId="16A3D2B6" w14:textId="77777777" w:rsidR="00454A29" w:rsidRDefault="00454A29"/>
        </w:tc>
        <w:tc>
          <w:tcPr>
            <w:tcW w:w="3345" w:type="dxa"/>
            <w:vMerge/>
          </w:tcPr>
          <w:p w14:paraId="25D75B92" w14:textId="77777777" w:rsidR="00454A29" w:rsidRDefault="00454A29"/>
        </w:tc>
        <w:tc>
          <w:tcPr>
            <w:tcW w:w="1701" w:type="dxa"/>
            <w:vAlign w:val="center"/>
          </w:tcPr>
          <w:p w14:paraId="51E0C681" w14:textId="77777777" w:rsidR="00454A29" w:rsidRDefault="00454A29">
            <w:pPr>
              <w:pStyle w:val="ConsPlusNormal"/>
              <w:jc w:val="center"/>
            </w:pPr>
            <w:r>
              <w:t>2023</w:t>
            </w:r>
          </w:p>
        </w:tc>
        <w:tc>
          <w:tcPr>
            <w:tcW w:w="1417" w:type="dxa"/>
            <w:vMerge/>
          </w:tcPr>
          <w:p w14:paraId="372C343B" w14:textId="77777777" w:rsidR="00454A29" w:rsidRDefault="00454A29"/>
        </w:tc>
        <w:tc>
          <w:tcPr>
            <w:tcW w:w="2204" w:type="dxa"/>
            <w:vMerge/>
          </w:tcPr>
          <w:p w14:paraId="35DC8E75" w14:textId="77777777" w:rsidR="00454A29" w:rsidRDefault="00454A29"/>
        </w:tc>
        <w:tc>
          <w:tcPr>
            <w:tcW w:w="1417" w:type="dxa"/>
            <w:vMerge/>
          </w:tcPr>
          <w:p w14:paraId="6951DBDE" w14:textId="77777777" w:rsidR="00454A29" w:rsidRDefault="00454A29"/>
        </w:tc>
        <w:tc>
          <w:tcPr>
            <w:tcW w:w="2324" w:type="dxa"/>
            <w:vMerge/>
          </w:tcPr>
          <w:p w14:paraId="046CCACA" w14:textId="77777777" w:rsidR="00454A29" w:rsidRDefault="00454A29"/>
        </w:tc>
        <w:tc>
          <w:tcPr>
            <w:tcW w:w="1701" w:type="dxa"/>
            <w:vAlign w:val="center"/>
          </w:tcPr>
          <w:p w14:paraId="5CAC5384" w14:textId="77777777" w:rsidR="00454A29" w:rsidRDefault="00454A29">
            <w:pPr>
              <w:pStyle w:val="ConsPlusNormal"/>
            </w:pPr>
          </w:p>
        </w:tc>
        <w:tc>
          <w:tcPr>
            <w:tcW w:w="1814" w:type="dxa"/>
            <w:vAlign w:val="center"/>
          </w:tcPr>
          <w:p w14:paraId="5A0CC844" w14:textId="77777777" w:rsidR="00454A29" w:rsidRDefault="00454A29">
            <w:pPr>
              <w:pStyle w:val="ConsPlusNormal"/>
            </w:pPr>
          </w:p>
        </w:tc>
        <w:tc>
          <w:tcPr>
            <w:tcW w:w="1701" w:type="dxa"/>
            <w:vAlign w:val="center"/>
          </w:tcPr>
          <w:p w14:paraId="376BC653" w14:textId="77777777" w:rsidR="00454A29" w:rsidRDefault="00454A29">
            <w:pPr>
              <w:pStyle w:val="ConsPlusNormal"/>
            </w:pPr>
          </w:p>
        </w:tc>
        <w:tc>
          <w:tcPr>
            <w:tcW w:w="1701" w:type="dxa"/>
            <w:vAlign w:val="center"/>
          </w:tcPr>
          <w:p w14:paraId="3CA42E07" w14:textId="77777777" w:rsidR="00454A29" w:rsidRDefault="00454A29">
            <w:pPr>
              <w:pStyle w:val="ConsPlusNormal"/>
            </w:pPr>
          </w:p>
        </w:tc>
        <w:tc>
          <w:tcPr>
            <w:tcW w:w="1814" w:type="dxa"/>
            <w:vAlign w:val="center"/>
          </w:tcPr>
          <w:p w14:paraId="01868E26" w14:textId="77777777" w:rsidR="00454A29" w:rsidRDefault="00454A29">
            <w:pPr>
              <w:pStyle w:val="ConsPlusNormal"/>
            </w:pPr>
          </w:p>
        </w:tc>
      </w:tr>
      <w:tr w:rsidR="00454A29" w14:paraId="2B673269" w14:textId="77777777">
        <w:tc>
          <w:tcPr>
            <w:tcW w:w="567" w:type="dxa"/>
            <w:vMerge/>
          </w:tcPr>
          <w:p w14:paraId="28D51899" w14:textId="77777777" w:rsidR="00454A29" w:rsidRDefault="00454A29"/>
        </w:tc>
        <w:tc>
          <w:tcPr>
            <w:tcW w:w="3345" w:type="dxa"/>
            <w:vMerge/>
          </w:tcPr>
          <w:p w14:paraId="121D5E7E" w14:textId="77777777" w:rsidR="00454A29" w:rsidRDefault="00454A29"/>
        </w:tc>
        <w:tc>
          <w:tcPr>
            <w:tcW w:w="1701" w:type="dxa"/>
            <w:vAlign w:val="center"/>
          </w:tcPr>
          <w:p w14:paraId="0BBECCC0" w14:textId="77777777" w:rsidR="00454A29" w:rsidRDefault="00454A29">
            <w:pPr>
              <w:pStyle w:val="ConsPlusNormal"/>
              <w:jc w:val="center"/>
            </w:pPr>
            <w:r>
              <w:t>2024</w:t>
            </w:r>
          </w:p>
        </w:tc>
        <w:tc>
          <w:tcPr>
            <w:tcW w:w="1417" w:type="dxa"/>
            <w:vMerge/>
          </w:tcPr>
          <w:p w14:paraId="31C189BA" w14:textId="77777777" w:rsidR="00454A29" w:rsidRDefault="00454A29"/>
        </w:tc>
        <w:tc>
          <w:tcPr>
            <w:tcW w:w="2204" w:type="dxa"/>
            <w:vMerge/>
          </w:tcPr>
          <w:p w14:paraId="68CD6797" w14:textId="77777777" w:rsidR="00454A29" w:rsidRDefault="00454A29"/>
        </w:tc>
        <w:tc>
          <w:tcPr>
            <w:tcW w:w="1417" w:type="dxa"/>
            <w:vMerge/>
          </w:tcPr>
          <w:p w14:paraId="2B0C0B33" w14:textId="77777777" w:rsidR="00454A29" w:rsidRDefault="00454A29"/>
        </w:tc>
        <w:tc>
          <w:tcPr>
            <w:tcW w:w="2324" w:type="dxa"/>
            <w:vMerge/>
          </w:tcPr>
          <w:p w14:paraId="08165E93" w14:textId="77777777" w:rsidR="00454A29" w:rsidRDefault="00454A29"/>
        </w:tc>
        <w:tc>
          <w:tcPr>
            <w:tcW w:w="1701" w:type="dxa"/>
            <w:vAlign w:val="center"/>
          </w:tcPr>
          <w:p w14:paraId="5D36E5F9" w14:textId="77777777" w:rsidR="00454A29" w:rsidRDefault="00454A29">
            <w:pPr>
              <w:pStyle w:val="ConsPlusNormal"/>
              <w:jc w:val="center"/>
            </w:pPr>
            <w:r>
              <w:t>-</w:t>
            </w:r>
          </w:p>
        </w:tc>
        <w:tc>
          <w:tcPr>
            <w:tcW w:w="1814" w:type="dxa"/>
            <w:vAlign w:val="center"/>
          </w:tcPr>
          <w:p w14:paraId="1E21609E" w14:textId="77777777" w:rsidR="00454A29" w:rsidRDefault="00454A29">
            <w:pPr>
              <w:pStyle w:val="ConsPlusNormal"/>
            </w:pPr>
          </w:p>
        </w:tc>
        <w:tc>
          <w:tcPr>
            <w:tcW w:w="1701" w:type="dxa"/>
            <w:vAlign w:val="center"/>
          </w:tcPr>
          <w:p w14:paraId="01845B1A" w14:textId="77777777" w:rsidR="00454A29" w:rsidRDefault="00454A29">
            <w:pPr>
              <w:pStyle w:val="ConsPlusNormal"/>
            </w:pPr>
          </w:p>
        </w:tc>
        <w:tc>
          <w:tcPr>
            <w:tcW w:w="1701" w:type="dxa"/>
            <w:vAlign w:val="center"/>
          </w:tcPr>
          <w:p w14:paraId="4DA7B5C8" w14:textId="77777777" w:rsidR="00454A29" w:rsidRDefault="00454A29">
            <w:pPr>
              <w:pStyle w:val="ConsPlusNormal"/>
            </w:pPr>
          </w:p>
        </w:tc>
        <w:tc>
          <w:tcPr>
            <w:tcW w:w="1814" w:type="dxa"/>
            <w:vAlign w:val="center"/>
          </w:tcPr>
          <w:p w14:paraId="35F5A27C" w14:textId="77777777" w:rsidR="00454A29" w:rsidRDefault="00454A29">
            <w:pPr>
              <w:pStyle w:val="ConsPlusNormal"/>
            </w:pPr>
          </w:p>
        </w:tc>
      </w:tr>
      <w:tr w:rsidR="00454A29" w14:paraId="4A3150D2" w14:textId="77777777">
        <w:tc>
          <w:tcPr>
            <w:tcW w:w="567" w:type="dxa"/>
            <w:vMerge/>
          </w:tcPr>
          <w:p w14:paraId="3105A4F0" w14:textId="77777777" w:rsidR="00454A29" w:rsidRDefault="00454A29"/>
        </w:tc>
        <w:tc>
          <w:tcPr>
            <w:tcW w:w="3345" w:type="dxa"/>
            <w:vMerge/>
          </w:tcPr>
          <w:p w14:paraId="409546E8" w14:textId="77777777" w:rsidR="00454A29" w:rsidRDefault="00454A29"/>
        </w:tc>
        <w:tc>
          <w:tcPr>
            <w:tcW w:w="1701" w:type="dxa"/>
            <w:vAlign w:val="center"/>
          </w:tcPr>
          <w:p w14:paraId="39CE0334" w14:textId="77777777" w:rsidR="00454A29" w:rsidRDefault="00454A29">
            <w:pPr>
              <w:pStyle w:val="ConsPlusNormal"/>
              <w:jc w:val="center"/>
            </w:pPr>
            <w:r>
              <w:t>2025</w:t>
            </w:r>
          </w:p>
        </w:tc>
        <w:tc>
          <w:tcPr>
            <w:tcW w:w="1417" w:type="dxa"/>
            <w:vMerge/>
          </w:tcPr>
          <w:p w14:paraId="2F5DC253" w14:textId="77777777" w:rsidR="00454A29" w:rsidRDefault="00454A29"/>
        </w:tc>
        <w:tc>
          <w:tcPr>
            <w:tcW w:w="2204" w:type="dxa"/>
            <w:vMerge/>
          </w:tcPr>
          <w:p w14:paraId="3AF4BB3A" w14:textId="77777777" w:rsidR="00454A29" w:rsidRDefault="00454A29"/>
        </w:tc>
        <w:tc>
          <w:tcPr>
            <w:tcW w:w="1417" w:type="dxa"/>
            <w:vMerge/>
          </w:tcPr>
          <w:p w14:paraId="59BF6813" w14:textId="77777777" w:rsidR="00454A29" w:rsidRDefault="00454A29"/>
        </w:tc>
        <w:tc>
          <w:tcPr>
            <w:tcW w:w="2324" w:type="dxa"/>
            <w:vMerge/>
          </w:tcPr>
          <w:p w14:paraId="1F089019" w14:textId="77777777" w:rsidR="00454A29" w:rsidRDefault="00454A29"/>
        </w:tc>
        <w:tc>
          <w:tcPr>
            <w:tcW w:w="1701" w:type="dxa"/>
            <w:vAlign w:val="center"/>
          </w:tcPr>
          <w:p w14:paraId="268CD7D7" w14:textId="77777777" w:rsidR="00454A29" w:rsidRDefault="00454A29">
            <w:pPr>
              <w:pStyle w:val="ConsPlusNormal"/>
              <w:jc w:val="center"/>
            </w:pPr>
            <w:r>
              <w:t>367 824,52</w:t>
            </w:r>
          </w:p>
        </w:tc>
        <w:tc>
          <w:tcPr>
            <w:tcW w:w="1814" w:type="dxa"/>
            <w:vAlign w:val="center"/>
          </w:tcPr>
          <w:p w14:paraId="044114E5" w14:textId="77777777" w:rsidR="00454A29" w:rsidRDefault="00454A29">
            <w:pPr>
              <w:pStyle w:val="ConsPlusNormal"/>
              <w:jc w:val="center"/>
            </w:pPr>
            <w:r>
              <w:t>4 652,98</w:t>
            </w:r>
          </w:p>
        </w:tc>
        <w:tc>
          <w:tcPr>
            <w:tcW w:w="1701" w:type="dxa"/>
            <w:vAlign w:val="center"/>
          </w:tcPr>
          <w:p w14:paraId="4FCB5B19" w14:textId="77777777" w:rsidR="00454A29" w:rsidRDefault="00454A29">
            <w:pPr>
              <w:pStyle w:val="ConsPlusNormal"/>
              <w:jc w:val="center"/>
            </w:pPr>
            <w:r>
              <w:t>460 645,04</w:t>
            </w:r>
          </w:p>
        </w:tc>
        <w:tc>
          <w:tcPr>
            <w:tcW w:w="1701" w:type="dxa"/>
            <w:vAlign w:val="center"/>
          </w:tcPr>
          <w:p w14:paraId="4772B9FB" w14:textId="77777777" w:rsidR="00454A29" w:rsidRDefault="00454A29">
            <w:pPr>
              <w:pStyle w:val="ConsPlusNormal"/>
            </w:pPr>
          </w:p>
        </w:tc>
        <w:tc>
          <w:tcPr>
            <w:tcW w:w="1814" w:type="dxa"/>
            <w:vAlign w:val="center"/>
          </w:tcPr>
          <w:p w14:paraId="17559B3E" w14:textId="77777777" w:rsidR="00454A29" w:rsidRDefault="00454A29">
            <w:pPr>
              <w:pStyle w:val="ConsPlusNormal"/>
            </w:pPr>
          </w:p>
        </w:tc>
      </w:tr>
      <w:tr w:rsidR="00454A29" w14:paraId="31A6D81A" w14:textId="77777777">
        <w:tc>
          <w:tcPr>
            <w:tcW w:w="567" w:type="dxa"/>
            <w:vMerge/>
          </w:tcPr>
          <w:p w14:paraId="60F66413" w14:textId="77777777" w:rsidR="00454A29" w:rsidRDefault="00454A29"/>
        </w:tc>
        <w:tc>
          <w:tcPr>
            <w:tcW w:w="3345" w:type="dxa"/>
            <w:vMerge/>
          </w:tcPr>
          <w:p w14:paraId="676A1A4C" w14:textId="77777777" w:rsidR="00454A29" w:rsidRDefault="00454A29"/>
        </w:tc>
        <w:tc>
          <w:tcPr>
            <w:tcW w:w="1701" w:type="dxa"/>
            <w:vAlign w:val="center"/>
          </w:tcPr>
          <w:p w14:paraId="6C7FB6F0" w14:textId="77777777" w:rsidR="00454A29" w:rsidRDefault="00454A29">
            <w:pPr>
              <w:pStyle w:val="ConsPlusNormal"/>
              <w:jc w:val="center"/>
            </w:pPr>
            <w:r>
              <w:t>2026</w:t>
            </w:r>
          </w:p>
        </w:tc>
        <w:tc>
          <w:tcPr>
            <w:tcW w:w="1417" w:type="dxa"/>
            <w:vMerge/>
          </w:tcPr>
          <w:p w14:paraId="7A9A1383" w14:textId="77777777" w:rsidR="00454A29" w:rsidRDefault="00454A29"/>
        </w:tc>
        <w:tc>
          <w:tcPr>
            <w:tcW w:w="2204" w:type="dxa"/>
            <w:vMerge/>
          </w:tcPr>
          <w:p w14:paraId="03EB9263" w14:textId="77777777" w:rsidR="00454A29" w:rsidRDefault="00454A29"/>
        </w:tc>
        <w:tc>
          <w:tcPr>
            <w:tcW w:w="1417" w:type="dxa"/>
            <w:vMerge/>
          </w:tcPr>
          <w:p w14:paraId="7F5B94F0" w14:textId="77777777" w:rsidR="00454A29" w:rsidRDefault="00454A29"/>
        </w:tc>
        <w:tc>
          <w:tcPr>
            <w:tcW w:w="2324" w:type="dxa"/>
            <w:vMerge/>
          </w:tcPr>
          <w:p w14:paraId="776DA522" w14:textId="77777777" w:rsidR="00454A29" w:rsidRDefault="00454A29"/>
        </w:tc>
        <w:tc>
          <w:tcPr>
            <w:tcW w:w="1701" w:type="dxa"/>
            <w:vAlign w:val="center"/>
          </w:tcPr>
          <w:p w14:paraId="4465038F" w14:textId="77777777" w:rsidR="00454A29" w:rsidRDefault="00454A29">
            <w:pPr>
              <w:pStyle w:val="ConsPlusNormal"/>
            </w:pPr>
          </w:p>
        </w:tc>
        <w:tc>
          <w:tcPr>
            <w:tcW w:w="1814" w:type="dxa"/>
            <w:vAlign w:val="center"/>
          </w:tcPr>
          <w:p w14:paraId="724668AD" w14:textId="77777777" w:rsidR="00454A29" w:rsidRDefault="00454A29">
            <w:pPr>
              <w:pStyle w:val="ConsPlusNormal"/>
            </w:pPr>
          </w:p>
        </w:tc>
        <w:tc>
          <w:tcPr>
            <w:tcW w:w="1701" w:type="dxa"/>
            <w:vAlign w:val="center"/>
          </w:tcPr>
          <w:p w14:paraId="122AABFD" w14:textId="77777777" w:rsidR="00454A29" w:rsidRDefault="00454A29">
            <w:pPr>
              <w:pStyle w:val="ConsPlusNormal"/>
            </w:pPr>
          </w:p>
        </w:tc>
        <w:tc>
          <w:tcPr>
            <w:tcW w:w="1701" w:type="dxa"/>
            <w:vAlign w:val="center"/>
          </w:tcPr>
          <w:p w14:paraId="0A14B532" w14:textId="77777777" w:rsidR="00454A29" w:rsidRDefault="00454A29">
            <w:pPr>
              <w:pStyle w:val="ConsPlusNormal"/>
            </w:pPr>
          </w:p>
        </w:tc>
        <w:tc>
          <w:tcPr>
            <w:tcW w:w="1814" w:type="dxa"/>
            <w:vAlign w:val="center"/>
          </w:tcPr>
          <w:p w14:paraId="5778000D" w14:textId="77777777" w:rsidR="00454A29" w:rsidRDefault="00454A29">
            <w:pPr>
              <w:pStyle w:val="ConsPlusNormal"/>
            </w:pPr>
          </w:p>
        </w:tc>
      </w:tr>
      <w:tr w:rsidR="00454A29" w14:paraId="79FE3E10" w14:textId="77777777">
        <w:tc>
          <w:tcPr>
            <w:tcW w:w="567" w:type="dxa"/>
            <w:vMerge w:val="restart"/>
            <w:vAlign w:val="center"/>
          </w:tcPr>
          <w:p w14:paraId="68BD2E11" w14:textId="77777777" w:rsidR="00454A29" w:rsidRDefault="00454A29">
            <w:pPr>
              <w:pStyle w:val="ConsPlusNormal"/>
              <w:jc w:val="center"/>
            </w:pPr>
            <w:r>
              <w:t>86</w:t>
            </w:r>
          </w:p>
        </w:tc>
        <w:tc>
          <w:tcPr>
            <w:tcW w:w="3345" w:type="dxa"/>
            <w:vMerge w:val="restart"/>
            <w:vAlign w:val="center"/>
          </w:tcPr>
          <w:p w14:paraId="3C9D2D19" w14:textId="77777777" w:rsidR="00454A29" w:rsidRDefault="00454A29">
            <w:pPr>
              <w:pStyle w:val="ConsPlusNormal"/>
              <w:jc w:val="center"/>
            </w:pPr>
            <w:r>
              <w:t>Школа на 50 учащихся в с. Булус</w:t>
            </w:r>
          </w:p>
        </w:tc>
        <w:tc>
          <w:tcPr>
            <w:tcW w:w="1701" w:type="dxa"/>
            <w:vAlign w:val="center"/>
          </w:tcPr>
          <w:p w14:paraId="74D7F9A3" w14:textId="77777777" w:rsidR="00454A29" w:rsidRDefault="00454A29">
            <w:pPr>
              <w:pStyle w:val="ConsPlusNormal"/>
              <w:jc w:val="center"/>
            </w:pPr>
            <w:r>
              <w:t>2020 - 2026 годы - всего</w:t>
            </w:r>
          </w:p>
        </w:tc>
        <w:tc>
          <w:tcPr>
            <w:tcW w:w="1417" w:type="dxa"/>
            <w:vMerge w:val="restart"/>
            <w:vAlign w:val="center"/>
          </w:tcPr>
          <w:p w14:paraId="1C90CF17" w14:textId="77777777" w:rsidR="00454A29" w:rsidRDefault="00454A29">
            <w:pPr>
              <w:pStyle w:val="ConsPlusNormal"/>
              <w:jc w:val="center"/>
            </w:pPr>
            <w:r>
              <w:t>183 912,26</w:t>
            </w:r>
          </w:p>
        </w:tc>
        <w:tc>
          <w:tcPr>
            <w:tcW w:w="2204" w:type="dxa"/>
            <w:vMerge w:val="restart"/>
            <w:vAlign w:val="center"/>
          </w:tcPr>
          <w:p w14:paraId="7A6555FB" w14:textId="77777777" w:rsidR="00454A29" w:rsidRDefault="00454A29">
            <w:pPr>
              <w:pStyle w:val="ConsPlusNormal"/>
            </w:pPr>
          </w:p>
        </w:tc>
        <w:tc>
          <w:tcPr>
            <w:tcW w:w="1417" w:type="dxa"/>
            <w:vMerge w:val="restart"/>
            <w:vAlign w:val="center"/>
          </w:tcPr>
          <w:p w14:paraId="1CA079F8" w14:textId="77777777" w:rsidR="00454A29" w:rsidRDefault="00454A29">
            <w:pPr>
              <w:pStyle w:val="ConsPlusNormal"/>
              <w:jc w:val="center"/>
            </w:pPr>
            <w:r>
              <w:t>50</w:t>
            </w:r>
          </w:p>
        </w:tc>
        <w:tc>
          <w:tcPr>
            <w:tcW w:w="2324" w:type="dxa"/>
            <w:vMerge w:val="restart"/>
            <w:vAlign w:val="center"/>
          </w:tcPr>
          <w:p w14:paraId="5373D54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DC9780F" w14:textId="77777777" w:rsidR="00454A29" w:rsidRDefault="00454A29">
            <w:pPr>
              <w:pStyle w:val="ConsPlusNormal"/>
              <w:jc w:val="center"/>
            </w:pPr>
            <w:r>
              <w:t>183 912,26</w:t>
            </w:r>
          </w:p>
        </w:tc>
        <w:tc>
          <w:tcPr>
            <w:tcW w:w="1814" w:type="dxa"/>
            <w:vAlign w:val="center"/>
          </w:tcPr>
          <w:p w14:paraId="550F8F92" w14:textId="77777777" w:rsidR="00454A29" w:rsidRDefault="00454A29">
            <w:pPr>
              <w:pStyle w:val="ConsPlusNormal"/>
              <w:jc w:val="center"/>
            </w:pPr>
            <w:r>
              <w:t>2 265,80</w:t>
            </w:r>
          </w:p>
        </w:tc>
        <w:tc>
          <w:tcPr>
            <w:tcW w:w="1701" w:type="dxa"/>
            <w:vAlign w:val="center"/>
          </w:tcPr>
          <w:p w14:paraId="5103AFC0" w14:textId="77777777" w:rsidR="00454A29" w:rsidRDefault="00454A29">
            <w:pPr>
              <w:pStyle w:val="ConsPlusNormal"/>
              <w:jc w:val="center"/>
            </w:pPr>
            <w:r>
              <w:t>224 314,11</w:t>
            </w:r>
          </w:p>
        </w:tc>
        <w:tc>
          <w:tcPr>
            <w:tcW w:w="1701" w:type="dxa"/>
            <w:vAlign w:val="center"/>
          </w:tcPr>
          <w:p w14:paraId="157A3F2E" w14:textId="77777777" w:rsidR="00454A29" w:rsidRDefault="00454A29">
            <w:pPr>
              <w:pStyle w:val="ConsPlusNormal"/>
              <w:jc w:val="center"/>
            </w:pPr>
            <w:r>
              <w:t>-</w:t>
            </w:r>
          </w:p>
        </w:tc>
        <w:tc>
          <w:tcPr>
            <w:tcW w:w="1814" w:type="dxa"/>
            <w:vAlign w:val="center"/>
          </w:tcPr>
          <w:p w14:paraId="0DD686CE" w14:textId="77777777" w:rsidR="00454A29" w:rsidRDefault="00454A29">
            <w:pPr>
              <w:pStyle w:val="ConsPlusNormal"/>
              <w:jc w:val="center"/>
            </w:pPr>
            <w:r>
              <w:t>-</w:t>
            </w:r>
          </w:p>
        </w:tc>
      </w:tr>
      <w:tr w:rsidR="00454A29" w14:paraId="665F66DC" w14:textId="77777777">
        <w:tc>
          <w:tcPr>
            <w:tcW w:w="567" w:type="dxa"/>
            <w:vMerge/>
          </w:tcPr>
          <w:p w14:paraId="299FD29E" w14:textId="77777777" w:rsidR="00454A29" w:rsidRDefault="00454A29"/>
        </w:tc>
        <w:tc>
          <w:tcPr>
            <w:tcW w:w="3345" w:type="dxa"/>
            <w:vMerge/>
          </w:tcPr>
          <w:p w14:paraId="735FB2F7" w14:textId="77777777" w:rsidR="00454A29" w:rsidRDefault="00454A29"/>
        </w:tc>
        <w:tc>
          <w:tcPr>
            <w:tcW w:w="1701" w:type="dxa"/>
            <w:vAlign w:val="center"/>
          </w:tcPr>
          <w:p w14:paraId="39619715" w14:textId="77777777" w:rsidR="00454A29" w:rsidRDefault="00454A29">
            <w:pPr>
              <w:pStyle w:val="ConsPlusNormal"/>
              <w:jc w:val="center"/>
            </w:pPr>
            <w:r>
              <w:t>2020</w:t>
            </w:r>
          </w:p>
        </w:tc>
        <w:tc>
          <w:tcPr>
            <w:tcW w:w="1417" w:type="dxa"/>
            <w:vMerge/>
          </w:tcPr>
          <w:p w14:paraId="6FEDC316" w14:textId="77777777" w:rsidR="00454A29" w:rsidRDefault="00454A29"/>
        </w:tc>
        <w:tc>
          <w:tcPr>
            <w:tcW w:w="2204" w:type="dxa"/>
            <w:vMerge/>
          </w:tcPr>
          <w:p w14:paraId="0F62279E" w14:textId="77777777" w:rsidR="00454A29" w:rsidRDefault="00454A29"/>
        </w:tc>
        <w:tc>
          <w:tcPr>
            <w:tcW w:w="1417" w:type="dxa"/>
            <w:vMerge/>
          </w:tcPr>
          <w:p w14:paraId="43969F5B" w14:textId="77777777" w:rsidR="00454A29" w:rsidRDefault="00454A29"/>
        </w:tc>
        <w:tc>
          <w:tcPr>
            <w:tcW w:w="2324" w:type="dxa"/>
            <w:vMerge/>
          </w:tcPr>
          <w:p w14:paraId="046C406D" w14:textId="77777777" w:rsidR="00454A29" w:rsidRDefault="00454A29"/>
        </w:tc>
        <w:tc>
          <w:tcPr>
            <w:tcW w:w="1701" w:type="dxa"/>
            <w:vAlign w:val="center"/>
          </w:tcPr>
          <w:p w14:paraId="47F04B52" w14:textId="77777777" w:rsidR="00454A29" w:rsidRDefault="00454A29">
            <w:pPr>
              <w:pStyle w:val="ConsPlusNormal"/>
            </w:pPr>
          </w:p>
        </w:tc>
        <w:tc>
          <w:tcPr>
            <w:tcW w:w="1814" w:type="dxa"/>
            <w:vAlign w:val="center"/>
          </w:tcPr>
          <w:p w14:paraId="68866BB1" w14:textId="77777777" w:rsidR="00454A29" w:rsidRDefault="00454A29">
            <w:pPr>
              <w:pStyle w:val="ConsPlusNormal"/>
            </w:pPr>
          </w:p>
        </w:tc>
        <w:tc>
          <w:tcPr>
            <w:tcW w:w="1701" w:type="dxa"/>
            <w:vAlign w:val="center"/>
          </w:tcPr>
          <w:p w14:paraId="07DE5C84" w14:textId="77777777" w:rsidR="00454A29" w:rsidRDefault="00454A29">
            <w:pPr>
              <w:pStyle w:val="ConsPlusNormal"/>
            </w:pPr>
          </w:p>
        </w:tc>
        <w:tc>
          <w:tcPr>
            <w:tcW w:w="1701" w:type="dxa"/>
            <w:vAlign w:val="center"/>
          </w:tcPr>
          <w:p w14:paraId="788FE70D" w14:textId="77777777" w:rsidR="00454A29" w:rsidRDefault="00454A29">
            <w:pPr>
              <w:pStyle w:val="ConsPlusNormal"/>
            </w:pPr>
          </w:p>
        </w:tc>
        <w:tc>
          <w:tcPr>
            <w:tcW w:w="1814" w:type="dxa"/>
            <w:vAlign w:val="center"/>
          </w:tcPr>
          <w:p w14:paraId="439FD948" w14:textId="77777777" w:rsidR="00454A29" w:rsidRDefault="00454A29">
            <w:pPr>
              <w:pStyle w:val="ConsPlusNormal"/>
            </w:pPr>
          </w:p>
        </w:tc>
      </w:tr>
      <w:tr w:rsidR="00454A29" w14:paraId="7219722E" w14:textId="77777777">
        <w:tc>
          <w:tcPr>
            <w:tcW w:w="567" w:type="dxa"/>
            <w:vMerge/>
          </w:tcPr>
          <w:p w14:paraId="74F9FF9A" w14:textId="77777777" w:rsidR="00454A29" w:rsidRDefault="00454A29"/>
        </w:tc>
        <w:tc>
          <w:tcPr>
            <w:tcW w:w="3345" w:type="dxa"/>
            <w:vMerge/>
          </w:tcPr>
          <w:p w14:paraId="35CFB68D" w14:textId="77777777" w:rsidR="00454A29" w:rsidRDefault="00454A29"/>
        </w:tc>
        <w:tc>
          <w:tcPr>
            <w:tcW w:w="1701" w:type="dxa"/>
            <w:vAlign w:val="center"/>
          </w:tcPr>
          <w:p w14:paraId="7C9AFF95" w14:textId="77777777" w:rsidR="00454A29" w:rsidRDefault="00454A29">
            <w:pPr>
              <w:pStyle w:val="ConsPlusNormal"/>
              <w:jc w:val="center"/>
            </w:pPr>
            <w:r>
              <w:t>2021</w:t>
            </w:r>
          </w:p>
        </w:tc>
        <w:tc>
          <w:tcPr>
            <w:tcW w:w="1417" w:type="dxa"/>
            <w:vMerge/>
          </w:tcPr>
          <w:p w14:paraId="614BF874" w14:textId="77777777" w:rsidR="00454A29" w:rsidRDefault="00454A29"/>
        </w:tc>
        <w:tc>
          <w:tcPr>
            <w:tcW w:w="2204" w:type="dxa"/>
            <w:vMerge/>
          </w:tcPr>
          <w:p w14:paraId="3A8767C3" w14:textId="77777777" w:rsidR="00454A29" w:rsidRDefault="00454A29"/>
        </w:tc>
        <w:tc>
          <w:tcPr>
            <w:tcW w:w="1417" w:type="dxa"/>
            <w:vMerge/>
          </w:tcPr>
          <w:p w14:paraId="77A473B6" w14:textId="77777777" w:rsidR="00454A29" w:rsidRDefault="00454A29"/>
        </w:tc>
        <w:tc>
          <w:tcPr>
            <w:tcW w:w="2324" w:type="dxa"/>
            <w:vMerge/>
          </w:tcPr>
          <w:p w14:paraId="7AF7FF14" w14:textId="77777777" w:rsidR="00454A29" w:rsidRDefault="00454A29"/>
        </w:tc>
        <w:tc>
          <w:tcPr>
            <w:tcW w:w="1701" w:type="dxa"/>
            <w:vAlign w:val="center"/>
          </w:tcPr>
          <w:p w14:paraId="1701AD1C" w14:textId="77777777" w:rsidR="00454A29" w:rsidRDefault="00454A29">
            <w:pPr>
              <w:pStyle w:val="ConsPlusNormal"/>
            </w:pPr>
          </w:p>
        </w:tc>
        <w:tc>
          <w:tcPr>
            <w:tcW w:w="1814" w:type="dxa"/>
            <w:vAlign w:val="center"/>
          </w:tcPr>
          <w:p w14:paraId="365AD4FA" w14:textId="77777777" w:rsidR="00454A29" w:rsidRDefault="00454A29">
            <w:pPr>
              <w:pStyle w:val="ConsPlusNormal"/>
            </w:pPr>
          </w:p>
        </w:tc>
        <w:tc>
          <w:tcPr>
            <w:tcW w:w="1701" w:type="dxa"/>
            <w:vAlign w:val="center"/>
          </w:tcPr>
          <w:p w14:paraId="55A95170" w14:textId="77777777" w:rsidR="00454A29" w:rsidRDefault="00454A29">
            <w:pPr>
              <w:pStyle w:val="ConsPlusNormal"/>
            </w:pPr>
          </w:p>
        </w:tc>
        <w:tc>
          <w:tcPr>
            <w:tcW w:w="1701" w:type="dxa"/>
            <w:vAlign w:val="center"/>
          </w:tcPr>
          <w:p w14:paraId="5BA60EA0" w14:textId="77777777" w:rsidR="00454A29" w:rsidRDefault="00454A29">
            <w:pPr>
              <w:pStyle w:val="ConsPlusNormal"/>
            </w:pPr>
          </w:p>
        </w:tc>
        <w:tc>
          <w:tcPr>
            <w:tcW w:w="1814" w:type="dxa"/>
            <w:vAlign w:val="center"/>
          </w:tcPr>
          <w:p w14:paraId="0C8C0145" w14:textId="77777777" w:rsidR="00454A29" w:rsidRDefault="00454A29">
            <w:pPr>
              <w:pStyle w:val="ConsPlusNormal"/>
            </w:pPr>
          </w:p>
        </w:tc>
      </w:tr>
      <w:tr w:rsidR="00454A29" w14:paraId="2EA1C691" w14:textId="77777777">
        <w:tc>
          <w:tcPr>
            <w:tcW w:w="567" w:type="dxa"/>
            <w:vMerge/>
          </w:tcPr>
          <w:p w14:paraId="553E3ECD" w14:textId="77777777" w:rsidR="00454A29" w:rsidRDefault="00454A29"/>
        </w:tc>
        <w:tc>
          <w:tcPr>
            <w:tcW w:w="3345" w:type="dxa"/>
            <w:vMerge/>
          </w:tcPr>
          <w:p w14:paraId="4FFC347C" w14:textId="77777777" w:rsidR="00454A29" w:rsidRDefault="00454A29"/>
        </w:tc>
        <w:tc>
          <w:tcPr>
            <w:tcW w:w="1701" w:type="dxa"/>
            <w:vAlign w:val="center"/>
          </w:tcPr>
          <w:p w14:paraId="1976561C" w14:textId="77777777" w:rsidR="00454A29" w:rsidRDefault="00454A29">
            <w:pPr>
              <w:pStyle w:val="ConsPlusNormal"/>
              <w:jc w:val="center"/>
            </w:pPr>
            <w:r>
              <w:t>2022</w:t>
            </w:r>
          </w:p>
        </w:tc>
        <w:tc>
          <w:tcPr>
            <w:tcW w:w="1417" w:type="dxa"/>
            <w:vMerge/>
          </w:tcPr>
          <w:p w14:paraId="6BD23A93" w14:textId="77777777" w:rsidR="00454A29" w:rsidRDefault="00454A29"/>
        </w:tc>
        <w:tc>
          <w:tcPr>
            <w:tcW w:w="2204" w:type="dxa"/>
            <w:vMerge/>
          </w:tcPr>
          <w:p w14:paraId="7B1E0166" w14:textId="77777777" w:rsidR="00454A29" w:rsidRDefault="00454A29"/>
        </w:tc>
        <w:tc>
          <w:tcPr>
            <w:tcW w:w="1417" w:type="dxa"/>
            <w:vMerge/>
          </w:tcPr>
          <w:p w14:paraId="4928AAC1" w14:textId="77777777" w:rsidR="00454A29" w:rsidRDefault="00454A29"/>
        </w:tc>
        <w:tc>
          <w:tcPr>
            <w:tcW w:w="2324" w:type="dxa"/>
            <w:vMerge/>
          </w:tcPr>
          <w:p w14:paraId="382B7BF7" w14:textId="77777777" w:rsidR="00454A29" w:rsidRDefault="00454A29"/>
        </w:tc>
        <w:tc>
          <w:tcPr>
            <w:tcW w:w="1701" w:type="dxa"/>
            <w:vAlign w:val="center"/>
          </w:tcPr>
          <w:p w14:paraId="773F8200" w14:textId="77777777" w:rsidR="00454A29" w:rsidRDefault="00454A29">
            <w:pPr>
              <w:pStyle w:val="ConsPlusNormal"/>
            </w:pPr>
          </w:p>
        </w:tc>
        <w:tc>
          <w:tcPr>
            <w:tcW w:w="1814" w:type="dxa"/>
            <w:vAlign w:val="center"/>
          </w:tcPr>
          <w:p w14:paraId="5A6B40F2" w14:textId="77777777" w:rsidR="00454A29" w:rsidRDefault="00454A29">
            <w:pPr>
              <w:pStyle w:val="ConsPlusNormal"/>
            </w:pPr>
          </w:p>
        </w:tc>
        <w:tc>
          <w:tcPr>
            <w:tcW w:w="1701" w:type="dxa"/>
            <w:vAlign w:val="center"/>
          </w:tcPr>
          <w:p w14:paraId="5FA762FF" w14:textId="77777777" w:rsidR="00454A29" w:rsidRDefault="00454A29">
            <w:pPr>
              <w:pStyle w:val="ConsPlusNormal"/>
            </w:pPr>
          </w:p>
        </w:tc>
        <w:tc>
          <w:tcPr>
            <w:tcW w:w="1701" w:type="dxa"/>
            <w:vAlign w:val="center"/>
          </w:tcPr>
          <w:p w14:paraId="338DBDBC" w14:textId="77777777" w:rsidR="00454A29" w:rsidRDefault="00454A29">
            <w:pPr>
              <w:pStyle w:val="ConsPlusNormal"/>
            </w:pPr>
          </w:p>
        </w:tc>
        <w:tc>
          <w:tcPr>
            <w:tcW w:w="1814" w:type="dxa"/>
            <w:vAlign w:val="center"/>
          </w:tcPr>
          <w:p w14:paraId="5FB49AC1" w14:textId="77777777" w:rsidR="00454A29" w:rsidRDefault="00454A29">
            <w:pPr>
              <w:pStyle w:val="ConsPlusNormal"/>
            </w:pPr>
          </w:p>
        </w:tc>
      </w:tr>
      <w:tr w:rsidR="00454A29" w14:paraId="175FFEA1" w14:textId="77777777">
        <w:tc>
          <w:tcPr>
            <w:tcW w:w="567" w:type="dxa"/>
            <w:vMerge/>
          </w:tcPr>
          <w:p w14:paraId="0F4B6419" w14:textId="77777777" w:rsidR="00454A29" w:rsidRDefault="00454A29"/>
        </w:tc>
        <w:tc>
          <w:tcPr>
            <w:tcW w:w="3345" w:type="dxa"/>
            <w:vMerge/>
          </w:tcPr>
          <w:p w14:paraId="5A4BC821" w14:textId="77777777" w:rsidR="00454A29" w:rsidRDefault="00454A29"/>
        </w:tc>
        <w:tc>
          <w:tcPr>
            <w:tcW w:w="1701" w:type="dxa"/>
            <w:vAlign w:val="center"/>
          </w:tcPr>
          <w:p w14:paraId="28498AE8" w14:textId="77777777" w:rsidR="00454A29" w:rsidRDefault="00454A29">
            <w:pPr>
              <w:pStyle w:val="ConsPlusNormal"/>
              <w:jc w:val="center"/>
            </w:pPr>
            <w:r>
              <w:t>2023</w:t>
            </w:r>
          </w:p>
        </w:tc>
        <w:tc>
          <w:tcPr>
            <w:tcW w:w="1417" w:type="dxa"/>
            <w:vMerge/>
          </w:tcPr>
          <w:p w14:paraId="2862B5DB" w14:textId="77777777" w:rsidR="00454A29" w:rsidRDefault="00454A29"/>
        </w:tc>
        <w:tc>
          <w:tcPr>
            <w:tcW w:w="2204" w:type="dxa"/>
            <w:vMerge/>
          </w:tcPr>
          <w:p w14:paraId="6DE768A6" w14:textId="77777777" w:rsidR="00454A29" w:rsidRDefault="00454A29"/>
        </w:tc>
        <w:tc>
          <w:tcPr>
            <w:tcW w:w="1417" w:type="dxa"/>
            <w:vMerge/>
          </w:tcPr>
          <w:p w14:paraId="61A69D31" w14:textId="77777777" w:rsidR="00454A29" w:rsidRDefault="00454A29"/>
        </w:tc>
        <w:tc>
          <w:tcPr>
            <w:tcW w:w="2324" w:type="dxa"/>
            <w:vMerge/>
          </w:tcPr>
          <w:p w14:paraId="4FE9486D" w14:textId="77777777" w:rsidR="00454A29" w:rsidRDefault="00454A29"/>
        </w:tc>
        <w:tc>
          <w:tcPr>
            <w:tcW w:w="1701" w:type="dxa"/>
            <w:vAlign w:val="center"/>
          </w:tcPr>
          <w:p w14:paraId="438C5F74" w14:textId="77777777" w:rsidR="00454A29" w:rsidRDefault="00454A29">
            <w:pPr>
              <w:pStyle w:val="ConsPlusNormal"/>
            </w:pPr>
          </w:p>
        </w:tc>
        <w:tc>
          <w:tcPr>
            <w:tcW w:w="1814" w:type="dxa"/>
            <w:vAlign w:val="center"/>
          </w:tcPr>
          <w:p w14:paraId="7B36C785" w14:textId="77777777" w:rsidR="00454A29" w:rsidRDefault="00454A29">
            <w:pPr>
              <w:pStyle w:val="ConsPlusNormal"/>
            </w:pPr>
          </w:p>
        </w:tc>
        <w:tc>
          <w:tcPr>
            <w:tcW w:w="1701" w:type="dxa"/>
            <w:vAlign w:val="center"/>
          </w:tcPr>
          <w:p w14:paraId="7F91261C" w14:textId="77777777" w:rsidR="00454A29" w:rsidRDefault="00454A29">
            <w:pPr>
              <w:pStyle w:val="ConsPlusNormal"/>
            </w:pPr>
          </w:p>
        </w:tc>
        <w:tc>
          <w:tcPr>
            <w:tcW w:w="1701" w:type="dxa"/>
            <w:vAlign w:val="center"/>
          </w:tcPr>
          <w:p w14:paraId="7E6FF67B" w14:textId="77777777" w:rsidR="00454A29" w:rsidRDefault="00454A29">
            <w:pPr>
              <w:pStyle w:val="ConsPlusNormal"/>
            </w:pPr>
          </w:p>
        </w:tc>
        <w:tc>
          <w:tcPr>
            <w:tcW w:w="1814" w:type="dxa"/>
            <w:vAlign w:val="center"/>
          </w:tcPr>
          <w:p w14:paraId="284FC5B2" w14:textId="77777777" w:rsidR="00454A29" w:rsidRDefault="00454A29">
            <w:pPr>
              <w:pStyle w:val="ConsPlusNormal"/>
            </w:pPr>
          </w:p>
        </w:tc>
      </w:tr>
      <w:tr w:rsidR="00454A29" w14:paraId="140988B3" w14:textId="77777777">
        <w:tc>
          <w:tcPr>
            <w:tcW w:w="567" w:type="dxa"/>
            <w:vMerge/>
          </w:tcPr>
          <w:p w14:paraId="58B82C78" w14:textId="77777777" w:rsidR="00454A29" w:rsidRDefault="00454A29"/>
        </w:tc>
        <w:tc>
          <w:tcPr>
            <w:tcW w:w="3345" w:type="dxa"/>
            <w:vMerge/>
          </w:tcPr>
          <w:p w14:paraId="2C8EEA76" w14:textId="77777777" w:rsidR="00454A29" w:rsidRDefault="00454A29"/>
        </w:tc>
        <w:tc>
          <w:tcPr>
            <w:tcW w:w="1701" w:type="dxa"/>
            <w:vAlign w:val="center"/>
          </w:tcPr>
          <w:p w14:paraId="01C575CE" w14:textId="77777777" w:rsidR="00454A29" w:rsidRDefault="00454A29">
            <w:pPr>
              <w:pStyle w:val="ConsPlusNormal"/>
              <w:jc w:val="center"/>
            </w:pPr>
            <w:r>
              <w:t>2024</w:t>
            </w:r>
          </w:p>
        </w:tc>
        <w:tc>
          <w:tcPr>
            <w:tcW w:w="1417" w:type="dxa"/>
            <w:vMerge/>
          </w:tcPr>
          <w:p w14:paraId="0F451783" w14:textId="77777777" w:rsidR="00454A29" w:rsidRDefault="00454A29"/>
        </w:tc>
        <w:tc>
          <w:tcPr>
            <w:tcW w:w="2204" w:type="dxa"/>
            <w:vMerge/>
          </w:tcPr>
          <w:p w14:paraId="68A3AE7E" w14:textId="77777777" w:rsidR="00454A29" w:rsidRDefault="00454A29"/>
        </w:tc>
        <w:tc>
          <w:tcPr>
            <w:tcW w:w="1417" w:type="dxa"/>
            <w:vMerge/>
          </w:tcPr>
          <w:p w14:paraId="6A6A0790" w14:textId="77777777" w:rsidR="00454A29" w:rsidRDefault="00454A29"/>
        </w:tc>
        <w:tc>
          <w:tcPr>
            <w:tcW w:w="2324" w:type="dxa"/>
            <w:vMerge/>
          </w:tcPr>
          <w:p w14:paraId="00B11FD2" w14:textId="77777777" w:rsidR="00454A29" w:rsidRDefault="00454A29"/>
        </w:tc>
        <w:tc>
          <w:tcPr>
            <w:tcW w:w="1701" w:type="dxa"/>
            <w:vAlign w:val="center"/>
          </w:tcPr>
          <w:p w14:paraId="261E5C1C" w14:textId="77777777" w:rsidR="00454A29" w:rsidRDefault="00454A29">
            <w:pPr>
              <w:pStyle w:val="ConsPlusNormal"/>
            </w:pPr>
          </w:p>
        </w:tc>
        <w:tc>
          <w:tcPr>
            <w:tcW w:w="1814" w:type="dxa"/>
            <w:vAlign w:val="center"/>
          </w:tcPr>
          <w:p w14:paraId="75C06713" w14:textId="77777777" w:rsidR="00454A29" w:rsidRDefault="00454A29">
            <w:pPr>
              <w:pStyle w:val="ConsPlusNormal"/>
            </w:pPr>
          </w:p>
        </w:tc>
        <w:tc>
          <w:tcPr>
            <w:tcW w:w="1701" w:type="dxa"/>
            <w:vAlign w:val="center"/>
          </w:tcPr>
          <w:p w14:paraId="713F457D" w14:textId="77777777" w:rsidR="00454A29" w:rsidRDefault="00454A29">
            <w:pPr>
              <w:pStyle w:val="ConsPlusNormal"/>
            </w:pPr>
          </w:p>
        </w:tc>
        <w:tc>
          <w:tcPr>
            <w:tcW w:w="1701" w:type="dxa"/>
            <w:vAlign w:val="center"/>
          </w:tcPr>
          <w:p w14:paraId="2359BF21" w14:textId="77777777" w:rsidR="00454A29" w:rsidRDefault="00454A29">
            <w:pPr>
              <w:pStyle w:val="ConsPlusNormal"/>
            </w:pPr>
          </w:p>
        </w:tc>
        <w:tc>
          <w:tcPr>
            <w:tcW w:w="1814" w:type="dxa"/>
            <w:vAlign w:val="center"/>
          </w:tcPr>
          <w:p w14:paraId="45060C10" w14:textId="77777777" w:rsidR="00454A29" w:rsidRDefault="00454A29">
            <w:pPr>
              <w:pStyle w:val="ConsPlusNormal"/>
            </w:pPr>
          </w:p>
        </w:tc>
      </w:tr>
      <w:tr w:rsidR="00454A29" w14:paraId="00AE012B" w14:textId="77777777">
        <w:tc>
          <w:tcPr>
            <w:tcW w:w="567" w:type="dxa"/>
            <w:vMerge/>
          </w:tcPr>
          <w:p w14:paraId="4CCDE80F" w14:textId="77777777" w:rsidR="00454A29" w:rsidRDefault="00454A29"/>
        </w:tc>
        <w:tc>
          <w:tcPr>
            <w:tcW w:w="3345" w:type="dxa"/>
            <w:vMerge/>
          </w:tcPr>
          <w:p w14:paraId="124C67A9" w14:textId="77777777" w:rsidR="00454A29" w:rsidRDefault="00454A29"/>
        </w:tc>
        <w:tc>
          <w:tcPr>
            <w:tcW w:w="1701" w:type="dxa"/>
            <w:vAlign w:val="center"/>
          </w:tcPr>
          <w:p w14:paraId="18317A91" w14:textId="77777777" w:rsidR="00454A29" w:rsidRDefault="00454A29">
            <w:pPr>
              <w:pStyle w:val="ConsPlusNormal"/>
              <w:jc w:val="center"/>
            </w:pPr>
            <w:r>
              <w:t>2025</w:t>
            </w:r>
          </w:p>
        </w:tc>
        <w:tc>
          <w:tcPr>
            <w:tcW w:w="1417" w:type="dxa"/>
            <w:vMerge/>
          </w:tcPr>
          <w:p w14:paraId="3D37BAAF" w14:textId="77777777" w:rsidR="00454A29" w:rsidRDefault="00454A29"/>
        </w:tc>
        <w:tc>
          <w:tcPr>
            <w:tcW w:w="2204" w:type="dxa"/>
            <w:vMerge/>
          </w:tcPr>
          <w:p w14:paraId="1E019348" w14:textId="77777777" w:rsidR="00454A29" w:rsidRDefault="00454A29"/>
        </w:tc>
        <w:tc>
          <w:tcPr>
            <w:tcW w:w="1417" w:type="dxa"/>
            <w:vMerge/>
          </w:tcPr>
          <w:p w14:paraId="3D7C047A" w14:textId="77777777" w:rsidR="00454A29" w:rsidRDefault="00454A29"/>
        </w:tc>
        <w:tc>
          <w:tcPr>
            <w:tcW w:w="2324" w:type="dxa"/>
            <w:vMerge/>
          </w:tcPr>
          <w:p w14:paraId="59C4958F" w14:textId="77777777" w:rsidR="00454A29" w:rsidRDefault="00454A29"/>
        </w:tc>
        <w:tc>
          <w:tcPr>
            <w:tcW w:w="1701" w:type="dxa"/>
            <w:vAlign w:val="center"/>
          </w:tcPr>
          <w:p w14:paraId="65AA7599" w14:textId="77777777" w:rsidR="00454A29" w:rsidRDefault="00454A29">
            <w:pPr>
              <w:pStyle w:val="ConsPlusNormal"/>
            </w:pPr>
          </w:p>
        </w:tc>
        <w:tc>
          <w:tcPr>
            <w:tcW w:w="1814" w:type="dxa"/>
            <w:vAlign w:val="center"/>
          </w:tcPr>
          <w:p w14:paraId="576E68F0" w14:textId="77777777" w:rsidR="00454A29" w:rsidRDefault="00454A29">
            <w:pPr>
              <w:pStyle w:val="ConsPlusNormal"/>
            </w:pPr>
          </w:p>
        </w:tc>
        <w:tc>
          <w:tcPr>
            <w:tcW w:w="1701" w:type="dxa"/>
            <w:vAlign w:val="center"/>
          </w:tcPr>
          <w:p w14:paraId="41BCB0C7" w14:textId="77777777" w:rsidR="00454A29" w:rsidRDefault="00454A29">
            <w:pPr>
              <w:pStyle w:val="ConsPlusNormal"/>
            </w:pPr>
          </w:p>
        </w:tc>
        <w:tc>
          <w:tcPr>
            <w:tcW w:w="1701" w:type="dxa"/>
            <w:vAlign w:val="center"/>
          </w:tcPr>
          <w:p w14:paraId="7ED6AA37" w14:textId="77777777" w:rsidR="00454A29" w:rsidRDefault="00454A29">
            <w:pPr>
              <w:pStyle w:val="ConsPlusNormal"/>
            </w:pPr>
          </w:p>
        </w:tc>
        <w:tc>
          <w:tcPr>
            <w:tcW w:w="1814" w:type="dxa"/>
            <w:vAlign w:val="center"/>
          </w:tcPr>
          <w:p w14:paraId="0C4CFDB7" w14:textId="77777777" w:rsidR="00454A29" w:rsidRDefault="00454A29">
            <w:pPr>
              <w:pStyle w:val="ConsPlusNormal"/>
            </w:pPr>
          </w:p>
        </w:tc>
      </w:tr>
      <w:tr w:rsidR="00454A29" w14:paraId="2A199DE9" w14:textId="77777777">
        <w:tc>
          <w:tcPr>
            <w:tcW w:w="567" w:type="dxa"/>
            <w:vMerge/>
          </w:tcPr>
          <w:p w14:paraId="2E6F7E21" w14:textId="77777777" w:rsidR="00454A29" w:rsidRDefault="00454A29"/>
        </w:tc>
        <w:tc>
          <w:tcPr>
            <w:tcW w:w="3345" w:type="dxa"/>
            <w:vMerge/>
          </w:tcPr>
          <w:p w14:paraId="0646719D" w14:textId="77777777" w:rsidR="00454A29" w:rsidRDefault="00454A29"/>
        </w:tc>
        <w:tc>
          <w:tcPr>
            <w:tcW w:w="1701" w:type="dxa"/>
            <w:vAlign w:val="center"/>
          </w:tcPr>
          <w:p w14:paraId="578146CC" w14:textId="77777777" w:rsidR="00454A29" w:rsidRDefault="00454A29">
            <w:pPr>
              <w:pStyle w:val="ConsPlusNormal"/>
              <w:jc w:val="center"/>
            </w:pPr>
            <w:r>
              <w:t>2026</w:t>
            </w:r>
          </w:p>
        </w:tc>
        <w:tc>
          <w:tcPr>
            <w:tcW w:w="1417" w:type="dxa"/>
            <w:vMerge/>
          </w:tcPr>
          <w:p w14:paraId="1585EF7E" w14:textId="77777777" w:rsidR="00454A29" w:rsidRDefault="00454A29"/>
        </w:tc>
        <w:tc>
          <w:tcPr>
            <w:tcW w:w="2204" w:type="dxa"/>
            <w:vMerge/>
          </w:tcPr>
          <w:p w14:paraId="4E417BCE" w14:textId="77777777" w:rsidR="00454A29" w:rsidRDefault="00454A29"/>
        </w:tc>
        <w:tc>
          <w:tcPr>
            <w:tcW w:w="1417" w:type="dxa"/>
            <w:vMerge/>
          </w:tcPr>
          <w:p w14:paraId="41376F2B" w14:textId="77777777" w:rsidR="00454A29" w:rsidRDefault="00454A29"/>
        </w:tc>
        <w:tc>
          <w:tcPr>
            <w:tcW w:w="2324" w:type="dxa"/>
            <w:vMerge/>
          </w:tcPr>
          <w:p w14:paraId="06B09C97" w14:textId="77777777" w:rsidR="00454A29" w:rsidRDefault="00454A29"/>
        </w:tc>
        <w:tc>
          <w:tcPr>
            <w:tcW w:w="1701" w:type="dxa"/>
            <w:vAlign w:val="center"/>
          </w:tcPr>
          <w:p w14:paraId="407409C6" w14:textId="77777777" w:rsidR="00454A29" w:rsidRDefault="00454A29">
            <w:pPr>
              <w:pStyle w:val="ConsPlusNormal"/>
              <w:jc w:val="center"/>
            </w:pPr>
            <w:r>
              <w:t>183 912,26</w:t>
            </w:r>
          </w:p>
        </w:tc>
        <w:tc>
          <w:tcPr>
            <w:tcW w:w="1814" w:type="dxa"/>
            <w:vAlign w:val="center"/>
          </w:tcPr>
          <w:p w14:paraId="3EA7BE42" w14:textId="77777777" w:rsidR="00454A29" w:rsidRDefault="00454A29">
            <w:pPr>
              <w:pStyle w:val="ConsPlusNormal"/>
              <w:jc w:val="center"/>
            </w:pPr>
            <w:r>
              <w:t>2 265,80</w:t>
            </w:r>
          </w:p>
        </w:tc>
        <w:tc>
          <w:tcPr>
            <w:tcW w:w="1701" w:type="dxa"/>
            <w:vAlign w:val="center"/>
          </w:tcPr>
          <w:p w14:paraId="443AAED6" w14:textId="77777777" w:rsidR="00454A29" w:rsidRDefault="00454A29">
            <w:pPr>
              <w:pStyle w:val="ConsPlusNormal"/>
              <w:jc w:val="center"/>
            </w:pPr>
            <w:r>
              <w:t>224 314,11</w:t>
            </w:r>
          </w:p>
        </w:tc>
        <w:tc>
          <w:tcPr>
            <w:tcW w:w="1701" w:type="dxa"/>
            <w:vAlign w:val="center"/>
          </w:tcPr>
          <w:p w14:paraId="1A521ED0" w14:textId="77777777" w:rsidR="00454A29" w:rsidRDefault="00454A29">
            <w:pPr>
              <w:pStyle w:val="ConsPlusNormal"/>
            </w:pPr>
          </w:p>
        </w:tc>
        <w:tc>
          <w:tcPr>
            <w:tcW w:w="1814" w:type="dxa"/>
            <w:vAlign w:val="center"/>
          </w:tcPr>
          <w:p w14:paraId="5B74C796" w14:textId="77777777" w:rsidR="00454A29" w:rsidRDefault="00454A29">
            <w:pPr>
              <w:pStyle w:val="ConsPlusNormal"/>
            </w:pPr>
          </w:p>
        </w:tc>
      </w:tr>
      <w:tr w:rsidR="00454A29" w14:paraId="137C2B58" w14:textId="77777777">
        <w:tc>
          <w:tcPr>
            <w:tcW w:w="567" w:type="dxa"/>
            <w:vMerge w:val="restart"/>
            <w:vAlign w:val="center"/>
          </w:tcPr>
          <w:p w14:paraId="33CBB402" w14:textId="77777777" w:rsidR="00454A29" w:rsidRDefault="00454A29">
            <w:pPr>
              <w:pStyle w:val="ConsPlusNormal"/>
              <w:jc w:val="center"/>
            </w:pPr>
            <w:r>
              <w:t>87</w:t>
            </w:r>
          </w:p>
        </w:tc>
        <w:tc>
          <w:tcPr>
            <w:tcW w:w="3345" w:type="dxa"/>
            <w:vMerge w:val="restart"/>
            <w:vAlign w:val="center"/>
          </w:tcPr>
          <w:p w14:paraId="28C58BB1" w14:textId="77777777" w:rsidR="00454A29" w:rsidRDefault="00454A29">
            <w:pPr>
              <w:pStyle w:val="ConsPlusNormal"/>
              <w:jc w:val="center"/>
            </w:pPr>
            <w:r>
              <w:t>Школа на 80 учащихся в с. Графский Берег</w:t>
            </w:r>
          </w:p>
        </w:tc>
        <w:tc>
          <w:tcPr>
            <w:tcW w:w="1701" w:type="dxa"/>
            <w:vAlign w:val="center"/>
          </w:tcPr>
          <w:p w14:paraId="3D8CCC69" w14:textId="77777777" w:rsidR="00454A29" w:rsidRDefault="00454A29">
            <w:pPr>
              <w:pStyle w:val="ConsPlusNormal"/>
              <w:jc w:val="center"/>
            </w:pPr>
            <w:r>
              <w:t>2020 - 2026 годы - всего</w:t>
            </w:r>
          </w:p>
        </w:tc>
        <w:tc>
          <w:tcPr>
            <w:tcW w:w="1417" w:type="dxa"/>
            <w:vMerge w:val="restart"/>
            <w:vAlign w:val="center"/>
          </w:tcPr>
          <w:p w14:paraId="5D8A9A14" w14:textId="77777777" w:rsidR="00454A29" w:rsidRDefault="00454A29">
            <w:pPr>
              <w:pStyle w:val="ConsPlusNormal"/>
              <w:jc w:val="center"/>
            </w:pPr>
            <w:r>
              <w:t>294 259,62</w:t>
            </w:r>
          </w:p>
        </w:tc>
        <w:tc>
          <w:tcPr>
            <w:tcW w:w="2204" w:type="dxa"/>
            <w:vMerge w:val="restart"/>
            <w:vAlign w:val="center"/>
          </w:tcPr>
          <w:p w14:paraId="2945EB7A" w14:textId="77777777" w:rsidR="00454A29" w:rsidRDefault="00454A29">
            <w:pPr>
              <w:pStyle w:val="ConsPlusNormal"/>
            </w:pPr>
          </w:p>
        </w:tc>
        <w:tc>
          <w:tcPr>
            <w:tcW w:w="1417" w:type="dxa"/>
            <w:vMerge w:val="restart"/>
            <w:vAlign w:val="center"/>
          </w:tcPr>
          <w:p w14:paraId="7A67649C" w14:textId="77777777" w:rsidR="00454A29" w:rsidRDefault="00454A29">
            <w:pPr>
              <w:pStyle w:val="ConsPlusNormal"/>
              <w:jc w:val="center"/>
            </w:pPr>
            <w:r>
              <w:t>80</w:t>
            </w:r>
          </w:p>
        </w:tc>
        <w:tc>
          <w:tcPr>
            <w:tcW w:w="2324" w:type="dxa"/>
            <w:vMerge w:val="restart"/>
            <w:vAlign w:val="center"/>
          </w:tcPr>
          <w:p w14:paraId="6B8BA4D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73FA2CC" w14:textId="77777777" w:rsidR="00454A29" w:rsidRDefault="00454A29">
            <w:pPr>
              <w:pStyle w:val="ConsPlusNormal"/>
              <w:jc w:val="center"/>
            </w:pPr>
            <w:r>
              <w:t>294 259,62</w:t>
            </w:r>
          </w:p>
        </w:tc>
        <w:tc>
          <w:tcPr>
            <w:tcW w:w="1814" w:type="dxa"/>
            <w:vAlign w:val="center"/>
          </w:tcPr>
          <w:p w14:paraId="0F554C19" w14:textId="77777777" w:rsidR="00454A29" w:rsidRDefault="00454A29">
            <w:pPr>
              <w:pStyle w:val="ConsPlusNormal"/>
              <w:jc w:val="center"/>
            </w:pPr>
            <w:r>
              <w:t>3 625,28</w:t>
            </w:r>
          </w:p>
        </w:tc>
        <w:tc>
          <w:tcPr>
            <w:tcW w:w="1701" w:type="dxa"/>
            <w:vAlign w:val="center"/>
          </w:tcPr>
          <w:p w14:paraId="56550258" w14:textId="77777777" w:rsidR="00454A29" w:rsidRDefault="00454A29">
            <w:pPr>
              <w:pStyle w:val="ConsPlusNormal"/>
              <w:jc w:val="center"/>
            </w:pPr>
            <w:r>
              <w:t>358 902,57</w:t>
            </w:r>
          </w:p>
        </w:tc>
        <w:tc>
          <w:tcPr>
            <w:tcW w:w="1701" w:type="dxa"/>
            <w:vAlign w:val="center"/>
          </w:tcPr>
          <w:p w14:paraId="1647CAB4" w14:textId="77777777" w:rsidR="00454A29" w:rsidRDefault="00454A29">
            <w:pPr>
              <w:pStyle w:val="ConsPlusNormal"/>
              <w:jc w:val="center"/>
            </w:pPr>
            <w:r>
              <w:t>-</w:t>
            </w:r>
          </w:p>
        </w:tc>
        <w:tc>
          <w:tcPr>
            <w:tcW w:w="1814" w:type="dxa"/>
            <w:vAlign w:val="center"/>
          </w:tcPr>
          <w:p w14:paraId="5B3821F9" w14:textId="77777777" w:rsidR="00454A29" w:rsidRDefault="00454A29">
            <w:pPr>
              <w:pStyle w:val="ConsPlusNormal"/>
              <w:jc w:val="center"/>
            </w:pPr>
            <w:r>
              <w:t>-</w:t>
            </w:r>
          </w:p>
        </w:tc>
      </w:tr>
      <w:tr w:rsidR="00454A29" w14:paraId="627D1581" w14:textId="77777777">
        <w:tc>
          <w:tcPr>
            <w:tcW w:w="567" w:type="dxa"/>
            <w:vMerge/>
          </w:tcPr>
          <w:p w14:paraId="1D97994D" w14:textId="77777777" w:rsidR="00454A29" w:rsidRDefault="00454A29"/>
        </w:tc>
        <w:tc>
          <w:tcPr>
            <w:tcW w:w="3345" w:type="dxa"/>
            <w:vMerge/>
          </w:tcPr>
          <w:p w14:paraId="5BE0D9A4" w14:textId="77777777" w:rsidR="00454A29" w:rsidRDefault="00454A29"/>
        </w:tc>
        <w:tc>
          <w:tcPr>
            <w:tcW w:w="1701" w:type="dxa"/>
            <w:vAlign w:val="center"/>
          </w:tcPr>
          <w:p w14:paraId="5C0A4B08" w14:textId="77777777" w:rsidR="00454A29" w:rsidRDefault="00454A29">
            <w:pPr>
              <w:pStyle w:val="ConsPlusNormal"/>
              <w:jc w:val="center"/>
            </w:pPr>
            <w:r>
              <w:t>2020</w:t>
            </w:r>
          </w:p>
        </w:tc>
        <w:tc>
          <w:tcPr>
            <w:tcW w:w="1417" w:type="dxa"/>
            <w:vMerge/>
          </w:tcPr>
          <w:p w14:paraId="11ED65AC" w14:textId="77777777" w:rsidR="00454A29" w:rsidRDefault="00454A29"/>
        </w:tc>
        <w:tc>
          <w:tcPr>
            <w:tcW w:w="2204" w:type="dxa"/>
            <w:vMerge/>
          </w:tcPr>
          <w:p w14:paraId="5B62434F" w14:textId="77777777" w:rsidR="00454A29" w:rsidRDefault="00454A29"/>
        </w:tc>
        <w:tc>
          <w:tcPr>
            <w:tcW w:w="1417" w:type="dxa"/>
            <w:vMerge/>
          </w:tcPr>
          <w:p w14:paraId="63BD2702" w14:textId="77777777" w:rsidR="00454A29" w:rsidRDefault="00454A29"/>
        </w:tc>
        <w:tc>
          <w:tcPr>
            <w:tcW w:w="2324" w:type="dxa"/>
            <w:vMerge/>
          </w:tcPr>
          <w:p w14:paraId="6A8E547C" w14:textId="77777777" w:rsidR="00454A29" w:rsidRDefault="00454A29"/>
        </w:tc>
        <w:tc>
          <w:tcPr>
            <w:tcW w:w="1701" w:type="dxa"/>
            <w:vAlign w:val="center"/>
          </w:tcPr>
          <w:p w14:paraId="714C144D" w14:textId="77777777" w:rsidR="00454A29" w:rsidRDefault="00454A29">
            <w:pPr>
              <w:pStyle w:val="ConsPlusNormal"/>
            </w:pPr>
          </w:p>
        </w:tc>
        <w:tc>
          <w:tcPr>
            <w:tcW w:w="1814" w:type="dxa"/>
            <w:vAlign w:val="center"/>
          </w:tcPr>
          <w:p w14:paraId="0EB3C676" w14:textId="77777777" w:rsidR="00454A29" w:rsidRDefault="00454A29">
            <w:pPr>
              <w:pStyle w:val="ConsPlusNormal"/>
            </w:pPr>
          </w:p>
        </w:tc>
        <w:tc>
          <w:tcPr>
            <w:tcW w:w="1701" w:type="dxa"/>
            <w:vAlign w:val="center"/>
          </w:tcPr>
          <w:p w14:paraId="21D15358" w14:textId="77777777" w:rsidR="00454A29" w:rsidRDefault="00454A29">
            <w:pPr>
              <w:pStyle w:val="ConsPlusNormal"/>
            </w:pPr>
          </w:p>
        </w:tc>
        <w:tc>
          <w:tcPr>
            <w:tcW w:w="1701" w:type="dxa"/>
            <w:vAlign w:val="center"/>
          </w:tcPr>
          <w:p w14:paraId="76770C77" w14:textId="77777777" w:rsidR="00454A29" w:rsidRDefault="00454A29">
            <w:pPr>
              <w:pStyle w:val="ConsPlusNormal"/>
            </w:pPr>
          </w:p>
        </w:tc>
        <w:tc>
          <w:tcPr>
            <w:tcW w:w="1814" w:type="dxa"/>
            <w:vAlign w:val="center"/>
          </w:tcPr>
          <w:p w14:paraId="50262598" w14:textId="77777777" w:rsidR="00454A29" w:rsidRDefault="00454A29">
            <w:pPr>
              <w:pStyle w:val="ConsPlusNormal"/>
            </w:pPr>
          </w:p>
        </w:tc>
      </w:tr>
      <w:tr w:rsidR="00454A29" w14:paraId="40866C35" w14:textId="77777777">
        <w:tc>
          <w:tcPr>
            <w:tcW w:w="567" w:type="dxa"/>
            <w:vMerge/>
          </w:tcPr>
          <w:p w14:paraId="73AED52B" w14:textId="77777777" w:rsidR="00454A29" w:rsidRDefault="00454A29"/>
        </w:tc>
        <w:tc>
          <w:tcPr>
            <w:tcW w:w="3345" w:type="dxa"/>
            <w:vMerge/>
          </w:tcPr>
          <w:p w14:paraId="1534D4A0" w14:textId="77777777" w:rsidR="00454A29" w:rsidRDefault="00454A29"/>
        </w:tc>
        <w:tc>
          <w:tcPr>
            <w:tcW w:w="1701" w:type="dxa"/>
            <w:vAlign w:val="center"/>
          </w:tcPr>
          <w:p w14:paraId="26CDB74C" w14:textId="77777777" w:rsidR="00454A29" w:rsidRDefault="00454A29">
            <w:pPr>
              <w:pStyle w:val="ConsPlusNormal"/>
              <w:jc w:val="center"/>
            </w:pPr>
            <w:r>
              <w:t>2021</w:t>
            </w:r>
          </w:p>
        </w:tc>
        <w:tc>
          <w:tcPr>
            <w:tcW w:w="1417" w:type="dxa"/>
            <w:vMerge/>
          </w:tcPr>
          <w:p w14:paraId="3CFDA8CA" w14:textId="77777777" w:rsidR="00454A29" w:rsidRDefault="00454A29"/>
        </w:tc>
        <w:tc>
          <w:tcPr>
            <w:tcW w:w="2204" w:type="dxa"/>
            <w:vMerge/>
          </w:tcPr>
          <w:p w14:paraId="6A41207A" w14:textId="77777777" w:rsidR="00454A29" w:rsidRDefault="00454A29"/>
        </w:tc>
        <w:tc>
          <w:tcPr>
            <w:tcW w:w="1417" w:type="dxa"/>
            <w:vMerge/>
          </w:tcPr>
          <w:p w14:paraId="5F87D304" w14:textId="77777777" w:rsidR="00454A29" w:rsidRDefault="00454A29"/>
        </w:tc>
        <w:tc>
          <w:tcPr>
            <w:tcW w:w="2324" w:type="dxa"/>
            <w:vMerge/>
          </w:tcPr>
          <w:p w14:paraId="78B73377" w14:textId="77777777" w:rsidR="00454A29" w:rsidRDefault="00454A29"/>
        </w:tc>
        <w:tc>
          <w:tcPr>
            <w:tcW w:w="1701" w:type="dxa"/>
            <w:vAlign w:val="center"/>
          </w:tcPr>
          <w:p w14:paraId="273E5577" w14:textId="77777777" w:rsidR="00454A29" w:rsidRDefault="00454A29">
            <w:pPr>
              <w:pStyle w:val="ConsPlusNormal"/>
            </w:pPr>
          </w:p>
        </w:tc>
        <w:tc>
          <w:tcPr>
            <w:tcW w:w="1814" w:type="dxa"/>
            <w:vAlign w:val="center"/>
          </w:tcPr>
          <w:p w14:paraId="1D618C2D" w14:textId="77777777" w:rsidR="00454A29" w:rsidRDefault="00454A29">
            <w:pPr>
              <w:pStyle w:val="ConsPlusNormal"/>
            </w:pPr>
          </w:p>
        </w:tc>
        <w:tc>
          <w:tcPr>
            <w:tcW w:w="1701" w:type="dxa"/>
            <w:vAlign w:val="center"/>
          </w:tcPr>
          <w:p w14:paraId="424B5AF0" w14:textId="77777777" w:rsidR="00454A29" w:rsidRDefault="00454A29">
            <w:pPr>
              <w:pStyle w:val="ConsPlusNormal"/>
            </w:pPr>
          </w:p>
        </w:tc>
        <w:tc>
          <w:tcPr>
            <w:tcW w:w="1701" w:type="dxa"/>
            <w:vAlign w:val="center"/>
          </w:tcPr>
          <w:p w14:paraId="5FEC72B1" w14:textId="77777777" w:rsidR="00454A29" w:rsidRDefault="00454A29">
            <w:pPr>
              <w:pStyle w:val="ConsPlusNormal"/>
            </w:pPr>
          </w:p>
        </w:tc>
        <w:tc>
          <w:tcPr>
            <w:tcW w:w="1814" w:type="dxa"/>
            <w:vAlign w:val="center"/>
          </w:tcPr>
          <w:p w14:paraId="0CF8D169" w14:textId="77777777" w:rsidR="00454A29" w:rsidRDefault="00454A29">
            <w:pPr>
              <w:pStyle w:val="ConsPlusNormal"/>
            </w:pPr>
          </w:p>
        </w:tc>
      </w:tr>
      <w:tr w:rsidR="00454A29" w14:paraId="2A0851DE" w14:textId="77777777">
        <w:tc>
          <w:tcPr>
            <w:tcW w:w="567" w:type="dxa"/>
            <w:vMerge/>
          </w:tcPr>
          <w:p w14:paraId="7FF1F688" w14:textId="77777777" w:rsidR="00454A29" w:rsidRDefault="00454A29"/>
        </w:tc>
        <w:tc>
          <w:tcPr>
            <w:tcW w:w="3345" w:type="dxa"/>
            <w:vMerge/>
          </w:tcPr>
          <w:p w14:paraId="008BB1FA" w14:textId="77777777" w:rsidR="00454A29" w:rsidRDefault="00454A29"/>
        </w:tc>
        <w:tc>
          <w:tcPr>
            <w:tcW w:w="1701" w:type="dxa"/>
            <w:vAlign w:val="center"/>
          </w:tcPr>
          <w:p w14:paraId="0A376CF6" w14:textId="77777777" w:rsidR="00454A29" w:rsidRDefault="00454A29">
            <w:pPr>
              <w:pStyle w:val="ConsPlusNormal"/>
              <w:jc w:val="center"/>
            </w:pPr>
            <w:r>
              <w:t>2022</w:t>
            </w:r>
          </w:p>
        </w:tc>
        <w:tc>
          <w:tcPr>
            <w:tcW w:w="1417" w:type="dxa"/>
            <w:vMerge/>
          </w:tcPr>
          <w:p w14:paraId="0B5BC222" w14:textId="77777777" w:rsidR="00454A29" w:rsidRDefault="00454A29"/>
        </w:tc>
        <w:tc>
          <w:tcPr>
            <w:tcW w:w="2204" w:type="dxa"/>
            <w:vMerge/>
          </w:tcPr>
          <w:p w14:paraId="5A334A22" w14:textId="77777777" w:rsidR="00454A29" w:rsidRDefault="00454A29"/>
        </w:tc>
        <w:tc>
          <w:tcPr>
            <w:tcW w:w="1417" w:type="dxa"/>
            <w:vMerge/>
          </w:tcPr>
          <w:p w14:paraId="7CAFF03F" w14:textId="77777777" w:rsidR="00454A29" w:rsidRDefault="00454A29"/>
        </w:tc>
        <w:tc>
          <w:tcPr>
            <w:tcW w:w="2324" w:type="dxa"/>
            <w:vMerge/>
          </w:tcPr>
          <w:p w14:paraId="04A0AD02" w14:textId="77777777" w:rsidR="00454A29" w:rsidRDefault="00454A29"/>
        </w:tc>
        <w:tc>
          <w:tcPr>
            <w:tcW w:w="1701" w:type="dxa"/>
            <w:vAlign w:val="center"/>
          </w:tcPr>
          <w:p w14:paraId="2319CC9E" w14:textId="77777777" w:rsidR="00454A29" w:rsidRDefault="00454A29">
            <w:pPr>
              <w:pStyle w:val="ConsPlusNormal"/>
            </w:pPr>
          </w:p>
        </w:tc>
        <w:tc>
          <w:tcPr>
            <w:tcW w:w="1814" w:type="dxa"/>
            <w:vAlign w:val="center"/>
          </w:tcPr>
          <w:p w14:paraId="2FCB874A" w14:textId="77777777" w:rsidR="00454A29" w:rsidRDefault="00454A29">
            <w:pPr>
              <w:pStyle w:val="ConsPlusNormal"/>
            </w:pPr>
          </w:p>
        </w:tc>
        <w:tc>
          <w:tcPr>
            <w:tcW w:w="1701" w:type="dxa"/>
            <w:vAlign w:val="center"/>
          </w:tcPr>
          <w:p w14:paraId="2E11FD12" w14:textId="77777777" w:rsidR="00454A29" w:rsidRDefault="00454A29">
            <w:pPr>
              <w:pStyle w:val="ConsPlusNormal"/>
            </w:pPr>
          </w:p>
        </w:tc>
        <w:tc>
          <w:tcPr>
            <w:tcW w:w="1701" w:type="dxa"/>
            <w:vAlign w:val="center"/>
          </w:tcPr>
          <w:p w14:paraId="0326778E" w14:textId="77777777" w:rsidR="00454A29" w:rsidRDefault="00454A29">
            <w:pPr>
              <w:pStyle w:val="ConsPlusNormal"/>
            </w:pPr>
          </w:p>
        </w:tc>
        <w:tc>
          <w:tcPr>
            <w:tcW w:w="1814" w:type="dxa"/>
            <w:vAlign w:val="center"/>
          </w:tcPr>
          <w:p w14:paraId="75C53828" w14:textId="77777777" w:rsidR="00454A29" w:rsidRDefault="00454A29">
            <w:pPr>
              <w:pStyle w:val="ConsPlusNormal"/>
            </w:pPr>
          </w:p>
        </w:tc>
      </w:tr>
      <w:tr w:rsidR="00454A29" w14:paraId="7FA40C13" w14:textId="77777777">
        <w:tc>
          <w:tcPr>
            <w:tcW w:w="567" w:type="dxa"/>
            <w:vMerge/>
          </w:tcPr>
          <w:p w14:paraId="1C397B75" w14:textId="77777777" w:rsidR="00454A29" w:rsidRDefault="00454A29"/>
        </w:tc>
        <w:tc>
          <w:tcPr>
            <w:tcW w:w="3345" w:type="dxa"/>
            <w:vMerge/>
          </w:tcPr>
          <w:p w14:paraId="6441E7C1" w14:textId="77777777" w:rsidR="00454A29" w:rsidRDefault="00454A29"/>
        </w:tc>
        <w:tc>
          <w:tcPr>
            <w:tcW w:w="1701" w:type="dxa"/>
            <w:vAlign w:val="center"/>
          </w:tcPr>
          <w:p w14:paraId="4F64D66A" w14:textId="77777777" w:rsidR="00454A29" w:rsidRDefault="00454A29">
            <w:pPr>
              <w:pStyle w:val="ConsPlusNormal"/>
              <w:jc w:val="center"/>
            </w:pPr>
            <w:r>
              <w:t>2023</w:t>
            </w:r>
          </w:p>
        </w:tc>
        <w:tc>
          <w:tcPr>
            <w:tcW w:w="1417" w:type="dxa"/>
            <w:vMerge/>
          </w:tcPr>
          <w:p w14:paraId="6A8291A6" w14:textId="77777777" w:rsidR="00454A29" w:rsidRDefault="00454A29"/>
        </w:tc>
        <w:tc>
          <w:tcPr>
            <w:tcW w:w="2204" w:type="dxa"/>
            <w:vMerge/>
          </w:tcPr>
          <w:p w14:paraId="2E1A71C9" w14:textId="77777777" w:rsidR="00454A29" w:rsidRDefault="00454A29"/>
        </w:tc>
        <w:tc>
          <w:tcPr>
            <w:tcW w:w="1417" w:type="dxa"/>
            <w:vMerge/>
          </w:tcPr>
          <w:p w14:paraId="478BF5C0" w14:textId="77777777" w:rsidR="00454A29" w:rsidRDefault="00454A29"/>
        </w:tc>
        <w:tc>
          <w:tcPr>
            <w:tcW w:w="2324" w:type="dxa"/>
            <w:vMerge/>
          </w:tcPr>
          <w:p w14:paraId="5F5F9666" w14:textId="77777777" w:rsidR="00454A29" w:rsidRDefault="00454A29"/>
        </w:tc>
        <w:tc>
          <w:tcPr>
            <w:tcW w:w="1701" w:type="dxa"/>
            <w:vAlign w:val="center"/>
          </w:tcPr>
          <w:p w14:paraId="7119A41D" w14:textId="77777777" w:rsidR="00454A29" w:rsidRDefault="00454A29">
            <w:pPr>
              <w:pStyle w:val="ConsPlusNormal"/>
              <w:jc w:val="center"/>
            </w:pPr>
            <w:r>
              <w:t>-</w:t>
            </w:r>
          </w:p>
        </w:tc>
        <w:tc>
          <w:tcPr>
            <w:tcW w:w="1814" w:type="dxa"/>
            <w:vAlign w:val="center"/>
          </w:tcPr>
          <w:p w14:paraId="7FB9DD4C" w14:textId="77777777" w:rsidR="00454A29" w:rsidRDefault="00454A29">
            <w:pPr>
              <w:pStyle w:val="ConsPlusNormal"/>
            </w:pPr>
          </w:p>
        </w:tc>
        <w:tc>
          <w:tcPr>
            <w:tcW w:w="1701" w:type="dxa"/>
            <w:vAlign w:val="center"/>
          </w:tcPr>
          <w:p w14:paraId="186BBB0D" w14:textId="77777777" w:rsidR="00454A29" w:rsidRDefault="00454A29">
            <w:pPr>
              <w:pStyle w:val="ConsPlusNormal"/>
            </w:pPr>
          </w:p>
        </w:tc>
        <w:tc>
          <w:tcPr>
            <w:tcW w:w="1701" w:type="dxa"/>
            <w:vAlign w:val="center"/>
          </w:tcPr>
          <w:p w14:paraId="77F3A0BC" w14:textId="77777777" w:rsidR="00454A29" w:rsidRDefault="00454A29">
            <w:pPr>
              <w:pStyle w:val="ConsPlusNormal"/>
            </w:pPr>
          </w:p>
        </w:tc>
        <w:tc>
          <w:tcPr>
            <w:tcW w:w="1814" w:type="dxa"/>
            <w:vAlign w:val="center"/>
          </w:tcPr>
          <w:p w14:paraId="586A4348" w14:textId="77777777" w:rsidR="00454A29" w:rsidRDefault="00454A29">
            <w:pPr>
              <w:pStyle w:val="ConsPlusNormal"/>
            </w:pPr>
          </w:p>
        </w:tc>
      </w:tr>
      <w:tr w:rsidR="00454A29" w14:paraId="62DEE26A" w14:textId="77777777">
        <w:tc>
          <w:tcPr>
            <w:tcW w:w="567" w:type="dxa"/>
            <w:vMerge/>
          </w:tcPr>
          <w:p w14:paraId="53703CD2" w14:textId="77777777" w:rsidR="00454A29" w:rsidRDefault="00454A29"/>
        </w:tc>
        <w:tc>
          <w:tcPr>
            <w:tcW w:w="3345" w:type="dxa"/>
            <w:vMerge/>
          </w:tcPr>
          <w:p w14:paraId="13DA3150" w14:textId="77777777" w:rsidR="00454A29" w:rsidRDefault="00454A29"/>
        </w:tc>
        <w:tc>
          <w:tcPr>
            <w:tcW w:w="1701" w:type="dxa"/>
            <w:vAlign w:val="center"/>
          </w:tcPr>
          <w:p w14:paraId="34A2888E" w14:textId="77777777" w:rsidR="00454A29" w:rsidRDefault="00454A29">
            <w:pPr>
              <w:pStyle w:val="ConsPlusNormal"/>
              <w:jc w:val="center"/>
            </w:pPr>
            <w:r>
              <w:t>2024</w:t>
            </w:r>
          </w:p>
        </w:tc>
        <w:tc>
          <w:tcPr>
            <w:tcW w:w="1417" w:type="dxa"/>
            <w:vMerge/>
          </w:tcPr>
          <w:p w14:paraId="5A5D75CB" w14:textId="77777777" w:rsidR="00454A29" w:rsidRDefault="00454A29"/>
        </w:tc>
        <w:tc>
          <w:tcPr>
            <w:tcW w:w="2204" w:type="dxa"/>
            <w:vMerge/>
          </w:tcPr>
          <w:p w14:paraId="4E7CCE27" w14:textId="77777777" w:rsidR="00454A29" w:rsidRDefault="00454A29"/>
        </w:tc>
        <w:tc>
          <w:tcPr>
            <w:tcW w:w="1417" w:type="dxa"/>
            <w:vMerge/>
          </w:tcPr>
          <w:p w14:paraId="24FD8D1B" w14:textId="77777777" w:rsidR="00454A29" w:rsidRDefault="00454A29"/>
        </w:tc>
        <w:tc>
          <w:tcPr>
            <w:tcW w:w="2324" w:type="dxa"/>
            <w:vMerge/>
          </w:tcPr>
          <w:p w14:paraId="2E1AFD9B" w14:textId="77777777" w:rsidR="00454A29" w:rsidRDefault="00454A29"/>
        </w:tc>
        <w:tc>
          <w:tcPr>
            <w:tcW w:w="1701" w:type="dxa"/>
            <w:vAlign w:val="center"/>
          </w:tcPr>
          <w:p w14:paraId="5C7FF102" w14:textId="77777777" w:rsidR="00454A29" w:rsidRDefault="00454A29">
            <w:pPr>
              <w:pStyle w:val="ConsPlusNormal"/>
            </w:pPr>
          </w:p>
        </w:tc>
        <w:tc>
          <w:tcPr>
            <w:tcW w:w="1814" w:type="dxa"/>
            <w:vAlign w:val="center"/>
          </w:tcPr>
          <w:p w14:paraId="334DC16E" w14:textId="77777777" w:rsidR="00454A29" w:rsidRDefault="00454A29">
            <w:pPr>
              <w:pStyle w:val="ConsPlusNormal"/>
            </w:pPr>
          </w:p>
        </w:tc>
        <w:tc>
          <w:tcPr>
            <w:tcW w:w="1701" w:type="dxa"/>
            <w:vAlign w:val="center"/>
          </w:tcPr>
          <w:p w14:paraId="49025B6C" w14:textId="77777777" w:rsidR="00454A29" w:rsidRDefault="00454A29">
            <w:pPr>
              <w:pStyle w:val="ConsPlusNormal"/>
            </w:pPr>
          </w:p>
        </w:tc>
        <w:tc>
          <w:tcPr>
            <w:tcW w:w="1701" w:type="dxa"/>
            <w:vAlign w:val="center"/>
          </w:tcPr>
          <w:p w14:paraId="7A7A1C7E" w14:textId="77777777" w:rsidR="00454A29" w:rsidRDefault="00454A29">
            <w:pPr>
              <w:pStyle w:val="ConsPlusNormal"/>
            </w:pPr>
          </w:p>
        </w:tc>
        <w:tc>
          <w:tcPr>
            <w:tcW w:w="1814" w:type="dxa"/>
            <w:vAlign w:val="center"/>
          </w:tcPr>
          <w:p w14:paraId="39A3FAF2" w14:textId="77777777" w:rsidR="00454A29" w:rsidRDefault="00454A29">
            <w:pPr>
              <w:pStyle w:val="ConsPlusNormal"/>
            </w:pPr>
          </w:p>
        </w:tc>
      </w:tr>
      <w:tr w:rsidR="00454A29" w14:paraId="3732B62A" w14:textId="77777777">
        <w:tc>
          <w:tcPr>
            <w:tcW w:w="567" w:type="dxa"/>
            <w:vMerge/>
          </w:tcPr>
          <w:p w14:paraId="1BA0E7CF" w14:textId="77777777" w:rsidR="00454A29" w:rsidRDefault="00454A29"/>
        </w:tc>
        <w:tc>
          <w:tcPr>
            <w:tcW w:w="3345" w:type="dxa"/>
            <w:vMerge/>
          </w:tcPr>
          <w:p w14:paraId="06E9A7E0" w14:textId="77777777" w:rsidR="00454A29" w:rsidRDefault="00454A29"/>
        </w:tc>
        <w:tc>
          <w:tcPr>
            <w:tcW w:w="1701" w:type="dxa"/>
            <w:vAlign w:val="center"/>
          </w:tcPr>
          <w:p w14:paraId="4CD9EE47" w14:textId="77777777" w:rsidR="00454A29" w:rsidRDefault="00454A29">
            <w:pPr>
              <w:pStyle w:val="ConsPlusNormal"/>
              <w:jc w:val="center"/>
            </w:pPr>
            <w:r>
              <w:t>2025</w:t>
            </w:r>
          </w:p>
        </w:tc>
        <w:tc>
          <w:tcPr>
            <w:tcW w:w="1417" w:type="dxa"/>
            <w:vMerge/>
          </w:tcPr>
          <w:p w14:paraId="5F96F295" w14:textId="77777777" w:rsidR="00454A29" w:rsidRDefault="00454A29"/>
        </w:tc>
        <w:tc>
          <w:tcPr>
            <w:tcW w:w="2204" w:type="dxa"/>
            <w:vMerge/>
          </w:tcPr>
          <w:p w14:paraId="3CE52156" w14:textId="77777777" w:rsidR="00454A29" w:rsidRDefault="00454A29"/>
        </w:tc>
        <w:tc>
          <w:tcPr>
            <w:tcW w:w="1417" w:type="dxa"/>
            <w:vMerge/>
          </w:tcPr>
          <w:p w14:paraId="3D3CA69A" w14:textId="77777777" w:rsidR="00454A29" w:rsidRDefault="00454A29"/>
        </w:tc>
        <w:tc>
          <w:tcPr>
            <w:tcW w:w="2324" w:type="dxa"/>
            <w:vMerge/>
          </w:tcPr>
          <w:p w14:paraId="5AD02AED" w14:textId="77777777" w:rsidR="00454A29" w:rsidRDefault="00454A29"/>
        </w:tc>
        <w:tc>
          <w:tcPr>
            <w:tcW w:w="1701" w:type="dxa"/>
            <w:vAlign w:val="center"/>
          </w:tcPr>
          <w:p w14:paraId="7F0B9CC9" w14:textId="77777777" w:rsidR="00454A29" w:rsidRDefault="00454A29">
            <w:pPr>
              <w:pStyle w:val="ConsPlusNormal"/>
            </w:pPr>
          </w:p>
        </w:tc>
        <w:tc>
          <w:tcPr>
            <w:tcW w:w="1814" w:type="dxa"/>
            <w:vAlign w:val="center"/>
          </w:tcPr>
          <w:p w14:paraId="7B8AD14A" w14:textId="77777777" w:rsidR="00454A29" w:rsidRDefault="00454A29">
            <w:pPr>
              <w:pStyle w:val="ConsPlusNormal"/>
            </w:pPr>
          </w:p>
        </w:tc>
        <w:tc>
          <w:tcPr>
            <w:tcW w:w="1701" w:type="dxa"/>
            <w:vAlign w:val="center"/>
          </w:tcPr>
          <w:p w14:paraId="178BF0E8" w14:textId="77777777" w:rsidR="00454A29" w:rsidRDefault="00454A29">
            <w:pPr>
              <w:pStyle w:val="ConsPlusNormal"/>
            </w:pPr>
          </w:p>
        </w:tc>
        <w:tc>
          <w:tcPr>
            <w:tcW w:w="1701" w:type="dxa"/>
            <w:vAlign w:val="center"/>
          </w:tcPr>
          <w:p w14:paraId="6EA5B2D8" w14:textId="77777777" w:rsidR="00454A29" w:rsidRDefault="00454A29">
            <w:pPr>
              <w:pStyle w:val="ConsPlusNormal"/>
            </w:pPr>
          </w:p>
        </w:tc>
        <w:tc>
          <w:tcPr>
            <w:tcW w:w="1814" w:type="dxa"/>
            <w:vAlign w:val="center"/>
          </w:tcPr>
          <w:p w14:paraId="65CAFC02" w14:textId="77777777" w:rsidR="00454A29" w:rsidRDefault="00454A29">
            <w:pPr>
              <w:pStyle w:val="ConsPlusNormal"/>
            </w:pPr>
          </w:p>
        </w:tc>
      </w:tr>
      <w:tr w:rsidR="00454A29" w14:paraId="272ECB30" w14:textId="77777777">
        <w:tc>
          <w:tcPr>
            <w:tcW w:w="567" w:type="dxa"/>
            <w:vMerge/>
          </w:tcPr>
          <w:p w14:paraId="2F833024" w14:textId="77777777" w:rsidR="00454A29" w:rsidRDefault="00454A29"/>
        </w:tc>
        <w:tc>
          <w:tcPr>
            <w:tcW w:w="3345" w:type="dxa"/>
            <w:vMerge/>
          </w:tcPr>
          <w:p w14:paraId="56DAA879" w14:textId="77777777" w:rsidR="00454A29" w:rsidRDefault="00454A29"/>
        </w:tc>
        <w:tc>
          <w:tcPr>
            <w:tcW w:w="1701" w:type="dxa"/>
            <w:vAlign w:val="center"/>
          </w:tcPr>
          <w:p w14:paraId="1D7E0A2B" w14:textId="77777777" w:rsidR="00454A29" w:rsidRDefault="00454A29">
            <w:pPr>
              <w:pStyle w:val="ConsPlusNormal"/>
              <w:jc w:val="center"/>
            </w:pPr>
            <w:r>
              <w:t>2026</w:t>
            </w:r>
          </w:p>
        </w:tc>
        <w:tc>
          <w:tcPr>
            <w:tcW w:w="1417" w:type="dxa"/>
            <w:vMerge/>
          </w:tcPr>
          <w:p w14:paraId="0758CFCB" w14:textId="77777777" w:rsidR="00454A29" w:rsidRDefault="00454A29"/>
        </w:tc>
        <w:tc>
          <w:tcPr>
            <w:tcW w:w="2204" w:type="dxa"/>
            <w:vMerge/>
          </w:tcPr>
          <w:p w14:paraId="75284CC0" w14:textId="77777777" w:rsidR="00454A29" w:rsidRDefault="00454A29"/>
        </w:tc>
        <w:tc>
          <w:tcPr>
            <w:tcW w:w="1417" w:type="dxa"/>
            <w:vMerge/>
          </w:tcPr>
          <w:p w14:paraId="26154FD2" w14:textId="77777777" w:rsidR="00454A29" w:rsidRDefault="00454A29"/>
        </w:tc>
        <w:tc>
          <w:tcPr>
            <w:tcW w:w="2324" w:type="dxa"/>
            <w:vMerge/>
          </w:tcPr>
          <w:p w14:paraId="1AA3FEB0" w14:textId="77777777" w:rsidR="00454A29" w:rsidRDefault="00454A29"/>
        </w:tc>
        <w:tc>
          <w:tcPr>
            <w:tcW w:w="1701" w:type="dxa"/>
            <w:vAlign w:val="center"/>
          </w:tcPr>
          <w:p w14:paraId="206E5FC9" w14:textId="77777777" w:rsidR="00454A29" w:rsidRDefault="00454A29">
            <w:pPr>
              <w:pStyle w:val="ConsPlusNormal"/>
              <w:jc w:val="center"/>
            </w:pPr>
            <w:r>
              <w:t>294 259,62</w:t>
            </w:r>
          </w:p>
        </w:tc>
        <w:tc>
          <w:tcPr>
            <w:tcW w:w="1814" w:type="dxa"/>
            <w:vAlign w:val="center"/>
          </w:tcPr>
          <w:p w14:paraId="455D5E30" w14:textId="77777777" w:rsidR="00454A29" w:rsidRDefault="00454A29">
            <w:pPr>
              <w:pStyle w:val="ConsPlusNormal"/>
              <w:jc w:val="center"/>
            </w:pPr>
            <w:r>
              <w:t>3 625,28</w:t>
            </w:r>
          </w:p>
        </w:tc>
        <w:tc>
          <w:tcPr>
            <w:tcW w:w="1701" w:type="dxa"/>
            <w:vAlign w:val="center"/>
          </w:tcPr>
          <w:p w14:paraId="29F32BCF" w14:textId="77777777" w:rsidR="00454A29" w:rsidRDefault="00454A29">
            <w:pPr>
              <w:pStyle w:val="ConsPlusNormal"/>
              <w:jc w:val="center"/>
            </w:pPr>
            <w:r>
              <w:t>358 902,57</w:t>
            </w:r>
          </w:p>
        </w:tc>
        <w:tc>
          <w:tcPr>
            <w:tcW w:w="1701" w:type="dxa"/>
            <w:vAlign w:val="center"/>
          </w:tcPr>
          <w:p w14:paraId="70E46BE7" w14:textId="77777777" w:rsidR="00454A29" w:rsidRDefault="00454A29">
            <w:pPr>
              <w:pStyle w:val="ConsPlusNormal"/>
            </w:pPr>
          </w:p>
        </w:tc>
        <w:tc>
          <w:tcPr>
            <w:tcW w:w="1814" w:type="dxa"/>
            <w:vAlign w:val="center"/>
          </w:tcPr>
          <w:p w14:paraId="060C769B" w14:textId="77777777" w:rsidR="00454A29" w:rsidRDefault="00454A29">
            <w:pPr>
              <w:pStyle w:val="ConsPlusNormal"/>
            </w:pPr>
          </w:p>
        </w:tc>
      </w:tr>
      <w:tr w:rsidR="00454A29" w14:paraId="6988D680" w14:textId="77777777">
        <w:tc>
          <w:tcPr>
            <w:tcW w:w="567" w:type="dxa"/>
            <w:vMerge w:val="restart"/>
            <w:vAlign w:val="center"/>
          </w:tcPr>
          <w:p w14:paraId="4935B0BA" w14:textId="77777777" w:rsidR="00454A29" w:rsidRDefault="00454A29">
            <w:pPr>
              <w:pStyle w:val="ConsPlusNormal"/>
              <w:jc w:val="center"/>
            </w:pPr>
            <w:r>
              <w:t>88</w:t>
            </w:r>
          </w:p>
        </w:tc>
        <w:tc>
          <w:tcPr>
            <w:tcW w:w="3345" w:type="dxa"/>
            <w:vMerge w:val="restart"/>
            <w:vAlign w:val="center"/>
          </w:tcPr>
          <w:p w14:paraId="2BC9A391" w14:textId="77777777" w:rsidR="00454A29" w:rsidRDefault="00454A29">
            <w:pPr>
              <w:pStyle w:val="ConsPlusNormal"/>
              <w:jc w:val="center"/>
            </w:pPr>
            <w:r>
              <w:t>Школа на 50 учащихся в с. Харыялах</w:t>
            </w:r>
          </w:p>
        </w:tc>
        <w:tc>
          <w:tcPr>
            <w:tcW w:w="1701" w:type="dxa"/>
            <w:vAlign w:val="center"/>
          </w:tcPr>
          <w:p w14:paraId="7194BCE7" w14:textId="77777777" w:rsidR="00454A29" w:rsidRDefault="00454A29">
            <w:pPr>
              <w:pStyle w:val="ConsPlusNormal"/>
              <w:jc w:val="center"/>
            </w:pPr>
            <w:r>
              <w:t>2020 - 2026 годы - всего</w:t>
            </w:r>
          </w:p>
        </w:tc>
        <w:tc>
          <w:tcPr>
            <w:tcW w:w="1417" w:type="dxa"/>
            <w:vMerge w:val="restart"/>
            <w:vAlign w:val="center"/>
          </w:tcPr>
          <w:p w14:paraId="721FD1D7" w14:textId="77777777" w:rsidR="00454A29" w:rsidRDefault="00454A29">
            <w:pPr>
              <w:pStyle w:val="ConsPlusNormal"/>
              <w:jc w:val="center"/>
            </w:pPr>
            <w:r>
              <w:t>183 912,26</w:t>
            </w:r>
          </w:p>
        </w:tc>
        <w:tc>
          <w:tcPr>
            <w:tcW w:w="2204" w:type="dxa"/>
            <w:vMerge w:val="restart"/>
            <w:vAlign w:val="center"/>
          </w:tcPr>
          <w:p w14:paraId="49C222E9" w14:textId="77777777" w:rsidR="00454A29" w:rsidRDefault="00454A29">
            <w:pPr>
              <w:pStyle w:val="ConsPlusNormal"/>
            </w:pPr>
          </w:p>
        </w:tc>
        <w:tc>
          <w:tcPr>
            <w:tcW w:w="1417" w:type="dxa"/>
            <w:vMerge w:val="restart"/>
            <w:vAlign w:val="center"/>
          </w:tcPr>
          <w:p w14:paraId="37C21D96" w14:textId="77777777" w:rsidR="00454A29" w:rsidRDefault="00454A29">
            <w:pPr>
              <w:pStyle w:val="ConsPlusNormal"/>
              <w:jc w:val="center"/>
            </w:pPr>
            <w:r>
              <w:t>50</w:t>
            </w:r>
          </w:p>
        </w:tc>
        <w:tc>
          <w:tcPr>
            <w:tcW w:w="2324" w:type="dxa"/>
            <w:vMerge w:val="restart"/>
            <w:vAlign w:val="center"/>
          </w:tcPr>
          <w:p w14:paraId="2CF5CE4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CF7118B" w14:textId="77777777" w:rsidR="00454A29" w:rsidRDefault="00454A29">
            <w:pPr>
              <w:pStyle w:val="ConsPlusNormal"/>
              <w:jc w:val="center"/>
            </w:pPr>
            <w:r>
              <w:t>183 912,26</w:t>
            </w:r>
          </w:p>
        </w:tc>
        <w:tc>
          <w:tcPr>
            <w:tcW w:w="1814" w:type="dxa"/>
            <w:vAlign w:val="center"/>
          </w:tcPr>
          <w:p w14:paraId="5D68F196" w14:textId="77777777" w:rsidR="00454A29" w:rsidRDefault="00454A29">
            <w:pPr>
              <w:pStyle w:val="ConsPlusNormal"/>
              <w:jc w:val="center"/>
            </w:pPr>
            <w:r>
              <w:t>2 326,49</w:t>
            </w:r>
          </w:p>
        </w:tc>
        <w:tc>
          <w:tcPr>
            <w:tcW w:w="1701" w:type="dxa"/>
            <w:vAlign w:val="center"/>
          </w:tcPr>
          <w:p w14:paraId="1E08FD82" w14:textId="77777777" w:rsidR="00454A29" w:rsidRDefault="00454A29">
            <w:pPr>
              <w:pStyle w:val="ConsPlusNormal"/>
              <w:jc w:val="center"/>
            </w:pPr>
            <w:r>
              <w:t>230 322,52</w:t>
            </w:r>
          </w:p>
        </w:tc>
        <w:tc>
          <w:tcPr>
            <w:tcW w:w="1701" w:type="dxa"/>
            <w:vAlign w:val="center"/>
          </w:tcPr>
          <w:p w14:paraId="59F21AEC" w14:textId="77777777" w:rsidR="00454A29" w:rsidRDefault="00454A29">
            <w:pPr>
              <w:pStyle w:val="ConsPlusNormal"/>
              <w:jc w:val="center"/>
            </w:pPr>
            <w:r>
              <w:t>-</w:t>
            </w:r>
          </w:p>
        </w:tc>
        <w:tc>
          <w:tcPr>
            <w:tcW w:w="1814" w:type="dxa"/>
            <w:vAlign w:val="center"/>
          </w:tcPr>
          <w:p w14:paraId="37FFC081" w14:textId="77777777" w:rsidR="00454A29" w:rsidRDefault="00454A29">
            <w:pPr>
              <w:pStyle w:val="ConsPlusNormal"/>
              <w:jc w:val="center"/>
            </w:pPr>
            <w:r>
              <w:t>-</w:t>
            </w:r>
          </w:p>
        </w:tc>
      </w:tr>
      <w:tr w:rsidR="00454A29" w14:paraId="52B364CE" w14:textId="77777777">
        <w:tc>
          <w:tcPr>
            <w:tcW w:w="567" w:type="dxa"/>
            <w:vMerge/>
          </w:tcPr>
          <w:p w14:paraId="4199CAD6" w14:textId="77777777" w:rsidR="00454A29" w:rsidRDefault="00454A29"/>
        </w:tc>
        <w:tc>
          <w:tcPr>
            <w:tcW w:w="3345" w:type="dxa"/>
            <w:vMerge/>
          </w:tcPr>
          <w:p w14:paraId="44074185" w14:textId="77777777" w:rsidR="00454A29" w:rsidRDefault="00454A29"/>
        </w:tc>
        <w:tc>
          <w:tcPr>
            <w:tcW w:w="1701" w:type="dxa"/>
            <w:vAlign w:val="center"/>
          </w:tcPr>
          <w:p w14:paraId="6569539F" w14:textId="77777777" w:rsidR="00454A29" w:rsidRDefault="00454A29">
            <w:pPr>
              <w:pStyle w:val="ConsPlusNormal"/>
              <w:jc w:val="center"/>
            </w:pPr>
            <w:r>
              <w:t>2020</w:t>
            </w:r>
          </w:p>
        </w:tc>
        <w:tc>
          <w:tcPr>
            <w:tcW w:w="1417" w:type="dxa"/>
            <w:vMerge/>
          </w:tcPr>
          <w:p w14:paraId="14B9DF78" w14:textId="77777777" w:rsidR="00454A29" w:rsidRDefault="00454A29"/>
        </w:tc>
        <w:tc>
          <w:tcPr>
            <w:tcW w:w="2204" w:type="dxa"/>
            <w:vMerge/>
          </w:tcPr>
          <w:p w14:paraId="39BEB6DE" w14:textId="77777777" w:rsidR="00454A29" w:rsidRDefault="00454A29"/>
        </w:tc>
        <w:tc>
          <w:tcPr>
            <w:tcW w:w="1417" w:type="dxa"/>
            <w:vMerge/>
          </w:tcPr>
          <w:p w14:paraId="647A25EF" w14:textId="77777777" w:rsidR="00454A29" w:rsidRDefault="00454A29"/>
        </w:tc>
        <w:tc>
          <w:tcPr>
            <w:tcW w:w="2324" w:type="dxa"/>
            <w:vMerge/>
          </w:tcPr>
          <w:p w14:paraId="3D0E2002" w14:textId="77777777" w:rsidR="00454A29" w:rsidRDefault="00454A29"/>
        </w:tc>
        <w:tc>
          <w:tcPr>
            <w:tcW w:w="1701" w:type="dxa"/>
            <w:vAlign w:val="center"/>
          </w:tcPr>
          <w:p w14:paraId="61EED2ED" w14:textId="77777777" w:rsidR="00454A29" w:rsidRDefault="00454A29">
            <w:pPr>
              <w:pStyle w:val="ConsPlusNormal"/>
            </w:pPr>
          </w:p>
        </w:tc>
        <w:tc>
          <w:tcPr>
            <w:tcW w:w="1814" w:type="dxa"/>
            <w:vAlign w:val="center"/>
          </w:tcPr>
          <w:p w14:paraId="221EC503" w14:textId="77777777" w:rsidR="00454A29" w:rsidRDefault="00454A29">
            <w:pPr>
              <w:pStyle w:val="ConsPlusNormal"/>
            </w:pPr>
          </w:p>
        </w:tc>
        <w:tc>
          <w:tcPr>
            <w:tcW w:w="1701" w:type="dxa"/>
            <w:vAlign w:val="center"/>
          </w:tcPr>
          <w:p w14:paraId="1178C1AF" w14:textId="77777777" w:rsidR="00454A29" w:rsidRDefault="00454A29">
            <w:pPr>
              <w:pStyle w:val="ConsPlusNormal"/>
            </w:pPr>
          </w:p>
        </w:tc>
        <w:tc>
          <w:tcPr>
            <w:tcW w:w="1701" w:type="dxa"/>
            <w:vAlign w:val="center"/>
          </w:tcPr>
          <w:p w14:paraId="60AB15E3" w14:textId="77777777" w:rsidR="00454A29" w:rsidRDefault="00454A29">
            <w:pPr>
              <w:pStyle w:val="ConsPlusNormal"/>
            </w:pPr>
          </w:p>
        </w:tc>
        <w:tc>
          <w:tcPr>
            <w:tcW w:w="1814" w:type="dxa"/>
            <w:vAlign w:val="center"/>
          </w:tcPr>
          <w:p w14:paraId="1E7391F7" w14:textId="77777777" w:rsidR="00454A29" w:rsidRDefault="00454A29">
            <w:pPr>
              <w:pStyle w:val="ConsPlusNormal"/>
            </w:pPr>
          </w:p>
        </w:tc>
      </w:tr>
      <w:tr w:rsidR="00454A29" w14:paraId="4880FD29" w14:textId="77777777">
        <w:tc>
          <w:tcPr>
            <w:tcW w:w="567" w:type="dxa"/>
            <w:vMerge/>
          </w:tcPr>
          <w:p w14:paraId="472F15E4" w14:textId="77777777" w:rsidR="00454A29" w:rsidRDefault="00454A29"/>
        </w:tc>
        <w:tc>
          <w:tcPr>
            <w:tcW w:w="3345" w:type="dxa"/>
            <w:vMerge/>
          </w:tcPr>
          <w:p w14:paraId="7467AA9C" w14:textId="77777777" w:rsidR="00454A29" w:rsidRDefault="00454A29"/>
        </w:tc>
        <w:tc>
          <w:tcPr>
            <w:tcW w:w="1701" w:type="dxa"/>
            <w:vAlign w:val="center"/>
          </w:tcPr>
          <w:p w14:paraId="48091A42" w14:textId="77777777" w:rsidR="00454A29" w:rsidRDefault="00454A29">
            <w:pPr>
              <w:pStyle w:val="ConsPlusNormal"/>
              <w:jc w:val="center"/>
            </w:pPr>
            <w:r>
              <w:t>2021</w:t>
            </w:r>
          </w:p>
        </w:tc>
        <w:tc>
          <w:tcPr>
            <w:tcW w:w="1417" w:type="dxa"/>
            <w:vMerge/>
          </w:tcPr>
          <w:p w14:paraId="20412BEC" w14:textId="77777777" w:rsidR="00454A29" w:rsidRDefault="00454A29"/>
        </w:tc>
        <w:tc>
          <w:tcPr>
            <w:tcW w:w="2204" w:type="dxa"/>
            <w:vMerge/>
          </w:tcPr>
          <w:p w14:paraId="7F3EBD52" w14:textId="77777777" w:rsidR="00454A29" w:rsidRDefault="00454A29"/>
        </w:tc>
        <w:tc>
          <w:tcPr>
            <w:tcW w:w="1417" w:type="dxa"/>
            <w:vMerge/>
          </w:tcPr>
          <w:p w14:paraId="24F1E2A9" w14:textId="77777777" w:rsidR="00454A29" w:rsidRDefault="00454A29"/>
        </w:tc>
        <w:tc>
          <w:tcPr>
            <w:tcW w:w="2324" w:type="dxa"/>
            <w:vMerge/>
          </w:tcPr>
          <w:p w14:paraId="6E912836" w14:textId="77777777" w:rsidR="00454A29" w:rsidRDefault="00454A29"/>
        </w:tc>
        <w:tc>
          <w:tcPr>
            <w:tcW w:w="1701" w:type="dxa"/>
            <w:vAlign w:val="center"/>
          </w:tcPr>
          <w:p w14:paraId="51C09002" w14:textId="77777777" w:rsidR="00454A29" w:rsidRDefault="00454A29">
            <w:pPr>
              <w:pStyle w:val="ConsPlusNormal"/>
            </w:pPr>
          </w:p>
        </w:tc>
        <w:tc>
          <w:tcPr>
            <w:tcW w:w="1814" w:type="dxa"/>
            <w:vAlign w:val="center"/>
          </w:tcPr>
          <w:p w14:paraId="6361883F" w14:textId="77777777" w:rsidR="00454A29" w:rsidRDefault="00454A29">
            <w:pPr>
              <w:pStyle w:val="ConsPlusNormal"/>
            </w:pPr>
          </w:p>
        </w:tc>
        <w:tc>
          <w:tcPr>
            <w:tcW w:w="1701" w:type="dxa"/>
            <w:vAlign w:val="center"/>
          </w:tcPr>
          <w:p w14:paraId="2FB4CBD4" w14:textId="77777777" w:rsidR="00454A29" w:rsidRDefault="00454A29">
            <w:pPr>
              <w:pStyle w:val="ConsPlusNormal"/>
            </w:pPr>
          </w:p>
        </w:tc>
        <w:tc>
          <w:tcPr>
            <w:tcW w:w="1701" w:type="dxa"/>
            <w:vAlign w:val="center"/>
          </w:tcPr>
          <w:p w14:paraId="45FC4FEB" w14:textId="77777777" w:rsidR="00454A29" w:rsidRDefault="00454A29">
            <w:pPr>
              <w:pStyle w:val="ConsPlusNormal"/>
            </w:pPr>
          </w:p>
        </w:tc>
        <w:tc>
          <w:tcPr>
            <w:tcW w:w="1814" w:type="dxa"/>
            <w:vAlign w:val="center"/>
          </w:tcPr>
          <w:p w14:paraId="7B92C448" w14:textId="77777777" w:rsidR="00454A29" w:rsidRDefault="00454A29">
            <w:pPr>
              <w:pStyle w:val="ConsPlusNormal"/>
            </w:pPr>
          </w:p>
        </w:tc>
      </w:tr>
      <w:tr w:rsidR="00454A29" w14:paraId="1C3CE194" w14:textId="77777777">
        <w:tc>
          <w:tcPr>
            <w:tcW w:w="567" w:type="dxa"/>
            <w:vMerge/>
          </w:tcPr>
          <w:p w14:paraId="177CE33E" w14:textId="77777777" w:rsidR="00454A29" w:rsidRDefault="00454A29"/>
        </w:tc>
        <w:tc>
          <w:tcPr>
            <w:tcW w:w="3345" w:type="dxa"/>
            <w:vMerge/>
          </w:tcPr>
          <w:p w14:paraId="2D2670BB" w14:textId="77777777" w:rsidR="00454A29" w:rsidRDefault="00454A29"/>
        </w:tc>
        <w:tc>
          <w:tcPr>
            <w:tcW w:w="1701" w:type="dxa"/>
            <w:vAlign w:val="center"/>
          </w:tcPr>
          <w:p w14:paraId="36BF7A0B" w14:textId="77777777" w:rsidR="00454A29" w:rsidRDefault="00454A29">
            <w:pPr>
              <w:pStyle w:val="ConsPlusNormal"/>
              <w:jc w:val="center"/>
            </w:pPr>
            <w:r>
              <w:t>2022</w:t>
            </w:r>
          </w:p>
        </w:tc>
        <w:tc>
          <w:tcPr>
            <w:tcW w:w="1417" w:type="dxa"/>
            <w:vMerge/>
          </w:tcPr>
          <w:p w14:paraId="6AB9D61B" w14:textId="77777777" w:rsidR="00454A29" w:rsidRDefault="00454A29"/>
        </w:tc>
        <w:tc>
          <w:tcPr>
            <w:tcW w:w="2204" w:type="dxa"/>
            <w:vMerge/>
          </w:tcPr>
          <w:p w14:paraId="7657A90A" w14:textId="77777777" w:rsidR="00454A29" w:rsidRDefault="00454A29"/>
        </w:tc>
        <w:tc>
          <w:tcPr>
            <w:tcW w:w="1417" w:type="dxa"/>
            <w:vMerge/>
          </w:tcPr>
          <w:p w14:paraId="1BFCDFAB" w14:textId="77777777" w:rsidR="00454A29" w:rsidRDefault="00454A29"/>
        </w:tc>
        <w:tc>
          <w:tcPr>
            <w:tcW w:w="2324" w:type="dxa"/>
            <w:vMerge/>
          </w:tcPr>
          <w:p w14:paraId="4F1D607D" w14:textId="77777777" w:rsidR="00454A29" w:rsidRDefault="00454A29"/>
        </w:tc>
        <w:tc>
          <w:tcPr>
            <w:tcW w:w="1701" w:type="dxa"/>
            <w:vAlign w:val="center"/>
          </w:tcPr>
          <w:p w14:paraId="350B6C2F" w14:textId="77777777" w:rsidR="00454A29" w:rsidRDefault="00454A29">
            <w:pPr>
              <w:pStyle w:val="ConsPlusNormal"/>
            </w:pPr>
          </w:p>
        </w:tc>
        <w:tc>
          <w:tcPr>
            <w:tcW w:w="1814" w:type="dxa"/>
            <w:vAlign w:val="center"/>
          </w:tcPr>
          <w:p w14:paraId="12421993" w14:textId="77777777" w:rsidR="00454A29" w:rsidRDefault="00454A29">
            <w:pPr>
              <w:pStyle w:val="ConsPlusNormal"/>
            </w:pPr>
          </w:p>
        </w:tc>
        <w:tc>
          <w:tcPr>
            <w:tcW w:w="1701" w:type="dxa"/>
            <w:vAlign w:val="center"/>
          </w:tcPr>
          <w:p w14:paraId="0CDBCF5B" w14:textId="77777777" w:rsidR="00454A29" w:rsidRDefault="00454A29">
            <w:pPr>
              <w:pStyle w:val="ConsPlusNormal"/>
            </w:pPr>
          </w:p>
        </w:tc>
        <w:tc>
          <w:tcPr>
            <w:tcW w:w="1701" w:type="dxa"/>
            <w:vAlign w:val="center"/>
          </w:tcPr>
          <w:p w14:paraId="67AE9D50" w14:textId="77777777" w:rsidR="00454A29" w:rsidRDefault="00454A29">
            <w:pPr>
              <w:pStyle w:val="ConsPlusNormal"/>
            </w:pPr>
          </w:p>
        </w:tc>
        <w:tc>
          <w:tcPr>
            <w:tcW w:w="1814" w:type="dxa"/>
            <w:vAlign w:val="center"/>
          </w:tcPr>
          <w:p w14:paraId="30D5FC4D" w14:textId="77777777" w:rsidR="00454A29" w:rsidRDefault="00454A29">
            <w:pPr>
              <w:pStyle w:val="ConsPlusNormal"/>
            </w:pPr>
          </w:p>
        </w:tc>
      </w:tr>
      <w:tr w:rsidR="00454A29" w14:paraId="3D73A8DB" w14:textId="77777777">
        <w:tc>
          <w:tcPr>
            <w:tcW w:w="567" w:type="dxa"/>
            <w:vMerge/>
          </w:tcPr>
          <w:p w14:paraId="66A6A8CE" w14:textId="77777777" w:rsidR="00454A29" w:rsidRDefault="00454A29"/>
        </w:tc>
        <w:tc>
          <w:tcPr>
            <w:tcW w:w="3345" w:type="dxa"/>
            <w:vMerge/>
          </w:tcPr>
          <w:p w14:paraId="22A6CFF6" w14:textId="77777777" w:rsidR="00454A29" w:rsidRDefault="00454A29"/>
        </w:tc>
        <w:tc>
          <w:tcPr>
            <w:tcW w:w="1701" w:type="dxa"/>
            <w:vAlign w:val="center"/>
          </w:tcPr>
          <w:p w14:paraId="7484E422" w14:textId="77777777" w:rsidR="00454A29" w:rsidRDefault="00454A29">
            <w:pPr>
              <w:pStyle w:val="ConsPlusNormal"/>
              <w:jc w:val="center"/>
            </w:pPr>
            <w:r>
              <w:t>2023</w:t>
            </w:r>
          </w:p>
        </w:tc>
        <w:tc>
          <w:tcPr>
            <w:tcW w:w="1417" w:type="dxa"/>
            <w:vMerge/>
          </w:tcPr>
          <w:p w14:paraId="2930EF67" w14:textId="77777777" w:rsidR="00454A29" w:rsidRDefault="00454A29"/>
        </w:tc>
        <w:tc>
          <w:tcPr>
            <w:tcW w:w="2204" w:type="dxa"/>
            <w:vMerge/>
          </w:tcPr>
          <w:p w14:paraId="555D106B" w14:textId="77777777" w:rsidR="00454A29" w:rsidRDefault="00454A29"/>
        </w:tc>
        <w:tc>
          <w:tcPr>
            <w:tcW w:w="1417" w:type="dxa"/>
            <w:vMerge/>
          </w:tcPr>
          <w:p w14:paraId="6E4BB614" w14:textId="77777777" w:rsidR="00454A29" w:rsidRDefault="00454A29"/>
        </w:tc>
        <w:tc>
          <w:tcPr>
            <w:tcW w:w="2324" w:type="dxa"/>
            <w:vMerge/>
          </w:tcPr>
          <w:p w14:paraId="69951BF8" w14:textId="77777777" w:rsidR="00454A29" w:rsidRDefault="00454A29"/>
        </w:tc>
        <w:tc>
          <w:tcPr>
            <w:tcW w:w="1701" w:type="dxa"/>
            <w:vAlign w:val="center"/>
          </w:tcPr>
          <w:p w14:paraId="185ED8EE" w14:textId="77777777" w:rsidR="00454A29" w:rsidRDefault="00454A29">
            <w:pPr>
              <w:pStyle w:val="ConsPlusNormal"/>
            </w:pPr>
          </w:p>
        </w:tc>
        <w:tc>
          <w:tcPr>
            <w:tcW w:w="1814" w:type="dxa"/>
            <w:vAlign w:val="center"/>
          </w:tcPr>
          <w:p w14:paraId="09B4E227" w14:textId="77777777" w:rsidR="00454A29" w:rsidRDefault="00454A29">
            <w:pPr>
              <w:pStyle w:val="ConsPlusNormal"/>
            </w:pPr>
          </w:p>
        </w:tc>
        <w:tc>
          <w:tcPr>
            <w:tcW w:w="1701" w:type="dxa"/>
            <w:vAlign w:val="center"/>
          </w:tcPr>
          <w:p w14:paraId="7B54B4C7" w14:textId="77777777" w:rsidR="00454A29" w:rsidRDefault="00454A29">
            <w:pPr>
              <w:pStyle w:val="ConsPlusNormal"/>
            </w:pPr>
          </w:p>
        </w:tc>
        <w:tc>
          <w:tcPr>
            <w:tcW w:w="1701" w:type="dxa"/>
            <w:vAlign w:val="center"/>
          </w:tcPr>
          <w:p w14:paraId="7BA8227C" w14:textId="77777777" w:rsidR="00454A29" w:rsidRDefault="00454A29">
            <w:pPr>
              <w:pStyle w:val="ConsPlusNormal"/>
            </w:pPr>
          </w:p>
        </w:tc>
        <w:tc>
          <w:tcPr>
            <w:tcW w:w="1814" w:type="dxa"/>
            <w:vAlign w:val="center"/>
          </w:tcPr>
          <w:p w14:paraId="7C3FFA56" w14:textId="77777777" w:rsidR="00454A29" w:rsidRDefault="00454A29">
            <w:pPr>
              <w:pStyle w:val="ConsPlusNormal"/>
            </w:pPr>
          </w:p>
        </w:tc>
      </w:tr>
      <w:tr w:rsidR="00454A29" w14:paraId="6FA84DD7" w14:textId="77777777">
        <w:tc>
          <w:tcPr>
            <w:tcW w:w="567" w:type="dxa"/>
            <w:vMerge/>
          </w:tcPr>
          <w:p w14:paraId="1921BDE4" w14:textId="77777777" w:rsidR="00454A29" w:rsidRDefault="00454A29"/>
        </w:tc>
        <w:tc>
          <w:tcPr>
            <w:tcW w:w="3345" w:type="dxa"/>
            <w:vMerge/>
          </w:tcPr>
          <w:p w14:paraId="3E7E8F9F" w14:textId="77777777" w:rsidR="00454A29" w:rsidRDefault="00454A29"/>
        </w:tc>
        <w:tc>
          <w:tcPr>
            <w:tcW w:w="1701" w:type="dxa"/>
            <w:vAlign w:val="center"/>
          </w:tcPr>
          <w:p w14:paraId="18589EA8" w14:textId="77777777" w:rsidR="00454A29" w:rsidRDefault="00454A29">
            <w:pPr>
              <w:pStyle w:val="ConsPlusNormal"/>
              <w:jc w:val="center"/>
            </w:pPr>
            <w:r>
              <w:t>2024</w:t>
            </w:r>
          </w:p>
        </w:tc>
        <w:tc>
          <w:tcPr>
            <w:tcW w:w="1417" w:type="dxa"/>
            <w:vMerge/>
          </w:tcPr>
          <w:p w14:paraId="1ACB48FB" w14:textId="77777777" w:rsidR="00454A29" w:rsidRDefault="00454A29"/>
        </w:tc>
        <w:tc>
          <w:tcPr>
            <w:tcW w:w="2204" w:type="dxa"/>
            <w:vMerge/>
          </w:tcPr>
          <w:p w14:paraId="03BB96A2" w14:textId="77777777" w:rsidR="00454A29" w:rsidRDefault="00454A29"/>
        </w:tc>
        <w:tc>
          <w:tcPr>
            <w:tcW w:w="1417" w:type="dxa"/>
            <w:vMerge/>
          </w:tcPr>
          <w:p w14:paraId="4E8E8956" w14:textId="77777777" w:rsidR="00454A29" w:rsidRDefault="00454A29"/>
        </w:tc>
        <w:tc>
          <w:tcPr>
            <w:tcW w:w="2324" w:type="dxa"/>
            <w:vMerge/>
          </w:tcPr>
          <w:p w14:paraId="4D3782D4" w14:textId="77777777" w:rsidR="00454A29" w:rsidRDefault="00454A29"/>
        </w:tc>
        <w:tc>
          <w:tcPr>
            <w:tcW w:w="1701" w:type="dxa"/>
            <w:vAlign w:val="center"/>
          </w:tcPr>
          <w:p w14:paraId="65A2F001" w14:textId="77777777" w:rsidR="00454A29" w:rsidRDefault="00454A29">
            <w:pPr>
              <w:pStyle w:val="ConsPlusNormal"/>
              <w:jc w:val="center"/>
            </w:pPr>
            <w:r>
              <w:t>-</w:t>
            </w:r>
          </w:p>
        </w:tc>
        <w:tc>
          <w:tcPr>
            <w:tcW w:w="1814" w:type="dxa"/>
            <w:vAlign w:val="center"/>
          </w:tcPr>
          <w:p w14:paraId="36DE5345" w14:textId="77777777" w:rsidR="00454A29" w:rsidRDefault="00454A29">
            <w:pPr>
              <w:pStyle w:val="ConsPlusNormal"/>
            </w:pPr>
          </w:p>
        </w:tc>
        <w:tc>
          <w:tcPr>
            <w:tcW w:w="1701" w:type="dxa"/>
            <w:vAlign w:val="center"/>
          </w:tcPr>
          <w:p w14:paraId="0A2D500B" w14:textId="77777777" w:rsidR="00454A29" w:rsidRDefault="00454A29">
            <w:pPr>
              <w:pStyle w:val="ConsPlusNormal"/>
            </w:pPr>
          </w:p>
        </w:tc>
        <w:tc>
          <w:tcPr>
            <w:tcW w:w="1701" w:type="dxa"/>
            <w:vAlign w:val="center"/>
          </w:tcPr>
          <w:p w14:paraId="07645E89" w14:textId="77777777" w:rsidR="00454A29" w:rsidRDefault="00454A29">
            <w:pPr>
              <w:pStyle w:val="ConsPlusNormal"/>
            </w:pPr>
          </w:p>
        </w:tc>
        <w:tc>
          <w:tcPr>
            <w:tcW w:w="1814" w:type="dxa"/>
            <w:vAlign w:val="center"/>
          </w:tcPr>
          <w:p w14:paraId="308B6B83" w14:textId="77777777" w:rsidR="00454A29" w:rsidRDefault="00454A29">
            <w:pPr>
              <w:pStyle w:val="ConsPlusNormal"/>
            </w:pPr>
          </w:p>
        </w:tc>
      </w:tr>
      <w:tr w:rsidR="00454A29" w14:paraId="01C5D462" w14:textId="77777777">
        <w:tc>
          <w:tcPr>
            <w:tcW w:w="567" w:type="dxa"/>
            <w:vMerge/>
          </w:tcPr>
          <w:p w14:paraId="26BF155D" w14:textId="77777777" w:rsidR="00454A29" w:rsidRDefault="00454A29"/>
        </w:tc>
        <w:tc>
          <w:tcPr>
            <w:tcW w:w="3345" w:type="dxa"/>
            <w:vMerge/>
          </w:tcPr>
          <w:p w14:paraId="0BA345C3" w14:textId="77777777" w:rsidR="00454A29" w:rsidRDefault="00454A29"/>
        </w:tc>
        <w:tc>
          <w:tcPr>
            <w:tcW w:w="1701" w:type="dxa"/>
            <w:vAlign w:val="center"/>
          </w:tcPr>
          <w:p w14:paraId="11B80D6E" w14:textId="77777777" w:rsidR="00454A29" w:rsidRDefault="00454A29">
            <w:pPr>
              <w:pStyle w:val="ConsPlusNormal"/>
              <w:jc w:val="center"/>
            </w:pPr>
            <w:r>
              <w:t>2025</w:t>
            </w:r>
          </w:p>
        </w:tc>
        <w:tc>
          <w:tcPr>
            <w:tcW w:w="1417" w:type="dxa"/>
            <w:vMerge/>
          </w:tcPr>
          <w:p w14:paraId="5CE7E24B" w14:textId="77777777" w:rsidR="00454A29" w:rsidRDefault="00454A29"/>
        </w:tc>
        <w:tc>
          <w:tcPr>
            <w:tcW w:w="2204" w:type="dxa"/>
            <w:vMerge/>
          </w:tcPr>
          <w:p w14:paraId="46E12CF7" w14:textId="77777777" w:rsidR="00454A29" w:rsidRDefault="00454A29"/>
        </w:tc>
        <w:tc>
          <w:tcPr>
            <w:tcW w:w="1417" w:type="dxa"/>
            <w:vMerge/>
          </w:tcPr>
          <w:p w14:paraId="4786D1C7" w14:textId="77777777" w:rsidR="00454A29" w:rsidRDefault="00454A29"/>
        </w:tc>
        <w:tc>
          <w:tcPr>
            <w:tcW w:w="2324" w:type="dxa"/>
            <w:vMerge/>
          </w:tcPr>
          <w:p w14:paraId="1A2A952A" w14:textId="77777777" w:rsidR="00454A29" w:rsidRDefault="00454A29"/>
        </w:tc>
        <w:tc>
          <w:tcPr>
            <w:tcW w:w="1701" w:type="dxa"/>
            <w:vAlign w:val="center"/>
          </w:tcPr>
          <w:p w14:paraId="6EA925E0" w14:textId="77777777" w:rsidR="00454A29" w:rsidRDefault="00454A29">
            <w:pPr>
              <w:pStyle w:val="ConsPlusNormal"/>
              <w:jc w:val="center"/>
            </w:pPr>
            <w:r>
              <w:t>183 912,26</w:t>
            </w:r>
          </w:p>
        </w:tc>
        <w:tc>
          <w:tcPr>
            <w:tcW w:w="1814" w:type="dxa"/>
            <w:vAlign w:val="center"/>
          </w:tcPr>
          <w:p w14:paraId="6A1EF65D" w14:textId="77777777" w:rsidR="00454A29" w:rsidRDefault="00454A29">
            <w:pPr>
              <w:pStyle w:val="ConsPlusNormal"/>
              <w:jc w:val="center"/>
            </w:pPr>
            <w:r>
              <w:t>2 326,49</w:t>
            </w:r>
          </w:p>
        </w:tc>
        <w:tc>
          <w:tcPr>
            <w:tcW w:w="1701" w:type="dxa"/>
            <w:vAlign w:val="center"/>
          </w:tcPr>
          <w:p w14:paraId="40DE2E85" w14:textId="77777777" w:rsidR="00454A29" w:rsidRDefault="00454A29">
            <w:pPr>
              <w:pStyle w:val="ConsPlusNormal"/>
              <w:jc w:val="center"/>
            </w:pPr>
            <w:r>
              <w:t>230 322,52</w:t>
            </w:r>
          </w:p>
        </w:tc>
        <w:tc>
          <w:tcPr>
            <w:tcW w:w="1701" w:type="dxa"/>
            <w:vAlign w:val="center"/>
          </w:tcPr>
          <w:p w14:paraId="26AB6AE7" w14:textId="77777777" w:rsidR="00454A29" w:rsidRDefault="00454A29">
            <w:pPr>
              <w:pStyle w:val="ConsPlusNormal"/>
            </w:pPr>
          </w:p>
        </w:tc>
        <w:tc>
          <w:tcPr>
            <w:tcW w:w="1814" w:type="dxa"/>
            <w:vAlign w:val="center"/>
          </w:tcPr>
          <w:p w14:paraId="1930D771" w14:textId="77777777" w:rsidR="00454A29" w:rsidRDefault="00454A29">
            <w:pPr>
              <w:pStyle w:val="ConsPlusNormal"/>
            </w:pPr>
          </w:p>
        </w:tc>
      </w:tr>
      <w:tr w:rsidR="00454A29" w14:paraId="4419CFBC" w14:textId="77777777">
        <w:tc>
          <w:tcPr>
            <w:tcW w:w="567" w:type="dxa"/>
            <w:vMerge/>
          </w:tcPr>
          <w:p w14:paraId="1D716E46" w14:textId="77777777" w:rsidR="00454A29" w:rsidRDefault="00454A29"/>
        </w:tc>
        <w:tc>
          <w:tcPr>
            <w:tcW w:w="3345" w:type="dxa"/>
            <w:vMerge/>
          </w:tcPr>
          <w:p w14:paraId="23A02F87" w14:textId="77777777" w:rsidR="00454A29" w:rsidRDefault="00454A29"/>
        </w:tc>
        <w:tc>
          <w:tcPr>
            <w:tcW w:w="1701" w:type="dxa"/>
            <w:vAlign w:val="center"/>
          </w:tcPr>
          <w:p w14:paraId="534C0C15" w14:textId="77777777" w:rsidR="00454A29" w:rsidRDefault="00454A29">
            <w:pPr>
              <w:pStyle w:val="ConsPlusNormal"/>
              <w:jc w:val="center"/>
            </w:pPr>
            <w:r>
              <w:t>2026</w:t>
            </w:r>
          </w:p>
        </w:tc>
        <w:tc>
          <w:tcPr>
            <w:tcW w:w="1417" w:type="dxa"/>
            <w:vMerge/>
          </w:tcPr>
          <w:p w14:paraId="27786AC1" w14:textId="77777777" w:rsidR="00454A29" w:rsidRDefault="00454A29"/>
        </w:tc>
        <w:tc>
          <w:tcPr>
            <w:tcW w:w="2204" w:type="dxa"/>
            <w:vMerge/>
          </w:tcPr>
          <w:p w14:paraId="51A441E2" w14:textId="77777777" w:rsidR="00454A29" w:rsidRDefault="00454A29"/>
        </w:tc>
        <w:tc>
          <w:tcPr>
            <w:tcW w:w="1417" w:type="dxa"/>
            <w:vMerge/>
          </w:tcPr>
          <w:p w14:paraId="258057CA" w14:textId="77777777" w:rsidR="00454A29" w:rsidRDefault="00454A29"/>
        </w:tc>
        <w:tc>
          <w:tcPr>
            <w:tcW w:w="2324" w:type="dxa"/>
            <w:vMerge/>
          </w:tcPr>
          <w:p w14:paraId="47B4AE4F" w14:textId="77777777" w:rsidR="00454A29" w:rsidRDefault="00454A29"/>
        </w:tc>
        <w:tc>
          <w:tcPr>
            <w:tcW w:w="1701" w:type="dxa"/>
            <w:vAlign w:val="center"/>
          </w:tcPr>
          <w:p w14:paraId="798FE2F0" w14:textId="77777777" w:rsidR="00454A29" w:rsidRDefault="00454A29">
            <w:pPr>
              <w:pStyle w:val="ConsPlusNormal"/>
            </w:pPr>
          </w:p>
        </w:tc>
        <w:tc>
          <w:tcPr>
            <w:tcW w:w="1814" w:type="dxa"/>
            <w:vAlign w:val="center"/>
          </w:tcPr>
          <w:p w14:paraId="20021404" w14:textId="77777777" w:rsidR="00454A29" w:rsidRDefault="00454A29">
            <w:pPr>
              <w:pStyle w:val="ConsPlusNormal"/>
            </w:pPr>
          </w:p>
        </w:tc>
        <w:tc>
          <w:tcPr>
            <w:tcW w:w="1701" w:type="dxa"/>
            <w:vAlign w:val="center"/>
          </w:tcPr>
          <w:p w14:paraId="0AC696A1" w14:textId="77777777" w:rsidR="00454A29" w:rsidRDefault="00454A29">
            <w:pPr>
              <w:pStyle w:val="ConsPlusNormal"/>
            </w:pPr>
          </w:p>
        </w:tc>
        <w:tc>
          <w:tcPr>
            <w:tcW w:w="1701" w:type="dxa"/>
            <w:vAlign w:val="center"/>
          </w:tcPr>
          <w:p w14:paraId="7F8D424D" w14:textId="77777777" w:rsidR="00454A29" w:rsidRDefault="00454A29">
            <w:pPr>
              <w:pStyle w:val="ConsPlusNormal"/>
            </w:pPr>
          </w:p>
        </w:tc>
        <w:tc>
          <w:tcPr>
            <w:tcW w:w="1814" w:type="dxa"/>
            <w:vAlign w:val="center"/>
          </w:tcPr>
          <w:p w14:paraId="69357D6E" w14:textId="77777777" w:rsidR="00454A29" w:rsidRDefault="00454A29">
            <w:pPr>
              <w:pStyle w:val="ConsPlusNormal"/>
            </w:pPr>
          </w:p>
        </w:tc>
      </w:tr>
      <w:tr w:rsidR="00454A29" w14:paraId="06053020" w14:textId="77777777">
        <w:tc>
          <w:tcPr>
            <w:tcW w:w="21706" w:type="dxa"/>
            <w:gridSpan w:val="12"/>
            <w:vAlign w:val="center"/>
          </w:tcPr>
          <w:p w14:paraId="2D4332EB" w14:textId="77777777" w:rsidR="00454A29" w:rsidRDefault="00454A29">
            <w:pPr>
              <w:pStyle w:val="ConsPlusNormal"/>
              <w:jc w:val="center"/>
              <w:outlineLvl w:val="2"/>
            </w:pPr>
            <w:r>
              <w:t>МР "Нижнеколымский район"</w:t>
            </w:r>
          </w:p>
        </w:tc>
      </w:tr>
      <w:tr w:rsidR="00454A29" w14:paraId="6D7B2928" w14:textId="77777777">
        <w:tc>
          <w:tcPr>
            <w:tcW w:w="567" w:type="dxa"/>
            <w:vMerge w:val="restart"/>
            <w:vAlign w:val="center"/>
          </w:tcPr>
          <w:p w14:paraId="1013EB6F" w14:textId="77777777" w:rsidR="00454A29" w:rsidRDefault="00454A29">
            <w:pPr>
              <w:pStyle w:val="ConsPlusNormal"/>
              <w:jc w:val="center"/>
            </w:pPr>
            <w:r>
              <w:t>89</w:t>
            </w:r>
          </w:p>
        </w:tc>
        <w:tc>
          <w:tcPr>
            <w:tcW w:w="3345" w:type="dxa"/>
            <w:vMerge w:val="restart"/>
            <w:vAlign w:val="center"/>
          </w:tcPr>
          <w:p w14:paraId="673BB074" w14:textId="77777777" w:rsidR="00454A29" w:rsidRDefault="00454A29">
            <w:pPr>
              <w:pStyle w:val="ConsPlusNormal"/>
              <w:jc w:val="center"/>
            </w:pPr>
            <w:r>
              <w:t>Школа - сад на 80/45 мест в с. Колымское</w:t>
            </w:r>
          </w:p>
        </w:tc>
        <w:tc>
          <w:tcPr>
            <w:tcW w:w="1701" w:type="dxa"/>
            <w:vAlign w:val="center"/>
          </w:tcPr>
          <w:p w14:paraId="77ED35A4" w14:textId="77777777" w:rsidR="00454A29" w:rsidRDefault="00454A29">
            <w:pPr>
              <w:pStyle w:val="ConsPlusNormal"/>
              <w:jc w:val="center"/>
            </w:pPr>
            <w:r>
              <w:t>2020 - 2026 годы - всего</w:t>
            </w:r>
          </w:p>
        </w:tc>
        <w:tc>
          <w:tcPr>
            <w:tcW w:w="1417" w:type="dxa"/>
            <w:vMerge w:val="restart"/>
            <w:vAlign w:val="center"/>
          </w:tcPr>
          <w:p w14:paraId="622FDD2C" w14:textId="77777777" w:rsidR="00454A29" w:rsidRDefault="00454A29">
            <w:pPr>
              <w:pStyle w:val="ConsPlusNormal"/>
              <w:jc w:val="center"/>
            </w:pPr>
            <w:r>
              <w:t>431 987,91</w:t>
            </w:r>
          </w:p>
        </w:tc>
        <w:tc>
          <w:tcPr>
            <w:tcW w:w="2204" w:type="dxa"/>
            <w:vMerge w:val="restart"/>
            <w:vAlign w:val="center"/>
          </w:tcPr>
          <w:p w14:paraId="6144BFEB" w14:textId="77777777" w:rsidR="00454A29" w:rsidRDefault="00454A29">
            <w:pPr>
              <w:pStyle w:val="ConsPlusNormal"/>
            </w:pPr>
          </w:p>
        </w:tc>
        <w:tc>
          <w:tcPr>
            <w:tcW w:w="1417" w:type="dxa"/>
            <w:vMerge w:val="restart"/>
            <w:vAlign w:val="center"/>
          </w:tcPr>
          <w:p w14:paraId="25837988" w14:textId="77777777" w:rsidR="00454A29" w:rsidRDefault="00454A29">
            <w:pPr>
              <w:pStyle w:val="ConsPlusNormal"/>
              <w:jc w:val="center"/>
            </w:pPr>
            <w:r>
              <w:t>80</w:t>
            </w:r>
          </w:p>
        </w:tc>
        <w:tc>
          <w:tcPr>
            <w:tcW w:w="2324" w:type="dxa"/>
            <w:vMerge w:val="restart"/>
            <w:vAlign w:val="center"/>
          </w:tcPr>
          <w:p w14:paraId="3FDA241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EA80783" w14:textId="77777777" w:rsidR="00454A29" w:rsidRDefault="00454A29">
            <w:pPr>
              <w:pStyle w:val="ConsPlusNormal"/>
              <w:jc w:val="center"/>
            </w:pPr>
            <w:r>
              <w:t>431 987,91</w:t>
            </w:r>
          </w:p>
        </w:tc>
        <w:tc>
          <w:tcPr>
            <w:tcW w:w="1814" w:type="dxa"/>
            <w:vAlign w:val="center"/>
          </w:tcPr>
          <w:p w14:paraId="7F34EF0C" w14:textId="77777777" w:rsidR="00454A29" w:rsidRDefault="00454A29">
            <w:pPr>
              <w:pStyle w:val="ConsPlusNormal"/>
              <w:jc w:val="center"/>
            </w:pPr>
            <w:r>
              <w:t>5 322,09</w:t>
            </w:r>
          </w:p>
        </w:tc>
        <w:tc>
          <w:tcPr>
            <w:tcW w:w="1701" w:type="dxa"/>
            <w:vAlign w:val="center"/>
          </w:tcPr>
          <w:p w14:paraId="2CC3A3FC" w14:textId="77777777" w:rsidR="00454A29" w:rsidRDefault="00454A29">
            <w:pPr>
              <w:pStyle w:val="ConsPlusNormal"/>
              <w:jc w:val="center"/>
            </w:pPr>
            <w:r>
              <w:t>526 887,01</w:t>
            </w:r>
          </w:p>
        </w:tc>
        <w:tc>
          <w:tcPr>
            <w:tcW w:w="1701" w:type="dxa"/>
            <w:vAlign w:val="center"/>
          </w:tcPr>
          <w:p w14:paraId="6876C180" w14:textId="77777777" w:rsidR="00454A29" w:rsidRDefault="00454A29">
            <w:pPr>
              <w:pStyle w:val="ConsPlusNormal"/>
              <w:jc w:val="center"/>
            </w:pPr>
            <w:r>
              <w:t>-</w:t>
            </w:r>
          </w:p>
        </w:tc>
        <w:tc>
          <w:tcPr>
            <w:tcW w:w="1814" w:type="dxa"/>
            <w:vAlign w:val="center"/>
          </w:tcPr>
          <w:p w14:paraId="2EEA4C3A" w14:textId="77777777" w:rsidR="00454A29" w:rsidRDefault="00454A29">
            <w:pPr>
              <w:pStyle w:val="ConsPlusNormal"/>
              <w:jc w:val="center"/>
            </w:pPr>
            <w:r>
              <w:t>-</w:t>
            </w:r>
          </w:p>
        </w:tc>
      </w:tr>
      <w:tr w:rsidR="00454A29" w14:paraId="6ADBED87" w14:textId="77777777">
        <w:tc>
          <w:tcPr>
            <w:tcW w:w="567" w:type="dxa"/>
            <w:vMerge/>
          </w:tcPr>
          <w:p w14:paraId="28E6C670" w14:textId="77777777" w:rsidR="00454A29" w:rsidRDefault="00454A29"/>
        </w:tc>
        <w:tc>
          <w:tcPr>
            <w:tcW w:w="3345" w:type="dxa"/>
            <w:vMerge/>
          </w:tcPr>
          <w:p w14:paraId="38578789" w14:textId="77777777" w:rsidR="00454A29" w:rsidRDefault="00454A29"/>
        </w:tc>
        <w:tc>
          <w:tcPr>
            <w:tcW w:w="1701" w:type="dxa"/>
            <w:vAlign w:val="center"/>
          </w:tcPr>
          <w:p w14:paraId="10F76C3D" w14:textId="77777777" w:rsidR="00454A29" w:rsidRDefault="00454A29">
            <w:pPr>
              <w:pStyle w:val="ConsPlusNormal"/>
              <w:jc w:val="center"/>
            </w:pPr>
            <w:r>
              <w:t>2020</w:t>
            </w:r>
          </w:p>
        </w:tc>
        <w:tc>
          <w:tcPr>
            <w:tcW w:w="1417" w:type="dxa"/>
            <w:vMerge/>
          </w:tcPr>
          <w:p w14:paraId="7F000EFD" w14:textId="77777777" w:rsidR="00454A29" w:rsidRDefault="00454A29"/>
        </w:tc>
        <w:tc>
          <w:tcPr>
            <w:tcW w:w="2204" w:type="dxa"/>
            <w:vMerge/>
          </w:tcPr>
          <w:p w14:paraId="404BEDE8" w14:textId="77777777" w:rsidR="00454A29" w:rsidRDefault="00454A29"/>
        </w:tc>
        <w:tc>
          <w:tcPr>
            <w:tcW w:w="1417" w:type="dxa"/>
            <w:vMerge/>
          </w:tcPr>
          <w:p w14:paraId="3BF2A9A2" w14:textId="77777777" w:rsidR="00454A29" w:rsidRDefault="00454A29"/>
        </w:tc>
        <w:tc>
          <w:tcPr>
            <w:tcW w:w="2324" w:type="dxa"/>
            <w:vMerge/>
          </w:tcPr>
          <w:p w14:paraId="67628936" w14:textId="77777777" w:rsidR="00454A29" w:rsidRDefault="00454A29"/>
        </w:tc>
        <w:tc>
          <w:tcPr>
            <w:tcW w:w="1701" w:type="dxa"/>
            <w:vAlign w:val="center"/>
          </w:tcPr>
          <w:p w14:paraId="4A36C2E5" w14:textId="77777777" w:rsidR="00454A29" w:rsidRDefault="00454A29">
            <w:pPr>
              <w:pStyle w:val="ConsPlusNormal"/>
            </w:pPr>
          </w:p>
        </w:tc>
        <w:tc>
          <w:tcPr>
            <w:tcW w:w="1814" w:type="dxa"/>
            <w:vAlign w:val="center"/>
          </w:tcPr>
          <w:p w14:paraId="31DFA2B5" w14:textId="77777777" w:rsidR="00454A29" w:rsidRDefault="00454A29">
            <w:pPr>
              <w:pStyle w:val="ConsPlusNormal"/>
            </w:pPr>
          </w:p>
        </w:tc>
        <w:tc>
          <w:tcPr>
            <w:tcW w:w="1701" w:type="dxa"/>
            <w:vAlign w:val="center"/>
          </w:tcPr>
          <w:p w14:paraId="6B71D996" w14:textId="77777777" w:rsidR="00454A29" w:rsidRDefault="00454A29">
            <w:pPr>
              <w:pStyle w:val="ConsPlusNormal"/>
            </w:pPr>
          </w:p>
        </w:tc>
        <w:tc>
          <w:tcPr>
            <w:tcW w:w="1701" w:type="dxa"/>
            <w:vAlign w:val="center"/>
          </w:tcPr>
          <w:p w14:paraId="09B5358C" w14:textId="77777777" w:rsidR="00454A29" w:rsidRDefault="00454A29">
            <w:pPr>
              <w:pStyle w:val="ConsPlusNormal"/>
            </w:pPr>
          </w:p>
        </w:tc>
        <w:tc>
          <w:tcPr>
            <w:tcW w:w="1814" w:type="dxa"/>
            <w:vAlign w:val="center"/>
          </w:tcPr>
          <w:p w14:paraId="07D3FEA0" w14:textId="77777777" w:rsidR="00454A29" w:rsidRDefault="00454A29">
            <w:pPr>
              <w:pStyle w:val="ConsPlusNormal"/>
            </w:pPr>
          </w:p>
        </w:tc>
      </w:tr>
      <w:tr w:rsidR="00454A29" w14:paraId="27AA9D43" w14:textId="77777777">
        <w:tc>
          <w:tcPr>
            <w:tcW w:w="567" w:type="dxa"/>
            <w:vMerge/>
          </w:tcPr>
          <w:p w14:paraId="12345718" w14:textId="77777777" w:rsidR="00454A29" w:rsidRDefault="00454A29"/>
        </w:tc>
        <w:tc>
          <w:tcPr>
            <w:tcW w:w="3345" w:type="dxa"/>
            <w:vMerge/>
          </w:tcPr>
          <w:p w14:paraId="7CFE01B7" w14:textId="77777777" w:rsidR="00454A29" w:rsidRDefault="00454A29"/>
        </w:tc>
        <w:tc>
          <w:tcPr>
            <w:tcW w:w="1701" w:type="dxa"/>
            <w:vAlign w:val="center"/>
          </w:tcPr>
          <w:p w14:paraId="3794CD0E" w14:textId="77777777" w:rsidR="00454A29" w:rsidRDefault="00454A29">
            <w:pPr>
              <w:pStyle w:val="ConsPlusNormal"/>
              <w:jc w:val="center"/>
            </w:pPr>
            <w:r>
              <w:t>2021</w:t>
            </w:r>
          </w:p>
        </w:tc>
        <w:tc>
          <w:tcPr>
            <w:tcW w:w="1417" w:type="dxa"/>
            <w:vMerge/>
          </w:tcPr>
          <w:p w14:paraId="628B6A6D" w14:textId="77777777" w:rsidR="00454A29" w:rsidRDefault="00454A29"/>
        </w:tc>
        <w:tc>
          <w:tcPr>
            <w:tcW w:w="2204" w:type="dxa"/>
            <w:vMerge/>
          </w:tcPr>
          <w:p w14:paraId="197EB75C" w14:textId="77777777" w:rsidR="00454A29" w:rsidRDefault="00454A29"/>
        </w:tc>
        <w:tc>
          <w:tcPr>
            <w:tcW w:w="1417" w:type="dxa"/>
            <w:vMerge/>
          </w:tcPr>
          <w:p w14:paraId="2D4CFD25" w14:textId="77777777" w:rsidR="00454A29" w:rsidRDefault="00454A29"/>
        </w:tc>
        <w:tc>
          <w:tcPr>
            <w:tcW w:w="2324" w:type="dxa"/>
            <w:vMerge/>
          </w:tcPr>
          <w:p w14:paraId="7D983B2C" w14:textId="77777777" w:rsidR="00454A29" w:rsidRDefault="00454A29"/>
        </w:tc>
        <w:tc>
          <w:tcPr>
            <w:tcW w:w="1701" w:type="dxa"/>
            <w:vAlign w:val="center"/>
          </w:tcPr>
          <w:p w14:paraId="5422F2CE" w14:textId="77777777" w:rsidR="00454A29" w:rsidRDefault="00454A29">
            <w:pPr>
              <w:pStyle w:val="ConsPlusNormal"/>
              <w:jc w:val="center"/>
            </w:pPr>
            <w:r>
              <w:t>-</w:t>
            </w:r>
          </w:p>
        </w:tc>
        <w:tc>
          <w:tcPr>
            <w:tcW w:w="1814" w:type="dxa"/>
            <w:vAlign w:val="center"/>
          </w:tcPr>
          <w:p w14:paraId="5BC9B15C" w14:textId="77777777" w:rsidR="00454A29" w:rsidRDefault="00454A29">
            <w:pPr>
              <w:pStyle w:val="ConsPlusNormal"/>
            </w:pPr>
          </w:p>
        </w:tc>
        <w:tc>
          <w:tcPr>
            <w:tcW w:w="1701" w:type="dxa"/>
            <w:vAlign w:val="center"/>
          </w:tcPr>
          <w:p w14:paraId="63A5FF2B" w14:textId="77777777" w:rsidR="00454A29" w:rsidRDefault="00454A29">
            <w:pPr>
              <w:pStyle w:val="ConsPlusNormal"/>
            </w:pPr>
          </w:p>
        </w:tc>
        <w:tc>
          <w:tcPr>
            <w:tcW w:w="1701" w:type="dxa"/>
            <w:vAlign w:val="center"/>
          </w:tcPr>
          <w:p w14:paraId="723B1246" w14:textId="77777777" w:rsidR="00454A29" w:rsidRDefault="00454A29">
            <w:pPr>
              <w:pStyle w:val="ConsPlusNormal"/>
            </w:pPr>
          </w:p>
        </w:tc>
        <w:tc>
          <w:tcPr>
            <w:tcW w:w="1814" w:type="dxa"/>
            <w:vAlign w:val="center"/>
          </w:tcPr>
          <w:p w14:paraId="5F38F8B8" w14:textId="77777777" w:rsidR="00454A29" w:rsidRDefault="00454A29">
            <w:pPr>
              <w:pStyle w:val="ConsPlusNormal"/>
            </w:pPr>
          </w:p>
        </w:tc>
      </w:tr>
      <w:tr w:rsidR="00454A29" w14:paraId="55DD2BC3" w14:textId="77777777">
        <w:tc>
          <w:tcPr>
            <w:tcW w:w="567" w:type="dxa"/>
            <w:vMerge/>
          </w:tcPr>
          <w:p w14:paraId="575FD4D3" w14:textId="77777777" w:rsidR="00454A29" w:rsidRDefault="00454A29"/>
        </w:tc>
        <w:tc>
          <w:tcPr>
            <w:tcW w:w="3345" w:type="dxa"/>
            <w:vMerge/>
          </w:tcPr>
          <w:p w14:paraId="1274996B" w14:textId="77777777" w:rsidR="00454A29" w:rsidRDefault="00454A29"/>
        </w:tc>
        <w:tc>
          <w:tcPr>
            <w:tcW w:w="1701" w:type="dxa"/>
            <w:vAlign w:val="center"/>
          </w:tcPr>
          <w:p w14:paraId="1E2E4D87" w14:textId="77777777" w:rsidR="00454A29" w:rsidRDefault="00454A29">
            <w:pPr>
              <w:pStyle w:val="ConsPlusNormal"/>
              <w:jc w:val="center"/>
            </w:pPr>
            <w:r>
              <w:t>2022</w:t>
            </w:r>
          </w:p>
        </w:tc>
        <w:tc>
          <w:tcPr>
            <w:tcW w:w="1417" w:type="dxa"/>
            <w:vMerge/>
          </w:tcPr>
          <w:p w14:paraId="7160FB99" w14:textId="77777777" w:rsidR="00454A29" w:rsidRDefault="00454A29"/>
        </w:tc>
        <w:tc>
          <w:tcPr>
            <w:tcW w:w="2204" w:type="dxa"/>
            <w:vMerge/>
          </w:tcPr>
          <w:p w14:paraId="30A10855" w14:textId="77777777" w:rsidR="00454A29" w:rsidRDefault="00454A29"/>
        </w:tc>
        <w:tc>
          <w:tcPr>
            <w:tcW w:w="1417" w:type="dxa"/>
            <w:vMerge/>
          </w:tcPr>
          <w:p w14:paraId="2CC96026" w14:textId="77777777" w:rsidR="00454A29" w:rsidRDefault="00454A29"/>
        </w:tc>
        <w:tc>
          <w:tcPr>
            <w:tcW w:w="2324" w:type="dxa"/>
            <w:vMerge/>
          </w:tcPr>
          <w:p w14:paraId="447A5F48" w14:textId="77777777" w:rsidR="00454A29" w:rsidRDefault="00454A29"/>
        </w:tc>
        <w:tc>
          <w:tcPr>
            <w:tcW w:w="1701" w:type="dxa"/>
            <w:vAlign w:val="center"/>
          </w:tcPr>
          <w:p w14:paraId="25A61FF4" w14:textId="77777777" w:rsidR="00454A29" w:rsidRDefault="00454A29">
            <w:pPr>
              <w:pStyle w:val="ConsPlusNormal"/>
            </w:pPr>
          </w:p>
        </w:tc>
        <w:tc>
          <w:tcPr>
            <w:tcW w:w="1814" w:type="dxa"/>
            <w:vAlign w:val="center"/>
          </w:tcPr>
          <w:p w14:paraId="7124A276" w14:textId="77777777" w:rsidR="00454A29" w:rsidRDefault="00454A29">
            <w:pPr>
              <w:pStyle w:val="ConsPlusNormal"/>
            </w:pPr>
          </w:p>
        </w:tc>
        <w:tc>
          <w:tcPr>
            <w:tcW w:w="1701" w:type="dxa"/>
            <w:vAlign w:val="center"/>
          </w:tcPr>
          <w:p w14:paraId="25798C5E" w14:textId="77777777" w:rsidR="00454A29" w:rsidRDefault="00454A29">
            <w:pPr>
              <w:pStyle w:val="ConsPlusNormal"/>
            </w:pPr>
          </w:p>
        </w:tc>
        <w:tc>
          <w:tcPr>
            <w:tcW w:w="1701" w:type="dxa"/>
            <w:vAlign w:val="center"/>
          </w:tcPr>
          <w:p w14:paraId="430AC398" w14:textId="77777777" w:rsidR="00454A29" w:rsidRDefault="00454A29">
            <w:pPr>
              <w:pStyle w:val="ConsPlusNormal"/>
            </w:pPr>
          </w:p>
        </w:tc>
        <w:tc>
          <w:tcPr>
            <w:tcW w:w="1814" w:type="dxa"/>
            <w:vAlign w:val="center"/>
          </w:tcPr>
          <w:p w14:paraId="0EFE8912" w14:textId="77777777" w:rsidR="00454A29" w:rsidRDefault="00454A29">
            <w:pPr>
              <w:pStyle w:val="ConsPlusNormal"/>
            </w:pPr>
          </w:p>
        </w:tc>
      </w:tr>
      <w:tr w:rsidR="00454A29" w14:paraId="49B00A3A" w14:textId="77777777">
        <w:tc>
          <w:tcPr>
            <w:tcW w:w="567" w:type="dxa"/>
            <w:vMerge/>
          </w:tcPr>
          <w:p w14:paraId="20E4C8D5" w14:textId="77777777" w:rsidR="00454A29" w:rsidRDefault="00454A29"/>
        </w:tc>
        <w:tc>
          <w:tcPr>
            <w:tcW w:w="3345" w:type="dxa"/>
            <w:vMerge/>
          </w:tcPr>
          <w:p w14:paraId="03F969ED" w14:textId="77777777" w:rsidR="00454A29" w:rsidRDefault="00454A29"/>
        </w:tc>
        <w:tc>
          <w:tcPr>
            <w:tcW w:w="1701" w:type="dxa"/>
            <w:vAlign w:val="center"/>
          </w:tcPr>
          <w:p w14:paraId="126154B6" w14:textId="77777777" w:rsidR="00454A29" w:rsidRDefault="00454A29">
            <w:pPr>
              <w:pStyle w:val="ConsPlusNormal"/>
              <w:jc w:val="center"/>
            </w:pPr>
            <w:r>
              <w:t>2023</w:t>
            </w:r>
          </w:p>
        </w:tc>
        <w:tc>
          <w:tcPr>
            <w:tcW w:w="1417" w:type="dxa"/>
            <w:vMerge/>
          </w:tcPr>
          <w:p w14:paraId="3AFB72A7" w14:textId="77777777" w:rsidR="00454A29" w:rsidRDefault="00454A29"/>
        </w:tc>
        <w:tc>
          <w:tcPr>
            <w:tcW w:w="2204" w:type="dxa"/>
            <w:vMerge/>
          </w:tcPr>
          <w:p w14:paraId="5B6A54C5" w14:textId="77777777" w:rsidR="00454A29" w:rsidRDefault="00454A29"/>
        </w:tc>
        <w:tc>
          <w:tcPr>
            <w:tcW w:w="1417" w:type="dxa"/>
            <w:vMerge/>
          </w:tcPr>
          <w:p w14:paraId="1942FD2F" w14:textId="77777777" w:rsidR="00454A29" w:rsidRDefault="00454A29"/>
        </w:tc>
        <w:tc>
          <w:tcPr>
            <w:tcW w:w="2324" w:type="dxa"/>
            <w:vMerge/>
          </w:tcPr>
          <w:p w14:paraId="39F7B1F7" w14:textId="77777777" w:rsidR="00454A29" w:rsidRDefault="00454A29"/>
        </w:tc>
        <w:tc>
          <w:tcPr>
            <w:tcW w:w="1701" w:type="dxa"/>
            <w:vAlign w:val="center"/>
          </w:tcPr>
          <w:p w14:paraId="6E732BEA" w14:textId="77777777" w:rsidR="00454A29" w:rsidRDefault="00454A29">
            <w:pPr>
              <w:pStyle w:val="ConsPlusNormal"/>
            </w:pPr>
          </w:p>
        </w:tc>
        <w:tc>
          <w:tcPr>
            <w:tcW w:w="1814" w:type="dxa"/>
            <w:vAlign w:val="center"/>
          </w:tcPr>
          <w:p w14:paraId="5368B262" w14:textId="77777777" w:rsidR="00454A29" w:rsidRDefault="00454A29">
            <w:pPr>
              <w:pStyle w:val="ConsPlusNormal"/>
            </w:pPr>
          </w:p>
        </w:tc>
        <w:tc>
          <w:tcPr>
            <w:tcW w:w="1701" w:type="dxa"/>
            <w:vAlign w:val="center"/>
          </w:tcPr>
          <w:p w14:paraId="72903589" w14:textId="77777777" w:rsidR="00454A29" w:rsidRDefault="00454A29">
            <w:pPr>
              <w:pStyle w:val="ConsPlusNormal"/>
            </w:pPr>
          </w:p>
        </w:tc>
        <w:tc>
          <w:tcPr>
            <w:tcW w:w="1701" w:type="dxa"/>
            <w:vAlign w:val="center"/>
          </w:tcPr>
          <w:p w14:paraId="2162C41B" w14:textId="77777777" w:rsidR="00454A29" w:rsidRDefault="00454A29">
            <w:pPr>
              <w:pStyle w:val="ConsPlusNormal"/>
            </w:pPr>
          </w:p>
        </w:tc>
        <w:tc>
          <w:tcPr>
            <w:tcW w:w="1814" w:type="dxa"/>
            <w:vAlign w:val="center"/>
          </w:tcPr>
          <w:p w14:paraId="6509F2AF" w14:textId="77777777" w:rsidR="00454A29" w:rsidRDefault="00454A29">
            <w:pPr>
              <w:pStyle w:val="ConsPlusNormal"/>
            </w:pPr>
          </w:p>
        </w:tc>
      </w:tr>
      <w:tr w:rsidR="00454A29" w14:paraId="392061BB" w14:textId="77777777">
        <w:tc>
          <w:tcPr>
            <w:tcW w:w="567" w:type="dxa"/>
            <w:vMerge/>
          </w:tcPr>
          <w:p w14:paraId="01852712" w14:textId="77777777" w:rsidR="00454A29" w:rsidRDefault="00454A29"/>
        </w:tc>
        <w:tc>
          <w:tcPr>
            <w:tcW w:w="3345" w:type="dxa"/>
            <w:vMerge/>
          </w:tcPr>
          <w:p w14:paraId="6C388267" w14:textId="77777777" w:rsidR="00454A29" w:rsidRDefault="00454A29"/>
        </w:tc>
        <w:tc>
          <w:tcPr>
            <w:tcW w:w="1701" w:type="dxa"/>
            <w:vAlign w:val="center"/>
          </w:tcPr>
          <w:p w14:paraId="4EEF9158" w14:textId="77777777" w:rsidR="00454A29" w:rsidRDefault="00454A29">
            <w:pPr>
              <w:pStyle w:val="ConsPlusNormal"/>
              <w:jc w:val="center"/>
            </w:pPr>
            <w:r>
              <w:t>2024</w:t>
            </w:r>
          </w:p>
        </w:tc>
        <w:tc>
          <w:tcPr>
            <w:tcW w:w="1417" w:type="dxa"/>
            <w:vMerge/>
          </w:tcPr>
          <w:p w14:paraId="57A7BFF3" w14:textId="77777777" w:rsidR="00454A29" w:rsidRDefault="00454A29"/>
        </w:tc>
        <w:tc>
          <w:tcPr>
            <w:tcW w:w="2204" w:type="dxa"/>
            <w:vMerge/>
          </w:tcPr>
          <w:p w14:paraId="597BA518" w14:textId="77777777" w:rsidR="00454A29" w:rsidRDefault="00454A29"/>
        </w:tc>
        <w:tc>
          <w:tcPr>
            <w:tcW w:w="1417" w:type="dxa"/>
            <w:vMerge/>
          </w:tcPr>
          <w:p w14:paraId="77795F0F" w14:textId="77777777" w:rsidR="00454A29" w:rsidRDefault="00454A29"/>
        </w:tc>
        <w:tc>
          <w:tcPr>
            <w:tcW w:w="2324" w:type="dxa"/>
            <w:vMerge/>
          </w:tcPr>
          <w:p w14:paraId="0640BE62" w14:textId="77777777" w:rsidR="00454A29" w:rsidRDefault="00454A29"/>
        </w:tc>
        <w:tc>
          <w:tcPr>
            <w:tcW w:w="1701" w:type="dxa"/>
            <w:vAlign w:val="center"/>
          </w:tcPr>
          <w:p w14:paraId="7CD479DC" w14:textId="77777777" w:rsidR="00454A29" w:rsidRDefault="00454A29">
            <w:pPr>
              <w:pStyle w:val="ConsPlusNormal"/>
            </w:pPr>
          </w:p>
        </w:tc>
        <w:tc>
          <w:tcPr>
            <w:tcW w:w="1814" w:type="dxa"/>
            <w:vAlign w:val="center"/>
          </w:tcPr>
          <w:p w14:paraId="7E53D8F7" w14:textId="77777777" w:rsidR="00454A29" w:rsidRDefault="00454A29">
            <w:pPr>
              <w:pStyle w:val="ConsPlusNormal"/>
            </w:pPr>
          </w:p>
        </w:tc>
        <w:tc>
          <w:tcPr>
            <w:tcW w:w="1701" w:type="dxa"/>
            <w:vAlign w:val="center"/>
          </w:tcPr>
          <w:p w14:paraId="71B7793C" w14:textId="77777777" w:rsidR="00454A29" w:rsidRDefault="00454A29">
            <w:pPr>
              <w:pStyle w:val="ConsPlusNormal"/>
            </w:pPr>
          </w:p>
        </w:tc>
        <w:tc>
          <w:tcPr>
            <w:tcW w:w="1701" w:type="dxa"/>
            <w:vAlign w:val="center"/>
          </w:tcPr>
          <w:p w14:paraId="26B2D63B" w14:textId="77777777" w:rsidR="00454A29" w:rsidRDefault="00454A29">
            <w:pPr>
              <w:pStyle w:val="ConsPlusNormal"/>
            </w:pPr>
          </w:p>
        </w:tc>
        <w:tc>
          <w:tcPr>
            <w:tcW w:w="1814" w:type="dxa"/>
            <w:vAlign w:val="center"/>
          </w:tcPr>
          <w:p w14:paraId="35D14A69" w14:textId="77777777" w:rsidR="00454A29" w:rsidRDefault="00454A29">
            <w:pPr>
              <w:pStyle w:val="ConsPlusNormal"/>
            </w:pPr>
          </w:p>
        </w:tc>
      </w:tr>
      <w:tr w:rsidR="00454A29" w14:paraId="43D86A08" w14:textId="77777777">
        <w:tc>
          <w:tcPr>
            <w:tcW w:w="567" w:type="dxa"/>
            <w:vMerge/>
          </w:tcPr>
          <w:p w14:paraId="2A5216A1" w14:textId="77777777" w:rsidR="00454A29" w:rsidRDefault="00454A29"/>
        </w:tc>
        <w:tc>
          <w:tcPr>
            <w:tcW w:w="3345" w:type="dxa"/>
            <w:vMerge/>
          </w:tcPr>
          <w:p w14:paraId="2A3AF435" w14:textId="77777777" w:rsidR="00454A29" w:rsidRDefault="00454A29"/>
        </w:tc>
        <w:tc>
          <w:tcPr>
            <w:tcW w:w="1701" w:type="dxa"/>
            <w:vAlign w:val="center"/>
          </w:tcPr>
          <w:p w14:paraId="32B7674D" w14:textId="77777777" w:rsidR="00454A29" w:rsidRDefault="00454A29">
            <w:pPr>
              <w:pStyle w:val="ConsPlusNormal"/>
              <w:jc w:val="center"/>
            </w:pPr>
            <w:r>
              <w:t>2025</w:t>
            </w:r>
          </w:p>
        </w:tc>
        <w:tc>
          <w:tcPr>
            <w:tcW w:w="1417" w:type="dxa"/>
            <w:vMerge/>
          </w:tcPr>
          <w:p w14:paraId="4102CAD7" w14:textId="77777777" w:rsidR="00454A29" w:rsidRDefault="00454A29"/>
        </w:tc>
        <w:tc>
          <w:tcPr>
            <w:tcW w:w="2204" w:type="dxa"/>
            <w:vMerge/>
          </w:tcPr>
          <w:p w14:paraId="232C7A17" w14:textId="77777777" w:rsidR="00454A29" w:rsidRDefault="00454A29"/>
        </w:tc>
        <w:tc>
          <w:tcPr>
            <w:tcW w:w="1417" w:type="dxa"/>
            <w:vMerge/>
          </w:tcPr>
          <w:p w14:paraId="7C5491FA" w14:textId="77777777" w:rsidR="00454A29" w:rsidRDefault="00454A29"/>
        </w:tc>
        <w:tc>
          <w:tcPr>
            <w:tcW w:w="2324" w:type="dxa"/>
            <w:vMerge/>
          </w:tcPr>
          <w:p w14:paraId="53712AEA" w14:textId="77777777" w:rsidR="00454A29" w:rsidRDefault="00454A29"/>
        </w:tc>
        <w:tc>
          <w:tcPr>
            <w:tcW w:w="1701" w:type="dxa"/>
            <w:vAlign w:val="center"/>
          </w:tcPr>
          <w:p w14:paraId="37884008" w14:textId="77777777" w:rsidR="00454A29" w:rsidRDefault="00454A29">
            <w:pPr>
              <w:pStyle w:val="ConsPlusNormal"/>
            </w:pPr>
          </w:p>
        </w:tc>
        <w:tc>
          <w:tcPr>
            <w:tcW w:w="1814" w:type="dxa"/>
            <w:vAlign w:val="center"/>
          </w:tcPr>
          <w:p w14:paraId="010D3167" w14:textId="77777777" w:rsidR="00454A29" w:rsidRDefault="00454A29">
            <w:pPr>
              <w:pStyle w:val="ConsPlusNormal"/>
            </w:pPr>
          </w:p>
        </w:tc>
        <w:tc>
          <w:tcPr>
            <w:tcW w:w="1701" w:type="dxa"/>
            <w:vAlign w:val="center"/>
          </w:tcPr>
          <w:p w14:paraId="722CDC42" w14:textId="77777777" w:rsidR="00454A29" w:rsidRDefault="00454A29">
            <w:pPr>
              <w:pStyle w:val="ConsPlusNormal"/>
            </w:pPr>
          </w:p>
        </w:tc>
        <w:tc>
          <w:tcPr>
            <w:tcW w:w="1701" w:type="dxa"/>
            <w:vAlign w:val="center"/>
          </w:tcPr>
          <w:p w14:paraId="3E0AD7C0" w14:textId="77777777" w:rsidR="00454A29" w:rsidRDefault="00454A29">
            <w:pPr>
              <w:pStyle w:val="ConsPlusNormal"/>
            </w:pPr>
          </w:p>
        </w:tc>
        <w:tc>
          <w:tcPr>
            <w:tcW w:w="1814" w:type="dxa"/>
            <w:vAlign w:val="center"/>
          </w:tcPr>
          <w:p w14:paraId="4103A4DC" w14:textId="77777777" w:rsidR="00454A29" w:rsidRDefault="00454A29">
            <w:pPr>
              <w:pStyle w:val="ConsPlusNormal"/>
            </w:pPr>
          </w:p>
        </w:tc>
      </w:tr>
      <w:tr w:rsidR="00454A29" w14:paraId="28698259" w14:textId="77777777">
        <w:tc>
          <w:tcPr>
            <w:tcW w:w="567" w:type="dxa"/>
            <w:vMerge/>
          </w:tcPr>
          <w:p w14:paraId="60689423" w14:textId="77777777" w:rsidR="00454A29" w:rsidRDefault="00454A29"/>
        </w:tc>
        <w:tc>
          <w:tcPr>
            <w:tcW w:w="3345" w:type="dxa"/>
            <w:vMerge/>
          </w:tcPr>
          <w:p w14:paraId="2707FDC0" w14:textId="77777777" w:rsidR="00454A29" w:rsidRDefault="00454A29"/>
        </w:tc>
        <w:tc>
          <w:tcPr>
            <w:tcW w:w="1701" w:type="dxa"/>
            <w:vAlign w:val="center"/>
          </w:tcPr>
          <w:p w14:paraId="789E6BF7" w14:textId="77777777" w:rsidR="00454A29" w:rsidRDefault="00454A29">
            <w:pPr>
              <w:pStyle w:val="ConsPlusNormal"/>
              <w:jc w:val="center"/>
            </w:pPr>
            <w:r>
              <w:t>2026</w:t>
            </w:r>
          </w:p>
        </w:tc>
        <w:tc>
          <w:tcPr>
            <w:tcW w:w="1417" w:type="dxa"/>
            <w:vMerge/>
          </w:tcPr>
          <w:p w14:paraId="70A0CBED" w14:textId="77777777" w:rsidR="00454A29" w:rsidRDefault="00454A29"/>
        </w:tc>
        <w:tc>
          <w:tcPr>
            <w:tcW w:w="2204" w:type="dxa"/>
            <w:vMerge/>
          </w:tcPr>
          <w:p w14:paraId="63BC4432" w14:textId="77777777" w:rsidR="00454A29" w:rsidRDefault="00454A29"/>
        </w:tc>
        <w:tc>
          <w:tcPr>
            <w:tcW w:w="1417" w:type="dxa"/>
            <w:vMerge/>
          </w:tcPr>
          <w:p w14:paraId="4891312B" w14:textId="77777777" w:rsidR="00454A29" w:rsidRDefault="00454A29"/>
        </w:tc>
        <w:tc>
          <w:tcPr>
            <w:tcW w:w="2324" w:type="dxa"/>
            <w:vMerge/>
          </w:tcPr>
          <w:p w14:paraId="051813E5" w14:textId="77777777" w:rsidR="00454A29" w:rsidRDefault="00454A29"/>
        </w:tc>
        <w:tc>
          <w:tcPr>
            <w:tcW w:w="1701" w:type="dxa"/>
            <w:vAlign w:val="center"/>
          </w:tcPr>
          <w:p w14:paraId="07BFE06F" w14:textId="77777777" w:rsidR="00454A29" w:rsidRDefault="00454A29">
            <w:pPr>
              <w:pStyle w:val="ConsPlusNormal"/>
              <w:jc w:val="center"/>
            </w:pPr>
            <w:r>
              <w:t>431 987,91</w:t>
            </w:r>
          </w:p>
        </w:tc>
        <w:tc>
          <w:tcPr>
            <w:tcW w:w="1814" w:type="dxa"/>
            <w:vAlign w:val="center"/>
          </w:tcPr>
          <w:p w14:paraId="6711A431" w14:textId="77777777" w:rsidR="00454A29" w:rsidRDefault="00454A29">
            <w:pPr>
              <w:pStyle w:val="ConsPlusNormal"/>
              <w:jc w:val="center"/>
            </w:pPr>
            <w:r>
              <w:t>5 322,09</w:t>
            </w:r>
          </w:p>
        </w:tc>
        <w:tc>
          <w:tcPr>
            <w:tcW w:w="1701" w:type="dxa"/>
            <w:vAlign w:val="center"/>
          </w:tcPr>
          <w:p w14:paraId="2AD4C98A" w14:textId="77777777" w:rsidR="00454A29" w:rsidRDefault="00454A29">
            <w:pPr>
              <w:pStyle w:val="ConsPlusNormal"/>
              <w:jc w:val="center"/>
            </w:pPr>
            <w:r>
              <w:t>526 887,01</w:t>
            </w:r>
          </w:p>
        </w:tc>
        <w:tc>
          <w:tcPr>
            <w:tcW w:w="1701" w:type="dxa"/>
            <w:vAlign w:val="center"/>
          </w:tcPr>
          <w:p w14:paraId="40446F86" w14:textId="77777777" w:rsidR="00454A29" w:rsidRDefault="00454A29">
            <w:pPr>
              <w:pStyle w:val="ConsPlusNormal"/>
            </w:pPr>
          </w:p>
        </w:tc>
        <w:tc>
          <w:tcPr>
            <w:tcW w:w="1814" w:type="dxa"/>
            <w:vAlign w:val="center"/>
          </w:tcPr>
          <w:p w14:paraId="1C7750F5" w14:textId="77777777" w:rsidR="00454A29" w:rsidRDefault="00454A29">
            <w:pPr>
              <w:pStyle w:val="ConsPlusNormal"/>
            </w:pPr>
          </w:p>
        </w:tc>
      </w:tr>
      <w:tr w:rsidR="00454A29" w14:paraId="636522F1" w14:textId="77777777">
        <w:tc>
          <w:tcPr>
            <w:tcW w:w="567" w:type="dxa"/>
            <w:vMerge w:val="restart"/>
            <w:vAlign w:val="center"/>
          </w:tcPr>
          <w:p w14:paraId="72BA64C6" w14:textId="77777777" w:rsidR="00454A29" w:rsidRDefault="00454A29">
            <w:pPr>
              <w:pStyle w:val="ConsPlusNormal"/>
              <w:jc w:val="center"/>
            </w:pPr>
            <w:r>
              <w:t>90</w:t>
            </w:r>
          </w:p>
        </w:tc>
        <w:tc>
          <w:tcPr>
            <w:tcW w:w="3345" w:type="dxa"/>
            <w:vMerge w:val="restart"/>
            <w:vAlign w:val="center"/>
          </w:tcPr>
          <w:p w14:paraId="73B8F4F7" w14:textId="77777777" w:rsidR="00454A29" w:rsidRDefault="00454A29">
            <w:pPr>
              <w:pStyle w:val="ConsPlusNormal"/>
              <w:jc w:val="center"/>
            </w:pPr>
            <w:r>
              <w:t>Школа-сад на 20/15 мест в с. Походск</w:t>
            </w:r>
          </w:p>
        </w:tc>
        <w:tc>
          <w:tcPr>
            <w:tcW w:w="1701" w:type="dxa"/>
            <w:vAlign w:val="center"/>
          </w:tcPr>
          <w:p w14:paraId="199A9D72" w14:textId="77777777" w:rsidR="00454A29" w:rsidRDefault="00454A29">
            <w:pPr>
              <w:pStyle w:val="ConsPlusNormal"/>
              <w:jc w:val="center"/>
            </w:pPr>
            <w:r>
              <w:t>2020 - 2026 годы - всего</w:t>
            </w:r>
          </w:p>
        </w:tc>
        <w:tc>
          <w:tcPr>
            <w:tcW w:w="1417" w:type="dxa"/>
            <w:vMerge w:val="restart"/>
            <w:vAlign w:val="center"/>
          </w:tcPr>
          <w:p w14:paraId="5B96DFAD" w14:textId="77777777" w:rsidR="00454A29" w:rsidRDefault="00454A29">
            <w:pPr>
              <w:pStyle w:val="ConsPlusNormal"/>
              <w:jc w:val="center"/>
            </w:pPr>
            <w:r>
              <w:t>128 738,58</w:t>
            </w:r>
          </w:p>
        </w:tc>
        <w:tc>
          <w:tcPr>
            <w:tcW w:w="2204" w:type="dxa"/>
            <w:vMerge w:val="restart"/>
            <w:vAlign w:val="center"/>
          </w:tcPr>
          <w:p w14:paraId="460FD1B4" w14:textId="77777777" w:rsidR="00454A29" w:rsidRDefault="00454A29">
            <w:pPr>
              <w:pStyle w:val="ConsPlusNormal"/>
              <w:jc w:val="center"/>
            </w:pPr>
            <w:r>
              <w:t>имеется</w:t>
            </w:r>
          </w:p>
        </w:tc>
        <w:tc>
          <w:tcPr>
            <w:tcW w:w="1417" w:type="dxa"/>
            <w:vMerge w:val="restart"/>
            <w:vAlign w:val="center"/>
          </w:tcPr>
          <w:p w14:paraId="67ECC8C5" w14:textId="77777777" w:rsidR="00454A29" w:rsidRDefault="00454A29">
            <w:pPr>
              <w:pStyle w:val="ConsPlusNormal"/>
              <w:jc w:val="center"/>
            </w:pPr>
            <w:r>
              <w:t>20</w:t>
            </w:r>
          </w:p>
        </w:tc>
        <w:tc>
          <w:tcPr>
            <w:tcW w:w="2324" w:type="dxa"/>
            <w:vMerge w:val="restart"/>
            <w:vAlign w:val="center"/>
          </w:tcPr>
          <w:p w14:paraId="01DF1A5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70331BB" w14:textId="77777777" w:rsidR="00454A29" w:rsidRDefault="00454A29">
            <w:pPr>
              <w:pStyle w:val="ConsPlusNormal"/>
              <w:jc w:val="center"/>
            </w:pPr>
            <w:r>
              <w:t>128 738,58</w:t>
            </w:r>
          </w:p>
        </w:tc>
        <w:tc>
          <w:tcPr>
            <w:tcW w:w="1814" w:type="dxa"/>
            <w:vAlign w:val="center"/>
          </w:tcPr>
          <w:p w14:paraId="0097CBE0" w14:textId="77777777" w:rsidR="00454A29" w:rsidRDefault="00454A29">
            <w:pPr>
              <w:pStyle w:val="ConsPlusNormal"/>
              <w:jc w:val="center"/>
            </w:pPr>
            <w:r>
              <w:t>1 628,54</w:t>
            </w:r>
          </w:p>
        </w:tc>
        <w:tc>
          <w:tcPr>
            <w:tcW w:w="1701" w:type="dxa"/>
            <w:vAlign w:val="center"/>
          </w:tcPr>
          <w:p w14:paraId="5A74FAEF" w14:textId="77777777" w:rsidR="00454A29" w:rsidRDefault="00454A29">
            <w:pPr>
              <w:pStyle w:val="ConsPlusNormal"/>
              <w:jc w:val="center"/>
            </w:pPr>
            <w:r>
              <w:t>161 225,76</w:t>
            </w:r>
          </w:p>
        </w:tc>
        <w:tc>
          <w:tcPr>
            <w:tcW w:w="1701" w:type="dxa"/>
            <w:vAlign w:val="center"/>
          </w:tcPr>
          <w:p w14:paraId="54CB8342" w14:textId="77777777" w:rsidR="00454A29" w:rsidRDefault="00454A29">
            <w:pPr>
              <w:pStyle w:val="ConsPlusNormal"/>
              <w:jc w:val="center"/>
            </w:pPr>
            <w:r>
              <w:t>-</w:t>
            </w:r>
          </w:p>
        </w:tc>
        <w:tc>
          <w:tcPr>
            <w:tcW w:w="1814" w:type="dxa"/>
            <w:vAlign w:val="center"/>
          </w:tcPr>
          <w:p w14:paraId="1E775784" w14:textId="77777777" w:rsidR="00454A29" w:rsidRDefault="00454A29">
            <w:pPr>
              <w:pStyle w:val="ConsPlusNormal"/>
              <w:jc w:val="center"/>
            </w:pPr>
            <w:r>
              <w:t>-</w:t>
            </w:r>
          </w:p>
        </w:tc>
      </w:tr>
      <w:tr w:rsidR="00454A29" w14:paraId="516A6011" w14:textId="77777777">
        <w:tc>
          <w:tcPr>
            <w:tcW w:w="567" w:type="dxa"/>
            <w:vMerge/>
          </w:tcPr>
          <w:p w14:paraId="39FA5609" w14:textId="77777777" w:rsidR="00454A29" w:rsidRDefault="00454A29"/>
        </w:tc>
        <w:tc>
          <w:tcPr>
            <w:tcW w:w="3345" w:type="dxa"/>
            <w:vMerge/>
          </w:tcPr>
          <w:p w14:paraId="53C372FB" w14:textId="77777777" w:rsidR="00454A29" w:rsidRDefault="00454A29"/>
        </w:tc>
        <w:tc>
          <w:tcPr>
            <w:tcW w:w="1701" w:type="dxa"/>
            <w:vAlign w:val="center"/>
          </w:tcPr>
          <w:p w14:paraId="0C1EED9D" w14:textId="77777777" w:rsidR="00454A29" w:rsidRDefault="00454A29">
            <w:pPr>
              <w:pStyle w:val="ConsPlusNormal"/>
              <w:jc w:val="center"/>
            </w:pPr>
            <w:r>
              <w:t>2020</w:t>
            </w:r>
          </w:p>
        </w:tc>
        <w:tc>
          <w:tcPr>
            <w:tcW w:w="1417" w:type="dxa"/>
            <w:vMerge/>
          </w:tcPr>
          <w:p w14:paraId="198E5F21" w14:textId="77777777" w:rsidR="00454A29" w:rsidRDefault="00454A29"/>
        </w:tc>
        <w:tc>
          <w:tcPr>
            <w:tcW w:w="2204" w:type="dxa"/>
            <w:vMerge/>
          </w:tcPr>
          <w:p w14:paraId="05E42638" w14:textId="77777777" w:rsidR="00454A29" w:rsidRDefault="00454A29"/>
        </w:tc>
        <w:tc>
          <w:tcPr>
            <w:tcW w:w="1417" w:type="dxa"/>
            <w:vMerge/>
          </w:tcPr>
          <w:p w14:paraId="1C9AF2C9" w14:textId="77777777" w:rsidR="00454A29" w:rsidRDefault="00454A29"/>
        </w:tc>
        <w:tc>
          <w:tcPr>
            <w:tcW w:w="2324" w:type="dxa"/>
            <w:vMerge/>
          </w:tcPr>
          <w:p w14:paraId="7F60C495" w14:textId="77777777" w:rsidR="00454A29" w:rsidRDefault="00454A29"/>
        </w:tc>
        <w:tc>
          <w:tcPr>
            <w:tcW w:w="1701" w:type="dxa"/>
            <w:vAlign w:val="center"/>
          </w:tcPr>
          <w:p w14:paraId="3E6297D8" w14:textId="77777777" w:rsidR="00454A29" w:rsidRDefault="00454A29">
            <w:pPr>
              <w:pStyle w:val="ConsPlusNormal"/>
            </w:pPr>
          </w:p>
        </w:tc>
        <w:tc>
          <w:tcPr>
            <w:tcW w:w="1814" w:type="dxa"/>
            <w:vAlign w:val="center"/>
          </w:tcPr>
          <w:p w14:paraId="6767FBEE" w14:textId="77777777" w:rsidR="00454A29" w:rsidRDefault="00454A29">
            <w:pPr>
              <w:pStyle w:val="ConsPlusNormal"/>
            </w:pPr>
          </w:p>
        </w:tc>
        <w:tc>
          <w:tcPr>
            <w:tcW w:w="1701" w:type="dxa"/>
            <w:vAlign w:val="center"/>
          </w:tcPr>
          <w:p w14:paraId="1B38B7B9" w14:textId="77777777" w:rsidR="00454A29" w:rsidRDefault="00454A29">
            <w:pPr>
              <w:pStyle w:val="ConsPlusNormal"/>
            </w:pPr>
          </w:p>
        </w:tc>
        <w:tc>
          <w:tcPr>
            <w:tcW w:w="1701" w:type="dxa"/>
            <w:vAlign w:val="center"/>
          </w:tcPr>
          <w:p w14:paraId="69ECFB03" w14:textId="77777777" w:rsidR="00454A29" w:rsidRDefault="00454A29">
            <w:pPr>
              <w:pStyle w:val="ConsPlusNormal"/>
            </w:pPr>
          </w:p>
        </w:tc>
        <w:tc>
          <w:tcPr>
            <w:tcW w:w="1814" w:type="dxa"/>
            <w:vAlign w:val="center"/>
          </w:tcPr>
          <w:p w14:paraId="436694E1" w14:textId="77777777" w:rsidR="00454A29" w:rsidRDefault="00454A29">
            <w:pPr>
              <w:pStyle w:val="ConsPlusNormal"/>
            </w:pPr>
          </w:p>
        </w:tc>
      </w:tr>
      <w:tr w:rsidR="00454A29" w14:paraId="41539C7C" w14:textId="77777777">
        <w:tc>
          <w:tcPr>
            <w:tcW w:w="567" w:type="dxa"/>
            <w:vMerge/>
          </w:tcPr>
          <w:p w14:paraId="78F44E54" w14:textId="77777777" w:rsidR="00454A29" w:rsidRDefault="00454A29"/>
        </w:tc>
        <w:tc>
          <w:tcPr>
            <w:tcW w:w="3345" w:type="dxa"/>
            <w:vMerge/>
          </w:tcPr>
          <w:p w14:paraId="4F6DEAC5" w14:textId="77777777" w:rsidR="00454A29" w:rsidRDefault="00454A29"/>
        </w:tc>
        <w:tc>
          <w:tcPr>
            <w:tcW w:w="1701" w:type="dxa"/>
            <w:vAlign w:val="center"/>
          </w:tcPr>
          <w:p w14:paraId="46D463F4" w14:textId="77777777" w:rsidR="00454A29" w:rsidRDefault="00454A29">
            <w:pPr>
              <w:pStyle w:val="ConsPlusNormal"/>
              <w:jc w:val="center"/>
            </w:pPr>
            <w:r>
              <w:t>2021</w:t>
            </w:r>
          </w:p>
        </w:tc>
        <w:tc>
          <w:tcPr>
            <w:tcW w:w="1417" w:type="dxa"/>
            <w:vMerge/>
          </w:tcPr>
          <w:p w14:paraId="5D0B600E" w14:textId="77777777" w:rsidR="00454A29" w:rsidRDefault="00454A29"/>
        </w:tc>
        <w:tc>
          <w:tcPr>
            <w:tcW w:w="2204" w:type="dxa"/>
            <w:vMerge/>
          </w:tcPr>
          <w:p w14:paraId="1870DFD1" w14:textId="77777777" w:rsidR="00454A29" w:rsidRDefault="00454A29"/>
        </w:tc>
        <w:tc>
          <w:tcPr>
            <w:tcW w:w="1417" w:type="dxa"/>
            <w:vMerge/>
          </w:tcPr>
          <w:p w14:paraId="3D470987" w14:textId="77777777" w:rsidR="00454A29" w:rsidRDefault="00454A29"/>
        </w:tc>
        <w:tc>
          <w:tcPr>
            <w:tcW w:w="2324" w:type="dxa"/>
            <w:vMerge/>
          </w:tcPr>
          <w:p w14:paraId="69454726" w14:textId="77777777" w:rsidR="00454A29" w:rsidRDefault="00454A29"/>
        </w:tc>
        <w:tc>
          <w:tcPr>
            <w:tcW w:w="1701" w:type="dxa"/>
            <w:vAlign w:val="center"/>
          </w:tcPr>
          <w:p w14:paraId="21C7651B" w14:textId="77777777" w:rsidR="00454A29" w:rsidRDefault="00454A29">
            <w:pPr>
              <w:pStyle w:val="ConsPlusNormal"/>
              <w:jc w:val="center"/>
            </w:pPr>
            <w:r>
              <w:t>-</w:t>
            </w:r>
          </w:p>
        </w:tc>
        <w:tc>
          <w:tcPr>
            <w:tcW w:w="1814" w:type="dxa"/>
            <w:vAlign w:val="center"/>
          </w:tcPr>
          <w:p w14:paraId="797E90A6" w14:textId="77777777" w:rsidR="00454A29" w:rsidRDefault="00454A29">
            <w:pPr>
              <w:pStyle w:val="ConsPlusNormal"/>
            </w:pPr>
          </w:p>
        </w:tc>
        <w:tc>
          <w:tcPr>
            <w:tcW w:w="1701" w:type="dxa"/>
            <w:vAlign w:val="center"/>
          </w:tcPr>
          <w:p w14:paraId="07803A54" w14:textId="77777777" w:rsidR="00454A29" w:rsidRDefault="00454A29">
            <w:pPr>
              <w:pStyle w:val="ConsPlusNormal"/>
            </w:pPr>
          </w:p>
        </w:tc>
        <w:tc>
          <w:tcPr>
            <w:tcW w:w="1701" w:type="dxa"/>
            <w:vAlign w:val="center"/>
          </w:tcPr>
          <w:p w14:paraId="5D4A4C1B" w14:textId="77777777" w:rsidR="00454A29" w:rsidRDefault="00454A29">
            <w:pPr>
              <w:pStyle w:val="ConsPlusNormal"/>
            </w:pPr>
          </w:p>
        </w:tc>
        <w:tc>
          <w:tcPr>
            <w:tcW w:w="1814" w:type="dxa"/>
            <w:vAlign w:val="center"/>
          </w:tcPr>
          <w:p w14:paraId="06568C5E" w14:textId="77777777" w:rsidR="00454A29" w:rsidRDefault="00454A29">
            <w:pPr>
              <w:pStyle w:val="ConsPlusNormal"/>
            </w:pPr>
          </w:p>
        </w:tc>
      </w:tr>
      <w:tr w:rsidR="00454A29" w14:paraId="7385B6E5" w14:textId="77777777">
        <w:tc>
          <w:tcPr>
            <w:tcW w:w="567" w:type="dxa"/>
            <w:vMerge/>
          </w:tcPr>
          <w:p w14:paraId="3FA70C93" w14:textId="77777777" w:rsidR="00454A29" w:rsidRDefault="00454A29"/>
        </w:tc>
        <w:tc>
          <w:tcPr>
            <w:tcW w:w="3345" w:type="dxa"/>
            <w:vMerge/>
          </w:tcPr>
          <w:p w14:paraId="069A40D7" w14:textId="77777777" w:rsidR="00454A29" w:rsidRDefault="00454A29"/>
        </w:tc>
        <w:tc>
          <w:tcPr>
            <w:tcW w:w="1701" w:type="dxa"/>
            <w:vAlign w:val="center"/>
          </w:tcPr>
          <w:p w14:paraId="66B63EFC" w14:textId="77777777" w:rsidR="00454A29" w:rsidRDefault="00454A29">
            <w:pPr>
              <w:pStyle w:val="ConsPlusNormal"/>
              <w:jc w:val="center"/>
            </w:pPr>
            <w:r>
              <w:t>2022</w:t>
            </w:r>
          </w:p>
        </w:tc>
        <w:tc>
          <w:tcPr>
            <w:tcW w:w="1417" w:type="dxa"/>
            <w:vMerge/>
          </w:tcPr>
          <w:p w14:paraId="789B434D" w14:textId="77777777" w:rsidR="00454A29" w:rsidRDefault="00454A29"/>
        </w:tc>
        <w:tc>
          <w:tcPr>
            <w:tcW w:w="2204" w:type="dxa"/>
            <w:vMerge/>
          </w:tcPr>
          <w:p w14:paraId="7771E78A" w14:textId="77777777" w:rsidR="00454A29" w:rsidRDefault="00454A29"/>
        </w:tc>
        <w:tc>
          <w:tcPr>
            <w:tcW w:w="1417" w:type="dxa"/>
            <w:vMerge/>
          </w:tcPr>
          <w:p w14:paraId="67CCA206" w14:textId="77777777" w:rsidR="00454A29" w:rsidRDefault="00454A29"/>
        </w:tc>
        <w:tc>
          <w:tcPr>
            <w:tcW w:w="2324" w:type="dxa"/>
            <w:vMerge/>
          </w:tcPr>
          <w:p w14:paraId="3070BAFD" w14:textId="77777777" w:rsidR="00454A29" w:rsidRDefault="00454A29"/>
        </w:tc>
        <w:tc>
          <w:tcPr>
            <w:tcW w:w="1701" w:type="dxa"/>
            <w:vAlign w:val="center"/>
          </w:tcPr>
          <w:p w14:paraId="6FC24A95" w14:textId="77777777" w:rsidR="00454A29" w:rsidRDefault="00454A29">
            <w:pPr>
              <w:pStyle w:val="ConsPlusNormal"/>
            </w:pPr>
          </w:p>
        </w:tc>
        <w:tc>
          <w:tcPr>
            <w:tcW w:w="1814" w:type="dxa"/>
            <w:vAlign w:val="center"/>
          </w:tcPr>
          <w:p w14:paraId="0BB42BB2" w14:textId="77777777" w:rsidR="00454A29" w:rsidRDefault="00454A29">
            <w:pPr>
              <w:pStyle w:val="ConsPlusNormal"/>
            </w:pPr>
          </w:p>
        </w:tc>
        <w:tc>
          <w:tcPr>
            <w:tcW w:w="1701" w:type="dxa"/>
            <w:vAlign w:val="center"/>
          </w:tcPr>
          <w:p w14:paraId="19FCFEFE" w14:textId="77777777" w:rsidR="00454A29" w:rsidRDefault="00454A29">
            <w:pPr>
              <w:pStyle w:val="ConsPlusNormal"/>
            </w:pPr>
          </w:p>
        </w:tc>
        <w:tc>
          <w:tcPr>
            <w:tcW w:w="1701" w:type="dxa"/>
            <w:vAlign w:val="center"/>
          </w:tcPr>
          <w:p w14:paraId="19CF1A03" w14:textId="77777777" w:rsidR="00454A29" w:rsidRDefault="00454A29">
            <w:pPr>
              <w:pStyle w:val="ConsPlusNormal"/>
            </w:pPr>
          </w:p>
        </w:tc>
        <w:tc>
          <w:tcPr>
            <w:tcW w:w="1814" w:type="dxa"/>
            <w:vAlign w:val="center"/>
          </w:tcPr>
          <w:p w14:paraId="3925A05C" w14:textId="77777777" w:rsidR="00454A29" w:rsidRDefault="00454A29">
            <w:pPr>
              <w:pStyle w:val="ConsPlusNormal"/>
            </w:pPr>
          </w:p>
        </w:tc>
      </w:tr>
      <w:tr w:rsidR="00454A29" w14:paraId="722503FF" w14:textId="77777777">
        <w:tc>
          <w:tcPr>
            <w:tcW w:w="567" w:type="dxa"/>
            <w:vMerge/>
          </w:tcPr>
          <w:p w14:paraId="6BC66859" w14:textId="77777777" w:rsidR="00454A29" w:rsidRDefault="00454A29"/>
        </w:tc>
        <w:tc>
          <w:tcPr>
            <w:tcW w:w="3345" w:type="dxa"/>
            <w:vMerge/>
          </w:tcPr>
          <w:p w14:paraId="359E1399" w14:textId="77777777" w:rsidR="00454A29" w:rsidRDefault="00454A29"/>
        </w:tc>
        <w:tc>
          <w:tcPr>
            <w:tcW w:w="1701" w:type="dxa"/>
            <w:vAlign w:val="center"/>
          </w:tcPr>
          <w:p w14:paraId="0C629267" w14:textId="77777777" w:rsidR="00454A29" w:rsidRDefault="00454A29">
            <w:pPr>
              <w:pStyle w:val="ConsPlusNormal"/>
              <w:jc w:val="center"/>
            </w:pPr>
            <w:r>
              <w:t>2023</w:t>
            </w:r>
          </w:p>
        </w:tc>
        <w:tc>
          <w:tcPr>
            <w:tcW w:w="1417" w:type="dxa"/>
            <w:vMerge/>
          </w:tcPr>
          <w:p w14:paraId="3C972746" w14:textId="77777777" w:rsidR="00454A29" w:rsidRDefault="00454A29"/>
        </w:tc>
        <w:tc>
          <w:tcPr>
            <w:tcW w:w="2204" w:type="dxa"/>
            <w:vMerge/>
          </w:tcPr>
          <w:p w14:paraId="0DCA8891" w14:textId="77777777" w:rsidR="00454A29" w:rsidRDefault="00454A29"/>
        </w:tc>
        <w:tc>
          <w:tcPr>
            <w:tcW w:w="1417" w:type="dxa"/>
            <w:vMerge/>
          </w:tcPr>
          <w:p w14:paraId="2DE5D7E0" w14:textId="77777777" w:rsidR="00454A29" w:rsidRDefault="00454A29"/>
        </w:tc>
        <w:tc>
          <w:tcPr>
            <w:tcW w:w="2324" w:type="dxa"/>
            <w:vMerge/>
          </w:tcPr>
          <w:p w14:paraId="659784DD" w14:textId="77777777" w:rsidR="00454A29" w:rsidRDefault="00454A29"/>
        </w:tc>
        <w:tc>
          <w:tcPr>
            <w:tcW w:w="1701" w:type="dxa"/>
            <w:vAlign w:val="center"/>
          </w:tcPr>
          <w:p w14:paraId="00D0FFFC" w14:textId="77777777" w:rsidR="00454A29" w:rsidRDefault="00454A29">
            <w:pPr>
              <w:pStyle w:val="ConsPlusNormal"/>
            </w:pPr>
          </w:p>
        </w:tc>
        <w:tc>
          <w:tcPr>
            <w:tcW w:w="1814" w:type="dxa"/>
            <w:vAlign w:val="center"/>
          </w:tcPr>
          <w:p w14:paraId="6CF91706" w14:textId="77777777" w:rsidR="00454A29" w:rsidRDefault="00454A29">
            <w:pPr>
              <w:pStyle w:val="ConsPlusNormal"/>
            </w:pPr>
          </w:p>
        </w:tc>
        <w:tc>
          <w:tcPr>
            <w:tcW w:w="1701" w:type="dxa"/>
            <w:vAlign w:val="center"/>
          </w:tcPr>
          <w:p w14:paraId="2AF52F07" w14:textId="77777777" w:rsidR="00454A29" w:rsidRDefault="00454A29">
            <w:pPr>
              <w:pStyle w:val="ConsPlusNormal"/>
            </w:pPr>
          </w:p>
        </w:tc>
        <w:tc>
          <w:tcPr>
            <w:tcW w:w="1701" w:type="dxa"/>
            <w:vAlign w:val="center"/>
          </w:tcPr>
          <w:p w14:paraId="1B19E980" w14:textId="77777777" w:rsidR="00454A29" w:rsidRDefault="00454A29">
            <w:pPr>
              <w:pStyle w:val="ConsPlusNormal"/>
            </w:pPr>
          </w:p>
        </w:tc>
        <w:tc>
          <w:tcPr>
            <w:tcW w:w="1814" w:type="dxa"/>
            <w:vAlign w:val="center"/>
          </w:tcPr>
          <w:p w14:paraId="4C1F91B1" w14:textId="77777777" w:rsidR="00454A29" w:rsidRDefault="00454A29">
            <w:pPr>
              <w:pStyle w:val="ConsPlusNormal"/>
            </w:pPr>
          </w:p>
        </w:tc>
      </w:tr>
      <w:tr w:rsidR="00454A29" w14:paraId="00B151EB" w14:textId="77777777">
        <w:tc>
          <w:tcPr>
            <w:tcW w:w="567" w:type="dxa"/>
            <w:vMerge/>
          </w:tcPr>
          <w:p w14:paraId="11173F88" w14:textId="77777777" w:rsidR="00454A29" w:rsidRDefault="00454A29"/>
        </w:tc>
        <w:tc>
          <w:tcPr>
            <w:tcW w:w="3345" w:type="dxa"/>
            <w:vMerge/>
          </w:tcPr>
          <w:p w14:paraId="43ECFB7B" w14:textId="77777777" w:rsidR="00454A29" w:rsidRDefault="00454A29"/>
        </w:tc>
        <w:tc>
          <w:tcPr>
            <w:tcW w:w="1701" w:type="dxa"/>
            <w:vAlign w:val="center"/>
          </w:tcPr>
          <w:p w14:paraId="75786490" w14:textId="77777777" w:rsidR="00454A29" w:rsidRDefault="00454A29">
            <w:pPr>
              <w:pStyle w:val="ConsPlusNormal"/>
              <w:jc w:val="center"/>
            </w:pPr>
            <w:r>
              <w:t>2024</w:t>
            </w:r>
          </w:p>
        </w:tc>
        <w:tc>
          <w:tcPr>
            <w:tcW w:w="1417" w:type="dxa"/>
            <w:vMerge/>
          </w:tcPr>
          <w:p w14:paraId="26B6E213" w14:textId="77777777" w:rsidR="00454A29" w:rsidRDefault="00454A29"/>
        </w:tc>
        <w:tc>
          <w:tcPr>
            <w:tcW w:w="2204" w:type="dxa"/>
            <w:vMerge/>
          </w:tcPr>
          <w:p w14:paraId="510BACD2" w14:textId="77777777" w:rsidR="00454A29" w:rsidRDefault="00454A29"/>
        </w:tc>
        <w:tc>
          <w:tcPr>
            <w:tcW w:w="1417" w:type="dxa"/>
            <w:vMerge/>
          </w:tcPr>
          <w:p w14:paraId="47F1DDCA" w14:textId="77777777" w:rsidR="00454A29" w:rsidRDefault="00454A29"/>
        </w:tc>
        <w:tc>
          <w:tcPr>
            <w:tcW w:w="2324" w:type="dxa"/>
            <w:vMerge/>
          </w:tcPr>
          <w:p w14:paraId="24D65EA2" w14:textId="77777777" w:rsidR="00454A29" w:rsidRDefault="00454A29"/>
        </w:tc>
        <w:tc>
          <w:tcPr>
            <w:tcW w:w="1701" w:type="dxa"/>
            <w:vAlign w:val="center"/>
          </w:tcPr>
          <w:p w14:paraId="4EF934EF" w14:textId="77777777" w:rsidR="00454A29" w:rsidRDefault="00454A29">
            <w:pPr>
              <w:pStyle w:val="ConsPlusNormal"/>
            </w:pPr>
          </w:p>
        </w:tc>
        <w:tc>
          <w:tcPr>
            <w:tcW w:w="1814" w:type="dxa"/>
            <w:vAlign w:val="center"/>
          </w:tcPr>
          <w:p w14:paraId="4970849F" w14:textId="77777777" w:rsidR="00454A29" w:rsidRDefault="00454A29">
            <w:pPr>
              <w:pStyle w:val="ConsPlusNormal"/>
            </w:pPr>
          </w:p>
        </w:tc>
        <w:tc>
          <w:tcPr>
            <w:tcW w:w="1701" w:type="dxa"/>
            <w:vAlign w:val="center"/>
          </w:tcPr>
          <w:p w14:paraId="7C9CB2C2" w14:textId="77777777" w:rsidR="00454A29" w:rsidRDefault="00454A29">
            <w:pPr>
              <w:pStyle w:val="ConsPlusNormal"/>
            </w:pPr>
          </w:p>
        </w:tc>
        <w:tc>
          <w:tcPr>
            <w:tcW w:w="1701" w:type="dxa"/>
            <w:vAlign w:val="center"/>
          </w:tcPr>
          <w:p w14:paraId="2282A501" w14:textId="77777777" w:rsidR="00454A29" w:rsidRDefault="00454A29">
            <w:pPr>
              <w:pStyle w:val="ConsPlusNormal"/>
            </w:pPr>
          </w:p>
        </w:tc>
        <w:tc>
          <w:tcPr>
            <w:tcW w:w="1814" w:type="dxa"/>
            <w:vAlign w:val="center"/>
          </w:tcPr>
          <w:p w14:paraId="0900D9D4" w14:textId="77777777" w:rsidR="00454A29" w:rsidRDefault="00454A29">
            <w:pPr>
              <w:pStyle w:val="ConsPlusNormal"/>
            </w:pPr>
          </w:p>
        </w:tc>
      </w:tr>
      <w:tr w:rsidR="00454A29" w14:paraId="16956C1F" w14:textId="77777777">
        <w:tc>
          <w:tcPr>
            <w:tcW w:w="567" w:type="dxa"/>
            <w:vMerge/>
          </w:tcPr>
          <w:p w14:paraId="2DA044D1" w14:textId="77777777" w:rsidR="00454A29" w:rsidRDefault="00454A29"/>
        </w:tc>
        <w:tc>
          <w:tcPr>
            <w:tcW w:w="3345" w:type="dxa"/>
            <w:vMerge/>
          </w:tcPr>
          <w:p w14:paraId="787CD25A" w14:textId="77777777" w:rsidR="00454A29" w:rsidRDefault="00454A29"/>
        </w:tc>
        <w:tc>
          <w:tcPr>
            <w:tcW w:w="1701" w:type="dxa"/>
            <w:vAlign w:val="center"/>
          </w:tcPr>
          <w:p w14:paraId="679EB686" w14:textId="77777777" w:rsidR="00454A29" w:rsidRDefault="00454A29">
            <w:pPr>
              <w:pStyle w:val="ConsPlusNormal"/>
              <w:jc w:val="center"/>
            </w:pPr>
            <w:r>
              <w:t>2025</w:t>
            </w:r>
          </w:p>
        </w:tc>
        <w:tc>
          <w:tcPr>
            <w:tcW w:w="1417" w:type="dxa"/>
            <w:vMerge/>
          </w:tcPr>
          <w:p w14:paraId="4ECD2399" w14:textId="77777777" w:rsidR="00454A29" w:rsidRDefault="00454A29"/>
        </w:tc>
        <w:tc>
          <w:tcPr>
            <w:tcW w:w="2204" w:type="dxa"/>
            <w:vMerge/>
          </w:tcPr>
          <w:p w14:paraId="2EDB7428" w14:textId="77777777" w:rsidR="00454A29" w:rsidRDefault="00454A29"/>
        </w:tc>
        <w:tc>
          <w:tcPr>
            <w:tcW w:w="1417" w:type="dxa"/>
            <w:vMerge/>
          </w:tcPr>
          <w:p w14:paraId="3403F8A0" w14:textId="77777777" w:rsidR="00454A29" w:rsidRDefault="00454A29"/>
        </w:tc>
        <w:tc>
          <w:tcPr>
            <w:tcW w:w="2324" w:type="dxa"/>
            <w:vMerge/>
          </w:tcPr>
          <w:p w14:paraId="1765E0A7" w14:textId="77777777" w:rsidR="00454A29" w:rsidRDefault="00454A29"/>
        </w:tc>
        <w:tc>
          <w:tcPr>
            <w:tcW w:w="1701" w:type="dxa"/>
            <w:vAlign w:val="center"/>
          </w:tcPr>
          <w:p w14:paraId="3A6827EE" w14:textId="77777777" w:rsidR="00454A29" w:rsidRDefault="00454A29">
            <w:pPr>
              <w:pStyle w:val="ConsPlusNormal"/>
              <w:jc w:val="center"/>
            </w:pPr>
            <w:r>
              <w:t>128 738,58</w:t>
            </w:r>
          </w:p>
        </w:tc>
        <w:tc>
          <w:tcPr>
            <w:tcW w:w="1814" w:type="dxa"/>
            <w:vAlign w:val="center"/>
          </w:tcPr>
          <w:p w14:paraId="48D0B751" w14:textId="77777777" w:rsidR="00454A29" w:rsidRDefault="00454A29">
            <w:pPr>
              <w:pStyle w:val="ConsPlusNormal"/>
              <w:jc w:val="center"/>
            </w:pPr>
            <w:r>
              <w:t>1 628,54</w:t>
            </w:r>
          </w:p>
        </w:tc>
        <w:tc>
          <w:tcPr>
            <w:tcW w:w="1701" w:type="dxa"/>
            <w:vAlign w:val="center"/>
          </w:tcPr>
          <w:p w14:paraId="0A1580CF" w14:textId="77777777" w:rsidR="00454A29" w:rsidRDefault="00454A29">
            <w:pPr>
              <w:pStyle w:val="ConsPlusNormal"/>
              <w:jc w:val="center"/>
            </w:pPr>
            <w:r>
              <w:t>161 225,76</w:t>
            </w:r>
          </w:p>
        </w:tc>
        <w:tc>
          <w:tcPr>
            <w:tcW w:w="1701" w:type="dxa"/>
            <w:vAlign w:val="center"/>
          </w:tcPr>
          <w:p w14:paraId="75FB4BA1" w14:textId="77777777" w:rsidR="00454A29" w:rsidRDefault="00454A29">
            <w:pPr>
              <w:pStyle w:val="ConsPlusNormal"/>
            </w:pPr>
          </w:p>
        </w:tc>
        <w:tc>
          <w:tcPr>
            <w:tcW w:w="1814" w:type="dxa"/>
            <w:vAlign w:val="center"/>
          </w:tcPr>
          <w:p w14:paraId="449155CD" w14:textId="77777777" w:rsidR="00454A29" w:rsidRDefault="00454A29">
            <w:pPr>
              <w:pStyle w:val="ConsPlusNormal"/>
            </w:pPr>
          </w:p>
        </w:tc>
      </w:tr>
      <w:tr w:rsidR="00454A29" w14:paraId="16C8B760" w14:textId="77777777">
        <w:tc>
          <w:tcPr>
            <w:tcW w:w="567" w:type="dxa"/>
            <w:vMerge/>
          </w:tcPr>
          <w:p w14:paraId="7D61A225" w14:textId="77777777" w:rsidR="00454A29" w:rsidRDefault="00454A29"/>
        </w:tc>
        <w:tc>
          <w:tcPr>
            <w:tcW w:w="3345" w:type="dxa"/>
            <w:vMerge/>
          </w:tcPr>
          <w:p w14:paraId="2596712F" w14:textId="77777777" w:rsidR="00454A29" w:rsidRDefault="00454A29"/>
        </w:tc>
        <w:tc>
          <w:tcPr>
            <w:tcW w:w="1701" w:type="dxa"/>
            <w:vAlign w:val="center"/>
          </w:tcPr>
          <w:p w14:paraId="1780E8C6" w14:textId="77777777" w:rsidR="00454A29" w:rsidRDefault="00454A29">
            <w:pPr>
              <w:pStyle w:val="ConsPlusNormal"/>
              <w:jc w:val="center"/>
            </w:pPr>
            <w:r>
              <w:t>2026</w:t>
            </w:r>
          </w:p>
        </w:tc>
        <w:tc>
          <w:tcPr>
            <w:tcW w:w="1417" w:type="dxa"/>
            <w:vMerge/>
          </w:tcPr>
          <w:p w14:paraId="476EBF75" w14:textId="77777777" w:rsidR="00454A29" w:rsidRDefault="00454A29"/>
        </w:tc>
        <w:tc>
          <w:tcPr>
            <w:tcW w:w="2204" w:type="dxa"/>
            <w:vMerge/>
          </w:tcPr>
          <w:p w14:paraId="7EB3C8F0" w14:textId="77777777" w:rsidR="00454A29" w:rsidRDefault="00454A29"/>
        </w:tc>
        <w:tc>
          <w:tcPr>
            <w:tcW w:w="1417" w:type="dxa"/>
            <w:vMerge/>
          </w:tcPr>
          <w:p w14:paraId="52308C6F" w14:textId="77777777" w:rsidR="00454A29" w:rsidRDefault="00454A29"/>
        </w:tc>
        <w:tc>
          <w:tcPr>
            <w:tcW w:w="2324" w:type="dxa"/>
            <w:vMerge/>
          </w:tcPr>
          <w:p w14:paraId="2B8851DF" w14:textId="77777777" w:rsidR="00454A29" w:rsidRDefault="00454A29"/>
        </w:tc>
        <w:tc>
          <w:tcPr>
            <w:tcW w:w="1701" w:type="dxa"/>
            <w:vAlign w:val="center"/>
          </w:tcPr>
          <w:p w14:paraId="27B99FCB" w14:textId="77777777" w:rsidR="00454A29" w:rsidRDefault="00454A29">
            <w:pPr>
              <w:pStyle w:val="ConsPlusNormal"/>
            </w:pPr>
          </w:p>
        </w:tc>
        <w:tc>
          <w:tcPr>
            <w:tcW w:w="1814" w:type="dxa"/>
            <w:vAlign w:val="center"/>
          </w:tcPr>
          <w:p w14:paraId="1734090A" w14:textId="77777777" w:rsidR="00454A29" w:rsidRDefault="00454A29">
            <w:pPr>
              <w:pStyle w:val="ConsPlusNormal"/>
            </w:pPr>
          </w:p>
        </w:tc>
        <w:tc>
          <w:tcPr>
            <w:tcW w:w="1701" w:type="dxa"/>
            <w:vAlign w:val="center"/>
          </w:tcPr>
          <w:p w14:paraId="424B7363" w14:textId="77777777" w:rsidR="00454A29" w:rsidRDefault="00454A29">
            <w:pPr>
              <w:pStyle w:val="ConsPlusNormal"/>
            </w:pPr>
          </w:p>
        </w:tc>
        <w:tc>
          <w:tcPr>
            <w:tcW w:w="1701" w:type="dxa"/>
            <w:vAlign w:val="center"/>
          </w:tcPr>
          <w:p w14:paraId="639683FD" w14:textId="77777777" w:rsidR="00454A29" w:rsidRDefault="00454A29">
            <w:pPr>
              <w:pStyle w:val="ConsPlusNormal"/>
            </w:pPr>
          </w:p>
        </w:tc>
        <w:tc>
          <w:tcPr>
            <w:tcW w:w="1814" w:type="dxa"/>
            <w:vAlign w:val="center"/>
          </w:tcPr>
          <w:p w14:paraId="205277C0" w14:textId="77777777" w:rsidR="00454A29" w:rsidRDefault="00454A29">
            <w:pPr>
              <w:pStyle w:val="ConsPlusNormal"/>
            </w:pPr>
          </w:p>
        </w:tc>
      </w:tr>
      <w:tr w:rsidR="00454A29" w14:paraId="663D47DD" w14:textId="77777777">
        <w:tc>
          <w:tcPr>
            <w:tcW w:w="567" w:type="dxa"/>
            <w:vMerge w:val="restart"/>
            <w:vAlign w:val="center"/>
          </w:tcPr>
          <w:p w14:paraId="2D2FA150" w14:textId="77777777" w:rsidR="00454A29" w:rsidRDefault="00454A29">
            <w:pPr>
              <w:pStyle w:val="ConsPlusNormal"/>
              <w:jc w:val="center"/>
            </w:pPr>
            <w:r>
              <w:t>91</w:t>
            </w:r>
          </w:p>
        </w:tc>
        <w:tc>
          <w:tcPr>
            <w:tcW w:w="3345" w:type="dxa"/>
            <w:vMerge w:val="restart"/>
            <w:vAlign w:val="center"/>
          </w:tcPr>
          <w:p w14:paraId="174C3FD3" w14:textId="77777777" w:rsidR="00454A29" w:rsidRDefault="00454A29">
            <w:pPr>
              <w:pStyle w:val="ConsPlusNormal"/>
              <w:jc w:val="center"/>
            </w:pPr>
            <w:r>
              <w:t>Школа на 150 учащихся в п. Черский</w:t>
            </w:r>
          </w:p>
        </w:tc>
        <w:tc>
          <w:tcPr>
            <w:tcW w:w="1701" w:type="dxa"/>
            <w:vAlign w:val="center"/>
          </w:tcPr>
          <w:p w14:paraId="6339393F" w14:textId="77777777" w:rsidR="00454A29" w:rsidRDefault="00454A29">
            <w:pPr>
              <w:pStyle w:val="ConsPlusNormal"/>
              <w:jc w:val="center"/>
            </w:pPr>
            <w:r>
              <w:t>2020 - 2026 годы - всего</w:t>
            </w:r>
          </w:p>
        </w:tc>
        <w:tc>
          <w:tcPr>
            <w:tcW w:w="1417" w:type="dxa"/>
            <w:vMerge w:val="restart"/>
            <w:vAlign w:val="center"/>
          </w:tcPr>
          <w:p w14:paraId="25561D8D" w14:textId="77777777" w:rsidR="00454A29" w:rsidRDefault="00454A29">
            <w:pPr>
              <w:pStyle w:val="ConsPlusNormal"/>
              <w:jc w:val="center"/>
            </w:pPr>
            <w:r>
              <w:t>485 034,19</w:t>
            </w:r>
          </w:p>
        </w:tc>
        <w:tc>
          <w:tcPr>
            <w:tcW w:w="2204" w:type="dxa"/>
            <w:vMerge w:val="restart"/>
            <w:vAlign w:val="center"/>
          </w:tcPr>
          <w:p w14:paraId="73B860C5" w14:textId="77777777" w:rsidR="00454A29" w:rsidRDefault="00454A29">
            <w:pPr>
              <w:pStyle w:val="ConsPlusNormal"/>
            </w:pPr>
          </w:p>
        </w:tc>
        <w:tc>
          <w:tcPr>
            <w:tcW w:w="1417" w:type="dxa"/>
            <w:vMerge w:val="restart"/>
            <w:vAlign w:val="center"/>
          </w:tcPr>
          <w:p w14:paraId="03654867" w14:textId="77777777" w:rsidR="00454A29" w:rsidRDefault="00454A29">
            <w:pPr>
              <w:pStyle w:val="ConsPlusNormal"/>
              <w:jc w:val="center"/>
            </w:pPr>
            <w:r>
              <w:t>150</w:t>
            </w:r>
          </w:p>
        </w:tc>
        <w:tc>
          <w:tcPr>
            <w:tcW w:w="2324" w:type="dxa"/>
            <w:vMerge w:val="restart"/>
            <w:vAlign w:val="center"/>
          </w:tcPr>
          <w:p w14:paraId="5F973B0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7BFA048" w14:textId="77777777" w:rsidR="00454A29" w:rsidRDefault="00454A29">
            <w:pPr>
              <w:pStyle w:val="ConsPlusNormal"/>
              <w:jc w:val="center"/>
            </w:pPr>
            <w:r>
              <w:t>485 034,19</w:t>
            </w:r>
          </w:p>
        </w:tc>
        <w:tc>
          <w:tcPr>
            <w:tcW w:w="1814" w:type="dxa"/>
            <w:vAlign w:val="center"/>
          </w:tcPr>
          <w:p w14:paraId="1D74BADB" w14:textId="77777777" w:rsidR="00454A29" w:rsidRDefault="00454A29">
            <w:pPr>
              <w:pStyle w:val="ConsPlusNormal"/>
              <w:jc w:val="center"/>
            </w:pPr>
            <w:r>
              <w:t>5 975,62</w:t>
            </w:r>
          </w:p>
        </w:tc>
        <w:tc>
          <w:tcPr>
            <w:tcW w:w="1701" w:type="dxa"/>
            <w:vAlign w:val="center"/>
          </w:tcPr>
          <w:p w14:paraId="22312F17" w14:textId="77777777" w:rsidR="00454A29" w:rsidRDefault="00454A29">
            <w:pPr>
              <w:pStyle w:val="ConsPlusNormal"/>
              <w:jc w:val="center"/>
            </w:pPr>
            <w:r>
              <w:t>591 586,50</w:t>
            </w:r>
          </w:p>
        </w:tc>
        <w:tc>
          <w:tcPr>
            <w:tcW w:w="1701" w:type="dxa"/>
            <w:vAlign w:val="center"/>
          </w:tcPr>
          <w:p w14:paraId="53E83C6D" w14:textId="77777777" w:rsidR="00454A29" w:rsidRDefault="00454A29">
            <w:pPr>
              <w:pStyle w:val="ConsPlusNormal"/>
              <w:jc w:val="center"/>
            </w:pPr>
            <w:r>
              <w:t>-</w:t>
            </w:r>
          </w:p>
        </w:tc>
        <w:tc>
          <w:tcPr>
            <w:tcW w:w="1814" w:type="dxa"/>
            <w:vAlign w:val="center"/>
          </w:tcPr>
          <w:p w14:paraId="0F630ED9" w14:textId="77777777" w:rsidR="00454A29" w:rsidRDefault="00454A29">
            <w:pPr>
              <w:pStyle w:val="ConsPlusNormal"/>
              <w:jc w:val="center"/>
            </w:pPr>
            <w:r>
              <w:t>-</w:t>
            </w:r>
          </w:p>
        </w:tc>
      </w:tr>
      <w:tr w:rsidR="00454A29" w14:paraId="15CD1A01" w14:textId="77777777">
        <w:tc>
          <w:tcPr>
            <w:tcW w:w="567" w:type="dxa"/>
            <w:vMerge/>
          </w:tcPr>
          <w:p w14:paraId="57FAC97E" w14:textId="77777777" w:rsidR="00454A29" w:rsidRDefault="00454A29"/>
        </w:tc>
        <w:tc>
          <w:tcPr>
            <w:tcW w:w="3345" w:type="dxa"/>
            <w:vMerge/>
          </w:tcPr>
          <w:p w14:paraId="4B10C94E" w14:textId="77777777" w:rsidR="00454A29" w:rsidRDefault="00454A29"/>
        </w:tc>
        <w:tc>
          <w:tcPr>
            <w:tcW w:w="1701" w:type="dxa"/>
            <w:vAlign w:val="center"/>
          </w:tcPr>
          <w:p w14:paraId="5E0789B4" w14:textId="77777777" w:rsidR="00454A29" w:rsidRDefault="00454A29">
            <w:pPr>
              <w:pStyle w:val="ConsPlusNormal"/>
              <w:jc w:val="center"/>
            </w:pPr>
            <w:r>
              <w:t>2020</w:t>
            </w:r>
          </w:p>
        </w:tc>
        <w:tc>
          <w:tcPr>
            <w:tcW w:w="1417" w:type="dxa"/>
            <w:vMerge/>
          </w:tcPr>
          <w:p w14:paraId="623AAC75" w14:textId="77777777" w:rsidR="00454A29" w:rsidRDefault="00454A29"/>
        </w:tc>
        <w:tc>
          <w:tcPr>
            <w:tcW w:w="2204" w:type="dxa"/>
            <w:vMerge/>
          </w:tcPr>
          <w:p w14:paraId="7FF6FE2F" w14:textId="77777777" w:rsidR="00454A29" w:rsidRDefault="00454A29"/>
        </w:tc>
        <w:tc>
          <w:tcPr>
            <w:tcW w:w="1417" w:type="dxa"/>
            <w:vMerge/>
          </w:tcPr>
          <w:p w14:paraId="418250AD" w14:textId="77777777" w:rsidR="00454A29" w:rsidRDefault="00454A29"/>
        </w:tc>
        <w:tc>
          <w:tcPr>
            <w:tcW w:w="2324" w:type="dxa"/>
            <w:vMerge/>
          </w:tcPr>
          <w:p w14:paraId="3F5DE393" w14:textId="77777777" w:rsidR="00454A29" w:rsidRDefault="00454A29"/>
        </w:tc>
        <w:tc>
          <w:tcPr>
            <w:tcW w:w="1701" w:type="dxa"/>
            <w:vAlign w:val="center"/>
          </w:tcPr>
          <w:p w14:paraId="0FF0595E" w14:textId="77777777" w:rsidR="00454A29" w:rsidRDefault="00454A29">
            <w:pPr>
              <w:pStyle w:val="ConsPlusNormal"/>
            </w:pPr>
          </w:p>
        </w:tc>
        <w:tc>
          <w:tcPr>
            <w:tcW w:w="1814" w:type="dxa"/>
            <w:vAlign w:val="center"/>
          </w:tcPr>
          <w:p w14:paraId="12A13242" w14:textId="77777777" w:rsidR="00454A29" w:rsidRDefault="00454A29">
            <w:pPr>
              <w:pStyle w:val="ConsPlusNormal"/>
            </w:pPr>
          </w:p>
        </w:tc>
        <w:tc>
          <w:tcPr>
            <w:tcW w:w="1701" w:type="dxa"/>
            <w:vAlign w:val="center"/>
          </w:tcPr>
          <w:p w14:paraId="4D11CFEA" w14:textId="77777777" w:rsidR="00454A29" w:rsidRDefault="00454A29">
            <w:pPr>
              <w:pStyle w:val="ConsPlusNormal"/>
            </w:pPr>
          </w:p>
        </w:tc>
        <w:tc>
          <w:tcPr>
            <w:tcW w:w="1701" w:type="dxa"/>
            <w:vAlign w:val="center"/>
          </w:tcPr>
          <w:p w14:paraId="3F6217DA" w14:textId="77777777" w:rsidR="00454A29" w:rsidRDefault="00454A29">
            <w:pPr>
              <w:pStyle w:val="ConsPlusNormal"/>
            </w:pPr>
          </w:p>
        </w:tc>
        <w:tc>
          <w:tcPr>
            <w:tcW w:w="1814" w:type="dxa"/>
            <w:vAlign w:val="center"/>
          </w:tcPr>
          <w:p w14:paraId="3139E9DA" w14:textId="77777777" w:rsidR="00454A29" w:rsidRDefault="00454A29">
            <w:pPr>
              <w:pStyle w:val="ConsPlusNormal"/>
            </w:pPr>
          </w:p>
        </w:tc>
      </w:tr>
      <w:tr w:rsidR="00454A29" w14:paraId="1780473D" w14:textId="77777777">
        <w:tc>
          <w:tcPr>
            <w:tcW w:w="567" w:type="dxa"/>
            <w:vMerge/>
          </w:tcPr>
          <w:p w14:paraId="786B489D" w14:textId="77777777" w:rsidR="00454A29" w:rsidRDefault="00454A29"/>
        </w:tc>
        <w:tc>
          <w:tcPr>
            <w:tcW w:w="3345" w:type="dxa"/>
            <w:vMerge/>
          </w:tcPr>
          <w:p w14:paraId="46CDAE57" w14:textId="77777777" w:rsidR="00454A29" w:rsidRDefault="00454A29"/>
        </w:tc>
        <w:tc>
          <w:tcPr>
            <w:tcW w:w="1701" w:type="dxa"/>
            <w:vAlign w:val="center"/>
          </w:tcPr>
          <w:p w14:paraId="5BA60A75" w14:textId="77777777" w:rsidR="00454A29" w:rsidRDefault="00454A29">
            <w:pPr>
              <w:pStyle w:val="ConsPlusNormal"/>
              <w:jc w:val="center"/>
            </w:pPr>
            <w:r>
              <w:t>2021</w:t>
            </w:r>
          </w:p>
        </w:tc>
        <w:tc>
          <w:tcPr>
            <w:tcW w:w="1417" w:type="dxa"/>
            <w:vMerge/>
          </w:tcPr>
          <w:p w14:paraId="0BEC15F4" w14:textId="77777777" w:rsidR="00454A29" w:rsidRDefault="00454A29"/>
        </w:tc>
        <w:tc>
          <w:tcPr>
            <w:tcW w:w="2204" w:type="dxa"/>
            <w:vMerge/>
          </w:tcPr>
          <w:p w14:paraId="7B12F73F" w14:textId="77777777" w:rsidR="00454A29" w:rsidRDefault="00454A29"/>
        </w:tc>
        <w:tc>
          <w:tcPr>
            <w:tcW w:w="1417" w:type="dxa"/>
            <w:vMerge/>
          </w:tcPr>
          <w:p w14:paraId="21A42247" w14:textId="77777777" w:rsidR="00454A29" w:rsidRDefault="00454A29"/>
        </w:tc>
        <w:tc>
          <w:tcPr>
            <w:tcW w:w="2324" w:type="dxa"/>
            <w:vMerge/>
          </w:tcPr>
          <w:p w14:paraId="30C3B0F8" w14:textId="77777777" w:rsidR="00454A29" w:rsidRDefault="00454A29"/>
        </w:tc>
        <w:tc>
          <w:tcPr>
            <w:tcW w:w="1701" w:type="dxa"/>
            <w:vAlign w:val="center"/>
          </w:tcPr>
          <w:p w14:paraId="5E68F641" w14:textId="77777777" w:rsidR="00454A29" w:rsidRDefault="00454A29">
            <w:pPr>
              <w:pStyle w:val="ConsPlusNormal"/>
            </w:pPr>
          </w:p>
        </w:tc>
        <w:tc>
          <w:tcPr>
            <w:tcW w:w="1814" w:type="dxa"/>
            <w:vAlign w:val="center"/>
          </w:tcPr>
          <w:p w14:paraId="7BBC057C" w14:textId="77777777" w:rsidR="00454A29" w:rsidRDefault="00454A29">
            <w:pPr>
              <w:pStyle w:val="ConsPlusNormal"/>
            </w:pPr>
          </w:p>
        </w:tc>
        <w:tc>
          <w:tcPr>
            <w:tcW w:w="1701" w:type="dxa"/>
            <w:vAlign w:val="center"/>
          </w:tcPr>
          <w:p w14:paraId="772B5922" w14:textId="77777777" w:rsidR="00454A29" w:rsidRDefault="00454A29">
            <w:pPr>
              <w:pStyle w:val="ConsPlusNormal"/>
            </w:pPr>
          </w:p>
        </w:tc>
        <w:tc>
          <w:tcPr>
            <w:tcW w:w="1701" w:type="dxa"/>
            <w:vAlign w:val="center"/>
          </w:tcPr>
          <w:p w14:paraId="55076D8E" w14:textId="77777777" w:rsidR="00454A29" w:rsidRDefault="00454A29">
            <w:pPr>
              <w:pStyle w:val="ConsPlusNormal"/>
            </w:pPr>
          </w:p>
        </w:tc>
        <w:tc>
          <w:tcPr>
            <w:tcW w:w="1814" w:type="dxa"/>
            <w:vAlign w:val="center"/>
          </w:tcPr>
          <w:p w14:paraId="1902B256" w14:textId="77777777" w:rsidR="00454A29" w:rsidRDefault="00454A29">
            <w:pPr>
              <w:pStyle w:val="ConsPlusNormal"/>
            </w:pPr>
          </w:p>
        </w:tc>
      </w:tr>
      <w:tr w:rsidR="00454A29" w14:paraId="780B1295" w14:textId="77777777">
        <w:tc>
          <w:tcPr>
            <w:tcW w:w="567" w:type="dxa"/>
            <w:vMerge/>
          </w:tcPr>
          <w:p w14:paraId="2F39B944" w14:textId="77777777" w:rsidR="00454A29" w:rsidRDefault="00454A29"/>
        </w:tc>
        <w:tc>
          <w:tcPr>
            <w:tcW w:w="3345" w:type="dxa"/>
            <w:vMerge/>
          </w:tcPr>
          <w:p w14:paraId="548531D4" w14:textId="77777777" w:rsidR="00454A29" w:rsidRDefault="00454A29"/>
        </w:tc>
        <w:tc>
          <w:tcPr>
            <w:tcW w:w="1701" w:type="dxa"/>
            <w:vAlign w:val="center"/>
          </w:tcPr>
          <w:p w14:paraId="14D580D6" w14:textId="77777777" w:rsidR="00454A29" w:rsidRDefault="00454A29">
            <w:pPr>
              <w:pStyle w:val="ConsPlusNormal"/>
              <w:jc w:val="center"/>
            </w:pPr>
            <w:r>
              <w:t>2022</w:t>
            </w:r>
          </w:p>
        </w:tc>
        <w:tc>
          <w:tcPr>
            <w:tcW w:w="1417" w:type="dxa"/>
            <w:vMerge/>
          </w:tcPr>
          <w:p w14:paraId="5DBC5E05" w14:textId="77777777" w:rsidR="00454A29" w:rsidRDefault="00454A29"/>
        </w:tc>
        <w:tc>
          <w:tcPr>
            <w:tcW w:w="2204" w:type="dxa"/>
            <w:vMerge/>
          </w:tcPr>
          <w:p w14:paraId="1E6FBC36" w14:textId="77777777" w:rsidR="00454A29" w:rsidRDefault="00454A29"/>
        </w:tc>
        <w:tc>
          <w:tcPr>
            <w:tcW w:w="1417" w:type="dxa"/>
            <w:vMerge/>
          </w:tcPr>
          <w:p w14:paraId="3F9427A7" w14:textId="77777777" w:rsidR="00454A29" w:rsidRDefault="00454A29"/>
        </w:tc>
        <w:tc>
          <w:tcPr>
            <w:tcW w:w="2324" w:type="dxa"/>
            <w:vMerge/>
          </w:tcPr>
          <w:p w14:paraId="31C208D0" w14:textId="77777777" w:rsidR="00454A29" w:rsidRDefault="00454A29"/>
        </w:tc>
        <w:tc>
          <w:tcPr>
            <w:tcW w:w="1701" w:type="dxa"/>
            <w:vAlign w:val="center"/>
          </w:tcPr>
          <w:p w14:paraId="7BD8D08D" w14:textId="77777777" w:rsidR="00454A29" w:rsidRDefault="00454A29">
            <w:pPr>
              <w:pStyle w:val="ConsPlusNormal"/>
            </w:pPr>
          </w:p>
        </w:tc>
        <w:tc>
          <w:tcPr>
            <w:tcW w:w="1814" w:type="dxa"/>
            <w:vAlign w:val="center"/>
          </w:tcPr>
          <w:p w14:paraId="47C5ABE1" w14:textId="77777777" w:rsidR="00454A29" w:rsidRDefault="00454A29">
            <w:pPr>
              <w:pStyle w:val="ConsPlusNormal"/>
            </w:pPr>
          </w:p>
        </w:tc>
        <w:tc>
          <w:tcPr>
            <w:tcW w:w="1701" w:type="dxa"/>
            <w:vAlign w:val="center"/>
          </w:tcPr>
          <w:p w14:paraId="055FBDEB" w14:textId="77777777" w:rsidR="00454A29" w:rsidRDefault="00454A29">
            <w:pPr>
              <w:pStyle w:val="ConsPlusNormal"/>
            </w:pPr>
          </w:p>
        </w:tc>
        <w:tc>
          <w:tcPr>
            <w:tcW w:w="1701" w:type="dxa"/>
            <w:vAlign w:val="center"/>
          </w:tcPr>
          <w:p w14:paraId="4505986B" w14:textId="77777777" w:rsidR="00454A29" w:rsidRDefault="00454A29">
            <w:pPr>
              <w:pStyle w:val="ConsPlusNormal"/>
            </w:pPr>
          </w:p>
        </w:tc>
        <w:tc>
          <w:tcPr>
            <w:tcW w:w="1814" w:type="dxa"/>
            <w:vAlign w:val="center"/>
          </w:tcPr>
          <w:p w14:paraId="02B5159E" w14:textId="77777777" w:rsidR="00454A29" w:rsidRDefault="00454A29">
            <w:pPr>
              <w:pStyle w:val="ConsPlusNormal"/>
            </w:pPr>
          </w:p>
        </w:tc>
      </w:tr>
      <w:tr w:rsidR="00454A29" w14:paraId="085C7A66" w14:textId="77777777">
        <w:tc>
          <w:tcPr>
            <w:tcW w:w="567" w:type="dxa"/>
            <w:vMerge/>
          </w:tcPr>
          <w:p w14:paraId="5BD4C335" w14:textId="77777777" w:rsidR="00454A29" w:rsidRDefault="00454A29"/>
        </w:tc>
        <w:tc>
          <w:tcPr>
            <w:tcW w:w="3345" w:type="dxa"/>
            <w:vMerge/>
          </w:tcPr>
          <w:p w14:paraId="0C51BA60" w14:textId="77777777" w:rsidR="00454A29" w:rsidRDefault="00454A29"/>
        </w:tc>
        <w:tc>
          <w:tcPr>
            <w:tcW w:w="1701" w:type="dxa"/>
            <w:vAlign w:val="center"/>
          </w:tcPr>
          <w:p w14:paraId="36679A7D" w14:textId="77777777" w:rsidR="00454A29" w:rsidRDefault="00454A29">
            <w:pPr>
              <w:pStyle w:val="ConsPlusNormal"/>
              <w:jc w:val="center"/>
            </w:pPr>
            <w:r>
              <w:t>2023</w:t>
            </w:r>
          </w:p>
        </w:tc>
        <w:tc>
          <w:tcPr>
            <w:tcW w:w="1417" w:type="dxa"/>
            <w:vMerge/>
          </w:tcPr>
          <w:p w14:paraId="3F9E8E4B" w14:textId="77777777" w:rsidR="00454A29" w:rsidRDefault="00454A29"/>
        </w:tc>
        <w:tc>
          <w:tcPr>
            <w:tcW w:w="2204" w:type="dxa"/>
            <w:vMerge/>
          </w:tcPr>
          <w:p w14:paraId="40C5A7C4" w14:textId="77777777" w:rsidR="00454A29" w:rsidRDefault="00454A29"/>
        </w:tc>
        <w:tc>
          <w:tcPr>
            <w:tcW w:w="1417" w:type="dxa"/>
            <w:vMerge/>
          </w:tcPr>
          <w:p w14:paraId="79C1DFD8" w14:textId="77777777" w:rsidR="00454A29" w:rsidRDefault="00454A29"/>
        </w:tc>
        <w:tc>
          <w:tcPr>
            <w:tcW w:w="2324" w:type="dxa"/>
            <w:vMerge/>
          </w:tcPr>
          <w:p w14:paraId="1DB552EA" w14:textId="77777777" w:rsidR="00454A29" w:rsidRDefault="00454A29"/>
        </w:tc>
        <w:tc>
          <w:tcPr>
            <w:tcW w:w="1701" w:type="dxa"/>
            <w:vAlign w:val="center"/>
          </w:tcPr>
          <w:p w14:paraId="503A8EC8" w14:textId="77777777" w:rsidR="00454A29" w:rsidRDefault="00454A29">
            <w:pPr>
              <w:pStyle w:val="ConsPlusNormal"/>
              <w:jc w:val="center"/>
            </w:pPr>
            <w:r>
              <w:t>-</w:t>
            </w:r>
          </w:p>
        </w:tc>
        <w:tc>
          <w:tcPr>
            <w:tcW w:w="1814" w:type="dxa"/>
            <w:vAlign w:val="center"/>
          </w:tcPr>
          <w:p w14:paraId="71847C33" w14:textId="77777777" w:rsidR="00454A29" w:rsidRDefault="00454A29">
            <w:pPr>
              <w:pStyle w:val="ConsPlusNormal"/>
            </w:pPr>
          </w:p>
        </w:tc>
        <w:tc>
          <w:tcPr>
            <w:tcW w:w="1701" w:type="dxa"/>
            <w:vAlign w:val="center"/>
          </w:tcPr>
          <w:p w14:paraId="029D9FCD" w14:textId="77777777" w:rsidR="00454A29" w:rsidRDefault="00454A29">
            <w:pPr>
              <w:pStyle w:val="ConsPlusNormal"/>
            </w:pPr>
          </w:p>
        </w:tc>
        <w:tc>
          <w:tcPr>
            <w:tcW w:w="1701" w:type="dxa"/>
            <w:vAlign w:val="center"/>
          </w:tcPr>
          <w:p w14:paraId="740824E8" w14:textId="77777777" w:rsidR="00454A29" w:rsidRDefault="00454A29">
            <w:pPr>
              <w:pStyle w:val="ConsPlusNormal"/>
            </w:pPr>
          </w:p>
        </w:tc>
        <w:tc>
          <w:tcPr>
            <w:tcW w:w="1814" w:type="dxa"/>
            <w:vAlign w:val="center"/>
          </w:tcPr>
          <w:p w14:paraId="777CC347" w14:textId="77777777" w:rsidR="00454A29" w:rsidRDefault="00454A29">
            <w:pPr>
              <w:pStyle w:val="ConsPlusNormal"/>
            </w:pPr>
          </w:p>
        </w:tc>
      </w:tr>
      <w:tr w:rsidR="00454A29" w14:paraId="464134F7" w14:textId="77777777">
        <w:tc>
          <w:tcPr>
            <w:tcW w:w="567" w:type="dxa"/>
            <w:vMerge/>
          </w:tcPr>
          <w:p w14:paraId="5ED05B6B" w14:textId="77777777" w:rsidR="00454A29" w:rsidRDefault="00454A29"/>
        </w:tc>
        <w:tc>
          <w:tcPr>
            <w:tcW w:w="3345" w:type="dxa"/>
            <w:vMerge/>
          </w:tcPr>
          <w:p w14:paraId="7A4FF2D5" w14:textId="77777777" w:rsidR="00454A29" w:rsidRDefault="00454A29"/>
        </w:tc>
        <w:tc>
          <w:tcPr>
            <w:tcW w:w="1701" w:type="dxa"/>
            <w:vAlign w:val="center"/>
          </w:tcPr>
          <w:p w14:paraId="6823C2D9" w14:textId="77777777" w:rsidR="00454A29" w:rsidRDefault="00454A29">
            <w:pPr>
              <w:pStyle w:val="ConsPlusNormal"/>
              <w:jc w:val="center"/>
            </w:pPr>
            <w:r>
              <w:t>2024</w:t>
            </w:r>
          </w:p>
        </w:tc>
        <w:tc>
          <w:tcPr>
            <w:tcW w:w="1417" w:type="dxa"/>
            <w:vMerge/>
          </w:tcPr>
          <w:p w14:paraId="3EF6E735" w14:textId="77777777" w:rsidR="00454A29" w:rsidRDefault="00454A29"/>
        </w:tc>
        <w:tc>
          <w:tcPr>
            <w:tcW w:w="2204" w:type="dxa"/>
            <w:vMerge/>
          </w:tcPr>
          <w:p w14:paraId="2110B712" w14:textId="77777777" w:rsidR="00454A29" w:rsidRDefault="00454A29"/>
        </w:tc>
        <w:tc>
          <w:tcPr>
            <w:tcW w:w="1417" w:type="dxa"/>
            <w:vMerge/>
          </w:tcPr>
          <w:p w14:paraId="194BE6B6" w14:textId="77777777" w:rsidR="00454A29" w:rsidRDefault="00454A29"/>
        </w:tc>
        <w:tc>
          <w:tcPr>
            <w:tcW w:w="2324" w:type="dxa"/>
            <w:vMerge/>
          </w:tcPr>
          <w:p w14:paraId="0FDE9E4D" w14:textId="77777777" w:rsidR="00454A29" w:rsidRDefault="00454A29"/>
        </w:tc>
        <w:tc>
          <w:tcPr>
            <w:tcW w:w="1701" w:type="dxa"/>
            <w:vAlign w:val="center"/>
          </w:tcPr>
          <w:p w14:paraId="6A6B9CB4" w14:textId="77777777" w:rsidR="00454A29" w:rsidRDefault="00454A29">
            <w:pPr>
              <w:pStyle w:val="ConsPlusNormal"/>
              <w:jc w:val="center"/>
            </w:pPr>
            <w:r>
              <w:t>-</w:t>
            </w:r>
          </w:p>
        </w:tc>
        <w:tc>
          <w:tcPr>
            <w:tcW w:w="1814" w:type="dxa"/>
            <w:vAlign w:val="center"/>
          </w:tcPr>
          <w:p w14:paraId="3D679017" w14:textId="77777777" w:rsidR="00454A29" w:rsidRDefault="00454A29">
            <w:pPr>
              <w:pStyle w:val="ConsPlusNormal"/>
            </w:pPr>
          </w:p>
        </w:tc>
        <w:tc>
          <w:tcPr>
            <w:tcW w:w="1701" w:type="dxa"/>
            <w:vAlign w:val="center"/>
          </w:tcPr>
          <w:p w14:paraId="490F8F02" w14:textId="77777777" w:rsidR="00454A29" w:rsidRDefault="00454A29">
            <w:pPr>
              <w:pStyle w:val="ConsPlusNormal"/>
            </w:pPr>
          </w:p>
        </w:tc>
        <w:tc>
          <w:tcPr>
            <w:tcW w:w="1701" w:type="dxa"/>
            <w:vAlign w:val="center"/>
          </w:tcPr>
          <w:p w14:paraId="74EE1298" w14:textId="77777777" w:rsidR="00454A29" w:rsidRDefault="00454A29">
            <w:pPr>
              <w:pStyle w:val="ConsPlusNormal"/>
            </w:pPr>
          </w:p>
        </w:tc>
        <w:tc>
          <w:tcPr>
            <w:tcW w:w="1814" w:type="dxa"/>
            <w:vAlign w:val="center"/>
          </w:tcPr>
          <w:p w14:paraId="6C4C4D5F" w14:textId="77777777" w:rsidR="00454A29" w:rsidRDefault="00454A29">
            <w:pPr>
              <w:pStyle w:val="ConsPlusNormal"/>
            </w:pPr>
          </w:p>
        </w:tc>
      </w:tr>
      <w:tr w:rsidR="00454A29" w14:paraId="3A6B4E34" w14:textId="77777777">
        <w:tc>
          <w:tcPr>
            <w:tcW w:w="567" w:type="dxa"/>
            <w:vMerge/>
          </w:tcPr>
          <w:p w14:paraId="4E99C085" w14:textId="77777777" w:rsidR="00454A29" w:rsidRDefault="00454A29"/>
        </w:tc>
        <w:tc>
          <w:tcPr>
            <w:tcW w:w="3345" w:type="dxa"/>
            <w:vMerge/>
          </w:tcPr>
          <w:p w14:paraId="7B7B9185" w14:textId="77777777" w:rsidR="00454A29" w:rsidRDefault="00454A29"/>
        </w:tc>
        <w:tc>
          <w:tcPr>
            <w:tcW w:w="1701" w:type="dxa"/>
            <w:vAlign w:val="center"/>
          </w:tcPr>
          <w:p w14:paraId="4E8A8809" w14:textId="77777777" w:rsidR="00454A29" w:rsidRDefault="00454A29">
            <w:pPr>
              <w:pStyle w:val="ConsPlusNormal"/>
              <w:jc w:val="center"/>
            </w:pPr>
            <w:r>
              <w:t>2025</w:t>
            </w:r>
          </w:p>
        </w:tc>
        <w:tc>
          <w:tcPr>
            <w:tcW w:w="1417" w:type="dxa"/>
            <w:vMerge/>
          </w:tcPr>
          <w:p w14:paraId="3391B0B0" w14:textId="77777777" w:rsidR="00454A29" w:rsidRDefault="00454A29"/>
        </w:tc>
        <w:tc>
          <w:tcPr>
            <w:tcW w:w="2204" w:type="dxa"/>
            <w:vMerge/>
          </w:tcPr>
          <w:p w14:paraId="77342D98" w14:textId="77777777" w:rsidR="00454A29" w:rsidRDefault="00454A29"/>
        </w:tc>
        <w:tc>
          <w:tcPr>
            <w:tcW w:w="1417" w:type="dxa"/>
            <w:vMerge/>
          </w:tcPr>
          <w:p w14:paraId="27C6225F" w14:textId="77777777" w:rsidR="00454A29" w:rsidRDefault="00454A29"/>
        </w:tc>
        <w:tc>
          <w:tcPr>
            <w:tcW w:w="2324" w:type="dxa"/>
            <w:vMerge/>
          </w:tcPr>
          <w:p w14:paraId="77215D9E" w14:textId="77777777" w:rsidR="00454A29" w:rsidRDefault="00454A29"/>
        </w:tc>
        <w:tc>
          <w:tcPr>
            <w:tcW w:w="1701" w:type="dxa"/>
            <w:vAlign w:val="center"/>
          </w:tcPr>
          <w:p w14:paraId="56115EB3" w14:textId="77777777" w:rsidR="00454A29" w:rsidRDefault="00454A29">
            <w:pPr>
              <w:pStyle w:val="ConsPlusNormal"/>
            </w:pPr>
          </w:p>
        </w:tc>
        <w:tc>
          <w:tcPr>
            <w:tcW w:w="1814" w:type="dxa"/>
            <w:vAlign w:val="center"/>
          </w:tcPr>
          <w:p w14:paraId="736ACCDF" w14:textId="77777777" w:rsidR="00454A29" w:rsidRDefault="00454A29">
            <w:pPr>
              <w:pStyle w:val="ConsPlusNormal"/>
            </w:pPr>
          </w:p>
        </w:tc>
        <w:tc>
          <w:tcPr>
            <w:tcW w:w="1701" w:type="dxa"/>
            <w:vAlign w:val="center"/>
          </w:tcPr>
          <w:p w14:paraId="63426AAA" w14:textId="77777777" w:rsidR="00454A29" w:rsidRDefault="00454A29">
            <w:pPr>
              <w:pStyle w:val="ConsPlusNormal"/>
            </w:pPr>
          </w:p>
        </w:tc>
        <w:tc>
          <w:tcPr>
            <w:tcW w:w="1701" w:type="dxa"/>
            <w:vAlign w:val="center"/>
          </w:tcPr>
          <w:p w14:paraId="0602EC14" w14:textId="77777777" w:rsidR="00454A29" w:rsidRDefault="00454A29">
            <w:pPr>
              <w:pStyle w:val="ConsPlusNormal"/>
            </w:pPr>
          </w:p>
        </w:tc>
        <w:tc>
          <w:tcPr>
            <w:tcW w:w="1814" w:type="dxa"/>
            <w:vAlign w:val="center"/>
          </w:tcPr>
          <w:p w14:paraId="39277975" w14:textId="77777777" w:rsidR="00454A29" w:rsidRDefault="00454A29">
            <w:pPr>
              <w:pStyle w:val="ConsPlusNormal"/>
            </w:pPr>
          </w:p>
        </w:tc>
      </w:tr>
      <w:tr w:rsidR="00454A29" w14:paraId="219527F3" w14:textId="77777777">
        <w:tc>
          <w:tcPr>
            <w:tcW w:w="567" w:type="dxa"/>
            <w:vMerge/>
          </w:tcPr>
          <w:p w14:paraId="41A3EC6B" w14:textId="77777777" w:rsidR="00454A29" w:rsidRDefault="00454A29"/>
        </w:tc>
        <w:tc>
          <w:tcPr>
            <w:tcW w:w="3345" w:type="dxa"/>
            <w:vMerge/>
          </w:tcPr>
          <w:p w14:paraId="48B1A24E" w14:textId="77777777" w:rsidR="00454A29" w:rsidRDefault="00454A29"/>
        </w:tc>
        <w:tc>
          <w:tcPr>
            <w:tcW w:w="1701" w:type="dxa"/>
            <w:vAlign w:val="center"/>
          </w:tcPr>
          <w:p w14:paraId="61AC7794" w14:textId="77777777" w:rsidR="00454A29" w:rsidRDefault="00454A29">
            <w:pPr>
              <w:pStyle w:val="ConsPlusNormal"/>
              <w:jc w:val="center"/>
            </w:pPr>
            <w:r>
              <w:t>2026</w:t>
            </w:r>
          </w:p>
        </w:tc>
        <w:tc>
          <w:tcPr>
            <w:tcW w:w="1417" w:type="dxa"/>
            <w:vMerge/>
          </w:tcPr>
          <w:p w14:paraId="30746286" w14:textId="77777777" w:rsidR="00454A29" w:rsidRDefault="00454A29"/>
        </w:tc>
        <w:tc>
          <w:tcPr>
            <w:tcW w:w="2204" w:type="dxa"/>
            <w:vMerge/>
          </w:tcPr>
          <w:p w14:paraId="7BF48EE2" w14:textId="77777777" w:rsidR="00454A29" w:rsidRDefault="00454A29"/>
        </w:tc>
        <w:tc>
          <w:tcPr>
            <w:tcW w:w="1417" w:type="dxa"/>
            <w:vMerge/>
          </w:tcPr>
          <w:p w14:paraId="701A7CFE" w14:textId="77777777" w:rsidR="00454A29" w:rsidRDefault="00454A29"/>
        </w:tc>
        <w:tc>
          <w:tcPr>
            <w:tcW w:w="2324" w:type="dxa"/>
            <w:vMerge/>
          </w:tcPr>
          <w:p w14:paraId="433A1715" w14:textId="77777777" w:rsidR="00454A29" w:rsidRDefault="00454A29"/>
        </w:tc>
        <w:tc>
          <w:tcPr>
            <w:tcW w:w="1701" w:type="dxa"/>
            <w:vAlign w:val="center"/>
          </w:tcPr>
          <w:p w14:paraId="26944F61" w14:textId="77777777" w:rsidR="00454A29" w:rsidRDefault="00454A29">
            <w:pPr>
              <w:pStyle w:val="ConsPlusNormal"/>
              <w:jc w:val="center"/>
            </w:pPr>
            <w:r>
              <w:t>485 034,19</w:t>
            </w:r>
          </w:p>
        </w:tc>
        <w:tc>
          <w:tcPr>
            <w:tcW w:w="1814" w:type="dxa"/>
            <w:vAlign w:val="center"/>
          </w:tcPr>
          <w:p w14:paraId="22B61268" w14:textId="77777777" w:rsidR="00454A29" w:rsidRDefault="00454A29">
            <w:pPr>
              <w:pStyle w:val="ConsPlusNormal"/>
              <w:jc w:val="center"/>
            </w:pPr>
            <w:r>
              <w:t>5 975,62</w:t>
            </w:r>
          </w:p>
        </w:tc>
        <w:tc>
          <w:tcPr>
            <w:tcW w:w="1701" w:type="dxa"/>
            <w:vAlign w:val="center"/>
          </w:tcPr>
          <w:p w14:paraId="3DECF546" w14:textId="77777777" w:rsidR="00454A29" w:rsidRDefault="00454A29">
            <w:pPr>
              <w:pStyle w:val="ConsPlusNormal"/>
              <w:jc w:val="center"/>
            </w:pPr>
            <w:r>
              <w:t>591 586,50</w:t>
            </w:r>
          </w:p>
        </w:tc>
        <w:tc>
          <w:tcPr>
            <w:tcW w:w="1701" w:type="dxa"/>
            <w:vAlign w:val="center"/>
          </w:tcPr>
          <w:p w14:paraId="468A61EF" w14:textId="77777777" w:rsidR="00454A29" w:rsidRDefault="00454A29">
            <w:pPr>
              <w:pStyle w:val="ConsPlusNormal"/>
            </w:pPr>
          </w:p>
        </w:tc>
        <w:tc>
          <w:tcPr>
            <w:tcW w:w="1814" w:type="dxa"/>
            <w:vAlign w:val="center"/>
          </w:tcPr>
          <w:p w14:paraId="45DBF00E" w14:textId="77777777" w:rsidR="00454A29" w:rsidRDefault="00454A29">
            <w:pPr>
              <w:pStyle w:val="ConsPlusNormal"/>
            </w:pPr>
          </w:p>
        </w:tc>
      </w:tr>
      <w:tr w:rsidR="00454A29" w14:paraId="30049065" w14:textId="77777777">
        <w:tc>
          <w:tcPr>
            <w:tcW w:w="567" w:type="dxa"/>
            <w:vMerge w:val="restart"/>
            <w:vAlign w:val="center"/>
          </w:tcPr>
          <w:p w14:paraId="722A471A" w14:textId="77777777" w:rsidR="00454A29" w:rsidRDefault="00454A29">
            <w:pPr>
              <w:pStyle w:val="ConsPlusNormal"/>
              <w:jc w:val="center"/>
            </w:pPr>
            <w:r>
              <w:lastRenderedPageBreak/>
              <w:t>92</w:t>
            </w:r>
          </w:p>
        </w:tc>
        <w:tc>
          <w:tcPr>
            <w:tcW w:w="3345" w:type="dxa"/>
            <w:vMerge w:val="restart"/>
            <w:vAlign w:val="center"/>
          </w:tcPr>
          <w:p w14:paraId="5AF6A8A1" w14:textId="77777777" w:rsidR="00454A29" w:rsidRDefault="00454A29">
            <w:pPr>
              <w:pStyle w:val="ConsPlusNormal"/>
              <w:jc w:val="center"/>
            </w:pPr>
            <w:r>
              <w:t>Школа на 120 учащихся в с. Андрюшкино</w:t>
            </w:r>
          </w:p>
        </w:tc>
        <w:tc>
          <w:tcPr>
            <w:tcW w:w="1701" w:type="dxa"/>
            <w:vAlign w:val="center"/>
          </w:tcPr>
          <w:p w14:paraId="43B00FD1" w14:textId="77777777" w:rsidR="00454A29" w:rsidRDefault="00454A29">
            <w:pPr>
              <w:pStyle w:val="ConsPlusNormal"/>
              <w:jc w:val="center"/>
            </w:pPr>
            <w:r>
              <w:t>2020 - 2026 годы - всего</w:t>
            </w:r>
          </w:p>
        </w:tc>
        <w:tc>
          <w:tcPr>
            <w:tcW w:w="1417" w:type="dxa"/>
            <w:vMerge w:val="restart"/>
            <w:vAlign w:val="center"/>
          </w:tcPr>
          <w:p w14:paraId="545B8AE8" w14:textId="77777777" w:rsidR="00454A29" w:rsidRDefault="00454A29">
            <w:pPr>
              <w:pStyle w:val="ConsPlusNormal"/>
              <w:jc w:val="center"/>
            </w:pPr>
            <w:r>
              <w:t>420 044,60</w:t>
            </w:r>
          </w:p>
        </w:tc>
        <w:tc>
          <w:tcPr>
            <w:tcW w:w="2204" w:type="dxa"/>
            <w:vMerge w:val="restart"/>
            <w:vAlign w:val="center"/>
          </w:tcPr>
          <w:p w14:paraId="56ECD925" w14:textId="77777777" w:rsidR="00454A29" w:rsidRDefault="00454A29">
            <w:pPr>
              <w:pStyle w:val="ConsPlusNormal"/>
            </w:pPr>
          </w:p>
        </w:tc>
        <w:tc>
          <w:tcPr>
            <w:tcW w:w="1417" w:type="dxa"/>
            <w:vMerge w:val="restart"/>
            <w:vAlign w:val="center"/>
          </w:tcPr>
          <w:p w14:paraId="57534BBD" w14:textId="77777777" w:rsidR="00454A29" w:rsidRDefault="00454A29">
            <w:pPr>
              <w:pStyle w:val="ConsPlusNormal"/>
              <w:jc w:val="center"/>
            </w:pPr>
            <w:r>
              <w:t>120</w:t>
            </w:r>
          </w:p>
        </w:tc>
        <w:tc>
          <w:tcPr>
            <w:tcW w:w="2324" w:type="dxa"/>
            <w:vMerge w:val="restart"/>
            <w:vAlign w:val="center"/>
          </w:tcPr>
          <w:p w14:paraId="318D6FB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A02D7EF" w14:textId="77777777" w:rsidR="00454A29" w:rsidRDefault="00454A29">
            <w:pPr>
              <w:pStyle w:val="ConsPlusNormal"/>
              <w:jc w:val="center"/>
            </w:pPr>
            <w:r>
              <w:t>420 044,60</w:t>
            </w:r>
          </w:p>
        </w:tc>
        <w:tc>
          <w:tcPr>
            <w:tcW w:w="1814" w:type="dxa"/>
            <w:vAlign w:val="center"/>
          </w:tcPr>
          <w:p w14:paraId="7A229E3F" w14:textId="77777777" w:rsidR="00454A29" w:rsidRDefault="00454A29">
            <w:pPr>
              <w:pStyle w:val="ConsPlusNormal"/>
              <w:jc w:val="center"/>
            </w:pPr>
            <w:r>
              <w:t>5 174,95</w:t>
            </w:r>
          </w:p>
        </w:tc>
        <w:tc>
          <w:tcPr>
            <w:tcW w:w="1701" w:type="dxa"/>
            <w:vAlign w:val="center"/>
          </w:tcPr>
          <w:p w14:paraId="1D1DE075" w14:textId="77777777" w:rsidR="00454A29" w:rsidRDefault="00454A29">
            <w:pPr>
              <w:pStyle w:val="ConsPlusNormal"/>
              <w:jc w:val="center"/>
            </w:pPr>
            <w:r>
              <w:t>512 319,99</w:t>
            </w:r>
          </w:p>
        </w:tc>
        <w:tc>
          <w:tcPr>
            <w:tcW w:w="1701" w:type="dxa"/>
            <w:vAlign w:val="center"/>
          </w:tcPr>
          <w:p w14:paraId="1E38AEDD" w14:textId="77777777" w:rsidR="00454A29" w:rsidRDefault="00454A29">
            <w:pPr>
              <w:pStyle w:val="ConsPlusNormal"/>
              <w:jc w:val="center"/>
            </w:pPr>
            <w:r>
              <w:t>-</w:t>
            </w:r>
          </w:p>
        </w:tc>
        <w:tc>
          <w:tcPr>
            <w:tcW w:w="1814" w:type="dxa"/>
            <w:vAlign w:val="center"/>
          </w:tcPr>
          <w:p w14:paraId="7F991D43" w14:textId="77777777" w:rsidR="00454A29" w:rsidRDefault="00454A29">
            <w:pPr>
              <w:pStyle w:val="ConsPlusNormal"/>
              <w:jc w:val="center"/>
            </w:pPr>
            <w:r>
              <w:t>-</w:t>
            </w:r>
          </w:p>
        </w:tc>
      </w:tr>
      <w:tr w:rsidR="00454A29" w14:paraId="115B8230" w14:textId="77777777">
        <w:tc>
          <w:tcPr>
            <w:tcW w:w="567" w:type="dxa"/>
            <w:vMerge/>
          </w:tcPr>
          <w:p w14:paraId="3A2452AD" w14:textId="77777777" w:rsidR="00454A29" w:rsidRDefault="00454A29"/>
        </w:tc>
        <w:tc>
          <w:tcPr>
            <w:tcW w:w="3345" w:type="dxa"/>
            <w:vMerge/>
          </w:tcPr>
          <w:p w14:paraId="1E84847A" w14:textId="77777777" w:rsidR="00454A29" w:rsidRDefault="00454A29"/>
        </w:tc>
        <w:tc>
          <w:tcPr>
            <w:tcW w:w="1701" w:type="dxa"/>
            <w:vAlign w:val="center"/>
          </w:tcPr>
          <w:p w14:paraId="5CDAF6B0" w14:textId="77777777" w:rsidR="00454A29" w:rsidRDefault="00454A29">
            <w:pPr>
              <w:pStyle w:val="ConsPlusNormal"/>
              <w:jc w:val="center"/>
            </w:pPr>
            <w:r>
              <w:t>2020</w:t>
            </w:r>
          </w:p>
        </w:tc>
        <w:tc>
          <w:tcPr>
            <w:tcW w:w="1417" w:type="dxa"/>
            <w:vMerge/>
          </w:tcPr>
          <w:p w14:paraId="5736AAE2" w14:textId="77777777" w:rsidR="00454A29" w:rsidRDefault="00454A29"/>
        </w:tc>
        <w:tc>
          <w:tcPr>
            <w:tcW w:w="2204" w:type="dxa"/>
            <w:vMerge/>
          </w:tcPr>
          <w:p w14:paraId="67467DFC" w14:textId="77777777" w:rsidR="00454A29" w:rsidRDefault="00454A29"/>
        </w:tc>
        <w:tc>
          <w:tcPr>
            <w:tcW w:w="1417" w:type="dxa"/>
            <w:vMerge/>
          </w:tcPr>
          <w:p w14:paraId="165C1D3E" w14:textId="77777777" w:rsidR="00454A29" w:rsidRDefault="00454A29"/>
        </w:tc>
        <w:tc>
          <w:tcPr>
            <w:tcW w:w="2324" w:type="dxa"/>
            <w:vMerge/>
          </w:tcPr>
          <w:p w14:paraId="66DA8E31" w14:textId="77777777" w:rsidR="00454A29" w:rsidRDefault="00454A29"/>
        </w:tc>
        <w:tc>
          <w:tcPr>
            <w:tcW w:w="1701" w:type="dxa"/>
            <w:vAlign w:val="center"/>
          </w:tcPr>
          <w:p w14:paraId="698DD041" w14:textId="77777777" w:rsidR="00454A29" w:rsidRDefault="00454A29">
            <w:pPr>
              <w:pStyle w:val="ConsPlusNormal"/>
            </w:pPr>
          </w:p>
        </w:tc>
        <w:tc>
          <w:tcPr>
            <w:tcW w:w="1814" w:type="dxa"/>
            <w:vAlign w:val="center"/>
          </w:tcPr>
          <w:p w14:paraId="007B4162" w14:textId="77777777" w:rsidR="00454A29" w:rsidRDefault="00454A29">
            <w:pPr>
              <w:pStyle w:val="ConsPlusNormal"/>
            </w:pPr>
          </w:p>
        </w:tc>
        <w:tc>
          <w:tcPr>
            <w:tcW w:w="1701" w:type="dxa"/>
            <w:vAlign w:val="center"/>
          </w:tcPr>
          <w:p w14:paraId="1387F212" w14:textId="77777777" w:rsidR="00454A29" w:rsidRDefault="00454A29">
            <w:pPr>
              <w:pStyle w:val="ConsPlusNormal"/>
            </w:pPr>
          </w:p>
        </w:tc>
        <w:tc>
          <w:tcPr>
            <w:tcW w:w="1701" w:type="dxa"/>
            <w:vAlign w:val="center"/>
          </w:tcPr>
          <w:p w14:paraId="615E491F" w14:textId="77777777" w:rsidR="00454A29" w:rsidRDefault="00454A29">
            <w:pPr>
              <w:pStyle w:val="ConsPlusNormal"/>
            </w:pPr>
          </w:p>
        </w:tc>
        <w:tc>
          <w:tcPr>
            <w:tcW w:w="1814" w:type="dxa"/>
            <w:vAlign w:val="center"/>
          </w:tcPr>
          <w:p w14:paraId="79281285" w14:textId="77777777" w:rsidR="00454A29" w:rsidRDefault="00454A29">
            <w:pPr>
              <w:pStyle w:val="ConsPlusNormal"/>
            </w:pPr>
          </w:p>
        </w:tc>
      </w:tr>
      <w:tr w:rsidR="00454A29" w14:paraId="0511F2DE" w14:textId="77777777">
        <w:tc>
          <w:tcPr>
            <w:tcW w:w="567" w:type="dxa"/>
            <w:vMerge/>
          </w:tcPr>
          <w:p w14:paraId="7E9E274D" w14:textId="77777777" w:rsidR="00454A29" w:rsidRDefault="00454A29"/>
        </w:tc>
        <w:tc>
          <w:tcPr>
            <w:tcW w:w="3345" w:type="dxa"/>
            <w:vMerge/>
          </w:tcPr>
          <w:p w14:paraId="1456BA33" w14:textId="77777777" w:rsidR="00454A29" w:rsidRDefault="00454A29"/>
        </w:tc>
        <w:tc>
          <w:tcPr>
            <w:tcW w:w="1701" w:type="dxa"/>
            <w:vAlign w:val="center"/>
          </w:tcPr>
          <w:p w14:paraId="5E31E881" w14:textId="77777777" w:rsidR="00454A29" w:rsidRDefault="00454A29">
            <w:pPr>
              <w:pStyle w:val="ConsPlusNormal"/>
              <w:jc w:val="center"/>
            </w:pPr>
            <w:r>
              <w:t>2021</w:t>
            </w:r>
          </w:p>
        </w:tc>
        <w:tc>
          <w:tcPr>
            <w:tcW w:w="1417" w:type="dxa"/>
            <w:vMerge/>
          </w:tcPr>
          <w:p w14:paraId="3BB17C9F" w14:textId="77777777" w:rsidR="00454A29" w:rsidRDefault="00454A29"/>
        </w:tc>
        <w:tc>
          <w:tcPr>
            <w:tcW w:w="2204" w:type="dxa"/>
            <w:vMerge/>
          </w:tcPr>
          <w:p w14:paraId="2306BED9" w14:textId="77777777" w:rsidR="00454A29" w:rsidRDefault="00454A29"/>
        </w:tc>
        <w:tc>
          <w:tcPr>
            <w:tcW w:w="1417" w:type="dxa"/>
            <w:vMerge/>
          </w:tcPr>
          <w:p w14:paraId="54D45190" w14:textId="77777777" w:rsidR="00454A29" w:rsidRDefault="00454A29"/>
        </w:tc>
        <w:tc>
          <w:tcPr>
            <w:tcW w:w="2324" w:type="dxa"/>
            <w:vMerge/>
          </w:tcPr>
          <w:p w14:paraId="7049ED22" w14:textId="77777777" w:rsidR="00454A29" w:rsidRDefault="00454A29"/>
        </w:tc>
        <w:tc>
          <w:tcPr>
            <w:tcW w:w="1701" w:type="dxa"/>
            <w:vAlign w:val="center"/>
          </w:tcPr>
          <w:p w14:paraId="5F1B19CD" w14:textId="77777777" w:rsidR="00454A29" w:rsidRDefault="00454A29">
            <w:pPr>
              <w:pStyle w:val="ConsPlusNormal"/>
            </w:pPr>
          </w:p>
        </w:tc>
        <w:tc>
          <w:tcPr>
            <w:tcW w:w="1814" w:type="dxa"/>
            <w:vAlign w:val="center"/>
          </w:tcPr>
          <w:p w14:paraId="2DB9AF68" w14:textId="77777777" w:rsidR="00454A29" w:rsidRDefault="00454A29">
            <w:pPr>
              <w:pStyle w:val="ConsPlusNormal"/>
            </w:pPr>
          </w:p>
        </w:tc>
        <w:tc>
          <w:tcPr>
            <w:tcW w:w="1701" w:type="dxa"/>
            <w:vAlign w:val="center"/>
          </w:tcPr>
          <w:p w14:paraId="478AEBC4" w14:textId="77777777" w:rsidR="00454A29" w:rsidRDefault="00454A29">
            <w:pPr>
              <w:pStyle w:val="ConsPlusNormal"/>
            </w:pPr>
          </w:p>
        </w:tc>
        <w:tc>
          <w:tcPr>
            <w:tcW w:w="1701" w:type="dxa"/>
            <w:vAlign w:val="center"/>
          </w:tcPr>
          <w:p w14:paraId="3783A6E1" w14:textId="77777777" w:rsidR="00454A29" w:rsidRDefault="00454A29">
            <w:pPr>
              <w:pStyle w:val="ConsPlusNormal"/>
            </w:pPr>
          </w:p>
        </w:tc>
        <w:tc>
          <w:tcPr>
            <w:tcW w:w="1814" w:type="dxa"/>
            <w:vAlign w:val="center"/>
          </w:tcPr>
          <w:p w14:paraId="50A5D610" w14:textId="77777777" w:rsidR="00454A29" w:rsidRDefault="00454A29">
            <w:pPr>
              <w:pStyle w:val="ConsPlusNormal"/>
            </w:pPr>
          </w:p>
        </w:tc>
      </w:tr>
      <w:tr w:rsidR="00454A29" w14:paraId="25F1499A" w14:textId="77777777">
        <w:tc>
          <w:tcPr>
            <w:tcW w:w="567" w:type="dxa"/>
            <w:vMerge/>
          </w:tcPr>
          <w:p w14:paraId="1C9ED3F7" w14:textId="77777777" w:rsidR="00454A29" w:rsidRDefault="00454A29"/>
        </w:tc>
        <w:tc>
          <w:tcPr>
            <w:tcW w:w="3345" w:type="dxa"/>
            <w:vMerge/>
          </w:tcPr>
          <w:p w14:paraId="14366FBE" w14:textId="77777777" w:rsidR="00454A29" w:rsidRDefault="00454A29"/>
        </w:tc>
        <w:tc>
          <w:tcPr>
            <w:tcW w:w="1701" w:type="dxa"/>
            <w:vAlign w:val="center"/>
          </w:tcPr>
          <w:p w14:paraId="07698AAB" w14:textId="77777777" w:rsidR="00454A29" w:rsidRDefault="00454A29">
            <w:pPr>
              <w:pStyle w:val="ConsPlusNormal"/>
              <w:jc w:val="center"/>
            </w:pPr>
            <w:r>
              <w:t>2022</w:t>
            </w:r>
          </w:p>
        </w:tc>
        <w:tc>
          <w:tcPr>
            <w:tcW w:w="1417" w:type="dxa"/>
            <w:vMerge/>
          </w:tcPr>
          <w:p w14:paraId="76F96FE6" w14:textId="77777777" w:rsidR="00454A29" w:rsidRDefault="00454A29"/>
        </w:tc>
        <w:tc>
          <w:tcPr>
            <w:tcW w:w="2204" w:type="dxa"/>
            <w:vMerge/>
          </w:tcPr>
          <w:p w14:paraId="5A46CA15" w14:textId="77777777" w:rsidR="00454A29" w:rsidRDefault="00454A29"/>
        </w:tc>
        <w:tc>
          <w:tcPr>
            <w:tcW w:w="1417" w:type="dxa"/>
            <w:vMerge/>
          </w:tcPr>
          <w:p w14:paraId="68C36776" w14:textId="77777777" w:rsidR="00454A29" w:rsidRDefault="00454A29"/>
        </w:tc>
        <w:tc>
          <w:tcPr>
            <w:tcW w:w="2324" w:type="dxa"/>
            <w:vMerge/>
          </w:tcPr>
          <w:p w14:paraId="2B64FFEC" w14:textId="77777777" w:rsidR="00454A29" w:rsidRDefault="00454A29"/>
        </w:tc>
        <w:tc>
          <w:tcPr>
            <w:tcW w:w="1701" w:type="dxa"/>
            <w:vAlign w:val="center"/>
          </w:tcPr>
          <w:p w14:paraId="5CBAC358" w14:textId="77777777" w:rsidR="00454A29" w:rsidRDefault="00454A29">
            <w:pPr>
              <w:pStyle w:val="ConsPlusNormal"/>
            </w:pPr>
          </w:p>
        </w:tc>
        <w:tc>
          <w:tcPr>
            <w:tcW w:w="1814" w:type="dxa"/>
            <w:vAlign w:val="center"/>
          </w:tcPr>
          <w:p w14:paraId="03E4F32B" w14:textId="77777777" w:rsidR="00454A29" w:rsidRDefault="00454A29">
            <w:pPr>
              <w:pStyle w:val="ConsPlusNormal"/>
            </w:pPr>
          </w:p>
        </w:tc>
        <w:tc>
          <w:tcPr>
            <w:tcW w:w="1701" w:type="dxa"/>
            <w:vAlign w:val="center"/>
          </w:tcPr>
          <w:p w14:paraId="01517731" w14:textId="77777777" w:rsidR="00454A29" w:rsidRDefault="00454A29">
            <w:pPr>
              <w:pStyle w:val="ConsPlusNormal"/>
            </w:pPr>
          </w:p>
        </w:tc>
        <w:tc>
          <w:tcPr>
            <w:tcW w:w="1701" w:type="dxa"/>
            <w:vAlign w:val="center"/>
          </w:tcPr>
          <w:p w14:paraId="2D56399D" w14:textId="77777777" w:rsidR="00454A29" w:rsidRDefault="00454A29">
            <w:pPr>
              <w:pStyle w:val="ConsPlusNormal"/>
            </w:pPr>
          </w:p>
        </w:tc>
        <w:tc>
          <w:tcPr>
            <w:tcW w:w="1814" w:type="dxa"/>
            <w:vAlign w:val="center"/>
          </w:tcPr>
          <w:p w14:paraId="5FED1952" w14:textId="77777777" w:rsidR="00454A29" w:rsidRDefault="00454A29">
            <w:pPr>
              <w:pStyle w:val="ConsPlusNormal"/>
            </w:pPr>
          </w:p>
        </w:tc>
      </w:tr>
      <w:tr w:rsidR="00454A29" w14:paraId="72244B3F" w14:textId="77777777">
        <w:tc>
          <w:tcPr>
            <w:tcW w:w="567" w:type="dxa"/>
            <w:vMerge/>
          </w:tcPr>
          <w:p w14:paraId="34A15CD5" w14:textId="77777777" w:rsidR="00454A29" w:rsidRDefault="00454A29"/>
        </w:tc>
        <w:tc>
          <w:tcPr>
            <w:tcW w:w="3345" w:type="dxa"/>
            <w:vMerge/>
          </w:tcPr>
          <w:p w14:paraId="2D732096" w14:textId="77777777" w:rsidR="00454A29" w:rsidRDefault="00454A29"/>
        </w:tc>
        <w:tc>
          <w:tcPr>
            <w:tcW w:w="1701" w:type="dxa"/>
            <w:vAlign w:val="center"/>
          </w:tcPr>
          <w:p w14:paraId="34B5DFBA" w14:textId="77777777" w:rsidR="00454A29" w:rsidRDefault="00454A29">
            <w:pPr>
              <w:pStyle w:val="ConsPlusNormal"/>
              <w:jc w:val="center"/>
            </w:pPr>
            <w:r>
              <w:t>2023</w:t>
            </w:r>
          </w:p>
        </w:tc>
        <w:tc>
          <w:tcPr>
            <w:tcW w:w="1417" w:type="dxa"/>
            <w:vMerge/>
          </w:tcPr>
          <w:p w14:paraId="4054B61E" w14:textId="77777777" w:rsidR="00454A29" w:rsidRDefault="00454A29"/>
        </w:tc>
        <w:tc>
          <w:tcPr>
            <w:tcW w:w="2204" w:type="dxa"/>
            <w:vMerge/>
          </w:tcPr>
          <w:p w14:paraId="0CDB64AF" w14:textId="77777777" w:rsidR="00454A29" w:rsidRDefault="00454A29"/>
        </w:tc>
        <w:tc>
          <w:tcPr>
            <w:tcW w:w="1417" w:type="dxa"/>
            <w:vMerge/>
          </w:tcPr>
          <w:p w14:paraId="57B24180" w14:textId="77777777" w:rsidR="00454A29" w:rsidRDefault="00454A29"/>
        </w:tc>
        <w:tc>
          <w:tcPr>
            <w:tcW w:w="2324" w:type="dxa"/>
            <w:vMerge/>
          </w:tcPr>
          <w:p w14:paraId="6C87A09E" w14:textId="77777777" w:rsidR="00454A29" w:rsidRDefault="00454A29"/>
        </w:tc>
        <w:tc>
          <w:tcPr>
            <w:tcW w:w="1701" w:type="dxa"/>
            <w:vAlign w:val="center"/>
          </w:tcPr>
          <w:p w14:paraId="2A29B46D" w14:textId="77777777" w:rsidR="00454A29" w:rsidRDefault="00454A29">
            <w:pPr>
              <w:pStyle w:val="ConsPlusNormal"/>
              <w:jc w:val="center"/>
            </w:pPr>
            <w:r>
              <w:t>-</w:t>
            </w:r>
          </w:p>
        </w:tc>
        <w:tc>
          <w:tcPr>
            <w:tcW w:w="1814" w:type="dxa"/>
            <w:vAlign w:val="center"/>
          </w:tcPr>
          <w:p w14:paraId="1CFB8A26" w14:textId="77777777" w:rsidR="00454A29" w:rsidRDefault="00454A29">
            <w:pPr>
              <w:pStyle w:val="ConsPlusNormal"/>
            </w:pPr>
          </w:p>
        </w:tc>
        <w:tc>
          <w:tcPr>
            <w:tcW w:w="1701" w:type="dxa"/>
            <w:vAlign w:val="center"/>
          </w:tcPr>
          <w:p w14:paraId="78EF9165" w14:textId="77777777" w:rsidR="00454A29" w:rsidRDefault="00454A29">
            <w:pPr>
              <w:pStyle w:val="ConsPlusNormal"/>
            </w:pPr>
          </w:p>
        </w:tc>
        <w:tc>
          <w:tcPr>
            <w:tcW w:w="1701" w:type="dxa"/>
            <w:vAlign w:val="center"/>
          </w:tcPr>
          <w:p w14:paraId="19A9B55F" w14:textId="77777777" w:rsidR="00454A29" w:rsidRDefault="00454A29">
            <w:pPr>
              <w:pStyle w:val="ConsPlusNormal"/>
            </w:pPr>
          </w:p>
        </w:tc>
        <w:tc>
          <w:tcPr>
            <w:tcW w:w="1814" w:type="dxa"/>
            <w:vAlign w:val="center"/>
          </w:tcPr>
          <w:p w14:paraId="1E9FC3B9" w14:textId="77777777" w:rsidR="00454A29" w:rsidRDefault="00454A29">
            <w:pPr>
              <w:pStyle w:val="ConsPlusNormal"/>
            </w:pPr>
          </w:p>
        </w:tc>
      </w:tr>
      <w:tr w:rsidR="00454A29" w14:paraId="18B24314" w14:textId="77777777">
        <w:tc>
          <w:tcPr>
            <w:tcW w:w="567" w:type="dxa"/>
            <w:vMerge/>
          </w:tcPr>
          <w:p w14:paraId="7567B52E" w14:textId="77777777" w:rsidR="00454A29" w:rsidRDefault="00454A29"/>
        </w:tc>
        <w:tc>
          <w:tcPr>
            <w:tcW w:w="3345" w:type="dxa"/>
            <w:vMerge/>
          </w:tcPr>
          <w:p w14:paraId="269EAB4F" w14:textId="77777777" w:rsidR="00454A29" w:rsidRDefault="00454A29"/>
        </w:tc>
        <w:tc>
          <w:tcPr>
            <w:tcW w:w="1701" w:type="dxa"/>
            <w:vAlign w:val="center"/>
          </w:tcPr>
          <w:p w14:paraId="301ECA72" w14:textId="77777777" w:rsidR="00454A29" w:rsidRDefault="00454A29">
            <w:pPr>
              <w:pStyle w:val="ConsPlusNormal"/>
              <w:jc w:val="center"/>
            </w:pPr>
            <w:r>
              <w:t>2024</w:t>
            </w:r>
          </w:p>
        </w:tc>
        <w:tc>
          <w:tcPr>
            <w:tcW w:w="1417" w:type="dxa"/>
            <w:vMerge/>
          </w:tcPr>
          <w:p w14:paraId="28493B9A" w14:textId="77777777" w:rsidR="00454A29" w:rsidRDefault="00454A29"/>
        </w:tc>
        <w:tc>
          <w:tcPr>
            <w:tcW w:w="2204" w:type="dxa"/>
            <w:vMerge/>
          </w:tcPr>
          <w:p w14:paraId="1C8041AA" w14:textId="77777777" w:rsidR="00454A29" w:rsidRDefault="00454A29"/>
        </w:tc>
        <w:tc>
          <w:tcPr>
            <w:tcW w:w="1417" w:type="dxa"/>
            <w:vMerge/>
          </w:tcPr>
          <w:p w14:paraId="7F63CB81" w14:textId="77777777" w:rsidR="00454A29" w:rsidRDefault="00454A29"/>
        </w:tc>
        <w:tc>
          <w:tcPr>
            <w:tcW w:w="2324" w:type="dxa"/>
            <w:vMerge/>
          </w:tcPr>
          <w:p w14:paraId="32830F45" w14:textId="77777777" w:rsidR="00454A29" w:rsidRDefault="00454A29"/>
        </w:tc>
        <w:tc>
          <w:tcPr>
            <w:tcW w:w="1701" w:type="dxa"/>
            <w:vAlign w:val="center"/>
          </w:tcPr>
          <w:p w14:paraId="68EDAA32" w14:textId="77777777" w:rsidR="00454A29" w:rsidRDefault="00454A29">
            <w:pPr>
              <w:pStyle w:val="ConsPlusNormal"/>
              <w:jc w:val="center"/>
            </w:pPr>
            <w:r>
              <w:t>-</w:t>
            </w:r>
          </w:p>
        </w:tc>
        <w:tc>
          <w:tcPr>
            <w:tcW w:w="1814" w:type="dxa"/>
            <w:vAlign w:val="center"/>
          </w:tcPr>
          <w:p w14:paraId="00A74218" w14:textId="77777777" w:rsidR="00454A29" w:rsidRDefault="00454A29">
            <w:pPr>
              <w:pStyle w:val="ConsPlusNormal"/>
            </w:pPr>
          </w:p>
        </w:tc>
        <w:tc>
          <w:tcPr>
            <w:tcW w:w="1701" w:type="dxa"/>
            <w:vAlign w:val="center"/>
          </w:tcPr>
          <w:p w14:paraId="2B9F44D9" w14:textId="77777777" w:rsidR="00454A29" w:rsidRDefault="00454A29">
            <w:pPr>
              <w:pStyle w:val="ConsPlusNormal"/>
            </w:pPr>
          </w:p>
        </w:tc>
        <w:tc>
          <w:tcPr>
            <w:tcW w:w="1701" w:type="dxa"/>
            <w:vAlign w:val="center"/>
          </w:tcPr>
          <w:p w14:paraId="1821002B" w14:textId="77777777" w:rsidR="00454A29" w:rsidRDefault="00454A29">
            <w:pPr>
              <w:pStyle w:val="ConsPlusNormal"/>
            </w:pPr>
          </w:p>
        </w:tc>
        <w:tc>
          <w:tcPr>
            <w:tcW w:w="1814" w:type="dxa"/>
            <w:vAlign w:val="center"/>
          </w:tcPr>
          <w:p w14:paraId="45102D9A" w14:textId="77777777" w:rsidR="00454A29" w:rsidRDefault="00454A29">
            <w:pPr>
              <w:pStyle w:val="ConsPlusNormal"/>
            </w:pPr>
          </w:p>
        </w:tc>
      </w:tr>
      <w:tr w:rsidR="00454A29" w14:paraId="08F343E0" w14:textId="77777777">
        <w:tc>
          <w:tcPr>
            <w:tcW w:w="567" w:type="dxa"/>
            <w:vMerge/>
          </w:tcPr>
          <w:p w14:paraId="09C4150F" w14:textId="77777777" w:rsidR="00454A29" w:rsidRDefault="00454A29"/>
        </w:tc>
        <w:tc>
          <w:tcPr>
            <w:tcW w:w="3345" w:type="dxa"/>
            <w:vMerge/>
          </w:tcPr>
          <w:p w14:paraId="42689C2B" w14:textId="77777777" w:rsidR="00454A29" w:rsidRDefault="00454A29"/>
        </w:tc>
        <w:tc>
          <w:tcPr>
            <w:tcW w:w="1701" w:type="dxa"/>
            <w:vAlign w:val="center"/>
          </w:tcPr>
          <w:p w14:paraId="423BEE8B" w14:textId="77777777" w:rsidR="00454A29" w:rsidRDefault="00454A29">
            <w:pPr>
              <w:pStyle w:val="ConsPlusNormal"/>
              <w:jc w:val="center"/>
            </w:pPr>
            <w:r>
              <w:t>2025</w:t>
            </w:r>
          </w:p>
        </w:tc>
        <w:tc>
          <w:tcPr>
            <w:tcW w:w="1417" w:type="dxa"/>
            <w:vMerge/>
          </w:tcPr>
          <w:p w14:paraId="103B2AEF" w14:textId="77777777" w:rsidR="00454A29" w:rsidRDefault="00454A29"/>
        </w:tc>
        <w:tc>
          <w:tcPr>
            <w:tcW w:w="2204" w:type="dxa"/>
            <w:vMerge/>
          </w:tcPr>
          <w:p w14:paraId="48EABD88" w14:textId="77777777" w:rsidR="00454A29" w:rsidRDefault="00454A29"/>
        </w:tc>
        <w:tc>
          <w:tcPr>
            <w:tcW w:w="1417" w:type="dxa"/>
            <w:vMerge/>
          </w:tcPr>
          <w:p w14:paraId="7075F8C6" w14:textId="77777777" w:rsidR="00454A29" w:rsidRDefault="00454A29"/>
        </w:tc>
        <w:tc>
          <w:tcPr>
            <w:tcW w:w="2324" w:type="dxa"/>
            <w:vMerge/>
          </w:tcPr>
          <w:p w14:paraId="78D5B31F" w14:textId="77777777" w:rsidR="00454A29" w:rsidRDefault="00454A29"/>
        </w:tc>
        <w:tc>
          <w:tcPr>
            <w:tcW w:w="1701" w:type="dxa"/>
            <w:vAlign w:val="center"/>
          </w:tcPr>
          <w:p w14:paraId="39459B62" w14:textId="77777777" w:rsidR="00454A29" w:rsidRDefault="00454A29">
            <w:pPr>
              <w:pStyle w:val="ConsPlusNormal"/>
            </w:pPr>
          </w:p>
        </w:tc>
        <w:tc>
          <w:tcPr>
            <w:tcW w:w="1814" w:type="dxa"/>
            <w:vAlign w:val="center"/>
          </w:tcPr>
          <w:p w14:paraId="3E66C077" w14:textId="77777777" w:rsidR="00454A29" w:rsidRDefault="00454A29">
            <w:pPr>
              <w:pStyle w:val="ConsPlusNormal"/>
            </w:pPr>
          </w:p>
        </w:tc>
        <w:tc>
          <w:tcPr>
            <w:tcW w:w="1701" w:type="dxa"/>
            <w:vAlign w:val="center"/>
          </w:tcPr>
          <w:p w14:paraId="06F2621C" w14:textId="77777777" w:rsidR="00454A29" w:rsidRDefault="00454A29">
            <w:pPr>
              <w:pStyle w:val="ConsPlusNormal"/>
            </w:pPr>
          </w:p>
        </w:tc>
        <w:tc>
          <w:tcPr>
            <w:tcW w:w="1701" w:type="dxa"/>
            <w:vAlign w:val="center"/>
          </w:tcPr>
          <w:p w14:paraId="1BAA8D96" w14:textId="77777777" w:rsidR="00454A29" w:rsidRDefault="00454A29">
            <w:pPr>
              <w:pStyle w:val="ConsPlusNormal"/>
            </w:pPr>
          </w:p>
        </w:tc>
        <w:tc>
          <w:tcPr>
            <w:tcW w:w="1814" w:type="dxa"/>
            <w:vAlign w:val="center"/>
          </w:tcPr>
          <w:p w14:paraId="79067CEB" w14:textId="77777777" w:rsidR="00454A29" w:rsidRDefault="00454A29">
            <w:pPr>
              <w:pStyle w:val="ConsPlusNormal"/>
            </w:pPr>
          </w:p>
        </w:tc>
      </w:tr>
      <w:tr w:rsidR="00454A29" w14:paraId="2FAC3812" w14:textId="77777777">
        <w:tc>
          <w:tcPr>
            <w:tcW w:w="567" w:type="dxa"/>
            <w:vMerge/>
          </w:tcPr>
          <w:p w14:paraId="777FAFA1" w14:textId="77777777" w:rsidR="00454A29" w:rsidRDefault="00454A29"/>
        </w:tc>
        <w:tc>
          <w:tcPr>
            <w:tcW w:w="3345" w:type="dxa"/>
            <w:vMerge/>
          </w:tcPr>
          <w:p w14:paraId="7881A9B9" w14:textId="77777777" w:rsidR="00454A29" w:rsidRDefault="00454A29"/>
        </w:tc>
        <w:tc>
          <w:tcPr>
            <w:tcW w:w="1701" w:type="dxa"/>
            <w:vAlign w:val="center"/>
          </w:tcPr>
          <w:p w14:paraId="21591053" w14:textId="77777777" w:rsidR="00454A29" w:rsidRDefault="00454A29">
            <w:pPr>
              <w:pStyle w:val="ConsPlusNormal"/>
              <w:jc w:val="center"/>
            </w:pPr>
            <w:r>
              <w:t>2026</w:t>
            </w:r>
          </w:p>
        </w:tc>
        <w:tc>
          <w:tcPr>
            <w:tcW w:w="1417" w:type="dxa"/>
            <w:vMerge/>
          </w:tcPr>
          <w:p w14:paraId="70D40C34" w14:textId="77777777" w:rsidR="00454A29" w:rsidRDefault="00454A29"/>
        </w:tc>
        <w:tc>
          <w:tcPr>
            <w:tcW w:w="2204" w:type="dxa"/>
            <w:vMerge/>
          </w:tcPr>
          <w:p w14:paraId="11E50EBF" w14:textId="77777777" w:rsidR="00454A29" w:rsidRDefault="00454A29"/>
        </w:tc>
        <w:tc>
          <w:tcPr>
            <w:tcW w:w="1417" w:type="dxa"/>
            <w:vMerge/>
          </w:tcPr>
          <w:p w14:paraId="1B735F93" w14:textId="77777777" w:rsidR="00454A29" w:rsidRDefault="00454A29"/>
        </w:tc>
        <w:tc>
          <w:tcPr>
            <w:tcW w:w="2324" w:type="dxa"/>
            <w:vMerge/>
          </w:tcPr>
          <w:p w14:paraId="342647FF" w14:textId="77777777" w:rsidR="00454A29" w:rsidRDefault="00454A29"/>
        </w:tc>
        <w:tc>
          <w:tcPr>
            <w:tcW w:w="1701" w:type="dxa"/>
            <w:vAlign w:val="center"/>
          </w:tcPr>
          <w:p w14:paraId="3BA4C0F4" w14:textId="77777777" w:rsidR="00454A29" w:rsidRDefault="00454A29">
            <w:pPr>
              <w:pStyle w:val="ConsPlusNormal"/>
              <w:jc w:val="center"/>
            </w:pPr>
            <w:r>
              <w:t>420 044,60</w:t>
            </w:r>
          </w:p>
        </w:tc>
        <w:tc>
          <w:tcPr>
            <w:tcW w:w="1814" w:type="dxa"/>
            <w:vAlign w:val="center"/>
          </w:tcPr>
          <w:p w14:paraId="3A8B16C6" w14:textId="77777777" w:rsidR="00454A29" w:rsidRDefault="00454A29">
            <w:pPr>
              <w:pStyle w:val="ConsPlusNormal"/>
              <w:jc w:val="center"/>
            </w:pPr>
            <w:r>
              <w:t>5 174,95</w:t>
            </w:r>
          </w:p>
        </w:tc>
        <w:tc>
          <w:tcPr>
            <w:tcW w:w="1701" w:type="dxa"/>
            <w:vAlign w:val="center"/>
          </w:tcPr>
          <w:p w14:paraId="04F5845F" w14:textId="77777777" w:rsidR="00454A29" w:rsidRDefault="00454A29">
            <w:pPr>
              <w:pStyle w:val="ConsPlusNormal"/>
              <w:jc w:val="center"/>
            </w:pPr>
            <w:r>
              <w:t>512 319,99</w:t>
            </w:r>
          </w:p>
        </w:tc>
        <w:tc>
          <w:tcPr>
            <w:tcW w:w="1701" w:type="dxa"/>
            <w:vAlign w:val="center"/>
          </w:tcPr>
          <w:p w14:paraId="59E3ED34" w14:textId="77777777" w:rsidR="00454A29" w:rsidRDefault="00454A29">
            <w:pPr>
              <w:pStyle w:val="ConsPlusNormal"/>
            </w:pPr>
          </w:p>
        </w:tc>
        <w:tc>
          <w:tcPr>
            <w:tcW w:w="1814" w:type="dxa"/>
            <w:vAlign w:val="center"/>
          </w:tcPr>
          <w:p w14:paraId="180FC2AD" w14:textId="77777777" w:rsidR="00454A29" w:rsidRDefault="00454A29">
            <w:pPr>
              <w:pStyle w:val="ConsPlusNormal"/>
            </w:pPr>
          </w:p>
        </w:tc>
      </w:tr>
      <w:tr w:rsidR="00454A29" w14:paraId="1983B5A3" w14:textId="77777777">
        <w:tc>
          <w:tcPr>
            <w:tcW w:w="21706" w:type="dxa"/>
            <w:gridSpan w:val="12"/>
            <w:vAlign w:val="center"/>
          </w:tcPr>
          <w:p w14:paraId="7CEFE07A" w14:textId="77777777" w:rsidR="00454A29" w:rsidRDefault="00454A29">
            <w:pPr>
              <w:pStyle w:val="ConsPlusNormal"/>
              <w:jc w:val="center"/>
              <w:outlineLvl w:val="2"/>
            </w:pPr>
            <w:r>
              <w:t>МР "Нюрбинский район"</w:t>
            </w:r>
          </w:p>
        </w:tc>
      </w:tr>
      <w:tr w:rsidR="00454A29" w14:paraId="0A6DAF99" w14:textId="77777777">
        <w:tc>
          <w:tcPr>
            <w:tcW w:w="567" w:type="dxa"/>
            <w:vMerge w:val="restart"/>
            <w:vAlign w:val="center"/>
          </w:tcPr>
          <w:p w14:paraId="6CDBF7DE" w14:textId="77777777" w:rsidR="00454A29" w:rsidRDefault="00454A29">
            <w:pPr>
              <w:pStyle w:val="ConsPlusNormal"/>
              <w:jc w:val="center"/>
            </w:pPr>
            <w:r>
              <w:t>93</w:t>
            </w:r>
          </w:p>
        </w:tc>
        <w:tc>
          <w:tcPr>
            <w:tcW w:w="3345" w:type="dxa"/>
            <w:vMerge w:val="restart"/>
            <w:vAlign w:val="center"/>
          </w:tcPr>
          <w:p w14:paraId="4DC0EEB1" w14:textId="77777777" w:rsidR="00454A29" w:rsidRDefault="00454A29">
            <w:pPr>
              <w:pStyle w:val="ConsPlusNormal"/>
              <w:jc w:val="center"/>
            </w:pPr>
            <w:r>
              <w:t>Школа на 500 учащихся в г. Нюрба</w:t>
            </w:r>
          </w:p>
        </w:tc>
        <w:tc>
          <w:tcPr>
            <w:tcW w:w="1701" w:type="dxa"/>
            <w:vAlign w:val="center"/>
          </w:tcPr>
          <w:p w14:paraId="7D91DDA1" w14:textId="77777777" w:rsidR="00454A29" w:rsidRDefault="00454A29">
            <w:pPr>
              <w:pStyle w:val="ConsPlusNormal"/>
              <w:jc w:val="center"/>
            </w:pPr>
            <w:r>
              <w:t>2020 - 2026 годы - всего</w:t>
            </w:r>
          </w:p>
        </w:tc>
        <w:tc>
          <w:tcPr>
            <w:tcW w:w="1417" w:type="dxa"/>
            <w:vMerge w:val="restart"/>
            <w:vAlign w:val="center"/>
          </w:tcPr>
          <w:p w14:paraId="5FF067D1" w14:textId="77777777" w:rsidR="00454A29" w:rsidRDefault="00454A29">
            <w:pPr>
              <w:pStyle w:val="ConsPlusNormal"/>
              <w:jc w:val="center"/>
            </w:pPr>
            <w:r>
              <w:t>867 173,65</w:t>
            </w:r>
          </w:p>
        </w:tc>
        <w:tc>
          <w:tcPr>
            <w:tcW w:w="2204" w:type="dxa"/>
            <w:vMerge w:val="restart"/>
            <w:vAlign w:val="center"/>
          </w:tcPr>
          <w:p w14:paraId="24CBA05C" w14:textId="77777777" w:rsidR="00454A29" w:rsidRDefault="00454A29">
            <w:pPr>
              <w:pStyle w:val="ConsPlusNormal"/>
            </w:pPr>
          </w:p>
        </w:tc>
        <w:tc>
          <w:tcPr>
            <w:tcW w:w="1417" w:type="dxa"/>
            <w:vMerge w:val="restart"/>
            <w:vAlign w:val="center"/>
          </w:tcPr>
          <w:p w14:paraId="32D39E53" w14:textId="77777777" w:rsidR="00454A29" w:rsidRDefault="00454A29">
            <w:pPr>
              <w:pStyle w:val="ConsPlusNormal"/>
              <w:jc w:val="center"/>
            </w:pPr>
            <w:r>
              <w:t>500</w:t>
            </w:r>
          </w:p>
        </w:tc>
        <w:tc>
          <w:tcPr>
            <w:tcW w:w="2324" w:type="dxa"/>
            <w:vMerge w:val="restart"/>
            <w:vAlign w:val="center"/>
          </w:tcPr>
          <w:p w14:paraId="7B6D92C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5A46762" w14:textId="77777777" w:rsidR="00454A29" w:rsidRDefault="00454A29">
            <w:pPr>
              <w:pStyle w:val="ConsPlusNormal"/>
              <w:jc w:val="center"/>
            </w:pPr>
            <w:r>
              <w:t>867 173,65</w:t>
            </w:r>
          </w:p>
        </w:tc>
        <w:tc>
          <w:tcPr>
            <w:tcW w:w="1814" w:type="dxa"/>
            <w:vAlign w:val="center"/>
          </w:tcPr>
          <w:p w14:paraId="7F1EEFF1" w14:textId="77777777" w:rsidR="00454A29" w:rsidRDefault="00454A29">
            <w:pPr>
              <w:pStyle w:val="ConsPlusNormal"/>
              <w:jc w:val="center"/>
            </w:pPr>
            <w:r>
              <w:t>10 969,75</w:t>
            </w:r>
          </w:p>
        </w:tc>
        <w:tc>
          <w:tcPr>
            <w:tcW w:w="1701" w:type="dxa"/>
            <w:vAlign w:val="center"/>
          </w:tcPr>
          <w:p w14:paraId="60E7EC7B" w14:textId="77777777" w:rsidR="00454A29" w:rsidRDefault="00454A29">
            <w:pPr>
              <w:pStyle w:val="ConsPlusNormal"/>
              <w:jc w:val="center"/>
            </w:pPr>
            <w:r>
              <w:t>1 086 004,92</w:t>
            </w:r>
          </w:p>
        </w:tc>
        <w:tc>
          <w:tcPr>
            <w:tcW w:w="1701" w:type="dxa"/>
            <w:vAlign w:val="center"/>
          </w:tcPr>
          <w:p w14:paraId="3C68154F" w14:textId="77777777" w:rsidR="00454A29" w:rsidRDefault="00454A29">
            <w:pPr>
              <w:pStyle w:val="ConsPlusNormal"/>
              <w:jc w:val="center"/>
            </w:pPr>
            <w:r>
              <w:t>-</w:t>
            </w:r>
          </w:p>
        </w:tc>
        <w:tc>
          <w:tcPr>
            <w:tcW w:w="1814" w:type="dxa"/>
            <w:vAlign w:val="center"/>
          </w:tcPr>
          <w:p w14:paraId="00063D63" w14:textId="77777777" w:rsidR="00454A29" w:rsidRDefault="00454A29">
            <w:pPr>
              <w:pStyle w:val="ConsPlusNormal"/>
              <w:jc w:val="center"/>
            </w:pPr>
            <w:r>
              <w:t>-</w:t>
            </w:r>
          </w:p>
        </w:tc>
      </w:tr>
      <w:tr w:rsidR="00454A29" w14:paraId="73EB74EF" w14:textId="77777777">
        <w:tc>
          <w:tcPr>
            <w:tcW w:w="567" w:type="dxa"/>
            <w:vMerge/>
          </w:tcPr>
          <w:p w14:paraId="2CF62FA4" w14:textId="77777777" w:rsidR="00454A29" w:rsidRDefault="00454A29"/>
        </w:tc>
        <w:tc>
          <w:tcPr>
            <w:tcW w:w="3345" w:type="dxa"/>
            <w:vMerge/>
          </w:tcPr>
          <w:p w14:paraId="7B8E6A67" w14:textId="77777777" w:rsidR="00454A29" w:rsidRDefault="00454A29"/>
        </w:tc>
        <w:tc>
          <w:tcPr>
            <w:tcW w:w="1701" w:type="dxa"/>
            <w:vAlign w:val="center"/>
          </w:tcPr>
          <w:p w14:paraId="2194F884" w14:textId="77777777" w:rsidR="00454A29" w:rsidRDefault="00454A29">
            <w:pPr>
              <w:pStyle w:val="ConsPlusNormal"/>
              <w:jc w:val="center"/>
            </w:pPr>
            <w:r>
              <w:t>2020</w:t>
            </w:r>
          </w:p>
        </w:tc>
        <w:tc>
          <w:tcPr>
            <w:tcW w:w="1417" w:type="dxa"/>
            <w:vMerge/>
          </w:tcPr>
          <w:p w14:paraId="6B0EA69C" w14:textId="77777777" w:rsidR="00454A29" w:rsidRDefault="00454A29"/>
        </w:tc>
        <w:tc>
          <w:tcPr>
            <w:tcW w:w="2204" w:type="dxa"/>
            <w:vMerge/>
          </w:tcPr>
          <w:p w14:paraId="2C1A9387" w14:textId="77777777" w:rsidR="00454A29" w:rsidRDefault="00454A29"/>
        </w:tc>
        <w:tc>
          <w:tcPr>
            <w:tcW w:w="1417" w:type="dxa"/>
            <w:vMerge/>
          </w:tcPr>
          <w:p w14:paraId="129A6867" w14:textId="77777777" w:rsidR="00454A29" w:rsidRDefault="00454A29"/>
        </w:tc>
        <w:tc>
          <w:tcPr>
            <w:tcW w:w="2324" w:type="dxa"/>
            <w:vMerge/>
          </w:tcPr>
          <w:p w14:paraId="48A40066" w14:textId="77777777" w:rsidR="00454A29" w:rsidRDefault="00454A29"/>
        </w:tc>
        <w:tc>
          <w:tcPr>
            <w:tcW w:w="1701" w:type="dxa"/>
            <w:vAlign w:val="center"/>
          </w:tcPr>
          <w:p w14:paraId="56B01FBF" w14:textId="77777777" w:rsidR="00454A29" w:rsidRDefault="00454A29">
            <w:pPr>
              <w:pStyle w:val="ConsPlusNormal"/>
            </w:pPr>
          </w:p>
        </w:tc>
        <w:tc>
          <w:tcPr>
            <w:tcW w:w="1814" w:type="dxa"/>
            <w:vAlign w:val="center"/>
          </w:tcPr>
          <w:p w14:paraId="3DBEC24C" w14:textId="77777777" w:rsidR="00454A29" w:rsidRDefault="00454A29">
            <w:pPr>
              <w:pStyle w:val="ConsPlusNormal"/>
            </w:pPr>
          </w:p>
        </w:tc>
        <w:tc>
          <w:tcPr>
            <w:tcW w:w="1701" w:type="dxa"/>
            <w:vAlign w:val="center"/>
          </w:tcPr>
          <w:p w14:paraId="5A30A444" w14:textId="77777777" w:rsidR="00454A29" w:rsidRDefault="00454A29">
            <w:pPr>
              <w:pStyle w:val="ConsPlusNormal"/>
            </w:pPr>
          </w:p>
        </w:tc>
        <w:tc>
          <w:tcPr>
            <w:tcW w:w="1701" w:type="dxa"/>
            <w:vAlign w:val="center"/>
          </w:tcPr>
          <w:p w14:paraId="171AA98F" w14:textId="77777777" w:rsidR="00454A29" w:rsidRDefault="00454A29">
            <w:pPr>
              <w:pStyle w:val="ConsPlusNormal"/>
            </w:pPr>
          </w:p>
        </w:tc>
        <w:tc>
          <w:tcPr>
            <w:tcW w:w="1814" w:type="dxa"/>
            <w:vAlign w:val="center"/>
          </w:tcPr>
          <w:p w14:paraId="74E79927" w14:textId="77777777" w:rsidR="00454A29" w:rsidRDefault="00454A29">
            <w:pPr>
              <w:pStyle w:val="ConsPlusNormal"/>
            </w:pPr>
          </w:p>
        </w:tc>
      </w:tr>
      <w:tr w:rsidR="00454A29" w14:paraId="59449EC0" w14:textId="77777777">
        <w:tc>
          <w:tcPr>
            <w:tcW w:w="567" w:type="dxa"/>
            <w:vMerge/>
          </w:tcPr>
          <w:p w14:paraId="2AF1FA20" w14:textId="77777777" w:rsidR="00454A29" w:rsidRDefault="00454A29"/>
        </w:tc>
        <w:tc>
          <w:tcPr>
            <w:tcW w:w="3345" w:type="dxa"/>
            <w:vMerge/>
          </w:tcPr>
          <w:p w14:paraId="2015567F" w14:textId="77777777" w:rsidR="00454A29" w:rsidRDefault="00454A29"/>
        </w:tc>
        <w:tc>
          <w:tcPr>
            <w:tcW w:w="1701" w:type="dxa"/>
            <w:vAlign w:val="center"/>
          </w:tcPr>
          <w:p w14:paraId="6DA41ACE" w14:textId="77777777" w:rsidR="00454A29" w:rsidRDefault="00454A29">
            <w:pPr>
              <w:pStyle w:val="ConsPlusNormal"/>
              <w:jc w:val="center"/>
            </w:pPr>
            <w:r>
              <w:t>2021</w:t>
            </w:r>
          </w:p>
        </w:tc>
        <w:tc>
          <w:tcPr>
            <w:tcW w:w="1417" w:type="dxa"/>
            <w:vMerge/>
          </w:tcPr>
          <w:p w14:paraId="4BA5346A" w14:textId="77777777" w:rsidR="00454A29" w:rsidRDefault="00454A29"/>
        </w:tc>
        <w:tc>
          <w:tcPr>
            <w:tcW w:w="2204" w:type="dxa"/>
            <w:vMerge/>
          </w:tcPr>
          <w:p w14:paraId="1BD8AFC9" w14:textId="77777777" w:rsidR="00454A29" w:rsidRDefault="00454A29"/>
        </w:tc>
        <w:tc>
          <w:tcPr>
            <w:tcW w:w="1417" w:type="dxa"/>
            <w:vMerge/>
          </w:tcPr>
          <w:p w14:paraId="62DC6D5C" w14:textId="77777777" w:rsidR="00454A29" w:rsidRDefault="00454A29"/>
        </w:tc>
        <w:tc>
          <w:tcPr>
            <w:tcW w:w="2324" w:type="dxa"/>
            <w:vMerge/>
          </w:tcPr>
          <w:p w14:paraId="3D5C5D3B" w14:textId="77777777" w:rsidR="00454A29" w:rsidRDefault="00454A29"/>
        </w:tc>
        <w:tc>
          <w:tcPr>
            <w:tcW w:w="1701" w:type="dxa"/>
            <w:vAlign w:val="center"/>
          </w:tcPr>
          <w:p w14:paraId="1B716F1C" w14:textId="77777777" w:rsidR="00454A29" w:rsidRDefault="00454A29">
            <w:pPr>
              <w:pStyle w:val="ConsPlusNormal"/>
              <w:jc w:val="center"/>
            </w:pPr>
            <w:r>
              <w:t>-</w:t>
            </w:r>
          </w:p>
        </w:tc>
        <w:tc>
          <w:tcPr>
            <w:tcW w:w="1814" w:type="dxa"/>
            <w:vAlign w:val="center"/>
          </w:tcPr>
          <w:p w14:paraId="69C0545E" w14:textId="77777777" w:rsidR="00454A29" w:rsidRDefault="00454A29">
            <w:pPr>
              <w:pStyle w:val="ConsPlusNormal"/>
            </w:pPr>
          </w:p>
        </w:tc>
        <w:tc>
          <w:tcPr>
            <w:tcW w:w="1701" w:type="dxa"/>
            <w:vAlign w:val="center"/>
          </w:tcPr>
          <w:p w14:paraId="12719A21" w14:textId="77777777" w:rsidR="00454A29" w:rsidRDefault="00454A29">
            <w:pPr>
              <w:pStyle w:val="ConsPlusNormal"/>
            </w:pPr>
          </w:p>
        </w:tc>
        <w:tc>
          <w:tcPr>
            <w:tcW w:w="1701" w:type="dxa"/>
            <w:vAlign w:val="center"/>
          </w:tcPr>
          <w:p w14:paraId="2B32A0C2" w14:textId="77777777" w:rsidR="00454A29" w:rsidRDefault="00454A29">
            <w:pPr>
              <w:pStyle w:val="ConsPlusNormal"/>
            </w:pPr>
          </w:p>
        </w:tc>
        <w:tc>
          <w:tcPr>
            <w:tcW w:w="1814" w:type="dxa"/>
            <w:vAlign w:val="center"/>
          </w:tcPr>
          <w:p w14:paraId="504DF1DD" w14:textId="77777777" w:rsidR="00454A29" w:rsidRDefault="00454A29">
            <w:pPr>
              <w:pStyle w:val="ConsPlusNormal"/>
            </w:pPr>
          </w:p>
        </w:tc>
      </w:tr>
      <w:tr w:rsidR="00454A29" w14:paraId="3D17288A" w14:textId="77777777">
        <w:tc>
          <w:tcPr>
            <w:tcW w:w="567" w:type="dxa"/>
            <w:vMerge/>
          </w:tcPr>
          <w:p w14:paraId="388B0211" w14:textId="77777777" w:rsidR="00454A29" w:rsidRDefault="00454A29"/>
        </w:tc>
        <w:tc>
          <w:tcPr>
            <w:tcW w:w="3345" w:type="dxa"/>
            <w:vMerge/>
          </w:tcPr>
          <w:p w14:paraId="47DB299B" w14:textId="77777777" w:rsidR="00454A29" w:rsidRDefault="00454A29"/>
        </w:tc>
        <w:tc>
          <w:tcPr>
            <w:tcW w:w="1701" w:type="dxa"/>
            <w:vAlign w:val="center"/>
          </w:tcPr>
          <w:p w14:paraId="3DD7FA92" w14:textId="77777777" w:rsidR="00454A29" w:rsidRDefault="00454A29">
            <w:pPr>
              <w:pStyle w:val="ConsPlusNormal"/>
              <w:jc w:val="center"/>
            </w:pPr>
            <w:r>
              <w:t>2022</w:t>
            </w:r>
          </w:p>
        </w:tc>
        <w:tc>
          <w:tcPr>
            <w:tcW w:w="1417" w:type="dxa"/>
            <w:vMerge/>
          </w:tcPr>
          <w:p w14:paraId="21B49606" w14:textId="77777777" w:rsidR="00454A29" w:rsidRDefault="00454A29"/>
        </w:tc>
        <w:tc>
          <w:tcPr>
            <w:tcW w:w="2204" w:type="dxa"/>
            <w:vMerge/>
          </w:tcPr>
          <w:p w14:paraId="27EC15A2" w14:textId="77777777" w:rsidR="00454A29" w:rsidRDefault="00454A29"/>
        </w:tc>
        <w:tc>
          <w:tcPr>
            <w:tcW w:w="1417" w:type="dxa"/>
            <w:vMerge/>
          </w:tcPr>
          <w:p w14:paraId="2706BD32" w14:textId="77777777" w:rsidR="00454A29" w:rsidRDefault="00454A29"/>
        </w:tc>
        <w:tc>
          <w:tcPr>
            <w:tcW w:w="2324" w:type="dxa"/>
            <w:vMerge/>
          </w:tcPr>
          <w:p w14:paraId="4894FCBB" w14:textId="77777777" w:rsidR="00454A29" w:rsidRDefault="00454A29"/>
        </w:tc>
        <w:tc>
          <w:tcPr>
            <w:tcW w:w="1701" w:type="dxa"/>
            <w:vAlign w:val="center"/>
          </w:tcPr>
          <w:p w14:paraId="16B07C69" w14:textId="77777777" w:rsidR="00454A29" w:rsidRDefault="00454A29">
            <w:pPr>
              <w:pStyle w:val="ConsPlusNormal"/>
            </w:pPr>
          </w:p>
        </w:tc>
        <w:tc>
          <w:tcPr>
            <w:tcW w:w="1814" w:type="dxa"/>
            <w:vAlign w:val="center"/>
          </w:tcPr>
          <w:p w14:paraId="0BA17FE5" w14:textId="77777777" w:rsidR="00454A29" w:rsidRDefault="00454A29">
            <w:pPr>
              <w:pStyle w:val="ConsPlusNormal"/>
            </w:pPr>
          </w:p>
        </w:tc>
        <w:tc>
          <w:tcPr>
            <w:tcW w:w="1701" w:type="dxa"/>
            <w:vAlign w:val="center"/>
          </w:tcPr>
          <w:p w14:paraId="4DB42D10" w14:textId="77777777" w:rsidR="00454A29" w:rsidRDefault="00454A29">
            <w:pPr>
              <w:pStyle w:val="ConsPlusNormal"/>
            </w:pPr>
          </w:p>
        </w:tc>
        <w:tc>
          <w:tcPr>
            <w:tcW w:w="1701" w:type="dxa"/>
            <w:vAlign w:val="center"/>
          </w:tcPr>
          <w:p w14:paraId="1431937C" w14:textId="77777777" w:rsidR="00454A29" w:rsidRDefault="00454A29">
            <w:pPr>
              <w:pStyle w:val="ConsPlusNormal"/>
            </w:pPr>
          </w:p>
        </w:tc>
        <w:tc>
          <w:tcPr>
            <w:tcW w:w="1814" w:type="dxa"/>
            <w:vAlign w:val="center"/>
          </w:tcPr>
          <w:p w14:paraId="4CF3B943" w14:textId="77777777" w:rsidR="00454A29" w:rsidRDefault="00454A29">
            <w:pPr>
              <w:pStyle w:val="ConsPlusNormal"/>
            </w:pPr>
          </w:p>
        </w:tc>
      </w:tr>
      <w:tr w:rsidR="00454A29" w14:paraId="3B48BE77" w14:textId="77777777">
        <w:tc>
          <w:tcPr>
            <w:tcW w:w="567" w:type="dxa"/>
            <w:vMerge/>
          </w:tcPr>
          <w:p w14:paraId="3C7B10DF" w14:textId="77777777" w:rsidR="00454A29" w:rsidRDefault="00454A29"/>
        </w:tc>
        <w:tc>
          <w:tcPr>
            <w:tcW w:w="3345" w:type="dxa"/>
            <w:vMerge/>
          </w:tcPr>
          <w:p w14:paraId="58431393" w14:textId="77777777" w:rsidR="00454A29" w:rsidRDefault="00454A29"/>
        </w:tc>
        <w:tc>
          <w:tcPr>
            <w:tcW w:w="1701" w:type="dxa"/>
            <w:vAlign w:val="center"/>
          </w:tcPr>
          <w:p w14:paraId="2052E311" w14:textId="77777777" w:rsidR="00454A29" w:rsidRDefault="00454A29">
            <w:pPr>
              <w:pStyle w:val="ConsPlusNormal"/>
              <w:jc w:val="center"/>
            </w:pPr>
            <w:r>
              <w:t>2023</w:t>
            </w:r>
          </w:p>
        </w:tc>
        <w:tc>
          <w:tcPr>
            <w:tcW w:w="1417" w:type="dxa"/>
            <w:vMerge/>
          </w:tcPr>
          <w:p w14:paraId="26DDD5E6" w14:textId="77777777" w:rsidR="00454A29" w:rsidRDefault="00454A29"/>
        </w:tc>
        <w:tc>
          <w:tcPr>
            <w:tcW w:w="2204" w:type="dxa"/>
            <w:vMerge/>
          </w:tcPr>
          <w:p w14:paraId="2763A06A" w14:textId="77777777" w:rsidR="00454A29" w:rsidRDefault="00454A29"/>
        </w:tc>
        <w:tc>
          <w:tcPr>
            <w:tcW w:w="1417" w:type="dxa"/>
            <w:vMerge/>
          </w:tcPr>
          <w:p w14:paraId="340DBD67" w14:textId="77777777" w:rsidR="00454A29" w:rsidRDefault="00454A29"/>
        </w:tc>
        <w:tc>
          <w:tcPr>
            <w:tcW w:w="2324" w:type="dxa"/>
            <w:vMerge/>
          </w:tcPr>
          <w:p w14:paraId="0E27E96B" w14:textId="77777777" w:rsidR="00454A29" w:rsidRDefault="00454A29"/>
        </w:tc>
        <w:tc>
          <w:tcPr>
            <w:tcW w:w="1701" w:type="dxa"/>
            <w:vAlign w:val="center"/>
          </w:tcPr>
          <w:p w14:paraId="2C326EE9" w14:textId="77777777" w:rsidR="00454A29" w:rsidRDefault="00454A29">
            <w:pPr>
              <w:pStyle w:val="ConsPlusNormal"/>
              <w:jc w:val="center"/>
            </w:pPr>
            <w:r>
              <w:t>-</w:t>
            </w:r>
          </w:p>
        </w:tc>
        <w:tc>
          <w:tcPr>
            <w:tcW w:w="1814" w:type="dxa"/>
            <w:vAlign w:val="center"/>
          </w:tcPr>
          <w:p w14:paraId="25D5AD99" w14:textId="77777777" w:rsidR="00454A29" w:rsidRDefault="00454A29">
            <w:pPr>
              <w:pStyle w:val="ConsPlusNormal"/>
            </w:pPr>
          </w:p>
        </w:tc>
        <w:tc>
          <w:tcPr>
            <w:tcW w:w="1701" w:type="dxa"/>
            <w:vAlign w:val="center"/>
          </w:tcPr>
          <w:p w14:paraId="11718EF7" w14:textId="77777777" w:rsidR="00454A29" w:rsidRDefault="00454A29">
            <w:pPr>
              <w:pStyle w:val="ConsPlusNormal"/>
            </w:pPr>
          </w:p>
        </w:tc>
        <w:tc>
          <w:tcPr>
            <w:tcW w:w="1701" w:type="dxa"/>
            <w:vAlign w:val="center"/>
          </w:tcPr>
          <w:p w14:paraId="4C865F0A" w14:textId="77777777" w:rsidR="00454A29" w:rsidRDefault="00454A29">
            <w:pPr>
              <w:pStyle w:val="ConsPlusNormal"/>
            </w:pPr>
          </w:p>
        </w:tc>
        <w:tc>
          <w:tcPr>
            <w:tcW w:w="1814" w:type="dxa"/>
            <w:vAlign w:val="center"/>
          </w:tcPr>
          <w:p w14:paraId="59F8DD25" w14:textId="77777777" w:rsidR="00454A29" w:rsidRDefault="00454A29">
            <w:pPr>
              <w:pStyle w:val="ConsPlusNormal"/>
            </w:pPr>
          </w:p>
        </w:tc>
      </w:tr>
      <w:tr w:rsidR="00454A29" w14:paraId="7587D07B" w14:textId="77777777">
        <w:tc>
          <w:tcPr>
            <w:tcW w:w="567" w:type="dxa"/>
            <w:vMerge/>
          </w:tcPr>
          <w:p w14:paraId="70BFB5E4" w14:textId="77777777" w:rsidR="00454A29" w:rsidRDefault="00454A29"/>
        </w:tc>
        <w:tc>
          <w:tcPr>
            <w:tcW w:w="3345" w:type="dxa"/>
            <w:vMerge/>
          </w:tcPr>
          <w:p w14:paraId="05B1E3CB" w14:textId="77777777" w:rsidR="00454A29" w:rsidRDefault="00454A29"/>
        </w:tc>
        <w:tc>
          <w:tcPr>
            <w:tcW w:w="1701" w:type="dxa"/>
            <w:vAlign w:val="center"/>
          </w:tcPr>
          <w:p w14:paraId="147C8EE2" w14:textId="77777777" w:rsidR="00454A29" w:rsidRDefault="00454A29">
            <w:pPr>
              <w:pStyle w:val="ConsPlusNormal"/>
              <w:jc w:val="center"/>
            </w:pPr>
            <w:r>
              <w:t>2024</w:t>
            </w:r>
          </w:p>
        </w:tc>
        <w:tc>
          <w:tcPr>
            <w:tcW w:w="1417" w:type="dxa"/>
            <w:vMerge/>
          </w:tcPr>
          <w:p w14:paraId="0982270E" w14:textId="77777777" w:rsidR="00454A29" w:rsidRDefault="00454A29"/>
        </w:tc>
        <w:tc>
          <w:tcPr>
            <w:tcW w:w="2204" w:type="dxa"/>
            <w:vMerge/>
          </w:tcPr>
          <w:p w14:paraId="61210B57" w14:textId="77777777" w:rsidR="00454A29" w:rsidRDefault="00454A29"/>
        </w:tc>
        <w:tc>
          <w:tcPr>
            <w:tcW w:w="1417" w:type="dxa"/>
            <w:vMerge/>
          </w:tcPr>
          <w:p w14:paraId="4BBCFED8" w14:textId="77777777" w:rsidR="00454A29" w:rsidRDefault="00454A29"/>
        </w:tc>
        <w:tc>
          <w:tcPr>
            <w:tcW w:w="2324" w:type="dxa"/>
            <w:vMerge/>
          </w:tcPr>
          <w:p w14:paraId="2C897013" w14:textId="77777777" w:rsidR="00454A29" w:rsidRDefault="00454A29"/>
        </w:tc>
        <w:tc>
          <w:tcPr>
            <w:tcW w:w="1701" w:type="dxa"/>
            <w:vAlign w:val="center"/>
          </w:tcPr>
          <w:p w14:paraId="2F9D46F2" w14:textId="77777777" w:rsidR="00454A29" w:rsidRDefault="00454A29">
            <w:pPr>
              <w:pStyle w:val="ConsPlusNormal"/>
            </w:pPr>
          </w:p>
        </w:tc>
        <w:tc>
          <w:tcPr>
            <w:tcW w:w="1814" w:type="dxa"/>
            <w:vAlign w:val="center"/>
          </w:tcPr>
          <w:p w14:paraId="3FB774AD" w14:textId="77777777" w:rsidR="00454A29" w:rsidRDefault="00454A29">
            <w:pPr>
              <w:pStyle w:val="ConsPlusNormal"/>
            </w:pPr>
          </w:p>
        </w:tc>
        <w:tc>
          <w:tcPr>
            <w:tcW w:w="1701" w:type="dxa"/>
            <w:vAlign w:val="center"/>
          </w:tcPr>
          <w:p w14:paraId="7C03E49D" w14:textId="77777777" w:rsidR="00454A29" w:rsidRDefault="00454A29">
            <w:pPr>
              <w:pStyle w:val="ConsPlusNormal"/>
            </w:pPr>
          </w:p>
        </w:tc>
        <w:tc>
          <w:tcPr>
            <w:tcW w:w="1701" w:type="dxa"/>
            <w:vAlign w:val="center"/>
          </w:tcPr>
          <w:p w14:paraId="3C665E16" w14:textId="77777777" w:rsidR="00454A29" w:rsidRDefault="00454A29">
            <w:pPr>
              <w:pStyle w:val="ConsPlusNormal"/>
            </w:pPr>
          </w:p>
        </w:tc>
        <w:tc>
          <w:tcPr>
            <w:tcW w:w="1814" w:type="dxa"/>
            <w:vAlign w:val="center"/>
          </w:tcPr>
          <w:p w14:paraId="3E343FFE" w14:textId="77777777" w:rsidR="00454A29" w:rsidRDefault="00454A29">
            <w:pPr>
              <w:pStyle w:val="ConsPlusNormal"/>
            </w:pPr>
          </w:p>
        </w:tc>
      </w:tr>
      <w:tr w:rsidR="00454A29" w14:paraId="7B461582" w14:textId="77777777">
        <w:tc>
          <w:tcPr>
            <w:tcW w:w="567" w:type="dxa"/>
            <w:vMerge/>
          </w:tcPr>
          <w:p w14:paraId="7655FD62" w14:textId="77777777" w:rsidR="00454A29" w:rsidRDefault="00454A29"/>
        </w:tc>
        <w:tc>
          <w:tcPr>
            <w:tcW w:w="3345" w:type="dxa"/>
            <w:vMerge/>
          </w:tcPr>
          <w:p w14:paraId="5BE69ECC" w14:textId="77777777" w:rsidR="00454A29" w:rsidRDefault="00454A29"/>
        </w:tc>
        <w:tc>
          <w:tcPr>
            <w:tcW w:w="1701" w:type="dxa"/>
            <w:vAlign w:val="center"/>
          </w:tcPr>
          <w:p w14:paraId="3966DE3D" w14:textId="77777777" w:rsidR="00454A29" w:rsidRDefault="00454A29">
            <w:pPr>
              <w:pStyle w:val="ConsPlusNormal"/>
              <w:jc w:val="center"/>
            </w:pPr>
            <w:r>
              <w:t>2025</w:t>
            </w:r>
          </w:p>
        </w:tc>
        <w:tc>
          <w:tcPr>
            <w:tcW w:w="1417" w:type="dxa"/>
            <w:vMerge/>
          </w:tcPr>
          <w:p w14:paraId="3A6893BE" w14:textId="77777777" w:rsidR="00454A29" w:rsidRDefault="00454A29"/>
        </w:tc>
        <w:tc>
          <w:tcPr>
            <w:tcW w:w="2204" w:type="dxa"/>
            <w:vMerge/>
          </w:tcPr>
          <w:p w14:paraId="58F8A1BC" w14:textId="77777777" w:rsidR="00454A29" w:rsidRDefault="00454A29"/>
        </w:tc>
        <w:tc>
          <w:tcPr>
            <w:tcW w:w="1417" w:type="dxa"/>
            <w:vMerge/>
          </w:tcPr>
          <w:p w14:paraId="55618E99" w14:textId="77777777" w:rsidR="00454A29" w:rsidRDefault="00454A29"/>
        </w:tc>
        <w:tc>
          <w:tcPr>
            <w:tcW w:w="2324" w:type="dxa"/>
            <w:vMerge/>
          </w:tcPr>
          <w:p w14:paraId="1AA8739A" w14:textId="77777777" w:rsidR="00454A29" w:rsidRDefault="00454A29"/>
        </w:tc>
        <w:tc>
          <w:tcPr>
            <w:tcW w:w="1701" w:type="dxa"/>
            <w:vAlign w:val="center"/>
          </w:tcPr>
          <w:p w14:paraId="4B67A3A0" w14:textId="77777777" w:rsidR="00454A29" w:rsidRDefault="00454A29">
            <w:pPr>
              <w:pStyle w:val="ConsPlusNormal"/>
              <w:jc w:val="center"/>
            </w:pPr>
            <w:r>
              <w:t>867 173,65</w:t>
            </w:r>
          </w:p>
        </w:tc>
        <w:tc>
          <w:tcPr>
            <w:tcW w:w="1814" w:type="dxa"/>
            <w:vAlign w:val="center"/>
          </w:tcPr>
          <w:p w14:paraId="61FD124E" w14:textId="77777777" w:rsidR="00454A29" w:rsidRDefault="00454A29">
            <w:pPr>
              <w:pStyle w:val="ConsPlusNormal"/>
              <w:jc w:val="center"/>
            </w:pPr>
            <w:r>
              <w:t>10 969,75</w:t>
            </w:r>
          </w:p>
        </w:tc>
        <w:tc>
          <w:tcPr>
            <w:tcW w:w="1701" w:type="dxa"/>
            <w:vAlign w:val="center"/>
          </w:tcPr>
          <w:p w14:paraId="44B42ABA" w14:textId="77777777" w:rsidR="00454A29" w:rsidRDefault="00454A29">
            <w:pPr>
              <w:pStyle w:val="ConsPlusNormal"/>
              <w:jc w:val="center"/>
            </w:pPr>
            <w:r>
              <w:t>1 086 004,92</w:t>
            </w:r>
          </w:p>
        </w:tc>
        <w:tc>
          <w:tcPr>
            <w:tcW w:w="1701" w:type="dxa"/>
            <w:vAlign w:val="center"/>
          </w:tcPr>
          <w:p w14:paraId="4ED80D18" w14:textId="77777777" w:rsidR="00454A29" w:rsidRDefault="00454A29">
            <w:pPr>
              <w:pStyle w:val="ConsPlusNormal"/>
            </w:pPr>
          </w:p>
        </w:tc>
        <w:tc>
          <w:tcPr>
            <w:tcW w:w="1814" w:type="dxa"/>
            <w:vAlign w:val="center"/>
          </w:tcPr>
          <w:p w14:paraId="517B1E4B" w14:textId="77777777" w:rsidR="00454A29" w:rsidRDefault="00454A29">
            <w:pPr>
              <w:pStyle w:val="ConsPlusNormal"/>
            </w:pPr>
          </w:p>
        </w:tc>
      </w:tr>
      <w:tr w:rsidR="00454A29" w14:paraId="21EC8F3E" w14:textId="77777777">
        <w:tc>
          <w:tcPr>
            <w:tcW w:w="567" w:type="dxa"/>
            <w:vMerge/>
          </w:tcPr>
          <w:p w14:paraId="4AB41C81" w14:textId="77777777" w:rsidR="00454A29" w:rsidRDefault="00454A29"/>
        </w:tc>
        <w:tc>
          <w:tcPr>
            <w:tcW w:w="3345" w:type="dxa"/>
            <w:vMerge/>
          </w:tcPr>
          <w:p w14:paraId="7AB65980" w14:textId="77777777" w:rsidR="00454A29" w:rsidRDefault="00454A29"/>
        </w:tc>
        <w:tc>
          <w:tcPr>
            <w:tcW w:w="1701" w:type="dxa"/>
            <w:vAlign w:val="center"/>
          </w:tcPr>
          <w:p w14:paraId="40947F22" w14:textId="77777777" w:rsidR="00454A29" w:rsidRDefault="00454A29">
            <w:pPr>
              <w:pStyle w:val="ConsPlusNormal"/>
              <w:jc w:val="center"/>
            </w:pPr>
            <w:r>
              <w:t>2026</w:t>
            </w:r>
          </w:p>
        </w:tc>
        <w:tc>
          <w:tcPr>
            <w:tcW w:w="1417" w:type="dxa"/>
            <w:vMerge/>
          </w:tcPr>
          <w:p w14:paraId="1BDE0A1B" w14:textId="77777777" w:rsidR="00454A29" w:rsidRDefault="00454A29"/>
        </w:tc>
        <w:tc>
          <w:tcPr>
            <w:tcW w:w="2204" w:type="dxa"/>
            <w:vMerge/>
          </w:tcPr>
          <w:p w14:paraId="30365D9D" w14:textId="77777777" w:rsidR="00454A29" w:rsidRDefault="00454A29"/>
        </w:tc>
        <w:tc>
          <w:tcPr>
            <w:tcW w:w="1417" w:type="dxa"/>
            <w:vMerge/>
          </w:tcPr>
          <w:p w14:paraId="30B22588" w14:textId="77777777" w:rsidR="00454A29" w:rsidRDefault="00454A29"/>
        </w:tc>
        <w:tc>
          <w:tcPr>
            <w:tcW w:w="2324" w:type="dxa"/>
            <w:vMerge/>
          </w:tcPr>
          <w:p w14:paraId="3D568F8C" w14:textId="77777777" w:rsidR="00454A29" w:rsidRDefault="00454A29"/>
        </w:tc>
        <w:tc>
          <w:tcPr>
            <w:tcW w:w="1701" w:type="dxa"/>
            <w:vAlign w:val="center"/>
          </w:tcPr>
          <w:p w14:paraId="3CCDD017" w14:textId="77777777" w:rsidR="00454A29" w:rsidRDefault="00454A29">
            <w:pPr>
              <w:pStyle w:val="ConsPlusNormal"/>
            </w:pPr>
          </w:p>
        </w:tc>
        <w:tc>
          <w:tcPr>
            <w:tcW w:w="1814" w:type="dxa"/>
            <w:vAlign w:val="center"/>
          </w:tcPr>
          <w:p w14:paraId="3EB4E137" w14:textId="77777777" w:rsidR="00454A29" w:rsidRDefault="00454A29">
            <w:pPr>
              <w:pStyle w:val="ConsPlusNormal"/>
            </w:pPr>
          </w:p>
        </w:tc>
        <w:tc>
          <w:tcPr>
            <w:tcW w:w="1701" w:type="dxa"/>
            <w:vAlign w:val="center"/>
          </w:tcPr>
          <w:p w14:paraId="3C30D32C" w14:textId="77777777" w:rsidR="00454A29" w:rsidRDefault="00454A29">
            <w:pPr>
              <w:pStyle w:val="ConsPlusNormal"/>
            </w:pPr>
          </w:p>
        </w:tc>
        <w:tc>
          <w:tcPr>
            <w:tcW w:w="1701" w:type="dxa"/>
            <w:vAlign w:val="center"/>
          </w:tcPr>
          <w:p w14:paraId="382210CF" w14:textId="77777777" w:rsidR="00454A29" w:rsidRDefault="00454A29">
            <w:pPr>
              <w:pStyle w:val="ConsPlusNormal"/>
            </w:pPr>
          </w:p>
        </w:tc>
        <w:tc>
          <w:tcPr>
            <w:tcW w:w="1814" w:type="dxa"/>
            <w:vAlign w:val="center"/>
          </w:tcPr>
          <w:p w14:paraId="0DEB962A" w14:textId="77777777" w:rsidR="00454A29" w:rsidRDefault="00454A29">
            <w:pPr>
              <w:pStyle w:val="ConsPlusNormal"/>
            </w:pPr>
          </w:p>
        </w:tc>
      </w:tr>
      <w:tr w:rsidR="00454A29" w14:paraId="2A072B2C" w14:textId="77777777">
        <w:tc>
          <w:tcPr>
            <w:tcW w:w="567" w:type="dxa"/>
            <w:vMerge w:val="restart"/>
            <w:vAlign w:val="center"/>
          </w:tcPr>
          <w:p w14:paraId="0B400A07" w14:textId="77777777" w:rsidR="00454A29" w:rsidRDefault="00454A29">
            <w:pPr>
              <w:pStyle w:val="ConsPlusNormal"/>
              <w:jc w:val="center"/>
            </w:pPr>
            <w:r>
              <w:t>94</w:t>
            </w:r>
          </w:p>
        </w:tc>
        <w:tc>
          <w:tcPr>
            <w:tcW w:w="3345" w:type="dxa"/>
            <w:vMerge w:val="restart"/>
            <w:vAlign w:val="center"/>
          </w:tcPr>
          <w:p w14:paraId="32CD737A" w14:textId="77777777" w:rsidR="00454A29" w:rsidRDefault="00454A29">
            <w:pPr>
              <w:pStyle w:val="ConsPlusNormal"/>
              <w:jc w:val="center"/>
            </w:pPr>
            <w:r>
              <w:t>Школа на 120 учащихся в с. Мар</w:t>
            </w:r>
          </w:p>
        </w:tc>
        <w:tc>
          <w:tcPr>
            <w:tcW w:w="1701" w:type="dxa"/>
            <w:vAlign w:val="center"/>
          </w:tcPr>
          <w:p w14:paraId="0ED3ED5C" w14:textId="77777777" w:rsidR="00454A29" w:rsidRDefault="00454A29">
            <w:pPr>
              <w:pStyle w:val="ConsPlusNormal"/>
              <w:jc w:val="center"/>
            </w:pPr>
            <w:r>
              <w:t xml:space="preserve">2020 - 2026 годы </w:t>
            </w:r>
            <w:r>
              <w:lastRenderedPageBreak/>
              <w:t>- всего</w:t>
            </w:r>
          </w:p>
        </w:tc>
        <w:tc>
          <w:tcPr>
            <w:tcW w:w="1417" w:type="dxa"/>
            <w:vMerge w:val="restart"/>
            <w:vAlign w:val="center"/>
          </w:tcPr>
          <w:p w14:paraId="73459452" w14:textId="77777777" w:rsidR="00454A29" w:rsidRDefault="00454A29">
            <w:pPr>
              <w:pStyle w:val="ConsPlusNormal"/>
              <w:jc w:val="center"/>
            </w:pPr>
            <w:r>
              <w:lastRenderedPageBreak/>
              <w:t>420 044,60</w:t>
            </w:r>
          </w:p>
        </w:tc>
        <w:tc>
          <w:tcPr>
            <w:tcW w:w="2204" w:type="dxa"/>
            <w:vMerge w:val="restart"/>
            <w:vAlign w:val="center"/>
          </w:tcPr>
          <w:p w14:paraId="4F580CF1" w14:textId="77777777" w:rsidR="00454A29" w:rsidRDefault="00454A29">
            <w:pPr>
              <w:pStyle w:val="ConsPlusNormal"/>
            </w:pPr>
          </w:p>
        </w:tc>
        <w:tc>
          <w:tcPr>
            <w:tcW w:w="1417" w:type="dxa"/>
            <w:vMerge w:val="restart"/>
            <w:vAlign w:val="center"/>
          </w:tcPr>
          <w:p w14:paraId="7FF55CD4" w14:textId="77777777" w:rsidR="00454A29" w:rsidRDefault="00454A29">
            <w:pPr>
              <w:pStyle w:val="ConsPlusNormal"/>
              <w:jc w:val="center"/>
            </w:pPr>
            <w:r>
              <w:t>120</w:t>
            </w:r>
          </w:p>
        </w:tc>
        <w:tc>
          <w:tcPr>
            <w:tcW w:w="2324" w:type="dxa"/>
            <w:vMerge w:val="restart"/>
            <w:vAlign w:val="center"/>
          </w:tcPr>
          <w:p w14:paraId="02F724B5" w14:textId="77777777" w:rsidR="00454A29" w:rsidRDefault="00454A29">
            <w:pPr>
              <w:pStyle w:val="ConsPlusNormal"/>
              <w:jc w:val="center"/>
            </w:pPr>
            <w:r>
              <w:t xml:space="preserve">Минстрой РС(Я), ГКУ </w:t>
            </w:r>
            <w:r>
              <w:lastRenderedPageBreak/>
              <w:t>"Служба государственного заказчика Республики Саха (Якутия)"</w:t>
            </w:r>
          </w:p>
        </w:tc>
        <w:tc>
          <w:tcPr>
            <w:tcW w:w="1701" w:type="dxa"/>
            <w:vAlign w:val="center"/>
          </w:tcPr>
          <w:p w14:paraId="5E47F89D" w14:textId="77777777" w:rsidR="00454A29" w:rsidRDefault="00454A29">
            <w:pPr>
              <w:pStyle w:val="ConsPlusNormal"/>
              <w:jc w:val="center"/>
            </w:pPr>
            <w:r>
              <w:lastRenderedPageBreak/>
              <w:t>420 044,60</w:t>
            </w:r>
          </w:p>
        </w:tc>
        <w:tc>
          <w:tcPr>
            <w:tcW w:w="1814" w:type="dxa"/>
            <w:vAlign w:val="center"/>
          </w:tcPr>
          <w:p w14:paraId="0A19761C" w14:textId="77777777" w:rsidR="00454A29" w:rsidRDefault="00454A29">
            <w:pPr>
              <w:pStyle w:val="ConsPlusNormal"/>
              <w:jc w:val="center"/>
            </w:pPr>
            <w:r>
              <w:t>5 174,95</w:t>
            </w:r>
          </w:p>
        </w:tc>
        <w:tc>
          <w:tcPr>
            <w:tcW w:w="1701" w:type="dxa"/>
            <w:vAlign w:val="center"/>
          </w:tcPr>
          <w:p w14:paraId="0DD4B6D7" w14:textId="77777777" w:rsidR="00454A29" w:rsidRDefault="00454A29">
            <w:pPr>
              <w:pStyle w:val="ConsPlusNormal"/>
              <w:jc w:val="center"/>
            </w:pPr>
            <w:r>
              <w:t>512 319,99</w:t>
            </w:r>
          </w:p>
        </w:tc>
        <w:tc>
          <w:tcPr>
            <w:tcW w:w="1701" w:type="dxa"/>
            <w:vAlign w:val="center"/>
          </w:tcPr>
          <w:p w14:paraId="3476FF18" w14:textId="77777777" w:rsidR="00454A29" w:rsidRDefault="00454A29">
            <w:pPr>
              <w:pStyle w:val="ConsPlusNormal"/>
              <w:jc w:val="center"/>
            </w:pPr>
            <w:r>
              <w:t>-</w:t>
            </w:r>
          </w:p>
        </w:tc>
        <w:tc>
          <w:tcPr>
            <w:tcW w:w="1814" w:type="dxa"/>
            <w:vAlign w:val="center"/>
          </w:tcPr>
          <w:p w14:paraId="5424FCE8" w14:textId="77777777" w:rsidR="00454A29" w:rsidRDefault="00454A29">
            <w:pPr>
              <w:pStyle w:val="ConsPlusNormal"/>
              <w:jc w:val="center"/>
            </w:pPr>
            <w:r>
              <w:t>-</w:t>
            </w:r>
          </w:p>
        </w:tc>
      </w:tr>
      <w:tr w:rsidR="00454A29" w14:paraId="25CA49ED" w14:textId="77777777">
        <w:tc>
          <w:tcPr>
            <w:tcW w:w="567" w:type="dxa"/>
            <w:vMerge/>
          </w:tcPr>
          <w:p w14:paraId="700FF71F" w14:textId="77777777" w:rsidR="00454A29" w:rsidRDefault="00454A29"/>
        </w:tc>
        <w:tc>
          <w:tcPr>
            <w:tcW w:w="3345" w:type="dxa"/>
            <w:vMerge/>
          </w:tcPr>
          <w:p w14:paraId="2F884CAF" w14:textId="77777777" w:rsidR="00454A29" w:rsidRDefault="00454A29"/>
        </w:tc>
        <w:tc>
          <w:tcPr>
            <w:tcW w:w="1701" w:type="dxa"/>
            <w:vAlign w:val="center"/>
          </w:tcPr>
          <w:p w14:paraId="1AF2A91F" w14:textId="77777777" w:rsidR="00454A29" w:rsidRDefault="00454A29">
            <w:pPr>
              <w:pStyle w:val="ConsPlusNormal"/>
              <w:jc w:val="center"/>
            </w:pPr>
            <w:r>
              <w:t>2020</w:t>
            </w:r>
          </w:p>
        </w:tc>
        <w:tc>
          <w:tcPr>
            <w:tcW w:w="1417" w:type="dxa"/>
            <w:vMerge/>
          </w:tcPr>
          <w:p w14:paraId="6A4ED20A" w14:textId="77777777" w:rsidR="00454A29" w:rsidRDefault="00454A29"/>
        </w:tc>
        <w:tc>
          <w:tcPr>
            <w:tcW w:w="2204" w:type="dxa"/>
            <w:vMerge/>
          </w:tcPr>
          <w:p w14:paraId="6CDCCA48" w14:textId="77777777" w:rsidR="00454A29" w:rsidRDefault="00454A29"/>
        </w:tc>
        <w:tc>
          <w:tcPr>
            <w:tcW w:w="1417" w:type="dxa"/>
            <w:vMerge/>
          </w:tcPr>
          <w:p w14:paraId="6D4927A3" w14:textId="77777777" w:rsidR="00454A29" w:rsidRDefault="00454A29"/>
        </w:tc>
        <w:tc>
          <w:tcPr>
            <w:tcW w:w="2324" w:type="dxa"/>
            <w:vMerge/>
          </w:tcPr>
          <w:p w14:paraId="2A827F3E" w14:textId="77777777" w:rsidR="00454A29" w:rsidRDefault="00454A29"/>
        </w:tc>
        <w:tc>
          <w:tcPr>
            <w:tcW w:w="1701" w:type="dxa"/>
            <w:vAlign w:val="center"/>
          </w:tcPr>
          <w:p w14:paraId="6B583E12" w14:textId="77777777" w:rsidR="00454A29" w:rsidRDefault="00454A29">
            <w:pPr>
              <w:pStyle w:val="ConsPlusNormal"/>
            </w:pPr>
          </w:p>
        </w:tc>
        <w:tc>
          <w:tcPr>
            <w:tcW w:w="1814" w:type="dxa"/>
            <w:vAlign w:val="center"/>
          </w:tcPr>
          <w:p w14:paraId="33521C7F" w14:textId="77777777" w:rsidR="00454A29" w:rsidRDefault="00454A29">
            <w:pPr>
              <w:pStyle w:val="ConsPlusNormal"/>
            </w:pPr>
          </w:p>
        </w:tc>
        <w:tc>
          <w:tcPr>
            <w:tcW w:w="1701" w:type="dxa"/>
            <w:vAlign w:val="center"/>
          </w:tcPr>
          <w:p w14:paraId="701BF399" w14:textId="77777777" w:rsidR="00454A29" w:rsidRDefault="00454A29">
            <w:pPr>
              <w:pStyle w:val="ConsPlusNormal"/>
            </w:pPr>
          </w:p>
        </w:tc>
        <w:tc>
          <w:tcPr>
            <w:tcW w:w="1701" w:type="dxa"/>
            <w:vAlign w:val="center"/>
          </w:tcPr>
          <w:p w14:paraId="7B5D2F03" w14:textId="77777777" w:rsidR="00454A29" w:rsidRDefault="00454A29">
            <w:pPr>
              <w:pStyle w:val="ConsPlusNormal"/>
            </w:pPr>
          </w:p>
        </w:tc>
        <w:tc>
          <w:tcPr>
            <w:tcW w:w="1814" w:type="dxa"/>
            <w:vAlign w:val="center"/>
          </w:tcPr>
          <w:p w14:paraId="40E17ECD" w14:textId="77777777" w:rsidR="00454A29" w:rsidRDefault="00454A29">
            <w:pPr>
              <w:pStyle w:val="ConsPlusNormal"/>
            </w:pPr>
          </w:p>
        </w:tc>
      </w:tr>
      <w:tr w:rsidR="00454A29" w14:paraId="1B98A0C4" w14:textId="77777777">
        <w:tc>
          <w:tcPr>
            <w:tcW w:w="567" w:type="dxa"/>
            <w:vMerge/>
          </w:tcPr>
          <w:p w14:paraId="5C82DF90" w14:textId="77777777" w:rsidR="00454A29" w:rsidRDefault="00454A29"/>
        </w:tc>
        <w:tc>
          <w:tcPr>
            <w:tcW w:w="3345" w:type="dxa"/>
            <w:vMerge/>
          </w:tcPr>
          <w:p w14:paraId="23C788AE" w14:textId="77777777" w:rsidR="00454A29" w:rsidRDefault="00454A29"/>
        </w:tc>
        <w:tc>
          <w:tcPr>
            <w:tcW w:w="1701" w:type="dxa"/>
            <w:vAlign w:val="center"/>
          </w:tcPr>
          <w:p w14:paraId="38D34E3B" w14:textId="77777777" w:rsidR="00454A29" w:rsidRDefault="00454A29">
            <w:pPr>
              <w:pStyle w:val="ConsPlusNormal"/>
              <w:jc w:val="center"/>
            </w:pPr>
            <w:r>
              <w:t>2021</w:t>
            </w:r>
          </w:p>
        </w:tc>
        <w:tc>
          <w:tcPr>
            <w:tcW w:w="1417" w:type="dxa"/>
            <w:vMerge/>
          </w:tcPr>
          <w:p w14:paraId="1D6D112A" w14:textId="77777777" w:rsidR="00454A29" w:rsidRDefault="00454A29"/>
        </w:tc>
        <w:tc>
          <w:tcPr>
            <w:tcW w:w="2204" w:type="dxa"/>
            <w:vMerge/>
          </w:tcPr>
          <w:p w14:paraId="7C384907" w14:textId="77777777" w:rsidR="00454A29" w:rsidRDefault="00454A29"/>
        </w:tc>
        <w:tc>
          <w:tcPr>
            <w:tcW w:w="1417" w:type="dxa"/>
            <w:vMerge/>
          </w:tcPr>
          <w:p w14:paraId="16568A68" w14:textId="77777777" w:rsidR="00454A29" w:rsidRDefault="00454A29"/>
        </w:tc>
        <w:tc>
          <w:tcPr>
            <w:tcW w:w="2324" w:type="dxa"/>
            <w:vMerge/>
          </w:tcPr>
          <w:p w14:paraId="11086AD0" w14:textId="77777777" w:rsidR="00454A29" w:rsidRDefault="00454A29"/>
        </w:tc>
        <w:tc>
          <w:tcPr>
            <w:tcW w:w="1701" w:type="dxa"/>
            <w:vAlign w:val="center"/>
          </w:tcPr>
          <w:p w14:paraId="0AF6556E" w14:textId="77777777" w:rsidR="00454A29" w:rsidRDefault="00454A29">
            <w:pPr>
              <w:pStyle w:val="ConsPlusNormal"/>
            </w:pPr>
          </w:p>
        </w:tc>
        <w:tc>
          <w:tcPr>
            <w:tcW w:w="1814" w:type="dxa"/>
            <w:vAlign w:val="center"/>
          </w:tcPr>
          <w:p w14:paraId="2738025A" w14:textId="77777777" w:rsidR="00454A29" w:rsidRDefault="00454A29">
            <w:pPr>
              <w:pStyle w:val="ConsPlusNormal"/>
            </w:pPr>
          </w:p>
        </w:tc>
        <w:tc>
          <w:tcPr>
            <w:tcW w:w="1701" w:type="dxa"/>
            <w:vAlign w:val="center"/>
          </w:tcPr>
          <w:p w14:paraId="2ABF02AD" w14:textId="77777777" w:rsidR="00454A29" w:rsidRDefault="00454A29">
            <w:pPr>
              <w:pStyle w:val="ConsPlusNormal"/>
            </w:pPr>
          </w:p>
        </w:tc>
        <w:tc>
          <w:tcPr>
            <w:tcW w:w="1701" w:type="dxa"/>
            <w:vAlign w:val="center"/>
          </w:tcPr>
          <w:p w14:paraId="7CD6615D" w14:textId="77777777" w:rsidR="00454A29" w:rsidRDefault="00454A29">
            <w:pPr>
              <w:pStyle w:val="ConsPlusNormal"/>
            </w:pPr>
          </w:p>
        </w:tc>
        <w:tc>
          <w:tcPr>
            <w:tcW w:w="1814" w:type="dxa"/>
            <w:vAlign w:val="center"/>
          </w:tcPr>
          <w:p w14:paraId="476227AB" w14:textId="77777777" w:rsidR="00454A29" w:rsidRDefault="00454A29">
            <w:pPr>
              <w:pStyle w:val="ConsPlusNormal"/>
            </w:pPr>
          </w:p>
        </w:tc>
      </w:tr>
      <w:tr w:rsidR="00454A29" w14:paraId="286B50D8" w14:textId="77777777">
        <w:tc>
          <w:tcPr>
            <w:tcW w:w="567" w:type="dxa"/>
            <w:vMerge/>
          </w:tcPr>
          <w:p w14:paraId="495C4A48" w14:textId="77777777" w:rsidR="00454A29" w:rsidRDefault="00454A29"/>
        </w:tc>
        <w:tc>
          <w:tcPr>
            <w:tcW w:w="3345" w:type="dxa"/>
            <w:vMerge/>
          </w:tcPr>
          <w:p w14:paraId="749A8624" w14:textId="77777777" w:rsidR="00454A29" w:rsidRDefault="00454A29"/>
        </w:tc>
        <w:tc>
          <w:tcPr>
            <w:tcW w:w="1701" w:type="dxa"/>
            <w:vAlign w:val="center"/>
          </w:tcPr>
          <w:p w14:paraId="6719190C" w14:textId="77777777" w:rsidR="00454A29" w:rsidRDefault="00454A29">
            <w:pPr>
              <w:pStyle w:val="ConsPlusNormal"/>
              <w:jc w:val="center"/>
            </w:pPr>
            <w:r>
              <w:t>2022</w:t>
            </w:r>
          </w:p>
        </w:tc>
        <w:tc>
          <w:tcPr>
            <w:tcW w:w="1417" w:type="dxa"/>
            <w:vMerge/>
          </w:tcPr>
          <w:p w14:paraId="48E2D8DF" w14:textId="77777777" w:rsidR="00454A29" w:rsidRDefault="00454A29"/>
        </w:tc>
        <w:tc>
          <w:tcPr>
            <w:tcW w:w="2204" w:type="dxa"/>
            <w:vMerge/>
          </w:tcPr>
          <w:p w14:paraId="41A6B1FD" w14:textId="77777777" w:rsidR="00454A29" w:rsidRDefault="00454A29"/>
        </w:tc>
        <w:tc>
          <w:tcPr>
            <w:tcW w:w="1417" w:type="dxa"/>
            <w:vMerge/>
          </w:tcPr>
          <w:p w14:paraId="3306FB9F" w14:textId="77777777" w:rsidR="00454A29" w:rsidRDefault="00454A29"/>
        </w:tc>
        <w:tc>
          <w:tcPr>
            <w:tcW w:w="2324" w:type="dxa"/>
            <w:vMerge/>
          </w:tcPr>
          <w:p w14:paraId="2DEFCBE5" w14:textId="77777777" w:rsidR="00454A29" w:rsidRDefault="00454A29"/>
        </w:tc>
        <w:tc>
          <w:tcPr>
            <w:tcW w:w="1701" w:type="dxa"/>
            <w:vAlign w:val="center"/>
          </w:tcPr>
          <w:p w14:paraId="636DCE74" w14:textId="77777777" w:rsidR="00454A29" w:rsidRDefault="00454A29">
            <w:pPr>
              <w:pStyle w:val="ConsPlusNormal"/>
            </w:pPr>
          </w:p>
        </w:tc>
        <w:tc>
          <w:tcPr>
            <w:tcW w:w="1814" w:type="dxa"/>
            <w:vAlign w:val="center"/>
          </w:tcPr>
          <w:p w14:paraId="0696362D" w14:textId="77777777" w:rsidR="00454A29" w:rsidRDefault="00454A29">
            <w:pPr>
              <w:pStyle w:val="ConsPlusNormal"/>
            </w:pPr>
          </w:p>
        </w:tc>
        <w:tc>
          <w:tcPr>
            <w:tcW w:w="1701" w:type="dxa"/>
            <w:vAlign w:val="center"/>
          </w:tcPr>
          <w:p w14:paraId="4BA8FD64" w14:textId="77777777" w:rsidR="00454A29" w:rsidRDefault="00454A29">
            <w:pPr>
              <w:pStyle w:val="ConsPlusNormal"/>
            </w:pPr>
          </w:p>
        </w:tc>
        <w:tc>
          <w:tcPr>
            <w:tcW w:w="1701" w:type="dxa"/>
            <w:vAlign w:val="center"/>
          </w:tcPr>
          <w:p w14:paraId="2D0DC324" w14:textId="77777777" w:rsidR="00454A29" w:rsidRDefault="00454A29">
            <w:pPr>
              <w:pStyle w:val="ConsPlusNormal"/>
            </w:pPr>
          </w:p>
        </w:tc>
        <w:tc>
          <w:tcPr>
            <w:tcW w:w="1814" w:type="dxa"/>
            <w:vAlign w:val="center"/>
          </w:tcPr>
          <w:p w14:paraId="0403FF71" w14:textId="77777777" w:rsidR="00454A29" w:rsidRDefault="00454A29">
            <w:pPr>
              <w:pStyle w:val="ConsPlusNormal"/>
            </w:pPr>
          </w:p>
        </w:tc>
      </w:tr>
      <w:tr w:rsidR="00454A29" w14:paraId="463ACDD2" w14:textId="77777777">
        <w:tc>
          <w:tcPr>
            <w:tcW w:w="567" w:type="dxa"/>
            <w:vMerge/>
          </w:tcPr>
          <w:p w14:paraId="38092A30" w14:textId="77777777" w:rsidR="00454A29" w:rsidRDefault="00454A29"/>
        </w:tc>
        <w:tc>
          <w:tcPr>
            <w:tcW w:w="3345" w:type="dxa"/>
            <w:vMerge/>
          </w:tcPr>
          <w:p w14:paraId="52A4445C" w14:textId="77777777" w:rsidR="00454A29" w:rsidRDefault="00454A29"/>
        </w:tc>
        <w:tc>
          <w:tcPr>
            <w:tcW w:w="1701" w:type="dxa"/>
            <w:vAlign w:val="center"/>
          </w:tcPr>
          <w:p w14:paraId="02DF5DDC" w14:textId="77777777" w:rsidR="00454A29" w:rsidRDefault="00454A29">
            <w:pPr>
              <w:pStyle w:val="ConsPlusNormal"/>
              <w:jc w:val="center"/>
            </w:pPr>
            <w:r>
              <w:t>2023</w:t>
            </w:r>
          </w:p>
        </w:tc>
        <w:tc>
          <w:tcPr>
            <w:tcW w:w="1417" w:type="dxa"/>
            <w:vMerge/>
          </w:tcPr>
          <w:p w14:paraId="4E206BA1" w14:textId="77777777" w:rsidR="00454A29" w:rsidRDefault="00454A29"/>
        </w:tc>
        <w:tc>
          <w:tcPr>
            <w:tcW w:w="2204" w:type="dxa"/>
            <w:vMerge/>
          </w:tcPr>
          <w:p w14:paraId="4CCDEDDC" w14:textId="77777777" w:rsidR="00454A29" w:rsidRDefault="00454A29"/>
        </w:tc>
        <w:tc>
          <w:tcPr>
            <w:tcW w:w="1417" w:type="dxa"/>
            <w:vMerge/>
          </w:tcPr>
          <w:p w14:paraId="132AF0C2" w14:textId="77777777" w:rsidR="00454A29" w:rsidRDefault="00454A29"/>
        </w:tc>
        <w:tc>
          <w:tcPr>
            <w:tcW w:w="2324" w:type="dxa"/>
            <w:vMerge/>
          </w:tcPr>
          <w:p w14:paraId="7163022A" w14:textId="77777777" w:rsidR="00454A29" w:rsidRDefault="00454A29"/>
        </w:tc>
        <w:tc>
          <w:tcPr>
            <w:tcW w:w="1701" w:type="dxa"/>
            <w:vAlign w:val="center"/>
          </w:tcPr>
          <w:p w14:paraId="7E56EE3B" w14:textId="77777777" w:rsidR="00454A29" w:rsidRDefault="00454A29">
            <w:pPr>
              <w:pStyle w:val="ConsPlusNormal"/>
            </w:pPr>
          </w:p>
        </w:tc>
        <w:tc>
          <w:tcPr>
            <w:tcW w:w="1814" w:type="dxa"/>
            <w:vAlign w:val="center"/>
          </w:tcPr>
          <w:p w14:paraId="67FE39B4" w14:textId="77777777" w:rsidR="00454A29" w:rsidRDefault="00454A29">
            <w:pPr>
              <w:pStyle w:val="ConsPlusNormal"/>
            </w:pPr>
          </w:p>
        </w:tc>
        <w:tc>
          <w:tcPr>
            <w:tcW w:w="1701" w:type="dxa"/>
            <w:vAlign w:val="center"/>
          </w:tcPr>
          <w:p w14:paraId="1EF89A5D" w14:textId="77777777" w:rsidR="00454A29" w:rsidRDefault="00454A29">
            <w:pPr>
              <w:pStyle w:val="ConsPlusNormal"/>
            </w:pPr>
          </w:p>
        </w:tc>
        <w:tc>
          <w:tcPr>
            <w:tcW w:w="1701" w:type="dxa"/>
            <w:vAlign w:val="center"/>
          </w:tcPr>
          <w:p w14:paraId="4246B1CF" w14:textId="77777777" w:rsidR="00454A29" w:rsidRDefault="00454A29">
            <w:pPr>
              <w:pStyle w:val="ConsPlusNormal"/>
            </w:pPr>
          </w:p>
        </w:tc>
        <w:tc>
          <w:tcPr>
            <w:tcW w:w="1814" w:type="dxa"/>
            <w:vAlign w:val="center"/>
          </w:tcPr>
          <w:p w14:paraId="2D202BBD" w14:textId="77777777" w:rsidR="00454A29" w:rsidRDefault="00454A29">
            <w:pPr>
              <w:pStyle w:val="ConsPlusNormal"/>
            </w:pPr>
          </w:p>
        </w:tc>
      </w:tr>
      <w:tr w:rsidR="00454A29" w14:paraId="428D1259" w14:textId="77777777">
        <w:tc>
          <w:tcPr>
            <w:tcW w:w="567" w:type="dxa"/>
            <w:vMerge/>
          </w:tcPr>
          <w:p w14:paraId="58F6DB29" w14:textId="77777777" w:rsidR="00454A29" w:rsidRDefault="00454A29"/>
        </w:tc>
        <w:tc>
          <w:tcPr>
            <w:tcW w:w="3345" w:type="dxa"/>
            <w:vMerge/>
          </w:tcPr>
          <w:p w14:paraId="1142A6FD" w14:textId="77777777" w:rsidR="00454A29" w:rsidRDefault="00454A29"/>
        </w:tc>
        <w:tc>
          <w:tcPr>
            <w:tcW w:w="1701" w:type="dxa"/>
            <w:vAlign w:val="center"/>
          </w:tcPr>
          <w:p w14:paraId="450CEB63" w14:textId="77777777" w:rsidR="00454A29" w:rsidRDefault="00454A29">
            <w:pPr>
              <w:pStyle w:val="ConsPlusNormal"/>
              <w:jc w:val="center"/>
            </w:pPr>
            <w:r>
              <w:t>2024</w:t>
            </w:r>
          </w:p>
        </w:tc>
        <w:tc>
          <w:tcPr>
            <w:tcW w:w="1417" w:type="dxa"/>
            <w:vMerge/>
          </w:tcPr>
          <w:p w14:paraId="1BAF06A4" w14:textId="77777777" w:rsidR="00454A29" w:rsidRDefault="00454A29"/>
        </w:tc>
        <w:tc>
          <w:tcPr>
            <w:tcW w:w="2204" w:type="dxa"/>
            <w:vMerge/>
          </w:tcPr>
          <w:p w14:paraId="249E749B" w14:textId="77777777" w:rsidR="00454A29" w:rsidRDefault="00454A29"/>
        </w:tc>
        <w:tc>
          <w:tcPr>
            <w:tcW w:w="1417" w:type="dxa"/>
            <w:vMerge/>
          </w:tcPr>
          <w:p w14:paraId="6DEC2C88" w14:textId="77777777" w:rsidR="00454A29" w:rsidRDefault="00454A29"/>
        </w:tc>
        <w:tc>
          <w:tcPr>
            <w:tcW w:w="2324" w:type="dxa"/>
            <w:vMerge/>
          </w:tcPr>
          <w:p w14:paraId="18754F86" w14:textId="77777777" w:rsidR="00454A29" w:rsidRDefault="00454A29"/>
        </w:tc>
        <w:tc>
          <w:tcPr>
            <w:tcW w:w="1701" w:type="dxa"/>
            <w:vAlign w:val="center"/>
          </w:tcPr>
          <w:p w14:paraId="677893BB" w14:textId="77777777" w:rsidR="00454A29" w:rsidRDefault="00454A29">
            <w:pPr>
              <w:pStyle w:val="ConsPlusNormal"/>
            </w:pPr>
          </w:p>
        </w:tc>
        <w:tc>
          <w:tcPr>
            <w:tcW w:w="1814" w:type="dxa"/>
            <w:vAlign w:val="center"/>
          </w:tcPr>
          <w:p w14:paraId="17C854C9" w14:textId="77777777" w:rsidR="00454A29" w:rsidRDefault="00454A29">
            <w:pPr>
              <w:pStyle w:val="ConsPlusNormal"/>
            </w:pPr>
          </w:p>
        </w:tc>
        <w:tc>
          <w:tcPr>
            <w:tcW w:w="1701" w:type="dxa"/>
            <w:vAlign w:val="center"/>
          </w:tcPr>
          <w:p w14:paraId="7B69736A" w14:textId="77777777" w:rsidR="00454A29" w:rsidRDefault="00454A29">
            <w:pPr>
              <w:pStyle w:val="ConsPlusNormal"/>
            </w:pPr>
          </w:p>
        </w:tc>
        <w:tc>
          <w:tcPr>
            <w:tcW w:w="1701" w:type="dxa"/>
            <w:vAlign w:val="center"/>
          </w:tcPr>
          <w:p w14:paraId="177DA5E4" w14:textId="77777777" w:rsidR="00454A29" w:rsidRDefault="00454A29">
            <w:pPr>
              <w:pStyle w:val="ConsPlusNormal"/>
            </w:pPr>
          </w:p>
        </w:tc>
        <w:tc>
          <w:tcPr>
            <w:tcW w:w="1814" w:type="dxa"/>
            <w:vAlign w:val="center"/>
          </w:tcPr>
          <w:p w14:paraId="4A51E362" w14:textId="77777777" w:rsidR="00454A29" w:rsidRDefault="00454A29">
            <w:pPr>
              <w:pStyle w:val="ConsPlusNormal"/>
            </w:pPr>
          </w:p>
        </w:tc>
      </w:tr>
      <w:tr w:rsidR="00454A29" w14:paraId="5DF0A839" w14:textId="77777777">
        <w:tc>
          <w:tcPr>
            <w:tcW w:w="567" w:type="dxa"/>
            <w:vMerge/>
          </w:tcPr>
          <w:p w14:paraId="3905C1D1" w14:textId="77777777" w:rsidR="00454A29" w:rsidRDefault="00454A29"/>
        </w:tc>
        <w:tc>
          <w:tcPr>
            <w:tcW w:w="3345" w:type="dxa"/>
            <w:vMerge/>
          </w:tcPr>
          <w:p w14:paraId="2CE92E77" w14:textId="77777777" w:rsidR="00454A29" w:rsidRDefault="00454A29"/>
        </w:tc>
        <w:tc>
          <w:tcPr>
            <w:tcW w:w="1701" w:type="dxa"/>
            <w:vAlign w:val="center"/>
          </w:tcPr>
          <w:p w14:paraId="08A86646" w14:textId="77777777" w:rsidR="00454A29" w:rsidRDefault="00454A29">
            <w:pPr>
              <w:pStyle w:val="ConsPlusNormal"/>
              <w:jc w:val="center"/>
            </w:pPr>
            <w:r>
              <w:t>2025</w:t>
            </w:r>
          </w:p>
        </w:tc>
        <w:tc>
          <w:tcPr>
            <w:tcW w:w="1417" w:type="dxa"/>
            <w:vMerge/>
          </w:tcPr>
          <w:p w14:paraId="3F683324" w14:textId="77777777" w:rsidR="00454A29" w:rsidRDefault="00454A29"/>
        </w:tc>
        <w:tc>
          <w:tcPr>
            <w:tcW w:w="2204" w:type="dxa"/>
            <w:vMerge/>
          </w:tcPr>
          <w:p w14:paraId="1B7ED043" w14:textId="77777777" w:rsidR="00454A29" w:rsidRDefault="00454A29"/>
        </w:tc>
        <w:tc>
          <w:tcPr>
            <w:tcW w:w="1417" w:type="dxa"/>
            <w:vMerge/>
          </w:tcPr>
          <w:p w14:paraId="6B084832" w14:textId="77777777" w:rsidR="00454A29" w:rsidRDefault="00454A29"/>
        </w:tc>
        <w:tc>
          <w:tcPr>
            <w:tcW w:w="2324" w:type="dxa"/>
            <w:vMerge/>
          </w:tcPr>
          <w:p w14:paraId="37C6864C" w14:textId="77777777" w:rsidR="00454A29" w:rsidRDefault="00454A29"/>
        </w:tc>
        <w:tc>
          <w:tcPr>
            <w:tcW w:w="1701" w:type="dxa"/>
            <w:vAlign w:val="center"/>
          </w:tcPr>
          <w:p w14:paraId="561AED3F" w14:textId="77777777" w:rsidR="00454A29" w:rsidRDefault="00454A29">
            <w:pPr>
              <w:pStyle w:val="ConsPlusNormal"/>
            </w:pPr>
          </w:p>
        </w:tc>
        <w:tc>
          <w:tcPr>
            <w:tcW w:w="1814" w:type="dxa"/>
            <w:vAlign w:val="center"/>
          </w:tcPr>
          <w:p w14:paraId="620C6958" w14:textId="77777777" w:rsidR="00454A29" w:rsidRDefault="00454A29">
            <w:pPr>
              <w:pStyle w:val="ConsPlusNormal"/>
            </w:pPr>
          </w:p>
        </w:tc>
        <w:tc>
          <w:tcPr>
            <w:tcW w:w="1701" w:type="dxa"/>
            <w:vAlign w:val="center"/>
          </w:tcPr>
          <w:p w14:paraId="11323E8C" w14:textId="77777777" w:rsidR="00454A29" w:rsidRDefault="00454A29">
            <w:pPr>
              <w:pStyle w:val="ConsPlusNormal"/>
            </w:pPr>
          </w:p>
        </w:tc>
        <w:tc>
          <w:tcPr>
            <w:tcW w:w="1701" w:type="dxa"/>
            <w:vAlign w:val="center"/>
          </w:tcPr>
          <w:p w14:paraId="4F9631B6" w14:textId="77777777" w:rsidR="00454A29" w:rsidRDefault="00454A29">
            <w:pPr>
              <w:pStyle w:val="ConsPlusNormal"/>
            </w:pPr>
          </w:p>
        </w:tc>
        <w:tc>
          <w:tcPr>
            <w:tcW w:w="1814" w:type="dxa"/>
            <w:vAlign w:val="center"/>
          </w:tcPr>
          <w:p w14:paraId="4FFDFD71" w14:textId="77777777" w:rsidR="00454A29" w:rsidRDefault="00454A29">
            <w:pPr>
              <w:pStyle w:val="ConsPlusNormal"/>
            </w:pPr>
          </w:p>
        </w:tc>
      </w:tr>
      <w:tr w:rsidR="00454A29" w14:paraId="3E20C362" w14:textId="77777777">
        <w:tc>
          <w:tcPr>
            <w:tcW w:w="567" w:type="dxa"/>
            <w:vMerge/>
          </w:tcPr>
          <w:p w14:paraId="74727A2E" w14:textId="77777777" w:rsidR="00454A29" w:rsidRDefault="00454A29"/>
        </w:tc>
        <w:tc>
          <w:tcPr>
            <w:tcW w:w="3345" w:type="dxa"/>
            <w:vMerge/>
          </w:tcPr>
          <w:p w14:paraId="66C630FE" w14:textId="77777777" w:rsidR="00454A29" w:rsidRDefault="00454A29"/>
        </w:tc>
        <w:tc>
          <w:tcPr>
            <w:tcW w:w="1701" w:type="dxa"/>
            <w:vAlign w:val="center"/>
          </w:tcPr>
          <w:p w14:paraId="5C526AE5" w14:textId="77777777" w:rsidR="00454A29" w:rsidRDefault="00454A29">
            <w:pPr>
              <w:pStyle w:val="ConsPlusNormal"/>
              <w:jc w:val="center"/>
            </w:pPr>
            <w:r>
              <w:t>2026</w:t>
            </w:r>
          </w:p>
        </w:tc>
        <w:tc>
          <w:tcPr>
            <w:tcW w:w="1417" w:type="dxa"/>
            <w:vMerge/>
          </w:tcPr>
          <w:p w14:paraId="60DBBF3C" w14:textId="77777777" w:rsidR="00454A29" w:rsidRDefault="00454A29"/>
        </w:tc>
        <w:tc>
          <w:tcPr>
            <w:tcW w:w="2204" w:type="dxa"/>
            <w:vMerge/>
          </w:tcPr>
          <w:p w14:paraId="69445E26" w14:textId="77777777" w:rsidR="00454A29" w:rsidRDefault="00454A29"/>
        </w:tc>
        <w:tc>
          <w:tcPr>
            <w:tcW w:w="1417" w:type="dxa"/>
            <w:vMerge/>
          </w:tcPr>
          <w:p w14:paraId="7EDCD395" w14:textId="77777777" w:rsidR="00454A29" w:rsidRDefault="00454A29"/>
        </w:tc>
        <w:tc>
          <w:tcPr>
            <w:tcW w:w="2324" w:type="dxa"/>
            <w:vMerge/>
          </w:tcPr>
          <w:p w14:paraId="78ADFE07" w14:textId="77777777" w:rsidR="00454A29" w:rsidRDefault="00454A29"/>
        </w:tc>
        <w:tc>
          <w:tcPr>
            <w:tcW w:w="1701" w:type="dxa"/>
            <w:vAlign w:val="center"/>
          </w:tcPr>
          <w:p w14:paraId="45F738F8" w14:textId="77777777" w:rsidR="00454A29" w:rsidRDefault="00454A29">
            <w:pPr>
              <w:pStyle w:val="ConsPlusNormal"/>
              <w:jc w:val="center"/>
            </w:pPr>
            <w:r>
              <w:t>420 044,60</w:t>
            </w:r>
          </w:p>
        </w:tc>
        <w:tc>
          <w:tcPr>
            <w:tcW w:w="1814" w:type="dxa"/>
            <w:vAlign w:val="center"/>
          </w:tcPr>
          <w:p w14:paraId="3851679F" w14:textId="77777777" w:rsidR="00454A29" w:rsidRDefault="00454A29">
            <w:pPr>
              <w:pStyle w:val="ConsPlusNormal"/>
              <w:jc w:val="center"/>
            </w:pPr>
            <w:r>
              <w:t>5 174,95</w:t>
            </w:r>
          </w:p>
        </w:tc>
        <w:tc>
          <w:tcPr>
            <w:tcW w:w="1701" w:type="dxa"/>
            <w:vAlign w:val="center"/>
          </w:tcPr>
          <w:p w14:paraId="26011D53" w14:textId="77777777" w:rsidR="00454A29" w:rsidRDefault="00454A29">
            <w:pPr>
              <w:pStyle w:val="ConsPlusNormal"/>
              <w:jc w:val="center"/>
            </w:pPr>
            <w:r>
              <w:t>512 319,99</w:t>
            </w:r>
          </w:p>
        </w:tc>
        <w:tc>
          <w:tcPr>
            <w:tcW w:w="1701" w:type="dxa"/>
            <w:vAlign w:val="center"/>
          </w:tcPr>
          <w:p w14:paraId="13CEB579" w14:textId="77777777" w:rsidR="00454A29" w:rsidRDefault="00454A29">
            <w:pPr>
              <w:pStyle w:val="ConsPlusNormal"/>
            </w:pPr>
          </w:p>
        </w:tc>
        <w:tc>
          <w:tcPr>
            <w:tcW w:w="1814" w:type="dxa"/>
            <w:vAlign w:val="center"/>
          </w:tcPr>
          <w:p w14:paraId="7C149EE5" w14:textId="77777777" w:rsidR="00454A29" w:rsidRDefault="00454A29">
            <w:pPr>
              <w:pStyle w:val="ConsPlusNormal"/>
            </w:pPr>
          </w:p>
        </w:tc>
      </w:tr>
      <w:tr w:rsidR="00454A29" w14:paraId="41775727" w14:textId="77777777">
        <w:tc>
          <w:tcPr>
            <w:tcW w:w="567" w:type="dxa"/>
            <w:vMerge w:val="restart"/>
            <w:vAlign w:val="center"/>
          </w:tcPr>
          <w:p w14:paraId="09F45AC0" w14:textId="77777777" w:rsidR="00454A29" w:rsidRDefault="00454A29">
            <w:pPr>
              <w:pStyle w:val="ConsPlusNormal"/>
              <w:jc w:val="center"/>
            </w:pPr>
            <w:r>
              <w:t>95</w:t>
            </w:r>
          </w:p>
        </w:tc>
        <w:tc>
          <w:tcPr>
            <w:tcW w:w="3345" w:type="dxa"/>
            <w:vMerge w:val="restart"/>
            <w:vAlign w:val="center"/>
          </w:tcPr>
          <w:p w14:paraId="7E4A2A8C" w14:textId="77777777" w:rsidR="00454A29" w:rsidRDefault="00454A29">
            <w:pPr>
              <w:pStyle w:val="ConsPlusNormal"/>
              <w:jc w:val="center"/>
            </w:pPr>
            <w:r>
              <w:t>Школа на 60 мест в с. Бысыттах</w:t>
            </w:r>
          </w:p>
        </w:tc>
        <w:tc>
          <w:tcPr>
            <w:tcW w:w="1701" w:type="dxa"/>
            <w:vAlign w:val="center"/>
          </w:tcPr>
          <w:p w14:paraId="7E4F42E7" w14:textId="77777777" w:rsidR="00454A29" w:rsidRDefault="00454A29">
            <w:pPr>
              <w:pStyle w:val="ConsPlusNormal"/>
              <w:jc w:val="center"/>
            </w:pPr>
            <w:r>
              <w:t>2020 - 2026 годы - всего</w:t>
            </w:r>
          </w:p>
        </w:tc>
        <w:tc>
          <w:tcPr>
            <w:tcW w:w="1417" w:type="dxa"/>
            <w:vMerge w:val="restart"/>
            <w:vAlign w:val="center"/>
          </w:tcPr>
          <w:p w14:paraId="41C69679" w14:textId="77777777" w:rsidR="00454A29" w:rsidRDefault="00454A29">
            <w:pPr>
              <w:pStyle w:val="ConsPlusNormal"/>
              <w:jc w:val="center"/>
            </w:pPr>
            <w:r>
              <w:t>-</w:t>
            </w:r>
          </w:p>
        </w:tc>
        <w:tc>
          <w:tcPr>
            <w:tcW w:w="2204" w:type="dxa"/>
            <w:vMerge w:val="restart"/>
            <w:vAlign w:val="center"/>
          </w:tcPr>
          <w:p w14:paraId="7A8771DA" w14:textId="77777777" w:rsidR="00454A29" w:rsidRDefault="00454A29">
            <w:pPr>
              <w:pStyle w:val="ConsPlusNormal"/>
            </w:pPr>
          </w:p>
        </w:tc>
        <w:tc>
          <w:tcPr>
            <w:tcW w:w="1417" w:type="dxa"/>
            <w:vMerge w:val="restart"/>
            <w:vAlign w:val="center"/>
          </w:tcPr>
          <w:p w14:paraId="3927A67E" w14:textId="77777777" w:rsidR="00454A29" w:rsidRDefault="00454A29">
            <w:pPr>
              <w:pStyle w:val="ConsPlusNormal"/>
              <w:jc w:val="center"/>
            </w:pPr>
            <w:r>
              <w:t>60</w:t>
            </w:r>
          </w:p>
        </w:tc>
        <w:tc>
          <w:tcPr>
            <w:tcW w:w="2324" w:type="dxa"/>
            <w:vMerge w:val="restart"/>
            <w:vAlign w:val="center"/>
          </w:tcPr>
          <w:p w14:paraId="412AF1A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784C718" w14:textId="77777777" w:rsidR="00454A29" w:rsidRDefault="00454A29">
            <w:pPr>
              <w:pStyle w:val="ConsPlusNormal"/>
              <w:jc w:val="center"/>
            </w:pPr>
            <w:r>
              <w:t>271 895,89</w:t>
            </w:r>
          </w:p>
        </w:tc>
        <w:tc>
          <w:tcPr>
            <w:tcW w:w="1814" w:type="dxa"/>
            <w:vAlign w:val="center"/>
          </w:tcPr>
          <w:p w14:paraId="2BD6A522" w14:textId="77777777" w:rsidR="00454A29" w:rsidRDefault="00454A29">
            <w:pPr>
              <w:pStyle w:val="ConsPlusNormal"/>
              <w:jc w:val="center"/>
            </w:pPr>
            <w:r>
              <w:t>2 718,96</w:t>
            </w:r>
          </w:p>
        </w:tc>
        <w:tc>
          <w:tcPr>
            <w:tcW w:w="1701" w:type="dxa"/>
            <w:vAlign w:val="center"/>
          </w:tcPr>
          <w:p w14:paraId="6489D2C8" w14:textId="77777777" w:rsidR="00454A29" w:rsidRDefault="00454A29">
            <w:pPr>
              <w:pStyle w:val="ConsPlusNormal"/>
              <w:jc w:val="center"/>
            </w:pPr>
            <w:r>
              <w:t>269 176,93</w:t>
            </w:r>
          </w:p>
        </w:tc>
        <w:tc>
          <w:tcPr>
            <w:tcW w:w="1701" w:type="dxa"/>
            <w:vAlign w:val="center"/>
          </w:tcPr>
          <w:p w14:paraId="16681CCC" w14:textId="77777777" w:rsidR="00454A29" w:rsidRDefault="00454A29">
            <w:pPr>
              <w:pStyle w:val="ConsPlusNormal"/>
              <w:jc w:val="center"/>
            </w:pPr>
            <w:r>
              <w:t>-</w:t>
            </w:r>
          </w:p>
        </w:tc>
        <w:tc>
          <w:tcPr>
            <w:tcW w:w="1814" w:type="dxa"/>
            <w:vAlign w:val="center"/>
          </w:tcPr>
          <w:p w14:paraId="3325854B" w14:textId="77777777" w:rsidR="00454A29" w:rsidRDefault="00454A29">
            <w:pPr>
              <w:pStyle w:val="ConsPlusNormal"/>
              <w:jc w:val="center"/>
            </w:pPr>
            <w:r>
              <w:t>-</w:t>
            </w:r>
          </w:p>
        </w:tc>
      </w:tr>
      <w:tr w:rsidR="00454A29" w14:paraId="4D3D95F4" w14:textId="77777777">
        <w:tc>
          <w:tcPr>
            <w:tcW w:w="567" w:type="dxa"/>
            <w:vMerge/>
          </w:tcPr>
          <w:p w14:paraId="1A5742E5" w14:textId="77777777" w:rsidR="00454A29" w:rsidRDefault="00454A29"/>
        </w:tc>
        <w:tc>
          <w:tcPr>
            <w:tcW w:w="3345" w:type="dxa"/>
            <w:vMerge/>
          </w:tcPr>
          <w:p w14:paraId="20AE08DC" w14:textId="77777777" w:rsidR="00454A29" w:rsidRDefault="00454A29"/>
        </w:tc>
        <w:tc>
          <w:tcPr>
            <w:tcW w:w="1701" w:type="dxa"/>
            <w:vAlign w:val="center"/>
          </w:tcPr>
          <w:p w14:paraId="4F96A634" w14:textId="77777777" w:rsidR="00454A29" w:rsidRDefault="00454A29">
            <w:pPr>
              <w:pStyle w:val="ConsPlusNormal"/>
              <w:jc w:val="center"/>
            </w:pPr>
            <w:r>
              <w:t>2020</w:t>
            </w:r>
          </w:p>
        </w:tc>
        <w:tc>
          <w:tcPr>
            <w:tcW w:w="1417" w:type="dxa"/>
            <w:vMerge/>
          </w:tcPr>
          <w:p w14:paraId="61730144" w14:textId="77777777" w:rsidR="00454A29" w:rsidRDefault="00454A29"/>
        </w:tc>
        <w:tc>
          <w:tcPr>
            <w:tcW w:w="2204" w:type="dxa"/>
            <w:vMerge/>
          </w:tcPr>
          <w:p w14:paraId="14046885" w14:textId="77777777" w:rsidR="00454A29" w:rsidRDefault="00454A29"/>
        </w:tc>
        <w:tc>
          <w:tcPr>
            <w:tcW w:w="1417" w:type="dxa"/>
            <w:vMerge/>
          </w:tcPr>
          <w:p w14:paraId="082A6F7E" w14:textId="77777777" w:rsidR="00454A29" w:rsidRDefault="00454A29"/>
        </w:tc>
        <w:tc>
          <w:tcPr>
            <w:tcW w:w="2324" w:type="dxa"/>
            <w:vMerge/>
          </w:tcPr>
          <w:p w14:paraId="5F03D896" w14:textId="77777777" w:rsidR="00454A29" w:rsidRDefault="00454A29"/>
        </w:tc>
        <w:tc>
          <w:tcPr>
            <w:tcW w:w="1701" w:type="dxa"/>
            <w:vAlign w:val="center"/>
          </w:tcPr>
          <w:p w14:paraId="3198EBF4" w14:textId="77777777" w:rsidR="00454A29" w:rsidRDefault="00454A29">
            <w:pPr>
              <w:pStyle w:val="ConsPlusNormal"/>
            </w:pPr>
          </w:p>
        </w:tc>
        <w:tc>
          <w:tcPr>
            <w:tcW w:w="1814" w:type="dxa"/>
            <w:vAlign w:val="center"/>
          </w:tcPr>
          <w:p w14:paraId="52A0B3F9" w14:textId="77777777" w:rsidR="00454A29" w:rsidRDefault="00454A29">
            <w:pPr>
              <w:pStyle w:val="ConsPlusNormal"/>
            </w:pPr>
          </w:p>
        </w:tc>
        <w:tc>
          <w:tcPr>
            <w:tcW w:w="1701" w:type="dxa"/>
            <w:vAlign w:val="center"/>
          </w:tcPr>
          <w:p w14:paraId="7A254A78" w14:textId="77777777" w:rsidR="00454A29" w:rsidRDefault="00454A29">
            <w:pPr>
              <w:pStyle w:val="ConsPlusNormal"/>
            </w:pPr>
          </w:p>
        </w:tc>
        <w:tc>
          <w:tcPr>
            <w:tcW w:w="1701" w:type="dxa"/>
            <w:vAlign w:val="center"/>
          </w:tcPr>
          <w:p w14:paraId="03A6D6D5" w14:textId="77777777" w:rsidR="00454A29" w:rsidRDefault="00454A29">
            <w:pPr>
              <w:pStyle w:val="ConsPlusNormal"/>
            </w:pPr>
          </w:p>
        </w:tc>
        <w:tc>
          <w:tcPr>
            <w:tcW w:w="1814" w:type="dxa"/>
            <w:vAlign w:val="center"/>
          </w:tcPr>
          <w:p w14:paraId="328C58F6" w14:textId="77777777" w:rsidR="00454A29" w:rsidRDefault="00454A29">
            <w:pPr>
              <w:pStyle w:val="ConsPlusNormal"/>
            </w:pPr>
          </w:p>
        </w:tc>
      </w:tr>
      <w:tr w:rsidR="00454A29" w14:paraId="7F7F619A" w14:textId="77777777">
        <w:tc>
          <w:tcPr>
            <w:tcW w:w="567" w:type="dxa"/>
            <w:vMerge/>
          </w:tcPr>
          <w:p w14:paraId="4EAEA182" w14:textId="77777777" w:rsidR="00454A29" w:rsidRDefault="00454A29"/>
        </w:tc>
        <w:tc>
          <w:tcPr>
            <w:tcW w:w="3345" w:type="dxa"/>
            <w:vMerge/>
          </w:tcPr>
          <w:p w14:paraId="1C76D956" w14:textId="77777777" w:rsidR="00454A29" w:rsidRDefault="00454A29"/>
        </w:tc>
        <w:tc>
          <w:tcPr>
            <w:tcW w:w="1701" w:type="dxa"/>
            <w:vAlign w:val="center"/>
          </w:tcPr>
          <w:p w14:paraId="167C7B4E" w14:textId="77777777" w:rsidR="00454A29" w:rsidRDefault="00454A29">
            <w:pPr>
              <w:pStyle w:val="ConsPlusNormal"/>
              <w:jc w:val="center"/>
            </w:pPr>
            <w:r>
              <w:t>2021</w:t>
            </w:r>
          </w:p>
        </w:tc>
        <w:tc>
          <w:tcPr>
            <w:tcW w:w="1417" w:type="dxa"/>
            <w:vMerge/>
          </w:tcPr>
          <w:p w14:paraId="4093289E" w14:textId="77777777" w:rsidR="00454A29" w:rsidRDefault="00454A29"/>
        </w:tc>
        <w:tc>
          <w:tcPr>
            <w:tcW w:w="2204" w:type="dxa"/>
            <w:vMerge/>
          </w:tcPr>
          <w:p w14:paraId="688A0199" w14:textId="77777777" w:rsidR="00454A29" w:rsidRDefault="00454A29"/>
        </w:tc>
        <w:tc>
          <w:tcPr>
            <w:tcW w:w="1417" w:type="dxa"/>
            <w:vMerge/>
          </w:tcPr>
          <w:p w14:paraId="116C405F" w14:textId="77777777" w:rsidR="00454A29" w:rsidRDefault="00454A29"/>
        </w:tc>
        <w:tc>
          <w:tcPr>
            <w:tcW w:w="2324" w:type="dxa"/>
            <w:vMerge/>
          </w:tcPr>
          <w:p w14:paraId="00EE44AC" w14:textId="77777777" w:rsidR="00454A29" w:rsidRDefault="00454A29"/>
        </w:tc>
        <w:tc>
          <w:tcPr>
            <w:tcW w:w="1701" w:type="dxa"/>
            <w:vAlign w:val="center"/>
          </w:tcPr>
          <w:p w14:paraId="4FCD2AE3" w14:textId="77777777" w:rsidR="00454A29" w:rsidRDefault="00454A29">
            <w:pPr>
              <w:pStyle w:val="ConsPlusNormal"/>
            </w:pPr>
          </w:p>
        </w:tc>
        <w:tc>
          <w:tcPr>
            <w:tcW w:w="1814" w:type="dxa"/>
            <w:vAlign w:val="center"/>
          </w:tcPr>
          <w:p w14:paraId="0CF32D59" w14:textId="77777777" w:rsidR="00454A29" w:rsidRDefault="00454A29">
            <w:pPr>
              <w:pStyle w:val="ConsPlusNormal"/>
            </w:pPr>
          </w:p>
        </w:tc>
        <w:tc>
          <w:tcPr>
            <w:tcW w:w="1701" w:type="dxa"/>
            <w:vAlign w:val="center"/>
          </w:tcPr>
          <w:p w14:paraId="681F56F8" w14:textId="77777777" w:rsidR="00454A29" w:rsidRDefault="00454A29">
            <w:pPr>
              <w:pStyle w:val="ConsPlusNormal"/>
            </w:pPr>
          </w:p>
        </w:tc>
        <w:tc>
          <w:tcPr>
            <w:tcW w:w="1701" w:type="dxa"/>
            <w:vAlign w:val="center"/>
          </w:tcPr>
          <w:p w14:paraId="1558454F" w14:textId="77777777" w:rsidR="00454A29" w:rsidRDefault="00454A29">
            <w:pPr>
              <w:pStyle w:val="ConsPlusNormal"/>
            </w:pPr>
          </w:p>
        </w:tc>
        <w:tc>
          <w:tcPr>
            <w:tcW w:w="1814" w:type="dxa"/>
            <w:vAlign w:val="center"/>
          </w:tcPr>
          <w:p w14:paraId="766799AC" w14:textId="77777777" w:rsidR="00454A29" w:rsidRDefault="00454A29">
            <w:pPr>
              <w:pStyle w:val="ConsPlusNormal"/>
            </w:pPr>
          </w:p>
        </w:tc>
      </w:tr>
      <w:tr w:rsidR="00454A29" w14:paraId="41FDCE19" w14:textId="77777777">
        <w:tc>
          <w:tcPr>
            <w:tcW w:w="567" w:type="dxa"/>
            <w:vMerge/>
          </w:tcPr>
          <w:p w14:paraId="54D0568B" w14:textId="77777777" w:rsidR="00454A29" w:rsidRDefault="00454A29"/>
        </w:tc>
        <w:tc>
          <w:tcPr>
            <w:tcW w:w="3345" w:type="dxa"/>
            <w:vMerge/>
          </w:tcPr>
          <w:p w14:paraId="5794E73D" w14:textId="77777777" w:rsidR="00454A29" w:rsidRDefault="00454A29"/>
        </w:tc>
        <w:tc>
          <w:tcPr>
            <w:tcW w:w="1701" w:type="dxa"/>
            <w:vAlign w:val="center"/>
          </w:tcPr>
          <w:p w14:paraId="0677F9B6" w14:textId="77777777" w:rsidR="00454A29" w:rsidRDefault="00454A29">
            <w:pPr>
              <w:pStyle w:val="ConsPlusNormal"/>
              <w:jc w:val="center"/>
            </w:pPr>
            <w:r>
              <w:t>2022</w:t>
            </w:r>
          </w:p>
        </w:tc>
        <w:tc>
          <w:tcPr>
            <w:tcW w:w="1417" w:type="dxa"/>
            <w:vMerge/>
          </w:tcPr>
          <w:p w14:paraId="43B379D5" w14:textId="77777777" w:rsidR="00454A29" w:rsidRDefault="00454A29"/>
        </w:tc>
        <w:tc>
          <w:tcPr>
            <w:tcW w:w="2204" w:type="dxa"/>
            <w:vMerge/>
          </w:tcPr>
          <w:p w14:paraId="5755BB7E" w14:textId="77777777" w:rsidR="00454A29" w:rsidRDefault="00454A29"/>
        </w:tc>
        <w:tc>
          <w:tcPr>
            <w:tcW w:w="1417" w:type="dxa"/>
            <w:vMerge/>
          </w:tcPr>
          <w:p w14:paraId="0F06A5D2" w14:textId="77777777" w:rsidR="00454A29" w:rsidRDefault="00454A29"/>
        </w:tc>
        <w:tc>
          <w:tcPr>
            <w:tcW w:w="2324" w:type="dxa"/>
            <w:vMerge/>
          </w:tcPr>
          <w:p w14:paraId="0D1422FD" w14:textId="77777777" w:rsidR="00454A29" w:rsidRDefault="00454A29"/>
        </w:tc>
        <w:tc>
          <w:tcPr>
            <w:tcW w:w="1701" w:type="dxa"/>
            <w:vAlign w:val="center"/>
          </w:tcPr>
          <w:p w14:paraId="588EF224" w14:textId="77777777" w:rsidR="00454A29" w:rsidRDefault="00454A29">
            <w:pPr>
              <w:pStyle w:val="ConsPlusNormal"/>
            </w:pPr>
          </w:p>
        </w:tc>
        <w:tc>
          <w:tcPr>
            <w:tcW w:w="1814" w:type="dxa"/>
            <w:vAlign w:val="center"/>
          </w:tcPr>
          <w:p w14:paraId="7EEC2BB0" w14:textId="77777777" w:rsidR="00454A29" w:rsidRDefault="00454A29">
            <w:pPr>
              <w:pStyle w:val="ConsPlusNormal"/>
            </w:pPr>
          </w:p>
        </w:tc>
        <w:tc>
          <w:tcPr>
            <w:tcW w:w="1701" w:type="dxa"/>
            <w:vAlign w:val="center"/>
          </w:tcPr>
          <w:p w14:paraId="4554EC42" w14:textId="77777777" w:rsidR="00454A29" w:rsidRDefault="00454A29">
            <w:pPr>
              <w:pStyle w:val="ConsPlusNormal"/>
            </w:pPr>
          </w:p>
        </w:tc>
        <w:tc>
          <w:tcPr>
            <w:tcW w:w="1701" w:type="dxa"/>
            <w:vAlign w:val="center"/>
          </w:tcPr>
          <w:p w14:paraId="65F87A6A" w14:textId="77777777" w:rsidR="00454A29" w:rsidRDefault="00454A29">
            <w:pPr>
              <w:pStyle w:val="ConsPlusNormal"/>
            </w:pPr>
          </w:p>
        </w:tc>
        <w:tc>
          <w:tcPr>
            <w:tcW w:w="1814" w:type="dxa"/>
            <w:vAlign w:val="center"/>
          </w:tcPr>
          <w:p w14:paraId="087D1791" w14:textId="77777777" w:rsidR="00454A29" w:rsidRDefault="00454A29">
            <w:pPr>
              <w:pStyle w:val="ConsPlusNormal"/>
            </w:pPr>
          </w:p>
        </w:tc>
      </w:tr>
      <w:tr w:rsidR="00454A29" w14:paraId="73FED45B" w14:textId="77777777">
        <w:tc>
          <w:tcPr>
            <w:tcW w:w="567" w:type="dxa"/>
            <w:vMerge/>
          </w:tcPr>
          <w:p w14:paraId="40D8664E" w14:textId="77777777" w:rsidR="00454A29" w:rsidRDefault="00454A29"/>
        </w:tc>
        <w:tc>
          <w:tcPr>
            <w:tcW w:w="3345" w:type="dxa"/>
            <w:vMerge/>
          </w:tcPr>
          <w:p w14:paraId="48D99447" w14:textId="77777777" w:rsidR="00454A29" w:rsidRDefault="00454A29"/>
        </w:tc>
        <w:tc>
          <w:tcPr>
            <w:tcW w:w="1701" w:type="dxa"/>
            <w:vAlign w:val="center"/>
          </w:tcPr>
          <w:p w14:paraId="5E1A4EBE" w14:textId="77777777" w:rsidR="00454A29" w:rsidRDefault="00454A29">
            <w:pPr>
              <w:pStyle w:val="ConsPlusNormal"/>
              <w:jc w:val="center"/>
            </w:pPr>
            <w:r>
              <w:t>2023</w:t>
            </w:r>
          </w:p>
        </w:tc>
        <w:tc>
          <w:tcPr>
            <w:tcW w:w="1417" w:type="dxa"/>
            <w:vMerge/>
          </w:tcPr>
          <w:p w14:paraId="324BBEE4" w14:textId="77777777" w:rsidR="00454A29" w:rsidRDefault="00454A29"/>
        </w:tc>
        <w:tc>
          <w:tcPr>
            <w:tcW w:w="2204" w:type="dxa"/>
            <w:vMerge/>
          </w:tcPr>
          <w:p w14:paraId="1EE711F0" w14:textId="77777777" w:rsidR="00454A29" w:rsidRDefault="00454A29"/>
        </w:tc>
        <w:tc>
          <w:tcPr>
            <w:tcW w:w="1417" w:type="dxa"/>
            <w:vMerge/>
          </w:tcPr>
          <w:p w14:paraId="21A7E740" w14:textId="77777777" w:rsidR="00454A29" w:rsidRDefault="00454A29"/>
        </w:tc>
        <w:tc>
          <w:tcPr>
            <w:tcW w:w="2324" w:type="dxa"/>
            <w:vMerge/>
          </w:tcPr>
          <w:p w14:paraId="415F4B88" w14:textId="77777777" w:rsidR="00454A29" w:rsidRDefault="00454A29"/>
        </w:tc>
        <w:tc>
          <w:tcPr>
            <w:tcW w:w="1701" w:type="dxa"/>
            <w:vAlign w:val="center"/>
          </w:tcPr>
          <w:p w14:paraId="7FE16C9B" w14:textId="77777777" w:rsidR="00454A29" w:rsidRDefault="00454A29">
            <w:pPr>
              <w:pStyle w:val="ConsPlusNormal"/>
            </w:pPr>
          </w:p>
        </w:tc>
        <w:tc>
          <w:tcPr>
            <w:tcW w:w="1814" w:type="dxa"/>
            <w:vAlign w:val="center"/>
          </w:tcPr>
          <w:p w14:paraId="06106C1A" w14:textId="77777777" w:rsidR="00454A29" w:rsidRDefault="00454A29">
            <w:pPr>
              <w:pStyle w:val="ConsPlusNormal"/>
            </w:pPr>
          </w:p>
        </w:tc>
        <w:tc>
          <w:tcPr>
            <w:tcW w:w="1701" w:type="dxa"/>
            <w:vAlign w:val="center"/>
          </w:tcPr>
          <w:p w14:paraId="3F0FC33D" w14:textId="77777777" w:rsidR="00454A29" w:rsidRDefault="00454A29">
            <w:pPr>
              <w:pStyle w:val="ConsPlusNormal"/>
            </w:pPr>
          </w:p>
        </w:tc>
        <w:tc>
          <w:tcPr>
            <w:tcW w:w="1701" w:type="dxa"/>
            <w:vAlign w:val="center"/>
          </w:tcPr>
          <w:p w14:paraId="5AC1D1ED" w14:textId="77777777" w:rsidR="00454A29" w:rsidRDefault="00454A29">
            <w:pPr>
              <w:pStyle w:val="ConsPlusNormal"/>
            </w:pPr>
          </w:p>
        </w:tc>
        <w:tc>
          <w:tcPr>
            <w:tcW w:w="1814" w:type="dxa"/>
            <w:vAlign w:val="center"/>
          </w:tcPr>
          <w:p w14:paraId="589F57F9" w14:textId="77777777" w:rsidR="00454A29" w:rsidRDefault="00454A29">
            <w:pPr>
              <w:pStyle w:val="ConsPlusNormal"/>
            </w:pPr>
          </w:p>
        </w:tc>
      </w:tr>
      <w:tr w:rsidR="00454A29" w14:paraId="6AFCBF5E" w14:textId="77777777">
        <w:tc>
          <w:tcPr>
            <w:tcW w:w="567" w:type="dxa"/>
            <w:vMerge/>
          </w:tcPr>
          <w:p w14:paraId="12258C4A" w14:textId="77777777" w:rsidR="00454A29" w:rsidRDefault="00454A29"/>
        </w:tc>
        <w:tc>
          <w:tcPr>
            <w:tcW w:w="3345" w:type="dxa"/>
            <w:vMerge/>
          </w:tcPr>
          <w:p w14:paraId="4583B5A5" w14:textId="77777777" w:rsidR="00454A29" w:rsidRDefault="00454A29"/>
        </w:tc>
        <w:tc>
          <w:tcPr>
            <w:tcW w:w="1701" w:type="dxa"/>
            <w:vAlign w:val="center"/>
          </w:tcPr>
          <w:p w14:paraId="68DC4EB6" w14:textId="77777777" w:rsidR="00454A29" w:rsidRDefault="00454A29">
            <w:pPr>
              <w:pStyle w:val="ConsPlusNormal"/>
              <w:jc w:val="center"/>
            </w:pPr>
            <w:r>
              <w:t>2024</w:t>
            </w:r>
          </w:p>
        </w:tc>
        <w:tc>
          <w:tcPr>
            <w:tcW w:w="1417" w:type="dxa"/>
            <w:vMerge/>
          </w:tcPr>
          <w:p w14:paraId="66C478CD" w14:textId="77777777" w:rsidR="00454A29" w:rsidRDefault="00454A29"/>
        </w:tc>
        <w:tc>
          <w:tcPr>
            <w:tcW w:w="2204" w:type="dxa"/>
            <w:vMerge/>
          </w:tcPr>
          <w:p w14:paraId="1A5B44C4" w14:textId="77777777" w:rsidR="00454A29" w:rsidRDefault="00454A29"/>
        </w:tc>
        <w:tc>
          <w:tcPr>
            <w:tcW w:w="1417" w:type="dxa"/>
            <w:vMerge/>
          </w:tcPr>
          <w:p w14:paraId="3A69C315" w14:textId="77777777" w:rsidR="00454A29" w:rsidRDefault="00454A29"/>
        </w:tc>
        <w:tc>
          <w:tcPr>
            <w:tcW w:w="2324" w:type="dxa"/>
            <w:vMerge/>
          </w:tcPr>
          <w:p w14:paraId="066DD918" w14:textId="77777777" w:rsidR="00454A29" w:rsidRDefault="00454A29"/>
        </w:tc>
        <w:tc>
          <w:tcPr>
            <w:tcW w:w="1701" w:type="dxa"/>
            <w:vAlign w:val="center"/>
          </w:tcPr>
          <w:p w14:paraId="3F2E26BD" w14:textId="77777777" w:rsidR="00454A29" w:rsidRDefault="00454A29">
            <w:pPr>
              <w:pStyle w:val="ConsPlusNormal"/>
            </w:pPr>
          </w:p>
        </w:tc>
        <w:tc>
          <w:tcPr>
            <w:tcW w:w="1814" w:type="dxa"/>
            <w:vAlign w:val="center"/>
          </w:tcPr>
          <w:p w14:paraId="68910343" w14:textId="77777777" w:rsidR="00454A29" w:rsidRDefault="00454A29">
            <w:pPr>
              <w:pStyle w:val="ConsPlusNormal"/>
            </w:pPr>
          </w:p>
        </w:tc>
        <w:tc>
          <w:tcPr>
            <w:tcW w:w="1701" w:type="dxa"/>
            <w:vAlign w:val="center"/>
          </w:tcPr>
          <w:p w14:paraId="1E37230B" w14:textId="77777777" w:rsidR="00454A29" w:rsidRDefault="00454A29">
            <w:pPr>
              <w:pStyle w:val="ConsPlusNormal"/>
            </w:pPr>
          </w:p>
        </w:tc>
        <w:tc>
          <w:tcPr>
            <w:tcW w:w="1701" w:type="dxa"/>
            <w:vAlign w:val="center"/>
          </w:tcPr>
          <w:p w14:paraId="44482095" w14:textId="77777777" w:rsidR="00454A29" w:rsidRDefault="00454A29">
            <w:pPr>
              <w:pStyle w:val="ConsPlusNormal"/>
            </w:pPr>
          </w:p>
        </w:tc>
        <w:tc>
          <w:tcPr>
            <w:tcW w:w="1814" w:type="dxa"/>
            <w:vAlign w:val="center"/>
          </w:tcPr>
          <w:p w14:paraId="1E16C7D4" w14:textId="77777777" w:rsidR="00454A29" w:rsidRDefault="00454A29">
            <w:pPr>
              <w:pStyle w:val="ConsPlusNormal"/>
            </w:pPr>
          </w:p>
        </w:tc>
      </w:tr>
      <w:tr w:rsidR="00454A29" w14:paraId="6486470D" w14:textId="77777777">
        <w:tc>
          <w:tcPr>
            <w:tcW w:w="567" w:type="dxa"/>
            <w:vMerge/>
          </w:tcPr>
          <w:p w14:paraId="7D46718E" w14:textId="77777777" w:rsidR="00454A29" w:rsidRDefault="00454A29"/>
        </w:tc>
        <w:tc>
          <w:tcPr>
            <w:tcW w:w="3345" w:type="dxa"/>
            <w:vMerge/>
          </w:tcPr>
          <w:p w14:paraId="127F50E5" w14:textId="77777777" w:rsidR="00454A29" w:rsidRDefault="00454A29"/>
        </w:tc>
        <w:tc>
          <w:tcPr>
            <w:tcW w:w="1701" w:type="dxa"/>
            <w:vAlign w:val="center"/>
          </w:tcPr>
          <w:p w14:paraId="394F21DB" w14:textId="77777777" w:rsidR="00454A29" w:rsidRDefault="00454A29">
            <w:pPr>
              <w:pStyle w:val="ConsPlusNormal"/>
              <w:jc w:val="center"/>
            </w:pPr>
            <w:r>
              <w:t>2025</w:t>
            </w:r>
          </w:p>
        </w:tc>
        <w:tc>
          <w:tcPr>
            <w:tcW w:w="1417" w:type="dxa"/>
            <w:vMerge/>
          </w:tcPr>
          <w:p w14:paraId="2BD29F08" w14:textId="77777777" w:rsidR="00454A29" w:rsidRDefault="00454A29"/>
        </w:tc>
        <w:tc>
          <w:tcPr>
            <w:tcW w:w="2204" w:type="dxa"/>
            <w:vMerge/>
          </w:tcPr>
          <w:p w14:paraId="4A2BD2E4" w14:textId="77777777" w:rsidR="00454A29" w:rsidRDefault="00454A29"/>
        </w:tc>
        <w:tc>
          <w:tcPr>
            <w:tcW w:w="1417" w:type="dxa"/>
            <w:vMerge/>
          </w:tcPr>
          <w:p w14:paraId="0E465EA1" w14:textId="77777777" w:rsidR="00454A29" w:rsidRDefault="00454A29"/>
        </w:tc>
        <w:tc>
          <w:tcPr>
            <w:tcW w:w="2324" w:type="dxa"/>
            <w:vMerge/>
          </w:tcPr>
          <w:p w14:paraId="3CA90C3F" w14:textId="77777777" w:rsidR="00454A29" w:rsidRDefault="00454A29"/>
        </w:tc>
        <w:tc>
          <w:tcPr>
            <w:tcW w:w="1701" w:type="dxa"/>
            <w:vAlign w:val="center"/>
          </w:tcPr>
          <w:p w14:paraId="3C47AAD9" w14:textId="77777777" w:rsidR="00454A29" w:rsidRDefault="00454A29">
            <w:pPr>
              <w:pStyle w:val="ConsPlusNormal"/>
            </w:pPr>
          </w:p>
        </w:tc>
        <w:tc>
          <w:tcPr>
            <w:tcW w:w="1814" w:type="dxa"/>
            <w:vAlign w:val="center"/>
          </w:tcPr>
          <w:p w14:paraId="24721822" w14:textId="77777777" w:rsidR="00454A29" w:rsidRDefault="00454A29">
            <w:pPr>
              <w:pStyle w:val="ConsPlusNormal"/>
            </w:pPr>
          </w:p>
        </w:tc>
        <w:tc>
          <w:tcPr>
            <w:tcW w:w="1701" w:type="dxa"/>
            <w:vAlign w:val="center"/>
          </w:tcPr>
          <w:p w14:paraId="481486E6" w14:textId="77777777" w:rsidR="00454A29" w:rsidRDefault="00454A29">
            <w:pPr>
              <w:pStyle w:val="ConsPlusNormal"/>
            </w:pPr>
          </w:p>
        </w:tc>
        <w:tc>
          <w:tcPr>
            <w:tcW w:w="1701" w:type="dxa"/>
            <w:vAlign w:val="center"/>
          </w:tcPr>
          <w:p w14:paraId="56880862" w14:textId="77777777" w:rsidR="00454A29" w:rsidRDefault="00454A29">
            <w:pPr>
              <w:pStyle w:val="ConsPlusNormal"/>
            </w:pPr>
          </w:p>
        </w:tc>
        <w:tc>
          <w:tcPr>
            <w:tcW w:w="1814" w:type="dxa"/>
            <w:vAlign w:val="center"/>
          </w:tcPr>
          <w:p w14:paraId="3BB687D8" w14:textId="77777777" w:rsidR="00454A29" w:rsidRDefault="00454A29">
            <w:pPr>
              <w:pStyle w:val="ConsPlusNormal"/>
            </w:pPr>
          </w:p>
        </w:tc>
      </w:tr>
      <w:tr w:rsidR="00454A29" w14:paraId="33996F8A" w14:textId="77777777">
        <w:tc>
          <w:tcPr>
            <w:tcW w:w="567" w:type="dxa"/>
            <w:vMerge/>
          </w:tcPr>
          <w:p w14:paraId="0E60B8E8" w14:textId="77777777" w:rsidR="00454A29" w:rsidRDefault="00454A29"/>
        </w:tc>
        <w:tc>
          <w:tcPr>
            <w:tcW w:w="3345" w:type="dxa"/>
            <w:vMerge/>
          </w:tcPr>
          <w:p w14:paraId="2FA26770" w14:textId="77777777" w:rsidR="00454A29" w:rsidRDefault="00454A29"/>
        </w:tc>
        <w:tc>
          <w:tcPr>
            <w:tcW w:w="1701" w:type="dxa"/>
            <w:vAlign w:val="center"/>
          </w:tcPr>
          <w:p w14:paraId="0466EE49" w14:textId="77777777" w:rsidR="00454A29" w:rsidRDefault="00454A29">
            <w:pPr>
              <w:pStyle w:val="ConsPlusNormal"/>
              <w:jc w:val="center"/>
            </w:pPr>
            <w:r>
              <w:t>2026</w:t>
            </w:r>
          </w:p>
        </w:tc>
        <w:tc>
          <w:tcPr>
            <w:tcW w:w="1417" w:type="dxa"/>
            <w:vMerge/>
          </w:tcPr>
          <w:p w14:paraId="7BD01BA4" w14:textId="77777777" w:rsidR="00454A29" w:rsidRDefault="00454A29"/>
        </w:tc>
        <w:tc>
          <w:tcPr>
            <w:tcW w:w="2204" w:type="dxa"/>
            <w:vMerge/>
          </w:tcPr>
          <w:p w14:paraId="79C15A76" w14:textId="77777777" w:rsidR="00454A29" w:rsidRDefault="00454A29"/>
        </w:tc>
        <w:tc>
          <w:tcPr>
            <w:tcW w:w="1417" w:type="dxa"/>
            <w:vMerge/>
          </w:tcPr>
          <w:p w14:paraId="09B852B0" w14:textId="77777777" w:rsidR="00454A29" w:rsidRDefault="00454A29"/>
        </w:tc>
        <w:tc>
          <w:tcPr>
            <w:tcW w:w="2324" w:type="dxa"/>
            <w:vMerge/>
          </w:tcPr>
          <w:p w14:paraId="7F48DA1D" w14:textId="77777777" w:rsidR="00454A29" w:rsidRDefault="00454A29"/>
        </w:tc>
        <w:tc>
          <w:tcPr>
            <w:tcW w:w="1701" w:type="dxa"/>
            <w:vAlign w:val="center"/>
          </w:tcPr>
          <w:p w14:paraId="28E482DF" w14:textId="77777777" w:rsidR="00454A29" w:rsidRDefault="00454A29">
            <w:pPr>
              <w:pStyle w:val="ConsPlusNormal"/>
              <w:jc w:val="center"/>
            </w:pPr>
            <w:r>
              <w:t>271 895,89</w:t>
            </w:r>
          </w:p>
        </w:tc>
        <w:tc>
          <w:tcPr>
            <w:tcW w:w="1814" w:type="dxa"/>
            <w:vAlign w:val="center"/>
          </w:tcPr>
          <w:p w14:paraId="617D740F" w14:textId="77777777" w:rsidR="00454A29" w:rsidRDefault="00454A29">
            <w:pPr>
              <w:pStyle w:val="ConsPlusNormal"/>
              <w:jc w:val="center"/>
            </w:pPr>
            <w:r>
              <w:t>2 718,96</w:t>
            </w:r>
          </w:p>
        </w:tc>
        <w:tc>
          <w:tcPr>
            <w:tcW w:w="1701" w:type="dxa"/>
            <w:vAlign w:val="center"/>
          </w:tcPr>
          <w:p w14:paraId="24DA557E" w14:textId="77777777" w:rsidR="00454A29" w:rsidRDefault="00454A29">
            <w:pPr>
              <w:pStyle w:val="ConsPlusNormal"/>
              <w:jc w:val="center"/>
            </w:pPr>
            <w:r>
              <w:t>269 176,93</w:t>
            </w:r>
          </w:p>
        </w:tc>
        <w:tc>
          <w:tcPr>
            <w:tcW w:w="1701" w:type="dxa"/>
            <w:vAlign w:val="center"/>
          </w:tcPr>
          <w:p w14:paraId="670E87C8" w14:textId="77777777" w:rsidR="00454A29" w:rsidRDefault="00454A29">
            <w:pPr>
              <w:pStyle w:val="ConsPlusNormal"/>
            </w:pPr>
          </w:p>
        </w:tc>
        <w:tc>
          <w:tcPr>
            <w:tcW w:w="1814" w:type="dxa"/>
            <w:vAlign w:val="center"/>
          </w:tcPr>
          <w:p w14:paraId="337BE8A9" w14:textId="77777777" w:rsidR="00454A29" w:rsidRDefault="00454A29">
            <w:pPr>
              <w:pStyle w:val="ConsPlusNormal"/>
            </w:pPr>
          </w:p>
        </w:tc>
      </w:tr>
      <w:tr w:rsidR="00454A29" w14:paraId="0BBB754C" w14:textId="77777777">
        <w:tc>
          <w:tcPr>
            <w:tcW w:w="21706" w:type="dxa"/>
            <w:gridSpan w:val="12"/>
            <w:vAlign w:val="center"/>
          </w:tcPr>
          <w:p w14:paraId="2058DA4D" w14:textId="77777777" w:rsidR="00454A29" w:rsidRDefault="00454A29">
            <w:pPr>
              <w:pStyle w:val="ConsPlusNormal"/>
              <w:jc w:val="center"/>
              <w:outlineLvl w:val="2"/>
            </w:pPr>
            <w:r>
              <w:t>МО "Оймяконский улус (район)"</w:t>
            </w:r>
          </w:p>
        </w:tc>
      </w:tr>
      <w:tr w:rsidR="00454A29" w14:paraId="02C46542" w14:textId="77777777">
        <w:tc>
          <w:tcPr>
            <w:tcW w:w="567" w:type="dxa"/>
            <w:vMerge w:val="restart"/>
            <w:vAlign w:val="center"/>
          </w:tcPr>
          <w:p w14:paraId="318F965D" w14:textId="77777777" w:rsidR="00454A29" w:rsidRDefault="00454A29">
            <w:pPr>
              <w:pStyle w:val="ConsPlusNormal"/>
              <w:jc w:val="center"/>
            </w:pPr>
            <w:r>
              <w:t>96</w:t>
            </w:r>
          </w:p>
        </w:tc>
        <w:tc>
          <w:tcPr>
            <w:tcW w:w="3345" w:type="dxa"/>
            <w:vMerge w:val="restart"/>
            <w:vAlign w:val="center"/>
          </w:tcPr>
          <w:p w14:paraId="6C8838A3" w14:textId="77777777" w:rsidR="00454A29" w:rsidRDefault="00454A29">
            <w:pPr>
              <w:pStyle w:val="ConsPlusNormal"/>
              <w:jc w:val="center"/>
            </w:pPr>
            <w:r>
              <w:t>Школа на 60 учащихся в с. Ючюгей</w:t>
            </w:r>
          </w:p>
        </w:tc>
        <w:tc>
          <w:tcPr>
            <w:tcW w:w="1701" w:type="dxa"/>
            <w:vAlign w:val="center"/>
          </w:tcPr>
          <w:p w14:paraId="40F1B0AA" w14:textId="77777777" w:rsidR="00454A29" w:rsidRDefault="00454A29">
            <w:pPr>
              <w:pStyle w:val="ConsPlusNormal"/>
              <w:jc w:val="center"/>
            </w:pPr>
            <w:r>
              <w:t>2020 - 2026 годы - всего</w:t>
            </w:r>
          </w:p>
        </w:tc>
        <w:tc>
          <w:tcPr>
            <w:tcW w:w="1417" w:type="dxa"/>
            <w:vMerge w:val="restart"/>
            <w:vAlign w:val="center"/>
          </w:tcPr>
          <w:p w14:paraId="13132F85" w14:textId="77777777" w:rsidR="00454A29" w:rsidRDefault="00454A29">
            <w:pPr>
              <w:pStyle w:val="ConsPlusNormal"/>
              <w:jc w:val="center"/>
            </w:pPr>
            <w:r>
              <w:t>-</w:t>
            </w:r>
          </w:p>
        </w:tc>
        <w:tc>
          <w:tcPr>
            <w:tcW w:w="2204" w:type="dxa"/>
            <w:vMerge w:val="restart"/>
            <w:vAlign w:val="center"/>
          </w:tcPr>
          <w:p w14:paraId="6212B8E9" w14:textId="77777777" w:rsidR="00454A29" w:rsidRDefault="00454A29">
            <w:pPr>
              <w:pStyle w:val="ConsPlusNormal"/>
            </w:pPr>
          </w:p>
        </w:tc>
        <w:tc>
          <w:tcPr>
            <w:tcW w:w="1417" w:type="dxa"/>
            <w:vMerge w:val="restart"/>
            <w:vAlign w:val="center"/>
          </w:tcPr>
          <w:p w14:paraId="034CBA4F" w14:textId="77777777" w:rsidR="00454A29" w:rsidRDefault="00454A29">
            <w:pPr>
              <w:pStyle w:val="ConsPlusNormal"/>
              <w:jc w:val="center"/>
            </w:pPr>
            <w:r>
              <w:t>60</w:t>
            </w:r>
          </w:p>
        </w:tc>
        <w:tc>
          <w:tcPr>
            <w:tcW w:w="2324" w:type="dxa"/>
            <w:vMerge w:val="restart"/>
            <w:vAlign w:val="center"/>
          </w:tcPr>
          <w:p w14:paraId="31941F40"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1A7F96B9" w14:textId="77777777" w:rsidR="00454A29" w:rsidRDefault="00454A29">
            <w:pPr>
              <w:pStyle w:val="ConsPlusNormal"/>
              <w:jc w:val="center"/>
            </w:pPr>
            <w:r>
              <w:lastRenderedPageBreak/>
              <w:t>-</w:t>
            </w:r>
          </w:p>
        </w:tc>
        <w:tc>
          <w:tcPr>
            <w:tcW w:w="1814" w:type="dxa"/>
            <w:vAlign w:val="center"/>
          </w:tcPr>
          <w:p w14:paraId="2BC5F1BA" w14:textId="77777777" w:rsidR="00454A29" w:rsidRDefault="00454A29">
            <w:pPr>
              <w:pStyle w:val="ConsPlusNormal"/>
              <w:jc w:val="center"/>
            </w:pPr>
            <w:r>
              <w:t>-</w:t>
            </w:r>
          </w:p>
        </w:tc>
        <w:tc>
          <w:tcPr>
            <w:tcW w:w="1701" w:type="dxa"/>
            <w:vAlign w:val="center"/>
          </w:tcPr>
          <w:p w14:paraId="63D74116" w14:textId="77777777" w:rsidR="00454A29" w:rsidRDefault="00454A29">
            <w:pPr>
              <w:pStyle w:val="ConsPlusNormal"/>
              <w:jc w:val="center"/>
            </w:pPr>
            <w:r>
              <w:t>-</w:t>
            </w:r>
          </w:p>
        </w:tc>
        <w:tc>
          <w:tcPr>
            <w:tcW w:w="1701" w:type="dxa"/>
            <w:vAlign w:val="center"/>
          </w:tcPr>
          <w:p w14:paraId="53E8E4FF" w14:textId="77777777" w:rsidR="00454A29" w:rsidRDefault="00454A29">
            <w:pPr>
              <w:pStyle w:val="ConsPlusNormal"/>
              <w:jc w:val="center"/>
            </w:pPr>
            <w:r>
              <w:t>-</w:t>
            </w:r>
          </w:p>
        </w:tc>
        <w:tc>
          <w:tcPr>
            <w:tcW w:w="1814" w:type="dxa"/>
            <w:vAlign w:val="center"/>
          </w:tcPr>
          <w:p w14:paraId="28A5FC14" w14:textId="77777777" w:rsidR="00454A29" w:rsidRDefault="00454A29">
            <w:pPr>
              <w:pStyle w:val="ConsPlusNormal"/>
              <w:jc w:val="center"/>
            </w:pPr>
            <w:r>
              <w:t>-</w:t>
            </w:r>
          </w:p>
        </w:tc>
      </w:tr>
      <w:tr w:rsidR="00454A29" w14:paraId="5C47A009" w14:textId="77777777">
        <w:tc>
          <w:tcPr>
            <w:tcW w:w="567" w:type="dxa"/>
            <w:vMerge/>
          </w:tcPr>
          <w:p w14:paraId="436D4E39" w14:textId="77777777" w:rsidR="00454A29" w:rsidRDefault="00454A29"/>
        </w:tc>
        <w:tc>
          <w:tcPr>
            <w:tcW w:w="3345" w:type="dxa"/>
            <w:vMerge/>
          </w:tcPr>
          <w:p w14:paraId="535EB1DB" w14:textId="77777777" w:rsidR="00454A29" w:rsidRDefault="00454A29"/>
        </w:tc>
        <w:tc>
          <w:tcPr>
            <w:tcW w:w="1701" w:type="dxa"/>
            <w:vAlign w:val="center"/>
          </w:tcPr>
          <w:p w14:paraId="72DA0489" w14:textId="77777777" w:rsidR="00454A29" w:rsidRDefault="00454A29">
            <w:pPr>
              <w:pStyle w:val="ConsPlusNormal"/>
              <w:jc w:val="center"/>
            </w:pPr>
            <w:r>
              <w:t>2020</w:t>
            </w:r>
          </w:p>
        </w:tc>
        <w:tc>
          <w:tcPr>
            <w:tcW w:w="1417" w:type="dxa"/>
            <w:vMerge/>
          </w:tcPr>
          <w:p w14:paraId="30ECDDC7" w14:textId="77777777" w:rsidR="00454A29" w:rsidRDefault="00454A29"/>
        </w:tc>
        <w:tc>
          <w:tcPr>
            <w:tcW w:w="2204" w:type="dxa"/>
            <w:vMerge/>
          </w:tcPr>
          <w:p w14:paraId="0A04E540" w14:textId="77777777" w:rsidR="00454A29" w:rsidRDefault="00454A29"/>
        </w:tc>
        <w:tc>
          <w:tcPr>
            <w:tcW w:w="1417" w:type="dxa"/>
            <w:vMerge/>
          </w:tcPr>
          <w:p w14:paraId="78DB8670" w14:textId="77777777" w:rsidR="00454A29" w:rsidRDefault="00454A29"/>
        </w:tc>
        <w:tc>
          <w:tcPr>
            <w:tcW w:w="2324" w:type="dxa"/>
            <w:vMerge/>
          </w:tcPr>
          <w:p w14:paraId="18C16DC0" w14:textId="77777777" w:rsidR="00454A29" w:rsidRDefault="00454A29"/>
        </w:tc>
        <w:tc>
          <w:tcPr>
            <w:tcW w:w="1701" w:type="dxa"/>
            <w:vAlign w:val="center"/>
          </w:tcPr>
          <w:p w14:paraId="4F9C2A5A" w14:textId="77777777" w:rsidR="00454A29" w:rsidRDefault="00454A29">
            <w:pPr>
              <w:pStyle w:val="ConsPlusNormal"/>
              <w:jc w:val="center"/>
            </w:pPr>
            <w:r>
              <w:t>-</w:t>
            </w:r>
          </w:p>
        </w:tc>
        <w:tc>
          <w:tcPr>
            <w:tcW w:w="1814" w:type="dxa"/>
            <w:vAlign w:val="center"/>
          </w:tcPr>
          <w:p w14:paraId="3511A31A" w14:textId="77777777" w:rsidR="00454A29" w:rsidRDefault="00454A29">
            <w:pPr>
              <w:pStyle w:val="ConsPlusNormal"/>
            </w:pPr>
          </w:p>
        </w:tc>
        <w:tc>
          <w:tcPr>
            <w:tcW w:w="1701" w:type="dxa"/>
            <w:vAlign w:val="center"/>
          </w:tcPr>
          <w:p w14:paraId="00AADF36" w14:textId="77777777" w:rsidR="00454A29" w:rsidRDefault="00454A29">
            <w:pPr>
              <w:pStyle w:val="ConsPlusNormal"/>
            </w:pPr>
          </w:p>
        </w:tc>
        <w:tc>
          <w:tcPr>
            <w:tcW w:w="1701" w:type="dxa"/>
            <w:vAlign w:val="center"/>
          </w:tcPr>
          <w:p w14:paraId="3641C806" w14:textId="77777777" w:rsidR="00454A29" w:rsidRDefault="00454A29">
            <w:pPr>
              <w:pStyle w:val="ConsPlusNormal"/>
            </w:pPr>
          </w:p>
        </w:tc>
        <w:tc>
          <w:tcPr>
            <w:tcW w:w="1814" w:type="dxa"/>
            <w:vAlign w:val="center"/>
          </w:tcPr>
          <w:p w14:paraId="14A36ADF" w14:textId="77777777" w:rsidR="00454A29" w:rsidRDefault="00454A29">
            <w:pPr>
              <w:pStyle w:val="ConsPlusNormal"/>
            </w:pPr>
          </w:p>
        </w:tc>
      </w:tr>
      <w:tr w:rsidR="00454A29" w14:paraId="248858C7" w14:textId="77777777">
        <w:tc>
          <w:tcPr>
            <w:tcW w:w="567" w:type="dxa"/>
            <w:vMerge/>
          </w:tcPr>
          <w:p w14:paraId="42D36DDC" w14:textId="77777777" w:rsidR="00454A29" w:rsidRDefault="00454A29"/>
        </w:tc>
        <w:tc>
          <w:tcPr>
            <w:tcW w:w="3345" w:type="dxa"/>
            <w:vMerge/>
          </w:tcPr>
          <w:p w14:paraId="442A5CAD" w14:textId="77777777" w:rsidR="00454A29" w:rsidRDefault="00454A29"/>
        </w:tc>
        <w:tc>
          <w:tcPr>
            <w:tcW w:w="1701" w:type="dxa"/>
            <w:vAlign w:val="center"/>
          </w:tcPr>
          <w:p w14:paraId="283224D4" w14:textId="77777777" w:rsidR="00454A29" w:rsidRDefault="00454A29">
            <w:pPr>
              <w:pStyle w:val="ConsPlusNormal"/>
              <w:jc w:val="center"/>
            </w:pPr>
            <w:r>
              <w:t>2021</w:t>
            </w:r>
          </w:p>
        </w:tc>
        <w:tc>
          <w:tcPr>
            <w:tcW w:w="1417" w:type="dxa"/>
            <w:vMerge/>
          </w:tcPr>
          <w:p w14:paraId="26BB9389" w14:textId="77777777" w:rsidR="00454A29" w:rsidRDefault="00454A29"/>
        </w:tc>
        <w:tc>
          <w:tcPr>
            <w:tcW w:w="2204" w:type="dxa"/>
            <w:vMerge/>
          </w:tcPr>
          <w:p w14:paraId="0517C34B" w14:textId="77777777" w:rsidR="00454A29" w:rsidRDefault="00454A29"/>
        </w:tc>
        <w:tc>
          <w:tcPr>
            <w:tcW w:w="1417" w:type="dxa"/>
            <w:vMerge/>
          </w:tcPr>
          <w:p w14:paraId="7BABC386" w14:textId="77777777" w:rsidR="00454A29" w:rsidRDefault="00454A29"/>
        </w:tc>
        <w:tc>
          <w:tcPr>
            <w:tcW w:w="2324" w:type="dxa"/>
            <w:vMerge/>
          </w:tcPr>
          <w:p w14:paraId="0778DD20" w14:textId="77777777" w:rsidR="00454A29" w:rsidRDefault="00454A29"/>
        </w:tc>
        <w:tc>
          <w:tcPr>
            <w:tcW w:w="1701" w:type="dxa"/>
            <w:vAlign w:val="center"/>
          </w:tcPr>
          <w:p w14:paraId="42C7C867" w14:textId="77777777" w:rsidR="00454A29" w:rsidRDefault="00454A29">
            <w:pPr>
              <w:pStyle w:val="ConsPlusNormal"/>
            </w:pPr>
          </w:p>
        </w:tc>
        <w:tc>
          <w:tcPr>
            <w:tcW w:w="1814" w:type="dxa"/>
            <w:vAlign w:val="center"/>
          </w:tcPr>
          <w:p w14:paraId="055FDE9B" w14:textId="77777777" w:rsidR="00454A29" w:rsidRDefault="00454A29">
            <w:pPr>
              <w:pStyle w:val="ConsPlusNormal"/>
            </w:pPr>
          </w:p>
        </w:tc>
        <w:tc>
          <w:tcPr>
            <w:tcW w:w="1701" w:type="dxa"/>
            <w:vAlign w:val="center"/>
          </w:tcPr>
          <w:p w14:paraId="49EB82DA" w14:textId="77777777" w:rsidR="00454A29" w:rsidRDefault="00454A29">
            <w:pPr>
              <w:pStyle w:val="ConsPlusNormal"/>
            </w:pPr>
          </w:p>
        </w:tc>
        <w:tc>
          <w:tcPr>
            <w:tcW w:w="1701" w:type="dxa"/>
            <w:vAlign w:val="center"/>
          </w:tcPr>
          <w:p w14:paraId="6B07B4EB" w14:textId="77777777" w:rsidR="00454A29" w:rsidRDefault="00454A29">
            <w:pPr>
              <w:pStyle w:val="ConsPlusNormal"/>
            </w:pPr>
          </w:p>
        </w:tc>
        <w:tc>
          <w:tcPr>
            <w:tcW w:w="1814" w:type="dxa"/>
            <w:vAlign w:val="center"/>
          </w:tcPr>
          <w:p w14:paraId="21B47F67" w14:textId="77777777" w:rsidR="00454A29" w:rsidRDefault="00454A29">
            <w:pPr>
              <w:pStyle w:val="ConsPlusNormal"/>
            </w:pPr>
          </w:p>
        </w:tc>
      </w:tr>
      <w:tr w:rsidR="00454A29" w14:paraId="7F88A4D7" w14:textId="77777777">
        <w:tc>
          <w:tcPr>
            <w:tcW w:w="567" w:type="dxa"/>
            <w:vMerge/>
          </w:tcPr>
          <w:p w14:paraId="1DC29347" w14:textId="77777777" w:rsidR="00454A29" w:rsidRDefault="00454A29"/>
        </w:tc>
        <w:tc>
          <w:tcPr>
            <w:tcW w:w="3345" w:type="dxa"/>
            <w:vMerge/>
          </w:tcPr>
          <w:p w14:paraId="4C98BB1F" w14:textId="77777777" w:rsidR="00454A29" w:rsidRDefault="00454A29"/>
        </w:tc>
        <w:tc>
          <w:tcPr>
            <w:tcW w:w="1701" w:type="dxa"/>
            <w:vAlign w:val="center"/>
          </w:tcPr>
          <w:p w14:paraId="1A4F742C" w14:textId="77777777" w:rsidR="00454A29" w:rsidRDefault="00454A29">
            <w:pPr>
              <w:pStyle w:val="ConsPlusNormal"/>
              <w:jc w:val="center"/>
            </w:pPr>
            <w:r>
              <w:t>2022</w:t>
            </w:r>
          </w:p>
        </w:tc>
        <w:tc>
          <w:tcPr>
            <w:tcW w:w="1417" w:type="dxa"/>
            <w:vMerge/>
          </w:tcPr>
          <w:p w14:paraId="752882A4" w14:textId="77777777" w:rsidR="00454A29" w:rsidRDefault="00454A29"/>
        </w:tc>
        <w:tc>
          <w:tcPr>
            <w:tcW w:w="2204" w:type="dxa"/>
            <w:vMerge/>
          </w:tcPr>
          <w:p w14:paraId="2E28B26F" w14:textId="77777777" w:rsidR="00454A29" w:rsidRDefault="00454A29"/>
        </w:tc>
        <w:tc>
          <w:tcPr>
            <w:tcW w:w="1417" w:type="dxa"/>
            <w:vMerge/>
          </w:tcPr>
          <w:p w14:paraId="6A5212AE" w14:textId="77777777" w:rsidR="00454A29" w:rsidRDefault="00454A29"/>
        </w:tc>
        <w:tc>
          <w:tcPr>
            <w:tcW w:w="2324" w:type="dxa"/>
            <w:vMerge/>
          </w:tcPr>
          <w:p w14:paraId="69A38C8D" w14:textId="77777777" w:rsidR="00454A29" w:rsidRDefault="00454A29"/>
        </w:tc>
        <w:tc>
          <w:tcPr>
            <w:tcW w:w="1701" w:type="dxa"/>
            <w:vAlign w:val="center"/>
          </w:tcPr>
          <w:p w14:paraId="4253FA47" w14:textId="77777777" w:rsidR="00454A29" w:rsidRDefault="00454A29">
            <w:pPr>
              <w:pStyle w:val="ConsPlusNormal"/>
            </w:pPr>
          </w:p>
        </w:tc>
        <w:tc>
          <w:tcPr>
            <w:tcW w:w="1814" w:type="dxa"/>
            <w:vAlign w:val="center"/>
          </w:tcPr>
          <w:p w14:paraId="2AB555B4" w14:textId="77777777" w:rsidR="00454A29" w:rsidRDefault="00454A29">
            <w:pPr>
              <w:pStyle w:val="ConsPlusNormal"/>
            </w:pPr>
          </w:p>
        </w:tc>
        <w:tc>
          <w:tcPr>
            <w:tcW w:w="1701" w:type="dxa"/>
            <w:vAlign w:val="center"/>
          </w:tcPr>
          <w:p w14:paraId="09A5A10D" w14:textId="77777777" w:rsidR="00454A29" w:rsidRDefault="00454A29">
            <w:pPr>
              <w:pStyle w:val="ConsPlusNormal"/>
            </w:pPr>
          </w:p>
        </w:tc>
        <w:tc>
          <w:tcPr>
            <w:tcW w:w="1701" w:type="dxa"/>
            <w:vAlign w:val="center"/>
          </w:tcPr>
          <w:p w14:paraId="32202E37" w14:textId="77777777" w:rsidR="00454A29" w:rsidRDefault="00454A29">
            <w:pPr>
              <w:pStyle w:val="ConsPlusNormal"/>
            </w:pPr>
          </w:p>
        </w:tc>
        <w:tc>
          <w:tcPr>
            <w:tcW w:w="1814" w:type="dxa"/>
            <w:vAlign w:val="center"/>
          </w:tcPr>
          <w:p w14:paraId="1799BA31" w14:textId="77777777" w:rsidR="00454A29" w:rsidRDefault="00454A29">
            <w:pPr>
              <w:pStyle w:val="ConsPlusNormal"/>
            </w:pPr>
          </w:p>
        </w:tc>
      </w:tr>
      <w:tr w:rsidR="00454A29" w14:paraId="0AB4D5A0" w14:textId="77777777">
        <w:tc>
          <w:tcPr>
            <w:tcW w:w="567" w:type="dxa"/>
            <w:vMerge/>
          </w:tcPr>
          <w:p w14:paraId="3828D167" w14:textId="77777777" w:rsidR="00454A29" w:rsidRDefault="00454A29"/>
        </w:tc>
        <w:tc>
          <w:tcPr>
            <w:tcW w:w="3345" w:type="dxa"/>
            <w:vMerge/>
          </w:tcPr>
          <w:p w14:paraId="10F63BA8" w14:textId="77777777" w:rsidR="00454A29" w:rsidRDefault="00454A29"/>
        </w:tc>
        <w:tc>
          <w:tcPr>
            <w:tcW w:w="1701" w:type="dxa"/>
            <w:vAlign w:val="center"/>
          </w:tcPr>
          <w:p w14:paraId="515B4A56" w14:textId="77777777" w:rsidR="00454A29" w:rsidRDefault="00454A29">
            <w:pPr>
              <w:pStyle w:val="ConsPlusNormal"/>
              <w:jc w:val="center"/>
            </w:pPr>
            <w:r>
              <w:t>2023</w:t>
            </w:r>
          </w:p>
        </w:tc>
        <w:tc>
          <w:tcPr>
            <w:tcW w:w="1417" w:type="dxa"/>
            <w:vMerge/>
          </w:tcPr>
          <w:p w14:paraId="363FA8D3" w14:textId="77777777" w:rsidR="00454A29" w:rsidRDefault="00454A29"/>
        </w:tc>
        <w:tc>
          <w:tcPr>
            <w:tcW w:w="2204" w:type="dxa"/>
            <w:vMerge/>
          </w:tcPr>
          <w:p w14:paraId="433C697D" w14:textId="77777777" w:rsidR="00454A29" w:rsidRDefault="00454A29"/>
        </w:tc>
        <w:tc>
          <w:tcPr>
            <w:tcW w:w="1417" w:type="dxa"/>
            <w:vMerge/>
          </w:tcPr>
          <w:p w14:paraId="7FA7BB25" w14:textId="77777777" w:rsidR="00454A29" w:rsidRDefault="00454A29"/>
        </w:tc>
        <w:tc>
          <w:tcPr>
            <w:tcW w:w="2324" w:type="dxa"/>
            <w:vMerge/>
          </w:tcPr>
          <w:p w14:paraId="60C3795E" w14:textId="77777777" w:rsidR="00454A29" w:rsidRDefault="00454A29"/>
        </w:tc>
        <w:tc>
          <w:tcPr>
            <w:tcW w:w="1701" w:type="dxa"/>
            <w:vAlign w:val="center"/>
          </w:tcPr>
          <w:p w14:paraId="4613FFF6" w14:textId="77777777" w:rsidR="00454A29" w:rsidRDefault="00454A29">
            <w:pPr>
              <w:pStyle w:val="ConsPlusNormal"/>
            </w:pPr>
          </w:p>
        </w:tc>
        <w:tc>
          <w:tcPr>
            <w:tcW w:w="1814" w:type="dxa"/>
            <w:vAlign w:val="center"/>
          </w:tcPr>
          <w:p w14:paraId="084F6107" w14:textId="77777777" w:rsidR="00454A29" w:rsidRDefault="00454A29">
            <w:pPr>
              <w:pStyle w:val="ConsPlusNormal"/>
            </w:pPr>
          </w:p>
        </w:tc>
        <w:tc>
          <w:tcPr>
            <w:tcW w:w="1701" w:type="dxa"/>
            <w:vAlign w:val="center"/>
          </w:tcPr>
          <w:p w14:paraId="684A0928" w14:textId="77777777" w:rsidR="00454A29" w:rsidRDefault="00454A29">
            <w:pPr>
              <w:pStyle w:val="ConsPlusNormal"/>
            </w:pPr>
          </w:p>
        </w:tc>
        <w:tc>
          <w:tcPr>
            <w:tcW w:w="1701" w:type="dxa"/>
            <w:vAlign w:val="center"/>
          </w:tcPr>
          <w:p w14:paraId="7B4E2589" w14:textId="77777777" w:rsidR="00454A29" w:rsidRDefault="00454A29">
            <w:pPr>
              <w:pStyle w:val="ConsPlusNormal"/>
            </w:pPr>
          </w:p>
        </w:tc>
        <w:tc>
          <w:tcPr>
            <w:tcW w:w="1814" w:type="dxa"/>
            <w:vAlign w:val="center"/>
          </w:tcPr>
          <w:p w14:paraId="0002E917" w14:textId="77777777" w:rsidR="00454A29" w:rsidRDefault="00454A29">
            <w:pPr>
              <w:pStyle w:val="ConsPlusNormal"/>
            </w:pPr>
          </w:p>
        </w:tc>
      </w:tr>
      <w:tr w:rsidR="00454A29" w14:paraId="318FCB02" w14:textId="77777777">
        <w:tc>
          <w:tcPr>
            <w:tcW w:w="567" w:type="dxa"/>
            <w:vMerge/>
          </w:tcPr>
          <w:p w14:paraId="56740C6E" w14:textId="77777777" w:rsidR="00454A29" w:rsidRDefault="00454A29"/>
        </w:tc>
        <w:tc>
          <w:tcPr>
            <w:tcW w:w="3345" w:type="dxa"/>
            <w:vMerge/>
          </w:tcPr>
          <w:p w14:paraId="3D0DAD34" w14:textId="77777777" w:rsidR="00454A29" w:rsidRDefault="00454A29"/>
        </w:tc>
        <w:tc>
          <w:tcPr>
            <w:tcW w:w="1701" w:type="dxa"/>
            <w:vAlign w:val="center"/>
          </w:tcPr>
          <w:p w14:paraId="50BA6B12" w14:textId="77777777" w:rsidR="00454A29" w:rsidRDefault="00454A29">
            <w:pPr>
              <w:pStyle w:val="ConsPlusNormal"/>
              <w:jc w:val="center"/>
            </w:pPr>
            <w:r>
              <w:t>2024</w:t>
            </w:r>
          </w:p>
        </w:tc>
        <w:tc>
          <w:tcPr>
            <w:tcW w:w="1417" w:type="dxa"/>
            <w:vMerge/>
          </w:tcPr>
          <w:p w14:paraId="1AAA80CF" w14:textId="77777777" w:rsidR="00454A29" w:rsidRDefault="00454A29"/>
        </w:tc>
        <w:tc>
          <w:tcPr>
            <w:tcW w:w="2204" w:type="dxa"/>
            <w:vMerge/>
          </w:tcPr>
          <w:p w14:paraId="1A1C54ED" w14:textId="77777777" w:rsidR="00454A29" w:rsidRDefault="00454A29"/>
        </w:tc>
        <w:tc>
          <w:tcPr>
            <w:tcW w:w="1417" w:type="dxa"/>
            <w:vMerge/>
          </w:tcPr>
          <w:p w14:paraId="4BF2C5C3" w14:textId="77777777" w:rsidR="00454A29" w:rsidRDefault="00454A29"/>
        </w:tc>
        <w:tc>
          <w:tcPr>
            <w:tcW w:w="2324" w:type="dxa"/>
            <w:vMerge/>
          </w:tcPr>
          <w:p w14:paraId="3B99B67D" w14:textId="77777777" w:rsidR="00454A29" w:rsidRDefault="00454A29"/>
        </w:tc>
        <w:tc>
          <w:tcPr>
            <w:tcW w:w="1701" w:type="dxa"/>
            <w:vAlign w:val="center"/>
          </w:tcPr>
          <w:p w14:paraId="12FA9B6D" w14:textId="77777777" w:rsidR="00454A29" w:rsidRDefault="00454A29">
            <w:pPr>
              <w:pStyle w:val="ConsPlusNormal"/>
              <w:jc w:val="center"/>
            </w:pPr>
            <w:r>
              <w:t>-</w:t>
            </w:r>
          </w:p>
        </w:tc>
        <w:tc>
          <w:tcPr>
            <w:tcW w:w="1814" w:type="dxa"/>
            <w:vAlign w:val="center"/>
          </w:tcPr>
          <w:p w14:paraId="3329590C" w14:textId="77777777" w:rsidR="00454A29" w:rsidRDefault="00454A29">
            <w:pPr>
              <w:pStyle w:val="ConsPlusNormal"/>
            </w:pPr>
          </w:p>
        </w:tc>
        <w:tc>
          <w:tcPr>
            <w:tcW w:w="1701" w:type="dxa"/>
            <w:vAlign w:val="center"/>
          </w:tcPr>
          <w:p w14:paraId="544A00E4" w14:textId="77777777" w:rsidR="00454A29" w:rsidRDefault="00454A29">
            <w:pPr>
              <w:pStyle w:val="ConsPlusNormal"/>
            </w:pPr>
          </w:p>
        </w:tc>
        <w:tc>
          <w:tcPr>
            <w:tcW w:w="1701" w:type="dxa"/>
            <w:vAlign w:val="center"/>
          </w:tcPr>
          <w:p w14:paraId="36111B5F" w14:textId="77777777" w:rsidR="00454A29" w:rsidRDefault="00454A29">
            <w:pPr>
              <w:pStyle w:val="ConsPlusNormal"/>
            </w:pPr>
          </w:p>
        </w:tc>
        <w:tc>
          <w:tcPr>
            <w:tcW w:w="1814" w:type="dxa"/>
            <w:vAlign w:val="center"/>
          </w:tcPr>
          <w:p w14:paraId="4953DE9B" w14:textId="77777777" w:rsidR="00454A29" w:rsidRDefault="00454A29">
            <w:pPr>
              <w:pStyle w:val="ConsPlusNormal"/>
            </w:pPr>
          </w:p>
        </w:tc>
      </w:tr>
      <w:tr w:rsidR="00454A29" w14:paraId="4BBBBB06" w14:textId="77777777">
        <w:tc>
          <w:tcPr>
            <w:tcW w:w="567" w:type="dxa"/>
            <w:vMerge/>
          </w:tcPr>
          <w:p w14:paraId="746BD860" w14:textId="77777777" w:rsidR="00454A29" w:rsidRDefault="00454A29"/>
        </w:tc>
        <w:tc>
          <w:tcPr>
            <w:tcW w:w="3345" w:type="dxa"/>
            <w:vMerge/>
          </w:tcPr>
          <w:p w14:paraId="6858D41B" w14:textId="77777777" w:rsidR="00454A29" w:rsidRDefault="00454A29"/>
        </w:tc>
        <w:tc>
          <w:tcPr>
            <w:tcW w:w="1701" w:type="dxa"/>
            <w:vAlign w:val="center"/>
          </w:tcPr>
          <w:p w14:paraId="32CE0C1E" w14:textId="77777777" w:rsidR="00454A29" w:rsidRDefault="00454A29">
            <w:pPr>
              <w:pStyle w:val="ConsPlusNormal"/>
              <w:jc w:val="center"/>
            </w:pPr>
            <w:r>
              <w:t>2025</w:t>
            </w:r>
          </w:p>
        </w:tc>
        <w:tc>
          <w:tcPr>
            <w:tcW w:w="1417" w:type="dxa"/>
            <w:vMerge/>
          </w:tcPr>
          <w:p w14:paraId="25B39B7D" w14:textId="77777777" w:rsidR="00454A29" w:rsidRDefault="00454A29"/>
        </w:tc>
        <w:tc>
          <w:tcPr>
            <w:tcW w:w="2204" w:type="dxa"/>
            <w:vMerge/>
          </w:tcPr>
          <w:p w14:paraId="7660D3E9" w14:textId="77777777" w:rsidR="00454A29" w:rsidRDefault="00454A29"/>
        </w:tc>
        <w:tc>
          <w:tcPr>
            <w:tcW w:w="1417" w:type="dxa"/>
            <w:vMerge/>
          </w:tcPr>
          <w:p w14:paraId="7BAE991D" w14:textId="77777777" w:rsidR="00454A29" w:rsidRDefault="00454A29"/>
        </w:tc>
        <w:tc>
          <w:tcPr>
            <w:tcW w:w="2324" w:type="dxa"/>
            <w:vMerge/>
          </w:tcPr>
          <w:p w14:paraId="7434D6F5" w14:textId="77777777" w:rsidR="00454A29" w:rsidRDefault="00454A29"/>
        </w:tc>
        <w:tc>
          <w:tcPr>
            <w:tcW w:w="1701" w:type="dxa"/>
            <w:vAlign w:val="center"/>
          </w:tcPr>
          <w:p w14:paraId="2A2764B9" w14:textId="77777777" w:rsidR="00454A29" w:rsidRDefault="00454A29">
            <w:pPr>
              <w:pStyle w:val="ConsPlusNormal"/>
              <w:jc w:val="center"/>
            </w:pPr>
            <w:r>
              <w:t>-</w:t>
            </w:r>
          </w:p>
        </w:tc>
        <w:tc>
          <w:tcPr>
            <w:tcW w:w="1814" w:type="dxa"/>
            <w:vAlign w:val="center"/>
          </w:tcPr>
          <w:p w14:paraId="444FE074" w14:textId="77777777" w:rsidR="00454A29" w:rsidRDefault="00454A29">
            <w:pPr>
              <w:pStyle w:val="ConsPlusNormal"/>
            </w:pPr>
          </w:p>
        </w:tc>
        <w:tc>
          <w:tcPr>
            <w:tcW w:w="1701" w:type="dxa"/>
            <w:vAlign w:val="center"/>
          </w:tcPr>
          <w:p w14:paraId="47629469" w14:textId="77777777" w:rsidR="00454A29" w:rsidRDefault="00454A29">
            <w:pPr>
              <w:pStyle w:val="ConsPlusNormal"/>
            </w:pPr>
          </w:p>
        </w:tc>
        <w:tc>
          <w:tcPr>
            <w:tcW w:w="1701" w:type="dxa"/>
            <w:vAlign w:val="center"/>
          </w:tcPr>
          <w:p w14:paraId="2BE46AEB" w14:textId="77777777" w:rsidR="00454A29" w:rsidRDefault="00454A29">
            <w:pPr>
              <w:pStyle w:val="ConsPlusNormal"/>
            </w:pPr>
          </w:p>
        </w:tc>
        <w:tc>
          <w:tcPr>
            <w:tcW w:w="1814" w:type="dxa"/>
            <w:vAlign w:val="center"/>
          </w:tcPr>
          <w:p w14:paraId="74E68CFD" w14:textId="77777777" w:rsidR="00454A29" w:rsidRDefault="00454A29">
            <w:pPr>
              <w:pStyle w:val="ConsPlusNormal"/>
            </w:pPr>
          </w:p>
        </w:tc>
      </w:tr>
      <w:tr w:rsidR="00454A29" w14:paraId="47136737" w14:textId="77777777">
        <w:tc>
          <w:tcPr>
            <w:tcW w:w="567" w:type="dxa"/>
            <w:vMerge/>
          </w:tcPr>
          <w:p w14:paraId="7C02AB6B" w14:textId="77777777" w:rsidR="00454A29" w:rsidRDefault="00454A29"/>
        </w:tc>
        <w:tc>
          <w:tcPr>
            <w:tcW w:w="3345" w:type="dxa"/>
            <w:vMerge/>
          </w:tcPr>
          <w:p w14:paraId="0D772AB3" w14:textId="77777777" w:rsidR="00454A29" w:rsidRDefault="00454A29"/>
        </w:tc>
        <w:tc>
          <w:tcPr>
            <w:tcW w:w="1701" w:type="dxa"/>
            <w:vAlign w:val="center"/>
          </w:tcPr>
          <w:p w14:paraId="2FADCE33" w14:textId="77777777" w:rsidR="00454A29" w:rsidRDefault="00454A29">
            <w:pPr>
              <w:pStyle w:val="ConsPlusNormal"/>
              <w:jc w:val="center"/>
            </w:pPr>
            <w:r>
              <w:t>2026</w:t>
            </w:r>
          </w:p>
        </w:tc>
        <w:tc>
          <w:tcPr>
            <w:tcW w:w="1417" w:type="dxa"/>
            <w:vMerge/>
          </w:tcPr>
          <w:p w14:paraId="39CC44B5" w14:textId="77777777" w:rsidR="00454A29" w:rsidRDefault="00454A29"/>
        </w:tc>
        <w:tc>
          <w:tcPr>
            <w:tcW w:w="2204" w:type="dxa"/>
            <w:vMerge/>
          </w:tcPr>
          <w:p w14:paraId="6C74A6D9" w14:textId="77777777" w:rsidR="00454A29" w:rsidRDefault="00454A29"/>
        </w:tc>
        <w:tc>
          <w:tcPr>
            <w:tcW w:w="1417" w:type="dxa"/>
            <w:vMerge/>
          </w:tcPr>
          <w:p w14:paraId="5231BD87" w14:textId="77777777" w:rsidR="00454A29" w:rsidRDefault="00454A29"/>
        </w:tc>
        <w:tc>
          <w:tcPr>
            <w:tcW w:w="2324" w:type="dxa"/>
            <w:vMerge/>
          </w:tcPr>
          <w:p w14:paraId="5940D70F" w14:textId="77777777" w:rsidR="00454A29" w:rsidRDefault="00454A29"/>
        </w:tc>
        <w:tc>
          <w:tcPr>
            <w:tcW w:w="1701" w:type="dxa"/>
            <w:vAlign w:val="center"/>
          </w:tcPr>
          <w:p w14:paraId="27872D52" w14:textId="77777777" w:rsidR="00454A29" w:rsidRDefault="00454A29">
            <w:pPr>
              <w:pStyle w:val="ConsPlusNormal"/>
              <w:jc w:val="center"/>
            </w:pPr>
            <w:r>
              <w:t>-</w:t>
            </w:r>
          </w:p>
        </w:tc>
        <w:tc>
          <w:tcPr>
            <w:tcW w:w="1814" w:type="dxa"/>
            <w:vAlign w:val="center"/>
          </w:tcPr>
          <w:p w14:paraId="07E27896" w14:textId="77777777" w:rsidR="00454A29" w:rsidRDefault="00454A29">
            <w:pPr>
              <w:pStyle w:val="ConsPlusNormal"/>
            </w:pPr>
          </w:p>
        </w:tc>
        <w:tc>
          <w:tcPr>
            <w:tcW w:w="1701" w:type="dxa"/>
            <w:vAlign w:val="center"/>
          </w:tcPr>
          <w:p w14:paraId="1638C526" w14:textId="77777777" w:rsidR="00454A29" w:rsidRDefault="00454A29">
            <w:pPr>
              <w:pStyle w:val="ConsPlusNormal"/>
            </w:pPr>
          </w:p>
        </w:tc>
        <w:tc>
          <w:tcPr>
            <w:tcW w:w="1701" w:type="dxa"/>
            <w:vAlign w:val="center"/>
          </w:tcPr>
          <w:p w14:paraId="1AEFEE31" w14:textId="77777777" w:rsidR="00454A29" w:rsidRDefault="00454A29">
            <w:pPr>
              <w:pStyle w:val="ConsPlusNormal"/>
            </w:pPr>
          </w:p>
        </w:tc>
        <w:tc>
          <w:tcPr>
            <w:tcW w:w="1814" w:type="dxa"/>
            <w:vAlign w:val="center"/>
          </w:tcPr>
          <w:p w14:paraId="019187CD" w14:textId="77777777" w:rsidR="00454A29" w:rsidRDefault="00454A29">
            <w:pPr>
              <w:pStyle w:val="ConsPlusNormal"/>
            </w:pPr>
          </w:p>
        </w:tc>
      </w:tr>
      <w:tr w:rsidR="00454A29" w14:paraId="0B788718" w14:textId="77777777">
        <w:tc>
          <w:tcPr>
            <w:tcW w:w="21706" w:type="dxa"/>
            <w:gridSpan w:val="12"/>
            <w:vAlign w:val="center"/>
          </w:tcPr>
          <w:p w14:paraId="4E6B751C" w14:textId="77777777" w:rsidR="00454A29" w:rsidRDefault="00454A29">
            <w:pPr>
              <w:pStyle w:val="ConsPlusNormal"/>
              <w:jc w:val="center"/>
              <w:outlineLvl w:val="2"/>
            </w:pPr>
            <w:r>
              <w:t>МР "Олекминский район"</w:t>
            </w:r>
          </w:p>
        </w:tc>
      </w:tr>
      <w:tr w:rsidR="00454A29" w14:paraId="2913DDE0" w14:textId="77777777">
        <w:tc>
          <w:tcPr>
            <w:tcW w:w="567" w:type="dxa"/>
            <w:vMerge w:val="restart"/>
            <w:vAlign w:val="center"/>
          </w:tcPr>
          <w:p w14:paraId="29E367FB" w14:textId="77777777" w:rsidR="00454A29" w:rsidRDefault="00454A29">
            <w:pPr>
              <w:pStyle w:val="ConsPlusNormal"/>
              <w:jc w:val="center"/>
            </w:pPr>
            <w:r>
              <w:t>97</w:t>
            </w:r>
          </w:p>
        </w:tc>
        <w:tc>
          <w:tcPr>
            <w:tcW w:w="3345" w:type="dxa"/>
            <w:vMerge w:val="restart"/>
            <w:vAlign w:val="center"/>
          </w:tcPr>
          <w:p w14:paraId="1418CDDF" w14:textId="77777777" w:rsidR="00454A29" w:rsidRDefault="00454A29">
            <w:pPr>
              <w:pStyle w:val="ConsPlusNormal"/>
              <w:jc w:val="center"/>
            </w:pPr>
            <w:r>
              <w:t>Школа-сад на 90/40 мест в с. Чапаево (Жедайская)</w:t>
            </w:r>
          </w:p>
        </w:tc>
        <w:tc>
          <w:tcPr>
            <w:tcW w:w="1701" w:type="dxa"/>
            <w:vAlign w:val="center"/>
          </w:tcPr>
          <w:p w14:paraId="169E94A5" w14:textId="77777777" w:rsidR="00454A29" w:rsidRDefault="00454A29">
            <w:pPr>
              <w:pStyle w:val="ConsPlusNormal"/>
              <w:jc w:val="center"/>
            </w:pPr>
            <w:r>
              <w:t>2020 - 2026 годы - всего</w:t>
            </w:r>
          </w:p>
        </w:tc>
        <w:tc>
          <w:tcPr>
            <w:tcW w:w="1417" w:type="dxa"/>
            <w:vMerge w:val="restart"/>
            <w:vAlign w:val="center"/>
          </w:tcPr>
          <w:p w14:paraId="5CB92CFF" w14:textId="77777777" w:rsidR="00454A29" w:rsidRDefault="00454A29">
            <w:pPr>
              <w:pStyle w:val="ConsPlusNormal"/>
              <w:jc w:val="center"/>
            </w:pPr>
            <w:r>
              <w:t>443 486,53</w:t>
            </w:r>
          </w:p>
        </w:tc>
        <w:tc>
          <w:tcPr>
            <w:tcW w:w="2204" w:type="dxa"/>
            <w:vMerge w:val="restart"/>
            <w:vAlign w:val="center"/>
          </w:tcPr>
          <w:p w14:paraId="47000F2C" w14:textId="77777777" w:rsidR="00454A29" w:rsidRDefault="00454A29">
            <w:pPr>
              <w:pStyle w:val="ConsPlusNormal"/>
            </w:pPr>
          </w:p>
        </w:tc>
        <w:tc>
          <w:tcPr>
            <w:tcW w:w="1417" w:type="dxa"/>
            <w:vMerge w:val="restart"/>
            <w:vAlign w:val="center"/>
          </w:tcPr>
          <w:p w14:paraId="6852F156" w14:textId="77777777" w:rsidR="00454A29" w:rsidRDefault="00454A29">
            <w:pPr>
              <w:pStyle w:val="ConsPlusNormal"/>
              <w:jc w:val="center"/>
            </w:pPr>
            <w:r>
              <w:t>90</w:t>
            </w:r>
          </w:p>
        </w:tc>
        <w:tc>
          <w:tcPr>
            <w:tcW w:w="2324" w:type="dxa"/>
            <w:vMerge w:val="restart"/>
            <w:vAlign w:val="center"/>
          </w:tcPr>
          <w:p w14:paraId="51014EB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A361149" w14:textId="77777777" w:rsidR="00454A29" w:rsidRDefault="00454A29">
            <w:pPr>
              <w:pStyle w:val="ConsPlusNormal"/>
              <w:jc w:val="center"/>
            </w:pPr>
            <w:r>
              <w:t>443 486,53</w:t>
            </w:r>
          </w:p>
        </w:tc>
        <w:tc>
          <w:tcPr>
            <w:tcW w:w="1814" w:type="dxa"/>
            <w:vAlign w:val="center"/>
          </w:tcPr>
          <w:p w14:paraId="4741DD95" w14:textId="77777777" w:rsidR="00454A29" w:rsidRDefault="00454A29">
            <w:pPr>
              <w:pStyle w:val="ConsPlusNormal"/>
              <w:jc w:val="center"/>
            </w:pPr>
            <w:r>
              <w:t>5 610,10</w:t>
            </w:r>
          </w:p>
        </w:tc>
        <w:tc>
          <w:tcPr>
            <w:tcW w:w="1701" w:type="dxa"/>
            <w:vAlign w:val="center"/>
          </w:tcPr>
          <w:p w14:paraId="44DE8295" w14:textId="77777777" w:rsidR="00454A29" w:rsidRDefault="00454A29">
            <w:pPr>
              <w:pStyle w:val="ConsPlusNormal"/>
              <w:jc w:val="center"/>
            </w:pPr>
            <w:r>
              <w:t>555 400,36</w:t>
            </w:r>
          </w:p>
        </w:tc>
        <w:tc>
          <w:tcPr>
            <w:tcW w:w="1701" w:type="dxa"/>
            <w:vAlign w:val="center"/>
          </w:tcPr>
          <w:p w14:paraId="274465B9" w14:textId="77777777" w:rsidR="00454A29" w:rsidRDefault="00454A29">
            <w:pPr>
              <w:pStyle w:val="ConsPlusNormal"/>
              <w:jc w:val="center"/>
            </w:pPr>
            <w:r>
              <w:t>-</w:t>
            </w:r>
          </w:p>
        </w:tc>
        <w:tc>
          <w:tcPr>
            <w:tcW w:w="1814" w:type="dxa"/>
            <w:vAlign w:val="center"/>
          </w:tcPr>
          <w:p w14:paraId="05FF2AA6" w14:textId="77777777" w:rsidR="00454A29" w:rsidRDefault="00454A29">
            <w:pPr>
              <w:pStyle w:val="ConsPlusNormal"/>
              <w:jc w:val="center"/>
            </w:pPr>
            <w:r>
              <w:t>-</w:t>
            </w:r>
          </w:p>
        </w:tc>
      </w:tr>
      <w:tr w:rsidR="00454A29" w14:paraId="5F883FDC" w14:textId="77777777">
        <w:tc>
          <w:tcPr>
            <w:tcW w:w="567" w:type="dxa"/>
            <w:vMerge/>
          </w:tcPr>
          <w:p w14:paraId="7A339D5C" w14:textId="77777777" w:rsidR="00454A29" w:rsidRDefault="00454A29"/>
        </w:tc>
        <w:tc>
          <w:tcPr>
            <w:tcW w:w="3345" w:type="dxa"/>
            <w:vMerge/>
          </w:tcPr>
          <w:p w14:paraId="2928BB19" w14:textId="77777777" w:rsidR="00454A29" w:rsidRDefault="00454A29"/>
        </w:tc>
        <w:tc>
          <w:tcPr>
            <w:tcW w:w="1701" w:type="dxa"/>
            <w:vAlign w:val="center"/>
          </w:tcPr>
          <w:p w14:paraId="1A9E7E7C" w14:textId="77777777" w:rsidR="00454A29" w:rsidRDefault="00454A29">
            <w:pPr>
              <w:pStyle w:val="ConsPlusNormal"/>
              <w:jc w:val="center"/>
            </w:pPr>
            <w:r>
              <w:t>2020</w:t>
            </w:r>
          </w:p>
        </w:tc>
        <w:tc>
          <w:tcPr>
            <w:tcW w:w="1417" w:type="dxa"/>
            <w:vMerge/>
          </w:tcPr>
          <w:p w14:paraId="4D670AB3" w14:textId="77777777" w:rsidR="00454A29" w:rsidRDefault="00454A29"/>
        </w:tc>
        <w:tc>
          <w:tcPr>
            <w:tcW w:w="2204" w:type="dxa"/>
            <w:vMerge/>
          </w:tcPr>
          <w:p w14:paraId="051262F3" w14:textId="77777777" w:rsidR="00454A29" w:rsidRDefault="00454A29"/>
        </w:tc>
        <w:tc>
          <w:tcPr>
            <w:tcW w:w="1417" w:type="dxa"/>
            <w:vMerge/>
          </w:tcPr>
          <w:p w14:paraId="2D6AC9AA" w14:textId="77777777" w:rsidR="00454A29" w:rsidRDefault="00454A29"/>
        </w:tc>
        <w:tc>
          <w:tcPr>
            <w:tcW w:w="2324" w:type="dxa"/>
            <w:vMerge/>
          </w:tcPr>
          <w:p w14:paraId="74C739E0" w14:textId="77777777" w:rsidR="00454A29" w:rsidRDefault="00454A29"/>
        </w:tc>
        <w:tc>
          <w:tcPr>
            <w:tcW w:w="1701" w:type="dxa"/>
            <w:vAlign w:val="center"/>
          </w:tcPr>
          <w:p w14:paraId="1A042C48" w14:textId="77777777" w:rsidR="00454A29" w:rsidRDefault="00454A29">
            <w:pPr>
              <w:pStyle w:val="ConsPlusNormal"/>
            </w:pPr>
          </w:p>
        </w:tc>
        <w:tc>
          <w:tcPr>
            <w:tcW w:w="1814" w:type="dxa"/>
            <w:vAlign w:val="center"/>
          </w:tcPr>
          <w:p w14:paraId="2D237AD5" w14:textId="77777777" w:rsidR="00454A29" w:rsidRDefault="00454A29">
            <w:pPr>
              <w:pStyle w:val="ConsPlusNormal"/>
            </w:pPr>
          </w:p>
        </w:tc>
        <w:tc>
          <w:tcPr>
            <w:tcW w:w="1701" w:type="dxa"/>
            <w:vAlign w:val="center"/>
          </w:tcPr>
          <w:p w14:paraId="452C0B74" w14:textId="77777777" w:rsidR="00454A29" w:rsidRDefault="00454A29">
            <w:pPr>
              <w:pStyle w:val="ConsPlusNormal"/>
            </w:pPr>
          </w:p>
        </w:tc>
        <w:tc>
          <w:tcPr>
            <w:tcW w:w="1701" w:type="dxa"/>
            <w:vAlign w:val="center"/>
          </w:tcPr>
          <w:p w14:paraId="45C04552" w14:textId="77777777" w:rsidR="00454A29" w:rsidRDefault="00454A29">
            <w:pPr>
              <w:pStyle w:val="ConsPlusNormal"/>
            </w:pPr>
          </w:p>
        </w:tc>
        <w:tc>
          <w:tcPr>
            <w:tcW w:w="1814" w:type="dxa"/>
            <w:vAlign w:val="center"/>
          </w:tcPr>
          <w:p w14:paraId="7C302F01" w14:textId="77777777" w:rsidR="00454A29" w:rsidRDefault="00454A29">
            <w:pPr>
              <w:pStyle w:val="ConsPlusNormal"/>
            </w:pPr>
          </w:p>
        </w:tc>
      </w:tr>
      <w:tr w:rsidR="00454A29" w14:paraId="567FB673" w14:textId="77777777">
        <w:tc>
          <w:tcPr>
            <w:tcW w:w="567" w:type="dxa"/>
            <w:vMerge/>
          </w:tcPr>
          <w:p w14:paraId="0906B690" w14:textId="77777777" w:rsidR="00454A29" w:rsidRDefault="00454A29"/>
        </w:tc>
        <w:tc>
          <w:tcPr>
            <w:tcW w:w="3345" w:type="dxa"/>
            <w:vMerge/>
          </w:tcPr>
          <w:p w14:paraId="61966B68" w14:textId="77777777" w:rsidR="00454A29" w:rsidRDefault="00454A29"/>
        </w:tc>
        <w:tc>
          <w:tcPr>
            <w:tcW w:w="1701" w:type="dxa"/>
            <w:vAlign w:val="center"/>
          </w:tcPr>
          <w:p w14:paraId="62A35E5A" w14:textId="77777777" w:rsidR="00454A29" w:rsidRDefault="00454A29">
            <w:pPr>
              <w:pStyle w:val="ConsPlusNormal"/>
              <w:jc w:val="center"/>
            </w:pPr>
            <w:r>
              <w:t>2021</w:t>
            </w:r>
          </w:p>
        </w:tc>
        <w:tc>
          <w:tcPr>
            <w:tcW w:w="1417" w:type="dxa"/>
            <w:vMerge/>
          </w:tcPr>
          <w:p w14:paraId="3067A047" w14:textId="77777777" w:rsidR="00454A29" w:rsidRDefault="00454A29"/>
        </w:tc>
        <w:tc>
          <w:tcPr>
            <w:tcW w:w="2204" w:type="dxa"/>
            <w:vMerge/>
          </w:tcPr>
          <w:p w14:paraId="127C87C2" w14:textId="77777777" w:rsidR="00454A29" w:rsidRDefault="00454A29"/>
        </w:tc>
        <w:tc>
          <w:tcPr>
            <w:tcW w:w="1417" w:type="dxa"/>
            <w:vMerge/>
          </w:tcPr>
          <w:p w14:paraId="4E70C749" w14:textId="77777777" w:rsidR="00454A29" w:rsidRDefault="00454A29"/>
        </w:tc>
        <w:tc>
          <w:tcPr>
            <w:tcW w:w="2324" w:type="dxa"/>
            <w:vMerge/>
          </w:tcPr>
          <w:p w14:paraId="579A22FF" w14:textId="77777777" w:rsidR="00454A29" w:rsidRDefault="00454A29"/>
        </w:tc>
        <w:tc>
          <w:tcPr>
            <w:tcW w:w="1701" w:type="dxa"/>
            <w:vAlign w:val="center"/>
          </w:tcPr>
          <w:p w14:paraId="4F3D648E" w14:textId="77777777" w:rsidR="00454A29" w:rsidRDefault="00454A29">
            <w:pPr>
              <w:pStyle w:val="ConsPlusNormal"/>
              <w:jc w:val="center"/>
            </w:pPr>
            <w:r>
              <w:t>-</w:t>
            </w:r>
          </w:p>
        </w:tc>
        <w:tc>
          <w:tcPr>
            <w:tcW w:w="1814" w:type="dxa"/>
            <w:vAlign w:val="center"/>
          </w:tcPr>
          <w:p w14:paraId="01478637" w14:textId="77777777" w:rsidR="00454A29" w:rsidRDefault="00454A29">
            <w:pPr>
              <w:pStyle w:val="ConsPlusNormal"/>
            </w:pPr>
          </w:p>
        </w:tc>
        <w:tc>
          <w:tcPr>
            <w:tcW w:w="1701" w:type="dxa"/>
            <w:vAlign w:val="center"/>
          </w:tcPr>
          <w:p w14:paraId="2FF48B4D" w14:textId="77777777" w:rsidR="00454A29" w:rsidRDefault="00454A29">
            <w:pPr>
              <w:pStyle w:val="ConsPlusNormal"/>
            </w:pPr>
          </w:p>
        </w:tc>
        <w:tc>
          <w:tcPr>
            <w:tcW w:w="1701" w:type="dxa"/>
            <w:vAlign w:val="center"/>
          </w:tcPr>
          <w:p w14:paraId="5390DFF7" w14:textId="77777777" w:rsidR="00454A29" w:rsidRDefault="00454A29">
            <w:pPr>
              <w:pStyle w:val="ConsPlusNormal"/>
            </w:pPr>
          </w:p>
        </w:tc>
        <w:tc>
          <w:tcPr>
            <w:tcW w:w="1814" w:type="dxa"/>
            <w:vAlign w:val="center"/>
          </w:tcPr>
          <w:p w14:paraId="77ECE7A6" w14:textId="77777777" w:rsidR="00454A29" w:rsidRDefault="00454A29">
            <w:pPr>
              <w:pStyle w:val="ConsPlusNormal"/>
            </w:pPr>
          </w:p>
        </w:tc>
      </w:tr>
      <w:tr w:rsidR="00454A29" w14:paraId="13C38BAA" w14:textId="77777777">
        <w:tc>
          <w:tcPr>
            <w:tcW w:w="567" w:type="dxa"/>
            <w:vMerge/>
          </w:tcPr>
          <w:p w14:paraId="7C875063" w14:textId="77777777" w:rsidR="00454A29" w:rsidRDefault="00454A29"/>
        </w:tc>
        <w:tc>
          <w:tcPr>
            <w:tcW w:w="3345" w:type="dxa"/>
            <w:vMerge/>
          </w:tcPr>
          <w:p w14:paraId="6E23D468" w14:textId="77777777" w:rsidR="00454A29" w:rsidRDefault="00454A29"/>
        </w:tc>
        <w:tc>
          <w:tcPr>
            <w:tcW w:w="1701" w:type="dxa"/>
            <w:vAlign w:val="center"/>
          </w:tcPr>
          <w:p w14:paraId="6F989017" w14:textId="77777777" w:rsidR="00454A29" w:rsidRDefault="00454A29">
            <w:pPr>
              <w:pStyle w:val="ConsPlusNormal"/>
              <w:jc w:val="center"/>
            </w:pPr>
            <w:r>
              <w:t>2022</w:t>
            </w:r>
          </w:p>
        </w:tc>
        <w:tc>
          <w:tcPr>
            <w:tcW w:w="1417" w:type="dxa"/>
            <w:vMerge/>
          </w:tcPr>
          <w:p w14:paraId="4ADCBB5D" w14:textId="77777777" w:rsidR="00454A29" w:rsidRDefault="00454A29"/>
        </w:tc>
        <w:tc>
          <w:tcPr>
            <w:tcW w:w="2204" w:type="dxa"/>
            <w:vMerge/>
          </w:tcPr>
          <w:p w14:paraId="110CC61D" w14:textId="77777777" w:rsidR="00454A29" w:rsidRDefault="00454A29"/>
        </w:tc>
        <w:tc>
          <w:tcPr>
            <w:tcW w:w="1417" w:type="dxa"/>
            <w:vMerge/>
          </w:tcPr>
          <w:p w14:paraId="32190C85" w14:textId="77777777" w:rsidR="00454A29" w:rsidRDefault="00454A29"/>
        </w:tc>
        <w:tc>
          <w:tcPr>
            <w:tcW w:w="2324" w:type="dxa"/>
            <w:vMerge/>
          </w:tcPr>
          <w:p w14:paraId="060216D2" w14:textId="77777777" w:rsidR="00454A29" w:rsidRDefault="00454A29"/>
        </w:tc>
        <w:tc>
          <w:tcPr>
            <w:tcW w:w="1701" w:type="dxa"/>
            <w:vAlign w:val="center"/>
          </w:tcPr>
          <w:p w14:paraId="19323B3A" w14:textId="77777777" w:rsidR="00454A29" w:rsidRDefault="00454A29">
            <w:pPr>
              <w:pStyle w:val="ConsPlusNormal"/>
            </w:pPr>
          </w:p>
        </w:tc>
        <w:tc>
          <w:tcPr>
            <w:tcW w:w="1814" w:type="dxa"/>
            <w:vAlign w:val="center"/>
          </w:tcPr>
          <w:p w14:paraId="3716D7BE" w14:textId="77777777" w:rsidR="00454A29" w:rsidRDefault="00454A29">
            <w:pPr>
              <w:pStyle w:val="ConsPlusNormal"/>
            </w:pPr>
          </w:p>
        </w:tc>
        <w:tc>
          <w:tcPr>
            <w:tcW w:w="1701" w:type="dxa"/>
            <w:vAlign w:val="center"/>
          </w:tcPr>
          <w:p w14:paraId="025F6C4B" w14:textId="77777777" w:rsidR="00454A29" w:rsidRDefault="00454A29">
            <w:pPr>
              <w:pStyle w:val="ConsPlusNormal"/>
            </w:pPr>
          </w:p>
        </w:tc>
        <w:tc>
          <w:tcPr>
            <w:tcW w:w="1701" w:type="dxa"/>
            <w:vAlign w:val="center"/>
          </w:tcPr>
          <w:p w14:paraId="21CA2BAD" w14:textId="77777777" w:rsidR="00454A29" w:rsidRDefault="00454A29">
            <w:pPr>
              <w:pStyle w:val="ConsPlusNormal"/>
            </w:pPr>
          </w:p>
        </w:tc>
        <w:tc>
          <w:tcPr>
            <w:tcW w:w="1814" w:type="dxa"/>
            <w:vAlign w:val="center"/>
          </w:tcPr>
          <w:p w14:paraId="63FA48B1" w14:textId="77777777" w:rsidR="00454A29" w:rsidRDefault="00454A29">
            <w:pPr>
              <w:pStyle w:val="ConsPlusNormal"/>
            </w:pPr>
          </w:p>
        </w:tc>
      </w:tr>
      <w:tr w:rsidR="00454A29" w14:paraId="07F4A604" w14:textId="77777777">
        <w:tc>
          <w:tcPr>
            <w:tcW w:w="567" w:type="dxa"/>
            <w:vMerge/>
          </w:tcPr>
          <w:p w14:paraId="4FD1B8AC" w14:textId="77777777" w:rsidR="00454A29" w:rsidRDefault="00454A29"/>
        </w:tc>
        <w:tc>
          <w:tcPr>
            <w:tcW w:w="3345" w:type="dxa"/>
            <w:vMerge/>
          </w:tcPr>
          <w:p w14:paraId="3BA67600" w14:textId="77777777" w:rsidR="00454A29" w:rsidRDefault="00454A29"/>
        </w:tc>
        <w:tc>
          <w:tcPr>
            <w:tcW w:w="1701" w:type="dxa"/>
            <w:vAlign w:val="center"/>
          </w:tcPr>
          <w:p w14:paraId="7C09BDD4" w14:textId="77777777" w:rsidR="00454A29" w:rsidRDefault="00454A29">
            <w:pPr>
              <w:pStyle w:val="ConsPlusNormal"/>
              <w:jc w:val="center"/>
            </w:pPr>
            <w:r>
              <w:t>2023</w:t>
            </w:r>
          </w:p>
        </w:tc>
        <w:tc>
          <w:tcPr>
            <w:tcW w:w="1417" w:type="dxa"/>
            <w:vMerge/>
          </w:tcPr>
          <w:p w14:paraId="1CC47A6F" w14:textId="77777777" w:rsidR="00454A29" w:rsidRDefault="00454A29"/>
        </w:tc>
        <w:tc>
          <w:tcPr>
            <w:tcW w:w="2204" w:type="dxa"/>
            <w:vMerge/>
          </w:tcPr>
          <w:p w14:paraId="3899B716" w14:textId="77777777" w:rsidR="00454A29" w:rsidRDefault="00454A29"/>
        </w:tc>
        <w:tc>
          <w:tcPr>
            <w:tcW w:w="1417" w:type="dxa"/>
            <w:vMerge/>
          </w:tcPr>
          <w:p w14:paraId="7C119AC2" w14:textId="77777777" w:rsidR="00454A29" w:rsidRDefault="00454A29"/>
        </w:tc>
        <w:tc>
          <w:tcPr>
            <w:tcW w:w="2324" w:type="dxa"/>
            <w:vMerge/>
          </w:tcPr>
          <w:p w14:paraId="4A6B0787" w14:textId="77777777" w:rsidR="00454A29" w:rsidRDefault="00454A29"/>
        </w:tc>
        <w:tc>
          <w:tcPr>
            <w:tcW w:w="1701" w:type="dxa"/>
            <w:vAlign w:val="center"/>
          </w:tcPr>
          <w:p w14:paraId="070C940C" w14:textId="77777777" w:rsidR="00454A29" w:rsidRDefault="00454A29">
            <w:pPr>
              <w:pStyle w:val="ConsPlusNormal"/>
            </w:pPr>
          </w:p>
        </w:tc>
        <w:tc>
          <w:tcPr>
            <w:tcW w:w="1814" w:type="dxa"/>
            <w:vAlign w:val="center"/>
          </w:tcPr>
          <w:p w14:paraId="08984736" w14:textId="77777777" w:rsidR="00454A29" w:rsidRDefault="00454A29">
            <w:pPr>
              <w:pStyle w:val="ConsPlusNormal"/>
            </w:pPr>
          </w:p>
        </w:tc>
        <w:tc>
          <w:tcPr>
            <w:tcW w:w="1701" w:type="dxa"/>
            <w:vAlign w:val="center"/>
          </w:tcPr>
          <w:p w14:paraId="54F09498" w14:textId="77777777" w:rsidR="00454A29" w:rsidRDefault="00454A29">
            <w:pPr>
              <w:pStyle w:val="ConsPlusNormal"/>
            </w:pPr>
          </w:p>
        </w:tc>
        <w:tc>
          <w:tcPr>
            <w:tcW w:w="1701" w:type="dxa"/>
            <w:vAlign w:val="center"/>
          </w:tcPr>
          <w:p w14:paraId="2C816AFB" w14:textId="77777777" w:rsidR="00454A29" w:rsidRDefault="00454A29">
            <w:pPr>
              <w:pStyle w:val="ConsPlusNormal"/>
            </w:pPr>
          </w:p>
        </w:tc>
        <w:tc>
          <w:tcPr>
            <w:tcW w:w="1814" w:type="dxa"/>
            <w:vAlign w:val="center"/>
          </w:tcPr>
          <w:p w14:paraId="7BF1D7E7" w14:textId="77777777" w:rsidR="00454A29" w:rsidRDefault="00454A29">
            <w:pPr>
              <w:pStyle w:val="ConsPlusNormal"/>
            </w:pPr>
          </w:p>
        </w:tc>
      </w:tr>
      <w:tr w:rsidR="00454A29" w14:paraId="65D52A02" w14:textId="77777777">
        <w:tc>
          <w:tcPr>
            <w:tcW w:w="567" w:type="dxa"/>
            <w:vMerge/>
          </w:tcPr>
          <w:p w14:paraId="4F91ACE9" w14:textId="77777777" w:rsidR="00454A29" w:rsidRDefault="00454A29"/>
        </w:tc>
        <w:tc>
          <w:tcPr>
            <w:tcW w:w="3345" w:type="dxa"/>
            <w:vMerge/>
          </w:tcPr>
          <w:p w14:paraId="22A34F19" w14:textId="77777777" w:rsidR="00454A29" w:rsidRDefault="00454A29"/>
        </w:tc>
        <w:tc>
          <w:tcPr>
            <w:tcW w:w="1701" w:type="dxa"/>
            <w:vAlign w:val="center"/>
          </w:tcPr>
          <w:p w14:paraId="6E1E2D7F" w14:textId="77777777" w:rsidR="00454A29" w:rsidRDefault="00454A29">
            <w:pPr>
              <w:pStyle w:val="ConsPlusNormal"/>
              <w:jc w:val="center"/>
            </w:pPr>
            <w:r>
              <w:t>2024</w:t>
            </w:r>
          </w:p>
        </w:tc>
        <w:tc>
          <w:tcPr>
            <w:tcW w:w="1417" w:type="dxa"/>
            <w:vMerge/>
          </w:tcPr>
          <w:p w14:paraId="16C462EA" w14:textId="77777777" w:rsidR="00454A29" w:rsidRDefault="00454A29"/>
        </w:tc>
        <w:tc>
          <w:tcPr>
            <w:tcW w:w="2204" w:type="dxa"/>
            <w:vMerge/>
          </w:tcPr>
          <w:p w14:paraId="07137591" w14:textId="77777777" w:rsidR="00454A29" w:rsidRDefault="00454A29"/>
        </w:tc>
        <w:tc>
          <w:tcPr>
            <w:tcW w:w="1417" w:type="dxa"/>
            <w:vMerge/>
          </w:tcPr>
          <w:p w14:paraId="1091E4E4" w14:textId="77777777" w:rsidR="00454A29" w:rsidRDefault="00454A29"/>
        </w:tc>
        <w:tc>
          <w:tcPr>
            <w:tcW w:w="2324" w:type="dxa"/>
            <w:vMerge/>
          </w:tcPr>
          <w:p w14:paraId="4806AE8F" w14:textId="77777777" w:rsidR="00454A29" w:rsidRDefault="00454A29"/>
        </w:tc>
        <w:tc>
          <w:tcPr>
            <w:tcW w:w="1701" w:type="dxa"/>
            <w:vAlign w:val="center"/>
          </w:tcPr>
          <w:p w14:paraId="43637279" w14:textId="77777777" w:rsidR="00454A29" w:rsidRDefault="00454A29">
            <w:pPr>
              <w:pStyle w:val="ConsPlusNormal"/>
            </w:pPr>
          </w:p>
        </w:tc>
        <w:tc>
          <w:tcPr>
            <w:tcW w:w="1814" w:type="dxa"/>
            <w:vAlign w:val="center"/>
          </w:tcPr>
          <w:p w14:paraId="592B7395" w14:textId="77777777" w:rsidR="00454A29" w:rsidRDefault="00454A29">
            <w:pPr>
              <w:pStyle w:val="ConsPlusNormal"/>
            </w:pPr>
          </w:p>
        </w:tc>
        <w:tc>
          <w:tcPr>
            <w:tcW w:w="1701" w:type="dxa"/>
            <w:vAlign w:val="center"/>
          </w:tcPr>
          <w:p w14:paraId="72FDFCFC" w14:textId="77777777" w:rsidR="00454A29" w:rsidRDefault="00454A29">
            <w:pPr>
              <w:pStyle w:val="ConsPlusNormal"/>
            </w:pPr>
          </w:p>
        </w:tc>
        <w:tc>
          <w:tcPr>
            <w:tcW w:w="1701" w:type="dxa"/>
            <w:vAlign w:val="center"/>
          </w:tcPr>
          <w:p w14:paraId="14DF31EE" w14:textId="77777777" w:rsidR="00454A29" w:rsidRDefault="00454A29">
            <w:pPr>
              <w:pStyle w:val="ConsPlusNormal"/>
            </w:pPr>
          </w:p>
        </w:tc>
        <w:tc>
          <w:tcPr>
            <w:tcW w:w="1814" w:type="dxa"/>
            <w:vAlign w:val="center"/>
          </w:tcPr>
          <w:p w14:paraId="518B3DF8" w14:textId="77777777" w:rsidR="00454A29" w:rsidRDefault="00454A29">
            <w:pPr>
              <w:pStyle w:val="ConsPlusNormal"/>
            </w:pPr>
          </w:p>
        </w:tc>
      </w:tr>
      <w:tr w:rsidR="00454A29" w14:paraId="377B4FB4" w14:textId="77777777">
        <w:tc>
          <w:tcPr>
            <w:tcW w:w="567" w:type="dxa"/>
            <w:vMerge/>
          </w:tcPr>
          <w:p w14:paraId="3DB9838A" w14:textId="77777777" w:rsidR="00454A29" w:rsidRDefault="00454A29"/>
        </w:tc>
        <w:tc>
          <w:tcPr>
            <w:tcW w:w="3345" w:type="dxa"/>
            <w:vMerge/>
          </w:tcPr>
          <w:p w14:paraId="10F825CB" w14:textId="77777777" w:rsidR="00454A29" w:rsidRDefault="00454A29"/>
        </w:tc>
        <w:tc>
          <w:tcPr>
            <w:tcW w:w="1701" w:type="dxa"/>
            <w:vAlign w:val="center"/>
          </w:tcPr>
          <w:p w14:paraId="1ACE9C5D" w14:textId="77777777" w:rsidR="00454A29" w:rsidRDefault="00454A29">
            <w:pPr>
              <w:pStyle w:val="ConsPlusNormal"/>
              <w:jc w:val="center"/>
            </w:pPr>
            <w:r>
              <w:t>2025</w:t>
            </w:r>
          </w:p>
        </w:tc>
        <w:tc>
          <w:tcPr>
            <w:tcW w:w="1417" w:type="dxa"/>
            <w:vMerge/>
          </w:tcPr>
          <w:p w14:paraId="0351576F" w14:textId="77777777" w:rsidR="00454A29" w:rsidRDefault="00454A29"/>
        </w:tc>
        <w:tc>
          <w:tcPr>
            <w:tcW w:w="2204" w:type="dxa"/>
            <w:vMerge/>
          </w:tcPr>
          <w:p w14:paraId="6293E0EA" w14:textId="77777777" w:rsidR="00454A29" w:rsidRDefault="00454A29"/>
        </w:tc>
        <w:tc>
          <w:tcPr>
            <w:tcW w:w="1417" w:type="dxa"/>
            <w:vMerge/>
          </w:tcPr>
          <w:p w14:paraId="5E285590" w14:textId="77777777" w:rsidR="00454A29" w:rsidRDefault="00454A29"/>
        </w:tc>
        <w:tc>
          <w:tcPr>
            <w:tcW w:w="2324" w:type="dxa"/>
            <w:vMerge/>
          </w:tcPr>
          <w:p w14:paraId="4C675D03" w14:textId="77777777" w:rsidR="00454A29" w:rsidRDefault="00454A29"/>
        </w:tc>
        <w:tc>
          <w:tcPr>
            <w:tcW w:w="1701" w:type="dxa"/>
            <w:vAlign w:val="center"/>
          </w:tcPr>
          <w:p w14:paraId="346824EA" w14:textId="77777777" w:rsidR="00454A29" w:rsidRDefault="00454A29">
            <w:pPr>
              <w:pStyle w:val="ConsPlusNormal"/>
              <w:jc w:val="center"/>
            </w:pPr>
            <w:r>
              <w:t>443 486,53</w:t>
            </w:r>
          </w:p>
        </w:tc>
        <w:tc>
          <w:tcPr>
            <w:tcW w:w="1814" w:type="dxa"/>
            <w:vAlign w:val="center"/>
          </w:tcPr>
          <w:p w14:paraId="1A5D0345" w14:textId="77777777" w:rsidR="00454A29" w:rsidRDefault="00454A29">
            <w:pPr>
              <w:pStyle w:val="ConsPlusNormal"/>
              <w:jc w:val="center"/>
            </w:pPr>
            <w:r>
              <w:t>5 610,10</w:t>
            </w:r>
          </w:p>
        </w:tc>
        <w:tc>
          <w:tcPr>
            <w:tcW w:w="1701" w:type="dxa"/>
            <w:vAlign w:val="center"/>
          </w:tcPr>
          <w:p w14:paraId="7D5334DF" w14:textId="77777777" w:rsidR="00454A29" w:rsidRDefault="00454A29">
            <w:pPr>
              <w:pStyle w:val="ConsPlusNormal"/>
              <w:jc w:val="center"/>
            </w:pPr>
            <w:r>
              <w:t>555 400,36</w:t>
            </w:r>
          </w:p>
        </w:tc>
        <w:tc>
          <w:tcPr>
            <w:tcW w:w="1701" w:type="dxa"/>
            <w:vAlign w:val="center"/>
          </w:tcPr>
          <w:p w14:paraId="7C2041CC" w14:textId="77777777" w:rsidR="00454A29" w:rsidRDefault="00454A29">
            <w:pPr>
              <w:pStyle w:val="ConsPlusNormal"/>
            </w:pPr>
          </w:p>
        </w:tc>
        <w:tc>
          <w:tcPr>
            <w:tcW w:w="1814" w:type="dxa"/>
            <w:vAlign w:val="center"/>
          </w:tcPr>
          <w:p w14:paraId="7C8939CC" w14:textId="77777777" w:rsidR="00454A29" w:rsidRDefault="00454A29">
            <w:pPr>
              <w:pStyle w:val="ConsPlusNormal"/>
            </w:pPr>
          </w:p>
        </w:tc>
      </w:tr>
      <w:tr w:rsidR="00454A29" w14:paraId="75E2CBD8" w14:textId="77777777">
        <w:tc>
          <w:tcPr>
            <w:tcW w:w="567" w:type="dxa"/>
            <w:vMerge/>
          </w:tcPr>
          <w:p w14:paraId="10AD8B54" w14:textId="77777777" w:rsidR="00454A29" w:rsidRDefault="00454A29"/>
        </w:tc>
        <w:tc>
          <w:tcPr>
            <w:tcW w:w="3345" w:type="dxa"/>
            <w:vMerge/>
          </w:tcPr>
          <w:p w14:paraId="6CC6CE4F" w14:textId="77777777" w:rsidR="00454A29" w:rsidRDefault="00454A29"/>
        </w:tc>
        <w:tc>
          <w:tcPr>
            <w:tcW w:w="1701" w:type="dxa"/>
            <w:vAlign w:val="center"/>
          </w:tcPr>
          <w:p w14:paraId="21E5A0C4" w14:textId="77777777" w:rsidR="00454A29" w:rsidRDefault="00454A29">
            <w:pPr>
              <w:pStyle w:val="ConsPlusNormal"/>
              <w:jc w:val="center"/>
            </w:pPr>
            <w:r>
              <w:t>2026</w:t>
            </w:r>
          </w:p>
        </w:tc>
        <w:tc>
          <w:tcPr>
            <w:tcW w:w="1417" w:type="dxa"/>
            <w:vMerge/>
          </w:tcPr>
          <w:p w14:paraId="0155409F" w14:textId="77777777" w:rsidR="00454A29" w:rsidRDefault="00454A29"/>
        </w:tc>
        <w:tc>
          <w:tcPr>
            <w:tcW w:w="2204" w:type="dxa"/>
            <w:vMerge/>
          </w:tcPr>
          <w:p w14:paraId="3E9CB6D4" w14:textId="77777777" w:rsidR="00454A29" w:rsidRDefault="00454A29"/>
        </w:tc>
        <w:tc>
          <w:tcPr>
            <w:tcW w:w="1417" w:type="dxa"/>
            <w:vMerge/>
          </w:tcPr>
          <w:p w14:paraId="1D1EBD28" w14:textId="77777777" w:rsidR="00454A29" w:rsidRDefault="00454A29"/>
        </w:tc>
        <w:tc>
          <w:tcPr>
            <w:tcW w:w="2324" w:type="dxa"/>
            <w:vMerge/>
          </w:tcPr>
          <w:p w14:paraId="3F4B7A2D" w14:textId="77777777" w:rsidR="00454A29" w:rsidRDefault="00454A29"/>
        </w:tc>
        <w:tc>
          <w:tcPr>
            <w:tcW w:w="1701" w:type="dxa"/>
            <w:vAlign w:val="center"/>
          </w:tcPr>
          <w:p w14:paraId="4D9AF799" w14:textId="77777777" w:rsidR="00454A29" w:rsidRDefault="00454A29">
            <w:pPr>
              <w:pStyle w:val="ConsPlusNormal"/>
            </w:pPr>
          </w:p>
        </w:tc>
        <w:tc>
          <w:tcPr>
            <w:tcW w:w="1814" w:type="dxa"/>
            <w:vAlign w:val="center"/>
          </w:tcPr>
          <w:p w14:paraId="4D198DF6" w14:textId="77777777" w:rsidR="00454A29" w:rsidRDefault="00454A29">
            <w:pPr>
              <w:pStyle w:val="ConsPlusNormal"/>
            </w:pPr>
          </w:p>
        </w:tc>
        <w:tc>
          <w:tcPr>
            <w:tcW w:w="1701" w:type="dxa"/>
            <w:vAlign w:val="center"/>
          </w:tcPr>
          <w:p w14:paraId="6867E6FD" w14:textId="77777777" w:rsidR="00454A29" w:rsidRDefault="00454A29">
            <w:pPr>
              <w:pStyle w:val="ConsPlusNormal"/>
            </w:pPr>
          </w:p>
        </w:tc>
        <w:tc>
          <w:tcPr>
            <w:tcW w:w="1701" w:type="dxa"/>
            <w:vAlign w:val="center"/>
          </w:tcPr>
          <w:p w14:paraId="751562D4" w14:textId="77777777" w:rsidR="00454A29" w:rsidRDefault="00454A29">
            <w:pPr>
              <w:pStyle w:val="ConsPlusNormal"/>
            </w:pPr>
          </w:p>
        </w:tc>
        <w:tc>
          <w:tcPr>
            <w:tcW w:w="1814" w:type="dxa"/>
            <w:vAlign w:val="center"/>
          </w:tcPr>
          <w:p w14:paraId="507D66EF" w14:textId="77777777" w:rsidR="00454A29" w:rsidRDefault="00454A29">
            <w:pPr>
              <w:pStyle w:val="ConsPlusNormal"/>
            </w:pPr>
          </w:p>
        </w:tc>
      </w:tr>
      <w:tr w:rsidR="00454A29" w14:paraId="1541F0DE" w14:textId="77777777">
        <w:tc>
          <w:tcPr>
            <w:tcW w:w="567" w:type="dxa"/>
            <w:vMerge w:val="restart"/>
            <w:vAlign w:val="center"/>
          </w:tcPr>
          <w:p w14:paraId="18B30253" w14:textId="77777777" w:rsidR="00454A29" w:rsidRDefault="00454A29">
            <w:pPr>
              <w:pStyle w:val="ConsPlusNormal"/>
              <w:jc w:val="center"/>
            </w:pPr>
            <w:r>
              <w:t>98</w:t>
            </w:r>
          </w:p>
        </w:tc>
        <w:tc>
          <w:tcPr>
            <w:tcW w:w="3345" w:type="dxa"/>
            <w:vMerge w:val="restart"/>
            <w:vAlign w:val="center"/>
          </w:tcPr>
          <w:p w14:paraId="266CF083" w14:textId="77777777" w:rsidR="00454A29" w:rsidRDefault="00454A29">
            <w:pPr>
              <w:pStyle w:val="ConsPlusNormal"/>
              <w:jc w:val="center"/>
            </w:pPr>
            <w:r>
              <w:t>Школа-сад на 80/25 мест в п. Заречный</w:t>
            </w:r>
          </w:p>
        </w:tc>
        <w:tc>
          <w:tcPr>
            <w:tcW w:w="1701" w:type="dxa"/>
            <w:vAlign w:val="center"/>
          </w:tcPr>
          <w:p w14:paraId="3C539A92" w14:textId="77777777" w:rsidR="00454A29" w:rsidRDefault="00454A29">
            <w:pPr>
              <w:pStyle w:val="ConsPlusNormal"/>
              <w:jc w:val="center"/>
            </w:pPr>
            <w:r>
              <w:t>2020 - 2026 годы - всего</w:t>
            </w:r>
          </w:p>
        </w:tc>
        <w:tc>
          <w:tcPr>
            <w:tcW w:w="1417" w:type="dxa"/>
            <w:vMerge w:val="restart"/>
            <w:vAlign w:val="center"/>
          </w:tcPr>
          <w:p w14:paraId="6E5DA9BB" w14:textId="77777777" w:rsidR="00454A29" w:rsidRDefault="00454A29">
            <w:pPr>
              <w:pStyle w:val="ConsPlusNormal"/>
              <w:jc w:val="center"/>
            </w:pPr>
            <w:r>
              <w:t>381 546,57</w:t>
            </w:r>
          </w:p>
        </w:tc>
        <w:tc>
          <w:tcPr>
            <w:tcW w:w="2204" w:type="dxa"/>
            <w:vMerge w:val="restart"/>
            <w:vAlign w:val="center"/>
          </w:tcPr>
          <w:p w14:paraId="1A454AD8" w14:textId="77777777" w:rsidR="00454A29" w:rsidRDefault="00454A29">
            <w:pPr>
              <w:pStyle w:val="ConsPlusNormal"/>
            </w:pPr>
          </w:p>
        </w:tc>
        <w:tc>
          <w:tcPr>
            <w:tcW w:w="1417" w:type="dxa"/>
            <w:vMerge w:val="restart"/>
            <w:vAlign w:val="center"/>
          </w:tcPr>
          <w:p w14:paraId="6F550720" w14:textId="77777777" w:rsidR="00454A29" w:rsidRDefault="00454A29">
            <w:pPr>
              <w:pStyle w:val="ConsPlusNormal"/>
              <w:jc w:val="center"/>
            </w:pPr>
            <w:r>
              <w:t>80</w:t>
            </w:r>
          </w:p>
        </w:tc>
        <w:tc>
          <w:tcPr>
            <w:tcW w:w="2324" w:type="dxa"/>
            <w:vMerge w:val="restart"/>
            <w:vAlign w:val="center"/>
          </w:tcPr>
          <w:p w14:paraId="2BFF3B7B" w14:textId="77777777" w:rsidR="00454A29" w:rsidRDefault="00454A29">
            <w:pPr>
              <w:pStyle w:val="ConsPlusNormal"/>
              <w:jc w:val="center"/>
            </w:pPr>
            <w:r>
              <w:t xml:space="preserve">Минстрой РС(Я), ГКУ "Служба государственного </w:t>
            </w:r>
            <w:r>
              <w:lastRenderedPageBreak/>
              <w:t>заказчика Республики Саха (Якутия)"</w:t>
            </w:r>
          </w:p>
        </w:tc>
        <w:tc>
          <w:tcPr>
            <w:tcW w:w="1701" w:type="dxa"/>
            <w:vAlign w:val="center"/>
          </w:tcPr>
          <w:p w14:paraId="7999A40A" w14:textId="77777777" w:rsidR="00454A29" w:rsidRDefault="00454A29">
            <w:pPr>
              <w:pStyle w:val="ConsPlusNormal"/>
              <w:jc w:val="center"/>
            </w:pPr>
            <w:r>
              <w:lastRenderedPageBreak/>
              <w:t>381 546,57</w:t>
            </w:r>
          </w:p>
        </w:tc>
        <w:tc>
          <w:tcPr>
            <w:tcW w:w="1814" w:type="dxa"/>
            <w:vAlign w:val="center"/>
          </w:tcPr>
          <w:p w14:paraId="163702FB" w14:textId="77777777" w:rsidR="00454A29" w:rsidRDefault="00454A29">
            <w:pPr>
              <w:pStyle w:val="ConsPlusNormal"/>
              <w:jc w:val="center"/>
            </w:pPr>
            <w:r>
              <w:t>4 826,56</w:t>
            </w:r>
          </w:p>
        </w:tc>
        <w:tc>
          <w:tcPr>
            <w:tcW w:w="1701" w:type="dxa"/>
            <w:vAlign w:val="center"/>
          </w:tcPr>
          <w:p w14:paraId="577A07A9" w14:textId="77777777" w:rsidR="00454A29" w:rsidRDefault="00454A29">
            <w:pPr>
              <w:pStyle w:val="ConsPlusNormal"/>
              <w:jc w:val="center"/>
            </w:pPr>
            <w:r>
              <w:t>465 364,72</w:t>
            </w:r>
          </w:p>
        </w:tc>
        <w:tc>
          <w:tcPr>
            <w:tcW w:w="1701" w:type="dxa"/>
            <w:vAlign w:val="center"/>
          </w:tcPr>
          <w:p w14:paraId="7F84CC3C" w14:textId="77777777" w:rsidR="00454A29" w:rsidRDefault="00454A29">
            <w:pPr>
              <w:pStyle w:val="ConsPlusNormal"/>
              <w:jc w:val="center"/>
            </w:pPr>
            <w:r>
              <w:t>-</w:t>
            </w:r>
          </w:p>
        </w:tc>
        <w:tc>
          <w:tcPr>
            <w:tcW w:w="1814" w:type="dxa"/>
            <w:vAlign w:val="center"/>
          </w:tcPr>
          <w:p w14:paraId="249C24F1" w14:textId="77777777" w:rsidR="00454A29" w:rsidRDefault="00454A29">
            <w:pPr>
              <w:pStyle w:val="ConsPlusNormal"/>
              <w:jc w:val="center"/>
            </w:pPr>
            <w:r>
              <w:t>-</w:t>
            </w:r>
          </w:p>
        </w:tc>
      </w:tr>
      <w:tr w:rsidR="00454A29" w14:paraId="78134B22" w14:textId="77777777">
        <w:tc>
          <w:tcPr>
            <w:tcW w:w="567" w:type="dxa"/>
            <w:vMerge/>
          </w:tcPr>
          <w:p w14:paraId="1DC23AC9" w14:textId="77777777" w:rsidR="00454A29" w:rsidRDefault="00454A29"/>
        </w:tc>
        <w:tc>
          <w:tcPr>
            <w:tcW w:w="3345" w:type="dxa"/>
            <w:vMerge/>
          </w:tcPr>
          <w:p w14:paraId="3F55E518" w14:textId="77777777" w:rsidR="00454A29" w:rsidRDefault="00454A29"/>
        </w:tc>
        <w:tc>
          <w:tcPr>
            <w:tcW w:w="1701" w:type="dxa"/>
            <w:vAlign w:val="center"/>
          </w:tcPr>
          <w:p w14:paraId="5D42ACC6" w14:textId="77777777" w:rsidR="00454A29" w:rsidRDefault="00454A29">
            <w:pPr>
              <w:pStyle w:val="ConsPlusNormal"/>
              <w:jc w:val="center"/>
            </w:pPr>
            <w:r>
              <w:t>2020</w:t>
            </w:r>
          </w:p>
        </w:tc>
        <w:tc>
          <w:tcPr>
            <w:tcW w:w="1417" w:type="dxa"/>
            <w:vMerge/>
          </w:tcPr>
          <w:p w14:paraId="61EB06B6" w14:textId="77777777" w:rsidR="00454A29" w:rsidRDefault="00454A29"/>
        </w:tc>
        <w:tc>
          <w:tcPr>
            <w:tcW w:w="2204" w:type="dxa"/>
            <w:vMerge/>
          </w:tcPr>
          <w:p w14:paraId="106D6BB5" w14:textId="77777777" w:rsidR="00454A29" w:rsidRDefault="00454A29"/>
        </w:tc>
        <w:tc>
          <w:tcPr>
            <w:tcW w:w="1417" w:type="dxa"/>
            <w:vMerge/>
          </w:tcPr>
          <w:p w14:paraId="50C9AE55" w14:textId="77777777" w:rsidR="00454A29" w:rsidRDefault="00454A29"/>
        </w:tc>
        <w:tc>
          <w:tcPr>
            <w:tcW w:w="2324" w:type="dxa"/>
            <w:vMerge/>
          </w:tcPr>
          <w:p w14:paraId="6431D9D4" w14:textId="77777777" w:rsidR="00454A29" w:rsidRDefault="00454A29"/>
        </w:tc>
        <w:tc>
          <w:tcPr>
            <w:tcW w:w="1701" w:type="dxa"/>
            <w:vAlign w:val="center"/>
          </w:tcPr>
          <w:p w14:paraId="677E89E2" w14:textId="77777777" w:rsidR="00454A29" w:rsidRDefault="00454A29">
            <w:pPr>
              <w:pStyle w:val="ConsPlusNormal"/>
            </w:pPr>
          </w:p>
        </w:tc>
        <w:tc>
          <w:tcPr>
            <w:tcW w:w="1814" w:type="dxa"/>
            <w:vAlign w:val="center"/>
          </w:tcPr>
          <w:p w14:paraId="7C7C8435" w14:textId="77777777" w:rsidR="00454A29" w:rsidRDefault="00454A29">
            <w:pPr>
              <w:pStyle w:val="ConsPlusNormal"/>
            </w:pPr>
          </w:p>
        </w:tc>
        <w:tc>
          <w:tcPr>
            <w:tcW w:w="1701" w:type="dxa"/>
            <w:vAlign w:val="center"/>
          </w:tcPr>
          <w:p w14:paraId="4FE8CEAD" w14:textId="77777777" w:rsidR="00454A29" w:rsidRDefault="00454A29">
            <w:pPr>
              <w:pStyle w:val="ConsPlusNormal"/>
            </w:pPr>
          </w:p>
        </w:tc>
        <w:tc>
          <w:tcPr>
            <w:tcW w:w="1701" w:type="dxa"/>
            <w:vAlign w:val="center"/>
          </w:tcPr>
          <w:p w14:paraId="314DB291" w14:textId="77777777" w:rsidR="00454A29" w:rsidRDefault="00454A29">
            <w:pPr>
              <w:pStyle w:val="ConsPlusNormal"/>
            </w:pPr>
          </w:p>
        </w:tc>
        <w:tc>
          <w:tcPr>
            <w:tcW w:w="1814" w:type="dxa"/>
            <w:vAlign w:val="center"/>
          </w:tcPr>
          <w:p w14:paraId="0CC837DA" w14:textId="77777777" w:rsidR="00454A29" w:rsidRDefault="00454A29">
            <w:pPr>
              <w:pStyle w:val="ConsPlusNormal"/>
            </w:pPr>
          </w:p>
        </w:tc>
      </w:tr>
      <w:tr w:rsidR="00454A29" w14:paraId="66C02D43" w14:textId="77777777">
        <w:tc>
          <w:tcPr>
            <w:tcW w:w="567" w:type="dxa"/>
            <w:vMerge/>
          </w:tcPr>
          <w:p w14:paraId="17364640" w14:textId="77777777" w:rsidR="00454A29" w:rsidRDefault="00454A29"/>
        </w:tc>
        <w:tc>
          <w:tcPr>
            <w:tcW w:w="3345" w:type="dxa"/>
            <w:vMerge/>
          </w:tcPr>
          <w:p w14:paraId="1831B223" w14:textId="77777777" w:rsidR="00454A29" w:rsidRDefault="00454A29"/>
        </w:tc>
        <w:tc>
          <w:tcPr>
            <w:tcW w:w="1701" w:type="dxa"/>
            <w:vAlign w:val="center"/>
          </w:tcPr>
          <w:p w14:paraId="458B949F" w14:textId="77777777" w:rsidR="00454A29" w:rsidRDefault="00454A29">
            <w:pPr>
              <w:pStyle w:val="ConsPlusNormal"/>
              <w:jc w:val="center"/>
            </w:pPr>
            <w:r>
              <w:t>2021</w:t>
            </w:r>
          </w:p>
        </w:tc>
        <w:tc>
          <w:tcPr>
            <w:tcW w:w="1417" w:type="dxa"/>
            <w:vMerge/>
          </w:tcPr>
          <w:p w14:paraId="16D1828A" w14:textId="77777777" w:rsidR="00454A29" w:rsidRDefault="00454A29"/>
        </w:tc>
        <w:tc>
          <w:tcPr>
            <w:tcW w:w="2204" w:type="dxa"/>
            <w:vMerge/>
          </w:tcPr>
          <w:p w14:paraId="7E899563" w14:textId="77777777" w:rsidR="00454A29" w:rsidRDefault="00454A29"/>
        </w:tc>
        <w:tc>
          <w:tcPr>
            <w:tcW w:w="1417" w:type="dxa"/>
            <w:vMerge/>
          </w:tcPr>
          <w:p w14:paraId="7F34EC13" w14:textId="77777777" w:rsidR="00454A29" w:rsidRDefault="00454A29"/>
        </w:tc>
        <w:tc>
          <w:tcPr>
            <w:tcW w:w="2324" w:type="dxa"/>
            <w:vMerge/>
          </w:tcPr>
          <w:p w14:paraId="2C519182" w14:textId="77777777" w:rsidR="00454A29" w:rsidRDefault="00454A29"/>
        </w:tc>
        <w:tc>
          <w:tcPr>
            <w:tcW w:w="1701" w:type="dxa"/>
            <w:vAlign w:val="center"/>
          </w:tcPr>
          <w:p w14:paraId="504804C3" w14:textId="77777777" w:rsidR="00454A29" w:rsidRDefault="00454A29">
            <w:pPr>
              <w:pStyle w:val="ConsPlusNormal"/>
              <w:jc w:val="center"/>
            </w:pPr>
            <w:r>
              <w:t>-</w:t>
            </w:r>
          </w:p>
        </w:tc>
        <w:tc>
          <w:tcPr>
            <w:tcW w:w="1814" w:type="dxa"/>
            <w:vAlign w:val="center"/>
          </w:tcPr>
          <w:p w14:paraId="75EB9330" w14:textId="77777777" w:rsidR="00454A29" w:rsidRDefault="00454A29">
            <w:pPr>
              <w:pStyle w:val="ConsPlusNormal"/>
            </w:pPr>
          </w:p>
        </w:tc>
        <w:tc>
          <w:tcPr>
            <w:tcW w:w="1701" w:type="dxa"/>
            <w:vAlign w:val="center"/>
          </w:tcPr>
          <w:p w14:paraId="697A9D48" w14:textId="77777777" w:rsidR="00454A29" w:rsidRDefault="00454A29">
            <w:pPr>
              <w:pStyle w:val="ConsPlusNormal"/>
            </w:pPr>
          </w:p>
        </w:tc>
        <w:tc>
          <w:tcPr>
            <w:tcW w:w="1701" w:type="dxa"/>
            <w:vAlign w:val="center"/>
          </w:tcPr>
          <w:p w14:paraId="1FF0D54F" w14:textId="77777777" w:rsidR="00454A29" w:rsidRDefault="00454A29">
            <w:pPr>
              <w:pStyle w:val="ConsPlusNormal"/>
            </w:pPr>
          </w:p>
        </w:tc>
        <w:tc>
          <w:tcPr>
            <w:tcW w:w="1814" w:type="dxa"/>
            <w:vAlign w:val="center"/>
          </w:tcPr>
          <w:p w14:paraId="7533FEBA" w14:textId="77777777" w:rsidR="00454A29" w:rsidRDefault="00454A29">
            <w:pPr>
              <w:pStyle w:val="ConsPlusNormal"/>
            </w:pPr>
          </w:p>
        </w:tc>
      </w:tr>
      <w:tr w:rsidR="00454A29" w14:paraId="48360443" w14:textId="77777777">
        <w:tc>
          <w:tcPr>
            <w:tcW w:w="567" w:type="dxa"/>
            <w:vMerge/>
          </w:tcPr>
          <w:p w14:paraId="759561BE" w14:textId="77777777" w:rsidR="00454A29" w:rsidRDefault="00454A29"/>
        </w:tc>
        <w:tc>
          <w:tcPr>
            <w:tcW w:w="3345" w:type="dxa"/>
            <w:vMerge/>
          </w:tcPr>
          <w:p w14:paraId="7ED3A045" w14:textId="77777777" w:rsidR="00454A29" w:rsidRDefault="00454A29"/>
        </w:tc>
        <w:tc>
          <w:tcPr>
            <w:tcW w:w="1701" w:type="dxa"/>
            <w:vAlign w:val="center"/>
          </w:tcPr>
          <w:p w14:paraId="17B866CA" w14:textId="77777777" w:rsidR="00454A29" w:rsidRDefault="00454A29">
            <w:pPr>
              <w:pStyle w:val="ConsPlusNormal"/>
              <w:jc w:val="center"/>
            </w:pPr>
            <w:r>
              <w:t>2022</w:t>
            </w:r>
          </w:p>
        </w:tc>
        <w:tc>
          <w:tcPr>
            <w:tcW w:w="1417" w:type="dxa"/>
            <w:vMerge/>
          </w:tcPr>
          <w:p w14:paraId="184C0045" w14:textId="77777777" w:rsidR="00454A29" w:rsidRDefault="00454A29"/>
        </w:tc>
        <w:tc>
          <w:tcPr>
            <w:tcW w:w="2204" w:type="dxa"/>
            <w:vMerge/>
          </w:tcPr>
          <w:p w14:paraId="36B302FA" w14:textId="77777777" w:rsidR="00454A29" w:rsidRDefault="00454A29"/>
        </w:tc>
        <w:tc>
          <w:tcPr>
            <w:tcW w:w="1417" w:type="dxa"/>
            <w:vMerge/>
          </w:tcPr>
          <w:p w14:paraId="0C85F53C" w14:textId="77777777" w:rsidR="00454A29" w:rsidRDefault="00454A29"/>
        </w:tc>
        <w:tc>
          <w:tcPr>
            <w:tcW w:w="2324" w:type="dxa"/>
            <w:vMerge/>
          </w:tcPr>
          <w:p w14:paraId="0A1DAC0F" w14:textId="77777777" w:rsidR="00454A29" w:rsidRDefault="00454A29"/>
        </w:tc>
        <w:tc>
          <w:tcPr>
            <w:tcW w:w="1701" w:type="dxa"/>
            <w:vAlign w:val="center"/>
          </w:tcPr>
          <w:p w14:paraId="2F5E63D6" w14:textId="77777777" w:rsidR="00454A29" w:rsidRDefault="00454A29">
            <w:pPr>
              <w:pStyle w:val="ConsPlusNormal"/>
            </w:pPr>
          </w:p>
        </w:tc>
        <w:tc>
          <w:tcPr>
            <w:tcW w:w="1814" w:type="dxa"/>
            <w:vAlign w:val="center"/>
          </w:tcPr>
          <w:p w14:paraId="5328DEE9" w14:textId="77777777" w:rsidR="00454A29" w:rsidRDefault="00454A29">
            <w:pPr>
              <w:pStyle w:val="ConsPlusNormal"/>
            </w:pPr>
          </w:p>
        </w:tc>
        <w:tc>
          <w:tcPr>
            <w:tcW w:w="1701" w:type="dxa"/>
            <w:vAlign w:val="center"/>
          </w:tcPr>
          <w:p w14:paraId="61FC6623" w14:textId="77777777" w:rsidR="00454A29" w:rsidRDefault="00454A29">
            <w:pPr>
              <w:pStyle w:val="ConsPlusNormal"/>
            </w:pPr>
          </w:p>
        </w:tc>
        <w:tc>
          <w:tcPr>
            <w:tcW w:w="1701" w:type="dxa"/>
            <w:vAlign w:val="center"/>
          </w:tcPr>
          <w:p w14:paraId="2AE73039" w14:textId="77777777" w:rsidR="00454A29" w:rsidRDefault="00454A29">
            <w:pPr>
              <w:pStyle w:val="ConsPlusNormal"/>
            </w:pPr>
          </w:p>
        </w:tc>
        <w:tc>
          <w:tcPr>
            <w:tcW w:w="1814" w:type="dxa"/>
            <w:vAlign w:val="center"/>
          </w:tcPr>
          <w:p w14:paraId="0231B694" w14:textId="77777777" w:rsidR="00454A29" w:rsidRDefault="00454A29">
            <w:pPr>
              <w:pStyle w:val="ConsPlusNormal"/>
            </w:pPr>
          </w:p>
        </w:tc>
      </w:tr>
      <w:tr w:rsidR="00454A29" w14:paraId="4734A377" w14:textId="77777777">
        <w:tc>
          <w:tcPr>
            <w:tcW w:w="567" w:type="dxa"/>
            <w:vMerge/>
          </w:tcPr>
          <w:p w14:paraId="5B4E5688" w14:textId="77777777" w:rsidR="00454A29" w:rsidRDefault="00454A29"/>
        </w:tc>
        <w:tc>
          <w:tcPr>
            <w:tcW w:w="3345" w:type="dxa"/>
            <w:vMerge/>
          </w:tcPr>
          <w:p w14:paraId="675A883B" w14:textId="77777777" w:rsidR="00454A29" w:rsidRDefault="00454A29"/>
        </w:tc>
        <w:tc>
          <w:tcPr>
            <w:tcW w:w="1701" w:type="dxa"/>
            <w:vAlign w:val="center"/>
          </w:tcPr>
          <w:p w14:paraId="17291DB2" w14:textId="77777777" w:rsidR="00454A29" w:rsidRDefault="00454A29">
            <w:pPr>
              <w:pStyle w:val="ConsPlusNormal"/>
              <w:jc w:val="center"/>
            </w:pPr>
            <w:r>
              <w:t>2023</w:t>
            </w:r>
          </w:p>
        </w:tc>
        <w:tc>
          <w:tcPr>
            <w:tcW w:w="1417" w:type="dxa"/>
            <w:vMerge/>
          </w:tcPr>
          <w:p w14:paraId="1F64FC79" w14:textId="77777777" w:rsidR="00454A29" w:rsidRDefault="00454A29"/>
        </w:tc>
        <w:tc>
          <w:tcPr>
            <w:tcW w:w="2204" w:type="dxa"/>
            <w:vMerge/>
          </w:tcPr>
          <w:p w14:paraId="00367A63" w14:textId="77777777" w:rsidR="00454A29" w:rsidRDefault="00454A29"/>
        </w:tc>
        <w:tc>
          <w:tcPr>
            <w:tcW w:w="1417" w:type="dxa"/>
            <w:vMerge/>
          </w:tcPr>
          <w:p w14:paraId="4501E5EE" w14:textId="77777777" w:rsidR="00454A29" w:rsidRDefault="00454A29"/>
        </w:tc>
        <w:tc>
          <w:tcPr>
            <w:tcW w:w="2324" w:type="dxa"/>
            <w:vMerge/>
          </w:tcPr>
          <w:p w14:paraId="74DEBD9E" w14:textId="77777777" w:rsidR="00454A29" w:rsidRDefault="00454A29"/>
        </w:tc>
        <w:tc>
          <w:tcPr>
            <w:tcW w:w="1701" w:type="dxa"/>
            <w:vAlign w:val="center"/>
          </w:tcPr>
          <w:p w14:paraId="201D3CAE" w14:textId="77777777" w:rsidR="00454A29" w:rsidRDefault="00454A29">
            <w:pPr>
              <w:pStyle w:val="ConsPlusNormal"/>
            </w:pPr>
          </w:p>
        </w:tc>
        <w:tc>
          <w:tcPr>
            <w:tcW w:w="1814" w:type="dxa"/>
            <w:vAlign w:val="center"/>
          </w:tcPr>
          <w:p w14:paraId="1CAD9071" w14:textId="77777777" w:rsidR="00454A29" w:rsidRDefault="00454A29">
            <w:pPr>
              <w:pStyle w:val="ConsPlusNormal"/>
            </w:pPr>
          </w:p>
        </w:tc>
        <w:tc>
          <w:tcPr>
            <w:tcW w:w="1701" w:type="dxa"/>
            <w:vAlign w:val="center"/>
          </w:tcPr>
          <w:p w14:paraId="498AFF7D" w14:textId="77777777" w:rsidR="00454A29" w:rsidRDefault="00454A29">
            <w:pPr>
              <w:pStyle w:val="ConsPlusNormal"/>
            </w:pPr>
          </w:p>
        </w:tc>
        <w:tc>
          <w:tcPr>
            <w:tcW w:w="1701" w:type="dxa"/>
            <w:vAlign w:val="center"/>
          </w:tcPr>
          <w:p w14:paraId="74784057" w14:textId="77777777" w:rsidR="00454A29" w:rsidRDefault="00454A29">
            <w:pPr>
              <w:pStyle w:val="ConsPlusNormal"/>
            </w:pPr>
          </w:p>
        </w:tc>
        <w:tc>
          <w:tcPr>
            <w:tcW w:w="1814" w:type="dxa"/>
            <w:vAlign w:val="center"/>
          </w:tcPr>
          <w:p w14:paraId="444932F4" w14:textId="77777777" w:rsidR="00454A29" w:rsidRDefault="00454A29">
            <w:pPr>
              <w:pStyle w:val="ConsPlusNormal"/>
            </w:pPr>
          </w:p>
        </w:tc>
      </w:tr>
      <w:tr w:rsidR="00454A29" w14:paraId="181E64E0" w14:textId="77777777">
        <w:tc>
          <w:tcPr>
            <w:tcW w:w="567" w:type="dxa"/>
            <w:vMerge/>
          </w:tcPr>
          <w:p w14:paraId="496FEA7D" w14:textId="77777777" w:rsidR="00454A29" w:rsidRDefault="00454A29"/>
        </w:tc>
        <w:tc>
          <w:tcPr>
            <w:tcW w:w="3345" w:type="dxa"/>
            <w:vMerge/>
          </w:tcPr>
          <w:p w14:paraId="6583AA94" w14:textId="77777777" w:rsidR="00454A29" w:rsidRDefault="00454A29"/>
        </w:tc>
        <w:tc>
          <w:tcPr>
            <w:tcW w:w="1701" w:type="dxa"/>
            <w:vAlign w:val="center"/>
          </w:tcPr>
          <w:p w14:paraId="0733E28F" w14:textId="77777777" w:rsidR="00454A29" w:rsidRDefault="00454A29">
            <w:pPr>
              <w:pStyle w:val="ConsPlusNormal"/>
              <w:jc w:val="center"/>
            </w:pPr>
            <w:r>
              <w:t>2024</w:t>
            </w:r>
          </w:p>
        </w:tc>
        <w:tc>
          <w:tcPr>
            <w:tcW w:w="1417" w:type="dxa"/>
            <w:vMerge/>
          </w:tcPr>
          <w:p w14:paraId="6C8745EA" w14:textId="77777777" w:rsidR="00454A29" w:rsidRDefault="00454A29"/>
        </w:tc>
        <w:tc>
          <w:tcPr>
            <w:tcW w:w="2204" w:type="dxa"/>
            <w:vMerge/>
          </w:tcPr>
          <w:p w14:paraId="1C92042B" w14:textId="77777777" w:rsidR="00454A29" w:rsidRDefault="00454A29"/>
        </w:tc>
        <w:tc>
          <w:tcPr>
            <w:tcW w:w="1417" w:type="dxa"/>
            <w:vMerge/>
          </w:tcPr>
          <w:p w14:paraId="28B6974D" w14:textId="77777777" w:rsidR="00454A29" w:rsidRDefault="00454A29"/>
        </w:tc>
        <w:tc>
          <w:tcPr>
            <w:tcW w:w="2324" w:type="dxa"/>
            <w:vMerge/>
          </w:tcPr>
          <w:p w14:paraId="7FD728DB" w14:textId="77777777" w:rsidR="00454A29" w:rsidRDefault="00454A29"/>
        </w:tc>
        <w:tc>
          <w:tcPr>
            <w:tcW w:w="1701" w:type="dxa"/>
            <w:vAlign w:val="center"/>
          </w:tcPr>
          <w:p w14:paraId="7C474920" w14:textId="77777777" w:rsidR="00454A29" w:rsidRDefault="00454A29">
            <w:pPr>
              <w:pStyle w:val="ConsPlusNormal"/>
            </w:pPr>
          </w:p>
        </w:tc>
        <w:tc>
          <w:tcPr>
            <w:tcW w:w="1814" w:type="dxa"/>
            <w:vAlign w:val="center"/>
          </w:tcPr>
          <w:p w14:paraId="55CD3C4C" w14:textId="77777777" w:rsidR="00454A29" w:rsidRDefault="00454A29">
            <w:pPr>
              <w:pStyle w:val="ConsPlusNormal"/>
            </w:pPr>
          </w:p>
        </w:tc>
        <w:tc>
          <w:tcPr>
            <w:tcW w:w="1701" w:type="dxa"/>
            <w:vAlign w:val="center"/>
          </w:tcPr>
          <w:p w14:paraId="3D8F0A33" w14:textId="77777777" w:rsidR="00454A29" w:rsidRDefault="00454A29">
            <w:pPr>
              <w:pStyle w:val="ConsPlusNormal"/>
            </w:pPr>
          </w:p>
        </w:tc>
        <w:tc>
          <w:tcPr>
            <w:tcW w:w="1701" w:type="dxa"/>
            <w:vAlign w:val="center"/>
          </w:tcPr>
          <w:p w14:paraId="33871128" w14:textId="77777777" w:rsidR="00454A29" w:rsidRDefault="00454A29">
            <w:pPr>
              <w:pStyle w:val="ConsPlusNormal"/>
            </w:pPr>
          </w:p>
        </w:tc>
        <w:tc>
          <w:tcPr>
            <w:tcW w:w="1814" w:type="dxa"/>
            <w:vAlign w:val="center"/>
          </w:tcPr>
          <w:p w14:paraId="5FAA0212" w14:textId="77777777" w:rsidR="00454A29" w:rsidRDefault="00454A29">
            <w:pPr>
              <w:pStyle w:val="ConsPlusNormal"/>
            </w:pPr>
          </w:p>
        </w:tc>
      </w:tr>
      <w:tr w:rsidR="00454A29" w14:paraId="60B757A8" w14:textId="77777777">
        <w:tc>
          <w:tcPr>
            <w:tcW w:w="567" w:type="dxa"/>
            <w:vMerge/>
          </w:tcPr>
          <w:p w14:paraId="6110B446" w14:textId="77777777" w:rsidR="00454A29" w:rsidRDefault="00454A29"/>
        </w:tc>
        <w:tc>
          <w:tcPr>
            <w:tcW w:w="3345" w:type="dxa"/>
            <w:vMerge/>
          </w:tcPr>
          <w:p w14:paraId="58E0C588" w14:textId="77777777" w:rsidR="00454A29" w:rsidRDefault="00454A29"/>
        </w:tc>
        <w:tc>
          <w:tcPr>
            <w:tcW w:w="1701" w:type="dxa"/>
            <w:vAlign w:val="center"/>
          </w:tcPr>
          <w:p w14:paraId="4206E605" w14:textId="77777777" w:rsidR="00454A29" w:rsidRDefault="00454A29">
            <w:pPr>
              <w:pStyle w:val="ConsPlusNormal"/>
              <w:jc w:val="center"/>
            </w:pPr>
            <w:r>
              <w:t>2025</w:t>
            </w:r>
          </w:p>
        </w:tc>
        <w:tc>
          <w:tcPr>
            <w:tcW w:w="1417" w:type="dxa"/>
            <w:vMerge/>
          </w:tcPr>
          <w:p w14:paraId="1DB33213" w14:textId="77777777" w:rsidR="00454A29" w:rsidRDefault="00454A29"/>
        </w:tc>
        <w:tc>
          <w:tcPr>
            <w:tcW w:w="2204" w:type="dxa"/>
            <w:vMerge/>
          </w:tcPr>
          <w:p w14:paraId="7E94B7B9" w14:textId="77777777" w:rsidR="00454A29" w:rsidRDefault="00454A29"/>
        </w:tc>
        <w:tc>
          <w:tcPr>
            <w:tcW w:w="1417" w:type="dxa"/>
            <w:vMerge/>
          </w:tcPr>
          <w:p w14:paraId="2A593695" w14:textId="77777777" w:rsidR="00454A29" w:rsidRDefault="00454A29"/>
        </w:tc>
        <w:tc>
          <w:tcPr>
            <w:tcW w:w="2324" w:type="dxa"/>
            <w:vMerge/>
          </w:tcPr>
          <w:p w14:paraId="3B8FCE11" w14:textId="77777777" w:rsidR="00454A29" w:rsidRDefault="00454A29"/>
        </w:tc>
        <w:tc>
          <w:tcPr>
            <w:tcW w:w="1701" w:type="dxa"/>
            <w:vAlign w:val="center"/>
          </w:tcPr>
          <w:p w14:paraId="16E13726" w14:textId="77777777" w:rsidR="00454A29" w:rsidRDefault="00454A29">
            <w:pPr>
              <w:pStyle w:val="ConsPlusNormal"/>
              <w:jc w:val="center"/>
            </w:pPr>
            <w:r>
              <w:t>381 546,57</w:t>
            </w:r>
          </w:p>
        </w:tc>
        <w:tc>
          <w:tcPr>
            <w:tcW w:w="1814" w:type="dxa"/>
            <w:vAlign w:val="center"/>
          </w:tcPr>
          <w:p w14:paraId="590D5F88" w14:textId="77777777" w:rsidR="00454A29" w:rsidRDefault="00454A29">
            <w:pPr>
              <w:pStyle w:val="ConsPlusNormal"/>
              <w:jc w:val="center"/>
            </w:pPr>
            <w:r>
              <w:t>4 826,56</w:t>
            </w:r>
          </w:p>
        </w:tc>
        <w:tc>
          <w:tcPr>
            <w:tcW w:w="1701" w:type="dxa"/>
            <w:vAlign w:val="center"/>
          </w:tcPr>
          <w:p w14:paraId="7116BD1E" w14:textId="77777777" w:rsidR="00454A29" w:rsidRDefault="00454A29">
            <w:pPr>
              <w:pStyle w:val="ConsPlusNormal"/>
              <w:jc w:val="center"/>
            </w:pPr>
            <w:r>
              <w:t>465 364,72</w:t>
            </w:r>
          </w:p>
        </w:tc>
        <w:tc>
          <w:tcPr>
            <w:tcW w:w="1701" w:type="dxa"/>
            <w:vAlign w:val="center"/>
          </w:tcPr>
          <w:p w14:paraId="10622A80" w14:textId="77777777" w:rsidR="00454A29" w:rsidRDefault="00454A29">
            <w:pPr>
              <w:pStyle w:val="ConsPlusNormal"/>
            </w:pPr>
          </w:p>
        </w:tc>
        <w:tc>
          <w:tcPr>
            <w:tcW w:w="1814" w:type="dxa"/>
            <w:vAlign w:val="center"/>
          </w:tcPr>
          <w:p w14:paraId="21053B0E" w14:textId="77777777" w:rsidR="00454A29" w:rsidRDefault="00454A29">
            <w:pPr>
              <w:pStyle w:val="ConsPlusNormal"/>
            </w:pPr>
          </w:p>
        </w:tc>
      </w:tr>
      <w:tr w:rsidR="00454A29" w14:paraId="296935AD" w14:textId="77777777">
        <w:tc>
          <w:tcPr>
            <w:tcW w:w="567" w:type="dxa"/>
            <w:vMerge/>
          </w:tcPr>
          <w:p w14:paraId="74AAC47C" w14:textId="77777777" w:rsidR="00454A29" w:rsidRDefault="00454A29"/>
        </w:tc>
        <w:tc>
          <w:tcPr>
            <w:tcW w:w="3345" w:type="dxa"/>
            <w:vMerge/>
          </w:tcPr>
          <w:p w14:paraId="5640BDEF" w14:textId="77777777" w:rsidR="00454A29" w:rsidRDefault="00454A29"/>
        </w:tc>
        <w:tc>
          <w:tcPr>
            <w:tcW w:w="1701" w:type="dxa"/>
            <w:vAlign w:val="center"/>
          </w:tcPr>
          <w:p w14:paraId="0CC36174" w14:textId="77777777" w:rsidR="00454A29" w:rsidRDefault="00454A29">
            <w:pPr>
              <w:pStyle w:val="ConsPlusNormal"/>
              <w:jc w:val="center"/>
            </w:pPr>
            <w:r>
              <w:t>2026</w:t>
            </w:r>
          </w:p>
        </w:tc>
        <w:tc>
          <w:tcPr>
            <w:tcW w:w="1417" w:type="dxa"/>
            <w:vMerge/>
          </w:tcPr>
          <w:p w14:paraId="3E7E5AA2" w14:textId="77777777" w:rsidR="00454A29" w:rsidRDefault="00454A29"/>
        </w:tc>
        <w:tc>
          <w:tcPr>
            <w:tcW w:w="2204" w:type="dxa"/>
            <w:vMerge/>
          </w:tcPr>
          <w:p w14:paraId="1067DB3C" w14:textId="77777777" w:rsidR="00454A29" w:rsidRDefault="00454A29"/>
        </w:tc>
        <w:tc>
          <w:tcPr>
            <w:tcW w:w="1417" w:type="dxa"/>
            <w:vMerge/>
          </w:tcPr>
          <w:p w14:paraId="7B52533A" w14:textId="77777777" w:rsidR="00454A29" w:rsidRDefault="00454A29"/>
        </w:tc>
        <w:tc>
          <w:tcPr>
            <w:tcW w:w="2324" w:type="dxa"/>
            <w:vMerge/>
          </w:tcPr>
          <w:p w14:paraId="204FCE62" w14:textId="77777777" w:rsidR="00454A29" w:rsidRDefault="00454A29"/>
        </w:tc>
        <w:tc>
          <w:tcPr>
            <w:tcW w:w="1701" w:type="dxa"/>
            <w:vAlign w:val="center"/>
          </w:tcPr>
          <w:p w14:paraId="30AD5840" w14:textId="77777777" w:rsidR="00454A29" w:rsidRDefault="00454A29">
            <w:pPr>
              <w:pStyle w:val="ConsPlusNormal"/>
            </w:pPr>
          </w:p>
        </w:tc>
        <w:tc>
          <w:tcPr>
            <w:tcW w:w="1814" w:type="dxa"/>
            <w:vAlign w:val="center"/>
          </w:tcPr>
          <w:p w14:paraId="051F5024" w14:textId="77777777" w:rsidR="00454A29" w:rsidRDefault="00454A29">
            <w:pPr>
              <w:pStyle w:val="ConsPlusNormal"/>
            </w:pPr>
          </w:p>
        </w:tc>
        <w:tc>
          <w:tcPr>
            <w:tcW w:w="1701" w:type="dxa"/>
            <w:vAlign w:val="center"/>
          </w:tcPr>
          <w:p w14:paraId="1D523418" w14:textId="77777777" w:rsidR="00454A29" w:rsidRDefault="00454A29">
            <w:pPr>
              <w:pStyle w:val="ConsPlusNormal"/>
            </w:pPr>
          </w:p>
        </w:tc>
        <w:tc>
          <w:tcPr>
            <w:tcW w:w="1701" w:type="dxa"/>
            <w:vAlign w:val="center"/>
          </w:tcPr>
          <w:p w14:paraId="75A54D57" w14:textId="77777777" w:rsidR="00454A29" w:rsidRDefault="00454A29">
            <w:pPr>
              <w:pStyle w:val="ConsPlusNormal"/>
            </w:pPr>
          </w:p>
        </w:tc>
        <w:tc>
          <w:tcPr>
            <w:tcW w:w="1814" w:type="dxa"/>
            <w:vAlign w:val="center"/>
          </w:tcPr>
          <w:p w14:paraId="6194ED87" w14:textId="77777777" w:rsidR="00454A29" w:rsidRDefault="00454A29">
            <w:pPr>
              <w:pStyle w:val="ConsPlusNormal"/>
            </w:pPr>
          </w:p>
        </w:tc>
      </w:tr>
      <w:tr w:rsidR="00454A29" w14:paraId="4D68BE69" w14:textId="77777777">
        <w:tc>
          <w:tcPr>
            <w:tcW w:w="567" w:type="dxa"/>
            <w:vMerge w:val="restart"/>
            <w:vAlign w:val="center"/>
          </w:tcPr>
          <w:p w14:paraId="443CFB53" w14:textId="77777777" w:rsidR="00454A29" w:rsidRDefault="00454A29">
            <w:pPr>
              <w:pStyle w:val="ConsPlusNormal"/>
              <w:jc w:val="center"/>
            </w:pPr>
            <w:r>
              <w:t>99</w:t>
            </w:r>
          </w:p>
        </w:tc>
        <w:tc>
          <w:tcPr>
            <w:tcW w:w="3345" w:type="dxa"/>
            <w:vMerge w:val="restart"/>
            <w:vAlign w:val="center"/>
          </w:tcPr>
          <w:p w14:paraId="728271F2" w14:textId="77777777" w:rsidR="00454A29" w:rsidRDefault="00454A29">
            <w:pPr>
              <w:pStyle w:val="ConsPlusNormal"/>
              <w:jc w:val="center"/>
            </w:pPr>
            <w:r>
              <w:t>Школа-интернат на 120 мест в г. Олекминск (СКОШИ N 7 VIII вида)</w:t>
            </w:r>
          </w:p>
        </w:tc>
        <w:tc>
          <w:tcPr>
            <w:tcW w:w="1701" w:type="dxa"/>
            <w:vAlign w:val="center"/>
          </w:tcPr>
          <w:p w14:paraId="115A461B" w14:textId="77777777" w:rsidR="00454A29" w:rsidRDefault="00454A29">
            <w:pPr>
              <w:pStyle w:val="ConsPlusNormal"/>
              <w:jc w:val="center"/>
            </w:pPr>
            <w:r>
              <w:t>2020 - 2026 годы - всего</w:t>
            </w:r>
          </w:p>
        </w:tc>
        <w:tc>
          <w:tcPr>
            <w:tcW w:w="1417" w:type="dxa"/>
            <w:vMerge w:val="restart"/>
            <w:vAlign w:val="center"/>
          </w:tcPr>
          <w:p w14:paraId="4F403095" w14:textId="77777777" w:rsidR="00454A29" w:rsidRDefault="00454A29">
            <w:pPr>
              <w:pStyle w:val="ConsPlusNormal"/>
              <w:jc w:val="center"/>
            </w:pPr>
            <w:r>
              <w:t>244 675,98</w:t>
            </w:r>
          </w:p>
        </w:tc>
        <w:tc>
          <w:tcPr>
            <w:tcW w:w="2204" w:type="dxa"/>
            <w:vMerge w:val="restart"/>
            <w:vAlign w:val="center"/>
          </w:tcPr>
          <w:p w14:paraId="6C949580" w14:textId="77777777" w:rsidR="00454A29" w:rsidRDefault="00454A29">
            <w:pPr>
              <w:pStyle w:val="ConsPlusNormal"/>
            </w:pPr>
          </w:p>
        </w:tc>
        <w:tc>
          <w:tcPr>
            <w:tcW w:w="1417" w:type="dxa"/>
            <w:vMerge w:val="restart"/>
            <w:vAlign w:val="center"/>
          </w:tcPr>
          <w:p w14:paraId="1B383362" w14:textId="77777777" w:rsidR="00454A29" w:rsidRDefault="00454A29">
            <w:pPr>
              <w:pStyle w:val="ConsPlusNormal"/>
              <w:jc w:val="center"/>
            </w:pPr>
            <w:r>
              <w:t>120</w:t>
            </w:r>
          </w:p>
        </w:tc>
        <w:tc>
          <w:tcPr>
            <w:tcW w:w="2324" w:type="dxa"/>
            <w:vMerge w:val="restart"/>
            <w:vAlign w:val="center"/>
          </w:tcPr>
          <w:p w14:paraId="5617EF0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F398A66" w14:textId="77777777" w:rsidR="00454A29" w:rsidRDefault="00454A29">
            <w:pPr>
              <w:pStyle w:val="ConsPlusNormal"/>
              <w:jc w:val="center"/>
            </w:pPr>
            <w:r>
              <w:t>244 675,98</w:t>
            </w:r>
          </w:p>
        </w:tc>
        <w:tc>
          <w:tcPr>
            <w:tcW w:w="1814" w:type="dxa"/>
            <w:vAlign w:val="center"/>
          </w:tcPr>
          <w:p w14:paraId="0D7F675D" w14:textId="77777777" w:rsidR="00454A29" w:rsidRDefault="00454A29">
            <w:pPr>
              <w:pStyle w:val="ConsPlusNormal"/>
              <w:jc w:val="center"/>
            </w:pPr>
            <w:r>
              <w:t>2 446,76</w:t>
            </w:r>
          </w:p>
        </w:tc>
        <w:tc>
          <w:tcPr>
            <w:tcW w:w="1701" w:type="dxa"/>
            <w:vAlign w:val="center"/>
          </w:tcPr>
          <w:p w14:paraId="6BAD1B72" w14:textId="77777777" w:rsidR="00454A29" w:rsidRDefault="00454A29">
            <w:pPr>
              <w:pStyle w:val="ConsPlusNormal"/>
              <w:jc w:val="center"/>
            </w:pPr>
            <w:r>
              <w:t>242 229,22</w:t>
            </w:r>
          </w:p>
        </w:tc>
        <w:tc>
          <w:tcPr>
            <w:tcW w:w="1701" w:type="dxa"/>
            <w:vAlign w:val="center"/>
          </w:tcPr>
          <w:p w14:paraId="6B02DB3F" w14:textId="77777777" w:rsidR="00454A29" w:rsidRDefault="00454A29">
            <w:pPr>
              <w:pStyle w:val="ConsPlusNormal"/>
              <w:jc w:val="center"/>
            </w:pPr>
            <w:r>
              <w:t>-</w:t>
            </w:r>
          </w:p>
        </w:tc>
        <w:tc>
          <w:tcPr>
            <w:tcW w:w="1814" w:type="dxa"/>
            <w:vAlign w:val="center"/>
          </w:tcPr>
          <w:p w14:paraId="67A20362" w14:textId="77777777" w:rsidR="00454A29" w:rsidRDefault="00454A29">
            <w:pPr>
              <w:pStyle w:val="ConsPlusNormal"/>
              <w:jc w:val="center"/>
            </w:pPr>
            <w:r>
              <w:t>-</w:t>
            </w:r>
          </w:p>
        </w:tc>
      </w:tr>
      <w:tr w:rsidR="00454A29" w14:paraId="32303A1F" w14:textId="77777777">
        <w:tc>
          <w:tcPr>
            <w:tcW w:w="567" w:type="dxa"/>
            <w:vMerge/>
          </w:tcPr>
          <w:p w14:paraId="465DACFE" w14:textId="77777777" w:rsidR="00454A29" w:rsidRDefault="00454A29"/>
        </w:tc>
        <w:tc>
          <w:tcPr>
            <w:tcW w:w="3345" w:type="dxa"/>
            <w:vMerge/>
          </w:tcPr>
          <w:p w14:paraId="12C266DD" w14:textId="77777777" w:rsidR="00454A29" w:rsidRDefault="00454A29"/>
        </w:tc>
        <w:tc>
          <w:tcPr>
            <w:tcW w:w="1701" w:type="dxa"/>
            <w:vAlign w:val="center"/>
          </w:tcPr>
          <w:p w14:paraId="46F0F6EA" w14:textId="77777777" w:rsidR="00454A29" w:rsidRDefault="00454A29">
            <w:pPr>
              <w:pStyle w:val="ConsPlusNormal"/>
              <w:jc w:val="center"/>
            </w:pPr>
            <w:r>
              <w:t>2020</w:t>
            </w:r>
          </w:p>
        </w:tc>
        <w:tc>
          <w:tcPr>
            <w:tcW w:w="1417" w:type="dxa"/>
            <w:vMerge/>
          </w:tcPr>
          <w:p w14:paraId="253D458D" w14:textId="77777777" w:rsidR="00454A29" w:rsidRDefault="00454A29"/>
        </w:tc>
        <w:tc>
          <w:tcPr>
            <w:tcW w:w="2204" w:type="dxa"/>
            <w:vMerge/>
          </w:tcPr>
          <w:p w14:paraId="3AA20432" w14:textId="77777777" w:rsidR="00454A29" w:rsidRDefault="00454A29"/>
        </w:tc>
        <w:tc>
          <w:tcPr>
            <w:tcW w:w="1417" w:type="dxa"/>
            <w:vMerge/>
          </w:tcPr>
          <w:p w14:paraId="7487C110" w14:textId="77777777" w:rsidR="00454A29" w:rsidRDefault="00454A29"/>
        </w:tc>
        <w:tc>
          <w:tcPr>
            <w:tcW w:w="2324" w:type="dxa"/>
            <w:vMerge/>
          </w:tcPr>
          <w:p w14:paraId="170666EB" w14:textId="77777777" w:rsidR="00454A29" w:rsidRDefault="00454A29"/>
        </w:tc>
        <w:tc>
          <w:tcPr>
            <w:tcW w:w="1701" w:type="dxa"/>
            <w:vAlign w:val="center"/>
          </w:tcPr>
          <w:p w14:paraId="6BA7129F" w14:textId="77777777" w:rsidR="00454A29" w:rsidRDefault="00454A29">
            <w:pPr>
              <w:pStyle w:val="ConsPlusNormal"/>
            </w:pPr>
          </w:p>
        </w:tc>
        <w:tc>
          <w:tcPr>
            <w:tcW w:w="1814" w:type="dxa"/>
            <w:vAlign w:val="center"/>
          </w:tcPr>
          <w:p w14:paraId="03824205" w14:textId="77777777" w:rsidR="00454A29" w:rsidRDefault="00454A29">
            <w:pPr>
              <w:pStyle w:val="ConsPlusNormal"/>
            </w:pPr>
          </w:p>
        </w:tc>
        <w:tc>
          <w:tcPr>
            <w:tcW w:w="1701" w:type="dxa"/>
            <w:vAlign w:val="center"/>
          </w:tcPr>
          <w:p w14:paraId="372B6ECB" w14:textId="77777777" w:rsidR="00454A29" w:rsidRDefault="00454A29">
            <w:pPr>
              <w:pStyle w:val="ConsPlusNormal"/>
            </w:pPr>
          </w:p>
        </w:tc>
        <w:tc>
          <w:tcPr>
            <w:tcW w:w="1701" w:type="dxa"/>
            <w:vAlign w:val="center"/>
          </w:tcPr>
          <w:p w14:paraId="18462556" w14:textId="77777777" w:rsidR="00454A29" w:rsidRDefault="00454A29">
            <w:pPr>
              <w:pStyle w:val="ConsPlusNormal"/>
            </w:pPr>
          </w:p>
        </w:tc>
        <w:tc>
          <w:tcPr>
            <w:tcW w:w="1814" w:type="dxa"/>
            <w:vAlign w:val="center"/>
          </w:tcPr>
          <w:p w14:paraId="56130193" w14:textId="77777777" w:rsidR="00454A29" w:rsidRDefault="00454A29">
            <w:pPr>
              <w:pStyle w:val="ConsPlusNormal"/>
            </w:pPr>
          </w:p>
        </w:tc>
      </w:tr>
      <w:tr w:rsidR="00454A29" w14:paraId="32F863BB" w14:textId="77777777">
        <w:tc>
          <w:tcPr>
            <w:tcW w:w="567" w:type="dxa"/>
            <w:vMerge/>
          </w:tcPr>
          <w:p w14:paraId="7F32894E" w14:textId="77777777" w:rsidR="00454A29" w:rsidRDefault="00454A29"/>
        </w:tc>
        <w:tc>
          <w:tcPr>
            <w:tcW w:w="3345" w:type="dxa"/>
            <w:vMerge/>
          </w:tcPr>
          <w:p w14:paraId="50CA7191" w14:textId="77777777" w:rsidR="00454A29" w:rsidRDefault="00454A29"/>
        </w:tc>
        <w:tc>
          <w:tcPr>
            <w:tcW w:w="1701" w:type="dxa"/>
            <w:vAlign w:val="center"/>
          </w:tcPr>
          <w:p w14:paraId="0173A7D0" w14:textId="77777777" w:rsidR="00454A29" w:rsidRDefault="00454A29">
            <w:pPr>
              <w:pStyle w:val="ConsPlusNormal"/>
              <w:jc w:val="center"/>
            </w:pPr>
            <w:r>
              <w:t>2021</w:t>
            </w:r>
          </w:p>
        </w:tc>
        <w:tc>
          <w:tcPr>
            <w:tcW w:w="1417" w:type="dxa"/>
            <w:vMerge/>
          </w:tcPr>
          <w:p w14:paraId="4CF98BC3" w14:textId="77777777" w:rsidR="00454A29" w:rsidRDefault="00454A29"/>
        </w:tc>
        <w:tc>
          <w:tcPr>
            <w:tcW w:w="2204" w:type="dxa"/>
            <w:vMerge/>
          </w:tcPr>
          <w:p w14:paraId="1C739055" w14:textId="77777777" w:rsidR="00454A29" w:rsidRDefault="00454A29"/>
        </w:tc>
        <w:tc>
          <w:tcPr>
            <w:tcW w:w="1417" w:type="dxa"/>
            <w:vMerge/>
          </w:tcPr>
          <w:p w14:paraId="1874DFAD" w14:textId="77777777" w:rsidR="00454A29" w:rsidRDefault="00454A29"/>
        </w:tc>
        <w:tc>
          <w:tcPr>
            <w:tcW w:w="2324" w:type="dxa"/>
            <w:vMerge/>
          </w:tcPr>
          <w:p w14:paraId="56B5BEAC" w14:textId="77777777" w:rsidR="00454A29" w:rsidRDefault="00454A29"/>
        </w:tc>
        <w:tc>
          <w:tcPr>
            <w:tcW w:w="1701" w:type="dxa"/>
            <w:vAlign w:val="center"/>
          </w:tcPr>
          <w:p w14:paraId="1560A9A0" w14:textId="77777777" w:rsidR="00454A29" w:rsidRDefault="00454A29">
            <w:pPr>
              <w:pStyle w:val="ConsPlusNormal"/>
              <w:jc w:val="center"/>
            </w:pPr>
            <w:r>
              <w:t>-</w:t>
            </w:r>
          </w:p>
        </w:tc>
        <w:tc>
          <w:tcPr>
            <w:tcW w:w="1814" w:type="dxa"/>
            <w:vAlign w:val="center"/>
          </w:tcPr>
          <w:p w14:paraId="38580A22" w14:textId="77777777" w:rsidR="00454A29" w:rsidRDefault="00454A29">
            <w:pPr>
              <w:pStyle w:val="ConsPlusNormal"/>
            </w:pPr>
          </w:p>
        </w:tc>
        <w:tc>
          <w:tcPr>
            <w:tcW w:w="1701" w:type="dxa"/>
            <w:vAlign w:val="center"/>
          </w:tcPr>
          <w:p w14:paraId="24899E3C" w14:textId="77777777" w:rsidR="00454A29" w:rsidRDefault="00454A29">
            <w:pPr>
              <w:pStyle w:val="ConsPlusNormal"/>
            </w:pPr>
          </w:p>
        </w:tc>
        <w:tc>
          <w:tcPr>
            <w:tcW w:w="1701" w:type="dxa"/>
            <w:vAlign w:val="center"/>
          </w:tcPr>
          <w:p w14:paraId="4E881C24" w14:textId="77777777" w:rsidR="00454A29" w:rsidRDefault="00454A29">
            <w:pPr>
              <w:pStyle w:val="ConsPlusNormal"/>
            </w:pPr>
          </w:p>
        </w:tc>
        <w:tc>
          <w:tcPr>
            <w:tcW w:w="1814" w:type="dxa"/>
            <w:vAlign w:val="center"/>
          </w:tcPr>
          <w:p w14:paraId="56AC81B2" w14:textId="77777777" w:rsidR="00454A29" w:rsidRDefault="00454A29">
            <w:pPr>
              <w:pStyle w:val="ConsPlusNormal"/>
            </w:pPr>
          </w:p>
        </w:tc>
      </w:tr>
      <w:tr w:rsidR="00454A29" w14:paraId="45E3188B" w14:textId="77777777">
        <w:tc>
          <w:tcPr>
            <w:tcW w:w="567" w:type="dxa"/>
            <w:vMerge/>
          </w:tcPr>
          <w:p w14:paraId="7E16BD25" w14:textId="77777777" w:rsidR="00454A29" w:rsidRDefault="00454A29"/>
        </w:tc>
        <w:tc>
          <w:tcPr>
            <w:tcW w:w="3345" w:type="dxa"/>
            <w:vMerge/>
          </w:tcPr>
          <w:p w14:paraId="496327D5" w14:textId="77777777" w:rsidR="00454A29" w:rsidRDefault="00454A29"/>
        </w:tc>
        <w:tc>
          <w:tcPr>
            <w:tcW w:w="1701" w:type="dxa"/>
            <w:vAlign w:val="center"/>
          </w:tcPr>
          <w:p w14:paraId="7BFBE5BA" w14:textId="77777777" w:rsidR="00454A29" w:rsidRDefault="00454A29">
            <w:pPr>
              <w:pStyle w:val="ConsPlusNormal"/>
              <w:jc w:val="center"/>
            </w:pPr>
            <w:r>
              <w:t>2022</w:t>
            </w:r>
          </w:p>
        </w:tc>
        <w:tc>
          <w:tcPr>
            <w:tcW w:w="1417" w:type="dxa"/>
            <w:vMerge/>
          </w:tcPr>
          <w:p w14:paraId="09A8F820" w14:textId="77777777" w:rsidR="00454A29" w:rsidRDefault="00454A29"/>
        </w:tc>
        <w:tc>
          <w:tcPr>
            <w:tcW w:w="2204" w:type="dxa"/>
            <w:vMerge/>
          </w:tcPr>
          <w:p w14:paraId="3243984D" w14:textId="77777777" w:rsidR="00454A29" w:rsidRDefault="00454A29"/>
        </w:tc>
        <w:tc>
          <w:tcPr>
            <w:tcW w:w="1417" w:type="dxa"/>
            <w:vMerge/>
          </w:tcPr>
          <w:p w14:paraId="6636900C" w14:textId="77777777" w:rsidR="00454A29" w:rsidRDefault="00454A29"/>
        </w:tc>
        <w:tc>
          <w:tcPr>
            <w:tcW w:w="2324" w:type="dxa"/>
            <w:vMerge/>
          </w:tcPr>
          <w:p w14:paraId="5641008A" w14:textId="77777777" w:rsidR="00454A29" w:rsidRDefault="00454A29"/>
        </w:tc>
        <w:tc>
          <w:tcPr>
            <w:tcW w:w="1701" w:type="dxa"/>
            <w:vAlign w:val="center"/>
          </w:tcPr>
          <w:p w14:paraId="16BE825B" w14:textId="77777777" w:rsidR="00454A29" w:rsidRDefault="00454A29">
            <w:pPr>
              <w:pStyle w:val="ConsPlusNormal"/>
            </w:pPr>
          </w:p>
        </w:tc>
        <w:tc>
          <w:tcPr>
            <w:tcW w:w="1814" w:type="dxa"/>
            <w:vAlign w:val="center"/>
          </w:tcPr>
          <w:p w14:paraId="259B96D5" w14:textId="77777777" w:rsidR="00454A29" w:rsidRDefault="00454A29">
            <w:pPr>
              <w:pStyle w:val="ConsPlusNormal"/>
            </w:pPr>
          </w:p>
        </w:tc>
        <w:tc>
          <w:tcPr>
            <w:tcW w:w="1701" w:type="dxa"/>
            <w:vAlign w:val="center"/>
          </w:tcPr>
          <w:p w14:paraId="5CF61E94" w14:textId="77777777" w:rsidR="00454A29" w:rsidRDefault="00454A29">
            <w:pPr>
              <w:pStyle w:val="ConsPlusNormal"/>
            </w:pPr>
          </w:p>
        </w:tc>
        <w:tc>
          <w:tcPr>
            <w:tcW w:w="1701" w:type="dxa"/>
            <w:vAlign w:val="center"/>
          </w:tcPr>
          <w:p w14:paraId="68FFEC41" w14:textId="77777777" w:rsidR="00454A29" w:rsidRDefault="00454A29">
            <w:pPr>
              <w:pStyle w:val="ConsPlusNormal"/>
            </w:pPr>
          </w:p>
        </w:tc>
        <w:tc>
          <w:tcPr>
            <w:tcW w:w="1814" w:type="dxa"/>
            <w:vAlign w:val="center"/>
          </w:tcPr>
          <w:p w14:paraId="3D17674F" w14:textId="77777777" w:rsidR="00454A29" w:rsidRDefault="00454A29">
            <w:pPr>
              <w:pStyle w:val="ConsPlusNormal"/>
            </w:pPr>
          </w:p>
        </w:tc>
      </w:tr>
      <w:tr w:rsidR="00454A29" w14:paraId="337B5A3F" w14:textId="77777777">
        <w:tc>
          <w:tcPr>
            <w:tcW w:w="567" w:type="dxa"/>
            <w:vMerge/>
          </w:tcPr>
          <w:p w14:paraId="343153FB" w14:textId="77777777" w:rsidR="00454A29" w:rsidRDefault="00454A29"/>
        </w:tc>
        <w:tc>
          <w:tcPr>
            <w:tcW w:w="3345" w:type="dxa"/>
            <w:vMerge/>
          </w:tcPr>
          <w:p w14:paraId="636F8299" w14:textId="77777777" w:rsidR="00454A29" w:rsidRDefault="00454A29"/>
        </w:tc>
        <w:tc>
          <w:tcPr>
            <w:tcW w:w="1701" w:type="dxa"/>
            <w:vAlign w:val="center"/>
          </w:tcPr>
          <w:p w14:paraId="47F20D2F" w14:textId="77777777" w:rsidR="00454A29" w:rsidRDefault="00454A29">
            <w:pPr>
              <w:pStyle w:val="ConsPlusNormal"/>
              <w:jc w:val="center"/>
            </w:pPr>
            <w:r>
              <w:t>2023</w:t>
            </w:r>
          </w:p>
        </w:tc>
        <w:tc>
          <w:tcPr>
            <w:tcW w:w="1417" w:type="dxa"/>
            <w:vMerge/>
          </w:tcPr>
          <w:p w14:paraId="2BF0A99B" w14:textId="77777777" w:rsidR="00454A29" w:rsidRDefault="00454A29"/>
        </w:tc>
        <w:tc>
          <w:tcPr>
            <w:tcW w:w="2204" w:type="dxa"/>
            <w:vMerge/>
          </w:tcPr>
          <w:p w14:paraId="4AA75781" w14:textId="77777777" w:rsidR="00454A29" w:rsidRDefault="00454A29"/>
        </w:tc>
        <w:tc>
          <w:tcPr>
            <w:tcW w:w="1417" w:type="dxa"/>
            <w:vMerge/>
          </w:tcPr>
          <w:p w14:paraId="10D4D28C" w14:textId="77777777" w:rsidR="00454A29" w:rsidRDefault="00454A29"/>
        </w:tc>
        <w:tc>
          <w:tcPr>
            <w:tcW w:w="2324" w:type="dxa"/>
            <w:vMerge/>
          </w:tcPr>
          <w:p w14:paraId="4F9E00CD" w14:textId="77777777" w:rsidR="00454A29" w:rsidRDefault="00454A29"/>
        </w:tc>
        <w:tc>
          <w:tcPr>
            <w:tcW w:w="1701" w:type="dxa"/>
            <w:vAlign w:val="center"/>
          </w:tcPr>
          <w:p w14:paraId="7B919E4C" w14:textId="77777777" w:rsidR="00454A29" w:rsidRDefault="00454A29">
            <w:pPr>
              <w:pStyle w:val="ConsPlusNormal"/>
              <w:jc w:val="center"/>
            </w:pPr>
            <w:r>
              <w:t>104 171,06</w:t>
            </w:r>
          </w:p>
        </w:tc>
        <w:tc>
          <w:tcPr>
            <w:tcW w:w="1814" w:type="dxa"/>
            <w:vAlign w:val="center"/>
          </w:tcPr>
          <w:p w14:paraId="1C72C40B" w14:textId="77777777" w:rsidR="00454A29" w:rsidRDefault="00454A29">
            <w:pPr>
              <w:pStyle w:val="ConsPlusNormal"/>
              <w:jc w:val="center"/>
            </w:pPr>
            <w:r>
              <w:t>1 041,71</w:t>
            </w:r>
          </w:p>
        </w:tc>
        <w:tc>
          <w:tcPr>
            <w:tcW w:w="1701" w:type="dxa"/>
            <w:vAlign w:val="center"/>
          </w:tcPr>
          <w:p w14:paraId="79D7AC57" w14:textId="77777777" w:rsidR="00454A29" w:rsidRDefault="00454A29">
            <w:pPr>
              <w:pStyle w:val="ConsPlusNormal"/>
              <w:jc w:val="center"/>
            </w:pPr>
            <w:r>
              <w:t>103 129,35</w:t>
            </w:r>
          </w:p>
        </w:tc>
        <w:tc>
          <w:tcPr>
            <w:tcW w:w="1701" w:type="dxa"/>
            <w:vAlign w:val="center"/>
          </w:tcPr>
          <w:p w14:paraId="61FB7758" w14:textId="77777777" w:rsidR="00454A29" w:rsidRDefault="00454A29">
            <w:pPr>
              <w:pStyle w:val="ConsPlusNormal"/>
            </w:pPr>
          </w:p>
        </w:tc>
        <w:tc>
          <w:tcPr>
            <w:tcW w:w="1814" w:type="dxa"/>
            <w:vAlign w:val="center"/>
          </w:tcPr>
          <w:p w14:paraId="071E60FC" w14:textId="77777777" w:rsidR="00454A29" w:rsidRDefault="00454A29">
            <w:pPr>
              <w:pStyle w:val="ConsPlusNormal"/>
            </w:pPr>
          </w:p>
        </w:tc>
      </w:tr>
      <w:tr w:rsidR="00454A29" w14:paraId="6858FF41" w14:textId="77777777">
        <w:tc>
          <w:tcPr>
            <w:tcW w:w="567" w:type="dxa"/>
            <w:vMerge/>
          </w:tcPr>
          <w:p w14:paraId="1E41ED4B" w14:textId="77777777" w:rsidR="00454A29" w:rsidRDefault="00454A29"/>
        </w:tc>
        <w:tc>
          <w:tcPr>
            <w:tcW w:w="3345" w:type="dxa"/>
            <w:vMerge/>
          </w:tcPr>
          <w:p w14:paraId="623917E2" w14:textId="77777777" w:rsidR="00454A29" w:rsidRDefault="00454A29"/>
        </w:tc>
        <w:tc>
          <w:tcPr>
            <w:tcW w:w="1701" w:type="dxa"/>
            <w:vAlign w:val="center"/>
          </w:tcPr>
          <w:p w14:paraId="43561770" w14:textId="77777777" w:rsidR="00454A29" w:rsidRDefault="00454A29">
            <w:pPr>
              <w:pStyle w:val="ConsPlusNormal"/>
              <w:jc w:val="center"/>
            </w:pPr>
            <w:r>
              <w:t>2024</w:t>
            </w:r>
          </w:p>
        </w:tc>
        <w:tc>
          <w:tcPr>
            <w:tcW w:w="1417" w:type="dxa"/>
            <w:vMerge/>
          </w:tcPr>
          <w:p w14:paraId="58CDF176" w14:textId="77777777" w:rsidR="00454A29" w:rsidRDefault="00454A29"/>
        </w:tc>
        <w:tc>
          <w:tcPr>
            <w:tcW w:w="2204" w:type="dxa"/>
            <w:vMerge/>
          </w:tcPr>
          <w:p w14:paraId="6FB52A89" w14:textId="77777777" w:rsidR="00454A29" w:rsidRDefault="00454A29"/>
        </w:tc>
        <w:tc>
          <w:tcPr>
            <w:tcW w:w="1417" w:type="dxa"/>
            <w:vMerge/>
          </w:tcPr>
          <w:p w14:paraId="142DAE7A" w14:textId="77777777" w:rsidR="00454A29" w:rsidRDefault="00454A29"/>
        </w:tc>
        <w:tc>
          <w:tcPr>
            <w:tcW w:w="2324" w:type="dxa"/>
            <w:vMerge/>
          </w:tcPr>
          <w:p w14:paraId="378B3698" w14:textId="77777777" w:rsidR="00454A29" w:rsidRDefault="00454A29"/>
        </w:tc>
        <w:tc>
          <w:tcPr>
            <w:tcW w:w="1701" w:type="dxa"/>
            <w:vAlign w:val="center"/>
          </w:tcPr>
          <w:p w14:paraId="72BA2880" w14:textId="77777777" w:rsidR="00454A29" w:rsidRDefault="00454A29">
            <w:pPr>
              <w:pStyle w:val="ConsPlusNormal"/>
              <w:jc w:val="center"/>
            </w:pPr>
            <w:r>
              <w:t>140 504,92</w:t>
            </w:r>
          </w:p>
        </w:tc>
        <w:tc>
          <w:tcPr>
            <w:tcW w:w="1814" w:type="dxa"/>
            <w:vAlign w:val="center"/>
          </w:tcPr>
          <w:p w14:paraId="6AB0BB0C" w14:textId="77777777" w:rsidR="00454A29" w:rsidRDefault="00454A29">
            <w:pPr>
              <w:pStyle w:val="ConsPlusNormal"/>
              <w:jc w:val="center"/>
            </w:pPr>
            <w:r>
              <w:t>1 405,05</w:t>
            </w:r>
          </w:p>
        </w:tc>
        <w:tc>
          <w:tcPr>
            <w:tcW w:w="1701" w:type="dxa"/>
            <w:vAlign w:val="center"/>
          </w:tcPr>
          <w:p w14:paraId="1904A1A4" w14:textId="77777777" w:rsidR="00454A29" w:rsidRDefault="00454A29">
            <w:pPr>
              <w:pStyle w:val="ConsPlusNormal"/>
              <w:jc w:val="center"/>
            </w:pPr>
            <w:r>
              <w:t>139 099,87</w:t>
            </w:r>
          </w:p>
        </w:tc>
        <w:tc>
          <w:tcPr>
            <w:tcW w:w="1701" w:type="dxa"/>
            <w:vAlign w:val="center"/>
          </w:tcPr>
          <w:p w14:paraId="61B9C1BB" w14:textId="77777777" w:rsidR="00454A29" w:rsidRDefault="00454A29">
            <w:pPr>
              <w:pStyle w:val="ConsPlusNormal"/>
            </w:pPr>
          </w:p>
        </w:tc>
        <w:tc>
          <w:tcPr>
            <w:tcW w:w="1814" w:type="dxa"/>
            <w:vAlign w:val="center"/>
          </w:tcPr>
          <w:p w14:paraId="2E4A02C5" w14:textId="77777777" w:rsidR="00454A29" w:rsidRDefault="00454A29">
            <w:pPr>
              <w:pStyle w:val="ConsPlusNormal"/>
            </w:pPr>
          </w:p>
        </w:tc>
      </w:tr>
      <w:tr w:rsidR="00454A29" w14:paraId="0754B75A" w14:textId="77777777">
        <w:tc>
          <w:tcPr>
            <w:tcW w:w="567" w:type="dxa"/>
            <w:vMerge/>
          </w:tcPr>
          <w:p w14:paraId="39454997" w14:textId="77777777" w:rsidR="00454A29" w:rsidRDefault="00454A29"/>
        </w:tc>
        <w:tc>
          <w:tcPr>
            <w:tcW w:w="3345" w:type="dxa"/>
            <w:vMerge/>
          </w:tcPr>
          <w:p w14:paraId="3224EBB1" w14:textId="77777777" w:rsidR="00454A29" w:rsidRDefault="00454A29"/>
        </w:tc>
        <w:tc>
          <w:tcPr>
            <w:tcW w:w="1701" w:type="dxa"/>
            <w:vAlign w:val="center"/>
          </w:tcPr>
          <w:p w14:paraId="4D72A3DE" w14:textId="77777777" w:rsidR="00454A29" w:rsidRDefault="00454A29">
            <w:pPr>
              <w:pStyle w:val="ConsPlusNormal"/>
              <w:jc w:val="center"/>
            </w:pPr>
            <w:r>
              <w:t>2025</w:t>
            </w:r>
          </w:p>
        </w:tc>
        <w:tc>
          <w:tcPr>
            <w:tcW w:w="1417" w:type="dxa"/>
            <w:vMerge/>
          </w:tcPr>
          <w:p w14:paraId="420548D3" w14:textId="77777777" w:rsidR="00454A29" w:rsidRDefault="00454A29"/>
        </w:tc>
        <w:tc>
          <w:tcPr>
            <w:tcW w:w="2204" w:type="dxa"/>
            <w:vMerge/>
          </w:tcPr>
          <w:p w14:paraId="5FC7A3F0" w14:textId="77777777" w:rsidR="00454A29" w:rsidRDefault="00454A29"/>
        </w:tc>
        <w:tc>
          <w:tcPr>
            <w:tcW w:w="1417" w:type="dxa"/>
            <w:vMerge/>
          </w:tcPr>
          <w:p w14:paraId="08E90D80" w14:textId="77777777" w:rsidR="00454A29" w:rsidRDefault="00454A29"/>
        </w:tc>
        <w:tc>
          <w:tcPr>
            <w:tcW w:w="2324" w:type="dxa"/>
            <w:vMerge/>
          </w:tcPr>
          <w:p w14:paraId="6FB79CC5" w14:textId="77777777" w:rsidR="00454A29" w:rsidRDefault="00454A29"/>
        </w:tc>
        <w:tc>
          <w:tcPr>
            <w:tcW w:w="1701" w:type="dxa"/>
            <w:vAlign w:val="center"/>
          </w:tcPr>
          <w:p w14:paraId="72063763" w14:textId="77777777" w:rsidR="00454A29" w:rsidRDefault="00454A29">
            <w:pPr>
              <w:pStyle w:val="ConsPlusNormal"/>
            </w:pPr>
          </w:p>
        </w:tc>
        <w:tc>
          <w:tcPr>
            <w:tcW w:w="1814" w:type="dxa"/>
            <w:vAlign w:val="center"/>
          </w:tcPr>
          <w:p w14:paraId="7387BAB0" w14:textId="77777777" w:rsidR="00454A29" w:rsidRDefault="00454A29">
            <w:pPr>
              <w:pStyle w:val="ConsPlusNormal"/>
            </w:pPr>
          </w:p>
        </w:tc>
        <w:tc>
          <w:tcPr>
            <w:tcW w:w="1701" w:type="dxa"/>
            <w:vAlign w:val="center"/>
          </w:tcPr>
          <w:p w14:paraId="3911D72B" w14:textId="77777777" w:rsidR="00454A29" w:rsidRDefault="00454A29">
            <w:pPr>
              <w:pStyle w:val="ConsPlusNormal"/>
            </w:pPr>
          </w:p>
        </w:tc>
        <w:tc>
          <w:tcPr>
            <w:tcW w:w="1701" w:type="dxa"/>
            <w:vAlign w:val="center"/>
          </w:tcPr>
          <w:p w14:paraId="7C784F61" w14:textId="77777777" w:rsidR="00454A29" w:rsidRDefault="00454A29">
            <w:pPr>
              <w:pStyle w:val="ConsPlusNormal"/>
            </w:pPr>
          </w:p>
        </w:tc>
        <w:tc>
          <w:tcPr>
            <w:tcW w:w="1814" w:type="dxa"/>
            <w:vAlign w:val="center"/>
          </w:tcPr>
          <w:p w14:paraId="2E8A365F" w14:textId="77777777" w:rsidR="00454A29" w:rsidRDefault="00454A29">
            <w:pPr>
              <w:pStyle w:val="ConsPlusNormal"/>
            </w:pPr>
          </w:p>
        </w:tc>
      </w:tr>
      <w:tr w:rsidR="00454A29" w14:paraId="04963B5F" w14:textId="77777777">
        <w:tc>
          <w:tcPr>
            <w:tcW w:w="567" w:type="dxa"/>
            <w:vMerge/>
          </w:tcPr>
          <w:p w14:paraId="580AAD31" w14:textId="77777777" w:rsidR="00454A29" w:rsidRDefault="00454A29"/>
        </w:tc>
        <w:tc>
          <w:tcPr>
            <w:tcW w:w="3345" w:type="dxa"/>
            <w:vMerge/>
          </w:tcPr>
          <w:p w14:paraId="2CA3252A" w14:textId="77777777" w:rsidR="00454A29" w:rsidRDefault="00454A29"/>
        </w:tc>
        <w:tc>
          <w:tcPr>
            <w:tcW w:w="1701" w:type="dxa"/>
            <w:vAlign w:val="center"/>
          </w:tcPr>
          <w:p w14:paraId="09D59979" w14:textId="77777777" w:rsidR="00454A29" w:rsidRDefault="00454A29">
            <w:pPr>
              <w:pStyle w:val="ConsPlusNormal"/>
              <w:jc w:val="center"/>
            </w:pPr>
            <w:r>
              <w:t>2026</w:t>
            </w:r>
          </w:p>
        </w:tc>
        <w:tc>
          <w:tcPr>
            <w:tcW w:w="1417" w:type="dxa"/>
            <w:vMerge/>
          </w:tcPr>
          <w:p w14:paraId="626D68EF" w14:textId="77777777" w:rsidR="00454A29" w:rsidRDefault="00454A29"/>
        </w:tc>
        <w:tc>
          <w:tcPr>
            <w:tcW w:w="2204" w:type="dxa"/>
            <w:vMerge/>
          </w:tcPr>
          <w:p w14:paraId="1A5F7896" w14:textId="77777777" w:rsidR="00454A29" w:rsidRDefault="00454A29"/>
        </w:tc>
        <w:tc>
          <w:tcPr>
            <w:tcW w:w="1417" w:type="dxa"/>
            <w:vMerge/>
          </w:tcPr>
          <w:p w14:paraId="5BA1CB36" w14:textId="77777777" w:rsidR="00454A29" w:rsidRDefault="00454A29"/>
        </w:tc>
        <w:tc>
          <w:tcPr>
            <w:tcW w:w="2324" w:type="dxa"/>
            <w:vMerge/>
          </w:tcPr>
          <w:p w14:paraId="68FDC3B6" w14:textId="77777777" w:rsidR="00454A29" w:rsidRDefault="00454A29"/>
        </w:tc>
        <w:tc>
          <w:tcPr>
            <w:tcW w:w="1701" w:type="dxa"/>
            <w:vAlign w:val="center"/>
          </w:tcPr>
          <w:p w14:paraId="6A4A08F0" w14:textId="77777777" w:rsidR="00454A29" w:rsidRDefault="00454A29">
            <w:pPr>
              <w:pStyle w:val="ConsPlusNormal"/>
            </w:pPr>
          </w:p>
        </w:tc>
        <w:tc>
          <w:tcPr>
            <w:tcW w:w="1814" w:type="dxa"/>
            <w:vAlign w:val="center"/>
          </w:tcPr>
          <w:p w14:paraId="3545C7A3" w14:textId="77777777" w:rsidR="00454A29" w:rsidRDefault="00454A29">
            <w:pPr>
              <w:pStyle w:val="ConsPlusNormal"/>
            </w:pPr>
          </w:p>
        </w:tc>
        <w:tc>
          <w:tcPr>
            <w:tcW w:w="1701" w:type="dxa"/>
            <w:vAlign w:val="center"/>
          </w:tcPr>
          <w:p w14:paraId="510899FF" w14:textId="77777777" w:rsidR="00454A29" w:rsidRDefault="00454A29">
            <w:pPr>
              <w:pStyle w:val="ConsPlusNormal"/>
            </w:pPr>
          </w:p>
        </w:tc>
        <w:tc>
          <w:tcPr>
            <w:tcW w:w="1701" w:type="dxa"/>
            <w:vAlign w:val="center"/>
          </w:tcPr>
          <w:p w14:paraId="5208A70C" w14:textId="77777777" w:rsidR="00454A29" w:rsidRDefault="00454A29">
            <w:pPr>
              <w:pStyle w:val="ConsPlusNormal"/>
            </w:pPr>
          </w:p>
        </w:tc>
        <w:tc>
          <w:tcPr>
            <w:tcW w:w="1814" w:type="dxa"/>
            <w:vAlign w:val="center"/>
          </w:tcPr>
          <w:p w14:paraId="30FD6847" w14:textId="77777777" w:rsidR="00454A29" w:rsidRDefault="00454A29">
            <w:pPr>
              <w:pStyle w:val="ConsPlusNormal"/>
            </w:pPr>
          </w:p>
        </w:tc>
      </w:tr>
      <w:tr w:rsidR="00454A29" w14:paraId="493DC635" w14:textId="77777777">
        <w:tc>
          <w:tcPr>
            <w:tcW w:w="567" w:type="dxa"/>
            <w:vMerge w:val="restart"/>
            <w:vAlign w:val="center"/>
          </w:tcPr>
          <w:p w14:paraId="12705B3F" w14:textId="77777777" w:rsidR="00454A29" w:rsidRDefault="00454A29">
            <w:pPr>
              <w:pStyle w:val="ConsPlusNormal"/>
              <w:jc w:val="center"/>
            </w:pPr>
            <w:r>
              <w:t>100</w:t>
            </w:r>
          </w:p>
        </w:tc>
        <w:tc>
          <w:tcPr>
            <w:tcW w:w="3345" w:type="dxa"/>
            <w:vMerge w:val="restart"/>
            <w:vAlign w:val="center"/>
          </w:tcPr>
          <w:p w14:paraId="7B69280C" w14:textId="77777777" w:rsidR="00454A29" w:rsidRDefault="00454A29">
            <w:pPr>
              <w:pStyle w:val="ConsPlusNormal"/>
              <w:jc w:val="center"/>
            </w:pPr>
            <w:r>
              <w:t>Школа-сад на 90/40 мест в с. Саныяхтах</w:t>
            </w:r>
          </w:p>
        </w:tc>
        <w:tc>
          <w:tcPr>
            <w:tcW w:w="1701" w:type="dxa"/>
            <w:vAlign w:val="center"/>
          </w:tcPr>
          <w:p w14:paraId="0C323BFD" w14:textId="77777777" w:rsidR="00454A29" w:rsidRDefault="00454A29">
            <w:pPr>
              <w:pStyle w:val="ConsPlusNormal"/>
              <w:jc w:val="center"/>
            </w:pPr>
            <w:r>
              <w:t>2020 - 2026 годы - всего</w:t>
            </w:r>
          </w:p>
        </w:tc>
        <w:tc>
          <w:tcPr>
            <w:tcW w:w="1417" w:type="dxa"/>
            <w:vMerge w:val="restart"/>
            <w:vAlign w:val="center"/>
          </w:tcPr>
          <w:p w14:paraId="7E34147A" w14:textId="77777777" w:rsidR="00454A29" w:rsidRDefault="00454A29">
            <w:pPr>
              <w:pStyle w:val="ConsPlusNormal"/>
              <w:jc w:val="center"/>
            </w:pPr>
            <w:r>
              <w:t>443 486,53</w:t>
            </w:r>
          </w:p>
        </w:tc>
        <w:tc>
          <w:tcPr>
            <w:tcW w:w="2204" w:type="dxa"/>
            <w:vMerge w:val="restart"/>
            <w:vAlign w:val="center"/>
          </w:tcPr>
          <w:p w14:paraId="2F0275AC" w14:textId="77777777" w:rsidR="00454A29" w:rsidRDefault="00454A29">
            <w:pPr>
              <w:pStyle w:val="ConsPlusNormal"/>
              <w:jc w:val="center"/>
            </w:pPr>
            <w:r>
              <w:t>имеется</w:t>
            </w:r>
          </w:p>
        </w:tc>
        <w:tc>
          <w:tcPr>
            <w:tcW w:w="1417" w:type="dxa"/>
            <w:vMerge w:val="restart"/>
            <w:vAlign w:val="center"/>
          </w:tcPr>
          <w:p w14:paraId="0C6909F3" w14:textId="77777777" w:rsidR="00454A29" w:rsidRDefault="00454A29">
            <w:pPr>
              <w:pStyle w:val="ConsPlusNormal"/>
              <w:jc w:val="center"/>
            </w:pPr>
            <w:r>
              <w:t>90</w:t>
            </w:r>
          </w:p>
        </w:tc>
        <w:tc>
          <w:tcPr>
            <w:tcW w:w="2324" w:type="dxa"/>
            <w:vMerge w:val="restart"/>
            <w:vAlign w:val="center"/>
          </w:tcPr>
          <w:p w14:paraId="34AF672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815F028" w14:textId="77777777" w:rsidR="00454A29" w:rsidRDefault="00454A29">
            <w:pPr>
              <w:pStyle w:val="ConsPlusNormal"/>
              <w:jc w:val="center"/>
            </w:pPr>
            <w:r>
              <w:t>443 486,53</w:t>
            </w:r>
          </w:p>
        </w:tc>
        <w:tc>
          <w:tcPr>
            <w:tcW w:w="1814" w:type="dxa"/>
            <w:vAlign w:val="center"/>
          </w:tcPr>
          <w:p w14:paraId="0CAAFAF6" w14:textId="77777777" w:rsidR="00454A29" w:rsidRDefault="00454A29">
            <w:pPr>
              <w:pStyle w:val="ConsPlusNormal"/>
              <w:jc w:val="center"/>
            </w:pPr>
            <w:r>
              <w:t>5 463,75</w:t>
            </w:r>
          </w:p>
        </w:tc>
        <w:tc>
          <w:tcPr>
            <w:tcW w:w="1701" w:type="dxa"/>
            <w:vAlign w:val="center"/>
          </w:tcPr>
          <w:p w14:paraId="166A6D56" w14:textId="77777777" w:rsidR="00454A29" w:rsidRDefault="00454A29">
            <w:pPr>
              <w:pStyle w:val="ConsPlusNormal"/>
              <w:jc w:val="center"/>
            </w:pPr>
            <w:r>
              <w:t>540 911,65</w:t>
            </w:r>
          </w:p>
        </w:tc>
        <w:tc>
          <w:tcPr>
            <w:tcW w:w="1701" w:type="dxa"/>
            <w:vAlign w:val="center"/>
          </w:tcPr>
          <w:p w14:paraId="0BF1380A" w14:textId="77777777" w:rsidR="00454A29" w:rsidRDefault="00454A29">
            <w:pPr>
              <w:pStyle w:val="ConsPlusNormal"/>
              <w:jc w:val="center"/>
            </w:pPr>
            <w:r>
              <w:t>-</w:t>
            </w:r>
          </w:p>
        </w:tc>
        <w:tc>
          <w:tcPr>
            <w:tcW w:w="1814" w:type="dxa"/>
            <w:vAlign w:val="center"/>
          </w:tcPr>
          <w:p w14:paraId="3FFF8929" w14:textId="77777777" w:rsidR="00454A29" w:rsidRDefault="00454A29">
            <w:pPr>
              <w:pStyle w:val="ConsPlusNormal"/>
              <w:jc w:val="center"/>
            </w:pPr>
            <w:r>
              <w:t>-</w:t>
            </w:r>
          </w:p>
        </w:tc>
      </w:tr>
      <w:tr w:rsidR="00454A29" w14:paraId="5B97F475" w14:textId="77777777">
        <w:tc>
          <w:tcPr>
            <w:tcW w:w="567" w:type="dxa"/>
            <w:vMerge/>
          </w:tcPr>
          <w:p w14:paraId="61E9B0B3" w14:textId="77777777" w:rsidR="00454A29" w:rsidRDefault="00454A29"/>
        </w:tc>
        <w:tc>
          <w:tcPr>
            <w:tcW w:w="3345" w:type="dxa"/>
            <w:vMerge/>
          </w:tcPr>
          <w:p w14:paraId="5D2CADE0" w14:textId="77777777" w:rsidR="00454A29" w:rsidRDefault="00454A29"/>
        </w:tc>
        <w:tc>
          <w:tcPr>
            <w:tcW w:w="1701" w:type="dxa"/>
            <w:vAlign w:val="center"/>
          </w:tcPr>
          <w:p w14:paraId="161744F7" w14:textId="77777777" w:rsidR="00454A29" w:rsidRDefault="00454A29">
            <w:pPr>
              <w:pStyle w:val="ConsPlusNormal"/>
              <w:jc w:val="center"/>
            </w:pPr>
            <w:r>
              <w:t>2020</w:t>
            </w:r>
          </w:p>
        </w:tc>
        <w:tc>
          <w:tcPr>
            <w:tcW w:w="1417" w:type="dxa"/>
            <w:vMerge/>
          </w:tcPr>
          <w:p w14:paraId="15BD825D" w14:textId="77777777" w:rsidR="00454A29" w:rsidRDefault="00454A29"/>
        </w:tc>
        <w:tc>
          <w:tcPr>
            <w:tcW w:w="2204" w:type="dxa"/>
            <w:vMerge/>
          </w:tcPr>
          <w:p w14:paraId="223ED9F7" w14:textId="77777777" w:rsidR="00454A29" w:rsidRDefault="00454A29"/>
        </w:tc>
        <w:tc>
          <w:tcPr>
            <w:tcW w:w="1417" w:type="dxa"/>
            <w:vMerge/>
          </w:tcPr>
          <w:p w14:paraId="603CAAB3" w14:textId="77777777" w:rsidR="00454A29" w:rsidRDefault="00454A29"/>
        </w:tc>
        <w:tc>
          <w:tcPr>
            <w:tcW w:w="2324" w:type="dxa"/>
            <w:vMerge/>
          </w:tcPr>
          <w:p w14:paraId="126D8A4B" w14:textId="77777777" w:rsidR="00454A29" w:rsidRDefault="00454A29"/>
        </w:tc>
        <w:tc>
          <w:tcPr>
            <w:tcW w:w="1701" w:type="dxa"/>
            <w:vAlign w:val="center"/>
          </w:tcPr>
          <w:p w14:paraId="0F5F1CFE" w14:textId="77777777" w:rsidR="00454A29" w:rsidRDefault="00454A29">
            <w:pPr>
              <w:pStyle w:val="ConsPlusNormal"/>
            </w:pPr>
          </w:p>
        </w:tc>
        <w:tc>
          <w:tcPr>
            <w:tcW w:w="1814" w:type="dxa"/>
            <w:vAlign w:val="center"/>
          </w:tcPr>
          <w:p w14:paraId="4EE7E329" w14:textId="77777777" w:rsidR="00454A29" w:rsidRDefault="00454A29">
            <w:pPr>
              <w:pStyle w:val="ConsPlusNormal"/>
            </w:pPr>
          </w:p>
        </w:tc>
        <w:tc>
          <w:tcPr>
            <w:tcW w:w="1701" w:type="dxa"/>
            <w:vAlign w:val="center"/>
          </w:tcPr>
          <w:p w14:paraId="31028026" w14:textId="77777777" w:rsidR="00454A29" w:rsidRDefault="00454A29">
            <w:pPr>
              <w:pStyle w:val="ConsPlusNormal"/>
            </w:pPr>
          </w:p>
        </w:tc>
        <w:tc>
          <w:tcPr>
            <w:tcW w:w="1701" w:type="dxa"/>
            <w:vAlign w:val="center"/>
          </w:tcPr>
          <w:p w14:paraId="47FB0CFE" w14:textId="77777777" w:rsidR="00454A29" w:rsidRDefault="00454A29">
            <w:pPr>
              <w:pStyle w:val="ConsPlusNormal"/>
            </w:pPr>
          </w:p>
        </w:tc>
        <w:tc>
          <w:tcPr>
            <w:tcW w:w="1814" w:type="dxa"/>
            <w:vAlign w:val="center"/>
          </w:tcPr>
          <w:p w14:paraId="052E484A" w14:textId="77777777" w:rsidR="00454A29" w:rsidRDefault="00454A29">
            <w:pPr>
              <w:pStyle w:val="ConsPlusNormal"/>
            </w:pPr>
          </w:p>
        </w:tc>
      </w:tr>
      <w:tr w:rsidR="00454A29" w14:paraId="5CD8B8AB" w14:textId="77777777">
        <w:tc>
          <w:tcPr>
            <w:tcW w:w="567" w:type="dxa"/>
            <w:vMerge/>
          </w:tcPr>
          <w:p w14:paraId="6F8A0178" w14:textId="77777777" w:rsidR="00454A29" w:rsidRDefault="00454A29"/>
        </w:tc>
        <w:tc>
          <w:tcPr>
            <w:tcW w:w="3345" w:type="dxa"/>
            <w:vMerge/>
          </w:tcPr>
          <w:p w14:paraId="1C67580D" w14:textId="77777777" w:rsidR="00454A29" w:rsidRDefault="00454A29"/>
        </w:tc>
        <w:tc>
          <w:tcPr>
            <w:tcW w:w="1701" w:type="dxa"/>
            <w:vAlign w:val="center"/>
          </w:tcPr>
          <w:p w14:paraId="43A99D26" w14:textId="77777777" w:rsidR="00454A29" w:rsidRDefault="00454A29">
            <w:pPr>
              <w:pStyle w:val="ConsPlusNormal"/>
              <w:jc w:val="center"/>
            </w:pPr>
            <w:r>
              <w:t>2021</w:t>
            </w:r>
          </w:p>
        </w:tc>
        <w:tc>
          <w:tcPr>
            <w:tcW w:w="1417" w:type="dxa"/>
            <w:vMerge/>
          </w:tcPr>
          <w:p w14:paraId="5CFE9E02" w14:textId="77777777" w:rsidR="00454A29" w:rsidRDefault="00454A29"/>
        </w:tc>
        <w:tc>
          <w:tcPr>
            <w:tcW w:w="2204" w:type="dxa"/>
            <w:vMerge/>
          </w:tcPr>
          <w:p w14:paraId="2F009F73" w14:textId="77777777" w:rsidR="00454A29" w:rsidRDefault="00454A29"/>
        </w:tc>
        <w:tc>
          <w:tcPr>
            <w:tcW w:w="1417" w:type="dxa"/>
            <w:vMerge/>
          </w:tcPr>
          <w:p w14:paraId="45F1C7C2" w14:textId="77777777" w:rsidR="00454A29" w:rsidRDefault="00454A29"/>
        </w:tc>
        <w:tc>
          <w:tcPr>
            <w:tcW w:w="2324" w:type="dxa"/>
            <w:vMerge/>
          </w:tcPr>
          <w:p w14:paraId="6789342B" w14:textId="77777777" w:rsidR="00454A29" w:rsidRDefault="00454A29"/>
        </w:tc>
        <w:tc>
          <w:tcPr>
            <w:tcW w:w="1701" w:type="dxa"/>
            <w:vAlign w:val="center"/>
          </w:tcPr>
          <w:p w14:paraId="15A33588" w14:textId="77777777" w:rsidR="00454A29" w:rsidRDefault="00454A29">
            <w:pPr>
              <w:pStyle w:val="ConsPlusNormal"/>
              <w:jc w:val="center"/>
            </w:pPr>
            <w:r>
              <w:t>-</w:t>
            </w:r>
          </w:p>
        </w:tc>
        <w:tc>
          <w:tcPr>
            <w:tcW w:w="1814" w:type="dxa"/>
            <w:vAlign w:val="center"/>
          </w:tcPr>
          <w:p w14:paraId="31496911" w14:textId="77777777" w:rsidR="00454A29" w:rsidRDefault="00454A29">
            <w:pPr>
              <w:pStyle w:val="ConsPlusNormal"/>
            </w:pPr>
          </w:p>
        </w:tc>
        <w:tc>
          <w:tcPr>
            <w:tcW w:w="1701" w:type="dxa"/>
            <w:vAlign w:val="center"/>
          </w:tcPr>
          <w:p w14:paraId="68506FAA" w14:textId="77777777" w:rsidR="00454A29" w:rsidRDefault="00454A29">
            <w:pPr>
              <w:pStyle w:val="ConsPlusNormal"/>
            </w:pPr>
          </w:p>
        </w:tc>
        <w:tc>
          <w:tcPr>
            <w:tcW w:w="1701" w:type="dxa"/>
            <w:vAlign w:val="center"/>
          </w:tcPr>
          <w:p w14:paraId="70D8B954" w14:textId="77777777" w:rsidR="00454A29" w:rsidRDefault="00454A29">
            <w:pPr>
              <w:pStyle w:val="ConsPlusNormal"/>
            </w:pPr>
          </w:p>
        </w:tc>
        <w:tc>
          <w:tcPr>
            <w:tcW w:w="1814" w:type="dxa"/>
            <w:vAlign w:val="center"/>
          </w:tcPr>
          <w:p w14:paraId="454AACEC" w14:textId="77777777" w:rsidR="00454A29" w:rsidRDefault="00454A29">
            <w:pPr>
              <w:pStyle w:val="ConsPlusNormal"/>
            </w:pPr>
          </w:p>
        </w:tc>
      </w:tr>
      <w:tr w:rsidR="00454A29" w14:paraId="4A1C2A8C" w14:textId="77777777">
        <w:tc>
          <w:tcPr>
            <w:tcW w:w="567" w:type="dxa"/>
            <w:vMerge/>
          </w:tcPr>
          <w:p w14:paraId="01315749" w14:textId="77777777" w:rsidR="00454A29" w:rsidRDefault="00454A29"/>
        </w:tc>
        <w:tc>
          <w:tcPr>
            <w:tcW w:w="3345" w:type="dxa"/>
            <w:vMerge/>
          </w:tcPr>
          <w:p w14:paraId="5CEE32DB" w14:textId="77777777" w:rsidR="00454A29" w:rsidRDefault="00454A29"/>
        </w:tc>
        <w:tc>
          <w:tcPr>
            <w:tcW w:w="1701" w:type="dxa"/>
            <w:vAlign w:val="center"/>
          </w:tcPr>
          <w:p w14:paraId="3921E343" w14:textId="77777777" w:rsidR="00454A29" w:rsidRDefault="00454A29">
            <w:pPr>
              <w:pStyle w:val="ConsPlusNormal"/>
              <w:jc w:val="center"/>
            </w:pPr>
            <w:r>
              <w:t>2022</w:t>
            </w:r>
          </w:p>
        </w:tc>
        <w:tc>
          <w:tcPr>
            <w:tcW w:w="1417" w:type="dxa"/>
            <w:vMerge/>
          </w:tcPr>
          <w:p w14:paraId="64184F43" w14:textId="77777777" w:rsidR="00454A29" w:rsidRDefault="00454A29"/>
        </w:tc>
        <w:tc>
          <w:tcPr>
            <w:tcW w:w="2204" w:type="dxa"/>
            <w:vMerge/>
          </w:tcPr>
          <w:p w14:paraId="13A5B9F3" w14:textId="77777777" w:rsidR="00454A29" w:rsidRDefault="00454A29"/>
        </w:tc>
        <w:tc>
          <w:tcPr>
            <w:tcW w:w="1417" w:type="dxa"/>
            <w:vMerge/>
          </w:tcPr>
          <w:p w14:paraId="57DB5560" w14:textId="77777777" w:rsidR="00454A29" w:rsidRDefault="00454A29"/>
        </w:tc>
        <w:tc>
          <w:tcPr>
            <w:tcW w:w="2324" w:type="dxa"/>
            <w:vMerge/>
          </w:tcPr>
          <w:p w14:paraId="14672343" w14:textId="77777777" w:rsidR="00454A29" w:rsidRDefault="00454A29"/>
        </w:tc>
        <w:tc>
          <w:tcPr>
            <w:tcW w:w="1701" w:type="dxa"/>
            <w:vAlign w:val="center"/>
          </w:tcPr>
          <w:p w14:paraId="53C07D95" w14:textId="77777777" w:rsidR="00454A29" w:rsidRDefault="00454A29">
            <w:pPr>
              <w:pStyle w:val="ConsPlusNormal"/>
            </w:pPr>
          </w:p>
        </w:tc>
        <w:tc>
          <w:tcPr>
            <w:tcW w:w="1814" w:type="dxa"/>
            <w:vAlign w:val="center"/>
          </w:tcPr>
          <w:p w14:paraId="1A9E9878" w14:textId="77777777" w:rsidR="00454A29" w:rsidRDefault="00454A29">
            <w:pPr>
              <w:pStyle w:val="ConsPlusNormal"/>
            </w:pPr>
          </w:p>
        </w:tc>
        <w:tc>
          <w:tcPr>
            <w:tcW w:w="1701" w:type="dxa"/>
            <w:vAlign w:val="center"/>
          </w:tcPr>
          <w:p w14:paraId="514BF72E" w14:textId="77777777" w:rsidR="00454A29" w:rsidRDefault="00454A29">
            <w:pPr>
              <w:pStyle w:val="ConsPlusNormal"/>
            </w:pPr>
          </w:p>
        </w:tc>
        <w:tc>
          <w:tcPr>
            <w:tcW w:w="1701" w:type="dxa"/>
            <w:vAlign w:val="center"/>
          </w:tcPr>
          <w:p w14:paraId="6A567367" w14:textId="77777777" w:rsidR="00454A29" w:rsidRDefault="00454A29">
            <w:pPr>
              <w:pStyle w:val="ConsPlusNormal"/>
            </w:pPr>
          </w:p>
        </w:tc>
        <w:tc>
          <w:tcPr>
            <w:tcW w:w="1814" w:type="dxa"/>
            <w:vAlign w:val="center"/>
          </w:tcPr>
          <w:p w14:paraId="11963281" w14:textId="77777777" w:rsidR="00454A29" w:rsidRDefault="00454A29">
            <w:pPr>
              <w:pStyle w:val="ConsPlusNormal"/>
            </w:pPr>
          </w:p>
        </w:tc>
      </w:tr>
      <w:tr w:rsidR="00454A29" w14:paraId="5711F906" w14:textId="77777777">
        <w:tc>
          <w:tcPr>
            <w:tcW w:w="567" w:type="dxa"/>
            <w:vMerge/>
          </w:tcPr>
          <w:p w14:paraId="359912BA" w14:textId="77777777" w:rsidR="00454A29" w:rsidRDefault="00454A29"/>
        </w:tc>
        <w:tc>
          <w:tcPr>
            <w:tcW w:w="3345" w:type="dxa"/>
            <w:vMerge/>
          </w:tcPr>
          <w:p w14:paraId="4C70498E" w14:textId="77777777" w:rsidR="00454A29" w:rsidRDefault="00454A29"/>
        </w:tc>
        <w:tc>
          <w:tcPr>
            <w:tcW w:w="1701" w:type="dxa"/>
            <w:vAlign w:val="center"/>
          </w:tcPr>
          <w:p w14:paraId="0AC29A37" w14:textId="77777777" w:rsidR="00454A29" w:rsidRDefault="00454A29">
            <w:pPr>
              <w:pStyle w:val="ConsPlusNormal"/>
              <w:jc w:val="center"/>
            </w:pPr>
            <w:r>
              <w:t>2023</w:t>
            </w:r>
          </w:p>
        </w:tc>
        <w:tc>
          <w:tcPr>
            <w:tcW w:w="1417" w:type="dxa"/>
            <w:vMerge/>
          </w:tcPr>
          <w:p w14:paraId="66A2EA59" w14:textId="77777777" w:rsidR="00454A29" w:rsidRDefault="00454A29"/>
        </w:tc>
        <w:tc>
          <w:tcPr>
            <w:tcW w:w="2204" w:type="dxa"/>
            <w:vMerge/>
          </w:tcPr>
          <w:p w14:paraId="13054548" w14:textId="77777777" w:rsidR="00454A29" w:rsidRDefault="00454A29"/>
        </w:tc>
        <w:tc>
          <w:tcPr>
            <w:tcW w:w="1417" w:type="dxa"/>
            <w:vMerge/>
          </w:tcPr>
          <w:p w14:paraId="4C3F92AD" w14:textId="77777777" w:rsidR="00454A29" w:rsidRDefault="00454A29"/>
        </w:tc>
        <w:tc>
          <w:tcPr>
            <w:tcW w:w="2324" w:type="dxa"/>
            <w:vMerge/>
          </w:tcPr>
          <w:p w14:paraId="3DEAE78A" w14:textId="77777777" w:rsidR="00454A29" w:rsidRDefault="00454A29"/>
        </w:tc>
        <w:tc>
          <w:tcPr>
            <w:tcW w:w="1701" w:type="dxa"/>
            <w:vAlign w:val="center"/>
          </w:tcPr>
          <w:p w14:paraId="77C17A29" w14:textId="77777777" w:rsidR="00454A29" w:rsidRDefault="00454A29">
            <w:pPr>
              <w:pStyle w:val="ConsPlusNormal"/>
            </w:pPr>
          </w:p>
        </w:tc>
        <w:tc>
          <w:tcPr>
            <w:tcW w:w="1814" w:type="dxa"/>
            <w:vAlign w:val="center"/>
          </w:tcPr>
          <w:p w14:paraId="54787FB6" w14:textId="77777777" w:rsidR="00454A29" w:rsidRDefault="00454A29">
            <w:pPr>
              <w:pStyle w:val="ConsPlusNormal"/>
            </w:pPr>
          </w:p>
        </w:tc>
        <w:tc>
          <w:tcPr>
            <w:tcW w:w="1701" w:type="dxa"/>
            <w:vAlign w:val="center"/>
          </w:tcPr>
          <w:p w14:paraId="2DC85D08" w14:textId="77777777" w:rsidR="00454A29" w:rsidRDefault="00454A29">
            <w:pPr>
              <w:pStyle w:val="ConsPlusNormal"/>
            </w:pPr>
          </w:p>
        </w:tc>
        <w:tc>
          <w:tcPr>
            <w:tcW w:w="1701" w:type="dxa"/>
            <w:vAlign w:val="center"/>
          </w:tcPr>
          <w:p w14:paraId="7AA5D5AB" w14:textId="77777777" w:rsidR="00454A29" w:rsidRDefault="00454A29">
            <w:pPr>
              <w:pStyle w:val="ConsPlusNormal"/>
            </w:pPr>
          </w:p>
        </w:tc>
        <w:tc>
          <w:tcPr>
            <w:tcW w:w="1814" w:type="dxa"/>
            <w:vAlign w:val="center"/>
          </w:tcPr>
          <w:p w14:paraId="4702F230" w14:textId="77777777" w:rsidR="00454A29" w:rsidRDefault="00454A29">
            <w:pPr>
              <w:pStyle w:val="ConsPlusNormal"/>
            </w:pPr>
          </w:p>
        </w:tc>
      </w:tr>
      <w:tr w:rsidR="00454A29" w14:paraId="3F8EC23E" w14:textId="77777777">
        <w:tc>
          <w:tcPr>
            <w:tcW w:w="567" w:type="dxa"/>
            <w:vMerge/>
          </w:tcPr>
          <w:p w14:paraId="678B2FFF" w14:textId="77777777" w:rsidR="00454A29" w:rsidRDefault="00454A29"/>
        </w:tc>
        <w:tc>
          <w:tcPr>
            <w:tcW w:w="3345" w:type="dxa"/>
            <w:vMerge/>
          </w:tcPr>
          <w:p w14:paraId="61BD3B27" w14:textId="77777777" w:rsidR="00454A29" w:rsidRDefault="00454A29"/>
        </w:tc>
        <w:tc>
          <w:tcPr>
            <w:tcW w:w="1701" w:type="dxa"/>
            <w:vAlign w:val="center"/>
          </w:tcPr>
          <w:p w14:paraId="33932820" w14:textId="77777777" w:rsidR="00454A29" w:rsidRDefault="00454A29">
            <w:pPr>
              <w:pStyle w:val="ConsPlusNormal"/>
              <w:jc w:val="center"/>
            </w:pPr>
            <w:r>
              <w:t>2024</w:t>
            </w:r>
          </w:p>
        </w:tc>
        <w:tc>
          <w:tcPr>
            <w:tcW w:w="1417" w:type="dxa"/>
            <w:vMerge/>
          </w:tcPr>
          <w:p w14:paraId="2F772F1D" w14:textId="77777777" w:rsidR="00454A29" w:rsidRDefault="00454A29"/>
        </w:tc>
        <w:tc>
          <w:tcPr>
            <w:tcW w:w="2204" w:type="dxa"/>
            <w:vMerge/>
          </w:tcPr>
          <w:p w14:paraId="0A573D10" w14:textId="77777777" w:rsidR="00454A29" w:rsidRDefault="00454A29"/>
        </w:tc>
        <w:tc>
          <w:tcPr>
            <w:tcW w:w="1417" w:type="dxa"/>
            <w:vMerge/>
          </w:tcPr>
          <w:p w14:paraId="4FCE33E7" w14:textId="77777777" w:rsidR="00454A29" w:rsidRDefault="00454A29"/>
        </w:tc>
        <w:tc>
          <w:tcPr>
            <w:tcW w:w="2324" w:type="dxa"/>
            <w:vMerge/>
          </w:tcPr>
          <w:p w14:paraId="34A9FB63" w14:textId="77777777" w:rsidR="00454A29" w:rsidRDefault="00454A29"/>
        </w:tc>
        <w:tc>
          <w:tcPr>
            <w:tcW w:w="1701" w:type="dxa"/>
            <w:vAlign w:val="center"/>
          </w:tcPr>
          <w:p w14:paraId="781DCFF7" w14:textId="77777777" w:rsidR="00454A29" w:rsidRDefault="00454A29">
            <w:pPr>
              <w:pStyle w:val="ConsPlusNormal"/>
            </w:pPr>
          </w:p>
        </w:tc>
        <w:tc>
          <w:tcPr>
            <w:tcW w:w="1814" w:type="dxa"/>
            <w:vAlign w:val="center"/>
          </w:tcPr>
          <w:p w14:paraId="2AC0301E" w14:textId="77777777" w:rsidR="00454A29" w:rsidRDefault="00454A29">
            <w:pPr>
              <w:pStyle w:val="ConsPlusNormal"/>
            </w:pPr>
          </w:p>
        </w:tc>
        <w:tc>
          <w:tcPr>
            <w:tcW w:w="1701" w:type="dxa"/>
            <w:vAlign w:val="center"/>
          </w:tcPr>
          <w:p w14:paraId="2A02AC44" w14:textId="77777777" w:rsidR="00454A29" w:rsidRDefault="00454A29">
            <w:pPr>
              <w:pStyle w:val="ConsPlusNormal"/>
            </w:pPr>
          </w:p>
        </w:tc>
        <w:tc>
          <w:tcPr>
            <w:tcW w:w="1701" w:type="dxa"/>
            <w:vAlign w:val="center"/>
          </w:tcPr>
          <w:p w14:paraId="43977D7A" w14:textId="77777777" w:rsidR="00454A29" w:rsidRDefault="00454A29">
            <w:pPr>
              <w:pStyle w:val="ConsPlusNormal"/>
            </w:pPr>
          </w:p>
        </w:tc>
        <w:tc>
          <w:tcPr>
            <w:tcW w:w="1814" w:type="dxa"/>
            <w:vAlign w:val="center"/>
          </w:tcPr>
          <w:p w14:paraId="25B583D1" w14:textId="77777777" w:rsidR="00454A29" w:rsidRDefault="00454A29">
            <w:pPr>
              <w:pStyle w:val="ConsPlusNormal"/>
            </w:pPr>
          </w:p>
        </w:tc>
      </w:tr>
      <w:tr w:rsidR="00454A29" w14:paraId="44659882" w14:textId="77777777">
        <w:tc>
          <w:tcPr>
            <w:tcW w:w="567" w:type="dxa"/>
            <w:vMerge/>
          </w:tcPr>
          <w:p w14:paraId="62BE8BC7" w14:textId="77777777" w:rsidR="00454A29" w:rsidRDefault="00454A29"/>
        </w:tc>
        <w:tc>
          <w:tcPr>
            <w:tcW w:w="3345" w:type="dxa"/>
            <w:vMerge/>
          </w:tcPr>
          <w:p w14:paraId="43054788" w14:textId="77777777" w:rsidR="00454A29" w:rsidRDefault="00454A29"/>
        </w:tc>
        <w:tc>
          <w:tcPr>
            <w:tcW w:w="1701" w:type="dxa"/>
            <w:vAlign w:val="center"/>
          </w:tcPr>
          <w:p w14:paraId="3C95F802" w14:textId="77777777" w:rsidR="00454A29" w:rsidRDefault="00454A29">
            <w:pPr>
              <w:pStyle w:val="ConsPlusNormal"/>
              <w:jc w:val="center"/>
            </w:pPr>
            <w:r>
              <w:t>2025</w:t>
            </w:r>
          </w:p>
        </w:tc>
        <w:tc>
          <w:tcPr>
            <w:tcW w:w="1417" w:type="dxa"/>
            <w:vMerge/>
          </w:tcPr>
          <w:p w14:paraId="60584921" w14:textId="77777777" w:rsidR="00454A29" w:rsidRDefault="00454A29"/>
        </w:tc>
        <w:tc>
          <w:tcPr>
            <w:tcW w:w="2204" w:type="dxa"/>
            <w:vMerge/>
          </w:tcPr>
          <w:p w14:paraId="35FA601D" w14:textId="77777777" w:rsidR="00454A29" w:rsidRDefault="00454A29"/>
        </w:tc>
        <w:tc>
          <w:tcPr>
            <w:tcW w:w="1417" w:type="dxa"/>
            <w:vMerge/>
          </w:tcPr>
          <w:p w14:paraId="61460C4E" w14:textId="77777777" w:rsidR="00454A29" w:rsidRDefault="00454A29"/>
        </w:tc>
        <w:tc>
          <w:tcPr>
            <w:tcW w:w="2324" w:type="dxa"/>
            <w:vMerge/>
          </w:tcPr>
          <w:p w14:paraId="5752E905" w14:textId="77777777" w:rsidR="00454A29" w:rsidRDefault="00454A29"/>
        </w:tc>
        <w:tc>
          <w:tcPr>
            <w:tcW w:w="1701" w:type="dxa"/>
            <w:vAlign w:val="center"/>
          </w:tcPr>
          <w:p w14:paraId="22C2591B" w14:textId="77777777" w:rsidR="00454A29" w:rsidRDefault="00454A29">
            <w:pPr>
              <w:pStyle w:val="ConsPlusNormal"/>
              <w:jc w:val="center"/>
            </w:pPr>
            <w:r>
              <w:t>443 486,53</w:t>
            </w:r>
          </w:p>
        </w:tc>
        <w:tc>
          <w:tcPr>
            <w:tcW w:w="1814" w:type="dxa"/>
            <w:vAlign w:val="center"/>
          </w:tcPr>
          <w:p w14:paraId="14E1370E" w14:textId="77777777" w:rsidR="00454A29" w:rsidRDefault="00454A29">
            <w:pPr>
              <w:pStyle w:val="ConsPlusNormal"/>
              <w:jc w:val="center"/>
            </w:pPr>
            <w:r>
              <w:t>5 463,75</w:t>
            </w:r>
          </w:p>
        </w:tc>
        <w:tc>
          <w:tcPr>
            <w:tcW w:w="1701" w:type="dxa"/>
            <w:vAlign w:val="center"/>
          </w:tcPr>
          <w:p w14:paraId="1F09CA30" w14:textId="77777777" w:rsidR="00454A29" w:rsidRDefault="00454A29">
            <w:pPr>
              <w:pStyle w:val="ConsPlusNormal"/>
              <w:jc w:val="center"/>
            </w:pPr>
            <w:r>
              <w:t>540 911,65</w:t>
            </w:r>
          </w:p>
        </w:tc>
        <w:tc>
          <w:tcPr>
            <w:tcW w:w="1701" w:type="dxa"/>
            <w:vAlign w:val="center"/>
          </w:tcPr>
          <w:p w14:paraId="559E4C75" w14:textId="77777777" w:rsidR="00454A29" w:rsidRDefault="00454A29">
            <w:pPr>
              <w:pStyle w:val="ConsPlusNormal"/>
            </w:pPr>
          </w:p>
        </w:tc>
        <w:tc>
          <w:tcPr>
            <w:tcW w:w="1814" w:type="dxa"/>
            <w:vAlign w:val="center"/>
          </w:tcPr>
          <w:p w14:paraId="34E8071C" w14:textId="77777777" w:rsidR="00454A29" w:rsidRDefault="00454A29">
            <w:pPr>
              <w:pStyle w:val="ConsPlusNormal"/>
            </w:pPr>
          </w:p>
        </w:tc>
      </w:tr>
      <w:tr w:rsidR="00454A29" w14:paraId="15CFC3AE" w14:textId="77777777">
        <w:tc>
          <w:tcPr>
            <w:tcW w:w="567" w:type="dxa"/>
            <w:vMerge/>
          </w:tcPr>
          <w:p w14:paraId="08989D2E" w14:textId="77777777" w:rsidR="00454A29" w:rsidRDefault="00454A29"/>
        </w:tc>
        <w:tc>
          <w:tcPr>
            <w:tcW w:w="3345" w:type="dxa"/>
            <w:vMerge/>
          </w:tcPr>
          <w:p w14:paraId="61D29B0A" w14:textId="77777777" w:rsidR="00454A29" w:rsidRDefault="00454A29"/>
        </w:tc>
        <w:tc>
          <w:tcPr>
            <w:tcW w:w="1701" w:type="dxa"/>
            <w:vAlign w:val="center"/>
          </w:tcPr>
          <w:p w14:paraId="6792CAB6" w14:textId="77777777" w:rsidR="00454A29" w:rsidRDefault="00454A29">
            <w:pPr>
              <w:pStyle w:val="ConsPlusNormal"/>
              <w:jc w:val="center"/>
            </w:pPr>
            <w:r>
              <w:t>2026</w:t>
            </w:r>
          </w:p>
        </w:tc>
        <w:tc>
          <w:tcPr>
            <w:tcW w:w="1417" w:type="dxa"/>
            <w:vMerge/>
          </w:tcPr>
          <w:p w14:paraId="0577A088" w14:textId="77777777" w:rsidR="00454A29" w:rsidRDefault="00454A29"/>
        </w:tc>
        <w:tc>
          <w:tcPr>
            <w:tcW w:w="2204" w:type="dxa"/>
            <w:vMerge/>
          </w:tcPr>
          <w:p w14:paraId="595630E9" w14:textId="77777777" w:rsidR="00454A29" w:rsidRDefault="00454A29"/>
        </w:tc>
        <w:tc>
          <w:tcPr>
            <w:tcW w:w="1417" w:type="dxa"/>
            <w:vMerge/>
          </w:tcPr>
          <w:p w14:paraId="5A9F3AA0" w14:textId="77777777" w:rsidR="00454A29" w:rsidRDefault="00454A29"/>
        </w:tc>
        <w:tc>
          <w:tcPr>
            <w:tcW w:w="2324" w:type="dxa"/>
            <w:vMerge/>
          </w:tcPr>
          <w:p w14:paraId="2999001E" w14:textId="77777777" w:rsidR="00454A29" w:rsidRDefault="00454A29"/>
        </w:tc>
        <w:tc>
          <w:tcPr>
            <w:tcW w:w="1701" w:type="dxa"/>
            <w:vAlign w:val="center"/>
          </w:tcPr>
          <w:p w14:paraId="6DA63944" w14:textId="77777777" w:rsidR="00454A29" w:rsidRDefault="00454A29">
            <w:pPr>
              <w:pStyle w:val="ConsPlusNormal"/>
            </w:pPr>
          </w:p>
        </w:tc>
        <w:tc>
          <w:tcPr>
            <w:tcW w:w="1814" w:type="dxa"/>
            <w:vAlign w:val="center"/>
          </w:tcPr>
          <w:p w14:paraId="1CEFD2A7" w14:textId="77777777" w:rsidR="00454A29" w:rsidRDefault="00454A29">
            <w:pPr>
              <w:pStyle w:val="ConsPlusNormal"/>
            </w:pPr>
          </w:p>
        </w:tc>
        <w:tc>
          <w:tcPr>
            <w:tcW w:w="1701" w:type="dxa"/>
            <w:vAlign w:val="center"/>
          </w:tcPr>
          <w:p w14:paraId="37710857" w14:textId="77777777" w:rsidR="00454A29" w:rsidRDefault="00454A29">
            <w:pPr>
              <w:pStyle w:val="ConsPlusNormal"/>
            </w:pPr>
          </w:p>
        </w:tc>
        <w:tc>
          <w:tcPr>
            <w:tcW w:w="1701" w:type="dxa"/>
            <w:vAlign w:val="center"/>
          </w:tcPr>
          <w:p w14:paraId="0659C9E0" w14:textId="77777777" w:rsidR="00454A29" w:rsidRDefault="00454A29">
            <w:pPr>
              <w:pStyle w:val="ConsPlusNormal"/>
            </w:pPr>
          </w:p>
        </w:tc>
        <w:tc>
          <w:tcPr>
            <w:tcW w:w="1814" w:type="dxa"/>
            <w:vAlign w:val="center"/>
          </w:tcPr>
          <w:p w14:paraId="3DA248CD" w14:textId="77777777" w:rsidR="00454A29" w:rsidRDefault="00454A29">
            <w:pPr>
              <w:pStyle w:val="ConsPlusNormal"/>
            </w:pPr>
          </w:p>
        </w:tc>
      </w:tr>
      <w:tr w:rsidR="00454A29" w14:paraId="3D88505B" w14:textId="77777777">
        <w:tc>
          <w:tcPr>
            <w:tcW w:w="567" w:type="dxa"/>
            <w:vMerge w:val="restart"/>
            <w:vAlign w:val="center"/>
          </w:tcPr>
          <w:p w14:paraId="5E92B091" w14:textId="77777777" w:rsidR="00454A29" w:rsidRDefault="00454A29">
            <w:pPr>
              <w:pStyle w:val="ConsPlusNormal"/>
              <w:jc w:val="center"/>
            </w:pPr>
            <w:r>
              <w:t>101</w:t>
            </w:r>
          </w:p>
        </w:tc>
        <w:tc>
          <w:tcPr>
            <w:tcW w:w="3345" w:type="dxa"/>
            <w:vMerge w:val="restart"/>
            <w:vAlign w:val="center"/>
          </w:tcPr>
          <w:p w14:paraId="3C8C9A05" w14:textId="77777777" w:rsidR="00454A29" w:rsidRDefault="00454A29">
            <w:pPr>
              <w:pStyle w:val="ConsPlusNormal"/>
              <w:jc w:val="center"/>
            </w:pPr>
            <w:r>
              <w:t>Школа на 90 учащихся в с. Хоринцы</w:t>
            </w:r>
          </w:p>
        </w:tc>
        <w:tc>
          <w:tcPr>
            <w:tcW w:w="1701" w:type="dxa"/>
            <w:vAlign w:val="center"/>
          </w:tcPr>
          <w:p w14:paraId="78FD8881" w14:textId="77777777" w:rsidR="00454A29" w:rsidRDefault="00454A29">
            <w:pPr>
              <w:pStyle w:val="ConsPlusNormal"/>
              <w:jc w:val="center"/>
            </w:pPr>
            <w:r>
              <w:t>2020 - 2026 годы - всего</w:t>
            </w:r>
          </w:p>
        </w:tc>
        <w:tc>
          <w:tcPr>
            <w:tcW w:w="1417" w:type="dxa"/>
            <w:vMerge w:val="restart"/>
            <w:vAlign w:val="center"/>
          </w:tcPr>
          <w:p w14:paraId="316AC323" w14:textId="77777777" w:rsidR="00454A29" w:rsidRDefault="00454A29">
            <w:pPr>
              <w:pStyle w:val="ConsPlusNormal"/>
              <w:jc w:val="center"/>
            </w:pPr>
            <w:r>
              <w:t>331 042,07</w:t>
            </w:r>
          </w:p>
        </w:tc>
        <w:tc>
          <w:tcPr>
            <w:tcW w:w="2204" w:type="dxa"/>
            <w:vMerge w:val="restart"/>
            <w:vAlign w:val="center"/>
          </w:tcPr>
          <w:p w14:paraId="67CCDC5F" w14:textId="77777777" w:rsidR="00454A29" w:rsidRDefault="00454A29">
            <w:pPr>
              <w:pStyle w:val="ConsPlusNormal"/>
            </w:pPr>
          </w:p>
        </w:tc>
        <w:tc>
          <w:tcPr>
            <w:tcW w:w="1417" w:type="dxa"/>
            <w:vMerge w:val="restart"/>
            <w:vAlign w:val="center"/>
          </w:tcPr>
          <w:p w14:paraId="392F0D5E" w14:textId="77777777" w:rsidR="00454A29" w:rsidRDefault="00454A29">
            <w:pPr>
              <w:pStyle w:val="ConsPlusNormal"/>
              <w:jc w:val="center"/>
            </w:pPr>
            <w:r>
              <w:t>90</w:t>
            </w:r>
          </w:p>
        </w:tc>
        <w:tc>
          <w:tcPr>
            <w:tcW w:w="2324" w:type="dxa"/>
            <w:vMerge w:val="restart"/>
            <w:vAlign w:val="center"/>
          </w:tcPr>
          <w:p w14:paraId="5D20955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60EA577" w14:textId="77777777" w:rsidR="00454A29" w:rsidRDefault="00454A29">
            <w:pPr>
              <w:pStyle w:val="ConsPlusNormal"/>
              <w:jc w:val="center"/>
            </w:pPr>
            <w:r>
              <w:t>331 042,07</w:t>
            </w:r>
          </w:p>
        </w:tc>
        <w:tc>
          <w:tcPr>
            <w:tcW w:w="1814" w:type="dxa"/>
            <w:vAlign w:val="center"/>
          </w:tcPr>
          <w:p w14:paraId="3AEEA52A" w14:textId="77777777" w:rsidR="00454A29" w:rsidRDefault="00454A29">
            <w:pPr>
              <w:pStyle w:val="ConsPlusNormal"/>
              <w:jc w:val="center"/>
            </w:pPr>
            <w:r>
              <w:t>4 078,44</w:t>
            </w:r>
          </w:p>
        </w:tc>
        <w:tc>
          <w:tcPr>
            <w:tcW w:w="1701" w:type="dxa"/>
            <w:vAlign w:val="center"/>
          </w:tcPr>
          <w:p w14:paraId="70431B6A" w14:textId="77777777" w:rsidR="00454A29" w:rsidRDefault="00454A29">
            <w:pPr>
              <w:pStyle w:val="ConsPlusNormal"/>
              <w:jc w:val="center"/>
            </w:pPr>
            <w:r>
              <w:t>403 765,39</w:t>
            </w:r>
          </w:p>
        </w:tc>
        <w:tc>
          <w:tcPr>
            <w:tcW w:w="1701" w:type="dxa"/>
            <w:vAlign w:val="center"/>
          </w:tcPr>
          <w:p w14:paraId="597FA592" w14:textId="77777777" w:rsidR="00454A29" w:rsidRDefault="00454A29">
            <w:pPr>
              <w:pStyle w:val="ConsPlusNormal"/>
              <w:jc w:val="center"/>
            </w:pPr>
            <w:r>
              <w:t>-</w:t>
            </w:r>
          </w:p>
        </w:tc>
        <w:tc>
          <w:tcPr>
            <w:tcW w:w="1814" w:type="dxa"/>
            <w:vAlign w:val="center"/>
          </w:tcPr>
          <w:p w14:paraId="10FFB9D1" w14:textId="77777777" w:rsidR="00454A29" w:rsidRDefault="00454A29">
            <w:pPr>
              <w:pStyle w:val="ConsPlusNormal"/>
              <w:jc w:val="center"/>
            </w:pPr>
            <w:r>
              <w:t>-</w:t>
            </w:r>
          </w:p>
        </w:tc>
      </w:tr>
      <w:tr w:rsidR="00454A29" w14:paraId="6F4D15EF" w14:textId="77777777">
        <w:tc>
          <w:tcPr>
            <w:tcW w:w="567" w:type="dxa"/>
            <w:vMerge/>
          </w:tcPr>
          <w:p w14:paraId="317F8D33" w14:textId="77777777" w:rsidR="00454A29" w:rsidRDefault="00454A29"/>
        </w:tc>
        <w:tc>
          <w:tcPr>
            <w:tcW w:w="3345" w:type="dxa"/>
            <w:vMerge/>
          </w:tcPr>
          <w:p w14:paraId="0558A4B7" w14:textId="77777777" w:rsidR="00454A29" w:rsidRDefault="00454A29"/>
        </w:tc>
        <w:tc>
          <w:tcPr>
            <w:tcW w:w="1701" w:type="dxa"/>
            <w:vAlign w:val="center"/>
          </w:tcPr>
          <w:p w14:paraId="34B3A306" w14:textId="77777777" w:rsidR="00454A29" w:rsidRDefault="00454A29">
            <w:pPr>
              <w:pStyle w:val="ConsPlusNormal"/>
              <w:jc w:val="center"/>
            </w:pPr>
            <w:r>
              <w:t>2020</w:t>
            </w:r>
          </w:p>
        </w:tc>
        <w:tc>
          <w:tcPr>
            <w:tcW w:w="1417" w:type="dxa"/>
            <w:vMerge/>
          </w:tcPr>
          <w:p w14:paraId="6A81ECE7" w14:textId="77777777" w:rsidR="00454A29" w:rsidRDefault="00454A29"/>
        </w:tc>
        <w:tc>
          <w:tcPr>
            <w:tcW w:w="2204" w:type="dxa"/>
            <w:vMerge/>
          </w:tcPr>
          <w:p w14:paraId="156A3DF3" w14:textId="77777777" w:rsidR="00454A29" w:rsidRDefault="00454A29"/>
        </w:tc>
        <w:tc>
          <w:tcPr>
            <w:tcW w:w="1417" w:type="dxa"/>
            <w:vMerge/>
          </w:tcPr>
          <w:p w14:paraId="27D75990" w14:textId="77777777" w:rsidR="00454A29" w:rsidRDefault="00454A29"/>
        </w:tc>
        <w:tc>
          <w:tcPr>
            <w:tcW w:w="2324" w:type="dxa"/>
            <w:vMerge/>
          </w:tcPr>
          <w:p w14:paraId="0B93AB54" w14:textId="77777777" w:rsidR="00454A29" w:rsidRDefault="00454A29"/>
        </w:tc>
        <w:tc>
          <w:tcPr>
            <w:tcW w:w="1701" w:type="dxa"/>
            <w:vAlign w:val="center"/>
          </w:tcPr>
          <w:p w14:paraId="3B2069F7" w14:textId="77777777" w:rsidR="00454A29" w:rsidRDefault="00454A29">
            <w:pPr>
              <w:pStyle w:val="ConsPlusNormal"/>
            </w:pPr>
          </w:p>
        </w:tc>
        <w:tc>
          <w:tcPr>
            <w:tcW w:w="1814" w:type="dxa"/>
            <w:vAlign w:val="center"/>
          </w:tcPr>
          <w:p w14:paraId="658E0843" w14:textId="77777777" w:rsidR="00454A29" w:rsidRDefault="00454A29">
            <w:pPr>
              <w:pStyle w:val="ConsPlusNormal"/>
            </w:pPr>
          </w:p>
        </w:tc>
        <w:tc>
          <w:tcPr>
            <w:tcW w:w="1701" w:type="dxa"/>
            <w:vAlign w:val="center"/>
          </w:tcPr>
          <w:p w14:paraId="14DFE2E3" w14:textId="77777777" w:rsidR="00454A29" w:rsidRDefault="00454A29">
            <w:pPr>
              <w:pStyle w:val="ConsPlusNormal"/>
            </w:pPr>
          </w:p>
        </w:tc>
        <w:tc>
          <w:tcPr>
            <w:tcW w:w="1701" w:type="dxa"/>
            <w:vAlign w:val="center"/>
          </w:tcPr>
          <w:p w14:paraId="6C0FCB32" w14:textId="77777777" w:rsidR="00454A29" w:rsidRDefault="00454A29">
            <w:pPr>
              <w:pStyle w:val="ConsPlusNormal"/>
            </w:pPr>
          </w:p>
        </w:tc>
        <w:tc>
          <w:tcPr>
            <w:tcW w:w="1814" w:type="dxa"/>
            <w:vAlign w:val="center"/>
          </w:tcPr>
          <w:p w14:paraId="34F327DD" w14:textId="77777777" w:rsidR="00454A29" w:rsidRDefault="00454A29">
            <w:pPr>
              <w:pStyle w:val="ConsPlusNormal"/>
            </w:pPr>
          </w:p>
        </w:tc>
      </w:tr>
      <w:tr w:rsidR="00454A29" w14:paraId="08193427" w14:textId="77777777">
        <w:tc>
          <w:tcPr>
            <w:tcW w:w="567" w:type="dxa"/>
            <w:vMerge/>
          </w:tcPr>
          <w:p w14:paraId="7B4F6B0E" w14:textId="77777777" w:rsidR="00454A29" w:rsidRDefault="00454A29"/>
        </w:tc>
        <w:tc>
          <w:tcPr>
            <w:tcW w:w="3345" w:type="dxa"/>
            <w:vMerge/>
          </w:tcPr>
          <w:p w14:paraId="30CAF465" w14:textId="77777777" w:rsidR="00454A29" w:rsidRDefault="00454A29"/>
        </w:tc>
        <w:tc>
          <w:tcPr>
            <w:tcW w:w="1701" w:type="dxa"/>
            <w:vAlign w:val="center"/>
          </w:tcPr>
          <w:p w14:paraId="750E875A" w14:textId="77777777" w:rsidR="00454A29" w:rsidRDefault="00454A29">
            <w:pPr>
              <w:pStyle w:val="ConsPlusNormal"/>
              <w:jc w:val="center"/>
            </w:pPr>
            <w:r>
              <w:t>2021</w:t>
            </w:r>
          </w:p>
        </w:tc>
        <w:tc>
          <w:tcPr>
            <w:tcW w:w="1417" w:type="dxa"/>
            <w:vMerge/>
          </w:tcPr>
          <w:p w14:paraId="496B7E88" w14:textId="77777777" w:rsidR="00454A29" w:rsidRDefault="00454A29"/>
        </w:tc>
        <w:tc>
          <w:tcPr>
            <w:tcW w:w="2204" w:type="dxa"/>
            <w:vMerge/>
          </w:tcPr>
          <w:p w14:paraId="3BE2048B" w14:textId="77777777" w:rsidR="00454A29" w:rsidRDefault="00454A29"/>
        </w:tc>
        <w:tc>
          <w:tcPr>
            <w:tcW w:w="1417" w:type="dxa"/>
            <w:vMerge/>
          </w:tcPr>
          <w:p w14:paraId="68D519DE" w14:textId="77777777" w:rsidR="00454A29" w:rsidRDefault="00454A29"/>
        </w:tc>
        <w:tc>
          <w:tcPr>
            <w:tcW w:w="2324" w:type="dxa"/>
            <w:vMerge/>
          </w:tcPr>
          <w:p w14:paraId="524E3D87" w14:textId="77777777" w:rsidR="00454A29" w:rsidRDefault="00454A29"/>
        </w:tc>
        <w:tc>
          <w:tcPr>
            <w:tcW w:w="1701" w:type="dxa"/>
            <w:vAlign w:val="center"/>
          </w:tcPr>
          <w:p w14:paraId="1E9B42C1" w14:textId="77777777" w:rsidR="00454A29" w:rsidRDefault="00454A29">
            <w:pPr>
              <w:pStyle w:val="ConsPlusNormal"/>
              <w:jc w:val="center"/>
            </w:pPr>
            <w:r>
              <w:t>-</w:t>
            </w:r>
          </w:p>
        </w:tc>
        <w:tc>
          <w:tcPr>
            <w:tcW w:w="1814" w:type="dxa"/>
            <w:vAlign w:val="center"/>
          </w:tcPr>
          <w:p w14:paraId="455CB05E" w14:textId="77777777" w:rsidR="00454A29" w:rsidRDefault="00454A29">
            <w:pPr>
              <w:pStyle w:val="ConsPlusNormal"/>
            </w:pPr>
          </w:p>
        </w:tc>
        <w:tc>
          <w:tcPr>
            <w:tcW w:w="1701" w:type="dxa"/>
            <w:vAlign w:val="center"/>
          </w:tcPr>
          <w:p w14:paraId="0FE6E037" w14:textId="77777777" w:rsidR="00454A29" w:rsidRDefault="00454A29">
            <w:pPr>
              <w:pStyle w:val="ConsPlusNormal"/>
            </w:pPr>
          </w:p>
        </w:tc>
        <w:tc>
          <w:tcPr>
            <w:tcW w:w="1701" w:type="dxa"/>
            <w:vAlign w:val="center"/>
          </w:tcPr>
          <w:p w14:paraId="27345E32" w14:textId="77777777" w:rsidR="00454A29" w:rsidRDefault="00454A29">
            <w:pPr>
              <w:pStyle w:val="ConsPlusNormal"/>
            </w:pPr>
          </w:p>
        </w:tc>
        <w:tc>
          <w:tcPr>
            <w:tcW w:w="1814" w:type="dxa"/>
            <w:vAlign w:val="center"/>
          </w:tcPr>
          <w:p w14:paraId="1F0E7131" w14:textId="77777777" w:rsidR="00454A29" w:rsidRDefault="00454A29">
            <w:pPr>
              <w:pStyle w:val="ConsPlusNormal"/>
            </w:pPr>
          </w:p>
        </w:tc>
      </w:tr>
      <w:tr w:rsidR="00454A29" w14:paraId="7AF2B208" w14:textId="77777777">
        <w:tc>
          <w:tcPr>
            <w:tcW w:w="567" w:type="dxa"/>
            <w:vMerge/>
          </w:tcPr>
          <w:p w14:paraId="49F27D5B" w14:textId="77777777" w:rsidR="00454A29" w:rsidRDefault="00454A29"/>
        </w:tc>
        <w:tc>
          <w:tcPr>
            <w:tcW w:w="3345" w:type="dxa"/>
            <w:vMerge/>
          </w:tcPr>
          <w:p w14:paraId="76BFE6F2" w14:textId="77777777" w:rsidR="00454A29" w:rsidRDefault="00454A29"/>
        </w:tc>
        <w:tc>
          <w:tcPr>
            <w:tcW w:w="1701" w:type="dxa"/>
            <w:vAlign w:val="center"/>
          </w:tcPr>
          <w:p w14:paraId="3B0BB86B" w14:textId="77777777" w:rsidR="00454A29" w:rsidRDefault="00454A29">
            <w:pPr>
              <w:pStyle w:val="ConsPlusNormal"/>
              <w:jc w:val="center"/>
            </w:pPr>
            <w:r>
              <w:t>2022</w:t>
            </w:r>
          </w:p>
        </w:tc>
        <w:tc>
          <w:tcPr>
            <w:tcW w:w="1417" w:type="dxa"/>
            <w:vMerge/>
          </w:tcPr>
          <w:p w14:paraId="4BAEA6EE" w14:textId="77777777" w:rsidR="00454A29" w:rsidRDefault="00454A29"/>
        </w:tc>
        <w:tc>
          <w:tcPr>
            <w:tcW w:w="2204" w:type="dxa"/>
            <w:vMerge/>
          </w:tcPr>
          <w:p w14:paraId="0646CBEF" w14:textId="77777777" w:rsidR="00454A29" w:rsidRDefault="00454A29"/>
        </w:tc>
        <w:tc>
          <w:tcPr>
            <w:tcW w:w="1417" w:type="dxa"/>
            <w:vMerge/>
          </w:tcPr>
          <w:p w14:paraId="650A50A3" w14:textId="77777777" w:rsidR="00454A29" w:rsidRDefault="00454A29"/>
        </w:tc>
        <w:tc>
          <w:tcPr>
            <w:tcW w:w="2324" w:type="dxa"/>
            <w:vMerge/>
          </w:tcPr>
          <w:p w14:paraId="57C45BA0" w14:textId="77777777" w:rsidR="00454A29" w:rsidRDefault="00454A29"/>
        </w:tc>
        <w:tc>
          <w:tcPr>
            <w:tcW w:w="1701" w:type="dxa"/>
            <w:vAlign w:val="center"/>
          </w:tcPr>
          <w:p w14:paraId="22FBDDDF" w14:textId="77777777" w:rsidR="00454A29" w:rsidRDefault="00454A29">
            <w:pPr>
              <w:pStyle w:val="ConsPlusNormal"/>
            </w:pPr>
          </w:p>
        </w:tc>
        <w:tc>
          <w:tcPr>
            <w:tcW w:w="1814" w:type="dxa"/>
            <w:vAlign w:val="center"/>
          </w:tcPr>
          <w:p w14:paraId="337B7833" w14:textId="77777777" w:rsidR="00454A29" w:rsidRDefault="00454A29">
            <w:pPr>
              <w:pStyle w:val="ConsPlusNormal"/>
            </w:pPr>
          </w:p>
        </w:tc>
        <w:tc>
          <w:tcPr>
            <w:tcW w:w="1701" w:type="dxa"/>
            <w:vAlign w:val="center"/>
          </w:tcPr>
          <w:p w14:paraId="22BEFB3F" w14:textId="77777777" w:rsidR="00454A29" w:rsidRDefault="00454A29">
            <w:pPr>
              <w:pStyle w:val="ConsPlusNormal"/>
            </w:pPr>
          </w:p>
        </w:tc>
        <w:tc>
          <w:tcPr>
            <w:tcW w:w="1701" w:type="dxa"/>
            <w:vAlign w:val="center"/>
          </w:tcPr>
          <w:p w14:paraId="13B954A4" w14:textId="77777777" w:rsidR="00454A29" w:rsidRDefault="00454A29">
            <w:pPr>
              <w:pStyle w:val="ConsPlusNormal"/>
            </w:pPr>
          </w:p>
        </w:tc>
        <w:tc>
          <w:tcPr>
            <w:tcW w:w="1814" w:type="dxa"/>
            <w:vAlign w:val="center"/>
          </w:tcPr>
          <w:p w14:paraId="47F0C642" w14:textId="77777777" w:rsidR="00454A29" w:rsidRDefault="00454A29">
            <w:pPr>
              <w:pStyle w:val="ConsPlusNormal"/>
            </w:pPr>
          </w:p>
        </w:tc>
      </w:tr>
      <w:tr w:rsidR="00454A29" w14:paraId="3CDB9354" w14:textId="77777777">
        <w:tc>
          <w:tcPr>
            <w:tcW w:w="567" w:type="dxa"/>
            <w:vMerge/>
          </w:tcPr>
          <w:p w14:paraId="4BA4D7DD" w14:textId="77777777" w:rsidR="00454A29" w:rsidRDefault="00454A29"/>
        </w:tc>
        <w:tc>
          <w:tcPr>
            <w:tcW w:w="3345" w:type="dxa"/>
            <w:vMerge/>
          </w:tcPr>
          <w:p w14:paraId="0DFA15FA" w14:textId="77777777" w:rsidR="00454A29" w:rsidRDefault="00454A29"/>
        </w:tc>
        <w:tc>
          <w:tcPr>
            <w:tcW w:w="1701" w:type="dxa"/>
            <w:vAlign w:val="center"/>
          </w:tcPr>
          <w:p w14:paraId="4E29BF62" w14:textId="77777777" w:rsidR="00454A29" w:rsidRDefault="00454A29">
            <w:pPr>
              <w:pStyle w:val="ConsPlusNormal"/>
              <w:jc w:val="center"/>
            </w:pPr>
            <w:r>
              <w:t>2023</w:t>
            </w:r>
          </w:p>
        </w:tc>
        <w:tc>
          <w:tcPr>
            <w:tcW w:w="1417" w:type="dxa"/>
            <w:vMerge/>
          </w:tcPr>
          <w:p w14:paraId="329FE8D8" w14:textId="77777777" w:rsidR="00454A29" w:rsidRDefault="00454A29"/>
        </w:tc>
        <w:tc>
          <w:tcPr>
            <w:tcW w:w="2204" w:type="dxa"/>
            <w:vMerge/>
          </w:tcPr>
          <w:p w14:paraId="3BB482EE" w14:textId="77777777" w:rsidR="00454A29" w:rsidRDefault="00454A29"/>
        </w:tc>
        <w:tc>
          <w:tcPr>
            <w:tcW w:w="1417" w:type="dxa"/>
            <w:vMerge/>
          </w:tcPr>
          <w:p w14:paraId="170FC3D9" w14:textId="77777777" w:rsidR="00454A29" w:rsidRDefault="00454A29"/>
        </w:tc>
        <w:tc>
          <w:tcPr>
            <w:tcW w:w="2324" w:type="dxa"/>
            <w:vMerge/>
          </w:tcPr>
          <w:p w14:paraId="52D91813" w14:textId="77777777" w:rsidR="00454A29" w:rsidRDefault="00454A29"/>
        </w:tc>
        <w:tc>
          <w:tcPr>
            <w:tcW w:w="1701" w:type="dxa"/>
            <w:vAlign w:val="center"/>
          </w:tcPr>
          <w:p w14:paraId="6D7D6C3D" w14:textId="77777777" w:rsidR="00454A29" w:rsidRDefault="00454A29">
            <w:pPr>
              <w:pStyle w:val="ConsPlusNormal"/>
              <w:jc w:val="center"/>
            </w:pPr>
            <w:r>
              <w:t>-</w:t>
            </w:r>
          </w:p>
        </w:tc>
        <w:tc>
          <w:tcPr>
            <w:tcW w:w="1814" w:type="dxa"/>
            <w:vAlign w:val="center"/>
          </w:tcPr>
          <w:p w14:paraId="7FAE4A1B" w14:textId="77777777" w:rsidR="00454A29" w:rsidRDefault="00454A29">
            <w:pPr>
              <w:pStyle w:val="ConsPlusNormal"/>
            </w:pPr>
          </w:p>
        </w:tc>
        <w:tc>
          <w:tcPr>
            <w:tcW w:w="1701" w:type="dxa"/>
            <w:vAlign w:val="center"/>
          </w:tcPr>
          <w:p w14:paraId="5C5DE804" w14:textId="77777777" w:rsidR="00454A29" w:rsidRDefault="00454A29">
            <w:pPr>
              <w:pStyle w:val="ConsPlusNormal"/>
            </w:pPr>
          </w:p>
        </w:tc>
        <w:tc>
          <w:tcPr>
            <w:tcW w:w="1701" w:type="dxa"/>
            <w:vAlign w:val="center"/>
          </w:tcPr>
          <w:p w14:paraId="199AC52F" w14:textId="77777777" w:rsidR="00454A29" w:rsidRDefault="00454A29">
            <w:pPr>
              <w:pStyle w:val="ConsPlusNormal"/>
            </w:pPr>
          </w:p>
        </w:tc>
        <w:tc>
          <w:tcPr>
            <w:tcW w:w="1814" w:type="dxa"/>
            <w:vAlign w:val="center"/>
          </w:tcPr>
          <w:p w14:paraId="618B6CD8" w14:textId="77777777" w:rsidR="00454A29" w:rsidRDefault="00454A29">
            <w:pPr>
              <w:pStyle w:val="ConsPlusNormal"/>
            </w:pPr>
          </w:p>
        </w:tc>
      </w:tr>
      <w:tr w:rsidR="00454A29" w14:paraId="5C50E7F2" w14:textId="77777777">
        <w:tc>
          <w:tcPr>
            <w:tcW w:w="567" w:type="dxa"/>
            <w:vMerge/>
          </w:tcPr>
          <w:p w14:paraId="4EAFD6D4" w14:textId="77777777" w:rsidR="00454A29" w:rsidRDefault="00454A29"/>
        </w:tc>
        <w:tc>
          <w:tcPr>
            <w:tcW w:w="3345" w:type="dxa"/>
            <w:vMerge/>
          </w:tcPr>
          <w:p w14:paraId="4AD170A3" w14:textId="77777777" w:rsidR="00454A29" w:rsidRDefault="00454A29"/>
        </w:tc>
        <w:tc>
          <w:tcPr>
            <w:tcW w:w="1701" w:type="dxa"/>
            <w:vAlign w:val="center"/>
          </w:tcPr>
          <w:p w14:paraId="5FDAED16" w14:textId="77777777" w:rsidR="00454A29" w:rsidRDefault="00454A29">
            <w:pPr>
              <w:pStyle w:val="ConsPlusNormal"/>
              <w:jc w:val="center"/>
            </w:pPr>
            <w:r>
              <w:t>2024</w:t>
            </w:r>
          </w:p>
        </w:tc>
        <w:tc>
          <w:tcPr>
            <w:tcW w:w="1417" w:type="dxa"/>
            <w:vMerge/>
          </w:tcPr>
          <w:p w14:paraId="6CC656F5" w14:textId="77777777" w:rsidR="00454A29" w:rsidRDefault="00454A29"/>
        </w:tc>
        <w:tc>
          <w:tcPr>
            <w:tcW w:w="2204" w:type="dxa"/>
            <w:vMerge/>
          </w:tcPr>
          <w:p w14:paraId="1002D969" w14:textId="77777777" w:rsidR="00454A29" w:rsidRDefault="00454A29"/>
        </w:tc>
        <w:tc>
          <w:tcPr>
            <w:tcW w:w="1417" w:type="dxa"/>
            <w:vMerge/>
          </w:tcPr>
          <w:p w14:paraId="585B53E8" w14:textId="77777777" w:rsidR="00454A29" w:rsidRDefault="00454A29"/>
        </w:tc>
        <w:tc>
          <w:tcPr>
            <w:tcW w:w="2324" w:type="dxa"/>
            <w:vMerge/>
          </w:tcPr>
          <w:p w14:paraId="42AEBF0D" w14:textId="77777777" w:rsidR="00454A29" w:rsidRDefault="00454A29"/>
        </w:tc>
        <w:tc>
          <w:tcPr>
            <w:tcW w:w="1701" w:type="dxa"/>
            <w:vAlign w:val="center"/>
          </w:tcPr>
          <w:p w14:paraId="44E43269" w14:textId="77777777" w:rsidR="00454A29" w:rsidRDefault="00454A29">
            <w:pPr>
              <w:pStyle w:val="ConsPlusNormal"/>
            </w:pPr>
          </w:p>
        </w:tc>
        <w:tc>
          <w:tcPr>
            <w:tcW w:w="1814" w:type="dxa"/>
            <w:vAlign w:val="center"/>
          </w:tcPr>
          <w:p w14:paraId="016EB413" w14:textId="77777777" w:rsidR="00454A29" w:rsidRDefault="00454A29">
            <w:pPr>
              <w:pStyle w:val="ConsPlusNormal"/>
            </w:pPr>
          </w:p>
        </w:tc>
        <w:tc>
          <w:tcPr>
            <w:tcW w:w="1701" w:type="dxa"/>
            <w:vAlign w:val="center"/>
          </w:tcPr>
          <w:p w14:paraId="0EFEECC9" w14:textId="77777777" w:rsidR="00454A29" w:rsidRDefault="00454A29">
            <w:pPr>
              <w:pStyle w:val="ConsPlusNormal"/>
            </w:pPr>
          </w:p>
        </w:tc>
        <w:tc>
          <w:tcPr>
            <w:tcW w:w="1701" w:type="dxa"/>
            <w:vAlign w:val="center"/>
          </w:tcPr>
          <w:p w14:paraId="64CE911E" w14:textId="77777777" w:rsidR="00454A29" w:rsidRDefault="00454A29">
            <w:pPr>
              <w:pStyle w:val="ConsPlusNormal"/>
            </w:pPr>
          </w:p>
        </w:tc>
        <w:tc>
          <w:tcPr>
            <w:tcW w:w="1814" w:type="dxa"/>
            <w:vAlign w:val="center"/>
          </w:tcPr>
          <w:p w14:paraId="63A216C8" w14:textId="77777777" w:rsidR="00454A29" w:rsidRDefault="00454A29">
            <w:pPr>
              <w:pStyle w:val="ConsPlusNormal"/>
            </w:pPr>
          </w:p>
        </w:tc>
      </w:tr>
      <w:tr w:rsidR="00454A29" w14:paraId="2AFAB8B4" w14:textId="77777777">
        <w:tc>
          <w:tcPr>
            <w:tcW w:w="567" w:type="dxa"/>
            <w:vMerge/>
          </w:tcPr>
          <w:p w14:paraId="26DF2155" w14:textId="77777777" w:rsidR="00454A29" w:rsidRDefault="00454A29"/>
        </w:tc>
        <w:tc>
          <w:tcPr>
            <w:tcW w:w="3345" w:type="dxa"/>
            <w:vMerge/>
          </w:tcPr>
          <w:p w14:paraId="590E7B5D" w14:textId="77777777" w:rsidR="00454A29" w:rsidRDefault="00454A29"/>
        </w:tc>
        <w:tc>
          <w:tcPr>
            <w:tcW w:w="1701" w:type="dxa"/>
            <w:vAlign w:val="center"/>
          </w:tcPr>
          <w:p w14:paraId="1B9F958D" w14:textId="77777777" w:rsidR="00454A29" w:rsidRDefault="00454A29">
            <w:pPr>
              <w:pStyle w:val="ConsPlusNormal"/>
              <w:jc w:val="center"/>
            </w:pPr>
            <w:r>
              <w:t>2025</w:t>
            </w:r>
          </w:p>
        </w:tc>
        <w:tc>
          <w:tcPr>
            <w:tcW w:w="1417" w:type="dxa"/>
            <w:vMerge/>
          </w:tcPr>
          <w:p w14:paraId="5438F1E0" w14:textId="77777777" w:rsidR="00454A29" w:rsidRDefault="00454A29"/>
        </w:tc>
        <w:tc>
          <w:tcPr>
            <w:tcW w:w="2204" w:type="dxa"/>
            <w:vMerge/>
          </w:tcPr>
          <w:p w14:paraId="27A40C4C" w14:textId="77777777" w:rsidR="00454A29" w:rsidRDefault="00454A29"/>
        </w:tc>
        <w:tc>
          <w:tcPr>
            <w:tcW w:w="1417" w:type="dxa"/>
            <w:vMerge/>
          </w:tcPr>
          <w:p w14:paraId="5B7884FE" w14:textId="77777777" w:rsidR="00454A29" w:rsidRDefault="00454A29"/>
        </w:tc>
        <w:tc>
          <w:tcPr>
            <w:tcW w:w="2324" w:type="dxa"/>
            <w:vMerge/>
          </w:tcPr>
          <w:p w14:paraId="3992E5C2" w14:textId="77777777" w:rsidR="00454A29" w:rsidRDefault="00454A29"/>
        </w:tc>
        <w:tc>
          <w:tcPr>
            <w:tcW w:w="1701" w:type="dxa"/>
            <w:vAlign w:val="center"/>
          </w:tcPr>
          <w:p w14:paraId="53850304" w14:textId="77777777" w:rsidR="00454A29" w:rsidRDefault="00454A29">
            <w:pPr>
              <w:pStyle w:val="ConsPlusNormal"/>
            </w:pPr>
          </w:p>
        </w:tc>
        <w:tc>
          <w:tcPr>
            <w:tcW w:w="1814" w:type="dxa"/>
            <w:vAlign w:val="center"/>
          </w:tcPr>
          <w:p w14:paraId="30D18B7E" w14:textId="77777777" w:rsidR="00454A29" w:rsidRDefault="00454A29">
            <w:pPr>
              <w:pStyle w:val="ConsPlusNormal"/>
            </w:pPr>
          </w:p>
        </w:tc>
        <w:tc>
          <w:tcPr>
            <w:tcW w:w="1701" w:type="dxa"/>
            <w:vAlign w:val="center"/>
          </w:tcPr>
          <w:p w14:paraId="71E12ED9" w14:textId="77777777" w:rsidR="00454A29" w:rsidRDefault="00454A29">
            <w:pPr>
              <w:pStyle w:val="ConsPlusNormal"/>
            </w:pPr>
          </w:p>
        </w:tc>
        <w:tc>
          <w:tcPr>
            <w:tcW w:w="1701" w:type="dxa"/>
            <w:vAlign w:val="center"/>
          </w:tcPr>
          <w:p w14:paraId="66CF1F02" w14:textId="77777777" w:rsidR="00454A29" w:rsidRDefault="00454A29">
            <w:pPr>
              <w:pStyle w:val="ConsPlusNormal"/>
            </w:pPr>
          </w:p>
        </w:tc>
        <w:tc>
          <w:tcPr>
            <w:tcW w:w="1814" w:type="dxa"/>
            <w:vAlign w:val="center"/>
          </w:tcPr>
          <w:p w14:paraId="32E58A63" w14:textId="77777777" w:rsidR="00454A29" w:rsidRDefault="00454A29">
            <w:pPr>
              <w:pStyle w:val="ConsPlusNormal"/>
            </w:pPr>
          </w:p>
        </w:tc>
      </w:tr>
      <w:tr w:rsidR="00454A29" w14:paraId="42270944" w14:textId="77777777">
        <w:tc>
          <w:tcPr>
            <w:tcW w:w="567" w:type="dxa"/>
            <w:vMerge/>
          </w:tcPr>
          <w:p w14:paraId="6F8CA8D4" w14:textId="77777777" w:rsidR="00454A29" w:rsidRDefault="00454A29"/>
        </w:tc>
        <w:tc>
          <w:tcPr>
            <w:tcW w:w="3345" w:type="dxa"/>
            <w:vMerge/>
          </w:tcPr>
          <w:p w14:paraId="0235CC3F" w14:textId="77777777" w:rsidR="00454A29" w:rsidRDefault="00454A29"/>
        </w:tc>
        <w:tc>
          <w:tcPr>
            <w:tcW w:w="1701" w:type="dxa"/>
            <w:vAlign w:val="center"/>
          </w:tcPr>
          <w:p w14:paraId="64E950D8" w14:textId="77777777" w:rsidR="00454A29" w:rsidRDefault="00454A29">
            <w:pPr>
              <w:pStyle w:val="ConsPlusNormal"/>
              <w:jc w:val="center"/>
            </w:pPr>
            <w:r>
              <w:t>2026</w:t>
            </w:r>
          </w:p>
        </w:tc>
        <w:tc>
          <w:tcPr>
            <w:tcW w:w="1417" w:type="dxa"/>
            <w:vMerge/>
          </w:tcPr>
          <w:p w14:paraId="65CF6501" w14:textId="77777777" w:rsidR="00454A29" w:rsidRDefault="00454A29"/>
        </w:tc>
        <w:tc>
          <w:tcPr>
            <w:tcW w:w="2204" w:type="dxa"/>
            <w:vMerge/>
          </w:tcPr>
          <w:p w14:paraId="6062D5D7" w14:textId="77777777" w:rsidR="00454A29" w:rsidRDefault="00454A29"/>
        </w:tc>
        <w:tc>
          <w:tcPr>
            <w:tcW w:w="1417" w:type="dxa"/>
            <w:vMerge/>
          </w:tcPr>
          <w:p w14:paraId="4AB28A52" w14:textId="77777777" w:rsidR="00454A29" w:rsidRDefault="00454A29"/>
        </w:tc>
        <w:tc>
          <w:tcPr>
            <w:tcW w:w="2324" w:type="dxa"/>
            <w:vMerge/>
          </w:tcPr>
          <w:p w14:paraId="3E71573D" w14:textId="77777777" w:rsidR="00454A29" w:rsidRDefault="00454A29"/>
        </w:tc>
        <w:tc>
          <w:tcPr>
            <w:tcW w:w="1701" w:type="dxa"/>
            <w:vAlign w:val="center"/>
          </w:tcPr>
          <w:p w14:paraId="1D2C84C5" w14:textId="77777777" w:rsidR="00454A29" w:rsidRDefault="00454A29">
            <w:pPr>
              <w:pStyle w:val="ConsPlusNormal"/>
              <w:jc w:val="center"/>
            </w:pPr>
            <w:r>
              <w:t>331 042,07</w:t>
            </w:r>
          </w:p>
        </w:tc>
        <w:tc>
          <w:tcPr>
            <w:tcW w:w="1814" w:type="dxa"/>
            <w:vAlign w:val="center"/>
          </w:tcPr>
          <w:p w14:paraId="4FEE4997" w14:textId="77777777" w:rsidR="00454A29" w:rsidRDefault="00454A29">
            <w:pPr>
              <w:pStyle w:val="ConsPlusNormal"/>
              <w:jc w:val="center"/>
            </w:pPr>
            <w:r>
              <w:t>4 078,44</w:t>
            </w:r>
          </w:p>
        </w:tc>
        <w:tc>
          <w:tcPr>
            <w:tcW w:w="1701" w:type="dxa"/>
            <w:vAlign w:val="center"/>
          </w:tcPr>
          <w:p w14:paraId="0389FF66" w14:textId="77777777" w:rsidR="00454A29" w:rsidRDefault="00454A29">
            <w:pPr>
              <w:pStyle w:val="ConsPlusNormal"/>
              <w:jc w:val="center"/>
            </w:pPr>
            <w:r>
              <w:t>403 765,39</w:t>
            </w:r>
          </w:p>
        </w:tc>
        <w:tc>
          <w:tcPr>
            <w:tcW w:w="1701" w:type="dxa"/>
            <w:vAlign w:val="center"/>
          </w:tcPr>
          <w:p w14:paraId="6017A1DA" w14:textId="77777777" w:rsidR="00454A29" w:rsidRDefault="00454A29">
            <w:pPr>
              <w:pStyle w:val="ConsPlusNormal"/>
            </w:pPr>
          </w:p>
        </w:tc>
        <w:tc>
          <w:tcPr>
            <w:tcW w:w="1814" w:type="dxa"/>
            <w:vAlign w:val="center"/>
          </w:tcPr>
          <w:p w14:paraId="05A91213" w14:textId="77777777" w:rsidR="00454A29" w:rsidRDefault="00454A29">
            <w:pPr>
              <w:pStyle w:val="ConsPlusNormal"/>
            </w:pPr>
          </w:p>
        </w:tc>
      </w:tr>
      <w:tr w:rsidR="00454A29" w14:paraId="1A5E734E" w14:textId="77777777">
        <w:tc>
          <w:tcPr>
            <w:tcW w:w="567" w:type="dxa"/>
            <w:vMerge w:val="restart"/>
            <w:vAlign w:val="center"/>
          </w:tcPr>
          <w:p w14:paraId="6E9B4F8A" w14:textId="77777777" w:rsidR="00454A29" w:rsidRDefault="00454A29">
            <w:pPr>
              <w:pStyle w:val="ConsPlusNormal"/>
              <w:jc w:val="center"/>
            </w:pPr>
            <w:r>
              <w:t>102</w:t>
            </w:r>
          </w:p>
        </w:tc>
        <w:tc>
          <w:tcPr>
            <w:tcW w:w="3345" w:type="dxa"/>
            <w:vMerge w:val="restart"/>
            <w:vAlign w:val="center"/>
          </w:tcPr>
          <w:p w14:paraId="5747592B" w14:textId="77777777" w:rsidR="00454A29" w:rsidRDefault="00454A29">
            <w:pPr>
              <w:pStyle w:val="ConsPlusNormal"/>
              <w:jc w:val="center"/>
            </w:pPr>
            <w:r>
              <w:t>Школа на 60 учащихся в с. Куду-Кюель</w:t>
            </w:r>
          </w:p>
        </w:tc>
        <w:tc>
          <w:tcPr>
            <w:tcW w:w="1701" w:type="dxa"/>
            <w:vAlign w:val="center"/>
          </w:tcPr>
          <w:p w14:paraId="6734A029" w14:textId="77777777" w:rsidR="00454A29" w:rsidRDefault="00454A29">
            <w:pPr>
              <w:pStyle w:val="ConsPlusNormal"/>
              <w:jc w:val="center"/>
            </w:pPr>
            <w:r>
              <w:t>2020 - 2026 годы - всего</w:t>
            </w:r>
          </w:p>
        </w:tc>
        <w:tc>
          <w:tcPr>
            <w:tcW w:w="1417" w:type="dxa"/>
            <w:vMerge w:val="restart"/>
            <w:vAlign w:val="center"/>
          </w:tcPr>
          <w:p w14:paraId="68F1210E" w14:textId="77777777" w:rsidR="00454A29" w:rsidRDefault="00454A29">
            <w:pPr>
              <w:pStyle w:val="ConsPlusNormal"/>
              <w:jc w:val="center"/>
            </w:pPr>
            <w:r>
              <w:t>220 694,71</w:t>
            </w:r>
          </w:p>
        </w:tc>
        <w:tc>
          <w:tcPr>
            <w:tcW w:w="2204" w:type="dxa"/>
            <w:vMerge w:val="restart"/>
            <w:vAlign w:val="center"/>
          </w:tcPr>
          <w:p w14:paraId="058DFFF7" w14:textId="77777777" w:rsidR="00454A29" w:rsidRDefault="00454A29">
            <w:pPr>
              <w:pStyle w:val="ConsPlusNormal"/>
            </w:pPr>
          </w:p>
        </w:tc>
        <w:tc>
          <w:tcPr>
            <w:tcW w:w="1417" w:type="dxa"/>
            <w:vMerge w:val="restart"/>
            <w:vAlign w:val="center"/>
          </w:tcPr>
          <w:p w14:paraId="33A14D18" w14:textId="77777777" w:rsidR="00454A29" w:rsidRDefault="00454A29">
            <w:pPr>
              <w:pStyle w:val="ConsPlusNormal"/>
              <w:jc w:val="center"/>
            </w:pPr>
            <w:r>
              <w:t>60</w:t>
            </w:r>
          </w:p>
        </w:tc>
        <w:tc>
          <w:tcPr>
            <w:tcW w:w="2324" w:type="dxa"/>
            <w:vMerge w:val="restart"/>
            <w:vAlign w:val="center"/>
          </w:tcPr>
          <w:p w14:paraId="4E176B8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3861E9E" w14:textId="77777777" w:rsidR="00454A29" w:rsidRDefault="00454A29">
            <w:pPr>
              <w:pStyle w:val="ConsPlusNormal"/>
              <w:jc w:val="center"/>
            </w:pPr>
            <w:r>
              <w:t>220 694,71</w:t>
            </w:r>
          </w:p>
        </w:tc>
        <w:tc>
          <w:tcPr>
            <w:tcW w:w="1814" w:type="dxa"/>
            <w:vAlign w:val="center"/>
          </w:tcPr>
          <w:p w14:paraId="7B519326" w14:textId="77777777" w:rsidR="00454A29" w:rsidRDefault="00454A29">
            <w:pPr>
              <w:pStyle w:val="ConsPlusNormal"/>
              <w:jc w:val="center"/>
            </w:pPr>
            <w:r>
              <w:t>2 718,96</w:t>
            </w:r>
          </w:p>
        </w:tc>
        <w:tc>
          <w:tcPr>
            <w:tcW w:w="1701" w:type="dxa"/>
            <w:vAlign w:val="center"/>
          </w:tcPr>
          <w:p w14:paraId="03870D79" w14:textId="77777777" w:rsidR="00454A29" w:rsidRDefault="00454A29">
            <w:pPr>
              <w:pStyle w:val="ConsPlusNormal"/>
              <w:jc w:val="center"/>
            </w:pPr>
            <w:r>
              <w:t>269 176,93</w:t>
            </w:r>
          </w:p>
        </w:tc>
        <w:tc>
          <w:tcPr>
            <w:tcW w:w="1701" w:type="dxa"/>
            <w:vAlign w:val="center"/>
          </w:tcPr>
          <w:p w14:paraId="6F1C8763" w14:textId="77777777" w:rsidR="00454A29" w:rsidRDefault="00454A29">
            <w:pPr>
              <w:pStyle w:val="ConsPlusNormal"/>
              <w:jc w:val="center"/>
            </w:pPr>
            <w:r>
              <w:t>-</w:t>
            </w:r>
          </w:p>
        </w:tc>
        <w:tc>
          <w:tcPr>
            <w:tcW w:w="1814" w:type="dxa"/>
            <w:vAlign w:val="center"/>
          </w:tcPr>
          <w:p w14:paraId="3482D627" w14:textId="77777777" w:rsidR="00454A29" w:rsidRDefault="00454A29">
            <w:pPr>
              <w:pStyle w:val="ConsPlusNormal"/>
              <w:jc w:val="center"/>
            </w:pPr>
            <w:r>
              <w:t>-</w:t>
            </w:r>
          </w:p>
        </w:tc>
      </w:tr>
      <w:tr w:rsidR="00454A29" w14:paraId="4D81E0AE" w14:textId="77777777">
        <w:tc>
          <w:tcPr>
            <w:tcW w:w="567" w:type="dxa"/>
            <w:vMerge/>
          </w:tcPr>
          <w:p w14:paraId="347A48B6" w14:textId="77777777" w:rsidR="00454A29" w:rsidRDefault="00454A29"/>
        </w:tc>
        <w:tc>
          <w:tcPr>
            <w:tcW w:w="3345" w:type="dxa"/>
            <w:vMerge/>
          </w:tcPr>
          <w:p w14:paraId="52442BA2" w14:textId="77777777" w:rsidR="00454A29" w:rsidRDefault="00454A29"/>
        </w:tc>
        <w:tc>
          <w:tcPr>
            <w:tcW w:w="1701" w:type="dxa"/>
            <w:vAlign w:val="center"/>
          </w:tcPr>
          <w:p w14:paraId="1C4AC490" w14:textId="77777777" w:rsidR="00454A29" w:rsidRDefault="00454A29">
            <w:pPr>
              <w:pStyle w:val="ConsPlusNormal"/>
              <w:jc w:val="center"/>
            </w:pPr>
            <w:r>
              <w:t>2020</w:t>
            </w:r>
          </w:p>
        </w:tc>
        <w:tc>
          <w:tcPr>
            <w:tcW w:w="1417" w:type="dxa"/>
            <w:vMerge/>
          </w:tcPr>
          <w:p w14:paraId="7B639290" w14:textId="77777777" w:rsidR="00454A29" w:rsidRDefault="00454A29"/>
        </w:tc>
        <w:tc>
          <w:tcPr>
            <w:tcW w:w="2204" w:type="dxa"/>
            <w:vMerge/>
          </w:tcPr>
          <w:p w14:paraId="35FA9EBE" w14:textId="77777777" w:rsidR="00454A29" w:rsidRDefault="00454A29"/>
        </w:tc>
        <w:tc>
          <w:tcPr>
            <w:tcW w:w="1417" w:type="dxa"/>
            <w:vMerge/>
          </w:tcPr>
          <w:p w14:paraId="6AA89F62" w14:textId="77777777" w:rsidR="00454A29" w:rsidRDefault="00454A29"/>
        </w:tc>
        <w:tc>
          <w:tcPr>
            <w:tcW w:w="2324" w:type="dxa"/>
            <w:vMerge/>
          </w:tcPr>
          <w:p w14:paraId="61F773ED" w14:textId="77777777" w:rsidR="00454A29" w:rsidRDefault="00454A29"/>
        </w:tc>
        <w:tc>
          <w:tcPr>
            <w:tcW w:w="1701" w:type="dxa"/>
            <w:vAlign w:val="center"/>
          </w:tcPr>
          <w:p w14:paraId="6D273891" w14:textId="77777777" w:rsidR="00454A29" w:rsidRDefault="00454A29">
            <w:pPr>
              <w:pStyle w:val="ConsPlusNormal"/>
            </w:pPr>
          </w:p>
        </w:tc>
        <w:tc>
          <w:tcPr>
            <w:tcW w:w="1814" w:type="dxa"/>
            <w:vAlign w:val="center"/>
          </w:tcPr>
          <w:p w14:paraId="14B1FAFB" w14:textId="77777777" w:rsidR="00454A29" w:rsidRDefault="00454A29">
            <w:pPr>
              <w:pStyle w:val="ConsPlusNormal"/>
            </w:pPr>
          </w:p>
        </w:tc>
        <w:tc>
          <w:tcPr>
            <w:tcW w:w="1701" w:type="dxa"/>
            <w:vAlign w:val="center"/>
          </w:tcPr>
          <w:p w14:paraId="0AF61CAB" w14:textId="77777777" w:rsidR="00454A29" w:rsidRDefault="00454A29">
            <w:pPr>
              <w:pStyle w:val="ConsPlusNormal"/>
            </w:pPr>
          </w:p>
        </w:tc>
        <w:tc>
          <w:tcPr>
            <w:tcW w:w="1701" w:type="dxa"/>
            <w:vAlign w:val="center"/>
          </w:tcPr>
          <w:p w14:paraId="1EB6896A" w14:textId="77777777" w:rsidR="00454A29" w:rsidRDefault="00454A29">
            <w:pPr>
              <w:pStyle w:val="ConsPlusNormal"/>
            </w:pPr>
          </w:p>
        </w:tc>
        <w:tc>
          <w:tcPr>
            <w:tcW w:w="1814" w:type="dxa"/>
            <w:vAlign w:val="center"/>
          </w:tcPr>
          <w:p w14:paraId="5BC27150" w14:textId="77777777" w:rsidR="00454A29" w:rsidRDefault="00454A29">
            <w:pPr>
              <w:pStyle w:val="ConsPlusNormal"/>
            </w:pPr>
          </w:p>
        </w:tc>
      </w:tr>
      <w:tr w:rsidR="00454A29" w14:paraId="06B006DF" w14:textId="77777777">
        <w:tc>
          <w:tcPr>
            <w:tcW w:w="567" w:type="dxa"/>
            <w:vMerge/>
          </w:tcPr>
          <w:p w14:paraId="0A954C28" w14:textId="77777777" w:rsidR="00454A29" w:rsidRDefault="00454A29"/>
        </w:tc>
        <w:tc>
          <w:tcPr>
            <w:tcW w:w="3345" w:type="dxa"/>
            <w:vMerge/>
          </w:tcPr>
          <w:p w14:paraId="1C973EF3" w14:textId="77777777" w:rsidR="00454A29" w:rsidRDefault="00454A29"/>
        </w:tc>
        <w:tc>
          <w:tcPr>
            <w:tcW w:w="1701" w:type="dxa"/>
            <w:vAlign w:val="center"/>
          </w:tcPr>
          <w:p w14:paraId="7156AE64" w14:textId="77777777" w:rsidR="00454A29" w:rsidRDefault="00454A29">
            <w:pPr>
              <w:pStyle w:val="ConsPlusNormal"/>
              <w:jc w:val="center"/>
            </w:pPr>
            <w:r>
              <w:t>2021</w:t>
            </w:r>
          </w:p>
        </w:tc>
        <w:tc>
          <w:tcPr>
            <w:tcW w:w="1417" w:type="dxa"/>
            <w:vMerge/>
          </w:tcPr>
          <w:p w14:paraId="256D226C" w14:textId="77777777" w:rsidR="00454A29" w:rsidRDefault="00454A29"/>
        </w:tc>
        <w:tc>
          <w:tcPr>
            <w:tcW w:w="2204" w:type="dxa"/>
            <w:vMerge/>
          </w:tcPr>
          <w:p w14:paraId="66CE58E2" w14:textId="77777777" w:rsidR="00454A29" w:rsidRDefault="00454A29"/>
        </w:tc>
        <w:tc>
          <w:tcPr>
            <w:tcW w:w="1417" w:type="dxa"/>
            <w:vMerge/>
          </w:tcPr>
          <w:p w14:paraId="1534B32A" w14:textId="77777777" w:rsidR="00454A29" w:rsidRDefault="00454A29"/>
        </w:tc>
        <w:tc>
          <w:tcPr>
            <w:tcW w:w="2324" w:type="dxa"/>
            <w:vMerge/>
          </w:tcPr>
          <w:p w14:paraId="21CA1CAA" w14:textId="77777777" w:rsidR="00454A29" w:rsidRDefault="00454A29"/>
        </w:tc>
        <w:tc>
          <w:tcPr>
            <w:tcW w:w="1701" w:type="dxa"/>
            <w:vAlign w:val="center"/>
          </w:tcPr>
          <w:p w14:paraId="61BA6765" w14:textId="77777777" w:rsidR="00454A29" w:rsidRDefault="00454A29">
            <w:pPr>
              <w:pStyle w:val="ConsPlusNormal"/>
            </w:pPr>
          </w:p>
        </w:tc>
        <w:tc>
          <w:tcPr>
            <w:tcW w:w="1814" w:type="dxa"/>
            <w:vAlign w:val="center"/>
          </w:tcPr>
          <w:p w14:paraId="471D6C07" w14:textId="77777777" w:rsidR="00454A29" w:rsidRDefault="00454A29">
            <w:pPr>
              <w:pStyle w:val="ConsPlusNormal"/>
            </w:pPr>
          </w:p>
        </w:tc>
        <w:tc>
          <w:tcPr>
            <w:tcW w:w="1701" w:type="dxa"/>
            <w:vAlign w:val="center"/>
          </w:tcPr>
          <w:p w14:paraId="4EC61651" w14:textId="77777777" w:rsidR="00454A29" w:rsidRDefault="00454A29">
            <w:pPr>
              <w:pStyle w:val="ConsPlusNormal"/>
            </w:pPr>
          </w:p>
        </w:tc>
        <w:tc>
          <w:tcPr>
            <w:tcW w:w="1701" w:type="dxa"/>
            <w:vAlign w:val="center"/>
          </w:tcPr>
          <w:p w14:paraId="20531019" w14:textId="77777777" w:rsidR="00454A29" w:rsidRDefault="00454A29">
            <w:pPr>
              <w:pStyle w:val="ConsPlusNormal"/>
            </w:pPr>
          </w:p>
        </w:tc>
        <w:tc>
          <w:tcPr>
            <w:tcW w:w="1814" w:type="dxa"/>
            <w:vAlign w:val="center"/>
          </w:tcPr>
          <w:p w14:paraId="2D9D4D6C" w14:textId="77777777" w:rsidR="00454A29" w:rsidRDefault="00454A29">
            <w:pPr>
              <w:pStyle w:val="ConsPlusNormal"/>
            </w:pPr>
          </w:p>
        </w:tc>
      </w:tr>
      <w:tr w:rsidR="00454A29" w14:paraId="4F01965F" w14:textId="77777777">
        <w:tc>
          <w:tcPr>
            <w:tcW w:w="567" w:type="dxa"/>
            <w:vMerge/>
          </w:tcPr>
          <w:p w14:paraId="2A045C4D" w14:textId="77777777" w:rsidR="00454A29" w:rsidRDefault="00454A29"/>
        </w:tc>
        <w:tc>
          <w:tcPr>
            <w:tcW w:w="3345" w:type="dxa"/>
            <w:vMerge/>
          </w:tcPr>
          <w:p w14:paraId="0455ADCC" w14:textId="77777777" w:rsidR="00454A29" w:rsidRDefault="00454A29"/>
        </w:tc>
        <w:tc>
          <w:tcPr>
            <w:tcW w:w="1701" w:type="dxa"/>
            <w:vAlign w:val="center"/>
          </w:tcPr>
          <w:p w14:paraId="65F92AF2" w14:textId="77777777" w:rsidR="00454A29" w:rsidRDefault="00454A29">
            <w:pPr>
              <w:pStyle w:val="ConsPlusNormal"/>
              <w:jc w:val="center"/>
            </w:pPr>
            <w:r>
              <w:t>2022</w:t>
            </w:r>
          </w:p>
        </w:tc>
        <w:tc>
          <w:tcPr>
            <w:tcW w:w="1417" w:type="dxa"/>
            <w:vMerge/>
          </w:tcPr>
          <w:p w14:paraId="22F17CD4" w14:textId="77777777" w:rsidR="00454A29" w:rsidRDefault="00454A29"/>
        </w:tc>
        <w:tc>
          <w:tcPr>
            <w:tcW w:w="2204" w:type="dxa"/>
            <w:vMerge/>
          </w:tcPr>
          <w:p w14:paraId="254E8E9C" w14:textId="77777777" w:rsidR="00454A29" w:rsidRDefault="00454A29"/>
        </w:tc>
        <w:tc>
          <w:tcPr>
            <w:tcW w:w="1417" w:type="dxa"/>
            <w:vMerge/>
          </w:tcPr>
          <w:p w14:paraId="51C1B5FC" w14:textId="77777777" w:rsidR="00454A29" w:rsidRDefault="00454A29"/>
        </w:tc>
        <w:tc>
          <w:tcPr>
            <w:tcW w:w="2324" w:type="dxa"/>
            <w:vMerge/>
          </w:tcPr>
          <w:p w14:paraId="0F6F710C" w14:textId="77777777" w:rsidR="00454A29" w:rsidRDefault="00454A29"/>
        </w:tc>
        <w:tc>
          <w:tcPr>
            <w:tcW w:w="1701" w:type="dxa"/>
            <w:vAlign w:val="center"/>
          </w:tcPr>
          <w:p w14:paraId="41508D6F" w14:textId="77777777" w:rsidR="00454A29" w:rsidRDefault="00454A29">
            <w:pPr>
              <w:pStyle w:val="ConsPlusNormal"/>
            </w:pPr>
          </w:p>
        </w:tc>
        <w:tc>
          <w:tcPr>
            <w:tcW w:w="1814" w:type="dxa"/>
            <w:vAlign w:val="center"/>
          </w:tcPr>
          <w:p w14:paraId="4A4EBE61" w14:textId="77777777" w:rsidR="00454A29" w:rsidRDefault="00454A29">
            <w:pPr>
              <w:pStyle w:val="ConsPlusNormal"/>
            </w:pPr>
          </w:p>
        </w:tc>
        <w:tc>
          <w:tcPr>
            <w:tcW w:w="1701" w:type="dxa"/>
            <w:vAlign w:val="center"/>
          </w:tcPr>
          <w:p w14:paraId="49EA6E06" w14:textId="77777777" w:rsidR="00454A29" w:rsidRDefault="00454A29">
            <w:pPr>
              <w:pStyle w:val="ConsPlusNormal"/>
            </w:pPr>
          </w:p>
        </w:tc>
        <w:tc>
          <w:tcPr>
            <w:tcW w:w="1701" w:type="dxa"/>
            <w:vAlign w:val="center"/>
          </w:tcPr>
          <w:p w14:paraId="418BAD67" w14:textId="77777777" w:rsidR="00454A29" w:rsidRDefault="00454A29">
            <w:pPr>
              <w:pStyle w:val="ConsPlusNormal"/>
            </w:pPr>
          </w:p>
        </w:tc>
        <w:tc>
          <w:tcPr>
            <w:tcW w:w="1814" w:type="dxa"/>
            <w:vAlign w:val="center"/>
          </w:tcPr>
          <w:p w14:paraId="26881E5D" w14:textId="77777777" w:rsidR="00454A29" w:rsidRDefault="00454A29">
            <w:pPr>
              <w:pStyle w:val="ConsPlusNormal"/>
            </w:pPr>
          </w:p>
        </w:tc>
      </w:tr>
      <w:tr w:rsidR="00454A29" w14:paraId="6CBA6938" w14:textId="77777777">
        <w:tc>
          <w:tcPr>
            <w:tcW w:w="567" w:type="dxa"/>
            <w:vMerge/>
          </w:tcPr>
          <w:p w14:paraId="0AF2AA62" w14:textId="77777777" w:rsidR="00454A29" w:rsidRDefault="00454A29"/>
        </w:tc>
        <w:tc>
          <w:tcPr>
            <w:tcW w:w="3345" w:type="dxa"/>
            <w:vMerge/>
          </w:tcPr>
          <w:p w14:paraId="1A7F2C59" w14:textId="77777777" w:rsidR="00454A29" w:rsidRDefault="00454A29"/>
        </w:tc>
        <w:tc>
          <w:tcPr>
            <w:tcW w:w="1701" w:type="dxa"/>
            <w:vAlign w:val="center"/>
          </w:tcPr>
          <w:p w14:paraId="1BD51565" w14:textId="77777777" w:rsidR="00454A29" w:rsidRDefault="00454A29">
            <w:pPr>
              <w:pStyle w:val="ConsPlusNormal"/>
              <w:jc w:val="center"/>
            </w:pPr>
            <w:r>
              <w:t>2023</w:t>
            </w:r>
          </w:p>
        </w:tc>
        <w:tc>
          <w:tcPr>
            <w:tcW w:w="1417" w:type="dxa"/>
            <w:vMerge/>
          </w:tcPr>
          <w:p w14:paraId="58A28CF8" w14:textId="77777777" w:rsidR="00454A29" w:rsidRDefault="00454A29"/>
        </w:tc>
        <w:tc>
          <w:tcPr>
            <w:tcW w:w="2204" w:type="dxa"/>
            <w:vMerge/>
          </w:tcPr>
          <w:p w14:paraId="6F06F8A8" w14:textId="77777777" w:rsidR="00454A29" w:rsidRDefault="00454A29"/>
        </w:tc>
        <w:tc>
          <w:tcPr>
            <w:tcW w:w="1417" w:type="dxa"/>
            <w:vMerge/>
          </w:tcPr>
          <w:p w14:paraId="797E3AD1" w14:textId="77777777" w:rsidR="00454A29" w:rsidRDefault="00454A29"/>
        </w:tc>
        <w:tc>
          <w:tcPr>
            <w:tcW w:w="2324" w:type="dxa"/>
            <w:vMerge/>
          </w:tcPr>
          <w:p w14:paraId="7AA35271" w14:textId="77777777" w:rsidR="00454A29" w:rsidRDefault="00454A29"/>
        </w:tc>
        <w:tc>
          <w:tcPr>
            <w:tcW w:w="1701" w:type="dxa"/>
            <w:vAlign w:val="center"/>
          </w:tcPr>
          <w:p w14:paraId="669EB641" w14:textId="77777777" w:rsidR="00454A29" w:rsidRDefault="00454A29">
            <w:pPr>
              <w:pStyle w:val="ConsPlusNormal"/>
              <w:jc w:val="center"/>
            </w:pPr>
            <w:r>
              <w:t>-</w:t>
            </w:r>
          </w:p>
        </w:tc>
        <w:tc>
          <w:tcPr>
            <w:tcW w:w="1814" w:type="dxa"/>
            <w:vAlign w:val="center"/>
          </w:tcPr>
          <w:p w14:paraId="71C2C988" w14:textId="77777777" w:rsidR="00454A29" w:rsidRDefault="00454A29">
            <w:pPr>
              <w:pStyle w:val="ConsPlusNormal"/>
            </w:pPr>
          </w:p>
        </w:tc>
        <w:tc>
          <w:tcPr>
            <w:tcW w:w="1701" w:type="dxa"/>
            <w:vAlign w:val="center"/>
          </w:tcPr>
          <w:p w14:paraId="58BA5227" w14:textId="77777777" w:rsidR="00454A29" w:rsidRDefault="00454A29">
            <w:pPr>
              <w:pStyle w:val="ConsPlusNormal"/>
            </w:pPr>
          </w:p>
        </w:tc>
        <w:tc>
          <w:tcPr>
            <w:tcW w:w="1701" w:type="dxa"/>
            <w:vAlign w:val="center"/>
          </w:tcPr>
          <w:p w14:paraId="7EEE83CC" w14:textId="77777777" w:rsidR="00454A29" w:rsidRDefault="00454A29">
            <w:pPr>
              <w:pStyle w:val="ConsPlusNormal"/>
            </w:pPr>
          </w:p>
        </w:tc>
        <w:tc>
          <w:tcPr>
            <w:tcW w:w="1814" w:type="dxa"/>
            <w:vAlign w:val="center"/>
          </w:tcPr>
          <w:p w14:paraId="1F431CF3" w14:textId="77777777" w:rsidR="00454A29" w:rsidRDefault="00454A29">
            <w:pPr>
              <w:pStyle w:val="ConsPlusNormal"/>
            </w:pPr>
          </w:p>
        </w:tc>
      </w:tr>
      <w:tr w:rsidR="00454A29" w14:paraId="2812C173" w14:textId="77777777">
        <w:tc>
          <w:tcPr>
            <w:tcW w:w="567" w:type="dxa"/>
            <w:vMerge/>
          </w:tcPr>
          <w:p w14:paraId="46638C78" w14:textId="77777777" w:rsidR="00454A29" w:rsidRDefault="00454A29"/>
        </w:tc>
        <w:tc>
          <w:tcPr>
            <w:tcW w:w="3345" w:type="dxa"/>
            <w:vMerge/>
          </w:tcPr>
          <w:p w14:paraId="7410ACA2" w14:textId="77777777" w:rsidR="00454A29" w:rsidRDefault="00454A29"/>
        </w:tc>
        <w:tc>
          <w:tcPr>
            <w:tcW w:w="1701" w:type="dxa"/>
            <w:vAlign w:val="center"/>
          </w:tcPr>
          <w:p w14:paraId="3EBBC946" w14:textId="77777777" w:rsidR="00454A29" w:rsidRDefault="00454A29">
            <w:pPr>
              <w:pStyle w:val="ConsPlusNormal"/>
              <w:jc w:val="center"/>
            </w:pPr>
            <w:r>
              <w:t>2024</w:t>
            </w:r>
          </w:p>
        </w:tc>
        <w:tc>
          <w:tcPr>
            <w:tcW w:w="1417" w:type="dxa"/>
            <w:vMerge/>
          </w:tcPr>
          <w:p w14:paraId="4525572C" w14:textId="77777777" w:rsidR="00454A29" w:rsidRDefault="00454A29"/>
        </w:tc>
        <w:tc>
          <w:tcPr>
            <w:tcW w:w="2204" w:type="dxa"/>
            <w:vMerge/>
          </w:tcPr>
          <w:p w14:paraId="448E1D88" w14:textId="77777777" w:rsidR="00454A29" w:rsidRDefault="00454A29"/>
        </w:tc>
        <w:tc>
          <w:tcPr>
            <w:tcW w:w="1417" w:type="dxa"/>
            <w:vMerge/>
          </w:tcPr>
          <w:p w14:paraId="1B0FCF7D" w14:textId="77777777" w:rsidR="00454A29" w:rsidRDefault="00454A29"/>
        </w:tc>
        <w:tc>
          <w:tcPr>
            <w:tcW w:w="2324" w:type="dxa"/>
            <w:vMerge/>
          </w:tcPr>
          <w:p w14:paraId="4897A329" w14:textId="77777777" w:rsidR="00454A29" w:rsidRDefault="00454A29"/>
        </w:tc>
        <w:tc>
          <w:tcPr>
            <w:tcW w:w="1701" w:type="dxa"/>
            <w:vAlign w:val="center"/>
          </w:tcPr>
          <w:p w14:paraId="7C5B30EF" w14:textId="77777777" w:rsidR="00454A29" w:rsidRDefault="00454A29">
            <w:pPr>
              <w:pStyle w:val="ConsPlusNormal"/>
            </w:pPr>
          </w:p>
        </w:tc>
        <w:tc>
          <w:tcPr>
            <w:tcW w:w="1814" w:type="dxa"/>
            <w:vAlign w:val="center"/>
          </w:tcPr>
          <w:p w14:paraId="5171473F" w14:textId="77777777" w:rsidR="00454A29" w:rsidRDefault="00454A29">
            <w:pPr>
              <w:pStyle w:val="ConsPlusNormal"/>
            </w:pPr>
          </w:p>
        </w:tc>
        <w:tc>
          <w:tcPr>
            <w:tcW w:w="1701" w:type="dxa"/>
            <w:vAlign w:val="center"/>
          </w:tcPr>
          <w:p w14:paraId="01C710A2" w14:textId="77777777" w:rsidR="00454A29" w:rsidRDefault="00454A29">
            <w:pPr>
              <w:pStyle w:val="ConsPlusNormal"/>
            </w:pPr>
          </w:p>
        </w:tc>
        <w:tc>
          <w:tcPr>
            <w:tcW w:w="1701" w:type="dxa"/>
            <w:vAlign w:val="center"/>
          </w:tcPr>
          <w:p w14:paraId="4CD5DB09" w14:textId="77777777" w:rsidR="00454A29" w:rsidRDefault="00454A29">
            <w:pPr>
              <w:pStyle w:val="ConsPlusNormal"/>
            </w:pPr>
          </w:p>
        </w:tc>
        <w:tc>
          <w:tcPr>
            <w:tcW w:w="1814" w:type="dxa"/>
            <w:vAlign w:val="center"/>
          </w:tcPr>
          <w:p w14:paraId="4340CD5A" w14:textId="77777777" w:rsidR="00454A29" w:rsidRDefault="00454A29">
            <w:pPr>
              <w:pStyle w:val="ConsPlusNormal"/>
            </w:pPr>
          </w:p>
        </w:tc>
      </w:tr>
      <w:tr w:rsidR="00454A29" w14:paraId="689F275A" w14:textId="77777777">
        <w:tc>
          <w:tcPr>
            <w:tcW w:w="567" w:type="dxa"/>
            <w:vMerge/>
          </w:tcPr>
          <w:p w14:paraId="729424C0" w14:textId="77777777" w:rsidR="00454A29" w:rsidRDefault="00454A29"/>
        </w:tc>
        <w:tc>
          <w:tcPr>
            <w:tcW w:w="3345" w:type="dxa"/>
            <w:vMerge/>
          </w:tcPr>
          <w:p w14:paraId="3852E0FF" w14:textId="77777777" w:rsidR="00454A29" w:rsidRDefault="00454A29"/>
        </w:tc>
        <w:tc>
          <w:tcPr>
            <w:tcW w:w="1701" w:type="dxa"/>
            <w:vAlign w:val="center"/>
          </w:tcPr>
          <w:p w14:paraId="5E8E6B3B" w14:textId="77777777" w:rsidR="00454A29" w:rsidRDefault="00454A29">
            <w:pPr>
              <w:pStyle w:val="ConsPlusNormal"/>
              <w:jc w:val="center"/>
            </w:pPr>
            <w:r>
              <w:t>2025</w:t>
            </w:r>
          </w:p>
        </w:tc>
        <w:tc>
          <w:tcPr>
            <w:tcW w:w="1417" w:type="dxa"/>
            <w:vMerge/>
          </w:tcPr>
          <w:p w14:paraId="18B4930C" w14:textId="77777777" w:rsidR="00454A29" w:rsidRDefault="00454A29"/>
        </w:tc>
        <w:tc>
          <w:tcPr>
            <w:tcW w:w="2204" w:type="dxa"/>
            <w:vMerge/>
          </w:tcPr>
          <w:p w14:paraId="6279FA51" w14:textId="77777777" w:rsidR="00454A29" w:rsidRDefault="00454A29"/>
        </w:tc>
        <w:tc>
          <w:tcPr>
            <w:tcW w:w="1417" w:type="dxa"/>
            <w:vMerge/>
          </w:tcPr>
          <w:p w14:paraId="7C84CFC9" w14:textId="77777777" w:rsidR="00454A29" w:rsidRDefault="00454A29"/>
        </w:tc>
        <w:tc>
          <w:tcPr>
            <w:tcW w:w="2324" w:type="dxa"/>
            <w:vMerge/>
          </w:tcPr>
          <w:p w14:paraId="0E245479" w14:textId="77777777" w:rsidR="00454A29" w:rsidRDefault="00454A29"/>
        </w:tc>
        <w:tc>
          <w:tcPr>
            <w:tcW w:w="1701" w:type="dxa"/>
            <w:vAlign w:val="center"/>
          </w:tcPr>
          <w:p w14:paraId="22C96293" w14:textId="77777777" w:rsidR="00454A29" w:rsidRDefault="00454A29">
            <w:pPr>
              <w:pStyle w:val="ConsPlusNormal"/>
            </w:pPr>
          </w:p>
        </w:tc>
        <w:tc>
          <w:tcPr>
            <w:tcW w:w="1814" w:type="dxa"/>
            <w:vAlign w:val="center"/>
          </w:tcPr>
          <w:p w14:paraId="22D77938" w14:textId="77777777" w:rsidR="00454A29" w:rsidRDefault="00454A29">
            <w:pPr>
              <w:pStyle w:val="ConsPlusNormal"/>
            </w:pPr>
          </w:p>
        </w:tc>
        <w:tc>
          <w:tcPr>
            <w:tcW w:w="1701" w:type="dxa"/>
            <w:vAlign w:val="center"/>
          </w:tcPr>
          <w:p w14:paraId="3F522EB0" w14:textId="77777777" w:rsidR="00454A29" w:rsidRDefault="00454A29">
            <w:pPr>
              <w:pStyle w:val="ConsPlusNormal"/>
            </w:pPr>
          </w:p>
        </w:tc>
        <w:tc>
          <w:tcPr>
            <w:tcW w:w="1701" w:type="dxa"/>
            <w:vAlign w:val="center"/>
          </w:tcPr>
          <w:p w14:paraId="4ED5EB81" w14:textId="77777777" w:rsidR="00454A29" w:rsidRDefault="00454A29">
            <w:pPr>
              <w:pStyle w:val="ConsPlusNormal"/>
            </w:pPr>
          </w:p>
        </w:tc>
        <w:tc>
          <w:tcPr>
            <w:tcW w:w="1814" w:type="dxa"/>
            <w:vAlign w:val="center"/>
          </w:tcPr>
          <w:p w14:paraId="7FB89E55" w14:textId="77777777" w:rsidR="00454A29" w:rsidRDefault="00454A29">
            <w:pPr>
              <w:pStyle w:val="ConsPlusNormal"/>
            </w:pPr>
          </w:p>
        </w:tc>
      </w:tr>
      <w:tr w:rsidR="00454A29" w14:paraId="64DE4140" w14:textId="77777777">
        <w:tc>
          <w:tcPr>
            <w:tcW w:w="567" w:type="dxa"/>
            <w:vMerge/>
          </w:tcPr>
          <w:p w14:paraId="3CB586EE" w14:textId="77777777" w:rsidR="00454A29" w:rsidRDefault="00454A29"/>
        </w:tc>
        <w:tc>
          <w:tcPr>
            <w:tcW w:w="3345" w:type="dxa"/>
            <w:vMerge/>
          </w:tcPr>
          <w:p w14:paraId="1B062D22" w14:textId="77777777" w:rsidR="00454A29" w:rsidRDefault="00454A29"/>
        </w:tc>
        <w:tc>
          <w:tcPr>
            <w:tcW w:w="1701" w:type="dxa"/>
            <w:vAlign w:val="center"/>
          </w:tcPr>
          <w:p w14:paraId="56FE2E91" w14:textId="77777777" w:rsidR="00454A29" w:rsidRDefault="00454A29">
            <w:pPr>
              <w:pStyle w:val="ConsPlusNormal"/>
              <w:jc w:val="center"/>
            </w:pPr>
            <w:r>
              <w:t>2026</w:t>
            </w:r>
          </w:p>
        </w:tc>
        <w:tc>
          <w:tcPr>
            <w:tcW w:w="1417" w:type="dxa"/>
            <w:vMerge/>
          </w:tcPr>
          <w:p w14:paraId="704D59DF" w14:textId="77777777" w:rsidR="00454A29" w:rsidRDefault="00454A29"/>
        </w:tc>
        <w:tc>
          <w:tcPr>
            <w:tcW w:w="2204" w:type="dxa"/>
            <w:vMerge/>
          </w:tcPr>
          <w:p w14:paraId="627DC11D" w14:textId="77777777" w:rsidR="00454A29" w:rsidRDefault="00454A29"/>
        </w:tc>
        <w:tc>
          <w:tcPr>
            <w:tcW w:w="1417" w:type="dxa"/>
            <w:vMerge/>
          </w:tcPr>
          <w:p w14:paraId="0D664E2E" w14:textId="77777777" w:rsidR="00454A29" w:rsidRDefault="00454A29"/>
        </w:tc>
        <w:tc>
          <w:tcPr>
            <w:tcW w:w="2324" w:type="dxa"/>
            <w:vMerge/>
          </w:tcPr>
          <w:p w14:paraId="28D1E99E" w14:textId="77777777" w:rsidR="00454A29" w:rsidRDefault="00454A29"/>
        </w:tc>
        <w:tc>
          <w:tcPr>
            <w:tcW w:w="1701" w:type="dxa"/>
            <w:vAlign w:val="center"/>
          </w:tcPr>
          <w:p w14:paraId="17FC2100" w14:textId="77777777" w:rsidR="00454A29" w:rsidRDefault="00454A29">
            <w:pPr>
              <w:pStyle w:val="ConsPlusNormal"/>
              <w:jc w:val="center"/>
            </w:pPr>
            <w:r>
              <w:t>220 694,71</w:t>
            </w:r>
          </w:p>
        </w:tc>
        <w:tc>
          <w:tcPr>
            <w:tcW w:w="1814" w:type="dxa"/>
            <w:vAlign w:val="center"/>
          </w:tcPr>
          <w:p w14:paraId="3E8AC53B" w14:textId="77777777" w:rsidR="00454A29" w:rsidRDefault="00454A29">
            <w:pPr>
              <w:pStyle w:val="ConsPlusNormal"/>
              <w:jc w:val="center"/>
            </w:pPr>
            <w:r>
              <w:t>2 718,96</w:t>
            </w:r>
          </w:p>
        </w:tc>
        <w:tc>
          <w:tcPr>
            <w:tcW w:w="1701" w:type="dxa"/>
            <w:vAlign w:val="center"/>
          </w:tcPr>
          <w:p w14:paraId="6CBD462B" w14:textId="77777777" w:rsidR="00454A29" w:rsidRDefault="00454A29">
            <w:pPr>
              <w:pStyle w:val="ConsPlusNormal"/>
              <w:jc w:val="center"/>
            </w:pPr>
            <w:r>
              <w:t>269 176,93</w:t>
            </w:r>
          </w:p>
        </w:tc>
        <w:tc>
          <w:tcPr>
            <w:tcW w:w="1701" w:type="dxa"/>
            <w:vAlign w:val="center"/>
          </w:tcPr>
          <w:p w14:paraId="3439C261" w14:textId="77777777" w:rsidR="00454A29" w:rsidRDefault="00454A29">
            <w:pPr>
              <w:pStyle w:val="ConsPlusNormal"/>
            </w:pPr>
          </w:p>
        </w:tc>
        <w:tc>
          <w:tcPr>
            <w:tcW w:w="1814" w:type="dxa"/>
            <w:vAlign w:val="center"/>
          </w:tcPr>
          <w:p w14:paraId="26E2C64D" w14:textId="77777777" w:rsidR="00454A29" w:rsidRDefault="00454A29">
            <w:pPr>
              <w:pStyle w:val="ConsPlusNormal"/>
            </w:pPr>
          </w:p>
        </w:tc>
      </w:tr>
      <w:tr w:rsidR="00454A29" w14:paraId="06515195" w14:textId="77777777">
        <w:tc>
          <w:tcPr>
            <w:tcW w:w="567" w:type="dxa"/>
            <w:vMerge w:val="restart"/>
            <w:vAlign w:val="center"/>
          </w:tcPr>
          <w:p w14:paraId="3D7A26D1" w14:textId="77777777" w:rsidR="00454A29" w:rsidRDefault="00454A29">
            <w:pPr>
              <w:pStyle w:val="ConsPlusNormal"/>
              <w:jc w:val="center"/>
            </w:pPr>
            <w:r>
              <w:t>103</w:t>
            </w:r>
          </w:p>
        </w:tc>
        <w:tc>
          <w:tcPr>
            <w:tcW w:w="3345" w:type="dxa"/>
            <w:vMerge w:val="restart"/>
            <w:vAlign w:val="center"/>
          </w:tcPr>
          <w:p w14:paraId="122FEF5A" w14:textId="77777777" w:rsidR="00454A29" w:rsidRDefault="00454A29">
            <w:pPr>
              <w:pStyle w:val="ConsPlusNormal"/>
              <w:jc w:val="center"/>
            </w:pPr>
            <w:r>
              <w:t>Школа-сад на 50/18 мест в с. Дельгей</w:t>
            </w:r>
          </w:p>
        </w:tc>
        <w:tc>
          <w:tcPr>
            <w:tcW w:w="1701" w:type="dxa"/>
            <w:vAlign w:val="center"/>
          </w:tcPr>
          <w:p w14:paraId="53FE17DA" w14:textId="77777777" w:rsidR="00454A29" w:rsidRDefault="00454A29">
            <w:pPr>
              <w:pStyle w:val="ConsPlusNormal"/>
              <w:jc w:val="center"/>
            </w:pPr>
            <w:r>
              <w:t>2020 - 2026 годы - всего</w:t>
            </w:r>
          </w:p>
        </w:tc>
        <w:tc>
          <w:tcPr>
            <w:tcW w:w="1417" w:type="dxa"/>
            <w:vMerge w:val="restart"/>
            <w:vAlign w:val="center"/>
          </w:tcPr>
          <w:p w14:paraId="55E5DCF6" w14:textId="77777777" w:rsidR="00454A29" w:rsidRDefault="00454A29">
            <w:pPr>
              <w:pStyle w:val="ConsPlusNormal"/>
              <w:jc w:val="center"/>
            </w:pPr>
            <w:r>
              <w:t>183 912,26</w:t>
            </w:r>
          </w:p>
        </w:tc>
        <w:tc>
          <w:tcPr>
            <w:tcW w:w="2204" w:type="dxa"/>
            <w:vMerge w:val="restart"/>
            <w:vAlign w:val="center"/>
          </w:tcPr>
          <w:p w14:paraId="6E5AB03E" w14:textId="77777777" w:rsidR="00454A29" w:rsidRDefault="00454A29">
            <w:pPr>
              <w:pStyle w:val="ConsPlusNormal"/>
            </w:pPr>
          </w:p>
        </w:tc>
        <w:tc>
          <w:tcPr>
            <w:tcW w:w="1417" w:type="dxa"/>
            <w:vMerge w:val="restart"/>
            <w:vAlign w:val="center"/>
          </w:tcPr>
          <w:p w14:paraId="2828236D" w14:textId="77777777" w:rsidR="00454A29" w:rsidRDefault="00454A29">
            <w:pPr>
              <w:pStyle w:val="ConsPlusNormal"/>
              <w:jc w:val="center"/>
            </w:pPr>
            <w:r>
              <w:t>50</w:t>
            </w:r>
          </w:p>
        </w:tc>
        <w:tc>
          <w:tcPr>
            <w:tcW w:w="2324" w:type="dxa"/>
            <w:vMerge w:val="restart"/>
            <w:vAlign w:val="center"/>
          </w:tcPr>
          <w:p w14:paraId="26E3CB7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C0156EC" w14:textId="77777777" w:rsidR="00454A29" w:rsidRDefault="00454A29">
            <w:pPr>
              <w:pStyle w:val="ConsPlusNormal"/>
              <w:jc w:val="center"/>
            </w:pPr>
            <w:r>
              <w:t>183 912,26</w:t>
            </w:r>
          </w:p>
        </w:tc>
        <w:tc>
          <w:tcPr>
            <w:tcW w:w="1814" w:type="dxa"/>
            <w:vAlign w:val="center"/>
          </w:tcPr>
          <w:p w14:paraId="2A70422D" w14:textId="77777777" w:rsidR="00454A29" w:rsidRDefault="00454A29">
            <w:pPr>
              <w:pStyle w:val="ConsPlusNormal"/>
              <w:jc w:val="center"/>
            </w:pPr>
            <w:r>
              <w:t>912,20</w:t>
            </w:r>
          </w:p>
        </w:tc>
        <w:tc>
          <w:tcPr>
            <w:tcW w:w="1701" w:type="dxa"/>
            <w:vAlign w:val="center"/>
          </w:tcPr>
          <w:p w14:paraId="2FA772CB" w14:textId="77777777" w:rsidR="00454A29" w:rsidRDefault="00454A29">
            <w:pPr>
              <w:pStyle w:val="ConsPlusNormal"/>
              <w:jc w:val="center"/>
            </w:pPr>
            <w:r>
              <w:t>90 308,28</w:t>
            </w:r>
          </w:p>
        </w:tc>
        <w:tc>
          <w:tcPr>
            <w:tcW w:w="1701" w:type="dxa"/>
            <w:vAlign w:val="center"/>
          </w:tcPr>
          <w:p w14:paraId="45EBA34C" w14:textId="77777777" w:rsidR="00454A29" w:rsidRDefault="00454A29">
            <w:pPr>
              <w:pStyle w:val="ConsPlusNormal"/>
              <w:jc w:val="center"/>
            </w:pPr>
            <w:r>
              <w:t>-</w:t>
            </w:r>
          </w:p>
        </w:tc>
        <w:tc>
          <w:tcPr>
            <w:tcW w:w="1814" w:type="dxa"/>
            <w:vAlign w:val="center"/>
          </w:tcPr>
          <w:p w14:paraId="7BE4745F" w14:textId="77777777" w:rsidR="00454A29" w:rsidRDefault="00454A29">
            <w:pPr>
              <w:pStyle w:val="ConsPlusNormal"/>
              <w:jc w:val="center"/>
            </w:pPr>
            <w:r>
              <w:t>-</w:t>
            </w:r>
          </w:p>
        </w:tc>
      </w:tr>
      <w:tr w:rsidR="00454A29" w14:paraId="79063018" w14:textId="77777777">
        <w:tc>
          <w:tcPr>
            <w:tcW w:w="567" w:type="dxa"/>
            <w:vMerge/>
          </w:tcPr>
          <w:p w14:paraId="78B37859" w14:textId="77777777" w:rsidR="00454A29" w:rsidRDefault="00454A29"/>
        </w:tc>
        <w:tc>
          <w:tcPr>
            <w:tcW w:w="3345" w:type="dxa"/>
            <w:vMerge/>
          </w:tcPr>
          <w:p w14:paraId="181CE984" w14:textId="77777777" w:rsidR="00454A29" w:rsidRDefault="00454A29"/>
        </w:tc>
        <w:tc>
          <w:tcPr>
            <w:tcW w:w="1701" w:type="dxa"/>
            <w:vAlign w:val="center"/>
          </w:tcPr>
          <w:p w14:paraId="2837381C" w14:textId="77777777" w:rsidR="00454A29" w:rsidRDefault="00454A29">
            <w:pPr>
              <w:pStyle w:val="ConsPlusNormal"/>
              <w:jc w:val="center"/>
            </w:pPr>
            <w:r>
              <w:t>2020</w:t>
            </w:r>
          </w:p>
        </w:tc>
        <w:tc>
          <w:tcPr>
            <w:tcW w:w="1417" w:type="dxa"/>
            <w:vMerge/>
          </w:tcPr>
          <w:p w14:paraId="697044C3" w14:textId="77777777" w:rsidR="00454A29" w:rsidRDefault="00454A29"/>
        </w:tc>
        <w:tc>
          <w:tcPr>
            <w:tcW w:w="2204" w:type="dxa"/>
            <w:vMerge/>
          </w:tcPr>
          <w:p w14:paraId="130AEEB2" w14:textId="77777777" w:rsidR="00454A29" w:rsidRDefault="00454A29"/>
        </w:tc>
        <w:tc>
          <w:tcPr>
            <w:tcW w:w="1417" w:type="dxa"/>
            <w:vMerge/>
          </w:tcPr>
          <w:p w14:paraId="2573CDD3" w14:textId="77777777" w:rsidR="00454A29" w:rsidRDefault="00454A29"/>
        </w:tc>
        <w:tc>
          <w:tcPr>
            <w:tcW w:w="2324" w:type="dxa"/>
            <w:vMerge/>
          </w:tcPr>
          <w:p w14:paraId="66ABE31A" w14:textId="77777777" w:rsidR="00454A29" w:rsidRDefault="00454A29"/>
        </w:tc>
        <w:tc>
          <w:tcPr>
            <w:tcW w:w="1701" w:type="dxa"/>
            <w:vAlign w:val="center"/>
          </w:tcPr>
          <w:p w14:paraId="6B345946" w14:textId="77777777" w:rsidR="00454A29" w:rsidRDefault="00454A29">
            <w:pPr>
              <w:pStyle w:val="ConsPlusNormal"/>
            </w:pPr>
          </w:p>
        </w:tc>
        <w:tc>
          <w:tcPr>
            <w:tcW w:w="1814" w:type="dxa"/>
            <w:vAlign w:val="center"/>
          </w:tcPr>
          <w:p w14:paraId="5251C3CC" w14:textId="77777777" w:rsidR="00454A29" w:rsidRDefault="00454A29">
            <w:pPr>
              <w:pStyle w:val="ConsPlusNormal"/>
            </w:pPr>
          </w:p>
        </w:tc>
        <w:tc>
          <w:tcPr>
            <w:tcW w:w="1701" w:type="dxa"/>
            <w:vAlign w:val="center"/>
          </w:tcPr>
          <w:p w14:paraId="25D13C35" w14:textId="77777777" w:rsidR="00454A29" w:rsidRDefault="00454A29">
            <w:pPr>
              <w:pStyle w:val="ConsPlusNormal"/>
            </w:pPr>
          </w:p>
        </w:tc>
        <w:tc>
          <w:tcPr>
            <w:tcW w:w="1701" w:type="dxa"/>
            <w:vAlign w:val="center"/>
          </w:tcPr>
          <w:p w14:paraId="66FF8196" w14:textId="77777777" w:rsidR="00454A29" w:rsidRDefault="00454A29">
            <w:pPr>
              <w:pStyle w:val="ConsPlusNormal"/>
            </w:pPr>
          </w:p>
        </w:tc>
        <w:tc>
          <w:tcPr>
            <w:tcW w:w="1814" w:type="dxa"/>
            <w:vAlign w:val="center"/>
          </w:tcPr>
          <w:p w14:paraId="731B4A81" w14:textId="77777777" w:rsidR="00454A29" w:rsidRDefault="00454A29">
            <w:pPr>
              <w:pStyle w:val="ConsPlusNormal"/>
            </w:pPr>
          </w:p>
        </w:tc>
      </w:tr>
      <w:tr w:rsidR="00454A29" w14:paraId="5351ED6A" w14:textId="77777777">
        <w:tc>
          <w:tcPr>
            <w:tcW w:w="567" w:type="dxa"/>
            <w:vMerge/>
          </w:tcPr>
          <w:p w14:paraId="7D700505" w14:textId="77777777" w:rsidR="00454A29" w:rsidRDefault="00454A29"/>
        </w:tc>
        <w:tc>
          <w:tcPr>
            <w:tcW w:w="3345" w:type="dxa"/>
            <w:vMerge/>
          </w:tcPr>
          <w:p w14:paraId="4D7D9E35" w14:textId="77777777" w:rsidR="00454A29" w:rsidRDefault="00454A29"/>
        </w:tc>
        <w:tc>
          <w:tcPr>
            <w:tcW w:w="1701" w:type="dxa"/>
            <w:vAlign w:val="center"/>
          </w:tcPr>
          <w:p w14:paraId="672B27CD" w14:textId="77777777" w:rsidR="00454A29" w:rsidRDefault="00454A29">
            <w:pPr>
              <w:pStyle w:val="ConsPlusNormal"/>
              <w:jc w:val="center"/>
            </w:pPr>
            <w:r>
              <w:t>2021</w:t>
            </w:r>
          </w:p>
        </w:tc>
        <w:tc>
          <w:tcPr>
            <w:tcW w:w="1417" w:type="dxa"/>
            <w:vMerge/>
          </w:tcPr>
          <w:p w14:paraId="7DA2C76C" w14:textId="77777777" w:rsidR="00454A29" w:rsidRDefault="00454A29"/>
        </w:tc>
        <w:tc>
          <w:tcPr>
            <w:tcW w:w="2204" w:type="dxa"/>
            <w:vMerge/>
          </w:tcPr>
          <w:p w14:paraId="68C98646" w14:textId="77777777" w:rsidR="00454A29" w:rsidRDefault="00454A29"/>
        </w:tc>
        <w:tc>
          <w:tcPr>
            <w:tcW w:w="1417" w:type="dxa"/>
            <w:vMerge/>
          </w:tcPr>
          <w:p w14:paraId="16311801" w14:textId="77777777" w:rsidR="00454A29" w:rsidRDefault="00454A29"/>
        </w:tc>
        <w:tc>
          <w:tcPr>
            <w:tcW w:w="2324" w:type="dxa"/>
            <w:vMerge/>
          </w:tcPr>
          <w:p w14:paraId="74729967" w14:textId="77777777" w:rsidR="00454A29" w:rsidRDefault="00454A29"/>
        </w:tc>
        <w:tc>
          <w:tcPr>
            <w:tcW w:w="1701" w:type="dxa"/>
            <w:vAlign w:val="center"/>
          </w:tcPr>
          <w:p w14:paraId="6B7409B7" w14:textId="77777777" w:rsidR="00454A29" w:rsidRDefault="00454A29">
            <w:pPr>
              <w:pStyle w:val="ConsPlusNormal"/>
              <w:jc w:val="center"/>
            </w:pPr>
            <w:r>
              <w:t>-</w:t>
            </w:r>
          </w:p>
        </w:tc>
        <w:tc>
          <w:tcPr>
            <w:tcW w:w="1814" w:type="dxa"/>
            <w:vAlign w:val="center"/>
          </w:tcPr>
          <w:p w14:paraId="5DA590B6" w14:textId="77777777" w:rsidR="00454A29" w:rsidRDefault="00454A29">
            <w:pPr>
              <w:pStyle w:val="ConsPlusNormal"/>
            </w:pPr>
          </w:p>
        </w:tc>
        <w:tc>
          <w:tcPr>
            <w:tcW w:w="1701" w:type="dxa"/>
            <w:vAlign w:val="center"/>
          </w:tcPr>
          <w:p w14:paraId="33AD913A" w14:textId="77777777" w:rsidR="00454A29" w:rsidRDefault="00454A29">
            <w:pPr>
              <w:pStyle w:val="ConsPlusNormal"/>
            </w:pPr>
          </w:p>
        </w:tc>
        <w:tc>
          <w:tcPr>
            <w:tcW w:w="1701" w:type="dxa"/>
            <w:vAlign w:val="center"/>
          </w:tcPr>
          <w:p w14:paraId="24A92242" w14:textId="77777777" w:rsidR="00454A29" w:rsidRDefault="00454A29">
            <w:pPr>
              <w:pStyle w:val="ConsPlusNormal"/>
            </w:pPr>
          </w:p>
        </w:tc>
        <w:tc>
          <w:tcPr>
            <w:tcW w:w="1814" w:type="dxa"/>
            <w:vAlign w:val="center"/>
          </w:tcPr>
          <w:p w14:paraId="0793FCB2" w14:textId="77777777" w:rsidR="00454A29" w:rsidRDefault="00454A29">
            <w:pPr>
              <w:pStyle w:val="ConsPlusNormal"/>
            </w:pPr>
          </w:p>
        </w:tc>
      </w:tr>
      <w:tr w:rsidR="00454A29" w14:paraId="48CE35E1" w14:textId="77777777">
        <w:tc>
          <w:tcPr>
            <w:tcW w:w="567" w:type="dxa"/>
            <w:vMerge/>
          </w:tcPr>
          <w:p w14:paraId="090DD08E" w14:textId="77777777" w:rsidR="00454A29" w:rsidRDefault="00454A29"/>
        </w:tc>
        <w:tc>
          <w:tcPr>
            <w:tcW w:w="3345" w:type="dxa"/>
            <w:vMerge/>
          </w:tcPr>
          <w:p w14:paraId="72069147" w14:textId="77777777" w:rsidR="00454A29" w:rsidRDefault="00454A29"/>
        </w:tc>
        <w:tc>
          <w:tcPr>
            <w:tcW w:w="1701" w:type="dxa"/>
            <w:vAlign w:val="center"/>
          </w:tcPr>
          <w:p w14:paraId="01004BC1" w14:textId="77777777" w:rsidR="00454A29" w:rsidRDefault="00454A29">
            <w:pPr>
              <w:pStyle w:val="ConsPlusNormal"/>
              <w:jc w:val="center"/>
            </w:pPr>
            <w:r>
              <w:t>2022</w:t>
            </w:r>
          </w:p>
        </w:tc>
        <w:tc>
          <w:tcPr>
            <w:tcW w:w="1417" w:type="dxa"/>
            <w:vMerge/>
          </w:tcPr>
          <w:p w14:paraId="0366E171" w14:textId="77777777" w:rsidR="00454A29" w:rsidRDefault="00454A29"/>
        </w:tc>
        <w:tc>
          <w:tcPr>
            <w:tcW w:w="2204" w:type="dxa"/>
            <w:vMerge/>
          </w:tcPr>
          <w:p w14:paraId="1CE3539E" w14:textId="77777777" w:rsidR="00454A29" w:rsidRDefault="00454A29"/>
        </w:tc>
        <w:tc>
          <w:tcPr>
            <w:tcW w:w="1417" w:type="dxa"/>
            <w:vMerge/>
          </w:tcPr>
          <w:p w14:paraId="580B8FC6" w14:textId="77777777" w:rsidR="00454A29" w:rsidRDefault="00454A29"/>
        </w:tc>
        <w:tc>
          <w:tcPr>
            <w:tcW w:w="2324" w:type="dxa"/>
            <w:vMerge/>
          </w:tcPr>
          <w:p w14:paraId="4E978265" w14:textId="77777777" w:rsidR="00454A29" w:rsidRDefault="00454A29"/>
        </w:tc>
        <w:tc>
          <w:tcPr>
            <w:tcW w:w="1701" w:type="dxa"/>
            <w:vAlign w:val="center"/>
          </w:tcPr>
          <w:p w14:paraId="25724E96" w14:textId="77777777" w:rsidR="00454A29" w:rsidRDefault="00454A29">
            <w:pPr>
              <w:pStyle w:val="ConsPlusNormal"/>
            </w:pPr>
          </w:p>
        </w:tc>
        <w:tc>
          <w:tcPr>
            <w:tcW w:w="1814" w:type="dxa"/>
            <w:vAlign w:val="center"/>
          </w:tcPr>
          <w:p w14:paraId="2D3D8791" w14:textId="77777777" w:rsidR="00454A29" w:rsidRDefault="00454A29">
            <w:pPr>
              <w:pStyle w:val="ConsPlusNormal"/>
            </w:pPr>
          </w:p>
        </w:tc>
        <w:tc>
          <w:tcPr>
            <w:tcW w:w="1701" w:type="dxa"/>
            <w:vAlign w:val="center"/>
          </w:tcPr>
          <w:p w14:paraId="2C868C8F" w14:textId="77777777" w:rsidR="00454A29" w:rsidRDefault="00454A29">
            <w:pPr>
              <w:pStyle w:val="ConsPlusNormal"/>
            </w:pPr>
          </w:p>
        </w:tc>
        <w:tc>
          <w:tcPr>
            <w:tcW w:w="1701" w:type="dxa"/>
            <w:vAlign w:val="center"/>
          </w:tcPr>
          <w:p w14:paraId="40CB1D58" w14:textId="77777777" w:rsidR="00454A29" w:rsidRDefault="00454A29">
            <w:pPr>
              <w:pStyle w:val="ConsPlusNormal"/>
            </w:pPr>
          </w:p>
        </w:tc>
        <w:tc>
          <w:tcPr>
            <w:tcW w:w="1814" w:type="dxa"/>
            <w:vAlign w:val="center"/>
          </w:tcPr>
          <w:p w14:paraId="4B31992D" w14:textId="77777777" w:rsidR="00454A29" w:rsidRDefault="00454A29">
            <w:pPr>
              <w:pStyle w:val="ConsPlusNormal"/>
            </w:pPr>
          </w:p>
        </w:tc>
      </w:tr>
      <w:tr w:rsidR="00454A29" w14:paraId="29F1B702" w14:textId="77777777">
        <w:tc>
          <w:tcPr>
            <w:tcW w:w="567" w:type="dxa"/>
            <w:vMerge/>
          </w:tcPr>
          <w:p w14:paraId="29F5CD1C" w14:textId="77777777" w:rsidR="00454A29" w:rsidRDefault="00454A29"/>
        </w:tc>
        <w:tc>
          <w:tcPr>
            <w:tcW w:w="3345" w:type="dxa"/>
            <w:vMerge/>
          </w:tcPr>
          <w:p w14:paraId="55CA72E1" w14:textId="77777777" w:rsidR="00454A29" w:rsidRDefault="00454A29"/>
        </w:tc>
        <w:tc>
          <w:tcPr>
            <w:tcW w:w="1701" w:type="dxa"/>
            <w:vAlign w:val="center"/>
          </w:tcPr>
          <w:p w14:paraId="52A5F50F" w14:textId="77777777" w:rsidR="00454A29" w:rsidRDefault="00454A29">
            <w:pPr>
              <w:pStyle w:val="ConsPlusNormal"/>
              <w:jc w:val="center"/>
            </w:pPr>
            <w:r>
              <w:t>2023</w:t>
            </w:r>
          </w:p>
        </w:tc>
        <w:tc>
          <w:tcPr>
            <w:tcW w:w="1417" w:type="dxa"/>
            <w:vMerge/>
          </w:tcPr>
          <w:p w14:paraId="43B719B0" w14:textId="77777777" w:rsidR="00454A29" w:rsidRDefault="00454A29"/>
        </w:tc>
        <w:tc>
          <w:tcPr>
            <w:tcW w:w="2204" w:type="dxa"/>
            <w:vMerge/>
          </w:tcPr>
          <w:p w14:paraId="62615B96" w14:textId="77777777" w:rsidR="00454A29" w:rsidRDefault="00454A29"/>
        </w:tc>
        <w:tc>
          <w:tcPr>
            <w:tcW w:w="1417" w:type="dxa"/>
            <w:vMerge/>
          </w:tcPr>
          <w:p w14:paraId="4C0383DA" w14:textId="77777777" w:rsidR="00454A29" w:rsidRDefault="00454A29"/>
        </w:tc>
        <w:tc>
          <w:tcPr>
            <w:tcW w:w="2324" w:type="dxa"/>
            <w:vMerge/>
          </w:tcPr>
          <w:p w14:paraId="3DE60D6C" w14:textId="77777777" w:rsidR="00454A29" w:rsidRDefault="00454A29"/>
        </w:tc>
        <w:tc>
          <w:tcPr>
            <w:tcW w:w="1701" w:type="dxa"/>
            <w:vAlign w:val="center"/>
          </w:tcPr>
          <w:p w14:paraId="3D9DD029" w14:textId="77777777" w:rsidR="00454A29" w:rsidRDefault="00454A29">
            <w:pPr>
              <w:pStyle w:val="ConsPlusNormal"/>
              <w:jc w:val="center"/>
            </w:pPr>
            <w:r>
              <w:t>183 912,26</w:t>
            </w:r>
          </w:p>
        </w:tc>
        <w:tc>
          <w:tcPr>
            <w:tcW w:w="1814" w:type="dxa"/>
            <w:vAlign w:val="center"/>
          </w:tcPr>
          <w:p w14:paraId="6A478C42" w14:textId="77777777" w:rsidR="00454A29" w:rsidRDefault="00454A29">
            <w:pPr>
              <w:pStyle w:val="ConsPlusNormal"/>
              <w:jc w:val="center"/>
            </w:pPr>
            <w:r>
              <w:t>912,20</w:t>
            </w:r>
          </w:p>
        </w:tc>
        <w:tc>
          <w:tcPr>
            <w:tcW w:w="1701" w:type="dxa"/>
            <w:vAlign w:val="center"/>
          </w:tcPr>
          <w:p w14:paraId="55DCB83C" w14:textId="77777777" w:rsidR="00454A29" w:rsidRDefault="00454A29">
            <w:pPr>
              <w:pStyle w:val="ConsPlusNormal"/>
              <w:jc w:val="center"/>
            </w:pPr>
            <w:r>
              <w:t>90 308,28</w:t>
            </w:r>
          </w:p>
        </w:tc>
        <w:tc>
          <w:tcPr>
            <w:tcW w:w="1701" w:type="dxa"/>
            <w:vAlign w:val="center"/>
          </w:tcPr>
          <w:p w14:paraId="0F94C418" w14:textId="77777777" w:rsidR="00454A29" w:rsidRDefault="00454A29">
            <w:pPr>
              <w:pStyle w:val="ConsPlusNormal"/>
            </w:pPr>
          </w:p>
        </w:tc>
        <w:tc>
          <w:tcPr>
            <w:tcW w:w="1814" w:type="dxa"/>
            <w:vAlign w:val="center"/>
          </w:tcPr>
          <w:p w14:paraId="59338E94" w14:textId="77777777" w:rsidR="00454A29" w:rsidRDefault="00454A29">
            <w:pPr>
              <w:pStyle w:val="ConsPlusNormal"/>
            </w:pPr>
          </w:p>
        </w:tc>
      </w:tr>
      <w:tr w:rsidR="00454A29" w14:paraId="014B2FDD" w14:textId="77777777">
        <w:tc>
          <w:tcPr>
            <w:tcW w:w="567" w:type="dxa"/>
            <w:vMerge/>
          </w:tcPr>
          <w:p w14:paraId="39068924" w14:textId="77777777" w:rsidR="00454A29" w:rsidRDefault="00454A29"/>
        </w:tc>
        <w:tc>
          <w:tcPr>
            <w:tcW w:w="3345" w:type="dxa"/>
            <w:vMerge/>
          </w:tcPr>
          <w:p w14:paraId="4AC7F382" w14:textId="77777777" w:rsidR="00454A29" w:rsidRDefault="00454A29"/>
        </w:tc>
        <w:tc>
          <w:tcPr>
            <w:tcW w:w="1701" w:type="dxa"/>
            <w:vAlign w:val="center"/>
          </w:tcPr>
          <w:p w14:paraId="73D59C5D" w14:textId="77777777" w:rsidR="00454A29" w:rsidRDefault="00454A29">
            <w:pPr>
              <w:pStyle w:val="ConsPlusNormal"/>
              <w:jc w:val="center"/>
            </w:pPr>
            <w:r>
              <w:t>2024</w:t>
            </w:r>
          </w:p>
        </w:tc>
        <w:tc>
          <w:tcPr>
            <w:tcW w:w="1417" w:type="dxa"/>
            <w:vMerge/>
          </w:tcPr>
          <w:p w14:paraId="64DC8954" w14:textId="77777777" w:rsidR="00454A29" w:rsidRDefault="00454A29"/>
        </w:tc>
        <w:tc>
          <w:tcPr>
            <w:tcW w:w="2204" w:type="dxa"/>
            <w:vMerge/>
          </w:tcPr>
          <w:p w14:paraId="7B8D4AEE" w14:textId="77777777" w:rsidR="00454A29" w:rsidRDefault="00454A29"/>
        </w:tc>
        <w:tc>
          <w:tcPr>
            <w:tcW w:w="1417" w:type="dxa"/>
            <w:vMerge/>
          </w:tcPr>
          <w:p w14:paraId="7680907B" w14:textId="77777777" w:rsidR="00454A29" w:rsidRDefault="00454A29"/>
        </w:tc>
        <w:tc>
          <w:tcPr>
            <w:tcW w:w="2324" w:type="dxa"/>
            <w:vMerge/>
          </w:tcPr>
          <w:p w14:paraId="3D33C0FC" w14:textId="77777777" w:rsidR="00454A29" w:rsidRDefault="00454A29"/>
        </w:tc>
        <w:tc>
          <w:tcPr>
            <w:tcW w:w="1701" w:type="dxa"/>
            <w:vAlign w:val="center"/>
          </w:tcPr>
          <w:p w14:paraId="057F5898" w14:textId="77777777" w:rsidR="00454A29" w:rsidRDefault="00454A29">
            <w:pPr>
              <w:pStyle w:val="ConsPlusNormal"/>
            </w:pPr>
          </w:p>
        </w:tc>
        <w:tc>
          <w:tcPr>
            <w:tcW w:w="1814" w:type="dxa"/>
            <w:vAlign w:val="center"/>
          </w:tcPr>
          <w:p w14:paraId="017678EB" w14:textId="77777777" w:rsidR="00454A29" w:rsidRDefault="00454A29">
            <w:pPr>
              <w:pStyle w:val="ConsPlusNormal"/>
            </w:pPr>
          </w:p>
        </w:tc>
        <w:tc>
          <w:tcPr>
            <w:tcW w:w="1701" w:type="dxa"/>
            <w:vAlign w:val="center"/>
          </w:tcPr>
          <w:p w14:paraId="39097D9A" w14:textId="77777777" w:rsidR="00454A29" w:rsidRDefault="00454A29">
            <w:pPr>
              <w:pStyle w:val="ConsPlusNormal"/>
            </w:pPr>
          </w:p>
        </w:tc>
        <w:tc>
          <w:tcPr>
            <w:tcW w:w="1701" w:type="dxa"/>
            <w:vAlign w:val="center"/>
          </w:tcPr>
          <w:p w14:paraId="3C24598F" w14:textId="77777777" w:rsidR="00454A29" w:rsidRDefault="00454A29">
            <w:pPr>
              <w:pStyle w:val="ConsPlusNormal"/>
            </w:pPr>
          </w:p>
        </w:tc>
        <w:tc>
          <w:tcPr>
            <w:tcW w:w="1814" w:type="dxa"/>
            <w:vAlign w:val="center"/>
          </w:tcPr>
          <w:p w14:paraId="598C955E" w14:textId="77777777" w:rsidR="00454A29" w:rsidRDefault="00454A29">
            <w:pPr>
              <w:pStyle w:val="ConsPlusNormal"/>
            </w:pPr>
          </w:p>
        </w:tc>
      </w:tr>
      <w:tr w:rsidR="00454A29" w14:paraId="26EAD65A" w14:textId="77777777">
        <w:tc>
          <w:tcPr>
            <w:tcW w:w="567" w:type="dxa"/>
            <w:vMerge/>
          </w:tcPr>
          <w:p w14:paraId="3C77D64D" w14:textId="77777777" w:rsidR="00454A29" w:rsidRDefault="00454A29"/>
        </w:tc>
        <w:tc>
          <w:tcPr>
            <w:tcW w:w="3345" w:type="dxa"/>
            <w:vMerge/>
          </w:tcPr>
          <w:p w14:paraId="5C651779" w14:textId="77777777" w:rsidR="00454A29" w:rsidRDefault="00454A29"/>
        </w:tc>
        <w:tc>
          <w:tcPr>
            <w:tcW w:w="1701" w:type="dxa"/>
            <w:vAlign w:val="center"/>
          </w:tcPr>
          <w:p w14:paraId="2D42578C" w14:textId="77777777" w:rsidR="00454A29" w:rsidRDefault="00454A29">
            <w:pPr>
              <w:pStyle w:val="ConsPlusNormal"/>
              <w:jc w:val="center"/>
            </w:pPr>
            <w:r>
              <w:t>2025</w:t>
            </w:r>
          </w:p>
        </w:tc>
        <w:tc>
          <w:tcPr>
            <w:tcW w:w="1417" w:type="dxa"/>
            <w:vMerge/>
          </w:tcPr>
          <w:p w14:paraId="6525607C" w14:textId="77777777" w:rsidR="00454A29" w:rsidRDefault="00454A29"/>
        </w:tc>
        <w:tc>
          <w:tcPr>
            <w:tcW w:w="2204" w:type="dxa"/>
            <w:vMerge/>
          </w:tcPr>
          <w:p w14:paraId="65F371F3" w14:textId="77777777" w:rsidR="00454A29" w:rsidRDefault="00454A29"/>
        </w:tc>
        <w:tc>
          <w:tcPr>
            <w:tcW w:w="1417" w:type="dxa"/>
            <w:vMerge/>
          </w:tcPr>
          <w:p w14:paraId="47676F9D" w14:textId="77777777" w:rsidR="00454A29" w:rsidRDefault="00454A29"/>
        </w:tc>
        <w:tc>
          <w:tcPr>
            <w:tcW w:w="2324" w:type="dxa"/>
            <w:vMerge/>
          </w:tcPr>
          <w:p w14:paraId="6631A8EF" w14:textId="77777777" w:rsidR="00454A29" w:rsidRDefault="00454A29"/>
        </w:tc>
        <w:tc>
          <w:tcPr>
            <w:tcW w:w="1701" w:type="dxa"/>
            <w:vAlign w:val="center"/>
          </w:tcPr>
          <w:p w14:paraId="1A2ABCEE" w14:textId="77777777" w:rsidR="00454A29" w:rsidRDefault="00454A29">
            <w:pPr>
              <w:pStyle w:val="ConsPlusNormal"/>
            </w:pPr>
          </w:p>
        </w:tc>
        <w:tc>
          <w:tcPr>
            <w:tcW w:w="1814" w:type="dxa"/>
            <w:vAlign w:val="center"/>
          </w:tcPr>
          <w:p w14:paraId="749EC3B6" w14:textId="77777777" w:rsidR="00454A29" w:rsidRDefault="00454A29">
            <w:pPr>
              <w:pStyle w:val="ConsPlusNormal"/>
            </w:pPr>
          </w:p>
        </w:tc>
        <w:tc>
          <w:tcPr>
            <w:tcW w:w="1701" w:type="dxa"/>
            <w:vAlign w:val="center"/>
          </w:tcPr>
          <w:p w14:paraId="09C70160" w14:textId="77777777" w:rsidR="00454A29" w:rsidRDefault="00454A29">
            <w:pPr>
              <w:pStyle w:val="ConsPlusNormal"/>
            </w:pPr>
          </w:p>
        </w:tc>
        <w:tc>
          <w:tcPr>
            <w:tcW w:w="1701" w:type="dxa"/>
            <w:vAlign w:val="center"/>
          </w:tcPr>
          <w:p w14:paraId="328C74DA" w14:textId="77777777" w:rsidR="00454A29" w:rsidRDefault="00454A29">
            <w:pPr>
              <w:pStyle w:val="ConsPlusNormal"/>
            </w:pPr>
          </w:p>
        </w:tc>
        <w:tc>
          <w:tcPr>
            <w:tcW w:w="1814" w:type="dxa"/>
            <w:vAlign w:val="center"/>
          </w:tcPr>
          <w:p w14:paraId="516B92C8" w14:textId="77777777" w:rsidR="00454A29" w:rsidRDefault="00454A29">
            <w:pPr>
              <w:pStyle w:val="ConsPlusNormal"/>
            </w:pPr>
          </w:p>
        </w:tc>
      </w:tr>
      <w:tr w:rsidR="00454A29" w14:paraId="35CE96D4" w14:textId="77777777">
        <w:tc>
          <w:tcPr>
            <w:tcW w:w="567" w:type="dxa"/>
            <w:vMerge/>
          </w:tcPr>
          <w:p w14:paraId="1A2E106A" w14:textId="77777777" w:rsidR="00454A29" w:rsidRDefault="00454A29"/>
        </w:tc>
        <w:tc>
          <w:tcPr>
            <w:tcW w:w="3345" w:type="dxa"/>
            <w:vMerge/>
          </w:tcPr>
          <w:p w14:paraId="7438848D" w14:textId="77777777" w:rsidR="00454A29" w:rsidRDefault="00454A29"/>
        </w:tc>
        <w:tc>
          <w:tcPr>
            <w:tcW w:w="1701" w:type="dxa"/>
            <w:vAlign w:val="center"/>
          </w:tcPr>
          <w:p w14:paraId="37421174" w14:textId="77777777" w:rsidR="00454A29" w:rsidRDefault="00454A29">
            <w:pPr>
              <w:pStyle w:val="ConsPlusNormal"/>
              <w:jc w:val="center"/>
            </w:pPr>
            <w:r>
              <w:t>2026</w:t>
            </w:r>
          </w:p>
        </w:tc>
        <w:tc>
          <w:tcPr>
            <w:tcW w:w="1417" w:type="dxa"/>
            <w:vMerge/>
          </w:tcPr>
          <w:p w14:paraId="7CA46F45" w14:textId="77777777" w:rsidR="00454A29" w:rsidRDefault="00454A29"/>
        </w:tc>
        <w:tc>
          <w:tcPr>
            <w:tcW w:w="2204" w:type="dxa"/>
            <w:vMerge/>
          </w:tcPr>
          <w:p w14:paraId="4B4DABFE" w14:textId="77777777" w:rsidR="00454A29" w:rsidRDefault="00454A29"/>
        </w:tc>
        <w:tc>
          <w:tcPr>
            <w:tcW w:w="1417" w:type="dxa"/>
            <w:vMerge/>
          </w:tcPr>
          <w:p w14:paraId="7DCC07E9" w14:textId="77777777" w:rsidR="00454A29" w:rsidRDefault="00454A29"/>
        </w:tc>
        <w:tc>
          <w:tcPr>
            <w:tcW w:w="2324" w:type="dxa"/>
            <w:vMerge/>
          </w:tcPr>
          <w:p w14:paraId="17587147" w14:textId="77777777" w:rsidR="00454A29" w:rsidRDefault="00454A29"/>
        </w:tc>
        <w:tc>
          <w:tcPr>
            <w:tcW w:w="1701" w:type="dxa"/>
            <w:vAlign w:val="center"/>
          </w:tcPr>
          <w:p w14:paraId="36FE7F8B" w14:textId="77777777" w:rsidR="00454A29" w:rsidRDefault="00454A29">
            <w:pPr>
              <w:pStyle w:val="ConsPlusNormal"/>
            </w:pPr>
          </w:p>
        </w:tc>
        <w:tc>
          <w:tcPr>
            <w:tcW w:w="1814" w:type="dxa"/>
            <w:vAlign w:val="center"/>
          </w:tcPr>
          <w:p w14:paraId="5C6FCDAA" w14:textId="77777777" w:rsidR="00454A29" w:rsidRDefault="00454A29">
            <w:pPr>
              <w:pStyle w:val="ConsPlusNormal"/>
            </w:pPr>
          </w:p>
        </w:tc>
        <w:tc>
          <w:tcPr>
            <w:tcW w:w="1701" w:type="dxa"/>
            <w:vAlign w:val="center"/>
          </w:tcPr>
          <w:p w14:paraId="4831C840" w14:textId="77777777" w:rsidR="00454A29" w:rsidRDefault="00454A29">
            <w:pPr>
              <w:pStyle w:val="ConsPlusNormal"/>
            </w:pPr>
          </w:p>
        </w:tc>
        <w:tc>
          <w:tcPr>
            <w:tcW w:w="1701" w:type="dxa"/>
            <w:vAlign w:val="center"/>
          </w:tcPr>
          <w:p w14:paraId="38DC22C1" w14:textId="77777777" w:rsidR="00454A29" w:rsidRDefault="00454A29">
            <w:pPr>
              <w:pStyle w:val="ConsPlusNormal"/>
            </w:pPr>
          </w:p>
        </w:tc>
        <w:tc>
          <w:tcPr>
            <w:tcW w:w="1814" w:type="dxa"/>
            <w:vAlign w:val="center"/>
          </w:tcPr>
          <w:p w14:paraId="702E2857" w14:textId="77777777" w:rsidR="00454A29" w:rsidRDefault="00454A29">
            <w:pPr>
              <w:pStyle w:val="ConsPlusNormal"/>
            </w:pPr>
          </w:p>
        </w:tc>
      </w:tr>
      <w:tr w:rsidR="00454A29" w14:paraId="627002A7" w14:textId="77777777">
        <w:tc>
          <w:tcPr>
            <w:tcW w:w="567" w:type="dxa"/>
            <w:vMerge w:val="restart"/>
            <w:vAlign w:val="center"/>
          </w:tcPr>
          <w:p w14:paraId="517D1B5B" w14:textId="77777777" w:rsidR="00454A29" w:rsidRDefault="00454A29">
            <w:pPr>
              <w:pStyle w:val="ConsPlusNormal"/>
              <w:jc w:val="center"/>
            </w:pPr>
            <w:r>
              <w:t>104</w:t>
            </w:r>
          </w:p>
        </w:tc>
        <w:tc>
          <w:tcPr>
            <w:tcW w:w="3345" w:type="dxa"/>
            <w:vMerge w:val="restart"/>
            <w:vAlign w:val="center"/>
          </w:tcPr>
          <w:p w14:paraId="478F51D1" w14:textId="77777777" w:rsidR="00454A29" w:rsidRDefault="00454A29">
            <w:pPr>
              <w:pStyle w:val="ConsPlusNormal"/>
              <w:jc w:val="center"/>
            </w:pPr>
            <w:r>
              <w:t>Школа на 50 учащихся в с. Дабан</w:t>
            </w:r>
          </w:p>
        </w:tc>
        <w:tc>
          <w:tcPr>
            <w:tcW w:w="1701" w:type="dxa"/>
            <w:vAlign w:val="center"/>
          </w:tcPr>
          <w:p w14:paraId="60429E02" w14:textId="77777777" w:rsidR="00454A29" w:rsidRDefault="00454A29">
            <w:pPr>
              <w:pStyle w:val="ConsPlusNormal"/>
              <w:jc w:val="center"/>
            </w:pPr>
            <w:r>
              <w:t>2020 - 2026 годы - всего</w:t>
            </w:r>
          </w:p>
        </w:tc>
        <w:tc>
          <w:tcPr>
            <w:tcW w:w="1417" w:type="dxa"/>
            <w:vMerge w:val="restart"/>
            <w:vAlign w:val="center"/>
          </w:tcPr>
          <w:p w14:paraId="76B49FD2" w14:textId="77777777" w:rsidR="00454A29" w:rsidRDefault="00454A29">
            <w:pPr>
              <w:pStyle w:val="ConsPlusNormal"/>
              <w:jc w:val="center"/>
            </w:pPr>
            <w:r>
              <w:t>183 912,26</w:t>
            </w:r>
          </w:p>
        </w:tc>
        <w:tc>
          <w:tcPr>
            <w:tcW w:w="2204" w:type="dxa"/>
            <w:vMerge w:val="restart"/>
            <w:vAlign w:val="center"/>
          </w:tcPr>
          <w:p w14:paraId="0A64271D" w14:textId="77777777" w:rsidR="00454A29" w:rsidRDefault="00454A29">
            <w:pPr>
              <w:pStyle w:val="ConsPlusNormal"/>
            </w:pPr>
          </w:p>
        </w:tc>
        <w:tc>
          <w:tcPr>
            <w:tcW w:w="1417" w:type="dxa"/>
            <w:vMerge w:val="restart"/>
            <w:vAlign w:val="center"/>
          </w:tcPr>
          <w:p w14:paraId="3F3D45B2" w14:textId="77777777" w:rsidR="00454A29" w:rsidRDefault="00454A29">
            <w:pPr>
              <w:pStyle w:val="ConsPlusNormal"/>
              <w:jc w:val="center"/>
            </w:pPr>
            <w:r>
              <w:t>50</w:t>
            </w:r>
          </w:p>
        </w:tc>
        <w:tc>
          <w:tcPr>
            <w:tcW w:w="2324" w:type="dxa"/>
            <w:vMerge w:val="restart"/>
            <w:vAlign w:val="center"/>
          </w:tcPr>
          <w:p w14:paraId="2CA7A66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6A807CD" w14:textId="77777777" w:rsidR="00454A29" w:rsidRDefault="00454A29">
            <w:pPr>
              <w:pStyle w:val="ConsPlusNormal"/>
              <w:jc w:val="center"/>
            </w:pPr>
            <w:r>
              <w:t>183 912,26</w:t>
            </w:r>
          </w:p>
        </w:tc>
        <w:tc>
          <w:tcPr>
            <w:tcW w:w="1814" w:type="dxa"/>
            <w:vAlign w:val="center"/>
          </w:tcPr>
          <w:p w14:paraId="67400E66" w14:textId="77777777" w:rsidR="00454A29" w:rsidRDefault="00454A29">
            <w:pPr>
              <w:pStyle w:val="ConsPlusNormal"/>
              <w:jc w:val="center"/>
            </w:pPr>
            <w:r>
              <w:t>1 230,37</w:t>
            </w:r>
          </w:p>
        </w:tc>
        <w:tc>
          <w:tcPr>
            <w:tcW w:w="1701" w:type="dxa"/>
            <w:vAlign w:val="center"/>
          </w:tcPr>
          <w:p w14:paraId="1F755179" w14:textId="77777777" w:rsidR="00454A29" w:rsidRDefault="00454A29">
            <w:pPr>
              <w:pStyle w:val="ConsPlusNormal"/>
              <w:jc w:val="center"/>
            </w:pPr>
            <w:r>
              <w:t>121 806,93</w:t>
            </w:r>
          </w:p>
        </w:tc>
        <w:tc>
          <w:tcPr>
            <w:tcW w:w="1701" w:type="dxa"/>
            <w:vAlign w:val="center"/>
          </w:tcPr>
          <w:p w14:paraId="72C35071" w14:textId="77777777" w:rsidR="00454A29" w:rsidRDefault="00454A29">
            <w:pPr>
              <w:pStyle w:val="ConsPlusNormal"/>
              <w:jc w:val="center"/>
            </w:pPr>
            <w:r>
              <w:t>-</w:t>
            </w:r>
          </w:p>
        </w:tc>
        <w:tc>
          <w:tcPr>
            <w:tcW w:w="1814" w:type="dxa"/>
            <w:vAlign w:val="center"/>
          </w:tcPr>
          <w:p w14:paraId="49F1F5D0" w14:textId="77777777" w:rsidR="00454A29" w:rsidRDefault="00454A29">
            <w:pPr>
              <w:pStyle w:val="ConsPlusNormal"/>
              <w:jc w:val="center"/>
            </w:pPr>
            <w:r>
              <w:t>-</w:t>
            </w:r>
          </w:p>
        </w:tc>
      </w:tr>
      <w:tr w:rsidR="00454A29" w14:paraId="1B6848D9" w14:textId="77777777">
        <w:tc>
          <w:tcPr>
            <w:tcW w:w="567" w:type="dxa"/>
            <w:vMerge/>
          </w:tcPr>
          <w:p w14:paraId="7E22B58D" w14:textId="77777777" w:rsidR="00454A29" w:rsidRDefault="00454A29"/>
        </w:tc>
        <w:tc>
          <w:tcPr>
            <w:tcW w:w="3345" w:type="dxa"/>
            <w:vMerge/>
          </w:tcPr>
          <w:p w14:paraId="149BF037" w14:textId="77777777" w:rsidR="00454A29" w:rsidRDefault="00454A29"/>
        </w:tc>
        <w:tc>
          <w:tcPr>
            <w:tcW w:w="1701" w:type="dxa"/>
            <w:vAlign w:val="center"/>
          </w:tcPr>
          <w:p w14:paraId="3D5B298D" w14:textId="77777777" w:rsidR="00454A29" w:rsidRDefault="00454A29">
            <w:pPr>
              <w:pStyle w:val="ConsPlusNormal"/>
              <w:jc w:val="center"/>
            </w:pPr>
            <w:r>
              <w:t>2020</w:t>
            </w:r>
          </w:p>
        </w:tc>
        <w:tc>
          <w:tcPr>
            <w:tcW w:w="1417" w:type="dxa"/>
            <w:vMerge/>
          </w:tcPr>
          <w:p w14:paraId="6D55C935" w14:textId="77777777" w:rsidR="00454A29" w:rsidRDefault="00454A29"/>
        </w:tc>
        <w:tc>
          <w:tcPr>
            <w:tcW w:w="2204" w:type="dxa"/>
            <w:vMerge/>
          </w:tcPr>
          <w:p w14:paraId="0F14DEEF" w14:textId="77777777" w:rsidR="00454A29" w:rsidRDefault="00454A29"/>
        </w:tc>
        <w:tc>
          <w:tcPr>
            <w:tcW w:w="1417" w:type="dxa"/>
            <w:vMerge/>
          </w:tcPr>
          <w:p w14:paraId="2EB920DC" w14:textId="77777777" w:rsidR="00454A29" w:rsidRDefault="00454A29"/>
        </w:tc>
        <w:tc>
          <w:tcPr>
            <w:tcW w:w="2324" w:type="dxa"/>
            <w:vMerge/>
          </w:tcPr>
          <w:p w14:paraId="0F2E6DF1" w14:textId="77777777" w:rsidR="00454A29" w:rsidRDefault="00454A29"/>
        </w:tc>
        <w:tc>
          <w:tcPr>
            <w:tcW w:w="1701" w:type="dxa"/>
            <w:vAlign w:val="center"/>
          </w:tcPr>
          <w:p w14:paraId="033C7E1D" w14:textId="77777777" w:rsidR="00454A29" w:rsidRDefault="00454A29">
            <w:pPr>
              <w:pStyle w:val="ConsPlusNormal"/>
            </w:pPr>
          </w:p>
        </w:tc>
        <w:tc>
          <w:tcPr>
            <w:tcW w:w="1814" w:type="dxa"/>
            <w:vAlign w:val="center"/>
          </w:tcPr>
          <w:p w14:paraId="42BEBD8E" w14:textId="77777777" w:rsidR="00454A29" w:rsidRDefault="00454A29">
            <w:pPr>
              <w:pStyle w:val="ConsPlusNormal"/>
            </w:pPr>
          </w:p>
        </w:tc>
        <w:tc>
          <w:tcPr>
            <w:tcW w:w="1701" w:type="dxa"/>
            <w:vAlign w:val="center"/>
          </w:tcPr>
          <w:p w14:paraId="2A7AD212" w14:textId="77777777" w:rsidR="00454A29" w:rsidRDefault="00454A29">
            <w:pPr>
              <w:pStyle w:val="ConsPlusNormal"/>
            </w:pPr>
          </w:p>
        </w:tc>
        <w:tc>
          <w:tcPr>
            <w:tcW w:w="1701" w:type="dxa"/>
            <w:vAlign w:val="center"/>
          </w:tcPr>
          <w:p w14:paraId="44D9D315" w14:textId="77777777" w:rsidR="00454A29" w:rsidRDefault="00454A29">
            <w:pPr>
              <w:pStyle w:val="ConsPlusNormal"/>
            </w:pPr>
          </w:p>
        </w:tc>
        <w:tc>
          <w:tcPr>
            <w:tcW w:w="1814" w:type="dxa"/>
            <w:vAlign w:val="center"/>
          </w:tcPr>
          <w:p w14:paraId="73839E99" w14:textId="77777777" w:rsidR="00454A29" w:rsidRDefault="00454A29">
            <w:pPr>
              <w:pStyle w:val="ConsPlusNormal"/>
            </w:pPr>
          </w:p>
        </w:tc>
      </w:tr>
      <w:tr w:rsidR="00454A29" w14:paraId="017A873B" w14:textId="77777777">
        <w:tc>
          <w:tcPr>
            <w:tcW w:w="567" w:type="dxa"/>
            <w:vMerge/>
          </w:tcPr>
          <w:p w14:paraId="0ABF6AA7" w14:textId="77777777" w:rsidR="00454A29" w:rsidRDefault="00454A29"/>
        </w:tc>
        <w:tc>
          <w:tcPr>
            <w:tcW w:w="3345" w:type="dxa"/>
            <w:vMerge/>
          </w:tcPr>
          <w:p w14:paraId="6C6B3686" w14:textId="77777777" w:rsidR="00454A29" w:rsidRDefault="00454A29"/>
        </w:tc>
        <w:tc>
          <w:tcPr>
            <w:tcW w:w="1701" w:type="dxa"/>
            <w:vAlign w:val="center"/>
          </w:tcPr>
          <w:p w14:paraId="681792D0" w14:textId="77777777" w:rsidR="00454A29" w:rsidRDefault="00454A29">
            <w:pPr>
              <w:pStyle w:val="ConsPlusNormal"/>
              <w:jc w:val="center"/>
            </w:pPr>
            <w:r>
              <w:t>2021</w:t>
            </w:r>
          </w:p>
        </w:tc>
        <w:tc>
          <w:tcPr>
            <w:tcW w:w="1417" w:type="dxa"/>
            <w:vMerge/>
          </w:tcPr>
          <w:p w14:paraId="6B681133" w14:textId="77777777" w:rsidR="00454A29" w:rsidRDefault="00454A29"/>
        </w:tc>
        <w:tc>
          <w:tcPr>
            <w:tcW w:w="2204" w:type="dxa"/>
            <w:vMerge/>
          </w:tcPr>
          <w:p w14:paraId="1268B0FD" w14:textId="77777777" w:rsidR="00454A29" w:rsidRDefault="00454A29"/>
        </w:tc>
        <w:tc>
          <w:tcPr>
            <w:tcW w:w="1417" w:type="dxa"/>
            <w:vMerge/>
          </w:tcPr>
          <w:p w14:paraId="555A9D45" w14:textId="77777777" w:rsidR="00454A29" w:rsidRDefault="00454A29"/>
        </w:tc>
        <w:tc>
          <w:tcPr>
            <w:tcW w:w="2324" w:type="dxa"/>
            <w:vMerge/>
          </w:tcPr>
          <w:p w14:paraId="10504539" w14:textId="77777777" w:rsidR="00454A29" w:rsidRDefault="00454A29"/>
        </w:tc>
        <w:tc>
          <w:tcPr>
            <w:tcW w:w="1701" w:type="dxa"/>
            <w:vAlign w:val="center"/>
          </w:tcPr>
          <w:p w14:paraId="727C576C" w14:textId="77777777" w:rsidR="00454A29" w:rsidRDefault="00454A29">
            <w:pPr>
              <w:pStyle w:val="ConsPlusNormal"/>
            </w:pPr>
          </w:p>
        </w:tc>
        <w:tc>
          <w:tcPr>
            <w:tcW w:w="1814" w:type="dxa"/>
            <w:vAlign w:val="center"/>
          </w:tcPr>
          <w:p w14:paraId="2732C186" w14:textId="77777777" w:rsidR="00454A29" w:rsidRDefault="00454A29">
            <w:pPr>
              <w:pStyle w:val="ConsPlusNormal"/>
            </w:pPr>
          </w:p>
        </w:tc>
        <w:tc>
          <w:tcPr>
            <w:tcW w:w="1701" w:type="dxa"/>
            <w:vAlign w:val="center"/>
          </w:tcPr>
          <w:p w14:paraId="6136EBBF" w14:textId="77777777" w:rsidR="00454A29" w:rsidRDefault="00454A29">
            <w:pPr>
              <w:pStyle w:val="ConsPlusNormal"/>
            </w:pPr>
          </w:p>
        </w:tc>
        <w:tc>
          <w:tcPr>
            <w:tcW w:w="1701" w:type="dxa"/>
            <w:vAlign w:val="center"/>
          </w:tcPr>
          <w:p w14:paraId="12FEF5D3" w14:textId="77777777" w:rsidR="00454A29" w:rsidRDefault="00454A29">
            <w:pPr>
              <w:pStyle w:val="ConsPlusNormal"/>
            </w:pPr>
          </w:p>
        </w:tc>
        <w:tc>
          <w:tcPr>
            <w:tcW w:w="1814" w:type="dxa"/>
            <w:vAlign w:val="center"/>
          </w:tcPr>
          <w:p w14:paraId="5A2967A8" w14:textId="77777777" w:rsidR="00454A29" w:rsidRDefault="00454A29">
            <w:pPr>
              <w:pStyle w:val="ConsPlusNormal"/>
            </w:pPr>
          </w:p>
        </w:tc>
      </w:tr>
      <w:tr w:rsidR="00454A29" w14:paraId="73C0A4CC" w14:textId="77777777">
        <w:tc>
          <w:tcPr>
            <w:tcW w:w="567" w:type="dxa"/>
            <w:vMerge/>
          </w:tcPr>
          <w:p w14:paraId="54A284D3" w14:textId="77777777" w:rsidR="00454A29" w:rsidRDefault="00454A29"/>
        </w:tc>
        <w:tc>
          <w:tcPr>
            <w:tcW w:w="3345" w:type="dxa"/>
            <w:vMerge/>
          </w:tcPr>
          <w:p w14:paraId="79CE7ACD" w14:textId="77777777" w:rsidR="00454A29" w:rsidRDefault="00454A29"/>
        </w:tc>
        <w:tc>
          <w:tcPr>
            <w:tcW w:w="1701" w:type="dxa"/>
            <w:vAlign w:val="center"/>
          </w:tcPr>
          <w:p w14:paraId="014A0236" w14:textId="77777777" w:rsidR="00454A29" w:rsidRDefault="00454A29">
            <w:pPr>
              <w:pStyle w:val="ConsPlusNormal"/>
              <w:jc w:val="center"/>
            </w:pPr>
            <w:r>
              <w:t>2022</w:t>
            </w:r>
          </w:p>
        </w:tc>
        <w:tc>
          <w:tcPr>
            <w:tcW w:w="1417" w:type="dxa"/>
            <w:vMerge/>
          </w:tcPr>
          <w:p w14:paraId="0F438F49" w14:textId="77777777" w:rsidR="00454A29" w:rsidRDefault="00454A29"/>
        </w:tc>
        <w:tc>
          <w:tcPr>
            <w:tcW w:w="2204" w:type="dxa"/>
            <w:vMerge/>
          </w:tcPr>
          <w:p w14:paraId="2DDCA9CE" w14:textId="77777777" w:rsidR="00454A29" w:rsidRDefault="00454A29"/>
        </w:tc>
        <w:tc>
          <w:tcPr>
            <w:tcW w:w="1417" w:type="dxa"/>
            <w:vMerge/>
          </w:tcPr>
          <w:p w14:paraId="056B115A" w14:textId="77777777" w:rsidR="00454A29" w:rsidRDefault="00454A29"/>
        </w:tc>
        <w:tc>
          <w:tcPr>
            <w:tcW w:w="2324" w:type="dxa"/>
            <w:vMerge/>
          </w:tcPr>
          <w:p w14:paraId="77856CCA" w14:textId="77777777" w:rsidR="00454A29" w:rsidRDefault="00454A29"/>
        </w:tc>
        <w:tc>
          <w:tcPr>
            <w:tcW w:w="1701" w:type="dxa"/>
            <w:vAlign w:val="center"/>
          </w:tcPr>
          <w:p w14:paraId="54AB87B1" w14:textId="77777777" w:rsidR="00454A29" w:rsidRDefault="00454A29">
            <w:pPr>
              <w:pStyle w:val="ConsPlusNormal"/>
            </w:pPr>
          </w:p>
        </w:tc>
        <w:tc>
          <w:tcPr>
            <w:tcW w:w="1814" w:type="dxa"/>
            <w:vAlign w:val="center"/>
          </w:tcPr>
          <w:p w14:paraId="53816EBC" w14:textId="77777777" w:rsidR="00454A29" w:rsidRDefault="00454A29">
            <w:pPr>
              <w:pStyle w:val="ConsPlusNormal"/>
            </w:pPr>
          </w:p>
        </w:tc>
        <w:tc>
          <w:tcPr>
            <w:tcW w:w="1701" w:type="dxa"/>
            <w:vAlign w:val="center"/>
          </w:tcPr>
          <w:p w14:paraId="27820F8B" w14:textId="77777777" w:rsidR="00454A29" w:rsidRDefault="00454A29">
            <w:pPr>
              <w:pStyle w:val="ConsPlusNormal"/>
            </w:pPr>
          </w:p>
        </w:tc>
        <w:tc>
          <w:tcPr>
            <w:tcW w:w="1701" w:type="dxa"/>
            <w:vAlign w:val="center"/>
          </w:tcPr>
          <w:p w14:paraId="439B1AE4" w14:textId="77777777" w:rsidR="00454A29" w:rsidRDefault="00454A29">
            <w:pPr>
              <w:pStyle w:val="ConsPlusNormal"/>
            </w:pPr>
          </w:p>
        </w:tc>
        <w:tc>
          <w:tcPr>
            <w:tcW w:w="1814" w:type="dxa"/>
            <w:vAlign w:val="center"/>
          </w:tcPr>
          <w:p w14:paraId="30637D0A" w14:textId="77777777" w:rsidR="00454A29" w:rsidRDefault="00454A29">
            <w:pPr>
              <w:pStyle w:val="ConsPlusNormal"/>
            </w:pPr>
          </w:p>
        </w:tc>
      </w:tr>
      <w:tr w:rsidR="00454A29" w14:paraId="1E863184" w14:textId="77777777">
        <w:tc>
          <w:tcPr>
            <w:tcW w:w="567" w:type="dxa"/>
            <w:vMerge/>
          </w:tcPr>
          <w:p w14:paraId="407F20D8" w14:textId="77777777" w:rsidR="00454A29" w:rsidRDefault="00454A29"/>
        </w:tc>
        <w:tc>
          <w:tcPr>
            <w:tcW w:w="3345" w:type="dxa"/>
            <w:vMerge/>
          </w:tcPr>
          <w:p w14:paraId="681BC653" w14:textId="77777777" w:rsidR="00454A29" w:rsidRDefault="00454A29"/>
        </w:tc>
        <w:tc>
          <w:tcPr>
            <w:tcW w:w="1701" w:type="dxa"/>
            <w:vAlign w:val="center"/>
          </w:tcPr>
          <w:p w14:paraId="0C943F6A" w14:textId="77777777" w:rsidR="00454A29" w:rsidRDefault="00454A29">
            <w:pPr>
              <w:pStyle w:val="ConsPlusNormal"/>
              <w:jc w:val="center"/>
            </w:pPr>
            <w:r>
              <w:t>2023</w:t>
            </w:r>
          </w:p>
        </w:tc>
        <w:tc>
          <w:tcPr>
            <w:tcW w:w="1417" w:type="dxa"/>
            <w:vMerge/>
          </w:tcPr>
          <w:p w14:paraId="2E517025" w14:textId="77777777" w:rsidR="00454A29" w:rsidRDefault="00454A29"/>
        </w:tc>
        <w:tc>
          <w:tcPr>
            <w:tcW w:w="2204" w:type="dxa"/>
            <w:vMerge/>
          </w:tcPr>
          <w:p w14:paraId="0547FC7C" w14:textId="77777777" w:rsidR="00454A29" w:rsidRDefault="00454A29"/>
        </w:tc>
        <w:tc>
          <w:tcPr>
            <w:tcW w:w="1417" w:type="dxa"/>
            <w:vMerge/>
          </w:tcPr>
          <w:p w14:paraId="35ADC7A3" w14:textId="77777777" w:rsidR="00454A29" w:rsidRDefault="00454A29"/>
        </w:tc>
        <w:tc>
          <w:tcPr>
            <w:tcW w:w="2324" w:type="dxa"/>
            <w:vMerge/>
          </w:tcPr>
          <w:p w14:paraId="66D08098" w14:textId="77777777" w:rsidR="00454A29" w:rsidRDefault="00454A29"/>
        </w:tc>
        <w:tc>
          <w:tcPr>
            <w:tcW w:w="1701" w:type="dxa"/>
            <w:vAlign w:val="center"/>
          </w:tcPr>
          <w:p w14:paraId="67E232E3" w14:textId="77777777" w:rsidR="00454A29" w:rsidRDefault="00454A29">
            <w:pPr>
              <w:pStyle w:val="ConsPlusNormal"/>
            </w:pPr>
          </w:p>
        </w:tc>
        <w:tc>
          <w:tcPr>
            <w:tcW w:w="1814" w:type="dxa"/>
            <w:vAlign w:val="center"/>
          </w:tcPr>
          <w:p w14:paraId="6BC72F57" w14:textId="77777777" w:rsidR="00454A29" w:rsidRDefault="00454A29">
            <w:pPr>
              <w:pStyle w:val="ConsPlusNormal"/>
            </w:pPr>
          </w:p>
        </w:tc>
        <w:tc>
          <w:tcPr>
            <w:tcW w:w="1701" w:type="dxa"/>
            <w:vAlign w:val="center"/>
          </w:tcPr>
          <w:p w14:paraId="537006A1" w14:textId="77777777" w:rsidR="00454A29" w:rsidRDefault="00454A29">
            <w:pPr>
              <w:pStyle w:val="ConsPlusNormal"/>
            </w:pPr>
          </w:p>
        </w:tc>
        <w:tc>
          <w:tcPr>
            <w:tcW w:w="1701" w:type="dxa"/>
            <w:vAlign w:val="center"/>
          </w:tcPr>
          <w:p w14:paraId="0BBB293B" w14:textId="77777777" w:rsidR="00454A29" w:rsidRDefault="00454A29">
            <w:pPr>
              <w:pStyle w:val="ConsPlusNormal"/>
            </w:pPr>
          </w:p>
        </w:tc>
        <w:tc>
          <w:tcPr>
            <w:tcW w:w="1814" w:type="dxa"/>
            <w:vAlign w:val="center"/>
          </w:tcPr>
          <w:p w14:paraId="26296EA3" w14:textId="77777777" w:rsidR="00454A29" w:rsidRDefault="00454A29">
            <w:pPr>
              <w:pStyle w:val="ConsPlusNormal"/>
            </w:pPr>
          </w:p>
        </w:tc>
      </w:tr>
      <w:tr w:rsidR="00454A29" w14:paraId="70389562" w14:textId="77777777">
        <w:tc>
          <w:tcPr>
            <w:tcW w:w="567" w:type="dxa"/>
            <w:vMerge/>
          </w:tcPr>
          <w:p w14:paraId="1D2667AD" w14:textId="77777777" w:rsidR="00454A29" w:rsidRDefault="00454A29"/>
        </w:tc>
        <w:tc>
          <w:tcPr>
            <w:tcW w:w="3345" w:type="dxa"/>
            <w:vMerge/>
          </w:tcPr>
          <w:p w14:paraId="65641FB4" w14:textId="77777777" w:rsidR="00454A29" w:rsidRDefault="00454A29"/>
        </w:tc>
        <w:tc>
          <w:tcPr>
            <w:tcW w:w="1701" w:type="dxa"/>
            <w:vAlign w:val="center"/>
          </w:tcPr>
          <w:p w14:paraId="4D211DA6" w14:textId="77777777" w:rsidR="00454A29" w:rsidRDefault="00454A29">
            <w:pPr>
              <w:pStyle w:val="ConsPlusNormal"/>
              <w:jc w:val="center"/>
            </w:pPr>
            <w:r>
              <w:t>2024</w:t>
            </w:r>
          </w:p>
        </w:tc>
        <w:tc>
          <w:tcPr>
            <w:tcW w:w="1417" w:type="dxa"/>
            <w:vMerge/>
          </w:tcPr>
          <w:p w14:paraId="0A7B3A4E" w14:textId="77777777" w:rsidR="00454A29" w:rsidRDefault="00454A29"/>
        </w:tc>
        <w:tc>
          <w:tcPr>
            <w:tcW w:w="2204" w:type="dxa"/>
            <w:vMerge/>
          </w:tcPr>
          <w:p w14:paraId="34788360" w14:textId="77777777" w:rsidR="00454A29" w:rsidRDefault="00454A29"/>
        </w:tc>
        <w:tc>
          <w:tcPr>
            <w:tcW w:w="1417" w:type="dxa"/>
            <w:vMerge/>
          </w:tcPr>
          <w:p w14:paraId="0E54C6D4" w14:textId="77777777" w:rsidR="00454A29" w:rsidRDefault="00454A29"/>
        </w:tc>
        <w:tc>
          <w:tcPr>
            <w:tcW w:w="2324" w:type="dxa"/>
            <w:vMerge/>
          </w:tcPr>
          <w:p w14:paraId="655C7B65" w14:textId="77777777" w:rsidR="00454A29" w:rsidRDefault="00454A29"/>
        </w:tc>
        <w:tc>
          <w:tcPr>
            <w:tcW w:w="1701" w:type="dxa"/>
            <w:vAlign w:val="center"/>
          </w:tcPr>
          <w:p w14:paraId="27F6BD5D" w14:textId="77777777" w:rsidR="00454A29" w:rsidRDefault="00454A29">
            <w:pPr>
              <w:pStyle w:val="ConsPlusNormal"/>
              <w:jc w:val="center"/>
            </w:pPr>
            <w:r>
              <w:t>183 912,26</w:t>
            </w:r>
          </w:p>
        </w:tc>
        <w:tc>
          <w:tcPr>
            <w:tcW w:w="1814" w:type="dxa"/>
            <w:vAlign w:val="center"/>
          </w:tcPr>
          <w:p w14:paraId="3FCB734D" w14:textId="77777777" w:rsidR="00454A29" w:rsidRDefault="00454A29">
            <w:pPr>
              <w:pStyle w:val="ConsPlusNormal"/>
              <w:jc w:val="center"/>
            </w:pPr>
            <w:r>
              <w:t>1 230,37</w:t>
            </w:r>
          </w:p>
        </w:tc>
        <w:tc>
          <w:tcPr>
            <w:tcW w:w="1701" w:type="dxa"/>
            <w:vAlign w:val="center"/>
          </w:tcPr>
          <w:p w14:paraId="7B1314A1" w14:textId="77777777" w:rsidR="00454A29" w:rsidRDefault="00454A29">
            <w:pPr>
              <w:pStyle w:val="ConsPlusNormal"/>
              <w:jc w:val="center"/>
            </w:pPr>
            <w:r>
              <w:t>121 806,93</w:t>
            </w:r>
          </w:p>
        </w:tc>
        <w:tc>
          <w:tcPr>
            <w:tcW w:w="1701" w:type="dxa"/>
            <w:vAlign w:val="center"/>
          </w:tcPr>
          <w:p w14:paraId="260B6584" w14:textId="77777777" w:rsidR="00454A29" w:rsidRDefault="00454A29">
            <w:pPr>
              <w:pStyle w:val="ConsPlusNormal"/>
            </w:pPr>
          </w:p>
        </w:tc>
        <w:tc>
          <w:tcPr>
            <w:tcW w:w="1814" w:type="dxa"/>
            <w:vAlign w:val="center"/>
          </w:tcPr>
          <w:p w14:paraId="1E424AB4" w14:textId="77777777" w:rsidR="00454A29" w:rsidRDefault="00454A29">
            <w:pPr>
              <w:pStyle w:val="ConsPlusNormal"/>
            </w:pPr>
          </w:p>
        </w:tc>
      </w:tr>
      <w:tr w:rsidR="00454A29" w14:paraId="42F7076D" w14:textId="77777777">
        <w:tc>
          <w:tcPr>
            <w:tcW w:w="567" w:type="dxa"/>
            <w:vMerge/>
          </w:tcPr>
          <w:p w14:paraId="45C7C112" w14:textId="77777777" w:rsidR="00454A29" w:rsidRDefault="00454A29"/>
        </w:tc>
        <w:tc>
          <w:tcPr>
            <w:tcW w:w="3345" w:type="dxa"/>
            <w:vMerge/>
          </w:tcPr>
          <w:p w14:paraId="1B469BBE" w14:textId="77777777" w:rsidR="00454A29" w:rsidRDefault="00454A29"/>
        </w:tc>
        <w:tc>
          <w:tcPr>
            <w:tcW w:w="1701" w:type="dxa"/>
            <w:vAlign w:val="center"/>
          </w:tcPr>
          <w:p w14:paraId="7ED19772" w14:textId="77777777" w:rsidR="00454A29" w:rsidRDefault="00454A29">
            <w:pPr>
              <w:pStyle w:val="ConsPlusNormal"/>
              <w:jc w:val="center"/>
            </w:pPr>
            <w:r>
              <w:t>2025</w:t>
            </w:r>
          </w:p>
        </w:tc>
        <w:tc>
          <w:tcPr>
            <w:tcW w:w="1417" w:type="dxa"/>
            <w:vMerge/>
          </w:tcPr>
          <w:p w14:paraId="49ABDEEF" w14:textId="77777777" w:rsidR="00454A29" w:rsidRDefault="00454A29"/>
        </w:tc>
        <w:tc>
          <w:tcPr>
            <w:tcW w:w="2204" w:type="dxa"/>
            <w:vMerge/>
          </w:tcPr>
          <w:p w14:paraId="61944DAA" w14:textId="77777777" w:rsidR="00454A29" w:rsidRDefault="00454A29"/>
        </w:tc>
        <w:tc>
          <w:tcPr>
            <w:tcW w:w="1417" w:type="dxa"/>
            <w:vMerge/>
          </w:tcPr>
          <w:p w14:paraId="1174609B" w14:textId="77777777" w:rsidR="00454A29" w:rsidRDefault="00454A29"/>
        </w:tc>
        <w:tc>
          <w:tcPr>
            <w:tcW w:w="2324" w:type="dxa"/>
            <w:vMerge/>
          </w:tcPr>
          <w:p w14:paraId="38AAD8BA" w14:textId="77777777" w:rsidR="00454A29" w:rsidRDefault="00454A29"/>
        </w:tc>
        <w:tc>
          <w:tcPr>
            <w:tcW w:w="1701" w:type="dxa"/>
            <w:vAlign w:val="center"/>
          </w:tcPr>
          <w:p w14:paraId="0D4916D0" w14:textId="77777777" w:rsidR="00454A29" w:rsidRDefault="00454A29">
            <w:pPr>
              <w:pStyle w:val="ConsPlusNormal"/>
            </w:pPr>
          </w:p>
        </w:tc>
        <w:tc>
          <w:tcPr>
            <w:tcW w:w="1814" w:type="dxa"/>
            <w:vAlign w:val="center"/>
          </w:tcPr>
          <w:p w14:paraId="47FCE8BA" w14:textId="77777777" w:rsidR="00454A29" w:rsidRDefault="00454A29">
            <w:pPr>
              <w:pStyle w:val="ConsPlusNormal"/>
            </w:pPr>
          </w:p>
        </w:tc>
        <w:tc>
          <w:tcPr>
            <w:tcW w:w="1701" w:type="dxa"/>
            <w:vAlign w:val="center"/>
          </w:tcPr>
          <w:p w14:paraId="4C790621" w14:textId="77777777" w:rsidR="00454A29" w:rsidRDefault="00454A29">
            <w:pPr>
              <w:pStyle w:val="ConsPlusNormal"/>
            </w:pPr>
          </w:p>
        </w:tc>
        <w:tc>
          <w:tcPr>
            <w:tcW w:w="1701" w:type="dxa"/>
            <w:vAlign w:val="center"/>
          </w:tcPr>
          <w:p w14:paraId="59ED02AB" w14:textId="77777777" w:rsidR="00454A29" w:rsidRDefault="00454A29">
            <w:pPr>
              <w:pStyle w:val="ConsPlusNormal"/>
            </w:pPr>
          </w:p>
        </w:tc>
        <w:tc>
          <w:tcPr>
            <w:tcW w:w="1814" w:type="dxa"/>
            <w:vAlign w:val="center"/>
          </w:tcPr>
          <w:p w14:paraId="748C3C6D" w14:textId="77777777" w:rsidR="00454A29" w:rsidRDefault="00454A29">
            <w:pPr>
              <w:pStyle w:val="ConsPlusNormal"/>
            </w:pPr>
          </w:p>
        </w:tc>
      </w:tr>
      <w:tr w:rsidR="00454A29" w14:paraId="040388EB" w14:textId="77777777">
        <w:tc>
          <w:tcPr>
            <w:tcW w:w="567" w:type="dxa"/>
            <w:vMerge/>
          </w:tcPr>
          <w:p w14:paraId="19E4B4BF" w14:textId="77777777" w:rsidR="00454A29" w:rsidRDefault="00454A29"/>
        </w:tc>
        <w:tc>
          <w:tcPr>
            <w:tcW w:w="3345" w:type="dxa"/>
            <w:vMerge/>
          </w:tcPr>
          <w:p w14:paraId="75F6B62F" w14:textId="77777777" w:rsidR="00454A29" w:rsidRDefault="00454A29"/>
        </w:tc>
        <w:tc>
          <w:tcPr>
            <w:tcW w:w="1701" w:type="dxa"/>
            <w:vAlign w:val="center"/>
          </w:tcPr>
          <w:p w14:paraId="14B82F20" w14:textId="77777777" w:rsidR="00454A29" w:rsidRDefault="00454A29">
            <w:pPr>
              <w:pStyle w:val="ConsPlusNormal"/>
              <w:jc w:val="center"/>
            </w:pPr>
            <w:r>
              <w:t>2026</w:t>
            </w:r>
          </w:p>
        </w:tc>
        <w:tc>
          <w:tcPr>
            <w:tcW w:w="1417" w:type="dxa"/>
            <w:vMerge/>
          </w:tcPr>
          <w:p w14:paraId="78F49073" w14:textId="77777777" w:rsidR="00454A29" w:rsidRDefault="00454A29"/>
        </w:tc>
        <w:tc>
          <w:tcPr>
            <w:tcW w:w="2204" w:type="dxa"/>
            <w:vMerge/>
          </w:tcPr>
          <w:p w14:paraId="595683F6" w14:textId="77777777" w:rsidR="00454A29" w:rsidRDefault="00454A29"/>
        </w:tc>
        <w:tc>
          <w:tcPr>
            <w:tcW w:w="1417" w:type="dxa"/>
            <w:vMerge/>
          </w:tcPr>
          <w:p w14:paraId="67115BB1" w14:textId="77777777" w:rsidR="00454A29" w:rsidRDefault="00454A29"/>
        </w:tc>
        <w:tc>
          <w:tcPr>
            <w:tcW w:w="2324" w:type="dxa"/>
            <w:vMerge/>
          </w:tcPr>
          <w:p w14:paraId="1FF781A6" w14:textId="77777777" w:rsidR="00454A29" w:rsidRDefault="00454A29"/>
        </w:tc>
        <w:tc>
          <w:tcPr>
            <w:tcW w:w="1701" w:type="dxa"/>
            <w:vAlign w:val="center"/>
          </w:tcPr>
          <w:p w14:paraId="753589CE" w14:textId="77777777" w:rsidR="00454A29" w:rsidRDefault="00454A29">
            <w:pPr>
              <w:pStyle w:val="ConsPlusNormal"/>
            </w:pPr>
          </w:p>
        </w:tc>
        <w:tc>
          <w:tcPr>
            <w:tcW w:w="1814" w:type="dxa"/>
            <w:vAlign w:val="center"/>
          </w:tcPr>
          <w:p w14:paraId="21F48F23" w14:textId="77777777" w:rsidR="00454A29" w:rsidRDefault="00454A29">
            <w:pPr>
              <w:pStyle w:val="ConsPlusNormal"/>
            </w:pPr>
          </w:p>
        </w:tc>
        <w:tc>
          <w:tcPr>
            <w:tcW w:w="1701" w:type="dxa"/>
            <w:vAlign w:val="center"/>
          </w:tcPr>
          <w:p w14:paraId="3E23E963" w14:textId="77777777" w:rsidR="00454A29" w:rsidRDefault="00454A29">
            <w:pPr>
              <w:pStyle w:val="ConsPlusNormal"/>
            </w:pPr>
          </w:p>
        </w:tc>
        <w:tc>
          <w:tcPr>
            <w:tcW w:w="1701" w:type="dxa"/>
            <w:vAlign w:val="center"/>
          </w:tcPr>
          <w:p w14:paraId="02BD533C" w14:textId="77777777" w:rsidR="00454A29" w:rsidRDefault="00454A29">
            <w:pPr>
              <w:pStyle w:val="ConsPlusNormal"/>
            </w:pPr>
          </w:p>
        </w:tc>
        <w:tc>
          <w:tcPr>
            <w:tcW w:w="1814" w:type="dxa"/>
            <w:vAlign w:val="center"/>
          </w:tcPr>
          <w:p w14:paraId="342ED73A" w14:textId="77777777" w:rsidR="00454A29" w:rsidRDefault="00454A29">
            <w:pPr>
              <w:pStyle w:val="ConsPlusNormal"/>
            </w:pPr>
          </w:p>
        </w:tc>
      </w:tr>
      <w:tr w:rsidR="00454A29" w14:paraId="117FAAA9" w14:textId="77777777">
        <w:tc>
          <w:tcPr>
            <w:tcW w:w="567" w:type="dxa"/>
            <w:vMerge w:val="restart"/>
            <w:vAlign w:val="center"/>
          </w:tcPr>
          <w:p w14:paraId="16A8565F" w14:textId="77777777" w:rsidR="00454A29" w:rsidRDefault="00454A29">
            <w:pPr>
              <w:pStyle w:val="ConsPlusNormal"/>
              <w:jc w:val="center"/>
            </w:pPr>
            <w:r>
              <w:lastRenderedPageBreak/>
              <w:t>105</w:t>
            </w:r>
          </w:p>
        </w:tc>
        <w:tc>
          <w:tcPr>
            <w:tcW w:w="3345" w:type="dxa"/>
            <w:vMerge w:val="restart"/>
            <w:vAlign w:val="center"/>
          </w:tcPr>
          <w:p w14:paraId="53063A6D" w14:textId="77777777" w:rsidR="00454A29" w:rsidRDefault="00454A29">
            <w:pPr>
              <w:pStyle w:val="ConsPlusNormal"/>
              <w:jc w:val="center"/>
            </w:pPr>
            <w:r>
              <w:t>Школа на 120 учащихся в с. Абага</w:t>
            </w:r>
          </w:p>
        </w:tc>
        <w:tc>
          <w:tcPr>
            <w:tcW w:w="1701" w:type="dxa"/>
            <w:vAlign w:val="center"/>
          </w:tcPr>
          <w:p w14:paraId="30FC3F1D" w14:textId="77777777" w:rsidR="00454A29" w:rsidRDefault="00454A29">
            <w:pPr>
              <w:pStyle w:val="ConsPlusNormal"/>
              <w:jc w:val="center"/>
            </w:pPr>
            <w:r>
              <w:t>2020 - 2026 годы - всего</w:t>
            </w:r>
          </w:p>
        </w:tc>
        <w:tc>
          <w:tcPr>
            <w:tcW w:w="1417" w:type="dxa"/>
            <w:vMerge w:val="restart"/>
            <w:vAlign w:val="center"/>
          </w:tcPr>
          <w:p w14:paraId="580E1B5E" w14:textId="77777777" w:rsidR="00454A29" w:rsidRDefault="00454A29">
            <w:pPr>
              <w:pStyle w:val="ConsPlusNormal"/>
              <w:jc w:val="center"/>
            </w:pPr>
            <w:r>
              <w:t>420 044,60</w:t>
            </w:r>
          </w:p>
        </w:tc>
        <w:tc>
          <w:tcPr>
            <w:tcW w:w="2204" w:type="dxa"/>
            <w:vMerge w:val="restart"/>
            <w:vAlign w:val="center"/>
          </w:tcPr>
          <w:p w14:paraId="303CCB34" w14:textId="77777777" w:rsidR="00454A29" w:rsidRDefault="00454A29">
            <w:pPr>
              <w:pStyle w:val="ConsPlusNormal"/>
            </w:pPr>
          </w:p>
        </w:tc>
        <w:tc>
          <w:tcPr>
            <w:tcW w:w="1417" w:type="dxa"/>
            <w:vMerge w:val="restart"/>
            <w:vAlign w:val="center"/>
          </w:tcPr>
          <w:p w14:paraId="274C4C81" w14:textId="77777777" w:rsidR="00454A29" w:rsidRDefault="00454A29">
            <w:pPr>
              <w:pStyle w:val="ConsPlusNormal"/>
              <w:jc w:val="center"/>
            </w:pPr>
            <w:r>
              <w:t>120</w:t>
            </w:r>
          </w:p>
        </w:tc>
        <w:tc>
          <w:tcPr>
            <w:tcW w:w="2324" w:type="dxa"/>
            <w:vMerge w:val="restart"/>
            <w:vAlign w:val="center"/>
          </w:tcPr>
          <w:p w14:paraId="351FB6B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CB0AF98" w14:textId="77777777" w:rsidR="00454A29" w:rsidRDefault="00454A29">
            <w:pPr>
              <w:pStyle w:val="ConsPlusNormal"/>
              <w:jc w:val="center"/>
            </w:pPr>
            <w:r>
              <w:t>420 044,60</w:t>
            </w:r>
          </w:p>
        </w:tc>
        <w:tc>
          <w:tcPr>
            <w:tcW w:w="1814" w:type="dxa"/>
            <w:vAlign w:val="center"/>
          </w:tcPr>
          <w:p w14:paraId="414D2765" w14:textId="77777777" w:rsidR="00454A29" w:rsidRDefault="00454A29">
            <w:pPr>
              <w:pStyle w:val="ConsPlusNormal"/>
              <w:jc w:val="center"/>
            </w:pPr>
            <w:r>
              <w:t>5 174,95</w:t>
            </w:r>
          </w:p>
        </w:tc>
        <w:tc>
          <w:tcPr>
            <w:tcW w:w="1701" w:type="dxa"/>
            <w:vAlign w:val="center"/>
          </w:tcPr>
          <w:p w14:paraId="47ED2AFA" w14:textId="77777777" w:rsidR="00454A29" w:rsidRDefault="00454A29">
            <w:pPr>
              <w:pStyle w:val="ConsPlusNormal"/>
              <w:jc w:val="center"/>
            </w:pPr>
            <w:r>
              <w:t>512 319,99</w:t>
            </w:r>
          </w:p>
        </w:tc>
        <w:tc>
          <w:tcPr>
            <w:tcW w:w="1701" w:type="dxa"/>
            <w:vAlign w:val="center"/>
          </w:tcPr>
          <w:p w14:paraId="70969820" w14:textId="77777777" w:rsidR="00454A29" w:rsidRDefault="00454A29">
            <w:pPr>
              <w:pStyle w:val="ConsPlusNormal"/>
              <w:jc w:val="center"/>
            </w:pPr>
            <w:r>
              <w:t>-</w:t>
            </w:r>
          </w:p>
        </w:tc>
        <w:tc>
          <w:tcPr>
            <w:tcW w:w="1814" w:type="dxa"/>
            <w:vAlign w:val="center"/>
          </w:tcPr>
          <w:p w14:paraId="5C5705A0" w14:textId="77777777" w:rsidR="00454A29" w:rsidRDefault="00454A29">
            <w:pPr>
              <w:pStyle w:val="ConsPlusNormal"/>
              <w:jc w:val="center"/>
            </w:pPr>
            <w:r>
              <w:t>-</w:t>
            </w:r>
          </w:p>
        </w:tc>
      </w:tr>
      <w:tr w:rsidR="00454A29" w14:paraId="094919F6" w14:textId="77777777">
        <w:tc>
          <w:tcPr>
            <w:tcW w:w="567" w:type="dxa"/>
            <w:vMerge/>
          </w:tcPr>
          <w:p w14:paraId="69C2DF92" w14:textId="77777777" w:rsidR="00454A29" w:rsidRDefault="00454A29"/>
        </w:tc>
        <w:tc>
          <w:tcPr>
            <w:tcW w:w="3345" w:type="dxa"/>
            <w:vMerge/>
          </w:tcPr>
          <w:p w14:paraId="7407DD7F" w14:textId="77777777" w:rsidR="00454A29" w:rsidRDefault="00454A29"/>
        </w:tc>
        <w:tc>
          <w:tcPr>
            <w:tcW w:w="1701" w:type="dxa"/>
            <w:vAlign w:val="center"/>
          </w:tcPr>
          <w:p w14:paraId="6CC93BD5" w14:textId="77777777" w:rsidR="00454A29" w:rsidRDefault="00454A29">
            <w:pPr>
              <w:pStyle w:val="ConsPlusNormal"/>
              <w:jc w:val="center"/>
            </w:pPr>
            <w:r>
              <w:t>2020</w:t>
            </w:r>
          </w:p>
        </w:tc>
        <w:tc>
          <w:tcPr>
            <w:tcW w:w="1417" w:type="dxa"/>
            <w:vMerge/>
          </w:tcPr>
          <w:p w14:paraId="7F094D64" w14:textId="77777777" w:rsidR="00454A29" w:rsidRDefault="00454A29"/>
        </w:tc>
        <w:tc>
          <w:tcPr>
            <w:tcW w:w="2204" w:type="dxa"/>
            <w:vMerge/>
          </w:tcPr>
          <w:p w14:paraId="22EAEEA4" w14:textId="77777777" w:rsidR="00454A29" w:rsidRDefault="00454A29"/>
        </w:tc>
        <w:tc>
          <w:tcPr>
            <w:tcW w:w="1417" w:type="dxa"/>
            <w:vMerge/>
          </w:tcPr>
          <w:p w14:paraId="29D1C00D" w14:textId="77777777" w:rsidR="00454A29" w:rsidRDefault="00454A29"/>
        </w:tc>
        <w:tc>
          <w:tcPr>
            <w:tcW w:w="2324" w:type="dxa"/>
            <w:vMerge/>
          </w:tcPr>
          <w:p w14:paraId="6EC18E95" w14:textId="77777777" w:rsidR="00454A29" w:rsidRDefault="00454A29"/>
        </w:tc>
        <w:tc>
          <w:tcPr>
            <w:tcW w:w="1701" w:type="dxa"/>
            <w:vAlign w:val="center"/>
          </w:tcPr>
          <w:p w14:paraId="1287DE7F" w14:textId="77777777" w:rsidR="00454A29" w:rsidRDefault="00454A29">
            <w:pPr>
              <w:pStyle w:val="ConsPlusNormal"/>
            </w:pPr>
          </w:p>
        </w:tc>
        <w:tc>
          <w:tcPr>
            <w:tcW w:w="1814" w:type="dxa"/>
            <w:vAlign w:val="center"/>
          </w:tcPr>
          <w:p w14:paraId="016F6510" w14:textId="77777777" w:rsidR="00454A29" w:rsidRDefault="00454A29">
            <w:pPr>
              <w:pStyle w:val="ConsPlusNormal"/>
            </w:pPr>
          </w:p>
        </w:tc>
        <w:tc>
          <w:tcPr>
            <w:tcW w:w="1701" w:type="dxa"/>
            <w:vAlign w:val="center"/>
          </w:tcPr>
          <w:p w14:paraId="2984CFC2" w14:textId="77777777" w:rsidR="00454A29" w:rsidRDefault="00454A29">
            <w:pPr>
              <w:pStyle w:val="ConsPlusNormal"/>
            </w:pPr>
          </w:p>
        </w:tc>
        <w:tc>
          <w:tcPr>
            <w:tcW w:w="1701" w:type="dxa"/>
            <w:vAlign w:val="center"/>
          </w:tcPr>
          <w:p w14:paraId="6723211D" w14:textId="77777777" w:rsidR="00454A29" w:rsidRDefault="00454A29">
            <w:pPr>
              <w:pStyle w:val="ConsPlusNormal"/>
            </w:pPr>
          </w:p>
        </w:tc>
        <w:tc>
          <w:tcPr>
            <w:tcW w:w="1814" w:type="dxa"/>
            <w:vAlign w:val="center"/>
          </w:tcPr>
          <w:p w14:paraId="49BA407F" w14:textId="77777777" w:rsidR="00454A29" w:rsidRDefault="00454A29">
            <w:pPr>
              <w:pStyle w:val="ConsPlusNormal"/>
            </w:pPr>
          </w:p>
        </w:tc>
      </w:tr>
      <w:tr w:rsidR="00454A29" w14:paraId="79501D15" w14:textId="77777777">
        <w:tc>
          <w:tcPr>
            <w:tcW w:w="567" w:type="dxa"/>
            <w:vMerge/>
          </w:tcPr>
          <w:p w14:paraId="5475B354" w14:textId="77777777" w:rsidR="00454A29" w:rsidRDefault="00454A29"/>
        </w:tc>
        <w:tc>
          <w:tcPr>
            <w:tcW w:w="3345" w:type="dxa"/>
            <w:vMerge/>
          </w:tcPr>
          <w:p w14:paraId="426D89DD" w14:textId="77777777" w:rsidR="00454A29" w:rsidRDefault="00454A29"/>
        </w:tc>
        <w:tc>
          <w:tcPr>
            <w:tcW w:w="1701" w:type="dxa"/>
            <w:vAlign w:val="center"/>
          </w:tcPr>
          <w:p w14:paraId="7F4EAFC9" w14:textId="77777777" w:rsidR="00454A29" w:rsidRDefault="00454A29">
            <w:pPr>
              <w:pStyle w:val="ConsPlusNormal"/>
              <w:jc w:val="center"/>
            </w:pPr>
            <w:r>
              <w:t>2021</w:t>
            </w:r>
          </w:p>
        </w:tc>
        <w:tc>
          <w:tcPr>
            <w:tcW w:w="1417" w:type="dxa"/>
            <w:vMerge/>
          </w:tcPr>
          <w:p w14:paraId="08BA9D52" w14:textId="77777777" w:rsidR="00454A29" w:rsidRDefault="00454A29"/>
        </w:tc>
        <w:tc>
          <w:tcPr>
            <w:tcW w:w="2204" w:type="dxa"/>
            <w:vMerge/>
          </w:tcPr>
          <w:p w14:paraId="7A320A75" w14:textId="77777777" w:rsidR="00454A29" w:rsidRDefault="00454A29"/>
        </w:tc>
        <w:tc>
          <w:tcPr>
            <w:tcW w:w="1417" w:type="dxa"/>
            <w:vMerge/>
          </w:tcPr>
          <w:p w14:paraId="6CC82921" w14:textId="77777777" w:rsidR="00454A29" w:rsidRDefault="00454A29"/>
        </w:tc>
        <w:tc>
          <w:tcPr>
            <w:tcW w:w="2324" w:type="dxa"/>
            <w:vMerge/>
          </w:tcPr>
          <w:p w14:paraId="55DED64A" w14:textId="77777777" w:rsidR="00454A29" w:rsidRDefault="00454A29"/>
        </w:tc>
        <w:tc>
          <w:tcPr>
            <w:tcW w:w="1701" w:type="dxa"/>
            <w:vAlign w:val="center"/>
          </w:tcPr>
          <w:p w14:paraId="60CFC619" w14:textId="77777777" w:rsidR="00454A29" w:rsidRDefault="00454A29">
            <w:pPr>
              <w:pStyle w:val="ConsPlusNormal"/>
            </w:pPr>
          </w:p>
        </w:tc>
        <w:tc>
          <w:tcPr>
            <w:tcW w:w="1814" w:type="dxa"/>
            <w:vAlign w:val="center"/>
          </w:tcPr>
          <w:p w14:paraId="1DEF9888" w14:textId="77777777" w:rsidR="00454A29" w:rsidRDefault="00454A29">
            <w:pPr>
              <w:pStyle w:val="ConsPlusNormal"/>
            </w:pPr>
          </w:p>
        </w:tc>
        <w:tc>
          <w:tcPr>
            <w:tcW w:w="1701" w:type="dxa"/>
            <w:vAlign w:val="center"/>
          </w:tcPr>
          <w:p w14:paraId="0BBB5F05" w14:textId="77777777" w:rsidR="00454A29" w:rsidRDefault="00454A29">
            <w:pPr>
              <w:pStyle w:val="ConsPlusNormal"/>
            </w:pPr>
          </w:p>
        </w:tc>
        <w:tc>
          <w:tcPr>
            <w:tcW w:w="1701" w:type="dxa"/>
            <w:vAlign w:val="center"/>
          </w:tcPr>
          <w:p w14:paraId="2E38EC7A" w14:textId="77777777" w:rsidR="00454A29" w:rsidRDefault="00454A29">
            <w:pPr>
              <w:pStyle w:val="ConsPlusNormal"/>
            </w:pPr>
          </w:p>
        </w:tc>
        <w:tc>
          <w:tcPr>
            <w:tcW w:w="1814" w:type="dxa"/>
            <w:vAlign w:val="center"/>
          </w:tcPr>
          <w:p w14:paraId="58D4DDDC" w14:textId="77777777" w:rsidR="00454A29" w:rsidRDefault="00454A29">
            <w:pPr>
              <w:pStyle w:val="ConsPlusNormal"/>
            </w:pPr>
          </w:p>
        </w:tc>
      </w:tr>
      <w:tr w:rsidR="00454A29" w14:paraId="4A004960" w14:textId="77777777">
        <w:tc>
          <w:tcPr>
            <w:tcW w:w="567" w:type="dxa"/>
            <w:vMerge/>
          </w:tcPr>
          <w:p w14:paraId="11789881" w14:textId="77777777" w:rsidR="00454A29" w:rsidRDefault="00454A29"/>
        </w:tc>
        <w:tc>
          <w:tcPr>
            <w:tcW w:w="3345" w:type="dxa"/>
            <w:vMerge/>
          </w:tcPr>
          <w:p w14:paraId="5A7F59AA" w14:textId="77777777" w:rsidR="00454A29" w:rsidRDefault="00454A29"/>
        </w:tc>
        <w:tc>
          <w:tcPr>
            <w:tcW w:w="1701" w:type="dxa"/>
            <w:vAlign w:val="center"/>
          </w:tcPr>
          <w:p w14:paraId="629FAF90" w14:textId="77777777" w:rsidR="00454A29" w:rsidRDefault="00454A29">
            <w:pPr>
              <w:pStyle w:val="ConsPlusNormal"/>
              <w:jc w:val="center"/>
            </w:pPr>
            <w:r>
              <w:t>2022</w:t>
            </w:r>
          </w:p>
        </w:tc>
        <w:tc>
          <w:tcPr>
            <w:tcW w:w="1417" w:type="dxa"/>
            <w:vMerge/>
          </w:tcPr>
          <w:p w14:paraId="231F1B3B" w14:textId="77777777" w:rsidR="00454A29" w:rsidRDefault="00454A29"/>
        </w:tc>
        <w:tc>
          <w:tcPr>
            <w:tcW w:w="2204" w:type="dxa"/>
            <w:vMerge/>
          </w:tcPr>
          <w:p w14:paraId="7B6459D5" w14:textId="77777777" w:rsidR="00454A29" w:rsidRDefault="00454A29"/>
        </w:tc>
        <w:tc>
          <w:tcPr>
            <w:tcW w:w="1417" w:type="dxa"/>
            <w:vMerge/>
          </w:tcPr>
          <w:p w14:paraId="53D73172" w14:textId="77777777" w:rsidR="00454A29" w:rsidRDefault="00454A29"/>
        </w:tc>
        <w:tc>
          <w:tcPr>
            <w:tcW w:w="2324" w:type="dxa"/>
            <w:vMerge/>
          </w:tcPr>
          <w:p w14:paraId="0190C001" w14:textId="77777777" w:rsidR="00454A29" w:rsidRDefault="00454A29"/>
        </w:tc>
        <w:tc>
          <w:tcPr>
            <w:tcW w:w="1701" w:type="dxa"/>
            <w:vAlign w:val="center"/>
          </w:tcPr>
          <w:p w14:paraId="292294D2" w14:textId="77777777" w:rsidR="00454A29" w:rsidRDefault="00454A29">
            <w:pPr>
              <w:pStyle w:val="ConsPlusNormal"/>
            </w:pPr>
          </w:p>
        </w:tc>
        <w:tc>
          <w:tcPr>
            <w:tcW w:w="1814" w:type="dxa"/>
            <w:vAlign w:val="center"/>
          </w:tcPr>
          <w:p w14:paraId="2EB40772" w14:textId="77777777" w:rsidR="00454A29" w:rsidRDefault="00454A29">
            <w:pPr>
              <w:pStyle w:val="ConsPlusNormal"/>
            </w:pPr>
          </w:p>
        </w:tc>
        <w:tc>
          <w:tcPr>
            <w:tcW w:w="1701" w:type="dxa"/>
            <w:vAlign w:val="center"/>
          </w:tcPr>
          <w:p w14:paraId="4B8E6682" w14:textId="77777777" w:rsidR="00454A29" w:rsidRDefault="00454A29">
            <w:pPr>
              <w:pStyle w:val="ConsPlusNormal"/>
            </w:pPr>
          </w:p>
        </w:tc>
        <w:tc>
          <w:tcPr>
            <w:tcW w:w="1701" w:type="dxa"/>
            <w:vAlign w:val="center"/>
          </w:tcPr>
          <w:p w14:paraId="30FF735D" w14:textId="77777777" w:rsidR="00454A29" w:rsidRDefault="00454A29">
            <w:pPr>
              <w:pStyle w:val="ConsPlusNormal"/>
            </w:pPr>
          </w:p>
        </w:tc>
        <w:tc>
          <w:tcPr>
            <w:tcW w:w="1814" w:type="dxa"/>
            <w:vAlign w:val="center"/>
          </w:tcPr>
          <w:p w14:paraId="52F988C2" w14:textId="77777777" w:rsidR="00454A29" w:rsidRDefault="00454A29">
            <w:pPr>
              <w:pStyle w:val="ConsPlusNormal"/>
            </w:pPr>
          </w:p>
        </w:tc>
      </w:tr>
      <w:tr w:rsidR="00454A29" w14:paraId="3D8CD6AE" w14:textId="77777777">
        <w:tc>
          <w:tcPr>
            <w:tcW w:w="567" w:type="dxa"/>
            <w:vMerge/>
          </w:tcPr>
          <w:p w14:paraId="080BCBFC" w14:textId="77777777" w:rsidR="00454A29" w:rsidRDefault="00454A29"/>
        </w:tc>
        <w:tc>
          <w:tcPr>
            <w:tcW w:w="3345" w:type="dxa"/>
            <w:vMerge/>
          </w:tcPr>
          <w:p w14:paraId="479D296F" w14:textId="77777777" w:rsidR="00454A29" w:rsidRDefault="00454A29"/>
        </w:tc>
        <w:tc>
          <w:tcPr>
            <w:tcW w:w="1701" w:type="dxa"/>
            <w:vAlign w:val="center"/>
          </w:tcPr>
          <w:p w14:paraId="734B6B93" w14:textId="77777777" w:rsidR="00454A29" w:rsidRDefault="00454A29">
            <w:pPr>
              <w:pStyle w:val="ConsPlusNormal"/>
              <w:jc w:val="center"/>
            </w:pPr>
            <w:r>
              <w:t>2023</w:t>
            </w:r>
          </w:p>
        </w:tc>
        <w:tc>
          <w:tcPr>
            <w:tcW w:w="1417" w:type="dxa"/>
            <w:vMerge/>
          </w:tcPr>
          <w:p w14:paraId="2F6AE7F4" w14:textId="77777777" w:rsidR="00454A29" w:rsidRDefault="00454A29"/>
        </w:tc>
        <w:tc>
          <w:tcPr>
            <w:tcW w:w="2204" w:type="dxa"/>
            <w:vMerge/>
          </w:tcPr>
          <w:p w14:paraId="335157BB" w14:textId="77777777" w:rsidR="00454A29" w:rsidRDefault="00454A29"/>
        </w:tc>
        <w:tc>
          <w:tcPr>
            <w:tcW w:w="1417" w:type="dxa"/>
            <w:vMerge/>
          </w:tcPr>
          <w:p w14:paraId="529F5D7A" w14:textId="77777777" w:rsidR="00454A29" w:rsidRDefault="00454A29"/>
        </w:tc>
        <w:tc>
          <w:tcPr>
            <w:tcW w:w="2324" w:type="dxa"/>
            <w:vMerge/>
          </w:tcPr>
          <w:p w14:paraId="46D1E22B" w14:textId="77777777" w:rsidR="00454A29" w:rsidRDefault="00454A29"/>
        </w:tc>
        <w:tc>
          <w:tcPr>
            <w:tcW w:w="1701" w:type="dxa"/>
            <w:vAlign w:val="center"/>
          </w:tcPr>
          <w:p w14:paraId="7CDE6515" w14:textId="77777777" w:rsidR="00454A29" w:rsidRDefault="00454A29">
            <w:pPr>
              <w:pStyle w:val="ConsPlusNormal"/>
              <w:jc w:val="center"/>
            </w:pPr>
            <w:r>
              <w:t>-</w:t>
            </w:r>
          </w:p>
        </w:tc>
        <w:tc>
          <w:tcPr>
            <w:tcW w:w="1814" w:type="dxa"/>
            <w:vAlign w:val="center"/>
          </w:tcPr>
          <w:p w14:paraId="7AD8D22F" w14:textId="77777777" w:rsidR="00454A29" w:rsidRDefault="00454A29">
            <w:pPr>
              <w:pStyle w:val="ConsPlusNormal"/>
              <w:jc w:val="center"/>
            </w:pPr>
            <w:r>
              <w:t>-</w:t>
            </w:r>
          </w:p>
        </w:tc>
        <w:tc>
          <w:tcPr>
            <w:tcW w:w="1701" w:type="dxa"/>
            <w:vAlign w:val="center"/>
          </w:tcPr>
          <w:p w14:paraId="6B044324" w14:textId="77777777" w:rsidR="00454A29" w:rsidRDefault="00454A29">
            <w:pPr>
              <w:pStyle w:val="ConsPlusNormal"/>
            </w:pPr>
          </w:p>
        </w:tc>
        <w:tc>
          <w:tcPr>
            <w:tcW w:w="1701" w:type="dxa"/>
            <w:vAlign w:val="center"/>
          </w:tcPr>
          <w:p w14:paraId="1D90B5D7" w14:textId="77777777" w:rsidR="00454A29" w:rsidRDefault="00454A29">
            <w:pPr>
              <w:pStyle w:val="ConsPlusNormal"/>
            </w:pPr>
          </w:p>
        </w:tc>
        <w:tc>
          <w:tcPr>
            <w:tcW w:w="1814" w:type="dxa"/>
            <w:vAlign w:val="center"/>
          </w:tcPr>
          <w:p w14:paraId="539CB306" w14:textId="77777777" w:rsidR="00454A29" w:rsidRDefault="00454A29">
            <w:pPr>
              <w:pStyle w:val="ConsPlusNormal"/>
            </w:pPr>
          </w:p>
        </w:tc>
      </w:tr>
      <w:tr w:rsidR="00454A29" w14:paraId="303D5798" w14:textId="77777777">
        <w:tc>
          <w:tcPr>
            <w:tcW w:w="567" w:type="dxa"/>
            <w:vMerge/>
          </w:tcPr>
          <w:p w14:paraId="5F14A175" w14:textId="77777777" w:rsidR="00454A29" w:rsidRDefault="00454A29"/>
        </w:tc>
        <w:tc>
          <w:tcPr>
            <w:tcW w:w="3345" w:type="dxa"/>
            <w:vMerge/>
          </w:tcPr>
          <w:p w14:paraId="3582F3F3" w14:textId="77777777" w:rsidR="00454A29" w:rsidRDefault="00454A29"/>
        </w:tc>
        <w:tc>
          <w:tcPr>
            <w:tcW w:w="1701" w:type="dxa"/>
            <w:vAlign w:val="center"/>
          </w:tcPr>
          <w:p w14:paraId="7BD58113" w14:textId="77777777" w:rsidR="00454A29" w:rsidRDefault="00454A29">
            <w:pPr>
              <w:pStyle w:val="ConsPlusNormal"/>
              <w:jc w:val="center"/>
            </w:pPr>
            <w:r>
              <w:t>2024</w:t>
            </w:r>
          </w:p>
        </w:tc>
        <w:tc>
          <w:tcPr>
            <w:tcW w:w="1417" w:type="dxa"/>
            <w:vMerge/>
          </w:tcPr>
          <w:p w14:paraId="48C5A0E6" w14:textId="77777777" w:rsidR="00454A29" w:rsidRDefault="00454A29"/>
        </w:tc>
        <w:tc>
          <w:tcPr>
            <w:tcW w:w="2204" w:type="dxa"/>
            <w:vMerge/>
          </w:tcPr>
          <w:p w14:paraId="60BA8014" w14:textId="77777777" w:rsidR="00454A29" w:rsidRDefault="00454A29"/>
        </w:tc>
        <w:tc>
          <w:tcPr>
            <w:tcW w:w="1417" w:type="dxa"/>
            <w:vMerge/>
          </w:tcPr>
          <w:p w14:paraId="6DD06803" w14:textId="77777777" w:rsidR="00454A29" w:rsidRDefault="00454A29"/>
        </w:tc>
        <w:tc>
          <w:tcPr>
            <w:tcW w:w="2324" w:type="dxa"/>
            <w:vMerge/>
          </w:tcPr>
          <w:p w14:paraId="6F3338BE" w14:textId="77777777" w:rsidR="00454A29" w:rsidRDefault="00454A29"/>
        </w:tc>
        <w:tc>
          <w:tcPr>
            <w:tcW w:w="1701" w:type="dxa"/>
            <w:vAlign w:val="center"/>
          </w:tcPr>
          <w:p w14:paraId="1B14C264" w14:textId="77777777" w:rsidR="00454A29" w:rsidRDefault="00454A29">
            <w:pPr>
              <w:pStyle w:val="ConsPlusNormal"/>
              <w:jc w:val="center"/>
            </w:pPr>
            <w:r>
              <w:t>-</w:t>
            </w:r>
          </w:p>
        </w:tc>
        <w:tc>
          <w:tcPr>
            <w:tcW w:w="1814" w:type="dxa"/>
            <w:vAlign w:val="center"/>
          </w:tcPr>
          <w:p w14:paraId="0672496D" w14:textId="77777777" w:rsidR="00454A29" w:rsidRDefault="00454A29">
            <w:pPr>
              <w:pStyle w:val="ConsPlusNormal"/>
              <w:jc w:val="center"/>
            </w:pPr>
            <w:r>
              <w:t>-</w:t>
            </w:r>
          </w:p>
        </w:tc>
        <w:tc>
          <w:tcPr>
            <w:tcW w:w="1701" w:type="dxa"/>
            <w:vAlign w:val="center"/>
          </w:tcPr>
          <w:p w14:paraId="69779EEE" w14:textId="77777777" w:rsidR="00454A29" w:rsidRDefault="00454A29">
            <w:pPr>
              <w:pStyle w:val="ConsPlusNormal"/>
            </w:pPr>
          </w:p>
        </w:tc>
        <w:tc>
          <w:tcPr>
            <w:tcW w:w="1701" w:type="dxa"/>
            <w:vAlign w:val="center"/>
          </w:tcPr>
          <w:p w14:paraId="2D19037A" w14:textId="77777777" w:rsidR="00454A29" w:rsidRDefault="00454A29">
            <w:pPr>
              <w:pStyle w:val="ConsPlusNormal"/>
            </w:pPr>
          </w:p>
        </w:tc>
        <w:tc>
          <w:tcPr>
            <w:tcW w:w="1814" w:type="dxa"/>
            <w:vAlign w:val="center"/>
          </w:tcPr>
          <w:p w14:paraId="33A73231" w14:textId="77777777" w:rsidR="00454A29" w:rsidRDefault="00454A29">
            <w:pPr>
              <w:pStyle w:val="ConsPlusNormal"/>
            </w:pPr>
          </w:p>
        </w:tc>
      </w:tr>
      <w:tr w:rsidR="00454A29" w14:paraId="6F0D7B03" w14:textId="77777777">
        <w:tc>
          <w:tcPr>
            <w:tcW w:w="567" w:type="dxa"/>
            <w:vMerge/>
          </w:tcPr>
          <w:p w14:paraId="3C563B3C" w14:textId="77777777" w:rsidR="00454A29" w:rsidRDefault="00454A29"/>
        </w:tc>
        <w:tc>
          <w:tcPr>
            <w:tcW w:w="3345" w:type="dxa"/>
            <w:vMerge/>
          </w:tcPr>
          <w:p w14:paraId="532B3E8B" w14:textId="77777777" w:rsidR="00454A29" w:rsidRDefault="00454A29"/>
        </w:tc>
        <w:tc>
          <w:tcPr>
            <w:tcW w:w="1701" w:type="dxa"/>
            <w:vAlign w:val="center"/>
          </w:tcPr>
          <w:p w14:paraId="3D0B3ADB" w14:textId="77777777" w:rsidR="00454A29" w:rsidRDefault="00454A29">
            <w:pPr>
              <w:pStyle w:val="ConsPlusNormal"/>
              <w:jc w:val="center"/>
            </w:pPr>
            <w:r>
              <w:t>2025</w:t>
            </w:r>
          </w:p>
        </w:tc>
        <w:tc>
          <w:tcPr>
            <w:tcW w:w="1417" w:type="dxa"/>
            <w:vMerge/>
          </w:tcPr>
          <w:p w14:paraId="72DDADA9" w14:textId="77777777" w:rsidR="00454A29" w:rsidRDefault="00454A29"/>
        </w:tc>
        <w:tc>
          <w:tcPr>
            <w:tcW w:w="2204" w:type="dxa"/>
            <w:vMerge/>
          </w:tcPr>
          <w:p w14:paraId="3D5C1EE3" w14:textId="77777777" w:rsidR="00454A29" w:rsidRDefault="00454A29"/>
        </w:tc>
        <w:tc>
          <w:tcPr>
            <w:tcW w:w="1417" w:type="dxa"/>
            <w:vMerge/>
          </w:tcPr>
          <w:p w14:paraId="1219B2EC" w14:textId="77777777" w:rsidR="00454A29" w:rsidRDefault="00454A29"/>
        </w:tc>
        <w:tc>
          <w:tcPr>
            <w:tcW w:w="2324" w:type="dxa"/>
            <w:vMerge/>
          </w:tcPr>
          <w:p w14:paraId="7EF1D402" w14:textId="77777777" w:rsidR="00454A29" w:rsidRDefault="00454A29"/>
        </w:tc>
        <w:tc>
          <w:tcPr>
            <w:tcW w:w="1701" w:type="dxa"/>
            <w:vAlign w:val="center"/>
          </w:tcPr>
          <w:p w14:paraId="1E5F4D7C" w14:textId="77777777" w:rsidR="00454A29" w:rsidRDefault="00454A29">
            <w:pPr>
              <w:pStyle w:val="ConsPlusNormal"/>
            </w:pPr>
          </w:p>
        </w:tc>
        <w:tc>
          <w:tcPr>
            <w:tcW w:w="1814" w:type="dxa"/>
            <w:vAlign w:val="center"/>
          </w:tcPr>
          <w:p w14:paraId="492C5228" w14:textId="77777777" w:rsidR="00454A29" w:rsidRDefault="00454A29">
            <w:pPr>
              <w:pStyle w:val="ConsPlusNormal"/>
            </w:pPr>
          </w:p>
        </w:tc>
        <w:tc>
          <w:tcPr>
            <w:tcW w:w="1701" w:type="dxa"/>
            <w:vAlign w:val="center"/>
          </w:tcPr>
          <w:p w14:paraId="4458A6A4" w14:textId="77777777" w:rsidR="00454A29" w:rsidRDefault="00454A29">
            <w:pPr>
              <w:pStyle w:val="ConsPlusNormal"/>
            </w:pPr>
          </w:p>
        </w:tc>
        <w:tc>
          <w:tcPr>
            <w:tcW w:w="1701" w:type="dxa"/>
            <w:vAlign w:val="center"/>
          </w:tcPr>
          <w:p w14:paraId="17FDC0D1" w14:textId="77777777" w:rsidR="00454A29" w:rsidRDefault="00454A29">
            <w:pPr>
              <w:pStyle w:val="ConsPlusNormal"/>
            </w:pPr>
          </w:p>
        </w:tc>
        <w:tc>
          <w:tcPr>
            <w:tcW w:w="1814" w:type="dxa"/>
            <w:vAlign w:val="center"/>
          </w:tcPr>
          <w:p w14:paraId="7CDAC03A" w14:textId="77777777" w:rsidR="00454A29" w:rsidRDefault="00454A29">
            <w:pPr>
              <w:pStyle w:val="ConsPlusNormal"/>
            </w:pPr>
          </w:p>
        </w:tc>
      </w:tr>
      <w:tr w:rsidR="00454A29" w14:paraId="2848371D" w14:textId="77777777">
        <w:tc>
          <w:tcPr>
            <w:tcW w:w="567" w:type="dxa"/>
            <w:vMerge/>
          </w:tcPr>
          <w:p w14:paraId="73350B5C" w14:textId="77777777" w:rsidR="00454A29" w:rsidRDefault="00454A29"/>
        </w:tc>
        <w:tc>
          <w:tcPr>
            <w:tcW w:w="3345" w:type="dxa"/>
            <w:vMerge/>
          </w:tcPr>
          <w:p w14:paraId="5501D091" w14:textId="77777777" w:rsidR="00454A29" w:rsidRDefault="00454A29"/>
        </w:tc>
        <w:tc>
          <w:tcPr>
            <w:tcW w:w="1701" w:type="dxa"/>
            <w:vAlign w:val="center"/>
          </w:tcPr>
          <w:p w14:paraId="41AB262A" w14:textId="77777777" w:rsidR="00454A29" w:rsidRDefault="00454A29">
            <w:pPr>
              <w:pStyle w:val="ConsPlusNormal"/>
              <w:jc w:val="center"/>
            </w:pPr>
            <w:r>
              <w:t>2026</w:t>
            </w:r>
          </w:p>
        </w:tc>
        <w:tc>
          <w:tcPr>
            <w:tcW w:w="1417" w:type="dxa"/>
            <w:vMerge/>
          </w:tcPr>
          <w:p w14:paraId="5DE3EAC7" w14:textId="77777777" w:rsidR="00454A29" w:rsidRDefault="00454A29"/>
        </w:tc>
        <w:tc>
          <w:tcPr>
            <w:tcW w:w="2204" w:type="dxa"/>
            <w:vMerge/>
          </w:tcPr>
          <w:p w14:paraId="0BB2C61D" w14:textId="77777777" w:rsidR="00454A29" w:rsidRDefault="00454A29"/>
        </w:tc>
        <w:tc>
          <w:tcPr>
            <w:tcW w:w="1417" w:type="dxa"/>
            <w:vMerge/>
          </w:tcPr>
          <w:p w14:paraId="6466F6A3" w14:textId="77777777" w:rsidR="00454A29" w:rsidRDefault="00454A29"/>
        </w:tc>
        <w:tc>
          <w:tcPr>
            <w:tcW w:w="2324" w:type="dxa"/>
            <w:vMerge/>
          </w:tcPr>
          <w:p w14:paraId="5D10BC94" w14:textId="77777777" w:rsidR="00454A29" w:rsidRDefault="00454A29"/>
        </w:tc>
        <w:tc>
          <w:tcPr>
            <w:tcW w:w="1701" w:type="dxa"/>
            <w:vAlign w:val="center"/>
          </w:tcPr>
          <w:p w14:paraId="661F7326" w14:textId="77777777" w:rsidR="00454A29" w:rsidRDefault="00454A29">
            <w:pPr>
              <w:pStyle w:val="ConsPlusNormal"/>
              <w:jc w:val="center"/>
            </w:pPr>
            <w:r>
              <w:t>420 044,60</w:t>
            </w:r>
          </w:p>
        </w:tc>
        <w:tc>
          <w:tcPr>
            <w:tcW w:w="1814" w:type="dxa"/>
            <w:vAlign w:val="center"/>
          </w:tcPr>
          <w:p w14:paraId="5F915C88" w14:textId="77777777" w:rsidR="00454A29" w:rsidRDefault="00454A29">
            <w:pPr>
              <w:pStyle w:val="ConsPlusNormal"/>
              <w:jc w:val="center"/>
            </w:pPr>
            <w:r>
              <w:t>5 174,95</w:t>
            </w:r>
          </w:p>
        </w:tc>
        <w:tc>
          <w:tcPr>
            <w:tcW w:w="1701" w:type="dxa"/>
            <w:vAlign w:val="center"/>
          </w:tcPr>
          <w:p w14:paraId="6697C48A" w14:textId="77777777" w:rsidR="00454A29" w:rsidRDefault="00454A29">
            <w:pPr>
              <w:pStyle w:val="ConsPlusNormal"/>
              <w:jc w:val="center"/>
            </w:pPr>
            <w:r>
              <w:t>512 319,99</w:t>
            </w:r>
          </w:p>
        </w:tc>
        <w:tc>
          <w:tcPr>
            <w:tcW w:w="1701" w:type="dxa"/>
            <w:vAlign w:val="center"/>
          </w:tcPr>
          <w:p w14:paraId="675BDAFD" w14:textId="77777777" w:rsidR="00454A29" w:rsidRDefault="00454A29">
            <w:pPr>
              <w:pStyle w:val="ConsPlusNormal"/>
            </w:pPr>
          </w:p>
        </w:tc>
        <w:tc>
          <w:tcPr>
            <w:tcW w:w="1814" w:type="dxa"/>
            <w:vAlign w:val="center"/>
          </w:tcPr>
          <w:p w14:paraId="49ED1B96" w14:textId="77777777" w:rsidR="00454A29" w:rsidRDefault="00454A29">
            <w:pPr>
              <w:pStyle w:val="ConsPlusNormal"/>
            </w:pPr>
          </w:p>
        </w:tc>
      </w:tr>
      <w:tr w:rsidR="00454A29" w14:paraId="175CC5B2" w14:textId="77777777">
        <w:tc>
          <w:tcPr>
            <w:tcW w:w="567" w:type="dxa"/>
            <w:vMerge w:val="restart"/>
            <w:vAlign w:val="center"/>
          </w:tcPr>
          <w:p w14:paraId="75772368" w14:textId="77777777" w:rsidR="00454A29" w:rsidRDefault="00454A29">
            <w:pPr>
              <w:pStyle w:val="ConsPlusNormal"/>
              <w:jc w:val="center"/>
            </w:pPr>
            <w:r>
              <w:t>106</w:t>
            </w:r>
          </w:p>
        </w:tc>
        <w:tc>
          <w:tcPr>
            <w:tcW w:w="3345" w:type="dxa"/>
            <w:vMerge w:val="restart"/>
            <w:vAlign w:val="center"/>
          </w:tcPr>
          <w:p w14:paraId="76963EBF" w14:textId="77777777" w:rsidR="00454A29" w:rsidRDefault="00454A29">
            <w:pPr>
              <w:pStyle w:val="ConsPlusNormal"/>
              <w:jc w:val="center"/>
            </w:pPr>
            <w:r>
              <w:t>Школа на 220 учащихся в г. Олекминск</w:t>
            </w:r>
          </w:p>
        </w:tc>
        <w:tc>
          <w:tcPr>
            <w:tcW w:w="1701" w:type="dxa"/>
            <w:vAlign w:val="center"/>
          </w:tcPr>
          <w:p w14:paraId="7CF209DD" w14:textId="77777777" w:rsidR="00454A29" w:rsidRDefault="00454A29">
            <w:pPr>
              <w:pStyle w:val="ConsPlusNormal"/>
              <w:jc w:val="center"/>
            </w:pPr>
            <w:r>
              <w:t>2020 - 2026 годы - всего</w:t>
            </w:r>
          </w:p>
        </w:tc>
        <w:tc>
          <w:tcPr>
            <w:tcW w:w="1417" w:type="dxa"/>
            <w:vMerge w:val="restart"/>
            <w:vAlign w:val="center"/>
          </w:tcPr>
          <w:p w14:paraId="6C715373" w14:textId="77777777" w:rsidR="00454A29" w:rsidRDefault="00454A29">
            <w:pPr>
              <w:pStyle w:val="ConsPlusNormal"/>
              <w:jc w:val="center"/>
            </w:pPr>
            <w:r>
              <w:t>588 982,87</w:t>
            </w:r>
          </w:p>
        </w:tc>
        <w:tc>
          <w:tcPr>
            <w:tcW w:w="2204" w:type="dxa"/>
            <w:vMerge w:val="restart"/>
            <w:vAlign w:val="center"/>
          </w:tcPr>
          <w:p w14:paraId="529B5FD5" w14:textId="77777777" w:rsidR="00454A29" w:rsidRDefault="00454A29">
            <w:pPr>
              <w:pStyle w:val="ConsPlusNormal"/>
            </w:pPr>
          </w:p>
        </w:tc>
        <w:tc>
          <w:tcPr>
            <w:tcW w:w="1417" w:type="dxa"/>
            <w:vMerge w:val="restart"/>
            <w:vAlign w:val="center"/>
          </w:tcPr>
          <w:p w14:paraId="2DB84E5D" w14:textId="77777777" w:rsidR="00454A29" w:rsidRDefault="00454A29">
            <w:pPr>
              <w:pStyle w:val="ConsPlusNormal"/>
              <w:jc w:val="center"/>
            </w:pPr>
            <w:r>
              <w:t>220</w:t>
            </w:r>
          </w:p>
        </w:tc>
        <w:tc>
          <w:tcPr>
            <w:tcW w:w="2324" w:type="dxa"/>
            <w:vMerge w:val="restart"/>
            <w:vAlign w:val="center"/>
          </w:tcPr>
          <w:p w14:paraId="12A3136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52C83E1" w14:textId="77777777" w:rsidR="00454A29" w:rsidRDefault="00454A29">
            <w:pPr>
              <w:pStyle w:val="ConsPlusNormal"/>
              <w:jc w:val="center"/>
            </w:pPr>
            <w:r>
              <w:t>588 982,87</w:t>
            </w:r>
          </w:p>
        </w:tc>
        <w:tc>
          <w:tcPr>
            <w:tcW w:w="1814" w:type="dxa"/>
            <w:vAlign w:val="center"/>
          </w:tcPr>
          <w:p w14:paraId="67CC1552" w14:textId="77777777" w:rsidR="00454A29" w:rsidRDefault="00454A29">
            <w:pPr>
              <w:pStyle w:val="ConsPlusNormal"/>
              <w:jc w:val="center"/>
            </w:pPr>
            <w:r>
              <w:t>7 256,27</w:t>
            </w:r>
          </w:p>
        </w:tc>
        <w:tc>
          <w:tcPr>
            <w:tcW w:w="1701" w:type="dxa"/>
            <w:vAlign w:val="center"/>
          </w:tcPr>
          <w:p w14:paraId="1B5AC8AD" w14:textId="77777777" w:rsidR="00454A29" w:rsidRDefault="00454A29">
            <w:pPr>
              <w:pStyle w:val="ConsPlusNormal"/>
              <w:jc w:val="center"/>
            </w:pPr>
            <w:r>
              <w:t>718 370,63</w:t>
            </w:r>
          </w:p>
        </w:tc>
        <w:tc>
          <w:tcPr>
            <w:tcW w:w="1701" w:type="dxa"/>
            <w:vAlign w:val="center"/>
          </w:tcPr>
          <w:p w14:paraId="04D15F2E" w14:textId="77777777" w:rsidR="00454A29" w:rsidRDefault="00454A29">
            <w:pPr>
              <w:pStyle w:val="ConsPlusNormal"/>
              <w:jc w:val="center"/>
            </w:pPr>
            <w:r>
              <w:t>-</w:t>
            </w:r>
          </w:p>
        </w:tc>
        <w:tc>
          <w:tcPr>
            <w:tcW w:w="1814" w:type="dxa"/>
            <w:vAlign w:val="center"/>
          </w:tcPr>
          <w:p w14:paraId="6F3D2261" w14:textId="77777777" w:rsidR="00454A29" w:rsidRDefault="00454A29">
            <w:pPr>
              <w:pStyle w:val="ConsPlusNormal"/>
              <w:jc w:val="center"/>
            </w:pPr>
            <w:r>
              <w:t>-</w:t>
            </w:r>
          </w:p>
        </w:tc>
      </w:tr>
      <w:tr w:rsidR="00454A29" w14:paraId="6EFBE454" w14:textId="77777777">
        <w:tc>
          <w:tcPr>
            <w:tcW w:w="567" w:type="dxa"/>
            <w:vMerge/>
          </w:tcPr>
          <w:p w14:paraId="5D190B37" w14:textId="77777777" w:rsidR="00454A29" w:rsidRDefault="00454A29"/>
        </w:tc>
        <w:tc>
          <w:tcPr>
            <w:tcW w:w="3345" w:type="dxa"/>
            <w:vMerge/>
          </w:tcPr>
          <w:p w14:paraId="24D016BF" w14:textId="77777777" w:rsidR="00454A29" w:rsidRDefault="00454A29"/>
        </w:tc>
        <w:tc>
          <w:tcPr>
            <w:tcW w:w="1701" w:type="dxa"/>
            <w:vAlign w:val="center"/>
          </w:tcPr>
          <w:p w14:paraId="5E056817" w14:textId="77777777" w:rsidR="00454A29" w:rsidRDefault="00454A29">
            <w:pPr>
              <w:pStyle w:val="ConsPlusNormal"/>
              <w:jc w:val="center"/>
            </w:pPr>
            <w:r>
              <w:t>2020</w:t>
            </w:r>
          </w:p>
        </w:tc>
        <w:tc>
          <w:tcPr>
            <w:tcW w:w="1417" w:type="dxa"/>
            <w:vMerge/>
          </w:tcPr>
          <w:p w14:paraId="107717DF" w14:textId="77777777" w:rsidR="00454A29" w:rsidRDefault="00454A29"/>
        </w:tc>
        <w:tc>
          <w:tcPr>
            <w:tcW w:w="2204" w:type="dxa"/>
            <w:vMerge/>
          </w:tcPr>
          <w:p w14:paraId="43DB6D80" w14:textId="77777777" w:rsidR="00454A29" w:rsidRDefault="00454A29"/>
        </w:tc>
        <w:tc>
          <w:tcPr>
            <w:tcW w:w="1417" w:type="dxa"/>
            <w:vMerge/>
          </w:tcPr>
          <w:p w14:paraId="540496C6" w14:textId="77777777" w:rsidR="00454A29" w:rsidRDefault="00454A29"/>
        </w:tc>
        <w:tc>
          <w:tcPr>
            <w:tcW w:w="2324" w:type="dxa"/>
            <w:vMerge/>
          </w:tcPr>
          <w:p w14:paraId="4F190A83" w14:textId="77777777" w:rsidR="00454A29" w:rsidRDefault="00454A29"/>
        </w:tc>
        <w:tc>
          <w:tcPr>
            <w:tcW w:w="1701" w:type="dxa"/>
            <w:vAlign w:val="center"/>
          </w:tcPr>
          <w:p w14:paraId="0EB5229A" w14:textId="77777777" w:rsidR="00454A29" w:rsidRDefault="00454A29">
            <w:pPr>
              <w:pStyle w:val="ConsPlusNormal"/>
            </w:pPr>
          </w:p>
        </w:tc>
        <w:tc>
          <w:tcPr>
            <w:tcW w:w="1814" w:type="dxa"/>
            <w:vAlign w:val="center"/>
          </w:tcPr>
          <w:p w14:paraId="55FD2DB5" w14:textId="77777777" w:rsidR="00454A29" w:rsidRDefault="00454A29">
            <w:pPr>
              <w:pStyle w:val="ConsPlusNormal"/>
            </w:pPr>
          </w:p>
        </w:tc>
        <w:tc>
          <w:tcPr>
            <w:tcW w:w="1701" w:type="dxa"/>
            <w:vAlign w:val="center"/>
          </w:tcPr>
          <w:p w14:paraId="6CCF68B2" w14:textId="77777777" w:rsidR="00454A29" w:rsidRDefault="00454A29">
            <w:pPr>
              <w:pStyle w:val="ConsPlusNormal"/>
            </w:pPr>
          </w:p>
        </w:tc>
        <w:tc>
          <w:tcPr>
            <w:tcW w:w="1701" w:type="dxa"/>
            <w:vAlign w:val="center"/>
          </w:tcPr>
          <w:p w14:paraId="6BF05CBD" w14:textId="77777777" w:rsidR="00454A29" w:rsidRDefault="00454A29">
            <w:pPr>
              <w:pStyle w:val="ConsPlusNormal"/>
            </w:pPr>
          </w:p>
        </w:tc>
        <w:tc>
          <w:tcPr>
            <w:tcW w:w="1814" w:type="dxa"/>
            <w:vAlign w:val="center"/>
          </w:tcPr>
          <w:p w14:paraId="7F22A409" w14:textId="77777777" w:rsidR="00454A29" w:rsidRDefault="00454A29">
            <w:pPr>
              <w:pStyle w:val="ConsPlusNormal"/>
            </w:pPr>
          </w:p>
        </w:tc>
      </w:tr>
      <w:tr w:rsidR="00454A29" w14:paraId="59C953F4" w14:textId="77777777">
        <w:tc>
          <w:tcPr>
            <w:tcW w:w="567" w:type="dxa"/>
            <w:vMerge/>
          </w:tcPr>
          <w:p w14:paraId="50735C7B" w14:textId="77777777" w:rsidR="00454A29" w:rsidRDefault="00454A29"/>
        </w:tc>
        <w:tc>
          <w:tcPr>
            <w:tcW w:w="3345" w:type="dxa"/>
            <w:vMerge/>
          </w:tcPr>
          <w:p w14:paraId="74AFBF29" w14:textId="77777777" w:rsidR="00454A29" w:rsidRDefault="00454A29"/>
        </w:tc>
        <w:tc>
          <w:tcPr>
            <w:tcW w:w="1701" w:type="dxa"/>
            <w:vAlign w:val="center"/>
          </w:tcPr>
          <w:p w14:paraId="154577FD" w14:textId="77777777" w:rsidR="00454A29" w:rsidRDefault="00454A29">
            <w:pPr>
              <w:pStyle w:val="ConsPlusNormal"/>
              <w:jc w:val="center"/>
            </w:pPr>
            <w:r>
              <w:t>2021</w:t>
            </w:r>
          </w:p>
        </w:tc>
        <w:tc>
          <w:tcPr>
            <w:tcW w:w="1417" w:type="dxa"/>
            <w:vMerge/>
          </w:tcPr>
          <w:p w14:paraId="2518F490" w14:textId="77777777" w:rsidR="00454A29" w:rsidRDefault="00454A29"/>
        </w:tc>
        <w:tc>
          <w:tcPr>
            <w:tcW w:w="2204" w:type="dxa"/>
            <w:vMerge/>
          </w:tcPr>
          <w:p w14:paraId="496AEF03" w14:textId="77777777" w:rsidR="00454A29" w:rsidRDefault="00454A29"/>
        </w:tc>
        <w:tc>
          <w:tcPr>
            <w:tcW w:w="1417" w:type="dxa"/>
            <w:vMerge/>
          </w:tcPr>
          <w:p w14:paraId="2660107F" w14:textId="77777777" w:rsidR="00454A29" w:rsidRDefault="00454A29"/>
        </w:tc>
        <w:tc>
          <w:tcPr>
            <w:tcW w:w="2324" w:type="dxa"/>
            <w:vMerge/>
          </w:tcPr>
          <w:p w14:paraId="4E6599C6" w14:textId="77777777" w:rsidR="00454A29" w:rsidRDefault="00454A29"/>
        </w:tc>
        <w:tc>
          <w:tcPr>
            <w:tcW w:w="1701" w:type="dxa"/>
            <w:vAlign w:val="center"/>
          </w:tcPr>
          <w:p w14:paraId="2AC91F44" w14:textId="77777777" w:rsidR="00454A29" w:rsidRDefault="00454A29">
            <w:pPr>
              <w:pStyle w:val="ConsPlusNormal"/>
            </w:pPr>
          </w:p>
        </w:tc>
        <w:tc>
          <w:tcPr>
            <w:tcW w:w="1814" w:type="dxa"/>
            <w:vAlign w:val="center"/>
          </w:tcPr>
          <w:p w14:paraId="00C1417C" w14:textId="77777777" w:rsidR="00454A29" w:rsidRDefault="00454A29">
            <w:pPr>
              <w:pStyle w:val="ConsPlusNormal"/>
            </w:pPr>
          </w:p>
        </w:tc>
        <w:tc>
          <w:tcPr>
            <w:tcW w:w="1701" w:type="dxa"/>
            <w:vAlign w:val="center"/>
          </w:tcPr>
          <w:p w14:paraId="10F9D3FE" w14:textId="77777777" w:rsidR="00454A29" w:rsidRDefault="00454A29">
            <w:pPr>
              <w:pStyle w:val="ConsPlusNormal"/>
            </w:pPr>
          </w:p>
        </w:tc>
        <w:tc>
          <w:tcPr>
            <w:tcW w:w="1701" w:type="dxa"/>
            <w:vAlign w:val="center"/>
          </w:tcPr>
          <w:p w14:paraId="5B46759D" w14:textId="77777777" w:rsidR="00454A29" w:rsidRDefault="00454A29">
            <w:pPr>
              <w:pStyle w:val="ConsPlusNormal"/>
            </w:pPr>
          </w:p>
        </w:tc>
        <w:tc>
          <w:tcPr>
            <w:tcW w:w="1814" w:type="dxa"/>
            <w:vAlign w:val="center"/>
          </w:tcPr>
          <w:p w14:paraId="391AF22C" w14:textId="77777777" w:rsidR="00454A29" w:rsidRDefault="00454A29">
            <w:pPr>
              <w:pStyle w:val="ConsPlusNormal"/>
            </w:pPr>
          </w:p>
        </w:tc>
      </w:tr>
      <w:tr w:rsidR="00454A29" w14:paraId="449F18DB" w14:textId="77777777">
        <w:tc>
          <w:tcPr>
            <w:tcW w:w="567" w:type="dxa"/>
            <w:vMerge/>
          </w:tcPr>
          <w:p w14:paraId="1BA6ACE8" w14:textId="77777777" w:rsidR="00454A29" w:rsidRDefault="00454A29"/>
        </w:tc>
        <w:tc>
          <w:tcPr>
            <w:tcW w:w="3345" w:type="dxa"/>
            <w:vMerge/>
          </w:tcPr>
          <w:p w14:paraId="6443FE05" w14:textId="77777777" w:rsidR="00454A29" w:rsidRDefault="00454A29"/>
        </w:tc>
        <w:tc>
          <w:tcPr>
            <w:tcW w:w="1701" w:type="dxa"/>
            <w:vAlign w:val="center"/>
          </w:tcPr>
          <w:p w14:paraId="1F74F96F" w14:textId="77777777" w:rsidR="00454A29" w:rsidRDefault="00454A29">
            <w:pPr>
              <w:pStyle w:val="ConsPlusNormal"/>
              <w:jc w:val="center"/>
            </w:pPr>
            <w:r>
              <w:t>2022</w:t>
            </w:r>
          </w:p>
        </w:tc>
        <w:tc>
          <w:tcPr>
            <w:tcW w:w="1417" w:type="dxa"/>
            <w:vMerge/>
          </w:tcPr>
          <w:p w14:paraId="6591D537" w14:textId="77777777" w:rsidR="00454A29" w:rsidRDefault="00454A29"/>
        </w:tc>
        <w:tc>
          <w:tcPr>
            <w:tcW w:w="2204" w:type="dxa"/>
            <w:vMerge/>
          </w:tcPr>
          <w:p w14:paraId="26AD7A2C" w14:textId="77777777" w:rsidR="00454A29" w:rsidRDefault="00454A29"/>
        </w:tc>
        <w:tc>
          <w:tcPr>
            <w:tcW w:w="1417" w:type="dxa"/>
            <w:vMerge/>
          </w:tcPr>
          <w:p w14:paraId="68349FA2" w14:textId="77777777" w:rsidR="00454A29" w:rsidRDefault="00454A29"/>
        </w:tc>
        <w:tc>
          <w:tcPr>
            <w:tcW w:w="2324" w:type="dxa"/>
            <w:vMerge/>
          </w:tcPr>
          <w:p w14:paraId="45DCE5CA" w14:textId="77777777" w:rsidR="00454A29" w:rsidRDefault="00454A29"/>
        </w:tc>
        <w:tc>
          <w:tcPr>
            <w:tcW w:w="1701" w:type="dxa"/>
            <w:vAlign w:val="center"/>
          </w:tcPr>
          <w:p w14:paraId="46684B5A" w14:textId="77777777" w:rsidR="00454A29" w:rsidRDefault="00454A29">
            <w:pPr>
              <w:pStyle w:val="ConsPlusNormal"/>
            </w:pPr>
          </w:p>
        </w:tc>
        <w:tc>
          <w:tcPr>
            <w:tcW w:w="1814" w:type="dxa"/>
            <w:vAlign w:val="center"/>
          </w:tcPr>
          <w:p w14:paraId="2A1F94C9" w14:textId="77777777" w:rsidR="00454A29" w:rsidRDefault="00454A29">
            <w:pPr>
              <w:pStyle w:val="ConsPlusNormal"/>
            </w:pPr>
          </w:p>
        </w:tc>
        <w:tc>
          <w:tcPr>
            <w:tcW w:w="1701" w:type="dxa"/>
            <w:vAlign w:val="center"/>
          </w:tcPr>
          <w:p w14:paraId="189BBBBD" w14:textId="77777777" w:rsidR="00454A29" w:rsidRDefault="00454A29">
            <w:pPr>
              <w:pStyle w:val="ConsPlusNormal"/>
            </w:pPr>
          </w:p>
        </w:tc>
        <w:tc>
          <w:tcPr>
            <w:tcW w:w="1701" w:type="dxa"/>
            <w:vAlign w:val="center"/>
          </w:tcPr>
          <w:p w14:paraId="297DF789" w14:textId="77777777" w:rsidR="00454A29" w:rsidRDefault="00454A29">
            <w:pPr>
              <w:pStyle w:val="ConsPlusNormal"/>
            </w:pPr>
          </w:p>
        </w:tc>
        <w:tc>
          <w:tcPr>
            <w:tcW w:w="1814" w:type="dxa"/>
            <w:vAlign w:val="center"/>
          </w:tcPr>
          <w:p w14:paraId="608E0D3F" w14:textId="77777777" w:rsidR="00454A29" w:rsidRDefault="00454A29">
            <w:pPr>
              <w:pStyle w:val="ConsPlusNormal"/>
            </w:pPr>
          </w:p>
        </w:tc>
      </w:tr>
      <w:tr w:rsidR="00454A29" w14:paraId="3DC1D6B0" w14:textId="77777777">
        <w:tc>
          <w:tcPr>
            <w:tcW w:w="567" w:type="dxa"/>
            <w:vMerge/>
          </w:tcPr>
          <w:p w14:paraId="268963C6" w14:textId="77777777" w:rsidR="00454A29" w:rsidRDefault="00454A29"/>
        </w:tc>
        <w:tc>
          <w:tcPr>
            <w:tcW w:w="3345" w:type="dxa"/>
            <w:vMerge/>
          </w:tcPr>
          <w:p w14:paraId="7FC57114" w14:textId="77777777" w:rsidR="00454A29" w:rsidRDefault="00454A29"/>
        </w:tc>
        <w:tc>
          <w:tcPr>
            <w:tcW w:w="1701" w:type="dxa"/>
            <w:vAlign w:val="center"/>
          </w:tcPr>
          <w:p w14:paraId="548FF76A" w14:textId="77777777" w:rsidR="00454A29" w:rsidRDefault="00454A29">
            <w:pPr>
              <w:pStyle w:val="ConsPlusNormal"/>
              <w:jc w:val="center"/>
            </w:pPr>
            <w:r>
              <w:t>2023</w:t>
            </w:r>
          </w:p>
        </w:tc>
        <w:tc>
          <w:tcPr>
            <w:tcW w:w="1417" w:type="dxa"/>
            <w:vMerge/>
          </w:tcPr>
          <w:p w14:paraId="32136DC2" w14:textId="77777777" w:rsidR="00454A29" w:rsidRDefault="00454A29"/>
        </w:tc>
        <w:tc>
          <w:tcPr>
            <w:tcW w:w="2204" w:type="dxa"/>
            <w:vMerge/>
          </w:tcPr>
          <w:p w14:paraId="2E66738F" w14:textId="77777777" w:rsidR="00454A29" w:rsidRDefault="00454A29"/>
        </w:tc>
        <w:tc>
          <w:tcPr>
            <w:tcW w:w="1417" w:type="dxa"/>
            <w:vMerge/>
          </w:tcPr>
          <w:p w14:paraId="2B6C04C0" w14:textId="77777777" w:rsidR="00454A29" w:rsidRDefault="00454A29"/>
        </w:tc>
        <w:tc>
          <w:tcPr>
            <w:tcW w:w="2324" w:type="dxa"/>
            <w:vMerge/>
          </w:tcPr>
          <w:p w14:paraId="69FEFE62" w14:textId="77777777" w:rsidR="00454A29" w:rsidRDefault="00454A29"/>
        </w:tc>
        <w:tc>
          <w:tcPr>
            <w:tcW w:w="1701" w:type="dxa"/>
            <w:vAlign w:val="center"/>
          </w:tcPr>
          <w:p w14:paraId="7671DE20" w14:textId="77777777" w:rsidR="00454A29" w:rsidRDefault="00454A29">
            <w:pPr>
              <w:pStyle w:val="ConsPlusNormal"/>
            </w:pPr>
          </w:p>
        </w:tc>
        <w:tc>
          <w:tcPr>
            <w:tcW w:w="1814" w:type="dxa"/>
            <w:vAlign w:val="center"/>
          </w:tcPr>
          <w:p w14:paraId="09635A61" w14:textId="77777777" w:rsidR="00454A29" w:rsidRDefault="00454A29">
            <w:pPr>
              <w:pStyle w:val="ConsPlusNormal"/>
            </w:pPr>
          </w:p>
        </w:tc>
        <w:tc>
          <w:tcPr>
            <w:tcW w:w="1701" w:type="dxa"/>
            <w:vAlign w:val="center"/>
          </w:tcPr>
          <w:p w14:paraId="438EEC51" w14:textId="77777777" w:rsidR="00454A29" w:rsidRDefault="00454A29">
            <w:pPr>
              <w:pStyle w:val="ConsPlusNormal"/>
            </w:pPr>
          </w:p>
        </w:tc>
        <w:tc>
          <w:tcPr>
            <w:tcW w:w="1701" w:type="dxa"/>
            <w:vAlign w:val="center"/>
          </w:tcPr>
          <w:p w14:paraId="5D0CB84A" w14:textId="77777777" w:rsidR="00454A29" w:rsidRDefault="00454A29">
            <w:pPr>
              <w:pStyle w:val="ConsPlusNormal"/>
            </w:pPr>
          </w:p>
        </w:tc>
        <w:tc>
          <w:tcPr>
            <w:tcW w:w="1814" w:type="dxa"/>
            <w:vAlign w:val="center"/>
          </w:tcPr>
          <w:p w14:paraId="4C06D90E" w14:textId="77777777" w:rsidR="00454A29" w:rsidRDefault="00454A29">
            <w:pPr>
              <w:pStyle w:val="ConsPlusNormal"/>
            </w:pPr>
          </w:p>
        </w:tc>
      </w:tr>
      <w:tr w:rsidR="00454A29" w14:paraId="3A9BBD2A" w14:textId="77777777">
        <w:tc>
          <w:tcPr>
            <w:tcW w:w="567" w:type="dxa"/>
            <w:vMerge/>
          </w:tcPr>
          <w:p w14:paraId="5055E74B" w14:textId="77777777" w:rsidR="00454A29" w:rsidRDefault="00454A29"/>
        </w:tc>
        <w:tc>
          <w:tcPr>
            <w:tcW w:w="3345" w:type="dxa"/>
            <w:vMerge/>
          </w:tcPr>
          <w:p w14:paraId="0A96FB6C" w14:textId="77777777" w:rsidR="00454A29" w:rsidRDefault="00454A29"/>
        </w:tc>
        <w:tc>
          <w:tcPr>
            <w:tcW w:w="1701" w:type="dxa"/>
            <w:vAlign w:val="center"/>
          </w:tcPr>
          <w:p w14:paraId="5D38032C" w14:textId="77777777" w:rsidR="00454A29" w:rsidRDefault="00454A29">
            <w:pPr>
              <w:pStyle w:val="ConsPlusNormal"/>
              <w:jc w:val="center"/>
            </w:pPr>
            <w:r>
              <w:t>2024</w:t>
            </w:r>
          </w:p>
        </w:tc>
        <w:tc>
          <w:tcPr>
            <w:tcW w:w="1417" w:type="dxa"/>
            <w:vMerge/>
          </w:tcPr>
          <w:p w14:paraId="48DE9DE1" w14:textId="77777777" w:rsidR="00454A29" w:rsidRDefault="00454A29"/>
        </w:tc>
        <w:tc>
          <w:tcPr>
            <w:tcW w:w="2204" w:type="dxa"/>
            <w:vMerge/>
          </w:tcPr>
          <w:p w14:paraId="1F5B93FC" w14:textId="77777777" w:rsidR="00454A29" w:rsidRDefault="00454A29"/>
        </w:tc>
        <w:tc>
          <w:tcPr>
            <w:tcW w:w="1417" w:type="dxa"/>
            <w:vMerge/>
          </w:tcPr>
          <w:p w14:paraId="1748FCD2" w14:textId="77777777" w:rsidR="00454A29" w:rsidRDefault="00454A29"/>
        </w:tc>
        <w:tc>
          <w:tcPr>
            <w:tcW w:w="2324" w:type="dxa"/>
            <w:vMerge/>
          </w:tcPr>
          <w:p w14:paraId="6617C8B2" w14:textId="77777777" w:rsidR="00454A29" w:rsidRDefault="00454A29"/>
        </w:tc>
        <w:tc>
          <w:tcPr>
            <w:tcW w:w="1701" w:type="dxa"/>
            <w:vAlign w:val="center"/>
          </w:tcPr>
          <w:p w14:paraId="397B4EA6" w14:textId="77777777" w:rsidR="00454A29" w:rsidRDefault="00454A29">
            <w:pPr>
              <w:pStyle w:val="ConsPlusNormal"/>
            </w:pPr>
          </w:p>
        </w:tc>
        <w:tc>
          <w:tcPr>
            <w:tcW w:w="1814" w:type="dxa"/>
            <w:vAlign w:val="center"/>
          </w:tcPr>
          <w:p w14:paraId="4A85050E" w14:textId="77777777" w:rsidR="00454A29" w:rsidRDefault="00454A29">
            <w:pPr>
              <w:pStyle w:val="ConsPlusNormal"/>
            </w:pPr>
          </w:p>
        </w:tc>
        <w:tc>
          <w:tcPr>
            <w:tcW w:w="1701" w:type="dxa"/>
            <w:vAlign w:val="center"/>
          </w:tcPr>
          <w:p w14:paraId="6C1FC040" w14:textId="77777777" w:rsidR="00454A29" w:rsidRDefault="00454A29">
            <w:pPr>
              <w:pStyle w:val="ConsPlusNormal"/>
            </w:pPr>
          </w:p>
        </w:tc>
        <w:tc>
          <w:tcPr>
            <w:tcW w:w="1701" w:type="dxa"/>
            <w:vAlign w:val="center"/>
          </w:tcPr>
          <w:p w14:paraId="191F531C" w14:textId="77777777" w:rsidR="00454A29" w:rsidRDefault="00454A29">
            <w:pPr>
              <w:pStyle w:val="ConsPlusNormal"/>
            </w:pPr>
          </w:p>
        </w:tc>
        <w:tc>
          <w:tcPr>
            <w:tcW w:w="1814" w:type="dxa"/>
            <w:vAlign w:val="center"/>
          </w:tcPr>
          <w:p w14:paraId="61C41663" w14:textId="77777777" w:rsidR="00454A29" w:rsidRDefault="00454A29">
            <w:pPr>
              <w:pStyle w:val="ConsPlusNormal"/>
            </w:pPr>
          </w:p>
        </w:tc>
      </w:tr>
      <w:tr w:rsidR="00454A29" w14:paraId="5655EA97" w14:textId="77777777">
        <w:tc>
          <w:tcPr>
            <w:tcW w:w="567" w:type="dxa"/>
            <w:vMerge/>
          </w:tcPr>
          <w:p w14:paraId="03B4CF00" w14:textId="77777777" w:rsidR="00454A29" w:rsidRDefault="00454A29"/>
        </w:tc>
        <w:tc>
          <w:tcPr>
            <w:tcW w:w="3345" w:type="dxa"/>
            <w:vMerge/>
          </w:tcPr>
          <w:p w14:paraId="4A75E534" w14:textId="77777777" w:rsidR="00454A29" w:rsidRDefault="00454A29"/>
        </w:tc>
        <w:tc>
          <w:tcPr>
            <w:tcW w:w="1701" w:type="dxa"/>
            <w:vAlign w:val="center"/>
          </w:tcPr>
          <w:p w14:paraId="27E6CA31" w14:textId="77777777" w:rsidR="00454A29" w:rsidRDefault="00454A29">
            <w:pPr>
              <w:pStyle w:val="ConsPlusNormal"/>
              <w:jc w:val="center"/>
            </w:pPr>
            <w:r>
              <w:t>2025</w:t>
            </w:r>
          </w:p>
        </w:tc>
        <w:tc>
          <w:tcPr>
            <w:tcW w:w="1417" w:type="dxa"/>
            <w:vMerge/>
          </w:tcPr>
          <w:p w14:paraId="5BE78C85" w14:textId="77777777" w:rsidR="00454A29" w:rsidRDefault="00454A29"/>
        </w:tc>
        <w:tc>
          <w:tcPr>
            <w:tcW w:w="2204" w:type="dxa"/>
            <w:vMerge/>
          </w:tcPr>
          <w:p w14:paraId="5D06B889" w14:textId="77777777" w:rsidR="00454A29" w:rsidRDefault="00454A29"/>
        </w:tc>
        <w:tc>
          <w:tcPr>
            <w:tcW w:w="1417" w:type="dxa"/>
            <w:vMerge/>
          </w:tcPr>
          <w:p w14:paraId="65E24106" w14:textId="77777777" w:rsidR="00454A29" w:rsidRDefault="00454A29"/>
        </w:tc>
        <w:tc>
          <w:tcPr>
            <w:tcW w:w="2324" w:type="dxa"/>
            <w:vMerge/>
          </w:tcPr>
          <w:p w14:paraId="33E57A8B" w14:textId="77777777" w:rsidR="00454A29" w:rsidRDefault="00454A29"/>
        </w:tc>
        <w:tc>
          <w:tcPr>
            <w:tcW w:w="1701" w:type="dxa"/>
            <w:vAlign w:val="center"/>
          </w:tcPr>
          <w:p w14:paraId="059AE78A" w14:textId="77777777" w:rsidR="00454A29" w:rsidRDefault="00454A29">
            <w:pPr>
              <w:pStyle w:val="ConsPlusNormal"/>
            </w:pPr>
          </w:p>
        </w:tc>
        <w:tc>
          <w:tcPr>
            <w:tcW w:w="1814" w:type="dxa"/>
            <w:vAlign w:val="center"/>
          </w:tcPr>
          <w:p w14:paraId="22B13FB9" w14:textId="77777777" w:rsidR="00454A29" w:rsidRDefault="00454A29">
            <w:pPr>
              <w:pStyle w:val="ConsPlusNormal"/>
            </w:pPr>
          </w:p>
        </w:tc>
        <w:tc>
          <w:tcPr>
            <w:tcW w:w="1701" w:type="dxa"/>
            <w:vAlign w:val="center"/>
          </w:tcPr>
          <w:p w14:paraId="04E66497" w14:textId="77777777" w:rsidR="00454A29" w:rsidRDefault="00454A29">
            <w:pPr>
              <w:pStyle w:val="ConsPlusNormal"/>
            </w:pPr>
          </w:p>
        </w:tc>
        <w:tc>
          <w:tcPr>
            <w:tcW w:w="1701" w:type="dxa"/>
            <w:vAlign w:val="center"/>
          </w:tcPr>
          <w:p w14:paraId="15ADBA2B" w14:textId="77777777" w:rsidR="00454A29" w:rsidRDefault="00454A29">
            <w:pPr>
              <w:pStyle w:val="ConsPlusNormal"/>
            </w:pPr>
          </w:p>
        </w:tc>
        <w:tc>
          <w:tcPr>
            <w:tcW w:w="1814" w:type="dxa"/>
            <w:vAlign w:val="center"/>
          </w:tcPr>
          <w:p w14:paraId="44CBB7C5" w14:textId="77777777" w:rsidR="00454A29" w:rsidRDefault="00454A29">
            <w:pPr>
              <w:pStyle w:val="ConsPlusNormal"/>
            </w:pPr>
          </w:p>
        </w:tc>
      </w:tr>
      <w:tr w:rsidR="00454A29" w14:paraId="59C0D1CE" w14:textId="77777777">
        <w:tc>
          <w:tcPr>
            <w:tcW w:w="567" w:type="dxa"/>
            <w:vMerge/>
          </w:tcPr>
          <w:p w14:paraId="39157D85" w14:textId="77777777" w:rsidR="00454A29" w:rsidRDefault="00454A29"/>
        </w:tc>
        <w:tc>
          <w:tcPr>
            <w:tcW w:w="3345" w:type="dxa"/>
            <w:vMerge/>
          </w:tcPr>
          <w:p w14:paraId="087D28EB" w14:textId="77777777" w:rsidR="00454A29" w:rsidRDefault="00454A29"/>
        </w:tc>
        <w:tc>
          <w:tcPr>
            <w:tcW w:w="1701" w:type="dxa"/>
            <w:vAlign w:val="center"/>
          </w:tcPr>
          <w:p w14:paraId="44976B6E" w14:textId="77777777" w:rsidR="00454A29" w:rsidRDefault="00454A29">
            <w:pPr>
              <w:pStyle w:val="ConsPlusNormal"/>
              <w:jc w:val="center"/>
            </w:pPr>
            <w:r>
              <w:t>2026</w:t>
            </w:r>
          </w:p>
        </w:tc>
        <w:tc>
          <w:tcPr>
            <w:tcW w:w="1417" w:type="dxa"/>
            <w:vMerge/>
          </w:tcPr>
          <w:p w14:paraId="00012D50" w14:textId="77777777" w:rsidR="00454A29" w:rsidRDefault="00454A29"/>
        </w:tc>
        <w:tc>
          <w:tcPr>
            <w:tcW w:w="2204" w:type="dxa"/>
            <w:vMerge/>
          </w:tcPr>
          <w:p w14:paraId="4833FB14" w14:textId="77777777" w:rsidR="00454A29" w:rsidRDefault="00454A29"/>
        </w:tc>
        <w:tc>
          <w:tcPr>
            <w:tcW w:w="1417" w:type="dxa"/>
            <w:vMerge/>
          </w:tcPr>
          <w:p w14:paraId="0D33FDC5" w14:textId="77777777" w:rsidR="00454A29" w:rsidRDefault="00454A29"/>
        </w:tc>
        <w:tc>
          <w:tcPr>
            <w:tcW w:w="2324" w:type="dxa"/>
            <w:vMerge/>
          </w:tcPr>
          <w:p w14:paraId="1E9B2531" w14:textId="77777777" w:rsidR="00454A29" w:rsidRDefault="00454A29"/>
        </w:tc>
        <w:tc>
          <w:tcPr>
            <w:tcW w:w="1701" w:type="dxa"/>
            <w:vAlign w:val="center"/>
          </w:tcPr>
          <w:p w14:paraId="40EE8C3D" w14:textId="77777777" w:rsidR="00454A29" w:rsidRDefault="00454A29">
            <w:pPr>
              <w:pStyle w:val="ConsPlusNormal"/>
              <w:jc w:val="center"/>
            </w:pPr>
            <w:r>
              <w:t>588 982,87</w:t>
            </w:r>
          </w:p>
        </w:tc>
        <w:tc>
          <w:tcPr>
            <w:tcW w:w="1814" w:type="dxa"/>
            <w:vAlign w:val="center"/>
          </w:tcPr>
          <w:p w14:paraId="1A86C5EC" w14:textId="77777777" w:rsidR="00454A29" w:rsidRDefault="00454A29">
            <w:pPr>
              <w:pStyle w:val="ConsPlusNormal"/>
              <w:jc w:val="center"/>
            </w:pPr>
            <w:r>
              <w:t>7 256,27</w:t>
            </w:r>
          </w:p>
        </w:tc>
        <w:tc>
          <w:tcPr>
            <w:tcW w:w="1701" w:type="dxa"/>
            <w:vAlign w:val="center"/>
          </w:tcPr>
          <w:p w14:paraId="3F63A655" w14:textId="77777777" w:rsidR="00454A29" w:rsidRDefault="00454A29">
            <w:pPr>
              <w:pStyle w:val="ConsPlusNormal"/>
              <w:jc w:val="center"/>
            </w:pPr>
            <w:r>
              <w:t>718 370,63</w:t>
            </w:r>
          </w:p>
        </w:tc>
        <w:tc>
          <w:tcPr>
            <w:tcW w:w="1701" w:type="dxa"/>
            <w:vAlign w:val="center"/>
          </w:tcPr>
          <w:p w14:paraId="6CF0DC2C" w14:textId="77777777" w:rsidR="00454A29" w:rsidRDefault="00454A29">
            <w:pPr>
              <w:pStyle w:val="ConsPlusNormal"/>
            </w:pPr>
          </w:p>
        </w:tc>
        <w:tc>
          <w:tcPr>
            <w:tcW w:w="1814" w:type="dxa"/>
            <w:vAlign w:val="center"/>
          </w:tcPr>
          <w:p w14:paraId="6F3B8742" w14:textId="77777777" w:rsidR="00454A29" w:rsidRDefault="00454A29">
            <w:pPr>
              <w:pStyle w:val="ConsPlusNormal"/>
            </w:pPr>
          </w:p>
        </w:tc>
      </w:tr>
      <w:tr w:rsidR="00454A29" w14:paraId="040AFEEB" w14:textId="77777777">
        <w:tc>
          <w:tcPr>
            <w:tcW w:w="567" w:type="dxa"/>
            <w:vMerge w:val="restart"/>
            <w:vAlign w:val="center"/>
          </w:tcPr>
          <w:p w14:paraId="553DBC27" w14:textId="77777777" w:rsidR="00454A29" w:rsidRDefault="00454A29">
            <w:pPr>
              <w:pStyle w:val="ConsPlusNormal"/>
              <w:jc w:val="center"/>
            </w:pPr>
            <w:r>
              <w:t>107</w:t>
            </w:r>
          </w:p>
        </w:tc>
        <w:tc>
          <w:tcPr>
            <w:tcW w:w="3345" w:type="dxa"/>
            <w:vMerge w:val="restart"/>
            <w:vAlign w:val="center"/>
          </w:tcPr>
          <w:p w14:paraId="3C6808B9" w14:textId="77777777" w:rsidR="00454A29" w:rsidRDefault="00454A29">
            <w:pPr>
              <w:pStyle w:val="ConsPlusNormal"/>
              <w:jc w:val="center"/>
            </w:pPr>
            <w:r>
              <w:t>Школа-сад на 35/15 мест в с. Мача</w:t>
            </w:r>
          </w:p>
        </w:tc>
        <w:tc>
          <w:tcPr>
            <w:tcW w:w="1701" w:type="dxa"/>
            <w:vAlign w:val="center"/>
          </w:tcPr>
          <w:p w14:paraId="7E2371E7" w14:textId="77777777" w:rsidR="00454A29" w:rsidRDefault="00454A29">
            <w:pPr>
              <w:pStyle w:val="ConsPlusNormal"/>
              <w:jc w:val="center"/>
            </w:pPr>
            <w:r>
              <w:t>2020 - 2026 годы - всего</w:t>
            </w:r>
          </w:p>
        </w:tc>
        <w:tc>
          <w:tcPr>
            <w:tcW w:w="1417" w:type="dxa"/>
            <w:vMerge w:val="restart"/>
            <w:vAlign w:val="center"/>
          </w:tcPr>
          <w:p w14:paraId="30D59CCF" w14:textId="77777777" w:rsidR="00454A29" w:rsidRDefault="00454A29">
            <w:pPr>
              <w:pStyle w:val="ConsPlusNormal"/>
              <w:jc w:val="center"/>
            </w:pPr>
            <w:r>
              <w:t>183 912,26</w:t>
            </w:r>
          </w:p>
        </w:tc>
        <w:tc>
          <w:tcPr>
            <w:tcW w:w="2204" w:type="dxa"/>
            <w:vMerge w:val="restart"/>
            <w:vAlign w:val="center"/>
          </w:tcPr>
          <w:p w14:paraId="0DED8EA3" w14:textId="77777777" w:rsidR="00454A29" w:rsidRDefault="00454A29">
            <w:pPr>
              <w:pStyle w:val="ConsPlusNormal"/>
            </w:pPr>
          </w:p>
        </w:tc>
        <w:tc>
          <w:tcPr>
            <w:tcW w:w="1417" w:type="dxa"/>
            <w:vMerge w:val="restart"/>
            <w:vAlign w:val="center"/>
          </w:tcPr>
          <w:p w14:paraId="6D85CA18" w14:textId="77777777" w:rsidR="00454A29" w:rsidRDefault="00454A29">
            <w:pPr>
              <w:pStyle w:val="ConsPlusNormal"/>
              <w:jc w:val="center"/>
            </w:pPr>
            <w:r>
              <w:t>35</w:t>
            </w:r>
          </w:p>
        </w:tc>
        <w:tc>
          <w:tcPr>
            <w:tcW w:w="2324" w:type="dxa"/>
            <w:vMerge w:val="restart"/>
            <w:vAlign w:val="center"/>
          </w:tcPr>
          <w:p w14:paraId="40A6F47A"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5FFDCC9A" w14:textId="77777777" w:rsidR="00454A29" w:rsidRDefault="00454A29">
            <w:pPr>
              <w:pStyle w:val="ConsPlusNormal"/>
              <w:jc w:val="center"/>
            </w:pPr>
            <w:r>
              <w:lastRenderedPageBreak/>
              <w:t>183 912,26</w:t>
            </w:r>
          </w:p>
        </w:tc>
        <w:tc>
          <w:tcPr>
            <w:tcW w:w="1814" w:type="dxa"/>
            <w:vAlign w:val="center"/>
          </w:tcPr>
          <w:p w14:paraId="269F1972" w14:textId="77777777" w:rsidR="00454A29" w:rsidRDefault="00454A29">
            <w:pPr>
              <w:pStyle w:val="ConsPlusNormal"/>
              <w:jc w:val="center"/>
            </w:pPr>
            <w:r>
              <w:t>2 326,49</w:t>
            </w:r>
          </w:p>
        </w:tc>
        <w:tc>
          <w:tcPr>
            <w:tcW w:w="1701" w:type="dxa"/>
            <w:vAlign w:val="center"/>
          </w:tcPr>
          <w:p w14:paraId="409FFAAA" w14:textId="77777777" w:rsidR="00454A29" w:rsidRDefault="00454A29">
            <w:pPr>
              <w:pStyle w:val="ConsPlusNormal"/>
              <w:jc w:val="center"/>
            </w:pPr>
            <w:r>
              <w:t>230 322,52</w:t>
            </w:r>
          </w:p>
        </w:tc>
        <w:tc>
          <w:tcPr>
            <w:tcW w:w="1701" w:type="dxa"/>
            <w:vAlign w:val="center"/>
          </w:tcPr>
          <w:p w14:paraId="546013D7" w14:textId="77777777" w:rsidR="00454A29" w:rsidRDefault="00454A29">
            <w:pPr>
              <w:pStyle w:val="ConsPlusNormal"/>
              <w:jc w:val="center"/>
            </w:pPr>
            <w:r>
              <w:t>-</w:t>
            </w:r>
          </w:p>
        </w:tc>
        <w:tc>
          <w:tcPr>
            <w:tcW w:w="1814" w:type="dxa"/>
            <w:vAlign w:val="center"/>
          </w:tcPr>
          <w:p w14:paraId="04E5EEE8" w14:textId="77777777" w:rsidR="00454A29" w:rsidRDefault="00454A29">
            <w:pPr>
              <w:pStyle w:val="ConsPlusNormal"/>
              <w:jc w:val="center"/>
            </w:pPr>
            <w:r>
              <w:t>-</w:t>
            </w:r>
          </w:p>
        </w:tc>
      </w:tr>
      <w:tr w:rsidR="00454A29" w14:paraId="094CB961" w14:textId="77777777">
        <w:tc>
          <w:tcPr>
            <w:tcW w:w="567" w:type="dxa"/>
            <w:vMerge/>
          </w:tcPr>
          <w:p w14:paraId="34E23F89" w14:textId="77777777" w:rsidR="00454A29" w:rsidRDefault="00454A29"/>
        </w:tc>
        <w:tc>
          <w:tcPr>
            <w:tcW w:w="3345" w:type="dxa"/>
            <w:vMerge/>
          </w:tcPr>
          <w:p w14:paraId="66AC2D27" w14:textId="77777777" w:rsidR="00454A29" w:rsidRDefault="00454A29"/>
        </w:tc>
        <w:tc>
          <w:tcPr>
            <w:tcW w:w="1701" w:type="dxa"/>
            <w:vAlign w:val="center"/>
          </w:tcPr>
          <w:p w14:paraId="764D2ED2" w14:textId="77777777" w:rsidR="00454A29" w:rsidRDefault="00454A29">
            <w:pPr>
              <w:pStyle w:val="ConsPlusNormal"/>
              <w:jc w:val="center"/>
            </w:pPr>
            <w:r>
              <w:t>2020</w:t>
            </w:r>
          </w:p>
        </w:tc>
        <w:tc>
          <w:tcPr>
            <w:tcW w:w="1417" w:type="dxa"/>
            <w:vMerge/>
          </w:tcPr>
          <w:p w14:paraId="0A0A1F96" w14:textId="77777777" w:rsidR="00454A29" w:rsidRDefault="00454A29"/>
        </w:tc>
        <w:tc>
          <w:tcPr>
            <w:tcW w:w="2204" w:type="dxa"/>
            <w:vMerge/>
          </w:tcPr>
          <w:p w14:paraId="416A632E" w14:textId="77777777" w:rsidR="00454A29" w:rsidRDefault="00454A29"/>
        </w:tc>
        <w:tc>
          <w:tcPr>
            <w:tcW w:w="1417" w:type="dxa"/>
            <w:vMerge/>
          </w:tcPr>
          <w:p w14:paraId="296BC390" w14:textId="77777777" w:rsidR="00454A29" w:rsidRDefault="00454A29"/>
        </w:tc>
        <w:tc>
          <w:tcPr>
            <w:tcW w:w="2324" w:type="dxa"/>
            <w:vMerge/>
          </w:tcPr>
          <w:p w14:paraId="263A3BB6" w14:textId="77777777" w:rsidR="00454A29" w:rsidRDefault="00454A29"/>
        </w:tc>
        <w:tc>
          <w:tcPr>
            <w:tcW w:w="1701" w:type="dxa"/>
            <w:vAlign w:val="center"/>
          </w:tcPr>
          <w:p w14:paraId="23118B23" w14:textId="77777777" w:rsidR="00454A29" w:rsidRDefault="00454A29">
            <w:pPr>
              <w:pStyle w:val="ConsPlusNormal"/>
            </w:pPr>
          </w:p>
        </w:tc>
        <w:tc>
          <w:tcPr>
            <w:tcW w:w="1814" w:type="dxa"/>
            <w:vAlign w:val="center"/>
          </w:tcPr>
          <w:p w14:paraId="73138545" w14:textId="77777777" w:rsidR="00454A29" w:rsidRDefault="00454A29">
            <w:pPr>
              <w:pStyle w:val="ConsPlusNormal"/>
            </w:pPr>
          </w:p>
        </w:tc>
        <w:tc>
          <w:tcPr>
            <w:tcW w:w="1701" w:type="dxa"/>
            <w:vAlign w:val="center"/>
          </w:tcPr>
          <w:p w14:paraId="4EEC93D0" w14:textId="77777777" w:rsidR="00454A29" w:rsidRDefault="00454A29">
            <w:pPr>
              <w:pStyle w:val="ConsPlusNormal"/>
            </w:pPr>
          </w:p>
        </w:tc>
        <w:tc>
          <w:tcPr>
            <w:tcW w:w="1701" w:type="dxa"/>
            <w:vAlign w:val="center"/>
          </w:tcPr>
          <w:p w14:paraId="64EF7431" w14:textId="77777777" w:rsidR="00454A29" w:rsidRDefault="00454A29">
            <w:pPr>
              <w:pStyle w:val="ConsPlusNormal"/>
            </w:pPr>
          </w:p>
        </w:tc>
        <w:tc>
          <w:tcPr>
            <w:tcW w:w="1814" w:type="dxa"/>
            <w:vAlign w:val="center"/>
          </w:tcPr>
          <w:p w14:paraId="51496FA4" w14:textId="77777777" w:rsidR="00454A29" w:rsidRDefault="00454A29">
            <w:pPr>
              <w:pStyle w:val="ConsPlusNormal"/>
            </w:pPr>
          </w:p>
        </w:tc>
      </w:tr>
      <w:tr w:rsidR="00454A29" w14:paraId="2AAE5C32" w14:textId="77777777">
        <w:tc>
          <w:tcPr>
            <w:tcW w:w="567" w:type="dxa"/>
            <w:vMerge/>
          </w:tcPr>
          <w:p w14:paraId="5F7066B3" w14:textId="77777777" w:rsidR="00454A29" w:rsidRDefault="00454A29"/>
        </w:tc>
        <w:tc>
          <w:tcPr>
            <w:tcW w:w="3345" w:type="dxa"/>
            <w:vMerge/>
          </w:tcPr>
          <w:p w14:paraId="7620BE29" w14:textId="77777777" w:rsidR="00454A29" w:rsidRDefault="00454A29"/>
        </w:tc>
        <w:tc>
          <w:tcPr>
            <w:tcW w:w="1701" w:type="dxa"/>
            <w:vAlign w:val="center"/>
          </w:tcPr>
          <w:p w14:paraId="612C22A1" w14:textId="77777777" w:rsidR="00454A29" w:rsidRDefault="00454A29">
            <w:pPr>
              <w:pStyle w:val="ConsPlusNormal"/>
              <w:jc w:val="center"/>
            </w:pPr>
            <w:r>
              <w:t>2021</w:t>
            </w:r>
          </w:p>
        </w:tc>
        <w:tc>
          <w:tcPr>
            <w:tcW w:w="1417" w:type="dxa"/>
            <w:vMerge/>
          </w:tcPr>
          <w:p w14:paraId="75395E84" w14:textId="77777777" w:rsidR="00454A29" w:rsidRDefault="00454A29"/>
        </w:tc>
        <w:tc>
          <w:tcPr>
            <w:tcW w:w="2204" w:type="dxa"/>
            <w:vMerge/>
          </w:tcPr>
          <w:p w14:paraId="34EBDA9A" w14:textId="77777777" w:rsidR="00454A29" w:rsidRDefault="00454A29"/>
        </w:tc>
        <w:tc>
          <w:tcPr>
            <w:tcW w:w="1417" w:type="dxa"/>
            <w:vMerge/>
          </w:tcPr>
          <w:p w14:paraId="572E081B" w14:textId="77777777" w:rsidR="00454A29" w:rsidRDefault="00454A29"/>
        </w:tc>
        <w:tc>
          <w:tcPr>
            <w:tcW w:w="2324" w:type="dxa"/>
            <w:vMerge/>
          </w:tcPr>
          <w:p w14:paraId="1BF9DC90" w14:textId="77777777" w:rsidR="00454A29" w:rsidRDefault="00454A29"/>
        </w:tc>
        <w:tc>
          <w:tcPr>
            <w:tcW w:w="1701" w:type="dxa"/>
            <w:vAlign w:val="center"/>
          </w:tcPr>
          <w:p w14:paraId="5B8F313D" w14:textId="77777777" w:rsidR="00454A29" w:rsidRDefault="00454A29">
            <w:pPr>
              <w:pStyle w:val="ConsPlusNormal"/>
            </w:pPr>
          </w:p>
        </w:tc>
        <w:tc>
          <w:tcPr>
            <w:tcW w:w="1814" w:type="dxa"/>
            <w:vAlign w:val="center"/>
          </w:tcPr>
          <w:p w14:paraId="1F60E274" w14:textId="77777777" w:rsidR="00454A29" w:rsidRDefault="00454A29">
            <w:pPr>
              <w:pStyle w:val="ConsPlusNormal"/>
            </w:pPr>
          </w:p>
        </w:tc>
        <w:tc>
          <w:tcPr>
            <w:tcW w:w="1701" w:type="dxa"/>
            <w:vAlign w:val="center"/>
          </w:tcPr>
          <w:p w14:paraId="62DC4831" w14:textId="77777777" w:rsidR="00454A29" w:rsidRDefault="00454A29">
            <w:pPr>
              <w:pStyle w:val="ConsPlusNormal"/>
            </w:pPr>
          </w:p>
        </w:tc>
        <w:tc>
          <w:tcPr>
            <w:tcW w:w="1701" w:type="dxa"/>
            <w:vAlign w:val="center"/>
          </w:tcPr>
          <w:p w14:paraId="37CA67A7" w14:textId="77777777" w:rsidR="00454A29" w:rsidRDefault="00454A29">
            <w:pPr>
              <w:pStyle w:val="ConsPlusNormal"/>
            </w:pPr>
          </w:p>
        </w:tc>
        <w:tc>
          <w:tcPr>
            <w:tcW w:w="1814" w:type="dxa"/>
            <w:vAlign w:val="center"/>
          </w:tcPr>
          <w:p w14:paraId="6AF74210" w14:textId="77777777" w:rsidR="00454A29" w:rsidRDefault="00454A29">
            <w:pPr>
              <w:pStyle w:val="ConsPlusNormal"/>
            </w:pPr>
          </w:p>
        </w:tc>
      </w:tr>
      <w:tr w:rsidR="00454A29" w14:paraId="548763AF" w14:textId="77777777">
        <w:tc>
          <w:tcPr>
            <w:tcW w:w="567" w:type="dxa"/>
            <w:vMerge/>
          </w:tcPr>
          <w:p w14:paraId="7E13B1B8" w14:textId="77777777" w:rsidR="00454A29" w:rsidRDefault="00454A29"/>
        </w:tc>
        <w:tc>
          <w:tcPr>
            <w:tcW w:w="3345" w:type="dxa"/>
            <w:vMerge/>
          </w:tcPr>
          <w:p w14:paraId="5495CB97" w14:textId="77777777" w:rsidR="00454A29" w:rsidRDefault="00454A29"/>
        </w:tc>
        <w:tc>
          <w:tcPr>
            <w:tcW w:w="1701" w:type="dxa"/>
            <w:vAlign w:val="center"/>
          </w:tcPr>
          <w:p w14:paraId="11B0417D" w14:textId="77777777" w:rsidR="00454A29" w:rsidRDefault="00454A29">
            <w:pPr>
              <w:pStyle w:val="ConsPlusNormal"/>
              <w:jc w:val="center"/>
            </w:pPr>
            <w:r>
              <w:t>2022</w:t>
            </w:r>
          </w:p>
        </w:tc>
        <w:tc>
          <w:tcPr>
            <w:tcW w:w="1417" w:type="dxa"/>
            <w:vMerge/>
          </w:tcPr>
          <w:p w14:paraId="31CD25E3" w14:textId="77777777" w:rsidR="00454A29" w:rsidRDefault="00454A29"/>
        </w:tc>
        <w:tc>
          <w:tcPr>
            <w:tcW w:w="2204" w:type="dxa"/>
            <w:vMerge/>
          </w:tcPr>
          <w:p w14:paraId="26334843" w14:textId="77777777" w:rsidR="00454A29" w:rsidRDefault="00454A29"/>
        </w:tc>
        <w:tc>
          <w:tcPr>
            <w:tcW w:w="1417" w:type="dxa"/>
            <w:vMerge/>
          </w:tcPr>
          <w:p w14:paraId="1868012B" w14:textId="77777777" w:rsidR="00454A29" w:rsidRDefault="00454A29"/>
        </w:tc>
        <w:tc>
          <w:tcPr>
            <w:tcW w:w="2324" w:type="dxa"/>
            <w:vMerge/>
          </w:tcPr>
          <w:p w14:paraId="69018564" w14:textId="77777777" w:rsidR="00454A29" w:rsidRDefault="00454A29"/>
        </w:tc>
        <w:tc>
          <w:tcPr>
            <w:tcW w:w="1701" w:type="dxa"/>
            <w:vAlign w:val="center"/>
          </w:tcPr>
          <w:p w14:paraId="7A67450F" w14:textId="77777777" w:rsidR="00454A29" w:rsidRDefault="00454A29">
            <w:pPr>
              <w:pStyle w:val="ConsPlusNormal"/>
            </w:pPr>
          </w:p>
        </w:tc>
        <w:tc>
          <w:tcPr>
            <w:tcW w:w="1814" w:type="dxa"/>
            <w:vAlign w:val="center"/>
          </w:tcPr>
          <w:p w14:paraId="66D15AB1" w14:textId="77777777" w:rsidR="00454A29" w:rsidRDefault="00454A29">
            <w:pPr>
              <w:pStyle w:val="ConsPlusNormal"/>
            </w:pPr>
          </w:p>
        </w:tc>
        <w:tc>
          <w:tcPr>
            <w:tcW w:w="1701" w:type="dxa"/>
            <w:vAlign w:val="center"/>
          </w:tcPr>
          <w:p w14:paraId="08911717" w14:textId="77777777" w:rsidR="00454A29" w:rsidRDefault="00454A29">
            <w:pPr>
              <w:pStyle w:val="ConsPlusNormal"/>
            </w:pPr>
          </w:p>
        </w:tc>
        <w:tc>
          <w:tcPr>
            <w:tcW w:w="1701" w:type="dxa"/>
            <w:vAlign w:val="center"/>
          </w:tcPr>
          <w:p w14:paraId="412F7837" w14:textId="77777777" w:rsidR="00454A29" w:rsidRDefault="00454A29">
            <w:pPr>
              <w:pStyle w:val="ConsPlusNormal"/>
            </w:pPr>
          </w:p>
        </w:tc>
        <w:tc>
          <w:tcPr>
            <w:tcW w:w="1814" w:type="dxa"/>
            <w:vAlign w:val="center"/>
          </w:tcPr>
          <w:p w14:paraId="5523ABEC" w14:textId="77777777" w:rsidR="00454A29" w:rsidRDefault="00454A29">
            <w:pPr>
              <w:pStyle w:val="ConsPlusNormal"/>
            </w:pPr>
          </w:p>
        </w:tc>
      </w:tr>
      <w:tr w:rsidR="00454A29" w14:paraId="7933F3F8" w14:textId="77777777">
        <w:tc>
          <w:tcPr>
            <w:tcW w:w="567" w:type="dxa"/>
            <w:vMerge/>
          </w:tcPr>
          <w:p w14:paraId="69082071" w14:textId="77777777" w:rsidR="00454A29" w:rsidRDefault="00454A29"/>
        </w:tc>
        <w:tc>
          <w:tcPr>
            <w:tcW w:w="3345" w:type="dxa"/>
            <w:vMerge/>
          </w:tcPr>
          <w:p w14:paraId="77D17028" w14:textId="77777777" w:rsidR="00454A29" w:rsidRDefault="00454A29"/>
        </w:tc>
        <w:tc>
          <w:tcPr>
            <w:tcW w:w="1701" w:type="dxa"/>
            <w:vAlign w:val="center"/>
          </w:tcPr>
          <w:p w14:paraId="38C897F5" w14:textId="77777777" w:rsidR="00454A29" w:rsidRDefault="00454A29">
            <w:pPr>
              <w:pStyle w:val="ConsPlusNormal"/>
              <w:jc w:val="center"/>
            </w:pPr>
            <w:r>
              <w:t>2023</w:t>
            </w:r>
          </w:p>
        </w:tc>
        <w:tc>
          <w:tcPr>
            <w:tcW w:w="1417" w:type="dxa"/>
            <w:vMerge/>
          </w:tcPr>
          <w:p w14:paraId="027A5B5D" w14:textId="77777777" w:rsidR="00454A29" w:rsidRDefault="00454A29"/>
        </w:tc>
        <w:tc>
          <w:tcPr>
            <w:tcW w:w="2204" w:type="dxa"/>
            <w:vMerge/>
          </w:tcPr>
          <w:p w14:paraId="2B0FAB98" w14:textId="77777777" w:rsidR="00454A29" w:rsidRDefault="00454A29"/>
        </w:tc>
        <w:tc>
          <w:tcPr>
            <w:tcW w:w="1417" w:type="dxa"/>
            <w:vMerge/>
          </w:tcPr>
          <w:p w14:paraId="1336B187" w14:textId="77777777" w:rsidR="00454A29" w:rsidRDefault="00454A29"/>
        </w:tc>
        <w:tc>
          <w:tcPr>
            <w:tcW w:w="2324" w:type="dxa"/>
            <w:vMerge/>
          </w:tcPr>
          <w:p w14:paraId="34454137" w14:textId="77777777" w:rsidR="00454A29" w:rsidRDefault="00454A29"/>
        </w:tc>
        <w:tc>
          <w:tcPr>
            <w:tcW w:w="1701" w:type="dxa"/>
            <w:vAlign w:val="center"/>
          </w:tcPr>
          <w:p w14:paraId="5FE3A528" w14:textId="77777777" w:rsidR="00454A29" w:rsidRDefault="00454A29">
            <w:pPr>
              <w:pStyle w:val="ConsPlusNormal"/>
            </w:pPr>
          </w:p>
        </w:tc>
        <w:tc>
          <w:tcPr>
            <w:tcW w:w="1814" w:type="dxa"/>
            <w:vAlign w:val="center"/>
          </w:tcPr>
          <w:p w14:paraId="3B43E8FE" w14:textId="77777777" w:rsidR="00454A29" w:rsidRDefault="00454A29">
            <w:pPr>
              <w:pStyle w:val="ConsPlusNormal"/>
            </w:pPr>
          </w:p>
        </w:tc>
        <w:tc>
          <w:tcPr>
            <w:tcW w:w="1701" w:type="dxa"/>
            <w:vAlign w:val="center"/>
          </w:tcPr>
          <w:p w14:paraId="374E1C9C" w14:textId="77777777" w:rsidR="00454A29" w:rsidRDefault="00454A29">
            <w:pPr>
              <w:pStyle w:val="ConsPlusNormal"/>
            </w:pPr>
          </w:p>
        </w:tc>
        <w:tc>
          <w:tcPr>
            <w:tcW w:w="1701" w:type="dxa"/>
            <w:vAlign w:val="center"/>
          </w:tcPr>
          <w:p w14:paraId="4AAC5953" w14:textId="77777777" w:rsidR="00454A29" w:rsidRDefault="00454A29">
            <w:pPr>
              <w:pStyle w:val="ConsPlusNormal"/>
            </w:pPr>
          </w:p>
        </w:tc>
        <w:tc>
          <w:tcPr>
            <w:tcW w:w="1814" w:type="dxa"/>
            <w:vAlign w:val="center"/>
          </w:tcPr>
          <w:p w14:paraId="50EB9806" w14:textId="77777777" w:rsidR="00454A29" w:rsidRDefault="00454A29">
            <w:pPr>
              <w:pStyle w:val="ConsPlusNormal"/>
            </w:pPr>
          </w:p>
        </w:tc>
      </w:tr>
      <w:tr w:rsidR="00454A29" w14:paraId="0A150769" w14:textId="77777777">
        <w:tc>
          <w:tcPr>
            <w:tcW w:w="567" w:type="dxa"/>
            <w:vMerge/>
          </w:tcPr>
          <w:p w14:paraId="59237078" w14:textId="77777777" w:rsidR="00454A29" w:rsidRDefault="00454A29"/>
        </w:tc>
        <w:tc>
          <w:tcPr>
            <w:tcW w:w="3345" w:type="dxa"/>
            <w:vMerge/>
          </w:tcPr>
          <w:p w14:paraId="3F9EA3B4" w14:textId="77777777" w:rsidR="00454A29" w:rsidRDefault="00454A29"/>
        </w:tc>
        <w:tc>
          <w:tcPr>
            <w:tcW w:w="1701" w:type="dxa"/>
            <w:vAlign w:val="center"/>
          </w:tcPr>
          <w:p w14:paraId="43FB10C0" w14:textId="77777777" w:rsidR="00454A29" w:rsidRDefault="00454A29">
            <w:pPr>
              <w:pStyle w:val="ConsPlusNormal"/>
              <w:jc w:val="center"/>
            </w:pPr>
            <w:r>
              <w:t>2024</w:t>
            </w:r>
          </w:p>
        </w:tc>
        <w:tc>
          <w:tcPr>
            <w:tcW w:w="1417" w:type="dxa"/>
            <w:vMerge/>
          </w:tcPr>
          <w:p w14:paraId="11BE5FDB" w14:textId="77777777" w:rsidR="00454A29" w:rsidRDefault="00454A29"/>
        </w:tc>
        <w:tc>
          <w:tcPr>
            <w:tcW w:w="2204" w:type="dxa"/>
            <w:vMerge/>
          </w:tcPr>
          <w:p w14:paraId="4F7020AF" w14:textId="77777777" w:rsidR="00454A29" w:rsidRDefault="00454A29"/>
        </w:tc>
        <w:tc>
          <w:tcPr>
            <w:tcW w:w="1417" w:type="dxa"/>
            <w:vMerge/>
          </w:tcPr>
          <w:p w14:paraId="1BA2C865" w14:textId="77777777" w:rsidR="00454A29" w:rsidRDefault="00454A29"/>
        </w:tc>
        <w:tc>
          <w:tcPr>
            <w:tcW w:w="2324" w:type="dxa"/>
            <w:vMerge/>
          </w:tcPr>
          <w:p w14:paraId="4EEE96F8" w14:textId="77777777" w:rsidR="00454A29" w:rsidRDefault="00454A29"/>
        </w:tc>
        <w:tc>
          <w:tcPr>
            <w:tcW w:w="1701" w:type="dxa"/>
            <w:vAlign w:val="center"/>
          </w:tcPr>
          <w:p w14:paraId="32227E7D" w14:textId="77777777" w:rsidR="00454A29" w:rsidRDefault="00454A29">
            <w:pPr>
              <w:pStyle w:val="ConsPlusNormal"/>
            </w:pPr>
          </w:p>
        </w:tc>
        <w:tc>
          <w:tcPr>
            <w:tcW w:w="1814" w:type="dxa"/>
            <w:vAlign w:val="center"/>
          </w:tcPr>
          <w:p w14:paraId="705B4571" w14:textId="77777777" w:rsidR="00454A29" w:rsidRDefault="00454A29">
            <w:pPr>
              <w:pStyle w:val="ConsPlusNormal"/>
            </w:pPr>
          </w:p>
        </w:tc>
        <w:tc>
          <w:tcPr>
            <w:tcW w:w="1701" w:type="dxa"/>
            <w:vAlign w:val="center"/>
          </w:tcPr>
          <w:p w14:paraId="7883FD8D" w14:textId="77777777" w:rsidR="00454A29" w:rsidRDefault="00454A29">
            <w:pPr>
              <w:pStyle w:val="ConsPlusNormal"/>
            </w:pPr>
          </w:p>
        </w:tc>
        <w:tc>
          <w:tcPr>
            <w:tcW w:w="1701" w:type="dxa"/>
            <w:vAlign w:val="center"/>
          </w:tcPr>
          <w:p w14:paraId="7AA31403" w14:textId="77777777" w:rsidR="00454A29" w:rsidRDefault="00454A29">
            <w:pPr>
              <w:pStyle w:val="ConsPlusNormal"/>
            </w:pPr>
          </w:p>
        </w:tc>
        <w:tc>
          <w:tcPr>
            <w:tcW w:w="1814" w:type="dxa"/>
            <w:vAlign w:val="center"/>
          </w:tcPr>
          <w:p w14:paraId="5D43B8CA" w14:textId="77777777" w:rsidR="00454A29" w:rsidRDefault="00454A29">
            <w:pPr>
              <w:pStyle w:val="ConsPlusNormal"/>
            </w:pPr>
          </w:p>
        </w:tc>
      </w:tr>
      <w:tr w:rsidR="00454A29" w14:paraId="51979BD9" w14:textId="77777777">
        <w:tc>
          <w:tcPr>
            <w:tcW w:w="567" w:type="dxa"/>
            <w:vMerge/>
          </w:tcPr>
          <w:p w14:paraId="63C9FB71" w14:textId="77777777" w:rsidR="00454A29" w:rsidRDefault="00454A29"/>
        </w:tc>
        <w:tc>
          <w:tcPr>
            <w:tcW w:w="3345" w:type="dxa"/>
            <w:vMerge/>
          </w:tcPr>
          <w:p w14:paraId="56C01603" w14:textId="77777777" w:rsidR="00454A29" w:rsidRDefault="00454A29"/>
        </w:tc>
        <w:tc>
          <w:tcPr>
            <w:tcW w:w="1701" w:type="dxa"/>
            <w:vAlign w:val="center"/>
          </w:tcPr>
          <w:p w14:paraId="22194383" w14:textId="77777777" w:rsidR="00454A29" w:rsidRDefault="00454A29">
            <w:pPr>
              <w:pStyle w:val="ConsPlusNormal"/>
              <w:jc w:val="center"/>
            </w:pPr>
            <w:r>
              <w:t>2025</w:t>
            </w:r>
          </w:p>
        </w:tc>
        <w:tc>
          <w:tcPr>
            <w:tcW w:w="1417" w:type="dxa"/>
            <w:vMerge/>
          </w:tcPr>
          <w:p w14:paraId="3E3FCAF0" w14:textId="77777777" w:rsidR="00454A29" w:rsidRDefault="00454A29"/>
        </w:tc>
        <w:tc>
          <w:tcPr>
            <w:tcW w:w="2204" w:type="dxa"/>
            <w:vMerge/>
          </w:tcPr>
          <w:p w14:paraId="30592491" w14:textId="77777777" w:rsidR="00454A29" w:rsidRDefault="00454A29"/>
        </w:tc>
        <w:tc>
          <w:tcPr>
            <w:tcW w:w="1417" w:type="dxa"/>
            <w:vMerge/>
          </w:tcPr>
          <w:p w14:paraId="66DC9E2C" w14:textId="77777777" w:rsidR="00454A29" w:rsidRDefault="00454A29"/>
        </w:tc>
        <w:tc>
          <w:tcPr>
            <w:tcW w:w="2324" w:type="dxa"/>
            <w:vMerge/>
          </w:tcPr>
          <w:p w14:paraId="38ACF379" w14:textId="77777777" w:rsidR="00454A29" w:rsidRDefault="00454A29"/>
        </w:tc>
        <w:tc>
          <w:tcPr>
            <w:tcW w:w="1701" w:type="dxa"/>
            <w:vAlign w:val="center"/>
          </w:tcPr>
          <w:p w14:paraId="5E053B9A" w14:textId="77777777" w:rsidR="00454A29" w:rsidRDefault="00454A29">
            <w:pPr>
              <w:pStyle w:val="ConsPlusNormal"/>
              <w:jc w:val="center"/>
            </w:pPr>
            <w:r>
              <w:t>183 912,26</w:t>
            </w:r>
          </w:p>
        </w:tc>
        <w:tc>
          <w:tcPr>
            <w:tcW w:w="1814" w:type="dxa"/>
            <w:vAlign w:val="center"/>
          </w:tcPr>
          <w:p w14:paraId="09CC6A33" w14:textId="77777777" w:rsidR="00454A29" w:rsidRDefault="00454A29">
            <w:pPr>
              <w:pStyle w:val="ConsPlusNormal"/>
              <w:jc w:val="center"/>
            </w:pPr>
            <w:r>
              <w:t>2 326,49</w:t>
            </w:r>
          </w:p>
        </w:tc>
        <w:tc>
          <w:tcPr>
            <w:tcW w:w="1701" w:type="dxa"/>
            <w:vAlign w:val="center"/>
          </w:tcPr>
          <w:p w14:paraId="0212E58C" w14:textId="77777777" w:rsidR="00454A29" w:rsidRDefault="00454A29">
            <w:pPr>
              <w:pStyle w:val="ConsPlusNormal"/>
              <w:jc w:val="center"/>
            </w:pPr>
            <w:r>
              <w:t>230 322,52</w:t>
            </w:r>
          </w:p>
        </w:tc>
        <w:tc>
          <w:tcPr>
            <w:tcW w:w="1701" w:type="dxa"/>
            <w:vAlign w:val="center"/>
          </w:tcPr>
          <w:p w14:paraId="29FCD61F" w14:textId="77777777" w:rsidR="00454A29" w:rsidRDefault="00454A29">
            <w:pPr>
              <w:pStyle w:val="ConsPlusNormal"/>
            </w:pPr>
          </w:p>
        </w:tc>
        <w:tc>
          <w:tcPr>
            <w:tcW w:w="1814" w:type="dxa"/>
            <w:vAlign w:val="center"/>
          </w:tcPr>
          <w:p w14:paraId="63AF27D2" w14:textId="77777777" w:rsidR="00454A29" w:rsidRDefault="00454A29">
            <w:pPr>
              <w:pStyle w:val="ConsPlusNormal"/>
            </w:pPr>
          </w:p>
        </w:tc>
      </w:tr>
      <w:tr w:rsidR="00454A29" w14:paraId="00BA8E89" w14:textId="77777777">
        <w:tc>
          <w:tcPr>
            <w:tcW w:w="567" w:type="dxa"/>
            <w:vMerge/>
          </w:tcPr>
          <w:p w14:paraId="4042B7A3" w14:textId="77777777" w:rsidR="00454A29" w:rsidRDefault="00454A29"/>
        </w:tc>
        <w:tc>
          <w:tcPr>
            <w:tcW w:w="3345" w:type="dxa"/>
            <w:vMerge/>
          </w:tcPr>
          <w:p w14:paraId="5A8BBFF4" w14:textId="77777777" w:rsidR="00454A29" w:rsidRDefault="00454A29"/>
        </w:tc>
        <w:tc>
          <w:tcPr>
            <w:tcW w:w="1701" w:type="dxa"/>
            <w:vAlign w:val="center"/>
          </w:tcPr>
          <w:p w14:paraId="3E4FE861" w14:textId="77777777" w:rsidR="00454A29" w:rsidRDefault="00454A29">
            <w:pPr>
              <w:pStyle w:val="ConsPlusNormal"/>
              <w:jc w:val="center"/>
            </w:pPr>
            <w:r>
              <w:t>2026</w:t>
            </w:r>
          </w:p>
        </w:tc>
        <w:tc>
          <w:tcPr>
            <w:tcW w:w="1417" w:type="dxa"/>
            <w:vMerge/>
          </w:tcPr>
          <w:p w14:paraId="1A92AAEE" w14:textId="77777777" w:rsidR="00454A29" w:rsidRDefault="00454A29"/>
        </w:tc>
        <w:tc>
          <w:tcPr>
            <w:tcW w:w="2204" w:type="dxa"/>
            <w:vMerge/>
          </w:tcPr>
          <w:p w14:paraId="07B43033" w14:textId="77777777" w:rsidR="00454A29" w:rsidRDefault="00454A29"/>
        </w:tc>
        <w:tc>
          <w:tcPr>
            <w:tcW w:w="1417" w:type="dxa"/>
            <w:vMerge/>
          </w:tcPr>
          <w:p w14:paraId="26A9CFCC" w14:textId="77777777" w:rsidR="00454A29" w:rsidRDefault="00454A29"/>
        </w:tc>
        <w:tc>
          <w:tcPr>
            <w:tcW w:w="2324" w:type="dxa"/>
            <w:vMerge/>
          </w:tcPr>
          <w:p w14:paraId="5B959295" w14:textId="77777777" w:rsidR="00454A29" w:rsidRDefault="00454A29"/>
        </w:tc>
        <w:tc>
          <w:tcPr>
            <w:tcW w:w="1701" w:type="dxa"/>
            <w:vAlign w:val="center"/>
          </w:tcPr>
          <w:p w14:paraId="1425574A" w14:textId="77777777" w:rsidR="00454A29" w:rsidRDefault="00454A29">
            <w:pPr>
              <w:pStyle w:val="ConsPlusNormal"/>
            </w:pPr>
          </w:p>
        </w:tc>
        <w:tc>
          <w:tcPr>
            <w:tcW w:w="1814" w:type="dxa"/>
            <w:vAlign w:val="center"/>
          </w:tcPr>
          <w:p w14:paraId="779280B4" w14:textId="77777777" w:rsidR="00454A29" w:rsidRDefault="00454A29">
            <w:pPr>
              <w:pStyle w:val="ConsPlusNormal"/>
            </w:pPr>
          </w:p>
        </w:tc>
        <w:tc>
          <w:tcPr>
            <w:tcW w:w="1701" w:type="dxa"/>
            <w:vAlign w:val="center"/>
          </w:tcPr>
          <w:p w14:paraId="4A607CE4" w14:textId="77777777" w:rsidR="00454A29" w:rsidRDefault="00454A29">
            <w:pPr>
              <w:pStyle w:val="ConsPlusNormal"/>
            </w:pPr>
          </w:p>
        </w:tc>
        <w:tc>
          <w:tcPr>
            <w:tcW w:w="1701" w:type="dxa"/>
            <w:vAlign w:val="center"/>
          </w:tcPr>
          <w:p w14:paraId="72A40846" w14:textId="77777777" w:rsidR="00454A29" w:rsidRDefault="00454A29">
            <w:pPr>
              <w:pStyle w:val="ConsPlusNormal"/>
            </w:pPr>
          </w:p>
        </w:tc>
        <w:tc>
          <w:tcPr>
            <w:tcW w:w="1814" w:type="dxa"/>
            <w:vAlign w:val="center"/>
          </w:tcPr>
          <w:p w14:paraId="19DE5048" w14:textId="77777777" w:rsidR="00454A29" w:rsidRDefault="00454A29">
            <w:pPr>
              <w:pStyle w:val="ConsPlusNormal"/>
            </w:pPr>
          </w:p>
        </w:tc>
      </w:tr>
      <w:tr w:rsidR="00454A29" w14:paraId="053CB3C6" w14:textId="77777777">
        <w:tc>
          <w:tcPr>
            <w:tcW w:w="567" w:type="dxa"/>
            <w:vMerge w:val="restart"/>
            <w:vAlign w:val="center"/>
          </w:tcPr>
          <w:p w14:paraId="0FFACFFA" w14:textId="77777777" w:rsidR="00454A29" w:rsidRDefault="00454A29">
            <w:pPr>
              <w:pStyle w:val="ConsPlusNormal"/>
              <w:jc w:val="center"/>
            </w:pPr>
            <w:r>
              <w:t>108</w:t>
            </w:r>
          </w:p>
        </w:tc>
        <w:tc>
          <w:tcPr>
            <w:tcW w:w="3345" w:type="dxa"/>
            <w:vMerge w:val="restart"/>
            <w:vAlign w:val="center"/>
          </w:tcPr>
          <w:p w14:paraId="240951C3" w14:textId="77777777" w:rsidR="00454A29" w:rsidRDefault="00454A29">
            <w:pPr>
              <w:pStyle w:val="ConsPlusNormal"/>
              <w:jc w:val="center"/>
            </w:pPr>
            <w:r>
              <w:t>Школа на 160 учащихся в с. Токко</w:t>
            </w:r>
          </w:p>
        </w:tc>
        <w:tc>
          <w:tcPr>
            <w:tcW w:w="1701" w:type="dxa"/>
            <w:vAlign w:val="center"/>
          </w:tcPr>
          <w:p w14:paraId="14925DB4" w14:textId="77777777" w:rsidR="00454A29" w:rsidRDefault="00454A29">
            <w:pPr>
              <w:pStyle w:val="ConsPlusNormal"/>
              <w:jc w:val="center"/>
            </w:pPr>
            <w:r>
              <w:t>2020 - 2026 годы - всего</w:t>
            </w:r>
          </w:p>
        </w:tc>
        <w:tc>
          <w:tcPr>
            <w:tcW w:w="1417" w:type="dxa"/>
            <w:vMerge w:val="restart"/>
            <w:vAlign w:val="center"/>
          </w:tcPr>
          <w:p w14:paraId="4E217288" w14:textId="77777777" w:rsidR="00454A29" w:rsidRDefault="00454A29">
            <w:pPr>
              <w:pStyle w:val="ConsPlusNormal"/>
              <w:jc w:val="center"/>
            </w:pPr>
            <w:r>
              <w:t>503 139,90</w:t>
            </w:r>
          </w:p>
        </w:tc>
        <w:tc>
          <w:tcPr>
            <w:tcW w:w="2204" w:type="dxa"/>
            <w:vMerge w:val="restart"/>
            <w:vAlign w:val="center"/>
          </w:tcPr>
          <w:p w14:paraId="7433AD13" w14:textId="77777777" w:rsidR="00454A29" w:rsidRDefault="00454A29">
            <w:pPr>
              <w:pStyle w:val="ConsPlusNormal"/>
            </w:pPr>
          </w:p>
        </w:tc>
        <w:tc>
          <w:tcPr>
            <w:tcW w:w="1417" w:type="dxa"/>
            <w:vMerge w:val="restart"/>
            <w:vAlign w:val="center"/>
          </w:tcPr>
          <w:p w14:paraId="7D839601" w14:textId="77777777" w:rsidR="00454A29" w:rsidRDefault="00454A29">
            <w:pPr>
              <w:pStyle w:val="ConsPlusNormal"/>
              <w:jc w:val="center"/>
            </w:pPr>
            <w:r>
              <w:t>160</w:t>
            </w:r>
          </w:p>
        </w:tc>
        <w:tc>
          <w:tcPr>
            <w:tcW w:w="2324" w:type="dxa"/>
            <w:vMerge w:val="restart"/>
            <w:vAlign w:val="center"/>
          </w:tcPr>
          <w:p w14:paraId="3C1E97F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CB93625" w14:textId="77777777" w:rsidR="00454A29" w:rsidRDefault="00454A29">
            <w:pPr>
              <w:pStyle w:val="ConsPlusNormal"/>
              <w:jc w:val="center"/>
            </w:pPr>
            <w:r>
              <w:t>503 139,90</w:t>
            </w:r>
          </w:p>
        </w:tc>
        <w:tc>
          <w:tcPr>
            <w:tcW w:w="1814" w:type="dxa"/>
            <w:vAlign w:val="center"/>
          </w:tcPr>
          <w:p w14:paraId="685F31F5" w14:textId="77777777" w:rsidR="00454A29" w:rsidRDefault="00454A29">
            <w:pPr>
              <w:pStyle w:val="ConsPlusNormal"/>
              <w:jc w:val="center"/>
            </w:pPr>
            <w:r>
              <w:t>6 198,67</w:t>
            </w:r>
          </w:p>
        </w:tc>
        <w:tc>
          <w:tcPr>
            <w:tcW w:w="1701" w:type="dxa"/>
            <w:vAlign w:val="center"/>
          </w:tcPr>
          <w:p w14:paraId="270C8269" w14:textId="77777777" w:rsidR="00454A29" w:rsidRDefault="00454A29">
            <w:pPr>
              <w:pStyle w:val="ConsPlusNormal"/>
              <w:jc w:val="center"/>
            </w:pPr>
            <w:r>
              <w:t>613 669,68</w:t>
            </w:r>
          </w:p>
        </w:tc>
        <w:tc>
          <w:tcPr>
            <w:tcW w:w="1701" w:type="dxa"/>
            <w:vAlign w:val="center"/>
          </w:tcPr>
          <w:p w14:paraId="25F3BA08" w14:textId="77777777" w:rsidR="00454A29" w:rsidRDefault="00454A29">
            <w:pPr>
              <w:pStyle w:val="ConsPlusNormal"/>
              <w:jc w:val="center"/>
            </w:pPr>
            <w:r>
              <w:t>-</w:t>
            </w:r>
          </w:p>
        </w:tc>
        <w:tc>
          <w:tcPr>
            <w:tcW w:w="1814" w:type="dxa"/>
            <w:vAlign w:val="center"/>
          </w:tcPr>
          <w:p w14:paraId="12348E1D" w14:textId="77777777" w:rsidR="00454A29" w:rsidRDefault="00454A29">
            <w:pPr>
              <w:pStyle w:val="ConsPlusNormal"/>
              <w:jc w:val="center"/>
            </w:pPr>
            <w:r>
              <w:t>-</w:t>
            </w:r>
          </w:p>
        </w:tc>
      </w:tr>
      <w:tr w:rsidR="00454A29" w14:paraId="24D8D7DF" w14:textId="77777777">
        <w:tc>
          <w:tcPr>
            <w:tcW w:w="567" w:type="dxa"/>
            <w:vMerge/>
          </w:tcPr>
          <w:p w14:paraId="04C9601E" w14:textId="77777777" w:rsidR="00454A29" w:rsidRDefault="00454A29"/>
        </w:tc>
        <w:tc>
          <w:tcPr>
            <w:tcW w:w="3345" w:type="dxa"/>
            <w:vMerge/>
          </w:tcPr>
          <w:p w14:paraId="3C790051" w14:textId="77777777" w:rsidR="00454A29" w:rsidRDefault="00454A29"/>
        </w:tc>
        <w:tc>
          <w:tcPr>
            <w:tcW w:w="1701" w:type="dxa"/>
            <w:vAlign w:val="center"/>
          </w:tcPr>
          <w:p w14:paraId="090DFDB8" w14:textId="77777777" w:rsidR="00454A29" w:rsidRDefault="00454A29">
            <w:pPr>
              <w:pStyle w:val="ConsPlusNormal"/>
              <w:jc w:val="center"/>
            </w:pPr>
            <w:r>
              <w:t>2020</w:t>
            </w:r>
          </w:p>
        </w:tc>
        <w:tc>
          <w:tcPr>
            <w:tcW w:w="1417" w:type="dxa"/>
            <w:vMerge/>
          </w:tcPr>
          <w:p w14:paraId="78CB2A99" w14:textId="77777777" w:rsidR="00454A29" w:rsidRDefault="00454A29"/>
        </w:tc>
        <w:tc>
          <w:tcPr>
            <w:tcW w:w="2204" w:type="dxa"/>
            <w:vMerge/>
          </w:tcPr>
          <w:p w14:paraId="252E169C" w14:textId="77777777" w:rsidR="00454A29" w:rsidRDefault="00454A29"/>
        </w:tc>
        <w:tc>
          <w:tcPr>
            <w:tcW w:w="1417" w:type="dxa"/>
            <w:vMerge/>
          </w:tcPr>
          <w:p w14:paraId="74262F38" w14:textId="77777777" w:rsidR="00454A29" w:rsidRDefault="00454A29"/>
        </w:tc>
        <w:tc>
          <w:tcPr>
            <w:tcW w:w="2324" w:type="dxa"/>
            <w:vMerge/>
          </w:tcPr>
          <w:p w14:paraId="77EE5B4C" w14:textId="77777777" w:rsidR="00454A29" w:rsidRDefault="00454A29"/>
        </w:tc>
        <w:tc>
          <w:tcPr>
            <w:tcW w:w="1701" w:type="dxa"/>
            <w:vAlign w:val="center"/>
          </w:tcPr>
          <w:p w14:paraId="0E315871" w14:textId="77777777" w:rsidR="00454A29" w:rsidRDefault="00454A29">
            <w:pPr>
              <w:pStyle w:val="ConsPlusNormal"/>
            </w:pPr>
          </w:p>
        </w:tc>
        <w:tc>
          <w:tcPr>
            <w:tcW w:w="1814" w:type="dxa"/>
            <w:vAlign w:val="center"/>
          </w:tcPr>
          <w:p w14:paraId="161A94D6" w14:textId="77777777" w:rsidR="00454A29" w:rsidRDefault="00454A29">
            <w:pPr>
              <w:pStyle w:val="ConsPlusNormal"/>
            </w:pPr>
          </w:p>
        </w:tc>
        <w:tc>
          <w:tcPr>
            <w:tcW w:w="1701" w:type="dxa"/>
            <w:vAlign w:val="center"/>
          </w:tcPr>
          <w:p w14:paraId="14CC888C" w14:textId="77777777" w:rsidR="00454A29" w:rsidRDefault="00454A29">
            <w:pPr>
              <w:pStyle w:val="ConsPlusNormal"/>
            </w:pPr>
          </w:p>
        </w:tc>
        <w:tc>
          <w:tcPr>
            <w:tcW w:w="1701" w:type="dxa"/>
            <w:vAlign w:val="center"/>
          </w:tcPr>
          <w:p w14:paraId="059F1C2F" w14:textId="77777777" w:rsidR="00454A29" w:rsidRDefault="00454A29">
            <w:pPr>
              <w:pStyle w:val="ConsPlusNormal"/>
            </w:pPr>
          </w:p>
        </w:tc>
        <w:tc>
          <w:tcPr>
            <w:tcW w:w="1814" w:type="dxa"/>
            <w:vAlign w:val="center"/>
          </w:tcPr>
          <w:p w14:paraId="4408E8D4" w14:textId="77777777" w:rsidR="00454A29" w:rsidRDefault="00454A29">
            <w:pPr>
              <w:pStyle w:val="ConsPlusNormal"/>
            </w:pPr>
          </w:p>
        </w:tc>
      </w:tr>
      <w:tr w:rsidR="00454A29" w14:paraId="7E066E98" w14:textId="77777777">
        <w:tc>
          <w:tcPr>
            <w:tcW w:w="567" w:type="dxa"/>
            <w:vMerge/>
          </w:tcPr>
          <w:p w14:paraId="2DDE4B19" w14:textId="77777777" w:rsidR="00454A29" w:rsidRDefault="00454A29"/>
        </w:tc>
        <w:tc>
          <w:tcPr>
            <w:tcW w:w="3345" w:type="dxa"/>
            <w:vMerge/>
          </w:tcPr>
          <w:p w14:paraId="43F3C3B1" w14:textId="77777777" w:rsidR="00454A29" w:rsidRDefault="00454A29"/>
        </w:tc>
        <w:tc>
          <w:tcPr>
            <w:tcW w:w="1701" w:type="dxa"/>
            <w:vAlign w:val="center"/>
          </w:tcPr>
          <w:p w14:paraId="79A72D52" w14:textId="77777777" w:rsidR="00454A29" w:rsidRDefault="00454A29">
            <w:pPr>
              <w:pStyle w:val="ConsPlusNormal"/>
              <w:jc w:val="center"/>
            </w:pPr>
            <w:r>
              <w:t>2021</w:t>
            </w:r>
          </w:p>
        </w:tc>
        <w:tc>
          <w:tcPr>
            <w:tcW w:w="1417" w:type="dxa"/>
            <w:vMerge/>
          </w:tcPr>
          <w:p w14:paraId="1D82A2B2" w14:textId="77777777" w:rsidR="00454A29" w:rsidRDefault="00454A29"/>
        </w:tc>
        <w:tc>
          <w:tcPr>
            <w:tcW w:w="2204" w:type="dxa"/>
            <w:vMerge/>
          </w:tcPr>
          <w:p w14:paraId="37A83C8A" w14:textId="77777777" w:rsidR="00454A29" w:rsidRDefault="00454A29"/>
        </w:tc>
        <w:tc>
          <w:tcPr>
            <w:tcW w:w="1417" w:type="dxa"/>
            <w:vMerge/>
          </w:tcPr>
          <w:p w14:paraId="4C27449C" w14:textId="77777777" w:rsidR="00454A29" w:rsidRDefault="00454A29"/>
        </w:tc>
        <w:tc>
          <w:tcPr>
            <w:tcW w:w="2324" w:type="dxa"/>
            <w:vMerge/>
          </w:tcPr>
          <w:p w14:paraId="198003A5" w14:textId="77777777" w:rsidR="00454A29" w:rsidRDefault="00454A29"/>
        </w:tc>
        <w:tc>
          <w:tcPr>
            <w:tcW w:w="1701" w:type="dxa"/>
            <w:vAlign w:val="center"/>
          </w:tcPr>
          <w:p w14:paraId="5F1884CA" w14:textId="77777777" w:rsidR="00454A29" w:rsidRDefault="00454A29">
            <w:pPr>
              <w:pStyle w:val="ConsPlusNormal"/>
            </w:pPr>
          </w:p>
        </w:tc>
        <w:tc>
          <w:tcPr>
            <w:tcW w:w="1814" w:type="dxa"/>
            <w:vAlign w:val="center"/>
          </w:tcPr>
          <w:p w14:paraId="4AAB2DE5" w14:textId="77777777" w:rsidR="00454A29" w:rsidRDefault="00454A29">
            <w:pPr>
              <w:pStyle w:val="ConsPlusNormal"/>
            </w:pPr>
          </w:p>
        </w:tc>
        <w:tc>
          <w:tcPr>
            <w:tcW w:w="1701" w:type="dxa"/>
            <w:vAlign w:val="center"/>
          </w:tcPr>
          <w:p w14:paraId="240C9557" w14:textId="77777777" w:rsidR="00454A29" w:rsidRDefault="00454A29">
            <w:pPr>
              <w:pStyle w:val="ConsPlusNormal"/>
            </w:pPr>
          </w:p>
        </w:tc>
        <w:tc>
          <w:tcPr>
            <w:tcW w:w="1701" w:type="dxa"/>
            <w:vAlign w:val="center"/>
          </w:tcPr>
          <w:p w14:paraId="11C9FAB5" w14:textId="77777777" w:rsidR="00454A29" w:rsidRDefault="00454A29">
            <w:pPr>
              <w:pStyle w:val="ConsPlusNormal"/>
            </w:pPr>
          </w:p>
        </w:tc>
        <w:tc>
          <w:tcPr>
            <w:tcW w:w="1814" w:type="dxa"/>
            <w:vAlign w:val="center"/>
          </w:tcPr>
          <w:p w14:paraId="0CA3ABE7" w14:textId="77777777" w:rsidR="00454A29" w:rsidRDefault="00454A29">
            <w:pPr>
              <w:pStyle w:val="ConsPlusNormal"/>
            </w:pPr>
          </w:p>
        </w:tc>
      </w:tr>
      <w:tr w:rsidR="00454A29" w14:paraId="2DA9CE99" w14:textId="77777777">
        <w:tc>
          <w:tcPr>
            <w:tcW w:w="567" w:type="dxa"/>
            <w:vMerge/>
          </w:tcPr>
          <w:p w14:paraId="57CDA777" w14:textId="77777777" w:rsidR="00454A29" w:rsidRDefault="00454A29"/>
        </w:tc>
        <w:tc>
          <w:tcPr>
            <w:tcW w:w="3345" w:type="dxa"/>
            <w:vMerge/>
          </w:tcPr>
          <w:p w14:paraId="079E6FF4" w14:textId="77777777" w:rsidR="00454A29" w:rsidRDefault="00454A29"/>
        </w:tc>
        <w:tc>
          <w:tcPr>
            <w:tcW w:w="1701" w:type="dxa"/>
            <w:vAlign w:val="center"/>
          </w:tcPr>
          <w:p w14:paraId="64399072" w14:textId="77777777" w:rsidR="00454A29" w:rsidRDefault="00454A29">
            <w:pPr>
              <w:pStyle w:val="ConsPlusNormal"/>
              <w:jc w:val="center"/>
            </w:pPr>
            <w:r>
              <w:t>2022</w:t>
            </w:r>
          </w:p>
        </w:tc>
        <w:tc>
          <w:tcPr>
            <w:tcW w:w="1417" w:type="dxa"/>
            <w:vMerge/>
          </w:tcPr>
          <w:p w14:paraId="0F675715" w14:textId="77777777" w:rsidR="00454A29" w:rsidRDefault="00454A29"/>
        </w:tc>
        <w:tc>
          <w:tcPr>
            <w:tcW w:w="2204" w:type="dxa"/>
            <w:vMerge/>
          </w:tcPr>
          <w:p w14:paraId="0A84892A" w14:textId="77777777" w:rsidR="00454A29" w:rsidRDefault="00454A29"/>
        </w:tc>
        <w:tc>
          <w:tcPr>
            <w:tcW w:w="1417" w:type="dxa"/>
            <w:vMerge/>
          </w:tcPr>
          <w:p w14:paraId="198EBD24" w14:textId="77777777" w:rsidR="00454A29" w:rsidRDefault="00454A29"/>
        </w:tc>
        <w:tc>
          <w:tcPr>
            <w:tcW w:w="2324" w:type="dxa"/>
            <w:vMerge/>
          </w:tcPr>
          <w:p w14:paraId="13FAE05A" w14:textId="77777777" w:rsidR="00454A29" w:rsidRDefault="00454A29"/>
        </w:tc>
        <w:tc>
          <w:tcPr>
            <w:tcW w:w="1701" w:type="dxa"/>
            <w:vAlign w:val="center"/>
          </w:tcPr>
          <w:p w14:paraId="1A7DA11C" w14:textId="77777777" w:rsidR="00454A29" w:rsidRDefault="00454A29">
            <w:pPr>
              <w:pStyle w:val="ConsPlusNormal"/>
            </w:pPr>
          </w:p>
        </w:tc>
        <w:tc>
          <w:tcPr>
            <w:tcW w:w="1814" w:type="dxa"/>
            <w:vAlign w:val="center"/>
          </w:tcPr>
          <w:p w14:paraId="609A5C6D" w14:textId="77777777" w:rsidR="00454A29" w:rsidRDefault="00454A29">
            <w:pPr>
              <w:pStyle w:val="ConsPlusNormal"/>
            </w:pPr>
          </w:p>
        </w:tc>
        <w:tc>
          <w:tcPr>
            <w:tcW w:w="1701" w:type="dxa"/>
            <w:vAlign w:val="center"/>
          </w:tcPr>
          <w:p w14:paraId="1CD8B6B7" w14:textId="77777777" w:rsidR="00454A29" w:rsidRDefault="00454A29">
            <w:pPr>
              <w:pStyle w:val="ConsPlusNormal"/>
            </w:pPr>
          </w:p>
        </w:tc>
        <w:tc>
          <w:tcPr>
            <w:tcW w:w="1701" w:type="dxa"/>
            <w:vAlign w:val="center"/>
          </w:tcPr>
          <w:p w14:paraId="40E63A49" w14:textId="77777777" w:rsidR="00454A29" w:rsidRDefault="00454A29">
            <w:pPr>
              <w:pStyle w:val="ConsPlusNormal"/>
            </w:pPr>
          </w:p>
        </w:tc>
        <w:tc>
          <w:tcPr>
            <w:tcW w:w="1814" w:type="dxa"/>
            <w:vAlign w:val="center"/>
          </w:tcPr>
          <w:p w14:paraId="5B56D803" w14:textId="77777777" w:rsidR="00454A29" w:rsidRDefault="00454A29">
            <w:pPr>
              <w:pStyle w:val="ConsPlusNormal"/>
            </w:pPr>
          </w:p>
        </w:tc>
      </w:tr>
      <w:tr w:rsidR="00454A29" w14:paraId="6D7D09A9" w14:textId="77777777">
        <w:tc>
          <w:tcPr>
            <w:tcW w:w="567" w:type="dxa"/>
            <w:vMerge/>
          </w:tcPr>
          <w:p w14:paraId="66677F73" w14:textId="77777777" w:rsidR="00454A29" w:rsidRDefault="00454A29"/>
        </w:tc>
        <w:tc>
          <w:tcPr>
            <w:tcW w:w="3345" w:type="dxa"/>
            <w:vMerge/>
          </w:tcPr>
          <w:p w14:paraId="2B913DA3" w14:textId="77777777" w:rsidR="00454A29" w:rsidRDefault="00454A29"/>
        </w:tc>
        <w:tc>
          <w:tcPr>
            <w:tcW w:w="1701" w:type="dxa"/>
            <w:vAlign w:val="center"/>
          </w:tcPr>
          <w:p w14:paraId="7DF66E67" w14:textId="77777777" w:rsidR="00454A29" w:rsidRDefault="00454A29">
            <w:pPr>
              <w:pStyle w:val="ConsPlusNormal"/>
              <w:jc w:val="center"/>
            </w:pPr>
            <w:r>
              <w:t>2023</w:t>
            </w:r>
          </w:p>
        </w:tc>
        <w:tc>
          <w:tcPr>
            <w:tcW w:w="1417" w:type="dxa"/>
            <w:vMerge/>
          </w:tcPr>
          <w:p w14:paraId="71F65D9A" w14:textId="77777777" w:rsidR="00454A29" w:rsidRDefault="00454A29"/>
        </w:tc>
        <w:tc>
          <w:tcPr>
            <w:tcW w:w="2204" w:type="dxa"/>
            <w:vMerge/>
          </w:tcPr>
          <w:p w14:paraId="1371C446" w14:textId="77777777" w:rsidR="00454A29" w:rsidRDefault="00454A29"/>
        </w:tc>
        <w:tc>
          <w:tcPr>
            <w:tcW w:w="1417" w:type="dxa"/>
            <w:vMerge/>
          </w:tcPr>
          <w:p w14:paraId="0E83777E" w14:textId="77777777" w:rsidR="00454A29" w:rsidRDefault="00454A29"/>
        </w:tc>
        <w:tc>
          <w:tcPr>
            <w:tcW w:w="2324" w:type="dxa"/>
            <w:vMerge/>
          </w:tcPr>
          <w:p w14:paraId="648BC9E1" w14:textId="77777777" w:rsidR="00454A29" w:rsidRDefault="00454A29"/>
        </w:tc>
        <w:tc>
          <w:tcPr>
            <w:tcW w:w="1701" w:type="dxa"/>
            <w:vAlign w:val="center"/>
          </w:tcPr>
          <w:p w14:paraId="61CCA3EA" w14:textId="77777777" w:rsidR="00454A29" w:rsidRDefault="00454A29">
            <w:pPr>
              <w:pStyle w:val="ConsPlusNormal"/>
              <w:jc w:val="center"/>
            </w:pPr>
            <w:r>
              <w:t>-</w:t>
            </w:r>
          </w:p>
        </w:tc>
        <w:tc>
          <w:tcPr>
            <w:tcW w:w="1814" w:type="dxa"/>
            <w:vAlign w:val="center"/>
          </w:tcPr>
          <w:p w14:paraId="02B9266C" w14:textId="77777777" w:rsidR="00454A29" w:rsidRDefault="00454A29">
            <w:pPr>
              <w:pStyle w:val="ConsPlusNormal"/>
            </w:pPr>
          </w:p>
        </w:tc>
        <w:tc>
          <w:tcPr>
            <w:tcW w:w="1701" w:type="dxa"/>
            <w:vAlign w:val="center"/>
          </w:tcPr>
          <w:p w14:paraId="1403AB9E" w14:textId="77777777" w:rsidR="00454A29" w:rsidRDefault="00454A29">
            <w:pPr>
              <w:pStyle w:val="ConsPlusNormal"/>
            </w:pPr>
          </w:p>
        </w:tc>
        <w:tc>
          <w:tcPr>
            <w:tcW w:w="1701" w:type="dxa"/>
            <w:vAlign w:val="center"/>
          </w:tcPr>
          <w:p w14:paraId="6BDB9095" w14:textId="77777777" w:rsidR="00454A29" w:rsidRDefault="00454A29">
            <w:pPr>
              <w:pStyle w:val="ConsPlusNormal"/>
            </w:pPr>
          </w:p>
        </w:tc>
        <w:tc>
          <w:tcPr>
            <w:tcW w:w="1814" w:type="dxa"/>
            <w:vAlign w:val="center"/>
          </w:tcPr>
          <w:p w14:paraId="6146A035" w14:textId="77777777" w:rsidR="00454A29" w:rsidRDefault="00454A29">
            <w:pPr>
              <w:pStyle w:val="ConsPlusNormal"/>
            </w:pPr>
          </w:p>
        </w:tc>
      </w:tr>
      <w:tr w:rsidR="00454A29" w14:paraId="7F816571" w14:textId="77777777">
        <w:tc>
          <w:tcPr>
            <w:tcW w:w="567" w:type="dxa"/>
            <w:vMerge/>
          </w:tcPr>
          <w:p w14:paraId="70E8949F" w14:textId="77777777" w:rsidR="00454A29" w:rsidRDefault="00454A29"/>
        </w:tc>
        <w:tc>
          <w:tcPr>
            <w:tcW w:w="3345" w:type="dxa"/>
            <w:vMerge/>
          </w:tcPr>
          <w:p w14:paraId="259A9E43" w14:textId="77777777" w:rsidR="00454A29" w:rsidRDefault="00454A29"/>
        </w:tc>
        <w:tc>
          <w:tcPr>
            <w:tcW w:w="1701" w:type="dxa"/>
            <w:vAlign w:val="center"/>
          </w:tcPr>
          <w:p w14:paraId="37B6259D" w14:textId="77777777" w:rsidR="00454A29" w:rsidRDefault="00454A29">
            <w:pPr>
              <w:pStyle w:val="ConsPlusNormal"/>
              <w:jc w:val="center"/>
            </w:pPr>
            <w:r>
              <w:t>2024</w:t>
            </w:r>
          </w:p>
        </w:tc>
        <w:tc>
          <w:tcPr>
            <w:tcW w:w="1417" w:type="dxa"/>
            <w:vMerge/>
          </w:tcPr>
          <w:p w14:paraId="61CDD77E" w14:textId="77777777" w:rsidR="00454A29" w:rsidRDefault="00454A29"/>
        </w:tc>
        <w:tc>
          <w:tcPr>
            <w:tcW w:w="2204" w:type="dxa"/>
            <w:vMerge/>
          </w:tcPr>
          <w:p w14:paraId="30D0E659" w14:textId="77777777" w:rsidR="00454A29" w:rsidRDefault="00454A29"/>
        </w:tc>
        <w:tc>
          <w:tcPr>
            <w:tcW w:w="1417" w:type="dxa"/>
            <w:vMerge/>
          </w:tcPr>
          <w:p w14:paraId="5921BB8C" w14:textId="77777777" w:rsidR="00454A29" w:rsidRDefault="00454A29"/>
        </w:tc>
        <w:tc>
          <w:tcPr>
            <w:tcW w:w="2324" w:type="dxa"/>
            <w:vMerge/>
          </w:tcPr>
          <w:p w14:paraId="7E24D42E" w14:textId="77777777" w:rsidR="00454A29" w:rsidRDefault="00454A29"/>
        </w:tc>
        <w:tc>
          <w:tcPr>
            <w:tcW w:w="1701" w:type="dxa"/>
            <w:vAlign w:val="center"/>
          </w:tcPr>
          <w:p w14:paraId="65ECDF3F" w14:textId="77777777" w:rsidR="00454A29" w:rsidRDefault="00454A29">
            <w:pPr>
              <w:pStyle w:val="ConsPlusNormal"/>
            </w:pPr>
          </w:p>
        </w:tc>
        <w:tc>
          <w:tcPr>
            <w:tcW w:w="1814" w:type="dxa"/>
            <w:vAlign w:val="center"/>
          </w:tcPr>
          <w:p w14:paraId="4B3D5B83" w14:textId="77777777" w:rsidR="00454A29" w:rsidRDefault="00454A29">
            <w:pPr>
              <w:pStyle w:val="ConsPlusNormal"/>
            </w:pPr>
          </w:p>
        </w:tc>
        <w:tc>
          <w:tcPr>
            <w:tcW w:w="1701" w:type="dxa"/>
            <w:vAlign w:val="center"/>
          </w:tcPr>
          <w:p w14:paraId="0BEC9273" w14:textId="77777777" w:rsidR="00454A29" w:rsidRDefault="00454A29">
            <w:pPr>
              <w:pStyle w:val="ConsPlusNormal"/>
            </w:pPr>
          </w:p>
        </w:tc>
        <w:tc>
          <w:tcPr>
            <w:tcW w:w="1701" w:type="dxa"/>
            <w:vAlign w:val="center"/>
          </w:tcPr>
          <w:p w14:paraId="0DBB01CC" w14:textId="77777777" w:rsidR="00454A29" w:rsidRDefault="00454A29">
            <w:pPr>
              <w:pStyle w:val="ConsPlusNormal"/>
            </w:pPr>
          </w:p>
        </w:tc>
        <w:tc>
          <w:tcPr>
            <w:tcW w:w="1814" w:type="dxa"/>
            <w:vAlign w:val="center"/>
          </w:tcPr>
          <w:p w14:paraId="5A40B58A" w14:textId="77777777" w:rsidR="00454A29" w:rsidRDefault="00454A29">
            <w:pPr>
              <w:pStyle w:val="ConsPlusNormal"/>
            </w:pPr>
          </w:p>
        </w:tc>
      </w:tr>
      <w:tr w:rsidR="00454A29" w14:paraId="4BE3C794" w14:textId="77777777">
        <w:tc>
          <w:tcPr>
            <w:tcW w:w="567" w:type="dxa"/>
            <w:vMerge/>
          </w:tcPr>
          <w:p w14:paraId="221D98FD" w14:textId="77777777" w:rsidR="00454A29" w:rsidRDefault="00454A29"/>
        </w:tc>
        <w:tc>
          <w:tcPr>
            <w:tcW w:w="3345" w:type="dxa"/>
            <w:vMerge/>
          </w:tcPr>
          <w:p w14:paraId="6482DBFA" w14:textId="77777777" w:rsidR="00454A29" w:rsidRDefault="00454A29"/>
        </w:tc>
        <w:tc>
          <w:tcPr>
            <w:tcW w:w="1701" w:type="dxa"/>
            <w:vAlign w:val="center"/>
          </w:tcPr>
          <w:p w14:paraId="0B3DFD42" w14:textId="77777777" w:rsidR="00454A29" w:rsidRDefault="00454A29">
            <w:pPr>
              <w:pStyle w:val="ConsPlusNormal"/>
              <w:jc w:val="center"/>
            </w:pPr>
            <w:r>
              <w:t>2025</w:t>
            </w:r>
          </w:p>
        </w:tc>
        <w:tc>
          <w:tcPr>
            <w:tcW w:w="1417" w:type="dxa"/>
            <w:vMerge/>
          </w:tcPr>
          <w:p w14:paraId="642994FB" w14:textId="77777777" w:rsidR="00454A29" w:rsidRDefault="00454A29"/>
        </w:tc>
        <w:tc>
          <w:tcPr>
            <w:tcW w:w="2204" w:type="dxa"/>
            <w:vMerge/>
          </w:tcPr>
          <w:p w14:paraId="2A455061" w14:textId="77777777" w:rsidR="00454A29" w:rsidRDefault="00454A29"/>
        </w:tc>
        <w:tc>
          <w:tcPr>
            <w:tcW w:w="1417" w:type="dxa"/>
            <w:vMerge/>
          </w:tcPr>
          <w:p w14:paraId="402961FE" w14:textId="77777777" w:rsidR="00454A29" w:rsidRDefault="00454A29"/>
        </w:tc>
        <w:tc>
          <w:tcPr>
            <w:tcW w:w="2324" w:type="dxa"/>
            <w:vMerge/>
          </w:tcPr>
          <w:p w14:paraId="0EA1356D" w14:textId="77777777" w:rsidR="00454A29" w:rsidRDefault="00454A29"/>
        </w:tc>
        <w:tc>
          <w:tcPr>
            <w:tcW w:w="1701" w:type="dxa"/>
            <w:vAlign w:val="center"/>
          </w:tcPr>
          <w:p w14:paraId="598B5C81" w14:textId="77777777" w:rsidR="00454A29" w:rsidRDefault="00454A29">
            <w:pPr>
              <w:pStyle w:val="ConsPlusNormal"/>
            </w:pPr>
          </w:p>
        </w:tc>
        <w:tc>
          <w:tcPr>
            <w:tcW w:w="1814" w:type="dxa"/>
            <w:vAlign w:val="center"/>
          </w:tcPr>
          <w:p w14:paraId="5268ACC2" w14:textId="77777777" w:rsidR="00454A29" w:rsidRDefault="00454A29">
            <w:pPr>
              <w:pStyle w:val="ConsPlusNormal"/>
            </w:pPr>
          </w:p>
        </w:tc>
        <w:tc>
          <w:tcPr>
            <w:tcW w:w="1701" w:type="dxa"/>
            <w:vAlign w:val="center"/>
          </w:tcPr>
          <w:p w14:paraId="14B87DE6" w14:textId="77777777" w:rsidR="00454A29" w:rsidRDefault="00454A29">
            <w:pPr>
              <w:pStyle w:val="ConsPlusNormal"/>
            </w:pPr>
          </w:p>
        </w:tc>
        <w:tc>
          <w:tcPr>
            <w:tcW w:w="1701" w:type="dxa"/>
            <w:vAlign w:val="center"/>
          </w:tcPr>
          <w:p w14:paraId="04C297DB" w14:textId="77777777" w:rsidR="00454A29" w:rsidRDefault="00454A29">
            <w:pPr>
              <w:pStyle w:val="ConsPlusNormal"/>
            </w:pPr>
          </w:p>
        </w:tc>
        <w:tc>
          <w:tcPr>
            <w:tcW w:w="1814" w:type="dxa"/>
            <w:vAlign w:val="center"/>
          </w:tcPr>
          <w:p w14:paraId="384861FC" w14:textId="77777777" w:rsidR="00454A29" w:rsidRDefault="00454A29">
            <w:pPr>
              <w:pStyle w:val="ConsPlusNormal"/>
            </w:pPr>
          </w:p>
        </w:tc>
      </w:tr>
      <w:tr w:rsidR="00454A29" w14:paraId="279B3CBF" w14:textId="77777777">
        <w:tc>
          <w:tcPr>
            <w:tcW w:w="567" w:type="dxa"/>
            <w:vMerge/>
          </w:tcPr>
          <w:p w14:paraId="7C6C5A18" w14:textId="77777777" w:rsidR="00454A29" w:rsidRDefault="00454A29"/>
        </w:tc>
        <w:tc>
          <w:tcPr>
            <w:tcW w:w="3345" w:type="dxa"/>
            <w:vMerge/>
          </w:tcPr>
          <w:p w14:paraId="63C9490C" w14:textId="77777777" w:rsidR="00454A29" w:rsidRDefault="00454A29"/>
        </w:tc>
        <w:tc>
          <w:tcPr>
            <w:tcW w:w="1701" w:type="dxa"/>
            <w:vAlign w:val="center"/>
          </w:tcPr>
          <w:p w14:paraId="3C0434CA" w14:textId="77777777" w:rsidR="00454A29" w:rsidRDefault="00454A29">
            <w:pPr>
              <w:pStyle w:val="ConsPlusNormal"/>
              <w:jc w:val="center"/>
            </w:pPr>
            <w:r>
              <w:t>2026</w:t>
            </w:r>
          </w:p>
        </w:tc>
        <w:tc>
          <w:tcPr>
            <w:tcW w:w="1417" w:type="dxa"/>
            <w:vMerge/>
          </w:tcPr>
          <w:p w14:paraId="086A04A6" w14:textId="77777777" w:rsidR="00454A29" w:rsidRDefault="00454A29"/>
        </w:tc>
        <w:tc>
          <w:tcPr>
            <w:tcW w:w="2204" w:type="dxa"/>
            <w:vMerge/>
          </w:tcPr>
          <w:p w14:paraId="664110EB" w14:textId="77777777" w:rsidR="00454A29" w:rsidRDefault="00454A29"/>
        </w:tc>
        <w:tc>
          <w:tcPr>
            <w:tcW w:w="1417" w:type="dxa"/>
            <w:vMerge/>
          </w:tcPr>
          <w:p w14:paraId="6933058C" w14:textId="77777777" w:rsidR="00454A29" w:rsidRDefault="00454A29"/>
        </w:tc>
        <w:tc>
          <w:tcPr>
            <w:tcW w:w="2324" w:type="dxa"/>
            <w:vMerge/>
          </w:tcPr>
          <w:p w14:paraId="6568C790" w14:textId="77777777" w:rsidR="00454A29" w:rsidRDefault="00454A29"/>
        </w:tc>
        <w:tc>
          <w:tcPr>
            <w:tcW w:w="1701" w:type="dxa"/>
            <w:vAlign w:val="center"/>
          </w:tcPr>
          <w:p w14:paraId="7FBCDB3E" w14:textId="77777777" w:rsidR="00454A29" w:rsidRDefault="00454A29">
            <w:pPr>
              <w:pStyle w:val="ConsPlusNormal"/>
              <w:jc w:val="center"/>
            </w:pPr>
            <w:r>
              <w:t>503 139,90</w:t>
            </w:r>
          </w:p>
        </w:tc>
        <w:tc>
          <w:tcPr>
            <w:tcW w:w="1814" w:type="dxa"/>
            <w:vAlign w:val="center"/>
          </w:tcPr>
          <w:p w14:paraId="0B33C400" w14:textId="77777777" w:rsidR="00454A29" w:rsidRDefault="00454A29">
            <w:pPr>
              <w:pStyle w:val="ConsPlusNormal"/>
              <w:jc w:val="center"/>
            </w:pPr>
            <w:r>
              <w:t>6 198,67</w:t>
            </w:r>
          </w:p>
        </w:tc>
        <w:tc>
          <w:tcPr>
            <w:tcW w:w="1701" w:type="dxa"/>
            <w:vAlign w:val="center"/>
          </w:tcPr>
          <w:p w14:paraId="5BF2EBD2" w14:textId="77777777" w:rsidR="00454A29" w:rsidRDefault="00454A29">
            <w:pPr>
              <w:pStyle w:val="ConsPlusNormal"/>
              <w:jc w:val="center"/>
            </w:pPr>
            <w:r>
              <w:t>613 669,68</w:t>
            </w:r>
          </w:p>
        </w:tc>
        <w:tc>
          <w:tcPr>
            <w:tcW w:w="1701" w:type="dxa"/>
            <w:vAlign w:val="center"/>
          </w:tcPr>
          <w:p w14:paraId="114DBD7F" w14:textId="77777777" w:rsidR="00454A29" w:rsidRDefault="00454A29">
            <w:pPr>
              <w:pStyle w:val="ConsPlusNormal"/>
            </w:pPr>
          </w:p>
        </w:tc>
        <w:tc>
          <w:tcPr>
            <w:tcW w:w="1814" w:type="dxa"/>
            <w:vAlign w:val="center"/>
          </w:tcPr>
          <w:p w14:paraId="6E6B5B52" w14:textId="77777777" w:rsidR="00454A29" w:rsidRDefault="00454A29">
            <w:pPr>
              <w:pStyle w:val="ConsPlusNormal"/>
            </w:pPr>
          </w:p>
        </w:tc>
      </w:tr>
      <w:tr w:rsidR="00454A29" w14:paraId="1556C145" w14:textId="77777777">
        <w:tc>
          <w:tcPr>
            <w:tcW w:w="21706" w:type="dxa"/>
            <w:gridSpan w:val="12"/>
            <w:vAlign w:val="center"/>
          </w:tcPr>
          <w:p w14:paraId="09762ADB" w14:textId="77777777" w:rsidR="00454A29" w:rsidRDefault="00454A29">
            <w:pPr>
              <w:pStyle w:val="ConsPlusNormal"/>
              <w:jc w:val="center"/>
              <w:outlineLvl w:val="2"/>
            </w:pPr>
            <w:r>
              <w:t>МР "Оленекский эвенкийский национальный район"</w:t>
            </w:r>
          </w:p>
        </w:tc>
      </w:tr>
      <w:tr w:rsidR="00454A29" w14:paraId="7CF8F424" w14:textId="77777777">
        <w:tc>
          <w:tcPr>
            <w:tcW w:w="567" w:type="dxa"/>
            <w:vMerge w:val="restart"/>
            <w:vAlign w:val="center"/>
          </w:tcPr>
          <w:p w14:paraId="3C411FE6" w14:textId="77777777" w:rsidR="00454A29" w:rsidRDefault="00454A29">
            <w:pPr>
              <w:pStyle w:val="ConsPlusNormal"/>
              <w:jc w:val="center"/>
            </w:pPr>
            <w:r>
              <w:t>109</w:t>
            </w:r>
          </w:p>
        </w:tc>
        <w:tc>
          <w:tcPr>
            <w:tcW w:w="3345" w:type="dxa"/>
            <w:vMerge w:val="restart"/>
            <w:vAlign w:val="center"/>
          </w:tcPr>
          <w:p w14:paraId="29719E5C" w14:textId="77777777" w:rsidR="00454A29" w:rsidRDefault="00454A29">
            <w:pPr>
              <w:pStyle w:val="ConsPlusNormal"/>
              <w:jc w:val="center"/>
            </w:pPr>
            <w:r>
              <w:t>Школа-сад на 120/75 мест в с. Харыялах</w:t>
            </w:r>
          </w:p>
        </w:tc>
        <w:tc>
          <w:tcPr>
            <w:tcW w:w="1701" w:type="dxa"/>
            <w:vAlign w:val="center"/>
          </w:tcPr>
          <w:p w14:paraId="06D5072B" w14:textId="77777777" w:rsidR="00454A29" w:rsidRDefault="00454A29">
            <w:pPr>
              <w:pStyle w:val="ConsPlusNormal"/>
              <w:jc w:val="center"/>
            </w:pPr>
            <w:r>
              <w:t>2020 - 2026 годы - всего</w:t>
            </w:r>
          </w:p>
        </w:tc>
        <w:tc>
          <w:tcPr>
            <w:tcW w:w="1417" w:type="dxa"/>
            <w:vMerge w:val="restart"/>
            <w:vAlign w:val="center"/>
          </w:tcPr>
          <w:p w14:paraId="3580A4A2" w14:textId="77777777" w:rsidR="00454A29" w:rsidRDefault="00454A29">
            <w:pPr>
              <w:pStyle w:val="ConsPlusNormal"/>
              <w:jc w:val="center"/>
            </w:pPr>
            <w:r>
              <w:t>274 041,19</w:t>
            </w:r>
          </w:p>
        </w:tc>
        <w:tc>
          <w:tcPr>
            <w:tcW w:w="2204" w:type="dxa"/>
            <w:vMerge w:val="restart"/>
            <w:vAlign w:val="center"/>
          </w:tcPr>
          <w:p w14:paraId="2338B48B" w14:textId="77777777" w:rsidR="00454A29" w:rsidRDefault="00454A29">
            <w:pPr>
              <w:pStyle w:val="ConsPlusNormal"/>
              <w:jc w:val="center"/>
            </w:pPr>
            <w:r>
              <w:t>имеется</w:t>
            </w:r>
          </w:p>
        </w:tc>
        <w:tc>
          <w:tcPr>
            <w:tcW w:w="1417" w:type="dxa"/>
            <w:vMerge w:val="restart"/>
            <w:vAlign w:val="center"/>
          </w:tcPr>
          <w:p w14:paraId="5172FC3B" w14:textId="77777777" w:rsidR="00454A29" w:rsidRDefault="00454A29">
            <w:pPr>
              <w:pStyle w:val="ConsPlusNormal"/>
              <w:jc w:val="center"/>
            </w:pPr>
            <w:r>
              <w:t>120</w:t>
            </w:r>
          </w:p>
        </w:tc>
        <w:tc>
          <w:tcPr>
            <w:tcW w:w="2324" w:type="dxa"/>
            <w:vMerge w:val="restart"/>
            <w:vAlign w:val="center"/>
          </w:tcPr>
          <w:p w14:paraId="43434511" w14:textId="77777777" w:rsidR="00454A29" w:rsidRDefault="00454A29">
            <w:pPr>
              <w:pStyle w:val="ConsPlusNormal"/>
              <w:jc w:val="center"/>
            </w:pPr>
            <w:r>
              <w:t xml:space="preserve">Минстрой РС(Я), ГКУ "Служба государственного </w:t>
            </w:r>
            <w:r>
              <w:lastRenderedPageBreak/>
              <w:t>заказчика Республики Саха (Якутия)"</w:t>
            </w:r>
          </w:p>
        </w:tc>
        <w:tc>
          <w:tcPr>
            <w:tcW w:w="1701" w:type="dxa"/>
            <w:vAlign w:val="center"/>
          </w:tcPr>
          <w:p w14:paraId="06BD6AA8" w14:textId="77777777" w:rsidR="00454A29" w:rsidRDefault="00454A29">
            <w:pPr>
              <w:pStyle w:val="ConsPlusNormal"/>
              <w:jc w:val="center"/>
            </w:pPr>
            <w:r>
              <w:lastRenderedPageBreak/>
              <w:t>274 041,19</w:t>
            </w:r>
          </w:p>
        </w:tc>
        <w:tc>
          <w:tcPr>
            <w:tcW w:w="1814" w:type="dxa"/>
            <w:vAlign w:val="center"/>
          </w:tcPr>
          <w:p w14:paraId="2BB15B77" w14:textId="77777777" w:rsidR="00454A29" w:rsidRDefault="00454A29">
            <w:pPr>
              <w:pStyle w:val="ConsPlusNormal"/>
              <w:jc w:val="center"/>
            </w:pPr>
            <w:r>
              <w:t>2 740,41</w:t>
            </w:r>
          </w:p>
        </w:tc>
        <w:tc>
          <w:tcPr>
            <w:tcW w:w="1701" w:type="dxa"/>
            <w:vAlign w:val="center"/>
          </w:tcPr>
          <w:p w14:paraId="4E0EB30E" w14:textId="77777777" w:rsidR="00454A29" w:rsidRDefault="00454A29">
            <w:pPr>
              <w:pStyle w:val="ConsPlusNormal"/>
              <w:jc w:val="center"/>
            </w:pPr>
            <w:r>
              <w:t>271 300,78</w:t>
            </w:r>
          </w:p>
        </w:tc>
        <w:tc>
          <w:tcPr>
            <w:tcW w:w="1701" w:type="dxa"/>
            <w:vAlign w:val="center"/>
          </w:tcPr>
          <w:p w14:paraId="24F7FD39" w14:textId="77777777" w:rsidR="00454A29" w:rsidRDefault="00454A29">
            <w:pPr>
              <w:pStyle w:val="ConsPlusNormal"/>
              <w:jc w:val="center"/>
            </w:pPr>
            <w:r>
              <w:t>-</w:t>
            </w:r>
          </w:p>
        </w:tc>
        <w:tc>
          <w:tcPr>
            <w:tcW w:w="1814" w:type="dxa"/>
            <w:vAlign w:val="center"/>
          </w:tcPr>
          <w:p w14:paraId="58BA4514" w14:textId="77777777" w:rsidR="00454A29" w:rsidRDefault="00454A29">
            <w:pPr>
              <w:pStyle w:val="ConsPlusNormal"/>
              <w:jc w:val="center"/>
            </w:pPr>
            <w:r>
              <w:t>-</w:t>
            </w:r>
          </w:p>
        </w:tc>
      </w:tr>
      <w:tr w:rsidR="00454A29" w14:paraId="18431FA9" w14:textId="77777777">
        <w:tc>
          <w:tcPr>
            <w:tcW w:w="567" w:type="dxa"/>
            <w:vMerge/>
          </w:tcPr>
          <w:p w14:paraId="75BB0E26" w14:textId="77777777" w:rsidR="00454A29" w:rsidRDefault="00454A29"/>
        </w:tc>
        <w:tc>
          <w:tcPr>
            <w:tcW w:w="3345" w:type="dxa"/>
            <w:vMerge/>
          </w:tcPr>
          <w:p w14:paraId="241AB86D" w14:textId="77777777" w:rsidR="00454A29" w:rsidRDefault="00454A29"/>
        </w:tc>
        <w:tc>
          <w:tcPr>
            <w:tcW w:w="1701" w:type="dxa"/>
            <w:vAlign w:val="center"/>
          </w:tcPr>
          <w:p w14:paraId="3021E160" w14:textId="77777777" w:rsidR="00454A29" w:rsidRDefault="00454A29">
            <w:pPr>
              <w:pStyle w:val="ConsPlusNormal"/>
              <w:jc w:val="center"/>
            </w:pPr>
            <w:r>
              <w:t>2020</w:t>
            </w:r>
          </w:p>
        </w:tc>
        <w:tc>
          <w:tcPr>
            <w:tcW w:w="1417" w:type="dxa"/>
            <w:vMerge/>
          </w:tcPr>
          <w:p w14:paraId="1ECFE70F" w14:textId="77777777" w:rsidR="00454A29" w:rsidRDefault="00454A29"/>
        </w:tc>
        <w:tc>
          <w:tcPr>
            <w:tcW w:w="2204" w:type="dxa"/>
            <w:vMerge/>
          </w:tcPr>
          <w:p w14:paraId="28DFF35B" w14:textId="77777777" w:rsidR="00454A29" w:rsidRDefault="00454A29"/>
        </w:tc>
        <w:tc>
          <w:tcPr>
            <w:tcW w:w="1417" w:type="dxa"/>
            <w:vMerge/>
          </w:tcPr>
          <w:p w14:paraId="3287B9C9" w14:textId="77777777" w:rsidR="00454A29" w:rsidRDefault="00454A29"/>
        </w:tc>
        <w:tc>
          <w:tcPr>
            <w:tcW w:w="2324" w:type="dxa"/>
            <w:vMerge/>
          </w:tcPr>
          <w:p w14:paraId="1BEF11B0" w14:textId="77777777" w:rsidR="00454A29" w:rsidRDefault="00454A29"/>
        </w:tc>
        <w:tc>
          <w:tcPr>
            <w:tcW w:w="1701" w:type="dxa"/>
            <w:vAlign w:val="center"/>
          </w:tcPr>
          <w:p w14:paraId="3D865339" w14:textId="77777777" w:rsidR="00454A29" w:rsidRDefault="00454A29">
            <w:pPr>
              <w:pStyle w:val="ConsPlusNormal"/>
            </w:pPr>
          </w:p>
        </w:tc>
        <w:tc>
          <w:tcPr>
            <w:tcW w:w="1814" w:type="dxa"/>
            <w:vAlign w:val="center"/>
          </w:tcPr>
          <w:p w14:paraId="653373B8" w14:textId="77777777" w:rsidR="00454A29" w:rsidRDefault="00454A29">
            <w:pPr>
              <w:pStyle w:val="ConsPlusNormal"/>
            </w:pPr>
          </w:p>
        </w:tc>
        <w:tc>
          <w:tcPr>
            <w:tcW w:w="1701" w:type="dxa"/>
            <w:vAlign w:val="center"/>
          </w:tcPr>
          <w:p w14:paraId="01EB34A9" w14:textId="77777777" w:rsidR="00454A29" w:rsidRDefault="00454A29">
            <w:pPr>
              <w:pStyle w:val="ConsPlusNormal"/>
            </w:pPr>
          </w:p>
        </w:tc>
        <w:tc>
          <w:tcPr>
            <w:tcW w:w="1701" w:type="dxa"/>
            <w:vAlign w:val="center"/>
          </w:tcPr>
          <w:p w14:paraId="374FF091" w14:textId="77777777" w:rsidR="00454A29" w:rsidRDefault="00454A29">
            <w:pPr>
              <w:pStyle w:val="ConsPlusNormal"/>
            </w:pPr>
          </w:p>
        </w:tc>
        <w:tc>
          <w:tcPr>
            <w:tcW w:w="1814" w:type="dxa"/>
            <w:vAlign w:val="center"/>
          </w:tcPr>
          <w:p w14:paraId="10CCB4DC" w14:textId="77777777" w:rsidR="00454A29" w:rsidRDefault="00454A29">
            <w:pPr>
              <w:pStyle w:val="ConsPlusNormal"/>
            </w:pPr>
          </w:p>
        </w:tc>
      </w:tr>
      <w:tr w:rsidR="00454A29" w14:paraId="64FACB1D" w14:textId="77777777">
        <w:tc>
          <w:tcPr>
            <w:tcW w:w="567" w:type="dxa"/>
            <w:vMerge/>
          </w:tcPr>
          <w:p w14:paraId="622251A9" w14:textId="77777777" w:rsidR="00454A29" w:rsidRDefault="00454A29"/>
        </w:tc>
        <w:tc>
          <w:tcPr>
            <w:tcW w:w="3345" w:type="dxa"/>
            <w:vMerge/>
          </w:tcPr>
          <w:p w14:paraId="59A3B43C" w14:textId="77777777" w:rsidR="00454A29" w:rsidRDefault="00454A29"/>
        </w:tc>
        <w:tc>
          <w:tcPr>
            <w:tcW w:w="1701" w:type="dxa"/>
            <w:vAlign w:val="center"/>
          </w:tcPr>
          <w:p w14:paraId="78463497" w14:textId="77777777" w:rsidR="00454A29" w:rsidRDefault="00454A29">
            <w:pPr>
              <w:pStyle w:val="ConsPlusNormal"/>
              <w:jc w:val="center"/>
            </w:pPr>
            <w:r>
              <w:t>2021</w:t>
            </w:r>
          </w:p>
        </w:tc>
        <w:tc>
          <w:tcPr>
            <w:tcW w:w="1417" w:type="dxa"/>
            <w:vMerge/>
          </w:tcPr>
          <w:p w14:paraId="385C7A0B" w14:textId="77777777" w:rsidR="00454A29" w:rsidRDefault="00454A29"/>
        </w:tc>
        <w:tc>
          <w:tcPr>
            <w:tcW w:w="2204" w:type="dxa"/>
            <w:vMerge/>
          </w:tcPr>
          <w:p w14:paraId="4EC2D522" w14:textId="77777777" w:rsidR="00454A29" w:rsidRDefault="00454A29"/>
        </w:tc>
        <w:tc>
          <w:tcPr>
            <w:tcW w:w="1417" w:type="dxa"/>
            <w:vMerge/>
          </w:tcPr>
          <w:p w14:paraId="23774ABA" w14:textId="77777777" w:rsidR="00454A29" w:rsidRDefault="00454A29"/>
        </w:tc>
        <w:tc>
          <w:tcPr>
            <w:tcW w:w="2324" w:type="dxa"/>
            <w:vMerge/>
          </w:tcPr>
          <w:p w14:paraId="327A7F16" w14:textId="77777777" w:rsidR="00454A29" w:rsidRDefault="00454A29"/>
        </w:tc>
        <w:tc>
          <w:tcPr>
            <w:tcW w:w="1701" w:type="dxa"/>
            <w:vAlign w:val="center"/>
          </w:tcPr>
          <w:p w14:paraId="206A4DB4" w14:textId="77777777" w:rsidR="00454A29" w:rsidRDefault="00454A29">
            <w:pPr>
              <w:pStyle w:val="ConsPlusNormal"/>
              <w:jc w:val="center"/>
            </w:pPr>
            <w:r>
              <w:t>-</w:t>
            </w:r>
          </w:p>
        </w:tc>
        <w:tc>
          <w:tcPr>
            <w:tcW w:w="1814" w:type="dxa"/>
            <w:vAlign w:val="center"/>
          </w:tcPr>
          <w:p w14:paraId="2933BCA5" w14:textId="77777777" w:rsidR="00454A29" w:rsidRDefault="00454A29">
            <w:pPr>
              <w:pStyle w:val="ConsPlusNormal"/>
            </w:pPr>
          </w:p>
        </w:tc>
        <w:tc>
          <w:tcPr>
            <w:tcW w:w="1701" w:type="dxa"/>
            <w:vAlign w:val="center"/>
          </w:tcPr>
          <w:p w14:paraId="40D8E001" w14:textId="77777777" w:rsidR="00454A29" w:rsidRDefault="00454A29">
            <w:pPr>
              <w:pStyle w:val="ConsPlusNormal"/>
            </w:pPr>
          </w:p>
        </w:tc>
        <w:tc>
          <w:tcPr>
            <w:tcW w:w="1701" w:type="dxa"/>
            <w:vAlign w:val="center"/>
          </w:tcPr>
          <w:p w14:paraId="5B166CF0" w14:textId="77777777" w:rsidR="00454A29" w:rsidRDefault="00454A29">
            <w:pPr>
              <w:pStyle w:val="ConsPlusNormal"/>
            </w:pPr>
          </w:p>
        </w:tc>
        <w:tc>
          <w:tcPr>
            <w:tcW w:w="1814" w:type="dxa"/>
            <w:vAlign w:val="center"/>
          </w:tcPr>
          <w:p w14:paraId="065E2695" w14:textId="77777777" w:rsidR="00454A29" w:rsidRDefault="00454A29">
            <w:pPr>
              <w:pStyle w:val="ConsPlusNormal"/>
            </w:pPr>
          </w:p>
        </w:tc>
      </w:tr>
      <w:tr w:rsidR="00454A29" w14:paraId="5D9CB50D" w14:textId="77777777">
        <w:tc>
          <w:tcPr>
            <w:tcW w:w="567" w:type="dxa"/>
            <w:vMerge/>
          </w:tcPr>
          <w:p w14:paraId="044EFF17" w14:textId="77777777" w:rsidR="00454A29" w:rsidRDefault="00454A29"/>
        </w:tc>
        <w:tc>
          <w:tcPr>
            <w:tcW w:w="3345" w:type="dxa"/>
            <w:vMerge/>
          </w:tcPr>
          <w:p w14:paraId="659CC9E1" w14:textId="77777777" w:rsidR="00454A29" w:rsidRDefault="00454A29"/>
        </w:tc>
        <w:tc>
          <w:tcPr>
            <w:tcW w:w="1701" w:type="dxa"/>
            <w:vAlign w:val="center"/>
          </w:tcPr>
          <w:p w14:paraId="4AF9A33D" w14:textId="77777777" w:rsidR="00454A29" w:rsidRDefault="00454A29">
            <w:pPr>
              <w:pStyle w:val="ConsPlusNormal"/>
              <w:jc w:val="center"/>
            </w:pPr>
            <w:r>
              <w:t>2022</w:t>
            </w:r>
          </w:p>
        </w:tc>
        <w:tc>
          <w:tcPr>
            <w:tcW w:w="1417" w:type="dxa"/>
            <w:vMerge/>
          </w:tcPr>
          <w:p w14:paraId="65F84794" w14:textId="77777777" w:rsidR="00454A29" w:rsidRDefault="00454A29"/>
        </w:tc>
        <w:tc>
          <w:tcPr>
            <w:tcW w:w="2204" w:type="dxa"/>
            <w:vMerge/>
          </w:tcPr>
          <w:p w14:paraId="00DEF29A" w14:textId="77777777" w:rsidR="00454A29" w:rsidRDefault="00454A29"/>
        </w:tc>
        <w:tc>
          <w:tcPr>
            <w:tcW w:w="1417" w:type="dxa"/>
            <w:vMerge/>
          </w:tcPr>
          <w:p w14:paraId="040DBEC3" w14:textId="77777777" w:rsidR="00454A29" w:rsidRDefault="00454A29"/>
        </w:tc>
        <w:tc>
          <w:tcPr>
            <w:tcW w:w="2324" w:type="dxa"/>
            <w:vMerge/>
          </w:tcPr>
          <w:p w14:paraId="1E5BF6E4" w14:textId="77777777" w:rsidR="00454A29" w:rsidRDefault="00454A29"/>
        </w:tc>
        <w:tc>
          <w:tcPr>
            <w:tcW w:w="1701" w:type="dxa"/>
            <w:vAlign w:val="center"/>
          </w:tcPr>
          <w:p w14:paraId="491B42B5" w14:textId="77777777" w:rsidR="00454A29" w:rsidRDefault="00454A29">
            <w:pPr>
              <w:pStyle w:val="ConsPlusNormal"/>
            </w:pPr>
          </w:p>
        </w:tc>
        <w:tc>
          <w:tcPr>
            <w:tcW w:w="1814" w:type="dxa"/>
            <w:vAlign w:val="center"/>
          </w:tcPr>
          <w:p w14:paraId="35DAE4F2" w14:textId="77777777" w:rsidR="00454A29" w:rsidRDefault="00454A29">
            <w:pPr>
              <w:pStyle w:val="ConsPlusNormal"/>
            </w:pPr>
          </w:p>
        </w:tc>
        <w:tc>
          <w:tcPr>
            <w:tcW w:w="1701" w:type="dxa"/>
            <w:vAlign w:val="center"/>
          </w:tcPr>
          <w:p w14:paraId="298DE923" w14:textId="77777777" w:rsidR="00454A29" w:rsidRDefault="00454A29">
            <w:pPr>
              <w:pStyle w:val="ConsPlusNormal"/>
            </w:pPr>
          </w:p>
        </w:tc>
        <w:tc>
          <w:tcPr>
            <w:tcW w:w="1701" w:type="dxa"/>
            <w:vAlign w:val="center"/>
          </w:tcPr>
          <w:p w14:paraId="4435B9A8" w14:textId="77777777" w:rsidR="00454A29" w:rsidRDefault="00454A29">
            <w:pPr>
              <w:pStyle w:val="ConsPlusNormal"/>
            </w:pPr>
          </w:p>
        </w:tc>
        <w:tc>
          <w:tcPr>
            <w:tcW w:w="1814" w:type="dxa"/>
            <w:vAlign w:val="center"/>
          </w:tcPr>
          <w:p w14:paraId="5C2048FB" w14:textId="77777777" w:rsidR="00454A29" w:rsidRDefault="00454A29">
            <w:pPr>
              <w:pStyle w:val="ConsPlusNormal"/>
            </w:pPr>
          </w:p>
        </w:tc>
      </w:tr>
      <w:tr w:rsidR="00454A29" w14:paraId="6861A73D" w14:textId="77777777">
        <w:tc>
          <w:tcPr>
            <w:tcW w:w="567" w:type="dxa"/>
            <w:vMerge/>
          </w:tcPr>
          <w:p w14:paraId="5FDA94D4" w14:textId="77777777" w:rsidR="00454A29" w:rsidRDefault="00454A29"/>
        </w:tc>
        <w:tc>
          <w:tcPr>
            <w:tcW w:w="3345" w:type="dxa"/>
            <w:vMerge/>
          </w:tcPr>
          <w:p w14:paraId="5F8C7270" w14:textId="77777777" w:rsidR="00454A29" w:rsidRDefault="00454A29"/>
        </w:tc>
        <w:tc>
          <w:tcPr>
            <w:tcW w:w="1701" w:type="dxa"/>
            <w:vAlign w:val="center"/>
          </w:tcPr>
          <w:p w14:paraId="2A0F2255" w14:textId="77777777" w:rsidR="00454A29" w:rsidRDefault="00454A29">
            <w:pPr>
              <w:pStyle w:val="ConsPlusNormal"/>
              <w:jc w:val="center"/>
            </w:pPr>
            <w:r>
              <w:t>2023</w:t>
            </w:r>
          </w:p>
        </w:tc>
        <w:tc>
          <w:tcPr>
            <w:tcW w:w="1417" w:type="dxa"/>
            <w:vMerge/>
          </w:tcPr>
          <w:p w14:paraId="21A4E315" w14:textId="77777777" w:rsidR="00454A29" w:rsidRDefault="00454A29"/>
        </w:tc>
        <w:tc>
          <w:tcPr>
            <w:tcW w:w="2204" w:type="dxa"/>
            <w:vMerge/>
          </w:tcPr>
          <w:p w14:paraId="4DA86C0D" w14:textId="77777777" w:rsidR="00454A29" w:rsidRDefault="00454A29"/>
        </w:tc>
        <w:tc>
          <w:tcPr>
            <w:tcW w:w="1417" w:type="dxa"/>
            <w:vMerge/>
          </w:tcPr>
          <w:p w14:paraId="51461D3E" w14:textId="77777777" w:rsidR="00454A29" w:rsidRDefault="00454A29"/>
        </w:tc>
        <w:tc>
          <w:tcPr>
            <w:tcW w:w="2324" w:type="dxa"/>
            <w:vMerge/>
          </w:tcPr>
          <w:p w14:paraId="09DCAA4B" w14:textId="77777777" w:rsidR="00454A29" w:rsidRDefault="00454A29"/>
        </w:tc>
        <w:tc>
          <w:tcPr>
            <w:tcW w:w="1701" w:type="dxa"/>
            <w:vAlign w:val="center"/>
          </w:tcPr>
          <w:p w14:paraId="717DBFC2" w14:textId="77777777" w:rsidR="00454A29" w:rsidRDefault="00454A29">
            <w:pPr>
              <w:pStyle w:val="ConsPlusNormal"/>
              <w:jc w:val="center"/>
            </w:pPr>
            <w:r>
              <w:t>274 041,19</w:t>
            </w:r>
          </w:p>
        </w:tc>
        <w:tc>
          <w:tcPr>
            <w:tcW w:w="1814" w:type="dxa"/>
            <w:vAlign w:val="center"/>
          </w:tcPr>
          <w:p w14:paraId="00325E61" w14:textId="77777777" w:rsidR="00454A29" w:rsidRDefault="00454A29">
            <w:pPr>
              <w:pStyle w:val="ConsPlusNormal"/>
              <w:jc w:val="center"/>
            </w:pPr>
            <w:r>
              <w:t>2 740,41</w:t>
            </w:r>
          </w:p>
        </w:tc>
        <w:tc>
          <w:tcPr>
            <w:tcW w:w="1701" w:type="dxa"/>
            <w:vAlign w:val="center"/>
          </w:tcPr>
          <w:p w14:paraId="275B6E1B" w14:textId="77777777" w:rsidR="00454A29" w:rsidRDefault="00454A29">
            <w:pPr>
              <w:pStyle w:val="ConsPlusNormal"/>
              <w:jc w:val="center"/>
            </w:pPr>
            <w:r>
              <w:t>271 300,78</w:t>
            </w:r>
          </w:p>
        </w:tc>
        <w:tc>
          <w:tcPr>
            <w:tcW w:w="1701" w:type="dxa"/>
            <w:vAlign w:val="center"/>
          </w:tcPr>
          <w:p w14:paraId="799BC47E" w14:textId="77777777" w:rsidR="00454A29" w:rsidRDefault="00454A29">
            <w:pPr>
              <w:pStyle w:val="ConsPlusNormal"/>
            </w:pPr>
          </w:p>
        </w:tc>
        <w:tc>
          <w:tcPr>
            <w:tcW w:w="1814" w:type="dxa"/>
            <w:vAlign w:val="center"/>
          </w:tcPr>
          <w:p w14:paraId="67CE1753" w14:textId="77777777" w:rsidR="00454A29" w:rsidRDefault="00454A29">
            <w:pPr>
              <w:pStyle w:val="ConsPlusNormal"/>
            </w:pPr>
          </w:p>
        </w:tc>
      </w:tr>
      <w:tr w:rsidR="00454A29" w14:paraId="01F8F699" w14:textId="77777777">
        <w:tc>
          <w:tcPr>
            <w:tcW w:w="567" w:type="dxa"/>
            <w:vMerge/>
          </w:tcPr>
          <w:p w14:paraId="0559B212" w14:textId="77777777" w:rsidR="00454A29" w:rsidRDefault="00454A29"/>
        </w:tc>
        <w:tc>
          <w:tcPr>
            <w:tcW w:w="3345" w:type="dxa"/>
            <w:vMerge/>
          </w:tcPr>
          <w:p w14:paraId="5D110706" w14:textId="77777777" w:rsidR="00454A29" w:rsidRDefault="00454A29"/>
        </w:tc>
        <w:tc>
          <w:tcPr>
            <w:tcW w:w="1701" w:type="dxa"/>
            <w:vAlign w:val="center"/>
          </w:tcPr>
          <w:p w14:paraId="71474AA4" w14:textId="77777777" w:rsidR="00454A29" w:rsidRDefault="00454A29">
            <w:pPr>
              <w:pStyle w:val="ConsPlusNormal"/>
              <w:jc w:val="center"/>
            </w:pPr>
            <w:r>
              <w:t>2024</w:t>
            </w:r>
          </w:p>
        </w:tc>
        <w:tc>
          <w:tcPr>
            <w:tcW w:w="1417" w:type="dxa"/>
            <w:vMerge/>
          </w:tcPr>
          <w:p w14:paraId="57077122" w14:textId="77777777" w:rsidR="00454A29" w:rsidRDefault="00454A29"/>
        </w:tc>
        <w:tc>
          <w:tcPr>
            <w:tcW w:w="2204" w:type="dxa"/>
            <w:vMerge/>
          </w:tcPr>
          <w:p w14:paraId="538C136C" w14:textId="77777777" w:rsidR="00454A29" w:rsidRDefault="00454A29"/>
        </w:tc>
        <w:tc>
          <w:tcPr>
            <w:tcW w:w="1417" w:type="dxa"/>
            <w:vMerge/>
          </w:tcPr>
          <w:p w14:paraId="3FD1E98E" w14:textId="77777777" w:rsidR="00454A29" w:rsidRDefault="00454A29"/>
        </w:tc>
        <w:tc>
          <w:tcPr>
            <w:tcW w:w="2324" w:type="dxa"/>
            <w:vMerge/>
          </w:tcPr>
          <w:p w14:paraId="72F9C5D3" w14:textId="77777777" w:rsidR="00454A29" w:rsidRDefault="00454A29"/>
        </w:tc>
        <w:tc>
          <w:tcPr>
            <w:tcW w:w="1701" w:type="dxa"/>
            <w:vAlign w:val="center"/>
          </w:tcPr>
          <w:p w14:paraId="7327164D" w14:textId="77777777" w:rsidR="00454A29" w:rsidRDefault="00454A29">
            <w:pPr>
              <w:pStyle w:val="ConsPlusNormal"/>
            </w:pPr>
          </w:p>
        </w:tc>
        <w:tc>
          <w:tcPr>
            <w:tcW w:w="1814" w:type="dxa"/>
            <w:vAlign w:val="center"/>
          </w:tcPr>
          <w:p w14:paraId="3D8F827B" w14:textId="77777777" w:rsidR="00454A29" w:rsidRDefault="00454A29">
            <w:pPr>
              <w:pStyle w:val="ConsPlusNormal"/>
            </w:pPr>
          </w:p>
        </w:tc>
        <w:tc>
          <w:tcPr>
            <w:tcW w:w="1701" w:type="dxa"/>
            <w:vAlign w:val="center"/>
          </w:tcPr>
          <w:p w14:paraId="458D81EC" w14:textId="77777777" w:rsidR="00454A29" w:rsidRDefault="00454A29">
            <w:pPr>
              <w:pStyle w:val="ConsPlusNormal"/>
            </w:pPr>
          </w:p>
        </w:tc>
        <w:tc>
          <w:tcPr>
            <w:tcW w:w="1701" w:type="dxa"/>
            <w:vAlign w:val="center"/>
          </w:tcPr>
          <w:p w14:paraId="60BE2162" w14:textId="77777777" w:rsidR="00454A29" w:rsidRDefault="00454A29">
            <w:pPr>
              <w:pStyle w:val="ConsPlusNormal"/>
            </w:pPr>
          </w:p>
        </w:tc>
        <w:tc>
          <w:tcPr>
            <w:tcW w:w="1814" w:type="dxa"/>
            <w:vAlign w:val="center"/>
          </w:tcPr>
          <w:p w14:paraId="7913A6F5" w14:textId="77777777" w:rsidR="00454A29" w:rsidRDefault="00454A29">
            <w:pPr>
              <w:pStyle w:val="ConsPlusNormal"/>
            </w:pPr>
          </w:p>
        </w:tc>
      </w:tr>
      <w:tr w:rsidR="00454A29" w14:paraId="3CB00D3F" w14:textId="77777777">
        <w:tc>
          <w:tcPr>
            <w:tcW w:w="567" w:type="dxa"/>
            <w:vMerge/>
          </w:tcPr>
          <w:p w14:paraId="47190D25" w14:textId="77777777" w:rsidR="00454A29" w:rsidRDefault="00454A29"/>
        </w:tc>
        <w:tc>
          <w:tcPr>
            <w:tcW w:w="3345" w:type="dxa"/>
            <w:vMerge/>
          </w:tcPr>
          <w:p w14:paraId="271A1BD0" w14:textId="77777777" w:rsidR="00454A29" w:rsidRDefault="00454A29"/>
        </w:tc>
        <w:tc>
          <w:tcPr>
            <w:tcW w:w="1701" w:type="dxa"/>
            <w:vAlign w:val="center"/>
          </w:tcPr>
          <w:p w14:paraId="2FA9BD1A" w14:textId="77777777" w:rsidR="00454A29" w:rsidRDefault="00454A29">
            <w:pPr>
              <w:pStyle w:val="ConsPlusNormal"/>
              <w:jc w:val="center"/>
            </w:pPr>
            <w:r>
              <w:t>2025</w:t>
            </w:r>
          </w:p>
        </w:tc>
        <w:tc>
          <w:tcPr>
            <w:tcW w:w="1417" w:type="dxa"/>
            <w:vMerge/>
          </w:tcPr>
          <w:p w14:paraId="1DC84D50" w14:textId="77777777" w:rsidR="00454A29" w:rsidRDefault="00454A29"/>
        </w:tc>
        <w:tc>
          <w:tcPr>
            <w:tcW w:w="2204" w:type="dxa"/>
            <w:vMerge/>
          </w:tcPr>
          <w:p w14:paraId="284AB8C0" w14:textId="77777777" w:rsidR="00454A29" w:rsidRDefault="00454A29"/>
        </w:tc>
        <w:tc>
          <w:tcPr>
            <w:tcW w:w="1417" w:type="dxa"/>
            <w:vMerge/>
          </w:tcPr>
          <w:p w14:paraId="559E6A8D" w14:textId="77777777" w:rsidR="00454A29" w:rsidRDefault="00454A29"/>
        </w:tc>
        <w:tc>
          <w:tcPr>
            <w:tcW w:w="2324" w:type="dxa"/>
            <w:vMerge/>
          </w:tcPr>
          <w:p w14:paraId="396A8408" w14:textId="77777777" w:rsidR="00454A29" w:rsidRDefault="00454A29"/>
        </w:tc>
        <w:tc>
          <w:tcPr>
            <w:tcW w:w="1701" w:type="dxa"/>
            <w:vAlign w:val="center"/>
          </w:tcPr>
          <w:p w14:paraId="4657F475" w14:textId="77777777" w:rsidR="00454A29" w:rsidRDefault="00454A29">
            <w:pPr>
              <w:pStyle w:val="ConsPlusNormal"/>
            </w:pPr>
          </w:p>
        </w:tc>
        <w:tc>
          <w:tcPr>
            <w:tcW w:w="1814" w:type="dxa"/>
            <w:vAlign w:val="center"/>
          </w:tcPr>
          <w:p w14:paraId="374A0645" w14:textId="77777777" w:rsidR="00454A29" w:rsidRDefault="00454A29">
            <w:pPr>
              <w:pStyle w:val="ConsPlusNormal"/>
            </w:pPr>
          </w:p>
        </w:tc>
        <w:tc>
          <w:tcPr>
            <w:tcW w:w="1701" w:type="dxa"/>
            <w:vAlign w:val="center"/>
          </w:tcPr>
          <w:p w14:paraId="2DDF4FC5" w14:textId="77777777" w:rsidR="00454A29" w:rsidRDefault="00454A29">
            <w:pPr>
              <w:pStyle w:val="ConsPlusNormal"/>
            </w:pPr>
          </w:p>
        </w:tc>
        <w:tc>
          <w:tcPr>
            <w:tcW w:w="1701" w:type="dxa"/>
            <w:vAlign w:val="center"/>
          </w:tcPr>
          <w:p w14:paraId="6B041613" w14:textId="77777777" w:rsidR="00454A29" w:rsidRDefault="00454A29">
            <w:pPr>
              <w:pStyle w:val="ConsPlusNormal"/>
            </w:pPr>
          </w:p>
        </w:tc>
        <w:tc>
          <w:tcPr>
            <w:tcW w:w="1814" w:type="dxa"/>
            <w:vAlign w:val="center"/>
          </w:tcPr>
          <w:p w14:paraId="16CFCB1E" w14:textId="77777777" w:rsidR="00454A29" w:rsidRDefault="00454A29">
            <w:pPr>
              <w:pStyle w:val="ConsPlusNormal"/>
            </w:pPr>
          </w:p>
        </w:tc>
      </w:tr>
      <w:tr w:rsidR="00454A29" w14:paraId="4E78B33A" w14:textId="77777777">
        <w:tc>
          <w:tcPr>
            <w:tcW w:w="567" w:type="dxa"/>
            <w:vMerge/>
          </w:tcPr>
          <w:p w14:paraId="48F91170" w14:textId="77777777" w:rsidR="00454A29" w:rsidRDefault="00454A29"/>
        </w:tc>
        <w:tc>
          <w:tcPr>
            <w:tcW w:w="3345" w:type="dxa"/>
            <w:vMerge/>
          </w:tcPr>
          <w:p w14:paraId="161ED094" w14:textId="77777777" w:rsidR="00454A29" w:rsidRDefault="00454A29"/>
        </w:tc>
        <w:tc>
          <w:tcPr>
            <w:tcW w:w="1701" w:type="dxa"/>
            <w:vAlign w:val="center"/>
          </w:tcPr>
          <w:p w14:paraId="37347DE8" w14:textId="77777777" w:rsidR="00454A29" w:rsidRDefault="00454A29">
            <w:pPr>
              <w:pStyle w:val="ConsPlusNormal"/>
              <w:jc w:val="center"/>
            </w:pPr>
            <w:r>
              <w:t>2026</w:t>
            </w:r>
          </w:p>
        </w:tc>
        <w:tc>
          <w:tcPr>
            <w:tcW w:w="1417" w:type="dxa"/>
            <w:vMerge/>
          </w:tcPr>
          <w:p w14:paraId="73CEF356" w14:textId="77777777" w:rsidR="00454A29" w:rsidRDefault="00454A29"/>
        </w:tc>
        <w:tc>
          <w:tcPr>
            <w:tcW w:w="2204" w:type="dxa"/>
            <w:vMerge/>
          </w:tcPr>
          <w:p w14:paraId="655A2413" w14:textId="77777777" w:rsidR="00454A29" w:rsidRDefault="00454A29"/>
        </w:tc>
        <w:tc>
          <w:tcPr>
            <w:tcW w:w="1417" w:type="dxa"/>
            <w:vMerge/>
          </w:tcPr>
          <w:p w14:paraId="4E26D43A" w14:textId="77777777" w:rsidR="00454A29" w:rsidRDefault="00454A29"/>
        </w:tc>
        <w:tc>
          <w:tcPr>
            <w:tcW w:w="2324" w:type="dxa"/>
            <w:vMerge/>
          </w:tcPr>
          <w:p w14:paraId="42A8A16B" w14:textId="77777777" w:rsidR="00454A29" w:rsidRDefault="00454A29"/>
        </w:tc>
        <w:tc>
          <w:tcPr>
            <w:tcW w:w="1701" w:type="dxa"/>
            <w:vAlign w:val="center"/>
          </w:tcPr>
          <w:p w14:paraId="5A45525F" w14:textId="77777777" w:rsidR="00454A29" w:rsidRDefault="00454A29">
            <w:pPr>
              <w:pStyle w:val="ConsPlusNormal"/>
            </w:pPr>
          </w:p>
        </w:tc>
        <w:tc>
          <w:tcPr>
            <w:tcW w:w="1814" w:type="dxa"/>
            <w:vAlign w:val="center"/>
          </w:tcPr>
          <w:p w14:paraId="3075F1CF" w14:textId="77777777" w:rsidR="00454A29" w:rsidRDefault="00454A29">
            <w:pPr>
              <w:pStyle w:val="ConsPlusNormal"/>
            </w:pPr>
          </w:p>
        </w:tc>
        <w:tc>
          <w:tcPr>
            <w:tcW w:w="1701" w:type="dxa"/>
            <w:vAlign w:val="center"/>
          </w:tcPr>
          <w:p w14:paraId="37CA703C" w14:textId="77777777" w:rsidR="00454A29" w:rsidRDefault="00454A29">
            <w:pPr>
              <w:pStyle w:val="ConsPlusNormal"/>
            </w:pPr>
          </w:p>
        </w:tc>
        <w:tc>
          <w:tcPr>
            <w:tcW w:w="1701" w:type="dxa"/>
            <w:vAlign w:val="center"/>
          </w:tcPr>
          <w:p w14:paraId="6C40860F" w14:textId="77777777" w:rsidR="00454A29" w:rsidRDefault="00454A29">
            <w:pPr>
              <w:pStyle w:val="ConsPlusNormal"/>
            </w:pPr>
          </w:p>
        </w:tc>
        <w:tc>
          <w:tcPr>
            <w:tcW w:w="1814" w:type="dxa"/>
            <w:vAlign w:val="center"/>
          </w:tcPr>
          <w:p w14:paraId="0263EC9B" w14:textId="77777777" w:rsidR="00454A29" w:rsidRDefault="00454A29">
            <w:pPr>
              <w:pStyle w:val="ConsPlusNormal"/>
            </w:pPr>
          </w:p>
        </w:tc>
      </w:tr>
      <w:tr w:rsidR="00454A29" w14:paraId="59719603" w14:textId="77777777">
        <w:tc>
          <w:tcPr>
            <w:tcW w:w="567" w:type="dxa"/>
            <w:vMerge w:val="restart"/>
            <w:vAlign w:val="center"/>
          </w:tcPr>
          <w:p w14:paraId="07808567" w14:textId="77777777" w:rsidR="00454A29" w:rsidRDefault="00454A29">
            <w:pPr>
              <w:pStyle w:val="ConsPlusNormal"/>
              <w:jc w:val="center"/>
            </w:pPr>
            <w:r>
              <w:t>110</w:t>
            </w:r>
          </w:p>
        </w:tc>
        <w:tc>
          <w:tcPr>
            <w:tcW w:w="3345" w:type="dxa"/>
            <w:vMerge w:val="restart"/>
            <w:vAlign w:val="center"/>
          </w:tcPr>
          <w:p w14:paraId="688A75EA" w14:textId="77777777" w:rsidR="00454A29" w:rsidRDefault="00454A29">
            <w:pPr>
              <w:pStyle w:val="ConsPlusNormal"/>
              <w:jc w:val="center"/>
            </w:pPr>
            <w:r>
              <w:t>Школа-сад на 80/45 мест в с. Оленек</w:t>
            </w:r>
          </w:p>
        </w:tc>
        <w:tc>
          <w:tcPr>
            <w:tcW w:w="1701" w:type="dxa"/>
            <w:vAlign w:val="center"/>
          </w:tcPr>
          <w:p w14:paraId="22DA8660" w14:textId="77777777" w:rsidR="00454A29" w:rsidRDefault="00454A29">
            <w:pPr>
              <w:pStyle w:val="ConsPlusNormal"/>
              <w:jc w:val="center"/>
            </w:pPr>
            <w:r>
              <w:t>2020 - 2026 годы - всего</w:t>
            </w:r>
          </w:p>
        </w:tc>
        <w:tc>
          <w:tcPr>
            <w:tcW w:w="1417" w:type="dxa"/>
            <w:vMerge w:val="restart"/>
            <w:vAlign w:val="center"/>
          </w:tcPr>
          <w:p w14:paraId="3461C7B9" w14:textId="77777777" w:rsidR="00454A29" w:rsidRDefault="00454A29">
            <w:pPr>
              <w:pStyle w:val="ConsPlusNormal"/>
              <w:jc w:val="center"/>
            </w:pPr>
            <w:r>
              <w:t>431 987,91</w:t>
            </w:r>
          </w:p>
        </w:tc>
        <w:tc>
          <w:tcPr>
            <w:tcW w:w="2204" w:type="dxa"/>
            <w:vMerge w:val="restart"/>
            <w:vAlign w:val="center"/>
          </w:tcPr>
          <w:p w14:paraId="2637DC8D" w14:textId="77777777" w:rsidR="00454A29" w:rsidRDefault="00454A29">
            <w:pPr>
              <w:pStyle w:val="ConsPlusNormal"/>
            </w:pPr>
          </w:p>
        </w:tc>
        <w:tc>
          <w:tcPr>
            <w:tcW w:w="1417" w:type="dxa"/>
            <w:vMerge w:val="restart"/>
            <w:vAlign w:val="center"/>
          </w:tcPr>
          <w:p w14:paraId="4814C69E" w14:textId="77777777" w:rsidR="00454A29" w:rsidRDefault="00454A29">
            <w:pPr>
              <w:pStyle w:val="ConsPlusNormal"/>
              <w:jc w:val="center"/>
            </w:pPr>
            <w:r>
              <w:t>80</w:t>
            </w:r>
          </w:p>
        </w:tc>
        <w:tc>
          <w:tcPr>
            <w:tcW w:w="2324" w:type="dxa"/>
            <w:vMerge w:val="restart"/>
            <w:vAlign w:val="center"/>
          </w:tcPr>
          <w:p w14:paraId="60147A7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CABADC8" w14:textId="77777777" w:rsidR="00454A29" w:rsidRDefault="00454A29">
            <w:pPr>
              <w:pStyle w:val="ConsPlusNormal"/>
              <w:jc w:val="center"/>
            </w:pPr>
            <w:r>
              <w:t>431 987,91</w:t>
            </w:r>
          </w:p>
        </w:tc>
        <w:tc>
          <w:tcPr>
            <w:tcW w:w="1814" w:type="dxa"/>
            <w:vAlign w:val="center"/>
          </w:tcPr>
          <w:p w14:paraId="3136971E" w14:textId="77777777" w:rsidR="00454A29" w:rsidRDefault="00454A29">
            <w:pPr>
              <w:pStyle w:val="ConsPlusNormal"/>
              <w:jc w:val="center"/>
            </w:pPr>
            <w:r>
              <w:t>5 322,09</w:t>
            </w:r>
          </w:p>
        </w:tc>
        <w:tc>
          <w:tcPr>
            <w:tcW w:w="1701" w:type="dxa"/>
            <w:vAlign w:val="center"/>
          </w:tcPr>
          <w:p w14:paraId="16501BFD" w14:textId="77777777" w:rsidR="00454A29" w:rsidRDefault="00454A29">
            <w:pPr>
              <w:pStyle w:val="ConsPlusNormal"/>
              <w:jc w:val="center"/>
            </w:pPr>
            <w:r>
              <w:t>526 887,01</w:t>
            </w:r>
          </w:p>
        </w:tc>
        <w:tc>
          <w:tcPr>
            <w:tcW w:w="1701" w:type="dxa"/>
            <w:vAlign w:val="center"/>
          </w:tcPr>
          <w:p w14:paraId="1A4E7455" w14:textId="77777777" w:rsidR="00454A29" w:rsidRDefault="00454A29">
            <w:pPr>
              <w:pStyle w:val="ConsPlusNormal"/>
              <w:jc w:val="center"/>
            </w:pPr>
            <w:r>
              <w:t>-</w:t>
            </w:r>
          </w:p>
        </w:tc>
        <w:tc>
          <w:tcPr>
            <w:tcW w:w="1814" w:type="dxa"/>
            <w:vAlign w:val="center"/>
          </w:tcPr>
          <w:p w14:paraId="4ED195ED" w14:textId="77777777" w:rsidR="00454A29" w:rsidRDefault="00454A29">
            <w:pPr>
              <w:pStyle w:val="ConsPlusNormal"/>
              <w:jc w:val="center"/>
            </w:pPr>
            <w:r>
              <w:t>-</w:t>
            </w:r>
          </w:p>
        </w:tc>
      </w:tr>
      <w:tr w:rsidR="00454A29" w14:paraId="4BA5D780" w14:textId="77777777">
        <w:tc>
          <w:tcPr>
            <w:tcW w:w="567" w:type="dxa"/>
            <w:vMerge/>
          </w:tcPr>
          <w:p w14:paraId="7594E706" w14:textId="77777777" w:rsidR="00454A29" w:rsidRDefault="00454A29"/>
        </w:tc>
        <w:tc>
          <w:tcPr>
            <w:tcW w:w="3345" w:type="dxa"/>
            <w:vMerge/>
          </w:tcPr>
          <w:p w14:paraId="6C6FCDA2" w14:textId="77777777" w:rsidR="00454A29" w:rsidRDefault="00454A29"/>
        </w:tc>
        <w:tc>
          <w:tcPr>
            <w:tcW w:w="1701" w:type="dxa"/>
            <w:vAlign w:val="center"/>
          </w:tcPr>
          <w:p w14:paraId="1830B4D1" w14:textId="77777777" w:rsidR="00454A29" w:rsidRDefault="00454A29">
            <w:pPr>
              <w:pStyle w:val="ConsPlusNormal"/>
              <w:jc w:val="center"/>
            </w:pPr>
            <w:r>
              <w:t>2020</w:t>
            </w:r>
          </w:p>
        </w:tc>
        <w:tc>
          <w:tcPr>
            <w:tcW w:w="1417" w:type="dxa"/>
            <w:vMerge/>
          </w:tcPr>
          <w:p w14:paraId="1F957E3C" w14:textId="77777777" w:rsidR="00454A29" w:rsidRDefault="00454A29"/>
        </w:tc>
        <w:tc>
          <w:tcPr>
            <w:tcW w:w="2204" w:type="dxa"/>
            <w:vMerge/>
          </w:tcPr>
          <w:p w14:paraId="45188223" w14:textId="77777777" w:rsidR="00454A29" w:rsidRDefault="00454A29"/>
        </w:tc>
        <w:tc>
          <w:tcPr>
            <w:tcW w:w="1417" w:type="dxa"/>
            <w:vMerge/>
          </w:tcPr>
          <w:p w14:paraId="58455759" w14:textId="77777777" w:rsidR="00454A29" w:rsidRDefault="00454A29"/>
        </w:tc>
        <w:tc>
          <w:tcPr>
            <w:tcW w:w="2324" w:type="dxa"/>
            <w:vMerge/>
          </w:tcPr>
          <w:p w14:paraId="7734DAFA" w14:textId="77777777" w:rsidR="00454A29" w:rsidRDefault="00454A29"/>
        </w:tc>
        <w:tc>
          <w:tcPr>
            <w:tcW w:w="1701" w:type="dxa"/>
            <w:vAlign w:val="center"/>
          </w:tcPr>
          <w:p w14:paraId="41C1AD5E" w14:textId="77777777" w:rsidR="00454A29" w:rsidRDefault="00454A29">
            <w:pPr>
              <w:pStyle w:val="ConsPlusNormal"/>
            </w:pPr>
          </w:p>
        </w:tc>
        <w:tc>
          <w:tcPr>
            <w:tcW w:w="1814" w:type="dxa"/>
            <w:vAlign w:val="center"/>
          </w:tcPr>
          <w:p w14:paraId="3E24D56D" w14:textId="77777777" w:rsidR="00454A29" w:rsidRDefault="00454A29">
            <w:pPr>
              <w:pStyle w:val="ConsPlusNormal"/>
            </w:pPr>
          </w:p>
        </w:tc>
        <w:tc>
          <w:tcPr>
            <w:tcW w:w="1701" w:type="dxa"/>
            <w:vAlign w:val="center"/>
          </w:tcPr>
          <w:p w14:paraId="261C8E1E" w14:textId="77777777" w:rsidR="00454A29" w:rsidRDefault="00454A29">
            <w:pPr>
              <w:pStyle w:val="ConsPlusNormal"/>
            </w:pPr>
          </w:p>
        </w:tc>
        <w:tc>
          <w:tcPr>
            <w:tcW w:w="1701" w:type="dxa"/>
            <w:vAlign w:val="center"/>
          </w:tcPr>
          <w:p w14:paraId="3084CE5F" w14:textId="77777777" w:rsidR="00454A29" w:rsidRDefault="00454A29">
            <w:pPr>
              <w:pStyle w:val="ConsPlusNormal"/>
            </w:pPr>
          </w:p>
        </w:tc>
        <w:tc>
          <w:tcPr>
            <w:tcW w:w="1814" w:type="dxa"/>
            <w:vAlign w:val="center"/>
          </w:tcPr>
          <w:p w14:paraId="71EDD233" w14:textId="77777777" w:rsidR="00454A29" w:rsidRDefault="00454A29">
            <w:pPr>
              <w:pStyle w:val="ConsPlusNormal"/>
            </w:pPr>
          </w:p>
        </w:tc>
      </w:tr>
      <w:tr w:rsidR="00454A29" w14:paraId="4FFE0A52" w14:textId="77777777">
        <w:tc>
          <w:tcPr>
            <w:tcW w:w="567" w:type="dxa"/>
            <w:vMerge/>
          </w:tcPr>
          <w:p w14:paraId="344935C6" w14:textId="77777777" w:rsidR="00454A29" w:rsidRDefault="00454A29"/>
        </w:tc>
        <w:tc>
          <w:tcPr>
            <w:tcW w:w="3345" w:type="dxa"/>
            <w:vMerge/>
          </w:tcPr>
          <w:p w14:paraId="77A0B276" w14:textId="77777777" w:rsidR="00454A29" w:rsidRDefault="00454A29"/>
        </w:tc>
        <w:tc>
          <w:tcPr>
            <w:tcW w:w="1701" w:type="dxa"/>
            <w:vAlign w:val="center"/>
          </w:tcPr>
          <w:p w14:paraId="6AEB4849" w14:textId="77777777" w:rsidR="00454A29" w:rsidRDefault="00454A29">
            <w:pPr>
              <w:pStyle w:val="ConsPlusNormal"/>
              <w:jc w:val="center"/>
            </w:pPr>
            <w:r>
              <w:t>2021</w:t>
            </w:r>
          </w:p>
        </w:tc>
        <w:tc>
          <w:tcPr>
            <w:tcW w:w="1417" w:type="dxa"/>
            <w:vMerge/>
          </w:tcPr>
          <w:p w14:paraId="5F40F641" w14:textId="77777777" w:rsidR="00454A29" w:rsidRDefault="00454A29"/>
        </w:tc>
        <w:tc>
          <w:tcPr>
            <w:tcW w:w="2204" w:type="dxa"/>
            <w:vMerge/>
          </w:tcPr>
          <w:p w14:paraId="5A33FE71" w14:textId="77777777" w:rsidR="00454A29" w:rsidRDefault="00454A29"/>
        </w:tc>
        <w:tc>
          <w:tcPr>
            <w:tcW w:w="1417" w:type="dxa"/>
            <w:vMerge/>
          </w:tcPr>
          <w:p w14:paraId="17B5254C" w14:textId="77777777" w:rsidR="00454A29" w:rsidRDefault="00454A29"/>
        </w:tc>
        <w:tc>
          <w:tcPr>
            <w:tcW w:w="2324" w:type="dxa"/>
            <w:vMerge/>
          </w:tcPr>
          <w:p w14:paraId="1B648BD6" w14:textId="77777777" w:rsidR="00454A29" w:rsidRDefault="00454A29"/>
        </w:tc>
        <w:tc>
          <w:tcPr>
            <w:tcW w:w="1701" w:type="dxa"/>
            <w:vAlign w:val="center"/>
          </w:tcPr>
          <w:p w14:paraId="7B553F32" w14:textId="77777777" w:rsidR="00454A29" w:rsidRDefault="00454A29">
            <w:pPr>
              <w:pStyle w:val="ConsPlusNormal"/>
              <w:jc w:val="center"/>
            </w:pPr>
            <w:r>
              <w:t>-</w:t>
            </w:r>
          </w:p>
        </w:tc>
        <w:tc>
          <w:tcPr>
            <w:tcW w:w="1814" w:type="dxa"/>
            <w:vAlign w:val="center"/>
          </w:tcPr>
          <w:p w14:paraId="106652AF" w14:textId="77777777" w:rsidR="00454A29" w:rsidRDefault="00454A29">
            <w:pPr>
              <w:pStyle w:val="ConsPlusNormal"/>
            </w:pPr>
          </w:p>
        </w:tc>
        <w:tc>
          <w:tcPr>
            <w:tcW w:w="1701" w:type="dxa"/>
            <w:vAlign w:val="center"/>
          </w:tcPr>
          <w:p w14:paraId="407EBE3E" w14:textId="77777777" w:rsidR="00454A29" w:rsidRDefault="00454A29">
            <w:pPr>
              <w:pStyle w:val="ConsPlusNormal"/>
            </w:pPr>
          </w:p>
        </w:tc>
        <w:tc>
          <w:tcPr>
            <w:tcW w:w="1701" w:type="dxa"/>
            <w:vAlign w:val="center"/>
          </w:tcPr>
          <w:p w14:paraId="595532FA" w14:textId="77777777" w:rsidR="00454A29" w:rsidRDefault="00454A29">
            <w:pPr>
              <w:pStyle w:val="ConsPlusNormal"/>
            </w:pPr>
          </w:p>
        </w:tc>
        <w:tc>
          <w:tcPr>
            <w:tcW w:w="1814" w:type="dxa"/>
            <w:vAlign w:val="center"/>
          </w:tcPr>
          <w:p w14:paraId="34919496" w14:textId="77777777" w:rsidR="00454A29" w:rsidRDefault="00454A29">
            <w:pPr>
              <w:pStyle w:val="ConsPlusNormal"/>
            </w:pPr>
          </w:p>
        </w:tc>
      </w:tr>
      <w:tr w:rsidR="00454A29" w14:paraId="388C0AEA" w14:textId="77777777">
        <w:tc>
          <w:tcPr>
            <w:tcW w:w="567" w:type="dxa"/>
            <w:vMerge/>
          </w:tcPr>
          <w:p w14:paraId="5FDEBEBC" w14:textId="77777777" w:rsidR="00454A29" w:rsidRDefault="00454A29"/>
        </w:tc>
        <w:tc>
          <w:tcPr>
            <w:tcW w:w="3345" w:type="dxa"/>
            <w:vMerge/>
          </w:tcPr>
          <w:p w14:paraId="7F480F0E" w14:textId="77777777" w:rsidR="00454A29" w:rsidRDefault="00454A29"/>
        </w:tc>
        <w:tc>
          <w:tcPr>
            <w:tcW w:w="1701" w:type="dxa"/>
            <w:vAlign w:val="center"/>
          </w:tcPr>
          <w:p w14:paraId="0A768759" w14:textId="77777777" w:rsidR="00454A29" w:rsidRDefault="00454A29">
            <w:pPr>
              <w:pStyle w:val="ConsPlusNormal"/>
              <w:jc w:val="center"/>
            </w:pPr>
            <w:r>
              <w:t>2022</w:t>
            </w:r>
          </w:p>
        </w:tc>
        <w:tc>
          <w:tcPr>
            <w:tcW w:w="1417" w:type="dxa"/>
            <w:vMerge/>
          </w:tcPr>
          <w:p w14:paraId="00330D2B" w14:textId="77777777" w:rsidR="00454A29" w:rsidRDefault="00454A29"/>
        </w:tc>
        <w:tc>
          <w:tcPr>
            <w:tcW w:w="2204" w:type="dxa"/>
            <w:vMerge/>
          </w:tcPr>
          <w:p w14:paraId="418CE810" w14:textId="77777777" w:rsidR="00454A29" w:rsidRDefault="00454A29"/>
        </w:tc>
        <w:tc>
          <w:tcPr>
            <w:tcW w:w="1417" w:type="dxa"/>
            <w:vMerge/>
          </w:tcPr>
          <w:p w14:paraId="55AF858E" w14:textId="77777777" w:rsidR="00454A29" w:rsidRDefault="00454A29"/>
        </w:tc>
        <w:tc>
          <w:tcPr>
            <w:tcW w:w="2324" w:type="dxa"/>
            <w:vMerge/>
          </w:tcPr>
          <w:p w14:paraId="49A37559" w14:textId="77777777" w:rsidR="00454A29" w:rsidRDefault="00454A29"/>
        </w:tc>
        <w:tc>
          <w:tcPr>
            <w:tcW w:w="1701" w:type="dxa"/>
            <w:vAlign w:val="center"/>
          </w:tcPr>
          <w:p w14:paraId="1ED9AC3A" w14:textId="77777777" w:rsidR="00454A29" w:rsidRDefault="00454A29">
            <w:pPr>
              <w:pStyle w:val="ConsPlusNormal"/>
            </w:pPr>
          </w:p>
        </w:tc>
        <w:tc>
          <w:tcPr>
            <w:tcW w:w="1814" w:type="dxa"/>
            <w:vAlign w:val="center"/>
          </w:tcPr>
          <w:p w14:paraId="1FB0FF32" w14:textId="77777777" w:rsidR="00454A29" w:rsidRDefault="00454A29">
            <w:pPr>
              <w:pStyle w:val="ConsPlusNormal"/>
            </w:pPr>
          </w:p>
        </w:tc>
        <w:tc>
          <w:tcPr>
            <w:tcW w:w="1701" w:type="dxa"/>
            <w:vAlign w:val="center"/>
          </w:tcPr>
          <w:p w14:paraId="643AD7A3" w14:textId="77777777" w:rsidR="00454A29" w:rsidRDefault="00454A29">
            <w:pPr>
              <w:pStyle w:val="ConsPlusNormal"/>
            </w:pPr>
          </w:p>
        </w:tc>
        <w:tc>
          <w:tcPr>
            <w:tcW w:w="1701" w:type="dxa"/>
            <w:vAlign w:val="center"/>
          </w:tcPr>
          <w:p w14:paraId="406F6414" w14:textId="77777777" w:rsidR="00454A29" w:rsidRDefault="00454A29">
            <w:pPr>
              <w:pStyle w:val="ConsPlusNormal"/>
            </w:pPr>
          </w:p>
        </w:tc>
        <w:tc>
          <w:tcPr>
            <w:tcW w:w="1814" w:type="dxa"/>
            <w:vAlign w:val="center"/>
          </w:tcPr>
          <w:p w14:paraId="0C5F2145" w14:textId="77777777" w:rsidR="00454A29" w:rsidRDefault="00454A29">
            <w:pPr>
              <w:pStyle w:val="ConsPlusNormal"/>
            </w:pPr>
          </w:p>
        </w:tc>
      </w:tr>
      <w:tr w:rsidR="00454A29" w14:paraId="474F31BA" w14:textId="77777777">
        <w:tc>
          <w:tcPr>
            <w:tcW w:w="567" w:type="dxa"/>
            <w:vMerge/>
          </w:tcPr>
          <w:p w14:paraId="6F8B8B58" w14:textId="77777777" w:rsidR="00454A29" w:rsidRDefault="00454A29"/>
        </w:tc>
        <w:tc>
          <w:tcPr>
            <w:tcW w:w="3345" w:type="dxa"/>
            <w:vMerge/>
          </w:tcPr>
          <w:p w14:paraId="576DB517" w14:textId="77777777" w:rsidR="00454A29" w:rsidRDefault="00454A29"/>
        </w:tc>
        <w:tc>
          <w:tcPr>
            <w:tcW w:w="1701" w:type="dxa"/>
            <w:vAlign w:val="center"/>
          </w:tcPr>
          <w:p w14:paraId="26C91297" w14:textId="77777777" w:rsidR="00454A29" w:rsidRDefault="00454A29">
            <w:pPr>
              <w:pStyle w:val="ConsPlusNormal"/>
              <w:jc w:val="center"/>
            </w:pPr>
            <w:r>
              <w:t>2023</w:t>
            </w:r>
          </w:p>
        </w:tc>
        <w:tc>
          <w:tcPr>
            <w:tcW w:w="1417" w:type="dxa"/>
            <w:vMerge/>
          </w:tcPr>
          <w:p w14:paraId="0ADAFF87" w14:textId="77777777" w:rsidR="00454A29" w:rsidRDefault="00454A29"/>
        </w:tc>
        <w:tc>
          <w:tcPr>
            <w:tcW w:w="2204" w:type="dxa"/>
            <w:vMerge/>
          </w:tcPr>
          <w:p w14:paraId="0E899B43" w14:textId="77777777" w:rsidR="00454A29" w:rsidRDefault="00454A29"/>
        </w:tc>
        <w:tc>
          <w:tcPr>
            <w:tcW w:w="1417" w:type="dxa"/>
            <w:vMerge/>
          </w:tcPr>
          <w:p w14:paraId="50161C2D" w14:textId="77777777" w:rsidR="00454A29" w:rsidRDefault="00454A29"/>
        </w:tc>
        <w:tc>
          <w:tcPr>
            <w:tcW w:w="2324" w:type="dxa"/>
            <w:vMerge/>
          </w:tcPr>
          <w:p w14:paraId="7B43C515" w14:textId="77777777" w:rsidR="00454A29" w:rsidRDefault="00454A29"/>
        </w:tc>
        <w:tc>
          <w:tcPr>
            <w:tcW w:w="1701" w:type="dxa"/>
            <w:vAlign w:val="center"/>
          </w:tcPr>
          <w:p w14:paraId="71ECB58E" w14:textId="77777777" w:rsidR="00454A29" w:rsidRDefault="00454A29">
            <w:pPr>
              <w:pStyle w:val="ConsPlusNormal"/>
              <w:jc w:val="center"/>
            </w:pPr>
            <w:r>
              <w:t>-</w:t>
            </w:r>
          </w:p>
        </w:tc>
        <w:tc>
          <w:tcPr>
            <w:tcW w:w="1814" w:type="dxa"/>
            <w:vAlign w:val="center"/>
          </w:tcPr>
          <w:p w14:paraId="20FDFD67" w14:textId="77777777" w:rsidR="00454A29" w:rsidRDefault="00454A29">
            <w:pPr>
              <w:pStyle w:val="ConsPlusNormal"/>
            </w:pPr>
          </w:p>
        </w:tc>
        <w:tc>
          <w:tcPr>
            <w:tcW w:w="1701" w:type="dxa"/>
            <w:vAlign w:val="center"/>
          </w:tcPr>
          <w:p w14:paraId="4AEF12C9" w14:textId="77777777" w:rsidR="00454A29" w:rsidRDefault="00454A29">
            <w:pPr>
              <w:pStyle w:val="ConsPlusNormal"/>
            </w:pPr>
          </w:p>
        </w:tc>
        <w:tc>
          <w:tcPr>
            <w:tcW w:w="1701" w:type="dxa"/>
            <w:vAlign w:val="center"/>
          </w:tcPr>
          <w:p w14:paraId="50B095F7" w14:textId="77777777" w:rsidR="00454A29" w:rsidRDefault="00454A29">
            <w:pPr>
              <w:pStyle w:val="ConsPlusNormal"/>
            </w:pPr>
          </w:p>
        </w:tc>
        <w:tc>
          <w:tcPr>
            <w:tcW w:w="1814" w:type="dxa"/>
            <w:vAlign w:val="center"/>
          </w:tcPr>
          <w:p w14:paraId="2176029E" w14:textId="77777777" w:rsidR="00454A29" w:rsidRDefault="00454A29">
            <w:pPr>
              <w:pStyle w:val="ConsPlusNormal"/>
            </w:pPr>
          </w:p>
        </w:tc>
      </w:tr>
      <w:tr w:rsidR="00454A29" w14:paraId="619D572B" w14:textId="77777777">
        <w:tc>
          <w:tcPr>
            <w:tcW w:w="567" w:type="dxa"/>
            <w:vMerge/>
          </w:tcPr>
          <w:p w14:paraId="44338D9A" w14:textId="77777777" w:rsidR="00454A29" w:rsidRDefault="00454A29"/>
        </w:tc>
        <w:tc>
          <w:tcPr>
            <w:tcW w:w="3345" w:type="dxa"/>
            <w:vMerge/>
          </w:tcPr>
          <w:p w14:paraId="08CC2F68" w14:textId="77777777" w:rsidR="00454A29" w:rsidRDefault="00454A29"/>
        </w:tc>
        <w:tc>
          <w:tcPr>
            <w:tcW w:w="1701" w:type="dxa"/>
            <w:vAlign w:val="center"/>
          </w:tcPr>
          <w:p w14:paraId="1C434FD2" w14:textId="77777777" w:rsidR="00454A29" w:rsidRDefault="00454A29">
            <w:pPr>
              <w:pStyle w:val="ConsPlusNormal"/>
              <w:jc w:val="center"/>
            </w:pPr>
            <w:r>
              <w:t>2024</w:t>
            </w:r>
          </w:p>
        </w:tc>
        <w:tc>
          <w:tcPr>
            <w:tcW w:w="1417" w:type="dxa"/>
            <w:vMerge/>
          </w:tcPr>
          <w:p w14:paraId="5D59F71D" w14:textId="77777777" w:rsidR="00454A29" w:rsidRDefault="00454A29"/>
        </w:tc>
        <w:tc>
          <w:tcPr>
            <w:tcW w:w="2204" w:type="dxa"/>
            <w:vMerge/>
          </w:tcPr>
          <w:p w14:paraId="5F6A0CD8" w14:textId="77777777" w:rsidR="00454A29" w:rsidRDefault="00454A29"/>
        </w:tc>
        <w:tc>
          <w:tcPr>
            <w:tcW w:w="1417" w:type="dxa"/>
            <w:vMerge/>
          </w:tcPr>
          <w:p w14:paraId="027B973C" w14:textId="77777777" w:rsidR="00454A29" w:rsidRDefault="00454A29"/>
        </w:tc>
        <w:tc>
          <w:tcPr>
            <w:tcW w:w="2324" w:type="dxa"/>
            <w:vMerge/>
          </w:tcPr>
          <w:p w14:paraId="5A658753" w14:textId="77777777" w:rsidR="00454A29" w:rsidRDefault="00454A29"/>
        </w:tc>
        <w:tc>
          <w:tcPr>
            <w:tcW w:w="1701" w:type="dxa"/>
            <w:vAlign w:val="center"/>
          </w:tcPr>
          <w:p w14:paraId="040573A5" w14:textId="77777777" w:rsidR="00454A29" w:rsidRDefault="00454A29">
            <w:pPr>
              <w:pStyle w:val="ConsPlusNormal"/>
            </w:pPr>
          </w:p>
        </w:tc>
        <w:tc>
          <w:tcPr>
            <w:tcW w:w="1814" w:type="dxa"/>
            <w:vAlign w:val="center"/>
          </w:tcPr>
          <w:p w14:paraId="6032280D" w14:textId="77777777" w:rsidR="00454A29" w:rsidRDefault="00454A29">
            <w:pPr>
              <w:pStyle w:val="ConsPlusNormal"/>
            </w:pPr>
          </w:p>
        </w:tc>
        <w:tc>
          <w:tcPr>
            <w:tcW w:w="1701" w:type="dxa"/>
            <w:vAlign w:val="center"/>
          </w:tcPr>
          <w:p w14:paraId="7F3773E1" w14:textId="77777777" w:rsidR="00454A29" w:rsidRDefault="00454A29">
            <w:pPr>
              <w:pStyle w:val="ConsPlusNormal"/>
            </w:pPr>
          </w:p>
        </w:tc>
        <w:tc>
          <w:tcPr>
            <w:tcW w:w="1701" w:type="dxa"/>
            <w:vAlign w:val="center"/>
          </w:tcPr>
          <w:p w14:paraId="0D6573EE" w14:textId="77777777" w:rsidR="00454A29" w:rsidRDefault="00454A29">
            <w:pPr>
              <w:pStyle w:val="ConsPlusNormal"/>
            </w:pPr>
          </w:p>
        </w:tc>
        <w:tc>
          <w:tcPr>
            <w:tcW w:w="1814" w:type="dxa"/>
            <w:vAlign w:val="center"/>
          </w:tcPr>
          <w:p w14:paraId="081D283D" w14:textId="77777777" w:rsidR="00454A29" w:rsidRDefault="00454A29">
            <w:pPr>
              <w:pStyle w:val="ConsPlusNormal"/>
            </w:pPr>
          </w:p>
        </w:tc>
      </w:tr>
      <w:tr w:rsidR="00454A29" w14:paraId="7493E28B" w14:textId="77777777">
        <w:tc>
          <w:tcPr>
            <w:tcW w:w="567" w:type="dxa"/>
            <w:vMerge/>
          </w:tcPr>
          <w:p w14:paraId="6C25F080" w14:textId="77777777" w:rsidR="00454A29" w:rsidRDefault="00454A29"/>
        </w:tc>
        <w:tc>
          <w:tcPr>
            <w:tcW w:w="3345" w:type="dxa"/>
            <w:vMerge/>
          </w:tcPr>
          <w:p w14:paraId="06883D37" w14:textId="77777777" w:rsidR="00454A29" w:rsidRDefault="00454A29"/>
        </w:tc>
        <w:tc>
          <w:tcPr>
            <w:tcW w:w="1701" w:type="dxa"/>
            <w:vAlign w:val="center"/>
          </w:tcPr>
          <w:p w14:paraId="33A10ADF" w14:textId="77777777" w:rsidR="00454A29" w:rsidRDefault="00454A29">
            <w:pPr>
              <w:pStyle w:val="ConsPlusNormal"/>
              <w:jc w:val="center"/>
            </w:pPr>
            <w:r>
              <w:t>2025</w:t>
            </w:r>
          </w:p>
        </w:tc>
        <w:tc>
          <w:tcPr>
            <w:tcW w:w="1417" w:type="dxa"/>
            <w:vMerge/>
          </w:tcPr>
          <w:p w14:paraId="442AE713" w14:textId="77777777" w:rsidR="00454A29" w:rsidRDefault="00454A29"/>
        </w:tc>
        <w:tc>
          <w:tcPr>
            <w:tcW w:w="2204" w:type="dxa"/>
            <w:vMerge/>
          </w:tcPr>
          <w:p w14:paraId="3CEFAA7B" w14:textId="77777777" w:rsidR="00454A29" w:rsidRDefault="00454A29"/>
        </w:tc>
        <w:tc>
          <w:tcPr>
            <w:tcW w:w="1417" w:type="dxa"/>
            <w:vMerge/>
          </w:tcPr>
          <w:p w14:paraId="516BFDB6" w14:textId="77777777" w:rsidR="00454A29" w:rsidRDefault="00454A29"/>
        </w:tc>
        <w:tc>
          <w:tcPr>
            <w:tcW w:w="2324" w:type="dxa"/>
            <w:vMerge/>
          </w:tcPr>
          <w:p w14:paraId="36F0FE78" w14:textId="77777777" w:rsidR="00454A29" w:rsidRDefault="00454A29"/>
        </w:tc>
        <w:tc>
          <w:tcPr>
            <w:tcW w:w="1701" w:type="dxa"/>
            <w:vAlign w:val="center"/>
          </w:tcPr>
          <w:p w14:paraId="565F02C8" w14:textId="77777777" w:rsidR="00454A29" w:rsidRDefault="00454A29">
            <w:pPr>
              <w:pStyle w:val="ConsPlusNormal"/>
            </w:pPr>
          </w:p>
        </w:tc>
        <w:tc>
          <w:tcPr>
            <w:tcW w:w="1814" w:type="dxa"/>
            <w:vAlign w:val="center"/>
          </w:tcPr>
          <w:p w14:paraId="15FA8D8C" w14:textId="77777777" w:rsidR="00454A29" w:rsidRDefault="00454A29">
            <w:pPr>
              <w:pStyle w:val="ConsPlusNormal"/>
            </w:pPr>
          </w:p>
        </w:tc>
        <w:tc>
          <w:tcPr>
            <w:tcW w:w="1701" w:type="dxa"/>
            <w:vAlign w:val="center"/>
          </w:tcPr>
          <w:p w14:paraId="4814F3FF" w14:textId="77777777" w:rsidR="00454A29" w:rsidRDefault="00454A29">
            <w:pPr>
              <w:pStyle w:val="ConsPlusNormal"/>
            </w:pPr>
          </w:p>
        </w:tc>
        <w:tc>
          <w:tcPr>
            <w:tcW w:w="1701" w:type="dxa"/>
            <w:vAlign w:val="center"/>
          </w:tcPr>
          <w:p w14:paraId="66E16A0E" w14:textId="77777777" w:rsidR="00454A29" w:rsidRDefault="00454A29">
            <w:pPr>
              <w:pStyle w:val="ConsPlusNormal"/>
            </w:pPr>
          </w:p>
        </w:tc>
        <w:tc>
          <w:tcPr>
            <w:tcW w:w="1814" w:type="dxa"/>
            <w:vAlign w:val="center"/>
          </w:tcPr>
          <w:p w14:paraId="70AE94EB" w14:textId="77777777" w:rsidR="00454A29" w:rsidRDefault="00454A29">
            <w:pPr>
              <w:pStyle w:val="ConsPlusNormal"/>
            </w:pPr>
          </w:p>
        </w:tc>
      </w:tr>
      <w:tr w:rsidR="00454A29" w14:paraId="7401B084" w14:textId="77777777">
        <w:tc>
          <w:tcPr>
            <w:tcW w:w="567" w:type="dxa"/>
            <w:vMerge/>
          </w:tcPr>
          <w:p w14:paraId="6866F358" w14:textId="77777777" w:rsidR="00454A29" w:rsidRDefault="00454A29"/>
        </w:tc>
        <w:tc>
          <w:tcPr>
            <w:tcW w:w="3345" w:type="dxa"/>
            <w:vMerge/>
          </w:tcPr>
          <w:p w14:paraId="509252C1" w14:textId="77777777" w:rsidR="00454A29" w:rsidRDefault="00454A29"/>
        </w:tc>
        <w:tc>
          <w:tcPr>
            <w:tcW w:w="1701" w:type="dxa"/>
            <w:vAlign w:val="center"/>
          </w:tcPr>
          <w:p w14:paraId="187DA383" w14:textId="77777777" w:rsidR="00454A29" w:rsidRDefault="00454A29">
            <w:pPr>
              <w:pStyle w:val="ConsPlusNormal"/>
              <w:jc w:val="center"/>
            </w:pPr>
            <w:r>
              <w:t>2026</w:t>
            </w:r>
          </w:p>
        </w:tc>
        <w:tc>
          <w:tcPr>
            <w:tcW w:w="1417" w:type="dxa"/>
            <w:vMerge/>
          </w:tcPr>
          <w:p w14:paraId="26F6938F" w14:textId="77777777" w:rsidR="00454A29" w:rsidRDefault="00454A29"/>
        </w:tc>
        <w:tc>
          <w:tcPr>
            <w:tcW w:w="2204" w:type="dxa"/>
            <w:vMerge/>
          </w:tcPr>
          <w:p w14:paraId="5C87ACEA" w14:textId="77777777" w:rsidR="00454A29" w:rsidRDefault="00454A29"/>
        </w:tc>
        <w:tc>
          <w:tcPr>
            <w:tcW w:w="1417" w:type="dxa"/>
            <w:vMerge/>
          </w:tcPr>
          <w:p w14:paraId="5C017049" w14:textId="77777777" w:rsidR="00454A29" w:rsidRDefault="00454A29"/>
        </w:tc>
        <w:tc>
          <w:tcPr>
            <w:tcW w:w="2324" w:type="dxa"/>
            <w:vMerge/>
          </w:tcPr>
          <w:p w14:paraId="3E3D9436" w14:textId="77777777" w:rsidR="00454A29" w:rsidRDefault="00454A29"/>
        </w:tc>
        <w:tc>
          <w:tcPr>
            <w:tcW w:w="1701" w:type="dxa"/>
            <w:vAlign w:val="center"/>
          </w:tcPr>
          <w:p w14:paraId="5B6BA07A" w14:textId="77777777" w:rsidR="00454A29" w:rsidRDefault="00454A29">
            <w:pPr>
              <w:pStyle w:val="ConsPlusNormal"/>
              <w:jc w:val="center"/>
            </w:pPr>
            <w:r>
              <w:t>431 987,91</w:t>
            </w:r>
          </w:p>
        </w:tc>
        <w:tc>
          <w:tcPr>
            <w:tcW w:w="1814" w:type="dxa"/>
            <w:vAlign w:val="center"/>
          </w:tcPr>
          <w:p w14:paraId="4AF83F63" w14:textId="77777777" w:rsidR="00454A29" w:rsidRDefault="00454A29">
            <w:pPr>
              <w:pStyle w:val="ConsPlusNormal"/>
              <w:jc w:val="center"/>
            </w:pPr>
            <w:r>
              <w:t>5 322,09</w:t>
            </w:r>
          </w:p>
        </w:tc>
        <w:tc>
          <w:tcPr>
            <w:tcW w:w="1701" w:type="dxa"/>
            <w:vAlign w:val="center"/>
          </w:tcPr>
          <w:p w14:paraId="30A4955A" w14:textId="77777777" w:rsidR="00454A29" w:rsidRDefault="00454A29">
            <w:pPr>
              <w:pStyle w:val="ConsPlusNormal"/>
              <w:jc w:val="center"/>
            </w:pPr>
            <w:r>
              <w:t>526 887,01</w:t>
            </w:r>
          </w:p>
        </w:tc>
        <w:tc>
          <w:tcPr>
            <w:tcW w:w="1701" w:type="dxa"/>
            <w:vAlign w:val="center"/>
          </w:tcPr>
          <w:p w14:paraId="3502761D" w14:textId="77777777" w:rsidR="00454A29" w:rsidRDefault="00454A29">
            <w:pPr>
              <w:pStyle w:val="ConsPlusNormal"/>
            </w:pPr>
          </w:p>
        </w:tc>
        <w:tc>
          <w:tcPr>
            <w:tcW w:w="1814" w:type="dxa"/>
            <w:vAlign w:val="center"/>
          </w:tcPr>
          <w:p w14:paraId="3A79F6E6" w14:textId="77777777" w:rsidR="00454A29" w:rsidRDefault="00454A29">
            <w:pPr>
              <w:pStyle w:val="ConsPlusNormal"/>
            </w:pPr>
          </w:p>
        </w:tc>
      </w:tr>
      <w:tr w:rsidR="00454A29" w14:paraId="7520089B" w14:textId="77777777">
        <w:tc>
          <w:tcPr>
            <w:tcW w:w="21706" w:type="dxa"/>
            <w:gridSpan w:val="12"/>
            <w:vAlign w:val="center"/>
          </w:tcPr>
          <w:p w14:paraId="7FDDA56B" w14:textId="77777777" w:rsidR="00454A29" w:rsidRDefault="00454A29">
            <w:pPr>
              <w:pStyle w:val="ConsPlusNormal"/>
              <w:jc w:val="center"/>
              <w:outlineLvl w:val="2"/>
            </w:pPr>
            <w:r>
              <w:t>МО "Среднеколымский улус (район)"</w:t>
            </w:r>
          </w:p>
        </w:tc>
      </w:tr>
      <w:tr w:rsidR="00454A29" w14:paraId="3E2E44A3" w14:textId="77777777">
        <w:tc>
          <w:tcPr>
            <w:tcW w:w="567" w:type="dxa"/>
            <w:vMerge w:val="restart"/>
            <w:vAlign w:val="center"/>
          </w:tcPr>
          <w:p w14:paraId="68F7238F" w14:textId="77777777" w:rsidR="00454A29" w:rsidRDefault="00454A29">
            <w:pPr>
              <w:pStyle w:val="ConsPlusNormal"/>
              <w:jc w:val="center"/>
            </w:pPr>
            <w:r>
              <w:t>111</w:t>
            </w:r>
          </w:p>
        </w:tc>
        <w:tc>
          <w:tcPr>
            <w:tcW w:w="3345" w:type="dxa"/>
            <w:vMerge w:val="restart"/>
            <w:vAlign w:val="center"/>
          </w:tcPr>
          <w:p w14:paraId="6C1C0B86" w14:textId="77777777" w:rsidR="00454A29" w:rsidRDefault="00454A29">
            <w:pPr>
              <w:pStyle w:val="ConsPlusNormal"/>
              <w:jc w:val="center"/>
            </w:pPr>
            <w:r>
              <w:t>Школа на 80 учащихся в с. Аргахтах</w:t>
            </w:r>
          </w:p>
        </w:tc>
        <w:tc>
          <w:tcPr>
            <w:tcW w:w="1701" w:type="dxa"/>
            <w:vAlign w:val="center"/>
          </w:tcPr>
          <w:p w14:paraId="0AF30713" w14:textId="77777777" w:rsidR="00454A29" w:rsidRDefault="00454A29">
            <w:pPr>
              <w:pStyle w:val="ConsPlusNormal"/>
              <w:jc w:val="center"/>
            </w:pPr>
            <w:r>
              <w:t>2020 - 2026 годы - всего</w:t>
            </w:r>
          </w:p>
        </w:tc>
        <w:tc>
          <w:tcPr>
            <w:tcW w:w="1417" w:type="dxa"/>
            <w:vMerge w:val="restart"/>
            <w:vAlign w:val="center"/>
          </w:tcPr>
          <w:p w14:paraId="28630CE4" w14:textId="77777777" w:rsidR="00454A29" w:rsidRDefault="00454A29">
            <w:pPr>
              <w:pStyle w:val="ConsPlusNormal"/>
              <w:jc w:val="center"/>
            </w:pPr>
            <w:r>
              <w:t>92 000,00</w:t>
            </w:r>
          </w:p>
        </w:tc>
        <w:tc>
          <w:tcPr>
            <w:tcW w:w="2204" w:type="dxa"/>
            <w:vMerge w:val="restart"/>
            <w:vAlign w:val="center"/>
          </w:tcPr>
          <w:p w14:paraId="7AF24803" w14:textId="77777777" w:rsidR="00454A29" w:rsidRDefault="00454A29">
            <w:pPr>
              <w:pStyle w:val="ConsPlusNormal"/>
              <w:jc w:val="center"/>
            </w:pPr>
            <w:r>
              <w:t>имеется</w:t>
            </w:r>
          </w:p>
        </w:tc>
        <w:tc>
          <w:tcPr>
            <w:tcW w:w="1417" w:type="dxa"/>
            <w:vMerge w:val="restart"/>
            <w:vAlign w:val="center"/>
          </w:tcPr>
          <w:p w14:paraId="3BC19C57" w14:textId="77777777" w:rsidR="00454A29" w:rsidRDefault="00454A29">
            <w:pPr>
              <w:pStyle w:val="ConsPlusNormal"/>
              <w:jc w:val="center"/>
            </w:pPr>
            <w:r>
              <w:t>80</w:t>
            </w:r>
          </w:p>
        </w:tc>
        <w:tc>
          <w:tcPr>
            <w:tcW w:w="2324" w:type="dxa"/>
            <w:vMerge w:val="restart"/>
            <w:vAlign w:val="center"/>
          </w:tcPr>
          <w:p w14:paraId="0D979C3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C4F841B" w14:textId="77777777" w:rsidR="00454A29" w:rsidRDefault="00454A29">
            <w:pPr>
              <w:pStyle w:val="ConsPlusNormal"/>
              <w:jc w:val="center"/>
            </w:pPr>
            <w:r>
              <w:t>92 000,00</w:t>
            </w:r>
          </w:p>
        </w:tc>
        <w:tc>
          <w:tcPr>
            <w:tcW w:w="1814" w:type="dxa"/>
            <w:vAlign w:val="center"/>
          </w:tcPr>
          <w:p w14:paraId="618BA8CB" w14:textId="77777777" w:rsidR="00454A29" w:rsidRDefault="00454A29">
            <w:pPr>
              <w:pStyle w:val="ConsPlusNormal"/>
              <w:jc w:val="center"/>
            </w:pPr>
            <w:r>
              <w:t>92 000,00</w:t>
            </w:r>
          </w:p>
        </w:tc>
        <w:tc>
          <w:tcPr>
            <w:tcW w:w="1701" w:type="dxa"/>
            <w:vAlign w:val="center"/>
          </w:tcPr>
          <w:p w14:paraId="45D75B4C" w14:textId="77777777" w:rsidR="00454A29" w:rsidRDefault="00454A29">
            <w:pPr>
              <w:pStyle w:val="ConsPlusNormal"/>
              <w:jc w:val="center"/>
            </w:pPr>
            <w:r>
              <w:t>-</w:t>
            </w:r>
          </w:p>
        </w:tc>
        <w:tc>
          <w:tcPr>
            <w:tcW w:w="1701" w:type="dxa"/>
            <w:vAlign w:val="center"/>
          </w:tcPr>
          <w:p w14:paraId="71D64D7F" w14:textId="77777777" w:rsidR="00454A29" w:rsidRDefault="00454A29">
            <w:pPr>
              <w:pStyle w:val="ConsPlusNormal"/>
              <w:jc w:val="center"/>
            </w:pPr>
            <w:r>
              <w:t>-</w:t>
            </w:r>
          </w:p>
        </w:tc>
        <w:tc>
          <w:tcPr>
            <w:tcW w:w="1814" w:type="dxa"/>
            <w:vAlign w:val="center"/>
          </w:tcPr>
          <w:p w14:paraId="4567E7A3" w14:textId="77777777" w:rsidR="00454A29" w:rsidRDefault="00454A29">
            <w:pPr>
              <w:pStyle w:val="ConsPlusNormal"/>
              <w:jc w:val="center"/>
            </w:pPr>
            <w:r>
              <w:t>-</w:t>
            </w:r>
          </w:p>
        </w:tc>
      </w:tr>
      <w:tr w:rsidR="00454A29" w14:paraId="52F1B7CE" w14:textId="77777777">
        <w:tc>
          <w:tcPr>
            <w:tcW w:w="567" w:type="dxa"/>
            <w:vMerge/>
          </w:tcPr>
          <w:p w14:paraId="100BF4B0" w14:textId="77777777" w:rsidR="00454A29" w:rsidRDefault="00454A29"/>
        </w:tc>
        <w:tc>
          <w:tcPr>
            <w:tcW w:w="3345" w:type="dxa"/>
            <w:vMerge/>
          </w:tcPr>
          <w:p w14:paraId="35B6C4C0" w14:textId="77777777" w:rsidR="00454A29" w:rsidRDefault="00454A29"/>
        </w:tc>
        <w:tc>
          <w:tcPr>
            <w:tcW w:w="1701" w:type="dxa"/>
            <w:vAlign w:val="center"/>
          </w:tcPr>
          <w:p w14:paraId="3FA6D829" w14:textId="77777777" w:rsidR="00454A29" w:rsidRDefault="00454A29">
            <w:pPr>
              <w:pStyle w:val="ConsPlusNormal"/>
              <w:jc w:val="center"/>
            </w:pPr>
            <w:r>
              <w:t>2020</w:t>
            </w:r>
          </w:p>
        </w:tc>
        <w:tc>
          <w:tcPr>
            <w:tcW w:w="1417" w:type="dxa"/>
            <w:vMerge/>
          </w:tcPr>
          <w:p w14:paraId="7EBF71A3" w14:textId="77777777" w:rsidR="00454A29" w:rsidRDefault="00454A29"/>
        </w:tc>
        <w:tc>
          <w:tcPr>
            <w:tcW w:w="2204" w:type="dxa"/>
            <w:vMerge/>
          </w:tcPr>
          <w:p w14:paraId="117764C4" w14:textId="77777777" w:rsidR="00454A29" w:rsidRDefault="00454A29"/>
        </w:tc>
        <w:tc>
          <w:tcPr>
            <w:tcW w:w="1417" w:type="dxa"/>
            <w:vMerge/>
          </w:tcPr>
          <w:p w14:paraId="2C617212" w14:textId="77777777" w:rsidR="00454A29" w:rsidRDefault="00454A29"/>
        </w:tc>
        <w:tc>
          <w:tcPr>
            <w:tcW w:w="2324" w:type="dxa"/>
            <w:vMerge/>
          </w:tcPr>
          <w:p w14:paraId="3161DF3A" w14:textId="77777777" w:rsidR="00454A29" w:rsidRDefault="00454A29"/>
        </w:tc>
        <w:tc>
          <w:tcPr>
            <w:tcW w:w="1701" w:type="dxa"/>
            <w:vAlign w:val="center"/>
          </w:tcPr>
          <w:p w14:paraId="12BD80E0" w14:textId="77777777" w:rsidR="00454A29" w:rsidRDefault="00454A29">
            <w:pPr>
              <w:pStyle w:val="ConsPlusNormal"/>
              <w:jc w:val="center"/>
            </w:pPr>
            <w:r>
              <w:t>92 000,00</w:t>
            </w:r>
          </w:p>
        </w:tc>
        <w:tc>
          <w:tcPr>
            <w:tcW w:w="1814" w:type="dxa"/>
            <w:vAlign w:val="center"/>
          </w:tcPr>
          <w:p w14:paraId="0B05CBD3" w14:textId="77777777" w:rsidR="00454A29" w:rsidRDefault="00454A29">
            <w:pPr>
              <w:pStyle w:val="ConsPlusNormal"/>
              <w:jc w:val="center"/>
            </w:pPr>
            <w:r>
              <w:t>92 000,00</w:t>
            </w:r>
          </w:p>
        </w:tc>
        <w:tc>
          <w:tcPr>
            <w:tcW w:w="1701" w:type="dxa"/>
            <w:vAlign w:val="center"/>
          </w:tcPr>
          <w:p w14:paraId="786904D6" w14:textId="77777777" w:rsidR="00454A29" w:rsidRDefault="00454A29">
            <w:pPr>
              <w:pStyle w:val="ConsPlusNormal"/>
            </w:pPr>
          </w:p>
        </w:tc>
        <w:tc>
          <w:tcPr>
            <w:tcW w:w="1701" w:type="dxa"/>
            <w:vAlign w:val="center"/>
          </w:tcPr>
          <w:p w14:paraId="6FEB85DE" w14:textId="77777777" w:rsidR="00454A29" w:rsidRDefault="00454A29">
            <w:pPr>
              <w:pStyle w:val="ConsPlusNormal"/>
            </w:pPr>
          </w:p>
        </w:tc>
        <w:tc>
          <w:tcPr>
            <w:tcW w:w="1814" w:type="dxa"/>
            <w:vAlign w:val="center"/>
          </w:tcPr>
          <w:p w14:paraId="397B86DE" w14:textId="77777777" w:rsidR="00454A29" w:rsidRDefault="00454A29">
            <w:pPr>
              <w:pStyle w:val="ConsPlusNormal"/>
            </w:pPr>
          </w:p>
        </w:tc>
      </w:tr>
      <w:tr w:rsidR="00454A29" w14:paraId="49C380AC" w14:textId="77777777">
        <w:tc>
          <w:tcPr>
            <w:tcW w:w="567" w:type="dxa"/>
            <w:vMerge/>
          </w:tcPr>
          <w:p w14:paraId="1E254CC7" w14:textId="77777777" w:rsidR="00454A29" w:rsidRDefault="00454A29"/>
        </w:tc>
        <w:tc>
          <w:tcPr>
            <w:tcW w:w="3345" w:type="dxa"/>
            <w:vMerge/>
          </w:tcPr>
          <w:p w14:paraId="17FF3A33" w14:textId="77777777" w:rsidR="00454A29" w:rsidRDefault="00454A29"/>
        </w:tc>
        <w:tc>
          <w:tcPr>
            <w:tcW w:w="1701" w:type="dxa"/>
            <w:vAlign w:val="center"/>
          </w:tcPr>
          <w:p w14:paraId="35686A14" w14:textId="77777777" w:rsidR="00454A29" w:rsidRDefault="00454A29">
            <w:pPr>
              <w:pStyle w:val="ConsPlusNormal"/>
              <w:jc w:val="center"/>
            </w:pPr>
            <w:r>
              <w:t>2021</w:t>
            </w:r>
          </w:p>
        </w:tc>
        <w:tc>
          <w:tcPr>
            <w:tcW w:w="1417" w:type="dxa"/>
            <w:vMerge/>
          </w:tcPr>
          <w:p w14:paraId="01BA59E9" w14:textId="77777777" w:rsidR="00454A29" w:rsidRDefault="00454A29"/>
        </w:tc>
        <w:tc>
          <w:tcPr>
            <w:tcW w:w="2204" w:type="dxa"/>
            <w:vMerge/>
          </w:tcPr>
          <w:p w14:paraId="6517EE8C" w14:textId="77777777" w:rsidR="00454A29" w:rsidRDefault="00454A29"/>
        </w:tc>
        <w:tc>
          <w:tcPr>
            <w:tcW w:w="1417" w:type="dxa"/>
            <w:vMerge/>
          </w:tcPr>
          <w:p w14:paraId="622765D3" w14:textId="77777777" w:rsidR="00454A29" w:rsidRDefault="00454A29"/>
        </w:tc>
        <w:tc>
          <w:tcPr>
            <w:tcW w:w="2324" w:type="dxa"/>
            <w:vMerge/>
          </w:tcPr>
          <w:p w14:paraId="1C7A2EE4" w14:textId="77777777" w:rsidR="00454A29" w:rsidRDefault="00454A29"/>
        </w:tc>
        <w:tc>
          <w:tcPr>
            <w:tcW w:w="1701" w:type="dxa"/>
            <w:vAlign w:val="center"/>
          </w:tcPr>
          <w:p w14:paraId="16658F23" w14:textId="77777777" w:rsidR="00454A29" w:rsidRDefault="00454A29">
            <w:pPr>
              <w:pStyle w:val="ConsPlusNormal"/>
              <w:jc w:val="center"/>
            </w:pPr>
            <w:r>
              <w:t>-</w:t>
            </w:r>
          </w:p>
        </w:tc>
        <w:tc>
          <w:tcPr>
            <w:tcW w:w="1814" w:type="dxa"/>
            <w:vAlign w:val="center"/>
          </w:tcPr>
          <w:p w14:paraId="5130EEEE" w14:textId="77777777" w:rsidR="00454A29" w:rsidRDefault="00454A29">
            <w:pPr>
              <w:pStyle w:val="ConsPlusNormal"/>
            </w:pPr>
          </w:p>
        </w:tc>
        <w:tc>
          <w:tcPr>
            <w:tcW w:w="1701" w:type="dxa"/>
            <w:vAlign w:val="center"/>
          </w:tcPr>
          <w:p w14:paraId="5D4B09A9" w14:textId="77777777" w:rsidR="00454A29" w:rsidRDefault="00454A29">
            <w:pPr>
              <w:pStyle w:val="ConsPlusNormal"/>
            </w:pPr>
          </w:p>
        </w:tc>
        <w:tc>
          <w:tcPr>
            <w:tcW w:w="1701" w:type="dxa"/>
            <w:vAlign w:val="center"/>
          </w:tcPr>
          <w:p w14:paraId="22BE7323" w14:textId="77777777" w:rsidR="00454A29" w:rsidRDefault="00454A29">
            <w:pPr>
              <w:pStyle w:val="ConsPlusNormal"/>
            </w:pPr>
          </w:p>
        </w:tc>
        <w:tc>
          <w:tcPr>
            <w:tcW w:w="1814" w:type="dxa"/>
            <w:vAlign w:val="center"/>
          </w:tcPr>
          <w:p w14:paraId="7F53B7EA" w14:textId="77777777" w:rsidR="00454A29" w:rsidRDefault="00454A29">
            <w:pPr>
              <w:pStyle w:val="ConsPlusNormal"/>
            </w:pPr>
          </w:p>
        </w:tc>
      </w:tr>
      <w:tr w:rsidR="00454A29" w14:paraId="1C09E80C" w14:textId="77777777">
        <w:tc>
          <w:tcPr>
            <w:tcW w:w="567" w:type="dxa"/>
            <w:vMerge/>
          </w:tcPr>
          <w:p w14:paraId="6C2C1947" w14:textId="77777777" w:rsidR="00454A29" w:rsidRDefault="00454A29"/>
        </w:tc>
        <w:tc>
          <w:tcPr>
            <w:tcW w:w="3345" w:type="dxa"/>
            <w:vMerge/>
          </w:tcPr>
          <w:p w14:paraId="72D2ADFA" w14:textId="77777777" w:rsidR="00454A29" w:rsidRDefault="00454A29"/>
        </w:tc>
        <w:tc>
          <w:tcPr>
            <w:tcW w:w="1701" w:type="dxa"/>
            <w:vAlign w:val="center"/>
          </w:tcPr>
          <w:p w14:paraId="17695353" w14:textId="77777777" w:rsidR="00454A29" w:rsidRDefault="00454A29">
            <w:pPr>
              <w:pStyle w:val="ConsPlusNormal"/>
              <w:jc w:val="center"/>
            </w:pPr>
            <w:r>
              <w:t>2022</w:t>
            </w:r>
          </w:p>
        </w:tc>
        <w:tc>
          <w:tcPr>
            <w:tcW w:w="1417" w:type="dxa"/>
            <w:vMerge/>
          </w:tcPr>
          <w:p w14:paraId="3EAE423D" w14:textId="77777777" w:rsidR="00454A29" w:rsidRDefault="00454A29"/>
        </w:tc>
        <w:tc>
          <w:tcPr>
            <w:tcW w:w="2204" w:type="dxa"/>
            <w:vMerge/>
          </w:tcPr>
          <w:p w14:paraId="3E2FE2A5" w14:textId="77777777" w:rsidR="00454A29" w:rsidRDefault="00454A29"/>
        </w:tc>
        <w:tc>
          <w:tcPr>
            <w:tcW w:w="1417" w:type="dxa"/>
            <w:vMerge/>
          </w:tcPr>
          <w:p w14:paraId="4E16AE87" w14:textId="77777777" w:rsidR="00454A29" w:rsidRDefault="00454A29"/>
        </w:tc>
        <w:tc>
          <w:tcPr>
            <w:tcW w:w="2324" w:type="dxa"/>
            <w:vMerge/>
          </w:tcPr>
          <w:p w14:paraId="57326209" w14:textId="77777777" w:rsidR="00454A29" w:rsidRDefault="00454A29"/>
        </w:tc>
        <w:tc>
          <w:tcPr>
            <w:tcW w:w="1701" w:type="dxa"/>
            <w:vAlign w:val="center"/>
          </w:tcPr>
          <w:p w14:paraId="42E7C9D0" w14:textId="77777777" w:rsidR="00454A29" w:rsidRDefault="00454A29">
            <w:pPr>
              <w:pStyle w:val="ConsPlusNormal"/>
            </w:pPr>
          </w:p>
        </w:tc>
        <w:tc>
          <w:tcPr>
            <w:tcW w:w="1814" w:type="dxa"/>
            <w:vAlign w:val="center"/>
          </w:tcPr>
          <w:p w14:paraId="51360289" w14:textId="77777777" w:rsidR="00454A29" w:rsidRDefault="00454A29">
            <w:pPr>
              <w:pStyle w:val="ConsPlusNormal"/>
            </w:pPr>
          </w:p>
        </w:tc>
        <w:tc>
          <w:tcPr>
            <w:tcW w:w="1701" w:type="dxa"/>
            <w:vAlign w:val="center"/>
          </w:tcPr>
          <w:p w14:paraId="200C10AC" w14:textId="77777777" w:rsidR="00454A29" w:rsidRDefault="00454A29">
            <w:pPr>
              <w:pStyle w:val="ConsPlusNormal"/>
            </w:pPr>
          </w:p>
        </w:tc>
        <w:tc>
          <w:tcPr>
            <w:tcW w:w="1701" w:type="dxa"/>
            <w:vAlign w:val="center"/>
          </w:tcPr>
          <w:p w14:paraId="09E8543B" w14:textId="77777777" w:rsidR="00454A29" w:rsidRDefault="00454A29">
            <w:pPr>
              <w:pStyle w:val="ConsPlusNormal"/>
            </w:pPr>
          </w:p>
        </w:tc>
        <w:tc>
          <w:tcPr>
            <w:tcW w:w="1814" w:type="dxa"/>
            <w:vAlign w:val="center"/>
          </w:tcPr>
          <w:p w14:paraId="30F40253" w14:textId="77777777" w:rsidR="00454A29" w:rsidRDefault="00454A29">
            <w:pPr>
              <w:pStyle w:val="ConsPlusNormal"/>
            </w:pPr>
          </w:p>
        </w:tc>
      </w:tr>
      <w:tr w:rsidR="00454A29" w14:paraId="24F06A62" w14:textId="77777777">
        <w:tc>
          <w:tcPr>
            <w:tcW w:w="567" w:type="dxa"/>
            <w:vMerge/>
          </w:tcPr>
          <w:p w14:paraId="4317C92F" w14:textId="77777777" w:rsidR="00454A29" w:rsidRDefault="00454A29"/>
        </w:tc>
        <w:tc>
          <w:tcPr>
            <w:tcW w:w="3345" w:type="dxa"/>
            <w:vMerge/>
          </w:tcPr>
          <w:p w14:paraId="028DEC17" w14:textId="77777777" w:rsidR="00454A29" w:rsidRDefault="00454A29"/>
        </w:tc>
        <w:tc>
          <w:tcPr>
            <w:tcW w:w="1701" w:type="dxa"/>
            <w:vAlign w:val="center"/>
          </w:tcPr>
          <w:p w14:paraId="19A6E3EF" w14:textId="77777777" w:rsidR="00454A29" w:rsidRDefault="00454A29">
            <w:pPr>
              <w:pStyle w:val="ConsPlusNormal"/>
              <w:jc w:val="center"/>
            </w:pPr>
            <w:r>
              <w:t>2023</w:t>
            </w:r>
          </w:p>
        </w:tc>
        <w:tc>
          <w:tcPr>
            <w:tcW w:w="1417" w:type="dxa"/>
            <w:vMerge/>
          </w:tcPr>
          <w:p w14:paraId="3282F66F" w14:textId="77777777" w:rsidR="00454A29" w:rsidRDefault="00454A29"/>
        </w:tc>
        <w:tc>
          <w:tcPr>
            <w:tcW w:w="2204" w:type="dxa"/>
            <w:vMerge/>
          </w:tcPr>
          <w:p w14:paraId="6534CA0D" w14:textId="77777777" w:rsidR="00454A29" w:rsidRDefault="00454A29"/>
        </w:tc>
        <w:tc>
          <w:tcPr>
            <w:tcW w:w="1417" w:type="dxa"/>
            <w:vMerge/>
          </w:tcPr>
          <w:p w14:paraId="35384ABC" w14:textId="77777777" w:rsidR="00454A29" w:rsidRDefault="00454A29"/>
        </w:tc>
        <w:tc>
          <w:tcPr>
            <w:tcW w:w="2324" w:type="dxa"/>
            <w:vMerge/>
          </w:tcPr>
          <w:p w14:paraId="4B97EB5C" w14:textId="77777777" w:rsidR="00454A29" w:rsidRDefault="00454A29"/>
        </w:tc>
        <w:tc>
          <w:tcPr>
            <w:tcW w:w="1701" w:type="dxa"/>
            <w:vAlign w:val="center"/>
          </w:tcPr>
          <w:p w14:paraId="1E2CF2D4" w14:textId="77777777" w:rsidR="00454A29" w:rsidRDefault="00454A29">
            <w:pPr>
              <w:pStyle w:val="ConsPlusNormal"/>
            </w:pPr>
          </w:p>
        </w:tc>
        <w:tc>
          <w:tcPr>
            <w:tcW w:w="1814" w:type="dxa"/>
            <w:vAlign w:val="center"/>
          </w:tcPr>
          <w:p w14:paraId="3D6C70A7" w14:textId="77777777" w:rsidR="00454A29" w:rsidRDefault="00454A29">
            <w:pPr>
              <w:pStyle w:val="ConsPlusNormal"/>
            </w:pPr>
          </w:p>
        </w:tc>
        <w:tc>
          <w:tcPr>
            <w:tcW w:w="1701" w:type="dxa"/>
            <w:vAlign w:val="center"/>
          </w:tcPr>
          <w:p w14:paraId="042A9502" w14:textId="77777777" w:rsidR="00454A29" w:rsidRDefault="00454A29">
            <w:pPr>
              <w:pStyle w:val="ConsPlusNormal"/>
            </w:pPr>
          </w:p>
        </w:tc>
        <w:tc>
          <w:tcPr>
            <w:tcW w:w="1701" w:type="dxa"/>
            <w:vAlign w:val="center"/>
          </w:tcPr>
          <w:p w14:paraId="70A31523" w14:textId="77777777" w:rsidR="00454A29" w:rsidRDefault="00454A29">
            <w:pPr>
              <w:pStyle w:val="ConsPlusNormal"/>
            </w:pPr>
          </w:p>
        </w:tc>
        <w:tc>
          <w:tcPr>
            <w:tcW w:w="1814" w:type="dxa"/>
            <w:vAlign w:val="center"/>
          </w:tcPr>
          <w:p w14:paraId="3B6ECE62" w14:textId="77777777" w:rsidR="00454A29" w:rsidRDefault="00454A29">
            <w:pPr>
              <w:pStyle w:val="ConsPlusNormal"/>
            </w:pPr>
          </w:p>
        </w:tc>
      </w:tr>
      <w:tr w:rsidR="00454A29" w14:paraId="48BB5ED9" w14:textId="77777777">
        <w:tc>
          <w:tcPr>
            <w:tcW w:w="567" w:type="dxa"/>
            <w:vMerge/>
          </w:tcPr>
          <w:p w14:paraId="362DF0D8" w14:textId="77777777" w:rsidR="00454A29" w:rsidRDefault="00454A29"/>
        </w:tc>
        <w:tc>
          <w:tcPr>
            <w:tcW w:w="3345" w:type="dxa"/>
            <w:vMerge/>
          </w:tcPr>
          <w:p w14:paraId="1B7D4DA3" w14:textId="77777777" w:rsidR="00454A29" w:rsidRDefault="00454A29"/>
        </w:tc>
        <w:tc>
          <w:tcPr>
            <w:tcW w:w="1701" w:type="dxa"/>
            <w:vAlign w:val="center"/>
          </w:tcPr>
          <w:p w14:paraId="31181E6A" w14:textId="77777777" w:rsidR="00454A29" w:rsidRDefault="00454A29">
            <w:pPr>
              <w:pStyle w:val="ConsPlusNormal"/>
              <w:jc w:val="center"/>
            </w:pPr>
            <w:r>
              <w:t>2024</w:t>
            </w:r>
          </w:p>
        </w:tc>
        <w:tc>
          <w:tcPr>
            <w:tcW w:w="1417" w:type="dxa"/>
            <w:vMerge/>
          </w:tcPr>
          <w:p w14:paraId="055384D4" w14:textId="77777777" w:rsidR="00454A29" w:rsidRDefault="00454A29"/>
        </w:tc>
        <w:tc>
          <w:tcPr>
            <w:tcW w:w="2204" w:type="dxa"/>
            <w:vMerge/>
          </w:tcPr>
          <w:p w14:paraId="701B74F5" w14:textId="77777777" w:rsidR="00454A29" w:rsidRDefault="00454A29"/>
        </w:tc>
        <w:tc>
          <w:tcPr>
            <w:tcW w:w="1417" w:type="dxa"/>
            <w:vMerge/>
          </w:tcPr>
          <w:p w14:paraId="6862C0D4" w14:textId="77777777" w:rsidR="00454A29" w:rsidRDefault="00454A29"/>
        </w:tc>
        <w:tc>
          <w:tcPr>
            <w:tcW w:w="2324" w:type="dxa"/>
            <w:vMerge/>
          </w:tcPr>
          <w:p w14:paraId="2F8C7F86" w14:textId="77777777" w:rsidR="00454A29" w:rsidRDefault="00454A29"/>
        </w:tc>
        <w:tc>
          <w:tcPr>
            <w:tcW w:w="1701" w:type="dxa"/>
            <w:vAlign w:val="center"/>
          </w:tcPr>
          <w:p w14:paraId="3C0510D8" w14:textId="77777777" w:rsidR="00454A29" w:rsidRDefault="00454A29">
            <w:pPr>
              <w:pStyle w:val="ConsPlusNormal"/>
            </w:pPr>
          </w:p>
        </w:tc>
        <w:tc>
          <w:tcPr>
            <w:tcW w:w="1814" w:type="dxa"/>
            <w:vAlign w:val="center"/>
          </w:tcPr>
          <w:p w14:paraId="29640E27" w14:textId="77777777" w:rsidR="00454A29" w:rsidRDefault="00454A29">
            <w:pPr>
              <w:pStyle w:val="ConsPlusNormal"/>
            </w:pPr>
          </w:p>
        </w:tc>
        <w:tc>
          <w:tcPr>
            <w:tcW w:w="1701" w:type="dxa"/>
            <w:vAlign w:val="center"/>
          </w:tcPr>
          <w:p w14:paraId="7E7FC648" w14:textId="77777777" w:rsidR="00454A29" w:rsidRDefault="00454A29">
            <w:pPr>
              <w:pStyle w:val="ConsPlusNormal"/>
            </w:pPr>
          </w:p>
        </w:tc>
        <w:tc>
          <w:tcPr>
            <w:tcW w:w="1701" w:type="dxa"/>
            <w:vAlign w:val="center"/>
          </w:tcPr>
          <w:p w14:paraId="06E6A960" w14:textId="77777777" w:rsidR="00454A29" w:rsidRDefault="00454A29">
            <w:pPr>
              <w:pStyle w:val="ConsPlusNormal"/>
            </w:pPr>
          </w:p>
        </w:tc>
        <w:tc>
          <w:tcPr>
            <w:tcW w:w="1814" w:type="dxa"/>
            <w:vAlign w:val="center"/>
          </w:tcPr>
          <w:p w14:paraId="59FC8D08" w14:textId="77777777" w:rsidR="00454A29" w:rsidRDefault="00454A29">
            <w:pPr>
              <w:pStyle w:val="ConsPlusNormal"/>
            </w:pPr>
          </w:p>
        </w:tc>
      </w:tr>
      <w:tr w:rsidR="00454A29" w14:paraId="619FAA09" w14:textId="77777777">
        <w:tc>
          <w:tcPr>
            <w:tcW w:w="567" w:type="dxa"/>
            <w:vMerge/>
          </w:tcPr>
          <w:p w14:paraId="573276BC" w14:textId="77777777" w:rsidR="00454A29" w:rsidRDefault="00454A29"/>
        </w:tc>
        <w:tc>
          <w:tcPr>
            <w:tcW w:w="3345" w:type="dxa"/>
            <w:vMerge/>
          </w:tcPr>
          <w:p w14:paraId="4601E436" w14:textId="77777777" w:rsidR="00454A29" w:rsidRDefault="00454A29"/>
        </w:tc>
        <w:tc>
          <w:tcPr>
            <w:tcW w:w="1701" w:type="dxa"/>
            <w:vAlign w:val="center"/>
          </w:tcPr>
          <w:p w14:paraId="519CC442" w14:textId="77777777" w:rsidR="00454A29" w:rsidRDefault="00454A29">
            <w:pPr>
              <w:pStyle w:val="ConsPlusNormal"/>
              <w:jc w:val="center"/>
            </w:pPr>
            <w:r>
              <w:t>2025</w:t>
            </w:r>
          </w:p>
        </w:tc>
        <w:tc>
          <w:tcPr>
            <w:tcW w:w="1417" w:type="dxa"/>
            <w:vMerge/>
          </w:tcPr>
          <w:p w14:paraId="0621ED40" w14:textId="77777777" w:rsidR="00454A29" w:rsidRDefault="00454A29"/>
        </w:tc>
        <w:tc>
          <w:tcPr>
            <w:tcW w:w="2204" w:type="dxa"/>
            <w:vMerge/>
          </w:tcPr>
          <w:p w14:paraId="5E97587C" w14:textId="77777777" w:rsidR="00454A29" w:rsidRDefault="00454A29"/>
        </w:tc>
        <w:tc>
          <w:tcPr>
            <w:tcW w:w="1417" w:type="dxa"/>
            <w:vMerge/>
          </w:tcPr>
          <w:p w14:paraId="6F2A7BA3" w14:textId="77777777" w:rsidR="00454A29" w:rsidRDefault="00454A29"/>
        </w:tc>
        <w:tc>
          <w:tcPr>
            <w:tcW w:w="2324" w:type="dxa"/>
            <w:vMerge/>
          </w:tcPr>
          <w:p w14:paraId="4BD62050" w14:textId="77777777" w:rsidR="00454A29" w:rsidRDefault="00454A29"/>
        </w:tc>
        <w:tc>
          <w:tcPr>
            <w:tcW w:w="1701" w:type="dxa"/>
            <w:vAlign w:val="center"/>
          </w:tcPr>
          <w:p w14:paraId="70A27FE4" w14:textId="77777777" w:rsidR="00454A29" w:rsidRDefault="00454A29">
            <w:pPr>
              <w:pStyle w:val="ConsPlusNormal"/>
            </w:pPr>
          </w:p>
        </w:tc>
        <w:tc>
          <w:tcPr>
            <w:tcW w:w="1814" w:type="dxa"/>
            <w:vAlign w:val="center"/>
          </w:tcPr>
          <w:p w14:paraId="25113E13" w14:textId="77777777" w:rsidR="00454A29" w:rsidRDefault="00454A29">
            <w:pPr>
              <w:pStyle w:val="ConsPlusNormal"/>
            </w:pPr>
          </w:p>
        </w:tc>
        <w:tc>
          <w:tcPr>
            <w:tcW w:w="1701" w:type="dxa"/>
            <w:vAlign w:val="center"/>
          </w:tcPr>
          <w:p w14:paraId="21871647" w14:textId="77777777" w:rsidR="00454A29" w:rsidRDefault="00454A29">
            <w:pPr>
              <w:pStyle w:val="ConsPlusNormal"/>
            </w:pPr>
          </w:p>
        </w:tc>
        <w:tc>
          <w:tcPr>
            <w:tcW w:w="1701" w:type="dxa"/>
            <w:vAlign w:val="center"/>
          </w:tcPr>
          <w:p w14:paraId="566E5E2F" w14:textId="77777777" w:rsidR="00454A29" w:rsidRDefault="00454A29">
            <w:pPr>
              <w:pStyle w:val="ConsPlusNormal"/>
            </w:pPr>
          </w:p>
        </w:tc>
        <w:tc>
          <w:tcPr>
            <w:tcW w:w="1814" w:type="dxa"/>
            <w:vAlign w:val="center"/>
          </w:tcPr>
          <w:p w14:paraId="63201A59" w14:textId="77777777" w:rsidR="00454A29" w:rsidRDefault="00454A29">
            <w:pPr>
              <w:pStyle w:val="ConsPlusNormal"/>
            </w:pPr>
          </w:p>
        </w:tc>
      </w:tr>
      <w:tr w:rsidR="00454A29" w14:paraId="6C0D7374" w14:textId="77777777">
        <w:tc>
          <w:tcPr>
            <w:tcW w:w="567" w:type="dxa"/>
            <w:vMerge/>
          </w:tcPr>
          <w:p w14:paraId="454B1614" w14:textId="77777777" w:rsidR="00454A29" w:rsidRDefault="00454A29"/>
        </w:tc>
        <w:tc>
          <w:tcPr>
            <w:tcW w:w="3345" w:type="dxa"/>
            <w:vMerge/>
          </w:tcPr>
          <w:p w14:paraId="6C9ACBF0" w14:textId="77777777" w:rsidR="00454A29" w:rsidRDefault="00454A29"/>
        </w:tc>
        <w:tc>
          <w:tcPr>
            <w:tcW w:w="1701" w:type="dxa"/>
            <w:vAlign w:val="center"/>
          </w:tcPr>
          <w:p w14:paraId="098EABC1" w14:textId="77777777" w:rsidR="00454A29" w:rsidRDefault="00454A29">
            <w:pPr>
              <w:pStyle w:val="ConsPlusNormal"/>
              <w:jc w:val="center"/>
            </w:pPr>
            <w:r>
              <w:t>2026</w:t>
            </w:r>
          </w:p>
        </w:tc>
        <w:tc>
          <w:tcPr>
            <w:tcW w:w="1417" w:type="dxa"/>
            <w:vMerge/>
          </w:tcPr>
          <w:p w14:paraId="415FBE70" w14:textId="77777777" w:rsidR="00454A29" w:rsidRDefault="00454A29"/>
        </w:tc>
        <w:tc>
          <w:tcPr>
            <w:tcW w:w="2204" w:type="dxa"/>
            <w:vMerge/>
          </w:tcPr>
          <w:p w14:paraId="1119B8CA" w14:textId="77777777" w:rsidR="00454A29" w:rsidRDefault="00454A29"/>
        </w:tc>
        <w:tc>
          <w:tcPr>
            <w:tcW w:w="1417" w:type="dxa"/>
            <w:vMerge/>
          </w:tcPr>
          <w:p w14:paraId="22D2D8A7" w14:textId="77777777" w:rsidR="00454A29" w:rsidRDefault="00454A29"/>
        </w:tc>
        <w:tc>
          <w:tcPr>
            <w:tcW w:w="2324" w:type="dxa"/>
            <w:vMerge/>
          </w:tcPr>
          <w:p w14:paraId="0DCE4C26" w14:textId="77777777" w:rsidR="00454A29" w:rsidRDefault="00454A29"/>
        </w:tc>
        <w:tc>
          <w:tcPr>
            <w:tcW w:w="1701" w:type="dxa"/>
            <w:vAlign w:val="center"/>
          </w:tcPr>
          <w:p w14:paraId="3E4BFA3D" w14:textId="77777777" w:rsidR="00454A29" w:rsidRDefault="00454A29">
            <w:pPr>
              <w:pStyle w:val="ConsPlusNormal"/>
            </w:pPr>
          </w:p>
        </w:tc>
        <w:tc>
          <w:tcPr>
            <w:tcW w:w="1814" w:type="dxa"/>
            <w:vAlign w:val="center"/>
          </w:tcPr>
          <w:p w14:paraId="03CBC4FD" w14:textId="77777777" w:rsidR="00454A29" w:rsidRDefault="00454A29">
            <w:pPr>
              <w:pStyle w:val="ConsPlusNormal"/>
            </w:pPr>
          </w:p>
        </w:tc>
        <w:tc>
          <w:tcPr>
            <w:tcW w:w="1701" w:type="dxa"/>
            <w:vAlign w:val="center"/>
          </w:tcPr>
          <w:p w14:paraId="3B50D4AF" w14:textId="77777777" w:rsidR="00454A29" w:rsidRDefault="00454A29">
            <w:pPr>
              <w:pStyle w:val="ConsPlusNormal"/>
            </w:pPr>
          </w:p>
        </w:tc>
        <w:tc>
          <w:tcPr>
            <w:tcW w:w="1701" w:type="dxa"/>
            <w:vAlign w:val="center"/>
          </w:tcPr>
          <w:p w14:paraId="26FC0EF3" w14:textId="77777777" w:rsidR="00454A29" w:rsidRDefault="00454A29">
            <w:pPr>
              <w:pStyle w:val="ConsPlusNormal"/>
            </w:pPr>
          </w:p>
        </w:tc>
        <w:tc>
          <w:tcPr>
            <w:tcW w:w="1814" w:type="dxa"/>
            <w:vAlign w:val="center"/>
          </w:tcPr>
          <w:p w14:paraId="2ED63DCB" w14:textId="77777777" w:rsidR="00454A29" w:rsidRDefault="00454A29">
            <w:pPr>
              <w:pStyle w:val="ConsPlusNormal"/>
            </w:pPr>
          </w:p>
        </w:tc>
      </w:tr>
      <w:tr w:rsidR="00454A29" w14:paraId="61AD372F" w14:textId="77777777">
        <w:tc>
          <w:tcPr>
            <w:tcW w:w="567" w:type="dxa"/>
            <w:vMerge w:val="restart"/>
            <w:vAlign w:val="center"/>
          </w:tcPr>
          <w:p w14:paraId="5B1319C2" w14:textId="77777777" w:rsidR="00454A29" w:rsidRDefault="00454A29">
            <w:pPr>
              <w:pStyle w:val="ConsPlusNormal"/>
              <w:jc w:val="center"/>
            </w:pPr>
            <w:r>
              <w:t>112</w:t>
            </w:r>
          </w:p>
        </w:tc>
        <w:tc>
          <w:tcPr>
            <w:tcW w:w="3345" w:type="dxa"/>
            <w:vMerge w:val="restart"/>
            <w:vAlign w:val="center"/>
          </w:tcPr>
          <w:p w14:paraId="06D0019E" w14:textId="77777777" w:rsidR="00454A29" w:rsidRDefault="00454A29">
            <w:pPr>
              <w:pStyle w:val="ConsPlusNormal"/>
              <w:jc w:val="center"/>
            </w:pPr>
            <w:r>
              <w:t>Школа на 80 учащихся в с. Сылгы-Ытар</w:t>
            </w:r>
          </w:p>
        </w:tc>
        <w:tc>
          <w:tcPr>
            <w:tcW w:w="1701" w:type="dxa"/>
            <w:vAlign w:val="center"/>
          </w:tcPr>
          <w:p w14:paraId="74DAD194" w14:textId="77777777" w:rsidR="00454A29" w:rsidRDefault="00454A29">
            <w:pPr>
              <w:pStyle w:val="ConsPlusNormal"/>
              <w:jc w:val="center"/>
            </w:pPr>
            <w:r>
              <w:t>2020 - 2026 годы - всего</w:t>
            </w:r>
          </w:p>
        </w:tc>
        <w:tc>
          <w:tcPr>
            <w:tcW w:w="1417" w:type="dxa"/>
            <w:vMerge w:val="restart"/>
            <w:vAlign w:val="center"/>
          </w:tcPr>
          <w:p w14:paraId="09A70A0A" w14:textId="77777777" w:rsidR="00454A29" w:rsidRDefault="00454A29">
            <w:pPr>
              <w:pStyle w:val="ConsPlusNormal"/>
              <w:jc w:val="center"/>
            </w:pPr>
            <w:r>
              <w:t>294 259,62</w:t>
            </w:r>
          </w:p>
        </w:tc>
        <w:tc>
          <w:tcPr>
            <w:tcW w:w="2204" w:type="dxa"/>
            <w:vMerge w:val="restart"/>
            <w:vAlign w:val="center"/>
          </w:tcPr>
          <w:p w14:paraId="6838CB11" w14:textId="77777777" w:rsidR="00454A29" w:rsidRDefault="00454A29">
            <w:pPr>
              <w:pStyle w:val="ConsPlusNormal"/>
            </w:pPr>
          </w:p>
        </w:tc>
        <w:tc>
          <w:tcPr>
            <w:tcW w:w="1417" w:type="dxa"/>
            <w:vMerge w:val="restart"/>
            <w:vAlign w:val="center"/>
          </w:tcPr>
          <w:p w14:paraId="65D3362C" w14:textId="77777777" w:rsidR="00454A29" w:rsidRDefault="00454A29">
            <w:pPr>
              <w:pStyle w:val="ConsPlusNormal"/>
              <w:jc w:val="center"/>
            </w:pPr>
            <w:r>
              <w:t>80</w:t>
            </w:r>
          </w:p>
        </w:tc>
        <w:tc>
          <w:tcPr>
            <w:tcW w:w="2324" w:type="dxa"/>
            <w:vMerge w:val="restart"/>
            <w:vAlign w:val="center"/>
          </w:tcPr>
          <w:p w14:paraId="72D21E8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1E949FB" w14:textId="77777777" w:rsidR="00454A29" w:rsidRDefault="00454A29">
            <w:pPr>
              <w:pStyle w:val="ConsPlusNormal"/>
              <w:jc w:val="center"/>
            </w:pPr>
            <w:r>
              <w:t>294 259,62</w:t>
            </w:r>
          </w:p>
        </w:tc>
        <w:tc>
          <w:tcPr>
            <w:tcW w:w="1814" w:type="dxa"/>
            <w:vAlign w:val="center"/>
          </w:tcPr>
          <w:p w14:paraId="6DC7D342" w14:textId="77777777" w:rsidR="00454A29" w:rsidRDefault="00454A29">
            <w:pPr>
              <w:pStyle w:val="ConsPlusNormal"/>
              <w:jc w:val="center"/>
            </w:pPr>
            <w:r>
              <w:t>3 722,39</w:t>
            </w:r>
          </w:p>
        </w:tc>
        <w:tc>
          <w:tcPr>
            <w:tcW w:w="1701" w:type="dxa"/>
            <w:vAlign w:val="center"/>
          </w:tcPr>
          <w:p w14:paraId="26008A36" w14:textId="77777777" w:rsidR="00454A29" w:rsidRDefault="00454A29">
            <w:pPr>
              <w:pStyle w:val="ConsPlusNormal"/>
              <w:jc w:val="center"/>
            </w:pPr>
            <w:r>
              <w:t>368 516,03</w:t>
            </w:r>
          </w:p>
        </w:tc>
        <w:tc>
          <w:tcPr>
            <w:tcW w:w="1701" w:type="dxa"/>
            <w:vAlign w:val="center"/>
          </w:tcPr>
          <w:p w14:paraId="7DC2EE23" w14:textId="77777777" w:rsidR="00454A29" w:rsidRDefault="00454A29">
            <w:pPr>
              <w:pStyle w:val="ConsPlusNormal"/>
              <w:jc w:val="center"/>
            </w:pPr>
            <w:r>
              <w:t>-</w:t>
            </w:r>
          </w:p>
        </w:tc>
        <w:tc>
          <w:tcPr>
            <w:tcW w:w="1814" w:type="dxa"/>
            <w:vAlign w:val="center"/>
          </w:tcPr>
          <w:p w14:paraId="3A36C195" w14:textId="77777777" w:rsidR="00454A29" w:rsidRDefault="00454A29">
            <w:pPr>
              <w:pStyle w:val="ConsPlusNormal"/>
              <w:jc w:val="center"/>
            </w:pPr>
            <w:r>
              <w:t>-</w:t>
            </w:r>
          </w:p>
        </w:tc>
      </w:tr>
      <w:tr w:rsidR="00454A29" w14:paraId="6B730E31" w14:textId="77777777">
        <w:tc>
          <w:tcPr>
            <w:tcW w:w="567" w:type="dxa"/>
            <w:vMerge/>
          </w:tcPr>
          <w:p w14:paraId="4D2AFFE8" w14:textId="77777777" w:rsidR="00454A29" w:rsidRDefault="00454A29"/>
        </w:tc>
        <w:tc>
          <w:tcPr>
            <w:tcW w:w="3345" w:type="dxa"/>
            <w:vMerge/>
          </w:tcPr>
          <w:p w14:paraId="05A84E76" w14:textId="77777777" w:rsidR="00454A29" w:rsidRDefault="00454A29"/>
        </w:tc>
        <w:tc>
          <w:tcPr>
            <w:tcW w:w="1701" w:type="dxa"/>
            <w:vAlign w:val="center"/>
          </w:tcPr>
          <w:p w14:paraId="24D6BCEA" w14:textId="77777777" w:rsidR="00454A29" w:rsidRDefault="00454A29">
            <w:pPr>
              <w:pStyle w:val="ConsPlusNormal"/>
              <w:jc w:val="center"/>
            </w:pPr>
            <w:r>
              <w:t>2020</w:t>
            </w:r>
          </w:p>
        </w:tc>
        <w:tc>
          <w:tcPr>
            <w:tcW w:w="1417" w:type="dxa"/>
            <w:vMerge/>
          </w:tcPr>
          <w:p w14:paraId="5D1A31C0" w14:textId="77777777" w:rsidR="00454A29" w:rsidRDefault="00454A29"/>
        </w:tc>
        <w:tc>
          <w:tcPr>
            <w:tcW w:w="2204" w:type="dxa"/>
            <w:vMerge/>
          </w:tcPr>
          <w:p w14:paraId="50F37D4C" w14:textId="77777777" w:rsidR="00454A29" w:rsidRDefault="00454A29"/>
        </w:tc>
        <w:tc>
          <w:tcPr>
            <w:tcW w:w="1417" w:type="dxa"/>
            <w:vMerge/>
          </w:tcPr>
          <w:p w14:paraId="281AB1B0" w14:textId="77777777" w:rsidR="00454A29" w:rsidRDefault="00454A29"/>
        </w:tc>
        <w:tc>
          <w:tcPr>
            <w:tcW w:w="2324" w:type="dxa"/>
            <w:vMerge/>
          </w:tcPr>
          <w:p w14:paraId="231F880D" w14:textId="77777777" w:rsidR="00454A29" w:rsidRDefault="00454A29"/>
        </w:tc>
        <w:tc>
          <w:tcPr>
            <w:tcW w:w="1701" w:type="dxa"/>
            <w:vAlign w:val="center"/>
          </w:tcPr>
          <w:p w14:paraId="0BB32FC5" w14:textId="77777777" w:rsidR="00454A29" w:rsidRDefault="00454A29">
            <w:pPr>
              <w:pStyle w:val="ConsPlusNormal"/>
            </w:pPr>
          </w:p>
        </w:tc>
        <w:tc>
          <w:tcPr>
            <w:tcW w:w="1814" w:type="dxa"/>
            <w:vAlign w:val="center"/>
          </w:tcPr>
          <w:p w14:paraId="743C5242" w14:textId="77777777" w:rsidR="00454A29" w:rsidRDefault="00454A29">
            <w:pPr>
              <w:pStyle w:val="ConsPlusNormal"/>
            </w:pPr>
          </w:p>
        </w:tc>
        <w:tc>
          <w:tcPr>
            <w:tcW w:w="1701" w:type="dxa"/>
            <w:vAlign w:val="center"/>
          </w:tcPr>
          <w:p w14:paraId="492CA8EF" w14:textId="77777777" w:rsidR="00454A29" w:rsidRDefault="00454A29">
            <w:pPr>
              <w:pStyle w:val="ConsPlusNormal"/>
            </w:pPr>
          </w:p>
        </w:tc>
        <w:tc>
          <w:tcPr>
            <w:tcW w:w="1701" w:type="dxa"/>
            <w:vAlign w:val="center"/>
          </w:tcPr>
          <w:p w14:paraId="5159B583" w14:textId="77777777" w:rsidR="00454A29" w:rsidRDefault="00454A29">
            <w:pPr>
              <w:pStyle w:val="ConsPlusNormal"/>
            </w:pPr>
          </w:p>
        </w:tc>
        <w:tc>
          <w:tcPr>
            <w:tcW w:w="1814" w:type="dxa"/>
            <w:vAlign w:val="center"/>
          </w:tcPr>
          <w:p w14:paraId="79953083" w14:textId="77777777" w:rsidR="00454A29" w:rsidRDefault="00454A29">
            <w:pPr>
              <w:pStyle w:val="ConsPlusNormal"/>
            </w:pPr>
          </w:p>
        </w:tc>
      </w:tr>
      <w:tr w:rsidR="00454A29" w14:paraId="37DAF6E5" w14:textId="77777777">
        <w:tc>
          <w:tcPr>
            <w:tcW w:w="567" w:type="dxa"/>
            <w:vMerge/>
          </w:tcPr>
          <w:p w14:paraId="37F470B4" w14:textId="77777777" w:rsidR="00454A29" w:rsidRDefault="00454A29"/>
        </w:tc>
        <w:tc>
          <w:tcPr>
            <w:tcW w:w="3345" w:type="dxa"/>
            <w:vMerge/>
          </w:tcPr>
          <w:p w14:paraId="37946975" w14:textId="77777777" w:rsidR="00454A29" w:rsidRDefault="00454A29"/>
        </w:tc>
        <w:tc>
          <w:tcPr>
            <w:tcW w:w="1701" w:type="dxa"/>
            <w:vAlign w:val="center"/>
          </w:tcPr>
          <w:p w14:paraId="539E6C98" w14:textId="77777777" w:rsidR="00454A29" w:rsidRDefault="00454A29">
            <w:pPr>
              <w:pStyle w:val="ConsPlusNormal"/>
              <w:jc w:val="center"/>
            </w:pPr>
            <w:r>
              <w:t>2021</w:t>
            </w:r>
          </w:p>
        </w:tc>
        <w:tc>
          <w:tcPr>
            <w:tcW w:w="1417" w:type="dxa"/>
            <w:vMerge/>
          </w:tcPr>
          <w:p w14:paraId="7FB8DACE" w14:textId="77777777" w:rsidR="00454A29" w:rsidRDefault="00454A29"/>
        </w:tc>
        <w:tc>
          <w:tcPr>
            <w:tcW w:w="2204" w:type="dxa"/>
            <w:vMerge/>
          </w:tcPr>
          <w:p w14:paraId="71AF1E00" w14:textId="77777777" w:rsidR="00454A29" w:rsidRDefault="00454A29"/>
        </w:tc>
        <w:tc>
          <w:tcPr>
            <w:tcW w:w="1417" w:type="dxa"/>
            <w:vMerge/>
          </w:tcPr>
          <w:p w14:paraId="661EC7EE" w14:textId="77777777" w:rsidR="00454A29" w:rsidRDefault="00454A29"/>
        </w:tc>
        <w:tc>
          <w:tcPr>
            <w:tcW w:w="2324" w:type="dxa"/>
            <w:vMerge/>
          </w:tcPr>
          <w:p w14:paraId="45E8DEE3" w14:textId="77777777" w:rsidR="00454A29" w:rsidRDefault="00454A29"/>
        </w:tc>
        <w:tc>
          <w:tcPr>
            <w:tcW w:w="1701" w:type="dxa"/>
            <w:vAlign w:val="center"/>
          </w:tcPr>
          <w:p w14:paraId="11BB73BF" w14:textId="77777777" w:rsidR="00454A29" w:rsidRDefault="00454A29">
            <w:pPr>
              <w:pStyle w:val="ConsPlusNormal"/>
              <w:jc w:val="center"/>
            </w:pPr>
            <w:r>
              <w:t>-</w:t>
            </w:r>
          </w:p>
        </w:tc>
        <w:tc>
          <w:tcPr>
            <w:tcW w:w="1814" w:type="dxa"/>
            <w:vAlign w:val="center"/>
          </w:tcPr>
          <w:p w14:paraId="5F543296" w14:textId="77777777" w:rsidR="00454A29" w:rsidRDefault="00454A29">
            <w:pPr>
              <w:pStyle w:val="ConsPlusNormal"/>
            </w:pPr>
          </w:p>
        </w:tc>
        <w:tc>
          <w:tcPr>
            <w:tcW w:w="1701" w:type="dxa"/>
            <w:vAlign w:val="center"/>
          </w:tcPr>
          <w:p w14:paraId="3C259A48" w14:textId="77777777" w:rsidR="00454A29" w:rsidRDefault="00454A29">
            <w:pPr>
              <w:pStyle w:val="ConsPlusNormal"/>
            </w:pPr>
          </w:p>
        </w:tc>
        <w:tc>
          <w:tcPr>
            <w:tcW w:w="1701" w:type="dxa"/>
            <w:vAlign w:val="center"/>
          </w:tcPr>
          <w:p w14:paraId="099C8451" w14:textId="77777777" w:rsidR="00454A29" w:rsidRDefault="00454A29">
            <w:pPr>
              <w:pStyle w:val="ConsPlusNormal"/>
            </w:pPr>
          </w:p>
        </w:tc>
        <w:tc>
          <w:tcPr>
            <w:tcW w:w="1814" w:type="dxa"/>
            <w:vAlign w:val="center"/>
          </w:tcPr>
          <w:p w14:paraId="548CC7D4" w14:textId="77777777" w:rsidR="00454A29" w:rsidRDefault="00454A29">
            <w:pPr>
              <w:pStyle w:val="ConsPlusNormal"/>
            </w:pPr>
          </w:p>
        </w:tc>
      </w:tr>
      <w:tr w:rsidR="00454A29" w14:paraId="6994B06B" w14:textId="77777777">
        <w:tc>
          <w:tcPr>
            <w:tcW w:w="567" w:type="dxa"/>
            <w:vMerge/>
          </w:tcPr>
          <w:p w14:paraId="663E71BA" w14:textId="77777777" w:rsidR="00454A29" w:rsidRDefault="00454A29"/>
        </w:tc>
        <w:tc>
          <w:tcPr>
            <w:tcW w:w="3345" w:type="dxa"/>
            <w:vMerge/>
          </w:tcPr>
          <w:p w14:paraId="049DD1CD" w14:textId="77777777" w:rsidR="00454A29" w:rsidRDefault="00454A29"/>
        </w:tc>
        <w:tc>
          <w:tcPr>
            <w:tcW w:w="1701" w:type="dxa"/>
            <w:vAlign w:val="center"/>
          </w:tcPr>
          <w:p w14:paraId="35866829" w14:textId="77777777" w:rsidR="00454A29" w:rsidRDefault="00454A29">
            <w:pPr>
              <w:pStyle w:val="ConsPlusNormal"/>
              <w:jc w:val="center"/>
            </w:pPr>
            <w:r>
              <w:t>2022</w:t>
            </w:r>
          </w:p>
        </w:tc>
        <w:tc>
          <w:tcPr>
            <w:tcW w:w="1417" w:type="dxa"/>
            <w:vMerge/>
          </w:tcPr>
          <w:p w14:paraId="0056B9B3" w14:textId="77777777" w:rsidR="00454A29" w:rsidRDefault="00454A29"/>
        </w:tc>
        <w:tc>
          <w:tcPr>
            <w:tcW w:w="2204" w:type="dxa"/>
            <w:vMerge/>
          </w:tcPr>
          <w:p w14:paraId="1A1EC279" w14:textId="77777777" w:rsidR="00454A29" w:rsidRDefault="00454A29"/>
        </w:tc>
        <w:tc>
          <w:tcPr>
            <w:tcW w:w="1417" w:type="dxa"/>
            <w:vMerge/>
          </w:tcPr>
          <w:p w14:paraId="29176983" w14:textId="77777777" w:rsidR="00454A29" w:rsidRDefault="00454A29"/>
        </w:tc>
        <w:tc>
          <w:tcPr>
            <w:tcW w:w="2324" w:type="dxa"/>
            <w:vMerge/>
          </w:tcPr>
          <w:p w14:paraId="0237885D" w14:textId="77777777" w:rsidR="00454A29" w:rsidRDefault="00454A29"/>
        </w:tc>
        <w:tc>
          <w:tcPr>
            <w:tcW w:w="1701" w:type="dxa"/>
            <w:vAlign w:val="center"/>
          </w:tcPr>
          <w:p w14:paraId="2776FF33" w14:textId="77777777" w:rsidR="00454A29" w:rsidRDefault="00454A29">
            <w:pPr>
              <w:pStyle w:val="ConsPlusNormal"/>
            </w:pPr>
          </w:p>
        </w:tc>
        <w:tc>
          <w:tcPr>
            <w:tcW w:w="1814" w:type="dxa"/>
            <w:vAlign w:val="center"/>
          </w:tcPr>
          <w:p w14:paraId="1B290FD7" w14:textId="77777777" w:rsidR="00454A29" w:rsidRDefault="00454A29">
            <w:pPr>
              <w:pStyle w:val="ConsPlusNormal"/>
            </w:pPr>
          </w:p>
        </w:tc>
        <w:tc>
          <w:tcPr>
            <w:tcW w:w="1701" w:type="dxa"/>
            <w:vAlign w:val="center"/>
          </w:tcPr>
          <w:p w14:paraId="11515A17" w14:textId="77777777" w:rsidR="00454A29" w:rsidRDefault="00454A29">
            <w:pPr>
              <w:pStyle w:val="ConsPlusNormal"/>
            </w:pPr>
          </w:p>
        </w:tc>
        <w:tc>
          <w:tcPr>
            <w:tcW w:w="1701" w:type="dxa"/>
            <w:vAlign w:val="center"/>
          </w:tcPr>
          <w:p w14:paraId="78F9D38F" w14:textId="77777777" w:rsidR="00454A29" w:rsidRDefault="00454A29">
            <w:pPr>
              <w:pStyle w:val="ConsPlusNormal"/>
            </w:pPr>
          </w:p>
        </w:tc>
        <w:tc>
          <w:tcPr>
            <w:tcW w:w="1814" w:type="dxa"/>
            <w:vAlign w:val="center"/>
          </w:tcPr>
          <w:p w14:paraId="2335FF6D" w14:textId="77777777" w:rsidR="00454A29" w:rsidRDefault="00454A29">
            <w:pPr>
              <w:pStyle w:val="ConsPlusNormal"/>
            </w:pPr>
          </w:p>
        </w:tc>
      </w:tr>
      <w:tr w:rsidR="00454A29" w14:paraId="70BB3D3B" w14:textId="77777777">
        <w:tc>
          <w:tcPr>
            <w:tcW w:w="567" w:type="dxa"/>
            <w:vMerge/>
          </w:tcPr>
          <w:p w14:paraId="0840DF14" w14:textId="77777777" w:rsidR="00454A29" w:rsidRDefault="00454A29"/>
        </w:tc>
        <w:tc>
          <w:tcPr>
            <w:tcW w:w="3345" w:type="dxa"/>
            <w:vMerge/>
          </w:tcPr>
          <w:p w14:paraId="3BBAAC73" w14:textId="77777777" w:rsidR="00454A29" w:rsidRDefault="00454A29"/>
        </w:tc>
        <w:tc>
          <w:tcPr>
            <w:tcW w:w="1701" w:type="dxa"/>
            <w:vAlign w:val="center"/>
          </w:tcPr>
          <w:p w14:paraId="03769BBC" w14:textId="77777777" w:rsidR="00454A29" w:rsidRDefault="00454A29">
            <w:pPr>
              <w:pStyle w:val="ConsPlusNormal"/>
              <w:jc w:val="center"/>
            </w:pPr>
            <w:r>
              <w:t>2023</w:t>
            </w:r>
          </w:p>
        </w:tc>
        <w:tc>
          <w:tcPr>
            <w:tcW w:w="1417" w:type="dxa"/>
            <w:vMerge/>
          </w:tcPr>
          <w:p w14:paraId="78413A9C" w14:textId="77777777" w:rsidR="00454A29" w:rsidRDefault="00454A29"/>
        </w:tc>
        <w:tc>
          <w:tcPr>
            <w:tcW w:w="2204" w:type="dxa"/>
            <w:vMerge/>
          </w:tcPr>
          <w:p w14:paraId="79725F2A" w14:textId="77777777" w:rsidR="00454A29" w:rsidRDefault="00454A29"/>
        </w:tc>
        <w:tc>
          <w:tcPr>
            <w:tcW w:w="1417" w:type="dxa"/>
            <w:vMerge/>
          </w:tcPr>
          <w:p w14:paraId="33B9CF10" w14:textId="77777777" w:rsidR="00454A29" w:rsidRDefault="00454A29"/>
        </w:tc>
        <w:tc>
          <w:tcPr>
            <w:tcW w:w="2324" w:type="dxa"/>
            <w:vMerge/>
          </w:tcPr>
          <w:p w14:paraId="7A495593" w14:textId="77777777" w:rsidR="00454A29" w:rsidRDefault="00454A29"/>
        </w:tc>
        <w:tc>
          <w:tcPr>
            <w:tcW w:w="1701" w:type="dxa"/>
            <w:vAlign w:val="center"/>
          </w:tcPr>
          <w:p w14:paraId="6A64F484" w14:textId="77777777" w:rsidR="00454A29" w:rsidRDefault="00454A29">
            <w:pPr>
              <w:pStyle w:val="ConsPlusNormal"/>
            </w:pPr>
          </w:p>
        </w:tc>
        <w:tc>
          <w:tcPr>
            <w:tcW w:w="1814" w:type="dxa"/>
            <w:vAlign w:val="center"/>
          </w:tcPr>
          <w:p w14:paraId="3E055F91" w14:textId="77777777" w:rsidR="00454A29" w:rsidRDefault="00454A29">
            <w:pPr>
              <w:pStyle w:val="ConsPlusNormal"/>
            </w:pPr>
          </w:p>
        </w:tc>
        <w:tc>
          <w:tcPr>
            <w:tcW w:w="1701" w:type="dxa"/>
            <w:vAlign w:val="center"/>
          </w:tcPr>
          <w:p w14:paraId="6F3021ED" w14:textId="77777777" w:rsidR="00454A29" w:rsidRDefault="00454A29">
            <w:pPr>
              <w:pStyle w:val="ConsPlusNormal"/>
            </w:pPr>
          </w:p>
        </w:tc>
        <w:tc>
          <w:tcPr>
            <w:tcW w:w="1701" w:type="dxa"/>
            <w:vAlign w:val="center"/>
          </w:tcPr>
          <w:p w14:paraId="249282A7" w14:textId="77777777" w:rsidR="00454A29" w:rsidRDefault="00454A29">
            <w:pPr>
              <w:pStyle w:val="ConsPlusNormal"/>
            </w:pPr>
          </w:p>
        </w:tc>
        <w:tc>
          <w:tcPr>
            <w:tcW w:w="1814" w:type="dxa"/>
            <w:vAlign w:val="center"/>
          </w:tcPr>
          <w:p w14:paraId="23AAF665" w14:textId="77777777" w:rsidR="00454A29" w:rsidRDefault="00454A29">
            <w:pPr>
              <w:pStyle w:val="ConsPlusNormal"/>
            </w:pPr>
          </w:p>
        </w:tc>
      </w:tr>
      <w:tr w:rsidR="00454A29" w14:paraId="2858E1F1" w14:textId="77777777">
        <w:tc>
          <w:tcPr>
            <w:tcW w:w="567" w:type="dxa"/>
            <w:vMerge/>
          </w:tcPr>
          <w:p w14:paraId="5A28F7A5" w14:textId="77777777" w:rsidR="00454A29" w:rsidRDefault="00454A29"/>
        </w:tc>
        <w:tc>
          <w:tcPr>
            <w:tcW w:w="3345" w:type="dxa"/>
            <w:vMerge/>
          </w:tcPr>
          <w:p w14:paraId="70B14E7A" w14:textId="77777777" w:rsidR="00454A29" w:rsidRDefault="00454A29"/>
        </w:tc>
        <w:tc>
          <w:tcPr>
            <w:tcW w:w="1701" w:type="dxa"/>
            <w:vAlign w:val="center"/>
          </w:tcPr>
          <w:p w14:paraId="5D1CA0D8" w14:textId="77777777" w:rsidR="00454A29" w:rsidRDefault="00454A29">
            <w:pPr>
              <w:pStyle w:val="ConsPlusNormal"/>
              <w:jc w:val="center"/>
            </w:pPr>
            <w:r>
              <w:t>2024</w:t>
            </w:r>
          </w:p>
        </w:tc>
        <w:tc>
          <w:tcPr>
            <w:tcW w:w="1417" w:type="dxa"/>
            <w:vMerge/>
          </w:tcPr>
          <w:p w14:paraId="2E53687E" w14:textId="77777777" w:rsidR="00454A29" w:rsidRDefault="00454A29"/>
        </w:tc>
        <w:tc>
          <w:tcPr>
            <w:tcW w:w="2204" w:type="dxa"/>
            <w:vMerge/>
          </w:tcPr>
          <w:p w14:paraId="50DC8470" w14:textId="77777777" w:rsidR="00454A29" w:rsidRDefault="00454A29"/>
        </w:tc>
        <w:tc>
          <w:tcPr>
            <w:tcW w:w="1417" w:type="dxa"/>
            <w:vMerge/>
          </w:tcPr>
          <w:p w14:paraId="36D18E49" w14:textId="77777777" w:rsidR="00454A29" w:rsidRDefault="00454A29"/>
        </w:tc>
        <w:tc>
          <w:tcPr>
            <w:tcW w:w="2324" w:type="dxa"/>
            <w:vMerge/>
          </w:tcPr>
          <w:p w14:paraId="204C58F1" w14:textId="77777777" w:rsidR="00454A29" w:rsidRDefault="00454A29"/>
        </w:tc>
        <w:tc>
          <w:tcPr>
            <w:tcW w:w="1701" w:type="dxa"/>
            <w:vAlign w:val="center"/>
          </w:tcPr>
          <w:p w14:paraId="2BFCE7E6" w14:textId="77777777" w:rsidR="00454A29" w:rsidRDefault="00454A29">
            <w:pPr>
              <w:pStyle w:val="ConsPlusNormal"/>
            </w:pPr>
          </w:p>
        </w:tc>
        <w:tc>
          <w:tcPr>
            <w:tcW w:w="1814" w:type="dxa"/>
            <w:vAlign w:val="center"/>
          </w:tcPr>
          <w:p w14:paraId="20592DEF" w14:textId="77777777" w:rsidR="00454A29" w:rsidRDefault="00454A29">
            <w:pPr>
              <w:pStyle w:val="ConsPlusNormal"/>
            </w:pPr>
          </w:p>
        </w:tc>
        <w:tc>
          <w:tcPr>
            <w:tcW w:w="1701" w:type="dxa"/>
            <w:vAlign w:val="center"/>
          </w:tcPr>
          <w:p w14:paraId="1843F953" w14:textId="77777777" w:rsidR="00454A29" w:rsidRDefault="00454A29">
            <w:pPr>
              <w:pStyle w:val="ConsPlusNormal"/>
            </w:pPr>
          </w:p>
        </w:tc>
        <w:tc>
          <w:tcPr>
            <w:tcW w:w="1701" w:type="dxa"/>
            <w:vAlign w:val="center"/>
          </w:tcPr>
          <w:p w14:paraId="02C0B448" w14:textId="77777777" w:rsidR="00454A29" w:rsidRDefault="00454A29">
            <w:pPr>
              <w:pStyle w:val="ConsPlusNormal"/>
            </w:pPr>
          </w:p>
        </w:tc>
        <w:tc>
          <w:tcPr>
            <w:tcW w:w="1814" w:type="dxa"/>
            <w:vAlign w:val="center"/>
          </w:tcPr>
          <w:p w14:paraId="35D0DA71" w14:textId="77777777" w:rsidR="00454A29" w:rsidRDefault="00454A29">
            <w:pPr>
              <w:pStyle w:val="ConsPlusNormal"/>
            </w:pPr>
          </w:p>
        </w:tc>
      </w:tr>
      <w:tr w:rsidR="00454A29" w14:paraId="5890CCF0" w14:textId="77777777">
        <w:tc>
          <w:tcPr>
            <w:tcW w:w="567" w:type="dxa"/>
            <w:vMerge/>
          </w:tcPr>
          <w:p w14:paraId="74E0B091" w14:textId="77777777" w:rsidR="00454A29" w:rsidRDefault="00454A29"/>
        </w:tc>
        <w:tc>
          <w:tcPr>
            <w:tcW w:w="3345" w:type="dxa"/>
            <w:vMerge/>
          </w:tcPr>
          <w:p w14:paraId="6AE29898" w14:textId="77777777" w:rsidR="00454A29" w:rsidRDefault="00454A29"/>
        </w:tc>
        <w:tc>
          <w:tcPr>
            <w:tcW w:w="1701" w:type="dxa"/>
            <w:vAlign w:val="center"/>
          </w:tcPr>
          <w:p w14:paraId="1204EB0B" w14:textId="77777777" w:rsidR="00454A29" w:rsidRDefault="00454A29">
            <w:pPr>
              <w:pStyle w:val="ConsPlusNormal"/>
              <w:jc w:val="center"/>
            </w:pPr>
            <w:r>
              <w:t>2025</w:t>
            </w:r>
          </w:p>
        </w:tc>
        <w:tc>
          <w:tcPr>
            <w:tcW w:w="1417" w:type="dxa"/>
            <w:vMerge/>
          </w:tcPr>
          <w:p w14:paraId="61B9C728" w14:textId="77777777" w:rsidR="00454A29" w:rsidRDefault="00454A29"/>
        </w:tc>
        <w:tc>
          <w:tcPr>
            <w:tcW w:w="2204" w:type="dxa"/>
            <w:vMerge/>
          </w:tcPr>
          <w:p w14:paraId="2F1A3248" w14:textId="77777777" w:rsidR="00454A29" w:rsidRDefault="00454A29"/>
        </w:tc>
        <w:tc>
          <w:tcPr>
            <w:tcW w:w="1417" w:type="dxa"/>
            <w:vMerge/>
          </w:tcPr>
          <w:p w14:paraId="1B07CB73" w14:textId="77777777" w:rsidR="00454A29" w:rsidRDefault="00454A29"/>
        </w:tc>
        <w:tc>
          <w:tcPr>
            <w:tcW w:w="2324" w:type="dxa"/>
            <w:vMerge/>
          </w:tcPr>
          <w:p w14:paraId="1514C5B5" w14:textId="77777777" w:rsidR="00454A29" w:rsidRDefault="00454A29"/>
        </w:tc>
        <w:tc>
          <w:tcPr>
            <w:tcW w:w="1701" w:type="dxa"/>
            <w:vAlign w:val="center"/>
          </w:tcPr>
          <w:p w14:paraId="58F17CCE" w14:textId="77777777" w:rsidR="00454A29" w:rsidRDefault="00454A29">
            <w:pPr>
              <w:pStyle w:val="ConsPlusNormal"/>
              <w:jc w:val="center"/>
            </w:pPr>
            <w:r>
              <w:t>294 259,62</w:t>
            </w:r>
          </w:p>
        </w:tc>
        <w:tc>
          <w:tcPr>
            <w:tcW w:w="1814" w:type="dxa"/>
            <w:vAlign w:val="center"/>
          </w:tcPr>
          <w:p w14:paraId="434DD2B0" w14:textId="77777777" w:rsidR="00454A29" w:rsidRDefault="00454A29">
            <w:pPr>
              <w:pStyle w:val="ConsPlusNormal"/>
              <w:jc w:val="center"/>
            </w:pPr>
            <w:r>
              <w:t>3 722,39</w:t>
            </w:r>
          </w:p>
        </w:tc>
        <w:tc>
          <w:tcPr>
            <w:tcW w:w="1701" w:type="dxa"/>
            <w:vAlign w:val="center"/>
          </w:tcPr>
          <w:p w14:paraId="1B987A57" w14:textId="77777777" w:rsidR="00454A29" w:rsidRDefault="00454A29">
            <w:pPr>
              <w:pStyle w:val="ConsPlusNormal"/>
              <w:jc w:val="center"/>
            </w:pPr>
            <w:r>
              <w:t>368 516,03</w:t>
            </w:r>
          </w:p>
        </w:tc>
        <w:tc>
          <w:tcPr>
            <w:tcW w:w="1701" w:type="dxa"/>
            <w:vAlign w:val="center"/>
          </w:tcPr>
          <w:p w14:paraId="439A0B43" w14:textId="77777777" w:rsidR="00454A29" w:rsidRDefault="00454A29">
            <w:pPr>
              <w:pStyle w:val="ConsPlusNormal"/>
            </w:pPr>
          </w:p>
        </w:tc>
        <w:tc>
          <w:tcPr>
            <w:tcW w:w="1814" w:type="dxa"/>
            <w:vAlign w:val="center"/>
          </w:tcPr>
          <w:p w14:paraId="07AED0E6" w14:textId="77777777" w:rsidR="00454A29" w:rsidRDefault="00454A29">
            <w:pPr>
              <w:pStyle w:val="ConsPlusNormal"/>
            </w:pPr>
          </w:p>
        </w:tc>
      </w:tr>
      <w:tr w:rsidR="00454A29" w14:paraId="25FB64AC" w14:textId="77777777">
        <w:tc>
          <w:tcPr>
            <w:tcW w:w="567" w:type="dxa"/>
            <w:vMerge/>
          </w:tcPr>
          <w:p w14:paraId="4612F4AB" w14:textId="77777777" w:rsidR="00454A29" w:rsidRDefault="00454A29"/>
        </w:tc>
        <w:tc>
          <w:tcPr>
            <w:tcW w:w="3345" w:type="dxa"/>
            <w:vMerge/>
          </w:tcPr>
          <w:p w14:paraId="60412A06" w14:textId="77777777" w:rsidR="00454A29" w:rsidRDefault="00454A29"/>
        </w:tc>
        <w:tc>
          <w:tcPr>
            <w:tcW w:w="1701" w:type="dxa"/>
            <w:vAlign w:val="center"/>
          </w:tcPr>
          <w:p w14:paraId="3EF60338" w14:textId="77777777" w:rsidR="00454A29" w:rsidRDefault="00454A29">
            <w:pPr>
              <w:pStyle w:val="ConsPlusNormal"/>
              <w:jc w:val="center"/>
            </w:pPr>
            <w:r>
              <w:t>2026</w:t>
            </w:r>
          </w:p>
        </w:tc>
        <w:tc>
          <w:tcPr>
            <w:tcW w:w="1417" w:type="dxa"/>
            <w:vMerge/>
          </w:tcPr>
          <w:p w14:paraId="7EE6496A" w14:textId="77777777" w:rsidR="00454A29" w:rsidRDefault="00454A29"/>
        </w:tc>
        <w:tc>
          <w:tcPr>
            <w:tcW w:w="2204" w:type="dxa"/>
            <w:vMerge/>
          </w:tcPr>
          <w:p w14:paraId="639B720C" w14:textId="77777777" w:rsidR="00454A29" w:rsidRDefault="00454A29"/>
        </w:tc>
        <w:tc>
          <w:tcPr>
            <w:tcW w:w="1417" w:type="dxa"/>
            <w:vMerge/>
          </w:tcPr>
          <w:p w14:paraId="5D733104" w14:textId="77777777" w:rsidR="00454A29" w:rsidRDefault="00454A29"/>
        </w:tc>
        <w:tc>
          <w:tcPr>
            <w:tcW w:w="2324" w:type="dxa"/>
            <w:vMerge/>
          </w:tcPr>
          <w:p w14:paraId="272C4D8E" w14:textId="77777777" w:rsidR="00454A29" w:rsidRDefault="00454A29"/>
        </w:tc>
        <w:tc>
          <w:tcPr>
            <w:tcW w:w="1701" w:type="dxa"/>
            <w:vAlign w:val="center"/>
          </w:tcPr>
          <w:p w14:paraId="69A81806" w14:textId="77777777" w:rsidR="00454A29" w:rsidRDefault="00454A29">
            <w:pPr>
              <w:pStyle w:val="ConsPlusNormal"/>
            </w:pPr>
          </w:p>
        </w:tc>
        <w:tc>
          <w:tcPr>
            <w:tcW w:w="1814" w:type="dxa"/>
            <w:vAlign w:val="center"/>
          </w:tcPr>
          <w:p w14:paraId="70AE9D68" w14:textId="77777777" w:rsidR="00454A29" w:rsidRDefault="00454A29">
            <w:pPr>
              <w:pStyle w:val="ConsPlusNormal"/>
            </w:pPr>
          </w:p>
        </w:tc>
        <w:tc>
          <w:tcPr>
            <w:tcW w:w="1701" w:type="dxa"/>
            <w:vAlign w:val="center"/>
          </w:tcPr>
          <w:p w14:paraId="75D988F4" w14:textId="77777777" w:rsidR="00454A29" w:rsidRDefault="00454A29">
            <w:pPr>
              <w:pStyle w:val="ConsPlusNormal"/>
            </w:pPr>
          </w:p>
        </w:tc>
        <w:tc>
          <w:tcPr>
            <w:tcW w:w="1701" w:type="dxa"/>
            <w:vAlign w:val="center"/>
          </w:tcPr>
          <w:p w14:paraId="3567E151" w14:textId="77777777" w:rsidR="00454A29" w:rsidRDefault="00454A29">
            <w:pPr>
              <w:pStyle w:val="ConsPlusNormal"/>
            </w:pPr>
          </w:p>
        </w:tc>
        <w:tc>
          <w:tcPr>
            <w:tcW w:w="1814" w:type="dxa"/>
            <w:vAlign w:val="center"/>
          </w:tcPr>
          <w:p w14:paraId="6D3BB0D2" w14:textId="77777777" w:rsidR="00454A29" w:rsidRDefault="00454A29">
            <w:pPr>
              <w:pStyle w:val="ConsPlusNormal"/>
            </w:pPr>
          </w:p>
        </w:tc>
      </w:tr>
      <w:tr w:rsidR="00454A29" w14:paraId="63BF99AA" w14:textId="77777777">
        <w:tc>
          <w:tcPr>
            <w:tcW w:w="567" w:type="dxa"/>
            <w:vMerge w:val="restart"/>
            <w:vAlign w:val="center"/>
          </w:tcPr>
          <w:p w14:paraId="3851E20B" w14:textId="77777777" w:rsidR="00454A29" w:rsidRDefault="00454A29">
            <w:pPr>
              <w:pStyle w:val="ConsPlusNormal"/>
              <w:jc w:val="center"/>
            </w:pPr>
            <w:r>
              <w:t>113</w:t>
            </w:r>
          </w:p>
        </w:tc>
        <w:tc>
          <w:tcPr>
            <w:tcW w:w="3345" w:type="dxa"/>
            <w:vMerge w:val="restart"/>
            <w:vAlign w:val="center"/>
          </w:tcPr>
          <w:p w14:paraId="38598561" w14:textId="77777777" w:rsidR="00454A29" w:rsidRDefault="00454A29">
            <w:pPr>
              <w:pStyle w:val="ConsPlusNormal"/>
              <w:jc w:val="center"/>
            </w:pPr>
            <w:r>
              <w:t>Школа на 60 учащихся в с. Эбях</w:t>
            </w:r>
          </w:p>
        </w:tc>
        <w:tc>
          <w:tcPr>
            <w:tcW w:w="1701" w:type="dxa"/>
            <w:vAlign w:val="center"/>
          </w:tcPr>
          <w:p w14:paraId="5D5EBBB8" w14:textId="77777777" w:rsidR="00454A29" w:rsidRDefault="00454A29">
            <w:pPr>
              <w:pStyle w:val="ConsPlusNormal"/>
              <w:jc w:val="center"/>
            </w:pPr>
            <w:r>
              <w:t>2020 - 2026 годы - всего</w:t>
            </w:r>
          </w:p>
        </w:tc>
        <w:tc>
          <w:tcPr>
            <w:tcW w:w="1417" w:type="dxa"/>
            <w:vMerge w:val="restart"/>
            <w:vAlign w:val="center"/>
          </w:tcPr>
          <w:p w14:paraId="165467C0" w14:textId="77777777" w:rsidR="00454A29" w:rsidRDefault="00454A29">
            <w:pPr>
              <w:pStyle w:val="ConsPlusNormal"/>
              <w:jc w:val="center"/>
            </w:pPr>
            <w:r>
              <w:t>220 694,70</w:t>
            </w:r>
          </w:p>
        </w:tc>
        <w:tc>
          <w:tcPr>
            <w:tcW w:w="2204" w:type="dxa"/>
            <w:vMerge w:val="restart"/>
            <w:vAlign w:val="center"/>
          </w:tcPr>
          <w:p w14:paraId="3F1CE56D" w14:textId="77777777" w:rsidR="00454A29" w:rsidRDefault="00454A29">
            <w:pPr>
              <w:pStyle w:val="ConsPlusNormal"/>
            </w:pPr>
          </w:p>
        </w:tc>
        <w:tc>
          <w:tcPr>
            <w:tcW w:w="1417" w:type="dxa"/>
            <w:vMerge w:val="restart"/>
            <w:vAlign w:val="center"/>
          </w:tcPr>
          <w:p w14:paraId="529A54AC" w14:textId="77777777" w:rsidR="00454A29" w:rsidRDefault="00454A29">
            <w:pPr>
              <w:pStyle w:val="ConsPlusNormal"/>
              <w:jc w:val="center"/>
            </w:pPr>
            <w:r>
              <w:t>60</w:t>
            </w:r>
          </w:p>
        </w:tc>
        <w:tc>
          <w:tcPr>
            <w:tcW w:w="2324" w:type="dxa"/>
            <w:vMerge w:val="restart"/>
            <w:vAlign w:val="center"/>
          </w:tcPr>
          <w:p w14:paraId="05AF2EA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C9E03FB" w14:textId="77777777" w:rsidR="00454A29" w:rsidRDefault="00454A29">
            <w:pPr>
              <w:pStyle w:val="ConsPlusNormal"/>
              <w:jc w:val="center"/>
            </w:pPr>
            <w:r>
              <w:t>220 694,70</w:t>
            </w:r>
          </w:p>
        </w:tc>
        <w:tc>
          <w:tcPr>
            <w:tcW w:w="1814" w:type="dxa"/>
            <w:vAlign w:val="center"/>
          </w:tcPr>
          <w:p w14:paraId="450B6DF4" w14:textId="77777777" w:rsidR="00454A29" w:rsidRDefault="00454A29">
            <w:pPr>
              <w:pStyle w:val="ConsPlusNormal"/>
              <w:jc w:val="center"/>
            </w:pPr>
            <w:r>
              <w:t>2 791,78</w:t>
            </w:r>
          </w:p>
        </w:tc>
        <w:tc>
          <w:tcPr>
            <w:tcW w:w="1701" w:type="dxa"/>
            <w:vAlign w:val="center"/>
          </w:tcPr>
          <w:p w14:paraId="62860534" w14:textId="77777777" w:rsidR="00454A29" w:rsidRDefault="00454A29">
            <w:pPr>
              <w:pStyle w:val="ConsPlusNormal"/>
              <w:jc w:val="center"/>
            </w:pPr>
            <w:r>
              <w:t>276 387,02</w:t>
            </w:r>
          </w:p>
        </w:tc>
        <w:tc>
          <w:tcPr>
            <w:tcW w:w="1701" w:type="dxa"/>
            <w:vAlign w:val="center"/>
          </w:tcPr>
          <w:p w14:paraId="4A827461" w14:textId="77777777" w:rsidR="00454A29" w:rsidRDefault="00454A29">
            <w:pPr>
              <w:pStyle w:val="ConsPlusNormal"/>
              <w:jc w:val="center"/>
            </w:pPr>
            <w:r>
              <w:t>-</w:t>
            </w:r>
          </w:p>
        </w:tc>
        <w:tc>
          <w:tcPr>
            <w:tcW w:w="1814" w:type="dxa"/>
            <w:vAlign w:val="center"/>
          </w:tcPr>
          <w:p w14:paraId="09B79AF0" w14:textId="77777777" w:rsidR="00454A29" w:rsidRDefault="00454A29">
            <w:pPr>
              <w:pStyle w:val="ConsPlusNormal"/>
              <w:jc w:val="center"/>
            </w:pPr>
            <w:r>
              <w:t>-</w:t>
            </w:r>
          </w:p>
        </w:tc>
      </w:tr>
      <w:tr w:rsidR="00454A29" w14:paraId="199E2A25" w14:textId="77777777">
        <w:tc>
          <w:tcPr>
            <w:tcW w:w="567" w:type="dxa"/>
            <w:vMerge/>
          </w:tcPr>
          <w:p w14:paraId="4876FC9A" w14:textId="77777777" w:rsidR="00454A29" w:rsidRDefault="00454A29"/>
        </w:tc>
        <w:tc>
          <w:tcPr>
            <w:tcW w:w="3345" w:type="dxa"/>
            <w:vMerge/>
          </w:tcPr>
          <w:p w14:paraId="17C584BA" w14:textId="77777777" w:rsidR="00454A29" w:rsidRDefault="00454A29"/>
        </w:tc>
        <w:tc>
          <w:tcPr>
            <w:tcW w:w="1701" w:type="dxa"/>
            <w:vAlign w:val="center"/>
          </w:tcPr>
          <w:p w14:paraId="0F8192D0" w14:textId="77777777" w:rsidR="00454A29" w:rsidRDefault="00454A29">
            <w:pPr>
              <w:pStyle w:val="ConsPlusNormal"/>
              <w:jc w:val="center"/>
            </w:pPr>
            <w:r>
              <w:t>2020</w:t>
            </w:r>
          </w:p>
        </w:tc>
        <w:tc>
          <w:tcPr>
            <w:tcW w:w="1417" w:type="dxa"/>
            <w:vMerge/>
          </w:tcPr>
          <w:p w14:paraId="78E9F4B9" w14:textId="77777777" w:rsidR="00454A29" w:rsidRDefault="00454A29"/>
        </w:tc>
        <w:tc>
          <w:tcPr>
            <w:tcW w:w="2204" w:type="dxa"/>
            <w:vMerge/>
          </w:tcPr>
          <w:p w14:paraId="425E6221" w14:textId="77777777" w:rsidR="00454A29" w:rsidRDefault="00454A29"/>
        </w:tc>
        <w:tc>
          <w:tcPr>
            <w:tcW w:w="1417" w:type="dxa"/>
            <w:vMerge/>
          </w:tcPr>
          <w:p w14:paraId="39E76ED2" w14:textId="77777777" w:rsidR="00454A29" w:rsidRDefault="00454A29"/>
        </w:tc>
        <w:tc>
          <w:tcPr>
            <w:tcW w:w="2324" w:type="dxa"/>
            <w:vMerge/>
          </w:tcPr>
          <w:p w14:paraId="7E93382A" w14:textId="77777777" w:rsidR="00454A29" w:rsidRDefault="00454A29"/>
        </w:tc>
        <w:tc>
          <w:tcPr>
            <w:tcW w:w="1701" w:type="dxa"/>
            <w:vAlign w:val="center"/>
          </w:tcPr>
          <w:p w14:paraId="70DEA734" w14:textId="77777777" w:rsidR="00454A29" w:rsidRDefault="00454A29">
            <w:pPr>
              <w:pStyle w:val="ConsPlusNormal"/>
            </w:pPr>
          </w:p>
        </w:tc>
        <w:tc>
          <w:tcPr>
            <w:tcW w:w="1814" w:type="dxa"/>
            <w:vAlign w:val="center"/>
          </w:tcPr>
          <w:p w14:paraId="28C17126" w14:textId="77777777" w:rsidR="00454A29" w:rsidRDefault="00454A29">
            <w:pPr>
              <w:pStyle w:val="ConsPlusNormal"/>
            </w:pPr>
          </w:p>
        </w:tc>
        <w:tc>
          <w:tcPr>
            <w:tcW w:w="1701" w:type="dxa"/>
            <w:vAlign w:val="center"/>
          </w:tcPr>
          <w:p w14:paraId="201E9101" w14:textId="77777777" w:rsidR="00454A29" w:rsidRDefault="00454A29">
            <w:pPr>
              <w:pStyle w:val="ConsPlusNormal"/>
            </w:pPr>
          </w:p>
        </w:tc>
        <w:tc>
          <w:tcPr>
            <w:tcW w:w="1701" w:type="dxa"/>
            <w:vAlign w:val="center"/>
          </w:tcPr>
          <w:p w14:paraId="4FAD90CE" w14:textId="77777777" w:rsidR="00454A29" w:rsidRDefault="00454A29">
            <w:pPr>
              <w:pStyle w:val="ConsPlusNormal"/>
            </w:pPr>
          </w:p>
        </w:tc>
        <w:tc>
          <w:tcPr>
            <w:tcW w:w="1814" w:type="dxa"/>
            <w:vAlign w:val="center"/>
          </w:tcPr>
          <w:p w14:paraId="50990694" w14:textId="77777777" w:rsidR="00454A29" w:rsidRDefault="00454A29">
            <w:pPr>
              <w:pStyle w:val="ConsPlusNormal"/>
            </w:pPr>
          </w:p>
        </w:tc>
      </w:tr>
      <w:tr w:rsidR="00454A29" w14:paraId="6F01E0C9" w14:textId="77777777">
        <w:tc>
          <w:tcPr>
            <w:tcW w:w="567" w:type="dxa"/>
            <w:vMerge/>
          </w:tcPr>
          <w:p w14:paraId="63C380C4" w14:textId="77777777" w:rsidR="00454A29" w:rsidRDefault="00454A29"/>
        </w:tc>
        <w:tc>
          <w:tcPr>
            <w:tcW w:w="3345" w:type="dxa"/>
            <w:vMerge/>
          </w:tcPr>
          <w:p w14:paraId="5E2FC94D" w14:textId="77777777" w:rsidR="00454A29" w:rsidRDefault="00454A29"/>
        </w:tc>
        <w:tc>
          <w:tcPr>
            <w:tcW w:w="1701" w:type="dxa"/>
            <w:vAlign w:val="center"/>
          </w:tcPr>
          <w:p w14:paraId="6A4A709A" w14:textId="77777777" w:rsidR="00454A29" w:rsidRDefault="00454A29">
            <w:pPr>
              <w:pStyle w:val="ConsPlusNormal"/>
              <w:jc w:val="center"/>
            </w:pPr>
            <w:r>
              <w:t>2021</w:t>
            </w:r>
          </w:p>
        </w:tc>
        <w:tc>
          <w:tcPr>
            <w:tcW w:w="1417" w:type="dxa"/>
            <w:vMerge/>
          </w:tcPr>
          <w:p w14:paraId="44CEB7C9" w14:textId="77777777" w:rsidR="00454A29" w:rsidRDefault="00454A29"/>
        </w:tc>
        <w:tc>
          <w:tcPr>
            <w:tcW w:w="2204" w:type="dxa"/>
            <w:vMerge/>
          </w:tcPr>
          <w:p w14:paraId="496D6CD1" w14:textId="77777777" w:rsidR="00454A29" w:rsidRDefault="00454A29"/>
        </w:tc>
        <w:tc>
          <w:tcPr>
            <w:tcW w:w="1417" w:type="dxa"/>
            <w:vMerge/>
          </w:tcPr>
          <w:p w14:paraId="05F45CC1" w14:textId="77777777" w:rsidR="00454A29" w:rsidRDefault="00454A29"/>
        </w:tc>
        <w:tc>
          <w:tcPr>
            <w:tcW w:w="2324" w:type="dxa"/>
            <w:vMerge/>
          </w:tcPr>
          <w:p w14:paraId="0A970EE4" w14:textId="77777777" w:rsidR="00454A29" w:rsidRDefault="00454A29"/>
        </w:tc>
        <w:tc>
          <w:tcPr>
            <w:tcW w:w="1701" w:type="dxa"/>
            <w:vAlign w:val="center"/>
          </w:tcPr>
          <w:p w14:paraId="6022EBD6" w14:textId="77777777" w:rsidR="00454A29" w:rsidRDefault="00454A29">
            <w:pPr>
              <w:pStyle w:val="ConsPlusNormal"/>
              <w:jc w:val="center"/>
            </w:pPr>
            <w:r>
              <w:t>-</w:t>
            </w:r>
          </w:p>
        </w:tc>
        <w:tc>
          <w:tcPr>
            <w:tcW w:w="1814" w:type="dxa"/>
            <w:vAlign w:val="center"/>
          </w:tcPr>
          <w:p w14:paraId="36BE549F" w14:textId="77777777" w:rsidR="00454A29" w:rsidRDefault="00454A29">
            <w:pPr>
              <w:pStyle w:val="ConsPlusNormal"/>
            </w:pPr>
          </w:p>
        </w:tc>
        <w:tc>
          <w:tcPr>
            <w:tcW w:w="1701" w:type="dxa"/>
            <w:vAlign w:val="center"/>
          </w:tcPr>
          <w:p w14:paraId="3EC13679" w14:textId="77777777" w:rsidR="00454A29" w:rsidRDefault="00454A29">
            <w:pPr>
              <w:pStyle w:val="ConsPlusNormal"/>
            </w:pPr>
          </w:p>
        </w:tc>
        <w:tc>
          <w:tcPr>
            <w:tcW w:w="1701" w:type="dxa"/>
            <w:vAlign w:val="center"/>
          </w:tcPr>
          <w:p w14:paraId="15538A37" w14:textId="77777777" w:rsidR="00454A29" w:rsidRDefault="00454A29">
            <w:pPr>
              <w:pStyle w:val="ConsPlusNormal"/>
            </w:pPr>
          </w:p>
        </w:tc>
        <w:tc>
          <w:tcPr>
            <w:tcW w:w="1814" w:type="dxa"/>
            <w:vAlign w:val="center"/>
          </w:tcPr>
          <w:p w14:paraId="40EA13AE" w14:textId="77777777" w:rsidR="00454A29" w:rsidRDefault="00454A29">
            <w:pPr>
              <w:pStyle w:val="ConsPlusNormal"/>
            </w:pPr>
          </w:p>
        </w:tc>
      </w:tr>
      <w:tr w:rsidR="00454A29" w14:paraId="6E3BCAF2" w14:textId="77777777">
        <w:tc>
          <w:tcPr>
            <w:tcW w:w="567" w:type="dxa"/>
            <w:vMerge/>
          </w:tcPr>
          <w:p w14:paraId="36197269" w14:textId="77777777" w:rsidR="00454A29" w:rsidRDefault="00454A29"/>
        </w:tc>
        <w:tc>
          <w:tcPr>
            <w:tcW w:w="3345" w:type="dxa"/>
            <w:vMerge/>
          </w:tcPr>
          <w:p w14:paraId="0946F57F" w14:textId="77777777" w:rsidR="00454A29" w:rsidRDefault="00454A29"/>
        </w:tc>
        <w:tc>
          <w:tcPr>
            <w:tcW w:w="1701" w:type="dxa"/>
            <w:vAlign w:val="center"/>
          </w:tcPr>
          <w:p w14:paraId="0244CA54" w14:textId="77777777" w:rsidR="00454A29" w:rsidRDefault="00454A29">
            <w:pPr>
              <w:pStyle w:val="ConsPlusNormal"/>
              <w:jc w:val="center"/>
            </w:pPr>
            <w:r>
              <w:t>2022</w:t>
            </w:r>
          </w:p>
        </w:tc>
        <w:tc>
          <w:tcPr>
            <w:tcW w:w="1417" w:type="dxa"/>
            <w:vMerge/>
          </w:tcPr>
          <w:p w14:paraId="2412AD0B" w14:textId="77777777" w:rsidR="00454A29" w:rsidRDefault="00454A29"/>
        </w:tc>
        <w:tc>
          <w:tcPr>
            <w:tcW w:w="2204" w:type="dxa"/>
            <w:vMerge/>
          </w:tcPr>
          <w:p w14:paraId="7B853F22" w14:textId="77777777" w:rsidR="00454A29" w:rsidRDefault="00454A29"/>
        </w:tc>
        <w:tc>
          <w:tcPr>
            <w:tcW w:w="1417" w:type="dxa"/>
            <w:vMerge/>
          </w:tcPr>
          <w:p w14:paraId="41D3FEC7" w14:textId="77777777" w:rsidR="00454A29" w:rsidRDefault="00454A29"/>
        </w:tc>
        <w:tc>
          <w:tcPr>
            <w:tcW w:w="2324" w:type="dxa"/>
            <w:vMerge/>
          </w:tcPr>
          <w:p w14:paraId="7CE1E2D8" w14:textId="77777777" w:rsidR="00454A29" w:rsidRDefault="00454A29"/>
        </w:tc>
        <w:tc>
          <w:tcPr>
            <w:tcW w:w="1701" w:type="dxa"/>
            <w:vAlign w:val="center"/>
          </w:tcPr>
          <w:p w14:paraId="00C86E69" w14:textId="77777777" w:rsidR="00454A29" w:rsidRDefault="00454A29">
            <w:pPr>
              <w:pStyle w:val="ConsPlusNormal"/>
            </w:pPr>
          </w:p>
        </w:tc>
        <w:tc>
          <w:tcPr>
            <w:tcW w:w="1814" w:type="dxa"/>
            <w:vAlign w:val="center"/>
          </w:tcPr>
          <w:p w14:paraId="24406207" w14:textId="77777777" w:rsidR="00454A29" w:rsidRDefault="00454A29">
            <w:pPr>
              <w:pStyle w:val="ConsPlusNormal"/>
            </w:pPr>
          </w:p>
        </w:tc>
        <w:tc>
          <w:tcPr>
            <w:tcW w:w="1701" w:type="dxa"/>
            <w:vAlign w:val="center"/>
          </w:tcPr>
          <w:p w14:paraId="54FD5CA4" w14:textId="77777777" w:rsidR="00454A29" w:rsidRDefault="00454A29">
            <w:pPr>
              <w:pStyle w:val="ConsPlusNormal"/>
            </w:pPr>
          </w:p>
        </w:tc>
        <w:tc>
          <w:tcPr>
            <w:tcW w:w="1701" w:type="dxa"/>
            <w:vAlign w:val="center"/>
          </w:tcPr>
          <w:p w14:paraId="16D7EA77" w14:textId="77777777" w:rsidR="00454A29" w:rsidRDefault="00454A29">
            <w:pPr>
              <w:pStyle w:val="ConsPlusNormal"/>
            </w:pPr>
          </w:p>
        </w:tc>
        <w:tc>
          <w:tcPr>
            <w:tcW w:w="1814" w:type="dxa"/>
            <w:vAlign w:val="center"/>
          </w:tcPr>
          <w:p w14:paraId="744AA228" w14:textId="77777777" w:rsidR="00454A29" w:rsidRDefault="00454A29">
            <w:pPr>
              <w:pStyle w:val="ConsPlusNormal"/>
            </w:pPr>
          </w:p>
        </w:tc>
      </w:tr>
      <w:tr w:rsidR="00454A29" w14:paraId="4753542D" w14:textId="77777777">
        <w:tc>
          <w:tcPr>
            <w:tcW w:w="567" w:type="dxa"/>
            <w:vMerge/>
          </w:tcPr>
          <w:p w14:paraId="06E58DD8" w14:textId="77777777" w:rsidR="00454A29" w:rsidRDefault="00454A29"/>
        </w:tc>
        <w:tc>
          <w:tcPr>
            <w:tcW w:w="3345" w:type="dxa"/>
            <w:vMerge/>
          </w:tcPr>
          <w:p w14:paraId="2F7F488C" w14:textId="77777777" w:rsidR="00454A29" w:rsidRDefault="00454A29"/>
        </w:tc>
        <w:tc>
          <w:tcPr>
            <w:tcW w:w="1701" w:type="dxa"/>
            <w:vAlign w:val="center"/>
          </w:tcPr>
          <w:p w14:paraId="410EFBB9" w14:textId="77777777" w:rsidR="00454A29" w:rsidRDefault="00454A29">
            <w:pPr>
              <w:pStyle w:val="ConsPlusNormal"/>
              <w:jc w:val="center"/>
            </w:pPr>
            <w:r>
              <w:t>2023</w:t>
            </w:r>
          </w:p>
        </w:tc>
        <w:tc>
          <w:tcPr>
            <w:tcW w:w="1417" w:type="dxa"/>
            <w:vMerge/>
          </w:tcPr>
          <w:p w14:paraId="76DBD261" w14:textId="77777777" w:rsidR="00454A29" w:rsidRDefault="00454A29"/>
        </w:tc>
        <w:tc>
          <w:tcPr>
            <w:tcW w:w="2204" w:type="dxa"/>
            <w:vMerge/>
          </w:tcPr>
          <w:p w14:paraId="6A22BBD6" w14:textId="77777777" w:rsidR="00454A29" w:rsidRDefault="00454A29"/>
        </w:tc>
        <w:tc>
          <w:tcPr>
            <w:tcW w:w="1417" w:type="dxa"/>
            <w:vMerge/>
          </w:tcPr>
          <w:p w14:paraId="518CF076" w14:textId="77777777" w:rsidR="00454A29" w:rsidRDefault="00454A29"/>
        </w:tc>
        <w:tc>
          <w:tcPr>
            <w:tcW w:w="2324" w:type="dxa"/>
            <w:vMerge/>
          </w:tcPr>
          <w:p w14:paraId="26F1B20A" w14:textId="77777777" w:rsidR="00454A29" w:rsidRDefault="00454A29"/>
        </w:tc>
        <w:tc>
          <w:tcPr>
            <w:tcW w:w="1701" w:type="dxa"/>
            <w:vAlign w:val="center"/>
          </w:tcPr>
          <w:p w14:paraId="2147F4F0" w14:textId="77777777" w:rsidR="00454A29" w:rsidRDefault="00454A29">
            <w:pPr>
              <w:pStyle w:val="ConsPlusNormal"/>
              <w:jc w:val="center"/>
            </w:pPr>
            <w:r>
              <w:t>-</w:t>
            </w:r>
          </w:p>
        </w:tc>
        <w:tc>
          <w:tcPr>
            <w:tcW w:w="1814" w:type="dxa"/>
            <w:vAlign w:val="center"/>
          </w:tcPr>
          <w:p w14:paraId="608C63B7" w14:textId="77777777" w:rsidR="00454A29" w:rsidRDefault="00454A29">
            <w:pPr>
              <w:pStyle w:val="ConsPlusNormal"/>
            </w:pPr>
          </w:p>
        </w:tc>
        <w:tc>
          <w:tcPr>
            <w:tcW w:w="1701" w:type="dxa"/>
            <w:vAlign w:val="center"/>
          </w:tcPr>
          <w:p w14:paraId="04DA5D18" w14:textId="77777777" w:rsidR="00454A29" w:rsidRDefault="00454A29">
            <w:pPr>
              <w:pStyle w:val="ConsPlusNormal"/>
            </w:pPr>
          </w:p>
        </w:tc>
        <w:tc>
          <w:tcPr>
            <w:tcW w:w="1701" w:type="dxa"/>
            <w:vAlign w:val="center"/>
          </w:tcPr>
          <w:p w14:paraId="48320DA0" w14:textId="77777777" w:rsidR="00454A29" w:rsidRDefault="00454A29">
            <w:pPr>
              <w:pStyle w:val="ConsPlusNormal"/>
            </w:pPr>
          </w:p>
        </w:tc>
        <w:tc>
          <w:tcPr>
            <w:tcW w:w="1814" w:type="dxa"/>
            <w:vAlign w:val="center"/>
          </w:tcPr>
          <w:p w14:paraId="43419DE6" w14:textId="77777777" w:rsidR="00454A29" w:rsidRDefault="00454A29">
            <w:pPr>
              <w:pStyle w:val="ConsPlusNormal"/>
            </w:pPr>
          </w:p>
        </w:tc>
      </w:tr>
      <w:tr w:rsidR="00454A29" w14:paraId="5D6561EA" w14:textId="77777777">
        <w:tc>
          <w:tcPr>
            <w:tcW w:w="567" w:type="dxa"/>
            <w:vMerge/>
          </w:tcPr>
          <w:p w14:paraId="62D11118" w14:textId="77777777" w:rsidR="00454A29" w:rsidRDefault="00454A29"/>
        </w:tc>
        <w:tc>
          <w:tcPr>
            <w:tcW w:w="3345" w:type="dxa"/>
            <w:vMerge/>
          </w:tcPr>
          <w:p w14:paraId="0989C241" w14:textId="77777777" w:rsidR="00454A29" w:rsidRDefault="00454A29"/>
        </w:tc>
        <w:tc>
          <w:tcPr>
            <w:tcW w:w="1701" w:type="dxa"/>
            <w:vAlign w:val="center"/>
          </w:tcPr>
          <w:p w14:paraId="04EDE6BF" w14:textId="77777777" w:rsidR="00454A29" w:rsidRDefault="00454A29">
            <w:pPr>
              <w:pStyle w:val="ConsPlusNormal"/>
              <w:jc w:val="center"/>
            </w:pPr>
            <w:r>
              <w:t>2024</w:t>
            </w:r>
          </w:p>
        </w:tc>
        <w:tc>
          <w:tcPr>
            <w:tcW w:w="1417" w:type="dxa"/>
            <w:vMerge/>
          </w:tcPr>
          <w:p w14:paraId="35B9EA87" w14:textId="77777777" w:rsidR="00454A29" w:rsidRDefault="00454A29"/>
        </w:tc>
        <w:tc>
          <w:tcPr>
            <w:tcW w:w="2204" w:type="dxa"/>
            <w:vMerge/>
          </w:tcPr>
          <w:p w14:paraId="38671F46" w14:textId="77777777" w:rsidR="00454A29" w:rsidRDefault="00454A29"/>
        </w:tc>
        <w:tc>
          <w:tcPr>
            <w:tcW w:w="1417" w:type="dxa"/>
            <w:vMerge/>
          </w:tcPr>
          <w:p w14:paraId="67279F49" w14:textId="77777777" w:rsidR="00454A29" w:rsidRDefault="00454A29"/>
        </w:tc>
        <w:tc>
          <w:tcPr>
            <w:tcW w:w="2324" w:type="dxa"/>
            <w:vMerge/>
          </w:tcPr>
          <w:p w14:paraId="7616B212" w14:textId="77777777" w:rsidR="00454A29" w:rsidRDefault="00454A29"/>
        </w:tc>
        <w:tc>
          <w:tcPr>
            <w:tcW w:w="1701" w:type="dxa"/>
            <w:vAlign w:val="center"/>
          </w:tcPr>
          <w:p w14:paraId="5FBA54B9" w14:textId="77777777" w:rsidR="00454A29" w:rsidRDefault="00454A29">
            <w:pPr>
              <w:pStyle w:val="ConsPlusNormal"/>
            </w:pPr>
          </w:p>
        </w:tc>
        <w:tc>
          <w:tcPr>
            <w:tcW w:w="1814" w:type="dxa"/>
            <w:vAlign w:val="center"/>
          </w:tcPr>
          <w:p w14:paraId="0A512489" w14:textId="77777777" w:rsidR="00454A29" w:rsidRDefault="00454A29">
            <w:pPr>
              <w:pStyle w:val="ConsPlusNormal"/>
            </w:pPr>
          </w:p>
        </w:tc>
        <w:tc>
          <w:tcPr>
            <w:tcW w:w="1701" w:type="dxa"/>
            <w:vAlign w:val="center"/>
          </w:tcPr>
          <w:p w14:paraId="65F361C0" w14:textId="77777777" w:rsidR="00454A29" w:rsidRDefault="00454A29">
            <w:pPr>
              <w:pStyle w:val="ConsPlusNormal"/>
            </w:pPr>
          </w:p>
        </w:tc>
        <w:tc>
          <w:tcPr>
            <w:tcW w:w="1701" w:type="dxa"/>
            <w:vAlign w:val="center"/>
          </w:tcPr>
          <w:p w14:paraId="44F9F59D" w14:textId="77777777" w:rsidR="00454A29" w:rsidRDefault="00454A29">
            <w:pPr>
              <w:pStyle w:val="ConsPlusNormal"/>
            </w:pPr>
          </w:p>
        </w:tc>
        <w:tc>
          <w:tcPr>
            <w:tcW w:w="1814" w:type="dxa"/>
            <w:vAlign w:val="center"/>
          </w:tcPr>
          <w:p w14:paraId="44507355" w14:textId="77777777" w:rsidR="00454A29" w:rsidRDefault="00454A29">
            <w:pPr>
              <w:pStyle w:val="ConsPlusNormal"/>
            </w:pPr>
          </w:p>
        </w:tc>
      </w:tr>
      <w:tr w:rsidR="00454A29" w14:paraId="5DB35CD7" w14:textId="77777777">
        <w:tc>
          <w:tcPr>
            <w:tcW w:w="567" w:type="dxa"/>
            <w:vMerge/>
          </w:tcPr>
          <w:p w14:paraId="156A2647" w14:textId="77777777" w:rsidR="00454A29" w:rsidRDefault="00454A29"/>
        </w:tc>
        <w:tc>
          <w:tcPr>
            <w:tcW w:w="3345" w:type="dxa"/>
            <w:vMerge/>
          </w:tcPr>
          <w:p w14:paraId="244B2439" w14:textId="77777777" w:rsidR="00454A29" w:rsidRDefault="00454A29"/>
        </w:tc>
        <w:tc>
          <w:tcPr>
            <w:tcW w:w="1701" w:type="dxa"/>
            <w:vAlign w:val="center"/>
          </w:tcPr>
          <w:p w14:paraId="71B95B8C" w14:textId="77777777" w:rsidR="00454A29" w:rsidRDefault="00454A29">
            <w:pPr>
              <w:pStyle w:val="ConsPlusNormal"/>
              <w:jc w:val="center"/>
            </w:pPr>
            <w:r>
              <w:t>2025</w:t>
            </w:r>
          </w:p>
        </w:tc>
        <w:tc>
          <w:tcPr>
            <w:tcW w:w="1417" w:type="dxa"/>
            <w:vMerge/>
          </w:tcPr>
          <w:p w14:paraId="6EF9F694" w14:textId="77777777" w:rsidR="00454A29" w:rsidRDefault="00454A29"/>
        </w:tc>
        <w:tc>
          <w:tcPr>
            <w:tcW w:w="2204" w:type="dxa"/>
            <w:vMerge/>
          </w:tcPr>
          <w:p w14:paraId="06757B30" w14:textId="77777777" w:rsidR="00454A29" w:rsidRDefault="00454A29"/>
        </w:tc>
        <w:tc>
          <w:tcPr>
            <w:tcW w:w="1417" w:type="dxa"/>
            <w:vMerge/>
          </w:tcPr>
          <w:p w14:paraId="640397CF" w14:textId="77777777" w:rsidR="00454A29" w:rsidRDefault="00454A29"/>
        </w:tc>
        <w:tc>
          <w:tcPr>
            <w:tcW w:w="2324" w:type="dxa"/>
            <w:vMerge/>
          </w:tcPr>
          <w:p w14:paraId="78E3C2F4" w14:textId="77777777" w:rsidR="00454A29" w:rsidRDefault="00454A29"/>
        </w:tc>
        <w:tc>
          <w:tcPr>
            <w:tcW w:w="1701" w:type="dxa"/>
            <w:vAlign w:val="center"/>
          </w:tcPr>
          <w:p w14:paraId="54BAF3EA" w14:textId="77777777" w:rsidR="00454A29" w:rsidRDefault="00454A29">
            <w:pPr>
              <w:pStyle w:val="ConsPlusNormal"/>
              <w:jc w:val="center"/>
            </w:pPr>
            <w:r>
              <w:t>220 694,70</w:t>
            </w:r>
          </w:p>
        </w:tc>
        <w:tc>
          <w:tcPr>
            <w:tcW w:w="1814" w:type="dxa"/>
            <w:vAlign w:val="center"/>
          </w:tcPr>
          <w:p w14:paraId="232C39CB" w14:textId="77777777" w:rsidR="00454A29" w:rsidRDefault="00454A29">
            <w:pPr>
              <w:pStyle w:val="ConsPlusNormal"/>
              <w:jc w:val="center"/>
            </w:pPr>
            <w:r>
              <w:t>2 791,78</w:t>
            </w:r>
          </w:p>
        </w:tc>
        <w:tc>
          <w:tcPr>
            <w:tcW w:w="1701" w:type="dxa"/>
            <w:vAlign w:val="center"/>
          </w:tcPr>
          <w:p w14:paraId="72B1D5CB" w14:textId="77777777" w:rsidR="00454A29" w:rsidRDefault="00454A29">
            <w:pPr>
              <w:pStyle w:val="ConsPlusNormal"/>
              <w:jc w:val="center"/>
            </w:pPr>
            <w:r>
              <w:t>276 387,02</w:t>
            </w:r>
          </w:p>
        </w:tc>
        <w:tc>
          <w:tcPr>
            <w:tcW w:w="1701" w:type="dxa"/>
            <w:vAlign w:val="center"/>
          </w:tcPr>
          <w:p w14:paraId="2B63BDAA" w14:textId="77777777" w:rsidR="00454A29" w:rsidRDefault="00454A29">
            <w:pPr>
              <w:pStyle w:val="ConsPlusNormal"/>
            </w:pPr>
          </w:p>
        </w:tc>
        <w:tc>
          <w:tcPr>
            <w:tcW w:w="1814" w:type="dxa"/>
            <w:vAlign w:val="center"/>
          </w:tcPr>
          <w:p w14:paraId="2C6FF268" w14:textId="77777777" w:rsidR="00454A29" w:rsidRDefault="00454A29">
            <w:pPr>
              <w:pStyle w:val="ConsPlusNormal"/>
            </w:pPr>
          </w:p>
        </w:tc>
      </w:tr>
      <w:tr w:rsidR="00454A29" w14:paraId="1F1E34CE" w14:textId="77777777">
        <w:tc>
          <w:tcPr>
            <w:tcW w:w="567" w:type="dxa"/>
            <w:vMerge/>
          </w:tcPr>
          <w:p w14:paraId="44FD94DF" w14:textId="77777777" w:rsidR="00454A29" w:rsidRDefault="00454A29"/>
        </w:tc>
        <w:tc>
          <w:tcPr>
            <w:tcW w:w="3345" w:type="dxa"/>
            <w:vMerge/>
          </w:tcPr>
          <w:p w14:paraId="4F451703" w14:textId="77777777" w:rsidR="00454A29" w:rsidRDefault="00454A29"/>
        </w:tc>
        <w:tc>
          <w:tcPr>
            <w:tcW w:w="1701" w:type="dxa"/>
            <w:vAlign w:val="center"/>
          </w:tcPr>
          <w:p w14:paraId="2890AC6D" w14:textId="77777777" w:rsidR="00454A29" w:rsidRDefault="00454A29">
            <w:pPr>
              <w:pStyle w:val="ConsPlusNormal"/>
              <w:jc w:val="center"/>
            </w:pPr>
            <w:r>
              <w:t>2026</w:t>
            </w:r>
          </w:p>
        </w:tc>
        <w:tc>
          <w:tcPr>
            <w:tcW w:w="1417" w:type="dxa"/>
            <w:vMerge/>
          </w:tcPr>
          <w:p w14:paraId="51339F5F" w14:textId="77777777" w:rsidR="00454A29" w:rsidRDefault="00454A29"/>
        </w:tc>
        <w:tc>
          <w:tcPr>
            <w:tcW w:w="2204" w:type="dxa"/>
            <w:vMerge/>
          </w:tcPr>
          <w:p w14:paraId="4475EE2E" w14:textId="77777777" w:rsidR="00454A29" w:rsidRDefault="00454A29"/>
        </w:tc>
        <w:tc>
          <w:tcPr>
            <w:tcW w:w="1417" w:type="dxa"/>
            <w:vMerge/>
          </w:tcPr>
          <w:p w14:paraId="7B3F3F69" w14:textId="77777777" w:rsidR="00454A29" w:rsidRDefault="00454A29"/>
        </w:tc>
        <w:tc>
          <w:tcPr>
            <w:tcW w:w="2324" w:type="dxa"/>
            <w:vMerge/>
          </w:tcPr>
          <w:p w14:paraId="4470A424" w14:textId="77777777" w:rsidR="00454A29" w:rsidRDefault="00454A29"/>
        </w:tc>
        <w:tc>
          <w:tcPr>
            <w:tcW w:w="1701" w:type="dxa"/>
            <w:vAlign w:val="center"/>
          </w:tcPr>
          <w:p w14:paraId="3055E2CE" w14:textId="77777777" w:rsidR="00454A29" w:rsidRDefault="00454A29">
            <w:pPr>
              <w:pStyle w:val="ConsPlusNormal"/>
              <w:jc w:val="center"/>
            </w:pPr>
            <w:r>
              <w:t>-</w:t>
            </w:r>
          </w:p>
        </w:tc>
        <w:tc>
          <w:tcPr>
            <w:tcW w:w="1814" w:type="dxa"/>
            <w:vAlign w:val="center"/>
          </w:tcPr>
          <w:p w14:paraId="69EAB7A0" w14:textId="77777777" w:rsidR="00454A29" w:rsidRDefault="00454A29">
            <w:pPr>
              <w:pStyle w:val="ConsPlusNormal"/>
            </w:pPr>
          </w:p>
        </w:tc>
        <w:tc>
          <w:tcPr>
            <w:tcW w:w="1701" w:type="dxa"/>
            <w:vAlign w:val="center"/>
          </w:tcPr>
          <w:p w14:paraId="6C935734" w14:textId="77777777" w:rsidR="00454A29" w:rsidRDefault="00454A29">
            <w:pPr>
              <w:pStyle w:val="ConsPlusNormal"/>
            </w:pPr>
          </w:p>
        </w:tc>
        <w:tc>
          <w:tcPr>
            <w:tcW w:w="1701" w:type="dxa"/>
            <w:vAlign w:val="center"/>
          </w:tcPr>
          <w:p w14:paraId="6B855D2D" w14:textId="77777777" w:rsidR="00454A29" w:rsidRDefault="00454A29">
            <w:pPr>
              <w:pStyle w:val="ConsPlusNormal"/>
            </w:pPr>
          </w:p>
        </w:tc>
        <w:tc>
          <w:tcPr>
            <w:tcW w:w="1814" w:type="dxa"/>
            <w:vAlign w:val="center"/>
          </w:tcPr>
          <w:p w14:paraId="765467C7" w14:textId="77777777" w:rsidR="00454A29" w:rsidRDefault="00454A29">
            <w:pPr>
              <w:pStyle w:val="ConsPlusNormal"/>
            </w:pPr>
          </w:p>
        </w:tc>
      </w:tr>
      <w:tr w:rsidR="00454A29" w14:paraId="11A54A4F" w14:textId="77777777">
        <w:tc>
          <w:tcPr>
            <w:tcW w:w="567" w:type="dxa"/>
            <w:vMerge w:val="restart"/>
            <w:vAlign w:val="center"/>
          </w:tcPr>
          <w:p w14:paraId="64DC91E2" w14:textId="77777777" w:rsidR="00454A29" w:rsidRDefault="00454A29">
            <w:pPr>
              <w:pStyle w:val="ConsPlusNormal"/>
              <w:jc w:val="center"/>
            </w:pPr>
            <w:r>
              <w:t>114</w:t>
            </w:r>
          </w:p>
        </w:tc>
        <w:tc>
          <w:tcPr>
            <w:tcW w:w="3345" w:type="dxa"/>
            <w:vMerge w:val="restart"/>
            <w:vAlign w:val="center"/>
          </w:tcPr>
          <w:p w14:paraId="7CD57D24" w14:textId="77777777" w:rsidR="00454A29" w:rsidRDefault="00454A29">
            <w:pPr>
              <w:pStyle w:val="ConsPlusNormal"/>
              <w:jc w:val="center"/>
            </w:pPr>
            <w:r>
              <w:t>Школа на 80 учащихся в с. Сватай</w:t>
            </w:r>
          </w:p>
        </w:tc>
        <w:tc>
          <w:tcPr>
            <w:tcW w:w="1701" w:type="dxa"/>
            <w:vAlign w:val="center"/>
          </w:tcPr>
          <w:p w14:paraId="252EB974" w14:textId="77777777" w:rsidR="00454A29" w:rsidRDefault="00454A29">
            <w:pPr>
              <w:pStyle w:val="ConsPlusNormal"/>
              <w:jc w:val="center"/>
            </w:pPr>
            <w:r>
              <w:t>2020 - 2026 годы - всего</w:t>
            </w:r>
          </w:p>
        </w:tc>
        <w:tc>
          <w:tcPr>
            <w:tcW w:w="1417" w:type="dxa"/>
            <w:vMerge w:val="restart"/>
            <w:vAlign w:val="center"/>
          </w:tcPr>
          <w:p w14:paraId="0C8D55DC" w14:textId="77777777" w:rsidR="00454A29" w:rsidRDefault="00454A29">
            <w:pPr>
              <w:pStyle w:val="ConsPlusNormal"/>
              <w:jc w:val="center"/>
            </w:pPr>
            <w:r>
              <w:t>294 259,62</w:t>
            </w:r>
          </w:p>
        </w:tc>
        <w:tc>
          <w:tcPr>
            <w:tcW w:w="2204" w:type="dxa"/>
            <w:vMerge w:val="restart"/>
            <w:vAlign w:val="center"/>
          </w:tcPr>
          <w:p w14:paraId="25238DAC" w14:textId="77777777" w:rsidR="00454A29" w:rsidRDefault="00454A29">
            <w:pPr>
              <w:pStyle w:val="ConsPlusNormal"/>
            </w:pPr>
          </w:p>
        </w:tc>
        <w:tc>
          <w:tcPr>
            <w:tcW w:w="1417" w:type="dxa"/>
            <w:vMerge w:val="restart"/>
            <w:vAlign w:val="center"/>
          </w:tcPr>
          <w:p w14:paraId="5FFED487" w14:textId="77777777" w:rsidR="00454A29" w:rsidRDefault="00454A29">
            <w:pPr>
              <w:pStyle w:val="ConsPlusNormal"/>
              <w:jc w:val="center"/>
            </w:pPr>
            <w:r>
              <w:t>80</w:t>
            </w:r>
          </w:p>
        </w:tc>
        <w:tc>
          <w:tcPr>
            <w:tcW w:w="2324" w:type="dxa"/>
            <w:vMerge w:val="restart"/>
            <w:vAlign w:val="center"/>
          </w:tcPr>
          <w:p w14:paraId="4E2C1F1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DB1FD0B" w14:textId="77777777" w:rsidR="00454A29" w:rsidRDefault="00454A29">
            <w:pPr>
              <w:pStyle w:val="ConsPlusNormal"/>
              <w:jc w:val="center"/>
            </w:pPr>
            <w:r>
              <w:t>294 259,62</w:t>
            </w:r>
          </w:p>
        </w:tc>
        <w:tc>
          <w:tcPr>
            <w:tcW w:w="1814" w:type="dxa"/>
            <w:vAlign w:val="center"/>
          </w:tcPr>
          <w:p w14:paraId="00454540" w14:textId="77777777" w:rsidR="00454A29" w:rsidRDefault="00454A29">
            <w:pPr>
              <w:pStyle w:val="ConsPlusNormal"/>
              <w:jc w:val="center"/>
            </w:pPr>
            <w:r>
              <w:t>3 722,39</w:t>
            </w:r>
          </w:p>
        </w:tc>
        <w:tc>
          <w:tcPr>
            <w:tcW w:w="1701" w:type="dxa"/>
            <w:vAlign w:val="center"/>
          </w:tcPr>
          <w:p w14:paraId="7C7E48D7" w14:textId="77777777" w:rsidR="00454A29" w:rsidRDefault="00454A29">
            <w:pPr>
              <w:pStyle w:val="ConsPlusNormal"/>
              <w:jc w:val="center"/>
            </w:pPr>
            <w:r>
              <w:t>368 516,03</w:t>
            </w:r>
          </w:p>
        </w:tc>
        <w:tc>
          <w:tcPr>
            <w:tcW w:w="1701" w:type="dxa"/>
            <w:vAlign w:val="center"/>
          </w:tcPr>
          <w:p w14:paraId="13BD60D6" w14:textId="77777777" w:rsidR="00454A29" w:rsidRDefault="00454A29">
            <w:pPr>
              <w:pStyle w:val="ConsPlusNormal"/>
              <w:jc w:val="center"/>
            </w:pPr>
            <w:r>
              <w:t>-</w:t>
            </w:r>
          </w:p>
        </w:tc>
        <w:tc>
          <w:tcPr>
            <w:tcW w:w="1814" w:type="dxa"/>
            <w:vAlign w:val="center"/>
          </w:tcPr>
          <w:p w14:paraId="6338B5DA" w14:textId="77777777" w:rsidR="00454A29" w:rsidRDefault="00454A29">
            <w:pPr>
              <w:pStyle w:val="ConsPlusNormal"/>
              <w:jc w:val="center"/>
            </w:pPr>
            <w:r>
              <w:t>-</w:t>
            </w:r>
          </w:p>
        </w:tc>
      </w:tr>
      <w:tr w:rsidR="00454A29" w14:paraId="13CB02EA" w14:textId="77777777">
        <w:tc>
          <w:tcPr>
            <w:tcW w:w="567" w:type="dxa"/>
            <w:vMerge/>
          </w:tcPr>
          <w:p w14:paraId="0D207193" w14:textId="77777777" w:rsidR="00454A29" w:rsidRDefault="00454A29"/>
        </w:tc>
        <w:tc>
          <w:tcPr>
            <w:tcW w:w="3345" w:type="dxa"/>
            <w:vMerge/>
          </w:tcPr>
          <w:p w14:paraId="30B1C2B6" w14:textId="77777777" w:rsidR="00454A29" w:rsidRDefault="00454A29"/>
        </w:tc>
        <w:tc>
          <w:tcPr>
            <w:tcW w:w="1701" w:type="dxa"/>
            <w:vAlign w:val="center"/>
          </w:tcPr>
          <w:p w14:paraId="2E877D56" w14:textId="77777777" w:rsidR="00454A29" w:rsidRDefault="00454A29">
            <w:pPr>
              <w:pStyle w:val="ConsPlusNormal"/>
              <w:jc w:val="center"/>
            </w:pPr>
            <w:r>
              <w:t>2020</w:t>
            </w:r>
          </w:p>
        </w:tc>
        <w:tc>
          <w:tcPr>
            <w:tcW w:w="1417" w:type="dxa"/>
            <w:vMerge/>
          </w:tcPr>
          <w:p w14:paraId="1EE00F15" w14:textId="77777777" w:rsidR="00454A29" w:rsidRDefault="00454A29"/>
        </w:tc>
        <w:tc>
          <w:tcPr>
            <w:tcW w:w="2204" w:type="dxa"/>
            <w:vMerge/>
          </w:tcPr>
          <w:p w14:paraId="14AF4D02" w14:textId="77777777" w:rsidR="00454A29" w:rsidRDefault="00454A29"/>
        </w:tc>
        <w:tc>
          <w:tcPr>
            <w:tcW w:w="1417" w:type="dxa"/>
            <w:vMerge/>
          </w:tcPr>
          <w:p w14:paraId="2429F7EE" w14:textId="77777777" w:rsidR="00454A29" w:rsidRDefault="00454A29"/>
        </w:tc>
        <w:tc>
          <w:tcPr>
            <w:tcW w:w="2324" w:type="dxa"/>
            <w:vMerge/>
          </w:tcPr>
          <w:p w14:paraId="791933C2" w14:textId="77777777" w:rsidR="00454A29" w:rsidRDefault="00454A29"/>
        </w:tc>
        <w:tc>
          <w:tcPr>
            <w:tcW w:w="1701" w:type="dxa"/>
            <w:vAlign w:val="center"/>
          </w:tcPr>
          <w:p w14:paraId="56E3928F" w14:textId="77777777" w:rsidR="00454A29" w:rsidRDefault="00454A29">
            <w:pPr>
              <w:pStyle w:val="ConsPlusNormal"/>
            </w:pPr>
          </w:p>
        </w:tc>
        <w:tc>
          <w:tcPr>
            <w:tcW w:w="1814" w:type="dxa"/>
            <w:vAlign w:val="center"/>
          </w:tcPr>
          <w:p w14:paraId="737A662A" w14:textId="77777777" w:rsidR="00454A29" w:rsidRDefault="00454A29">
            <w:pPr>
              <w:pStyle w:val="ConsPlusNormal"/>
            </w:pPr>
          </w:p>
        </w:tc>
        <w:tc>
          <w:tcPr>
            <w:tcW w:w="1701" w:type="dxa"/>
            <w:vAlign w:val="center"/>
          </w:tcPr>
          <w:p w14:paraId="39AE60E1" w14:textId="77777777" w:rsidR="00454A29" w:rsidRDefault="00454A29">
            <w:pPr>
              <w:pStyle w:val="ConsPlusNormal"/>
            </w:pPr>
          </w:p>
        </w:tc>
        <w:tc>
          <w:tcPr>
            <w:tcW w:w="1701" w:type="dxa"/>
            <w:vAlign w:val="center"/>
          </w:tcPr>
          <w:p w14:paraId="71C768E2" w14:textId="77777777" w:rsidR="00454A29" w:rsidRDefault="00454A29">
            <w:pPr>
              <w:pStyle w:val="ConsPlusNormal"/>
            </w:pPr>
          </w:p>
        </w:tc>
        <w:tc>
          <w:tcPr>
            <w:tcW w:w="1814" w:type="dxa"/>
            <w:vAlign w:val="center"/>
          </w:tcPr>
          <w:p w14:paraId="0A0F9B71" w14:textId="77777777" w:rsidR="00454A29" w:rsidRDefault="00454A29">
            <w:pPr>
              <w:pStyle w:val="ConsPlusNormal"/>
            </w:pPr>
          </w:p>
        </w:tc>
      </w:tr>
      <w:tr w:rsidR="00454A29" w14:paraId="7D950E07" w14:textId="77777777">
        <w:tc>
          <w:tcPr>
            <w:tcW w:w="567" w:type="dxa"/>
            <w:vMerge/>
          </w:tcPr>
          <w:p w14:paraId="6E3B7BB5" w14:textId="77777777" w:rsidR="00454A29" w:rsidRDefault="00454A29"/>
        </w:tc>
        <w:tc>
          <w:tcPr>
            <w:tcW w:w="3345" w:type="dxa"/>
            <w:vMerge/>
          </w:tcPr>
          <w:p w14:paraId="7B05D180" w14:textId="77777777" w:rsidR="00454A29" w:rsidRDefault="00454A29"/>
        </w:tc>
        <w:tc>
          <w:tcPr>
            <w:tcW w:w="1701" w:type="dxa"/>
            <w:vAlign w:val="center"/>
          </w:tcPr>
          <w:p w14:paraId="29431A5B" w14:textId="77777777" w:rsidR="00454A29" w:rsidRDefault="00454A29">
            <w:pPr>
              <w:pStyle w:val="ConsPlusNormal"/>
              <w:jc w:val="center"/>
            </w:pPr>
            <w:r>
              <w:t>2021</w:t>
            </w:r>
          </w:p>
        </w:tc>
        <w:tc>
          <w:tcPr>
            <w:tcW w:w="1417" w:type="dxa"/>
            <w:vMerge/>
          </w:tcPr>
          <w:p w14:paraId="0E56DC78" w14:textId="77777777" w:rsidR="00454A29" w:rsidRDefault="00454A29"/>
        </w:tc>
        <w:tc>
          <w:tcPr>
            <w:tcW w:w="2204" w:type="dxa"/>
            <w:vMerge/>
          </w:tcPr>
          <w:p w14:paraId="35549F0B" w14:textId="77777777" w:rsidR="00454A29" w:rsidRDefault="00454A29"/>
        </w:tc>
        <w:tc>
          <w:tcPr>
            <w:tcW w:w="1417" w:type="dxa"/>
            <w:vMerge/>
          </w:tcPr>
          <w:p w14:paraId="0A662C5C" w14:textId="77777777" w:rsidR="00454A29" w:rsidRDefault="00454A29"/>
        </w:tc>
        <w:tc>
          <w:tcPr>
            <w:tcW w:w="2324" w:type="dxa"/>
            <w:vMerge/>
          </w:tcPr>
          <w:p w14:paraId="0CC08437" w14:textId="77777777" w:rsidR="00454A29" w:rsidRDefault="00454A29"/>
        </w:tc>
        <w:tc>
          <w:tcPr>
            <w:tcW w:w="1701" w:type="dxa"/>
            <w:vAlign w:val="center"/>
          </w:tcPr>
          <w:p w14:paraId="509CEDB3" w14:textId="77777777" w:rsidR="00454A29" w:rsidRDefault="00454A29">
            <w:pPr>
              <w:pStyle w:val="ConsPlusNormal"/>
              <w:jc w:val="center"/>
            </w:pPr>
            <w:r>
              <w:t>-</w:t>
            </w:r>
          </w:p>
        </w:tc>
        <w:tc>
          <w:tcPr>
            <w:tcW w:w="1814" w:type="dxa"/>
            <w:vAlign w:val="center"/>
          </w:tcPr>
          <w:p w14:paraId="2F57BCF4" w14:textId="77777777" w:rsidR="00454A29" w:rsidRDefault="00454A29">
            <w:pPr>
              <w:pStyle w:val="ConsPlusNormal"/>
            </w:pPr>
          </w:p>
        </w:tc>
        <w:tc>
          <w:tcPr>
            <w:tcW w:w="1701" w:type="dxa"/>
            <w:vAlign w:val="center"/>
          </w:tcPr>
          <w:p w14:paraId="53F896B6" w14:textId="77777777" w:rsidR="00454A29" w:rsidRDefault="00454A29">
            <w:pPr>
              <w:pStyle w:val="ConsPlusNormal"/>
            </w:pPr>
          </w:p>
        </w:tc>
        <w:tc>
          <w:tcPr>
            <w:tcW w:w="1701" w:type="dxa"/>
            <w:vAlign w:val="center"/>
          </w:tcPr>
          <w:p w14:paraId="02BA9532" w14:textId="77777777" w:rsidR="00454A29" w:rsidRDefault="00454A29">
            <w:pPr>
              <w:pStyle w:val="ConsPlusNormal"/>
            </w:pPr>
          </w:p>
        </w:tc>
        <w:tc>
          <w:tcPr>
            <w:tcW w:w="1814" w:type="dxa"/>
            <w:vAlign w:val="center"/>
          </w:tcPr>
          <w:p w14:paraId="4AFA40CE" w14:textId="77777777" w:rsidR="00454A29" w:rsidRDefault="00454A29">
            <w:pPr>
              <w:pStyle w:val="ConsPlusNormal"/>
            </w:pPr>
          </w:p>
        </w:tc>
      </w:tr>
      <w:tr w:rsidR="00454A29" w14:paraId="77A8C031" w14:textId="77777777">
        <w:tc>
          <w:tcPr>
            <w:tcW w:w="567" w:type="dxa"/>
            <w:vMerge/>
          </w:tcPr>
          <w:p w14:paraId="5A4828AA" w14:textId="77777777" w:rsidR="00454A29" w:rsidRDefault="00454A29"/>
        </w:tc>
        <w:tc>
          <w:tcPr>
            <w:tcW w:w="3345" w:type="dxa"/>
            <w:vMerge/>
          </w:tcPr>
          <w:p w14:paraId="1D4CE0FE" w14:textId="77777777" w:rsidR="00454A29" w:rsidRDefault="00454A29"/>
        </w:tc>
        <w:tc>
          <w:tcPr>
            <w:tcW w:w="1701" w:type="dxa"/>
            <w:vAlign w:val="center"/>
          </w:tcPr>
          <w:p w14:paraId="296044F2" w14:textId="77777777" w:rsidR="00454A29" w:rsidRDefault="00454A29">
            <w:pPr>
              <w:pStyle w:val="ConsPlusNormal"/>
              <w:jc w:val="center"/>
            </w:pPr>
            <w:r>
              <w:t>2022</w:t>
            </w:r>
          </w:p>
        </w:tc>
        <w:tc>
          <w:tcPr>
            <w:tcW w:w="1417" w:type="dxa"/>
            <w:vMerge/>
          </w:tcPr>
          <w:p w14:paraId="6D41B521" w14:textId="77777777" w:rsidR="00454A29" w:rsidRDefault="00454A29"/>
        </w:tc>
        <w:tc>
          <w:tcPr>
            <w:tcW w:w="2204" w:type="dxa"/>
            <w:vMerge/>
          </w:tcPr>
          <w:p w14:paraId="0CCE9C31" w14:textId="77777777" w:rsidR="00454A29" w:rsidRDefault="00454A29"/>
        </w:tc>
        <w:tc>
          <w:tcPr>
            <w:tcW w:w="1417" w:type="dxa"/>
            <w:vMerge/>
          </w:tcPr>
          <w:p w14:paraId="6D4AB82C" w14:textId="77777777" w:rsidR="00454A29" w:rsidRDefault="00454A29"/>
        </w:tc>
        <w:tc>
          <w:tcPr>
            <w:tcW w:w="2324" w:type="dxa"/>
            <w:vMerge/>
          </w:tcPr>
          <w:p w14:paraId="66886EE9" w14:textId="77777777" w:rsidR="00454A29" w:rsidRDefault="00454A29"/>
        </w:tc>
        <w:tc>
          <w:tcPr>
            <w:tcW w:w="1701" w:type="dxa"/>
            <w:vAlign w:val="center"/>
          </w:tcPr>
          <w:p w14:paraId="1B13D576" w14:textId="77777777" w:rsidR="00454A29" w:rsidRDefault="00454A29">
            <w:pPr>
              <w:pStyle w:val="ConsPlusNormal"/>
            </w:pPr>
          </w:p>
        </w:tc>
        <w:tc>
          <w:tcPr>
            <w:tcW w:w="1814" w:type="dxa"/>
            <w:vAlign w:val="center"/>
          </w:tcPr>
          <w:p w14:paraId="62F0CA29" w14:textId="77777777" w:rsidR="00454A29" w:rsidRDefault="00454A29">
            <w:pPr>
              <w:pStyle w:val="ConsPlusNormal"/>
            </w:pPr>
          </w:p>
        </w:tc>
        <w:tc>
          <w:tcPr>
            <w:tcW w:w="1701" w:type="dxa"/>
            <w:vAlign w:val="center"/>
          </w:tcPr>
          <w:p w14:paraId="4A886CDF" w14:textId="77777777" w:rsidR="00454A29" w:rsidRDefault="00454A29">
            <w:pPr>
              <w:pStyle w:val="ConsPlusNormal"/>
            </w:pPr>
          </w:p>
        </w:tc>
        <w:tc>
          <w:tcPr>
            <w:tcW w:w="1701" w:type="dxa"/>
            <w:vAlign w:val="center"/>
          </w:tcPr>
          <w:p w14:paraId="6EC58904" w14:textId="77777777" w:rsidR="00454A29" w:rsidRDefault="00454A29">
            <w:pPr>
              <w:pStyle w:val="ConsPlusNormal"/>
            </w:pPr>
          </w:p>
        </w:tc>
        <w:tc>
          <w:tcPr>
            <w:tcW w:w="1814" w:type="dxa"/>
            <w:vAlign w:val="center"/>
          </w:tcPr>
          <w:p w14:paraId="2B264EC6" w14:textId="77777777" w:rsidR="00454A29" w:rsidRDefault="00454A29">
            <w:pPr>
              <w:pStyle w:val="ConsPlusNormal"/>
            </w:pPr>
          </w:p>
        </w:tc>
      </w:tr>
      <w:tr w:rsidR="00454A29" w14:paraId="4A2E802F" w14:textId="77777777">
        <w:tc>
          <w:tcPr>
            <w:tcW w:w="567" w:type="dxa"/>
            <w:vMerge/>
          </w:tcPr>
          <w:p w14:paraId="1FE215D5" w14:textId="77777777" w:rsidR="00454A29" w:rsidRDefault="00454A29"/>
        </w:tc>
        <w:tc>
          <w:tcPr>
            <w:tcW w:w="3345" w:type="dxa"/>
            <w:vMerge/>
          </w:tcPr>
          <w:p w14:paraId="3F6C53F0" w14:textId="77777777" w:rsidR="00454A29" w:rsidRDefault="00454A29"/>
        </w:tc>
        <w:tc>
          <w:tcPr>
            <w:tcW w:w="1701" w:type="dxa"/>
            <w:vAlign w:val="center"/>
          </w:tcPr>
          <w:p w14:paraId="39DCE392" w14:textId="77777777" w:rsidR="00454A29" w:rsidRDefault="00454A29">
            <w:pPr>
              <w:pStyle w:val="ConsPlusNormal"/>
              <w:jc w:val="center"/>
            </w:pPr>
            <w:r>
              <w:t>2023</w:t>
            </w:r>
          </w:p>
        </w:tc>
        <w:tc>
          <w:tcPr>
            <w:tcW w:w="1417" w:type="dxa"/>
            <w:vMerge/>
          </w:tcPr>
          <w:p w14:paraId="6A133985" w14:textId="77777777" w:rsidR="00454A29" w:rsidRDefault="00454A29"/>
        </w:tc>
        <w:tc>
          <w:tcPr>
            <w:tcW w:w="2204" w:type="dxa"/>
            <w:vMerge/>
          </w:tcPr>
          <w:p w14:paraId="7E928937" w14:textId="77777777" w:rsidR="00454A29" w:rsidRDefault="00454A29"/>
        </w:tc>
        <w:tc>
          <w:tcPr>
            <w:tcW w:w="1417" w:type="dxa"/>
            <w:vMerge/>
          </w:tcPr>
          <w:p w14:paraId="56A70461" w14:textId="77777777" w:rsidR="00454A29" w:rsidRDefault="00454A29"/>
        </w:tc>
        <w:tc>
          <w:tcPr>
            <w:tcW w:w="2324" w:type="dxa"/>
            <w:vMerge/>
          </w:tcPr>
          <w:p w14:paraId="605FF1C0" w14:textId="77777777" w:rsidR="00454A29" w:rsidRDefault="00454A29"/>
        </w:tc>
        <w:tc>
          <w:tcPr>
            <w:tcW w:w="1701" w:type="dxa"/>
            <w:vAlign w:val="center"/>
          </w:tcPr>
          <w:p w14:paraId="5BCA3DE5" w14:textId="77777777" w:rsidR="00454A29" w:rsidRDefault="00454A29">
            <w:pPr>
              <w:pStyle w:val="ConsPlusNormal"/>
              <w:jc w:val="center"/>
            </w:pPr>
            <w:r>
              <w:t>-</w:t>
            </w:r>
          </w:p>
        </w:tc>
        <w:tc>
          <w:tcPr>
            <w:tcW w:w="1814" w:type="dxa"/>
            <w:vAlign w:val="center"/>
          </w:tcPr>
          <w:p w14:paraId="78B570A6" w14:textId="77777777" w:rsidR="00454A29" w:rsidRDefault="00454A29">
            <w:pPr>
              <w:pStyle w:val="ConsPlusNormal"/>
            </w:pPr>
          </w:p>
        </w:tc>
        <w:tc>
          <w:tcPr>
            <w:tcW w:w="1701" w:type="dxa"/>
            <w:vAlign w:val="center"/>
          </w:tcPr>
          <w:p w14:paraId="63AF972C" w14:textId="77777777" w:rsidR="00454A29" w:rsidRDefault="00454A29">
            <w:pPr>
              <w:pStyle w:val="ConsPlusNormal"/>
            </w:pPr>
          </w:p>
        </w:tc>
        <w:tc>
          <w:tcPr>
            <w:tcW w:w="1701" w:type="dxa"/>
            <w:vAlign w:val="center"/>
          </w:tcPr>
          <w:p w14:paraId="62477163" w14:textId="77777777" w:rsidR="00454A29" w:rsidRDefault="00454A29">
            <w:pPr>
              <w:pStyle w:val="ConsPlusNormal"/>
            </w:pPr>
          </w:p>
        </w:tc>
        <w:tc>
          <w:tcPr>
            <w:tcW w:w="1814" w:type="dxa"/>
            <w:vAlign w:val="center"/>
          </w:tcPr>
          <w:p w14:paraId="69D5CD36" w14:textId="77777777" w:rsidR="00454A29" w:rsidRDefault="00454A29">
            <w:pPr>
              <w:pStyle w:val="ConsPlusNormal"/>
            </w:pPr>
          </w:p>
        </w:tc>
      </w:tr>
      <w:tr w:rsidR="00454A29" w14:paraId="4A26E492" w14:textId="77777777">
        <w:tc>
          <w:tcPr>
            <w:tcW w:w="567" w:type="dxa"/>
            <w:vMerge/>
          </w:tcPr>
          <w:p w14:paraId="74F876AB" w14:textId="77777777" w:rsidR="00454A29" w:rsidRDefault="00454A29"/>
        </w:tc>
        <w:tc>
          <w:tcPr>
            <w:tcW w:w="3345" w:type="dxa"/>
            <w:vMerge/>
          </w:tcPr>
          <w:p w14:paraId="7AED7807" w14:textId="77777777" w:rsidR="00454A29" w:rsidRDefault="00454A29"/>
        </w:tc>
        <w:tc>
          <w:tcPr>
            <w:tcW w:w="1701" w:type="dxa"/>
            <w:vAlign w:val="center"/>
          </w:tcPr>
          <w:p w14:paraId="032292C4" w14:textId="77777777" w:rsidR="00454A29" w:rsidRDefault="00454A29">
            <w:pPr>
              <w:pStyle w:val="ConsPlusNormal"/>
              <w:jc w:val="center"/>
            </w:pPr>
            <w:r>
              <w:t>2024</w:t>
            </w:r>
          </w:p>
        </w:tc>
        <w:tc>
          <w:tcPr>
            <w:tcW w:w="1417" w:type="dxa"/>
            <w:vMerge/>
          </w:tcPr>
          <w:p w14:paraId="6065242C" w14:textId="77777777" w:rsidR="00454A29" w:rsidRDefault="00454A29"/>
        </w:tc>
        <w:tc>
          <w:tcPr>
            <w:tcW w:w="2204" w:type="dxa"/>
            <w:vMerge/>
          </w:tcPr>
          <w:p w14:paraId="232983F4" w14:textId="77777777" w:rsidR="00454A29" w:rsidRDefault="00454A29"/>
        </w:tc>
        <w:tc>
          <w:tcPr>
            <w:tcW w:w="1417" w:type="dxa"/>
            <w:vMerge/>
          </w:tcPr>
          <w:p w14:paraId="0AB7FB90" w14:textId="77777777" w:rsidR="00454A29" w:rsidRDefault="00454A29"/>
        </w:tc>
        <w:tc>
          <w:tcPr>
            <w:tcW w:w="2324" w:type="dxa"/>
            <w:vMerge/>
          </w:tcPr>
          <w:p w14:paraId="4F3A8792" w14:textId="77777777" w:rsidR="00454A29" w:rsidRDefault="00454A29"/>
        </w:tc>
        <w:tc>
          <w:tcPr>
            <w:tcW w:w="1701" w:type="dxa"/>
            <w:vAlign w:val="center"/>
          </w:tcPr>
          <w:p w14:paraId="136FD817" w14:textId="77777777" w:rsidR="00454A29" w:rsidRDefault="00454A29">
            <w:pPr>
              <w:pStyle w:val="ConsPlusNormal"/>
            </w:pPr>
          </w:p>
        </w:tc>
        <w:tc>
          <w:tcPr>
            <w:tcW w:w="1814" w:type="dxa"/>
            <w:vAlign w:val="center"/>
          </w:tcPr>
          <w:p w14:paraId="44C19AFC" w14:textId="77777777" w:rsidR="00454A29" w:rsidRDefault="00454A29">
            <w:pPr>
              <w:pStyle w:val="ConsPlusNormal"/>
            </w:pPr>
          </w:p>
        </w:tc>
        <w:tc>
          <w:tcPr>
            <w:tcW w:w="1701" w:type="dxa"/>
            <w:vAlign w:val="center"/>
          </w:tcPr>
          <w:p w14:paraId="52638AF7" w14:textId="77777777" w:rsidR="00454A29" w:rsidRDefault="00454A29">
            <w:pPr>
              <w:pStyle w:val="ConsPlusNormal"/>
            </w:pPr>
          </w:p>
        </w:tc>
        <w:tc>
          <w:tcPr>
            <w:tcW w:w="1701" w:type="dxa"/>
            <w:vAlign w:val="center"/>
          </w:tcPr>
          <w:p w14:paraId="4FD70244" w14:textId="77777777" w:rsidR="00454A29" w:rsidRDefault="00454A29">
            <w:pPr>
              <w:pStyle w:val="ConsPlusNormal"/>
            </w:pPr>
          </w:p>
        </w:tc>
        <w:tc>
          <w:tcPr>
            <w:tcW w:w="1814" w:type="dxa"/>
            <w:vAlign w:val="center"/>
          </w:tcPr>
          <w:p w14:paraId="067ED10F" w14:textId="77777777" w:rsidR="00454A29" w:rsidRDefault="00454A29">
            <w:pPr>
              <w:pStyle w:val="ConsPlusNormal"/>
            </w:pPr>
          </w:p>
        </w:tc>
      </w:tr>
      <w:tr w:rsidR="00454A29" w14:paraId="1039A207" w14:textId="77777777">
        <w:tc>
          <w:tcPr>
            <w:tcW w:w="567" w:type="dxa"/>
            <w:vMerge/>
          </w:tcPr>
          <w:p w14:paraId="511B90C0" w14:textId="77777777" w:rsidR="00454A29" w:rsidRDefault="00454A29"/>
        </w:tc>
        <w:tc>
          <w:tcPr>
            <w:tcW w:w="3345" w:type="dxa"/>
            <w:vMerge/>
          </w:tcPr>
          <w:p w14:paraId="298CFC2E" w14:textId="77777777" w:rsidR="00454A29" w:rsidRDefault="00454A29"/>
        </w:tc>
        <w:tc>
          <w:tcPr>
            <w:tcW w:w="1701" w:type="dxa"/>
            <w:vAlign w:val="center"/>
          </w:tcPr>
          <w:p w14:paraId="20B32FCE" w14:textId="77777777" w:rsidR="00454A29" w:rsidRDefault="00454A29">
            <w:pPr>
              <w:pStyle w:val="ConsPlusNormal"/>
              <w:jc w:val="center"/>
            </w:pPr>
            <w:r>
              <w:t>2025</w:t>
            </w:r>
          </w:p>
        </w:tc>
        <w:tc>
          <w:tcPr>
            <w:tcW w:w="1417" w:type="dxa"/>
            <w:vMerge/>
          </w:tcPr>
          <w:p w14:paraId="153DA311" w14:textId="77777777" w:rsidR="00454A29" w:rsidRDefault="00454A29"/>
        </w:tc>
        <w:tc>
          <w:tcPr>
            <w:tcW w:w="2204" w:type="dxa"/>
            <w:vMerge/>
          </w:tcPr>
          <w:p w14:paraId="78A5839C" w14:textId="77777777" w:rsidR="00454A29" w:rsidRDefault="00454A29"/>
        </w:tc>
        <w:tc>
          <w:tcPr>
            <w:tcW w:w="1417" w:type="dxa"/>
            <w:vMerge/>
          </w:tcPr>
          <w:p w14:paraId="00B6FFF8" w14:textId="77777777" w:rsidR="00454A29" w:rsidRDefault="00454A29"/>
        </w:tc>
        <w:tc>
          <w:tcPr>
            <w:tcW w:w="2324" w:type="dxa"/>
            <w:vMerge/>
          </w:tcPr>
          <w:p w14:paraId="07869029" w14:textId="77777777" w:rsidR="00454A29" w:rsidRDefault="00454A29"/>
        </w:tc>
        <w:tc>
          <w:tcPr>
            <w:tcW w:w="1701" w:type="dxa"/>
            <w:vAlign w:val="center"/>
          </w:tcPr>
          <w:p w14:paraId="505517D0" w14:textId="77777777" w:rsidR="00454A29" w:rsidRDefault="00454A29">
            <w:pPr>
              <w:pStyle w:val="ConsPlusNormal"/>
              <w:jc w:val="center"/>
            </w:pPr>
            <w:r>
              <w:t>294 259,62</w:t>
            </w:r>
          </w:p>
        </w:tc>
        <w:tc>
          <w:tcPr>
            <w:tcW w:w="1814" w:type="dxa"/>
            <w:vAlign w:val="center"/>
          </w:tcPr>
          <w:p w14:paraId="6B7F5E44" w14:textId="77777777" w:rsidR="00454A29" w:rsidRDefault="00454A29">
            <w:pPr>
              <w:pStyle w:val="ConsPlusNormal"/>
              <w:jc w:val="center"/>
            </w:pPr>
            <w:r>
              <w:t>3 722,39</w:t>
            </w:r>
          </w:p>
        </w:tc>
        <w:tc>
          <w:tcPr>
            <w:tcW w:w="1701" w:type="dxa"/>
            <w:vAlign w:val="center"/>
          </w:tcPr>
          <w:p w14:paraId="105034D1" w14:textId="77777777" w:rsidR="00454A29" w:rsidRDefault="00454A29">
            <w:pPr>
              <w:pStyle w:val="ConsPlusNormal"/>
              <w:jc w:val="center"/>
            </w:pPr>
            <w:r>
              <w:t>368 516,03</w:t>
            </w:r>
          </w:p>
        </w:tc>
        <w:tc>
          <w:tcPr>
            <w:tcW w:w="1701" w:type="dxa"/>
            <w:vAlign w:val="center"/>
          </w:tcPr>
          <w:p w14:paraId="7006EECB" w14:textId="77777777" w:rsidR="00454A29" w:rsidRDefault="00454A29">
            <w:pPr>
              <w:pStyle w:val="ConsPlusNormal"/>
            </w:pPr>
          </w:p>
        </w:tc>
        <w:tc>
          <w:tcPr>
            <w:tcW w:w="1814" w:type="dxa"/>
            <w:vAlign w:val="center"/>
          </w:tcPr>
          <w:p w14:paraId="5503DCC7" w14:textId="77777777" w:rsidR="00454A29" w:rsidRDefault="00454A29">
            <w:pPr>
              <w:pStyle w:val="ConsPlusNormal"/>
            </w:pPr>
          </w:p>
        </w:tc>
      </w:tr>
      <w:tr w:rsidR="00454A29" w14:paraId="4E3200ED" w14:textId="77777777">
        <w:tc>
          <w:tcPr>
            <w:tcW w:w="567" w:type="dxa"/>
            <w:vMerge/>
          </w:tcPr>
          <w:p w14:paraId="0E0990F5" w14:textId="77777777" w:rsidR="00454A29" w:rsidRDefault="00454A29"/>
        </w:tc>
        <w:tc>
          <w:tcPr>
            <w:tcW w:w="3345" w:type="dxa"/>
            <w:vMerge/>
          </w:tcPr>
          <w:p w14:paraId="200AB324" w14:textId="77777777" w:rsidR="00454A29" w:rsidRDefault="00454A29"/>
        </w:tc>
        <w:tc>
          <w:tcPr>
            <w:tcW w:w="1701" w:type="dxa"/>
            <w:vAlign w:val="center"/>
          </w:tcPr>
          <w:p w14:paraId="55871F07" w14:textId="77777777" w:rsidR="00454A29" w:rsidRDefault="00454A29">
            <w:pPr>
              <w:pStyle w:val="ConsPlusNormal"/>
              <w:jc w:val="center"/>
            </w:pPr>
            <w:r>
              <w:t>2026</w:t>
            </w:r>
          </w:p>
        </w:tc>
        <w:tc>
          <w:tcPr>
            <w:tcW w:w="1417" w:type="dxa"/>
            <w:vMerge/>
          </w:tcPr>
          <w:p w14:paraId="3BBE3D2A" w14:textId="77777777" w:rsidR="00454A29" w:rsidRDefault="00454A29"/>
        </w:tc>
        <w:tc>
          <w:tcPr>
            <w:tcW w:w="2204" w:type="dxa"/>
            <w:vMerge/>
          </w:tcPr>
          <w:p w14:paraId="0C3D4423" w14:textId="77777777" w:rsidR="00454A29" w:rsidRDefault="00454A29"/>
        </w:tc>
        <w:tc>
          <w:tcPr>
            <w:tcW w:w="1417" w:type="dxa"/>
            <w:vMerge/>
          </w:tcPr>
          <w:p w14:paraId="256B97F5" w14:textId="77777777" w:rsidR="00454A29" w:rsidRDefault="00454A29"/>
        </w:tc>
        <w:tc>
          <w:tcPr>
            <w:tcW w:w="2324" w:type="dxa"/>
            <w:vMerge/>
          </w:tcPr>
          <w:p w14:paraId="2BB1500C" w14:textId="77777777" w:rsidR="00454A29" w:rsidRDefault="00454A29"/>
        </w:tc>
        <w:tc>
          <w:tcPr>
            <w:tcW w:w="1701" w:type="dxa"/>
            <w:vAlign w:val="center"/>
          </w:tcPr>
          <w:p w14:paraId="4C589F1F" w14:textId="77777777" w:rsidR="00454A29" w:rsidRDefault="00454A29">
            <w:pPr>
              <w:pStyle w:val="ConsPlusNormal"/>
              <w:jc w:val="center"/>
            </w:pPr>
            <w:r>
              <w:t>-</w:t>
            </w:r>
          </w:p>
        </w:tc>
        <w:tc>
          <w:tcPr>
            <w:tcW w:w="1814" w:type="dxa"/>
            <w:vAlign w:val="center"/>
          </w:tcPr>
          <w:p w14:paraId="7EDD3C07" w14:textId="77777777" w:rsidR="00454A29" w:rsidRDefault="00454A29">
            <w:pPr>
              <w:pStyle w:val="ConsPlusNormal"/>
            </w:pPr>
          </w:p>
        </w:tc>
        <w:tc>
          <w:tcPr>
            <w:tcW w:w="1701" w:type="dxa"/>
            <w:vAlign w:val="center"/>
          </w:tcPr>
          <w:p w14:paraId="0854DB99" w14:textId="77777777" w:rsidR="00454A29" w:rsidRDefault="00454A29">
            <w:pPr>
              <w:pStyle w:val="ConsPlusNormal"/>
            </w:pPr>
          </w:p>
        </w:tc>
        <w:tc>
          <w:tcPr>
            <w:tcW w:w="1701" w:type="dxa"/>
            <w:vAlign w:val="center"/>
          </w:tcPr>
          <w:p w14:paraId="3A792438" w14:textId="77777777" w:rsidR="00454A29" w:rsidRDefault="00454A29">
            <w:pPr>
              <w:pStyle w:val="ConsPlusNormal"/>
            </w:pPr>
          </w:p>
        </w:tc>
        <w:tc>
          <w:tcPr>
            <w:tcW w:w="1814" w:type="dxa"/>
            <w:vAlign w:val="center"/>
          </w:tcPr>
          <w:p w14:paraId="546F558E" w14:textId="77777777" w:rsidR="00454A29" w:rsidRDefault="00454A29">
            <w:pPr>
              <w:pStyle w:val="ConsPlusNormal"/>
            </w:pPr>
          </w:p>
        </w:tc>
      </w:tr>
      <w:tr w:rsidR="00454A29" w14:paraId="76391F86" w14:textId="77777777">
        <w:tc>
          <w:tcPr>
            <w:tcW w:w="567" w:type="dxa"/>
            <w:vMerge w:val="restart"/>
            <w:vAlign w:val="center"/>
          </w:tcPr>
          <w:p w14:paraId="6F5A63DA" w14:textId="77777777" w:rsidR="00454A29" w:rsidRDefault="00454A29">
            <w:pPr>
              <w:pStyle w:val="ConsPlusNormal"/>
              <w:jc w:val="center"/>
            </w:pPr>
            <w:r>
              <w:t>115</w:t>
            </w:r>
          </w:p>
        </w:tc>
        <w:tc>
          <w:tcPr>
            <w:tcW w:w="3345" w:type="dxa"/>
            <w:vMerge w:val="restart"/>
            <w:vAlign w:val="center"/>
          </w:tcPr>
          <w:p w14:paraId="79B5A7A4" w14:textId="77777777" w:rsidR="00454A29" w:rsidRDefault="00454A29">
            <w:pPr>
              <w:pStyle w:val="ConsPlusNormal"/>
              <w:jc w:val="center"/>
            </w:pPr>
            <w:r>
              <w:t>Школа на 100 учащихся в г. Среднеколымск (Гимназия)</w:t>
            </w:r>
          </w:p>
        </w:tc>
        <w:tc>
          <w:tcPr>
            <w:tcW w:w="1701" w:type="dxa"/>
            <w:vAlign w:val="center"/>
          </w:tcPr>
          <w:p w14:paraId="48ED2BC0" w14:textId="77777777" w:rsidR="00454A29" w:rsidRDefault="00454A29">
            <w:pPr>
              <w:pStyle w:val="ConsPlusNormal"/>
              <w:jc w:val="center"/>
            </w:pPr>
            <w:r>
              <w:t>2020 - 2026 годы - всего</w:t>
            </w:r>
          </w:p>
        </w:tc>
        <w:tc>
          <w:tcPr>
            <w:tcW w:w="1417" w:type="dxa"/>
            <w:vMerge w:val="restart"/>
            <w:vAlign w:val="center"/>
          </w:tcPr>
          <w:p w14:paraId="4DB43140" w14:textId="77777777" w:rsidR="00454A29" w:rsidRDefault="00454A29">
            <w:pPr>
              <w:pStyle w:val="ConsPlusNormal"/>
              <w:jc w:val="center"/>
            </w:pPr>
            <w:r>
              <w:t>367 824,51</w:t>
            </w:r>
          </w:p>
        </w:tc>
        <w:tc>
          <w:tcPr>
            <w:tcW w:w="2204" w:type="dxa"/>
            <w:vMerge w:val="restart"/>
            <w:vAlign w:val="center"/>
          </w:tcPr>
          <w:p w14:paraId="14D24F8D" w14:textId="77777777" w:rsidR="00454A29" w:rsidRDefault="00454A29">
            <w:pPr>
              <w:pStyle w:val="ConsPlusNormal"/>
            </w:pPr>
          </w:p>
        </w:tc>
        <w:tc>
          <w:tcPr>
            <w:tcW w:w="1417" w:type="dxa"/>
            <w:vMerge w:val="restart"/>
            <w:vAlign w:val="center"/>
          </w:tcPr>
          <w:p w14:paraId="63428BE4" w14:textId="77777777" w:rsidR="00454A29" w:rsidRDefault="00454A29">
            <w:pPr>
              <w:pStyle w:val="ConsPlusNormal"/>
              <w:jc w:val="center"/>
            </w:pPr>
            <w:r>
              <w:t>100</w:t>
            </w:r>
          </w:p>
        </w:tc>
        <w:tc>
          <w:tcPr>
            <w:tcW w:w="2324" w:type="dxa"/>
            <w:vMerge w:val="restart"/>
            <w:vAlign w:val="center"/>
          </w:tcPr>
          <w:p w14:paraId="0AFDA87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034694B" w14:textId="77777777" w:rsidR="00454A29" w:rsidRDefault="00454A29">
            <w:pPr>
              <w:pStyle w:val="ConsPlusNormal"/>
              <w:jc w:val="center"/>
            </w:pPr>
            <w:r>
              <w:t>367 824,51</w:t>
            </w:r>
          </w:p>
        </w:tc>
        <w:tc>
          <w:tcPr>
            <w:tcW w:w="1814" w:type="dxa"/>
            <w:vAlign w:val="center"/>
          </w:tcPr>
          <w:p w14:paraId="35B84574" w14:textId="77777777" w:rsidR="00454A29" w:rsidRDefault="00454A29">
            <w:pPr>
              <w:pStyle w:val="ConsPlusNormal"/>
              <w:jc w:val="center"/>
            </w:pPr>
            <w:r>
              <w:t>4 531,59</w:t>
            </w:r>
          </w:p>
        </w:tc>
        <w:tc>
          <w:tcPr>
            <w:tcW w:w="1701" w:type="dxa"/>
            <w:vAlign w:val="center"/>
          </w:tcPr>
          <w:p w14:paraId="794D397F" w14:textId="77777777" w:rsidR="00454A29" w:rsidRDefault="00454A29">
            <w:pPr>
              <w:pStyle w:val="ConsPlusNormal"/>
              <w:jc w:val="center"/>
            </w:pPr>
            <w:r>
              <w:t>448 628,20</w:t>
            </w:r>
          </w:p>
        </w:tc>
        <w:tc>
          <w:tcPr>
            <w:tcW w:w="1701" w:type="dxa"/>
            <w:vAlign w:val="center"/>
          </w:tcPr>
          <w:p w14:paraId="22A3AC7B" w14:textId="77777777" w:rsidR="00454A29" w:rsidRDefault="00454A29">
            <w:pPr>
              <w:pStyle w:val="ConsPlusNormal"/>
              <w:jc w:val="center"/>
            </w:pPr>
            <w:r>
              <w:t>-</w:t>
            </w:r>
          </w:p>
        </w:tc>
        <w:tc>
          <w:tcPr>
            <w:tcW w:w="1814" w:type="dxa"/>
            <w:vAlign w:val="center"/>
          </w:tcPr>
          <w:p w14:paraId="7C1CC186" w14:textId="77777777" w:rsidR="00454A29" w:rsidRDefault="00454A29">
            <w:pPr>
              <w:pStyle w:val="ConsPlusNormal"/>
              <w:jc w:val="center"/>
            </w:pPr>
            <w:r>
              <w:t>-</w:t>
            </w:r>
          </w:p>
        </w:tc>
      </w:tr>
      <w:tr w:rsidR="00454A29" w14:paraId="3070F2D3" w14:textId="77777777">
        <w:tc>
          <w:tcPr>
            <w:tcW w:w="567" w:type="dxa"/>
            <w:vMerge/>
          </w:tcPr>
          <w:p w14:paraId="087B3C9D" w14:textId="77777777" w:rsidR="00454A29" w:rsidRDefault="00454A29"/>
        </w:tc>
        <w:tc>
          <w:tcPr>
            <w:tcW w:w="3345" w:type="dxa"/>
            <w:vMerge/>
          </w:tcPr>
          <w:p w14:paraId="7AD0F9EB" w14:textId="77777777" w:rsidR="00454A29" w:rsidRDefault="00454A29"/>
        </w:tc>
        <w:tc>
          <w:tcPr>
            <w:tcW w:w="1701" w:type="dxa"/>
            <w:vAlign w:val="center"/>
          </w:tcPr>
          <w:p w14:paraId="3E10B6FD" w14:textId="77777777" w:rsidR="00454A29" w:rsidRDefault="00454A29">
            <w:pPr>
              <w:pStyle w:val="ConsPlusNormal"/>
              <w:jc w:val="center"/>
            </w:pPr>
            <w:r>
              <w:t>2020</w:t>
            </w:r>
          </w:p>
        </w:tc>
        <w:tc>
          <w:tcPr>
            <w:tcW w:w="1417" w:type="dxa"/>
            <w:vMerge/>
          </w:tcPr>
          <w:p w14:paraId="2248E340" w14:textId="77777777" w:rsidR="00454A29" w:rsidRDefault="00454A29"/>
        </w:tc>
        <w:tc>
          <w:tcPr>
            <w:tcW w:w="2204" w:type="dxa"/>
            <w:vMerge/>
          </w:tcPr>
          <w:p w14:paraId="6142D1D5" w14:textId="77777777" w:rsidR="00454A29" w:rsidRDefault="00454A29"/>
        </w:tc>
        <w:tc>
          <w:tcPr>
            <w:tcW w:w="1417" w:type="dxa"/>
            <w:vMerge/>
          </w:tcPr>
          <w:p w14:paraId="5B78D270" w14:textId="77777777" w:rsidR="00454A29" w:rsidRDefault="00454A29"/>
        </w:tc>
        <w:tc>
          <w:tcPr>
            <w:tcW w:w="2324" w:type="dxa"/>
            <w:vMerge/>
          </w:tcPr>
          <w:p w14:paraId="452DE868" w14:textId="77777777" w:rsidR="00454A29" w:rsidRDefault="00454A29"/>
        </w:tc>
        <w:tc>
          <w:tcPr>
            <w:tcW w:w="1701" w:type="dxa"/>
            <w:vAlign w:val="center"/>
          </w:tcPr>
          <w:p w14:paraId="0D39AFD5" w14:textId="77777777" w:rsidR="00454A29" w:rsidRDefault="00454A29">
            <w:pPr>
              <w:pStyle w:val="ConsPlusNormal"/>
            </w:pPr>
          </w:p>
        </w:tc>
        <w:tc>
          <w:tcPr>
            <w:tcW w:w="1814" w:type="dxa"/>
            <w:vAlign w:val="center"/>
          </w:tcPr>
          <w:p w14:paraId="791B2DE1" w14:textId="77777777" w:rsidR="00454A29" w:rsidRDefault="00454A29">
            <w:pPr>
              <w:pStyle w:val="ConsPlusNormal"/>
            </w:pPr>
          </w:p>
        </w:tc>
        <w:tc>
          <w:tcPr>
            <w:tcW w:w="1701" w:type="dxa"/>
            <w:vAlign w:val="center"/>
          </w:tcPr>
          <w:p w14:paraId="22BC1716" w14:textId="77777777" w:rsidR="00454A29" w:rsidRDefault="00454A29">
            <w:pPr>
              <w:pStyle w:val="ConsPlusNormal"/>
            </w:pPr>
          </w:p>
        </w:tc>
        <w:tc>
          <w:tcPr>
            <w:tcW w:w="1701" w:type="dxa"/>
            <w:vAlign w:val="center"/>
          </w:tcPr>
          <w:p w14:paraId="24CE74B2" w14:textId="77777777" w:rsidR="00454A29" w:rsidRDefault="00454A29">
            <w:pPr>
              <w:pStyle w:val="ConsPlusNormal"/>
            </w:pPr>
          </w:p>
        </w:tc>
        <w:tc>
          <w:tcPr>
            <w:tcW w:w="1814" w:type="dxa"/>
            <w:vAlign w:val="center"/>
          </w:tcPr>
          <w:p w14:paraId="1F5F9201" w14:textId="77777777" w:rsidR="00454A29" w:rsidRDefault="00454A29">
            <w:pPr>
              <w:pStyle w:val="ConsPlusNormal"/>
            </w:pPr>
          </w:p>
        </w:tc>
      </w:tr>
      <w:tr w:rsidR="00454A29" w14:paraId="1CA6C30B" w14:textId="77777777">
        <w:tc>
          <w:tcPr>
            <w:tcW w:w="567" w:type="dxa"/>
            <w:vMerge/>
          </w:tcPr>
          <w:p w14:paraId="782066E9" w14:textId="77777777" w:rsidR="00454A29" w:rsidRDefault="00454A29"/>
        </w:tc>
        <w:tc>
          <w:tcPr>
            <w:tcW w:w="3345" w:type="dxa"/>
            <w:vMerge/>
          </w:tcPr>
          <w:p w14:paraId="0E18E5D2" w14:textId="77777777" w:rsidR="00454A29" w:rsidRDefault="00454A29"/>
        </w:tc>
        <w:tc>
          <w:tcPr>
            <w:tcW w:w="1701" w:type="dxa"/>
            <w:vAlign w:val="center"/>
          </w:tcPr>
          <w:p w14:paraId="6C354F6D" w14:textId="77777777" w:rsidR="00454A29" w:rsidRDefault="00454A29">
            <w:pPr>
              <w:pStyle w:val="ConsPlusNormal"/>
              <w:jc w:val="center"/>
            </w:pPr>
            <w:r>
              <w:t>2021</w:t>
            </w:r>
          </w:p>
        </w:tc>
        <w:tc>
          <w:tcPr>
            <w:tcW w:w="1417" w:type="dxa"/>
            <w:vMerge/>
          </w:tcPr>
          <w:p w14:paraId="5434F3E5" w14:textId="77777777" w:rsidR="00454A29" w:rsidRDefault="00454A29"/>
        </w:tc>
        <w:tc>
          <w:tcPr>
            <w:tcW w:w="2204" w:type="dxa"/>
            <w:vMerge/>
          </w:tcPr>
          <w:p w14:paraId="0E7D763B" w14:textId="77777777" w:rsidR="00454A29" w:rsidRDefault="00454A29"/>
        </w:tc>
        <w:tc>
          <w:tcPr>
            <w:tcW w:w="1417" w:type="dxa"/>
            <w:vMerge/>
          </w:tcPr>
          <w:p w14:paraId="7E2D6755" w14:textId="77777777" w:rsidR="00454A29" w:rsidRDefault="00454A29"/>
        </w:tc>
        <w:tc>
          <w:tcPr>
            <w:tcW w:w="2324" w:type="dxa"/>
            <w:vMerge/>
          </w:tcPr>
          <w:p w14:paraId="2EE22709" w14:textId="77777777" w:rsidR="00454A29" w:rsidRDefault="00454A29"/>
        </w:tc>
        <w:tc>
          <w:tcPr>
            <w:tcW w:w="1701" w:type="dxa"/>
            <w:vAlign w:val="center"/>
          </w:tcPr>
          <w:p w14:paraId="35004130" w14:textId="77777777" w:rsidR="00454A29" w:rsidRDefault="00454A29">
            <w:pPr>
              <w:pStyle w:val="ConsPlusNormal"/>
            </w:pPr>
          </w:p>
        </w:tc>
        <w:tc>
          <w:tcPr>
            <w:tcW w:w="1814" w:type="dxa"/>
            <w:vAlign w:val="center"/>
          </w:tcPr>
          <w:p w14:paraId="65D19BC3" w14:textId="77777777" w:rsidR="00454A29" w:rsidRDefault="00454A29">
            <w:pPr>
              <w:pStyle w:val="ConsPlusNormal"/>
            </w:pPr>
          </w:p>
        </w:tc>
        <w:tc>
          <w:tcPr>
            <w:tcW w:w="1701" w:type="dxa"/>
            <w:vAlign w:val="center"/>
          </w:tcPr>
          <w:p w14:paraId="35517310" w14:textId="77777777" w:rsidR="00454A29" w:rsidRDefault="00454A29">
            <w:pPr>
              <w:pStyle w:val="ConsPlusNormal"/>
            </w:pPr>
          </w:p>
        </w:tc>
        <w:tc>
          <w:tcPr>
            <w:tcW w:w="1701" w:type="dxa"/>
            <w:vAlign w:val="center"/>
          </w:tcPr>
          <w:p w14:paraId="10B803E2" w14:textId="77777777" w:rsidR="00454A29" w:rsidRDefault="00454A29">
            <w:pPr>
              <w:pStyle w:val="ConsPlusNormal"/>
            </w:pPr>
          </w:p>
        </w:tc>
        <w:tc>
          <w:tcPr>
            <w:tcW w:w="1814" w:type="dxa"/>
            <w:vAlign w:val="center"/>
          </w:tcPr>
          <w:p w14:paraId="7E79AB1F" w14:textId="77777777" w:rsidR="00454A29" w:rsidRDefault="00454A29">
            <w:pPr>
              <w:pStyle w:val="ConsPlusNormal"/>
            </w:pPr>
          </w:p>
        </w:tc>
      </w:tr>
      <w:tr w:rsidR="00454A29" w14:paraId="3249A5CB" w14:textId="77777777">
        <w:tc>
          <w:tcPr>
            <w:tcW w:w="567" w:type="dxa"/>
            <w:vMerge/>
          </w:tcPr>
          <w:p w14:paraId="44953D5C" w14:textId="77777777" w:rsidR="00454A29" w:rsidRDefault="00454A29"/>
        </w:tc>
        <w:tc>
          <w:tcPr>
            <w:tcW w:w="3345" w:type="dxa"/>
            <w:vMerge/>
          </w:tcPr>
          <w:p w14:paraId="2C5FCD63" w14:textId="77777777" w:rsidR="00454A29" w:rsidRDefault="00454A29"/>
        </w:tc>
        <w:tc>
          <w:tcPr>
            <w:tcW w:w="1701" w:type="dxa"/>
            <w:vAlign w:val="center"/>
          </w:tcPr>
          <w:p w14:paraId="72571612" w14:textId="77777777" w:rsidR="00454A29" w:rsidRDefault="00454A29">
            <w:pPr>
              <w:pStyle w:val="ConsPlusNormal"/>
              <w:jc w:val="center"/>
            </w:pPr>
            <w:r>
              <w:t>2022</w:t>
            </w:r>
          </w:p>
        </w:tc>
        <w:tc>
          <w:tcPr>
            <w:tcW w:w="1417" w:type="dxa"/>
            <w:vMerge/>
          </w:tcPr>
          <w:p w14:paraId="11F698D8" w14:textId="77777777" w:rsidR="00454A29" w:rsidRDefault="00454A29"/>
        </w:tc>
        <w:tc>
          <w:tcPr>
            <w:tcW w:w="2204" w:type="dxa"/>
            <w:vMerge/>
          </w:tcPr>
          <w:p w14:paraId="3C5243F3" w14:textId="77777777" w:rsidR="00454A29" w:rsidRDefault="00454A29"/>
        </w:tc>
        <w:tc>
          <w:tcPr>
            <w:tcW w:w="1417" w:type="dxa"/>
            <w:vMerge/>
          </w:tcPr>
          <w:p w14:paraId="3B05A4EF" w14:textId="77777777" w:rsidR="00454A29" w:rsidRDefault="00454A29"/>
        </w:tc>
        <w:tc>
          <w:tcPr>
            <w:tcW w:w="2324" w:type="dxa"/>
            <w:vMerge/>
          </w:tcPr>
          <w:p w14:paraId="62952EA0" w14:textId="77777777" w:rsidR="00454A29" w:rsidRDefault="00454A29"/>
        </w:tc>
        <w:tc>
          <w:tcPr>
            <w:tcW w:w="1701" w:type="dxa"/>
            <w:vAlign w:val="center"/>
          </w:tcPr>
          <w:p w14:paraId="102AAD1C" w14:textId="77777777" w:rsidR="00454A29" w:rsidRDefault="00454A29">
            <w:pPr>
              <w:pStyle w:val="ConsPlusNormal"/>
            </w:pPr>
          </w:p>
        </w:tc>
        <w:tc>
          <w:tcPr>
            <w:tcW w:w="1814" w:type="dxa"/>
            <w:vAlign w:val="center"/>
          </w:tcPr>
          <w:p w14:paraId="503FBDBF" w14:textId="77777777" w:rsidR="00454A29" w:rsidRDefault="00454A29">
            <w:pPr>
              <w:pStyle w:val="ConsPlusNormal"/>
            </w:pPr>
          </w:p>
        </w:tc>
        <w:tc>
          <w:tcPr>
            <w:tcW w:w="1701" w:type="dxa"/>
            <w:vAlign w:val="center"/>
          </w:tcPr>
          <w:p w14:paraId="385F3987" w14:textId="77777777" w:rsidR="00454A29" w:rsidRDefault="00454A29">
            <w:pPr>
              <w:pStyle w:val="ConsPlusNormal"/>
            </w:pPr>
          </w:p>
        </w:tc>
        <w:tc>
          <w:tcPr>
            <w:tcW w:w="1701" w:type="dxa"/>
            <w:vAlign w:val="center"/>
          </w:tcPr>
          <w:p w14:paraId="382ED486" w14:textId="77777777" w:rsidR="00454A29" w:rsidRDefault="00454A29">
            <w:pPr>
              <w:pStyle w:val="ConsPlusNormal"/>
            </w:pPr>
          </w:p>
        </w:tc>
        <w:tc>
          <w:tcPr>
            <w:tcW w:w="1814" w:type="dxa"/>
            <w:vAlign w:val="center"/>
          </w:tcPr>
          <w:p w14:paraId="779BE268" w14:textId="77777777" w:rsidR="00454A29" w:rsidRDefault="00454A29">
            <w:pPr>
              <w:pStyle w:val="ConsPlusNormal"/>
            </w:pPr>
          </w:p>
        </w:tc>
      </w:tr>
      <w:tr w:rsidR="00454A29" w14:paraId="192CED42" w14:textId="77777777">
        <w:tc>
          <w:tcPr>
            <w:tcW w:w="567" w:type="dxa"/>
            <w:vMerge/>
          </w:tcPr>
          <w:p w14:paraId="4E6A39E2" w14:textId="77777777" w:rsidR="00454A29" w:rsidRDefault="00454A29"/>
        </w:tc>
        <w:tc>
          <w:tcPr>
            <w:tcW w:w="3345" w:type="dxa"/>
            <w:vMerge/>
          </w:tcPr>
          <w:p w14:paraId="5C3B6479" w14:textId="77777777" w:rsidR="00454A29" w:rsidRDefault="00454A29"/>
        </w:tc>
        <w:tc>
          <w:tcPr>
            <w:tcW w:w="1701" w:type="dxa"/>
            <w:vAlign w:val="center"/>
          </w:tcPr>
          <w:p w14:paraId="6D8A59D6" w14:textId="77777777" w:rsidR="00454A29" w:rsidRDefault="00454A29">
            <w:pPr>
              <w:pStyle w:val="ConsPlusNormal"/>
              <w:jc w:val="center"/>
            </w:pPr>
            <w:r>
              <w:t>2023</w:t>
            </w:r>
          </w:p>
        </w:tc>
        <w:tc>
          <w:tcPr>
            <w:tcW w:w="1417" w:type="dxa"/>
            <w:vMerge/>
          </w:tcPr>
          <w:p w14:paraId="6FA54573" w14:textId="77777777" w:rsidR="00454A29" w:rsidRDefault="00454A29"/>
        </w:tc>
        <w:tc>
          <w:tcPr>
            <w:tcW w:w="2204" w:type="dxa"/>
            <w:vMerge/>
          </w:tcPr>
          <w:p w14:paraId="32663D65" w14:textId="77777777" w:rsidR="00454A29" w:rsidRDefault="00454A29"/>
        </w:tc>
        <w:tc>
          <w:tcPr>
            <w:tcW w:w="1417" w:type="dxa"/>
            <w:vMerge/>
          </w:tcPr>
          <w:p w14:paraId="174E25D5" w14:textId="77777777" w:rsidR="00454A29" w:rsidRDefault="00454A29"/>
        </w:tc>
        <w:tc>
          <w:tcPr>
            <w:tcW w:w="2324" w:type="dxa"/>
            <w:vMerge/>
          </w:tcPr>
          <w:p w14:paraId="2C0E2390" w14:textId="77777777" w:rsidR="00454A29" w:rsidRDefault="00454A29"/>
        </w:tc>
        <w:tc>
          <w:tcPr>
            <w:tcW w:w="1701" w:type="dxa"/>
            <w:vAlign w:val="center"/>
          </w:tcPr>
          <w:p w14:paraId="35771438" w14:textId="77777777" w:rsidR="00454A29" w:rsidRDefault="00454A29">
            <w:pPr>
              <w:pStyle w:val="ConsPlusNormal"/>
              <w:jc w:val="center"/>
            </w:pPr>
            <w:r>
              <w:t>-</w:t>
            </w:r>
          </w:p>
        </w:tc>
        <w:tc>
          <w:tcPr>
            <w:tcW w:w="1814" w:type="dxa"/>
            <w:vAlign w:val="center"/>
          </w:tcPr>
          <w:p w14:paraId="344F7812" w14:textId="77777777" w:rsidR="00454A29" w:rsidRDefault="00454A29">
            <w:pPr>
              <w:pStyle w:val="ConsPlusNormal"/>
            </w:pPr>
          </w:p>
        </w:tc>
        <w:tc>
          <w:tcPr>
            <w:tcW w:w="1701" w:type="dxa"/>
            <w:vAlign w:val="center"/>
          </w:tcPr>
          <w:p w14:paraId="67BE0834" w14:textId="77777777" w:rsidR="00454A29" w:rsidRDefault="00454A29">
            <w:pPr>
              <w:pStyle w:val="ConsPlusNormal"/>
            </w:pPr>
          </w:p>
        </w:tc>
        <w:tc>
          <w:tcPr>
            <w:tcW w:w="1701" w:type="dxa"/>
            <w:vAlign w:val="center"/>
          </w:tcPr>
          <w:p w14:paraId="004D9F8A" w14:textId="77777777" w:rsidR="00454A29" w:rsidRDefault="00454A29">
            <w:pPr>
              <w:pStyle w:val="ConsPlusNormal"/>
            </w:pPr>
          </w:p>
        </w:tc>
        <w:tc>
          <w:tcPr>
            <w:tcW w:w="1814" w:type="dxa"/>
            <w:vAlign w:val="center"/>
          </w:tcPr>
          <w:p w14:paraId="3CEE3325" w14:textId="77777777" w:rsidR="00454A29" w:rsidRDefault="00454A29">
            <w:pPr>
              <w:pStyle w:val="ConsPlusNormal"/>
            </w:pPr>
          </w:p>
        </w:tc>
      </w:tr>
      <w:tr w:rsidR="00454A29" w14:paraId="0C085130" w14:textId="77777777">
        <w:tc>
          <w:tcPr>
            <w:tcW w:w="567" w:type="dxa"/>
            <w:vMerge/>
          </w:tcPr>
          <w:p w14:paraId="6B96C488" w14:textId="77777777" w:rsidR="00454A29" w:rsidRDefault="00454A29"/>
        </w:tc>
        <w:tc>
          <w:tcPr>
            <w:tcW w:w="3345" w:type="dxa"/>
            <w:vMerge/>
          </w:tcPr>
          <w:p w14:paraId="11FE8128" w14:textId="77777777" w:rsidR="00454A29" w:rsidRDefault="00454A29"/>
        </w:tc>
        <w:tc>
          <w:tcPr>
            <w:tcW w:w="1701" w:type="dxa"/>
            <w:vAlign w:val="center"/>
          </w:tcPr>
          <w:p w14:paraId="6BAD96CC" w14:textId="77777777" w:rsidR="00454A29" w:rsidRDefault="00454A29">
            <w:pPr>
              <w:pStyle w:val="ConsPlusNormal"/>
              <w:jc w:val="center"/>
            </w:pPr>
            <w:r>
              <w:t>2024</w:t>
            </w:r>
          </w:p>
        </w:tc>
        <w:tc>
          <w:tcPr>
            <w:tcW w:w="1417" w:type="dxa"/>
            <w:vMerge/>
          </w:tcPr>
          <w:p w14:paraId="7D7F03F2" w14:textId="77777777" w:rsidR="00454A29" w:rsidRDefault="00454A29"/>
        </w:tc>
        <w:tc>
          <w:tcPr>
            <w:tcW w:w="2204" w:type="dxa"/>
            <w:vMerge/>
          </w:tcPr>
          <w:p w14:paraId="0CC7543A" w14:textId="77777777" w:rsidR="00454A29" w:rsidRDefault="00454A29"/>
        </w:tc>
        <w:tc>
          <w:tcPr>
            <w:tcW w:w="1417" w:type="dxa"/>
            <w:vMerge/>
          </w:tcPr>
          <w:p w14:paraId="55F6EB8B" w14:textId="77777777" w:rsidR="00454A29" w:rsidRDefault="00454A29"/>
        </w:tc>
        <w:tc>
          <w:tcPr>
            <w:tcW w:w="2324" w:type="dxa"/>
            <w:vMerge/>
          </w:tcPr>
          <w:p w14:paraId="7CB70F5B" w14:textId="77777777" w:rsidR="00454A29" w:rsidRDefault="00454A29"/>
        </w:tc>
        <w:tc>
          <w:tcPr>
            <w:tcW w:w="1701" w:type="dxa"/>
            <w:vAlign w:val="center"/>
          </w:tcPr>
          <w:p w14:paraId="15D50A6D" w14:textId="77777777" w:rsidR="00454A29" w:rsidRDefault="00454A29">
            <w:pPr>
              <w:pStyle w:val="ConsPlusNormal"/>
            </w:pPr>
          </w:p>
        </w:tc>
        <w:tc>
          <w:tcPr>
            <w:tcW w:w="1814" w:type="dxa"/>
            <w:vAlign w:val="center"/>
          </w:tcPr>
          <w:p w14:paraId="28FDAE86" w14:textId="77777777" w:rsidR="00454A29" w:rsidRDefault="00454A29">
            <w:pPr>
              <w:pStyle w:val="ConsPlusNormal"/>
            </w:pPr>
          </w:p>
        </w:tc>
        <w:tc>
          <w:tcPr>
            <w:tcW w:w="1701" w:type="dxa"/>
            <w:vAlign w:val="center"/>
          </w:tcPr>
          <w:p w14:paraId="271D03A1" w14:textId="77777777" w:rsidR="00454A29" w:rsidRDefault="00454A29">
            <w:pPr>
              <w:pStyle w:val="ConsPlusNormal"/>
            </w:pPr>
          </w:p>
        </w:tc>
        <w:tc>
          <w:tcPr>
            <w:tcW w:w="1701" w:type="dxa"/>
            <w:vAlign w:val="center"/>
          </w:tcPr>
          <w:p w14:paraId="1F20ECC4" w14:textId="77777777" w:rsidR="00454A29" w:rsidRDefault="00454A29">
            <w:pPr>
              <w:pStyle w:val="ConsPlusNormal"/>
            </w:pPr>
          </w:p>
        </w:tc>
        <w:tc>
          <w:tcPr>
            <w:tcW w:w="1814" w:type="dxa"/>
            <w:vAlign w:val="center"/>
          </w:tcPr>
          <w:p w14:paraId="4D27D44C" w14:textId="77777777" w:rsidR="00454A29" w:rsidRDefault="00454A29">
            <w:pPr>
              <w:pStyle w:val="ConsPlusNormal"/>
            </w:pPr>
          </w:p>
        </w:tc>
      </w:tr>
      <w:tr w:rsidR="00454A29" w14:paraId="489D89E3" w14:textId="77777777">
        <w:tc>
          <w:tcPr>
            <w:tcW w:w="567" w:type="dxa"/>
            <w:vMerge/>
          </w:tcPr>
          <w:p w14:paraId="361F4F4B" w14:textId="77777777" w:rsidR="00454A29" w:rsidRDefault="00454A29"/>
        </w:tc>
        <w:tc>
          <w:tcPr>
            <w:tcW w:w="3345" w:type="dxa"/>
            <w:vMerge/>
          </w:tcPr>
          <w:p w14:paraId="6A31B434" w14:textId="77777777" w:rsidR="00454A29" w:rsidRDefault="00454A29"/>
        </w:tc>
        <w:tc>
          <w:tcPr>
            <w:tcW w:w="1701" w:type="dxa"/>
            <w:vAlign w:val="center"/>
          </w:tcPr>
          <w:p w14:paraId="0FDB256E" w14:textId="77777777" w:rsidR="00454A29" w:rsidRDefault="00454A29">
            <w:pPr>
              <w:pStyle w:val="ConsPlusNormal"/>
              <w:jc w:val="center"/>
            </w:pPr>
            <w:r>
              <w:t>2025</w:t>
            </w:r>
          </w:p>
        </w:tc>
        <w:tc>
          <w:tcPr>
            <w:tcW w:w="1417" w:type="dxa"/>
            <w:vMerge/>
          </w:tcPr>
          <w:p w14:paraId="6537AE12" w14:textId="77777777" w:rsidR="00454A29" w:rsidRDefault="00454A29"/>
        </w:tc>
        <w:tc>
          <w:tcPr>
            <w:tcW w:w="2204" w:type="dxa"/>
            <w:vMerge/>
          </w:tcPr>
          <w:p w14:paraId="241DE2D3" w14:textId="77777777" w:rsidR="00454A29" w:rsidRDefault="00454A29"/>
        </w:tc>
        <w:tc>
          <w:tcPr>
            <w:tcW w:w="1417" w:type="dxa"/>
            <w:vMerge/>
          </w:tcPr>
          <w:p w14:paraId="29937CEA" w14:textId="77777777" w:rsidR="00454A29" w:rsidRDefault="00454A29"/>
        </w:tc>
        <w:tc>
          <w:tcPr>
            <w:tcW w:w="2324" w:type="dxa"/>
            <w:vMerge/>
          </w:tcPr>
          <w:p w14:paraId="1A2BE2B2" w14:textId="77777777" w:rsidR="00454A29" w:rsidRDefault="00454A29"/>
        </w:tc>
        <w:tc>
          <w:tcPr>
            <w:tcW w:w="1701" w:type="dxa"/>
            <w:vAlign w:val="center"/>
          </w:tcPr>
          <w:p w14:paraId="20A4774B" w14:textId="77777777" w:rsidR="00454A29" w:rsidRDefault="00454A29">
            <w:pPr>
              <w:pStyle w:val="ConsPlusNormal"/>
            </w:pPr>
          </w:p>
        </w:tc>
        <w:tc>
          <w:tcPr>
            <w:tcW w:w="1814" w:type="dxa"/>
            <w:vAlign w:val="center"/>
          </w:tcPr>
          <w:p w14:paraId="60814DAA" w14:textId="77777777" w:rsidR="00454A29" w:rsidRDefault="00454A29">
            <w:pPr>
              <w:pStyle w:val="ConsPlusNormal"/>
            </w:pPr>
          </w:p>
        </w:tc>
        <w:tc>
          <w:tcPr>
            <w:tcW w:w="1701" w:type="dxa"/>
            <w:vAlign w:val="center"/>
          </w:tcPr>
          <w:p w14:paraId="5B8D4F4B" w14:textId="77777777" w:rsidR="00454A29" w:rsidRDefault="00454A29">
            <w:pPr>
              <w:pStyle w:val="ConsPlusNormal"/>
            </w:pPr>
          </w:p>
        </w:tc>
        <w:tc>
          <w:tcPr>
            <w:tcW w:w="1701" w:type="dxa"/>
            <w:vAlign w:val="center"/>
          </w:tcPr>
          <w:p w14:paraId="5727D699" w14:textId="77777777" w:rsidR="00454A29" w:rsidRDefault="00454A29">
            <w:pPr>
              <w:pStyle w:val="ConsPlusNormal"/>
            </w:pPr>
          </w:p>
        </w:tc>
        <w:tc>
          <w:tcPr>
            <w:tcW w:w="1814" w:type="dxa"/>
            <w:vAlign w:val="center"/>
          </w:tcPr>
          <w:p w14:paraId="2E608A11" w14:textId="77777777" w:rsidR="00454A29" w:rsidRDefault="00454A29">
            <w:pPr>
              <w:pStyle w:val="ConsPlusNormal"/>
            </w:pPr>
          </w:p>
        </w:tc>
      </w:tr>
      <w:tr w:rsidR="00454A29" w14:paraId="2EF46E84" w14:textId="77777777">
        <w:tc>
          <w:tcPr>
            <w:tcW w:w="567" w:type="dxa"/>
            <w:vMerge/>
          </w:tcPr>
          <w:p w14:paraId="5EBFAFE4" w14:textId="77777777" w:rsidR="00454A29" w:rsidRDefault="00454A29"/>
        </w:tc>
        <w:tc>
          <w:tcPr>
            <w:tcW w:w="3345" w:type="dxa"/>
            <w:vMerge/>
          </w:tcPr>
          <w:p w14:paraId="7ACBA347" w14:textId="77777777" w:rsidR="00454A29" w:rsidRDefault="00454A29"/>
        </w:tc>
        <w:tc>
          <w:tcPr>
            <w:tcW w:w="1701" w:type="dxa"/>
            <w:vAlign w:val="center"/>
          </w:tcPr>
          <w:p w14:paraId="7143D8BF" w14:textId="77777777" w:rsidR="00454A29" w:rsidRDefault="00454A29">
            <w:pPr>
              <w:pStyle w:val="ConsPlusNormal"/>
              <w:jc w:val="center"/>
            </w:pPr>
            <w:r>
              <w:t>2026</w:t>
            </w:r>
          </w:p>
        </w:tc>
        <w:tc>
          <w:tcPr>
            <w:tcW w:w="1417" w:type="dxa"/>
            <w:vMerge/>
          </w:tcPr>
          <w:p w14:paraId="52DEFE43" w14:textId="77777777" w:rsidR="00454A29" w:rsidRDefault="00454A29"/>
        </w:tc>
        <w:tc>
          <w:tcPr>
            <w:tcW w:w="2204" w:type="dxa"/>
            <w:vMerge/>
          </w:tcPr>
          <w:p w14:paraId="4FCD3950" w14:textId="77777777" w:rsidR="00454A29" w:rsidRDefault="00454A29"/>
        </w:tc>
        <w:tc>
          <w:tcPr>
            <w:tcW w:w="1417" w:type="dxa"/>
            <w:vMerge/>
          </w:tcPr>
          <w:p w14:paraId="0F1C9E43" w14:textId="77777777" w:rsidR="00454A29" w:rsidRDefault="00454A29"/>
        </w:tc>
        <w:tc>
          <w:tcPr>
            <w:tcW w:w="2324" w:type="dxa"/>
            <w:vMerge/>
          </w:tcPr>
          <w:p w14:paraId="57F02EE7" w14:textId="77777777" w:rsidR="00454A29" w:rsidRDefault="00454A29"/>
        </w:tc>
        <w:tc>
          <w:tcPr>
            <w:tcW w:w="1701" w:type="dxa"/>
            <w:vAlign w:val="center"/>
          </w:tcPr>
          <w:p w14:paraId="34444775" w14:textId="77777777" w:rsidR="00454A29" w:rsidRDefault="00454A29">
            <w:pPr>
              <w:pStyle w:val="ConsPlusNormal"/>
              <w:jc w:val="center"/>
            </w:pPr>
            <w:r>
              <w:t>367 824,51</w:t>
            </w:r>
          </w:p>
        </w:tc>
        <w:tc>
          <w:tcPr>
            <w:tcW w:w="1814" w:type="dxa"/>
            <w:vAlign w:val="center"/>
          </w:tcPr>
          <w:p w14:paraId="3A7630CA" w14:textId="77777777" w:rsidR="00454A29" w:rsidRDefault="00454A29">
            <w:pPr>
              <w:pStyle w:val="ConsPlusNormal"/>
              <w:jc w:val="center"/>
            </w:pPr>
            <w:r>
              <w:t>4 531,59</w:t>
            </w:r>
          </w:p>
        </w:tc>
        <w:tc>
          <w:tcPr>
            <w:tcW w:w="1701" w:type="dxa"/>
            <w:vAlign w:val="center"/>
          </w:tcPr>
          <w:p w14:paraId="633A94B1" w14:textId="77777777" w:rsidR="00454A29" w:rsidRDefault="00454A29">
            <w:pPr>
              <w:pStyle w:val="ConsPlusNormal"/>
              <w:jc w:val="center"/>
            </w:pPr>
            <w:r>
              <w:t>448 628,20</w:t>
            </w:r>
          </w:p>
        </w:tc>
        <w:tc>
          <w:tcPr>
            <w:tcW w:w="1701" w:type="dxa"/>
            <w:vAlign w:val="center"/>
          </w:tcPr>
          <w:p w14:paraId="596725F0" w14:textId="77777777" w:rsidR="00454A29" w:rsidRDefault="00454A29">
            <w:pPr>
              <w:pStyle w:val="ConsPlusNormal"/>
            </w:pPr>
          </w:p>
        </w:tc>
        <w:tc>
          <w:tcPr>
            <w:tcW w:w="1814" w:type="dxa"/>
            <w:vAlign w:val="center"/>
          </w:tcPr>
          <w:p w14:paraId="652747A5" w14:textId="77777777" w:rsidR="00454A29" w:rsidRDefault="00454A29">
            <w:pPr>
              <w:pStyle w:val="ConsPlusNormal"/>
            </w:pPr>
          </w:p>
        </w:tc>
      </w:tr>
      <w:tr w:rsidR="00454A29" w14:paraId="32A77CF2" w14:textId="77777777">
        <w:tc>
          <w:tcPr>
            <w:tcW w:w="21706" w:type="dxa"/>
            <w:gridSpan w:val="12"/>
            <w:vAlign w:val="center"/>
          </w:tcPr>
          <w:p w14:paraId="7240952B" w14:textId="77777777" w:rsidR="00454A29" w:rsidRDefault="00454A29">
            <w:pPr>
              <w:pStyle w:val="ConsPlusNormal"/>
              <w:jc w:val="center"/>
              <w:outlineLvl w:val="2"/>
            </w:pPr>
            <w:r>
              <w:t>МР "Сунтарский улус (район)"</w:t>
            </w:r>
          </w:p>
        </w:tc>
      </w:tr>
      <w:tr w:rsidR="00454A29" w14:paraId="74928B11" w14:textId="77777777">
        <w:tc>
          <w:tcPr>
            <w:tcW w:w="567" w:type="dxa"/>
            <w:vMerge w:val="restart"/>
            <w:vAlign w:val="center"/>
          </w:tcPr>
          <w:p w14:paraId="5E712029" w14:textId="77777777" w:rsidR="00454A29" w:rsidRDefault="00454A29">
            <w:pPr>
              <w:pStyle w:val="ConsPlusNormal"/>
              <w:jc w:val="center"/>
            </w:pPr>
            <w:r>
              <w:t>116</w:t>
            </w:r>
          </w:p>
        </w:tc>
        <w:tc>
          <w:tcPr>
            <w:tcW w:w="3345" w:type="dxa"/>
            <w:vMerge w:val="restart"/>
            <w:vAlign w:val="center"/>
          </w:tcPr>
          <w:p w14:paraId="34EBB357" w14:textId="77777777" w:rsidR="00454A29" w:rsidRDefault="00454A29">
            <w:pPr>
              <w:pStyle w:val="ConsPlusNormal"/>
              <w:jc w:val="center"/>
            </w:pPr>
            <w:r>
              <w:t>Школа-сад на 90/40 мест в с. Кемпендяй</w:t>
            </w:r>
          </w:p>
        </w:tc>
        <w:tc>
          <w:tcPr>
            <w:tcW w:w="1701" w:type="dxa"/>
            <w:vAlign w:val="center"/>
          </w:tcPr>
          <w:p w14:paraId="514BE067" w14:textId="77777777" w:rsidR="00454A29" w:rsidRDefault="00454A29">
            <w:pPr>
              <w:pStyle w:val="ConsPlusNormal"/>
              <w:jc w:val="center"/>
            </w:pPr>
            <w:r>
              <w:t>2020 - 2026 годы - всего</w:t>
            </w:r>
          </w:p>
        </w:tc>
        <w:tc>
          <w:tcPr>
            <w:tcW w:w="1417" w:type="dxa"/>
            <w:vMerge w:val="restart"/>
            <w:vAlign w:val="center"/>
          </w:tcPr>
          <w:p w14:paraId="66ECBA6A" w14:textId="77777777" w:rsidR="00454A29" w:rsidRDefault="00454A29">
            <w:pPr>
              <w:pStyle w:val="ConsPlusNormal"/>
              <w:jc w:val="center"/>
            </w:pPr>
            <w:r>
              <w:t>443 486,52</w:t>
            </w:r>
          </w:p>
        </w:tc>
        <w:tc>
          <w:tcPr>
            <w:tcW w:w="2204" w:type="dxa"/>
            <w:vMerge w:val="restart"/>
            <w:vAlign w:val="center"/>
          </w:tcPr>
          <w:p w14:paraId="22B85D09" w14:textId="77777777" w:rsidR="00454A29" w:rsidRDefault="00454A29">
            <w:pPr>
              <w:pStyle w:val="ConsPlusNormal"/>
              <w:jc w:val="center"/>
            </w:pPr>
            <w:r>
              <w:t>в разработке</w:t>
            </w:r>
          </w:p>
        </w:tc>
        <w:tc>
          <w:tcPr>
            <w:tcW w:w="1417" w:type="dxa"/>
            <w:vMerge w:val="restart"/>
            <w:vAlign w:val="center"/>
          </w:tcPr>
          <w:p w14:paraId="15D5E4A9" w14:textId="77777777" w:rsidR="00454A29" w:rsidRDefault="00454A29">
            <w:pPr>
              <w:pStyle w:val="ConsPlusNormal"/>
              <w:jc w:val="center"/>
            </w:pPr>
            <w:r>
              <w:t>90</w:t>
            </w:r>
          </w:p>
        </w:tc>
        <w:tc>
          <w:tcPr>
            <w:tcW w:w="2324" w:type="dxa"/>
            <w:vMerge w:val="restart"/>
            <w:vAlign w:val="center"/>
          </w:tcPr>
          <w:p w14:paraId="49B1D85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6C4B315" w14:textId="77777777" w:rsidR="00454A29" w:rsidRDefault="00454A29">
            <w:pPr>
              <w:pStyle w:val="ConsPlusNormal"/>
              <w:jc w:val="center"/>
            </w:pPr>
            <w:r>
              <w:t>443 486,52</w:t>
            </w:r>
          </w:p>
        </w:tc>
        <w:tc>
          <w:tcPr>
            <w:tcW w:w="1814" w:type="dxa"/>
            <w:vAlign w:val="center"/>
          </w:tcPr>
          <w:p w14:paraId="0316F8AF" w14:textId="77777777" w:rsidR="00454A29" w:rsidRDefault="00454A29">
            <w:pPr>
              <w:pStyle w:val="ConsPlusNormal"/>
              <w:jc w:val="center"/>
            </w:pPr>
            <w:r>
              <w:t>5 610,10</w:t>
            </w:r>
          </w:p>
        </w:tc>
        <w:tc>
          <w:tcPr>
            <w:tcW w:w="1701" w:type="dxa"/>
            <w:vAlign w:val="center"/>
          </w:tcPr>
          <w:p w14:paraId="234F1310" w14:textId="77777777" w:rsidR="00454A29" w:rsidRDefault="00454A29">
            <w:pPr>
              <w:pStyle w:val="ConsPlusNormal"/>
              <w:jc w:val="center"/>
            </w:pPr>
            <w:r>
              <w:t>555 400,35</w:t>
            </w:r>
          </w:p>
        </w:tc>
        <w:tc>
          <w:tcPr>
            <w:tcW w:w="1701" w:type="dxa"/>
            <w:vAlign w:val="center"/>
          </w:tcPr>
          <w:p w14:paraId="2B9B1D37" w14:textId="77777777" w:rsidR="00454A29" w:rsidRDefault="00454A29">
            <w:pPr>
              <w:pStyle w:val="ConsPlusNormal"/>
              <w:jc w:val="center"/>
            </w:pPr>
            <w:r>
              <w:t>-</w:t>
            </w:r>
          </w:p>
        </w:tc>
        <w:tc>
          <w:tcPr>
            <w:tcW w:w="1814" w:type="dxa"/>
            <w:vAlign w:val="center"/>
          </w:tcPr>
          <w:p w14:paraId="78BC8DA2" w14:textId="77777777" w:rsidR="00454A29" w:rsidRDefault="00454A29">
            <w:pPr>
              <w:pStyle w:val="ConsPlusNormal"/>
              <w:jc w:val="center"/>
            </w:pPr>
            <w:r>
              <w:t>-</w:t>
            </w:r>
          </w:p>
        </w:tc>
      </w:tr>
      <w:tr w:rsidR="00454A29" w14:paraId="50F8A5F4" w14:textId="77777777">
        <w:tc>
          <w:tcPr>
            <w:tcW w:w="567" w:type="dxa"/>
            <w:vMerge/>
          </w:tcPr>
          <w:p w14:paraId="34EDF7E6" w14:textId="77777777" w:rsidR="00454A29" w:rsidRDefault="00454A29"/>
        </w:tc>
        <w:tc>
          <w:tcPr>
            <w:tcW w:w="3345" w:type="dxa"/>
            <w:vMerge/>
          </w:tcPr>
          <w:p w14:paraId="284BFB9D" w14:textId="77777777" w:rsidR="00454A29" w:rsidRDefault="00454A29"/>
        </w:tc>
        <w:tc>
          <w:tcPr>
            <w:tcW w:w="1701" w:type="dxa"/>
            <w:vAlign w:val="center"/>
          </w:tcPr>
          <w:p w14:paraId="06006D56" w14:textId="77777777" w:rsidR="00454A29" w:rsidRDefault="00454A29">
            <w:pPr>
              <w:pStyle w:val="ConsPlusNormal"/>
              <w:jc w:val="center"/>
            </w:pPr>
            <w:r>
              <w:t>2020</w:t>
            </w:r>
          </w:p>
        </w:tc>
        <w:tc>
          <w:tcPr>
            <w:tcW w:w="1417" w:type="dxa"/>
            <w:vMerge/>
          </w:tcPr>
          <w:p w14:paraId="596F31AA" w14:textId="77777777" w:rsidR="00454A29" w:rsidRDefault="00454A29"/>
        </w:tc>
        <w:tc>
          <w:tcPr>
            <w:tcW w:w="2204" w:type="dxa"/>
            <w:vMerge/>
          </w:tcPr>
          <w:p w14:paraId="19D13428" w14:textId="77777777" w:rsidR="00454A29" w:rsidRDefault="00454A29"/>
        </w:tc>
        <w:tc>
          <w:tcPr>
            <w:tcW w:w="1417" w:type="dxa"/>
            <w:vMerge/>
          </w:tcPr>
          <w:p w14:paraId="09CA9D81" w14:textId="77777777" w:rsidR="00454A29" w:rsidRDefault="00454A29"/>
        </w:tc>
        <w:tc>
          <w:tcPr>
            <w:tcW w:w="2324" w:type="dxa"/>
            <w:vMerge/>
          </w:tcPr>
          <w:p w14:paraId="3D090F77" w14:textId="77777777" w:rsidR="00454A29" w:rsidRDefault="00454A29"/>
        </w:tc>
        <w:tc>
          <w:tcPr>
            <w:tcW w:w="1701" w:type="dxa"/>
            <w:vAlign w:val="center"/>
          </w:tcPr>
          <w:p w14:paraId="1FA32B83" w14:textId="77777777" w:rsidR="00454A29" w:rsidRDefault="00454A29">
            <w:pPr>
              <w:pStyle w:val="ConsPlusNormal"/>
            </w:pPr>
          </w:p>
        </w:tc>
        <w:tc>
          <w:tcPr>
            <w:tcW w:w="1814" w:type="dxa"/>
            <w:vAlign w:val="center"/>
          </w:tcPr>
          <w:p w14:paraId="51C90DEA" w14:textId="77777777" w:rsidR="00454A29" w:rsidRDefault="00454A29">
            <w:pPr>
              <w:pStyle w:val="ConsPlusNormal"/>
            </w:pPr>
          </w:p>
        </w:tc>
        <w:tc>
          <w:tcPr>
            <w:tcW w:w="1701" w:type="dxa"/>
            <w:vAlign w:val="center"/>
          </w:tcPr>
          <w:p w14:paraId="2927B53B" w14:textId="77777777" w:rsidR="00454A29" w:rsidRDefault="00454A29">
            <w:pPr>
              <w:pStyle w:val="ConsPlusNormal"/>
            </w:pPr>
          </w:p>
        </w:tc>
        <w:tc>
          <w:tcPr>
            <w:tcW w:w="1701" w:type="dxa"/>
            <w:vAlign w:val="center"/>
          </w:tcPr>
          <w:p w14:paraId="73606F7F" w14:textId="77777777" w:rsidR="00454A29" w:rsidRDefault="00454A29">
            <w:pPr>
              <w:pStyle w:val="ConsPlusNormal"/>
            </w:pPr>
          </w:p>
        </w:tc>
        <w:tc>
          <w:tcPr>
            <w:tcW w:w="1814" w:type="dxa"/>
            <w:vAlign w:val="center"/>
          </w:tcPr>
          <w:p w14:paraId="55A25DE3" w14:textId="77777777" w:rsidR="00454A29" w:rsidRDefault="00454A29">
            <w:pPr>
              <w:pStyle w:val="ConsPlusNormal"/>
            </w:pPr>
          </w:p>
        </w:tc>
      </w:tr>
      <w:tr w:rsidR="00454A29" w14:paraId="5D14D54C" w14:textId="77777777">
        <w:tc>
          <w:tcPr>
            <w:tcW w:w="567" w:type="dxa"/>
            <w:vMerge/>
          </w:tcPr>
          <w:p w14:paraId="6E036F55" w14:textId="77777777" w:rsidR="00454A29" w:rsidRDefault="00454A29"/>
        </w:tc>
        <w:tc>
          <w:tcPr>
            <w:tcW w:w="3345" w:type="dxa"/>
            <w:vMerge/>
          </w:tcPr>
          <w:p w14:paraId="14D30D16" w14:textId="77777777" w:rsidR="00454A29" w:rsidRDefault="00454A29"/>
        </w:tc>
        <w:tc>
          <w:tcPr>
            <w:tcW w:w="1701" w:type="dxa"/>
            <w:vAlign w:val="center"/>
          </w:tcPr>
          <w:p w14:paraId="7FA9CC8C" w14:textId="77777777" w:rsidR="00454A29" w:rsidRDefault="00454A29">
            <w:pPr>
              <w:pStyle w:val="ConsPlusNormal"/>
              <w:jc w:val="center"/>
            </w:pPr>
            <w:r>
              <w:t>2021</w:t>
            </w:r>
          </w:p>
        </w:tc>
        <w:tc>
          <w:tcPr>
            <w:tcW w:w="1417" w:type="dxa"/>
            <w:vMerge/>
          </w:tcPr>
          <w:p w14:paraId="3019029C" w14:textId="77777777" w:rsidR="00454A29" w:rsidRDefault="00454A29"/>
        </w:tc>
        <w:tc>
          <w:tcPr>
            <w:tcW w:w="2204" w:type="dxa"/>
            <w:vMerge/>
          </w:tcPr>
          <w:p w14:paraId="4A85D5F1" w14:textId="77777777" w:rsidR="00454A29" w:rsidRDefault="00454A29"/>
        </w:tc>
        <w:tc>
          <w:tcPr>
            <w:tcW w:w="1417" w:type="dxa"/>
            <w:vMerge/>
          </w:tcPr>
          <w:p w14:paraId="0B6D4C08" w14:textId="77777777" w:rsidR="00454A29" w:rsidRDefault="00454A29"/>
        </w:tc>
        <w:tc>
          <w:tcPr>
            <w:tcW w:w="2324" w:type="dxa"/>
            <w:vMerge/>
          </w:tcPr>
          <w:p w14:paraId="7B0A7B56" w14:textId="77777777" w:rsidR="00454A29" w:rsidRDefault="00454A29"/>
        </w:tc>
        <w:tc>
          <w:tcPr>
            <w:tcW w:w="1701" w:type="dxa"/>
            <w:vAlign w:val="center"/>
          </w:tcPr>
          <w:p w14:paraId="5C2A876E" w14:textId="77777777" w:rsidR="00454A29" w:rsidRDefault="00454A29">
            <w:pPr>
              <w:pStyle w:val="ConsPlusNormal"/>
              <w:jc w:val="center"/>
            </w:pPr>
            <w:r>
              <w:t>-</w:t>
            </w:r>
          </w:p>
        </w:tc>
        <w:tc>
          <w:tcPr>
            <w:tcW w:w="1814" w:type="dxa"/>
            <w:vAlign w:val="center"/>
          </w:tcPr>
          <w:p w14:paraId="669A6418" w14:textId="77777777" w:rsidR="00454A29" w:rsidRDefault="00454A29">
            <w:pPr>
              <w:pStyle w:val="ConsPlusNormal"/>
            </w:pPr>
          </w:p>
        </w:tc>
        <w:tc>
          <w:tcPr>
            <w:tcW w:w="1701" w:type="dxa"/>
            <w:vAlign w:val="center"/>
          </w:tcPr>
          <w:p w14:paraId="4BFEE474" w14:textId="77777777" w:rsidR="00454A29" w:rsidRDefault="00454A29">
            <w:pPr>
              <w:pStyle w:val="ConsPlusNormal"/>
            </w:pPr>
          </w:p>
        </w:tc>
        <w:tc>
          <w:tcPr>
            <w:tcW w:w="1701" w:type="dxa"/>
            <w:vAlign w:val="center"/>
          </w:tcPr>
          <w:p w14:paraId="0C8F1A06" w14:textId="77777777" w:rsidR="00454A29" w:rsidRDefault="00454A29">
            <w:pPr>
              <w:pStyle w:val="ConsPlusNormal"/>
            </w:pPr>
          </w:p>
        </w:tc>
        <w:tc>
          <w:tcPr>
            <w:tcW w:w="1814" w:type="dxa"/>
            <w:vAlign w:val="center"/>
          </w:tcPr>
          <w:p w14:paraId="68E61086" w14:textId="77777777" w:rsidR="00454A29" w:rsidRDefault="00454A29">
            <w:pPr>
              <w:pStyle w:val="ConsPlusNormal"/>
            </w:pPr>
          </w:p>
        </w:tc>
      </w:tr>
      <w:tr w:rsidR="00454A29" w14:paraId="7BD438B5" w14:textId="77777777">
        <w:tc>
          <w:tcPr>
            <w:tcW w:w="567" w:type="dxa"/>
            <w:vMerge/>
          </w:tcPr>
          <w:p w14:paraId="03479EAD" w14:textId="77777777" w:rsidR="00454A29" w:rsidRDefault="00454A29"/>
        </w:tc>
        <w:tc>
          <w:tcPr>
            <w:tcW w:w="3345" w:type="dxa"/>
            <w:vMerge/>
          </w:tcPr>
          <w:p w14:paraId="6D9F130F" w14:textId="77777777" w:rsidR="00454A29" w:rsidRDefault="00454A29"/>
        </w:tc>
        <w:tc>
          <w:tcPr>
            <w:tcW w:w="1701" w:type="dxa"/>
            <w:vAlign w:val="center"/>
          </w:tcPr>
          <w:p w14:paraId="0AAB19D8" w14:textId="77777777" w:rsidR="00454A29" w:rsidRDefault="00454A29">
            <w:pPr>
              <w:pStyle w:val="ConsPlusNormal"/>
              <w:jc w:val="center"/>
            </w:pPr>
            <w:r>
              <w:t>2022</w:t>
            </w:r>
          </w:p>
        </w:tc>
        <w:tc>
          <w:tcPr>
            <w:tcW w:w="1417" w:type="dxa"/>
            <w:vMerge/>
          </w:tcPr>
          <w:p w14:paraId="610B3388" w14:textId="77777777" w:rsidR="00454A29" w:rsidRDefault="00454A29"/>
        </w:tc>
        <w:tc>
          <w:tcPr>
            <w:tcW w:w="2204" w:type="dxa"/>
            <w:vMerge/>
          </w:tcPr>
          <w:p w14:paraId="05C4CDDD" w14:textId="77777777" w:rsidR="00454A29" w:rsidRDefault="00454A29"/>
        </w:tc>
        <w:tc>
          <w:tcPr>
            <w:tcW w:w="1417" w:type="dxa"/>
            <w:vMerge/>
          </w:tcPr>
          <w:p w14:paraId="6A1A4883" w14:textId="77777777" w:rsidR="00454A29" w:rsidRDefault="00454A29"/>
        </w:tc>
        <w:tc>
          <w:tcPr>
            <w:tcW w:w="2324" w:type="dxa"/>
            <w:vMerge/>
          </w:tcPr>
          <w:p w14:paraId="0D5CB065" w14:textId="77777777" w:rsidR="00454A29" w:rsidRDefault="00454A29"/>
        </w:tc>
        <w:tc>
          <w:tcPr>
            <w:tcW w:w="1701" w:type="dxa"/>
            <w:vAlign w:val="center"/>
          </w:tcPr>
          <w:p w14:paraId="37E7CE43" w14:textId="77777777" w:rsidR="00454A29" w:rsidRDefault="00454A29">
            <w:pPr>
              <w:pStyle w:val="ConsPlusNormal"/>
            </w:pPr>
          </w:p>
        </w:tc>
        <w:tc>
          <w:tcPr>
            <w:tcW w:w="1814" w:type="dxa"/>
            <w:vAlign w:val="center"/>
          </w:tcPr>
          <w:p w14:paraId="52E0A353" w14:textId="77777777" w:rsidR="00454A29" w:rsidRDefault="00454A29">
            <w:pPr>
              <w:pStyle w:val="ConsPlusNormal"/>
            </w:pPr>
          </w:p>
        </w:tc>
        <w:tc>
          <w:tcPr>
            <w:tcW w:w="1701" w:type="dxa"/>
            <w:vAlign w:val="center"/>
          </w:tcPr>
          <w:p w14:paraId="0EE68FD5" w14:textId="77777777" w:rsidR="00454A29" w:rsidRDefault="00454A29">
            <w:pPr>
              <w:pStyle w:val="ConsPlusNormal"/>
            </w:pPr>
          </w:p>
        </w:tc>
        <w:tc>
          <w:tcPr>
            <w:tcW w:w="1701" w:type="dxa"/>
            <w:vAlign w:val="center"/>
          </w:tcPr>
          <w:p w14:paraId="3E288857" w14:textId="77777777" w:rsidR="00454A29" w:rsidRDefault="00454A29">
            <w:pPr>
              <w:pStyle w:val="ConsPlusNormal"/>
            </w:pPr>
          </w:p>
        </w:tc>
        <w:tc>
          <w:tcPr>
            <w:tcW w:w="1814" w:type="dxa"/>
            <w:vAlign w:val="center"/>
          </w:tcPr>
          <w:p w14:paraId="340340A8" w14:textId="77777777" w:rsidR="00454A29" w:rsidRDefault="00454A29">
            <w:pPr>
              <w:pStyle w:val="ConsPlusNormal"/>
            </w:pPr>
          </w:p>
        </w:tc>
      </w:tr>
      <w:tr w:rsidR="00454A29" w14:paraId="69EAFB23" w14:textId="77777777">
        <w:tc>
          <w:tcPr>
            <w:tcW w:w="567" w:type="dxa"/>
            <w:vMerge/>
          </w:tcPr>
          <w:p w14:paraId="17906321" w14:textId="77777777" w:rsidR="00454A29" w:rsidRDefault="00454A29"/>
        </w:tc>
        <w:tc>
          <w:tcPr>
            <w:tcW w:w="3345" w:type="dxa"/>
            <w:vMerge/>
          </w:tcPr>
          <w:p w14:paraId="1937A7B5" w14:textId="77777777" w:rsidR="00454A29" w:rsidRDefault="00454A29"/>
        </w:tc>
        <w:tc>
          <w:tcPr>
            <w:tcW w:w="1701" w:type="dxa"/>
            <w:vAlign w:val="center"/>
          </w:tcPr>
          <w:p w14:paraId="07297F82" w14:textId="77777777" w:rsidR="00454A29" w:rsidRDefault="00454A29">
            <w:pPr>
              <w:pStyle w:val="ConsPlusNormal"/>
              <w:jc w:val="center"/>
            </w:pPr>
            <w:r>
              <w:t>2023</w:t>
            </w:r>
          </w:p>
        </w:tc>
        <w:tc>
          <w:tcPr>
            <w:tcW w:w="1417" w:type="dxa"/>
            <w:vMerge/>
          </w:tcPr>
          <w:p w14:paraId="5E0D4CE8" w14:textId="77777777" w:rsidR="00454A29" w:rsidRDefault="00454A29"/>
        </w:tc>
        <w:tc>
          <w:tcPr>
            <w:tcW w:w="2204" w:type="dxa"/>
            <w:vMerge/>
          </w:tcPr>
          <w:p w14:paraId="3F4C4057" w14:textId="77777777" w:rsidR="00454A29" w:rsidRDefault="00454A29"/>
        </w:tc>
        <w:tc>
          <w:tcPr>
            <w:tcW w:w="1417" w:type="dxa"/>
            <w:vMerge/>
          </w:tcPr>
          <w:p w14:paraId="6B4D1E32" w14:textId="77777777" w:rsidR="00454A29" w:rsidRDefault="00454A29"/>
        </w:tc>
        <w:tc>
          <w:tcPr>
            <w:tcW w:w="2324" w:type="dxa"/>
            <w:vMerge/>
          </w:tcPr>
          <w:p w14:paraId="088C6724" w14:textId="77777777" w:rsidR="00454A29" w:rsidRDefault="00454A29"/>
        </w:tc>
        <w:tc>
          <w:tcPr>
            <w:tcW w:w="1701" w:type="dxa"/>
            <w:vAlign w:val="center"/>
          </w:tcPr>
          <w:p w14:paraId="0D5D970A" w14:textId="77777777" w:rsidR="00454A29" w:rsidRDefault="00454A29">
            <w:pPr>
              <w:pStyle w:val="ConsPlusNormal"/>
            </w:pPr>
          </w:p>
        </w:tc>
        <w:tc>
          <w:tcPr>
            <w:tcW w:w="1814" w:type="dxa"/>
            <w:vAlign w:val="center"/>
          </w:tcPr>
          <w:p w14:paraId="5A780EA2" w14:textId="77777777" w:rsidR="00454A29" w:rsidRDefault="00454A29">
            <w:pPr>
              <w:pStyle w:val="ConsPlusNormal"/>
            </w:pPr>
          </w:p>
        </w:tc>
        <w:tc>
          <w:tcPr>
            <w:tcW w:w="1701" w:type="dxa"/>
            <w:vAlign w:val="center"/>
          </w:tcPr>
          <w:p w14:paraId="4AD638F0" w14:textId="77777777" w:rsidR="00454A29" w:rsidRDefault="00454A29">
            <w:pPr>
              <w:pStyle w:val="ConsPlusNormal"/>
            </w:pPr>
          </w:p>
        </w:tc>
        <w:tc>
          <w:tcPr>
            <w:tcW w:w="1701" w:type="dxa"/>
            <w:vAlign w:val="center"/>
          </w:tcPr>
          <w:p w14:paraId="17533218" w14:textId="77777777" w:rsidR="00454A29" w:rsidRDefault="00454A29">
            <w:pPr>
              <w:pStyle w:val="ConsPlusNormal"/>
            </w:pPr>
          </w:p>
        </w:tc>
        <w:tc>
          <w:tcPr>
            <w:tcW w:w="1814" w:type="dxa"/>
            <w:vAlign w:val="center"/>
          </w:tcPr>
          <w:p w14:paraId="6DB59390" w14:textId="77777777" w:rsidR="00454A29" w:rsidRDefault="00454A29">
            <w:pPr>
              <w:pStyle w:val="ConsPlusNormal"/>
            </w:pPr>
          </w:p>
        </w:tc>
      </w:tr>
      <w:tr w:rsidR="00454A29" w14:paraId="2DD8264D" w14:textId="77777777">
        <w:tc>
          <w:tcPr>
            <w:tcW w:w="567" w:type="dxa"/>
            <w:vMerge/>
          </w:tcPr>
          <w:p w14:paraId="76B1696B" w14:textId="77777777" w:rsidR="00454A29" w:rsidRDefault="00454A29"/>
        </w:tc>
        <w:tc>
          <w:tcPr>
            <w:tcW w:w="3345" w:type="dxa"/>
            <w:vMerge/>
          </w:tcPr>
          <w:p w14:paraId="0F2629CE" w14:textId="77777777" w:rsidR="00454A29" w:rsidRDefault="00454A29"/>
        </w:tc>
        <w:tc>
          <w:tcPr>
            <w:tcW w:w="1701" w:type="dxa"/>
            <w:vAlign w:val="center"/>
          </w:tcPr>
          <w:p w14:paraId="461E8818" w14:textId="77777777" w:rsidR="00454A29" w:rsidRDefault="00454A29">
            <w:pPr>
              <w:pStyle w:val="ConsPlusNormal"/>
              <w:jc w:val="center"/>
            </w:pPr>
            <w:r>
              <w:t>2024</w:t>
            </w:r>
          </w:p>
        </w:tc>
        <w:tc>
          <w:tcPr>
            <w:tcW w:w="1417" w:type="dxa"/>
            <w:vMerge/>
          </w:tcPr>
          <w:p w14:paraId="1C57ECC5" w14:textId="77777777" w:rsidR="00454A29" w:rsidRDefault="00454A29"/>
        </w:tc>
        <w:tc>
          <w:tcPr>
            <w:tcW w:w="2204" w:type="dxa"/>
            <w:vMerge/>
          </w:tcPr>
          <w:p w14:paraId="7422F231" w14:textId="77777777" w:rsidR="00454A29" w:rsidRDefault="00454A29"/>
        </w:tc>
        <w:tc>
          <w:tcPr>
            <w:tcW w:w="1417" w:type="dxa"/>
            <w:vMerge/>
          </w:tcPr>
          <w:p w14:paraId="7BB23D94" w14:textId="77777777" w:rsidR="00454A29" w:rsidRDefault="00454A29"/>
        </w:tc>
        <w:tc>
          <w:tcPr>
            <w:tcW w:w="2324" w:type="dxa"/>
            <w:vMerge/>
          </w:tcPr>
          <w:p w14:paraId="7FF159A9" w14:textId="77777777" w:rsidR="00454A29" w:rsidRDefault="00454A29"/>
        </w:tc>
        <w:tc>
          <w:tcPr>
            <w:tcW w:w="1701" w:type="dxa"/>
            <w:vAlign w:val="center"/>
          </w:tcPr>
          <w:p w14:paraId="6909B52F" w14:textId="77777777" w:rsidR="00454A29" w:rsidRDefault="00454A29">
            <w:pPr>
              <w:pStyle w:val="ConsPlusNormal"/>
            </w:pPr>
          </w:p>
        </w:tc>
        <w:tc>
          <w:tcPr>
            <w:tcW w:w="1814" w:type="dxa"/>
            <w:vAlign w:val="center"/>
          </w:tcPr>
          <w:p w14:paraId="3478B19A" w14:textId="77777777" w:rsidR="00454A29" w:rsidRDefault="00454A29">
            <w:pPr>
              <w:pStyle w:val="ConsPlusNormal"/>
            </w:pPr>
          </w:p>
        </w:tc>
        <w:tc>
          <w:tcPr>
            <w:tcW w:w="1701" w:type="dxa"/>
            <w:vAlign w:val="center"/>
          </w:tcPr>
          <w:p w14:paraId="15423F82" w14:textId="77777777" w:rsidR="00454A29" w:rsidRDefault="00454A29">
            <w:pPr>
              <w:pStyle w:val="ConsPlusNormal"/>
            </w:pPr>
          </w:p>
        </w:tc>
        <w:tc>
          <w:tcPr>
            <w:tcW w:w="1701" w:type="dxa"/>
            <w:vAlign w:val="center"/>
          </w:tcPr>
          <w:p w14:paraId="298B1A8C" w14:textId="77777777" w:rsidR="00454A29" w:rsidRDefault="00454A29">
            <w:pPr>
              <w:pStyle w:val="ConsPlusNormal"/>
            </w:pPr>
          </w:p>
        </w:tc>
        <w:tc>
          <w:tcPr>
            <w:tcW w:w="1814" w:type="dxa"/>
            <w:vAlign w:val="center"/>
          </w:tcPr>
          <w:p w14:paraId="588628CD" w14:textId="77777777" w:rsidR="00454A29" w:rsidRDefault="00454A29">
            <w:pPr>
              <w:pStyle w:val="ConsPlusNormal"/>
            </w:pPr>
          </w:p>
        </w:tc>
      </w:tr>
      <w:tr w:rsidR="00454A29" w14:paraId="62B91512" w14:textId="77777777">
        <w:tc>
          <w:tcPr>
            <w:tcW w:w="567" w:type="dxa"/>
            <w:vMerge/>
          </w:tcPr>
          <w:p w14:paraId="58422C0B" w14:textId="77777777" w:rsidR="00454A29" w:rsidRDefault="00454A29"/>
        </w:tc>
        <w:tc>
          <w:tcPr>
            <w:tcW w:w="3345" w:type="dxa"/>
            <w:vMerge/>
          </w:tcPr>
          <w:p w14:paraId="7DA07430" w14:textId="77777777" w:rsidR="00454A29" w:rsidRDefault="00454A29"/>
        </w:tc>
        <w:tc>
          <w:tcPr>
            <w:tcW w:w="1701" w:type="dxa"/>
            <w:vAlign w:val="center"/>
          </w:tcPr>
          <w:p w14:paraId="0F965F9C" w14:textId="77777777" w:rsidR="00454A29" w:rsidRDefault="00454A29">
            <w:pPr>
              <w:pStyle w:val="ConsPlusNormal"/>
              <w:jc w:val="center"/>
            </w:pPr>
            <w:r>
              <w:t>2025</w:t>
            </w:r>
          </w:p>
        </w:tc>
        <w:tc>
          <w:tcPr>
            <w:tcW w:w="1417" w:type="dxa"/>
            <w:vMerge/>
          </w:tcPr>
          <w:p w14:paraId="16DE950D" w14:textId="77777777" w:rsidR="00454A29" w:rsidRDefault="00454A29"/>
        </w:tc>
        <w:tc>
          <w:tcPr>
            <w:tcW w:w="2204" w:type="dxa"/>
            <w:vMerge/>
          </w:tcPr>
          <w:p w14:paraId="7408E218" w14:textId="77777777" w:rsidR="00454A29" w:rsidRDefault="00454A29"/>
        </w:tc>
        <w:tc>
          <w:tcPr>
            <w:tcW w:w="1417" w:type="dxa"/>
            <w:vMerge/>
          </w:tcPr>
          <w:p w14:paraId="13D6B2C6" w14:textId="77777777" w:rsidR="00454A29" w:rsidRDefault="00454A29"/>
        </w:tc>
        <w:tc>
          <w:tcPr>
            <w:tcW w:w="2324" w:type="dxa"/>
            <w:vMerge/>
          </w:tcPr>
          <w:p w14:paraId="2E9519BE" w14:textId="77777777" w:rsidR="00454A29" w:rsidRDefault="00454A29"/>
        </w:tc>
        <w:tc>
          <w:tcPr>
            <w:tcW w:w="1701" w:type="dxa"/>
            <w:vAlign w:val="center"/>
          </w:tcPr>
          <w:p w14:paraId="29095043" w14:textId="77777777" w:rsidR="00454A29" w:rsidRDefault="00454A29">
            <w:pPr>
              <w:pStyle w:val="ConsPlusNormal"/>
              <w:jc w:val="center"/>
            </w:pPr>
            <w:r>
              <w:t>443 486,52</w:t>
            </w:r>
          </w:p>
        </w:tc>
        <w:tc>
          <w:tcPr>
            <w:tcW w:w="1814" w:type="dxa"/>
            <w:vAlign w:val="center"/>
          </w:tcPr>
          <w:p w14:paraId="6558E3B1" w14:textId="77777777" w:rsidR="00454A29" w:rsidRDefault="00454A29">
            <w:pPr>
              <w:pStyle w:val="ConsPlusNormal"/>
              <w:jc w:val="center"/>
            </w:pPr>
            <w:r>
              <w:t>5 610,10</w:t>
            </w:r>
          </w:p>
        </w:tc>
        <w:tc>
          <w:tcPr>
            <w:tcW w:w="1701" w:type="dxa"/>
            <w:vAlign w:val="center"/>
          </w:tcPr>
          <w:p w14:paraId="1E23F6D6" w14:textId="77777777" w:rsidR="00454A29" w:rsidRDefault="00454A29">
            <w:pPr>
              <w:pStyle w:val="ConsPlusNormal"/>
              <w:jc w:val="center"/>
            </w:pPr>
            <w:r>
              <w:t>555 400,35</w:t>
            </w:r>
          </w:p>
        </w:tc>
        <w:tc>
          <w:tcPr>
            <w:tcW w:w="1701" w:type="dxa"/>
            <w:vAlign w:val="center"/>
          </w:tcPr>
          <w:p w14:paraId="64C13B0B" w14:textId="77777777" w:rsidR="00454A29" w:rsidRDefault="00454A29">
            <w:pPr>
              <w:pStyle w:val="ConsPlusNormal"/>
            </w:pPr>
          </w:p>
        </w:tc>
        <w:tc>
          <w:tcPr>
            <w:tcW w:w="1814" w:type="dxa"/>
            <w:vAlign w:val="center"/>
          </w:tcPr>
          <w:p w14:paraId="640303E3" w14:textId="77777777" w:rsidR="00454A29" w:rsidRDefault="00454A29">
            <w:pPr>
              <w:pStyle w:val="ConsPlusNormal"/>
            </w:pPr>
          </w:p>
        </w:tc>
      </w:tr>
      <w:tr w:rsidR="00454A29" w14:paraId="629CBF11" w14:textId="77777777">
        <w:tc>
          <w:tcPr>
            <w:tcW w:w="567" w:type="dxa"/>
            <w:vMerge/>
          </w:tcPr>
          <w:p w14:paraId="716A4C2C" w14:textId="77777777" w:rsidR="00454A29" w:rsidRDefault="00454A29"/>
        </w:tc>
        <w:tc>
          <w:tcPr>
            <w:tcW w:w="3345" w:type="dxa"/>
            <w:vMerge/>
          </w:tcPr>
          <w:p w14:paraId="15F91EC3" w14:textId="77777777" w:rsidR="00454A29" w:rsidRDefault="00454A29"/>
        </w:tc>
        <w:tc>
          <w:tcPr>
            <w:tcW w:w="1701" w:type="dxa"/>
            <w:vAlign w:val="center"/>
          </w:tcPr>
          <w:p w14:paraId="111DCC2D" w14:textId="77777777" w:rsidR="00454A29" w:rsidRDefault="00454A29">
            <w:pPr>
              <w:pStyle w:val="ConsPlusNormal"/>
              <w:jc w:val="center"/>
            </w:pPr>
            <w:r>
              <w:t>2026</w:t>
            </w:r>
          </w:p>
        </w:tc>
        <w:tc>
          <w:tcPr>
            <w:tcW w:w="1417" w:type="dxa"/>
            <w:vMerge/>
          </w:tcPr>
          <w:p w14:paraId="3F2E89B4" w14:textId="77777777" w:rsidR="00454A29" w:rsidRDefault="00454A29"/>
        </w:tc>
        <w:tc>
          <w:tcPr>
            <w:tcW w:w="2204" w:type="dxa"/>
            <w:vMerge/>
          </w:tcPr>
          <w:p w14:paraId="7765906F" w14:textId="77777777" w:rsidR="00454A29" w:rsidRDefault="00454A29"/>
        </w:tc>
        <w:tc>
          <w:tcPr>
            <w:tcW w:w="1417" w:type="dxa"/>
            <w:vMerge/>
          </w:tcPr>
          <w:p w14:paraId="0E62EE8F" w14:textId="77777777" w:rsidR="00454A29" w:rsidRDefault="00454A29"/>
        </w:tc>
        <w:tc>
          <w:tcPr>
            <w:tcW w:w="2324" w:type="dxa"/>
            <w:vMerge/>
          </w:tcPr>
          <w:p w14:paraId="04669DB9" w14:textId="77777777" w:rsidR="00454A29" w:rsidRDefault="00454A29"/>
        </w:tc>
        <w:tc>
          <w:tcPr>
            <w:tcW w:w="1701" w:type="dxa"/>
            <w:vAlign w:val="center"/>
          </w:tcPr>
          <w:p w14:paraId="6FBD7767" w14:textId="77777777" w:rsidR="00454A29" w:rsidRDefault="00454A29">
            <w:pPr>
              <w:pStyle w:val="ConsPlusNormal"/>
            </w:pPr>
          </w:p>
        </w:tc>
        <w:tc>
          <w:tcPr>
            <w:tcW w:w="1814" w:type="dxa"/>
            <w:vAlign w:val="center"/>
          </w:tcPr>
          <w:p w14:paraId="529AA945" w14:textId="77777777" w:rsidR="00454A29" w:rsidRDefault="00454A29">
            <w:pPr>
              <w:pStyle w:val="ConsPlusNormal"/>
            </w:pPr>
          </w:p>
        </w:tc>
        <w:tc>
          <w:tcPr>
            <w:tcW w:w="1701" w:type="dxa"/>
            <w:vAlign w:val="center"/>
          </w:tcPr>
          <w:p w14:paraId="125CA9D7" w14:textId="77777777" w:rsidR="00454A29" w:rsidRDefault="00454A29">
            <w:pPr>
              <w:pStyle w:val="ConsPlusNormal"/>
            </w:pPr>
          </w:p>
        </w:tc>
        <w:tc>
          <w:tcPr>
            <w:tcW w:w="1701" w:type="dxa"/>
            <w:vAlign w:val="center"/>
          </w:tcPr>
          <w:p w14:paraId="07EC548E" w14:textId="77777777" w:rsidR="00454A29" w:rsidRDefault="00454A29">
            <w:pPr>
              <w:pStyle w:val="ConsPlusNormal"/>
            </w:pPr>
          </w:p>
        </w:tc>
        <w:tc>
          <w:tcPr>
            <w:tcW w:w="1814" w:type="dxa"/>
            <w:vAlign w:val="center"/>
          </w:tcPr>
          <w:p w14:paraId="10748EF3" w14:textId="77777777" w:rsidR="00454A29" w:rsidRDefault="00454A29">
            <w:pPr>
              <w:pStyle w:val="ConsPlusNormal"/>
            </w:pPr>
          </w:p>
        </w:tc>
      </w:tr>
      <w:tr w:rsidR="00454A29" w14:paraId="38A969CE" w14:textId="77777777">
        <w:tc>
          <w:tcPr>
            <w:tcW w:w="567" w:type="dxa"/>
            <w:vMerge w:val="restart"/>
            <w:vAlign w:val="center"/>
          </w:tcPr>
          <w:p w14:paraId="325AD142" w14:textId="77777777" w:rsidR="00454A29" w:rsidRDefault="00454A29">
            <w:pPr>
              <w:pStyle w:val="ConsPlusNormal"/>
              <w:jc w:val="center"/>
            </w:pPr>
            <w:r>
              <w:t>117</w:t>
            </w:r>
          </w:p>
        </w:tc>
        <w:tc>
          <w:tcPr>
            <w:tcW w:w="3345" w:type="dxa"/>
            <w:vMerge w:val="restart"/>
            <w:vAlign w:val="center"/>
          </w:tcPr>
          <w:p w14:paraId="611AA1E6" w14:textId="77777777" w:rsidR="00454A29" w:rsidRDefault="00454A29">
            <w:pPr>
              <w:pStyle w:val="ConsPlusNormal"/>
              <w:jc w:val="center"/>
            </w:pPr>
            <w:r>
              <w:t>Школа на 120 мест в с. Крестях</w:t>
            </w:r>
          </w:p>
        </w:tc>
        <w:tc>
          <w:tcPr>
            <w:tcW w:w="1701" w:type="dxa"/>
            <w:vAlign w:val="center"/>
          </w:tcPr>
          <w:p w14:paraId="55C1D4FD" w14:textId="77777777" w:rsidR="00454A29" w:rsidRDefault="00454A29">
            <w:pPr>
              <w:pStyle w:val="ConsPlusNormal"/>
              <w:jc w:val="center"/>
            </w:pPr>
            <w:r>
              <w:t>2020 - 2026 годы - всего</w:t>
            </w:r>
          </w:p>
        </w:tc>
        <w:tc>
          <w:tcPr>
            <w:tcW w:w="1417" w:type="dxa"/>
            <w:vMerge w:val="restart"/>
            <w:vAlign w:val="center"/>
          </w:tcPr>
          <w:p w14:paraId="0814BEFC" w14:textId="77777777" w:rsidR="00454A29" w:rsidRDefault="00454A29">
            <w:pPr>
              <w:pStyle w:val="ConsPlusNormal"/>
              <w:jc w:val="center"/>
            </w:pPr>
            <w:r>
              <w:t>420 044,60</w:t>
            </w:r>
          </w:p>
        </w:tc>
        <w:tc>
          <w:tcPr>
            <w:tcW w:w="2204" w:type="dxa"/>
            <w:vMerge w:val="restart"/>
            <w:vAlign w:val="center"/>
          </w:tcPr>
          <w:p w14:paraId="1EEF918E" w14:textId="77777777" w:rsidR="00454A29" w:rsidRDefault="00454A29">
            <w:pPr>
              <w:pStyle w:val="ConsPlusNormal"/>
              <w:jc w:val="center"/>
            </w:pPr>
            <w:r>
              <w:t>имеется</w:t>
            </w:r>
          </w:p>
        </w:tc>
        <w:tc>
          <w:tcPr>
            <w:tcW w:w="1417" w:type="dxa"/>
            <w:vMerge w:val="restart"/>
            <w:vAlign w:val="center"/>
          </w:tcPr>
          <w:p w14:paraId="67AFBD6A" w14:textId="77777777" w:rsidR="00454A29" w:rsidRDefault="00454A29">
            <w:pPr>
              <w:pStyle w:val="ConsPlusNormal"/>
              <w:jc w:val="center"/>
            </w:pPr>
            <w:r>
              <w:t>120</w:t>
            </w:r>
          </w:p>
        </w:tc>
        <w:tc>
          <w:tcPr>
            <w:tcW w:w="2324" w:type="dxa"/>
            <w:vMerge w:val="restart"/>
            <w:vAlign w:val="center"/>
          </w:tcPr>
          <w:p w14:paraId="5C027AA0" w14:textId="77777777" w:rsidR="00454A29" w:rsidRDefault="00454A29">
            <w:pPr>
              <w:pStyle w:val="ConsPlusNormal"/>
              <w:jc w:val="center"/>
            </w:pPr>
            <w:r>
              <w:t>Минстрой РС(Я)</w:t>
            </w:r>
          </w:p>
        </w:tc>
        <w:tc>
          <w:tcPr>
            <w:tcW w:w="1701" w:type="dxa"/>
            <w:vAlign w:val="center"/>
          </w:tcPr>
          <w:p w14:paraId="66273446" w14:textId="77777777" w:rsidR="00454A29" w:rsidRDefault="00454A29">
            <w:pPr>
              <w:pStyle w:val="ConsPlusNormal"/>
              <w:jc w:val="center"/>
            </w:pPr>
            <w:r>
              <w:t>420 044,60</w:t>
            </w:r>
          </w:p>
        </w:tc>
        <w:tc>
          <w:tcPr>
            <w:tcW w:w="1814" w:type="dxa"/>
            <w:vAlign w:val="center"/>
          </w:tcPr>
          <w:p w14:paraId="090D4DB4" w14:textId="77777777" w:rsidR="00454A29" w:rsidRDefault="00454A29">
            <w:pPr>
              <w:pStyle w:val="ConsPlusNormal"/>
              <w:jc w:val="center"/>
            </w:pPr>
            <w:r>
              <w:t>5 174,94</w:t>
            </w:r>
          </w:p>
        </w:tc>
        <w:tc>
          <w:tcPr>
            <w:tcW w:w="1701" w:type="dxa"/>
            <w:vAlign w:val="center"/>
          </w:tcPr>
          <w:p w14:paraId="5E6AB7EC" w14:textId="77777777" w:rsidR="00454A29" w:rsidRDefault="00454A29">
            <w:pPr>
              <w:pStyle w:val="ConsPlusNormal"/>
              <w:jc w:val="center"/>
            </w:pPr>
            <w:r>
              <w:t>512 320,01</w:t>
            </w:r>
          </w:p>
        </w:tc>
        <w:tc>
          <w:tcPr>
            <w:tcW w:w="1701" w:type="dxa"/>
            <w:vAlign w:val="center"/>
          </w:tcPr>
          <w:p w14:paraId="3F1EC827" w14:textId="77777777" w:rsidR="00454A29" w:rsidRDefault="00454A29">
            <w:pPr>
              <w:pStyle w:val="ConsPlusNormal"/>
              <w:jc w:val="center"/>
            </w:pPr>
            <w:r>
              <w:t>-</w:t>
            </w:r>
          </w:p>
        </w:tc>
        <w:tc>
          <w:tcPr>
            <w:tcW w:w="1814" w:type="dxa"/>
            <w:vAlign w:val="center"/>
          </w:tcPr>
          <w:p w14:paraId="1AF15DD5" w14:textId="77777777" w:rsidR="00454A29" w:rsidRDefault="00454A29">
            <w:pPr>
              <w:pStyle w:val="ConsPlusNormal"/>
              <w:jc w:val="center"/>
            </w:pPr>
            <w:r>
              <w:t>-</w:t>
            </w:r>
          </w:p>
        </w:tc>
      </w:tr>
      <w:tr w:rsidR="00454A29" w14:paraId="5B0D85F1" w14:textId="77777777">
        <w:tc>
          <w:tcPr>
            <w:tcW w:w="567" w:type="dxa"/>
            <w:vMerge/>
          </w:tcPr>
          <w:p w14:paraId="564CCADE" w14:textId="77777777" w:rsidR="00454A29" w:rsidRDefault="00454A29"/>
        </w:tc>
        <w:tc>
          <w:tcPr>
            <w:tcW w:w="3345" w:type="dxa"/>
            <w:vMerge/>
          </w:tcPr>
          <w:p w14:paraId="5B0F87FB" w14:textId="77777777" w:rsidR="00454A29" w:rsidRDefault="00454A29"/>
        </w:tc>
        <w:tc>
          <w:tcPr>
            <w:tcW w:w="1701" w:type="dxa"/>
            <w:vAlign w:val="center"/>
          </w:tcPr>
          <w:p w14:paraId="7DE08025" w14:textId="77777777" w:rsidR="00454A29" w:rsidRDefault="00454A29">
            <w:pPr>
              <w:pStyle w:val="ConsPlusNormal"/>
              <w:jc w:val="center"/>
            </w:pPr>
            <w:r>
              <w:t>2020</w:t>
            </w:r>
          </w:p>
        </w:tc>
        <w:tc>
          <w:tcPr>
            <w:tcW w:w="1417" w:type="dxa"/>
            <w:vMerge/>
          </w:tcPr>
          <w:p w14:paraId="28A11516" w14:textId="77777777" w:rsidR="00454A29" w:rsidRDefault="00454A29"/>
        </w:tc>
        <w:tc>
          <w:tcPr>
            <w:tcW w:w="2204" w:type="dxa"/>
            <w:vMerge/>
          </w:tcPr>
          <w:p w14:paraId="46B2BA65" w14:textId="77777777" w:rsidR="00454A29" w:rsidRDefault="00454A29"/>
        </w:tc>
        <w:tc>
          <w:tcPr>
            <w:tcW w:w="1417" w:type="dxa"/>
            <w:vMerge/>
          </w:tcPr>
          <w:p w14:paraId="51A58085" w14:textId="77777777" w:rsidR="00454A29" w:rsidRDefault="00454A29"/>
        </w:tc>
        <w:tc>
          <w:tcPr>
            <w:tcW w:w="2324" w:type="dxa"/>
            <w:vMerge/>
          </w:tcPr>
          <w:p w14:paraId="55404143" w14:textId="77777777" w:rsidR="00454A29" w:rsidRDefault="00454A29"/>
        </w:tc>
        <w:tc>
          <w:tcPr>
            <w:tcW w:w="1701" w:type="dxa"/>
            <w:vAlign w:val="center"/>
          </w:tcPr>
          <w:p w14:paraId="1D14841B" w14:textId="77777777" w:rsidR="00454A29" w:rsidRDefault="00454A29">
            <w:pPr>
              <w:pStyle w:val="ConsPlusNormal"/>
            </w:pPr>
          </w:p>
        </w:tc>
        <w:tc>
          <w:tcPr>
            <w:tcW w:w="1814" w:type="dxa"/>
            <w:vAlign w:val="center"/>
          </w:tcPr>
          <w:p w14:paraId="371CAE57" w14:textId="77777777" w:rsidR="00454A29" w:rsidRDefault="00454A29">
            <w:pPr>
              <w:pStyle w:val="ConsPlusNormal"/>
            </w:pPr>
          </w:p>
        </w:tc>
        <w:tc>
          <w:tcPr>
            <w:tcW w:w="1701" w:type="dxa"/>
            <w:vAlign w:val="center"/>
          </w:tcPr>
          <w:p w14:paraId="625911BA" w14:textId="77777777" w:rsidR="00454A29" w:rsidRDefault="00454A29">
            <w:pPr>
              <w:pStyle w:val="ConsPlusNormal"/>
            </w:pPr>
          </w:p>
        </w:tc>
        <w:tc>
          <w:tcPr>
            <w:tcW w:w="1701" w:type="dxa"/>
            <w:vAlign w:val="center"/>
          </w:tcPr>
          <w:p w14:paraId="0E09E969" w14:textId="77777777" w:rsidR="00454A29" w:rsidRDefault="00454A29">
            <w:pPr>
              <w:pStyle w:val="ConsPlusNormal"/>
            </w:pPr>
          </w:p>
        </w:tc>
        <w:tc>
          <w:tcPr>
            <w:tcW w:w="1814" w:type="dxa"/>
            <w:vAlign w:val="center"/>
          </w:tcPr>
          <w:p w14:paraId="2D4C16A5" w14:textId="77777777" w:rsidR="00454A29" w:rsidRDefault="00454A29">
            <w:pPr>
              <w:pStyle w:val="ConsPlusNormal"/>
            </w:pPr>
          </w:p>
        </w:tc>
      </w:tr>
      <w:tr w:rsidR="00454A29" w14:paraId="271AEA1B" w14:textId="77777777">
        <w:tc>
          <w:tcPr>
            <w:tcW w:w="567" w:type="dxa"/>
            <w:vMerge/>
          </w:tcPr>
          <w:p w14:paraId="30D84BC3" w14:textId="77777777" w:rsidR="00454A29" w:rsidRDefault="00454A29"/>
        </w:tc>
        <w:tc>
          <w:tcPr>
            <w:tcW w:w="3345" w:type="dxa"/>
            <w:vMerge/>
          </w:tcPr>
          <w:p w14:paraId="74DF502D" w14:textId="77777777" w:rsidR="00454A29" w:rsidRDefault="00454A29"/>
        </w:tc>
        <w:tc>
          <w:tcPr>
            <w:tcW w:w="1701" w:type="dxa"/>
            <w:vAlign w:val="center"/>
          </w:tcPr>
          <w:p w14:paraId="3613D478" w14:textId="77777777" w:rsidR="00454A29" w:rsidRDefault="00454A29">
            <w:pPr>
              <w:pStyle w:val="ConsPlusNormal"/>
              <w:jc w:val="center"/>
            </w:pPr>
            <w:r>
              <w:t>2021</w:t>
            </w:r>
          </w:p>
        </w:tc>
        <w:tc>
          <w:tcPr>
            <w:tcW w:w="1417" w:type="dxa"/>
            <w:vMerge/>
          </w:tcPr>
          <w:p w14:paraId="31CADED4" w14:textId="77777777" w:rsidR="00454A29" w:rsidRDefault="00454A29"/>
        </w:tc>
        <w:tc>
          <w:tcPr>
            <w:tcW w:w="2204" w:type="dxa"/>
            <w:vMerge/>
          </w:tcPr>
          <w:p w14:paraId="4ED33FAF" w14:textId="77777777" w:rsidR="00454A29" w:rsidRDefault="00454A29"/>
        </w:tc>
        <w:tc>
          <w:tcPr>
            <w:tcW w:w="1417" w:type="dxa"/>
            <w:vMerge/>
          </w:tcPr>
          <w:p w14:paraId="193F0028" w14:textId="77777777" w:rsidR="00454A29" w:rsidRDefault="00454A29"/>
        </w:tc>
        <w:tc>
          <w:tcPr>
            <w:tcW w:w="2324" w:type="dxa"/>
            <w:vMerge/>
          </w:tcPr>
          <w:p w14:paraId="20F5C15F" w14:textId="77777777" w:rsidR="00454A29" w:rsidRDefault="00454A29"/>
        </w:tc>
        <w:tc>
          <w:tcPr>
            <w:tcW w:w="1701" w:type="dxa"/>
            <w:vAlign w:val="center"/>
          </w:tcPr>
          <w:p w14:paraId="0F080DE4" w14:textId="77777777" w:rsidR="00454A29" w:rsidRDefault="00454A29">
            <w:pPr>
              <w:pStyle w:val="ConsPlusNormal"/>
            </w:pPr>
          </w:p>
        </w:tc>
        <w:tc>
          <w:tcPr>
            <w:tcW w:w="1814" w:type="dxa"/>
            <w:vAlign w:val="center"/>
          </w:tcPr>
          <w:p w14:paraId="43099608" w14:textId="77777777" w:rsidR="00454A29" w:rsidRDefault="00454A29">
            <w:pPr>
              <w:pStyle w:val="ConsPlusNormal"/>
            </w:pPr>
          </w:p>
        </w:tc>
        <w:tc>
          <w:tcPr>
            <w:tcW w:w="1701" w:type="dxa"/>
            <w:vAlign w:val="center"/>
          </w:tcPr>
          <w:p w14:paraId="61CD7F34" w14:textId="77777777" w:rsidR="00454A29" w:rsidRDefault="00454A29">
            <w:pPr>
              <w:pStyle w:val="ConsPlusNormal"/>
            </w:pPr>
          </w:p>
        </w:tc>
        <w:tc>
          <w:tcPr>
            <w:tcW w:w="1701" w:type="dxa"/>
            <w:vAlign w:val="center"/>
          </w:tcPr>
          <w:p w14:paraId="2395E6FA" w14:textId="77777777" w:rsidR="00454A29" w:rsidRDefault="00454A29">
            <w:pPr>
              <w:pStyle w:val="ConsPlusNormal"/>
            </w:pPr>
          </w:p>
        </w:tc>
        <w:tc>
          <w:tcPr>
            <w:tcW w:w="1814" w:type="dxa"/>
            <w:vAlign w:val="center"/>
          </w:tcPr>
          <w:p w14:paraId="48CACCAD" w14:textId="77777777" w:rsidR="00454A29" w:rsidRDefault="00454A29">
            <w:pPr>
              <w:pStyle w:val="ConsPlusNormal"/>
            </w:pPr>
          </w:p>
        </w:tc>
      </w:tr>
      <w:tr w:rsidR="00454A29" w14:paraId="25CF1607" w14:textId="77777777">
        <w:tc>
          <w:tcPr>
            <w:tcW w:w="567" w:type="dxa"/>
            <w:vMerge/>
          </w:tcPr>
          <w:p w14:paraId="4E93DECE" w14:textId="77777777" w:rsidR="00454A29" w:rsidRDefault="00454A29"/>
        </w:tc>
        <w:tc>
          <w:tcPr>
            <w:tcW w:w="3345" w:type="dxa"/>
            <w:vMerge/>
          </w:tcPr>
          <w:p w14:paraId="19D76C3D" w14:textId="77777777" w:rsidR="00454A29" w:rsidRDefault="00454A29"/>
        </w:tc>
        <w:tc>
          <w:tcPr>
            <w:tcW w:w="1701" w:type="dxa"/>
            <w:vAlign w:val="center"/>
          </w:tcPr>
          <w:p w14:paraId="78602D1C" w14:textId="77777777" w:rsidR="00454A29" w:rsidRDefault="00454A29">
            <w:pPr>
              <w:pStyle w:val="ConsPlusNormal"/>
              <w:jc w:val="center"/>
            </w:pPr>
            <w:r>
              <w:t>2022</w:t>
            </w:r>
          </w:p>
        </w:tc>
        <w:tc>
          <w:tcPr>
            <w:tcW w:w="1417" w:type="dxa"/>
            <w:vMerge/>
          </w:tcPr>
          <w:p w14:paraId="1CAF79EB" w14:textId="77777777" w:rsidR="00454A29" w:rsidRDefault="00454A29"/>
        </w:tc>
        <w:tc>
          <w:tcPr>
            <w:tcW w:w="2204" w:type="dxa"/>
            <w:vMerge/>
          </w:tcPr>
          <w:p w14:paraId="12E4F1D5" w14:textId="77777777" w:rsidR="00454A29" w:rsidRDefault="00454A29"/>
        </w:tc>
        <w:tc>
          <w:tcPr>
            <w:tcW w:w="1417" w:type="dxa"/>
            <w:vMerge/>
          </w:tcPr>
          <w:p w14:paraId="741E3A76" w14:textId="77777777" w:rsidR="00454A29" w:rsidRDefault="00454A29"/>
        </w:tc>
        <w:tc>
          <w:tcPr>
            <w:tcW w:w="2324" w:type="dxa"/>
            <w:vMerge/>
          </w:tcPr>
          <w:p w14:paraId="46B5C903" w14:textId="77777777" w:rsidR="00454A29" w:rsidRDefault="00454A29"/>
        </w:tc>
        <w:tc>
          <w:tcPr>
            <w:tcW w:w="1701" w:type="dxa"/>
            <w:vAlign w:val="center"/>
          </w:tcPr>
          <w:p w14:paraId="46ED5394" w14:textId="77777777" w:rsidR="00454A29" w:rsidRDefault="00454A29">
            <w:pPr>
              <w:pStyle w:val="ConsPlusNormal"/>
            </w:pPr>
          </w:p>
        </w:tc>
        <w:tc>
          <w:tcPr>
            <w:tcW w:w="1814" w:type="dxa"/>
            <w:vAlign w:val="center"/>
          </w:tcPr>
          <w:p w14:paraId="19AC264A" w14:textId="77777777" w:rsidR="00454A29" w:rsidRDefault="00454A29">
            <w:pPr>
              <w:pStyle w:val="ConsPlusNormal"/>
            </w:pPr>
          </w:p>
        </w:tc>
        <w:tc>
          <w:tcPr>
            <w:tcW w:w="1701" w:type="dxa"/>
            <w:vAlign w:val="center"/>
          </w:tcPr>
          <w:p w14:paraId="7C45B055" w14:textId="77777777" w:rsidR="00454A29" w:rsidRDefault="00454A29">
            <w:pPr>
              <w:pStyle w:val="ConsPlusNormal"/>
            </w:pPr>
          </w:p>
        </w:tc>
        <w:tc>
          <w:tcPr>
            <w:tcW w:w="1701" w:type="dxa"/>
            <w:vAlign w:val="center"/>
          </w:tcPr>
          <w:p w14:paraId="188AA9B6" w14:textId="77777777" w:rsidR="00454A29" w:rsidRDefault="00454A29">
            <w:pPr>
              <w:pStyle w:val="ConsPlusNormal"/>
            </w:pPr>
          </w:p>
        </w:tc>
        <w:tc>
          <w:tcPr>
            <w:tcW w:w="1814" w:type="dxa"/>
            <w:vAlign w:val="center"/>
          </w:tcPr>
          <w:p w14:paraId="1A9D7646" w14:textId="77777777" w:rsidR="00454A29" w:rsidRDefault="00454A29">
            <w:pPr>
              <w:pStyle w:val="ConsPlusNormal"/>
            </w:pPr>
          </w:p>
        </w:tc>
      </w:tr>
      <w:tr w:rsidR="00454A29" w14:paraId="114C6F3E" w14:textId="77777777">
        <w:tc>
          <w:tcPr>
            <w:tcW w:w="567" w:type="dxa"/>
            <w:vMerge/>
          </w:tcPr>
          <w:p w14:paraId="148CBFAC" w14:textId="77777777" w:rsidR="00454A29" w:rsidRDefault="00454A29"/>
        </w:tc>
        <w:tc>
          <w:tcPr>
            <w:tcW w:w="3345" w:type="dxa"/>
            <w:vMerge/>
          </w:tcPr>
          <w:p w14:paraId="76A1D4A4" w14:textId="77777777" w:rsidR="00454A29" w:rsidRDefault="00454A29"/>
        </w:tc>
        <w:tc>
          <w:tcPr>
            <w:tcW w:w="1701" w:type="dxa"/>
            <w:vAlign w:val="center"/>
          </w:tcPr>
          <w:p w14:paraId="39678965" w14:textId="77777777" w:rsidR="00454A29" w:rsidRDefault="00454A29">
            <w:pPr>
              <w:pStyle w:val="ConsPlusNormal"/>
              <w:jc w:val="center"/>
            </w:pPr>
            <w:r>
              <w:t>2023</w:t>
            </w:r>
          </w:p>
        </w:tc>
        <w:tc>
          <w:tcPr>
            <w:tcW w:w="1417" w:type="dxa"/>
            <w:vMerge/>
          </w:tcPr>
          <w:p w14:paraId="540EBE3C" w14:textId="77777777" w:rsidR="00454A29" w:rsidRDefault="00454A29"/>
        </w:tc>
        <w:tc>
          <w:tcPr>
            <w:tcW w:w="2204" w:type="dxa"/>
            <w:vMerge/>
          </w:tcPr>
          <w:p w14:paraId="54A4D5C4" w14:textId="77777777" w:rsidR="00454A29" w:rsidRDefault="00454A29"/>
        </w:tc>
        <w:tc>
          <w:tcPr>
            <w:tcW w:w="1417" w:type="dxa"/>
            <w:vMerge/>
          </w:tcPr>
          <w:p w14:paraId="52A9B577" w14:textId="77777777" w:rsidR="00454A29" w:rsidRDefault="00454A29"/>
        </w:tc>
        <w:tc>
          <w:tcPr>
            <w:tcW w:w="2324" w:type="dxa"/>
            <w:vMerge/>
          </w:tcPr>
          <w:p w14:paraId="53A37A55" w14:textId="77777777" w:rsidR="00454A29" w:rsidRDefault="00454A29"/>
        </w:tc>
        <w:tc>
          <w:tcPr>
            <w:tcW w:w="1701" w:type="dxa"/>
            <w:vAlign w:val="center"/>
          </w:tcPr>
          <w:p w14:paraId="4199027E" w14:textId="77777777" w:rsidR="00454A29" w:rsidRDefault="00454A29">
            <w:pPr>
              <w:pStyle w:val="ConsPlusNormal"/>
            </w:pPr>
          </w:p>
        </w:tc>
        <w:tc>
          <w:tcPr>
            <w:tcW w:w="1814" w:type="dxa"/>
            <w:vAlign w:val="center"/>
          </w:tcPr>
          <w:p w14:paraId="26018008" w14:textId="77777777" w:rsidR="00454A29" w:rsidRDefault="00454A29">
            <w:pPr>
              <w:pStyle w:val="ConsPlusNormal"/>
            </w:pPr>
          </w:p>
        </w:tc>
        <w:tc>
          <w:tcPr>
            <w:tcW w:w="1701" w:type="dxa"/>
            <w:vAlign w:val="center"/>
          </w:tcPr>
          <w:p w14:paraId="229967BC" w14:textId="77777777" w:rsidR="00454A29" w:rsidRDefault="00454A29">
            <w:pPr>
              <w:pStyle w:val="ConsPlusNormal"/>
            </w:pPr>
          </w:p>
        </w:tc>
        <w:tc>
          <w:tcPr>
            <w:tcW w:w="1701" w:type="dxa"/>
            <w:vAlign w:val="center"/>
          </w:tcPr>
          <w:p w14:paraId="722D4CF1" w14:textId="77777777" w:rsidR="00454A29" w:rsidRDefault="00454A29">
            <w:pPr>
              <w:pStyle w:val="ConsPlusNormal"/>
            </w:pPr>
          </w:p>
        </w:tc>
        <w:tc>
          <w:tcPr>
            <w:tcW w:w="1814" w:type="dxa"/>
            <w:vAlign w:val="center"/>
          </w:tcPr>
          <w:p w14:paraId="4EEDBBDA" w14:textId="77777777" w:rsidR="00454A29" w:rsidRDefault="00454A29">
            <w:pPr>
              <w:pStyle w:val="ConsPlusNormal"/>
            </w:pPr>
          </w:p>
        </w:tc>
      </w:tr>
      <w:tr w:rsidR="00454A29" w14:paraId="49A80802" w14:textId="77777777">
        <w:tc>
          <w:tcPr>
            <w:tcW w:w="567" w:type="dxa"/>
            <w:vMerge/>
          </w:tcPr>
          <w:p w14:paraId="3C545738" w14:textId="77777777" w:rsidR="00454A29" w:rsidRDefault="00454A29"/>
        </w:tc>
        <w:tc>
          <w:tcPr>
            <w:tcW w:w="3345" w:type="dxa"/>
            <w:vMerge/>
          </w:tcPr>
          <w:p w14:paraId="0AA2D3F1" w14:textId="77777777" w:rsidR="00454A29" w:rsidRDefault="00454A29"/>
        </w:tc>
        <w:tc>
          <w:tcPr>
            <w:tcW w:w="1701" w:type="dxa"/>
            <w:vAlign w:val="center"/>
          </w:tcPr>
          <w:p w14:paraId="23A97ACD" w14:textId="77777777" w:rsidR="00454A29" w:rsidRDefault="00454A29">
            <w:pPr>
              <w:pStyle w:val="ConsPlusNormal"/>
              <w:jc w:val="center"/>
            </w:pPr>
            <w:r>
              <w:t>2024</w:t>
            </w:r>
          </w:p>
        </w:tc>
        <w:tc>
          <w:tcPr>
            <w:tcW w:w="1417" w:type="dxa"/>
            <w:vMerge/>
          </w:tcPr>
          <w:p w14:paraId="37D8D16E" w14:textId="77777777" w:rsidR="00454A29" w:rsidRDefault="00454A29"/>
        </w:tc>
        <w:tc>
          <w:tcPr>
            <w:tcW w:w="2204" w:type="dxa"/>
            <w:vMerge/>
          </w:tcPr>
          <w:p w14:paraId="13E74354" w14:textId="77777777" w:rsidR="00454A29" w:rsidRDefault="00454A29"/>
        </w:tc>
        <w:tc>
          <w:tcPr>
            <w:tcW w:w="1417" w:type="dxa"/>
            <w:vMerge/>
          </w:tcPr>
          <w:p w14:paraId="2A0EA33E" w14:textId="77777777" w:rsidR="00454A29" w:rsidRDefault="00454A29"/>
        </w:tc>
        <w:tc>
          <w:tcPr>
            <w:tcW w:w="2324" w:type="dxa"/>
            <w:vMerge/>
          </w:tcPr>
          <w:p w14:paraId="0E993E12" w14:textId="77777777" w:rsidR="00454A29" w:rsidRDefault="00454A29"/>
        </w:tc>
        <w:tc>
          <w:tcPr>
            <w:tcW w:w="1701" w:type="dxa"/>
            <w:vAlign w:val="center"/>
          </w:tcPr>
          <w:p w14:paraId="27EEE306" w14:textId="77777777" w:rsidR="00454A29" w:rsidRDefault="00454A29">
            <w:pPr>
              <w:pStyle w:val="ConsPlusNormal"/>
            </w:pPr>
          </w:p>
        </w:tc>
        <w:tc>
          <w:tcPr>
            <w:tcW w:w="1814" w:type="dxa"/>
            <w:vAlign w:val="center"/>
          </w:tcPr>
          <w:p w14:paraId="128836A6" w14:textId="77777777" w:rsidR="00454A29" w:rsidRDefault="00454A29">
            <w:pPr>
              <w:pStyle w:val="ConsPlusNormal"/>
            </w:pPr>
          </w:p>
        </w:tc>
        <w:tc>
          <w:tcPr>
            <w:tcW w:w="1701" w:type="dxa"/>
            <w:vAlign w:val="center"/>
          </w:tcPr>
          <w:p w14:paraId="0EA52D23" w14:textId="77777777" w:rsidR="00454A29" w:rsidRDefault="00454A29">
            <w:pPr>
              <w:pStyle w:val="ConsPlusNormal"/>
            </w:pPr>
          </w:p>
        </w:tc>
        <w:tc>
          <w:tcPr>
            <w:tcW w:w="1701" w:type="dxa"/>
            <w:vAlign w:val="center"/>
          </w:tcPr>
          <w:p w14:paraId="71C15F58" w14:textId="77777777" w:rsidR="00454A29" w:rsidRDefault="00454A29">
            <w:pPr>
              <w:pStyle w:val="ConsPlusNormal"/>
            </w:pPr>
          </w:p>
        </w:tc>
        <w:tc>
          <w:tcPr>
            <w:tcW w:w="1814" w:type="dxa"/>
            <w:vAlign w:val="center"/>
          </w:tcPr>
          <w:p w14:paraId="2273A5B0" w14:textId="77777777" w:rsidR="00454A29" w:rsidRDefault="00454A29">
            <w:pPr>
              <w:pStyle w:val="ConsPlusNormal"/>
            </w:pPr>
          </w:p>
        </w:tc>
      </w:tr>
      <w:tr w:rsidR="00454A29" w14:paraId="749649B7" w14:textId="77777777">
        <w:tc>
          <w:tcPr>
            <w:tcW w:w="567" w:type="dxa"/>
            <w:vMerge/>
          </w:tcPr>
          <w:p w14:paraId="4E4821F9" w14:textId="77777777" w:rsidR="00454A29" w:rsidRDefault="00454A29"/>
        </w:tc>
        <w:tc>
          <w:tcPr>
            <w:tcW w:w="3345" w:type="dxa"/>
            <w:vMerge/>
          </w:tcPr>
          <w:p w14:paraId="404C20DA" w14:textId="77777777" w:rsidR="00454A29" w:rsidRDefault="00454A29"/>
        </w:tc>
        <w:tc>
          <w:tcPr>
            <w:tcW w:w="1701" w:type="dxa"/>
            <w:vAlign w:val="center"/>
          </w:tcPr>
          <w:p w14:paraId="43952B67" w14:textId="77777777" w:rsidR="00454A29" w:rsidRDefault="00454A29">
            <w:pPr>
              <w:pStyle w:val="ConsPlusNormal"/>
              <w:jc w:val="center"/>
            </w:pPr>
            <w:r>
              <w:t>2025</w:t>
            </w:r>
          </w:p>
        </w:tc>
        <w:tc>
          <w:tcPr>
            <w:tcW w:w="1417" w:type="dxa"/>
            <w:vMerge/>
          </w:tcPr>
          <w:p w14:paraId="4CAEF0F3" w14:textId="77777777" w:rsidR="00454A29" w:rsidRDefault="00454A29"/>
        </w:tc>
        <w:tc>
          <w:tcPr>
            <w:tcW w:w="2204" w:type="dxa"/>
            <w:vMerge/>
          </w:tcPr>
          <w:p w14:paraId="6E5E6EA5" w14:textId="77777777" w:rsidR="00454A29" w:rsidRDefault="00454A29"/>
        </w:tc>
        <w:tc>
          <w:tcPr>
            <w:tcW w:w="1417" w:type="dxa"/>
            <w:vMerge/>
          </w:tcPr>
          <w:p w14:paraId="37C79E03" w14:textId="77777777" w:rsidR="00454A29" w:rsidRDefault="00454A29"/>
        </w:tc>
        <w:tc>
          <w:tcPr>
            <w:tcW w:w="2324" w:type="dxa"/>
            <w:vMerge/>
          </w:tcPr>
          <w:p w14:paraId="0005AC7D" w14:textId="77777777" w:rsidR="00454A29" w:rsidRDefault="00454A29"/>
        </w:tc>
        <w:tc>
          <w:tcPr>
            <w:tcW w:w="1701" w:type="dxa"/>
            <w:vAlign w:val="center"/>
          </w:tcPr>
          <w:p w14:paraId="74B6F140" w14:textId="77777777" w:rsidR="00454A29" w:rsidRDefault="00454A29">
            <w:pPr>
              <w:pStyle w:val="ConsPlusNormal"/>
            </w:pPr>
          </w:p>
        </w:tc>
        <w:tc>
          <w:tcPr>
            <w:tcW w:w="1814" w:type="dxa"/>
            <w:vAlign w:val="center"/>
          </w:tcPr>
          <w:p w14:paraId="29522D26" w14:textId="77777777" w:rsidR="00454A29" w:rsidRDefault="00454A29">
            <w:pPr>
              <w:pStyle w:val="ConsPlusNormal"/>
            </w:pPr>
          </w:p>
        </w:tc>
        <w:tc>
          <w:tcPr>
            <w:tcW w:w="1701" w:type="dxa"/>
            <w:vAlign w:val="center"/>
          </w:tcPr>
          <w:p w14:paraId="509AC6AC" w14:textId="77777777" w:rsidR="00454A29" w:rsidRDefault="00454A29">
            <w:pPr>
              <w:pStyle w:val="ConsPlusNormal"/>
            </w:pPr>
          </w:p>
        </w:tc>
        <w:tc>
          <w:tcPr>
            <w:tcW w:w="1701" w:type="dxa"/>
            <w:vAlign w:val="center"/>
          </w:tcPr>
          <w:p w14:paraId="5CC49358" w14:textId="77777777" w:rsidR="00454A29" w:rsidRDefault="00454A29">
            <w:pPr>
              <w:pStyle w:val="ConsPlusNormal"/>
            </w:pPr>
          </w:p>
        </w:tc>
        <w:tc>
          <w:tcPr>
            <w:tcW w:w="1814" w:type="dxa"/>
            <w:vAlign w:val="center"/>
          </w:tcPr>
          <w:p w14:paraId="7C556F28" w14:textId="77777777" w:rsidR="00454A29" w:rsidRDefault="00454A29">
            <w:pPr>
              <w:pStyle w:val="ConsPlusNormal"/>
            </w:pPr>
          </w:p>
        </w:tc>
      </w:tr>
      <w:tr w:rsidR="00454A29" w14:paraId="283069C8" w14:textId="77777777">
        <w:tc>
          <w:tcPr>
            <w:tcW w:w="567" w:type="dxa"/>
            <w:vMerge/>
          </w:tcPr>
          <w:p w14:paraId="4496D8CE" w14:textId="77777777" w:rsidR="00454A29" w:rsidRDefault="00454A29"/>
        </w:tc>
        <w:tc>
          <w:tcPr>
            <w:tcW w:w="3345" w:type="dxa"/>
            <w:vMerge/>
          </w:tcPr>
          <w:p w14:paraId="6A084341" w14:textId="77777777" w:rsidR="00454A29" w:rsidRDefault="00454A29"/>
        </w:tc>
        <w:tc>
          <w:tcPr>
            <w:tcW w:w="1701" w:type="dxa"/>
            <w:vAlign w:val="center"/>
          </w:tcPr>
          <w:p w14:paraId="5A090E72" w14:textId="77777777" w:rsidR="00454A29" w:rsidRDefault="00454A29">
            <w:pPr>
              <w:pStyle w:val="ConsPlusNormal"/>
              <w:jc w:val="center"/>
            </w:pPr>
            <w:r>
              <w:t>2026</w:t>
            </w:r>
          </w:p>
        </w:tc>
        <w:tc>
          <w:tcPr>
            <w:tcW w:w="1417" w:type="dxa"/>
            <w:vMerge/>
          </w:tcPr>
          <w:p w14:paraId="287C1298" w14:textId="77777777" w:rsidR="00454A29" w:rsidRDefault="00454A29"/>
        </w:tc>
        <w:tc>
          <w:tcPr>
            <w:tcW w:w="2204" w:type="dxa"/>
            <w:vMerge/>
          </w:tcPr>
          <w:p w14:paraId="3AE20944" w14:textId="77777777" w:rsidR="00454A29" w:rsidRDefault="00454A29"/>
        </w:tc>
        <w:tc>
          <w:tcPr>
            <w:tcW w:w="1417" w:type="dxa"/>
            <w:vMerge/>
          </w:tcPr>
          <w:p w14:paraId="0C8A4A73" w14:textId="77777777" w:rsidR="00454A29" w:rsidRDefault="00454A29"/>
        </w:tc>
        <w:tc>
          <w:tcPr>
            <w:tcW w:w="2324" w:type="dxa"/>
            <w:vMerge/>
          </w:tcPr>
          <w:p w14:paraId="3056E1F7" w14:textId="77777777" w:rsidR="00454A29" w:rsidRDefault="00454A29"/>
        </w:tc>
        <w:tc>
          <w:tcPr>
            <w:tcW w:w="1701" w:type="dxa"/>
            <w:vAlign w:val="center"/>
          </w:tcPr>
          <w:p w14:paraId="10277F73" w14:textId="77777777" w:rsidR="00454A29" w:rsidRDefault="00454A29">
            <w:pPr>
              <w:pStyle w:val="ConsPlusNormal"/>
              <w:jc w:val="center"/>
            </w:pPr>
            <w:r>
              <w:t>420 044,60</w:t>
            </w:r>
          </w:p>
        </w:tc>
        <w:tc>
          <w:tcPr>
            <w:tcW w:w="1814" w:type="dxa"/>
            <w:vAlign w:val="center"/>
          </w:tcPr>
          <w:p w14:paraId="56511387" w14:textId="77777777" w:rsidR="00454A29" w:rsidRDefault="00454A29">
            <w:pPr>
              <w:pStyle w:val="ConsPlusNormal"/>
              <w:jc w:val="center"/>
            </w:pPr>
            <w:r>
              <w:t>5 174,94</w:t>
            </w:r>
          </w:p>
        </w:tc>
        <w:tc>
          <w:tcPr>
            <w:tcW w:w="1701" w:type="dxa"/>
            <w:vAlign w:val="center"/>
          </w:tcPr>
          <w:p w14:paraId="7F66F715" w14:textId="77777777" w:rsidR="00454A29" w:rsidRDefault="00454A29">
            <w:pPr>
              <w:pStyle w:val="ConsPlusNormal"/>
              <w:jc w:val="center"/>
            </w:pPr>
            <w:r>
              <w:t>512 320,01</w:t>
            </w:r>
          </w:p>
        </w:tc>
        <w:tc>
          <w:tcPr>
            <w:tcW w:w="1701" w:type="dxa"/>
            <w:vAlign w:val="center"/>
          </w:tcPr>
          <w:p w14:paraId="2C21E70D" w14:textId="77777777" w:rsidR="00454A29" w:rsidRDefault="00454A29">
            <w:pPr>
              <w:pStyle w:val="ConsPlusNormal"/>
            </w:pPr>
          </w:p>
        </w:tc>
        <w:tc>
          <w:tcPr>
            <w:tcW w:w="1814" w:type="dxa"/>
            <w:vAlign w:val="center"/>
          </w:tcPr>
          <w:p w14:paraId="2BA9B278" w14:textId="77777777" w:rsidR="00454A29" w:rsidRDefault="00454A29">
            <w:pPr>
              <w:pStyle w:val="ConsPlusNormal"/>
            </w:pPr>
          </w:p>
        </w:tc>
      </w:tr>
      <w:tr w:rsidR="00454A29" w14:paraId="6A5DAB3A" w14:textId="77777777">
        <w:tc>
          <w:tcPr>
            <w:tcW w:w="567" w:type="dxa"/>
            <w:vMerge w:val="restart"/>
            <w:vAlign w:val="center"/>
          </w:tcPr>
          <w:p w14:paraId="6456DC5F" w14:textId="77777777" w:rsidR="00454A29" w:rsidRDefault="00454A29">
            <w:pPr>
              <w:pStyle w:val="ConsPlusNormal"/>
              <w:jc w:val="center"/>
            </w:pPr>
            <w:r>
              <w:lastRenderedPageBreak/>
              <w:t>118</w:t>
            </w:r>
          </w:p>
        </w:tc>
        <w:tc>
          <w:tcPr>
            <w:tcW w:w="3345" w:type="dxa"/>
            <w:vMerge w:val="restart"/>
            <w:vAlign w:val="center"/>
          </w:tcPr>
          <w:p w14:paraId="7351039F" w14:textId="77777777" w:rsidR="00454A29" w:rsidRDefault="00454A29">
            <w:pPr>
              <w:pStyle w:val="ConsPlusNormal"/>
              <w:jc w:val="center"/>
            </w:pPr>
            <w:r>
              <w:t>Школа на 540 учащихся в с. Сунтар</w:t>
            </w:r>
          </w:p>
        </w:tc>
        <w:tc>
          <w:tcPr>
            <w:tcW w:w="1701" w:type="dxa"/>
            <w:vAlign w:val="center"/>
          </w:tcPr>
          <w:p w14:paraId="0604E62C" w14:textId="77777777" w:rsidR="00454A29" w:rsidRDefault="00454A29">
            <w:pPr>
              <w:pStyle w:val="ConsPlusNormal"/>
              <w:jc w:val="center"/>
            </w:pPr>
            <w:r>
              <w:t>2020 - 2026 годы - всего</w:t>
            </w:r>
          </w:p>
        </w:tc>
        <w:tc>
          <w:tcPr>
            <w:tcW w:w="1417" w:type="dxa"/>
            <w:vMerge w:val="restart"/>
            <w:vAlign w:val="center"/>
          </w:tcPr>
          <w:p w14:paraId="04FEDFC2" w14:textId="77777777" w:rsidR="00454A29" w:rsidRDefault="00454A29">
            <w:pPr>
              <w:pStyle w:val="ConsPlusNormal"/>
              <w:jc w:val="center"/>
            </w:pPr>
            <w:r>
              <w:t>905 013,09</w:t>
            </w:r>
          </w:p>
        </w:tc>
        <w:tc>
          <w:tcPr>
            <w:tcW w:w="2204" w:type="dxa"/>
            <w:vMerge w:val="restart"/>
            <w:vAlign w:val="center"/>
          </w:tcPr>
          <w:p w14:paraId="40DACAAD" w14:textId="77777777" w:rsidR="00454A29" w:rsidRDefault="00454A29">
            <w:pPr>
              <w:pStyle w:val="ConsPlusNormal"/>
            </w:pPr>
          </w:p>
        </w:tc>
        <w:tc>
          <w:tcPr>
            <w:tcW w:w="1417" w:type="dxa"/>
            <w:vMerge w:val="restart"/>
            <w:vAlign w:val="center"/>
          </w:tcPr>
          <w:p w14:paraId="249E2757" w14:textId="77777777" w:rsidR="00454A29" w:rsidRDefault="00454A29">
            <w:pPr>
              <w:pStyle w:val="ConsPlusNormal"/>
              <w:jc w:val="center"/>
            </w:pPr>
            <w:r>
              <w:t>540</w:t>
            </w:r>
          </w:p>
        </w:tc>
        <w:tc>
          <w:tcPr>
            <w:tcW w:w="2324" w:type="dxa"/>
            <w:vMerge w:val="restart"/>
            <w:vAlign w:val="center"/>
          </w:tcPr>
          <w:p w14:paraId="6257FBE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468FD07" w14:textId="77777777" w:rsidR="00454A29" w:rsidRDefault="00454A29">
            <w:pPr>
              <w:pStyle w:val="ConsPlusNormal"/>
              <w:jc w:val="center"/>
            </w:pPr>
            <w:r>
              <w:t>905 013,09</w:t>
            </w:r>
          </w:p>
        </w:tc>
        <w:tc>
          <w:tcPr>
            <w:tcW w:w="1814" w:type="dxa"/>
            <w:vAlign w:val="center"/>
          </w:tcPr>
          <w:p w14:paraId="2ABFE364" w14:textId="77777777" w:rsidR="00454A29" w:rsidRDefault="00454A29">
            <w:pPr>
              <w:pStyle w:val="ConsPlusNormal"/>
              <w:jc w:val="center"/>
            </w:pPr>
            <w:r>
              <w:t>11 149,76</w:t>
            </w:r>
          </w:p>
        </w:tc>
        <w:tc>
          <w:tcPr>
            <w:tcW w:w="1701" w:type="dxa"/>
            <w:vAlign w:val="center"/>
          </w:tcPr>
          <w:p w14:paraId="1E8331BF" w14:textId="77777777" w:rsidR="00454A29" w:rsidRDefault="00454A29">
            <w:pPr>
              <w:pStyle w:val="ConsPlusNormal"/>
              <w:jc w:val="center"/>
            </w:pPr>
            <w:r>
              <w:t>1 103 826,37</w:t>
            </w:r>
          </w:p>
        </w:tc>
        <w:tc>
          <w:tcPr>
            <w:tcW w:w="1701" w:type="dxa"/>
            <w:vAlign w:val="center"/>
          </w:tcPr>
          <w:p w14:paraId="2A182BA1" w14:textId="77777777" w:rsidR="00454A29" w:rsidRDefault="00454A29">
            <w:pPr>
              <w:pStyle w:val="ConsPlusNormal"/>
              <w:jc w:val="center"/>
            </w:pPr>
            <w:r>
              <w:t>-</w:t>
            </w:r>
          </w:p>
        </w:tc>
        <w:tc>
          <w:tcPr>
            <w:tcW w:w="1814" w:type="dxa"/>
            <w:vAlign w:val="center"/>
          </w:tcPr>
          <w:p w14:paraId="7C4E7EA6" w14:textId="77777777" w:rsidR="00454A29" w:rsidRDefault="00454A29">
            <w:pPr>
              <w:pStyle w:val="ConsPlusNormal"/>
              <w:jc w:val="center"/>
            </w:pPr>
            <w:r>
              <w:t>-</w:t>
            </w:r>
          </w:p>
        </w:tc>
      </w:tr>
      <w:tr w:rsidR="00454A29" w14:paraId="16D911D0" w14:textId="77777777">
        <w:tc>
          <w:tcPr>
            <w:tcW w:w="567" w:type="dxa"/>
            <w:vMerge/>
          </w:tcPr>
          <w:p w14:paraId="267EB2E7" w14:textId="77777777" w:rsidR="00454A29" w:rsidRDefault="00454A29"/>
        </w:tc>
        <w:tc>
          <w:tcPr>
            <w:tcW w:w="3345" w:type="dxa"/>
            <w:vMerge/>
          </w:tcPr>
          <w:p w14:paraId="65A211CC" w14:textId="77777777" w:rsidR="00454A29" w:rsidRDefault="00454A29"/>
        </w:tc>
        <w:tc>
          <w:tcPr>
            <w:tcW w:w="1701" w:type="dxa"/>
            <w:vAlign w:val="center"/>
          </w:tcPr>
          <w:p w14:paraId="15919CB3" w14:textId="77777777" w:rsidR="00454A29" w:rsidRDefault="00454A29">
            <w:pPr>
              <w:pStyle w:val="ConsPlusNormal"/>
              <w:jc w:val="center"/>
            </w:pPr>
            <w:r>
              <w:t>2020</w:t>
            </w:r>
          </w:p>
        </w:tc>
        <w:tc>
          <w:tcPr>
            <w:tcW w:w="1417" w:type="dxa"/>
            <w:vMerge/>
          </w:tcPr>
          <w:p w14:paraId="0E352D7C" w14:textId="77777777" w:rsidR="00454A29" w:rsidRDefault="00454A29"/>
        </w:tc>
        <w:tc>
          <w:tcPr>
            <w:tcW w:w="2204" w:type="dxa"/>
            <w:vMerge/>
          </w:tcPr>
          <w:p w14:paraId="291EB934" w14:textId="77777777" w:rsidR="00454A29" w:rsidRDefault="00454A29"/>
        </w:tc>
        <w:tc>
          <w:tcPr>
            <w:tcW w:w="1417" w:type="dxa"/>
            <w:vMerge/>
          </w:tcPr>
          <w:p w14:paraId="1AB3BA7D" w14:textId="77777777" w:rsidR="00454A29" w:rsidRDefault="00454A29"/>
        </w:tc>
        <w:tc>
          <w:tcPr>
            <w:tcW w:w="2324" w:type="dxa"/>
            <w:vMerge/>
          </w:tcPr>
          <w:p w14:paraId="7C060288" w14:textId="77777777" w:rsidR="00454A29" w:rsidRDefault="00454A29"/>
        </w:tc>
        <w:tc>
          <w:tcPr>
            <w:tcW w:w="1701" w:type="dxa"/>
            <w:vAlign w:val="center"/>
          </w:tcPr>
          <w:p w14:paraId="0D9C134B" w14:textId="77777777" w:rsidR="00454A29" w:rsidRDefault="00454A29">
            <w:pPr>
              <w:pStyle w:val="ConsPlusNormal"/>
            </w:pPr>
          </w:p>
        </w:tc>
        <w:tc>
          <w:tcPr>
            <w:tcW w:w="1814" w:type="dxa"/>
            <w:vAlign w:val="center"/>
          </w:tcPr>
          <w:p w14:paraId="379CEFB3" w14:textId="77777777" w:rsidR="00454A29" w:rsidRDefault="00454A29">
            <w:pPr>
              <w:pStyle w:val="ConsPlusNormal"/>
            </w:pPr>
          </w:p>
        </w:tc>
        <w:tc>
          <w:tcPr>
            <w:tcW w:w="1701" w:type="dxa"/>
            <w:vAlign w:val="center"/>
          </w:tcPr>
          <w:p w14:paraId="1AA47C7F" w14:textId="77777777" w:rsidR="00454A29" w:rsidRDefault="00454A29">
            <w:pPr>
              <w:pStyle w:val="ConsPlusNormal"/>
            </w:pPr>
          </w:p>
        </w:tc>
        <w:tc>
          <w:tcPr>
            <w:tcW w:w="1701" w:type="dxa"/>
            <w:vAlign w:val="center"/>
          </w:tcPr>
          <w:p w14:paraId="3348DF24" w14:textId="77777777" w:rsidR="00454A29" w:rsidRDefault="00454A29">
            <w:pPr>
              <w:pStyle w:val="ConsPlusNormal"/>
            </w:pPr>
          </w:p>
        </w:tc>
        <w:tc>
          <w:tcPr>
            <w:tcW w:w="1814" w:type="dxa"/>
            <w:vAlign w:val="center"/>
          </w:tcPr>
          <w:p w14:paraId="0DA53B1A" w14:textId="77777777" w:rsidR="00454A29" w:rsidRDefault="00454A29">
            <w:pPr>
              <w:pStyle w:val="ConsPlusNormal"/>
            </w:pPr>
          </w:p>
        </w:tc>
      </w:tr>
      <w:tr w:rsidR="00454A29" w14:paraId="2573DE4C" w14:textId="77777777">
        <w:tc>
          <w:tcPr>
            <w:tcW w:w="567" w:type="dxa"/>
            <w:vMerge/>
          </w:tcPr>
          <w:p w14:paraId="208D2956" w14:textId="77777777" w:rsidR="00454A29" w:rsidRDefault="00454A29"/>
        </w:tc>
        <w:tc>
          <w:tcPr>
            <w:tcW w:w="3345" w:type="dxa"/>
            <w:vMerge/>
          </w:tcPr>
          <w:p w14:paraId="62779ABD" w14:textId="77777777" w:rsidR="00454A29" w:rsidRDefault="00454A29"/>
        </w:tc>
        <w:tc>
          <w:tcPr>
            <w:tcW w:w="1701" w:type="dxa"/>
            <w:vAlign w:val="center"/>
          </w:tcPr>
          <w:p w14:paraId="21781DFA" w14:textId="77777777" w:rsidR="00454A29" w:rsidRDefault="00454A29">
            <w:pPr>
              <w:pStyle w:val="ConsPlusNormal"/>
              <w:jc w:val="center"/>
            </w:pPr>
            <w:r>
              <w:t>2021</w:t>
            </w:r>
          </w:p>
        </w:tc>
        <w:tc>
          <w:tcPr>
            <w:tcW w:w="1417" w:type="dxa"/>
            <w:vMerge/>
          </w:tcPr>
          <w:p w14:paraId="1822C714" w14:textId="77777777" w:rsidR="00454A29" w:rsidRDefault="00454A29"/>
        </w:tc>
        <w:tc>
          <w:tcPr>
            <w:tcW w:w="2204" w:type="dxa"/>
            <w:vMerge/>
          </w:tcPr>
          <w:p w14:paraId="093C1A25" w14:textId="77777777" w:rsidR="00454A29" w:rsidRDefault="00454A29"/>
        </w:tc>
        <w:tc>
          <w:tcPr>
            <w:tcW w:w="1417" w:type="dxa"/>
            <w:vMerge/>
          </w:tcPr>
          <w:p w14:paraId="61C3A2AE" w14:textId="77777777" w:rsidR="00454A29" w:rsidRDefault="00454A29"/>
        </w:tc>
        <w:tc>
          <w:tcPr>
            <w:tcW w:w="2324" w:type="dxa"/>
            <w:vMerge/>
          </w:tcPr>
          <w:p w14:paraId="2944D19E" w14:textId="77777777" w:rsidR="00454A29" w:rsidRDefault="00454A29"/>
        </w:tc>
        <w:tc>
          <w:tcPr>
            <w:tcW w:w="1701" w:type="dxa"/>
            <w:vAlign w:val="center"/>
          </w:tcPr>
          <w:p w14:paraId="502A5D29" w14:textId="77777777" w:rsidR="00454A29" w:rsidRDefault="00454A29">
            <w:pPr>
              <w:pStyle w:val="ConsPlusNormal"/>
              <w:jc w:val="center"/>
            </w:pPr>
            <w:r>
              <w:t>-</w:t>
            </w:r>
          </w:p>
        </w:tc>
        <w:tc>
          <w:tcPr>
            <w:tcW w:w="1814" w:type="dxa"/>
            <w:vAlign w:val="center"/>
          </w:tcPr>
          <w:p w14:paraId="0444C1AB" w14:textId="77777777" w:rsidR="00454A29" w:rsidRDefault="00454A29">
            <w:pPr>
              <w:pStyle w:val="ConsPlusNormal"/>
            </w:pPr>
          </w:p>
        </w:tc>
        <w:tc>
          <w:tcPr>
            <w:tcW w:w="1701" w:type="dxa"/>
            <w:vAlign w:val="center"/>
          </w:tcPr>
          <w:p w14:paraId="5CC67371" w14:textId="77777777" w:rsidR="00454A29" w:rsidRDefault="00454A29">
            <w:pPr>
              <w:pStyle w:val="ConsPlusNormal"/>
            </w:pPr>
          </w:p>
        </w:tc>
        <w:tc>
          <w:tcPr>
            <w:tcW w:w="1701" w:type="dxa"/>
            <w:vAlign w:val="center"/>
          </w:tcPr>
          <w:p w14:paraId="4447AA57" w14:textId="77777777" w:rsidR="00454A29" w:rsidRDefault="00454A29">
            <w:pPr>
              <w:pStyle w:val="ConsPlusNormal"/>
            </w:pPr>
          </w:p>
        </w:tc>
        <w:tc>
          <w:tcPr>
            <w:tcW w:w="1814" w:type="dxa"/>
            <w:vAlign w:val="center"/>
          </w:tcPr>
          <w:p w14:paraId="0C5EA1DA" w14:textId="77777777" w:rsidR="00454A29" w:rsidRDefault="00454A29">
            <w:pPr>
              <w:pStyle w:val="ConsPlusNormal"/>
            </w:pPr>
          </w:p>
        </w:tc>
      </w:tr>
      <w:tr w:rsidR="00454A29" w14:paraId="68604C84" w14:textId="77777777">
        <w:tc>
          <w:tcPr>
            <w:tcW w:w="567" w:type="dxa"/>
            <w:vMerge/>
          </w:tcPr>
          <w:p w14:paraId="6923C2A1" w14:textId="77777777" w:rsidR="00454A29" w:rsidRDefault="00454A29"/>
        </w:tc>
        <w:tc>
          <w:tcPr>
            <w:tcW w:w="3345" w:type="dxa"/>
            <w:vMerge/>
          </w:tcPr>
          <w:p w14:paraId="1BEE7D19" w14:textId="77777777" w:rsidR="00454A29" w:rsidRDefault="00454A29"/>
        </w:tc>
        <w:tc>
          <w:tcPr>
            <w:tcW w:w="1701" w:type="dxa"/>
            <w:vAlign w:val="center"/>
          </w:tcPr>
          <w:p w14:paraId="2741DD0F" w14:textId="77777777" w:rsidR="00454A29" w:rsidRDefault="00454A29">
            <w:pPr>
              <w:pStyle w:val="ConsPlusNormal"/>
              <w:jc w:val="center"/>
            </w:pPr>
            <w:r>
              <w:t>2022</w:t>
            </w:r>
          </w:p>
        </w:tc>
        <w:tc>
          <w:tcPr>
            <w:tcW w:w="1417" w:type="dxa"/>
            <w:vMerge/>
          </w:tcPr>
          <w:p w14:paraId="24CA4C09" w14:textId="77777777" w:rsidR="00454A29" w:rsidRDefault="00454A29"/>
        </w:tc>
        <w:tc>
          <w:tcPr>
            <w:tcW w:w="2204" w:type="dxa"/>
            <w:vMerge/>
          </w:tcPr>
          <w:p w14:paraId="7FD3C8F6" w14:textId="77777777" w:rsidR="00454A29" w:rsidRDefault="00454A29"/>
        </w:tc>
        <w:tc>
          <w:tcPr>
            <w:tcW w:w="1417" w:type="dxa"/>
            <w:vMerge/>
          </w:tcPr>
          <w:p w14:paraId="7AD18172" w14:textId="77777777" w:rsidR="00454A29" w:rsidRDefault="00454A29"/>
        </w:tc>
        <w:tc>
          <w:tcPr>
            <w:tcW w:w="2324" w:type="dxa"/>
            <w:vMerge/>
          </w:tcPr>
          <w:p w14:paraId="525FEAD3" w14:textId="77777777" w:rsidR="00454A29" w:rsidRDefault="00454A29"/>
        </w:tc>
        <w:tc>
          <w:tcPr>
            <w:tcW w:w="1701" w:type="dxa"/>
            <w:vAlign w:val="center"/>
          </w:tcPr>
          <w:p w14:paraId="44C07698" w14:textId="77777777" w:rsidR="00454A29" w:rsidRDefault="00454A29">
            <w:pPr>
              <w:pStyle w:val="ConsPlusNormal"/>
            </w:pPr>
          </w:p>
        </w:tc>
        <w:tc>
          <w:tcPr>
            <w:tcW w:w="1814" w:type="dxa"/>
            <w:vAlign w:val="center"/>
          </w:tcPr>
          <w:p w14:paraId="26928C2C" w14:textId="77777777" w:rsidR="00454A29" w:rsidRDefault="00454A29">
            <w:pPr>
              <w:pStyle w:val="ConsPlusNormal"/>
            </w:pPr>
          </w:p>
        </w:tc>
        <w:tc>
          <w:tcPr>
            <w:tcW w:w="1701" w:type="dxa"/>
            <w:vAlign w:val="center"/>
          </w:tcPr>
          <w:p w14:paraId="5F183D7D" w14:textId="77777777" w:rsidR="00454A29" w:rsidRDefault="00454A29">
            <w:pPr>
              <w:pStyle w:val="ConsPlusNormal"/>
            </w:pPr>
          </w:p>
        </w:tc>
        <w:tc>
          <w:tcPr>
            <w:tcW w:w="1701" w:type="dxa"/>
            <w:vAlign w:val="center"/>
          </w:tcPr>
          <w:p w14:paraId="3FFBC584" w14:textId="77777777" w:rsidR="00454A29" w:rsidRDefault="00454A29">
            <w:pPr>
              <w:pStyle w:val="ConsPlusNormal"/>
            </w:pPr>
          </w:p>
        </w:tc>
        <w:tc>
          <w:tcPr>
            <w:tcW w:w="1814" w:type="dxa"/>
            <w:vAlign w:val="center"/>
          </w:tcPr>
          <w:p w14:paraId="38D54261" w14:textId="77777777" w:rsidR="00454A29" w:rsidRDefault="00454A29">
            <w:pPr>
              <w:pStyle w:val="ConsPlusNormal"/>
            </w:pPr>
          </w:p>
        </w:tc>
      </w:tr>
      <w:tr w:rsidR="00454A29" w14:paraId="573577CA" w14:textId="77777777">
        <w:tc>
          <w:tcPr>
            <w:tcW w:w="567" w:type="dxa"/>
            <w:vMerge/>
          </w:tcPr>
          <w:p w14:paraId="51645685" w14:textId="77777777" w:rsidR="00454A29" w:rsidRDefault="00454A29"/>
        </w:tc>
        <w:tc>
          <w:tcPr>
            <w:tcW w:w="3345" w:type="dxa"/>
            <w:vMerge/>
          </w:tcPr>
          <w:p w14:paraId="1157FBBE" w14:textId="77777777" w:rsidR="00454A29" w:rsidRDefault="00454A29"/>
        </w:tc>
        <w:tc>
          <w:tcPr>
            <w:tcW w:w="1701" w:type="dxa"/>
            <w:vAlign w:val="center"/>
          </w:tcPr>
          <w:p w14:paraId="7761702D" w14:textId="77777777" w:rsidR="00454A29" w:rsidRDefault="00454A29">
            <w:pPr>
              <w:pStyle w:val="ConsPlusNormal"/>
              <w:jc w:val="center"/>
            </w:pPr>
            <w:r>
              <w:t>2023</w:t>
            </w:r>
          </w:p>
        </w:tc>
        <w:tc>
          <w:tcPr>
            <w:tcW w:w="1417" w:type="dxa"/>
            <w:vMerge/>
          </w:tcPr>
          <w:p w14:paraId="70196B7A" w14:textId="77777777" w:rsidR="00454A29" w:rsidRDefault="00454A29"/>
        </w:tc>
        <w:tc>
          <w:tcPr>
            <w:tcW w:w="2204" w:type="dxa"/>
            <w:vMerge/>
          </w:tcPr>
          <w:p w14:paraId="1A3D0E59" w14:textId="77777777" w:rsidR="00454A29" w:rsidRDefault="00454A29"/>
        </w:tc>
        <w:tc>
          <w:tcPr>
            <w:tcW w:w="1417" w:type="dxa"/>
            <w:vMerge/>
          </w:tcPr>
          <w:p w14:paraId="335C3CE2" w14:textId="77777777" w:rsidR="00454A29" w:rsidRDefault="00454A29"/>
        </w:tc>
        <w:tc>
          <w:tcPr>
            <w:tcW w:w="2324" w:type="dxa"/>
            <w:vMerge/>
          </w:tcPr>
          <w:p w14:paraId="749867B1" w14:textId="77777777" w:rsidR="00454A29" w:rsidRDefault="00454A29"/>
        </w:tc>
        <w:tc>
          <w:tcPr>
            <w:tcW w:w="1701" w:type="dxa"/>
            <w:vAlign w:val="center"/>
          </w:tcPr>
          <w:p w14:paraId="15CED6FB" w14:textId="77777777" w:rsidR="00454A29" w:rsidRDefault="00454A29">
            <w:pPr>
              <w:pStyle w:val="ConsPlusNormal"/>
            </w:pPr>
          </w:p>
        </w:tc>
        <w:tc>
          <w:tcPr>
            <w:tcW w:w="1814" w:type="dxa"/>
            <w:vAlign w:val="center"/>
          </w:tcPr>
          <w:p w14:paraId="3B1A2164" w14:textId="77777777" w:rsidR="00454A29" w:rsidRDefault="00454A29">
            <w:pPr>
              <w:pStyle w:val="ConsPlusNormal"/>
            </w:pPr>
          </w:p>
        </w:tc>
        <w:tc>
          <w:tcPr>
            <w:tcW w:w="1701" w:type="dxa"/>
            <w:vAlign w:val="center"/>
          </w:tcPr>
          <w:p w14:paraId="747FDABB" w14:textId="77777777" w:rsidR="00454A29" w:rsidRDefault="00454A29">
            <w:pPr>
              <w:pStyle w:val="ConsPlusNormal"/>
            </w:pPr>
          </w:p>
        </w:tc>
        <w:tc>
          <w:tcPr>
            <w:tcW w:w="1701" w:type="dxa"/>
            <w:vAlign w:val="center"/>
          </w:tcPr>
          <w:p w14:paraId="67F73D3B" w14:textId="77777777" w:rsidR="00454A29" w:rsidRDefault="00454A29">
            <w:pPr>
              <w:pStyle w:val="ConsPlusNormal"/>
            </w:pPr>
          </w:p>
        </w:tc>
        <w:tc>
          <w:tcPr>
            <w:tcW w:w="1814" w:type="dxa"/>
            <w:vAlign w:val="center"/>
          </w:tcPr>
          <w:p w14:paraId="12F4DFAC" w14:textId="77777777" w:rsidR="00454A29" w:rsidRDefault="00454A29">
            <w:pPr>
              <w:pStyle w:val="ConsPlusNormal"/>
            </w:pPr>
          </w:p>
        </w:tc>
      </w:tr>
      <w:tr w:rsidR="00454A29" w14:paraId="26BA0C8E" w14:textId="77777777">
        <w:tc>
          <w:tcPr>
            <w:tcW w:w="567" w:type="dxa"/>
            <w:vMerge/>
          </w:tcPr>
          <w:p w14:paraId="394163F7" w14:textId="77777777" w:rsidR="00454A29" w:rsidRDefault="00454A29"/>
        </w:tc>
        <w:tc>
          <w:tcPr>
            <w:tcW w:w="3345" w:type="dxa"/>
            <w:vMerge/>
          </w:tcPr>
          <w:p w14:paraId="1CA4BD92" w14:textId="77777777" w:rsidR="00454A29" w:rsidRDefault="00454A29"/>
        </w:tc>
        <w:tc>
          <w:tcPr>
            <w:tcW w:w="1701" w:type="dxa"/>
            <w:vAlign w:val="center"/>
          </w:tcPr>
          <w:p w14:paraId="77093E69" w14:textId="77777777" w:rsidR="00454A29" w:rsidRDefault="00454A29">
            <w:pPr>
              <w:pStyle w:val="ConsPlusNormal"/>
              <w:jc w:val="center"/>
            </w:pPr>
            <w:r>
              <w:t>2024</w:t>
            </w:r>
          </w:p>
        </w:tc>
        <w:tc>
          <w:tcPr>
            <w:tcW w:w="1417" w:type="dxa"/>
            <w:vMerge/>
          </w:tcPr>
          <w:p w14:paraId="38AC4113" w14:textId="77777777" w:rsidR="00454A29" w:rsidRDefault="00454A29"/>
        </w:tc>
        <w:tc>
          <w:tcPr>
            <w:tcW w:w="2204" w:type="dxa"/>
            <w:vMerge/>
          </w:tcPr>
          <w:p w14:paraId="4349445A" w14:textId="77777777" w:rsidR="00454A29" w:rsidRDefault="00454A29"/>
        </w:tc>
        <w:tc>
          <w:tcPr>
            <w:tcW w:w="1417" w:type="dxa"/>
            <w:vMerge/>
          </w:tcPr>
          <w:p w14:paraId="6CD0115A" w14:textId="77777777" w:rsidR="00454A29" w:rsidRDefault="00454A29"/>
        </w:tc>
        <w:tc>
          <w:tcPr>
            <w:tcW w:w="2324" w:type="dxa"/>
            <w:vMerge/>
          </w:tcPr>
          <w:p w14:paraId="05368FAD" w14:textId="77777777" w:rsidR="00454A29" w:rsidRDefault="00454A29"/>
        </w:tc>
        <w:tc>
          <w:tcPr>
            <w:tcW w:w="1701" w:type="dxa"/>
            <w:vAlign w:val="center"/>
          </w:tcPr>
          <w:p w14:paraId="19329B91" w14:textId="77777777" w:rsidR="00454A29" w:rsidRDefault="00454A29">
            <w:pPr>
              <w:pStyle w:val="ConsPlusNormal"/>
            </w:pPr>
          </w:p>
        </w:tc>
        <w:tc>
          <w:tcPr>
            <w:tcW w:w="1814" w:type="dxa"/>
            <w:vAlign w:val="center"/>
          </w:tcPr>
          <w:p w14:paraId="4586DA99" w14:textId="77777777" w:rsidR="00454A29" w:rsidRDefault="00454A29">
            <w:pPr>
              <w:pStyle w:val="ConsPlusNormal"/>
            </w:pPr>
          </w:p>
        </w:tc>
        <w:tc>
          <w:tcPr>
            <w:tcW w:w="1701" w:type="dxa"/>
            <w:vAlign w:val="center"/>
          </w:tcPr>
          <w:p w14:paraId="617D0003" w14:textId="77777777" w:rsidR="00454A29" w:rsidRDefault="00454A29">
            <w:pPr>
              <w:pStyle w:val="ConsPlusNormal"/>
            </w:pPr>
          </w:p>
        </w:tc>
        <w:tc>
          <w:tcPr>
            <w:tcW w:w="1701" w:type="dxa"/>
            <w:vAlign w:val="center"/>
          </w:tcPr>
          <w:p w14:paraId="13766A87" w14:textId="77777777" w:rsidR="00454A29" w:rsidRDefault="00454A29">
            <w:pPr>
              <w:pStyle w:val="ConsPlusNormal"/>
            </w:pPr>
          </w:p>
        </w:tc>
        <w:tc>
          <w:tcPr>
            <w:tcW w:w="1814" w:type="dxa"/>
            <w:vAlign w:val="center"/>
          </w:tcPr>
          <w:p w14:paraId="40E1850D" w14:textId="77777777" w:rsidR="00454A29" w:rsidRDefault="00454A29">
            <w:pPr>
              <w:pStyle w:val="ConsPlusNormal"/>
            </w:pPr>
          </w:p>
        </w:tc>
      </w:tr>
      <w:tr w:rsidR="00454A29" w14:paraId="14CA70A2" w14:textId="77777777">
        <w:tc>
          <w:tcPr>
            <w:tcW w:w="567" w:type="dxa"/>
            <w:vMerge/>
          </w:tcPr>
          <w:p w14:paraId="4A806C57" w14:textId="77777777" w:rsidR="00454A29" w:rsidRDefault="00454A29"/>
        </w:tc>
        <w:tc>
          <w:tcPr>
            <w:tcW w:w="3345" w:type="dxa"/>
            <w:vMerge/>
          </w:tcPr>
          <w:p w14:paraId="3BC92DC2" w14:textId="77777777" w:rsidR="00454A29" w:rsidRDefault="00454A29"/>
        </w:tc>
        <w:tc>
          <w:tcPr>
            <w:tcW w:w="1701" w:type="dxa"/>
            <w:vAlign w:val="center"/>
          </w:tcPr>
          <w:p w14:paraId="2FED3163" w14:textId="77777777" w:rsidR="00454A29" w:rsidRDefault="00454A29">
            <w:pPr>
              <w:pStyle w:val="ConsPlusNormal"/>
              <w:jc w:val="center"/>
            </w:pPr>
            <w:r>
              <w:t>2025</w:t>
            </w:r>
          </w:p>
        </w:tc>
        <w:tc>
          <w:tcPr>
            <w:tcW w:w="1417" w:type="dxa"/>
            <w:vMerge/>
          </w:tcPr>
          <w:p w14:paraId="398C6880" w14:textId="77777777" w:rsidR="00454A29" w:rsidRDefault="00454A29"/>
        </w:tc>
        <w:tc>
          <w:tcPr>
            <w:tcW w:w="2204" w:type="dxa"/>
            <w:vMerge/>
          </w:tcPr>
          <w:p w14:paraId="5A91BF8E" w14:textId="77777777" w:rsidR="00454A29" w:rsidRDefault="00454A29"/>
        </w:tc>
        <w:tc>
          <w:tcPr>
            <w:tcW w:w="1417" w:type="dxa"/>
            <w:vMerge/>
          </w:tcPr>
          <w:p w14:paraId="246E8840" w14:textId="77777777" w:rsidR="00454A29" w:rsidRDefault="00454A29"/>
        </w:tc>
        <w:tc>
          <w:tcPr>
            <w:tcW w:w="2324" w:type="dxa"/>
            <w:vMerge/>
          </w:tcPr>
          <w:p w14:paraId="3F6DB4AD" w14:textId="77777777" w:rsidR="00454A29" w:rsidRDefault="00454A29"/>
        </w:tc>
        <w:tc>
          <w:tcPr>
            <w:tcW w:w="1701" w:type="dxa"/>
            <w:vAlign w:val="center"/>
          </w:tcPr>
          <w:p w14:paraId="6EB917E1" w14:textId="77777777" w:rsidR="00454A29" w:rsidRDefault="00454A29">
            <w:pPr>
              <w:pStyle w:val="ConsPlusNormal"/>
            </w:pPr>
          </w:p>
        </w:tc>
        <w:tc>
          <w:tcPr>
            <w:tcW w:w="1814" w:type="dxa"/>
            <w:vAlign w:val="center"/>
          </w:tcPr>
          <w:p w14:paraId="4DD5F412" w14:textId="77777777" w:rsidR="00454A29" w:rsidRDefault="00454A29">
            <w:pPr>
              <w:pStyle w:val="ConsPlusNormal"/>
            </w:pPr>
          </w:p>
        </w:tc>
        <w:tc>
          <w:tcPr>
            <w:tcW w:w="1701" w:type="dxa"/>
            <w:vAlign w:val="center"/>
          </w:tcPr>
          <w:p w14:paraId="24012E95" w14:textId="77777777" w:rsidR="00454A29" w:rsidRDefault="00454A29">
            <w:pPr>
              <w:pStyle w:val="ConsPlusNormal"/>
            </w:pPr>
          </w:p>
        </w:tc>
        <w:tc>
          <w:tcPr>
            <w:tcW w:w="1701" w:type="dxa"/>
            <w:vAlign w:val="center"/>
          </w:tcPr>
          <w:p w14:paraId="5C64CE03" w14:textId="77777777" w:rsidR="00454A29" w:rsidRDefault="00454A29">
            <w:pPr>
              <w:pStyle w:val="ConsPlusNormal"/>
            </w:pPr>
          </w:p>
        </w:tc>
        <w:tc>
          <w:tcPr>
            <w:tcW w:w="1814" w:type="dxa"/>
            <w:vAlign w:val="center"/>
          </w:tcPr>
          <w:p w14:paraId="224038A9" w14:textId="77777777" w:rsidR="00454A29" w:rsidRDefault="00454A29">
            <w:pPr>
              <w:pStyle w:val="ConsPlusNormal"/>
            </w:pPr>
          </w:p>
        </w:tc>
      </w:tr>
      <w:tr w:rsidR="00454A29" w14:paraId="0DF320F0" w14:textId="77777777">
        <w:tc>
          <w:tcPr>
            <w:tcW w:w="567" w:type="dxa"/>
            <w:vMerge/>
          </w:tcPr>
          <w:p w14:paraId="354FA409" w14:textId="77777777" w:rsidR="00454A29" w:rsidRDefault="00454A29"/>
        </w:tc>
        <w:tc>
          <w:tcPr>
            <w:tcW w:w="3345" w:type="dxa"/>
            <w:vMerge/>
          </w:tcPr>
          <w:p w14:paraId="4B54B50D" w14:textId="77777777" w:rsidR="00454A29" w:rsidRDefault="00454A29"/>
        </w:tc>
        <w:tc>
          <w:tcPr>
            <w:tcW w:w="1701" w:type="dxa"/>
            <w:vAlign w:val="center"/>
          </w:tcPr>
          <w:p w14:paraId="0BB28E04" w14:textId="77777777" w:rsidR="00454A29" w:rsidRDefault="00454A29">
            <w:pPr>
              <w:pStyle w:val="ConsPlusNormal"/>
              <w:jc w:val="center"/>
            </w:pPr>
            <w:r>
              <w:t>2026</w:t>
            </w:r>
          </w:p>
        </w:tc>
        <w:tc>
          <w:tcPr>
            <w:tcW w:w="1417" w:type="dxa"/>
            <w:vMerge/>
          </w:tcPr>
          <w:p w14:paraId="5BFEDE35" w14:textId="77777777" w:rsidR="00454A29" w:rsidRDefault="00454A29"/>
        </w:tc>
        <w:tc>
          <w:tcPr>
            <w:tcW w:w="2204" w:type="dxa"/>
            <w:vMerge/>
          </w:tcPr>
          <w:p w14:paraId="5B9F7E47" w14:textId="77777777" w:rsidR="00454A29" w:rsidRDefault="00454A29"/>
        </w:tc>
        <w:tc>
          <w:tcPr>
            <w:tcW w:w="1417" w:type="dxa"/>
            <w:vMerge/>
          </w:tcPr>
          <w:p w14:paraId="10BC60A2" w14:textId="77777777" w:rsidR="00454A29" w:rsidRDefault="00454A29"/>
        </w:tc>
        <w:tc>
          <w:tcPr>
            <w:tcW w:w="2324" w:type="dxa"/>
            <w:vMerge/>
          </w:tcPr>
          <w:p w14:paraId="25D3DD7A" w14:textId="77777777" w:rsidR="00454A29" w:rsidRDefault="00454A29"/>
        </w:tc>
        <w:tc>
          <w:tcPr>
            <w:tcW w:w="1701" w:type="dxa"/>
            <w:vAlign w:val="center"/>
          </w:tcPr>
          <w:p w14:paraId="4BE454C1" w14:textId="77777777" w:rsidR="00454A29" w:rsidRDefault="00454A29">
            <w:pPr>
              <w:pStyle w:val="ConsPlusNormal"/>
              <w:jc w:val="center"/>
            </w:pPr>
            <w:r>
              <w:t>905 013,09</w:t>
            </w:r>
          </w:p>
        </w:tc>
        <w:tc>
          <w:tcPr>
            <w:tcW w:w="1814" w:type="dxa"/>
            <w:vAlign w:val="center"/>
          </w:tcPr>
          <w:p w14:paraId="11945C3D" w14:textId="77777777" w:rsidR="00454A29" w:rsidRDefault="00454A29">
            <w:pPr>
              <w:pStyle w:val="ConsPlusNormal"/>
              <w:jc w:val="center"/>
            </w:pPr>
            <w:r>
              <w:t>11 149,76</w:t>
            </w:r>
          </w:p>
        </w:tc>
        <w:tc>
          <w:tcPr>
            <w:tcW w:w="1701" w:type="dxa"/>
            <w:vAlign w:val="center"/>
          </w:tcPr>
          <w:p w14:paraId="03A347C3" w14:textId="77777777" w:rsidR="00454A29" w:rsidRDefault="00454A29">
            <w:pPr>
              <w:pStyle w:val="ConsPlusNormal"/>
              <w:jc w:val="center"/>
            </w:pPr>
            <w:r>
              <w:t>1 103 826,37</w:t>
            </w:r>
          </w:p>
        </w:tc>
        <w:tc>
          <w:tcPr>
            <w:tcW w:w="1701" w:type="dxa"/>
            <w:vAlign w:val="center"/>
          </w:tcPr>
          <w:p w14:paraId="2A04AEC7" w14:textId="77777777" w:rsidR="00454A29" w:rsidRDefault="00454A29">
            <w:pPr>
              <w:pStyle w:val="ConsPlusNormal"/>
            </w:pPr>
          </w:p>
        </w:tc>
        <w:tc>
          <w:tcPr>
            <w:tcW w:w="1814" w:type="dxa"/>
            <w:vAlign w:val="center"/>
          </w:tcPr>
          <w:p w14:paraId="10B1BED8" w14:textId="77777777" w:rsidR="00454A29" w:rsidRDefault="00454A29">
            <w:pPr>
              <w:pStyle w:val="ConsPlusNormal"/>
            </w:pPr>
          </w:p>
        </w:tc>
      </w:tr>
      <w:tr w:rsidR="00454A29" w14:paraId="4EB944AC" w14:textId="77777777">
        <w:tc>
          <w:tcPr>
            <w:tcW w:w="567" w:type="dxa"/>
            <w:vMerge w:val="restart"/>
            <w:vAlign w:val="center"/>
          </w:tcPr>
          <w:p w14:paraId="43436111" w14:textId="77777777" w:rsidR="00454A29" w:rsidRDefault="00454A29">
            <w:pPr>
              <w:pStyle w:val="ConsPlusNormal"/>
              <w:jc w:val="center"/>
            </w:pPr>
            <w:r>
              <w:t>119</w:t>
            </w:r>
          </w:p>
        </w:tc>
        <w:tc>
          <w:tcPr>
            <w:tcW w:w="3345" w:type="dxa"/>
            <w:vMerge w:val="restart"/>
            <w:vAlign w:val="center"/>
          </w:tcPr>
          <w:p w14:paraId="0AEFA6C4" w14:textId="77777777" w:rsidR="00454A29" w:rsidRDefault="00454A29">
            <w:pPr>
              <w:pStyle w:val="ConsPlusNormal"/>
              <w:jc w:val="center"/>
            </w:pPr>
            <w:r>
              <w:t>Школа на 450 учащихся с в с. Сунтар (Лицей)</w:t>
            </w:r>
          </w:p>
        </w:tc>
        <w:tc>
          <w:tcPr>
            <w:tcW w:w="1701" w:type="dxa"/>
            <w:vAlign w:val="center"/>
          </w:tcPr>
          <w:p w14:paraId="26DD5BA9" w14:textId="77777777" w:rsidR="00454A29" w:rsidRDefault="00454A29">
            <w:pPr>
              <w:pStyle w:val="ConsPlusNormal"/>
              <w:jc w:val="center"/>
            </w:pPr>
            <w:r>
              <w:t>2020 - 2026 годы - всего</w:t>
            </w:r>
          </w:p>
        </w:tc>
        <w:tc>
          <w:tcPr>
            <w:tcW w:w="1417" w:type="dxa"/>
            <w:vMerge w:val="restart"/>
            <w:vAlign w:val="center"/>
          </w:tcPr>
          <w:p w14:paraId="15122D8D" w14:textId="77777777" w:rsidR="00454A29" w:rsidRDefault="00454A29">
            <w:pPr>
              <w:pStyle w:val="ConsPlusNormal"/>
              <w:jc w:val="center"/>
            </w:pPr>
            <w:r>
              <w:t>813 304,68</w:t>
            </w:r>
          </w:p>
        </w:tc>
        <w:tc>
          <w:tcPr>
            <w:tcW w:w="2204" w:type="dxa"/>
            <w:vMerge w:val="restart"/>
            <w:vAlign w:val="center"/>
          </w:tcPr>
          <w:p w14:paraId="756A34D0" w14:textId="77777777" w:rsidR="00454A29" w:rsidRDefault="00454A29">
            <w:pPr>
              <w:pStyle w:val="ConsPlusNormal"/>
              <w:jc w:val="center"/>
            </w:pPr>
            <w:r>
              <w:t>имеется</w:t>
            </w:r>
          </w:p>
        </w:tc>
        <w:tc>
          <w:tcPr>
            <w:tcW w:w="1417" w:type="dxa"/>
            <w:vMerge w:val="restart"/>
            <w:vAlign w:val="center"/>
          </w:tcPr>
          <w:p w14:paraId="0679116B" w14:textId="77777777" w:rsidR="00454A29" w:rsidRDefault="00454A29">
            <w:pPr>
              <w:pStyle w:val="ConsPlusNormal"/>
              <w:jc w:val="center"/>
            </w:pPr>
            <w:r>
              <w:t>450</w:t>
            </w:r>
          </w:p>
        </w:tc>
        <w:tc>
          <w:tcPr>
            <w:tcW w:w="2324" w:type="dxa"/>
            <w:vMerge w:val="restart"/>
            <w:vAlign w:val="center"/>
          </w:tcPr>
          <w:p w14:paraId="6D9DE11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CD19B3A" w14:textId="77777777" w:rsidR="00454A29" w:rsidRDefault="00454A29">
            <w:pPr>
              <w:pStyle w:val="ConsPlusNormal"/>
              <w:jc w:val="center"/>
            </w:pPr>
            <w:r>
              <w:t>813 304,68</w:t>
            </w:r>
          </w:p>
        </w:tc>
        <w:tc>
          <w:tcPr>
            <w:tcW w:w="1814" w:type="dxa"/>
            <w:vAlign w:val="center"/>
          </w:tcPr>
          <w:p w14:paraId="703CF8C7" w14:textId="77777777" w:rsidR="00454A29" w:rsidRDefault="00454A29">
            <w:pPr>
              <w:pStyle w:val="ConsPlusNormal"/>
              <w:jc w:val="center"/>
            </w:pPr>
            <w:r>
              <w:t>10 288,32</w:t>
            </w:r>
          </w:p>
        </w:tc>
        <w:tc>
          <w:tcPr>
            <w:tcW w:w="1701" w:type="dxa"/>
            <w:vAlign w:val="center"/>
          </w:tcPr>
          <w:p w14:paraId="6E20DC08" w14:textId="77777777" w:rsidR="00454A29" w:rsidRDefault="00454A29">
            <w:pPr>
              <w:pStyle w:val="ConsPlusNormal"/>
              <w:jc w:val="center"/>
            </w:pPr>
            <w:r>
              <w:t>1 018 542,10</w:t>
            </w:r>
          </w:p>
        </w:tc>
        <w:tc>
          <w:tcPr>
            <w:tcW w:w="1701" w:type="dxa"/>
            <w:vAlign w:val="center"/>
          </w:tcPr>
          <w:p w14:paraId="7DA614EA" w14:textId="77777777" w:rsidR="00454A29" w:rsidRDefault="00454A29">
            <w:pPr>
              <w:pStyle w:val="ConsPlusNormal"/>
              <w:jc w:val="center"/>
            </w:pPr>
            <w:r>
              <w:t>-</w:t>
            </w:r>
          </w:p>
        </w:tc>
        <w:tc>
          <w:tcPr>
            <w:tcW w:w="1814" w:type="dxa"/>
            <w:vAlign w:val="center"/>
          </w:tcPr>
          <w:p w14:paraId="677D5881" w14:textId="77777777" w:rsidR="00454A29" w:rsidRDefault="00454A29">
            <w:pPr>
              <w:pStyle w:val="ConsPlusNormal"/>
              <w:jc w:val="center"/>
            </w:pPr>
            <w:r>
              <w:t>-</w:t>
            </w:r>
          </w:p>
        </w:tc>
      </w:tr>
      <w:tr w:rsidR="00454A29" w14:paraId="6E04A685" w14:textId="77777777">
        <w:tc>
          <w:tcPr>
            <w:tcW w:w="567" w:type="dxa"/>
            <w:vMerge/>
          </w:tcPr>
          <w:p w14:paraId="348C6555" w14:textId="77777777" w:rsidR="00454A29" w:rsidRDefault="00454A29"/>
        </w:tc>
        <w:tc>
          <w:tcPr>
            <w:tcW w:w="3345" w:type="dxa"/>
            <w:vMerge/>
          </w:tcPr>
          <w:p w14:paraId="09184879" w14:textId="77777777" w:rsidR="00454A29" w:rsidRDefault="00454A29"/>
        </w:tc>
        <w:tc>
          <w:tcPr>
            <w:tcW w:w="1701" w:type="dxa"/>
            <w:vAlign w:val="center"/>
          </w:tcPr>
          <w:p w14:paraId="03A0EE3A" w14:textId="77777777" w:rsidR="00454A29" w:rsidRDefault="00454A29">
            <w:pPr>
              <w:pStyle w:val="ConsPlusNormal"/>
              <w:jc w:val="center"/>
            </w:pPr>
            <w:r>
              <w:t>2020</w:t>
            </w:r>
          </w:p>
        </w:tc>
        <w:tc>
          <w:tcPr>
            <w:tcW w:w="1417" w:type="dxa"/>
            <w:vMerge/>
          </w:tcPr>
          <w:p w14:paraId="4FDFD740" w14:textId="77777777" w:rsidR="00454A29" w:rsidRDefault="00454A29"/>
        </w:tc>
        <w:tc>
          <w:tcPr>
            <w:tcW w:w="2204" w:type="dxa"/>
            <w:vMerge/>
          </w:tcPr>
          <w:p w14:paraId="59518438" w14:textId="77777777" w:rsidR="00454A29" w:rsidRDefault="00454A29"/>
        </w:tc>
        <w:tc>
          <w:tcPr>
            <w:tcW w:w="1417" w:type="dxa"/>
            <w:vMerge/>
          </w:tcPr>
          <w:p w14:paraId="274A4D9C" w14:textId="77777777" w:rsidR="00454A29" w:rsidRDefault="00454A29"/>
        </w:tc>
        <w:tc>
          <w:tcPr>
            <w:tcW w:w="2324" w:type="dxa"/>
            <w:vMerge/>
          </w:tcPr>
          <w:p w14:paraId="68901769" w14:textId="77777777" w:rsidR="00454A29" w:rsidRDefault="00454A29"/>
        </w:tc>
        <w:tc>
          <w:tcPr>
            <w:tcW w:w="1701" w:type="dxa"/>
            <w:vAlign w:val="center"/>
          </w:tcPr>
          <w:p w14:paraId="7ADF0AC1" w14:textId="77777777" w:rsidR="00454A29" w:rsidRDefault="00454A29">
            <w:pPr>
              <w:pStyle w:val="ConsPlusNormal"/>
            </w:pPr>
          </w:p>
        </w:tc>
        <w:tc>
          <w:tcPr>
            <w:tcW w:w="1814" w:type="dxa"/>
            <w:vAlign w:val="center"/>
          </w:tcPr>
          <w:p w14:paraId="59AC98BB" w14:textId="77777777" w:rsidR="00454A29" w:rsidRDefault="00454A29">
            <w:pPr>
              <w:pStyle w:val="ConsPlusNormal"/>
            </w:pPr>
          </w:p>
        </w:tc>
        <w:tc>
          <w:tcPr>
            <w:tcW w:w="1701" w:type="dxa"/>
            <w:vAlign w:val="center"/>
          </w:tcPr>
          <w:p w14:paraId="4D6C1945" w14:textId="77777777" w:rsidR="00454A29" w:rsidRDefault="00454A29">
            <w:pPr>
              <w:pStyle w:val="ConsPlusNormal"/>
            </w:pPr>
          </w:p>
        </w:tc>
        <w:tc>
          <w:tcPr>
            <w:tcW w:w="1701" w:type="dxa"/>
            <w:vAlign w:val="center"/>
          </w:tcPr>
          <w:p w14:paraId="47125604" w14:textId="77777777" w:rsidR="00454A29" w:rsidRDefault="00454A29">
            <w:pPr>
              <w:pStyle w:val="ConsPlusNormal"/>
            </w:pPr>
          </w:p>
        </w:tc>
        <w:tc>
          <w:tcPr>
            <w:tcW w:w="1814" w:type="dxa"/>
            <w:vAlign w:val="center"/>
          </w:tcPr>
          <w:p w14:paraId="257AAB26" w14:textId="77777777" w:rsidR="00454A29" w:rsidRDefault="00454A29">
            <w:pPr>
              <w:pStyle w:val="ConsPlusNormal"/>
            </w:pPr>
          </w:p>
        </w:tc>
      </w:tr>
      <w:tr w:rsidR="00454A29" w14:paraId="740DB584" w14:textId="77777777">
        <w:tc>
          <w:tcPr>
            <w:tcW w:w="567" w:type="dxa"/>
            <w:vMerge/>
          </w:tcPr>
          <w:p w14:paraId="437534BA" w14:textId="77777777" w:rsidR="00454A29" w:rsidRDefault="00454A29"/>
        </w:tc>
        <w:tc>
          <w:tcPr>
            <w:tcW w:w="3345" w:type="dxa"/>
            <w:vMerge/>
          </w:tcPr>
          <w:p w14:paraId="02749984" w14:textId="77777777" w:rsidR="00454A29" w:rsidRDefault="00454A29"/>
        </w:tc>
        <w:tc>
          <w:tcPr>
            <w:tcW w:w="1701" w:type="dxa"/>
            <w:vAlign w:val="center"/>
          </w:tcPr>
          <w:p w14:paraId="4E321D8A" w14:textId="77777777" w:rsidR="00454A29" w:rsidRDefault="00454A29">
            <w:pPr>
              <w:pStyle w:val="ConsPlusNormal"/>
              <w:jc w:val="center"/>
            </w:pPr>
            <w:r>
              <w:t>2021</w:t>
            </w:r>
          </w:p>
        </w:tc>
        <w:tc>
          <w:tcPr>
            <w:tcW w:w="1417" w:type="dxa"/>
            <w:vMerge/>
          </w:tcPr>
          <w:p w14:paraId="73A42700" w14:textId="77777777" w:rsidR="00454A29" w:rsidRDefault="00454A29"/>
        </w:tc>
        <w:tc>
          <w:tcPr>
            <w:tcW w:w="2204" w:type="dxa"/>
            <w:vMerge/>
          </w:tcPr>
          <w:p w14:paraId="7B79231B" w14:textId="77777777" w:rsidR="00454A29" w:rsidRDefault="00454A29"/>
        </w:tc>
        <w:tc>
          <w:tcPr>
            <w:tcW w:w="1417" w:type="dxa"/>
            <w:vMerge/>
          </w:tcPr>
          <w:p w14:paraId="7144C99A" w14:textId="77777777" w:rsidR="00454A29" w:rsidRDefault="00454A29"/>
        </w:tc>
        <w:tc>
          <w:tcPr>
            <w:tcW w:w="2324" w:type="dxa"/>
            <w:vMerge/>
          </w:tcPr>
          <w:p w14:paraId="76F71074" w14:textId="77777777" w:rsidR="00454A29" w:rsidRDefault="00454A29"/>
        </w:tc>
        <w:tc>
          <w:tcPr>
            <w:tcW w:w="1701" w:type="dxa"/>
            <w:vAlign w:val="center"/>
          </w:tcPr>
          <w:p w14:paraId="7F3F278D" w14:textId="77777777" w:rsidR="00454A29" w:rsidRDefault="00454A29">
            <w:pPr>
              <w:pStyle w:val="ConsPlusNormal"/>
              <w:jc w:val="center"/>
            </w:pPr>
            <w:r>
              <w:t>-</w:t>
            </w:r>
          </w:p>
        </w:tc>
        <w:tc>
          <w:tcPr>
            <w:tcW w:w="1814" w:type="dxa"/>
            <w:vAlign w:val="center"/>
          </w:tcPr>
          <w:p w14:paraId="34DD3E57" w14:textId="77777777" w:rsidR="00454A29" w:rsidRDefault="00454A29">
            <w:pPr>
              <w:pStyle w:val="ConsPlusNormal"/>
            </w:pPr>
          </w:p>
        </w:tc>
        <w:tc>
          <w:tcPr>
            <w:tcW w:w="1701" w:type="dxa"/>
            <w:vAlign w:val="center"/>
          </w:tcPr>
          <w:p w14:paraId="26AD5BA9" w14:textId="77777777" w:rsidR="00454A29" w:rsidRDefault="00454A29">
            <w:pPr>
              <w:pStyle w:val="ConsPlusNormal"/>
            </w:pPr>
          </w:p>
        </w:tc>
        <w:tc>
          <w:tcPr>
            <w:tcW w:w="1701" w:type="dxa"/>
            <w:vAlign w:val="center"/>
          </w:tcPr>
          <w:p w14:paraId="63A223E1" w14:textId="77777777" w:rsidR="00454A29" w:rsidRDefault="00454A29">
            <w:pPr>
              <w:pStyle w:val="ConsPlusNormal"/>
            </w:pPr>
          </w:p>
        </w:tc>
        <w:tc>
          <w:tcPr>
            <w:tcW w:w="1814" w:type="dxa"/>
            <w:vAlign w:val="center"/>
          </w:tcPr>
          <w:p w14:paraId="5E476580" w14:textId="77777777" w:rsidR="00454A29" w:rsidRDefault="00454A29">
            <w:pPr>
              <w:pStyle w:val="ConsPlusNormal"/>
            </w:pPr>
          </w:p>
        </w:tc>
      </w:tr>
      <w:tr w:rsidR="00454A29" w14:paraId="0333FD16" w14:textId="77777777">
        <w:tc>
          <w:tcPr>
            <w:tcW w:w="567" w:type="dxa"/>
            <w:vMerge/>
          </w:tcPr>
          <w:p w14:paraId="4CF976DF" w14:textId="77777777" w:rsidR="00454A29" w:rsidRDefault="00454A29"/>
        </w:tc>
        <w:tc>
          <w:tcPr>
            <w:tcW w:w="3345" w:type="dxa"/>
            <w:vMerge/>
          </w:tcPr>
          <w:p w14:paraId="195234D6" w14:textId="77777777" w:rsidR="00454A29" w:rsidRDefault="00454A29"/>
        </w:tc>
        <w:tc>
          <w:tcPr>
            <w:tcW w:w="1701" w:type="dxa"/>
            <w:vAlign w:val="center"/>
          </w:tcPr>
          <w:p w14:paraId="01C1B7D5" w14:textId="77777777" w:rsidR="00454A29" w:rsidRDefault="00454A29">
            <w:pPr>
              <w:pStyle w:val="ConsPlusNormal"/>
              <w:jc w:val="center"/>
            </w:pPr>
            <w:r>
              <w:t>2022</w:t>
            </w:r>
          </w:p>
        </w:tc>
        <w:tc>
          <w:tcPr>
            <w:tcW w:w="1417" w:type="dxa"/>
            <w:vMerge/>
          </w:tcPr>
          <w:p w14:paraId="7FB621CB" w14:textId="77777777" w:rsidR="00454A29" w:rsidRDefault="00454A29"/>
        </w:tc>
        <w:tc>
          <w:tcPr>
            <w:tcW w:w="2204" w:type="dxa"/>
            <w:vMerge/>
          </w:tcPr>
          <w:p w14:paraId="093B6A87" w14:textId="77777777" w:rsidR="00454A29" w:rsidRDefault="00454A29"/>
        </w:tc>
        <w:tc>
          <w:tcPr>
            <w:tcW w:w="1417" w:type="dxa"/>
            <w:vMerge/>
          </w:tcPr>
          <w:p w14:paraId="47727850" w14:textId="77777777" w:rsidR="00454A29" w:rsidRDefault="00454A29"/>
        </w:tc>
        <w:tc>
          <w:tcPr>
            <w:tcW w:w="2324" w:type="dxa"/>
            <w:vMerge/>
          </w:tcPr>
          <w:p w14:paraId="0D7E628B" w14:textId="77777777" w:rsidR="00454A29" w:rsidRDefault="00454A29"/>
        </w:tc>
        <w:tc>
          <w:tcPr>
            <w:tcW w:w="1701" w:type="dxa"/>
            <w:vAlign w:val="center"/>
          </w:tcPr>
          <w:p w14:paraId="44971AEE" w14:textId="77777777" w:rsidR="00454A29" w:rsidRDefault="00454A29">
            <w:pPr>
              <w:pStyle w:val="ConsPlusNormal"/>
            </w:pPr>
          </w:p>
        </w:tc>
        <w:tc>
          <w:tcPr>
            <w:tcW w:w="1814" w:type="dxa"/>
            <w:vAlign w:val="center"/>
          </w:tcPr>
          <w:p w14:paraId="73F0EB48" w14:textId="77777777" w:rsidR="00454A29" w:rsidRDefault="00454A29">
            <w:pPr>
              <w:pStyle w:val="ConsPlusNormal"/>
            </w:pPr>
          </w:p>
        </w:tc>
        <w:tc>
          <w:tcPr>
            <w:tcW w:w="1701" w:type="dxa"/>
            <w:vAlign w:val="center"/>
          </w:tcPr>
          <w:p w14:paraId="7C7F2CA7" w14:textId="77777777" w:rsidR="00454A29" w:rsidRDefault="00454A29">
            <w:pPr>
              <w:pStyle w:val="ConsPlusNormal"/>
            </w:pPr>
          </w:p>
        </w:tc>
        <w:tc>
          <w:tcPr>
            <w:tcW w:w="1701" w:type="dxa"/>
            <w:vAlign w:val="center"/>
          </w:tcPr>
          <w:p w14:paraId="35E0FA7B" w14:textId="77777777" w:rsidR="00454A29" w:rsidRDefault="00454A29">
            <w:pPr>
              <w:pStyle w:val="ConsPlusNormal"/>
            </w:pPr>
          </w:p>
        </w:tc>
        <w:tc>
          <w:tcPr>
            <w:tcW w:w="1814" w:type="dxa"/>
            <w:vAlign w:val="center"/>
          </w:tcPr>
          <w:p w14:paraId="12F6053F" w14:textId="77777777" w:rsidR="00454A29" w:rsidRDefault="00454A29">
            <w:pPr>
              <w:pStyle w:val="ConsPlusNormal"/>
            </w:pPr>
          </w:p>
        </w:tc>
      </w:tr>
      <w:tr w:rsidR="00454A29" w14:paraId="33A7CDDE" w14:textId="77777777">
        <w:tc>
          <w:tcPr>
            <w:tcW w:w="567" w:type="dxa"/>
            <w:vMerge/>
          </w:tcPr>
          <w:p w14:paraId="7C80D522" w14:textId="77777777" w:rsidR="00454A29" w:rsidRDefault="00454A29"/>
        </w:tc>
        <w:tc>
          <w:tcPr>
            <w:tcW w:w="3345" w:type="dxa"/>
            <w:vMerge/>
          </w:tcPr>
          <w:p w14:paraId="757D76A2" w14:textId="77777777" w:rsidR="00454A29" w:rsidRDefault="00454A29"/>
        </w:tc>
        <w:tc>
          <w:tcPr>
            <w:tcW w:w="1701" w:type="dxa"/>
            <w:vAlign w:val="center"/>
          </w:tcPr>
          <w:p w14:paraId="693D0A61" w14:textId="77777777" w:rsidR="00454A29" w:rsidRDefault="00454A29">
            <w:pPr>
              <w:pStyle w:val="ConsPlusNormal"/>
              <w:jc w:val="center"/>
            </w:pPr>
            <w:r>
              <w:t>2023</w:t>
            </w:r>
          </w:p>
        </w:tc>
        <w:tc>
          <w:tcPr>
            <w:tcW w:w="1417" w:type="dxa"/>
            <w:vMerge/>
          </w:tcPr>
          <w:p w14:paraId="65C409DF" w14:textId="77777777" w:rsidR="00454A29" w:rsidRDefault="00454A29"/>
        </w:tc>
        <w:tc>
          <w:tcPr>
            <w:tcW w:w="2204" w:type="dxa"/>
            <w:vMerge/>
          </w:tcPr>
          <w:p w14:paraId="2CBB99AA" w14:textId="77777777" w:rsidR="00454A29" w:rsidRDefault="00454A29"/>
        </w:tc>
        <w:tc>
          <w:tcPr>
            <w:tcW w:w="1417" w:type="dxa"/>
            <w:vMerge/>
          </w:tcPr>
          <w:p w14:paraId="3402C695" w14:textId="77777777" w:rsidR="00454A29" w:rsidRDefault="00454A29"/>
        </w:tc>
        <w:tc>
          <w:tcPr>
            <w:tcW w:w="2324" w:type="dxa"/>
            <w:vMerge/>
          </w:tcPr>
          <w:p w14:paraId="698901F7" w14:textId="77777777" w:rsidR="00454A29" w:rsidRDefault="00454A29"/>
        </w:tc>
        <w:tc>
          <w:tcPr>
            <w:tcW w:w="1701" w:type="dxa"/>
            <w:vAlign w:val="center"/>
          </w:tcPr>
          <w:p w14:paraId="481D57A4" w14:textId="77777777" w:rsidR="00454A29" w:rsidRDefault="00454A29">
            <w:pPr>
              <w:pStyle w:val="ConsPlusNormal"/>
            </w:pPr>
          </w:p>
        </w:tc>
        <w:tc>
          <w:tcPr>
            <w:tcW w:w="1814" w:type="dxa"/>
            <w:vAlign w:val="center"/>
          </w:tcPr>
          <w:p w14:paraId="28B81289" w14:textId="77777777" w:rsidR="00454A29" w:rsidRDefault="00454A29">
            <w:pPr>
              <w:pStyle w:val="ConsPlusNormal"/>
            </w:pPr>
          </w:p>
        </w:tc>
        <w:tc>
          <w:tcPr>
            <w:tcW w:w="1701" w:type="dxa"/>
            <w:vAlign w:val="center"/>
          </w:tcPr>
          <w:p w14:paraId="38ABD116" w14:textId="77777777" w:rsidR="00454A29" w:rsidRDefault="00454A29">
            <w:pPr>
              <w:pStyle w:val="ConsPlusNormal"/>
            </w:pPr>
          </w:p>
        </w:tc>
        <w:tc>
          <w:tcPr>
            <w:tcW w:w="1701" w:type="dxa"/>
            <w:vAlign w:val="center"/>
          </w:tcPr>
          <w:p w14:paraId="3280FF20" w14:textId="77777777" w:rsidR="00454A29" w:rsidRDefault="00454A29">
            <w:pPr>
              <w:pStyle w:val="ConsPlusNormal"/>
            </w:pPr>
          </w:p>
        </w:tc>
        <w:tc>
          <w:tcPr>
            <w:tcW w:w="1814" w:type="dxa"/>
            <w:vAlign w:val="center"/>
          </w:tcPr>
          <w:p w14:paraId="19C84911" w14:textId="77777777" w:rsidR="00454A29" w:rsidRDefault="00454A29">
            <w:pPr>
              <w:pStyle w:val="ConsPlusNormal"/>
            </w:pPr>
          </w:p>
        </w:tc>
      </w:tr>
      <w:tr w:rsidR="00454A29" w14:paraId="1E1D86AD" w14:textId="77777777">
        <w:tc>
          <w:tcPr>
            <w:tcW w:w="567" w:type="dxa"/>
            <w:vMerge/>
          </w:tcPr>
          <w:p w14:paraId="47919C6F" w14:textId="77777777" w:rsidR="00454A29" w:rsidRDefault="00454A29"/>
        </w:tc>
        <w:tc>
          <w:tcPr>
            <w:tcW w:w="3345" w:type="dxa"/>
            <w:vMerge/>
          </w:tcPr>
          <w:p w14:paraId="382B1F8C" w14:textId="77777777" w:rsidR="00454A29" w:rsidRDefault="00454A29"/>
        </w:tc>
        <w:tc>
          <w:tcPr>
            <w:tcW w:w="1701" w:type="dxa"/>
            <w:vAlign w:val="center"/>
          </w:tcPr>
          <w:p w14:paraId="696613CD" w14:textId="77777777" w:rsidR="00454A29" w:rsidRDefault="00454A29">
            <w:pPr>
              <w:pStyle w:val="ConsPlusNormal"/>
              <w:jc w:val="center"/>
            </w:pPr>
            <w:r>
              <w:t>2024</w:t>
            </w:r>
          </w:p>
        </w:tc>
        <w:tc>
          <w:tcPr>
            <w:tcW w:w="1417" w:type="dxa"/>
            <w:vMerge/>
          </w:tcPr>
          <w:p w14:paraId="0C12866D" w14:textId="77777777" w:rsidR="00454A29" w:rsidRDefault="00454A29"/>
        </w:tc>
        <w:tc>
          <w:tcPr>
            <w:tcW w:w="2204" w:type="dxa"/>
            <w:vMerge/>
          </w:tcPr>
          <w:p w14:paraId="3DBBCD1A" w14:textId="77777777" w:rsidR="00454A29" w:rsidRDefault="00454A29"/>
        </w:tc>
        <w:tc>
          <w:tcPr>
            <w:tcW w:w="1417" w:type="dxa"/>
            <w:vMerge/>
          </w:tcPr>
          <w:p w14:paraId="68B83F8D" w14:textId="77777777" w:rsidR="00454A29" w:rsidRDefault="00454A29"/>
        </w:tc>
        <w:tc>
          <w:tcPr>
            <w:tcW w:w="2324" w:type="dxa"/>
            <w:vMerge/>
          </w:tcPr>
          <w:p w14:paraId="7F6AEDA5" w14:textId="77777777" w:rsidR="00454A29" w:rsidRDefault="00454A29"/>
        </w:tc>
        <w:tc>
          <w:tcPr>
            <w:tcW w:w="1701" w:type="dxa"/>
            <w:vAlign w:val="center"/>
          </w:tcPr>
          <w:p w14:paraId="442BC296" w14:textId="77777777" w:rsidR="00454A29" w:rsidRDefault="00454A29">
            <w:pPr>
              <w:pStyle w:val="ConsPlusNormal"/>
            </w:pPr>
          </w:p>
        </w:tc>
        <w:tc>
          <w:tcPr>
            <w:tcW w:w="1814" w:type="dxa"/>
            <w:vAlign w:val="center"/>
          </w:tcPr>
          <w:p w14:paraId="5DD4C0D8" w14:textId="77777777" w:rsidR="00454A29" w:rsidRDefault="00454A29">
            <w:pPr>
              <w:pStyle w:val="ConsPlusNormal"/>
            </w:pPr>
          </w:p>
        </w:tc>
        <w:tc>
          <w:tcPr>
            <w:tcW w:w="1701" w:type="dxa"/>
            <w:vAlign w:val="center"/>
          </w:tcPr>
          <w:p w14:paraId="45F6FBD4" w14:textId="77777777" w:rsidR="00454A29" w:rsidRDefault="00454A29">
            <w:pPr>
              <w:pStyle w:val="ConsPlusNormal"/>
            </w:pPr>
          </w:p>
        </w:tc>
        <w:tc>
          <w:tcPr>
            <w:tcW w:w="1701" w:type="dxa"/>
            <w:vAlign w:val="center"/>
          </w:tcPr>
          <w:p w14:paraId="2F27DA4B" w14:textId="77777777" w:rsidR="00454A29" w:rsidRDefault="00454A29">
            <w:pPr>
              <w:pStyle w:val="ConsPlusNormal"/>
            </w:pPr>
          </w:p>
        </w:tc>
        <w:tc>
          <w:tcPr>
            <w:tcW w:w="1814" w:type="dxa"/>
            <w:vAlign w:val="center"/>
          </w:tcPr>
          <w:p w14:paraId="26EE46C4" w14:textId="77777777" w:rsidR="00454A29" w:rsidRDefault="00454A29">
            <w:pPr>
              <w:pStyle w:val="ConsPlusNormal"/>
            </w:pPr>
          </w:p>
        </w:tc>
      </w:tr>
      <w:tr w:rsidR="00454A29" w14:paraId="6FDED031" w14:textId="77777777">
        <w:tc>
          <w:tcPr>
            <w:tcW w:w="567" w:type="dxa"/>
            <w:vMerge/>
          </w:tcPr>
          <w:p w14:paraId="6DC45A89" w14:textId="77777777" w:rsidR="00454A29" w:rsidRDefault="00454A29"/>
        </w:tc>
        <w:tc>
          <w:tcPr>
            <w:tcW w:w="3345" w:type="dxa"/>
            <w:vMerge/>
          </w:tcPr>
          <w:p w14:paraId="20D222BF" w14:textId="77777777" w:rsidR="00454A29" w:rsidRDefault="00454A29"/>
        </w:tc>
        <w:tc>
          <w:tcPr>
            <w:tcW w:w="1701" w:type="dxa"/>
            <w:vAlign w:val="center"/>
          </w:tcPr>
          <w:p w14:paraId="388BBF4C" w14:textId="77777777" w:rsidR="00454A29" w:rsidRDefault="00454A29">
            <w:pPr>
              <w:pStyle w:val="ConsPlusNormal"/>
              <w:jc w:val="center"/>
            </w:pPr>
            <w:r>
              <w:t>2025</w:t>
            </w:r>
          </w:p>
        </w:tc>
        <w:tc>
          <w:tcPr>
            <w:tcW w:w="1417" w:type="dxa"/>
            <w:vMerge/>
          </w:tcPr>
          <w:p w14:paraId="64368C24" w14:textId="77777777" w:rsidR="00454A29" w:rsidRDefault="00454A29"/>
        </w:tc>
        <w:tc>
          <w:tcPr>
            <w:tcW w:w="2204" w:type="dxa"/>
            <w:vMerge/>
          </w:tcPr>
          <w:p w14:paraId="1BAB3080" w14:textId="77777777" w:rsidR="00454A29" w:rsidRDefault="00454A29"/>
        </w:tc>
        <w:tc>
          <w:tcPr>
            <w:tcW w:w="1417" w:type="dxa"/>
            <w:vMerge/>
          </w:tcPr>
          <w:p w14:paraId="117055CD" w14:textId="77777777" w:rsidR="00454A29" w:rsidRDefault="00454A29"/>
        </w:tc>
        <w:tc>
          <w:tcPr>
            <w:tcW w:w="2324" w:type="dxa"/>
            <w:vMerge/>
          </w:tcPr>
          <w:p w14:paraId="1D984EE6" w14:textId="77777777" w:rsidR="00454A29" w:rsidRDefault="00454A29"/>
        </w:tc>
        <w:tc>
          <w:tcPr>
            <w:tcW w:w="1701" w:type="dxa"/>
            <w:vAlign w:val="center"/>
          </w:tcPr>
          <w:p w14:paraId="77179495" w14:textId="77777777" w:rsidR="00454A29" w:rsidRDefault="00454A29">
            <w:pPr>
              <w:pStyle w:val="ConsPlusNormal"/>
              <w:jc w:val="center"/>
            </w:pPr>
            <w:r>
              <w:t>813 304,68</w:t>
            </w:r>
          </w:p>
        </w:tc>
        <w:tc>
          <w:tcPr>
            <w:tcW w:w="1814" w:type="dxa"/>
            <w:vAlign w:val="center"/>
          </w:tcPr>
          <w:p w14:paraId="5EAC1FD3" w14:textId="77777777" w:rsidR="00454A29" w:rsidRDefault="00454A29">
            <w:pPr>
              <w:pStyle w:val="ConsPlusNormal"/>
              <w:jc w:val="center"/>
            </w:pPr>
            <w:r>
              <w:t>10 288,32</w:t>
            </w:r>
          </w:p>
        </w:tc>
        <w:tc>
          <w:tcPr>
            <w:tcW w:w="1701" w:type="dxa"/>
            <w:vAlign w:val="center"/>
          </w:tcPr>
          <w:p w14:paraId="0C4DB9B2" w14:textId="77777777" w:rsidR="00454A29" w:rsidRDefault="00454A29">
            <w:pPr>
              <w:pStyle w:val="ConsPlusNormal"/>
              <w:jc w:val="center"/>
            </w:pPr>
            <w:r>
              <w:t>1 018 542,10</w:t>
            </w:r>
          </w:p>
        </w:tc>
        <w:tc>
          <w:tcPr>
            <w:tcW w:w="1701" w:type="dxa"/>
            <w:vAlign w:val="center"/>
          </w:tcPr>
          <w:p w14:paraId="1CD9A58D" w14:textId="77777777" w:rsidR="00454A29" w:rsidRDefault="00454A29">
            <w:pPr>
              <w:pStyle w:val="ConsPlusNormal"/>
            </w:pPr>
          </w:p>
        </w:tc>
        <w:tc>
          <w:tcPr>
            <w:tcW w:w="1814" w:type="dxa"/>
            <w:vAlign w:val="center"/>
          </w:tcPr>
          <w:p w14:paraId="64B0DB6D" w14:textId="77777777" w:rsidR="00454A29" w:rsidRDefault="00454A29">
            <w:pPr>
              <w:pStyle w:val="ConsPlusNormal"/>
            </w:pPr>
          </w:p>
        </w:tc>
      </w:tr>
      <w:tr w:rsidR="00454A29" w14:paraId="4B7C9281" w14:textId="77777777">
        <w:tc>
          <w:tcPr>
            <w:tcW w:w="567" w:type="dxa"/>
            <w:vMerge/>
          </w:tcPr>
          <w:p w14:paraId="51E5E1B5" w14:textId="77777777" w:rsidR="00454A29" w:rsidRDefault="00454A29"/>
        </w:tc>
        <w:tc>
          <w:tcPr>
            <w:tcW w:w="3345" w:type="dxa"/>
            <w:vMerge/>
          </w:tcPr>
          <w:p w14:paraId="7B10CAF8" w14:textId="77777777" w:rsidR="00454A29" w:rsidRDefault="00454A29"/>
        </w:tc>
        <w:tc>
          <w:tcPr>
            <w:tcW w:w="1701" w:type="dxa"/>
            <w:vAlign w:val="center"/>
          </w:tcPr>
          <w:p w14:paraId="4E4793B7" w14:textId="77777777" w:rsidR="00454A29" w:rsidRDefault="00454A29">
            <w:pPr>
              <w:pStyle w:val="ConsPlusNormal"/>
              <w:jc w:val="center"/>
            </w:pPr>
            <w:r>
              <w:t>2026</w:t>
            </w:r>
          </w:p>
        </w:tc>
        <w:tc>
          <w:tcPr>
            <w:tcW w:w="1417" w:type="dxa"/>
            <w:vMerge/>
          </w:tcPr>
          <w:p w14:paraId="2AFAA4A1" w14:textId="77777777" w:rsidR="00454A29" w:rsidRDefault="00454A29"/>
        </w:tc>
        <w:tc>
          <w:tcPr>
            <w:tcW w:w="2204" w:type="dxa"/>
            <w:vMerge/>
          </w:tcPr>
          <w:p w14:paraId="6C8A8376" w14:textId="77777777" w:rsidR="00454A29" w:rsidRDefault="00454A29"/>
        </w:tc>
        <w:tc>
          <w:tcPr>
            <w:tcW w:w="1417" w:type="dxa"/>
            <w:vMerge/>
          </w:tcPr>
          <w:p w14:paraId="18E230F1" w14:textId="77777777" w:rsidR="00454A29" w:rsidRDefault="00454A29"/>
        </w:tc>
        <w:tc>
          <w:tcPr>
            <w:tcW w:w="2324" w:type="dxa"/>
            <w:vMerge/>
          </w:tcPr>
          <w:p w14:paraId="387C56C2" w14:textId="77777777" w:rsidR="00454A29" w:rsidRDefault="00454A29"/>
        </w:tc>
        <w:tc>
          <w:tcPr>
            <w:tcW w:w="1701" w:type="dxa"/>
            <w:vAlign w:val="center"/>
          </w:tcPr>
          <w:p w14:paraId="151915B7" w14:textId="77777777" w:rsidR="00454A29" w:rsidRDefault="00454A29">
            <w:pPr>
              <w:pStyle w:val="ConsPlusNormal"/>
              <w:jc w:val="center"/>
            </w:pPr>
            <w:r>
              <w:t>-</w:t>
            </w:r>
          </w:p>
        </w:tc>
        <w:tc>
          <w:tcPr>
            <w:tcW w:w="1814" w:type="dxa"/>
            <w:vAlign w:val="center"/>
          </w:tcPr>
          <w:p w14:paraId="7E62BAA9" w14:textId="77777777" w:rsidR="00454A29" w:rsidRDefault="00454A29">
            <w:pPr>
              <w:pStyle w:val="ConsPlusNormal"/>
            </w:pPr>
          </w:p>
        </w:tc>
        <w:tc>
          <w:tcPr>
            <w:tcW w:w="1701" w:type="dxa"/>
            <w:vAlign w:val="center"/>
          </w:tcPr>
          <w:p w14:paraId="2C9FD38A" w14:textId="77777777" w:rsidR="00454A29" w:rsidRDefault="00454A29">
            <w:pPr>
              <w:pStyle w:val="ConsPlusNormal"/>
            </w:pPr>
          </w:p>
        </w:tc>
        <w:tc>
          <w:tcPr>
            <w:tcW w:w="1701" w:type="dxa"/>
            <w:vAlign w:val="center"/>
          </w:tcPr>
          <w:p w14:paraId="0A832F93" w14:textId="77777777" w:rsidR="00454A29" w:rsidRDefault="00454A29">
            <w:pPr>
              <w:pStyle w:val="ConsPlusNormal"/>
            </w:pPr>
          </w:p>
        </w:tc>
        <w:tc>
          <w:tcPr>
            <w:tcW w:w="1814" w:type="dxa"/>
            <w:vAlign w:val="center"/>
          </w:tcPr>
          <w:p w14:paraId="65C4D718" w14:textId="77777777" w:rsidR="00454A29" w:rsidRDefault="00454A29">
            <w:pPr>
              <w:pStyle w:val="ConsPlusNormal"/>
            </w:pPr>
          </w:p>
        </w:tc>
      </w:tr>
      <w:tr w:rsidR="00454A29" w14:paraId="6C58FB73" w14:textId="77777777">
        <w:tc>
          <w:tcPr>
            <w:tcW w:w="567" w:type="dxa"/>
            <w:vMerge w:val="restart"/>
            <w:vAlign w:val="center"/>
          </w:tcPr>
          <w:p w14:paraId="050D3017" w14:textId="77777777" w:rsidR="00454A29" w:rsidRDefault="00454A29">
            <w:pPr>
              <w:pStyle w:val="ConsPlusNormal"/>
              <w:jc w:val="center"/>
            </w:pPr>
            <w:r>
              <w:t>120</w:t>
            </w:r>
          </w:p>
        </w:tc>
        <w:tc>
          <w:tcPr>
            <w:tcW w:w="3345" w:type="dxa"/>
            <w:vMerge w:val="restart"/>
            <w:vAlign w:val="center"/>
          </w:tcPr>
          <w:p w14:paraId="65FA91EF" w14:textId="77777777" w:rsidR="00454A29" w:rsidRDefault="00454A29">
            <w:pPr>
              <w:pStyle w:val="ConsPlusNormal"/>
              <w:jc w:val="center"/>
            </w:pPr>
            <w:r>
              <w:t>Школа на 120 учащихся в с. Хордогой</w:t>
            </w:r>
          </w:p>
        </w:tc>
        <w:tc>
          <w:tcPr>
            <w:tcW w:w="1701" w:type="dxa"/>
            <w:vAlign w:val="center"/>
          </w:tcPr>
          <w:p w14:paraId="58BD64C6" w14:textId="77777777" w:rsidR="00454A29" w:rsidRDefault="00454A29">
            <w:pPr>
              <w:pStyle w:val="ConsPlusNormal"/>
              <w:jc w:val="center"/>
            </w:pPr>
            <w:r>
              <w:t>2020 - 2026 годы - всего</w:t>
            </w:r>
          </w:p>
        </w:tc>
        <w:tc>
          <w:tcPr>
            <w:tcW w:w="1417" w:type="dxa"/>
            <w:vMerge w:val="restart"/>
            <w:vAlign w:val="center"/>
          </w:tcPr>
          <w:p w14:paraId="74CFEFCB" w14:textId="77777777" w:rsidR="00454A29" w:rsidRDefault="00454A29">
            <w:pPr>
              <w:pStyle w:val="ConsPlusNormal"/>
              <w:jc w:val="center"/>
            </w:pPr>
            <w:r>
              <w:t>420 044,60</w:t>
            </w:r>
          </w:p>
        </w:tc>
        <w:tc>
          <w:tcPr>
            <w:tcW w:w="2204" w:type="dxa"/>
            <w:vMerge w:val="restart"/>
            <w:vAlign w:val="center"/>
          </w:tcPr>
          <w:p w14:paraId="682F4637" w14:textId="77777777" w:rsidR="00454A29" w:rsidRDefault="00454A29">
            <w:pPr>
              <w:pStyle w:val="ConsPlusNormal"/>
            </w:pPr>
          </w:p>
        </w:tc>
        <w:tc>
          <w:tcPr>
            <w:tcW w:w="1417" w:type="dxa"/>
            <w:vMerge w:val="restart"/>
            <w:vAlign w:val="center"/>
          </w:tcPr>
          <w:p w14:paraId="78A59567" w14:textId="77777777" w:rsidR="00454A29" w:rsidRDefault="00454A29">
            <w:pPr>
              <w:pStyle w:val="ConsPlusNormal"/>
              <w:jc w:val="center"/>
            </w:pPr>
            <w:r>
              <w:t>120</w:t>
            </w:r>
          </w:p>
        </w:tc>
        <w:tc>
          <w:tcPr>
            <w:tcW w:w="2324" w:type="dxa"/>
            <w:vMerge w:val="restart"/>
            <w:vAlign w:val="center"/>
          </w:tcPr>
          <w:p w14:paraId="03618011"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4E7AB22A" w14:textId="77777777" w:rsidR="00454A29" w:rsidRDefault="00454A29">
            <w:pPr>
              <w:pStyle w:val="ConsPlusNormal"/>
              <w:jc w:val="center"/>
            </w:pPr>
            <w:r>
              <w:lastRenderedPageBreak/>
              <w:t>420 044,60</w:t>
            </w:r>
          </w:p>
        </w:tc>
        <w:tc>
          <w:tcPr>
            <w:tcW w:w="1814" w:type="dxa"/>
            <w:vAlign w:val="center"/>
          </w:tcPr>
          <w:p w14:paraId="5411D29E" w14:textId="77777777" w:rsidR="00454A29" w:rsidRDefault="00454A29">
            <w:pPr>
              <w:pStyle w:val="ConsPlusNormal"/>
              <w:jc w:val="center"/>
            </w:pPr>
            <w:r>
              <w:t>5 313,56</w:t>
            </w:r>
          </w:p>
        </w:tc>
        <w:tc>
          <w:tcPr>
            <w:tcW w:w="1701" w:type="dxa"/>
            <w:vAlign w:val="center"/>
          </w:tcPr>
          <w:p w14:paraId="4AC9DDAD" w14:textId="77777777" w:rsidR="00454A29" w:rsidRDefault="00454A29">
            <w:pPr>
              <w:pStyle w:val="ConsPlusNormal"/>
              <w:jc w:val="center"/>
            </w:pPr>
            <w:r>
              <w:t>526 042,85</w:t>
            </w:r>
          </w:p>
        </w:tc>
        <w:tc>
          <w:tcPr>
            <w:tcW w:w="1701" w:type="dxa"/>
            <w:vAlign w:val="center"/>
          </w:tcPr>
          <w:p w14:paraId="3D4A0D5D" w14:textId="77777777" w:rsidR="00454A29" w:rsidRDefault="00454A29">
            <w:pPr>
              <w:pStyle w:val="ConsPlusNormal"/>
              <w:jc w:val="center"/>
            </w:pPr>
            <w:r>
              <w:t>-</w:t>
            </w:r>
          </w:p>
        </w:tc>
        <w:tc>
          <w:tcPr>
            <w:tcW w:w="1814" w:type="dxa"/>
            <w:vAlign w:val="center"/>
          </w:tcPr>
          <w:p w14:paraId="5CEF889E" w14:textId="77777777" w:rsidR="00454A29" w:rsidRDefault="00454A29">
            <w:pPr>
              <w:pStyle w:val="ConsPlusNormal"/>
              <w:jc w:val="center"/>
            </w:pPr>
            <w:r>
              <w:t>-</w:t>
            </w:r>
          </w:p>
        </w:tc>
      </w:tr>
      <w:tr w:rsidR="00454A29" w14:paraId="02F2F03A" w14:textId="77777777">
        <w:tc>
          <w:tcPr>
            <w:tcW w:w="567" w:type="dxa"/>
            <w:vMerge/>
          </w:tcPr>
          <w:p w14:paraId="2CB353C1" w14:textId="77777777" w:rsidR="00454A29" w:rsidRDefault="00454A29"/>
        </w:tc>
        <w:tc>
          <w:tcPr>
            <w:tcW w:w="3345" w:type="dxa"/>
            <w:vMerge/>
          </w:tcPr>
          <w:p w14:paraId="76A0D905" w14:textId="77777777" w:rsidR="00454A29" w:rsidRDefault="00454A29"/>
        </w:tc>
        <w:tc>
          <w:tcPr>
            <w:tcW w:w="1701" w:type="dxa"/>
            <w:vAlign w:val="center"/>
          </w:tcPr>
          <w:p w14:paraId="13B280B7" w14:textId="77777777" w:rsidR="00454A29" w:rsidRDefault="00454A29">
            <w:pPr>
              <w:pStyle w:val="ConsPlusNormal"/>
              <w:jc w:val="center"/>
            </w:pPr>
            <w:r>
              <w:t>2020</w:t>
            </w:r>
          </w:p>
        </w:tc>
        <w:tc>
          <w:tcPr>
            <w:tcW w:w="1417" w:type="dxa"/>
            <w:vMerge/>
          </w:tcPr>
          <w:p w14:paraId="4200B589" w14:textId="77777777" w:rsidR="00454A29" w:rsidRDefault="00454A29"/>
        </w:tc>
        <w:tc>
          <w:tcPr>
            <w:tcW w:w="2204" w:type="dxa"/>
            <w:vMerge/>
          </w:tcPr>
          <w:p w14:paraId="3041266E" w14:textId="77777777" w:rsidR="00454A29" w:rsidRDefault="00454A29"/>
        </w:tc>
        <w:tc>
          <w:tcPr>
            <w:tcW w:w="1417" w:type="dxa"/>
            <w:vMerge/>
          </w:tcPr>
          <w:p w14:paraId="4E6C25BF" w14:textId="77777777" w:rsidR="00454A29" w:rsidRDefault="00454A29"/>
        </w:tc>
        <w:tc>
          <w:tcPr>
            <w:tcW w:w="2324" w:type="dxa"/>
            <w:vMerge/>
          </w:tcPr>
          <w:p w14:paraId="25F0FDC9" w14:textId="77777777" w:rsidR="00454A29" w:rsidRDefault="00454A29"/>
        </w:tc>
        <w:tc>
          <w:tcPr>
            <w:tcW w:w="1701" w:type="dxa"/>
            <w:vAlign w:val="center"/>
          </w:tcPr>
          <w:p w14:paraId="2944C2FD" w14:textId="77777777" w:rsidR="00454A29" w:rsidRDefault="00454A29">
            <w:pPr>
              <w:pStyle w:val="ConsPlusNormal"/>
            </w:pPr>
          </w:p>
        </w:tc>
        <w:tc>
          <w:tcPr>
            <w:tcW w:w="1814" w:type="dxa"/>
            <w:vAlign w:val="center"/>
          </w:tcPr>
          <w:p w14:paraId="4DF93BE0" w14:textId="77777777" w:rsidR="00454A29" w:rsidRDefault="00454A29">
            <w:pPr>
              <w:pStyle w:val="ConsPlusNormal"/>
            </w:pPr>
          </w:p>
        </w:tc>
        <w:tc>
          <w:tcPr>
            <w:tcW w:w="1701" w:type="dxa"/>
            <w:vAlign w:val="center"/>
          </w:tcPr>
          <w:p w14:paraId="6D7AE3A7" w14:textId="77777777" w:rsidR="00454A29" w:rsidRDefault="00454A29">
            <w:pPr>
              <w:pStyle w:val="ConsPlusNormal"/>
            </w:pPr>
          </w:p>
        </w:tc>
        <w:tc>
          <w:tcPr>
            <w:tcW w:w="1701" w:type="dxa"/>
            <w:vAlign w:val="center"/>
          </w:tcPr>
          <w:p w14:paraId="1E7C715C" w14:textId="77777777" w:rsidR="00454A29" w:rsidRDefault="00454A29">
            <w:pPr>
              <w:pStyle w:val="ConsPlusNormal"/>
            </w:pPr>
          </w:p>
        </w:tc>
        <w:tc>
          <w:tcPr>
            <w:tcW w:w="1814" w:type="dxa"/>
            <w:vAlign w:val="center"/>
          </w:tcPr>
          <w:p w14:paraId="27159B48" w14:textId="77777777" w:rsidR="00454A29" w:rsidRDefault="00454A29">
            <w:pPr>
              <w:pStyle w:val="ConsPlusNormal"/>
            </w:pPr>
          </w:p>
        </w:tc>
      </w:tr>
      <w:tr w:rsidR="00454A29" w14:paraId="46D9FA27" w14:textId="77777777">
        <w:tc>
          <w:tcPr>
            <w:tcW w:w="567" w:type="dxa"/>
            <w:vMerge/>
          </w:tcPr>
          <w:p w14:paraId="3CF69718" w14:textId="77777777" w:rsidR="00454A29" w:rsidRDefault="00454A29"/>
        </w:tc>
        <w:tc>
          <w:tcPr>
            <w:tcW w:w="3345" w:type="dxa"/>
            <w:vMerge/>
          </w:tcPr>
          <w:p w14:paraId="5B0F4C23" w14:textId="77777777" w:rsidR="00454A29" w:rsidRDefault="00454A29"/>
        </w:tc>
        <w:tc>
          <w:tcPr>
            <w:tcW w:w="1701" w:type="dxa"/>
            <w:vAlign w:val="center"/>
          </w:tcPr>
          <w:p w14:paraId="74E8B214" w14:textId="77777777" w:rsidR="00454A29" w:rsidRDefault="00454A29">
            <w:pPr>
              <w:pStyle w:val="ConsPlusNormal"/>
              <w:jc w:val="center"/>
            </w:pPr>
            <w:r>
              <w:t>2021</w:t>
            </w:r>
          </w:p>
        </w:tc>
        <w:tc>
          <w:tcPr>
            <w:tcW w:w="1417" w:type="dxa"/>
            <w:vMerge/>
          </w:tcPr>
          <w:p w14:paraId="1E04A187" w14:textId="77777777" w:rsidR="00454A29" w:rsidRDefault="00454A29"/>
        </w:tc>
        <w:tc>
          <w:tcPr>
            <w:tcW w:w="2204" w:type="dxa"/>
            <w:vMerge/>
          </w:tcPr>
          <w:p w14:paraId="32B5800D" w14:textId="77777777" w:rsidR="00454A29" w:rsidRDefault="00454A29"/>
        </w:tc>
        <w:tc>
          <w:tcPr>
            <w:tcW w:w="1417" w:type="dxa"/>
            <w:vMerge/>
          </w:tcPr>
          <w:p w14:paraId="77FE3B8D" w14:textId="77777777" w:rsidR="00454A29" w:rsidRDefault="00454A29"/>
        </w:tc>
        <w:tc>
          <w:tcPr>
            <w:tcW w:w="2324" w:type="dxa"/>
            <w:vMerge/>
          </w:tcPr>
          <w:p w14:paraId="6F3F7F57" w14:textId="77777777" w:rsidR="00454A29" w:rsidRDefault="00454A29"/>
        </w:tc>
        <w:tc>
          <w:tcPr>
            <w:tcW w:w="1701" w:type="dxa"/>
            <w:vAlign w:val="center"/>
          </w:tcPr>
          <w:p w14:paraId="720514D4" w14:textId="77777777" w:rsidR="00454A29" w:rsidRDefault="00454A29">
            <w:pPr>
              <w:pStyle w:val="ConsPlusNormal"/>
            </w:pPr>
          </w:p>
        </w:tc>
        <w:tc>
          <w:tcPr>
            <w:tcW w:w="1814" w:type="dxa"/>
            <w:vAlign w:val="center"/>
          </w:tcPr>
          <w:p w14:paraId="47FCFC55" w14:textId="77777777" w:rsidR="00454A29" w:rsidRDefault="00454A29">
            <w:pPr>
              <w:pStyle w:val="ConsPlusNormal"/>
            </w:pPr>
          </w:p>
        </w:tc>
        <w:tc>
          <w:tcPr>
            <w:tcW w:w="1701" w:type="dxa"/>
            <w:vAlign w:val="center"/>
          </w:tcPr>
          <w:p w14:paraId="4F691155" w14:textId="77777777" w:rsidR="00454A29" w:rsidRDefault="00454A29">
            <w:pPr>
              <w:pStyle w:val="ConsPlusNormal"/>
            </w:pPr>
          </w:p>
        </w:tc>
        <w:tc>
          <w:tcPr>
            <w:tcW w:w="1701" w:type="dxa"/>
            <w:vAlign w:val="center"/>
          </w:tcPr>
          <w:p w14:paraId="0CCADC86" w14:textId="77777777" w:rsidR="00454A29" w:rsidRDefault="00454A29">
            <w:pPr>
              <w:pStyle w:val="ConsPlusNormal"/>
            </w:pPr>
          </w:p>
        </w:tc>
        <w:tc>
          <w:tcPr>
            <w:tcW w:w="1814" w:type="dxa"/>
            <w:vAlign w:val="center"/>
          </w:tcPr>
          <w:p w14:paraId="5D7AB0B5" w14:textId="77777777" w:rsidR="00454A29" w:rsidRDefault="00454A29">
            <w:pPr>
              <w:pStyle w:val="ConsPlusNormal"/>
            </w:pPr>
          </w:p>
        </w:tc>
      </w:tr>
      <w:tr w:rsidR="00454A29" w14:paraId="5328488B" w14:textId="77777777">
        <w:tc>
          <w:tcPr>
            <w:tcW w:w="567" w:type="dxa"/>
            <w:vMerge/>
          </w:tcPr>
          <w:p w14:paraId="335E8150" w14:textId="77777777" w:rsidR="00454A29" w:rsidRDefault="00454A29"/>
        </w:tc>
        <w:tc>
          <w:tcPr>
            <w:tcW w:w="3345" w:type="dxa"/>
            <w:vMerge/>
          </w:tcPr>
          <w:p w14:paraId="4B93970E" w14:textId="77777777" w:rsidR="00454A29" w:rsidRDefault="00454A29"/>
        </w:tc>
        <w:tc>
          <w:tcPr>
            <w:tcW w:w="1701" w:type="dxa"/>
            <w:vAlign w:val="center"/>
          </w:tcPr>
          <w:p w14:paraId="7816C861" w14:textId="77777777" w:rsidR="00454A29" w:rsidRDefault="00454A29">
            <w:pPr>
              <w:pStyle w:val="ConsPlusNormal"/>
              <w:jc w:val="center"/>
            </w:pPr>
            <w:r>
              <w:t>2022</w:t>
            </w:r>
          </w:p>
        </w:tc>
        <w:tc>
          <w:tcPr>
            <w:tcW w:w="1417" w:type="dxa"/>
            <w:vMerge/>
          </w:tcPr>
          <w:p w14:paraId="1D121858" w14:textId="77777777" w:rsidR="00454A29" w:rsidRDefault="00454A29"/>
        </w:tc>
        <w:tc>
          <w:tcPr>
            <w:tcW w:w="2204" w:type="dxa"/>
            <w:vMerge/>
          </w:tcPr>
          <w:p w14:paraId="5A3C990C" w14:textId="77777777" w:rsidR="00454A29" w:rsidRDefault="00454A29"/>
        </w:tc>
        <w:tc>
          <w:tcPr>
            <w:tcW w:w="1417" w:type="dxa"/>
            <w:vMerge/>
          </w:tcPr>
          <w:p w14:paraId="61C83A39" w14:textId="77777777" w:rsidR="00454A29" w:rsidRDefault="00454A29"/>
        </w:tc>
        <w:tc>
          <w:tcPr>
            <w:tcW w:w="2324" w:type="dxa"/>
            <w:vMerge/>
          </w:tcPr>
          <w:p w14:paraId="596E86E1" w14:textId="77777777" w:rsidR="00454A29" w:rsidRDefault="00454A29"/>
        </w:tc>
        <w:tc>
          <w:tcPr>
            <w:tcW w:w="1701" w:type="dxa"/>
            <w:vAlign w:val="center"/>
          </w:tcPr>
          <w:p w14:paraId="00394E58" w14:textId="77777777" w:rsidR="00454A29" w:rsidRDefault="00454A29">
            <w:pPr>
              <w:pStyle w:val="ConsPlusNormal"/>
            </w:pPr>
          </w:p>
        </w:tc>
        <w:tc>
          <w:tcPr>
            <w:tcW w:w="1814" w:type="dxa"/>
            <w:vAlign w:val="center"/>
          </w:tcPr>
          <w:p w14:paraId="317F28F6" w14:textId="77777777" w:rsidR="00454A29" w:rsidRDefault="00454A29">
            <w:pPr>
              <w:pStyle w:val="ConsPlusNormal"/>
            </w:pPr>
          </w:p>
        </w:tc>
        <w:tc>
          <w:tcPr>
            <w:tcW w:w="1701" w:type="dxa"/>
            <w:vAlign w:val="center"/>
          </w:tcPr>
          <w:p w14:paraId="76533889" w14:textId="77777777" w:rsidR="00454A29" w:rsidRDefault="00454A29">
            <w:pPr>
              <w:pStyle w:val="ConsPlusNormal"/>
            </w:pPr>
          </w:p>
        </w:tc>
        <w:tc>
          <w:tcPr>
            <w:tcW w:w="1701" w:type="dxa"/>
            <w:vAlign w:val="center"/>
          </w:tcPr>
          <w:p w14:paraId="71ACDFD2" w14:textId="77777777" w:rsidR="00454A29" w:rsidRDefault="00454A29">
            <w:pPr>
              <w:pStyle w:val="ConsPlusNormal"/>
            </w:pPr>
          </w:p>
        </w:tc>
        <w:tc>
          <w:tcPr>
            <w:tcW w:w="1814" w:type="dxa"/>
            <w:vAlign w:val="center"/>
          </w:tcPr>
          <w:p w14:paraId="10136577" w14:textId="77777777" w:rsidR="00454A29" w:rsidRDefault="00454A29">
            <w:pPr>
              <w:pStyle w:val="ConsPlusNormal"/>
            </w:pPr>
          </w:p>
        </w:tc>
      </w:tr>
      <w:tr w:rsidR="00454A29" w14:paraId="1216FC66" w14:textId="77777777">
        <w:tc>
          <w:tcPr>
            <w:tcW w:w="567" w:type="dxa"/>
            <w:vMerge/>
          </w:tcPr>
          <w:p w14:paraId="4B73CCD2" w14:textId="77777777" w:rsidR="00454A29" w:rsidRDefault="00454A29"/>
        </w:tc>
        <w:tc>
          <w:tcPr>
            <w:tcW w:w="3345" w:type="dxa"/>
            <w:vMerge/>
          </w:tcPr>
          <w:p w14:paraId="34856357" w14:textId="77777777" w:rsidR="00454A29" w:rsidRDefault="00454A29"/>
        </w:tc>
        <w:tc>
          <w:tcPr>
            <w:tcW w:w="1701" w:type="dxa"/>
            <w:vAlign w:val="center"/>
          </w:tcPr>
          <w:p w14:paraId="7C40CC48" w14:textId="77777777" w:rsidR="00454A29" w:rsidRDefault="00454A29">
            <w:pPr>
              <w:pStyle w:val="ConsPlusNormal"/>
              <w:jc w:val="center"/>
            </w:pPr>
            <w:r>
              <w:t>2023</w:t>
            </w:r>
          </w:p>
        </w:tc>
        <w:tc>
          <w:tcPr>
            <w:tcW w:w="1417" w:type="dxa"/>
            <w:vMerge/>
          </w:tcPr>
          <w:p w14:paraId="5CE9D187" w14:textId="77777777" w:rsidR="00454A29" w:rsidRDefault="00454A29"/>
        </w:tc>
        <w:tc>
          <w:tcPr>
            <w:tcW w:w="2204" w:type="dxa"/>
            <w:vMerge/>
          </w:tcPr>
          <w:p w14:paraId="11180D20" w14:textId="77777777" w:rsidR="00454A29" w:rsidRDefault="00454A29"/>
        </w:tc>
        <w:tc>
          <w:tcPr>
            <w:tcW w:w="1417" w:type="dxa"/>
            <w:vMerge/>
          </w:tcPr>
          <w:p w14:paraId="62BC395F" w14:textId="77777777" w:rsidR="00454A29" w:rsidRDefault="00454A29"/>
        </w:tc>
        <w:tc>
          <w:tcPr>
            <w:tcW w:w="2324" w:type="dxa"/>
            <w:vMerge/>
          </w:tcPr>
          <w:p w14:paraId="69F1ECEB" w14:textId="77777777" w:rsidR="00454A29" w:rsidRDefault="00454A29"/>
        </w:tc>
        <w:tc>
          <w:tcPr>
            <w:tcW w:w="1701" w:type="dxa"/>
            <w:vAlign w:val="center"/>
          </w:tcPr>
          <w:p w14:paraId="011AD36F" w14:textId="77777777" w:rsidR="00454A29" w:rsidRDefault="00454A29">
            <w:pPr>
              <w:pStyle w:val="ConsPlusNormal"/>
            </w:pPr>
          </w:p>
        </w:tc>
        <w:tc>
          <w:tcPr>
            <w:tcW w:w="1814" w:type="dxa"/>
            <w:vAlign w:val="center"/>
          </w:tcPr>
          <w:p w14:paraId="7D2DF78D" w14:textId="77777777" w:rsidR="00454A29" w:rsidRDefault="00454A29">
            <w:pPr>
              <w:pStyle w:val="ConsPlusNormal"/>
            </w:pPr>
          </w:p>
        </w:tc>
        <w:tc>
          <w:tcPr>
            <w:tcW w:w="1701" w:type="dxa"/>
            <w:vAlign w:val="center"/>
          </w:tcPr>
          <w:p w14:paraId="677EDF32" w14:textId="77777777" w:rsidR="00454A29" w:rsidRDefault="00454A29">
            <w:pPr>
              <w:pStyle w:val="ConsPlusNormal"/>
            </w:pPr>
          </w:p>
        </w:tc>
        <w:tc>
          <w:tcPr>
            <w:tcW w:w="1701" w:type="dxa"/>
            <w:vAlign w:val="center"/>
          </w:tcPr>
          <w:p w14:paraId="09457A07" w14:textId="77777777" w:rsidR="00454A29" w:rsidRDefault="00454A29">
            <w:pPr>
              <w:pStyle w:val="ConsPlusNormal"/>
            </w:pPr>
          </w:p>
        </w:tc>
        <w:tc>
          <w:tcPr>
            <w:tcW w:w="1814" w:type="dxa"/>
            <w:vAlign w:val="center"/>
          </w:tcPr>
          <w:p w14:paraId="4967117E" w14:textId="77777777" w:rsidR="00454A29" w:rsidRDefault="00454A29">
            <w:pPr>
              <w:pStyle w:val="ConsPlusNormal"/>
            </w:pPr>
          </w:p>
        </w:tc>
      </w:tr>
      <w:tr w:rsidR="00454A29" w14:paraId="41C6665C" w14:textId="77777777">
        <w:tc>
          <w:tcPr>
            <w:tcW w:w="567" w:type="dxa"/>
            <w:vMerge/>
          </w:tcPr>
          <w:p w14:paraId="16DD7E91" w14:textId="77777777" w:rsidR="00454A29" w:rsidRDefault="00454A29"/>
        </w:tc>
        <w:tc>
          <w:tcPr>
            <w:tcW w:w="3345" w:type="dxa"/>
            <w:vMerge/>
          </w:tcPr>
          <w:p w14:paraId="4A4D4C47" w14:textId="77777777" w:rsidR="00454A29" w:rsidRDefault="00454A29"/>
        </w:tc>
        <w:tc>
          <w:tcPr>
            <w:tcW w:w="1701" w:type="dxa"/>
            <w:vAlign w:val="center"/>
          </w:tcPr>
          <w:p w14:paraId="12742433" w14:textId="77777777" w:rsidR="00454A29" w:rsidRDefault="00454A29">
            <w:pPr>
              <w:pStyle w:val="ConsPlusNormal"/>
              <w:jc w:val="center"/>
            </w:pPr>
            <w:r>
              <w:t>2024</w:t>
            </w:r>
          </w:p>
        </w:tc>
        <w:tc>
          <w:tcPr>
            <w:tcW w:w="1417" w:type="dxa"/>
            <w:vMerge/>
          </w:tcPr>
          <w:p w14:paraId="0C9D7B4B" w14:textId="77777777" w:rsidR="00454A29" w:rsidRDefault="00454A29"/>
        </w:tc>
        <w:tc>
          <w:tcPr>
            <w:tcW w:w="2204" w:type="dxa"/>
            <w:vMerge/>
          </w:tcPr>
          <w:p w14:paraId="108F99A8" w14:textId="77777777" w:rsidR="00454A29" w:rsidRDefault="00454A29"/>
        </w:tc>
        <w:tc>
          <w:tcPr>
            <w:tcW w:w="1417" w:type="dxa"/>
            <w:vMerge/>
          </w:tcPr>
          <w:p w14:paraId="7006785A" w14:textId="77777777" w:rsidR="00454A29" w:rsidRDefault="00454A29"/>
        </w:tc>
        <w:tc>
          <w:tcPr>
            <w:tcW w:w="2324" w:type="dxa"/>
            <w:vMerge/>
          </w:tcPr>
          <w:p w14:paraId="434408FC" w14:textId="77777777" w:rsidR="00454A29" w:rsidRDefault="00454A29"/>
        </w:tc>
        <w:tc>
          <w:tcPr>
            <w:tcW w:w="1701" w:type="dxa"/>
            <w:vAlign w:val="center"/>
          </w:tcPr>
          <w:p w14:paraId="241981CB" w14:textId="77777777" w:rsidR="00454A29" w:rsidRDefault="00454A29">
            <w:pPr>
              <w:pStyle w:val="ConsPlusNormal"/>
            </w:pPr>
          </w:p>
        </w:tc>
        <w:tc>
          <w:tcPr>
            <w:tcW w:w="1814" w:type="dxa"/>
            <w:vAlign w:val="center"/>
          </w:tcPr>
          <w:p w14:paraId="0194FED9" w14:textId="77777777" w:rsidR="00454A29" w:rsidRDefault="00454A29">
            <w:pPr>
              <w:pStyle w:val="ConsPlusNormal"/>
            </w:pPr>
          </w:p>
        </w:tc>
        <w:tc>
          <w:tcPr>
            <w:tcW w:w="1701" w:type="dxa"/>
            <w:vAlign w:val="center"/>
          </w:tcPr>
          <w:p w14:paraId="4C0183DA" w14:textId="77777777" w:rsidR="00454A29" w:rsidRDefault="00454A29">
            <w:pPr>
              <w:pStyle w:val="ConsPlusNormal"/>
            </w:pPr>
          </w:p>
        </w:tc>
        <w:tc>
          <w:tcPr>
            <w:tcW w:w="1701" w:type="dxa"/>
            <w:vAlign w:val="center"/>
          </w:tcPr>
          <w:p w14:paraId="712C24CD" w14:textId="77777777" w:rsidR="00454A29" w:rsidRDefault="00454A29">
            <w:pPr>
              <w:pStyle w:val="ConsPlusNormal"/>
            </w:pPr>
          </w:p>
        </w:tc>
        <w:tc>
          <w:tcPr>
            <w:tcW w:w="1814" w:type="dxa"/>
            <w:vAlign w:val="center"/>
          </w:tcPr>
          <w:p w14:paraId="458CB346" w14:textId="77777777" w:rsidR="00454A29" w:rsidRDefault="00454A29">
            <w:pPr>
              <w:pStyle w:val="ConsPlusNormal"/>
            </w:pPr>
          </w:p>
        </w:tc>
      </w:tr>
      <w:tr w:rsidR="00454A29" w14:paraId="353105AA" w14:textId="77777777">
        <w:tc>
          <w:tcPr>
            <w:tcW w:w="567" w:type="dxa"/>
            <w:vMerge/>
          </w:tcPr>
          <w:p w14:paraId="7351C0C5" w14:textId="77777777" w:rsidR="00454A29" w:rsidRDefault="00454A29"/>
        </w:tc>
        <w:tc>
          <w:tcPr>
            <w:tcW w:w="3345" w:type="dxa"/>
            <w:vMerge/>
          </w:tcPr>
          <w:p w14:paraId="225D2E3E" w14:textId="77777777" w:rsidR="00454A29" w:rsidRDefault="00454A29"/>
        </w:tc>
        <w:tc>
          <w:tcPr>
            <w:tcW w:w="1701" w:type="dxa"/>
            <w:vAlign w:val="center"/>
          </w:tcPr>
          <w:p w14:paraId="6BC3D0EB" w14:textId="77777777" w:rsidR="00454A29" w:rsidRDefault="00454A29">
            <w:pPr>
              <w:pStyle w:val="ConsPlusNormal"/>
              <w:jc w:val="center"/>
            </w:pPr>
            <w:r>
              <w:t>2025</w:t>
            </w:r>
          </w:p>
        </w:tc>
        <w:tc>
          <w:tcPr>
            <w:tcW w:w="1417" w:type="dxa"/>
            <w:vMerge/>
          </w:tcPr>
          <w:p w14:paraId="5232C3C0" w14:textId="77777777" w:rsidR="00454A29" w:rsidRDefault="00454A29"/>
        </w:tc>
        <w:tc>
          <w:tcPr>
            <w:tcW w:w="2204" w:type="dxa"/>
            <w:vMerge/>
          </w:tcPr>
          <w:p w14:paraId="008C8AAD" w14:textId="77777777" w:rsidR="00454A29" w:rsidRDefault="00454A29"/>
        </w:tc>
        <w:tc>
          <w:tcPr>
            <w:tcW w:w="1417" w:type="dxa"/>
            <w:vMerge/>
          </w:tcPr>
          <w:p w14:paraId="2AB0ADDF" w14:textId="77777777" w:rsidR="00454A29" w:rsidRDefault="00454A29"/>
        </w:tc>
        <w:tc>
          <w:tcPr>
            <w:tcW w:w="2324" w:type="dxa"/>
            <w:vMerge/>
          </w:tcPr>
          <w:p w14:paraId="570AFF21" w14:textId="77777777" w:rsidR="00454A29" w:rsidRDefault="00454A29"/>
        </w:tc>
        <w:tc>
          <w:tcPr>
            <w:tcW w:w="1701" w:type="dxa"/>
            <w:vAlign w:val="center"/>
          </w:tcPr>
          <w:p w14:paraId="5BEA8664" w14:textId="77777777" w:rsidR="00454A29" w:rsidRDefault="00454A29">
            <w:pPr>
              <w:pStyle w:val="ConsPlusNormal"/>
              <w:jc w:val="center"/>
            </w:pPr>
            <w:r>
              <w:t>420 044,60</w:t>
            </w:r>
          </w:p>
        </w:tc>
        <w:tc>
          <w:tcPr>
            <w:tcW w:w="1814" w:type="dxa"/>
            <w:vAlign w:val="center"/>
          </w:tcPr>
          <w:p w14:paraId="4F3293FA" w14:textId="77777777" w:rsidR="00454A29" w:rsidRDefault="00454A29">
            <w:pPr>
              <w:pStyle w:val="ConsPlusNormal"/>
              <w:jc w:val="center"/>
            </w:pPr>
            <w:r>
              <w:t>5 313,56</w:t>
            </w:r>
          </w:p>
        </w:tc>
        <w:tc>
          <w:tcPr>
            <w:tcW w:w="1701" w:type="dxa"/>
            <w:vAlign w:val="center"/>
          </w:tcPr>
          <w:p w14:paraId="6263BC01" w14:textId="77777777" w:rsidR="00454A29" w:rsidRDefault="00454A29">
            <w:pPr>
              <w:pStyle w:val="ConsPlusNormal"/>
              <w:jc w:val="center"/>
            </w:pPr>
            <w:r>
              <w:t>526 042,85</w:t>
            </w:r>
          </w:p>
        </w:tc>
        <w:tc>
          <w:tcPr>
            <w:tcW w:w="1701" w:type="dxa"/>
            <w:vAlign w:val="center"/>
          </w:tcPr>
          <w:p w14:paraId="27305891" w14:textId="77777777" w:rsidR="00454A29" w:rsidRDefault="00454A29">
            <w:pPr>
              <w:pStyle w:val="ConsPlusNormal"/>
            </w:pPr>
          </w:p>
        </w:tc>
        <w:tc>
          <w:tcPr>
            <w:tcW w:w="1814" w:type="dxa"/>
            <w:vAlign w:val="center"/>
          </w:tcPr>
          <w:p w14:paraId="04C2833A" w14:textId="77777777" w:rsidR="00454A29" w:rsidRDefault="00454A29">
            <w:pPr>
              <w:pStyle w:val="ConsPlusNormal"/>
            </w:pPr>
          </w:p>
        </w:tc>
      </w:tr>
      <w:tr w:rsidR="00454A29" w14:paraId="12FB5293" w14:textId="77777777">
        <w:tc>
          <w:tcPr>
            <w:tcW w:w="567" w:type="dxa"/>
            <w:vMerge/>
          </w:tcPr>
          <w:p w14:paraId="34B30A13" w14:textId="77777777" w:rsidR="00454A29" w:rsidRDefault="00454A29"/>
        </w:tc>
        <w:tc>
          <w:tcPr>
            <w:tcW w:w="3345" w:type="dxa"/>
            <w:vMerge/>
          </w:tcPr>
          <w:p w14:paraId="53964109" w14:textId="77777777" w:rsidR="00454A29" w:rsidRDefault="00454A29"/>
        </w:tc>
        <w:tc>
          <w:tcPr>
            <w:tcW w:w="1701" w:type="dxa"/>
            <w:vAlign w:val="center"/>
          </w:tcPr>
          <w:p w14:paraId="4649D0B5" w14:textId="77777777" w:rsidR="00454A29" w:rsidRDefault="00454A29">
            <w:pPr>
              <w:pStyle w:val="ConsPlusNormal"/>
              <w:jc w:val="center"/>
            </w:pPr>
            <w:r>
              <w:t>2026</w:t>
            </w:r>
          </w:p>
        </w:tc>
        <w:tc>
          <w:tcPr>
            <w:tcW w:w="1417" w:type="dxa"/>
            <w:vMerge/>
          </w:tcPr>
          <w:p w14:paraId="18D892D0" w14:textId="77777777" w:rsidR="00454A29" w:rsidRDefault="00454A29"/>
        </w:tc>
        <w:tc>
          <w:tcPr>
            <w:tcW w:w="2204" w:type="dxa"/>
            <w:vMerge/>
          </w:tcPr>
          <w:p w14:paraId="4784EDFC" w14:textId="77777777" w:rsidR="00454A29" w:rsidRDefault="00454A29"/>
        </w:tc>
        <w:tc>
          <w:tcPr>
            <w:tcW w:w="1417" w:type="dxa"/>
            <w:vMerge/>
          </w:tcPr>
          <w:p w14:paraId="51AAADC5" w14:textId="77777777" w:rsidR="00454A29" w:rsidRDefault="00454A29"/>
        </w:tc>
        <w:tc>
          <w:tcPr>
            <w:tcW w:w="2324" w:type="dxa"/>
            <w:vMerge/>
          </w:tcPr>
          <w:p w14:paraId="1BD93483" w14:textId="77777777" w:rsidR="00454A29" w:rsidRDefault="00454A29"/>
        </w:tc>
        <w:tc>
          <w:tcPr>
            <w:tcW w:w="1701" w:type="dxa"/>
            <w:vAlign w:val="center"/>
          </w:tcPr>
          <w:p w14:paraId="76C0462D" w14:textId="77777777" w:rsidR="00454A29" w:rsidRDefault="00454A29">
            <w:pPr>
              <w:pStyle w:val="ConsPlusNormal"/>
            </w:pPr>
          </w:p>
        </w:tc>
        <w:tc>
          <w:tcPr>
            <w:tcW w:w="1814" w:type="dxa"/>
            <w:vAlign w:val="center"/>
          </w:tcPr>
          <w:p w14:paraId="49511C37" w14:textId="77777777" w:rsidR="00454A29" w:rsidRDefault="00454A29">
            <w:pPr>
              <w:pStyle w:val="ConsPlusNormal"/>
            </w:pPr>
          </w:p>
        </w:tc>
        <w:tc>
          <w:tcPr>
            <w:tcW w:w="1701" w:type="dxa"/>
            <w:vAlign w:val="center"/>
          </w:tcPr>
          <w:p w14:paraId="47B44B2A" w14:textId="77777777" w:rsidR="00454A29" w:rsidRDefault="00454A29">
            <w:pPr>
              <w:pStyle w:val="ConsPlusNormal"/>
            </w:pPr>
          </w:p>
        </w:tc>
        <w:tc>
          <w:tcPr>
            <w:tcW w:w="1701" w:type="dxa"/>
            <w:vAlign w:val="center"/>
          </w:tcPr>
          <w:p w14:paraId="6AB45449" w14:textId="77777777" w:rsidR="00454A29" w:rsidRDefault="00454A29">
            <w:pPr>
              <w:pStyle w:val="ConsPlusNormal"/>
            </w:pPr>
          </w:p>
        </w:tc>
        <w:tc>
          <w:tcPr>
            <w:tcW w:w="1814" w:type="dxa"/>
            <w:vAlign w:val="center"/>
          </w:tcPr>
          <w:p w14:paraId="2312600B" w14:textId="77777777" w:rsidR="00454A29" w:rsidRDefault="00454A29">
            <w:pPr>
              <w:pStyle w:val="ConsPlusNormal"/>
            </w:pPr>
          </w:p>
        </w:tc>
      </w:tr>
      <w:tr w:rsidR="00454A29" w14:paraId="603D7414" w14:textId="77777777">
        <w:tc>
          <w:tcPr>
            <w:tcW w:w="567" w:type="dxa"/>
            <w:vMerge w:val="restart"/>
            <w:vAlign w:val="center"/>
          </w:tcPr>
          <w:p w14:paraId="4E9B9D4E" w14:textId="77777777" w:rsidR="00454A29" w:rsidRDefault="00454A29">
            <w:pPr>
              <w:pStyle w:val="ConsPlusNormal"/>
              <w:jc w:val="center"/>
            </w:pPr>
            <w:r>
              <w:t>121</w:t>
            </w:r>
          </w:p>
        </w:tc>
        <w:tc>
          <w:tcPr>
            <w:tcW w:w="3345" w:type="dxa"/>
            <w:vMerge w:val="restart"/>
            <w:vAlign w:val="center"/>
          </w:tcPr>
          <w:p w14:paraId="42EE9340" w14:textId="77777777" w:rsidR="00454A29" w:rsidRDefault="00454A29">
            <w:pPr>
              <w:pStyle w:val="ConsPlusNormal"/>
              <w:jc w:val="center"/>
            </w:pPr>
            <w:r>
              <w:t>Школа-сад на 35/18 мест в с. Илимнир</w:t>
            </w:r>
          </w:p>
        </w:tc>
        <w:tc>
          <w:tcPr>
            <w:tcW w:w="1701" w:type="dxa"/>
            <w:vAlign w:val="center"/>
          </w:tcPr>
          <w:p w14:paraId="5593D6E4" w14:textId="77777777" w:rsidR="00454A29" w:rsidRDefault="00454A29">
            <w:pPr>
              <w:pStyle w:val="ConsPlusNormal"/>
              <w:jc w:val="center"/>
            </w:pPr>
            <w:r>
              <w:t>2020 - 2026 годы - всего</w:t>
            </w:r>
          </w:p>
        </w:tc>
        <w:tc>
          <w:tcPr>
            <w:tcW w:w="1417" w:type="dxa"/>
            <w:vMerge w:val="restart"/>
            <w:vAlign w:val="center"/>
          </w:tcPr>
          <w:p w14:paraId="23A7BE19" w14:textId="77777777" w:rsidR="00454A29" w:rsidRDefault="00454A29">
            <w:pPr>
              <w:pStyle w:val="ConsPlusNormal"/>
              <w:jc w:val="center"/>
            </w:pPr>
            <w:r>
              <w:t>194 947,00</w:t>
            </w:r>
          </w:p>
        </w:tc>
        <w:tc>
          <w:tcPr>
            <w:tcW w:w="2204" w:type="dxa"/>
            <w:vMerge w:val="restart"/>
            <w:vAlign w:val="center"/>
          </w:tcPr>
          <w:p w14:paraId="753493AE" w14:textId="77777777" w:rsidR="00454A29" w:rsidRDefault="00454A29">
            <w:pPr>
              <w:pStyle w:val="ConsPlusNormal"/>
            </w:pPr>
          </w:p>
        </w:tc>
        <w:tc>
          <w:tcPr>
            <w:tcW w:w="1417" w:type="dxa"/>
            <w:vMerge w:val="restart"/>
            <w:vAlign w:val="center"/>
          </w:tcPr>
          <w:p w14:paraId="7D1268CD" w14:textId="77777777" w:rsidR="00454A29" w:rsidRDefault="00454A29">
            <w:pPr>
              <w:pStyle w:val="ConsPlusNormal"/>
              <w:jc w:val="center"/>
            </w:pPr>
            <w:r>
              <w:t>35</w:t>
            </w:r>
          </w:p>
        </w:tc>
        <w:tc>
          <w:tcPr>
            <w:tcW w:w="2324" w:type="dxa"/>
            <w:vMerge w:val="restart"/>
            <w:vAlign w:val="center"/>
          </w:tcPr>
          <w:p w14:paraId="464B849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A29B7DE" w14:textId="77777777" w:rsidR="00454A29" w:rsidRDefault="00454A29">
            <w:pPr>
              <w:pStyle w:val="ConsPlusNormal"/>
              <w:jc w:val="center"/>
            </w:pPr>
            <w:r>
              <w:t>194 947,00</w:t>
            </w:r>
          </w:p>
        </w:tc>
        <w:tc>
          <w:tcPr>
            <w:tcW w:w="1814" w:type="dxa"/>
            <w:vAlign w:val="center"/>
          </w:tcPr>
          <w:p w14:paraId="0D7FAFE5" w14:textId="77777777" w:rsidR="00454A29" w:rsidRDefault="00454A29">
            <w:pPr>
              <w:pStyle w:val="ConsPlusNormal"/>
              <w:jc w:val="center"/>
            </w:pPr>
            <w:r>
              <w:t>2 466,08</w:t>
            </w:r>
          </w:p>
        </w:tc>
        <w:tc>
          <w:tcPr>
            <w:tcW w:w="1701" w:type="dxa"/>
            <w:vAlign w:val="center"/>
          </w:tcPr>
          <w:p w14:paraId="768B9B69" w14:textId="77777777" w:rsidR="00454A29" w:rsidRDefault="00454A29">
            <w:pPr>
              <w:pStyle w:val="ConsPlusNormal"/>
              <w:jc w:val="center"/>
            </w:pPr>
            <w:r>
              <w:t>244 141,87</w:t>
            </w:r>
          </w:p>
        </w:tc>
        <w:tc>
          <w:tcPr>
            <w:tcW w:w="1701" w:type="dxa"/>
            <w:vAlign w:val="center"/>
          </w:tcPr>
          <w:p w14:paraId="64D60653" w14:textId="77777777" w:rsidR="00454A29" w:rsidRDefault="00454A29">
            <w:pPr>
              <w:pStyle w:val="ConsPlusNormal"/>
              <w:jc w:val="center"/>
            </w:pPr>
            <w:r>
              <w:t>0</w:t>
            </w:r>
          </w:p>
        </w:tc>
        <w:tc>
          <w:tcPr>
            <w:tcW w:w="1814" w:type="dxa"/>
            <w:vAlign w:val="center"/>
          </w:tcPr>
          <w:p w14:paraId="01BD8FAC" w14:textId="77777777" w:rsidR="00454A29" w:rsidRDefault="00454A29">
            <w:pPr>
              <w:pStyle w:val="ConsPlusNormal"/>
              <w:jc w:val="center"/>
            </w:pPr>
            <w:r>
              <w:t>0</w:t>
            </w:r>
          </w:p>
        </w:tc>
      </w:tr>
      <w:tr w:rsidR="00454A29" w14:paraId="244D6B8B" w14:textId="77777777">
        <w:tc>
          <w:tcPr>
            <w:tcW w:w="567" w:type="dxa"/>
            <w:vMerge/>
          </w:tcPr>
          <w:p w14:paraId="309AFEC2" w14:textId="77777777" w:rsidR="00454A29" w:rsidRDefault="00454A29"/>
        </w:tc>
        <w:tc>
          <w:tcPr>
            <w:tcW w:w="3345" w:type="dxa"/>
            <w:vMerge/>
          </w:tcPr>
          <w:p w14:paraId="452C1AA3" w14:textId="77777777" w:rsidR="00454A29" w:rsidRDefault="00454A29"/>
        </w:tc>
        <w:tc>
          <w:tcPr>
            <w:tcW w:w="1701" w:type="dxa"/>
            <w:vAlign w:val="center"/>
          </w:tcPr>
          <w:p w14:paraId="4806C7F7" w14:textId="77777777" w:rsidR="00454A29" w:rsidRDefault="00454A29">
            <w:pPr>
              <w:pStyle w:val="ConsPlusNormal"/>
              <w:jc w:val="center"/>
            </w:pPr>
            <w:r>
              <w:t>2020</w:t>
            </w:r>
          </w:p>
        </w:tc>
        <w:tc>
          <w:tcPr>
            <w:tcW w:w="1417" w:type="dxa"/>
            <w:vMerge/>
          </w:tcPr>
          <w:p w14:paraId="47322606" w14:textId="77777777" w:rsidR="00454A29" w:rsidRDefault="00454A29"/>
        </w:tc>
        <w:tc>
          <w:tcPr>
            <w:tcW w:w="2204" w:type="dxa"/>
            <w:vMerge/>
          </w:tcPr>
          <w:p w14:paraId="69E97F1B" w14:textId="77777777" w:rsidR="00454A29" w:rsidRDefault="00454A29"/>
        </w:tc>
        <w:tc>
          <w:tcPr>
            <w:tcW w:w="1417" w:type="dxa"/>
            <w:vMerge/>
          </w:tcPr>
          <w:p w14:paraId="3DBE2139" w14:textId="77777777" w:rsidR="00454A29" w:rsidRDefault="00454A29"/>
        </w:tc>
        <w:tc>
          <w:tcPr>
            <w:tcW w:w="2324" w:type="dxa"/>
            <w:vMerge/>
          </w:tcPr>
          <w:p w14:paraId="420D6F8F" w14:textId="77777777" w:rsidR="00454A29" w:rsidRDefault="00454A29"/>
        </w:tc>
        <w:tc>
          <w:tcPr>
            <w:tcW w:w="1701" w:type="dxa"/>
            <w:vAlign w:val="center"/>
          </w:tcPr>
          <w:p w14:paraId="187D915A" w14:textId="77777777" w:rsidR="00454A29" w:rsidRDefault="00454A29">
            <w:pPr>
              <w:pStyle w:val="ConsPlusNormal"/>
            </w:pPr>
          </w:p>
        </w:tc>
        <w:tc>
          <w:tcPr>
            <w:tcW w:w="1814" w:type="dxa"/>
            <w:vAlign w:val="center"/>
          </w:tcPr>
          <w:p w14:paraId="243DD95A" w14:textId="77777777" w:rsidR="00454A29" w:rsidRDefault="00454A29">
            <w:pPr>
              <w:pStyle w:val="ConsPlusNormal"/>
            </w:pPr>
          </w:p>
        </w:tc>
        <w:tc>
          <w:tcPr>
            <w:tcW w:w="1701" w:type="dxa"/>
            <w:vAlign w:val="center"/>
          </w:tcPr>
          <w:p w14:paraId="73C81940" w14:textId="77777777" w:rsidR="00454A29" w:rsidRDefault="00454A29">
            <w:pPr>
              <w:pStyle w:val="ConsPlusNormal"/>
            </w:pPr>
          </w:p>
        </w:tc>
        <w:tc>
          <w:tcPr>
            <w:tcW w:w="1701" w:type="dxa"/>
            <w:vAlign w:val="center"/>
          </w:tcPr>
          <w:p w14:paraId="5E7D97FF" w14:textId="77777777" w:rsidR="00454A29" w:rsidRDefault="00454A29">
            <w:pPr>
              <w:pStyle w:val="ConsPlusNormal"/>
            </w:pPr>
          </w:p>
        </w:tc>
        <w:tc>
          <w:tcPr>
            <w:tcW w:w="1814" w:type="dxa"/>
            <w:vAlign w:val="center"/>
          </w:tcPr>
          <w:p w14:paraId="133CF345" w14:textId="77777777" w:rsidR="00454A29" w:rsidRDefault="00454A29">
            <w:pPr>
              <w:pStyle w:val="ConsPlusNormal"/>
            </w:pPr>
          </w:p>
        </w:tc>
      </w:tr>
      <w:tr w:rsidR="00454A29" w14:paraId="6A43C3BC" w14:textId="77777777">
        <w:tc>
          <w:tcPr>
            <w:tcW w:w="567" w:type="dxa"/>
            <w:vMerge/>
          </w:tcPr>
          <w:p w14:paraId="4923864B" w14:textId="77777777" w:rsidR="00454A29" w:rsidRDefault="00454A29"/>
        </w:tc>
        <w:tc>
          <w:tcPr>
            <w:tcW w:w="3345" w:type="dxa"/>
            <w:vMerge/>
          </w:tcPr>
          <w:p w14:paraId="72E3BA11" w14:textId="77777777" w:rsidR="00454A29" w:rsidRDefault="00454A29"/>
        </w:tc>
        <w:tc>
          <w:tcPr>
            <w:tcW w:w="1701" w:type="dxa"/>
            <w:vAlign w:val="center"/>
          </w:tcPr>
          <w:p w14:paraId="256621AD" w14:textId="77777777" w:rsidR="00454A29" w:rsidRDefault="00454A29">
            <w:pPr>
              <w:pStyle w:val="ConsPlusNormal"/>
              <w:jc w:val="center"/>
            </w:pPr>
            <w:r>
              <w:t>2021</w:t>
            </w:r>
          </w:p>
        </w:tc>
        <w:tc>
          <w:tcPr>
            <w:tcW w:w="1417" w:type="dxa"/>
            <w:vMerge/>
          </w:tcPr>
          <w:p w14:paraId="5A26BB4B" w14:textId="77777777" w:rsidR="00454A29" w:rsidRDefault="00454A29"/>
        </w:tc>
        <w:tc>
          <w:tcPr>
            <w:tcW w:w="2204" w:type="dxa"/>
            <w:vMerge/>
          </w:tcPr>
          <w:p w14:paraId="1AEC1719" w14:textId="77777777" w:rsidR="00454A29" w:rsidRDefault="00454A29"/>
        </w:tc>
        <w:tc>
          <w:tcPr>
            <w:tcW w:w="1417" w:type="dxa"/>
            <w:vMerge/>
          </w:tcPr>
          <w:p w14:paraId="6E3ECE4E" w14:textId="77777777" w:rsidR="00454A29" w:rsidRDefault="00454A29"/>
        </w:tc>
        <w:tc>
          <w:tcPr>
            <w:tcW w:w="2324" w:type="dxa"/>
            <w:vMerge/>
          </w:tcPr>
          <w:p w14:paraId="7A7D7753" w14:textId="77777777" w:rsidR="00454A29" w:rsidRDefault="00454A29"/>
        </w:tc>
        <w:tc>
          <w:tcPr>
            <w:tcW w:w="1701" w:type="dxa"/>
            <w:vAlign w:val="center"/>
          </w:tcPr>
          <w:p w14:paraId="3A57A80F" w14:textId="77777777" w:rsidR="00454A29" w:rsidRDefault="00454A29">
            <w:pPr>
              <w:pStyle w:val="ConsPlusNormal"/>
            </w:pPr>
          </w:p>
        </w:tc>
        <w:tc>
          <w:tcPr>
            <w:tcW w:w="1814" w:type="dxa"/>
            <w:vAlign w:val="center"/>
          </w:tcPr>
          <w:p w14:paraId="4FD7197F" w14:textId="77777777" w:rsidR="00454A29" w:rsidRDefault="00454A29">
            <w:pPr>
              <w:pStyle w:val="ConsPlusNormal"/>
            </w:pPr>
          </w:p>
        </w:tc>
        <w:tc>
          <w:tcPr>
            <w:tcW w:w="1701" w:type="dxa"/>
            <w:vAlign w:val="center"/>
          </w:tcPr>
          <w:p w14:paraId="09F9F302" w14:textId="77777777" w:rsidR="00454A29" w:rsidRDefault="00454A29">
            <w:pPr>
              <w:pStyle w:val="ConsPlusNormal"/>
            </w:pPr>
          </w:p>
        </w:tc>
        <w:tc>
          <w:tcPr>
            <w:tcW w:w="1701" w:type="dxa"/>
            <w:vAlign w:val="center"/>
          </w:tcPr>
          <w:p w14:paraId="54EC4D58" w14:textId="77777777" w:rsidR="00454A29" w:rsidRDefault="00454A29">
            <w:pPr>
              <w:pStyle w:val="ConsPlusNormal"/>
            </w:pPr>
          </w:p>
        </w:tc>
        <w:tc>
          <w:tcPr>
            <w:tcW w:w="1814" w:type="dxa"/>
            <w:vAlign w:val="center"/>
          </w:tcPr>
          <w:p w14:paraId="08601CF6" w14:textId="77777777" w:rsidR="00454A29" w:rsidRDefault="00454A29">
            <w:pPr>
              <w:pStyle w:val="ConsPlusNormal"/>
            </w:pPr>
          </w:p>
        </w:tc>
      </w:tr>
      <w:tr w:rsidR="00454A29" w14:paraId="60F0EA7F" w14:textId="77777777">
        <w:tc>
          <w:tcPr>
            <w:tcW w:w="567" w:type="dxa"/>
            <w:vMerge/>
          </w:tcPr>
          <w:p w14:paraId="44B8F03E" w14:textId="77777777" w:rsidR="00454A29" w:rsidRDefault="00454A29"/>
        </w:tc>
        <w:tc>
          <w:tcPr>
            <w:tcW w:w="3345" w:type="dxa"/>
            <w:vMerge/>
          </w:tcPr>
          <w:p w14:paraId="05E5586A" w14:textId="77777777" w:rsidR="00454A29" w:rsidRDefault="00454A29"/>
        </w:tc>
        <w:tc>
          <w:tcPr>
            <w:tcW w:w="1701" w:type="dxa"/>
            <w:vAlign w:val="center"/>
          </w:tcPr>
          <w:p w14:paraId="4A7D7E79" w14:textId="77777777" w:rsidR="00454A29" w:rsidRDefault="00454A29">
            <w:pPr>
              <w:pStyle w:val="ConsPlusNormal"/>
              <w:jc w:val="center"/>
            </w:pPr>
            <w:r>
              <w:t>2022</w:t>
            </w:r>
          </w:p>
        </w:tc>
        <w:tc>
          <w:tcPr>
            <w:tcW w:w="1417" w:type="dxa"/>
            <w:vMerge/>
          </w:tcPr>
          <w:p w14:paraId="4B69C8FD" w14:textId="77777777" w:rsidR="00454A29" w:rsidRDefault="00454A29"/>
        </w:tc>
        <w:tc>
          <w:tcPr>
            <w:tcW w:w="2204" w:type="dxa"/>
            <w:vMerge/>
          </w:tcPr>
          <w:p w14:paraId="3450745E" w14:textId="77777777" w:rsidR="00454A29" w:rsidRDefault="00454A29"/>
        </w:tc>
        <w:tc>
          <w:tcPr>
            <w:tcW w:w="1417" w:type="dxa"/>
            <w:vMerge/>
          </w:tcPr>
          <w:p w14:paraId="0D8D078E" w14:textId="77777777" w:rsidR="00454A29" w:rsidRDefault="00454A29"/>
        </w:tc>
        <w:tc>
          <w:tcPr>
            <w:tcW w:w="2324" w:type="dxa"/>
            <w:vMerge/>
          </w:tcPr>
          <w:p w14:paraId="7667780C" w14:textId="77777777" w:rsidR="00454A29" w:rsidRDefault="00454A29"/>
        </w:tc>
        <w:tc>
          <w:tcPr>
            <w:tcW w:w="1701" w:type="dxa"/>
            <w:vAlign w:val="center"/>
          </w:tcPr>
          <w:p w14:paraId="7A755DAA" w14:textId="77777777" w:rsidR="00454A29" w:rsidRDefault="00454A29">
            <w:pPr>
              <w:pStyle w:val="ConsPlusNormal"/>
            </w:pPr>
          </w:p>
        </w:tc>
        <w:tc>
          <w:tcPr>
            <w:tcW w:w="1814" w:type="dxa"/>
            <w:vAlign w:val="center"/>
          </w:tcPr>
          <w:p w14:paraId="039745F6" w14:textId="77777777" w:rsidR="00454A29" w:rsidRDefault="00454A29">
            <w:pPr>
              <w:pStyle w:val="ConsPlusNormal"/>
            </w:pPr>
          </w:p>
        </w:tc>
        <w:tc>
          <w:tcPr>
            <w:tcW w:w="1701" w:type="dxa"/>
            <w:vAlign w:val="center"/>
          </w:tcPr>
          <w:p w14:paraId="5D63A3F0" w14:textId="77777777" w:rsidR="00454A29" w:rsidRDefault="00454A29">
            <w:pPr>
              <w:pStyle w:val="ConsPlusNormal"/>
            </w:pPr>
          </w:p>
        </w:tc>
        <w:tc>
          <w:tcPr>
            <w:tcW w:w="1701" w:type="dxa"/>
            <w:vAlign w:val="center"/>
          </w:tcPr>
          <w:p w14:paraId="52952985" w14:textId="77777777" w:rsidR="00454A29" w:rsidRDefault="00454A29">
            <w:pPr>
              <w:pStyle w:val="ConsPlusNormal"/>
            </w:pPr>
          </w:p>
        </w:tc>
        <w:tc>
          <w:tcPr>
            <w:tcW w:w="1814" w:type="dxa"/>
            <w:vAlign w:val="center"/>
          </w:tcPr>
          <w:p w14:paraId="3F66AC68" w14:textId="77777777" w:rsidR="00454A29" w:rsidRDefault="00454A29">
            <w:pPr>
              <w:pStyle w:val="ConsPlusNormal"/>
            </w:pPr>
          </w:p>
        </w:tc>
      </w:tr>
      <w:tr w:rsidR="00454A29" w14:paraId="185293B0" w14:textId="77777777">
        <w:tc>
          <w:tcPr>
            <w:tcW w:w="567" w:type="dxa"/>
            <w:vMerge/>
          </w:tcPr>
          <w:p w14:paraId="1560E660" w14:textId="77777777" w:rsidR="00454A29" w:rsidRDefault="00454A29"/>
        </w:tc>
        <w:tc>
          <w:tcPr>
            <w:tcW w:w="3345" w:type="dxa"/>
            <w:vMerge/>
          </w:tcPr>
          <w:p w14:paraId="4172BB5B" w14:textId="77777777" w:rsidR="00454A29" w:rsidRDefault="00454A29"/>
        </w:tc>
        <w:tc>
          <w:tcPr>
            <w:tcW w:w="1701" w:type="dxa"/>
            <w:vAlign w:val="center"/>
          </w:tcPr>
          <w:p w14:paraId="698A5AA9" w14:textId="77777777" w:rsidR="00454A29" w:rsidRDefault="00454A29">
            <w:pPr>
              <w:pStyle w:val="ConsPlusNormal"/>
              <w:jc w:val="center"/>
            </w:pPr>
            <w:r>
              <w:t>2023</w:t>
            </w:r>
          </w:p>
        </w:tc>
        <w:tc>
          <w:tcPr>
            <w:tcW w:w="1417" w:type="dxa"/>
            <w:vMerge/>
          </w:tcPr>
          <w:p w14:paraId="7BC505F8" w14:textId="77777777" w:rsidR="00454A29" w:rsidRDefault="00454A29"/>
        </w:tc>
        <w:tc>
          <w:tcPr>
            <w:tcW w:w="2204" w:type="dxa"/>
            <w:vMerge/>
          </w:tcPr>
          <w:p w14:paraId="5082EF9B" w14:textId="77777777" w:rsidR="00454A29" w:rsidRDefault="00454A29"/>
        </w:tc>
        <w:tc>
          <w:tcPr>
            <w:tcW w:w="1417" w:type="dxa"/>
            <w:vMerge/>
          </w:tcPr>
          <w:p w14:paraId="4A2EF888" w14:textId="77777777" w:rsidR="00454A29" w:rsidRDefault="00454A29"/>
        </w:tc>
        <w:tc>
          <w:tcPr>
            <w:tcW w:w="2324" w:type="dxa"/>
            <w:vMerge/>
          </w:tcPr>
          <w:p w14:paraId="0701507A" w14:textId="77777777" w:rsidR="00454A29" w:rsidRDefault="00454A29"/>
        </w:tc>
        <w:tc>
          <w:tcPr>
            <w:tcW w:w="1701" w:type="dxa"/>
            <w:vAlign w:val="center"/>
          </w:tcPr>
          <w:p w14:paraId="58790E58" w14:textId="77777777" w:rsidR="00454A29" w:rsidRDefault="00454A29">
            <w:pPr>
              <w:pStyle w:val="ConsPlusNormal"/>
              <w:jc w:val="center"/>
            </w:pPr>
            <w:r>
              <w:t>-</w:t>
            </w:r>
          </w:p>
        </w:tc>
        <w:tc>
          <w:tcPr>
            <w:tcW w:w="1814" w:type="dxa"/>
            <w:vAlign w:val="center"/>
          </w:tcPr>
          <w:p w14:paraId="37281E63" w14:textId="77777777" w:rsidR="00454A29" w:rsidRDefault="00454A29">
            <w:pPr>
              <w:pStyle w:val="ConsPlusNormal"/>
            </w:pPr>
          </w:p>
        </w:tc>
        <w:tc>
          <w:tcPr>
            <w:tcW w:w="1701" w:type="dxa"/>
            <w:vAlign w:val="center"/>
          </w:tcPr>
          <w:p w14:paraId="19227C55" w14:textId="77777777" w:rsidR="00454A29" w:rsidRDefault="00454A29">
            <w:pPr>
              <w:pStyle w:val="ConsPlusNormal"/>
            </w:pPr>
          </w:p>
        </w:tc>
        <w:tc>
          <w:tcPr>
            <w:tcW w:w="1701" w:type="dxa"/>
            <w:vAlign w:val="center"/>
          </w:tcPr>
          <w:p w14:paraId="5B087D7A" w14:textId="77777777" w:rsidR="00454A29" w:rsidRDefault="00454A29">
            <w:pPr>
              <w:pStyle w:val="ConsPlusNormal"/>
            </w:pPr>
          </w:p>
        </w:tc>
        <w:tc>
          <w:tcPr>
            <w:tcW w:w="1814" w:type="dxa"/>
            <w:vAlign w:val="center"/>
          </w:tcPr>
          <w:p w14:paraId="6FC29ECA" w14:textId="77777777" w:rsidR="00454A29" w:rsidRDefault="00454A29">
            <w:pPr>
              <w:pStyle w:val="ConsPlusNormal"/>
            </w:pPr>
          </w:p>
        </w:tc>
      </w:tr>
      <w:tr w:rsidR="00454A29" w14:paraId="1DD5A14A" w14:textId="77777777">
        <w:tc>
          <w:tcPr>
            <w:tcW w:w="567" w:type="dxa"/>
            <w:vMerge/>
          </w:tcPr>
          <w:p w14:paraId="32F8746C" w14:textId="77777777" w:rsidR="00454A29" w:rsidRDefault="00454A29"/>
        </w:tc>
        <w:tc>
          <w:tcPr>
            <w:tcW w:w="3345" w:type="dxa"/>
            <w:vMerge/>
          </w:tcPr>
          <w:p w14:paraId="00971088" w14:textId="77777777" w:rsidR="00454A29" w:rsidRDefault="00454A29"/>
        </w:tc>
        <w:tc>
          <w:tcPr>
            <w:tcW w:w="1701" w:type="dxa"/>
            <w:vAlign w:val="center"/>
          </w:tcPr>
          <w:p w14:paraId="3E61D4D9" w14:textId="77777777" w:rsidR="00454A29" w:rsidRDefault="00454A29">
            <w:pPr>
              <w:pStyle w:val="ConsPlusNormal"/>
              <w:jc w:val="center"/>
            </w:pPr>
            <w:r>
              <w:t>2024</w:t>
            </w:r>
          </w:p>
        </w:tc>
        <w:tc>
          <w:tcPr>
            <w:tcW w:w="1417" w:type="dxa"/>
            <w:vMerge/>
          </w:tcPr>
          <w:p w14:paraId="4A2F5F73" w14:textId="77777777" w:rsidR="00454A29" w:rsidRDefault="00454A29"/>
        </w:tc>
        <w:tc>
          <w:tcPr>
            <w:tcW w:w="2204" w:type="dxa"/>
            <w:vMerge/>
          </w:tcPr>
          <w:p w14:paraId="166DA32F" w14:textId="77777777" w:rsidR="00454A29" w:rsidRDefault="00454A29"/>
        </w:tc>
        <w:tc>
          <w:tcPr>
            <w:tcW w:w="1417" w:type="dxa"/>
            <w:vMerge/>
          </w:tcPr>
          <w:p w14:paraId="071A04D7" w14:textId="77777777" w:rsidR="00454A29" w:rsidRDefault="00454A29"/>
        </w:tc>
        <w:tc>
          <w:tcPr>
            <w:tcW w:w="2324" w:type="dxa"/>
            <w:vMerge/>
          </w:tcPr>
          <w:p w14:paraId="0C385984" w14:textId="77777777" w:rsidR="00454A29" w:rsidRDefault="00454A29"/>
        </w:tc>
        <w:tc>
          <w:tcPr>
            <w:tcW w:w="1701" w:type="dxa"/>
            <w:vAlign w:val="center"/>
          </w:tcPr>
          <w:p w14:paraId="68CED346" w14:textId="77777777" w:rsidR="00454A29" w:rsidRDefault="00454A29">
            <w:pPr>
              <w:pStyle w:val="ConsPlusNormal"/>
            </w:pPr>
          </w:p>
        </w:tc>
        <w:tc>
          <w:tcPr>
            <w:tcW w:w="1814" w:type="dxa"/>
            <w:vAlign w:val="center"/>
          </w:tcPr>
          <w:p w14:paraId="618C18B7" w14:textId="77777777" w:rsidR="00454A29" w:rsidRDefault="00454A29">
            <w:pPr>
              <w:pStyle w:val="ConsPlusNormal"/>
            </w:pPr>
          </w:p>
        </w:tc>
        <w:tc>
          <w:tcPr>
            <w:tcW w:w="1701" w:type="dxa"/>
            <w:vAlign w:val="center"/>
          </w:tcPr>
          <w:p w14:paraId="569D2116" w14:textId="77777777" w:rsidR="00454A29" w:rsidRDefault="00454A29">
            <w:pPr>
              <w:pStyle w:val="ConsPlusNormal"/>
            </w:pPr>
          </w:p>
        </w:tc>
        <w:tc>
          <w:tcPr>
            <w:tcW w:w="1701" w:type="dxa"/>
            <w:vAlign w:val="center"/>
          </w:tcPr>
          <w:p w14:paraId="650B2574" w14:textId="77777777" w:rsidR="00454A29" w:rsidRDefault="00454A29">
            <w:pPr>
              <w:pStyle w:val="ConsPlusNormal"/>
            </w:pPr>
          </w:p>
        </w:tc>
        <w:tc>
          <w:tcPr>
            <w:tcW w:w="1814" w:type="dxa"/>
            <w:vAlign w:val="center"/>
          </w:tcPr>
          <w:p w14:paraId="77A8B285" w14:textId="77777777" w:rsidR="00454A29" w:rsidRDefault="00454A29">
            <w:pPr>
              <w:pStyle w:val="ConsPlusNormal"/>
            </w:pPr>
          </w:p>
        </w:tc>
      </w:tr>
      <w:tr w:rsidR="00454A29" w14:paraId="4F509E4E" w14:textId="77777777">
        <w:tc>
          <w:tcPr>
            <w:tcW w:w="567" w:type="dxa"/>
            <w:vMerge/>
          </w:tcPr>
          <w:p w14:paraId="279948DC" w14:textId="77777777" w:rsidR="00454A29" w:rsidRDefault="00454A29"/>
        </w:tc>
        <w:tc>
          <w:tcPr>
            <w:tcW w:w="3345" w:type="dxa"/>
            <w:vMerge/>
          </w:tcPr>
          <w:p w14:paraId="3E8CE382" w14:textId="77777777" w:rsidR="00454A29" w:rsidRDefault="00454A29"/>
        </w:tc>
        <w:tc>
          <w:tcPr>
            <w:tcW w:w="1701" w:type="dxa"/>
            <w:vAlign w:val="center"/>
          </w:tcPr>
          <w:p w14:paraId="3E00C5EC" w14:textId="77777777" w:rsidR="00454A29" w:rsidRDefault="00454A29">
            <w:pPr>
              <w:pStyle w:val="ConsPlusNormal"/>
              <w:jc w:val="center"/>
            </w:pPr>
            <w:r>
              <w:t>2025</w:t>
            </w:r>
          </w:p>
        </w:tc>
        <w:tc>
          <w:tcPr>
            <w:tcW w:w="1417" w:type="dxa"/>
            <w:vMerge/>
          </w:tcPr>
          <w:p w14:paraId="3EB5C474" w14:textId="77777777" w:rsidR="00454A29" w:rsidRDefault="00454A29"/>
        </w:tc>
        <w:tc>
          <w:tcPr>
            <w:tcW w:w="2204" w:type="dxa"/>
            <w:vMerge/>
          </w:tcPr>
          <w:p w14:paraId="5E3E6830" w14:textId="77777777" w:rsidR="00454A29" w:rsidRDefault="00454A29"/>
        </w:tc>
        <w:tc>
          <w:tcPr>
            <w:tcW w:w="1417" w:type="dxa"/>
            <w:vMerge/>
          </w:tcPr>
          <w:p w14:paraId="1B2FCF4F" w14:textId="77777777" w:rsidR="00454A29" w:rsidRDefault="00454A29"/>
        </w:tc>
        <w:tc>
          <w:tcPr>
            <w:tcW w:w="2324" w:type="dxa"/>
            <w:vMerge/>
          </w:tcPr>
          <w:p w14:paraId="1430C352" w14:textId="77777777" w:rsidR="00454A29" w:rsidRDefault="00454A29"/>
        </w:tc>
        <w:tc>
          <w:tcPr>
            <w:tcW w:w="1701" w:type="dxa"/>
            <w:vAlign w:val="center"/>
          </w:tcPr>
          <w:p w14:paraId="2DC1EE6B" w14:textId="77777777" w:rsidR="00454A29" w:rsidRDefault="00454A29">
            <w:pPr>
              <w:pStyle w:val="ConsPlusNormal"/>
              <w:jc w:val="center"/>
            </w:pPr>
            <w:r>
              <w:t>194 947,00</w:t>
            </w:r>
          </w:p>
        </w:tc>
        <w:tc>
          <w:tcPr>
            <w:tcW w:w="1814" w:type="dxa"/>
            <w:vAlign w:val="center"/>
          </w:tcPr>
          <w:p w14:paraId="03E4393F" w14:textId="77777777" w:rsidR="00454A29" w:rsidRDefault="00454A29">
            <w:pPr>
              <w:pStyle w:val="ConsPlusNormal"/>
              <w:jc w:val="center"/>
            </w:pPr>
            <w:r>
              <w:t>2 466,08</w:t>
            </w:r>
          </w:p>
        </w:tc>
        <w:tc>
          <w:tcPr>
            <w:tcW w:w="1701" w:type="dxa"/>
            <w:vAlign w:val="center"/>
          </w:tcPr>
          <w:p w14:paraId="6574C61B" w14:textId="77777777" w:rsidR="00454A29" w:rsidRDefault="00454A29">
            <w:pPr>
              <w:pStyle w:val="ConsPlusNormal"/>
              <w:jc w:val="center"/>
            </w:pPr>
            <w:r>
              <w:t>244 141,87</w:t>
            </w:r>
          </w:p>
        </w:tc>
        <w:tc>
          <w:tcPr>
            <w:tcW w:w="1701" w:type="dxa"/>
            <w:vAlign w:val="center"/>
          </w:tcPr>
          <w:p w14:paraId="4BE0D7B1" w14:textId="77777777" w:rsidR="00454A29" w:rsidRDefault="00454A29">
            <w:pPr>
              <w:pStyle w:val="ConsPlusNormal"/>
            </w:pPr>
          </w:p>
        </w:tc>
        <w:tc>
          <w:tcPr>
            <w:tcW w:w="1814" w:type="dxa"/>
            <w:vAlign w:val="center"/>
          </w:tcPr>
          <w:p w14:paraId="0BBF91FF" w14:textId="77777777" w:rsidR="00454A29" w:rsidRDefault="00454A29">
            <w:pPr>
              <w:pStyle w:val="ConsPlusNormal"/>
            </w:pPr>
          </w:p>
        </w:tc>
      </w:tr>
      <w:tr w:rsidR="00454A29" w14:paraId="2FCBF28A" w14:textId="77777777">
        <w:tc>
          <w:tcPr>
            <w:tcW w:w="567" w:type="dxa"/>
            <w:vMerge/>
          </w:tcPr>
          <w:p w14:paraId="62D5F8CA" w14:textId="77777777" w:rsidR="00454A29" w:rsidRDefault="00454A29"/>
        </w:tc>
        <w:tc>
          <w:tcPr>
            <w:tcW w:w="3345" w:type="dxa"/>
            <w:vMerge/>
          </w:tcPr>
          <w:p w14:paraId="45B65126" w14:textId="77777777" w:rsidR="00454A29" w:rsidRDefault="00454A29"/>
        </w:tc>
        <w:tc>
          <w:tcPr>
            <w:tcW w:w="1701" w:type="dxa"/>
            <w:vAlign w:val="center"/>
          </w:tcPr>
          <w:p w14:paraId="7E53EAA1" w14:textId="77777777" w:rsidR="00454A29" w:rsidRDefault="00454A29">
            <w:pPr>
              <w:pStyle w:val="ConsPlusNormal"/>
              <w:jc w:val="center"/>
            </w:pPr>
            <w:r>
              <w:t>2026</w:t>
            </w:r>
          </w:p>
        </w:tc>
        <w:tc>
          <w:tcPr>
            <w:tcW w:w="1417" w:type="dxa"/>
            <w:vMerge/>
          </w:tcPr>
          <w:p w14:paraId="745D1BCB" w14:textId="77777777" w:rsidR="00454A29" w:rsidRDefault="00454A29"/>
        </w:tc>
        <w:tc>
          <w:tcPr>
            <w:tcW w:w="2204" w:type="dxa"/>
            <w:vMerge/>
          </w:tcPr>
          <w:p w14:paraId="33003DF2" w14:textId="77777777" w:rsidR="00454A29" w:rsidRDefault="00454A29"/>
        </w:tc>
        <w:tc>
          <w:tcPr>
            <w:tcW w:w="1417" w:type="dxa"/>
            <w:vMerge/>
          </w:tcPr>
          <w:p w14:paraId="2B5548DA" w14:textId="77777777" w:rsidR="00454A29" w:rsidRDefault="00454A29"/>
        </w:tc>
        <w:tc>
          <w:tcPr>
            <w:tcW w:w="2324" w:type="dxa"/>
            <w:vMerge/>
          </w:tcPr>
          <w:p w14:paraId="01D8A82B" w14:textId="77777777" w:rsidR="00454A29" w:rsidRDefault="00454A29"/>
        </w:tc>
        <w:tc>
          <w:tcPr>
            <w:tcW w:w="1701" w:type="dxa"/>
            <w:vAlign w:val="center"/>
          </w:tcPr>
          <w:p w14:paraId="6FB82C58" w14:textId="77777777" w:rsidR="00454A29" w:rsidRDefault="00454A29">
            <w:pPr>
              <w:pStyle w:val="ConsPlusNormal"/>
            </w:pPr>
          </w:p>
        </w:tc>
        <w:tc>
          <w:tcPr>
            <w:tcW w:w="1814" w:type="dxa"/>
            <w:vAlign w:val="center"/>
          </w:tcPr>
          <w:p w14:paraId="078A2B0E" w14:textId="77777777" w:rsidR="00454A29" w:rsidRDefault="00454A29">
            <w:pPr>
              <w:pStyle w:val="ConsPlusNormal"/>
            </w:pPr>
          </w:p>
        </w:tc>
        <w:tc>
          <w:tcPr>
            <w:tcW w:w="1701" w:type="dxa"/>
            <w:vAlign w:val="center"/>
          </w:tcPr>
          <w:p w14:paraId="5AA25EAC" w14:textId="77777777" w:rsidR="00454A29" w:rsidRDefault="00454A29">
            <w:pPr>
              <w:pStyle w:val="ConsPlusNormal"/>
            </w:pPr>
          </w:p>
        </w:tc>
        <w:tc>
          <w:tcPr>
            <w:tcW w:w="1701" w:type="dxa"/>
            <w:vAlign w:val="center"/>
          </w:tcPr>
          <w:p w14:paraId="2216DB3B" w14:textId="77777777" w:rsidR="00454A29" w:rsidRDefault="00454A29">
            <w:pPr>
              <w:pStyle w:val="ConsPlusNormal"/>
            </w:pPr>
          </w:p>
        </w:tc>
        <w:tc>
          <w:tcPr>
            <w:tcW w:w="1814" w:type="dxa"/>
            <w:vAlign w:val="center"/>
          </w:tcPr>
          <w:p w14:paraId="61E52BBE" w14:textId="77777777" w:rsidR="00454A29" w:rsidRDefault="00454A29">
            <w:pPr>
              <w:pStyle w:val="ConsPlusNormal"/>
            </w:pPr>
          </w:p>
        </w:tc>
      </w:tr>
      <w:tr w:rsidR="00454A29" w14:paraId="0E298DD5" w14:textId="77777777">
        <w:tc>
          <w:tcPr>
            <w:tcW w:w="567" w:type="dxa"/>
            <w:vMerge w:val="restart"/>
            <w:vAlign w:val="center"/>
          </w:tcPr>
          <w:p w14:paraId="3E245BCB" w14:textId="77777777" w:rsidR="00454A29" w:rsidRDefault="00454A29">
            <w:pPr>
              <w:pStyle w:val="ConsPlusNormal"/>
              <w:jc w:val="center"/>
            </w:pPr>
            <w:r>
              <w:t>122</w:t>
            </w:r>
          </w:p>
        </w:tc>
        <w:tc>
          <w:tcPr>
            <w:tcW w:w="3345" w:type="dxa"/>
            <w:vMerge w:val="restart"/>
            <w:vAlign w:val="center"/>
          </w:tcPr>
          <w:p w14:paraId="13E2556A" w14:textId="77777777" w:rsidR="00454A29" w:rsidRDefault="00454A29">
            <w:pPr>
              <w:pStyle w:val="ConsPlusNormal"/>
              <w:jc w:val="center"/>
            </w:pPr>
            <w:r>
              <w:t>Школа на 60 учащихся в с. Куокуну</w:t>
            </w:r>
          </w:p>
        </w:tc>
        <w:tc>
          <w:tcPr>
            <w:tcW w:w="1701" w:type="dxa"/>
            <w:vAlign w:val="center"/>
          </w:tcPr>
          <w:p w14:paraId="6CF36EBD" w14:textId="77777777" w:rsidR="00454A29" w:rsidRDefault="00454A29">
            <w:pPr>
              <w:pStyle w:val="ConsPlusNormal"/>
              <w:jc w:val="center"/>
            </w:pPr>
            <w:r>
              <w:t>2020 - 2026 годы - всего</w:t>
            </w:r>
          </w:p>
        </w:tc>
        <w:tc>
          <w:tcPr>
            <w:tcW w:w="1417" w:type="dxa"/>
            <w:vMerge w:val="restart"/>
            <w:vAlign w:val="center"/>
          </w:tcPr>
          <w:p w14:paraId="51EC4172" w14:textId="77777777" w:rsidR="00454A29" w:rsidRDefault="00454A29">
            <w:pPr>
              <w:pStyle w:val="ConsPlusNormal"/>
              <w:jc w:val="center"/>
            </w:pPr>
            <w:r>
              <w:t>220 694,71</w:t>
            </w:r>
          </w:p>
        </w:tc>
        <w:tc>
          <w:tcPr>
            <w:tcW w:w="2204" w:type="dxa"/>
            <w:vMerge w:val="restart"/>
            <w:vAlign w:val="center"/>
          </w:tcPr>
          <w:p w14:paraId="6F9784C2" w14:textId="77777777" w:rsidR="00454A29" w:rsidRDefault="00454A29">
            <w:pPr>
              <w:pStyle w:val="ConsPlusNormal"/>
            </w:pPr>
          </w:p>
        </w:tc>
        <w:tc>
          <w:tcPr>
            <w:tcW w:w="1417" w:type="dxa"/>
            <w:vMerge w:val="restart"/>
            <w:vAlign w:val="center"/>
          </w:tcPr>
          <w:p w14:paraId="22CCF838" w14:textId="77777777" w:rsidR="00454A29" w:rsidRDefault="00454A29">
            <w:pPr>
              <w:pStyle w:val="ConsPlusNormal"/>
              <w:jc w:val="center"/>
            </w:pPr>
            <w:r>
              <w:t>60</w:t>
            </w:r>
          </w:p>
        </w:tc>
        <w:tc>
          <w:tcPr>
            <w:tcW w:w="2324" w:type="dxa"/>
            <w:vMerge w:val="restart"/>
            <w:vAlign w:val="center"/>
          </w:tcPr>
          <w:p w14:paraId="2C5B4BF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57F2C56" w14:textId="77777777" w:rsidR="00454A29" w:rsidRDefault="00454A29">
            <w:pPr>
              <w:pStyle w:val="ConsPlusNormal"/>
              <w:jc w:val="center"/>
            </w:pPr>
            <w:r>
              <w:t>220 694,71</w:t>
            </w:r>
          </w:p>
        </w:tc>
        <w:tc>
          <w:tcPr>
            <w:tcW w:w="1814" w:type="dxa"/>
            <w:vAlign w:val="center"/>
          </w:tcPr>
          <w:p w14:paraId="3AD4A9A6" w14:textId="77777777" w:rsidR="00454A29" w:rsidRDefault="00454A29">
            <w:pPr>
              <w:pStyle w:val="ConsPlusNormal"/>
              <w:jc w:val="center"/>
            </w:pPr>
            <w:r>
              <w:t>2 791,79</w:t>
            </w:r>
          </w:p>
        </w:tc>
        <w:tc>
          <w:tcPr>
            <w:tcW w:w="1701" w:type="dxa"/>
            <w:vAlign w:val="center"/>
          </w:tcPr>
          <w:p w14:paraId="0B7D06F2" w14:textId="77777777" w:rsidR="00454A29" w:rsidRDefault="00454A29">
            <w:pPr>
              <w:pStyle w:val="ConsPlusNormal"/>
              <w:jc w:val="center"/>
            </w:pPr>
            <w:r>
              <w:t>276 387,03</w:t>
            </w:r>
          </w:p>
        </w:tc>
        <w:tc>
          <w:tcPr>
            <w:tcW w:w="1701" w:type="dxa"/>
            <w:vAlign w:val="center"/>
          </w:tcPr>
          <w:p w14:paraId="568029E2" w14:textId="77777777" w:rsidR="00454A29" w:rsidRDefault="00454A29">
            <w:pPr>
              <w:pStyle w:val="ConsPlusNormal"/>
              <w:jc w:val="center"/>
            </w:pPr>
            <w:r>
              <w:t>0</w:t>
            </w:r>
          </w:p>
        </w:tc>
        <w:tc>
          <w:tcPr>
            <w:tcW w:w="1814" w:type="dxa"/>
            <w:vAlign w:val="center"/>
          </w:tcPr>
          <w:p w14:paraId="0DD3B73E" w14:textId="77777777" w:rsidR="00454A29" w:rsidRDefault="00454A29">
            <w:pPr>
              <w:pStyle w:val="ConsPlusNormal"/>
              <w:jc w:val="center"/>
            </w:pPr>
            <w:r>
              <w:t>0</w:t>
            </w:r>
          </w:p>
        </w:tc>
      </w:tr>
      <w:tr w:rsidR="00454A29" w14:paraId="185804F5" w14:textId="77777777">
        <w:tc>
          <w:tcPr>
            <w:tcW w:w="567" w:type="dxa"/>
            <w:vMerge/>
          </w:tcPr>
          <w:p w14:paraId="6B32E2B8" w14:textId="77777777" w:rsidR="00454A29" w:rsidRDefault="00454A29"/>
        </w:tc>
        <w:tc>
          <w:tcPr>
            <w:tcW w:w="3345" w:type="dxa"/>
            <w:vMerge/>
          </w:tcPr>
          <w:p w14:paraId="1A308B7B" w14:textId="77777777" w:rsidR="00454A29" w:rsidRDefault="00454A29"/>
        </w:tc>
        <w:tc>
          <w:tcPr>
            <w:tcW w:w="1701" w:type="dxa"/>
            <w:vAlign w:val="center"/>
          </w:tcPr>
          <w:p w14:paraId="5363B10B" w14:textId="77777777" w:rsidR="00454A29" w:rsidRDefault="00454A29">
            <w:pPr>
              <w:pStyle w:val="ConsPlusNormal"/>
              <w:jc w:val="center"/>
            </w:pPr>
            <w:r>
              <w:t>2020</w:t>
            </w:r>
          </w:p>
        </w:tc>
        <w:tc>
          <w:tcPr>
            <w:tcW w:w="1417" w:type="dxa"/>
            <w:vMerge/>
          </w:tcPr>
          <w:p w14:paraId="328BD827" w14:textId="77777777" w:rsidR="00454A29" w:rsidRDefault="00454A29"/>
        </w:tc>
        <w:tc>
          <w:tcPr>
            <w:tcW w:w="2204" w:type="dxa"/>
            <w:vMerge/>
          </w:tcPr>
          <w:p w14:paraId="39F00BE3" w14:textId="77777777" w:rsidR="00454A29" w:rsidRDefault="00454A29"/>
        </w:tc>
        <w:tc>
          <w:tcPr>
            <w:tcW w:w="1417" w:type="dxa"/>
            <w:vMerge/>
          </w:tcPr>
          <w:p w14:paraId="4904D463" w14:textId="77777777" w:rsidR="00454A29" w:rsidRDefault="00454A29"/>
        </w:tc>
        <w:tc>
          <w:tcPr>
            <w:tcW w:w="2324" w:type="dxa"/>
            <w:vMerge/>
          </w:tcPr>
          <w:p w14:paraId="5954BA65" w14:textId="77777777" w:rsidR="00454A29" w:rsidRDefault="00454A29"/>
        </w:tc>
        <w:tc>
          <w:tcPr>
            <w:tcW w:w="1701" w:type="dxa"/>
            <w:vAlign w:val="center"/>
          </w:tcPr>
          <w:p w14:paraId="227FAC21" w14:textId="77777777" w:rsidR="00454A29" w:rsidRDefault="00454A29">
            <w:pPr>
              <w:pStyle w:val="ConsPlusNormal"/>
            </w:pPr>
          </w:p>
        </w:tc>
        <w:tc>
          <w:tcPr>
            <w:tcW w:w="1814" w:type="dxa"/>
            <w:vAlign w:val="center"/>
          </w:tcPr>
          <w:p w14:paraId="16FB35FF" w14:textId="77777777" w:rsidR="00454A29" w:rsidRDefault="00454A29">
            <w:pPr>
              <w:pStyle w:val="ConsPlusNormal"/>
            </w:pPr>
          </w:p>
        </w:tc>
        <w:tc>
          <w:tcPr>
            <w:tcW w:w="1701" w:type="dxa"/>
            <w:vAlign w:val="center"/>
          </w:tcPr>
          <w:p w14:paraId="3E534078" w14:textId="77777777" w:rsidR="00454A29" w:rsidRDefault="00454A29">
            <w:pPr>
              <w:pStyle w:val="ConsPlusNormal"/>
            </w:pPr>
          </w:p>
        </w:tc>
        <w:tc>
          <w:tcPr>
            <w:tcW w:w="1701" w:type="dxa"/>
            <w:vAlign w:val="center"/>
          </w:tcPr>
          <w:p w14:paraId="1ADD045A" w14:textId="77777777" w:rsidR="00454A29" w:rsidRDefault="00454A29">
            <w:pPr>
              <w:pStyle w:val="ConsPlusNormal"/>
            </w:pPr>
          </w:p>
        </w:tc>
        <w:tc>
          <w:tcPr>
            <w:tcW w:w="1814" w:type="dxa"/>
            <w:vAlign w:val="center"/>
          </w:tcPr>
          <w:p w14:paraId="2BFCB27C" w14:textId="77777777" w:rsidR="00454A29" w:rsidRDefault="00454A29">
            <w:pPr>
              <w:pStyle w:val="ConsPlusNormal"/>
            </w:pPr>
          </w:p>
        </w:tc>
      </w:tr>
      <w:tr w:rsidR="00454A29" w14:paraId="2F2EEE6D" w14:textId="77777777">
        <w:tc>
          <w:tcPr>
            <w:tcW w:w="567" w:type="dxa"/>
            <w:vMerge/>
          </w:tcPr>
          <w:p w14:paraId="03C2F08B" w14:textId="77777777" w:rsidR="00454A29" w:rsidRDefault="00454A29"/>
        </w:tc>
        <w:tc>
          <w:tcPr>
            <w:tcW w:w="3345" w:type="dxa"/>
            <w:vMerge/>
          </w:tcPr>
          <w:p w14:paraId="6892A730" w14:textId="77777777" w:rsidR="00454A29" w:rsidRDefault="00454A29"/>
        </w:tc>
        <w:tc>
          <w:tcPr>
            <w:tcW w:w="1701" w:type="dxa"/>
            <w:vAlign w:val="center"/>
          </w:tcPr>
          <w:p w14:paraId="5D24BA19" w14:textId="77777777" w:rsidR="00454A29" w:rsidRDefault="00454A29">
            <w:pPr>
              <w:pStyle w:val="ConsPlusNormal"/>
              <w:jc w:val="center"/>
            </w:pPr>
            <w:r>
              <w:t>2021</w:t>
            </w:r>
          </w:p>
        </w:tc>
        <w:tc>
          <w:tcPr>
            <w:tcW w:w="1417" w:type="dxa"/>
            <w:vMerge/>
          </w:tcPr>
          <w:p w14:paraId="65042CDE" w14:textId="77777777" w:rsidR="00454A29" w:rsidRDefault="00454A29"/>
        </w:tc>
        <w:tc>
          <w:tcPr>
            <w:tcW w:w="2204" w:type="dxa"/>
            <w:vMerge/>
          </w:tcPr>
          <w:p w14:paraId="6C3A2E0B" w14:textId="77777777" w:rsidR="00454A29" w:rsidRDefault="00454A29"/>
        </w:tc>
        <w:tc>
          <w:tcPr>
            <w:tcW w:w="1417" w:type="dxa"/>
            <w:vMerge/>
          </w:tcPr>
          <w:p w14:paraId="0F053D55" w14:textId="77777777" w:rsidR="00454A29" w:rsidRDefault="00454A29"/>
        </w:tc>
        <w:tc>
          <w:tcPr>
            <w:tcW w:w="2324" w:type="dxa"/>
            <w:vMerge/>
          </w:tcPr>
          <w:p w14:paraId="570E978E" w14:textId="77777777" w:rsidR="00454A29" w:rsidRDefault="00454A29"/>
        </w:tc>
        <w:tc>
          <w:tcPr>
            <w:tcW w:w="1701" w:type="dxa"/>
            <w:vAlign w:val="center"/>
          </w:tcPr>
          <w:p w14:paraId="65D90CD5" w14:textId="77777777" w:rsidR="00454A29" w:rsidRDefault="00454A29">
            <w:pPr>
              <w:pStyle w:val="ConsPlusNormal"/>
            </w:pPr>
          </w:p>
        </w:tc>
        <w:tc>
          <w:tcPr>
            <w:tcW w:w="1814" w:type="dxa"/>
            <w:vAlign w:val="center"/>
          </w:tcPr>
          <w:p w14:paraId="52CE36F2" w14:textId="77777777" w:rsidR="00454A29" w:rsidRDefault="00454A29">
            <w:pPr>
              <w:pStyle w:val="ConsPlusNormal"/>
            </w:pPr>
          </w:p>
        </w:tc>
        <w:tc>
          <w:tcPr>
            <w:tcW w:w="1701" w:type="dxa"/>
            <w:vAlign w:val="center"/>
          </w:tcPr>
          <w:p w14:paraId="4C1ECD83" w14:textId="77777777" w:rsidR="00454A29" w:rsidRDefault="00454A29">
            <w:pPr>
              <w:pStyle w:val="ConsPlusNormal"/>
            </w:pPr>
          </w:p>
        </w:tc>
        <w:tc>
          <w:tcPr>
            <w:tcW w:w="1701" w:type="dxa"/>
            <w:vAlign w:val="center"/>
          </w:tcPr>
          <w:p w14:paraId="54BEEE22" w14:textId="77777777" w:rsidR="00454A29" w:rsidRDefault="00454A29">
            <w:pPr>
              <w:pStyle w:val="ConsPlusNormal"/>
            </w:pPr>
          </w:p>
        </w:tc>
        <w:tc>
          <w:tcPr>
            <w:tcW w:w="1814" w:type="dxa"/>
            <w:vAlign w:val="center"/>
          </w:tcPr>
          <w:p w14:paraId="3BC27C7F" w14:textId="77777777" w:rsidR="00454A29" w:rsidRDefault="00454A29">
            <w:pPr>
              <w:pStyle w:val="ConsPlusNormal"/>
            </w:pPr>
          </w:p>
        </w:tc>
      </w:tr>
      <w:tr w:rsidR="00454A29" w14:paraId="2381E9F0" w14:textId="77777777">
        <w:tc>
          <w:tcPr>
            <w:tcW w:w="567" w:type="dxa"/>
            <w:vMerge/>
          </w:tcPr>
          <w:p w14:paraId="367DA0B8" w14:textId="77777777" w:rsidR="00454A29" w:rsidRDefault="00454A29"/>
        </w:tc>
        <w:tc>
          <w:tcPr>
            <w:tcW w:w="3345" w:type="dxa"/>
            <w:vMerge/>
          </w:tcPr>
          <w:p w14:paraId="0C8B7383" w14:textId="77777777" w:rsidR="00454A29" w:rsidRDefault="00454A29"/>
        </w:tc>
        <w:tc>
          <w:tcPr>
            <w:tcW w:w="1701" w:type="dxa"/>
            <w:vAlign w:val="center"/>
          </w:tcPr>
          <w:p w14:paraId="5CDB12B3" w14:textId="77777777" w:rsidR="00454A29" w:rsidRDefault="00454A29">
            <w:pPr>
              <w:pStyle w:val="ConsPlusNormal"/>
              <w:jc w:val="center"/>
            </w:pPr>
            <w:r>
              <w:t>2022</w:t>
            </w:r>
          </w:p>
        </w:tc>
        <w:tc>
          <w:tcPr>
            <w:tcW w:w="1417" w:type="dxa"/>
            <w:vMerge/>
          </w:tcPr>
          <w:p w14:paraId="5B693A03" w14:textId="77777777" w:rsidR="00454A29" w:rsidRDefault="00454A29"/>
        </w:tc>
        <w:tc>
          <w:tcPr>
            <w:tcW w:w="2204" w:type="dxa"/>
            <w:vMerge/>
          </w:tcPr>
          <w:p w14:paraId="6EE36EE3" w14:textId="77777777" w:rsidR="00454A29" w:rsidRDefault="00454A29"/>
        </w:tc>
        <w:tc>
          <w:tcPr>
            <w:tcW w:w="1417" w:type="dxa"/>
            <w:vMerge/>
          </w:tcPr>
          <w:p w14:paraId="2621E697" w14:textId="77777777" w:rsidR="00454A29" w:rsidRDefault="00454A29"/>
        </w:tc>
        <w:tc>
          <w:tcPr>
            <w:tcW w:w="2324" w:type="dxa"/>
            <w:vMerge/>
          </w:tcPr>
          <w:p w14:paraId="7D97E686" w14:textId="77777777" w:rsidR="00454A29" w:rsidRDefault="00454A29"/>
        </w:tc>
        <w:tc>
          <w:tcPr>
            <w:tcW w:w="1701" w:type="dxa"/>
            <w:vAlign w:val="center"/>
          </w:tcPr>
          <w:p w14:paraId="4773A14F" w14:textId="77777777" w:rsidR="00454A29" w:rsidRDefault="00454A29">
            <w:pPr>
              <w:pStyle w:val="ConsPlusNormal"/>
            </w:pPr>
          </w:p>
        </w:tc>
        <w:tc>
          <w:tcPr>
            <w:tcW w:w="1814" w:type="dxa"/>
            <w:vAlign w:val="center"/>
          </w:tcPr>
          <w:p w14:paraId="3A002CA4" w14:textId="77777777" w:rsidR="00454A29" w:rsidRDefault="00454A29">
            <w:pPr>
              <w:pStyle w:val="ConsPlusNormal"/>
            </w:pPr>
          </w:p>
        </w:tc>
        <w:tc>
          <w:tcPr>
            <w:tcW w:w="1701" w:type="dxa"/>
            <w:vAlign w:val="center"/>
          </w:tcPr>
          <w:p w14:paraId="33BD5A5C" w14:textId="77777777" w:rsidR="00454A29" w:rsidRDefault="00454A29">
            <w:pPr>
              <w:pStyle w:val="ConsPlusNormal"/>
            </w:pPr>
          </w:p>
        </w:tc>
        <w:tc>
          <w:tcPr>
            <w:tcW w:w="1701" w:type="dxa"/>
            <w:vAlign w:val="center"/>
          </w:tcPr>
          <w:p w14:paraId="0240398B" w14:textId="77777777" w:rsidR="00454A29" w:rsidRDefault="00454A29">
            <w:pPr>
              <w:pStyle w:val="ConsPlusNormal"/>
            </w:pPr>
          </w:p>
        </w:tc>
        <w:tc>
          <w:tcPr>
            <w:tcW w:w="1814" w:type="dxa"/>
            <w:vAlign w:val="center"/>
          </w:tcPr>
          <w:p w14:paraId="74EC2CDC" w14:textId="77777777" w:rsidR="00454A29" w:rsidRDefault="00454A29">
            <w:pPr>
              <w:pStyle w:val="ConsPlusNormal"/>
            </w:pPr>
          </w:p>
        </w:tc>
      </w:tr>
      <w:tr w:rsidR="00454A29" w14:paraId="4FB47E39" w14:textId="77777777">
        <w:tc>
          <w:tcPr>
            <w:tcW w:w="567" w:type="dxa"/>
            <w:vMerge/>
          </w:tcPr>
          <w:p w14:paraId="49F869E3" w14:textId="77777777" w:rsidR="00454A29" w:rsidRDefault="00454A29"/>
        </w:tc>
        <w:tc>
          <w:tcPr>
            <w:tcW w:w="3345" w:type="dxa"/>
            <w:vMerge/>
          </w:tcPr>
          <w:p w14:paraId="5A03112A" w14:textId="77777777" w:rsidR="00454A29" w:rsidRDefault="00454A29"/>
        </w:tc>
        <w:tc>
          <w:tcPr>
            <w:tcW w:w="1701" w:type="dxa"/>
            <w:vAlign w:val="center"/>
          </w:tcPr>
          <w:p w14:paraId="42B66115" w14:textId="77777777" w:rsidR="00454A29" w:rsidRDefault="00454A29">
            <w:pPr>
              <w:pStyle w:val="ConsPlusNormal"/>
              <w:jc w:val="center"/>
            </w:pPr>
            <w:r>
              <w:t>2023</w:t>
            </w:r>
          </w:p>
        </w:tc>
        <w:tc>
          <w:tcPr>
            <w:tcW w:w="1417" w:type="dxa"/>
            <w:vMerge/>
          </w:tcPr>
          <w:p w14:paraId="69B740E3" w14:textId="77777777" w:rsidR="00454A29" w:rsidRDefault="00454A29"/>
        </w:tc>
        <w:tc>
          <w:tcPr>
            <w:tcW w:w="2204" w:type="dxa"/>
            <w:vMerge/>
          </w:tcPr>
          <w:p w14:paraId="364131A3" w14:textId="77777777" w:rsidR="00454A29" w:rsidRDefault="00454A29"/>
        </w:tc>
        <w:tc>
          <w:tcPr>
            <w:tcW w:w="1417" w:type="dxa"/>
            <w:vMerge/>
          </w:tcPr>
          <w:p w14:paraId="7E1A06A3" w14:textId="77777777" w:rsidR="00454A29" w:rsidRDefault="00454A29"/>
        </w:tc>
        <w:tc>
          <w:tcPr>
            <w:tcW w:w="2324" w:type="dxa"/>
            <w:vMerge/>
          </w:tcPr>
          <w:p w14:paraId="477DA5E8" w14:textId="77777777" w:rsidR="00454A29" w:rsidRDefault="00454A29"/>
        </w:tc>
        <w:tc>
          <w:tcPr>
            <w:tcW w:w="1701" w:type="dxa"/>
            <w:vAlign w:val="center"/>
          </w:tcPr>
          <w:p w14:paraId="3A529783" w14:textId="77777777" w:rsidR="00454A29" w:rsidRDefault="00454A29">
            <w:pPr>
              <w:pStyle w:val="ConsPlusNormal"/>
            </w:pPr>
          </w:p>
        </w:tc>
        <w:tc>
          <w:tcPr>
            <w:tcW w:w="1814" w:type="dxa"/>
            <w:vAlign w:val="center"/>
          </w:tcPr>
          <w:p w14:paraId="0D8B5B74" w14:textId="77777777" w:rsidR="00454A29" w:rsidRDefault="00454A29">
            <w:pPr>
              <w:pStyle w:val="ConsPlusNormal"/>
            </w:pPr>
          </w:p>
        </w:tc>
        <w:tc>
          <w:tcPr>
            <w:tcW w:w="1701" w:type="dxa"/>
            <w:vAlign w:val="center"/>
          </w:tcPr>
          <w:p w14:paraId="364022F8" w14:textId="77777777" w:rsidR="00454A29" w:rsidRDefault="00454A29">
            <w:pPr>
              <w:pStyle w:val="ConsPlusNormal"/>
            </w:pPr>
          </w:p>
        </w:tc>
        <w:tc>
          <w:tcPr>
            <w:tcW w:w="1701" w:type="dxa"/>
            <w:vAlign w:val="center"/>
          </w:tcPr>
          <w:p w14:paraId="558A55EA" w14:textId="77777777" w:rsidR="00454A29" w:rsidRDefault="00454A29">
            <w:pPr>
              <w:pStyle w:val="ConsPlusNormal"/>
            </w:pPr>
          </w:p>
        </w:tc>
        <w:tc>
          <w:tcPr>
            <w:tcW w:w="1814" w:type="dxa"/>
            <w:vAlign w:val="center"/>
          </w:tcPr>
          <w:p w14:paraId="370ED956" w14:textId="77777777" w:rsidR="00454A29" w:rsidRDefault="00454A29">
            <w:pPr>
              <w:pStyle w:val="ConsPlusNormal"/>
            </w:pPr>
          </w:p>
        </w:tc>
      </w:tr>
      <w:tr w:rsidR="00454A29" w14:paraId="2ADC8161" w14:textId="77777777">
        <w:tc>
          <w:tcPr>
            <w:tcW w:w="567" w:type="dxa"/>
            <w:vMerge/>
          </w:tcPr>
          <w:p w14:paraId="5A5B4392" w14:textId="77777777" w:rsidR="00454A29" w:rsidRDefault="00454A29"/>
        </w:tc>
        <w:tc>
          <w:tcPr>
            <w:tcW w:w="3345" w:type="dxa"/>
            <w:vMerge/>
          </w:tcPr>
          <w:p w14:paraId="7A3C2355" w14:textId="77777777" w:rsidR="00454A29" w:rsidRDefault="00454A29"/>
        </w:tc>
        <w:tc>
          <w:tcPr>
            <w:tcW w:w="1701" w:type="dxa"/>
            <w:vAlign w:val="center"/>
          </w:tcPr>
          <w:p w14:paraId="70247846" w14:textId="77777777" w:rsidR="00454A29" w:rsidRDefault="00454A29">
            <w:pPr>
              <w:pStyle w:val="ConsPlusNormal"/>
              <w:jc w:val="center"/>
            </w:pPr>
            <w:r>
              <w:t>2024</w:t>
            </w:r>
          </w:p>
        </w:tc>
        <w:tc>
          <w:tcPr>
            <w:tcW w:w="1417" w:type="dxa"/>
            <w:vMerge/>
          </w:tcPr>
          <w:p w14:paraId="42271422" w14:textId="77777777" w:rsidR="00454A29" w:rsidRDefault="00454A29"/>
        </w:tc>
        <w:tc>
          <w:tcPr>
            <w:tcW w:w="2204" w:type="dxa"/>
            <w:vMerge/>
          </w:tcPr>
          <w:p w14:paraId="703C3C2F" w14:textId="77777777" w:rsidR="00454A29" w:rsidRDefault="00454A29"/>
        </w:tc>
        <w:tc>
          <w:tcPr>
            <w:tcW w:w="1417" w:type="dxa"/>
            <w:vMerge/>
          </w:tcPr>
          <w:p w14:paraId="51DDBD20" w14:textId="77777777" w:rsidR="00454A29" w:rsidRDefault="00454A29"/>
        </w:tc>
        <w:tc>
          <w:tcPr>
            <w:tcW w:w="2324" w:type="dxa"/>
            <w:vMerge/>
          </w:tcPr>
          <w:p w14:paraId="42AD5DC0" w14:textId="77777777" w:rsidR="00454A29" w:rsidRDefault="00454A29"/>
        </w:tc>
        <w:tc>
          <w:tcPr>
            <w:tcW w:w="1701" w:type="dxa"/>
            <w:vAlign w:val="center"/>
          </w:tcPr>
          <w:p w14:paraId="0FF26286" w14:textId="77777777" w:rsidR="00454A29" w:rsidRDefault="00454A29">
            <w:pPr>
              <w:pStyle w:val="ConsPlusNormal"/>
              <w:jc w:val="center"/>
            </w:pPr>
            <w:r>
              <w:t>-</w:t>
            </w:r>
          </w:p>
        </w:tc>
        <w:tc>
          <w:tcPr>
            <w:tcW w:w="1814" w:type="dxa"/>
            <w:vAlign w:val="center"/>
          </w:tcPr>
          <w:p w14:paraId="60BA6500" w14:textId="77777777" w:rsidR="00454A29" w:rsidRDefault="00454A29">
            <w:pPr>
              <w:pStyle w:val="ConsPlusNormal"/>
            </w:pPr>
          </w:p>
        </w:tc>
        <w:tc>
          <w:tcPr>
            <w:tcW w:w="1701" w:type="dxa"/>
            <w:vAlign w:val="center"/>
          </w:tcPr>
          <w:p w14:paraId="69C1A549" w14:textId="77777777" w:rsidR="00454A29" w:rsidRDefault="00454A29">
            <w:pPr>
              <w:pStyle w:val="ConsPlusNormal"/>
            </w:pPr>
          </w:p>
        </w:tc>
        <w:tc>
          <w:tcPr>
            <w:tcW w:w="1701" w:type="dxa"/>
            <w:vAlign w:val="center"/>
          </w:tcPr>
          <w:p w14:paraId="44EEDE20" w14:textId="77777777" w:rsidR="00454A29" w:rsidRDefault="00454A29">
            <w:pPr>
              <w:pStyle w:val="ConsPlusNormal"/>
            </w:pPr>
          </w:p>
        </w:tc>
        <w:tc>
          <w:tcPr>
            <w:tcW w:w="1814" w:type="dxa"/>
            <w:vAlign w:val="center"/>
          </w:tcPr>
          <w:p w14:paraId="1ACC4E17" w14:textId="77777777" w:rsidR="00454A29" w:rsidRDefault="00454A29">
            <w:pPr>
              <w:pStyle w:val="ConsPlusNormal"/>
            </w:pPr>
          </w:p>
        </w:tc>
      </w:tr>
      <w:tr w:rsidR="00454A29" w14:paraId="55E122DC" w14:textId="77777777">
        <w:tc>
          <w:tcPr>
            <w:tcW w:w="567" w:type="dxa"/>
            <w:vMerge/>
          </w:tcPr>
          <w:p w14:paraId="685C227A" w14:textId="77777777" w:rsidR="00454A29" w:rsidRDefault="00454A29"/>
        </w:tc>
        <w:tc>
          <w:tcPr>
            <w:tcW w:w="3345" w:type="dxa"/>
            <w:vMerge/>
          </w:tcPr>
          <w:p w14:paraId="31A3A406" w14:textId="77777777" w:rsidR="00454A29" w:rsidRDefault="00454A29"/>
        </w:tc>
        <w:tc>
          <w:tcPr>
            <w:tcW w:w="1701" w:type="dxa"/>
            <w:vAlign w:val="center"/>
          </w:tcPr>
          <w:p w14:paraId="6DD83DC3" w14:textId="77777777" w:rsidR="00454A29" w:rsidRDefault="00454A29">
            <w:pPr>
              <w:pStyle w:val="ConsPlusNormal"/>
              <w:jc w:val="center"/>
            </w:pPr>
            <w:r>
              <w:t>2025</w:t>
            </w:r>
          </w:p>
        </w:tc>
        <w:tc>
          <w:tcPr>
            <w:tcW w:w="1417" w:type="dxa"/>
            <w:vMerge/>
          </w:tcPr>
          <w:p w14:paraId="1BC65BE7" w14:textId="77777777" w:rsidR="00454A29" w:rsidRDefault="00454A29"/>
        </w:tc>
        <w:tc>
          <w:tcPr>
            <w:tcW w:w="2204" w:type="dxa"/>
            <w:vMerge/>
          </w:tcPr>
          <w:p w14:paraId="23C05C5A" w14:textId="77777777" w:rsidR="00454A29" w:rsidRDefault="00454A29"/>
        </w:tc>
        <w:tc>
          <w:tcPr>
            <w:tcW w:w="1417" w:type="dxa"/>
            <w:vMerge/>
          </w:tcPr>
          <w:p w14:paraId="25A39B59" w14:textId="77777777" w:rsidR="00454A29" w:rsidRDefault="00454A29"/>
        </w:tc>
        <w:tc>
          <w:tcPr>
            <w:tcW w:w="2324" w:type="dxa"/>
            <w:vMerge/>
          </w:tcPr>
          <w:p w14:paraId="108B7715" w14:textId="77777777" w:rsidR="00454A29" w:rsidRDefault="00454A29"/>
        </w:tc>
        <w:tc>
          <w:tcPr>
            <w:tcW w:w="1701" w:type="dxa"/>
            <w:vAlign w:val="center"/>
          </w:tcPr>
          <w:p w14:paraId="51641A9F" w14:textId="77777777" w:rsidR="00454A29" w:rsidRDefault="00454A29">
            <w:pPr>
              <w:pStyle w:val="ConsPlusNormal"/>
              <w:jc w:val="center"/>
            </w:pPr>
            <w:r>
              <w:t>220 694,71</w:t>
            </w:r>
          </w:p>
        </w:tc>
        <w:tc>
          <w:tcPr>
            <w:tcW w:w="1814" w:type="dxa"/>
            <w:vAlign w:val="center"/>
          </w:tcPr>
          <w:p w14:paraId="085E363C" w14:textId="77777777" w:rsidR="00454A29" w:rsidRDefault="00454A29">
            <w:pPr>
              <w:pStyle w:val="ConsPlusNormal"/>
              <w:jc w:val="center"/>
            </w:pPr>
            <w:r>
              <w:t>2 791,79</w:t>
            </w:r>
          </w:p>
        </w:tc>
        <w:tc>
          <w:tcPr>
            <w:tcW w:w="1701" w:type="dxa"/>
            <w:vAlign w:val="center"/>
          </w:tcPr>
          <w:p w14:paraId="21534190" w14:textId="77777777" w:rsidR="00454A29" w:rsidRDefault="00454A29">
            <w:pPr>
              <w:pStyle w:val="ConsPlusNormal"/>
              <w:jc w:val="center"/>
            </w:pPr>
            <w:r>
              <w:t>276 387,03</w:t>
            </w:r>
          </w:p>
        </w:tc>
        <w:tc>
          <w:tcPr>
            <w:tcW w:w="1701" w:type="dxa"/>
            <w:vAlign w:val="center"/>
          </w:tcPr>
          <w:p w14:paraId="1206F9C5" w14:textId="77777777" w:rsidR="00454A29" w:rsidRDefault="00454A29">
            <w:pPr>
              <w:pStyle w:val="ConsPlusNormal"/>
            </w:pPr>
          </w:p>
        </w:tc>
        <w:tc>
          <w:tcPr>
            <w:tcW w:w="1814" w:type="dxa"/>
            <w:vAlign w:val="center"/>
          </w:tcPr>
          <w:p w14:paraId="30A8C6D8" w14:textId="77777777" w:rsidR="00454A29" w:rsidRDefault="00454A29">
            <w:pPr>
              <w:pStyle w:val="ConsPlusNormal"/>
            </w:pPr>
          </w:p>
        </w:tc>
      </w:tr>
      <w:tr w:rsidR="00454A29" w14:paraId="40BCA904" w14:textId="77777777">
        <w:tc>
          <w:tcPr>
            <w:tcW w:w="567" w:type="dxa"/>
            <w:vMerge/>
          </w:tcPr>
          <w:p w14:paraId="39033C52" w14:textId="77777777" w:rsidR="00454A29" w:rsidRDefault="00454A29"/>
        </w:tc>
        <w:tc>
          <w:tcPr>
            <w:tcW w:w="3345" w:type="dxa"/>
            <w:vMerge/>
          </w:tcPr>
          <w:p w14:paraId="4C2DECEE" w14:textId="77777777" w:rsidR="00454A29" w:rsidRDefault="00454A29"/>
        </w:tc>
        <w:tc>
          <w:tcPr>
            <w:tcW w:w="1701" w:type="dxa"/>
            <w:vAlign w:val="center"/>
          </w:tcPr>
          <w:p w14:paraId="18E749D2" w14:textId="77777777" w:rsidR="00454A29" w:rsidRDefault="00454A29">
            <w:pPr>
              <w:pStyle w:val="ConsPlusNormal"/>
              <w:jc w:val="center"/>
            </w:pPr>
            <w:r>
              <w:t>2026</w:t>
            </w:r>
          </w:p>
        </w:tc>
        <w:tc>
          <w:tcPr>
            <w:tcW w:w="1417" w:type="dxa"/>
            <w:vMerge/>
          </w:tcPr>
          <w:p w14:paraId="7C07AB37" w14:textId="77777777" w:rsidR="00454A29" w:rsidRDefault="00454A29"/>
        </w:tc>
        <w:tc>
          <w:tcPr>
            <w:tcW w:w="2204" w:type="dxa"/>
            <w:vMerge/>
          </w:tcPr>
          <w:p w14:paraId="4D406A72" w14:textId="77777777" w:rsidR="00454A29" w:rsidRDefault="00454A29"/>
        </w:tc>
        <w:tc>
          <w:tcPr>
            <w:tcW w:w="1417" w:type="dxa"/>
            <w:vMerge/>
          </w:tcPr>
          <w:p w14:paraId="3B406EDB" w14:textId="77777777" w:rsidR="00454A29" w:rsidRDefault="00454A29"/>
        </w:tc>
        <w:tc>
          <w:tcPr>
            <w:tcW w:w="2324" w:type="dxa"/>
            <w:vMerge/>
          </w:tcPr>
          <w:p w14:paraId="31E9A06D" w14:textId="77777777" w:rsidR="00454A29" w:rsidRDefault="00454A29"/>
        </w:tc>
        <w:tc>
          <w:tcPr>
            <w:tcW w:w="1701" w:type="dxa"/>
            <w:vAlign w:val="center"/>
          </w:tcPr>
          <w:p w14:paraId="6ABC3968" w14:textId="77777777" w:rsidR="00454A29" w:rsidRDefault="00454A29">
            <w:pPr>
              <w:pStyle w:val="ConsPlusNormal"/>
            </w:pPr>
          </w:p>
        </w:tc>
        <w:tc>
          <w:tcPr>
            <w:tcW w:w="1814" w:type="dxa"/>
            <w:vAlign w:val="center"/>
          </w:tcPr>
          <w:p w14:paraId="51F33361" w14:textId="77777777" w:rsidR="00454A29" w:rsidRDefault="00454A29">
            <w:pPr>
              <w:pStyle w:val="ConsPlusNormal"/>
            </w:pPr>
          </w:p>
        </w:tc>
        <w:tc>
          <w:tcPr>
            <w:tcW w:w="1701" w:type="dxa"/>
            <w:vAlign w:val="center"/>
          </w:tcPr>
          <w:p w14:paraId="7A06FFF4" w14:textId="77777777" w:rsidR="00454A29" w:rsidRDefault="00454A29">
            <w:pPr>
              <w:pStyle w:val="ConsPlusNormal"/>
            </w:pPr>
          </w:p>
        </w:tc>
        <w:tc>
          <w:tcPr>
            <w:tcW w:w="1701" w:type="dxa"/>
            <w:vAlign w:val="center"/>
          </w:tcPr>
          <w:p w14:paraId="79962D2C" w14:textId="77777777" w:rsidR="00454A29" w:rsidRDefault="00454A29">
            <w:pPr>
              <w:pStyle w:val="ConsPlusNormal"/>
            </w:pPr>
          </w:p>
        </w:tc>
        <w:tc>
          <w:tcPr>
            <w:tcW w:w="1814" w:type="dxa"/>
            <w:vAlign w:val="center"/>
          </w:tcPr>
          <w:p w14:paraId="114FE2CE" w14:textId="77777777" w:rsidR="00454A29" w:rsidRDefault="00454A29">
            <w:pPr>
              <w:pStyle w:val="ConsPlusNormal"/>
            </w:pPr>
          </w:p>
        </w:tc>
      </w:tr>
      <w:tr w:rsidR="00454A29" w14:paraId="6C6C1F6E" w14:textId="77777777">
        <w:tc>
          <w:tcPr>
            <w:tcW w:w="567" w:type="dxa"/>
            <w:vMerge w:val="restart"/>
            <w:vAlign w:val="center"/>
          </w:tcPr>
          <w:p w14:paraId="20ACD06D" w14:textId="77777777" w:rsidR="00454A29" w:rsidRDefault="00454A29">
            <w:pPr>
              <w:pStyle w:val="ConsPlusNormal"/>
              <w:jc w:val="center"/>
            </w:pPr>
            <w:r>
              <w:t>123</w:t>
            </w:r>
          </w:p>
        </w:tc>
        <w:tc>
          <w:tcPr>
            <w:tcW w:w="3345" w:type="dxa"/>
            <w:vMerge w:val="restart"/>
            <w:vAlign w:val="center"/>
          </w:tcPr>
          <w:p w14:paraId="20C4B480" w14:textId="77777777" w:rsidR="00454A29" w:rsidRDefault="00454A29">
            <w:pPr>
              <w:pStyle w:val="ConsPlusNormal"/>
              <w:jc w:val="center"/>
            </w:pPr>
            <w:r>
              <w:t>Школа на 50 учащихся в с. Агдары</w:t>
            </w:r>
          </w:p>
        </w:tc>
        <w:tc>
          <w:tcPr>
            <w:tcW w:w="1701" w:type="dxa"/>
            <w:vAlign w:val="center"/>
          </w:tcPr>
          <w:p w14:paraId="354D503E" w14:textId="77777777" w:rsidR="00454A29" w:rsidRDefault="00454A29">
            <w:pPr>
              <w:pStyle w:val="ConsPlusNormal"/>
              <w:jc w:val="center"/>
            </w:pPr>
            <w:r>
              <w:t>2020 - 2026 годы - всего</w:t>
            </w:r>
          </w:p>
        </w:tc>
        <w:tc>
          <w:tcPr>
            <w:tcW w:w="1417" w:type="dxa"/>
            <w:vMerge w:val="restart"/>
            <w:vAlign w:val="center"/>
          </w:tcPr>
          <w:p w14:paraId="720C27C6" w14:textId="77777777" w:rsidR="00454A29" w:rsidRDefault="00454A29">
            <w:pPr>
              <w:pStyle w:val="ConsPlusNormal"/>
              <w:jc w:val="center"/>
            </w:pPr>
            <w:r>
              <w:t>183 912,26</w:t>
            </w:r>
          </w:p>
        </w:tc>
        <w:tc>
          <w:tcPr>
            <w:tcW w:w="2204" w:type="dxa"/>
            <w:vMerge w:val="restart"/>
            <w:vAlign w:val="center"/>
          </w:tcPr>
          <w:p w14:paraId="575EBB2F" w14:textId="77777777" w:rsidR="00454A29" w:rsidRDefault="00454A29">
            <w:pPr>
              <w:pStyle w:val="ConsPlusNormal"/>
            </w:pPr>
          </w:p>
        </w:tc>
        <w:tc>
          <w:tcPr>
            <w:tcW w:w="1417" w:type="dxa"/>
            <w:vMerge w:val="restart"/>
            <w:vAlign w:val="center"/>
          </w:tcPr>
          <w:p w14:paraId="683FD569" w14:textId="77777777" w:rsidR="00454A29" w:rsidRDefault="00454A29">
            <w:pPr>
              <w:pStyle w:val="ConsPlusNormal"/>
              <w:jc w:val="center"/>
            </w:pPr>
            <w:r>
              <w:t>50</w:t>
            </w:r>
          </w:p>
        </w:tc>
        <w:tc>
          <w:tcPr>
            <w:tcW w:w="2324" w:type="dxa"/>
            <w:vMerge w:val="restart"/>
            <w:vAlign w:val="center"/>
          </w:tcPr>
          <w:p w14:paraId="73EB071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A7BF76B" w14:textId="77777777" w:rsidR="00454A29" w:rsidRDefault="00454A29">
            <w:pPr>
              <w:pStyle w:val="ConsPlusNormal"/>
              <w:jc w:val="center"/>
            </w:pPr>
            <w:r>
              <w:t>183 912,26</w:t>
            </w:r>
          </w:p>
        </w:tc>
        <w:tc>
          <w:tcPr>
            <w:tcW w:w="1814" w:type="dxa"/>
            <w:vAlign w:val="center"/>
          </w:tcPr>
          <w:p w14:paraId="20CF734E" w14:textId="77777777" w:rsidR="00454A29" w:rsidRDefault="00454A29">
            <w:pPr>
              <w:pStyle w:val="ConsPlusNormal"/>
              <w:jc w:val="center"/>
            </w:pPr>
            <w:r>
              <w:t>2 326,49</w:t>
            </w:r>
          </w:p>
        </w:tc>
        <w:tc>
          <w:tcPr>
            <w:tcW w:w="1701" w:type="dxa"/>
            <w:vAlign w:val="center"/>
          </w:tcPr>
          <w:p w14:paraId="518729FD" w14:textId="77777777" w:rsidR="00454A29" w:rsidRDefault="00454A29">
            <w:pPr>
              <w:pStyle w:val="ConsPlusNormal"/>
              <w:jc w:val="center"/>
            </w:pPr>
            <w:r>
              <w:t>230 322,52</w:t>
            </w:r>
          </w:p>
        </w:tc>
        <w:tc>
          <w:tcPr>
            <w:tcW w:w="1701" w:type="dxa"/>
            <w:vAlign w:val="center"/>
          </w:tcPr>
          <w:p w14:paraId="4962A0A8" w14:textId="77777777" w:rsidR="00454A29" w:rsidRDefault="00454A29">
            <w:pPr>
              <w:pStyle w:val="ConsPlusNormal"/>
              <w:jc w:val="center"/>
            </w:pPr>
            <w:r>
              <w:t>0</w:t>
            </w:r>
          </w:p>
        </w:tc>
        <w:tc>
          <w:tcPr>
            <w:tcW w:w="1814" w:type="dxa"/>
            <w:vAlign w:val="center"/>
          </w:tcPr>
          <w:p w14:paraId="67BA2D63" w14:textId="77777777" w:rsidR="00454A29" w:rsidRDefault="00454A29">
            <w:pPr>
              <w:pStyle w:val="ConsPlusNormal"/>
              <w:jc w:val="center"/>
            </w:pPr>
            <w:r>
              <w:t>0</w:t>
            </w:r>
          </w:p>
        </w:tc>
      </w:tr>
      <w:tr w:rsidR="00454A29" w14:paraId="6C8264D5" w14:textId="77777777">
        <w:tc>
          <w:tcPr>
            <w:tcW w:w="567" w:type="dxa"/>
            <w:vMerge/>
          </w:tcPr>
          <w:p w14:paraId="0AFEB174" w14:textId="77777777" w:rsidR="00454A29" w:rsidRDefault="00454A29"/>
        </w:tc>
        <w:tc>
          <w:tcPr>
            <w:tcW w:w="3345" w:type="dxa"/>
            <w:vMerge/>
          </w:tcPr>
          <w:p w14:paraId="67EA7798" w14:textId="77777777" w:rsidR="00454A29" w:rsidRDefault="00454A29"/>
        </w:tc>
        <w:tc>
          <w:tcPr>
            <w:tcW w:w="1701" w:type="dxa"/>
            <w:vAlign w:val="center"/>
          </w:tcPr>
          <w:p w14:paraId="28FAF4DC" w14:textId="77777777" w:rsidR="00454A29" w:rsidRDefault="00454A29">
            <w:pPr>
              <w:pStyle w:val="ConsPlusNormal"/>
              <w:jc w:val="center"/>
            </w:pPr>
            <w:r>
              <w:t>2020</w:t>
            </w:r>
          </w:p>
        </w:tc>
        <w:tc>
          <w:tcPr>
            <w:tcW w:w="1417" w:type="dxa"/>
            <w:vMerge/>
          </w:tcPr>
          <w:p w14:paraId="3E907251" w14:textId="77777777" w:rsidR="00454A29" w:rsidRDefault="00454A29"/>
        </w:tc>
        <w:tc>
          <w:tcPr>
            <w:tcW w:w="2204" w:type="dxa"/>
            <w:vMerge/>
          </w:tcPr>
          <w:p w14:paraId="467E5176" w14:textId="77777777" w:rsidR="00454A29" w:rsidRDefault="00454A29"/>
        </w:tc>
        <w:tc>
          <w:tcPr>
            <w:tcW w:w="1417" w:type="dxa"/>
            <w:vMerge/>
          </w:tcPr>
          <w:p w14:paraId="7707F301" w14:textId="77777777" w:rsidR="00454A29" w:rsidRDefault="00454A29"/>
        </w:tc>
        <w:tc>
          <w:tcPr>
            <w:tcW w:w="2324" w:type="dxa"/>
            <w:vMerge/>
          </w:tcPr>
          <w:p w14:paraId="07027716" w14:textId="77777777" w:rsidR="00454A29" w:rsidRDefault="00454A29"/>
        </w:tc>
        <w:tc>
          <w:tcPr>
            <w:tcW w:w="1701" w:type="dxa"/>
            <w:vAlign w:val="center"/>
          </w:tcPr>
          <w:p w14:paraId="049F3514" w14:textId="77777777" w:rsidR="00454A29" w:rsidRDefault="00454A29">
            <w:pPr>
              <w:pStyle w:val="ConsPlusNormal"/>
            </w:pPr>
          </w:p>
        </w:tc>
        <w:tc>
          <w:tcPr>
            <w:tcW w:w="1814" w:type="dxa"/>
            <w:vAlign w:val="center"/>
          </w:tcPr>
          <w:p w14:paraId="6AC3E893" w14:textId="77777777" w:rsidR="00454A29" w:rsidRDefault="00454A29">
            <w:pPr>
              <w:pStyle w:val="ConsPlusNormal"/>
            </w:pPr>
          </w:p>
        </w:tc>
        <w:tc>
          <w:tcPr>
            <w:tcW w:w="1701" w:type="dxa"/>
            <w:vAlign w:val="center"/>
          </w:tcPr>
          <w:p w14:paraId="78BE44F6" w14:textId="77777777" w:rsidR="00454A29" w:rsidRDefault="00454A29">
            <w:pPr>
              <w:pStyle w:val="ConsPlusNormal"/>
            </w:pPr>
          </w:p>
        </w:tc>
        <w:tc>
          <w:tcPr>
            <w:tcW w:w="1701" w:type="dxa"/>
            <w:vAlign w:val="center"/>
          </w:tcPr>
          <w:p w14:paraId="36689158" w14:textId="77777777" w:rsidR="00454A29" w:rsidRDefault="00454A29">
            <w:pPr>
              <w:pStyle w:val="ConsPlusNormal"/>
            </w:pPr>
          </w:p>
        </w:tc>
        <w:tc>
          <w:tcPr>
            <w:tcW w:w="1814" w:type="dxa"/>
            <w:vAlign w:val="center"/>
          </w:tcPr>
          <w:p w14:paraId="649CC019" w14:textId="77777777" w:rsidR="00454A29" w:rsidRDefault="00454A29">
            <w:pPr>
              <w:pStyle w:val="ConsPlusNormal"/>
            </w:pPr>
          </w:p>
        </w:tc>
      </w:tr>
      <w:tr w:rsidR="00454A29" w14:paraId="4C37D92D" w14:textId="77777777">
        <w:tc>
          <w:tcPr>
            <w:tcW w:w="567" w:type="dxa"/>
            <w:vMerge/>
          </w:tcPr>
          <w:p w14:paraId="616332D7" w14:textId="77777777" w:rsidR="00454A29" w:rsidRDefault="00454A29"/>
        </w:tc>
        <w:tc>
          <w:tcPr>
            <w:tcW w:w="3345" w:type="dxa"/>
            <w:vMerge/>
          </w:tcPr>
          <w:p w14:paraId="35A25EDD" w14:textId="77777777" w:rsidR="00454A29" w:rsidRDefault="00454A29"/>
        </w:tc>
        <w:tc>
          <w:tcPr>
            <w:tcW w:w="1701" w:type="dxa"/>
            <w:vAlign w:val="center"/>
          </w:tcPr>
          <w:p w14:paraId="311E0852" w14:textId="77777777" w:rsidR="00454A29" w:rsidRDefault="00454A29">
            <w:pPr>
              <w:pStyle w:val="ConsPlusNormal"/>
              <w:jc w:val="center"/>
            </w:pPr>
            <w:r>
              <w:t>2021</w:t>
            </w:r>
          </w:p>
        </w:tc>
        <w:tc>
          <w:tcPr>
            <w:tcW w:w="1417" w:type="dxa"/>
            <w:vMerge/>
          </w:tcPr>
          <w:p w14:paraId="683208EE" w14:textId="77777777" w:rsidR="00454A29" w:rsidRDefault="00454A29"/>
        </w:tc>
        <w:tc>
          <w:tcPr>
            <w:tcW w:w="2204" w:type="dxa"/>
            <w:vMerge/>
          </w:tcPr>
          <w:p w14:paraId="628D75D0" w14:textId="77777777" w:rsidR="00454A29" w:rsidRDefault="00454A29"/>
        </w:tc>
        <w:tc>
          <w:tcPr>
            <w:tcW w:w="1417" w:type="dxa"/>
            <w:vMerge/>
          </w:tcPr>
          <w:p w14:paraId="67EDA738" w14:textId="77777777" w:rsidR="00454A29" w:rsidRDefault="00454A29"/>
        </w:tc>
        <w:tc>
          <w:tcPr>
            <w:tcW w:w="2324" w:type="dxa"/>
            <w:vMerge/>
          </w:tcPr>
          <w:p w14:paraId="2334F672" w14:textId="77777777" w:rsidR="00454A29" w:rsidRDefault="00454A29"/>
        </w:tc>
        <w:tc>
          <w:tcPr>
            <w:tcW w:w="1701" w:type="dxa"/>
            <w:vAlign w:val="center"/>
          </w:tcPr>
          <w:p w14:paraId="41DF4ADB" w14:textId="77777777" w:rsidR="00454A29" w:rsidRDefault="00454A29">
            <w:pPr>
              <w:pStyle w:val="ConsPlusNormal"/>
            </w:pPr>
          </w:p>
        </w:tc>
        <w:tc>
          <w:tcPr>
            <w:tcW w:w="1814" w:type="dxa"/>
            <w:vAlign w:val="center"/>
          </w:tcPr>
          <w:p w14:paraId="2E478C6D" w14:textId="77777777" w:rsidR="00454A29" w:rsidRDefault="00454A29">
            <w:pPr>
              <w:pStyle w:val="ConsPlusNormal"/>
            </w:pPr>
          </w:p>
        </w:tc>
        <w:tc>
          <w:tcPr>
            <w:tcW w:w="1701" w:type="dxa"/>
            <w:vAlign w:val="center"/>
          </w:tcPr>
          <w:p w14:paraId="09E2F569" w14:textId="77777777" w:rsidR="00454A29" w:rsidRDefault="00454A29">
            <w:pPr>
              <w:pStyle w:val="ConsPlusNormal"/>
            </w:pPr>
          </w:p>
        </w:tc>
        <w:tc>
          <w:tcPr>
            <w:tcW w:w="1701" w:type="dxa"/>
            <w:vAlign w:val="center"/>
          </w:tcPr>
          <w:p w14:paraId="62ED7F61" w14:textId="77777777" w:rsidR="00454A29" w:rsidRDefault="00454A29">
            <w:pPr>
              <w:pStyle w:val="ConsPlusNormal"/>
            </w:pPr>
          </w:p>
        </w:tc>
        <w:tc>
          <w:tcPr>
            <w:tcW w:w="1814" w:type="dxa"/>
            <w:vAlign w:val="center"/>
          </w:tcPr>
          <w:p w14:paraId="4C3C9BF5" w14:textId="77777777" w:rsidR="00454A29" w:rsidRDefault="00454A29">
            <w:pPr>
              <w:pStyle w:val="ConsPlusNormal"/>
            </w:pPr>
          </w:p>
        </w:tc>
      </w:tr>
      <w:tr w:rsidR="00454A29" w14:paraId="6C4DF572" w14:textId="77777777">
        <w:tc>
          <w:tcPr>
            <w:tcW w:w="567" w:type="dxa"/>
            <w:vMerge/>
          </w:tcPr>
          <w:p w14:paraId="15935EA7" w14:textId="77777777" w:rsidR="00454A29" w:rsidRDefault="00454A29"/>
        </w:tc>
        <w:tc>
          <w:tcPr>
            <w:tcW w:w="3345" w:type="dxa"/>
            <w:vMerge/>
          </w:tcPr>
          <w:p w14:paraId="51A2F533" w14:textId="77777777" w:rsidR="00454A29" w:rsidRDefault="00454A29"/>
        </w:tc>
        <w:tc>
          <w:tcPr>
            <w:tcW w:w="1701" w:type="dxa"/>
            <w:vAlign w:val="center"/>
          </w:tcPr>
          <w:p w14:paraId="73A578C5" w14:textId="77777777" w:rsidR="00454A29" w:rsidRDefault="00454A29">
            <w:pPr>
              <w:pStyle w:val="ConsPlusNormal"/>
              <w:jc w:val="center"/>
            </w:pPr>
            <w:r>
              <w:t>2022</w:t>
            </w:r>
          </w:p>
        </w:tc>
        <w:tc>
          <w:tcPr>
            <w:tcW w:w="1417" w:type="dxa"/>
            <w:vMerge/>
          </w:tcPr>
          <w:p w14:paraId="2E171634" w14:textId="77777777" w:rsidR="00454A29" w:rsidRDefault="00454A29"/>
        </w:tc>
        <w:tc>
          <w:tcPr>
            <w:tcW w:w="2204" w:type="dxa"/>
            <w:vMerge/>
          </w:tcPr>
          <w:p w14:paraId="46BB8D73" w14:textId="77777777" w:rsidR="00454A29" w:rsidRDefault="00454A29"/>
        </w:tc>
        <w:tc>
          <w:tcPr>
            <w:tcW w:w="1417" w:type="dxa"/>
            <w:vMerge/>
          </w:tcPr>
          <w:p w14:paraId="242E5656" w14:textId="77777777" w:rsidR="00454A29" w:rsidRDefault="00454A29"/>
        </w:tc>
        <w:tc>
          <w:tcPr>
            <w:tcW w:w="2324" w:type="dxa"/>
            <w:vMerge/>
          </w:tcPr>
          <w:p w14:paraId="20B2E7C0" w14:textId="77777777" w:rsidR="00454A29" w:rsidRDefault="00454A29"/>
        </w:tc>
        <w:tc>
          <w:tcPr>
            <w:tcW w:w="1701" w:type="dxa"/>
            <w:vAlign w:val="center"/>
          </w:tcPr>
          <w:p w14:paraId="0A7187AC" w14:textId="77777777" w:rsidR="00454A29" w:rsidRDefault="00454A29">
            <w:pPr>
              <w:pStyle w:val="ConsPlusNormal"/>
            </w:pPr>
          </w:p>
        </w:tc>
        <w:tc>
          <w:tcPr>
            <w:tcW w:w="1814" w:type="dxa"/>
            <w:vAlign w:val="center"/>
          </w:tcPr>
          <w:p w14:paraId="406E7992" w14:textId="77777777" w:rsidR="00454A29" w:rsidRDefault="00454A29">
            <w:pPr>
              <w:pStyle w:val="ConsPlusNormal"/>
            </w:pPr>
          </w:p>
        </w:tc>
        <w:tc>
          <w:tcPr>
            <w:tcW w:w="1701" w:type="dxa"/>
            <w:vAlign w:val="center"/>
          </w:tcPr>
          <w:p w14:paraId="693AB6B2" w14:textId="77777777" w:rsidR="00454A29" w:rsidRDefault="00454A29">
            <w:pPr>
              <w:pStyle w:val="ConsPlusNormal"/>
            </w:pPr>
          </w:p>
        </w:tc>
        <w:tc>
          <w:tcPr>
            <w:tcW w:w="1701" w:type="dxa"/>
            <w:vAlign w:val="center"/>
          </w:tcPr>
          <w:p w14:paraId="0C7FB0A5" w14:textId="77777777" w:rsidR="00454A29" w:rsidRDefault="00454A29">
            <w:pPr>
              <w:pStyle w:val="ConsPlusNormal"/>
            </w:pPr>
          </w:p>
        </w:tc>
        <w:tc>
          <w:tcPr>
            <w:tcW w:w="1814" w:type="dxa"/>
            <w:vAlign w:val="center"/>
          </w:tcPr>
          <w:p w14:paraId="19A86596" w14:textId="77777777" w:rsidR="00454A29" w:rsidRDefault="00454A29">
            <w:pPr>
              <w:pStyle w:val="ConsPlusNormal"/>
            </w:pPr>
          </w:p>
        </w:tc>
      </w:tr>
      <w:tr w:rsidR="00454A29" w14:paraId="14D62524" w14:textId="77777777">
        <w:tc>
          <w:tcPr>
            <w:tcW w:w="567" w:type="dxa"/>
            <w:vMerge/>
          </w:tcPr>
          <w:p w14:paraId="05CDFAF9" w14:textId="77777777" w:rsidR="00454A29" w:rsidRDefault="00454A29"/>
        </w:tc>
        <w:tc>
          <w:tcPr>
            <w:tcW w:w="3345" w:type="dxa"/>
            <w:vMerge/>
          </w:tcPr>
          <w:p w14:paraId="4A21CCF1" w14:textId="77777777" w:rsidR="00454A29" w:rsidRDefault="00454A29"/>
        </w:tc>
        <w:tc>
          <w:tcPr>
            <w:tcW w:w="1701" w:type="dxa"/>
            <w:vAlign w:val="center"/>
          </w:tcPr>
          <w:p w14:paraId="0DC01305" w14:textId="77777777" w:rsidR="00454A29" w:rsidRDefault="00454A29">
            <w:pPr>
              <w:pStyle w:val="ConsPlusNormal"/>
              <w:jc w:val="center"/>
            </w:pPr>
            <w:r>
              <w:t>2023</w:t>
            </w:r>
          </w:p>
        </w:tc>
        <w:tc>
          <w:tcPr>
            <w:tcW w:w="1417" w:type="dxa"/>
            <w:vMerge/>
          </w:tcPr>
          <w:p w14:paraId="1CA655A6" w14:textId="77777777" w:rsidR="00454A29" w:rsidRDefault="00454A29"/>
        </w:tc>
        <w:tc>
          <w:tcPr>
            <w:tcW w:w="2204" w:type="dxa"/>
            <w:vMerge/>
          </w:tcPr>
          <w:p w14:paraId="343088F0" w14:textId="77777777" w:rsidR="00454A29" w:rsidRDefault="00454A29"/>
        </w:tc>
        <w:tc>
          <w:tcPr>
            <w:tcW w:w="1417" w:type="dxa"/>
            <w:vMerge/>
          </w:tcPr>
          <w:p w14:paraId="45022B8A" w14:textId="77777777" w:rsidR="00454A29" w:rsidRDefault="00454A29"/>
        </w:tc>
        <w:tc>
          <w:tcPr>
            <w:tcW w:w="2324" w:type="dxa"/>
            <w:vMerge/>
          </w:tcPr>
          <w:p w14:paraId="7F4D2A7D" w14:textId="77777777" w:rsidR="00454A29" w:rsidRDefault="00454A29"/>
        </w:tc>
        <w:tc>
          <w:tcPr>
            <w:tcW w:w="1701" w:type="dxa"/>
            <w:vAlign w:val="center"/>
          </w:tcPr>
          <w:p w14:paraId="4E640A0D" w14:textId="77777777" w:rsidR="00454A29" w:rsidRDefault="00454A29">
            <w:pPr>
              <w:pStyle w:val="ConsPlusNormal"/>
              <w:jc w:val="center"/>
            </w:pPr>
            <w:r>
              <w:t>-</w:t>
            </w:r>
          </w:p>
        </w:tc>
        <w:tc>
          <w:tcPr>
            <w:tcW w:w="1814" w:type="dxa"/>
            <w:vAlign w:val="center"/>
          </w:tcPr>
          <w:p w14:paraId="6EE26C50" w14:textId="77777777" w:rsidR="00454A29" w:rsidRDefault="00454A29">
            <w:pPr>
              <w:pStyle w:val="ConsPlusNormal"/>
            </w:pPr>
          </w:p>
        </w:tc>
        <w:tc>
          <w:tcPr>
            <w:tcW w:w="1701" w:type="dxa"/>
            <w:vAlign w:val="center"/>
          </w:tcPr>
          <w:p w14:paraId="7F621FDC" w14:textId="77777777" w:rsidR="00454A29" w:rsidRDefault="00454A29">
            <w:pPr>
              <w:pStyle w:val="ConsPlusNormal"/>
            </w:pPr>
          </w:p>
        </w:tc>
        <w:tc>
          <w:tcPr>
            <w:tcW w:w="1701" w:type="dxa"/>
            <w:vAlign w:val="center"/>
          </w:tcPr>
          <w:p w14:paraId="726D4337" w14:textId="77777777" w:rsidR="00454A29" w:rsidRDefault="00454A29">
            <w:pPr>
              <w:pStyle w:val="ConsPlusNormal"/>
            </w:pPr>
          </w:p>
        </w:tc>
        <w:tc>
          <w:tcPr>
            <w:tcW w:w="1814" w:type="dxa"/>
            <w:vAlign w:val="center"/>
          </w:tcPr>
          <w:p w14:paraId="64B87E67" w14:textId="77777777" w:rsidR="00454A29" w:rsidRDefault="00454A29">
            <w:pPr>
              <w:pStyle w:val="ConsPlusNormal"/>
            </w:pPr>
          </w:p>
        </w:tc>
      </w:tr>
      <w:tr w:rsidR="00454A29" w14:paraId="32037CE9" w14:textId="77777777">
        <w:tc>
          <w:tcPr>
            <w:tcW w:w="567" w:type="dxa"/>
            <w:vMerge/>
          </w:tcPr>
          <w:p w14:paraId="765B82E2" w14:textId="77777777" w:rsidR="00454A29" w:rsidRDefault="00454A29"/>
        </w:tc>
        <w:tc>
          <w:tcPr>
            <w:tcW w:w="3345" w:type="dxa"/>
            <w:vMerge/>
          </w:tcPr>
          <w:p w14:paraId="2FB909C5" w14:textId="77777777" w:rsidR="00454A29" w:rsidRDefault="00454A29"/>
        </w:tc>
        <w:tc>
          <w:tcPr>
            <w:tcW w:w="1701" w:type="dxa"/>
            <w:vAlign w:val="center"/>
          </w:tcPr>
          <w:p w14:paraId="68B8932B" w14:textId="77777777" w:rsidR="00454A29" w:rsidRDefault="00454A29">
            <w:pPr>
              <w:pStyle w:val="ConsPlusNormal"/>
              <w:jc w:val="center"/>
            </w:pPr>
            <w:r>
              <w:t>2024</w:t>
            </w:r>
          </w:p>
        </w:tc>
        <w:tc>
          <w:tcPr>
            <w:tcW w:w="1417" w:type="dxa"/>
            <w:vMerge/>
          </w:tcPr>
          <w:p w14:paraId="0BF2D934" w14:textId="77777777" w:rsidR="00454A29" w:rsidRDefault="00454A29"/>
        </w:tc>
        <w:tc>
          <w:tcPr>
            <w:tcW w:w="2204" w:type="dxa"/>
            <w:vMerge/>
          </w:tcPr>
          <w:p w14:paraId="7E8347AD" w14:textId="77777777" w:rsidR="00454A29" w:rsidRDefault="00454A29"/>
        </w:tc>
        <w:tc>
          <w:tcPr>
            <w:tcW w:w="1417" w:type="dxa"/>
            <w:vMerge/>
          </w:tcPr>
          <w:p w14:paraId="0D61A300" w14:textId="77777777" w:rsidR="00454A29" w:rsidRDefault="00454A29"/>
        </w:tc>
        <w:tc>
          <w:tcPr>
            <w:tcW w:w="2324" w:type="dxa"/>
            <w:vMerge/>
          </w:tcPr>
          <w:p w14:paraId="75B6E0E2" w14:textId="77777777" w:rsidR="00454A29" w:rsidRDefault="00454A29"/>
        </w:tc>
        <w:tc>
          <w:tcPr>
            <w:tcW w:w="1701" w:type="dxa"/>
            <w:vAlign w:val="center"/>
          </w:tcPr>
          <w:p w14:paraId="03DE2C8D" w14:textId="77777777" w:rsidR="00454A29" w:rsidRDefault="00454A29">
            <w:pPr>
              <w:pStyle w:val="ConsPlusNormal"/>
            </w:pPr>
          </w:p>
        </w:tc>
        <w:tc>
          <w:tcPr>
            <w:tcW w:w="1814" w:type="dxa"/>
            <w:vAlign w:val="center"/>
          </w:tcPr>
          <w:p w14:paraId="7D5FC6CE" w14:textId="77777777" w:rsidR="00454A29" w:rsidRDefault="00454A29">
            <w:pPr>
              <w:pStyle w:val="ConsPlusNormal"/>
            </w:pPr>
          </w:p>
        </w:tc>
        <w:tc>
          <w:tcPr>
            <w:tcW w:w="1701" w:type="dxa"/>
            <w:vAlign w:val="center"/>
          </w:tcPr>
          <w:p w14:paraId="5E5AC5C5" w14:textId="77777777" w:rsidR="00454A29" w:rsidRDefault="00454A29">
            <w:pPr>
              <w:pStyle w:val="ConsPlusNormal"/>
            </w:pPr>
          </w:p>
        </w:tc>
        <w:tc>
          <w:tcPr>
            <w:tcW w:w="1701" w:type="dxa"/>
            <w:vAlign w:val="center"/>
          </w:tcPr>
          <w:p w14:paraId="5B61F6FF" w14:textId="77777777" w:rsidR="00454A29" w:rsidRDefault="00454A29">
            <w:pPr>
              <w:pStyle w:val="ConsPlusNormal"/>
            </w:pPr>
          </w:p>
        </w:tc>
        <w:tc>
          <w:tcPr>
            <w:tcW w:w="1814" w:type="dxa"/>
            <w:vAlign w:val="center"/>
          </w:tcPr>
          <w:p w14:paraId="584D8C12" w14:textId="77777777" w:rsidR="00454A29" w:rsidRDefault="00454A29">
            <w:pPr>
              <w:pStyle w:val="ConsPlusNormal"/>
            </w:pPr>
          </w:p>
        </w:tc>
      </w:tr>
      <w:tr w:rsidR="00454A29" w14:paraId="5E01C456" w14:textId="77777777">
        <w:tc>
          <w:tcPr>
            <w:tcW w:w="567" w:type="dxa"/>
            <w:vMerge/>
          </w:tcPr>
          <w:p w14:paraId="4ADBBF79" w14:textId="77777777" w:rsidR="00454A29" w:rsidRDefault="00454A29"/>
        </w:tc>
        <w:tc>
          <w:tcPr>
            <w:tcW w:w="3345" w:type="dxa"/>
            <w:vMerge/>
          </w:tcPr>
          <w:p w14:paraId="6B4D7413" w14:textId="77777777" w:rsidR="00454A29" w:rsidRDefault="00454A29"/>
        </w:tc>
        <w:tc>
          <w:tcPr>
            <w:tcW w:w="1701" w:type="dxa"/>
            <w:vAlign w:val="center"/>
          </w:tcPr>
          <w:p w14:paraId="156AE50E" w14:textId="77777777" w:rsidR="00454A29" w:rsidRDefault="00454A29">
            <w:pPr>
              <w:pStyle w:val="ConsPlusNormal"/>
              <w:jc w:val="center"/>
            </w:pPr>
            <w:r>
              <w:t>2025</w:t>
            </w:r>
          </w:p>
        </w:tc>
        <w:tc>
          <w:tcPr>
            <w:tcW w:w="1417" w:type="dxa"/>
            <w:vMerge/>
          </w:tcPr>
          <w:p w14:paraId="40E21025" w14:textId="77777777" w:rsidR="00454A29" w:rsidRDefault="00454A29"/>
        </w:tc>
        <w:tc>
          <w:tcPr>
            <w:tcW w:w="2204" w:type="dxa"/>
            <w:vMerge/>
          </w:tcPr>
          <w:p w14:paraId="3B922EEA" w14:textId="77777777" w:rsidR="00454A29" w:rsidRDefault="00454A29"/>
        </w:tc>
        <w:tc>
          <w:tcPr>
            <w:tcW w:w="1417" w:type="dxa"/>
            <w:vMerge/>
          </w:tcPr>
          <w:p w14:paraId="721E87D1" w14:textId="77777777" w:rsidR="00454A29" w:rsidRDefault="00454A29"/>
        </w:tc>
        <w:tc>
          <w:tcPr>
            <w:tcW w:w="2324" w:type="dxa"/>
            <w:vMerge/>
          </w:tcPr>
          <w:p w14:paraId="184D61B4" w14:textId="77777777" w:rsidR="00454A29" w:rsidRDefault="00454A29"/>
        </w:tc>
        <w:tc>
          <w:tcPr>
            <w:tcW w:w="1701" w:type="dxa"/>
            <w:vAlign w:val="center"/>
          </w:tcPr>
          <w:p w14:paraId="6BA9E4C5" w14:textId="77777777" w:rsidR="00454A29" w:rsidRDefault="00454A29">
            <w:pPr>
              <w:pStyle w:val="ConsPlusNormal"/>
              <w:jc w:val="center"/>
            </w:pPr>
            <w:r>
              <w:t>183 912,26</w:t>
            </w:r>
          </w:p>
        </w:tc>
        <w:tc>
          <w:tcPr>
            <w:tcW w:w="1814" w:type="dxa"/>
            <w:vAlign w:val="center"/>
          </w:tcPr>
          <w:p w14:paraId="6FBA441D" w14:textId="77777777" w:rsidR="00454A29" w:rsidRDefault="00454A29">
            <w:pPr>
              <w:pStyle w:val="ConsPlusNormal"/>
              <w:jc w:val="center"/>
            </w:pPr>
            <w:r>
              <w:t>2 326,49</w:t>
            </w:r>
          </w:p>
        </w:tc>
        <w:tc>
          <w:tcPr>
            <w:tcW w:w="1701" w:type="dxa"/>
            <w:vAlign w:val="center"/>
          </w:tcPr>
          <w:p w14:paraId="57D3F1C3" w14:textId="77777777" w:rsidR="00454A29" w:rsidRDefault="00454A29">
            <w:pPr>
              <w:pStyle w:val="ConsPlusNormal"/>
              <w:jc w:val="center"/>
            </w:pPr>
            <w:r>
              <w:t>230 322,52</w:t>
            </w:r>
          </w:p>
        </w:tc>
        <w:tc>
          <w:tcPr>
            <w:tcW w:w="1701" w:type="dxa"/>
            <w:vAlign w:val="center"/>
          </w:tcPr>
          <w:p w14:paraId="78EEAEF6" w14:textId="77777777" w:rsidR="00454A29" w:rsidRDefault="00454A29">
            <w:pPr>
              <w:pStyle w:val="ConsPlusNormal"/>
            </w:pPr>
          </w:p>
        </w:tc>
        <w:tc>
          <w:tcPr>
            <w:tcW w:w="1814" w:type="dxa"/>
            <w:vAlign w:val="center"/>
          </w:tcPr>
          <w:p w14:paraId="77BB0D7F" w14:textId="77777777" w:rsidR="00454A29" w:rsidRDefault="00454A29">
            <w:pPr>
              <w:pStyle w:val="ConsPlusNormal"/>
            </w:pPr>
          </w:p>
        </w:tc>
      </w:tr>
      <w:tr w:rsidR="00454A29" w14:paraId="0A472E53" w14:textId="77777777">
        <w:tc>
          <w:tcPr>
            <w:tcW w:w="567" w:type="dxa"/>
            <w:vMerge/>
          </w:tcPr>
          <w:p w14:paraId="04D5F32F" w14:textId="77777777" w:rsidR="00454A29" w:rsidRDefault="00454A29"/>
        </w:tc>
        <w:tc>
          <w:tcPr>
            <w:tcW w:w="3345" w:type="dxa"/>
            <w:vMerge/>
          </w:tcPr>
          <w:p w14:paraId="1EDF00AF" w14:textId="77777777" w:rsidR="00454A29" w:rsidRDefault="00454A29"/>
        </w:tc>
        <w:tc>
          <w:tcPr>
            <w:tcW w:w="1701" w:type="dxa"/>
            <w:vAlign w:val="center"/>
          </w:tcPr>
          <w:p w14:paraId="6C29EC4C" w14:textId="77777777" w:rsidR="00454A29" w:rsidRDefault="00454A29">
            <w:pPr>
              <w:pStyle w:val="ConsPlusNormal"/>
              <w:jc w:val="center"/>
            </w:pPr>
            <w:r>
              <w:t>2026</w:t>
            </w:r>
          </w:p>
        </w:tc>
        <w:tc>
          <w:tcPr>
            <w:tcW w:w="1417" w:type="dxa"/>
            <w:vMerge/>
          </w:tcPr>
          <w:p w14:paraId="1F5B1EB1" w14:textId="77777777" w:rsidR="00454A29" w:rsidRDefault="00454A29"/>
        </w:tc>
        <w:tc>
          <w:tcPr>
            <w:tcW w:w="2204" w:type="dxa"/>
            <w:vMerge/>
          </w:tcPr>
          <w:p w14:paraId="05B5222E" w14:textId="77777777" w:rsidR="00454A29" w:rsidRDefault="00454A29"/>
        </w:tc>
        <w:tc>
          <w:tcPr>
            <w:tcW w:w="1417" w:type="dxa"/>
            <w:vMerge/>
          </w:tcPr>
          <w:p w14:paraId="10ECE2D4" w14:textId="77777777" w:rsidR="00454A29" w:rsidRDefault="00454A29"/>
        </w:tc>
        <w:tc>
          <w:tcPr>
            <w:tcW w:w="2324" w:type="dxa"/>
            <w:vMerge/>
          </w:tcPr>
          <w:p w14:paraId="6AC6A79E" w14:textId="77777777" w:rsidR="00454A29" w:rsidRDefault="00454A29"/>
        </w:tc>
        <w:tc>
          <w:tcPr>
            <w:tcW w:w="1701" w:type="dxa"/>
            <w:vAlign w:val="center"/>
          </w:tcPr>
          <w:p w14:paraId="621958F9" w14:textId="77777777" w:rsidR="00454A29" w:rsidRDefault="00454A29">
            <w:pPr>
              <w:pStyle w:val="ConsPlusNormal"/>
            </w:pPr>
          </w:p>
        </w:tc>
        <w:tc>
          <w:tcPr>
            <w:tcW w:w="1814" w:type="dxa"/>
            <w:vAlign w:val="center"/>
          </w:tcPr>
          <w:p w14:paraId="01773CFA" w14:textId="77777777" w:rsidR="00454A29" w:rsidRDefault="00454A29">
            <w:pPr>
              <w:pStyle w:val="ConsPlusNormal"/>
            </w:pPr>
          </w:p>
        </w:tc>
        <w:tc>
          <w:tcPr>
            <w:tcW w:w="1701" w:type="dxa"/>
            <w:vAlign w:val="center"/>
          </w:tcPr>
          <w:p w14:paraId="566AE13D" w14:textId="77777777" w:rsidR="00454A29" w:rsidRDefault="00454A29">
            <w:pPr>
              <w:pStyle w:val="ConsPlusNormal"/>
            </w:pPr>
          </w:p>
        </w:tc>
        <w:tc>
          <w:tcPr>
            <w:tcW w:w="1701" w:type="dxa"/>
            <w:vAlign w:val="center"/>
          </w:tcPr>
          <w:p w14:paraId="5D4FD79F" w14:textId="77777777" w:rsidR="00454A29" w:rsidRDefault="00454A29">
            <w:pPr>
              <w:pStyle w:val="ConsPlusNormal"/>
            </w:pPr>
          </w:p>
        </w:tc>
        <w:tc>
          <w:tcPr>
            <w:tcW w:w="1814" w:type="dxa"/>
            <w:vAlign w:val="center"/>
          </w:tcPr>
          <w:p w14:paraId="5B0FDABB" w14:textId="77777777" w:rsidR="00454A29" w:rsidRDefault="00454A29">
            <w:pPr>
              <w:pStyle w:val="ConsPlusNormal"/>
            </w:pPr>
          </w:p>
        </w:tc>
      </w:tr>
      <w:tr w:rsidR="00454A29" w14:paraId="6E1D36FD" w14:textId="77777777">
        <w:tc>
          <w:tcPr>
            <w:tcW w:w="567" w:type="dxa"/>
            <w:vMerge w:val="restart"/>
            <w:vAlign w:val="center"/>
          </w:tcPr>
          <w:p w14:paraId="67C8D954" w14:textId="77777777" w:rsidR="00454A29" w:rsidRDefault="00454A29">
            <w:pPr>
              <w:pStyle w:val="ConsPlusNormal"/>
              <w:jc w:val="center"/>
            </w:pPr>
            <w:r>
              <w:t>124</w:t>
            </w:r>
          </w:p>
        </w:tc>
        <w:tc>
          <w:tcPr>
            <w:tcW w:w="3345" w:type="dxa"/>
            <w:vMerge w:val="restart"/>
            <w:vAlign w:val="center"/>
          </w:tcPr>
          <w:p w14:paraId="1F4647AE" w14:textId="77777777" w:rsidR="00454A29" w:rsidRDefault="00454A29">
            <w:pPr>
              <w:pStyle w:val="ConsPlusNormal"/>
              <w:jc w:val="center"/>
            </w:pPr>
            <w:r>
              <w:t>Школа на 70 учащихся в с. Устье</w:t>
            </w:r>
          </w:p>
        </w:tc>
        <w:tc>
          <w:tcPr>
            <w:tcW w:w="1701" w:type="dxa"/>
            <w:vAlign w:val="center"/>
          </w:tcPr>
          <w:p w14:paraId="6638A1B8" w14:textId="77777777" w:rsidR="00454A29" w:rsidRDefault="00454A29">
            <w:pPr>
              <w:pStyle w:val="ConsPlusNormal"/>
              <w:jc w:val="center"/>
            </w:pPr>
            <w:r>
              <w:t>2020 - 2026 годы - всего</w:t>
            </w:r>
          </w:p>
        </w:tc>
        <w:tc>
          <w:tcPr>
            <w:tcW w:w="1417" w:type="dxa"/>
            <w:vMerge w:val="restart"/>
            <w:vAlign w:val="center"/>
          </w:tcPr>
          <w:p w14:paraId="25A102EF" w14:textId="77777777" w:rsidR="00454A29" w:rsidRDefault="00454A29">
            <w:pPr>
              <w:pStyle w:val="ConsPlusNormal"/>
              <w:jc w:val="center"/>
            </w:pPr>
            <w:r>
              <w:t>257 477,17</w:t>
            </w:r>
          </w:p>
        </w:tc>
        <w:tc>
          <w:tcPr>
            <w:tcW w:w="2204" w:type="dxa"/>
            <w:vMerge w:val="restart"/>
            <w:vAlign w:val="center"/>
          </w:tcPr>
          <w:p w14:paraId="2CFA64AA" w14:textId="77777777" w:rsidR="00454A29" w:rsidRDefault="00454A29">
            <w:pPr>
              <w:pStyle w:val="ConsPlusNormal"/>
            </w:pPr>
          </w:p>
        </w:tc>
        <w:tc>
          <w:tcPr>
            <w:tcW w:w="1417" w:type="dxa"/>
            <w:vMerge w:val="restart"/>
            <w:vAlign w:val="center"/>
          </w:tcPr>
          <w:p w14:paraId="1CF49F6F" w14:textId="77777777" w:rsidR="00454A29" w:rsidRDefault="00454A29">
            <w:pPr>
              <w:pStyle w:val="ConsPlusNormal"/>
              <w:jc w:val="center"/>
            </w:pPr>
            <w:r>
              <w:t>70</w:t>
            </w:r>
          </w:p>
        </w:tc>
        <w:tc>
          <w:tcPr>
            <w:tcW w:w="2324" w:type="dxa"/>
            <w:vMerge w:val="restart"/>
            <w:vAlign w:val="center"/>
          </w:tcPr>
          <w:p w14:paraId="6F95185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5D402EC" w14:textId="77777777" w:rsidR="00454A29" w:rsidRDefault="00454A29">
            <w:pPr>
              <w:pStyle w:val="ConsPlusNormal"/>
              <w:jc w:val="center"/>
            </w:pPr>
            <w:r>
              <w:t>257 477,17</w:t>
            </w:r>
          </w:p>
        </w:tc>
        <w:tc>
          <w:tcPr>
            <w:tcW w:w="1814" w:type="dxa"/>
            <w:vAlign w:val="center"/>
          </w:tcPr>
          <w:p w14:paraId="7180E37C" w14:textId="77777777" w:rsidR="00454A29" w:rsidRDefault="00454A29">
            <w:pPr>
              <w:pStyle w:val="ConsPlusNormal"/>
              <w:jc w:val="center"/>
            </w:pPr>
            <w:r>
              <w:t>3 257,09</w:t>
            </w:r>
          </w:p>
        </w:tc>
        <w:tc>
          <w:tcPr>
            <w:tcW w:w="1701" w:type="dxa"/>
            <w:vAlign w:val="center"/>
          </w:tcPr>
          <w:p w14:paraId="78A3FE62" w14:textId="77777777" w:rsidR="00454A29" w:rsidRDefault="00454A29">
            <w:pPr>
              <w:pStyle w:val="ConsPlusNormal"/>
              <w:jc w:val="center"/>
            </w:pPr>
            <w:r>
              <w:t>322 451,53</w:t>
            </w:r>
          </w:p>
        </w:tc>
        <w:tc>
          <w:tcPr>
            <w:tcW w:w="1701" w:type="dxa"/>
            <w:vAlign w:val="center"/>
          </w:tcPr>
          <w:p w14:paraId="4662FCFF" w14:textId="77777777" w:rsidR="00454A29" w:rsidRDefault="00454A29">
            <w:pPr>
              <w:pStyle w:val="ConsPlusNormal"/>
              <w:jc w:val="center"/>
            </w:pPr>
            <w:r>
              <w:t>0</w:t>
            </w:r>
          </w:p>
        </w:tc>
        <w:tc>
          <w:tcPr>
            <w:tcW w:w="1814" w:type="dxa"/>
            <w:vAlign w:val="center"/>
          </w:tcPr>
          <w:p w14:paraId="5E90A52A" w14:textId="77777777" w:rsidR="00454A29" w:rsidRDefault="00454A29">
            <w:pPr>
              <w:pStyle w:val="ConsPlusNormal"/>
              <w:jc w:val="center"/>
            </w:pPr>
            <w:r>
              <w:t>0</w:t>
            </w:r>
          </w:p>
        </w:tc>
      </w:tr>
      <w:tr w:rsidR="00454A29" w14:paraId="3BC89624" w14:textId="77777777">
        <w:tc>
          <w:tcPr>
            <w:tcW w:w="567" w:type="dxa"/>
            <w:vMerge/>
          </w:tcPr>
          <w:p w14:paraId="71D375FA" w14:textId="77777777" w:rsidR="00454A29" w:rsidRDefault="00454A29"/>
        </w:tc>
        <w:tc>
          <w:tcPr>
            <w:tcW w:w="3345" w:type="dxa"/>
            <w:vMerge/>
          </w:tcPr>
          <w:p w14:paraId="5861F194" w14:textId="77777777" w:rsidR="00454A29" w:rsidRDefault="00454A29"/>
        </w:tc>
        <w:tc>
          <w:tcPr>
            <w:tcW w:w="1701" w:type="dxa"/>
            <w:vAlign w:val="center"/>
          </w:tcPr>
          <w:p w14:paraId="407D9B0C" w14:textId="77777777" w:rsidR="00454A29" w:rsidRDefault="00454A29">
            <w:pPr>
              <w:pStyle w:val="ConsPlusNormal"/>
              <w:jc w:val="center"/>
            </w:pPr>
            <w:r>
              <w:t>2020</w:t>
            </w:r>
          </w:p>
        </w:tc>
        <w:tc>
          <w:tcPr>
            <w:tcW w:w="1417" w:type="dxa"/>
            <w:vMerge/>
          </w:tcPr>
          <w:p w14:paraId="2DB204DC" w14:textId="77777777" w:rsidR="00454A29" w:rsidRDefault="00454A29"/>
        </w:tc>
        <w:tc>
          <w:tcPr>
            <w:tcW w:w="2204" w:type="dxa"/>
            <w:vMerge/>
          </w:tcPr>
          <w:p w14:paraId="21713C2C" w14:textId="77777777" w:rsidR="00454A29" w:rsidRDefault="00454A29"/>
        </w:tc>
        <w:tc>
          <w:tcPr>
            <w:tcW w:w="1417" w:type="dxa"/>
            <w:vMerge/>
          </w:tcPr>
          <w:p w14:paraId="101E2C12" w14:textId="77777777" w:rsidR="00454A29" w:rsidRDefault="00454A29"/>
        </w:tc>
        <w:tc>
          <w:tcPr>
            <w:tcW w:w="2324" w:type="dxa"/>
            <w:vMerge/>
          </w:tcPr>
          <w:p w14:paraId="708D57F9" w14:textId="77777777" w:rsidR="00454A29" w:rsidRDefault="00454A29"/>
        </w:tc>
        <w:tc>
          <w:tcPr>
            <w:tcW w:w="1701" w:type="dxa"/>
            <w:vAlign w:val="center"/>
          </w:tcPr>
          <w:p w14:paraId="7974D674" w14:textId="77777777" w:rsidR="00454A29" w:rsidRDefault="00454A29">
            <w:pPr>
              <w:pStyle w:val="ConsPlusNormal"/>
            </w:pPr>
          </w:p>
        </w:tc>
        <w:tc>
          <w:tcPr>
            <w:tcW w:w="1814" w:type="dxa"/>
            <w:vAlign w:val="center"/>
          </w:tcPr>
          <w:p w14:paraId="125408AB" w14:textId="77777777" w:rsidR="00454A29" w:rsidRDefault="00454A29">
            <w:pPr>
              <w:pStyle w:val="ConsPlusNormal"/>
            </w:pPr>
          </w:p>
        </w:tc>
        <w:tc>
          <w:tcPr>
            <w:tcW w:w="1701" w:type="dxa"/>
            <w:vAlign w:val="center"/>
          </w:tcPr>
          <w:p w14:paraId="3CDD4A95" w14:textId="77777777" w:rsidR="00454A29" w:rsidRDefault="00454A29">
            <w:pPr>
              <w:pStyle w:val="ConsPlusNormal"/>
            </w:pPr>
          </w:p>
        </w:tc>
        <w:tc>
          <w:tcPr>
            <w:tcW w:w="1701" w:type="dxa"/>
            <w:vAlign w:val="center"/>
          </w:tcPr>
          <w:p w14:paraId="10831464" w14:textId="77777777" w:rsidR="00454A29" w:rsidRDefault="00454A29">
            <w:pPr>
              <w:pStyle w:val="ConsPlusNormal"/>
            </w:pPr>
          </w:p>
        </w:tc>
        <w:tc>
          <w:tcPr>
            <w:tcW w:w="1814" w:type="dxa"/>
            <w:vAlign w:val="center"/>
          </w:tcPr>
          <w:p w14:paraId="0FB20723" w14:textId="77777777" w:rsidR="00454A29" w:rsidRDefault="00454A29">
            <w:pPr>
              <w:pStyle w:val="ConsPlusNormal"/>
            </w:pPr>
          </w:p>
        </w:tc>
      </w:tr>
      <w:tr w:rsidR="00454A29" w14:paraId="6EBFAB8C" w14:textId="77777777">
        <w:tc>
          <w:tcPr>
            <w:tcW w:w="567" w:type="dxa"/>
            <w:vMerge/>
          </w:tcPr>
          <w:p w14:paraId="1934C769" w14:textId="77777777" w:rsidR="00454A29" w:rsidRDefault="00454A29"/>
        </w:tc>
        <w:tc>
          <w:tcPr>
            <w:tcW w:w="3345" w:type="dxa"/>
            <w:vMerge/>
          </w:tcPr>
          <w:p w14:paraId="18D2C2F1" w14:textId="77777777" w:rsidR="00454A29" w:rsidRDefault="00454A29"/>
        </w:tc>
        <w:tc>
          <w:tcPr>
            <w:tcW w:w="1701" w:type="dxa"/>
            <w:vAlign w:val="center"/>
          </w:tcPr>
          <w:p w14:paraId="688D4914" w14:textId="77777777" w:rsidR="00454A29" w:rsidRDefault="00454A29">
            <w:pPr>
              <w:pStyle w:val="ConsPlusNormal"/>
              <w:jc w:val="center"/>
            </w:pPr>
            <w:r>
              <w:t>2021</w:t>
            </w:r>
          </w:p>
        </w:tc>
        <w:tc>
          <w:tcPr>
            <w:tcW w:w="1417" w:type="dxa"/>
            <w:vMerge/>
          </w:tcPr>
          <w:p w14:paraId="0F396095" w14:textId="77777777" w:rsidR="00454A29" w:rsidRDefault="00454A29"/>
        </w:tc>
        <w:tc>
          <w:tcPr>
            <w:tcW w:w="2204" w:type="dxa"/>
            <w:vMerge/>
          </w:tcPr>
          <w:p w14:paraId="273ADF37" w14:textId="77777777" w:rsidR="00454A29" w:rsidRDefault="00454A29"/>
        </w:tc>
        <w:tc>
          <w:tcPr>
            <w:tcW w:w="1417" w:type="dxa"/>
            <w:vMerge/>
          </w:tcPr>
          <w:p w14:paraId="18920578" w14:textId="77777777" w:rsidR="00454A29" w:rsidRDefault="00454A29"/>
        </w:tc>
        <w:tc>
          <w:tcPr>
            <w:tcW w:w="2324" w:type="dxa"/>
            <w:vMerge/>
          </w:tcPr>
          <w:p w14:paraId="34E880D2" w14:textId="77777777" w:rsidR="00454A29" w:rsidRDefault="00454A29"/>
        </w:tc>
        <w:tc>
          <w:tcPr>
            <w:tcW w:w="1701" w:type="dxa"/>
            <w:vAlign w:val="center"/>
          </w:tcPr>
          <w:p w14:paraId="56A2C2EB" w14:textId="77777777" w:rsidR="00454A29" w:rsidRDefault="00454A29">
            <w:pPr>
              <w:pStyle w:val="ConsPlusNormal"/>
            </w:pPr>
          </w:p>
        </w:tc>
        <w:tc>
          <w:tcPr>
            <w:tcW w:w="1814" w:type="dxa"/>
            <w:vAlign w:val="center"/>
          </w:tcPr>
          <w:p w14:paraId="3D1C87EA" w14:textId="77777777" w:rsidR="00454A29" w:rsidRDefault="00454A29">
            <w:pPr>
              <w:pStyle w:val="ConsPlusNormal"/>
            </w:pPr>
          </w:p>
        </w:tc>
        <w:tc>
          <w:tcPr>
            <w:tcW w:w="1701" w:type="dxa"/>
            <w:vAlign w:val="center"/>
          </w:tcPr>
          <w:p w14:paraId="0A96EDFC" w14:textId="77777777" w:rsidR="00454A29" w:rsidRDefault="00454A29">
            <w:pPr>
              <w:pStyle w:val="ConsPlusNormal"/>
            </w:pPr>
          </w:p>
        </w:tc>
        <w:tc>
          <w:tcPr>
            <w:tcW w:w="1701" w:type="dxa"/>
            <w:vAlign w:val="center"/>
          </w:tcPr>
          <w:p w14:paraId="5B348515" w14:textId="77777777" w:rsidR="00454A29" w:rsidRDefault="00454A29">
            <w:pPr>
              <w:pStyle w:val="ConsPlusNormal"/>
            </w:pPr>
          </w:p>
        </w:tc>
        <w:tc>
          <w:tcPr>
            <w:tcW w:w="1814" w:type="dxa"/>
            <w:vAlign w:val="center"/>
          </w:tcPr>
          <w:p w14:paraId="08E25ABD" w14:textId="77777777" w:rsidR="00454A29" w:rsidRDefault="00454A29">
            <w:pPr>
              <w:pStyle w:val="ConsPlusNormal"/>
            </w:pPr>
          </w:p>
        </w:tc>
      </w:tr>
      <w:tr w:rsidR="00454A29" w14:paraId="71F41D76" w14:textId="77777777">
        <w:tc>
          <w:tcPr>
            <w:tcW w:w="567" w:type="dxa"/>
            <w:vMerge/>
          </w:tcPr>
          <w:p w14:paraId="4A24FE1D" w14:textId="77777777" w:rsidR="00454A29" w:rsidRDefault="00454A29"/>
        </w:tc>
        <w:tc>
          <w:tcPr>
            <w:tcW w:w="3345" w:type="dxa"/>
            <w:vMerge/>
          </w:tcPr>
          <w:p w14:paraId="083579E0" w14:textId="77777777" w:rsidR="00454A29" w:rsidRDefault="00454A29"/>
        </w:tc>
        <w:tc>
          <w:tcPr>
            <w:tcW w:w="1701" w:type="dxa"/>
            <w:vAlign w:val="center"/>
          </w:tcPr>
          <w:p w14:paraId="069149F7" w14:textId="77777777" w:rsidR="00454A29" w:rsidRDefault="00454A29">
            <w:pPr>
              <w:pStyle w:val="ConsPlusNormal"/>
              <w:jc w:val="center"/>
            </w:pPr>
            <w:r>
              <w:t>2022</w:t>
            </w:r>
          </w:p>
        </w:tc>
        <w:tc>
          <w:tcPr>
            <w:tcW w:w="1417" w:type="dxa"/>
            <w:vMerge/>
          </w:tcPr>
          <w:p w14:paraId="0ECF3611" w14:textId="77777777" w:rsidR="00454A29" w:rsidRDefault="00454A29"/>
        </w:tc>
        <w:tc>
          <w:tcPr>
            <w:tcW w:w="2204" w:type="dxa"/>
            <w:vMerge/>
          </w:tcPr>
          <w:p w14:paraId="3E59D988" w14:textId="77777777" w:rsidR="00454A29" w:rsidRDefault="00454A29"/>
        </w:tc>
        <w:tc>
          <w:tcPr>
            <w:tcW w:w="1417" w:type="dxa"/>
            <w:vMerge/>
          </w:tcPr>
          <w:p w14:paraId="17FB0875" w14:textId="77777777" w:rsidR="00454A29" w:rsidRDefault="00454A29"/>
        </w:tc>
        <w:tc>
          <w:tcPr>
            <w:tcW w:w="2324" w:type="dxa"/>
            <w:vMerge/>
          </w:tcPr>
          <w:p w14:paraId="14802003" w14:textId="77777777" w:rsidR="00454A29" w:rsidRDefault="00454A29"/>
        </w:tc>
        <w:tc>
          <w:tcPr>
            <w:tcW w:w="1701" w:type="dxa"/>
            <w:vAlign w:val="center"/>
          </w:tcPr>
          <w:p w14:paraId="1258CCB6" w14:textId="77777777" w:rsidR="00454A29" w:rsidRDefault="00454A29">
            <w:pPr>
              <w:pStyle w:val="ConsPlusNormal"/>
            </w:pPr>
          </w:p>
        </w:tc>
        <w:tc>
          <w:tcPr>
            <w:tcW w:w="1814" w:type="dxa"/>
            <w:vAlign w:val="center"/>
          </w:tcPr>
          <w:p w14:paraId="73B22FBD" w14:textId="77777777" w:rsidR="00454A29" w:rsidRDefault="00454A29">
            <w:pPr>
              <w:pStyle w:val="ConsPlusNormal"/>
            </w:pPr>
          </w:p>
        </w:tc>
        <w:tc>
          <w:tcPr>
            <w:tcW w:w="1701" w:type="dxa"/>
            <w:vAlign w:val="center"/>
          </w:tcPr>
          <w:p w14:paraId="15DE6CC2" w14:textId="77777777" w:rsidR="00454A29" w:rsidRDefault="00454A29">
            <w:pPr>
              <w:pStyle w:val="ConsPlusNormal"/>
            </w:pPr>
          </w:p>
        </w:tc>
        <w:tc>
          <w:tcPr>
            <w:tcW w:w="1701" w:type="dxa"/>
            <w:vAlign w:val="center"/>
          </w:tcPr>
          <w:p w14:paraId="10FF1523" w14:textId="77777777" w:rsidR="00454A29" w:rsidRDefault="00454A29">
            <w:pPr>
              <w:pStyle w:val="ConsPlusNormal"/>
            </w:pPr>
          </w:p>
        </w:tc>
        <w:tc>
          <w:tcPr>
            <w:tcW w:w="1814" w:type="dxa"/>
            <w:vAlign w:val="center"/>
          </w:tcPr>
          <w:p w14:paraId="24DA9E35" w14:textId="77777777" w:rsidR="00454A29" w:rsidRDefault="00454A29">
            <w:pPr>
              <w:pStyle w:val="ConsPlusNormal"/>
            </w:pPr>
          </w:p>
        </w:tc>
      </w:tr>
      <w:tr w:rsidR="00454A29" w14:paraId="777CE1F8" w14:textId="77777777">
        <w:tc>
          <w:tcPr>
            <w:tcW w:w="567" w:type="dxa"/>
            <w:vMerge/>
          </w:tcPr>
          <w:p w14:paraId="3D1B1946" w14:textId="77777777" w:rsidR="00454A29" w:rsidRDefault="00454A29"/>
        </w:tc>
        <w:tc>
          <w:tcPr>
            <w:tcW w:w="3345" w:type="dxa"/>
            <w:vMerge/>
          </w:tcPr>
          <w:p w14:paraId="53A5715D" w14:textId="77777777" w:rsidR="00454A29" w:rsidRDefault="00454A29"/>
        </w:tc>
        <w:tc>
          <w:tcPr>
            <w:tcW w:w="1701" w:type="dxa"/>
            <w:vAlign w:val="center"/>
          </w:tcPr>
          <w:p w14:paraId="0CFADBF3" w14:textId="77777777" w:rsidR="00454A29" w:rsidRDefault="00454A29">
            <w:pPr>
              <w:pStyle w:val="ConsPlusNormal"/>
              <w:jc w:val="center"/>
            </w:pPr>
            <w:r>
              <w:t>2023</w:t>
            </w:r>
          </w:p>
        </w:tc>
        <w:tc>
          <w:tcPr>
            <w:tcW w:w="1417" w:type="dxa"/>
            <w:vMerge/>
          </w:tcPr>
          <w:p w14:paraId="0ED4A09E" w14:textId="77777777" w:rsidR="00454A29" w:rsidRDefault="00454A29"/>
        </w:tc>
        <w:tc>
          <w:tcPr>
            <w:tcW w:w="2204" w:type="dxa"/>
            <w:vMerge/>
          </w:tcPr>
          <w:p w14:paraId="0E228EBD" w14:textId="77777777" w:rsidR="00454A29" w:rsidRDefault="00454A29"/>
        </w:tc>
        <w:tc>
          <w:tcPr>
            <w:tcW w:w="1417" w:type="dxa"/>
            <w:vMerge/>
          </w:tcPr>
          <w:p w14:paraId="5ECAAB1F" w14:textId="77777777" w:rsidR="00454A29" w:rsidRDefault="00454A29"/>
        </w:tc>
        <w:tc>
          <w:tcPr>
            <w:tcW w:w="2324" w:type="dxa"/>
            <w:vMerge/>
          </w:tcPr>
          <w:p w14:paraId="2013A286" w14:textId="77777777" w:rsidR="00454A29" w:rsidRDefault="00454A29"/>
        </w:tc>
        <w:tc>
          <w:tcPr>
            <w:tcW w:w="1701" w:type="dxa"/>
            <w:vAlign w:val="center"/>
          </w:tcPr>
          <w:p w14:paraId="2C4EB57D" w14:textId="77777777" w:rsidR="00454A29" w:rsidRDefault="00454A29">
            <w:pPr>
              <w:pStyle w:val="ConsPlusNormal"/>
            </w:pPr>
          </w:p>
        </w:tc>
        <w:tc>
          <w:tcPr>
            <w:tcW w:w="1814" w:type="dxa"/>
            <w:vAlign w:val="center"/>
          </w:tcPr>
          <w:p w14:paraId="629548D6" w14:textId="77777777" w:rsidR="00454A29" w:rsidRDefault="00454A29">
            <w:pPr>
              <w:pStyle w:val="ConsPlusNormal"/>
            </w:pPr>
          </w:p>
        </w:tc>
        <w:tc>
          <w:tcPr>
            <w:tcW w:w="1701" w:type="dxa"/>
            <w:vAlign w:val="center"/>
          </w:tcPr>
          <w:p w14:paraId="14181E13" w14:textId="77777777" w:rsidR="00454A29" w:rsidRDefault="00454A29">
            <w:pPr>
              <w:pStyle w:val="ConsPlusNormal"/>
            </w:pPr>
          </w:p>
        </w:tc>
        <w:tc>
          <w:tcPr>
            <w:tcW w:w="1701" w:type="dxa"/>
            <w:vAlign w:val="center"/>
          </w:tcPr>
          <w:p w14:paraId="7C467AB1" w14:textId="77777777" w:rsidR="00454A29" w:rsidRDefault="00454A29">
            <w:pPr>
              <w:pStyle w:val="ConsPlusNormal"/>
            </w:pPr>
          </w:p>
        </w:tc>
        <w:tc>
          <w:tcPr>
            <w:tcW w:w="1814" w:type="dxa"/>
            <w:vAlign w:val="center"/>
          </w:tcPr>
          <w:p w14:paraId="36DDD68E" w14:textId="77777777" w:rsidR="00454A29" w:rsidRDefault="00454A29">
            <w:pPr>
              <w:pStyle w:val="ConsPlusNormal"/>
            </w:pPr>
          </w:p>
        </w:tc>
      </w:tr>
      <w:tr w:rsidR="00454A29" w14:paraId="6E3ED218" w14:textId="77777777">
        <w:tc>
          <w:tcPr>
            <w:tcW w:w="567" w:type="dxa"/>
            <w:vMerge/>
          </w:tcPr>
          <w:p w14:paraId="0CF5E5E0" w14:textId="77777777" w:rsidR="00454A29" w:rsidRDefault="00454A29"/>
        </w:tc>
        <w:tc>
          <w:tcPr>
            <w:tcW w:w="3345" w:type="dxa"/>
            <w:vMerge/>
          </w:tcPr>
          <w:p w14:paraId="508082BD" w14:textId="77777777" w:rsidR="00454A29" w:rsidRDefault="00454A29"/>
        </w:tc>
        <w:tc>
          <w:tcPr>
            <w:tcW w:w="1701" w:type="dxa"/>
            <w:vAlign w:val="center"/>
          </w:tcPr>
          <w:p w14:paraId="6D24679F" w14:textId="77777777" w:rsidR="00454A29" w:rsidRDefault="00454A29">
            <w:pPr>
              <w:pStyle w:val="ConsPlusNormal"/>
              <w:jc w:val="center"/>
            </w:pPr>
            <w:r>
              <w:t>2024</w:t>
            </w:r>
          </w:p>
        </w:tc>
        <w:tc>
          <w:tcPr>
            <w:tcW w:w="1417" w:type="dxa"/>
            <w:vMerge/>
          </w:tcPr>
          <w:p w14:paraId="28A82C3C" w14:textId="77777777" w:rsidR="00454A29" w:rsidRDefault="00454A29"/>
        </w:tc>
        <w:tc>
          <w:tcPr>
            <w:tcW w:w="2204" w:type="dxa"/>
            <w:vMerge/>
          </w:tcPr>
          <w:p w14:paraId="56B5BBCF" w14:textId="77777777" w:rsidR="00454A29" w:rsidRDefault="00454A29"/>
        </w:tc>
        <w:tc>
          <w:tcPr>
            <w:tcW w:w="1417" w:type="dxa"/>
            <w:vMerge/>
          </w:tcPr>
          <w:p w14:paraId="14F2CF04" w14:textId="77777777" w:rsidR="00454A29" w:rsidRDefault="00454A29"/>
        </w:tc>
        <w:tc>
          <w:tcPr>
            <w:tcW w:w="2324" w:type="dxa"/>
            <w:vMerge/>
          </w:tcPr>
          <w:p w14:paraId="41FC85A0" w14:textId="77777777" w:rsidR="00454A29" w:rsidRDefault="00454A29"/>
        </w:tc>
        <w:tc>
          <w:tcPr>
            <w:tcW w:w="1701" w:type="dxa"/>
            <w:vAlign w:val="center"/>
          </w:tcPr>
          <w:p w14:paraId="0F9F154F" w14:textId="77777777" w:rsidR="00454A29" w:rsidRDefault="00454A29">
            <w:pPr>
              <w:pStyle w:val="ConsPlusNormal"/>
              <w:jc w:val="center"/>
            </w:pPr>
            <w:r>
              <w:t>-</w:t>
            </w:r>
          </w:p>
        </w:tc>
        <w:tc>
          <w:tcPr>
            <w:tcW w:w="1814" w:type="dxa"/>
            <w:vAlign w:val="center"/>
          </w:tcPr>
          <w:p w14:paraId="6501246E" w14:textId="77777777" w:rsidR="00454A29" w:rsidRDefault="00454A29">
            <w:pPr>
              <w:pStyle w:val="ConsPlusNormal"/>
            </w:pPr>
          </w:p>
        </w:tc>
        <w:tc>
          <w:tcPr>
            <w:tcW w:w="1701" w:type="dxa"/>
            <w:vAlign w:val="center"/>
          </w:tcPr>
          <w:p w14:paraId="77DF7AA8" w14:textId="77777777" w:rsidR="00454A29" w:rsidRDefault="00454A29">
            <w:pPr>
              <w:pStyle w:val="ConsPlusNormal"/>
            </w:pPr>
          </w:p>
        </w:tc>
        <w:tc>
          <w:tcPr>
            <w:tcW w:w="1701" w:type="dxa"/>
            <w:vAlign w:val="center"/>
          </w:tcPr>
          <w:p w14:paraId="5371720C" w14:textId="77777777" w:rsidR="00454A29" w:rsidRDefault="00454A29">
            <w:pPr>
              <w:pStyle w:val="ConsPlusNormal"/>
            </w:pPr>
          </w:p>
        </w:tc>
        <w:tc>
          <w:tcPr>
            <w:tcW w:w="1814" w:type="dxa"/>
            <w:vAlign w:val="center"/>
          </w:tcPr>
          <w:p w14:paraId="4231094E" w14:textId="77777777" w:rsidR="00454A29" w:rsidRDefault="00454A29">
            <w:pPr>
              <w:pStyle w:val="ConsPlusNormal"/>
            </w:pPr>
          </w:p>
        </w:tc>
      </w:tr>
      <w:tr w:rsidR="00454A29" w14:paraId="2A89766C" w14:textId="77777777">
        <w:tc>
          <w:tcPr>
            <w:tcW w:w="567" w:type="dxa"/>
            <w:vMerge/>
          </w:tcPr>
          <w:p w14:paraId="7B0EDDF9" w14:textId="77777777" w:rsidR="00454A29" w:rsidRDefault="00454A29"/>
        </w:tc>
        <w:tc>
          <w:tcPr>
            <w:tcW w:w="3345" w:type="dxa"/>
            <w:vMerge/>
          </w:tcPr>
          <w:p w14:paraId="04669205" w14:textId="77777777" w:rsidR="00454A29" w:rsidRDefault="00454A29"/>
        </w:tc>
        <w:tc>
          <w:tcPr>
            <w:tcW w:w="1701" w:type="dxa"/>
            <w:vAlign w:val="center"/>
          </w:tcPr>
          <w:p w14:paraId="6DFC8754" w14:textId="77777777" w:rsidR="00454A29" w:rsidRDefault="00454A29">
            <w:pPr>
              <w:pStyle w:val="ConsPlusNormal"/>
              <w:jc w:val="center"/>
            </w:pPr>
            <w:r>
              <w:t>2025</w:t>
            </w:r>
          </w:p>
        </w:tc>
        <w:tc>
          <w:tcPr>
            <w:tcW w:w="1417" w:type="dxa"/>
            <w:vMerge/>
          </w:tcPr>
          <w:p w14:paraId="0BE0A697" w14:textId="77777777" w:rsidR="00454A29" w:rsidRDefault="00454A29"/>
        </w:tc>
        <w:tc>
          <w:tcPr>
            <w:tcW w:w="2204" w:type="dxa"/>
            <w:vMerge/>
          </w:tcPr>
          <w:p w14:paraId="4463B91C" w14:textId="77777777" w:rsidR="00454A29" w:rsidRDefault="00454A29"/>
        </w:tc>
        <w:tc>
          <w:tcPr>
            <w:tcW w:w="1417" w:type="dxa"/>
            <w:vMerge/>
          </w:tcPr>
          <w:p w14:paraId="40C1413C" w14:textId="77777777" w:rsidR="00454A29" w:rsidRDefault="00454A29"/>
        </w:tc>
        <w:tc>
          <w:tcPr>
            <w:tcW w:w="2324" w:type="dxa"/>
            <w:vMerge/>
          </w:tcPr>
          <w:p w14:paraId="50F0815F" w14:textId="77777777" w:rsidR="00454A29" w:rsidRDefault="00454A29"/>
        </w:tc>
        <w:tc>
          <w:tcPr>
            <w:tcW w:w="1701" w:type="dxa"/>
            <w:vAlign w:val="center"/>
          </w:tcPr>
          <w:p w14:paraId="35A00CE7" w14:textId="77777777" w:rsidR="00454A29" w:rsidRDefault="00454A29">
            <w:pPr>
              <w:pStyle w:val="ConsPlusNormal"/>
              <w:jc w:val="center"/>
            </w:pPr>
            <w:r>
              <w:t>257 477,17</w:t>
            </w:r>
          </w:p>
        </w:tc>
        <w:tc>
          <w:tcPr>
            <w:tcW w:w="1814" w:type="dxa"/>
            <w:vAlign w:val="center"/>
          </w:tcPr>
          <w:p w14:paraId="581BC944" w14:textId="77777777" w:rsidR="00454A29" w:rsidRDefault="00454A29">
            <w:pPr>
              <w:pStyle w:val="ConsPlusNormal"/>
              <w:jc w:val="center"/>
            </w:pPr>
            <w:r>
              <w:t>3 257,09</w:t>
            </w:r>
          </w:p>
        </w:tc>
        <w:tc>
          <w:tcPr>
            <w:tcW w:w="1701" w:type="dxa"/>
            <w:vAlign w:val="center"/>
          </w:tcPr>
          <w:p w14:paraId="3D051D41" w14:textId="77777777" w:rsidR="00454A29" w:rsidRDefault="00454A29">
            <w:pPr>
              <w:pStyle w:val="ConsPlusNormal"/>
              <w:jc w:val="center"/>
            </w:pPr>
            <w:r>
              <w:t>322 451,53</w:t>
            </w:r>
          </w:p>
        </w:tc>
        <w:tc>
          <w:tcPr>
            <w:tcW w:w="1701" w:type="dxa"/>
            <w:vAlign w:val="center"/>
          </w:tcPr>
          <w:p w14:paraId="08402181" w14:textId="77777777" w:rsidR="00454A29" w:rsidRDefault="00454A29">
            <w:pPr>
              <w:pStyle w:val="ConsPlusNormal"/>
            </w:pPr>
          </w:p>
        </w:tc>
        <w:tc>
          <w:tcPr>
            <w:tcW w:w="1814" w:type="dxa"/>
            <w:vAlign w:val="center"/>
          </w:tcPr>
          <w:p w14:paraId="1F521201" w14:textId="77777777" w:rsidR="00454A29" w:rsidRDefault="00454A29">
            <w:pPr>
              <w:pStyle w:val="ConsPlusNormal"/>
            </w:pPr>
          </w:p>
        </w:tc>
      </w:tr>
      <w:tr w:rsidR="00454A29" w14:paraId="41B42F3B" w14:textId="77777777">
        <w:tc>
          <w:tcPr>
            <w:tcW w:w="567" w:type="dxa"/>
            <w:vMerge/>
          </w:tcPr>
          <w:p w14:paraId="7690E0B4" w14:textId="77777777" w:rsidR="00454A29" w:rsidRDefault="00454A29"/>
        </w:tc>
        <w:tc>
          <w:tcPr>
            <w:tcW w:w="3345" w:type="dxa"/>
            <w:vMerge/>
          </w:tcPr>
          <w:p w14:paraId="2F094091" w14:textId="77777777" w:rsidR="00454A29" w:rsidRDefault="00454A29"/>
        </w:tc>
        <w:tc>
          <w:tcPr>
            <w:tcW w:w="1701" w:type="dxa"/>
            <w:vAlign w:val="center"/>
          </w:tcPr>
          <w:p w14:paraId="10FED92A" w14:textId="77777777" w:rsidR="00454A29" w:rsidRDefault="00454A29">
            <w:pPr>
              <w:pStyle w:val="ConsPlusNormal"/>
              <w:jc w:val="center"/>
            </w:pPr>
            <w:r>
              <w:t>2026</w:t>
            </w:r>
          </w:p>
        </w:tc>
        <w:tc>
          <w:tcPr>
            <w:tcW w:w="1417" w:type="dxa"/>
            <w:vMerge/>
          </w:tcPr>
          <w:p w14:paraId="1BDDD59C" w14:textId="77777777" w:rsidR="00454A29" w:rsidRDefault="00454A29"/>
        </w:tc>
        <w:tc>
          <w:tcPr>
            <w:tcW w:w="2204" w:type="dxa"/>
            <w:vMerge/>
          </w:tcPr>
          <w:p w14:paraId="285881BD" w14:textId="77777777" w:rsidR="00454A29" w:rsidRDefault="00454A29"/>
        </w:tc>
        <w:tc>
          <w:tcPr>
            <w:tcW w:w="1417" w:type="dxa"/>
            <w:vMerge/>
          </w:tcPr>
          <w:p w14:paraId="6675EEBF" w14:textId="77777777" w:rsidR="00454A29" w:rsidRDefault="00454A29"/>
        </w:tc>
        <w:tc>
          <w:tcPr>
            <w:tcW w:w="2324" w:type="dxa"/>
            <w:vMerge/>
          </w:tcPr>
          <w:p w14:paraId="55551357" w14:textId="77777777" w:rsidR="00454A29" w:rsidRDefault="00454A29"/>
        </w:tc>
        <w:tc>
          <w:tcPr>
            <w:tcW w:w="1701" w:type="dxa"/>
            <w:vAlign w:val="center"/>
          </w:tcPr>
          <w:p w14:paraId="3BD3D768" w14:textId="77777777" w:rsidR="00454A29" w:rsidRDefault="00454A29">
            <w:pPr>
              <w:pStyle w:val="ConsPlusNormal"/>
            </w:pPr>
          </w:p>
        </w:tc>
        <w:tc>
          <w:tcPr>
            <w:tcW w:w="1814" w:type="dxa"/>
            <w:vAlign w:val="center"/>
          </w:tcPr>
          <w:p w14:paraId="48FB92B6" w14:textId="77777777" w:rsidR="00454A29" w:rsidRDefault="00454A29">
            <w:pPr>
              <w:pStyle w:val="ConsPlusNormal"/>
            </w:pPr>
          </w:p>
        </w:tc>
        <w:tc>
          <w:tcPr>
            <w:tcW w:w="1701" w:type="dxa"/>
            <w:vAlign w:val="center"/>
          </w:tcPr>
          <w:p w14:paraId="76383977" w14:textId="77777777" w:rsidR="00454A29" w:rsidRDefault="00454A29">
            <w:pPr>
              <w:pStyle w:val="ConsPlusNormal"/>
            </w:pPr>
          </w:p>
        </w:tc>
        <w:tc>
          <w:tcPr>
            <w:tcW w:w="1701" w:type="dxa"/>
            <w:vAlign w:val="center"/>
          </w:tcPr>
          <w:p w14:paraId="660172E7" w14:textId="77777777" w:rsidR="00454A29" w:rsidRDefault="00454A29">
            <w:pPr>
              <w:pStyle w:val="ConsPlusNormal"/>
            </w:pPr>
          </w:p>
        </w:tc>
        <w:tc>
          <w:tcPr>
            <w:tcW w:w="1814" w:type="dxa"/>
            <w:vAlign w:val="center"/>
          </w:tcPr>
          <w:p w14:paraId="60A1FEAD" w14:textId="77777777" w:rsidR="00454A29" w:rsidRDefault="00454A29">
            <w:pPr>
              <w:pStyle w:val="ConsPlusNormal"/>
            </w:pPr>
          </w:p>
        </w:tc>
      </w:tr>
      <w:tr w:rsidR="00454A29" w14:paraId="27ED82D8" w14:textId="77777777">
        <w:tc>
          <w:tcPr>
            <w:tcW w:w="567" w:type="dxa"/>
            <w:vMerge w:val="restart"/>
            <w:vAlign w:val="center"/>
          </w:tcPr>
          <w:p w14:paraId="3884B1FE" w14:textId="77777777" w:rsidR="00454A29" w:rsidRDefault="00454A29">
            <w:pPr>
              <w:pStyle w:val="ConsPlusNormal"/>
              <w:jc w:val="center"/>
            </w:pPr>
            <w:r>
              <w:t>125</w:t>
            </w:r>
          </w:p>
        </w:tc>
        <w:tc>
          <w:tcPr>
            <w:tcW w:w="3345" w:type="dxa"/>
            <w:vMerge w:val="restart"/>
            <w:vAlign w:val="center"/>
          </w:tcPr>
          <w:p w14:paraId="55AD22A8" w14:textId="77777777" w:rsidR="00454A29" w:rsidRDefault="00454A29">
            <w:pPr>
              <w:pStyle w:val="ConsPlusNormal"/>
              <w:jc w:val="center"/>
            </w:pPr>
            <w:r>
              <w:t>Школа на 90 учащихся в с. Шея</w:t>
            </w:r>
          </w:p>
        </w:tc>
        <w:tc>
          <w:tcPr>
            <w:tcW w:w="1701" w:type="dxa"/>
            <w:vAlign w:val="center"/>
          </w:tcPr>
          <w:p w14:paraId="6E176883" w14:textId="77777777" w:rsidR="00454A29" w:rsidRDefault="00454A29">
            <w:pPr>
              <w:pStyle w:val="ConsPlusNormal"/>
              <w:jc w:val="center"/>
            </w:pPr>
            <w:r>
              <w:t>2020 - 2026 годы - всего</w:t>
            </w:r>
          </w:p>
        </w:tc>
        <w:tc>
          <w:tcPr>
            <w:tcW w:w="1417" w:type="dxa"/>
            <w:vMerge w:val="restart"/>
            <w:vAlign w:val="center"/>
          </w:tcPr>
          <w:p w14:paraId="13114F7F" w14:textId="77777777" w:rsidR="00454A29" w:rsidRDefault="00454A29">
            <w:pPr>
              <w:pStyle w:val="ConsPlusNormal"/>
              <w:jc w:val="center"/>
            </w:pPr>
            <w:r>
              <w:t>331 042,07</w:t>
            </w:r>
          </w:p>
        </w:tc>
        <w:tc>
          <w:tcPr>
            <w:tcW w:w="2204" w:type="dxa"/>
            <w:vMerge w:val="restart"/>
            <w:vAlign w:val="center"/>
          </w:tcPr>
          <w:p w14:paraId="1A236FD0" w14:textId="77777777" w:rsidR="00454A29" w:rsidRDefault="00454A29">
            <w:pPr>
              <w:pStyle w:val="ConsPlusNormal"/>
            </w:pPr>
          </w:p>
        </w:tc>
        <w:tc>
          <w:tcPr>
            <w:tcW w:w="1417" w:type="dxa"/>
            <w:vMerge w:val="restart"/>
            <w:vAlign w:val="center"/>
          </w:tcPr>
          <w:p w14:paraId="5C854CA3" w14:textId="77777777" w:rsidR="00454A29" w:rsidRDefault="00454A29">
            <w:pPr>
              <w:pStyle w:val="ConsPlusNormal"/>
              <w:jc w:val="center"/>
            </w:pPr>
            <w:r>
              <w:t>90</w:t>
            </w:r>
          </w:p>
        </w:tc>
        <w:tc>
          <w:tcPr>
            <w:tcW w:w="2324" w:type="dxa"/>
            <w:vMerge w:val="restart"/>
            <w:vAlign w:val="center"/>
          </w:tcPr>
          <w:p w14:paraId="00D9ED6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3750FE9" w14:textId="77777777" w:rsidR="00454A29" w:rsidRDefault="00454A29">
            <w:pPr>
              <w:pStyle w:val="ConsPlusNormal"/>
              <w:jc w:val="center"/>
            </w:pPr>
            <w:r>
              <w:t>331 042,07</w:t>
            </w:r>
          </w:p>
        </w:tc>
        <w:tc>
          <w:tcPr>
            <w:tcW w:w="1814" w:type="dxa"/>
            <w:vAlign w:val="center"/>
          </w:tcPr>
          <w:p w14:paraId="7CF03DC6" w14:textId="77777777" w:rsidR="00454A29" w:rsidRDefault="00454A29">
            <w:pPr>
              <w:pStyle w:val="ConsPlusNormal"/>
              <w:jc w:val="center"/>
            </w:pPr>
            <w:r>
              <w:t>2 214,67</w:t>
            </w:r>
          </w:p>
        </w:tc>
        <w:tc>
          <w:tcPr>
            <w:tcW w:w="1701" w:type="dxa"/>
            <w:vAlign w:val="center"/>
          </w:tcPr>
          <w:p w14:paraId="277EE252" w14:textId="77777777" w:rsidR="00454A29" w:rsidRDefault="00454A29">
            <w:pPr>
              <w:pStyle w:val="ConsPlusNormal"/>
              <w:jc w:val="center"/>
            </w:pPr>
            <w:r>
              <w:t>219 252,47</w:t>
            </w:r>
          </w:p>
        </w:tc>
        <w:tc>
          <w:tcPr>
            <w:tcW w:w="1701" w:type="dxa"/>
            <w:vAlign w:val="center"/>
          </w:tcPr>
          <w:p w14:paraId="49BD3456" w14:textId="77777777" w:rsidR="00454A29" w:rsidRDefault="00454A29">
            <w:pPr>
              <w:pStyle w:val="ConsPlusNormal"/>
              <w:jc w:val="center"/>
            </w:pPr>
            <w:r>
              <w:t>0</w:t>
            </w:r>
          </w:p>
        </w:tc>
        <w:tc>
          <w:tcPr>
            <w:tcW w:w="1814" w:type="dxa"/>
            <w:vAlign w:val="center"/>
          </w:tcPr>
          <w:p w14:paraId="7A8DAB31" w14:textId="77777777" w:rsidR="00454A29" w:rsidRDefault="00454A29">
            <w:pPr>
              <w:pStyle w:val="ConsPlusNormal"/>
              <w:jc w:val="center"/>
            </w:pPr>
            <w:r>
              <w:t>0</w:t>
            </w:r>
          </w:p>
        </w:tc>
      </w:tr>
      <w:tr w:rsidR="00454A29" w14:paraId="060A6DD6" w14:textId="77777777">
        <w:tc>
          <w:tcPr>
            <w:tcW w:w="567" w:type="dxa"/>
            <w:vMerge/>
          </w:tcPr>
          <w:p w14:paraId="5DC15EAD" w14:textId="77777777" w:rsidR="00454A29" w:rsidRDefault="00454A29"/>
        </w:tc>
        <w:tc>
          <w:tcPr>
            <w:tcW w:w="3345" w:type="dxa"/>
            <w:vMerge/>
          </w:tcPr>
          <w:p w14:paraId="5E59F441" w14:textId="77777777" w:rsidR="00454A29" w:rsidRDefault="00454A29"/>
        </w:tc>
        <w:tc>
          <w:tcPr>
            <w:tcW w:w="1701" w:type="dxa"/>
            <w:vAlign w:val="center"/>
          </w:tcPr>
          <w:p w14:paraId="3BFC408C" w14:textId="77777777" w:rsidR="00454A29" w:rsidRDefault="00454A29">
            <w:pPr>
              <w:pStyle w:val="ConsPlusNormal"/>
              <w:jc w:val="center"/>
            </w:pPr>
            <w:r>
              <w:t>2020</w:t>
            </w:r>
          </w:p>
        </w:tc>
        <w:tc>
          <w:tcPr>
            <w:tcW w:w="1417" w:type="dxa"/>
            <w:vMerge/>
          </w:tcPr>
          <w:p w14:paraId="57451A04" w14:textId="77777777" w:rsidR="00454A29" w:rsidRDefault="00454A29"/>
        </w:tc>
        <w:tc>
          <w:tcPr>
            <w:tcW w:w="2204" w:type="dxa"/>
            <w:vMerge/>
          </w:tcPr>
          <w:p w14:paraId="1103FF85" w14:textId="77777777" w:rsidR="00454A29" w:rsidRDefault="00454A29"/>
        </w:tc>
        <w:tc>
          <w:tcPr>
            <w:tcW w:w="1417" w:type="dxa"/>
            <w:vMerge/>
          </w:tcPr>
          <w:p w14:paraId="616E52A7" w14:textId="77777777" w:rsidR="00454A29" w:rsidRDefault="00454A29"/>
        </w:tc>
        <w:tc>
          <w:tcPr>
            <w:tcW w:w="2324" w:type="dxa"/>
            <w:vMerge/>
          </w:tcPr>
          <w:p w14:paraId="6065B97E" w14:textId="77777777" w:rsidR="00454A29" w:rsidRDefault="00454A29"/>
        </w:tc>
        <w:tc>
          <w:tcPr>
            <w:tcW w:w="1701" w:type="dxa"/>
            <w:vAlign w:val="center"/>
          </w:tcPr>
          <w:p w14:paraId="3989F509" w14:textId="77777777" w:rsidR="00454A29" w:rsidRDefault="00454A29">
            <w:pPr>
              <w:pStyle w:val="ConsPlusNormal"/>
            </w:pPr>
          </w:p>
        </w:tc>
        <w:tc>
          <w:tcPr>
            <w:tcW w:w="1814" w:type="dxa"/>
            <w:vAlign w:val="center"/>
          </w:tcPr>
          <w:p w14:paraId="7C8A2113" w14:textId="77777777" w:rsidR="00454A29" w:rsidRDefault="00454A29">
            <w:pPr>
              <w:pStyle w:val="ConsPlusNormal"/>
            </w:pPr>
          </w:p>
        </w:tc>
        <w:tc>
          <w:tcPr>
            <w:tcW w:w="1701" w:type="dxa"/>
            <w:vAlign w:val="center"/>
          </w:tcPr>
          <w:p w14:paraId="5A23C8B1" w14:textId="77777777" w:rsidR="00454A29" w:rsidRDefault="00454A29">
            <w:pPr>
              <w:pStyle w:val="ConsPlusNormal"/>
            </w:pPr>
          </w:p>
        </w:tc>
        <w:tc>
          <w:tcPr>
            <w:tcW w:w="1701" w:type="dxa"/>
            <w:vAlign w:val="center"/>
          </w:tcPr>
          <w:p w14:paraId="29D712A2" w14:textId="77777777" w:rsidR="00454A29" w:rsidRDefault="00454A29">
            <w:pPr>
              <w:pStyle w:val="ConsPlusNormal"/>
            </w:pPr>
          </w:p>
        </w:tc>
        <w:tc>
          <w:tcPr>
            <w:tcW w:w="1814" w:type="dxa"/>
            <w:vAlign w:val="center"/>
          </w:tcPr>
          <w:p w14:paraId="3AF28CA5" w14:textId="77777777" w:rsidR="00454A29" w:rsidRDefault="00454A29">
            <w:pPr>
              <w:pStyle w:val="ConsPlusNormal"/>
            </w:pPr>
          </w:p>
        </w:tc>
      </w:tr>
      <w:tr w:rsidR="00454A29" w14:paraId="1032F119" w14:textId="77777777">
        <w:tc>
          <w:tcPr>
            <w:tcW w:w="567" w:type="dxa"/>
            <w:vMerge/>
          </w:tcPr>
          <w:p w14:paraId="592460B0" w14:textId="77777777" w:rsidR="00454A29" w:rsidRDefault="00454A29"/>
        </w:tc>
        <w:tc>
          <w:tcPr>
            <w:tcW w:w="3345" w:type="dxa"/>
            <w:vMerge/>
          </w:tcPr>
          <w:p w14:paraId="639E37BF" w14:textId="77777777" w:rsidR="00454A29" w:rsidRDefault="00454A29"/>
        </w:tc>
        <w:tc>
          <w:tcPr>
            <w:tcW w:w="1701" w:type="dxa"/>
            <w:vAlign w:val="center"/>
          </w:tcPr>
          <w:p w14:paraId="47CD853C" w14:textId="77777777" w:rsidR="00454A29" w:rsidRDefault="00454A29">
            <w:pPr>
              <w:pStyle w:val="ConsPlusNormal"/>
              <w:jc w:val="center"/>
            </w:pPr>
            <w:r>
              <w:t>2021</w:t>
            </w:r>
          </w:p>
        </w:tc>
        <w:tc>
          <w:tcPr>
            <w:tcW w:w="1417" w:type="dxa"/>
            <w:vMerge/>
          </w:tcPr>
          <w:p w14:paraId="327D2963" w14:textId="77777777" w:rsidR="00454A29" w:rsidRDefault="00454A29"/>
        </w:tc>
        <w:tc>
          <w:tcPr>
            <w:tcW w:w="2204" w:type="dxa"/>
            <w:vMerge/>
          </w:tcPr>
          <w:p w14:paraId="06A98599" w14:textId="77777777" w:rsidR="00454A29" w:rsidRDefault="00454A29"/>
        </w:tc>
        <w:tc>
          <w:tcPr>
            <w:tcW w:w="1417" w:type="dxa"/>
            <w:vMerge/>
          </w:tcPr>
          <w:p w14:paraId="3076EEC3" w14:textId="77777777" w:rsidR="00454A29" w:rsidRDefault="00454A29"/>
        </w:tc>
        <w:tc>
          <w:tcPr>
            <w:tcW w:w="2324" w:type="dxa"/>
            <w:vMerge/>
          </w:tcPr>
          <w:p w14:paraId="5DB280CF" w14:textId="77777777" w:rsidR="00454A29" w:rsidRDefault="00454A29"/>
        </w:tc>
        <w:tc>
          <w:tcPr>
            <w:tcW w:w="1701" w:type="dxa"/>
            <w:vAlign w:val="center"/>
          </w:tcPr>
          <w:p w14:paraId="24047A77" w14:textId="77777777" w:rsidR="00454A29" w:rsidRDefault="00454A29">
            <w:pPr>
              <w:pStyle w:val="ConsPlusNormal"/>
            </w:pPr>
          </w:p>
        </w:tc>
        <w:tc>
          <w:tcPr>
            <w:tcW w:w="1814" w:type="dxa"/>
            <w:vAlign w:val="center"/>
          </w:tcPr>
          <w:p w14:paraId="5ADAE4F8" w14:textId="77777777" w:rsidR="00454A29" w:rsidRDefault="00454A29">
            <w:pPr>
              <w:pStyle w:val="ConsPlusNormal"/>
            </w:pPr>
          </w:p>
        </w:tc>
        <w:tc>
          <w:tcPr>
            <w:tcW w:w="1701" w:type="dxa"/>
            <w:vAlign w:val="center"/>
          </w:tcPr>
          <w:p w14:paraId="1A8EF1B6" w14:textId="77777777" w:rsidR="00454A29" w:rsidRDefault="00454A29">
            <w:pPr>
              <w:pStyle w:val="ConsPlusNormal"/>
            </w:pPr>
          </w:p>
        </w:tc>
        <w:tc>
          <w:tcPr>
            <w:tcW w:w="1701" w:type="dxa"/>
            <w:vAlign w:val="center"/>
          </w:tcPr>
          <w:p w14:paraId="78DB9101" w14:textId="77777777" w:rsidR="00454A29" w:rsidRDefault="00454A29">
            <w:pPr>
              <w:pStyle w:val="ConsPlusNormal"/>
            </w:pPr>
          </w:p>
        </w:tc>
        <w:tc>
          <w:tcPr>
            <w:tcW w:w="1814" w:type="dxa"/>
            <w:vAlign w:val="center"/>
          </w:tcPr>
          <w:p w14:paraId="1A56D4EB" w14:textId="77777777" w:rsidR="00454A29" w:rsidRDefault="00454A29">
            <w:pPr>
              <w:pStyle w:val="ConsPlusNormal"/>
            </w:pPr>
          </w:p>
        </w:tc>
      </w:tr>
      <w:tr w:rsidR="00454A29" w14:paraId="4716C4FA" w14:textId="77777777">
        <w:tc>
          <w:tcPr>
            <w:tcW w:w="567" w:type="dxa"/>
            <w:vMerge/>
          </w:tcPr>
          <w:p w14:paraId="0D5808A1" w14:textId="77777777" w:rsidR="00454A29" w:rsidRDefault="00454A29"/>
        </w:tc>
        <w:tc>
          <w:tcPr>
            <w:tcW w:w="3345" w:type="dxa"/>
            <w:vMerge/>
          </w:tcPr>
          <w:p w14:paraId="054FB2FA" w14:textId="77777777" w:rsidR="00454A29" w:rsidRDefault="00454A29"/>
        </w:tc>
        <w:tc>
          <w:tcPr>
            <w:tcW w:w="1701" w:type="dxa"/>
            <w:vAlign w:val="center"/>
          </w:tcPr>
          <w:p w14:paraId="5D91D3EC" w14:textId="77777777" w:rsidR="00454A29" w:rsidRDefault="00454A29">
            <w:pPr>
              <w:pStyle w:val="ConsPlusNormal"/>
              <w:jc w:val="center"/>
            </w:pPr>
            <w:r>
              <w:t>2022</w:t>
            </w:r>
          </w:p>
        </w:tc>
        <w:tc>
          <w:tcPr>
            <w:tcW w:w="1417" w:type="dxa"/>
            <w:vMerge/>
          </w:tcPr>
          <w:p w14:paraId="3E7BD9EE" w14:textId="77777777" w:rsidR="00454A29" w:rsidRDefault="00454A29"/>
        </w:tc>
        <w:tc>
          <w:tcPr>
            <w:tcW w:w="2204" w:type="dxa"/>
            <w:vMerge/>
          </w:tcPr>
          <w:p w14:paraId="30644718" w14:textId="77777777" w:rsidR="00454A29" w:rsidRDefault="00454A29"/>
        </w:tc>
        <w:tc>
          <w:tcPr>
            <w:tcW w:w="1417" w:type="dxa"/>
            <w:vMerge/>
          </w:tcPr>
          <w:p w14:paraId="12083013" w14:textId="77777777" w:rsidR="00454A29" w:rsidRDefault="00454A29"/>
        </w:tc>
        <w:tc>
          <w:tcPr>
            <w:tcW w:w="2324" w:type="dxa"/>
            <w:vMerge/>
          </w:tcPr>
          <w:p w14:paraId="5F28FFE6" w14:textId="77777777" w:rsidR="00454A29" w:rsidRDefault="00454A29"/>
        </w:tc>
        <w:tc>
          <w:tcPr>
            <w:tcW w:w="1701" w:type="dxa"/>
            <w:vAlign w:val="center"/>
          </w:tcPr>
          <w:p w14:paraId="42EE00D5" w14:textId="77777777" w:rsidR="00454A29" w:rsidRDefault="00454A29">
            <w:pPr>
              <w:pStyle w:val="ConsPlusNormal"/>
            </w:pPr>
          </w:p>
        </w:tc>
        <w:tc>
          <w:tcPr>
            <w:tcW w:w="1814" w:type="dxa"/>
            <w:vAlign w:val="center"/>
          </w:tcPr>
          <w:p w14:paraId="3FA2C2E5" w14:textId="77777777" w:rsidR="00454A29" w:rsidRDefault="00454A29">
            <w:pPr>
              <w:pStyle w:val="ConsPlusNormal"/>
            </w:pPr>
          </w:p>
        </w:tc>
        <w:tc>
          <w:tcPr>
            <w:tcW w:w="1701" w:type="dxa"/>
            <w:vAlign w:val="center"/>
          </w:tcPr>
          <w:p w14:paraId="621BAB06" w14:textId="77777777" w:rsidR="00454A29" w:rsidRDefault="00454A29">
            <w:pPr>
              <w:pStyle w:val="ConsPlusNormal"/>
            </w:pPr>
          </w:p>
        </w:tc>
        <w:tc>
          <w:tcPr>
            <w:tcW w:w="1701" w:type="dxa"/>
            <w:vAlign w:val="center"/>
          </w:tcPr>
          <w:p w14:paraId="5A7CEB3B" w14:textId="77777777" w:rsidR="00454A29" w:rsidRDefault="00454A29">
            <w:pPr>
              <w:pStyle w:val="ConsPlusNormal"/>
            </w:pPr>
          </w:p>
        </w:tc>
        <w:tc>
          <w:tcPr>
            <w:tcW w:w="1814" w:type="dxa"/>
            <w:vAlign w:val="center"/>
          </w:tcPr>
          <w:p w14:paraId="05591F69" w14:textId="77777777" w:rsidR="00454A29" w:rsidRDefault="00454A29">
            <w:pPr>
              <w:pStyle w:val="ConsPlusNormal"/>
            </w:pPr>
          </w:p>
        </w:tc>
      </w:tr>
      <w:tr w:rsidR="00454A29" w14:paraId="343F29D6" w14:textId="77777777">
        <w:tc>
          <w:tcPr>
            <w:tcW w:w="567" w:type="dxa"/>
            <w:vMerge/>
          </w:tcPr>
          <w:p w14:paraId="4F8F8FC0" w14:textId="77777777" w:rsidR="00454A29" w:rsidRDefault="00454A29"/>
        </w:tc>
        <w:tc>
          <w:tcPr>
            <w:tcW w:w="3345" w:type="dxa"/>
            <w:vMerge/>
          </w:tcPr>
          <w:p w14:paraId="518A85ED" w14:textId="77777777" w:rsidR="00454A29" w:rsidRDefault="00454A29"/>
        </w:tc>
        <w:tc>
          <w:tcPr>
            <w:tcW w:w="1701" w:type="dxa"/>
            <w:vAlign w:val="center"/>
          </w:tcPr>
          <w:p w14:paraId="4A40B262" w14:textId="77777777" w:rsidR="00454A29" w:rsidRDefault="00454A29">
            <w:pPr>
              <w:pStyle w:val="ConsPlusNormal"/>
              <w:jc w:val="center"/>
            </w:pPr>
            <w:r>
              <w:t>2023</w:t>
            </w:r>
          </w:p>
        </w:tc>
        <w:tc>
          <w:tcPr>
            <w:tcW w:w="1417" w:type="dxa"/>
            <w:vMerge/>
          </w:tcPr>
          <w:p w14:paraId="2F0838E9" w14:textId="77777777" w:rsidR="00454A29" w:rsidRDefault="00454A29"/>
        </w:tc>
        <w:tc>
          <w:tcPr>
            <w:tcW w:w="2204" w:type="dxa"/>
            <w:vMerge/>
          </w:tcPr>
          <w:p w14:paraId="697C1E48" w14:textId="77777777" w:rsidR="00454A29" w:rsidRDefault="00454A29"/>
        </w:tc>
        <w:tc>
          <w:tcPr>
            <w:tcW w:w="1417" w:type="dxa"/>
            <w:vMerge/>
          </w:tcPr>
          <w:p w14:paraId="59A28F9D" w14:textId="77777777" w:rsidR="00454A29" w:rsidRDefault="00454A29"/>
        </w:tc>
        <w:tc>
          <w:tcPr>
            <w:tcW w:w="2324" w:type="dxa"/>
            <w:vMerge/>
          </w:tcPr>
          <w:p w14:paraId="4C6C639C" w14:textId="77777777" w:rsidR="00454A29" w:rsidRDefault="00454A29"/>
        </w:tc>
        <w:tc>
          <w:tcPr>
            <w:tcW w:w="1701" w:type="dxa"/>
            <w:vAlign w:val="center"/>
          </w:tcPr>
          <w:p w14:paraId="75362EE3" w14:textId="77777777" w:rsidR="00454A29" w:rsidRDefault="00454A29">
            <w:pPr>
              <w:pStyle w:val="ConsPlusNormal"/>
              <w:jc w:val="center"/>
            </w:pPr>
            <w:r>
              <w:t>-</w:t>
            </w:r>
          </w:p>
        </w:tc>
        <w:tc>
          <w:tcPr>
            <w:tcW w:w="1814" w:type="dxa"/>
            <w:vAlign w:val="center"/>
          </w:tcPr>
          <w:p w14:paraId="3AB1A4CA" w14:textId="77777777" w:rsidR="00454A29" w:rsidRDefault="00454A29">
            <w:pPr>
              <w:pStyle w:val="ConsPlusNormal"/>
            </w:pPr>
          </w:p>
        </w:tc>
        <w:tc>
          <w:tcPr>
            <w:tcW w:w="1701" w:type="dxa"/>
            <w:vAlign w:val="center"/>
          </w:tcPr>
          <w:p w14:paraId="4C0BA9A1" w14:textId="77777777" w:rsidR="00454A29" w:rsidRDefault="00454A29">
            <w:pPr>
              <w:pStyle w:val="ConsPlusNormal"/>
            </w:pPr>
          </w:p>
        </w:tc>
        <w:tc>
          <w:tcPr>
            <w:tcW w:w="1701" w:type="dxa"/>
            <w:vAlign w:val="center"/>
          </w:tcPr>
          <w:p w14:paraId="767773EE" w14:textId="77777777" w:rsidR="00454A29" w:rsidRDefault="00454A29">
            <w:pPr>
              <w:pStyle w:val="ConsPlusNormal"/>
            </w:pPr>
          </w:p>
        </w:tc>
        <w:tc>
          <w:tcPr>
            <w:tcW w:w="1814" w:type="dxa"/>
            <w:vAlign w:val="center"/>
          </w:tcPr>
          <w:p w14:paraId="5FA7679F" w14:textId="77777777" w:rsidR="00454A29" w:rsidRDefault="00454A29">
            <w:pPr>
              <w:pStyle w:val="ConsPlusNormal"/>
            </w:pPr>
          </w:p>
        </w:tc>
      </w:tr>
      <w:tr w:rsidR="00454A29" w14:paraId="4E986779" w14:textId="77777777">
        <w:tc>
          <w:tcPr>
            <w:tcW w:w="567" w:type="dxa"/>
            <w:vMerge/>
          </w:tcPr>
          <w:p w14:paraId="7634BFDF" w14:textId="77777777" w:rsidR="00454A29" w:rsidRDefault="00454A29"/>
        </w:tc>
        <w:tc>
          <w:tcPr>
            <w:tcW w:w="3345" w:type="dxa"/>
            <w:vMerge/>
          </w:tcPr>
          <w:p w14:paraId="60B1B2A4" w14:textId="77777777" w:rsidR="00454A29" w:rsidRDefault="00454A29"/>
        </w:tc>
        <w:tc>
          <w:tcPr>
            <w:tcW w:w="1701" w:type="dxa"/>
            <w:vAlign w:val="center"/>
          </w:tcPr>
          <w:p w14:paraId="1C1F1552" w14:textId="77777777" w:rsidR="00454A29" w:rsidRDefault="00454A29">
            <w:pPr>
              <w:pStyle w:val="ConsPlusNormal"/>
              <w:jc w:val="center"/>
            </w:pPr>
            <w:r>
              <w:t>2024</w:t>
            </w:r>
          </w:p>
        </w:tc>
        <w:tc>
          <w:tcPr>
            <w:tcW w:w="1417" w:type="dxa"/>
            <w:vMerge/>
          </w:tcPr>
          <w:p w14:paraId="6F81B929" w14:textId="77777777" w:rsidR="00454A29" w:rsidRDefault="00454A29"/>
        </w:tc>
        <w:tc>
          <w:tcPr>
            <w:tcW w:w="2204" w:type="dxa"/>
            <w:vMerge/>
          </w:tcPr>
          <w:p w14:paraId="5EA959F2" w14:textId="77777777" w:rsidR="00454A29" w:rsidRDefault="00454A29"/>
        </w:tc>
        <w:tc>
          <w:tcPr>
            <w:tcW w:w="1417" w:type="dxa"/>
            <w:vMerge/>
          </w:tcPr>
          <w:p w14:paraId="21EC8317" w14:textId="77777777" w:rsidR="00454A29" w:rsidRDefault="00454A29"/>
        </w:tc>
        <w:tc>
          <w:tcPr>
            <w:tcW w:w="2324" w:type="dxa"/>
            <w:vMerge/>
          </w:tcPr>
          <w:p w14:paraId="096DCB99" w14:textId="77777777" w:rsidR="00454A29" w:rsidRDefault="00454A29"/>
        </w:tc>
        <w:tc>
          <w:tcPr>
            <w:tcW w:w="1701" w:type="dxa"/>
            <w:vAlign w:val="center"/>
          </w:tcPr>
          <w:p w14:paraId="54284F93" w14:textId="77777777" w:rsidR="00454A29" w:rsidRDefault="00454A29">
            <w:pPr>
              <w:pStyle w:val="ConsPlusNormal"/>
              <w:jc w:val="center"/>
            </w:pPr>
            <w:r>
              <w:t>331 042,07</w:t>
            </w:r>
          </w:p>
        </w:tc>
        <w:tc>
          <w:tcPr>
            <w:tcW w:w="1814" w:type="dxa"/>
            <w:vAlign w:val="center"/>
          </w:tcPr>
          <w:p w14:paraId="29818D93" w14:textId="77777777" w:rsidR="00454A29" w:rsidRDefault="00454A29">
            <w:pPr>
              <w:pStyle w:val="ConsPlusNormal"/>
              <w:jc w:val="center"/>
            </w:pPr>
            <w:r>
              <w:t>2 214,67</w:t>
            </w:r>
          </w:p>
        </w:tc>
        <w:tc>
          <w:tcPr>
            <w:tcW w:w="1701" w:type="dxa"/>
            <w:vAlign w:val="center"/>
          </w:tcPr>
          <w:p w14:paraId="6A210BB4" w14:textId="77777777" w:rsidR="00454A29" w:rsidRDefault="00454A29">
            <w:pPr>
              <w:pStyle w:val="ConsPlusNormal"/>
              <w:jc w:val="center"/>
            </w:pPr>
            <w:r>
              <w:t>219 252,47</w:t>
            </w:r>
          </w:p>
        </w:tc>
        <w:tc>
          <w:tcPr>
            <w:tcW w:w="1701" w:type="dxa"/>
            <w:vAlign w:val="center"/>
          </w:tcPr>
          <w:p w14:paraId="10CAE74A" w14:textId="77777777" w:rsidR="00454A29" w:rsidRDefault="00454A29">
            <w:pPr>
              <w:pStyle w:val="ConsPlusNormal"/>
            </w:pPr>
          </w:p>
        </w:tc>
        <w:tc>
          <w:tcPr>
            <w:tcW w:w="1814" w:type="dxa"/>
            <w:vAlign w:val="center"/>
          </w:tcPr>
          <w:p w14:paraId="5317AEC4" w14:textId="77777777" w:rsidR="00454A29" w:rsidRDefault="00454A29">
            <w:pPr>
              <w:pStyle w:val="ConsPlusNormal"/>
            </w:pPr>
          </w:p>
        </w:tc>
      </w:tr>
      <w:tr w:rsidR="00454A29" w14:paraId="1A54C1CF" w14:textId="77777777">
        <w:tc>
          <w:tcPr>
            <w:tcW w:w="567" w:type="dxa"/>
            <w:vMerge/>
          </w:tcPr>
          <w:p w14:paraId="47C677BB" w14:textId="77777777" w:rsidR="00454A29" w:rsidRDefault="00454A29"/>
        </w:tc>
        <w:tc>
          <w:tcPr>
            <w:tcW w:w="3345" w:type="dxa"/>
            <w:vMerge/>
          </w:tcPr>
          <w:p w14:paraId="23EC148E" w14:textId="77777777" w:rsidR="00454A29" w:rsidRDefault="00454A29"/>
        </w:tc>
        <w:tc>
          <w:tcPr>
            <w:tcW w:w="1701" w:type="dxa"/>
            <w:vAlign w:val="center"/>
          </w:tcPr>
          <w:p w14:paraId="32DD5A56" w14:textId="77777777" w:rsidR="00454A29" w:rsidRDefault="00454A29">
            <w:pPr>
              <w:pStyle w:val="ConsPlusNormal"/>
              <w:jc w:val="center"/>
            </w:pPr>
            <w:r>
              <w:t>2025</w:t>
            </w:r>
          </w:p>
        </w:tc>
        <w:tc>
          <w:tcPr>
            <w:tcW w:w="1417" w:type="dxa"/>
            <w:vMerge/>
          </w:tcPr>
          <w:p w14:paraId="70DF6B68" w14:textId="77777777" w:rsidR="00454A29" w:rsidRDefault="00454A29"/>
        </w:tc>
        <w:tc>
          <w:tcPr>
            <w:tcW w:w="2204" w:type="dxa"/>
            <w:vMerge/>
          </w:tcPr>
          <w:p w14:paraId="462870A3" w14:textId="77777777" w:rsidR="00454A29" w:rsidRDefault="00454A29"/>
        </w:tc>
        <w:tc>
          <w:tcPr>
            <w:tcW w:w="1417" w:type="dxa"/>
            <w:vMerge/>
          </w:tcPr>
          <w:p w14:paraId="187600CC" w14:textId="77777777" w:rsidR="00454A29" w:rsidRDefault="00454A29"/>
        </w:tc>
        <w:tc>
          <w:tcPr>
            <w:tcW w:w="2324" w:type="dxa"/>
            <w:vMerge/>
          </w:tcPr>
          <w:p w14:paraId="020954F3" w14:textId="77777777" w:rsidR="00454A29" w:rsidRDefault="00454A29"/>
        </w:tc>
        <w:tc>
          <w:tcPr>
            <w:tcW w:w="1701" w:type="dxa"/>
            <w:vAlign w:val="center"/>
          </w:tcPr>
          <w:p w14:paraId="3B0CA2A7" w14:textId="77777777" w:rsidR="00454A29" w:rsidRDefault="00454A29">
            <w:pPr>
              <w:pStyle w:val="ConsPlusNormal"/>
            </w:pPr>
          </w:p>
        </w:tc>
        <w:tc>
          <w:tcPr>
            <w:tcW w:w="1814" w:type="dxa"/>
            <w:vAlign w:val="center"/>
          </w:tcPr>
          <w:p w14:paraId="6EC8B93C" w14:textId="77777777" w:rsidR="00454A29" w:rsidRDefault="00454A29">
            <w:pPr>
              <w:pStyle w:val="ConsPlusNormal"/>
            </w:pPr>
          </w:p>
        </w:tc>
        <w:tc>
          <w:tcPr>
            <w:tcW w:w="1701" w:type="dxa"/>
            <w:vAlign w:val="center"/>
          </w:tcPr>
          <w:p w14:paraId="2577181A" w14:textId="77777777" w:rsidR="00454A29" w:rsidRDefault="00454A29">
            <w:pPr>
              <w:pStyle w:val="ConsPlusNormal"/>
            </w:pPr>
          </w:p>
        </w:tc>
        <w:tc>
          <w:tcPr>
            <w:tcW w:w="1701" w:type="dxa"/>
            <w:vAlign w:val="center"/>
          </w:tcPr>
          <w:p w14:paraId="64E46719" w14:textId="77777777" w:rsidR="00454A29" w:rsidRDefault="00454A29">
            <w:pPr>
              <w:pStyle w:val="ConsPlusNormal"/>
            </w:pPr>
          </w:p>
        </w:tc>
        <w:tc>
          <w:tcPr>
            <w:tcW w:w="1814" w:type="dxa"/>
            <w:vAlign w:val="center"/>
          </w:tcPr>
          <w:p w14:paraId="29541921" w14:textId="77777777" w:rsidR="00454A29" w:rsidRDefault="00454A29">
            <w:pPr>
              <w:pStyle w:val="ConsPlusNormal"/>
            </w:pPr>
          </w:p>
        </w:tc>
      </w:tr>
      <w:tr w:rsidR="00454A29" w14:paraId="28EE2ECB" w14:textId="77777777">
        <w:tc>
          <w:tcPr>
            <w:tcW w:w="567" w:type="dxa"/>
            <w:vMerge/>
          </w:tcPr>
          <w:p w14:paraId="409BEC3B" w14:textId="77777777" w:rsidR="00454A29" w:rsidRDefault="00454A29"/>
        </w:tc>
        <w:tc>
          <w:tcPr>
            <w:tcW w:w="3345" w:type="dxa"/>
            <w:vMerge/>
          </w:tcPr>
          <w:p w14:paraId="38C25898" w14:textId="77777777" w:rsidR="00454A29" w:rsidRDefault="00454A29"/>
        </w:tc>
        <w:tc>
          <w:tcPr>
            <w:tcW w:w="1701" w:type="dxa"/>
            <w:vAlign w:val="center"/>
          </w:tcPr>
          <w:p w14:paraId="12CD8BCC" w14:textId="77777777" w:rsidR="00454A29" w:rsidRDefault="00454A29">
            <w:pPr>
              <w:pStyle w:val="ConsPlusNormal"/>
              <w:jc w:val="center"/>
            </w:pPr>
            <w:r>
              <w:t>2026</w:t>
            </w:r>
          </w:p>
        </w:tc>
        <w:tc>
          <w:tcPr>
            <w:tcW w:w="1417" w:type="dxa"/>
            <w:vMerge/>
          </w:tcPr>
          <w:p w14:paraId="7278DD02" w14:textId="77777777" w:rsidR="00454A29" w:rsidRDefault="00454A29"/>
        </w:tc>
        <w:tc>
          <w:tcPr>
            <w:tcW w:w="2204" w:type="dxa"/>
            <w:vMerge/>
          </w:tcPr>
          <w:p w14:paraId="21C39602" w14:textId="77777777" w:rsidR="00454A29" w:rsidRDefault="00454A29"/>
        </w:tc>
        <w:tc>
          <w:tcPr>
            <w:tcW w:w="1417" w:type="dxa"/>
            <w:vMerge/>
          </w:tcPr>
          <w:p w14:paraId="675E7D00" w14:textId="77777777" w:rsidR="00454A29" w:rsidRDefault="00454A29"/>
        </w:tc>
        <w:tc>
          <w:tcPr>
            <w:tcW w:w="2324" w:type="dxa"/>
            <w:vMerge/>
          </w:tcPr>
          <w:p w14:paraId="2EEE64A2" w14:textId="77777777" w:rsidR="00454A29" w:rsidRDefault="00454A29"/>
        </w:tc>
        <w:tc>
          <w:tcPr>
            <w:tcW w:w="1701" w:type="dxa"/>
            <w:vAlign w:val="center"/>
          </w:tcPr>
          <w:p w14:paraId="0A976974" w14:textId="77777777" w:rsidR="00454A29" w:rsidRDefault="00454A29">
            <w:pPr>
              <w:pStyle w:val="ConsPlusNormal"/>
            </w:pPr>
          </w:p>
        </w:tc>
        <w:tc>
          <w:tcPr>
            <w:tcW w:w="1814" w:type="dxa"/>
            <w:vAlign w:val="center"/>
          </w:tcPr>
          <w:p w14:paraId="6DB54F5E" w14:textId="77777777" w:rsidR="00454A29" w:rsidRDefault="00454A29">
            <w:pPr>
              <w:pStyle w:val="ConsPlusNormal"/>
            </w:pPr>
          </w:p>
        </w:tc>
        <w:tc>
          <w:tcPr>
            <w:tcW w:w="1701" w:type="dxa"/>
            <w:vAlign w:val="center"/>
          </w:tcPr>
          <w:p w14:paraId="5FB2CD3F" w14:textId="77777777" w:rsidR="00454A29" w:rsidRDefault="00454A29">
            <w:pPr>
              <w:pStyle w:val="ConsPlusNormal"/>
            </w:pPr>
          </w:p>
        </w:tc>
        <w:tc>
          <w:tcPr>
            <w:tcW w:w="1701" w:type="dxa"/>
            <w:vAlign w:val="center"/>
          </w:tcPr>
          <w:p w14:paraId="6978CCB7" w14:textId="77777777" w:rsidR="00454A29" w:rsidRDefault="00454A29">
            <w:pPr>
              <w:pStyle w:val="ConsPlusNormal"/>
            </w:pPr>
          </w:p>
        </w:tc>
        <w:tc>
          <w:tcPr>
            <w:tcW w:w="1814" w:type="dxa"/>
            <w:vAlign w:val="center"/>
          </w:tcPr>
          <w:p w14:paraId="5A5278B9" w14:textId="77777777" w:rsidR="00454A29" w:rsidRDefault="00454A29">
            <w:pPr>
              <w:pStyle w:val="ConsPlusNormal"/>
            </w:pPr>
          </w:p>
        </w:tc>
      </w:tr>
      <w:tr w:rsidR="00454A29" w14:paraId="3250E3D4" w14:textId="77777777">
        <w:tc>
          <w:tcPr>
            <w:tcW w:w="21706" w:type="dxa"/>
            <w:gridSpan w:val="12"/>
            <w:vAlign w:val="center"/>
          </w:tcPr>
          <w:p w14:paraId="5485F690" w14:textId="77777777" w:rsidR="00454A29" w:rsidRDefault="00454A29">
            <w:pPr>
              <w:pStyle w:val="ConsPlusNormal"/>
              <w:jc w:val="center"/>
              <w:outlineLvl w:val="2"/>
            </w:pPr>
            <w:r>
              <w:t>МР "Таттинский улус"</w:t>
            </w:r>
          </w:p>
        </w:tc>
      </w:tr>
      <w:tr w:rsidR="00454A29" w14:paraId="5C91AD50" w14:textId="77777777">
        <w:tc>
          <w:tcPr>
            <w:tcW w:w="567" w:type="dxa"/>
            <w:vMerge w:val="restart"/>
            <w:vAlign w:val="center"/>
          </w:tcPr>
          <w:p w14:paraId="64411CF9" w14:textId="77777777" w:rsidR="00454A29" w:rsidRDefault="00454A29">
            <w:pPr>
              <w:pStyle w:val="ConsPlusNormal"/>
              <w:jc w:val="center"/>
            </w:pPr>
            <w:r>
              <w:t>126</w:t>
            </w:r>
          </w:p>
        </w:tc>
        <w:tc>
          <w:tcPr>
            <w:tcW w:w="3345" w:type="dxa"/>
            <w:vMerge w:val="restart"/>
            <w:vAlign w:val="center"/>
          </w:tcPr>
          <w:p w14:paraId="310157F2" w14:textId="77777777" w:rsidR="00454A29" w:rsidRDefault="00454A29">
            <w:pPr>
              <w:pStyle w:val="ConsPlusNormal"/>
              <w:jc w:val="center"/>
            </w:pPr>
            <w:r>
              <w:t>Школа на 90 учащихся в с. Кыйы</w:t>
            </w:r>
          </w:p>
        </w:tc>
        <w:tc>
          <w:tcPr>
            <w:tcW w:w="1701" w:type="dxa"/>
            <w:vAlign w:val="center"/>
          </w:tcPr>
          <w:p w14:paraId="1B97B070" w14:textId="77777777" w:rsidR="00454A29" w:rsidRDefault="00454A29">
            <w:pPr>
              <w:pStyle w:val="ConsPlusNormal"/>
              <w:jc w:val="center"/>
            </w:pPr>
            <w:r>
              <w:t>2020 - 2026 годы - всего</w:t>
            </w:r>
          </w:p>
        </w:tc>
        <w:tc>
          <w:tcPr>
            <w:tcW w:w="1417" w:type="dxa"/>
            <w:vMerge w:val="restart"/>
            <w:vAlign w:val="center"/>
          </w:tcPr>
          <w:p w14:paraId="25588424" w14:textId="77777777" w:rsidR="00454A29" w:rsidRDefault="00454A29">
            <w:pPr>
              <w:pStyle w:val="ConsPlusNormal"/>
              <w:jc w:val="center"/>
            </w:pPr>
            <w:r>
              <w:t>290 337,41</w:t>
            </w:r>
          </w:p>
        </w:tc>
        <w:tc>
          <w:tcPr>
            <w:tcW w:w="2204" w:type="dxa"/>
            <w:vMerge w:val="restart"/>
            <w:vAlign w:val="center"/>
          </w:tcPr>
          <w:p w14:paraId="4FD22F8B" w14:textId="77777777" w:rsidR="00454A29" w:rsidRDefault="00454A29">
            <w:pPr>
              <w:pStyle w:val="ConsPlusNormal"/>
              <w:jc w:val="center"/>
            </w:pPr>
            <w:r>
              <w:t>имеется</w:t>
            </w:r>
          </w:p>
        </w:tc>
        <w:tc>
          <w:tcPr>
            <w:tcW w:w="1417" w:type="dxa"/>
            <w:vMerge w:val="restart"/>
            <w:vAlign w:val="center"/>
          </w:tcPr>
          <w:p w14:paraId="4D76D8DD" w14:textId="77777777" w:rsidR="00454A29" w:rsidRDefault="00454A29">
            <w:pPr>
              <w:pStyle w:val="ConsPlusNormal"/>
              <w:jc w:val="center"/>
            </w:pPr>
            <w:r>
              <w:t>90</w:t>
            </w:r>
          </w:p>
        </w:tc>
        <w:tc>
          <w:tcPr>
            <w:tcW w:w="2324" w:type="dxa"/>
            <w:vMerge w:val="restart"/>
            <w:vAlign w:val="center"/>
          </w:tcPr>
          <w:p w14:paraId="636A694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456B912" w14:textId="77777777" w:rsidR="00454A29" w:rsidRDefault="00454A29">
            <w:pPr>
              <w:pStyle w:val="ConsPlusNormal"/>
              <w:jc w:val="center"/>
            </w:pPr>
            <w:r>
              <w:t>290 337,41</w:t>
            </w:r>
          </w:p>
        </w:tc>
        <w:tc>
          <w:tcPr>
            <w:tcW w:w="1814" w:type="dxa"/>
            <w:vAlign w:val="center"/>
          </w:tcPr>
          <w:p w14:paraId="0E0691F4" w14:textId="77777777" w:rsidR="00454A29" w:rsidRDefault="00454A29">
            <w:pPr>
              <w:pStyle w:val="ConsPlusNormal"/>
              <w:jc w:val="center"/>
            </w:pPr>
            <w:r>
              <w:t>290 337,41</w:t>
            </w:r>
          </w:p>
        </w:tc>
        <w:tc>
          <w:tcPr>
            <w:tcW w:w="1701" w:type="dxa"/>
            <w:vAlign w:val="center"/>
          </w:tcPr>
          <w:p w14:paraId="2D19E9C6" w14:textId="77777777" w:rsidR="00454A29" w:rsidRDefault="00454A29">
            <w:pPr>
              <w:pStyle w:val="ConsPlusNormal"/>
              <w:jc w:val="center"/>
            </w:pPr>
            <w:r>
              <w:t>-</w:t>
            </w:r>
          </w:p>
        </w:tc>
        <w:tc>
          <w:tcPr>
            <w:tcW w:w="1701" w:type="dxa"/>
            <w:vAlign w:val="center"/>
          </w:tcPr>
          <w:p w14:paraId="562A2A3E" w14:textId="77777777" w:rsidR="00454A29" w:rsidRDefault="00454A29">
            <w:pPr>
              <w:pStyle w:val="ConsPlusNormal"/>
              <w:jc w:val="center"/>
            </w:pPr>
            <w:r>
              <w:t>-</w:t>
            </w:r>
          </w:p>
        </w:tc>
        <w:tc>
          <w:tcPr>
            <w:tcW w:w="1814" w:type="dxa"/>
            <w:vAlign w:val="center"/>
          </w:tcPr>
          <w:p w14:paraId="2AA37A25" w14:textId="77777777" w:rsidR="00454A29" w:rsidRDefault="00454A29">
            <w:pPr>
              <w:pStyle w:val="ConsPlusNormal"/>
              <w:jc w:val="center"/>
            </w:pPr>
            <w:r>
              <w:t>-</w:t>
            </w:r>
          </w:p>
        </w:tc>
      </w:tr>
      <w:tr w:rsidR="00454A29" w14:paraId="32F9CD9E" w14:textId="77777777">
        <w:tc>
          <w:tcPr>
            <w:tcW w:w="567" w:type="dxa"/>
            <w:vMerge/>
          </w:tcPr>
          <w:p w14:paraId="5BB2C807" w14:textId="77777777" w:rsidR="00454A29" w:rsidRDefault="00454A29"/>
        </w:tc>
        <w:tc>
          <w:tcPr>
            <w:tcW w:w="3345" w:type="dxa"/>
            <w:vMerge/>
          </w:tcPr>
          <w:p w14:paraId="74B098F2" w14:textId="77777777" w:rsidR="00454A29" w:rsidRDefault="00454A29"/>
        </w:tc>
        <w:tc>
          <w:tcPr>
            <w:tcW w:w="1701" w:type="dxa"/>
            <w:vAlign w:val="center"/>
          </w:tcPr>
          <w:p w14:paraId="35E8650A" w14:textId="77777777" w:rsidR="00454A29" w:rsidRDefault="00454A29">
            <w:pPr>
              <w:pStyle w:val="ConsPlusNormal"/>
              <w:jc w:val="center"/>
            </w:pPr>
            <w:r>
              <w:t>2020</w:t>
            </w:r>
          </w:p>
        </w:tc>
        <w:tc>
          <w:tcPr>
            <w:tcW w:w="1417" w:type="dxa"/>
            <w:vMerge/>
          </w:tcPr>
          <w:p w14:paraId="2F79047B" w14:textId="77777777" w:rsidR="00454A29" w:rsidRDefault="00454A29"/>
        </w:tc>
        <w:tc>
          <w:tcPr>
            <w:tcW w:w="2204" w:type="dxa"/>
            <w:vMerge/>
          </w:tcPr>
          <w:p w14:paraId="50AD9FF9" w14:textId="77777777" w:rsidR="00454A29" w:rsidRDefault="00454A29"/>
        </w:tc>
        <w:tc>
          <w:tcPr>
            <w:tcW w:w="1417" w:type="dxa"/>
            <w:vMerge/>
          </w:tcPr>
          <w:p w14:paraId="2FDF03A0" w14:textId="77777777" w:rsidR="00454A29" w:rsidRDefault="00454A29"/>
        </w:tc>
        <w:tc>
          <w:tcPr>
            <w:tcW w:w="2324" w:type="dxa"/>
            <w:vMerge/>
          </w:tcPr>
          <w:p w14:paraId="199AE7BF" w14:textId="77777777" w:rsidR="00454A29" w:rsidRDefault="00454A29"/>
        </w:tc>
        <w:tc>
          <w:tcPr>
            <w:tcW w:w="1701" w:type="dxa"/>
            <w:vAlign w:val="center"/>
          </w:tcPr>
          <w:p w14:paraId="66B93CF6" w14:textId="77777777" w:rsidR="00454A29" w:rsidRDefault="00454A29">
            <w:pPr>
              <w:pStyle w:val="ConsPlusNormal"/>
              <w:jc w:val="center"/>
            </w:pPr>
            <w:r>
              <w:t>132 101,22</w:t>
            </w:r>
          </w:p>
        </w:tc>
        <w:tc>
          <w:tcPr>
            <w:tcW w:w="1814" w:type="dxa"/>
            <w:vAlign w:val="center"/>
          </w:tcPr>
          <w:p w14:paraId="6B649A82" w14:textId="77777777" w:rsidR="00454A29" w:rsidRDefault="00454A29">
            <w:pPr>
              <w:pStyle w:val="ConsPlusNormal"/>
              <w:jc w:val="center"/>
            </w:pPr>
            <w:r>
              <w:t>132 101,22</w:t>
            </w:r>
          </w:p>
        </w:tc>
        <w:tc>
          <w:tcPr>
            <w:tcW w:w="1701" w:type="dxa"/>
            <w:vAlign w:val="center"/>
          </w:tcPr>
          <w:p w14:paraId="0D8851B5" w14:textId="77777777" w:rsidR="00454A29" w:rsidRDefault="00454A29">
            <w:pPr>
              <w:pStyle w:val="ConsPlusNormal"/>
            </w:pPr>
          </w:p>
        </w:tc>
        <w:tc>
          <w:tcPr>
            <w:tcW w:w="1701" w:type="dxa"/>
            <w:vAlign w:val="center"/>
          </w:tcPr>
          <w:p w14:paraId="41B3568F" w14:textId="77777777" w:rsidR="00454A29" w:rsidRDefault="00454A29">
            <w:pPr>
              <w:pStyle w:val="ConsPlusNormal"/>
            </w:pPr>
          </w:p>
        </w:tc>
        <w:tc>
          <w:tcPr>
            <w:tcW w:w="1814" w:type="dxa"/>
            <w:vAlign w:val="center"/>
          </w:tcPr>
          <w:p w14:paraId="180C8292" w14:textId="77777777" w:rsidR="00454A29" w:rsidRDefault="00454A29">
            <w:pPr>
              <w:pStyle w:val="ConsPlusNormal"/>
            </w:pPr>
          </w:p>
        </w:tc>
      </w:tr>
      <w:tr w:rsidR="00454A29" w14:paraId="00BD0D86" w14:textId="77777777">
        <w:tc>
          <w:tcPr>
            <w:tcW w:w="567" w:type="dxa"/>
            <w:vMerge/>
          </w:tcPr>
          <w:p w14:paraId="3451F12E" w14:textId="77777777" w:rsidR="00454A29" w:rsidRDefault="00454A29"/>
        </w:tc>
        <w:tc>
          <w:tcPr>
            <w:tcW w:w="3345" w:type="dxa"/>
            <w:vMerge/>
          </w:tcPr>
          <w:p w14:paraId="469E2FD4" w14:textId="77777777" w:rsidR="00454A29" w:rsidRDefault="00454A29"/>
        </w:tc>
        <w:tc>
          <w:tcPr>
            <w:tcW w:w="1701" w:type="dxa"/>
            <w:vAlign w:val="center"/>
          </w:tcPr>
          <w:p w14:paraId="3D9DA1BF" w14:textId="77777777" w:rsidR="00454A29" w:rsidRDefault="00454A29">
            <w:pPr>
              <w:pStyle w:val="ConsPlusNormal"/>
              <w:jc w:val="center"/>
            </w:pPr>
            <w:r>
              <w:t>2021</w:t>
            </w:r>
          </w:p>
        </w:tc>
        <w:tc>
          <w:tcPr>
            <w:tcW w:w="1417" w:type="dxa"/>
            <w:vMerge/>
          </w:tcPr>
          <w:p w14:paraId="6352EC09" w14:textId="77777777" w:rsidR="00454A29" w:rsidRDefault="00454A29"/>
        </w:tc>
        <w:tc>
          <w:tcPr>
            <w:tcW w:w="2204" w:type="dxa"/>
            <w:vMerge/>
          </w:tcPr>
          <w:p w14:paraId="7F35F254" w14:textId="77777777" w:rsidR="00454A29" w:rsidRDefault="00454A29"/>
        </w:tc>
        <w:tc>
          <w:tcPr>
            <w:tcW w:w="1417" w:type="dxa"/>
            <w:vMerge/>
          </w:tcPr>
          <w:p w14:paraId="539E7148" w14:textId="77777777" w:rsidR="00454A29" w:rsidRDefault="00454A29"/>
        </w:tc>
        <w:tc>
          <w:tcPr>
            <w:tcW w:w="2324" w:type="dxa"/>
            <w:vMerge/>
          </w:tcPr>
          <w:p w14:paraId="006CBF3C" w14:textId="77777777" w:rsidR="00454A29" w:rsidRDefault="00454A29"/>
        </w:tc>
        <w:tc>
          <w:tcPr>
            <w:tcW w:w="1701" w:type="dxa"/>
            <w:vAlign w:val="center"/>
          </w:tcPr>
          <w:p w14:paraId="66F11FBC" w14:textId="77777777" w:rsidR="00454A29" w:rsidRDefault="00454A29">
            <w:pPr>
              <w:pStyle w:val="ConsPlusNormal"/>
              <w:jc w:val="center"/>
            </w:pPr>
            <w:r>
              <w:t>158 236,19</w:t>
            </w:r>
          </w:p>
        </w:tc>
        <w:tc>
          <w:tcPr>
            <w:tcW w:w="1814" w:type="dxa"/>
            <w:vAlign w:val="center"/>
          </w:tcPr>
          <w:p w14:paraId="4B5B5F51" w14:textId="77777777" w:rsidR="00454A29" w:rsidRDefault="00454A29">
            <w:pPr>
              <w:pStyle w:val="ConsPlusNormal"/>
              <w:jc w:val="center"/>
            </w:pPr>
            <w:r>
              <w:t>158 236,19</w:t>
            </w:r>
          </w:p>
        </w:tc>
        <w:tc>
          <w:tcPr>
            <w:tcW w:w="1701" w:type="dxa"/>
            <w:vAlign w:val="center"/>
          </w:tcPr>
          <w:p w14:paraId="0B647A93" w14:textId="77777777" w:rsidR="00454A29" w:rsidRDefault="00454A29">
            <w:pPr>
              <w:pStyle w:val="ConsPlusNormal"/>
            </w:pPr>
          </w:p>
        </w:tc>
        <w:tc>
          <w:tcPr>
            <w:tcW w:w="1701" w:type="dxa"/>
            <w:vAlign w:val="center"/>
          </w:tcPr>
          <w:p w14:paraId="28BF0C35" w14:textId="77777777" w:rsidR="00454A29" w:rsidRDefault="00454A29">
            <w:pPr>
              <w:pStyle w:val="ConsPlusNormal"/>
            </w:pPr>
          </w:p>
        </w:tc>
        <w:tc>
          <w:tcPr>
            <w:tcW w:w="1814" w:type="dxa"/>
            <w:vAlign w:val="center"/>
          </w:tcPr>
          <w:p w14:paraId="44440693" w14:textId="77777777" w:rsidR="00454A29" w:rsidRDefault="00454A29">
            <w:pPr>
              <w:pStyle w:val="ConsPlusNormal"/>
            </w:pPr>
          </w:p>
        </w:tc>
      </w:tr>
      <w:tr w:rsidR="00454A29" w14:paraId="2B869C19" w14:textId="77777777">
        <w:tc>
          <w:tcPr>
            <w:tcW w:w="567" w:type="dxa"/>
            <w:vMerge/>
          </w:tcPr>
          <w:p w14:paraId="6FBC722B" w14:textId="77777777" w:rsidR="00454A29" w:rsidRDefault="00454A29"/>
        </w:tc>
        <w:tc>
          <w:tcPr>
            <w:tcW w:w="3345" w:type="dxa"/>
            <w:vMerge/>
          </w:tcPr>
          <w:p w14:paraId="2B74C712" w14:textId="77777777" w:rsidR="00454A29" w:rsidRDefault="00454A29"/>
        </w:tc>
        <w:tc>
          <w:tcPr>
            <w:tcW w:w="1701" w:type="dxa"/>
            <w:vAlign w:val="center"/>
          </w:tcPr>
          <w:p w14:paraId="3A05CEB0" w14:textId="77777777" w:rsidR="00454A29" w:rsidRDefault="00454A29">
            <w:pPr>
              <w:pStyle w:val="ConsPlusNormal"/>
              <w:jc w:val="center"/>
            </w:pPr>
            <w:r>
              <w:t>2022</w:t>
            </w:r>
          </w:p>
        </w:tc>
        <w:tc>
          <w:tcPr>
            <w:tcW w:w="1417" w:type="dxa"/>
            <w:vMerge/>
          </w:tcPr>
          <w:p w14:paraId="0BD704EA" w14:textId="77777777" w:rsidR="00454A29" w:rsidRDefault="00454A29"/>
        </w:tc>
        <w:tc>
          <w:tcPr>
            <w:tcW w:w="2204" w:type="dxa"/>
            <w:vMerge/>
          </w:tcPr>
          <w:p w14:paraId="52E449B7" w14:textId="77777777" w:rsidR="00454A29" w:rsidRDefault="00454A29"/>
        </w:tc>
        <w:tc>
          <w:tcPr>
            <w:tcW w:w="1417" w:type="dxa"/>
            <w:vMerge/>
          </w:tcPr>
          <w:p w14:paraId="1AECE0FA" w14:textId="77777777" w:rsidR="00454A29" w:rsidRDefault="00454A29"/>
        </w:tc>
        <w:tc>
          <w:tcPr>
            <w:tcW w:w="2324" w:type="dxa"/>
            <w:vMerge/>
          </w:tcPr>
          <w:p w14:paraId="0C7F9517" w14:textId="77777777" w:rsidR="00454A29" w:rsidRDefault="00454A29"/>
        </w:tc>
        <w:tc>
          <w:tcPr>
            <w:tcW w:w="1701" w:type="dxa"/>
            <w:vAlign w:val="center"/>
          </w:tcPr>
          <w:p w14:paraId="158744A9" w14:textId="77777777" w:rsidR="00454A29" w:rsidRDefault="00454A29">
            <w:pPr>
              <w:pStyle w:val="ConsPlusNormal"/>
            </w:pPr>
          </w:p>
        </w:tc>
        <w:tc>
          <w:tcPr>
            <w:tcW w:w="1814" w:type="dxa"/>
            <w:vAlign w:val="center"/>
          </w:tcPr>
          <w:p w14:paraId="0161CECE" w14:textId="77777777" w:rsidR="00454A29" w:rsidRDefault="00454A29">
            <w:pPr>
              <w:pStyle w:val="ConsPlusNormal"/>
            </w:pPr>
          </w:p>
        </w:tc>
        <w:tc>
          <w:tcPr>
            <w:tcW w:w="1701" w:type="dxa"/>
            <w:vAlign w:val="center"/>
          </w:tcPr>
          <w:p w14:paraId="20476C49" w14:textId="77777777" w:rsidR="00454A29" w:rsidRDefault="00454A29">
            <w:pPr>
              <w:pStyle w:val="ConsPlusNormal"/>
            </w:pPr>
          </w:p>
        </w:tc>
        <w:tc>
          <w:tcPr>
            <w:tcW w:w="1701" w:type="dxa"/>
            <w:vAlign w:val="center"/>
          </w:tcPr>
          <w:p w14:paraId="6F11EFE1" w14:textId="77777777" w:rsidR="00454A29" w:rsidRDefault="00454A29">
            <w:pPr>
              <w:pStyle w:val="ConsPlusNormal"/>
            </w:pPr>
          </w:p>
        </w:tc>
        <w:tc>
          <w:tcPr>
            <w:tcW w:w="1814" w:type="dxa"/>
            <w:vAlign w:val="center"/>
          </w:tcPr>
          <w:p w14:paraId="1E2C7B65" w14:textId="77777777" w:rsidR="00454A29" w:rsidRDefault="00454A29">
            <w:pPr>
              <w:pStyle w:val="ConsPlusNormal"/>
            </w:pPr>
          </w:p>
        </w:tc>
      </w:tr>
      <w:tr w:rsidR="00454A29" w14:paraId="7950638D" w14:textId="77777777">
        <w:tc>
          <w:tcPr>
            <w:tcW w:w="567" w:type="dxa"/>
            <w:vMerge/>
          </w:tcPr>
          <w:p w14:paraId="661F2CB8" w14:textId="77777777" w:rsidR="00454A29" w:rsidRDefault="00454A29"/>
        </w:tc>
        <w:tc>
          <w:tcPr>
            <w:tcW w:w="3345" w:type="dxa"/>
            <w:vMerge/>
          </w:tcPr>
          <w:p w14:paraId="55036D2D" w14:textId="77777777" w:rsidR="00454A29" w:rsidRDefault="00454A29"/>
        </w:tc>
        <w:tc>
          <w:tcPr>
            <w:tcW w:w="1701" w:type="dxa"/>
            <w:vAlign w:val="center"/>
          </w:tcPr>
          <w:p w14:paraId="7F804B7C" w14:textId="77777777" w:rsidR="00454A29" w:rsidRDefault="00454A29">
            <w:pPr>
              <w:pStyle w:val="ConsPlusNormal"/>
              <w:jc w:val="center"/>
            </w:pPr>
            <w:r>
              <w:t>2023</w:t>
            </w:r>
          </w:p>
        </w:tc>
        <w:tc>
          <w:tcPr>
            <w:tcW w:w="1417" w:type="dxa"/>
            <w:vMerge/>
          </w:tcPr>
          <w:p w14:paraId="77DCC2B6" w14:textId="77777777" w:rsidR="00454A29" w:rsidRDefault="00454A29"/>
        </w:tc>
        <w:tc>
          <w:tcPr>
            <w:tcW w:w="2204" w:type="dxa"/>
            <w:vMerge/>
          </w:tcPr>
          <w:p w14:paraId="6B26CB42" w14:textId="77777777" w:rsidR="00454A29" w:rsidRDefault="00454A29"/>
        </w:tc>
        <w:tc>
          <w:tcPr>
            <w:tcW w:w="1417" w:type="dxa"/>
            <w:vMerge/>
          </w:tcPr>
          <w:p w14:paraId="4A5088A7" w14:textId="77777777" w:rsidR="00454A29" w:rsidRDefault="00454A29"/>
        </w:tc>
        <w:tc>
          <w:tcPr>
            <w:tcW w:w="2324" w:type="dxa"/>
            <w:vMerge/>
          </w:tcPr>
          <w:p w14:paraId="0E975B3E" w14:textId="77777777" w:rsidR="00454A29" w:rsidRDefault="00454A29"/>
        </w:tc>
        <w:tc>
          <w:tcPr>
            <w:tcW w:w="1701" w:type="dxa"/>
            <w:vAlign w:val="center"/>
          </w:tcPr>
          <w:p w14:paraId="5F941491" w14:textId="77777777" w:rsidR="00454A29" w:rsidRDefault="00454A29">
            <w:pPr>
              <w:pStyle w:val="ConsPlusNormal"/>
            </w:pPr>
          </w:p>
        </w:tc>
        <w:tc>
          <w:tcPr>
            <w:tcW w:w="1814" w:type="dxa"/>
            <w:vAlign w:val="center"/>
          </w:tcPr>
          <w:p w14:paraId="4EE5DD9C" w14:textId="77777777" w:rsidR="00454A29" w:rsidRDefault="00454A29">
            <w:pPr>
              <w:pStyle w:val="ConsPlusNormal"/>
            </w:pPr>
          </w:p>
        </w:tc>
        <w:tc>
          <w:tcPr>
            <w:tcW w:w="1701" w:type="dxa"/>
            <w:vAlign w:val="center"/>
          </w:tcPr>
          <w:p w14:paraId="637388D4" w14:textId="77777777" w:rsidR="00454A29" w:rsidRDefault="00454A29">
            <w:pPr>
              <w:pStyle w:val="ConsPlusNormal"/>
            </w:pPr>
          </w:p>
        </w:tc>
        <w:tc>
          <w:tcPr>
            <w:tcW w:w="1701" w:type="dxa"/>
            <w:vAlign w:val="center"/>
          </w:tcPr>
          <w:p w14:paraId="62552114" w14:textId="77777777" w:rsidR="00454A29" w:rsidRDefault="00454A29">
            <w:pPr>
              <w:pStyle w:val="ConsPlusNormal"/>
            </w:pPr>
          </w:p>
        </w:tc>
        <w:tc>
          <w:tcPr>
            <w:tcW w:w="1814" w:type="dxa"/>
            <w:vAlign w:val="center"/>
          </w:tcPr>
          <w:p w14:paraId="76E2E3F7" w14:textId="77777777" w:rsidR="00454A29" w:rsidRDefault="00454A29">
            <w:pPr>
              <w:pStyle w:val="ConsPlusNormal"/>
            </w:pPr>
          </w:p>
        </w:tc>
      </w:tr>
      <w:tr w:rsidR="00454A29" w14:paraId="31715731" w14:textId="77777777">
        <w:tc>
          <w:tcPr>
            <w:tcW w:w="567" w:type="dxa"/>
            <w:vMerge/>
          </w:tcPr>
          <w:p w14:paraId="1C081CEC" w14:textId="77777777" w:rsidR="00454A29" w:rsidRDefault="00454A29"/>
        </w:tc>
        <w:tc>
          <w:tcPr>
            <w:tcW w:w="3345" w:type="dxa"/>
            <w:vMerge/>
          </w:tcPr>
          <w:p w14:paraId="7E4A5795" w14:textId="77777777" w:rsidR="00454A29" w:rsidRDefault="00454A29"/>
        </w:tc>
        <w:tc>
          <w:tcPr>
            <w:tcW w:w="1701" w:type="dxa"/>
            <w:vAlign w:val="center"/>
          </w:tcPr>
          <w:p w14:paraId="050EE4C5" w14:textId="77777777" w:rsidR="00454A29" w:rsidRDefault="00454A29">
            <w:pPr>
              <w:pStyle w:val="ConsPlusNormal"/>
              <w:jc w:val="center"/>
            </w:pPr>
            <w:r>
              <w:t>2024</w:t>
            </w:r>
          </w:p>
        </w:tc>
        <w:tc>
          <w:tcPr>
            <w:tcW w:w="1417" w:type="dxa"/>
            <w:vMerge/>
          </w:tcPr>
          <w:p w14:paraId="276B13F0" w14:textId="77777777" w:rsidR="00454A29" w:rsidRDefault="00454A29"/>
        </w:tc>
        <w:tc>
          <w:tcPr>
            <w:tcW w:w="2204" w:type="dxa"/>
            <w:vMerge/>
          </w:tcPr>
          <w:p w14:paraId="51E8A4C5" w14:textId="77777777" w:rsidR="00454A29" w:rsidRDefault="00454A29"/>
        </w:tc>
        <w:tc>
          <w:tcPr>
            <w:tcW w:w="1417" w:type="dxa"/>
            <w:vMerge/>
          </w:tcPr>
          <w:p w14:paraId="6505F773" w14:textId="77777777" w:rsidR="00454A29" w:rsidRDefault="00454A29"/>
        </w:tc>
        <w:tc>
          <w:tcPr>
            <w:tcW w:w="2324" w:type="dxa"/>
            <w:vMerge/>
          </w:tcPr>
          <w:p w14:paraId="30F2E779" w14:textId="77777777" w:rsidR="00454A29" w:rsidRDefault="00454A29"/>
        </w:tc>
        <w:tc>
          <w:tcPr>
            <w:tcW w:w="1701" w:type="dxa"/>
            <w:vAlign w:val="center"/>
          </w:tcPr>
          <w:p w14:paraId="71A6C7A0" w14:textId="77777777" w:rsidR="00454A29" w:rsidRDefault="00454A29">
            <w:pPr>
              <w:pStyle w:val="ConsPlusNormal"/>
            </w:pPr>
          </w:p>
        </w:tc>
        <w:tc>
          <w:tcPr>
            <w:tcW w:w="1814" w:type="dxa"/>
            <w:vAlign w:val="center"/>
          </w:tcPr>
          <w:p w14:paraId="26452795" w14:textId="77777777" w:rsidR="00454A29" w:rsidRDefault="00454A29">
            <w:pPr>
              <w:pStyle w:val="ConsPlusNormal"/>
            </w:pPr>
          </w:p>
        </w:tc>
        <w:tc>
          <w:tcPr>
            <w:tcW w:w="1701" w:type="dxa"/>
            <w:vAlign w:val="center"/>
          </w:tcPr>
          <w:p w14:paraId="460C4CAE" w14:textId="77777777" w:rsidR="00454A29" w:rsidRDefault="00454A29">
            <w:pPr>
              <w:pStyle w:val="ConsPlusNormal"/>
            </w:pPr>
          </w:p>
        </w:tc>
        <w:tc>
          <w:tcPr>
            <w:tcW w:w="1701" w:type="dxa"/>
            <w:vAlign w:val="center"/>
          </w:tcPr>
          <w:p w14:paraId="60E688F9" w14:textId="77777777" w:rsidR="00454A29" w:rsidRDefault="00454A29">
            <w:pPr>
              <w:pStyle w:val="ConsPlusNormal"/>
            </w:pPr>
          </w:p>
        </w:tc>
        <w:tc>
          <w:tcPr>
            <w:tcW w:w="1814" w:type="dxa"/>
            <w:vAlign w:val="center"/>
          </w:tcPr>
          <w:p w14:paraId="0721A987" w14:textId="77777777" w:rsidR="00454A29" w:rsidRDefault="00454A29">
            <w:pPr>
              <w:pStyle w:val="ConsPlusNormal"/>
            </w:pPr>
          </w:p>
        </w:tc>
      </w:tr>
      <w:tr w:rsidR="00454A29" w14:paraId="5BCA6917" w14:textId="77777777">
        <w:tc>
          <w:tcPr>
            <w:tcW w:w="567" w:type="dxa"/>
            <w:vMerge/>
          </w:tcPr>
          <w:p w14:paraId="642AC0A6" w14:textId="77777777" w:rsidR="00454A29" w:rsidRDefault="00454A29"/>
        </w:tc>
        <w:tc>
          <w:tcPr>
            <w:tcW w:w="3345" w:type="dxa"/>
            <w:vMerge/>
          </w:tcPr>
          <w:p w14:paraId="572D95F1" w14:textId="77777777" w:rsidR="00454A29" w:rsidRDefault="00454A29"/>
        </w:tc>
        <w:tc>
          <w:tcPr>
            <w:tcW w:w="1701" w:type="dxa"/>
            <w:vAlign w:val="center"/>
          </w:tcPr>
          <w:p w14:paraId="0ADE1F23" w14:textId="77777777" w:rsidR="00454A29" w:rsidRDefault="00454A29">
            <w:pPr>
              <w:pStyle w:val="ConsPlusNormal"/>
              <w:jc w:val="center"/>
            </w:pPr>
            <w:r>
              <w:t>2025</w:t>
            </w:r>
          </w:p>
        </w:tc>
        <w:tc>
          <w:tcPr>
            <w:tcW w:w="1417" w:type="dxa"/>
            <w:vMerge/>
          </w:tcPr>
          <w:p w14:paraId="065D3A5D" w14:textId="77777777" w:rsidR="00454A29" w:rsidRDefault="00454A29"/>
        </w:tc>
        <w:tc>
          <w:tcPr>
            <w:tcW w:w="2204" w:type="dxa"/>
            <w:vMerge/>
          </w:tcPr>
          <w:p w14:paraId="4194C18D" w14:textId="77777777" w:rsidR="00454A29" w:rsidRDefault="00454A29"/>
        </w:tc>
        <w:tc>
          <w:tcPr>
            <w:tcW w:w="1417" w:type="dxa"/>
            <w:vMerge/>
          </w:tcPr>
          <w:p w14:paraId="02D207CE" w14:textId="77777777" w:rsidR="00454A29" w:rsidRDefault="00454A29"/>
        </w:tc>
        <w:tc>
          <w:tcPr>
            <w:tcW w:w="2324" w:type="dxa"/>
            <w:vMerge/>
          </w:tcPr>
          <w:p w14:paraId="4E822B8C" w14:textId="77777777" w:rsidR="00454A29" w:rsidRDefault="00454A29"/>
        </w:tc>
        <w:tc>
          <w:tcPr>
            <w:tcW w:w="1701" w:type="dxa"/>
            <w:vAlign w:val="center"/>
          </w:tcPr>
          <w:p w14:paraId="72CD7F29" w14:textId="77777777" w:rsidR="00454A29" w:rsidRDefault="00454A29">
            <w:pPr>
              <w:pStyle w:val="ConsPlusNormal"/>
            </w:pPr>
          </w:p>
        </w:tc>
        <w:tc>
          <w:tcPr>
            <w:tcW w:w="1814" w:type="dxa"/>
            <w:vAlign w:val="center"/>
          </w:tcPr>
          <w:p w14:paraId="50944EEA" w14:textId="77777777" w:rsidR="00454A29" w:rsidRDefault="00454A29">
            <w:pPr>
              <w:pStyle w:val="ConsPlusNormal"/>
            </w:pPr>
          </w:p>
        </w:tc>
        <w:tc>
          <w:tcPr>
            <w:tcW w:w="1701" w:type="dxa"/>
            <w:vAlign w:val="center"/>
          </w:tcPr>
          <w:p w14:paraId="64A44D22" w14:textId="77777777" w:rsidR="00454A29" w:rsidRDefault="00454A29">
            <w:pPr>
              <w:pStyle w:val="ConsPlusNormal"/>
            </w:pPr>
          </w:p>
        </w:tc>
        <w:tc>
          <w:tcPr>
            <w:tcW w:w="1701" w:type="dxa"/>
            <w:vAlign w:val="center"/>
          </w:tcPr>
          <w:p w14:paraId="0E30014C" w14:textId="77777777" w:rsidR="00454A29" w:rsidRDefault="00454A29">
            <w:pPr>
              <w:pStyle w:val="ConsPlusNormal"/>
            </w:pPr>
          </w:p>
        </w:tc>
        <w:tc>
          <w:tcPr>
            <w:tcW w:w="1814" w:type="dxa"/>
            <w:vAlign w:val="center"/>
          </w:tcPr>
          <w:p w14:paraId="62AE8252" w14:textId="77777777" w:rsidR="00454A29" w:rsidRDefault="00454A29">
            <w:pPr>
              <w:pStyle w:val="ConsPlusNormal"/>
            </w:pPr>
          </w:p>
        </w:tc>
      </w:tr>
      <w:tr w:rsidR="00454A29" w14:paraId="1C8A0A29" w14:textId="77777777">
        <w:tc>
          <w:tcPr>
            <w:tcW w:w="567" w:type="dxa"/>
            <w:vMerge/>
          </w:tcPr>
          <w:p w14:paraId="7F2E875F" w14:textId="77777777" w:rsidR="00454A29" w:rsidRDefault="00454A29"/>
        </w:tc>
        <w:tc>
          <w:tcPr>
            <w:tcW w:w="3345" w:type="dxa"/>
            <w:vMerge/>
          </w:tcPr>
          <w:p w14:paraId="370C368E" w14:textId="77777777" w:rsidR="00454A29" w:rsidRDefault="00454A29"/>
        </w:tc>
        <w:tc>
          <w:tcPr>
            <w:tcW w:w="1701" w:type="dxa"/>
            <w:vAlign w:val="center"/>
          </w:tcPr>
          <w:p w14:paraId="6A95C6EA" w14:textId="77777777" w:rsidR="00454A29" w:rsidRDefault="00454A29">
            <w:pPr>
              <w:pStyle w:val="ConsPlusNormal"/>
              <w:jc w:val="center"/>
            </w:pPr>
            <w:r>
              <w:t>2026</w:t>
            </w:r>
          </w:p>
        </w:tc>
        <w:tc>
          <w:tcPr>
            <w:tcW w:w="1417" w:type="dxa"/>
            <w:vMerge/>
          </w:tcPr>
          <w:p w14:paraId="0EFCFD57" w14:textId="77777777" w:rsidR="00454A29" w:rsidRDefault="00454A29"/>
        </w:tc>
        <w:tc>
          <w:tcPr>
            <w:tcW w:w="2204" w:type="dxa"/>
            <w:vMerge/>
          </w:tcPr>
          <w:p w14:paraId="1A8FAF86" w14:textId="77777777" w:rsidR="00454A29" w:rsidRDefault="00454A29"/>
        </w:tc>
        <w:tc>
          <w:tcPr>
            <w:tcW w:w="1417" w:type="dxa"/>
            <w:vMerge/>
          </w:tcPr>
          <w:p w14:paraId="154D7502" w14:textId="77777777" w:rsidR="00454A29" w:rsidRDefault="00454A29"/>
        </w:tc>
        <w:tc>
          <w:tcPr>
            <w:tcW w:w="2324" w:type="dxa"/>
            <w:vMerge/>
          </w:tcPr>
          <w:p w14:paraId="578E9296" w14:textId="77777777" w:rsidR="00454A29" w:rsidRDefault="00454A29"/>
        </w:tc>
        <w:tc>
          <w:tcPr>
            <w:tcW w:w="1701" w:type="dxa"/>
            <w:vAlign w:val="center"/>
          </w:tcPr>
          <w:p w14:paraId="139A5B90" w14:textId="77777777" w:rsidR="00454A29" w:rsidRDefault="00454A29">
            <w:pPr>
              <w:pStyle w:val="ConsPlusNormal"/>
            </w:pPr>
          </w:p>
        </w:tc>
        <w:tc>
          <w:tcPr>
            <w:tcW w:w="1814" w:type="dxa"/>
            <w:vAlign w:val="center"/>
          </w:tcPr>
          <w:p w14:paraId="23B75956" w14:textId="77777777" w:rsidR="00454A29" w:rsidRDefault="00454A29">
            <w:pPr>
              <w:pStyle w:val="ConsPlusNormal"/>
            </w:pPr>
          </w:p>
        </w:tc>
        <w:tc>
          <w:tcPr>
            <w:tcW w:w="1701" w:type="dxa"/>
            <w:vAlign w:val="center"/>
          </w:tcPr>
          <w:p w14:paraId="4BEB10A8" w14:textId="77777777" w:rsidR="00454A29" w:rsidRDefault="00454A29">
            <w:pPr>
              <w:pStyle w:val="ConsPlusNormal"/>
            </w:pPr>
          </w:p>
        </w:tc>
        <w:tc>
          <w:tcPr>
            <w:tcW w:w="1701" w:type="dxa"/>
            <w:vAlign w:val="center"/>
          </w:tcPr>
          <w:p w14:paraId="13EAE3C3" w14:textId="77777777" w:rsidR="00454A29" w:rsidRDefault="00454A29">
            <w:pPr>
              <w:pStyle w:val="ConsPlusNormal"/>
            </w:pPr>
          </w:p>
        </w:tc>
        <w:tc>
          <w:tcPr>
            <w:tcW w:w="1814" w:type="dxa"/>
            <w:vAlign w:val="center"/>
          </w:tcPr>
          <w:p w14:paraId="35306471" w14:textId="77777777" w:rsidR="00454A29" w:rsidRDefault="00454A29">
            <w:pPr>
              <w:pStyle w:val="ConsPlusNormal"/>
            </w:pPr>
          </w:p>
        </w:tc>
      </w:tr>
      <w:tr w:rsidR="00454A29" w14:paraId="0359B15A" w14:textId="77777777">
        <w:tc>
          <w:tcPr>
            <w:tcW w:w="567" w:type="dxa"/>
            <w:vMerge w:val="restart"/>
            <w:vAlign w:val="center"/>
          </w:tcPr>
          <w:p w14:paraId="76B488D4" w14:textId="77777777" w:rsidR="00454A29" w:rsidRDefault="00454A29">
            <w:pPr>
              <w:pStyle w:val="ConsPlusNormal"/>
              <w:jc w:val="center"/>
            </w:pPr>
            <w:r>
              <w:t>127</w:t>
            </w:r>
          </w:p>
        </w:tc>
        <w:tc>
          <w:tcPr>
            <w:tcW w:w="3345" w:type="dxa"/>
            <w:vMerge w:val="restart"/>
            <w:vAlign w:val="center"/>
          </w:tcPr>
          <w:p w14:paraId="06F2273A" w14:textId="77777777" w:rsidR="00454A29" w:rsidRDefault="00454A29">
            <w:pPr>
              <w:pStyle w:val="ConsPlusNormal"/>
              <w:jc w:val="center"/>
            </w:pPr>
            <w:r>
              <w:t>Муниципальная школа-сад на 75 учащихся с. Даайа-Амгата, МО "Дая-Амгинский наслег"</w:t>
            </w:r>
          </w:p>
        </w:tc>
        <w:tc>
          <w:tcPr>
            <w:tcW w:w="1701" w:type="dxa"/>
            <w:vAlign w:val="center"/>
          </w:tcPr>
          <w:p w14:paraId="12D79971" w14:textId="77777777" w:rsidR="00454A29" w:rsidRDefault="00454A29">
            <w:pPr>
              <w:pStyle w:val="ConsPlusNormal"/>
              <w:jc w:val="center"/>
            </w:pPr>
            <w:r>
              <w:t>2020 - 2026 годы - всего</w:t>
            </w:r>
          </w:p>
        </w:tc>
        <w:tc>
          <w:tcPr>
            <w:tcW w:w="1417" w:type="dxa"/>
            <w:vMerge w:val="restart"/>
            <w:vAlign w:val="center"/>
          </w:tcPr>
          <w:p w14:paraId="74262E75" w14:textId="77777777" w:rsidR="00454A29" w:rsidRDefault="00454A29">
            <w:pPr>
              <w:pStyle w:val="ConsPlusNormal"/>
              <w:jc w:val="center"/>
            </w:pPr>
            <w:r>
              <w:t>275 868,39</w:t>
            </w:r>
          </w:p>
        </w:tc>
        <w:tc>
          <w:tcPr>
            <w:tcW w:w="2204" w:type="dxa"/>
            <w:vMerge w:val="restart"/>
            <w:vAlign w:val="center"/>
          </w:tcPr>
          <w:p w14:paraId="77D1375C" w14:textId="77777777" w:rsidR="00454A29" w:rsidRDefault="00454A29">
            <w:pPr>
              <w:pStyle w:val="ConsPlusNormal"/>
            </w:pPr>
          </w:p>
        </w:tc>
        <w:tc>
          <w:tcPr>
            <w:tcW w:w="1417" w:type="dxa"/>
            <w:vMerge w:val="restart"/>
            <w:vAlign w:val="center"/>
          </w:tcPr>
          <w:p w14:paraId="3045C42D" w14:textId="77777777" w:rsidR="00454A29" w:rsidRDefault="00454A29">
            <w:pPr>
              <w:pStyle w:val="ConsPlusNormal"/>
              <w:jc w:val="center"/>
            </w:pPr>
            <w:r>
              <w:t>75</w:t>
            </w:r>
          </w:p>
        </w:tc>
        <w:tc>
          <w:tcPr>
            <w:tcW w:w="2324" w:type="dxa"/>
            <w:vMerge w:val="restart"/>
            <w:vAlign w:val="center"/>
          </w:tcPr>
          <w:p w14:paraId="7F83C0A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C827306" w14:textId="77777777" w:rsidR="00454A29" w:rsidRDefault="00454A29">
            <w:pPr>
              <w:pStyle w:val="ConsPlusNormal"/>
              <w:jc w:val="center"/>
            </w:pPr>
            <w:r>
              <w:t>275 868,39</w:t>
            </w:r>
          </w:p>
        </w:tc>
        <w:tc>
          <w:tcPr>
            <w:tcW w:w="1814" w:type="dxa"/>
            <w:vAlign w:val="center"/>
          </w:tcPr>
          <w:p w14:paraId="33839B66" w14:textId="77777777" w:rsidR="00454A29" w:rsidRDefault="00454A29">
            <w:pPr>
              <w:pStyle w:val="ConsPlusNormal"/>
              <w:jc w:val="center"/>
            </w:pPr>
            <w:r>
              <w:t>3 489,74</w:t>
            </w:r>
          </w:p>
        </w:tc>
        <w:tc>
          <w:tcPr>
            <w:tcW w:w="1701" w:type="dxa"/>
            <w:vAlign w:val="center"/>
          </w:tcPr>
          <w:p w14:paraId="5AED7963" w14:textId="77777777" w:rsidR="00454A29" w:rsidRDefault="00454A29">
            <w:pPr>
              <w:pStyle w:val="ConsPlusNormal"/>
              <w:jc w:val="center"/>
            </w:pPr>
            <w:r>
              <w:t>345 483,78</w:t>
            </w:r>
          </w:p>
        </w:tc>
        <w:tc>
          <w:tcPr>
            <w:tcW w:w="1701" w:type="dxa"/>
            <w:vAlign w:val="center"/>
          </w:tcPr>
          <w:p w14:paraId="6356A2EE" w14:textId="77777777" w:rsidR="00454A29" w:rsidRDefault="00454A29">
            <w:pPr>
              <w:pStyle w:val="ConsPlusNormal"/>
              <w:jc w:val="center"/>
            </w:pPr>
            <w:r>
              <w:t>-</w:t>
            </w:r>
          </w:p>
        </w:tc>
        <w:tc>
          <w:tcPr>
            <w:tcW w:w="1814" w:type="dxa"/>
            <w:vAlign w:val="center"/>
          </w:tcPr>
          <w:p w14:paraId="0DB567BF" w14:textId="77777777" w:rsidR="00454A29" w:rsidRDefault="00454A29">
            <w:pPr>
              <w:pStyle w:val="ConsPlusNormal"/>
              <w:jc w:val="center"/>
            </w:pPr>
            <w:r>
              <w:t>-</w:t>
            </w:r>
          </w:p>
        </w:tc>
      </w:tr>
      <w:tr w:rsidR="00454A29" w14:paraId="1C5E7026" w14:textId="77777777">
        <w:tc>
          <w:tcPr>
            <w:tcW w:w="567" w:type="dxa"/>
            <w:vMerge/>
          </w:tcPr>
          <w:p w14:paraId="22F58E8E" w14:textId="77777777" w:rsidR="00454A29" w:rsidRDefault="00454A29"/>
        </w:tc>
        <w:tc>
          <w:tcPr>
            <w:tcW w:w="3345" w:type="dxa"/>
            <w:vMerge/>
          </w:tcPr>
          <w:p w14:paraId="416AB4A7" w14:textId="77777777" w:rsidR="00454A29" w:rsidRDefault="00454A29"/>
        </w:tc>
        <w:tc>
          <w:tcPr>
            <w:tcW w:w="1701" w:type="dxa"/>
            <w:vAlign w:val="center"/>
          </w:tcPr>
          <w:p w14:paraId="35A1470E" w14:textId="77777777" w:rsidR="00454A29" w:rsidRDefault="00454A29">
            <w:pPr>
              <w:pStyle w:val="ConsPlusNormal"/>
              <w:jc w:val="center"/>
            </w:pPr>
            <w:r>
              <w:t>2020</w:t>
            </w:r>
          </w:p>
        </w:tc>
        <w:tc>
          <w:tcPr>
            <w:tcW w:w="1417" w:type="dxa"/>
            <w:vMerge/>
          </w:tcPr>
          <w:p w14:paraId="072FBC81" w14:textId="77777777" w:rsidR="00454A29" w:rsidRDefault="00454A29"/>
        </w:tc>
        <w:tc>
          <w:tcPr>
            <w:tcW w:w="2204" w:type="dxa"/>
            <w:vMerge/>
          </w:tcPr>
          <w:p w14:paraId="4D5F613A" w14:textId="77777777" w:rsidR="00454A29" w:rsidRDefault="00454A29"/>
        </w:tc>
        <w:tc>
          <w:tcPr>
            <w:tcW w:w="1417" w:type="dxa"/>
            <w:vMerge/>
          </w:tcPr>
          <w:p w14:paraId="5F21C908" w14:textId="77777777" w:rsidR="00454A29" w:rsidRDefault="00454A29"/>
        </w:tc>
        <w:tc>
          <w:tcPr>
            <w:tcW w:w="2324" w:type="dxa"/>
            <w:vMerge/>
          </w:tcPr>
          <w:p w14:paraId="2E2A2561" w14:textId="77777777" w:rsidR="00454A29" w:rsidRDefault="00454A29"/>
        </w:tc>
        <w:tc>
          <w:tcPr>
            <w:tcW w:w="1701" w:type="dxa"/>
            <w:vAlign w:val="center"/>
          </w:tcPr>
          <w:p w14:paraId="21E8BC2D" w14:textId="77777777" w:rsidR="00454A29" w:rsidRDefault="00454A29">
            <w:pPr>
              <w:pStyle w:val="ConsPlusNormal"/>
            </w:pPr>
          </w:p>
        </w:tc>
        <w:tc>
          <w:tcPr>
            <w:tcW w:w="1814" w:type="dxa"/>
            <w:vAlign w:val="center"/>
          </w:tcPr>
          <w:p w14:paraId="7887DE30" w14:textId="77777777" w:rsidR="00454A29" w:rsidRDefault="00454A29">
            <w:pPr>
              <w:pStyle w:val="ConsPlusNormal"/>
            </w:pPr>
          </w:p>
        </w:tc>
        <w:tc>
          <w:tcPr>
            <w:tcW w:w="1701" w:type="dxa"/>
            <w:vAlign w:val="center"/>
          </w:tcPr>
          <w:p w14:paraId="0F63E175" w14:textId="77777777" w:rsidR="00454A29" w:rsidRDefault="00454A29">
            <w:pPr>
              <w:pStyle w:val="ConsPlusNormal"/>
            </w:pPr>
          </w:p>
        </w:tc>
        <w:tc>
          <w:tcPr>
            <w:tcW w:w="1701" w:type="dxa"/>
            <w:vAlign w:val="center"/>
          </w:tcPr>
          <w:p w14:paraId="05CD0F76" w14:textId="77777777" w:rsidR="00454A29" w:rsidRDefault="00454A29">
            <w:pPr>
              <w:pStyle w:val="ConsPlusNormal"/>
            </w:pPr>
          </w:p>
        </w:tc>
        <w:tc>
          <w:tcPr>
            <w:tcW w:w="1814" w:type="dxa"/>
            <w:vAlign w:val="center"/>
          </w:tcPr>
          <w:p w14:paraId="26D6E00F" w14:textId="77777777" w:rsidR="00454A29" w:rsidRDefault="00454A29">
            <w:pPr>
              <w:pStyle w:val="ConsPlusNormal"/>
            </w:pPr>
          </w:p>
        </w:tc>
      </w:tr>
      <w:tr w:rsidR="00454A29" w14:paraId="2A9F392E" w14:textId="77777777">
        <w:tc>
          <w:tcPr>
            <w:tcW w:w="567" w:type="dxa"/>
            <w:vMerge/>
          </w:tcPr>
          <w:p w14:paraId="6E012D54" w14:textId="77777777" w:rsidR="00454A29" w:rsidRDefault="00454A29"/>
        </w:tc>
        <w:tc>
          <w:tcPr>
            <w:tcW w:w="3345" w:type="dxa"/>
            <w:vMerge/>
          </w:tcPr>
          <w:p w14:paraId="3E34F351" w14:textId="77777777" w:rsidR="00454A29" w:rsidRDefault="00454A29"/>
        </w:tc>
        <w:tc>
          <w:tcPr>
            <w:tcW w:w="1701" w:type="dxa"/>
            <w:vAlign w:val="center"/>
          </w:tcPr>
          <w:p w14:paraId="10673163" w14:textId="77777777" w:rsidR="00454A29" w:rsidRDefault="00454A29">
            <w:pPr>
              <w:pStyle w:val="ConsPlusNormal"/>
              <w:jc w:val="center"/>
            </w:pPr>
            <w:r>
              <w:t>2021</w:t>
            </w:r>
          </w:p>
        </w:tc>
        <w:tc>
          <w:tcPr>
            <w:tcW w:w="1417" w:type="dxa"/>
            <w:vMerge/>
          </w:tcPr>
          <w:p w14:paraId="61DE56F7" w14:textId="77777777" w:rsidR="00454A29" w:rsidRDefault="00454A29"/>
        </w:tc>
        <w:tc>
          <w:tcPr>
            <w:tcW w:w="2204" w:type="dxa"/>
            <w:vMerge/>
          </w:tcPr>
          <w:p w14:paraId="29BB1DD2" w14:textId="77777777" w:rsidR="00454A29" w:rsidRDefault="00454A29"/>
        </w:tc>
        <w:tc>
          <w:tcPr>
            <w:tcW w:w="1417" w:type="dxa"/>
            <w:vMerge/>
          </w:tcPr>
          <w:p w14:paraId="0A73BDD6" w14:textId="77777777" w:rsidR="00454A29" w:rsidRDefault="00454A29"/>
        </w:tc>
        <w:tc>
          <w:tcPr>
            <w:tcW w:w="2324" w:type="dxa"/>
            <w:vMerge/>
          </w:tcPr>
          <w:p w14:paraId="1546653B" w14:textId="77777777" w:rsidR="00454A29" w:rsidRDefault="00454A29"/>
        </w:tc>
        <w:tc>
          <w:tcPr>
            <w:tcW w:w="1701" w:type="dxa"/>
            <w:vAlign w:val="center"/>
          </w:tcPr>
          <w:p w14:paraId="48A63B89" w14:textId="77777777" w:rsidR="00454A29" w:rsidRDefault="00454A29">
            <w:pPr>
              <w:pStyle w:val="ConsPlusNormal"/>
            </w:pPr>
          </w:p>
        </w:tc>
        <w:tc>
          <w:tcPr>
            <w:tcW w:w="1814" w:type="dxa"/>
            <w:vAlign w:val="center"/>
          </w:tcPr>
          <w:p w14:paraId="2C46CBF7" w14:textId="77777777" w:rsidR="00454A29" w:rsidRDefault="00454A29">
            <w:pPr>
              <w:pStyle w:val="ConsPlusNormal"/>
            </w:pPr>
          </w:p>
        </w:tc>
        <w:tc>
          <w:tcPr>
            <w:tcW w:w="1701" w:type="dxa"/>
            <w:vAlign w:val="center"/>
          </w:tcPr>
          <w:p w14:paraId="330B8A5D" w14:textId="77777777" w:rsidR="00454A29" w:rsidRDefault="00454A29">
            <w:pPr>
              <w:pStyle w:val="ConsPlusNormal"/>
            </w:pPr>
          </w:p>
        </w:tc>
        <w:tc>
          <w:tcPr>
            <w:tcW w:w="1701" w:type="dxa"/>
            <w:vAlign w:val="center"/>
          </w:tcPr>
          <w:p w14:paraId="5CC7DE23" w14:textId="77777777" w:rsidR="00454A29" w:rsidRDefault="00454A29">
            <w:pPr>
              <w:pStyle w:val="ConsPlusNormal"/>
            </w:pPr>
          </w:p>
        </w:tc>
        <w:tc>
          <w:tcPr>
            <w:tcW w:w="1814" w:type="dxa"/>
            <w:vAlign w:val="center"/>
          </w:tcPr>
          <w:p w14:paraId="7AA1C212" w14:textId="77777777" w:rsidR="00454A29" w:rsidRDefault="00454A29">
            <w:pPr>
              <w:pStyle w:val="ConsPlusNormal"/>
            </w:pPr>
          </w:p>
        </w:tc>
      </w:tr>
      <w:tr w:rsidR="00454A29" w14:paraId="484E740A" w14:textId="77777777">
        <w:tc>
          <w:tcPr>
            <w:tcW w:w="567" w:type="dxa"/>
            <w:vMerge/>
          </w:tcPr>
          <w:p w14:paraId="3961714E" w14:textId="77777777" w:rsidR="00454A29" w:rsidRDefault="00454A29"/>
        </w:tc>
        <w:tc>
          <w:tcPr>
            <w:tcW w:w="3345" w:type="dxa"/>
            <w:vMerge/>
          </w:tcPr>
          <w:p w14:paraId="6A447DC6" w14:textId="77777777" w:rsidR="00454A29" w:rsidRDefault="00454A29"/>
        </w:tc>
        <w:tc>
          <w:tcPr>
            <w:tcW w:w="1701" w:type="dxa"/>
            <w:vAlign w:val="center"/>
          </w:tcPr>
          <w:p w14:paraId="6099F6DC" w14:textId="77777777" w:rsidR="00454A29" w:rsidRDefault="00454A29">
            <w:pPr>
              <w:pStyle w:val="ConsPlusNormal"/>
              <w:jc w:val="center"/>
            </w:pPr>
            <w:r>
              <w:t>2022</w:t>
            </w:r>
          </w:p>
        </w:tc>
        <w:tc>
          <w:tcPr>
            <w:tcW w:w="1417" w:type="dxa"/>
            <w:vMerge/>
          </w:tcPr>
          <w:p w14:paraId="0DA03F46" w14:textId="77777777" w:rsidR="00454A29" w:rsidRDefault="00454A29"/>
        </w:tc>
        <w:tc>
          <w:tcPr>
            <w:tcW w:w="2204" w:type="dxa"/>
            <w:vMerge/>
          </w:tcPr>
          <w:p w14:paraId="57A822BD" w14:textId="77777777" w:rsidR="00454A29" w:rsidRDefault="00454A29"/>
        </w:tc>
        <w:tc>
          <w:tcPr>
            <w:tcW w:w="1417" w:type="dxa"/>
            <w:vMerge/>
          </w:tcPr>
          <w:p w14:paraId="6849A358" w14:textId="77777777" w:rsidR="00454A29" w:rsidRDefault="00454A29"/>
        </w:tc>
        <w:tc>
          <w:tcPr>
            <w:tcW w:w="2324" w:type="dxa"/>
            <w:vMerge/>
          </w:tcPr>
          <w:p w14:paraId="6C0C5C61" w14:textId="77777777" w:rsidR="00454A29" w:rsidRDefault="00454A29"/>
        </w:tc>
        <w:tc>
          <w:tcPr>
            <w:tcW w:w="1701" w:type="dxa"/>
            <w:vAlign w:val="center"/>
          </w:tcPr>
          <w:p w14:paraId="3140E748" w14:textId="77777777" w:rsidR="00454A29" w:rsidRDefault="00454A29">
            <w:pPr>
              <w:pStyle w:val="ConsPlusNormal"/>
            </w:pPr>
          </w:p>
        </w:tc>
        <w:tc>
          <w:tcPr>
            <w:tcW w:w="1814" w:type="dxa"/>
            <w:vAlign w:val="center"/>
          </w:tcPr>
          <w:p w14:paraId="21F57A51" w14:textId="77777777" w:rsidR="00454A29" w:rsidRDefault="00454A29">
            <w:pPr>
              <w:pStyle w:val="ConsPlusNormal"/>
            </w:pPr>
          </w:p>
        </w:tc>
        <w:tc>
          <w:tcPr>
            <w:tcW w:w="1701" w:type="dxa"/>
            <w:vAlign w:val="center"/>
          </w:tcPr>
          <w:p w14:paraId="61624200" w14:textId="77777777" w:rsidR="00454A29" w:rsidRDefault="00454A29">
            <w:pPr>
              <w:pStyle w:val="ConsPlusNormal"/>
            </w:pPr>
          </w:p>
        </w:tc>
        <w:tc>
          <w:tcPr>
            <w:tcW w:w="1701" w:type="dxa"/>
            <w:vAlign w:val="center"/>
          </w:tcPr>
          <w:p w14:paraId="118AEC45" w14:textId="77777777" w:rsidR="00454A29" w:rsidRDefault="00454A29">
            <w:pPr>
              <w:pStyle w:val="ConsPlusNormal"/>
            </w:pPr>
          </w:p>
        </w:tc>
        <w:tc>
          <w:tcPr>
            <w:tcW w:w="1814" w:type="dxa"/>
            <w:vAlign w:val="center"/>
          </w:tcPr>
          <w:p w14:paraId="1996C69F" w14:textId="77777777" w:rsidR="00454A29" w:rsidRDefault="00454A29">
            <w:pPr>
              <w:pStyle w:val="ConsPlusNormal"/>
            </w:pPr>
          </w:p>
        </w:tc>
      </w:tr>
      <w:tr w:rsidR="00454A29" w14:paraId="465A3ACD" w14:textId="77777777">
        <w:tc>
          <w:tcPr>
            <w:tcW w:w="567" w:type="dxa"/>
            <w:vMerge/>
          </w:tcPr>
          <w:p w14:paraId="04C678E8" w14:textId="77777777" w:rsidR="00454A29" w:rsidRDefault="00454A29"/>
        </w:tc>
        <w:tc>
          <w:tcPr>
            <w:tcW w:w="3345" w:type="dxa"/>
            <w:vMerge/>
          </w:tcPr>
          <w:p w14:paraId="4D190484" w14:textId="77777777" w:rsidR="00454A29" w:rsidRDefault="00454A29"/>
        </w:tc>
        <w:tc>
          <w:tcPr>
            <w:tcW w:w="1701" w:type="dxa"/>
            <w:vAlign w:val="center"/>
          </w:tcPr>
          <w:p w14:paraId="53CF2A8C" w14:textId="77777777" w:rsidR="00454A29" w:rsidRDefault="00454A29">
            <w:pPr>
              <w:pStyle w:val="ConsPlusNormal"/>
              <w:jc w:val="center"/>
            </w:pPr>
            <w:r>
              <w:t>2023</w:t>
            </w:r>
          </w:p>
        </w:tc>
        <w:tc>
          <w:tcPr>
            <w:tcW w:w="1417" w:type="dxa"/>
            <w:vMerge/>
          </w:tcPr>
          <w:p w14:paraId="4DA01A98" w14:textId="77777777" w:rsidR="00454A29" w:rsidRDefault="00454A29"/>
        </w:tc>
        <w:tc>
          <w:tcPr>
            <w:tcW w:w="2204" w:type="dxa"/>
            <w:vMerge/>
          </w:tcPr>
          <w:p w14:paraId="12291BFA" w14:textId="77777777" w:rsidR="00454A29" w:rsidRDefault="00454A29"/>
        </w:tc>
        <w:tc>
          <w:tcPr>
            <w:tcW w:w="1417" w:type="dxa"/>
            <w:vMerge/>
          </w:tcPr>
          <w:p w14:paraId="4E2308BB" w14:textId="77777777" w:rsidR="00454A29" w:rsidRDefault="00454A29"/>
        </w:tc>
        <w:tc>
          <w:tcPr>
            <w:tcW w:w="2324" w:type="dxa"/>
            <w:vMerge/>
          </w:tcPr>
          <w:p w14:paraId="3112CFA4" w14:textId="77777777" w:rsidR="00454A29" w:rsidRDefault="00454A29"/>
        </w:tc>
        <w:tc>
          <w:tcPr>
            <w:tcW w:w="1701" w:type="dxa"/>
            <w:vAlign w:val="center"/>
          </w:tcPr>
          <w:p w14:paraId="39B49B06" w14:textId="77777777" w:rsidR="00454A29" w:rsidRDefault="00454A29">
            <w:pPr>
              <w:pStyle w:val="ConsPlusNormal"/>
            </w:pPr>
          </w:p>
        </w:tc>
        <w:tc>
          <w:tcPr>
            <w:tcW w:w="1814" w:type="dxa"/>
            <w:vAlign w:val="center"/>
          </w:tcPr>
          <w:p w14:paraId="60AC03DA" w14:textId="77777777" w:rsidR="00454A29" w:rsidRDefault="00454A29">
            <w:pPr>
              <w:pStyle w:val="ConsPlusNormal"/>
            </w:pPr>
          </w:p>
        </w:tc>
        <w:tc>
          <w:tcPr>
            <w:tcW w:w="1701" w:type="dxa"/>
            <w:vAlign w:val="center"/>
          </w:tcPr>
          <w:p w14:paraId="421CB7C2" w14:textId="77777777" w:rsidR="00454A29" w:rsidRDefault="00454A29">
            <w:pPr>
              <w:pStyle w:val="ConsPlusNormal"/>
            </w:pPr>
          </w:p>
        </w:tc>
        <w:tc>
          <w:tcPr>
            <w:tcW w:w="1701" w:type="dxa"/>
            <w:vAlign w:val="center"/>
          </w:tcPr>
          <w:p w14:paraId="62C26717" w14:textId="77777777" w:rsidR="00454A29" w:rsidRDefault="00454A29">
            <w:pPr>
              <w:pStyle w:val="ConsPlusNormal"/>
            </w:pPr>
          </w:p>
        </w:tc>
        <w:tc>
          <w:tcPr>
            <w:tcW w:w="1814" w:type="dxa"/>
            <w:vAlign w:val="center"/>
          </w:tcPr>
          <w:p w14:paraId="56F9C07C" w14:textId="77777777" w:rsidR="00454A29" w:rsidRDefault="00454A29">
            <w:pPr>
              <w:pStyle w:val="ConsPlusNormal"/>
            </w:pPr>
          </w:p>
        </w:tc>
      </w:tr>
      <w:tr w:rsidR="00454A29" w14:paraId="731C05E0" w14:textId="77777777">
        <w:tc>
          <w:tcPr>
            <w:tcW w:w="567" w:type="dxa"/>
            <w:vMerge/>
          </w:tcPr>
          <w:p w14:paraId="0E8E9794" w14:textId="77777777" w:rsidR="00454A29" w:rsidRDefault="00454A29"/>
        </w:tc>
        <w:tc>
          <w:tcPr>
            <w:tcW w:w="3345" w:type="dxa"/>
            <w:vMerge/>
          </w:tcPr>
          <w:p w14:paraId="0F59B8B9" w14:textId="77777777" w:rsidR="00454A29" w:rsidRDefault="00454A29"/>
        </w:tc>
        <w:tc>
          <w:tcPr>
            <w:tcW w:w="1701" w:type="dxa"/>
            <w:vAlign w:val="center"/>
          </w:tcPr>
          <w:p w14:paraId="00104E47" w14:textId="77777777" w:rsidR="00454A29" w:rsidRDefault="00454A29">
            <w:pPr>
              <w:pStyle w:val="ConsPlusNormal"/>
              <w:jc w:val="center"/>
            </w:pPr>
            <w:r>
              <w:t>2024</w:t>
            </w:r>
          </w:p>
        </w:tc>
        <w:tc>
          <w:tcPr>
            <w:tcW w:w="1417" w:type="dxa"/>
            <w:vMerge/>
          </w:tcPr>
          <w:p w14:paraId="0C97AEB2" w14:textId="77777777" w:rsidR="00454A29" w:rsidRDefault="00454A29"/>
        </w:tc>
        <w:tc>
          <w:tcPr>
            <w:tcW w:w="2204" w:type="dxa"/>
            <w:vMerge/>
          </w:tcPr>
          <w:p w14:paraId="32159F49" w14:textId="77777777" w:rsidR="00454A29" w:rsidRDefault="00454A29"/>
        </w:tc>
        <w:tc>
          <w:tcPr>
            <w:tcW w:w="1417" w:type="dxa"/>
            <w:vMerge/>
          </w:tcPr>
          <w:p w14:paraId="028C72A2" w14:textId="77777777" w:rsidR="00454A29" w:rsidRDefault="00454A29"/>
        </w:tc>
        <w:tc>
          <w:tcPr>
            <w:tcW w:w="2324" w:type="dxa"/>
            <w:vMerge/>
          </w:tcPr>
          <w:p w14:paraId="61165A36" w14:textId="77777777" w:rsidR="00454A29" w:rsidRDefault="00454A29"/>
        </w:tc>
        <w:tc>
          <w:tcPr>
            <w:tcW w:w="1701" w:type="dxa"/>
            <w:vAlign w:val="center"/>
          </w:tcPr>
          <w:p w14:paraId="318FADA6" w14:textId="77777777" w:rsidR="00454A29" w:rsidRDefault="00454A29">
            <w:pPr>
              <w:pStyle w:val="ConsPlusNormal"/>
            </w:pPr>
          </w:p>
        </w:tc>
        <w:tc>
          <w:tcPr>
            <w:tcW w:w="1814" w:type="dxa"/>
            <w:vAlign w:val="center"/>
          </w:tcPr>
          <w:p w14:paraId="70059696" w14:textId="77777777" w:rsidR="00454A29" w:rsidRDefault="00454A29">
            <w:pPr>
              <w:pStyle w:val="ConsPlusNormal"/>
            </w:pPr>
          </w:p>
        </w:tc>
        <w:tc>
          <w:tcPr>
            <w:tcW w:w="1701" w:type="dxa"/>
            <w:vAlign w:val="center"/>
          </w:tcPr>
          <w:p w14:paraId="216EFE2B" w14:textId="77777777" w:rsidR="00454A29" w:rsidRDefault="00454A29">
            <w:pPr>
              <w:pStyle w:val="ConsPlusNormal"/>
            </w:pPr>
          </w:p>
        </w:tc>
        <w:tc>
          <w:tcPr>
            <w:tcW w:w="1701" w:type="dxa"/>
            <w:vAlign w:val="center"/>
          </w:tcPr>
          <w:p w14:paraId="3A196CE5" w14:textId="77777777" w:rsidR="00454A29" w:rsidRDefault="00454A29">
            <w:pPr>
              <w:pStyle w:val="ConsPlusNormal"/>
            </w:pPr>
          </w:p>
        </w:tc>
        <w:tc>
          <w:tcPr>
            <w:tcW w:w="1814" w:type="dxa"/>
            <w:vAlign w:val="center"/>
          </w:tcPr>
          <w:p w14:paraId="7C736CA6" w14:textId="77777777" w:rsidR="00454A29" w:rsidRDefault="00454A29">
            <w:pPr>
              <w:pStyle w:val="ConsPlusNormal"/>
            </w:pPr>
          </w:p>
        </w:tc>
      </w:tr>
      <w:tr w:rsidR="00454A29" w14:paraId="777CE322" w14:textId="77777777">
        <w:tc>
          <w:tcPr>
            <w:tcW w:w="567" w:type="dxa"/>
            <w:vMerge/>
          </w:tcPr>
          <w:p w14:paraId="151A6008" w14:textId="77777777" w:rsidR="00454A29" w:rsidRDefault="00454A29"/>
        </w:tc>
        <w:tc>
          <w:tcPr>
            <w:tcW w:w="3345" w:type="dxa"/>
            <w:vMerge/>
          </w:tcPr>
          <w:p w14:paraId="2FE2DDE9" w14:textId="77777777" w:rsidR="00454A29" w:rsidRDefault="00454A29"/>
        </w:tc>
        <w:tc>
          <w:tcPr>
            <w:tcW w:w="1701" w:type="dxa"/>
            <w:vAlign w:val="center"/>
          </w:tcPr>
          <w:p w14:paraId="2D6806AB" w14:textId="77777777" w:rsidR="00454A29" w:rsidRDefault="00454A29">
            <w:pPr>
              <w:pStyle w:val="ConsPlusNormal"/>
              <w:jc w:val="center"/>
            </w:pPr>
            <w:r>
              <w:t>2025</w:t>
            </w:r>
          </w:p>
        </w:tc>
        <w:tc>
          <w:tcPr>
            <w:tcW w:w="1417" w:type="dxa"/>
            <w:vMerge/>
          </w:tcPr>
          <w:p w14:paraId="0AD48B7E" w14:textId="77777777" w:rsidR="00454A29" w:rsidRDefault="00454A29"/>
        </w:tc>
        <w:tc>
          <w:tcPr>
            <w:tcW w:w="2204" w:type="dxa"/>
            <w:vMerge/>
          </w:tcPr>
          <w:p w14:paraId="16F80B30" w14:textId="77777777" w:rsidR="00454A29" w:rsidRDefault="00454A29"/>
        </w:tc>
        <w:tc>
          <w:tcPr>
            <w:tcW w:w="1417" w:type="dxa"/>
            <w:vMerge/>
          </w:tcPr>
          <w:p w14:paraId="44D1DC92" w14:textId="77777777" w:rsidR="00454A29" w:rsidRDefault="00454A29"/>
        </w:tc>
        <w:tc>
          <w:tcPr>
            <w:tcW w:w="2324" w:type="dxa"/>
            <w:vMerge/>
          </w:tcPr>
          <w:p w14:paraId="4207A65B" w14:textId="77777777" w:rsidR="00454A29" w:rsidRDefault="00454A29"/>
        </w:tc>
        <w:tc>
          <w:tcPr>
            <w:tcW w:w="1701" w:type="dxa"/>
            <w:vAlign w:val="center"/>
          </w:tcPr>
          <w:p w14:paraId="3A85B851" w14:textId="77777777" w:rsidR="00454A29" w:rsidRDefault="00454A29">
            <w:pPr>
              <w:pStyle w:val="ConsPlusNormal"/>
              <w:jc w:val="center"/>
            </w:pPr>
            <w:r>
              <w:t>275 868,39</w:t>
            </w:r>
          </w:p>
        </w:tc>
        <w:tc>
          <w:tcPr>
            <w:tcW w:w="1814" w:type="dxa"/>
            <w:vAlign w:val="center"/>
          </w:tcPr>
          <w:p w14:paraId="36FCCB4D" w14:textId="77777777" w:rsidR="00454A29" w:rsidRDefault="00454A29">
            <w:pPr>
              <w:pStyle w:val="ConsPlusNormal"/>
              <w:jc w:val="center"/>
            </w:pPr>
            <w:r>
              <w:t>3 489,74</w:t>
            </w:r>
          </w:p>
        </w:tc>
        <w:tc>
          <w:tcPr>
            <w:tcW w:w="1701" w:type="dxa"/>
            <w:vAlign w:val="center"/>
          </w:tcPr>
          <w:p w14:paraId="1B101494" w14:textId="77777777" w:rsidR="00454A29" w:rsidRDefault="00454A29">
            <w:pPr>
              <w:pStyle w:val="ConsPlusNormal"/>
              <w:jc w:val="center"/>
            </w:pPr>
            <w:r>
              <w:t>345 483,78</w:t>
            </w:r>
          </w:p>
        </w:tc>
        <w:tc>
          <w:tcPr>
            <w:tcW w:w="1701" w:type="dxa"/>
            <w:vAlign w:val="center"/>
          </w:tcPr>
          <w:p w14:paraId="52F22FCE" w14:textId="77777777" w:rsidR="00454A29" w:rsidRDefault="00454A29">
            <w:pPr>
              <w:pStyle w:val="ConsPlusNormal"/>
            </w:pPr>
          </w:p>
        </w:tc>
        <w:tc>
          <w:tcPr>
            <w:tcW w:w="1814" w:type="dxa"/>
            <w:vAlign w:val="center"/>
          </w:tcPr>
          <w:p w14:paraId="3020DAF6" w14:textId="77777777" w:rsidR="00454A29" w:rsidRDefault="00454A29">
            <w:pPr>
              <w:pStyle w:val="ConsPlusNormal"/>
            </w:pPr>
          </w:p>
        </w:tc>
      </w:tr>
      <w:tr w:rsidR="00454A29" w14:paraId="3DAF329E" w14:textId="77777777">
        <w:tc>
          <w:tcPr>
            <w:tcW w:w="567" w:type="dxa"/>
            <w:vMerge/>
          </w:tcPr>
          <w:p w14:paraId="0D229268" w14:textId="77777777" w:rsidR="00454A29" w:rsidRDefault="00454A29"/>
        </w:tc>
        <w:tc>
          <w:tcPr>
            <w:tcW w:w="3345" w:type="dxa"/>
            <w:vMerge/>
          </w:tcPr>
          <w:p w14:paraId="0257476C" w14:textId="77777777" w:rsidR="00454A29" w:rsidRDefault="00454A29"/>
        </w:tc>
        <w:tc>
          <w:tcPr>
            <w:tcW w:w="1701" w:type="dxa"/>
            <w:vAlign w:val="center"/>
          </w:tcPr>
          <w:p w14:paraId="695BB114" w14:textId="77777777" w:rsidR="00454A29" w:rsidRDefault="00454A29">
            <w:pPr>
              <w:pStyle w:val="ConsPlusNormal"/>
              <w:jc w:val="center"/>
            </w:pPr>
            <w:r>
              <w:t>2026</w:t>
            </w:r>
          </w:p>
        </w:tc>
        <w:tc>
          <w:tcPr>
            <w:tcW w:w="1417" w:type="dxa"/>
            <w:vMerge/>
          </w:tcPr>
          <w:p w14:paraId="7DA54AF8" w14:textId="77777777" w:rsidR="00454A29" w:rsidRDefault="00454A29"/>
        </w:tc>
        <w:tc>
          <w:tcPr>
            <w:tcW w:w="2204" w:type="dxa"/>
            <w:vMerge/>
          </w:tcPr>
          <w:p w14:paraId="493A02DB" w14:textId="77777777" w:rsidR="00454A29" w:rsidRDefault="00454A29"/>
        </w:tc>
        <w:tc>
          <w:tcPr>
            <w:tcW w:w="1417" w:type="dxa"/>
            <w:vMerge/>
          </w:tcPr>
          <w:p w14:paraId="518C61A7" w14:textId="77777777" w:rsidR="00454A29" w:rsidRDefault="00454A29"/>
        </w:tc>
        <w:tc>
          <w:tcPr>
            <w:tcW w:w="2324" w:type="dxa"/>
            <w:vMerge/>
          </w:tcPr>
          <w:p w14:paraId="118B1232" w14:textId="77777777" w:rsidR="00454A29" w:rsidRDefault="00454A29"/>
        </w:tc>
        <w:tc>
          <w:tcPr>
            <w:tcW w:w="1701" w:type="dxa"/>
            <w:vAlign w:val="center"/>
          </w:tcPr>
          <w:p w14:paraId="1F45C96E" w14:textId="77777777" w:rsidR="00454A29" w:rsidRDefault="00454A29">
            <w:pPr>
              <w:pStyle w:val="ConsPlusNormal"/>
            </w:pPr>
          </w:p>
        </w:tc>
        <w:tc>
          <w:tcPr>
            <w:tcW w:w="1814" w:type="dxa"/>
            <w:vAlign w:val="center"/>
          </w:tcPr>
          <w:p w14:paraId="534D3C74" w14:textId="77777777" w:rsidR="00454A29" w:rsidRDefault="00454A29">
            <w:pPr>
              <w:pStyle w:val="ConsPlusNormal"/>
            </w:pPr>
          </w:p>
        </w:tc>
        <w:tc>
          <w:tcPr>
            <w:tcW w:w="1701" w:type="dxa"/>
            <w:vAlign w:val="center"/>
          </w:tcPr>
          <w:p w14:paraId="55151085" w14:textId="77777777" w:rsidR="00454A29" w:rsidRDefault="00454A29">
            <w:pPr>
              <w:pStyle w:val="ConsPlusNormal"/>
            </w:pPr>
          </w:p>
        </w:tc>
        <w:tc>
          <w:tcPr>
            <w:tcW w:w="1701" w:type="dxa"/>
            <w:vAlign w:val="center"/>
          </w:tcPr>
          <w:p w14:paraId="2427AB1D" w14:textId="77777777" w:rsidR="00454A29" w:rsidRDefault="00454A29">
            <w:pPr>
              <w:pStyle w:val="ConsPlusNormal"/>
            </w:pPr>
          </w:p>
        </w:tc>
        <w:tc>
          <w:tcPr>
            <w:tcW w:w="1814" w:type="dxa"/>
            <w:vAlign w:val="center"/>
          </w:tcPr>
          <w:p w14:paraId="20DC477C" w14:textId="77777777" w:rsidR="00454A29" w:rsidRDefault="00454A29">
            <w:pPr>
              <w:pStyle w:val="ConsPlusNormal"/>
            </w:pPr>
          </w:p>
        </w:tc>
      </w:tr>
      <w:tr w:rsidR="00454A29" w14:paraId="08C14629" w14:textId="77777777">
        <w:tc>
          <w:tcPr>
            <w:tcW w:w="567" w:type="dxa"/>
            <w:vMerge w:val="restart"/>
            <w:vAlign w:val="center"/>
          </w:tcPr>
          <w:p w14:paraId="0535B7AF" w14:textId="77777777" w:rsidR="00454A29" w:rsidRDefault="00454A29">
            <w:pPr>
              <w:pStyle w:val="ConsPlusNormal"/>
              <w:jc w:val="center"/>
            </w:pPr>
            <w:r>
              <w:t>128</w:t>
            </w:r>
          </w:p>
        </w:tc>
        <w:tc>
          <w:tcPr>
            <w:tcW w:w="3345" w:type="dxa"/>
            <w:vMerge w:val="restart"/>
            <w:vAlign w:val="center"/>
          </w:tcPr>
          <w:p w14:paraId="78D477B5" w14:textId="77777777" w:rsidR="00454A29" w:rsidRDefault="00454A29">
            <w:pPr>
              <w:pStyle w:val="ConsPlusNormal"/>
              <w:jc w:val="center"/>
            </w:pPr>
            <w:r>
              <w:t>Школа-интернат на 50 учащихся в с. Кыйы (СКОШИ)</w:t>
            </w:r>
          </w:p>
        </w:tc>
        <w:tc>
          <w:tcPr>
            <w:tcW w:w="1701" w:type="dxa"/>
            <w:vAlign w:val="center"/>
          </w:tcPr>
          <w:p w14:paraId="0A01515E" w14:textId="77777777" w:rsidR="00454A29" w:rsidRDefault="00454A29">
            <w:pPr>
              <w:pStyle w:val="ConsPlusNormal"/>
              <w:jc w:val="center"/>
            </w:pPr>
            <w:r>
              <w:t>2020 - 2026 годы - всего</w:t>
            </w:r>
          </w:p>
        </w:tc>
        <w:tc>
          <w:tcPr>
            <w:tcW w:w="1417" w:type="dxa"/>
            <w:vMerge w:val="restart"/>
            <w:vAlign w:val="center"/>
          </w:tcPr>
          <w:p w14:paraId="6F9B4B4D" w14:textId="77777777" w:rsidR="00454A29" w:rsidRDefault="00454A29">
            <w:pPr>
              <w:pStyle w:val="ConsPlusNormal"/>
              <w:jc w:val="center"/>
            </w:pPr>
            <w:r>
              <w:t>183 912,26</w:t>
            </w:r>
          </w:p>
        </w:tc>
        <w:tc>
          <w:tcPr>
            <w:tcW w:w="2204" w:type="dxa"/>
            <w:vMerge w:val="restart"/>
            <w:vAlign w:val="center"/>
          </w:tcPr>
          <w:p w14:paraId="33A4C61B" w14:textId="77777777" w:rsidR="00454A29" w:rsidRDefault="00454A29">
            <w:pPr>
              <w:pStyle w:val="ConsPlusNormal"/>
            </w:pPr>
          </w:p>
        </w:tc>
        <w:tc>
          <w:tcPr>
            <w:tcW w:w="1417" w:type="dxa"/>
            <w:vMerge w:val="restart"/>
            <w:vAlign w:val="center"/>
          </w:tcPr>
          <w:p w14:paraId="5350BA79" w14:textId="77777777" w:rsidR="00454A29" w:rsidRDefault="00454A29">
            <w:pPr>
              <w:pStyle w:val="ConsPlusNormal"/>
              <w:jc w:val="center"/>
            </w:pPr>
            <w:r>
              <w:t>50</w:t>
            </w:r>
          </w:p>
        </w:tc>
        <w:tc>
          <w:tcPr>
            <w:tcW w:w="2324" w:type="dxa"/>
            <w:vMerge w:val="restart"/>
            <w:vAlign w:val="center"/>
          </w:tcPr>
          <w:p w14:paraId="5B0E846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6FB4CF2" w14:textId="77777777" w:rsidR="00454A29" w:rsidRDefault="00454A29">
            <w:pPr>
              <w:pStyle w:val="ConsPlusNormal"/>
              <w:jc w:val="center"/>
            </w:pPr>
            <w:r>
              <w:t>183 912,26</w:t>
            </w:r>
          </w:p>
        </w:tc>
        <w:tc>
          <w:tcPr>
            <w:tcW w:w="1814" w:type="dxa"/>
            <w:vAlign w:val="center"/>
          </w:tcPr>
          <w:p w14:paraId="01C3C9B8" w14:textId="77777777" w:rsidR="00454A29" w:rsidRDefault="00454A29">
            <w:pPr>
              <w:pStyle w:val="ConsPlusNormal"/>
              <w:jc w:val="center"/>
            </w:pPr>
            <w:r>
              <w:t>2 326,49</w:t>
            </w:r>
          </w:p>
        </w:tc>
        <w:tc>
          <w:tcPr>
            <w:tcW w:w="1701" w:type="dxa"/>
            <w:vAlign w:val="center"/>
          </w:tcPr>
          <w:p w14:paraId="4F1E373D" w14:textId="77777777" w:rsidR="00454A29" w:rsidRDefault="00454A29">
            <w:pPr>
              <w:pStyle w:val="ConsPlusNormal"/>
              <w:jc w:val="center"/>
            </w:pPr>
            <w:r>
              <w:t>230 322,52</w:t>
            </w:r>
          </w:p>
        </w:tc>
        <w:tc>
          <w:tcPr>
            <w:tcW w:w="1701" w:type="dxa"/>
            <w:vAlign w:val="center"/>
          </w:tcPr>
          <w:p w14:paraId="5539FD1F" w14:textId="77777777" w:rsidR="00454A29" w:rsidRDefault="00454A29">
            <w:pPr>
              <w:pStyle w:val="ConsPlusNormal"/>
              <w:jc w:val="center"/>
            </w:pPr>
            <w:r>
              <w:t>-</w:t>
            </w:r>
          </w:p>
        </w:tc>
        <w:tc>
          <w:tcPr>
            <w:tcW w:w="1814" w:type="dxa"/>
            <w:vAlign w:val="center"/>
          </w:tcPr>
          <w:p w14:paraId="2CB07690" w14:textId="77777777" w:rsidR="00454A29" w:rsidRDefault="00454A29">
            <w:pPr>
              <w:pStyle w:val="ConsPlusNormal"/>
              <w:jc w:val="center"/>
            </w:pPr>
            <w:r>
              <w:t>-</w:t>
            </w:r>
          </w:p>
        </w:tc>
      </w:tr>
      <w:tr w:rsidR="00454A29" w14:paraId="4EFC78B9" w14:textId="77777777">
        <w:tc>
          <w:tcPr>
            <w:tcW w:w="567" w:type="dxa"/>
            <w:vMerge/>
          </w:tcPr>
          <w:p w14:paraId="79AD502F" w14:textId="77777777" w:rsidR="00454A29" w:rsidRDefault="00454A29"/>
        </w:tc>
        <w:tc>
          <w:tcPr>
            <w:tcW w:w="3345" w:type="dxa"/>
            <w:vMerge/>
          </w:tcPr>
          <w:p w14:paraId="08EA0B3F" w14:textId="77777777" w:rsidR="00454A29" w:rsidRDefault="00454A29"/>
        </w:tc>
        <w:tc>
          <w:tcPr>
            <w:tcW w:w="1701" w:type="dxa"/>
            <w:vAlign w:val="center"/>
          </w:tcPr>
          <w:p w14:paraId="15BE2038" w14:textId="77777777" w:rsidR="00454A29" w:rsidRDefault="00454A29">
            <w:pPr>
              <w:pStyle w:val="ConsPlusNormal"/>
              <w:jc w:val="center"/>
            </w:pPr>
            <w:r>
              <w:t>2020</w:t>
            </w:r>
          </w:p>
        </w:tc>
        <w:tc>
          <w:tcPr>
            <w:tcW w:w="1417" w:type="dxa"/>
            <w:vMerge/>
          </w:tcPr>
          <w:p w14:paraId="39E6BDE4" w14:textId="77777777" w:rsidR="00454A29" w:rsidRDefault="00454A29"/>
        </w:tc>
        <w:tc>
          <w:tcPr>
            <w:tcW w:w="2204" w:type="dxa"/>
            <w:vMerge/>
          </w:tcPr>
          <w:p w14:paraId="640F9A7C" w14:textId="77777777" w:rsidR="00454A29" w:rsidRDefault="00454A29"/>
        </w:tc>
        <w:tc>
          <w:tcPr>
            <w:tcW w:w="1417" w:type="dxa"/>
            <w:vMerge/>
          </w:tcPr>
          <w:p w14:paraId="45A66BE6" w14:textId="77777777" w:rsidR="00454A29" w:rsidRDefault="00454A29"/>
        </w:tc>
        <w:tc>
          <w:tcPr>
            <w:tcW w:w="2324" w:type="dxa"/>
            <w:vMerge/>
          </w:tcPr>
          <w:p w14:paraId="1C864321" w14:textId="77777777" w:rsidR="00454A29" w:rsidRDefault="00454A29"/>
        </w:tc>
        <w:tc>
          <w:tcPr>
            <w:tcW w:w="1701" w:type="dxa"/>
            <w:vAlign w:val="center"/>
          </w:tcPr>
          <w:p w14:paraId="65CA0408" w14:textId="77777777" w:rsidR="00454A29" w:rsidRDefault="00454A29">
            <w:pPr>
              <w:pStyle w:val="ConsPlusNormal"/>
            </w:pPr>
          </w:p>
        </w:tc>
        <w:tc>
          <w:tcPr>
            <w:tcW w:w="1814" w:type="dxa"/>
            <w:vAlign w:val="center"/>
          </w:tcPr>
          <w:p w14:paraId="120985D8" w14:textId="77777777" w:rsidR="00454A29" w:rsidRDefault="00454A29">
            <w:pPr>
              <w:pStyle w:val="ConsPlusNormal"/>
            </w:pPr>
          </w:p>
        </w:tc>
        <w:tc>
          <w:tcPr>
            <w:tcW w:w="1701" w:type="dxa"/>
            <w:vAlign w:val="center"/>
          </w:tcPr>
          <w:p w14:paraId="12606844" w14:textId="77777777" w:rsidR="00454A29" w:rsidRDefault="00454A29">
            <w:pPr>
              <w:pStyle w:val="ConsPlusNormal"/>
            </w:pPr>
          </w:p>
        </w:tc>
        <w:tc>
          <w:tcPr>
            <w:tcW w:w="1701" w:type="dxa"/>
            <w:vAlign w:val="center"/>
          </w:tcPr>
          <w:p w14:paraId="178CC668" w14:textId="77777777" w:rsidR="00454A29" w:rsidRDefault="00454A29">
            <w:pPr>
              <w:pStyle w:val="ConsPlusNormal"/>
            </w:pPr>
          </w:p>
        </w:tc>
        <w:tc>
          <w:tcPr>
            <w:tcW w:w="1814" w:type="dxa"/>
            <w:vAlign w:val="center"/>
          </w:tcPr>
          <w:p w14:paraId="0EA4451F" w14:textId="77777777" w:rsidR="00454A29" w:rsidRDefault="00454A29">
            <w:pPr>
              <w:pStyle w:val="ConsPlusNormal"/>
            </w:pPr>
          </w:p>
        </w:tc>
      </w:tr>
      <w:tr w:rsidR="00454A29" w14:paraId="2CE678D5" w14:textId="77777777">
        <w:tc>
          <w:tcPr>
            <w:tcW w:w="567" w:type="dxa"/>
            <w:vMerge/>
          </w:tcPr>
          <w:p w14:paraId="46B02F77" w14:textId="77777777" w:rsidR="00454A29" w:rsidRDefault="00454A29"/>
        </w:tc>
        <w:tc>
          <w:tcPr>
            <w:tcW w:w="3345" w:type="dxa"/>
            <w:vMerge/>
          </w:tcPr>
          <w:p w14:paraId="7019D566" w14:textId="77777777" w:rsidR="00454A29" w:rsidRDefault="00454A29"/>
        </w:tc>
        <w:tc>
          <w:tcPr>
            <w:tcW w:w="1701" w:type="dxa"/>
            <w:vAlign w:val="center"/>
          </w:tcPr>
          <w:p w14:paraId="2A1C9CD9" w14:textId="77777777" w:rsidR="00454A29" w:rsidRDefault="00454A29">
            <w:pPr>
              <w:pStyle w:val="ConsPlusNormal"/>
              <w:jc w:val="center"/>
            </w:pPr>
            <w:r>
              <w:t>2021</w:t>
            </w:r>
          </w:p>
        </w:tc>
        <w:tc>
          <w:tcPr>
            <w:tcW w:w="1417" w:type="dxa"/>
            <w:vMerge/>
          </w:tcPr>
          <w:p w14:paraId="26B9EECD" w14:textId="77777777" w:rsidR="00454A29" w:rsidRDefault="00454A29"/>
        </w:tc>
        <w:tc>
          <w:tcPr>
            <w:tcW w:w="2204" w:type="dxa"/>
            <w:vMerge/>
          </w:tcPr>
          <w:p w14:paraId="460AEA44" w14:textId="77777777" w:rsidR="00454A29" w:rsidRDefault="00454A29"/>
        </w:tc>
        <w:tc>
          <w:tcPr>
            <w:tcW w:w="1417" w:type="dxa"/>
            <w:vMerge/>
          </w:tcPr>
          <w:p w14:paraId="2BCA0A98" w14:textId="77777777" w:rsidR="00454A29" w:rsidRDefault="00454A29"/>
        </w:tc>
        <w:tc>
          <w:tcPr>
            <w:tcW w:w="2324" w:type="dxa"/>
            <w:vMerge/>
          </w:tcPr>
          <w:p w14:paraId="01054589" w14:textId="77777777" w:rsidR="00454A29" w:rsidRDefault="00454A29"/>
        </w:tc>
        <w:tc>
          <w:tcPr>
            <w:tcW w:w="1701" w:type="dxa"/>
            <w:vAlign w:val="center"/>
          </w:tcPr>
          <w:p w14:paraId="424943DA" w14:textId="77777777" w:rsidR="00454A29" w:rsidRDefault="00454A29">
            <w:pPr>
              <w:pStyle w:val="ConsPlusNormal"/>
            </w:pPr>
          </w:p>
        </w:tc>
        <w:tc>
          <w:tcPr>
            <w:tcW w:w="1814" w:type="dxa"/>
            <w:vAlign w:val="center"/>
          </w:tcPr>
          <w:p w14:paraId="0FBCED0C" w14:textId="77777777" w:rsidR="00454A29" w:rsidRDefault="00454A29">
            <w:pPr>
              <w:pStyle w:val="ConsPlusNormal"/>
            </w:pPr>
          </w:p>
        </w:tc>
        <w:tc>
          <w:tcPr>
            <w:tcW w:w="1701" w:type="dxa"/>
            <w:vAlign w:val="center"/>
          </w:tcPr>
          <w:p w14:paraId="5DDEA50C" w14:textId="77777777" w:rsidR="00454A29" w:rsidRDefault="00454A29">
            <w:pPr>
              <w:pStyle w:val="ConsPlusNormal"/>
            </w:pPr>
          </w:p>
        </w:tc>
        <w:tc>
          <w:tcPr>
            <w:tcW w:w="1701" w:type="dxa"/>
            <w:vAlign w:val="center"/>
          </w:tcPr>
          <w:p w14:paraId="416EA656" w14:textId="77777777" w:rsidR="00454A29" w:rsidRDefault="00454A29">
            <w:pPr>
              <w:pStyle w:val="ConsPlusNormal"/>
            </w:pPr>
          </w:p>
        </w:tc>
        <w:tc>
          <w:tcPr>
            <w:tcW w:w="1814" w:type="dxa"/>
            <w:vAlign w:val="center"/>
          </w:tcPr>
          <w:p w14:paraId="4CEFF713" w14:textId="77777777" w:rsidR="00454A29" w:rsidRDefault="00454A29">
            <w:pPr>
              <w:pStyle w:val="ConsPlusNormal"/>
            </w:pPr>
          </w:p>
        </w:tc>
      </w:tr>
      <w:tr w:rsidR="00454A29" w14:paraId="568976D3" w14:textId="77777777">
        <w:tc>
          <w:tcPr>
            <w:tcW w:w="567" w:type="dxa"/>
            <w:vMerge/>
          </w:tcPr>
          <w:p w14:paraId="20B6508F" w14:textId="77777777" w:rsidR="00454A29" w:rsidRDefault="00454A29"/>
        </w:tc>
        <w:tc>
          <w:tcPr>
            <w:tcW w:w="3345" w:type="dxa"/>
            <w:vMerge/>
          </w:tcPr>
          <w:p w14:paraId="0D3D34E0" w14:textId="77777777" w:rsidR="00454A29" w:rsidRDefault="00454A29"/>
        </w:tc>
        <w:tc>
          <w:tcPr>
            <w:tcW w:w="1701" w:type="dxa"/>
            <w:vAlign w:val="center"/>
          </w:tcPr>
          <w:p w14:paraId="00222E53" w14:textId="77777777" w:rsidR="00454A29" w:rsidRDefault="00454A29">
            <w:pPr>
              <w:pStyle w:val="ConsPlusNormal"/>
              <w:jc w:val="center"/>
            </w:pPr>
            <w:r>
              <w:t>2022</w:t>
            </w:r>
          </w:p>
        </w:tc>
        <w:tc>
          <w:tcPr>
            <w:tcW w:w="1417" w:type="dxa"/>
            <w:vMerge/>
          </w:tcPr>
          <w:p w14:paraId="3A57DB6D" w14:textId="77777777" w:rsidR="00454A29" w:rsidRDefault="00454A29"/>
        </w:tc>
        <w:tc>
          <w:tcPr>
            <w:tcW w:w="2204" w:type="dxa"/>
            <w:vMerge/>
          </w:tcPr>
          <w:p w14:paraId="5789C40F" w14:textId="77777777" w:rsidR="00454A29" w:rsidRDefault="00454A29"/>
        </w:tc>
        <w:tc>
          <w:tcPr>
            <w:tcW w:w="1417" w:type="dxa"/>
            <w:vMerge/>
          </w:tcPr>
          <w:p w14:paraId="5B33450B" w14:textId="77777777" w:rsidR="00454A29" w:rsidRDefault="00454A29"/>
        </w:tc>
        <w:tc>
          <w:tcPr>
            <w:tcW w:w="2324" w:type="dxa"/>
            <w:vMerge/>
          </w:tcPr>
          <w:p w14:paraId="58ECAFC8" w14:textId="77777777" w:rsidR="00454A29" w:rsidRDefault="00454A29"/>
        </w:tc>
        <w:tc>
          <w:tcPr>
            <w:tcW w:w="1701" w:type="dxa"/>
            <w:vAlign w:val="center"/>
          </w:tcPr>
          <w:p w14:paraId="0B205E02" w14:textId="77777777" w:rsidR="00454A29" w:rsidRDefault="00454A29">
            <w:pPr>
              <w:pStyle w:val="ConsPlusNormal"/>
            </w:pPr>
          </w:p>
        </w:tc>
        <w:tc>
          <w:tcPr>
            <w:tcW w:w="1814" w:type="dxa"/>
            <w:vAlign w:val="center"/>
          </w:tcPr>
          <w:p w14:paraId="73C317BD" w14:textId="77777777" w:rsidR="00454A29" w:rsidRDefault="00454A29">
            <w:pPr>
              <w:pStyle w:val="ConsPlusNormal"/>
            </w:pPr>
          </w:p>
        </w:tc>
        <w:tc>
          <w:tcPr>
            <w:tcW w:w="1701" w:type="dxa"/>
            <w:vAlign w:val="center"/>
          </w:tcPr>
          <w:p w14:paraId="1E72A386" w14:textId="77777777" w:rsidR="00454A29" w:rsidRDefault="00454A29">
            <w:pPr>
              <w:pStyle w:val="ConsPlusNormal"/>
            </w:pPr>
          </w:p>
        </w:tc>
        <w:tc>
          <w:tcPr>
            <w:tcW w:w="1701" w:type="dxa"/>
            <w:vAlign w:val="center"/>
          </w:tcPr>
          <w:p w14:paraId="2EF81AE1" w14:textId="77777777" w:rsidR="00454A29" w:rsidRDefault="00454A29">
            <w:pPr>
              <w:pStyle w:val="ConsPlusNormal"/>
            </w:pPr>
          </w:p>
        </w:tc>
        <w:tc>
          <w:tcPr>
            <w:tcW w:w="1814" w:type="dxa"/>
            <w:vAlign w:val="center"/>
          </w:tcPr>
          <w:p w14:paraId="7F2C0359" w14:textId="77777777" w:rsidR="00454A29" w:rsidRDefault="00454A29">
            <w:pPr>
              <w:pStyle w:val="ConsPlusNormal"/>
            </w:pPr>
          </w:p>
        </w:tc>
      </w:tr>
      <w:tr w:rsidR="00454A29" w14:paraId="21DBADE9" w14:textId="77777777">
        <w:tc>
          <w:tcPr>
            <w:tcW w:w="567" w:type="dxa"/>
            <w:vMerge/>
          </w:tcPr>
          <w:p w14:paraId="72A0627A" w14:textId="77777777" w:rsidR="00454A29" w:rsidRDefault="00454A29"/>
        </w:tc>
        <w:tc>
          <w:tcPr>
            <w:tcW w:w="3345" w:type="dxa"/>
            <w:vMerge/>
          </w:tcPr>
          <w:p w14:paraId="0DEEDCC2" w14:textId="77777777" w:rsidR="00454A29" w:rsidRDefault="00454A29"/>
        </w:tc>
        <w:tc>
          <w:tcPr>
            <w:tcW w:w="1701" w:type="dxa"/>
            <w:vAlign w:val="center"/>
          </w:tcPr>
          <w:p w14:paraId="1F97AA76" w14:textId="77777777" w:rsidR="00454A29" w:rsidRDefault="00454A29">
            <w:pPr>
              <w:pStyle w:val="ConsPlusNormal"/>
              <w:jc w:val="center"/>
            </w:pPr>
            <w:r>
              <w:t>2023</w:t>
            </w:r>
          </w:p>
        </w:tc>
        <w:tc>
          <w:tcPr>
            <w:tcW w:w="1417" w:type="dxa"/>
            <w:vMerge/>
          </w:tcPr>
          <w:p w14:paraId="18733C3F" w14:textId="77777777" w:rsidR="00454A29" w:rsidRDefault="00454A29"/>
        </w:tc>
        <w:tc>
          <w:tcPr>
            <w:tcW w:w="2204" w:type="dxa"/>
            <w:vMerge/>
          </w:tcPr>
          <w:p w14:paraId="17DB0C63" w14:textId="77777777" w:rsidR="00454A29" w:rsidRDefault="00454A29"/>
        </w:tc>
        <w:tc>
          <w:tcPr>
            <w:tcW w:w="1417" w:type="dxa"/>
            <w:vMerge/>
          </w:tcPr>
          <w:p w14:paraId="49770117" w14:textId="77777777" w:rsidR="00454A29" w:rsidRDefault="00454A29"/>
        </w:tc>
        <w:tc>
          <w:tcPr>
            <w:tcW w:w="2324" w:type="dxa"/>
            <w:vMerge/>
          </w:tcPr>
          <w:p w14:paraId="7571A200" w14:textId="77777777" w:rsidR="00454A29" w:rsidRDefault="00454A29"/>
        </w:tc>
        <w:tc>
          <w:tcPr>
            <w:tcW w:w="1701" w:type="dxa"/>
            <w:vAlign w:val="center"/>
          </w:tcPr>
          <w:p w14:paraId="2360C141" w14:textId="77777777" w:rsidR="00454A29" w:rsidRDefault="00454A29">
            <w:pPr>
              <w:pStyle w:val="ConsPlusNormal"/>
              <w:jc w:val="center"/>
            </w:pPr>
            <w:r>
              <w:t>-</w:t>
            </w:r>
          </w:p>
        </w:tc>
        <w:tc>
          <w:tcPr>
            <w:tcW w:w="1814" w:type="dxa"/>
            <w:vAlign w:val="center"/>
          </w:tcPr>
          <w:p w14:paraId="51E299C7" w14:textId="77777777" w:rsidR="00454A29" w:rsidRDefault="00454A29">
            <w:pPr>
              <w:pStyle w:val="ConsPlusNormal"/>
            </w:pPr>
          </w:p>
        </w:tc>
        <w:tc>
          <w:tcPr>
            <w:tcW w:w="1701" w:type="dxa"/>
            <w:vAlign w:val="center"/>
          </w:tcPr>
          <w:p w14:paraId="7D3245D9" w14:textId="77777777" w:rsidR="00454A29" w:rsidRDefault="00454A29">
            <w:pPr>
              <w:pStyle w:val="ConsPlusNormal"/>
            </w:pPr>
          </w:p>
        </w:tc>
        <w:tc>
          <w:tcPr>
            <w:tcW w:w="1701" w:type="dxa"/>
            <w:vAlign w:val="center"/>
          </w:tcPr>
          <w:p w14:paraId="0CAE9EE1" w14:textId="77777777" w:rsidR="00454A29" w:rsidRDefault="00454A29">
            <w:pPr>
              <w:pStyle w:val="ConsPlusNormal"/>
            </w:pPr>
          </w:p>
        </w:tc>
        <w:tc>
          <w:tcPr>
            <w:tcW w:w="1814" w:type="dxa"/>
            <w:vAlign w:val="center"/>
          </w:tcPr>
          <w:p w14:paraId="2211D9C2" w14:textId="77777777" w:rsidR="00454A29" w:rsidRDefault="00454A29">
            <w:pPr>
              <w:pStyle w:val="ConsPlusNormal"/>
            </w:pPr>
          </w:p>
        </w:tc>
      </w:tr>
      <w:tr w:rsidR="00454A29" w14:paraId="5B975A15" w14:textId="77777777">
        <w:tc>
          <w:tcPr>
            <w:tcW w:w="567" w:type="dxa"/>
            <w:vMerge/>
          </w:tcPr>
          <w:p w14:paraId="03AB9399" w14:textId="77777777" w:rsidR="00454A29" w:rsidRDefault="00454A29"/>
        </w:tc>
        <w:tc>
          <w:tcPr>
            <w:tcW w:w="3345" w:type="dxa"/>
            <w:vMerge/>
          </w:tcPr>
          <w:p w14:paraId="684A00CA" w14:textId="77777777" w:rsidR="00454A29" w:rsidRDefault="00454A29"/>
        </w:tc>
        <w:tc>
          <w:tcPr>
            <w:tcW w:w="1701" w:type="dxa"/>
            <w:vAlign w:val="center"/>
          </w:tcPr>
          <w:p w14:paraId="7A0D25AA" w14:textId="77777777" w:rsidR="00454A29" w:rsidRDefault="00454A29">
            <w:pPr>
              <w:pStyle w:val="ConsPlusNormal"/>
              <w:jc w:val="center"/>
            </w:pPr>
            <w:r>
              <w:t>2024</w:t>
            </w:r>
          </w:p>
        </w:tc>
        <w:tc>
          <w:tcPr>
            <w:tcW w:w="1417" w:type="dxa"/>
            <w:vMerge/>
          </w:tcPr>
          <w:p w14:paraId="656AD441" w14:textId="77777777" w:rsidR="00454A29" w:rsidRDefault="00454A29"/>
        </w:tc>
        <w:tc>
          <w:tcPr>
            <w:tcW w:w="2204" w:type="dxa"/>
            <w:vMerge/>
          </w:tcPr>
          <w:p w14:paraId="4E5DB839" w14:textId="77777777" w:rsidR="00454A29" w:rsidRDefault="00454A29"/>
        </w:tc>
        <w:tc>
          <w:tcPr>
            <w:tcW w:w="1417" w:type="dxa"/>
            <w:vMerge/>
          </w:tcPr>
          <w:p w14:paraId="7C715126" w14:textId="77777777" w:rsidR="00454A29" w:rsidRDefault="00454A29"/>
        </w:tc>
        <w:tc>
          <w:tcPr>
            <w:tcW w:w="2324" w:type="dxa"/>
            <w:vMerge/>
          </w:tcPr>
          <w:p w14:paraId="224314F8" w14:textId="77777777" w:rsidR="00454A29" w:rsidRDefault="00454A29"/>
        </w:tc>
        <w:tc>
          <w:tcPr>
            <w:tcW w:w="1701" w:type="dxa"/>
            <w:vAlign w:val="center"/>
          </w:tcPr>
          <w:p w14:paraId="028832CF" w14:textId="77777777" w:rsidR="00454A29" w:rsidRDefault="00454A29">
            <w:pPr>
              <w:pStyle w:val="ConsPlusNormal"/>
            </w:pPr>
          </w:p>
        </w:tc>
        <w:tc>
          <w:tcPr>
            <w:tcW w:w="1814" w:type="dxa"/>
            <w:vAlign w:val="center"/>
          </w:tcPr>
          <w:p w14:paraId="3E11D1F7" w14:textId="77777777" w:rsidR="00454A29" w:rsidRDefault="00454A29">
            <w:pPr>
              <w:pStyle w:val="ConsPlusNormal"/>
            </w:pPr>
          </w:p>
        </w:tc>
        <w:tc>
          <w:tcPr>
            <w:tcW w:w="1701" w:type="dxa"/>
            <w:vAlign w:val="center"/>
          </w:tcPr>
          <w:p w14:paraId="4CB0D55C" w14:textId="77777777" w:rsidR="00454A29" w:rsidRDefault="00454A29">
            <w:pPr>
              <w:pStyle w:val="ConsPlusNormal"/>
            </w:pPr>
          </w:p>
        </w:tc>
        <w:tc>
          <w:tcPr>
            <w:tcW w:w="1701" w:type="dxa"/>
            <w:vAlign w:val="center"/>
          </w:tcPr>
          <w:p w14:paraId="36F61918" w14:textId="77777777" w:rsidR="00454A29" w:rsidRDefault="00454A29">
            <w:pPr>
              <w:pStyle w:val="ConsPlusNormal"/>
            </w:pPr>
          </w:p>
        </w:tc>
        <w:tc>
          <w:tcPr>
            <w:tcW w:w="1814" w:type="dxa"/>
            <w:vAlign w:val="center"/>
          </w:tcPr>
          <w:p w14:paraId="1A2D6C10" w14:textId="77777777" w:rsidR="00454A29" w:rsidRDefault="00454A29">
            <w:pPr>
              <w:pStyle w:val="ConsPlusNormal"/>
            </w:pPr>
          </w:p>
        </w:tc>
      </w:tr>
      <w:tr w:rsidR="00454A29" w14:paraId="0CC7353F" w14:textId="77777777">
        <w:tc>
          <w:tcPr>
            <w:tcW w:w="567" w:type="dxa"/>
            <w:vMerge/>
          </w:tcPr>
          <w:p w14:paraId="5867C147" w14:textId="77777777" w:rsidR="00454A29" w:rsidRDefault="00454A29"/>
        </w:tc>
        <w:tc>
          <w:tcPr>
            <w:tcW w:w="3345" w:type="dxa"/>
            <w:vMerge/>
          </w:tcPr>
          <w:p w14:paraId="1F6E9EFB" w14:textId="77777777" w:rsidR="00454A29" w:rsidRDefault="00454A29"/>
        </w:tc>
        <w:tc>
          <w:tcPr>
            <w:tcW w:w="1701" w:type="dxa"/>
            <w:vAlign w:val="center"/>
          </w:tcPr>
          <w:p w14:paraId="71D5C305" w14:textId="77777777" w:rsidR="00454A29" w:rsidRDefault="00454A29">
            <w:pPr>
              <w:pStyle w:val="ConsPlusNormal"/>
              <w:jc w:val="center"/>
            </w:pPr>
            <w:r>
              <w:t>2025</w:t>
            </w:r>
          </w:p>
        </w:tc>
        <w:tc>
          <w:tcPr>
            <w:tcW w:w="1417" w:type="dxa"/>
            <w:vMerge/>
          </w:tcPr>
          <w:p w14:paraId="30A78DBB" w14:textId="77777777" w:rsidR="00454A29" w:rsidRDefault="00454A29"/>
        </w:tc>
        <w:tc>
          <w:tcPr>
            <w:tcW w:w="2204" w:type="dxa"/>
            <w:vMerge/>
          </w:tcPr>
          <w:p w14:paraId="26F4FC9A" w14:textId="77777777" w:rsidR="00454A29" w:rsidRDefault="00454A29"/>
        </w:tc>
        <w:tc>
          <w:tcPr>
            <w:tcW w:w="1417" w:type="dxa"/>
            <w:vMerge/>
          </w:tcPr>
          <w:p w14:paraId="1F8B663B" w14:textId="77777777" w:rsidR="00454A29" w:rsidRDefault="00454A29"/>
        </w:tc>
        <w:tc>
          <w:tcPr>
            <w:tcW w:w="2324" w:type="dxa"/>
            <w:vMerge/>
          </w:tcPr>
          <w:p w14:paraId="41DDA772" w14:textId="77777777" w:rsidR="00454A29" w:rsidRDefault="00454A29"/>
        </w:tc>
        <w:tc>
          <w:tcPr>
            <w:tcW w:w="1701" w:type="dxa"/>
            <w:vAlign w:val="center"/>
          </w:tcPr>
          <w:p w14:paraId="6F6D9B39" w14:textId="77777777" w:rsidR="00454A29" w:rsidRDefault="00454A29">
            <w:pPr>
              <w:pStyle w:val="ConsPlusNormal"/>
              <w:jc w:val="center"/>
            </w:pPr>
            <w:r>
              <w:t>183 912,26</w:t>
            </w:r>
          </w:p>
        </w:tc>
        <w:tc>
          <w:tcPr>
            <w:tcW w:w="1814" w:type="dxa"/>
            <w:vAlign w:val="center"/>
          </w:tcPr>
          <w:p w14:paraId="5AE8DF9A" w14:textId="77777777" w:rsidR="00454A29" w:rsidRDefault="00454A29">
            <w:pPr>
              <w:pStyle w:val="ConsPlusNormal"/>
              <w:jc w:val="center"/>
            </w:pPr>
            <w:r>
              <w:t>2 326,49</w:t>
            </w:r>
          </w:p>
        </w:tc>
        <w:tc>
          <w:tcPr>
            <w:tcW w:w="1701" w:type="dxa"/>
            <w:vAlign w:val="center"/>
          </w:tcPr>
          <w:p w14:paraId="32D70790" w14:textId="77777777" w:rsidR="00454A29" w:rsidRDefault="00454A29">
            <w:pPr>
              <w:pStyle w:val="ConsPlusNormal"/>
              <w:jc w:val="center"/>
            </w:pPr>
            <w:r>
              <w:t>230 322,52</w:t>
            </w:r>
          </w:p>
        </w:tc>
        <w:tc>
          <w:tcPr>
            <w:tcW w:w="1701" w:type="dxa"/>
            <w:vAlign w:val="center"/>
          </w:tcPr>
          <w:p w14:paraId="7E49F95F" w14:textId="77777777" w:rsidR="00454A29" w:rsidRDefault="00454A29">
            <w:pPr>
              <w:pStyle w:val="ConsPlusNormal"/>
            </w:pPr>
          </w:p>
        </w:tc>
        <w:tc>
          <w:tcPr>
            <w:tcW w:w="1814" w:type="dxa"/>
            <w:vAlign w:val="center"/>
          </w:tcPr>
          <w:p w14:paraId="76F0BE73" w14:textId="77777777" w:rsidR="00454A29" w:rsidRDefault="00454A29">
            <w:pPr>
              <w:pStyle w:val="ConsPlusNormal"/>
            </w:pPr>
          </w:p>
        </w:tc>
      </w:tr>
      <w:tr w:rsidR="00454A29" w14:paraId="521273B3" w14:textId="77777777">
        <w:tc>
          <w:tcPr>
            <w:tcW w:w="567" w:type="dxa"/>
            <w:vMerge/>
          </w:tcPr>
          <w:p w14:paraId="515261EA" w14:textId="77777777" w:rsidR="00454A29" w:rsidRDefault="00454A29"/>
        </w:tc>
        <w:tc>
          <w:tcPr>
            <w:tcW w:w="3345" w:type="dxa"/>
            <w:vMerge/>
          </w:tcPr>
          <w:p w14:paraId="60833868" w14:textId="77777777" w:rsidR="00454A29" w:rsidRDefault="00454A29"/>
        </w:tc>
        <w:tc>
          <w:tcPr>
            <w:tcW w:w="1701" w:type="dxa"/>
            <w:vAlign w:val="center"/>
          </w:tcPr>
          <w:p w14:paraId="2517C4ED" w14:textId="77777777" w:rsidR="00454A29" w:rsidRDefault="00454A29">
            <w:pPr>
              <w:pStyle w:val="ConsPlusNormal"/>
              <w:jc w:val="center"/>
            </w:pPr>
            <w:r>
              <w:t>2026</w:t>
            </w:r>
          </w:p>
        </w:tc>
        <w:tc>
          <w:tcPr>
            <w:tcW w:w="1417" w:type="dxa"/>
            <w:vMerge/>
          </w:tcPr>
          <w:p w14:paraId="1BEA7518" w14:textId="77777777" w:rsidR="00454A29" w:rsidRDefault="00454A29"/>
        </w:tc>
        <w:tc>
          <w:tcPr>
            <w:tcW w:w="2204" w:type="dxa"/>
            <w:vMerge/>
          </w:tcPr>
          <w:p w14:paraId="0C9AC7A7" w14:textId="77777777" w:rsidR="00454A29" w:rsidRDefault="00454A29"/>
        </w:tc>
        <w:tc>
          <w:tcPr>
            <w:tcW w:w="1417" w:type="dxa"/>
            <w:vMerge/>
          </w:tcPr>
          <w:p w14:paraId="28EA1268" w14:textId="77777777" w:rsidR="00454A29" w:rsidRDefault="00454A29"/>
        </w:tc>
        <w:tc>
          <w:tcPr>
            <w:tcW w:w="2324" w:type="dxa"/>
            <w:vMerge/>
          </w:tcPr>
          <w:p w14:paraId="36D0F739" w14:textId="77777777" w:rsidR="00454A29" w:rsidRDefault="00454A29"/>
        </w:tc>
        <w:tc>
          <w:tcPr>
            <w:tcW w:w="1701" w:type="dxa"/>
            <w:vAlign w:val="center"/>
          </w:tcPr>
          <w:p w14:paraId="09A91E93" w14:textId="77777777" w:rsidR="00454A29" w:rsidRDefault="00454A29">
            <w:pPr>
              <w:pStyle w:val="ConsPlusNormal"/>
            </w:pPr>
          </w:p>
        </w:tc>
        <w:tc>
          <w:tcPr>
            <w:tcW w:w="1814" w:type="dxa"/>
            <w:vAlign w:val="center"/>
          </w:tcPr>
          <w:p w14:paraId="3806B137" w14:textId="77777777" w:rsidR="00454A29" w:rsidRDefault="00454A29">
            <w:pPr>
              <w:pStyle w:val="ConsPlusNormal"/>
            </w:pPr>
          </w:p>
        </w:tc>
        <w:tc>
          <w:tcPr>
            <w:tcW w:w="1701" w:type="dxa"/>
            <w:vAlign w:val="center"/>
          </w:tcPr>
          <w:p w14:paraId="73C94D37" w14:textId="77777777" w:rsidR="00454A29" w:rsidRDefault="00454A29">
            <w:pPr>
              <w:pStyle w:val="ConsPlusNormal"/>
            </w:pPr>
          </w:p>
        </w:tc>
        <w:tc>
          <w:tcPr>
            <w:tcW w:w="1701" w:type="dxa"/>
            <w:vAlign w:val="center"/>
          </w:tcPr>
          <w:p w14:paraId="0CA426B4" w14:textId="77777777" w:rsidR="00454A29" w:rsidRDefault="00454A29">
            <w:pPr>
              <w:pStyle w:val="ConsPlusNormal"/>
            </w:pPr>
          </w:p>
        </w:tc>
        <w:tc>
          <w:tcPr>
            <w:tcW w:w="1814" w:type="dxa"/>
            <w:vAlign w:val="center"/>
          </w:tcPr>
          <w:p w14:paraId="106D7447" w14:textId="77777777" w:rsidR="00454A29" w:rsidRDefault="00454A29">
            <w:pPr>
              <w:pStyle w:val="ConsPlusNormal"/>
            </w:pPr>
          </w:p>
        </w:tc>
      </w:tr>
      <w:tr w:rsidR="00454A29" w14:paraId="20B6BC95" w14:textId="77777777">
        <w:tc>
          <w:tcPr>
            <w:tcW w:w="567" w:type="dxa"/>
            <w:vMerge w:val="restart"/>
            <w:vAlign w:val="center"/>
          </w:tcPr>
          <w:p w14:paraId="28ED84CD" w14:textId="77777777" w:rsidR="00454A29" w:rsidRDefault="00454A29">
            <w:pPr>
              <w:pStyle w:val="ConsPlusNormal"/>
              <w:jc w:val="center"/>
            </w:pPr>
            <w:r>
              <w:lastRenderedPageBreak/>
              <w:t>129</w:t>
            </w:r>
          </w:p>
        </w:tc>
        <w:tc>
          <w:tcPr>
            <w:tcW w:w="3345" w:type="dxa"/>
            <w:vMerge w:val="restart"/>
            <w:vAlign w:val="center"/>
          </w:tcPr>
          <w:p w14:paraId="3B0C8018" w14:textId="77777777" w:rsidR="00454A29" w:rsidRDefault="00454A29">
            <w:pPr>
              <w:pStyle w:val="ConsPlusNormal"/>
              <w:jc w:val="center"/>
            </w:pPr>
            <w:r>
              <w:t>Школа на 60 учащихся в с. Чымнайы</w:t>
            </w:r>
          </w:p>
        </w:tc>
        <w:tc>
          <w:tcPr>
            <w:tcW w:w="1701" w:type="dxa"/>
            <w:vAlign w:val="center"/>
          </w:tcPr>
          <w:p w14:paraId="699AE777" w14:textId="77777777" w:rsidR="00454A29" w:rsidRDefault="00454A29">
            <w:pPr>
              <w:pStyle w:val="ConsPlusNormal"/>
              <w:jc w:val="center"/>
            </w:pPr>
            <w:r>
              <w:t>2020 - 2026 годы - всего</w:t>
            </w:r>
          </w:p>
        </w:tc>
        <w:tc>
          <w:tcPr>
            <w:tcW w:w="1417" w:type="dxa"/>
            <w:vMerge w:val="restart"/>
            <w:vAlign w:val="center"/>
          </w:tcPr>
          <w:p w14:paraId="76AEBCC2" w14:textId="77777777" w:rsidR="00454A29" w:rsidRDefault="00454A29">
            <w:pPr>
              <w:pStyle w:val="ConsPlusNormal"/>
              <w:jc w:val="center"/>
            </w:pPr>
            <w:r>
              <w:t>220 694,71</w:t>
            </w:r>
          </w:p>
        </w:tc>
        <w:tc>
          <w:tcPr>
            <w:tcW w:w="2204" w:type="dxa"/>
            <w:vMerge w:val="restart"/>
            <w:vAlign w:val="center"/>
          </w:tcPr>
          <w:p w14:paraId="288C5A56" w14:textId="77777777" w:rsidR="00454A29" w:rsidRDefault="00454A29">
            <w:pPr>
              <w:pStyle w:val="ConsPlusNormal"/>
            </w:pPr>
          </w:p>
        </w:tc>
        <w:tc>
          <w:tcPr>
            <w:tcW w:w="1417" w:type="dxa"/>
            <w:vMerge w:val="restart"/>
            <w:vAlign w:val="center"/>
          </w:tcPr>
          <w:p w14:paraId="2B725276" w14:textId="77777777" w:rsidR="00454A29" w:rsidRDefault="00454A29">
            <w:pPr>
              <w:pStyle w:val="ConsPlusNormal"/>
              <w:jc w:val="center"/>
            </w:pPr>
            <w:r>
              <w:t>60</w:t>
            </w:r>
          </w:p>
        </w:tc>
        <w:tc>
          <w:tcPr>
            <w:tcW w:w="2324" w:type="dxa"/>
            <w:vMerge w:val="restart"/>
            <w:vAlign w:val="center"/>
          </w:tcPr>
          <w:p w14:paraId="5BD23BB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B494321" w14:textId="77777777" w:rsidR="00454A29" w:rsidRDefault="00454A29">
            <w:pPr>
              <w:pStyle w:val="ConsPlusNormal"/>
              <w:jc w:val="center"/>
            </w:pPr>
            <w:r>
              <w:t>220 694,71</w:t>
            </w:r>
          </w:p>
        </w:tc>
        <w:tc>
          <w:tcPr>
            <w:tcW w:w="1814" w:type="dxa"/>
            <w:vAlign w:val="center"/>
          </w:tcPr>
          <w:p w14:paraId="34A1218E" w14:textId="77777777" w:rsidR="00454A29" w:rsidRDefault="00454A29">
            <w:pPr>
              <w:pStyle w:val="ConsPlusNormal"/>
              <w:jc w:val="center"/>
            </w:pPr>
            <w:r>
              <w:t>2 791,79</w:t>
            </w:r>
          </w:p>
        </w:tc>
        <w:tc>
          <w:tcPr>
            <w:tcW w:w="1701" w:type="dxa"/>
            <w:vAlign w:val="center"/>
          </w:tcPr>
          <w:p w14:paraId="249112E3" w14:textId="77777777" w:rsidR="00454A29" w:rsidRDefault="00454A29">
            <w:pPr>
              <w:pStyle w:val="ConsPlusNormal"/>
              <w:jc w:val="center"/>
            </w:pPr>
            <w:r>
              <w:t>276 387,03</w:t>
            </w:r>
          </w:p>
        </w:tc>
        <w:tc>
          <w:tcPr>
            <w:tcW w:w="1701" w:type="dxa"/>
            <w:vAlign w:val="center"/>
          </w:tcPr>
          <w:p w14:paraId="6C8E612F" w14:textId="77777777" w:rsidR="00454A29" w:rsidRDefault="00454A29">
            <w:pPr>
              <w:pStyle w:val="ConsPlusNormal"/>
              <w:jc w:val="center"/>
            </w:pPr>
            <w:r>
              <w:t>-</w:t>
            </w:r>
          </w:p>
        </w:tc>
        <w:tc>
          <w:tcPr>
            <w:tcW w:w="1814" w:type="dxa"/>
            <w:vAlign w:val="center"/>
          </w:tcPr>
          <w:p w14:paraId="2D33364C" w14:textId="77777777" w:rsidR="00454A29" w:rsidRDefault="00454A29">
            <w:pPr>
              <w:pStyle w:val="ConsPlusNormal"/>
              <w:jc w:val="center"/>
            </w:pPr>
            <w:r>
              <w:t>-</w:t>
            </w:r>
          </w:p>
        </w:tc>
      </w:tr>
      <w:tr w:rsidR="00454A29" w14:paraId="7A5F7B66" w14:textId="77777777">
        <w:tc>
          <w:tcPr>
            <w:tcW w:w="567" w:type="dxa"/>
            <w:vMerge/>
          </w:tcPr>
          <w:p w14:paraId="1D6D51BC" w14:textId="77777777" w:rsidR="00454A29" w:rsidRDefault="00454A29"/>
        </w:tc>
        <w:tc>
          <w:tcPr>
            <w:tcW w:w="3345" w:type="dxa"/>
            <w:vMerge/>
          </w:tcPr>
          <w:p w14:paraId="05E55638" w14:textId="77777777" w:rsidR="00454A29" w:rsidRDefault="00454A29"/>
        </w:tc>
        <w:tc>
          <w:tcPr>
            <w:tcW w:w="1701" w:type="dxa"/>
            <w:vAlign w:val="center"/>
          </w:tcPr>
          <w:p w14:paraId="4A29494E" w14:textId="77777777" w:rsidR="00454A29" w:rsidRDefault="00454A29">
            <w:pPr>
              <w:pStyle w:val="ConsPlusNormal"/>
              <w:jc w:val="center"/>
            </w:pPr>
            <w:r>
              <w:t>2020</w:t>
            </w:r>
          </w:p>
        </w:tc>
        <w:tc>
          <w:tcPr>
            <w:tcW w:w="1417" w:type="dxa"/>
            <w:vMerge/>
          </w:tcPr>
          <w:p w14:paraId="2CEE208F" w14:textId="77777777" w:rsidR="00454A29" w:rsidRDefault="00454A29"/>
        </w:tc>
        <w:tc>
          <w:tcPr>
            <w:tcW w:w="2204" w:type="dxa"/>
            <w:vMerge/>
          </w:tcPr>
          <w:p w14:paraId="4663E504" w14:textId="77777777" w:rsidR="00454A29" w:rsidRDefault="00454A29"/>
        </w:tc>
        <w:tc>
          <w:tcPr>
            <w:tcW w:w="1417" w:type="dxa"/>
            <w:vMerge/>
          </w:tcPr>
          <w:p w14:paraId="0155A6D8" w14:textId="77777777" w:rsidR="00454A29" w:rsidRDefault="00454A29"/>
        </w:tc>
        <w:tc>
          <w:tcPr>
            <w:tcW w:w="2324" w:type="dxa"/>
            <w:vMerge/>
          </w:tcPr>
          <w:p w14:paraId="4DEE5E85" w14:textId="77777777" w:rsidR="00454A29" w:rsidRDefault="00454A29"/>
        </w:tc>
        <w:tc>
          <w:tcPr>
            <w:tcW w:w="1701" w:type="dxa"/>
            <w:vAlign w:val="center"/>
          </w:tcPr>
          <w:p w14:paraId="4CACFB0B" w14:textId="77777777" w:rsidR="00454A29" w:rsidRDefault="00454A29">
            <w:pPr>
              <w:pStyle w:val="ConsPlusNormal"/>
            </w:pPr>
          </w:p>
        </w:tc>
        <w:tc>
          <w:tcPr>
            <w:tcW w:w="1814" w:type="dxa"/>
            <w:vAlign w:val="center"/>
          </w:tcPr>
          <w:p w14:paraId="2327BB6D" w14:textId="77777777" w:rsidR="00454A29" w:rsidRDefault="00454A29">
            <w:pPr>
              <w:pStyle w:val="ConsPlusNormal"/>
            </w:pPr>
          </w:p>
        </w:tc>
        <w:tc>
          <w:tcPr>
            <w:tcW w:w="1701" w:type="dxa"/>
            <w:vAlign w:val="center"/>
          </w:tcPr>
          <w:p w14:paraId="464E03B0" w14:textId="77777777" w:rsidR="00454A29" w:rsidRDefault="00454A29">
            <w:pPr>
              <w:pStyle w:val="ConsPlusNormal"/>
            </w:pPr>
          </w:p>
        </w:tc>
        <w:tc>
          <w:tcPr>
            <w:tcW w:w="1701" w:type="dxa"/>
            <w:vAlign w:val="center"/>
          </w:tcPr>
          <w:p w14:paraId="39F04E88" w14:textId="77777777" w:rsidR="00454A29" w:rsidRDefault="00454A29">
            <w:pPr>
              <w:pStyle w:val="ConsPlusNormal"/>
            </w:pPr>
          </w:p>
        </w:tc>
        <w:tc>
          <w:tcPr>
            <w:tcW w:w="1814" w:type="dxa"/>
            <w:vAlign w:val="center"/>
          </w:tcPr>
          <w:p w14:paraId="530177D8" w14:textId="77777777" w:rsidR="00454A29" w:rsidRDefault="00454A29">
            <w:pPr>
              <w:pStyle w:val="ConsPlusNormal"/>
            </w:pPr>
          </w:p>
        </w:tc>
      </w:tr>
      <w:tr w:rsidR="00454A29" w14:paraId="718E5B05" w14:textId="77777777">
        <w:tc>
          <w:tcPr>
            <w:tcW w:w="567" w:type="dxa"/>
            <w:vMerge/>
          </w:tcPr>
          <w:p w14:paraId="3C0DE168" w14:textId="77777777" w:rsidR="00454A29" w:rsidRDefault="00454A29"/>
        </w:tc>
        <w:tc>
          <w:tcPr>
            <w:tcW w:w="3345" w:type="dxa"/>
            <w:vMerge/>
          </w:tcPr>
          <w:p w14:paraId="7B8D153D" w14:textId="77777777" w:rsidR="00454A29" w:rsidRDefault="00454A29"/>
        </w:tc>
        <w:tc>
          <w:tcPr>
            <w:tcW w:w="1701" w:type="dxa"/>
            <w:vAlign w:val="center"/>
          </w:tcPr>
          <w:p w14:paraId="6E74C9C8" w14:textId="77777777" w:rsidR="00454A29" w:rsidRDefault="00454A29">
            <w:pPr>
              <w:pStyle w:val="ConsPlusNormal"/>
              <w:jc w:val="center"/>
            </w:pPr>
            <w:r>
              <w:t>2021</w:t>
            </w:r>
          </w:p>
        </w:tc>
        <w:tc>
          <w:tcPr>
            <w:tcW w:w="1417" w:type="dxa"/>
            <w:vMerge/>
          </w:tcPr>
          <w:p w14:paraId="116DEAFB" w14:textId="77777777" w:rsidR="00454A29" w:rsidRDefault="00454A29"/>
        </w:tc>
        <w:tc>
          <w:tcPr>
            <w:tcW w:w="2204" w:type="dxa"/>
            <w:vMerge/>
          </w:tcPr>
          <w:p w14:paraId="40DC5342" w14:textId="77777777" w:rsidR="00454A29" w:rsidRDefault="00454A29"/>
        </w:tc>
        <w:tc>
          <w:tcPr>
            <w:tcW w:w="1417" w:type="dxa"/>
            <w:vMerge/>
          </w:tcPr>
          <w:p w14:paraId="5F72EE08" w14:textId="77777777" w:rsidR="00454A29" w:rsidRDefault="00454A29"/>
        </w:tc>
        <w:tc>
          <w:tcPr>
            <w:tcW w:w="2324" w:type="dxa"/>
            <w:vMerge/>
          </w:tcPr>
          <w:p w14:paraId="572287B0" w14:textId="77777777" w:rsidR="00454A29" w:rsidRDefault="00454A29"/>
        </w:tc>
        <w:tc>
          <w:tcPr>
            <w:tcW w:w="1701" w:type="dxa"/>
            <w:vAlign w:val="center"/>
          </w:tcPr>
          <w:p w14:paraId="62BC6285" w14:textId="77777777" w:rsidR="00454A29" w:rsidRDefault="00454A29">
            <w:pPr>
              <w:pStyle w:val="ConsPlusNormal"/>
              <w:jc w:val="center"/>
            </w:pPr>
            <w:r>
              <w:t>-</w:t>
            </w:r>
          </w:p>
        </w:tc>
        <w:tc>
          <w:tcPr>
            <w:tcW w:w="1814" w:type="dxa"/>
            <w:vAlign w:val="center"/>
          </w:tcPr>
          <w:p w14:paraId="701C849F" w14:textId="77777777" w:rsidR="00454A29" w:rsidRDefault="00454A29">
            <w:pPr>
              <w:pStyle w:val="ConsPlusNormal"/>
            </w:pPr>
          </w:p>
        </w:tc>
        <w:tc>
          <w:tcPr>
            <w:tcW w:w="1701" w:type="dxa"/>
            <w:vAlign w:val="center"/>
          </w:tcPr>
          <w:p w14:paraId="1118AEB7" w14:textId="77777777" w:rsidR="00454A29" w:rsidRDefault="00454A29">
            <w:pPr>
              <w:pStyle w:val="ConsPlusNormal"/>
            </w:pPr>
          </w:p>
        </w:tc>
        <w:tc>
          <w:tcPr>
            <w:tcW w:w="1701" w:type="dxa"/>
            <w:vAlign w:val="center"/>
          </w:tcPr>
          <w:p w14:paraId="7AF36C22" w14:textId="77777777" w:rsidR="00454A29" w:rsidRDefault="00454A29">
            <w:pPr>
              <w:pStyle w:val="ConsPlusNormal"/>
            </w:pPr>
          </w:p>
        </w:tc>
        <w:tc>
          <w:tcPr>
            <w:tcW w:w="1814" w:type="dxa"/>
            <w:vAlign w:val="center"/>
          </w:tcPr>
          <w:p w14:paraId="67884365" w14:textId="77777777" w:rsidR="00454A29" w:rsidRDefault="00454A29">
            <w:pPr>
              <w:pStyle w:val="ConsPlusNormal"/>
            </w:pPr>
          </w:p>
        </w:tc>
      </w:tr>
      <w:tr w:rsidR="00454A29" w14:paraId="177E268A" w14:textId="77777777">
        <w:tc>
          <w:tcPr>
            <w:tcW w:w="567" w:type="dxa"/>
            <w:vMerge/>
          </w:tcPr>
          <w:p w14:paraId="7D46CD24" w14:textId="77777777" w:rsidR="00454A29" w:rsidRDefault="00454A29"/>
        </w:tc>
        <w:tc>
          <w:tcPr>
            <w:tcW w:w="3345" w:type="dxa"/>
            <w:vMerge/>
          </w:tcPr>
          <w:p w14:paraId="2038E7E0" w14:textId="77777777" w:rsidR="00454A29" w:rsidRDefault="00454A29"/>
        </w:tc>
        <w:tc>
          <w:tcPr>
            <w:tcW w:w="1701" w:type="dxa"/>
            <w:vAlign w:val="center"/>
          </w:tcPr>
          <w:p w14:paraId="42243159" w14:textId="77777777" w:rsidR="00454A29" w:rsidRDefault="00454A29">
            <w:pPr>
              <w:pStyle w:val="ConsPlusNormal"/>
              <w:jc w:val="center"/>
            </w:pPr>
            <w:r>
              <w:t>2022</w:t>
            </w:r>
          </w:p>
        </w:tc>
        <w:tc>
          <w:tcPr>
            <w:tcW w:w="1417" w:type="dxa"/>
            <w:vMerge/>
          </w:tcPr>
          <w:p w14:paraId="01860D49" w14:textId="77777777" w:rsidR="00454A29" w:rsidRDefault="00454A29"/>
        </w:tc>
        <w:tc>
          <w:tcPr>
            <w:tcW w:w="2204" w:type="dxa"/>
            <w:vMerge/>
          </w:tcPr>
          <w:p w14:paraId="0EB856DB" w14:textId="77777777" w:rsidR="00454A29" w:rsidRDefault="00454A29"/>
        </w:tc>
        <w:tc>
          <w:tcPr>
            <w:tcW w:w="1417" w:type="dxa"/>
            <w:vMerge/>
          </w:tcPr>
          <w:p w14:paraId="50E8BEEA" w14:textId="77777777" w:rsidR="00454A29" w:rsidRDefault="00454A29"/>
        </w:tc>
        <w:tc>
          <w:tcPr>
            <w:tcW w:w="2324" w:type="dxa"/>
            <w:vMerge/>
          </w:tcPr>
          <w:p w14:paraId="0BF0F48F" w14:textId="77777777" w:rsidR="00454A29" w:rsidRDefault="00454A29"/>
        </w:tc>
        <w:tc>
          <w:tcPr>
            <w:tcW w:w="1701" w:type="dxa"/>
            <w:vAlign w:val="center"/>
          </w:tcPr>
          <w:p w14:paraId="35E2D024" w14:textId="77777777" w:rsidR="00454A29" w:rsidRDefault="00454A29">
            <w:pPr>
              <w:pStyle w:val="ConsPlusNormal"/>
            </w:pPr>
          </w:p>
        </w:tc>
        <w:tc>
          <w:tcPr>
            <w:tcW w:w="1814" w:type="dxa"/>
            <w:vAlign w:val="center"/>
          </w:tcPr>
          <w:p w14:paraId="5957C5C6" w14:textId="77777777" w:rsidR="00454A29" w:rsidRDefault="00454A29">
            <w:pPr>
              <w:pStyle w:val="ConsPlusNormal"/>
            </w:pPr>
          </w:p>
        </w:tc>
        <w:tc>
          <w:tcPr>
            <w:tcW w:w="1701" w:type="dxa"/>
            <w:vAlign w:val="center"/>
          </w:tcPr>
          <w:p w14:paraId="174B2ED3" w14:textId="77777777" w:rsidR="00454A29" w:rsidRDefault="00454A29">
            <w:pPr>
              <w:pStyle w:val="ConsPlusNormal"/>
            </w:pPr>
          </w:p>
        </w:tc>
        <w:tc>
          <w:tcPr>
            <w:tcW w:w="1701" w:type="dxa"/>
            <w:vAlign w:val="center"/>
          </w:tcPr>
          <w:p w14:paraId="3A500BBA" w14:textId="77777777" w:rsidR="00454A29" w:rsidRDefault="00454A29">
            <w:pPr>
              <w:pStyle w:val="ConsPlusNormal"/>
            </w:pPr>
          </w:p>
        </w:tc>
        <w:tc>
          <w:tcPr>
            <w:tcW w:w="1814" w:type="dxa"/>
            <w:vAlign w:val="center"/>
          </w:tcPr>
          <w:p w14:paraId="2BDEA574" w14:textId="77777777" w:rsidR="00454A29" w:rsidRDefault="00454A29">
            <w:pPr>
              <w:pStyle w:val="ConsPlusNormal"/>
            </w:pPr>
          </w:p>
        </w:tc>
      </w:tr>
      <w:tr w:rsidR="00454A29" w14:paraId="52C4B4A7" w14:textId="77777777">
        <w:tc>
          <w:tcPr>
            <w:tcW w:w="567" w:type="dxa"/>
            <w:vMerge/>
          </w:tcPr>
          <w:p w14:paraId="5D9935FA" w14:textId="77777777" w:rsidR="00454A29" w:rsidRDefault="00454A29"/>
        </w:tc>
        <w:tc>
          <w:tcPr>
            <w:tcW w:w="3345" w:type="dxa"/>
            <w:vMerge/>
          </w:tcPr>
          <w:p w14:paraId="59B89A5A" w14:textId="77777777" w:rsidR="00454A29" w:rsidRDefault="00454A29"/>
        </w:tc>
        <w:tc>
          <w:tcPr>
            <w:tcW w:w="1701" w:type="dxa"/>
            <w:vAlign w:val="center"/>
          </w:tcPr>
          <w:p w14:paraId="1A064311" w14:textId="77777777" w:rsidR="00454A29" w:rsidRDefault="00454A29">
            <w:pPr>
              <w:pStyle w:val="ConsPlusNormal"/>
              <w:jc w:val="center"/>
            </w:pPr>
            <w:r>
              <w:t>2023</w:t>
            </w:r>
          </w:p>
        </w:tc>
        <w:tc>
          <w:tcPr>
            <w:tcW w:w="1417" w:type="dxa"/>
            <w:vMerge/>
          </w:tcPr>
          <w:p w14:paraId="7D47AAE1" w14:textId="77777777" w:rsidR="00454A29" w:rsidRDefault="00454A29"/>
        </w:tc>
        <w:tc>
          <w:tcPr>
            <w:tcW w:w="2204" w:type="dxa"/>
            <w:vMerge/>
          </w:tcPr>
          <w:p w14:paraId="4173736C" w14:textId="77777777" w:rsidR="00454A29" w:rsidRDefault="00454A29"/>
        </w:tc>
        <w:tc>
          <w:tcPr>
            <w:tcW w:w="1417" w:type="dxa"/>
            <w:vMerge/>
          </w:tcPr>
          <w:p w14:paraId="051FCF7A" w14:textId="77777777" w:rsidR="00454A29" w:rsidRDefault="00454A29"/>
        </w:tc>
        <w:tc>
          <w:tcPr>
            <w:tcW w:w="2324" w:type="dxa"/>
            <w:vMerge/>
          </w:tcPr>
          <w:p w14:paraId="30673B9C" w14:textId="77777777" w:rsidR="00454A29" w:rsidRDefault="00454A29"/>
        </w:tc>
        <w:tc>
          <w:tcPr>
            <w:tcW w:w="1701" w:type="dxa"/>
            <w:vAlign w:val="center"/>
          </w:tcPr>
          <w:p w14:paraId="0366A3AC" w14:textId="77777777" w:rsidR="00454A29" w:rsidRDefault="00454A29">
            <w:pPr>
              <w:pStyle w:val="ConsPlusNormal"/>
              <w:jc w:val="center"/>
            </w:pPr>
            <w:r>
              <w:t>-</w:t>
            </w:r>
          </w:p>
        </w:tc>
        <w:tc>
          <w:tcPr>
            <w:tcW w:w="1814" w:type="dxa"/>
            <w:vAlign w:val="center"/>
          </w:tcPr>
          <w:p w14:paraId="13A1A25A" w14:textId="77777777" w:rsidR="00454A29" w:rsidRDefault="00454A29">
            <w:pPr>
              <w:pStyle w:val="ConsPlusNormal"/>
            </w:pPr>
          </w:p>
        </w:tc>
        <w:tc>
          <w:tcPr>
            <w:tcW w:w="1701" w:type="dxa"/>
            <w:vAlign w:val="center"/>
          </w:tcPr>
          <w:p w14:paraId="3ADE1842" w14:textId="77777777" w:rsidR="00454A29" w:rsidRDefault="00454A29">
            <w:pPr>
              <w:pStyle w:val="ConsPlusNormal"/>
            </w:pPr>
          </w:p>
        </w:tc>
        <w:tc>
          <w:tcPr>
            <w:tcW w:w="1701" w:type="dxa"/>
            <w:vAlign w:val="center"/>
          </w:tcPr>
          <w:p w14:paraId="75557357" w14:textId="77777777" w:rsidR="00454A29" w:rsidRDefault="00454A29">
            <w:pPr>
              <w:pStyle w:val="ConsPlusNormal"/>
            </w:pPr>
          </w:p>
        </w:tc>
        <w:tc>
          <w:tcPr>
            <w:tcW w:w="1814" w:type="dxa"/>
            <w:vAlign w:val="center"/>
          </w:tcPr>
          <w:p w14:paraId="6A36C8DD" w14:textId="77777777" w:rsidR="00454A29" w:rsidRDefault="00454A29">
            <w:pPr>
              <w:pStyle w:val="ConsPlusNormal"/>
            </w:pPr>
          </w:p>
        </w:tc>
      </w:tr>
      <w:tr w:rsidR="00454A29" w14:paraId="24F0BBBA" w14:textId="77777777">
        <w:tc>
          <w:tcPr>
            <w:tcW w:w="567" w:type="dxa"/>
            <w:vMerge/>
          </w:tcPr>
          <w:p w14:paraId="5F5359DC" w14:textId="77777777" w:rsidR="00454A29" w:rsidRDefault="00454A29"/>
        </w:tc>
        <w:tc>
          <w:tcPr>
            <w:tcW w:w="3345" w:type="dxa"/>
            <w:vMerge/>
          </w:tcPr>
          <w:p w14:paraId="1BAB3C0B" w14:textId="77777777" w:rsidR="00454A29" w:rsidRDefault="00454A29"/>
        </w:tc>
        <w:tc>
          <w:tcPr>
            <w:tcW w:w="1701" w:type="dxa"/>
            <w:vAlign w:val="center"/>
          </w:tcPr>
          <w:p w14:paraId="132B33C9" w14:textId="77777777" w:rsidR="00454A29" w:rsidRDefault="00454A29">
            <w:pPr>
              <w:pStyle w:val="ConsPlusNormal"/>
              <w:jc w:val="center"/>
            </w:pPr>
            <w:r>
              <w:t>2024</w:t>
            </w:r>
          </w:p>
        </w:tc>
        <w:tc>
          <w:tcPr>
            <w:tcW w:w="1417" w:type="dxa"/>
            <w:vMerge/>
          </w:tcPr>
          <w:p w14:paraId="7B6E6BED" w14:textId="77777777" w:rsidR="00454A29" w:rsidRDefault="00454A29"/>
        </w:tc>
        <w:tc>
          <w:tcPr>
            <w:tcW w:w="2204" w:type="dxa"/>
            <w:vMerge/>
          </w:tcPr>
          <w:p w14:paraId="562F4EFE" w14:textId="77777777" w:rsidR="00454A29" w:rsidRDefault="00454A29"/>
        </w:tc>
        <w:tc>
          <w:tcPr>
            <w:tcW w:w="1417" w:type="dxa"/>
            <w:vMerge/>
          </w:tcPr>
          <w:p w14:paraId="6FF655B0" w14:textId="77777777" w:rsidR="00454A29" w:rsidRDefault="00454A29"/>
        </w:tc>
        <w:tc>
          <w:tcPr>
            <w:tcW w:w="2324" w:type="dxa"/>
            <w:vMerge/>
          </w:tcPr>
          <w:p w14:paraId="584244F6" w14:textId="77777777" w:rsidR="00454A29" w:rsidRDefault="00454A29"/>
        </w:tc>
        <w:tc>
          <w:tcPr>
            <w:tcW w:w="1701" w:type="dxa"/>
            <w:vAlign w:val="center"/>
          </w:tcPr>
          <w:p w14:paraId="015C6D4F" w14:textId="77777777" w:rsidR="00454A29" w:rsidRDefault="00454A29">
            <w:pPr>
              <w:pStyle w:val="ConsPlusNormal"/>
            </w:pPr>
          </w:p>
        </w:tc>
        <w:tc>
          <w:tcPr>
            <w:tcW w:w="1814" w:type="dxa"/>
            <w:vAlign w:val="center"/>
          </w:tcPr>
          <w:p w14:paraId="51DA1E4E" w14:textId="77777777" w:rsidR="00454A29" w:rsidRDefault="00454A29">
            <w:pPr>
              <w:pStyle w:val="ConsPlusNormal"/>
            </w:pPr>
          </w:p>
        </w:tc>
        <w:tc>
          <w:tcPr>
            <w:tcW w:w="1701" w:type="dxa"/>
            <w:vAlign w:val="center"/>
          </w:tcPr>
          <w:p w14:paraId="37C96F6D" w14:textId="77777777" w:rsidR="00454A29" w:rsidRDefault="00454A29">
            <w:pPr>
              <w:pStyle w:val="ConsPlusNormal"/>
            </w:pPr>
          </w:p>
        </w:tc>
        <w:tc>
          <w:tcPr>
            <w:tcW w:w="1701" w:type="dxa"/>
            <w:vAlign w:val="center"/>
          </w:tcPr>
          <w:p w14:paraId="45C48CC7" w14:textId="77777777" w:rsidR="00454A29" w:rsidRDefault="00454A29">
            <w:pPr>
              <w:pStyle w:val="ConsPlusNormal"/>
            </w:pPr>
          </w:p>
        </w:tc>
        <w:tc>
          <w:tcPr>
            <w:tcW w:w="1814" w:type="dxa"/>
            <w:vAlign w:val="center"/>
          </w:tcPr>
          <w:p w14:paraId="20598284" w14:textId="77777777" w:rsidR="00454A29" w:rsidRDefault="00454A29">
            <w:pPr>
              <w:pStyle w:val="ConsPlusNormal"/>
            </w:pPr>
          </w:p>
        </w:tc>
      </w:tr>
      <w:tr w:rsidR="00454A29" w14:paraId="2B1270AC" w14:textId="77777777">
        <w:tc>
          <w:tcPr>
            <w:tcW w:w="567" w:type="dxa"/>
            <w:vMerge/>
          </w:tcPr>
          <w:p w14:paraId="425E83C5" w14:textId="77777777" w:rsidR="00454A29" w:rsidRDefault="00454A29"/>
        </w:tc>
        <w:tc>
          <w:tcPr>
            <w:tcW w:w="3345" w:type="dxa"/>
            <w:vMerge/>
          </w:tcPr>
          <w:p w14:paraId="3EF1F50F" w14:textId="77777777" w:rsidR="00454A29" w:rsidRDefault="00454A29"/>
        </w:tc>
        <w:tc>
          <w:tcPr>
            <w:tcW w:w="1701" w:type="dxa"/>
            <w:vAlign w:val="center"/>
          </w:tcPr>
          <w:p w14:paraId="635307C7" w14:textId="77777777" w:rsidR="00454A29" w:rsidRDefault="00454A29">
            <w:pPr>
              <w:pStyle w:val="ConsPlusNormal"/>
              <w:jc w:val="center"/>
            </w:pPr>
            <w:r>
              <w:t>2025</w:t>
            </w:r>
          </w:p>
        </w:tc>
        <w:tc>
          <w:tcPr>
            <w:tcW w:w="1417" w:type="dxa"/>
            <w:vMerge/>
          </w:tcPr>
          <w:p w14:paraId="035E5A81" w14:textId="77777777" w:rsidR="00454A29" w:rsidRDefault="00454A29"/>
        </w:tc>
        <w:tc>
          <w:tcPr>
            <w:tcW w:w="2204" w:type="dxa"/>
            <w:vMerge/>
          </w:tcPr>
          <w:p w14:paraId="55C2A7FB" w14:textId="77777777" w:rsidR="00454A29" w:rsidRDefault="00454A29"/>
        </w:tc>
        <w:tc>
          <w:tcPr>
            <w:tcW w:w="1417" w:type="dxa"/>
            <w:vMerge/>
          </w:tcPr>
          <w:p w14:paraId="27B32CF7" w14:textId="77777777" w:rsidR="00454A29" w:rsidRDefault="00454A29"/>
        </w:tc>
        <w:tc>
          <w:tcPr>
            <w:tcW w:w="2324" w:type="dxa"/>
            <w:vMerge/>
          </w:tcPr>
          <w:p w14:paraId="1FD0BEF9" w14:textId="77777777" w:rsidR="00454A29" w:rsidRDefault="00454A29"/>
        </w:tc>
        <w:tc>
          <w:tcPr>
            <w:tcW w:w="1701" w:type="dxa"/>
            <w:vAlign w:val="center"/>
          </w:tcPr>
          <w:p w14:paraId="263B15A0" w14:textId="77777777" w:rsidR="00454A29" w:rsidRDefault="00454A29">
            <w:pPr>
              <w:pStyle w:val="ConsPlusNormal"/>
              <w:jc w:val="center"/>
            </w:pPr>
            <w:r>
              <w:t>220 694,71</w:t>
            </w:r>
          </w:p>
        </w:tc>
        <w:tc>
          <w:tcPr>
            <w:tcW w:w="1814" w:type="dxa"/>
            <w:vAlign w:val="center"/>
          </w:tcPr>
          <w:p w14:paraId="43B95352" w14:textId="77777777" w:rsidR="00454A29" w:rsidRDefault="00454A29">
            <w:pPr>
              <w:pStyle w:val="ConsPlusNormal"/>
              <w:jc w:val="center"/>
            </w:pPr>
            <w:r>
              <w:t>2 791,79</w:t>
            </w:r>
          </w:p>
        </w:tc>
        <w:tc>
          <w:tcPr>
            <w:tcW w:w="1701" w:type="dxa"/>
            <w:vAlign w:val="center"/>
          </w:tcPr>
          <w:p w14:paraId="37BE5378" w14:textId="77777777" w:rsidR="00454A29" w:rsidRDefault="00454A29">
            <w:pPr>
              <w:pStyle w:val="ConsPlusNormal"/>
              <w:jc w:val="center"/>
            </w:pPr>
            <w:r>
              <w:t>276 387,03</w:t>
            </w:r>
          </w:p>
        </w:tc>
        <w:tc>
          <w:tcPr>
            <w:tcW w:w="1701" w:type="dxa"/>
            <w:vAlign w:val="center"/>
          </w:tcPr>
          <w:p w14:paraId="1B9504E7" w14:textId="77777777" w:rsidR="00454A29" w:rsidRDefault="00454A29">
            <w:pPr>
              <w:pStyle w:val="ConsPlusNormal"/>
            </w:pPr>
          </w:p>
        </w:tc>
        <w:tc>
          <w:tcPr>
            <w:tcW w:w="1814" w:type="dxa"/>
            <w:vAlign w:val="center"/>
          </w:tcPr>
          <w:p w14:paraId="3EE9D162" w14:textId="77777777" w:rsidR="00454A29" w:rsidRDefault="00454A29">
            <w:pPr>
              <w:pStyle w:val="ConsPlusNormal"/>
            </w:pPr>
          </w:p>
        </w:tc>
      </w:tr>
      <w:tr w:rsidR="00454A29" w14:paraId="09CE313A" w14:textId="77777777">
        <w:tc>
          <w:tcPr>
            <w:tcW w:w="567" w:type="dxa"/>
            <w:vMerge/>
          </w:tcPr>
          <w:p w14:paraId="7D7948AD" w14:textId="77777777" w:rsidR="00454A29" w:rsidRDefault="00454A29"/>
        </w:tc>
        <w:tc>
          <w:tcPr>
            <w:tcW w:w="3345" w:type="dxa"/>
            <w:vMerge/>
          </w:tcPr>
          <w:p w14:paraId="30E61F04" w14:textId="77777777" w:rsidR="00454A29" w:rsidRDefault="00454A29"/>
        </w:tc>
        <w:tc>
          <w:tcPr>
            <w:tcW w:w="1701" w:type="dxa"/>
            <w:vAlign w:val="center"/>
          </w:tcPr>
          <w:p w14:paraId="0740B433" w14:textId="77777777" w:rsidR="00454A29" w:rsidRDefault="00454A29">
            <w:pPr>
              <w:pStyle w:val="ConsPlusNormal"/>
              <w:jc w:val="center"/>
            </w:pPr>
            <w:r>
              <w:t>2026</w:t>
            </w:r>
          </w:p>
        </w:tc>
        <w:tc>
          <w:tcPr>
            <w:tcW w:w="1417" w:type="dxa"/>
            <w:vMerge/>
          </w:tcPr>
          <w:p w14:paraId="584DB08A" w14:textId="77777777" w:rsidR="00454A29" w:rsidRDefault="00454A29"/>
        </w:tc>
        <w:tc>
          <w:tcPr>
            <w:tcW w:w="2204" w:type="dxa"/>
            <w:vMerge/>
          </w:tcPr>
          <w:p w14:paraId="377A77D3" w14:textId="77777777" w:rsidR="00454A29" w:rsidRDefault="00454A29"/>
        </w:tc>
        <w:tc>
          <w:tcPr>
            <w:tcW w:w="1417" w:type="dxa"/>
            <w:vMerge/>
          </w:tcPr>
          <w:p w14:paraId="70539D63" w14:textId="77777777" w:rsidR="00454A29" w:rsidRDefault="00454A29"/>
        </w:tc>
        <w:tc>
          <w:tcPr>
            <w:tcW w:w="2324" w:type="dxa"/>
            <w:vMerge/>
          </w:tcPr>
          <w:p w14:paraId="52C9C098" w14:textId="77777777" w:rsidR="00454A29" w:rsidRDefault="00454A29"/>
        </w:tc>
        <w:tc>
          <w:tcPr>
            <w:tcW w:w="1701" w:type="dxa"/>
            <w:vAlign w:val="center"/>
          </w:tcPr>
          <w:p w14:paraId="20EE7B23" w14:textId="77777777" w:rsidR="00454A29" w:rsidRDefault="00454A29">
            <w:pPr>
              <w:pStyle w:val="ConsPlusNormal"/>
            </w:pPr>
          </w:p>
        </w:tc>
        <w:tc>
          <w:tcPr>
            <w:tcW w:w="1814" w:type="dxa"/>
            <w:vAlign w:val="center"/>
          </w:tcPr>
          <w:p w14:paraId="77F6A11D" w14:textId="77777777" w:rsidR="00454A29" w:rsidRDefault="00454A29">
            <w:pPr>
              <w:pStyle w:val="ConsPlusNormal"/>
            </w:pPr>
          </w:p>
        </w:tc>
        <w:tc>
          <w:tcPr>
            <w:tcW w:w="1701" w:type="dxa"/>
            <w:vAlign w:val="center"/>
          </w:tcPr>
          <w:p w14:paraId="4B8FC69A" w14:textId="77777777" w:rsidR="00454A29" w:rsidRDefault="00454A29">
            <w:pPr>
              <w:pStyle w:val="ConsPlusNormal"/>
            </w:pPr>
          </w:p>
        </w:tc>
        <w:tc>
          <w:tcPr>
            <w:tcW w:w="1701" w:type="dxa"/>
            <w:vAlign w:val="center"/>
          </w:tcPr>
          <w:p w14:paraId="65C2DF87" w14:textId="77777777" w:rsidR="00454A29" w:rsidRDefault="00454A29">
            <w:pPr>
              <w:pStyle w:val="ConsPlusNormal"/>
            </w:pPr>
          </w:p>
        </w:tc>
        <w:tc>
          <w:tcPr>
            <w:tcW w:w="1814" w:type="dxa"/>
            <w:vAlign w:val="center"/>
          </w:tcPr>
          <w:p w14:paraId="0006393B" w14:textId="77777777" w:rsidR="00454A29" w:rsidRDefault="00454A29">
            <w:pPr>
              <w:pStyle w:val="ConsPlusNormal"/>
            </w:pPr>
          </w:p>
        </w:tc>
      </w:tr>
      <w:tr w:rsidR="00454A29" w14:paraId="56A14693" w14:textId="77777777">
        <w:tc>
          <w:tcPr>
            <w:tcW w:w="567" w:type="dxa"/>
            <w:vMerge w:val="restart"/>
            <w:vAlign w:val="center"/>
          </w:tcPr>
          <w:p w14:paraId="464338AA" w14:textId="77777777" w:rsidR="00454A29" w:rsidRDefault="00454A29">
            <w:pPr>
              <w:pStyle w:val="ConsPlusNormal"/>
              <w:jc w:val="center"/>
            </w:pPr>
            <w:r>
              <w:t>130</w:t>
            </w:r>
          </w:p>
        </w:tc>
        <w:tc>
          <w:tcPr>
            <w:tcW w:w="3345" w:type="dxa"/>
            <w:vMerge w:val="restart"/>
            <w:vAlign w:val="center"/>
          </w:tcPr>
          <w:p w14:paraId="1BE1BAE7" w14:textId="77777777" w:rsidR="00454A29" w:rsidRDefault="00454A29">
            <w:pPr>
              <w:pStyle w:val="ConsPlusNormal"/>
              <w:jc w:val="center"/>
            </w:pPr>
            <w:r>
              <w:t>Школа-сад на 70/45 мест в с. Уолба</w:t>
            </w:r>
          </w:p>
        </w:tc>
        <w:tc>
          <w:tcPr>
            <w:tcW w:w="1701" w:type="dxa"/>
            <w:vAlign w:val="center"/>
          </w:tcPr>
          <w:p w14:paraId="3DCBFBD2" w14:textId="77777777" w:rsidR="00454A29" w:rsidRDefault="00454A29">
            <w:pPr>
              <w:pStyle w:val="ConsPlusNormal"/>
              <w:jc w:val="center"/>
            </w:pPr>
            <w:r>
              <w:t>2020 - 2026 годы - всего</w:t>
            </w:r>
          </w:p>
        </w:tc>
        <w:tc>
          <w:tcPr>
            <w:tcW w:w="1417" w:type="dxa"/>
            <w:vMerge w:val="restart"/>
            <w:vAlign w:val="center"/>
          </w:tcPr>
          <w:p w14:paraId="55888134" w14:textId="77777777" w:rsidR="00454A29" w:rsidRDefault="00454A29">
            <w:pPr>
              <w:pStyle w:val="ConsPlusNormal"/>
              <w:jc w:val="center"/>
            </w:pPr>
            <w:r>
              <w:t>422 998,20</w:t>
            </w:r>
          </w:p>
        </w:tc>
        <w:tc>
          <w:tcPr>
            <w:tcW w:w="2204" w:type="dxa"/>
            <w:vMerge w:val="restart"/>
            <w:vAlign w:val="center"/>
          </w:tcPr>
          <w:p w14:paraId="70D18087" w14:textId="77777777" w:rsidR="00454A29" w:rsidRDefault="00454A29">
            <w:pPr>
              <w:pStyle w:val="ConsPlusNormal"/>
            </w:pPr>
          </w:p>
        </w:tc>
        <w:tc>
          <w:tcPr>
            <w:tcW w:w="1417" w:type="dxa"/>
            <w:vMerge w:val="restart"/>
            <w:vAlign w:val="center"/>
          </w:tcPr>
          <w:p w14:paraId="303CB6AD" w14:textId="77777777" w:rsidR="00454A29" w:rsidRDefault="00454A29">
            <w:pPr>
              <w:pStyle w:val="ConsPlusNormal"/>
              <w:jc w:val="center"/>
            </w:pPr>
            <w:r>
              <w:t>70</w:t>
            </w:r>
          </w:p>
        </w:tc>
        <w:tc>
          <w:tcPr>
            <w:tcW w:w="2324" w:type="dxa"/>
            <w:vMerge w:val="restart"/>
            <w:vAlign w:val="center"/>
          </w:tcPr>
          <w:p w14:paraId="2438D99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40098C0" w14:textId="77777777" w:rsidR="00454A29" w:rsidRDefault="00454A29">
            <w:pPr>
              <w:pStyle w:val="ConsPlusNormal"/>
              <w:jc w:val="center"/>
            </w:pPr>
            <w:r>
              <w:t>422 998,20</w:t>
            </w:r>
          </w:p>
        </w:tc>
        <w:tc>
          <w:tcPr>
            <w:tcW w:w="1814" w:type="dxa"/>
            <w:vAlign w:val="center"/>
          </w:tcPr>
          <w:p w14:paraId="15F0D33F" w14:textId="77777777" w:rsidR="00454A29" w:rsidRDefault="00454A29">
            <w:pPr>
              <w:pStyle w:val="ConsPlusNormal"/>
              <w:jc w:val="center"/>
            </w:pPr>
            <w:r>
              <w:t>5 211,34</w:t>
            </w:r>
          </w:p>
        </w:tc>
        <w:tc>
          <w:tcPr>
            <w:tcW w:w="1701" w:type="dxa"/>
            <w:vAlign w:val="center"/>
          </w:tcPr>
          <w:p w14:paraId="52E4D507" w14:textId="77777777" w:rsidR="00454A29" w:rsidRDefault="00454A29">
            <w:pPr>
              <w:pStyle w:val="ConsPlusNormal"/>
              <w:jc w:val="center"/>
            </w:pPr>
            <w:r>
              <w:t>515 922,45</w:t>
            </w:r>
          </w:p>
        </w:tc>
        <w:tc>
          <w:tcPr>
            <w:tcW w:w="1701" w:type="dxa"/>
            <w:vAlign w:val="center"/>
          </w:tcPr>
          <w:p w14:paraId="2FCD4FC6" w14:textId="77777777" w:rsidR="00454A29" w:rsidRDefault="00454A29">
            <w:pPr>
              <w:pStyle w:val="ConsPlusNormal"/>
              <w:jc w:val="center"/>
            </w:pPr>
            <w:r>
              <w:t>-</w:t>
            </w:r>
          </w:p>
        </w:tc>
        <w:tc>
          <w:tcPr>
            <w:tcW w:w="1814" w:type="dxa"/>
            <w:vAlign w:val="center"/>
          </w:tcPr>
          <w:p w14:paraId="727A3DC9" w14:textId="77777777" w:rsidR="00454A29" w:rsidRDefault="00454A29">
            <w:pPr>
              <w:pStyle w:val="ConsPlusNormal"/>
              <w:jc w:val="center"/>
            </w:pPr>
            <w:r>
              <w:t>-</w:t>
            </w:r>
          </w:p>
        </w:tc>
      </w:tr>
      <w:tr w:rsidR="00454A29" w14:paraId="252C5750" w14:textId="77777777">
        <w:tc>
          <w:tcPr>
            <w:tcW w:w="567" w:type="dxa"/>
            <w:vMerge/>
          </w:tcPr>
          <w:p w14:paraId="041D474E" w14:textId="77777777" w:rsidR="00454A29" w:rsidRDefault="00454A29"/>
        </w:tc>
        <w:tc>
          <w:tcPr>
            <w:tcW w:w="3345" w:type="dxa"/>
            <w:vMerge/>
          </w:tcPr>
          <w:p w14:paraId="72451CE7" w14:textId="77777777" w:rsidR="00454A29" w:rsidRDefault="00454A29"/>
        </w:tc>
        <w:tc>
          <w:tcPr>
            <w:tcW w:w="1701" w:type="dxa"/>
            <w:vAlign w:val="center"/>
          </w:tcPr>
          <w:p w14:paraId="6072B224" w14:textId="77777777" w:rsidR="00454A29" w:rsidRDefault="00454A29">
            <w:pPr>
              <w:pStyle w:val="ConsPlusNormal"/>
              <w:jc w:val="center"/>
            </w:pPr>
            <w:r>
              <w:t>2020</w:t>
            </w:r>
          </w:p>
        </w:tc>
        <w:tc>
          <w:tcPr>
            <w:tcW w:w="1417" w:type="dxa"/>
            <w:vMerge/>
          </w:tcPr>
          <w:p w14:paraId="2B290265" w14:textId="77777777" w:rsidR="00454A29" w:rsidRDefault="00454A29"/>
        </w:tc>
        <w:tc>
          <w:tcPr>
            <w:tcW w:w="2204" w:type="dxa"/>
            <w:vMerge/>
          </w:tcPr>
          <w:p w14:paraId="5F4DA512" w14:textId="77777777" w:rsidR="00454A29" w:rsidRDefault="00454A29"/>
        </w:tc>
        <w:tc>
          <w:tcPr>
            <w:tcW w:w="1417" w:type="dxa"/>
            <w:vMerge/>
          </w:tcPr>
          <w:p w14:paraId="40C28F36" w14:textId="77777777" w:rsidR="00454A29" w:rsidRDefault="00454A29"/>
        </w:tc>
        <w:tc>
          <w:tcPr>
            <w:tcW w:w="2324" w:type="dxa"/>
            <w:vMerge/>
          </w:tcPr>
          <w:p w14:paraId="02FCE522" w14:textId="77777777" w:rsidR="00454A29" w:rsidRDefault="00454A29"/>
        </w:tc>
        <w:tc>
          <w:tcPr>
            <w:tcW w:w="1701" w:type="dxa"/>
            <w:vAlign w:val="center"/>
          </w:tcPr>
          <w:p w14:paraId="3AEF0D03" w14:textId="77777777" w:rsidR="00454A29" w:rsidRDefault="00454A29">
            <w:pPr>
              <w:pStyle w:val="ConsPlusNormal"/>
            </w:pPr>
          </w:p>
        </w:tc>
        <w:tc>
          <w:tcPr>
            <w:tcW w:w="1814" w:type="dxa"/>
            <w:vAlign w:val="center"/>
          </w:tcPr>
          <w:p w14:paraId="7FD306C0" w14:textId="77777777" w:rsidR="00454A29" w:rsidRDefault="00454A29">
            <w:pPr>
              <w:pStyle w:val="ConsPlusNormal"/>
            </w:pPr>
          </w:p>
        </w:tc>
        <w:tc>
          <w:tcPr>
            <w:tcW w:w="1701" w:type="dxa"/>
            <w:vAlign w:val="center"/>
          </w:tcPr>
          <w:p w14:paraId="5DB702B6" w14:textId="77777777" w:rsidR="00454A29" w:rsidRDefault="00454A29">
            <w:pPr>
              <w:pStyle w:val="ConsPlusNormal"/>
            </w:pPr>
          </w:p>
        </w:tc>
        <w:tc>
          <w:tcPr>
            <w:tcW w:w="1701" w:type="dxa"/>
            <w:vAlign w:val="center"/>
          </w:tcPr>
          <w:p w14:paraId="50EFEFD6" w14:textId="77777777" w:rsidR="00454A29" w:rsidRDefault="00454A29">
            <w:pPr>
              <w:pStyle w:val="ConsPlusNormal"/>
            </w:pPr>
          </w:p>
        </w:tc>
        <w:tc>
          <w:tcPr>
            <w:tcW w:w="1814" w:type="dxa"/>
            <w:vAlign w:val="center"/>
          </w:tcPr>
          <w:p w14:paraId="1FD0B7EA" w14:textId="77777777" w:rsidR="00454A29" w:rsidRDefault="00454A29">
            <w:pPr>
              <w:pStyle w:val="ConsPlusNormal"/>
            </w:pPr>
          </w:p>
        </w:tc>
      </w:tr>
      <w:tr w:rsidR="00454A29" w14:paraId="564923EB" w14:textId="77777777">
        <w:tc>
          <w:tcPr>
            <w:tcW w:w="567" w:type="dxa"/>
            <w:vMerge/>
          </w:tcPr>
          <w:p w14:paraId="311E6098" w14:textId="77777777" w:rsidR="00454A29" w:rsidRDefault="00454A29"/>
        </w:tc>
        <w:tc>
          <w:tcPr>
            <w:tcW w:w="3345" w:type="dxa"/>
            <w:vMerge/>
          </w:tcPr>
          <w:p w14:paraId="756C7A76" w14:textId="77777777" w:rsidR="00454A29" w:rsidRDefault="00454A29"/>
        </w:tc>
        <w:tc>
          <w:tcPr>
            <w:tcW w:w="1701" w:type="dxa"/>
            <w:vAlign w:val="center"/>
          </w:tcPr>
          <w:p w14:paraId="5DA2F980" w14:textId="77777777" w:rsidR="00454A29" w:rsidRDefault="00454A29">
            <w:pPr>
              <w:pStyle w:val="ConsPlusNormal"/>
              <w:jc w:val="center"/>
            </w:pPr>
            <w:r>
              <w:t>2021</w:t>
            </w:r>
          </w:p>
        </w:tc>
        <w:tc>
          <w:tcPr>
            <w:tcW w:w="1417" w:type="dxa"/>
            <w:vMerge/>
          </w:tcPr>
          <w:p w14:paraId="504A8E6C" w14:textId="77777777" w:rsidR="00454A29" w:rsidRDefault="00454A29"/>
        </w:tc>
        <w:tc>
          <w:tcPr>
            <w:tcW w:w="2204" w:type="dxa"/>
            <w:vMerge/>
          </w:tcPr>
          <w:p w14:paraId="5746A6CA" w14:textId="77777777" w:rsidR="00454A29" w:rsidRDefault="00454A29"/>
        </w:tc>
        <w:tc>
          <w:tcPr>
            <w:tcW w:w="1417" w:type="dxa"/>
            <w:vMerge/>
          </w:tcPr>
          <w:p w14:paraId="4C798041" w14:textId="77777777" w:rsidR="00454A29" w:rsidRDefault="00454A29"/>
        </w:tc>
        <w:tc>
          <w:tcPr>
            <w:tcW w:w="2324" w:type="dxa"/>
            <w:vMerge/>
          </w:tcPr>
          <w:p w14:paraId="6C3A1487" w14:textId="77777777" w:rsidR="00454A29" w:rsidRDefault="00454A29"/>
        </w:tc>
        <w:tc>
          <w:tcPr>
            <w:tcW w:w="1701" w:type="dxa"/>
            <w:vAlign w:val="center"/>
          </w:tcPr>
          <w:p w14:paraId="0B3273DC" w14:textId="77777777" w:rsidR="00454A29" w:rsidRDefault="00454A29">
            <w:pPr>
              <w:pStyle w:val="ConsPlusNormal"/>
            </w:pPr>
          </w:p>
        </w:tc>
        <w:tc>
          <w:tcPr>
            <w:tcW w:w="1814" w:type="dxa"/>
            <w:vAlign w:val="center"/>
          </w:tcPr>
          <w:p w14:paraId="2993794B" w14:textId="77777777" w:rsidR="00454A29" w:rsidRDefault="00454A29">
            <w:pPr>
              <w:pStyle w:val="ConsPlusNormal"/>
            </w:pPr>
          </w:p>
        </w:tc>
        <w:tc>
          <w:tcPr>
            <w:tcW w:w="1701" w:type="dxa"/>
            <w:vAlign w:val="center"/>
          </w:tcPr>
          <w:p w14:paraId="19A0F8D5" w14:textId="77777777" w:rsidR="00454A29" w:rsidRDefault="00454A29">
            <w:pPr>
              <w:pStyle w:val="ConsPlusNormal"/>
            </w:pPr>
          </w:p>
        </w:tc>
        <w:tc>
          <w:tcPr>
            <w:tcW w:w="1701" w:type="dxa"/>
            <w:vAlign w:val="center"/>
          </w:tcPr>
          <w:p w14:paraId="4F76BAE6" w14:textId="77777777" w:rsidR="00454A29" w:rsidRDefault="00454A29">
            <w:pPr>
              <w:pStyle w:val="ConsPlusNormal"/>
            </w:pPr>
          </w:p>
        </w:tc>
        <w:tc>
          <w:tcPr>
            <w:tcW w:w="1814" w:type="dxa"/>
            <w:vAlign w:val="center"/>
          </w:tcPr>
          <w:p w14:paraId="18ECFA40" w14:textId="77777777" w:rsidR="00454A29" w:rsidRDefault="00454A29">
            <w:pPr>
              <w:pStyle w:val="ConsPlusNormal"/>
            </w:pPr>
          </w:p>
        </w:tc>
      </w:tr>
      <w:tr w:rsidR="00454A29" w14:paraId="34A2EF56" w14:textId="77777777">
        <w:tc>
          <w:tcPr>
            <w:tcW w:w="567" w:type="dxa"/>
            <w:vMerge/>
          </w:tcPr>
          <w:p w14:paraId="4EF3D0D4" w14:textId="77777777" w:rsidR="00454A29" w:rsidRDefault="00454A29"/>
        </w:tc>
        <w:tc>
          <w:tcPr>
            <w:tcW w:w="3345" w:type="dxa"/>
            <w:vMerge/>
          </w:tcPr>
          <w:p w14:paraId="7A9F226A" w14:textId="77777777" w:rsidR="00454A29" w:rsidRDefault="00454A29"/>
        </w:tc>
        <w:tc>
          <w:tcPr>
            <w:tcW w:w="1701" w:type="dxa"/>
            <w:vAlign w:val="center"/>
          </w:tcPr>
          <w:p w14:paraId="45F82EB3" w14:textId="77777777" w:rsidR="00454A29" w:rsidRDefault="00454A29">
            <w:pPr>
              <w:pStyle w:val="ConsPlusNormal"/>
              <w:jc w:val="center"/>
            </w:pPr>
            <w:r>
              <w:t>2022</w:t>
            </w:r>
          </w:p>
        </w:tc>
        <w:tc>
          <w:tcPr>
            <w:tcW w:w="1417" w:type="dxa"/>
            <w:vMerge/>
          </w:tcPr>
          <w:p w14:paraId="5D245BF9" w14:textId="77777777" w:rsidR="00454A29" w:rsidRDefault="00454A29"/>
        </w:tc>
        <w:tc>
          <w:tcPr>
            <w:tcW w:w="2204" w:type="dxa"/>
            <w:vMerge/>
          </w:tcPr>
          <w:p w14:paraId="56E93C38" w14:textId="77777777" w:rsidR="00454A29" w:rsidRDefault="00454A29"/>
        </w:tc>
        <w:tc>
          <w:tcPr>
            <w:tcW w:w="1417" w:type="dxa"/>
            <w:vMerge/>
          </w:tcPr>
          <w:p w14:paraId="4CB8053D" w14:textId="77777777" w:rsidR="00454A29" w:rsidRDefault="00454A29"/>
        </w:tc>
        <w:tc>
          <w:tcPr>
            <w:tcW w:w="2324" w:type="dxa"/>
            <w:vMerge/>
          </w:tcPr>
          <w:p w14:paraId="4AADC748" w14:textId="77777777" w:rsidR="00454A29" w:rsidRDefault="00454A29"/>
        </w:tc>
        <w:tc>
          <w:tcPr>
            <w:tcW w:w="1701" w:type="dxa"/>
            <w:vAlign w:val="center"/>
          </w:tcPr>
          <w:p w14:paraId="07C2F1FF" w14:textId="77777777" w:rsidR="00454A29" w:rsidRDefault="00454A29">
            <w:pPr>
              <w:pStyle w:val="ConsPlusNormal"/>
            </w:pPr>
          </w:p>
        </w:tc>
        <w:tc>
          <w:tcPr>
            <w:tcW w:w="1814" w:type="dxa"/>
            <w:vAlign w:val="center"/>
          </w:tcPr>
          <w:p w14:paraId="5CCA7922" w14:textId="77777777" w:rsidR="00454A29" w:rsidRDefault="00454A29">
            <w:pPr>
              <w:pStyle w:val="ConsPlusNormal"/>
            </w:pPr>
          </w:p>
        </w:tc>
        <w:tc>
          <w:tcPr>
            <w:tcW w:w="1701" w:type="dxa"/>
            <w:vAlign w:val="center"/>
          </w:tcPr>
          <w:p w14:paraId="5E9601B7" w14:textId="77777777" w:rsidR="00454A29" w:rsidRDefault="00454A29">
            <w:pPr>
              <w:pStyle w:val="ConsPlusNormal"/>
            </w:pPr>
          </w:p>
        </w:tc>
        <w:tc>
          <w:tcPr>
            <w:tcW w:w="1701" w:type="dxa"/>
            <w:vAlign w:val="center"/>
          </w:tcPr>
          <w:p w14:paraId="3BCCA6B1" w14:textId="77777777" w:rsidR="00454A29" w:rsidRDefault="00454A29">
            <w:pPr>
              <w:pStyle w:val="ConsPlusNormal"/>
            </w:pPr>
          </w:p>
        </w:tc>
        <w:tc>
          <w:tcPr>
            <w:tcW w:w="1814" w:type="dxa"/>
            <w:vAlign w:val="center"/>
          </w:tcPr>
          <w:p w14:paraId="3523ACA4" w14:textId="77777777" w:rsidR="00454A29" w:rsidRDefault="00454A29">
            <w:pPr>
              <w:pStyle w:val="ConsPlusNormal"/>
            </w:pPr>
          </w:p>
        </w:tc>
      </w:tr>
      <w:tr w:rsidR="00454A29" w14:paraId="045CD557" w14:textId="77777777">
        <w:tc>
          <w:tcPr>
            <w:tcW w:w="567" w:type="dxa"/>
            <w:vMerge/>
          </w:tcPr>
          <w:p w14:paraId="69C49553" w14:textId="77777777" w:rsidR="00454A29" w:rsidRDefault="00454A29"/>
        </w:tc>
        <w:tc>
          <w:tcPr>
            <w:tcW w:w="3345" w:type="dxa"/>
            <w:vMerge/>
          </w:tcPr>
          <w:p w14:paraId="35A17E40" w14:textId="77777777" w:rsidR="00454A29" w:rsidRDefault="00454A29"/>
        </w:tc>
        <w:tc>
          <w:tcPr>
            <w:tcW w:w="1701" w:type="dxa"/>
            <w:vAlign w:val="center"/>
          </w:tcPr>
          <w:p w14:paraId="0F7522B6" w14:textId="77777777" w:rsidR="00454A29" w:rsidRDefault="00454A29">
            <w:pPr>
              <w:pStyle w:val="ConsPlusNormal"/>
              <w:jc w:val="center"/>
            </w:pPr>
            <w:r>
              <w:t>2023</w:t>
            </w:r>
          </w:p>
        </w:tc>
        <w:tc>
          <w:tcPr>
            <w:tcW w:w="1417" w:type="dxa"/>
            <w:vMerge/>
          </w:tcPr>
          <w:p w14:paraId="1BC16235" w14:textId="77777777" w:rsidR="00454A29" w:rsidRDefault="00454A29"/>
        </w:tc>
        <w:tc>
          <w:tcPr>
            <w:tcW w:w="2204" w:type="dxa"/>
            <w:vMerge/>
          </w:tcPr>
          <w:p w14:paraId="64E146AC" w14:textId="77777777" w:rsidR="00454A29" w:rsidRDefault="00454A29"/>
        </w:tc>
        <w:tc>
          <w:tcPr>
            <w:tcW w:w="1417" w:type="dxa"/>
            <w:vMerge/>
          </w:tcPr>
          <w:p w14:paraId="31610FE6" w14:textId="77777777" w:rsidR="00454A29" w:rsidRDefault="00454A29"/>
        </w:tc>
        <w:tc>
          <w:tcPr>
            <w:tcW w:w="2324" w:type="dxa"/>
            <w:vMerge/>
          </w:tcPr>
          <w:p w14:paraId="73ABB51B" w14:textId="77777777" w:rsidR="00454A29" w:rsidRDefault="00454A29"/>
        </w:tc>
        <w:tc>
          <w:tcPr>
            <w:tcW w:w="1701" w:type="dxa"/>
            <w:vAlign w:val="center"/>
          </w:tcPr>
          <w:p w14:paraId="1D4FC2C0" w14:textId="77777777" w:rsidR="00454A29" w:rsidRDefault="00454A29">
            <w:pPr>
              <w:pStyle w:val="ConsPlusNormal"/>
              <w:jc w:val="center"/>
            </w:pPr>
            <w:r>
              <w:t>-</w:t>
            </w:r>
          </w:p>
        </w:tc>
        <w:tc>
          <w:tcPr>
            <w:tcW w:w="1814" w:type="dxa"/>
            <w:vAlign w:val="center"/>
          </w:tcPr>
          <w:p w14:paraId="17EEEFA2" w14:textId="77777777" w:rsidR="00454A29" w:rsidRDefault="00454A29">
            <w:pPr>
              <w:pStyle w:val="ConsPlusNormal"/>
            </w:pPr>
          </w:p>
        </w:tc>
        <w:tc>
          <w:tcPr>
            <w:tcW w:w="1701" w:type="dxa"/>
            <w:vAlign w:val="center"/>
          </w:tcPr>
          <w:p w14:paraId="446BCFF3" w14:textId="77777777" w:rsidR="00454A29" w:rsidRDefault="00454A29">
            <w:pPr>
              <w:pStyle w:val="ConsPlusNormal"/>
            </w:pPr>
          </w:p>
        </w:tc>
        <w:tc>
          <w:tcPr>
            <w:tcW w:w="1701" w:type="dxa"/>
            <w:vAlign w:val="center"/>
          </w:tcPr>
          <w:p w14:paraId="77157CA8" w14:textId="77777777" w:rsidR="00454A29" w:rsidRDefault="00454A29">
            <w:pPr>
              <w:pStyle w:val="ConsPlusNormal"/>
            </w:pPr>
          </w:p>
        </w:tc>
        <w:tc>
          <w:tcPr>
            <w:tcW w:w="1814" w:type="dxa"/>
            <w:vAlign w:val="center"/>
          </w:tcPr>
          <w:p w14:paraId="0E5C4201" w14:textId="77777777" w:rsidR="00454A29" w:rsidRDefault="00454A29">
            <w:pPr>
              <w:pStyle w:val="ConsPlusNormal"/>
            </w:pPr>
          </w:p>
        </w:tc>
      </w:tr>
      <w:tr w:rsidR="00454A29" w14:paraId="4F4F070B" w14:textId="77777777">
        <w:tc>
          <w:tcPr>
            <w:tcW w:w="567" w:type="dxa"/>
            <w:vMerge/>
          </w:tcPr>
          <w:p w14:paraId="78712E30" w14:textId="77777777" w:rsidR="00454A29" w:rsidRDefault="00454A29"/>
        </w:tc>
        <w:tc>
          <w:tcPr>
            <w:tcW w:w="3345" w:type="dxa"/>
            <w:vMerge/>
          </w:tcPr>
          <w:p w14:paraId="2905E17F" w14:textId="77777777" w:rsidR="00454A29" w:rsidRDefault="00454A29"/>
        </w:tc>
        <w:tc>
          <w:tcPr>
            <w:tcW w:w="1701" w:type="dxa"/>
            <w:vAlign w:val="center"/>
          </w:tcPr>
          <w:p w14:paraId="61A89AEE" w14:textId="77777777" w:rsidR="00454A29" w:rsidRDefault="00454A29">
            <w:pPr>
              <w:pStyle w:val="ConsPlusNormal"/>
              <w:jc w:val="center"/>
            </w:pPr>
            <w:r>
              <w:t>2024</w:t>
            </w:r>
          </w:p>
        </w:tc>
        <w:tc>
          <w:tcPr>
            <w:tcW w:w="1417" w:type="dxa"/>
            <w:vMerge/>
          </w:tcPr>
          <w:p w14:paraId="1C4C757A" w14:textId="77777777" w:rsidR="00454A29" w:rsidRDefault="00454A29"/>
        </w:tc>
        <w:tc>
          <w:tcPr>
            <w:tcW w:w="2204" w:type="dxa"/>
            <w:vMerge/>
          </w:tcPr>
          <w:p w14:paraId="3C439B11" w14:textId="77777777" w:rsidR="00454A29" w:rsidRDefault="00454A29"/>
        </w:tc>
        <w:tc>
          <w:tcPr>
            <w:tcW w:w="1417" w:type="dxa"/>
            <w:vMerge/>
          </w:tcPr>
          <w:p w14:paraId="08A0BB8A" w14:textId="77777777" w:rsidR="00454A29" w:rsidRDefault="00454A29"/>
        </w:tc>
        <w:tc>
          <w:tcPr>
            <w:tcW w:w="2324" w:type="dxa"/>
            <w:vMerge/>
          </w:tcPr>
          <w:p w14:paraId="194740E0" w14:textId="77777777" w:rsidR="00454A29" w:rsidRDefault="00454A29"/>
        </w:tc>
        <w:tc>
          <w:tcPr>
            <w:tcW w:w="1701" w:type="dxa"/>
            <w:vAlign w:val="center"/>
          </w:tcPr>
          <w:p w14:paraId="5D909D80" w14:textId="77777777" w:rsidR="00454A29" w:rsidRDefault="00454A29">
            <w:pPr>
              <w:pStyle w:val="ConsPlusNormal"/>
            </w:pPr>
          </w:p>
        </w:tc>
        <w:tc>
          <w:tcPr>
            <w:tcW w:w="1814" w:type="dxa"/>
            <w:vAlign w:val="center"/>
          </w:tcPr>
          <w:p w14:paraId="0FF72652" w14:textId="77777777" w:rsidR="00454A29" w:rsidRDefault="00454A29">
            <w:pPr>
              <w:pStyle w:val="ConsPlusNormal"/>
            </w:pPr>
          </w:p>
        </w:tc>
        <w:tc>
          <w:tcPr>
            <w:tcW w:w="1701" w:type="dxa"/>
            <w:vAlign w:val="center"/>
          </w:tcPr>
          <w:p w14:paraId="1785E412" w14:textId="77777777" w:rsidR="00454A29" w:rsidRDefault="00454A29">
            <w:pPr>
              <w:pStyle w:val="ConsPlusNormal"/>
            </w:pPr>
          </w:p>
        </w:tc>
        <w:tc>
          <w:tcPr>
            <w:tcW w:w="1701" w:type="dxa"/>
            <w:vAlign w:val="center"/>
          </w:tcPr>
          <w:p w14:paraId="068B3692" w14:textId="77777777" w:rsidR="00454A29" w:rsidRDefault="00454A29">
            <w:pPr>
              <w:pStyle w:val="ConsPlusNormal"/>
            </w:pPr>
          </w:p>
        </w:tc>
        <w:tc>
          <w:tcPr>
            <w:tcW w:w="1814" w:type="dxa"/>
            <w:vAlign w:val="center"/>
          </w:tcPr>
          <w:p w14:paraId="25B94313" w14:textId="77777777" w:rsidR="00454A29" w:rsidRDefault="00454A29">
            <w:pPr>
              <w:pStyle w:val="ConsPlusNormal"/>
            </w:pPr>
          </w:p>
        </w:tc>
      </w:tr>
      <w:tr w:rsidR="00454A29" w14:paraId="6D0F013F" w14:textId="77777777">
        <w:tc>
          <w:tcPr>
            <w:tcW w:w="567" w:type="dxa"/>
            <w:vMerge/>
          </w:tcPr>
          <w:p w14:paraId="25CE145A" w14:textId="77777777" w:rsidR="00454A29" w:rsidRDefault="00454A29"/>
        </w:tc>
        <w:tc>
          <w:tcPr>
            <w:tcW w:w="3345" w:type="dxa"/>
            <w:vMerge/>
          </w:tcPr>
          <w:p w14:paraId="6DEF94FD" w14:textId="77777777" w:rsidR="00454A29" w:rsidRDefault="00454A29"/>
        </w:tc>
        <w:tc>
          <w:tcPr>
            <w:tcW w:w="1701" w:type="dxa"/>
            <w:vAlign w:val="center"/>
          </w:tcPr>
          <w:p w14:paraId="1B339504" w14:textId="77777777" w:rsidR="00454A29" w:rsidRDefault="00454A29">
            <w:pPr>
              <w:pStyle w:val="ConsPlusNormal"/>
              <w:jc w:val="center"/>
            </w:pPr>
            <w:r>
              <w:t>2025</w:t>
            </w:r>
          </w:p>
        </w:tc>
        <w:tc>
          <w:tcPr>
            <w:tcW w:w="1417" w:type="dxa"/>
            <w:vMerge/>
          </w:tcPr>
          <w:p w14:paraId="24E86B88" w14:textId="77777777" w:rsidR="00454A29" w:rsidRDefault="00454A29"/>
        </w:tc>
        <w:tc>
          <w:tcPr>
            <w:tcW w:w="2204" w:type="dxa"/>
            <w:vMerge/>
          </w:tcPr>
          <w:p w14:paraId="03721946" w14:textId="77777777" w:rsidR="00454A29" w:rsidRDefault="00454A29"/>
        </w:tc>
        <w:tc>
          <w:tcPr>
            <w:tcW w:w="1417" w:type="dxa"/>
            <w:vMerge/>
          </w:tcPr>
          <w:p w14:paraId="4B40563D" w14:textId="77777777" w:rsidR="00454A29" w:rsidRDefault="00454A29"/>
        </w:tc>
        <w:tc>
          <w:tcPr>
            <w:tcW w:w="2324" w:type="dxa"/>
            <w:vMerge/>
          </w:tcPr>
          <w:p w14:paraId="7E394AC2" w14:textId="77777777" w:rsidR="00454A29" w:rsidRDefault="00454A29"/>
        </w:tc>
        <w:tc>
          <w:tcPr>
            <w:tcW w:w="1701" w:type="dxa"/>
            <w:vAlign w:val="center"/>
          </w:tcPr>
          <w:p w14:paraId="76F5E431" w14:textId="77777777" w:rsidR="00454A29" w:rsidRDefault="00454A29">
            <w:pPr>
              <w:pStyle w:val="ConsPlusNormal"/>
            </w:pPr>
          </w:p>
        </w:tc>
        <w:tc>
          <w:tcPr>
            <w:tcW w:w="1814" w:type="dxa"/>
            <w:vAlign w:val="center"/>
          </w:tcPr>
          <w:p w14:paraId="52402569" w14:textId="77777777" w:rsidR="00454A29" w:rsidRDefault="00454A29">
            <w:pPr>
              <w:pStyle w:val="ConsPlusNormal"/>
            </w:pPr>
          </w:p>
        </w:tc>
        <w:tc>
          <w:tcPr>
            <w:tcW w:w="1701" w:type="dxa"/>
            <w:vAlign w:val="center"/>
          </w:tcPr>
          <w:p w14:paraId="01E7FF7F" w14:textId="77777777" w:rsidR="00454A29" w:rsidRDefault="00454A29">
            <w:pPr>
              <w:pStyle w:val="ConsPlusNormal"/>
            </w:pPr>
          </w:p>
        </w:tc>
        <w:tc>
          <w:tcPr>
            <w:tcW w:w="1701" w:type="dxa"/>
            <w:vAlign w:val="center"/>
          </w:tcPr>
          <w:p w14:paraId="3C415027" w14:textId="77777777" w:rsidR="00454A29" w:rsidRDefault="00454A29">
            <w:pPr>
              <w:pStyle w:val="ConsPlusNormal"/>
            </w:pPr>
          </w:p>
        </w:tc>
        <w:tc>
          <w:tcPr>
            <w:tcW w:w="1814" w:type="dxa"/>
            <w:vAlign w:val="center"/>
          </w:tcPr>
          <w:p w14:paraId="30ACB7AC" w14:textId="77777777" w:rsidR="00454A29" w:rsidRDefault="00454A29">
            <w:pPr>
              <w:pStyle w:val="ConsPlusNormal"/>
            </w:pPr>
          </w:p>
        </w:tc>
      </w:tr>
      <w:tr w:rsidR="00454A29" w14:paraId="284DA138" w14:textId="77777777">
        <w:tc>
          <w:tcPr>
            <w:tcW w:w="567" w:type="dxa"/>
            <w:vMerge/>
          </w:tcPr>
          <w:p w14:paraId="73AFBDD4" w14:textId="77777777" w:rsidR="00454A29" w:rsidRDefault="00454A29"/>
        </w:tc>
        <w:tc>
          <w:tcPr>
            <w:tcW w:w="3345" w:type="dxa"/>
            <w:vMerge/>
          </w:tcPr>
          <w:p w14:paraId="3812563E" w14:textId="77777777" w:rsidR="00454A29" w:rsidRDefault="00454A29"/>
        </w:tc>
        <w:tc>
          <w:tcPr>
            <w:tcW w:w="1701" w:type="dxa"/>
            <w:vAlign w:val="center"/>
          </w:tcPr>
          <w:p w14:paraId="3283557A" w14:textId="77777777" w:rsidR="00454A29" w:rsidRDefault="00454A29">
            <w:pPr>
              <w:pStyle w:val="ConsPlusNormal"/>
              <w:jc w:val="center"/>
            </w:pPr>
            <w:r>
              <w:t>2026</w:t>
            </w:r>
          </w:p>
        </w:tc>
        <w:tc>
          <w:tcPr>
            <w:tcW w:w="1417" w:type="dxa"/>
            <w:vMerge/>
          </w:tcPr>
          <w:p w14:paraId="7372F1B3" w14:textId="77777777" w:rsidR="00454A29" w:rsidRDefault="00454A29"/>
        </w:tc>
        <w:tc>
          <w:tcPr>
            <w:tcW w:w="2204" w:type="dxa"/>
            <w:vMerge/>
          </w:tcPr>
          <w:p w14:paraId="1BAF4BB4" w14:textId="77777777" w:rsidR="00454A29" w:rsidRDefault="00454A29"/>
        </w:tc>
        <w:tc>
          <w:tcPr>
            <w:tcW w:w="1417" w:type="dxa"/>
            <w:vMerge/>
          </w:tcPr>
          <w:p w14:paraId="2EF7EC9E" w14:textId="77777777" w:rsidR="00454A29" w:rsidRDefault="00454A29"/>
        </w:tc>
        <w:tc>
          <w:tcPr>
            <w:tcW w:w="2324" w:type="dxa"/>
            <w:vMerge/>
          </w:tcPr>
          <w:p w14:paraId="783D3406" w14:textId="77777777" w:rsidR="00454A29" w:rsidRDefault="00454A29"/>
        </w:tc>
        <w:tc>
          <w:tcPr>
            <w:tcW w:w="1701" w:type="dxa"/>
            <w:vAlign w:val="center"/>
          </w:tcPr>
          <w:p w14:paraId="5F01C715" w14:textId="77777777" w:rsidR="00454A29" w:rsidRDefault="00454A29">
            <w:pPr>
              <w:pStyle w:val="ConsPlusNormal"/>
              <w:jc w:val="center"/>
            </w:pPr>
            <w:r>
              <w:t>422 998,20</w:t>
            </w:r>
          </w:p>
        </w:tc>
        <w:tc>
          <w:tcPr>
            <w:tcW w:w="1814" w:type="dxa"/>
            <w:vAlign w:val="center"/>
          </w:tcPr>
          <w:p w14:paraId="623F6909" w14:textId="77777777" w:rsidR="00454A29" w:rsidRDefault="00454A29">
            <w:pPr>
              <w:pStyle w:val="ConsPlusNormal"/>
              <w:jc w:val="center"/>
            </w:pPr>
            <w:r>
              <w:t>5 211,34</w:t>
            </w:r>
          </w:p>
        </w:tc>
        <w:tc>
          <w:tcPr>
            <w:tcW w:w="1701" w:type="dxa"/>
            <w:vAlign w:val="center"/>
          </w:tcPr>
          <w:p w14:paraId="35AD7A80" w14:textId="77777777" w:rsidR="00454A29" w:rsidRDefault="00454A29">
            <w:pPr>
              <w:pStyle w:val="ConsPlusNormal"/>
              <w:jc w:val="center"/>
            </w:pPr>
            <w:r>
              <w:t>515 922,45</w:t>
            </w:r>
          </w:p>
        </w:tc>
        <w:tc>
          <w:tcPr>
            <w:tcW w:w="1701" w:type="dxa"/>
            <w:vAlign w:val="center"/>
          </w:tcPr>
          <w:p w14:paraId="5B41607B" w14:textId="77777777" w:rsidR="00454A29" w:rsidRDefault="00454A29">
            <w:pPr>
              <w:pStyle w:val="ConsPlusNormal"/>
            </w:pPr>
          </w:p>
        </w:tc>
        <w:tc>
          <w:tcPr>
            <w:tcW w:w="1814" w:type="dxa"/>
            <w:vAlign w:val="center"/>
          </w:tcPr>
          <w:p w14:paraId="761F42AB" w14:textId="77777777" w:rsidR="00454A29" w:rsidRDefault="00454A29">
            <w:pPr>
              <w:pStyle w:val="ConsPlusNormal"/>
            </w:pPr>
          </w:p>
        </w:tc>
      </w:tr>
      <w:tr w:rsidR="00454A29" w14:paraId="13FFFA3F" w14:textId="77777777">
        <w:tc>
          <w:tcPr>
            <w:tcW w:w="567" w:type="dxa"/>
            <w:vMerge w:val="restart"/>
            <w:vAlign w:val="center"/>
          </w:tcPr>
          <w:p w14:paraId="452EA800" w14:textId="77777777" w:rsidR="00454A29" w:rsidRDefault="00454A29">
            <w:pPr>
              <w:pStyle w:val="ConsPlusNormal"/>
              <w:jc w:val="center"/>
            </w:pPr>
            <w:r>
              <w:t>131</w:t>
            </w:r>
          </w:p>
        </w:tc>
        <w:tc>
          <w:tcPr>
            <w:tcW w:w="3345" w:type="dxa"/>
            <w:vMerge w:val="restart"/>
            <w:vAlign w:val="center"/>
          </w:tcPr>
          <w:p w14:paraId="29EFECDB" w14:textId="77777777" w:rsidR="00454A29" w:rsidRDefault="00454A29">
            <w:pPr>
              <w:pStyle w:val="ConsPlusNormal"/>
              <w:jc w:val="center"/>
            </w:pPr>
            <w:r>
              <w:t>Школа на 360 учащихся в с. Ытык-Кюель (Лицей)</w:t>
            </w:r>
          </w:p>
        </w:tc>
        <w:tc>
          <w:tcPr>
            <w:tcW w:w="1701" w:type="dxa"/>
            <w:vAlign w:val="center"/>
          </w:tcPr>
          <w:p w14:paraId="745E53C3" w14:textId="77777777" w:rsidR="00454A29" w:rsidRDefault="00454A29">
            <w:pPr>
              <w:pStyle w:val="ConsPlusNormal"/>
              <w:jc w:val="center"/>
            </w:pPr>
            <w:r>
              <w:t>2020 - 2026 годы - всего</w:t>
            </w:r>
          </w:p>
        </w:tc>
        <w:tc>
          <w:tcPr>
            <w:tcW w:w="1417" w:type="dxa"/>
            <w:vMerge w:val="restart"/>
            <w:vAlign w:val="center"/>
          </w:tcPr>
          <w:p w14:paraId="61C0679C" w14:textId="77777777" w:rsidR="00454A29" w:rsidRDefault="00454A29">
            <w:pPr>
              <w:pStyle w:val="ConsPlusNormal"/>
              <w:jc w:val="center"/>
            </w:pPr>
            <w:r>
              <w:t>733 339,11</w:t>
            </w:r>
          </w:p>
        </w:tc>
        <w:tc>
          <w:tcPr>
            <w:tcW w:w="2204" w:type="dxa"/>
            <w:vMerge w:val="restart"/>
            <w:vAlign w:val="center"/>
          </w:tcPr>
          <w:p w14:paraId="2D53AA9C" w14:textId="77777777" w:rsidR="00454A29" w:rsidRDefault="00454A29">
            <w:pPr>
              <w:pStyle w:val="ConsPlusNormal"/>
            </w:pPr>
          </w:p>
        </w:tc>
        <w:tc>
          <w:tcPr>
            <w:tcW w:w="1417" w:type="dxa"/>
            <w:vMerge w:val="restart"/>
            <w:vAlign w:val="center"/>
          </w:tcPr>
          <w:p w14:paraId="7DC4DB77" w14:textId="77777777" w:rsidR="00454A29" w:rsidRDefault="00454A29">
            <w:pPr>
              <w:pStyle w:val="ConsPlusNormal"/>
              <w:jc w:val="center"/>
            </w:pPr>
            <w:r>
              <w:t>360</w:t>
            </w:r>
          </w:p>
        </w:tc>
        <w:tc>
          <w:tcPr>
            <w:tcW w:w="2324" w:type="dxa"/>
            <w:vMerge w:val="restart"/>
            <w:vAlign w:val="center"/>
          </w:tcPr>
          <w:p w14:paraId="0424584C"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015C1D07" w14:textId="77777777" w:rsidR="00454A29" w:rsidRDefault="00454A29">
            <w:pPr>
              <w:pStyle w:val="ConsPlusNormal"/>
              <w:jc w:val="center"/>
            </w:pPr>
            <w:r>
              <w:lastRenderedPageBreak/>
              <w:t>733 339,11</w:t>
            </w:r>
          </w:p>
        </w:tc>
        <w:tc>
          <w:tcPr>
            <w:tcW w:w="1814" w:type="dxa"/>
            <w:vAlign w:val="center"/>
          </w:tcPr>
          <w:p w14:paraId="45D2389C" w14:textId="77777777" w:rsidR="00454A29" w:rsidRDefault="00454A29">
            <w:pPr>
              <w:pStyle w:val="ConsPlusNormal"/>
              <w:jc w:val="center"/>
            </w:pPr>
            <w:r>
              <w:t>9 034,74</w:t>
            </w:r>
          </w:p>
        </w:tc>
        <w:tc>
          <w:tcPr>
            <w:tcW w:w="1701" w:type="dxa"/>
            <w:vAlign w:val="center"/>
          </w:tcPr>
          <w:p w14:paraId="2CD292D0" w14:textId="77777777" w:rsidR="00454A29" w:rsidRDefault="00454A29">
            <w:pPr>
              <w:pStyle w:val="ConsPlusNormal"/>
              <w:jc w:val="center"/>
            </w:pPr>
            <w:r>
              <w:t>894 439,04</w:t>
            </w:r>
          </w:p>
        </w:tc>
        <w:tc>
          <w:tcPr>
            <w:tcW w:w="1701" w:type="dxa"/>
            <w:vAlign w:val="center"/>
          </w:tcPr>
          <w:p w14:paraId="25570836" w14:textId="77777777" w:rsidR="00454A29" w:rsidRDefault="00454A29">
            <w:pPr>
              <w:pStyle w:val="ConsPlusNormal"/>
              <w:jc w:val="center"/>
            </w:pPr>
            <w:r>
              <w:t>-</w:t>
            </w:r>
          </w:p>
        </w:tc>
        <w:tc>
          <w:tcPr>
            <w:tcW w:w="1814" w:type="dxa"/>
            <w:vAlign w:val="center"/>
          </w:tcPr>
          <w:p w14:paraId="16E2C082" w14:textId="77777777" w:rsidR="00454A29" w:rsidRDefault="00454A29">
            <w:pPr>
              <w:pStyle w:val="ConsPlusNormal"/>
              <w:jc w:val="center"/>
            </w:pPr>
            <w:r>
              <w:t>-</w:t>
            </w:r>
          </w:p>
        </w:tc>
      </w:tr>
      <w:tr w:rsidR="00454A29" w14:paraId="2FC43A99" w14:textId="77777777">
        <w:tc>
          <w:tcPr>
            <w:tcW w:w="567" w:type="dxa"/>
            <w:vMerge/>
          </w:tcPr>
          <w:p w14:paraId="5E2FED25" w14:textId="77777777" w:rsidR="00454A29" w:rsidRDefault="00454A29"/>
        </w:tc>
        <w:tc>
          <w:tcPr>
            <w:tcW w:w="3345" w:type="dxa"/>
            <w:vMerge/>
          </w:tcPr>
          <w:p w14:paraId="6FA98F5D" w14:textId="77777777" w:rsidR="00454A29" w:rsidRDefault="00454A29"/>
        </w:tc>
        <w:tc>
          <w:tcPr>
            <w:tcW w:w="1701" w:type="dxa"/>
            <w:vAlign w:val="center"/>
          </w:tcPr>
          <w:p w14:paraId="56EDC457" w14:textId="77777777" w:rsidR="00454A29" w:rsidRDefault="00454A29">
            <w:pPr>
              <w:pStyle w:val="ConsPlusNormal"/>
              <w:jc w:val="center"/>
            </w:pPr>
            <w:r>
              <w:t>2020</w:t>
            </w:r>
          </w:p>
        </w:tc>
        <w:tc>
          <w:tcPr>
            <w:tcW w:w="1417" w:type="dxa"/>
            <w:vMerge/>
          </w:tcPr>
          <w:p w14:paraId="7A922A9F" w14:textId="77777777" w:rsidR="00454A29" w:rsidRDefault="00454A29"/>
        </w:tc>
        <w:tc>
          <w:tcPr>
            <w:tcW w:w="2204" w:type="dxa"/>
            <w:vMerge/>
          </w:tcPr>
          <w:p w14:paraId="547A20FA" w14:textId="77777777" w:rsidR="00454A29" w:rsidRDefault="00454A29"/>
        </w:tc>
        <w:tc>
          <w:tcPr>
            <w:tcW w:w="1417" w:type="dxa"/>
            <w:vMerge/>
          </w:tcPr>
          <w:p w14:paraId="6C50038A" w14:textId="77777777" w:rsidR="00454A29" w:rsidRDefault="00454A29"/>
        </w:tc>
        <w:tc>
          <w:tcPr>
            <w:tcW w:w="2324" w:type="dxa"/>
            <w:vMerge/>
          </w:tcPr>
          <w:p w14:paraId="54A4B47A" w14:textId="77777777" w:rsidR="00454A29" w:rsidRDefault="00454A29"/>
        </w:tc>
        <w:tc>
          <w:tcPr>
            <w:tcW w:w="1701" w:type="dxa"/>
            <w:vAlign w:val="center"/>
          </w:tcPr>
          <w:p w14:paraId="4DAC8329" w14:textId="77777777" w:rsidR="00454A29" w:rsidRDefault="00454A29">
            <w:pPr>
              <w:pStyle w:val="ConsPlusNormal"/>
            </w:pPr>
          </w:p>
        </w:tc>
        <w:tc>
          <w:tcPr>
            <w:tcW w:w="1814" w:type="dxa"/>
            <w:vAlign w:val="center"/>
          </w:tcPr>
          <w:p w14:paraId="6E30A9BD" w14:textId="77777777" w:rsidR="00454A29" w:rsidRDefault="00454A29">
            <w:pPr>
              <w:pStyle w:val="ConsPlusNormal"/>
            </w:pPr>
          </w:p>
        </w:tc>
        <w:tc>
          <w:tcPr>
            <w:tcW w:w="1701" w:type="dxa"/>
            <w:vAlign w:val="center"/>
          </w:tcPr>
          <w:p w14:paraId="5BEC9C70" w14:textId="77777777" w:rsidR="00454A29" w:rsidRDefault="00454A29">
            <w:pPr>
              <w:pStyle w:val="ConsPlusNormal"/>
            </w:pPr>
          </w:p>
        </w:tc>
        <w:tc>
          <w:tcPr>
            <w:tcW w:w="1701" w:type="dxa"/>
            <w:vAlign w:val="center"/>
          </w:tcPr>
          <w:p w14:paraId="1F3A5A5E" w14:textId="77777777" w:rsidR="00454A29" w:rsidRDefault="00454A29">
            <w:pPr>
              <w:pStyle w:val="ConsPlusNormal"/>
            </w:pPr>
          </w:p>
        </w:tc>
        <w:tc>
          <w:tcPr>
            <w:tcW w:w="1814" w:type="dxa"/>
            <w:vAlign w:val="center"/>
          </w:tcPr>
          <w:p w14:paraId="1CA98E49" w14:textId="77777777" w:rsidR="00454A29" w:rsidRDefault="00454A29">
            <w:pPr>
              <w:pStyle w:val="ConsPlusNormal"/>
            </w:pPr>
          </w:p>
        </w:tc>
      </w:tr>
      <w:tr w:rsidR="00454A29" w14:paraId="5D3375F2" w14:textId="77777777">
        <w:tc>
          <w:tcPr>
            <w:tcW w:w="567" w:type="dxa"/>
            <w:vMerge/>
          </w:tcPr>
          <w:p w14:paraId="1608BC47" w14:textId="77777777" w:rsidR="00454A29" w:rsidRDefault="00454A29"/>
        </w:tc>
        <w:tc>
          <w:tcPr>
            <w:tcW w:w="3345" w:type="dxa"/>
            <w:vMerge/>
          </w:tcPr>
          <w:p w14:paraId="682BA836" w14:textId="77777777" w:rsidR="00454A29" w:rsidRDefault="00454A29"/>
        </w:tc>
        <w:tc>
          <w:tcPr>
            <w:tcW w:w="1701" w:type="dxa"/>
            <w:vAlign w:val="center"/>
          </w:tcPr>
          <w:p w14:paraId="6DE11733" w14:textId="77777777" w:rsidR="00454A29" w:rsidRDefault="00454A29">
            <w:pPr>
              <w:pStyle w:val="ConsPlusNormal"/>
              <w:jc w:val="center"/>
            </w:pPr>
            <w:r>
              <w:t>2021</w:t>
            </w:r>
          </w:p>
        </w:tc>
        <w:tc>
          <w:tcPr>
            <w:tcW w:w="1417" w:type="dxa"/>
            <w:vMerge/>
          </w:tcPr>
          <w:p w14:paraId="6F43FBD5" w14:textId="77777777" w:rsidR="00454A29" w:rsidRDefault="00454A29"/>
        </w:tc>
        <w:tc>
          <w:tcPr>
            <w:tcW w:w="2204" w:type="dxa"/>
            <w:vMerge/>
          </w:tcPr>
          <w:p w14:paraId="1E210168" w14:textId="77777777" w:rsidR="00454A29" w:rsidRDefault="00454A29"/>
        </w:tc>
        <w:tc>
          <w:tcPr>
            <w:tcW w:w="1417" w:type="dxa"/>
            <w:vMerge/>
          </w:tcPr>
          <w:p w14:paraId="733FC354" w14:textId="77777777" w:rsidR="00454A29" w:rsidRDefault="00454A29"/>
        </w:tc>
        <w:tc>
          <w:tcPr>
            <w:tcW w:w="2324" w:type="dxa"/>
            <w:vMerge/>
          </w:tcPr>
          <w:p w14:paraId="70355178" w14:textId="77777777" w:rsidR="00454A29" w:rsidRDefault="00454A29"/>
        </w:tc>
        <w:tc>
          <w:tcPr>
            <w:tcW w:w="1701" w:type="dxa"/>
            <w:vAlign w:val="center"/>
          </w:tcPr>
          <w:p w14:paraId="48834E6C" w14:textId="77777777" w:rsidR="00454A29" w:rsidRDefault="00454A29">
            <w:pPr>
              <w:pStyle w:val="ConsPlusNormal"/>
              <w:jc w:val="center"/>
            </w:pPr>
            <w:r>
              <w:t>-</w:t>
            </w:r>
          </w:p>
        </w:tc>
        <w:tc>
          <w:tcPr>
            <w:tcW w:w="1814" w:type="dxa"/>
            <w:vAlign w:val="center"/>
          </w:tcPr>
          <w:p w14:paraId="70645960" w14:textId="77777777" w:rsidR="00454A29" w:rsidRDefault="00454A29">
            <w:pPr>
              <w:pStyle w:val="ConsPlusNormal"/>
            </w:pPr>
          </w:p>
        </w:tc>
        <w:tc>
          <w:tcPr>
            <w:tcW w:w="1701" w:type="dxa"/>
            <w:vAlign w:val="center"/>
          </w:tcPr>
          <w:p w14:paraId="54C5B767" w14:textId="77777777" w:rsidR="00454A29" w:rsidRDefault="00454A29">
            <w:pPr>
              <w:pStyle w:val="ConsPlusNormal"/>
            </w:pPr>
          </w:p>
        </w:tc>
        <w:tc>
          <w:tcPr>
            <w:tcW w:w="1701" w:type="dxa"/>
            <w:vAlign w:val="center"/>
          </w:tcPr>
          <w:p w14:paraId="4019CA40" w14:textId="77777777" w:rsidR="00454A29" w:rsidRDefault="00454A29">
            <w:pPr>
              <w:pStyle w:val="ConsPlusNormal"/>
            </w:pPr>
          </w:p>
        </w:tc>
        <w:tc>
          <w:tcPr>
            <w:tcW w:w="1814" w:type="dxa"/>
            <w:vAlign w:val="center"/>
          </w:tcPr>
          <w:p w14:paraId="3870DF4E" w14:textId="77777777" w:rsidR="00454A29" w:rsidRDefault="00454A29">
            <w:pPr>
              <w:pStyle w:val="ConsPlusNormal"/>
            </w:pPr>
          </w:p>
        </w:tc>
      </w:tr>
      <w:tr w:rsidR="00454A29" w14:paraId="60D3BCBD" w14:textId="77777777">
        <w:tc>
          <w:tcPr>
            <w:tcW w:w="567" w:type="dxa"/>
            <w:vMerge/>
          </w:tcPr>
          <w:p w14:paraId="1A40B11D" w14:textId="77777777" w:rsidR="00454A29" w:rsidRDefault="00454A29"/>
        </w:tc>
        <w:tc>
          <w:tcPr>
            <w:tcW w:w="3345" w:type="dxa"/>
            <w:vMerge/>
          </w:tcPr>
          <w:p w14:paraId="3ED7641A" w14:textId="77777777" w:rsidR="00454A29" w:rsidRDefault="00454A29"/>
        </w:tc>
        <w:tc>
          <w:tcPr>
            <w:tcW w:w="1701" w:type="dxa"/>
            <w:vAlign w:val="center"/>
          </w:tcPr>
          <w:p w14:paraId="6828069F" w14:textId="77777777" w:rsidR="00454A29" w:rsidRDefault="00454A29">
            <w:pPr>
              <w:pStyle w:val="ConsPlusNormal"/>
              <w:jc w:val="center"/>
            </w:pPr>
            <w:r>
              <w:t>2022</w:t>
            </w:r>
          </w:p>
        </w:tc>
        <w:tc>
          <w:tcPr>
            <w:tcW w:w="1417" w:type="dxa"/>
            <w:vMerge/>
          </w:tcPr>
          <w:p w14:paraId="6292DF0C" w14:textId="77777777" w:rsidR="00454A29" w:rsidRDefault="00454A29"/>
        </w:tc>
        <w:tc>
          <w:tcPr>
            <w:tcW w:w="2204" w:type="dxa"/>
            <w:vMerge/>
          </w:tcPr>
          <w:p w14:paraId="3783AEAB" w14:textId="77777777" w:rsidR="00454A29" w:rsidRDefault="00454A29"/>
        </w:tc>
        <w:tc>
          <w:tcPr>
            <w:tcW w:w="1417" w:type="dxa"/>
            <w:vMerge/>
          </w:tcPr>
          <w:p w14:paraId="51D0B1C2" w14:textId="77777777" w:rsidR="00454A29" w:rsidRDefault="00454A29"/>
        </w:tc>
        <w:tc>
          <w:tcPr>
            <w:tcW w:w="2324" w:type="dxa"/>
            <w:vMerge/>
          </w:tcPr>
          <w:p w14:paraId="4E403EEF" w14:textId="77777777" w:rsidR="00454A29" w:rsidRDefault="00454A29"/>
        </w:tc>
        <w:tc>
          <w:tcPr>
            <w:tcW w:w="1701" w:type="dxa"/>
            <w:vAlign w:val="center"/>
          </w:tcPr>
          <w:p w14:paraId="11BB4067" w14:textId="77777777" w:rsidR="00454A29" w:rsidRDefault="00454A29">
            <w:pPr>
              <w:pStyle w:val="ConsPlusNormal"/>
            </w:pPr>
          </w:p>
        </w:tc>
        <w:tc>
          <w:tcPr>
            <w:tcW w:w="1814" w:type="dxa"/>
            <w:vAlign w:val="center"/>
          </w:tcPr>
          <w:p w14:paraId="57A26045" w14:textId="77777777" w:rsidR="00454A29" w:rsidRDefault="00454A29">
            <w:pPr>
              <w:pStyle w:val="ConsPlusNormal"/>
            </w:pPr>
          </w:p>
        </w:tc>
        <w:tc>
          <w:tcPr>
            <w:tcW w:w="1701" w:type="dxa"/>
            <w:vAlign w:val="center"/>
          </w:tcPr>
          <w:p w14:paraId="0B542165" w14:textId="77777777" w:rsidR="00454A29" w:rsidRDefault="00454A29">
            <w:pPr>
              <w:pStyle w:val="ConsPlusNormal"/>
            </w:pPr>
          </w:p>
        </w:tc>
        <w:tc>
          <w:tcPr>
            <w:tcW w:w="1701" w:type="dxa"/>
            <w:vAlign w:val="center"/>
          </w:tcPr>
          <w:p w14:paraId="3591C981" w14:textId="77777777" w:rsidR="00454A29" w:rsidRDefault="00454A29">
            <w:pPr>
              <w:pStyle w:val="ConsPlusNormal"/>
            </w:pPr>
          </w:p>
        </w:tc>
        <w:tc>
          <w:tcPr>
            <w:tcW w:w="1814" w:type="dxa"/>
            <w:vAlign w:val="center"/>
          </w:tcPr>
          <w:p w14:paraId="34EC1AFA" w14:textId="77777777" w:rsidR="00454A29" w:rsidRDefault="00454A29">
            <w:pPr>
              <w:pStyle w:val="ConsPlusNormal"/>
            </w:pPr>
          </w:p>
        </w:tc>
      </w:tr>
      <w:tr w:rsidR="00454A29" w14:paraId="47880427" w14:textId="77777777">
        <w:tc>
          <w:tcPr>
            <w:tcW w:w="567" w:type="dxa"/>
            <w:vMerge/>
          </w:tcPr>
          <w:p w14:paraId="35FC8949" w14:textId="77777777" w:rsidR="00454A29" w:rsidRDefault="00454A29"/>
        </w:tc>
        <w:tc>
          <w:tcPr>
            <w:tcW w:w="3345" w:type="dxa"/>
            <w:vMerge/>
          </w:tcPr>
          <w:p w14:paraId="342B7B34" w14:textId="77777777" w:rsidR="00454A29" w:rsidRDefault="00454A29"/>
        </w:tc>
        <w:tc>
          <w:tcPr>
            <w:tcW w:w="1701" w:type="dxa"/>
            <w:vAlign w:val="center"/>
          </w:tcPr>
          <w:p w14:paraId="032250E3" w14:textId="77777777" w:rsidR="00454A29" w:rsidRDefault="00454A29">
            <w:pPr>
              <w:pStyle w:val="ConsPlusNormal"/>
              <w:jc w:val="center"/>
            </w:pPr>
            <w:r>
              <w:t>2023</w:t>
            </w:r>
          </w:p>
        </w:tc>
        <w:tc>
          <w:tcPr>
            <w:tcW w:w="1417" w:type="dxa"/>
            <w:vMerge/>
          </w:tcPr>
          <w:p w14:paraId="5685C385" w14:textId="77777777" w:rsidR="00454A29" w:rsidRDefault="00454A29"/>
        </w:tc>
        <w:tc>
          <w:tcPr>
            <w:tcW w:w="2204" w:type="dxa"/>
            <w:vMerge/>
          </w:tcPr>
          <w:p w14:paraId="64AAA1DA" w14:textId="77777777" w:rsidR="00454A29" w:rsidRDefault="00454A29"/>
        </w:tc>
        <w:tc>
          <w:tcPr>
            <w:tcW w:w="1417" w:type="dxa"/>
            <w:vMerge/>
          </w:tcPr>
          <w:p w14:paraId="0110258E" w14:textId="77777777" w:rsidR="00454A29" w:rsidRDefault="00454A29"/>
        </w:tc>
        <w:tc>
          <w:tcPr>
            <w:tcW w:w="2324" w:type="dxa"/>
            <w:vMerge/>
          </w:tcPr>
          <w:p w14:paraId="637D67A4" w14:textId="77777777" w:rsidR="00454A29" w:rsidRDefault="00454A29"/>
        </w:tc>
        <w:tc>
          <w:tcPr>
            <w:tcW w:w="1701" w:type="dxa"/>
            <w:vAlign w:val="center"/>
          </w:tcPr>
          <w:p w14:paraId="5CFDDB1D" w14:textId="77777777" w:rsidR="00454A29" w:rsidRDefault="00454A29">
            <w:pPr>
              <w:pStyle w:val="ConsPlusNormal"/>
              <w:jc w:val="center"/>
            </w:pPr>
            <w:r>
              <w:t>-</w:t>
            </w:r>
          </w:p>
        </w:tc>
        <w:tc>
          <w:tcPr>
            <w:tcW w:w="1814" w:type="dxa"/>
            <w:vAlign w:val="center"/>
          </w:tcPr>
          <w:p w14:paraId="11CBD95B" w14:textId="77777777" w:rsidR="00454A29" w:rsidRDefault="00454A29">
            <w:pPr>
              <w:pStyle w:val="ConsPlusNormal"/>
            </w:pPr>
          </w:p>
        </w:tc>
        <w:tc>
          <w:tcPr>
            <w:tcW w:w="1701" w:type="dxa"/>
            <w:vAlign w:val="center"/>
          </w:tcPr>
          <w:p w14:paraId="545E2829" w14:textId="77777777" w:rsidR="00454A29" w:rsidRDefault="00454A29">
            <w:pPr>
              <w:pStyle w:val="ConsPlusNormal"/>
            </w:pPr>
          </w:p>
        </w:tc>
        <w:tc>
          <w:tcPr>
            <w:tcW w:w="1701" w:type="dxa"/>
            <w:vAlign w:val="center"/>
          </w:tcPr>
          <w:p w14:paraId="3B379E43" w14:textId="77777777" w:rsidR="00454A29" w:rsidRDefault="00454A29">
            <w:pPr>
              <w:pStyle w:val="ConsPlusNormal"/>
            </w:pPr>
          </w:p>
        </w:tc>
        <w:tc>
          <w:tcPr>
            <w:tcW w:w="1814" w:type="dxa"/>
            <w:vAlign w:val="center"/>
          </w:tcPr>
          <w:p w14:paraId="5FBF435C" w14:textId="77777777" w:rsidR="00454A29" w:rsidRDefault="00454A29">
            <w:pPr>
              <w:pStyle w:val="ConsPlusNormal"/>
            </w:pPr>
          </w:p>
        </w:tc>
      </w:tr>
      <w:tr w:rsidR="00454A29" w14:paraId="04A8A1DE" w14:textId="77777777">
        <w:tc>
          <w:tcPr>
            <w:tcW w:w="567" w:type="dxa"/>
            <w:vMerge/>
          </w:tcPr>
          <w:p w14:paraId="48141CF1" w14:textId="77777777" w:rsidR="00454A29" w:rsidRDefault="00454A29"/>
        </w:tc>
        <w:tc>
          <w:tcPr>
            <w:tcW w:w="3345" w:type="dxa"/>
            <w:vMerge/>
          </w:tcPr>
          <w:p w14:paraId="46A71C0C" w14:textId="77777777" w:rsidR="00454A29" w:rsidRDefault="00454A29"/>
        </w:tc>
        <w:tc>
          <w:tcPr>
            <w:tcW w:w="1701" w:type="dxa"/>
            <w:vAlign w:val="center"/>
          </w:tcPr>
          <w:p w14:paraId="13EBD1AD" w14:textId="77777777" w:rsidR="00454A29" w:rsidRDefault="00454A29">
            <w:pPr>
              <w:pStyle w:val="ConsPlusNormal"/>
              <w:jc w:val="center"/>
            </w:pPr>
            <w:r>
              <w:t>2024</w:t>
            </w:r>
          </w:p>
        </w:tc>
        <w:tc>
          <w:tcPr>
            <w:tcW w:w="1417" w:type="dxa"/>
            <w:vMerge/>
          </w:tcPr>
          <w:p w14:paraId="58D7A11A" w14:textId="77777777" w:rsidR="00454A29" w:rsidRDefault="00454A29"/>
        </w:tc>
        <w:tc>
          <w:tcPr>
            <w:tcW w:w="2204" w:type="dxa"/>
            <w:vMerge/>
          </w:tcPr>
          <w:p w14:paraId="634C58AE" w14:textId="77777777" w:rsidR="00454A29" w:rsidRDefault="00454A29"/>
        </w:tc>
        <w:tc>
          <w:tcPr>
            <w:tcW w:w="1417" w:type="dxa"/>
            <w:vMerge/>
          </w:tcPr>
          <w:p w14:paraId="02F2FD2E" w14:textId="77777777" w:rsidR="00454A29" w:rsidRDefault="00454A29"/>
        </w:tc>
        <w:tc>
          <w:tcPr>
            <w:tcW w:w="2324" w:type="dxa"/>
            <w:vMerge/>
          </w:tcPr>
          <w:p w14:paraId="3EE78BC1" w14:textId="77777777" w:rsidR="00454A29" w:rsidRDefault="00454A29"/>
        </w:tc>
        <w:tc>
          <w:tcPr>
            <w:tcW w:w="1701" w:type="dxa"/>
            <w:vAlign w:val="center"/>
          </w:tcPr>
          <w:p w14:paraId="53E92DE0" w14:textId="77777777" w:rsidR="00454A29" w:rsidRDefault="00454A29">
            <w:pPr>
              <w:pStyle w:val="ConsPlusNormal"/>
            </w:pPr>
          </w:p>
        </w:tc>
        <w:tc>
          <w:tcPr>
            <w:tcW w:w="1814" w:type="dxa"/>
            <w:vAlign w:val="center"/>
          </w:tcPr>
          <w:p w14:paraId="3391D526" w14:textId="77777777" w:rsidR="00454A29" w:rsidRDefault="00454A29">
            <w:pPr>
              <w:pStyle w:val="ConsPlusNormal"/>
            </w:pPr>
          </w:p>
        </w:tc>
        <w:tc>
          <w:tcPr>
            <w:tcW w:w="1701" w:type="dxa"/>
            <w:vAlign w:val="center"/>
          </w:tcPr>
          <w:p w14:paraId="7CAAE66C" w14:textId="77777777" w:rsidR="00454A29" w:rsidRDefault="00454A29">
            <w:pPr>
              <w:pStyle w:val="ConsPlusNormal"/>
            </w:pPr>
          </w:p>
        </w:tc>
        <w:tc>
          <w:tcPr>
            <w:tcW w:w="1701" w:type="dxa"/>
            <w:vAlign w:val="center"/>
          </w:tcPr>
          <w:p w14:paraId="4356B259" w14:textId="77777777" w:rsidR="00454A29" w:rsidRDefault="00454A29">
            <w:pPr>
              <w:pStyle w:val="ConsPlusNormal"/>
            </w:pPr>
          </w:p>
        </w:tc>
        <w:tc>
          <w:tcPr>
            <w:tcW w:w="1814" w:type="dxa"/>
            <w:vAlign w:val="center"/>
          </w:tcPr>
          <w:p w14:paraId="7004D692" w14:textId="77777777" w:rsidR="00454A29" w:rsidRDefault="00454A29">
            <w:pPr>
              <w:pStyle w:val="ConsPlusNormal"/>
            </w:pPr>
          </w:p>
        </w:tc>
      </w:tr>
      <w:tr w:rsidR="00454A29" w14:paraId="02BD1C54" w14:textId="77777777">
        <w:tc>
          <w:tcPr>
            <w:tcW w:w="567" w:type="dxa"/>
            <w:vMerge/>
          </w:tcPr>
          <w:p w14:paraId="54567AD1" w14:textId="77777777" w:rsidR="00454A29" w:rsidRDefault="00454A29"/>
        </w:tc>
        <w:tc>
          <w:tcPr>
            <w:tcW w:w="3345" w:type="dxa"/>
            <w:vMerge/>
          </w:tcPr>
          <w:p w14:paraId="14B29479" w14:textId="77777777" w:rsidR="00454A29" w:rsidRDefault="00454A29"/>
        </w:tc>
        <w:tc>
          <w:tcPr>
            <w:tcW w:w="1701" w:type="dxa"/>
            <w:vAlign w:val="center"/>
          </w:tcPr>
          <w:p w14:paraId="21F692B1" w14:textId="77777777" w:rsidR="00454A29" w:rsidRDefault="00454A29">
            <w:pPr>
              <w:pStyle w:val="ConsPlusNormal"/>
              <w:jc w:val="center"/>
            </w:pPr>
            <w:r>
              <w:t>2025</w:t>
            </w:r>
          </w:p>
        </w:tc>
        <w:tc>
          <w:tcPr>
            <w:tcW w:w="1417" w:type="dxa"/>
            <w:vMerge/>
          </w:tcPr>
          <w:p w14:paraId="0B6654A4" w14:textId="77777777" w:rsidR="00454A29" w:rsidRDefault="00454A29"/>
        </w:tc>
        <w:tc>
          <w:tcPr>
            <w:tcW w:w="2204" w:type="dxa"/>
            <w:vMerge/>
          </w:tcPr>
          <w:p w14:paraId="6FC9BDDD" w14:textId="77777777" w:rsidR="00454A29" w:rsidRDefault="00454A29"/>
        </w:tc>
        <w:tc>
          <w:tcPr>
            <w:tcW w:w="1417" w:type="dxa"/>
            <w:vMerge/>
          </w:tcPr>
          <w:p w14:paraId="2985C085" w14:textId="77777777" w:rsidR="00454A29" w:rsidRDefault="00454A29"/>
        </w:tc>
        <w:tc>
          <w:tcPr>
            <w:tcW w:w="2324" w:type="dxa"/>
            <w:vMerge/>
          </w:tcPr>
          <w:p w14:paraId="0B378443" w14:textId="77777777" w:rsidR="00454A29" w:rsidRDefault="00454A29"/>
        </w:tc>
        <w:tc>
          <w:tcPr>
            <w:tcW w:w="1701" w:type="dxa"/>
            <w:vAlign w:val="center"/>
          </w:tcPr>
          <w:p w14:paraId="6BD9BEED" w14:textId="77777777" w:rsidR="00454A29" w:rsidRDefault="00454A29">
            <w:pPr>
              <w:pStyle w:val="ConsPlusNormal"/>
            </w:pPr>
          </w:p>
        </w:tc>
        <w:tc>
          <w:tcPr>
            <w:tcW w:w="1814" w:type="dxa"/>
            <w:vAlign w:val="center"/>
          </w:tcPr>
          <w:p w14:paraId="1B7E79F8" w14:textId="77777777" w:rsidR="00454A29" w:rsidRDefault="00454A29">
            <w:pPr>
              <w:pStyle w:val="ConsPlusNormal"/>
            </w:pPr>
          </w:p>
        </w:tc>
        <w:tc>
          <w:tcPr>
            <w:tcW w:w="1701" w:type="dxa"/>
            <w:vAlign w:val="center"/>
          </w:tcPr>
          <w:p w14:paraId="5E19D9E9" w14:textId="77777777" w:rsidR="00454A29" w:rsidRDefault="00454A29">
            <w:pPr>
              <w:pStyle w:val="ConsPlusNormal"/>
            </w:pPr>
          </w:p>
        </w:tc>
        <w:tc>
          <w:tcPr>
            <w:tcW w:w="1701" w:type="dxa"/>
            <w:vAlign w:val="center"/>
          </w:tcPr>
          <w:p w14:paraId="20C9B00A" w14:textId="77777777" w:rsidR="00454A29" w:rsidRDefault="00454A29">
            <w:pPr>
              <w:pStyle w:val="ConsPlusNormal"/>
            </w:pPr>
          </w:p>
        </w:tc>
        <w:tc>
          <w:tcPr>
            <w:tcW w:w="1814" w:type="dxa"/>
            <w:vAlign w:val="center"/>
          </w:tcPr>
          <w:p w14:paraId="747334CA" w14:textId="77777777" w:rsidR="00454A29" w:rsidRDefault="00454A29">
            <w:pPr>
              <w:pStyle w:val="ConsPlusNormal"/>
            </w:pPr>
          </w:p>
        </w:tc>
      </w:tr>
      <w:tr w:rsidR="00454A29" w14:paraId="02A8F871" w14:textId="77777777">
        <w:tc>
          <w:tcPr>
            <w:tcW w:w="567" w:type="dxa"/>
            <w:vMerge/>
          </w:tcPr>
          <w:p w14:paraId="2BF46835" w14:textId="77777777" w:rsidR="00454A29" w:rsidRDefault="00454A29"/>
        </w:tc>
        <w:tc>
          <w:tcPr>
            <w:tcW w:w="3345" w:type="dxa"/>
            <w:vMerge/>
          </w:tcPr>
          <w:p w14:paraId="5A4E7ABE" w14:textId="77777777" w:rsidR="00454A29" w:rsidRDefault="00454A29"/>
        </w:tc>
        <w:tc>
          <w:tcPr>
            <w:tcW w:w="1701" w:type="dxa"/>
            <w:vAlign w:val="center"/>
          </w:tcPr>
          <w:p w14:paraId="0FC7B26E" w14:textId="77777777" w:rsidR="00454A29" w:rsidRDefault="00454A29">
            <w:pPr>
              <w:pStyle w:val="ConsPlusNormal"/>
              <w:jc w:val="center"/>
            </w:pPr>
            <w:r>
              <w:t>2026</w:t>
            </w:r>
          </w:p>
        </w:tc>
        <w:tc>
          <w:tcPr>
            <w:tcW w:w="1417" w:type="dxa"/>
            <w:vMerge/>
          </w:tcPr>
          <w:p w14:paraId="7B14CC8C" w14:textId="77777777" w:rsidR="00454A29" w:rsidRDefault="00454A29"/>
        </w:tc>
        <w:tc>
          <w:tcPr>
            <w:tcW w:w="2204" w:type="dxa"/>
            <w:vMerge/>
          </w:tcPr>
          <w:p w14:paraId="67F8059A" w14:textId="77777777" w:rsidR="00454A29" w:rsidRDefault="00454A29"/>
        </w:tc>
        <w:tc>
          <w:tcPr>
            <w:tcW w:w="1417" w:type="dxa"/>
            <w:vMerge/>
          </w:tcPr>
          <w:p w14:paraId="30FBD0C5" w14:textId="77777777" w:rsidR="00454A29" w:rsidRDefault="00454A29"/>
        </w:tc>
        <w:tc>
          <w:tcPr>
            <w:tcW w:w="2324" w:type="dxa"/>
            <w:vMerge/>
          </w:tcPr>
          <w:p w14:paraId="4784D7A7" w14:textId="77777777" w:rsidR="00454A29" w:rsidRDefault="00454A29"/>
        </w:tc>
        <w:tc>
          <w:tcPr>
            <w:tcW w:w="1701" w:type="dxa"/>
            <w:vAlign w:val="center"/>
          </w:tcPr>
          <w:p w14:paraId="4E520373" w14:textId="77777777" w:rsidR="00454A29" w:rsidRDefault="00454A29">
            <w:pPr>
              <w:pStyle w:val="ConsPlusNormal"/>
              <w:jc w:val="center"/>
            </w:pPr>
            <w:r>
              <w:t>733 339,11</w:t>
            </w:r>
          </w:p>
        </w:tc>
        <w:tc>
          <w:tcPr>
            <w:tcW w:w="1814" w:type="dxa"/>
            <w:vAlign w:val="center"/>
          </w:tcPr>
          <w:p w14:paraId="3B5B2E31" w14:textId="77777777" w:rsidR="00454A29" w:rsidRDefault="00454A29">
            <w:pPr>
              <w:pStyle w:val="ConsPlusNormal"/>
              <w:jc w:val="center"/>
            </w:pPr>
            <w:r>
              <w:t>9 034,74</w:t>
            </w:r>
          </w:p>
        </w:tc>
        <w:tc>
          <w:tcPr>
            <w:tcW w:w="1701" w:type="dxa"/>
            <w:vAlign w:val="center"/>
          </w:tcPr>
          <w:p w14:paraId="3407D85B" w14:textId="77777777" w:rsidR="00454A29" w:rsidRDefault="00454A29">
            <w:pPr>
              <w:pStyle w:val="ConsPlusNormal"/>
              <w:jc w:val="center"/>
            </w:pPr>
            <w:r>
              <w:t>894 439,04</w:t>
            </w:r>
          </w:p>
        </w:tc>
        <w:tc>
          <w:tcPr>
            <w:tcW w:w="1701" w:type="dxa"/>
            <w:vAlign w:val="center"/>
          </w:tcPr>
          <w:p w14:paraId="2C03EAA2" w14:textId="77777777" w:rsidR="00454A29" w:rsidRDefault="00454A29">
            <w:pPr>
              <w:pStyle w:val="ConsPlusNormal"/>
            </w:pPr>
          </w:p>
        </w:tc>
        <w:tc>
          <w:tcPr>
            <w:tcW w:w="1814" w:type="dxa"/>
            <w:vAlign w:val="center"/>
          </w:tcPr>
          <w:p w14:paraId="2D4D1EF2" w14:textId="77777777" w:rsidR="00454A29" w:rsidRDefault="00454A29">
            <w:pPr>
              <w:pStyle w:val="ConsPlusNormal"/>
            </w:pPr>
          </w:p>
        </w:tc>
      </w:tr>
      <w:tr w:rsidR="00454A29" w14:paraId="652B5992" w14:textId="77777777">
        <w:tc>
          <w:tcPr>
            <w:tcW w:w="567" w:type="dxa"/>
            <w:vMerge w:val="restart"/>
            <w:vAlign w:val="center"/>
          </w:tcPr>
          <w:p w14:paraId="274FC851" w14:textId="77777777" w:rsidR="00454A29" w:rsidRDefault="00454A29">
            <w:pPr>
              <w:pStyle w:val="ConsPlusNormal"/>
              <w:jc w:val="center"/>
            </w:pPr>
            <w:r>
              <w:t>132</w:t>
            </w:r>
          </w:p>
        </w:tc>
        <w:tc>
          <w:tcPr>
            <w:tcW w:w="3345" w:type="dxa"/>
            <w:vMerge w:val="restart"/>
            <w:vAlign w:val="center"/>
          </w:tcPr>
          <w:p w14:paraId="3AC486EC" w14:textId="77777777" w:rsidR="00454A29" w:rsidRDefault="00454A29">
            <w:pPr>
              <w:pStyle w:val="ConsPlusNormal"/>
              <w:jc w:val="center"/>
            </w:pPr>
            <w:r>
              <w:t>Школа на 360 учащихся в с. Ытык-Кюель</w:t>
            </w:r>
          </w:p>
        </w:tc>
        <w:tc>
          <w:tcPr>
            <w:tcW w:w="1701" w:type="dxa"/>
            <w:vAlign w:val="center"/>
          </w:tcPr>
          <w:p w14:paraId="2078DEC2" w14:textId="77777777" w:rsidR="00454A29" w:rsidRDefault="00454A29">
            <w:pPr>
              <w:pStyle w:val="ConsPlusNormal"/>
              <w:jc w:val="center"/>
            </w:pPr>
            <w:r>
              <w:t>2020 - 2026 годы - всего</w:t>
            </w:r>
          </w:p>
        </w:tc>
        <w:tc>
          <w:tcPr>
            <w:tcW w:w="1417" w:type="dxa"/>
            <w:vMerge w:val="restart"/>
            <w:vAlign w:val="center"/>
          </w:tcPr>
          <w:p w14:paraId="580675D7" w14:textId="77777777" w:rsidR="00454A29" w:rsidRDefault="00454A29">
            <w:pPr>
              <w:pStyle w:val="ConsPlusNormal"/>
              <w:jc w:val="center"/>
            </w:pPr>
            <w:r>
              <w:t>733 339,11</w:t>
            </w:r>
          </w:p>
        </w:tc>
        <w:tc>
          <w:tcPr>
            <w:tcW w:w="2204" w:type="dxa"/>
            <w:vMerge w:val="restart"/>
            <w:vAlign w:val="center"/>
          </w:tcPr>
          <w:p w14:paraId="0AE3B03F" w14:textId="77777777" w:rsidR="00454A29" w:rsidRDefault="00454A29">
            <w:pPr>
              <w:pStyle w:val="ConsPlusNormal"/>
            </w:pPr>
          </w:p>
        </w:tc>
        <w:tc>
          <w:tcPr>
            <w:tcW w:w="1417" w:type="dxa"/>
            <w:vMerge w:val="restart"/>
            <w:vAlign w:val="center"/>
          </w:tcPr>
          <w:p w14:paraId="5BED0D05" w14:textId="77777777" w:rsidR="00454A29" w:rsidRDefault="00454A29">
            <w:pPr>
              <w:pStyle w:val="ConsPlusNormal"/>
              <w:jc w:val="center"/>
            </w:pPr>
            <w:r>
              <w:t>360</w:t>
            </w:r>
          </w:p>
        </w:tc>
        <w:tc>
          <w:tcPr>
            <w:tcW w:w="2324" w:type="dxa"/>
            <w:vMerge w:val="restart"/>
            <w:vAlign w:val="center"/>
          </w:tcPr>
          <w:p w14:paraId="3019522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670A99B" w14:textId="77777777" w:rsidR="00454A29" w:rsidRDefault="00454A29">
            <w:pPr>
              <w:pStyle w:val="ConsPlusNormal"/>
              <w:jc w:val="center"/>
            </w:pPr>
            <w:r>
              <w:t>733 339,11</w:t>
            </w:r>
          </w:p>
        </w:tc>
        <w:tc>
          <w:tcPr>
            <w:tcW w:w="1814" w:type="dxa"/>
            <w:vAlign w:val="center"/>
          </w:tcPr>
          <w:p w14:paraId="3B27958C" w14:textId="77777777" w:rsidR="00454A29" w:rsidRDefault="00454A29">
            <w:pPr>
              <w:pStyle w:val="ConsPlusNormal"/>
              <w:jc w:val="center"/>
            </w:pPr>
            <w:r>
              <w:t>9 034,74</w:t>
            </w:r>
          </w:p>
        </w:tc>
        <w:tc>
          <w:tcPr>
            <w:tcW w:w="1701" w:type="dxa"/>
            <w:vAlign w:val="center"/>
          </w:tcPr>
          <w:p w14:paraId="78A0E775" w14:textId="77777777" w:rsidR="00454A29" w:rsidRDefault="00454A29">
            <w:pPr>
              <w:pStyle w:val="ConsPlusNormal"/>
              <w:jc w:val="center"/>
            </w:pPr>
            <w:r>
              <w:t>894 439,04</w:t>
            </w:r>
          </w:p>
        </w:tc>
        <w:tc>
          <w:tcPr>
            <w:tcW w:w="1701" w:type="dxa"/>
            <w:vAlign w:val="center"/>
          </w:tcPr>
          <w:p w14:paraId="4FDC7E45" w14:textId="77777777" w:rsidR="00454A29" w:rsidRDefault="00454A29">
            <w:pPr>
              <w:pStyle w:val="ConsPlusNormal"/>
              <w:jc w:val="center"/>
            </w:pPr>
            <w:r>
              <w:t>-</w:t>
            </w:r>
          </w:p>
        </w:tc>
        <w:tc>
          <w:tcPr>
            <w:tcW w:w="1814" w:type="dxa"/>
            <w:vAlign w:val="center"/>
          </w:tcPr>
          <w:p w14:paraId="58E50631" w14:textId="77777777" w:rsidR="00454A29" w:rsidRDefault="00454A29">
            <w:pPr>
              <w:pStyle w:val="ConsPlusNormal"/>
              <w:jc w:val="center"/>
            </w:pPr>
            <w:r>
              <w:t>-</w:t>
            </w:r>
          </w:p>
        </w:tc>
      </w:tr>
      <w:tr w:rsidR="00454A29" w14:paraId="62CE578E" w14:textId="77777777">
        <w:tc>
          <w:tcPr>
            <w:tcW w:w="567" w:type="dxa"/>
            <w:vMerge/>
          </w:tcPr>
          <w:p w14:paraId="4B1812BA" w14:textId="77777777" w:rsidR="00454A29" w:rsidRDefault="00454A29"/>
        </w:tc>
        <w:tc>
          <w:tcPr>
            <w:tcW w:w="3345" w:type="dxa"/>
            <w:vMerge/>
          </w:tcPr>
          <w:p w14:paraId="7593377E" w14:textId="77777777" w:rsidR="00454A29" w:rsidRDefault="00454A29"/>
        </w:tc>
        <w:tc>
          <w:tcPr>
            <w:tcW w:w="1701" w:type="dxa"/>
            <w:vAlign w:val="center"/>
          </w:tcPr>
          <w:p w14:paraId="2BC4D961" w14:textId="77777777" w:rsidR="00454A29" w:rsidRDefault="00454A29">
            <w:pPr>
              <w:pStyle w:val="ConsPlusNormal"/>
              <w:jc w:val="center"/>
            </w:pPr>
            <w:r>
              <w:t>2020</w:t>
            </w:r>
          </w:p>
        </w:tc>
        <w:tc>
          <w:tcPr>
            <w:tcW w:w="1417" w:type="dxa"/>
            <w:vMerge/>
          </w:tcPr>
          <w:p w14:paraId="39D43AC7" w14:textId="77777777" w:rsidR="00454A29" w:rsidRDefault="00454A29"/>
        </w:tc>
        <w:tc>
          <w:tcPr>
            <w:tcW w:w="2204" w:type="dxa"/>
            <w:vMerge/>
          </w:tcPr>
          <w:p w14:paraId="1DDFA449" w14:textId="77777777" w:rsidR="00454A29" w:rsidRDefault="00454A29"/>
        </w:tc>
        <w:tc>
          <w:tcPr>
            <w:tcW w:w="1417" w:type="dxa"/>
            <w:vMerge/>
          </w:tcPr>
          <w:p w14:paraId="27AE3CA5" w14:textId="77777777" w:rsidR="00454A29" w:rsidRDefault="00454A29"/>
        </w:tc>
        <w:tc>
          <w:tcPr>
            <w:tcW w:w="2324" w:type="dxa"/>
            <w:vMerge/>
          </w:tcPr>
          <w:p w14:paraId="62593B4A" w14:textId="77777777" w:rsidR="00454A29" w:rsidRDefault="00454A29"/>
        </w:tc>
        <w:tc>
          <w:tcPr>
            <w:tcW w:w="1701" w:type="dxa"/>
            <w:vAlign w:val="center"/>
          </w:tcPr>
          <w:p w14:paraId="14446C50" w14:textId="77777777" w:rsidR="00454A29" w:rsidRDefault="00454A29">
            <w:pPr>
              <w:pStyle w:val="ConsPlusNormal"/>
            </w:pPr>
          </w:p>
        </w:tc>
        <w:tc>
          <w:tcPr>
            <w:tcW w:w="1814" w:type="dxa"/>
            <w:vAlign w:val="center"/>
          </w:tcPr>
          <w:p w14:paraId="1FFBF828" w14:textId="77777777" w:rsidR="00454A29" w:rsidRDefault="00454A29">
            <w:pPr>
              <w:pStyle w:val="ConsPlusNormal"/>
            </w:pPr>
          </w:p>
        </w:tc>
        <w:tc>
          <w:tcPr>
            <w:tcW w:w="1701" w:type="dxa"/>
            <w:vAlign w:val="center"/>
          </w:tcPr>
          <w:p w14:paraId="206BC7C3" w14:textId="77777777" w:rsidR="00454A29" w:rsidRDefault="00454A29">
            <w:pPr>
              <w:pStyle w:val="ConsPlusNormal"/>
            </w:pPr>
          </w:p>
        </w:tc>
        <w:tc>
          <w:tcPr>
            <w:tcW w:w="1701" w:type="dxa"/>
            <w:vAlign w:val="center"/>
          </w:tcPr>
          <w:p w14:paraId="61DB4447" w14:textId="77777777" w:rsidR="00454A29" w:rsidRDefault="00454A29">
            <w:pPr>
              <w:pStyle w:val="ConsPlusNormal"/>
            </w:pPr>
          </w:p>
        </w:tc>
        <w:tc>
          <w:tcPr>
            <w:tcW w:w="1814" w:type="dxa"/>
            <w:vAlign w:val="center"/>
          </w:tcPr>
          <w:p w14:paraId="33D739BA" w14:textId="77777777" w:rsidR="00454A29" w:rsidRDefault="00454A29">
            <w:pPr>
              <w:pStyle w:val="ConsPlusNormal"/>
            </w:pPr>
          </w:p>
        </w:tc>
      </w:tr>
      <w:tr w:rsidR="00454A29" w14:paraId="0B2E1E9E" w14:textId="77777777">
        <w:tc>
          <w:tcPr>
            <w:tcW w:w="567" w:type="dxa"/>
            <w:vMerge/>
          </w:tcPr>
          <w:p w14:paraId="2101CB43" w14:textId="77777777" w:rsidR="00454A29" w:rsidRDefault="00454A29"/>
        </w:tc>
        <w:tc>
          <w:tcPr>
            <w:tcW w:w="3345" w:type="dxa"/>
            <w:vMerge/>
          </w:tcPr>
          <w:p w14:paraId="5CDF99A9" w14:textId="77777777" w:rsidR="00454A29" w:rsidRDefault="00454A29"/>
        </w:tc>
        <w:tc>
          <w:tcPr>
            <w:tcW w:w="1701" w:type="dxa"/>
            <w:vAlign w:val="center"/>
          </w:tcPr>
          <w:p w14:paraId="0916DDD0" w14:textId="77777777" w:rsidR="00454A29" w:rsidRDefault="00454A29">
            <w:pPr>
              <w:pStyle w:val="ConsPlusNormal"/>
              <w:jc w:val="center"/>
            </w:pPr>
            <w:r>
              <w:t>2021</w:t>
            </w:r>
          </w:p>
        </w:tc>
        <w:tc>
          <w:tcPr>
            <w:tcW w:w="1417" w:type="dxa"/>
            <w:vMerge/>
          </w:tcPr>
          <w:p w14:paraId="4D4819E0" w14:textId="77777777" w:rsidR="00454A29" w:rsidRDefault="00454A29"/>
        </w:tc>
        <w:tc>
          <w:tcPr>
            <w:tcW w:w="2204" w:type="dxa"/>
            <w:vMerge/>
          </w:tcPr>
          <w:p w14:paraId="621591BF" w14:textId="77777777" w:rsidR="00454A29" w:rsidRDefault="00454A29"/>
        </w:tc>
        <w:tc>
          <w:tcPr>
            <w:tcW w:w="1417" w:type="dxa"/>
            <w:vMerge/>
          </w:tcPr>
          <w:p w14:paraId="70853163" w14:textId="77777777" w:rsidR="00454A29" w:rsidRDefault="00454A29"/>
        </w:tc>
        <w:tc>
          <w:tcPr>
            <w:tcW w:w="2324" w:type="dxa"/>
            <w:vMerge/>
          </w:tcPr>
          <w:p w14:paraId="40C49D79" w14:textId="77777777" w:rsidR="00454A29" w:rsidRDefault="00454A29"/>
        </w:tc>
        <w:tc>
          <w:tcPr>
            <w:tcW w:w="1701" w:type="dxa"/>
            <w:vAlign w:val="center"/>
          </w:tcPr>
          <w:p w14:paraId="51DA0432" w14:textId="77777777" w:rsidR="00454A29" w:rsidRDefault="00454A29">
            <w:pPr>
              <w:pStyle w:val="ConsPlusNormal"/>
              <w:jc w:val="center"/>
            </w:pPr>
            <w:r>
              <w:t>-</w:t>
            </w:r>
          </w:p>
        </w:tc>
        <w:tc>
          <w:tcPr>
            <w:tcW w:w="1814" w:type="dxa"/>
            <w:vAlign w:val="center"/>
          </w:tcPr>
          <w:p w14:paraId="33DFD8D1" w14:textId="77777777" w:rsidR="00454A29" w:rsidRDefault="00454A29">
            <w:pPr>
              <w:pStyle w:val="ConsPlusNormal"/>
            </w:pPr>
          </w:p>
        </w:tc>
        <w:tc>
          <w:tcPr>
            <w:tcW w:w="1701" w:type="dxa"/>
            <w:vAlign w:val="center"/>
          </w:tcPr>
          <w:p w14:paraId="2D8D9DEC" w14:textId="77777777" w:rsidR="00454A29" w:rsidRDefault="00454A29">
            <w:pPr>
              <w:pStyle w:val="ConsPlusNormal"/>
            </w:pPr>
          </w:p>
        </w:tc>
        <w:tc>
          <w:tcPr>
            <w:tcW w:w="1701" w:type="dxa"/>
            <w:vAlign w:val="center"/>
          </w:tcPr>
          <w:p w14:paraId="2CF031F7" w14:textId="77777777" w:rsidR="00454A29" w:rsidRDefault="00454A29">
            <w:pPr>
              <w:pStyle w:val="ConsPlusNormal"/>
            </w:pPr>
          </w:p>
        </w:tc>
        <w:tc>
          <w:tcPr>
            <w:tcW w:w="1814" w:type="dxa"/>
            <w:vAlign w:val="center"/>
          </w:tcPr>
          <w:p w14:paraId="15B9924C" w14:textId="77777777" w:rsidR="00454A29" w:rsidRDefault="00454A29">
            <w:pPr>
              <w:pStyle w:val="ConsPlusNormal"/>
            </w:pPr>
          </w:p>
        </w:tc>
      </w:tr>
      <w:tr w:rsidR="00454A29" w14:paraId="16834AE5" w14:textId="77777777">
        <w:tc>
          <w:tcPr>
            <w:tcW w:w="567" w:type="dxa"/>
            <w:vMerge/>
          </w:tcPr>
          <w:p w14:paraId="03593EF0" w14:textId="77777777" w:rsidR="00454A29" w:rsidRDefault="00454A29"/>
        </w:tc>
        <w:tc>
          <w:tcPr>
            <w:tcW w:w="3345" w:type="dxa"/>
            <w:vMerge/>
          </w:tcPr>
          <w:p w14:paraId="11D01EC2" w14:textId="77777777" w:rsidR="00454A29" w:rsidRDefault="00454A29"/>
        </w:tc>
        <w:tc>
          <w:tcPr>
            <w:tcW w:w="1701" w:type="dxa"/>
            <w:vAlign w:val="center"/>
          </w:tcPr>
          <w:p w14:paraId="7838BA56" w14:textId="77777777" w:rsidR="00454A29" w:rsidRDefault="00454A29">
            <w:pPr>
              <w:pStyle w:val="ConsPlusNormal"/>
              <w:jc w:val="center"/>
            </w:pPr>
            <w:r>
              <w:t>2022</w:t>
            </w:r>
          </w:p>
        </w:tc>
        <w:tc>
          <w:tcPr>
            <w:tcW w:w="1417" w:type="dxa"/>
            <w:vMerge/>
          </w:tcPr>
          <w:p w14:paraId="3351687C" w14:textId="77777777" w:rsidR="00454A29" w:rsidRDefault="00454A29"/>
        </w:tc>
        <w:tc>
          <w:tcPr>
            <w:tcW w:w="2204" w:type="dxa"/>
            <w:vMerge/>
          </w:tcPr>
          <w:p w14:paraId="55221E9C" w14:textId="77777777" w:rsidR="00454A29" w:rsidRDefault="00454A29"/>
        </w:tc>
        <w:tc>
          <w:tcPr>
            <w:tcW w:w="1417" w:type="dxa"/>
            <w:vMerge/>
          </w:tcPr>
          <w:p w14:paraId="18FD1E0A" w14:textId="77777777" w:rsidR="00454A29" w:rsidRDefault="00454A29"/>
        </w:tc>
        <w:tc>
          <w:tcPr>
            <w:tcW w:w="2324" w:type="dxa"/>
            <w:vMerge/>
          </w:tcPr>
          <w:p w14:paraId="41763788" w14:textId="77777777" w:rsidR="00454A29" w:rsidRDefault="00454A29"/>
        </w:tc>
        <w:tc>
          <w:tcPr>
            <w:tcW w:w="1701" w:type="dxa"/>
            <w:vAlign w:val="center"/>
          </w:tcPr>
          <w:p w14:paraId="6F3D2456" w14:textId="77777777" w:rsidR="00454A29" w:rsidRDefault="00454A29">
            <w:pPr>
              <w:pStyle w:val="ConsPlusNormal"/>
            </w:pPr>
          </w:p>
        </w:tc>
        <w:tc>
          <w:tcPr>
            <w:tcW w:w="1814" w:type="dxa"/>
            <w:vAlign w:val="center"/>
          </w:tcPr>
          <w:p w14:paraId="17A7DF78" w14:textId="77777777" w:rsidR="00454A29" w:rsidRDefault="00454A29">
            <w:pPr>
              <w:pStyle w:val="ConsPlusNormal"/>
            </w:pPr>
          </w:p>
        </w:tc>
        <w:tc>
          <w:tcPr>
            <w:tcW w:w="1701" w:type="dxa"/>
            <w:vAlign w:val="center"/>
          </w:tcPr>
          <w:p w14:paraId="1E34CB8C" w14:textId="77777777" w:rsidR="00454A29" w:rsidRDefault="00454A29">
            <w:pPr>
              <w:pStyle w:val="ConsPlusNormal"/>
            </w:pPr>
          </w:p>
        </w:tc>
        <w:tc>
          <w:tcPr>
            <w:tcW w:w="1701" w:type="dxa"/>
            <w:vAlign w:val="center"/>
          </w:tcPr>
          <w:p w14:paraId="6A71823D" w14:textId="77777777" w:rsidR="00454A29" w:rsidRDefault="00454A29">
            <w:pPr>
              <w:pStyle w:val="ConsPlusNormal"/>
            </w:pPr>
          </w:p>
        </w:tc>
        <w:tc>
          <w:tcPr>
            <w:tcW w:w="1814" w:type="dxa"/>
            <w:vAlign w:val="center"/>
          </w:tcPr>
          <w:p w14:paraId="1F9E49D6" w14:textId="77777777" w:rsidR="00454A29" w:rsidRDefault="00454A29">
            <w:pPr>
              <w:pStyle w:val="ConsPlusNormal"/>
            </w:pPr>
          </w:p>
        </w:tc>
      </w:tr>
      <w:tr w:rsidR="00454A29" w14:paraId="5F99FD24" w14:textId="77777777">
        <w:tc>
          <w:tcPr>
            <w:tcW w:w="567" w:type="dxa"/>
            <w:vMerge/>
          </w:tcPr>
          <w:p w14:paraId="45DCF6DA" w14:textId="77777777" w:rsidR="00454A29" w:rsidRDefault="00454A29"/>
        </w:tc>
        <w:tc>
          <w:tcPr>
            <w:tcW w:w="3345" w:type="dxa"/>
            <w:vMerge/>
          </w:tcPr>
          <w:p w14:paraId="48F6E3DC" w14:textId="77777777" w:rsidR="00454A29" w:rsidRDefault="00454A29"/>
        </w:tc>
        <w:tc>
          <w:tcPr>
            <w:tcW w:w="1701" w:type="dxa"/>
            <w:vAlign w:val="center"/>
          </w:tcPr>
          <w:p w14:paraId="42904085" w14:textId="77777777" w:rsidR="00454A29" w:rsidRDefault="00454A29">
            <w:pPr>
              <w:pStyle w:val="ConsPlusNormal"/>
              <w:jc w:val="center"/>
            </w:pPr>
            <w:r>
              <w:t>2023</w:t>
            </w:r>
          </w:p>
        </w:tc>
        <w:tc>
          <w:tcPr>
            <w:tcW w:w="1417" w:type="dxa"/>
            <w:vMerge/>
          </w:tcPr>
          <w:p w14:paraId="330800BD" w14:textId="77777777" w:rsidR="00454A29" w:rsidRDefault="00454A29"/>
        </w:tc>
        <w:tc>
          <w:tcPr>
            <w:tcW w:w="2204" w:type="dxa"/>
            <w:vMerge/>
          </w:tcPr>
          <w:p w14:paraId="55112501" w14:textId="77777777" w:rsidR="00454A29" w:rsidRDefault="00454A29"/>
        </w:tc>
        <w:tc>
          <w:tcPr>
            <w:tcW w:w="1417" w:type="dxa"/>
            <w:vMerge/>
          </w:tcPr>
          <w:p w14:paraId="0DC5891C" w14:textId="77777777" w:rsidR="00454A29" w:rsidRDefault="00454A29"/>
        </w:tc>
        <w:tc>
          <w:tcPr>
            <w:tcW w:w="2324" w:type="dxa"/>
            <w:vMerge/>
          </w:tcPr>
          <w:p w14:paraId="6E29A04E" w14:textId="77777777" w:rsidR="00454A29" w:rsidRDefault="00454A29"/>
        </w:tc>
        <w:tc>
          <w:tcPr>
            <w:tcW w:w="1701" w:type="dxa"/>
            <w:vAlign w:val="center"/>
          </w:tcPr>
          <w:p w14:paraId="4DF7C5D3" w14:textId="77777777" w:rsidR="00454A29" w:rsidRDefault="00454A29">
            <w:pPr>
              <w:pStyle w:val="ConsPlusNormal"/>
              <w:jc w:val="center"/>
            </w:pPr>
            <w:r>
              <w:t>-</w:t>
            </w:r>
          </w:p>
        </w:tc>
        <w:tc>
          <w:tcPr>
            <w:tcW w:w="1814" w:type="dxa"/>
            <w:vAlign w:val="center"/>
          </w:tcPr>
          <w:p w14:paraId="356D024D" w14:textId="77777777" w:rsidR="00454A29" w:rsidRDefault="00454A29">
            <w:pPr>
              <w:pStyle w:val="ConsPlusNormal"/>
            </w:pPr>
          </w:p>
        </w:tc>
        <w:tc>
          <w:tcPr>
            <w:tcW w:w="1701" w:type="dxa"/>
            <w:vAlign w:val="center"/>
          </w:tcPr>
          <w:p w14:paraId="31FE04DD" w14:textId="77777777" w:rsidR="00454A29" w:rsidRDefault="00454A29">
            <w:pPr>
              <w:pStyle w:val="ConsPlusNormal"/>
            </w:pPr>
          </w:p>
        </w:tc>
        <w:tc>
          <w:tcPr>
            <w:tcW w:w="1701" w:type="dxa"/>
            <w:vAlign w:val="center"/>
          </w:tcPr>
          <w:p w14:paraId="790D514C" w14:textId="77777777" w:rsidR="00454A29" w:rsidRDefault="00454A29">
            <w:pPr>
              <w:pStyle w:val="ConsPlusNormal"/>
            </w:pPr>
          </w:p>
        </w:tc>
        <w:tc>
          <w:tcPr>
            <w:tcW w:w="1814" w:type="dxa"/>
            <w:vAlign w:val="center"/>
          </w:tcPr>
          <w:p w14:paraId="0EF4C799" w14:textId="77777777" w:rsidR="00454A29" w:rsidRDefault="00454A29">
            <w:pPr>
              <w:pStyle w:val="ConsPlusNormal"/>
            </w:pPr>
          </w:p>
        </w:tc>
      </w:tr>
      <w:tr w:rsidR="00454A29" w14:paraId="5BB6BEE2" w14:textId="77777777">
        <w:tc>
          <w:tcPr>
            <w:tcW w:w="567" w:type="dxa"/>
            <w:vMerge/>
          </w:tcPr>
          <w:p w14:paraId="31912FA3" w14:textId="77777777" w:rsidR="00454A29" w:rsidRDefault="00454A29"/>
        </w:tc>
        <w:tc>
          <w:tcPr>
            <w:tcW w:w="3345" w:type="dxa"/>
            <w:vMerge/>
          </w:tcPr>
          <w:p w14:paraId="29DD46B9" w14:textId="77777777" w:rsidR="00454A29" w:rsidRDefault="00454A29"/>
        </w:tc>
        <w:tc>
          <w:tcPr>
            <w:tcW w:w="1701" w:type="dxa"/>
            <w:vAlign w:val="center"/>
          </w:tcPr>
          <w:p w14:paraId="28EEFE20" w14:textId="77777777" w:rsidR="00454A29" w:rsidRDefault="00454A29">
            <w:pPr>
              <w:pStyle w:val="ConsPlusNormal"/>
              <w:jc w:val="center"/>
            </w:pPr>
            <w:r>
              <w:t>2024</w:t>
            </w:r>
          </w:p>
        </w:tc>
        <w:tc>
          <w:tcPr>
            <w:tcW w:w="1417" w:type="dxa"/>
            <w:vMerge/>
          </w:tcPr>
          <w:p w14:paraId="7397E012" w14:textId="77777777" w:rsidR="00454A29" w:rsidRDefault="00454A29"/>
        </w:tc>
        <w:tc>
          <w:tcPr>
            <w:tcW w:w="2204" w:type="dxa"/>
            <w:vMerge/>
          </w:tcPr>
          <w:p w14:paraId="247C1990" w14:textId="77777777" w:rsidR="00454A29" w:rsidRDefault="00454A29"/>
        </w:tc>
        <w:tc>
          <w:tcPr>
            <w:tcW w:w="1417" w:type="dxa"/>
            <w:vMerge/>
          </w:tcPr>
          <w:p w14:paraId="47ED6914" w14:textId="77777777" w:rsidR="00454A29" w:rsidRDefault="00454A29"/>
        </w:tc>
        <w:tc>
          <w:tcPr>
            <w:tcW w:w="2324" w:type="dxa"/>
            <w:vMerge/>
          </w:tcPr>
          <w:p w14:paraId="79E4EDD8" w14:textId="77777777" w:rsidR="00454A29" w:rsidRDefault="00454A29"/>
        </w:tc>
        <w:tc>
          <w:tcPr>
            <w:tcW w:w="1701" w:type="dxa"/>
            <w:vAlign w:val="center"/>
          </w:tcPr>
          <w:p w14:paraId="5E855F8B" w14:textId="77777777" w:rsidR="00454A29" w:rsidRDefault="00454A29">
            <w:pPr>
              <w:pStyle w:val="ConsPlusNormal"/>
            </w:pPr>
          </w:p>
        </w:tc>
        <w:tc>
          <w:tcPr>
            <w:tcW w:w="1814" w:type="dxa"/>
            <w:vAlign w:val="center"/>
          </w:tcPr>
          <w:p w14:paraId="3DAF3CE0" w14:textId="77777777" w:rsidR="00454A29" w:rsidRDefault="00454A29">
            <w:pPr>
              <w:pStyle w:val="ConsPlusNormal"/>
            </w:pPr>
          </w:p>
        </w:tc>
        <w:tc>
          <w:tcPr>
            <w:tcW w:w="1701" w:type="dxa"/>
            <w:vAlign w:val="center"/>
          </w:tcPr>
          <w:p w14:paraId="06BF2E00" w14:textId="77777777" w:rsidR="00454A29" w:rsidRDefault="00454A29">
            <w:pPr>
              <w:pStyle w:val="ConsPlusNormal"/>
            </w:pPr>
          </w:p>
        </w:tc>
        <w:tc>
          <w:tcPr>
            <w:tcW w:w="1701" w:type="dxa"/>
            <w:vAlign w:val="center"/>
          </w:tcPr>
          <w:p w14:paraId="6F547A8F" w14:textId="77777777" w:rsidR="00454A29" w:rsidRDefault="00454A29">
            <w:pPr>
              <w:pStyle w:val="ConsPlusNormal"/>
            </w:pPr>
          </w:p>
        </w:tc>
        <w:tc>
          <w:tcPr>
            <w:tcW w:w="1814" w:type="dxa"/>
            <w:vAlign w:val="center"/>
          </w:tcPr>
          <w:p w14:paraId="16EEA182" w14:textId="77777777" w:rsidR="00454A29" w:rsidRDefault="00454A29">
            <w:pPr>
              <w:pStyle w:val="ConsPlusNormal"/>
            </w:pPr>
          </w:p>
        </w:tc>
      </w:tr>
      <w:tr w:rsidR="00454A29" w14:paraId="2042B0D1" w14:textId="77777777">
        <w:tc>
          <w:tcPr>
            <w:tcW w:w="567" w:type="dxa"/>
            <w:vMerge/>
          </w:tcPr>
          <w:p w14:paraId="0CC5C8F5" w14:textId="77777777" w:rsidR="00454A29" w:rsidRDefault="00454A29"/>
        </w:tc>
        <w:tc>
          <w:tcPr>
            <w:tcW w:w="3345" w:type="dxa"/>
            <w:vMerge/>
          </w:tcPr>
          <w:p w14:paraId="1ABB2537" w14:textId="77777777" w:rsidR="00454A29" w:rsidRDefault="00454A29"/>
        </w:tc>
        <w:tc>
          <w:tcPr>
            <w:tcW w:w="1701" w:type="dxa"/>
            <w:vAlign w:val="center"/>
          </w:tcPr>
          <w:p w14:paraId="188F6A07" w14:textId="77777777" w:rsidR="00454A29" w:rsidRDefault="00454A29">
            <w:pPr>
              <w:pStyle w:val="ConsPlusNormal"/>
              <w:jc w:val="center"/>
            </w:pPr>
            <w:r>
              <w:t>2025</w:t>
            </w:r>
          </w:p>
        </w:tc>
        <w:tc>
          <w:tcPr>
            <w:tcW w:w="1417" w:type="dxa"/>
            <w:vMerge/>
          </w:tcPr>
          <w:p w14:paraId="50E3471D" w14:textId="77777777" w:rsidR="00454A29" w:rsidRDefault="00454A29"/>
        </w:tc>
        <w:tc>
          <w:tcPr>
            <w:tcW w:w="2204" w:type="dxa"/>
            <w:vMerge/>
          </w:tcPr>
          <w:p w14:paraId="3A2C02B2" w14:textId="77777777" w:rsidR="00454A29" w:rsidRDefault="00454A29"/>
        </w:tc>
        <w:tc>
          <w:tcPr>
            <w:tcW w:w="1417" w:type="dxa"/>
            <w:vMerge/>
          </w:tcPr>
          <w:p w14:paraId="4570345D" w14:textId="77777777" w:rsidR="00454A29" w:rsidRDefault="00454A29"/>
        </w:tc>
        <w:tc>
          <w:tcPr>
            <w:tcW w:w="2324" w:type="dxa"/>
            <w:vMerge/>
          </w:tcPr>
          <w:p w14:paraId="7C95BB7C" w14:textId="77777777" w:rsidR="00454A29" w:rsidRDefault="00454A29"/>
        </w:tc>
        <w:tc>
          <w:tcPr>
            <w:tcW w:w="1701" w:type="dxa"/>
            <w:vAlign w:val="center"/>
          </w:tcPr>
          <w:p w14:paraId="17466CE0" w14:textId="77777777" w:rsidR="00454A29" w:rsidRDefault="00454A29">
            <w:pPr>
              <w:pStyle w:val="ConsPlusNormal"/>
            </w:pPr>
          </w:p>
        </w:tc>
        <w:tc>
          <w:tcPr>
            <w:tcW w:w="1814" w:type="dxa"/>
            <w:vAlign w:val="center"/>
          </w:tcPr>
          <w:p w14:paraId="03CB855A" w14:textId="77777777" w:rsidR="00454A29" w:rsidRDefault="00454A29">
            <w:pPr>
              <w:pStyle w:val="ConsPlusNormal"/>
            </w:pPr>
          </w:p>
        </w:tc>
        <w:tc>
          <w:tcPr>
            <w:tcW w:w="1701" w:type="dxa"/>
            <w:vAlign w:val="center"/>
          </w:tcPr>
          <w:p w14:paraId="31C7751C" w14:textId="77777777" w:rsidR="00454A29" w:rsidRDefault="00454A29">
            <w:pPr>
              <w:pStyle w:val="ConsPlusNormal"/>
            </w:pPr>
          </w:p>
        </w:tc>
        <w:tc>
          <w:tcPr>
            <w:tcW w:w="1701" w:type="dxa"/>
            <w:vAlign w:val="center"/>
          </w:tcPr>
          <w:p w14:paraId="4BE47B7A" w14:textId="77777777" w:rsidR="00454A29" w:rsidRDefault="00454A29">
            <w:pPr>
              <w:pStyle w:val="ConsPlusNormal"/>
            </w:pPr>
          </w:p>
        </w:tc>
        <w:tc>
          <w:tcPr>
            <w:tcW w:w="1814" w:type="dxa"/>
            <w:vAlign w:val="center"/>
          </w:tcPr>
          <w:p w14:paraId="1761DC07" w14:textId="77777777" w:rsidR="00454A29" w:rsidRDefault="00454A29">
            <w:pPr>
              <w:pStyle w:val="ConsPlusNormal"/>
            </w:pPr>
          </w:p>
        </w:tc>
      </w:tr>
      <w:tr w:rsidR="00454A29" w14:paraId="226C3389" w14:textId="77777777">
        <w:tc>
          <w:tcPr>
            <w:tcW w:w="567" w:type="dxa"/>
            <w:vMerge/>
          </w:tcPr>
          <w:p w14:paraId="39860536" w14:textId="77777777" w:rsidR="00454A29" w:rsidRDefault="00454A29"/>
        </w:tc>
        <w:tc>
          <w:tcPr>
            <w:tcW w:w="3345" w:type="dxa"/>
            <w:vMerge/>
          </w:tcPr>
          <w:p w14:paraId="6582C6CD" w14:textId="77777777" w:rsidR="00454A29" w:rsidRDefault="00454A29"/>
        </w:tc>
        <w:tc>
          <w:tcPr>
            <w:tcW w:w="1701" w:type="dxa"/>
            <w:vAlign w:val="center"/>
          </w:tcPr>
          <w:p w14:paraId="65118CAC" w14:textId="77777777" w:rsidR="00454A29" w:rsidRDefault="00454A29">
            <w:pPr>
              <w:pStyle w:val="ConsPlusNormal"/>
              <w:jc w:val="center"/>
            </w:pPr>
            <w:r>
              <w:t>2026</w:t>
            </w:r>
          </w:p>
        </w:tc>
        <w:tc>
          <w:tcPr>
            <w:tcW w:w="1417" w:type="dxa"/>
            <w:vMerge/>
          </w:tcPr>
          <w:p w14:paraId="6D4E9965" w14:textId="77777777" w:rsidR="00454A29" w:rsidRDefault="00454A29"/>
        </w:tc>
        <w:tc>
          <w:tcPr>
            <w:tcW w:w="2204" w:type="dxa"/>
            <w:vMerge/>
          </w:tcPr>
          <w:p w14:paraId="7B5F9BA4" w14:textId="77777777" w:rsidR="00454A29" w:rsidRDefault="00454A29"/>
        </w:tc>
        <w:tc>
          <w:tcPr>
            <w:tcW w:w="1417" w:type="dxa"/>
            <w:vMerge/>
          </w:tcPr>
          <w:p w14:paraId="1DE2EEC5" w14:textId="77777777" w:rsidR="00454A29" w:rsidRDefault="00454A29"/>
        </w:tc>
        <w:tc>
          <w:tcPr>
            <w:tcW w:w="2324" w:type="dxa"/>
            <w:vMerge/>
          </w:tcPr>
          <w:p w14:paraId="25EECFB6" w14:textId="77777777" w:rsidR="00454A29" w:rsidRDefault="00454A29"/>
        </w:tc>
        <w:tc>
          <w:tcPr>
            <w:tcW w:w="1701" w:type="dxa"/>
            <w:vAlign w:val="center"/>
          </w:tcPr>
          <w:p w14:paraId="55A35248" w14:textId="77777777" w:rsidR="00454A29" w:rsidRDefault="00454A29">
            <w:pPr>
              <w:pStyle w:val="ConsPlusNormal"/>
              <w:jc w:val="center"/>
            </w:pPr>
            <w:r>
              <w:t>733 339,11</w:t>
            </w:r>
          </w:p>
        </w:tc>
        <w:tc>
          <w:tcPr>
            <w:tcW w:w="1814" w:type="dxa"/>
            <w:vAlign w:val="center"/>
          </w:tcPr>
          <w:p w14:paraId="759873D6" w14:textId="77777777" w:rsidR="00454A29" w:rsidRDefault="00454A29">
            <w:pPr>
              <w:pStyle w:val="ConsPlusNormal"/>
              <w:jc w:val="center"/>
            </w:pPr>
            <w:r>
              <w:t>9 034,74</w:t>
            </w:r>
          </w:p>
        </w:tc>
        <w:tc>
          <w:tcPr>
            <w:tcW w:w="1701" w:type="dxa"/>
            <w:vAlign w:val="center"/>
          </w:tcPr>
          <w:p w14:paraId="74A0D738" w14:textId="77777777" w:rsidR="00454A29" w:rsidRDefault="00454A29">
            <w:pPr>
              <w:pStyle w:val="ConsPlusNormal"/>
              <w:jc w:val="center"/>
            </w:pPr>
            <w:r>
              <w:t>894 439,04</w:t>
            </w:r>
          </w:p>
        </w:tc>
        <w:tc>
          <w:tcPr>
            <w:tcW w:w="1701" w:type="dxa"/>
            <w:vAlign w:val="center"/>
          </w:tcPr>
          <w:p w14:paraId="596D708F" w14:textId="77777777" w:rsidR="00454A29" w:rsidRDefault="00454A29">
            <w:pPr>
              <w:pStyle w:val="ConsPlusNormal"/>
            </w:pPr>
          </w:p>
        </w:tc>
        <w:tc>
          <w:tcPr>
            <w:tcW w:w="1814" w:type="dxa"/>
            <w:vAlign w:val="center"/>
          </w:tcPr>
          <w:p w14:paraId="56840978" w14:textId="77777777" w:rsidR="00454A29" w:rsidRDefault="00454A29">
            <w:pPr>
              <w:pStyle w:val="ConsPlusNormal"/>
            </w:pPr>
          </w:p>
        </w:tc>
      </w:tr>
      <w:tr w:rsidR="00454A29" w14:paraId="27EBFFF1" w14:textId="77777777">
        <w:tc>
          <w:tcPr>
            <w:tcW w:w="567" w:type="dxa"/>
            <w:vMerge w:val="restart"/>
            <w:vAlign w:val="center"/>
          </w:tcPr>
          <w:p w14:paraId="2C01DAAC" w14:textId="77777777" w:rsidR="00454A29" w:rsidRDefault="00454A29">
            <w:pPr>
              <w:pStyle w:val="ConsPlusNormal"/>
              <w:jc w:val="center"/>
            </w:pPr>
            <w:r>
              <w:t>133</w:t>
            </w:r>
          </w:p>
        </w:tc>
        <w:tc>
          <w:tcPr>
            <w:tcW w:w="3345" w:type="dxa"/>
            <w:vMerge w:val="restart"/>
            <w:vAlign w:val="center"/>
          </w:tcPr>
          <w:p w14:paraId="5E2ED266" w14:textId="77777777" w:rsidR="00454A29" w:rsidRDefault="00454A29">
            <w:pPr>
              <w:pStyle w:val="ConsPlusNormal"/>
              <w:jc w:val="center"/>
            </w:pPr>
            <w:r>
              <w:t>Школа на 35 учащихся в с. Хара-Алдан</w:t>
            </w:r>
          </w:p>
        </w:tc>
        <w:tc>
          <w:tcPr>
            <w:tcW w:w="1701" w:type="dxa"/>
            <w:vAlign w:val="center"/>
          </w:tcPr>
          <w:p w14:paraId="454A6BB2" w14:textId="77777777" w:rsidR="00454A29" w:rsidRDefault="00454A29">
            <w:pPr>
              <w:pStyle w:val="ConsPlusNormal"/>
              <w:jc w:val="center"/>
            </w:pPr>
            <w:r>
              <w:t>2020 - 2026 годы - всего</w:t>
            </w:r>
          </w:p>
        </w:tc>
        <w:tc>
          <w:tcPr>
            <w:tcW w:w="1417" w:type="dxa"/>
            <w:vMerge w:val="restart"/>
            <w:vAlign w:val="center"/>
          </w:tcPr>
          <w:p w14:paraId="531260EE" w14:textId="77777777" w:rsidR="00454A29" w:rsidRDefault="00454A29">
            <w:pPr>
              <w:pStyle w:val="ConsPlusNormal"/>
              <w:jc w:val="center"/>
            </w:pPr>
            <w:r>
              <w:t>128 738,58</w:t>
            </w:r>
          </w:p>
        </w:tc>
        <w:tc>
          <w:tcPr>
            <w:tcW w:w="2204" w:type="dxa"/>
            <w:vMerge w:val="restart"/>
            <w:vAlign w:val="center"/>
          </w:tcPr>
          <w:p w14:paraId="031D7F6E" w14:textId="77777777" w:rsidR="00454A29" w:rsidRDefault="00454A29">
            <w:pPr>
              <w:pStyle w:val="ConsPlusNormal"/>
            </w:pPr>
          </w:p>
        </w:tc>
        <w:tc>
          <w:tcPr>
            <w:tcW w:w="1417" w:type="dxa"/>
            <w:vMerge w:val="restart"/>
            <w:vAlign w:val="center"/>
          </w:tcPr>
          <w:p w14:paraId="1DAE40D5" w14:textId="77777777" w:rsidR="00454A29" w:rsidRDefault="00454A29">
            <w:pPr>
              <w:pStyle w:val="ConsPlusNormal"/>
              <w:jc w:val="center"/>
            </w:pPr>
            <w:r>
              <w:t>35</w:t>
            </w:r>
          </w:p>
        </w:tc>
        <w:tc>
          <w:tcPr>
            <w:tcW w:w="2324" w:type="dxa"/>
            <w:vMerge w:val="restart"/>
            <w:vAlign w:val="center"/>
          </w:tcPr>
          <w:p w14:paraId="40F9E2C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D7CD982" w14:textId="77777777" w:rsidR="00454A29" w:rsidRDefault="00454A29">
            <w:pPr>
              <w:pStyle w:val="ConsPlusNormal"/>
              <w:jc w:val="center"/>
            </w:pPr>
            <w:r>
              <w:t>128 738,58</w:t>
            </w:r>
          </w:p>
        </w:tc>
        <w:tc>
          <w:tcPr>
            <w:tcW w:w="1814" w:type="dxa"/>
            <w:vAlign w:val="center"/>
          </w:tcPr>
          <w:p w14:paraId="49B1306F" w14:textId="77777777" w:rsidR="00454A29" w:rsidRDefault="00454A29">
            <w:pPr>
              <w:pStyle w:val="ConsPlusNormal"/>
              <w:jc w:val="center"/>
            </w:pPr>
            <w:r>
              <w:t>1 586,06</w:t>
            </w:r>
          </w:p>
        </w:tc>
        <w:tc>
          <w:tcPr>
            <w:tcW w:w="1701" w:type="dxa"/>
            <w:vAlign w:val="center"/>
          </w:tcPr>
          <w:p w14:paraId="2D9BF4DB" w14:textId="77777777" w:rsidR="00454A29" w:rsidRDefault="00454A29">
            <w:pPr>
              <w:pStyle w:val="ConsPlusNormal"/>
              <w:jc w:val="center"/>
            </w:pPr>
            <w:r>
              <w:t>157 019,88</w:t>
            </w:r>
          </w:p>
        </w:tc>
        <w:tc>
          <w:tcPr>
            <w:tcW w:w="1701" w:type="dxa"/>
            <w:vAlign w:val="center"/>
          </w:tcPr>
          <w:p w14:paraId="530D49ED" w14:textId="77777777" w:rsidR="00454A29" w:rsidRDefault="00454A29">
            <w:pPr>
              <w:pStyle w:val="ConsPlusNormal"/>
              <w:jc w:val="center"/>
            </w:pPr>
            <w:r>
              <w:t>-</w:t>
            </w:r>
          </w:p>
        </w:tc>
        <w:tc>
          <w:tcPr>
            <w:tcW w:w="1814" w:type="dxa"/>
            <w:vAlign w:val="center"/>
          </w:tcPr>
          <w:p w14:paraId="3FD9F72B" w14:textId="77777777" w:rsidR="00454A29" w:rsidRDefault="00454A29">
            <w:pPr>
              <w:pStyle w:val="ConsPlusNormal"/>
              <w:jc w:val="center"/>
            </w:pPr>
            <w:r>
              <w:t>-</w:t>
            </w:r>
          </w:p>
        </w:tc>
      </w:tr>
      <w:tr w:rsidR="00454A29" w14:paraId="2E7DEC1F" w14:textId="77777777">
        <w:tc>
          <w:tcPr>
            <w:tcW w:w="567" w:type="dxa"/>
            <w:vMerge/>
          </w:tcPr>
          <w:p w14:paraId="23C699CB" w14:textId="77777777" w:rsidR="00454A29" w:rsidRDefault="00454A29"/>
        </w:tc>
        <w:tc>
          <w:tcPr>
            <w:tcW w:w="3345" w:type="dxa"/>
            <w:vMerge/>
          </w:tcPr>
          <w:p w14:paraId="1506C10A" w14:textId="77777777" w:rsidR="00454A29" w:rsidRDefault="00454A29"/>
        </w:tc>
        <w:tc>
          <w:tcPr>
            <w:tcW w:w="1701" w:type="dxa"/>
            <w:vAlign w:val="center"/>
          </w:tcPr>
          <w:p w14:paraId="3F284A44" w14:textId="77777777" w:rsidR="00454A29" w:rsidRDefault="00454A29">
            <w:pPr>
              <w:pStyle w:val="ConsPlusNormal"/>
              <w:jc w:val="center"/>
            </w:pPr>
            <w:r>
              <w:t>2020</w:t>
            </w:r>
          </w:p>
        </w:tc>
        <w:tc>
          <w:tcPr>
            <w:tcW w:w="1417" w:type="dxa"/>
            <w:vMerge/>
          </w:tcPr>
          <w:p w14:paraId="07B5DDEF" w14:textId="77777777" w:rsidR="00454A29" w:rsidRDefault="00454A29"/>
        </w:tc>
        <w:tc>
          <w:tcPr>
            <w:tcW w:w="2204" w:type="dxa"/>
            <w:vMerge/>
          </w:tcPr>
          <w:p w14:paraId="670FDB62" w14:textId="77777777" w:rsidR="00454A29" w:rsidRDefault="00454A29"/>
        </w:tc>
        <w:tc>
          <w:tcPr>
            <w:tcW w:w="1417" w:type="dxa"/>
            <w:vMerge/>
          </w:tcPr>
          <w:p w14:paraId="66603C54" w14:textId="77777777" w:rsidR="00454A29" w:rsidRDefault="00454A29"/>
        </w:tc>
        <w:tc>
          <w:tcPr>
            <w:tcW w:w="2324" w:type="dxa"/>
            <w:vMerge/>
          </w:tcPr>
          <w:p w14:paraId="14F75AC7" w14:textId="77777777" w:rsidR="00454A29" w:rsidRDefault="00454A29"/>
        </w:tc>
        <w:tc>
          <w:tcPr>
            <w:tcW w:w="1701" w:type="dxa"/>
            <w:vAlign w:val="center"/>
          </w:tcPr>
          <w:p w14:paraId="70624C39" w14:textId="77777777" w:rsidR="00454A29" w:rsidRDefault="00454A29">
            <w:pPr>
              <w:pStyle w:val="ConsPlusNormal"/>
            </w:pPr>
          </w:p>
        </w:tc>
        <w:tc>
          <w:tcPr>
            <w:tcW w:w="1814" w:type="dxa"/>
            <w:vAlign w:val="center"/>
          </w:tcPr>
          <w:p w14:paraId="06130EF0" w14:textId="77777777" w:rsidR="00454A29" w:rsidRDefault="00454A29">
            <w:pPr>
              <w:pStyle w:val="ConsPlusNormal"/>
            </w:pPr>
          </w:p>
        </w:tc>
        <w:tc>
          <w:tcPr>
            <w:tcW w:w="1701" w:type="dxa"/>
            <w:vAlign w:val="center"/>
          </w:tcPr>
          <w:p w14:paraId="2430B3C7" w14:textId="77777777" w:rsidR="00454A29" w:rsidRDefault="00454A29">
            <w:pPr>
              <w:pStyle w:val="ConsPlusNormal"/>
            </w:pPr>
          </w:p>
        </w:tc>
        <w:tc>
          <w:tcPr>
            <w:tcW w:w="1701" w:type="dxa"/>
            <w:vAlign w:val="center"/>
          </w:tcPr>
          <w:p w14:paraId="7B6DA1AC" w14:textId="77777777" w:rsidR="00454A29" w:rsidRDefault="00454A29">
            <w:pPr>
              <w:pStyle w:val="ConsPlusNormal"/>
            </w:pPr>
          </w:p>
        </w:tc>
        <w:tc>
          <w:tcPr>
            <w:tcW w:w="1814" w:type="dxa"/>
            <w:vAlign w:val="center"/>
          </w:tcPr>
          <w:p w14:paraId="37E02F28" w14:textId="77777777" w:rsidR="00454A29" w:rsidRDefault="00454A29">
            <w:pPr>
              <w:pStyle w:val="ConsPlusNormal"/>
            </w:pPr>
          </w:p>
        </w:tc>
      </w:tr>
      <w:tr w:rsidR="00454A29" w14:paraId="04C6821C" w14:textId="77777777">
        <w:tc>
          <w:tcPr>
            <w:tcW w:w="567" w:type="dxa"/>
            <w:vMerge/>
          </w:tcPr>
          <w:p w14:paraId="2FD82BE4" w14:textId="77777777" w:rsidR="00454A29" w:rsidRDefault="00454A29"/>
        </w:tc>
        <w:tc>
          <w:tcPr>
            <w:tcW w:w="3345" w:type="dxa"/>
            <w:vMerge/>
          </w:tcPr>
          <w:p w14:paraId="1318A060" w14:textId="77777777" w:rsidR="00454A29" w:rsidRDefault="00454A29"/>
        </w:tc>
        <w:tc>
          <w:tcPr>
            <w:tcW w:w="1701" w:type="dxa"/>
            <w:vAlign w:val="center"/>
          </w:tcPr>
          <w:p w14:paraId="32CD2E7C" w14:textId="77777777" w:rsidR="00454A29" w:rsidRDefault="00454A29">
            <w:pPr>
              <w:pStyle w:val="ConsPlusNormal"/>
              <w:jc w:val="center"/>
            </w:pPr>
            <w:r>
              <w:t>2021</w:t>
            </w:r>
          </w:p>
        </w:tc>
        <w:tc>
          <w:tcPr>
            <w:tcW w:w="1417" w:type="dxa"/>
            <w:vMerge/>
          </w:tcPr>
          <w:p w14:paraId="047D19F3" w14:textId="77777777" w:rsidR="00454A29" w:rsidRDefault="00454A29"/>
        </w:tc>
        <w:tc>
          <w:tcPr>
            <w:tcW w:w="2204" w:type="dxa"/>
            <w:vMerge/>
          </w:tcPr>
          <w:p w14:paraId="4E593D05" w14:textId="77777777" w:rsidR="00454A29" w:rsidRDefault="00454A29"/>
        </w:tc>
        <w:tc>
          <w:tcPr>
            <w:tcW w:w="1417" w:type="dxa"/>
            <w:vMerge/>
          </w:tcPr>
          <w:p w14:paraId="5086B611" w14:textId="77777777" w:rsidR="00454A29" w:rsidRDefault="00454A29"/>
        </w:tc>
        <w:tc>
          <w:tcPr>
            <w:tcW w:w="2324" w:type="dxa"/>
            <w:vMerge/>
          </w:tcPr>
          <w:p w14:paraId="5B038E6E" w14:textId="77777777" w:rsidR="00454A29" w:rsidRDefault="00454A29"/>
        </w:tc>
        <w:tc>
          <w:tcPr>
            <w:tcW w:w="1701" w:type="dxa"/>
            <w:vAlign w:val="center"/>
          </w:tcPr>
          <w:p w14:paraId="327BED26" w14:textId="77777777" w:rsidR="00454A29" w:rsidRDefault="00454A29">
            <w:pPr>
              <w:pStyle w:val="ConsPlusNormal"/>
            </w:pPr>
          </w:p>
        </w:tc>
        <w:tc>
          <w:tcPr>
            <w:tcW w:w="1814" w:type="dxa"/>
            <w:vAlign w:val="center"/>
          </w:tcPr>
          <w:p w14:paraId="5745A6D1" w14:textId="77777777" w:rsidR="00454A29" w:rsidRDefault="00454A29">
            <w:pPr>
              <w:pStyle w:val="ConsPlusNormal"/>
            </w:pPr>
          </w:p>
        </w:tc>
        <w:tc>
          <w:tcPr>
            <w:tcW w:w="1701" w:type="dxa"/>
            <w:vAlign w:val="center"/>
          </w:tcPr>
          <w:p w14:paraId="261D7BDD" w14:textId="77777777" w:rsidR="00454A29" w:rsidRDefault="00454A29">
            <w:pPr>
              <w:pStyle w:val="ConsPlusNormal"/>
            </w:pPr>
          </w:p>
        </w:tc>
        <w:tc>
          <w:tcPr>
            <w:tcW w:w="1701" w:type="dxa"/>
            <w:vAlign w:val="center"/>
          </w:tcPr>
          <w:p w14:paraId="5425A241" w14:textId="77777777" w:rsidR="00454A29" w:rsidRDefault="00454A29">
            <w:pPr>
              <w:pStyle w:val="ConsPlusNormal"/>
            </w:pPr>
          </w:p>
        </w:tc>
        <w:tc>
          <w:tcPr>
            <w:tcW w:w="1814" w:type="dxa"/>
            <w:vAlign w:val="center"/>
          </w:tcPr>
          <w:p w14:paraId="42CE70B4" w14:textId="77777777" w:rsidR="00454A29" w:rsidRDefault="00454A29">
            <w:pPr>
              <w:pStyle w:val="ConsPlusNormal"/>
            </w:pPr>
          </w:p>
        </w:tc>
      </w:tr>
      <w:tr w:rsidR="00454A29" w14:paraId="3D685C21" w14:textId="77777777">
        <w:tc>
          <w:tcPr>
            <w:tcW w:w="567" w:type="dxa"/>
            <w:vMerge/>
          </w:tcPr>
          <w:p w14:paraId="4E7A220B" w14:textId="77777777" w:rsidR="00454A29" w:rsidRDefault="00454A29"/>
        </w:tc>
        <w:tc>
          <w:tcPr>
            <w:tcW w:w="3345" w:type="dxa"/>
            <w:vMerge/>
          </w:tcPr>
          <w:p w14:paraId="3E78F0D7" w14:textId="77777777" w:rsidR="00454A29" w:rsidRDefault="00454A29"/>
        </w:tc>
        <w:tc>
          <w:tcPr>
            <w:tcW w:w="1701" w:type="dxa"/>
            <w:vAlign w:val="center"/>
          </w:tcPr>
          <w:p w14:paraId="40BC30B6" w14:textId="77777777" w:rsidR="00454A29" w:rsidRDefault="00454A29">
            <w:pPr>
              <w:pStyle w:val="ConsPlusNormal"/>
              <w:jc w:val="center"/>
            </w:pPr>
            <w:r>
              <w:t>2022</w:t>
            </w:r>
          </w:p>
        </w:tc>
        <w:tc>
          <w:tcPr>
            <w:tcW w:w="1417" w:type="dxa"/>
            <w:vMerge/>
          </w:tcPr>
          <w:p w14:paraId="0EA59056" w14:textId="77777777" w:rsidR="00454A29" w:rsidRDefault="00454A29"/>
        </w:tc>
        <w:tc>
          <w:tcPr>
            <w:tcW w:w="2204" w:type="dxa"/>
            <w:vMerge/>
          </w:tcPr>
          <w:p w14:paraId="009EDB09" w14:textId="77777777" w:rsidR="00454A29" w:rsidRDefault="00454A29"/>
        </w:tc>
        <w:tc>
          <w:tcPr>
            <w:tcW w:w="1417" w:type="dxa"/>
            <w:vMerge/>
          </w:tcPr>
          <w:p w14:paraId="694586B0" w14:textId="77777777" w:rsidR="00454A29" w:rsidRDefault="00454A29"/>
        </w:tc>
        <w:tc>
          <w:tcPr>
            <w:tcW w:w="2324" w:type="dxa"/>
            <w:vMerge/>
          </w:tcPr>
          <w:p w14:paraId="2B4D0467" w14:textId="77777777" w:rsidR="00454A29" w:rsidRDefault="00454A29"/>
        </w:tc>
        <w:tc>
          <w:tcPr>
            <w:tcW w:w="1701" w:type="dxa"/>
            <w:vAlign w:val="center"/>
          </w:tcPr>
          <w:p w14:paraId="44AEA907" w14:textId="77777777" w:rsidR="00454A29" w:rsidRDefault="00454A29">
            <w:pPr>
              <w:pStyle w:val="ConsPlusNormal"/>
            </w:pPr>
          </w:p>
        </w:tc>
        <w:tc>
          <w:tcPr>
            <w:tcW w:w="1814" w:type="dxa"/>
            <w:vAlign w:val="center"/>
          </w:tcPr>
          <w:p w14:paraId="7B974190" w14:textId="77777777" w:rsidR="00454A29" w:rsidRDefault="00454A29">
            <w:pPr>
              <w:pStyle w:val="ConsPlusNormal"/>
            </w:pPr>
          </w:p>
        </w:tc>
        <w:tc>
          <w:tcPr>
            <w:tcW w:w="1701" w:type="dxa"/>
            <w:vAlign w:val="center"/>
          </w:tcPr>
          <w:p w14:paraId="74BB3136" w14:textId="77777777" w:rsidR="00454A29" w:rsidRDefault="00454A29">
            <w:pPr>
              <w:pStyle w:val="ConsPlusNormal"/>
            </w:pPr>
          </w:p>
        </w:tc>
        <w:tc>
          <w:tcPr>
            <w:tcW w:w="1701" w:type="dxa"/>
            <w:vAlign w:val="center"/>
          </w:tcPr>
          <w:p w14:paraId="4C5BE737" w14:textId="77777777" w:rsidR="00454A29" w:rsidRDefault="00454A29">
            <w:pPr>
              <w:pStyle w:val="ConsPlusNormal"/>
            </w:pPr>
          </w:p>
        </w:tc>
        <w:tc>
          <w:tcPr>
            <w:tcW w:w="1814" w:type="dxa"/>
            <w:vAlign w:val="center"/>
          </w:tcPr>
          <w:p w14:paraId="7CC219E5" w14:textId="77777777" w:rsidR="00454A29" w:rsidRDefault="00454A29">
            <w:pPr>
              <w:pStyle w:val="ConsPlusNormal"/>
            </w:pPr>
          </w:p>
        </w:tc>
      </w:tr>
      <w:tr w:rsidR="00454A29" w14:paraId="108D8327" w14:textId="77777777">
        <w:tc>
          <w:tcPr>
            <w:tcW w:w="567" w:type="dxa"/>
            <w:vMerge/>
          </w:tcPr>
          <w:p w14:paraId="67A3343B" w14:textId="77777777" w:rsidR="00454A29" w:rsidRDefault="00454A29"/>
        </w:tc>
        <w:tc>
          <w:tcPr>
            <w:tcW w:w="3345" w:type="dxa"/>
            <w:vMerge/>
          </w:tcPr>
          <w:p w14:paraId="7B1797E4" w14:textId="77777777" w:rsidR="00454A29" w:rsidRDefault="00454A29"/>
        </w:tc>
        <w:tc>
          <w:tcPr>
            <w:tcW w:w="1701" w:type="dxa"/>
            <w:vAlign w:val="center"/>
          </w:tcPr>
          <w:p w14:paraId="532B0B93" w14:textId="77777777" w:rsidR="00454A29" w:rsidRDefault="00454A29">
            <w:pPr>
              <w:pStyle w:val="ConsPlusNormal"/>
              <w:jc w:val="center"/>
            </w:pPr>
            <w:r>
              <w:t>2023</w:t>
            </w:r>
          </w:p>
        </w:tc>
        <w:tc>
          <w:tcPr>
            <w:tcW w:w="1417" w:type="dxa"/>
            <w:vMerge/>
          </w:tcPr>
          <w:p w14:paraId="3567E915" w14:textId="77777777" w:rsidR="00454A29" w:rsidRDefault="00454A29"/>
        </w:tc>
        <w:tc>
          <w:tcPr>
            <w:tcW w:w="2204" w:type="dxa"/>
            <w:vMerge/>
          </w:tcPr>
          <w:p w14:paraId="6E65ACEF" w14:textId="77777777" w:rsidR="00454A29" w:rsidRDefault="00454A29"/>
        </w:tc>
        <w:tc>
          <w:tcPr>
            <w:tcW w:w="1417" w:type="dxa"/>
            <w:vMerge/>
          </w:tcPr>
          <w:p w14:paraId="4DA832A7" w14:textId="77777777" w:rsidR="00454A29" w:rsidRDefault="00454A29"/>
        </w:tc>
        <w:tc>
          <w:tcPr>
            <w:tcW w:w="2324" w:type="dxa"/>
            <w:vMerge/>
          </w:tcPr>
          <w:p w14:paraId="48AC04D0" w14:textId="77777777" w:rsidR="00454A29" w:rsidRDefault="00454A29"/>
        </w:tc>
        <w:tc>
          <w:tcPr>
            <w:tcW w:w="1701" w:type="dxa"/>
            <w:vAlign w:val="center"/>
          </w:tcPr>
          <w:p w14:paraId="0A4178BB" w14:textId="77777777" w:rsidR="00454A29" w:rsidRDefault="00454A29">
            <w:pPr>
              <w:pStyle w:val="ConsPlusNormal"/>
            </w:pPr>
          </w:p>
        </w:tc>
        <w:tc>
          <w:tcPr>
            <w:tcW w:w="1814" w:type="dxa"/>
            <w:vAlign w:val="center"/>
          </w:tcPr>
          <w:p w14:paraId="0CC15742" w14:textId="77777777" w:rsidR="00454A29" w:rsidRDefault="00454A29">
            <w:pPr>
              <w:pStyle w:val="ConsPlusNormal"/>
            </w:pPr>
          </w:p>
        </w:tc>
        <w:tc>
          <w:tcPr>
            <w:tcW w:w="1701" w:type="dxa"/>
            <w:vAlign w:val="center"/>
          </w:tcPr>
          <w:p w14:paraId="703D30BA" w14:textId="77777777" w:rsidR="00454A29" w:rsidRDefault="00454A29">
            <w:pPr>
              <w:pStyle w:val="ConsPlusNormal"/>
            </w:pPr>
          </w:p>
        </w:tc>
        <w:tc>
          <w:tcPr>
            <w:tcW w:w="1701" w:type="dxa"/>
            <w:vAlign w:val="center"/>
          </w:tcPr>
          <w:p w14:paraId="768340C9" w14:textId="77777777" w:rsidR="00454A29" w:rsidRDefault="00454A29">
            <w:pPr>
              <w:pStyle w:val="ConsPlusNormal"/>
            </w:pPr>
          </w:p>
        </w:tc>
        <w:tc>
          <w:tcPr>
            <w:tcW w:w="1814" w:type="dxa"/>
            <w:vAlign w:val="center"/>
          </w:tcPr>
          <w:p w14:paraId="24594A8B" w14:textId="77777777" w:rsidR="00454A29" w:rsidRDefault="00454A29">
            <w:pPr>
              <w:pStyle w:val="ConsPlusNormal"/>
            </w:pPr>
          </w:p>
        </w:tc>
      </w:tr>
      <w:tr w:rsidR="00454A29" w14:paraId="6128C474" w14:textId="77777777">
        <w:tc>
          <w:tcPr>
            <w:tcW w:w="567" w:type="dxa"/>
            <w:vMerge/>
          </w:tcPr>
          <w:p w14:paraId="1FED1BAD" w14:textId="77777777" w:rsidR="00454A29" w:rsidRDefault="00454A29"/>
        </w:tc>
        <w:tc>
          <w:tcPr>
            <w:tcW w:w="3345" w:type="dxa"/>
            <w:vMerge/>
          </w:tcPr>
          <w:p w14:paraId="664B91A3" w14:textId="77777777" w:rsidR="00454A29" w:rsidRDefault="00454A29"/>
        </w:tc>
        <w:tc>
          <w:tcPr>
            <w:tcW w:w="1701" w:type="dxa"/>
            <w:vAlign w:val="center"/>
          </w:tcPr>
          <w:p w14:paraId="7C1F1997" w14:textId="77777777" w:rsidR="00454A29" w:rsidRDefault="00454A29">
            <w:pPr>
              <w:pStyle w:val="ConsPlusNormal"/>
              <w:jc w:val="center"/>
            </w:pPr>
            <w:r>
              <w:t>2024</w:t>
            </w:r>
          </w:p>
        </w:tc>
        <w:tc>
          <w:tcPr>
            <w:tcW w:w="1417" w:type="dxa"/>
            <w:vMerge/>
          </w:tcPr>
          <w:p w14:paraId="5025ADF7" w14:textId="77777777" w:rsidR="00454A29" w:rsidRDefault="00454A29"/>
        </w:tc>
        <w:tc>
          <w:tcPr>
            <w:tcW w:w="2204" w:type="dxa"/>
            <w:vMerge/>
          </w:tcPr>
          <w:p w14:paraId="508FBD2A" w14:textId="77777777" w:rsidR="00454A29" w:rsidRDefault="00454A29"/>
        </w:tc>
        <w:tc>
          <w:tcPr>
            <w:tcW w:w="1417" w:type="dxa"/>
            <w:vMerge/>
          </w:tcPr>
          <w:p w14:paraId="3558C555" w14:textId="77777777" w:rsidR="00454A29" w:rsidRDefault="00454A29"/>
        </w:tc>
        <w:tc>
          <w:tcPr>
            <w:tcW w:w="2324" w:type="dxa"/>
            <w:vMerge/>
          </w:tcPr>
          <w:p w14:paraId="299715E3" w14:textId="77777777" w:rsidR="00454A29" w:rsidRDefault="00454A29"/>
        </w:tc>
        <w:tc>
          <w:tcPr>
            <w:tcW w:w="1701" w:type="dxa"/>
            <w:vAlign w:val="center"/>
          </w:tcPr>
          <w:p w14:paraId="242F6E4C" w14:textId="77777777" w:rsidR="00454A29" w:rsidRDefault="00454A29">
            <w:pPr>
              <w:pStyle w:val="ConsPlusNormal"/>
              <w:jc w:val="center"/>
            </w:pPr>
            <w:r>
              <w:t>-</w:t>
            </w:r>
          </w:p>
        </w:tc>
        <w:tc>
          <w:tcPr>
            <w:tcW w:w="1814" w:type="dxa"/>
            <w:vAlign w:val="center"/>
          </w:tcPr>
          <w:p w14:paraId="4AA7225D" w14:textId="77777777" w:rsidR="00454A29" w:rsidRDefault="00454A29">
            <w:pPr>
              <w:pStyle w:val="ConsPlusNormal"/>
            </w:pPr>
          </w:p>
        </w:tc>
        <w:tc>
          <w:tcPr>
            <w:tcW w:w="1701" w:type="dxa"/>
            <w:vAlign w:val="center"/>
          </w:tcPr>
          <w:p w14:paraId="08DE31F0" w14:textId="77777777" w:rsidR="00454A29" w:rsidRDefault="00454A29">
            <w:pPr>
              <w:pStyle w:val="ConsPlusNormal"/>
            </w:pPr>
          </w:p>
        </w:tc>
        <w:tc>
          <w:tcPr>
            <w:tcW w:w="1701" w:type="dxa"/>
            <w:vAlign w:val="center"/>
          </w:tcPr>
          <w:p w14:paraId="4F2E8A18" w14:textId="77777777" w:rsidR="00454A29" w:rsidRDefault="00454A29">
            <w:pPr>
              <w:pStyle w:val="ConsPlusNormal"/>
            </w:pPr>
          </w:p>
        </w:tc>
        <w:tc>
          <w:tcPr>
            <w:tcW w:w="1814" w:type="dxa"/>
            <w:vAlign w:val="center"/>
          </w:tcPr>
          <w:p w14:paraId="4774A69E" w14:textId="77777777" w:rsidR="00454A29" w:rsidRDefault="00454A29">
            <w:pPr>
              <w:pStyle w:val="ConsPlusNormal"/>
            </w:pPr>
          </w:p>
        </w:tc>
      </w:tr>
      <w:tr w:rsidR="00454A29" w14:paraId="134C1773" w14:textId="77777777">
        <w:tc>
          <w:tcPr>
            <w:tcW w:w="567" w:type="dxa"/>
            <w:vMerge/>
          </w:tcPr>
          <w:p w14:paraId="740573CC" w14:textId="77777777" w:rsidR="00454A29" w:rsidRDefault="00454A29"/>
        </w:tc>
        <w:tc>
          <w:tcPr>
            <w:tcW w:w="3345" w:type="dxa"/>
            <w:vMerge/>
          </w:tcPr>
          <w:p w14:paraId="10385B43" w14:textId="77777777" w:rsidR="00454A29" w:rsidRDefault="00454A29"/>
        </w:tc>
        <w:tc>
          <w:tcPr>
            <w:tcW w:w="1701" w:type="dxa"/>
            <w:vAlign w:val="center"/>
          </w:tcPr>
          <w:p w14:paraId="5D11E072" w14:textId="77777777" w:rsidR="00454A29" w:rsidRDefault="00454A29">
            <w:pPr>
              <w:pStyle w:val="ConsPlusNormal"/>
              <w:jc w:val="center"/>
            </w:pPr>
            <w:r>
              <w:t>2025</w:t>
            </w:r>
          </w:p>
        </w:tc>
        <w:tc>
          <w:tcPr>
            <w:tcW w:w="1417" w:type="dxa"/>
            <w:vMerge/>
          </w:tcPr>
          <w:p w14:paraId="11DC5DB8" w14:textId="77777777" w:rsidR="00454A29" w:rsidRDefault="00454A29"/>
        </w:tc>
        <w:tc>
          <w:tcPr>
            <w:tcW w:w="2204" w:type="dxa"/>
            <w:vMerge/>
          </w:tcPr>
          <w:p w14:paraId="4E040953" w14:textId="77777777" w:rsidR="00454A29" w:rsidRDefault="00454A29"/>
        </w:tc>
        <w:tc>
          <w:tcPr>
            <w:tcW w:w="1417" w:type="dxa"/>
            <w:vMerge/>
          </w:tcPr>
          <w:p w14:paraId="0BE698CF" w14:textId="77777777" w:rsidR="00454A29" w:rsidRDefault="00454A29"/>
        </w:tc>
        <w:tc>
          <w:tcPr>
            <w:tcW w:w="2324" w:type="dxa"/>
            <w:vMerge/>
          </w:tcPr>
          <w:p w14:paraId="28810701" w14:textId="77777777" w:rsidR="00454A29" w:rsidRDefault="00454A29"/>
        </w:tc>
        <w:tc>
          <w:tcPr>
            <w:tcW w:w="1701" w:type="dxa"/>
            <w:vAlign w:val="center"/>
          </w:tcPr>
          <w:p w14:paraId="78F687FA" w14:textId="77777777" w:rsidR="00454A29" w:rsidRDefault="00454A29">
            <w:pPr>
              <w:pStyle w:val="ConsPlusNormal"/>
            </w:pPr>
          </w:p>
        </w:tc>
        <w:tc>
          <w:tcPr>
            <w:tcW w:w="1814" w:type="dxa"/>
            <w:vAlign w:val="center"/>
          </w:tcPr>
          <w:p w14:paraId="24CB8120" w14:textId="77777777" w:rsidR="00454A29" w:rsidRDefault="00454A29">
            <w:pPr>
              <w:pStyle w:val="ConsPlusNormal"/>
            </w:pPr>
          </w:p>
        </w:tc>
        <w:tc>
          <w:tcPr>
            <w:tcW w:w="1701" w:type="dxa"/>
            <w:vAlign w:val="center"/>
          </w:tcPr>
          <w:p w14:paraId="2E25737B" w14:textId="77777777" w:rsidR="00454A29" w:rsidRDefault="00454A29">
            <w:pPr>
              <w:pStyle w:val="ConsPlusNormal"/>
            </w:pPr>
          </w:p>
        </w:tc>
        <w:tc>
          <w:tcPr>
            <w:tcW w:w="1701" w:type="dxa"/>
            <w:vAlign w:val="center"/>
          </w:tcPr>
          <w:p w14:paraId="6DCBFAC4" w14:textId="77777777" w:rsidR="00454A29" w:rsidRDefault="00454A29">
            <w:pPr>
              <w:pStyle w:val="ConsPlusNormal"/>
            </w:pPr>
          </w:p>
        </w:tc>
        <w:tc>
          <w:tcPr>
            <w:tcW w:w="1814" w:type="dxa"/>
            <w:vAlign w:val="center"/>
          </w:tcPr>
          <w:p w14:paraId="45601D2D" w14:textId="77777777" w:rsidR="00454A29" w:rsidRDefault="00454A29">
            <w:pPr>
              <w:pStyle w:val="ConsPlusNormal"/>
            </w:pPr>
          </w:p>
        </w:tc>
      </w:tr>
      <w:tr w:rsidR="00454A29" w14:paraId="16B944FC" w14:textId="77777777">
        <w:tc>
          <w:tcPr>
            <w:tcW w:w="567" w:type="dxa"/>
            <w:vMerge/>
          </w:tcPr>
          <w:p w14:paraId="692C50EB" w14:textId="77777777" w:rsidR="00454A29" w:rsidRDefault="00454A29"/>
        </w:tc>
        <w:tc>
          <w:tcPr>
            <w:tcW w:w="3345" w:type="dxa"/>
            <w:vMerge/>
          </w:tcPr>
          <w:p w14:paraId="642945C6" w14:textId="77777777" w:rsidR="00454A29" w:rsidRDefault="00454A29"/>
        </w:tc>
        <w:tc>
          <w:tcPr>
            <w:tcW w:w="1701" w:type="dxa"/>
            <w:vAlign w:val="center"/>
          </w:tcPr>
          <w:p w14:paraId="1E66A72E" w14:textId="77777777" w:rsidR="00454A29" w:rsidRDefault="00454A29">
            <w:pPr>
              <w:pStyle w:val="ConsPlusNormal"/>
              <w:jc w:val="center"/>
            </w:pPr>
            <w:r>
              <w:t>2026</w:t>
            </w:r>
          </w:p>
        </w:tc>
        <w:tc>
          <w:tcPr>
            <w:tcW w:w="1417" w:type="dxa"/>
            <w:vMerge/>
          </w:tcPr>
          <w:p w14:paraId="632858EA" w14:textId="77777777" w:rsidR="00454A29" w:rsidRDefault="00454A29"/>
        </w:tc>
        <w:tc>
          <w:tcPr>
            <w:tcW w:w="2204" w:type="dxa"/>
            <w:vMerge/>
          </w:tcPr>
          <w:p w14:paraId="1DE7F49B" w14:textId="77777777" w:rsidR="00454A29" w:rsidRDefault="00454A29"/>
        </w:tc>
        <w:tc>
          <w:tcPr>
            <w:tcW w:w="1417" w:type="dxa"/>
            <w:vMerge/>
          </w:tcPr>
          <w:p w14:paraId="669FB1DA" w14:textId="77777777" w:rsidR="00454A29" w:rsidRDefault="00454A29"/>
        </w:tc>
        <w:tc>
          <w:tcPr>
            <w:tcW w:w="2324" w:type="dxa"/>
            <w:vMerge/>
          </w:tcPr>
          <w:p w14:paraId="1776E658" w14:textId="77777777" w:rsidR="00454A29" w:rsidRDefault="00454A29"/>
        </w:tc>
        <w:tc>
          <w:tcPr>
            <w:tcW w:w="1701" w:type="dxa"/>
            <w:vAlign w:val="center"/>
          </w:tcPr>
          <w:p w14:paraId="476F71E5" w14:textId="77777777" w:rsidR="00454A29" w:rsidRDefault="00454A29">
            <w:pPr>
              <w:pStyle w:val="ConsPlusNormal"/>
              <w:jc w:val="center"/>
            </w:pPr>
            <w:r>
              <w:t>128 738,58</w:t>
            </w:r>
          </w:p>
        </w:tc>
        <w:tc>
          <w:tcPr>
            <w:tcW w:w="1814" w:type="dxa"/>
            <w:vAlign w:val="center"/>
          </w:tcPr>
          <w:p w14:paraId="19713350" w14:textId="77777777" w:rsidR="00454A29" w:rsidRDefault="00454A29">
            <w:pPr>
              <w:pStyle w:val="ConsPlusNormal"/>
              <w:jc w:val="center"/>
            </w:pPr>
            <w:r>
              <w:t>1 586,06</w:t>
            </w:r>
          </w:p>
        </w:tc>
        <w:tc>
          <w:tcPr>
            <w:tcW w:w="1701" w:type="dxa"/>
            <w:vAlign w:val="center"/>
          </w:tcPr>
          <w:p w14:paraId="26CA44BA" w14:textId="77777777" w:rsidR="00454A29" w:rsidRDefault="00454A29">
            <w:pPr>
              <w:pStyle w:val="ConsPlusNormal"/>
              <w:jc w:val="center"/>
            </w:pPr>
            <w:r>
              <w:t>157 019,88</w:t>
            </w:r>
          </w:p>
        </w:tc>
        <w:tc>
          <w:tcPr>
            <w:tcW w:w="1701" w:type="dxa"/>
            <w:vAlign w:val="center"/>
          </w:tcPr>
          <w:p w14:paraId="38BB640B" w14:textId="77777777" w:rsidR="00454A29" w:rsidRDefault="00454A29">
            <w:pPr>
              <w:pStyle w:val="ConsPlusNormal"/>
            </w:pPr>
          </w:p>
        </w:tc>
        <w:tc>
          <w:tcPr>
            <w:tcW w:w="1814" w:type="dxa"/>
            <w:vAlign w:val="center"/>
          </w:tcPr>
          <w:p w14:paraId="07F9D6FC" w14:textId="77777777" w:rsidR="00454A29" w:rsidRDefault="00454A29">
            <w:pPr>
              <w:pStyle w:val="ConsPlusNormal"/>
            </w:pPr>
          </w:p>
        </w:tc>
      </w:tr>
      <w:tr w:rsidR="00454A29" w14:paraId="69E9328C" w14:textId="77777777">
        <w:tc>
          <w:tcPr>
            <w:tcW w:w="567" w:type="dxa"/>
            <w:vMerge w:val="restart"/>
            <w:vAlign w:val="center"/>
          </w:tcPr>
          <w:p w14:paraId="5C983D4E" w14:textId="77777777" w:rsidR="00454A29" w:rsidRDefault="00454A29">
            <w:pPr>
              <w:pStyle w:val="ConsPlusNormal"/>
              <w:jc w:val="center"/>
            </w:pPr>
            <w:r>
              <w:t>134</w:t>
            </w:r>
          </w:p>
        </w:tc>
        <w:tc>
          <w:tcPr>
            <w:tcW w:w="3345" w:type="dxa"/>
            <w:vMerge w:val="restart"/>
            <w:vAlign w:val="center"/>
          </w:tcPr>
          <w:p w14:paraId="5774B74B" w14:textId="77777777" w:rsidR="00454A29" w:rsidRDefault="00454A29">
            <w:pPr>
              <w:pStyle w:val="ConsPlusNormal"/>
              <w:jc w:val="center"/>
            </w:pPr>
            <w:r>
              <w:t>Школа на 100 учащихся в с. Боробул</w:t>
            </w:r>
          </w:p>
        </w:tc>
        <w:tc>
          <w:tcPr>
            <w:tcW w:w="1701" w:type="dxa"/>
            <w:vAlign w:val="center"/>
          </w:tcPr>
          <w:p w14:paraId="33A8AFE8" w14:textId="77777777" w:rsidR="00454A29" w:rsidRDefault="00454A29">
            <w:pPr>
              <w:pStyle w:val="ConsPlusNormal"/>
              <w:jc w:val="center"/>
            </w:pPr>
            <w:r>
              <w:t>2020 - 2026 годы - всего</w:t>
            </w:r>
          </w:p>
        </w:tc>
        <w:tc>
          <w:tcPr>
            <w:tcW w:w="1417" w:type="dxa"/>
            <w:vMerge w:val="restart"/>
            <w:vAlign w:val="center"/>
          </w:tcPr>
          <w:p w14:paraId="69713431" w14:textId="77777777" w:rsidR="00454A29" w:rsidRDefault="00454A29">
            <w:pPr>
              <w:pStyle w:val="ConsPlusNormal"/>
              <w:jc w:val="center"/>
            </w:pPr>
            <w:r>
              <w:t>367 824,52</w:t>
            </w:r>
          </w:p>
        </w:tc>
        <w:tc>
          <w:tcPr>
            <w:tcW w:w="2204" w:type="dxa"/>
            <w:vMerge w:val="restart"/>
            <w:vAlign w:val="center"/>
          </w:tcPr>
          <w:p w14:paraId="36EC1EA2" w14:textId="77777777" w:rsidR="00454A29" w:rsidRDefault="00454A29">
            <w:pPr>
              <w:pStyle w:val="ConsPlusNormal"/>
            </w:pPr>
          </w:p>
        </w:tc>
        <w:tc>
          <w:tcPr>
            <w:tcW w:w="1417" w:type="dxa"/>
            <w:vMerge w:val="restart"/>
            <w:vAlign w:val="center"/>
          </w:tcPr>
          <w:p w14:paraId="1B5FF6BC" w14:textId="77777777" w:rsidR="00454A29" w:rsidRDefault="00454A29">
            <w:pPr>
              <w:pStyle w:val="ConsPlusNormal"/>
              <w:jc w:val="center"/>
            </w:pPr>
            <w:r>
              <w:t>100</w:t>
            </w:r>
          </w:p>
        </w:tc>
        <w:tc>
          <w:tcPr>
            <w:tcW w:w="2324" w:type="dxa"/>
            <w:vMerge w:val="restart"/>
            <w:vAlign w:val="center"/>
          </w:tcPr>
          <w:p w14:paraId="4B89418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BA36022" w14:textId="77777777" w:rsidR="00454A29" w:rsidRDefault="00454A29">
            <w:pPr>
              <w:pStyle w:val="ConsPlusNormal"/>
              <w:jc w:val="center"/>
            </w:pPr>
            <w:r>
              <w:t>367 824,52</w:t>
            </w:r>
          </w:p>
        </w:tc>
        <w:tc>
          <w:tcPr>
            <w:tcW w:w="1814" w:type="dxa"/>
            <w:vAlign w:val="center"/>
          </w:tcPr>
          <w:p w14:paraId="75ABE9DD" w14:textId="77777777" w:rsidR="00454A29" w:rsidRDefault="00454A29">
            <w:pPr>
              <w:pStyle w:val="ConsPlusNormal"/>
              <w:jc w:val="center"/>
            </w:pPr>
            <w:r>
              <w:t>4 652,98</w:t>
            </w:r>
          </w:p>
        </w:tc>
        <w:tc>
          <w:tcPr>
            <w:tcW w:w="1701" w:type="dxa"/>
            <w:vAlign w:val="center"/>
          </w:tcPr>
          <w:p w14:paraId="5F37CAAE" w14:textId="77777777" w:rsidR="00454A29" w:rsidRDefault="00454A29">
            <w:pPr>
              <w:pStyle w:val="ConsPlusNormal"/>
              <w:jc w:val="center"/>
            </w:pPr>
            <w:r>
              <w:t>460 645,04</w:t>
            </w:r>
          </w:p>
        </w:tc>
        <w:tc>
          <w:tcPr>
            <w:tcW w:w="1701" w:type="dxa"/>
            <w:vAlign w:val="center"/>
          </w:tcPr>
          <w:p w14:paraId="7A6757BD" w14:textId="77777777" w:rsidR="00454A29" w:rsidRDefault="00454A29">
            <w:pPr>
              <w:pStyle w:val="ConsPlusNormal"/>
              <w:jc w:val="center"/>
            </w:pPr>
            <w:r>
              <w:t>-</w:t>
            </w:r>
          </w:p>
        </w:tc>
        <w:tc>
          <w:tcPr>
            <w:tcW w:w="1814" w:type="dxa"/>
            <w:vAlign w:val="center"/>
          </w:tcPr>
          <w:p w14:paraId="699DE864" w14:textId="77777777" w:rsidR="00454A29" w:rsidRDefault="00454A29">
            <w:pPr>
              <w:pStyle w:val="ConsPlusNormal"/>
              <w:jc w:val="center"/>
            </w:pPr>
            <w:r>
              <w:t>-</w:t>
            </w:r>
          </w:p>
        </w:tc>
      </w:tr>
      <w:tr w:rsidR="00454A29" w14:paraId="75A84862" w14:textId="77777777">
        <w:tc>
          <w:tcPr>
            <w:tcW w:w="567" w:type="dxa"/>
            <w:vMerge/>
          </w:tcPr>
          <w:p w14:paraId="3245061E" w14:textId="77777777" w:rsidR="00454A29" w:rsidRDefault="00454A29"/>
        </w:tc>
        <w:tc>
          <w:tcPr>
            <w:tcW w:w="3345" w:type="dxa"/>
            <w:vMerge/>
          </w:tcPr>
          <w:p w14:paraId="1D087DE6" w14:textId="77777777" w:rsidR="00454A29" w:rsidRDefault="00454A29"/>
        </w:tc>
        <w:tc>
          <w:tcPr>
            <w:tcW w:w="1701" w:type="dxa"/>
            <w:vAlign w:val="center"/>
          </w:tcPr>
          <w:p w14:paraId="69D2A197" w14:textId="77777777" w:rsidR="00454A29" w:rsidRDefault="00454A29">
            <w:pPr>
              <w:pStyle w:val="ConsPlusNormal"/>
              <w:jc w:val="center"/>
            </w:pPr>
            <w:r>
              <w:t>2020</w:t>
            </w:r>
          </w:p>
        </w:tc>
        <w:tc>
          <w:tcPr>
            <w:tcW w:w="1417" w:type="dxa"/>
            <w:vMerge/>
          </w:tcPr>
          <w:p w14:paraId="508E112B" w14:textId="77777777" w:rsidR="00454A29" w:rsidRDefault="00454A29"/>
        </w:tc>
        <w:tc>
          <w:tcPr>
            <w:tcW w:w="2204" w:type="dxa"/>
            <w:vMerge/>
          </w:tcPr>
          <w:p w14:paraId="75358D5D" w14:textId="77777777" w:rsidR="00454A29" w:rsidRDefault="00454A29"/>
        </w:tc>
        <w:tc>
          <w:tcPr>
            <w:tcW w:w="1417" w:type="dxa"/>
            <w:vMerge/>
          </w:tcPr>
          <w:p w14:paraId="227D1476" w14:textId="77777777" w:rsidR="00454A29" w:rsidRDefault="00454A29"/>
        </w:tc>
        <w:tc>
          <w:tcPr>
            <w:tcW w:w="2324" w:type="dxa"/>
            <w:vMerge/>
          </w:tcPr>
          <w:p w14:paraId="3386A718" w14:textId="77777777" w:rsidR="00454A29" w:rsidRDefault="00454A29"/>
        </w:tc>
        <w:tc>
          <w:tcPr>
            <w:tcW w:w="1701" w:type="dxa"/>
            <w:vAlign w:val="center"/>
          </w:tcPr>
          <w:p w14:paraId="4FC50E59" w14:textId="77777777" w:rsidR="00454A29" w:rsidRDefault="00454A29">
            <w:pPr>
              <w:pStyle w:val="ConsPlusNormal"/>
            </w:pPr>
          </w:p>
        </w:tc>
        <w:tc>
          <w:tcPr>
            <w:tcW w:w="1814" w:type="dxa"/>
            <w:vAlign w:val="center"/>
          </w:tcPr>
          <w:p w14:paraId="55C442E0" w14:textId="77777777" w:rsidR="00454A29" w:rsidRDefault="00454A29">
            <w:pPr>
              <w:pStyle w:val="ConsPlusNormal"/>
            </w:pPr>
          </w:p>
        </w:tc>
        <w:tc>
          <w:tcPr>
            <w:tcW w:w="1701" w:type="dxa"/>
            <w:vAlign w:val="center"/>
          </w:tcPr>
          <w:p w14:paraId="65465D58" w14:textId="77777777" w:rsidR="00454A29" w:rsidRDefault="00454A29">
            <w:pPr>
              <w:pStyle w:val="ConsPlusNormal"/>
            </w:pPr>
          </w:p>
        </w:tc>
        <w:tc>
          <w:tcPr>
            <w:tcW w:w="1701" w:type="dxa"/>
            <w:vAlign w:val="center"/>
          </w:tcPr>
          <w:p w14:paraId="5777EE3B" w14:textId="77777777" w:rsidR="00454A29" w:rsidRDefault="00454A29">
            <w:pPr>
              <w:pStyle w:val="ConsPlusNormal"/>
            </w:pPr>
          </w:p>
        </w:tc>
        <w:tc>
          <w:tcPr>
            <w:tcW w:w="1814" w:type="dxa"/>
            <w:vAlign w:val="center"/>
          </w:tcPr>
          <w:p w14:paraId="2EFB318A" w14:textId="77777777" w:rsidR="00454A29" w:rsidRDefault="00454A29">
            <w:pPr>
              <w:pStyle w:val="ConsPlusNormal"/>
            </w:pPr>
          </w:p>
        </w:tc>
      </w:tr>
      <w:tr w:rsidR="00454A29" w14:paraId="48DE1A54" w14:textId="77777777">
        <w:tc>
          <w:tcPr>
            <w:tcW w:w="567" w:type="dxa"/>
            <w:vMerge/>
          </w:tcPr>
          <w:p w14:paraId="53EDBBDB" w14:textId="77777777" w:rsidR="00454A29" w:rsidRDefault="00454A29"/>
        </w:tc>
        <w:tc>
          <w:tcPr>
            <w:tcW w:w="3345" w:type="dxa"/>
            <w:vMerge/>
          </w:tcPr>
          <w:p w14:paraId="624C9BE5" w14:textId="77777777" w:rsidR="00454A29" w:rsidRDefault="00454A29"/>
        </w:tc>
        <w:tc>
          <w:tcPr>
            <w:tcW w:w="1701" w:type="dxa"/>
            <w:vAlign w:val="center"/>
          </w:tcPr>
          <w:p w14:paraId="30058A24" w14:textId="77777777" w:rsidR="00454A29" w:rsidRDefault="00454A29">
            <w:pPr>
              <w:pStyle w:val="ConsPlusNormal"/>
              <w:jc w:val="center"/>
            </w:pPr>
            <w:r>
              <w:t>2021</w:t>
            </w:r>
          </w:p>
        </w:tc>
        <w:tc>
          <w:tcPr>
            <w:tcW w:w="1417" w:type="dxa"/>
            <w:vMerge/>
          </w:tcPr>
          <w:p w14:paraId="5F915AC5" w14:textId="77777777" w:rsidR="00454A29" w:rsidRDefault="00454A29"/>
        </w:tc>
        <w:tc>
          <w:tcPr>
            <w:tcW w:w="2204" w:type="dxa"/>
            <w:vMerge/>
          </w:tcPr>
          <w:p w14:paraId="665433A5" w14:textId="77777777" w:rsidR="00454A29" w:rsidRDefault="00454A29"/>
        </w:tc>
        <w:tc>
          <w:tcPr>
            <w:tcW w:w="1417" w:type="dxa"/>
            <w:vMerge/>
          </w:tcPr>
          <w:p w14:paraId="474E395A" w14:textId="77777777" w:rsidR="00454A29" w:rsidRDefault="00454A29"/>
        </w:tc>
        <w:tc>
          <w:tcPr>
            <w:tcW w:w="2324" w:type="dxa"/>
            <w:vMerge/>
          </w:tcPr>
          <w:p w14:paraId="1EFB0791" w14:textId="77777777" w:rsidR="00454A29" w:rsidRDefault="00454A29"/>
        </w:tc>
        <w:tc>
          <w:tcPr>
            <w:tcW w:w="1701" w:type="dxa"/>
            <w:vAlign w:val="center"/>
          </w:tcPr>
          <w:p w14:paraId="1F5DFF4C" w14:textId="77777777" w:rsidR="00454A29" w:rsidRDefault="00454A29">
            <w:pPr>
              <w:pStyle w:val="ConsPlusNormal"/>
            </w:pPr>
          </w:p>
        </w:tc>
        <w:tc>
          <w:tcPr>
            <w:tcW w:w="1814" w:type="dxa"/>
            <w:vAlign w:val="center"/>
          </w:tcPr>
          <w:p w14:paraId="7417D43B" w14:textId="77777777" w:rsidR="00454A29" w:rsidRDefault="00454A29">
            <w:pPr>
              <w:pStyle w:val="ConsPlusNormal"/>
            </w:pPr>
          </w:p>
        </w:tc>
        <w:tc>
          <w:tcPr>
            <w:tcW w:w="1701" w:type="dxa"/>
            <w:vAlign w:val="center"/>
          </w:tcPr>
          <w:p w14:paraId="5135E287" w14:textId="77777777" w:rsidR="00454A29" w:rsidRDefault="00454A29">
            <w:pPr>
              <w:pStyle w:val="ConsPlusNormal"/>
            </w:pPr>
          </w:p>
        </w:tc>
        <w:tc>
          <w:tcPr>
            <w:tcW w:w="1701" w:type="dxa"/>
            <w:vAlign w:val="center"/>
          </w:tcPr>
          <w:p w14:paraId="1B404211" w14:textId="77777777" w:rsidR="00454A29" w:rsidRDefault="00454A29">
            <w:pPr>
              <w:pStyle w:val="ConsPlusNormal"/>
            </w:pPr>
          </w:p>
        </w:tc>
        <w:tc>
          <w:tcPr>
            <w:tcW w:w="1814" w:type="dxa"/>
            <w:vAlign w:val="center"/>
          </w:tcPr>
          <w:p w14:paraId="0B3344AB" w14:textId="77777777" w:rsidR="00454A29" w:rsidRDefault="00454A29">
            <w:pPr>
              <w:pStyle w:val="ConsPlusNormal"/>
            </w:pPr>
          </w:p>
        </w:tc>
      </w:tr>
      <w:tr w:rsidR="00454A29" w14:paraId="5707DEB0" w14:textId="77777777">
        <w:tc>
          <w:tcPr>
            <w:tcW w:w="567" w:type="dxa"/>
            <w:vMerge/>
          </w:tcPr>
          <w:p w14:paraId="0BA4E9ED" w14:textId="77777777" w:rsidR="00454A29" w:rsidRDefault="00454A29"/>
        </w:tc>
        <w:tc>
          <w:tcPr>
            <w:tcW w:w="3345" w:type="dxa"/>
            <w:vMerge/>
          </w:tcPr>
          <w:p w14:paraId="50AEE1AB" w14:textId="77777777" w:rsidR="00454A29" w:rsidRDefault="00454A29"/>
        </w:tc>
        <w:tc>
          <w:tcPr>
            <w:tcW w:w="1701" w:type="dxa"/>
            <w:vAlign w:val="center"/>
          </w:tcPr>
          <w:p w14:paraId="60143C47" w14:textId="77777777" w:rsidR="00454A29" w:rsidRDefault="00454A29">
            <w:pPr>
              <w:pStyle w:val="ConsPlusNormal"/>
              <w:jc w:val="center"/>
            </w:pPr>
            <w:r>
              <w:t>2022</w:t>
            </w:r>
          </w:p>
        </w:tc>
        <w:tc>
          <w:tcPr>
            <w:tcW w:w="1417" w:type="dxa"/>
            <w:vMerge/>
          </w:tcPr>
          <w:p w14:paraId="035963DC" w14:textId="77777777" w:rsidR="00454A29" w:rsidRDefault="00454A29"/>
        </w:tc>
        <w:tc>
          <w:tcPr>
            <w:tcW w:w="2204" w:type="dxa"/>
            <w:vMerge/>
          </w:tcPr>
          <w:p w14:paraId="1758B043" w14:textId="77777777" w:rsidR="00454A29" w:rsidRDefault="00454A29"/>
        </w:tc>
        <w:tc>
          <w:tcPr>
            <w:tcW w:w="1417" w:type="dxa"/>
            <w:vMerge/>
          </w:tcPr>
          <w:p w14:paraId="406EBCCD" w14:textId="77777777" w:rsidR="00454A29" w:rsidRDefault="00454A29"/>
        </w:tc>
        <w:tc>
          <w:tcPr>
            <w:tcW w:w="2324" w:type="dxa"/>
            <w:vMerge/>
          </w:tcPr>
          <w:p w14:paraId="734DE2BB" w14:textId="77777777" w:rsidR="00454A29" w:rsidRDefault="00454A29"/>
        </w:tc>
        <w:tc>
          <w:tcPr>
            <w:tcW w:w="1701" w:type="dxa"/>
            <w:vAlign w:val="center"/>
          </w:tcPr>
          <w:p w14:paraId="0E000D1C" w14:textId="77777777" w:rsidR="00454A29" w:rsidRDefault="00454A29">
            <w:pPr>
              <w:pStyle w:val="ConsPlusNormal"/>
            </w:pPr>
          </w:p>
        </w:tc>
        <w:tc>
          <w:tcPr>
            <w:tcW w:w="1814" w:type="dxa"/>
            <w:vAlign w:val="center"/>
          </w:tcPr>
          <w:p w14:paraId="33039150" w14:textId="77777777" w:rsidR="00454A29" w:rsidRDefault="00454A29">
            <w:pPr>
              <w:pStyle w:val="ConsPlusNormal"/>
            </w:pPr>
          </w:p>
        </w:tc>
        <w:tc>
          <w:tcPr>
            <w:tcW w:w="1701" w:type="dxa"/>
            <w:vAlign w:val="center"/>
          </w:tcPr>
          <w:p w14:paraId="2AEA6F00" w14:textId="77777777" w:rsidR="00454A29" w:rsidRDefault="00454A29">
            <w:pPr>
              <w:pStyle w:val="ConsPlusNormal"/>
            </w:pPr>
          </w:p>
        </w:tc>
        <w:tc>
          <w:tcPr>
            <w:tcW w:w="1701" w:type="dxa"/>
            <w:vAlign w:val="center"/>
          </w:tcPr>
          <w:p w14:paraId="7EB10AAB" w14:textId="77777777" w:rsidR="00454A29" w:rsidRDefault="00454A29">
            <w:pPr>
              <w:pStyle w:val="ConsPlusNormal"/>
            </w:pPr>
          </w:p>
        </w:tc>
        <w:tc>
          <w:tcPr>
            <w:tcW w:w="1814" w:type="dxa"/>
            <w:vAlign w:val="center"/>
          </w:tcPr>
          <w:p w14:paraId="68F340BF" w14:textId="77777777" w:rsidR="00454A29" w:rsidRDefault="00454A29">
            <w:pPr>
              <w:pStyle w:val="ConsPlusNormal"/>
            </w:pPr>
          </w:p>
        </w:tc>
      </w:tr>
      <w:tr w:rsidR="00454A29" w14:paraId="1E7340E6" w14:textId="77777777">
        <w:tc>
          <w:tcPr>
            <w:tcW w:w="567" w:type="dxa"/>
            <w:vMerge/>
          </w:tcPr>
          <w:p w14:paraId="63F6F714" w14:textId="77777777" w:rsidR="00454A29" w:rsidRDefault="00454A29"/>
        </w:tc>
        <w:tc>
          <w:tcPr>
            <w:tcW w:w="3345" w:type="dxa"/>
            <w:vMerge/>
          </w:tcPr>
          <w:p w14:paraId="14719EBF" w14:textId="77777777" w:rsidR="00454A29" w:rsidRDefault="00454A29"/>
        </w:tc>
        <w:tc>
          <w:tcPr>
            <w:tcW w:w="1701" w:type="dxa"/>
            <w:vAlign w:val="center"/>
          </w:tcPr>
          <w:p w14:paraId="65E3CF1D" w14:textId="77777777" w:rsidR="00454A29" w:rsidRDefault="00454A29">
            <w:pPr>
              <w:pStyle w:val="ConsPlusNormal"/>
              <w:jc w:val="center"/>
            </w:pPr>
            <w:r>
              <w:t>2023</w:t>
            </w:r>
          </w:p>
        </w:tc>
        <w:tc>
          <w:tcPr>
            <w:tcW w:w="1417" w:type="dxa"/>
            <w:vMerge/>
          </w:tcPr>
          <w:p w14:paraId="6F8D818B" w14:textId="77777777" w:rsidR="00454A29" w:rsidRDefault="00454A29"/>
        </w:tc>
        <w:tc>
          <w:tcPr>
            <w:tcW w:w="2204" w:type="dxa"/>
            <w:vMerge/>
          </w:tcPr>
          <w:p w14:paraId="22AFB4EC" w14:textId="77777777" w:rsidR="00454A29" w:rsidRDefault="00454A29"/>
        </w:tc>
        <w:tc>
          <w:tcPr>
            <w:tcW w:w="1417" w:type="dxa"/>
            <w:vMerge/>
          </w:tcPr>
          <w:p w14:paraId="49BC8C4A" w14:textId="77777777" w:rsidR="00454A29" w:rsidRDefault="00454A29"/>
        </w:tc>
        <w:tc>
          <w:tcPr>
            <w:tcW w:w="2324" w:type="dxa"/>
            <w:vMerge/>
          </w:tcPr>
          <w:p w14:paraId="615EC274" w14:textId="77777777" w:rsidR="00454A29" w:rsidRDefault="00454A29"/>
        </w:tc>
        <w:tc>
          <w:tcPr>
            <w:tcW w:w="1701" w:type="dxa"/>
            <w:vAlign w:val="center"/>
          </w:tcPr>
          <w:p w14:paraId="0B56D89A" w14:textId="77777777" w:rsidR="00454A29" w:rsidRDefault="00454A29">
            <w:pPr>
              <w:pStyle w:val="ConsPlusNormal"/>
            </w:pPr>
          </w:p>
        </w:tc>
        <w:tc>
          <w:tcPr>
            <w:tcW w:w="1814" w:type="dxa"/>
            <w:vAlign w:val="center"/>
          </w:tcPr>
          <w:p w14:paraId="1DC0341C" w14:textId="77777777" w:rsidR="00454A29" w:rsidRDefault="00454A29">
            <w:pPr>
              <w:pStyle w:val="ConsPlusNormal"/>
            </w:pPr>
          </w:p>
        </w:tc>
        <w:tc>
          <w:tcPr>
            <w:tcW w:w="1701" w:type="dxa"/>
            <w:vAlign w:val="center"/>
          </w:tcPr>
          <w:p w14:paraId="719BD76F" w14:textId="77777777" w:rsidR="00454A29" w:rsidRDefault="00454A29">
            <w:pPr>
              <w:pStyle w:val="ConsPlusNormal"/>
            </w:pPr>
          </w:p>
        </w:tc>
        <w:tc>
          <w:tcPr>
            <w:tcW w:w="1701" w:type="dxa"/>
            <w:vAlign w:val="center"/>
          </w:tcPr>
          <w:p w14:paraId="02A49F2F" w14:textId="77777777" w:rsidR="00454A29" w:rsidRDefault="00454A29">
            <w:pPr>
              <w:pStyle w:val="ConsPlusNormal"/>
            </w:pPr>
          </w:p>
        </w:tc>
        <w:tc>
          <w:tcPr>
            <w:tcW w:w="1814" w:type="dxa"/>
            <w:vAlign w:val="center"/>
          </w:tcPr>
          <w:p w14:paraId="007B8A3F" w14:textId="77777777" w:rsidR="00454A29" w:rsidRDefault="00454A29">
            <w:pPr>
              <w:pStyle w:val="ConsPlusNormal"/>
            </w:pPr>
          </w:p>
        </w:tc>
      </w:tr>
      <w:tr w:rsidR="00454A29" w14:paraId="324B6822" w14:textId="77777777">
        <w:tc>
          <w:tcPr>
            <w:tcW w:w="567" w:type="dxa"/>
            <w:vMerge/>
          </w:tcPr>
          <w:p w14:paraId="468D6FE5" w14:textId="77777777" w:rsidR="00454A29" w:rsidRDefault="00454A29"/>
        </w:tc>
        <w:tc>
          <w:tcPr>
            <w:tcW w:w="3345" w:type="dxa"/>
            <w:vMerge/>
          </w:tcPr>
          <w:p w14:paraId="3B0A81AA" w14:textId="77777777" w:rsidR="00454A29" w:rsidRDefault="00454A29"/>
        </w:tc>
        <w:tc>
          <w:tcPr>
            <w:tcW w:w="1701" w:type="dxa"/>
            <w:vAlign w:val="center"/>
          </w:tcPr>
          <w:p w14:paraId="1D1D3445" w14:textId="77777777" w:rsidR="00454A29" w:rsidRDefault="00454A29">
            <w:pPr>
              <w:pStyle w:val="ConsPlusNormal"/>
              <w:jc w:val="center"/>
            </w:pPr>
            <w:r>
              <w:t>2024</w:t>
            </w:r>
          </w:p>
        </w:tc>
        <w:tc>
          <w:tcPr>
            <w:tcW w:w="1417" w:type="dxa"/>
            <w:vMerge/>
          </w:tcPr>
          <w:p w14:paraId="046B08EC" w14:textId="77777777" w:rsidR="00454A29" w:rsidRDefault="00454A29"/>
        </w:tc>
        <w:tc>
          <w:tcPr>
            <w:tcW w:w="2204" w:type="dxa"/>
            <w:vMerge/>
          </w:tcPr>
          <w:p w14:paraId="1941EEA6" w14:textId="77777777" w:rsidR="00454A29" w:rsidRDefault="00454A29"/>
        </w:tc>
        <w:tc>
          <w:tcPr>
            <w:tcW w:w="1417" w:type="dxa"/>
            <w:vMerge/>
          </w:tcPr>
          <w:p w14:paraId="116D1087" w14:textId="77777777" w:rsidR="00454A29" w:rsidRDefault="00454A29"/>
        </w:tc>
        <w:tc>
          <w:tcPr>
            <w:tcW w:w="2324" w:type="dxa"/>
            <w:vMerge/>
          </w:tcPr>
          <w:p w14:paraId="201FC3B1" w14:textId="77777777" w:rsidR="00454A29" w:rsidRDefault="00454A29"/>
        </w:tc>
        <w:tc>
          <w:tcPr>
            <w:tcW w:w="1701" w:type="dxa"/>
            <w:vAlign w:val="center"/>
          </w:tcPr>
          <w:p w14:paraId="7DA31D10" w14:textId="77777777" w:rsidR="00454A29" w:rsidRDefault="00454A29">
            <w:pPr>
              <w:pStyle w:val="ConsPlusNormal"/>
              <w:jc w:val="center"/>
            </w:pPr>
            <w:r>
              <w:t>-</w:t>
            </w:r>
          </w:p>
        </w:tc>
        <w:tc>
          <w:tcPr>
            <w:tcW w:w="1814" w:type="dxa"/>
            <w:vAlign w:val="center"/>
          </w:tcPr>
          <w:p w14:paraId="759EDEC1" w14:textId="77777777" w:rsidR="00454A29" w:rsidRDefault="00454A29">
            <w:pPr>
              <w:pStyle w:val="ConsPlusNormal"/>
            </w:pPr>
          </w:p>
        </w:tc>
        <w:tc>
          <w:tcPr>
            <w:tcW w:w="1701" w:type="dxa"/>
            <w:vAlign w:val="center"/>
          </w:tcPr>
          <w:p w14:paraId="6AD47A56" w14:textId="77777777" w:rsidR="00454A29" w:rsidRDefault="00454A29">
            <w:pPr>
              <w:pStyle w:val="ConsPlusNormal"/>
            </w:pPr>
          </w:p>
        </w:tc>
        <w:tc>
          <w:tcPr>
            <w:tcW w:w="1701" w:type="dxa"/>
            <w:vAlign w:val="center"/>
          </w:tcPr>
          <w:p w14:paraId="7466288E" w14:textId="77777777" w:rsidR="00454A29" w:rsidRDefault="00454A29">
            <w:pPr>
              <w:pStyle w:val="ConsPlusNormal"/>
            </w:pPr>
          </w:p>
        </w:tc>
        <w:tc>
          <w:tcPr>
            <w:tcW w:w="1814" w:type="dxa"/>
            <w:vAlign w:val="center"/>
          </w:tcPr>
          <w:p w14:paraId="0E2EBE69" w14:textId="77777777" w:rsidR="00454A29" w:rsidRDefault="00454A29">
            <w:pPr>
              <w:pStyle w:val="ConsPlusNormal"/>
            </w:pPr>
          </w:p>
        </w:tc>
      </w:tr>
      <w:tr w:rsidR="00454A29" w14:paraId="794827A5" w14:textId="77777777">
        <w:tc>
          <w:tcPr>
            <w:tcW w:w="567" w:type="dxa"/>
            <w:vMerge/>
          </w:tcPr>
          <w:p w14:paraId="11E6BDB7" w14:textId="77777777" w:rsidR="00454A29" w:rsidRDefault="00454A29"/>
        </w:tc>
        <w:tc>
          <w:tcPr>
            <w:tcW w:w="3345" w:type="dxa"/>
            <w:vMerge/>
          </w:tcPr>
          <w:p w14:paraId="5C08D565" w14:textId="77777777" w:rsidR="00454A29" w:rsidRDefault="00454A29"/>
        </w:tc>
        <w:tc>
          <w:tcPr>
            <w:tcW w:w="1701" w:type="dxa"/>
            <w:vAlign w:val="center"/>
          </w:tcPr>
          <w:p w14:paraId="59EF5B35" w14:textId="77777777" w:rsidR="00454A29" w:rsidRDefault="00454A29">
            <w:pPr>
              <w:pStyle w:val="ConsPlusNormal"/>
              <w:jc w:val="center"/>
            </w:pPr>
            <w:r>
              <w:t>2025</w:t>
            </w:r>
          </w:p>
        </w:tc>
        <w:tc>
          <w:tcPr>
            <w:tcW w:w="1417" w:type="dxa"/>
            <w:vMerge/>
          </w:tcPr>
          <w:p w14:paraId="4E8AE016" w14:textId="77777777" w:rsidR="00454A29" w:rsidRDefault="00454A29"/>
        </w:tc>
        <w:tc>
          <w:tcPr>
            <w:tcW w:w="2204" w:type="dxa"/>
            <w:vMerge/>
          </w:tcPr>
          <w:p w14:paraId="40C3920B" w14:textId="77777777" w:rsidR="00454A29" w:rsidRDefault="00454A29"/>
        </w:tc>
        <w:tc>
          <w:tcPr>
            <w:tcW w:w="1417" w:type="dxa"/>
            <w:vMerge/>
          </w:tcPr>
          <w:p w14:paraId="29C698F9" w14:textId="77777777" w:rsidR="00454A29" w:rsidRDefault="00454A29"/>
        </w:tc>
        <w:tc>
          <w:tcPr>
            <w:tcW w:w="2324" w:type="dxa"/>
            <w:vMerge/>
          </w:tcPr>
          <w:p w14:paraId="42E74E4A" w14:textId="77777777" w:rsidR="00454A29" w:rsidRDefault="00454A29"/>
        </w:tc>
        <w:tc>
          <w:tcPr>
            <w:tcW w:w="1701" w:type="dxa"/>
            <w:vAlign w:val="center"/>
          </w:tcPr>
          <w:p w14:paraId="3EB351D0" w14:textId="77777777" w:rsidR="00454A29" w:rsidRDefault="00454A29">
            <w:pPr>
              <w:pStyle w:val="ConsPlusNormal"/>
              <w:jc w:val="center"/>
            </w:pPr>
            <w:r>
              <w:t>367 824,52</w:t>
            </w:r>
          </w:p>
        </w:tc>
        <w:tc>
          <w:tcPr>
            <w:tcW w:w="1814" w:type="dxa"/>
            <w:vAlign w:val="center"/>
          </w:tcPr>
          <w:p w14:paraId="005665BE" w14:textId="77777777" w:rsidR="00454A29" w:rsidRDefault="00454A29">
            <w:pPr>
              <w:pStyle w:val="ConsPlusNormal"/>
              <w:jc w:val="center"/>
            </w:pPr>
            <w:r>
              <w:t>4 652,98</w:t>
            </w:r>
          </w:p>
        </w:tc>
        <w:tc>
          <w:tcPr>
            <w:tcW w:w="1701" w:type="dxa"/>
            <w:vAlign w:val="center"/>
          </w:tcPr>
          <w:p w14:paraId="0D89E0F3" w14:textId="77777777" w:rsidR="00454A29" w:rsidRDefault="00454A29">
            <w:pPr>
              <w:pStyle w:val="ConsPlusNormal"/>
              <w:jc w:val="center"/>
            </w:pPr>
            <w:r>
              <w:t>460 645,04</w:t>
            </w:r>
          </w:p>
        </w:tc>
        <w:tc>
          <w:tcPr>
            <w:tcW w:w="1701" w:type="dxa"/>
            <w:vAlign w:val="center"/>
          </w:tcPr>
          <w:p w14:paraId="7D878339" w14:textId="77777777" w:rsidR="00454A29" w:rsidRDefault="00454A29">
            <w:pPr>
              <w:pStyle w:val="ConsPlusNormal"/>
            </w:pPr>
          </w:p>
        </w:tc>
        <w:tc>
          <w:tcPr>
            <w:tcW w:w="1814" w:type="dxa"/>
            <w:vAlign w:val="center"/>
          </w:tcPr>
          <w:p w14:paraId="52C20BB6" w14:textId="77777777" w:rsidR="00454A29" w:rsidRDefault="00454A29">
            <w:pPr>
              <w:pStyle w:val="ConsPlusNormal"/>
            </w:pPr>
          </w:p>
        </w:tc>
      </w:tr>
      <w:tr w:rsidR="00454A29" w14:paraId="1CE6CDA5" w14:textId="77777777">
        <w:tc>
          <w:tcPr>
            <w:tcW w:w="567" w:type="dxa"/>
            <w:vMerge/>
          </w:tcPr>
          <w:p w14:paraId="6025DFAC" w14:textId="77777777" w:rsidR="00454A29" w:rsidRDefault="00454A29"/>
        </w:tc>
        <w:tc>
          <w:tcPr>
            <w:tcW w:w="3345" w:type="dxa"/>
            <w:vMerge/>
          </w:tcPr>
          <w:p w14:paraId="2802B7B5" w14:textId="77777777" w:rsidR="00454A29" w:rsidRDefault="00454A29"/>
        </w:tc>
        <w:tc>
          <w:tcPr>
            <w:tcW w:w="1701" w:type="dxa"/>
            <w:vAlign w:val="center"/>
          </w:tcPr>
          <w:p w14:paraId="0B4E55A7" w14:textId="77777777" w:rsidR="00454A29" w:rsidRDefault="00454A29">
            <w:pPr>
              <w:pStyle w:val="ConsPlusNormal"/>
              <w:jc w:val="center"/>
            </w:pPr>
            <w:r>
              <w:t>2026</w:t>
            </w:r>
          </w:p>
        </w:tc>
        <w:tc>
          <w:tcPr>
            <w:tcW w:w="1417" w:type="dxa"/>
            <w:vMerge/>
          </w:tcPr>
          <w:p w14:paraId="5738924D" w14:textId="77777777" w:rsidR="00454A29" w:rsidRDefault="00454A29"/>
        </w:tc>
        <w:tc>
          <w:tcPr>
            <w:tcW w:w="2204" w:type="dxa"/>
            <w:vMerge/>
          </w:tcPr>
          <w:p w14:paraId="30517B60" w14:textId="77777777" w:rsidR="00454A29" w:rsidRDefault="00454A29"/>
        </w:tc>
        <w:tc>
          <w:tcPr>
            <w:tcW w:w="1417" w:type="dxa"/>
            <w:vMerge/>
          </w:tcPr>
          <w:p w14:paraId="40F6DED4" w14:textId="77777777" w:rsidR="00454A29" w:rsidRDefault="00454A29"/>
        </w:tc>
        <w:tc>
          <w:tcPr>
            <w:tcW w:w="2324" w:type="dxa"/>
            <w:vMerge/>
          </w:tcPr>
          <w:p w14:paraId="59CF3365" w14:textId="77777777" w:rsidR="00454A29" w:rsidRDefault="00454A29"/>
        </w:tc>
        <w:tc>
          <w:tcPr>
            <w:tcW w:w="1701" w:type="dxa"/>
            <w:vAlign w:val="center"/>
          </w:tcPr>
          <w:p w14:paraId="7CF3955C" w14:textId="77777777" w:rsidR="00454A29" w:rsidRDefault="00454A29">
            <w:pPr>
              <w:pStyle w:val="ConsPlusNormal"/>
            </w:pPr>
          </w:p>
        </w:tc>
        <w:tc>
          <w:tcPr>
            <w:tcW w:w="1814" w:type="dxa"/>
            <w:vAlign w:val="center"/>
          </w:tcPr>
          <w:p w14:paraId="27B5EB4D" w14:textId="77777777" w:rsidR="00454A29" w:rsidRDefault="00454A29">
            <w:pPr>
              <w:pStyle w:val="ConsPlusNormal"/>
            </w:pPr>
          </w:p>
        </w:tc>
        <w:tc>
          <w:tcPr>
            <w:tcW w:w="1701" w:type="dxa"/>
            <w:vAlign w:val="center"/>
          </w:tcPr>
          <w:p w14:paraId="0910ACA3" w14:textId="77777777" w:rsidR="00454A29" w:rsidRDefault="00454A29">
            <w:pPr>
              <w:pStyle w:val="ConsPlusNormal"/>
            </w:pPr>
          </w:p>
        </w:tc>
        <w:tc>
          <w:tcPr>
            <w:tcW w:w="1701" w:type="dxa"/>
            <w:vAlign w:val="center"/>
          </w:tcPr>
          <w:p w14:paraId="5FBB9D83" w14:textId="77777777" w:rsidR="00454A29" w:rsidRDefault="00454A29">
            <w:pPr>
              <w:pStyle w:val="ConsPlusNormal"/>
            </w:pPr>
          </w:p>
        </w:tc>
        <w:tc>
          <w:tcPr>
            <w:tcW w:w="1814" w:type="dxa"/>
            <w:vAlign w:val="center"/>
          </w:tcPr>
          <w:p w14:paraId="3B96A28D" w14:textId="77777777" w:rsidR="00454A29" w:rsidRDefault="00454A29">
            <w:pPr>
              <w:pStyle w:val="ConsPlusNormal"/>
            </w:pPr>
          </w:p>
        </w:tc>
      </w:tr>
      <w:tr w:rsidR="00454A29" w14:paraId="1413B344" w14:textId="77777777">
        <w:tc>
          <w:tcPr>
            <w:tcW w:w="21706" w:type="dxa"/>
            <w:gridSpan w:val="12"/>
            <w:vAlign w:val="center"/>
          </w:tcPr>
          <w:p w14:paraId="5D6C0549" w14:textId="77777777" w:rsidR="00454A29" w:rsidRDefault="00454A29">
            <w:pPr>
              <w:pStyle w:val="ConsPlusNormal"/>
              <w:jc w:val="center"/>
              <w:outlineLvl w:val="2"/>
            </w:pPr>
            <w:r>
              <w:t>МР "Томпонский район"</w:t>
            </w:r>
          </w:p>
        </w:tc>
      </w:tr>
      <w:tr w:rsidR="00454A29" w14:paraId="223DC2F6" w14:textId="77777777">
        <w:tc>
          <w:tcPr>
            <w:tcW w:w="567" w:type="dxa"/>
            <w:vMerge w:val="restart"/>
            <w:vAlign w:val="center"/>
          </w:tcPr>
          <w:p w14:paraId="52D0E0D7" w14:textId="77777777" w:rsidR="00454A29" w:rsidRDefault="00454A29">
            <w:pPr>
              <w:pStyle w:val="ConsPlusNormal"/>
              <w:jc w:val="center"/>
            </w:pPr>
            <w:r>
              <w:t>135</w:t>
            </w:r>
          </w:p>
        </w:tc>
        <w:tc>
          <w:tcPr>
            <w:tcW w:w="3345" w:type="dxa"/>
            <w:vMerge w:val="restart"/>
            <w:vAlign w:val="center"/>
          </w:tcPr>
          <w:p w14:paraId="324E673B" w14:textId="77777777" w:rsidR="00454A29" w:rsidRDefault="00454A29">
            <w:pPr>
              <w:pStyle w:val="ConsPlusNormal"/>
              <w:jc w:val="center"/>
            </w:pPr>
            <w:r>
              <w:t>Томпонская районная многопрофильная гимназия на 220 учащихся в п. Хандыга &lt;**&gt;</w:t>
            </w:r>
          </w:p>
        </w:tc>
        <w:tc>
          <w:tcPr>
            <w:tcW w:w="1701" w:type="dxa"/>
            <w:vAlign w:val="center"/>
          </w:tcPr>
          <w:p w14:paraId="04DB1515" w14:textId="77777777" w:rsidR="00454A29" w:rsidRDefault="00454A29">
            <w:pPr>
              <w:pStyle w:val="ConsPlusNormal"/>
              <w:jc w:val="center"/>
            </w:pPr>
            <w:r>
              <w:t>2020 - 2026 годы - всего</w:t>
            </w:r>
          </w:p>
        </w:tc>
        <w:tc>
          <w:tcPr>
            <w:tcW w:w="1417" w:type="dxa"/>
            <w:vMerge w:val="restart"/>
            <w:vAlign w:val="center"/>
          </w:tcPr>
          <w:p w14:paraId="63C48784" w14:textId="77777777" w:rsidR="00454A29" w:rsidRDefault="00454A29">
            <w:pPr>
              <w:pStyle w:val="ConsPlusNormal"/>
              <w:jc w:val="center"/>
            </w:pPr>
            <w:r>
              <w:t>94 204,47</w:t>
            </w:r>
          </w:p>
        </w:tc>
        <w:tc>
          <w:tcPr>
            <w:tcW w:w="2204" w:type="dxa"/>
            <w:vMerge w:val="restart"/>
            <w:vAlign w:val="center"/>
          </w:tcPr>
          <w:p w14:paraId="058FB856" w14:textId="77777777" w:rsidR="00454A29" w:rsidRDefault="00454A29">
            <w:pPr>
              <w:pStyle w:val="ConsPlusNormal"/>
              <w:jc w:val="center"/>
            </w:pPr>
            <w:r>
              <w:t>имеется</w:t>
            </w:r>
          </w:p>
        </w:tc>
        <w:tc>
          <w:tcPr>
            <w:tcW w:w="1417" w:type="dxa"/>
            <w:vMerge w:val="restart"/>
            <w:vAlign w:val="center"/>
          </w:tcPr>
          <w:p w14:paraId="759F6580" w14:textId="77777777" w:rsidR="00454A29" w:rsidRDefault="00454A29">
            <w:pPr>
              <w:pStyle w:val="ConsPlusNormal"/>
              <w:jc w:val="center"/>
            </w:pPr>
            <w:r>
              <w:t>220</w:t>
            </w:r>
          </w:p>
        </w:tc>
        <w:tc>
          <w:tcPr>
            <w:tcW w:w="2324" w:type="dxa"/>
            <w:vMerge w:val="restart"/>
            <w:vAlign w:val="center"/>
          </w:tcPr>
          <w:p w14:paraId="7F05CA6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C3372DE" w14:textId="77777777" w:rsidR="00454A29" w:rsidRDefault="00454A29">
            <w:pPr>
              <w:pStyle w:val="ConsPlusNormal"/>
              <w:jc w:val="center"/>
            </w:pPr>
            <w:r>
              <w:t>94 204,47</w:t>
            </w:r>
          </w:p>
        </w:tc>
        <w:tc>
          <w:tcPr>
            <w:tcW w:w="1814" w:type="dxa"/>
            <w:vAlign w:val="center"/>
          </w:tcPr>
          <w:p w14:paraId="7CCA7C32" w14:textId="77777777" w:rsidR="00454A29" w:rsidRDefault="00454A29">
            <w:pPr>
              <w:pStyle w:val="ConsPlusNormal"/>
              <w:jc w:val="center"/>
            </w:pPr>
            <w:r>
              <w:t>28 504,47</w:t>
            </w:r>
          </w:p>
        </w:tc>
        <w:tc>
          <w:tcPr>
            <w:tcW w:w="1701" w:type="dxa"/>
            <w:vAlign w:val="center"/>
          </w:tcPr>
          <w:p w14:paraId="7F0B8A4A" w14:textId="77777777" w:rsidR="00454A29" w:rsidRDefault="00454A29">
            <w:pPr>
              <w:pStyle w:val="ConsPlusNormal"/>
              <w:jc w:val="center"/>
            </w:pPr>
            <w:r>
              <w:t>65 700,00</w:t>
            </w:r>
          </w:p>
        </w:tc>
        <w:tc>
          <w:tcPr>
            <w:tcW w:w="1701" w:type="dxa"/>
            <w:vAlign w:val="center"/>
          </w:tcPr>
          <w:p w14:paraId="78C52A19" w14:textId="77777777" w:rsidR="00454A29" w:rsidRDefault="00454A29">
            <w:pPr>
              <w:pStyle w:val="ConsPlusNormal"/>
              <w:jc w:val="center"/>
            </w:pPr>
            <w:r>
              <w:t>-</w:t>
            </w:r>
          </w:p>
        </w:tc>
        <w:tc>
          <w:tcPr>
            <w:tcW w:w="1814" w:type="dxa"/>
            <w:vAlign w:val="center"/>
          </w:tcPr>
          <w:p w14:paraId="3EECEC9B" w14:textId="77777777" w:rsidR="00454A29" w:rsidRDefault="00454A29">
            <w:pPr>
              <w:pStyle w:val="ConsPlusNormal"/>
              <w:jc w:val="center"/>
            </w:pPr>
            <w:r>
              <w:t>-</w:t>
            </w:r>
          </w:p>
        </w:tc>
      </w:tr>
      <w:tr w:rsidR="00454A29" w14:paraId="4DEFD61C" w14:textId="77777777">
        <w:tc>
          <w:tcPr>
            <w:tcW w:w="567" w:type="dxa"/>
            <w:vMerge/>
          </w:tcPr>
          <w:p w14:paraId="366D2A3D" w14:textId="77777777" w:rsidR="00454A29" w:rsidRDefault="00454A29"/>
        </w:tc>
        <w:tc>
          <w:tcPr>
            <w:tcW w:w="3345" w:type="dxa"/>
            <w:vMerge/>
          </w:tcPr>
          <w:p w14:paraId="14FA3BF5" w14:textId="77777777" w:rsidR="00454A29" w:rsidRDefault="00454A29"/>
        </w:tc>
        <w:tc>
          <w:tcPr>
            <w:tcW w:w="1701" w:type="dxa"/>
            <w:vAlign w:val="center"/>
          </w:tcPr>
          <w:p w14:paraId="5EDAD8A7" w14:textId="77777777" w:rsidR="00454A29" w:rsidRDefault="00454A29">
            <w:pPr>
              <w:pStyle w:val="ConsPlusNormal"/>
              <w:jc w:val="center"/>
            </w:pPr>
            <w:r>
              <w:t>2020</w:t>
            </w:r>
          </w:p>
        </w:tc>
        <w:tc>
          <w:tcPr>
            <w:tcW w:w="1417" w:type="dxa"/>
            <w:vMerge/>
          </w:tcPr>
          <w:p w14:paraId="0CB676C8" w14:textId="77777777" w:rsidR="00454A29" w:rsidRDefault="00454A29"/>
        </w:tc>
        <w:tc>
          <w:tcPr>
            <w:tcW w:w="2204" w:type="dxa"/>
            <w:vMerge/>
          </w:tcPr>
          <w:p w14:paraId="4EF790A6" w14:textId="77777777" w:rsidR="00454A29" w:rsidRDefault="00454A29"/>
        </w:tc>
        <w:tc>
          <w:tcPr>
            <w:tcW w:w="1417" w:type="dxa"/>
            <w:vMerge/>
          </w:tcPr>
          <w:p w14:paraId="0A7520C7" w14:textId="77777777" w:rsidR="00454A29" w:rsidRDefault="00454A29"/>
        </w:tc>
        <w:tc>
          <w:tcPr>
            <w:tcW w:w="2324" w:type="dxa"/>
            <w:vMerge/>
          </w:tcPr>
          <w:p w14:paraId="4A77180E" w14:textId="77777777" w:rsidR="00454A29" w:rsidRDefault="00454A29"/>
        </w:tc>
        <w:tc>
          <w:tcPr>
            <w:tcW w:w="1701" w:type="dxa"/>
            <w:vAlign w:val="center"/>
          </w:tcPr>
          <w:p w14:paraId="55E2BFE7" w14:textId="77777777" w:rsidR="00454A29" w:rsidRDefault="00454A29">
            <w:pPr>
              <w:pStyle w:val="ConsPlusNormal"/>
              <w:jc w:val="center"/>
            </w:pPr>
            <w:r>
              <w:t>94 204,47</w:t>
            </w:r>
          </w:p>
        </w:tc>
        <w:tc>
          <w:tcPr>
            <w:tcW w:w="1814" w:type="dxa"/>
            <w:vAlign w:val="center"/>
          </w:tcPr>
          <w:p w14:paraId="76E8F38E" w14:textId="77777777" w:rsidR="00454A29" w:rsidRDefault="00454A29">
            <w:pPr>
              <w:pStyle w:val="ConsPlusNormal"/>
              <w:jc w:val="center"/>
            </w:pPr>
            <w:r>
              <w:t>28 504,47</w:t>
            </w:r>
          </w:p>
        </w:tc>
        <w:tc>
          <w:tcPr>
            <w:tcW w:w="1701" w:type="dxa"/>
            <w:vAlign w:val="center"/>
          </w:tcPr>
          <w:p w14:paraId="61D48B57" w14:textId="77777777" w:rsidR="00454A29" w:rsidRDefault="00454A29">
            <w:pPr>
              <w:pStyle w:val="ConsPlusNormal"/>
              <w:jc w:val="center"/>
            </w:pPr>
            <w:r>
              <w:t>65 700,00</w:t>
            </w:r>
          </w:p>
        </w:tc>
        <w:tc>
          <w:tcPr>
            <w:tcW w:w="1701" w:type="dxa"/>
            <w:vAlign w:val="center"/>
          </w:tcPr>
          <w:p w14:paraId="31F27314" w14:textId="77777777" w:rsidR="00454A29" w:rsidRDefault="00454A29">
            <w:pPr>
              <w:pStyle w:val="ConsPlusNormal"/>
            </w:pPr>
          </w:p>
        </w:tc>
        <w:tc>
          <w:tcPr>
            <w:tcW w:w="1814" w:type="dxa"/>
            <w:vAlign w:val="center"/>
          </w:tcPr>
          <w:p w14:paraId="3D35A460" w14:textId="77777777" w:rsidR="00454A29" w:rsidRDefault="00454A29">
            <w:pPr>
              <w:pStyle w:val="ConsPlusNormal"/>
              <w:jc w:val="center"/>
            </w:pPr>
            <w:r>
              <w:t>-</w:t>
            </w:r>
          </w:p>
        </w:tc>
      </w:tr>
      <w:tr w:rsidR="00454A29" w14:paraId="62511E01" w14:textId="77777777">
        <w:tc>
          <w:tcPr>
            <w:tcW w:w="567" w:type="dxa"/>
            <w:vMerge/>
          </w:tcPr>
          <w:p w14:paraId="04F5C4D8" w14:textId="77777777" w:rsidR="00454A29" w:rsidRDefault="00454A29"/>
        </w:tc>
        <w:tc>
          <w:tcPr>
            <w:tcW w:w="3345" w:type="dxa"/>
            <w:vMerge/>
          </w:tcPr>
          <w:p w14:paraId="638D4FAF" w14:textId="77777777" w:rsidR="00454A29" w:rsidRDefault="00454A29"/>
        </w:tc>
        <w:tc>
          <w:tcPr>
            <w:tcW w:w="1701" w:type="dxa"/>
            <w:vAlign w:val="center"/>
          </w:tcPr>
          <w:p w14:paraId="3F36D5C6" w14:textId="77777777" w:rsidR="00454A29" w:rsidRDefault="00454A29">
            <w:pPr>
              <w:pStyle w:val="ConsPlusNormal"/>
              <w:jc w:val="center"/>
            </w:pPr>
            <w:r>
              <w:t>2021</w:t>
            </w:r>
          </w:p>
        </w:tc>
        <w:tc>
          <w:tcPr>
            <w:tcW w:w="1417" w:type="dxa"/>
            <w:vMerge/>
          </w:tcPr>
          <w:p w14:paraId="35B3E7AB" w14:textId="77777777" w:rsidR="00454A29" w:rsidRDefault="00454A29"/>
        </w:tc>
        <w:tc>
          <w:tcPr>
            <w:tcW w:w="2204" w:type="dxa"/>
            <w:vMerge/>
          </w:tcPr>
          <w:p w14:paraId="51CB63B0" w14:textId="77777777" w:rsidR="00454A29" w:rsidRDefault="00454A29"/>
        </w:tc>
        <w:tc>
          <w:tcPr>
            <w:tcW w:w="1417" w:type="dxa"/>
            <w:vMerge/>
          </w:tcPr>
          <w:p w14:paraId="02BC253E" w14:textId="77777777" w:rsidR="00454A29" w:rsidRDefault="00454A29"/>
        </w:tc>
        <w:tc>
          <w:tcPr>
            <w:tcW w:w="2324" w:type="dxa"/>
            <w:vMerge/>
          </w:tcPr>
          <w:p w14:paraId="06ED67E3" w14:textId="77777777" w:rsidR="00454A29" w:rsidRDefault="00454A29"/>
        </w:tc>
        <w:tc>
          <w:tcPr>
            <w:tcW w:w="1701" w:type="dxa"/>
            <w:vAlign w:val="center"/>
          </w:tcPr>
          <w:p w14:paraId="5CB710F5" w14:textId="77777777" w:rsidR="00454A29" w:rsidRDefault="00454A29">
            <w:pPr>
              <w:pStyle w:val="ConsPlusNormal"/>
            </w:pPr>
          </w:p>
        </w:tc>
        <w:tc>
          <w:tcPr>
            <w:tcW w:w="1814" w:type="dxa"/>
            <w:vAlign w:val="center"/>
          </w:tcPr>
          <w:p w14:paraId="76127F40" w14:textId="77777777" w:rsidR="00454A29" w:rsidRDefault="00454A29">
            <w:pPr>
              <w:pStyle w:val="ConsPlusNormal"/>
            </w:pPr>
          </w:p>
        </w:tc>
        <w:tc>
          <w:tcPr>
            <w:tcW w:w="1701" w:type="dxa"/>
            <w:vAlign w:val="center"/>
          </w:tcPr>
          <w:p w14:paraId="3EA8BF9F" w14:textId="77777777" w:rsidR="00454A29" w:rsidRDefault="00454A29">
            <w:pPr>
              <w:pStyle w:val="ConsPlusNormal"/>
            </w:pPr>
          </w:p>
        </w:tc>
        <w:tc>
          <w:tcPr>
            <w:tcW w:w="1701" w:type="dxa"/>
            <w:vAlign w:val="center"/>
          </w:tcPr>
          <w:p w14:paraId="6ACC1CE3" w14:textId="77777777" w:rsidR="00454A29" w:rsidRDefault="00454A29">
            <w:pPr>
              <w:pStyle w:val="ConsPlusNormal"/>
            </w:pPr>
          </w:p>
        </w:tc>
        <w:tc>
          <w:tcPr>
            <w:tcW w:w="1814" w:type="dxa"/>
            <w:vAlign w:val="center"/>
          </w:tcPr>
          <w:p w14:paraId="337D2069" w14:textId="77777777" w:rsidR="00454A29" w:rsidRDefault="00454A29">
            <w:pPr>
              <w:pStyle w:val="ConsPlusNormal"/>
            </w:pPr>
          </w:p>
        </w:tc>
      </w:tr>
      <w:tr w:rsidR="00454A29" w14:paraId="1528463F" w14:textId="77777777">
        <w:tc>
          <w:tcPr>
            <w:tcW w:w="567" w:type="dxa"/>
            <w:vMerge/>
          </w:tcPr>
          <w:p w14:paraId="5CF8FF9A" w14:textId="77777777" w:rsidR="00454A29" w:rsidRDefault="00454A29"/>
        </w:tc>
        <w:tc>
          <w:tcPr>
            <w:tcW w:w="3345" w:type="dxa"/>
            <w:vMerge/>
          </w:tcPr>
          <w:p w14:paraId="57729EB8" w14:textId="77777777" w:rsidR="00454A29" w:rsidRDefault="00454A29"/>
        </w:tc>
        <w:tc>
          <w:tcPr>
            <w:tcW w:w="1701" w:type="dxa"/>
            <w:vAlign w:val="center"/>
          </w:tcPr>
          <w:p w14:paraId="633FE8A3" w14:textId="77777777" w:rsidR="00454A29" w:rsidRDefault="00454A29">
            <w:pPr>
              <w:pStyle w:val="ConsPlusNormal"/>
              <w:jc w:val="center"/>
            </w:pPr>
            <w:r>
              <w:t>2022</w:t>
            </w:r>
          </w:p>
        </w:tc>
        <w:tc>
          <w:tcPr>
            <w:tcW w:w="1417" w:type="dxa"/>
            <w:vMerge/>
          </w:tcPr>
          <w:p w14:paraId="25CC8F5B" w14:textId="77777777" w:rsidR="00454A29" w:rsidRDefault="00454A29"/>
        </w:tc>
        <w:tc>
          <w:tcPr>
            <w:tcW w:w="2204" w:type="dxa"/>
            <w:vMerge/>
          </w:tcPr>
          <w:p w14:paraId="33A45D3E" w14:textId="77777777" w:rsidR="00454A29" w:rsidRDefault="00454A29"/>
        </w:tc>
        <w:tc>
          <w:tcPr>
            <w:tcW w:w="1417" w:type="dxa"/>
            <w:vMerge/>
          </w:tcPr>
          <w:p w14:paraId="4399DC6E" w14:textId="77777777" w:rsidR="00454A29" w:rsidRDefault="00454A29"/>
        </w:tc>
        <w:tc>
          <w:tcPr>
            <w:tcW w:w="2324" w:type="dxa"/>
            <w:vMerge/>
          </w:tcPr>
          <w:p w14:paraId="00AA37B0" w14:textId="77777777" w:rsidR="00454A29" w:rsidRDefault="00454A29"/>
        </w:tc>
        <w:tc>
          <w:tcPr>
            <w:tcW w:w="1701" w:type="dxa"/>
            <w:vAlign w:val="center"/>
          </w:tcPr>
          <w:p w14:paraId="1D27189B" w14:textId="77777777" w:rsidR="00454A29" w:rsidRDefault="00454A29">
            <w:pPr>
              <w:pStyle w:val="ConsPlusNormal"/>
            </w:pPr>
          </w:p>
        </w:tc>
        <w:tc>
          <w:tcPr>
            <w:tcW w:w="1814" w:type="dxa"/>
            <w:vAlign w:val="center"/>
          </w:tcPr>
          <w:p w14:paraId="7FE7B897" w14:textId="77777777" w:rsidR="00454A29" w:rsidRDefault="00454A29">
            <w:pPr>
              <w:pStyle w:val="ConsPlusNormal"/>
            </w:pPr>
          </w:p>
        </w:tc>
        <w:tc>
          <w:tcPr>
            <w:tcW w:w="1701" w:type="dxa"/>
            <w:vAlign w:val="center"/>
          </w:tcPr>
          <w:p w14:paraId="77A16CBB" w14:textId="77777777" w:rsidR="00454A29" w:rsidRDefault="00454A29">
            <w:pPr>
              <w:pStyle w:val="ConsPlusNormal"/>
            </w:pPr>
          </w:p>
        </w:tc>
        <w:tc>
          <w:tcPr>
            <w:tcW w:w="1701" w:type="dxa"/>
            <w:vAlign w:val="center"/>
          </w:tcPr>
          <w:p w14:paraId="06D52B83" w14:textId="77777777" w:rsidR="00454A29" w:rsidRDefault="00454A29">
            <w:pPr>
              <w:pStyle w:val="ConsPlusNormal"/>
            </w:pPr>
          </w:p>
        </w:tc>
        <w:tc>
          <w:tcPr>
            <w:tcW w:w="1814" w:type="dxa"/>
            <w:vAlign w:val="center"/>
          </w:tcPr>
          <w:p w14:paraId="3AF2F185" w14:textId="77777777" w:rsidR="00454A29" w:rsidRDefault="00454A29">
            <w:pPr>
              <w:pStyle w:val="ConsPlusNormal"/>
            </w:pPr>
          </w:p>
        </w:tc>
      </w:tr>
      <w:tr w:rsidR="00454A29" w14:paraId="6959816D" w14:textId="77777777">
        <w:tc>
          <w:tcPr>
            <w:tcW w:w="567" w:type="dxa"/>
            <w:vMerge/>
          </w:tcPr>
          <w:p w14:paraId="451BAAF0" w14:textId="77777777" w:rsidR="00454A29" w:rsidRDefault="00454A29"/>
        </w:tc>
        <w:tc>
          <w:tcPr>
            <w:tcW w:w="3345" w:type="dxa"/>
            <w:vMerge/>
          </w:tcPr>
          <w:p w14:paraId="5179A10A" w14:textId="77777777" w:rsidR="00454A29" w:rsidRDefault="00454A29"/>
        </w:tc>
        <w:tc>
          <w:tcPr>
            <w:tcW w:w="1701" w:type="dxa"/>
            <w:vAlign w:val="center"/>
          </w:tcPr>
          <w:p w14:paraId="4223CD08" w14:textId="77777777" w:rsidR="00454A29" w:rsidRDefault="00454A29">
            <w:pPr>
              <w:pStyle w:val="ConsPlusNormal"/>
              <w:jc w:val="center"/>
            </w:pPr>
            <w:r>
              <w:t>2023</w:t>
            </w:r>
          </w:p>
        </w:tc>
        <w:tc>
          <w:tcPr>
            <w:tcW w:w="1417" w:type="dxa"/>
            <w:vMerge/>
          </w:tcPr>
          <w:p w14:paraId="727D81EC" w14:textId="77777777" w:rsidR="00454A29" w:rsidRDefault="00454A29"/>
        </w:tc>
        <w:tc>
          <w:tcPr>
            <w:tcW w:w="2204" w:type="dxa"/>
            <w:vMerge/>
          </w:tcPr>
          <w:p w14:paraId="53EE28A7" w14:textId="77777777" w:rsidR="00454A29" w:rsidRDefault="00454A29"/>
        </w:tc>
        <w:tc>
          <w:tcPr>
            <w:tcW w:w="1417" w:type="dxa"/>
            <w:vMerge/>
          </w:tcPr>
          <w:p w14:paraId="729A7A7D" w14:textId="77777777" w:rsidR="00454A29" w:rsidRDefault="00454A29"/>
        </w:tc>
        <w:tc>
          <w:tcPr>
            <w:tcW w:w="2324" w:type="dxa"/>
            <w:vMerge/>
          </w:tcPr>
          <w:p w14:paraId="2B59F5DD" w14:textId="77777777" w:rsidR="00454A29" w:rsidRDefault="00454A29"/>
        </w:tc>
        <w:tc>
          <w:tcPr>
            <w:tcW w:w="1701" w:type="dxa"/>
            <w:vAlign w:val="center"/>
          </w:tcPr>
          <w:p w14:paraId="3539DADB" w14:textId="77777777" w:rsidR="00454A29" w:rsidRDefault="00454A29">
            <w:pPr>
              <w:pStyle w:val="ConsPlusNormal"/>
            </w:pPr>
          </w:p>
        </w:tc>
        <w:tc>
          <w:tcPr>
            <w:tcW w:w="1814" w:type="dxa"/>
            <w:vAlign w:val="center"/>
          </w:tcPr>
          <w:p w14:paraId="078DC68C" w14:textId="77777777" w:rsidR="00454A29" w:rsidRDefault="00454A29">
            <w:pPr>
              <w:pStyle w:val="ConsPlusNormal"/>
            </w:pPr>
          </w:p>
        </w:tc>
        <w:tc>
          <w:tcPr>
            <w:tcW w:w="1701" w:type="dxa"/>
            <w:vAlign w:val="center"/>
          </w:tcPr>
          <w:p w14:paraId="6506AB2B" w14:textId="77777777" w:rsidR="00454A29" w:rsidRDefault="00454A29">
            <w:pPr>
              <w:pStyle w:val="ConsPlusNormal"/>
            </w:pPr>
          </w:p>
        </w:tc>
        <w:tc>
          <w:tcPr>
            <w:tcW w:w="1701" w:type="dxa"/>
            <w:vAlign w:val="center"/>
          </w:tcPr>
          <w:p w14:paraId="4BE1874F" w14:textId="77777777" w:rsidR="00454A29" w:rsidRDefault="00454A29">
            <w:pPr>
              <w:pStyle w:val="ConsPlusNormal"/>
            </w:pPr>
          </w:p>
        </w:tc>
        <w:tc>
          <w:tcPr>
            <w:tcW w:w="1814" w:type="dxa"/>
            <w:vAlign w:val="center"/>
          </w:tcPr>
          <w:p w14:paraId="2610B0C0" w14:textId="77777777" w:rsidR="00454A29" w:rsidRDefault="00454A29">
            <w:pPr>
              <w:pStyle w:val="ConsPlusNormal"/>
            </w:pPr>
          </w:p>
        </w:tc>
      </w:tr>
      <w:tr w:rsidR="00454A29" w14:paraId="556EE35E" w14:textId="77777777">
        <w:tc>
          <w:tcPr>
            <w:tcW w:w="567" w:type="dxa"/>
            <w:vMerge/>
          </w:tcPr>
          <w:p w14:paraId="29C71DF9" w14:textId="77777777" w:rsidR="00454A29" w:rsidRDefault="00454A29"/>
        </w:tc>
        <w:tc>
          <w:tcPr>
            <w:tcW w:w="3345" w:type="dxa"/>
            <w:vMerge/>
          </w:tcPr>
          <w:p w14:paraId="56D59819" w14:textId="77777777" w:rsidR="00454A29" w:rsidRDefault="00454A29"/>
        </w:tc>
        <w:tc>
          <w:tcPr>
            <w:tcW w:w="1701" w:type="dxa"/>
            <w:vAlign w:val="center"/>
          </w:tcPr>
          <w:p w14:paraId="5B38CB3A" w14:textId="77777777" w:rsidR="00454A29" w:rsidRDefault="00454A29">
            <w:pPr>
              <w:pStyle w:val="ConsPlusNormal"/>
              <w:jc w:val="center"/>
            </w:pPr>
            <w:r>
              <w:t>2024</w:t>
            </w:r>
          </w:p>
        </w:tc>
        <w:tc>
          <w:tcPr>
            <w:tcW w:w="1417" w:type="dxa"/>
            <w:vMerge/>
          </w:tcPr>
          <w:p w14:paraId="2CD9493D" w14:textId="77777777" w:rsidR="00454A29" w:rsidRDefault="00454A29"/>
        </w:tc>
        <w:tc>
          <w:tcPr>
            <w:tcW w:w="2204" w:type="dxa"/>
            <w:vMerge/>
          </w:tcPr>
          <w:p w14:paraId="26DB627B" w14:textId="77777777" w:rsidR="00454A29" w:rsidRDefault="00454A29"/>
        </w:tc>
        <w:tc>
          <w:tcPr>
            <w:tcW w:w="1417" w:type="dxa"/>
            <w:vMerge/>
          </w:tcPr>
          <w:p w14:paraId="495DE0CD" w14:textId="77777777" w:rsidR="00454A29" w:rsidRDefault="00454A29"/>
        </w:tc>
        <w:tc>
          <w:tcPr>
            <w:tcW w:w="2324" w:type="dxa"/>
            <w:vMerge/>
          </w:tcPr>
          <w:p w14:paraId="3185E354" w14:textId="77777777" w:rsidR="00454A29" w:rsidRDefault="00454A29"/>
        </w:tc>
        <w:tc>
          <w:tcPr>
            <w:tcW w:w="1701" w:type="dxa"/>
            <w:vAlign w:val="center"/>
          </w:tcPr>
          <w:p w14:paraId="786ED299" w14:textId="77777777" w:rsidR="00454A29" w:rsidRDefault="00454A29">
            <w:pPr>
              <w:pStyle w:val="ConsPlusNormal"/>
            </w:pPr>
          </w:p>
        </w:tc>
        <w:tc>
          <w:tcPr>
            <w:tcW w:w="1814" w:type="dxa"/>
            <w:vAlign w:val="center"/>
          </w:tcPr>
          <w:p w14:paraId="4E92238E" w14:textId="77777777" w:rsidR="00454A29" w:rsidRDefault="00454A29">
            <w:pPr>
              <w:pStyle w:val="ConsPlusNormal"/>
            </w:pPr>
          </w:p>
        </w:tc>
        <w:tc>
          <w:tcPr>
            <w:tcW w:w="1701" w:type="dxa"/>
            <w:vAlign w:val="center"/>
          </w:tcPr>
          <w:p w14:paraId="576ACEAF" w14:textId="77777777" w:rsidR="00454A29" w:rsidRDefault="00454A29">
            <w:pPr>
              <w:pStyle w:val="ConsPlusNormal"/>
            </w:pPr>
          </w:p>
        </w:tc>
        <w:tc>
          <w:tcPr>
            <w:tcW w:w="1701" w:type="dxa"/>
            <w:vAlign w:val="center"/>
          </w:tcPr>
          <w:p w14:paraId="3787F015" w14:textId="77777777" w:rsidR="00454A29" w:rsidRDefault="00454A29">
            <w:pPr>
              <w:pStyle w:val="ConsPlusNormal"/>
            </w:pPr>
          </w:p>
        </w:tc>
        <w:tc>
          <w:tcPr>
            <w:tcW w:w="1814" w:type="dxa"/>
            <w:vAlign w:val="center"/>
          </w:tcPr>
          <w:p w14:paraId="75122DAB" w14:textId="77777777" w:rsidR="00454A29" w:rsidRDefault="00454A29">
            <w:pPr>
              <w:pStyle w:val="ConsPlusNormal"/>
            </w:pPr>
          </w:p>
        </w:tc>
      </w:tr>
      <w:tr w:rsidR="00454A29" w14:paraId="4356E92E" w14:textId="77777777">
        <w:tc>
          <w:tcPr>
            <w:tcW w:w="567" w:type="dxa"/>
            <w:vMerge/>
          </w:tcPr>
          <w:p w14:paraId="1A157CDF" w14:textId="77777777" w:rsidR="00454A29" w:rsidRDefault="00454A29"/>
        </w:tc>
        <w:tc>
          <w:tcPr>
            <w:tcW w:w="3345" w:type="dxa"/>
            <w:vMerge/>
          </w:tcPr>
          <w:p w14:paraId="456423D2" w14:textId="77777777" w:rsidR="00454A29" w:rsidRDefault="00454A29"/>
        </w:tc>
        <w:tc>
          <w:tcPr>
            <w:tcW w:w="1701" w:type="dxa"/>
            <w:vAlign w:val="center"/>
          </w:tcPr>
          <w:p w14:paraId="2DBEFA98" w14:textId="77777777" w:rsidR="00454A29" w:rsidRDefault="00454A29">
            <w:pPr>
              <w:pStyle w:val="ConsPlusNormal"/>
              <w:jc w:val="center"/>
            </w:pPr>
            <w:r>
              <w:t>2025</w:t>
            </w:r>
          </w:p>
        </w:tc>
        <w:tc>
          <w:tcPr>
            <w:tcW w:w="1417" w:type="dxa"/>
            <w:vMerge/>
          </w:tcPr>
          <w:p w14:paraId="12A061C1" w14:textId="77777777" w:rsidR="00454A29" w:rsidRDefault="00454A29"/>
        </w:tc>
        <w:tc>
          <w:tcPr>
            <w:tcW w:w="2204" w:type="dxa"/>
            <w:vMerge/>
          </w:tcPr>
          <w:p w14:paraId="2DD2D5FF" w14:textId="77777777" w:rsidR="00454A29" w:rsidRDefault="00454A29"/>
        </w:tc>
        <w:tc>
          <w:tcPr>
            <w:tcW w:w="1417" w:type="dxa"/>
            <w:vMerge/>
          </w:tcPr>
          <w:p w14:paraId="0C6869E9" w14:textId="77777777" w:rsidR="00454A29" w:rsidRDefault="00454A29"/>
        </w:tc>
        <w:tc>
          <w:tcPr>
            <w:tcW w:w="2324" w:type="dxa"/>
            <w:vMerge/>
          </w:tcPr>
          <w:p w14:paraId="1CB3D40E" w14:textId="77777777" w:rsidR="00454A29" w:rsidRDefault="00454A29"/>
        </w:tc>
        <w:tc>
          <w:tcPr>
            <w:tcW w:w="1701" w:type="dxa"/>
            <w:vAlign w:val="center"/>
          </w:tcPr>
          <w:p w14:paraId="39DAF0B5" w14:textId="77777777" w:rsidR="00454A29" w:rsidRDefault="00454A29">
            <w:pPr>
              <w:pStyle w:val="ConsPlusNormal"/>
            </w:pPr>
          </w:p>
        </w:tc>
        <w:tc>
          <w:tcPr>
            <w:tcW w:w="1814" w:type="dxa"/>
            <w:vAlign w:val="center"/>
          </w:tcPr>
          <w:p w14:paraId="1F511E82" w14:textId="77777777" w:rsidR="00454A29" w:rsidRDefault="00454A29">
            <w:pPr>
              <w:pStyle w:val="ConsPlusNormal"/>
            </w:pPr>
          </w:p>
        </w:tc>
        <w:tc>
          <w:tcPr>
            <w:tcW w:w="1701" w:type="dxa"/>
            <w:vAlign w:val="center"/>
          </w:tcPr>
          <w:p w14:paraId="060C1109" w14:textId="77777777" w:rsidR="00454A29" w:rsidRDefault="00454A29">
            <w:pPr>
              <w:pStyle w:val="ConsPlusNormal"/>
            </w:pPr>
          </w:p>
        </w:tc>
        <w:tc>
          <w:tcPr>
            <w:tcW w:w="1701" w:type="dxa"/>
            <w:vAlign w:val="center"/>
          </w:tcPr>
          <w:p w14:paraId="17F63567" w14:textId="77777777" w:rsidR="00454A29" w:rsidRDefault="00454A29">
            <w:pPr>
              <w:pStyle w:val="ConsPlusNormal"/>
            </w:pPr>
          </w:p>
        </w:tc>
        <w:tc>
          <w:tcPr>
            <w:tcW w:w="1814" w:type="dxa"/>
            <w:vAlign w:val="center"/>
          </w:tcPr>
          <w:p w14:paraId="5B6B6D8F" w14:textId="77777777" w:rsidR="00454A29" w:rsidRDefault="00454A29">
            <w:pPr>
              <w:pStyle w:val="ConsPlusNormal"/>
            </w:pPr>
          </w:p>
        </w:tc>
      </w:tr>
      <w:tr w:rsidR="00454A29" w14:paraId="7B2B7FCD" w14:textId="77777777">
        <w:tc>
          <w:tcPr>
            <w:tcW w:w="567" w:type="dxa"/>
            <w:vMerge/>
          </w:tcPr>
          <w:p w14:paraId="783C6891" w14:textId="77777777" w:rsidR="00454A29" w:rsidRDefault="00454A29"/>
        </w:tc>
        <w:tc>
          <w:tcPr>
            <w:tcW w:w="3345" w:type="dxa"/>
            <w:vMerge/>
          </w:tcPr>
          <w:p w14:paraId="4084813B" w14:textId="77777777" w:rsidR="00454A29" w:rsidRDefault="00454A29"/>
        </w:tc>
        <w:tc>
          <w:tcPr>
            <w:tcW w:w="1701" w:type="dxa"/>
            <w:vAlign w:val="center"/>
          </w:tcPr>
          <w:p w14:paraId="365E8655" w14:textId="77777777" w:rsidR="00454A29" w:rsidRDefault="00454A29">
            <w:pPr>
              <w:pStyle w:val="ConsPlusNormal"/>
              <w:jc w:val="center"/>
            </w:pPr>
            <w:r>
              <w:t>2026</w:t>
            </w:r>
          </w:p>
        </w:tc>
        <w:tc>
          <w:tcPr>
            <w:tcW w:w="1417" w:type="dxa"/>
            <w:vMerge/>
          </w:tcPr>
          <w:p w14:paraId="635432CF" w14:textId="77777777" w:rsidR="00454A29" w:rsidRDefault="00454A29"/>
        </w:tc>
        <w:tc>
          <w:tcPr>
            <w:tcW w:w="2204" w:type="dxa"/>
            <w:vMerge/>
          </w:tcPr>
          <w:p w14:paraId="302E176D" w14:textId="77777777" w:rsidR="00454A29" w:rsidRDefault="00454A29"/>
        </w:tc>
        <w:tc>
          <w:tcPr>
            <w:tcW w:w="1417" w:type="dxa"/>
            <w:vMerge/>
          </w:tcPr>
          <w:p w14:paraId="73457D79" w14:textId="77777777" w:rsidR="00454A29" w:rsidRDefault="00454A29"/>
        </w:tc>
        <w:tc>
          <w:tcPr>
            <w:tcW w:w="2324" w:type="dxa"/>
            <w:vMerge/>
          </w:tcPr>
          <w:p w14:paraId="4BEB72BB" w14:textId="77777777" w:rsidR="00454A29" w:rsidRDefault="00454A29"/>
        </w:tc>
        <w:tc>
          <w:tcPr>
            <w:tcW w:w="1701" w:type="dxa"/>
            <w:vAlign w:val="center"/>
          </w:tcPr>
          <w:p w14:paraId="229D5FCE" w14:textId="77777777" w:rsidR="00454A29" w:rsidRDefault="00454A29">
            <w:pPr>
              <w:pStyle w:val="ConsPlusNormal"/>
            </w:pPr>
          </w:p>
        </w:tc>
        <w:tc>
          <w:tcPr>
            <w:tcW w:w="1814" w:type="dxa"/>
            <w:vAlign w:val="center"/>
          </w:tcPr>
          <w:p w14:paraId="0A711C95" w14:textId="77777777" w:rsidR="00454A29" w:rsidRDefault="00454A29">
            <w:pPr>
              <w:pStyle w:val="ConsPlusNormal"/>
            </w:pPr>
          </w:p>
        </w:tc>
        <w:tc>
          <w:tcPr>
            <w:tcW w:w="1701" w:type="dxa"/>
            <w:vAlign w:val="center"/>
          </w:tcPr>
          <w:p w14:paraId="30624331" w14:textId="77777777" w:rsidR="00454A29" w:rsidRDefault="00454A29">
            <w:pPr>
              <w:pStyle w:val="ConsPlusNormal"/>
            </w:pPr>
          </w:p>
        </w:tc>
        <w:tc>
          <w:tcPr>
            <w:tcW w:w="1701" w:type="dxa"/>
            <w:vAlign w:val="center"/>
          </w:tcPr>
          <w:p w14:paraId="44B87815" w14:textId="77777777" w:rsidR="00454A29" w:rsidRDefault="00454A29">
            <w:pPr>
              <w:pStyle w:val="ConsPlusNormal"/>
            </w:pPr>
          </w:p>
        </w:tc>
        <w:tc>
          <w:tcPr>
            <w:tcW w:w="1814" w:type="dxa"/>
            <w:vAlign w:val="center"/>
          </w:tcPr>
          <w:p w14:paraId="73E389D4" w14:textId="77777777" w:rsidR="00454A29" w:rsidRDefault="00454A29">
            <w:pPr>
              <w:pStyle w:val="ConsPlusNormal"/>
            </w:pPr>
          </w:p>
        </w:tc>
      </w:tr>
      <w:tr w:rsidR="00454A29" w14:paraId="40FDDC38" w14:textId="77777777">
        <w:tc>
          <w:tcPr>
            <w:tcW w:w="567" w:type="dxa"/>
            <w:vMerge w:val="restart"/>
            <w:vAlign w:val="center"/>
          </w:tcPr>
          <w:p w14:paraId="4ED2C9FE" w14:textId="77777777" w:rsidR="00454A29" w:rsidRDefault="00454A29">
            <w:pPr>
              <w:pStyle w:val="ConsPlusNormal"/>
              <w:jc w:val="center"/>
            </w:pPr>
            <w:r>
              <w:t>136</w:t>
            </w:r>
          </w:p>
        </w:tc>
        <w:tc>
          <w:tcPr>
            <w:tcW w:w="3345" w:type="dxa"/>
            <w:vMerge w:val="restart"/>
            <w:vAlign w:val="center"/>
          </w:tcPr>
          <w:p w14:paraId="079BEC1E" w14:textId="77777777" w:rsidR="00454A29" w:rsidRDefault="00454A29">
            <w:pPr>
              <w:pStyle w:val="ConsPlusNormal"/>
              <w:jc w:val="center"/>
            </w:pPr>
            <w:r>
              <w:t>Реконструкция здания МБОУ "Теплоключевская СОШ"</w:t>
            </w:r>
          </w:p>
        </w:tc>
        <w:tc>
          <w:tcPr>
            <w:tcW w:w="1701" w:type="dxa"/>
            <w:vAlign w:val="center"/>
          </w:tcPr>
          <w:p w14:paraId="03BE0262" w14:textId="77777777" w:rsidR="00454A29" w:rsidRDefault="00454A29">
            <w:pPr>
              <w:pStyle w:val="ConsPlusNormal"/>
              <w:jc w:val="center"/>
            </w:pPr>
            <w:r>
              <w:t>2020 - 2026 годы - всего</w:t>
            </w:r>
          </w:p>
        </w:tc>
        <w:tc>
          <w:tcPr>
            <w:tcW w:w="1417" w:type="dxa"/>
            <w:vMerge w:val="restart"/>
            <w:vAlign w:val="center"/>
          </w:tcPr>
          <w:p w14:paraId="2B6E2805" w14:textId="77777777" w:rsidR="00454A29" w:rsidRDefault="00454A29">
            <w:pPr>
              <w:pStyle w:val="ConsPlusNormal"/>
              <w:jc w:val="center"/>
            </w:pPr>
            <w:r>
              <w:t>66 208,41</w:t>
            </w:r>
          </w:p>
        </w:tc>
        <w:tc>
          <w:tcPr>
            <w:tcW w:w="2204" w:type="dxa"/>
            <w:vMerge w:val="restart"/>
            <w:vAlign w:val="center"/>
          </w:tcPr>
          <w:p w14:paraId="3C02070E" w14:textId="77777777" w:rsidR="00454A29" w:rsidRDefault="00454A29">
            <w:pPr>
              <w:pStyle w:val="ConsPlusNormal"/>
            </w:pPr>
          </w:p>
        </w:tc>
        <w:tc>
          <w:tcPr>
            <w:tcW w:w="1417" w:type="dxa"/>
            <w:vMerge w:val="restart"/>
            <w:vAlign w:val="center"/>
          </w:tcPr>
          <w:p w14:paraId="34D5899D" w14:textId="77777777" w:rsidR="00454A29" w:rsidRDefault="00454A29">
            <w:pPr>
              <w:pStyle w:val="ConsPlusNormal"/>
              <w:jc w:val="center"/>
            </w:pPr>
            <w:r>
              <w:t>18</w:t>
            </w:r>
          </w:p>
        </w:tc>
        <w:tc>
          <w:tcPr>
            <w:tcW w:w="2324" w:type="dxa"/>
            <w:vMerge w:val="restart"/>
            <w:vAlign w:val="center"/>
          </w:tcPr>
          <w:p w14:paraId="7F0D2A9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727EBE6" w14:textId="77777777" w:rsidR="00454A29" w:rsidRDefault="00454A29">
            <w:pPr>
              <w:pStyle w:val="ConsPlusNormal"/>
              <w:jc w:val="center"/>
            </w:pPr>
            <w:r>
              <w:t>66 208,41</w:t>
            </w:r>
          </w:p>
        </w:tc>
        <w:tc>
          <w:tcPr>
            <w:tcW w:w="1814" w:type="dxa"/>
            <w:vAlign w:val="center"/>
          </w:tcPr>
          <w:p w14:paraId="1191B8F0" w14:textId="77777777" w:rsidR="00454A29" w:rsidRDefault="00454A29">
            <w:pPr>
              <w:pStyle w:val="ConsPlusNormal"/>
              <w:jc w:val="center"/>
            </w:pPr>
            <w:r>
              <w:t>837,54</w:t>
            </w:r>
          </w:p>
        </w:tc>
        <w:tc>
          <w:tcPr>
            <w:tcW w:w="1701" w:type="dxa"/>
            <w:vAlign w:val="center"/>
          </w:tcPr>
          <w:p w14:paraId="1E70959F" w14:textId="77777777" w:rsidR="00454A29" w:rsidRDefault="00454A29">
            <w:pPr>
              <w:pStyle w:val="ConsPlusNormal"/>
              <w:jc w:val="center"/>
            </w:pPr>
            <w:r>
              <w:t>82 916,11</w:t>
            </w:r>
          </w:p>
        </w:tc>
        <w:tc>
          <w:tcPr>
            <w:tcW w:w="1701" w:type="dxa"/>
            <w:vAlign w:val="center"/>
          </w:tcPr>
          <w:p w14:paraId="6028C4B5" w14:textId="77777777" w:rsidR="00454A29" w:rsidRDefault="00454A29">
            <w:pPr>
              <w:pStyle w:val="ConsPlusNormal"/>
              <w:jc w:val="center"/>
            </w:pPr>
            <w:r>
              <w:t>-</w:t>
            </w:r>
          </w:p>
        </w:tc>
        <w:tc>
          <w:tcPr>
            <w:tcW w:w="1814" w:type="dxa"/>
            <w:vAlign w:val="center"/>
          </w:tcPr>
          <w:p w14:paraId="170F4CB1" w14:textId="77777777" w:rsidR="00454A29" w:rsidRDefault="00454A29">
            <w:pPr>
              <w:pStyle w:val="ConsPlusNormal"/>
              <w:jc w:val="center"/>
            </w:pPr>
            <w:r>
              <w:t>-</w:t>
            </w:r>
          </w:p>
        </w:tc>
      </w:tr>
      <w:tr w:rsidR="00454A29" w14:paraId="12EC07D2" w14:textId="77777777">
        <w:tc>
          <w:tcPr>
            <w:tcW w:w="567" w:type="dxa"/>
            <w:vMerge/>
          </w:tcPr>
          <w:p w14:paraId="65F639D7" w14:textId="77777777" w:rsidR="00454A29" w:rsidRDefault="00454A29"/>
        </w:tc>
        <w:tc>
          <w:tcPr>
            <w:tcW w:w="3345" w:type="dxa"/>
            <w:vMerge/>
          </w:tcPr>
          <w:p w14:paraId="3215E3B8" w14:textId="77777777" w:rsidR="00454A29" w:rsidRDefault="00454A29"/>
        </w:tc>
        <w:tc>
          <w:tcPr>
            <w:tcW w:w="1701" w:type="dxa"/>
            <w:vAlign w:val="center"/>
          </w:tcPr>
          <w:p w14:paraId="0CCDD1EE" w14:textId="77777777" w:rsidR="00454A29" w:rsidRDefault="00454A29">
            <w:pPr>
              <w:pStyle w:val="ConsPlusNormal"/>
              <w:jc w:val="center"/>
            </w:pPr>
            <w:r>
              <w:t>2020</w:t>
            </w:r>
          </w:p>
        </w:tc>
        <w:tc>
          <w:tcPr>
            <w:tcW w:w="1417" w:type="dxa"/>
            <w:vMerge/>
          </w:tcPr>
          <w:p w14:paraId="4EFB40E5" w14:textId="77777777" w:rsidR="00454A29" w:rsidRDefault="00454A29"/>
        </w:tc>
        <w:tc>
          <w:tcPr>
            <w:tcW w:w="2204" w:type="dxa"/>
            <w:vMerge/>
          </w:tcPr>
          <w:p w14:paraId="17F57C31" w14:textId="77777777" w:rsidR="00454A29" w:rsidRDefault="00454A29"/>
        </w:tc>
        <w:tc>
          <w:tcPr>
            <w:tcW w:w="1417" w:type="dxa"/>
            <w:vMerge/>
          </w:tcPr>
          <w:p w14:paraId="3FAA25F6" w14:textId="77777777" w:rsidR="00454A29" w:rsidRDefault="00454A29"/>
        </w:tc>
        <w:tc>
          <w:tcPr>
            <w:tcW w:w="2324" w:type="dxa"/>
            <w:vMerge/>
          </w:tcPr>
          <w:p w14:paraId="7D7F371D" w14:textId="77777777" w:rsidR="00454A29" w:rsidRDefault="00454A29"/>
        </w:tc>
        <w:tc>
          <w:tcPr>
            <w:tcW w:w="1701" w:type="dxa"/>
            <w:vAlign w:val="center"/>
          </w:tcPr>
          <w:p w14:paraId="14725131" w14:textId="77777777" w:rsidR="00454A29" w:rsidRDefault="00454A29">
            <w:pPr>
              <w:pStyle w:val="ConsPlusNormal"/>
            </w:pPr>
          </w:p>
        </w:tc>
        <w:tc>
          <w:tcPr>
            <w:tcW w:w="1814" w:type="dxa"/>
            <w:vAlign w:val="center"/>
          </w:tcPr>
          <w:p w14:paraId="00A18FCF" w14:textId="77777777" w:rsidR="00454A29" w:rsidRDefault="00454A29">
            <w:pPr>
              <w:pStyle w:val="ConsPlusNormal"/>
            </w:pPr>
          </w:p>
        </w:tc>
        <w:tc>
          <w:tcPr>
            <w:tcW w:w="1701" w:type="dxa"/>
            <w:vAlign w:val="center"/>
          </w:tcPr>
          <w:p w14:paraId="5116A4DB" w14:textId="77777777" w:rsidR="00454A29" w:rsidRDefault="00454A29">
            <w:pPr>
              <w:pStyle w:val="ConsPlusNormal"/>
            </w:pPr>
          </w:p>
        </w:tc>
        <w:tc>
          <w:tcPr>
            <w:tcW w:w="1701" w:type="dxa"/>
            <w:vAlign w:val="center"/>
          </w:tcPr>
          <w:p w14:paraId="6CBF4949" w14:textId="77777777" w:rsidR="00454A29" w:rsidRDefault="00454A29">
            <w:pPr>
              <w:pStyle w:val="ConsPlusNormal"/>
            </w:pPr>
          </w:p>
        </w:tc>
        <w:tc>
          <w:tcPr>
            <w:tcW w:w="1814" w:type="dxa"/>
            <w:vAlign w:val="center"/>
          </w:tcPr>
          <w:p w14:paraId="016B7820" w14:textId="77777777" w:rsidR="00454A29" w:rsidRDefault="00454A29">
            <w:pPr>
              <w:pStyle w:val="ConsPlusNormal"/>
            </w:pPr>
          </w:p>
        </w:tc>
      </w:tr>
      <w:tr w:rsidR="00454A29" w14:paraId="27315307" w14:textId="77777777">
        <w:tc>
          <w:tcPr>
            <w:tcW w:w="567" w:type="dxa"/>
            <w:vMerge/>
          </w:tcPr>
          <w:p w14:paraId="03F4AC81" w14:textId="77777777" w:rsidR="00454A29" w:rsidRDefault="00454A29"/>
        </w:tc>
        <w:tc>
          <w:tcPr>
            <w:tcW w:w="3345" w:type="dxa"/>
            <w:vMerge/>
          </w:tcPr>
          <w:p w14:paraId="5C8A8C18" w14:textId="77777777" w:rsidR="00454A29" w:rsidRDefault="00454A29"/>
        </w:tc>
        <w:tc>
          <w:tcPr>
            <w:tcW w:w="1701" w:type="dxa"/>
            <w:vAlign w:val="center"/>
          </w:tcPr>
          <w:p w14:paraId="4A2D51E4" w14:textId="77777777" w:rsidR="00454A29" w:rsidRDefault="00454A29">
            <w:pPr>
              <w:pStyle w:val="ConsPlusNormal"/>
              <w:jc w:val="center"/>
            </w:pPr>
            <w:r>
              <w:t>2021</w:t>
            </w:r>
          </w:p>
        </w:tc>
        <w:tc>
          <w:tcPr>
            <w:tcW w:w="1417" w:type="dxa"/>
            <w:vMerge/>
          </w:tcPr>
          <w:p w14:paraId="47AB7FD4" w14:textId="77777777" w:rsidR="00454A29" w:rsidRDefault="00454A29"/>
        </w:tc>
        <w:tc>
          <w:tcPr>
            <w:tcW w:w="2204" w:type="dxa"/>
            <w:vMerge/>
          </w:tcPr>
          <w:p w14:paraId="1953C65A" w14:textId="77777777" w:rsidR="00454A29" w:rsidRDefault="00454A29"/>
        </w:tc>
        <w:tc>
          <w:tcPr>
            <w:tcW w:w="1417" w:type="dxa"/>
            <w:vMerge/>
          </w:tcPr>
          <w:p w14:paraId="3DED3879" w14:textId="77777777" w:rsidR="00454A29" w:rsidRDefault="00454A29"/>
        </w:tc>
        <w:tc>
          <w:tcPr>
            <w:tcW w:w="2324" w:type="dxa"/>
            <w:vMerge/>
          </w:tcPr>
          <w:p w14:paraId="509C4243" w14:textId="77777777" w:rsidR="00454A29" w:rsidRDefault="00454A29"/>
        </w:tc>
        <w:tc>
          <w:tcPr>
            <w:tcW w:w="1701" w:type="dxa"/>
            <w:vAlign w:val="center"/>
          </w:tcPr>
          <w:p w14:paraId="15A6E90C" w14:textId="77777777" w:rsidR="00454A29" w:rsidRDefault="00454A29">
            <w:pPr>
              <w:pStyle w:val="ConsPlusNormal"/>
              <w:jc w:val="center"/>
            </w:pPr>
            <w:r>
              <w:t>-</w:t>
            </w:r>
          </w:p>
        </w:tc>
        <w:tc>
          <w:tcPr>
            <w:tcW w:w="1814" w:type="dxa"/>
            <w:vAlign w:val="center"/>
          </w:tcPr>
          <w:p w14:paraId="3F4729A2" w14:textId="77777777" w:rsidR="00454A29" w:rsidRDefault="00454A29">
            <w:pPr>
              <w:pStyle w:val="ConsPlusNormal"/>
            </w:pPr>
          </w:p>
        </w:tc>
        <w:tc>
          <w:tcPr>
            <w:tcW w:w="1701" w:type="dxa"/>
            <w:vAlign w:val="center"/>
          </w:tcPr>
          <w:p w14:paraId="2814EF24" w14:textId="77777777" w:rsidR="00454A29" w:rsidRDefault="00454A29">
            <w:pPr>
              <w:pStyle w:val="ConsPlusNormal"/>
            </w:pPr>
          </w:p>
        </w:tc>
        <w:tc>
          <w:tcPr>
            <w:tcW w:w="1701" w:type="dxa"/>
            <w:vAlign w:val="center"/>
          </w:tcPr>
          <w:p w14:paraId="4626EFE6" w14:textId="77777777" w:rsidR="00454A29" w:rsidRDefault="00454A29">
            <w:pPr>
              <w:pStyle w:val="ConsPlusNormal"/>
            </w:pPr>
          </w:p>
        </w:tc>
        <w:tc>
          <w:tcPr>
            <w:tcW w:w="1814" w:type="dxa"/>
            <w:vAlign w:val="center"/>
          </w:tcPr>
          <w:p w14:paraId="5ECE30C1" w14:textId="77777777" w:rsidR="00454A29" w:rsidRDefault="00454A29">
            <w:pPr>
              <w:pStyle w:val="ConsPlusNormal"/>
            </w:pPr>
          </w:p>
        </w:tc>
      </w:tr>
      <w:tr w:rsidR="00454A29" w14:paraId="4EB0904A" w14:textId="77777777">
        <w:tc>
          <w:tcPr>
            <w:tcW w:w="567" w:type="dxa"/>
            <w:vMerge/>
          </w:tcPr>
          <w:p w14:paraId="2A4AF123" w14:textId="77777777" w:rsidR="00454A29" w:rsidRDefault="00454A29"/>
        </w:tc>
        <w:tc>
          <w:tcPr>
            <w:tcW w:w="3345" w:type="dxa"/>
            <w:vMerge/>
          </w:tcPr>
          <w:p w14:paraId="18118B08" w14:textId="77777777" w:rsidR="00454A29" w:rsidRDefault="00454A29"/>
        </w:tc>
        <w:tc>
          <w:tcPr>
            <w:tcW w:w="1701" w:type="dxa"/>
            <w:vAlign w:val="center"/>
          </w:tcPr>
          <w:p w14:paraId="740F7809" w14:textId="77777777" w:rsidR="00454A29" w:rsidRDefault="00454A29">
            <w:pPr>
              <w:pStyle w:val="ConsPlusNormal"/>
              <w:jc w:val="center"/>
            </w:pPr>
            <w:r>
              <w:t>2022</w:t>
            </w:r>
          </w:p>
        </w:tc>
        <w:tc>
          <w:tcPr>
            <w:tcW w:w="1417" w:type="dxa"/>
            <w:vMerge/>
          </w:tcPr>
          <w:p w14:paraId="107CF213" w14:textId="77777777" w:rsidR="00454A29" w:rsidRDefault="00454A29"/>
        </w:tc>
        <w:tc>
          <w:tcPr>
            <w:tcW w:w="2204" w:type="dxa"/>
            <w:vMerge/>
          </w:tcPr>
          <w:p w14:paraId="245F7FAC" w14:textId="77777777" w:rsidR="00454A29" w:rsidRDefault="00454A29"/>
        </w:tc>
        <w:tc>
          <w:tcPr>
            <w:tcW w:w="1417" w:type="dxa"/>
            <w:vMerge/>
          </w:tcPr>
          <w:p w14:paraId="7EB1A8DF" w14:textId="77777777" w:rsidR="00454A29" w:rsidRDefault="00454A29"/>
        </w:tc>
        <w:tc>
          <w:tcPr>
            <w:tcW w:w="2324" w:type="dxa"/>
            <w:vMerge/>
          </w:tcPr>
          <w:p w14:paraId="00A8667B" w14:textId="77777777" w:rsidR="00454A29" w:rsidRDefault="00454A29"/>
        </w:tc>
        <w:tc>
          <w:tcPr>
            <w:tcW w:w="1701" w:type="dxa"/>
            <w:vAlign w:val="center"/>
          </w:tcPr>
          <w:p w14:paraId="57702CB6" w14:textId="77777777" w:rsidR="00454A29" w:rsidRDefault="00454A29">
            <w:pPr>
              <w:pStyle w:val="ConsPlusNormal"/>
            </w:pPr>
          </w:p>
        </w:tc>
        <w:tc>
          <w:tcPr>
            <w:tcW w:w="1814" w:type="dxa"/>
            <w:vAlign w:val="center"/>
          </w:tcPr>
          <w:p w14:paraId="05702C85" w14:textId="77777777" w:rsidR="00454A29" w:rsidRDefault="00454A29">
            <w:pPr>
              <w:pStyle w:val="ConsPlusNormal"/>
            </w:pPr>
          </w:p>
        </w:tc>
        <w:tc>
          <w:tcPr>
            <w:tcW w:w="1701" w:type="dxa"/>
            <w:vAlign w:val="center"/>
          </w:tcPr>
          <w:p w14:paraId="3B68A68F" w14:textId="77777777" w:rsidR="00454A29" w:rsidRDefault="00454A29">
            <w:pPr>
              <w:pStyle w:val="ConsPlusNormal"/>
            </w:pPr>
          </w:p>
        </w:tc>
        <w:tc>
          <w:tcPr>
            <w:tcW w:w="1701" w:type="dxa"/>
            <w:vAlign w:val="center"/>
          </w:tcPr>
          <w:p w14:paraId="38CA974A" w14:textId="77777777" w:rsidR="00454A29" w:rsidRDefault="00454A29">
            <w:pPr>
              <w:pStyle w:val="ConsPlusNormal"/>
            </w:pPr>
          </w:p>
        </w:tc>
        <w:tc>
          <w:tcPr>
            <w:tcW w:w="1814" w:type="dxa"/>
            <w:vAlign w:val="center"/>
          </w:tcPr>
          <w:p w14:paraId="4F1AB578" w14:textId="77777777" w:rsidR="00454A29" w:rsidRDefault="00454A29">
            <w:pPr>
              <w:pStyle w:val="ConsPlusNormal"/>
            </w:pPr>
          </w:p>
        </w:tc>
      </w:tr>
      <w:tr w:rsidR="00454A29" w14:paraId="427FE534" w14:textId="77777777">
        <w:tc>
          <w:tcPr>
            <w:tcW w:w="567" w:type="dxa"/>
            <w:vMerge/>
          </w:tcPr>
          <w:p w14:paraId="669C3C99" w14:textId="77777777" w:rsidR="00454A29" w:rsidRDefault="00454A29"/>
        </w:tc>
        <w:tc>
          <w:tcPr>
            <w:tcW w:w="3345" w:type="dxa"/>
            <w:vMerge/>
          </w:tcPr>
          <w:p w14:paraId="12CDB1FF" w14:textId="77777777" w:rsidR="00454A29" w:rsidRDefault="00454A29"/>
        </w:tc>
        <w:tc>
          <w:tcPr>
            <w:tcW w:w="1701" w:type="dxa"/>
            <w:vAlign w:val="center"/>
          </w:tcPr>
          <w:p w14:paraId="78323323" w14:textId="77777777" w:rsidR="00454A29" w:rsidRDefault="00454A29">
            <w:pPr>
              <w:pStyle w:val="ConsPlusNormal"/>
              <w:jc w:val="center"/>
            </w:pPr>
            <w:r>
              <w:t>2023</w:t>
            </w:r>
          </w:p>
        </w:tc>
        <w:tc>
          <w:tcPr>
            <w:tcW w:w="1417" w:type="dxa"/>
            <w:vMerge/>
          </w:tcPr>
          <w:p w14:paraId="38E0CC10" w14:textId="77777777" w:rsidR="00454A29" w:rsidRDefault="00454A29"/>
        </w:tc>
        <w:tc>
          <w:tcPr>
            <w:tcW w:w="2204" w:type="dxa"/>
            <w:vMerge/>
          </w:tcPr>
          <w:p w14:paraId="23014F84" w14:textId="77777777" w:rsidR="00454A29" w:rsidRDefault="00454A29"/>
        </w:tc>
        <w:tc>
          <w:tcPr>
            <w:tcW w:w="1417" w:type="dxa"/>
            <w:vMerge/>
          </w:tcPr>
          <w:p w14:paraId="04543C4B" w14:textId="77777777" w:rsidR="00454A29" w:rsidRDefault="00454A29"/>
        </w:tc>
        <w:tc>
          <w:tcPr>
            <w:tcW w:w="2324" w:type="dxa"/>
            <w:vMerge/>
          </w:tcPr>
          <w:p w14:paraId="2E99CBB5" w14:textId="77777777" w:rsidR="00454A29" w:rsidRDefault="00454A29"/>
        </w:tc>
        <w:tc>
          <w:tcPr>
            <w:tcW w:w="1701" w:type="dxa"/>
            <w:vAlign w:val="center"/>
          </w:tcPr>
          <w:p w14:paraId="5D28BD03" w14:textId="77777777" w:rsidR="00454A29" w:rsidRDefault="00454A29">
            <w:pPr>
              <w:pStyle w:val="ConsPlusNormal"/>
            </w:pPr>
          </w:p>
        </w:tc>
        <w:tc>
          <w:tcPr>
            <w:tcW w:w="1814" w:type="dxa"/>
            <w:vAlign w:val="center"/>
          </w:tcPr>
          <w:p w14:paraId="7EE80942" w14:textId="77777777" w:rsidR="00454A29" w:rsidRDefault="00454A29">
            <w:pPr>
              <w:pStyle w:val="ConsPlusNormal"/>
            </w:pPr>
          </w:p>
        </w:tc>
        <w:tc>
          <w:tcPr>
            <w:tcW w:w="1701" w:type="dxa"/>
            <w:vAlign w:val="center"/>
          </w:tcPr>
          <w:p w14:paraId="26B81BC5" w14:textId="77777777" w:rsidR="00454A29" w:rsidRDefault="00454A29">
            <w:pPr>
              <w:pStyle w:val="ConsPlusNormal"/>
            </w:pPr>
          </w:p>
        </w:tc>
        <w:tc>
          <w:tcPr>
            <w:tcW w:w="1701" w:type="dxa"/>
            <w:vAlign w:val="center"/>
          </w:tcPr>
          <w:p w14:paraId="000E1289" w14:textId="77777777" w:rsidR="00454A29" w:rsidRDefault="00454A29">
            <w:pPr>
              <w:pStyle w:val="ConsPlusNormal"/>
            </w:pPr>
          </w:p>
        </w:tc>
        <w:tc>
          <w:tcPr>
            <w:tcW w:w="1814" w:type="dxa"/>
            <w:vAlign w:val="center"/>
          </w:tcPr>
          <w:p w14:paraId="36E9CD90" w14:textId="77777777" w:rsidR="00454A29" w:rsidRDefault="00454A29">
            <w:pPr>
              <w:pStyle w:val="ConsPlusNormal"/>
            </w:pPr>
          </w:p>
        </w:tc>
      </w:tr>
      <w:tr w:rsidR="00454A29" w14:paraId="693E69B5" w14:textId="77777777">
        <w:tc>
          <w:tcPr>
            <w:tcW w:w="567" w:type="dxa"/>
            <w:vMerge/>
          </w:tcPr>
          <w:p w14:paraId="3F88E5D7" w14:textId="77777777" w:rsidR="00454A29" w:rsidRDefault="00454A29"/>
        </w:tc>
        <w:tc>
          <w:tcPr>
            <w:tcW w:w="3345" w:type="dxa"/>
            <w:vMerge/>
          </w:tcPr>
          <w:p w14:paraId="01E63CCE" w14:textId="77777777" w:rsidR="00454A29" w:rsidRDefault="00454A29"/>
        </w:tc>
        <w:tc>
          <w:tcPr>
            <w:tcW w:w="1701" w:type="dxa"/>
            <w:vAlign w:val="center"/>
          </w:tcPr>
          <w:p w14:paraId="78B75A30" w14:textId="77777777" w:rsidR="00454A29" w:rsidRDefault="00454A29">
            <w:pPr>
              <w:pStyle w:val="ConsPlusNormal"/>
              <w:jc w:val="center"/>
            </w:pPr>
            <w:r>
              <w:t>2024</w:t>
            </w:r>
          </w:p>
        </w:tc>
        <w:tc>
          <w:tcPr>
            <w:tcW w:w="1417" w:type="dxa"/>
            <w:vMerge/>
          </w:tcPr>
          <w:p w14:paraId="2D0BDBDA" w14:textId="77777777" w:rsidR="00454A29" w:rsidRDefault="00454A29"/>
        </w:tc>
        <w:tc>
          <w:tcPr>
            <w:tcW w:w="2204" w:type="dxa"/>
            <w:vMerge/>
          </w:tcPr>
          <w:p w14:paraId="3AFE00B4" w14:textId="77777777" w:rsidR="00454A29" w:rsidRDefault="00454A29"/>
        </w:tc>
        <w:tc>
          <w:tcPr>
            <w:tcW w:w="1417" w:type="dxa"/>
            <w:vMerge/>
          </w:tcPr>
          <w:p w14:paraId="3D6DD04F" w14:textId="77777777" w:rsidR="00454A29" w:rsidRDefault="00454A29"/>
        </w:tc>
        <w:tc>
          <w:tcPr>
            <w:tcW w:w="2324" w:type="dxa"/>
            <w:vMerge/>
          </w:tcPr>
          <w:p w14:paraId="38DD3526" w14:textId="77777777" w:rsidR="00454A29" w:rsidRDefault="00454A29"/>
        </w:tc>
        <w:tc>
          <w:tcPr>
            <w:tcW w:w="1701" w:type="dxa"/>
            <w:vAlign w:val="center"/>
          </w:tcPr>
          <w:p w14:paraId="194CD377" w14:textId="77777777" w:rsidR="00454A29" w:rsidRDefault="00454A29">
            <w:pPr>
              <w:pStyle w:val="ConsPlusNormal"/>
            </w:pPr>
          </w:p>
        </w:tc>
        <w:tc>
          <w:tcPr>
            <w:tcW w:w="1814" w:type="dxa"/>
            <w:vAlign w:val="center"/>
          </w:tcPr>
          <w:p w14:paraId="33593BD8" w14:textId="77777777" w:rsidR="00454A29" w:rsidRDefault="00454A29">
            <w:pPr>
              <w:pStyle w:val="ConsPlusNormal"/>
            </w:pPr>
          </w:p>
        </w:tc>
        <w:tc>
          <w:tcPr>
            <w:tcW w:w="1701" w:type="dxa"/>
            <w:vAlign w:val="center"/>
          </w:tcPr>
          <w:p w14:paraId="0159AF7B" w14:textId="77777777" w:rsidR="00454A29" w:rsidRDefault="00454A29">
            <w:pPr>
              <w:pStyle w:val="ConsPlusNormal"/>
            </w:pPr>
          </w:p>
        </w:tc>
        <w:tc>
          <w:tcPr>
            <w:tcW w:w="1701" w:type="dxa"/>
            <w:vAlign w:val="center"/>
          </w:tcPr>
          <w:p w14:paraId="68ADA546" w14:textId="77777777" w:rsidR="00454A29" w:rsidRDefault="00454A29">
            <w:pPr>
              <w:pStyle w:val="ConsPlusNormal"/>
            </w:pPr>
          </w:p>
        </w:tc>
        <w:tc>
          <w:tcPr>
            <w:tcW w:w="1814" w:type="dxa"/>
            <w:vAlign w:val="center"/>
          </w:tcPr>
          <w:p w14:paraId="68AA52FC" w14:textId="77777777" w:rsidR="00454A29" w:rsidRDefault="00454A29">
            <w:pPr>
              <w:pStyle w:val="ConsPlusNormal"/>
            </w:pPr>
          </w:p>
        </w:tc>
      </w:tr>
      <w:tr w:rsidR="00454A29" w14:paraId="7F89C171" w14:textId="77777777">
        <w:tc>
          <w:tcPr>
            <w:tcW w:w="567" w:type="dxa"/>
            <w:vMerge/>
          </w:tcPr>
          <w:p w14:paraId="1A6A2EA1" w14:textId="77777777" w:rsidR="00454A29" w:rsidRDefault="00454A29"/>
        </w:tc>
        <w:tc>
          <w:tcPr>
            <w:tcW w:w="3345" w:type="dxa"/>
            <w:vMerge/>
          </w:tcPr>
          <w:p w14:paraId="768BA336" w14:textId="77777777" w:rsidR="00454A29" w:rsidRDefault="00454A29"/>
        </w:tc>
        <w:tc>
          <w:tcPr>
            <w:tcW w:w="1701" w:type="dxa"/>
            <w:vAlign w:val="center"/>
          </w:tcPr>
          <w:p w14:paraId="66014ED1" w14:textId="77777777" w:rsidR="00454A29" w:rsidRDefault="00454A29">
            <w:pPr>
              <w:pStyle w:val="ConsPlusNormal"/>
              <w:jc w:val="center"/>
            </w:pPr>
            <w:r>
              <w:t>2025</w:t>
            </w:r>
          </w:p>
        </w:tc>
        <w:tc>
          <w:tcPr>
            <w:tcW w:w="1417" w:type="dxa"/>
            <w:vMerge/>
          </w:tcPr>
          <w:p w14:paraId="5B39A009" w14:textId="77777777" w:rsidR="00454A29" w:rsidRDefault="00454A29"/>
        </w:tc>
        <w:tc>
          <w:tcPr>
            <w:tcW w:w="2204" w:type="dxa"/>
            <w:vMerge/>
          </w:tcPr>
          <w:p w14:paraId="4CBD59A0" w14:textId="77777777" w:rsidR="00454A29" w:rsidRDefault="00454A29"/>
        </w:tc>
        <w:tc>
          <w:tcPr>
            <w:tcW w:w="1417" w:type="dxa"/>
            <w:vMerge/>
          </w:tcPr>
          <w:p w14:paraId="17243F98" w14:textId="77777777" w:rsidR="00454A29" w:rsidRDefault="00454A29"/>
        </w:tc>
        <w:tc>
          <w:tcPr>
            <w:tcW w:w="2324" w:type="dxa"/>
            <w:vMerge/>
          </w:tcPr>
          <w:p w14:paraId="64A87658" w14:textId="77777777" w:rsidR="00454A29" w:rsidRDefault="00454A29"/>
        </w:tc>
        <w:tc>
          <w:tcPr>
            <w:tcW w:w="1701" w:type="dxa"/>
            <w:vAlign w:val="center"/>
          </w:tcPr>
          <w:p w14:paraId="2DD0FCCA" w14:textId="77777777" w:rsidR="00454A29" w:rsidRDefault="00454A29">
            <w:pPr>
              <w:pStyle w:val="ConsPlusNormal"/>
              <w:jc w:val="center"/>
            </w:pPr>
            <w:r>
              <w:t>66 208,41</w:t>
            </w:r>
          </w:p>
        </w:tc>
        <w:tc>
          <w:tcPr>
            <w:tcW w:w="1814" w:type="dxa"/>
            <w:vAlign w:val="center"/>
          </w:tcPr>
          <w:p w14:paraId="457E9DA9" w14:textId="77777777" w:rsidR="00454A29" w:rsidRDefault="00454A29">
            <w:pPr>
              <w:pStyle w:val="ConsPlusNormal"/>
              <w:jc w:val="center"/>
            </w:pPr>
            <w:r>
              <w:t>837,54</w:t>
            </w:r>
          </w:p>
        </w:tc>
        <w:tc>
          <w:tcPr>
            <w:tcW w:w="1701" w:type="dxa"/>
            <w:vAlign w:val="center"/>
          </w:tcPr>
          <w:p w14:paraId="257332CA" w14:textId="77777777" w:rsidR="00454A29" w:rsidRDefault="00454A29">
            <w:pPr>
              <w:pStyle w:val="ConsPlusNormal"/>
              <w:jc w:val="center"/>
            </w:pPr>
            <w:r>
              <w:t>82 916,11</w:t>
            </w:r>
          </w:p>
        </w:tc>
        <w:tc>
          <w:tcPr>
            <w:tcW w:w="1701" w:type="dxa"/>
            <w:vAlign w:val="center"/>
          </w:tcPr>
          <w:p w14:paraId="4F70336B" w14:textId="77777777" w:rsidR="00454A29" w:rsidRDefault="00454A29">
            <w:pPr>
              <w:pStyle w:val="ConsPlusNormal"/>
            </w:pPr>
          </w:p>
        </w:tc>
        <w:tc>
          <w:tcPr>
            <w:tcW w:w="1814" w:type="dxa"/>
            <w:vAlign w:val="center"/>
          </w:tcPr>
          <w:p w14:paraId="1E716704" w14:textId="77777777" w:rsidR="00454A29" w:rsidRDefault="00454A29">
            <w:pPr>
              <w:pStyle w:val="ConsPlusNormal"/>
            </w:pPr>
          </w:p>
        </w:tc>
      </w:tr>
      <w:tr w:rsidR="00454A29" w14:paraId="78301EF2" w14:textId="77777777">
        <w:tc>
          <w:tcPr>
            <w:tcW w:w="567" w:type="dxa"/>
            <w:vMerge/>
          </w:tcPr>
          <w:p w14:paraId="62CF06B5" w14:textId="77777777" w:rsidR="00454A29" w:rsidRDefault="00454A29"/>
        </w:tc>
        <w:tc>
          <w:tcPr>
            <w:tcW w:w="3345" w:type="dxa"/>
            <w:vMerge/>
          </w:tcPr>
          <w:p w14:paraId="3B4134EE" w14:textId="77777777" w:rsidR="00454A29" w:rsidRDefault="00454A29"/>
        </w:tc>
        <w:tc>
          <w:tcPr>
            <w:tcW w:w="1701" w:type="dxa"/>
            <w:vAlign w:val="center"/>
          </w:tcPr>
          <w:p w14:paraId="4F986CDF" w14:textId="77777777" w:rsidR="00454A29" w:rsidRDefault="00454A29">
            <w:pPr>
              <w:pStyle w:val="ConsPlusNormal"/>
              <w:jc w:val="center"/>
            </w:pPr>
            <w:r>
              <w:t>2026</w:t>
            </w:r>
          </w:p>
        </w:tc>
        <w:tc>
          <w:tcPr>
            <w:tcW w:w="1417" w:type="dxa"/>
            <w:vMerge/>
          </w:tcPr>
          <w:p w14:paraId="25957BC2" w14:textId="77777777" w:rsidR="00454A29" w:rsidRDefault="00454A29"/>
        </w:tc>
        <w:tc>
          <w:tcPr>
            <w:tcW w:w="2204" w:type="dxa"/>
            <w:vMerge/>
          </w:tcPr>
          <w:p w14:paraId="72B985A9" w14:textId="77777777" w:rsidR="00454A29" w:rsidRDefault="00454A29"/>
        </w:tc>
        <w:tc>
          <w:tcPr>
            <w:tcW w:w="1417" w:type="dxa"/>
            <w:vMerge/>
          </w:tcPr>
          <w:p w14:paraId="52498979" w14:textId="77777777" w:rsidR="00454A29" w:rsidRDefault="00454A29"/>
        </w:tc>
        <w:tc>
          <w:tcPr>
            <w:tcW w:w="2324" w:type="dxa"/>
            <w:vMerge/>
          </w:tcPr>
          <w:p w14:paraId="6A2BC224" w14:textId="77777777" w:rsidR="00454A29" w:rsidRDefault="00454A29"/>
        </w:tc>
        <w:tc>
          <w:tcPr>
            <w:tcW w:w="1701" w:type="dxa"/>
            <w:vAlign w:val="center"/>
          </w:tcPr>
          <w:p w14:paraId="2BC3E174" w14:textId="77777777" w:rsidR="00454A29" w:rsidRDefault="00454A29">
            <w:pPr>
              <w:pStyle w:val="ConsPlusNormal"/>
            </w:pPr>
          </w:p>
        </w:tc>
        <w:tc>
          <w:tcPr>
            <w:tcW w:w="1814" w:type="dxa"/>
            <w:vAlign w:val="center"/>
          </w:tcPr>
          <w:p w14:paraId="14ACFB15" w14:textId="77777777" w:rsidR="00454A29" w:rsidRDefault="00454A29">
            <w:pPr>
              <w:pStyle w:val="ConsPlusNormal"/>
            </w:pPr>
          </w:p>
        </w:tc>
        <w:tc>
          <w:tcPr>
            <w:tcW w:w="1701" w:type="dxa"/>
            <w:vAlign w:val="center"/>
          </w:tcPr>
          <w:p w14:paraId="4B29033C" w14:textId="77777777" w:rsidR="00454A29" w:rsidRDefault="00454A29">
            <w:pPr>
              <w:pStyle w:val="ConsPlusNormal"/>
            </w:pPr>
          </w:p>
        </w:tc>
        <w:tc>
          <w:tcPr>
            <w:tcW w:w="1701" w:type="dxa"/>
            <w:vAlign w:val="center"/>
          </w:tcPr>
          <w:p w14:paraId="7F6DEDE2" w14:textId="77777777" w:rsidR="00454A29" w:rsidRDefault="00454A29">
            <w:pPr>
              <w:pStyle w:val="ConsPlusNormal"/>
            </w:pPr>
          </w:p>
        </w:tc>
        <w:tc>
          <w:tcPr>
            <w:tcW w:w="1814" w:type="dxa"/>
            <w:vAlign w:val="center"/>
          </w:tcPr>
          <w:p w14:paraId="374BF62E" w14:textId="77777777" w:rsidR="00454A29" w:rsidRDefault="00454A29">
            <w:pPr>
              <w:pStyle w:val="ConsPlusNormal"/>
            </w:pPr>
          </w:p>
        </w:tc>
      </w:tr>
      <w:tr w:rsidR="00454A29" w14:paraId="76EAFBB8" w14:textId="77777777">
        <w:tc>
          <w:tcPr>
            <w:tcW w:w="567" w:type="dxa"/>
            <w:vMerge w:val="restart"/>
            <w:vAlign w:val="center"/>
          </w:tcPr>
          <w:p w14:paraId="69201AC1" w14:textId="77777777" w:rsidR="00454A29" w:rsidRDefault="00454A29">
            <w:pPr>
              <w:pStyle w:val="ConsPlusNormal"/>
              <w:jc w:val="center"/>
            </w:pPr>
            <w:r>
              <w:t>137</w:t>
            </w:r>
          </w:p>
        </w:tc>
        <w:tc>
          <w:tcPr>
            <w:tcW w:w="3345" w:type="dxa"/>
            <w:vMerge w:val="restart"/>
            <w:vAlign w:val="center"/>
          </w:tcPr>
          <w:p w14:paraId="0FAF4D3C" w14:textId="77777777" w:rsidR="00454A29" w:rsidRDefault="00454A29">
            <w:pPr>
              <w:pStyle w:val="ConsPlusNormal"/>
              <w:jc w:val="center"/>
            </w:pPr>
            <w:r>
              <w:t>Школа-интернат на 120/75 учащихся в с. Тополиное</w:t>
            </w:r>
          </w:p>
        </w:tc>
        <w:tc>
          <w:tcPr>
            <w:tcW w:w="1701" w:type="dxa"/>
            <w:vAlign w:val="center"/>
          </w:tcPr>
          <w:p w14:paraId="5332B895" w14:textId="77777777" w:rsidR="00454A29" w:rsidRDefault="00454A29">
            <w:pPr>
              <w:pStyle w:val="ConsPlusNormal"/>
              <w:jc w:val="center"/>
            </w:pPr>
            <w:r>
              <w:t>2020 - 2026 годы - всего</w:t>
            </w:r>
          </w:p>
        </w:tc>
        <w:tc>
          <w:tcPr>
            <w:tcW w:w="1417" w:type="dxa"/>
            <w:vMerge w:val="restart"/>
            <w:vAlign w:val="center"/>
          </w:tcPr>
          <w:p w14:paraId="5BE01866" w14:textId="77777777" w:rsidR="00454A29" w:rsidRDefault="00454A29">
            <w:pPr>
              <w:pStyle w:val="ConsPlusNormal"/>
              <w:jc w:val="center"/>
            </w:pPr>
            <w:r>
              <w:t>682 572,47</w:t>
            </w:r>
          </w:p>
        </w:tc>
        <w:tc>
          <w:tcPr>
            <w:tcW w:w="2204" w:type="dxa"/>
            <w:vMerge w:val="restart"/>
            <w:vAlign w:val="center"/>
          </w:tcPr>
          <w:p w14:paraId="3F14ECF4" w14:textId="77777777" w:rsidR="00454A29" w:rsidRDefault="00454A29">
            <w:pPr>
              <w:pStyle w:val="ConsPlusNormal"/>
            </w:pPr>
          </w:p>
        </w:tc>
        <w:tc>
          <w:tcPr>
            <w:tcW w:w="1417" w:type="dxa"/>
            <w:vMerge w:val="restart"/>
            <w:vAlign w:val="center"/>
          </w:tcPr>
          <w:p w14:paraId="20D315B3" w14:textId="77777777" w:rsidR="00454A29" w:rsidRDefault="00454A29">
            <w:pPr>
              <w:pStyle w:val="ConsPlusNormal"/>
              <w:jc w:val="center"/>
            </w:pPr>
            <w:r>
              <w:t>120</w:t>
            </w:r>
          </w:p>
        </w:tc>
        <w:tc>
          <w:tcPr>
            <w:tcW w:w="2324" w:type="dxa"/>
            <w:vMerge w:val="restart"/>
            <w:vAlign w:val="center"/>
          </w:tcPr>
          <w:p w14:paraId="5CF42B5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E2EEAF1" w14:textId="77777777" w:rsidR="00454A29" w:rsidRDefault="00454A29">
            <w:pPr>
              <w:pStyle w:val="ConsPlusNormal"/>
              <w:jc w:val="center"/>
            </w:pPr>
            <w:r>
              <w:t>682 572,47</w:t>
            </w:r>
          </w:p>
        </w:tc>
        <w:tc>
          <w:tcPr>
            <w:tcW w:w="1814" w:type="dxa"/>
            <w:vAlign w:val="center"/>
          </w:tcPr>
          <w:p w14:paraId="08F7E696" w14:textId="77777777" w:rsidR="00454A29" w:rsidRDefault="00454A29">
            <w:pPr>
              <w:pStyle w:val="ConsPlusNormal"/>
              <w:jc w:val="center"/>
            </w:pPr>
            <w:r>
              <w:t>8 634,54</w:t>
            </w:r>
          </w:p>
        </w:tc>
        <w:tc>
          <w:tcPr>
            <w:tcW w:w="1701" w:type="dxa"/>
            <w:vAlign w:val="center"/>
          </w:tcPr>
          <w:p w14:paraId="2955C376" w14:textId="77777777" w:rsidR="00454A29" w:rsidRDefault="00454A29">
            <w:pPr>
              <w:pStyle w:val="ConsPlusNormal"/>
              <w:jc w:val="center"/>
            </w:pPr>
            <w:r>
              <w:t>854 819,63</w:t>
            </w:r>
          </w:p>
        </w:tc>
        <w:tc>
          <w:tcPr>
            <w:tcW w:w="1701" w:type="dxa"/>
            <w:vAlign w:val="center"/>
          </w:tcPr>
          <w:p w14:paraId="5A385DD5" w14:textId="77777777" w:rsidR="00454A29" w:rsidRDefault="00454A29">
            <w:pPr>
              <w:pStyle w:val="ConsPlusNormal"/>
              <w:jc w:val="center"/>
            </w:pPr>
            <w:r>
              <w:t>-</w:t>
            </w:r>
          </w:p>
        </w:tc>
        <w:tc>
          <w:tcPr>
            <w:tcW w:w="1814" w:type="dxa"/>
            <w:vAlign w:val="center"/>
          </w:tcPr>
          <w:p w14:paraId="3F7497A9" w14:textId="77777777" w:rsidR="00454A29" w:rsidRDefault="00454A29">
            <w:pPr>
              <w:pStyle w:val="ConsPlusNormal"/>
              <w:jc w:val="center"/>
            </w:pPr>
            <w:r>
              <w:t>-</w:t>
            </w:r>
          </w:p>
        </w:tc>
      </w:tr>
      <w:tr w:rsidR="00454A29" w14:paraId="7B238B81" w14:textId="77777777">
        <w:tc>
          <w:tcPr>
            <w:tcW w:w="567" w:type="dxa"/>
            <w:vMerge/>
          </w:tcPr>
          <w:p w14:paraId="2FC7AD11" w14:textId="77777777" w:rsidR="00454A29" w:rsidRDefault="00454A29"/>
        </w:tc>
        <w:tc>
          <w:tcPr>
            <w:tcW w:w="3345" w:type="dxa"/>
            <w:vMerge/>
          </w:tcPr>
          <w:p w14:paraId="1A473C52" w14:textId="77777777" w:rsidR="00454A29" w:rsidRDefault="00454A29"/>
        </w:tc>
        <w:tc>
          <w:tcPr>
            <w:tcW w:w="1701" w:type="dxa"/>
            <w:vAlign w:val="center"/>
          </w:tcPr>
          <w:p w14:paraId="39E1D2C8" w14:textId="77777777" w:rsidR="00454A29" w:rsidRDefault="00454A29">
            <w:pPr>
              <w:pStyle w:val="ConsPlusNormal"/>
              <w:jc w:val="center"/>
            </w:pPr>
            <w:r>
              <w:t>2020</w:t>
            </w:r>
          </w:p>
        </w:tc>
        <w:tc>
          <w:tcPr>
            <w:tcW w:w="1417" w:type="dxa"/>
            <w:vMerge/>
          </w:tcPr>
          <w:p w14:paraId="276016F4" w14:textId="77777777" w:rsidR="00454A29" w:rsidRDefault="00454A29"/>
        </w:tc>
        <w:tc>
          <w:tcPr>
            <w:tcW w:w="2204" w:type="dxa"/>
            <w:vMerge/>
          </w:tcPr>
          <w:p w14:paraId="2C5D4F61" w14:textId="77777777" w:rsidR="00454A29" w:rsidRDefault="00454A29"/>
        </w:tc>
        <w:tc>
          <w:tcPr>
            <w:tcW w:w="1417" w:type="dxa"/>
            <w:vMerge/>
          </w:tcPr>
          <w:p w14:paraId="12BB13AF" w14:textId="77777777" w:rsidR="00454A29" w:rsidRDefault="00454A29"/>
        </w:tc>
        <w:tc>
          <w:tcPr>
            <w:tcW w:w="2324" w:type="dxa"/>
            <w:vMerge/>
          </w:tcPr>
          <w:p w14:paraId="2DEED314" w14:textId="77777777" w:rsidR="00454A29" w:rsidRDefault="00454A29"/>
        </w:tc>
        <w:tc>
          <w:tcPr>
            <w:tcW w:w="1701" w:type="dxa"/>
            <w:vAlign w:val="center"/>
          </w:tcPr>
          <w:p w14:paraId="3E246A13" w14:textId="77777777" w:rsidR="00454A29" w:rsidRDefault="00454A29">
            <w:pPr>
              <w:pStyle w:val="ConsPlusNormal"/>
            </w:pPr>
          </w:p>
        </w:tc>
        <w:tc>
          <w:tcPr>
            <w:tcW w:w="1814" w:type="dxa"/>
            <w:vAlign w:val="center"/>
          </w:tcPr>
          <w:p w14:paraId="16064381" w14:textId="77777777" w:rsidR="00454A29" w:rsidRDefault="00454A29">
            <w:pPr>
              <w:pStyle w:val="ConsPlusNormal"/>
            </w:pPr>
          </w:p>
        </w:tc>
        <w:tc>
          <w:tcPr>
            <w:tcW w:w="1701" w:type="dxa"/>
            <w:vAlign w:val="center"/>
          </w:tcPr>
          <w:p w14:paraId="09587539" w14:textId="77777777" w:rsidR="00454A29" w:rsidRDefault="00454A29">
            <w:pPr>
              <w:pStyle w:val="ConsPlusNormal"/>
            </w:pPr>
          </w:p>
        </w:tc>
        <w:tc>
          <w:tcPr>
            <w:tcW w:w="1701" w:type="dxa"/>
            <w:vAlign w:val="center"/>
          </w:tcPr>
          <w:p w14:paraId="2195B884" w14:textId="77777777" w:rsidR="00454A29" w:rsidRDefault="00454A29">
            <w:pPr>
              <w:pStyle w:val="ConsPlusNormal"/>
            </w:pPr>
          </w:p>
        </w:tc>
        <w:tc>
          <w:tcPr>
            <w:tcW w:w="1814" w:type="dxa"/>
            <w:vAlign w:val="center"/>
          </w:tcPr>
          <w:p w14:paraId="07D46B43" w14:textId="77777777" w:rsidR="00454A29" w:rsidRDefault="00454A29">
            <w:pPr>
              <w:pStyle w:val="ConsPlusNormal"/>
            </w:pPr>
          </w:p>
        </w:tc>
      </w:tr>
      <w:tr w:rsidR="00454A29" w14:paraId="67C3551B" w14:textId="77777777">
        <w:tc>
          <w:tcPr>
            <w:tcW w:w="567" w:type="dxa"/>
            <w:vMerge/>
          </w:tcPr>
          <w:p w14:paraId="1DABCD79" w14:textId="77777777" w:rsidR="00454A29" w:rsidRDefault="00454A29"/>
        </w:tc>
        <w:tc>
          <w:tcPr>
            <w:tcW w:w="3345" w:type="dxa"/>
            <w:vMerge/>
          </w:tcPr>
          <w:p w14:paraId="62F66D4D" w14:textId="77777777" w:rsidR="00454A29" w:rsidRDefault="00454A29"/>
        </w:tc>
        <w:tc>
          <w:tcPr>
            <w:tcW w:w="1701" w:type="dxa"/>
            <w:vAlign w:val="center"/>
          </w:tcPr>
          <w:p w14:paraId="22CC14B7" w14:textId="77777777" w:rsidR="00454A29" w:rsidRDefault="00454A29">
            <w:pPr>
              <w:pStyle w:val="ConsPlusNormal"/>
              <w:jc w:val="center"/>
            </w:pPr>
            <w:r>
              <w:t>2021</w:t>
            </w:r>
          </w:p>
        </w:tc>
        <w:tc>
          <w:tcPr>
            <w:tcW w:w="1417" w:type="dxa"/>
            <w:vMerge/>
          </w:tcPr>
          <w:p w14:paraId="0A437FFC" w14:textId="77777777" w:rsidR="00454A29" w:rsidRDefault="00454A29"/>
        </w:tc>
        <w:tc>
          <w:tcPr>
            <w:tcW w:w="2204" w:type="dxa"/>
            <w:vMerge/>
          </w:tcPr>
          <w:p w14:paraId="5A918F4E" w14:textId="77777777" w:rsidR="00454A29" w:rsidRDefault="00454A29"/>
        </w:tc>
        <w:tc>
          <w:tcPr>
            <w:tcW w:w="1417" w:type="dxa"/>
            <w:vMerge/>
          </w:tcPr>
          <w:p w14:paraId="1D339C59" w14:textId="77777777" w:rsidR="00454A29" w:rsidRDefault="00454A29"/>
        </w:tc>
        <w:tc>
          <w:tcPr>
            <w:tcW w:w="2324" w:type="dxa"/>
            <w:vMerge/>
          </w:tcPr>
          <w:p w14:paraId="6001C338" w14:textId="77777777" w:rsidR="00454A29" w:rsidRDefault="00454A29"/>
        </w:tc>
        <w:tc>
          <w:tcPr>
            <w:tcW w:w="1701" w:type="dxa"/>
            <w:vAlign w:val="center"/>
          </w:tcPr>
          <w:p w14:paraId="3EAB20B9" w14:textId="77777777" w:rsidR="00454A29" w:rsidRDefault="00454A29">
            <w:pPr>
              <w:pStyle w:val="ConsPlusNormal"/>
            </w:pPr>
          </w:p>
        </w:tc>
        <w:tc>
          <w:tcPr>
            <w:tcW w:w="1814" w:type="dxa"/>
            <w:vAlign w:val="center"/>
          </w:tcPr>
          <w:p w14:paraId="461329D4" w14:textId="77777777" w:rsidR="00454A29" w:rsidRDefault="00454A29">
            <w:pPr>
              <w:pStyle w:val="ConsPlusNormal"/>
            </w:pPr>
          </w:p>
        </w:tc>
        <w:tc>
          <w:tcPr>
            <w:tcW w:w="1701" w:type="dxa"/>
            <w:vAlign w:val="center"/>
          </w:tcPr>
          <w:p w14:paraId="683894F0" w14:textId="77777777" w:rsidR="00454A29" w:rsidRDefault="00454A29">
            <w:pPr>
              <w:pStyle w:val="ConsPlusNormal"/>
            </w:pPr>
          </w:p>
        </w:tc>
        <w:tc>
          <w:tcPr>
            <w:tcW w:w="1701" w:type="dxa"/>
            <w:vAlign w:val="center"/>
          </w:tcPr>
          <w:p w14:paraId="5DB69CBE" w14:textId="77777777" w:rsidR="00454A29" w:rsidRDefault="00454A29">
            <w:pPr>
              <w:pStyle w:val="ConsPlusNormal"/>
            </w:pPr>
          </w:p>
        </w:tc>
        <w:tc>
          <w:tcPr>
            <w:tcW w:w="1814" w:type="dxa"/>
            <w:vAlign w:val="center"/>
          </w:tcPr>
          <w:p w14:paraId="41A811E5" w14:textId="77777777" w:rsidR="00454A29" w:rsidRDefault="00454A29">
            <w:pPr>
              <w:pStyle w:val="ConsPlusNormal"/>
            </w:pPr>
          </w:p>
        </w:tc>
      </w:tr>
      <w:tr w:rsidR="00454A29" w14:paraId="6C9B499E" w14:textId="77777777">
        <w:tc>
          <w:tcPr>
            <w:tcW w:w="567" w:type="dxa"/>
            <w:vMerge/>
          </w:tcPr>
          <w:p w14:paraId="4BA4E19F" w14:textId="77777777" w:rsidR="00454A29" w:rsidRDefault="00454A29"/>
        </w:tc>
        <w:tc>
          <w:tcPr>
            <w:tcW w:w="3345" w:type="dxa"/>
            <w:vMerge/>
          </w:tcPr>
          <w:p w14:paraId="0F70716C" w14:textId="77777777" w:rsidR="00454A29" w:rsidRDefault="00454A29"/>
        </w:tc>
        <w:tc>
          <w:tcPr>
            <w:tcW w:w="1701" w:type="dxa"/>
            <w:vAlign w:val="center"/>
          </w:tcPr>
          <w:p w14:paraId="67BBFBD9" w14:textId="77777777" w:rsidR="00454A29" w:rsidRDefault="00454A29">
            <w:pPr>
              <w:pStyle w:val="ConsPlusNormal"/>
              <w:jc w:val="center"/>
            </w:pPr>
            <w:r>
              <w:t>2022</w:t>
            </w:r>
          </w:p>
        </w:tc>
        <w:tc>
          <w:tcPr>
            <w:tcW w:w="1417" w:type="dxa"/>
            <w:vMerge/>
          </w:tcPr>
          <w:p w14:paraId="31B995D7" w14:textId="77777777" w:rsidR="00454A29" w:rsidRDefault="00454A29"/>
        </w:tc>
        <w:tc>
          <w:tcPr>
            <w:tcW w:w="2204" w:type="dxa"/>
            <w:vMerge/>
          </w:tcPr>
          <w:p w14:paraId="37B6230F" w14:textId="77777777" w:rsidR="00454A29" w:rsidRDefault="00454A29"/>
        </w:tc>
        <w:tc>
          <w:tcPr>
            <w:tcW w:w="1417" w:type="dxa"/>
            <w:vMerge/>
          </w:tcPr>
          <w:p w14:paraId="616BDB00" w14:textId="77777777" w:rsidR="00454A29" w:rsidRDefault="00454A29"/>
        </w:tc>
        <w:tc>
          <w:tcPr>
            <w:tcW w:w="2324" w:type="dxa"/>
            <w:vMerge/>
          </w:tcPr>
          <w:p w14:paraId="01BD8611" w14:textId="77777777" w:rsidR="00454A29" w:rsidRDefault="00454A29"/>
        </w:tc>
        <w:tc>
          <w:tcPr>
            <w:tcW w:w="1701" w:type="dxa"/>
            <w:vAlign w:val="center"/>
          </w:tcPr>
          <w:p w14:paraId="5ECCDF57" w14:textId="77777777" w:rsidR="00454A29" w:rsidRDefault="00454A29">
            <w:pPr>
              <w:pStyle w:val="ConsPlusNormal"/>
            </w:pPr>
          </w:p>
        </w:tc>
        <w:tc>
          <w:tcPr>
            <w:tcW w:w="1814" w:type="dxa"/>
            <w:vAlign w:val="center"/>
          </w:tcPr>
          <w:p w14:paraId="74A0EA0A" w14:textId="77777777" w:rsidR="00454A29" w:rsidRDefault="00454A29">
            <w:pPr>
              <w:pStyle w:val="ConsPlusNormal"/>
            </w:pPr>
          </w:p>
        </w:tc>
        <w:tc>
          <w:tcPr>
            <w:tcW w:w="1701" w:type="dxa"/>
            <w:vAlign w:val="center"/>
          </w:tcPr>
          <w:p w14:paraId="5C3F85E1" w14:textId="77777777" w:rsidR="00454A29" w:rsidRDefault="00454A29">
            <w:pPr>
              <w:pStyle w:val="ConsPlusNormal"/>
            </w:pPr>
          </w:p>
        </w:tc>
        <w:tc>
          <w:tcPr>
            <w:tcW w:w="1701" w:type="dxa"/>
            <w:vAlign w:val="center"/>
          </w:tcPr>
          <w:p w14:paraId="0BFFF982" w14:textId="77777777" w:rsidR="00454A29" w:rsidRDefault="00454A29">
            <w:pPr>
              <w:pStyle w:val="ConsPlusNormal"/>
            </w:pPr>
          </w:p>
        </w:tc>
        <w:tc>
          <w:tcPr>
            <w:tcW w:w="1814" w:type="dxa"/>
            <w:vAlign w:val="center"/>
          </w:tcPr>
          <w:p w14:paraId="7613B1DC" w14:textId="77777777" w:rsidR="00454A29" w:rsidRDefault="00454A29">
            <w:pPr>
              <w:pStyle w:val="ConsPlusNormal"/>
            </w:pPr>
          </w:p>
        </w:tc>
      </w:tr>
      <w:tr w:rsidR="00454A29" w14:paraId="7C93E71A" w14:textId="77777777">
        <w:tc>
          <w:tcPr>
            <w:tcW w:w="567" w:type="dxa"/>
            <w:vMerge/>
          </w:tcPr>
          <w:p w14:paraId="1C64269D" w14:textId="77777777" w:rsidR="00454A29" w:rsidRDefault="00454A29"/>
        </w:tc>
        <w:tc>
          <w:tcPr>
            <w:tcW w:w="3345" w:type="dxa"/>
            <w:vMerge/>
          </w:tcPr>
          <w:p w14:paraId="492A2462" w14:textId="77777777" w:rsidR="00454A29" w:rsidRDefault="00454A29"/>
        </w:tc>
        <w:tc>
          <w:tcPr>
            <w:tcW w:w="1701" w:type="dxa"/>
            <w:vAlign w:val="center"/>
          </w:tcPr>
          <w:p w14:paraId="70C2AB26" w14:textId="77777777" w:rsidR="00454A29" w:rsidRDefault="00454A29">
            <w:pPr>
              <w:pStyle w:val="ConsPlusNormal"/>
              <w:jc w:val="center"/>
            </w:pPr>
            <w:r>
              <w:t>2023</w:t>
            </w:r>
          </w:p>
        </w:tc>
        <w:tc>
          <w:tcPr>
            <w:tcW w:w="1417" w:type="dxa"/>
            <w:vMerge/>
          </w:tcPr>
          <w:p w14:paraId="772CD20E" w14:textId="77777777" w:rsidR="00454A29" w:rsidRDefault="00454A29"/>
        </w:tc>
        <w:tc>
          <w:tcPr>
            <w:tcW w:w="2204" w:type="dxa"/>
            <w:vMerge/>
          </w:tcPr>
          <w:p w14:paraId="0D8349AB" w14:textId="77777777" w:rsidR="00454A29" w:rsidRDefault="00454A29"/>
        </w:tc>
        <w:tc>
          <w:tcPr>
            <w:tcW w:w="1417" w:type="dxa"/>
            <w:vMerge/>
          </w:tcPr>
          <w:p w14:paraId="00ADCBDD" w14:textId="77777777" w:rsidR="00454A29" w:rsidRDefault="00454A29"/>
        </w:tc>
        <w:tc>
          <w:tcPr>
            <w:tcW w:w="2324" w:type="dxa"/>
            <w:vMerge/>
          </w:tcPr>
          <w:p w14:paraId="26728D3E" w14:textId="77777777" w:rsidR="00454A29" w:rsidRDefault="00454A29"/>
        </w:tc>
        <w:tc>
          <w:tcPr>
            <w:tcW w:w="1701" w:type="dxa"/>
            <w:vAlign w:val="center"/>
          </w:tcPr>
          <w:p w14:paraId="13A14098" w14:textId="77777777" w:rsidR="00454A29" w:rsidRDefault="00454A29">
            <w:pPr>
              <w:pStyle w:val="ConsPlusNormal"/>
              <w:jc w:val="center"/>
            </w:pPr>
            <w:r>
              <w:t>-</w:t>
            </w:r>
          </w:p>
        </w:tc>
        <w:tc>
          <w:tcPr>
            <w:tcW w:w="1814" w:type="dxa"/>
            <w:vAlign w:val="center"/>
          </w:tcPr>
          <w:p w14:paraId="2C37C79F" w14:textId="77777777" w:rsidR="00454A29" w:rsidRDefault="00454A29">
            <w:pPr>
              <w:pStyle w:val="ConsPlusNormal"/>
            </w:pPr>
          </w:p>
        </w:tc>
        <w:tc>
          <w:tcPr>
            <w:tcW w:w="1701" w:type="dxa"/>
            <w:vAlign w:val="center"/>
          </w:tcPr>
          <w:p w14:paraId="72F1EA06" w14:textId="77777777" w:rsidR="00454A29" w:rsidRDefault="00454A29">
            <w:pPr>
              <w:pStyle w:val="ConsPlusNormal"/>
            </w:pPr>
          </w:p>
        </w:tc>
        <w:tc>
          <w:tcPr>
            <w:tcW w:w="1701" w:type="dxa"/>
            <w:vAlign w:val="center"/>
          </w:tcPr>
          <w:p w14:paraId="45ABE6C5" w14:textId="77777777" w:rsidR="00454A29" w:rsidRDefault="00454A29">
            <w:pPr>
              <w:pStyle w:val="ConsPlusNormal"/>
            </w:pPr>
          </w:p>
        </w:tc>
        <w:tc>
          <w:tcPr>
            <w:tcW w:w="1814" w:type="dxa"/>
            <w:vAlign w:val="center"/>
          </w:tcPr>
          <w:p w14:paraId="6EC0FC17" w14:textId="77777777" w:rsidR="00454A29" w:rsidRDefault="00454A29">
            <w:pPr>
              <w:pStyle w:val="ConsPlusNormal"/>
            </w:pPr>
          </w:p>
        </w:tc>
      </w:tr>
      <w:tr w:rsidR="00454A29" w14:paraId="11A38EDF" w14:textId="77777777">
        <w:tc>
          <w:tcPr>
            <w:tcW w:w="567" w:type="dxa"/>
            <w:vMerge/>
          </w:tcPr>
          <w:p w14:paraId="5115CE40" w14:textId="77777777" w:rsidR="00454A29" w:rsidRDefault="00454A29"/>
        </w:tc>
        <w:tc>
          <w:tcPr>
            <w:tcW w:w="3345" w:type="dxa"/>
            <w:vMerge/>
          </w:tcPr>
          <w:p w14:paraId="4C964630" w14:textId="77777777" w:rsidR="00454A29" w:rsidRDefault="00454A29"/>
        </w:tc>
        <w:tc>
          <w:tcPr>
            <w:tcW w:w="1701" w:type="dxa"/>
            <w:vAlign w:val="center"/>
          </w:tcPr>
          <w:p w14:paraId="3C0F9094" w14:textId="77777777" w:rsidR="00454A29" w:rsidRDefault="00454A29">
            <w:pPr>
              <w:pStyle w:val="ConsPlusNormal"/>
              <w:jc w:val="center"/>
            </w:pPr>
            <w:r>
              <w:t>2024</w:t>
            </w:r>
          </w:p>
        </w:tc>
        <w:tc>
          <w:tcPr>
            <w:tcW w:w="1417" w:type="dxa"/>
            <w:vMerge/>
          </w:tcPr>
          <w:p w14:paraId="3C2A623F" w14:textId="77777777" w:rsidR="00454A29" w:rsidRDefault="00454A29"/>
        </w:tc>
        <w:tc>
          <w:tcPr>
            <w:tcW w:w="2204" w:type="dxa"/>
            <w:vMerge/>
          </w:tcPr>
          <w:p w14:paraId="4107D49E" w14:textId="77777777" w:rsidR="00454A29" w:rsidRDefault="00454A29"/>
        </w:tc>
        <w:tc>
          <w:tcPr>
            <w:tcW w:w="1417" w:type="dxa"/>
            <w:vMerge/>
          </w:tcPr>
          <w:p w14:paraId="6474810C" w14:textId="77777777" w:rsidR="00454A29" w:rsidRDefault="00454A29"/>
        </w:tc>
        <w:tc>
          <w:tcPr>
            <w:tcW w:w="2324" w:type="dxa"/>
            <w:vMerge/>
          </w:tcPr>
          <w:p w14:paraId="6487866B" w14:textId="77777777" w:rsidR="00454A29" w:rsidRDefault="00454A29"/>
        </w:tc>
        <w:tc>
          <w:tcPr>
            <w:tcW w:w="1701" w:type="dxa"/>
            <w:vAlign w:val="center"/>
          </w:tcPr>
          <w:p w14:paraId="3E3CA7A3" w14:textId="77777777" w:rsidR="00454A29" w:rsidRDefault="00454A29">
            <w:pPr>
              <w:pStyle w:val="ConsPlusNormal"/>
            </w:pPr>
          </w:p>
        </w:tc>
        <w:tc>
          <w:tcPr>
            <w:tcW w:w="1814" w:type="dxa"/>
            <w:vAlign w:val="center"/>
          </w:tcPr>
          <w:p w14:paraId="37F80037" w14:textId="77777777" w:rsidR="00454A29" w:rsidRDefault="00454A29">
            <w:pPr>
              <w:pStyle w:val="ConsPlusNormal"/>
            </w:pPr>
          </w:p>
        </w:tc>
        <w:tc>
          <w:tcPr>
            <w:tcW w:w="1701" w:type="dxa"/>
            <w:vAlign w:val="center"/>
          </w:tcPr>
          <w:p w14:paraId="402D1C51" w14:textId="77777777" w:rsidR="00454A29" w:rsidRDefault="00454A29">
            <w:pPr>
              <w:pStyle w:val="ConsPlusNormal"/>
            </w:pPr>
          </w:p>
        </w:tc>
        <w:tc>
          <w:tcPr>
            <w:tcW w:w="1701" w:type="dxa"/>
            <w:vAlign w:val="center"/>
          </w:tcPr>
          <w:p w14:paraId="1DA41D34" w14:textId="77777777" w:rsidR="00454A29" w:rsidRDefault="00454A29">
            <w:pPr>
              <w:pStyle w:val="ConsPlusNormal"/>
            </w:pPr>
          </w:p>
        </w:tc>
        <w:tc>
          <w:tcPr>
            <w:tcW w:w="1814" w:type="dxa"/>
            <w:vAlign w:val="center"/>
          </w:tcPr>
          <w:p w14:paraId="3C011C32" w14:textId="77777777" w:rsidR="00454A29" w:rsidRDefault="00454A29">
            <w:pPr>
              <w:pStyle w:val="ConsPlusNormal"/>
            </w:pPr>
          </w:p>
        </w:tc>
      </w:tr>
      <w:tr w:rsidR="00454A29" w14:paraId="320DF327" w14:textId="77777777">
        <w:tc>
          <w:tcPr>
            <w:tcW w:w="567" w:type="dxa"/>
            <w:vMerge/>
          </w:tcPr>
          <w:p w14:paraId="4AACB948" w14:textId="77777777" w:rsidR="00454A29" w:rsidRDefault="00454A29"/>
        </w:tc>
        <w:tc>
          <w:tcPr>
            <w:tcW w:w="3345" w:type="dxa"/>
            <w:vMerge/>
          </w:tcPr>
          <w:p w14:paraId="5F4CE8CE" w14:textId="77777777" w:rsidR="00454A29" w:rsidRDefault="00454A29"/>
        </w:tc>
        <w:tc>
          <w:tcPr>
            <w:tcW w:w="1701" w:type="dxa"/>
            <w:vAlign w:val="center"/>
          </w:tcPr>
          <w:p w14:paraId="248C0506" w14:textId="77777777" w:rsidR="00454A29" w:rsidRDefault="00454A29">
            <w:pPr>
              <w:pStyle w:val="ConsPlusNormal"/>
              <w:jc w:val="center"/>
            </w:pPr>
            <w:r>
              <w:t>2025</w:t>
            </w:r>
          </w:p>
        </w:tc>
        <w:tc>
          <w:tcPr>
            <w:tcW w:w="1417" w:type="dxa"/>
            <w:vMerge/>
          </w:tcPr>
          <w:p w14:paraId="2AA97705" w14:textId="77777777" w:rsidR="00454A29" w:rsidRDefault="00454A29"/>
        </w:tc>
        <w:tc>
          <w:tcPr>
            <w:tcW w:w="2204" w:type="dxa"/>
            <w:vMerge/>
          </w:tcPr>
          <w:p w14:paraId="4247CB5D" w14:textId="77777777" w:rsidR="00454A29" w:rsidRDefault="00454A29"/>
        </w:tc>
        <w:tc>
          <w:tcPr>
            <w:tcW w:w="1417" w:type="dxa"/>
            <w:vMerge/>
          </w:tcPr>
          <w:p w14:paraId="575192BD" w14:textId="77777777" w:rsidR="00454A29" w:rsidRDefault="00454A29"/>
        </w:tc>
        <w:tc>
          <w:tcPr>
            <w:tcW w:w="2324" w:type="dxa"/>
            <w:vMerge/>
          </w:tcPr>
          <w:p w14:paraId="6F774256" w14:textId="77777777" w:rsidR="00454A29" w:rsidRDefault="00454A29"/>
        </w:tc>
        <w:tc>
          <w:tcPr>
            <w:tcW w:w="1701" w:type="dxa"/>
            <w:vAlign w:val="center"/>
          </w:tcPr>
          <w:p w14:paraId="4D38C9BD" w14:textId="77777777" w:rsidR="00454A29" w:rsidRDefault="00454A29">
            <w:pPr>
              <w:pStyle w:val="ConsPlusNormal"/>
              <w:jc w:val="center"/>
            </w:pPr>
            <w:r>
              <w:t>682 572,47</w:t>
            </w:r>
          </w:p>
        </w:tc>
        <w:tc>
          <w:tcPr>
            <w:tcW w:w="1814" w:type="dxa"/>
            <w:vAlign w:val="center"/>
          </w:tcPr>
          <w:p w14:paraId="16A0321A" w14:textId="77777777" w:rsidR="00454A29" w:rsidRDefault="00454A29">
            <w:pPr>
              <w:pStyle w:val="ConsPlusNormal"/>
              <w:jc w:val="center"/>
            </w:pPr>
            <w:r>
              <w:t>8 634,54</w:t>
            </w:r>
          </w:p>
        </w:tc>
        <w:tc>
          <w:tcPr>
            <w:tcW w:w="1701" w:type="dxa"/>
            <w:vAlign w:val="center"/>
          </w:tcPr>
          <w:p w14:paraId="1AAECC24" w14:textId="77777777" w:rsidR="00454A29" w:rsidRDefault="00454A29">
            <w:pPr>
              <w:pStyle w:val="ConsPlusNormal"/>
              <w:jc w:val="center"/>
            </w:pPr>
            <w:r>
              <w:t>854 819,63</w:t>
            </w:r>
          </w:p>
        </w:tc>
        <w:tc>
          <w:tcPr>
            <w:tcW w:w="1701" w:type="dxa"/>
            <w:vAlign w:val="center"/>
          </w:tcPr>
          <w:p w14:paraId="3EDA3980" w14:textId="77777777" w:rsidR="00454A29" w:rsidRDefault="00454A29">
            <w:pPr>
              <w:pStyle w:val="ConsPlusNormal"/>
            </w:pPr>
          </w:p>
        </w:tc>
        <w:tc>
          <w:tcPr>
            <w:tcW w:w="1814" w:type="dxa"/>
            <w:vAlign w:val="center"/>
          </w:tcPr>
          <w:p w14:paraId="54DCB4B9" w14:textId="77777777" w:rsidR="00454A29" w:rsidRDefault="00454A29">
            <w:pPr>
              <w:pStyle w:val="ConsPlusNormal"/>
            </w:pPr>
          </w:p>
        </w:tc>
      </w:tr>
      <w:tr w:rsidR="00454A29" w14:paraId="5B7C5522" w14:textId="77777777">
        <w:tc>
          <w:tcPr>
            <w:tcW w:w="567" w:type="dxa"/>
            <w:vMerge/>
          </w:tcPr>
          <w:p w14:paraId="5C35DFC1" w14:textId="77777777" w:rsidR="00454A29" w:rsidRDefault="00454A29"/>
        </w:tc>
        <w:tc>
          <w:tcPr>
            <w:tcW w:w="3345" w:type="dxa"/>
            <w:vMerge/>
          </w:tcPr>
          <w:p w14:paraId="19D5DEFC" w14:textId="77777777" w:rsidR="00454A29" w:rsidRDefault="00454A29"/>
        </w:tc>
        <w:tc>
          <w:tcPr>
            <w:tcW w:w="1701" w:type="dxa"/>
            <w:vAlign w:val="center"/>
          </w:tcPr>
          <w:p w14:paraId="3CD8244B" w14:textId="77777777" w:rsidR="00454A29" w:rsidRDefault="00454A29">
            <w:pPr>
              <w:pStyle w:val="ConsPlusNormal"/>
              <w:jc w:val="center"/>
            </w:pPr>
            <w:r>
              <w:t>2026</w:t>
            </w:r>
          </w:p>
        </w:tc>
        <w:tc>
          <w:tcPr>
            <w:tcW w:w="1417" w:type="dxa"/>
            <w:vMerge/>
          </w:tcPr>
          <w:p w14:paraId="4AF5144E" w14:textId="77777777" w:rsidR="00454A29" w:rsidRDefault="00454A29"/>
        </w:tc>
        <w:tc>
          <w:tcPr>
            <w:tcW w:w="2204" w:type="dxa"/>
            <w:vMerge/>
          </w:tcPr>
          <w:p w14:paraId="3718E3FB" w14:textId="77777777" w:rsidR="00454A29" w:rsidRDefault="00454A29"/>
        </w:tc>
        <w:tc>
          <w:tcPr>
            <w:tcW w:w="1417" w:type="dxa"/>
            <w:vMerge/>
          </w:tcPr>
          <w:p w14:paraId="50EEE063" w14:textId="77777777" w:rsidR="00454A29" w:rsidRDefault="00454A29"/>
        </w:tc>
        <w:tc>
          <w:tcPr>
            <w:tcW w:w="2324" w:type="dxa"/>
            <w:vMerge/>
          </w:tcPr>
          <w:p w14:paraId="77230563" w14:textId="77777777" w:rsidR="00454A29" w:rsidRDefault="00454A29"/>
        </w:tc>
        <w:tc>
          <w:tcPr>
            <w:tcW w:w="1701" w:type="dxa"/>
            <w:vAlign w:val="center"/>
          </w:tcPr>
          <w:p w14:paraId="1592957D" w14:textId="77777777" w:rsidR="00454A29" w:rsidRDefault="00454A29">
            <w:pPr>
              <w:pStyle w:val="ConsPlusNormal"/>
            </w:pPr>
          </w:p>
        </w:tc>
        <w:tc>
          <w:tcPr>
            <w:tcW w:w="1814" w:type="dxa"/>
            <w:vAlign w:val="center"/>
          </w:tcPr>
          <w:p w14:paraId="337D8CE4" w14:textId="77777777" w:rsidR="00454A29" w:rsidRDefault="00454A29">
            <w:pPr>
              <w:pStyle w:val="ConsPlusNormal"/>
            </w:pPr>
          </w:p>
        </w:tc>
        <w:tc>
          <w:tcPr>
            <w:tcW w:w="1701" w:type="dxa"/>
            <w:vAlign w:val="center"/>
          </w:tcPr>
          <w:p w14:paraId="7292CE4F" w14:textId="77777777" w:rsidR="00454A29" w:rsidRDefault="00454A29">
            <w:pPr>
              <w:pStyle w:val="ConsPlusNormal"/>
            </w:pPr>
          </w:p>
        </w:tc>
        <w:tc>
          <w:tcPr>
            <w:tcW w:w="1701" w:type="dxa"/>
            <w:vAlign w:val="center"/>
          </w:tcPr>
          <w:p w14:paraId="0501917B" w14:textId="77777777" w:rsidR="00454A29" w:rsidRDefault="00454A29">
            <w:pPr>
              <w:pStyle w:val="ConsPlusNormal"/>
            </w:pPr>
          </w:p>
        </w:tc>
        <w:tc>
          <w:tcPr>
            <w:tcW w:w="1814" w:type="dxa"/>
            <w:vAlign w:val="center"/>
          </w:tcPr>
          <w:p w14:paraId="2836DB00" w14:textId="77777777" w:rsidR="00454A29" w:rsidRDefault="00454A29">
            <w:pPr>
              <w:pStyle w:val="ConsPlusNormal"/>
            </w:pPr>
          </w:p>
        </w:tc>
      </w:tr>
      <w:tr w:rsidR="00454A29" w14:paraId="7347F69C" w14:textId="77777777">
        <w:tc>
          <w:tcPr>
            <w:tcW w:w="567" w:type="dxa"/>
            <w:vMerge w:val="restart"/>
            <w:vAlign w:val="center"/>
          </w:tcPr>
          <w:p w14:paraId="4BDAD3CA" w14:textId="77777777" w:rsidR="00454A29" w:rsidRDefault="00454A29">
            <w:pPr>
              <w:pStyle w:val="ConsPlusNormal"/>
              <w:jc w:val="center"/>
            </w:pPr>
            <w:r>
              <w:t>138</w:t>
            </w:r>
          </w:p>
        </w:tc>
        <w:tc>
          <w:tcPr>
            <w:tcW w:w="3345" w:type="dxa"/>
            <w:vMerge w:val="restart"/>
            <w:vAlign w:val="center"/>
          </w:tcPr>
          <w:p w14:paraId="24FBCF71" w14:textId="77777777" w:rsidR="00454A29" w:rsidRDefault="00454A29">
            <w:pPr>
              <w:pStyle w:val="ConsPlusNormal"/>
              <w:jc w:val="center"/>
            </w:pPr>
            <w:r>
              <w:t>Школа на 80 учащихся в с. Новый</w:t>
            </w:r>
          </w:p>
        </w:tc>
        <w:tc>
          <w:tcPr>
            <w:tcW w:w="1701" w:type="dxa"/>
            <w:vAlign w:val="center"/>
          </w:tcPr>
          <w:p w14:paraId="6B51DA78" w14:textId="77777777" w:rsidR="00454A29" w:rsidRDefault="00454A29">
            <w:pPr>
              <w:pStyle w:val="ConsPlusNormal"/>
              <w:jc w:val="center"/>
            </w:pPr>
            <w:r>
              <w:t>2020 - 2026 годы - всего</w:t>
            </w:r>
          </w:p>
        </w:tc>
        <w:tc>
          <w:tcPr>
            <w:tcW w:w="1417" w:type="dxa"/>
            <w:vMerge w:val="restart"/>
            <w:vAlign w:val="center"/>
          </w:tcPr>
          <w:p w14:paraId="3E37252E" w14:textId="77777777" w:rsidR="00454A29" w:rsidRDefault="00454A29">
            <w:pPr>
              <w:pStyle w:val="ConsPlusNormal"/>
              <w:jc w:val="center"/>
            </w:pPr>
            <w:r>
              <w:t>294 259,62</w:t>
            </w:r>
          </w:p>
        </w:tc>
        <w:tc>
          <w:tcPr>
            <w:tcW w:w="2204" w:type="dxa"/>
            <w:vMerge w:val="restart"/>
            <w:vAlign w:val="center"/>
          </w:tcPr>
          <w:p w14:paraId="649A2BA7" w14:textId="77777777" w:rsidR="00454A29" w:rsidRDefault="00454A29">
            <w:pPr>
              <w:pStyle w:val="ConsPlusNormal"/>
            </w:pPr>
          </w:p>
        </w:tc>
        <w:tc>
          <w:tcPr>
            <w:tcW w:w="1417" w:type="dxa"/>
            <w:vMerge w:val="restart"/>
            <w:vAlign w:val="center"/>
          </w:tcPr>
          <w:p w14:paraId="09898CA0" w14:textId="77777777" w:rsidR="00454A29" w:rsidRDefault="00454A29">
            <w:pPr>
              <w:pStyle w:val="ConsPlusNormal"/>
              <w:jc w:val="center"/>
            </w:pPr>
            <w:r>
              <w:t>80</w:t>
            </w:r>
          </w:p>
        </w:tc>
        <w:tc>
          <w:tcPr>
            <w:tcW w:w="2324" w:type="dxa"/>
            <w:vMerge w:val="restart"/>
            <w:vAlign w:val="center"/>
          </w:tcPr>
          <w:p w14:paraId="7CE4794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40D06CF" w14:textId="77777777" w:rsidR="00454A29" w:rsidRDefault="00454A29">
            <w:pPr>
              <w:pStyle w:val="ConsPlusNormal"/>
              <w:jc w:val="center"/>
            </w:pPr>
            <w:r>
              <w:t>294 259,62</w:t>
            </w:r>
          </w:p>
        </w:tc>
        <w:tc>
          <w:tcPr>
            <w:tcW w:w="1814" w:type="dxa"/>
            <w:vAlign w:val="center"/>
          </w:tcPr>
          <w:p w14:paraId="62CB1C9F" w14:textId="77777777" w:rsidR="00454A29" w:rsidRDefault="00454A29">
            <w:pPr>
              <w:pStyle w:val="ConsPlusNormal"/>
              <w:jc w:val="center"/>
            </w:pPr>
            <w:r>
              <w:t>3 722,38</w:t>
            </w:r>
          </w:p>
        </w:tc>
        <w:tc>
          <w:tcPr>
            <w:tcW w:w="1701" w:type="dxa"/>
            <w:vAlign w:val="center"/>
          </w:tcPr>
          <w:p w14:paraId="2515EF68" w14:textId="77777777" w:rsidR="00454A29" w:rsidRDefault="00454A29">
            <w:pPr>
              <w:pStyle w:val="ConsPlusNormal"/>
              <w:jc w:val="center"/>
            </w:pPr>
            <w:r>
              <w:t>368 516,03</w:t>
            </w:r>
          </w:p>
        </w:tc>
        <w:tc>
          <w:tcPr>
            <w:tcW w:w="1701" w:type="dxa"/>
            <w:vAlign w:val="center"/>
          </w:tcPr>
          <w:p w14:paraId="558E34FB" w14:textId="77777777" w:rsidR="00454A29" w:rsidRDefault="00454A29">
            <w:pPr>
              <w:pStyle w:val="ConsPlusNormal"/>
              <w:jc w:val="center"/>
            </w:pPr>
            <w:r>
              <w:t>-</w:t>
            </w:r>
          </w:p>
        </w:tc>
        <w:tc>
          <w:tcPr>
            <w:tcW w:w="1814" w:type="dxa"/>
            <w:vAlign w:val="center"/>
          </w:tcPr>
          <w:p w14:paraId="4B9376F8" w14:textId="77777777" w:rsidR="00454A29" w:rsidRDefault="00454A29">
            <w:pPr>
              <w:pStyle w:val="ConsPlusNormal"/>
              <w:jc w:val="center"/>
            </w:pPr>
            <w:r>
              <w:t>-</w:t>
            </w:r>
          </w:p>
        </w:tc>
      </w:tr>
      <w:tr w:rsidR="00454A29" w14:paraId="2C265BC1" w14:textId="77777777">
        <w:tc>
          <w:tcPr>
            <w:tcW w:w="567" w:type="dxa"/>
            <w:vMerge/>
          </w:tcPr>
          <w:p w14:paraId="2ACCBBCE" w14:textId="77777777" w:rsidR="00454A29" w:rsidRDefault="00454A29"/>
        </w:tc>
        <w:tc>
          <w:tcPr>
            <w:tcW w:w="3345" w:type="dxa"/>
            <w:vMerge/>
          </w:tcPr>
          <w:p w14:paraId="0B4D8E81" w14:textId="77777777" w:rsidR="00454A29" w:rsidRDefault="00454A29"/>
        </w:tc>
        <w:tc>
          <w:tcPr>
            <w:tcW w:w="1701" w:type="dxa"/>
            <w:vAlign w:val="center"/>
          </w:tcPr>
          <w:p w14:paraId="396094F9" w14:textId="77777777" w:rsidR="00454A29" w:rsidRDefault="00454A29">
            <w:pPr>
              <w:pStyle w:val="ConsPlusNormal"/>
              <w:jc w:val="center"/>
            </w:pPr>
            <w:r>
              <w:t>2020</w:t>
            </w:r>
          </w:p>
        </w:tc>
        <w:tc>
          <w:tcPr>
            <w:tcW w:w="1417" w:type="dxa"/>
            <w:vMerge/>
          </w:tcPr>
          <w:p w14:paraId="493FF171" w14:textId="77777777" w:rsidR="00454A29" w:rsidRDefault="00454A29"/>
        </w:tc>
        <w:tc>
          <w:tcPr>
            <w:tcW w:w="2204" w:type="dxa"/>
            <w:vMerge/>
          </w:tcPr>
          <w:p w14:paraId="351E65DA" w14:textId="77777777" w:rsidR="00454A29" w:rsidRDefault="00454A29"/>
        </w:tc>
        <w:tc>
          <w:tcPr>
            <w:tcW w:w="1417" w:type="dxa"/>
            <w:vMerge/>
          </w:tcPr>
          <w:p w14:paraId="6A3621F4" w14:textId="77777777" w:rsidR="00454A29" w:rsidRDefault="00454A29"/>
        </w:tc>
        <w:tc>
          <w:tcPr>
            <w:tcW w:w="2324" w:type="dxa"/>
            <w:vMerge/>
          </w:tcPr>
          <w:p w14:paraId="39C16B9A" w14:textId="77777777" w:rsidR="00454A29" w:rsidRDefault="00454A29"/>
        </w:tc>
        <w:tc>
          <w:tcPr>
            <w:tcW w:w="1701" w:type="dxa"/>
            <w:vAlign w:val="center"/>
          </w:tcPr>
          <w:p w14:paraId="4C49C43E" w14:textId="77777777" w:rsidR="00454A29" w:rsidRDefault="00454A29">
            <w:pPr>
              <w:pStyle w:val="ConsPlusNormal"/>
            </w:pPr>
          </w:p>
        </w:tc>
        <w:tc>
          <w:tcPr>
            <w:tcW w:w="1814" w:type="dxa"/>
            <w:vAlign w:val="center"/>
          </w:tcPr>
          <w:p w14:paraId="44FA5B6F" w14:textId="77777777" w:rsidR="00454A29" w:rsidRDefault="00454A29">
            <w:pPr>
              <w:pStyle w:val="ConsPlusNormal"/>
            </w:pPr>
          </w:p>
        </w:tc>
        <w:tc>
          <w:tcPr>
            <w:tcW w:w="1701" w:type="dxa"/>
            <w:vAlign w:val="center"/>
          </w:tcPr>
          <w:p w14:paraId="53929427" w14:textId="77777777" w:rsidR="00454A29" w:rsidRDefault="00454A29">
            <w:pPr>
              <w:pStyle w:val="ConsPlusNormal"/>
            </w:pPr>
          </w:p>
        </w:tc>
        <w:tc>
          <w:tcPr>
            <w:tcW w:w="1701" w:type="dxa"/>
            <w:vAlign w:val="center"/>
          </w:tcPr>
          <w:p w14:paraId="394A8C69" w14:textId="77777777" w:rsidR="00454A29" w:rsidRDefault="00454A29">
            <w:pPr>
              <w:pStyle w:val="ConsPlusNormal"/>
            </w:pPr>
          </w:p>
        </w:tc>
        <w:tc>
          <w:tcPr>
            <w:tcW w:w="1814" w:type="dxa"/>
            <w:vAlign w:val="center"/>
          </w:tcPr>
          <w:p w14:paraId="7BF975BA" w14:textId="77777777" w:rsidR="00454A29" w:rsidRDefault="00454A29">
            <w:pPr>
              <w:pStyle w:val="ConsPlusNormal"/>
            </w:pPr>
          </w:p>
        </w:tc>
      </w:tr>
      <w:tr w:rsidR="00454A29" w14:paraId="6DEA1491" w14:textId="77777777">
        <w:tc>
          <w:tcPr>
            <w:tcW w:w="567" w:type="dxa"/>
            <w:vMerge/>
          </w:tcPr>
          <w:p w14:paraId="569AC644" w14:textId="77777777" w:rsidR="00454A29" w:rsidRDefault="00454A29"/>
        </w:tc>
        <w:tc>
          <w:tcPr>
            <w:tcW w:w="3345" w:type="dxa"/>
            <w:vMerge/>
          </w:tcPr>
          <w:p w14:paraId="0AB4FFAA" w14:textId="77777777" w:rsidR="00454A29" w:rsidRDefault="00454A29"/>
        </w:tc>
        <w:tc>
          <w:tcPr>
            <w:tcW w:w="1701" w:type="dxa"/>
            <w:vAlign w:val="center"/>
          </w:tcPr>
          <w:p w14:paraId="5CC0D1E1" w14:textId="77777777" w:rsidR="00454A29" w:rsidRDefault="00454A29">
            <w:pPr>
              <w:pStyle w:val="ConsPlusNormal"/>
              <w:jc w:val="center"/>
            </w:pPr>
            <w:r>
              <w:t>2021</w:t>
            </w:r>
          </w:p>
        </w:tc>
        <w:tc>
          <w:tcPr>
            <w:tcW w:w="1417" w:type="dxa"/>
            <w:vMerge/>
          </w:tcPr>
          <w:p w14:paraId="6C409C9F" w14:textId="77777777" w:rsidR="00454A29" w:rsidRDefault="00454A29"/>
        </w:tc>
        <w:tc>
          <w:tcPr>
            <w:tcW w:w="2204" w:type="dxa"/>
            <w:vMerge/>
          </w:tcPr>
          <w:p w14:paraId="05C57195" w14:textId="77777777" w:rsidR="00454A29" w:rsidRDefault="00454A29"/>
        </w:tc>
        <w:tc>
          <w:tcPr>
            <w:tcW w:w="1417" w:type="dxa"/>
            <w:vMerge/>
          </w:tcPr>
          <w:p w14:paraId="02A31150" w14:textId="77777777" w:rsidR="00454A29" w:rsidRDefault="00454A29"/>
        </w:tc>
        <w:tc>
          <w:tcPr>
            <w:tcW w:w="2324" w:type="dxa"/>
            <w:vMerge/>
          </w:tcPr>
          <w:p w14:paraId="44DBD5AC" w14:textId="77777777" w:rsidR="00454A29" w:rsidRDefault="00454A29"/>
        </w:tc>
        <w:tc>
          <w:tcPr>
            <w:tcW w:w="1701" w:type="dxa"/>
            <w:vAlign w:val="center"/>
          </w:tcPr>
          <w:p w14:paraId="40A0F663" w14:textId="77777777" w:rsidR="00454A29" w:rsidRDefault="00454A29">
            <w:pPr>
              <w:pStyle w:val="ConsPlusNormal"/>
              <w:jc w:val="center"/>
            </w:pPr>
            <w:r>
              <w:t>-</w:t>
            </w:r>
          </w:p>
        </w:tc>
        <w:tc>
          <w:tcPr>
            <w:tcW w:w="1814" w:type="dxa"/>
            <w:vAlign w:val="center"/>
          </w:tcPr>
          <w:p w14:paraId="7A1908B5" w14:textId="77777777" w:rsidR="00454A29" w:rsidRDefault="00454A29">
            <w:pPr>
              <w:pStyle w:val="ConsPlusNormal"/>
            </w:pPr>
          </w:p>
        </w:tc>
        <w:tc>
          <w:tcPr>
            <w:tcW w:w="1701" w:type="dxa"/>
            <w:vAlign w:val="center"/>
          </w:tcPr>
          <w:p w14:paraId="2D6FF24E" w14:textId="77777777" w:rsidR="00454A29" w:rsidRDefault="00454A29">
            <w:pPr>
              <w:pStyle w:val="ConsPlusNormal"/>
            </w:pPr>
          </w:p>
        </w:tc>
        <w:tc>
          <w:tcPr>
            <w:tcW w:w="1701" w:type="dxa"/>
            <w:vAlign w:val="center"/>
          </w:tcPr>
          <w:p w14:paraId="3AAF5934" w14:textId="77777777" w:rsidR="00454A29" w:rsidRDefault="00454A29">
            <w:pPr>
              <w:pStyle w:val="ConsPlusNormal"/>
            </w:pPr>
          </w:p>
        </w:tc>
        <w:tc>
          <w:tcPr>
            <w:tcW w:w="1814" w:type="dxa"/>
            <w:vAlign w:val="center"/>
          </w:tcPr>
          <w:p w14:paraId="73FDE293" w14:textId="77777777" w:rsidR="00454A29" w:rsidRDefault="00454A29">
            <w:pPr>
              <w:pStyle w:val="ConsPlusNormal"/>
            </w:pPr>
          </w:p>
        </w:tc>
      </w:tr>
      <w:tr w:rsidR="00454A29" w14:paraId="03B91BB6" w14:textId="77777777">
        <w:tc>
          <w:tcPr>
            <w:tcW w:w="567" w:type="dxa"/>
            <w:vMerge/>
          </w:tcPr>
          <w:p w14:paraId="4823DF8F" w14:textId="77777777" w:rsidR="00454A29" w:rsidRDefault="00454A29"/>
        </w:tc>
        <w:tc>
          <w:tcPr>
            <w:tcW w:w="3345" w:type="dxa"/>
            <w:vMerge/>
          </w:tcPr>
          <w:p w14:paraId="2344458C" w14:textId="77777777" w:rsidR="00454A29" w:rsidRDefault="00454A29"/>
        </w:tc>
        <w:tc>
          <w:tcPr>
            <w:tcW w:w="1701" w:type="dxa"/>
            <w:vAlign w:val="center"/>
          </w:tcPr>
          <w:p w14:paraId="0D2CC21C" w14:textId="77777777" w:rsidR="00454A29" w:rsidRDefault="00454A29">
            <w:pPr>
              <w:pStyle w:val="ConsPlusNormal"/>
              <w:jc w:val="center"/>
            </w:pPr>
            <w:r>
              <w:t>2022</w:t>
            </w:r>
          </w:p>
        </w:tc>
        <w:tc>
          <w:tcPr>
            <w:tcW w:w="1417" w:type="dxa"/>
            <w:vMerge/>
          </w:tcPr>
          <w:p w14:paraId="091F7322" w14:textId="77777777" w:rsidR="00454A29" w:rsidRDefault="00454A29"/>
        </w:tc>
        <w:tc>
          <w:tcPr>
            <w:tcW w:w="2204" w:type="dxa"/>
            <w:vMerge/>
          </w:tcPr>
          <w:p w14:paraId="1690935B" w14:textId="77777777" w:rsidR="00454A29" w:rsidRDefault="00454A29"/>
        </w:tc>
        <w:tc>
          <w:tcPr>
            <w:tcW w:w="1417" w:type="dxa"/>
            <w:vMerge/>
          </w:tcPr>
          <w:p w14:paraId="4371BFC8" w14:textId="77777777" w:rsidR="00454A29" w:rsidRDefault="00454A29"/>
        </w:tc>
        <w:tc>
          <w:tcPr>
            <w:tcW w:w="2324" w:type="dxa"/>
            <w:vMerge/>
          </w:tcPr>
          <w:p w14:paraId="7DD73E8F" w14:textId="77777777" w:rsidR="00454A29" w:rsidRDefault="00454A29"/>
        </w:tc>
        <w:tc>
          <w:tcPr>
            <w:tcW w:w="1701" w:type="dxa"/>
            <w:vAlign w:val="center"/>
          </w:tcPr>
          <w:p w14:paraId="4587EB29" w14:textId="77777777" w:rsidR="00454A29" w:rsidRDefault="00454A29">
            <w:pPr>
              <w:pStyle w:val="ConsPlusNormal"/>
            </w:pPr>
          </w:p>
        </w:tc>
        <w:tc>
          <w:tcPr>
            <w:tcW w:w="1814" w:type="dxa"/>
            <w:vAlign w:val="center"/>
          </w:tcPr>
          <w:p w14:paraId="0A555D70" w14:textId="77777777" w:rsidR="00454A29" w:rsidRDefault="00454A29">
            <w:pPr>
              <w:pStyle w:val="ConsPlusNormal"/>
            </w:pPr>
          </w:p>
        </w:tc>
        <w:tc>
          <w:tcPr>
            <w:tcW w:w="1701" w:type="dxa"/>
            <w:vAlign w:val="center"/>
          </w:tcPr>
          <w:p w14:paraId="07EE477D" w14:textId="77777777" w:rsidR="00454A29" w:rsidRDefault="00454A29">
            <w:pPr>
              <w:pStyle w:val="ConsPlusNormal"/>
            </w:pPr>
          </w:p>
        </w:tc>
        <w:tc>
          <w:tcPr>
            <w:tcW w:w="1701" w:type="dxa"/>
            <w:vAlign w:val="center"/>
          </w:tcPr>
          <w:p w14:paraId="5B3949EB" w14:textId="77777777" w:rsidR="00454A29" w:rsidRDefault="00454A29">
            <w:pPr>
              <w:pStyle w:val="ConsPlusNormal"/>
            </w:pPr>
          </w:p>
        </w:tc>
        <w:tc>
          <w:tcPr>
            <w:tcW w:w="1814" w:type="dxa"/>
            <w:vAlign w:val="center"/>
          </w:tcPr>
          <w:p w14:paraId="3FD5AF76" w14:textId="77777777" w:rsidR="00454A29" w:rsidRDefault="00454A29">
            <w:pPr>
              <w:pStyle w:val="ConsPlusNormal"/>
            </w:pPr>
          </w:p>
        </w:tc>
      </w:tr>
      <w:tr w:rsidR="00454A29" w14:paraId="15041CDF" w14:textId="77777777">
        <w:tc>
          <w:tcPr>
            <w:tcW w:w="567" w:type="dxa"/>
            <w:vMerge/>
          </w:tcPr>
          <w:p w14:paraId="6F68C06C" w14:textId="77777777" w:rsidR="00454A29" w:rsidRDefault="00454A29"/>
        </w:tc>
        <w:tc>
          <w:tcPr>
            <w:tcW w:w="3345" w:type="dxa"/>
            <w:vMerge/>
          </w:tcPr>
          <w:p w14:paraId="20AAEEFD" w14:textId="77777777" w:rsidR="00454A29" w:rsidRDefault="00454A29"/>
        </w:tc>
        <w:tc>
          <w:tcPr>
            <w:tcW w:w="1701" w:type="dxa"/>
            <w:vAlign w:val="center"/>
          </w:tcPr>
          <w:p w14:paraId="589F2E36" w14:textId="77777777" w:rsidR="00454A29" w:rsidRDefault="00454A29">
            <w:pPr>
              <w:pStyle w:val="ConsPlusNormal"/>
              <w:jc w:val="center"/>
            </w:pPr>
            <w:r>
              <w:t>2023</w:t>
            </w:r>
          </w:p>
        </w:tc>
        <w:tc>
          <w:tcPr>
            <w:tcW w:w="1417" w:type="dxa"/>
            <w:vMerge/>
          </w:tcPr>
          <w:p w14:paraId="6DBCA056" w14:textId="77777777" w:rsidR="00454A29" w:rsidRDefault="00454A29"/>
        </w:tc>
        <w:tc>
          <w:tcPr>
            <w:tcW w:w="2204" w:type="dxa"/>
            <w:vMerge/>
          </w:tcPr>
          <w:p w14:paraId="785FF175" w14:textId="77777777" w:rsidR="00454A29" w:rsidRDefault="00454A29"/>
        </w:tc>
        <w:tc>
          <w:tcPr>
            <w:tcW w:w="1417" w:type="dxa"/>
            <w:vMerge/>
          </w:tcPr>
          <w:p w14:paraId="13BF1D34" w14:textId="77777777" w:rsidR="00454A29" w:rsidRDefault="00454A29"/>
        </w:tc>
        <w:tc>
          <w:tcPr>
            <w:tcW w:w="2324" w:type="dxa"/>
            <w:vMerge/>
          </w:tcPr>
          <w:p w14:paraId="25D00592" w14:textId="77777777" w:rsidR="00454A29" w:rsidRDefault="00454A29"/>
        </w:tc>
        <w:tc>
          <w:tcPr>
            <w:tcW w:w="1701" w:type="dxa"/>
            <w:vAlign w:val="center"/>
          </w:tcPr>
          <w:p w14:paraId="387275ED" w14:textId="77777777" w:rsidR="00454A29" w:rsidRDefault="00454A29">
            <w:pPr>
              <w:pStyle w:val="ConsPlusNormal"/>
              <w:jc w:val="center"/>
            </w:pPr>
            <w:r>
              <w:t>-</w:t>
            </w:r>
          </w:p>
        </w:tc>
        <w:tc>
          <w:tcPr>
            <w:tcW w:w="1814" w:type="dxa"/>
            <w:vAlign w:val="center"/>
          </w:tcPr>
          <w:p w14:paraId="1A22CE4E" w14:textId="77777777" w:rsidR="00454A29" w:rsidRDefault="00454A29">
            <w:pPr>
              <w:pStyle w:val="ConsPlusNormal"/>
            </w:pPr>
          </w:p>
        </w:tc>
        <w:tc>
          <w:tcPr>
            <w:tcW w:w="1701" w:type="dxa"/>
            <w:vAlign w:val="center"/>
          </w:tcPr>
          <w:p w14:paraId="44514B92" w14:textId="77777777" w:rsidR="00454A29" w:rsidRDefault="00454A29">
            <w:pPr>
              <w:pStyle w:val="ConsPlusNormal"/>
            </w:pPr>
          </w:p>
        </w:tc>
        <w:tc>
          <w:tcPr>
            <w:tcW w:w="1701" w:type="dxa"/>
            <w:vAlign w:val="center"/>
          </w:tcPr>
          <w:p w14:paraId="7DCCF395" w14:textId="77777777" w:rsidR="00454A29" w:rsidRDefault="00454A29">
            <w:pPr>
              <w:pStyle w:val="ConsPlusNormal"/>
            </w:pPr>
          </w:p>
        </w:tc>
        <w:tc>
          <w:tcPr>
            <w:tcW w:w="1814" w:type="dxa"/>
            <w:vAlign w:val="center"/>
          </w:tcPr>
          <w:p w14:paraId="3AA98946" w14:textId="77777777" w:rsidR="00454A29" w:rsidRDefault="00454A29">
            <w:pPr>
              <w:pStyle w:val="ConsPlusNormal"/>
            </w:pPr>
          </w:p>
        </w:tc>
      </w:tr>
      <w:tr w:rsidR="00454A29" w14:paraId="3F1A25D1" w14:textId="77777777">
        <w:tc>
          <w:tcPr>
            <w:tcW w:w="567" w:type="dxa"/>
            <w:vMerge/>
          </w:tcPr>
          <w:p w14:paraId="59D453B4" w14:textId="77777777" w:rsidR="00454A29" w:rsidRDefault="00454A29"/>
        </w:tc>
        <w:tc>
          <w:tcPr>
            <w:tcW w:w="3345" w:type="dxa"/>
            <w:vMerge/>
          </w:tcPr>
          <w:p w14:paraId="419BFF2D" w14:textId="77777777" w:rsidR="00454A29" w:rsidRDefault="00454A29"/>
        </w:tc>
        <w:tc>
          <w:tcPr>
            <w:tcW w:w="1701" w:type="dxa"/>
            <w:vAlign w:val="center"/>
          </w:tcPr>
          <w:p w14:paraId="18993293" w14:textId="77777777" w:rsidR="00454A29" w:rsidRDefault="00454A29">
            <w:pPr>
              <w:pStyle w:val="ConsPlusNormal"/>
              <w:jc w:val="center"/>
            </w:pPr>
            <w:r>
              <w:t>2024</w:t>
            </w:r>
          </w:p>
        </w:tc>
        <w:tc>
          <w:tcPr>
            <w:tcW w:w="1417" w:type="dxa"/>
            <w:vMerge/>
          </w:tcPr>
          <w:p w14:paraId="4835E0FB" w14:textId="77777777" w:rsidR="00454A29" w:rsidRDefault="00454A29"/>
        </w:tc>
        <w:tc>
          <w:tcPr>
            <w:tcW w:w="2204" w:type="dxa"/>
            <w:vMerge/>
          </w:tcPr>
          <w:p w14:paraId="5604E422" w14:textId="77777777" w:rsidR="00454A29" w:rsidRDefault="00454A29"/>
        </w:tc>
        <w:tc>
          <w:tcPr>
            <w:tcW w:w="1417" w:type="dxa"/>
            <w:vMerge/>
          </w:tcPr>
          <w:p w14:paraId="14B0DC39" w14:textId="77777777" w:rsidR="00454A29" w:rsidRDefault="00454A29"/>
        </w:tc>
        <w:tc>
          <w:tcPr>
            <w:tcW w:w="2324" w:type="dxa"/>
            <w:vMerge/>
          </w:tcPr>
          <w:p w14:paraId="5FFD3173" w14:textId="77777777" w:rsidR="00454A29" w:rsidRDefault="00454A29"/>
        </w:tc>
        <w:tc>
          <w:tcPr>
            <w:tcW w:w="1701" w:type="dxa"/>
            <w:vAlign w:val="center"/>
          </w:tcPr>
          <w:p w14:paraId="0F5EF234" w14:textId="77777777" w:rsidR="00454A29" w:rsidRDefault="00454A29">
            <w:pPr>
              <w:pStyle w:val="ConsPlusNormal"/>
            </w:pPr>
          </w:p>
        </w:tc>
        <w:tc>
          <w:tcPr>
            <w:tcW w:w="1814" w:type="dxa"/>
            <w:vAlign w:val="center"/>
          </w:tcPr>
          <w:p w14:paraId="487E7E2C" w14:textId="77777777" w:rsidR="00454A29" w:rsidRDefault="00454A29">
            <w:pPr>
              <w:pStyle w:val="ConsPlusNormal"/>
            </w:pPr>
          </w:p>
        </w:tc>
        <w:tc>
          <w:tcPr>
            <w:tcW w:w="1701" w:type="dxa"/>
            <w:vAlign w:val="center"/>
          </w:tcPr>
          <w:p w14:paraId="37BB2A30" w14:textId="77777777" w:rsidR="00454A29" w:rsidRDefault="00454A29">
            <w:pPr>
              <w:pStyle w:val="ConsPlusNormal"/>
            </w:pPr>
          </w:p>
        </w:tc>
        <w:tc>
          <w:tcPr>
            <w:tcW w:w="1701" w:type="dxa"/>
            <w:vAlign w:val="center"/>
          </w:tcPr>
          <w:p w14:paraId="224E42DD" w14:textId="77777777" w:rsidR="00454A29" w:rsidRDefault="00454A29">
            <w:pPr>
              <w:pStyle w:val="ConsPlusNormal"/>
            </w:pPr>
          </w:p>
        </w:tc>
        <w:tc>
          <w:tcPr>
            <w:tcW w:w="1814" w:type="dxa"/>
            <w:vAlign w:val="center"/>
          </w:tcPr>
          <w:p w14:paraId="2F67E071" w14:textId="77777777" w:rsidR="00454A29" w:rsidRDefault="00454A29">
            <w:pPr>
              <w:pStyle w:val="ConsPlusNormal"/>
            </w:pPr>
          </w:p>
        </w:tc>
      </w:tr>
      <w:tr w:rsidR="00454A29" w14:paraId="53466729" w14:textId="77777777">
        <w:tc>
          <w:tcPr>
            <w:tcW w:w="567" w:type="dxa"/>
            <w:vMerge/>
          </w:tcPr>
          <w:p w14:paraId="6929A9CD" w14:textId="77777777" w:rsidR="00454A29" w:rsidRDefault="00454A29"/>
        </w:tc>
        <w:tc>
          <w:tcPr>
            <w:tcW w:w="3345" w:type="dxa"/>
            <w:vMerge/>
          </w:tcPr>
          <w:p w14:paraId="7E64065E" w14:textId="77777777" w:rsidR="00454A29" w:rsidRDefault="00454A29"/>
        </w:tc>
        <w:tc>
          <w:tcPr>
            <w:tcW w:w="1701" w:type="dxa"/>
            <w:vAlign w:val="center"/>
          </w:tcPr>
          <w:p w14:paraId="5E554FBD" w14:textId="77777777" w:rsidR="00454A29" w:rsidRDefault="00454A29">
            <w:pPr>
              <w:pStyle w:val="ConsPlusNormal"/>
              <w:jc w:val="center"/>
            </w:pPr>
            <w:r>
              <w:t>2025</w:t>
            </w:r>
          </w:p>
        </w:tc>
        <w:tc>
          <w:tcPr>
            <w:tcW w:w="1417" w:type="dxa"/>
            <w:vMerge/>
          </w:tcPr>
          <w:p w14:paraId="09E0EECA" w14:textId="77777777" w:rsidR="00454A29" w:rsidRDefault="00454A29"/>
        </w:tc>
        <w:tc>
          <w:tcPr>
            <w:tcW w:w="2204" w:type="dxa"/>
            <w:vMerge/>
          </w:tcPr>
          <w:p w14:paraId="153568CB" w14:textId="77777777" w:rsidR="00454A29" w:rsidRDefault="00454A29"/>
        </w:tc>
        <w:tc>
          <w:tcPr>
            <w:tcW w:w="1417" w:type="dxa"/>
            <w:vMerge/>
          </w:tcPr>
          <w:p w14:paraId="3D01EA12" w14:textId="77777777" w:rsidR="00454A29" w:rsidRDefault="00454A29"/>
        </w:tc>
        <w:tc>
          <w:tcPr>
            <w:tcW w:w="2324" w:type="dxa"/>
            <w:vMerge/>
          </w:tcPr>
          <w:p w14:paraId="0D7D8278" w14:textId="77777777" w:rsidR="00454A29" w:rsidRDefault="00454A29"/>
        </w:tc>
        <w:tc>
          <w:tcPr>
            <w:tcW w:w="1701" w:type="dxa"/>
            <w:vAlign w:val="center"/>
          </w:tcPr>
          <w:p w14:paraId="2302E57A" w14:textId="77777777" w:rsidR="00454A29" w:rsidRDefault="00454A29">
            <w:pPr>
              <w:pStyle w:val="ConsPlusNormal"/>
              <w:jc w:val="center"/>
            </w:pPr>
            <w:r>
              <w:t>294 259,62</w:t>
            </w:r>
          </w:p>
        </w:tc>
        <w:tc>
          <w:tcPr>
            <w:tcW w:w="1814" w:type="dxa"/>
            <w:vAlign w:val="center"/>
          </w:tcPr>
          <w:p w14:paraId="412A2F6B" w14:textId="77777777" w:rsidR="00454A29" w:rsidRDefault="00454A29">
            <w:pPr>
              <w:pStyle w:val="ConsPlusNormal"/>
              <w:jc w:val="center"/>
            </w:pPr>
            <w:r>
              <w:t>3 722,38</w:t>
            </w:r>
          </w:p>
        </w:tc>
        <w:tc>
          <w:tcPr>
            <w:tcW w:w="1701" w:type="dxa"/>
            <w:vAlign w:val="center"/>
          </w:tcPr>
          <w:p w14:paraId="0A69FB42" w14:textId="77777777" w:rsidR="00454A29" w:rsidRDefault="00454A29">
            <w:pPr>
              <w:pStyle w:val="ConsPlusNormal"/>
              <w:jc w:val="center"/>
            </w:pPr>
            <w:r>
              <w:t>368 516,03</w:t>
            </w:r>
          </w:p>
        </w:tc>
        <w:tc>
          <w:tcPr>
            <w:tcW w:w="1701" w:type="dxa"/>
            <w:vAlign w:val="center"/>
          </w:tcPr>
          <w:p w14:paraId="1ED8CF39" w14:textId="77777777" w:rsidR="00454A29" w:rsidRDefault="00454A29">
            <w:pPr>
              <w:pStyle w:val="ConsPlusNormal"/>
            </w:pPr>
          </w:p>
        </w:tc>
        <w:tc>
          <w:tcPr>
            <w:tcW w:w="1814" w:type="dxa"/>
            <w:vAlign w:val="center"/>
          </w:tcPr>
          <w:p w14:paraId="7E9272AE" w14:textId="77777777" w:rsidR="00454A29" w:rsidRDefault="00454A29">
            <w:pPr>
              <w:pStyle w:val="ConsPlusNormal"/>
            </w:pPr>
          </w:p>
        </w:tc>
      </w:tr>
      <w:tr w:rsidR="00454A29" w14:paraId="0E914C09" w14:textId="77777777">
        <w:tc>
          <w:tcPr>
            <w:tcW w:w="567" w:type="dxa"/>
            <w:vMerge/>
          </w:tcPr>
          <w:p w14:paraId="4EF063BD" w14:textId="77777777" w:rsidR="00454A29" w:rsidRDefault="00454A29"/>
        </w:tc>
        <w:tc>
          <w:tcPr>
            <w:tcW w:w="3345" w:type="dxa"/>
            <w:vMerge/>
          </w:tcPr>
          <w:p w14:paraId="772F2D50" w14:textId="77777777" w:rsidR="00454A29" w:rsidRDefault="00454A29"/>
        </w:tc>
        <w:tc>
          <w:tcPr>
            <w:tcW w:w="1701" w:type="dxa"/>
            <w:vAlign w:val="center"/>
          </w:tcPr>
          <w:p w14:paraId="67EA463A" w14:textId="77777777" w:rsidR="00454A29" w:rsidRDefault="00454A29">
            <w:pPr>
              <w:pStyle w:val="ConsPlusNormal"/>
              <w:jc w:val="center"/>
            </w:pPr>
            <w:r>
              <w:t>2026</w:t>
            </w:r>
          </w:p>
        </w:tc>
        <w:tc>
          <w:tcPr>
            <w:tcW w:w="1417" w:type="dxa"/>
            <w:vMerge/>
          </w:tcPr>
          <w:p w14:paraId="21951C21" w14:textId="77777777" w:rsidR="00454A29" w:rsidRDefault="00454A29"/>
        </w:tc>
        <w:tc>
          <w:tcPr>
            <w:tcW w:w="2204" w:type="dxa"/>
            <w:vMerge/>
          </w:tcPr>
          <w:p w14:paraId="7064D788" w14:textId="77777777" w:rsidR="00454A29" w:rsidRDefault="00454A29"/>
        </w:tc>
        <w:tc>
          <w:tcPr>
            <w:tcW w:w="1417" w:type="dxa"/>
            <w:vMerge/>
          </w:tcPr>
          <w:p w14:paraId="67AD696D" w14:textId="77777777" w:rsidR="00454A29" w:rsidRDefault="00454A29"/>
        </w:tc>
        <w:tc>
          <w:tcPr>
            <w:tcW w:w="2324" w:type="dxa"/>
            <w:vMerge/>
          </w:tcPr>
          <w:p w14:paraId="02B25F88" w14:textId="77777777" w:rsidR="00454A29" w:rsidRDefault="00454A29"/>
        </w:tc>
        <w:tc>
          <w:tcPr>
            <w:tcW w:w="1701" w:type="dxa"/>
            <w:vAlign w:val="center"/>
          </w:tcPr>
          <w:p w14:paraId="10078B39" w14:textId="77777777" w:rsidR="00454A29" w:rsidRDefault="00454A29">
            <w:pPr>
              <w:pStyle w:val="ConsPlusNormal"/>
            </w:pPr>
          </w:p>
        </w:tc>
        <w:tc>
          <w:tcPr>
            <w:tcW w:w="1814" w:type="dxa"/>
            <w:vAlign w:val="center"/>
          </w:tcPr>
          <w:p w14:paraId="0C74C0A3" w14:textId="77777777" w:rsidR="00454A29" w:rsidRDefault="00454A29">
            <w:pPr>
              <w:pStyle w:val="ConsPlusNormal"/>
            </w:pPr>
          </w:p>
        </w:tc>
        <w:tc>
          <w:tcPr>
            <w:tcW w:w="1701" w:type="dxa"/>
            <w:vAlign w:val="center"/>
          </w:tcPr>
          <w:p w14:paraId="760ED6CC" w14:textId="77777777" w:rsidR="00454A29" w:rsidRDefault="00454A29">
            <w:pPr>
              <w:pStyle w:val="ConsPlusNormal"/>
            </w:pPr>
          </w:p>
        </w:tc>
        <w:tc>
          <w:tcPr>
            <w:tcW w:w="1701" w:type="dxa"/>
            <w:vAlign w:val="center"/>
          </w:tcPr>
          <w:p w14:paraId="3253490B" w14:textId="77777777" w:rsidR="00454A29" w:rsidRDefault="00454A29">
            <w:pPr>
              <w:pStyle w:val="ConsPlusNormal"/>
            </w:pPr>
          </w:p>
        </w:tc>
        <w:tc>
          <w:tcPr>
            <w:tcW w:w="1814" w:type="dxa"/>
            <w:vAlign w:val="center"/>
          </w:tcPr>
          <w:p w14:paraId="40260B6E" w14:textId="77777777" w:rsidR="00454A29" w:rsidRDefault="00454A29">
            <w:pPr>
              <w:pStyle w:val="ConsPlusNormal"/>
            </w:pPr>
          </w:p>
        </w:tc>
      </w:tr>
      <w:tr w:rsidR="00454A29" w14:paraId="7150159F" w14:textId="77777777">
        <w:tc>
          <w:tcPr>
            <w:tcW w:w="21706" w:type="dxa"/>
            <w:gridSpan w:val="12"/>
            <w:vAlign w:val="center"/>
          </w:tcPr>
          <w:p w14:paraId="771EBD46" w14:textId="77777777" w:rsidR="00454A29" w:rsidRDefault="00454A29">
            <w:pPr>
              <w:pStyle w:val="ConsPlusNormal"/>
              <w:jc w:val="center"/>
              <w:outlineLvl w:val="2"/>
            </w:pPr>
            <w:r>
              <w:t>МР "Усть-Алданский улус (район)"</w:t>
            </w:r>
          </w:p>
        </w:tc>
      </w:tr>
      <w:tr w:rsidR="00454A29" w14:paraId="78910965" w14:textId="77777777">
        <w:tc>
          <w:tcPr>
            <w:tcW w:w="567" w:type="dxa"/>
            <w:vMerge w:val="restart"/>
            <w:vAlign w:val="center"/>
          </w:tcPr>
          <w:p w14:paraId="285A63E2" w14:textId="77777777" w:rsidR="00454A29" w:rsidRDefault="00454A29">
            <w:pPr>
              <w:pStyle w:val="ConsPlusNormal"/>
              <w:jc w:val="center"/>
            </w:pPr>
            <w:r>
              <w:t>139</w:t>
            </w:r>
          </w:p>
        </w:tc>
        <w:tc>
          <w:tcPr>
            <w:tcW w:w="3345" w:type="dxa"/>
            <w:vMerge w:val="restart"/>
            <w:vAlign w:val="center"/>
          </w:tcPr>
          <w:p w14:paraId="2EB696F7" w14:textId="77777777" w:rsidR="00454A29" w:rsidRDefault="00454A29">
            <w:pPr>
              <w:pStyle w:val="ConsPlusNormal"/>
              <w:jc w:val="center"/>
            </w:pPr>
            <w:r>
              <w:t>Школа-сад на 90/40 мест в с. Тумул</w:t>
            </w:r>
          </w:p>
        </w:tc>
        <w:tc>
          <w:tcPr>
            <w:tcW w:w="1701" w:type="dxa"/>
            <w:vAlign w:val="center"/>
          </w:tcPr>
          <w:p w14:paraId="2DCA4E9C" w14:textId="77777777" w:rsidR="00454A29" w:rsidRDefault="00454A29">
            <w:pPr>
              <w:pStyle w:val="ConsPlusNormal"/>
              <w:jc w:val="center"/>
            </w:pPr>
            <w:r>
              <w:t>2020 - 2026 годы - всего</w:t>
            </w:r>
          </w:p>
        </w:tc>
        <w:tc>
          <w:tcPr>
            <w:tcW w:w="1417" w:type="dxa"/>
            <w:vMerge w:val="restart"/>
            <w:vAlign w:val="center"/>
          </w:tcPr>
          <w:p w14:paraId="45367816" w14:textId="77777777" w:rsidR="00454A29" w:rsidRDefault="00454A29">
            <w:pPr>
              <w:pStyle w:val="ConsPlusNormal"/>
              <w:jc w:val="center"/>
            </w:pPr>
            <w:r>
              <w:t>331 042,07</w:t>
            </w:r>
          </w:p>
        </w:tc>
        <w:tc>
          <w:tcPr>
            <w:tcW w:w="2204" w:type="dxa"/>
            <w:vMerge w:val="restart"/>
            <w:vAlign w:val="center"/>
          </w:tcPr>
          <w:p w14:paraId="55A9AD6C" w14:textId="77777777" w:rsidR="00454A29" w:rsidRDefault="00454A29">
            <w:pPr>
              <w:pStyle w:val="ConsPlusNormal"/>
            </w:pPr>
          </w:p>
        </w:tc>
        <w:tc>
          <w:tcPr>
            <w:tcW w:w="1417" w:type="dxa"/>
            <w:vMerge w:val="restart"/>
            <w:vAlign w:val="center"/>
          </w:tcPr>
          <w:p w14:paraId="696EE25F" w14:textId="77777777" w:rsidR="00454A29" w:rsidRDefault="00454A29">
            <w:pPr>
              <w:pStyle w:val="ConsPlusNormal"/>
              <w:jc w:val="center"/>
            </w:pPr>
            <w:r>
              <w:t>90</w:t>
            </w:r>
          </w:p>
        </w:tc>
        <w:tc>
          <w:tcPr>
            <w:tcW w:w="2324" w:type="dxa"/>
            <w:vMerge w:val="restart"/>
            <w:vAlign w:val="center"/>
          </w:tcPr>
          <w:p w14:paraId="5DEF440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F12BC5B" w14:textId="77777777" w:rsidR="00454A29" w:rsidRDefault="00454A29">
            <w:pPr>
              <w:pStyle w:val="ConsPlusNormal"/>
              <w:jc w:val="center"/>
            </w:pPr>
            <w:r>
              <w:t>331 042,07</w:t>
            </w:r>
          </w:p>
        </w:tc>
        <w:tc>
          <w:tcPr>
            <w:tcW w:w="1814" w:type="dxa"/>
            <w:vAlign w:val="center"/>
          </w:tcPr>
          <w:p w14:paraId="4CD0BEC8" w14:textId="77777777" w:rsidR="00454A29" w:rsidRDefault="00454A29">
            <w:pPr>
              <w:pStyle w:val="ConsPlusNormal"/>
              <w:jc w:val="center"/>
            </w:pPr>
            <w:r>
              <w:t>4 187,68</w:t>
            </w:r>
          </w:p>
        </w:tc>
        <w:tc>
          <w:tcPr>
            <w:tcW w:w="1701" w:type="dxa"/>
            <w:vAlign w:val="center"/>
          </w:tcPr>
          <w:p w14:paraId="7F33E2AF" w14:textId="77777777" w:rsidR="00454A29" w:rsidRDefault="00454A29">
            <w:pPr>
              <w:pStyle w:val="ConsPlusNormal"/>
              <w:jc w:val="center"/>
            </w:pPr>
            <w:r>
              <w:t>414 580,54</w:t>
            </w:r>
          </w:p>
        </w:tc>
        <w:tc>
          <w:tcPr>
            <w:tcW w:w="1701" w:type="dxa"/>
            <w:vAlign w:val="center"/>
          </w:tcPr>
          <w:p w14:paraId="048C4039" w14:textId="77777777" w:rsidR="00454A29" w:rsidRDefault="00454A29">
            <w:pPr>
              <w:pStyle w:val="ConsPlusNormal"/>
              <w:jc w:val="center"/>
            </w:pPr>
            <w:r>
              <w:t>-</w:t>
            </w:r>
          </w:p>
        </w:tc>
        <w:tc>
          <w:tcPr>
            <w:tcW w:w="1814" w:type="dxa"/>
            <w:vAlign w:val="center"/>
          </w:tcPr>
          <w:p w14:paraId="13888CDF" w14:textId="77777777" w:rsidR="00454A29" w:rsidRDefault="00454A29">
            <w:pPr>
              <w:pStyle w:val="ConsPlusNormal"/>
              <w:jc w:val="center"/>
            </w:pPr>
            <w:r>
              <w:t>-</w:t>
            </w:r>
          </w:p>
        </w:tc>
      </w:tr>
      <w:tr w:rsidR="00454A29" w14:paraId="376F202B" w14:textId="77777777">
        <w:tc>
          <w:tcPr>
            <w:tcW w:w="567" w:type="dxa"/>
            <w:vMerge/>
          </w:tcPr>
          <w:p w14:paraId="6F226558" w14:textId="77777777" w:rsidR="00454A29" w:rsidRDefault="00454A29"/>
        </w:tc>
        <w:tc>
          <w:tcPr>
            <w:tcW w:w="3345" w:type="dxa"/>
            <w:vMerge/>
          </w:tcPr>
          <w:p w14:paraId="1596D257" w14:textId="77777777" w:rsidR="00454A29" w:rsidRDefault="00454A29"/>
        </w:tc>
        <w:tc>
          <w:tcPr>
            <w:tcW w:w="1701" w:type="dxa"/>
            <w:vAlign w:val="center"/>
          </w:tcPr>
          <w:p w14:paraId="56100056" w14:textId="77777777" w:rsidR="00454A29" w:rsidRDefault="00454A29">
            <w:pPr>
              <w:pStyle w:val="ConsPlusNormal"/>
              <w:jc w:val="center"/>
            </w:pPr>
            <w:r>
              <w:t>2020</w:t>
            </w:r>
          </w:p>
        </w:tc>
        <w:tc>
          <w:tcPr>
            <w:tcW w:w="1417" w:type="dxa"/>
            <w:vMerge/>
          </w:tcPr>
          <w:p w14:paraId="3EE9CDF1" w14:textId="77777777" w:rsidR="00454A29" w:rsidRDefault="00454A29"/>
        </w:tc>
        <w:tc>
          <w:tcPr>
            <w:tcW w:w="2204" w:type="dxa"/>
            <w:vMerge/>
          </w:tcPr>
          <w:p w14:paraId="2A8E6334" w14:textId="77777777" w:rsidR="00454A29" w:rsidRDefault="00454A29"/>
        </w:tc>
        <w:tc>
          <w:tcPr>
            <w:tcW w:w="1417" w:type="dxa"/>
            <w:vMerge/>
          </w:tcPr>
          <w:p w14:paraId="338094C3" w14:textId="77777777" w:rsidR="00454A29" w:rsidRDefault="00454A29"/>
        </w:tc>
        <w:tc>
          <w:tcPr>
            <w:tcW w:w="2324" w:type="dxa"/>
            <w:vMerge/>
          </w:tcPr>
          <w:p w14:paraId="66D7D2A1" w14:textId="77777777" w:rsidR="00454A29" w:rsidRDefault="00454A29"/>
        </w:tc>
        <w:tc>
          <w:tcPr>
            <w:tcW w:w="1701" w:type="dxa"/>
            <w:vAlign w:val="center"/>
          </w:tcPr>
          <w:p w14:paraId="00B869DF" w14:textId="77777777" w:rsidR="00454A29" w:rsidRDefault="00454A29">
            <w:pPr>
              <w:pStyle w:val="ConsPlusNormal"/>
            </w:pPr>
          </w:p>
        </w:tc>
        <w:tc>
          <w:tcPr>
            <w:tcW w:w="1814" w:type="dxa"/>
            <w:vAlign w:val="center"/>
          </w:tcPr>
          <w:p w14:paraId="3DC23B65" w14:textId="77777777" w:rsidR="00454A29" w:rsidRDefault="00454A29">
            <w:pPr>
              <w:pStyle w:val="ConsPlusNormal"/>
            </w:pPr>
          </w:p>
        </w:tc>
        <w:tc>
          <w:tcPr>
            <w:tcW w:w="1701" w:type="dxa"/>
            <w:vAlign w:val="center"/>
          </w:tcPr>
          <w:p w14:paraId="5F6D720C" w14:textId="77777777" w:rsidR="00454A29" w:rsidRDefault="00454A29">
            <w:pPr>
              <w:pStyle w:val="ConsPlusNormal"/>
            </w:pPr>
          </w:p>
        </w:tc>
        <w:tc>
          <w:tcPr>
            <w:tcW w:w="1701" w:type="dxa"/>
            <w:vAlign w:val="center"/>
          </w:tcPr>
          <w:p w14:paraId="04BD324B" w14:textId="77777777" w:rsidR="00454A29" w:rsidRDefault="00454A29">
            <w:pPr>
              <w:pStyle w:val="ConsPlusNormal"/>
            </w:pPr>
          </w:p>
        </w:tc>
        <w:tc>
          <w:tcPr>
            <w:tcW w:w="1814" w:type="dxa"/>
            <w:vAlign w:val="center"/>
          </w:tcPr>
          <w:p w14:paraId="693F2B5B" w14:textId="77777777" w:rsidR="00454A29" w:rsidRDefault="00454A29">
            <w:pPr>
              <w:pStyle w:val="ConsPlusNormal"/>
            </w:pPr>
          </w:p>
        </w:tc>
      </w:tr>
      <w:tr w:rsidR="00454A29" w14:paraId="3C359034" w14:textId="77777777">
        <w:tc>
          <w:tcPr>
            <w:tcW w:w="567" w:type="dxa"/>
            <w:vMerge/>
          </w:tcPr>
          <w:p w14:paraId="3D31F0DB" w14:textId="77777777" w:rsidR="00454A29" w:rsidRDefault="00454A29"/>
        </w:tc>
        <w:tc>
          <w:tcPr>
            <w:tcW w:w="3345" w:type="dxa"/>
            <w:vMerge/>
          </w:tcPr>
          <w:p w14:paraId="3FF1D63A" w14:textId="77777777" w:rsidR="00454A29" w:rsidRDefault="00454A29"/>
        </w:tc>
        <w:tc>
          <w:tcPr>
            <w:tcW w:w="1701" w:type="dxa"/>
            <w:vAlign w:val="center"/>
          </w:tcPr>
          <w:p w14:paraId="3BB452A7" w14:textId="77777777" w:rsidR="00454A29" w:rsidRDefault="00454A29">
            <w:pPr>
              <w:pStyle w:val="ConsPlusNormal"/>
              <w:jc w:val="center"/>
            </w:pPr>
            <w:r>
              <w:t>2021</w:t>
            </w:r>
          </w:p>
        </w:tc>
        <w:tc>
          <w:tcPr>
            <w:tcW w:w="1417" w:type="dxa"/>
            <w:vMerge/>
          </w:tcPr>
          <w:p w14:paraId="0FD39382" w14:textId="77777777" w:rsidR="00454A29" w:rsidRDefault="00454A29"/>
        </w:tc>
        <w:tc>
          <w:tcPr>
            <w:tcW w:w="2204" w:type="dxa"/>
            <w:vMerge/>
          </w:tcPr>
          <w:p w14:paraId="42CE969A" w14:textId="77777777" w:rsidR="00454A29" w:rsidRDefault="00454A29"/>
        </w:tc>
        <w:tc>
          <w:tcPr>
            <w:tcW w:w="1417" w:type="dxa"/>
            <w:vMerge/>
          </w:tcPr>
          <w:p w14:paraId="0A746A84" w14:textId="77777777" w:rsidR="00454A29" w:rsidRDefault="00454A29"/>
        </w:tc>
        <w:tc>
          <w:tcPr>
            <w:tcW w:w="2324" w:type="dxa"/>
            <w:vMerge/>
          </w:tcPr>
          <w:p w14:paraId="2F26F1E4" w14:textId="77777777" w:rsidR="00454A29" w:rsidRDefault="00454A29"/>
        </w:tc>
        <w:tc>
          <w:tcPr>
            <w:tcW w:w="1701" w:type="dxa"/>
            <w:vAlign w:val="center"/>
          </w:tcPr>
          <w:p w14:paraId="041A8A8E" w14:textId="77777777" w:rsidR="00454A29" w:rsidRDefault="00454A29">
            <w:pPr>
              <w:pStyle w:val="ConsPlusNormal"/>
            </w:pPr>
          </w:p>
        </w:tc>
        <w:tc>
          <w:tcPr>
            <w:tcW w:w="1814" w:type="dxa"/>
            <w:vAlign w:val="center"/>
          </w:tcPr>
          <w:p w14:paraId="09420B15" w14:textId="77777777" w:rsidR="00454A29" w:rsidRDefault="00454A29">
            <w:pPr>
              <w:pStyle w:val="ConsPlusNormal"/>
            </w:pPr>
          </w:p>
        </w:tc>
        <w:tc>
          <w:tcPr>
            <w:tcW w:w="1701" w:type="dxa"/>
            <w:vAlign w:val="center"/>
          </w:tcPr>
          <w:p w14:paraId="45AFDF86" w14:textId="77777777" w:rsidR="00454A29" w:rsidRDefault="00454A29">
            <w:pPr>
              <w:pStyle w:val="ConsPlusNormal"/>
            </w:pPr>
          </w:p>
        </w:tc>
        <w:tc>
          <w:tcPr>
            <w:tcW w:w="1701" w:type="dxa"/>
            <w:vAlign w:val="center"/>
          </w:tcPr>
          <w:p w14:paraId="071EE8AE" w14:textId="77777777" w:rsidR="00454A29" w:rsidRDefault="00454A29">
            <w:pPr>
              <w:pStyle w:val="ConsPlusNormal"/>
            </w:pPr>
          </w:p>
        </w:tc>
        <w:tc>
          <w:tcPr>
            <w:tcW w:w="1814" w:type="dxa"/>
            <w:vAlign w:val="center"/>
          </w:tcPr>
          <w:p w14:paraId="47D11C40" w14:textId="77777777" w:rsidR="00454A29" w:rsidRDefault="00454A29">
            <w:pPr>
              <w:pStyle w:val="ConsPlusNormal"/>
            </w:pPr>
          </w:p>
        </w:tc>
      </w:tr>
      <w:tr w:rsidR="00454A29" w14:paraId="26581655" w14:textId="77777777">
        <w:tc>
          <w:tcPr>
            <w:tcW w:w="567" w:type="dxa"/>
            <w:vMerge/>
          </w:tcPr>
          <w:p w14:paraId="6DE9E345" w14:textId="77777777" w:rsidR="00454A29" w:rsidRDefault="00454A29"/>
        </w:tc>
        <w:tc>
          <w:tcPr>
            <w:tcW w:w="3345" w:type="dxa"/>
            <w:vMerge/>
          </w:tcPr>
          <w:p w14:paraId="40C0B9BD" w14:textId="77777777" w:rsidR="00454A29" w:rsidRDefault="00454A29"/>
        </w:tc>
        <w:tc>
          <w:tcPr>
            <w:tcW w:w="1701" w:type="dxa"/>
            <w:vAlign w:val="center"/>
          </w:tcPr>
          <w:p w14:paraId="3CA26240" w14:textId="77777777" w:rsidR="00454A29" w:rsidRDefault="00454A29">
            <w:pPr>
              <w:pStyle w:val="ConsPlusNormal"/>
              <w:jc w:val="center"/>
            </w:pPr>
            <w:r>
              <w:t>2022</w:t>
            </w:r>
          </w:p>
        </w:tc>
        <w:tc>
          <w:tcPr>
            <w:tcW w:w="1417" w:type="dxa"/>
            <w:vMerge/>
          </w:tcPr>
          <w:p w14:paraId="3C9FFBE1" w14:textId="77777777" w:rsidR="00454A29" w:rsidRDefault="00454A29"/>
        </w:tc>
        <w:tc>
          <w:tcPr>
            <w:tcW w:w="2204" w:type="dxa"/>
            <w:vMerge/>
          </w:tcPr>
          <w:p w14:paraId="608EBD47" w14:textId="77777777" w:rsidR="00454A29" w:rsidRDefault="00454A29"/>
        </w:tc>
        <w:tc>
          <w:tcPr>
            <w:tcW w:w="1417" w:type="dxa"/>
            <w:vMerge/>
          </w:tcPr>
          <w:p w14:paraId="5F004520" w14:textId="77777777" w:rsidR="00454A29" w:rsidRDefault="00454A29"/>
        </w:tc>
        <w:tc>
          <w:tcPr>
            <w:tcW w:w="2324" w:type="dxa"/>
            <w:vMerge/>
          </w:tcPr>
          <w:p w14:paraId="2868D1E4" w14:textId="77777777" w:rsidR="00454A29" w:rsidRDefault="00454A29"/>
        </w:tc>
        <w:tc>
          <w:tcPr>
            <w:tcW w:w="1701" w:type="dxa"/>
            <w:vAlign w:val="center"/>
          </w:tcPr>
          <w:p w14:paraId="5848D591" w14:textId="77777777" w:rsidR="00454A29" w:rsidRDefault="00454A29">
            <w:pPr>
              <w:pStyle w:val="ConsPlusNormal"/>
            </w:pPr>
          </w:p>
        </w:tc>
        <w:tc>
          <w:tcPr>
            <w:tcW w:w="1814" w:type="dxa"/>
            <w:vAlign w:val="center"/>
          </w:tcPr>
          <w:p w14:paraId="7D360F49" w14:textId="77777777" w:rsidR="00454A29" w:rsidRDefault="00454A29">
            <w:pPr>
              <w:pStyle w:val="ConsPlusNormal"/>
            </w:pPr>
          </w:p>
        </w:tc>
        <w:tc>
          <w:tcPr>
            <w:tcW w:w="1701" w:type="dxa"/>
            <w:vAlign w:val="center"/>
          </w:tcPr>
          <w:p w14:paraId="1DF56E24" w14:textId="77777777" w:rsidR="00454A29" w:rsidRDefault="00454A29">
            <w:pPr>
              <w:pStyle w:val="ConsPlusNormal"/>
            </w:pPr>
          </w:p>
        </w:tc>
        <w:tc>
          <w:tcPr>
            <w:tcW w:w="1701" w:type="dxa"/>
            <w:vAlign w:val="center"/>
          </w:tcPr>
          <w:p w14:paraId="6B8F100D" w14:textId="77777777" w:rsidR="00454A29" w:rsidRDefault="00454A29">
            <w:pPr>
              <w:pStyle w:val="ConsPlusNormal"/>
            </w:pPr>
          </w:p>
        </w:tc>
        <w:tc>
          <w:tcPr>
            <w:tcW w:w="1814" w:type="dxa"/>
            <w:vAlign w:val="center"/>
          </w:tcPr>
          <w:p w14:paraId="6A67ACAB" w14:textId="77777777" w:rsidR="00454A29" w:rsidRDefault="00454A29">
            <w:pPr>
              <w:pStyle w:val="ConsPlusNormal"/>
            </w:pPr>
          </w:p>
        </w:tc>
      </w:tr>
      <w:tr w:rsidR="00454A29" w14:paraId="4296A7D8" w14:textId="77777777">
        <w:tc>
          <w:tcPr>
            <w:tcW w:w="567" w:type="dxa"/>
            <w:vMerge/>
          </w:tcPr>
          <w:p w14:paraId="1C5D782C" w14:textId="77777777" w:rsidR="00454A29" w:rsidRDefault="00454A29"/>
        </w:tc>
        <w:tc>
          <w:tcPr>
            <w:tcW w:w="3345" w:type="dxa"/>
            <w:vMerge/>
          </w:tcPr>
          <w:p w14:paraId="48D7F9CA" w14:textId="77777777" w:rsidR="00454A29" w:rsidRDefault="00454A29"/>
        </w:tc>
        <w:tc>
          <w:tcPr>
            <w:tcW w:w="1701" w:type="dxa"/>
            <w:vAlign w:val="center"/>
          </w:tcPr>
          <w:p w14:paraId="20969101" w14:textId="77777777" w:rsidR="00454A29" w:rsidRDefault="00454A29">
            <w:pPr>
              <w:pStyle w:val="ConsPlusNormal"/>
              <w:jc w:val="center"/>
            </w:pPr>
            <w:r>
              <w:t>2023</w:t>
            </w:r>
          </w:p>
        </w:tc>
        <w:tc>
          <w:tcPr>
            <w:tcW w:w="1417" w:type="dxa"/>
            <w:vMerge/>
          </w:tcPr>
          <w:p w14:paraId="4B4585F1" w14:textId="77777777" w:rsidR="00454A29" w:rsidRDefault="00454A29"/>
        </w:tc>
        <w:tc>
          <w:tcPr>
            <w:tcW w:w="2204" w:type="dxa"/>
            <w:vMerge/>
          </w:tcPr>
          <w:p w14:paraId="45303954" w14:textId="77777777" w:rsidR="00454A29" w:rsidRDefault="00454A29"/>
        </w:tc>
        <w:tc>
          <w:tcPr>
            <w:tcW w:w="1417" w:type="dxa"/>
            <w:vMerge/>
          </w:tcPr>
          <w:p w14:paraId="66142FFE" w14:textId="77777777" w:rsidR="00454A29" w:rsidRDefault="00454A29"/>
        </w:tc>
        <w:tc>
          <w:tcPr>
            <w:tcW w:w="2324" w:type="dxa"/>
            <w:vMerge/>
          </w:tcPr>
          <w:p w14:paraId="2F82135E" w14:textId="77777777" w:rsidR="00454A29" w:rsidRDefault="00454A29"/>
        </w:tc>
        <w:tc>
          <w:tcPr>
            <w:tcW w:w="1701" w:type="dxa"/>
            <w:vAlign w:val="center"/>
          </w:tcPr>
          <w:p w14:paraId="2C2DCCCC" w14:textId="77777777" w:rsidR="00454A29" w:rsidRDefault="00454A29">
            <w:pPr>
              <w:pStyle w:val="ConsPlusNormal"/>
            </w:pPr>
          </w:p>
        </w:tc>
        <w:tc>
          <w:tcPr>
            <w:tcW w:w="1814" w:type="dxa"/>
            <w:vAlign w:val="center"/>
          </w:tcPr>
          <w:p w14:paraId="74168B2B" w14:textId="77777777" w:rsidR="00454A29" w:rsidRDefault="00454A29">
            <w:pPr>
              <w:pStyle w:val="ConsPlusNormal"/>
            </w:pPr>
          </w:p>
        </w:tc>
        <w:tc>
          <w:tcPr>
            <w:tcW w:w="1701" w:type="dxa"/>
            <w:vAlign w:val="center"/>
          </w:tcPr>
          <w:p w14:paraId="1FE5E164" w14:textId="77777777" w:rsidR="00454A29" w:rsidRDefault="00454A29">
            <w:pPr>
              <w:pStyle w:val="ConsPlusNormal"/>
            </w:pPr>
          </w:p>
        </w:tc>
        <w:tc>
          <w:tcPr>
            <w:tcW w:w="1701" w:type="dxa"/>
            <w:vAlign w:val="center"/>
          </w:tcPr>
          <w:p w14:paraId="51047B0A" w14:textId="77777777" w:rsidR="00454A29" w:rsidRDefault="00454A29">
            <w:pPr>
              <w:pStyle w:val="ConsPlusNormal"/>
            </w:pPr>
          </w:p>
        </w:tc>
        <w:tc>
          <w:tcPr>
            <w:tcW w:w="1814" w:type="dxa"/>
            <w:vAlign w:val="center"/>
          </w:tcPr>
          <w:p w14:paraId="33F113F0" w14:textId="77777777" w:rsidR="00454A29" w:rsidRDefault="00454A29">
            <w:pPr>
              <w:pStyle w:val="ConsPlusNormal"/>
            </w:pPr>
          </w:p>
        </w:tc>
      </w:tr>
      <w:tr w:rsidR="00454A29" w14:paraId="2934475A" w14:textId="77777777">
        <w:tc>
          <w:tcPr>
            <w:tcW w:w="567" w:type="dxa"/>
            <w:vMerge/>
          </w:tcPr>
          <w:p w14:paraId="28B1D227" w14:textId="77777777" w:rsidR="00454A29" w:rsidRDefault="00454A29"/>
        </w:tc>
        <w:tc>
          <w:tcPr>
            <w:tcW w:w="3345" w:type="dxa"/>
            <w:vMerge/>
          </w:tcPr>
          <w:p w14:paraId="48D7DCFD" w14:textId="77777777" w:rsidR="00454A29" w:rsidRDefault="00454A29"/>
        </w:tc>
        <w:tc>
          <w:tcPr>
            <w:tcW w:w="1701" w:type="dxa"/>
            <w:vAlign w:val="center"/>
          </w:tcPr>
          <w:p w14:paraId="1C459FF1" w14:textId="77777777" w:rsidR="00454A29" w:rsidRDefault="00454A29">
            <w:pPr>
              <w:pStyle w:val="ConsPlusNormal"/>
              <w:jc w:val="center"/>
            </w:pPr>
            <w:r>
              <w:t>2024</w:t>
            </w:r>
          </w:p>
        </w:tc>
        <w:tc>
          <w:tcPr>
            <w:tcW w:w="1417" w:type="dxa"/>
            <w:vMerge/>
          </w:tcPr>
          <w:p w14:paraId="3615A5B6" w14:textId="77777777" w:rsidR="00454A29" w:rsidRDefault="00454A29"/>
        </w:tc>
        <w:tc>
          <w:tcPr>
            <w:tcW w:w="2204" w:type="dxa"/>
            <w:vMerge/>
          </w:tcPr>
          <w:p w14:paraId="778303B1" w14:textId="77777777" w:rsidR="00454A29" w:rsidRDefault="00454A29"/>
        </w:tc>
        <w:tc>
          <w:tcPr>
            <w:tcW w:w="1417" w:type="dxa"/>
            <w:vMerge/>
          </w:tcPr>
          <w:p w14:paraId="78318F90" w14:textId="77777777" w:rsidR="00454A29" w:rsidRDefault="00454A29"/>
        </w:tc>
        <w:tc>
          <w:tcPr>
            <w:tcW w:w="2324" w:type="dxa"/>
            <w:vMerge/>
          </w:tcPr>
          <w:p w14:paraId="205D87AB" w14:textId="77777777" w:rsidR="00454A29" w:rsidRDefault="00454A29"/>
        </w:tc>
        <w:tc>
          <w:tcPr>
            <w:tcW w:w="1701" w:type="dxa"/>
            <w:vAlign w:val="center"/>
          </w:tcPr>
          <w:p w14:paraId="3F2A6471" w14:textId="77777777" w:rsidR="00454A29" w:rsidRDefault="00454A29">
            <w:pPr>
              <w:pStyle w:val="ConsPlusNormal"/>
            </w:pPr>
          </w:p>
        </w:tc>
        <w:tc>
          <w:tcPr>
            <w:tcW w:w="1814" w:type="dxa"/>
            <w:vAlign w:val="center"/>
          </w:tcPr>
          <w:p w14:paraId="585C1B2A" w14:textId="77777777" w:rsidR="00454A29" w:rsidRDefault="00454A29">
            <w:pPr>
              <w:pStyle w:val="ConsPlusNormal"/>
            </w:pPr>
          </w:p>
        </w:tc>
        <w:tc>
          <w:tcPr>
            <w:tcW w:w="1701" w:type="dxa"/>
            <w:vAlign w:val="center"/>
          </w:tcPr>
          <w:p w14:paraId="608B0B79" w14:textId="77777777" w:rsidR="00454A29" w:rsidRDefault="00454A29">
            <w:pPr>
              <w:pStyle w:val="ConsPlusNormal"/>
            </w:pPr>
          </w:p>
        </w:tc>
        <w:tc>
          <w:tcPr>
            <w:tcW w:w="1701" w:type="dxa"/>
            <w:vAlign w:val="center"/>
          </w:tcPr>
          <w:p w14:paraId="51440C67" w14:textId="77777777" w:rsidR="00454A29" w:rsidRDefault="00454A29">
            <w:pPr>
              <w:pStyle w:val="ConsPlusNormal"/>
            </w:pPr>
          </w:p>
        </w:tc>
        <w:tc>
          <w:tcPr>
            <w:tcW w:w="1814" w:type="dxa"/>
            <w:vAlign w:val="center"/>
          </w:tcPr>
          <w:p w14:paraId="3A9CB764" w14:textId="77777777" w:rsidR="00454A29" w:rsidRDefault="00454A29">
            <w:pPr>
              <w:pStyle w:val="ConsPlusNormal"/>
            </w:pPr>
          </w:p>
        </w:tc>
      </w:tr>
      <w:tr w:rsidR="00454A29" w14:paraId="197E8FFF" w14:textId="77777777">
        <w:tc>
          <w:tcPr>
            <w:tcW w:w="567" w:type="dxa"/>
            <w:vMerge/>
          </w:tcPr>
          <w:p w14:paraId="55A2213C" w14:textId="77777777" w:rsidR="00454A29" w:rsidRDefault="00454A29"/>
        </w:tc>
        <w:tc>
          <w:tcPr>
            <w:tcW w:w="3345" w:type="dxa"/>
            <w:vMerge/>
          </w:tcPr>
          <w:p w14:paraId="47E1D6F5" w14:textId="77777777" w:rsidR="00454A29" w:rsidRDefault="00454A29"/>
        </w:tc>
        <w:tc>
          <w:tcPr>
            <w:tcW w:w="1701" w:type="dxa"/>
            <w:vAlign w:val="center"/>
          </w:tcPr>
          <w:p w14:paraId="3E005EE1" w14:textId="77777777" w:rsidR="00454A29" w:rsidRDefault="00454A29">
            <w:pPr>
              <w:pStyle w:val="ConsPlusNormal"/>
              <w:jc w:val="center"/>
            </w:pPr>
            <w:r>
              <w:t>2025</w:t>
            </w:r>
          </w:p>
        </w:tc>
        <w:tc>
          <w:tcPr>
            <w:tcW w:w="1417" w:type="dxa"/>
            <w:vMerge/>
          </w:tcPr>
          <w:p w14:paraId="2F44AA77" w14:textId="77777777" w:rsidR="00454A29" w:rsidRDefault="00454A29"/>
        </w:tc>
        <w:tc>
          <w:tcPr>
            <w:tcW w:w="2204" w:type="dxa"/>
            <w:vMerge/>
          </w:tcPr>
          <w:p w14:paraId="784C7111" w14:textId="77777777" w:rsidR="00454A29" w:rsidRDefault="00454A29"/>
        </w:tc>
        <w:tc>
          <w:tcPr>
            <w:tcW w:w="1417" w:type="dxa"/>
            <w:vMerge/>
          </w:tcPr>
          <w:p w14:paraId="279A9136" w14:textId="77777777" w:rsidR="00454A29" w:rsidRDefault="00454A29"/>
        </w:tc>
        <w:tc>
          <w:tcPr>
            <w:tcW w:w="2324" w:type="dxa"/>
            <w:vMerge/>
          </w:tcPr>
          <w:p w14:paraId="6FC19E27" w14:textId="77777777" w:rsidR="00454A29" w:rsidRDefault="00454A29"/>
        </w:tc>
        <w:tc>
          <w:tcPr>
            <w:tcW w:w="1701" w:type="dxa"/>
            <w:vAlign w:val="center"/>
          </w:tcPr>
          <w:p w14:paraId="71DD40B1" w14:textId="77777777" w:rsidR="00454A29" w:rsidRDefault="00454A29">
            <w:pPr>
              <w:pStyle w:val="ConsPlusNormal"/>
              <w:jc w:val="center"/>
            </w:pPr>
            <w:r>
              <w:t>331 042,07</w:t>
            </w:r>
          </w:p>
        </w:tc>
        <w:tc>
          <w:tcPr>
            <w:tcW w:w="1814" w:type="dxa"/>
            <w:vAlign w:val="center"/>
          </w:tcPr>
          <w:p w14:paraId="5007B053" w14:textId="77777777" w:rsidR="00454A29" w:rsidRDefault="00454A29">
            <w:pPr>
              <w:pStyle w:val="ConsPlusNormal"/>
              <w:jc w:val="center"/>
            </w:pPr>
            <w:r>
              <w:t>4 187,68</w:t>
            </w:r>
          </w:p>
        </w:tc>
        <w:tc>
          <w:tcPr>
            <w:tcW w:w="1701" w:type="dxa"/>
            <w:vAlign w:val="center"/>
          </w:tcPr>
          <w:p w14:paraId="52043AE4" w14:textId="77777777" w:rsidR="00454A29" w:rsidRDefault="00454A29">
            <w:pPr>
              <w:pStyle w:val="ConsPlusNormal"/>
              <w:jc w:val="center"/>
            </w:pPr>
            <w:r>
              <w:t>414 580,54</w:t>
            </w:r>
          </w:p>
        </w:tc>
        <w:tc>
          <w:tcPr>
            <w:tcW w:w="1701" w:type="dxa"/>
            <w:vAlign w:val="center"/>
          </w:tcPr>
          <w:p w14:paraId="07541566" w14:textId="77777777" w:rsidR="00454A29" w:rsidRDefault="00454A29">
            <w:pPr>
              <w:pStyle w:val="ConsPlusNormal"/>
            </w:pPr>
          </w:p>
        </w:tc>
        <w:tc>
          <w:tcPr>
            <w:tcW w:w="1814" w:type="dxa"/>
            <w:vAlign w:val="center"/>
          </w:tcPr>
          <w:p w14:paraId="3FC591FE" w14:textId="77777777" w:rsidR="00454A29" w:rsidRDefault="00454A29">
            <w:pPr>
              <w:pStyle w:val="ConsPlusNormal"/>
            </w:pPr>
          </w:p>
        </w:tc>
      </w:tr>
      <w:tr w:rsidR="00454A29" w14:paraId="08759E5D" w14:textId="77777777">
        <w:tc>
          <w:tcPr>
            <w:tcW w:w="567" w:type="dxa"/>
            <w:vMerge/>
          </w:tcPr>
          <w:p w14:paraId="2766F17F" w14:textId="77777777" w:rsidR="00454A29" w:rsidRDefault="00454A29"/>
        </w:tc>
        <w:tc>
          <w:tcPr>
            <w:tcW w:w="3345" w:type="dxa"/>
            <w:vMerge/>
          </w:tcPr>
          <w:p w14:paraId="334B5008" w14:textId="77777777" w:rsidR="00454A29" w:rsidRDefault="00454A29"/>
        </w:tc>
        <w:tc>
          <w:tcPr>
            <w:tcW w:w="1701" w:type="dxa"/>
            <w:vAlign w:val="center"/>
          </w:tcPr>
          <w:p w14:paraId="6B4A13E7" w14:textId="77777777" w:rsidR="00454A29" w:rsidRDefault="00454A29">
            <w:pPr>
              <w:pStyle w:val="ConsPlusNormal"/>
              <w:jc w:val="center"/>
            </w:pPr>
            <w:r>
              <w:t>2026</w:t>
            </w:r>
          </w:p>
        </w:tc>
        <w:tc>
          <w:tcPr>
            <w:tcW w:w="1417" w:type="dxa"/>
            <w:vMerge/>
          </w:tcPr>
          <w:p w14:paraId="13EA6C52" w14:textId="77777777" w:rsidR="00454A29" w:rsidRDefault="00454A29"/>
        </w:tc>
        <w:tc>
          <w:tcPr>
            <w:tcW w:w="2204" w:type="dxa"/>
            <w:vMerge/>
          </w:tcPr>
          <w:p w14:paraId="234A52BE" w14:textId="77777777" w:rsidR="00454A29" w:rsidRDefault="00454A29"/>
        </w:tc>
        <w:tc>
          <w:tcPr>
            <w:tcW w:w="1417" w:type="dxa"/>
            <w:vMerge/>
          </w:tcPr>
          <w:p w14:paraId="75550B67" w14:textId="77777777" w:rsidR="00454A29" w:rsidRDefault="00454A29"/>
        </w:tc>
        <w:tc>
          <w:tcPr>
            <w:tcW w:w="2324" w:type="dxa"/>
            <w:vMerge/>
          </w:tcPr>
          <w:p w14:paraId="5AA35A17" w14:textId="77777777" w:rsidR="00454A29" w:rsidRDefault="00454A29"/>
        </w:tc>
        <w:tc>
          <w:tcPr>
            <w:tcW w:w="1701" w:type="dxa"/>
            <w:vAlign w:val="center"/>
          </w:tcPr>
          <w:p w14:paraId="47C3FEF2" w14:textId="77777777" w:rsidR="00454A29" w:rsidRDefault="00454A29">
            <w:pPr>
              <w:pStyle w:val="ConsPlusNormal"/>
            </w:pPr>
          </w:p>
        </w:tc>
        <w:tc>
          <w:tcPr>
            <w:tcW w:w="1814" w:type="dxa"/>
            <w:vAlign w:val="center"/>
          </w:tcPr>
          <w:p w14:paraId="4518548B" w14:textId="77777777" w:rsidR="00454A29" w:rsidRDefault="00454A29">
            <w:pPr>
              <w:pStyle w:val="ConsPlusNormal"/>
            </w:pPr>
          </w:p>
        </w:tc>
        <w:tc>
          <w:tcPr>
            <w:tcW w:w="1701" w:type="dxa"/>
            <w:vAlign w:val="center"/>
          </w:tcPr>
          <w:p w14:paraId="51702F0A" w14:textId="77777777" w:rsidR="00454A29" w:rsidRDefault="00454A29">
            <w:pPr>
              <w:pStyle w:val="ConsPlusNormal"/>
            </w:pPr>
          </w:p>
        </w:tc>
        <w:tc>
          <w:tcPr>
            <w:tcW w:w="1701" w:type="dxa"/>
            <w:vAlign w:val="center"/>
          </w:tcPr>
          <w:p w14:paraId="57C9649A" w14:textId="77777777" w:rsidR="00454A29" w:rsidRDefault="00454A29">
            <w:pPr>
              <w:pStyle w:val="ConsPlusNormal"/>
            </w:pPr>
          </w:p>
        </w:tc>
        <w:tc>
          <w:tcPr>
            <w:tcW w:w="1814" w:type="dxa"/>
            <w:vAlign w:val="center"/>
          </w:tcPr>
          <w:p w14:paraId="64255D35" w14:textId="77777777" w:rsidR="00454A29" w:rsidRDefault="00454A29">
            <w:pPr>
              <w:pStyle w:val="ConsPlusNormal"/>
            </w:pPr>
          </w:p>
        </w:tc>
      </w:tr>
      <w:tr w:rsidR="00454A29" w14:paraId="5B101E18" w14:textId="77777777">
        <w:tc>
          <w:tcPr>
            <w:tcW w:w="567" w:type="dxa"/>
            <w:vMerge w:val="restart"/>
            <w:vAlign w:val="center"/>
          </w:tcPr>
          <w:p w14:paraId="2348FCAD" w14:textId="77777777" w:rsidR="00454A29" w:rsidRDefault="00454A29">
            <w:pPr>
              <w:pStyle w:val="ConsPlusNormal"/>
              <w:jc w:val="center"/>
            </w:pPr>
            <w:r>
              <w:t>140</w:t>
            </w:r>
          </w:p>
        </w:tc>
        <w:tc>
          <w:tcPr>
            <w:tcW w:w="3345" w:type="dxa"/>
            <w:vMerge w:val="restart"/>
            <w:vAlign w:val="center"/>
          </w:tcPr>
          <w:p w14:paraId="421236BD" w14:textId="77777777" w:rsidR="00454A29" w:rsidRDefault="00454A29">
            <w:pPr>
              <w:pStyle w:val="ConsPlusNormal"/>
              <w:jc w:val="center"/>
            </w:pPr>
            <w:r>
              <w:t>Школа на 70 учащихся в с. Эселях</w:t>
            </w:r>
          </w:p>
        </w:tc>
        <w:tc>
          <w:tcPr>
            <w:tcW w:w="1701" w:type="dxa"/>
            <w:vAlign w:val="center"/>
          </w:tcPr>
          <w:p w14:paraId="4FCACBD9" w14:textId="77777777" w:rsidR="00454A29" w:rsidRDefault="00454A29">
            <w:pPr>
              <w:pStyle w:val="ConsPlusNormal"/>
              <w:jc w:val="center"/>
            </w:pPr>
            <w:r>
              <w:t>2020 - 2026 годы - всего</w:t>
            </w:r>
          </w:p>
        </w:tc>
        <w:tc>
          <w:tcPr>
            <w:tcW w:w="1417" w:type="dxa"/>
            <w:vMerge w:val="restart"/>
            <w:vAlign w:val="center"/>
          </w:tcPr>
          <w:p w14:paraId="31FB1FD8" w14:textId="77777777" w:rsidR="00454A29" w:rsidRDefault="00454A29">
            <w:pPr>
              <w:pStyle w:val="ConsPlusNormal"/>
              <w:jc w:val="center"/>
            </w:pPr>
            <w:r>
              <w:t>257 477,17</w:t>
            </w:r>
          </w:p>
        </w:tc>
        <w:tc>
          <w:tcPr>
            <w:tcW w:w="2204" w:type="dxa"/>
            <w:vMerge w:val="restart"/>
            <w:vAlign w:val="center"/>
          </w:tcPr>
          <w:p w14:paraId="0A017D69" w14:textId="77777777" w:rsidR="00454A29" w:rsidRDefault="00454A29">
            <w:pPr>
              <w:pStyle w:val="ConsPlusNormal"/>
            </w:pPr>
          </w:p>
        </w:tc>
        <w:tc>
          <w:tcPr>
            <w:tcW w:w="1417" w:type="dxa"/>
            <w:vMerge w:val="restart"/>
            <w:vAlign w:val="center"/>
          </w:tcPr>
          <w:p w14:paraId="7634D3BF" w14:textId="77777777" w:rsidR="00454A29" w:rsidRDefault="00454A29">
            <w:pPr>
              <w:pStyle w:val="ConsPlusNormal"/>
              <w:jc w:val="center"/>
            </w:pPr>
            <w:r>
              <w:t>70</w:t>
            </w:r>
          </w:p>
        </w:tc>
        <w:tc>
          <w:tcPr>
            <w:tcW w:w="2324" w:type="dxa"/>
            <w:vMerge w:val="restart"/>
            <w:vAlign w:val="center"/>
          </w:tcPr>
          <w:p w14:paraId="63AC45D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30021E5" w14:textId="77777777" w:rsidR="00454A29" w:rsidRDefault="00454A29">
            <w:pPr>
              <w:pStyle w:val="ConsPlusNormal"/>
              <w:jc w:val="center"/>
            </w:pPr>
            <w:r>
              <w:t>257 477,17</w:t>
            </w:r>
          </w:p>
        </w:tc>
        <w:tc>
          <w:tcPr>
            <w:tcW w:w="1814" w:type="dxa"/>
            <w:vAlign w:val="center"/>
          </w:tcPr>
          <w:p w14:paraId="17213166" w14:textId="77777777" w:rsidR="00454A29" w:rsidRDefault="00454A29">
            <w:pPr>
              <w:pStyle w:val="ConsPlusNormal"/>
              <w:jc w:val="center"/>
            </w:pPr>
            <w:r>
              <w:t>3 257,09</w:t>
            </w:r>
          </w:p>
        </w:tc>
        <w:tc>
          <w:tcPr>
            <w:tcW w:w="1701" w:type="dxa"/>
            <w:vAlign w:val="center"/>
          </w:tcPr>
          <w:p w14:paraId="6F70DC69" w14:textId="77777777" w:rsidR="00454A29" w:rsidRDefault="00454A29">
            <w:pPr>
              <w:pStyle w:val="ConsPlusNormal"/>
              <w:jc w:val="center"/>
            </w:pPr>
            <w:r>
              <w:t>322 451,53</w:t>
            </w:r>
          </w:p>
        </w:tc>
        <w:tc>
          <w:tcPr>
            <w:tcW w:w="1701" w:type="dxa"/>
            <w:vAlign w:val="center"/>
          </w:tcPr>
          <w:p w14:paraId="57C4977D" w14:textId="77777777" w:rsidR="00454A29" w:rsidRDefault="00454A29">
            <w:pPr>
              <w:pStyle w:val="ConsPlusNormal"/>
              <w:jc w:val="center"/>
            </w:pPr>
            <w:r>
              <w:t>-</w:t>
            </w:r>
          </w:p>
        </w:tc>
        <w:tc>
          <w:tcPr>
            <w:tcW w:w="1814" w:type="dxa"/>
            <w:vAlign w:val="center"/>
          </w:tcPr>
          <w:p w14:paraId="2BF46D41" w14:textId="77777777" w:rsidR="00454A29" w:rsidRDefault="00454A29">
            <w:pPr>
              <w:pStyle w:val="ConsPlusNormal"/>
              <w:jc w:val="center"/>
            </w:pPr>
            <w:r>
              <w:t>-</w:t>
            </w:r>
          </w:p>
        </w:tc>
      </w:tr>
      <w:tr w:rsidR="00454A29" w14:paraId="2F395818" w14:textId="77777777">
        <w:tc>
          <w:tcPr>
            <w:tcW w:w="567" w:type="dxa"/>
            <w:vMerge/>
          </w:tcPr>
          <w:p w14:paraId="145F6380" w14:textId="77777777" w:rsidR="00454A29" w:rsidRDefault="00454A29"/>
        </w:tc>
        <w:tc>
          <w:tcPr>
            <w:tcW w:w="3345" w:type="dxa"/>
            <w:vMerge/>
          </w:tcPr>
          <w:p w14:paraId="2A78E4BE" w14:textId="77777777" w:rsidR="00454A29" w:rsidRDefault="00454A29"/>
        </w:tc>
        <w:tc>
          <w:tcPr>
            <w:tcW w:w="1701" w:type="dxa"/>
            <w:vAlign w:val="center"/>
          </w:tcPr>
          <w:p w14:paraId="7AEC0C2F" w14:textId="77777777" w:rsidR="00454A29" w:rsidRDefault="00454A29">
            <w:pPr>
              <w:pStyle w:val="ConsPlusNormal"/>
              <w:jc w:val="center"/>
            </w:pPr>
            <w:r>
              <w:t>2020</w:t>
            </w:r>
          </w:p>
        </w:tc>
        <w:tc>
          <w:tcPr>
            <w:tcW w:w="1417" w:type="dxa"/>
            <w:vMerge/>
          </w:tcPr>
          <w:p w14:paraId="4C9C6BFF" w14:textId="77777777" w:rsidR="00454A29" w:rsidRDefault="00454A29"/>
        </w:tc>
        <w:tc>
          <w:tcPr>
            <w:tcW w:w="2204" w:type="dxa"/>
            <w:vMerge/>
          </w:tcPr>
          <w:p w14:paraId="27E7F878" w14:textId="77777777" w:rsidR="00454A29" w:rsidRDefault="00454A29"/>
        </w:tc>
        <w:tc>
          <w:tcPr>
            <w:tcW w:w="1417" w:type="dxa"/>
            <w:vMerge/>
          </w:tcPr>
          <w:p w14:paraId="0933DD7A" w14:textId="77777777" w:rsidR="00454A29" w:rsidRDefault="00454A29"/>
        </w:tc>
        <w:tc>
          <w:tcPr>
            <w:tcW w:w="2324" w:type="dxa"/>
            <w:vMerge/>
          </w:tcPr>
          <w:p w14:paraId="25C4488B" w14:textId="77777777" w:rsidR="00454A29" w:rsidRDefault="00454A29"/>
        </w:tc>
        <w:tc>
          <w:tcPr>
            <w:tcW w:w="1701" w:type="dxa"/>
            <w:vAlign w:val="center"/>
          </w:tcPr>
          <w:p w14:paraId="761FD150" w14:textId="77777777" w:rsidR="00454A29" w:rsidRDefault="00454A29">
            <w:pPr>
              <w:pStyle w:val="ConsPlusNormal"/>
            </w:pPr>
          </w:p>
        </w:tc>
        <w:tc>
          <w:tcPr>
            <w:tcW w:w="1814" w:type="dxa"/>
            <w:vAlign w:val="center"/>
          </w:tcPr>
          <w:p w14:paraId="3DADDB94" w14:textId="77777777" w:rsidR="00454A29" w:rsidRDefault="00454A29">
            <w:pPr>
              <w:pStyle w:val="ConsPlusNormal"/>
            </w:pPr>
          </w:p>
        </w:tc>
        <w:tc>
          <w:tcPr>
            <w:tcW w:w="1701" w:type="dxa"/>
            <w:vAlign w:val="center"/>
          </w:tcPr>
          <w:p w14:paraId="51CD9DCC" w14:textId="77777777" w:rsidR="00454A29" w:rsidRDefault="00454A29">
            <w:pPr>
              <w:pStyle w:val="ConsPlusNormal"/>
            </w:pPr>
          </w:p>
        </w:tc>
        <w:tc>
          <w:tcPr>
            <w:tcW w:w="1701" w:type="dxa"/>
            <w:vAlign w:val="center"/>
          </w:tcPr>
          <w:p w14:paraId="582B7D90" w14:textId="77777777" w:rsidR="00454A29" w:rsidRDefault="00454A29">
            <w:pPr>
              <w:pStyle w:val="ConsPlusNormal"/>
            </w:pPr>
          </w:p>
        </w:tc>
        <w:tc>
          <w:tcPr>
            <w:tcW w:w="1814" w:type="dxa"/>
            <w:vAlign w:val="center"/>
          </w:tcPr>
          <w:p w14:paraId="177CF114" w14:textId="77777777" w:rsidR="00454A29" w:rsidRDefault="00454A29">
            <w:pPr>
              <w:pStyle w:val="ConsPlusNormal"/>
            </w:pPr>
          </w:p>
        </w:tc>
      </w:tr>
      <w:tr w:rsidR="00454A29" w14:paraId="125A9C75" w14:textId="77777777">
        <w:tc>
          <w:tcPr>
            <w:tcW w:w="567" w:type="dxa"/>
            <w:vMerge/>
          </w:tcPr>
          <w:p w14:paraId="45F563AA" w14:textId="77777777" w:rsidR="00454A29" w:rsidRDefault="00454A29"/>
        </w:tc>
        <w:tc>
          <w:tcPr>
            <w:tcW w:w="3345" w:type="dxa"/>
            <w:vMerge/>
          </w:tcPr>
          <w:p w14:paraId="71FD4D84" w14:textId="77777777" w:rsidR="00454A29" w:rsidRDefault="00454A29"/>
        </w:tc>
        <w:tc>
          <w:tcPr>
            <w:tcW w:w="1701" w:type="dxa"/>
            <w:vAlign w:val="center"/>
          </w:tcPr>
          <w:p w14:paraId="1D93BC36" w14:textId="77777777" w:rsidR="00454A29" w:rsidRDefault="00454A29">
            <w:pPr>
              <w:pStyle w:val="ConsPlusNormal"/>
              <w:jc w:val="center"/>
            </w:pPr>
            <w:r>
              <w:t>2021</w:t>
            </w:r>
          </w:p>
        </w:tc>
        <w:tc>
          <w:tcPr>
            <w:tcW w:w="1417" w:type="dxa"/>
            <w:vMerge/>
          </w:tcPr>
          <w:p w14:paraId="47A835D0" w14:textId="77777777" w:rsidR="00454A29" w:rsidRDefault="00454A29"/>
        </w:tc>
        <w:tc>
          <w:tcPr>
            <w:tcW w:w="2204" w:type="dxa"/>
            <w:vMerge/>
          </w:tcPr>
          <w:p w14:paraId="1B25505F" w14:textId="77777777" w:rsidR="00454A29" w:rsidRDefault="00454A29"/>
        </w:tc>
        <w:tc>
          <w:tcPr>
            <w:tcW w:w="1417" w:type="dxa"/>
            <w:vMerge/>
          </w:tcPr>
          <w:p w14:paraId="0188FDE5" w14:textId="77777777" w:rsidR="00454A29" w:rsidRDefault="00454A29"/>
        </w:tc>
        <w:tc>
          <w:tcPr>
            <w:tcW w:w="2324" w:type="dxa"/>
            <w:vMerge/>
          </w:tcPr>
          <w:p w14:paraId="7F80E233" w14:textId="77777777" w:rsidR="00454A29" w:rsidRDefault="00454A29"/>
        </w:tc>
        <w:tc>
          <w:tcPr>
            <w:tcW w:w="1701" w:type="dxa"/>
            <w:vAlign w:val="center"/>
          </w:tcPr>
          <w:p w14:paraId="0E72BE96" w14:textId="77777777" w:rsidR="00454A29" w:rsidRDefault="00454A29">
            <w:pPr>
              <w:pStyle w:val="ConsPlusNormal"/>
              <w:jc w:val="center"/>
            </w:pPr>
            <w:r>
              <w:t>-</w:t>
            </w:r>
          </w:p>
        </w:tc>
        <w:tc>
          <w:tcPr>
            <w:tcW w:w="1814" w:type="dxa"/>
            <w:vAlign w:val="center"/>
          </w:tcPr>
          <w:p w14:paraId="6306297A" w14:textId="77777777" w:rsidR="00454A29" w:rsidRDefault="00454A29">
            <w:pPr>
              <w:pStyle w:val="ConsPlusNormal"/>
            </w:pPr>
          </w:p>
        </w:tc>
        <w:tc>
          <w:tcPr>
            <w:tcW w:w="1701" w:type="dxa"/>
            <w:vAlign w:val="center"/>
          </w:tcPr>
          <w:p w14:paraId="7E7214DE" w14:textId="77777777" w:rsidR="00454A29" w:rsidRDefault="00454A29">
            <w:pPr>
              <w:pStyle w:val="ConsPlusNormal"/>
            </w:pPr>
          </w:p>
        </w:tc>
        <w:tc>
          <w:tcPr>
            <w:tcW w:w="1701" w:type="dxa"/>
            <w:vAlign w:val="center"/>
          </w:tcPr>
          <w:p w14:paraId="799789E6" w14:textId="77777777" w:rsidR="00454A29" w:rsidRDefault="00454A29">
            <w:pPr>
              <w:pStyle w:val="ConsPlusNormal"/>
            </w:pPr>
          </w:p>
        </w:tc>
        <w:tc>
          <w:tcPr>
            <w:tcW w:w="1814" w:type="dxa"/>
            <w:vAlign w:val="center"/>
          </w:tcPr>
          <w:p w14:paraId="45922322" w14:textId="77777777" w:rsidR="00454A29" w:rsidRDefault="00454A29">
            <w:pPr>
              <w:pStyle w:val="ConsPlusNormal"/>
            </w:pPr>
          </w:p>
        </w:tc>
      </w:tr>
      <w:tr w:rsidR="00454A29" w14:paraId="237C360D" w14:textId="77777777">
        <w:tc>
          <w:tcPr>
            <w:tcW w:w="567" w:type="dxa"/>
            <w:vMerge/>
          </w:tcPr>
          <w:p w14:paraId="3930E475" w14:textId="77777777" w:rsidR="00454A29" w:rsidRDefault="00454A29"/>
        </w:tc>
        <w:tc>
          <w:tcPr>
            <w:tcW w:w="3345" w:type="dxa"/>
            <w:vMerge/>
          </w:tcPr>
          <w:p w14:paraId="23B93FF0" w14:textId="77777777" w:rsidR="00454A29" w:rsidRDefault="00454A29"/>
        </w:tc>
        <w:tc>
          <w:tcPr>
            <w:tcW w:w="1701" w:type="dxa"/>
            <w:vAlign w:val="center"/>
          </w:tcPr>
          <w:p w14:paraId="14D68F17" w14:textId="77777777" w:rsidR="00454A29" w:rsidRDefault="00454A29">
            <w:pPr>
              <w:pStyle w:val="ConsPlusNormal"/>
              <w:jc w:val="center"/>
            </w:pPr>
            <w:r>
              <w:t>2022</w:t>
            </w:r>
          </w:p>
        </w:tc>
        <w:tc>
          <w:tcPr>
            <w:tcW w:w="1417" w:type="dxa"/>
            <w:vMerge/>
          </w:tcPr>
          <w:p w14:paraId="063C21FA" w14:textId="77777777" w:rsidR="00454A29" w:rsidRDefault="00454A29"/>
        </w:tc>
        <w:tc>
          <w:tcPr>
            <w:tcW w:w="2204" w:type="dxa"/>
            <w:vMerge/>
          </w:tcPr>
          <w:p w14:paraId="4BF02546" w14:textId="77777777" w:rsidR="00454A29" w:rsidRDefault="00454A29"/>
        </w:tc>
        <w:tc>
          <w:tcPr>
            <w:tcW w:w="1417" w:type="dxa"/>
            <w:vMerge/>
          </w:tcPr>
          <w:p w14:paraId="56D2C3C6" w14:textId="77777777" w:rsidR="00454A29" w:rsidRDefault="00454A29"/>
        </w:tc>
        <w:tc>
          <w:tcPr>
            <w:tcW w:w="2324" w:type="dxa"/>
            <w:vMerge/>
          </w:tcPr>
          <w:p w14:paraId="6EAD587F" w14:textId="77777777" w:rsidR="00454A29" w:rsidRDefault="00454A29"/>
        </w:tc>
        <w:tc>
          <w:tcPr>
            <w:tcW w:w="1701" w:type="dxa"/>
            <w:vAlign w:val="center"/>
          </w:tcPr>
          <w:p w14:paraId="0B28EA9D" w14:textId="77777777" w:rsidR="00454A29" w:rsidRDefault="00454A29">
            <w:pPr>
              <w:pStyle w:val="ConsPlusNormal"/>
            </w:pPr>
          </w:p>
        </w:tc>
        <w:tc>
          <w:tcPr>
            <w:tcW w:w="1814" w:type="dxa"/>
            <w:vAlign w:val="center"/>
          </w:tcPr>
          <w:p w14:paraId="3BBD40DB" w14:textId="77777777" w:rsidR="00454A29" w:rsidRDefault="00454A29">
            <w:pPr>
              <w:pStyle w:val="ConsPlusNormal"/>
            </w:pPr>
          </w:p>
        </w:tc>
        <w:tc>
          <w:tcPr>
            <w:tcW w:w="1701" w:type="dxa"/>
            <w:vAlign w:val="center"/>
          </w:tcPr>
          <w:p w14:paraId="666DF7C2" w14:textId="77777777" w:rsidR="00454A29" w:rsidRDefault="00454A29">
            <w:pPr>
              <w:pStyle w:val="ConsPlusNormal"/>
            </w:pPr>
          </w:p>
        </w:tc>
        <w:tc>
          <w:tcPr>
            <w:tcW w:w="1701" w:type="dxa"/>
            <w:vAlign w:val="center"/>
          </w:tcPr>
          <w:p w14:paraId="23C6C464" w14:textId="77777777" w:rsidR="00454A29" w:rsidRDefault="00454A29">
            <w:pPr>
              <w:pStyle w:val="ConsPlusNormal"/>
            </w:pPr>
          </w:p>
        </w:tc>
        <w:tc>
          <w:tcPr>
            <w:tcW w:w="1814" w:type="dxa"/>
            <w:vAlign w:val="center"/>
          </w:tcPr>
          <w:p w14:paraId="1B68EDEC" w14:textId="77777777" w:rsidR="00454A29" w:rsidRDefault="00454A29">
            <w:pPr>
              <w:pStyle w:val="ConsPlusNormal"/>
            </w:pPr>
          </w:p>
        </w:tc>
      </w:tr>
      <w:tr w:rsidR="00454A29" w14:paraId="54A2711D" w14:textId="77777777">
        <w:tc>
          <w:tcPr>
            <w:tcW w:w="567" w:type="dxa"/>
            <w:vMerge/>
          </w:tcPr>
          <w:p w14:paraId="6F3256DA" w14:textId="77777777" w:rsidR="00454A29" w:rsidRDefault="00454A29"/>
        </w:tc>
        <w:tc>
          <w:tcPr>
            <w:tcW w:w="3345" w:type="dxa"/>
            <w:vMerge/>
          </w:tcPr>
          <w:p w14:paraId="793AE9FE" w14:textId="77777777" w:rsidR="00454A29" w:rsidRDefault="00454A29"/>
        </w:tc>
        <w:tc>
          <w:tcPr>
            <w:tcW w:w="1701" w:type="dxa"/>
            <w:vAlign w:val="center"/>
          </w:tcPr>
          <w:p w14:paraId="642FBEC4" w14:textId="77777777" w:rsidR="00454A29" w:rsidRDefault="00454A29">
            <w:pPr>
              <w:pStyle w:val="ConsPlusNormal"/>
              <w:jc w:val="center"/>
            </w:pPr>
            <w:r>
              <w:t>2023</w:t>
            </w:r>
          </w:p>
        </w:tc>
        <w:tc>
          <w:tcPr>
            <w:tcW w:w="1417" w:type="dxa"/>
            <w:vMerge/>
          </w:tcPr>
          <w:p w14:paraId="16B64B09" w14:textId="77777777" w:rsidR="00454A29" w:rsidRDefault="00454A29"/>
        </w:tc>
        <w:tc>
          <w:tcPr>
            <w:tcW w:w="2204" w:type="dxa"/>
            <w:vMerge/>
          </w:tcPr>
          <w:p w14:paraId="6A6945F9" w14:textId="77777777" w:rsidR="00454A29" w:rsidRDefault="00454A29"/>
        </w:tc>
        <w:tc>
          <w:tcPr>
            <w:tcW w:w="1417" w:type="dxa"/>
            <w:vMerge/>
          </w:tcPr>
          <w:p w14:paraId="63AE5A04" w14:textId="77777777" w:rsidR="00454A29" w:rsidRDefault="00454A29"/>
        </w:tc>
        <w:tc>
          <w:tcPr>
            <w:tcW w:w="2324" w:type="dxa"/>
            <w:vMerge/>
          </w:tcPr>
          <w:p w14:paraId="32C02F42" w14:textId="77777777" w:rsidR="00454A29" w:rsidRDefault="00454A29"/>
        </w:tc>
        <w:tc>
          <w:tcPr>
            <w:tcW w:w="1701" w:type="dxa"/>
            <w:vAlign w:val="center"/>
          </w:tcPr>
          <w:p w14:paraId="11E1CEB9" w14:textId="77777777" w:rsidR="00454A29" w:rsidRDefault="00454A29">
            <w:pPr>
              <w:pStyle w:val="ConsPlusNormal"/>
            </w:pPr>
          </w:p>
        </w:tc>
        <w:tc>
          <w:tcPr>
            <w:tcW w:w="1814" w:type="dxa"/>
            <w:vAlign w:val="center"/>
          </w:tcPr>
          <w:p w14:paraId="1EC43739" w14:textId="77777777" w:rsidR="00454A29" w:rsidRDefault="00454A29">
            <w:pPr>
              <w:pStyle w:val="ConsPlusNormal"/>
            </w:pPr>
          </w:p>
        </w:tc>
        <w:tc>
          <w:tcPr>
            <w:tcW w:w="1701" w:type="dxa"/>
            <w:vAlign w:val="center"/>
          </w:tcPr>
          <w:p w14:paraId="68873908" w14:textId="77777777" w:rsidR="00454A29" w:rsidRDefault="00454A29">
            <w:pPr>
              <w:pStyle w:val="ConsPlusNormal"/>
            </w:pPr>
          </w:p>
        </w:tc>
        <w:tc>
          <w:tcPr>
            <w:tcW w:w="1701" w:type="dxa"/>
            <w:vAlign w:val="center"/>
          </w:tcPr>
          <w:p w14:paraId="26A3D202" w14:textId="77777777" w:rsidR="00454A29" w:rsidRDefault="00454A29">
            <w:pPr>
              <w:pStyle w:val="ConsPlusNormal"/>
            </w:pPr>
          </w:p>
        </w:tc>
        <w:tc>
          <w:tcPr>
            <w:tcW w:w="1814" w:type="dxa"/>
            <w:vAlign w:val="center"/>
          </w:tcPr>
          <w:p w14:paraId="75BC51FE" w14:textId="77777777" w:rsidR="00454A29" w:rsidRDefault="00454A29">
            <w:pPr>
              <w:pStyle w:val="ConsPlusNormal"/>
            </w:pPr>
          </w:p>
        </w:tc>
      </w:tr>
      <w:tr w:rsidR="00454A29" w14:paraId="0BF06E1B" w14:textId="77777777">
        <w:tc>
          <w:tcPr>
            <w:tcW w:w="567" w:type="dxa"/>
            <w:vMerge/>
          </w:tcPr>
          <w:p w14:paraId="76DA387A" w14:textId="77777777" w:rsidR="00454A29" w:rsidRDefault="00454A29"/>
        </w:tc>
        <w:tc>
          <w:tcPr>
            <w:tcW w:w="3345" w:type="dxa"/>
            <w:vMerge/>
          </w:tcPr>
          <w:p w14:paraId="2CB5A372" w14:textId="77777777" w:rsidR="00454A29" w:rsidRDefault="00454A29"/>
        </w:tc>
        <w:tc>
          <w:tcPr>
            <w:tcW w:w="1701" w:type="dxa"/>
            <w:vAlign w:val="center"/>
          </w:tcPr>
          <w:p w14:paraId="4F4C2175" w14:textId="77777777" w:rsidR="00454A29" w:rsidRDefault="00454A29">
            <w:pPr>
              <w:pStyle w:val="ConsPlusNormal"/>
              <w:jc w:val="center"/>
            </w:pPr>
            <w:r>
              <w:t>2024</w:t>
            </w:r>
          </w:p>
        </w:tc>
        <w:tc>
          <w:tcPr>
            <w:tcW w:w="1417" w:type="dxa"/>
            <w:vMerge/>
          </w:tcPr>
          <w:p w14:paraId="36AC6590" w14:textId="77777777" w:rsidR="00454A29" w:rsidRDefault="00454A29"/>
        </w:tc>
        <w:tc>
          <w:tcPr>
            <w:tcW w:w="2204" w:type="dxa"/>
            <w:vMerge/>
          </w:tcPr>
          <w:p w14:paraId="0EC119E9" w14:textId="77777777" w:rsidR="00454A29" w:rsidRDefault="00454A29"/>
        </w:tc>
        <w:tc>
          <w:tcPr>
            <w:tcW w:w="1417" w:type="dxa"/>
            <w:vMerge/>
          </w:tcPr>
          <w:p w14:paraId="210BB5E5" w14:textId="77777777" w:rsidR="00454A29" w:rsidRDefault="00454A29"/>
        </w:tc>
        <w:tc>
          <w:tcPr>
            <w:tcW w:w="2324" w:type="dxa"/>
            <w:vMerge/>
          </w:tcPr>
          <w:p w14:paraId="594DD926" w14:textId="77777777" w:rsidR="00454A29" w:rsidRDefault="00454A29"/>
        </w:tc>
        <w:tc>
          <w:tcPr>
            <w:tcW w:w="1701" w:type="dxa"/>
            <w:vAlign w:val="center"/>
          </w:tcPr>
          <w:p w14:paraId="1A90612C" w14:textId="77777777" w:rsidR="00454A29" w:rsidRDefault="00454A29">
            <w:pPr>
              <w:pStyle w:val="ConsPlusNormal"/>
            </w:pPr>
          </w:p>
        </w:tc>
        <w:tc>
          <w:tcPr>
            <w:tcW w:w="1814" w:type="dxa"/>
            <w:vAlign w:val="center"/>
          </w:tcPr>
          <w:p w14:paraId="2FEC8AB6" w14:textId="77777777" w:rsidR="00454A29" w:rsidRDefault="00454A29">
            <w:pPr>
              <w:pStyle w:val="ConsPlusNormal"/>
            </w:pPr>
          </w:p>
        </w:tc>
        <w:tc>
          <w:tcPr>
            <w:tcW w:w="1701" w:type="dxa"/>
            <w:vAlign w:val="center"/>
          </w:tcPr>
          <w:p w14:paraId="209224A9" w14:textId="77777777" w:rsidR="00454A29" w:rsidRDefault="00454A29">
            <w:pPr>
              <w:pStyle w:val="ConsPlusNormal"/>
            </w:pPr>
          </w:p>
        </w:tc>
        <w:tc>
          <w:tcPr>
            <w:tcW w:w="1701" w:type="dxa"/>
            <w:vAlign w:val="center"/>
          </w:tcPr>
          <w:p w14:paraId="2195383F" w14:textId="77777777" w:rsidR="00454A29" w:rsidRDefault="00454A29">
            <w:pPr>
              <w:pStyle w:val="ConsPlusNormal"/>
            </w:pPr>
          </w:p>
        </w:tc>
        <w:tc>
          <w:tcPr>
            <w:tcW w:w="1814" w:type="dxa"/>
            <w:vAlign w:val="center"/>
          </w:tcPr>
          <w:p w14:paraId="749B7BFC" w14:textId="77777777" w:rsidR="00454A29" w:rsidRDefault="00454A29">
            <w:pPr>
              <w:pStyle w:val="ConsPlusNormal"/>
            </w:pPr>
          </w:p>
        </w:tc>
      </w:tr>
      <w:tr w:rsidR="00454A29" w14:paraId="16466F9C" w14:textId="77777777">
        <w:tc>
          <w:tcPr>
            <w:tcW w:w="567" w:type="dxa"/>
            <w:vMerge/>
          </w:tcPr>
          <w:p w14:paraId="21BCC984" w14:textId="77777777" w:rsidR="00454A29" w:rsidRDefault="00454A29"/>
        </w:tc>
        <w:tc>
          <w:tcPr>
            <w:tcW w:w="3345" w:type="dxa"/>
            <w:vMerge/>
          </w:tcPr>
          <w:p w14:paraId="628BA046" w14:textId="77777777" w:rsidR="00454A29" w:rsidRDefault="00454A29"/>
        </w:tc>
        <w:tc>
          <w:tcPr>
            <w:tcW w:w="1701" w:type="dxa"/>
            <w:vAlign w:val="center"/>
          </w:tcPr>
          <w:p w14:paraId="219076AC" w14:textId="77777777" w:rsidR="00454A29" w:rsidRDefault="00454A29">
            <w:pPr>
              <w:pStyle w:val="ConsPlusNormal"/>
              <w:jc w:val="center"/>
            </w:pPr>
            <w:r>
              <w:t>2025</w:t>
            </w:r>
          </w:p>
        </w:tc>
        <w:tc>
          <w:tcPr>
            <w:tcW w:w="1417" w:type="dxa"/>
            <w:vMerge/>
          </w:tcPr>
          <w:p w14:paraId="3E2564C6" w14:textId="77777777" w:rsidR="00454A29" w:rsidRDefault="00454A29"/>
        </w:tc>
        <w:tc>
          <w:tcPr>
            <w:tcW w:w="2204" w:type="dxa"/>
            <w:vMerge/>
          </w:tcPr>
          <w:p w14:paraId="3B97D3ED" w14:textId="77777777" w:rsidR="00454A29" w:rsidRDefault="00454A29"/>
        </w:tc>
        <w:tc>
          <w:tcPr>
            <w:tcW w:w="1417" w:type="dxa"/>
            <w:vMerge/>
          </w:tcPr>
          <w:p w14:paraId="4AA9F653" w14:textId="77777777" w:rsidR="00454A29" w:rsidRDefault="00454A29"/>
        </w:tc>
        <w:tc>
          <w:tcPr>
            <w:tcW w:w="2324" w:type="dxa"/>
            <w:vMerge/>
          </w:tcPr>
          <w:p w14:paraId="755BB613" w14:textId="77777777" w:rsidR="00454A29" w:rsidRDefault="00454A29"/>
        </w:tc>
        <w:tc>
          <w:tcPr>
            <w:tcW w:w="1701" w:type="dxa"/>
            <w:vAlign w:val="center"/>
          </w:tcPr>
          <w:p w14:paraId="5A64F4A1" w14:textId="77777777" w:rsidR="00454A29" w:rsidRDefault="00454A29">
            <w:pPr>
              <w:pStyle w:val="ConsPlusNormal"/>
              <w:jc w:val="center"/>
            </w:pPr>
            <w:r>
              <w:t>257 477,17</w:t>
            </w:r>
          </w:p>
        </w:tc>
        <w:tc>
          <w:tcPr>
            <w:tcW w:w="1814" w:type="dxa"/>
            <w:vAlign w:val="center"/>
          </w:tcPr>
          <w:p w14:paraId="6E09BCE5" w14:textId="77777777" w:rsidR="00454A29" w:rsidRDefault="00454A29">
            <w:pPr>
              <w:pStyle w:val="ConsPlusNormal"/>
              <w:jc w:val="center"/>
            </w:pPr>
            <w:r>
              <w:t>3 257,09</w:t>
            </w:r>
          </w:p>
        </w:tc>
        <w:tc>
          <w:tcPr>
            <w:tcW w:w="1701" w:type="dxa"/>
            <w:vAlign w:val="center"/>
          </w:tcPr>
          <w:p w14:paraId="06A0996D" w14:textId="77777777" w:rsidR="00454A29" w:rsidRDefault="00454A29">
            <w:pPr>
              <w:pStyle w:val="ConsPlusNormal"/>
              <w:jc w:val="center"/>
            </w:pPr>
            <w:r>
              <w:t>322 451,53</w:t>
            </w:r>
          </w:p>
        </w:tc>
        <w:tc>
          <w:tcPr>
            <w:tcW w:w="1701" w:type="dxa"/>
            <w:vAlign w:val="center"/>
          </w:tcPr>
          <w:p w14:paraId="5A2AA45E" w14:textId="77777777" w:rsidR="00454A29" w:rsidRDefault="00454A29">
            <w:pPr>
              <w:pStyle w:val="ConsPlusNormal"/>
            </w:pPr>
          </w:p>
        </w:tc>
        <w:tc>
          <w:tcPr>
            <w:tcW w:w="1814" w:type="dxa"/>
            <w:vAlign w:val="center"/>
          </w:tcPr>
          <w:p w14:paraId="30F085B6" w14:textId="77777777" w:rsidR="00454A29" w:rsidRDefault="00454A29">
            <w:pPr>
              <w:pStyle w:val="ConsPlusNormal"/>
            </w:pPr>
          </w:p>
        </w:tc>
      </w:tr>
      <w:tr w:rsidR="00454A29" w14:paraId="312C7711" w14:textId="77777777">
        <w:tc>
          <w:tcPr>
            <w:tcW w:w="567" w:type="dxa"/>
            <w:vMerge/>
          </w:tcPr>
          <w:p w14:paraId="27347B01" w14:textId="77777777" w:rsidR="00454A29" w:rsidRDefault="00454A29"/>
        </w:tc>
        <w:tc>
          <w:tcPr>
            <w:tcW w:w="3345" w:type="dxa"/>
            <w:vMerge/>
          </w:tcPr>
          <w:p w14:paraId="235FAC35" w14:textId="77777777" w:rsidR="00454A29" w:rsidRDefault="00454A29"/>
        </w:tc>
        <w:tc>
          <w:tcPr>
            <w:tcW w:w="1701" w:type="dxa"/>
            <w:vAlign w:val="center"/>
          </w:tcPr>
          <w:p w14:paraId="285E34BD" w14:textId="77777777" w:rsidR="00454A29" w:rsidRDefault="00454A29">
            <w:pPr>
              <w:pStyle w:val="ConsPlusNormal"/>
              <w:jc w:val="center"/>
            </w:pPr>
            <w:r>
              <w:t>2026</w:t>
            </w:r>
          </w:p>
        </w:tc>
        <w:tc>
          <w:tcPr>
            <w:tcW w:w="1417" w:type="dxa"/>
            <w:vMerge/>
          </w:tcPr>
          <w:p w14:paraId="4119F513" w14:textId="77777777" w:rsidR="00454A29" w:rsidRDefault="00454A29"/>
        </w:tc>
        <w:tc>
          <w:tcPr>
            <w:tcW w:w="2204" w:type="dxa"/>
            <w:vMerge/>
          </w:tcPr>
          <w:p w14:paraId="1BDBBF82" w14:textId="77777777" w:rsidR="00454A29" w:rsidRDefault="00454A29"/>
        </w:tc>
        <w:tc>
          <w:tcPr>
            <w:tcW w:w="1417" w:type="dxa"/>
            <w:vMerge/>
          </w:tcPr>
          <w:p w14:paraId="584E9D64" w14:textId="77777777" w:rsidR="00454A29" w:rsidRDefault="00454A29"/>
        </w:tc>
        <w:tc>
          <w:tcPr>
            <w:tcW w:w="2324" w:type="dxa"/>
            <w:vMerge/>
          </w:tcPr>
          <w:p w14:paraId="5AF8E3E3" w14:textId="77777777" w:rsidR="00454A29" w:rsidRDefault="00454A29"/>
        </w:tc>
        <w:tc>
          <w:tcPr>
            <w:tcW w:w="1701" w:type="dxa"/>
            <w:vAlign w:val="center"/>
          </w:tcPr>
          <w:p w14:paraId="194B5E26" w14:textId="77777777" w:rsidR="00454A29" w:rsidRDefault="00454A29">
            <w:pPr>
              <w:pStyle w:val="ConsPlusNormal"/>
            </w:pPr>
          </w:p>
        </w:tc>
        <w:tc>
          <w:tcPr>
            <w:tcW w:w="1814" w:type="dxa"/>
            <w:vAlign w:val="center"/>
          </w:tcPr>
          <w:p w14:paraId="7B6793BE" w14:textId="77777777" w:rsidR="00454A29" w:rsidRDefault="00454A29">
            <w:pPr>
              <w:pStyle w:val="ConsPlusNormal"/>
            </w:pPr>
          </w:p>
        </w:tc>
        <w:tc>
          <w:tcPr>
            <w:tcW w:w="1701" w:type="dxa"/>
            <w:vAlign w:val="center"/>
          </w:tcPr>
          <w:p w14:paraId="4F9BEC37" w14:textId="77777777" w:rsidR="00454A29" w:rsidRDefault="00454A29">
            <w:pPr>
              <w:pStyle w:val="ConsPlusNormal"/>
            </w:pPr>
          </w:p>
        </w:tc>
        <w:tc>
          <w:tcPr>
            <w:tcW w:w="1701" w:type="dxa"/>
            <w:vAlign w:val="center"/>
          </w:tcPr>
          <w:p w14:paraId="2BC1CE20" w14:textId="77777777" w:rsidR="00454A29" w:rsidRDefault="00454A29">
            <w:pPr>
              <w:pStyle w:val="ConsPlusNormal"/>
            </w:pPr>
          </w:p>
        </w:tc>
        <w:tc>
          <w:tcPr>
            <w:tcW w:w="1814" w:type="dxa"/>
            <w:vAlign w:val="center"/>
          </w:tcPr>
          <w:p w14:paraId="450D7ACA" w14:textId="77777777" w:rsidR="00454A29" w:rsidRDefault="00454A29">
            <w:pPr>
              <w:pStyle w:val="ConsPlusNormal"/>
            </w:pPr>
          </w:p>
        </w:tc>
      </w:tr>
      <w:tr w:rsidR="00454A29" w14:paraId="64E9AC1A" w14:textId="77777777">
        <w:tc>
          <w:tcPr>
            <w:tcW w:w="567" w:type="dxa"/>
            <w:vMerge w:val="restart"/>
            <w:vAlign w:val="center"/>
          </w:tcPr>
          <w:p w14:paraId="11E09F4B" w14:textId="77777777" w:rsidR="00454A29" w:rsidRDefault="00454A29">
            <w:pPr>
              <w:pStyle w:val="ConsPlusNormal"/>
              <w:jc w:val="center"/>
            </w:pPr>
            <w:r>
              <w:t>141</w:t>
            </w:r>
          </w:p>
        </w:tc>
        <w:tc>
          <w:tcPr>
            <w:tcW w:w="3345" w:type="dxa"/>
            <w:vMerge w:val="restart"/>
            <w:vAlign w:val="center"/>
          </w:tcPr>
          <w:p w14:paraId="714BCB19" w14:textId="77777777" w:rsidR="00454A29" w:rsidRDefault="00454A29">
            <w:pPr>
              <w:pStyle w:val="ConsPlusNormal"/>
              <w:jc w:val="center"/>
            </w:pPr>
            <w:r>
              <w:t>Школа на 120 учащихся в с. Сырдах</w:t>
            </w:r>
          </w:p>
        </w:tc>
        <w:tc>
          <w:tcPr>
            <w:tcW w:w="1701" w:type="dxa"/>
            <w:vAlign w:val="center"/>
          </w:tcPr>
          <w:p w14:paraId="03BB6989" w14:textId="77777777" w:rsidR="00454A29" w:rsidRDefault="00454A29">
            <w:pPr>
              <w:pStyle w:val="ConsPlusNormal"/>
              <w:jc w:val="center"/>
            </w:pPr>
            <w:r>
              <w:t>2020 - 2026 годы - всего</w:t>
            </w:r>
          </w:p>
        </w:tc>
        <w:tc>
          <w:tcPr>
            <w:tcW w:w="1417" w:type="dxa"/>
            <w:vMerge w:val="restart"/>
            <w:vAlign w:val="center"/>
          </w:tcPr>
          <w:p w14:paraId="47CC4C2A" w14:textId="77777777" w:rsidR="00454A29" w:rsidRDefault="00454A29">
            <w:pPr>
              <w:pStyle w:val="ConsPlusNormal"/>
              <w:jc w:val="center"/>
            </w:pPr>
            <w:r>
              <w:t>399 041,30</w:t>
            </w:r>
          </w:p>
        </w:tc>
        <w:tc>
          <w:tcPr>
            <w:tcW w:w="2204" w:type="dxa"/>
            <w:vMerge w:val="restart"/>
            <w:vAlign w:val="center"/>
          </w:tcPr>
          <w:p w14:paraId="0392C539" w14:textId="77777777" w:rsidR="00454A29" w:rsidRDefault="00454A29">
            <w:pPr>
              <w:pStyle w:val="ConsPlusNormal"/>
            </w:pPr>
          </w:p>
        </w:tc>
        <w:tc>
          <w:tcPr>
            <w:tcW w:w="1417" w:type="dxa"/>
            <w:vMerge w:val="restart"/>
            <w:vAlign w:val="center"/>
          </w:tcPr>
          <w:p w14:paraId="30A4C6A4" w14:textId="77777777" w:rsidR="00454A29" w:rsidRDefault="00454A29">
            <w:pPr>
              <w:pStyle w:val="ConsPlusNormal"/>
              <w:jc w:val="center"/>
            </w:pPr>
            <w:r>
              <w:t>120</w:t>
            </w:r>
          </w:p>
        </w:tc>
        <w:tc>
          <w:tcPr>
            <w:tcW w:w="2324" w:type="dxa"/>
            <w:vMerge w:val="restart"/>
            <w:vAlign w:val="center"/>
          </w:tcPr>
          <w:p w14:paraId="3C655E7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7E6C43E" w14:textId="77777777" w:rsidR="00454A29" w:rsidRDefault="00454A29">
            <w:pPr>
              <w:pStyle w:val="ConsPlusNormal"/>
              <w:jc w:val="center"/>
            </w:pPr>
            <w:r>
              <w:t>399 041,30</w:t>
            </w:r>
          </w:p>
        </w:tc>
        <w:tc>
          <w:tcPr>
            <w:tcW w:w="1814" w:type="dxa"/>
            <w:vAlign w:val="center"/>
          </w:tcPr>
          <w:p w14:paraId="0B034868" w14:textId="77777777" w:rsidR="00454A29" w:rsidRDefault="00454A29">
            <w:pPr>
              <w:pStyle w:val="ConsPlusNormal"/>
              <w:jc w:val="center"/>
            </w:pPr>
            <w:r>
              <w:t>43 894,54</w:t>
            </w:r>
          </w:p>
        </w:tc>
        <w:tc>
          <w:tcPr>
            <w:tcW w:w="1701" w:type="dxa"/>
            <w:vAlign w:val="center"/>
          </w:tcPr>
          <w:p w14:paraId="17FD7502" w14:textId="77777777" w:rsidR="00454A29" w:rsidRDefault="00454A29">
            <w:pPr>
              <w:pStyle w:val="ConsPlusNormal"/>
              <w:jc w:val="center"/>
            </w:pPr>
            <w:r>
              <w:t>355 146,76</w:t>
            </w:r>
          </w:p>
        </w:tc>
        <w:tc>
          <w:tcPr>
            <w:tcW w:w="1701" w:type="dxa"/>
            <w:vAlign w:val="center"/>
          </w:tcPr>
          <w:p w14:paraId="717E7C2E" w14:textId="77777777" w:rsidR="00454A29" w:rsidRDefault="00454A29">
            <w:pPr>
              <w:pStyle w:val="ConsPlusNormal"/>
              <w:jc w:val="center"/>
            </w:pPr>
            <w:r>
              <w:t>-</w:t>
            </w:r>
          </w:p>
        </w:tc>
        <w:tc>
          <w:tcPr>
            <w:tcW w:w="1814" w:type="dxa"/>
            <w:vAlign w:val="center"/>
          </w:tcPr>
          <w:p w14:paraId="1C6EE23B" w14:textId="77777777" w:rsidR="00454A29" w:rsidRDefault="00454A29">
            <w:pPr>
              <w:pStyle w:val="ConsPlusNormal"/>
              <w:jc w:val="center"/>
            </w:pPr>
            <w:r>
              <w:t>-</w:t>
            </w:r>
          </w:p>
        </w:tc>
      </w:tr>
      <w:tr w:rsidR="00454A29" w14:paraId="2997A6CD" w14:textId="77777777">
        <w:tc>
          <w:tcPr>
            <w:tcW w:w="567" w:type="dxa"/>
            <w:vMerge/>
          </w:tcPr>
          <w:p w14:paraId="737C43E6" w14:textId="77777777" w:rsidR="00454A29" w:rsidRDefault="00454A29"/>
        </w:tc>
        <w:tc>
          <w:tcPr>
            <w:tcW w:w="3345" w:type="dxa"/>
            <w:vMerge/>
          </w:tcPr>
          <w:p w14:paraId="0145C253" w14:textId="77777777" w:rsidR="00454A29" w:rsidRDefault="00454A29"/>
        </w:tc>
        <w:tc>
          <w:tcPr>
            <w:tcW w:w="1701" w:type="dxa"/>
            <w:vAlign w:val="center"/>
          </w:tcPr>
          <w:p w14:paraId="6C3C8FB0" w14:textId="77777777" w:rsidR="00454A29" w:rsidRDefault="00454A29">
            <w:pPr>
              <w:pStyle w:val="ConsPlusNormal"/>
              <w:jc w:val="center"/>
            </w:pPr>
            <w:r>
              <w:t>2020</w:t>
            </w:r>
          </w:p>
        </w:tc>
        <w:tc>
          <w:tcPr>
            <w:tcW w:w="1417" w:type="dxa"/>
            <w:vMerge/>
          </w:tcPr>
          <w:p w14:paraId="6A615337" w14:textId="77777777" w:rsidR="00454A29" w:rsidRDefault="00454A29"/>
        </w:tc>
        <w:tc>
          <w:tcPr>
            <w:tcW w:w="2204" w:type="dxa"/>
            <w:vMerge/>
          </w:tcPr>
          <w:p w14:paraId="32C24929" w14:textId="77777777" w:rsidR="00454A29" w:rsidRDefault="00454A29"/>
        </w:tc>
        <w:tc>
          <w:tcPr>
            <w:tcW w:w="1417" w:type="dxa"/>
            <w:vMerge/>
          </w:tcPr>
          <w:p w14:paraId="627D7E1D" w14:textId="77777777" w:rsidR="00454A29" w:rsidRDefault="00454A29"/>
        </w:tc>
        <w:tc>
          <w:tcPr>
            <w:tcW w:w="2324" w:type="dxa"/>
            <w:vMerge/>
          </w:tcPr>
          <w:p w14:paraId="035BFEAC" w14:textId="77777777" w:rsidR="00454A29" w:rsidRDefault="00454A29"/>
        </w:tc>
        <w:tc>
          <w:tcPr>
            <w:tcW w:w="1701" w:type="dxa"/>
            <w:vAlign w:val="center"/>
          </w:tcPr>
          <w:p w14:paraId="7B45C1AE" w14:textId="77777777" w:rsidR="00454A29" w:rsidRDefault="00454A29">
            <w:pPr>
              <w:pStyle w:val="ConsPlusNormal"/>
            </w:pPr>
          </w:p>
        </w:tc>
        <w:tc>
          <w:tcPr>
            <w:tcW w:w="1814" w:type="dxa"/>
            <w:vAlign w:val="center"/>
          </w:tcPr>
          <w:p w14:paraId="3E242F11" w14:textId="77777777" w:rsidR="00454A29" w:rsidRDefault="00454A29">
            <w:pPr>
              <w:pStyle w:val="ConsPlusNormal"/>
            </w:pPr>
          </w:p>
        </w:tc>
        <w:tc>
          <w:tcPr>
            <w:tcW w:w="1701" w:type="dxa"/>
            <w:vAlign w:val="center"/>
          </w:tcPr>
          <w:p w14:paraId="0D2E6696" w14:textId="77777777" w:rsidR="00454A29" w:rsidRDefault="00454A29">
            <w:pPr>
              <w:pStyle w:val="ConsPlusNormal"/>
            </w:pPr>
          </w:p>
        </w:tc>
        <w:tc>
          <w:tcPr>
            <w:tcW w:w="1701" w:type="dxa"/>
            <w:vAlign w:val="center"/>
          </w:tcPr>
          <w:p w14:paraId="48223FF0" w14:textId="77777777" w:rsidR="00454A29" w:rsidRDefault="00454A29">
            <w:pPr>
              <w:pStyle w:val="ConsPlusNormal"/>
            </w:pPr>
          </w:p>
        </w:tc>
        <w:tc>
          <w:tcPr>
            <w:tcW w:w="1814" w:type="dxa"/>
            <w:vAlign w:val="center"/>
          </w:tcPr>
          <w:p w14:paraId="64FBC3E9" w14:textId="77777777" w:rsidR="00454A29" w:rsidRDefault="00454A29">
            <w:pPr>
              <w:pStyle w:val="ConsPlusNormal"/>
            </w:pPr>
          </w:p>
        </w:tc>
      </w:tr>
      <w:tr w:rsidR="00454A29" w14:paraId="13A331E8" w14:textId="77777777">
        <w:tc>
          <w:tcPr>
            <w:tcW w:w="567" w:type="dxa"/>
            <w:vMerge/>
          </w:tcPr>
          <w:p w14:paraId="39E6C231" w14:textId="77777777" w:rsidR="00454A29" w:rsidRDefault="00454A29"/>
        </w:tc>
        <w:tc>
          <w:tcPr>
            <w:tcW w:w="3345" w:type="dxa"/>
            <w:vMerge/>
          </w:tcPr>
          <w:p w14:paraId="64B4A2B9" w14:textId="77777777" w:rsidR="00454A29" w:rsidRDefault="00454A29"/>
        </w:tc>
        <w:tc>
          <w:tcPr>
            <w:tcW w:w="1701" w:type="dxa"/>
            <w:vAlign w:val="center"/>
          </w:tcPr>
          <w:p w14:paraId="00D373A5" w14:textId="77777777" w:rsidR="00454A29" w:rsidRDefault="00454A29">
            <w:pPr>
              <w:pStyle w:val="ConsPlusNormal"/>
              <w:jc w:val="center"/>
            </w:pPr>
            <w:r>
              <w:t>2021</w:t>
            </w:r>
          </w:p>
        </w:tc>
        <w:tc>
          <w:tcPr>
            <w:tcW w:w="1417" w:type="dxa"/>
            <w:vMerge/>
          </w:tcPr>
          <w:p w14:paraId="4B082BA6" w14:textId="77777777" w:rsidR="00454A29" w:rsidRDefault="00454A29"/>
        </w:tc>
        <w:tc>
          <w:tcPr>
            <w:tcW w:w="2204" w:type="dxa"/>
            <w:vMerge/>
          </w:tcPr>
          <w:p w14:paraId="137F6DAE" w14:textId="77777777" w:rsidR="00454A29" w:rsidRDefault="00454A29"/>
        </w:tc>
        <w:tc>
          <w:tcPr>
            <w:tcW w:w="1417" w:type="dxa"/>
            <w:vMerge/>
          </w:tcPr>
          <w:p w14:paraId="1A9F5A25" w14:textId="77777777" w:rsidR="00454A29" w:rsidRDefault="00454A29"/>
        </w:tc>
        <w:tc>
          <w:tcPr>
            <w:tcW w:w="2324" w:type="dxa"/>
            <w:vMerge/>
          </w:tcPr>
          <w:p w14:paraId="6E51FE2D" w14:textId="77777777" w:rsidR="00454A29" w:rsidRDefault="00454A29"/>
        </w:tc>
        <w:tc>
          <w:tcPr>
            <w:tcW w:w="1701" w:type="dxa"/>
            <w:vAlign w:val="center"/>
          </w:tcPr>
          <w:p w14:paraId="5A910227" w14:textId="77777777" w:rsidR="00454A29" w:rsidRDefault="00454A29">
            <w:pPr>
              <w:pStyle w:val="ConsPlusNormal"/>
              <w:jc w:val="center"/>
            </w:pPr>
            <w:r>
              <w:t>-</w:t>
            </w:r>
          </w:p>
        </w:tc>
        <w:tc>
          <w:tcPr>
            <w:tcW w:w="1814" w:type="dxa"/>
            <w:vAlign w:val="center"/>
          </w:tcPr>
          <w:p w14:paraId="080C6B1D" w14:textId="77777777" w:rsidR="00454A29" w:rsidRDefault="00454A29">
            <w:pPr>
              <w:pStyle w:val="ConsPlusNormal"/>
            </w:pPr>
          </w:p>
        </w:tc>
        <w:tc>
          <w:tcPr>
            <w:tcW w:w="1701" w:type="dxa"/>
            <w:vAlign w:val="center"/>
          </w:tcPr>
          <w:p w14:paraId="5F75DBF3" w14:textId="77777777" w:rsidR="00454A29" w:rsidRDefault="00454A29">
            <w:pPr>
              <w:pStyle w:val="ConsPlusNormal"/>
            </w:pPr>
          </w:p>
        </w:tc>
        <w:tc>
          <w:tcPr>
            <w:tcW w:w="1701" w:type="dxa"/>
            <w:vAlign w:val="center"/>
          </w:tcPr>
          <w:p w14:paraId="4783DDC2" w14:textId="77777777" w:rsidR="00454A29" w:rsidRDefault="00454A29">
            <w:pPr>
              <w:pStyle w:val="ConsPlusNormal"/>
            </w:pPr>
          </w:p>
        </w:tc>
        <w:tc>
          <w:tcPr>
            <w:tcW w:w="1814" w:type="dxa"/>
            <w:vAlign w:val="center"/>
          </w:tcPr>
          <w:p w14:paraId="28DF2535" w14:textId="77777777" w:rsidR="00454A29" w:rsidRDefault="00454A29">
            <w:pPr>
              <w:pStyle w:val="ConsPlusNormal"/>
            </w:pPr>
          </w:p>
        </w:tc>
      </w:tr>
      <w:tr w:rsidR="00454A29" w14:paraId="7D06A657" w14:textId="77777777">
        <w:tc>
          <w:tcPr>
            <w:tcW w:w="567" w:type="dxa"/>
            <w:vMerge/>
          </w:tcPr>
          <w:p w14:paraId="76BE47FA" w14:textId="77777777" w:rsidR="00454A29" w:rsidRDefault="00454A29"/>
        </w:tc>
        <w:tc>
          <w:tcPr>
            <w:tcW w:w="3345" w:type="dxa"/>
            <w:vMerge/>
          </w:tcPr>
          <w:p w14:paraId="7CDC3296" w14:textId="77777777" w:rsidR="00454A29" w:rsidRDefault="00454A29"/>
        </w:tc>
        <w:tc>
          <w:tcPr>
            <w:tcW w:w="1701" w:type="dxa"/>
            <w:vAlign w:val="center"/>
          </w:tcPr>
          <w:p w14:paraId="268D8C92" w14:textId="77777777" w:rsidR="00454A29" w:rsidRDefault="00454A29">
            <w:pPr>
              <w:pStyle w:val="ConsPlusNormal"/>
              <w:jc w:val="center"/>
            </w:pPr>
            <w:r>
              <w:t>2022</w:t>
            </w:r>
          </w:p>
        </w:tc>
        <w:tc>
          <w:tcPr>
            <w:tcW w:w="1417" w:type="dxa"/>
            <w:vMerge/>
          </w:tcPr>
          <w:p w14:paraId="1F567C0E" w14:textId="77777777" w:rsidR="00454A29" w:rsidRDefault="00454A29"/>
        </w:tc>
        <w:tc>
          <w:tcPr>
            <w:tcW w:w="2204" w:type="dxa"/>
            <w:vMerge/>
          </w:tcPr>
          <w:p w14:paraId="53E1F5B5" w14:textId="77777777" w:rsidR="00454A29" w:rsidRDefault="00454A29"/>
        </w:tc>
        <w:tc>
          <w:tcPr>
            <w:tcW w:w="1417" w:type="dxa"/>
            <w:vMerge/>
          </w:tcPr>
          <w:p w14:paraId="1E9C0BAE" w14:textId="77777777" w:rsidR="00454A29" w:rsidRDefault="00454A29"/>
        </w:tc>
        <w:tc>
          <w:tcPr>
            <w:tcW w:w="2324" w:type="dxa"/>
            <w:vMerge/>
          </w:tcPr>
          <w:p w14:paraId="6378CD67" w14:textId="77777777" w:rsidR="00454A29" w:rsidRDefault="00454A29"/>
        </w:tc>
        <w:tc>
          <w:tcPr>
            <w:tcW w:w="1701" w:type="dxa"/>
            <w:vAlign w:val="center"/>
          </w:tcPr>
          <w:p w14:paraId="2C6CD54A" w14:textId="77777777" w:rsidR="00454A29" w:rsidRDefault="00454A29">
            <w:pPr>
              <w:pStyle w:val="ConsPlusNormal"/>
            </w:pPr>
          </w:p>
        </w:tc>
        <w:tc>
          <w:tcPr>
            <w:tcW w:w="1814" w:type="dxa"/>
            <w:vAlign w:val="center"/>
          </w:tcPr>
          <w:p w14:paraId="663F4ECC" w14:textId="77777777" w:rsidR="00454A29" w:rsidRDefault="00454A29">
            <w:pPr>
              <w:pStyle w:val="ConsPlusNormal"/>
            </w:pPr>
          </w:p>
        </w:tc>
        <w:tc>
          <w:tcPr>
            <w:tcW w:w="1701" w:type="dxa"/>
            <w:vAlign w:val="center"/>
          </w:tcPr>
          <w:p w14:paraId="25BEDCED" w14:textId="77777777" w:rsidR="00454A29" w:rsidRDefault="00454A29">
            <w:pPr>
              <w:pStyle w:val="ConsPlusNormal"/>
            </w:pPr>
          </w:p>
        </w:tc>
        <w:tc>
          <w:tcPr>
            <w:tcW w:w="1701" w:type="dxa"/>
            <w:vAlign w:val="center"/>
          </w:tcPr>
          <w:p w14:paraId="262E2A65" w14:textId="77777777" w:rsidR="00454A29" w:rsidRDefault="00454A29">
            <w:pPr>
              <w:pStyle w:val="ConsPlusNormal"/>
            </w:pPr>
          </w:p>
        </w:tc>
        <w:tc>
          <w:tcPr>
            <w:tcW w:w="1814" w:type="dxa"/>
            <w:vAlign w:val="center"/>
          </w:tcPr>
          <w:p w14:paraId="541D244E" w14:textId="77777777" w:rsidR="00454A29" w:rsidRDefault="00454A29">
            <w:pPr>
              <w:pStyle w:val="ConsPlusNormal"/>
            </w:pPr>
          </w:p>
        </w:tc>
      </w:tr>
      <w:tr w:rsidR="00454A29" w14:paraId="77E98C07" w14:textId="77777777">
        <w:tc>
          <w:tcPr>
            <w:tcW w:w="567" w:type="dxa"/>
            <w:vMerge/>
          </w:tcPr>
          <w:p w14:paraId="032847ED" w14:textId="77777777" w:rsidR="00454A29" w:rsidRDefault="00454A29"/>
        </w:tc>
        <w:tc>
          <w:tcPr>
            <w:tcW w:w="3345" w:type="dxa"/>
            <w:vMerge/>
          </w:tcPr>
          <w:p w14:paraId="3B5C0D5D" w14:textId="77777777" w:rsidR="00454A29" w:rsidRDefault="00454A29"/>
        </w:tc>
        <w:tc>
          <w:tcPr>
            <w:tcW w:w="1701" w:type="dxa"/>
            <w:vAlign w:val="center"/>
          </w:tcPr>
          <w:p w14:paraId="55798074" w14:textId="77777777" w:rsidR="00454A29" w:rsidRDefault="00454A29">
            <w:pPr>
              <w:pStyle w:val="ConsPlusNormal"/>
              <w:jc w:val="center"/>
            </w:pPr>
            <w:r>
              <w:t>2023</w:t>
            </w:r>
          </w:p>
        </w:tc>
        <w:tc>
          <w:tcPr>
            <w:tcW w:w="1417" w:type="dxa"/>
            <w:vMerge/>
          </w:tcPr>
          <w:p w14:paraId="3141C08D" w14:textId="77777777" w:rsidR="00454A29" w:rsidRDefault="00454A29"/>
        </w:tc>
        <w:tc>
          <w:tcPr>
            <w:tcW w:w="2204" w:type="dxa"/>
            <w:vMerge/>
          </w:tcPr>
          <w:p w14:paraId="4284B5F7" w14:textId="77777777" w:rsidR="00454A29" w:rsidRDefault="00454A29"/>
        </w:tc>
        <w:tc>
          <w:tcPr>
            <w:tcW w:w="1417" w:type="dxa"/>
            <w:vMerge/>
          </w:tcPr>
          <w:p w14:paraId="7845AF46" w14:textId="77777777" w:rsidR="00454A29" w:rsidRDefault="00454A29"/>
        </w:tc>
        <w:tc>
          <w:tcPr>
            <w:tcW w:w="2324" w:type="dxa"/>
            <w:vMerge/>
          </w:tcPr>
          <w:p w14:paraId="24621BE0" w14:textId="77777777" w:rsidR="00454A29" w:rsidRDefault="00454A29"/>
        </w:tc>
        <w:tc>
          <w:tcPr>
            <w:tcW w:w="1701" w:type="dxa"/>
            <w:vAlign w:val="center"/>
          </w:tcPr>
          <w:p w14:paraId="62D41533" w14:textId="77777777" w:rsidR="00454A29" w:rsidRDefault="00454A29">
            <w:pPr>
              <w:pStyle w:val="ConsPlusNormal"/>
            </w:pPr>
          </w:p>
        </w:tc>
        <w:tc>
          <w:tcPr>
            <w:tcW w:w="1814" w:type="dxa"/>
            <w:vAlign w:val="center"/>
          </w:tcPr>
          <w:p w14:paraId="7D3E2189" w14:textId="77777777" w:rsidR="00454A29" w:rsidRDefault="00454A29">
            <w:pPr>
              <w:pStyle w:val="ConsPlusNormal"/>
            </w:pPr>
          </w:p>
        </w:tc>
        <w:tc>
          <w:tcPr>
            <w:tcW w:w="1701" w:type="dxa"/>
            <w:vAlign w:val="center"/>
          </w:tcPr>
          <w:p w14:paraId="53998712" w14:textId="77777777" w:rsidR="00454A29" w:rsidRDefault="00454A29">
            <w:pPr>
              <w:pStyle w:val="ConsPlusNormal"/>
            </w:pPr>
          </w:p>
        </w:tc>
        <w:tc>
          <w:tcPr>
            <w:tcW w:w="1701" w:type="dxa"/>
            <w:vAlign w:val="center"/>
          </w:tcPr>
          <w:p w14:paraId="43DF9295" w14:textId="77777777" w:rsidR="00454A29" w:rsidRDefault="00454A29">
            <w:pPr>
              <w:pStyle w:val="ConsPlusNormal"/>
            </w:pPr>
          </w:p>
        </w:tc>
        <w:tc>
          <w:tcPr>
            <w:tcW w:w="1814" w:type="dxa"/>
            <w:vAlign w:val="center"/>
          </w:tcPr>
          <w:p w14:paraId="73073E2F" w14:textId="77777777" w:rsidR="00454A29" w:rsidRDefault="00454A29">
            <w:pPr>
              <w:pStyle w:val="ConsPlusNormal"/>
            </w:pPr>
          </w:p>
        </w:tc>
      </w:tr>
      <w:tr w:rsidR="00454A29" w14:paraId="14651E9B" w14:textId="77777777">
        <w:tc>
          <w:tcPr>
            <w:tcW w:w="567" w:type="dxa"/>
            <w:vMerge/>
          </w:tcPr>
          <w:p w14:paraId="55ADEB97" w14:textId="77777777" w:rsidR="00454A29" w:rsidRDefault="00454A29"/>
        </w:tc>
        <w:tc>
          <w:tcPr>
            <w:tcW w:w="3345" w:type="dxa"/>
            <w:vMerge/>
          </w:tcPr>
          <w:p w14:paraId="0C33F439" w14:textId="77777777" w:rsidR="00454A29" w:rsidRDefault="00454A29"/>
        </w:tc>
        <w:tc>
          <w:tcPr>
            <w:tcW w:w="1701" w:type="dxa"/>
            <w:vAlign w:val="center"/>
          </w:tcPr>
          <w:p w14:paraId="402CE58E" w14:textId="77777777" w:rsidR="00454A29" w:rsidRDefault="00454A29">
            <w:pPr>
              <w:pStyle w:val="ConsPlusNormal"/>
              <w:jc w:val="center"/>
            </w:pPr>
            <w:r>
              <w:t>2024</w:t>
            </w:r>
          </w:p>
        </w:tc>
        <w:tc>
          <w:tcPr>
            <w:tcW w:w="1417" w:type="dxa"/>
            <w:vMerge/>
          </w:tcPr>
          <w:p w14:paraId="156F50EE" w14:textId="77777777" w:rsidR="00454A29" w:rsidRDefault="00454A29"/>
        </w:tc>
        <w:tc>
          <w:tcPr>
            <w:tcW w:w="2204" w:type="dxa"/>
            <w:vMerge/>
          </w:tcPr>
          <w:p w14:paraId="6A8073DB" w14:textId="77777777" w:rsidR="00454A29" w:rsidRDefault="00454A29"/>
        </w:tc>
        <w:tc>
          <w:tcPr>
            <w:tcW w:w="1417" w:type="dxa"/>
            <w:vMerge/>
          </w:tcPr>
          <w:p w14:paraId="5CE977A4" w14:textId="77777777" w:rsidR="00454A29" w:rsidRDefault="00454A29"/>
        </w:tc>
        <w:tc>
          <w:tcPr>
            <w:tcW w:w="2324" w:type="dxa"/>
            <w:vMerge/>
          </w:tcPr>
          <w:p w14:paraId="039FBBAD" w14:textId="77777777" w:rsidR="00454A29" w:rsidRDefault="00454A29"/>
        </w:tc>
        <w:tc>
          <w:tcPr>
            <w:tcW w:w="1701" w:type="dxa"/>
            <w:vAlign w:val="center"/>
          </w:tcPr>
          <w:p w14:paraId="21EFA14F" w14:textId="77777777" w:rsidR="00454A29" w:rsidRDefault="00454A29">
            <w:pPr>
              <w:pStyle w:val="ConsPlusNormal"/>
            </w:pPr>
          </w:p>
        </w:tc>
        <w:tc>
          <w:tcPr>
            <w:tcW w:w="1814" w:type="dxa"/>
            <w:vAlign w:val="center"/>
          </w:tcPr>
          <w:p w14:paraId="010C15CA" w14:textId="77777777" w:rsidR="00454A29" w:rsidRDefault="00454A29">
            <w:pPr>
              <w:pStyle w:val="ConsPlusNormal"/>
            </w:pPr>
          </w:p>
        </w:tc>
        <w:tc>
          <w:tcPr>
            <w:tcW w:w="1701" w:type="dxa"/>
            <w:vAlign w:val="center"/>
          </w:tcPr>
          <w:p w14:paraId="47ACA1CD" w14:textId="77777777" w:rsidR="00454A29" w:rsidRDefault="00454A29">
            <w:pPr>
              <w:pStyle w:val="ConsPlusNormal"/>
            </w:pPr>
          </w:p>
        </w:tc>
        <w:tc>
          <w:tcPr>
            <w:tcW w:w="1701" w:type="dxa"/>
            <w:vAlign w:val="center"/>
          </w:tcPr>
          <w:p w14:paraId="44C810E3" w14:textId="77777777" w:rsidR="00454A29" w:rsidRDefault="00454A29">
            <w:pPr>
              <w:pStyle w:val="ConsPlusNormal"/>
            </w:pPr>
          </w:p>
        </w:tc>
        <w:tc>
          <w:tcPr>
            <w:tcW w:w="1814" w:type="dxa"/>
            <w:vAlign w:val="center"/>
          </w:tcPr>
          <w:p w14:paraId="4A3CAA7B" w14:textId="77777777" w:rsidR="00454A29" w:rsidRDefault="00454A29">
            <w:pPr>
              <w:pStyle w:val="ConsPlusNormal"/>
            </w:pPr>
          </w:p>
        </w:tc>
      </w:tr>
      <w:tr w:rsidR="00454A29" w14:paraId="6DF4BD95" w14:textId="77777777">
        <w:tc>
          <w:tcPr>
            <w:tcW w:w="567" w:type="dxa"/>
            <w:vMerge/>
          </w:tcPr>
          <w:p w14:paraId="0653E5B2" w14:textId="77777777" w:rsidR="00454A29" w:rsidRDefault="00454A29"/>
        </w:tc>
        <w:tc>
          <w:tcPr>
            <w:tcW w:w="3345" w:type="dxa"/>
            <w:vMerge/>
          </w:tcPr>
          <w:p w14:paraId="5B9F98C8" w14:textId="77777777" w:rsidR="00454A29" w:rsidRDefault="00454A29"/>
        </w:tc>
        <w:tc>
          <w:tcPr>
            <w:tcW w:w="1701" w:type="dxa"/>
            <w:vAlign w:val="center"/>
          </w:tcPr>
          <w:p w14:paraId="14B51690" w14:textId="77777777" w:rsidR="00454A29" w:rsidRDefault="00454A29">
            <w:pPr>
              <w:pStyle w:val="ConsPlusNormal"/>
              <w:jc w:val="center"/>
            </w:pPr>
            <w:r>
              <w:t>2025</w:t>
            </w:r>
          </w:p>
        </w:tc>
        <w:tc>
          <w:tcPr>
            <w:tcW w:w="1417" w:type="dxa"/>
            <w:vMerge/>
          </w:tcPr>
          <w:p w14:paraId="022F46FE" w14:textId="77777777" w:rsidR="00454A29" w:rsidRDefault="00454A29"/>
        </w:tc>
        <w:tc>
          <w:tcPr>
            <w:tcW w:w="2204" w:type="dxa"/>
            <w:vMerge/>
          </w:tcPr>
          <w:p w14:paraId="6AC325FC" w14:textId="77777777" w:rsidR="00454A29" w:rsidRDefault="00454A29"/>
        </w:tc>
        <w:tc>
          <w:tcPr>
            <w:tcW w:w="1417" w:type="dxa"/>
            <w:vMerge/>
          </w:tcPr>
          <w:p w14:paraId="5B9518BA" w14:textId="77777777" w:rsidR="00454A29" w:rsidRDefault="00454A29"/>
        </w:tc>
        <w:tc>
          <w:tcPr>
            <w:tcW w:w="2324" w:type="dxa"/>
            <w:vMerge/>
          </w:tcPr>
          <w:p w14:paraId="01E282CC" w14:textId="77777777" w:rsidR="00454A29" w:rsidRDefault="00454A29"/>
        </w:tc>
        <w:tc>
          <w:tcPr>
            <w:tcW w:w="1701" w:type="dxa"/>
            <w:vAlign w:val="center"/>
          </w:tcPr>
          <w:p w14:paraId="69C07CD0" w14:textId="77777777" w:rsidR="00454A29" w:rsidRDefault="00454A29">
            <w:pPr>
              <w:pStyle w:val="ConsPlusNormal"/>
              <w:jc w:val="center"/>
            </w:pPr>
            <w:r>
              <w:t>399 041,30</w:t>
            </w:r>
          </w:p>
        </w:tc>
        <w:tc>
          <w:tcPr>
            <w:tcW w:w="1814" w:type="dxa"/>
            <w:vAlign w:val="center"/>
          </w:tcPr>
          <w:p w14:paraId="188113F4" w14:textId="77777777" w:rsidR="00454A29" w:rsidRDefault="00454A29">
            <w:pPr>
              <w:pStyle w:val="ConsPlusNormal"/>
              <w:jc w:val="center"/>
            </w:pPr>
            <w:r>
              <w:t>43 894,54</w:t>
            </w:r>
          </w:p>
        </w:tc>
        <w:tc>
          <w:tcPr>
            <w:tcW w:w="1701" w:type="dxa"/>
            <w:vAlign w:val="center"/>
          </w:tcPr>
          <w:p w14:paraId="2AE740B3" w14:textId="77777777" w:rsidR="00454A29" w:rsidRDefault="00454A29">
            <w:pPr>
              <w:pStyle w:val="ConsPlusNormal"/>
              <w:jc w:val="center"/>
            </w:pPr>
            <w:r>
              <w:t>355 146,76</w:t>
            </w:r>
          </w:p>
        </w:tc>
        <w:tc>
          <w:tcPr>
            <w:tcW w:w="1701" w:type="dxa"/>
            <w:vAlign w:val="center"/>
          </w:tcPr>
          <w:p w14:paraId="04A9CA54" w14:textId="77777777" w:rsidR="00454A29" w:rsidRDefault="00454A29">
            <w:pPr>
              <w:pStyle w:val="ConsPlusNormal"/>
            </w:pPr>
          </w:p>
        </w:tc>
        <w:tc>
          <w:tcPr>
            <w:tcW w:w="1814" w:type="dxa"/>
            <w:vAlign w:val="center"/>
          </w:tcPr>
          <w:p w14:paraId="00C3ADF2" w14:textId="77777777" w:rsidR="00454A29" w:rsidRDefault="00454A29">
            <w:pPr>
              <w:pStyle w:val="ConsPlusNormal"/>
            </w:pPr>
          </w:p>
        </w:tc>
      </w:tr>
      <w:tr w:rsidR="00454A29" w14:paraId="6049E3DC" w14:textId="77777777">
        <w:tc>
          <w:tcPr>
            <w:tcW w:w="567" w:type="dxa"/>
            <w:vMerge/>
          </w:tcPr>
          <w:p w14:paraId="6119DE76" w14:textId="77777777" w:rsidR="00454A29" w:rsidRDefault="00454A29"/>
        </w:tc>
        <w:tc>
          <w:tcPr>
            <w:tcW w:w="3345" w:type="dxa"/>
            <w:vMerge/>
          </w:tcPr>
          <w:p w14:paraId="38783873" w14:textId="77777777" w:rsidR="00454A29" w:rsidRDefault="00454A29"/>
        </w:tc>
        <w:tc>
          <w:tcPr>
            <w:tcW w:w="1701" w:type="dxa"/>
            <w:vAlign w:val="center"/>
          </w:tcPr>
          <w:p w14:paraId="771A569C" w14:textId="77777777" w:rsidR="00454A29" w:rsidRDefault="00454A29">
            <w:pPr>
              <w:pStyle w:val="ConsPlusNormal"/>
              <w:jc w:val="center"/>
            </w:pPr>
            <w:r>
              <w:t>2026</w:t>
            </w:r>
          </w:p>
        </w:tc>
        <w:tc>
          <w:tcPr>
            <w:tcW w:w="1417" w:type="dxa"/>
            <w:vMerge/>
          </w:tcPr>
          <w:p w14:paraId="48799FC6" w14:textId="77777777" w:rsidR="00454A29" w:rsidRDefault="00454A29"/>
        </w:tc>
        <w:tc>
          <w:tcPr>
            <w:tcW w:w="2204" w:type="dxa"/>
            <w:vMerge/>
          </w:tcPr>
          <w:p w14:paraId="7CF34791" w14:textId="77777777" w:rsidR="00454A29" w:rsidRDefault="00454A29"/>
        </w:tc>
        <w:tc>
          <w:tcPr>
            <w:tcW w:w="1417" w:type="dxa"/>
            <w:vMerge/>
          </w:tcPr>
          <w:p w14:paraId="1C0D814F" w14:textId="77777777" w:rsidR="00454A29" w:rsidRDefault="00454A29"/>
        </w:tc>
        <w:tc>
          <w:tcPr>
            <w:tcW w:w="2324" w:type="dxa"/>
            <w:vMerge/>
          </w:tcPr>
          <w:p w14:paraId="4D268273" w14:textId="77777777" w:rsidR="00454A29" w:rsidRDefault="00454A29"/>
        </w:tc>
        <w:tc>
          <w:tcPr>
            <w:tcW w:w="1701" w:type="dxa"/>
            <w:vAlign w:val="center"/>
          </w:tcPr>
          <w:p w14:paraId="59674BF2" w14:textId="77777777" w:rsidR="00454A29" w:rsidRDefault="00454A29">
            <w:pPr>
              <w:pStyle w:val="ConsPlusNormal"/>
            </w:pPr>
          </w:p>
        </w:tc>
        <w:tc>
          <w:tcPr>
            <w:tcW w:w="1814" w:type="dxa"/>
            <w:vAlign w:val="center"/>
          </w:tcPr>
          <w:p w14:paraId="6AD95868" w14:textId="77777777" w:rsidR="00454A29" w:rsidRDefault="00454A29">
            <w:pPr>
              <w:pStyle w:val="ConsPlusNormal"/>
            </w:pPr>
          </w:p>
        </w:tc>
        <w:tc>
          <w:tcPr>
            <w:tcW w:w="1701" w:type="dxa"/>
            <w:vAlign w:val="center"/>
          </w:tcPr>
          <w:p w14:paraId="2F21714A" w14:textId="77777777" w:rsidR="00454A29" w:rsidRDefault="00454A29">
            <w:pPr>
              <w:pStyle w:val="ConsPlusNormal"/>
            </w:pPr>
          </w:p>
        </w:tc>
        <w:tc>
          <w:tcPr>
            <w:tcW w:w="1701" w:type="dxa"/>
            <w:vAlign w:val="center"/>
          </w:tcPr>
          <w:p w14:paraId="3103DFC0" w14:textId="77777777" w:rsidR="00454A29" w:rsidRDefault="00454A29">
            <w:pPr>
              <w:pStyle w:val="ConsPlusNormal"/>
            </w:pPr>
          </w:p>
        </w:tc>
        <w:tc>
          <w:tcPr>
            <w:tcW w:w="1814" w:type="dxa"/>
            <w:vAlign w:val="center"/>
          </w:tcPr>
          <w:p w14:paraId="7CABA79B" w14:textId="77777777" w:rsidR="00454A29" w:rsidRDefault="00454A29">
            <w:pPr>
              <w:pStyle w:val="ConsPlusNormal"/>
            </w:pPr>
          </w:p>
        </w:tc>
      </w:tr>
      <w:tr w:rsidR="00454A29" w14:paraId="6C6BB63F" w14:textId="77777777">
        <w:tc>
          <w:tcPr>
            <w:tcW w:w="567" w:type="dxa"/>
            <w:vMerge w:val="restart"/>
            <w:vAlign w:val="center"/>
          </w:tcPr>
          <w:p w14:paraId="0DB7672F" w14:textId="77777777" w:rsidR="00454A29" w:rsidRDefault="00454A29">
            <w:pPr>
              <w:pStyle w:val="ConsPlusNormal"/>
              <w:jc w:val="center"/>
            </w:pPr>
            <w:r>
              <w:t>142</w:t>
            </w:r>
          </w:p>
        </w:tc>
        <w:tc>
          <w:tcPr>
            <w:tcW w:w="3345" w:type="dxa"/>
            <w:vMerge w:val="restart"/>
            <w:vAlign w:val="center"/>
          </w:tcPr>
          <w:p w14:paraId="4FFE3E01" w14:textId="77777777" w:rsidR="00454A29" w:rsidRDefault="00454A29">
            <w:pPr>
              <w:pStyle w:val="ConsPlusNormal"/>
              <w:jc w:val="center"/>
            </w:pPr>
            <w:r>
              <w:t xml:space="preserve">Школа на 450 учащихся в с. </w:t>
            </w:r>
            <w:r>
              <w:lastRenderedPageBreak/>
              <w:t>Борогонцы</w:t>
            </w:r>
          </w:p>
        </w:tc>
        <w:tc>
          <w:tcPr>
            <w:tcW w:w="1701" w:type="dxa"/>
            <w:vAlign w:val="center"/>
          </w:tcPr>
          <w:p w14:paraId="679D9496" w14:textId="77777777" w:rsidR="00454A29" w:rsidRDefault="00454A29">
            <w:pPr>
              <w:pStyle w:val="ConsPlusNormal"/>
              <w:jc w:val="center"/>
            </w:pPr>
            <w:r>
              <w:lastRenderedPageBreak/>
              <w:t xml:space="preserve">2020 - 2026 годы </w:t>
            </w:r>
            <w:r>
              <w:lastRenderedPageBreak/>
              <w:t>- всего</w:t>
            </w:r>
          </w:p>
        </w:tc>
        <w:tc>
          <w:tcPr>
            <w:tcW w:w="1417" w:type="dxa"/>
            <w:vMerge w:val="restart"/>
            <w:vAlign w:val="center"/>
          </w:tcPr>
          <w:p w14:paraId="235A31BC" w14:textId="77777777" w:rsidR="00454A29" w:rsidRDefault="00454A29">
            <w:pPr>
              <w:pStyle w:val="ConsPlusNormal"/>
              <w:jc w:val="center"/>
            </w:pPr>
            <w:r>
              <w:lastRenderedPageBreak/>
              <w:t>813 304,66</w:t>
            </w:r>
          </w:p>
        </w:tc>
        <w:tc>
          <w:tcPr>
            <w:tcW w:w="2204" w:type="dxa"/>
            <w:vMerge w:val="restart"/>
            <w:vAlign w:val="center"/>
          </w:tcPr>
          <w:p w14:paraId="5632BAB5" w14:textId="77777777" w:rsidR="00454A29" w:rsidRDefault="00454A29">
            <w:pPr>
              <w:pStyle w:val="ConsPlusNormal"/>
              <w:jc w:val="center"/>
            </w:pPr>
            <w:r>
              <w:t>имеется</w:t>
            </w:r>
          </w:p>
        </w:tc>
        <w:tc>
          <w:tcPr>
            <w:tcW w:w="1417" w:type="dxa"/>
            <w:vMerge w:val="restart"/>
            <w:vAlign w:val="center"/>
          </w:tcPr>
          <w:p w14:paraId="7331A18B" w14:textId="77777777" w:rsidR="00454A29" w:rsidRDefault="00454A29">
            <w:pPr>
              <w:pStyle w:val="ConsPlusNormal"/>
              <w:jc w:val="center"/>
            </w:pPr>
            <w:r>
              <w:t>450</w:t>
            </w:r>
          </w:p>
        </w:tc>
        <w:tc>
          <w:tcPr>
            <w:tcW w:w="2324" w:type="dxa"/>
            <w:vMerge w:val="restart"/>
            <w:vAlign w:val="center"/>
          </w:tcPr>
          <w:p w14:paraId="520F51FF" w14:textId="77777777" w:rsidR="00454A29" w:rsidRDefault="00454A29">
            <w:pPr>
              <w:pStyle w:val="ConsPlusNormal"/>
              <w:jc w:val="center"/>
            </w:pPr>
            <w:r>
              <w:t xml:space="preserve">Минстрой РС(Я), ГКУ </w:t>
            </w:r>
            <w:r>
              <w:lastRenderedPageBreak/>
              <w:t>"Служба государственного заказчика Республики Саха (Якутия)"</w:t>
            </w:r>
          </w:p>
        </w:tc>
        <w:tc>
          <w:tcPr>
            <w:tcW w:w="1701" w:type="dxa"/>
            <w:vAlign w:val="center"/>
          </w:tcPr>
          <w:p w14:paraId="30C99142" w14:textId="77777777" w:rsidR="00454A29" w:rsidRDefault="00454A29">
            <w:pPr>
              <w:pStyle w:val="ConsPlusNormal"/>
              <w:jc w:val="center"/>
            </w:pPr>
            <w:r>
              <w:lastRenderedPageBreak/>
              <w:t>813 304,66</w:t>
            </w:r>
          </w:p>
        </w:tc>
        <w:tc>
          <w:tcPr>
            <w:tcW w:w="1814" w:type="dxa"/>
            <w:vAlign w:val="center"/>
          </w:tcPr>
          <w:p w14:paraId="3FD660DA" w14:textId="77777777" w:rsidR="00454A29" w:rsidRDefault="00454A29">
            <w:pPr>
              <w:pStyle w:val="ConsPlusNormal"/>
              <w:jc w:val="center"/>
            </w:pPr>
            <w:r>
              <w:t>4 033,99</w:t>
            </w:r>
          </w:p>
        </w:tc>
        <w:tc>
          <w:tcPr>
            <w:tcW w:w="1701" w:type="dxa"/>
            <w:vAlign w:val="center"/>
          </w:tcPr>
          <w:p w14:paraId="1E4E56CD" w14:textId="77777777" w:rsidR="00454A29" w:rsidRDefault="00454A29">
            <w:pPr>
              <w:pStyle w:val="ConsPlusNormal"/>
              <w:jc w:val="center"/>
            </w:pPr>
            <w:r>
              <w:t>399 365,12</w:t>
            </w:r>
          </w:p>
        </w:tc>
        <w:tc>
          <w:tcPr>
            <w:tcW w:w="1701" w:type="dxa"/>
            <w:vAlign w:val="center"/>
          </w:tcPr>
          <w:p w14:paraId="3E64B484" w14:textId="77777777" w:rsidR="00454A29" w:rsidRDefault="00454A29">
            <w:pPr>
              <w:pStyle w:val="ConsPlusNormal"/>
              <w:jc w:val="center"/>
            </w:pPr>
            <w:r>
              <w:t>-</w:t>
            </w:r>
          </w:p>
        </w:tc>
        <w:tc>
          <w:tcPr>
            <w:tcW w:w="1814" w:type="dxa"/>
            <w:vAlign w:val="center"/>
          </w:tcPr>
          <w:p w14:paraId="386DEEB7" w14:textId="77777777" w:rsidR="00454A29" w:rsidRDefault="00454A29">
            <w:pPr>
              <w:pStyle w:val="ConsPlusNormal"/>
              <w:jc w:val="center"/>
            </w:pPr>
            <w:r>
              <w:t>-</w:t>
            </w:r>
          </w:p>
        </w:tc>
      </w:tr>
      <w:tr w:rsidR="00454A29" w14:paraId="53A71871" w14:textId="77777777">
        <w:tc>
          <w:tcPr>
            <w:tcW w:w="567" w:type="dxa"/>
            <w:vMerge/>
          </w:tcPr>
          <w:p w14:paraId="7B3B91EF" w14:textId="77777777" w:rsidR="00454A29" w:rsidRDefault="00454A29"/>
        </w:tc>
        <w:tc>
          <w:tcPr>
            <w:tcW w:w="3345" w:type="dxa"/>
            <w:vMerge/>
          </w:tcPr>
          <w:p w14:paraId="375A7230" w14:textId="77777777" w:rsidR="00454A29" w:rsidRDefault="00454A29"/>
        </w:tc>
        <w:tc>
          <w:tcPr>
            <w:tcW w:w="1701" w:type="dxa"/>
            <w:vAlign w:val="center"/>
          </w:tcPr>
          <w:p w14:paraId="23DB78BA" w14:textId="77777777" w:rsidR="00454A29" w:rsidRDefault="00454A29">
            <w:pPr>
              <w:pStyle w:val="ConsPlusNormal"/>
              <w:jc w:val="center"/>
            </w:pPr>
            <w:r>
              <w:t>2020</w:t>
            </w:r>
          </w:p>
        </w:tc>
        <w:tc>
          <w:tcPr>
            <w:tcW w:w="1417" w:type="dxa"/>
            <w:vMerge/>
          </w:tcPr>
          <w:p w14:paraId="35B33084" w14:textId="77777777" w:rsidR="00454A29" w:rsidRDefault="00454A29"/>
        </w:tc>
        <w:tc>
          <w:tcPr>
            <w:tcW w:w="2204" w:type="dxa"/>
            <w:vMerge/>
          </w:tcPr>
          <w:p w14:paraId="36591397" w14:textId="77777777" w:rsidR="00454A29" w:rsidRDefault="00454A29"/>
        </w:tc>
        <w:tc>
          <w:tcPr>
            <w:tcW w:w="1417" w:type="dxa"/>
            <w:vMerge/>
          </w:tcPr>
          <w:p w14:paraId="12516751" w14:textId="77777777" w:rsidR="00454A29" w:rsidRDefault="00454A29"/>
        </w:tc>
        <w:tc>
          <w:tcPr>
            <w:tcW w:w="2324" w:type="dxa"/>
            <w:vMerge/>
          </w:tcPr>
          <w:p w14:paraId="57F551A3" w14:textId="77777777" w:rsidR="00454A29" w:rsidRDefault="00454A29"/>
        </w:tc>
        <w:tc>
          <w:tcPr>
            <w:tcW w:w="1701" w:type="dxa"/>
            <w:vAlign w:val="center"/>
          </w:tcPr>
          <w:p w14:paraId="7949B16E" w14:textId="77777777" w:rsidR="00454A29" w:rsidRDefault="00454A29">
            <w:pPr>
              <w:pStyle w:val="ConsPlusNormal"/>
            </w:pPr>
          </w:p>
        </w:tc>
        <w:tc>
          <w:tcPr>
            <w:tcW w:w="1814" w:type="dxa"/>
            <w:vAlign w:val="center"/>
          </w:tcPr>
          <w:p w14:paraId="1B28B349" w14:textId="77777777" w:rsidR="00454A29" w:rsidRDefault="00454A29">
            <w:pPr>
              <w:pStyle w:val="ConsPlusNormal"/>
            </w:pPr>
          </w:p>
        </w:tc>
        <w:tc>
          <w:tcPr>
            <w:tcW w:w="1701" w:type="dxa"/>
            <w:vAlign w:val="center"/>
          </w:tcPr>
          <w:p w14:paraId="0372C7C6" w14:textId="77777777" w:rsidR="00454A29" w:rsidRDefault="00454A29">
            <w:pPr>
              <w:pStyle w:val="ConsPlusNormal"/>
            </w:pPr>
          </w:p>
        </w:tc>
        <w:tc>
          <w:tcPr>
            <w:tcW w:w="1701" w:type="dxa"/>
            <w:vAlign w:val="center"/>
          </w:tcPr>
          <w:p w14:paraId="656698A5" w14:textId="77777777" w:rsidR="00454A29" w:rsidRDefault="00454A29">
            <w:pPr>
              <w:pStyle w:val="ConsPlusNormal"/>
            </w:pPr>
          </w:p>
        </w:tc>
        <w:tc>
          <w:tcPr>
            <w:tcW w:w="1814" w:type="dxa"/>
            <w:vAlign w:val="center"/>
          </w:tcPr>
          <w:p w14:paraId="2BFAE81B" w14:textId="77777777" w:rsidR="00454A29" w:rsidRDefault="00454A29">
            <w:pPr>
              <w:pStyle w:val="ConsPlusNormal"/>
            </w:pPr>
          </w:p>
        </w:tc>
      </w:tr>
      <w:tr w:rsidR="00454A29" w14:paraId="121EDD60" w14:textId="77777777">
        <w:tc>
          <w:tcPr>
            <w:tcW w:w="567" w:type="dxa"/>
            <w:vMerge/>
          </w:tcPr>
          <w:p w14:paraId="4C618F93" w14:textId="77777777" w:rsidR="00454A29" w:rsidRDefault="00454A29"/>
        </w:tc>
        <w:tc>
          <w:tcPr>
            <w:tcW w:w="3345" w:type="dxa"/>
            <w:vMerge/>
          </w:tcPr>
          <w:p w14:paraId="55CDE327" w14:textId="77777777" w:rsidR="00454A29" w:rsidRDefault="00454A29"/>
        </w:tc>
        <w:tc>
          <w:tcPr>
            <w:tcW w:w="1701" w:type="dxa"/>
            <w:vAlign w:val="center"/>
          </w:tcPr>
          <w:p w14:paraId="56902675" w14:textId="77777777" w:rsidR="00454A29" w:rsidRDefault="00454A29">
            <w:pPr>
              <w:pStyle w:val="ConsPlusNormal"/>
              <w:jc w:val="center"/>
            </w:pPr>
            <w:r>
              <w:t>2021</w:t>
            </w:r>
          </w:p>
        </w:tc>
        <w:tc>
          <w:tcPr>
            <w:tcW w:w="1417" w:type="dxa"/>
            <w:vMerge/>
          </w:tcPr>
          <w:p w14:paraId="732047CB" w14:textId="77777777" w:rsidR="00454A29" w:rsidRDefault="00454A29"/>
        </w:tc>
        <w:tc>
          <w:tcPr>
            <w:tcW w:w="2204" w:type="dxa"/>
            <w:vMerge/>
          </w:tcPr>
          <w:p w14:paraId="386F292A" w14:textId="77777777" w:rsidR="00454A29" w:rsidRDefault="00454A29"/>
        </w:tc>
        <w:tc>
          <w:tcPr>
            <w:tcW w:w="1417" w:type="dxa"/>
            <w:vMerge/>
          </w:tcPr>
          <w:p w14:paraId="1B8AF1D3" w14:textId="77777777" w:rsidR="00454A29" w:rsidRDefault="00454A29"/>
        </w:tc>
        <w:tc>
          <w:tcPr>
            <w:tcW w:w="2324" w:type="dxa"/>
            <w:vMerge/>
          </w:tcPr>
          <w:p w14:paraId="3C6BDCA8" w14:textId="77777777" w:rsidR="00454A29" w:rsidRDefault="00454A29"/>
        </w:tc>
        <w:tc>
          <w:tcPr>
            <w:tcW w:w="1701" w:type="dxa"/>
            <w:vAlign w:val="center"/>
          </w:tcPr>
          <w:p w14:paraId="10FCEAEE" w14:textId="77777777" w:rsidR="00454A29" w:rsidRDefault="00454A29">
            <w:pPr>
              <w:pStyle w:val="ConsPlusNormal"/>
              <w:jc w:val="center"/>
            </w:pPr>
            <w:r>
              <w:t>-</w:t>
            </w:r>
          </w:p>
        </w:tc>
        <w:tc>
          <w:tcPr>
            <w:tcW w:w="1814" w:type="dxa"/>
            <w:vAlign w:val="center"/>
          </w:tcPr>
          <w:p w14:paraId="51CD7464" w14:textId="77777777" w:rsidR="00454A29" w:rsidRDefault="00454A29">
            <w:pPr>
              <w:pStyle w:val="ConsPlusNormal"/>
            </w:pPr>
          </w:p>
        </w:tc>
        <w:tc>
          <w:tcPr>
            <w:tcW w:w="1701" w:type="dxa"/>
            <w:vAlign w:val="center"/>
          </w:tcPr>
          <w:p w14:paraId="51F7088D" w14:textId="77777777" w:rsidR="00454A29" w:rsidRDefault="00454A29">
            <w:pPr>
              <w:pStyle w:val="ConsPlusNormal"/>
            </w:pPr>
          </w:p>
        </w:tc>
        <w:tc>
          <w:tcPr>
            <w:tcW w:w="1701" w:type="dxa"/>
            <w:vAlign w:val="center"/>
          </w:tcPr>
          <w:p w14:paraId="0D0FFC77" w14:textId="77777777" w:rsidR="00454A29" w:rsidRDefault="00454A29">
            <w:pPr>
              <w:pStyle w:val="ConsPlusNormal"/>
            </w:pPr>
          </w:p>
        </w:tc>
        <w:tc>
          <w:tcPr>
            <w:tcW w:w="1814" w:type="dxa"/>
            <w:vAlign w:val="center"/>
          </w:tcPr>
          <w:p w14:paraId="395522A5" w14:textId="77777777" w:rsidR="00454A29" w:rsidRDefault="00454A29">
            <w:pPr>
              <w:pStyle w:val="ConsPlusNormal"/>
            </w:pPr>
          </w:p>
        </w:tc>
      </w:tr>
      <w:tr w:rsidR="00454A29" w14:paraId="6EBAB357" w14:textId="77777777">
        <w:tc>
          <w:tcPr>
            <w:tcW w:w="567" w:type="dxa"/>
            <w:vMerge/>
          </w:tcPr>
          <w:p w14:paraId="451F5FA7" w14:textId="77777777" w:rsidR="00454A29" w:rsidRDefault="00454A29"/>
        </w:tc>
        <w:tc>
          <w:tcPr>
            <w:tcW w:w="3345" w:type="dxa"/>
            <w:vMerge/>
          </w:tcPr>
          <w:p w14:paraId="5FA550D9" w14:textId="77777777" w:rsidR="00454A29" w:rsidRDefault="00454A29"/>
        </w:tc>
        <w:tc>
          <w:tcPr>
            <w:tcW w:w="1701" w:type="dxa"/>
            <w:vAlign w:val="center"/>
          </w:tcPr>
          <w:p w14:paraId="641B8419" w14:textId="77777777" w:rsidR="00454A29" w:rsidRDefault="00454A29">
            <w:pPr>
              <w:pStyle w:val="ConsPlusNormal"/>
              <w:jc w:val="center"/>
            </w:pPr>
            <w:r>
              <w:t>2022</w:t>
            </w:r>
          </w:p>
        </w:tc>
        <w:tc>
          <w:tcPr>
            <w:tcW w:w="1417" w:type="dxa"/>
            <w:vMerge/>
          </w:tcPr>
          <w:p w14:paraId="0EA7A92C" w14:textId="77777777" w:rsidR="00454A29" w:rsidRDefault="00454A29"/>
        </w:tc>
        <w:tc>
          <w:tcPr>
            <w:tcW w:w="2204" w:type="dxa"/>
            <w:vMerge/>
          </w:tcPr>
          <w:p w14:paraId="5111BAA6" w14:textId="77777777" w:rsidR="00454A29" w:rsidRDefault="00454A29"/>
        </w:tc>
        <w:tc>
          <w:tcPr>
            <w:tcW w:w="1417" w:type="dxa"/>
            <w:vMerge/>
          </w:tcPr>
          <w:p w14:paraId="30325EF4" w14:textId="77777777" w:rsidR="00454A29" w:rsidRDefault="00454A29"/>
        </w:tc>
        <w:tc>
          <w:tcPr>
            <w:tcW w:w="2324" w:type="dxa"/>
            <w:vMerge/>
          </w:tcPr>
          <w:p w14:paraId="177178A8" w14:textId="77777777" w:rsidR="00454A29" w:rsidRDefault="00454A29"/>
        </w:tc>
        <w:tc>
          <w:tcPr>
            <w:tcW w:w="1701" w:type="dxa"/>
            <w:vAlign w:val="center"/>
          </w:tcPr>
          <w:p w14:paraId="772E797A" w14:textId="77777777" w:rsidR="00454A29" w:rsidRDefault="00454A29">
            <w:pPr>
              <w:pStyle w:val="ConsPlusNormal"/>
            </w:pPr>
          </w:p>
        </w:tc>
        <w:tc>
          <w:tcPr>
            <w:tcW w:w="1814" w:type="dxa"/>
            <w:vAlign w:val="center"/>
          </w:tcPr>
          <w:p w14:paraId="4CF74337" w14:textId="77777777" w:rsidR="00454A29" w:rsidRDefault="00454A29">
            <w:pPr>
              <w:pStyle w:val="ConsPlusNormal"/>
            </w:pPr>
          </w:p>
        </w:tc>
        <w:tc>
          <w:tcPr>
            <w:tcW w:w="1701" w:type="dxa"/>
            <w:vAlign w:val="center"/>
          </w:tcPr>
          <w:p w14:paraId="44DA8599" w14:textId="77777777" w:rsidR="00454A29" w:rsidRDefault="00454A29">
            <w:pPr>
              <w:pStyle w:val="ConsPlusNormal"/>
            </w:pPr>
          </w:p>
        </w:tc>
        <w:tc>
          <w:tcPr>
            <w:tcW w:w="1701" w:type="dxa"/>
            <w:vAlign w:val="center"/>
          </w:tcPr>
          <w:p w14:paraId="0E4418A6" w14:textId="77777777" w:rsidR="00454A29" w:rsidRDefault="00454A29">
            <w:pPr>
              <w:pStyle w:val="ConsPlusNormal"/>
            </w:pPr>
          </w:p>
        </w:tc>
        <w:tc>
          <w:tcPr>
            <w:tcW w:w="1814" w:type="dxa"/>
            <w:vAlign w:val="center"/>
          </w:tcPr>
          <w:p w14:paraId="65725884" w14:textId="77777777" w:rsidR="00454A29" w:rsidRDefault="00454A29">
            <w:pPr>
              <w:pStyle w:val="ConsPlusNormal"/>
            </w:pPr>
          </w:p>
        </w:tc>
      </w:tr>
      <w:tr w:rsidR="00454A29" w14:paraId="3D48F488" w14:textId="77777777">
        <w:tc>
          <w:tcPr>
            <w:tcW w:w="567" w:type="dxa"/>
            <w:vMerge/>
          </w:tcPr>
          <w:p w14:paraId="0B7F0652" w14:textId="77777777" w:rsidR="00454A29" w:rsidRDefault="00454A29"/>
        </w:tc>
        <w:tc>
          <w:tcPr>
            <w:tcW w:w="3345" w:type="dxa"/>
            <w:vMerge/>
          </w:tcPr>
          <w:p w14:paraId="2322390E" w14:textId="77777777" w:rsidR="00454A29" w:rsidRDefault="00454A29"/>
        </w:tc>
        <w:tc>
          <w:tcPr>
            <w:tcW w:w="1701" w:type="dxa"/>
            <w:vAlign w:val="center"/>
          </w:tcPr>
          <w:p w14:paraId="72F38994" w14:textId="77777777" w:rsidR="00454A29" w:rsidRDefault="00454A29">
            <w:pPr>
              <w:pStyle w:val="ConsPlusNormal"/>
              <w:jc w:val="center"/>
            </w:pPr>
            <w:r>
              <w:t>2023</w:t>
            </w:r>
          </w:p>
        </w:tc>
        <w:tc>
          <w:tcPr>
            <w:tcW w:w="1417" w:type="dxa"/>
            <w:vMerge/>
          </w:tcPr>
          <w:p w14:paraId="03F1D527" w14:textId="77777777" w:rsidR="00454A29" w:rsidRDefault="00454A29"/>
        </w:tc>
        <w:tc>
          <w:tcPr>
            <w:tcW w:w="2204" w:type="dxa"/>
            <w:vMerge/>
          </w:tcPr>
          <w:p w14:paraId="6F8AD94F" w14:textId="77777777" w:rsidR="00454A29" w:rsidRDefault="00454A29"/>
        </w:tc>
        <w:tc>
          <w:tcPr>
            <w:tcW w:w="1417" w:type="dxa"/>
            <w:vMerge/>
          </w:tcPr>
          <w:p w14:paraId="3CBFA8FB" w14:textId="77777777" w:rsidR="00454A29" w:rsidRDefault="00454A29"/>
        </w:tc>
        <w:tc>
          <w:tcPr>
            <w:tcW w:w="2324" w:type="dxa"/>
            <w:vMerge/>
          </w:tcPr>
          <w:p w14:paraId="1FC273A3" w14:textId="77777777" w:rsidR="00454A29" w:rsidRDefault="00454A29"/>
        </w:tc>
        <w:tc>
          <w:tcPr>
            <w:tcW w:w="1701" w:type="dxa"/>
            <w:vAlign w:val="center"/>
          </w:tcPr>
          <w:p w14:paraId="01DAEE83" w14:textId="77777777" w:rsidR="00454A29" w:rsidRDefault="00454A29">
            <w:pPr>
              <w:pStyle w:val="ConsPlusNormal"/>
              <w:jc w:val="center"/>
            </w:pPr>
            <w:r>
              <w:t>813 304,66</w:t>
            </w:r>
          </w:p>
        </w:tc>
        <w:tc>
          <w:tcPr>
            <w:tcW w:w="1814" w:type="dxa"/>
            <w:vAlign w:val="center"/>
          </w:tcPr>
          <w:p w14:paraId="46FCD734" w14:textId="77777777" w:rsidR="00454A29" w:rsidRDefault="00454A29">
            <w:pPr>
              <w:pStyle w:val="ConsPlusNormal"/>
              <w:jc w:val="center"/>
            </w:pPr>
            <w:r>
              <w:t>4 033,99</w:t>
            </w:r>
          </w:p>
        </w:tc>
        <w:tc>
          <w:tcPr>
            <w:tcW w:w="1701" w:type="dxa"/>
            <w:vAlign w:val="center"/>
          </w:tcPr>
          <w:p w14:paraId="6CD8C7E6" w14:textId="77777777" w:rsidR="00454A29" w:rsidRDefault="00454A29">
            <w:pPr>
              <w:pStyle w:val="ConsPlusNormal"/>
              <w:jc w:val="center"/>
            </w:pPr>
            <w:r>
              <w:t>399 365,12</w:t>
            </w:r>
          </w:p>
        </w:tc>
        <w:tc>
          <w:tcPr>
            <w:tcW w:w="1701" w:type="dxa"/>
            <w:vAlign w:val="center"/>
          </w:tcPr>
          <w:p w14:paraId="5379A383" w14:textId="77777777" w:rsidR="00454A29" w:rsidRDefault="00454A29">
            <w:pPr>
              <w:pStyle w:val="ConsPlusNormal"/>
            </w:pPr>
          </w:p>
        </w:tc>
        <w:tc>
          <w:tcPr>
            <w:tcW w:w="1814" w:type="dxa"/>
            <w:vAlign w:val="center"/>
          </w:tcPr>
          <w:p w14:paraId="7C82B439" w14:textId="77777777" w:rsidR="00454A29" w:rsidRDefault="00454A29">
            <w:pPr>
              <w:pStyle w:val="ConsPlusNormal"/>
            </w:pPr>
          </w:p>
        </w:tc>
      </w:tr>
      <w:tr w:rsidR="00454A29" w14:paraId="44E86E55" w14:textId="77777777">
        <w:tc>
          <w:tcPr>
            <w:tcW w:w="567" w:type="dxa"/>
            <w:vMerge/>
          </w:tcPr>
          <w:p w14:paraId="32D9C8C5" w14:textId="77777777" w:rsidR="00454A29" w:rsidRDefault="00454A29"/>
        </w:tc>
        <w:tc>
          <w:tcPr>
            <w:tcW w:w="3345" w:type="dxa"/>
            <w:vMerge/>
          </w:tcPr>
          <w:p w14:paraId="67F7EC5B" w14:textId="77777777" w:rsidR="00454A29" w:rsidRDefault="00454A29"/>
        </w:tc>
        <w:tc>
          <w:tcPr>
            <w:tcW w:w="1701" w:type="dxa"/>
            <w:vAlign w:val="center"/>
          </w:tcPr>
          <w:p w14:paraId="2D334124" w14:textId="77777777" w:rsidR="00454A29" w:rsidRDefault="00454A29">
            <w:pPr>
              <w:pStyle w:val="ConsPlusNormal"/>
              <w:jc w:val="center"/>
            </w:pPr>
            <w:r>
              <w:t>2024</w:t>
            </w:r>
          </w:p>
        </w:tc>
        <w:tc>
          <w:tcPr>
            <w:tcW w:w="1417" w:type="dxa"/>
            <w:vMerge/>
          </w:tcPr>
          <w:p w14:paraId="2256D301" w14:textId="77777777" w:rsidR="00454A29" w:rsidRDefault="00454A29"/>
        </w:tc>
        <w:tc>
          <w:tcPr>
            <w:tcW w:w="2204" w:type="dxa"/>
            <w:vMerge/>
          </w:tcPr>
          <w:p w14:paraId="77E9876E" w14:textId="77777777" w:rsidR="00454A29" w:rsidRDefault="00454A29"/>
        </w:tc>
        <w:tc>
          <w:tcPr>
            <w:tcW w:w="1417" w:type="dxa"/>
            <w:vMerge/>
          </w:tcPr>
          <w:p w14:paraId="54FD7E65" w14:textId="77777777" w:rsidR="00454A29" w:rsidRDefault="00454A29"/>
        </w:tc>
        <w:tc>
          <w:tcPr>
            <w:tcW w:w="2324" w:type="dxa"/>
            <w:vMerge/>
          </w:tcPr>
          <w:p w14:paraId="1BE6D737" w14:textId="77777777" w:rsidR="00454A29" w:rsidRDefault="00454A29"/>
        </w:tc>
        <w:tc>
          <w:tcPr>
            <w:tcW w:w="1701" w:type="dxa"/>
            <w:vAlign w:val="center"/>
          </w:tcPr>
          <w:p w14:paraId="01DB0963" w14:textId="77777777" w:rsidR="00454A29" w:rsidRDefault="00454A29">
            <w:pPr>
              <w:pStyle w:val="ConsPlusNormal"/>
            </w:pPr>
          </w:p>
        </w:tc>
        <w:tc>
          <w:tcPr>
            <w:tcW w:w="1814" w:type="dxa"/>
            <w:vAlign w:val="center"/>
          </w:tcPr>
          <w:p w14:paraId="4B03DB7A" w14:textId="77777777" w:rsidR="00454A29" w:rsidRDefault="00454A29">
            <w:pPr>
              <w:pStyle w:val="ConsPlusNormal"/>
            </w:pPr>
          </w:p>
        </w:tc>
        <w:tc>
          <w:tcPr>
            <w:tcW w:w="1701" w:type="dxa"/>
            <w:vAlign w:val="center"/>
          </w:tcPr>
          <w:p w14:paraId="6E07C038" w14:textId="77777777" w:rsidR="00454A29" w:rsidRDefault="00454A29">
            <w:pPr>
              <w:pStyle w:val="ConsPlusNormal"/>
            </w:pPr>
          </w:p>
        </w:tc>
        <w:tc>
          <w:tcPr>
            <w:tcW w:w="1701" w:type="dxa"/>
            <w:vAlign w:val="center"/>
          </w:tcPr>
          <w:p w14:paraId="3A662093" w14:textId="77777777" w:rsidR="00454A29" w:rsidRDefault="00454A29">
            <w:pPr>
              <w:pStyle w:val="ConsPlusNormal"/>
            </w:pPr>
          </w:p>
        </w:tc>
        <w:tc>
          <w:tcPr>
            <w:tcW w:w="1814" w:type="dxa"/>
            <w:vAlign w:val="center"/>
          </w:tcPr>
          <w:p w14:paraId="7AFC8788" w14:textId="77777777" w:rsidR="00454A29" w:rsidRDefault="00454A29">
            <w:pPr>
              <w:pStyle w:val="ConsPlusNormal"/>
            </w:pPr>
          </w:p>
        </w:tc>
      </w:tr>
      <w:tr w:rsidR="00454A29" w14:paraId="4554F3C8" w14:textId="77777777">
        <w:tc>
          <w:tcPr>
            <w:tcW w:w="567" w:type="dxa"/>
            <w:vMerge/>
          </w:tcPr>
          <w:p w14:paraId="23DD8B85" w14:textId="77777777" w:rsidR="00454A29" w:rsidRDefault="00454A29"/>
        </w:tc>
        <w:tc>
          <w:tcPr>
            <w:tcW w:w="3345" w:type="dxa"/>
            <w:vMerge/>
          </w:tcPr>
          <w:p w14:paraId="053E4297" w14:textId="77777777" w:rsidR="00454A29" w:rsidRDefault="00454A29"/>
        </w:tc>
        <w:tc>
          <w:tcPr>
            <w:tcW w:w="1701" w:type="dxa"/>
            <w:vAlign w:val="center"/>
          </w:tcPr>
          <w:p w14:paraId="408D4318" w14:textId="77777777" w:rsidR="00454A29" w:rsidRDefault="00454A29">
            <w:pPr>
              <w:pStyle w:val="ConsPlusNormal"/>
              <w:jc w:val="center"/>
            </w:pPr>
            <w:r>
              <w:t>2025</w:t>
            </w:r>
          </w:p>
        </w:tc>
        <w:tc>
          <w:tcPr>
            <w:tcW w:w="1417" w:type="dxa"/>
            <w:vMerge/>
          </w:tcPr>
          <w:p w14:paraId="0653B7F4" w14:textId="77777777" w:rsidR="00454A29" w:rsidRDefault="00454A29"/>
        </w:tc>
        <w:tc>
          <w:tcPr>
            <w:tcW w:w="2204" w:type="dxa"/>
            <w:vMerge/>
          </w:tcPr>
          <w:p w14:paraId="54C4C303" w14:textId="77777777" w:rsidR="00454A29" w:rsidRDefault="00454A29"/>
        </w:tc>
        <w:tc>
          <w:tcPr>
            <w:tcW w:w="1417" w:type="dxa"/>
            <w:vMerge/>
          </w:tcPr>
          <w:p w14:paraId="1B7A2CD9" w14:textId="77777777" w:rsidR="00454A29" w:rsidRDefault="00454A29"/>
        </w:tc>
        <w:tc>
          <w:tcPr>
            <w:tcW w:w="2324" w:type="dxa"/>
            <w:vMerge/>
          </w:tcPr>
          <w:p w14:paraId="391743BE" w14:textId="77777777" w:rsidR="00454A29" w:rsidRDefault="00454A29"/>
        </w:tc>
        <w:tc>
          <w:tcPr>
            <w:tcW w:w="1701" w:type="dxa"/>
            <w:vAlign w:val="center"/>
          </w:tcPr>
          <w:p w14:paraId="4C8EB1BB" w14:textId="77777777" w:rsidR="00454A29" w:rsidRDefault="00454A29">
            <w:pPr>
              <w:pStyle w:val="ConsPlusNormal"/>
            </w:pPr>
          </w:p>
        </w:tc>
        <w:tc>
          <w:tcPr>
            <w:tcW w:w="1814" w:type="dxa"/>
            <w:vAlign w:val="center"/>
          </w:tcPr>
          <w:p w14:paraId="19452761" w14:textId="77777777" w:rsidR="00454A29" w:rsidRDefault="00454A29">
            <w:pPr>
              <w:pStyle w:val="ConsPlusNormal"/>
            </w:pPr>
          </w:p>
        </w:tc>
        <w:tc>
          <w:tcPr>
            <w:tcW w:w="1701" w:type="dxa"/>
            <w:vAlign w:val="center"/>
          </w:tcPr>
          <w:p w14:paraId="0D0482EB" w14:textId="77777777" w:rsidR="00454A29" w:rsidRDefault="00454A29">
            <w:pPr>
              <w:pStyle w:val="ConsPlusNormal"/>
            </w:pPr>
          </w:p>
        </w:tc>
        <w:tc>
          <w:tcPr>
            <w:tcW w:w="1701" w:type="dxa"/>
            <w:vAlign w:val="center"/>
          </w:tcPr>
          <w:p w14:paraId="011F1A36" w14:textId="77777777" w:rsidR="00454A29" w:rsidRDefault="00454A29">
            <w:pPr>
              <w:pStyle w:val="ConsPlusNormal"/>
            </w:pPr>
          </w:p>
        </w:tc>
        <w:tc>
          <w:tcPr>
            <w:tcW w:w="1814" w:type="dxa"/>
            <w:vAlign w:val="center"/>
          </w:tcPr>
          <w:p w14:paraId="213D3CDF" w14:textId="77777777" w:rsidR="00454A29" w:rsidRDefault="00454A29">
            <w:pPr>
              <w:pStyle w:val="ConsPlusNormal"/>
            </w:pPr>
          </w:p>
        </w:tc>
      </w:tr>
      <w:tr w:rsidR="00454A29" w14:paraId="47574527" w14:textId="77777777">
        <w:tc>
          <w:tcPr>
            <w:tcW w:w="567" w:type="dxa"/>
            <w:vMerge/>
          </w:tcPr>
          <w:p w14:paraId="67190A8C" w14:textId="77777777" w:rsidR="00454A29" w:rsidRDefault="00454A29"/>
        </w:tc>
        <w:tc>
          <w:tcPr>
            <w:tcW w:w="3345" w:type="dxa"/>
            <w:vMerge/>
          </w:tcPr>
          <w:p w14:paraId="46B67892" w14:textId="77777777" w:rsidR="00454A29" w:rsidRDefault="00454A29"/>
        </w:tc>
        <w:tc>
          <w:tcPr>
            <w:tcW w:w="1701" w:type="dxa"/>
            <w:vAlign w:val="center"/>
          </w:tcPr>
          <w:p w14:paraId="613C5F77" w14:textId="77777777" w:rsidR="00454A29" w:rsidRDefault="00454A29">
            <w:pPr>
              <w:pStyle w:val="ConsPlusNormal"/>
              <w:jc w:val="center"/>
            </w:pPr>
            <w:r>
              <w:t>2026</w:t>
            </w:r>
          </w:p>
        </w:tc>
        <w:tc>
          <w:tcPr>
            <w:tcW w:w="1417" w:type="dxa"/>
            <w:vMerge/>
          </w:tcPr>
          <w:p w14:paraId="64273DAE" w14:textId="77777777" w:rsidR="00454A29" w:rsidRDefault="00454A29"/>
        </w:tc>
        <w:tc>
          <w:tcPr>
            <w:tcW w:w="2204" w:type="dxa"/>
            <w:vMerge/>
          </w:tcPr>
          <w:p w14:paraId="50763A2A" w14:textId="77777777" w:rsidR="00454A29" w:rsidRDefault="00454A29"/>
        </w:tc>
        <w:tc>
          <w:tcPr>
            <w:tcW w:w="1417" w:type="dxa"/>
            <w:vMerge/>
          </w:tcPr>
          <w:p w14:paraId="62A2440F" w14:textId="77777777" w:rsidR="00454A29" w:rsidRDefault="00454A29"/>
        </w:tc>
        <w:tc>
          <w:tcPr>
            <w:tcW w:w="2324" w:type="dxa"/>
            <w:vMerge/>
          </w:tcPr>
          <w:p w14:paraId="0619D562" w14:textId="77777777" w:rsidR="00454A29" w:rsidRDefault="00454A29"/>
        </w:tc>
        <w:tc>
          <w:tcPr>
            <w:tcW w:w="1701" w:type="dxa"/>
            <w:vAlign w:val="center"/>
          </w:tcPr>
          <w:p w14:paraId="281BD397" w14:textId="77777777" w:rsidR="00454A29" w:rsidRDefault="00454A29">
            <w:pPr>
              <w:pStyle w:val="ConsPlusNormal"/>
            </w:pPr>
          </w:p>
        </w:tc>
        <w:tc>
          <w:tcPr>
            <w:tcW w:w="1814" w:type="dxa"/>
            <w:vAlign w:val="center"/>
          </w:tcPr>
          <w:p w14:paraId="4E910A2B" w14:textId="77777777" w:rsidR="00454A29" w:rsidRDefault="00454A29">
            <w:pPr>
              <w:pStyle w:val="ConsPlusNormal"/>
            </w:pPr>
          </w:p>
        </w:tc>
        <w:tc>
          <w:tcPr>
            <w:tcW w:w="1701" w:type="dxa"/>
            <w:vAlign w:val="center"/>
          </w:tcPr>
          <w:p w14:paraId="2D3FE3F2" w14:textId="77777777" w:rsidR="00454A29" w:rsidRDefault="00454A29">
            <w:pPr>
              <w:pStyle w:val="ConsPlusNormal"/>
            </w:pPr>
          </w:p>
        </w:tc>
        <w:tc>
          <w:tcPr>
            <w:tcW w:w="1701" w:type="dxa"/>
            <w:vAlign w:val="center"/>
          </w:tcPr>
          <w:p w14:paraId="071889F8" w14:textId="77777777" w:rsidR="00454A29" w:rsidRDefault="00454A29">
            <w:pPr>
              <w:pStyle w:val="ConsPlusNormal"/>
            </w:pPr>
          </w:p>
        </w:tc>
        <w:tc>
          <w:tcPr>
            <w:tcW w:w="1814" w:type="dxa"/>
            <w:vAlign w:val="center"/>
          </w:tcPr>
          <w:p w14:paraId="53719468" w14:textId="77777777" w:rsidR="00454A29" w:rsidRDefault="00454A29">
            <w:pPr>
              <w:pStyle w:val="ConsPlusNormal"/>
            </w:pPr>
          </w:p>
        </w:tc>
      </w:tr>
      <w:tr w:rsidR="00454A29" w14:paraId="323CE2BE" w14:textId="77777777">
        <w:tc>
          <w:tcPr>
            <w:tcW w:w="567" w:type="dxa"/>
            <w:vMerge w:val="restart"/>
            <w:vAlign w:val="center"/>
          </w:tcPr>
          <w:p w14:paraId="7A04CE2B" w14:textId="77777777" w:rsidR="00454A29" w:rsidRDefault="00454A29">
            <w:pPr>
              <w:pStyle w:val="ConsPlusNormal"/>
              <w:jc w:val="center"/>
            </w:pPr>
            <w:r>
              <w:t>143</w:t>
            </w:r>
          </w:p>
        </w:tc>
        <w:tc>
          <w:tcPr>
            <w:tcW w:w="3345" w:type="dxa"/>
            <w:vMerge w:val="restart"/>
            <w:vAlign w:val="center"/>
          </w:tcPr>
          <w:p w14:paraId="25664221" w14:textId="77777777" w:rsidR="00454A29" w:rsidRDefault="00454A29">
            <w:pPr>
              <w:pStyle w:val="ConsPlusNormal"/>
              <w:jc w:val="center"/>
            </w:pPr>
            <w:r>
              <w:t>Школа-сад на 50/40 мест в с. Хомустах</w:t>
            </w:r>
          </w:p>
        </w:tc>
        <w:tc>
          <w:tcPr>
            <w:tcW w:w="1701" w:type="dxa"/>
            <w:vAlign w:val="center"/>
          </w:tcPr>
          <w:p w14:paraId="5F03C53A" w14:textId="77777777" w:rsidR="00454A29" w:rsidRDefault="00454A29">
            <w:pPr>
              <w:pStyle w:val="ConsPlusNormal"/>
              <w:jc w:val="center"/>
            </w:pPr>
            <w:r>
              <w:t>2020 - 2026 годы - всего</w:t>
            </w:r>
          </w:p>
        </w:tc>
        <w:tc>
          <w:tcPr>
            <w:tcW w:w="1417" w:type="dxa"/>
            <w:vMerge w:val="restart"/>
            <w:vAlign w:val="center"/>
          </w:tcPr>
          <w:p w14:paraId="2EB228B9" w14:textId="77777777" w:rsidR="00454A29" w:rsidRDefault="00454A29">
            <w:pPr>
              <w:pStyle w:val="ConsPlusNormal"/>
              <w:jc w:val="center"/>
            </w:pPr>
            <w:r>
              <w:t>165 521,04</w:t>
            </w:r>
          </w:p>
        </w:tc>
        <w:tc>
          <w:tcPr>
            <w:tcW w:w="2204" w:type="dxa"/>
            <w:vMerge w:val="restart"/>
            <w:vAlign w:val="center"/>
          </w:tcPr>
          <w:p w14:paraId="03D11535" w14:textId="77777777" w:rsidR="00454A29" w:rsidRDefault="00454A29">
            <w:pPr>
              <w:pStyle w:val="ConsPlusNormal"/>
            </w:pPr>
          </w:p>
        </w:tc>
        <w:tc>
          <w:tcPr>
            <w:tcW w:w="1417" w:type="dxa"/>
            <w:vMerge w:val="restart"/>
            <w:vAlign w:val="center"/>
          </w:tcPr>
          <w:p w14:paraId="0727371F" w14:textId="77777777" w:rsidR="00454A29" w:rsidRDefault="00454A29">
            <w:pPr>
              <w:pStyle w:val="ConsPlusNormal"/>
              <w:jc w:val="center"/>
            </w:pPr>
            <w:r>
              <w:t>50</w:t>
            </w:r>
          </w:p>
        </w:tc>
        <w:tc>
          <w:tcPr>
            <w:tcW w:w="2324" w:type="dxa"/>
            <w:vMerge w:val="restart"/>
            <w:vAlign w:val="center"/>
          </w:tcPr>
          <w:p w14:paraId="067A61D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007B305" w14:textId="77777777" w:rsidR="00454A29" w:rsidRDefault="00454A29">
            <w:pPr>
              <w:pStyle w:val="ConsPlusNormal"/>
              <w:jc w:val="center"/>
            </w:pPr>
            <w:r>
              <w:t>165 521,04</w:t>
            </w:r>
          </w:p>
        </w:tc>
        <w:tc>
          <w:tcPr>
            <w:tcW w:w="1814" w:type="dxa"/>
            <w:vAlign w:val="center"/>
          </w:tcPr>
          <w:p w14:paraId="626B98B6" w14:textId="77777777" w:rsidR="00454A29" w:rsidRDefault="00454A29">
            <w:pPr>
              <w:pStyle w:val="ConsPlusNormal"/>
              <w:jc w:val="center"/>
            </w:pPr>
            <w:r>
              <w:t>2 039,22</w:t>
            </w:r>
          </w:p>
        </w:tc>
        <w:tc>
          <w:tcPr>
            <w:tcW w:w="1701" w:type="dxa"/>
            <w:vAlign w:val="center"/>
          </w:tcPr>
          <w:p w14:paraId="54CE6C69" w14:textId="77777777" w:rsidR="00454A29" w:rsidRDefault="00454A29">
            <w:pPr>
              <w:pStyle w:val="ConsPlusNormal"/>
              <w:jc w:val="center"/>
            </w:pPr>
            <w:r>
              <w:t>201 882,70</w:t>
            </w:r>
          </w:p>
        </w:tc>
        <w:tc>
          <w:tcPr>
            <w:tcW w:w="1701" w:type="dxa"/>
            <w:vAlign w:val="center"/>
          </w:tcPr>
          <w:p w14:paraId="0E21E060" w14:textId="77777777" w:rsidR="00454A29" w:rsidRDefault="00454A29">
            <w:pPr>
              <w:pStyle w:val="ConsPlusNormal"/>
              <w:jc w:val="center"/>
            </w:pPr>
            <w:r>
              <w:t>-</w:t>
            </w:r>
          </w:p>
        </w:tc>
        <w:tc>
          <w:tcPr>
            <w:tcW w:w="1814" w:type="dxa"/>
            <w:vAlign w:val="center"/>
          </w:tcPr>
          <w:p w14:paraId="44A96963" w14:textId="77777777" w:rsidR="00454A29" w:rsidRDefault="00454A29">
            <w:pPr>
              <w:pStyle w:val="ConsPlusNormal"/>
              <w:jc w:val="center"/>
            </w:pPr>
            <w:r>
              <w:t>-</w:t>
            </w:r>
          </w:p>
        </w:tc>
      </w:tr>
      <w:tr w:rsidR="00454A29" w14:paraId="5753BAF0" w14:textId="77777777">
        <w:tc>
          <w:tcPr>
            <w:tcW w:w="567" w:type="dxa"/>
            <w:vMerge/>
          </w:tcPr>
          <w:p w14:paraId="64D35C74" w14:textId="77777777" w:rsidR="00454A29" w:rsidRDefault="00454A29"/>
        </w:tc>
        <w:tc>
          <w:tcPr>
            <w:tcW w:w="3345" w:type="dxa"/>
            <w:vMerge/>
          </w:tcPr>
          <w:p w14:paraId="1B8EA848" w14:textId="77777777" w:rsidR="00454A29" w:rsidRDefault="00454A29"/>
        </w:tc>
        <w:tc>
          <w:tcPr>
            <w:tcW w:w="1701" w:type="dxa"/>
            <w:vAlign w:val="center"/>
          </w:tcPr>
          <w:p w14:paraId="4ADA9956" w14:textId="77777777" w:rsidR="00454A29" w:rsidRDefault="00454A29">
            <w:pPr>
              <w:pStyle w:val="ConsPlusNormal"/>
              <w:jc w:val="center"/>
            </w:pPr>
            <w:r>
              <w:t>2020</w:t>
            </w:r>
          </w:p>
        </w:tc>
        <w:tc>
          <w:tcPr>
            <w:tcW w:w="1417" w:type="dxa"/>
            <w:vMerge/>
          </w:tcPr>
          <w:p w14:paraId="3F396783" w14:textId="77777777" w:rsidR="00454A29" w:rsidRDefault="00454A29"/>
        </w:tc>
        <w:tc>
          <w:tcPr>
            <w:tcW w:w="2204" w:type="dxa"/>
            <w:vMerge/>
          </w:tcPr>
          <w:p w14:paraId="1844DC51" w14:textId="77777777" w:rsidR="00454A29" w:rsidRDefault="00454A29"/>
        </w:tc>
        <w:tc>
          <w:tcPr>
            <w:tcW w:w="1417" w:type="dxa"/>
            <w:vMerge/>
          </w:tcPr>
          <w:p w14:paraId="24C4CD18" w14:textId="77777777" w:rsidR="00454A29" w:rsidRDefault="00454A29"/>
        </w:tc>
        <w:tc>
          <w:tcPr>
            <w:tcW w:w="2324" w:type="dxa"/>
            <w:vMerge/>
          </w:tcPr>
          <w:p w14:paraId="2CFCD801" w14:textId="77777777" w:rsidR="00454A29" w:rsidRDefault="00454A29"/>
        </w:tc>
        <w:tc>
          <w:tcPr>
            <w:tcW w:w="1701" w:type="dxa"/>
            <w:vAlign w:val="center"/>
          </w:tcPr>
          <w:p w14:paraId="7AF7605F" w14:textId="77777777" w:rsidR="00454A29" w:rsidRDefault="00454A29">
            <w:pPr>
              <w:pStyle w:val="ConsPlusNormal"/>
            </w:pPr>
          </w:p>
        </w:tc>
        <w:tc>
          <w:tcPr>
            <w:tcW w:w="1814" w:type="dxa"/>
            <w:vAlign w:val="center"/>
          </w:tcPr>
          <w:p w14:paraId="7F391DAF" w14:textId="77777777" w:rsidR="00454A29" w:rsidRDefault="00454A29">
            <w:pPr>
              <w:pStyle w:val="ConsPlusNormal"/>
            </w:pPr>
          </w:p>
        </w:tc>
        <w:tc>
          <w:tcPr>
            <w:tcW w:w="1701" w:type="dxa"/>
            <w:vAlign w:val="center"/>
          </w:tcPr>
          <w:p w14:paraId="4D34C878" w14:textId="77777777" w:rsidR="00454A29" w:rsidRDefault="00454A29">
            <w:pPr>
              <w:pStyle w:val="ConsPlusNormal"/>
            </w:pPr>
          </w:p>
        </w:tc>
        <w:tc>
          <w:tcPr>
            <w:tcW w:w="1701" w:type="dxa"/>
            <w:vAlign w:val="center"/>
          </w:tcPr>
          <w:p w14:paraId="7CFB9435" w14:textId="77777777" w:rsidR="00454A29" w:rsidRDefault="00454A29">
            <w:pPr>
              <w:pStyle w:val="ConsPlusNormal"/>
            </w:pPr>
          </w:p>
        </w:tc>
        <w:tc>
          <w:tcPr>
            <w:tcW w:w="1814" w:type="dxa"/>
            <w:vAlign w:val="center"/>
          </w:tcPr>
          <w:p w14:paraId="5A71B5AE" w14:textId="77777777" w:rsidR="00454A29" w:rsidRDefault="00454A29">
            <w:pPr>
              <w:pStyle w:val="ConsPlusNormal"/>
            </w:pPr>
          </w:p>
        </w:tc>
      </w:tr>
      <w:tr w:rsidR="00454A29" w14:paraId="1576469F" w14:textId="77777777">
        <w:tc>
          <w:tcPr>
            <w:tcW w:w="567" w:type="dxa"/>
            <w:vMerge/>
          </w:tcPr>
          <w:p w14:paraId="42376427" w14:textId="77777777" w:rsidR="00454A29" w:rsidRDefault="00454A29"/>
        </w:tc>
        <w:tc>
          <w:tcPr>
            <w:tcW w:w="3345" w:type="dxa"/>
            <w:vMerge/>
          </w:tcPr>
          <w:p w14:paraId="6209F346" w14:textId="77777777" w:rsidR="00454A29" w:rsidRDefault="00454A29"/>
        </w:tc>
        <w:tc>
          <w:tcPr>
            <w:tcW w:w="1701" w:type="dxa"/>
            <w:vAlign w:val="center"/>
          </w:tcPr>
          <w:p w14:paraId="32C6ACBB" w14:textId="77777777" w:rsidR="00454A29" w:rsidRDefault="00454A29">
            <w:pPr>
              <w:pStyle w:val="ConsPlusNormal"/>
              <w:jc w:val="center"/>
            </w:pPr>
            <w:r>
              <w:t>2021</w:t>
            </w:r>
          </w:p>
        </w:tc>
        <w:tc>
          <w:tcPr>
            <w:tcW w:w="1417" w:type="dxa"/>
            <w:vMerge/>
          </w:tcPr>
          <w:p w14:paraId="0ADD55C8" w14:textId="77777777" w:rsidR="00454A29" w:rsidRDefault="00454A29"/>
        </w:tc>
        <w:tc>
          <w:tcPr>
            <w:tcW w:w="2204" w:type="dxa"/>
            <w:vMerge/>
          </w:tcPr>
          <w:p w14:paraId="683096F2" w14:textId="77777777" w:rsidR="00454A29" w:rsidRDefault="00454A29"/>
        </w:tc>
        <w:tc>
          <w:tcPr>
            <w:tcW w:w="1417" w:type="dxa"/>
            <w:vMerge/>
          </w:tcPr>
          <w:p w14:paraId="2B1BB215" w14:textId="77777777" w:rsidR="00454A29" w:rsidRDefault="00454A29"/>
        </w:tc>
        <w:tc>
          <w:tcPr>
            <w:tcW w:w="2324" w:type="dxa"/>
            <w:vMerge/>
          </w:tcPr>
          <w:p w14:paraId="608BA63F" w14:textId="77777777" w:rsidR="00454A29" w:rsidRDefault="00454A29"/>
        </w:tc>
        <w:tc>
          <w:tcPr>
            <w:tcW w:w="1701" w:type="dxa"/>
            <w:vAlign w:val="center"/>
          </w:tcPr>
          <w:p w14:paraId="687597D3" w14:textId="77777777" w:rsidR="00454A29" w:rsidRDefault="00454A29">
            <w:pPr>
              <w:pStyle w:val="ConsPlusNormal"/>
            </w:pPr>
          </w:p>
        </w:tc>
        <w:tc>
          <w:tcPr>
            <w:tcW w:w="1814" w:type="dxa"/>
            <w:vAlign w:val="center"/>
          </w:tcPr>
          <w:p w14:paraId="024E6ACC" w14:textId="77777777" w:rsidR="00454A29" w:rsidRDefault="00454A29">
            <w:pPr>
              <w:pStyle w:val="ConsPlusNormal"/>
            </w:pPr>
          </w:p>
        </w:tc>
        <w:tc>
          <w:tcPr>
            <w:tcW w:w="1701" w:type="dxa"/>
            <w:vAlign w:val="center"/>
          </w:tcPr>
          <w:p w14:paraId="1563D23A" w14:textId="77777777" w:rsidR="00454A29" w:rsidRDefault="00454A29">
            <w:pPr>
              <w:pStyle w:val="ConsPlusNormal"/>
            </w:pPr>
          </w:p>
        </w:tc>
        <w:tc>
          <w:tcPr>
            <w:tcW w:w="1701" w:type="dxa"/>
            <w:vAlign w:val="center"/>
          </w:tcPr>
          <w:p w14:paraId="3184C4CE" w14:textId="77777777" w:rsidR="00454A29" w:rsidRDefault="00454A29">
            <w:pPr>
              <w:pStyle w:val="ConsPlusNormal"/>
            </w:pPr>
          </w:p>
        </w:tc>
        <w:tc>
          <w:tcPr>
            <w:tcW w:w="1814" w:type="dxa"/>
            <w:vAlign w:val="center"/>
          </w:tcPr>
          <w:p w14:paraId="4D7ED320" w14:textId="77777777" w:rsidR="00454A29" w:rsidRDefault="00454A29">
            <w:pPr>
              <w:pStyle w:val="ConsPlusNormal"/>
            </w:pPr>
          </w:p>
        </w:tc>
      </w:tr>
      <w:tr w:rsidR="00454A29" w14:paraId="4109FDA9" w14:textId="77777777">
        <w:tc>
          <w:tcPr>
            <w:tcW w:w="567" w:type="dxa"/>
            <w:vMerge/>
          </w:tcPr>
          <w:p w14:paraId="75800CFD" w14:textId="77777777" w:rsidR="00454A29" w:rsidRDefault="00454A29"/>
        </w:tc>
        <w:tc>
          <w:tcPr>
            <w:tcW w:w="3345" w:type="dxa"/>
            <w:vMerge/>
          </w:tcPr>
          <w:p w14:paraId="4C7F2DD6" w14:textId="77777777" w:rsidR="00454A29" w:rsidRDefault="00454A29"/>
        </w:tc>
        <w:tc>
          <w:tcPr>
            <w:tcW w:w="1701" w:type="dxa"/>
            <w:vAlign w:val="center"/>
          </w:tcPr>
          <w:p w14:paraId="460E422F" w14:textId="77777777" w:rsidR="00454A29" w:rsidRDefault="00454A29">
            <w:pPr>
              <w:pStyle w:val="ConsPlusNormal"/>
              <w:jc w:val="center"/>
            </w:pPr>
            <w:r>
              <w:t>2022</w:t>
            </w:r>
          </w:p>
        </w:tc>
        <w:tc>
          <w:tcPr>
            <w:tcW w:w="1417" w:type="dxa"/>
            <w:vMerge/>
          </w:tcPr>
          <w:p w14:paraId="2C0DDDF1" w14:textId="77777777" w:rsidR="00454A29" w:rsidRDefault="00454A29"/>
        </w:tc>
        <w:tc>
          <w:tcPr>
            <w:tcW w:w="2204" w:type="dxa"/>
            <w:vMerge/>
          </w:tcPr>
          <w:p w14:paraId="2B082A5D" w14:textId="77777777" w:rsidR="00454A29" w:rsidRDefault="00454A29"/>
        </w:tc>
        <w:tc>
          <w:tcPr>
            <w:tcW w:w="1417" w:type="dxa"/>
            <w:vMerge/>
          </w:tcPr>
          <w:p w14:paraId="734DF405" w14:textId="77777777" w:rsidR="00454A29" w:rsidRDefault="00454A29"/>
        </w:tc>
        <w:tc>
          <w:tcPr>
            <w:tcW w:w="2324" w:type="dxa"/>
            <w:vMerge/>
          </w:tcPr>
          <w:p w14:paraId="1097538A" w14:textId="77777777" w:rsidR="00454A29" w:rsidRDefault="00454A29"/>
        </w:tc>
        <w:tc>
          <w:tcPr>
            <w:tcW w:w="1701" w:type="dxa"/>
            <w:vAlign w:val="center"/>
          </w:tcPr>
          <w:p w14:paraId="186C8205" w14:textId="77777777" w:rsidR="00454A29" w:rsidRDefault="00454A29">
            <w:pPr>
              <w:pStyle w:val="ConsPlusNormal"/>
            </w:pPr>
          </w:p>
        </w:tc>
        <w:tc>
          <w:tcPr>
            <w:tcW w:w="1814" w:type="dxa"/>
            <w:vAlign w:val="center"/>
          </w:tcPr>
          <w:p w14:paraId="15C4A5BA" w14:textId="77777777" w:rsidR="00454A29" w:rsidRDefault="00454A29">
            <w:pPr>
              <w:pStyle w:val="ConsPlusNormal"/>
            </w:pPr>
          </w:p>
        </w:tc>
        <w:tc>
          <w:tcPr>
            <w:tcW w:w="1701" w:type="dxa"/>
            <w:vAlign w:val="center"/>
          </w:tcPr>
          <w:p w14:paraId="341694FB" w14:textId="77777777" w:rsidR="00454A29" w:rsidRDefault="00454A29">
            <w:pPr>
              <w:pStyle w:val="ConsPlusNormal"/>
            </w:pPr>
          </w:p>
        </w:tc>
        <w:tc>
          <w:tcPr>
            <w:tcW w:w="1701" w:type="dxa"/>
            <w:vAlign w:val="center"/>
          </w:tcPr>
          <w:p w14:paraId="615E34CD" w14:textId="77777777" w:rsidR="00454A29" w:rsidRDefault="00454A29">
            <w:pPr>
              <w:pStyle w:val="ConsPlusNormal"/>
            </w:pPr>
          </w:p>
        </w:tc>
        <w:tc>
          <w:tcPr>
            <w:tcW w:w="1814" w:type="dxa"/>
            <w:vAlign w:val="center"/>
          </w:tcPr>
          <w:p w14:paraId="761C9195" w14:textId="77777777" w:rsidR="00454A29" w:rsidRDefault="00454A29">
            <w:pPr>
              <w:pStyle w:val="ConsPlusNormal"/>
            </w:pPr>
          </w:p>
        </w:tc>
      </w:tr>
      <w:tr w:rsidR="00454A29" w14:paraId="32789B8B" w14:textId="77777777">
        <w:tc>
          <w:tcPr>
            <w:tcW w:w="567" w:type="dxa"/>
            <w:vMerge/>
          </w:tcPr>
          <w:p w14:paraId="3755120A" w14:textId="77777777" w:rsidR="00454A29" w:rsidRDefault="00454A29"/>
        </w:tc>
        <w:tc>
          <w:tcPr>
            <w:tcW w:w="3345" w:type="dxa"/>
            <w:vMerge/>
          </w:tcPr>
          <w:p w14:paraId="55A1D4B6" w14:textId="77777777" w:rsidR="00454A29" w:rsidRDefault="00454A29"/>
        </w:tc>
        <w:tc>
          <w:tcPr>
            <w:tcW w:w="1701" w:type="dxa"/>
            <w:vAlign w:val="center"/>
          </w:tcPr>
          <w:p w14:paraId="3C6A241B" w14:textId="77777777" w:rsidR="00454A29" w:rsidRDefault="00454A29">
            <w:pPr>
              <w:pStyle w:val="ConsPlusNormal"/>
              <w:jc w:val="center"/>
            </w:pPr>
            <w:r>
              <w:t>2023</w:t>
            </w:r>
          </w:p>
        </w:tc>
        <w:tc>
          <w:tcPr>
            <w:tcW w:w="1417" w:type="dxa"/>
            <w:vMerge/>
          </w:tcPr>
          <w:p w14:paraId="4EF7FF6B" w14:textId="77777777" w:rsidR="00454A29" w:rsidRDefault="00454A29"/>
        </w:tc>
        <w:tc>
          <w:tcPr>
            <w:tcW w:w="2204" w:type="dxa"/>
            <w:vMerge/>
          </w:tcPr>
          <w:p w14:paraId="1B0E7D05" w14:textId="77777777" w:rsidR="00454A29" w:rsidRDefault="00454A29"/>
        </w:tc>
        <w:tc>
          <w:tcPr>
            <w:tcW w:w="1417" w:type="dxa"/>
            <w:vMerge/>
          </w:tcPr>
          <w:p w14:paraId="15DEF7CB" w14:textId="77777777" w:rsidR="00454A29" w:rsidRDefault="00454A29"/>
        </w:tc>
        <w:tc>
          <w:tcPr>
            <w:tcW w:w="2324" w:type="dxa"/>
            <w:vMerge/>
          </w:tcPr>
          <w:p w14:paraId="25D4EB75" w14:textId="77777777" w:rsidR="00454A29" w:rsidRDefault="00454A29"/>
        </w:tc>
        <w:tc>
          <w:tcPr>
            <w:tcW w:w="1701" w:type="dxa"/>
            <w:vAlign w:val="center"/>
          </w:tcPr>
          <w:p w14:paraId="7459B0A2" w14:textId="77777777" w:rsidR="00454A29" w:rsidRDefault="00454A29">
            <w:pPr>
              <w:pStyle w:val="ConsPlusNormal"/>
            </w:pPr>
          </w:p>
        </w:tc>
        <w:tc>
          <w:tcPr>
            <w:tcW w:w="1814" w:type="dxa"/>
            <w:vAlign w:val="center"/>
          </w:tcPr>
          <w:p w14:paraId="2FDA1B7B" w14:textId="77777777" w:rsidR="00454A29" w:rsidRDefault="00454A29">
            <w:pPr>
              <w:pStyle w:val="ConsPlusNormal"/>
            </w:pPr>
          </w:p>
        </w:tc>
        <w:tc>
          <w:tcPr>
            <w:tcW w:w="1701" w:type="dxa"/>
            <w:vAlign w:val="center"/>
          </w:tcPr>
          <w:p w14:paraId="5D5D156C" w14:textId="77777777" w:rsidR="00454A29" w:rsidRDefault="00454A29">
            <w:pPr>
              <w:pStyle w:val="ConsPlusNormal"/>
            </w:pPr>
          </w:p>
        </w:tc>
        <w:tc>
          <w:tcPr>
            <w:tcW w:w="1701" w:type="dxa"/>
            <w:vAlign w:val="center"/>
          </w:tcPr>
          <w:p w14:paraId="570BC4F9" w14:textId="77777777" w:rsidR="00454A29" w:rsidRDefault="00454A29">
            <w:pPr>
              <w:pStyle w:val="ConsPlusNormal"/>
            </w:pPr>
          </w:p>
        </w:tc>
        <w:tc>
          <w:tcPr>
            <w:tcW w:w="1814" w:type="dxa"/>
            <w:vAlign w:val="center"/>
          </w:tcPr>
          <w:p w14:paraId="79905E25" w14:textId="77777777" w:rsidR="00454A29" w:rsidRDefault="00454A29">
            <w:pPr>
              <w:pStyle w:val="ConsPlusNormal"/>
            </w:pPr>
          </w:p>
        </w:tc>
      </w:tr>
      <w:tr w:rsidR="00454A29" w14:paraId="40A3B6A3" w14:textId="77777777">
        <w:tc>
          <w:tcPr>
            <w:tcW w:w="567" w:type="dxa"/>
            <w:vMerge/>
          </w:tcPr>
          <w:p w14:paraId="57F3DEC3" w14:textId="77777777" w:rsidR="00454A29" w:rsidRDefault="00454A29"/>
        </w:tc>
        <w:tc>
          <w:tcPr>
            <w:tcW w:w="3345" w:type="dxa"/>
            <w:vMerge/>
          </w:tcPr>
          <w:p w14:paraId="41B5D2AE" w14:textId="77777777" w:rsidR="00454A29" w:rsidRDefault="00454A29"/>
        </w:tc>
        <w:tc>
          <w:tcPr>
            <w:tcW w:w="1701" w:type="dxa"/>
            <w:vAlign w:val="center"/>
          </w:tcPr>
          <w:p w14:paraId="77603001" w14:textId="77777777" w:rsidR="00454A29" w:rsidRDefault="00454A29">
            <w:pPr>
              <w:pStyle w:val="ConsPlusNormal"/>
              <w:jc w:val="center"/>
            </w:pPr>
            <w:r>
              <w:t>2024</w:t>
            </w:r>
          </w:p>
        </w:tc>
        <w:tc>
          <w:tcPr>
            <w:tcW w:w="1417" w:type="dxa"/>
            <w:vMerge/>
          </w:tcPr>
          <w:p w14:paraId="401E8B8D" w14:textId="77777777" w:rsidR="00454A29" w:rsidRDefault="00454A29"/>
        </w:tc>
        <w:tc>
          <w:tcPr>
            <w:tcW w:w="2204" w:type="dxa"/>
            <w:vMerge/>
          </w:tcPr>
          <w:p w14:paraId="6EDC7D5B" w14:textId="77777777" w:rsidR="00454A29" w:rsidRDefault="00454A29"/>
        </w:tc>
        <w:tc>
          <w:tcPr>
            <w:tcW w:w="1417" w:type="dxa"/>
            <w:vMerge/>
          </w:tcPr>
          <w:p w14:paraId="1BC203CC" w14:textId="77777777" w:rsidR="00454A29" w:rsidRDefault="00454A29"/>
        </w:tc>
        <w:tc>
          <w:tcPr>
            <w:tcW w:w="2324" w:type="dxa"/>
            <w:vMerge/>
          </w:tcPr>
          <w:p w14:paraId="7D1866C6" w14:textId="77777777" w:rsidR="00454A29" w:rsidRDefault="00454A29"/>
        </w:tc>
        <w:tc>
          <w:tcPr>
            <w:tcW w:w="1701" w:type="dxa"/>
            <w:vAlign w:val="center"/>
          </w:tcPr>
          <w:p w14:paraId="2C2BA694" w14:textId="77777777" w:rsidR="00454A29" w:rsidRDefault="00454A29">
            <w:pPr>
              <w:pStyle w:val="ConsPlusNormal"/>
              <w:jc w:val="center"/>
            </w:pPr>
            <w:r>
              <w:t>-</w:t>
            </w:r>
          </w:p>
        </w:tc>
        <w:tc>
          <w:tcPr>
            <w:tcW w:w="1814" w:type="dxa"/>
            <w:vAlign w:val="center"/>
          </w:tcPr>
          <w:p w14:paraId="21A23DEE" w14:textId="77777777" w:rsidR="00454A29" w:rsidRDefault="00454A29">
            <w:pPr>
              <w:pStyle w:val="ConsPlusNormal"/>
              <w:jc w:val="center"/>
            </w:pPr>
            <w:r>
              <w:t>-</w:t>
            </w:r>
          </w:p>
        </w:tc>
        <w:tc>
          <w:tcPr>
            <w:tcW w:w="1701" w:type="dxa"/>
            <w:vAlign w:val="center"/>
          </w:tcPr>
          <w:p w14:paraId="682E95D8" w14:textId="77777777" w:rsidR="00454A29" w:rsidRDefault="00454A29">
            <w:pPr>
              <w:pStyle w:val="ConsPlusNormal"/>
              <w:jc w:val="center"/>
            </w:pPr>
            <w:r>
              <w:t>-</w:t>
            </w:r>
          </w:p>
        </w:tc>
        <w:tc>
          <w:tcPr>
            <w:tcW w:w="1701" w:type="dxa"/>
            <w:vAlign w:val="center"/>
          </w:tcPr>
          <w:p w14:paraId="5E377D1F" w14:textId="77777777" w:rsidR="00454A29" w:rsidRDefault="00454A29">
            <w:pPr>
              <w:pStyle w:val="ConsPlusNormal"/>
            </w:pPr>
          </w:p>
        </w:tc>
        <w:tc>
          <w:tcPr>
            <w:tcW w:w="1814" w:type="dxa"/>
            <w:vAlign w:val="center"/>
          </w:tcPr>
          <w:p w14:paraId="11C7FF8E" w14:textId="77777777" w:rsidR="00454A29" w:rsidRDefault="00454A29">
            <w:pPr>
              <w:pStyle w:val="ConsPlusNormal"/>
            </w:pPr>
          </w:p>
        </w:tc>
      </w:tr>
      <w:tr w:rsidR="00454A29" w14:paraId="46AAF72B" w14:textId="77777777">
        <w:tc>
          <w:tcPr>
            <w:tcW w:w="567" w:type="dxa"/>
            <w:vMerge/>
          </w:tcPr>
          <w:p w14:paraId="63A27310" w14:textId="77777777" w:rsidR="00454A29" w:rsidRDefault="00454A29"/>
        </w:tc>
        <w:tc>
          <w:tcPr>
            <w:tcW w:w="3345" w:type="dxa"/>
            <w:vMerge/>
          </w:tcPr>
          <w:p w14:paraId="6A252392" w14:textId="77777777" w:rsidR="00454A29" w:rsidRDefault="00454A29"/>
        </w:tc>
        <w:tc>
          <w:tcPr>
            <w:tcW w:w="1701" w:type="dxa"/>
            <w:vAlign w:val="center"/>
          </w:tcPr>
          <w:p w14:paraId="2DD2946C" w14:textId="77777777" w:rsidR="00454A29" w:rsidRDefault="00454A29">
            <w:pPr>
              <w:pStyle w:val="ConsPlusNormal"/>
              <w:jc w:val="center"/>
            </w:pPr>
            <w:r>
              <w:t>2025</w:t>
            </w:r>
          </w:p>
        </w:tc>
        <w:tc>
          <w:tcPr>
            <w:tcW w:w="1417" w:type="dxa"/>
            <w:vMerge/>
          </w:tcPr>
          <w:p w14:paraId="0294BACC" w14:textId="77777777" w:rsidR="00454A29" w:rsidRDefault="00454A29"/>
        </w:tc>
        <w:tc>
          <w:tcPr>
            <w:tcW w:w="2204" w:type="dxa"/>
            <w:vMerge/>
          </w:tcPr>
          <w:p w14:paraId="1ECEC322" w14:textId="77777777" w:rsidR="00454A29" w:rsidRDefault="00454A29"/>
        </w:tc>
        <w:tc>
          <w:tcPr>
            <w:tcW w:w="1417" w:type="dxa"/>
            <w:vMerge/>
          </w:tcPr>
          <w:p w14:paraId="7D20AA78" w14:textId="77777777" w:rsidR="00454A29" w:rsidRDefault="00454A29"/>
        </w:tc>
        <w:tc>
          <w:tcPr>
            <w:tcW w:w="2324" w:type="dxa"/>
            <w:vMerge/>
          </w:tcPr>
          <w:p w14:paraId="6938BA7F" w14:textId="77777777" w:rsidR="00454A29" w:rsidRDefault="00454A29"/>
        </w:tc>
        <w:tc>
          <w:tcPr>
            <w:tcW w:w="1701" w:type="dxa"/>
            <w:vAlign w:val="center"/>
          </w:tcPr>
          <w:p w14:paraId="4057928C" w14:textId="77777777" w:rsidR="00454A29" w:rsidRDefault="00454A29">
            <w:pPr>
              <w:pStyle w:val="ConsPlusNormal"/>
            </w:pPr>
          </w:p>
        </w:tc>
        <w:tc>
          <w:tcPr>
            <w:tcW w:w="1814" w:type="dxa"/>
            <w:vAlign w:val="center"/>
          </w:tcPr>
          <w:p w14:paraId="7A9DDAB9" w14:textId="77777777" w:rsidR="00454A29" w:rsidRDefault="00454A29">
            <w:pPr>
              <w:pStyle w:val="ConsPlusNormal"/>
            </w:pPr>
          </w:p>
        </w:tc>
        <w:tc>
          <w:tcPr>
            <w:tcW w:w="1701" w:type="dxa"/>
            <w:vAlign w:val="center"/>
          </w:tcPr>
          <w:p w14:paraId="14DCF18E" w14:textId="77777777" w:rsidR="00454A29" w:rsidRDefault="00454A29">
            <w:pPr>
              <w:pStyle w:val="ConsPlusNormal"/>
            </w:pPr>
          </w:p>
        </w:tc>
        <w:tc>
          <w:tcPr>
            <w:tcW w:w="1701" w:type="dxa"/>
            <w:vAlign w:val="center"/>
          </w:tcPr>
          <w:p w14:paraId="7B2BA249" w14:textId="77777777" w:rsidR="00454A29" w:rsidRDefault="00454A29">
            <w:pPr>
              <w:pStyle w:val="ConsPlusNormal"/>
            </w:pPr>
          </w:p>
        </w:tc>
        <w:tc>
          <w:tcPr>
            <w:tcW w:w="1814" w:type="dxa"/>
            <w:vAlign w:val="center"/>
          </w:tcPr>
          <w:p w14:paraId="53FDB238" w14:textId="77777777" w:rsidR="00454A29" w:rsidRDefault="00454A29">
            <w:pPr>
              <w:pStyle w:val="ConsPlusNormal"/>
            </w:pPr>
          </w:p>
        </w:tc>
      </w:tr>
      <w:tr w:rsidR="00454A29" w14:paraId="044077AD" w14:textId="77777777">
        <w:tc>
          <w:tcPr>
            <w:tcW w:w="567" w:type="dxa"/>
            <w:vMerge/>
          </w:tcPr>
          <w:p w14:paraId="27D90AE2" w14:textId="77777777" w:rsidR="00454A29" w:rsidRDefault="00454A29"/>
        </w:tc>
        <w:tc>
          <w:tcPr>
            <w:tcW w:w="3345" w:type="dxa"/>
            <w:vMerge/>
          </w:tcPr>
          <w:p w14:paraId="4C8346E9" w14:textId="77777777" w:rsidR="00454A29" w:rsidRDefault="00454A29"/>
        </w:tc>
        <w:tc>
          <w:tcPr>
            <w:tcW w:w="1701" w:type="dxa"/>
            <w:vAlign w:val="center"/>
          </w:tcPr>
          <w:p w14:paraId="63442512" w14:textId="77777777" w:rsidR="00454A29" w:rsidRDefault="00454A29">
            <w:pPr>
              <w:pStyle w:val="ConsPlusNormal"/>
              <w:jc w:val="center"/>
            </w:pPr>
            <w:r>
              <w:t>2026</w:t>
            </w:r>
          </w:p>
        </w:tc>
        <w:tc>
          <w:tcPr>
            <w:tcW w:w="1417" w:type="dxa"/>
            <w:vMerge/>
          </w:tcPr>
          <w:p w14:paraId="484F07DE" w14:textId="77777777" w:rsidR="00454A29" w:rsidRDefault="00454A29"/>
        </w:tc>
        <w:tc>
          <w:tcPr>
            <w:tcW w:w="2204" w:type="dxa"/>
            <w:vMerge/>
          </w:tcPr>
          <w:p w14:paraId="1AEDB1CF" w14:textId="77777777" w:rsidR="00454A29" w:rsidRDefault="00454A29"/>
        </w:tc>
        <w:tc>
          <w:tcPr>
            <w:tcW w:w="1417" w:type="dxa"/>
            <w:vMerge/>
          </w:tcPr>
          <w:p w14:paraId="2BCB03BA" w14:textId="77777777" w:rsidR="00454A29" w:rsidRDefault="00454A29"/>
        </w:tc>
        <w:tc>
          <w:tcPr>
            <w:tcW w:w="2324" w:type="dxa"/>
            <w:vMerge/>
          </w:tcPr>
          <w:p w14:paraId="265AD2E2" w14:textId="77777777" w:rsidR="00454A29" w:rsidRDefault="00454A29"/>
        </w:tc>
        <w:tc>
          <w:tcPr>
            <w:tcW w:w="1701" w:type="dxa"/>
            <w:vAlign w:val="center"/>
          </w:tcPr>
          <w:p w14:paraId="0558F98D" w14:textId="77777777" w:rsidR="00454A29" w:rsidRDefault="00454A29">
            <w:pPr>
              <w:pStyle w:val="ConsPlusNormal"/>
              <w:jc w:val="center"/>
            </w:pPr>
            <w:r>
              <w:t>165 521,04</w:t>
            </w:r>
          </w:p>
        </w:tc>
        <w:tc>
          <w:tcPr>
            <w:tcW w:w="1814" w:type="dxa"/>
            <w:vAlign w:val="center"/>
          </w:tcPr>
          <w:p w14:paraId="416A5AB5" w14:textId="77777777" w:rsidR="00454A29" w:rsidRDefault="00454A29">
            <w:pPr>
              <w:pStyle w:val="ConsPlusNormal"/>
              <w:jc w:val="center"/>
            </w:pPr>
            <w:r>
              <w:t>2 039,22</w:t>
            </w:r>
          </w:p>
        </w:tc>
        <w:tc>
          <w:tcPr>
            <w:tcW w:w="1701" w:type="dxa"/>
            <w:vAlign w:val="center"/>
          </w:tcPr>
          <w:p w14:paraId="2826AC58" w14:textId="77777777" w:rsidR="00454A29" w:rsidRDefault="00454A29">
            <w:pPr>
              <w:pStyle w:val="ConsPlusNormal"/>
              <w:jc w:val="center"/>
            </w:pPr>
            <w:r>
              <w:t>201 882,70</w:t>
            </w:r>
          </w:p>
        </w:tc>
        <w:tc>
          <w:tcPr>
            <w:tcW w:w="1701" w:type="dxa"/>
            <w:vAlign w:val="center"/>
          </w:tcPr>
          <w:p w14:paraId="6EAE7698" w14:textId="77777777" w:rsidR="00454A29" w:rsidRDefault="00454A29">
            <w:pPr>
              <w:pStyle w:val="ConsPlusNormal"/>
            </w:pPr>
          </w:p>
        </w:tc>
        <w:tc>
          <w:tcPr>
            <w:tcW w:w="1814" w:type="dxa"/>
            <w:vAlign w:val="center"/>
          </w:tcPr>
          <w:p w14:paraId="3608A220" w14:textId="77777777" w:rsidR="00454A29" w:rsidRDefault="00454A29">
            <w:pPr>
              <w:pStyle w:val="ConsPlusNormal"/>
            </w:pPr>
          </w:p>
        </w:tc>
      </w:tr>
      <w:tr w:rsidR="00454A29" w14:paraId="77FF632A" w14:textId="77777777">
        <w:tc>
          <w:tcPr>
            <w:tcW w:w="567" w:type="dxa"/>
            <w:vMerge w:val="restart"/>
            <w:vAlign w:val="center"/>
          </w:tcPr>
          <w:p w14:paraId="383BD75A" w14:textId="77777777" w:rsidR="00454A29" w:rsidRDefault="00454A29">
            <w:pPr>
              <w:pStyle w:val="ConsPlusNormal"/>
              <w:jc w:val="center"/>
            </w:pPr>
            <w:r>
              <w:t>144</w:t>
            </w:r>
          </w:p>
        </w:tc>
        <w:tc>
          <w:tcPr>
            <w:tcW w:w="3345" w:type="dxa"/>
            <w:vMerge w:val="restart"/>
            <w:vAlign w:val="center"/>
          </w:tcPr>
          <w:p w14:paraId="6AC177AD" w14:textId="77777777" w:rsidR="00454A29" w:rsidRDefault="00454A29">
            <w:pPr>
              <w:pStyle w:val="ConsPlusNormal"/>
              <w:jc w:val="center"/>
            </w:pPr>
            <w:r>
              <w:t>Школа на 176 учащихся в с. Мындаба</w:t>
            </w:r>
          </w:p>
        </w:tc>
        <w:tc>
          <w:tcPr>
            <w:tcW w:w="1701" w:type="dxa"/>
            <w:vAlign w:val="center"/>
          </w:tcPr>
          <w:p w14:paraId="1B191BD7" w14:textId="77777777" w:rsidR="00454A29" w:rsidRDefault="00454A29">
            <w:pPr>
              <w:pStyle w:val="ConsPlusNormal"/>
              <w:jc w:val="center"/>
            </w:pPr>
            <w:r>
              <w:t>2020 - 2026 годы - всего</w:t>
            </w:r>
          </w:p>
        </w:tc>
        <w:tc>
          <w:tcPr>
            <w:tcW w:w="1417" w:type="dxa"/>
            <w:vMerge w:val="restart"/>
            <w:vAlign w:val="center"/>
          </w:tcPr>
          <w:p w14:paraId="2D4DC17A" w14:textId="77777777" w:rsidR="00454A29" w:rsidRDefault="00454A29">
            <w:pPr>
              <w:pStyle w:val="ConsPlusNormal"/>
              <w:jc w:val="center"/>
            </w:pPr>
            <w:r>
              <w:t>528 409,30</w:t>
            </w:r>
          </w:p>
        </w:tc>
        <w:tc>
          <w:tcPr>
            <w:tcW w:w="2204" w:type="dxa"/>
            <w:vMerge w:val="restart"/>
            <w:vAlign w:val="center"/>
          </w:tcPr>
          <w:p w14:paraId="1B042BE8" w14:textId="77777777" w:rsidR="00454A29" w:rsidRDefault="00454A29">
            <w:pPr>
              <w:pStyle w:val="ConsPlusNormal"/>
            </w:pPr>
          </w:p>
        </w:tc>
        <w:tc>
          <w:tcPr>
            <w:tcW w:w="1417" w:type="dxa"/>
            <w:vMerge w:val="restart"/>
            <w:vAlign w:val="center"/>
          </w:tcPr>
          <w:p w14:paraId="0A151ACF" w14:textId="77777777" w:rsidR="00454A29" w:rsidRDefault="00454A29">
            <w:pPr>
              <w:pStyle w:val="ConsPlusNormal"/>
              <w:jc w:val="center"/>
            </w:pPr>
            <w:r>
              <w:t>176</w:t>
            </w:r>
          </w:p>
        </w:tc>
        <w:tc>
          <w:tcPr>
            <w:tcW w:w="2324" w:type="dxa"/>
            <w:vMerge w:val="restart"/>
            <w:vAlign w:val="center"/>
          </w:tcPr>
          <w:p w14:paraId="66B21B2A" w14:textId="77777777" w:rsidR="00454A29" w:rsidRDefault="00454A29">
            <w:pPr>
              <w:pStyle w:val="ConsPlusNormal"/>
              <w:jc w:val="center"/>
            </w:pPr>
            <w:r>
              <w:t xml:space="preserve">Минстрой РС(Я), ГКУ "Служба государственного </w:t>
            </w:r>
            <w:r>
              <w:lastRenderedPageBreak/>
              <w:t>заказчика Республики Саха (Якутия)"</w:t>
            </w:r>
          </w:p>
        </w:tc>
        <w:tc>
          <w:tcPr>
            <w:tcW w:w="1701" w:type="dxa"/>
            <w:vAlign w:val="center"/>
          </w:tcPr>
          <w:p w14:paraId="59C8FB4A" w14:textId="77777777" w:rsidR="00454A29" w:rsidRDefault="00454A29">
            <w:pPr>
              <w:pStyle w:val="ConsPlusNormal"/>
              <w:jc w:val="center"/>
            </w:pPr>
            <w:r>
              <w:lastRenderedPageBreak/>
              <w:t>528 409,30</w:t>
            </w:r>
          </w:p>
        </w:tc>
        <w:tc>
          <w:tcPr>
            <w:tcW w:w="1814" w:type="dxa"/>
            <w:vAlign w:val="center"/>
          </w:tcPr>
          <w:p w14:paraId="0E5D2858" w14:textId="77777777" w:rsidR="00454A29" w:rsidRDefault="00454A29">
            <w:pPr>
              <w:pStyle w:val="ConsPlusNormal"/>
              <w:jc w:val="center"/>
            </w:pPr>
            <w:r>
              <w:t>6 510,00</w:t>
            </w:r>
          </w:p>
        </w:tc>
        <w:tc>
          <w:tcPr>
            <w:tcW w:w="1701" w:type="dxa"/>
            <w:vAlign w:val="center"/>
          </w:tcPr>
          <w:p w14:paraId="26E15F02" w14:textId="77777777" w:rsidR="00454A29" w:rsidRDefault="00454A29">
            <w:pPr>
              <w:pStyle w:val="ConsPlusNormal"/>
              <w:jc w:val="center"/>
            </w:pPr>
            <w:r>
              <w:t>644 490,26</w:t>
            </w:r>
          </w:p>
        </w:tc>
        <w:tc>
          <w:tcPr>
            <w:tcW w:w="1701" w:type="dxa"/>
            <w:vAlign w:val="center"/>
          </w:tcPr>
          <w:p w14:paraId="2F069B8E" w14:textId="77777777" w:rsidR="00454A29" w:rsidRDefault="00454A29">
            <w:pPr>
              <w:pStyle w:val="ConsPlusNormal"/>
              <w:jc w:val="center"/>
            </w:pPr>
            <w:r>
              <w:t>-</w:t>
            </w:r>
          </w:p>
        </w:tc>
        <w:tc>
          <w:tcPr>
            <w:tcW w:w="1814" w:type="dxa"/>
            <w:vAlign w:val="center"/>
          </w:tcPr>
          <w:p w14:paraId="2B8A6988" w14:textId="77777777" w:rsidR="00454A29" w:rsidRDefault="00454A29">
            <w:pPr>
              <w:pStyle w:val="ConsPlusNormal"/>
              <w:jc w:val="center"/>
            </w:pPr>
            <w:r>
              <w:t>-</w:t>
            </w:r>
          </w:p>
        </w:tc>
      </w:tr>
      <w:tr w:rsidR="00454A29" w14:paraId="3DFD0370" w14:textId="77777777">
        <w:tc>
          <w:tcPr>
            <w:tcW w:w="567" w:type="dxa"/>
            <w:vMerge/>
          </w:tcPr>
          <w:p w14:paraId="1B8C3D84" w14:textId="77777777" w:rsidR="00454A29" w:rsidRDefault="00454A29"/>
        </w:tc>
        <w:tc>
          <w:tcPr>
            <w:tcW w:w="3345" w:type="dxa"/>
            <w:vMerge/>
          </w:tcPr>
          <w:p w14:paraId="6E20C326" w14:textId="77777777" w:rsidR="00454A29" w:rsidRDefault="00454A29"/>
        </w:tc>
        <w:tc>
          <w:tcPr>
            <w:tcW w:w="1701" w:type="dxa"/>
            <w:vAlign w:val="center"/>
          </w:tcPr>
          <w:p w14:paraId="79EB6C9B" w14:textId="77777777" w:rsidR="00454A29" w:rsidRDefault="00454A29">
            <w:pPr>
              <w:pStyle w:val="ConsPlusNormal"/>
              <w:jc w:val="center"/>
            </w:pPr>
            <w:r>
              <w:t>2020</w:t>
            </w:r>
          </w:p>
        </w:tc>
        <w:tc>
          <w:tcPr>
            <w:tcW w:w="1417" w:type="dxa"/>
            <w:vMerge/>
          </w:tcPr>
          <w:p w14:paraId="57B27469" w14:textId="77777777" w:rsidR="00454A29" w:rsidRDefault="00454A29"/>
        </w:tc>
        <w:tc>
          <w:tcPr>
            <w:tcW w:w="2204" w:type="dxa"/>
            <w:vMerge/>
          </w:tcPr>
          <w:p w14:paraId="7428D4F4" w14:textId="77777777" w:rsidR="00454A29" w:rsidRDefault="00454A29"/>
        </w:tc>
        <w:tc>
          <w:tcPr>
            <w:tcW w:w="1417" w:type="dxa"/>
            <w:vMerge/>
          </w:tcPr>
          <w:p w14:paraId="5D7E9BA9" w14:textId="77777777" w:rsidR="00454A29" w:rsidRDefault="00454A29"/>
        </w:tc>
        <w:tc>
          <w:tcPr>
            <w:tcW w:w="2324" w:type="dxa"/>
            <w:vMerge/>
          </w:tcPr>
          <w:p w14:paraId="5D268885" w14:textId="77777777" w:rsidR="00454A29" w:rsidRDefault="00454A29"/>
        </w:tc>
        <w:tc>
          <w:tcPr>
            <w:tcW w:w="1701" w:type="dxa"/>
            <w:vAlign w:val="center"/>
          </w:tcPr>
          <w:p w14:paraId="2A504643" w14:textId="77777777" w:rsidR="00454A29" w:rsidRDefault="00454A29">
            <w:pPr>
              <w:pStyle w:val="ConsPlusNormal"/>
            </w:pPr>
          </w:p>
        </w:tc>
        <w:tc>
          <w:tcPr>
            <w:tcW w:w="1814" w:type="dxa"/>
            <w:vAlign w:val="center"/>
          </w:tcPr>
          <w:p w14:paraId="64A43A0D" w14:textId="77777777" w:rsidR="00454A29" w:rsidRDefault="00454A29">
            <w:pPr>
              <w:pStyle w:val="ConsPlusNormal"/>
            </w:pPr>
          </w:p>
        </w:tc>
        <w:tc>
          <w:tcPr>
            <w:tcW w:w="1701" w:type="dxa"/>
            <w:vAlign w:val="center"/>
          </w:tcPr>
          <w:p w14:paraId="0B53EA07" w14:textId="77777777" w:rsidR="00454A29" w:rsidRDefault="00454A29">
            <w:pPr>
              <w:pStyle w:val="ConsPlusNormal"/>
            </w:pPr>
          </w:p>
        </w:tc>
        <w:tc>
          <w:tcPr>
            <w:tcW w:w="1701" w:type="dxa"/>
            <w:vAlign w:val="center"/>
          </w:tcPr>
          <w:p w14:paraId="2D45D833" w14:textId="77777777" w:rsidR="00454A29" w:rsidRDefault="00454A29">
            <w:pPr>
              <w:pStyle w:val="ConsPlusNormal"/>
            </w:pPr>
          </w:p>
        </w:tc>
        <w:tc>
          <w:tcPr>
            <w:tcW w:w="1814" w:type="dxa"/>
            <w:vAlign w:val="center"/>
          </w:tcPr>
          <w:p w14:paraId="6B83E535" w14:textId="77777777" w:rsidR="00454A29" w:rsidRDefault="00454A29">
            <w:pPr>
              <w:pStyle w:val="ConsPlusNormal"/>
            </w:pPr>
          </w:p>
        </w:tc>
      </w:tr>
      <w:tr w:rsidR="00454A29" w14:paraId="251B5C1F" w14:textId="77777777">
        <w:tc>
          <w:tcPr>
            <w:tcW w:w="567" w:type="dxa"/>
            <w:vMerge/>
          </w:tcPr>
          <w:p w14:paraId="2E79A9CB" w14:textId="77777777" w:rsidR="00454A29" w:rsidRDefault="00454A29"/>
        </w:tc>
        <w:tc>
          <w:tcPr>
            <w:tcW w:w="3345" w:type="dxa"/>
            <w:vMerge/>
          </w:tcPr>
          <w:p w14:paraId="0C739CE0" w14:textId="77777777" w:rsidR="00454A29" w:rsidRDefault="00454A29"/>
        </w:tc>
        <w:tc>
          <w:tcPr>
            <w:tcW w:w="1701" w:type="dxa"/>
            <w:vAlign w:val="center"/>
          </w:tcPr>
          <w:p w14:paraId="4A5605D5" w14:textId="77777777" w:rsidR="00454A29" w:rsidRDefault="00454A29">
            <w:pPr>
              <w:pStyle w:val="ConsPlusNormal"/>
              <w:jc w:val="center"/>
            </w:pPr>
            <w:r>
              <w:t>2021</w:t>
            </w:r>
          </w:p>
        </w:tc>
        <w:tc>
          <w:tcPr>
            <w:tcW w:w="1417" w:type="dxa"/>
            <w:vMerge/>
          </w:tcPr>
          <w:p w14:paraId="612A88A7" w14:textId="77777777" w:rsidR="00454A29" w:rsidRDefault="00454A29"/>
        </w:tc>
        <w:tc>
          <w:tcPr>
            <w:tcW w:w="2204" w:type="dxa"/>
            <w:vMerge/>
          </w:tcPr>
          <w:p w14:paraId="37C96B6D" w14:textId="77777777" w:rsidR="00454A29" w:rsidRDefault="00454A29"/>
        </w:tc>
        <w:tc>
          <w:tcPr>
            <w:tcW w:w="1417" w:type="dxa"/>
            <w:vMerge/>
          </w:tcPr>
          <w:p w14:paraId="452AF8A2" w14:textId="77777777" w:rsidR="00454A29" w:rsidRDefault="00454A29"/>
        </w:tc>
        <w:tc>
          <w:tcPr>
            <w:tcW w:w="2324" w:type="dxa"/>
            <w:vMerge/>
          </w:tcPr>
          <w:p w14:paraId="1C9135FF" w14:textId="77777777" w:rsidR="00454A29" w:rsidRDefault="00454A29"/>
        </w:tc>
        <w:tc>
          <w:tcPr>
            <w:tcW w:w="1701" w:type="dxa"/>
            <w:vAlign w:val="center"/>
          </w:tcPr>
          <w:p w14:paraId="09D134A2" w14:textId="77777777" w:rsidR="00454A29" w:rsidRDefault="00454A29">
            <w:pPr>
              <w:pStyle w:val="ConsPlusNormal"/>
              <w:jc w:val="center"/>
            </w:pPr>
            <w:r>
              <w:t>-</w:t>
            </w:r>
          </w:p>
        </w:tc>
        <w:tc>
          <w:tcPr>
            <w:tcW w:w="1814" w:type="dxa"/>
            <w:vAlign w:val="center"/>
          </w:tcPr>
          <w:p w14:paraId="39DCD8C9" w14:textId="77777777" w:rsidR="00454A29" w:rsidRDefault="00454A29">
            <w:pPr>
              <w:pStyle w:val="ConsPlusNormal"/>
            </w:pPr>
          </w:p>
        </w:tc>
        <w:tc>
          <w:tcPr>
            <w:tcW w:w="1701" w:type="dxa"/>
            <w:vAlign w:val="center"/>
          </w:tcPr>
          <w:p w14:paraId="687557C1" w14:textId="77777777" w:rsidR="00454A29" w:rsidRDefault="00454A29">
            <w:pPr>
              <w:pStyle w:val="ConsPlusNormal"/>
            </w:pPr>
          </w:p>
        </w:tc>
        <w:tc>
          <w:tcPr>
            <w:tcW w:w="1701" w:type="dxa"/>
            <w:vAlign w:val="center"/>
          </w:tcPr>
          <w:p w14:paraId="78B484EA" w14:textId="77777777" w:rsidR="00454A29" w:rsidRDefault="00454A29">
            <w:pPr>
              <w:pStyle w:val="ConsPlusNormal"/>
            </w:pPr>
          </w:p>
        </w:tc>
        <w:tc>
          <w:tcPr>
            <w:tcW w:w="1814" w:type="dxa"/>
            <w:vAlign w:val="center"/>
          </w:tcPr>
          <w:p w14:paraId="405C043D" w14:textId="77777777" w:rsidR="00454A29" w:rsidRDefault="00454A29">
            <w:pPr>
              <w:pStyle w:val="ConsPlusNormal"/>
            </w:pPr>
          </w:p>
        </w:tc>
      </w:tr>
      <w:tr w:rsidR="00454A29" w14:paraId="4CED346D" w14:textId="77777777">
        <w:tc>
          <w:tcPr>
            <w:tcW w:w="567" w:type="dxa"/>
            <w:vMerge/>
          </w:tcPr>
          <w:p w14:paraId="25A9E170" w14:textId="77777777" w:rsidR="00454A29" w:rsidRDefault="00454A29"/>
        </w:tc>
        <w:tc>
          <w:tcPr>
            <w:tcW w:w="3345" w:type="dxa"/>
            <w:vMerge/>
          </w:tcPr>
          <w:p w14:paraId="013A46CE" w14:textId="77777777" w:rsidR="00454A29" w:rsidRDefault="00454A29"/>
        </w:tc>
        <w:tc>
          <w:tcPr>
            <w:tcW w:w="1701" w:type="dxa"/>
            <w:vAlign w:val="center"/>
          </w:tcPr>
          <w:p w14:paraId="33BAFA65" w14:textId="77777777" w:rsidR="00454A29" w:rsidRDefault="00454A29">
            <w:pPr>
              <w:pStyle w:val="ConsPlusNormal"/>
              <w:jc w:val="center"/>
            </w:pPr>
            <w:r>
              <w:t>2022</w:t>
            </w:r>
          </w:p>
        </w:tc>
        <w:tc>
          <w:tcPr>
            <w:tcW w:w="1417" w:type="dxa"/>
            <w:vMerge/>
          </w:tcPr>
          <w:p w14:paraId="2724B8F4" w14:textId="77777777" w:rsidR="00454A29" w:rsidRDefault="00454A29"/>
        </w:tc>
        <w:tc>
          <w:tcPr>
            <w:tcW w:w="2204" w:type="dxa"/>
            <w:vMerge/>
          </w:tcPr>
          <w:p w14:paraId="46D839D3" w14:textId="77777777" w:rsidR="00454A29" w:rsidRDefault="00454A29"/>
        </w:tc>
        <w:tc>
          <w:tcPr>
            <w:tcW w:w="1417" w:type="dxa"/>
            <w:vMerge/>
          </w:tcPr>
          <w:p w14:paraId="702F394A" w14:textId="77777777" w:rsidR="00454A29" w:rsidRDefault="00454A29"/>
        </w:tc>
        <w:tc>
          <w:tcPr>
            <w:tcW w:w="2324" w:type="dxa"/>
            <w:vMerge/>
          </w:tcPr>
          <w:p w14:paraId="5EB5C81D" w14:textId="77777777" w:rsidR="00454A29" w:rsidRDefault="00454A29"/>
        </w:tc>
        <w:tc>
          <w:tcPr>
            <w:tcW w:w="1701" w:type="dxa"/>
            <w:vAlign w:val="center"/>
          </w:tcPr>
          <w:p w14:paraId="7ECAE0AA" w14:textId="77777777" w:rsidR="00454A29" w:rsidRDefault="00454A29">
            <w:pPr>
              <w:pStyle w:val="ConsPlusNormal"/>
            </w:pPr>
          </w:p>
        </w:tc>
        <w:tc>
          <w:tcPr>
            <w:tcW w:w="1814" w:type="dxa"/>
            <w:vAlign w:val="center"/>
          </w:tcPr>
          <w:p w14:paraId="4819DBAF" w14:textId="77777777" w:rsidR="00454A29" w:rsidRDefault="00454A29">
            <w:pPr>
              <w:pStyle w:val="ConsPlusNormal"/>
            </w:pPr>
          </w:p>
        </w:tc>
        <w:tc>
          <w:tcPr>
            <w:tcW w:w="1701" w:type="dxa"/>
            <w:vAlign w:val="center"/>
          </w:tcPr>
          <w:p w14:paraId="230DA137" w14:textId="77777777" w:rsidR="00454A29" w:rsidRDefault="00454A29">
            <w:pPr>
              <w:pStyle w:val="ConsPlusNormal"/>
            </w:pPr>
          </w:p>
        </w:tc>
        <w:tc>
          <w:tcPr>
            <w:tcW w:w="1701" w:type="dxa"/>
            <w:vAlign w:val="center"/>
          </w:tcPr>
          <w:p w14:paraId="5CEE903F" w14:textId="77777777" w:rsidR="00454A29" w:rsidRDefault="00454A29">
            <w:pPr>
              <w:pStyle w:val="ConsPlusNormal"/>
            </w:pPr>
          </w:p>
        </w:tc>
        <w:tc>
          <w:tcPr>
            <w:tcW w:w="1814" w:type="dxa"/>
            <w:vAlign w:val="center"/>
          </w:tcPr>
          <w:p w14:paraId="4720B5DA" w14:textId="77777777" w:rsidR="00454A29" w:rsidRDefault="00454A29">
            <w:pPr>
              <w:pStyle w:val="ConsPlusNormal"/>
            </w:pPr>
          </w:p>
        </w:tc>
      </w:tr>
      <w:tr w:rsidR="00454A29" w14:paraId="2199FBFE" w14:textId="77777777">
        <w:tc>
          <w:tcPr>
            <w:tcW w:w="567" w:type="dxa"/>
            <w:vMerge/>
          </w:tcPr>
          <w:p w14:paraId="43011755" w14:textId="77777777" w:rsidR="00454A29" w:rsidRDefault="00454A29"/>
        </w:tc>
        <w:tc>
          <w:tcPr>
            <w:tcW w:w="3345" w:type="dxa"/>
            <w:vMerge/>
          </w:tcPr>
          <w:p w14:paraId="1BE8FAA3" w14:textId="77777777" w:rsidR="00454A29" w:rsidRDefault="00454A29"/>
        </w:tc>
        <w:tc>
          <w:tcPr>
            <w:tcW w:w="1701" w:type="dxa"/>
            <w:vAlign w:val="center"/>
          </w:tcPr>
          <w:p w14:paraId="53E40220" w14:textId="77777777" w:rsidR="00454A29" w:rsidRDefault="00454A29">
            <w:pPr>
              <w:pStyle w:val="ConsPlusNormal"/>
              <w:jc w:val="center"/>
            </w:pPr>
            <w:r>
              <w:t>2023</w:t>
            </w:r>
          </w:p>
        </w:tc>
        <w:tc>
          <w:tcPr>
            <w:tcW w:w="1417" w:type="dxa"/>
            <w:vMerge/>
          </w:tcPr>
          <w:p w14:paraId="6D326754" w14:textId="77777777" w:rsidR="00454A29" w:rsidRDefault="00454A29"/>
        </w:tc>
        <w:tc>
          <w:tcPr>
            <w:tcW w:w="2204" w:type="dxa"/>
            <w:vMerge/>
          </w:tcPr>
          <w:p w14:paraId="41B2FC53" w14:textId="77777777" w:rsidR="00454A29" w:rsidRDefault="00454A29"/>
        </w:tc>
        <w:tc>
          <w:tcPr>
            <w:tcW w:w="1417" w:type="dxa"/>
            <w:vMerge/>
          </w:tcPr>
          <w:p w14:paraId="0A86CAE8" w14:textId="77777777" w:rsidR="00454A29" w:rsidRDefault="00454A29"/>
        </w:tc>
        <w:tc>
          <w:tcPr>
            <w:tcW w:w="2324" w:type="dxa"/>
            <w:vMerge/>
          </w:tcPr>
          <w:p w14:paraId="7022D615" w14:textId="77777777" w:rsidR="00454A29" w:rsidRDefault="00454A29"/>
        </w:tc>
        <w:tc>
          <w:tcPr>
            <w:tcW w:w="1701" w:type="dxa"/>
            <w:vAlign w:val="center"/>
          </w:tcPr>
          <w:p w14:paraId="037BDF7D" w14:textId="77777777" w:rsidR="00454A29" w:rsidRDefault="00454A29">
            <w:pPr>
              <w:pStyle w:val="ConsPlusNormal"/>
            </w:pPr>
          </w:p>
        </w:tc>
        <w:tc>
          <w:tcPr>
            <w:tcW w:w="1814" w:type="dxa"/>
            <w:vAlign w:val="center"/>
          </w:tcPr>
          <w:p w14:paraId="42397BA0" w14:textId="77777777" w:rsidR="00454A29" w:rsidRDefault="00454A29">
            <w:pPr>
              <w:pStyle w:val="ConsPlusNormal"/>
            </w:pPr>
          </w:p>
        </w:tc>
        <w:tc>
          <w:tcPr>
            <w:tcW w:w="1701" w:type="dxa"/>
            <w:vAlign w:val="center"/>
          </w:tcPr>
          <w:p w14:paraId="32489253" w14:textId="77777777" w:rsidR="00454A29" w:rsidRDefault="00454A29">
            <w:pPr>
              <w:pStyle w:val="ConsPlusNormal"/>
            </w:pPr>
          </w:p>
        </w:tc>
        <w:tc>
          <w:tcPr>
            <w:tcW w:w="1701" w:type="dxa"/>
            <w:vAlign w:val="center"/>
          </w:tcPr>
          <w:p w14:paraId="252254E4" w14:textId="77777777" w:rsidR="00454A29" w:rsidRDefault="00454A29">
            <w:pPr>
              <w:pStyle w:val="ConsPlusNormal"/>
            </w:pPr>
          </w:p>
        </w:tc>
        <w:tc>
          <w:tcPr>
            <w:tcW w:w="1814" w:type="dxa"/>
            <w:vAlign w:val="center"/>
          </w:tcPr>
          <w:p w14:paraId="311F8765" w14:textId="77777777" w:rsidR="00454A29" w:rsidRDefault="00454A29">
            <w:pPr>
              <w:pStyle w:val="ConsPlusNormal"/>
            </w:pPr>
          </w:p>
        </w:tc>
      </w:tr>
      <w:tr w:rsidR="00454A29" w14:paraId="4D495420" w14:textId="77777777">
        <w:tc>
          <w:tcPr>
            <w:tcW w:w="567" w:type="dxa"/>
            <w:vMerge/>
          </w:tcPr>
          <w:p w14:paraId="2B6511FF" w14:textId="77777777" w:rsidR="00454A29" w:rsidRDefault="00454A29"/>
        </w:tc>
        <w:tc>
          <w:tcPr>
            <w:tcW w:w="3345" w:type="dxa"/>
            <w:vMerge/>
          </w:tcPr>
          <w:p w14:paraId="5F702B7E" w14:textId="77777777" w:rsidR="00454A29" w:rsidRDefault="00454A29"/>
        </w:tc>
        <w:tc>
          <w:tcPr>
            <w:tcW w:w="1701" w:type="dxa"/>
            <w:vAlign w:val="center"/>
          </w:tcPr>
          <w:p w14:paraId="6D416207" w14:textId="77777777" w:rsidR="00454A29" w:rsidRDefault="00454A29">
            <w:pPr>
              <w:pStyle w:val="ConsPlusNormal"/>
              <w:jc w:val="center"/>
            </w:pPr>
            <w:r>
              <w:t>2024</w:t>
            </w:r>
          </w:p>
        </w:tc>
        <w:tc>
          <w:tcPr>
            <w:tcW w:w="1417" w:type="dxa"/>
            <w:vMerge/>
          </w:tcPr>
          <w:p w14:paraId="005A9DE8" w14:textId="77777777" w:rsidR="00454A29" w:rsidRDefault="00454A29"/>
        </w:tc>
        <w:tc>
          <w:tcPr>
            <w:tcW w:w="2204" w:type="dxa"/>
            <w:vMerge/>
          </w:tcPr>
          <w:p w14:paraId="2F688E65" w14:textId="77777777" w:rsidR="00454A29" w:rsidRDefault="00454A29"/>
        </w:tc>
        <w:tc>
          <w:tcPr>
            <w:tcW w:w="1417" w:type="dxa"/>
            <w:vMerge/>
          </w:tcPr>
          <w:p w14:paraId="592B8C9D" w14:textId="77777777" w:rsidR="00454A29" w:rsidRDefault="00454A29"/>
        </w:tc>
        <w:tc>
          <w:tcPr>
            <w:tcW w:w="2324" w:type="dxa"/>
            <w:vMerge/>
          </w:tcPr>
          <w:p w14:paraId="76BE35AE" w14:textId="77777777" w:rsidR="00454A29" w:rsidRDefault="00454A29"/>
        </w:tc>
        <w:tc>
          <w:tcPr>
            <w:tcW w:w="1701" w:type="dxa"/>
            <w:vAlign w:val="center"/>
          </w:tcPr>
          <w:p w14:paraId="7A1E3B75" w14:textId="77777777" w:rsidR="00454A29" w:rsidRDefault="00454A29">
            <w:pPr>
              <w:pStyle w:val="ConsPlusNormal"/>
            </w:pPr>
          </w:p>
        </w:tc>
        <w:tc>
          <w:tcPr>
            <w:tcW w:w="1814" w:type="dxa"/>
            <w:vAlign w:val="center"/>
          </w:tcPr>
          <w:p w14:paraId="74DC0364" w14:textId="77777777" w:rsidR="00454A29" w:rsidRDefault="00454A29">
            <w:pPr>
              <w:pStyle w:val="ConsPlusNormal"/>
            </w:pPr>
          </w:p>
        </w:tc>
        <w:tc>
          <w:tcPr>
            <w:tcW w:w="1701" w:type="dxa"/>
            <w:vAlign w:val="center"/>
          </w:tcPr>
          <w:p w14:paraId="377B1854" w14:textId="77777777" w:rsidR="00454A29" w:rsidRDefault="00454A29">
            <w:pPr>
              <w:pStyle w:val="ConsPlusNormal"/>
            </w:pPr>
          </w:p>
        </w:tc>
        <w:tc>
          <w:tcPr>
            <w:tcW w:w="1701" w:type="dxa"/>
            <w:vAlign w:val="center"/>
          </w:tcPr>
          <w:p w14:paraId="086111E1" w14:textId="77777777" w:rsidR="00454A29" w:rsidRDefault="00454A29">
            <w:pPr>
              <w:pStyle w:val="ConsPlusNormal"/>
            </w:pPr>
          </w:p>
        </w:tc>
        <w:tc>
          <w:tcPr>
            <w:tcW w:w="1814" w:type="dxa"/>
            <w:vAlign w:val="center"/>
          </w:tcPr>
          <w:p w14:paraId="0EF7A388" w14:textId="77777777" w:rsidR="00454A29" w:rsidRDefault="00454A29">
            <w:pPr>
              <w:pStyle w:val="ConsPlusNormal"/>
            </w:pPr>
          </w:p>
        </w:tc>
      </w:tr>
      <w:tr w:rsidR="00454A29" w14:paraId="56A7BE24" w14:textId="77777777">
        <w:tc>
          <w:tcPr>
            <w:tcW w:w="567" w:type="dxa"/>
            <w:vMerge/>
          </w:tcPr>
          <w:p w14:paraId="112D208D" w14:textId="77777777" w:rsidR="00454A29" w:rsidRDefault="00454A29"/>
        </w:tc>
        <w:tc>
          <w:tcPr>
            <w:tcW w:w="3345" w:type="dxa"/>
            <w:vMerge/>
          </w:tcPr>
          <w:p w14:paraId="0B467B4C" w14:textId="77777777" w:rsidR="00454A29" w:rsidRDefault="00454A29"/>
        </w:tc>
        <w:tc>
          <w:tcPr>
            <w:tcW w:w="1701" w:type="dxa"/>
            <w:vAlign w:val="center"/>
          </w:tcPr>
          <w:p w14:paraId="29F4BD52" w14:textId="77777777" w:rsidR="00454A29" w:rsidRDefault="00454A29">
            <w:pPr>
              <w:pStyle w:val="ConsPlusNormal"/>
              <w:jc w:val="center"/>
            </w:pPr>
            <w:r>
              <w:t>2025</w:t>
            </w:r>
          </w:p>
        </w:tc>
        <w:tc>
          <w:tcPr>
            <w:tcW w:w="1417" w:type="dxa"/>
            <w:vMerge/>
          </w:tcPr>
          <w:p w14:paraId="2D0FBACC" w14:textId="77777777" w:rsidR="00454A29" w:rsidRDefault="00454A29"/>
        </w:tc>
        <w:tc>
          <w:tcPr>
            <w:tcW w:w="2204" w:type="dxa"/>
            <w:vMerge/>
          </w:tcPr>
          <w:p w14:paraId="4F7DECF0" w14:textId="77777777" w:rsidR="00454A29" w:rsidRDefault="00454A29"/>
        </w:tc>
        <w:tc>
          <w:tcPr>
            <w:tcW w:w="1417" w:type="dxa"/>
            <w:vMerge/>
          </w:tcPr>
          <w:p w14:paraId="2CF7A24F" w14:textId="77777777" w:rsidR="00454A29" w:rsidRDefault="00454A29"/>
        </w:tc>
        <w:tc>
          <w:tcPr>
            <w:tcW w:w="2324" w:type="dxa"/>
            <w:vMerge/>
          </w:tcPr>
          <w:p w14:paraId="331A727D" w14:textId="77777777" w:rsidR="00454A29" w:rsidRDefault="00454A29"/>
        </w:tc>
        <w:tc>
          <w:tcPr>
            <w:tcW w:w="1701" w:type="dxa"/>
            <w:vAlign w:val="center"/>
          </w:tcPr>
          <w:p w14:paraId="18A6EB52" w14:textId="77777777" w:rsidR="00454A29" w:rsidRDefault="00454A29">
            <w:pPr>
              <w:pStyle w:val="ConsPlusNormal"/>
            </w:pPr>
          </w:p>
        </w:tc>
        <w:tc>
          <w:tcPr>
            <w:tcW w:w="1814" w:type="dxa"/>
            <w:vAlign w:val="center"/>
          </w:tcPr>
          <w:p w14:paraId="569E6E52" w14:textId="77777777" w:rsidR="00454A29" w:rsidRDefault="00454A29">
            <w:pPr>
              <w:pStyle w:val="ConsPlusNormal"/>
            </w:pPr>
          </w:p>
        </w:tc>
        <w:tc>
          <w:tcPr>
            <w:tcW w:w="1701" w:type="dxa"/>
            <w:vAlign w:val="center"/>
          </w:tcPr>
          <w:p w14:paraId="16FB2F36" w14:textId="77777777" w:rsidR="00454A29" w:rsidRDefault="00454A29">
            <w:pPr>
              <w:pStyle w:val="ConsPlusNormal"/>
            </w:pPr>
          </w:p>
        </w:tc>
        <w:tc>
          <w:tcPr>
            <w:tcW w:w="1701" w:type="dxa"/>
            <w:vAlign w:val="center"/>
          </w:tcPr>
          <w:p w14:paraId="3D4EE1EA" w14:textId="77777777" w:rsidR="00454A29" w:rsidRDefault="00454A29">
            <w:pPr>
              <w:pStyle w:val="ConsPlusNormal"/>
            </w:pPr>
          </w:p>
        </w:tc>
        <w:tc>
          <w:tcPr>
            <w:tcW w:w="1814" w:type="dxa"/>
            <w:vAlign w:val="center"/>
          </w:tcPr>
          <w:p w14:paraId="163DA9CC" w14:textId="77777777" w:rsidR="00454A29" w:rsidRDefault="00454A29">
            <w:pPr>
              <w:pStyle w:val="ConsPlusNormal"/>
            </w:pPr>
          </w:p>
        </w:tc>
      </w:tr>
      <w:tr w:rsidR="00454A29" w14:paraId="754AA166" w14:textId="77777777">
        <w:tc>
          <w:tcPr>
            <w:tcW w:w="567" w:type="dxa"/>
            <w:vMerge/>
          </w:tcPr>
          <w:p w14:paraId="7C364C68" w14:textId="77777777" w:rsidR="00454A29" w:rsidRDefault="00454A29"/>
        </w:tc>
        <w:tc>
          <w:tcPr>
            <w:tcW w:w="3345" w:type="dxa"/>
            <w:vMerge/>
          </w:tcPr>
          <w:p w14:paraId="4A1E301C" w14:textId="77777777" w:rsidR="00454A29" w:rsidRDefault="00454A29"/>
        </w:tc>
        <w:tc>
          <w:tcPr>
            <w:tcW w:w="1701" w:type="dxa"/>
            <w:vAlign w:val="center"/>
          </w:tcPr>
          <w:p w14:paraId="0328859B" w14:textId="77777777" w:rsidR="00454A29" w:rsidRDefault="00454A29">
            <w:pPr>
              <w:pStyle w:val="ConsPlusNormal"/>
              <w:jc w:val="center"/>
            </w:pPr>
            <w:r>
              <w:t>2026</w:t>
            </w:r>
          </w:p>
        </w:tc>
        <w:tc>
          <w:tcPr>
            <w:tcW w:w="1417" w:type="dxa"/>
            <w:vMerge/>
          </w:tcPr>
          <w:p w14:paraId="449A4035" w14:textId="77777777" w:rsidR="00454A29" w:rsidRDefault="00454A29"/>
        </w:tc>
        <w:tc>
          <w:tcPr>
            <w:tcW w:w="2204" w:type="dxa"/>
            <w:vMerge/>
          </w:tcPr>
          <w:p w14:paraId="6C9E143C" w14:textId="77777777" w:rsidR="00454A29" w:rsidRDefault="00454A29"/>
        </w:tc>
        <w:tc>
          <w:tcPr>
            <w:tcW w:w="1417" w:type="dxa"/>
            <w:vMerge/>
          </w:tcPr>
          <w:p w14:paraId="077B309F" w14:textId="77777777" w:rsidR="00454A29" w:rsidRDefault="00454A29"/>
        </w:tc>
        <w:tc>
          <w:tcPr>
            <w:tcW w:w="2324" w:type="dxa"/>
            <w:vMerge/>
          </w:tcPr>
          <w:p w14:paraId="1C04E9C1" w14:textId="77777777" w:rsidR="00454A29" w:rsidRDefault="00454A29"/>
        </w:tc>
        <w:tc>
          <w:tcPr>
            <w:tcW w:w="1701" w:type="dxa"/>
            <w:vAlign w:val="center"/>
          </w:tcPr>
          <w:p w14:paraId="0388481D" w14:textId="77777777" w:rsidR="00454A29" w:rsidRDefault="00454A29">
            <w:pPr>
              <w:pStyle w:val="ConsPlusNormal"/>
              <w:jc w:val="center"/>
            </w:pPr>
            <w:r>
              <w:t>528 409,30</w:t>
            </w:r>
          </w:p>
        </w:tc>
        <w:tc>
          <w:tcPr>
            <w:tcW w:w="1814" w:type="dxa"/>
            <w:vAlign w:val="center"/>
          </w:tcPr>
          <w:p w14:paraId="1E434074" w14:textId="77777777" w:rsidR="00454A29" w:rsidRDefault="00454A29">
            <w:pPr>
              <w:pStyle w:val="ConsPlusNormal"/>
              <w:jc w:val="center"/>
            </w:pPr>
            <w:r>
              <w:t>6510,00</w:t>
            </w:r>
          </w:p>
        </w:tc>
        <w:tc>
          <w:tcPr>
            <w:tcW w:w="1701" w:type="dxa"/>
            <w:vAlign w:val="center"/>
          </w:tcPr>
          <w:p w14:paraId="150C534C" w14:textId="77777777" w:rsidR="00454A29" w:rsidRDefault="00454A29">
            <w:pPr>
              <w:pStyle w:val="ConsPlusNormal"/>
              <w:jc w:val="center"/>
            </w:pPr>
            <w:r>
              <w:t>644490,26</w:t>
            </w:r>
          </w:p>
        </w:tc>
        <w:tc>
          <w:tcPr>
            <w:tcW w:w="1701" w:type="dxa"/>
            <w:vAlign w:val="center"/>
          </w:tcPr>
          <w:p w14:paraId="14E44415" w14:textId="77777777" w:rsidR="00454A29" w:rsidRDefault="00454A29">
            <w:pPr>
              <w:pStyle w:val="ConsPlusNormal"/>
            </w:pPr>
          </w:p>
        </w:tc>
        <w:tc>
          <w:tcPr>
            <w:tcW w:w="1814" w:type="dxa"/>
            <w:vAlign w:val="center"/>
          </w:tcPr>
          <w:p w14:paraId="14149952" w14:textId="77777777" w:rsidR="00454A29" w:rsidRDefault="00454A29">
            <w:pPr>
              <w:pStyle w:val="ConsPlusNormal"/>
            </w:pPr>
          </w:p>
        </w:tc>
      </w:tr>
      <w:tr w:rsidR="00454A29" w14:paraId="30A33F10" w14:textId="77777777">
        <w:tc>
          <w:tcPr>
            <w:tcW w:w="567" w:type="dxa"/>
            <w:vMerge w:val="restart"/>
            <w:vAlign w:val="center"/>
          </w:tcPr>
          <w:p w14:paraId="4B1EB240" w14:textId="77777777" w:rsidR="00454A29" w:rsidRDefault="00454A29">
            <w:pPr>
              <w:pStyle w:val="ConsPlusNormal"/>
              <w:jc w:val="center"/>
            </w:pPr>
            <w:r>
              <w:t>145</w:t>
            </w:r>
          </w:p>
        </w:tc>
        <w:tc>
          <w:tcPr>
            <w:tcW w:w="3345" w:type="dxa"/>
            <w:vMerge w:val="restart"/>
            <w:vAlign w:val="center"/>
          </w:tcPr>
          <w:p w14:paraId="73A9262D" w14:textId="77777777" w:rsidR="00454A29" w:rsidRDefault="00454A29">
            <w:pPr>
              <w:pStyle w:val="ConsPlusNormal"/>
              <w:jc w:val="center"/>
            </w:pPr>
            <w:r>
              <w:t>Школа на 70 учащихся в с. Маягас</w:t>
            </w:r>
          </w:p>
        </w:tc>
        <w:tc>
          <w:tcPr>
            <w:tcW w:w="1701" w:type="dxa"/>
            <w:vAlign w:val="center"/>
          </w:tcPr>
          <w:p w14:paraId="3B2A7FE3" w14:textId="77777777" w:rsidR="00454A29" w:rsidRDefault="00454A29">
            <w:pPr>
              <w:pStyle w:val="ConsPlusNormal"/>
              <w:jc w:val="center"/>
            </w:pPr>
            <w:r>
              <w:t>2020 - 2026 годы - всего</w:t>
            </w:r>
          </w:p>
        </w:tc>
        <w:tc>
          <w:tcPr>
            <w:tcW w:w="1417" w:type="dxa"/>
            <w:vMerge w:val="restart"/>
            <w:vAlign w:val="center"/>
          </w:tcPr>
          <w:p w14:paraId="687904E6" w14:textId="77777777" w:rsidR="00454A29" w:rsidRDefault="00454A29">
            <w:pPr>
              <w:pStyle w:val="ConsPlusNormal"/>
              <w:jc w:val="center"/>
            </w:pPr>
            <w:r>
              <w:t>257 477,17</w:t>
            </w:r>
          </w:p>
        </w:tc>
        <w:tc>
          <w:tcPr>
            <w:tcW w:w="2204" w:type="dxa"/>
            <w:vMerge w:val="restart"/>
            <w:vAlign w:val="center"/>
          </w:tcPr>
          <w:p w14:paraId="05BDD8CE" w14:textId="77777777" w:rsidR="00454A29" w:rsidRDefault="00454A29">
            <w:pPr>
              <w:pStyle w:val="ConsPlusNormal"/>
            </w:pPr>
          </w:p>
        </w:tc>
        <w:tc>
          <w:tcPr>
            <w:tcW w:w="1417" w:type="dxa"/>
            <w:vMerge w:val="restart"/>
            <w:vAlign w:val="center"/>
          </w:tcPr>
          <w:p w14:paraId="5F3303DE" w14:textId="77777777" w:rsidR="00454A29" w:rsidRDefault="00454A29">
            <w:pPr>
              <w:pStyle w:val="ConsPlusNormal"/>
              <w:jc w:val="center"/>
            </w:pPr>
            <w:r>
              <w:t>70</w:t>
            </w:r>
          </w:p>
        </w:tc>
        <w:tc>
          <w:tcPr>
            <w:tcW w:w="2324" w:type="dxa"/>
            <w:vMerge w:val="restart"/>
            <w:vAlign w:val="center"/>
          </w:tcPr>
          <w:p w14:paraId="43283BD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98D2316" w14:textId="77777777" w:rsidR="00454A29" w:rsidRDefault="00454A29">
            <w:pPr>
              <w:pStyle w:val="ConsPlusNormal"/>
              <w:jc w:val="center"/>
            </w:pPr>
            <w:r>
              <w:t>257 477,17</w:t>
            </w:r>
          </w:p>
        </w:tc>
        <w:tc>
          <w:tcPr>
            <w:tcW w:w="1814" w:type="dxa"/>
            <w:vAlign w:val="center"/>
          </w:tcPr>
          <w:p w14:paraId="3687FDBA" w14:textId="77777777" w:rsidR="00454A29" w:rsidRDefault="00454A29">
            <w:pPr>
              <w:pStyle w:val="ConsPlusNormal"/>
              <w:jc w:val="center"/>
            </w:pPr>
            <w:r>
              <w:t>3 172,12</w:t>
            </w:r>
          </w:p>
        </w:tc>
        <w:tc>
          <w:tcPr>
            <w:tcW w:w="1701" w:type="dxa"/>
            <w:vAlign w:val="center"/>
          </w:tcPr>
          <w:p w14:paraId="1A1D906E" w14:textId="77777777" w:rsidR="00454A29" w:rsidRDefault="00454A29">
            <w:pPr>
              <w:pStyle w:val="ConsPlusNormal"/>
              <w:jc w:val="center"/>
            </w:pPr>
            <w:r>
              <w:t>314 039,75</w:t>
            </w:r>
          </w:p>
        </w:tc>
        <w:tc>
          <w:tcPr>
            <w:tcW w:w="1701" w:type="dxa"/>
            <w:vAlign w:val="center"/>
          </w:tcPr>
          <w:p w14:paraId="7B3A86DA" w14:textId="77777777" w:rsidR="00454A29" w:rsidRDefault="00454A29">
            <w:pPr>
              <w:pStyle w:val="ConsPlusNormal"/>
              <w:jc w:val="center"/>
            </w:pPr>
            <w:r>
              <w:t>-</w:t>
            </w:r>
          </w:p>
        </w:tc>
        <w:tc>
          <w:tcPr>
            <w:tcW w:w="1814" w:type="dxa"/>
            <w:vAlign w:val="center"/>
          </w:tcPr>
          <w:p w14:paraId="0F54508F" w14:textId="77777777" w:rsidR="00454A29" w:rsidRDefault="00454A29">
            <w:pPr>
              <w:pStyle w:val="ConsPlusNormal"/>
              <w:jc w:val="center"/>
            </w:pPr>
            <w:r>
              <w:t>-</w:t>
            </w:r>
          </w:p>
        </w:tc>
      </w:tr>
      <w:tr w:rsidR="00454A29" w14:paraId="74DB962A" w14:textId="77777777">
        <w:tc>
          <w:tcPr>
            <w:tcW w:w="567" w:type="dxa"/>
            <w:vMerge/>
          </w:tcPr>
          <w:p w14:paraId="01B71CBC" w14:textId="77777777" w:rsidR="00454A29" w:rsidRDefault="00454A29"/>
        </w:tc>
        <w:tc>
          <w:tcPr>
            <w:tcW w:w="3345" w:type="dxa"/>
            <w:vMerge/>
          </w:tcPr>
          <w:p w14:paraId="68D61C8E" w14:textId="77777777" w:rsidR="00454A29" w:rsidRDefault="00454A29"/>
        </w:tc>
        <w:tc>
          <w:tcPr>
            <w:tcW w:w="1701" w:type="dxa"/>
            <w:vAlign w:val="center"/>
          </w:tcPr>
          <w:p w14:paraId="79125FA2" w14:textId="77777777" w:rsidR="00454A29" w:rsidRDefault="00454A29">
            <w:pPr>
              <w:pStyle w:val="ConsPlusNormal"/>
              <w:jc w:val="center"/>
            </w:pPr>
            <w:r>
              <w:t>2020</w:t>
            </w:r>
          </w:p>
        </w:tc>
        <w:tc>
          <w:tcPr>
            <w:tcW w:w="1417" w:type="dxa"/>
            <w:vMerge/>
          </w:tcPr>
          <w:p w14:paraId="50EBB7D8" w14:textId="77777777" w:rsidR="00454A29" w:rsidRDefault="00454A29"/>
        </w:tc>
        <w:tc>
          <w:tcPr>
            <w:tcW w:w="2204" w:type="dxa"/>
            <w:vMerge/>
          </w:tcPr>
          <w:p w14:paraId="7DF8CC2E" w14:textId="77777777" w:rsidR="00454A29" w:rsidRDefault="00454A29"/>
        </w:tc>
        <w:tc>
          <w:tcPr>
            <w:tcW w:w="1417" w:type="dxa"/>
            <w:vMerge/>
          </w:tcPr>
          <w:p w14:paraId="4CBE046F" w14:textId="77777777" w:rsidR="00454A29" w:rsidRDefault="00454A29"/>
        </w:tc>
        <w:tc>
          <w:tcPr>
            <w:tcW w:w="2324" w:type="dxa"/>
            <w:vMerge/>
          </w:tcPr>
          <w:p w14:paraId="30BCFCC1" w14:textId="77777777" w:rsidR="00454A29" w:rsidRDefault="00454A29"/>
        </w:tc>
        <w:tc>
          <w:tcPr>
            <w:tcW w:w="1701" w:type="dxa"/>
            <w:vAlign w:val="center"/>
          </w:tcPr>
          <w:p w14:paraId="5D393734" w14:textId="77777777" w:rsidR="00454A29" w:rsidRDefault="00454A29">
            <w:pPr>
              <w:pStyle w:val="ConsPlusNormal"/>
            </w:pPr>
          </w:p>
        </w:tc>
        <w:tc>
          <w:tcPr>
            <w:tcW w:w="1814" w:type="dxa"/>
            <w:vAlign w:val="center"/>
          </w:tcPr>
          <w:p w14:paraId="77079D7B" w14:textId="77777777" w:rsidR="00454A29" w:rsidRDefault="00454A29">
            <w:pPr>
              <w:pStyle w:val="ConsPlusNormal"/>
            </w:pPr>
          </w:p>
        </w:tc>
        <w:tc>
          <w:tcPr>
            <w:tcW w:w="1701" w:type="dxa"/>
            <w:vAlign w:val="center"/>
          </w:tcPr>
          <w:p w14:paraId="7A315E7B" w14:textId="77777777" w:rsidR="00454A29" w:rsidRDefault="00454A29">
            <w:pPr>
              <w:pStyle w:val="ConsPlusNormal"/>
            </w:pPr>
          </w:p>
        </w:tc>
        <w:tc>
          <w:tcPr>
            <w:tcW w:w="1701" w:type="dxa"/>
            <w:vAlign w:val="center"/>
          </w:tcPr>
          <w:p w14:paraId="53029CFA" w14:textId="77777777" w:rsidR="00454A29" w:rsidRDefault="00454A29">
            <w:pPr>
              <w:pStyle w:val="ConsPlusNormal"/>
            </w:pPr>
          </w:p>
        </w:tc>
        <w:tc>
          <w:tcPr>
            <w:tcW w:w="1814" w:type="dxa"/>
            <w:vAlign w:val="center"/>
          </w:tcPr>
          <w:p w14:paraId="264D0C3F" w14:textId="77777777" w:rsidR="00454A29" w:rsidRDefault="00454A29">
            <w:pPr>
              <w:pStyle w:val="ConsPlusNormal"/>
            </w:pPr>
          </w:p>
        </w:tc>
      </w:tr>
      <w:tr w:rsidR="00454A29" w14:paraId="2D9A9C60" w14:textId="77777777">
        <w:tc>
          <w:tcPr>
            <w:tcW w:w="567" w:type="dxa"/>
            <w:vMerge/>
          </w:tcPr>
          <w:p w14:paraId="271CBBD3" w14:textId="77777777" w:rsidR="00454A29" w:rsidRDefault="00454A29"/>
        </w:tc>
        <w:tc>
          <w:tcPr>
            <w:tcW w:w="3345" w:type="dxa"/>
            <w:vMerge/>
          </w:tcPr>
          <w:p w14:paraId="145E5D27" w14:textId="77777777" w:rsidR="00454A29" w:rsidRDefault="00454A29"/>
        </w:tc>
        <w:tc>
          <w:tcPr>
            <w:tcW w:w="1701" w:type="dxa"/>
            <w:vAlign w:val="center"/>
          </w:tcPr>
          <w:p w14:paraId="0328704C" w14:textId="77777777" w:rsidR="00454A29" w:rsidRDefault="00454A29">
            <w:pPr>
              <w:pStyle w:val="ConsPlusNormal"/>
              <w:jc w:val="center"/>
            </w:pPr>
            <w:r>
              <w:t>2021</w:t>
            </w:r>
          </w:p>
        </w:tc>
        <w:tc>
          <w:tcPr>
            <w:tcW w:w="1417" w:type="dxa"/>
            <w:vMerge/>
          </w:tcPr>
          <w:p w14:paraId="4168BFE4" w14:textId="77777777" w:rsidR="00454A29" w:rsidRDefault="00454A29"/>
        </w:tc>
        <w:tc>
          <w:tcPr>
            <w:tcW w:w="2204" w:type="dxa"/>
            <w:vMerge/>
          </w:tcPr>
          <w:p w14:paraId="6A967514" w14:textId="77777777" w:rsidR="00454A29" w:rsidRDefault="00454A29"/>
        </w:tc>
        <w:tc>
          <w:tcPr>
            <w:tcW w:w="1417" w:type="dxa"/>
            <w:vMerge/>
          </w:tcPr>
          <w:p w14:paraId="29167CA6" w14:textId="77777777" w:rsidR="00454A29" w:rsidRDefault="00454A29"/>
        </w:tc>
        <w:tc>
          <w:tcPr>
            <w:tcW w:w="2324" w:type="dxa"/>
            <w:vMerge/>
          </w:tcPr>
          <w:p w14:paraId="5EB8B3DC" w14:textId="77777777" w:rsidR="00454A29" w:rsidRDefault="00454A29"/>
        </w:tc>
        <w:tc>
          <w:tcPr>
            <w:tcW w:w="1701" w:type="dxa"/>
            <w:vAlign w:val="center"/>
          </w:tcPr>
          <w:p w14:paraId="6ED8EAAB" w14:textId="77777777" w:rsidR="00454A29" w:rsidRDefault="00454A29">
            <w:pPr>
              <w:pStyle w:val="ConsPlusNormal"/>
            </w:pPr>
          </w:p>
        </w:tc>
        <w:tc>
          <w:tcPr>
            <w:tcW w:w="1814" w:type="dxa"/>
            <w:vAlign w:val="center"/>
          </w:tcPr>
          <w:p w14:paraId="12AF839B" w14:textId="77777777" w:rsidR="00454A29" w:rsidRDefault="00454A29">
            <w:pPr>
              <w:pStyle w:val="ConsPlusNormal"/>
            </w:pPr>
          </w:p>
        </w:tc>
        <w:tc>
          <w:tcPr>
            <w:tcW w:w="1701" w:type="dxa"/>
            <w:vAlign w:val="center"/>
          </w:tcPr>
          <w:p w14:paraId="725890EC" w14:textId="77777777" w:rsidR="00454A29" w:rsidRDefault="00454A29">
            <w:pPr>
              <w:pStyle w:val="ConsPlusNormal"/>
            </w:pPr>
          </w:p>
        </w:tc>
        <w:tc>
          <w:tcPr>
            <w:tcW w:w="1701" w:type="dxa"/>
            <w:vAlign w:val="center"/>
          </w:tcPr>
          <w:p w14:paraId="4ABC8FBE" w14:textId="77777777" w:rsidR="00454A29" w:rsidRDefault="00454A29">
            <w:pPr>
              <w:pStyle w:val="ConsPlusNormal"/>
            </w:pPr>
          </w:p>
        </w:tc>
        <w:tc>
          <w:tcPr>
            <w:tcW w:w="1814" w:type="dxa"/>
            <w:vAlign w:val="center"/>
          </w:tcPr>
          <w:p w14:paraId="3EE335FA" w14:textId="77777777" w:rsidR="00454A29" w:rsidRDefault="00454A29">
            <w:pPr>
              <w:pStyle w:val="ConsPlusNormal"/>
            </w:pPr>
          </w:p>
        </w:tc>
      </w:tr>
      <w:tr w:rsidR="00454A29" w14:paraId="6095FE95" w14:textId="77777777">
        <w:tc>
          <w:tcPr>
            <w:tcW w:w="567" w:type="dxa"/>
            <w:vMerge/>
          </w:tcPr>
          <w:p w14:paraId="1F6DDF93" w14:textId="77777777" w:rsidR="00454A29" w:rsidRDefault="00454A29"/>
        </w:tc>
        <w:tc>
          <w:tcPr>
            <w:tcW w:w="3345" w:type="dxa"/>
            <w:vMerge/>
          </w:tcPr>
          <w:p w14:paraId="5526D5EE" w14:textId="77777777" w:rsidR="00454A29" w:rsidRDefault="00454A29"/>
        </w:tc>
        <w:tc>
          <w:tcPr>
            <w:tcW w:w="1701" w:type="dxa"/>
            <w:vAlign w:val="center"/>
          </w:tcPr>
          <w:p w14:paraId="4DE9E8E5" w14:textId="77777777" w:rsidR="00454A29" w:rsidRDefault="00454A29">
            <w:pPr>
              <w:pStyle w:val="ConsPlusNormal"/>
              <w:jc w:val="center"/>
            </w:pPr>
            <w:r>
              <w:t>2022</w:t>
            </w:r>
          </w:p>
        </w:tc>
        <w:tc>
          <w:tcPr>
            <w:tcW w:w="1417" w:type="dxa"/>
            <w:vMerge/>
          </w:tcPr>
          <w:p w14:paraId="21988670" w14:textId="77777777" w:rsidR="00454A29" w:rsidRDefault="00454A29"/>
        </w:tc>
        <w:tc>
          <w:tcPr>
            <w:tcW w:w="2204" w:type="dxa"/>
            <w:vMerge/>
          </w:tcPr>
          <w:p w14:paraId="736A4A14" w14:textId="77777777" w:rsidR="00454A29" w:rsidRDefault="00454A29"/>
        </w:tc>
        <w:tc>
          <w:tcPr>
            <w:tcW w:w="1417" w:type="dxa"/>
            <w:vMerge/>
          </w:tcPr>
          <w:p w14:paraId="4FA8E7D6" w14:textId="77777777" w:rsidR="00454A29" w:rsidRDefault="00454A29"/>
        </w:tc>
        <w:tc>
          <w:tcPr>
            <w:tcW w:w="2324" w:type="dxa"/>
            <w:vMerge/>
          </w:tcPr>
          <w:p w14:paraId="1DD2DF46" w14:textId="77777777" w:rsidR="00454A29" w:rsidRDefault="00454A29"/>
        </w:tc>
        <w:tc>
          <w:tcPr>
            <w:tcW w:w="1701" w:type="dxa"/>
            <w:vAlign w:val="center"/>
          </w:tcPr>
          <w:p w14:paraId="3DCC54CD" w14:textId="77777777" w:rsidR="00454A29" w:rsidRDefault="00454A29">
            <w:pPr>
              <w:pStyle w:val="ConsPlusNormal"/>
            </w:pPr>
          </w:p>
        </w:tc>
        <w:tc>
          <w:tcPr>
            <w:tcW w:w="1814" w:type="dxa"/>
            <w:vAlign w:val="center"/>
          </w:tcPr>
          <w:p w14:paraId="62DE042D" w14:textId="77777777" w:rsidR="00454A29" w:rsidRDefault="00454A29">
            <w:pPr>
              <w:pStyle w:val="ConsPlusNormal"/>
            </w:pPr>
          </w:p>
        </w:tc>
        <w:tc>
          <w:tcPr>
            <w:tcW w:w="1701" w:type="dxa"/>
            <w:vAlign w:val="center"/>
          </w:tcPr>
          <w:p w14:paraId="7A532C07" w14:textId="77777777" w:rsidR="00454A29" w:rsidRDefault="00454A29">
            <w:pPr>
              <w:pStyle w:val="ConsPlusNormal"/>
            </w:pPr>
          </w:p>
        </w:tc>
        <w:tc>
          <w:tcPr>
            <w:tcW w:w="1701" w:type="dxa"/>
            <w:vAlign w:val="center"/>
          </w:tcPr>
          <w:p w14:paraId="63CD0825" w14:textId="77777777" w:rsidR="00454A29" w:rsidRDefault="00454A29">
            <w:pPr>
              <w:pStyle w:val="ConsPlusNormal"/>
            </w:pPr>
          </w:p>
        </w:tc>
        <w:tc>
          <w:tcPr>
            <w:tcW w:w="1814" w:type="dxa"/>
            <w:vAlign w:val="center"/>
          </w:tcPr>
          <w:p w14:paraId="4BBE5A2B" w14:textId="77777777" w:rsidR="00454A29" w:rsidRDefault="00454A29">
            <w:pPr>
              <w:pStyle w:val="ConsPlusNormal"/>
            </w:pPr>
          </w:p>
        </w:tc>
      </w:tr>
      <w:tr w:rsidR="00454A29" w14:paraId="40DFEF10" w14:textId="77777777">
        <w:tc>
          <w:tcPr>
            <w:tcW w:w="567" w:type="dxa"/>
            <w:vMerge/>
          </w:tcPr>
          <w:p w14:paraId="75548799" w14:textId="77777777" w:rsidR="00454A29" w:rsidRDefault="00454A29"/>
        </w:tc>
        <w:tc>
          <w:tcPr>
            <w:tcW w:w="3345" w:type="dxa"/>
            <w:vMerge/>
          </w:tcPr>
          <w:p w14:paraId="46E2E0E2" w14:textId="77777777" w:rsidR="00454A29" w:rsidRDefault="00454A29"/>
        </w:tc>
        <w:tc>
          <w:tcPr>
            <w:tcW w:w="1701" w:type="dxa"/>
            <w:vAlign w:val="center"/>
          </w:tcPr>
          <w:p w14:paraId="08DA11F3" w14:textId="77777777" w:rsidR="00454A29" w:rsidRDefault="00454A29">
            <w:pPr>
              <w:pStyle w:val="ConsPlusNormal"/>
              <w:jc w:val="center"/>
            </w:pPr>
            <w:r>
              <w:t>2023</w:t>
            </w:r>
          </w:p>
        </w:tc>
        <w:tc>
          <w:tcPr>
            <w:tcW w:w="1417" w:type="dxa"/>
            <w:vMerge/>
          </w:tcPr>
          <w:p w14:paraId="30EF5492" w14:textId="77777777" w:rsidR="00454A29" w:rsidRDefault="00454A29"/>
        </w:tc>
        <w:tc>
          <w:tcPr>
            <w:tcW w:w="2204" w:type="dxa"/>
            <w:vMerge/>
          </w:tcPr>
          <w:p w14:paraId="688C2ED7" w14:textId="77777777" w:rsidR="00454A29" w:rsidRDefault="00454A29"/>
        </w:tc>
        <w:tc>
          <w:tcPr>
            <w:tcW w:w="1417" w:type="dxa"/>
            <w:vMerge/>
          </w:tcPr>
          <w:p w14:paraId="64EDEB15" w14:textId="77777777" w:rsidR="00454A29" w:rsidRDefault="00454A29"/>
        </w:tc>
        <w:tc>
          <w:tcPr>
            <w:tcW w:w="2324" w:type="dxa"/>
            <w:vMerge/>
          </w:tcPr>
          <w:p w14:paraId="166083EF" w14:textId="77777777" w:rsidR="00454A29" w:rsidRDefault="00454A29"/>
        </w:tc>
        <w:tc>
          <w:tcPr>
            <w:tcW w:w="1701" w:type="dxa"/>
            <w:vAlign w:val="center"/>
          </w:tcPr>
          <w:p w14:paraId="0FB2329B" w14:textId="77777777" w:rsidR="00454A29" w:rsidRDefault="00454A29">
            <w:pPr>
              <w:pStyle w:val="ConsPlusNormal"/>
            </w:pPr>
          </w:p>
        </w:tc>
        <w:tc>
          <w:tcPr>
            <w:tcW w:w="1814" w:type="dxa"/>
            <w:vAlign w:val="center"/>
          </w:tcPr>
          <w:p w14:paraId="424C226D" w14:textId="77777777" w:rsidR="00454A29" w:rsidRDefault="00454A29">
            <w:pPr>
              <w:pStyle w:val="ConsPlusNormal"/>
            </w:pPr>
          </w:p>
        </w:tc>
        <w:tc>
          <w:tcPr>
            <w:tcW w:w="1701" w:type="dxa"/>
            <w:vAlign w:val="center"/>
          </w:tcPr>
          <w:p w14:paraId="7DD17953" w14:textId="77777777" w:rsidR="00454A29" w:rsidRDefault="00454A29">
            <w:pPr>
              <w:pStyle w:val="ConsPlusNormal"/>
            </w:pPr>
          </w:p>
        </w:tc>
        <w:tc>
          <w:tcPr>
            <w:tcW w:w="1701" w:type="dxa"/>
            <w:vAlign w:val="center"/>
          </w:tcPr>
          <w:p w14:paraId="68285B2A" w14:textId="77777777" w:rsidR="00454A29" w:rsidRDefault="00454A29">
            <w:pPr>
              <w:pStyle w:val="ConsPlusNormal"/>
            </w:pPr>
          </w:p>
        </w:tc>
        <w:tc>
          <w:tcPr>
            <w:tcW w:w="1814" w:type="dxa"/>
            <w:vAlign w:val="center"/>
          </w:tcPr>
          <w:p w14:paraId="6F3E3764" w14:textId="77777777" w:rsidR="00454A29" w:rsidRDefault="00454A29">
            <w:pPr>
              <w:pStyle w:val="ConsPlusNormal"/>
            </w:pPr>
          </w:p>
        </w:tc>
      </w:tr>
      <w:tr w:rsidR="00454A29" w14:paraId="14AD17F7" w14:textId="77777777">
        <w:tc>
          <w:tcPr>
            <w:tcW w:w="567" w:type="dxa"/>
            <w:vMerge/>
          </w:tcPr>
          <w:p w14:paraId="69E31CD7" w14:textId="77777777" w:rsidR="00454A29" w:rsidRDefault="00454A29"/>
        </w:tc>
        <w:tc>
          <w:tcPr>
            <w:tcW w:w="3345" w:type="dxa"/>
            <w:vMerge/>
          </w:tcPr>
          <w:p w14:paraId="48D650C0" w14:textId="77777777" w:rsidR="00454A29" w:rsidRDefault="00454A29"/>
        </w:tc>
        <w:tc>
          <w:tcPr>
            <w:tcW w:w="1701" w:type="dxa"/>
            <w:vAlign w:val="center"/>
          </w:tcPr>
          <w:p w14:paraId="60E4BE20" w14:textId="77777777" w:rsidR="00454A29" w:rsidRDefault="00454A29">
            <w:pPr>
              <w:pStyle w:val="ConsPlusNormal"/>
              <w:jc w:val="center"/>
            </w:pPr>
            <w:r>
              <w:t>2024</w:t>
            </w:r>
          </w:p>
        </w:tc>
        <w:tc>
          <w:tcPr>
            <w:tcW w:w="1417" w:type="dxa"/>
            <w:vMerge/>
          </w:tcPr>
          <w:p w14:paraId="425EAC70" w14:textId="77777777" w:rsidR="00454A29" w:rsidRDefault="00454A29"/>
        </w:tc>
        <w:tc>
          <w:tcPr>
            <w:tcW w:w="2204" w:type="dxa"/>
            <w:vMerge/>
          </w:tcPr>
          <w:p w14:paraId="450A2439" w14:textId="77777777" w:rsidR="00454A29" w:rsidRDefault="00454A29"/>
        </w:tc>
        <w:tc>
          <w:tcPr>
            <w:tcW w:w="1417" w:type="dxa"/>
            <w:vMerge/>
          </w:tcPr>
          <w:p w14:paraId="311C68E3" w14:textId="77777777" w:rsidR="00454A29" w:rsidRDefault="00454A29"/>
        </w:tc>
        <w:tc>
          <w:tcPr>
            <w:tcW w:w="2324" w:type="dxa"/>
            <w:vMerge/>
          </w:tcPr>
          <w:p w14:paraId="29F09F90" w14:textId="77777777" w:rsidR="00454A29" w:rsidRDefault="00454A29"/>
        </w:tc>
        <w:tc>
          <w:tcPr>
            <w:tcW w:w="1701" w:type="dxa"/>
            <w:vAlign w:val="center"/>
          </w:tcPr>
          <w:p w14:paraId="0F261BA7" w14:textId="77777777" w:rsidR="00454A29" w:rsidRDefault="00454A29">
            <w:pPr>
              <w:pStyle w:val="ConsPlusNormal"/>
            </w:pPr>
          </w:p>
        </w:tc>
        <w:tc>
          <w:tcPr>
            <w:tcW w:w="1814" w:type="dxa"/>
            <w:vAlign w:val="center"/>
          </w:tcPr>
          <w:p w14:paraId="43FF7BF5" w14:textId="77777777" w:rsidR="00454A29" w:rsidRDefault="00454A29">
            <w:pPr>
              <w:pStyle w:val="ConsPlusNormal"/>
            </w:pPr>
          </w:p>
        </w:tc>
        <w:tc>
          <w:tcPr>
            <w:tcW w:w="1701" w:type="dxa"/>
            <w:vAlign w:val="center"/>
          </w:tcPr>
          <w:p w14:paraId="3B4338E0" w14:textId="77777777" w:rsidR="00454A29" w:rsidRDefault="00454A29">
            <w:pPr>
              <w:pStyle w:val="ConsPlusNormal"/>
            </w:pPr>
          </w:p>
        </w:tc>
        <w:tc>
          <w:tcPr>
            <w:tcW w:w="1701" w:type="dxa"/>
            <w:vAlign w:val="center"/>
          </w:tcPr>
          <w:p w14:paraId="1CE9BF2C" w14:textId="77777777" w:rsidR="00454A29" w:rsidRDefault="00454A29">
            <w:pPr>
              <w:pStyle w:val="ConsPlusNormal"/>
            </w:pPr>
          </w:p>
        </w:tc>
        <w:tc>
          <w:tcPr>
            <w:tcW w:w="1814" w:type="dxa"/>
            <w:vAlign w:val="center"/>
          </w:tcPr>
          <w:p w14:paraId="4E57ADA3" w14:textId="77777777" w:rsidR="00454A29" w:rsidRDefault="00454A29">
            <w:pPr>
              <w:pStyle w:val="ConsPlusNormal"/>
            </w:pPr>
          </w:p>
        </w:tc>
      </w:tr>
      <w:tr w:rsidR="00454A29" w14:paraId="6446FE0D" w14:textId="77777777">
        <w:tc>
          <w:tcPr>
            <w:tcW w:w="567" w:type="dxa"/>
            <w:vMerge/>
          </w:tcPr>
          <w:p w14:paraId="4F7D18B9" w14:textId="77777777" w:rsidR="00454A29" w:rsidRDefault="00454A29"/>
        </w:tc>
        <w:tc>
          <w:tcPr>
            <w:tcW w:w="3345" w:type="dxa"/>
            <w:vMerge/>
          </w:tcPr>
          <w:p w14:paraId="0D2A61AE" w14:textId="77777777" w:rsidR="00454A29" w:rsidRDefault="00454A29"/>
        </w:tc>
        <w:tc>
          <w:tcPr>
            <w:tcW w:w="1701" w:type="dxa"/>
            <w:vAlign w:val="center"/>
          </w:tcPr>
          <w:p w14:paraId="2DF1F5FA" w14:textId="77777777" w:rsidR="00454A29" w:rsidRDefault="00454A29">
            <w:pPr>
              <w:pStyle w:val="ConsPlusNormal"/>
              <w:jc w:val="center"/>
            </w:pPr>
            <w:r>
              <w:t>2025</w:t>
            </w:r>
          </w:p>
        </w:tc>
        <w:tc>
          <w:tcPr>
            <w:tcW w:w="1417" w:type="dxa"/>
            <w:vMerge/>
          </w:tcPr>
          <w:p w14:paraId="36764047" w14:textId="77777777" w:rsidR="00454A29" w:rsidRDefault="00454A29"/>
        </w:tc>
        <w:tc>
          <w:tcPr>
            <w:tcW w:w="2204" w:type="dxa"/>
            <w:vMerge/>
          </w:tcPr>
          <w:p w14:paraId="718CB011" w14:textId="77777777" w:rsidR="00454A29" w:rsidRDefault="00454A29"/>
        </w:tc>
        <w:tc>
          <w:tcPr>
            <w:tcW w:w="1417" w:type="dxa"/>
            <w:vMerge/>
          </w:tcPr>
          <w:p w14:paraId="3D4B78EF" w14:textId="77777777" w:rsidR="00454A29" w:rsidRDefault="00454A29"/>
        </w:tc>
        <w:tc>
          <w:tcPr>
            <w:tcW w:w="2324" w:type="dxa"/>
            <w:vMerge/>
          </w:tcPr>
          <w:p w14:paraId="136B2CF0" w14:textId="77777777" w:rsidR="00454A29" w:rsidRDefault="00454A29"/>
        </w:tc>
        <w:tc>
          <w:tcPr>
            <w:tcW w:w="1701" w:type="dxa"/>
            <w:vAlign w:val="center"/>
          </w:tcPr>
          <w:p w14:paraId="11A7AAF0" w14:textId="77777777" w:rsidR="00454A29" w:rsidRDefault="00454A29">
            <w:pPr>
              <w:pStyle w:val="ConsPlusNormal"/>
            </w:pPr>
          </w:p>
        </w:tc>
        <w:tc>
          <w:tcPr>
            <w:tcW w:w="1814" w:type="dxa"/>
            <w:vAlign w:val="center"/>
          </w:tcPr>
          <w:p w14:paraId="6855720E" w14:textId="77777777" w:rsidR="00454A29" w:rsidRDefault="00454A29">
            <w:pPr>
              <w:pStyle w:val="ConsPlusNormal"/>
            </w:pPr>
          </w:p>
        </w:tc>
        <w:tc>
          <w:tcPr>
            <w:tcW w:w="1701" w:type="dxa"/>
            <w:vAlign w:val="center"/>
          </w:tcPr>
          <w:p w14:paraId="31057E1F" w14:textId="77777777" w:rsidR="00454A29" w:rsidRDefault="00454A29">
            <w:pPr>
              <w:pStyle w:val="ConsPlusNormal"/>
            </w:pPr>
          </w:p>
        </w:tc>
        <w:tc>
          <w:tcPr>
            <w:tcW w:w="1701" w:type="dxa"/>
            <w:vAlign w:val="center"/>
          </w:tcPr>
          <w:p w14:paraId="3AC4287B" w14:textId="77777777" w:rsidR="00454A29" w:rsidRDefault="00454A29">
            <w:pPr>
              <w:pStyle w:val="ConsPlusNormal"/>
            </w:pPr>
          </w:p>
        </w:tc>
        <w:tc>
          <w:tcPr>
            <w:tcW w:w="1814" w:type="dxa"/>
            <w:vAlign w:val="center"/>
          </w:tcPr>
          <w:p w14:paraId="1251B986" w14:textId="77777777" w:rsidR="00454A29" w:rsidRDefault="00454A29">
            <w:pPr>
              <w:pStyle w:val="ConsPlusNormal"/>
            </w:pPr>
          </w:p>
        </w:tc>
      </w:tr>
      <w:tr w:rsidR="00454A29" w14:paraId="610E356C" w14:textId="77777777">
        <w:tc>
          <w:tcPr>
            <w:tcW w:w="567" w:type="dxa"/>
            <w:vMerge/>
          </w:tcPr>
          <w:p w14:paraId="128D37A7" w14:textId="77777777" w:rsidR="00454A29" w:rsidRDefault="00454A29"/>
        </w:tc>
        <w:tc>
          <w:tcPr>
            <w:tcW w:w="3345" w:type="dxa"/>
            <w:vMerge/>
          </w:tcPr>
          <w:p w14:paraId="4E9CCFF8" w14:textId="77777777" w:rsidR="00454A29" w:rsidRDefault="00454A29"/>
        </w:tc>
        <w:tc>
          <w:tcPr>
            <w:tcW w:w="1701" w:type="dxa"/>
            <w:vAlign w:val="center"/>
          </w:tcPr>
          <w:p w14:paraId="70E32FD0" w14:textId="77777777" w:rsidR="00454A29" w:rsidRDefault="00454A29">
            <w:pPr>
              <w:pStyle w:val="ConsPlusNormal"/>
              <w:jc w:val="center"/>
            </w:pPr>
            <w:r>
              <w:t>2026</w:t>
            </w:r>
          </w:p>
        </w:tc>
        <w:tc>
          <w:tcPr>
            <w:tcW w:w="1417" w:type="dxa"/>
            <w:vMerge/>
          </w:tcPr>
          <w:p w14:paraId="56AE2CC8" w14:textId="77777777" w:rsidR="00454A29" w:rsidRDefault="00454A29"/>
        </w:tc>
        <w:tc>
          <w:tcPr>
            <w:tcW w:w="2204" w:type="dxa"/>
            <w:vMerge/>
          </w:tcPr>
          <w:p w14:paraId="72F8D5FC" w14:textId="77777777" w:rsidR="00454A29" w:rsidRDefault="00454A29"/>
        </w:tc>
        <w:tc>
          <w:tcPr>
            <w:tcW w:w="1417" w:type="dxa"/>
            <w:vMerge/>
          </w:tcPr>
          <w:p w14:paraId="4F3622E0" w14:textId="77777777" w:rsidR="00454A29" w:rsidRDefault="00454A29"/>
        </w:tc>
        <w:tc>
          <w:tcPr>
            <w:tcW w:w="2324" w:type="dxa"/>
            <w:vMerge/>
          </w:tcPr>
          <w:p w14:paraId="6AE4CECD" w14:textId="77777777" w:rsidR="00454A29" w:rsidRDefault="00454A29"/>
        </w:tc>
        <w:tc>
          <w:tcPr>
            <w:tcW w:w="1701" w:type="dxa"/>
            <w:vAlign w:val="center"/>
          </w:tcPr>
          <w:p w14:paraId="66DE9019" w14:textId="77777777" w:rsidR="00454A29" w:rsidRDefault="00454A29">
            <w:pPr>
              <w:pStyle w:val="ConsPlusNormal"/>
              <w:jc w:val="center"/>
            </w:pPr>
            <w:r>
              <w:t>257 477,17</w:t>
            </w:r>
          </w:p>
        </w:tc>
        <w:tc>
          <w:tcPr>
            <w:tcW w:w="1814" w:type="dxa"/>
            <w:vAlign w:val="center"/>
          </w:tcPr>
          <w:p w14:paraId="034AF237" w14:textId="77777777" w:rsidR="00454A29" w:rsidRDefault="00454A29">
            <w:pPr>
              <w:pStyle w:val="ConsPlusNormal"/>
              <w:jc w:val="center"/>
            </w:pPr>
            <w:r>
              <w:t>3 172,12</w:t>
            </w:r>
          </w:p>
        </w:tc>
        <w:tc>
          <w:tcPr>
            <w:tcW w:w="1701" w:type="dxa"/>
            <w:vAlign w:val="center"/>
          </w:tcPr>
          <w:p w14:paraId="6D3AE75E" w14:textId="77777777" w:rsidR="00454A29" w:rsidRDefault="00454A29">
            <w:pPr>
              <w:pStyle w:val="ConsPlusNormal"/>
              <w:jc w:val="center"/>
            </w:pPr>
            <w:r>
              <w:t>314 039,75</w:t>
            </w:r>
          </w:p>
        </w:tc>
        <w:tc>
          <w:tcPr>
            <w:tcW w:w="1701" w:type="dxa"/>
            <w:vAlign w:val="center"/>
          </w:tcPr>
          <w:p w14:paraId="07CAF49E" w14:textId="77777777" w:rsidR="00454A29" w:rsidRDefault="00454A29">
            <w:pPr>
              <w:pStyle w:val="ConsPlusNormal"/>
            </w:pPr>
          </w:p>
        </w:tc>
        <w:tc>
          <w:tcPr>
            <w:tcW w:w="1814" w:type="dxa"/>
            <w:vAlign w:val="center"/>
          </w:tcPr>
          <w:p w14:paraId="1017185C" w14:textId="77777777" w:rsidR="00454A29" w:rsidRDefault="00454A29">
            <w:pPr>
              <w:pStyle w:val="ConsPlusNormal"/>
            </w:pPr>
          </w:p>
        </w:tc>
      </w:tr>
      <w:tr w:rsidR="00454A29" w14:paraId="19EB2F3C" w14:textId="77777777">
        <w:tc>
          <w:tcPr>
            <w:tcW w:w="567" w:type="dxa"/>
            <w:vMerge w:val="restart"/>
            <w:vAlign w:val="center"/>
          </w:tcPr>
          <w:p w14:paraId="79244C51" w14:textId="77777777" w:rsidR="00454A29" w:rsidRDefault="00454A29">
            <w:pPr>
              <w:pStyle w:val="ConsPlusNormal"/>
              <w:jc w:val="center"/>
            </w:pPr>
            <w:r>
              <w:t>146</w:t>
            </w:r>
          </w:p>
        </w:tc>
        <w:tc>
          <w:tcPr>
            <w:tcW w:w="3345" w:type="dxa"/>
            <w:vMerge w:val="restart"/>
            <w:vAlign w:val="center"/>
          </w:tcPr>
          <w:p w14:paraId="0090C8B3" w14:textId="77777777" w:rsidR="00454A29" w:rsidRDefault="00454A29">
            <w:pPr>
              <w:pStyle w:val="ConsPlusNormal"/>
              <w:jc w:val="center"/>
            </w:pPr>
            <w:r>
              <w:t>Школа на 100 учащихся в с. Чаранг</w:t>
            </w:r>
          </w:p>
        </w:tc>
        <w:tc>
          <w:tcPr>
            <w:tcW w:w="1701" w:type="dxa"/>
            <w:vAlign w:val="center"/>
          </w:tcPr>
          <w:p w14:paraId="4D702583" w14:textId="77777777" w:rsidR="00454A29" w:rsidRDefault="00454A29">
            <w:pPr>
              <w:pStyle w:val="ConsPlusNormal"/>
              <w:jc w:val="center"/>
            </w:pPr>
            <w:r>
              <w:t>2020 - 2026 годы - всего</w:t>
            </w:r>
          </w:p>
        </w:tc>
        <w:tc>
          <w:tcPr>
            <w:tcW w:w="1417" w:type="dxa"/>
            <w:vMerge w:val="restart"/>
            <w:vAlign w:val="center"/>
          </w:tcPr>
          <w:p w14:paraId="625BEC0E" w14:textId="77777777" w:rsidR="00454A29" w:rsidRDefault="00454A29">
            <w:pPr>
              <w:pStyle w:val="ConsPlusNormal"/>
              <w:jc w:val="center"/>
            </w:pPr>
            <w:r>
              <w:t>367 824,52</w:t>
            </w:r>
          </w:p>
        </w:tc>
        <w:tc>
          <w:tcPr>
            <w:tcW w:w="2204" w:type="dxa"/>
            <w:vMerge w:val="restart"/>
            <w:vAlign w:val="center"/>
          </w:tcPr>
          <w:p w14:paraId="7B7BB5BD" w14:textId="77777777" w:rsidR="00454A29" w:rsidRDefault="00454A29">
            <w:pPr>
              <w:pStyle w:val="ConsPlusNormal"/>
            </w:pPr>
          </w:p>
        </w:tc>
        <w:tc>
          <w:tcPr>
            <w:tcW w:w="1417" w:type="dxa"/>
            <w:vMerge w:val="restart"/>
            <w:vAlign w:val="center"/>
          </w:tcPr>
          <w:p w14:paraId="53F82000" w14:textId="77777777" w:rsidR="00454A29" w:rsidRDefault="00454A29">
            <w:pPr>
              <w:pStyle w:val="ConsPlusNormal"/>
              <w:jc w:val="center"/>
            </w:pPr>
            <w:r>
              <w:t>100</w:t>
            </w:r>
          </w:p>
        </w:tc>
        <w:tc>
          <w:tcPr>
            <w:tcW w:w="2324" w:type="dxa"/>
            <w:vMerge w:val="restart"/>
            <w:vAlign w:val="center"/>
          </w:tcPr>
          <w:p w14:paraId="70F0821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5BB308D" w14:textId="77777777" w:rsidR="00454A29" w:rsidRDefault="00454A29">
            <w:pPr>
              <w:pStyle w:val="ConsPlusNormal"/>
              <w:jc w:val="center"/>
            </w:pPr>
            <w:r>
              <w:t>367 824,52</w:t>
            </w:r>
          </w:p>
        </w:tc>
        <w:tc>
          <w:tcPr>
            <w:tcW w:w="1814" w:type="dxa"/>
            <w:vAlign w:val="center"/>
          </w:tcPr>
          <w:p w14:paraId="094271A9" w14:textId="77777777" w:rsidR="00454A29" w:rsidRDefault="00454A29">
            <w:pPr>
              <w:pStyle w:val="ConsPlusNormal"/>
              <w:jc w:val="center"/>
            </w:pPr>
            <w:r>
              <w:t>4 531,60</w:t>
            </w:r>
          </w:p>
        </w:tc>
        <w:tc>
          <w:tcPr>
            <w:tcW w:w="1701" w:type="dxa"/>
            <w:vAlign w:val="center"/>
          </w:tcPr>
          <w:p w14:paraId="550F0B1A" w14:textId="77777777" w:rsidR="00454A29" w:rsidRDefault="00454A29">
            <w:pPr>
              <w:pStyle w:val="ConsPlusNormal"/>
              <w:jc w:val="center"/>
            </w:pPr>
            <w:r>
              <w:t>448 628,22</w:t>
            </w:r>
          </w:p>
        </w:tc>
        <w:tc>
          <w:tcPr>
            <w:tcW w:w="1701" w:type="dxa"/>
            <w:vAlign w:val="center"/>
          </w:tcPr>
          <w:p w14:paraId="3D29D2D1" w14:textId="77777777" w:rsidR="00454A29" w:rsidRDefault="00454A29">
            <w:pPr>
              <w:pStyle w:val="ConsPlusNormal"/>
              <w:jc w:val="center"/>
            </w:pPr>
            <w:r>
              <w:t>-</w:t>
            </w:r>
          </w:p>
        </w:tc>
        <w:tc>
          <w:tcPr>
            <w:tcW w:w="1814" w:type="dxa"/>
            <w:vAlign w:val="center"/>
          </w:tcPr>
          <w:p w14:paraId="088964C3" w14:textId="77777777" w:rsidR="00454A29" w:rsidRDefault="00454A29">
            <w:pPr>
              <w:pStyle w:val="ConsPlusNormal"/>
              <w:jc w:val="center"/>
            </w:pPr>
            <w:r>
              <w:t>-</w:t>
            </w:r>
          </w:p>
        </w:tc>
      </w:tr>
      <w:tr w:rsidR="00454A29" w14:paraId="6955687B" w14:textId="77777777">
        <w:tc>
          <w:tcPr>
            <w:tcW w:w="567" w:type="dxa"/>
            <w:vMerge/>
          </w:tcPr>
          <w:p w14:paraId="6E7FD295" w14:textId="77777777" w:rsidR="00454A29" w:rsidRDefault="00454A29"/>
        </w:tc>
        <w:tc>
          <w:tcPr>
            <w:tcW w:w="3345" w:type="dxa"/>
            <w:vMerge/>
          </w:tcPr>
          <w:p w14:paraId="38BE8A67" w14:textId="77777777" w:rsidR="00454A29" w:rsidRDefault="00454A29"/>
        </w:tc>
        <w:tc>
          <w:tcPr>
            <w:tcW w:w="1701" w:type="dxa"/>
            <w:vAlign w:val="center"/>
          </w:tcPr>
          <w:p w14:paraId="00D05708" w14:textId="77777777" w:rsidR="00454A29" w:rsidRDefault="00454A29">
            <w:pPr>
              <w:pStyle w:val="ConsPlusNormal"/>
              <w:jc w:val="center"/>
            </w:pPr>
            <w:r>
              <w:t>2020</w:t>
            </w:r>
          </w:p>
        </w:tc>
        <w:tc>
          <w:tcPr>
            <w:tcW w:w="1417" w:type="dxa"/>
            <w:vMerge/>
          </w:tcPr>
          <w:p w14:paraId="53A77791" w14:textId="77777777" w:rsidR="00454A29" w:rsidRDefault="00454A29"/>
        </w:tc>
        <w:tc>
          <w:tcPr>
            <w:tcW w:w="2204" w:type="dxa"/>
            <w:vMerge/>
          </w:tcPr>
          <w:p w14:paraId="5AA2CF37" w14:textId="77777777" w:rsidR="00454A29" w:rsidRDefault="00454A29"/>
        </w:tc>
        <w:tc>
          <w:tcPr>
            <w:tcW w:w="1417" w:type="dxa"/>
            <w:vMerge/>
          </w:tcPr>
          <w:p w14:paraId="32F4589B" w14:textId="77777777" w:rsidR="00454A29" w:rsidRDefault="00454A29"/>
        </w:tc>
        <w:tc>
          <w:tcPr>
            <w:tcW w:w="2324" w:type="dxa"/>
            <w:vMerge/>
          </w:tcPr>
          <w:p w14:paraId="62F8142A" w14:textId="77777777" w:rsidR="00454A29" w:rsidRDefault="00454A29"/>
        </w:tc>
        <w:tc>
          <w:tcPr>
            <w:tcW w:w="1701" w:type="dxa"/>
            <w:vAlign w:val="center"/>
          </w:tcPr>
          <w:p w14:paraId="622A71A3" w14:textId="77777777" w:rsidR="00454A29" w:rsidRDefault="00454A29">
            <w:pPr>
              <w:pStyle w:val="ConsPlusNormal"/>
            </w:pPr>
          </w:p>
        </w:tc>
        <w:tc>
          <w:tcPr>
            <w:tcW w:w="1814" w:type="dxa"/>
            <w:vAlign w:val="center"/>
          </w:tcPr>
          <w:p w14:paraId="11566704" w14:textId="77777777" w:rsidR="00454A29" w:rsidRDefault="00454A29">
            <w:pPr>
              <w:pStyle w:val="ConsPlusNormal"/>
            </w:pPr>
          </w:p>
        </w:tc>
        <w:tc>
          <w:tcPr>
            <w:tcW w:w="1701" w:type="dxa"/>
            <w:vAlign w:val="center"/>
          </w:tcPr>
          <w:p w14:paraId="3ABAAE0A" w14:textId="77777777" w:rsidR="00454A29" w:rsidRDefault="00454A29">
            <w:pPr>
              <w:pStyle w:val="ConsPlusNormal"/>
            </w:pPr>
          </w:p>
        </w:tc>
        <w:tc>
          <w:tcPr>
            <w:tcW w:w="1701" w:type="dxa"/>
            <w:vAlign w:val="center"/>
          </w:tcPr>
          <w:p w14:paraId="26B38835" w14:textId="77777777" w:rsidR="00454A29" w:rsidRDefault="00454A29">
            <w:pPr>
              <w:pStyle w:val="ConsPlusNormal"/>
            </w:pPr>
          </w:p>
        </w:tc>
        <w:tc>
          <w:tcPr>
            <w:tcW w:w="1814" w:type="dxa"/>
            <w:vAlign w:val="center"/>
          </w:tcPr>
          <w:p w14:paraId="507D132C" w14:textId="77777777" w:rsidR="00454A29" w:rsidRDefault="00454A29">
            <w:pPr>
              <w:pStyle w:val="ConsPlusNormal"/>
            </w:pPr>
          </w:p>
        </w:tc>
      </w:tr>
      <w:tr w:rsidR="00454A29" w14:paraId="704AE6B5" w14:textId="77777777">
        <w:tc>
          <w:tcPr>
            <w:tcW w:w="567" w:type="dxa"/>
            <w:vMerge/>
          </w:tcPr>
          <w:p w14:paraId="0C962D4C" w14:textId="77777777" w:rsidR="00454A29" w:rsidRDefault="00454A29"/>
        </w:tc>
        <w:tc>
          <w:tcPr>
            <w:tcW w:w="3345" w:type="dxa"/>
            <w:vMerge/>
          </w:tcPr>
          <w:p w14:paraId="785484B0" w14:textId="77777777" w:rsidR="00454A29" w:rsidRDefault="00454A29"/>
        </w:tc>
        <w:tc>
          <w:tcPr>
            <w:tcW w:w="1701" w:type="dxa"/>
            <w:vAlign w:val="center"/>
          </w:tcPr>
          <w:p w14:paraId="5D734A19" w14:textId="77777777" w:rsidR="00454A29" w:rsidRDefault="00454A29">
            <w:pPr>
              <w:pStyle w:val="ConsPlusNormal"/>
              <w:jc w:val="center"/>
            </w:pPr>
            <w:r>
              <w:t>2021</w:t>
            </w:r>
          </w:p>
        </w:tc>
        <w:tc>
          <w:tcPr>
            <w:tcW w:w="1417" w:type="dxa"/>
            <w:vMerge/>
          </w:tcPr>
          <w:p w14:paraId="2AEE8C28" w14:textId="77777777" w:rsidR="00454A29" w:rsidRDefault="00454A29"/>
        </w:tc>
        <w:tc>
          <w:tcPr>
            <w:tcW w:w="2204" w:type="dxa"/>
            <w:vMerge/>
          </w:tcPr>
          <w:p w14:paraId="1C83A3AA" w14:textId="77777777" w:rsidR="00454A29" w:rsidRDefault="00454A29"/>
        </w:tc>
        <w:tc>
          <w:tcPr>
            <w:tcW w:w="1417" w:type="dxa"/>
            <w:vMerge/>
          </w:tcPr>
          <w:p w14:paraId="012A6F07" w14:textId="77777777" w:rsidR="00454A29" w:rsidRDefault="00454A29"/>
        </w:tc>
        <w:tc>
          <w:tcPr>
            <w:tcW w:w="2324" w:type="dxa"/>
            <w:vMerge/>
          </w:tcPr>
          <w:p w14:paraId="53F210D8" w14:textId="77777777" w:rsidR="00454A29" w:rsidRDefault="00454A29"/>
        </w:tc>
        <w:tc>
          <w:tcPr>
            <w:tcW w:w="1701" w:type="dxa"/>
            <w:vAlign w:val="center"/>
          </w:tcPr>
          <w:p w14:paraId="087D1C3E" w14:textId="77777777" w:rsidR="00454A29" w:rsidRDefault="00454A29">
            <w:pPr>
              <w:pStyle w:val="ConsPlusNormal"/>
            </w:pPr>
          </w:p>
        </w:tc>
        <w:tc>
          <w:tcPr>
            <w:tcW w:w="1814" w:type="dxa"/>
            <w:vAlign w:val="center"/>
          </w:tcPr>
          <w:p w14:paraId="42B1396F" w14:textId="77777777" w:rsidR="00454A29" w:rsidRDefault="00454A29">
            <w:pPr>
              <w:pStyle w:val="ConsPlusNormal"/>
            </w:pPr>
          </w:p>
        </w:tc>
        <w:tc>
          <w:tcPr>
            <w:tcW w:w="1701" w:type="dxa"/>
            <w:vAlign w:val="center"/>
          </w:tcPr>
          <w:p w14:paraId="23F53908" w14:textId="77777777" w:rsidR="00454A29" w:rsidRDefault="00454A29">
            <w:pPr>
              <w:pStyle w:val="ConsPlusNormal"/>
            </w:pPr>
          </w:p>
        </w:tc>
        <w:tc>
          <w:tcPr>
            <w:tcW w:w="1701" w:type="dxa"/>
            <w:vAlign w:val="center"/>
          </w:tcPr>
          <w:p w14:paraId="1199BC5B" w14:textId="77777777" w:rsidR="00454A29" w:rsidRDefault="00454A29">
            <w:pPr>
              <w:pStyle w:val="ConsPlusNormal"/>
            </w:pPr>
          </w:p>
        </w:tc>
        <w:tc>
          <w:tcPr>
            <w:tcW w:w="1814" w:type="dxa"/>
            <w:vAlign w:val="center"/>
          </w:tcPr>
          <w:p w14:paraId="51DB975F" w14:textId="77777777" w:rsidR="00454A29" w:rsidRDefault="00454A29">
            <w:pPr>
              <w:pStyle w:val="ConsPlusNormal"/>
            </w:pPr>
          </w:p>
        </w:tc>
      </w:tr>
      <w:tr w:rsidR="00454A29" w14:paraId="2C6FD643" w14:textId="77777777">
        <w:tc>
          <w:tcPr>
            <w:tcW w:w="567" w:type="dxa"/>
            <w:vMerge/>
          </w:tcPr>
          <w:p w14:paraId="0481ADBC" w14:textId="77777777" w:rsidR="00454A29" w:rsidRDefault="00454A29"/>
        </w:tc>
        <w:tc>
          <w:tcPr>
            <w:tcW w:w="3345" w:type="dxa"/>
            <w:vMerge/>
          </w:tcPr>
          <w:p w14:paraId="7DF2C20F" w14:textId="77777777" w:rsidR="00454A29" w:rsidRDefault="00454A29"/>
        </w:tc>
        <w:tc>
          <w:tcPr>
            <w:tcW w:w="1701" w:type="dxa"/>
            <w:vAlign w:val="center"/>
          </w:tcPr>
          <w:p w14:paraId="650BC590" w14:textId="77777777" w:rsidR="00454A29" w:rsidRDefault="00454A29">
            <w:pPr>
              <w:pStyle w:val="ConsPlusNormal"/>
              <w:jc w:val="center"/>
            </w:pPr>
            <w:r>
              <w:t>2022</w:t>
            </w:r>
          </w:p>
        </w:tc>
        <w:tc>
          <w:tcPr>
            <w:tcW w:w="1417" w:type="dxa"/>
            <w:vMerge/>
          </w:tcPr>
          <w:p w14:paraId="0FA718EE" w14:textId="77777777" w:rsidR="00454A29" w:rsidRDefault="00454A29"/>
        </w:tc>
        <w:tc>
          <w:tcPr>
            <w:tcW w:w="2204" w:type="dxa"/>
            <w:vMerge/>
          </w:tcPr>
          <w:p w14:paraId="1874205B" w14:textId="77777777" w:rsidR="00454A29" w:rsidRDefault="00454A29"/>
        </w:tc>
        <w:tc>
          <w:tcPr>
            <w:tcW w:w="1417" w:type="dxa"/>
            <w:vMerge/>
          </w:tcPr>
          <w:p w14:paraId="3A09F7E2" w14:textId="77777777" w:rsidR="00454A29" w:rsidRDefault="00454A29"/>
        </w:tc>
        <w:tc>
          <w:tcPr>
            <w:tcW w:w="2324" w:type="dxa"/>
            <w:vMerge/>
          </w:tcPr>
          <w:p w14:paraId="2B77751D" w14:textId="77777777" w:rsidR="00454A29" w:rsidRDefault="00454A29"/>
        </w:tc>
        <w:tc>
          <w:tcPr>
            <w:tcW w:w="1701" w:type="dxa"/>
            <w:vAlign w:val="center"/>
          </w:tcPr>
          <w:p w14:paraId="20D4B579" w14:textId="77777777" w:rsidR="00454A29" w:rsidRDefault="00454A29">
            <w:pPr>
              <w:pStyle w:val="ConsPlusNormal"/>
            </w:pPr>
          </w:p>
        </w:tc>
        <w:tc>
          <w:tcPr>
            <w:tcW w:w="1814" w:type="dxa"/>
            <w:vAlign w:val="center"/>
          </w:tcPr>
          <w:p w14:paraId="1B42B7EE" w14:textId="77777777" w:rsidR="00454A29" w:rsidRDefault="00454A29">
            <w:pPr>
              <w:pStyle w:val="ConsPlusNormal"/>
            </w:pPr>
          </w:p>
        </w:tc>
        <w:tc>
          <w:tcPr>
            <w:tcW w:w="1701" w:type="dxa"/>
            <w:vAlign w:val="center"/>
          </w:tcPr>
          <w:p w14:paraId="6996D82F" w14:textId="77777777" w:rsidR="00454A29" w:rsidRDefault="00454A29">
            <w:pPr>
              <w:pStyle w:val="ConsPlusNormal"/>
            </w:pPr>
          </w:p>
        </w:tc>
        <w:tc>
          <w:tcPr>
            <w:tcW w:w="1701" w:type="dxa"/>
            <w:vAlign w:val="center"/>
          </w:tcPr>
          <w:p w14:paraId="5AF08227" w14:textId="77777777" w:rsidR="00454A29" w:rsidRDefault="00454A29">
            <w:pPr>
              <w:pStyle w:val="ConsPlusNormal"/>
            </w:pPr>
          </w:p>
        </w:tc>
        <w:tc>
          <w:tcPr>
            <w:tcW w:w="1814" w:type="dxa"/>
            <w:vAlign w:val="center"/>
          </w:tcPr>
          <w:p w14:paraId="57BDEE67" w14:textId="77777777" w:rsidR="00454A29" w:rsidRDefault="00454A29">
            <w:pPr>
              <w:pStyle w:val="ConsPlusNormal"/>
            </w:pPr>
          </w:p>
        </w:tc>
      </w:tr>
      <w:tr w:rsidR="00454A29" w14:paraId="5BF9964E" w14:textId="77777777">
        <w:tc>
          <w:tcPr>
            <w:tcW w:w="567" w:type="dxa"/>
            <w:vMerge/>
          </w:tcPr>
          <w:p w14:paraId="597B90F2" w14:textId="77777777" w:rsidR="00454A29" w:rsidRDefault="00454A29"/>
        </w:tc>
        <w:tc>
          <w:tcPr>
            <w:tcW w:w="3345" w:type="dxa"/>
            <w:vMerge/>
          </w:tcPr>
          <w:p w14:paraId="74746E20" w14:textId="77777777" w:rsidR="00454A29" w:rsidRDefault="00454A29"/>
        </w:tc>
        <w:tc>
          <w:tcPr>
            <w:tcW w:w="1701" w:type="dxa"/>
            <w:vAlign w:val="center"/>
          </w:tcPr>
          <w:p w14:paraId="31B1B624" w14:textId="77777777" w:rsidR="00454A29" w:rsidRDefault="00454A29">
            <w:pPr>
              <w:pStyle w:val="ConsPlusNormal"/>
              <w:jc w:val="center"/>
            </w:pPr>
            <w:r>
              <w:t>2023</w:t>
            </w:r>
          </w:p>
        </w:tc>
        <w:tc>
          <w:tcPr>
            <w:tcW w:w="1417" w:type="dxa"/>
            <w:vMerge/>
          </w:tcPr>
          <w:p w14:paraId="09A547F1" w14:textId="77777777" w:rsidR="00454A29" w:rsidRDefault="00454A29"/>
        </w:tc>
        <w:tc>
          <w:tcPr>
            <w:tcW w:w="2204" w:type="dxa"/>
            <w:vMerge/>
          </w:tcPr>
          <w:p w14:paraId="24C59942" w14:textId="77777777" w:rsidR="00454A29" w:rsidRDefault="00454A29"/>
        </w:tc>
        <w:tc>
          <w:tcPr>
            <w:tcW w:w="1417" w:type="dxa"/>
            <w:vMerge/>
          </w:tcPr>
          <w:p w14:paraId="4B952F00" w14:textId="77777777" w:rsidR="00454A29" w:rsidRDefault="00454A29"/>
        </w:tc>
        <w:tc>
          <w:tcPr>
            <w:tcW w:w="2324" w:type="dxa"/>
            <w:vMerge/>
          </w:tcPr>
          <w:p w14:paraId="3538EB6B" w14:textId="77777777" w:rsidR="00454A29" w:rsidRDefault="00454A29"/>
        </w:tc>
        <w:tc>
          <w:tcPr>
            <w:tcW w:w="1701" w:type="dxa"/>
            <w:vAlign w:val="center"/>
          </w:tcPr>
          <w:p w14:paraId="63AC283C" w14:textId="77777777" w:rsidR="00454A29" w:rsidRDefault="00454A29">
            <w:pPr>
              <w:pStyle w:val="ConsPlusNormal"/>
            </w:pPr>
          </w:p>
        </w:tc>
        <w:tc>
          <w:tcPr>
            <w:tcW w:w="1814" w:type="dxa"/>
            <w:vAlign w:val="center"/>
          </w:tcPr>
          <w:p w14:paraId="5E9060C2" w14:textId="77777777" w:rsidR="00454A29" w:rsidRDefault="00454A29">
            <w:pPr>
              <w:pStyle w:val="ConsPlusNormal"/>
            </w:pPr>
          </w:p>
        </w:tc>
        <w:tc>
          <w:tcPr>
            <w:tcW w:w="1701" w:type="dxa"/>
            <w:vAlign w:val="center"/>
          </w:tcPr>
          <w:p w14:paraId="63DCDFF2" w14:textId="77777777" w:rsidR="00454A29" w:rsidRDefault="00454A29">
            <w:pPr>
              <w:pStyle w:val="ConsPlusNormal"/>
            </w:pPr>
          </w:p>
        </w:tc>
        <w:tc>
          <w:tcPr>
            <w:tcW w:w="1701" w:type="dxa"/>
            <w:vAlign w:val="center"/>
          </w:tcPr>
          <w:p w14:paraId="2B882F37" w14:textId="77777777" w:rsidR="00454A29" w:rsidRDefault="00454A29">
            <w:pPr>
              <w:pStyle w:val="ConsPlusNormal"/>
            </w:pPr>
          </w:p>
        </w:tc>
        <w:tc>
          <w:tcPr>
            <w:tcW w:w="1814" w:type="dxa"/>
            <w:vAlign w:val="center"/>
          </w:tcPr>
          <w:p w14:paraId="228824D4" w14:textId="77777777" w:rsidR="00454A29" w:rsidRDefault="00454A29">
            <w:pPr>
              <w:pStyle w:val="ConsPlusNormal"/>
            </w:pPr>
          </w:p>
        </w:tc>
      </w:tr>
      <w:tr w:rsidR="00454A29" w14:paraId="46B48733" w14:textId="77777777">
        <w:tc>
          <w:tcPr>
            <w:tcW w:w="567" w:type="dxa"/>
            <w:vMerge/>
          </w:tcPr>
          <w:p w14:paraId="11081E82" w14:textId="77777777" w:rsidR="00454A29" w:rsidRDefault="00454A29"/>
        </w:tc>
        <w:tc>
          <w:tcPr>
            <w:tcW w:w="3345" w:type="dxa"/>
            <w:vMerge/>
          </w:tcPr>
          <w:p w14:paraId="7F87117A" w14:textId="77777777" w:rsidR="00454A29" w:rsidRDefault="00454A29"/>
        </w:tc>
        <w:tc>
          <w:tcPr>
            <w:tcW w:w="1701" w:type="dxa"/>
            <w:vAlign w:val="center"/>
          </w:tcPr>
          <w:p w14:paraId="7BB6749F" w14:textId="77777777" w:rsidR="00454A29" w:rsidRDefault="00454A29">
            <w:pPr>
              <w:pStyle w:val="ConsPlusNormal"/>
              <w:jc w:val="center"/>
            </w:pPr>
            <w:r>
              <w:t>2024</w:t>
            </w:r>
          </w:p>
        </w:tc>
        <w:tc>
          <w:tcPr>
            <w:tcW w:w="1417" w:type="dxa"/>
            <w:vMerge/>
          </w:tcPr>
          <w:p w14:paraId="21A4E8FB" w14:textId="77777777" w:rsidR="00454A29" w:rsidRDefault="00454A29"/>
        </w:tc>
        <w:tc>
          <w:tcPr>
            <w:tcW w:w="2204" w:type="dxa"/>
            <w:vMerge/>
          </w:tcPr>
          <w:p w14:paraId="4E8AAA58" w14:textId="77777777" w:rsidR="00454A29" w:rsidRDefault="00454A29"/>
        </w:tc>
        <w:tc>
          <w:tcPr>
            <w:tcW w:w="1417" w:type="dxa"/>
            <w:vMerge/>
          </w:tcPr>
          <w:p w14:paraId="38B5BE8C" w14:textId="77777777" w:rsidR="00454A29" w:rsidRDefault="00454A29"/>
        </w:tc>
        <w:tc>
          <w:tcPr>
            <w:tcW w:w="2324" w:type="dxa"/>
            <w:vMerge/>
          </w:tcPr>
          <w:p w14:paraId="2F5BCCC3" w14:textId="77777777" w:rsidR="00454A29" w:rsidRDefault="00454A29"/>
        </w:tc>
        <w:tc>
          <w:tcPr>
            <w:tcW w:w="1701" w:type="dxa"/>
            <w:vAlign w:val="center"/>
          </w:tcPr>
          <w:p w14:paraId="6FCB2EC0" w14:textId="77777777" w:rsidR="00454A29" w:rsidRDefault="00454A29">
            <w:pPr>
              <w:pStyle w:val="ConsPlusNormal"/>
            </w:pPr>
          </w:p>
        </w:tc>
        <w:tc>
          <w:tcPr>
            <w:tcW w:w="1814" w:type="dxa"/>
            <w:vAlign w:val="center"/>
          </w:tcPr>
          <w:p w14:paraId="60CD7AC0" w14:textId="77777777" w:rsidR="00454A29" w:rsidRDefault="00454A29">
            <w:pPr>
              <w:pStyle w:val="ConsPlusNormal"/>
            </w:pPr>
          </w:p>
        </w:tc>
        <w:tc>
          <w:tcPr>
            <w:tcW w:w="1701" w:type="dxa"/>
            <w:vAlign w:val="center"/>
          </w:tcPr>
          <w:p w14:paraId="45EB1375" w14:textId="77777777" w:rsidR="00454A29" w:rsidRDefault="00454A29">
            <w:pPr>
              <w:pStyle w:val="ConsPlusNormal"/>
            </w:pPr>
          </w:p>
        </w:tc>
        <w:tc>
          <w:tcPr>
            <w:tcW w:w="1701" w:type="dxa"/>
            <w:vAlign w:val="center"/>
          </w:tcPr>
          <w:p w14:paraId="66564512" w14:textId="77777777" w:rsidR="00454A29" w:rsidRDefault="00454A29">
            <w:pPr>
              <w:pStyle w:val="ConsPlusNormal"/>
            </w:pPr>
          </w:p>
        </w:tc>
        <w:tc>
          <w:tcPr>
            <w:tcW w:w="1814" w:type="dxa"/>
            <w:vAlign w:val="center"/>
          </w:tcPr>
          <w:p w14:paraId="16A4AE04" w14:textId="77777777" w:rsidR="00454A29" w:rsidRDefault="00454A29">
            <w:pPr>
              <w:pStyle w:val="ConsPlusNormal"/>
            </w:pPr>
          </w:p>
        </w:tc>
      </w:tr>
      <w:tr w:rsidR="00454A29" w14:paraId="0E6A1D87" w14:textId="77777777">
        <w:tc>
          <w:tcPr>
            <w:tcW w:w="567" w:type="dxa"/>
            <w:vMerge/>
          </w:tcPr>
          <w:p w14:paraId="16B38EC4" w14:textId="77777777" w:rsidR="00454A29" w:rsidRDefault="00454A29"/>
        </w:tc>
        <w:tc>
          <w:tcPr>
            <w:tcW w:w="3345" w:type="dxa"/>
            <w:vMerge/>
          </w:tcPr>
          <w:p w14:paraId="0178A383" w14:textId="77777777" w:rsidR="00454A29" w:rsidRDefault="00454A29"/>
        </w:tc>
        <w:tc>
          <w:tcPr>
            <w:tcW w:w="1701" w:type="dxa"/>
            <w:vAlign w:val="center"/>
          </w:tcPr>
          <w:p w14:paraId="0C2595CF" w14:textId="77777777" w:rsidR="00454A29" w:rsidRDefault="00454A29">
            <w:pPr>
              <w:pStyle w:val="ConsPlusNormal"/>
              <w:jc w:val="center"/>
            </w:pPr>
            <w:r>
              <w:t>2025</w:t>
            </w:r>
          </w:p>
        </w:tc>
        <w:tc>
          <w:tcPr>
            <w:tcW w:w="1417" w:type="dxa"/>
            <w:vMerge/>
          </w:tcPr>
          <w:p w14:paraId="18F0E90A" w14:textId="77777777" w:rsidR="00454A29" w:rsidRDefault="00454A29"/>
        </w:tc>
        <w:tc>
          <w:tcPr>
            <w:tcW w:w="2204" w:type="dxa"/>
            <w:vMerge/>
          </w:tcPr>
          <w:p w14:paraId="6D28E482" w14:textId="77777777" w:rsidR="00454A29" w:rsidRDefault="00454A29"/>
        </w:tc>
        <w:tc>
          <w:tcPr>
            <w:tcW w:w="1417" w:type="dxa"/>
            <w:vMerge/>
          </w:tcPr>
          <w:p w14:paraId="54D33670" w14:textId="77777777" w:rsidR="00454A29" w:rsidRDefault="00454A29"/>
        </w:tc>
        <w:tc>
          <w:tcPr>
            <w:tcW w:w="2324" w:type="dxa"/>
            <w:vMerge/>
          </w:tcPr>
          <w:p w14:paraId="45DC5BCD" w14:textId="77777777" w:rsidR="00454A29" w:rsidRDefault="00454A29"/>
        </w:tc>
        <w:tc>
          <w:tcPr>
            <w:tcW w:w="1701" w:type="dxa"/>
            <w:vAlign w:val="center"/>
          </w:tcPr>
          <w:p w14:paraId="31BA9DA4" w14:textId="77777777" w:rsidR="00454A29" w:rsidRDefault="00454A29">
            <w:pPr>
              <w:pStyle w:val="ConsPlusNormal"/>
            </w:pPr>
          </w:p>
        </w:tc>
        <w:tc>
          <w:tcPr>
            <w:tcW w:w="1814" w:type="dxa"/>
            <w:vAlign w:val="center"/>
          </w:tcPr>
          <w:p w14:paraId="5F3E7212" w14:textId="77777777" w:rsidR="00454A29" w:rsidRDefault="00454A29">
            <w:pPr>
              <w:pStyle w:val="ConsPlusNormal"/>
            </w:pPr>
          </w:p>
        </w:tc>
        <w:tc>
          <w:tcPr>
            <w:tcW w:w="1701" w:type="dxa"/>
            <w:vAlign w:val="center"/>
          </w:tcPr>
          <w:p w14:paraId="79AB000A" w14:textId="77777777" w:rsidR="00454A29" w:rsidRDefault="00454A29">
            <w:pPr>
              <w:pStyle w:val="ConsPlusNormal"/>
            </w:pPr>
          </w:p>
        </w:tc>
        <w:tc>
          <w:tcPr>
            <w:tcW w:w="1701" w:type="dxa"/>
            <w:vAlign w:val="center"/>
          </w:tcPr>
          <w:p w14:paraId="302D883A" w14:textId="77777777" w:rsidR="00454A29" w:rsidRDefault="00454A29">
            <w:pPr>
              <w:pStyle w:val="ConsPlusNormal"/>
            </w:pPr>
          </w:p>
        </w:tc>
        <w:tc>
          <w:tcPr>
            <w:tcW w:w="1814" w:type="dxa"/>
            <w:vAlign w:val="center"/>
          </w:tcPr>
          <w:p w14:paraId="5DCFF801" w14:textId="77777777" w:rsidR="00454A29" w:rsidRDefault="00454A29">
            <w:pPr>
              <w:pStyle w:val="ConsPlusNormal"/>
            </w:pPr>
          </w:p>
        </w:tc>
      </w:tr>
      <w:tr w:rsidR="00454A29" w14:paraId="53A8969F" w14:textId="77777777">
        <w:tc>
          <w:tcPr>
            <w:tcW w:w="567" w:type="dxa"/>
            <w:vMerge/>
          </w:tcPr>
          <w:p w14:paraId="17FB6B62" w14:textId="77777777" w:rsidR="00454A29" w:rsidRDefault="00454A29"/>
        </w:tc>
        <w:tc>
          <w:tcPr>
            <w:tcW w:w="3345" w:type="dxa"/>
            <w:vMerge/>
          </w:tcPr>
          <w:p w14:paraId="23534FF1" w14:textId="77777777" w:rsidR="00454A29" w:rsidRDefault="00454A29"/>
        </w:tc>
        <w:tc>
          <w:tcPr>
            <w:tcW w:w="1701" w:type="dxa"/>
            <w:vAlign w:val="center"/>
          </w:tcPr>
          <w:p w14:paraId="4E2E9303" w14:textId="77777777" w:rsidR="00454A29" w:rsidRDefault="00454A29">
            <w:pPr>
              <w:pStyle w:val="ConsPlusNormal"/>
              <w:jc w:val="center"/>
            </w:pPr>
            <w:r>
              <w:t>2026</w:t>
            </w:r>
          </w:p>
        </w:tc>
        <w:tc>
          <w:tcPr>
            <w:tcW w:w="1417" w:type="dxa"/>
            <w:vMerge/>
          </w:tcPr>
          <w:p w14:paraId="6BCAB859" w14:textId="77777777" w:rsidR="00454A29" w:rsidRDefault="00454A29"/>
        </w:tc>
        <w:tc>
          <w:tcPr>
            <w:tcW w:w="2204" w:type="dxa"/>
            <w:vMerge/>
          </w:tcPr>
          <w:p w14:paraId="5B0F1B80" w14:textId="77777777" w:rsidR="00454A29" w:rsidRDefault="00454A29"/>
        </w:tc>
        <w:tc>
          <w:tcPr>
            <w:tcW w:w="1417" w:type="dxa"/>
            <w:vMerge/>
          </w:tcPr>
          <w:p w14:paraId="6D9EF05D" w14:textId="77777777" w:rsidR="00454A29" w:rsidRDefault="00454A29"/>
        </w:tc>
        <w:tc>
          <w:tcPr>
            <w:tcW w:w="2324" w:type="dxa"/>
            <w:vMerge/>
          </w:tcPr>
          <w:p w14:paraId="05780B16" w14:textId="77777777" w:rsidR="00454A29" w:rsidRDefault="00454A29"/>
        </w:tc>
        <w:tc>
          <w:tcPr>
            <w:tcW w:w="1701" w:type="dxa"/>
            <w:vAlign w:val="center"/>
          </w:tcPr>
          <w:p w14:paraId="694E02A9" w14:textId="77777777" w:rsidR="00454A29" w:rsidRDefault="00454A29">
            <w:pPr>
              <w:pStyle w:val="ConsPlusNormal"/>
              <w:jc w:val="center"/>
            </w:pPr>
            <w:r>
              <w:t>367 824,52</w:t>
            </w:r>
          </w:p>
        </w:tc>
        <w:tc>
          <w:tcPr>
            <w:tcW w:w="1814" w:type="dxa"/>
            <w:vAlign w:val="center"/>
          </w:tcPr>
          <w:p w14:paraId="70C90C05" w14:textId="77777777" w:rsidR="00454A29" w:rsidRDefault="00454A29">
            <w:pPr>
              <w:pStyle w:val="ConsPlusNormal"/>
              <w:jc w:val="center"/>
            </w:pPr>
            <w:r>
              <w:t>4 531,60</w:t>
            </w:r>
          </w:p>
        </w:tc>
        <w:tc>
          <w:tcPr>
            <w:tcW w:w="1701" w:type="dxa"/>
            <w:vAlign w:val="center"/>
          </w:tcPr>
          <w:p w14:paraId="6BDF1AF8" w14:textId="77777777" w:rsidR="00454A29" w:rsidRDefault="00454A29">
            <w:pPr>
              <w:pStyle w:val="ConsPlusNormal"/>
              <w:jc w:val="center"/>
            </w:pPr>
            <w:r>
              <w:t>448 628,22</w:t>
            </w:r>
          </w:p>
        </w:tc>
        <w:tc>
          <w:tcPr>
            <w:tcW w:w="1701" w:type="dxa"/>
            <w:vAlign w:val="center"/>
          </w:tcPr>
          <w:p w14:paraId="691A7F5F" w14:textId="77777777" w:rsidR="00454A29" w:rsidRDefault="00454A29">
            <w:pPr>
              <w:pStyle w:val="ConsPlusNormal"/>
            </w:pPr>
          </w:p>
        </w:tc>
        <w:tc>
          <w:tcPr>
            <w:tcW w:w="1814" w:type="dxa"/>
            <w:vAlign w:val="center"/>
          </w:tcPr>
          <w:p w14:paraId="38955347" w14:textId="77777777" w:rsidR="00454A29" w:rsidRDefault="00454A29">
            <w:pPr>
              <w:pStyle w:val="ConsPlusNormal"/>
            </w:pPr>
          </w:p>
        </w:tc>
      </w:tr>
      <w:tr w:rsidR="00454A29" w14:paraId="550A822B" w14:textId="77777777">
        <w:tc>
          <w:tcPr>
            <w:tcW w:w="567" w:type="dxa"/>
            <w:vMerge w:val="restart"/>
            <w:vAlign w:val="center"/>
          </w:tcPr>
          <w:p w14:paraId="05A724B6" w14:textId="77777777" w:rsidR="00454A29" w:rsidRDefault="00454A29">
            <w:pPr>
              <w:pStyle w:val="ConsPlusNormal"/>
              <w:jc w:val="center"/>
            </w:pPr>
            <w:r>
              <w:t>147</w:t>
            </w:r>
          </w:p>
        </w:tc>
        <w:tc>
          <w:tcPr>
            <w:tcW w:w="3345" w:type="dxa"/>
            <w:vMerge w:val="restart"/>
            <w:vAlign w:val="center"/>
          </w:tcPr>
          <w:p w14:paraId="78381083" w14:textId="77777777" w:rsidR="00454A29" w:rsidRDefault="00454A29">
            <w:pPr>
              <w:pStyle w:val="ConsPlusNormal"/>
              <w:jc w:val="center"/>
            </w:pPr>
            <w:r>
              <w:t>СКШОИ на 45 учащихся в с. Арылах</w:t>
            </w:r>
          </w:p>
        </w:tc>
        <w:tc>
          <w:tcPr>
            <w:tcW w:w="1701" w:type="dxa"/>
            <w:vAlign w:val="center"/>
          </w:tcPr>
          <w:p w14:paraId="19DE6CD9" w14:textId="77777777" w:rsidR="00454A29" w:rsidRDefault="00454A29">
            <w:pPr>
              <w:pStyle w:val="ConsPlusNormal"/>
              <w:jc w:val="center"/>
            </w:pPr>
            <w:r>
              <w:t>2020 - 2026 годы - всего</w:t>
            </w:r>
          </w:p>
        </w:tc>
        <w:tc>
          <w:tcPr>
            <w:tcW w:w="1417" w:type="dxa"/>
            <w:vMerge w:val="restart"/>
            <w:vAlign w:val="center"/>
          </w:tcPr>
          <w:p w14:paraId="05029308" w14:textId="77777777" w:rsidR="00454A29" w:rsidRDefault="00454A29">
            <w:pPr>
              <w:pStyle w:val="ConsPlusNormal"/>
              <w:jc w:val="center"/>
            </w:pPr>
            <w:r>
              <w:t>165 521,04</w:t>
            </w:r>
          </w:p>
        </w:tc>
        <w:tc>
          <w:tcPr>
            <w:tcW w:w="2204" w:type="dxa"/>
            <w:vMerge w:val="restart"/>
            <w:vAlign w:val="center"/>
          </w:tcPr>
          <w:p w14:paraId="4ECF5759" w14:textId="77777777" w:rsidR="00454A29" w:rsidRDefault="00454A29">
            <w:pPr>
              <w:pStyle w:val="ConsPlusNormal"/>
            </w:pPr>
          </w:p>
        </w:tc>
        <w:tc>
          <w:tcPr>
            <w:tcW w:w="1417" w:type="dxa"/>
            <w:vMerge w:val="restart"/>
            <w:vAlign w:val="center"/>
          </w:tcPr>
          <w:p w14:paraId="0356C914" w14:textId="77777777" w:rsidR="00454A29" w:rsidRDefault="00454A29">
            <w:pPr>
              <w:pStyle w:val="ConsPlusNormal"/>
              <w:jc w:val="center"/>
            </w:pPr>
            <w:r>
              <w:t>45</w:t>
            </w:r>
          </w:p>
        </w:tc>
        <w:tc>
          <w:tcPr>
            <w:tcW w:w="2324" w:type="dxa"/>
            <w:vMerge w:val="restart"/>
            <w:vAlign w:val="center"/>
          </w:tcPr>
          <w:p w14:paraId="336CAC4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B19F97B" w14:textId="77777777" w:rsidR="00454A29" w:rsidRDefault="00454A29">
            <w:pPr>
              <w:pStyle w:val="ConsPlusNormal"/>
              <w:jc w:val="center"/>
            </w:pPr>
            <w:r>
              <w:t>165 521,04</w:t>
            </w:r>
          </w:p>
        </w:tc>
        <w:tc>
          <w:tcPr>
            <w:tcW w:w="1814" w:type="dxa"/>
            <w:vAlign w:val="center"/>
          </w:tcPr>
          <w:p w14:paraId="5E84CDC8" w14:textId="77777777" w:rsidR="00454A29" w:rsidRDefault="00454A29">
            <w:pPr>
              <w:pStyle w:val="ConsPlusNormal"/>
              <w:jc w:val="center"/>
            </w:pPr>
            <w:r>
              <w:t>2 039,22</w:t>
            </w:r>
          </w:p>
        </w:tc>
        <w:tc>
          <w:tcPr>
            <w:tcW w:w="1701" w:type="dxa"/>
            <w:vAlign w:val="center"/>
          </w:tcPr>
          <w:p w14:paraId="27D7534A" w14:textId="77777777" w:rsidR="00454A29" w:rsidRDefault="00454A29">
            <w:pPr>
              <w:pStyle w:val="ConsPlusNormal"/>
              <w:jc w:val="center"/>
            </w:pPr>
            <w:r>
              <w:t>201 882,70</w:t>
            </w:r>
          </w:p>
        </w:tc>
        <w:tc>
          <w:tcPr>
            <w:tcW w:w="1701" w:type="dxa"/>
            <w:vAlign w:val="center"/>
          </w:tcPr>
          <w:p w14:paraId="0AA30B5D" w14:textId="77777777" w:rsidR="00454A29" w:rsidRDefault="00454A29">
            <w:pPr>
              <w:pStyle w:val="ConsPlusNormal"/>
              <w:jc w:val="center"/>
            </w:pPr>
            <w:r>
              <w:t>-</w:t>
            </w:r>
          </w:p>
        </w:tc>
        <w:tc>
          <w:tcPr>
            <w:tcW w:w="1814" w:type="dxa"/>
            <w:vAlign w:val="center"/>
          </w:tcPr>
          <w:p w14:paraId="2BF79B38" w14:textId="77777777" w:rsidR="00454A29" w:rsidRDefault="00454A29">
            <w:pPr>
              <w:pStyle w:val="ConsPlusNormal"/>
              <w:jc w:val="center"/>
            </w:pPr>
            <w:r>
              <w:t>-</w:t>
            </w:r>
          </w:p>
        </w:tc>
      </w:tr>
      <w:tr w:rsidR="00454A29" w14:paraId="7D4FD134" w14:textId="77777777">
        <w:tc>
          <w:tcPr>
            <w:tcW w:w="567" w:type="dxa"/>
            <w:vMerge/>
          </w:tcPr>
          <w:p w14:paraId="0F3088C3" w14:textId="77777777" w:rsidR="00454A29" w:rsidRDefault="00454A29"/>
        </w:tc>
        <w:tc>
          <w:tcPr>
            <w:tcW w:w="3345" w:type="dxa"/>
            <w:vMerge/>
          </w:tcPr>
          <w:p w14:paraId="53FB4BD9" w14:textId="77777777" w:rsidR="00454A29" w:rsidRDefault="00454A29"/>
        </w:tc>
        <w:tc>
          <w:tcPr>
            <w:tcW w:w="1701" w:type="dxa"/>
            <w:vAlign w:val="center"/>
          </w:tcPr>
          <w:p w14:paraId="6A99A7B6" w14:textId="77777777" w:rsidR="00454A29" w:rsidRDefault="00454A29">
            <w:pPr>
              <w:pStyle w:val="ConsPlusNormal"/>
              <w:jc w:val="center"/>
            </w:pPr>
            <w:r>
              <w:t>2020</w:t>
            </w:r>
          </w:p>
        </w:tc>
        <w:tc>
          <w:tcPr>
            <w:tcW w:w="1417" w:type="dxa"/>
            <w:vMerge/>
          </w:tcPr>
          <w:p w14:paraId="23C3CFD4" w14:textId="77777777" w:rsidR="00454A29" w:rsidRDefault="00454A29"/>
        </w:tc>
        <w:tc>
          <w:tcPr>
            <w:tcW w:w="2204" w:type="dxa"/>
            <w:vMerge/>
          </w:tcPr>
          <w:p w14:paraId="2A08C245" w14:textId="77777777" w:rsidR="00454A29" w:rsidRDefault="00454A29"/>
        </w:tc>
        <w:tc>
          <w:tcPr>
            <w:tcW w:w="1417" w:type="dxa"/>
            <w:vMerge/>
          </w:tcPr>
          <w:p w14:paraId="2D11AB22" w14:textId="77777777" w:rsidR="00454A29" w:rsidRDefault="00454A29"/>
        </w:tc>
        <w:tc>
          <w:tcPr>
            <w:tcW w:w="2324" w:type="dxa"/>
            <w:vMerge/>
          </w:tcPr>
          <w:p w14:paraId="19DEF791" w14:textId="77777777" w:rsidR="00454A29" w:rsidRDefault="00454A29"/>
        </w:tc>
        <w:tc>
          <w:tcPr>
            <w:tcW w:w="1701" w:type="dxa"/>
            <w:vAlign w:val="center"/>
          </w:tcPr>
          <w:p w14:paraId="19CC42B4" w14:textId="77777777" w:rsidR="00454A29" w:rsidRDefault="00454A29">
            <w:pPr>
              <w:pStyle w:val="ConsPlusNormal"/>
            </w:pPr>
          </w:p>
        </w:tc>
        <w:tc>
          <w:tcPr>
            <w:tcW w:w="1814" w:type="dxa"/>
            <w:vAlign w:val="center"/>
          </w:tcPr>
          <w:p w14:paraId="4C27C2BD" w14:textId="77777777" w:rsidR="00454A29" w:rsidRDefault="00454A29">
            <w:pPr>
              <w:pStyle w:val="ConsPlusNormal"/>
            </w:pPr>
          </w:p>
        </w:tc>
        <w:tc>
          <w:tcPr>
            <w:tcW w:w="1701" w:type="dxa"/>
            <w:vAlign w:val="center"/>
          </w:tcPr>
          <w:p w14:paraId="2C66B436" w14:textId="77777777" w:rsidR="00454A29" w:rsidRDefault="00454A29">
            <w:pPr>
              <w:pStyle w:val="ConsPlusNormal"/>
            </w:pPr>
          </w:p>
        </w:tc>
        <w:tc>
          <w:tcPr>
            <w:tcW w:w="1701" w:type="dxa"/>
            <w:vAlign w:val="center"/>
          </w:tcPr>
          <w:p w14:paraId="7B1C5680" w14:textId="77777777" w:rsidR="00454A29" w:rsidRDefault="00454A29">
            <w:pPr>
              <w:pStyle w:val="ConsPlusNormal"/>
            </w:pPr>
          </w:p>
        </w:tc>
        <w:tc>
          <w:tcPr>
            <w:tcW w:w="1814" w:type="dxa"/>
            <w:vAlign w:val="center"/>
          </w:tcPr>
          <w:p w14:paraId="092F795E" w14:textId="77777777" w:rsidR="00454A29" w:rsidRDefault="00454A29">
            <w:pPr>
              <w:pStyle w:val="ConsPlusNormal"/>
            </w:pPr>
          </w:p>
        </w:tc>
      </w:tr>
      <w:tr w:rsidR="00454A29" w14:paraId="5DC2736F" w14:textId="77777777">
        <w:tc>
          <w:tcPr>
            <w:tcW w:w="567" w:type="dxa"/>
            <w:vMerge/>
          </w:tcPr>
          <w:p w14:paraId="7A19B1B9" w14:textId="77777777" w:rsidR="00454A29" w:rsidRDefault="00454A29"/>
        </w:tc>
        <w:tc>
          <w:tcPr>
            <w:tcW w:w="3345" w:type="dxa"/>
            <w:vMerge/>
          </w:tcPr>
          <w:p w14:paraId="46C3ED88" w14:textId="77777777" w:rsidR="00454A29" w:rsidRDefault="00454A29"/>
        </w:tc>
        <w:tc>
          <w:tcPr>
            <w:tcW w:w="1701" w:type="dxa"/>
            <w:vAlign w:val="center"/>
          </w:tcPr>
          <w:p w14:paraId="657C66D3" w14:textId="77777777" w:rsidR="00454A29" w:rsidRDefault="00454A29">
            <w:pPr>
              <w:pStyle w:val="ConsPlusNormal"/>
              <w:jc w:val="center"/>
            </w:pPr>
            <w:r>
              <w:t>2021</w:t>
            </w:r>
          </w:p>
        </w:tc>
        <w:tc>
          <w:tcPr>
            <w:tcW w:w="1417" w:type="dxa"/>
            <w:vMerge/>
          </w:tcPr>
          <w:p w14:paraId="7081A67C" w14:textId="77777777" w:rsidR="00454A29" w:rsidRDefault="00454A29"/>
        </w:tc>
        <w:tc>
          <w:tcPr>
            <w:tcW w:w="2204" w:type="dxa"/>
            <w:vMerge/>
          </w:tcPr>
          <w:p w14:paraId="38DCCA39" w14:textId="77777777" w:rsidR="00454A29" w:rsidRDefault="00454A29"/>
        </w:tc>
        <w:tc>
          <w:tcPr>
            <w:tcW w:w="1417" w:type="dxa"/>
            <w:vMerge/>
          </w:tcPr>
          <w:p w14:paraId="0946CB32" w14:textId="77777777" w:rsidR="00454A29" w:rsidRDefault="00454A29"/>
        </w:tc>
        <w:tc>
          <w:tcPr>
            <w:tcW w:w="2324" w:type="dxa"/>
            <w:vMerge/>
          </w:tcPr>
          <w:p w14:paraId="7BEDF282" w14:textId="77777777" w:rsidR="00454A29" w:rsidRDefault="00454A29"/>
        </w:tc>
        <w:tc>
          <w:tcPr>
            <w:tcW w:w="1701" w:type="dxa"/>
            <w:vAlign w:val="center"/>
          </w:tcPr>
          <w:p w14:paraId="727D7204" w14:textId="77777777" w:rsidR="00454A29" w:rsidRDefault="00454A29">
            <w:pPr>
              <w:pStyle w:val="ConsPlusNormal"/>
            </w:pPr>
          </w:p>
        </w:tc>
        <w:tc>
          <w:tcPr>
            <w:tcW w:w="1814" w:type="dxa"/>
            <w:vAlign w:val="center"/>
          </w:tcPr>
          <w:p w14:paraId="518BE8FB" w14:textId="77777777" w:rsidR="00454A29" w:rsidRDefault="00454A29">
            <w:pPr>
              <w:pStyle w:val="ConsPlusNormal"/>
            </w:pPr>
          </w:p>
        </w:tc>
        <w:tc>
          <w:tcPr>
            <w:tcW w:w="1701" w:type="dxa"/>
            <w:vAlign w:val="center"/>
          </w:tcPr>
          <w:p w14:paraId="7F75C3D1" w14:textId="77777777" w:rsidR="00454A29" w:rsidRDefault="00454A29">
            <w:pPr>
              <w:pStyle w:val="ConsPlusNormal"/>
            </w:pPr>
          </w:p>
        </w:tc>
        <w:tc>
          <w:tcPr>
            <w:tcW w:w="1701" w:type="dxa"/>
            <w:vAlign w:val="center"/>
          </w:tcPr>
          <w:p w14:paraId="63E61293" w14:textId="77777777" w:rsidR="00454A29" w:rsidRDefault="00454A29">
            <w:pPr>
              <w:pStyle w:val="ConsPlusNormal"/>
            </w:pPr>
          </w:p>
        </w:tc>
        <w:tc>
          <w:tcPr>
            <w:tcW w:w="1814" w:type="dxa"/>
            <w:vAlign w:val="center"/>
          </w:tcPr>
          <w:p w14:paraId="0C636FBE" w14:textId="77777777" w:rsidR="00454A29" w:rsidRDefault="00454A29">
            <w:pPr>
              <w:pStyle w:val="ConsPlusNormal"/>
            </w:pPr>
          </w:p>
        </w:tc>
      </w:tr>
      <w:tr w:rsidR="00454A29" w14:paraId="0AB0202A" w14:textId="77777777">
        <w:tc>
          <w:tcPr>
            <w:tcW w:w="567" w:type="dxa"/>
            <w:vMerge/>
          </w:tcPr>
          <w:p w14:paraId="07D357FF" w14:textId="77777777" w:rsidR="00454A29" w:rsidRDefault="00454A29"/>
        </w:tc>
        <w:tc>
          <w:tcPr>
            <w:tcW w:w="3345" w:type="dxa"/>
            <w:vMerge/>
          </w:tcPr>
          <w:p w14:paraId="51E38FFA" w14:textId="77777777" w:rsidR="00454A29" w:rsidRDefault="00454A29"/>
        </w:tc>
        <w:tc>
          <w:tcPr>
            <w:tcW w:w="1701" w:type="dxa"/>
            <w:vAlign w:val="center"/>
          </w:tcPr>
          <w:p w14:paraId="22174875" w14:textId="77777777" w:rsidR="00454A29" w:rsidRDefault="00454A29">
            <w:pPr>
              <w:pStyle w:val="ConsPlusNormal"/>
              <w:jc w:val="center"/>
            </w:pPr>
            <w:r>
              <w:t>2022</w:t>
            </w:r>
          </w:p>
        </w:tc>
        <w:tc>
          <w:tcPr>
            <w:tcW w:w="1417" w:type="dxa"/>
            <w:vMerge/>
          </w:tcPr>
          <w:p w14:paraId="724373C9" w14:textId="77777777" w:rsidR="00454A29" w:rsidRDefault="00454A29"/>
        </w:tc>
        <w:tc>
          <w:tcPr>
            <w:tcW w:w="2204" w:type="dxa"/>
            <w:vMerge/>
          </w:tcPr>
          <w:p w14:paraId="20BDEA92" w14:textId="77777777" w:rsidR="00454A29" w:rsidRDefault="00454A29"/>
        </w:tc>
        <w:tc>
          <w:tcPr>
            <w:tcW w:w="1417" w:type="dxa"/>
            <w:vMerge/>
          </w:tcPr>
          <w:p w14:paraId="30DCA2F4" w14:textId="77777777" w:rsidR="00454A29" w:rsidRDefault="00454A29"/>
        </w:tc>
        <w:tc>
          <w:tcPr>
            <w:tcW w:w="2324" w:type="dxa"/>
            <w:vMerge/>
          </w:tcPr>
          <w:p w14:paraId="1B644229" w14:textId="77777777" w:rsidR="00454A29" w:rsidRDefault="00454A29"/>
        </w:tc>
        <w:tc>
          <w:tcPr>
            <w:tcW w:w="1701" w:type="dxa"/>
            <w:vAlign w:val="center"/>
          </w:tcPr>
          <w:p w14:paraId="704AD85D" w14:textId="77777777" w:rsidR="00454A29" w:rsidRDefault="00454A29">
            <w:pPr>
              <w:pStyle w:val="ConsPlusNormal"/>
            </w:pPr>
          </w:p>
        </w:tc>
        <w:tc>
          <w:tcPr>
            <w:tcW w:w="1814" w:type="dxa"/>
            <w:vAlign w:val="center"/>
          </w:tcPr>
          <w:p w14:paraId="025B4DD7" w14:textId="77777777" w:rsidR="00454A29" w:rsidRDefault="00454A29">
            <w:pPr>
              <w:pStyle w:val="ConsPlusNormal"/>
            </w:pPr>
          </w:p>
        </w:tc>
        <w:tc>
          <w:tcPr>
            <w:tcW w:w="1701" w:type="dxa"/>
            <w:vAlign w:val="center"/>
          </w:tcPr>
          <w:p w14:paraId="03C5F3DF" w14:textId="77777777" w:rsidR="00454A29" w:rsidRDefault="00454A29">
            <w:pPr>
              <w:pStyle w:val="ConsPlusNormal"/>
            </w:pPr>
          </w:p>
        </w:tc>
        <w:tc>
          <w:tcPr>
            <w:tcW w:w="1701" w:type="dxa"/>
            <w:vAlign w:val="center"/>
          </w:tcPr>
          <w:p w14:paraId="5C295F6B" w14:textId="77777777" w:rsidR="00454A29" w:rsidRDefault="00454A29">
            <w:pPr>
              <w:pStyle w:val="ConsPlusNormal"/>
            </w:pPr>
          </w:p>
        </w:tc>
        <w:tc>
          <w:tcPr>
            <w:tcW w:w="1814" w:type="dxa"/>
            <w:vAlign w:val="center"/>
          </w:tcPr>
          <w:p w14:paraId="3A3E7F8D" w14:textId="77777777" w:rsidR="00454A29" w:rsidRDefault="00454A29">
            <w:pPr>
              <w:pStyle w:val="ConsPlusNormal"/>
            </w:pPr>
          </w:p>
        </w:tc>
      </w:tr>
      <w:tr w:rsidR="00454A29" w14:paraId="6A46283A" w14:textId="77777777">
        <w:tc>
          <w:tcPr>
            <w:tcW w:w="567" w:type="dxa"/>
            <w:vMerge/>
          </w:tcPr>
          <w:p w14:paraId="21CE99DE" w14:textId="77777777" w:rsidR="00454A29" w:rsidRDefault="00454A29"/>
        </w:tc>
        <w:tc>
          <w:tcPr>
            <w:tcW w:w="3345" w:type="dxa"/>
            <w:vMerge/>
          </w:tcPr>
          <w:p w14:paraId="0DF18C61" w14:textId="77777777" w:rsidR="00454A29" w:rsidRDefault="00454A29"/>
        </w:tc>
        <w:tc>
          <w:tcPr>
            <w:tcW w:w="1701" w:type="dxa"/>
            <w:vAlign w:val="center"/>
          </w:tcPr>
          <w:p w14:paraId="06A31798" w14:textId="77777777" w:rsidR="00454A29" w:rsidRDefault="00454A29">
            <w:pPr>
              <w:pStyle w:val="ConsPlusNormal"/>
              <w:jc w:val="center"/>
            </w:pPr>
            <w:r>
              <w:t>2023</w:t>
            </w:r>
          </w:p>
        </w:tc>
        <w:tc>
          <w:tcPr>
            <w:tcW w:w="1417" w:type="dxa"/>
            <w:vMerge/>
          </w:tcPr>
          <w:p w14:paraId="39CCD818" w14:textId="77777777" w:rsidR="00454A29" w:rsidRDefault="00454A29"/>
        </w:tc>
        <w:tc>
          <w:tcPr>
            <w:tcW w:w="2204" w:type="dxa"/>
            <w:vMerge/>
          </w:tcPr>
          <w:p w14:paraId="028ADB34" w14:textId="77777777" w:rsidR="00454A29" w:rsidRDefault="00454A29"/>
        </w:tc>
        <w:tc>
          <w:tcPr>
            <w:tcW w:w="1417" w:type="dxa"/>
            <w:vMerge/>
          </w:tcPr>
          <w:p w14:paraId="2407FC23" w14:textId="77777777" w:rsidR="00454A29" w:rsidRDefault="00454A29"/>
        </w:tc>
        <w:tc>
          <w:tcPr>
            <w:tcW w:w="2324" w:type="dxa"/>
            <w:vMerge/>
          </w:tcPr>
          <w:p w14:paraId="61607E91" w14:textId="77777777" w:rsidR="00454A29" w:rsidRDefault="00454A29"/>
        </w:tc>
        <w:tc>
          <w:tcPr>
            <w:tcW w:w="1701" w:type="dxa"/>
            <w:vAlign w:val="center"/>
          </w:tcPr>
          <w:p w14:paraId="4DE465D4" w14:textId="77777777" w:rsidR="00454A29" w:rsidRDefault="00454A29">
            <w:pPr>
              <w:pStyle w:val="ConsPlusNormal"/>
            </w:pPr>
          </w:p>
        </w:tc>
        <w:tc>
          <w:tcPr>
            <w:tcW w:w="1814" w:type="dxa"/>
            <w:vAlign w:val="center"/>
          </w:tcPr>
          <w:p w14:paraId="4E235819" w14:textId="77777777" w:rsidR="00454A29" w:rsidRDefault="00454A29">
            <w:pPr>
              <w:pStyle w:val="ConsPlusNormal"/>
            </w:pPr>
          </w:p>
        </w:tc>
        <w:tc>
          <w:tcPr>
            <w:tcW w:w="1701" w:type="dxa"/>
            <w:vAlign w:val="center"/>
          </w:tcPr>
          <w:p w14:paraId="3CF78801" w14:textId="77777777" w:rsidR="00454A29" w:rsidRDefault="00454A29">
            <w:pPr>
              <w:pStyle w:val="ConsPlusNormal"/>
            </w:pPr>
          </w:p>
        </w:tc>
        <w:tc>
          <w:tcPr>
            <w:tcW w:w="1701" w:type="dxa"/>
            <w:vAlign w:val="center"/>
          </w:tcPr>
          <w:p w14:paraId="7F296ECB" w14:textId="77777777" w:rsidR="00454A29" w:rsidRDefault="00454A29">
            <w:pPr>
              <w:pStyle w:val="ConsPlusNormal"/>
            </w:pPr>
          </w:p>
        </w:tc>
        <w:tc>
          <w:tcPr>
            <w:tcW w:w="1814" w:type="dxa"/>
            <w:vAlign w:val="center"/>
          </w:tcPr>
          <w:p w14:paraId="738C592E" w14:textId="77777777" w:rsidR="00454A29" w:rsidRDefault="00454A29">
            <w:pPr>
              <w:pStyle w:val="ConsPlusNormal"/>
            </w:pPr>
          </w:p>
        </w:tc>
      </w:tr>
      <w:tr w:rsidR="00454A29" w14:paraId="719DBF4F" w14:textId="77777777">
        <w:tc>
          <w:tcPr>
            <w:tcW w:w="567" w:type="dxa"/>
            <w:vMerge/>
          </w:tcPr>
          <w:p w14:paraId="20823647" w14:textId="77777777" w:rsidR="00454A29" w:rsidRDefault="00454A29"/>
        </w:tc>
        <w:tc>
          <w:tcPr>
            <w:tcW w:w="3345" w:type="dxa"/>
            <w:vMerge/>
          </w:tcPr>
          <w:p w14:paraId="3E690946" w14:textId="77777777" w:rsidR="00454A29" w:rsidRDefault="00454A29"/>
        </w:tc>
        <w:tc>
          <w:tcPr>
            <w:tcW w:w="1701" w:type="dxa"/>
            <w:vAlign w:val="center"/>
          </w:tcPr>
          <w:p w14:paraId="5E95A735" w14:textId="77777777" w:rsidR="00454A29" w:rsidRDefault="00454A29">
            <w:pPr>
              <w:pStyle w:val="ConsPlusNormal"/>
              <w:jc w:val="center"/>
            </w:pPr>
            <w:r>
              <w:t>2024</w:t>
            </w:r>
          </w:p>
        </w:tc>
        <w:tc>
          <w:tcPr>
            <w:tcW w:w="1417" w:type="dxa"/>
            <w:vMerge/>
          </w:tcPr>
          <w:p w14:paraId="2E3C81DC" w14:textId="77777777" w:rsidR="00454A29" w:rsidRDefault="00454A29"/>
        </w:tc>
        <w:tc>
          <w:tcPr>
            <w:tcW w:w="2204" w:type="dxa"/>
            <w:vMerge/>
          </w:tcPr>
          <w:p w14:paraId="624E9416" w14:textId="77777777" w:rsidR="00454A29" w:rsidRDefault="00454A29"/>
        </w:tc>
        <w:tc>
          <w:tcPr>
            <w:tcW w:w="1417" w:type="dxa"/>
            <w:vMerge/>
          </w:tcPr>
          <w:p w14:paraId="7B93EE8C" w14:textId="77777777" w:rsidR="00454A29" w:rsidRDefault="00454A29"/>
        </w:tc>
        <w:tc>
          <w:tcPr>
            <w:tcW w:w="2324" w:type="dxa"/>
            <w:vMerge/>
          </w:tcPr>
          <w:p w14:paraId="753379E6" w14:textId="77777777" w:rsidR="00454A29" w:rsidRDefault="00454A29"/>
        </w:tc>
        <w:tc>
          <w:tcPr>
            <w:tcW w:w="1701" w:type="dxa"/>
            <w:vAlign w:val="center"/>
          </w:tcPr>
          <w:p w14:paraId="52D8754C" w14:textId="77777777" w:rsidR="00454A29" w:rsidRDefault="00454A29">
            <w:pPr>
              <w:pStyle w:val="ConsPlusNormal"/>
            </w:pPr>
          </w:p>
        </w:tc>
        <w:tc>
          <w:tcPr>
            <w:tcW w:w="1814" w:type="dxa"/>
            <w:vAlign w:val="center"/>
          </w:tcPr>
          <w:p w14:paraId="5518D17B" w14:textId="77777777" w:rsidR="00454A29" w:rsidRDefault="00454A29">
            <w:pPr>
              <w:pStyle w:val="ConsPlusNormal"/>
            </w:pPr>
          </w:p>
        </w:tc>
        <w:tc>
          <w:tcPr>
            <w:tcW w:w="1701" w:type="dxa"/>
            <w:vAlign w:val="center"/>
          </w:tcPr>
          <w:p w14:paraId="3429329A" w14:textId="77777777" w:rsidR="00454A29" w:rsidRDefault="00454A29">
            <w:pPr>
              <w:pStyle w:val="ConsPlusNormal"/>
            </w:pPr>
          </w:p>
        </w:tc>
        <w:tc>
          <w:tcPr>
            <w:tcW w:w="1701" w:type="dxa"/>
            <w:vAlign w:val="center"/>
          </w:tcPr>
          <w:p w14:paraId="2B870C66" w14:textId="77777777" w:rsidR="00454A29" w:rsidRDefault="00454A29">
            <w:pPr>
              <w:pStyle w:val="ConsPlusNormal"/>
            </w:pPr>
          </w:p>
        </w:tc>
        <w:tc>
          <w:tcPr>
            <w:tcW w:w="1814" w:type="dxa"/>
            <w:vAlign w:val="center"/>
          </w:tcPr>
          <w:p w14:paraId="76F35F59" w14:textId="77777777" w:rsidR="00454A29" w:rsidRDefault="00454A29">
            <w:pPr>
              <w:pStyle w:val="ConsPlusNormal"/>
            </w:pPr>
          </w:p>
        </w:tc>
      </w:tr>
      <w:tr w:rsidR="00454A29" w14:paraId="4EA2AC58" w14:textId="77777777">
        <w:tc>
          <w:tcPr>
            <w:tcW w:w="567" w:type="dxa"/>
            <w:vMerge/>
          </w:tcPr>
          <w:p w14:paraId="4BC11BC8" w14:textId="77777777" w:rsidR="00454A29" w:rsidRDefault="00454A29"/>
        </w:tc>
        <w:tc>
          <w:tcPr>
            <w:tcW w:w="3345" w:type="dxa"/>
            <w:vMerge/>
          </w:tcPr>
          <w:p w14:paraId="4A5398A7" w14:textId="77777777" w:rsidR="00454A29" w:rsidRDefault="00454A29"/>
        </w:tc>
        <w:tc>
          <w:tcPr>
            <w:tcW w:w="1701" w:type="dxa"/>
            <w:vAlign w:val="center"/>
          </w:tcPr>
          <w:p w14:paraId="04142613" w14:textId="77777777" w:rsidR="00454A29" w:rsidRDefault="00454A29">
            <w:pPr>
              <w:pStyle w:val="ConsPlusNormal"/>
              <w:jc w:val="center"/>
            </w:pPr>
            <w:r>
              <w:t>2025</w:t>
            </w:r>
          </w:p>
        </w:tc>
        <w:tc>
          <w:tcPr>
            <w:tcW w:w="1417" w:type="dxa"/>
            <w:vMerge/>
          </w:tcPr>
          <w:p w14:paraId="14054D7E" w14:textId="77777777" w:rsidR="00454A29" w:rsidRDefault="00454A29"/>
        </w:tc>
        <w:tc>
          <w:tcPr>
            <w:tcW w:w="2204" w:type="dxa"/>
            <w:vMerge/>
          </w:tcPr>
          <w:p w14:paraId="2A7AA328" w14:textId="77777777" w:rsidR="00454A29" w:rsidRDefault="00454A29"/>
        </w:tc>
        <w:tc>
          <w:tcPr>
            <w:tcW w:w="1417" w:type="dxa"/>
            <w:vMerge/>
          </w:tcPr>
          <w:p w14:paraId="3DD1FAD7" w14:textId="77777777" w:rsidR="00454A29" w:rsidRDefault="00454A29"/>
        </w:tc>
        <w:tc>
          <w:tcPr>
            <w:tcW w:w="2324" w:type="dxa"/>
            <w:vMerge/>
          </w:tcPr>
          <w:p w14:paraId="3B90E49F" w14:textId="77777777" w:rsidR="00454A29" w:rsidRDefault="00454A29"/>
        </w:tc>
        <w:tc>
          <w:tcPr>
            <w:tcW w:w="1701" w:type="dxa"/>
            <w:vAlign w:val="center"/>
          </w:tcPr>
          <w:p w14:paraId="409F6B6C" w14:textId="77777777" w:rsidR="00454A29" w:rsidRDefault="00454A29">
            <w:pPr>
              <w:pStyle w:val="ConsPlusNormal"/>
            </w:pPr>
          </w:p>
        </w:tc>
        <w:tc>
          <w:tcPr>
            <w:tcW w:w="1814" w:type="dxa"/>
            <w:vAlign w:val="center"/>
          </w:tcPr>
          <w:p w14:paraId="3EE8E8E6" w14:textId="77777777" w:rsidR="00454A29" w:rsidRDefault="00454A29">
            <w:pPr>
              <w:pStyle w:val="ConsPlusNormal"/>
            </w:pPr>
          </w:p>
        </w:tc>
        <w:tc>
          <w:tcPr>
            <w:tcW w:w="1701" w:type="dxa"/>
            <w:vAlign w:val="center"/>
          </w:tcPr>
          <w:p w14:paraId="083B9128" w14:textId="77777777" w:rsidR="00454A29" w:rsidRDefault="00454A29">
            <w:pPr>
              <w:pStyle w:val="ConsPlusNormal"/>
            </w:pPr>
          </w:p>
        </w:tc>
        <w:tc>
          <w:tcPr>
            <w:tcW w:w="1701" w:type="dxa"/>
            <w:vAlign w:val="center"/>
          </w:tcPr>
          <w:p w14:paraId="703C5796" w14:textId="77777777" w:rsidR="00454A29" w:rsidRDefault="00454A29">
            <w:pPr>
              <w:pStyle w:val="ConsPlusNormal"/>
            </w:pPr>
          </w:p>
        </w:tc>
        <w:tc>
          <w:tcPr>
            <w:tcW w:w="1814" w:type="dxa"/>
            <w:vAlign w:val="center"/>
          </w:tcPr>
          <w:p w14:paraId="55F90E33" w14:textId="77777777" w:rsidR="00454A29" w:rsidRDefault="00454A29">
            <w:pPr>
              <w:pStyle w:val="ConsPlusNormal"/>
            </w:pPr>
          </w:p>
        </w:tc>
      </w:tr>
      <w:tr w:rsidR="00454A29" w14:paraId="23CCFBBF" w14:textId="77777777">
        <w:tc>
          <w:tcPr>
            <w:tcW w:w="567" w:type="dxa"/>
            <w:vMerge/>
          </w:tcPr>
          <w:p w14:paraId="51BA826F" w14:textId="77777777" w:rsidR="00454A29" w:rsidRDefault="00454A29"/>
        </w:tc>
        <w:tc>
          <w:tcPr>
            <w:tcW w:w="3345" w:type="dxa"/>
            <w:vMerge/>
          </w:tcPr>
          <w:p w14:paraId="7B2ACDB0" w14:textId="77777777" w:rsidR="00454A29" w:rsidRDefault="00454A29"/>
        </w:tc>
        <w:tc>
          <w:tcPr>
            <w:tcW w:w="1701" w:type="dxa"/>
            <w:vAlign w:val="center"/>
          </w:tcPr>
          <w:p w14:paraId="3421D253" w14:textId="77777777" w:rsidR="00454A29" w:rsidRDefault="00454A29">
            <w:pPr>
              <w:pStyle w:val="ConsPlusNormal"/>
              <w:jc w:val="center"/>
            </w:pPr>
            <w:r>
              <w:t>2026</w:t>
            </w:r>
          </w:p>
        </w:tc>
        <w:tc>
          <w:tcPr>
            <w:tcW w:w="1417" w:type="dxa"/>
            <w:vMerge/>
          </w:tcPr>
          <w:p w14:paraId="108E7786" w14:textId="77777777" w:rsidR="00454A29" w:rsidRDefault="00454A29"/>
        </w:tc>
        <w:tc>
          <w:tcPr>
            <w:tcW w:w="2204" w:type="dxa"/>
            <w:vMerge/>
          </w:tcPr>
          <w:p w14:paraId="448BFA17" w14:textId="77777777" w:rsidR="00454A29" w:rsidRDefault="00454A29"/>
        </w:tc>
        <w:tc>
          <w:tcPr>
            <w:tcW w:w="1417" w:type="dxa"/>
            <w:vMerge/>
          </w:tcPr>
          <w:p w14:paraId="490616DA" w14:textId="77777777" w:rsidR="00454A29" w:rsidRDefault="00454A29"/>
        </w:tc>
        <w:tc>
          <w:tcPr>
            <w:tcW w:w="2324" w:type="dxa"/>
            <w:vMerge/>
          </w:tcPr>
          <w:p w14:paraId="09A78283" w14:textId="77777777" w:rsidR="00454A29" w:rsidRDefault="00454A29"/>
        </w:tc>
        <w:tc>
          <w:tcPr>
            <w:tcW w:w="1701" w:type="dxa"/>
            <w:vAlign w:val="center"/>
          </w:tcPr>
          <w:p w14:paraId="7A46A2D8" w14:textId="77777777" w:rsidR="00454A29" w:rsidRDefault="00454A29">
            <w:pPr>
              <w:pStyle w:val="ConsPlusNormal"/>
              <w:jc w:val="center"/>
            </w:pPr>
            <w:r>
              <w:t>165 521,04</w:t>
            </w:r>
          </w:p>
        </w:tc>
        <w:tc>
          <w:tcPr>
            <w:tcW w:w="1814" w:type="dxa"/>
            <w:vAlign w:val="center"/>
          </w:tcPr>
          <w:p w14:paraId="02E22EB6" w14:textId="77777777" w:rsidR="00454A29" w:rsidRDefault="00454A29">
            <w:pPr>
              <w:pStyle w:val="ConsPlusNormal"/>
              <w:jc w:val="center"/>
            </w:pPr>
            <w:r>
              <w:t>2 039,22</w:t>
            </w:r>
          </w:p>
        </w:tc>
        <w:tc>
          <w:tcPr>
            <w:tcW w:w="1701" w:type="dxa"/>
            <w:vAlign w:val="center"/>
          </w:tcPr>
          <w:p w14:paraId="3A26A182" w14:textId="77777777" w:rsidR="00454A29" w:rsidRDefault="00454A29">
            <w:pPr>
              <w:pStyle w:val="ConsPlusNormal"/>
              <w:jc w:val="center"/>
            </w:pPr>
            <w:r>
              <w:t>201 882,70</w:t>
            </w:r>
          </w:p>
        </w:tc>
        <w:tc>
          <w:tcPr>
            <w:tcW w:w="1701" w:type="dxa"/>
            <w:vAlign w:val="center"/>
          </w:tcPr>
          <w:p w14:paraId="770EC434" w14:textId="77777777" w:rsidR="00454A29" w:rsidRDefault="00454A29">
            <w:pPr>
              <w:pStyle w:val="ConsPlusNormal"/>
            </w:pPr>
          </w:p>
        </w:tc>
        <w:tc>
          <w:tcPr>
            <w:tcW w:w="1814" w:type="dxa"/>
            <w:vAlign w:val="center"/>
          </w:tcPr>
          <w:p w14:paraId="0C89F6C8" w14:textId="77777777" w:rsidR="00454A29" w:rsidRDefault="00454A29">
            <w:pPr>
              <w:pStyle w:val="ConsPlusNormal"/>
            </w:pPr>
          </w:p>
        </w:tc>
      </w:tr>
      <w:tr w:rsidR="00454A29" w14:paraId="56DB3090" w14:textId="77777777">
        <w:tc>
          <w:tcPr>
            <w:tcW w:w="21706" w:type="dxa"/>
            <w:gridSpan w:val="12"/>
            <w:vAlign w:val="center"/>
          </w:tcPr>
          <w:p w14:paraId="09E2A4DC" w14:textId="77777777" w:rsidR="00454A29" w:rsidRDefault="00454A29">
            <w:pPr>
              <w:pStyle w:val="ConsPlusNormal"/>
              <w:jc w:val="center"/>
              <w:outlineLvl w:val="2"/>
            </w:pPr>
            <w:r>
              <w:t>МР "Усть-Майский улус (район)"</w:t>
            </w:r>
          </w:p>
        </w:tc>
      </w:tr>
      <w:tr w:rsidR="00454A29" w14:paraId="544F98D3" w14:textId="77777777">
        <w:tc>
          <w:tcPr>
            <w:tcW w:w="567" w:type="dxa"/>
            <w:vMerge w:val="restart"/>
            <w:vAlign w:val="center"/>
          </w:tcPr>
          <w:p w14:paraId="31E2D756" w14:textId="77777777" w:rsidR="00454A29" w:rsidRDefault="00454A29">
            <w:pPr>
              <w:pStyle w:val="ConsPlusNormal"/>
              <w:jc w:val="center"/>
            </w:pPr>
            <w:r>
              <w:t>148</w:t>
            </w:r>
          </w:p>
        </w:tc>
        <w:tc>
          <w:tcPr>
            <w:tcW w:w="3345" w:type="dxa"/>
            <w:vMerge w:val="restart"/>
            <w:vAlign w:val="center"/>
          </w:tcPr>
          <w:p w14:paraId="666BBB9B" w14:textId="77777777" w:rsidR="00454A29" w:rsidRDefault="00454A29">
            <w:pPr>
              <w:pStyle w:val="ConsPlusNormal"/>
              <w:jc w:val="center"/>
            </w:pPr>
            <w:r>
              <w:t>Школа-сад на 120/75 мест в с. Эльдикан</w:t>
            </w:r>
          </w:p>
        </w:tc>
        <w:tc>
          <w:tcPr>
            <w:tcW w:w="1701" w:type="dxa"/>
            <w:vAlign w:val="center"/>
          </w:tcPr>
          <w:p w14:paraId="4E092072" w14:textId="77777777" w:rsidR="00454A29" w:rsidRDefault="00454A29">
            <w:pPr>
              <w:pStyle w:val="ConsPlusNormal"/>
              <w:jc w:val="center"/>
            </w:pPr>
            <w:r>
              <w:t>2020 - 2026 годы - всего</w:t>
            </w:r>
          </w:p>
        </w:tc>
        <w:tc>
          <w:tcPr>
            <w:tcW w:w="1417" w:type="dxa"/>
            <w:vMerge w:val="restart"/>
            <w:vAlign w:val="center"/>
          </w:tcPr>
          <w:p w14:paraId="4F2E87E9" w14:textId="77777777" w:rsidR="00454A29" w:rsidRDefault="00454A29">
            <w:pPr>
              <w:pStyle w:val="ConsPlusNormal"/>
              <w:jc w:val="center"/>
            </w:pPr>
            <w:r>
              <w:t>552 502,41</w:t>
            </w:r>
          </w:p>
        </w:tc>
        <w:tc>
          <w:tcPr>
            <w:tcW w:w="2204" w:type="dxa"/>
            <w:vMerge w:val="restart"/>
            <w:vAlign w:val="center"/>
          </w:tcPr>
          <w:p w14:paraId="4720CEF5" w14:textId="77777777" w:rsidR="00454A29" w:rsidRDefault="00454A29">
            <w:pPr>
              <w:pStyle w:val="ConsPlusNormal"/>
            </w:pPr>
          </w:p>
        </w:tc>
        <w:tc>
          <w:tcPr>
            <w:tcW w:w="1417" w:type="dxa"/>
            <w:vMerge w:val="restart"/>
            <w:vAlign w:val="center"/>
          </w:tcPr>
          <w:p w14:paraId="50B07AA0" w14:textId="77777777" w:rsidR="00454A29" w:rsidRDefault="00454A29">
            <w:pPr>
              <w:pStyle w:val="ConsPlusNormal"/>
              <w:jc w:val="center"/>
            </w:pPr>
            <w:r>
              <w:t>120</w:t>
            </w:r>
          </w:p>
        </w:tc>
        <w:tc>
          <w:tcPr>
            <w:tcW w:w="2324" w:type="dxa"/>
            <w:vMerge w:val="restart"/>
            <w:vAlign w:val="center"/>
          </w:tcPr>
          <w:p w14:paraId="1D5D1C0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807F79B" w14:textId="77777777" w:rsidR="00454A29" w:rsidRDefault="00454A29">
            <w:pPr>
              <w:pStyle w:val="ConsPlusNormal"/>
              <w:jc w:val="center"/>
            </w:pPr>
            <w:r>
              <w:t>552 502,41</w:t>
            </w:r>
          </w:p>
        </w:tc>
        <w:tc>
          <w:tcPr>
            <w:tcW w:w="1814" w:type="dxa"/>
            <w:vAlign w:val="center"/>
          </w:tcPr>
          <w:p w14:paraId="04B2B35A" w14:textId="77777777" w:rsidR="00454A29" w:rsidRDefault="00454A29">
            <w:pPr>
              <w:pStyle w:val="ConsPlusNormal"/>
              <w:jc w:val="center"/>
            </w:pPr>
            <w:r>
              <w:t>6 989,16</w:t>
            </w:r>
          </w:p>
        </w:tc>
        <w:tc>
          <w:tcPr>
            <w:tcW w:w="1701" w:type="dxa"/>
            <w:vAlign w:val="center"/>
          </w:tcPr>
          <w:p w14:paraId="56974675" w14:textId="77777777" w:rsidR="00454A29" w:rsidRDefault="00454A29">
            <w:pPr>
              <w:pStyle w:val="ConsPlusNormal"/>
              <w:jc w:val="center"/>
            </w:pPr>
            <w:r>
              <w:t>691 926,39</w:t>
            </w:r>
          </w:p>
        </w:tc>
        <w:tc>
          <w:tcPr>
            <w:tcW w:w="1701" w:type="dxa"/>
            <w:vAlign w:val="center"/>
          </w:tcPr>
          <w:p w14:paraId="0476CA47" w14:textId="77777777" w:rsidR="00454A29" w:rsidRDefault="00454A29">
            <w:pPr>
              <w:pStyle w:val="ConsPlusNormal"/>
              <w:jc w:val="center"/>
            </w:pPr>
            <w:r>
              <w:t>-</w:t>
            </w:r>
          </w:p>
        </w:tc>
        <w:tc>
          <w:tcPr>
            <w:tcW w:w="1814" w:type="dxa"/>
            <w:vAlign w:val="center"/>
          </w:tcPr>
          <w:p w14:paraId="5C3ABC1D" w14:textId="77777777" w:rsidR="00454A29" w:rsidRDefault="00454A29">
            <w:pPr>
              <w:pStyle w:val="ConsPlusNormal"/>
              <w:jc w:val="center"/>
            </w:pPr>
            <w:r>
              <w:t>-</w:t>
            </w:r>
          </w:p>
        </w:tc>
      </w:tr>
      <w:tr w:rsidR="00454A29" w14:paraId="52EDBA16" w14:textId="77777777">
        <w:tc>
          <w:tcPr>
            <w:tcW w:w="567" w:type="dxa"/>
            <w:vMerge/>
          </w:tcPr>
          <w:p w14:paraId="0CA6ACE6" w14:textId="77777777" w:rsidR="00454A29" w:rsidRDefault="00454A29"/>
        </w:tc>
        <w:tc>
          <w:tcPr>
            <w:tcW w:w="3345" w:type="dxa"/>
            <w:vMerge/>
          </w:tcPr>
          <w:p w14:paraId="7143A9A6" w14:textId="77777777" w:rsidR="00454A29" w:rsidRDefault="00454A29"/>
        </w:tc>
        <w:tc>
          <w:tcPr>
            <w:tcW w:w="1701" w:type="dxa"/>
            <w:vAlign w:val="center"/>
          </w:tcPr>
          <w:p w14:paraId="4BD04B0D" w14:textId="77777777" w:rsidR="00454A29" w:rsidRDefault="00454A29">
            <w:pPr>
              <w:pStyle w:val="ConsPlusNormal"/>
              <w:jc w:val="center"/>
            </w:pPr>
            <w:r>
              <w:t>2020</w:t>
            </w:r>
          </w:p>
        </w:tc>
        <w:tc>
          <w:tcPr>
            <w:tcW w:w="1417" w:type="dxa"/>
            <w:vMerge/>
          </w:tcPr>
          <w:p w14:paraId="10DC1468" w14:textId="77777777" w:rsidR="00454A29" w:rsidRDefault="00454A29"/>
        </w:tc>
        <w:tc>
          <w:tcPr>
            <w:tcW w:w="2204" w:type="dxa"/>
            <w:vMerge/>
          </w:tcPr>
          <w:p w14:paraId="660795B9" w14:textId="77777777" w:rsidR="00454A29" w:rsidRDefault="00454A29"/>
        </w:tc>
        <w:tc>
          <w:tcPr>
            <w:tcW w:w="1417" w:type="dxa"/>
            <w:vMerge/>
          </w:tcPr>
          <w:p w14:paraId="4C07C009" w14:textId="77777777" w:rsidR="00454A29" w:rsidRDefault="00454A29"/>
        </w:tc>
        <w:tc>
          <w:tcPr>
            <w:tcW w:w="2324" w:type="dxa"/>
            <w:vMerge/>
          </w:tcPr>
          <w:p w14:paraId="605EED56" w14:textId="77777777" w:rsidR="00454A29" w:rsidRDefault="00454A29"/>
        </w:tc>
        <w:tc>
          <w:tcPr>
            <w:tcW w:w="1701" w:type="dxa"/>
            <w:vAlign w:val="center"/>
          </w:tcPr>
          <w:p w14:paraId="34C3F4CE" w14:textId="77777777" w:rsidR="00454A29" w:rsidRDefault="00454A29">
            <w:pPr>
              <w:pStyle w:val="ConsPlusNormal"/>
            </w:pPr>
          </w:p>
        </w:tc>
        <w:tc>
          <w:tcPr>
            <w:tcW w:w="1814" w:type="dxa"/>
            <w:vAlign w:val="center"/>
          </w:tcPr>
          <w:p w14:paraId="5C934047" w14:textId="77777777" w:rsidR="00454A29" w:rsidRDefault="00454A29">
            <w:pPr>
              <w:pStyle w:val="ConsPlusNormal"/>
            </w:pPr>
          </w:p>
        </w:tc>
        <w:tc>
          <w:tcPr>
            <w:tcW w:w="1701" w:type="dxa"/>
            <w:vAlign w:val="center"/>
          </w:tcPr>
          <w:p w14:paraId="1815BB89" w14:textId="77777777" w:rsidR="00454A29" w:rsidRDefault="00454A29">
            <w:pPr>
              <w:pStyle w:val="ConsPlusNormal"/>
            </w:pPr>
          </w:p>
        </w:tc>
        <w:tc>
          <w:tcPr>
            <w:tcW w:w="1701" w:type="dxa"/>
            <w:vAlign w:val="center"/>
          </w:tcPr>
          <w:p w14:paraId="14C84526" w14:textId="77777777" w:rsidR="00454A29" w:rsidRDefault="00454A29">
            <w:pPr>
              <w:pStyle w:val="ConsPlusNormal"/>
            </w:pPr>
          </w:p>
        </w:tc>
        <w:tc>
          <w:tcPr>
            <w:tcW w:w="1814" w:type="dxa"/>
            <w:vAlign w:val="center"/>
          </w:tcPr>
          <w:p w14:paraId="62117621" w14:textId="77777777" w:rsidR="00454A29" w:rsidRDefault="00454A29">
            <w:pPr>
              <w:pStyle w:val="ConsPlusNormal"/>
            </w:pPr>
          </w:p>
        </w:tc>
      </w:tr>
      <w:tr w:rsidR="00454A29" w14:paraId="6E3F50E7" w14:textId="77777777">
        <w:tc>
          <w:tcPr>
            <w:tcW w:w="567" w:type="dxa"/>
            <w:vMerge/>
          </w:tcPr>
          <w:p w14:paraId="0508BFA1" w14:textId="77777777" w:rsidR="00454A29" w:rsidRDefault="00454A29"/>
        </w:tc>
        <w:tc>
          <w:tcPr>
            <w:tcW w:w="3345" w:type="dxa"/>
            <w:vMerge/>
          </w:tcPr>
          <w:p w14:paraId="3BAC2A9A" w14:textId="77777777" w:rsidR="00454A29" w:rsidRDefault="00454A29"/>
        </w:tc>
        <w:tc>
          <w:tcPr>
            <w:tcW w:w="1701" w:type="dxa"/>
            <w:vAlign w:val="center"/>
          </w:tcPr>
          <w:p w14:paraId="56EB28BD" w14:textId="77777777" w:rsidR="00454A29" w:rsidRDefault="00454A29">
            <w:pPr>
              <w:pStyle w:val="ConsPlusNormal"/>
              <w:jc w:val="center"/>
            </w:pPr>
            <w:r>
              <w:t>2021</w:t>
            </w:r>
          </w:p>
        </w:tc>
        <w:tc>
          <w:tcPr>
            <w:tcW w:w="1417" w:type="dxa"/>
            <w:vMerge/>
          </w:tcPr>
          <w:p w14:paraId="1686CFDA" w14:textId="77777777" w:rsidR="00454A29" w:rsidRDefault="00454A29"/>
        </w:tc>
        <w:tc>
          <w:tcPr>
            <w:tcW w:w="2204" w:type="dxa"/>
            <w:vMerge/>
          </w:tcPr>
          <w:p w14:paraId="4CE094F8" w14:textId="77777777" w:rsidR="00454A29" w:rsidRDefault="00454A29"/>
        </w:tc>
        <w:tc>
          <w:tcPr>
            <w:tcW w:w="1417" w:type="dxa"/>
            <w:vMerge/>
          </w:tcPr>
          <w:p w14:paraId="5EBFBF77" w14:textId="77777777" w:rsidR="00454A29" w:rsidRDefault="00454A29"/>
        </w:tc>
        <w:tc>
          <w:tcPr>
            <w:tcW w:w="2324" w:type="dxa"/>
            <w:vMerge/>
          </w:tcPr>
          <w:p w14:paraId="7D211C1B" w14:textId="77777777" w:rsidR="00454A29" w:rsidRDefault="00454A29"/>
        </w:tc>
        <w:tc>
          <w:tcPr>
            <w:tcW w:w="1701" w:type="dxa"/>
            <w:vAlign w:val="center"/>
          </w:tcPr>
          <w:p w14:paraId="7A403CE1" w14:textId="77777777" w:rsidR="00454A29" w:rsidRDefault="00454A29">
            <w:pPr>
              <w:pStyle w:val="ConsPlusNormal"/>
              <w:jc w:val="center"/>
            </w:pPr>
            <w:r>
              <w:t>-</w:t>
            </w:r>
          </w:p>
        </w:tc>
        <w:tc>
          <w:tcPr>
            <w:tcW w:w="1814" w:type="dxa"/>
            <w:vAlign w:val="center"/>
          </w:tcPr>
          <w:p w14:paraId="0D6C745C" w14:textId="77777777" w:rsidR="00454A29" w:rsidRDefault="00454A29">
            <w:pPr>
              <w:pStyle w:val="ConsPlusNormal"/>
            </w:pPr>
          </w:p>
        </w:tc>
        <w:tc>
          <w:tcPr>
            <w:tcW w:w="1701" w:type="dxa"/>
            <w:vAlign w:val="center"/>
          </w:tcPr>
          <w:p w14:paraId="14B8A133" w14:textId="77777777" w:rsidR="00454A29" w:rsidRDefault="00454A29">
            <w:pPr>
              <w:pStyle w:val="ConsPlusNormal"/>
            </w:pPr>
          </w:p>
        </w:tc>
        <w:tc>
          <w:tcPr>
            <w:tcW w:w="1701" w:type="dxa"/>
            <w:vAlign w:val="center"/>
          </w:tcPr>
          <w:p w14:paraId="0A0CE8B6" w14:textId="77777777" w:rsidR="00454A29" w:rsidRDefault="00454A29">
            <w:pPr>
              <w:pStyle w:val="ConsPlusNormal"/>
            </w:pPr>
          </w:p>
        </w:tc>
        <w:tc>
          <w:tcPr>
            <w:tcW w:w="1814" w:type="dxa"/>
            <w:vAlign w:val="center"/>
          </w:tcPr>
          <w:p w14:paraId="2C485706" w14:textId="77777777" w:rsidR="00454A29" w:rsidRDefault="00454A29">
            <w:pPr>
              <w:pStyle w:val="ConsPlusNormal"/>
            </w:pPr>
          </w:p>
        </w:tc>
      </w:tr>
      <w:tr w:rsidR="00454A29" w14:paraId="25F39054" w14:textId="77777777">
        <w:tc>
          <w:tcPr>
            <w:tcW w:w="567" w:type="dxa"/>
            <w:vMerge/>
          </w:tcPr>
          <w:p w14:paraId="0E0F91F3" w14:textId="77777777" w:rsidR="00454A29" w:rsidRDefault="00454A29"/>
        </w:tc>
        <w:tc>
          <w:tcPr>
            <w:tcW w:w="3345" w:type="dxa"/>
            <w:vMerge/>
          </w:tcPr>
          <w:p w14:paraId="065EDDA4" w14:textId="77777777" w:rsidR="00454A29" w:rsidRDefault="00454A29"/>
        </w:tc>
        <w:tc>
          <w:tcPr>
            <w:tcW w:w="1701" w:type="dxa"/>
            <w:vAlign w:val="center"/>
          </w:tcPr>
          <w:p w14:paraId="00697F33" w14:textId="77777777" w:rsidR="00454A29" w:rsidRDefault="00454A29">
            <w:pPr>
              <w:pStyle w:val="ConsPlusNormal"/>
              <w:jc w:val="center"/>
            </w:pPr>
            <w:r>
              <w:t>2022</w:t>
            </w:r>
          </w:p>
        </w:tc>
        <w:tc>
          <w:tcPr>
            <w:tcW w:w="1417" w:type="dxa"/>
            <w:vMerge/>
          </w:tcPr>
          <w:p w14:paraId="6A4177DB" w14:textId="77777777" w:rsidR="00454A29" w:rsidRDefault="00454A29"/>
        </w:tc>
        <w:tc>
          <w:tcPr>
            <w:tcW w:w="2204" w:type="dxa"/>
            <w:vMerge/>
          </w:tcPr>
          <w:p w14:paraId="6C9FEC77" w14:textId="77777777" w:rsidR="00454A29" w:rsidRDefault="00454A29"/>
        </w:tc>
        <w:tc>
          <w:tcPr>
            <w:tcW w:w="1417" w:type="dxa"/>
            <w:vMerge/>
          </w:tcPr>
          <w:p w14:paraId="4E3F8CA3" w14:textId="77777777" w:rsidR="00454A29" w:rsidRDefault="00454A29"/>
        </w:tc>
        <w:tc>
          <w:tcPr>
            <w:tcW w:w="2324" w:type="dxa"/>
            <w:vMerge/>
          </w:tcPr>
          <w:p w14:paraId="77032958" w14:textId="77777777" w:rsidR="00454A29" w:rsidRDefault="00454A29"/>
        </w:tc>
        <w:tc>
          <w:tcPr>
            <w:tcW w:w="1701" w:type="dxa"/>
            <w:vAlign w:val="center"/>
          </w:tcPr>
          <w:p w14:paraId="4F5616E5" w14:textId="77777777" w:rsidR="00454A29" w:rsidRDefault="00454A29">
            <w:pPr>
              <w:pStyle w:val="ConsPlusNormal"/>
            </w:pPr>
          </w:p>
        </w:tc>
        <w:tc>
          <w:tcPr>
            <w:tcW w:w="1814" w:type="dxa"/>
            <w:vAlign w:val="center"/>
          </w:tcPr>
          <w:p w14:paraId="34B927D5" w14:textId="77777777" w:rsidR="00454A29" w:rsidRDefault="00454A29">
            <w:pPr>
              <w:pStyle w:val="ConsPlusNormal"/>
            </w:pPr>
          </w:p>
        </w:tc>
        <w:tc>
          <w:tcPr>
            <w:tcW w:w="1701" w:type="dxa"/>
            <w:vAlign w:val="center"/>
          </w:tcPr>
          <w:p w14:paraId="3E39EBA6" w14:textId="77777777" w:rsidR="00454A29" w:rsidRDefault="00454A29">
            <w:pPr>
              <w:pStyle w:val="ConsPlusNormal"/>
            </w:pPr>
          </w:p>
        </w:tc>
        <w:tc>
          <w:tcPr>
            <w:tcW w:w="1701" w:type="dxa"/>
            <w:vAlign w:val="center"/>
          </w:tcPr>
          <w:p w14:paraId="4F120DE7" w14:textId="77777777" w:rsidR="00454A29" w:rsidRDefault="00454A29">
            <w:pPr>
              <w:pStyle w:val="ConsPlusNormal"/>
            </w:pPr>
          </w:p>
        </w:tc>
        <w:tc>
          <w:tcPr>
            <w:tcW w:w="1814" w:type="dxa"/>
            <w:vAlign w:val="center"/>
          </w:tcPr>
          <w:p w14:paraId="02AC4584" w14:textId="77777777" w:rsidR="00454A29" w:rsidRDefault="00454A29">
            <w:pPr>
              <w:pStyle w:val="ConsPlusNormal"/>
            </w:pPr>
          </w:p>
        </w:tc>
      </w:tr>
      <w:tr w:rsidR="00454A29" w14:paraId="5AA5A76E" w14:textId="77777777">
        <w:tc>
          <w:tcPr>
            <w:tcW w:w="567" w:type="dxa"/>
            <w:vMerge/>
          </w:tcPr>
          <w:p w14:paraId="0BF4A2EA" w14:textId="77777777" w:rsidR="00454A29" w:rsidRDefault="00454A29"/>
        </w:tc>
        <w:tc>
          <w:tcPr>
            <w:tcW w:w="3345" w:type="dxa"/>
            <w:vMerge/>
          </w:tcPr>
          <w:p w14:paraId="431A9E8F" w14:textId="77777777" w:rsidR="00454A29" w:rsidRDefault="00454A29"/>
        </w:tc>
        <w:tc>
          <w:tcPr>
            <w:tcW w:w="1701" w:type="dxa"/>
            <w:vAlign w:val="center"/>
          </w:tcPr>
          <w:p w14:paraId="6F41AC96" w14:textId="77777777" w:rsidR="00454A29" w:rsidRDefault="00454A29">
            <w:pPr>
              <w:pStyle w:val="ConsPlusNormal"/>
              <w:jc w:val="center"/>
            </w:pPr>
            <w:r>
              <w:t>2023</w:t>
            </w:r>
          </w:p>
        </w:tc>
        <w:tc>
          <w:tcPr>
            <w:tcW w:w="1417" w:type="dxa"/>
            <w:vMerge/>
          </w:tcPr>
          <w:p w14:paraId="4586F220" w14:textId="77777777" w:rsidR="00454A29" w:rsidRDefault="00454A29"/>
        </w:tc>
        <w:tc>
          <w:tcPr>
            <w:tcW w:w="2204" w:type="dxa"/>
            <w:vMerge/>
          </w:tcPr>
          <w:p w14:paraId="6503845F" w14:textId="77777777" w:rsidR="00454A29" w:rsidRDefault="00454A29"/>
        </w:tc>
        <w:tc>
          <w:tcPr>
            <w:tcW w:w="1417" w:type="dxa"/>
            <w:vMerge/>
          </w:tcPr>
          <w:p w14:paraId="52FA2D0B" w14:textId="77777777" w:rsidR="00454A29" w:rsidRDefault="00454A29"/>
        </w:tc>
        <w:tc>
          <w:tcPr>
            <w:tcW w:w="2324" w:type="dxa"/>
            <w:vMerge/>
          </w:tcPr>
          <w:p w14:paraId="629ED47D" w14:textId="77777777" w:rsidR="00454A29" w:rsidRDefault="00454A29"/>
        </w:tc>
        <w:tc>
          <w:tcPr>
            <w:tcW w:w="1701" w:type="dxa"/>
            <w:vAlign w:val="center"/>
          </w:tcPr>
          <w:p w14:paraId="024AA2EB" w14:textId="77777777" w:rsidR="00454A29" w:rsidRDefault="00454A29">
            <w:pPr>
              <w:pStyle w:val="ConsPlusNormal"/>
            </w:pPr>
          </w:p>
        </w:tc>
        <w:tc>
          <w:tcPr>
            <w:tcW w:w="1814" w:type="dxa"/>
            <w:vAlign w:val="center"/>
          </w:tcPr>
          <w:p w14:paraId="0458CD3E" w14:textId="77777777" w:rsidR="00454A29" w:rsidRDefault="00454A29">
            <w:pPr>
              <w:pStyle w:val="ConsPlusNormal"/>
            </w:pPr>
          </w:p>
        </w:tc>
        <w:tc>
          <w:tcPr>
            <w:tcW w:w="1701" w:type="dxa"/>
            <w:vAlign w:val="center"/>
          </w:tcPr>
          <w:p w14:paraId="5DC67C05" w14:textId="77777777" w:rsidR="00454A29" w:rsidRDefault="00454A29">
            <w:pPr>
              <w:pStyle w:val="ConsPlusNormal"/>
            </w:pPr>
          </w:p>
        </w:tc>
        <w:tc>
          <w:tcPr>
            <w:tcW w:w="1701" w:type="dxa"/>
            <w:vAlign w:val="center"/>
          </w:tcPr>
          <w:p w14:paraId="2290BB01" w14:textId="77777777" w:rsidR="00454A29" w:rsidRDefault="00454A29">
            <w:pPr>
              <w:pStyle w:val="ConsPlusNormal"/>
            </w:pPr>
          </w:p>
        </w:tc>
        <w:tc>
          <w:tcPr>
            <w:tcW w:w="1814" w:type="dxa"/>
            <w:vAlign w:val="center"/>
          </w:tcPr>
          <w:p w14:paraId="2562CED6" w14:textId="77777777" w:rsidR="00454A29" w:rsidRDefault="00454A29">
            <w:pPr>
              <w:pStyle w:val="ConsPlusNormal"/>
            </w:pPr>
          </w:p>
        </w:tc>
      </w:tr>
      <w:tr w:rsidR="00454A29" w14:paraId="43D97DDB" w14:textId="77777777">
        <w:tc>
          <w:tcPr>
            <w:tcW w:w="567" w:type="dxa"/>
            <w:vMerge/>
          </w:tcPr>
          <w:p w14:paraId="20150FF0" w14:textId="77777777" w:rsidR="00454A29" w:rsidRDefault="00454A29"/>
        </w:tc>
        <w:tc>
          <w:tcPr>
            <w:tcW w:w="3345" w:type="dxa"/>
            <w:vMerge/>
          </w:tcPr>
          <w:p w14:paraId="63113005" w14:textId="77777777" w:rsidR="00454A29" w:rsidRDefault="00454A29"/>
        </w:tc>
        <w:tc>
          <w:tcPr>
            <w:tcW w:w="1701" w:type="dxa"/>
            <w:vAlign w:val="center"/>
          </w:tcPr>
          <w:p w14:paraId="256C14BF" w14:textId="77777777" w:rsidR="00454A29" w:rsidRDefault="00454A29">
            <w:pPr>
              <w:pStyle w:val="ConsPlusNormal"/>
              <w:jc w:val="center"/>
            </w:pPr>
            <w:r>
              <w:t>2024</w:t>
            </w:r>
          </w:p>
        </w:tc>
        <w:tc>
          <w:tcPr>
            <w:tcW w:w="1417" w:type="dxa"/>
            <w:vMerge/>
          </w:tcPr>
          <w:p w14:paraId="3E64B090" w14:textId="77777777" w:rsidR="00454A29" w:rsidRDefault="00454A29"/>
        </w:tc>
        <w:tc>
          <w:tcPr>
            <w:tcW w:w="2204" w:type="dxa"/>
            <w:vMerge/>
          </w:tcPr>
          <w:p w14:paraId="37D66199" w14:textId="77777777" w:rsidR="00454A29" w:rsidRDefault="00454A29"/>
        </w:tc>
        <w:tc>
          <w:tcPr>
            <w:tcW w:w="1417" w:type="dxa"/>
            <w:vMerge/>
          </w:tcPr>
          <w:p w14:paraId="366B09E4" w14:textId="77777777" w:rsidR="00454A29" w:rsidRDefault="00454A29"/>
        </w:tc>
        <w:tc>
          <w:tcPr>
            <w:tcW w:w="2324" w:type="dxa"/>
            <w:vMerge/>
          </w:tcPr>
          <w:p w14:paraId="43674B77" w14:textId="77777777" w:rsidR="00454A29" w:rsidRDefault="00454A29"/>
        </w:tc>
        <w:tc>
          <w:tcPr>
            <w:tcW w:w="1701" w:type="dxa"/>
            <w:vAlign w:val="center"/>
          </w:tcPr>
          <w:p w14:paraId="6CC6F3B0" w14:textId="77777777" w:rsidR="00454A29" w:rsidRDefault="00454A29">
            <w:pPr>
              <w:pStyle w:val="ConsPlusNormal"/>
            </w:pPr>
          </w:p>
        </w:tc>
        <w:tc>
          <w:tcPr>
            <w:tcW w:w="1814" w:type="dxa"/>
            <w:vAlign w:val="center"/>
          </w:tcPr>
          <w:p w14:paraId="277F9083" w14:textId="77777777" w:rsidR="00454A29" w:rsidRDefault="00454A29">
            <w:pPr>
              <w:pStyle w:val="ConsPlusNormal"/>
            </w:pPr>
          </w:p>
        </w:tc>
        <w:tc>
          <w:tcPr>
            <w:tcW w:w="1701" w:type="dxa"/>
            <w:vAlign w:val="center"/>
          </w:tcPr>
          <w:p w14:paraId="63D7C8E1" w14:textId="77777777" w:rsidR="00454A29" w:rsidRDefault="00454A29">
            <w:pPr>
              <w:pStyle w:val="ConsPlusNormal"/>
            </w:pPr>
          </w:p>
        </w:tc>
        <w:tc>
          <w:tcPr>
            <w:tcW w:w="1701" w:type="dxa"/>
            <w:vAlign w:val="center"/>
          </w:tcPr>
          <w:p w14:paraId="68425107" w14:textId="77777777" w:rsidR="00454A29" w:rsidRDefault="00454A29">
            <w:pPr>
              <w:pStyle w:val="ConsPlusNormal"/>
            </w:pPr>
          </w:p>
        </w:tc>
        <w:tc>
          <w:tcPr>
            <w:tcW w:w="1814" w:type="dxa"/>
            <w:vAlign w:val="center"/>
          </w:tcPr>
          <w:p w14:paraId="532B6BF5" w14:textId="77777777" w:rsidR="00454A29" w:rsidRDefault="00454A29">
            <w:pPr>
              <w:pStyle w:val="ConsPlusNormal"/>
            </w:pPr>
          </w:p>
        </w:tc>
      </w:tr>
      <w:tr w:rsidR="00454A29" w14:paraId="76A96E4F" w14:textId="77777777">
        <w:tc>
          <w:tcPr>
            <w:tcW w:w="567" w:type="dxa"/>
            <w:vMerge/>
          </w:tcPr>
          <w:p w14:paraId="09BE0AF6" w14:textId="77777777" w:rsidR="00454A29" w:rsidRDefault="00454A29"/>
        </w:tc>
        <w:tc>
          <w:tcPr>
            <w:tcW w:w="3345" w:type="dxa"/>
            <w:vMerge/>
          </w:tcPr>
          <w:p w14:paraId="5AB72F05" w14:textId="77777777" w:rsidR="00454A29" w:rsidRDefault="00454A29"/>
        </w:tc>
        <w:tc>
          <w:tcPr>
            <w:tcW w:w="1701" w:type="dxa"/>
            <w:vAlign w:val="center"/>
          </w:tcPr>
          <w:p w14:paraId="4093C0BD" w14:textId="77777777" w:rsidR="00454A29" w:rsidRDefault="00454A29">
            <w:pPr>
              <w:pStyle w:val="ConsPlusNormal"/>
              <w:jc w:val="center"/>
            </w:pPr>
            <w:r>
              <w:t>2025</w:t>
            </w:r>
          </w:p>
        </w:tc>
        <w:tc>
          <w:tcPr>
            <w:tcW w:w="1417" w:type="dxa"/>
            <w:vMerge/>
          </w:tcPr>
          <w:p w14:paraId="7F55D80A" w14:textId="77777777" w:rsidR="00454A29" w:rsidRDefault="00454A29"/>
        </w:tc>
        <w:tc>
          <w:tcPr>
            <w:tcW w:w="2204" w:type="dxa"/>
            <w:vMerge/>
          </w:tcPr>
          <w:p w14:paraId="1B4DFF7B" w14:textId="77777777" w:rsidR="00454A29" w:rsidRDefault="00454A29"/>
        </w:tc>
        <w:tc>
          <w:tcPr>
            <w:tcW w:w="1417" w:type="dxa"/>
            <w:vMerge/>
          </w:tcPr>
          <w:p w14:paraId="1A4ED14D" w14:textId="77777777" w:rsidR="00454A29" w:rsidRDefault="00454A29"/>
        </w:tc>
        <w:tc>
          <w:tcPr>
            <w:tcW w:w="2324" w:type="dxa"/>
            <w:vMerge/>
          </w:tcPr>
          <w:p w14:paraId="5CC0329D" w14:textId="77777777" w:rsidR="00454A29" w:rsidRDefault="00454A29"/>
        </w:tc>
        <w:tc>
          <w:tcPr>
            <w:tcW w:w="1701" w:type="dxa"/>
            <w:vAlign w:val="center"/>
          </w:tcPr>
          <w:p w14:paraId="5462A15A" w14:textId="77777777" w:rsidR="00454A29" w:rsidRDefault="00454A29">
            <w:pPr>
              <w:pStyle w:val="ConsPlusNormal"/>
              <w:jc w:val="center"/>
            </w:pPr>
            <w:r>
              <w:t>552 502,41</w:t>
            </w:r>
          </w:p>
        </w:tc>
        <w:tc>
          <w:tcPr>
            <w:tcW w:w="1814" w:type="dxa"/>
            <w:vAlign w:val="center"/>
          </w:tcPr>
          <w:p w14:paraId="66D4DE3F" w14:textId="77777777" w:rsidR="00454A29" w:rsidRDefault="00454A29">
            <w:pPr>
              <w:pStyle w:val="ConsPlusNormal"/>
              <w:jc w:val="center"/>
            </w:pPr>
            <w:r>
              <w:t>6 989,16</w:t>
            </w:r>
          </w:p>
        </w:tc>
        <w:tc>
          <w:tcPr>
            <w:tcW w:w="1701" w:type="dxa"/>
            <w:vAlign w:val="center"/>
          </w:tcPr>
          <w:p w14:paraId="0F5F0DF3" w14:textId="77777777" w:rsidR="00454A29" w:rsidRDefault="00454A29">
            <w:pPr>
              <w:pStyle w:val="ConsPlusNormal"/>
              <w:jc w:val="center"/>
            </w:pPr>
            <w:r>
              <w:t>691 926,39</w:t>
            </w:r>
          </w:p>
        </w:tc>
        <w:tc>
          <w:tcPr>
            <w:tcW w:w="1701" w:type="dxa"/>
            <w:vAlign w:val="center"/>
          </w:tcPr>
          <w:p w14:paraId="4CA6EECE" w14:textId="77777777" w:rsidR="00454A29" w:rsidRDefault="00454A29">
            <w:pPr>
              <w:pStyle w:val="ConsPlusNormal"/>
            </w:pPr>
          </w:p>
        </w:tc>
        <w:tc>
          <w:tcPr>
            <w:tcW w:w="1814" w:type="dxa"/>
            <w:vAlign w:val="center"/>
          </w:tcPr>
          <w:p w14:paraId="3B243246" w14:textId="77777777" w:rsidR="00454A29" w:rsidRDefault="00454A29">
            <w:pPr>
              <w:pStyle w:val="ConsPlusNormal"/>
            </w:pPr>
          </w:p>
        </w:tc>
      </w:tr>
      <w:tr w:rsidR="00454A29" w14:paraId="3D77B33F" w14:textId="77777777">
        <w:tc>
          <w:tcPr>
            <w:tcW w:w="567" w:type="dxa"/>
            <w:vMerge/>
          </w:tcPr>
          <w:p w14:paraId="5CF9C675" w14:textId="77777777" w:rsidR="00454A29" w:rsidRDefault="00454A29"/>
        </w:tc>
        <w:tc>
          <w:tcPr>
            <w:tcW w:w="3345" w:type="dxa"/>
            <w:vMerge/>
          </w:tcPr>
          <w:p w14:paraId="753F56C9" w14:textId="77777777" w:rsidR="00454A29" w:rsidRDefault="00454A29"/>
        </w:tc>
        <w:tc>
          <w:tcPr>
            <w:tcW w:w="1701" w:type="dxa"/>
            <w:vAlign w:val="center"/>
          </w:tcPr>
          <w:p w14:paraId="19F14685" w14:textId="77777777" w:rsidR="00454A29" w:rsidRDefault="00454A29">
            <w:pPr>
              <w:pStyle w:val="ConsPlusNormal"/>
              <w:jc w:val="center"/>
            </w:pPr>
            <w:r>
              <w:t>2026</w:t>
            </w:r>
          </w:p>
        </w:tc>
        <w:tc>
          <w:tcPr>
            <w:tcW w:w="1417" w:type="dxa"/>
            <w:vMerge/>
          </w:tcPr>
          <w:p w14:paraId="582B2C90" w14:textId="77777777" w:rsidR="00454A29" w:rsidRDefault="00454A29"/>
        </w:tc>
        <w:tc>
          <w:tcPr>
            <w:tcW w:w="2204" w:type="dxa"/>
            <w:vMerge/>
          </w:tcPr>
          <w:p w14:paraId="0B597EC3" w14:textId="77777777" w:rsidR="00454A29" w:rsidRDefault="00454A29"/>
        </w:tc>
        <w:tc>
          <w:tcPr>
            <w:tcW w:w="1417" w:type="dxa"/>
            <w:vMerge/>
          </w:tcPr>
          <w:p w14:paraId="0360A847" w14:textId="77777777" w:rsidR="00454A29" w:rsidRDefault="00454A29"/>
        </w:tc>
        <w:tc>
          <w:tcPr>
            <w:tcW w:w="2324" w:type="dxa"/>
            <w:vMerge/>
          </w:tcPr>
          <w:p w14:paraId="2E24706E" w14:textId="77777777" w:rsidR="00454A29" w:rsidRDefault="00454A29"/>
        </w:tc>
        <w:tc>
          <w:tcPr>
            <w:tcW w:w="1701" w:type="dxa"/>
            <w:vAlign w:val="center"/>
          </w:tcPr>
          <w:p w14:paraId="46F9EE1F" w14:textId="77777777" w:rsidR="00454A29" w:rsidRDefault="00454A29">
            <w:pPr>
              <w:pStyle w:val="ConsPlusNormal"/>
            </w:pPr>
          </w:p>
        </w:tc>
        <w:tc>
          <w:tcPr>
            <w:tcW w:w="1814" w:type="dxa"/>
            <w:vAlign w:val="center"/>
          </w:tcPr>
          <w:p w14:paraId="7D310402" w14:textId="77777777" w:rsidR="00454A29" w:rsidRDefault="00454A29">
            <w:pPr>
              <w:pStyle w:val="ConsPlusNormal"/>
            </w:pPr>
          </w:p>
        </w:tc>
        <w:tc>
          <w:tcPr>
            <w:tcW w:w="1701" w:type="dxa"/>
            <w:vAlign w:val="center"/>
          </w:tcPr>
          <w:p w14:paraId="5C73BE61" w14:textId="77777777" w:rsidR="00454A29" w:rsidRDefault="00454A29">
            <w:pPr>
              <w:pStyle w:val="ConsPlusNormal"/>
            </w:pPr>
          </w:p>
        </w:tc>
        <w:tc>
          <w:tcPr>
            <w:tcW w:w="1701" w:type="dxa"/>
            <w:vAlign w:val="center"/>
          </w:tcPr>
          <w:p w14:paraId="5F5B809A" w14:textId="77777777" w:rsidR="00454A29" w:rsidRDefault="00454A29">
            <w:pPr>
              <w:pStyle w:val="ConsPlusNormal"/>
            </w:pPr>
          </w:p>
        </w:tc>
        <w:tc>
          <w:tcPr>
            <w:tcW w:w="1814" w:type="dxa"/>
            <w:vAlign w:val="center"/>
          </w:tcPr>
          <w:p w14:paraId="54618D54" w14:textId="77777777" w:rsidR="00454A29" w:rsidRDefault="00454A29">
            <w:pPr>
              <w:pStyle w:val="ConsPlusNormal"/>
            </w:pPr>
          </w:p>
        </w:tc>
      </w:tr>
      <w:tr w:rsidR="00454A29" w14:paraId="7575143B" w14:textId="77777777">
        <w:tc>
          <w:tcPr>
            <w:tcW w:w="567" w:type="dxa"/>
            <w:vMerge w:val="restart"/>
            <w:vAlign w:val="center"/>
          </w:tcPr>
          <w:p w14:paraId="342448A9" w14:textId="77777777" w:rsidR="00454A29" w:rsidRDefault="00454A29">
            <w:pPr>
              <w:pStyle w:val="ConsPlusNormal"/>
              <w:jc w:val="center"/>
            </w:pPr>
            <w:r>
              <w:t>149</w:t>
            </w:r>
          </w:p>
        </w:tc>
        <w:tc>
          <w:tcPr>
            <w:tcW w:w="3345" w:type="dxa"/>
            <w:vMerge w:val="restart"/>
            <w:vAlign w:val="center"/>
          </w:tcPr>
          <w:p w14:paraId="6F044DE3" w14:textId="77777777" w:rsidR="00454A29" w:rsidRDefault="00454A29">
            <w:pPr>
              <w:pStyle w:val="ConsPlusNormal"/>
              <w:jc w:val="center"/>
            </w:pPr>
            <w:r>
              <w:t>Школа на 80 учащихся с. Кюпцы</w:t>
            </w:r>
          </w:p>
        </w:tc>
        <w:tc>
          <w:tcPr>
            <w:tcW w:w="1701" w:type="dxa"/>
            <w:vAlign w:val="center"/>
          </w:tcPr>
          <w:p w14:paraId="132CFD25" w14:textId="77777777" w:rsidR="00454A29" w:rsidRDefault="00454A29">
            <w:pPr>
              <w:pStyle w:val="ConsPlusNormal"/>
              <w:jc w:val="center"/>
            </w:pPr>
            <w:r>
              <w:t>2020 - 2026 годы - всего</w:t>
            </w:r>
          </w:p>
        </w:tc>
        <w:tc>
          <w:tcPr>
            <w:tcW w:w="1417" w:type="dxa"/>
            <w:vMerge w:val="restart"/>
            <w:vAlign w:val="center"/>
          </w:tcPr>
          <w:p w14:paraId="3FF83BB3" w14:textId="77777777" w:rsidR="00454A29" w:rsidRDefault="00454A29">
            <w:pPr>
              <w:pStyle w:val="ConsPlusNormal"/>
              <w:jc w:val="center"/>
            </w:pPr>
            <w:r>
              <w:t>196 173,08</w:t>
            </w:r>
          </w:p>
        </w:tc>
        <w:tc>
          <w:tcPr>
            <w:tcW w:w="2204" w:type="dxa"/>
            <w:vMerge w:val="restart"/>
            <w:vAlign w:val="center"/>
          </w:tcPr>
          <w:p w14:paraId="311711E7" w14:textId="77777777" w:rsidR="00454A29" w:rsidRDefault="00454A29">
            <w:pPr>
              <w:pStyle w:val="ConsPlusNormal"/>
            </w:pPr>
          </w:p>
        </w:tc>
        <w:tc>
          <w:tcPr>
            <w:tcW w:w="1417" w:type="dxa"/>
            <w:vMerge w:val="restart"/>
            <w:vAlign w:val="center"/>
          </w:tcPr>
          <w:p w14:paraId="5D169685" w14:textId="77777777" w:rsidR="00454A29" w:rsidRDefault="00454A29">
            <w:pPr>
              <w:pStyle w:val="ConsPlusNormal"/>
              <w:jc w:val="center"/>
            </w:pPr>
            <w:r>
              <w:t>80</w:t>
            </w:r>
          </w:p>
        </w:tc>
        <w:tc>
          <w:tcPr>
            <w:tcW w:w="2324" w:type="dxa"/>
            <w:vMerge w:val="restart"/>
            <w:vAlign w:val="center"/>
          </w:tcPr>
          <w:p w14:paraId="469950B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2BA8BF9" w14:textId="77777777" w:rsidR="00454A29" w:rsidRDefault="00454A29">
            <w:pPr>
              <w:pStyle w:val="ConsPlusNormal"/>
              <w:jc w:val="center"/>
            </w:pPr>
            <w:r>
              <w:t>196 173,08</w:t>
            </w:r>
          </w:p>
        </w:tc>
        <w:tc>
          <w:tcPr>
            <w:tcW w:w="1814" w:type="dxa"/>
            <w:vAlign w:val="center"/>
          </w:tcPr>
          <w:p w14:paraId="49987CDD" w14:textId="77777777" w:rsidR="00454A29" w:rsidRDefault="00454A29">
            <w:pPr>
              <w:pStyle w:val="ConsPlusNormal"/>
              <w:jc w:val="center"/>
            </w:pPr>
            <w:r>
              <w:t>2 481,59</w:t>
            </w:r>
          </w:p>
        </w:tc>
        <w:tc>
          <w:tcPr>
            <w:tcW w:w="1701" w:type="dxa"/>
            <w:vAlign w:val="center"/>
          </w:tcPr>
          <w:p w14:paraId="79FB06F8" w14:textId="77777777" w:rsidR="00454A29" w:rsidRDefault="00454A29">
            <w:pPr>
              <w:pStyle w:val="ConsPlusNormal"/>
              <w:jc w:val="center"/>
            </w:pPr>
            <w:r>
              <w:t>245 677,36</w:t>
            </w:r>
          </w:p>
        </w:tc>
        <w:tc>
          <w:tcPr>
            <w:tcW w:w="1701" w:type="dxa"/>
            <w:vAlign w:val="center"/>
          </w:tcPr>
          <w:p w14:paraId="2E476363" w14:textId="77777777" w:rsidR="00454A29" w:rsidRDefault="00454A29">
            <w:pPr>
              <w:pStyle w:val="ConsPlusNormal"/>
              <w:jc w:val="center"/>
            </w:pPr>
            <w:r>
              <w:t>-</w:t>
            </w:r>
          </w:p>
        </w:tc>
        <w:tc>
          <w:tcPr>
            <w:tcW w:w="1814" w:type="dxa"/>
            <w:vAlign w:val="center"/>
          </w:tcPr>
          <w:p w14:paraId="03BC9A38" w14:textId="77777777" w:rsidR="00454A29" w:rsidRDefault="00454A29">
            <w:pPr>
              <w:pStyle w:val="ConsPlusNormal"/>
              <w:jc w:val="center"/>
            </w:pPr>
            <w:r>
              <w:t>-</w:t>
            </w:r>
          </w:p>
        </w:tc>
      </w:tr>
      <w:tr w:rsidR="00454A29" w14:paraId="0D8A9008" w14:textId="77777777">
        <w:tc>
          <w:tcPr>
            <w:tcW w:w="567" w:type="dxa"/>
            <w:vMerge/>
          </w:tcPr>
          <w:p w14:paraId="27961CFD" w14:textId="77777777" w:rsidR="00454A29" w:rsidRDefault="00454A29"/>
        </w:tc>
        <w:tc>
          <w:tcPr>
            <w:tcW w:w="3345" w:type="dxa"/>
            <w:vMerge/>
          </w:tcPr>
          <w:p w14:paraId="44E2CBA2" w14:textId="77777777" w:rsidR="00454A29" w:rsidRDefault="00454A29"/>
        </w:tc>
        <w:tc>
          <w:tcPr>
            <w:tcW w:w="1701" w:type="dxa"/>
            <w:vAlign w:val="center"/>
          </w:tcPr>
          <w:p w14:paraId="4BAAE8C2" w14:textId="77777777" w:rsidR="00454A29" w:rsidRDefault="00454A29">
            <w:pPr>
              <w:pStyle w:val="ConsPlusNormal"/>
              <w:jc w:val="center"/>
            </w:pPr>
            <w:r>
              <w:t>2020</w:t>
            </w:r>
          </w:p>
        </w:tc>
        <w:tc>
          <w:tcPr>
            <w:tcW w:w="1417" w:type="dxa"/>
            <w:vMerge/>
          </w:tcPr>
          <w:p w14:paraId="76B02B52" w14:textId="77777777" w:rsidR="00454A29" w:rsidRDefault="00454A29"/>
        </w:tc>
        <w:tc>
          <w:tcPr>
            <w:tcW w:w="2204" w:type="dxa"/>
            <w:vMerge/>
          </w:tcPr>
          <w:p w14:paraId="5F7AE89D" w14:textId="77777777" w:rsidR="00454A29" w:rsidRDefault="00454A29"/>
        </w:tc>
        <w:tc>
          <w:tcPr>
            <w:tcW w:w="1417" w:type="dxa"/>
            <w:vMerge/>
          </w:tcPr>
          <w:p w14:paraId="093ACABF" w14:textId="77777777" w:rsidR="00454A29" w:rsidRDefault="00454A29"/>
        </w:tc>
        <w:tc>
          <w:tcPr>
            <w:tcW w:w="2324" w:type="dxa"/>
            <w:vMerge/>
          </w:tcPr>
          <w:p w14:paraId="2F80B098" w14:textId="77777777" w:rsidR="00454A29" w:rsidRDefault="00454A29"/>
        </w:tc>
        <w:tc>
          <w:tcPr>
            <w:tcW w:w="1701" w:type="dxa"/>
            <w:vAlign w:val="center"/>
          </w:tcPr>
          <w:p w14:paraId="77037B53" w14:textId="77777777" w:rsidR="00454A29" w:rsidRDefault="00454A29">
            <w:pPr>
              <w:pStyle w:val="ConsPlusNormal"/>
            </w:pPr>
          </w:p>
        </w:tc>
        <w:tc>
          <w:tcPr>
            <w:tcW w:w="1814" w:type="dxa"/>
            <w:vAlign w:val="center"/>
          </w:tcPr>
          <w:p w14:paraId="5B9F23A0" w14:textId="77777777" w:rsidR="00454A29" w:rsidRDefault="00454A29">
            <w:pPr>
              <w:pStyle w:val="ConsPlusNormal"/>
            </w:pPr>
          </w:p>
        </w:tc>
        <w:tc>
          <w:tcPr>
            <w:tcW w:w="1701" w:type="dxa"/>
            <w:vAlign w:val="center"/>
          </w:tcPr>
          <w:p w14:paraId="0326905D" w14:textId="77777777" w:rsidR="00454A29" w:rsidRDefault="00454A29">
            <w:pPr>
              <w:pStyle w:val="ConsPlusNormal"/>
            </w:pPr>
          </w:p>
        </w:tc>
        <w:tc>
          <w:tcPr>
            <w:tcW w:w="1701" w:type="dxa"/>
            <w:vAlign w:val="center"/>
          </w:tcPr>
          <w:p w14:paraId="797CEE16" w14:textId="77777777" w:rsidR="00454A29" w:rsidRDefault="00454A29">
            <w:pPr>
              <w:pStyle w:val="ConsPlusNormal"/>
            </w:pPr>
          </w:p>
        </w:tc>
        <w:tc>
          <w:tcPr>
            <w:tcW w:w="1814" w:type="dxa"/>
            <w:vAlign w:val="center"/>
          </w:tcPr>
          <w:p w14:paraId="48C6CBF0" w14:textId="77777777" w:rsidR="00454A29" w:rsidRDefault="00454A29">
            <w:pPr>
              <w:pStyle w:val="ConsPlusNormal"/>
            </w:pPr>
          </w:p>
        </w:tc>
      </w:tr>
      <w:tr w:rsidR="00454A29" w14:paraId="7655A0CC" w14:textId="77777777">
        <w:tc>
          <w:tcPr>
            <w:tcW w:w="567" w:type="dxa"/>
            <w:vMerge/>
          </w:tcPr>
          <w:p w14:paraId="17C42E38" w14:textId="77777777" w:rsidR="00454A29" w:rsidRDefault="00454A29"/>
        </w:tc>
        <w:tc>
          <w:tcPr>
            <w:tcW w:w="3345" w:type="dxa"/>
            <w:vMerge/>
          </w:tcPr>
          <w:p w14:paraId="5C2DCD5E" w14:textId="77777777" w:rsidR="00454A29" w:rsidRDefault="00454A29"/>
        </w:tc>
        <w:tc>
          <w:tcPr>
            <w:tcW w:w="1701" w:type="dxa"/>
            <w:vAlign w:val="center"/>
          </w:tcPr>
          <w:p w14:paraId="642C83BC" w14:textId="77777777" w:rsidR="00454A29" w:rsidRDefault="00454A29">
            <w:pPr>
              <w:pStyle w:val="ConsPlusNormal"/>
              <w:jc w:val="center"/>
            </w:pPr>
            <w:r>
              <w:t>2021</w:t>
            </w:r>
          </w:p>
        </w:tc>
        <w:tc>
          <w:tcPr>
            <w:tcW w:w="1417" w:type="dxa"/>
            <w:vMerge/>
          </w:tcPr>
          <w:p w14:paraId="1AC6B56A" w14:textId="77777777" w:rsidR="00454A29" w:rsidRDefault="00454A29"/>
        </w:tc>
        <w:tc>
          <w:tcPr>
            <w:tcW w:w="2204" w:type="dxa"/>
            <w:vMerge/>
          </w:tcPr>
          <w:p w14:paraId="542A6F7C" w14:textId="77777777" w:rsidR="00454A29" w:rsidRDefault="00454A29"/>
        </w:tc>
        <w:tc>
          <w:tcPr>
            <w:tcW w:w="1417" w:type="dxa"/>
            <w:vMerge/>
          </w:tcPr>
          <w:p w14:paraId="7B03C8ED" w14:textId="77777777" w:rsidR="00454A29" w:rsidRDefault="00454A29"/>
        </w:tc>
        <w:tc>
          <w:tcPr>
            <w:tcW w:w="2324" w:type="dxa"/>
            <w:vMerge/>
          </w:tcPr>
          <w:p w14:paraId="5B4026FB" w14:textId="77777777" w:rsidR="00454A29" w:rsidRDefault="00454A29"/>
        </w:tc>
        <w:tc>
          <w:tcPr>
            <w:tcW w:w="1701" w:type="dxa"/>
            <w:vAlign w:val="center"/>
          </w:tcPr>
          <w:p w14:paraId="472440D4" w14:textId="77777777" w:rsidR="00454A29" w:rsidRDefault="00454A29">
            <w:pPr>
              <w:pStyle w:val="ConsPlusNormal"/>
            </w:pPr>
          </w:p>
        </w:tc>
        <w:tc>
          <w:tcPr>
            <w:tcW w:w="1814" w:type="dxa"/>
            <w:vAlign w:val="center"/>
          </w:tcPr>
          <w:p w14:paraId="54D7D018" w14:textId="77777777" w:rsidR="00454A29" w:rsidRDefault="00454A29">
            <w:pPr>
              <w:pStyle w:val="ConsPlusNormal"/>
            </w:pPr>
          </w:p>
        </w:tc>
        <w:tc>
          <w:tcPr>
            <w:tcW w:w="1701" w:type="dxa"/>
            <w:vAlign w:val="center"/>
          </w:tcPr>
          <w:p w14:paraId="765702B4" w14:textId="77777777" w:rsidR="00454A29" w:rsidRDefault="00454A29">
            <w:pPr>
              <w:pStyle w:val="ConsPlusNormal"/>
            </w:pPr>
          </w:p>
        </w:tc>
        <w:tc>
          <w:tcPr>
            <w:tcW w:w="1701" w:type="dxa"/>
            <w:vAlign w:val="center"/>
          </w:tcPr>
          <w:p w14:paraId="030FB95E" w14:textId="77777777" w:rsidR="00454A29" w:rsidRDefault="00454A29">
            <w:pPr>
              <w:pStyle w:val="ConsPlusNormal"/>
            </w:pPr>
          </w:p>
        </w:tc>
        <w:tc>
          <w:tcPr>
            <w:tcW w:w="1814" w:type="dxa"/>
            <w:vAlign w:val="center"/>
          </w:tcPr>
          <w:p w14:paraId="0D46F5F0" w14:textId="77777777" w:rsidR="00454A29" w:rsidRDefault="00454A29">
            <w:pPr>
              <w:pStyle w:val="ConsPlusNormal"/>
            </w:pPr>
          </w:p>
        </w:tc>
      </w:tr>
      <w:tr w:rsidR="00454A29" w14:paraId="56E88980" w14:textId="77777777">
        <w:tc>
          <w:tcPr>
            <w:tcW w:w="567" w:type="dxa"/>
            <w:vMerge/>
          </w:tcPr>
          <w:p w14:paraId="4E06B42D" w14:textId="77777777" w:rsidR="00454A29" w:rsidRDefault="00454A29"/>
        </w:tc>
        <w:tc>
          <w:tcPr>
            <w:tcW w:w="3345" w:type="dxa"/>
            <w:vMerge/>
          </w:tcPr>
          <w:p w14:paraId="723AF9A3" w14:textId="77777777" w:rsidR="00454A29" w:rsidRDefault="00454A29"/>
        </w:tc>
        <w:tc>
          <w:tcPr>
            <w:tcW w:w="1701" w:type="dxa"/>
            <w:vAlign w:val="center"/>
          </w:tcPr>
          <w:p w14:paraId="5B87D381" w14:textId="77777777" w:rsidR="00454A29" w:rsidRDefault="00454A29">
            <w:pPr>
              <w:pStyle w:val="ConsPlusNormal"/>
              <w:jc w:val="center"/>
            </w:pPr>
            <w:r>
              <w:t>2022</w:t>
            </w:r>
          </w:p>
        </w:tc>
        <w:tc>
          <w:tcPr>
            <w:tcW w:w="1417" w:type="dxa"/>
            <w:vMerge/>
          </w:tcPr>
          <w:p w14:paraId="04C9EE48" w14:textId="77777777" w:rsidR="00454A29" w:rsidRDefault="00454A29"/>
        </w:tc>
        <w:tc>
          <w:tcPr>
            <w:tcW w:w="2204" w:type="dxa"/>
            <w:vMerge/>
          </w:tcPr>
          <w:p w14:paraId="51C701A5" w14:textId="77777777" w:rsidR="00454A29" w:rsidRDefault="00454A29"/>
        </w:tc>
        <w:tc>
          <w:tcPr>
            <w:tcW w:w="1417" w:type="dxa"/>
            <w:vMerge/>
          </w:tcPr>
          <w:p w14:paraId="5A96E757" w14:textId="77777777" w:rsidR="00454A29" w:rsidRDefault="00454A29"/>
        </w:tc>
        <w:tc>
          <w:tcPr>
            <w:tcW w:w="2324" w:type="dxa"/>
            <w:vMerge/>
          </w:tcPr>
          <w:p w14:paraId="6A35CA9F" w14:textId="77777777" w:rsidR="00454A29" w:rsidRDefault="00454A29"/>
        </w:tc>
        <w:tc>
          <w:tcPr>
            <w:tcW w:w="1701" w:type="dxa"/>
            <w:vAlign w:val="center"/>
          </w:tcPr>
          <w:p w14:paraId="2CAB23AF" w14:textId="77777777" w:rsidR="00454A29" w:rsidRDefault="00454A29">
            <w:pPr>
              <w:pStyle w:val="ConsPlusNormal"/>
            </w:pPr>
          </w:p>
        </w:tc>
        <w:tc>
          <w:tcPr>
            <w:tcW w:w="1814" w:type="dxa"/>
            <w:vAlign w:val="center"/>
          </w:tcPr>
          <w:p w14:paraId="3C84B5F5" w14:textId="77777777" w:rsidR="00454A29" w:rsidRDefault="00454A29">
            <w:pPr>
              <w:pStyle w:val="ConsPlusNormal"/>
            </w:pPr>
          </w:p>
        </w:tc>
        <w:tc>
          <w:tcPr>
            <w:tcW w:w="1701" w:type="dxa"/>
            <w:vAlign w:val="center"/>
          </w:tcPr>
          <w:p w14:paraId="4A45597C" w14:textId="77777777" w:rsidR="00454A29" w:rsidRDefault="00454A29">
            <w:pPr>
              <w:pStyle w:val="ConsPlusNormal"/>
            </w:pPr>
          </w:p>
        </w:tc>
        <w:tc>
          <w:tcPr>
            <w:tcW w:w="1701" w:type="dxa"/>
            <w:vAlign w:val="center"/>
          </w:tcPr>
          <w:p w14:paraId="6186CFF3" w14:textId="77777777" w:rsidR="00454A29" w:rsidRDefault="00454A29">
            <w:pPr>
              <w:pStyle w:val="ConsPlusNormal"/>
            </w:pPr>
          </w:p>
        </w:tc>
        <w:tc>
          <w:tcPr>
            <w:tcW w:w="1814" w:type="dxa"/>
            <w:vAlign w:val="center"/>
          </w:tcPr>
          <w:p w14:paraId="0BE47852" w14:textId="77777777" w:rsidR="00454A29" w:rsidRDefault="00454A29">
            <w:pPr>
              <w:pStyle w:val="ConsPlusNormal"/>
            </w:pPr>
          </w:p>
        </w:tc>
      </w:tr>
      <w:tr w:rsidR="00454A29" w14:paraId="32D1DD57" w14:textId="77777777">
        <w:tc>
          <w:tcPr>
            <w:tcW w:w="567" w:type="dxa"/>
            <w:vMerge/>
          </w:tcPr>
          <w:p w14:paraId="31EFD7AE" w14:textId="77777777" w:rsidR="00454A29" w:rsidRDefault="00454A29"/>
        </w:tc>
        <w:tc>
          <w:tcPr>
            <w:tcW w:w="3345" w:type="dxa"/>
            <w:vMerge/>
          </w:tcPr>
          <w:p w14:paraId="5932026E" w14:textId="77777777" w:rsidR="00454A29" w:rsidRDefault="00454A29"/>
        </w:tc>
        <w:tc>
          <w:tcPr>
            <w:tcW w:w="1701" w:type="dxa"/>
            <w:vAlign w:val="center"/>
          </w:tcPr>
          <w:p w14:paraId="6E941617" w14:textId="77777777" w:rsidR="00454A29" w:rsidRDefault="00454A29">
            <w:pPr>
              <w:pStyle w:val="ConsPlusNormal"/>
              <w:jc w:val="center"/>
            </w:pPr>
            <w:r>
              <w:t>2023</w:t>
            </w:r>
          </w:p>
        </w:tc>
        <w:tc>
          <w:tcPr>
            <w:tcW w:w="1417" w:type="dxa"/>
            <w:vMerge/>
          </w:tcPr>
          <w:p w14:paraId="42207248" w14:textId="77777777" w:rsidR="00454A29" w:rsidRDefault="00454A29"/>
        </w:tc>
        <w:tc>
          <w:tcPr>
            <w:tcW w:w="2204" w:type="dxa"/>
            <w:vMerge/>
          </w:tcPr>
          <w:p w14:paraId="71CD0CCB" w14:textId="77777777" w:rsidR="00454A29" w:rsidRDefault="00454A29"/>
        </w:tc>
        <w:tc>
          <w:tcPr>
            <w:tcW w:w="1417" w:type="dxa"/>
            <w:vMerge/>
          </w:tcPr>
          <w:p w14:paraId="6270C360" w14:textId="77777777" w:rsidR="00454A29" w:rsidRDefault="00454A29"/>
        </w:tc>
        <w:tc>
          <w:tcPr>
            <w:tcW w:w="2324" w:type="dxa"/>
            <w:vMerge/>
          </w:tcPr>
          <w:p w14:paraId="1B042EFE" w14:textId="77777777" w:rsidR="00454A29" w:rsidRDefault="00454A29"/>
        </w:tc>
        <w:tc>
          <w:tcPr>
            <w:tcW w:w="1701" w:type="dxa"/>
            <w:vAlign w:val="center"/>
          </w:tcPr>
          <w:p w14:paraId="0A8B7615" w14:textId="77777777" w:rsidR="00454A29" w:rsidRDefault="00454A29">
            <w:pPr>
              <w:pStyle w:val="ConsPlusNormal"/>
            </w:pPr>
          </w:p>
        </w:tc>
        <w:tc>
          <w:tcPr>
            <w:tcW w:w="1814" w:type="dxa"/>
            <w:vAlign w:val="center"/>
          </w:tcPr>
          <w:p w14:paraId="233DB2C3" w14:textId="77777777" w:rsidR="00454A29" w:rsidRDefault="00454A29">
            <w:pPr>
              <w:pStyle w:val="ConsPlusNormal"/>
            </w:pPr>
          </w:p>
        </w:tc>
        <w:tc>
          <w:tcPr>
            <w:tcW w:w="1701" w:type="dxa"/>
            <w:vAlign w:val="center"/>
          </w:tcPr>
          <w:p w14:paraId="10FF9FFC" w14:textId="77777777" w:rsidR="00454A29" w:rsidRDefault="00454A29">
            <w:pPr>
              <w:pStyle w:val="ConsPlusNormal"/>
            </w:pPr>
          </w:p>
        </w:tc>
        <w:tc>
          <w:tcPr>
            <w:tcW w:w="1701" w:type="dxa"/>
            <w:vAlign w:val="center"/>
          </w:tcPr>
          <w:p w14:paraId="39A9426A" w14:textId="77777777" w:rsidR="00454A29" w:rsidRDefault="00454A29">
            <w:pPr>
              <w:pStyle w:val="ConsPlusNormal"/>
            </w:pPr>
          </w:p>
        </w:tc>
        <w:tc>
          <w:tcPr>
            <w:tcW w:w="1814" w:type="dxa"/>
            <w:vAlign w:val="center"/>
          </w:tcPr>
          <w:p w14:paraId="2D65BB5E" w14:textId="77777777" w:rsidR="00454A29" w:rsidRDefault="00454A29">
            <w:pPr>
              <w:pStyle w:val="ConsPlusNormal"/>
            </w:pPr>
          </w:p>
        </w:tc>
      </w:tr>
      <w:tr w:rsidR="00454A29" w14:paraId="3B180FA6" w14:textId="77777777">
        <w:tc>
          <w:tcPr>
            <w:tcW w:w="567" w:type="dxa"/>
            <w:vMerge/>
          </w:tcPr>
          <w:p w14:paraId="3825246E" w14:textId="77777777" w:rsidR="00454A29" w:rsidRDefault="00454A29"/>
        </w:tc>
        <w:tc>
          <w:tcPr>
            <w:tcW w:w="3345" w:type="dxa"/>
            <w:vMerge/>
          </w:tcPr>
          <w:p w14:paraId="03F350EE" w14:textId="77777777" w:rsidR="00454A29" w:rsidRDefault="00454A29"/>
        </w:tc>
        <w:tc>
          <w:tcPr>
            <w:tcW w:w="1701" w:type="dxa"/>
            <w:vAlign w:val="center"/>
          </w:tcPr>
          <w:p w14:paraId="28745A15" w14:textId="77777777" w:rsidR="00454A29" w:rsidRDefault="00454A29">
            <w:pPr>
              <w:pStyle w:val="ConsPlusNormal"/>
              <w:jc w:val="center"/>
            </w:pPr>
            <w:r>
              <w:t>2024</w:t>
            </w:r>
          </w:p>
        </w:tc>
        <w:tc>
          <w:tcPr>
            <w:tcW w:w="1417" w:type="dxa"/>
            <w:vMerge/>
          </w:tcPr>
          <w:p w14:paraId="12B0A422" w14:textId="77777777" w:rsidR="00454A29" w:rsidRDefault="00454A29"/>
        </w:tc>
        <w:tc>
          <w:tcPr>
            <w:tcW w:w="2204" w:type="dxa"/>
            <w:vMerge/>
          </w:tcPr>
          <w:p w14:paraId="1D95714A" w14:textId="77777777" w:rsidR="00454A29" w:rsidRDefault="00454A29"/>
        </w:tc>
        <w:tc>
          <w:tcPr>
            <w:tcW w:w="1417" w:type="dxa"/>
            <w:vMerge/>
          </w:tcPr>
          <w:p w14:paraId="0927DB8F" w14:textId="77777777" w:rsidR="00454A29" w:rsidRDefault="00454A29"/>
        </w:tc>
        <w:tc>
          <w:tcPr>
            <w:tcW w:w="2324" w:type="dxa"/>
            <w:vMerge/>
          </w:tcPr>
          <w:p w14:paraId="591EAEDA" w14:textId="77777777" w:rsidR="00454A29" w:rsidRDefault="00454A29"/>
        </w:tc>
        <w:tc>
          <w:tcPr>
            <w:tcW w:w="1701" w:type="dxa"/>
            <w:vAlign w:val="center"/>
          </w:tcPr>
          <w:p w14:paraId="0926B9FD" w14:textId="77777777" w:rsidR="00454A29" w:rsidRDefault="00454A29">
            <w:pPr>
              <w:pStyle w:val="ConsPlusNormal"/>
            </w:pPr>
          </w:p>
        </w:tc>
        <w:tc>
          <w:tcPr>
            <w:tcW w:w="1814" w:type="dxa"/>
            <w:vAlign w:val="center"/>
          </w:tcPr>
          <w:p w14:paraId="2DB9DBC1" w14:textId="77777777" w:rsidR="00454A29" w:rsidRDefault="00454A29">
            <w:pPr>
              <w:pStyle w:val="ConsPlusNormal"/>
            </w:pPr>
          </w:p>
        </w:tc>
        <w:tc>
          <w:tcPr>
            <w:tcW w:w="1701" w:type="dxa"/>
            <w:vAlign w:val="center"/>
          </w:tcPr>
          <w:p w14:paraId="4E304178" w14:textId="77777777" w:rsidR="00454A29" w:rsidRDefault="00454A29">
            <w:pPr>
              <w:pStyle w:val="ConsPlusNormal"/>
            </w:pPr>
          </w:p>
        </w:tc>
        <w:tc>
          <w:tcPr>
            <w:tcW w:w="1701" w:type="dxa"/>
            <w:vAlign w:val="center"/>
          </w:tcPr>
          <w:p w14:paraId="2C4C87F0" w14:textId="77777777" w:rsidR="00454A29" w:rsidRDefault="00454A29">
            <w:pPr>
              <w:pStyle w:val="ConsPlusNormal"/>
            </w:pPr>
          </w:p>
        </w:tc>
        <w:tc>
          <w:tcPr>
            <w:tcW w:w="1814" w:type="dxa"/>
            <w:vAlign w:val="center"/>
          </w:tcPr>
          <w:p w14:paraId="0F07D8E2" w14:textId="77777777" w:rsidR="00454A29" w:rsidRDefault="00454A29">
            <w:pPr>
              <w:pStyle w:val="ConsPlusNormal"/>
            </w:pPr>
          </w:p>
        </w:tc>
      </w:tr>
      <w:tr w:rsidR="00454A29" w14:paraId="441E854E" w14:textId="77777777">
        <w:tc>
          <w:tcPr>
            <w:tcW w:w="567" w:type="dxa"/>
            <w:vMerge/>
          </w:tcPr>
          <w:p w14:paraId="251D19F7" w14:textId="77777777" w:rsidR="00454A29" w:rsidRDefault="00454A29"/>
        </w:tc>
        <w:tc>
          <w:tcPr>
            <w:tcW w:w="3345" w:type="dxa"/>
            <w:vMerge/>
          </w:tcPr>
          <w:p w14:paraId="6879D738" w14:textId="77777777" w:rsidR="00454A29" w:rsidRDefault="00454A29"/>
        </w:tc>
        <w:tc>
          <w:tcPr>
            <w:tcW w:w="1701" w:type="dxa"/>
            <w:vAlign w:val="center"/>
          </w:tcPr>
          <w:p w14:paraId="25426BEB" w14:textId="77777777" w:rsidR="00454A29" w:rsidRDefault="00454A29">
            <w:pPr>
              <w:pStyle w:val="ConsPlusNormal"/>
              <w:jc w:val="center"/>
            </w:pPr>
            <w:r>
              <w:t>2025</w:t>
            </w:r>
          </w:p>
        </w:tc>
        <w:tc>
          <w:tcPr>
            <w:tcW w:w="1417" w:type="dxa"/>
            <w:vMerge/>
          </w:tcPr>
          <w:p w14:paraId="0032D16B" w14:textId="77777777" w:rsidR="00454A29" w:rsidRDefault="00454A29"/>
        </w:tc>
        <w:tc>
          <w:tcPr>
            <w:tcW w:w="2204" w:type="dxa"/>
            <w:vMerge/>
          </w:tcPr>
          <w:p w14:paraId="3898AE71" w14:textId="77777777" w:rsidR="00454A29" w:rsidRDefault="00454A29"/>
        </w:tc>
        <w:tc>
          <w:tcPr>
            <w:tcW w:w="1417" w:type="dxa"/>
            <w:vMerge/>
          </w:tcPr>
          <w:p w14:paraId="54690436" w14:textId="77777777" w:rsidR="00454A29" w:rsidRDefault="00454A29"/>
        </w:tc>
        <w:tc>
          <w:tcPr>
            <w:tcW w:w="2324" w:type="dxa"/>
            <w:vMerge/>
          </w:tcPr>
          <w:p w14:paraId="5BD367B4" w14:textId="77777777" w:rsidR="00454A29" w:rsidRDefault="00454A29"/>
        </w:tc>
        <w:tc>
          <w:tcPr>
            <w:tcW w:w="1701" w:type="dxa"/>
            <w:vAlign w:val="center"/>
          </w:tcPr>
          <w:p w14:paraId="583E474B" w14:textId="77777777" w:rsidR="00454A29" w:rsidRDefault="00454A29">
            <w:pPr>
              <w:pStyle w:val="ConsPlusNormal"/>
              <w:jc w:val="center"/>
            </w:pPr>
            <w:r>
              <w:t>196 173,08</w:t>
            </w:r>
          </w:p>
        </w:tc>
        <w:tc>
          <w:tcPr>
            <w:tcW w:w="1814" w:type="dxa"/>
            <w:vAlign w:val="center"/>
          </w:tcPr>
          <w:p w14:paraId="6841FF74" w14:textId="77777777" w:rsidR="00454A29" w:rsidRDefault="00454A29">
            <w:pPr>
              <w:pStyle w:val="ConsPlusNormal"/>
              <w:jc w:val="center"/>
            </w:pPr>
            <w:r>
              <w:t>2 481,59</w:t>
            </w:r>
          </w:p>
        </w:tc>
        <w:tc>
          <w:tcPr>
            <w:tcW w:w="1701" w:type="dxa"/>
            <w:vAlign w:val="center"/>
          </w:tcPr>
          <w:p w14:paraId="46F204F8" w14:textId="77777777" w:rsidR="00454A29" w:rsidRDefault="00454A29">
            <w:pPr>
              <w:pStyle w:val="ConsPlusNormal"/>
              <w:jc w:val="center"/>
            </w:pPr>
            <w:r>
              <w:t>245 677,36</w:t>
            </w:r>
          </w:p>
        </w:tc>
        <w:tc>
          <w:tcPr>
            <w:tcW w:w="1701" w:type="dxa"/>
            <w:vAlign w:val="center"/>
          </w:tcPr>
          <w:p w14:paraId="4DB57349" w14:textId="77777777" w:rsidR="00454A29" w:rsidRDefault="00454A29">
            <w:pPr>
              <w:pStyle w:val="ConsPlusNormal"/>
            </w:pPr>
          </w:p>
        </w:tc>
        <w:tc>
          <w:tcPr>
            <w:tcW w:w="1814" w:type="dxa"/>
            <w:vAlign w:val="center"/>
          </w:tcPr>
          <w:p w14:paraId="4514A584" w14:textId="77777777" w:rsidR="00454A29" w:rsidRDefault="00454A29">
            <w:pPr>
              <w:pStyle w:val="ConsPlusNormal"/>
            </w:pPr>
          </w:p>
        </w:tc>
      </w:tr>
      <w:tr w:rsidR="00454A29" w14:paraId="7FD8B59E" w14:textId="77777777">
        <w:tc>
          <w:tcPr>
            <w:tcW w:w="567" w:type="dxa"/>
            <w:vMerge/>
          </w:tcPr>
          <w:p w14:paraId="61ECDEB2" w14:textId="77777777" w:rsidR="00454A29" w:rsidRDefault="00454A29"/>
        </w:tc>
        <w:tc>
          <w:tcPr>
            <w:tcW w:w="3345" w:type="dxa"/>
            <w:vMerge/>
          </w:tcPr>
          <w:p w14:paraId="572838F1" w14:textId="77777777" w:rsidR="00454A29" w:rsidRDefault="00454A29"/>
        </w:tc>
        <w:tc>
          <w:tcPr>
            <w:tcW w:w="1701" w:type="dxa"/>
            <w:vAlign w:val="center"/>
          </w:tcPr>
          <w:p w14:paraId="3D1D4D11" w14:textId="77777777" w:rsidR="00454A29" w:rsidRDefault="00454A29">
            <w:pPr>
              <w:pStyle w:val="ConsPlusNormal"/>
              <w:jc w:val="center"/>
            </w:pPr>
            <w:r>
              <w:t>2026</w:t>
            </w:r>
          </w:p>
        </w:tc>
        <w:tc>
          <w:tcPr>
            <w:tcW w:w="1417" w:type="dxa"/>
            <w:vMerge/>
          </w:tcPr>
          <w:p w14:paraId="28226503" w14:textId="77777777" w:rsidR="00454A29" w:rsidRDefault="00454A29"/>
        </w:tc>
        <w:tc>
          <w:tcPr>
            <w:tcW w:w="2204" w:type="dxa"/>
            <w:vMerge/>
          </w:tcPr>
          <w:p w14:paraId="4A89E3C7" w14:textId="77777777" w:rsidR="00454A29" w:rsidRDefault="00454A29"/>
        </w:tc>
        <w:tc>
          <w:tcPr>
            <w:tcW w:w="1417" w:type="dxa"/>
            <w:vMerge/>
          </w:tcPr>
          <w:p w14:paraId="26F43245" w14:textId="77777777" w:rsidR="00454A29" w:rsidRDefault="00454A29"/>
        </w:tc>
        <w:tc>
          <w:tcPr>
            <w:tcW w:w="2324" w:type="dxa"/>
            <w:vMerge/>
          </w:tcPr>
          <w:p w14:paraId="013946E7" w14:textId="77777777" w:rsidR="00454A29" w:rsidRDefault="00454A29"/>
        </w:tc>
        <w:tc>
          <w:tcPr>
            <w:tcW w:w="1701" w:type="dxa"/>
            <w:vAlign w:val="center"/>
          </w:tcPr>
          <w:p w14:paraId="0D61CA7D" w14:textId="77777777" w:rsidR="00454A29" w:rsidRDefault="00454A29">
            <w:pPr>
              <w:pStyle w:val="ConsPlusNormal"/>
              <w:jc w:val="center"/>
            </w:pPr>
            <w:r>
              <w:t>-</w:t>
            </w:r>
          </w:p>
        </w:tc>
        <w:tc>
          <w:tcPr>
            <w:tcW w:w="1814" w:type="dxa"/>
            <w:vAlign w:val="center"/>
          </w:tcPr>
          <w:p w14:paraId="7BA1C439" w14:textId="77777777" w:rsidR="00454A29" w:rsidRDefault="00454A29">
            <w:pPr>
              <w:pStyle w:val="ConsPlusNormal"/>
            </w:pPr>
          </w:p>
        </w:tc>
        <w:tc>
          <w:tcPr>
            <w:tcW w:w="1701" w:type="dxa"/>
            <w:vAlign w:val="center"/>
          </w:tcPr>
          <w:p w14:paraId="07F1A77F" w14:textId="77777777" w:rsidR="00454A29" w:rsidRDefault="00454A29">
            <w:pPr>
              <w:pStyle w:val="ConsPlusNormal"/>
            </w:pPr>
          </w:p>
        </w:tc>
        <w:tc>
          <w:tcPr>
            <w:tcW w:w="1701" w:type="dxa"/>
            <w:vAlign w:val="center"/>
          </w:tcPr>
          <w:p w14:paraId="5CB37AD7" w14:textId="77777777" w:rsidR="00454A29" w:rsidRDefault="00454A29">
            <w:pPr>
              <w:pStyle w:val="ConsPlusNormal"/>
            </w:pPr>
          </w:p>
        </w:tc>
        <w:tc>
          <w:tcPr>
            <w:tcW w:w="1814" w:type="dxa"/>
            <w:vAlign w:val="center"/>
          </w:tcPr>
          <w:p w14:paraId="6C7C83C9" w14:textId="77777777" w:rsidR="00454A29" w:rsidRDefault="00454A29">
            <w:pPr>
              <w:pStyle w:val="ConsPlusNormal"/>
            </w:pPr>
          </w:p>
        </w:tc>
      </w:tr>
      <w:tr w:rsidR="00454A29" w14:paraId="54DA4572" w14:textId="77777777">
        <w:tc>
          <w:tcPr>
            <w:tcW w:w="21706" w:type="dxa"/>
            <w:gridSpan w:val="12"/>
            <w:vAlign w:val="center"/>
          </w:tcPr>
          <w:p w14:paraId="37BC7B7D" w14:textId="77777777" w:rsidR="00454A29" w:rsidRDefault="00454A29">
            <w:pPr>
              <w:pStyle w:val="ConsPlusNormal"/>
              <w:jc w:val="center"/>
              <w:outlineLvl w:val="2"/>
            </w:pPr>
            <w:r>
              <w:t>МО "Усть-Янский улус (район)"</w:t>
            </w:r>
          </w:p>
        </w:tc>
      </w:tr>
      <w:tr w:rsidR="00454A29" w14:paraId="0C4A2124" w14:textId="77777777">
        <w:tc>
          <w:tcPr>
            <w:tcW w:w="567" w:type="dxa"/>
            <w:vMerge w:val="restart"/>
            <w:vAlign w:val="center"/>
          </w:tcPr>
          <w:p w14:paraId="54A71ADA" w14:textId="77777777" w:rsidR="00454A29" w:rsidRDefault="00454A29">
            <w:pPr>
              <w:pStyle w:val="ConsPlusNormal"/>
              <w:jc w:val="center"/>
            </w:pPr>
            <w:r>
              <w:t>150</w:t>
            </w:r>
          </w:p>
        </w:tc>
        <w:tc>
          <w:tcPr>
            <w:tcW w:w="3345" w:type="dxa"/>
            <w:vMerge w:val="restart"/>
            <w:vAlign w:val="center"/>
          </w:tcPr>
          <w:p w14:paraId="29BE0160" w14:textId="77777777" w:rsidR="00454A29" w:rsidRDefault="00454A29">
            <w:pPr>
              <w:pStyle w:val="ConsPlusNormal"/>
              <w:jc w:val="center"/>
            </w:pPr>
            <w:r>
              <w:t>Школа-сад на 20/15 мест в с. Юкагир</w:t>
            </w:r>
          </w:p>
        </w:tc>
        <w:tc>
          <w:tcPr>
            <w:tcW w:w="1701" w:type="dxa"/>
            <w:vAlign w:val="center"/>
          </w:tcPr>
          <w:p w14:paraId="79479417" w14:textId="77777777" w:rsidR="00454A29" w:rsidRDefault="00454A29">
            <w:pPr>
              <w:pStyle w:val="ConsPlusNormal"/>
              <w:jc w:val="center"/>
            </w:pPr>
            <w:r>
              <w:t>2020 - 2026 годы - всего</w:t>
            </w:r>
          </w:p>
        </w:tc>
        <w:tc>
          <w:tcPr>
            <w:tcW w:w="1417" w:type="dxa"/>
            <w:vMerge w:val="restart"/>
            <w:vAlign w:val="center"/>
          </w:tcPr>
          <w:p w14:paraId="4A093CDA" w14:textId="77777777" w:rsidR="00454A29" w:rsidRDefault="00454A29">
            <w:pPr>
              <w:pStyle w:val="ConsPlusNormal"/>
              <w:jc w:val="center"/>
            </w:pPr>
            <w:r>
              <w:t>205 218,42</w:t>
            </w:r>
          </w:p>
        </w:tc>
        <w:tc>
          <w:tcPr>
            <w:tcW w:w="2204" w:type="dxa"/>
            <w:vMerge w:val="restart"/>
            <w:vAlign w:val="center"/>
          </w:tcPr>
          <w:p w14:paraId="5F7052D5" w14:textId="77777777" w:rsidR="00454A29" w:rsidRDefault="00454A29">
            <w:pPr>
              <w:pStyle w:val="ConsPlusNormal"/>
            </w:pPr>
          </w:p>
        </w:tc>
        <w:tc>
          <w:tcPr>
            <w:tcW w:w="1417" w:type="dxa"/>
            <w:vMerge w:val="restart"/>
            <w:vAlign w:val="center"/>
          </w:tcPr>
          <w:p w14:paraId="732694D6" w14:textId="77777777" w:rsidR="00454A29" w:rsidRDefault="00454A29">
            <w:pPr>
              <w:pStyle w:val="ConsPlusNormal"/>
              <w:jc w:val="center"/>
            </w:pPr>
            <w:r>
              <w:t>20</w:t>
            </w:r>
          </w:p>
        </w:tc>
        <w:tc>
          <w:tcPr>
            <w:tcW w:w="2324" w:type="dxa"/>
            <w:vMerge w:val="restart"/>
            <w:vAlign w:val="center"/>
          </w:tcPr>
          <w:p w14:paraId="2A28BF5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8405DB7" w14:textId="77777777" w:rsidR="00454A29" w:rsidRDefault="00454A29">
            <w:pPr>
              <w:pStyle w:val="ConsPlusNormal"/>
              <w:jc w:val="center"/>
            </w:pPr>
            <w:r>
              <w:t>205 218,42</w:t>
            </w:r>
          </w:p>
        </w:tc>
        <w:tc>
          <w:tcPr>
            <w:tcW w:w="1814" w:type="dxa"/>
            <w:vAlign w:val="center"/>
          </w:tcPr>
          <w:p w14:paraId="585826C5" w14:textId="77777777" w:rsidR="00454A29" w:rsidRDefault="00454A29">
            <w:pPr>
              <w:pStyle w:val="ConsPlusNormal"/>
              <w:jc w:val="center"/>
            </w:pPr>
            <w:r>
              <w:t>2 528,29</w:t>
            </w:r>
          </w:p>
        </w:tc>
        <w:tc>
          <w:tcPr>
            <w:tcW w:w="1701" w:type="dxa"/>
            <w:vAlign w:val="center"/>
          </w:tcPr>
          <w:p w14:paraId="48D445FB" w14:textId="77777777" w:rsidR="00454A29" w:rsidRDefault="00454A29">
            <w:pPr>
              <w:pStyle w:val="ConsPlusNormal"/>
              <w:jc w:val="center"/>
            </w:pPr>
            <w:r>
              <w:t>250 300,80</w:t>
            </w:r>
          </w:p>
        </w:tc>
        <w:tc>
          <w:tcPr>
            <w:tcW w:w="1701" w:type="dxa"/>
            <w:vAlign w:val="center"/>
          </w:tcPr>
          <w:p w14:paraId="128D960A" w14:textId="77777777" w:rsidR="00454A29" w:rsidRDefault="00454A29">
            <w:pPr>
              <w:pStyle w:val="ConsPlusNormal"/>
              <w:jc w:val="center"/>
            </w:pPr>
            <w:r>
              <w:t>-</w:t>
            </w:r>
          </w:p>
        </w:tc>
        <w:tc>
          <w:tcPr>
            <w:tcW w:w="1814" w:type="dxa"/>
            <w:vAlign w:val="center"/>
          </w:tcPr>
          <w:p w14:paraId="5CC1A7AB" w14:textId="77777777" w:rsidR="00454A29" w:rsidRDefault="00454A29">
            <w:pPr>
              <w:pStyle w:val="ConsPlusNormal"/>
              <w:jc w:val="center"/>
            </w:pPr>
            <w:r>
              <w:t>-</w:t>
            </w:r>
          </w:p>
        </w:tc>
      </w:tr>
      <w:tr w:rsidR="00454A29" w14:paraId="5DEB51E9" w14:textId="77777777">
        <w:tc>
          <w:tcPr>
            <w:tcW w:w="567" w:type="dxa"/>
            <w:vMerge/>
          </w:tcPr>
          <w:p w14:paraId="12E629A3" w14:textId="77777777" w:rsidR="00454A29" w:rsidRDefault="00454A29"/>
        </w:tc>
        <w:tc>
          <w:tcPr>
            <w:tcW w:w="3345" w:type="dxa"/>
            <w:vMerge/>
          </w:tcPr>
          <w:p w14:paraId="22D8179A" w14:textId="77777777" w:rsidR="00454A29" w:rsidRDefault="00454A29"/>
        </w:tc>
        <w:tc>
          <w:tcPr>
            <w:tcW w:w="1701" w:type="dxa"/>
            <w:vAlign w:val="center"/>
          </w:tcPr>
          <w:p w14:paraId="570E2A10" w14:textId="77777777" w:rsidR="00454A29" w:rsidRDefault="00454A29">
            <w:pPr>
              <w:pStyle w:val="ConsPlusNormal"/>
              <w:jc w:val="center"/>
            </w:pPr>
            <w:r>
              <w:t>2020</w:t>
            </w:r>
          </w:p>
        </w:tc>
        <w:tc>
          <w:tcPr>
            <w:tcW w:w="1417" w:type="dxa"/>
            <w:vMerge/>
          </w:tcPr>
          <w:p w14:paraId="55708DB7" w14:textId="77777777" w:rsidR="00454A29" w:rsidRDefault="00454A29"/>
        </w:tc>
        <w:tc>
          <w:tcPr>
            <w:tcW w:w="2204" w:type="dxa"/>
            <w:vMerge/>
          </w:tcPr>
          <w:p w14:paraId="59F98084" w14:textId="77777777" w:rsidR="00454A29" w:rsidRDefault="00454A29"/>
        </w:tc>
        <w:tc>
          <w:tcPr>
            <w:tcW w:w="1417" w:type="dxa"/>
            <w:vMerge/>
          </w:tcPr>
          <w:p w14:paraId="53C43C64" w14:textId="77777777" w:rsidR="00454A29" w:rsidRDefault="00454A29"/>
        </w:tc>
        <w:tc>
          <w:tcPr>
            <w:tcW w:w="2324" w:type="dxa"/>
            <w:vMerge/>
          </w:tcPr>
          <w:p w14:paraId="2A4DAC82" w14:textId="77777777" w:rsidR="00454A29" w:rsidRDefault="00454A29"/>
        </w:tc>
        <w:tc>
          <w:tcPr>
            <w:tcW w:w="1701" w:type="dxa"/>
            <w:vAlign w:val="center"/>
          </w:tcPr>
          <w:p w14:paraId="00DFCB73" w14:textId="77777777" w:rsidR="00454A29" w:rsidRDefault="00454A29">
            <w:pPr>
              <w:pStyle w:val="ConsPlusNormal"/>
            </w:pPr>
          </w:p>
        </w:tc>
        <w:tc>
          <w:tcPr>
            <w:tcW w:w="1814" w:type="dxa"/>
            <w:vAlign w:val="center"/>
          </w:tcPr>
          <w:p w14:paraId="248CB48D" w14:textId="77777777" w:rsidR="00454A29" w:rsidRDefault="00454A29">
            <w:pPr>
              <w:pStyle w:val="ConsPlusNormal"/>
            </w:pPr>
          </w:p>
        </w:tc>
        <w:tc>
          <w:tcPr>
            <w:tcW w:w="1701" w:type="dxa"/>
            <w:vAlign w:val="center"/>
          </w:tcPr>
          <w:p w14:paraId="44F73A6C" w14:textId="77777777" w:rsidR="00454A29" w:rsidRDefault="00454A29">
            <w:pPr>
              <w:pStyle w:val="ConsPlusNormal"/>
            </w:pPr>
          </w:p>
        </w:tc>
        <w:tc>
          <w:tcPr>
            <w:tcW w:w="1701" w:type="dxa"/>
            <w:vAlign w:val="center"/>
          </w:tcPr>
          <w:p w14:paraId="5B89253A" w14:textId="77777777" w:rsidR="00454A29" w:rsidRDefault="00454A29">
            <w:pPr>
              <w:pStyle w:val="ConsPlusNormal"/>
            </w:pPr>
          </w:p>
        </w:tc>
        <w:tc>
          <w:tcPr>
            <w:tcW w:w="1814" w:type="dxa"/>
            <w:vAlign w:val="center"/>
          </w:tcPr>
          <w:p w14:paraId="3765F817" w14:textId="77777777" w:rsidR="00454A29" w:rsidRDefault="00454A29">
            <w:pPr>
              <w:pStyle w:val="ConsPlusNormal"/>
            </w:pPr>
          </w:p>
        </w:tc>
      </w:tr>
      <w:tr w:rsidR="00454A29" w14:paraId="09D71A05" w14:textId="77777777">
        <w:tc>
          <w:tcPr>
            <w:tcW w:w="567" w:type="dxa"/>
            <w:vMerge/>
          </w:tcPr>
          <w:p w14:paraId="27B24365" w14:textId="77777777" w:rsidR="00454A29" w:rsidRDefault="00454A29"/>
        </w:tc>
        <w:tc>
          <w:tcPr>
            <w:tcW w:w="3345" w:type="dxa"/>
            <w:vMerge/>
          </w:tcPr>
          <w:p w14:paraId="7CD034CE" w14:textId="77777777" w:rsidR="00454A29" w:rsidRDefault="00454A29"/>
        </w:tc>
        <w:tc>
          <w:tcPr>
            <w:tcW w:w="1701" w:type="dxa"/>
            <w:vAlign w:val="center"/>
          </w:tcPr>
          <w:p w14:paraId="5A86CF1A" w14:textId="77777777" w:rsidR="00454A29" w:rsidRDefault="00454A29">
            <w:pPr>
              <w:pStyle w:val="ConsPlusNormal"/>
              <w:jc w:val="center"/>
            </w:pPr>
            <w:r>
              <w:t>2021</w:t>
            </w:r>
          </w:p>
        </w:tc>
        <w:tc>
          <w:tcPr>
            <w:tcW w:w="1417" w:type="dxa"/>
            <w:vMerge/>
          </w:tcPr>
          <w:p w14:paraId="00C3F37D" w14:textId="77777777" w:rsidR="00454A29" w:rsidRDefault="00454A29"/>
        </w:tc>
        <w:tc>
          <w:tcPr>
            <w:tcW w:w="2204" w:type="dxa"/>
            <w:vMerge/>
          </w:tcPr>
          <w:p w14:paraId="7860AA1E" w14:textId="77777777" w:rsidR="00454A29" w:rsidRDefault="00454A29"/>
        </w:tc>
        <w:tc>
          <w:tcPr>
            <w:tcW w:w="1417" w:type="dxa"/>
            <w:vMerge/>
          </w:tcPr>
          <w:p w14:paraId="2F6B4B72" w14:textId="77777777" w:rsidR="00454A29" w:rsidRDefault="00454A29"/>
        </w:tc>
        <w:tc>
          <w:tcPr>
            <w:tcW w:w="2324" w:type="dxa"/>
            <w:vMerge/>
          </w:tcPr>
          <w:p w14:paraId="423A0DE2" w14:textId="77777777" w:rsidR="00454A29" w:rsidRDefault="00454A29"/>
        </w:tc>
        <w:tc>
          <w:tcPr>
            <w:tcW w:w="1701" w:type="dxa"/>
            <w:vAlign w:val="center"/>
          </w:tcPr>
          <w:p w14:paraId="48337D27" w14:textId="77777777" w:rsidR="00454A29" w:rsidRDefault="00454A29">
            <w:pPr>
              <w:pStyle w:val="ConsPlusNormal"/>
              <w:jc w:val="center"/>
            </w:pPr>
            <w:r>
              <w:t>-</w:t>
            </w:r>
          </w:p>
        </w:tc>
        <w:tc>
          <w:tcPr>
            <w:tcW w:w="1814" w:type="dxa"/>
            <w:vAlign w:val="center"/>
          </w:tcPr>
          <w:p w14:paraId="7A552A24" w14:textId="77777777" w:rsidR="00454A29" w:rsidRDefault="00454A29">
            <w:pPr>
              <w:pStyle w:val="ConsPlusNormal"/>
            </w:pPr>
          </w:p>
        </w:tc>
        <w:tc>
          <w:tcPr>
            <w:tcW w:w="1701" w:type="dxa"/>
            <w:vAlign w:val="center"/>
          </w:tcPr>
          <w:p w14:paraId="303E9347" w14:textId="77777777" w:rsidR="00454A29" w:rsidRDefault="00454A29">
            <w:pPr>
              <w:pStyle w:val="ConsPlusNormal"/>
            </w:pPr>
          </w:p>
        </w:tc>
        <w:tc>
          <w:tcPr>
            <w:tcW w:w="1701" w:type="dxa"/>
            <w:vAlign w:val="center"/>
          </w:tcPr>
          <w:p w14:paraId="6BA4C95B" w14:textId="77777777" w:rsidR="00454A29" w:rsidRDefault="00454A29">
            <w:pPr>
              <w:pStyle w:val="ConsPlusNormal"/>
            </w:pPr>
          </w:p>
        </w:tc>
        <w:tc>
          <w:tcPr>
            <w:tcW w:w="1814" w:type="dxa"/>
            <w:vAlign w:val="center"/>
          </w:tcPr>
          <w:p w14:paraId="2BCD9B99" w14:textId="77777777" w:rsidR="00454A29" w:rsidRDefault="00454A29">
            <w:pPr>
              <w:pStyle w:val="ConsPlusNormal"/>
            </w:pPr>
          </w:p>
        </w:tc>
      </w:tr>
      <w:tr w:rsidR="00454A29" w14:paraId="0045103B" w14:textId="77777777">
        <w:tc>
          <w:tcPr>
            <w:tcW w:w="567" w:type="dxa"/>
            <w:vMerge/>
          </w:tcPr>
          <w:p w14:paraId="1C0DF8B3" w14:textId="77777777" w:rsidR="00454A29" w:rsidRDefault="00454A29"/>
        </w:tc>
        <w:tc>
          <w:tcPr>
            <w:tcW w:w="3345" w:type="dxa"/>
            <w:vMerge/>
          </w:tcPr>
          <w:p w14:paraId="5F0ABE6C" w14:textId="77777777" w:rsidR="00454A29" w:rsidRDefault="00454A29"/>
        </w:tc>
        <w:tc>
          <w:tcPr>
            <w:tcW w:w="1701" w:type="dxa"/>
            <w:vAlign w:val="center"/>
          </w:tcPr>
          <w:p w14:paraId="3A381571" w14:textId="77777777" w:rsidR="00454A29" w:rsidRDefault="00454A29">
            <w:pPr>
              <w:pStyle w:val="ConsPlusNormal"/>
              <w:jc w:val="center"/>
            </w:pPr>
            <w:r>
              <w:t>2022</w:t>
            </w:r>
          </w:p>
        </w:tc>
        <w:tc>
          <w:tcPr>
            <w:tcW w:w="1417" w:type="dxa"/>
            <w:vMerge/>
          </w:tcPr>
          <w:p w14:paraId="149B7296" w14:textId="77777777" w:rsidR="00454A29" w:rsidRDefault="00454A29"/>
        </w:tc>
        <w:tc>
          <w:tcPr>
            <w:tcW w:w="2204" w:type="dxa"/>
            <w:vMerge/>
          </w:tcPr>
          <w:p w14:paraId="2A879280" w14:textId="77777777" w:rsidR="00454A29" w:rsidRDefault="00454A29"/>
        </w:tc>
        <w:tc>
          <w:tcPr>
            <w:tcW w:w="1417" w:type="dxa"/>
            <w:vMerge/>
          </w:tcPr>
          <w:p w14:paraId="2E0C0035" w14:textId="77777777" w:rsidR="00454A29" w:rsidRDefault="00454A29"/>
        </w:tc>
        <w:tc>
          <w:tcPr>
            <w:tcW w:w="2324" w:type="dxa"/>
            <w:vMerge/>
          </w:tcPr>
          <w:p w14:paraId="1D70C494" w14:textId="77777777" w:rsidR="00454A29" w:rsidRDefault="00454A29"/>
        </w:tc>
        <w:tc>
          <w:tcPr>
            <w:tcW w:w="1701" w:type="dxa"/>
            <w:vAlign w:val="center"/>
          </w:tcPr>
          <w:p w14:paraId="0A3214A5" w14:textId="77777777" w:rsidR="00454A29" w:rsidRDefault="00454A29">
            <w:pPr>
              <w:pStyle w:val="ConsPlusNormal"/>
            </w:pPr>
          </w:p>
        </w:tc>
        <w:tc>
          <w:tcPr>
            <w:tcW w:w="1814" w:type="dxa"/>
            <w:vAlign w:val="center"/>
          </w:tcPr>
          <w:p w14:paraId="3E4EBE3B" w14:textId="77777777" w:rsidR="00454A29" w:rsidRDefault="00454A29">
            <w:pPr>
              <w:pStyle w:val="ConsPlusNormal"/>
            </w:pPr>
          </w:p>
        </w:tc>
        <w:tc>
          <w:tcPr>
            <w:tcW w:w="1701" w:type="dxa"/>
            <w:vAlign w:val="center"/>
          </w:tcPr>
          <w:p w14:paraId="6DE4B16D" w14:textId="77777777" w:rsidR="00454A29" w:rsidRDefault="00454A29">
            <w:pPr>
              <w:pStyle w:val="ConsPlusNormal"/>
            </w:pPr>
          </w:p>
        </w:tc>
        <w:tc>
          <w:tcPr>
            <w:tcW w:w="1701" w:type="dxa"/>
            <w:vAlign w:val="center"/>
          </w:tcPr>
          <w:p w14:paraId="79779430" w14:textId="77777777" w:rsidR="00454A29" w:rsidRDefault="00454A29">
            <w:pPr>
              <w:pStyle w:val="ConsPlusNormal"/>
            </w:pPr>
          </w:p>
        </w:tc>
        <w:tc>
          <w:tcPr>
            <w:tcW w:w="1814" w:type="dxa"/>
            <w:vAlign w:val="center"/>
          </w:tcPr>
          <w:p w14:paraId="7B7CDD5C" w14:textId="77777777" w:rsidR="00454A29" w:rsidRDefault="00454A29">
            <w:pPr>
              <w:pStyle w:val="ConsPlusNormal"/>
            </w:pPr>
          </w:p>
        </w:tc>
      </w:tr>
      <w:tr w:rsidR="00454A29" w14:paraId="604CCB14" w14:textId="77777777">
        <w:tc>
          <w:tcPr>
            <w:tcW w:w="567" w:type="dxa"/>
            <w:vMerge/>
          </w:tcPr>
          <w:p w14:paraId="748C5A02" w14:textId="77777777" w:rsidR="00454A29" w:rsidRDefault="00454A29"/>
        </w:tc>
        <w:tc>
          <w:tcPr>
            <w:tcW w:w="3345" w:type="dxa"/>
            <w:vMerge/>
          </w:tcPr>
          <w:p w14:paraId="4765EFDF" w14:textId="77777777" w:rsidR="00454A29" w:rsidRDefault="00454A29"/>
        </w:tc>
        <w:tc>
          <w:tcPr>
            <w:tcW w:w="1701" w:type="dxa"/>
            <w:vAlign w:val="center"/>
          </w:tcPr>
          <w:p w14:paraId="2CB00A84" w14:textId="77777777" w:rsidR="00454A29" w:rsidRDefault="00454A29">
            <w:pPr>
              <w:pStyle w:val="ConsPlusNormal"/>
              <w:jc w:val="center"/>
            </w:pPr>
            <w:r>
              <w:t>2023</w:t>
            </w:r>
          </w:p>
        </w:tc>
        <w:tc>
          <w:tcPr>
            <w:tcW w:w="1417" w:type="dxa"/>
            <w:vMerge/>
          </w:tcPr>
          <w:p w14:paraId="78902EE2" w14:textId="77777777" w:rsidR="00454A29" w:rsidRDefault="00454A29"/>
        </w:tc>
        <w:tc>
          <w:tcPr>
            <w:tcW w:w="2204" w:type="dxa"/>
            <w:vMerge/>
          </w:tcPr>
          <w:p w14:paraId="4E639880" w14:textId="77777777" w:rsidR="00454A29" w:rsidRDefault="00454A29"/>
        </w:tc>
        <w:tc>
          <w:tcPr>
            <w:tcW w:w="1417" w:type="dxa"/>
            <w:vMerge/>
          </w:tcPr>
          <w:p w14:paraId="5DDE3ED7" w14:textId="77777777" w:rsidR="00454A29" w:rsidRDefault="00454A29"/>
        </w:tc>
        <w:tc>
          <w:tcPr>
            <w:tcW w:w="2324" w:type="dxa"/>
            <w:vMerge/>
          </w:tcPr>
          <w:p w14:paraId="321D9DDD" w14:textId="77777777" w:rsidR="00454A29" w:rsidRDefault="00454A29"/>
        </w:tc>
        <w:tc>
          <w:tcPr>
            <w:tcW w:w="1701" w:type="dxa"/>
            <w:vAlign w:val="center"/>
          </w:tcPr>
          <w:p w14:paraId="353E065F" w14:textId="77777777" w:rsidR="00454A29" w:rsidRDefault="00454A29">
            <w:pPr>
              <w:pStyle w:val="ConsPlusNormal"/>
            </w:pPr>
          </w:p>
        </w:tc>
        <w:tc>
          <w:tcPr>
            <w:tcW w:w="1814" w:type="dxa"/>
            <w:vAlign w:val="center"/>
          </w:tcPr>
          <w:p w14:paraId="2787313F" w14:textId="77777777" w:rsidR="00454A29" w:rsidRDefault="00454A29">
            <w:pPr>
              <w:pStyle w:val="ConsPlusNormal"/>
            </w:pPr>
          </w:p>
        </w:tc>
        <w:tc>
          <w:tcPr>
            <w:tcW w:w="1701" w:type="dxa"/>
            <w:vAlign w:val="center"/>
          </w:tcPr>
          <w:p w14:paraId="08790359" w14:textId="77777777" w:rsidR="00454A29" w:rsidRDefault="00454A29">
            <w:pPr>
              <w:pStyle w:val="ConsPlusNormal"/>
            </w:pPr>
          </w:p>
        </w:tc>
        <w:tc>
          <w:tcPr>
            <w:tcW w:w="1701" w:type="dxa"/>
            <w:vAlign w:val="center"/>
          </w:tcPr>
          <w:p w14:paraId="25822F6C" w14:textId="77777777" w:rsidR="00454A29" w:rsidRDefault="00454A29">
            <w:pPr>
              <w:pStyle w:val="ConsPlusNormal"/>
            </w:pPr>
          </w:p>
        </w:tc>
        <w:tc>
          <w:tcPr>
            <w:tcW w:w="1814" w:type="dxa"/>
            <w:vAlign w:val="center"/>
          </w:tcPr>
          <w:p w14:paraId="0E61FDA8" w14:textId="77777777" w:rsidR="00454A29" w:rsidRDefault="00454A29">
            <w:pPr>
              <w:pStyle w:val="ConsPlusNormal"/>
            </w:pPr>
          </w:p>
        </w:tc>
      </w:tr>
      <w:tr w:rsidR="00454A29" w14:paraId="19C3D3B8" w14:textId="77777777">
        <w:tc>
          <w:tcPr>
            <w:tcW w:w="567" w:type="dxa"/>
            <w:vMerge/>
          </w:tcPr>
          <w:p w14:paraId="7D17AF2E" w14:textId="77777777" w:rsidR="00454A29" w:rsidRDefault="00454A29"/>
        </w:tc>
        <w:tc>
          <w:tcPr>
            <w:tcW w:w="3345" w:type="dxa"/>
            <w:vMerge/>
          </w:tcPr>
          <w:p w14:paraId="10A86DA7" w14:textId="77777777" w:rsidR="00454A29" w:rsidRDefault="00454A29"/>
        </w:tc>
        <w:tc>
          <w:tcPr>
            <w:tcW w:w="1701" w:type="dxa"/>
            <w:vAlign w:val="center"/>
          </w:tcPr>
          <w:p w14:paraId="28834F8D" w14:textId="77777777" w:rsidR="00454A29" w:rsidRDefault="00454A29">
            <w:pPr>
              <w:pStyle w:val="ConsPlusNormal"/>
              <w:jc w:val="center"/>
            </w:pPr>
            <w:r>
              <w:t>2024</w:t>
            </w:r>
          </w:p>
        </w:tc>
        <w:tc>
          <w:tcPr>
            <w:tcW w:w="1417" w:type="dxa"/>
            <w:vMerge/>
          </w:tcPr>
          <w:p w14:paraId="508F8A52" w14:textId="77777777" w:rsidR="00454A29" w:rsidRDefault="00454A29"/>
        </w:tc>
        <w:tc>
          <w:tcPr>
            <w:tcW w:w="2204" w:type="dxa"/>
            <w:vMerge/>
          </w:tcPr>
          <w:p w14:paraId="2DBA4B2D" w14:textId="77777777" w:rsidR="00454A29" w:rsidRDefault="00454A29"/>
        </w:tc>
        <w:tc>
          <w:tcPr>
            <w:tcW w:w="1417" w:type="dxa"/>
            <w:vMerge/>
          </w:tcPr>
          <w:p w14:paraId="5EE2B997" w14:textId="77777777" w:rsidR="00454A29" w:rsidRDefault="00454A29"/>
        </w:tc>
        <w:tc>
          <w:tcPr>
            <w:tcW w:w="2324" w:type="dxa"/>
            <w:vMerge/>
          </w:tcPr>
          <w:p w14:paraId="3AF6B132" w14:textId="77777777" w:rsidR="00454A29" w:rsidRDefault="00454A29"/>
        </w:tc>
        <w:tc>
          <w:tcPr>
            <w:tcW w:w="1701" w:type="dxa"/>
            <w:vAlign w:val="center"/>
          </w:tcPr>
          <w:p w14:paraId="24F88EC0" w14:textId="77777777" w:rsidR="00454A29" w:rsidRDefault="00454A29">
            <w:pPr>
              <w:pStyle w:val="ConsPlusNormal"/>
            </w:pPr>
          </w:p>
        </w:tc>
        <w:tc>
          <w:tcPr>
            <w:tcW w:w="1814" w:type="dxa"/>
            <w:vAlign w:val="center"/>
          </w:tcPr>
          <w:p w14:paraId="6E892F71" w14:textId="77777777" w:rsidR="00454A29" w:rsidRDefault="00454A29">
            <w:pPr>
              <w:pStyle w:val="ConsPlusNormal"/>
            </w:pPr>
          </w:p>
        </w:tc>
        <w:tc>
          <w:tcPr>
            <w:tcW w:w="1701" w:type="dxa"/>
            <w:vAlign w:val="center"/>
          </w:tcPr>
          <w:p w14:paraId="1FEDFE22" w14:textId="77777777" w:rsidR="00454A29" w:rsidRDefault="00454A29">
            <w:pPr>
              <w:pStyle w:val="ConsPlusNormal"/>
            </w:pPr>
          </w:p>
        </w:tc>
        <w:tc>
          <w:tcPr>
            <w:tcW w:w="1701" w:type="dxa"/>
            <w:vAlign w:val="center"/>
          </w:tcPr>
          <w:p w14:paraId="083B3067" w14:textId="77777777" w:rsidR="00454A29" w:rsidRDefault="00454A29">
            <w:pPr>
              <w:pStyle w:val="ConsPlusNormal"/>
            </w:pPr>
          </w:p>
        </w:tc>
        <w:tc>
          <w:tcPr>
            <w:tcW w:w="1814" w:type="dxa"/>
            <w:vAlign w:val="center"/>
          </w:tcPr>
          <w:p w14:paraId="61BC8EEC" w14:textId="77777777" w:rsidR="00454A29" w:rsidRDefault="00454A29">
            <w:pPr>
              <w:pStyle w:val="ConsPlusNormal"/>
            </w:pPr>
          </w:p>
        </w:tc>
      </w:tr>
      <w:tr w:rsidR="00454A29" w14:paraId="04730954" w14:textId="77777777">
        <w:tc>
          <w:tcPr>
            <w:tcW w:w="567" w:type="dxa"/>
            <w:vMerge/>
          </w:tcPr>
          <w:p w14:paraId="089E0779" w14:textId="77777777" w:rsidR="00454A29" w:rsidRDefault="00454A29"/>
        </w:tc>
        <w:tc>
          <w:tcPr>
            <w:tcW w:w="3345" w:type="dxa"/>
            <w:vMerge/>
          </w:tcPr>
          <w:p w14:paraId="31916754" w14:textId="77777777" w:rsidR="00454A29" w:rsidRDefault="00454A29"/>
        </w:tc>
        <w:tc>
          <w:tcPr>
            <w:tcW w:w="1701" w:type="dxa"/>
            <w:vAlign w:val="center"/>
          </w:tcPr>
          <w:p w14:paraId="3235C819" w14:textId="77777777" w:rsidR="00454A29" w:rsidRDefault="00454A29">
            <w:pPr>
              <w:pStyle w:val="ConsPlusNormal"/>
              <w:jc w:val="center"/>
            </w:pPr>
            <w:r>
              <w:t>2025</w:t>
            </w:r>
          </w:p>
        </w:tc>
        <w:tc>
          <w:tcPr>
            <w:tcW w:w="1417" w:type="dxa"/>
            <w:vMerge/>
          </w:tcPr>
          <w:p w14:paraId="544A44F7" w14:textId="77777777" w:rsidR="00454A29" w:rsidRDefault="00454A29"/>
        </w:tc>
        <w:tc>
          <w:tcPr>
            <w:tcW w:w="2204" w:type="dxa"/>
            <w:vMerge/>
          </w:tcPr>
          <w:p w14:paraId="4044A86C" w14:textId="77777777" w:rsidR="00454A29" w:rsidRDefault="00454A29"/>
        </w:tc>
        <w:tc>
          <w:tcPr>
            <w:tcW w:w="1417" w:type="dxa"/>
            <w:vMerge/>
          </w:tcPr>
          <w:p w14:paraId="24FE1845" w14:textId="77777777" w:rsidR="00454A29" w:rsidRDefault="00454A29"/>
        </w:tc>
        <w:tc>
          <w:tcPr>
            <w:tcW w:w="2324" w:type="dxa"/>
            <w:vMerge/>
          </w:tcPr>
          <w:p w14:paraId="42F5CB29" w14:textId="77777777" w:rsidR="00454A29" w:rsidRDefault="00454A29"/>
        </w:tc>
        <w:tc>
          <w:tcPr>
            <w:tcW w:w="1701" w:type="dxa"/>
            <w:vAlign w:val="center"/>
          </w:tcPr>
          <w:p w14:paraId="6A7FB14B" w14:textId="77777777" w:rsidR="00454A29" w:rsidRDefault="00454A29">
            <w:pPr>
              <w:pStyle w:val="ConsPlusNormal"/>
            </w:pPr>
          </w:p>
        </w:tc>
        <w:tc>
          <w:tcPr>
            <w:tcW w:w="1814" w:type="dxa"/>
            <w:vAlign w:val="center"/>
          </w:tcPr>
          <w:p w14:paraId="3FC17C70" w14:textId="77777777" w:rsidR="00454A29" w:rsidRDefault="00454A29">
            <w:pPr>
              <w:pStyle w:val="ConsPlusNormal"/>
            </w:pPr>
          </w:p>
        </w:tc>
        <w:tc>
          <w:tcPr>
            <w:tcW w:w="1701" w:type="dxa"/>
            <w:vAlign w:val="center"/>
          </w:tcPr>
          <w:p w14:paraId="7CCFA7A1" w14:textId="77777777" w:rsidR="00454A29" w:rsidRDefault="00454A29">
            <w:pPr>
              <w:pStyle w:val="ConsPlusNormal"/>
            </w:pPr>
          </w:p>
        </w:tc>
        <w:tc>
          <w:tcPr>
            <w:tcW w:w="1701" w:type="dxa"/>
            <w:vAlign w:val="center"/>
          </w:tcPr>
          <w:p w14:paraId="455ECE9D" w14:textId="77777777" w:rsidR="00454A29" w:rsidRDefault="00454A29">
            <w:pPr>
              <w:pStyle w:val="ConsPlusNormal"/>
            </w:pPr>
          </w:p>
        </w:tc>
        <w:tc>
          <w:tcPr>
            <w:tcW w:w="1814" w:type="dxa"/>
            <w:vAlign w:val="center"/>
          </w:tcPr>
          <w:p w14:paraId="61293214" w14:textId="77777777" w:rsidR="00454A29" w:rsidRDefault="00454A29">
            <w:pPr>
              <w:pStyle w:val="ConsPlusNormal"/>
            </w:pPr>
          </w:p>
        </w:tc>
      </w:tr>
      <w:tr w:rsidR="00454A29" w14:paraId="08982F37" w14:textId="77777777">
        <w:tc>
          <w:tcPr>
            <w:tcW w:w="567" w:type="dxa"/>
            <w:vMerge/>
          </w:tcPr>
          <w:p w14:paraId="4C3989BF" w14:textId="77777777" w:rsidR="00454A29" w:rsidRDefault="00454A29"/>
        </w:tc>
        <w:tc>
          <w:tcPr>
            <w:tcW w:w="3345" w:type="dxa"/>
            <w:vMerge/>
          </w:tcPr>
          <w:p w14:paraId="566640FF" w14:textId="77777777" w:rsidR="00454A29" w:rsidRDefault="00454A29"/>
        </w:tc>
        <w:tc>
          <w:tcPr>
            <w:tcW w:w="1701" w:type="dxa"/>
            <w:vAlign w:val="center"/>
          </w:tcPr>
          <w:p w14:paraId="2BD863F5" w14:textId="77777777" w:rsidR="00454A29" w:rsidRDefault="00454A29">
            <w:pPr>
              <w:pStyle w:val="ConsPlusNormal"/>
              <w:jc w:val="center"/>
            </w:pPr>
            <w:r>
              <w:t>2026</w:t>
            </w:r>
          </w:p>
        </w:tc>
        <w:tc>
          <w:tcPr>
            <w:tcW w:w="1417" w:type="dxa"/>
            <w:vMerge/>
          </w:tcPr>
          <w:p w14:paraId="277F885F" w14:textId="77777777" w:rsidR="00454A29" w:rsidRDefault="00454A29"/>
        </w:tc>
        <w:tc>
          <w:tcPr>
            <w:tcW w:w="2204" w:type="dxa"/>
            <w:vMerge/>
          </w:tcPr>
          <w:p w14:paraId="629F5A3C" w14:textId="77777777" w:rsidR="00454A29" w:rsidRDefault="00454A29"/>
        </w:tc>
        <w:tc>
          <w:tcPr>
            <w:tcW w:w="1417" w:type="dxa"/>
            <w:vMerge/>
          </w:tcPr>
          <w:p w14:paraId="165592B5" w14:textId="77777777" w:rsidR="00454A29" w:rsidRDefault="00454A29"/>
        </w:tc>
        <w:tc>
          <w:tcPr>
            <w:tcW w:w="2324" w:type="dxa"/>
            <w:vMerge/>
          </w:tcPr>
          <w:p w14:paraId="6BE9D43C" w14:textId="77777777" w:rsidR="00454A29" w:rsidRDefault="00454A29"/>
        </w:tc>
        <w:tc>
          <w:tcPr>
            <w:tcW w:w="1701" w:type="dxa"/>
            <w:vAlign w:val="center"/>
          </w:tcPr>
          <w:p w14:paraId="048001A1" w14:textId="77777777" w:rsidR="00454A29" w:rsidRDefault="00454A29">
            <w:pPr>
              <w:pStyle w:val="ConsPlusNormal"/>
              <w:jc w:val="center"/>
            </w:pPr>
            <w:r>
              <w:t>205 218,42</w:t>
            </w:r>
          </w:p>
        </w:tc>
        <w:tc>
          <w:tcPr>
            <w:tcW w:w="1814" w:type="dxa"/>
            <w:vAlign w:val="center"/>
          </w:tcPr>
          <w:p w14:paraId="3DCB2C78" w14:textId="77777777" w:rsidR="00454A29" w:rsidRDefault="00454A29">
            <w:pPr>
              <w:pStyle w:val="ConsPlusNormal"/>
              <w:jc w:val="center"/>
            </w:pPr>
            <w:r>
              <w:t>2 528,29</w:t>
            </w:r>
          </w:p>
        </w:tc>
        <w:tc>
          <w:tcPr>
            <w:tcW w:w="1701" w:type="dxa"/>
            <w:vAlign w:val="center"/>
          </w:tcPr>
          <w:p w14:paraId="3675CD2A" w14:textId="77777777" w:rsidR="00454A29" w:rsidRDefault="00454A29">
            <w:pPr>
              <w:pStyle w:val="ConsPlusNormal"/>
              <w:jc w:val="center"/>
            </w:pPr>
            <w:r>
              <w:t>250 300,80</w:t>
            </w:r>
          </w:p>
        </w:tc>
        <w:tc>
          <w:tcPr>
            <w:tcW w:w="1701" w:type="dxa"/>
            <w:vAlign w:val="center"/>
          </w:tcPr>
          <w:p w14:paraId="604C885E" w14:textId="77777777" w:rsidR="00454A29" w:rsidRDefault="00454A29">
            <w:pPr>
              <w:pStyle w:val="ConsPlusNormal"/>
            </w:pPr>
          </w:p>
        </w:tc>
        <w:tc>
          <w:tcPr>
            <w:tcW w:w="1814" w:type="dxa"/>
            <w:vAlign w:val="center"/>
          </w:tcPr>
          <w:p w14:paraId="73185C41" w14:textId="77777777" w:rsidR="00454A29" w:rsidRDefault="00454A29">
            <w:pPr>
              <w:pStyle w:val="ConsPlusNormal"/>
            </w:pPr>
          </w:p>
        </w:tc>
      </w:tr>
      <w:tr w:rsidR="00454A29" w14:paraId="3BEA1D3A" w14:textId="77777777">
        <w:tc>
          <w:tcPr>
            <w:tcW w:w="567" w:type="dxa"/>
            <w:vMerge w:val="restart"/>
            <w:vAlign w:val="center"/>
          </w:tcPr>
          <w:p w14:paraId="5157FF5C" w14:textId="77777777" w:rsidR="00454A29" w:rsidRDefault="00454A29">
            <w:pPr>
              <w:pStyle w:val="ConsPlusNormal"/>
              <w:jc w:val="center"/>
            </w:pPr>
            <w:r>
              <w:t>151</w:t>
            </w:r>
          </w:p>
        </w:tc>
        <w:tc>
          <w:tcPr>
            <w:tcW w:w="3345" w:type="dxa"/>
            <w:vMerge w:val="restart"/>
            <w:vAlign w:val="center"/>
          </w:tcPr>
          <w:p w14:paraId="37EC56F9" w14:textId="77777777" w:rsidR="00454A29" w:rsidRDefault="00454A29">
            <w:pPr>
              <w:pStyle w:val="ConsPlusNormal"/>
              <w:jc w:val="center"/>
            </w:pPr>
            <w:r>
              <w:t>Школа на 100 мест в с. Усть-Куйга</w:t>
            </w:r>
          </w:p>
        </w:tc>
        <w:tc>
          <w:tcPr>
            <w:tcW w:w="1701" w:type="dxa"/>
            <w:vAlign w:val="center"/>
          </w:tcPr>
          <w:p w14:paraId="00D14D2D" w14:textId="77777777" w:rsidR="00454A29" w:rsidRDefault="00454A29">
            <w:pPr>
              <w:pStyle w:val="ConsPlusNormal"/>
              <w:jc w:val="center"/>
            </w:pPr>
            <w:r>
              <w:t>2020 - 2026 годы - всего</w:t>
            </w:r>
          </w:p>
        </w:tc>
        <w:tc>
          <w:tcPr>
            <w:tcW w:w="1417" w:type="dxa"/>
            <w:vMerge w:val="restart"/>
            <w:vAlign w:val="center"/>
          </w:tcPr>
          <w:p w14:paraId="788A6C18" w14:textId="77777777" w:rsidR="00454A29" w:rsidRDefault="00454A29">
            <w:pPr>
              <w:pStyle w:val="ConsPlusNormal"/>
              <w:jc w:val="center"/>
            </w:pPr>
            <w:r>
              <w:t>373 514,00</w:t>
            </w:r>
          </w:p>
        </w:tc>
        <w:tc>
          <w:tcPr>
            <w:tcW w:w="2204" w:type="dxa"/>
            <w:vMerge w:val="restart"/>
            <w:vAlign w:val="center"/>
          </w:tcPr>
          <w:p w14:paraId="7161D020" w14:textId="77777777" w:rsidR="00454A29" w:rsidRDefault="00454A29">
            <w:pPr>
              <w:pStyle w:val="ConsPlusNormal"/>
            </w:pPr>
          </w:p>
        </w:tc>
        <w:tc>
          <w:tcPr>
            <w:tcW w:w="1417" w:type="dxa"/>
            <w:vMerge w:val="restart"/>
            <w:vAlign w:val="center"/>
          </w:tcPr>
          <w:p w14:paraId="507A474C" w14:textId="77777777" w:rsidR="00454A29" w:rsidRDefault="00454A29">
            <w:pPr>
              <w:pStyle w:val="ConsPlusNormal"/>
              <w:jc w:val="center"/>
            </w:pPr>
            <w:r>
              <w:t>100</w:t>
            </w:r>
          </w:p>
        </w:tc>
        <w:tc>
          <w:tcPr>
            <w:tcW w:w="2324" w:type="dxa"/>
            <w:vMerge w:val="restart"/>
            <w:vAlign w:val="center"/>
          </w:tcPr>
          <w:p w14:paraId="7E0E093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B83B427" w14:textId="77777777" w:rsidR="00454A29" w:rsidRDefault="00454A29">
            <w:pPr>
              <w:pStyle w:val="ConsPlusNormal"/>
              <w:jc w:val="center"/>
            </w:pPr>
            <w:r>
              <w:t>373 514,00</w:t>
            </w:r>
          </w:p>
        </w:tc>
        <w:tc>
          <w:tcPr>
            <w:tcW w:w="1814" w:type="dxa"/>
            <w:vAlign w:val="center"/>
          </w:tcPr>
          <w:p w14:paraId="06A33914" w14:textId="77777777" w:rsidR="00454A29" w:rsidRDefault="00454A29">
            <w:pPr>
              <w:pStyle w:val="ConsPlusNormal"/>
              <w:jc w:val="center"/>
            </w:pPr>
            <w:r>
              <w:t>4 601,69</w:t>
            </w:r>
          </w:p>
        </w:tc>
        <w:tc>
          <w:tcPr>
            <w:tcW w:w="1701" w:type="dxa"/>
            <w:vAlign w:val="center"/>
          </w:tcPr>
          <w:p w14:paraId="3ED15FF3" w14:textId="77777777" w:rsidR="00454A29" w:rsidRDefault="00454A29">
            <w:pPr>
              <w:pStyle w:val="ConsPlusNormal"/>
              <w:jc w:val="center"/>
            </w:pPr>
            <w:r>
              <w:t>455 567,56</w:t>
            </w:r>
          </w:p>
        </w:tc>
        <w:tc>
          <w:tcPr>
            <w:tcW w:w="1701" w:type="dxa"/>
            <w:vAlign w:val="center"/>
          </w:tcPr>
          <w:p w14:paraId="015AC326" w14:textId="77777777" w:rsidR="00454A29" w:rsidRDefault="00454A29">
            <w:pPr>
              <w:pStyle w:val="ConsPlusNormal"/>
              <w:jc w:val="center"/>
            </w:pPr>
            <w:r>
              <w:t>-</w:t>
            </w:r>
          </w:p>
        </w:tc>
        <w:tc>
          <w:tcPr>
            <w:tcW w:w="1814" w:type="dxa"/>
            <w:vAlign w:val="center"/>
          </w:tcPr>
          <w:p w14:paraId="11FD426D" w14:textId="77777777" w:rsidR="00454A29" w:rsidRDefault="00454A29">
            <w:pPr>
              <w:pStyle w:val="ConsPlusNormal"/>
              <w:jc w:val="center"/>
            </w:pPr>
            <w:r>
              <w:t>-</w:t>
            </w:r>
          </w:p>
        </w:tc>
      </w:tr>
      <w:tr w:rsidR="00454A29" w14:paraId="358B833C" w14:textId="77777777">
        <w:tc>
          <w:tcPr>
            <w:tcW w:w="567" w:type="dxa"/>
            <w:vMerge/>
          </w:tcPr>
          <w:p w14:paraId="1F6FFFF1" w14:textId="77777777" w:rsidR="00454A29" w:rsidRDefault="00454A29"/>
        </w:tc>
        <w:tc>
          <w:tcPr>
            <w:tcW w:w="3345" w:type="dxa"/>
            <w:vMerge/>
          </w:tcPr>
          <w:p w14:paraId="26BA95D2" w14:textId="77777777" w:rsidR="00454A29" w:rsidRDefault="00454A29"/>
        </w:tc>
        <w:tc>
          <w:tcPr>
            <w:tcW w:w="1701" w:type="dxa"/>
            <w:vAlign w:val="center"/>
          </w:tcPr>
          <w:p w14:paraId="5F1267E3" w14:textId="77777777" w:rsidR="00454A29" w:rsidRDefault="00454A29">
            <w:pPr>
              <w:pStyle w:val="ConsPlusNormal"/>
              <w:jc w:val="center"/>
            </w:pPr>
            <w:r>
              <w:t>2020</w:t>
            </w:r>
          </w:p>
        </w:tc>
        <w:tc>
          <w:tcPr>
            <w:tcW w:w="1417" w:type="dxa"/>
            <w:vMerge/>
          </w:tcPr>
          <w:p w14:paraId="60285E0F" w14:textId="77777777" w:rsidR="00454A29" w:rsidRDefault="00454A29"/>
        </w:tc>
        <w:tc>
          <w:tcPr>
            <w:tcW w:w="2204" w:type="dxa"/>
            <w:vMerge/>
          </w:tcPr>
          <w:p w14:paraId="07AD4330" w14:textId="77777777" w:rsidR="00454A29" w:rsidRDefault="00454A29"/>
        </w:tc>
        <w:tc>
          <w:tcPr>
            <w:tcW w:w="1417" w:type="dxa"/>
            <w:vMerge/>
          </w:tcPr>
          <w:p w14:paraId="1CF744D5" w14:textId="77777777" w:rsidR="00454A29" w:rsidRDefault="00454A29"/>
        </w:tc>
        <w:tc>
          <w:tcPr>
            <w:tcW w:w="2324" w:type="dxa"/>
            <w:vMerge/>
          </w:tcPr>
          <w:p w14:paraId="5518624A" w14:textId="77777777" w:rsidR="00454A29" w:rsidRDefault="00454A29"/>
        </w:tc>
        <w:tc>
          <w:tcPr>
            <w:tcW w:w="1701" w:type="dxa"/>
            <w:vAlign w:val="center"/>
          </w:tcPr>
          <w:p w14:paraId="237F9297" w14:textId="77777777" w:rsidR="00454A29" w:rsidRDefault="00454A29">
            <w:pPr>
              <w:pStyle w:val="ConsPlusNormal"/>
            </w:pPr>
          </w:p>
        </w:tc>
        <w:tc>
          <w:tcPr>
            <w:tcW w:w="1814" w:type="dxa"/>
            <w:vAlign w:val="center"/>
          </w:tcPr>
          <w:p w14:paraId="70277F4C" w14:textId="77777777" w:rsidR="00454A29" w:rsidRDefault="00454A29">
            <w:pPr>
              <w:pStyle w:val="ConsPlusNormal"/>
            </w:pPr>
          </w:p>
        </w:tc>
        <w:tc>
          <w:tcPr>
            <w:tcW w:w="1701" w:type="dxa"/>
            <w:vAlign w:val="center"/>
          </w:tcPr>
          <w:p w14:paraId="364B7BA6" w14:textId="77777777" w:rsidR="00454A29" w:rsidRDefault="00454A29">
            <w:pPr>
              <w:pStyle w:val="ConsPlusNormal"/>
            </w:pPr>
          </w:p>
        </w:tc>
        <w:tc>
          <w:tcPr>
            <w:tcW w:w="1701" w:type="dxa"/>
            <w:vAlign w:val="center"/>
          </w:tcPr>
          <w:p w14:paraId="08D35EA8" w14:textId="77777777" w:rsidR="00454A29" w:rsidRDefault="00454A29">
            <w:pPr>
              <w:pStyle w:val="ConsPlusNormal"/>
            </w:pPr>
          </w:p>
        </w:tc>
        <w:tc>
          <w:tcPr>
            <w:tcW w:w="1814" w:type="dxa"/>
            <w:vAlign w:val="center"/>
          </w:tcPr>
          <w:p w14:paraId="2FE31438" w14:textId="77777777" w:rsidR="00454A29" w:rsidRDefault="00454A29">
            <w:pPr>
              <w:pStyle w:val="ConsPlusNormal"/>
            </w:pPr>
          </w:p>
        </w:tc>
      </w:tr>
      <w:tr w:rsidR="00454A29" w14:paraId="4936EF8E" w14:textId="77777777">
        <w:tc>
          <w:tcPr>
            <w:tcW w:w="567" w:type="dxa"/>
            <w:vMerge/>
          </w:tcPr>
          <w:p w14:paraId="443654F0" w14:textId="77777777" w:rsidR="00454A29" w:rsidRDefault="00454A29"/>
        </w:tc>
        <w:tc>
          <w:tcPr>
            <w:tcW w:w="3345" w:type="dxa"/>
            <w:vMerge/>
          </w:tcPr>
          <w:p w14:paraId="7365413E" w14:textId="77777777" w:rsidR="00454A29" w:rsidRDefault="00454A29"/>
        </w:tc>
        <w:tc>
          <w:tcPr>
            <w:tcW w:w="1701" w:type="dxa"/>
            <w:vAlign w:val="center"/>
          </w:tcPr>
          <w:p w14:paraId="0E84E15C" w14:textId="77777777" w:rsidR="00454A29" w:rsidRDefault="00454A29">
            <w:pPr>
              <w:pStyle w:val="ConsPlusNormal"/>
              <w:jc w:val="center"/>
            </w:pPr>
            <w:r>
              <w:t>2021</w:t>
            </w:r>
          </w:p>
        </w:tc>
        <w:tc>
          <w:tcPr>
            <w:tcW w:w="1417" w:type="dxa"/>
            <w:vMerge/>
          </w:tcPr>
          <w:p w14:paraId="1AC64763" w14:textId="77777777" w:rsidR="00454A29" w:rsidRDefault="00454A29"/>
        </w:tc>
        <w:tc>
          <w:tcPr>
            <w:tcW w:w="2204" w:type="dxa"/>
            <w:vMerge/>
          </w:tcPr>
          <w:p w14:paraId="43AD66F3" w14:textId="77777777" w:rsidR="00454A29" w:rsidRDefault="00454A29"/>
        </w:tc>
        <w:tc>
          <w:tcPr>
            <w:tcW w:w="1417" w:type="dxa"/>
            <w:vMerge/>
          </w:tcPr>
          <w:p w14:paraId="6E5344C7" w14:textId="77777777" w:rsidR="00454A29" w:rsidRDefault="00454A29"/>
        </w:tc>
        <w:tc>
          <w:tcPr>
            <w:tcW w:w="2324" w:type="dxa"/>
            <w:vMerge/>
          </w:tcPr>
          <w:p w14:paraId="0B827198" w14:textId="77777777" w:rsidR="00454A29" w:rsidRDefault="00454A29"/>
        </w:tc>
        <w:tc>
          <w:tcPr>
            <w:tcW w:w="1701" w:type="dxa"/>
            <w:vAlign w:val="center"/>
          </w:tcPr>
          <w:p w14:paraId="264C8BE4" w14:textId="77777777" w:rsidR="00454A29" w:rsidRDefault="00454A29">
            <w:pPr>
              <w:pStyle w:val="ConsPlusNormal"/>
              <w:jc w:val="center"/>
            </w:pPr>
            <w:r>
              <w:t>-</w:t>
            </w:r>
          </w:p>
        </w:tc>
        <w:tc>
          <w:tcPr>
            <w:tcW w:w="1814" w:type="dxa"/>
            <w:vAlign w:val="center"/>
          </w:tcPr>
          <w:p w14:paraId="619F8218" w14:textId="77777777" w:rsidR="00454A29" w:rsidRDefault="00454A29">
            <w:pPr>
              <w:pStyle w:val="ConsPlusNormal"/>
            </w:pPr>
          </w:p>
        </w:tc>
        <w:tc>
          <w:tcPr>
            <w:tcW w:w="1701" w:type="dxa"/>
            <w:vAlign w:val="center"/>
          </w:tcPr>
          <w:p w14:paraId="3F4EAB82" w14:textId="77777777" w:rsidR="00454A29" w:rsidRDefault="00454A29">
            <w:pPr>
              <w:pStyle w:val="ConsPlusNormal"/>
            </w:pPr>
          </w:p>
        </w:tc>
        <w:tc>
          <w:tcPr>
            <w:tcW w:w="1701" w:type="dxa"/>
            <w:vAlign w:val="center"/>
          </w:tcPr>
          <w:p w14:paraId="48167D6E" w14:textId="77777777" w:rsidR="00454A29" w:rsidRDefault="00454A29">
            <w:pPr>
              <w:pStyle w:val="ConsPlusNormal"/>
            </w:pPr>
          </w:p>
        </w:tc>
        <w:tc>
          <w:tcPr>
            <w:tcW w:w="1814" w:type="dxa"/>
            <w:vAlign w:val="center"/>
          </w:tcPr>
          <w:p w14:paraId="21D6D1AF" w14:textId="77777777" w:rsidR="00454A29" w:rsidRDefault="00454A29">
            <w:pPr>
              <w:pStyle w:val="ConsPlusNormal"/>
            </w:pPr>
          </w:p>
        </w:tc>
      </w:tr>
      <w:tr w:rsidR="00454A29" w14:paraId="23EBB622" w14:textId="77777777">
        <w:tc>
          <w:tcPr>
            <w:tcW w:w="567" w:type="dxa"/>
            <w:vMerge/>
          </w:tcPr>
          <w:p w14:paraId="5B90F147" w14:textId="77777777" w:rsidR="00454A29" w:rsidRDefault="00454A29"/>
        </w:tc>
        <w:tc>
          <w:tcPr>
            <w:tcW w:w="3345" w:type="dxa"/>
            <w:vMerge/>
          </w:tcPr>
          <w:p w14:paraId="628510B3" w14:textId="77777777" w:rsidR="00454A29" w:rsidRDefault="00454A29"/>
        </w:tc>
        <w:tc>
          <w:tcPr>
            <w:tcW w:w="1701" w:type="dxa"/>
            <w:vAlign w:val="center"/>
          </w:tcPr>
          <w:p w14:paraId="25DE900D" w14:textId="77777777" w:rsidR="00454A29" w:rsidRDefault="00454A29">
            <w:pPr>
              <w:pStyle w:val="ConsPlusNormal"/>
              <w:jc w:val="center"/>
            </w:pPr>
            <w:r>
              <w:t>2022</w:t>
            </w:r>
          </w:p>
        </w:tc>
        <w:tc>
          <w:tcPr>
            <w:tcW w:w="1417" w:type="dxa"/>
            <w:vMerge/>
          </w:tcPr>
          <w:p w14:paraId="66490136" w14:textId="77777777" w:rsidR="00454A29" w:rsidRDefault="00454A29"/>
        </w:tc>
        <w:tc>
          <w:tcPr>
            <w:tcW w:w="2204" w:type="dxa"/>
            <w:vMerge/>
          </w:tcPr>
          <w:p w14:paraId="19C06131" w14:textId="77777777" w:rsidR="00454A29" w:rsidRDefault="00454A29"/>
        </w:tc>
        <w:tc>
          <w:tcPr>
            <w:tcW w:w="1417" w:type="dxa"/>
            <w:vMerge/>
          </w:tcPr>
          <w:p w14:paraId="045D4FD9" w14:textId="77777777" w:rsidR="00454A29" w:rsidRDefault="00454A29"/>
        </w:tc>
        <w:tc>
          <w:tcPr>
            <w:tcW w:w="2324" w:type="dxa"/>
            <w:vMerge/>
          </w:tcPr>
          <w:p w14:paraId="0ACCF068" w14:textId="77777777" w:rsidR="00454A29" w:rsidRDefault="00454A29"/>
        </w:tc>
        <w:tc>
          <w:tcPr>
            <w:tcW w:w="1701" w:type="dxa"/>
            <w:vAlign w:val="center"/>
          </w:tcPr>
          <w:p w14:paraId="732F7E93" w14:textId="77777777" w:rsidR="00454A29" w:rsidRDefault="00454A29">
            <w:pPr>
              <w:pStyle w:val="ConsPlusNormal"/>
            </w:pPr>
          </w:p>
        </w:tc>
        <w:tc>
          <w:tcPr>
            <w:tcW w:w="1814" w:type="dxa"/>
            <w:vAlign w:val="center"/>
          </w:tcPr>
          <w:p w14:paraId="0017C178" w14:textId="77777777" w:rsidR="00454A29" w:rsidRDefault="00454A29">
            <w:pPr>
              <w:pStyle w:val="ConsPlusNormal"/>
            </w:pPr>
          </w:p>
        </w:tc>
        <w:tc>
          <w:tcPr>
            <w:tcW w:w="1701" w:type="dxa"/>
            <w:vAlign w:val="center"/>
          </w:tcPr>
          <w:p w14:paraId="2A65DA02" w14:textId="77777777" w:rsidR="00454A29" w:rsidRDefault="00454A29">
            <w:pPr>
              <w:pStyle w:val="ConsPlusNormal"/>
            </w:pPr>
          </w:p>
        </w:tc>
        <w:tc>
          <w:tcPr>
            <w:tcW w:w="1701" w:type="dxa"/>
            <w:vAlign w:val="center"/>
          </w:tcPr>
          <w:p w14:paraId="20694829" w14:textId="77777777" w:rsidR="00454A29" w:rsidRDefault="00454A29">
            <w:pPr>
              <w:pStyle w:val="ConsPlusNormal"/>
            </w:pPr>
          </w:p>
        </w:tc>
        <w:tc>
          <w:tcPr>
            <w:tcW w:w="1814" w:type="dxa"/>
            <w:vAlign w:val="center"/>
          </w:tcPr>
          <w:p w14:paraId="02020E50" w14:textId="77777777" w:rsidR="00454A29" w:rsidRDefault="00454A29">
            <w:pPr>
              <w:pStyle w:val="ConsPlusNormal"/>
            </w:pPr>
          </w:p>
        </w:tc>
      </w:tr>
      <w:tr w:rsidR="00454A29" w14:paraId="69759BCC" w14:textId="77777777">
        <w:tc>
          <w:tcPr>
            <w:tcW w:w="567" w:type="dxa"/>
            <w:vMerge/>
          </w:tcPr>
          <w:p w14:paraId="24B6EA22" w14:textId="77777777" w:rsidR="00454A29" w:rsidRDefault="00454A29"/>
        </w:tc>
        <w:tc>
          <w:tcPr>
            <w:tcW w:w="3345" w:type="dxa"/>
            <w:vMerge/>
          </w:tcPr>
          <w:p w14:paraId="1840D22D" w14:textId="77777777" w:rsidR="00454A29" w:rsidRDefault="00454A29"/>
        </w:tc>
        <w:tc>
          <w:tcPr>
            <w:tcW w:w="1701" w:type="dxa"/>
            <w:vAlign w:val="center"/>
          </w:tcPr>
          <w:p w14:paraId="09CBC831" w14:textId="77777777" w:rsidR="00454A29" w:rsidRDefault="00454A29">
            <w:pPr>
              <w:pStyle w:val="ConsPlusNormal"/>
              <w:jc w:val="center"/>
            </w:pPr>
            <w:r>
              <w:t>2023</w:t>
            </w:r>
          </w:p>
        </w:tc>
        <w:tc>
          <w:tcPr>
            <w:tcW w:w="1417" w:type="dxa"/>
            <w:vMerge/>
          </w:tcPr>
          <w:p w14:paraId="69CBA9FC" w14:textId="77777777" w:rsidR="00454A29" w:rsidRDefault="00454A29"/>
        </w:tc>
        <w:tc>
          <w:tcPr>
            <w:tcW w:w="2204" w:type="dxa"/>
            <w:vMerge/>
          </w:tcPr>
          <w:p w14:paraId="45450C80" w14:textId="77777777" w:rsidR="00454A29" w:rsidRDefault="00454A29"/>
        </w:tc>
        <w:tc>
          <w:tcPr>
            <w:tcW w:w="1417" w:type="dxa"/>
            <w:vMerge/>
          </w:tcPr>
          <w:p w14:paraId="04FD702E" w14:textId="77777777" w:rsidR="00454A29" w:rsidRDefault="00454A29"/>
        </w:tc>
        <w:tc>
          <w:tcPr>
            <w:tcW w:w="2324" w:type="dxa"/>
            <w:vMerge/>
          </w:tcPr>
          <w:p w14:paraId="09C55AD9" w14:textId="77777777" w:rsidR="00454A29" w:rsidRDefault="00454A29"/>
        </w:tc>
        <w:tc>
          <w:tcPr>
            <w:tcW w:w="1701" w:type="dxa"/>
            <w:vAlign w:val="center"/>
          </w:tcPr>
          <w:p w14:paraId="733AEAE8" w14:textId="77777777" w:rsidR="00454A29" w:rsidRDefault="00454A29">
            <w:pPr>
              <w:pStyle w:val="ConsPlusNormal"/>
            </w:pPr>
          </w:p>
        </w:tc>
        <w:tc>
          <w:tcPr>
            <w:tcW w:w="1814" w:type="dxa"/>
            <w:vAlign w:val="center"/>
          </w:tcPr>
          <w:p w14:paraId="3652A956" w14:textId="77777777" w:rsidR="00454A29" w:rsidRDefault="00454A29">
            <w:pPr>
              <w:pStyle w:val="ConsPlusNormal"/>
            </w:pPr>
          </w:p>
        </w:tc>
        <w:tc>
          <w:tcPr>
            <w:tcW w:w="1701" w:type="dxa"/>
            <w:vAlign w:val="center"/>
          </w:tcPr>
          <w:p w14:paraId="1C37272E" w14:textId="77777777" w:rsidR="00454A29" w:rsidRDefault="00454A29">
            <w:pPr>
              <w:pStyle w:val="ConsPlusNormal"/>
            </w:pPr>
          </w:p>
        </w:tc>
        <w:tc>
          <w:tcPr>
            <w:tcW w:w="1701" w:type="dxa"/>
            <w:vAlign w:val="center"/>
          </w:tcPr>
          <w:p w14:paraId="0AE6C883" w14:textId="77777777" w:rsidR="00454A29" w:rsidRDefault="00454A29">
            <w:pPr>
              <w:pStyle w:val="ConsPlusNormal"/>
            </w:pPr>
          </w:p>
        </w:tc>
        <w:tc>
          <w:tcPr>
            <w:tcW w:w="1814" w:type="dxa"/>
            <w:vAlign w:val="center"/>
          </w:tcPr>
          <w:p w14:paraId="52A6F0ED" w14:textId="77777777" w:rsidR="00454A29" w:rsidRDefault="00454A29">
            <w:pPr>
              <w:pStyle w:val="ConsPlusNormal"/>
            </w:pPr>
          </w:p>
        </w:tc>
      </w:tr>
      <w:tr w:rsidR="00454A29" w14:paraId="312C1D32" w14:textId="77777777">
        <w:tc>
          <w:tcPr>
            <w:tcW w:w="567" w:type="dxa"/>
            <w:vMerge/>
          </w:tcPr>
          <w:p w14:paraId="5FE6C9EF" w14:textId="77777777" w:rsidR="00454A29" w:rsidRDefault="00454A29"/>
        </w:tc>
        <w:tc>
          <w:tcPr>
            <w:tcW w:w="3345" w:type="dxa"/>
            <w:vMerge/>
          </w:tcPr>
          <w:p w14:paraId="33DDB416" w14:textId="77777777" w:rsidR="00454A29" w:rsidRDefault="00454A29"/>
        </w:tc>
        <w:tc>
          <w:tcPr>
            <w:tcW w:w="1701" w:type="dxa"/>
            <w:vAlign w:val="center"/>
          </w:tcPr>
          <w:p w14:paraId="5B5276CC" w14:textId="77777777" w:rsidR="00454A29" w:rsidRDefault="00454A29">
            <w:pPr>
              <w:pStyle w:val="ConsPlusNormal"/>
              <w:jc w:val="center"/>
            </w:pPr>
            <w:r>
              <w:t>2024</w:t>
            </w:r>
          </w:p>
        </w:tc>
        <w:tc>
          <w:tcPr>
            <w:tcW w:w="1417" w:type="dxa"/>
            <w:vMerge/>
          </w:tcPr>
          <w:p w14:paraId="05A462E7" w14:textId="77777777" w:rsidR="00454A29" w:rsidRDefault="00454A29"/>
        </w:tc>
        <w:tc>
          <w:tcPr>
            <w:tcW w:w="2204" w:type="dxa"/>
            <w:vMerge/>
          </w:tcPr>
          <w:p w14:paraId="0E72F5E3" w14:textId="77777777" w:rsidR="00454A29" w:rsidRDefault="00454A29"/>
        </w:tc>
        <w:tc>
          <w:tcPr>
            <w:tcW w:w="1417" w:type="dxa"/>
            <w:vMerge/>
          </w:tcPr>
          <w:p w14:paraId="6B4FC141" w14:textId="77777777" w:rsidR="00454A29" w:rsidRDefault="00454A29"/>
        </w:tc>
        <w:tc>
          <w:tcPr>
            <w:tcW w:w="2324" w:type="dxa"/>
            <w:vMerge/>
          </w:tcPr>
          <w:p w14:paraId="6DB5D8DD" w14:textId="77777777" w:rsidR="00454A29" w:rsidRDefault="00454A29"/>
        </w:tc>
        <w:tc>
          <w:tcPr>
            <w:tcW w:w="1701" w:type="dxa"/>
            <w:vAlign w:val="center"/>
          </w:tcPr>
          <w:p w14:paraId="744D9908" w14:textId="77777777" w:rsidR="00454A29" w:rsidRDefault="00454A29">
            <w:pPr>
              <w:pStyle w:val="ConsPlusNormal"/>
            </w:pPr>
          </w:p>
        </w:tc>
        <w:tc>
          <w:tcPr>
            <w:tcW w:w="1814" w:type="dxa"/>
            <w:vAlign w:val="center"/>
          </w:tcPr>
          <w:p w14:paraId="5FF4C6C2" w14:textId="77777777" w:rsidR="00454A29" w:rsidRDefault="00454A29">
            <w:pPr>
              <w:pStyle w:val="ConsPlusNormal"/>
            </w:pPr>
          </w:p>
        </w:tc>
        <w:tc>
          <w:tcPr>
            <w:tcW w:w="1701" w:type="dxa"/>
            <w:vAlign w:val="center"/>
          </w:tcPr>
          <w:p w14:paraId="4C79EE3F" w14:textId="77777777" w:rsidR="00454A29" w:rsidRDefault="00454A29">
            <w:pPr>
              <w:pStyle w:val="ConsPlusNormal"/>
            </w:pPr>
          </w:p>
        </w:tc>
        <w:tc>
          <w:tcPr>
            <w:tcW w:w="1701" w:type="dxa"/>
            <w:vAlign w:val="center"/>
          </w:tcPr>
          <w:p w14:paraId="7CB5C4B2" w14:textId="77777777" w:rsidR="00454A29" w:rsidRDefault="00454A29">
            <w:pPr>
              <w:pStyle w:val="ConsPlusNormal"/>
            </w:pPr>
          </w:p>
        </w:tc>
        <w:tc>
          <w:tcPr>
            <w:tcW w:w="1814" w:type="dxa"/>
            <w:vAlign w:val="center"/>
          </w:tcPr>
          <w:p w14:paraId="6447CA63" w14:textId="77777777" w:rsidR="00454A29" w:rsidRDefault="00454A29">
            <w:pPr>
              <w:pStyle w:val="ConsPlusNormal"/>
            </w:pPr>
          </w:p>
        </w:tc>
      </w:tr>
      <w:tr w:rsidR="00454A29" w14:paraId="675DD3AF" w14:textId="77777777">
        <w:tc>
          <w:tcPr>
            <w:tcW w:w="567" w:type="dxa"/>
            <w:vMerge/>
          </w:tcPr>
          <w:p w14:paraId="0468C9DB" w14:textId="77777777" w:rsidR="00454A29" w:rsidRDefault="00454A29"/>
        </w:tc>
        <w:tc>
          <w:tcPr>
            <w:tcW w:w="3345" w:type="dxa"/>
            <w:vMerge/>
          </w:tcPr>
          <w:p w14:paraId="43147CFF" w14:textId="77777777" w:rsidR="00454A29" w:rsidRDefault="00454A29"/>
        </w:tc>
        <w:tc>
          <w:tcPr>
            <w:tcW w:w="1701" w:type="dxa"/>
            <w:vAlign w:val="center"/>
          </w:tcPr>
          <w:p w14:paraId="040C2373" w14:textId="77777777" w:rsidR="00454A29" w:rsidRDefault="00454A29">
            <w:pPr>
              <w:pStyle w:val="ConsPlusNormal"/>
              <w:jc w:val="center"/>
            </w:pPr>
            <w:r>
              <w:t>2025</w:t>
            </w:r>
          </w:p>
        </w:tc>
        <w:tc>
          <w:tcPr>
            <w:tcW w:w="1417" w:type="dxa"/>
            <w:vMerge/>
          </w:tcPr>
          <w:p w14:paraId="60B899F7" w14:textId="77777777" w:rsidR="00454A29" w:rsidRDefault="00454A29"/>
        </w:tc>
        <w:tc>
          <w:tcPr>
            <w:tcW w:w="2204" w:type="dxa"/>
            <w:vMerge/>
          </w:tcPr>
          <w:p w14:paraId="24F7727F" w14:textId="77777777" w:rsidR="00454A29" w:rsidRDefault="00454A29"/>
        </w:tc>
        <w:tc>
          <w:tcPr>
            <w:tcW w:w="1417" w:type="dxa"/>
            <w:vMerge/>
          </w:tcPr>
          <w:p w14:paraId="43F03CD7" w14:textId="77777777" w:rsidR="00454A29" w:rsidRDefault="00454A29"/>
        </w:tc>
        <w:tc>
          <w:tcPr>
            <w:tcW w:w="2324" w:type="dxa"/>
            <w:vMerge/>
          </w:tcPr>
          <w:p w14:paraId="725AE19D" w14:textId="77777777" w:rsidR="00454A29" w:rsidRDefault="00454A29"/>
        </w:tc>
        <w:tc>
          <w:tcPr>
            <w:tcW w:w="1701" w:type="dxa"/>
            <w:vAlign w:val="center"/>
          </w:tcPr>
          <w:p w14:paraId="238E3840" w14:textId="77777777" w:rsidR="00454A29" w:rsidRDefault="00454A29">
            <w:pPr>
              <w:pStyle w:val="ConsPlusNormal"/>
            </w:pPr>
          </w:p>
        </w:tc>
        <w:tc>
          <w:tcPr>
            <w:tcW w:w="1814" w:type="dxa"/>
            <w:vAlign w:val="center"/>
          </w:tcPr>
          <w:p w14:paraId="2210BE9A" w14:textId="77777777" w:rsidR="00454A29" w:rsidRDefault="00454A29">
            <w:pPr>
              <w:pStyle w:val="ConsPlusNormal"/>
            </w:pPr>
          </w:p>
        </w:tc>
        <w:tc>
          <w:tcPr>
            <w:tcW w:w="1701" w:type="dxa"/>
            <w:vAlign w:val="center"/>
          </w:tcPr>
          <w:p w14:paraId="776CDB21" w14:textId="77777777" w:rsidR="00454A29" w:rsidRDefault="00454A29">
            <w:pPr>
              <w:pStyle w:val="ConsPlusNormal"/>
            </w:pPr>
          </w:p>
        </w:tc>
        <w:tc>
          <w:tcPr>
            <w:tcW w:w="1701" w:type="dxa"/>
            <w:vAlign w:val="center"/>
          </w:tcPr>
          <w:p w14:paraId="261F823E" w14:textId="77777777" w:rsidR="00454A29" w:rsidRDefault="00454A29">
            <w:pPr>
              <w:pStyle w:val="ConsPlusNormal"/>
            </w:pPr>
          </w:p>
        </w:tc>
        <w:tc>
          <w:tcPr>
            <w:tcW w:w="1814" w:type="dxa"/>
            <w:vAlign w:val="center"/>
          </w:tcPr>
          <w:p w14:paraId="21D444BD" w14:textId="77777777" w:rsidR="00454A29" w:rsidRDefault="00454A29">
            <w:pPr>
              <w:pStyle w:val="ConsPlusNormal"/>
            </w:pPr>
          </w:p>
        </w:tc>
      </w:tr>
      <w:tr w:rsidR="00454A29" w14:paraId="79CA2A80" w14:textId="77777777">
        <w:tc>
          <w:tcPr>
            <w:tcW w:w="567" w:type="dxa"/>
            <w:vMerge/>
          </w:tcPr>
          <w:p w14:paraId="158ED64A" w14:textId="77777777" w:rsidR="00454A29" w:rsidRDefault="00454A29"/>
        </w:tc>
        <w:tc>
          <w:tcPr>
            <w:tcW w:w="3345" w:type="dxa"/>
            <w:vMerge/>
          </w:tcPr>
          <w:p w14:paraId="23BF9613" w14:textId="77777777" w:rsidR="00454A29" w:rsidRDefault="00454A29"/>
        </w:tc>
        <w:tc>
          <w:tcPr>
            <w:tcW w:w="1701" w:type="dxa"/>
            <w:vAlign w:val="center"/>
          </w:tcPr>
          <w:p w14:paraId="07ED0B6E" w14:textId="77777777" w:rsidR="00454A29" w:rsidRDefault="00454A29">
            <w:pPr>
              <w:pStyle w:val="ConsPlusNormal"/>
              <w:jc w:val="center"/>
            </w:pPr>
            <w:r>
              <w:t>2026</w:t>
            </w:r>
          </w:p>
        </w:tc>
        <w:tc>
          <w:tcPr>
            <w:tcW w:w="1417" w:type="dxa"/>
            <w:vMerge/>
          </w:tcPr>
          <w:p w14:paraId="2BDC3B1A" w14:textId="77777777" w:rsidR="00454A29" w:rsidRDefault="00454A29"/>
        </w:tc>
        <w:tc>
          <w:tcPr>
            <w:tcW w:w="2204" w:type="dxa"/>
            <w:vMerge/>
          </w:tcPr>
          <w:p w14:paraId="3AD41A81" w14:textId="77777777" w:rsidR="00454A29" w:rsidRDefault="00454A29"/>
        </w:tc>
        <w:tc>
          <w:tcPr>
            <w:tcW w:w="1417" w:type="dxa"/>
            <w:vMerge/>
          </w:tcPr>
          <w:p w14:paraId="76099A55" w14:textId="77777777" w:rsidR="00454A29" w:rsidRDefault="00454A29"/>
        </w:tc>
        <w:tc>
          <w:tcPr>
            <w:tcW w:w="2324" w:type="dxa"/>
            <w:vMerge/>
          </w:tcPr>
          <w:p w14:paraId="6972960E" w14:textId="77777777" w:rsidR="00454A29" w:rsidRDefault="00454A29"/>
        </w:tc>
        <w:tc>
          <w:tcPr>
            <w:tcW w:w="1701" w:type="dxa"/>
            <w:vAlign w:val="center"/>
          </w:tcPr>
          <w:p w14:paraId="6BF37591" w14:textId="77777777" w:rsidR="00454A29" w:rsidRDefault="00454A29">
            <w:pPr>
              <w:pStyle w:val="ConsPlusNormal"/>
              <w:jc w:val="center"/>
            </w:pPr>
            <w:r>
              <w:t>373 514,00</w:t>
            </w:r>
          </w:p>
        </w:tc>
        <w:tc>
          <w:tcPr>
            <w:tcW w:w="1814" w:type="dxa"/>
            <w:vAlign w:val="center"/>
          </w:tcPr>
          <w:p w14:paraId="75F23DC0" w14:textId="77777777" w:rsidR="00454A29" w:rsidRDefault="00454A29">
            <w:pPr>
              <w:pStyle w:val="ConsPlusNormal"/>
              <w:jc w:val="center"/>
            </w:pPr>
            <w:r>
              <w:t>4 601,69</w:t>
            </w:r>
          </w:p>
        </w:tc>
        <w:tc>
          <w:tcPr>
            <w:tcW w:w="1701" w:type="dxa"/>
            <w:vAlign w:val="center"/>
          </w:tcPr>
          <w:p w14:paraId="6937D52D" w14:textId="77777777" w:rsidR="00454A29" w:rsidRDefault="00454A29">
            <w:pPr>
              <w:pStyle w:val="ConsPlusNormal"/>
              <w:jc w:val="center"/>
            </w:pPr>
            <w:r>
              <w:t>455 567,56</w:t>
            </w:r>
          </w:p>
        </w:tc>
        <w:tc>
          <w:tcPr>
            <w:tcW w:w="1701" w:type="dxa"/>
            <w:vAlign w:val="center"/>
          </w:tcPr>
          <w:p w14:paraId="1DFA04E1" w14:textId="77777777" w:rsidR="00454A29" w:rsidRDefault="00454A29">
            <w:pPr>
              <w:pStyle w:val="ConsPlusNormal"/>
            </w:pPr>
          </w:p>
        </w:tc>
        <w:tc>
          <w:tcPr>
            <w:tcW w:w="1814" w:type="dxa"/>
            <w:vAlign w:val="center"/>
          </w:tcPr>
          <w:p w14:paraId="1B99E3F0" w14:textId="77777777" w:rsidR="00454A29" w:rsidRDefault="00454A29">
            <w:pPr>
              <w:pStyle w:val="ConsPlusNormal"/>
            </w:pPr>
          </w:p>
        </w:tc>
      </w:tr>
      <w:tr w:rsidR="00454A29" w14:paraId="0ABEB247" w14:textId="77777777">
        <w:tc>
          <w:tcPr>
            <w:tcW w:w="567" w:type="dxa"/>
            <w:vMerge w:val="restart"/>
            <w:vAlign w:val="center"/>
          </w:tcPr>
          <w:p w14:paraId="5BCD792B" w14:textId="77777777" w:rsidR="00454A29" w:rsidRDefault="00454A29">
            <w:pPr>
              <w:pStyle w:val="ConsPlusNormal"/>
              <w:jc w:val="center"/>
            </w:pPr>
            <w:r>
              <w:t>152</w:t>
            </w:r>
          </w:p>
        </w:tc>
        <w:tc>
          <w:tcPr>
            <w:tcW w:w="3345" w:type="dxa"/>
            <w:vMerge w:val="restart"/>
            <w:vAlign w:val="center"/>
          </w:tcPr>
          <w:p w14:paraId="74AE4C72" w14:textId="77777777" w:rsidR="00454A29" w:rsidRDefault="00454A29">
            <w:pPr>
              <w:pStyle w:val="ConsPlusNormal"/>
              <w:jc w:val="center"/>
            </w:pPr>
            <w:r>
              <w:t>Школа-сад на 50/10 мест в с. Хайыр</w:t>
            </w:r>
          </w:p>
        </w:tc>
        <w:tc>
          <w:tcPr>
            <w:tcW w:w="1701" w:type="dxa"/>
            <w:vAlign w:val="center"/>
          </w:tcPr>
          <w:p w14:paraId="5DB7ABD8" w14:textId="77777777" w:rsidR="00454A29" w:rsidRDefault="00454A29">
            <w:pPr>
              <w:pStyle w:val="ConsPlusNormal"/>
              <w:jc w:val="center"/>
            </w:pPr>
            <w:r>
              <w:t>2020 - 2026 годы - всего</w:t>
            </w:r>
          </w:p>
        </w:tc>
        <w:tc>
          <w:tcPr>
            <w:tcW w:w="1417" w:type="dxa"/>
            <w:vMerge w:val="restart"/>
            <w:vAlign w:val="center"/>
          </w:tcPr>
          <w:p w14:paraId="6A48762D" w14:textId="77777777" w:rsidR="00454A29" w:rsidRDefault="00454A29">
            <w:pPr>
              <w:pStyle w:val="ConsPlusNormal"/>
              <w:jc w:val="center"/>
            </w:pPr>
            <w:r>
              <w:t>220 694,71</w:t>
            </w:r>
          </w:p>
        </w:tc>
        <w:tc>
          <w:tcPr>
            <w:tcW w:w="2204" w:type="dxa"/>
            <w:vMerge w:val="restart"/>
            <w:vAlign w:val="center"/>
          </w:tcPr>
          <w:p w14:paraId="78EA8E16" w14:textId="77777777" w:rsidR="00454A29" w:rsidRDefault="00454A29">
            <w:pPr>
              <w:pStyle w:val="ConsPlusNormal"/>
            </w:pPr>
          </w:p>
        </w:tc>
        <w:tc>
          <w:tcPr>
            <w:tcW w:w="1417" w:type="dxa"/>
            <w:vMerge w:val="restart"/>
            <w:vAlign w:val="center"/>
          </w:tcPr>
          <w:p w14:paraId="5959D7DA" w14:textId="77777777" w:rsidR="00454A29" w:rsidRDefault="00454A29">
            <w:pPr>
              <w:pStyle w:val="ConsPlusNormal"/>
              <w:jc w:val="center"/>
            </w:pPr>
            <w:r>
              <w:t>50</w:t>
            </w:r>
          </w:p>
        </w:tc>
        <w:tc>
          <w:tcPr>
            <w:tcW w:w="2324" w:type="dxa"/>
            <w:vMerge w:val="restart"/>
            <w:vAlign w:val="center"/>
          </w:tcPr>
          <w:p w14:paraId="66BABBC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4C1DB18" w14:textId="77777777" w:rsidR="00454A29" w:rsidRDefault="00454A29">
            <w:pPr>
              <w:pStyle w:val="ConsPlusNormal"/>
              <w:jc w:val="center"/>
            </w:pPr>
            <w:r>
              <w:t>220 694,71</w:t>
            </w:r>
          </w:p>
        </w:tc>
        <w:tc>
          <w:tcPr>
            <w:tcW w:w="1814" w:type="dxa"/>
            <w:vAlign w:val="center"/>
          </w:tcPr>
          <w:p w14:paraId="3BFEE47C" w14:textId="77777777" w:rsidR="00454A29" w:rsidRDefault="00454A29">
            <w:pPr>
              <w:pStyle w:val="ConsPlusNormal"/>
              <w:jc w:val="center"/>
            </w:pPr>
            <w:r>
              <w:t>2 718,96</w:t>
            </w:r>
          </w:p>
        </w:tc>
        <w:tc>
          <w:tcPr>
            <w:tcW w:w="1701" w:type="dxa"/>
            <w:vAlign w:val="center"/>
          </w:tcPr>
          <w:p w14:paraId="3C904ECD" w14:textId="77777777" w:rsidR="00454A29" w:rsidRDefault="00454A29">
            <w:pPr>
              <w:pStyle w:val="ConsPlusNormal"/>
              <w:jc w:val="center"/>
            </w:pPr>
            <w:r>
              <w:t>269 176,93</w:t>
            </w:r>
          </w:p>
        </w:tc>
        <w:tc>
          <w:tcPr>
            <w:tcW w:w="1701" w:type="dxa"/>
            <w:vAlign w:val="center"/>
          </w:tcPr>
          <w:p w14:paraId="072BDB94" w14:textId="77777777" w:rsidR="00454A29" w:rsidRDefault="00454A29">
            <w:pPr>
              <w:pStyle w:val="ConsPlusNormal"/>
              <w:jc w:val="center"/>
            </w:pPr>
            <w:r>
              <w:t>-</w:t>
            </w:r>
          </w:p>
        </w:tc>
        <w:tc>
          <w:tcPr>
            <w:tcW w:w="1814" w:type="dxa"/>
            <w:vAlign w:val="center"/>
          </w:tcPr>
          <w:p w14:paraId="38936CB8" w14:textId="77777777" w:rsidR="00454A29" w:rsidRDefault="00454A29">
            <w:pPr>
              <w:pStyle w:val="ConsPlusNormal"/>
              <w:jc w:val="center"/>
            </w:pPr>
            <w:r>
              <w:t>-</w:t>
            </w:r>
          </w:p>
        </w:tc>
      </w:tr>
      <w:tr w:rsidR="00454A29" w14:paraId="1DFB1EA2" w14:textId="77777777">
        <w:tc>
          <w:tcPr>
            <w:tcW w:w="567" w:type="dxa"/>
            <w:vMerge/>
          </w:tcPr>
          <w:p w14:paraId="50CA02B1" w14:textId="77777777" w:rsidR="00454A29" w:rsidRDefault="00454A29"/>
        </w:tc>
        <w:tc>
          <w:tcPr>
            <w:tcW w:w="3345" w:type="dxa"/>
            <w:vMerge/>
          </w:tcPr>
          <w:p w14:paraId="70D62347" w14:textId="77777777" w:rsidR="00454A29" w:rsidRDefault="00454A29"/>
        </w:tc>
        <w:tc>
          <w:tcPr>
            <w:tcW w:w="1701" w:type="dxa"/>
            <w:vAlign w:val="center"/>
          </w:tcPr>
          <w:p w14:paraId="621458F8" w14:textId="77777777" w:rsidR="00454A29" w:rsidRDefault="00454A29">
            <w:pPr>
              <w:pStyle w:val="ConsPlusNormal"/>
              <w:jc w:val="center"/>
            </w:pPr>
            <w:r>
              <w:t>2020</w:t>
            </w:r>
          </w:p>
        </w:tc>
        <w:tc>
          <w:tcPr>
            <w:tcW w:w="1417" w:type="dxa"/>
            <w:vMerge/>
          </w:tcPr>
          <w:p w14:paraId="41A61DCD" w14:textId="77777777" w:rsidR="00454A29" w:rsidRDefault="00454A29"/>
        </w:tc>
        <w:tc>
          <w:tcPr>
            <w:tcW w:w="2204" w:type="dxa"/>
            <w:vMerge/>
          </w:tcPr>
          <w:p w14:paraId="1CD2170B" w14:textId="77777777" w:rsidR="00454A29" w:rsidRDefault="00454A29"/>
        </w:tc>
        <w:tc>
          <w:tcPr>
            <w:tcW w:w="1417" w:type="dxa"/>
            <w:vMerge/>
          </w:tcPr>
          <w:p w14:paraId="42CAC51B" w14:textId="77777777" w:rsidR="00454A29" w:rsidRDefault="00454A29"/>
        </w:tc>
        <w:tc>
          <w:tcPr>
            <w:tcW w:w="2324" w:type="dxa"/>
            <w:vMerge/>
          </w:tcPr>
          <w:p w14:paraId="77F87AEA" w14:textId="77777777" w:rsidR="00454A29" w:rsidRDefault="00454A29"/>
        </w:tc>
        <w:tc>
          <w:tcPr>
            <w:tcW w:w="1701" w:type="dxa"/>
            <w:vAlign w:val="center"/>
          </w:tcPr>
          <w:p w14:paraId="1290689C" w14:textId="77777777" w:rsidR="00454A29" w:rsidRDefault="00454A29">
            <w:pPr>
              <w:pStyle w:val="ConsPlusNormal"/>
            </w:pPr>
          </w:p>
        </w:tc>
        <w:tc>
          <w:tcPr>
            <w:tcW w:w="1814" w:type="dxa"/>
            <w:vAlign w:val="center"/>
          </w:tcPr>
          <w:p w14:paraId="4909D70D" w14:textId="77777777" w:rsidR="00454A29" w:rsidRDefault="00454A29">
            <w:pPr>
              <w:pStyle w:val="ConsPlusNormal"/>
            </w:pPr>
          </w:p>
        </w:tc>
        <w:tc>
          <w:tcPr>
            <w:tcW w:w="1701" w:type="dxa"/>
            <w:vAlign w:val="center"/>
          </w:tcPr>
          <w:p w14:paraId="198BF846" w14:textId="77777777" w:rsidR="00454A29" w:rsidRDefault="00454A29">
            <w:pPr>
              <w:pStyle w:val="ConsPlusNormal"/>
            </w:pPr>
          </w:p>
        </w:tc>
        <w:tc>
          <w:tcPr>
            <w:tcW w:w="1701" w:type="dxa"/>
            <w:vAlign w:val="center"/>
          </w:tcPr>
          <w:p w14:paraId="29C05425" w14:textId="77777777" w:rsidR="00454A29" w:rsidRDefault="00454A29">
            <w:pPr>
              <w:pStyle w:val="ConsPlusNormal"/>
            </w:pPr>
          </w:p>
        </w:tc>
        <w:tc>
          <w:tcPr>
            <w:tcW w:w="1814" w:type="dxa"/>
            <w:vAlign w:val="center"/>
          </w:tcPr>
          <w:p w14:paraId="5268EA8E" w14:textId="77777777" w:rsidR="00454A29" w:rsidRDefault="00454A29">
            <w:pPr>
              <w:pStyle w:val="ConsPlusNormal"/>
            </w:pPr>
          </w:p>
        </w:tc>
      </w:tr>
      <w:tr w:rsidR="00454A29" w14:paraId="76607403" w14:textId="77777777">
        <w:tc>
          <w:tcPr>
            <w:tcW w:w="567" w:type="dxa"/>
            <w:vMerge/>
          </w:tcPr>
          <w:p w14:paraId="45D2E68C" w14:textId="77777777" w:rsidR="00454A29" w:rsidRDefault="00454A29"/>
        </w:tc>
        <w:tc>
          <w:tcPr>
            <w:tcW w:w="3345" w:type="dxa"/>
            <w:vMerge/>
          </w:tcPr>
          <w:p w14:paraId="46E35D74" w14:textId="77777777" w:rsidR="00454A29" w:rsidRDefault="00454A29"/>
        </w:tc>
        <w:tc>
          <w:tcPr>
            <w:tcW w:w="1701" w:type="dxa"/>
            <w:vAlign w:val="center"/>
          </w:tcPr>
          <w:p w14:paraId="1B8507C1" w14:textId="77777777" w:rsidR="00454A29" w:rsidRDefault="00454A29">
            <w:pPr>
              <w:pStyle w:val="ConsPlusNormal"/>
              <w:jc w:val="center"/>
            </w:pPr>
            <w:r>
              <w:t>2021</w:t>
            </w:r>
          </w:p>
        </w:tc>
        <w:tc>
          <w:tcPr>
            <w:tcW w:w="1417" w:type="dxa"/>
            <w:vMerge/>
          </w:tcPr>
          <w:p w14:paraId="59873E12" w14:textId="77777777" w:rsidR="00454A29" w:rsidRDefault="00454A29"/>
        </w:tc>
        <w:tc>
          <w:tcPr>
            <w:tcW w:w="2204" w:type="dxa"/>
            <w:vMerge/>
          </w:tcPr>
          <w:p w14:paraId="346512E7" w14:textId="77777777" w:rsidR="00454A29" w:rsidRDefault="00454A29"/>
        </w:tc>
        <w:tc>
          <w:tcPr>
            <w:tcW w:w="1417" w:type="dxa"/>
            <w:vMerge/>
          </w:tcPr>
          <w:p w14:paraId="24930402" w14:textId="77777777" w:rsidR="00454A29" w:rsidRDefault="00454A29"/>
        </w:tc>
        <w:tc>
          <w:tcPr>
            <w:tcW w:w="2324" w:type="dxa"/>
            <w:vMerge/>
          </w:tcPr>
          <w:p w14:paraId="370D7D45" w14:textId="77777777" w:rsidR="00454A29" w:rsidRDefault="00454A29"/>
        </w:tc>
        <w:tc>
          <w:tcPr>
            <w:tcW w:w="1701" w:type="dxa"/>
            <w:vAlign w:val="center"/>
          </w:tcPr>
          <w:p w14:paraId="1B8B90EB" w14:textId="77777777" w:rsidR="00454A29" w:rsidRDefault="00454A29">
            <w:pPr>
              <w:pStyle w:val="ConsPlusNormal"/>
              <w:jc w:val="center"/>
            </w:pPr>
            <w:r>
              <w:t>-</w:t>
            </w:r>
          </w:p>
        </w:tc>
        <w:tc>
          <w:tcPr>
            <w:tcW w:w="1814" w:type="dxa"/>
            <w:vAlign w:val="center"/>
          </w:tcPr>
          <w:p w14:paraId="54433A79" w14:textId="77777777" w:rsidR="00454A29" w:rsidRDefault="00454A29">
            <w:pPr>
              <w:pStyle w:val="ConsPlusNormal"/>
            </w:pPr>
          </w:p>
        </w:tc>
        <w:tc>
          <w:tcPr>
            <w:tcW w:w="1701" w:type="dxa"/>
            <w:vAlign w:val="center"/>
          </w:tcPr>
          <w:p w14:paraId="32270927" w14:textId="77777777" w:rsidR="00454A29" w:rsidRDefault="00454A29">
            <w:pPr>
              <w:pStyle w:val="ConsPlusNormal"/>
            </w:pPr>
          </w:p>
        </w:tc>
        <w:tc>
          <w:tcPr>
            <w:tcW w:w="1701" w:type="dxa"/>
            <w:vAlign w:val="center"/>
          </w:tcPr>
          <w:p w14:paraId="1E96E4CD" w14:textId="77777777" w:rsidR="00454A29" w:rsidRDefault="00454A29">
            <w:pPr>
              <w:pStyle w:val="ConsPlusNormal"/>
            </w:pPr>
          </w:p>
        </w:tc>
        <w:tc>
          <w:tcPr>
            <w:tcW w:w="1814" w:type="dxa"/>
            <w:vAlign w:val="center"/>
          </w:tcPr>
          <w:p w14:paraId="1DD458D4" w14:textId="77777777" w:rsidR="00454A29" w:rsidRDefault="00454A29">
            <w:pPr>
              <w:pStyle w:val="ConsPlusNormal"/>
            </w:pPr>
          </w:p>
        </w:tc>
      </w:tr>
      <w:tr w:rsidR="00454A29" w14:paraId="49B258A9" w14:textId="77777777">
        <w:tc>
          <w:tcPr>
            <w:tcW w:w="567" w:type="dxa"/>
            <w:vMerge/>
          </w:tcPr>
          <w:p w14:paraId="6D4F7D5D" w14:textId="77777777" w:rsidR="00454A29" w:rsidRDefault="00454A29"/>
        </w:tc>
        <w:tc>
          <w:tcPr>
            <w:tcW w:w="3345" w:type="dxa"/>
            <w:vMerge/>
          </w:tcPr>
          <w:p w14:paraId="1D8956BE" w14:textId="77777777" w:rsidR="00454A29" w:rsidRDefault="00454A29"/>
        </w:tc>
        <w:tc>
          <w:tcPr>
            <w:tcW w:w="1701" w:type="dxa"/>
            <w:vAlign w:val="center"/>
          </w:tcPr>
          <w:p w14:paraId="38D1778A" w14:textId="77777777" w:rsidR="00454A29" w:rsidRDefault="00454A29">
            <w:pPr>
              <w:pStyle w:val="ConsPlusNormal"/>
              <w:jc w:val="center"/>
            </w:pPr>
            <w:r>
              <w:t>2022</w:t>
            </w:r>
          </w:p>
        </w:tc>
        <w:tc>
          <w:tcPr>
            <w:tcW w:w="1417" w:type="dxa"/>
            <w:vMerge/>
          </w:tcPr>
          <w:p w14:paraId="56E3ABAB" w14:textId="77777777" w:rsidR="00454A29" w:rsidRDefault="00454A29"/>
        </w:tc>
        <w:tc>
          <w:tcPr>
            <w:tcW w:w="2204" w:type="dxa"/>
            <w:vMerge/>
          </w:tcPr>
          <w:p w14:paraId="773DA459" w14:textId="77777777" w:rsidR="00454A29" w:rsidRDefault="00454A29"/>
        </w:tc>
        <w:tc>
          <w:tcPr>
            <w:tcW w:w="1417" w:type="dxa"/>
            <w:vMerge/>
          </w:tcPr>
          <w:p w14:paraId="12D6D362" w14:textId="77777777" w:rsidR="00454A29" w:rsidRDefault="00454A29"/>
        </w:tc>
        <w:tc>
          <w:tcPr>
            <w:tcW w:w="2324" w:type="dxa"/>
            <w:vMerge/>
          </w:tcPr>
          <w:p w14:paraId="5678238D" w14:textId="77777777" w:rsidR="00454A29" w:rsidRDefault="00454A29"/>
        </w:tc>
        <w:tc>
          <w:tcPr>
            <w:tcW w:w="1701" w:type="dxa"/>
            <w:vAlign w:val="center"/>
          </w:tcPr>
          <w:p w14:paraId="59F8C6F7" w14:textId="77777777" w:rsidR="00454A29" w:rsidRDefault="00454A29">
            <w:pPr>
              <w:pStyle w:val="ConsPlusNormal"/>
            </w:pPr>
          </w:p>
        </w:tc>
        <w:tc>
          <w:tcPr>
            <w:tcW w:w="1814" w:type="dxa"/>
            <w:vAlign w:val="center"/>
          </w:tcPr>
          <w:p w14:paraId="37F5DD67" w14:textId="77777777" w:rsidR="00454A29" w:rsidRDefault="00454A29">
            <w:pPr>
              <w:pStyle w:val="ConsPlusNormal"/>
            </w:pPr>
          </w:p>
        </w:tc>
        <w:tc>
          <w:tcPr>
            <w:tcW w:w="1701" w:type="dxa"/>
            <w:vAlign w:val="center"/>
          </w:tcPr>
          <w:p w14:paraId="6E3B92EE" w14:textId="77777777" w:rsidR="00454A29" w:rsidRDefault="00454A29">
            <w:pPr>
              <w:pStyle w:val="ConsPlusNormal"/>
            </w:pPr>
          </w:p>
        </w:tc>
        <w:tc>
          <w:tcPr>
            <w:tcW w:w="1701" w:type="dxa"/>
            <w:vAlign w:val="center"/>
          </w:tcPr>
          <w:p w14:paraId="7E809E7B" w14:textId="77777777" w:rsidR="00454A29" w:rsidRDefault="00454A29">
            <w:pPr>
              <w:pStyle w:val="ConsPlusNormal"/>
            </w:pPr>
          </w:p>
        </w:tc>
        <w:tc>
          <w:tcPr>
            <w:tcW w:w="1814" w:type="dxa"/>
            <w:vAlign w:val="center"/>
          </w:tcPr>
          <w:p w14:paraId="274CD5C9" w14:textId="77777777" w:rsidR="00454A29" w:rsidRDefault="00454A29">
            <w:pPr>
              <w:pStyle w:val="ConsPlusNormal"/>
            </w:pPr>
          </w:p>
        </w:tc>
      </w:tr>
      <w:tr w:rsidR="00454A29" w14:paraId="2E5D1814" w14:textId="77777777">
        <w:tc>
          <w:tcPr>
            <w:tcW w:w="567" w:type="dxa"/>
            <w:vMerge/>
          </w:tcPr>
          <w:p w14:paraId="5A0020A9" w14:textId="77777777" w:rsidR="00454A29" w:rsidRDefault="00454A29"/>
        </w:tc>
        <w:tc>
          <w:tcPr>
            <w:tcW w:w="3345" w:type="dxa"/>
            <w:vMerge/>
          </w:tcPr>
          <w:p w14:paraId="51F1E85B" w14:textId="77777777" w:rsidR="00454A29" w:rsidRDefault="00454A29"/>
        </w:tc>
        <w:tc>
          <w:tcPr>
            <w:tcW w:w="1701" w:type="dxa"/>
            <w:vAlign w:val="center"/>
          </w:tcPr>
          <w:p w14:paraId="486BD9A7" w14:textId="77777777" w:rsidR="00454A29" w:rsidRDefault="00454A29">
            <w:pPr>
              <w:pStyle w:val="ConsPlusNormal"/>
              <w:jc w:val="center"/>
            </w:pPr>
            <w:r>
              <w:t>2023</w:t>
            </w:r>
          </w:p>
        </w:tc>
        <w:tc>
          <w:tcPr>
            <w:tcW w:w="1417" w:type="dxa"/>
            <w:vMerge/>
          </w:tcPr>
          <w:p w14:paraId="6C89B967" w14:textId="77777777" w:rsidR="00454A29" w:rsidRDefault="00454A29"/>
        </w:tc>
        <w:tc>
          <w:tcPr>
            <w:tcW w:w="2204" w:type="dxa"/>
            <w:vMerge/>
          </w:tcPr>
          <w:p w14:paraId="7A9A872C" w14:textId="77777777" w:rsidR="00454A29" w:rsidRDefault="00454A29"/>
        </w:tc>
        <w:tc>
          <w:tcPr>
            <w:tcW w:w="1417" w:type="dxa"/>
            <w:vMerge/>
          </w:tcPr>
          <w:p w14:paraId="15408C69" w14:textId="77777777" w:rsidR="00454A29" w:rsidRDefault="00454A29"/>
        </w:tc>
        <w:tc>
          <w:tcPr>
            <w:tcW w:w="2324" w:type="dxa"/>
            <w:vMerge/>
          </w:tcPr>
          <w:p w14:paraId="6857617F" w14:textId="77777777" w:rsidR="00454A29" w:rsidRDefault="00454A29"/>
        </w:tc>
        <w:tc>
          <w:tcPr>
            <w:tcW w:w="1701" w:type="dxa"/>
            <w:vAlign w:val="center"/>
          </w:tcPr>
          <w:p w14:paraId="7B443EAB" w14:textId="77777777" w:rsidR="00454A29" w:rsidRDefault="00454A29">
            <w:pPr>
              <w:pStyle w:val="ConsPlusNormal"/>
            </w:pPr>
          </w:p>
        </w:tc>
        <w:tc>
          <w:tcPr>
            <w:tcW w:w="1814" w:type="dxa"/>
            <w:vAlign w:val="center"/>
          </w:tcPr>
          <w:p w14:paraId="042517CB" w14:textId="77777777" w:rsidR="00454A29" w:rsidRDefault="00454A29">
            <w:pPr>
              <w:pStyle w:val="ConsPlusNormal"/>
            </w:pPr>
          </w:p>
        </w:tc>
        <w:tc>
          <w:tcPr>
            <w:tcW w:w="1701" w:type="dxa"/>
            <w:vAlign w:val="center"/>
          </w:tcPr>
          <w:p w14:paraId="1E0E68FE" w14:textId="77777777" w:rsidR="00454A29" w:rsidRDefault="00454A29">
            <w:pPr>
              <w:pStyle w:val="ConsPlusNormal"/>
            </w:pPr>
          </w:p>
        </w:tc>
        <w:tc>
          <w:tcPr>
            <w:tcW w:w="1701" w:type="dxa"/>
            <w:vAlign w:val="center"/>
          </w:tcPr>
          <w:p w14:paraId="29DE8C20" w14:textId="77777777" w:rsidR="00454A29" w:rsidRDefault="00454A29">
            <w:pPr>
              <w:pStyle w:val="ConsPlusNormal"/>
            </w:pPr>
          </w:p>
        </w:tc>
        <w:tc>
          <w:tcPr>
            <w:tcW w:w="1814" w:type="dxa"/>
            <w:vAlign w:val="center"/>
          </w:tcPr>
          <w:p w14:paraId="59B275C6" w14:textId="77777777" w:rsidR="00454A29" w:rsidRDefault="00454A29">
            <w:pPr>
              <w:pStyle w:val="ConsPlusNormal"/>
            </w:pPr>
          </w:p>
        </w:tc>
      </w:tr>
      <w:tr w:rsidR="00454A29" w14:paraId="7088F3B6" w14:textId="77777777">
        <w:tc>
          <w:tcPr>
            <w:tcW w:w="567" w:type="dxa"/>
            <w:vMerge/>
          </w:tcPr>
          <w:p w14:paraId="4471875D" w14:textId="77777777" w:rsidR="00454A29" w:rsidRDefault="00454A29"/>
        </w:tc>
        <w:tc>
          <w:tcPr>
            <w:tcW w:w="3345" w:type="dxa"/>
            <w:vMerge/>
          </w:tcPr>
          <w:p w14:paraId="5262DB4B" w14:textId="77777777" w:rsidR="00454A29" w:rsidRDefault="00454A29"/>
        </w:tc>
        <w:tc>
          <w:tcPr>
            <w:tcW w:w="1701" w:type="dxa"/>
            <w:vAlign w:val="center"/>
          </w:tcPr>
          <w:p w14:paraId="3583A44A" w14:textId="77777777" w:rsidR="00454A29" w:rsidRDefault="00454A29">
            <w:pPr>
              <w:pStyle w:val="ConsPlusNormal"/>
              <w:jc w:val="center"/>
            </w:pPr>
            <w:r>
              <w:t>2024</w:t>
            </w:r>
          </w:p>
        </w:tc>
        <w:tc>
          <w:tcPr>
            <w:tcW w:w="1417" w:type="dxa"/>
            <w:vMerge/>
          </w:tcPr>
          <w:p w14:paraId="16426EC5" w14:textId="77777777" w:rsidR="00454A29" w:rsidRDefault="00454A29"/>
        </w:tc>
        <w:tc>
          <w:tcPr>
            <w:tcW w:w="2204" w:type="dxa"/>
            <w:vMerge/>
          </w:tcPr>
          <w:p w14:paraId="0DA044C6" w14:textId="77777777" w:rsidR="00454A29" w:rsidRDefault="00454A29"/>
        </w:tc>
        <w:tc>
          <w:tcPr>
            <w:tcW w:w="1417" w:type="dxa"/>
            <w:vMerge/>
          </w:tcPr>
          <w:p w14:paraId="587B252A" w14:textId="77777777" w:rsidR="00454A29" w:rsidRDefault="00454A29"/>
        </w:tc>
        <w:tc>
          <w:tcPr>
            <w:tcW w:w="2324" w:type="dxa"/>
            <w:vMerge/>
          </w:tcPr>
          <w:p w14:paraId="074D8FCF" w14:textId="77777777" w:rsidR="00454A29" w:rsidRDefault="00454A29"/>
        </w:tc>
        <w:tc>
          <w:tcPr>
            <w:tcW w:w="1701" w:type="dxa"/>
            <w:vAlign w:val="center"/>
          </w:tcPr>
          <w:p w14:paraId="4592999E" w14:textId="77777777" w:rsidR="00454A29" w:rsidRDefault="00454A29">
            <w:pPr>
              <w:pStyle w:val="ConsPlusNormal"/>
            </w:pPr>
          </w:p>
        </w:tc>
        <w:tc>
          <w:tcPr>
            <w:tcW w:w="1814" w:type="dxa"/>
            <w:vAlign w:val="center"/>
          </w:tcPr>
          <w:p w14:paraId="241C1CB0" w14:textId="77777777" w:rsidR="00454A29" w:rsidRDefault="00454A29">
            <w:pPr>
              <w:pStyle w:val="ConsPlusNormal"/>
            </w:pPr>
          </w:p>
        </w:tc>
        <w:tc>
          <w:tcPr>
            <w:tcW w:w="1701" w:type="dxa"/>
            <w:vAlign w:val="center"/>
          </w:tcPr>
          <w:p w14:paraId="6585610E" w14:textId="77777777" w:rsidR="00454A29" w:rsidRDefault="00454A29">
            <w:pPr>
              <w:pStyle w:val="ConsPlusNormal"/>
            </w:pPr>
          </w:p>
        </w:tc>
        <w:tc>
          <w:tcPr>
            <w:tcW w:w="1701" w:type="dxa"/>
            <w:vAlign w:val="center"/>
          </w:tcPr>
          <w:p w14:paraId="48E93D1D" w14:textId="77777777" w:rsidR="00454A29" w:rsidRDefault="00454A29">
            <w:pPr>
              <w:pStyle w:val="ConsPlusNormal"/>
            </w:pPr>
          </w:p>
        </w:tc>
        <w:tc>
          <w:tcPr>
            <w:tcW w:w="1814" w:type="dxa"/>
            <w:vAlign w:val="center"/>
          </w:tcPr>
          <w:p w14:paraId="36DA5202" w14:textId="77777777" w:rsidR="00454A29" w:rsidRDefault="00454A29">
            <w:pPr>
              <w:pStyle w:val="ConsPlusNormal"/>
            </w:pPr>
          </w:p>
        </w:tc>
      </w:tr>
      <w:tr w:rsidR="00454A29" w14:paraId="2A78A6DF" w14:textId="77777777">
        <w:tc>
          <w:tcPr>
            <w:tcW w:w="567" w:type="dxa"/>
            <w:vMerge/>
          </w:tcPr>
          <w:p w14:paraId="50FA76EA" w14:textId="77777777" w:rsidR="00454A29" w:rsidRDefault="00454A29"/>
        </w:tc>
        <w:tc>
          <w:tcPr>
            <w:tcW w:w="3345" w:type="dxa"/>
            <w:vMerge/>
          </w:tcPr>
          <w:p w14:paraId="33B0DB21" w14:textId="77777777" w:rsidR="00454A29" w:rsidRDefault="00454A29"/>
        </w:tc>
        <w:tc>
          <w:tcPr>
            <w:tcW w:w="1701" w:type="dxa"/>
            <w:vAlign w:val="center"/>
          </w:tcPr>
          <w:p w14:paraId="22D35EF3" w14:textId="77777777" w:rsidR="00454A29" w:rsidRDefault="00454A29">
            <w:pPr>
              <w:pStyle w:val="ConsPlusNormal"/>
              <w:jc w:val="center"/>
            </w:pPr>
            <w:r>
              <w:t>2025</w:t>
            </w:r>
          </w:p>
        </w:tc>
        <w:tc>
          <w:tcPr>
            <w:tcW w:w="1417" w:type="dxa"/>
            <w:vMerge/>
          </w:tcPr>
          <w:p w14:paraId="21EE6194" w14:textId="77777777" w:rsidR="00454A29" w:rsidRDefault="00454A29"/>
        </w:tc>
        <w:tc>
          <w:tcPr>
            <w:tcW w:w="2204" w:type="dxa"/>
            <w:vMerge/>
          </w:tcPr>
          <w:p w14:paraId="51222150" w14:textId="77777777" w:rsidR="00454A29" w:rsidRDefault="00454A29"/>
        </w:tc>
        <w:tc>
          <w:tcPr>
            <w:tcW w:w="1417" w:type="dxa"/>
            <w:vMerge/>
          </w:tcPr>
          <w:p w14:paraId="2564DCE5" w14:textId="77777777" w:rsidR="00454A29" w:rsidRDefault="00454A29"/>
        </w:tc>
        <w:tc>
          <w:tcPr>
            <w:tcW w:w="2324" w:type="dxa"/>
            <w:vMerge/>
          </w:tcPr>
          <w:p w14:paraId="297B0713" w14:textId="77777777" w:rsidR="00454A29" w:rsidRDefault="00454A29"/>
        </w:tc>
        <w:tc>
          <w:tcPr>
            <w:tcW w:w="1701" w:type="dxa"/>
            <w:vAlign w:val="center"/>
          </w:tcPr>
          <w:p w14:paraId="6FCB1B1F" w14:textId="77777777" w:rsidR="00454A29" w:rsidRDefault="00454A29">
            <w:pPr>
              <w:pStyle w:val="ConsPlusNormal"/>
            </w:pPr>
          </w:p>
        </w:tc>
        <w:tc>
          <w:tcPr>
            <w:tcW w:w="1814" w:type="dxa"/>
            <w:vAlign w:val="center"/>
          </w:tcPr>
          <w:p w14:paraId="5DDC6F71" w14:textId="77777777" w:rsidR="00454A29" w:rsidRDefault="00454A29">
            <w:pPr>
              <w:pStyle w:val="ConsPlusNormal"/>
            </w:pPr>
          </w:p>
        </w:tc>
        <w:tc>
          <w:tcPr>
            <w:tcW w:w="1701" w:type="dxa"/>
            <w:vAlign w:val="center"/>
          </w:tcPr>
          <w:p w14:paraId="6CAC3391" w14:textId="77777777" w:rsidR="00454A29" w:rsidRDefault="00454A29">
            <w:pPr>
              <w:pStyle w:val="ConsPlusNormal"/>
            </w:pPr>
          </w:p>
        </w:tc>
        <w:tc>
          <w:tcPr>
            <w:tcW w:w="1701" w:type="dxa"/>
            <w:vAlign w:val="center"/>
          </w:tcPr>
          <w:p w14:paraId="254322A3" w14:textId="77777777" w:rsidR="00454A29" w:rsidRDefault="00454A29">
            <w:pPr>
              <w:pStyle w:val="ConsPlusNormal"/>
            </w:pPr>
          </w:p>
        </w:tc>
        <w:tc>
          <w:tcPr>
            <w:tcW w:w="1814" w:type="dxa"/>
            <w:vAlign w:val="center"/>
          </w:tcPr>
          <w:p w14:paraId="1B947C7E" w14:textId="77777777" w:rsidR="00454A29" w:rsidRDefault="00454A29">
            <w:pPr>
              <w:pStyle w:val="ConsPlusNormal"/>
            </w:pPr>
          </w:p>
        </w:tc>
      </w:tr>
      <w:tr w:rsidR="00454A29" w14:paraId="33038C38" w14:textId="77777777">
        <w:tc>
          <w:tcPr>
            <w:tcW w:w="567" w:type="dxa"/>
            <w:vMerge/>
          </w:tcPr>
          <w:p w14:paraId="71A67C38" w14:textId="77777777" w:rsidR="00454A29" w:rsidRDefault="00454A29"/>
        </w:tc>
        <w:tc>
          <w:tcPr>
            <w:tcW w:w="3345" w:type="dxa"/>
            <w:vMerge/>
          </w:tcPr>
          <w:p w14:paraId="1AF86DED" w14:textId="77777777" w:rsidR="00454A29" w:rsidRDefault="00454A29"/>
        </w:tc>
        <w:tc>
          <w:tcPr>
            <w:tcW w:w="1701" w:type="dxa"/>
            <w:vAlign w:val="center"/>
          </w:tcPr>
          <w:p w14:paraId="479DE10F" w14:textId="77777777" w:rsidR="00454A29" w:rsidRDefault="00454A29">
            <w:pPr>
              <w:pStyle w:val="ConsPlusNormal"/>
              <w:jc w:val="center"/>
            </w:pPr>
            <w:r>
              <w:t>2026</w:t>
            </w:r>
          </w:p>
        </w:tc>
        <w:tc>
          <w:tcPr>
            <w:tcW w:w="1417" w:type="dxa"/>
            <w:vMerge/>
          </w:tcPr>
          <w:p w14:paraId="0ECFCCA0" w14:textId="77777777" w:rsidR="00454A29" w:rsidRDefault="00454A29"/>
        </w:tc>
        <w:tc>
          <w:tcPr>
            <w:tcW w:w="2204" w:type="dxa"/>
            <w:vMerge/>
          </w:tcPr>
          <w:p w14:paraId="54E9D73D" w14:textId="77777777" w:rsidR="00454A29" w:rsidRDefault="00454A29"/>
        </w:tc>
        <w:tc>
          <w:tcPr>
            <w:tcW w:w="1417" w:type="dxa"/>
            <w:vMerge/>
          </w:tcPr>
          <w:p w14:paraId="29F31315" w14:textId="77777777" w:rsidR="00454A29" w:rsidRDefault="00454A29"/>
        </w:tc>
        <w:tc>
          <w:tcPr>
            <w:tcW w:w="2324" w:type="dxa"/>
            <w:vMerge/>
          </w:tcPr>
          <w:p w14:paraId="6D2FD0E3" w14:textId="77777777" w:rsidR="00454A29" w:rsidRDefault="00454A29"/>
        </w:tc>
        <w:tc>
          <w:tcPr>
            <w:tcW w:w="1701" w:type="dxa"/>
            <w:vAlign w:val="center"/>
          </w:tcPr>
          <w:p w14:paraId="5E6D8083" w14:textId="77777777" w:rsidR="00454A29" w:rsidRDefault="00454A29">
            <w:pPr>
              <w:pStyle w:val="ConsPlusNormal"/>
              <w:jc w:val="center"/>
            </w:pPr>
            <w:r>
              <w:t>220 694,71</w:t>
            </w:r>
          </w:p>
        </w:tc>
        <w:tc>
          <w:tcPr>
            <w:tcW w:w="1814" w:type="dxa"/>
            <w:vAlign w:val="center"/>
          </w:tcPr>
          <w:p w14:paraId="29E7F8BC" w14:textId="77777777" w:rsidR="00454A29" w:rsidRDefault="00454A29">
            <w:pPr>
              <w:pStyle w:val="ConsPlusNormal"/>
              <w:jc w:val="center"/>
            </w:pPr>
            <w:r>
              <w:t>2 718,96</w:t>
            </w:r>
          </w:p>
        </w:tc>
        <w:tc>
          <w:tcPr>
            <w:tcW w:w="1701" w:type="dxa"/>
            <w:vAlign w:val="center"/>
          </w:tcPr>
          <w:p w14:paraId="433E014A" w14:textId="77777777" w:rsidR="00454A29" w:rsidRDefault="00454A29">
            <w:pPr>
              <w:pStyle w:val="ConsPlusNormal"/>
              <w:jc w:val="center"/>
            </w:pPr>
            <w:r>
              <w:t>269 176,93</w:t>
            </w:r>
          </w:p>
        </w:tc>
        <w:tc>
          <w:tcPr>
            <w:tcW w:w="1701" w:type="dxa"/>
            <w:vAlign w:val="center"/>
          </w:tcPr>
          <w:p w14:paraId="3CC4482D" w14:textId="77777777" w:rsidR="00454A29" w:rsidRDefault="00454A29">
            <w:pPr>
              <w:pStyle w:val="ConsPlusNormal"/>
            </w:pPr>
          </w:p>
        </w:tc>
        <w:tc>
          <w:tcPr>
            <w:tcW w:w="1814" w:type="dxa"/>
            <w:vAlign w:val="center"/>
          </w:tcPr>
          <w:p w14:paraId="5111CD73" w14:textId="77777777" w:rsidR="00454A29" w:rsidRDefault="00454A29">
            <w:pPr>
              <w:pStyle w:val="ConsPlusNormal"/>
            </w:pPr>
          </w:p>
        </w:tc>
      </w:tr>
      <w:tr w:rsidR="00454A29" w14:paraId="1C95A7E1" w14:textId="77777777">
        <w:tc>
          <w:tcPr>
            <w:tcW w:w="567" w:type="dxa"/>
            <w:vMerge w:val="restart"/>
            <w:vAlign w:val="center"/>
          </w:tcPr>
          <w:p w14:paraId="2A271936" w14:textId="77777777" w:rsidR="00454A29" w:rsidRDefault="00454A29">
            <w:pPr>
              <w:pStyle w:val="ConsPlusNormal"/>
              <w:jc w:val="center"/>
            </w:pPr>
            <w:r>
              <w:lastRenderedPageBreak/>
              <w:t>153</w:t>
            </w:r>
          </w:p>
        </w:tc>
        <w:tc>
          <w:tcPr>
            <w:tcW w:w="3345" w:type="dxa"/>
            <w:vMerge w:val="restart"/>
            <w:vAlign w:val="center"/>
          </w:tcPr>
          <w:p w14:paraId="38FEF06E" w14:textId="77777777" w:rsidR="00454A29" w:rsidRDefault="00454A29">
            <w:pPr>
              <w:pStyle w:val="ConsPlusNormal"/>
              <w:jc w:val="center"/>
            </w:pPr>
            <w:r>
              <w:t>Реконструкция здания МБОУ "Казачинская СОШ" в с. Казачье</w:t>
            </w:r>
          </w:p>
        </w:tc>
        <w:tc>
          <w:tcPr>
            <w:tcW w:w="1701" w:type="dxa"/>
            <w:vAlign w:val="center"/>
          </w:tcPr>
          <w:p w14:paraId="275A6E33" w14:textId="77777777" w:rsidR="00454A29" w:rsidRDefault="00454A29">
            <w:pPr>
              <w:pStyle w:val="ConsPlusNormal"/>
              <w:jc w:val="center"/>
            </w:pPr>
            <w:r>
              <w:t>2020 - 2026 годы - всего</w:t>
            </w:r>
          </w:p>
        </w:tc>
        <w:tc>
          <w:tcPr>
            <w:tcW w:w="1417" w:type="dxa"/>
            <w:vMerge w:val="restart"/>
            <w:vAlign w:val="center"/>
          </w:tcPr>
          <w:p w14:paraId="534263E2" w14:textId="77777777" w:rsidR="00454A29" w:rsidRDefault="00454A29">
            <w:pPr>
              <w:pStyle w:val="ConsPlusNormal"/>
              <w:jc w:val="center"/>
            </w:pPr>
            <w:r>
              <w:t>130 729,90</w:t>
            </w:r>
          </w:p>
        </w:tc>
        <w:tc>
          <w:tcPr>
            <w:tcW w:w="2204" w:type="dxa"/>
            <w:vMerge w:val="restart"/>
            <w:vAlign w:val="center"/>
          </w:tcPr>
          <w:p w14:paraId="34FEA846" w14:textId="77777777" w:rsidR="00454A29" w:rsidRDefault="00454A29">
            <w:pPr>
              <w:pStyle w:val="ConsPlusNormal"/>
            </w:pPr>
          </w:p>
        </w:tc>
        <w:tc>
          <w:tcPr>
            <w:tcW w:w="1417" w:type="dxa"/>
            <w:vMerge w:val="restart"/>
            <w:vAlign w:val="center"/>
          </w:tcPr>
          <w:p w14:paraId="288A50BC" w14:textId="77777777" w:rsidR="00454A29" w:rsidRDefault="00454A29">
            <w:pPr>
              <w:pStyle w:val="ConsPlusNormal"/>
              <w:jc w:val="center"/>
            </w:pPr>
            <w:r>
              <w:t>35</w:t>
            </w:r>
          </w:p>
        </w:tc>
        <w:tc>
          <w:tcPr>
            <w:tcW w:w="2324" w:type="dxa"/>
            <w:vMerge w:val="restart"/>
            <w:vAlign w:val="center"/>
          </w:tcPr>
          <w:p w14:paraId="5D4804D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EEE0C43" w14:textId="77777777" w:rsidR="00454A29" w:rsidRDefault="00454A29">
            <w:pPr>
              <w:pStyle w:val="ConsPlusNormal"/>
              <w:jc w:val="center"/>
            </w:pPr>
            <w:r>
              <w:t>130 729,90</w:t>
            </w:r>
          </w:p>
        </w:tc>
        <w:tc>
          <w:tcPr>
            <w:tcW w:w="1814" w:type="dxa"/>
            <w:vAlign w:val="center"/>
          </w:tcPr>
          <w:p w14:paraId="7D59389C" w14:textId="77777777" w:rsidR="00454A29" w:rsidRDefault="00454A29">
            <w:pPr>
              <w:pStyle w:val="ConsPlusNormal"/>
              <w:jc w:val="center"/>
            </w:pPr>
            <w:r>
              <w:t>1 653,73</w:t>
            </w:r>
          </w:p>
        </w:tc>
        <w:tc>
          <w:tcPr>
            <w:tcW w:w="1701" w:type="dxa"/>
            <w:vAlign w:val="center"/>
          </w:tcPr>
          <w:p w14:paraId="62DDA371" w14:textId="77777777" w:rsidR="00454A29" w:rsidRDefault="00454A29">
            <w:pPr>
              <w:pStyle w:val="ConsPlusNormal"/>
              <w:jc w:val="center"/>
            </w:pPr>
            <w:r>
              <w:t>163 719,59</w:t>
            </w:r>
          </w:p>
        </w:tc>
        <w:tc>
          <w:tcPr>
            <w:tcW w:w="1701" w:type="dxa"/>
            <w:vAlign w:val="center"/>
          </w:tcPr>
          <w:p w14:paraId="6BD4201B" w14:textId="77777777" w:rsidR="00454A29" w:rsidRDefault="00454A29">
            <w:pPr>
              <w:pStyle w:val="ConsPlusNormal"/>
              <w:jc w:val="center"/>
            </w:pPr>
            <w:r>
              <w:t>-</w:t>
            </w:r>
          </w:p>
        </w:tc>
        <w:tc>
          <w:tcPr>
            <w:tcW w:w="1814" w:type="dxa"/>
            <w:vAlign w:val="center"/>
          </w:tcPr>
          <w:p w14:paraId="43E0A7E4" w14:textId="77777777" w:rsidR="00454A29" w:rsidRDefault="00454A29">
            <w:pPr>
              <w:pStyle w:val="ConsPlusNormal"/>
              <w:jc w:val="center"/>
            </w:pPr>
            <w:r>
              <w:t>-</w:t>
            </w:r>
          </w:p>
        </w:tc>
      </w:tr>
      <w:tr w:rsidR="00454A29" w14:paraId="371FA9E2" w14:textId="77777777">
        <w:tc>
          <w:tcPr>
            <w:tcW w:w="567" w:type="dxa"/>
            <w:vMerge/>
          </w:tcPr>
          <w:p w14:paraId="3456123E" w14:textId="77777777" w:rsidR="00454A29" w:rsidRDefault="00454A29"/>
        </w:tc>
        <w:tc>
          <w:tcPr>
            <w:tcW w:w="3345" w:type="dxa"/>
            <w:vMerge/>
          </w:tcPr>
          <w:p w14:paraId="6506B481" w14:textId="77777777" w:rsidR="00454A29" w:rsidRDefault="00454A29"/>
        </w:tc>
        <w:tc>
          <w:tcPr>
            <w:tcW w:w="1701" w:type="dxa"/>
            <w:vAlign w:val="center"/>
          </w:tcPr>
          <w:p w14:paraId="4D47ACDA" w14:textId="77777777" w:rsidR="00454A29" w:rsidRDefault="00454A29">
            <w:pPr>
              <w:pStyle w:val="ConsPlusNormal"/>
              <w:jc w:val="center"/>
            </w:pPr>
            <w:r>
              <w:t>2020</w:t>
            </w:r>
          </w:p>
        </w:tc>
        <w:tc>
          <w:tcPr>
            <w:tcW w:w="1417" w:type="dxa"/>
            <w:vMerge/>
          </w:tcPr>
          <w:p w14:paraId="51BF07ED" w14:textId="77777777" w:rsidR="00454A29" w:rsidRDefault="00454A29"/>
        </w:tc>
        <w:tc>
          <w:tcPr>
            <w:tcW w:w="2204" w:type="dxa"/>
            <w:vMerge/>
          </w:tcPr>
          <w:p w14:paraId="289FFC0C" w14:textId="77777777" w:rsidR="00454A29" w:rsidRDefault="00454A29"/>
        </w:tc>
        <w:tc>
          <w:tcPr>
            <w:tcW w:w="1417" w:type="dxa"/>
            <w:vMerge/>
          </w:tcPr>
          <w:p w14:paraId="1C950FE2" w14:textId="77777777" w:rsidR="00454A29" w:rsidRDefault="00454A29"/>
        </w:tc>
        <w:tc>
          <w:tcPr>
            <w:tcW w:w="2324" w:type="dxa"/>
            <w:vMerge/>
          </w:tcPr>
          <w:p w14:paraId="1D8F1B6F" w14:textId="77777777" w:rsidR="00454A29" w:rsidRDefault="00454A29"/>
        </w:tc>
        <w:tc>
          <w:tcPr>
            <w:tcW w:w="1701" w:type="dxa"/>
            <w:vAlign w:val="center"/>
          </w:tcPr>
          <w:p w14:paraId="161C2BFF" w14:textId="77777777" w:rsidR="00454A29" w:rsidRDefault="00454A29">
            <w:pPr>
              <w:pStyle w:val="ConsPlusNormal"/>
            </w:pPr>
          </w:p>
        </w:tc>
        <w:tc>
          <w:tcPr>
            <w:tcW w:w="1814" w:type="dxa"/>
            <w:vAlign w:val="center"/>
          </w:tcPr>
          <w:p w14:paraId="51D091BA" w14:textId="77777777" w:rsidR="00454A29" w:rsidRDefault="00454A29">
            <w:pPr>
              <w:pStyle w:val="ConsPlusNormal"/>
            </w:pPr>
          </w:p>
        </w:tc>
        <w:tc>
          <w:tcPr>
            <w:tcW w:w="1701" w:type="dxa"/>
            <w:vAlign w:val="center"/>
          </w:tcPr>
          <w:p w14:paraId="49738056" w14:textId="77777777" w:rsidR="00454A29" w:rsidRDefault="00454A29">
            <w:pPr>
              <w:pStyle w:val="ConsPlusNormal"/>
            </w:pPr>
          </w:p>
        </w:tc>
        <w:tc>
          <w:tcPr>
            <w:tcW w:w="1701" w:type="dxa"/>
            <w:vAlign w:val="center"/>
          </w:tcPr>
          <w:p w14:paraId="6F0F2F11" w14:textId="77777777" w:rsidR="00454A29" w:rsidRDefault="00454A29">
            <w:pPr>
              <w:pStyle w:val="ConsPlusNormal"/>
            </w:pPr>
          </w:p>
        </w:tc>
        <w:tc>
          <w:tcPr>
            <w:tcW w:w="1814" w:type="dxa"/>
            <w:vAlign w:val="center"/>
          </w:tcPr>
          <w:p w14:paraId="348D987C" w14:textId="77777777" w:rsidR="00454A29" w:rsidRDefault="00454A29">
            <w:pPr>
              <w:pStyle w:val="ConsPlusNormal"/>
            </w:pPr>
          </w:p>
        </w:tc>
      </w:tr>
      <w:tr w:rsidR="00454A29" w14:paraId="282A772C" w14:textId="77777777">
        <w:tc>
          <w:tcPr>
            <w:tcW w:w="567" w:type="dxa"/>
            <w:vMerge/>
          </w:tcPr>
          <w:p w14:paraId="54C51EF6" w14:textId="77777777" w:rsidR="00454A29" w:rsidRDefault="00454A29"/>
        </w:tc>
        <w:tc>
          <w:tcPr>
            <w:tcW w:w="3345" w:type="dxa"/>
            <w:vMerge/>
          </w:tcPr>
          <w:p w14:paraId="2941B7BC" w14:textId="77777777" w:rsidR="00454A29" w:rsidRDefault="00454A29"/>
        </w:tc>
        <w:tc>
          <w:tcPr>
            <w:tcW w:w="1701" w:type="dxa"/>
            <w:vAlign w:val="center"/>
          </w:tcPr>
          <w:p w14:paraId="59325E25" w14:textId="77777777" w:rsidR="00454A29" w:rsidRDefault="00454A29">
            <w:pPr>
              <w:pStyle w:val="ConsPlusNormal"/>
              <w:jc w:val="center"/>
            </w:pPr>
            <w:r>
              <w:t>2021</w:t>
            </w:r>
          </w:p>
        </w:tc>
        <w:tc>
          <w:tcPr>
            <w:tcW w:w="1417" w:type="dxa"/>
            <w:vMerge/>
          </w:tcPr>
          <w:p w14:paraId="7C5289C7" w14:textId="77777777" w:rsidR="00454A29" w:rsidRDefault="00454A29"/>
        </w:tc>
        <w:tc>
          <w:tcPr>
            <w:tcW w:w="2204" w:type="dxa"/>
            <w:vMerge/>
          </w:tcPr>
          <w:p w14:paraId="057C9D6B" w14:textId="77777777" w:rsidR="00454A29" w:rsidRDefault="00454A29"/>
        </w:tc>
        <w:tc>
          <w:tcPr>
            <w:tcW w:w="1417" w:type="dxa"/>
            <w:vMerge/>
          </w:tcPr>
          <w:p w14:paraId="18AFCABF" w14:textId="77777777" w:rsidR="00454A29" w:rsidRDefault="00454A29"/>
        </w:tc>
        <w:tc>
          <w:tcPr>
            <w:tcW w:w="2324" w:type="dxa"/>
            <w:vMerge/>
          </w:tcPr>
          <w:p w14:paraId="2B01AFB2" w14:textId="77777777" w:rsidR="00454A29" w:rsidRDefault="00454A29"/>
        </w:tc>
        <w:tc>
          <w:tcPr>
            <w:tcW w:w="1701" w:type="dxa"/>
            <w:vAlign w:val="center"/>
          </w:tcPr>
          <w:p w14:paraId="7ABDFCE1" w14:textId="77777777" w:rsidR="00454A29" w:rsidRDefault="00454A29">
            <w:pPr>
              <w:pStyle w:val="ConsPlusNormal"/>
            </w:pPr>
          </w:p>
        </w:tc>
        <w:tc>
          <w:tcPr>
            <w:tcW w:w="1814" w:type="dxa"/>
            <w:vAlign w:val="center"/>
          </w:tcPr>
          <w:p w14:paraId="659B2CF0" w14:textId="77777777" w:rsidR="00454A29" w:rsidRDefault="00454A29">
            <w:pPr>
              <w:pStyle w:val="ConsPlusNormal"/>
            </w:pPr>
          </w:p>
        </w:tc>
        <w:tc>
          <w:tcPr>
            <w:tcW w:w="1701" w:type="dxa"/>
            <w:vAlign w:val="center"/>
          </w:tcPr>
          <w:p w14:paraId="0D17CDEE" w14:textId="77777777" w:rsidR="00454A29" w:rsidRDefault="00454A29">
            <w:pPr>
              <w:pStyle w:val="ConsPlusNormal"/>
            </w:pPr>
          </w:p>
        </w:tc>
        <w:tc>
          <w:tcPr>
            <w:tcW w:w="1701" w:type="dxa"/>
            <w:vAlign w:val="center"/>
          </w:tcPr>
          <w:p w14:paraId="6543D5A9" w14:textId="77777777" w:rsidR="00454A29" w:rsidRDefault="00454A29">
            <w:pPr>
              <w:pStyle w:val="ConsPlusNormal"/>
            </w:pPr>
          </w:p>
        </w:tc>
        <w:tc>
          <w:tcPr>
            <w:tcW w:w="1814" w:type="dxa"/>
            <w:vAlign w:val="center"/>
          </w:tcPr>
          <w:p w14:paraId="7668A90E" w14:textId="77777777" w:rsidR="00454A29" w:rsidRDefault="00454A29">
            <w:pPr>
              <w:pStyle w:val="ConsPlusNormal"/>
            </w:pPr>
          </w:p>
        </w:tc>
      </w:tr>
      <w:tr w:rsidR="00454A29" w14:paraId="3764FF62" w14:textId="77777777">
        <w:tc>
          <w:tcPr>
            <w:tcW w:w="567" w:type="dxa"/>
            <w:vMerge/>
          </w:tcPr>
          <w:p w14:paraId="002A9AD8" w14:textId="77777777" w:rsidR="00454A29" w:rsidRDefault="00454A29"/>
        </w:tc>
        <w:tc>
          <w:tcPr>
            <w:tcW w:w="3345" w:type="dxa"/>
            <w:vMerge/>
          </w:tcPr>
          <w:p w14:paraId="7D830B5C" w14:textId="77777777" w:rsidR="00454A29" w:rsidRDefault="00454A29"/>
        </w:tc>
        <w:tc>
          <w:tcPr>
            <w:tcW w:w="1701" w:type="dxa"/>
            <w:vAlign w:val="center"/>
          </w:tcPr>
          <w:p w14:paraId="2757BFC9" w14:textId="77777777" w:rsidR="00454A29" w:rsidRDefault="00454A29">
            <w:pPr>
              <w:pStyle w:val="ConsPlusNormal"/>
              <w:jc w:val="center"/>
            </w:pPr>
            <w:r>
              <w:t>2022</w:t>
            </w:r>
          </w:p>
        </w:tc>
        <w:tc>
          <w:tcPr>
            <w:tcW w:w="1417" w:type="dxa"/>
            <w:vMerge/>
          </w:tcPr>
          <w:p w14:paraId="6C655184" w14:textId="77777777" w:rsidR="00454A29" w:rsidRDefault="00454A29"/>
        </w:tc>
        <w:tc>
          <w:tcPr>
            <w:tcW w:w="2204" w:type="dxa"/>
            <w:vMerge/>
          </w:tcPr>
          <w:p w14:paraId="05F52A72" w14:textId="77777777" w:rsidR="00454A29" w:rsidRDefault="00454A29"/>
        </w:tc>
        <w:tc>
          <w:tcPr>
            <w:tcW w:w="1417" w:type="dxa"/>
            <w:vMerge/>
          </w:tcPr>
          <w:p w14:paraId="296A03B3" w14:textId="77777777" w:rsidR="00454A29" w:rsidRDefault="00454A29"/>
        </w:tc>
        <w:tc>
          <w:tcPr>
            <w:tcW w:w="2324" w:type="dxa"/>
            <w:vMerge/>
          </w:tcPr>
          <w:p w14:paraId="631CAAEA" w14:textId="77777777" w:rsidR="00454A29" w:rsidRDefault="00454A29"/>
        </w:tc>
        <w:tc>
          <w:tcPr>
            <w:tcW w:w="1701" w:type="dxa"/>
            <w:vAlign w:val="center"/>
          </w:tcPr>
          <w:p w14:paraId="5DD5B862" w14:textId="77777777" w:rsidR="00454A29" w:rsidRDefault="00454A29">
            <w:pPr>
              <w:pStyle w:val="ConsPlusNormal"/>
            </w:pPr>
          </w:p>
        </w:tc>
        <w:tc>
          <w:tcPr>
            <w:tcW w:w="1814" w:type="dxa"/>
            <w:vAlign w:val="center"/>
          </w:tcPr>
          <w:p w14:paraId="6B0F7E96" w14:textId="77777777" w:rsidR="00454A29" w:rsidRDefault="00454A29">
            <w:pPr>
              <w:pStyle w:val="ConsPlusNormal"/>
            </w:pPr>
          </w:p>
        </w:tc>
        <w:tc>
          <w:tcPr>
            <w:tcW w:w="1701" w:type="dxa"/>
            <w:vAlign w:val="center"/>
          </w:tcPr>
          <w:p w14:paraId="4C782B6A" w14:textId="77777777" w:rsidR="00454A29" w:rsidRDefault="00454A29">
            <w:pPr>
              <w:pStyle w:val="ConsPlusNormal"/>
            </w:pPr>
          </w:p>
        </w:tc>
        <w:tc>
          <w:tcPr>
            <w:tcW w:w="1701" w:type="dxa"/>
            <w:vAlign w:val="center"/>
          </w:tcPr>
          <w:p w14:paraId="39266324" w14:textId="77777777" w:rsidR="00454A29" w:rsidRDefault="00454A29">
            <w:pPr>
              <w:pStyle w:val="ConsPlusNormal"/>
            </w:pPr>
          </w:p>
        </w:tc>
        <w:tc>
          <w:tcPr>
            <w:tcW w:w="1814" w:type="dxa"/>
            <w:vAlign w:val="center"/>
          </w:tcPr>
          <w:p w14:paraId="10B6298F" w14:textId="77777777" w:rsidR="00454A29" w:rsidRDefault="00454A29">
            <w:pPr>
              <w:pStyle w:val="ConsPlusNormal"/>
            </w:pPr>
          </w:p>
        </w:tc>
      </w:tr>
      <w:tr w:rsidR="00454A29" w14:paraId="586C8992" w14:textId="77777777">
        <w:tc>
          <w:tcPr>
            <w:tcW w:w="567" w:type="dxa"/>
            <w:vMerge/>
          </w:tcPr>
          <w:p w14:paraId="38A6216D" w14:textId="77777777" w:rsidR="00454A29" w:rsidRDefault="00454A29"/>
        </w:tc>
        <w:tc>
          <w:tcPr>
            <w:tcW w:w="3345" w:type="dxa"/>
            <w:vMerge/>
          </w:tcPr>
          <w:p w14:paraId="585D2FBB" w14:textId="77777777" w:rsidR="00454A29" w:rsidRDefault="00454A29"/>
        </w:tc>
        <w:tc>
          <w:tcPr>
            <w:tcW w:w="1701" w:type="dxa"/>
            <w:vAlign w:val="center"/>
          </w:tcPr>
          <w:p w14:paraId="09FD10AC" w14:textId="77777777" w:rsidR="00454A29" w:rsidRDefault="00454A29">
            <w:pPr>
              <w:pStyle w:val="ConsPlusNormal"/>
              <w:jc w:val="center"/>
            </w:pPr>
            <w:r>
              <w:t>2023</w:t>
            </w:r>
          </w:p>
        </w:tc>
        <w:tc>
          <w:tcPr>
            <w:tcW w:w="1417" w:type="dxa"/>
            <w:vMerge/>
          </w:tcPr>
          <w:p w14:paraId="4C755400" w14:textId="77777777" w:rsidR="00454A29" w:rsidRDefault="00454A29"/>
        </w:tc>
        <w:tc>
          <w:tcPr>
            <w:tcW w:w="2204" w:type="dxa"/>
            <w:vMerge/>
          </w:tcPr>
          <w:p w14:paraId="4C2462B5" w14:textId="77777777" w:rsidR="00454A29" w:rsidRDefault="00454A29"/>
        </w:tc>
        <w:tc>
          <w:tcPr>
            <w:tcW w:w="1417" w:type="dxa"/>
            <w:vMerge/>
          </w:tcPr>
          <w:p w14:paraId="2AEBAA5F" w14:textId="77777777" w:rsidR="00454A29" w:rsidRDefault="00454A29"/>
        </w:tc>
        <w:tc>
          <w:tcPr>
            <w:tcW w:w="2324" w:type="dxa"/>
            <w:vMerge/>
          </w:tcPr>
          <w:p w14:paraId="2DF3D894" w14:textId="77777777" w:rsidR="00454A29" w:rsidRDefault="00454A29"/>
        </w:tc>
        <w:tc>
          <w:tcPr>
            <w:tcW w:w="1701" w:type="dxa"/>
            <w:vAlign w:val="center"/>
          </w:tcPr>
          <w:p w14:paraId="7EC865FA" w14:textId="77777777" w:rsidR="00454A29" w:rsidRDefault="00454A29">
            <w:pPr>
              <w:pStyle w:val="ConsPlusNormal"/>
            </w:pPr>
          </w:p>
        </w:tc>
        <w:tc>
          <w:tcPr>
            <w:tcW w:w="1814" w:type="dxa"/>
            <w:vAlign w:val="center"/>
          </w:tcPr>
          <w:p w14:paraId="68FD1B35" w14:textId="77777777" w:rsidR="00454A29" w:rsidRDefault="00454A29">
            <w:pPr>
              <w:pStyle w:val="ConsPlusNormal"/>
            </w:pPr>
          </w:p>
        </w:tc>
        <w:tc>
          <w:tcPr>
            <w:tcW w:w="1701" w:type="dxa"/>
            <w:vAlign w:val="center"/>
          </w:tcPr>
          <w:p w14:paraId="5109B5F7" w14:textId="77777777" w:rsidR="00454A29" w:rsidRDefault="00454A29">
            <w:pPr>
              <w:pStyle w:val="ConsPlusNormal"/>
            </w:pPr>
          </w:p>
        </w:tc>
        <w:tc>
          <w:tcPr>
            <w:tcW w:w="1701" w:type="dxa"/>
            <w:vAlign w:val="center"/>
          </w:tcPr>
          <w:p w14:paraId="7C96AC47" w14:textId="77777777" w:rsidR="00454A29" w:rsidRDefault="00454A29">
            <w:pPr>
              <w:pStyle w:val="ConsPlusNormal"/>
            </w:pPr>
          </w:p>
        </w:tc>
        <w:tc>
          <w:tcPr>
            <w:tcW w:w="1814" w:type="dxa"/>
            <w:vAlign w:val="center"/>
          </w:tcPr>
          <w:p w14:paraId="3B5C210B" w14:textId="77777777" w:rsidR="00454A29" w:rsidRDefault="00454A29">
            <w:pPr>
              <w:pStyle w:val="ConsPlusNormal"/>
            </w:pPr>
          </w:p>
        </w:tc>
      </w:tr>
      <w:tr w:rsidR="00454A29" w14:paraId="0C9140B8" w14:textId="77777777">
        <w:tc>
          <w:tcPr>
            <w:tcW w:w="567" w:type="dxa"/>
            <w:vMerge/>
          </w:tcPr>
          <w:p w14:paraId="56E6996D" w14:textId="77777777" w:rsidR="00454A29" w:rsidRDefault="00454A29"/>
        </w:tc>
        <w:tc>
          <w:tcPr>
            <w:tcW w:w="3345" w:type="dxa"/>
            <w:vMerge/>
          </w:tcPr>
          <w:p w14:paraId="6798E04F" w14:textId="77777777" w:rsidR="00454A29" w:rsidRDefault="00454A29"/>
        </w:tc>
        <w:tc>
          <w:tcPr>
            <w:tcW w:w="1701" w:type="dxa"/>
            <w:vAlign w:val="center"/>
          </w:tcPr>
          <w:p w14:paraId="6EE21E3F" w14:textId="77777777" w:rsidR="00454A29" w:rsidRDefault="00454A29">
            <w:pPr>
              <w:pStyle w:val="ConsPlusNormal"/>
              <w:jc w:val="center"/>
            </w:pPr>
            <w:r>
              <w:t>2024</w:t>
            </w:r>
          </w:p>
        </w:tc>
        <w:tc>
          <w:tcPr>
            <w:tcW w:w="1417" w:type="dxa"/>
            <w:vMerge/>
          </w:tcPr>
          <w:p w14:paraId="73AF5823" w14:textId="77777777" w:rsidR="00454A29" w:rsidRDefault="00454A29"/>
        </w:tc>
        <w:tc>
          <w:tcPr>
            <w:tcW w:w="2204" w:type="dxa"/>
            <w:vMerge/>
          </w:tcPr>
          <w:p w14:paraId="28D51D4B" w14:textId="77777777" w:rsidR="00454A29" w:rsidRDefault="00454A29"/>
        </w:tc>
        <w:tc>
          <w:tcPr>
            <w:tcW w:w="1417" w:type="dxa"/>
            <w:vMerge/>
          </w:tcPr>
          <w:p w14:paraId="12D1935A" w14:textId="77777777" w:rsidR="00454A29" w:rsidRDefault="00454A29"/>
        </w:tc>
        <w:tc>
          <w:tcPr>
            <w:tcW w:w="2324" w:type="dxa"/>
            <w:vMerge/>
          </w:tcPr>
          <w:p w14:paraId="0D0E93A7" w14:textId="77777777" w:rsidR="00454A29" w:rsidRDefault="00454A29"/>
        </w:tc>
        <w:tc>
          <w:tcPr>
            <w:tcW w:w="1701" w:type="dxa"/>
            <w:vAlign w:val="center"/>
          </w:tcPr>
          <w:p w14:paraId="03432ABD" w14:textId="77777777" w:rsidR="00454A29" w:rsidRDefault="00454A29">
            <w:pPr>
              <w:pStyle w:val="ConsPlusNormal"/>
            </w:pPr>
          </w:p>
        </w:tc>
        <w:tc>
          <w:tcPr>
            <w:tcW w:w="1814" w:type="dxa"/>
            <w:vAlign w:val="center"/>
          </w:tcPr>
          <w:p w14:paraId="42CB498F" w14:textId="77777777" w:rsidR="00454A29" w:rsidRDefault="00454A29">
            <w:pPr>
              <w:pStyle w:val="ConsPlusNormal"/>
            </w:pPr>
          </w:p>
        </w:tc>
        <w:tc>
          <w:tcPr>
            <w:tcW w:w="1701" w:type="dxa"/>
            <w:vAlign w:val="center"/>
          </w:tcPr>
          <w:p w14:paraId="0BD1D5EF" w14:textId="77777777" w:rsidR="00454A29" w:rsidRDefault="00454A29">
            <w:pPr>
              <w:pStyle w:val="ConsPlusNormal"/>
            </w:pPr>
          </w:p>
        </w:tc>
        <w:tc>
          <w:tcPr>
            <w:tcW w:w="1701" w:type="dxa"/>
            <w:vAlign w:val="center"/>
          </w:tcPr>
          <w:p w14:paraId="0C08FA49" w14:textId="77777777" w:rsidR="00454A29" w:rsidRDefault="00454A29">
            <w:pPr>
              <w:pStyle w:val="ConsPlusNormal"/>
            </w:pPr>
          </w:p>
        </w:tc>
        <w:tc>
          <w:tcPr>
            <w:tcW w:w="1814" w:type="dxa"/>
            <w:vAlign w:val="center"/>
          </w:tcPr>
          <w:p w14:paraId="4F76686F" w14:textId="77777777" w:rsidR="00454A29" w:rsidRDefault="00454A29">
            <w:pPr>
              <w:pStyle w:val="ConsPlusNormal"/>
            </w:pPr>
          </w:p>
        </w:tc>
      </w:tr>
      <w:tr w:rsidR="00454A29" w14:paraId="78846064" w14:textId="77777777">
        <w:tc>
          <w:tcPr>
            <w:tcW w:w="567" w:type="dxa"/>
            <w:vMerge/>
          </w:tcPr>
          <w:p w14:paraId="3B6C96E1" w14:textId="77777777" w:rsidR="00454A29" w:rsidRDefault="00454A29"/>
        </w:tc>
        <w:tc>
          <w:tcPr>
            <w:tcW w:w="3345" w:type="dxa"/>
            <w:vMerge/>
          </w:tcPr>
          <w:p w14:paraId="4FE50CE1" w14:textId="77777777" w:rsidR="00454A29" w:rsidRDefault="00454A29"/>
        </w:tc>
        <w:tc>
          <w:tcPr>
            <w:tcW w:w="1701" w:type="dxa"/>
            <w:vAlign w:val="center"/>
          </w:tcPr>
          <w:p w14:paraId="212BF718" w14:textId="77777777" w:rsidR="00454A29" w:rsidRDefault="00454A29">
            <w:pPr>
              <w:pStyle w:val="ConsPlusNormal"/>
              <w:jc w:val="center"/>
            </w:pPr>
            <w:r>
              <w:t>2025</w:t>
            </w:r>
          </w:p>
        </w:tc>
        <w:tc>
          <w:tcPr>
            <w:tcW w:w="1417" w:type="dxa"/>
            <w:vMerge/>
          </w:tcPr>
          <w:p w14:paraId="2EB32804" w14:textId="77777777" w:rsidR="00454A29" w:rsidRDefault="00454A29"/>
        </w:tc>
        <w:tc>
          <w:tcPr>
            <w:tcW w:w="2204" w:type="dxa"/>
            <w:vMerge/>
          </w:tcPr>
          <w:p w14:paraId="2A12E231" w14:textId="77777777" w:rsidR="00454A29" w:rsidRDefault="00454A29"/>
        </w:tc>
        <w:tc>
          <w:tcPr>
            <w:tcW w:w="1417" w:type="dxa"/>
            <w:vMerge/>
          </w:tcPr>
          <w:p w14:paraId="317C493E" w14:textId="77777777" w:rsidR="00454A29" w:rsidRDefault="00454A29"/>
        </w:tc>
        <w:tc>
          <w:tcPr>
            <w:tcW w:w="2324" w:type="dxa"/>
            <w:vMerge/>
          </w:tcPr>
          <w:p w14:paraId="0812A864" w14:textId="77777777" w:rsidR="00454A29" w:rsidRDefault="00454A29"/>
        </w:tc>
        <w:tc>
          <w:tcPr>
            <w:tcW w:w="1701" w:type="dxa"/>
            <w:vAlign w:val="center"/>
          </w:tcPr>
          <w:p w14:paraId="4ED2C823" w14:textId="77777777" w:rsidR="00454A29" w:rsidRDefault="00454A29">
            <w:pPr>
              <w:pStyle w:val="ConsPlusNormal"/>
              <w:jc w:val="center"/>
            </w:pPr>
            <w:r>
              <w:t>130 729,90</w:t>
            </w:r>
          </w:p>
        </w:tc>
        <w:tc>
          <w:tcPr>
            <w:tcW w:w="1814" w:type="dxa"/>
            <w:vAlign w:val="center"/>
          </w:tcPr>
          <w:p w14:paraId="0754CF52" w14:textId="77777777" w:rsidR="00454A29" w:rsidRDefault="00454A29">
            <w:pPr>
              <w:pStyle w:val="ConsPlusNormal"/>
              <w:jc w:val="center"/>
            </w:pPr>
            <w:r>
              <w:t>1 653,73</w:t>
            </w:r>
          </w:p>
        </w:tc>
        <w:tc>
          <w:tcPr>
            <w:tcW w:w="1701" w:type="dxa"/>
            <w:vAlign w:val="center"/>
          </w:tcPr>
          <w:p w14:paraId="5BA21FC7" w14:textId="77777777" w:rsidR="00454A29" w:rsidRDefault="00454A29">
            <w:pPr>
              <w:pStyle w:val="ConsPlusNormal"/>
              <w:jc w:val="center"/>
            </w:pPr>
            <w:r>
              <w:t>163 719,59</w:t>
            </w:r>
          </w:p>
        </w:tc>
        <w:tc>
          <w:tcPr>
            <w:tcW w:w="1701" w:type="dxa"/>
            <w:vAlign w:val="center"/>
          </w:tcPr>
          <w:p w14:paraId="75AA0ED3" w14:textId="77777777" w:rsidR="00454A29" w:rsidRDefault="00454A29">
            <w:pPr>
              <w:pStyle w:val="ConsPlusNormal"/>
            </w:pPr>
          </w:p>
        </w:tc>
        <w:tc>
          <w:tcPr>
            <w:tcW w:w="1814" w:type="dxa"/>
            <w:vAlign w:val="center"/>
          </w:tcPr>
          <w:p w14:paraId="1807A652" w14:textId="77777777" w:rsidR="00454A29" w:rsidRDefault="00454A29">
            <w:pPr>
              <w:pStyle w:val="ConsPlusNormal"/>
            </w:pPr>
          </w:p>
        </w:tc>
      </w:tr>
      <w:tr w:rsidR="00454A29" w14:paraId="43AB9956" w14:textId="77777777">
        <w:tc>
          <w:tcPr>
            <w:tcW w:w="567" w:type="dxa"/>
            <w:vMerge/>
          </w:tcPr>
          <w:p w14:paraId="0972DCE9" w14:textId="77777777" w:rsidR="00454A29" w:rsidRDefault="00454A29"/>
        </w:tc>
        <w:tc>
          <w:tcPr>
            <w:tcW w:w="3345" w:type="dxa"/>
            <w:vMerge/>
          </w:tcPr>
          <w:p w14:paraId="16917E6F" w14:textId="77777777" w:rsidR="00454A29" w:rsidRDefault="00454A29"/>
        </w:tc>
        <w:tc>
          <w:tcPr>
            <w:tcW w:w="1701" w:type="dxa"/>
            <w:vAlign w:val="center"/>
          </w:tcPr>
          <w:p w14:paraId="66AC2D1B" w14:textId="77777777" w:rsidR="00454A29" w:rsidRDefault="00454A29">
            <w:pPr>
              <w:pStyle w:val="ConsPlusNormal"/>
              <w:jc w:val="center"/>
            </w:pPr>
            <w:r>
              <w:t>2026</w:t>
            </w:r>
          </w:p>
        </w:tc>
        <w:tc>
          <w:tcPr>
            <w:tcW w:w="1417" w:type="dxa"/>
            <w:vMerge/>
          </w:tcPr>
          <w:p w14:paraId="764B5B44" w14:textId="77777777" w:rsidR="00454A29" w:rsidRDefault="00454A29"/>
        </w:tc>
        <w:tc>
          <w:tcPr>
            <w:tcW w:w="2204" w:type="dxa"/>
            <w:vMerge/>
          </w:tcPr>
          <w:p w14:paraId="43F94693" w14:textId="77777777" w:rsidR="00454A29" w:rsidRDefault="00454A29"/>
        </w:tc>
        <w:tc>
          <w:tcPr>
            <w:tcW w:w="1417" w:type="dxa"/>
            <w:vMerge/>
          </w:tcPr>
          <w:p w14:paraId="4D154D71" w14:textId="77777777" w:rsidR="00454A29" w:rsidRDefault="00454A29"/>
        </w:tc>
        <w:tc>
          <w:tcPr>
            <w:tcW w:w="2324" w:type="dxa"/>
            <w:vMerge/>
          </w:tcPr>
          <w:p w14:paraId="4548D24D" w14:textId="77777777" w:rsidR="00454A29" w:rsidRDefault="00454A29"/>
        </w:tc>
        <w:tc>
          <w:tcPr>
            <w:tcW w:w="1701" w:type="dxa"/>
            <w:vAlign w:val="center"/>
          </w:tcPr>
          <w:p w14:paraId="15B89D2E" w14:textId="77777777" w:rsidR="00454A29" w:rsidRDefault="00454A29">
            <w:pPr>
              <w:pStyle w:val="ConsPlusNormal"/>
            </w:pPr>
          </w:p>
        </w:tc>
        <w:tc>
          <w:tcPr>
            <w:tcW w:w="1814" w:type="dxa"/>
            <w:vAlign w:val="center"/>
          </w:tcPr>
          <w:p w14:paraId="6672B2F1" w14:textId="77777777" w:rsidR="00454A29" w:rsidRDefault="00454A29">
            <w:pPr>
              <w:pStyle w:val="ConsPlusNormal"/>
            </w:pPr>
          </w:p>
        </w:tc>
        <w:tc>
          <w:tcPr>
            <w:tcW w:w="1701" w:type="dxa"/>
            <w:vAlign w:val="center"/>
          </w:tcPr>
          <w:p w14:paraId="5947C175" w14:textId="77777777" w:rsidR="00454A29" w:rsidRDefault="00454A29">
            <w:pPr>
              <w:pStyle w:val="ConsPlusNormal"/>
            </w:pPr>
          </w:p>
        </w:tc>
        <w:tc>
          <w:tcPr>
            <w:tcW w:w="1701" w:type="dxa"/>
            <w:vAlign w:val="center"/>
          </w:tcPr>
          <w:p w14:paraId="30D593A6" w14:textId="77777777" w:rsidR="00454A29" w:rsidRDefault="00454A29">
            <w:pPr>
              <w:pStyle w:val="ConsPlusNormal"/>
            </w:pPr>
          </w:p>
        </w:tc>
        <w:tc>
          <w:tcPr>
            <w:tcW w:w="1814" w:type="dxa"/>
            <w:vAlign w:val="center"/>
          </w:tcPr>
          <w:p w14:paraId="0C8E2199" w14:textId="77777777" w:rsidR="00454A29" w:rsidRDefault="00454A29">
            <w:pPr>
              <w:pStyle w:val="ConsPlusNormal"/>
            </w:pPr>
          </w:p>
        </w:tc>
      </w:tr>
      <w:tr w:rsidR="00454A29" w14:paraId="4021AA8A" w14:textId="77777777">
        <w:tc>
          <w:tcPr>
            <w:tcW w:w="21706" w:type="dxa"/>
            <w:gridSpan w:val="12"/>
            <w:vAlign w:val="center"/>
          </w:tcPr>
          <w:p w14:paraId="29265F45" w14:textId="77777777" w:rsidR="00454A29" w:rsidRDefault="00454A29">
            <w:pPr>
              <w:pStyle w:val="ConsPlusNormal"/>
              <w:jc w:val="center"/>
              <w:outlineLvl w:val="2"/>
            </w:pPr>
            <w:r>
              <w:t>МР "Хангаласский улус"</w:t>
            </w:r>
          </w:p>
        </w:tc>
      </w:tr>
      <w:tr w:rsidR="00454A29" w14:paraId="5ED3A854" w14:textId="77777777">
        <w:tc>
          <w:tcPr>
            <w:tcW w:w="567" w:type="dxa"/>
            <w:vMerge w:val="restart"/>
            <w:vAlign w:val="center"/>
          </w:tcPr>
          <w:p w14:paraId="66984D1E" w14:textId="77777777" w:rsidR="00454A29" w:rsidRDefault="00454A29">
            <w:pPr>
              <w:pStyle w:val="ConsPlusNormal"/>
              <w:jc w:val="center"/>
            </w:pPr>
            <w:r>
              <w:t>154</w:t>
            </w:r>
          </w:p>
        </w:tc>
        <w:tc>
          <w:tcPr>
            <w:tcW w:w="3345" w:type="dxa"/>
            <w:vMerge w:val="restart"/>
            <w:vAlign w:val="center"/>
          </w:tcPr>
          <w:p w14:paraId="7BD361B2" w14:textId="77777777" w:rsidR="00454A29" w:rsidRDefault="00454A29">
            <w:pPr>
              <w:pStyle w:val="ConsPlusNormal"/>
              <w:jc w:val="center"/>
            </w:pPr>
            <w:r>
              <w:t>Школа на 450 учащихся в г. Покровске</w:t>
            </w:r>
          </w:p>
        </w:tc>
        <w:tc>
          <w:tcPr>
            <w:tcW w:w="1701" w:type="dxa"/>
            <w:vAlign w:val="center"/>
          </w:tcPr>
          <w:p w14:paraId="7757D5C8" w14:textId="77777777" w:rsidR="00454A29" w:rsidRDefault="00454A29">
            <w:pPr>
              <w:pStyle w:val="ConsPlusNormal"/>
              <w:jc w:val="center"/>
            </w:pPr>
            <w:r>
              <w:t>2020 - 2026 годы - всего</w:t>
            </w:r>
          </w:p>
        </w:tc>
        <w:tc>
          <w:tcPr>
            <w:tcW w:w="1417" w:type="dxa"/>
            <w:vMerge w:val="restart"/>
            <w:vAlign w:val="center"/>
          </w:tcPr>
          <w:p w14:paraId="7FB15E0D" w14:textId="77777777" w:rsidR="00454A29" w:rsidRDefault="00454A29">
            <w:pPr>
              <w:pStyle w:val="ConsPlusNormal"/>
              <w:jc w:val="center"/>
            </w:pPr>
            <w:r>
              <w:t>813 304,66</w:t>
            </w:r>
          </w:p>
        </w:tc>
        <w:tc>
          <w:tcPr>
            <w:tcW w:w="2204" w:type="dxa"/>
            <w:vMerge w:val="restart"/>
            <w:vAlign w:val="center"/>
          </w:tcPr>
          <w:p w14:paraId="5272176D" w14:textId="77777777" w:rsidR="00454A29" w:rsidRDefault="00454A29">
            <w:pPr>
              <w:pStyle w:val="ConsPlusNormal"/>
            </w:pPr>
          </w:p>
        </w:tc>
        <w:tc>
          <w:tcPr>
            <w:tcW w:w="1417" w:type="dxa"/>
            <w:vMerge w:val="restart"/>
            <w:vAlign w:val="center"/>
          </w:tcPr>
          <w:p w14:paraId="7DF9906D" w14:textId="77777777" w:rsidR="00454A29" w:rsidRDefault="00454A29">
            <w:pPr>
              <w:pStyle w:val="ConsPlusNormal"/>
              <w:jc w:val="center"/>
            </w:pPr>
            <w:r>
              <w:t>450</w:t>
            </w:r>
          </w:p>
        </w:tc>
        <w:tc>
          <w:tcPr>
            <w:tcW w:w="2324" w:type="dxa"/>
            <w:vMerge w:val="restart"/>
            <w:vAlign w:val="center"/>
          </w:tcPr>
          <w:p w14:paraId="6A26B20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9880636" w14:textId="77777777" w:rsidR="00454A29" w:rsidRDefault="00454A29">
            <w:pPr>
              <w:pStyle w:val="ConsPlusNormal"/>
              <w:jc w:val="center"/>
            </w:pPr>
            <w:r>
              <w:t>813 304,66</w:t>
            </w:r>
          </w:p>
        </w:tc>
        <w:tc>
          <w:tcPr>
            <w:tcW w:w="1814" w:type="dxa"/>
            <w:vAlign w:val="center"/>
          </w:tcPr>
          <w:p w14:paraId="22633FC1" w14:textId="77777777" w:rsidR="00454A29" w:rsidRDefault="00454A29">
            <w:pPr>
              <w:pStyle w:val="ConsPlusNormal"/>
              <w:jc w:val="center"/>
            </w:pPr>
            <w:r>
              <w:t>10 288,30</w:t>
            </w:r>
          </w:p>
        </w:tc>
        <w:tc>
          <w:tcPr>
            <w:tcW w:w="1701" w:type="dxa"/>
            <w:vAlign w:val="center"/>
          </w:tcPr>
          <w:p w14:paraId="5491856F" w14:textId="77777777" w:rsidR="00454A29" w:rsidRDefault="00454A29">
            <w:pPr>
              <w:pStyle w:val="ConsPlusNormal"/>
              <w:jc w:val="center"/>
            </w:pPr>
            <w:r>
              <w:t>1 018 542,09</w:t>
            </w:r>
          </w:p>
        </w:tc>
        <w:tc>
          <w:tcPr>
            <w:tcW w:w="1701" w:type="dxa"/>
            <w:vAlign w:val="center"/>
          </w:tcPr>
          <w:p w14:paraId="6DB8E79C" w14:textId="77777777" w:rsidR="00454A29" w:rsidRDefault="00454A29">
            <w:pPr>
              <w:pStyle w:val="ConsPlusNormal"/>
              <w:jc w:val="center"/>
            </w:pPr>
            <w:r>
              <w:t>-</w:t>
            </w:r>
          </w:p>
        </w:tc>
        <w:tc>
          <w:tcPr>
            <w:tcW w:w="1814" w:type="dxa"/>
            <w:vAlign w:val="center"/>
          </w:tcPr>
          <w:p w14:paraId="699A4847" w14:textId="77777777" w:rsidR="00454A29" w:rsidRDefault="00454A29">
            <w:pPr>
              <w:pStyle w:val="ConsPlusNormal"/>
              <w:jc w:val="center"/>
            </w:pPr>
            <w:r>
              <w:t>-</w:t>
            </w:r>
          </w:p>
        </w:tc>
      </w:tr>
      <w:tr w:rsidR="00454A29" w14:paraId="53A68118" w14:textId="77777777">
        <w:tc>
          <w:tcPr>
            <w:tcW w:w="567" w:type="dxa"/>
            <w:vMerge/>
          </w:tcPr>
          <w:p w14:paraId="78ED84DD" w14:textId="77777777" w:rsidR="00454A29" w:rsidRDefault="00454A29"/>
        </w:tc>
        <w:tc>
          <w:tcPr>
            <w:tcW w:w="3345" w:type="dxa"/>
            <w:vMerge/>
          </w:tcPr>
          <w:p w14:paraId="4B0F1722" w14:textId="77777777" w:rsidR="00454A29" w:rsidRDefault="00454A29"/>
        </w:tc>
        <w:tc>
          <w:tcPr>
            <w:tcW w:w="1701" w:type="dxa"/>
            <w:vAlign w:val="center"/>
          </w:tcPr>
          <w:p w14:paraId="1CF74F24" w14:textId="77777777" w:rsidR="00454A29" w:rsidRDefault="00454A29">
            <w:pPr>
              <w:pStyle w:val="ConsPlusNormal"/>
              <w:jc w:val="center"/>
            </w:pPr>
            <w:r>
              <w:t>2020</w:t>
            </w:r>
          </w:p>
        </w:tc>
        <w:tc>
          <w:tcPr>
            <w:tcW w:w="1417" w:type="dxa"/>
            <w:vMerge/>
          </w:tcPr>
          <w:p w14:paraId="56A3DF1C" w14:textId="77777777" w:rsidR="00454A29" w:rsidRDefault="00454A29"/>
        </w:tc>
        <w:tc>
          <w:tcPr>
            <w:tcW w:w="2204" w:type="dxa"/>
            <w:vMerge/>
          </w:tcPr>
          <w:p w14:paraId="67B31680" w14:textId="77777777" w:rsidR="00454A29" w:rsidRDefault="00454A29"/>
        </w:tc>
        <w:tc>
          <w:tcPr>
            <w:tcW w:w="1417" w:type="dxa"/>
            <w:vMerge/>
          </w:tcPr>
          <w:p w14:paraId="5C732AD4" w14:textId="77777777" w:rsidR="00454A29" w:rsidRDefault="00454A29"/>
        </w:tc>
        <w:tc>
          <w:tcPr>
            <w:tcW w:w="2324" w:type="dxa"/>
            <w:vMerge/>
          </w:tcPr>
          <w:p w14:paraId="493EEA4C" w14:textId="77777777" w:rsidR="00454A29" w:rsidRDefault="00454A29"/>
        </w:tc>
        <w:tc>
          <w:tcPr>
            <w:tcW w:w="1701" w:type="dxa"/>
            <w:vAlign w:val="center"/>
          </w:tcPr>
          <w:p w14:paraId="0DAF32F0" w14:textId="77777777" w:rsidR="00454A29" w:rsidRDefault="00454A29">
            <w:pPr>
              <w:pStyle w:val="ConsPlusNormal"/>
            </w:pPr>
          </w:p>
        </w:tc>
        <w:tc>
          <w:tcPr>
            <w:tcW w:w="1814" w:type="dxa"/>
            <w:vAlign w:val="center"/>
          </w:tcPr>
          <w:p w14:paraId="1541E60D" w14:textId="77777777" w:rsidR="00454A29" w:rsidRDefault="00454A29">
            <w:pPr>
              <w:pStyle w:val="ConsPlusNormal"/>
            </w:pPr>
          </w:p>
        </w:tc>
        <w:tc>
          <w:tcPr>
            <w:tcW w:w="1701" w:type="dxa"/>
            <w:vAlign w:val="center"/>
          </w:tcPr>
          <w:p w14:paraId="1C23316E" w14:textId="77777777" w:rsidR="00454A29" w:rsidRDefault="00454A29">
            <w:pPr>
              <w:pStyle w:val="ConsPlusNormal"/>
            </w:pPr>
          </w:p>
        </w:tc>
        <w:tc>
          <w:tcPr>
            <w:tcW w:w="1701" w:type="dxa"/>
            <w:vAlign w:val="center"/>
          </w:tcPr>
          <w:p w14:paraId="0D2BFEFD" w14:textId="77777777" w:rsidR="00454A29" w:rsidRDefault="00454A29">
            <w:pPr>
              <w:pStyle w:val="ConsPlusNormal"/>
            </w:pPr>
          </w:p>
        </w:tc>
        <w:tc>
          <w:tcPr>
            <w:tcW w:w="1814" w:type="dxa"/>
            <w:vAlign w:val="center"/>
          </w:tcPr>
          <w:p w14:paraId="6BE1E1F6" w14:textId="77777777" w:rsidR="00454A29" w:rsidRDefault="00454A29">
            <w:pPr>
              <w:pStyle w:val="ConsPlusNormal"/>
            </w:pPr>
          </w:p>
        </w:tc>
      </w:tr>
      <w:tr w:rsidR="00454A29" w14:paraId="28074478" w14:textId="77777777">
        <w:tc>
          <w:tcPr>
            <w:tcW w:w="567" w:type="dxa"/>
            <w:vMerge/>
          </w:tcPr>
          <w:p w14:paraId="35B350C2" w14:textId="77777777" w:rsidR="00454A29" w:rsidRDefault="00454A29"/>
        </w:tc>
        <w:tc>
          <w:tcPr>
            <w:tcW w:w="3345" w:type="dxa"/>
            <w:vMerge/>
          </w:tcPr>
          <w:p w14:paraId="3B2DF08D" w14:textId="77777777" w:rsidR="00454A29" w:rsidRDefault="00454A29"/>
        </w:tc>
        <w:tc>
          <w:tcPr>
            <w:tcW w:w="1701" w:type="dxa"/>
            <w:vAlign w:val="center"/>
          </w:tcPr>
          <w:p w14:paraId="6C723566" w14:textId="77777777" w:rsidR="00454A29" w:rsidRDefault="00454A29">
            <w:pPr>
              <w:pStyle w:val="ConsPlusNormal"/>
              <w:jc w:val="center"/>
            </w:pPr>
            <w:r>
              <w:t>2021</w:t>
            </w:r>
          </w:p>
        </w:tc>
        <w:tc>
          <w:tcPr>
            <w:tcW w:w="1417" w:type="dxa"/>
            <w:vMerge/>
          </w:tcPr>
          <w:p w14:paraId="747784A2" w14:textId="77777777" w:rsidR="00454A29" w:rsidRDefault="00454A29"/>
        </w:tc>
        <w:tc>
          <w:tcPr>
            <w:tcW w:w="2204" w:type="dxa"/>
            <w:vMerge/>
          </w:tcPr>
          <w:p w14:paraId="2828415A" w14:textId="77777777" w:rsidR="00454A29" w:rsidRDefault="00454A29"/>
        </w:tc>
        <w:tc>
          <w:tcPr>
            <w:tcW w:w="1417" w:type="dxa"/>
            <w:vMerge/>
          </w:tcPr>
          <w:p w14:paraId="2B5FCEF9" w14:textId="77777777" w:rsidR="00454A29" w:rsidRDefault="00454A29"/>
        </w:tc>
        <w:tc>
          <w:tcPr>
            <w:tcW w:w="2324" w:type="dxa"/>
            <w:vMerge/>
          </w:tcPr>
          <w:p w14:paraId="1593DF8E" w14:textId="77777777" w:rsidR="00454A29" w:rsidRDefault="00454A29"/>
        </w:tc>
        <w:tc>
          <w:tcPr>
            <w:tcW w:w="1701" w:type="dxa"/>
            <w:vAlign w:val="center"/>
          </w:tcPr>
          <w:p w14:paraId="64F40DCB" w14:textId="77777777" w:rsidR="00454A29" w:rsidRDefault="00454A29">
            <w:pPr>
              <w:pStyle w:val="ConsPlusNormal"/>
            </w:pPr>
          </w:p>
        </w:tc>
        <w:tc>
          <w:tcPr>
            <w:tcW w:w="1814" w:type="dxa"/>
            <w:vAlign w:val="center"/>
          </w:tcPr>
          <w:p w14:paraId="01C22254" w14:textId="77777777" w:rsidR="00454A29" w:rsidRDefault="00454A29">
            <w:pPr>
              <w:pStyle w:val="ConsPlusNormal"/>
            </w:pPr>
          </w:p>
        </w:tc>
        <w:tc>
          <w:tcPr>
            <w:tcW w:w="1701" w:type="dxa"/>
            <w:vAlign w:val="center"/>
          </w:tcPr>
          <w:p w14:paraId="0FABB47B" w14:textId="77777777" w:rsidR="00454A29" w:rsidRDefault="00454A29">
            <w:pPr>
              <w:pStyle w:val="ConsPlusNormal"/>
            </w:pPr>
          </w:p>
        </w:tc>
        <w:tc>
          <w:tcPr>
            <w:tcW w:w="1701" w:type="dxa"/>
            <w:vAlign w:val="center"/>
          </w:tcPr>
          <w:p w14:paraId="49377C7F" w14:textId="77777777" w:rsidR="00454A29" w:rsidRDefault="00454A29">
            <w:pPr>
              <w:pStyle w:val="ConsPlusNormal"/>
            </w:pPr>
          </w:p>
        </w:tc>
        <w:tc>
          <w:tcPr>
            <w:tcW w:w="1814" w:type="dxa"/>
            <w:vAlign w:val="center"/>
          </w:tcPr>
          <w:p w14:paraId="70AFEC40" w14:textId="77777777" w:rsidR="00454A29" w:rsidRDefault="00454A29">
            <w:pPr>
              <w:pStyle w:val="ConsPlusNormal"/>
            </w:pPr>
          </w:p>
        </w:tc>
      </w:tr>
      <w:tr w:rsidR="00454A29" w14:paraId="7DB1C9AC" w14:textId="77777777">
        <w:tc>
          <w:tcPr>
            <w:tcW w:w="567" w:type="dxa"/>
            <w:vMerge/>
          </w:tcPr>
          <w:p w14:paraId="39DA74C1" w14:textId="77777777" w:rsidR="00454A29" w:rsidRDefault="00454A29"/>
        </w:tc>
        <w:tc>
          <w:tcPr>
            <w:tcW w:w="3345" w:type="dxa"/>
            <w:vMerge/>
          </w:tcPr>
          <w:p w14:paraId="0CBDDCB2" w14:textId="77777777" w:rsidR="00454A29" w:rsidRDefault="00454A29"/>
        </w:tc>
        <w:tc>
          <w:tcPr>
            <w:tcW w:w="1701" w:type="dxa"/>
            <w:vAlign w:val="center"/>
          </w:tcPr>
          <w:p w14:paraId="6AC83E33" w14:textId="77777777" w:rsidR="00454A29" w:rsidRDefault="00454A29">
            <w:pPr>
              <w:pStyle w:val="ConsPlusNormal"/>
              <w:jc w:val="center"/>
            </w:pPr>
            <w:r>
              <w:t>2022</w:t>
            </w:r>
          </w:p>
        </w:tc>
        <w:tc>
          <w:tcPr>
            <w:tcW w:w="1417" w:type="dxa"/>
            <w:vMerge/>
          </w:tcPr>
          <w:p w14:paraId="1F072ACF" w14:textId="77777777" w:rsidR="00454A29" w:rsidRDefault="00454A29"/>
        </w:tc>
        <w:tc>
          <w:tcPr>
            <w:tcW w:w="2204" w:type="dxa"/>
            <w:vMerge/>
          </w:tcPr>
          <w:p w14:paraId="7101F979" w14:textId="77777777" w:rsidR="00454A29" w:rsidRDefault="00454A29"/>
        </w:tc>
        <w:tc>
          <w:tcPr>
            <w:tcW w:w="1417" w:type="dxa"/>
            <w:vMerge/>
          </w:tcPr>
          <w:p w14:paraId="73CC9296" w14:textId="77777777" w:rsidR="00454A29" w:rsidRDefault="00454A29"/>
        </w:tc>
        <w:tc>
          <w:tcPr>
            <w:tcW w:w="2324" w:type="dxa"/>
            <w:vMerge/>
          </w:tcPr>
          <w:p w14:paraId="0A20799C" w14:textId="77777777" w:rsidR="00454A29" w:rsidRDefault="00454A29"/>
        </w:tc>
        <w:tc>
          <w:tcPr>
            <w:tcW w:w="1701" w:type="dxa"/>
            <w:vAlign w:val="center"/>
          </w:tcPr>
          <w:p w14:paraId="1AE6058E" w14:textId="77777777" w:rsidR="00454A29" w:rsidRDefault="00454A29">
            <w:pPr>
              <w:pStyle w:val="ConsPlusNormal"/>
            </w:pPr>
          </w:p>
        </w:tc>
        <w:tc>
          <w:tcPr>
            <w:tcW w:w="1814" w:type="dxa"/>
            <w:vAlign w:val="center"/>
          </w:tcPr>
          <w:p w14:paraId="056FCEB0" w14:textId="77777777" w:rsidR="00454A29" w:rsidRDefault="00454A29">
            <w:pPr>
              <w:pStyle w:val="ConsPlusNormal"/>
            </w:pPr>
          </w:p>
        </w:tc>
        <w:tc>
          <w:tcPr>
            <w:tcW w:w="1701" w:type="dxa"/>
            <w:vAlign w:val="center"/>
          </w:tcPr>
          <w:p w14:paraId="2D58EEF6" w14:textId="77777777" w:rsidR="00454A29" w:rsidRDefault="00454A29">
            <w:pPr>
              <w:pStyle w:val="ConsPlusNormal"/>
            </w:pPr>
          </w:p>
        </w:tc>
        <w:tc>
          <w:tcPr>
            <w:tcW w:w="1701" w:type="dxa"/>
            <w:vAlign w:val="center"/>
          </w:tcPr>
          <w:p w14:paraId="47D40F9C" w14:textId="77777777" w:rsidR="00454A29" w:rsidRDefault="00454A29">
            <w:pPr>
              <w:pStyle w:val="ConsPlusNormal"/>
            </w:pPr>
          </w:p>
        </w:tc>
        <w:tc>
          <w:tcPr>
            <w:tcW w:w="1814" w:type="dxa"/>
            <w:vAlign w:val="center"/>
          </w:tcPr>
          <w:p w14:paraId="2D67AF03" w14:textId="77777777" w:rsidR="00454A29" w:rsidRDefault="00454A29">
            <w:pPr>
              <w:pStyle w:val="ConsPlusNormal"/>
            </w:pPr>
          </w:p>
        </w:tc>
      </w:tr>
      <w:tr w:rsidR="00454A29" w14:paraId="6D1B4C04" w14:textId="77777777">
        <w:tc>
          <w:tcPr>
            <w:tcW w:w="567" w:type="dxa"/>
            <w:vMerge/>
          </w:tcPr>
          <w:p w14:paraId="2892C58B" w14:textId="77777777" w:rsidR="00454A29" w:rsidRDefault="00454A29"/>
        </w:tc>
        <w:tc>
          <w:tcPr>
            <w:tcW w:w="3345" w:type="dxa"/>
            <w:vMerge/>
          </w:tcPr>
          <w:p w14:paraId="21B13B4B" w14:textId="77777777" w:rsidR="00454A29" w:rsidRDefault="00454A29"/>
        </w:tc>
        <w:tc>
          <w:tcPr>
            <w:tcW w:w="1701" w:type="dxa"/>
            <w:vAlign w:val="center"/>
          </w:tcPr>
          <w:p w14:paraId="273C5EE6" w14:textId="77777777" w:rsidR="00454A29" w:rsidRDefault="00454A29">
            <w:pPr>
              <w:pStyle w:val="ConsPlusNormal"/>
              <w:jc w:val="center"/>
            </w:pPr>
            <w:r>
              <w:t>2023</w:t>
            </w:r>
          </w:p>
        </w:tc>
        <w:tc>
          <w:tcPr>
            <w:tcW w:w="1417" w:type="dxa"/>
            <w:vMerge/>
          </w:tcPr>
          <w:p w14:paraId="52116F4D" w14:textId="77777777" w:rsidR="00454A29" w:rsidRDefault="00454A29"/>
        </w:tc>
        <w:tc>
          <w:tcPr>
            <w:tcW w:w="2204" w:type="dxa"/>
            <w:vMerge/>
          </w:tcPr>
          <w:p w14:paraId="01E7BD56" w14:textId="77777777" w:rsidR="00454A29" w:rsidRDefault="00454A29"/>
        </w:tc>
        <w:tc>
          <w:tcPr>
            <w:tcW w:w="1417" w:type="dxa"/>
            <w:vMerge/>
          </w:tcPr>
          <w:p w14:paraId="32572FFC" w14:textId="77777777" w:rsidR="00454A29" w:rsidRDefault="00454A29"/>
        </w:tc>
        <w:tc>
          <w:tcPr>
            <w:tcW w:w="2324" w:type="dxa"/>
            <w:vMerge/>
          </w:tcPr>
          <w:p w14:paraId="55D8A2AD" w14:textId="77777777" w:rsidR="00454A29" w:rsidRDefault="00454A29"/>
        </w:tc>
        <w:tc>
          <w:tcPr>
            <w:tcW w:w="1701" w:type="dxa"/>
            <w:vAlign w:val="center"/>
          </w:tcPr>
          <w:p w14:paraId="72E5A64E" w14:textId="77777777" w:rsidR="00454A29" w:rsidRDefault="00454A29">
            <w:pPr>
              <w:pStyle w:val="ConsPlusNormal"/>
            </w:pPr>
          </w:p>
        </w:tc>
        <w:tc>
          <w:tcPr>
            <w:tcW w:w="1814" w:type="dxa"/>
            <w:vAlign w:val="center"/>
          </w:tcPr>
          <w:p w14:paraId="6F29E7E8" w14:textId="77777777" w:rsidR="00454A29" w:rsidRDefault="00454A29">
            <w:pPr>
              <w:pStyle w:val="ConsPlusNormal"/>
            </w:pPr>
          </w:p>
        </w:tc>
        <w:tc>
          <w:tcPr>
            <w:tcW w:w="1701" w:type="dxa"/>
            <w:vAlign w:val="center"/>
          </w:tcPr>
          <w:p w14:paraId="35B2ACF0" w14:textId="77777777" w:rsidR="00454A29" w:rsidRDefault="00454A29">
            <w:pPr>
              <w:pStyle w:val="ConsPlusNormal"/>
            </w:pPr>
          </w:p>
        </w:tc>
        <w:tc>
          <w:tcPr>
            <w:tcW w:w="1701" w:type="dxa"/>
            <w:vAlign w:val="center"/>
          </w:tcPr>
          <w:p w14:paraId="22A13E31" w14:textId="77777777" w:rsidR="00454A29" w:rsidRDefault="00454A29">
            <w:pPr>
              <w:pStyle w:val="ConsPlusNormal"/>
            </w:pPr>
          </w:p>
        </w:tc>
        <w:tc>
          <w:tcPr>
            <w:tcW w:w="1814" w:type="dxa"/>
            <w:vAlign w:val="center"/>
          </w:tcPr>
          <w:p w14:paraId="1EDBB0D3" w14:textId="77777777" w:rsidR="00454A29" w:rsidRDefault="00454A29">
            <w:pPr>
              <w:pStyle w:val="ConsPlusNormal"/>
            </w:pPr>
          </w:p>
        </w:tc>
      </w:tr>
      <w:tr w:rsidR="00454A29" w14:paraId="27BCE307" w14:textId="77777777">
        <w:tc>
          <w:tcPr>
            <w:tcW w:w="567" w:type="dxa"/>
            <w:vMerge/>
          </w:tcPr>
          <w:p w14:paraId="4B402C97" w14:textId="77777777" w:rsidR="00454A29" w:rsidRDefault="00454A29"/>
        </w:tc>
        <w:tc>
          <w:tcPr>
            <w:tcW w:w="3345" w:type="dxa"/>
            <w:vMerge/>
          </w:tcPr>
          <w:p w14:paraId="77FB6F80" w14:textId="77777777" w:rsidR="00454A29" w:rsidRDefault="00454A29"/>
        </w:tc>
        <w:tc>
          <w:tcPr>
            <w:tcW w:w="1701" w:type="dxa"/>
            <w:vAlign w:val="center"/>
          </w:tcPr>
          <w:p w14:paraId="03F168C1" w14:textId="77777777" w:rsidR="00454A29" w:rsidRDefault="00454A29">
            <w:pPr>
              <w:pStyle w:val="ConsPlusNormal"/>
              <w:jc w:val="center"/>
            </w:pPr>
            <w:r>
              <w:t>2024</w:t>
            </w:r>
          </w:p>
        </w:tc>
        <w:tc>
          <w:tcPr>
            <w:tcW w:w="1417" w:type="dxa"/>
            <w:vMerge/>
          </w:tcPr>
          <w:p w14:paraId="5F4C7347" w14:textId="77777777" w:rsidR="00454A29" w:rsidRDefault="00454A29"/>
        </w:tc>
        <w:tc>
          <w:tcPr>
            <w:tcW w:w="2204" w:type="dxa"/>
            <w:vMerge/>
          </w:tcPr>
          <w:p w14:paraId="12EF495B" w14:textId="77777777" w:rsidR="00454A29" w:rsidRDefault="00454A29"/>
        </w:tc>
        <w:tc>
          <w:tcPr>
            <w:tcW w:w="1417" w:type="dxa"/>
            <w:vMerge/>
          </w:tcPr>
          <w:p w14:paraId="00DDE461" w14:textId="77777777" w:rsidR="00454A29" w:rsidRDefault="00454A29"/>
        </w:tc>
        <w:tc>
          <w:tcPr>
            <w:tcW w:w="2324" w:type="dxa"/>
            <w:vMerge/>
          </w:tcPr>
          <w:p w14:paraId="5B8F192E" w14:textId="77777777" w:rsidR="00454A29" w:rsidRDefault="00454A29"/>
        </w:tc>
        <w:tc>
          <w:tcPr>
            <w:tcW w:w="1701" w:type="dxa"/>
            <w:vAlign w:val="center"/>
          </w:tcPr>
          <w:p w14:paraId="1BC5DF8B" w14:textId="77777777" w:rsidR="00454A29" w:rsidRDefault="00454A29">
            <w:pPr>
              <w:pStyle w:val="ConsPlusNormal"/>
            </w:pPr>
          </w:p>
        </w:tc>
        <w:tc>
          <w:tcPr>
            <w:tcW w:w="1814" w:type="dxa"/>
            <w:vAlign w:val="center"/>
          </w:tcPr>
          <w:p w14:paraId="111D90AB" w14:textId="77777777" w:rsidR="00454A29" w:rsidRDefault="00454A29">
            <w:pPr>
              <w:pStyle w:val="ConsPlusNormal"/>
            </w:pPr>
          </w:p>
        </w:tc>
        <w:tc>
          <w:tcPr>
            <w:tcW w:w="1701" w:type="dxa"/>
            <w:vAlign w:val="center"/>
          </w:tcPr>
          <w:p w14:paraId="3643BA4D" w14:textId="77777777" w:rsidR="00454A29" w:rsidRDefault="00454A29">
            <w:pPr>
              <w:pStyle w:val="ConsPlusNormal"/>
            </w:pPr>
          </w:p>
        </w:tc>
        <w:tc>
          <w:tcPr>
            <w:tcW w:w="1701" w:type="dxa"/>
            <w:vAlign w:val="center"/>
          </w:tcPr>
          <w:p w14:paraId="5F4EEF11" w14:textId="77777777" w:rsidR="00454A29" w:rsidRDefault="00454A29">
            <w:pPr>
              <w:pStyle w:val="ConsPlusNormal"/>
            </w:pPr>
          </w:p>
        </w:tc>
        <w:tc>
          <w:tcPr>
            <w:tcW w:w="1814" w:type="dxa"/>
            <w:vAlign w:val="center"/>
          </w:tcPr>
          <w:p w14:paraId="723649DF" w14:textId="77777777" w:rsidR="00454A29" w:rsidRDefault="00454A29">
            <w:pPr>
              <w:pStyle w:val="ConsPlusNormal"/>
            </w:pPr>
          </w:p>
        </w:tc>
      </w:tr>
      <w:tr w:rsidR="00454A29" w14:paraId="21E0B8B5" w14:textId="77777777">
        <w:tc>
          <w:tcPr>
            <w:tcW w:w="567" w:type="dxa"/>
            <w:vMerge/>
          </w:tcPr>
          <w:p w14:paraId="145E567E" w14:textId="77777777" w:rsidR="00454A29" w:rsidRDefault="00454A29"/>
        </w:tc>
        <w:tc>
          <w:tcPr>
            <w:tcW w:w="3345" w:type="dxa"/>
            <w:vMerge/>
          </w:tcPr>
          <w:p w14:paraId="0228D62D" w14:textId="77777777" w:rsidR="00454A29" w:rsidRDefault="00454A29"/>
        </w:tc>
        <w:tc>
          <w:tcPr>
            <w:tcW w:w="1701" w:type="dxa"/>
            <w:vAlign w:val="center"/>
          </w:tcPr>
          <w:p w14:paraId="73AD2AE0" w14:textId="77777777" w:rsidR="00454A29" w:rsidRDefault="00454A29">
            <w:pPr>
              <w:pStyle w:val="ConsPlusNormal"/>
              <w:jc w:val="center"/>
            </w:pPr>
            <w:r>
              <w:t>2025</w:t>
            </w:r>
          </w:p>
        </w:tc>
        <w:tc>
          <w:tcPr>
            <w:tcW w:w="1417" w:type="dxa"/>
            <w:vMerge/>
          </w:tcPr>
          <w:p w14:paraId="5552CBDC" w14:textId="77777777" w:rsidR="00454A29" w:rsidRDefault="00454A29"/>
        </w:tc>
        <w:tc>
          <w:tcPr>
            <w:tcW w:w="2204" w:type="dxa"/>
            <w:vMerge/>
          </w:tcPr>
          <w:p w14:paraId="6463AAD6" w14:textId="77777777" w:rsidR="00454A29" w:rsidRDefault="00454A29"/>
        </w:tc>
        <w:tc>
          <w:tcPr>
            <w:tcW w:w="1417" w:type="dxa"/>
            <w:vMerge/>
          </w:tcPr>
          <w:p w14:paraId="5E9DAD81" w14:textId="77777777" w:rsidR="00454A29" w:rsidRDefault="00454A29"/>
        </w:tc>
        <w:tc>
          <w:tcPr>
            <w:tcW w:w="2324" w:type="dxa"/>
            <w:vMerge/>
          </w:tcPr>
          <w:p w14:paraId="62161EEE" w14:textId="77777777" w:rsidR="00454A29" w:rsidRDefault="00454A29"/>
        </w:tc>
        <w:tc>
          <w:tcPr>
            <w:tcW w:w="1701" w:type="dxa"/>
            <w:vAlign w:val="center"/>
          </w:tcPr>
          <w:p w14:paraId="05AD6DFA" w14:textId="77777777" w:rsidR="00454A29" w:rsidRDefault="00454A29">
            <w:pPr>
              <w:pStyle w:val="ConsPlusNormal"/>
              <w:jc w:val="center"/>
            </w:pPr>
            <w:r>
              <w:t>813 304,66</w:t>
            </w:r>
          </w:p>
        </w:tc>
        <w:tc>
          <w:tcPr>
            <w:tcW w:w="1814" w:type="dxa"/>
            <w:vAlign w:val="center"/>
          </w:tcPr>
          <w:p w14:paraId="6960B74E" w14:textId="77777777" w:rsidR="00454A29" w:rsidRDefault="00454A29">
            <w:pPr>
              <w:pStyle w:val="ConsPlusNormal"/>
              <w:jc w:val="center"/>
            </w:pPr>
            <w:r>
              <w:t>10 288,30</w:t>
            </w:r>
          </w:p>
        </w:tc>
        <w:tc>
          <w:tcPr>
            <w:tcW w:w="1701" w:type="dxa"/>
            <w:vAlign w:val="center"/>
          </w:tcPr>
          <w:p w14:paraId="3E6520F9" w14:textId="77777777" w:rsidR="00454A29" w:rsidRDefault="00454A29">
            <w:pPr>
              <w:pStyle w:val="ConsPlusNormal"/>
              <w:jc w:val="center"/>
            </w:pPr>
            <w:r>
              <w:t>1 018 542,09</w:t>
            </w:r>
          </w:p>
        </w:tc>
        <w:tc>
          <w:tcPr>
            <w:tcW w:w="1701" w:type="dxa"/>
            <w:vAlign w:val="center"/>
          </w:tcPr>
          <w:p w14:paraId="48AED10A" w14:textId="77777777" w:rsidR="00454A29" w:rsidRDefault="00454A29">
            <w:pPr>
              <w:pStyle w:val="ConsPlusNormal"/>
            </w:pPr>
          </w:p>
        </w:tc>
        <w:tc>
          <w:tcPr>
            <w:tcW w:w="1814" w:type="dxa"/>
            <w:vAlign w:val="center"/>
          </w:tcPr>
          <w:p w14:paraId="75964BA4" w14:textId="77777777" w:rsidR="00454A29" w:rsidRDefault="00454A29">
            <w:pPr>
              <w:pStyle w:val="ConsPlusNormal"/>
            </w:pPr>
          </w:p>
        </w:tc>
      </w:tr>
      <w:tr w:rsidR="00454A29" w14:paraId="5F1FAF6C" w14:textId="77777777">
        <w:tc>
          <w:tcPr>
            <w:tcW w:w="567" w:type="dxa"/>
            <w:vMerge/>
          </w:tcPr>
          <w:p w14:paraId="451AC169" w14:textId="77777777" w:rsidR="00454A29" w:rsidRDefault="00454A29"/>
        </w:tc>
        <w:tc>
          <w:tcPr>
            <w:tcW w:w="3345" w:type="dxa"/>
            <w:vMerge/>
          </w:tcPr>
          <w:p w14:paraId="2E7AA1D4" w14:textId="77777777" w:rsidR="00454A29" w:rsidRDefault="00454A29"/>
        </w:tc>
        <w:tc>
          <w:tcPr>
            <w:tcW w:w="1701" w:type="dxa"/>
            <w:vAlign w:val="center"/>
          </w:tcPr>
          <w:p w14:paraId="319EFCD6" w14:textId="77777777" w:rsidR="00454A29" w:rsidRDefault="00454A29">
            <w:pPr>
              <w:pStyle w:val="ConsPlusNormal"/>
              <w:jc w:val="center"/>
            </w:pPr>
            <w:r>
              <w:t>2026</w:t>
            </w:r>
          </w:p>
        </w:tc>
        <w:tc>
          <w:tcPr>
            <w:tcW w:w="1417" w:type="dxa"/>
            <w:vMerge/>
          </w:tcPr>
          <w:p w14:paraId="3B5667C6" w14:textId="77777777" w:rsidR="00454A29" w:rsidRDefault="00454A29"/>
        </w:tc>
        <w:tc>
          <w:tcPr>
            <w:tcW w:w="2204" w:type="dxa"/>
            <w:vMerge/>
          </w:tcPr>
          <w:p w14:paraId="7CD7DC16" w14:textId="77777777" w:rsidR="00454A29" w:rsidRDefault="00454A29"/>
        </w:tc>
        <w:tc>
          <w:tcPr>
            <w:tcW w:w="1417" w:type="dxa"/>
            <w:vMerge/>
          </w:tcPr>
          <w:p w14:paraId="00232AF0" w14:textId="77777777" w:rsidR="00454A29" w:rsidRDefault="00454A29"/>
        </w:tc>
        <w:tc>
          <w:tcPr>
            <w:tcW w:w="2324" w:type="dxa"/>
            <w:vMerge/>
          </w:tcPr>
          <w:p w14:paraId="6032DEE0" w14:textId="77777777" w:rsidR="00454A29" w:rsidRDefault="00454A29"/>
        </w:tc>
        <w:tc>
          <w:tcPr>
            <w:tcW w:w="1701" w:type="dxa"/>
            <w:vAlign w:val="center"/>
          </w:tcPr>
          <w:p w14:paraId="1A9D1F3B" w14:textId="77777777" w:rsidR="00454A29" w:rsidRDefault="00454A29">
            <w:pPr>
              <w:pStyle w:val="ConsPlusNormal"/>
              <w:jc w:val="center"/>
            </w:pPr>
            <w:r>
              <w:t>-</w:t>
            </w:r>
          </w:p>
        </w:tc>
        <w:tc>
          <w:tcPr>
            <w:tcW w:w="1814" w:type="dxa"/>
            <w:vAlign w:val="center"/>
          </w:tcPr>
          <w:p w14:paraId="18C3D2DB" w14:textId="77777777" w:rsidR="00454A29" w:rsidRDefault="00454A29">
            <w:pPr>
              <w:pStyle w:val="ConsPlusNormal"/>
            </w:pPr>
          </w:p>
        </w:tc>
        <w:tc>
          <w:tcPr>
            <w:tcW w:w="1701" w:type="dxa"/>
            <w:vAlign w:val="center"/>
          </w:tcPr>
          <w:p w14:paraId="2B7CECC8" w14:textId="77777777" w:rsidR="00454A29" w:rsidRDefault="00454A29">
            <w:pPr>
              <w:pStyle w:val="ConsPlusNormal"/>
            </w:pPr>
          </w:p>
        </w:tc>
        <w:tc>
          <w:tcPr>
            <w:tcW w:w="1701" w:type="dxa"/>
            <w:vAlign w:val="center"/>
          </w:tcPr>
          <w:p w14:paraId="72948A99" w14:textId="77777777" w:rsidR="00454A29" w:rsidRDefault="00454A29">
            <w:pPr>
              <w:pStyle w:val="ConsPlusNormal"/>
            </w:pPr>
          </w:p>
        </w:tc>
        <w:tc>
          <w:tcPr>
            <w:tcW w:w="1814" w:type="dxa"/>
            <w:vAlign w:val="center"/>
          </w:tcPr>
          <w:p w14:paraId="4795F689" w14:textId="77777777" w:rsidR="00454A29" w:rsidRDefault="00454A29">
            <w:pPr>
              <w:pStyle w:val="ConsPlusNormal"/>
            </w:pPr>
          </w:p>
        </w:tc>
      </w:tr>
      <w:tr w:rsidR="00454A29" w14:paraId="74126ADA" w14:textId="77777777">
        <w:tc>
          <w:tcPr>
            <w:tcW w:w="567" w:type="dxa"/>
            <w:vMerge w:val="restart"/>
            <w:vAlign w:val="center"/>
          </w:tcPr>
          <w:p w14:paraId="5D99B147" w14:textId="77777777" w:rsidR="00454A29" w:rsidRDefault="00454A29">
            <w:pPr>
              <w:pStyle w:val="ConsPlusNormal"/>
              <w:jc w:val="center"/>
            </w:pPr>
            <w:r>
              <w:t>155</w:t>
            </w:r>
          </w:p>
        </w:tc>
        <w:tc>
          <w:tcPr>
            <w:tcW w:w="3345" w:type="dxa"/>
            <w:vMerge w:val="restart"/>
            <w:vAlign w:val="center"/>
          </w:tcPr>
          <w:p w14:paraId="6C32D1F9" w14:textId="77777777" w:rsidR="00454A29" w:rsidRDefault="00454A29">
            <w:pPr>
              <w:pStyle w:val="ConsPlusNormal"/>
              <w:jc w:val="center"/>
            </w:pPr>
            <w:r>
              <w:t xml:space="preserve">Школа-сад на 220/100 мест в с. </w:t>
            </w:r>
            <w:r>
              <w:lastRenderedPageBreak/>
              <w:t>Октемцы</w:t>
            </w:r>
          </w:p>
        </w:tc>
        <w:tc>
          <w:tcPr>
            <w:tcW w:w="1701" w:type="dxa"/>
            <w:vAlign w:val="center"/>
          </w:tcPr>
          <w:p w14:paraId="74AE2DD9" w14:textId="77777777" w:rsidR="00454A29" w:rsidRDefault="00454A29">
            <w:pPr>
              <w:pStyle w:val="ConsPlusNormal"/>
              <w:jc w:val="center"/>
            </w:pPr>
            <w:r>
              <w:lastRenderedPageBreak/>
              <w:t xml:space="preserve">2020 - 2026 годы </w:t>
            </w:r>
            <w:r>
              <w:lastRenderedPageBreak/>
              <w:t>- всего</w:t>
            </w:r>
          </w:p>
        </w:tc>
        <w:tc>
          <w:tcPr>
            <w:tcW w:w="1417" w:type="dxa"/>
            <w:vMerge w:val="restart"/>
            <w:vAlign w:val="center"/>
          </w:tcPr>
          <w:p w14:paraId="5921C95A" w14:textId="77777777" w:rsidR="00454A29" w:rsidRDefault="00454A29">
            <w:pPr>
              <w:pStyle w:val="ConsPlusNormal"/>
              <w:jc w:val="center"/>
            </w:pPr>
            <w:r>
              <w:lastRenderedPageBreak/>
              <w:t>338 123,83</w:t>
            </w:r>
          </w:p>
        </w:tc>
        <w:tc>
          <w:tcPr>
            <w:tcW w:w="2204" w:type="dxa"/>
            <w:vMerge w:val="restart"/>
            <w:vAlign w:val="center"/>
          </w:tcPr>
          <w:p w14:paraId="003674B7" w14:textId="77777777" w:rsidR="00454A29" w:rsidRDefault="00454A29">
            <w:pPr>
              <w:pStyle w:val="ConsPlusNormal"/>
              <w:jc w:val="center"/>
            </w:pPr>
            <w:r>
              <w:t>в разработке</w:t>
            </w:r>
          </w:p>
        </w:tc>
        <w:tc>
          <w:tcPr>
            <w:tcW w:w="1417" w:type="dxa"/>
            <w:vMerge w:val="restart"/>
            <w:vAlign w:val="center"/>
          </w:tcPr>
          <w:p w14:paraId="44283CFD" w14:textId="77777777" w:rsidR="00454A29" w:rsidRDefault="00454A29">
            <w:pPr>
              <w:pStyle w:val="ConsPlusNormal"/>
              <w:jc w:val="center"/>
            </w:pPr>
            <w:r>
              <w:t>220</w:t>
            </w:r>
          </w:p>
        </w:tc>
        <w:tc>
          <w:tcPr>
            <w:tcW w:w="2324" w:type="dxa"/>
            <w:vMerge w:val="restart"/>
            <w:vAlign w:val="center"/>
          </w:tcPr>
          <w:p w14:paraId="56B88BB4" w14:textId="77777777" w:rsidR="00454A29" w:rsidRDefault="00454A29">
            <w:pPr>
              <w:pStyle w:val="ConsPlusNormal"/>
              <w:jc w:val="center"/>
            </w:pPr>
            <w:r>
              <w:t xml:space="preserve">Минстрой РС(Я), ГКУ </w:t>
            </w:r>
            <w:r>
              <w:lastRenderedPageBreak/>
              <w:t>"Служба государственного заказчика Республики Саха (Якутия)"</w:t>
            </w:r>
          </w:p>
        </w:tc>
        <w:tc>
          <w:tcPr>
            <w:tcW w:w="1701" w:type="dxa"/>
            <w:vAlign w:val="center"/>
          </w:tcPr>
          <w:p w14:paraId="00D45FCC" w14:textId="77777777" w:rsidR="00454A29" w:rsidRDefault="00454A29">
            <w:pPr>
              <w:pStyle w:val="ConsPlusNormal"/>
              <w:jc w:val="center"/>
            </w:pPr>
            <w:r>
              <w:lastRenderedPageBreak/>
              <w:t>338 123,83</w:t>
            </w:r>
          </w:p>
        </w:tc>
        <w:tc>
          <w:tcPr>
            <w:tcW w:w="1814" w:type="dxa"/>
            <w:vAlign w:val="center"/>
          </w:tcPr>
          <w:p w14:paraId="6E6BBBB2" w14:textId="77777777" w:rsidR="00454A29" w:rsidRDefault="00454A29">
            <w:pPr>
              <w:pStyle w:val="ConsPlusNormal"/>
              <w:jc w:val="center"/>
            </w:pPr>
            <w:r>
              <w:t>338 123,83</w:t>
            </w:r>
          </w:p>
        </w:tc>
        <w:tc>
          <w:tcPr>
            <w:tcW w:w="1701" w:type="dxa"/>
            <w:vAlign w:val="center"/>
          </w:tcPr>
          <w:p w14:paraId="360C8A69" w14:textId="77777777" w:rsidR="00454A29" w:rsidRDefault="00454A29">
            <w:pPr>
              <w:pStyle w:val="ConsPlusNormal"/>
              <w:jc w:val="center"/>
            </w:pPr>
            <w:r>
              <w:t>-</w:t>
            </w:r>
          </w:p>
        </w:tc>
        <w:tc>
          <w:tcPr>
            <w:tcW w:w="1701" w:type="dxa"/>
            <w:vAlign w:val="center"/>
          </w:tcPr>
          <w:p w14:paraId="1A26AEFF" w14:textId="77777777" w:rsidR="00454A29" w:rsidRDefault="00454A29">
            <w:pPr>
              <w:pStyle w:val="ConsPlusNormal"/>
              <w:jc w:val="center"/>
            </w:pPr>
            <w:r>
              <w:t>-</w:t>
            </w:r>
          </w:p>
        </w:tc>
        <w:tc>
          <w:tcPr>
            <w:tcW w:w="1814" w:type="dxa"/>
            <w:vAlign w:val="center"/>
          </w:tcPr>
          <w:p w14:paraId="59141FBD" w14:textId="77777777" w:rsidR="00454A29" w:rsidRDefault="00454A29">
            <w:pPr>
              <w:pStyle w:val="ConsPlusNormal"/>
              <w:jc w:val="center"/>
            </w:pPr>
            <w:r>
              <w:t>-</w:t>
            </w:r>
          </w:p>
        </w:tc>
      </w:tr>
      <w:tr w:rsidR="00454A29" w14:paraId="611ACE54" w14:textId="77777777">
        <w:tc>
          <w:tcPr>
            <w:tcW w:w="567" w:type="dxa"/>
            <w:vMerge/>
          </w:tcPr>
          <w:p w14:paraId="019A1B32" w14:textId="77777777" w:rsidR="00454A29" w:rsidRDefault="00454A29"/>
        </w:tc>
        <w:tc>
          <w:tcPr>
            <w:tcW w:w="3345" w:type="dxa"/>
            <w:vMerge/>
          </w:tcPr>
          <w:p w14:paraId="1011F328" w14:textId="77777777" w:rsidR="00454A29" w:rsidRDefault="00454A29"/>
        </w:tc>
        <w:tc>
          <w:tcPr>
            <w:tcW w:w="1701" w:type="dxa"/>
            <w:vAlign w:val="center"/>
          </w:tcPr>
          <w:p w14:paraId="1BA9FC88" w14:textId="77777777" w:rsidR="00454A29" w:rsidRDefault="00454A29">
            <w:pPr>
              <w:pStyle w:val="ConsPlusNormal"/>
              <w:jc w:val="center"/>
            </w:pPr>
            <w:r>
              <w:t>2020</w:t>
            </w:r>
          </w:p>
        </w:tc>
        <w:tc>
          <w:tcPr>
            <w:tcW w:w="1417" w:type="dxa"/>
            <w:vMerge/>
          </w:tcPr>
          <w:p w14:paraId="6349B8D2" w14:textId="77777777" w:rsidR="00454A29" w:rsidRDefault="00454A29"/>
        </w:tc>
        <w:tc>
          <w:tcPr>
            <w:tcW w:w="2204" w:type="dxa"/>
            <w:vMerge/>
          </w:tcPr>
          <w:p w14:paraId="1E443675" w14:textId="77777777" w:rsidR="00454A29" w:rsidRDefault="00454A29"/>
        </w:tc>
        <w:tc>
          <w:tcPr>
            <w:tcW w:w="1417" w:type="dxa"/>
            <w:vMerge/>
          </w:tcPr>
          <w:p w14:paraId="39E9E059" w14:textId="77777777" w:rsidR="00454A29" w:rsidRDefault="00454A29"/>
        </w:tc>
        <w:tc>
          <w:tcPr>
            <w:tcW w:w="2324" w:type="dxa"/>
            <w:vMerge/>
          </w:tcPr>
          <w:p w14:paraId="5C5098DD" w14:textId="77777777" w:rsidR="00454A29" w:rsidRDefault="00454A29"/>
        </w:tc>
        <w:tc>
          <w:tcPr>
            <w:tcW w:w="1701" w:type="dxa"/>
            <w:vAlign w:val="center"/>
          </w:tcPr>
          <w:p w14:paraId="1B052AA8" w14:textId="77777777" w:rsidR="00454A29" w:rsidRDefault="00454A29">
            <w:pPr>
              <w:pStyle w:val="ConsPlusNormal"/>
              <w:jc w:val="center"/>
            </w:pPr>
            <w:r>
              <w:t>297 568,07</w:t>
            </w:r>
          </w:p>
        </w:tc>
        <w:tc>
          <w:tcPr>
            <w:tcW w:w="1814" w:type="dxa"/>
            <w:vAlign w:val="center"/>
          </w:tcPr>
          <w:p w14:paraId="304236BD" w14:textId="77777777" w:rsidR="00454A29" w:rsidRDefault="00454A29">
            <w:pPr>
              <w:pStyle w:val="ConsPlusNormal"/>
              <w:jc w:val="center"/>
            </w:pPr>
            <w:r>
              <w:t>297 568,07</w:t>
            </w:r>
          </w:p>
        </w:tc>
        <w:tc>
          <w:tcPr>
            <w:tcW w:w="1701" w:type="dxa"/>
            <w:vAlign w:val="center"/>
          </w:tcPr>
          <w:p w14:paraId="773AC3FA" w14:textId="77777777" w:rsidR="00454A29" w:rsidRDefault="00454A29">
            <w:pPr>
              <w:pStyle w:val="ConsPlusNormal"/>
            </w:pPr>
          </w:p>
        </w:tc>
        <w:tc>
          <w:tcPr>
            <w:tcW w:w="1701" w:type="dxa"/>
            <w:vAlign w:val="center"/>
          </w:tcPr>
          <w:p w14:paraId="247D4D6D" w14:textId="77777777" w:rsidR="00454A29" w:rsidRDefault="00454A29">
            <w:pPr>
              <w:pStyle w:val="ConsPlusNormal"/>
            </w:pPr>
          </w:p>
        </w:tc>
        <w:tc>
          <w:tcPr>
            <w:tcW w:w="1814" w:type="dxa"/>
            <w:vAlign w:val="center"/>
          </w:tcPr>
          <w:p w14:paraId="76100EF5" w14:textId="77777777" w:rsidR="00454A29" w:rsidRDefault="00454A29">
            <w:pPr>
              <w:pStyle w:val="ConsPlusNormal"/>
            </w:pPr>
          </w:p>
        </w:tc>
      </w:tr>
      <w:tr w:rsidR="00454A29" w14:paraId="478F96F7" w14:textId="77777777">
        <w:tc>
          <w:tcPr>
            <w:tcW w:w="567" w:type="dxa"/>
            <w:vMerge/>
          </w:tcPr>
          <w:p w14:paraId="5C6A5A22" w14:textId="77777777" w:rsidR="00454A29" w:rsidRDefault="00454A29"/>
        </w:tc>
        <w:tc>
          <w:tcPr>
            <w:tcW w:w="3345" w:type="dxa"/>
            <w:vMerge/>
          </w:tcPr>
          <w:p w14:paraId="7710C096" w14:textId="77777777" w:rsidR="00454A29" w:rsidRDefault="00454A29"/>
        </w:tc>
        <w:tc>
          <w:tcPr>
            <w:tcW w:w="1701" w:type="dxa"/>
            <w:vAlign w:val="center"/>
          </w:tcPr>
          <w:p w14:paraId="58B92C75" w14:textId="77777777" w:rsidR="00454A29" w:rsidRDefault="00454A29">
            <w:pPr>
              <w:pStyle w:val="ConsPlusNormal"/>
              <w:jc w:val="center"/>
            </w:pPr>
            <w:r>
              <w:t>2021</w:t>
            </w:r>
          </w:p>
        </w:tc>
        <w:tc>
          <w:tcPr>
            <w:tcW w:w="1417" w:type="dxa"/>
            <w:vMerge/>
          </w:tcPr>
          <w:p w14:paraId="52EB68FB" w14:textId="77777777" w:rsidR="00454A29" w:rsidRDefault="00454A29"/>
        </w:tc>
        <w:tc>
          <w:tcPr>
            <w:tcW w:w="2204" w:type="dxa"/>
            <w:vMerge/>
          </w:tcPr>
          <w:p w14:paraId="2C275547" w14:textId="77777777" w:rsidR="00454A29" w:rsidRDefault="00454A29"/>
        </w:tc>
        <w:tc>
          <w:tcPr>
            <w:tcW w:w="1417" w:type="dxa"/>
            <w:vMerge/>
          </w:tcPr>
          <w:p w14:paraId="7BFF5470" w14:textId="77777777" w:rsidR="00454A29" w:rsidRDefault="00454A29"/>
        </w:tc>
        <w:tc>
          <w:tcPr>
            <w:tcW w:w="2324" w:type="dxa"/>
            <w:vMerge/>
          </w:tcPr>
          <w:p w14:paraId="0D57501D" w14:textId="77777777" w:rsidR="00454A29" w:rsidRDefault="00454A29"/>
        </w:tc>
        <w:tc>
          <w:tcPr>
            <w:tcW w:w="1701" w:type="dxa"/>
            <w:vAlign w:val="center"/>
          </w:tcPr>
          <w:p w14:paraId="69A93316" w14:textId="77777777" w:rsidR="00454A29" w:rsidRDefault="00454A29">
            <w:pPr>
              <w:pStyle w:val="ConsPlusNormal"/>
              <w:jc w:val="center"/>
            </w:pPr>
            <w:r>
              <w:t>40 555,76</w:t>
            </w:r>
          </w:p>
        </w:tc>
        <w:tc>
          <w:tcPr>
            <w:tcW w:w="1814" w:type="dxa"/>
            <w:vAlign w:val="center"/>
          </w:tcPr>
          <w:p w14:paraId="1B19C8EF" w14:textId="77777777" w:rsidR="00454A29" w:rsidRDefault="00454A29">
            <w:pPr>
              <w:pStyle w:val="ConsPlusNormal"/>
              <w:jc w:val="center"/>
            </w:pPr>
            <w:r>
              <w:t>40 555,76</w:t>
            </w:r>
          </w:p>
        </w:tc>
        <w:tc>
          <w:tcPr>
            <w:tcW w:w="1701" w:type="dxa"/>
            <w:vAlign w:val="center"/>
          </w:tcPr>
          <w:p w14:paraId="473E288E" w14:textId="77777777" w:rsidR="00454A29" w:rsidRDefault="00454A29">
            <w:pPr>
              <w:pStyle w:val="ConsPlusNormal"/>
            </w:pPr>
          </w:p>
        </w:tc>
        <w:tc>
          <w:tcPr>
            <w:tcW w:w="1701" w:type="dxa"/>
            <w:vAlign w:val="center"/>
          </w:tcPr>
          <w:p w14:paraId="36A69E1D" w14:textId="77777777" w:rsidR="00454A29" w:rsidRDefault="00454A29">
            <w:pPr>
              <w:pStyle w:val="ConsPlusNormal"/>
            </w:pPr>
          </w:p>
        </w:tc>
        <w:tc>
          <w:tcPr>
            <w:tcW w:w="1814" w:type="dxa"/>
            <w:vAlign w:val="center"/>
          </w:tcPr>
          <w:p w14:paraId="310C7FCD" w14:textId="77777777" w:rsidR="00454A29" w:rsidRDefault="00454A29">
            <w:pPr>
              <w:pStyle w:val="ConsPlusNormal"/>
            </w:pPr>
          </w:p>
        </w:tc>
      </w:tr>
      <w:tr w:rsidR="00454A29" w14:paraId="61000C53" w14:textId="77777777">
        <w:tc>
          <w:tcPr>
            <w:tcW w:w="567" w:type="dxa"/>
            <w:vMerge/>
          </w:tcPr>
          <w:p w14:paraId="6A9F641C" w14:textId="77777777" w:rsidR="00454A29" w:rsidRDefault="00454A29"/>
        </w:tc>
        <w:tc>
          <w:tcPr>
            <w:tcW w:w="3345" w:type="dxa"/>
            <w:vMerge/>
          </w:tcPr>
          <w:p w14:paraId="7FD072F7" w14:textId="77777777" w:rsidR="00454A29" w:rsidRDefault="00454A29"/>
        </w:tc>
        <w:tc>
          <w:tcPr>
            <w:tcW w:w="1701" w:type="dxa"/>
            <w:vAlign w:val="center"/>
          </w:tcPr>
          <w:p w14:paraId="7AD7640A" w14:textId="77777777" w:rsidR="00454A29" w:rsidRDefault="00454A29">
            <w:pPr>
              <w:pStyle w:val="ConsPlusNormal"/>
              <w:jc w:val="center"/>
            </w:pPr>
            <w:r>
              <w:t>2022</w:t>
            </w:r>
          </w:p>
        </w:tc>
        <w:tc>
          <w:tcPr>
            <w:tcW w:w="1417" w:type="dxa"/>
            <w:vMerge/>
          </w:tcPr>
          <w:p w14:paraId="3425CCA5" w14:textId="77777777" w:rsidR="00454A29" w:rsidRDefault="00454A29"/>
        </w:tc>
        <w:tc>
          <w:tcPr>
            <w:tcW w:w="2204" w:type="dxa"/>
            <w:vMerge/>
          </w:tcPr>
          <w:p w14:paraId="292896E8" w14:textId="77777777" w:rsidR="00454A29" w:rsidRDefault="00454A29"/>
        </w:tc>
        <w:tc>
          <w:tcPr>
            <w:tcW w:w="1417" w:type="dxa"/>
            <w:vMerge/>
          </w:tcPr>
          <w:p w14:paraId="15320844" w14:textId="77777777" w:rsidR="00454A29" w:rsidRDefault="00454A29"/>
        </w:tc>
        <w:tc>
          <w:tcPr>
            <w:tcW w:w="2324" w:type="dxa"/>
            <w:vMerge/>
          </w:tcPr>
          <w:p w14:paraId="3B73E535" w14:textId="77777777" w:rsidR="00454A29" w:rsidRDefault="00454A29"/>
        </w:tc>
        <w:tc>
          <w:tcPr>
            <w:tcW w:w="1701" w:type="dxa"/>
            <w:vAlign w:val="center"/>
          </w:tcPr>
          <w:p w14:paraId="682CE730" w14:textId="77777777" w:rsidR="00454A29" w:rsidRDefault="00454A29">
            <w:pPr>
              <w:pStyle w:val="ConsPlusNormal"/>
            </w:pPr>
          </w:p>
        </w:tc>
        <w:tc>
          <w:tcPr>
            <w:tcW w:w="1814" w:type="dxa"/>
            <w:vAlign w:val="center"/>
          </w:tcPr>
          <w:p w14:paraId="1DADFA7A" w14:textId="77777777" w:rsidR="00454A29" w:rsidRDefault="00454A29">
            <w:pPr>
              <w:pStyle w:val="ConsPlusNormal"/>
            </w:pPr>
          </w:p>
        </w:tc>
        <w:tc>
          <w:tcPr>
            <w:tcW w:w="1701" w:type="dxa"/>
            <w:vAlign w:val="center"/>
          </w:tcPr>
          <w:p w14:paraId="366ECC39" w14:textId="77777777" w:rsidR="00454A29" w:rsidRDefault="00454A29">
            <w:pPr>
              <w:pStyle w:val="ConsPlusNormal"/>
            </w:pPr>
          </w:p>
        </w:tc>
        <w:tc>
          <w:tcPr>
            <w:tcW w:w="1701" w:type="dxa"/>
            <w:vAlign w:val="center"/>
          </w:tcPr>
          <w:p w14:paraId="539D7F7F" w14:textId="77777777" w:rsidR="00454A29" w:rsidRDefault="00454A29">
            <w:pPr>
              <w:pStyle w:val="ConsPlusNormal"/>
            </w:pPr>
          </w:p>
        </w:tc>
        <w:tc>
          <w:tcPr>
            <w:tcW w:w="1814" w:type="dxa"/>
            <w:vAlign w:val="center"/>
          </w:tcPr>
          <w:p w14:paraId="5C310E57" w14:textId="77777777" w:rsidR="00454A29" w:rsidRDefault="00454A29">
            <w:pPr>
              <w:pStyle w:val="ConsPlusNormal"/>
            </w:pPr>
          </w:p>
        </w:tc>
      </w:tr>
      <w:tr w:rsidR="00454A29" w14:paraId="45137801" w14:textId="77777777">
        <w:tc>
          <w:tcPr>
            <w:tcW w:w="567" w:type="dxa"/>
            <w:vMerge/>
          </w:tcPr>
          <w:p w14:paraId="59E5BB7F" w14:textId="77777777" w:rsidR="00454A29" w:rsidRDefault="00454A29"/>
        </w:tc>
        <w:tc>
          <w:tcPr>
            <w:tcW w:w="3345" w:type="dxa"/>
            <w:vMerge/>
          </w:tcPr>
          <w:p w14:paraId="5D56CDD4" w14:textId="77777777" w:rsidR="00454A29" w:rsidRDefault="00454A29"/>
        </w:tc>
        <w:tc>
          <w:tcPr>
            <w:tcW w:w="1701" w:type="dxa"/>
            <w:vAlign w:val="center"/>
          </w:tcPr>
          <w:p w14:paraId="66231DEC" w14:textId="77777777" w:rsidR="00454A29" w:rsidRDefault="00454A29">
            <w:pPr>
              <w:pStyle w:val="ConsPlusNormal"/>
              <w:jc w:val="center"/>
            </w:pPr>
            <w:r>
              <w:t>2023</w:t>
            </w:r>
          </w:p>
        </w:tc>
        <w:tc>
          <w:tcPr>
            <w:tcW w:w="1417" w:type="dxa"/>
            <w:vMerge/>
          </w:tcPr>
          <w:p w14:paraId="6C3FD3C1" w14:textId="77777777" w:rsidR="00454A29" w:rsidRDefault="00454A29"/>
        </w:tc>
        <w:tc>
          <w:tcPr>
            <w:tcW w:w="2204" w:type="dxa"/>
            <w:vMerge/>
          </w:tcPr>
          <w:p w14:paraId="67AB77F7" w14:textId="77777777" w:rsidR="00454A29" w:rsidRDefault="00454A29"/>
        </w:tc>
        <w:tc>
          <w:tcPr>
            <w:tcW w:w="1417" w:type="dxa"/>
            <w:vMerge/>
          </w:tcPr>
          <w:p w14:paraId="38262B74" w14:textId="77777777" w:rsidR="00454A29" w:rsidRDefault="00454A29"/>
        </w:tc>
        <w:tc>
          <w:tcPr>
            <w:tcW w:w="2324" w:type="dxa"/>
            <w:vMerge/>
          </w:tcPr>
          <w:p w14:paraId="2B5DCA1F" w14:textId="77777777" w:rsidR="00454A29" w:rsidRDefault="00454A29"/>
        </w:tc>
        <w:tc>
          <w:tcPr>
            <w:tcW w:w="1701" w:type="dxa"/>
            <w:vAlign w:val="center"/>
          </w:tcPr>
          <w:p w14:paraId="481FDDF4" w14:textId="77777777" w:rsidR="00454A29" w:rsidRDefault="00454A29">
            <w:pPr>
              <w:pStyle w:val="ConsPlusNormal"/>
            </w:pPr>
          </w:p>
        </w:tc>
        <w:tc>
          <w:tcPr>
            <w:tcW w:w="1814" w:type="dxa"/>
            <w:vAlign w:val="center"/>
          </w:tcPr>
          <w:p w14:paraId="0992B98D" w14:textId="77777777" w:rsidR="00454A29" w:rsidRDefault="00454A29">
            <w:pPr>
              <w:pStyle w:val="ConsPlusNormal"/>
            </w:pPr>
          </w:p>
        </w:tc>
        <w:tc>
          <w:tcPr>
            <w:tcW w:w="1701" w:type="dxa"/>
            <w:vAlign w:val="center"/>
          </w:tcPr>
          <w:p w14:paraId="5CE51CE1" w14:textId="77777777" w:rsidR="00454A29" w:rsidRDefault="00454A29">
            <w:pPr>
              <w:pStyle w:val="ConsPlusNormal"/>
            </w:pPr>
          </w:p>
        </w:tc>
        <w:tc>
          <w:tcPr>
            <w:tcW w:w="1701" w:type="dxa"/>
            <w:vAlign w:val="center"/>
          </w:tcPr>
          <w:p w14:paraId="5C91C897" w14:textId="77777777" w:rsidR="00454A29" w:rsidRDefault="00454A29">
            <w:pPr>
              <w:pStyle w:val="ConsPlusNormal"/>
            </w:pPr>
          </w:p>
        </w:tc>
        <w:tc>
          <w:tcPr>
            <w:tcW w:w="1814" w:type="dxa"/>
            <w:vAlign w:val="center"/>
          </w:tcPr>
          <w:p w14:paraId="5FC9356D" w14:textId="77777777" w:rsidR="00454A29" w:rsidRDefault="00454A29">
            <w:pPr>
              <w:pStyle w:val="ConsPlusNormal"/>
            </w:pPr>
          </w:p>
        </w:tc>
      </w:tr>
      <w:tr w:rsidR="00454A29" w14:paraId="5323F5B9" w14:textId="77777777">
        <w:tc>
          <w:tcPr>
            <w:tcW w:w="567" w:type="dxa"/>
            <w:vMerge/>
          </w:tcPr>
          <w:p w14:paraId="16EF9D4D" w14:textId="77777777" w:rsidR="00454A29" w:rsidRDefault="00454A29"/>
        </w:tc>
        <w:tc>
          <w:tcPr>
            <w:tcW w:w="3345" w:type="dxa"/>
            <w:vMerge/>
          </w:tcPr>
          <w:p w14:paraId="01724BC6" w14:textId="77777777" w:rsidR="00454A29" w:rsidRDefault="00454A29"/>
        </w:tc>
        <w:tc>
          <w:tcPr>
            <w:tcW w:w="1701" w:type="dxa"/>
            <w:vAlign w:val="center"/>
          </w:tcPr>
          <w:p w14:paraId="18D19245" w14:textId="77777777" w:rsidR="00454A29" w:rsidRDefault="00454A29">
            <w:pPr>
              <w:pStyle w:val="ConsPlusNormal"/>
              <w:jc w:val="center"/>
            </w:pPr>
            <w:r>
              <w:t>2024</w:t>
            </w:r>
          </w:p>
        </w:tc>
        <w:tc>
          <w:tcPr>
            <w:tcW w:w="1417" w:type="dxa"/>
            <w:vMerge/>
          </w:tcPr>
          <w:p w14:paraId="3AE52268" w14:textId="77777777" w:rsidR="00454A29" w:rsidRDefault="00454A29"/>
        </w:tc>
        <w:tc>
          <w:tcPr>
            <w:tcW w:w="2204" w:type="dxa"/>
            <w:vMerge/>
          </w:tcPr>
          <w:p w14:paraId="0365BDC0" w14:textId="77777777" w:rsidR="00454A29" w:rsidRDefault="00454A29"/>
        </w:tc>
        <w:tc>
          <w:tcPr>
            <w:tcW w:w="1417" w:type="dxa"/>
            <w:vMerge/>
          </w:tcPr>
          <w:p w14:paraId="712D0EF7" w14:textId="77777777" w:rsidR="00454A29" w:rsidRDefault="00454A29"/>
        </w:tc>
        <w:tc>
          <w:tcPr>
            <w:tcW w:w="2324" w:type="dxa"/>
            <w:vMerge/>
          </w:tcPr>
          <w:p w14:paraId="68A41DFA" w14:textId="77777777" w:rsidR="00454A29" w:rsidRDefault="00454A29"/>
        </w:tc>
        <w:tc>
          <w:tcPr>
            <w:tcW w:w="1701" w:type="dxa"/>
            <w:vAlign w:val="center"/>
          </w:tcPr>
          <w:p w14:paraId="7B1EF096" w14:textId="77777777" w:rsidR="00454A29" w:rsidRDefault="00454A29">
            <w:pPr>
              <w:pStyle w:val="ConsPlusNormal"/>
            </w:pPr>
          </w:p>
        </w:tc>
        <w:tc>
          <w:tcPr>
            <w:tcW w:w="1814" w:type="dxa"/>
            <w:vAlign w:val="center"/>
          </w:tcPr>
          <w:p w14:paraId="6D00927D" w14:textId="77777777" w:rsidR="00454A29" w:rsidRDefault="00454A29">
            <w:pPr>
              <w:pStyle w:val="ConsPlusNormal"/>
            </w:pPr>
          </w:p>
        </w:tc>
        <w:tc>
          <w:tcPr>
            <w:tcW w:w="1701" w:type="dxa"/>
            <w:vAlign w:val="center"/>
          </w:tcPr>
          <w:p w14:paraId="4A00CA1C" w14:textId="77777777" w:rsidR="00454A29" w:rsidRDefault="00454A29">
            <w:pPr>
              <w:pStyle w:val="ConsPlusNormal"/>
            </w:pPr>
          </w:p>
        </w:tc>
        <w:tc>
          <w:tcPr>
            <w:tcW w:w="1701" w:type="dxa"/>
            <w:vAlign w:val="center"/>
          </w:tcPr>
          <w:p w14:paraId="1B566206" w14:textId="77777777" w:rsidR="00454A29" w:rsidRDefault="00454A29">
            <w:pPr>
              <w:pStyle w:val="ConsPlusNormal"/>
            </w:pPr>
          </w:p>
        </w:tc>
        <w:tc>
          <w:tcPr>
            <w:tcW w:w="1814" w:type="dxa"/>
            <w:vAlign w:val="center"/>
          </w:tcPr>
          <w:p w14:paraId="5BFB4F74" w14:textId="77777777" w:rsidR="00454A29" w:rsidRDefault="00454A29">
            <w:pPr>
              <w:pStyle w:val="ConsPlusNormal"/>
            </w:pPr>
          </w:p>
        </w:tc>
      </w:tr>
      <w:tr w:rsidR="00454A29" w14:paraId="79D2846F" w14:textId="77777777">
        <w:tc>
          <w:tcPr>
            <w:tcW w:w="567" w:type="dxa"/>
            <w:vMerge/>
          </w:tcPr>
          <w:p w14:paraId="25969938" w14:textId="77777777" w:rsidR="00454A29" w:rsidRDefault="00454A29"/>
        </w:tc>
        <w:tc>
          <w:tcPr>
            <w:tcW w:w="3345" w:type="dxa"/>
            <w:vMerge/>
          </w:tcPr>
          <w:p w14:paraId="1D80B91C" w14:textId="77777777" w:rsidR="00454A29" w:rsidRDefault="00454A29"/>
        </w:tc>
        <w:tc>
          <w:tcPr>
            <w:tcW w:w="1701" w:type="dxa"/>
            <w:vAlign w:val="center"/>
          </w:tcPr>
          <w:p w14:paraId="6E4A30C0" w14:textId="77777777" w:rsidR="00454A29" w:rsidRDefault="00454A29">
            <w:pPr>
              <w:pStyle w:val="ConsPlusNormal"/>
              <w:jc w:val="center"/>
            </w:pPr>
            <w:r>
              <w:t>2025</w:t>
            </w:r>
          </w:p>
        </w:tc>
        <w:tc>
          <w:tcPr>
            <w:tcW w:w="1417" w:type="dxa"/>
            <w:vMerge/>
          </w:tcPr>
          <w:p w14:paraId="2F3D1DD4" w14:textId="77777777" w:rsidR="00454A29" w:rsidRDefault="00454A29"/>
        </w:tc>
        <w:tc>
          <w:tcPr>
            <w:tcW w:w="2204" w:type="dxa"/>
            <w:vMerge/>
          </w:tcPr>
          <w:p w14:paraId="56AE0D07" w14:textId="77777777" w:rsidR="00454A29" w:rsidRDefault="00454A29"/>
        </w:tc>
        <w:tc>
          <w:tcPr>
            <w:tcW w:w="1417" w:type="dxa"/>
            <w:vMerge/>
          </w:tcPr>
          <w:p w14:paraId="6E36BC87" w14:textId="77777777" w:rsidR="00454A29" w:rsidRDefault="00454A29"/>
        </w:tc>
        <w:tc>
          <w:tcPr>
            <w:tcW w:w="2324" w:type="dxa"/>
            <w:vMerge/>
          </w:tcPr>
          <w:p w14:paraId="44EB71F7" w14:textId="77777777" w:rsidR="00454A29" w:rsidRDefault="00454A29"/>
        </w:tc>
        <w:tc>
          <w:tcPr>
            <w:tcW w:w="1701" w:type="dxa"/>
            <w:vAlign w:val="center"/>
          </w:tcPr>
          <w:p w14:paraId="177FF25D" w14:textId="77777777" w:rsidR="00454A29" w:rsidRDefault="00454A29">
            <w:pPr>
              <w:pStyle w:val="ConsPlusNormal"/>
            </w:pPr>
          </w:p>
        </w:tc>
        <w:tc>
          <w:tcPr>
            <w:tcW w:w="1814" w:type="dxa"/>
            <w:vAlign w:val="center"/>
          </w:tcPr>
          <w:p w14:paraId="2281A743" w14:textId="77777777" w:rsidR="00454A29" w:rsidRDefault="00454A29">
            <w:pPr>
              <w:pStyle w:val="ConsPlusNormal"/>
            </w:pPr>
          </w:p>
        </w:tc>
        <w:tc>
          <w:tcPr>
            <w:tcW w:w="1701" w:type="dxa"/>
            <w:vAlign w:val="center"/>
          </w:tcPr>
          <w:p w14:paraId="62FA8822" w14:textId="77777777" w:rsidR="00454A29" w:rsidRDefault="00454A29">
            <w:pPr>
              <w:pStyle w:val="ConsPlusNormal"/>
            </w:pPr>
          </w:p>
        </w:tc>
        <w:tc>
          <w:tcPr>
            <w:tcW w:w="1701" w:type="dxa"/>
            <w:vAlign w:val="center"/>
          </w:tcPr>
          <w:p w14:paraId="4045758A" w14:textId="77777777" w:rsidR="00454A29" w:rsidRDefault="00454A29">
            <w:pPr>
              <w:pStyle w:val="ConsPlusNormal"/>
            </w:pPr>
          </w:p>
        </w:tc>
        <w:tc>
          <w:tcPr>
            <w:tcW w:w="1814" w:type="dxa"/>
            <w:vAlign w:val="center"/>
          </w:tcPr>
          <w:p w14:paraId="43BB0C45" w14:textId="77777777" w:rsidR="00454A29" w:rsidRDefault="00454A29">
            <w:pPr>
              <w:pStyle w:val="ConsPlusNormal"/>
            </w:pPr>
          </w:p>
        </w:tc>
      </w:tr>
      <w:tr w:rsidR="00454A29" w14:paraId="21203B3E" w14:textId="77777777">
        <w:tc>
          <w:tcPr>
            <w:tcW w:w="567" w:type="dxa"/>
            <w:vMerge/>
          </w:tcPr>
          <w:p w14:paraId="1C2FA092" w14:textId="77777777" w:rsidR="00454A29" w:rsidRDefault="00454A29"/>
        </w:tc>
        <w:tc>
          <w:tcPr>
            <w:tcW w:w="3345" w:type="dxa"/>
            <w:vMerge/>
          </w:tcPr>
          <w:p w14:paraId="6A2FB975" w14:textId="77777777" w:rsidR="00454A29" w:rsidRDefault="00454A29"/>
        </w:tc>
        <w:tc>
          <w:tcPr>
            <w:tcW w:w="1701" w:type="dxa"/>
            <w:vAlign w:val="center"/>
          </w:tcPr>
          <w:p w14:paraId="43EAB517" w14:textId="77777777" w:rsidR="00454A29" w:rsidRDefault="00454A29">
            <w:pPr>
              <w:pStyle w:val="ConsPlusNormal"/>
              <w:jc w:val="center"/>
            </w:pPr>
            <w:r>
              <w:t>2026</w:t>
            </w:r>
          </w:p>
        </w:tc>
        <w:tc>
          <w:tcPr>
            <w:tcW w:w="1417" w:type="dxa"/>
            <w:vMerge/>
          </w:tcPr>
          <w:p w14:paraId="1E32094D" w14:textId="77777777" w:rsidR="00454A29" w:rsidRDefault="00454A29"/>
        </w:tc>
        <w:tc>
          <w:tcPr>
            <w:tcW w:w="2204" w:type="dxa"/>
            <w:vMerge/>
          </w:tcPr>
          <w:p w14:paraId="009B8F91" w14:textId="77777777" w:rsidR="00454A29" w:rsidRDefault="00454A29"/>
        </w:tc>
        <w:tc>
          <w:tcPr>
            <w:tcW w:w="1417" w:type="dxa"/>
            <w:vMerge/>
          </w:tcPr>
          <w:p w14:paraId="6ADF50D1" w14:textId="77777777" w:rsidR="00454A29" w:rsidRDefault="00454A29"/>
        </w:tc>
        <w:tc>
          <w:tcPr>
            <w:tcW w:w="2324" w:type="dxa"/>
            <w:vMerge/>
          </w:tcPr>
          <w:p w14:paraId="142C4309" w14:textId="77777777" w:rsidR="00454A29" w:rsidRDefault="00454A29"/>
        </w:tc>
        <w:tc>
          <w:tcPr>
            <w:tcW w:w="1701" w:type="dxa"/>
            <w:vAlign w:val="center"/>
          </w:tcPr>
          <w:p w14:paraId="01147EE0" w14:textId="77777777" w:rsidR="00454A29" w:rsidRDefault="00454A29">
            <w:pPr>
              <w:pStyle w:val="ConsPlusNormal"/>
            </w:pPr>
          </w:p>
        </w:tc>
        <w:tc>
          <w:tcPr>
            <w:tcW w:w="1814" w:type="dxa"/>
            <w:vAlign w:val="center"/>
          </w:tcPr>
          <w:p w14:paraId="0A53F93F" w14:textId="77777777" w:rsidR="00454A29" w:rsidRDefault="00454A29">
            <w:pPr>
              <w:pStyle w:val="ConsPlusNormal"/>
            </w:pPr>
          </w:p>
        </w:tc>
        <w:tc>
          <w:tcPr>
            <w:tcW w:w="1701" w:type="dxa"/>
            <w:vAlign w:val="center"/>
          </w:tcPr>
          <w:p w14:paraId="528D9D42" w14:textId="77777777" w:rsidR="00454A29" w:rsidRDefault="00454A29">
            <w:pPr>
              <w:pStyle w:val="ConsPlusNormal"/>
            </w:pPr>
          </w:p>
        </w:tc>
        <w:tc>
          <w:tcPr>
            <w:tcW w:w="1701" w:type="dxa"/>
            <w:vAlign w:val="center"/>
          </w:tcPr>
          <w:p w14:paraId="1DD6DB3C" w14:textId="77777777" w:rsidR="00454A29" w:rsidRDefault="00454A29">
            <w:pPr>
              <w:pStyle w:val="ConsPlusNormal"/>
            </w:pPr>
          </w:p>
        </w:tc>
        <w:tc>
          <w:tcPr>
            <w:tcW w:w="1814" w:type="dxa"/>
            <w:vAlign w:val="center"/>
          </w:tcPr>
          <w:p w14:paraId="56A55E51" w14:textId="77777777" w:rsidR="00454A29" w:rsidRDefault="00454A29">
            <w:pPr>
              <w:pStyle w:val="ConsPlusNormal"/>
            </w:pPr>
          </w:p>
        </w:tc>
      </w:tr>
      <w:tr w:rsidR="00454A29" w14:paraId="2D8E13BB" w14:textId="77777777">
        <w:tc>
          <w:tcPr>
            <w:tcW w:w="567" w:type="dxa"/>
            <w:vMerge w:val="restart"/>
            <w:vAlign w:val="center"/>
          </w:tcPr>
          <w:p w14:paraId="6C8D8FFD" w14:textId="77777777" w:rsidR="00454A29" w:rsidRDefault="00454A29">
            <w:pPr>
              <w:pStyle w:val="ConsPlusNormal"/>
              <w:jc w:val="center"/>
            </w:pPr>
            <w:r>
              <w:t>156</w:t>
            </w:r>
          </w:p>
        </w:tc>
        <w:tc>
          <w:tcPr>
            <w:tcW w:w="3345" w:type="dxa"/>
            <w:vMerge w:val="restart"/>
            <w:vAlign w:val="center"/>
          </w:tcPr>
          <w:p w14:paraId="0DD9CE48" w14:textId="77777777" w:rsidR="00454A29" w:rsidRDefault="00454A29">
            <w:pPr>
              <w:pStyle w:val="ConsPlusNormal"/>
              <w:jc w:val="center"/>
            </w:pPr>
            <w:r>
              <w:t>Школа на 50 учащихся в с. Едей (Мальжагарский 4-й наслег)</w:t>
            </w:r>
          </w:p>
        </w:tc>
        <w:tc>
          <w:tcPr>
            <w:tcW w:w="1701" w:type="dxa"/>
            <w:vAlign w:val="center"/>
          </w:tcPr>
          <w:p w14:paraId="77CB4CE3" w14:textId="77777777" w:rsidR="00454A29" w:rsidRDefault="00454A29">
            <w:pPr>
              <w:pStyle w:val="ConsPlusNormal"/>
              <w:jc w:val="center"/>
            </w:pPr>
            <w:r>
              <w:t>2020 - 2026 годы - всего</w:t>
            </w:r>
          </w:p>
        </w:tc>
        <w:tc>
          <w:tcPr>
            <w:tcW w:w="1417" w:type="dxa"/>
            <w:vMerge w:val="restart"/>
            <w:vAlign w:val="center"/>
          </w:tcPr>
          <w:p w14:paraId="4D518B2A" w14:textId="77777777" w:rsidR="00454A29" w:rsidRDefault="00454A29">
            <w:pPr>
              <w:pStyle w:val="ConsPlusNormal"/>
              <w:jc w:val="center"/>
            </w:pPr>
            <w:r>
              <w:t>367 824,52</w:t>
            </w:r>
          </w:p>
        </w:tc>
        <w:tc>
          <w:tcPr>
            <w:tcW w:w="2204" w:type="dxa"/>
            <w:vMerge w:val="restart"/>
            <w:vAlign w:val="center"/>
          </w:tcPr>
          <w:p w14:paraId="4C5496E9" w14:textId="77777777" w:rsidR="00454A29" w:rsidRDefault="00454A29">
            <w:pPr>
              <w:pStyle w:val="ConsPlusNormal"/>
            </w:pPr>
          </w:p>
        </w:tc>
        <w:tc>
          <w:tcPr>
            <w:tcW w:w="1417" w:type="dxa"/>
            <w:vMerge w:val="restart"/>
            <w:vAlign w:val="center"/>
          </w:tcPr>
          <w:p w14:paraId="642E3B83" w14:textId="77777777" w:rsidR="00454A29" w:rsidRDefault="00454A29">
            <w:pPr>
              <w:pStyle w:val="ConsPlusNormal"/>
              <w:jc w:val="center"/>
            </w:pPr>
            <w:r>
              <w:t>50</w:t>
            </w:r>
          </w:p>
        </w:tc>
        <w:tc>
          <w:tcPr>
            <w:tcW w:w="2324" w:type="dxa"/>
            <w:vMerge w:val="restart"/>
            <w:vAlign w:val="center"/>
          </w:tcPr>
          <w:p w14:paraId="5CAE0CB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C2BD467" w14:textId="77777777" w:rsidR="00454A29" w:rsidRDefault="00454A29">
            <w:pPr>
              <w:pStyle w:val="ConsPlusNormal"/>
              <w:jc w:val="center"/>
            </w:pPr>
            <w:r>
              <w:t>367 824,52</w:t>
            </w:r>
          </w:p>
        </w:tc>
        <w:tc>
          <w:tcPr>
            <w:tcW w:w="1814" w:type="dxa"/>
            <w:vAlign w:val="center"/>
          </w:tcPr>
          <w:p w14:paraId="5880452A" w14:textId="77777777" w:rsidR="00454A29" w:rsidRDefault="00454A29">
            <w:pPr>
              <w:pStyle w:val="ConsPlusNormal"/>
              <w:jc w:val="center"/>
            </w:pPr>
            <w:r>
              <w:t>4 531,60</w:t>
            </w:r>
          </w:p>
        </w:tc>
        <w:tc>
          <w:tcPr>
            <w:tcW w:w="1701" w:type="dxa"/>
            <w:vAlign w:val="center"/>
          </w:tcPr>
          <w:p w14:paraId="4BEA3C9D" w14:textId="77777777" w:rsidR="00454A29" w:rsidRDefault="00454A29">
            <w:pPr>
              <w:pStyle w:val="ConsPlusNormal"/>
              <w:jc w:val="center"/>
            </w:pPr>
            <w:r>
              <w:t>448 628,22</w:t>
            </w:r>
          </w:p>
        </w:tc>
        <w:tc>
          <w:tcPr>
            <w:tcW w:w="1701" w:type="dxa"/>
            <w:vAlign w:val="center"/>
          </w:tcPr>
          <w:p w14:paraId="74244380" w14:textId="77777777" w:rsidR="00454A29" w:rsidRDefault="00454A29">
            <w:pPr>
              <w:pStyle w:val="ConsPlusNormal"/>
              <w:jc w:val="center"/>
            </w:pPr>
            <w:r>
              <w:t>-</w:t>
            </w:r>
          </w:p>
        </w:tc>
        <w:tc>
          <w:tcPr>
            <w:tcW w:w="1814" w:type="dxa"/>
            <w:vAlign w:val="center"/>
          </w:tcPr>
          <w:p w14:paraId="2E3E77FE" w14:textId="77777777" w:rsidR="00454A29" w:rsidRDefault="00454A29">
            <w:pPr>
              <w:pStyle w:val="ConsPlusNormal"/>
              <w:jc w:val="center"/>
            </w:pPr>
            <w:r>
              <w:t>-</w:t>
            </w:r>
          </w:p>
        </w:tc>
      </w:tr>
      <w:tr w:rsidR="00454A29" w14:paraId="2FEAA4BE" w14:textId="77777777">
        <w:tc>
          <w:tcPr>
            <w:tcW w:w="567" w:type="dxa"/>
            <w:vMerge/>
          </w:tcPr>
          <w:p w14:paraId="3E97B936" w14:textId="77777777" w:rsidR="00454A29" w:rsidRDefault="00454A29"/>
        </w:tc>
        <w:tc>
          <w:tcPr>
            <w:tcW w:w="3345" w:type="dxa"/>
            <w:vMerge/>
          </w:tcPr>
          <w:p w14:paraId="5DA92302" w14:textId="77777777" w:rsidR="00454A29" w:rsidRDefault="00454A29"/>
        </w:tc>
        <w:tc>
          <w:tcPr>
            <w:tcW w:w="1701" w:type="dxa"/>
            <w:vAlign w:val="center"/>
          </w:tcPr>
          <w:p w14:paraId="3CB0EE20" w14:textId="77777777" w:rsidR="00454A29" w:rsidRDefault="00454A29">
            <w:pPr>
              <w:pStyle w:val="ConsPlusNormal"/>
              <w:jc w:val="center"/>
            </w:pPr>
            <w:r>
              <w:t>2020</w:t>
            </w:r>
          </w:p>
        </w:tc>
        <w:tc>
          <w:tcPr>
            <w:tcW w:w="1417" w:type="dxa"/>
            <w:vMerge/>
          </w:tcPr>
          <w:p w14:paraId="6AAC18C4" w14:textId="77777777" w:rsidR="00454A29" w:rsidRDefault="00454A29"/>
        </w:tc>
        <w:tc>
          <w:tcPr>
            <w:tcW w:w="2204" w:type="dxa"/>
            <w:vMerge/>
          </w:tcPr>
          <w:p w14:paraId="673EFA8E" w14:textId="77777777" w:rsidR="00454A29" w:rsidRDefault="00454A29"/>
        </w:tc>
        <w:tc>
          <w:tcPr>
            <w:tcW w:w="1417" w:type="dxa"/>
            <w:vMerge/>
          </w:tcPr>
          <w:p w14:paraId="761F143E" w14:textId="77777777" w:rsidR="00454A29" w:rsidRDefault="00454A29"/>
        </w:tc>
        <w:tc>
          <w:tcPr>
            <w:tcW w:w="2324" w:type="dxa"/>
            <w:vMerge/>
          </w:tcPr>
          <w:p w14:paraId="215875A1" w14:textId="77777777" w:rsidR="00454A29" w:rsidRDefault="00454A29"/>
        </w:tc>
        <w:tc>
          <w:tcPr>
            <w:tcW w:w="1701" w:type="dxa"/>
            <w:vAlign w:val="center"/>
          </w:tcPr>
          <w:p w14:paraId="59A55291" w14:textId="77777777" w:rsidR="00454A29" w:rsidRDefault="00454A29">
            <w:pPr>
              <w:pStyle w:val="ConsPlusNormal"/>
            </w:pPr>
          </w:p>
        </w:tc>
        <w:tc>
          <w:tcPr>
            <w:tcW w:w="1814" w:type="dxa"/>
            <w:vAlign w:val="center"/>
          </w:tcPr>
          <w:p w14:paraId="365D5D8B" w14:textId="77777777" w:rsidR="00454A29" w:rsidRDefault="00454A29">
            <w:pPr>
              <w:pStyle w:val="ConsPlusNormal"/>
            </w:pPr>
          </w:p>
        </w:tc>
        <w:tc>
          <w:tcPr>
            <w:tcW w:w="1701" w:type="dxa"/>
            <w:vAlign w:val="center"/>
          </w:tcPr>
          <w:p w14:paraId="36DA614F" w14:textId="77777777" w:rsidR="00454A29" w:rsidRDefault="00454A29">
            <w:pPr>
              <w:pStyle w:val="ConsPlusNormal"/>
            </w:pPr>
          </w:p>
        </w:tc>
        <w:tc>
          <w:tcPr>
            <w:tcW w:w="1701" w:type="dxa"/>
            <w:vAlign w:val="center"/>
          </w:tcPr>
          <w:p w14:paraId="72D3D5EF" w14:textId="77777777" w:rsidR="00454A29" w:rsidRDefault="00454A29">
            <w:pPr>
              <w:pStyle w:val="ConsPlusNormal"/>
            </w:pPr>
          </w:p>
        </w:tc>
        <w:tc>
          <w:tcPr>
            <w:tcW w:w="1814" w:type="dxa"/>
            <w:vAlign w:val="center"/>
          </w:tcPr>
          <w:p w14:paraId="43C3218B" w14:textId="77777777" w:rsidR="00454A29" w:rsidRDefault="00454A29">
            <w:pPr>
              <w:pStyle w:val="ConsPlusNormal"/>
            </w:pPr>
          </w:p>
        </w:tc>
      </w:tr>
      <w:tr w:rsidR="00454A29" w14:paraId="1C94FB65" w14:textId="77777777">
        <w:tc>
          <w:tcPr>
            <w:tcW w:w="567" w:type="dxa"/>
            <w:vMerge/>
          </w:tcPr>
          <w:p w14:paraId="57BEDF4B" w14:textId="77777777" w:rsidR="00454A29" w:rsidRDefault="00454A29"/>
        </w:tc>
        <w:tc>
          <w:tcPr>
            <w:tcW w:w="3345" w:type="dxa"/>
            <w:vMerge/>
          </w:tcPr>
          <w:p w14:paraId="50892B05" w14:textId="77777777" w:rsidR="00454A29" w:rsidRDefault="00454A29"/>
        </w:tc>
        <w:tc>
          <w:tcPr>
            <w:tcW w:w="1701" w:type="dxa"/>
            <w:vAlign w:val="center"/>
          </w:tcPr>
          <w:p w14:paraId="39443270" w14:textId="77777777" w:rsidR="00454A29" w:rsidRDefault="00454A29">
            <w:pPr>
              <w:pStyle w:val="ConsPlusNormal"/>
              <w:jc w:val="center"/>
            </w:pPr>
            <w:r>
              <w:t>2021</w:t>
            </w:r>
          </w:p>
        </w:tc>
        <w:tc>
          <w:tcPr>
            <w:tcW w:w="1417" w:type="dxa"/>
            <w:vMerge/>
          </w:tcPr>
          <w:p w14:paraId="084FC171" w14:textId="77777777" w:rsidR="00454A29" w:rsidRDefault="00454A29"/>
        </w:tc>
        <w:tc>
          <w:tcPr>
            <w:tcW w:w="2204" w:type="dxa"/>
            <w:vMerge/>
          </w:tcPr>
          <w:p w14:paraId="76BCBBDA" w14:textId="77777777" w:rsidR="00454A29" w:rsidRDefault="00454A29"/>
        </w:tc>
        <w:tc>
          <w:tcPr>
            <w:tcW w:w="1417" w:type="dxa"/>
            <w:vMerge/>
          </w:tcPr>
          <w:p w14:paraId="417F960D" w14:textId="77777777" w:rsidR="00454A29" w:rsidRDefault="00454A29"/>
        </w:tc>
        <w:tc>
          <w:tcPr>
            <w:tcW w:w="2324" w:type="dxa"/>
            <w:vMerge/>
          </w:tcPr>
          <w:p w14:paraId="56AC544D" w14:textId="77777777" w:rsidR="00454A29" w:rsidRDefault="00454A29"/>
        </w:tc>
        <w:tc>
          <w:tcPr>
            <w:tcW w:w="1701" w:type="dxa"/>
            <w:vAlign w:val="center"/>
          </w:tcPr>
          <w:p w14:paraId="2C2AF72C" w14:textId="77777777" w:rsidR="00454A29" w:rsidRDefault="00454A29">
            <w:pPr>
              <w:pStyle w:val="ConsPlusNormal"/>
            </w:pPr>
          </w:p>
        </w:tc>
        <w:tc>
          <w:tcPr>
            <w:tcW w:w="1814" w:type="dxa"/>
            <w:vAlign w:val="center"/>
          </w:tcPr>
          <w:p w14:paraId="07592DBA" w14:textId="77777777" w:rsidR="00454A29" w:rsidRDefault="00454A29">
            <w:pPr>
              <w:pStyle w:val="ConsPlusNormal"/>
            </w:pPr>
          </w:p>
        </w:tc>
        <w:tc>
          <w:tcPr>
            <w:tcW w:w="1701" w:type="dxa"/>
            <w:vAlign w:val="center"/>
          </w:tcPr>
          <w:p w14:paraId="033BEAC7" w14:textId="77777777" w:rsidR="00454A29" w:rsidRDefault="00454A29">
            <w:pPr>
              <w:pStyle w:val="ConsPlusNormal"/>
            </w:pPr>
          </w:p>
        </w:tc>
        <w:tc>
          <w:tcPr>
            <w:tcW w:w="1701" w:type="dxa"/>
            <w:vAlign w:val="center"/>
          </w:tcPr>
          <w:p w14:paraId="2CAA7C3B" w14:textId="77777777" w:rsidR="00454A29" w:rsidRDefault="00454A29">
            <w:pPr>
              <w:pStyle w:val="ConsPlusNormal"/>
            </w:pPr>
          </w:p>
        </w:tc>
        <w:tc>
          <w:tcPr>
            <w:tcW w:w="1814" w:type="dxa"/>
            <w:vAlign w:val="center"/>
          </w:tcPr>
          <w:p w14:paraId="236CB629" w14:textId="77777777" w:rsidR="00454A29" w:rsidRDefault="00454A29">
            <w:pPr>
              <w:pStyle w:val="ConsPlusNormal"/>
            </w:pPr>
          </w:p>
        </w:tc>
      </w:tr>
      <w:tr w:rsidR="00454A29" w14:paraId="4BDBAF0E" w14:textId="77777777">
        <w:tc>
          <w:tcPr>
            <w:tcW w:w="567" w:type="dxa"/>
            <w:vMerge/>
          </w:tcPr>
          <w:p w14:paraId="1A7D0385" w14:textId="77777777" w:rsidR="00454A29" w:rsidRDefault="00454A29"/>
        </w:tc>
        <w:tc>
          <w:tcPr>
            <w:tcW w:w="3345" w:type="dxa"/>
            <w:vMerge/>
          </w:tcPr>
          <w:p w14:paraId="48FCD723" w14:textId="77777777" w:rsidR="00454A29" w:rsidRDefault="00454A29"/>
        </w:tc>
        <w:tc>
          <w:tcPr>
            <w:tcW w:w="1701" w:type="dxa"/>
            <w:vAlign w:val="center"/>
          </w:tcPr>
          <w:p w14:paraId="26D6410B" w14:textId="77777777" w:rsidR="00454A29" w:rsidRDefault="00454A29">
            <w:pPr>
              <w:pStyle w:val="ConsPlusNormal"/>
              <w:jc w:val="center"/>
            </w:pPr>
            <w:r>
              <w:t>2022</w:t>
            </w:r>
          </w:p>
        </w:tc>
        <w:tc>
          <w:tcPr>
            <w:tcW w:w="1417" w:type="dxa"/>
            <w:vMerge/>
          </w:tcPr>
          <w:p w14:paraId="048A08FC" w14:textId="77777777" w:rsidR="00454A29" w:rsidRDefault="00454A29"/>
        </w:tc>
        <w:tc>
          <w:tcPr>
            <w:tcW w:w="2204" w:type="dxa"/>
            <w:vMerge/>
          </w:tcPr>
          <w:p w14:paraId="3E8751B0" w14:textId="77777777" w:rsidR="00454A29" w:rsidRDefault="00454A29"/>
        </w:tc>
        <w:tc>
          <w:tcPr>
            <w:tcW w:w="1417" w:type="dxa"/>
            <w:vMerge/>
          </w:tcPr>
          <w:p w14:paraId="685591DF" w14:textId="77777777" w:rsidR="00454A29" w:rsidRDefault="00454A29"/>
        </w:tc>
        <w:tc>
          <w:tcPr>
            <w:tcW w:w="2324" w:type="dxa"/>
            <w:vMerge/>
          </w:tcPr>
          <w:p w14:paraId="35C9F60C" w14:textId="77777777" w:rsidR="00454A29" w:rsidRDefault="00454A29"/>
        </w:tc>
        <w:tc>
          <w:tcPr>
            <w:tcW w:w="1701" w:type="dxa"/>
            <w:vAlign w:val="center"/>
          </w:tcPr>
          <w:p w14:paraId="1FF102A1" w14:textId="77777777" w:rsidR="00454A29" w:rsidRDefault="00454A29">
            <w:pPr>
              <w:pStyle w:val="ConsPlusNormal"/>
            </w:pPr>
          </w:p>
        </w:tc>
        <w:tc>
          <w:tcPr>
            <w:tcW w:w="1814" w:type="dxa"/>
            <w:vAlign w:val="center"/>
          </w:tcPr>
          <w:p w14:paraId="7BFE8CE9" w14:textId="77777777" w:rsidR="00454A29" w:rsidRDefault="00454A29">
            <w:pPr>
              <w:pStyle w:val="ConsPlusNormal"/>
            </w:pPr>
          </w:p>
        </w:tc>
        <w:tc>
          <w:tcPr>
            <w:tcW w:w="1701" w:type="dxa"/>
            <w:vAlign w:val="center"/>
          </w:tcPr>
          <w:p w14:paraId="6F70D036" w14:textId="77777777" w:rsidR="00454A29" w:rsidRDefault="00454A29">
            <w:pPr>
              <w:pStyle w:val="ConsPlusNormal"/>
            </w:pPr>
          </w:p>
        </w:tc>
        <w:tc>
          <w:tcPr>
            <w:tcW w:w="1701" w:type="dxa"/>
            <w:vAlign w:val="center"/>
          </w:tcPr>
          <w:p w14:paraId="55F09456" w14:textId="77777777" w:rsidR="00454A29" w:rsidRDefault="00454A29">
            <w:pPr>
              <w:pStyle w:val="ConsPlusNormal"/>
            </w:pPr>
          </w:p>
        </w:tc>
        <w:tc>
          <w:tcPr>
            <w:tcW w:w="1814" w:type="dxa"/>
            <w:vAlign w:val="center"/>
          </w:tcPr>
          <w:p w14:paraId="097796AA" w14:textId="77777777" w:rsidR="00454A29" w:rsidRDefault="00454A29">
            <w:pPr>
              <w:pStyle w:val="ConsPlusNormal"/>
            </w:pPr>
          </w:p>
        </w:tc>
      </w:tr>
      <w:tr w:rsidR="00454A29" w14:paraId="25F3A04C" w14:textId="77777777">
        <w:tc>
          <w:tcPr>
            <w:tcW w:w="567" w:type="dxa"/>
            <w:vMerge/>
          </w:tcPr>
          <w:p w14:paraId="45D787E0" w14:textId="77777777" w:rsidR="00454A29" w:rsidRDefault="00454A29"/>
        </w:tc>
        <w:tc>
          <w:tcPr>
            <w:tcW w:w="3345" w:type="dxa"/>
            <w:vMerge/>
          </w:tcPr>
          <w:p w14:paraId="78846367" w14:textId="77777777" w:rsidR="00454A29" w:rsidRDefault="00454A29"/>
        </w:tc>
        <w:tc>
          <w:tcPr>
            <w:tcW w:w="1701" w:type="dxa"/>
            <w:vAlign w:val="center"/>
          </w:tcPr>
          <w:p w14:paraId="09E66E1E" w14:textId="77777777" w:rsidR="00454A29" w:rsidRDefault="00454A29">
            <w:pPr>
              <w:pStyle w:val="ConsPlusNormal"/>
              <w:jc w:val="center"/>
            </w:pPr>
            <w:r>
              <w:t>2023</w:t>
            </w:r>
          </w:p>
        </w:tc>
        <w:tc>
          <w:tcPr>
            <w:tcW w:w="1417" w:type="dxa"/>
            <w:vMerge/>
          </w:tcPr>
          <w:p w14:paraId="681B2693" w14:textId="77777777" w:rsidR="00454A29" w:rsidRDefault="00454A29"/>
        </w:tc>
        <w:tc>
          <w:tcPr>
            <w:tcW w:w="2204" w:type="dxa"/>
            <w:vMerge/>
          </w:tcPr>
          <w:p w14:paraId="74A3BFA6" w14:textId="77777777" w:rsidR="00454A29" w:rsidRDefault="00454A29"/>
        </w:tc>
        <w:tc>
          <w:tcPr>
            <w:tcW w:w="1417" w:type="dxa"/>
            <w:vMerge/>
          </w:tcPr>
          <w:p w14:paraId="48FC32DF" w14:textId="77777777" w:rsidR="00454A29" w:rsidRDefault="00454A29"/>
        </w:tc>
        <w:tc>
          <w:tcPr>
            <w:tcW w:w="2324" w:type="dxa"/>
            <w:vMerge/>
          </w:tcPr>
          <w:p w14:paraId="0E3880B0" w14:textId="77777777" w:rsidR="00454A29" w:rsidRDefault="00454A29"/>
        </w:tc>
        <w:tc>
          <w:tcPr>
            <w:tcW w:w="1701" w:type="dxa"/>
            <w:vAlign w:val="center"/>
          </w:tcPr>
          <w:p w14:paraId="28AD9417" w14:textId="77777777" w:rsidR="00454A29" w:rsidRDefault="00454A29">
            <w:pPr>
              <w:pStyle w:val="ConsPlusNormal"/>
            </w:pPr>
          </w:p>
        </w:tc>
        <w:tc>
          <w:tcPr>
            <w:tcW w:w="1814" w:type="dxa"/>
            <w:vAlign w:val="center"/>
          </w:tcPr>
          <w:p w14:paraId="2616FA05" w14:textId="77777777" w:rsidR="00454A29" w:rsidRDefault="00454A29">
            <w:pPr>
              <w:pStyle w:val="ConsPlusNormal"/>
            </w:pPr>
          </w:p>
        </w:tc>
        <w:tc>
          <w:tcPr>
            <w:tcW w:w="1701" w:type="dxa"/>
            <w:vAlign w:val="center"/>
          </w:tcPr>
          <w:p w14:paraId="5A82461D" w14:textId="77777777" w:rsidR="00454A29" w:rsidRDefault="00454A29">
            <w:pPr>
              <w:pStyle w:val="ConsPlusNormal"/>
            </w:pPr>
          </w:p>
        </w:tc>
        <w:tc>
          <w:tcPr>
            <w:tcW w:w="1701" w:type="dxa"/>
            <w:vAlign w:val="center"/>
          </w:tcPr>
          <w:p w14:paraId="52C8BE7F" w14:textId="77777777" w:rsidR="00454A29" w:rsidRDefault="00454A29">
            <w:pPr>
              <w:pStyle w:val="ConsPlusNormal"/>
            </w:pPr>
          </w:p>
        </w:tc>
        <w:tc>
          <w:tcPr>
            <w:tcW w:w="1814" w:type="dxa"/>
            <w:vAlign w:val="center"/>
          </w:tcPr>
          <w:p w14:paraId="7A40E08E" w14:textId="77777777" w:rsidR="00454A29" w:rsidRDefault="00454A29">
            <w:pPr>
              <w:pStyle w:val="ConsPlusNormal"/>
            </w:pPr>
          </w:p>
        </w:tc>
      </w:tr>
      <w:tr w:rsidR="00454A29" w14:paraId="43B0A431" w14:textId="77777777">
        <w:tc>
          <w:tcPr>
            <w:tcW w:w="567" w:type="dxa"/>
            <w:vMerge/>
          </w:tcPr>
          <w:p w14:paraId="0E594F11" w14:textId="77777777" w:rsidR="00454A29" w:rsidRDefault="00454A29"/>
        </w:tc>
        <w:tc>
          <w:tcPr>
            <w:tcW w:w="3345" w:type="dxa"/>
            <w:vMerge/>
          </w:tcPr>
          <w:p w14:paraId="133AEF48" w14:textId="77777777" w:rsidR="00454A29" w:rsidRDefault="00454A29"/>
        </w:tc>
        <w:tc>
          <w:tcPr>
            <w:tcW w:w="1701" w:type="dxa"/>
            <w:vAlign w:val="center"/>
          </w:tcPr>
          <w:p w14:paraId="56FA6829" w14:textId="77777777" w:rsidR="00454A29" w:rsidRDefault="00454A29">
            <w:pPr>
              <w:pStyle w:val="ConsPlusNormal"/>
              <w:jc w:val="center"/>
            </w:pPr>
            <w:r>
              <w:t>2024</w:t>
            </w:r>
          </w:p>
        </w:tc>
        <w:tc>
          <w:tcPr>
            <w:tcW w:w="1417" w:type="dxa"/>
            <w:vMerge/>
          </w:tcPr>
          <w:p w14:paraId="5F7ABFEA" w14:textId="77777777" w:rsidR="00454A29" w:rsidRDefault="00454A29"/>
        </w:tc>
        <w:tc>
          <w:tcPr>
            <w:tcW w:w="2204" w:type="dxa"/>
            <w:vMerge/>
          </w:tcPr>
          <w:p w14:paraId="032157BE" w14:textId="77777777" w:rsidR="00454A29" w:rsidRDefault="00454A29"/>
        </w:tc>
        <w:tc>
          <w:tcPr>
            <w:tcW w:w="1417" w:type="dxa"/>
            <w:vMerge/>
          </w:tcPr>
          <w:p w14:paraId="312FBE6F" w14:textId="77777777" w:rsidR="00454A29" w:rsidRDefault="00454A29"/>
        </w:tc>
        <w:tc>
          <w:tcPr>
            <w:tcW w:w="2324" w:type="dxa"/>
            <w:vMerge/>
          </w:tcPr>
          <w:p w14:paraId="0FA97AD3" w14:textId="77777777" w:rsidR="00454A29" w:rsidRDefault="00454A29"/>
        </w:tc>
        <w:tc>
          <w:tcPr>
            <w:tcW w:w="1701" w:type="dxa"/>
            <w:vAlign w:val="center"/>
          </w:tcPr>
          <w:p w14:paraId="73D9BA9B" w14:textId="77777777" w:rsidR="00454A29" w:rsidRDefault="00454A29">
            <w:pPr>
              <w:pStyle w:val="ConsPlusNormal"/>
            </w:pPr>
          </w:p>
        </w:tc>
        <w:tc>
          <w:tcPr>
            <w:tcW w:w="1814" w:type="dxa"/>
            <w:vAlign w:val="center"/>
          </w:tcPr>
          <w:p w14:paraId="02D8B0DE" w14:textId="77777777" w:rsidR="00454A29" w:rsidRDefault="00454A29">
            <w:pPr>
              <w:pStyle w:val="ConsPlusNormal"/>
            </w:pPr>
          </w:p>
        </w:tc>
        <w:tc>
          <w:tcPr>
            <w:tcW w:w="1701" w:type="dxa"/>
            <w:vAlign w:val="center"/>
          </w:tcPr>
          <w:p w14:paraId="4E05DF22" w14:textId="77777777" w:rsidR="00454A29" w:rsidRDefault="00454A29">
            <w:pPr>
              <w:pStyle w:val="ConsPlusNormal"/>
            </w:pPr>
          </w:p>
        </w:tc>
        <w:tc>
          <w:tcPr>
            <w:tcW w:w="1701" w:type="dxa"/>
            <w:vAlign w:val="center"/>
          </w:tcPr>
          <w:p w14:paraId="524DF4D1" w14:textId="77777777" w:rsidR="00454A29" w:rsidRDefault="00454A29">
            <w:pPr>
              <w:pStyle w:val="ConsPlusNormal"/>
            </w:pPr>
          </w:p>
        </w:tc>
        <w:tc>
          <w:tcPr>
            <w:tcW w:w="1814" w:type="dxa"/>
            <w:vAlign w:val="center"/>
          </w:tcPr>
          <w:p w14:paraId="13B5E220" w14:textId="77777777" w:rsidR="00454A29" w:rsidRDefault="00454A29">
            <w:pPr>
              <w:pStyle w:val="ConsPlusNormal"/>
            </w:pPr>
          </w:p>
        </w:tc>
      </w:tr>
      <w:tr w:rsidR="00454A29" w14:paraId="3B16015F" w14:textId="77777777">
        <w:tc>
          <w:tcPr>
            <w:tcW w:w="567" w:type="dxa"/>
            <w:vMerge/>
          </w:tcPr>
          <w:p w14:paraId="6A97B8FA" w14:textId="77777777" w:rsidR="00454A29" w:rsidRDefault="00454A29"/>
        </w:tc>
        <w:tc>
          <w:tcPr>
            <w:tcW w:w="3345" w:type="dxa"/>
            <w:vMerge/>
          </w:tcPr>
          <w:p w14:paraId="59A02C1B" w14:textId="77777777" w:rsidR="00454A29" w:rsidRDefault="00454A29"/>
        </w:tc>
        <w:tc>
          <w:tcPr>
            <w:tcW w:w="1701" w:type="dxa"/>
            <w:vAlign w:val="center"/>
          </w:tcPr>
          <w:p w14:paraId="70C8E71D" w14:textId="77777777" w:rsidR="00454A29" w:rsidRDefault="00454A29">
            <w:pPr>
              <w:pStyle w:val="ConsPlusNormal"/>
              <w:jc w:val="center"/>
            </w:pPr>
            <w:r>
              <w:t>2025</w:t>
            </w:r>
          </w:p>
        </w:tc>
        <w:tc>
          <w:tcPr>
            <w:tcW w:w="1417" w:type="dxa"/>
            <w:vMerge/>
          </w:tcPr>
          <w:p w14:paraId="66574589" w14:textId="77777777" w:rsidR="00454A29" w:rsidRDefault="00454A29"/>
        </w:tc>
        <w:tc>
          <w:tcPr>
            <w:tcW w:w="2204" w:type="dxa"/>
            <w:vMerge/>
          </w:tcPr>
          <w:p w14:paraId="3D13784E" w14:textId="77777777" w:rsidR="00454A29" w:rsidRDefault="00454A29"/>
        </w:tc>
        <w:tc>
          <w:tcPr>
            <w:tcW w:w="1417" w:type="dxa"/>
            <w:vMerge/>
          </w:tcPr>
          <w:p w14:paraId="2EFB1284" w14:textId="77777777" w:rsidR="00454A29" w:rsidRDefault="00454A29"/>
        </w:tc>
        <w:tc>
          <w:tcPr>
            <w:tcW w:w="2324" w:type="dxa"/>
            <w:vMerge/>
          </w:tcPr>
          <w:p w14:paraId="7102250C" w14:textId="77777777" w:rsidR="00454A29" w:rsidRDefault="00454A29"/>
        </w:tc>
        <w:tc>
          <w:tcPr>
            <w:tcW w:w="1701" w:type="dxa"/>
            <w:vAlign w:val="center"/>
          </w:tcPr>
          <w:p w14:paraId="7A54280E" w14:textId="77777777" w:rsidR="00454A29" w:rsidRDefault="00454A29">
            <w:pPr>
              <w:pStyle w:val="ConsPlusNormal"/>
            </w:pPr>
          </w:p>
        </w:tc>
        <w:tc>
          <w:tcPr>
            <w:tcW w:w="1814" w:type="dxa"/>
            <w:vAlign w:val="center"/>
          </w:tcPr>
          <w:p w14:paraId="0991941B" w14:textId="77777777" w:rsidR="00454A29" w:rsidRDefault="00454A29">
            <w:pPr>
              <w:pStyle w:val="ConsPlusNormal"/>
            </w:pPr>
          </w:p>
        </w:tc>
        <w:tc>
          <w:tcPr>
            <w:tcW w:w="1701" w:type="dxa"/>
            <w:vAlign w:val="center"/>
          </w:tcPr>
          <w:p w14:paraId="30EB7C64" w14:textId="77777777" w:rsidR="00454A29" w:rsidRDefault="00454A29">
            <w:pPr>
              <w:pStyle w:val="ConsPlusNormal"/>
            </w:pPr>
          </w:p>
        </w:tc>
        <w:tc>
          <w:tcPr>
            <w:tcW w:w="1701" w:type="dxa"/>
            <w:vAlign w:val="center"/>
          </w:tcPr>
          <w:p w14:paraId="550FE517" w14:textId="77777777" w:rsidR="00454A29" w:rsidRDefault="00454A29">
            <w:pPr>
              <w:pStyle w:val="ConsPlusNormal"/>
            </w:pPr>
          </w:p>
        </w:tc>
        <w:tc>
          <w:tcPr>
            <w:tcW w:w="1814" w:type="dxa"/>
            <w:vAlign w:val="center"/>
          </w:tcPr>
          <w:p w14:paraId="5DD4783F" w14:textId="77777777" w:rsidR="00454A29" w:rsidRDefault="00454A29">
            <w:pPr>
              <w:pStyle w:val="ConsPlusNormal"/>
            </w:pPr>
          </w:p>
        </w:tc>
      </w:tr>
      <w:tr w:rsidR="00454A29" w14:paraId="7179B746" w14:textId="77777777">
        <w:tc>
          <w:tcPr>
            <w:tcW w:w="567" w:type="dxa"/>
            <w:vMerge/>
          </w:tcPr>
          <w:p w14:paraId="563F7659" w14:textId="77777777" w:rsidR="00454A29" w:rsidRDefault="00454A29"/>
        </w:tc>
        <w:tc>
          <w:tcPr>
            <w:tcW w:w="3345" w:type="dxa"/>
            <w:vMerge/>
          </w:tcPr>
          <w:p w14:paraId="5BAC1031" w14:textId="77777777" w:rsidR="00454A29" w:rsidRDefault="00454A29"/>
        </w:tc>
        <w:tc>
          <w:tcPr>
            <w:tcW w:w="1701" w:type="dxa"/>
            <w:vAlign w:val="center"/>
          </w:tcPr>
          <w:p w14:paraId="72F61C29" w14:textId="77777777" w:rsidR="00454A29" w:rsidRDefault="00454A29">
            <w:pPr>
              <w:pStyle w:val="ConsPlusNormal"/>
              <w:jc w:val="center"/>
            </w:pPr>
            <w:r>
              <w:t>2026</w:t>
            </w:r>
          </w:p>
        </w:tc>
        <w:tc>
          <w:tcPr>
            <w:tcW w:w="1417" w:type="dxa"/>
            <w:vMerge/>
          </w:tcPr>
          <w:p w14:paraId="66A35477" w14:textId="77777777" w:rsidR="00454A29" w:rsidRDefault="00454A29"/>
        </w:tc>
        <w:tc>
          <w:tcPr>
            <w:tcW w:w="2204" w:type="dxa"/>
            <w:vMerge/>
          </w:tcPr>
          <w:p w14:paraId="22EC57F0" w14:textId="77777777" w:rsidR="00454A29" w:rsidRDefault="00454A29"/>
        </w:tc>
        <w:tc>
          <w:tcPr>
            <w:tcW w:w="1417" w:type="dxa"/>
            <w:vMerge/>
          </w:tcPr>
          <w:p w14:paraId="5FF64B95" w14:textId="77777777" w:rsidR="00454A29" w:rsidRDefault="00454A29"/>
        </w:tc>
        <w:tc>
          <w:tcPr>
            <w:tcW w:w="2324" w:type="dxa"/>
            <w:vMerge/>
          </w:tcPr>
          <w:p w14:paraId="06BE7237" w14:textId="77777777" w:rsidR="00454A29" w:rsidRDefault="00454A29"/>
        </w:tc>
        <w:tc>
          <w:tcPr>
            <w:tcW w:w="1701" w:type="dxa"/>
            <w:vAlign w:val="center"/>
          </w:tcPr>
          <w:p w14:paraId="53306EB6" w14:textId="77777777" w:rsidR="00454A29" w:rsidRDefault="00454A29">
            <w:pPr>
              <w:pStyle w:val="ConsPlusNormal"/>
              <w:jc w:val="center"/>
            </w:pPr>
            <w:r>
              <w:t>367 824,52</w:t>
            </w:r>
          </w:p>
        </w:tc>
        <w:tc>
          <w:tcPr>
            <w:tcW w:w="1814" w:type="dxa"/>
            <w:vAlign w:val="center"/>
          </w:tcPr>
          <w:p w14:paraId="041427F1" w14:textId="77777777" w:rsidR="00454A29" w:rsidRDefault="00454A29">
            <w:pPr>
              <w:pStyle w:val="ConsPlusNormal"/>
              <w:jc w:val="center"/>
            </w:pPr>
            <w:r>
              <w:t>4 531,60</w:t>
            </w:r>
          </w:p>
        </w:tc>
        <w:tc>
          <w:tcPr>
            <w:tcW w:w="1701" w:type="dxa"/>
            <w:vAlign w:val="center"/>
          </w:tcPr>
          <w:p w14:paraId="144D0AA4" w14:textId="77777777" w:rsidR="00454A29" w:rsidRDefault="00454A29">
            <w:pPr>
              <w:pStyle w:val="ConsPlusNormal"/>
              <w:jc w:val="center"/>
            </w:pPr>
            <w:r>
              <w:t>448 628,22</w:t>
            </w:r>
          </w:p>
        </w:tc>
        <w:tc>
          <w:tcPr>
            <w:tcW w:w="1701" w:type="dxa"/>
            <w:vAlign w:val="center"/>
          </w:tcPr>
          <w:p w14:paraId="6A9DF0FE" w14:textId="77777777" w:rsidR="00454A29" w:rsidRDefault="00454A29">
            <w:pPr>
              <w:pStyle w:val="ConsPlusNormal"/>
            </w:pPr>
          </w:p>
        </w:tc>
        <w:tc>
          <w:tcPr>
            <w:tcW w:w="1814" w:type="dxa"/>
            <w:vAlign w:val="center"/>
          </w:tcPr>
          <w:p w14:paraId="4833420D" w14:textId="77777777" w:rsidR="00454A29" w:rsidRDefault="00454A29">
            <w:pPr>
              <w:pStyle w:val="ConsPlusNormal"/>
            </w:pPr>
          </w:p>
        </w:tc>
      </w:tr>
      <w:tr w:rsidR="00454A29" w14:paraId="267BFA40" w14:textId="77777777">
        <w:tc>
          <w:tcPr>
            <w:tcW w:w="567" w:type="dxa"/>
            <w:vMerge w:val="restart"/>
            <w:vAlign w:val="center"/>
          </w:tcPr>
          <w:p w14:paraId="6578EE5D" w14:textId="77777777" w:rsidR="00454A29" w:rsidRDefault="00454A29">
            <w:pPr>
              <w:pStyle w:val="ConsPlusNormal"/>
              <w:jc w:val="center"/>
            </w:pPr>
            <w:r>
              <w:t>157</w:t>
            </w:r>
          </w:p>
        </w:tc>
        <w:tc>
          <w:tcPr>
            <w:tcW w:w="3345" w:type="dxa"/>
            <w:vMerge w:val="restart"/>
            <w:vAlign w:val="center"/>
          </w:tcPr>
          <w:p w14:paraId="6B5D6263" w14:textId="77777777" w:rsidR="00454A29" w:rsidRDefault="00454A29">
            <w:pPr>
              <w:pStyle w:val="ConsPlusNormal"/>
              <w:jc w:val="center"/>
            </w:pPr>
            <w:r>
              <w:t>Реконструкция здания МБОУ "Мохсоголлохская СОШ" в с. Мохсоголлох</w:t>
            </w:r>
          </w:p>
        </w:tc>
        <w:tc>
          <w:tcPr>
            <w:tcW w:w="1701" w:type="dxa"/>
            <w:vAlign w:val="center"/>
          </w:tcPr>
          <w:p w14:paraId="789472C9" w14:textId="77777777" w:rsidR="00454A29" w:rsidRDefault="00454A29">
            <w:pPr>
              <w:pStyle w:val="ConsPlusNormal"/>
              <w:jc w:val="center"/>
            </w:pPr>
            <w:r>
              <w:t>2020 - 2026 годы - всего</w:t>
            </w:r>
          </w:p>
        </w:tc>
        <w:tc>
          <w:tcPr>
            <w:tcW w:w="1417" w:type="dxa"/>
            <w:vMerge w:val="restart"/>
            <w:vAlign w:val="center"/>
          </w:tcPr>
          <w:p w14:paraId="72048EEA" w14:textId="77777777" w:rsidR="00454A29" w:rsidRDefault="00454A29">
            <w:pPr>
              <w:pStyle w:val="ConsPlusNormal"/>
              <w:jc w:val="center"/>
            </w:pPr>
            <w:r>
              <w:t>485 034,19</w:t>
            </w:r>
          </w:p>
        </w:tc>
        <w:tc>
          <w:tcPr>
            <w:tcW w:w="2204" w:type="dxa"/>
            <w:vMerge w:val="restart"/>
            <w:vAlign w:val="center"/>
          </w:tcPr>
          <w:p w14:paraId="33EB97A0" w14:textId="77777777" w:rsidR="00454A29" w:rsidRDefault="00454A29">
            <w:pPr>
              <w:pStyle w:val="ConsPlusNormal"/>
            </w:pPr>
          </w:p>
        </w:tc>
        <w:tc>
          <w:tcPr>
            <w:tcW w:w="1417" w:type="dxa"/>
            <w:vMerge w:val="restart"/>
            <w:vAlign w:val="center"/>
          </w:tcPr>
          <w:p w14:paraId="7024AF43" w14:textId="77777777" w:rsidR="00454A29" w:rsidRDefault="00454A29">
            <w:pPr>
              <w:pStyle w:val="ConsPlusNormal"/>
              <w:jc w:val="center"/>
            </w:pPr>
            <w:r>
              <w:t>150</w:t>
            </w:r>
          </w:p>
        </w:tc>
        <w:tc>
          <w:tcPr>
            <w:tcW w:w="2324" w:type="dxa"/>
            <w:vMerge w:val="restart"/>
            <w:vAlign w:val="center"/>
          </w:tcPr>
          <w:p w14:paraId="4A648AE2" w14:textId="77777777" w:rsidR="00454A29" w:rsidRDefault="00454A29">
            <w:pPr>
              <w:pStyle w:val="ConsPlusNormal"/>
              <w:jc w:val="center"/>
            </w:pPr>
            <w:r>
              <w:t xml:space="preserve">Минстрой РС(Я), ГКУ "Служба государственного </w:t>
            </w:r>
            <w:r>
              <w:lastRenderedPageBreak/>
              <w:t>заказчика Республики Саха (Якутия)"</w:t>
            </w:r>
          </w:p>
        </w:tc>
        <w:tc>
          <w:tcPr>
            <w:tcW w:w="1701" w:type="dxa"/>
            <w:vAlign w:val="center"/>
          </w:tcPr>
          <w:p w14:paraId="0E30EF86" w14:textId="77777777" w:rsidR="00454A29" w:rsidRDefault="00454A29">
            <w:pPr>
              <w:pStyle w:val="ConsPlusNormal"/>
              <w:jc w:val="center"/>
            </w:pPr>
            <w:r>
              <w:lastRenderedPageBreak/>
              <w:t>485 034,19</w:t>
            </w:r>
          </w:p>
        </w:tc>
        <w:tc>
          <w:tcPr>
            <w:tcW w:w="1814" w:type="dxa"/>
            <w:vAlign w:val="center"/>
          </w:tcPr>
          <w:p w14:paraId="06619EFB" w14:textId="77777777" w:rsidR="00454A29" w:rsidRDefault="00454A29">
            <w:pPr>
              <w:pStyle w:val="ConsPlusNormal"/>
              <w:jc w:val="center"/>
            </w:pPr>
            <w:r>
              <w:t>5 975,62</w:t>
            </w:r>
          </w:p>
        </w:tc>
        <w:tc>
          <w:tcPr>
            <w:tcW w:w="1701" w:type="dxa"/>
            <w:vAlign w:val="center"/>
          </w:tcPr>
          <w:p w14:paraId="6A1CB89B" w14:textId="77777777" w:rsidR="00454A29" w:rsidRDefault="00454A29">
            <w:pPr>
              <w:pStyle w:val="ConsPlusNormal"/>
              <w:jc w:val="center"/>
            </w:pPr>
            <w:r>
              <w:t>591 586,50</w:t>
            </w:r>
          </w:p>
        </w:tc>
        <w:tc>
          <w:tcPr>
            <w:tcW w:w="1701" w:type="dxa"/>
            <w:vAlign w:val="center"/>
          </w:tcPr>
          <w:p w14:paraId="6AE2FFB4" w14:textId="77777777" w:rsidR="00454A29" w:rsidRDefault="00454A29">
            <w:pPr>
              <w:pStyle w:val="ConsPlusNormal"/>
              <w:jc w:val="center"/>
            </w:pPr>
            <w:r>
              <w:t>-</w:t>
            </w:r>
          </w:p>
        </w:tc>
        <w:tc>
          <w:tcPr>
            <w:tcW w:w="1814" w:type="dxa"/>
            <w:vAlign w:val="center"/>
          </w:tcPr>
          <w:p w14:paraId="21787DBA" w14:textId="77777777" w:rsidR="00454A29" w:rsidRDefault="00454A29">
            <w:pPr>
              <w:pStyle w:val="ConsPlusNormal"/>
              <w:jc w:val="center"/>
            </w:pPr>
            <w:r>
              <w:t>-</w:t>
            </w:r>
          </w:p>
        </w:tc>
      </w:tr>
      <w:tr w:rsidR="00454A29" w14:paraId="0646E860" w14:textId="77777777">
        <w:tc>
          <w:tcPr>
            <w:tcW w:w="567" w:type="dxa"/>
            <w:vMerge/>
          </w:tcPr>
          <w:p w14:paraId="7D3C2D22" w14:textId="77777777" w:rsidR="00454A29" w:rsidRDefault="00454A29"/>
        </w:tc>
        <w:tc>
          <w:tcPr>
            <w:tcW w:w="3345" w:type="dxa"/>
            <w:vMerge/>
          </w:tcPr>
          <w:p w14:paraId="089C60EC" w14:textId="77777777" w:rsidR="00454A29" w:rsidRDefault="00454A29"/>
        </w:tc>
        <w:tc>
          <w:tcPr>
            <w:tcW w:w="1701" w:type="dxa"/>
            <w:vAlign w:val="center"/>
          </w:tcPr>
          <w:p w14:paraId="723F030A" w14:textId="77777777" w:rsidR="00454A29" w:rsidRDefault="00454A29">
            <w:pPr>
              <w:pStyle w:val="ConsPlusNormal"/>
              <w:jc w:val="center"/>
            </w:pPr>
            <w:r>
              <w:t>2020</w:t>
            </w:r>
          </w:p>
        </w:tc>
        <w:tc>
          <w:tcPr>
            <w:tcW w:w="1417" w:type="dxa"/>
            <w:vMerge/>
          </w:tcPr>
          <w:p w14:paraId="76649782" w14:textId="77777777" w:rsidR="00454A29" w:rsidRDefault="00454A29"/>
        </w:tc>
        <w:tc>
          <w:tcPr>
            <w:tcW w:w="2204" w:type="dxa"/>
            <w:vMerge/>
          </w:tcPr>
          <w:p w14:paraId="0C154041" w14:textId="77777777" w:rsidR="00454A29" w:rsidRDefault="00454A29"/>
        </w:tc>
        <w:tc>
          <w:tcPr>
            <w:tcW w:w="1417" w:type="dxa"/>
            <w:vMerge/>
          </w:tcPr>
          <w:p w14:paraId="264EB1FD" w14:textId="77777777" w:rsidR="00454A29" w:rsidRDefault="00454A29"/>
        </w:tc>
        <w:tc>
          <w:tcPr>
            <w:tcW w:w="2324" w:type="dxa"/>
            <w:vMerge/>
          </w:tcPr>
          <w:p w14:paraId="340F0F7A" w14:textId="77777777" w:rsidR="00454A29" w:rsidRDefault="00454A29"/>
        </w:tc>
        <w:tc>
          <w:tcPr>
            <w:tcW w:w="1701" w:type="dxa"/>
            <w:vAlign w:val="center"/>
          </w:tcPr>
          <w:p w14:paraId="40D1899F" w14:textId="77777777" w:rsidR="00454A29" w:rsidRDefault="00454A29">
            <w:pPr>
              <w:pStyle w:val="ConsPlusNormal"/>
            </w:pPr>
          </w:p>
        </w:tc>
        <w:tc>
          <w:tcPr>
            <w:tcW w:w="1814" w:type="dxa"/>
            <w:vAlign w:val="center"/>
          </w:tcPr>
          <w:p w14:paraId="41996B7C" w14:textId="77777777" w:rsidR="00454A29" w:rsidRDefault="00454A29">
            <w:pPr>
              <w:pStyle w:val="ConsPlusNormal"/>
            </w:pPr>
          </w:p>
        </w:tc>
        <w:tc>
          <w:tcPr>
            <w:tcW w:w="1701" w:type="dxa"/>
            <w:vAlign w:val="center"/>
          </w:tcPr>
          <w:p w14:paraId="35BD3BE7" w14:textId="77777777" w:rsidR="00454A29" w:rsidRDefault="00454A29">
            <w:pPr>
              <w:pStyle w:val="ConsPlusNormal"/>
            </w:pPr>
          </w:p>
        </w:tc>
        <w:tc>
          <w:tcPr>
            <w:tcW w:w="1701" w:type="dxa"/>
            <w:vAlign w:val="center"/>
          </w:tcPr>
          <w:p w14:paraId="37AFEE2D" w14:textId="77777777" w:rsidR="00454A29" w:rsidRDefault="00454A29">
            <w:pPr>
              <w:pStyle w:val="ConsPlusNormal"/>
            </w:pPr>
          </w:p>
        </w:tc>
        <w:tc>
          <w:tcPr>
            <w:tcW w:w="1814" w:type="dxa"/>
            <w:vAlign w:val="center"/>
          </w:tcPr>
          <w:p w14:paraId="73510558" w14:textId="77777777" w:rsidR="00454A29" w:rsidRDefault="00454A29">
            <w:pPr>
              <w:pStyle w:val="ConsPlusNormal"/>
            </w:pPr>
          </w:p>
        </w:tc>
      </w:tr>
      <w:tr w:rsidR="00454A29" w14:paraId="45171B4F" w14:textId="77777777">
        <w:tc>
          <w:tcPr>
            <w:tcW w:w="567" w:type="dxa"/>
            <w:vMerge/>
          </w:tcPr>
          <w:p w14:paraId="694D5176" w14:textId="77777777" w:rsidR="00454A29" w:rsidRDefault="00454A29"/>
        </w:tc>
        <w:tc>
          <w:tcPr>
            <w:tcW w:w="3345" w:type="dxa"/>
            <w:vMerge/>
          </w:tcPr>
          <w:p w14:paraId="563B0A9C" w14:textId="77777777" w:rsidR="00454A29" w:rsidRDefault="00454A29"/>
        </w:tc>
        <w:tc>
          <w:tcPr>
            <w:tcW w:w="1701" w:type="dxa"/>
            <w:vAlign w:val="center"/>
          </w:tcPr>
          <w:p w14:paraId="3212EE58" w14:textId="77777777" w:rsidR="00454A29" w:rsidRDefault="00454A29">
            <w:pPr>
              <w:pStyle w:val="ConsPlusNormal"/>
              <w:jc w:val="center"/>
            </w:pPr>
            <w:r>
              <w:t>2021</w:t>
            </w:r>
          </w:p>
        </w:tc>
        <w:tc>
          <w:tcPr>
            <w:tcW w:w="1417" w:type="dxa"/>
            <w:vMerge/>
          </w:tcPr>
          <w:p w14:paraId="1B4E807C" w14:textId="77777777" w:rsidR="00454A29" w:rsidRDefault="00454A29"/>
        </w:tc>
        <w:tc>
          <w:tcPr>
            <w:tcW w:w="2204" w:type="dxa"/>
            <w:vMerge/>
          </w:tcPr>
          <w:p w14:paraId="2DA3D8B5" w14:textId="77777777" w:rsidR="00454A29" w:rsidRDefault="00454A29"/>
        </w:tc>
        <w:tc>
          <w:tcPr>
            <w:tcW w:w="1417" w:type="dxa"/>
            <w:vMerge/>
          </w:tcPr>
          <w:p w14:paraId="01BD726C" w14:textId="77777777" w:rsidR="00454A29" w:rsidRDefault="00454A29"/>
        </w:tc>
        <w:tc>
          <w:tcPr>
            <w:tcW w:w="2324" w:type="dxa"/>
            <w:vMerge/>
          </w:tcPr>
          <w:p w14:paraId="5BDB4477" w14:textId="77777777" w:rsidR="00454A29" w:rsidRDefault="00454A29"/>
        </w:tc>
        <w:tc>
          <w:tcPr>
            <w:tcW w:w="1701" w:type="dxa"/>
            <w:vAlign w:val="center"/>
          </w:tcPr>
          <w:p w14:paraId="05DE8205" w14:textId="77777777" w:rsidR="00454A29" w:rsidRDefault="00454A29">
            <w:pPr>
              <w:pStyle w:val="ConsPlusNormal"/>
              <w:jc w:val="center"/>
            </w:pPr>
            <w:r>
              <w:t>-</w:t>
            </w:r>
          </w:p>
        </w:tc>
        <w:tc>
          <w:tcPr>
            <w:tcW w:w="1814" w:type="dxa"/>
            <w:vAlign w:val="center"/>
          </w:tcPr>
          <w:p w14:paraId="442EBCCD" w14:textId="77777777" w:rsidR="00454A29" w:rsidRDefault="00454A29">
            <w:pPr>
              <w:pStyle w:val="ConsPlusNormal"/>
            </w:pPr>
          </w:p>
        </w:tc>
        <w:tc>
          <w:tcPr>
            <w:tcW w:w="1701" w:type="dxa"/>
            <w:vAlign w:val="center"/>
          </w:tcPr>
          <w:p w14:paraId="500DED26" w14:textId="77777777" w:rsidR="00454A29" w:rsidRDefault="00454A29">
            <w:pPr>
              <w:pStyle w:val="ConsPlusNormal"/>
            </w:pPr>
          </w:p>
        </w:tc>
        <w:tc>
          <w:tcPr>
            <w:tcW w:w="1701" w:type="dxa"/>
            <w:vAlign w:val="center"/>
          </w:tcPr>
          <w:p w14:paraId="414F9B21" w14:textId="77777777" w:rsidR="00454A29" w:rsidRDefault="00454A29">
            <w:pPr>
              <w:pStyle w:val="ConsPlusNormal"/>
            </w:pPr>
          </w:p>
        </w:tc>
        <w:tc>
          <w:tcPr>
            <w:tcW w:w="1814" w:type="dxa"/>
            <w:vAlign w:val="center"/>
          </w:tcPr>
          <w:p w14:paraId="25FF100A" w14:textId="77777777" w:rsidR="00454A29" w:rsidRDefault="00454A29">
            <w:pPr>
              <w:pStyle w:val="ConsPlusNormal"/>
            </w:pPr>
          </w:p>
        </w:tc>
      </w:tr>
      <w:tr w:rsidR="00454A29" w14:paraId="4C7EF0E3" w14:textId="77777777">
        <w:tc>
          <w:tcPr>
            <w:tcW w:w="567" w:type="dxa"/>
            <w:vMerge/>
          </w:tcPr>
          <w:p w14:paraId="227F9113" w14:textId="77777777" w:rsidR="00454A29" w:rsidRDefault="00454A29"/>
        </w:tc>
        <w:tc>
          <w:tcPr>
            <w:tcW w:w="3345" w:type="dxa"/>
            <w:vMerge/>
          </w:tcPr>
          <w:p w14:paraId="12ED448C" w14:textId="77777777" w:rsidR="00454A29" w:rsidRDefault="00454A29"/>
        </w:tc>
        <w:tc>
          <w:tcPr>
            <w:tcW w:w="1701" w:type="dxa"/>
            <w:vAlign w:val="center"/>
          </w:tcPr>
          <w:p w14:paraId="336B5CA4" w14:textId="77777777" w:rsidR="00454A29" w:rsidRDefault="00454A29">
            <w:pPr>
              <w:pStyle w:val="ConsPlusNormal"/>
              <w:jc w:val="center"/>
            </w:pPr>
            <w:r>
              <w:t>2022</w:t>
            </w:r>
          </w:p>
        </w:tc>
        <w:tc>
          <w:tcPr>
            <w:tcW w:w="1417" w:type="dxa"/>
            <w:vMerge/>
          </w:tcPr>
          <w:p w14:paraId="38CDD8BE" w14:textId="77777777" w:rsidR="00454A29" w:rsidRDefault="00454A29"/>
        </w:tc>
        <w:tc>
          <w:tcPr>
            <w:tcW w:w="2204" w:type="dxa"/>
            <w:vMerge/>
          </w:tcPr>
          <w:p w14:paraId="4C00D0B5" w14:textId="77777777" w:rsidR="00454A29" w:rsidRDefault="00454A29"/>
        </w:tc>
        <w:tc>
          <w:tcPr>
            <w:tcW w:w="1417" w:type="dxa"/>
            <w:vMerge/>
          </w:tcPr>
          <w:p w14:paraId="565387DE" w14:textId="77777777" w:rsidR="00454A29" w:rsidRDefault="00454A29"/>
        </w:tc>
        <w:tc>
          <w:tcPr>
            <w:tcW w:w="2324" w:type="dxa"/>
            <w:vMerge/>
          </w:tcPr>
          <w:p w14:paraId="5D9040DD" w14:textId="77777777" w:rsidR="00454A29" w:rsidRDefault="00454A29"/>
        </w:tc>
        <w:tc>
          <w:tcPr>
            <w:tcW w:w="1701" w:type="dxa"/>
            <w:vAlign w:val="center"/>
          </w:tcPr>
          <w:p w14:paraId="021549BD" w14:textId="77777777" w:rsidR="00454A29" w:rsidRDefault="00454A29">
            <w:pPr>
              <w:pStyle w:val="ConsPlusNormal"/>
            </w:pPr>
          </w:p>
        </w:tc>
        <w:tc>
          <w:tcPr>
            <w:tcW w:w="1814" w:type="dxa"/>
            <w:vAlign w:val="center"/>
          </w:tcPr>
          <w:p w14:paraId="05BA76E9" w14:textId="77777777" w:rsidR="00454A29" w:rsidRDefault="00454A29">
            <w:pPr>
              <w:pStyle w:val="ConsPlusNormal"/>
            </w:pPr>
          </w:p>
        </w:tc>
        <w:tc>
          <w:tcPr>
            <w:tcW w:w="1701" w:type="dxa"/>
            <w:vAlign w:val="center"/>
          </w:tcPr>
          <w:p w14:paraId="5D70724E" w14:textId="77777777" w:rsidR="00454A29" w:rsidRDefault="00454A29">
            <w:pPr>
              <w:pStyle w:val="ConsPlusNormal"/>
            </w:pPr>
          </w:p>
        </w:tc>
        <w:tc>
          <w:tcPr>
            <w:tcW w:w="1701" w:type="dxa"/>
            <w:vAlign w:val="center"/>
          </w:tcPr>
          <w:p w14:paraId="3DDE0ADF" w14:textId="77777777" w:rsidR="00454A29" w:rsidRDefault="00454A29">
            <w:pPr>
              <w:pStyle w:val="ConsPlusNormal"/>
            </w:pPr>
          </w:p>
        </w:tc>
        <w:tc>
          <w:tcPr>
            <w:tcW w:w="1814" w:type="dxa"/>
            <w:vAlign w:val="center"/>
          </w:tcPr>
          <w:p w14:paraId="0A53D0D3" w14:textId="77777777" w:rsidR="00454A29" w:rsidRDefault="00454A29">
            <w:pPr>
              <w:pStyle w:val="ConsPlusNormal"/>
            </w:pPr>
          </w:p>
        </w:tc>
      </w:tr>
      <w:tr w:rsidR="00454A29" w14:paraId="61065623" w14:textId="77777777">
        <w:tc>
          <w:tcPr>
            <w:tcW w:w="567" w:type="dxa"/>
            <w:vMerge/>
          </w:tcPr>
          <w:p w14:paraId="3CEC242F" w14:textId="77777777" w:rsidR="00454A29" w:rsidRDefault="00454A29"/>
        </w:tc>
        <w:tc>
          <w:tcPr>
            <w:tcW w:w="3345" w:type="dxa"/>
            <w:vMerge/>
          </w:tcPr>
          <w:p w14:paraId="4A34F23F" w14:textId="77777777" w:rsidR="00454A29" w:rsidRDefault="00454A29"/>
        </w:tc>
        <w:tc>
          <w:tcPr>
            <w:tcW w:w="1701" w:type="dxa"/>
            <w:vAlign w:val="center"/>
          </w:tcPr>
          <w:p w14:paraId="6C3E2630" w14:textId="77777777" w:rsidR="00454A29" w:rsidRDefault="00454A29">
            <w:pPr>
              <w:pStyle w:val="ConsPlusNormal"/>
              <w:jc w:val="center"/>
            </w:pPr>
            <w:r>
              <w:t>2023</w:t>
            </w:r>
          </w:p>
        </w:tc>
        <w:tc>
          <w:tcPr>
            <w:tcW w:w="1417" w:type="dxa"/>
            <w:vMerge/>
          </w:tcPr>
          <w:p w14:paraId="274BEE55" w14:textId="77777777" w:rsidR="00454A29" w:rsidRDefault="00454A29"/>
        </w:tc>
        <w:tc>
          <w:tcPr>
            <w:tcW w:w="2204" w:type="dxa"/>
            <w:vMerge/>
          </w:tcPr>
          <w:p w14:paraId="27030620" w14:textId="77777777" w:rsidR="00454A29" w:rsidRDefault="00454A29"/>
        </w:tc>
        <w:tc>
          <w:tcPr>
            <w:tcW w:w="1417" w:type="dxa"/>
            <w:vMerge/>
          </w:tcPr>
          <w:p w14:paraId="3A0ECBE6" w14:textId="77777777" w:rsidR="00454A29" w:rsidRDefault="00454A29"/>
        </w:tc>
        <w:tc>
          <w:tcPr>
            <w:tcW w:w="2324" w:type="dxa"/>
            <w:vMerge/>
          </w:tcPr>
          <w:p w14:paraId="64B0FAF6" w14:textId="77777777" w:rsidR="00454A29" w:rsidRDefault="00454A29"/>
        </w:tc>
        <w:tc>
          <w:tcPr>
            <w:tcW w:w="1701" w:type="dxa"/>
            <w:vAlign w:val="center"/>
          </w:tcPr>
          <w:p w14:paraId="7498A959" w14:textId="77777777" w:rsidR="00454A29" w:rsidRDefault="00454A29">
            <w:pPr>
              <w:pStyle w:val="ConsPlusNormal"/>
            </w:pPr>
          </w:p>
        </w:tc>
        <w:tc>
          <w:tcPr>
            <w:tcW w:w="1814" w:type="dxa"/>
            <w:vAlign w:val="center"/>
          </w:tcPr>
          <w:p w14:paraId="1FA5B072" w14:textId="77777777" w:rsidR="00454A29" w:rsidRDefault="00454A29">
            <w:pPr>
              <w:pStyle w:val="ConsPlusNormal"/>
            </w:pPr>
          </w:p>
        </w:tc>
        <w:tc>
          <w:tcPr>
            <w:tcW w:w="1701" w:type="dxa"/>
            <w:vAlign w:val="center"/>
          </w:tcPr>
          <w:p w14:paraId="326EDBA8" w14:textId="77777777" w:rsidR="00454A29" w:rsidRDefault="00454A29">
            <w:pPr>
              <w:pStyle w:val="ConsPlusNormal"/>
            </w:pPr>
          </w:p>
        </w:tc>
        <w:tc>
          <w:tcPr>
            <w:tcW w:w="1701" w:type="dxa"/>
            <w:vAlign w:val="center"/>
          </w:tcPr>
          <w:p w14:paraId="61ED987E" w14:textId="77777777" w:rsidR="00454A29" w:rsidRDefault="00454A29">
            <w:pPr>
              <w:pStyle w:val="ConsPlusNormal"/>
            </w:pPr>
          </w:p>
        </w:tc>
        <w:tc>
          <w:tcPr>
            <w:tcW w:w="1814" w:type="dxa"/>
            <w:vAlign w:val="center"/>
          </w:tcPr>
          <w:p w14:paraId="72FFF928" w14:textId="77777777" w:rsidR="00454A29" w:rsidRDefault="00454A29">
            <w:pPr>
              <w:pStyle w:val="ConsPlusNormal"/>
            </w:pPr>
          </w:p>
        </w:tc>
      </w:tr>
      <w:tr w:rsidR="00454A29" w14:paraId="368A11A7" w14:textId="77777777">
        <w:tc>
          <w:tcPr>
            <w:tcW w:w="567" w:type="dxa"/>
            <w:vMerge/>
          </w:tcPr>
          <w:p w14:paraId="4B23580D" w14:textId="77777777" w:rsidR="00454A29" w:rsidRDefault="00454A29"/>
        </w:tc>
        <w:tc>
          <w:tcPr>
            <w:tcW w:w="3345" w:type="dxa"/>
            <w:vMerge/>
          </w:tcPr>
          <w:p w14:paraId="25F5D4AC" w14:textId="77777777" w:rsidR="00454A29" w:rsidRDefault="00454A29"/>
        </w:tc>
        <w:tc>
          <w:tcPr>
            <w:tcW w:w="1701" w:type="dxa"/>
            <w:vAlign w:val="center"/>
          </w:tcPr>
          <w:p w14:paraId="62EC9E2D" w14:textId="77777777" w:rsidR="00454A29" w:rsidRDefault="00454A29">
            <w:pPr>
              <w:pStyle w:val="ConsPlusNormal"/>
              <w:jc w:val="center"/>
            </w:pPr>
            <w:r>
              <w:t>2024</w:t>
            </w:r>
          </w:p>
        </w:tc>
        <w:tc>
          <w:tcPr>
            <w:tcW w:w="1417" w:type="dxa"/>
            <w:vMerge/>
          </w:tcPr>
          <w:p w14:paraId="2A7D206E" w14:textId="77777777" w:rsidR="00454A29" w:rsidRDefault="00454A29"/>
        </w:tc>
        <w:tc>
          <w:tcPr>
            <w:tcW w:w="2204" w:type="dxa"/>
            <w:vMerge/>
          </w:tcPr>
          <w:p w14:paraId="1D51EE03" w14:textId="77777777" w:rsidR="00454A29" w:rsidRDefault="00454A29"/>
        </w:tc>
        <w:tc>
          <w:tcPr>
            <w:tcW w:w="1417" w:type="dxa"/>
            <w:vMerge/>
          </w:tcPr>
          <w:p w14:paraId="6B249898" w14:textId="77777777" w:rsidR="00454A29" w:rsidRDefault="00454A29"/>
        </w:tc>
        <w:tc>
          <w:tcPr>
            <w:tcW w:w="2324" w:type="dxa"/>
            <w:vMerge/>
          </w:tcPr>
          <w:p w14:paraId="75FEDF33" w14:textId="77777777" w:rsidR="00454A29" w:rsidRDefault="00454A29"/>
        </w:tc>
        <w:tc>
          <w:tcPr>
            <w:tcW w:w="1701" w:type="dxa"/>
            <w:vAlign w:val="center"/>
          </w:tcPr>
          <w:p w14:paraId="4DC59B97" w14:textId="77777777" w:rsidR="00454A29" w:rsidRDefault="00454A29">
            <w:pPr>
              <w:pStyle w:val="ConsPlusNormal"/>
            </w:pPr>
          </w:p>
        </w:tc>
        <w:tc>
          <w:tcPr>
            <w:tcW w:w="1814" w:type="dxa"/>
            <w:vAlign w:val="center"/>
          </w:tcPr>
          <w:p w14:paraId="30EED7A2" w14:textId="77777777" w:rsidR="00454A29" w:rsidRDefault="00454A29">
            <w:pPr>
              <w:pStyle w:val="ConsPlusNormal"/>
            </w:pPr>
          </w:p>
        </w:tc>
        <w:tc>
          <w:tcPr>
            <w:tcW w:w="1701" w:type="dxa"/>
            <w:vAlign w:val="center"/>
          </w:tcPr>
          <w:p w14:paraId="55D32B48" w14:textId="77777777" w:rsidR="00454A29" w:rsidRDefault="00454A29">
            <w:pPr>
              <w:pStyle w:val="ConsPlusNormal"/>
            </w:pPr>
          </w:p>
        </w:tc>
        <w:tc>
          <w:tcPr>
            <w:tcW w:w="1701" w:type="dxa"/>
            <w:vAlign w:val="center"/>
          </w:tcPr>
          <w:p w14:paraId="2130434C" w14:textId="77777777" w:rsidR="00454A29" w:rsidRDefault="00454A29">
            <w:pPr>
              <w:pStyle w:val="ConsPlusNormal"/>
            </w:pPr>
          </w:p>
        </w:tc>
        <w:tc>
          <w:tcPr>
            <w:tcW w:w="1814" w:type="dxa"/>
            <w:vAlign w:val="center"/>
          </w:tcPr>
          <w:p w14:paraId="539281CA" w14:textId="77777777" w:rsidR="00454A29" w:rsidRDefault="00454A29">
            <w:pPr>
              <w:pStyle w:val="ConsPlusNormal"/>
            </w:pPr>
          </w:p>
        </w:tc>
      </w:tr>
      <w:tr w:rsidR="00454A29" w14:paraId="0F04B375" w14:textId="77777777">
        <w:tc>
          <w:tcPr>
            <w:tcW w:w="567" w:type="dxa"/>
            <w:vMerge/>
          </w:tcPr>
          <w:p w14:paraId="69D40364" w14:textId="77777777" w:rsidR="00454A29" w:rsidRDefault="00454A29"/>
        </w:tc>
        <w:tc>
          <w:tcPr>
            <w:tcW w:w="3345" w:type="dxa"/>
            <w:vMerge/>
          </w:tcPr>
          <w:p w14:paraId="0592F75C" w14:textId="77777777" w:rsidR="00454A29" w:rsidRDefault="00454A29"/>
        </w:tc>
        <w:tc>
          <w:tcPr>
            <w:tcW w:w="1701" w:type="dxa"/>
            <w:vAlign w:val="center"/>
          </w:tcPr>
          <w:p w14:paraId="72284AB4" w14:textId="77777777" w:rsidR="00454A29" w:rsidRDefault="00454A29">
            <w:pPr>
              <w:pStyle w:val="ConsPlusNormal"/>
              <w:jc w:val="center"/>
            </w:pPr>
            <w:r>
              <w:t>2025</w:t>
            </w:r>
          </w:p>
        </w:tc>
        <w:tc>
          <w:tcPr>
            <w:tcW w:w="1417" w:type="dxa"/>
            <w:vMerge/>
          </w:tcPr>
          <w:p w14:paraId="0EC6C3C5" w14:textId="77777777" w:rsidR="00454A29" w:rsidRDefault="00454A29"/>
        </w:tc>
        <w:tc>
          <w:tcPr>
            <w:tcW w:w="2204" w:type="dxa"/>
            <w:vMerge/>
          </w:tcPr>
          <w:p w14:paraId="7A511117" w14:textId="77777777" w:rsidR="00454A29" w:rsidRDefault="00454A29"/>
        </w:tc>
        <w:tc>
          <w:tcPr>
            <w:tcW w:w="1417" w:type="dxa"/>
            <w:vMerge/>
          </w:tcPr>
          <w:p w14:paraId="130985DC" w14:textId="77777777" w:rsidR="00454A29" w:rsidRDefault="00454A29"/>
        </w:tc>
        <w:tc>
          <w:tcPr>
            <w:tcW w:w="2324" w:type="dxa"/>
            <w:vMerge/>
          </w:tcPr>
          <w:p w14:paraId="6F610EFA" w14:textId="77777777" w:rsidR="00454A29" w:rsidRDefault="00454A29"/>
        </w:tc>
        <w:tc>
          <w:tcPr>
            <w:tcW w:w="1701" w:type="dxa"/>
            <w:vAlign w:val="center"/>
          </w:tcPr>
          <w:p w14:paraId="798886A7" w14:textId="77777777" w:rsidR="00454A29" w:rsidRDefault="00454A29">
            <w:pPr>
              <w:pStyle w:val="ConsPlusNormal"/>
            </w:pPr>
          </w:p>
        </w:tc>
        <w:tc>
          <w:tcPr>
            <w:tcW w:w="1814" w:type="dxa"/>
            <w:vAlign w:val="center"/>
          </w:tcPr>
          <w:p w14:paraId="05A29BFF" w14:textId="77777777" w:rsidR="00454A29" w:rsidRDefault="00454A29">
            <w:pPr>
              <w:pStyle w:val="ConsPlusNormal"/>
            </w:pPr>
          </w:p>
        </w:tc>
        <w:tc>
          <w:tcPr>
            <w:tcW w:w="1701" w:type="dxa"/>
            <w:vAlign w:val="center"/>
          </w:tcPr>
          <w:p w14:paraId="4A474BB2" w14:textId="77777777" w:rsidR="00454A29" w:rsidRDefault="00454A29">
            <w:pPr>
              <w:pStyle w:val="ConsPlusNormal"/>
            </w:pPr>
          </w:p>
        </w:tc>
        <w:tc>
          <w:tcPr>
            <w:tcW w:w="1701" w:type="dxa"/>
            <w:vAlign w:val="center"/>
          </w:tcPr>
          <w:p w14:paraId="2C2FBF23" w14:textId="77777777" w:rsidR="00454A29" w:rsidRDefault="00454A29">
            <w:pPr>
              <w:pStyle w:val="ConsPlusNormal"/>
            </w:pPr>
          </w:p>
        </w:tc>
        <w:tc>
          <w:tcPr>
            <w:tcW w:w="1814" w:type="dxa"/>
            <w:vAlign w:val="center"/>
          </w:tcPr>
          <w:p w14:paraId="3EC46287" w14:textId="77777777" w:rsidR="00454A29" w:rsidRDefault="00454A29">
            <w:pPr>
              <w:pStyle w:val="ConsPlusNormal"/>
            </w:pPr>
          </w:p>
        </w:tc>
      </w:tr>
      <w:tr w:rsidR="00454A29" w14:paraId="4340BEEF" w14:textId="77777777">
        <w:tc>
          <w:tcPr>
            <w:tcW w:w="567" w:type="dxa"/>
            <w:vMerge/>
          </w:tcPr>
          <w:p w14:paraId="42653DE2" w14:textId="77777777" w:rsidR="00454A29" w:rsidRDefault="00454A29"/>
        </w:tc>
        <w:tc>
          <w:tcPr>
            <w:tcW w:w="3345" w:type="dxa"/>
            <w:vMerge/>
          </w:tcPr>
          <w:p w14:paraId="4103F1A6" w14:textId="77777777" w:rsidR="00454A29" w:rsidRDefault="00454A29"/>
        </w:tc>
        <w:tc>
          <w:tcPr>
            <w:tcW w:w="1701" w:type="dxa"/>
            <w:vAlign w:val="center"/>
          </w:tcPr>
          <w:p w14:paraId="4F5A5262" w14:textId="77777777" w:rsidR="00454A29" w:rsidRDefault="00454A29">
            <w:pPr>
              <w:pStyle w:val="ConsPlusNormal"/>
              <w:jc w:val="center"/>
            </w:pPr>
            <w:r>
              <w:t>2026</w:t>
            </w:r>
          </w:p>
        </w:tc>
        <w:tc>
          <w:tcPr>
            <w:tcW w:w="1417" w:type="dxa"/>
            <w:vMerge/>
          </w:tcPr>
          <w:p w14:paraId="571754B7" w14:textId="77777777" w:rsidR="00454A29" w:rsidRDefault="00454A29"/>
        </w:tc>
        <w:tc>
          <w:tcPr>
            <w:tcW w:w="2204" w:type="dxa"/>
            <w:vMerge/>
          </w:tcPr>
          <w:p w14:paraId="3519C586" w14:textId="77777777" w:rsidR="00454A29" w:rsidRDefault="00454A29"/>
        </w:tc>
        <w:tc>
          <w:tcPr>
            <w:tcW w:w="1417" w:type="dxa"/>
            <w:vMerge/>
          </w:tcPr>
          <w:p w14:paraId="38BB85BD" w14:textId="77777777" w:rsidR="00454A29" w:rsidRDefault="00454A29"/>
        </w:tc>
        <w:tc>
          <w:tcPr>
            <w:tcW w:w="2324" w:type="dxa"/>
            <w:vMerge/>
          </w:tcPr>
          <w:p w14:paraId="0D067842" w14:textId="77777777" w:rsidR="00454A29" w:rsidRDefault="00454A29"/>
        </w:tc>
        <w:tc>
          <w:tcPr>
            <w:tcW w:w="1701" w:type="dxa"/>
            <w:vAlign w:val="center"/>
          </w:tcPr>
          <w:p w14:paraId="4C403239" w14:textId="77777777" w:rsidR="00454A29" w:rsidRDefault="00454A29">
            <w:pPr>
              <w:pStyle w:val="ConsPlusNormal"/>
              <w:jc w:val="center"/>
            </w:pPr>
            <w:r>
              <w:t>485 034,19</w:t>
            </w:r>
          </w:p>
        </w:tc>
        <w:tc>
          <w:tcPr>
            <w:tcW w:w="1814" w:type="dxa"/>
            <w:vAlign w:val="center"/>
          </w:tcPr>
          <w:p w14:paraId="55D3A207" w14:textId="77777777" w:rsidR="00454A29" w:rsidRDefault="00454A29">
            <w:pPr>
              <w:pStyle w:val="ConsPlusNormal"/>
              <w:jc w:val="center"/>
            </w:pPr>
            <w:r>
              <w:t>5 975,62</w:t>
            </w:r>
          </w:p>
        </w:tc>
        <w:tc>
          <w:tcPr>
            <w:tcW w:w="1701" w:type="dxa"/>
            <w:vAlign w:val="center"/>
          </w:tcPr>
          <w:p w14:paraId="32FBC0E8" w14:textId="77777777" w:rsidR="00454A29" w:rsidRDefault="00454A29">
            <w:pPr>
              <w:pStyle w:val="ConsPlusNormal"/>
              <w:jc w:val="center"/>
            </w:pPr>
            <w:r>
              <w:t>591 586,50</w:t>
            </w:r>
          </w:p>
        </w:tc>
        <w:tc>
          <w:tcPr>
            <w:tcW w:w="1701" w:type="dxa"/>
            <w:vAlign w:val="center"/>
          </w:tcPr>
          <w:p w14:paraId="7F24605D" w14:textId="77777777" w:rsidR="00454A29" w:rsidRDefault="00454A29">
            <w:pPr>
              <w:pStyle w:val="ConsPlusNormal"/>
            </w:pPr>
          </w:p>
        </w:tc>
        <w:tc>
          <w:tcPr>
            <w:tcW w:w="1814" w:type="dxa"/>
            <w:vAlign w:val="center"/>
          </w:tcPr>
          <w:p w14:paraId="3191D90E" w14:textId="77777777" w:rsidR="00454A29" w:rsidRDefault="00454A29">
            <w:pPr>
              <w:pStyle w:val="ConsPlusNormal"/>
            </w:pPr>
          </w:p>
        </w:tc>
      </w:tr>
      <w:tr w:rsidR="00454A29" w14:paraId="3688B14F" w14:textId="77777777">
        <w:tc>
          <w:tcPr>
            <w:tcW w:w="567" w:type="dxa"/>
            <w:vMerge w:val="restart"/>
            <w:vAlign w:val="center"/>
          </w:tcPr>
          <w:p w14:paraId="25E9B04A" w14:textId="77777777" w:rsidR="00454A29" w:rsidRDefault="00454A29">
            <w:pPr>
              <w:pStyle w:val="ConsPlusNormal"/>
              <w:jc w:val="center"/>
            </w:pPr>
            <w:r>
              <w:t>158</w:t>
            </w:r>
          </w:p>
        </w:tc>
        <w:tc>
          <w:tcPr>
            <w:tcW w:w="3345" w:type="dxa"/>
            <w:vMerge w:val="restart"/>
            <w:vAlign w:val="center"/>
          </w:tcPr>
          <w:p w14:paraId="111CDC14" w14:textId="77777777" w:rsidR="00454A29" w:rsidRDefault="00454A29">
            <w:pPr>
              <w:pStyle w:val="ConsPlusNormal"/>
              <w:jc w:val="center"/>
            </w:pPr>
            <w:r>
              <w:t>Школа на 100 учащихся в с. Улах-Ан</w:t>
            </w:r>
          </w:p>
        </w:tc>
        <w:tc>
          <w:tcPr>
            <w:tcW w:w="1701" w:type="dxa"/>
            <w:vAlign w:val="center"/>
          </w:tcPr>
          <w:p w14:paraId="1B33B2E6" w14:textId="77777777" w:rsidR="00454A29" w:rsidRDefault="00454A29">
            <w:pPr>
              <w:pStyle w:val="ConsPlusNormal"/>
              <w:jc w:val="center"/>
            </w:pPr>
            <w:r>
              <w:t>2020 - 2026 годы - всего</w:t>
            </w:r>
          </w:p>
        </w:tc>
        <w:tc>
          <w:tcPr>
            <w:tcW w:w="1417" w:type="dxa"/>
            <w:vMerge w:val="restart"/>
            <w:vAlign w:val="center"/>
          </w:tcPr>
          <w:p w14:paraId="2962EDE9" w14:textId="77777777" w:rsidR="00454A29" w:rsidRDefault="00454A29">
            <w:pPr>
              <w:pStyle w:val="ConsPlusNormal"/>
              <w:jc w:val="center"/>
            </w:pPr>
            <w:r>
              <w:t>367 824,52</w:t>
            </w:r>
          </w:p>
        </w:tc>
        <w:tc>
          <w:tcPr>
            <w:tcW w:w="2204" w:type="dxa"/>
            <w:vMerge w:val="restart"/>
            <w:vAlign w:val="center"/>
          </w:tcPr>
          <w:p w14:paraId="534DBAA4" w14:textId="77777777" w:rsidR="00454A29" w:rsidRDefault="00454A29">
            <w:pPr>
              <w:pStyle w:val="ConsPlusNormal"/>
            </w:pPr>
          </w:p>
        </w:tc>
        <w:tc>
          <w:tcPr>
            <w:tcW w:w="1417" w:type="dxa"/>
            <w:vMerge w:val="restart"/>
            <w:vAlign w:val="center"/>
          </w:tcPr>
          <w:p w14:paraId="67FE0BDA" w14:textId="77777777" w:rsidR="00454A29" w:rsidRDefault="00454A29">
            <w:pPr>
              <w:pStyle w:val="ConsPlusNormal"/>
              <w:jc w:val="center"/>
            </w:pPr>
            <w:r>
              <w:t>100</w:t>
            </w:r>
          </w:p>
        </w:tc>
        <w:tc>
          <w:tcPr>
            <w:tcW w:w="2324" w:type="dxa"/>
            <w:vMerge w:val="restart"/>
            <w:vAlign w:val="center"/>
          </w:tcPr>
          <w:p w14:paraId="1819A81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B51C0BD" w14:textId="77777777" w:rsidR="00454A29" w:rsidRDefault="00454A29">
            <w:pPr>
              <w:pStyle w:val="ConsPlusNormal"/>
              <w:jc w:val="center"/>
            </w:pPr>
            <w:r>
              <w:t>367 824,52</w:t>
            </w:r>
          </w:p>
        </w:tc>
        <w:tc>
          <w:tcPr>
            <w:tcW w:w="1814" w:type="dxa"/>
            <w:vAlign w:val="center"/>
          </w:tcPr>
          <w:p w14:paraId="7A5BD259" w14:textId="77777777" w:rsidR="00454A29" w:rsidRDefault="00454A29">
            <w:pPr>
              <w:pStyle w:val="ConsPlusNormal"/>
              <w:jc w:val="center"/>
            </w:pPr>
            <w:r>
              <w:t>4 531,60</w:t>
            </w:r>
          </w:p>
        </w:tc>
        <w:tc>
          <w:tcPr>
            <w:tcW w:w="1701" w:type="dxa"/>
            <w:vAlign w:val="center"/>
          </w:tcPr>
          <w:p w14:paraId="2FA1894F" w14:textId="77777777" w:rsidR="00454A29" w:rsidRDefault="00454A29">
            <w:pPr>
              <w:pStyle w:val="ConsPlusNormal"/>
              <w:jc w:val="center"/>
            </w:pPr>
            <w:r>
              <w:t>448 628,22</w:t>
            </w:r>
          </w:p>
        </w:tc>
        <w:tc>
          <w:tcPr>
            <w:tcW w:w="1701" w:type="dxa"/>
            <w:vAlign w:val="center"/>
          </w:tcPr>
          <w:p w14:paraId="631D619B" w14:textId="77777777" w:rsidR="00454A29" w:rsidRDefault="00454A29">
            <w:pPr>
              <w:pStyle w:val="ConsPlusNormal"/>
              <w:jc w:val="center"/>
            </w:pPr>
            <w:r>
              <w:t>-</w:t>
            </w:r>
          </w:p>
        </w:tc>
        <w:tc>
          <w:tcPr>
            <w:tcW w:w="1814" w:type="dxa"/>
            <w:vAlign w:val="center"/>
          </w:tcPr>
          <w:p w14:paraId="79366334" w14:textId="77777777" w:rsidR="00454A29" w:rsidRDefault="00454A29">
            <w:pPr>
              <w:pStyle w:val="ConsPlusNormal"/>
              <w:jc w:val="center"/>
            </w:pPr>
            <w:r>
              <w:t>-</w:t>
            </w:r>
          </w:p>
        </w:tc>
      </w:tr>
      <w:tr w:rsidR="00454A29" w14:paraId="3E42AE41" w14:textId="77777777">
        <w:tc>
          <w:tcPr>
            <w:tcW w:w="567" w:type="dxa"/>
            <w:vMerge/>
          </w:tcPr>
          <w:p w14:paraId="3507016F" w14:textId="77777777" w:rsidR="00454A29" w:rsidRDefault="00454A29"/>
        </w:tc>
        <w:tc>
          <w:tcPr>
            <w:tcW w:w="3345" w:type="dxa"/>
            <w:vMerge/>
          </w:tcPr>
          <w:p w14:paraId="68CEE214" w14:textId="77777777" w:rsidR="00454A29" w:rsidRDefault="00454A29"/>
        </w:tc>
        <w:tc>
          <w:tcPr>
            <w:tcW w:w="1701" w:type="dxa"/>
            <w:vAlign w:val="center"/>
          </w:tcPr>
          <w:p w14:paraId="63C4028A" w14:textId="77777777" w:rsidR="00454A29" w:rsidRDefault="00454A29">
            <w:pPr>
              <w:pStyle w:val="ConsPlusNormal"/>
              <w:jc w:val="center"/>
            </w:pPr>
            <w:r>
              <w:t>2020</w:t>
            </w:r>
          </w:p>
        </w:tc>
        <w:tc>
          <w:tcPr>
            <w:tcW w:w="1417" w:type="dxa"/>
            <w:vMerge/>
          </w:tcPr>
          <w:p w14:paraId="71A249D6" w14:textId="77777777" w:rsidR="00454A29" w:rsidRDefault="00454A29"/>
        </w:tc>
        <w:tc>
          <w:tcPr>
            <w:tcW w:w="2204" w:type="dxa"/>
            <w:vMerge/>
          </w:tcPr>
          <w:p w14:paraId="79F7918C" w14:textId="77777777" w:rsidR="00454A29" w:rsidRDefault="00454A29"/>
        </w:tc>
        <w:tc>
          <w:tcPr>
            <w:tcW w:w="1417" w:type="dxa"/>
            <w:vMerge/>
          </w:tcPr>
          <w:p w14:paraId="29979CF9" w14:textId="77777777" w:rsidR="00454A29" w:rsidRDefault="00454A29"/>
        </w:tc>
        <w:tc>
          <w:tcPr>
            <w:tcW w:w="2324" w:type="dxa"/>
            <w:vMerge/>
          </w:tcPr>
          <w:p w14:paraId="386DD2B3" w14:textId="77777777" w:rsidR="00454A29" w:rsidRDefault="00454A29"/>
        </w:tc>
        <w:tc>
          <w:tcPr>
            <w:tcW w:w="1701" w:type="dxa"/>
            <w:vAlign w:val="center"/>
          </w:tcPr>
          <w:p w14:paraId="6838F97D" w14:textId="77777777" w:rsidR="00454A29" w:rsidRDefault="00454A29">
            <w:pPr>
              <w:pStyle w:val="ConsPlusNormal"/>
            </w:pPr>
          </w:p>
        </w:tc>
        <w:tc>
          <w:tcPr>
            <w:tcW w:w="1814" w:type="dxa"/>
            <w:vAlign w:val="center"/>
          </w:tcPr>
          <w:p w14:paraId="6CC80FCB" w14:textId="77777777" w:rsidR="00454A29" w:rsidRDefault="00454A29">
            <w:pPr>
              <w:pStyle w:val="ConsPlusNormal"/>
            </w:pPr>
          </w:p>
        </w:tc>
        <w:tc>
          <w:tcPr>
            <w:tcW w:w="1701" w:type="dxa"/>
            <w:vAlign w:val="center"/>
          </w:tcPr>
          <w:p w14:paraId="5212C15A" w14:textId="77777777" w:rsidR="00454A29" w:rsidRDefault="00454A29">
            <w:pPr>
              <w:pStyle w:val="ConsPlusNormal"/>
            </w:pPr>
          </w:p>
        </w:tc>
        <w:tc>
          <w:tcPr>
            <w:tcW w:w="1701" w:type="dxa"/>
            <w:vAlign w:val="center"/>
          </w:tcPr>
          <w:p w14:paraId="34907509" w14:textId="77777777" w:rsidR="00454A29" w:rsidRDefault="00454A29">
            <w:pPr>
              <w:pStyle w:val="ConsPlusNormal"/>
            </w:pPr>
          </w:p>
        </w:tc>
        <w:tc>
          <w:tcPr>
            <w:tcW w:w="1814" w:type="dxa"/>
            <w:vAlign w:val="center"/>
          </w:tcPr>
          <w:p w14:paraId="24E69DDB" w14:textId="77777777" w:rsidR="00454A29" w:rsidRDefault="00454A29">
            <w:pPr>
              <w:pStyle w:val="ConsPlusNormal"/>
            </w:pPr>
          </w:p>
        </w:tc>
      </w:tr>
      <w:tr w:rsidR="00454A29" w14:paraId="1D22DDD7" w14:textId="77777777">
        <w:tc>
          <w:tcPr>
            <w:tcW w:w="567" w:type="dxa"/>
            <w:vMerge/>
          </w:tcPr>
          <w:p w14:paraId="1F23C955" w14:textId="77777777" w:rsidR="00454A29" w:rsidRDefault="00454A29"/>
        </w:tc>
        <w:tc>
          <w:tcPr>
            <w:tcW w:w="3345" w:type="dxa"/>
            <w:vMerge/>
          </w:tcPr>
          <w:p w14:paraId="3AEF93ED" w14:textId="77777777" w:rsidR="00454A29" w:rsidRDefault="00454A29"/>
        </w:tc>
        <w:tc>
          <w:tcPr>
            <w:tcW w:w="1701" w:type="dxa"/>
            <w:vAlign w:val="center"/>
          </w:tcPr>
          <w:p w14:paraId="140AC0F8" w14:textId="77777777" w:rsidR="00454A29" w:rsidRDefault="00454A29">
            <w:pPr>
              <w:pStyle w:val="ConsPlusNormal"/>
              <w:jc w:val="center"/>
            </w:pPr>
            <w:r>
              <w:t>2021</w:t>
            </w:r>
          </w:p>
        </w:tc>
        <w:tc>
          <w:tcPr>
            <w:tcW w:w="1417" w:type="dxa"/>
            <w:vMerge/>
          </w:tcPr>
          <w:p w14:paraId="7B99A3B6" w14:textId="77777777" w:rsidR="00454A29" w:rsidRDefault="00454A29"/>
        </w:tc>
        <w:tc>
          <w:tcPr>
            <w:tcW w:w="2204" w:type="dxa"/>
            <w:vMerge/>
          </w:tcPr>
          <w:p w14:paraId="502A711B" w14:textId="77777777" w:rsidR="00454A29" w:rsidRDefault="00454A29"/>
        </w:tc>
        <w:tc>
          <w:tcPr>
            <w:tcW w:w="1417" w:type="dxa"/>
            <w:vMerge/>
          </w:tcPr>
          <w:p w14:paraId="0741F98B" w14:textId="77777777" w:rsidR="00454A29" w:rsidRDefault="00454A29"/>
        </w:tc>
        <w:tc>
          <w:tcPr>
            <w:tcW w:w="2324" w:type="dxa"/>
            <w:vMerge/>
          </w:tcPr>
          <w:p w14:paraId="090F1015" w14:textId="77777777" w:rsidR="00454A29" w:rsidRDefault="00454A29"/>
        </w:tc>
        <w:tc>
          <w:tcPr>
            <w:tcW w:w="1701" w:type="dxa"/>
            <w:vAlign w:val="center"/>
          </w:tcPr>
          <w:p w14:paraId="21E8AD27" w14:textId="77777777" w:rsidR="00454A29" w:rsidRDefault="00454A29">
            <w:pPr>
              <w:pStyle w:val="ConsPlusNormal"/>
            </w:pPr>
          </w:p>
        </w:tc>
        <w:tc>
          <w:tcPr>
            <w:tcW w:w="1814" w:type="dxa"/>
            <w:vAlign w:val="center"/>
          </w:tcPr>
          <w:p w14:paraId="76477B7E" w14:textId="77777777" w:rsidR="00454A29" w:rsidRDefault="00454A29">
            <w:pPr>
              <w:pStyle w:val="ConsPlusNormal"/>
            </w:pPr>
          </w:p>
        </w:tc>
        <w:tc>
          <w:tcPr>
            <w:tcW w:w="1701" w:type="dxa"/>
            <w:vAlign w:val="center"/>
          </w:tcPr>
          <w:p w14:paraId="2F59982C" w14:textId="77777777" w:rsidR="00454A29" w:rsidRDefault="00454A29">
            <w:pPr>
              <w:pStyle w:val="ConsPlusNormal"/>
            </w:pPr>
          </w:p>
        </w:tc>
        <w:tc>
          <w:tcPr>
            <w:tcW w:w="1701" w:type="dxa"/>
            <w:vAlign w:val="center"/>
          </w:tcPr>
          <w:p w14:paraId="1B2F8C28" w14:textId="77777777" w:rsidR="00454A29" w:rsidRDefault="00454A29">
            <w:pPr>
              <w:pStyle w:val="ConsPlusNormal"/>
            </w:pPr>
          </w:p>
        </w:tc>
        <w:tc>
          <w:tcPr>
            <w:tcW w:w="1814" w:type="dxa"/>
            <w:vAlign w:val="center"/>
          </w:tcPr>
          <w:p w14:paraId="0A20888A" w14:textId="77777777" w:rsidR="00454A29" w:rsidRDefault="00454A29">
            <w:pPr>
              <w:pStyle w:val="ConsPlusNormal"/>
            </w:pPr>
          </w:p>
        </w:tc>
      </w:tr>
      <w:tr w:rsidR="00454A29" w14:paraId="1AF75F5F" w14:textId="77777777">
        <w:tc>
          <w:tcPr>
            <w:tcW w:w="567" w:type="dxa"/>
            <w:vMerge/>
          </w:tcPr>
          <w:p w14:paraId="5DA5546D" w14:textId="77777777" w:rsidR="00454A29" w:rsidRDefault="00454A29"/>
        </w:tc>
        <w:tc>
          <w:tcPr>
            <w:tcW w:w="3345" w:type="dxa"/>
            <w:vMerge/>
          </w:tcPr>
          <w:p w14:paraId="2AA4B2D7" w14:textId="77777777" w:rsidR="00454A29" w:rsidRDefault="00454A29"/>
        </w:tc>
        <w:tc>
          <w:tcPr>
            <w:tcW w:w="1701" w:type="dxa"/>
            <w:vAlign w:val="center"/>
          </w:tcPr>
          <w:p w14:paraId="0B6DA266" w14:textId="77777777" w:rsidR="00454A29" w:rsidRDefault="00454A29">
            <w:pPr>
              <w:pStyle w:val="ConsPlusNormal"/>
              <w:jc w:val="center"/>
            </w:pPr>
            <w:r>
              <w:t>2022</w:t>
            </w:r>
          </w:p>
        </w:tc>
        <w:tc>
          <w:tcPr>
            <w:tcW w:w="1417" w:type="dxa"/>
            <w:vMerge/>
          </w:tcPr>
          <w:p w14:paraId="07FBD0B1" w14:textId="77777777" w:rsidR="00454A29" w:rsidRDefault="00454A29"/>
        </w:tc>
        <w:tc>
          <w:tcPr>
            <w:tcW w:w="2204" w:type="dxa"/>
            <w:vMerge/>
          </w:tcPr>
          <w:p w14:paraId="6281BB2A" w14:textId="77777777" w:rsidR="00454A29" w:rsidRDefault="00454A29"/>
        </w:tc>
        <w:tc>
          <w:tcPr>
            <w:tcW w:w="1417" w:type="dxa"/>
            <w:vMerge/>
          </w:tcPr>
          <w:p w14:paraId="25F6222F" w14:textId="77777777" w:rsidR="00454A29" w:rsidRDefault="00454A29"/>
        </w:tc>
        <w:tc>
          <w:tcPr>
            <w:tcW w:w="2324" w:type="dxa"/>
            <w:vMerge/>
          </w:tcPr>
          <w:p w14:paraId="6E8A3C70" w14:textId="77777777" w:rsidR="00454A29" w:rsidRDefault="00454A29"/>
        </w:tc>
        <w:tc>
          <w:tcPr>
            <w:tcW w:w="1701" w:type="dxa"/>
            <w:vAlign w:val="center"/>
          </w:tcPr>
          <w:p w14:paraId="483D8CF2" w14:textId="77777777" w:rsidR="00454A29" w:rsidRDefault="00454A29">
            <w:pPr>
              <w:pStyle w:val="ConsPlusNormal"/>
            </w:pPr>
          </w:p>
        </w:tc>
        <w:tc>
          <w:tcPr>
            <w:tcW w:w="1814" w:type="dxa"/>
            <w:vAlign w:val="center"/>
          </w:tcPr>
          <w:p w14:paraId="7C550E48" w14:textId="77777777" w:rsidR="00454A29" w:rsidRDefault="00454A29">
            <w:pPr>
              <w:pStyle w:val="ConsPlusNormal"/>
            </w:pPr>
          </w:p>
        </w:tc>
        <w:tc>
          <w:tcPr>
            <w:tcW w:w="1701" w:type="dxa"/>
            <w:vAlign w:val="center"/>
          </w:tcPr>
          <w:p w14:paraId="6611CF59" w14:textId="77777777" w:rsidR="00454A29" w:rsidRDefault="00454A29">
            <w:pPr>
              <w:pStyle w:val="ConsPlusNormal"/>
            </w:pPr>
          </w:p>
        </w:tc>
        <w:tc>
          <w:tcPr>
            <w:tcW w:w="1701" w:type="dxa"/>
            <w:vAlign w:val="center"/>
          </w:tcPr>
          <w:p w14:paraId="544C7873" w14:textId="77777777" w:rsidR="00454A29" w:rsidRDefault="00454A29">
            <w:pPr>
              <w:pStyle w:val="ConsPlusNormal"/>
            </w:pPr>
          </w:p>
        </w:tc>
        <w:tc>
          <w:tcPr>
            <w:tcW w:w="1814" w:type="dxa"/>
            <w:vAlign w:val="center"/>
          </w:tcPr>
          <w:p w14:paraId="14B5BBEE" w14:textId="77777777" w:rsidR="00454A29" w:rsidRDefault="00454A29">
            <w:pPr>
              <w:pStyle w:val="ConsPlusNormal"/>
            </w:pPr>
          </w:p>
        </w:tc>
      </w:tr>
      <w:tr w:rsidR="00454A29" w14:paraId="4D78FFA7" w14:textId="77777777">
        <w:tc>
          <w:tcPr>
            <w:tcW w:w="567" w:type="dxa"/>
            <w:vMerge/>
          </w:tcPr>
          <w:p w14:paraId="1F12850C" w14:textId="77777777" w:rsidR="00454A29" w:rsidRDefault="00454A29"/>
        </w:tc>
        <w:tc>
          <w:tcPr>
            <w:tcW w:w="3345" w:type="dxa"/>
            <w:vMerge/>
          </w:tcPr>
          <w:p w14:paraId="2486E66B" w14:textId="77777777" w:rsidR="00454A29" w:rsidRDefault="00454A29"/>
        </w:tc>
        <w:tc>
          <w:tcPr>
            <w:tcW w:w="1701" w:type="dxa"/>
            <w:vAlign w:val="center"/>
          </w:tcPr>
          <w:p w14:paraId="66424E2B" w14:textId="77777777" w:rsidR="00454A29" w:rsidRDefault="00454A29">
            <w:pPr>
              <w:pStyle w:val="ConsPlusNormal"/>
              <w:jc w:val="center"/>
            </w:pPr>
            <w:r>
              <w:t>2023</w:t>
            </w:r>
          </w:p>
        </w:tc>
        <w:tc>
          <w:tcPr>
            <w:tcW w:w="1417" w:type="dxa"/>
            <w:vMerge/>
          </w:tcPr>
          <w:p w14:paraId="18BDA369" w14:textId="77777777" w:rsidR="00454A29" w:rsidRDefault="00454A29"/>
        </w:tc>
        <w:tc>
          <w:tcPr>
            <w:tcW w:w="2204" w:type="dxa"/>
            <w:vMerge/>
          </w:tcPr>
          <w:p w14:paraId="3E32BA2D" w14:textId="77777777" w:rsidR="00454A29" w:rsidRDefault="00454A29"/>
        </w:tc>
        <w:tc>
          <w:tcPr>
            <w:tcW w:w="1417" w:type="dxa"/>
            <w:vMerge/>
          </w:tcPr>
          <w:p w14:paraId="3B1D31AE" w14:textId="77777777" w:rsidR="00454A29" w:rsidRDefault="00454A29"/>
        </w:tc>
        <w:tc>
          <w:tcPr>
            <w:tcW w:w="2324" w:type="dxa"/>
            <w:vMerge/>
          </w:tcPr>
          <w:p w14:paraId="6A07B82D" w14:textId="77777777" w:rsidR="00454A29" w:rsidRDefault="00454A29"/>
        </w:tc>
        <w:tc>
          <w:tcPr>
            <w:tcW w:w="1701" w:type="dxa"/>
            <w:vAlign w:val="center"/>
          </w:tcPr>
          <w:p w14:paraId="453179A1" w14:textId="77777777" w:rsidR="00454A29" w:rsidRDefault="00454A29">
            <w:pPr>
              <w:pStyle w:val="ConsPlusNormal"/>
            </w:pPr>
          </w:p>
        </w:tc>
        <w:tc>
          <w:tcPr>
            <w:tcW w:w="1814" w:type="dxa"/>
            <w:vAlign w:val="center"/>
          </w:tcPr>
          <w:p w14:paraId="1613E2D1" w14:textId="77777777" w:rsidR="00454A29" w:rsidRDefault="00454A29">
            <w:pPr>
              <w:pStyle w:val="ConsPlusNormal"/>
            </w:pPr>
          </w:p>
        </w:tc>
        <w:tc>
          <w:tcPr>
            <w:tcW w:w="1701" w:type="dxa"/>
            <w:vAlign w:val="center"/>
          </w:tcPr>
          <w:p w14:paraId="13F130CA" w14:textId="77777777" w:rsidR="00454A29" w:rsidRDefault="00454A29">
            <w:pPr>
              <w:pStyle w:val="ConsPlusNormal"/>
            </w:pPr>
          </w:p>
        </w:tc>
        <w:tc>
          <w:tcPr>
            <w:tcW w:w="1701" w:type="dxa"/>
            <w:vAlign w:val="center"/>
          </w:tcPr>
          <w:p w14:paraId="26E96617" w14:textId="77777777" w:rsidR="00454A29" w:rsidRDefault="00454A29">
            <w:pPr>
              <w:pStyle w:val="ConsPlusNormal"/>
            </w:pPr>
          </w:p>
        </w:tc>
        <w:tc>
          <w:tcPr>
            <w:tcW w:w="1814" w:type="dxa"/>
            <w:vAlign w:val="center"/>
          </w:tcPr>
          <w:p w14:paraId="62FE3661" w14:textId="77777777" w:rsidR="00454A29" w:rsidRDefault="00454A29">
            <w:pPr>
              <w:pStyle w:val="ConsPlusNormal"/>
            </w:pPr>
          </w:p>
        </w:tc>
      </w:tr>
      <w:tr w:rsidR="00454A29" w14:paraId="308C254C" w14:textId="77777777">
        <w:tc>
          <w:tcPr>
            <w:tcW w:w="567" w:type="dxa"/>
            <w:vMerge/>
          </w:tcPr>
          <w:p w14:paraId="35F49065" w14:textId="77777777" w:rsidR="00454A29" w:rsidRDefault="00454A29"/>
        </w:tc>
        <w:tc>
          <w:tcPr>
            <w:tcW w:w="3345" w:type="dxa"/>
            <w:vMerge/>
          </w:tcPr>
          <w:p w14:paraId="02544DA9" w14:textId="77777777" w:rsidR="00454A29" w:rsidRDefault="00454A29"/>
        </w:tc>
        <w:tc>
          <w:tcPr>
            <w:tcW w:w="1701" w:type="dxa"/>
            <w:vAlign w:val="center"/>
          </w:tcPr>
          <w:p w14:paraId="7733ED23" w14:textId="77777777" w:rsidR="00454A29" w:rsidRDefault="00454A29">
            <w:pPr>
              <w:pStyle w:val="ConsPlusNormal"/>
              <w:jc w:val="center"/>
            </w:pPr>
            <w:r>
              <w:t>2024</w:t>
            </w:r>
          </w:p>
        </w:tc>
        <w:tc>
          <w:tcPr>
            <w:tcW w:w="1417" w:type="dxa"/>
            <w:vMerge/>
          </w:tcPr>
          <w:p w14:paraId="1E1D4005" w14:textId="77777777" w:rsidR="00454A29" w:rsidRDefault="00454A29"/>
        </w:tc>
        <w:tc>
          <w:tcPr>
            <w:tcW w:w="2204" w:type="dxa"/>
            <w:vMerge/>
          </w:tcPr>
          <w:p w14:paraId="632DC460" w14:textId="77777777" w:rsidR="00454A29" w:rsidRDefault="00454A29"/>
        </w:tc>
        <w:tc>
          <w:tcPr>
            <w:tcW w:w="1417" w:type="dxa"/>
            <w:vMerge/>
          </w:tcPr>
          <w:p w14:paraId="6DD3786E" w14:textId="77777777" w:rsidR="00454A29" w:rsidRDefault="00454A29"/>
        </w:tc>
        <w:tc>
          <w:tcPr>
            <w:tcW w:w="2324" w:type="dxa"/>
            <w:vMerge/>
          </w:tcPr>
          <w:p w14:paraId="64C000D4" w14:textId="77777777" w:rsidR="00454A29" w:rsidRDefault="00454A29"/>
        </w:tc>
        <w:tc>
          <w:tcPr>
            <w:tcW w:w="1701" w:type="dxa"/>
            <w:vAlign w:val="center"/>
          </w:tcPr>
          <w:p w14:paraId="34ECC25F" w14:textId="77777777" w:rsidR="00454A29" w:rsidRDefault="00454A29">
            <w:pPr>
              <w:pStyle w:val="ConsPlusNormal"/>
            </w:pPr>
          </w:p>
        </w:tc>
        <w:tc>
          <w:tcPr>
            <w:tcW w:w="1814" w:type="dxa"/>
            <w:vAlign w:val="center"/>
          </w:tcPr>
          <w:p w14:paraId="79E98BED" w14:textId="77777777" w:rsidR="00454A29" w:rsidRDefault="00454A29">
            <w:pPr>
              <w:pStyle w:val="ConsPlusNormal"/>
            </w:pPr>
          </w:p>
        </w:tc>
        <w:tc>
          <w:tcPr>
            <w:tcW w:w="1701" w:type="dxa"/>
            <w:vAlign w:val="center"/>
          </w:tcPr>
          <w:p w14:paraId="0FAA0600" w14:textId="77777777" w:rsidR="00454A29" w:rsidRDefault="00454A29">
            <w:pPr>
              <w:pStyle w:val="ConsPlusNormal"/>
            </w:pPr>
          </w:p>
        </w:tc>
        <w:tc>
          <w:tcPr>
            <w:tcW w:w="1701" w:type="dxa"/>
            <w:vAlign w:val="center"/>
          </w:tcPr>
          <w:p w14:paraId="08B4EE11" w14:textId="77777777" w:rsidR="00454A29" w:rsidRDefault="00454A29">
            <w:pPr>
              <w:pStyle w:val="ConsPlusNormal"/>
            </w:pPr>
          </w:p>
        </w:tc>
        <w:tc>
          <w:tcPr>
            <w:tcW w:w="1814" w:type="dxa"/>
            <w:vAlign w:val="center"/>
          </w:tcPr>
          <w:p w14:paraId="201DC145" w14:textId="77777777" w:rsidR="00454A29" w:rsidRDefault="00454A29">
            <w:pPr>
              <w:pStyle w:val="ConsPlusNormal"/>
            </w:pPr>
          </w:p>
        </w:tc>
      </w:tr>
      <w:tr w:rsidR="00454A29" w14:paraId="379AD4EA" w14:textId="77777777">
        <w:tc>
          <w:tcPr>
            <w:tcW w:w="567" w:type="dxa"/>
            <w:vMerge/>
          </w:tcPr>
          <w:p w14:paraId="0B7F950D" w14:textId="77777777" w:rsidR="00454A29" w:rsidRDefault="00454A29"/>
        </w:tc>
        <w:tc>
          <w:tcPr>
            <w:tcW w:w="3345" w:type="dxa"/>
            <w:vMerge/>
          </w:tcPr>
          <w:p w14:paraId="3885CF4B" w14:textId="77777777" w:rsidR="00454A29" w:rsidRDefault="00454A29"/>
        </w:tc>
        <w:tc>
          <w:tcPr>
            <w:tcW w:w="1701" w:type="dxa"/>
            <w:vAlign w:val="center"/>
          </w:tcPr>
          <w:p w14:paraId="006E333C" w14:textId="77777777" w:rsidR="00454A29" w:rsidRDefault="00454A29">
            <w:pPr>
              <w:pStyle w:val="ConsPlusNormal"/>
              <w:jc w:val="center"/>
            </w:pPr>
            <w:r>
              <w:t>2025</w:t>
            </w:r>
          </w:p>
        </w:tc>
        <w:tc>
          <w:tcPr>
            <w:tcW w:w="1417" w:type="dxa"/>
            <w:vMerge/>
          </w:tcPr>
          <w:p w14:paraId="1EB0471C" w14:textId="77777777" w:rsidR="00454A29" w:rsidRDefault="00454A29"/>
        </w:tc>
        <w:tc>
          <w:tcPr>
            <w:tcW w:w="2204" w:type="dxa"/>
            <w:vMerge/>
          </w:tcPr>
          <w:p w14:paraId="6BA4CD7E" w14:textId="77777777" w:rsidR="00454A29" w:rsidRDefault="00454A29"/>
        </w:tc>
        <w:tc>
          <w:tcPr>
            <w:tcW w:w="1417" w:type="dxa"/>
            <w:vMerge/>
          </w:tcPr>
          <w:p w14:paraId="2C6C5BB0" w14:textId="77777777" w:rsidR="00454A29" w:rsidRDefault="00454A29"/>
        </w:tc>
        <w:tc>
          <w:tcPr>
            <w:tcW w:w="2324" w:type="dxa"/>
            <w:vMerge/>
          </w:tcPr>
          <w:p w14:paraId="54064960" w14:textId="77777777" w:rsidR="00454A29" w:rsidRDefault="00454A29"/>
        </w:tc>
        <w:tc>
          <w:tcPr>
            <w:tcW w:w="1701" w:type="dxa"/>
            <w:vAlign w:val="center"/>
          </w:tcPr>
          <w:p w14:paraId="1039CAEF" w14:textId="77777777" w:rsidR="00454A29" w:rsidRDefault="00454A29">
            <w:pPr>
              <w:pStyle w:val="ConsPlusNormal"/>
            </w:pPr>
          </w:p>
        </w:tc>
        <w:tc>
          <w:tcPr>
            <w:tcW w:w="1814" w:type="dxa"/>
            <w:vAlign w:val="center"/>
          </w:tcPr>
          <w:p w14:paraId="142AEB40" w14:textId="77777777" w:rsidR="00454A29" w:rsidRDefault="00454A29">
            <w:pPr>
              <w:pStyle w:val="ConsPlusNormal"/>
            </w:pPr>
          </w:p>
        </w:tc>
        <w:tc>
          <w:tcPr>
            <w:tcW w:w="1701" w:type="dxa"/>
            <w:vAlign w:val="center"/>
          </w:tcPr>
          <w:p w14:paraId="4D8FA11C" w14:textId="77777777" w:rsidR="00454A29" w:rsidRDefault="00454A29">
            <w:pPr>
              <w:pStyle w:val="ConsPlusNormal"/>
            </w:pPr>
          </w:p>
        </w:tc>
        <w:tc>
          <w:tcPr>
            <w:tcW w:w="1701" w:type="dxa"/>
            <w:vAlign w:val="center"/>
          </w:tcPr>
          <w:p w14:paraId="1A24851E" w14:textId="77777777" w:rsidR="00454A29" w:rsidRDefault="00454A29">
            <w:pPr>
              <w:pStyle w:val="ConsPlusNormal"/>
            </w:pPr>
          </w:p>
        </w:tc>
        <w:tc>
          <w:tcPr>
            <w:tcW w:w="1814" w:type="dxa"/>
            <w:vAlign w:val="center"/>
          </w:tcPr>
          <w:p w14:paraId="0613907E" w14:textId="77777777" w:rsidR="00454A29" w:rsidRDefault="00454A29">
            <w:pPr>
              <w:pStyle w:val="ConsPlusNormal"/>
            </w:pPr>
          </w:p>
        </w:tc>
      </w:tr>
      <w:tr w:rsidR="00454A29" w14:paraId="1C97FF5E" w14:textId="77777777">
        <w:tc>
          <w:tcPr>
            <w:tcW w:w="567" w:type="dxa"/>
            <w:vMerge/>
          </w:tcPr>
          <w:p w14:paraId="49E6F61D" w14:textId="77777777" w:rsidR="00454A29" w:rsidRDefault="00454A29"/>
        </w:tc>
        <w:tc>
          <w:tcPr>
            <w:tcW w:w="3345" w:type="dxa"/>
            <w:vMerge/>
          </w:tcPr>
          <w:p w14:paraId="3C7C9FF6" w14:textId="77777777" w:rsidR="00454A29" w:rsidRDefault="00454A29"/>
        </w:tc>
        <w:tc>
          <w:tcPr>
            <w:tcW w:w="1701" w:type="dxa"/>
            <w:vAlign w:val="center"/>
          </w:tcPr>
          <w:p w14:paraId="141169A6" w14:textId="77777777" w:rsidR="00454A29" w:rsidRDefault="00454A29">
            <w:pPr>
              <w:pStyle w:val="ConsPlusNormal"/>
              <w:jc w:val="center"/>
            </w:pPr>
            <w:r>
              <w:t>2026</w:t>
            </w:r>
          </w:p>
        </w:tc>
        <w:tc>
          <w:tcPr>
            <w:tcW w:w="1417" w:type="dxa"/>
            <w:vMerge/>
          </w:tcPr>
          <w:p w14:paraId="7B0ED181" w14:textId="77777777" w:rsidR="00454A29" w:rsidRDefault="00454A29"/>
        </w:tc>
        <w:tc>
          <w:tcPr>
            <w:tcW w:w="2204" w:type="dxa"/>
            <w:vMerge/>
          </w:tcPr>
          <w:p w14:paraId="028837A8" w14:textId="77777777" w:rsidR="00454A29" w:rsidRDefault="00454A29"/>
        </w:tc>
        <w:tc>
          <w:tcPr>
            <w:tcW w:w="1417" w:type="dxa"/>
            <w:vMerge/>
          </w:tcPr>
          <w:p w14:paraId="3ECBC9D3" w14:textId="77777777" w:rsidR="00454A29" w:rsidRDefault="00454A29"/>
        </w:tc>
        <w:tc>
          <w:tcPr>
            <w:tcW w:w="2324" w:type="dxa"/>
            <w:vMerge/>
          </w:tcPr>
          <w:p w14:paraId="2B0A7A6C" w14:textId="77777777" w:rsidR="00454A29" w:rsidRDefault="00454A29"/>
        </w:tc>
        <w:tc>
          <w:tcPr>
            <w:tcW w:w="1701" w:type="dxa"/>
            <w:vAlign w:val="center"/>
          </w:tcPr>
          <w:p w14:paraId="4C0758C0" w14:textId="77777777" w:rsidR="00454A29" w:rsidRDefault="00454A29">
            <w:pPr>
              <w:pStyle w:val="ConsPlusNormal"/>
              <w:jc w:val="center"/>
            </w:pPr>
            <w:r>
              <w:t>367 824,52</w:t>
            </w:r>
          </w:p>
        </w:tc>
        <w:tc>
          <w:tcPr>
            <w:tcW w:w="1814" w:type="dxa"/>
            <w:vAlign w:val="center"/>
          </w:tcPr>
          <w:p w14:paraId="50E49D95" w14:textId="77777777" w:rsidR="00454A29" w:rsidRDefault="00454A29">
            <w:pPr>
              <w:pStyle w:val="ConsPlusNormal"/>
              <w:jc w:val="center"/>
            </w:pPr>
            <w:r>
              <w:t>4 531,60</w:t>
            </w:r>
          </w:p>
        </w:tc>
        <w:tc>
          <w:tcPr>
            <w:tcW w:w="1701" w:type="dxa"/>
            <w:vAlign w:val="center"/>
          </w:tcPr>
          <w:p w14:paraId="6D7E432E" w14:textId="77777777" w:rsidR="00454A29" w:rsidRDefault="00454A29">
            <w:pPr>
              <w:pStyle w:val="ConsPlusNormal"/>
              <w:jc w:val="center"/>
            </w:pPr>
            <w:r>
              <w:t>448 628,22</w:t>
            </w:r>
          </w:p>
        </w:tc>
        <w:tc>
          <w:tcPr>
            <w:tcW w:w="1701" w:type="dxa"/>
            <w:vAlign w:val="center"/>
          </w:tcPr>
          <w:p w14:paraId="1FE424B0" w14:textId="77777777" w:rsidR="00454A29" w:rsidRDefault="00454A29">
            <w:pPr>
              <w:pStyle w:val="ConsPlusNormal"/>
            </w:pPr>
          </w:p>
        </w:tc>
        <w:tc>
          <w:tcPr>
            <w:tcW w:w="1814" w:type="dxa"/>
            <w:vAlign w:val="center"/>
          </w:tcPr>
          <w:p w14:paraId="0E6039D9" w14:textId="77777777" w:rsidR="00454A29" w:rsidRDefault="00454A29">
            <w:pPr>
              <w:pStyle w:val="ConsPlusNormal"/>
            </w:pPr>
          </w:p>
        </w:tc>
      </w:tr>
      <w:tr w:rsidR="00454A29" w14:paraId="5C8BE28D" w14:textId="77777777">
        <w:tc>
          <w:tcPr>
            <w:tcW w:w="21706" w:type="dxa"/>
            <w:gridSpan w:val="12"/>
            <w:vAlign w:val="center"/>
          </w:tcPr>
          <w:p w14:paraId="0E2C8235" w14:textId="77777777" w:rsidR="00454A29" w:rsidRDefault="00454A29">
            <w:pPr>
              <w:pStyle w:val="ConsPlusNormal"/>
              <w:jc w:val="center"/>
              <w:outlineLvl w:val="2"/>
            </w:pPr>
            <w:r>
              <w:t>МО "Чурапчинский улус (район)"</w:t>
            </w:r>
          </w:p>
        </w:tc>
      </w:tr>
      <w:tr w:rsidR="00454A29" w14:paraId="64ED33B5" w14:textId="77777777">
        <w:tc>
          <w:tcPr>
            <w:tcW w:w="567" w:type="dxa"/>
            <w:vMerge w:val="restart"/>
            <w:vAlign w:val="center"/>
          </w:tcPr>
          <w:p w14:paraId="7D7F1702" w14:textId="77777777" w:rsidR="00454A29" w:rsidRDefault="00454A29">
            <w:pPr>
              <w:pStyle w:val="ConsPlusNormal"/>
              <w:jc w:val="center"/>
            </w:pPr>
            <w:r>
              <w:t>159</w:t>
            </w:r>
          </w:p>
        </w:tc>
        <w:tc>
          <w:tcPr>
            <w:tcW w:w="3345" w:type="dxa"/>
            <w:vMerge w:val="restart"/>
            <w:vAlign w:val="center"/>
          </w:tcPr>
          <w:p w14:paraId="0FA29520" w14:textId="77777777" w:rsidR="00454A29" w:rsidRDefault="00454A29">
            <w:pPr>
              <w:pStyle w:val="ConsPlusNormal"/>
              <w:jc w:val="center"/>
            </w:pPr>
            <w:r>
              <w:t>Школа-сад на 90/25 мест в с. Килянки</w:t>
            </w:r>
          </w:p>
        </w:tc>
        <w:tc>
          <w:tcPr>
            <w:tcW w:w="1701" w:type="dxa"/>
            <w:vAlign w:val="center"/>
          </w:tcPr>
          <w:p w14:paraId="6B3FA797" w14:textId="77777777" w:rsidR="00454A29" w:rsidRDefault="00454A29">
            <w:pPr>
              <w:pStyle w:val="ConsPlusNormal"/>
              <w:jc w:val="center"/>
            </w:pPr>
            <w:r>
              <w:t>2020 - 2026 годы - всего</w:t>
            </w:r>
          </w:p>
        </w:tc>
        <w:tc>
          <w:tcPr>
            <w:tcW w:w="1417" w:type="dxa"/>
            <w:vMerge w:val="restart"/>
            <w:vAlign w:val="center"/>
          </w:tcPr>
          <w:p w14:paraId="040D4A30" w14:textId="77777777" w:rsidR="00454A29" w:rsidRDefault="00454A29">
            <w:pPr>
              <w:pStyle w:val="ConsPlusNormal"/>
              <w:jc w:val="center"/>
            </w:pPr>
            <w:r>
              <w:t>327 903,68</w:t>
            </w:r>
          </w:p>
        </w:tc>
        <w:tc>
          <w:tcPr>
            <w:tcW w:w="2204" w:type="dxa"/>
            <w:vMerge w:val="restart"/>
            <w:vAlign w:val="center"/>
          </w:tcPr>
          <w:p w14:paraId="0CE3D082" w14:textId="77777777" w:rsidR="00454A29" w:rsidRDefault="00454A29">
            <w:pPr>
              <w:pStyle w:val="ConsPlusNormal"/>
              <w:jc w:val="center"/>
            </w:pPr>
            <w:r>
              <w:t>имеется</w:t>
            </w:r>
          </w:p>
        </w:tc>
        <w:tc>
          <w:tcPr>
            <w:tcW w:w="1417" w:type="dxa"/>
            <w:vMerge w:val="restart"/>
            <w:vAlign w:val="center"/>
          </w:tcPr>
          <w:p w14:paraId="1AC2C021" w14:textId="77777777" w:rsidR="00454A29" w:rsidRDefault="00454A29">
            <w:pPr>
              <w:pStyle w:val="ConsPlusNormal"/>
              <w:jc w:val="center"/>
            </w:pPr>
            <w:r>
              <w:t>90</w:t>
            </w:r>
          </w:p>
        </w:tc>
        <w:tc>
          <w:tcPr>
            <w:tcW w:w="2324" w:type="dxa"/>
            <w:vMerge w:val="restart"/>
            <w:vAlign w:val="center"/>
          </w:tcPr>
          <w:p w14:paraId="3C516E9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B0D0821" w14:textId="77777777" w:rsidR="00454A29" w:rsidRDefault="00454A29">
            <w:pPr>
              <w:pStyle w:val="ConsPlusNormal"/>
              <w:jc w:val="center"/>
            </w:pPr>
            <w:r>
              <w:t>327 903,68</w:t>
            </w:r>
          </w:p>
        </w:tc>
        <w:tc>
          <w:tcPr>
            <w:tcW w:w="1814" w:type="dxa"/>
            <w:vAlign w:val="center"/>
          </w:tcPr>
          <w:p w14:paraId="5DFD88F8" w14:textId="77777777" w:rsidR="00454A29" w:rsidRDefault="00454A29">
            <w:pPr>
              <w:pStyle w:val="ConsPlusNormal"/>
              <w:jc w:val="center"/>
            </w:pPr>
            <w:r>
              <w:t>1 626,40</w:t>
            </w:r>
          </w:p>
        </w:tc>
        <w:tc>
          <w:tcPr>
            <w:tcW w:w="1701" w:type="dxa"/>
            <w:vAlign w:val="center"/>
          </w:tcPr>
          <w:p w14:paraId="627C67A9" w14:textId="77777777" w:rsidR="00454A29" w:rsidRDefault="00454A29">
            <w:pPr>
              <w:pStyle w:val="ConsPlusNormal"/>
              <w:jc w:val="center"/>
            </w:pPr>
            <w:r>
              <w:t>161 013,82</w:t>
            </w:r>
          </w:p>
        </w:tc>
        <w:tc>
          <w:tcPr>
            <w:tcW w:w="1701" w:type="dxa"/>
            <w:vAlign w:val="center"/>
          </w:tcPr>
          <w:p w14:paraId="59A1A8DE" w14:textId="77777777" w:rsidR="00454A29" w:rsidRDefault="00454A29">
            <w:pPr>
              <w:pStyle w:val="ConsPlusNormal"/>
              <w:jc w:val="center"/>
            </w:pPr>
            <w:r>
              <w:t>-</w:t>
            </w:r>
          </w:p>
        </w:tc>
        <w:tc>
          <w:tcPr>
            <w:tcW w:w="1814" w:type="dxa"/>
            <w:vAlign w:val="center"/>
          </w:tcPr>
          <w:p w14:paraId="29D82AC3" w14:textId="77777777" w:rsidR="00454A29" w:rsidRDefault="00454A29">
            <w:pPr>
              <w:pStyle w:val="ConsPlusNormal"/>
              <w:jc w:val="center"/>
            </w:pPr>
            <w:r>
              <w:t>-</w:t>
            </w:r>
          </w:p>
        </w:tc>
      </w:tr>
      <w:tr w:rsidR="00454A29" w14:paraId="5351D398" w14:textId="77777777">
        <w:tc>
          <w:tcPr>
            <w:tcW w:w="567" w:type="dxa"/>
            <w:vMerge/>
          </w:tcPr>
          <w:p w14:paraId="7AE5A1C8" w14:textId="77777777" w:rsidR="00454A29" w:rsidRDefault="00454A29"/>
        </w:tc>
        <w:tc>
          <w:tcPr>
            <w:tcW w:w="3345" w:type="dxa"/>
            <w:vMerge/>
          </w:tcPr>
          <w:p w14:paraId="567C7F99" w14:textId="77777777" w:rsidR="00454A29" w:rsidRDefault="00454A29"/>
        </w:tc>
        <w:tc>
          <w:tcPr>
            <w:tcW w:w="1701" w:type="dxa"/>
            <w:vAlign w:val="center"/>
          </w:tcPr>
          <w:p w14:paraId="0137F9DC" w14:textId="77777777" w:rsidR="00454A29" w:rsidRDefault="00454A29">
            <w:pPr>
              <w:pStyle w:val="ConsPlusNormal"/>
              <w:jc w:val="center"/>
            </w:pPr>
            <w:r>
              <w:t>2020</w:t>
            </w:r>
          </w:p>
        </w:tc>
        <w:tc>
          <w:tcPr>
            <w:tcW w:w="1417" w:type="dxa"/>
            <w:vMerge/>
          </w:tcPr>
          <w:p w14:paraId="5B792844" w14:textId="77777777" w:rsidR="00454A29" w:rsidRDefault="00454A29"/>
        </w:tc>
        <w:tc>
          <w:tcPr>
            <w:tcW w:w="2204" w:type="dxa"/>
            <w:vMerge/>
          </w:tcPr>
          <w:p w14:paraId="520A8D26" w14:textId="77777777" w:rsidR="00454A29" w:rsidRDefault="00454A29"/>
        </w:tc>
        <w:tc>
          <w:tcPr>
            <w:tcW w:w="1417" w:type="dxa"/>
            <w:vMerge/>
          </w:tcPr>
          <w:p w14:paraId="79D5C4F1" w14:textId="77777777" w:rsidR="00454A29" w:rsidRDefault="00454A29"/>
        </w:tc>
        <w:tc>
          <w:tcPr>
            <w:tcW w:w="2324" w:type="dxa"/>
            <w:vMerge/>
          </w:tcPr>
          <w:p w14:paraId="18F13F19" w14:textId="77777777" w:rsidR="00454A29" w:rsidRDefault="00454A29"/>
        </w:tc>
        <w:tc>
          <w:tcPr>
            <w:tcW w:w="1701" w:type="dxa"/>
            <w:vAlign w:val="center"/>
          </w:tcPr>
          <w:p w14:paraId="7A0E6B22" w14:textId="77777777" w:rsidR="00454A29" w:rsidRDefault="00454A29">
            <w:pPr>
              <w:pStyle w:val="ConsPlusNormal"/>
            </w:pPr>
          </w:p>
        </w:tc>
        <w:tc>
          <w:tcPr>
            <w:tcW w:w="1814" w:type="dxa"/>
            <w:vAlign w:val="center"/>
          </w:tcPr>
          <w:p w14:paraId="1630FB61" w14:textId="77777777" w:rsidR="00454A29" w:rsidRDefault="00454A29">
            <w:pPr>
              <w:pStyle w:val="ConsPlusNormal"/>
            </w:pPr>
          </w:p>
        </w:tc>
        <w:tc>
          <w:tcPr>
            <w:tcW w:w="1701" w:type="dxa"/>
            <w:vAlign w:val="center"/>
          </w:tcPr>
          <w:p w14:paraId="70286DCF" w14:textId="77777777" w:rsidR="00454A29" w:rsidRDefault="00454A29">
            <w:pPr>
              <w:pStyle w:val="ConsPlusNormal"/>
            </w:pPr>
          </w:p>
        </w:tc>
        <w:tc>
          <w:tcPr>
            <w:tcW w:w="1701" w:type="dxa"/>
            <w:vAlign w:val="center"/>
          </w:tcPr>
          <w:p w14:paraId="5A099988" w14:textId="77777777" w:rsidR="00454A29" w:rsidRDefault="00454A29">
            <w:pPr>
              <w:pStyle w:val="ConsPlusNormal"/>
            </w:pPr>
          </w:p>
        </w:tc>
        <w:tc>
          <w:tcPr>
            <w:tcW w:w="1814" w:type="dxa"/>
            <w:vAlign w:val="center"/>
          </w:tcPr>
          <w:p w14:paraId="3D53CFA5" w14:textId="77777777" w:rsidR="00454A29" w:rsidRDefault="00454A29">
            <w:pPr>
              <w:pStyle w:val="ConsPlusNormal"/>
            </w:pPr>
          </w:p>
        </w:tc>
      </w:tr>
      <w:tr w:rsidR="00454A29" w14:paraId="4351DCC0" w14:textId="77777777">
        <w:tc>
          <w:tcPr>
            <w:tcW w:w="567" w:type="dxa"/>
            <w:vMerge/>
          </w:tcPr>
          <w:p w14:paraId="052F4238" w14:textId="77777777" w:rsidR="00454A29" w:rsidRDefault="00454A29"/>
        </w:tc>
        <w:tc>
          <w:tcPr>
            <w:tcW w:w="3345" w:type="dxa"/>
            <w:vMerge/>
          </w:tcPr>
          <w:p w14:paraId="010C0336" w14:textId="77777777" w:rsidR="00454A29" w:rsidRDefault="00454A29"/>
        </w:tc>
        <w:tc>
          <w:tcPr>
            <w:tcW w:w="1701" w:type="dxa"/>
            <w:vAlign w:val="center"/>
          </w:tcPr>
          <w:p w14:paraId="44E3F02E" w14:textId="77777777" w:rsidR="00454A29" w:rsidRDefault="00454A29">
            <w:pPr>
              <w:pStyle w:val="ConsPlusNormal"/>
              <w:jc w:val="center"/>
            </w:pPr>
            <w:r>
              <w:t>2021</w:t>
            </w:r>
          </w:p>
        </w:tc>
        <w:tc>
          <w:tcPr>
            <w:tcW w:w="1417" w:type="dxa"/>
            <w:vMerge/>
          </w:tcPr>
          <w:p w14:paraId="7781EC13" w14:textId="77777777" w:rsidR="00454A29" w:rsidRDefault="00454A29"/>
        </w:tc>
        <w:tc>
          <w:tcPr>
            <w:tcW w:w="2204" w:type="dxa"/>
            <w:vMerge/>
          </w:tcPr>
          <w:p w14:paraId="4E4A98A0" w14:textId="77777777" w:rsidR="00454A29" w:rsidRDefault="00454A29"/>
        </w:tc>
        <w:tc>
          <w:tcPr>
            <w:tcW w:w="1417" w:type="dxa"/>
            <w:vMerge/>
          </w:tcPr>
          <w:p w14:paraId="1ECE188E" w14:textId="77777777" w:rsidR="00454A29" w:rsidRDefault="00454A29"/>
        </w:tc>
        <w:tc>
          <w:tcPr>
            <w:tcW w:w="2324" w:type="dxa"/>
            <w:vMerge/>
          </w:tcPr>
          <w:p w14:paraId="6390BEAC" w14:textId="77777777" w:rsidR="00454A29" w:rsidRDefault="00454A29"/>
        </w:tc>
        <w:tc>
          <w:tcPr>
            <w:tcW w:w="1701" w:type="dxa"/>
            <w:vAlign w:val="center"/>
          </w:tcPr>
          <w:p w14:paraId="42EFCA70" w14:textId="77777777" w:rsidR="00454A29" w:rsidRDefault="00454A29">
            <w:pPr>
              <w:pStyle w:val="ConsPlusNormal"/>
              <w:jc w:val="center"/>
            </w:pPr>
            <w:r>
              <w:t>-</w:t>
            </w:r>
          </w:p>
        </w:tc>
        <w:tc>
          <w:tcPr>
            <w:tcW w:w="1814" w:type="dxa"/>
            <w:vAlign w:val="center"/>
          </w:tcPr>
          <w:p w14:paraId="0436117E" w14:textId="77777777" w:rsidR="00454A29" w:rsidRDefault="00454A29">
            <w:pPr>
              <w:pStyle w:val="ConsPlusNormal"/>
            </w:pPr>
          </w:p>
        </w:tc>
        <w:tc>
          <w:tcPr>
            <w:tcW w:w="1701" w:type="dxa"/>
            <w:vAlign w:val="center"/>
          </w:tcPr>
          <w:p w14:paraId="2949CA58" w14:textId="77777777" w:rsidR="00454A29" w:rsidRDefault="00454A29">
            <w:pPr>
              <w:pStyle w:val="ConsPlusNormal"/>
            </w:pPr>
          </w:p>
        </w:tc>
        <w:tc>
          <w:tcPr>
            <w:tcW w:w="1701" w:type="dxa"/>
            <w:vAlign w:val="center"/>
          </w:tcPr>
          <w:p w14:paraId="0EE454F5" w14:textId="77777777" w:rsidR="00454A29" w:rsidRDefault="00454A29">
            <w:pPr>
              <w:pStyle w:val="ConsPlusNormal"/>
            </w:pPr>
          </w:p>
        </w:tc>
        <w:tc>
          <w:tcPr>
            <w:tcW w:w="1814" w:type="dxa"/>
            <w:vAlign w:val="center"/>
          </w:tcPr>
          <w:p w14:paraId="689BFD50" w14:textId="77777777" w:rsidR="00454A29" w:rsidRDefault="00454A29">
            <w:pPr>
              <w:pStyle w:val="ConsPlusNormal"/>
            </w:pPr>
          </w:p>
        </w:tc>
      </w:tr>
      <w:tr w:rsidR="00454A29" w14:paraId="3D701FF3" w14:textId="77777777">
        <w:tc>
          <w:tcPr>
            <w:tcW w:w="567" w:type="dxa"/>
            <w:vMerge/>
          </w:tcPr>
          <w:p w14:paraId="368E80CD" w14:textId="77777777" w:rsidR="00454A29" w:rsidRDefault="00454A29"/>
        </w:tc>
        <w:tc>
          <w:tcPr>
            <w:tcW w:w="3345" w:type="dxa"/>
            <w:vMerge/>
          </w:tcPr>
          <w:p w14:paraId="13F00427" w14:textId="77777777" w:rsidR="00454A29" w:rsidRDefault="00454A29"/>
        </w:tc>
        <w:tc>
          <w:tcPr>
            <w:tcW w:w="1701" w:type="dxa"/>
            <w:vAlign w:val="center"/>
          </w:tcPr>
          <w:p w14:paraId="79DC112C" w14:textId="77777777" w:rsidR="00454A29" w:rsidRDefault="00454A29">
            <w:pPr>
              <w:pStyle w:val="ConsPlusNormal"/>
              <w:jc w:val="center"/>
            </w:pPr>
            <w:r>
              <w:t>2022</w:t>
            </w:r>
          </w:p>
        </w:tc>
        <w:tc>
          <w:tcPr>
            <w:tcW w:w="1417" w:type="dxa"/>
            <w:vMerge/>
          </w:tcPr>
          <w:p w14:paraId="0A8BD05B" w14:textId="77777777" w:rsidR="00454A29" w:rsidRDefault="00454A29"/>
        </w:tc>
        <w:tc>
          <w:tcPr>
            <w:tcW w:w="2204" w:type="dxa"/>
            <w:vMerge/>
          </w:tcPr>
          <w:p w14:paraId="30C4E0D7" w14:textId="77777777" w:rsidR="00454A29" w:rsidRDefault="00454A29"/>
        </w:tc>
        <w:tc>
          <w:tcPr>
            <w:tcW w:w="1417" w:type="dxa"/>
            <w:vMerge/>
          </w:tcPr>
          <w:p w14:paraId="0BF27146" w14:textId="77777777" w:rsidR="00454A29" w:rsidRDefault="00454A29"/>
        </w:tc>
        <w:tc>
          <w:tcPr>
            <w:tcW w:w="2324" w:type="dxa"/>
            <w:vMerge/>
          </w:tcPr>
          <w:p w14:paraId="6EF043BF" w14:textId="77777777" w:rsidR="00454A29" w:rsidRDefault="00454A29"/>
        </w:tc>
        <w:tc>
          <w:tcPr>
            <w:tcW w:w="1701" w:type="dxa"/>
            <w:vAlign w:val="center"/>
          </w:tcPr>
          <w:p w14:paraId="1263F4DE" w14:textId="77777777" w:rsidR="00454A29" w:rsidRDefault="00454A29">
            <w:pPr>
              <w:pStyle w:val="ConsPlusNormal"/>
              <w:jc w:val="center"/>
            </w:pPr>
            <w:r>
              <w:t>-</w:t>
            </w:r>
          </w:p>
        </w:tc>
        <w:tc>
          <w:tcPr>
            <w:tcW w:w="1814" w:type="dxa"/>
            <w:vAlign w:val="center"/>
          </w:tcPr>
          <w:p w14:paraId="1FB5B381" w14:textId="77777777" w:rsidR="00454A29" w:rsidRDefault="00454A29">
            <w:pPr>
              <w:pStyle w:val="ConsPlusNormal"/>
            </w:pPr>
          </w:p>
        </w:tc>
        <w:tc>
          <w:tcPr>
            <w:tcW w:w="1701" w:type="dxa"/>
            <w:vAlign w:val="center"/>
          </w:tcPr>
          <w:p w14:paraId="18B420F3" w14:textId="77777777" w:rsidR="00454A29" w:rsidRDefault="00454A29">
            <w:pPr>
              <w:pStyle w:val="ConsPlusNormal"/>
            </w:pPr>
          </w:p>
        </w:tc>
        <w:tc>
          <w:tcPr>
            <w:tcW w:w="1701" w:type="dxa"/>
            <w:vAlign w:val="center"/>
          </w:tcPr>
          <w:p w14:paraId="5160CFE3" w14:textId="77777777" w:rsidR="00454A29" w:rsidRDefault="00454A29">
            <w:pPr>
              <w:pStyle w:val="ConsPlusNormal"/>
            </w:pPr>
          </w:p>
        </w:tc>
        <w:tc>
          <w:tcPr>
            <w:tcW w:w="1814" w:type="dxa"/>
            <w:vAlign w:val="center"/>
          </w:tcPr>
          <w:p w14:paraId="0A14077E" w14:textId="77777777" w:rsidR="00454A29" w:rsidRDefault="00454A29">
            <w:pPr>
              <w:pStyle w:val="ConsPlusNormal"/>
            </w:pPr>
          </w:p>
        </w:tc>
      </w:tr>
      <w:tr w:rsidR="00454A29" w14:paraId="57F4329A" w14:textId="77777777">
        <w:tc>
          <w:tcPr>
            <w:tcW w:w="567" w:type="dxa"/>
            <w:vMerge/>
          </w:tcPr>
          <w:p w14:paraId="11868971" w14:textId="77777777" w:rsidR="00454A29" w:rsidRDefault="00454A29"/>
        </w:tc>
        <w:tc>
          <w:tcPr>
            <w:tcW w:w="3345" w:type="dxa"/>
            <w:vMerge/>
          </w:tcPr>
          <w:p w14:paraId="7153778F" w14:textId="77777777" w:rsidR="00454A29" w:rsidRDefault="00454A29"/>
        </w:tc>
        <w:tc>
          <w:tcPr>
            <w:tcW w:w="1701" w:type="dxa"/>
            <w:vAlign w:val="center"/>
          </w:tcPr>
          <w:p w14:paraId="2A1E9C0A" w14:textId="77777777" w:rsidR="00454A29" w:rsidRDefault="00454A29">
            <w:pPr>
              <w:pStyle w:val="ConsPlusNormal"/>
              <w:jc w:val="center"/>
            </w:pPr>
            <w:r>
              <w:t>2023</w:t>
            </w:r>
          </w:p>
        </w:tc>
        <w:tc>
          <w:tcPr>
            <w:tcW w:w="1417" w:type="dxa"/>
            <w:vMerge/>
          </w:tcPr>
          <w:p w14:paraId="73550578" w14:textId="77777777" w:rsidR="00454A29" w:rsidRDefault="00454A29"/>
        </w:tc>
        <w:tc>
          <w:tcPr>
            <w:tcW w:w="2204" w:type="dxa"/>
            <w:vMerge/>
          </w:tcPr>
          <w:p w14:paraId="1FBFC4A2" w14:textId="77777777" w:rsidR="00454A29" w:rsidRDefault="00454A29"/>
        </w:tc>
        <w:tc>
          <w:tcPr>
            <w:tcW w:w="1417" w:type="dxa"/>
            <w:vMerge/>
          </w:tcPr>
          <w:p w14:paraId="1AE72E08" w14:textId="77777777" w:rsidR="00454A29" w:rsidRDefault="00454A29"/>
        </w:tc>
        <w:tc>
          <w:tcPr>
            <w:tcW w:w="2324" w:type="dxa"/>
            <w:vMerge/>
          </w:tcPr>
          <w:p w14:paraId="31DD9EB5" w14:textId="77777777" w:rsidR="00454A29" w:rsidRDefault="00454A29"/>
        </w:tc>
        <w:tc>
          <w:tcPr>
            <w:tcW w:w="1701" w:type="dxa"/>
            <w:vAlign w:val="center"/>
          </w:tcPr>
          <w:p w14:paraId="1E1E4944" w14:textId="77777777" w:rsidR="00454A29" w:rsidRDefault="00454A29">
            <w:pPr>
              <w:pStyle w:val="ConsPlusNormal"/>
              <w:jc w:val="center"/>
            </w:pPr>
            <w:r>
              <w:t>327 903,68</w:t>
            </w:r>
          </w:p>
        </w:tc>
        <w:tc>
          <w:tcPr>
            <w:tcW w:w="1814" w:type="dxa"/>
            <w:vAlign w:val="center"/>
          </w:tcPr>
          <w:p w14:paraId="0AED826F" w14:textId="77777777" w:rsidR="00454A29" w:rsidRDefault="00454A29">
            <w:pPr>
              <w:pStyle w:val="ConsPlusNormal"/>
              <w:jc w:val="center"/>
            </w:pPr>
            <w:r>
              <w:t>1626,40</w:t>
            </w:r>
          </w:p>
        </w:tc>
        <w:tc>
          <w:tcPr>
            <w:tcW w:w="1701" w:type="dxa"/>
            <w:vAlign w:val="center"/>
          </w:tcPr>
          <w:p w14:paraId="54B18FCD" w14:textId="77777777" w:rsidR="00454A29" w:rsidRDefault="00454A29">
            <w:pPr>
              <w:pStyle w:val="ConsPlusNormal"/>
              <w:jc w:val="center"/>
            </w:pPr>
            <w:r>
              <w:t>161013,82</w:t>
            </w:r>
          </w:p>
        </w:tc>
        <w:tc>
          <w:tcPr>
            <w:tcW w:w="1701" w:type="dxa"/>
            <w:vAlign w:val="center"/>
          </w:tcPr>
          <w:p w14:paraId="3AE67D25" w14:textId="77777777" w:rsidR="00454A29" w:rsidRDefault="00454A29">
            <w:pPr>
              <w:pStyle w:val="ConsPlusNormal"/>
            </w:pPr>
          </w:p>
        </w:tc>
        <w:tc>
          <w:tcPr>
            <w:tcW w:w="1814" w:type="dxa"/>
            <w:vAlign w:val="center"/>
          </w:tcPr>
          <w:p w14:paraId="375BCDD5" w14:textId="77777777" w:rsidR="00454A29" w:rsidRDefault="00454A29">
            <w:pPr>
              <w:pStyle w:val="ConsPlusNormal"/>
            </w:pPr>
          </w:p>
        </w:tc>
      </w:tr>
      <w:tr w:rsidR="00454A29" w14:paraId="724EEF62" w14:textId="77777777">
        <w:tc>
          <w:tcPr>
            <w:tcW w:w="567" w:type="dxa"/>
            <w:vMerge/>
          </w:tcPr>
          <w:p w14:paraId="4E463010" w14:textId="77777777" w:rsidR="00454A29" w:rsidRDefault="00454A29"/>
        </w:tc>
        <w:tc>
          <w:tcPr>
            <w:tcW w:w="3345" w:type="dxa"/>
            <w:vMerge/>
          </w:tcPr>
          <w:p w14:paraId="75AEA1C9" w14:textId="77777777" w:rsidR="00454A29" w:rsidRDefault="00454A29"/>
        </w:tc>
        <w:tc>
          <w:tcPr>
            <w:tcW w:w="1701" w:type="dxa"/>
            <w:vAlign w:val="center"/>
          </w:tcPr>
          <w:p w14:paraId="4781A344" w14:textId="77777777" w:rsidR="00454A29" w:rsidRDefault="00454A29">
            <w:pPr>
              <w:pStyle w:val="ConsPlusNormal"/>
              <w:jc w:val="center"/>
            </w:pPr>
            <w:r>
              <w:t>2024</w:t>
            </w:r>
          </w:p>
        </w:tc>
        <w:tc>
          <w:tcPr>
            <w:tcW w:w="1417" w:type="dxa"/>
            <w:vMerge/>
          </w:tcPr>
          <w:p w14:paraId="53613C4C" w14:textId="77777777" w:rsidR="00454A29" w:rsidRDefault="00454A29"/>
        </w:tc>
        <w:tc>
          <w:tcPr>
            <w:tcW w:w="2204" w:type="dxa"/>
            <w:vMerge/>
          </w:tcPr>
          <w:p w14:paraId="54530C38" w14:textId="77777777" w:rsidR="00454A29" w:rsidRDefault="00454A29"/>
        </w:tc>
        <w:tc>
          <w:tcPr>
            <w:tcW w:w="1417" w:type="dxa"/>
            <w:vMerge/>
          </w:tcPr>
          <w:p w14:paraId="1108ADAB" w14:textId="77777777" w:rsidR="00454A29" w:rsidRDefault="00454A29"/>
        </w:tc>
        <w:tc>
          <w:tcPr>
            <w:tcW w:w="2324" w:type="dxa"/>
            <w:vMerge/>
          </w:tcPr>
          <w:p w14:paraId="14FB2D20" w14:textId="77777777" w:rsidR="00454A29" w:rsidRDefault="00454A29"/>
        </w:tc>
        <w:tc>
          <w:tcPr>
            <w:tcW w:w="1701" w:type="dxa"/>
            <w:vAlign w:val="center"/>
          </w:tcPr>
          <w:p w14:paraId="02FEDA5A" w14:textId="77777777" w:rsidR="00454A29" w:rsidRDefault="00454A29">
            <w:pPr>
              <w:pStyle w:val="ConsPlusNormal"/>
            </w:pPr>
          </w:p>
        </w:tc>
        <w:tc>
          <w:tcPr>
            <w:tcW w:w="1814" w:type="dxa"/>
            <w:vAlign w:val="center"/>
          </w:tcPr>
          <w:p w14:paraId="060B6B3E" w14:textId="77777777" w:rsidR="00454A29" w:rsidRDefault="00454A29">
            <w:pPr>
              <w:pStyle w:val="ConsPlusNormal"/>
            </w:pPr>
          </w:p>
        </w:tc>
        <w:tc>
          <w:tcPr>
            <w:tcW w:w="1701" w:type="dxa"/>
            <w:vAlign w:val="center"/>
          </w:tcPr>
          <w:p w14:paraId="7F1DD402" w14:textId="77777777" w:rsidR="00454A29" w:rsidRDefault="00454A29">
            <w:pPr>
              <w:pStyle w:val="ConsPlusNormal"/>
            </w:pPr>
          </w:p>
        </w:tc>
        <w:tc>
          <w:tcPr>
            <w:tcW w:w="1701" w:type="dxa"/>
            <w:vAlign w:val="center"/>
          </w:tcPr>
          <w:p w14:paraId="365B412F" w14:textId="77777777" w:rsidR="00454A29" w:rsidRDefault="00454A29">
            <w:pPr>
              <w:pStyle w:val="ConsPlusNormal"/>
            </w:pPr>
          </w:p>
        </w:tc>
        <w:tc>
          <w:tcPr>
            <w:tcW w:w="1814" w:type="dxa"/>
            <w:vAlign w:val="center"/>
          </w:tcPr>
          <w:p w14:paraId="65E08B5A" w14:textId="77777777" w:rsidR="00454A29" w:rsidRDefault="00454A29">
            <w:pPr>
              <w:pStyle w:val="ConsPlusNormal"/>
            </w:pPr>
          </w:p>
        </w:tc>
      </w:tr>
      <w:tr w:rsidR="00454A29" w14:paraId="48116524" w14:textId="77777777">
        <w:tc>
          <w:tcPr>
            <w:tcW w:w="567" w:type="dxa"/>
            <w:vMerge/>
          </w:tcPr>
          <w:p w14:paraId="59426DD3" w14:textId="77777777" w:rsidR="00454A29" w:rsidRDefault="00454A29"/>
        </w:tc>
        <w:tc>
          <w:tcPr>
            <w:tcW w:w="3345" w:type="dxa"/>
            <w:vMerge/>
          </w:tcPr>
          <w:p w14:paraId="647C0ECB" w14:textId="77777777" w:rsidR="00454A29" w:rsidRDefault="00454A29"/>
        </w:tc>
        <w:tc>
          <w:tcPr>
            <w:tcW w:w="1701" w:type="dxa"/>
            <w:vAlign w:val="center"/>
          </w:tcPr>
          <w:p w14:paraId="0650651B" w14:textId="77777777" w:rsidR="00454A29" w:rsidRDefault="00454A29">
            <w:pPr>
              <w:pStyle w:val="ConsPlusNormal"/>
              <w:jc w:val="center"/>
            </w:pPr>
            <w:r>
              <w:t>2025</w:t>
            </w:r>
          </w:p>
        </w:tc>
        <w:tc>
          <w:tcPr>
            <w:tcW w:w="1417" w:type="dxa"/>
            <w:vMerge/>
          </w:tcPr>
          <w:p w14:paraId="55436ABD" w14:textId="77777777" w:rsidR="00454A29" w:rsidRDefault="00454A29"/>
        </w:tc>
        <w:tc>
          <w:tcPr>
            <w:tcW w:w="2204" w:type="dxa"/>
            <w:vMerge/>
          </w:tcPr>
          <w:p w14:paraId="1662BBC4" w14:textId="77777777" w:rsidR="00454A29" w:rsidRDefault="00454A29"/>
        </w:tc>
        <w:tc>
          <w:tcPr>
            <w:tcW w:w="1417" w:type="dxa"/>
            <w:vMerge/>
          </w:tcPr>
          <w:p w14:paraId="64C9FF47" w14:textId="77777777" w:rsidR="00454A29" w:rsidRDefault="00454A29"/>
        </w:tc>
        <w:tc>
          <w:tcPr>
            <w:tcW w:w="2324" w:type="dxa"/>
            <w:vMerge/>
          </w:tcPr>
          <w:p w14:paraId="34534606" w14:textId="77777777" w:rsidR="00454A29" w:rsidRDefault="00454A29"/>
        </w:tc>
        <w:tc>
          <w:tcPr>
            <w:tcW w:w="1701" w:type="dxa"/>
            <w:vAlign w:val="center"/>
          </w:tcPr>
          <w:p w14:paraId="79B217FD" w14:textId="77777777" w:rsidR="00454A29" w:rsidRDefault="00454A29">
            <w:pPr>
              <w:pStyle w:val="ConsPlusNormal"/>
            </w:pPr>
          </w:p>
        </w:tc>
        <w:tc>
          <w:tcPr>
            <w:tcW w:w="1814" w:type="dxa"/>
            <w:vAlign w:val="center"/>
          </w:tcPr>
          <w:p w14:paraId="404F2D83" w14:textId="77777777" w:rsidR="00454A29" w:rsidRDefault="00454A29">
            <w:pPr>
              <w:pStyle w:val="ConsPlusNormal"/>
            </w:pPr>
          </w:p>
        </w:tc>
        <w:tc>
          <w:tcPr>
            <w:tcW w:w="1701" w:type="dxa"/>
            <w:vAlign w:val="center"/>
          </w:tcPr>
          <w:p w14:paraId="3891C3F2" w14:textId="77777777" w:rsidR="00454A29" w:rsidRDefault="00454A29">
            <w:pPr>
              <w:pStyle w:val="ConsPlusNormal"/>
            </w:pPr>
          </w:p>
        </w:tc>
        <w:tc>
          <w:tcPr>
            <w:tcW w:w="1701" w:type="dxa"/>
            <w:vAlign w:val="center"/>
          </w:tcPr>
          <w:p w14:paraId="4B16EE16" w14:textId="77777777" w:rsidR="00454A29" w:rsidRDefault="00454A29">
            <w:pPr>
              <w:pStyle w:val="ConsPlusNormal"/>
            </w:pPr>
          </w:p>
        </w:tc>
        <w:tc>
          <w:tcPr>
            <w:tcW w:w="1814" w:type="dxa"/>
            <w:vAlign w:val="center"/>
          </w:tcPr>
          <w:p w14:paraId="49B88D4B" w14:textId="77777777" w:rsidR="00454A29" w:rsidRDefault="00454A29">
            <w:pPr>
              <w:pStyle w:val="ConsPlusNormal"/>
            </w:pPr>
          </w:p>
        </w:tc>
      </w:tr>
      <w:tr w:rsidR="00454A29" w14:paraId="42FF2672" w14:textId="77777777">
        <w:tc>
          <w:tcPr>
            <w:tcW w:w="567" w:type="dxa"/>
            <w:vMerge/>
          </w:tcPr>
          <w:p w14:paraId="5E61E952" w14:textId="77777777" w:rsidR="00454A29" w:rsidRDefault="00454A29"/>
        </w:tc>
        <w:tc>
          <w:tcPr>
            <w:tcW w:w="3345" w:type="dxa"/>
            <w:vMerge/>
          </w:tcPr>
          <w:p w14:paraId="6D40E76C" w14:textId="77777777" w:rsidR="00454A29" w:rsidRDefault="00454A29"/>
        </w:tc>
        <w:tc>
          <w:tcPr>
            <w:tcW w:w="1701" w:type="dxa"/>
            <w:vAlign w:val="center"/>
          </w:tcPr>
          <w:p w14:paraId="6DFB0501" w14:textId="77777777" w:rsidR="00454A29" w:rsidRDefault="00454A29">
            <w:pPr>
              <w:pStyle w:val="ConsPlusNormal"/>
              <w:jc w:val="center"/>
            </w:pPr>
            <w:r>
              <w:t>2026</w:t>
            </w:r>
          </w:p>
        </w:tc>
        <w:tc>
          <w:tcPr>
            <w:tcW w:w="1417" w:type="dxa"/>
            <w:vMerge/>
          </w:tcPr>
          <w:p w14:paraId="51FBF16C" w14:textId="77777777" w:rsidR="00454A29" w:rsidRDefault="00454A29"/>
        </w:tc>
        <w:tc>
          <w:tcPr>
            <w:tcW w:w="2204" w:type="dxa"/>
            <w:vMerge/>
          </w:tcPr>
          <w:p w14:paraId="49699207" w14:textId="77777777" w:rsidR="00454A29" w:rsidRDefault="00454A29"/>
        </w:tc>
        <w:tc>
          <w:tcPr>
            <w:tcW w:w="1417" w:type="dxa"/>
            <w:vMerge/>
          </w:tcPr>
          <w:p w14:paraId="7213EF8E" w14:textId="77777777" w:rsidR="00454A29" w:rsidRDefault="00454A29"/>
        </w:tc>
        <w:tc>
          <w:tcPr>
            <w:tcW w:w="2324" w:type="dxa"/>
            <w:vMerge/>
          </w:tcPr>
          <w:p w14:paraId="01DA12B3" w14:textId="77777777" w:rsidR="00454A29" w:rsidRDefault="00454A29"/>
        </w:tc>
        <w:tc>
          <w:tcPr>
            <w:tcW w:w="1701" w:type="dxa"/>
            <w:vAlign w:val="center"/>
          </w:tcPr>
          <w:p w14:paraId="260C1719" w14:textId="77777777" w:rsidR="00454A29" w:rsidRDefault="00454A29">
            <w:pPr>
              <w:pStyle w:val="ConsPlusNormal"/>
            </w:pPr>
          </w:p>
        </w:tc>
        <w:tc>
          <w:tcPr>
            <w:tcW w:w="1814" w:type="dxa"/>
            <w:vAlign w:val="center"/>
          </w:tcPr>
          <w:p w14:paraId="38DEEB28" w14:textId="77777777" w:rsidR="00454A29" w:rsidRDefault="00454A29">
            <w:pPr>
              <w:pStyle w:val="ConsPlusNormal"/>
            </w:pPr>
          </w:p>
        </w:tc>
        <w:tc>
          <w:tcPr>
            <w:tcW w:w="1701" w:type="dxa"/>
            <w:vAlign w:val="center"/>
          </w:tcPr>
          <w:p w14:paraId="5AF03C8A" w14:textId="77777777" w:rsidR="00454A29" w:rsidRDefault="00454A29">
            <w:pPr>
              <w:pStyle w:val="ConsPlusNormal"/>
            </w:pPr>
          </w:p>
        </w:tc>
        <w:tc>
          <w:tcPr>
            <w:tcW w:w="1701" w:type="dxa"/>
            <w:vAlign w:val="center"/>
          </w:tcPr>
          <w:p w14:paraId="4D4F6042" w14:textId="77777777" w:rsidR="00454A29" w:rsidRDefault="00454A29">
            <w:pPr>
              <w:pStyle w:val="ConsPlusNormal"/>
            </w:pPr>
          </w:p>
        </w:tc>
        <w:tc>
          <w:tcPr>
            <w:tcW w:w="1814" w:type="dxa"/>
            <w:vAlign w:val="center"/>
          </w:tcPr>
          <w:p w14:paraId="792CB3EB" w14:textId="77777777" w:rsidR="00454A29" w:rsidRDefault="00454A29">
            <w:pPr>
              <w:pStyle w:val="ConsPlusNormal"/>
            </w:pPr>
          </w:p>
        </w:tc>
      </w:tr>
      <w:tr w:rsidR="00454A29" w14:paraId="11224842" w14:textId="77777777">
        <w:tc>
          <w:tcPr>
            <w:tcW w:w="567" w:type="dxa"/>
            <w:vMerge w:val="restart"/>
            <w:vAlign w:val="center"/>
          </w:tcPr>
          <w:p w14:paraId="5172C8CB" w14:textId="77777777" w:rsidR="00454A29" w:rsidRDefault="00454A29">
            <w:pPr>
              <w:pStyle w:val="ConsPlusNormal"/>
              <w:jc w:val="center"/>
            </w:pPr>
            <w:r>
              <w:t>160</w:t>
            </w:r>
          </w:p>
        </w:tc>
        <w:tc>
          <w:tcPr>
            <w:tcW w:w="3345" w:type="dxa"/>
            <w:vMerge w:val="restart"/>
            <w:vAlign w:val="center"/>
          </w:tcPr>
          <w:p w14:paraId="3B8DE45F" w14:textId="77777777" w:rsidR="00454A29" w:rsidRDefault="00454A29">
            <w:pPr>
              <w:pStyle w:val="ConsPlusNormal"/>
              <w:jc w:val="center"/>
            </w:pPr>
            <w:r>
              <w:t>Пристрой на 315 мест в с. Чурапча</w:t>
            </w:r>
          </w:p>
        </w:tc>
        <w:tc>
          <w:tcPr>
            <w:tcW w:w="1701" w:type="dxa"/>
            <w:vAlign w:val="center"/>
          </w:tcPr>
          <w:p w14:paraId="4D7ED512" w14:textId="77777777" w:rsidR="00454A29" w:rsidRDefault="00454A29">
            <w:pPr>
              <w:pStyle w:val="ConsPlusNormal"/>
              <w:jc w:val="center"/>
            </w:pPr>
            <w:r>
              <w:t>2020 - 2026 годы - всего</w:t>
            </w:r>
          </w:p>
        </w:tc>
        <w:tc>
          <w:tcPr>
            <w:tcW w:w="1417" w:type="dxa"/>
            <w:vMerge w:val="restart"/>
            <w:vAlign w:val="center"/>
          </w:tcPr>
          <w:p w14:paraId="15C0F519" w14:textId="77777777" w:rsidR="00454A29" w:rsidRDefault="00454A29">
            <w:pPr>
              <w:pStyle w:val="ConsPlusNormal"/>
              <w:jc w:val="center"/>
            </w:pPr>
            <w:r>
              <w:t>697 206,89</w:t>
            </w:r>
          </w:p>
        </w:tc>
        <w:tc>
          <w:tcPr>
            <w:tcW w:w="2204" w:type="dxa"/>
            <w:vMerge w:val="restart"/>
            <w:vAlign w:val="center"/>
          </w:tcPr>
          <w:p w14:paraId="26878697" w14:textId="77777777" w:rsidR="00454A29" w:rsidRDefault="00454A29">
            <w:pPr>
              <w:pStyle w:val="ConsPlusNormal"/>
            </w:pPr>
          </w:p>
        </w:tc>
        <w:tc>
          <w:tcPr>
            <w:tcW w:w="1417" w:type="dxa"/>
            <w:vMerge w:val="restart"/>
            <w:vAlign w:val="center"/>
          </w:tcPr>
          <w:p w14:paraId="384325C6" w14:textId="77777777" w:rsidR="00454A29" w:rsidRDefault="00454A29">
            <w:pPr>
              <w:pStyle w:val="ConsPlusNormal"/>
              <w:jc w:val="center"/>
            </w:pPr>
            <w:r>
              <w:t>315</w:t>
            </w:r>
          </w:p>
        </w:tc>
        <w:tc>
          <w:tcPr>
            <w:tcW w:w="2324" w:type="dxa"/>
            <w:vMerge w:val="restart"/>
            <w:vAlign w:val="center"/>
          </w:tcPr>
          <w:p w14:paraId="030CEB6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1AEC8E6" w14:textId="77777777" w:rsidR="00454A29" w:rsidRDefault="00454A29">
            <w:pPr>
              <w:pStyle w:val="ConsPlusNormal"/>
              <w:jc w:val="center"/>
            </w:pPr>
            <w:r>
              <w:t>697 206,89</w:t>
            </w:r>
          </w:p>
        </w:tc>
        <w:tc>
          <w:tcPr>
            <w:tcW w:w="1814" w:type="dxa"/>
            <w:vAlign w:val="center"/>
          </w:tcPr>
          <w:p w14:paraId="495DDF2C" w14:textId="77777777" w:rsidR="00454A29" w:rsidRDefault="00454A29">
            <w:pPr>
              <w:pStyle w:val="ConsPlusNormal"/>
              <w:jc w:val="center"/>
            </w:pPr>
            <w:r>
              <w:t>8 819,67</w:t>
            </w:r>
          </w:p>
        </w:tc>
        <w:tc>
          <w:tcPr>
            <w:tcW w:w="1701" w:type="dxa"/>
            <w:vAlign w:val="center"/>
          </w:tcPr>
          <w:p w14:paraId="31476DA2" w14:textId="77777777" w:rsidR="00454A29" w:rsidRDefault="00454A29">
            <w:pPr>
              <w:pStyle w:val="ConsPlusNormal"/>
              <w:jc w:val="center"/>
            </w:pPr>
            <w:r>
              <w:t>873 147,05</w:t>
            </w:r>
          </w:p>
        </w:tc>
        <w:tc>
          <w:tcPr>
            <w:tcW w:w="1701" w:type="dxa"/>
            <w:vAlign w:val="center"/>
          </w:tcPr>
          <w:p w14:paraId="1C45A0BE" w14:textId="77777777" w:rsidR="00454A29" w:rsidRDefault="00454A29">
            <w:pPr>
              <w:pStyle w:val="ConsPlusNormal"/>
              <w:jc w:val="center"/>
            </w:pPr>
            <w:r>
              <w:t>-</w:t>
            </w:r>
          </w:p>
        </w:tc>
        <w:tc>
          <w:tcPr>
            <w:tcW w:w="1814" w:type="dxa"/>
            <w:vAlign w:val="center"/>
          </w:tcPr>
          <w:p w14:paraId="3634580A" w14:textId="77777777" w:rsidR="00454A29" w:rsidRDefault="00454A29">
            <w:pPr>
              <w:pStyle w:val="ConsPlusNormal"/>
              <w:jc w:val="center"/>
            </w:pPr>
            <w:r>
              <w:t>-</w:t>
            </w:r>
          </w:p>
        </w:tc>
      </w:tr>
      <w:tr w:rsidR="00454A29" w14:paraId="14880DC3" w14:textId="77777777">
        <w:tc>
          <w:tcPr>
            <w:tcW w:w="567" w:type="dxa"/>
            <w:vMerge/>
          </w:tcPr>
          <w:p w14:paraId="6B3AD089" w14:textId="77777777" w:rsidR="00454A29" w:rsidRDefault="00454A29"/>
        </w:tc>
        <w:tc>
          <w:tcPr>
            <w:tcW w:w="3345" w:type="dxa"/>
            <w:vMerge/>
          </w:tcPr>
          <w:p w14:paraId="4A5EF953" w14:textId="77777777" w:rsidR="00454A29" w:rsidRDefault="00454A29"/>
        </w:tc>
        <w:tc>
          <w:tcPr>
            <w:tcW w:w="1701" w:type="dxa"/>
            <w:vAlign w:val="center"/>
          </w:tcPr>
          <w:p w14:paraId="388FD22C" w14:textId="77777777" w:rsidR="00454A29" w:rsidRDefault="00454A29">
            <w:pPr>
              <w:pStyle w:val="ConsPlusNormal"/>
              <w:jc w:val="center"/>
            </w:pPr>
            <w:r>
              <w:t>2020</w:t>
            </w:r>
          </w:p>
        </w:tc>
        <w:tc>
          <w:tcPr>
            <w:tcW w:w="1417" w:type="dxa"/>
            <w:vMerge/>
          </w:tcPr>
          <w:p w14:paraId="007EC6D8" w14:textId="77777777" w:rsidR="00454A29" w:rsidRDefault="00454A29"/>
        </w:tc>
        <w:tc>
          <w:tcPr>
            <w:tcW w:w="2204" w:type="dxa"/>
            <w:vMerge/>
          </w:tcPr>
          <w:p w14:paraId="1A9EEC51" w14:textId="77777777" w:rsidR="00454A29" w:rsidRDefault="00454A29"/>
        </w:tc>
        <w:tc>
          <w:tcPr>
            <w:tcW w:w="1417" w:type="dxa"/>
            <w:vMerge/>
          </w:tcPr>
          <w:p w14:paraId="5DDC9A78" w14:textId="77777777" w:rsidR="00454A29" w:rsidRDefault="00454A29"/>
        </w:tc>
        <w:tc>
          <w:tcPr>
            <w:tcW w:w="2324" w:type="dxa"/>
            <w:vMerge/>
          </w:tcPr>
          <w:p w14:paraId="731ED807" w14:textId="77777777" w:rsidR="00454A29" w:rsidRDefault="00454A29"/>
        </w:tc>
        <w:tc>
          <w:tcPr>
            <w:tcW w:w="1701" w:type="dxa"/>
            <w:vAlign w:val="center"/>
          </w:tcPr>
          <w:p w14:paraId="01527264" w14:textId="77777777" w:rsidR="00454A29" w:rsidRDefault="00454A29">
            <w:pPr>
              <w:pStyle w:val="ConsPlusNormal"/>
            </w:pPr>
          </w:p>
        </w:tc>
        <w:tc>
          <w:tcPr>
            <w:tcW w:w="1814" w:type="dxa"/>
            <w:vAlign w:val="center"/>
          </w:tcPr>
          <w:p w14:paraId="52FB24E4" w14:textId="77777777" w:rsidR="00454A29" w:rsidRDefault="00454A29">
            <w:pPr>
              <w:pStyle w:val="ConsPlusNormal"/>
            </w:pPr>
          </w:p>
        </w:tc>
        <w:tc>
          <w:tcPr>
            <w:tcW w:w="1701" w:type="dxa"/>
            <w:vAlign w:val="center"/>
          </w:tcPr>
          <w:p w14:paraId="07C3325F" w14:textId="77777777" w:rsidR="00454A29" w:rsidRDefault="00454A29">
            <w:pPr>
              <w:pStyle w:val="ConsPlusNormal"/>
            </w:pPr>
          </w:p>
        </w:tc>
        <w:tc>
          <w:tcPr>
            <w:tcW w:w="1701" w:type="dxa"/>
            <w:vAlign w:val="center"/>
          </w:tcPr>
          <w:p w14:paraId="667028E5" w14:textId="77777777" w:rsidR="00454A29" w:rsidRDefault="00454A29">
            <w:pPr>
              <w:pStyle w:val="ConsPlusNormal"/>
            </w:pPr>
          </w:p>
        </w:tc>
        <w:tc>
          <w:tcPr>
            <w:tcW w:w="1814" w:type="dxa"/>
            <w:vAlign w:val="center"/>
          </w:tcPr>
          <w:p w14:paraId="77DDD6D8" w14:textId="77777777" w:rsidR="00454A29" w:rsidRDefault="00454A29">
            <w:pPr>
              <w:pStyle w:val="ConsPlusNormal"/>
            </w:pPr>
          </w:p>
        </w:tc>
      </w:tr>
      <w:tr w:rsidR="00454A29" w14:paraId="4A33D093" w14:textId="77777777">
        <w:tc>
          <w:tcPr>
            <w:tcW w:w="567" w:type="dxa"/>
            <w:vMerge/>
          </w:tcPr>
          <w:p w14:paraId="4284BDE4" w14:textId="77777777" w:rsidR="00454A29" w:rsidRDefault="00454A29"/>
        </w:tc>
        <w:tc>
          <w:tcPr>
            <w:tcW w:w="3345" w:type="dxa"/>
            <w:vMerge/>
          </w:tcPr>
          <w:p w14:paraId="7975BBAD" w14:textId="77777777" w:rsidR="00454A29" w:rsidRDefault="00454A29"/>
        </w:tc>
        <w:tc>
          <w:tcPr>
            <w:tcW w:w="1701" w:type="dxa"/>
            <w:vAlign w:val="center"/>
          </w:tcPr>
          <w:p w14:paraId="34ADD29C" w14:textId="77777777" w:rsidR="00454A29" w:rsidRDefault="00454A29">
            <w:pPr>
              <w:pStyle w:val="ConsPlusNormal"/>
              <w:jc w:val="center"/>
            </w:pPr>
            <w:r>
              <w:t>2021</w:t>
            </w:r>
          </w:p>
        </w:tc>
        <w:tc>
          <w:tcPr>
            <w:tcW w:w="1417" w:type="dxa"/>
            <w:vMerge/>
          </w:tcPr>
          <w:p w14:paraId="0B7580C5" w14:textId="77777777" w:rsidR="00454A29" w:rsidRDefault="00454A29"/>
        </w:tc>
        <w:tc>
          <w:tcPr>
            <w:tcW w:w="2204" w:type="dxa"/>
            <w:vMerge/>
          </w:tcPr>
          <w:p w14:paraId="35D9ADBB" w14:textId="77777777" w:rsidR="00454A29" w:rsidRDefault="00454A29"/>
        </w:tc>
        <w:tc>
          <w:tcPr>
            <w:tcW w:w="1417" w:type="dxa"/>
            <w:vMerge/>
          </w:tcPr>
          <w:p w14:paraId="7AEAA031" w14:textId="77777777" w:rsidR="00454A29" w:rsidRDefault="00454A29"/>
        </w:tc>
        <w:tc>
          <w:tcPr>
            <w:tcW w:w="2324" w:type="dxa"/>
            <w:vMerge/>
          </w:tcPr>
          <w:p w14:paraId="16108006" w14:textId="77777777" w:rsidR="00454A29" w:rsidRDefault="00454A29"/>
        </w:tc>
        <w:tc>
          <w:tcPr>
            <w:tcW w:w="1701" w:type="dxa"/>
            <w:vAlign w:val="center"/>
          </w:tcPr>
          <w:p w14:paraId="120C225A" w14:textId="77777777" w:rsidR="00454A29" w:rsidRDefault="00454A29">
            <w:pPr>
              <w:pStyle w:val="ConsPlusNormal"/>
              <w:jc w:val="center"/>
            </w:pPr>
            <w:r>
              <w:t>-</w:t>
            </w:r>
          </w:p>
        </w:tc>
        <w:tc>
          <w:tcPr>
            <w:tcW w:w="1814" w:type="dxa"/>
            <w:vAlign w:val="center"/>
          </w:tcPr>
          <w:p w14:paraId="768E84B3" w14:textId="77777777" w:rsidR="00454A29" w:rsidRDefault="00454A29">
            <w:pPr>
              <w:pStyle w:val="ConsPlusNormal"/>
            </w:pPr>
          </w:p>
        </w:tc>
        <w:tc>
          <w:tcPr>
            <w:tcW w:w="1701" w:type="dxa"/>
            <w:vAlign w:val="center"/>
          </w:tcPr>
          <w:p w14:paraId="5485B519" w14:textId="77777777" w:rsidR="00454A29" w:rsidRDefault="00454A29">
            <w:pPr>
              <w:pStyle w:val="ConsPlusNormal"/>
            </w:pPr>
          </w:p>
        </w:tc>
        <w:tc>
          <w:tcPr>
            <w:tcW w:w="1701" w:type="dxa"/>
            <w:vAlign w:val="center"/>
          </w:tcPr>
          <w:p w14:paraId="2881537B" w14:textId="77777777" w:rsidR="00454A29" w:rsidRDefault="00454A29">
            <w:pPr>
              <w:pStyle w:val="ConsPlusNormal"/>
            </w:pPr>
          </w:p>
        </w:tc>
        <w:tc>
          <w:tcPr>
            <w:tcW w:w="1814" w:type="dxa"/>
            <w:vAlign w:val="center"/>
          </w:tcPr>
          <w:p w14:paraId="046C4F88" w14:textId="77777777" w:rsidR="00454A29" w:rsidRDefault="00454A29">
            <w:pPr>
              <w:pStyle w:val="ConsPlusNormal"/>
            </w:pPr>
          </w:p>
        </w:tc>
      </w:tr>
      <w:tr w:rsidR="00454A29" w14:paraId="05A25420" w14:textId="77777777">
        <w:tc>
          <w:tcPr>
            <w:tcW w:w="567" w:type="dxa"/>
            <w:vMerge/>
          </w:tcPr>
          <w:p w14:paraId="40D56BC6" w14:textId="77777777" w:rsidR="00454A29" w:rsidRDefault="00454A29"/>
        </w:tc>
        <w:tc>
          <w:tcPr>
            <w:tcW w:w="3345" w:type="dxa"/>
            <w:vMerge/>
          </w:tcPr>
          <w:p w14:paraId="569452A3" w14:textId="77777777" w:rsidR="00454A29" w:rsidRDefault="00454A29"/>
        </w:tc>
        <w:tc>
          <w:tcPr>
            <w:tcW w:w="1701" w:type="dxa"/>
            <w:vAlign w:val="center"/>
          </w:tcPr>
          <w:p w14:paraId="13330A8A" w14:textId="77777777" w:rsidR="00454A29" w:rsidRDefault="00454A29">
            <w:pPr>
              <w:pStyle w:val="ConsPlusNormal"/>
              <w:jc w:val="center"/>
            </w:pPr>
            <w:r>
              <w:t>2022</w:t>
            </w:r>
          </w:p>
        </w:tc>
        <w:tc>
          <w:tcPr>
            <w:tcW w:w="1417" w:type="dxa"/>
            <w:vMerge/>
          </w:tcPr>
          <w:p w14:paraId="28280303" w14:textId="77777777" w:rsidR="00454A29" w:rsidRDefault="00454A29"/>
        </w:tc>
        <w:tc>
          <w:tcPr>
            <w:tcW w:w="2204" w:type="dxa"/>
            <w:vMerge/>
          </w:tcPr>
          <w:p w14:paraId="22084A61" w14:textId="77777777" w:rsidR="00454A29" w:rsidRDefault="00454A29"/>
        </w:tc>
        <w:tc>
          <w:tcPr>
            <w:tcW w:w="1417" w:type="dxa"/>
            <w:vMerge/>
          </w:tcPr>
          <w:p w14:paraId="331A3F3C" w14:textId="77777777" w:rsidR="00454A29" w:rsidRDefault="00454A29"/>
        </w:tc>
        <w:tc>
          <w:tcPr>
            <w:tcW w:w="2324" w:type="dxa"/>
            <w:vMerge/>
          </w:tcPr>
          <w:p w14:paraId="10F8AC07" w14:textId="77777777" w:rsidR="00454A29" w:rsidRDefault="00454A29"/>
        </w:tc>
        <w:tc>
          <w:tcPr>
            <w:tcW w:w="1701" w:type="dxa"/>
            <w:vAlign w:val="center"/>
          </w:tcPr>
          <w:p w14:paraId="2EEC4A1B" w14:textId="77777777" w:rsidR="00454A29" w:rsidRDefault="00454A29">
            <w:pPr>
              <w:pStyle w:val="ConsPlusNormal"/>
            </w:pPr>
          </w:p>
        </w:tc>
        <w:tc>
          <w:tcPr>
            <w:tcW w:w="1814" w:type="dxa"/>
            <w:vAlign w:val="center"/>
          </w:tcPr>
          <w:p w14:paraId="39E3C52D" w14:textId="77777777" w:rsidR="00454A29" w:rsidRDefault="00454A29">
            <w:pPr>
              <w:pStyle w:val="ConsPlusNormal"/>
            </w:pPr>
          </w:p>
        </w:tc>
        <w:tc>
          <w:tcPr>
            <w:tcW w:w="1701" w:type="dxa"/>
            <w:vAlign w:val="center"/>
          </w:tcPr>
          <w:p w14:paraId="7210213E" w14:textId="77777777" w:rsidR="00454A29" w:rsidRDefault="00454A29">
            <w:pPr>
              <w:pStyle w:val="ConsPlusNormal"/>
            </w:pPr>
          </w:p>
        </w:tc>
        <w:tc>
          <w:tcPr>
            <w:tcW w:w="1701" w:type="dxa"/>
            <w:vAlign w:val="center"/>
          </w:tcPr>
          <w:p w14:paraId="6FD835D1" w14:textId="77777777" w:rsidR="00454A29" w:rsidRDefault="00454A29">
            <w:pPr>
              <w:pStyle w:val="ConsPlusNormal"/>
            </w:pPr>
          </w:p>
        </w:tc>
        <w:tc>
          <w:tcPr>
            <w:tcW w:w="1814" w:type="dxa"/>
            <w:vAlign w:val="center"/>
          </w:tcPr>
          <w:p w14:paraId="54957B26" w14:textId="77777777" w:rsidR="00454A29" w:rsidRDefault="00454A29">
            <w:pPr>
              <w:pStyle w:val="ConsPlusNormal"/>
            </w:pPr>
          </w:p>
        </w:tc>
      </w:tr>
      <w:tr w:rsidR="00454A29" w14:paraId="5AF0DF64" w14:textId="77777777">
        <w:tc>
          <w:tcPr>
            <w:tcW w:w="567" w:type="dxa"/>
            <w:vMerge/>
          </w:tcPr>
          <w:p w14:paraId="3F81F1A5" w14:textId="77777777" w:rsidR="00454A29" w:rsidRDefault="00454A29"/>
        </w:tc>
        <w:tc>
          <w:tcPr>
            <w:tcW w:w="3345" w:type="dxa"/>
            <w:vMerge/>
          </w:tcPr>
          <w:p w14:paraId="77200C3F" w14:textId="77777777" w:rsidR="00454A29" w:rsidRDefault="00454A29"/>
        </w:tc>
        <w:tc>
          <w:tcPr>
            <w:tcW w:w="1701" w:type="dxa"/>
            <w:vAlign w:val="center"/>
          </w:tcPr>
          <w:p w14:paraId="2382CDC4" w14:textId="77777777" w:rsidR="00454A29" w:rsidRDefault="00454A29">
            <w:pPr>
              <w:pStyle w:val="ConsPlusNormal"/>
              <w:jc w:val="center"/>
            </w:pPr>
            <w:r>
              <w:t>2023</w:t>
            </w:r>
          </w:p>
        </w:tc>
        <w:tc>
          <w:tcPr>
            <w:tcW w:w="1417" w:type="dxa"/>
            <w:vMerge/>
          </w:tcPr>
          <w:p w14:paraId="6C1C9BDC" w14:textId="77777777" w:rsidR="00454A29" w:rsidRDefault="00454A29"/>
        </w:tc>
        <w:tc>
          <w:tcPr>
            <w:tcW w:w="2204" w:type="dxa"/>
            <w:vMerge/>
          </w:tcPr>
          <w:p w14:paraId="209447F3" w14:textId="77777777" w:rsidR="00454A29" w:rsidRDefault="00454A29"/>
        </w:tc>
        <w:tc>
          <w:tcPr>
            <w:tcW w:w="1417" w:type="dxa"/>
            <w:vMerge/>
          </w:tcPr>
          <w:p w14:paraId="73990705" w14:textId="77777777" w:rsidR="00454A29" w:rsidRDefault="00454A29"/>
        </w:tc>
        <w:tc>
          <w:tcPr>
            <w:tcW w:w="2324" w:type="dxa"/>
            <w:vMerge/>
          </w:tcPr>
          <w:p w14:paraId="50AF5189" w14:textId="77777777" w:rsidR="00454A29" w:rsidRDefault="00454A29"/>
        </w:tc>
        <w:tc>
          <w:tcPr>
            <w:tcW w:w="1701" w:type="dxa"/>
            <w:vAlign w:val="center"/>
          </w:tcPr>
          <w:p w14:paraId="70D7E562" w14:textId="77777777" w:rsidR="00454A29" w:rsidRDefault="00454A29">
            <w:pPr>
              <w:pStyle w:val="ConsPlusNormal"/>
            </w:pPr>
          </w:p>
        </w:tc>
        <w:tc>
          <w:tcPr>
            <w:tcW w:w="1814" w:type="dxa"/>
            <w:vAlign w:val="center"/>
          </w:tcPr>
          <w:p w14:paraId="2587E108" w14:textId="77777777" w:rsidR="00454A29" w:rsidRDefault="00454A29">
            <w:pPr>
              <w:pStyle w:val="ConsPlusNormal"/>
            </w:pPr>
          </w:p>
        </w:tc>
        <w:tc>
          <w:tcPr>
            <w:tcW w:w="1701" w:type="dxa"/>
            <w:vAlign w:val="center"/>
          </w:tcPr>
          <w:p w14:paraId="68D0B044" w14:textId="77777777" w:rsidR="00454A29" w:rsidRDefault="00454A29">
            <w:pPr>
              <w:pStyle w:val="ConsPlusNormal"/>
            </w:pPr>
          </w:p>
        </w:tc>
        <w:tc>
          <w:tcPr>
            <w:tcW w:w="1701" w:type="dxa"/>
            <w:vAlign w:val="center"/>
          </w:tcPr>
          <w:p w14:paraId="29072208" w14:textId="77777777" w:rsidR="00454A29" w:rsidRDefault="00454A29">
            <w:pPr>
              <w:pStyle w:val="ConsPlusNormal"/>
            </w:pPr>
          </w:p>
        </w:tc>
        <w:tc>
          <w:tcPr>
            <w:tcW w:w="1814" w:type="dxa"/>
            <w:vAlign w:val="center"/>
          </w:tcPr>
          <w:p w14:paraId="11B15404" w14:textId="77777777" w:rsidR="00454A29" w:rsidRDefault="00454A29">
            <w:pPr>
              <w:pStyle w:val="ConsPlusNormal"/>
            </w:pPr>
          </w:p>
        </w:tc>
      </w:tr>
      <w:tr w:rsidR="00454A29" w14:paraId="7319BFB7" w14:textId="77777777">
        <w:tc>
          <w:tcPr>
            <w:tcW w:w="567" w:type="dxa"/>
            <w:vMerge/>
          </w:tcPr>
          <w:p w14:paraId="65B6D32C" w14:textId="77777777" w:rsidR="00454A29" w:rsidRDefault="00454A29"/>
        </w:tc>
        <w:tc>
          <w:tcPr>
            <w:tcW w:w="3345" w:type="dxa"/>
            <w:vMerge/>
          </w:tcPr>
          <w:p w14:paraId="31D022A4" w14:textId="77777777" w:rsidR="00454A29" w:rsidRDefault="00454A29"/>
        </w:tc>
        <w:tc>
          <w:tcPr>
            <w:tcW w:w="1701" w:type="dxa"/>
            <w:vAlign w:val="center"/>
          </w:tcPr>
          <w:p w14:paraId="18CDB763" w14:textId="77777777" w:rsidR="00454A29" w:rsidRDefault="00454A29">
            <w:pPr>
              <w:pStyle w:val="ConsPlusNormal"/>
              <w:jc w:val="center"/>
            </w:pPr>
            <w:r>
              <w:t>2024</w:t>
            </w:r>
          </w:p>
        </w:tc>
        <w:tc>
          <w:tcPr>
            <w:tcW w:w="1417" w:type="dxa"/>
            <w:vMerge/>
          </w:tcPr>
          <w:p w14:paraId="27010138" w14:textId="77777777" w:rsidR="00454A29" w:rsidRDefault="00454A29"/>
        </w:tc>
        <w:tc>
          <w:tcPr>
            <w:tcW w:w="2204" w:type="dxa"/>
            <w:vMerge/>
          </w:tcPr>
          <w:p w14:paraId="6C989A48" w14:textId="77777777" w:rsidR="00454A29" w:rsidRDefault="00454A29"/>
        </w:tc>
        <w:tc>
          <w:tcPr>
            <w:tcW w:w="1417" w:type="dxa"/>
            <w:vMerge/>
          </w:tcPr>
          <w:p w14:paraId="3563AD4D" w14:textId="77777777" w:rsidR="00454A29" w:rsidRDefault="00454A29"/>
        </w:tc>
        <w:tc>
          <w:tcPr>
            <w:tcW w:w="2324" w:type="dxa"/>
            <w:vMerge/>
          </w:tcPr>
          <w:p w14:paraId="4BFC213D" w14:textId="77777777" w:rsidR="00454A29" w:rsidRDefault="00454A29"/>
        </w:tc>
        <w:tc>
          <w:tcPr>
            <w:tcW w:w="1701" w:type="dxa"/>
            <w:vAlign w:val="center"/>
          </w:tcPr>
          <w:p w14:paraId="2293F8D4" w14:textId="77777777" w:rsidR="00454A29" w:rsidRDefault="00454A29">
            <w:pPr>
              <w:pStyle w:val="ConsPlusNormal"/>
            </w:pPr>
          </w:p>
        </w:tc>
        <w:tc>
          <w:tcPr>
            <w:tcW w:w="1814" w:type="dxa"/>
            <w:vAlign w:val="center"/>
          </w:tcPr>
          <w:p w14:paraId="21BDA46D" w14:textId="77777777" w:rsidR="00454A29" w:rsidRDefault="00454A29">
            <w:pPr>
              <w:pStyle w:val="ConsPlusNormal"/>
            </w:pPr>
          </w:p>
        </w:tc>
        <w:tc>
          <w:tcPr>
            <w:tcW w:w="1701" w:type="dxa"/>
            <w:vAlign w:val="center"/>
          </w:tcPr>
          <w:p w14:paraId="0359A10C" w14:textId="77777777" w:rsidR="00454A29" w:rsidRDefault="00454A29">
            <w:pPr>
              <w:pStyle w:val="ConsPlusNormal"/>
            </w:pPr>
          </w:p>
        </w:tc>
        <w:tc>
          <w:tcPr>
            <w:tcW w:w="1701" w:type="dxa"/>
            <w:vAlign w:val="center"/>
          </w:tcPr>
          <w:p w14:paraId="20840CB9" w14:textId="77777777" w:rsidR="00454A29" w:rsidRDefault="00454A29">
            <w:pPr>
              <w:pStyle w:val="ConsPlusNormal"/>
            </w:pPr>
          </w:p>
        </w:tc>
        <w:tc>
          <w:tcPr>
            <w:tcW w:w="1814" w:type="dxa"/>
            <w:vAlign w:val="center"/>
          </w:tcPr>
          <w:p w14:paraId="04E8D400" w14:textId="77777777" w:rsidR="00454A29" w:rsidRDefault="00454A29">
            <w:pPr>
              <w:pStyle w:val="ConsPlusNormal"/>
            </w:pPr>
          </w:p>
        </w:tc>
      </w:tr>
      <w:tr w:rsidR="00454A29" w14:paraId="32D54C9A" w14:textId="77777777">
        <w:tc>
          <w:tcPr>
            <w:tcW w:w="567" w:type="dxa"/>
            <w:vMerge/>
          </w:tcPr>
          <w:p w14:paraId="3DDCC6C4" w14:textId="77777777" w:rsidR="00454A29" w:rsidRDefault="00454A29"/>
        </w:tc>
        <w:tc>
          <w:tcPr>
            <w:tcW w:w="3345" w:type="dxa"/>
            <w:vMerge/>
          </w:tcPr>
          <w:p w14:paraId="59C22DA2" w14:textId="77777777" w:rsidR="00454A29" w:rsidRDefault="00454A29"/>
        </w:tc>
        <w:tc>
          <w:tcPr>
            <w:tcW w:w="1701" w:type="dxa"/>
            <w:vAlign w:val="center"/>
          </w:tcPr>
          <w:p w14:paraId="095D974A" w14:textId="77777777" w:rsidR="00454A29" w:rsidRDefault="00454A29">
            <w:pPr>
              <w:pStyle w:val="ConsPlusNormal"/>
              <w:jc w:val="center"/>
            </w:pPr>
            <w:r>
              <w:t>2025</w:t>
            </w:r>
          </w:p>
        </w:tc>
        <w:tc>
          <w:tcPr>
            <w:tcW w:w="1417" w:type="dxa"/>
            <w:vMerge/>
          </w:tcPr>
          <w:p w14:paraId="6681B9E3" w14:textId="77777777" w:rsidR="00454A29" w:rsidRDefault="00454A29"/>
        </w:tc>
        <w:tc>
          <w:tcPr>
            <w:tcW w:w="2204" w:type="dxa"/>
            <w:vMerge/>
          </w:tcPr>
          <w:p w14:paraId="19C528A9" w14:textId="77777777" w:rsidR="00454A29" w:rsidRDefault="00454A29"/>
        </w:tc>
        <w:tc>
          <w:tcPr>
            <w:tcW w:w="1417" w:type="dxa"/>
            <w:vMerge/>
          </w:tcPr>
          <w:p w14:paraId="3BB5A427" w14:textId="77777777" w:rsidR="00454A29" w:rsidRDefault="00454A29"/>
        </w:tc>
        <w:tc>
          <w:tcPr>
            <w:tcW w:w="2324" w:type="dxa"/>
            <w:vMerge/>
          </w:tcPr>
          <w:p w14:paraId="42672DF5" w14:textId="77777777" w:rsidR="00454A29" w:rsidRDefault="00454A29"/>
        </w:tc>
        <w:tc>
          <w:tcPr>
            <w:tcW w:w="1701" w:type="dxa"/>
            <w:vAlign w:val="center"/>
          </w:tcPr>
          <w:p w14:paraId="0B5AD5EA" w14:textId="77777777" w:rsidR="00454A29" w:rsidRDefault="00454A29">
            <w:pPr>
              <w:pStyle w:val="ConsPlusNormal"/>
              <w:jc w:val="center"/>
            </w:pPr>
            <w:r>
              <w:t>697 206,89</w:t>
            </w:r>
          </w:p>
        </w:tc>
        <w:tc>
          <w:tcPr>
            <w:tcW w:w="1814" w:type="dxa"/>
            <w:vAlign w:val="center"/>
          </w:tcPr>
          <w:p w14:paraId="36CD378B" w14:textId="77777777" w:rsidR="00454A29" w:rsidRDefault="00454A29">
            <w:pPr>
              <w:pStyle w:val="ConsPlusNormal"/>
              <w:jc w:val="center"/>
            </w:pPr>
            <w:r>
              <w:t>8 819,67</w:t>
            </w:r>
          </w:p>
        </w:tc>
        <w:tc>
          <w:tcPr>
            <w:tcW w:w="1701" w:type="dxa"/>
            <w:vAlign w:val="center"/>
          </w:tcPr>
          <w:p w14:paraId="79D8988C" w14:textId="77777777" w:rsidR="00454A29" w:rsidRDefault="00454A29">
            <w:pPr>
              <w:pStyle w:val="ConsPlusNormal"/>
              <w:jc w:val="center"/>
            </w:pPr>
            <w:r>
              <w:t>873 147,05</w:t>
            </w:r>
          </w:p>
        </w:tc>
        <w:tc>
          <w:tcPr>
            <w:tcW w:w="1701" w:type="dxa"/>
            <w:vAlign w:val="center"/>
          </w:tcPr>
          <w:p w14:paraId="056136E3" w14:textId="77777777" w:rsidR="00454A29" w:rsidRDefault="00454A29">
            <w:pPr>
              <w:pStyle w:val="ConsPlusNormal"/>
            </w:pPr>
          </w:p>
        </w:tc>
        <w:tc>
          <w:tcPr>
            <w:tcW w:w="1814" w:type="dxa"/>
            <w:vAlign w:val="center"/>
          </w:tcPr>
          <w:p w14:paraId="7D835809" w14:textId="77777777" w:rsidR="00454A29" w:rsidRDefault="00454A29">
            <w:pPr>
              <w:pStyle w:val="ConsPlusNormal"/>
            </w:pPr>
          </w:p>
        </w:tc>
      </w:tr>
      <w:tr w:rsidR="00454A29" w14:paraId="5E14316C" w14:textId="77777777">
        <w:tc>
          <w:tcPr>
            <w:tcW w:w="567" w:type="dxa"/>
            <w:vMerge/>
          </w:tcPr>
          <w:p w14:paraId="3BE8892F" w14:textId="77777777" w:rsidR="00454A29" w:rsidRDefault="00454A29"/>
        </w:tc>
        <w:tc>
          <w:tcPr>
            <w:tcW w:w="3345" w:type="dxa"/>
            <w:vMerge/>
          </w:tcPr>
          <w:p w14:paraId="62E3B6B9" w14:textId="77777777" w:rsidR="00454A29" w:rsidRDefault="00454A29"/>
        </w:tc>
        <w:tc>
          <w:tcPr>
            <w:tcW w:w="1701" w:type="dxa"/>
            <w:vAlign w:val="center"/>
          </w:tcPr>
          <w:p w14:paraId="54E5D190" w14:textId="77777777" w:rsidR="00454A29" w:rsidRDefault="00454A29">
            <w:pPr>
              <w:pStyle w:val="ConsPlusNormal"/>
              <w:jc w:val="center"/>
            </w:pPr>
            <w:r>
              <w:t>2026</w:t>
            </w:r>
          </w:p>
        </w:tc>
        <w:tc>
          <w:tcPr>
            <w:tcW w:w="1417" w:type="dxa"/>
            <w:vMerge/>
          </w:tcPr>
          <w:p w14:paraId="0FA572E8" w14:textId="77777777" w:rsidR="00454A29" w:rsidRDefault="00454A29"/>
        </w:tc>
        <w:tc>
          <w:tcPr>
            <w:tcW w:w="2204" w:type="dxa"/>
            <w:vMerge/>
          </w:tcPr>
          <w:p w14:paraId="5935EFD8" w14:textId="77777777" w:rsidR="00454A29" w:rsidRDefault="00454A29"/>
        </w:tc>
        <w:tc>
          <w:tcPr>
            <w:tcW w:w="1417" w:type="dxa"/>
            <w:vMerge/>
          </w:tcPr>
          <w:p w14:paraId="053F08D7" w14:textId="77777777" w:rsidR="00454A29" w:rsidRDefault="00454A29"/>
        </w:tc>
        <w:tc>
          <w:tcPr>
            <w:tcW w:w="2324" w:type="dxa"/>
            <w:vMerge/>
          </w:tcPr>
          <w:p w14:paraId="5E42CBA3" w14:textId="77777777" w:rsidR="00454A29" w:rsidRDefault="00454A29"/>
        </w:tc>
        <w:tc>
          <w:tcPr>
            <w:tcW w:w="1701" w:type="dxa"/>
            <w:vAlign w:val="center"/>
          </w:tcPr>
          <w:p w14:paraId="438B1A82" w14:textId="77777777" w:rsidR="00454A29" w:rsidRDefault="00454A29">
            <w:pPr>
              <w:pStyle w:val="ConsPlusNormal"/>
            </w:pPr>
          </w:p>
        </w:tc>
        <w:tc>
          <w:tcPr>
            <w:tcW w:w="1814" w:type="dxa"/>
            <w:vAlign w:val="center"/>
          </w:tcPr>
          <w:p w14:paraId="4A84D574" w14:textId="77777777" w:rsidR="00454A29" w:rsidRDefault="00454A29">
            <w:pPr>
              <w:pStyle w:val="ConsPlusNormal"/>
            </w:pPr>
          </w:p>
        </w:tc>
        <w:tc>
          <w:tcPr>
            <w:tcW w:w="1701" w:type="dxa"/>
            <w:vAlign w:val="center"/>
          </w:tcPr>
          <w:p w14:paraId="64FD9004" w14:textId="77777777" w:rsidR="00454A29" w:rsidRDefault="00454A29">
            <w:pPr>
              <w:pStyle w:val="ConsPlusNormal"/>
            </w:pPr>
          </w:p>
        </w:tc>
        <w:tc>
          <w:tcPr>
            <w:tcW w:w="1701" w:type="dxa"/>
            <w:vAlign w:val="center"/>
          </w:tcPr>
          <w:p w14:paraId="6E8AD13A" w14:textId="77777777" w:rsidR="00454A29" w:rsidRDefault="00454A29">
            <w:pPr>
              <w:pStyle w:val="ConsPlusNormal"/>
            </w:pPr>
          </w:p>
        </w:tc>
        <w:tc>
          <w:tcPr>
            <w:tcW w:w="1814" w:type="dxa"/>
            <w:vAlign w:val="center"/>
          </w:tcPr>
          <w:p w14:paraId="5E898DDD" w14:textId="77777777" w:rsidR="00454A29" w:rsidRDefault="00454A29">
            <w:pPr>
              <w:pStyle w:val="ConsPlusNormal"/>
            </w:pPr>
          </w:p>
        </w:tc>
      </w:tr>
      <w:tr w:rsidR="00454A29" w14:paraId="17BA0251" w14:textId="77777777">
        <w:tc>
          <w:tcPr>
            <w:tcW w:w="567" w:type="dxa"/>
            <w:vMerge w:val="restart"/>
            <w:vAlign w:val="center"/>
          </w:tcPr>
          <w:p w14:paraId="47B8E9C8" w14:textId="77777777" w:rsidR="00454A29" w:rsidRDefault="00454A29">
            <w:pPr>
              <w:pStyle w:val="ConsPlusNormal"/>
              <w:jc w:val="center"/>
            </w:pPr>
            <w:r>
              <w:t>161</w:t>
            </w:r>
          </w:p>
        </w:tc>
        <w:tc>
          <w:tcPr>
            <w:tcW w:w="3345" w:type="dxa"/>
            <w:vMerge w:val="restart"/>
            <w:vAlign w:val="center"/>
          </w:tcPr>
          <w:p w14:paraId="1BED6690" w14:textId="77777777" w:rsidR="00454A29" w:rsidRDefault="00454A29">
            <w:pPr>
              <w:pStyle w:val="ConsPlusNormal"/>
              <w:jc w:val="center"/>
            </w:pPr>
            <w:r>
              <w:t>Школа-сад на 90/40 мест в с. Туора-Кюель</w:t>
            </w:r>
          </w:p>
        </w:tc>
        <w:tc>
          <w:tcPr>
            <w:tcW w:w="1701" w:type="dxa"/>
            <w:vAlign w:val="center"/>
          </w:tcPr>
          <w:p w14:paraId="7D847208" w14:textId="77777777" w:rsidR="00454A29" w:rsidRDefault="00454A29">
            <w:pPr>
              <w:pStyle w:val="ConsPlusNormal"/>
              <w:jc w:val="center"/>
            </w:pPr>
            <w:r>
              <w:t>2020 - 2026 годы - всего</w:t>
            </w:r>
          </w:p>
        </w:tc>
        <w:tc>
          <w:tcPr>
            <w:tcW w:w="1417" w:type="dxa"/>
            <w:vMerge w:val="restart"/>
            <w:vAlign w:val="center"/>
          </w:tcPr>
          <w:p w14:paraId="5D17A74C" w14:textId="77777777" w:rsidR="00454A29" w:rsidRDefault="00454A29">
            <w:pPr>
              <w:pStyle w:val="ConsPlusNormal"/>
              <w:jc w:val="center"/>
            </w:pPr>
            <w:r>
              <w:t>443 486,53</w:t>
            </w:r>
          </w:p>
        </w:tc>
        <w:tc>
          <w:tcPr>
            <w:tcW w:w="2204" w:type="dxa"/>
            <w:vMerge w:val="restart"/>
            <w:vAlign w:val="center"/>
          </w:tcPr>
          <w:p w14:paraId="6F79FB54" w14:textId="77777777" w:rsidR="00454A29" w:rsidRDefault="00454A29">
            <w:pPr>
              <w:pStyle w:val="ConsPlusNormal"/>
              <w:jc w:val="center"/>
            </w:pPr>
            <w:r>
              <w:t>имеется</w:t>
            </w:r>
          </w:p>
        </w:tc>
        <w:tc>
          <w:tcPr>
            <w:tcW w:w="1417" w:type="dxa"/>
            <w:vMerge w:val="restart"/>
            <w:vAlign w:val="center"/>
          </w:tcPr>
          <w:p w14:paraId="35ABB4DC" w14:textId="77777777" w:rsidR="00454A29" w:rsidRDefault="00454A29">
            <w:pPr>
              <w:pStyle w:val="ConsPlusNormal"/>
              <w:jc w:val="center"/>
            </w:pPr>
            <w:r>
              <w:t>90</w:t>
            </w:r>
          </w:p>
        </w:tc>
        <w:tc>
          <w:tcPr>
            <w:tcW w:w="2324" w:type="dxa"/>
            <w:vMerge w:val="restart"/>
            <w:vAlign w:val="center"/>
          </w:tcPr>
          <w:p w14:paraId="174632C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B1650AE" w14:textId="77777777" w:rsidR="00454A29" w:rsidRDefault="00454A29">
            <w:pPr>
              <w:pStyle w:val="ConsPlusNormal"/>
              <w:jc w:val="center"/>
            </w:pPr>
            <w:r>
              <w:t>443 486,53</w:t>
            </w:r>
          </w:p>
        </w:tc>
        <w:tc>
          <w:tcPr>
            <w:tcW w:w="1814" w:type="dxa"/>
            <w:vAlign w:val="center"/>
          </w:tcPr>
          <w:p w14:paraId="22222E5B" w14:textId="77777777" w:rsidR="00454A29" w:rsidRDefault="00454A29">
            <w:pPr>
              <w:pStyle w:val="ConsPlusNormal"/>
              <w:jc w:val="center"/>
            </w:pPr>
            <w:r>
              <w:t>5 463,75</w:t>
            </w:r>
          </w:p>
        </w:tc>
        <w:tc>
          <w:tcPr>
            <w:tcW w:w="1701" w:type="dxa"/>
            <w:vAlign w:val="center"/>
          </w:tcPr>
          <w:p w14:paraId="14591860" w14:textId="77777777" w:rsidR="00454A29" w:rsidRDefault="00454A29">
            <w:pPr>
              <w:pStyle w:val="ConsPlusNormal"/>
              <w:jc w:val="center"/>
            </w:pPr>
            <w:r>
              <w:t>540 911,65</w:t>
            </w:r>
          </w:p>
        </w:tc>
        <w:tc>
          <w:tcPr>
            <w:tcW w:w="1701" w:type="dxa"/>
            <w:vAlign w:val="center"/>
          </w:tcPr>
          <w:p w14:paraId="3908E102" w14:textId="77777777" w:rsidR="00454A29" w:rsidRDefault="00454A29">
            <w:pPr>
              <w:pStyle w:val="ConsPlusNormal"/>
              <w:jc w:val="center"/>
            </w:pPr>
            <w:r>
              <w:t>-</w:t>
            </w:r>
          </w:p>
        </w:tc>
        <w:tc>
          <w:tcPr>
            <w:tcW w:w="1814" w:type="dxa"/>
            <w:vAlign w:val="center"/>
          </w:tcPr>
          <w:p w14:paraId="24ACE42B" w14:textId="77777777" w:rsidR="00454A29" w:rsidRDefault="00454A29">
            <w:pPr>
              <w:pStyle w:val="ConsPlusNormal"/>
              <w:jc w:val="center"/>
            </w:pPr>
            <w:r>
              <w:t>-</w:t>
            </w:r>
          </w:p>
        </w:tc>
      </w:tr>
      <w:tr w:rsidR="00454A29" w14:paraId="053A7C06" w14:textId="77777777">
        <w:tc>
          <w:tcPr>
            <w:tcW w:w="567" w:type="dxa"/>
            <w:vMerge/>
          </w:tcPr>
          <w:p w14:paraId="55F795D9" w14:textId="77777777" w:rsidR="00454A29" w:rsidRDefault="00454A29"/>
        </w:tc>
        <w:tc>
          <w:tcPr>
            <w:tcW w:w="3345" w:type="dxa"/>
            <w:vMerge/>
          </w:tcPr>
          <w:p w14:paraId="163C770F" w14:textId="77777777" w:rsidR="00454A29" w:rsidRDefault="00454A29"/>
        </w:tc>
        <w:tc>
          <w:tcPr>
            <w:tcW w:w="1701" w:type="dxa"/>
            <w:vAlign w:val="center"/>
          </w:tcPr>
          <w:p w14:paraId="28B02A08" w14:textId="77777777" w:rsidR="00454A29" w:rsidRDefault="00454A29">
            <w:pPr>
              <w:pStyle w:val="ConsPlusNormal"/>
              <w:jc w:val="center"/>
            </w:pPr>
            <w:r>
              <w:t>2020</w:t>
            </w:r>
          </w:p>
        </w:tc>
        <w:tc>
          <w:tcPr>
            <w:tcW w:w="1417" w:type="dxa"/>
            <w:vMerge/>
          </w:tcPr>
          <w:p w14:paraId="09493580" w14:textId="77777777" w:rsidR="00454A29" w:rsidRDefault="00454A29"/>
        </w:tc>
        <w:tc>
          <w:tcPr>
            <w:tcW w:w="2204" w:type="dxa"/>
            <w:vMerge/>
          </w:tcPr>
          <w:p w14:paraId="589612A4" w14:textId="77777777" w:rsidR="00454A29" w:rsidRDefault="00454A29"/>
        </w:tc>
        <w:tc>
          <w:tcPr>
            <w:tcW w:w="1417" w:type="dxa"/>
            <w:vMerge/>
          </w:tcPr>
          <w:p w14:paraId="1055FEB0" w14:textId="77777777" w:rsidR="00454A29" w:rsidRDefault="00454A29"/>
        </w:tc>
        <w:tc>
          <w:tcPr>
            <w:tcW w:w="2324" w:type="dxa"/>
            <w:vMerge/>
          </w:tcPr>
          <w:p w14:paraId="4E1868FF" w14:textId="77777777" w:rsidR="00454A29" w:rsidRDefault="00454A29"/>
        </w:tc>
        <w:tc>
          <w:tcPr>
            <w:tcW w:w="1701" w:type="dxa"/>
            <w:vAlign w:val="center"/>
          </w:tcPr>
          <w:p w14:paraId="1980EE48" w14:textId="77777777" w:rsidR="00454A29" w:rsidRDefault="00454A29">
            <w:pPr>
              <w:pStyle w:val="ConsPlusNormal"/>
            </w:pPr>
          </w:p>
        </w:tc>
        <w:tc>
          <w:tcPr>
            <w:tcW w:w="1814" w:type="dxa"/>
            <w:vAlign w:val="center"/>
          </w:tcPr>
          <w:p w14:paraId="02420C5D" w14:textId="77777777" w:rsidR="00454A29" w:rsidRDefault="00454A29">
            <w:pPr>
              <w:pStyle w:val="ConsPlusNormal"/>
            </w:pPr>
          </w:p>
        </w:tc>
        <w:tc>
          <w:tcPr>
            <w:tcW w:w="1701" w:type="dxa"/>
            <w:vAlign w:val="center"/>
          </w:tcPr>
          <w:p w14:paraId="3AE0F4D9" w14:textId="77777777" w:rsidR="00454A29" w:rsidRDefault="00454A29">
            <w:pPr>
              <w:pStyle w:val="ConsPlusNormal"/>
            </w:pPr>
          </w:p>
        </w:tc>
        <w:tc>
          <w:tcPr>
            <w:tcW w:w="1701" w:type="dxa"/>
            <w:vAlign w:val="center"/>
          </w:tcPr>
          <w:p w14:paraId="631DF0FD" w14:textId="77777777" w:rsidR="00454A29" w:rsidRDefault="00454A29">
            <w:pPr>
              <w:pStyle w:val="ConsPlusNormal"/>
            </w:pPr>
          </w:p>
        </w:tc>
        <w:tc>
          <w:tcPr>
            <w:tcW w:w="1814" w:type="dxa"/>
            <w:vAlign w:val="center"/>
          </w:tcPr>
          <w:p w14:paraId="0EB307AF" w14:textId="77777777" w:rsidR="00454A29" w:rsidRDefault="00454A29">
            <w:pPr>
              <w:pStyle w:val="ConsPlusNormal"/>
            </w:pPr>
          </w:p>
        </w:tc>
      </w:tr>
      <w:tr w:rsidR="00454A29" w14:paraId="2798D508" w14:textId="77777777">
        <w:tc>
          <w:tcPr>
            <w:tcW w:w="567" w:type="dxa"/>
            <w:vMerge/>
          </w:tcPr>
          <w:p w14:paraId="2FB4B58B" w14:textId="77777777" w:rsidR="00454A29" w:rsidRDefault="00454A29"/>
        </w:tc>
        <w:tc>
          <w:tcPr>
            <w:tcW w:w="3345" w:type="dxa"/>
            <w:vMerge/>
          </w:tcPr>
          <w:p w14:paraId="42A55449" w14:textId="77777777" w:rsidR="00454A29" w:rsidRDefault="00454A29"/>
        </w:tc>
        <w:tc>
          <w:tcPr>
            <w:tcW w:w="1701" w:type="dxa"/>
            <w:vAlign w:val="center"/>
          </w:tcPr>
          <w:p w14:paraId="5B9F5699" w14:textId="77777777" w:rsidR="00454A29" w:rsidRDefault="00454A29">
            <w:pPr>
              <w:pStyle w:val="ConsPlusNormal"/>
              <w:jc w:val="center"/>
            </w:pPr>
            <w:r>
              <w:t>2021</w:t>
            </w:r>
          </w:p>
        </w:tc>
        <w:tc>
          <w:tcPr>
            <w:tcW w:w="1417" w:type="dxa"/>
            <w:vMerge/>
          </w:tcPr>
          <w:p w14:paraId="0ACA22DF" w14:textId="77777777" w:rsidR="00454A29" w:rsidRDefault="00454A29"/>
        </w:tc>
        <w:tc>
          <w:tcPr>
            <w:tcW w:w="2204" w:type="dxa"/>
            <w:vMerge/>
          </w:tcPr>
          <w:p w14:paraId="07A87F16" w14:textId="77777777" w:rsidR="00454A29" w:rsidRDefault="00454A29"/>
        </w:tc>
        <w:tc>
          <w:tcPr>
            <w:tcW w:w="1417" w:type="dxa"/>
            <w:vMerge/>
          </w:tcPr>
          <w:p w14:paraId="662019B3" w14:textId="77777777" w:rsidR="00454A29" w:rsidRDefault="00454A29"/>
        </w:tc>
        <w:tc>
          <w:tcPr>
            <w:tcW w:w="2324" w:type="dxa"/>
            <w:vMerge/>
          </w:tcPr>
          <w:p w14:paraId="7886D665" w14:textId="77777777" w:rsidR="00454A29" w:rsidRDefault="00454A29"/>
        </w:tc>
        <w:tc>
          <w:tcPr>
            <w:tcW w:w="1701" w:type="dxa"/>
            <w:vAlign w:val="center"/>
          </w:tcPr>
          <w:p w14:paraId="67DBCFE2" w14:textId="77777777" w:rsidR="00454A29" w:rsidRDefault="00454A29">
            <w:pPr>
              <w:pStyle w:val="ConsPlusNormal"/>
              <w:jc w:val="center"/>
            </w:pPr>
            <w:r>
              <w:t>-</w:t>
            </w:r>
          </w:p>
        </w:tc>
        <w:tc>
          <w:tcPr>
            <w:tcW w:w="1814" w:type="dxa"/>
            <w:vAlign w:val="center"/>
          </w:tcPr>
          <w:p w14:paraId="76C30038" w14:textId="77777777" w:rsidR="00454A29" w:rsidRDefault="00454A29">
            <w:pPr>
              <w:pStyle w:val="ConsPlusNormal"/>
            </w:pPr>
          </w:p>
        </w:tc>
        <w:tc>
          <w:tcPr>
            <w:tcW w:w="1701" w:type="dxa"/>
            <w:vAlign w:val="center"/>
          </w:tcPr>
          <w:p w14:paraId="31EC4C7F" w14:textId="77777777" w:rsidR="00454A29" w:rsidRDefault="00454A29">
            <w:pPr>
              <w:pStyle w:val="ConsPlusNormal"/>
            </w:pPr>
          </w:p>
        </w:tc>
        <w:tc>
          <w:tcPr>
            <w:tcW w:w="1701" w:type="dxa"/>
            <w:vAlign w:val="center"/>
          </w:tcPr>
          <w:p w14:paraId="513F6A32" w14:textId="77777777" w:rsidR="00454A29" w:rsidRDefault="00454A29">
            <w:pPr>
              <w:pStyle w:val="ConsPlusNormal"/>
            </w:pPr>
          </w:p>
        </w:tc>
        <w:tc>
          <w:tcPr>
            <w:tcW w:w="1814" w:type="dxa"/>
            <w:vAlign w:val="center"/>
          </w:tcPr>
          <w:p w14:paraId="08D9D3A3" w14:textId="77777777" w:rsidR="00454A29" w:rsidRDefault="00454A29">
            <w:pPr>
              <w:pStyle w:val="ConsPlusNormal"/>
            </w:pPr>
          </w:p>
        </w:tc>
      </w:tr>
      <w:tr w:rsidR="00454A29" w14:paraId="6B0B7363" w14:textId="77777777">
        <w:tc>
          <w:tcPr>
            <w:tcW w:w="567" w:type="dxa"/>
            <w:vMerge/>
          </w:tcPr>
          <w:p w14:paraId="2D314BF4" w14:textId="77777777" w:rsidR="00454A29" w:rsidRDefault="00454A29"/>
        </w:tc>
        <w:tc>
          <w:tcPr>
            <w:tcW w:w="3345" w:type="dxa"/>
            <w:vMerge/>
          </w:tcPr>
          <w:p w14:paraId="573BA462" w14:textId="77777777" w:rsidR="00454A29" w:rsidRDefault="00454A29"/>
        </w:tc>
        <w:tc>
          <w:tcPr>
            <w:tcW w:w="1701" w:type="dxa"/>
            <w:vAlign w:val="center"/>
          </w:tcPr>
          <w:p w14:paraId="261E2E27" w14:textId="77777777" w:rsidR="00454A29" w:rsidRDefault="00454A29">
            <w:pPr>
              <w:pStyle w:val="ConsPlusNormal"/>
              <w:jc w:val="center"/>
            </w:pPr>
            <w:r>
              <w:t>2022</w:t>
            </w:r>
          </w:p>
        </w:tc>
        <w:tc>
          <w:tcPr>
            <w:tcW w:w="1417" w:type="dxa"/>
            <w:vMerge/>
          </w:tcPr>
          <w:p w14:paraId="6EDD4CE1" w14:textId="77777777" w:rsidR="00454A29" w:rsidRDefault="00454A29"/>
        </w:tc>
        <w:tc>
          <w:tcPr>
            <w:tcW w:w="2204" w:type="dxa"/>
            <w:vMerge/>
          </w:tcPr>
          <w:p w14:paraId="3ADB5537" w14:textId="77777777" w:rsidR="00454A29" w:rsidRDefault="00454A29"/>
        </w:tc>
        <w:tc>
          <w:tcPr>
            <w:tcW w:w="1417" w:type="dxa"/>
            <w:vMerge/>
          </w:tcPr>
          <w:p w14:paraId="0B60F407" w14:textId="77777777" w:rsidR="00454A29" w:rsidRDefault="00454A29"/>
        </w:tc>
        <w:tc>
          <w:tcPr>
            <w:tcW w:w="2324" w:type="dxa"/>
            <w:vMerge/>
          </w:tcPr>
          <w:p w14:paraId="217E6A3D" w14:textId="77777777" w:rsidR="00454A29" w:rsidRDefault="00454A29"/>
        </w:tc>
        <w:tc>
          <w:tcPr>
            <w:tcW w:w="1701" w:type="dxa"/>
            <w:vAlign w:val="center"/>
          </w:tcPr>
          <w:p w14:paraId="09BE7AC2" w14:textId="77777777" w:rsidR="00454A29" w:rsidRDefault="00454A29">
            <w:pPr>
              <w:pStyle w:val="ConsPlusNormal"/>
            </w:pPr>
          </w:p>
        </w:tc>
        <w:tc>
          <w:tcPr>
            <w:tcW w:w="1814" w:type="dxa"/>
            <w:vAlign w:val="center"/>
          </w:tcPr>
          <w:p w14:paraId="6B781AB9" w14:textId="77777777" w:rsidR="00454A29" w:rsidRDefault="00454A29">
            <w:pPr>
              <w:pStyle w:val="ConsPlusNormal"/>
            </w:pPr>
          </w:p>
        </w:tc>
        <w:tc>
          <w:tcPr>
            <w:tcW w:w="1701" w:type="dxa"/>
            <w:vAlign w:val="center"/>
          </w:tcPr>
          <w:p w14:paraId="79A61886" w14:textId="77777777" w:rsidR="00454A29" w:rsidRDefault="00454A29">
            <w:pPr>
              <w:pStyle w:val="ConsPlusNormal"/>
            </w:pPr>
          </w:p>
        </w:tc>
        <w:tc>
          <w:tcPr>
            <w:tcW w:w="1701" w:type="dxa"/>
            <w:vAlign w:val="center"/>
          </w:tcPr>
          <w:p w14:paraId="7407CD7B" w14:textId="77777777" w:rsidR="00454A29" w:rsidRDefault="00454A29">
            <w:pPr>
              <w:pStyle w:val="ConsPlusNormal"/>
            </w:pPr>
          </w:p>
        </w:tc>
        <w:tc>
          <w:tcPr>
            <w:tcW w:w="1814" w:type="dxa"/>
            <w:vAlign w:val="center"/>
          </w:tcPr>
          <w:p w14:paraId="6A62CAD0" w14:textId="77777777" w:rsidR="00454A29" w:rsidRDefault="00454A29">
            <w:pPr>
              <w:pStyle w:val="ConsPlusNormal"/>
            </w:pPr>
          </w:p>
        </w:tc>
      </w:tr>
      <w:tr w:rsidR="00454A29" w14:paraId="3611A6B9" w14:textId="77777777">
        <w:tc>
          <w:tcPr>
            <w:tcW w:w="567" w:type="dxa"/>
            <w:vMerge/>
          </w:tcPr>
          <w:p w14:paraId="31569766" w14:textId="77777777" w:rsidR="00454A29" w:rsidRDefault="00454A29"/>
        </w:tc>
        <w:tc>
          <w:tcPr>
            <w:tcW w:w="3345" w:type="dxa"/>
            <w:vMerge/>
          </w:tcPr>
          <w:p w14:paraId="61FAF666" w14:textId="77777777" w:rsidR="00454A29" w:rsidRDefault="00454A29"/>
        </w:tc>
        <w:tc>
          <w:tcPr>
            <w:tcW w:w="1701" w:type="dxa"/>
            <w:vAlign w:val="center"/>
          </w:tcPr>
          <w:p w14:paraId="73CB98CB" w14:textId="77777777" w:rsidR="00454A29" w:rsidRDefault="00454A29">
            <w:pPr>
              <w:pStyle w:val="ConsPlusNormal"/>
              <w:jc w:val="center"/>
            </w:pPr>
            <w:r>
              <w:t>2023</w:t>
            </w:r>
          </w:p>
        </w:tc>
        <w:tc>
          <w:tcPr>
            <w:tcW w:w="1417" w:type="dxa"/>
            <w:vMerge/>
          </w:tcPr>
          <w:p w14:paraId="64B1999B" w14:textId="77777777" w:rsidR="00454A29" w:rsidRDefault="00454A29"/>
        </w:tc>
        <w:tc>
          <w:tcPr>
            <w:tcW w:w="2204" w:type="dxa"/>
            <w:vMerge/>
          </w:tcPr>
          <w:p w14:paraId="0C5EC4E0" w14:textId="77777777" w:rsidR="00454A29" w:rsidRDefault="00454A29"/>
        </w:tc>
        <w:tc>
          <w:tcPr>
            <w:tcW w:w="1417" w:type="dxa"/>
            <w:vMerge/>
          </w:tcPr>
          <w:p w14:paraId="2AB378A1" w14:textId="77777777" w:rsidR="00454A29" w:rsidRDefault="00454A29"/>
        </w:tc>
        <w:tc>
          <w:tcPr>
            <w:tcW w:w="2324" w:type="dxa"/>
            <w:vMerge/>
          </w:tcPr>
          <w:p w14:paraId="42277541" w14:textId="77777777" w:rsidR="00454A29" w:rsidRDefault="00454A29"/>
        </w:tc>
        <w:tc>
          <w:tcPr>
            <w:tcW w:w="1701" w:type="dxa"/>
            <w:vAlign w:val="center"/>
          </w:tcPr>
          <w:p w14:paraId="7ECA245D" w14:textId="77777777" w:rsidR="00454A29" w:rsidRDefault="00454A29">
            <w:pPr>
              <w:pStyle w:val="ConsPlusNormal"/>
            </w:pPr>
          </w:p>
        </w:tc>
        <w:tc>
          <w:tcPr>
            <w:tcW w:w="1814" w:type="dxa"/>
            <w:vAlign w:val="center"/>
          </w:tcPr>
          <w:p w14:paraId="2BE1F740" w14:textId="77777777" w:rsidR="00454A29" w:rsidRDefault="00454A29">
            <w:pPr>
              <w:pStyle w:val="ConsPlusNormal"/>
            </w:pPr>
          </w:p>
        </w:tc>
        <w:tc>
          <w:tcPr>
            <w:tcW w:w="1701" w:type="dxa"/>
            <w:vAlign w:val="center"/>
          </w:tcPr>
          <w:p w14:paraId="16D728A5" w14:textId="77777777" w:rsidR="00454A29" w:rsidRDefault="00454A29">
            <w:pPr>
              <w:pStyle w:val="ConsPlusNormal"/>
            </w:pPr>
          </w:p>
        </w:tc>
        <w:tc>
          <w:tcPr>
            <w:tcW w:w="1701" w:type="dxa"/>
            <w:vAlign w:val="center"/>
          </w:tcPr>
          <w:p w14:paraId="573F05FA" w14:textId="77777777" w:rsidR="00454A29" w:rsidRDefault="00454A29">
            <w:pPr>
              <w:pStyle w:val="ConsPlusNormal"/>
            </w:pPr>
          </w:p>
        </w:tc>
        <w:tc>
          <w:tcPr>
            <w:tcW w:w="1814" w:type="dxa"/>
            <w:vAlign w:val="center"/>
          </w:tcPr>
          <w:p w14:paraId="27D51EF7" w14:textId="77777777" w:rsidR="00454A29" w:rsidRDefault="00454A29">
            <w:pPr>
              <w:pStyle w:val="ConsPlusNormal"/>
            </w:pPr>
          </w:p>
        </w:tc>
      </w:tr>
      <w:tr w:rsidR="00454A29" w14:paraId="3A8C8149" w14:textId="77777777">
        <w:tc>
          <w:tcPr>
            <w:tcW w:w="567" w:type="dxa"/>
            <w:vMerge/>
          </w:tcPr>
          <w:p w14:paraId="5E35DB80" w14:textId="77777777" w:rsidR="00454A29" w:rsidRDefault="00454A29"/>
        </w:tc>
        <w:tc>
          <w:tcPr>
            <w:tcW w:w="3345" w:type="dxa"/>
            <w:vMerge/>
          </w:tcPr>
          <w:p w14:paraId="5332A49A" w14:textId="77777777" w:rsidR="00454A29" w:rsidRDefault="00454A29"/>
        </w:tc>
        <w:tc>
          <w:tcPr>
            <w:tcW w:w="1701" w:type="dxa"/>
            <w:vAlign w:val="center"/>
          </w:tcPr>
          <w:p w14:paraId="58E17F63" w14:textId="77777777" w:rsidR="00454A29" w:rsidRDefault="00454A29">
            <w:pPr>
              <w:pStyle w:val="ConsPlusNormal"/>
              <w:jc w:val="center"/>
            </w:pPr>
            <w:r>
              <w:t>2024</w:t>
            </w:r>
          </w:p>
        </w:tc>
        <w:tc>
          <w:tcPr>
            <w:tcW w:w="1417" w:type="dxa"/>
            <w:vMerge/>
          </w:tcPr>
          <w:p w14:paraId="5DE0D1D4" w14:textId="77777777" w:rsidR="00454A29" w:rsidRDefault="00454A29"/>
        </w:tc>
        <w:tc>
          <w:tcPr>
            <w:tcW w:w="2204" w:type="dxa"/>
            <w:vMerge/>
          </w:tcPr>
          <w:p w14:paraId="14DE9C31" w14:textId="77777777" w:rsidR="00454A29" w:rsidRDefault="00454A29"/>
        </w:tc>
        <w:tc>
          <w:tcPr>
            <w:tcW w:w="1417" w:type="dxa"/>
            <w:vMerge/>
          </w:tcPr>
          <w:p w14:paraId="3B1AC60A" w14:textId="77777777" w:rsidR="00454A29" w:rsidRDefault="00454A29"/>
        </w:tc>
        <w:tc>
          <w:tcPr>
            <w:tcW w:w="2324" w:type="dxa"/>
            <w:vMerge/>
          </w:tcPr>
          <w:p w14:paraId="0D2C36FE" w14:textId="77777777" w:rsidR="00454A29" w:rsidRDefault="00454A29"/>
        </w:tc>
        <w:tc>
          <w:tcPr>
            <w:tcW w:w="1701" w:type="dxa"/>
            <w:vAlign w:val="center"/>
          </w:tcPr>
          <w:p w14:paraId="74465B14" w14:textId="77777777" w:rsidR="00454A29" w:rsidRDefault="00454A29">
            <w:pPr>
              <w:pStyle w:val="ConsPlusNormal"/>
            </w:pPr>
          </w:p>
        </w:tc>
        <w:tc>
          <w:tcPr>
            <w:tcW w:w="1814" w:type="dxa"/>
            <w:vAlign w:val="center"/>
          </w:tcPr>
          <w:p w14:paraId="4A20FFEE" w14:textId="77777777" w:rsidR="00454A29" w:rsidRDefault="00454A29">
            <w:pPr>
              <w:pStyle w:val="ConsPlusNormal"/>
            </w:pPr>
          </w:p>
        </w:tc>
        <w:tc>
          <w:tcPr>
            <w:tcW w:w="1701" w:type="dxa"/>
            <w:vAlign w:val="center"/>
          </w:tcPr>
          <w:p w14:paraId="6F073C6D" w14:textId="77777777" w:rsidR="00454A29" w:rsidRDefault="00454A29">
            <w:pPr>
              <w:pStyle w:val="ConsPlusNormal"/>
            </w:pPr>
          </w:p>
        </w:tc>
        <w:tc>
          <w:tcPr>
            <w:tcW w:w="1701" w:type="dxa"/>
            <w:vAlign w:val="center"/>
          </w:tcPr>
          <w:p w14:paraId="03A6222E" w14:textId="77777777" w:rsidR="00454A29" w:rsidRDefault="00454A29">
            <w:pPr>
              <w:pStyle w:val="ConsPlusNormal"/>
            </w:pPr>
          </w:p>
        </w:tc>
        <w:tc>
          <w:tcPr>
            <w:tcW w:w="1814" w:type="dxa"/>
            <w:vAlign w:val="center"/>
          </w:tcPr>
          <w:p w14:paraId="1779E680" w14:textId="77777777" w:rsidR="00454A29" w:rsidRDefault="00454A29">
            <w:pPr>
              <w:pStyle w:val="ConsPlusNormal"/>
            </w:pPr>
          </w:p>
        </w:tc>
      </w:tr>
      <w:tr w:rsidR="00454A29" w14:paraId="1BA5554A" w14:textId="77777777">
        <w:tc>
          <w:tcPr>
            <w:tcW w:w="567" w:type="dxa"/>
            <w:vMerge/>
          </w:tcPr>
          <w:p w14:paraId="3B489D9E" w14:textId="77777777" w:rsidR="00454A29" w:rsidRDefault="00454A29"/>
        </w:tc>
        <w:tc>
          <w:tcPr>
            <w:tcW w:w="3345" w:type="dxa"/>
            <w:vMerge/>
          </w:tcPr>
          <w:p w14:paraId="6BD396E7" w14:textId="77777777" w:rsidR="00454A29" w:rsidRDefault="00454A29"/>
        </w:tc>
        <w:tc>
          <w:tcPr>
            <w:tcW w:w="1701" w:type="dxa"/>
            <w:vAlign w:val="center"/>
          </w:tcPr>
          <w:p w14:paraId="2F511A53" w14:textId="77777777" w:rsidR="00454A29" w:rsidRDefault="00454A29">
            <w:pPr>
              <w:pStyle w:val="ConsPlusNormal"/>
              <w:jc w:val="center"/>
            </w:pPr>
            <w:r>
              <w:t>2025</w:t>
            </w:r>
          </w:p>
        </w:tc>
        <w:tc>
          <w:tcPr>
            <w:tcW w:w="1417" w:type="dxa"/>
            <w:vMerge/>
          </w:tcPr>
          <w:p w14:paraId="556BA61C" w14:textId="77777777" w:rsidR="00454A29" w:rsidRDefault="00454A29"/>
        </w:tc>
        <w:tc>
          <w:tcPr>
            <w:tcW w:w="2204" w:type="dxa"/>
            <w:vMerge/>
          </w:tcPr>
          <w:p w14:paraId="1DD076B6" w14:textId="77777777" w:rsidR="00454A29" w:rsidRDefault="00454A29"/>
        </w:tc>
        <w:tc>
          <w:tcPr>
            <w:tcW w:w="1417" w:type="dxa"/>
            <w:vMerge/>
          </w:tcPr>
          <w:p w14:paraId="6166E53A" w14:textId="77777777" w:rsidR="00454A29" w:rsidRDefault="00454A29"/>
        </w:tc>
        <w:tc>
          <w:tcPr>
            <w:tcW w:w="2324" w:type="dxa"/>
            <w:vMerge/>
          </w:tcPr>
          <w:p w14:paraId="4374DC5A" w14:textId="77777777" w:rsidR="00454A29" w:rsidRDefault="00454A29"/>
        </w:tc>
        <w:tc>
          <w:tcPr>
            <w:tcW w:w="1701" w:type="dxa"/>
            <w:vAlign w:val="center"/>
          </w:tcPr>
          <w:p w14:paraId="75365351" w14:textId="77777777" w:rsidR="00454A29" w:rsidRDefault="00454A29">
            <w:pPr>
              <w:pStyle w:val="ConsPlusNormal"/>
            </w:pPr>
          </w:p>
        </w:tc>
        <w:tc>
          <w:tcPr>
            <w:tcW w:w="1814" w:type="dxa"/>
            <w:vAlign w:val="center"/>
          </w:tcPr>
          <w:p w14:paraId="40273679" w14:textId="77777777" w:rsidR="00454A29" w:rsidRDefault="00454A29">
            <w:pPr>
              <w:pStyle w:val="ConsPlusNormal"/>
            </w:pPr>
          </w:p>
        </w:tc>
        <w:tc>
          <w:tcPr>
            <w:tcW w:w="1701" w:type="dxa"/>
            <w:vAlign w:val="center"/>
          </w:tcPr>
          <w:p w14:paraId="3B619719" w14:textId="77777777" w:rsidR="00454A29" w:rsidRDefault="00454A29">
            <w:pPr>
              <w:pStyle w:val="ConsPlusNormal"/>
            </w:pPr>
          </w:p>
        </w:tc>
        <w:tc>
          <w:tcPr>
            <w:tcW w:w="1701" w:type="dxa"/>
            <w:vAlign w:val="center"/>
          </w:tcPr>
          <w:p w14:paraId="29EE7D70" w14:textId="77777777" w:rsidR="00454A29" w:rsidRDefault="00454A29">
            <w:pPr>
              <w:pStyle w:val="ConsPlusNormal"/>
            </w:pPr>
          </w:p>
        </w:tc>
        <w:tc>
          <w:tcPr>
            <w:tcW w:w="1814" w:type="dxa"/>
            <w:vAlign w:val="center"/>
          </w:tcPr>
          <w:p w14:paraId="3D4F05FB" w14:textId="77777777" w:rsidR="00454A29" w:rsidRDefault="00454A29">
            <w:pPr>
              <w:pStyle w:val="ConsPlusNormal"/>
            </w:pPr>
          </w:p>
        </w:tc>
      </w:tr>
      <w:tr w:rsidR="00454A29" w14:paraId="06FFCE2A" w14:textId="77777777">
        <w:tc>
          <w:tcPr>
            <w:tcW w:w="567" w:type="dxa"/>
            <w:vMerge/>
          </w:tcPr>
          <w:p w14:paraId="30C5A8F6" w14:textId="77777777" w:rsidR="00454A29" w:rsidRDefault="00454A29"/>
        </w:tc>
        <w:tc>
          <w:tcPr>
            <w:tcW w:w="3345" w:type="dxa"/>
            <w:vMerge/>
          </w:tcPr>
          <w:p w14:paraId="29EFBE3C" w14:textId="77777777" w:rsidR="00454A29" w:rsidRDefault="00454A29"/>
        </w:tc>
        <w:tc>
          <w:tcPr>
            <w:tcW w:w="1701" w:type="dxa"/>
            <w:vAlign w:val="center"/>
          </w:tcPr>
          <w:p w14:paraId="6D61C79B" w14:textId="77777777" w:rsidR="00454A29" w:rsidRDefault="00454A29">
            <w:pPr>
              <w:pStyle w:val="ConsPlusNormal"/>
              <w:jc w:val="center"/>
            </w:pPr>
            <w:r>
              <w:t>2026</w:t>
            </w:r>
          </w:p>
        </w:tc>
        <w:tc>
          <w:tcPr>
            <w:tcW w:w="1417" w:type="dxa"/>
            <w:vMerge/>
          </w:tcPr>
          <w:p w14:paraId="5B336DE8" w14:textId="77777777" w:rsidR="00454A29" w:rsidRDefault="00454A29"/>
        </w:tc>
        <w:tc>
          <w:tcPr>
            <w:tcW w:w="2204" w:type="dxa"/>
            <w:vMerge/>
          </w:tcPr>
          <w:p w14:paraId="5F0C4CFF" w14:textId="77777777" w:rsidR="00454A29" w:rsidRDefault="00454A29"/>
        </w:tc>
        <w:tc>
          <w:tcPr>
            <w:tcW w:w="1417" w:type="dxa"/>
            <w:vMerge/>
          </w:tcPr>
          <w:p w14:paraId="75F2CC2B" w14:textId="77777777" w:rsidR="00454A29" w:rsidRDefault="00454A29"/>
        </w:tc>
        <w:tc>
          <w:tcPr>
            <w:tcW w:w="2324" w:type="dxa"/>
            <w:vMerge/>
          </w:tcPr>
          <w:p w14:paraId="7E8F7F49" w14:textId="77777777" w:rsidR="00454A29" w:rsidRDefault="00454A29"/>
        </w:tc>
        <w:tc>
          <w:tcPr>
            <w:tcW w:w="1701" w:type="dxa"/>
            <w:vAlign w:val="center"/>
          </w:tcPr>
          <w:p w14:paraId="6213027D" w14:textId="77777777" w:rsidR="00454A29" w:rsidRDefault="00454A29">
            <w:pPr>
              <w:pStyle w:val="ConsPlusNormal"/>
              <w:jc w:val="center"/>
            </w:pPr>
            <w:r>
              <w:t>443 486,53</w:t>
            </w:r>
          </w:p>
        </w:tc>
        <w:tc>
          <w:tcPr>
            <w:tcW w:w="1814" w:type="dxa"/>
            <w:vAlign w:val="center"/>
          </w:tcPr>
          <w:p w14:paraId="0E534FB4" w14:textId="77777777" w:rsidR="00454A29" w:rsidRDefault="00454A29">
            <w:pPr>
              <w:pStyle w:val="ConsPlusNormal"/>
              <w:jc w:val="center"/>
            </w:pPr>
            <w:r>
              <w:t>5 463,75</w:t>
            </w:r>
          </w:p>
        </w:tc>
        <w:tc>
          <w:tcPr>
            <w:tcW w:w="1701" w:type="dxa"/>
            <w:vAlign w:val="center"/>
          </w:tcPr>
          <w:p w14:paraId="2D255B26" w14:textId="77777777" w:rsidR="00454A29" w:rsidRDefault="00454A29">
            <w:pPr>
              <w:pStyle w:val="ConsPlusNormal"/>
              <w:jc w:val="center"/>
            </w:pPr>
            <w:r>
              <w:t>540 911,65</w:t>
            </w:r>
          </w:p>
        </w:tc>
        <w:tc>
          <w:tcPr>
            <w:tcW w:w="1701" w:type="dxa"/>
            <w:vAlign w:val="center"/>
          </w:tcPr>
          <w:p w14:paraId="0D268179" w14:textId="77777777" w:rsidR="00454A29" w:rsidRDefault="00454A29">
            <w:pPr>
              <w:pStyle w:val="ConsPlusNormal"/>
            </w:pPr>
          </w:p>
        </w:tc>
        <w:tc>
          <w:tcPr>
            <w:tcW w:w="1814" w:type="dxa"/>
            <w:vAlign w:val="center"/>
          </w:tcPr>
          <w:p w14:paraId="1941A912" w14:textId="77777777" w:rsidR="00454A29" w:rsidRDefault="00454A29">
            <w:pPr>
              <w:pStyle w:val="ConsPlusNormal"/>
            </w:pPr>
          </w:p>
        </w:tc>
      </w:tr>
      <w:tr w:rsidR="00454A29" w14:paraId="16834A0C" w14:textId="77777777">
        <w:tc>
          <w:tcPr>
            <w:tcW w:w="567" w:type="dxa"/>
            <w:vMerge w:val="restart"/>
            <w:vAlign w:val="center"/>
          </w:tcPr>
          <w:p w14:paraId="1E94E4B2" w14:textId="77777777" w:rsidR="00454A29" w:rsidRDefault="00454A29">
            <w:pPr>
              <w:pStyle w:val="ConsPlusNormal"/>
              <w:jc w:val="center"/>
            </w:pPr>
            <w:r>
              <w:t>162</w:t>
            </w:r>
          </w:p>
        </w:tc>
        <w:tc>
          <w:tcPr>
            <w:tcW w:w="3345" w:type="dxa"/>
            <w:vMerge w:val="restart"/>
            <w:vAlign w:val="center"/>
          </w:tcPr>
          <w:p w14:paraId="5116466C" w14:textId="77777777" w:rsidR="00454A29" w:rsidRDefault="00454A29">
            <w:pPr>
              <w:pStyle w:val="ConsPlusNormal"/>
              <w:jc w:val="center"/>
            </w:pPr>
            <w:r>
              <w:t>Школа на 120 учащихся в с. Мындагай</w:t>
            </w:r>
          </w:p>
        </w:tc>
        <w:tc>
          <w:tcPr>
            <w:tcW w:w="1701" w:type="dxa"/>
            <w:vAlign w:val="center"/>
          </w:tcPr>
          <w:p w14:paraId="5E987B31" w14:textId="77777777" w:rsidR="00454A29" w:rsidRDefault="00454A29">
            <w:pPr>
              <w:pStyle w:val="ConsPlusNormal"/>
              <w:jc w:val="center"/>
            </w:pPr>
            <w:r>
              <w:t>2020 - 2026 годы - всего</w:t>
            </w:r>
          </w:p>
        </w:tc>
        <w:tc>
          <w:tcPr>
            <w:tcW w:w="1417" w:type="dxa"/>
            <w:vMerge w:val="restart"/>
            <w:vAlign w:val="center"/>
          </w:tcPr>
          <w:p w14:paraId="1ABAFE77" w14:textId="77777777" w:rsidR="00454A29" w:rsidRDefault="00454A29">
            <w:pPr>
              <w:pStyle w:val="ConsPlusNormal"/>
              <w:jc w:val="center"/>
            </w:pPr>
            <w:r>
              <w:t>420 044,60</w:t>
            </w:r>
          </w:p>
        </w:tc>
        <w:tc>
          <w:tcPr>
            <w:tcW w:w="2204" w:type="dxa"/>
            <w:vMerge w:val="restart"/>
            <w:vAlign w:val="center"/>
          </w:tcPr>
          <w:p w14:paraId="12C0D1C8" w14:textId="77777777" w:rsidR="00454A29" w:rsidRDefault="00454A29">
            <w:pPr>
              <w:pStyle w:val="ConsPlusNormal"/>
            </w:pPr>
          </w:p>
        </w:tc>
        <w:tc>
          <w:tcPr>
            <w:tcW w:w="1417" w:type="dxa"/>
            <w:vMerge w:val="restart"/>
            <w:vAlign w:val="center"/>
          </w:tcPr>
          <w:p w14:paraId="0A3CA221" w14:textId="77777777" w:rsidR="00454A29" w:rsidRDefault="00454A29">
            <w:pPr>
              <w:pStyle w:val="ConsPlusNormal"/>
              <w:jc w:val="center"/>
            </w:pPr>
            <w:r>
              <w:t>120</w:t>
            </w:r>
          </w:p>
        </w:tc>
        <w:tc>
          <w:tcPr>
            <w:tcW w:w="2324" w:type="dxa"/>
            <w:vMerge w:val="restart"/>
            <w:vAlign w:val="center"/>
          </w:tcPr>
          <w:p w14:paraId="53246F8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7D68573" w14:textId="77777777" w:rsidR="00454A29" w:rsidRDefault="00454A29">
            <w:pPr>
              <w:pStyle w:val="ConsPlusNormal"/>
              <w:jc w:val="center"/>
            </w:pPr>
            <w:r>
              <w:t>420 044,60</w:t>
            </w:r>
          </w:p>
        </w:tc>
        <w:tc>
          <w:tcPr>
            <w:tcW w:w="1814" w:type="dxa"/>
            <w:vAlign w:val="center"/>
          </w:tcPr>
          <w:p w14:paraId="3BCA6199" w14:textId="77777777" w:rsidR="00454A29" w:rsidRDefault="00454A29">
            <w:pPr>
              <w:pStyle w:val="ConsPlusNormal"/>
              <w:jc w:val="center"/>
            </w:pPr>
            <w:r>
              <w:t>5 174,95</w:t>
            </w:r>
          </w:p>
        </w:tc>
        <w:tc>
          <w:tcPr>
            <w:tcW w:w="1701" w:type="dxa"/>
            <w:vAlign w:val="center"/>
          </w:tcPr>
          <w:p w14:paraId="5E0EF5BC" w14:textId="77777777" w:rsidR="00454A29" w:rsidRDefault="00454A29">
            <w:pPr>
              <w:pStyle w:val="ConsPlusNormal"/>
              <w:jc w:val="center"/>
            </w:pPr>
            <w:r>
              <w:t>512 319,99</w:t>
            </w:r>
          </w:p>
        </w:tc>
        <w:tc>
          <w:tcPr>
            <w:tcW w:w="1701" w:type="dxa"/>
            <w:vAlign w:val="center"/>
          </w:tcPr>
          <w:p w14:paraId="7EF60E40" w14:textId="77777777" w:rsidR="00454A29" w:rsidRDefault="00454A29">
            <w:pPr>
              <w:pStyle w:val="ConsPlusNormal"/>
              <w:jc w:val="center"/>
            </w:pPr>
            <w:r>
              <w:t>-</w:t>
            </w:r>
          </w:p>
        </w:tc>
        <w:tc>
          <w:tcPr>
            <w:tcW w:w="1814" w:type="dxa"/>
            <w:vAlign w:val="center"/>
          </w:tcPr>
          <w:p w14:paraId="408DAF1A" w14:textId="77777777" w:rsidR="00454A29" w:rsidRDefault="00454A29">
            <w:pPr>
              <w:pStyle w:val="ConsPlusNormal"/>
              <w:jc w:val="center"/>
            </w:pPr>
            <w:r>
              <w:t>-</w:t>
            </w:r>
          </w:p>
        </w:tc>
      </w:tr>
      <w:tr w:rsidR="00454A29" w14:paraId="178E7BA9" w14:textId="77777777">
        <w:tc>
          <w:tcPr>
            <w:tcW w:w="567" w:type="dxa"/>
            <w:vMerge/>
          </w:tcPr>
          <w:p w14:paraId="45BC5A6B" w14:textId="77777777" w:rsidR="00454A29" w:rsidRDefault="00454A29"/>
        </w:tc>
        <w:tc>
          <w:tcPr>
            <w:tcW w:w="3345" w:type="dxa"/>
            <w:vMerge/>
          </w:tcPr>
          <w:p w14:paraId="65E58D37" w14:textId="77777777" w:rsidR="00454A29" w:rsidRDefault="00454A29"/>
        </w:tc>
        <w:tc>
          <w:tcPr>
            <w:tcW w:w="1701" w:type="dxa"/>
            <w:vAlign w:val="center"/>
          </w:tcPr>
          <w:p w14:paraId="326768B9" w14:textId="77777777" w:rsidR="00454A29" w:rsidRDefault="00454A29">
            <w:pPr>
              <w:pStyle w:val="ConsPlusNormal"/>
              <w:jc w:val="center"/>
            </w:pPr>
            <w:r>
              <w:t>2020</w:t>
            </w:r>
          </w:p>
        </w:tc>
        <w:tc>
          <w:tcPr>
            <w:tcW w:w="1417" w:type="dxa"/>
            <w:vMerge/>
          </w:tcPr>
          <w:p w14:paraId="442950B5" w14:textId="77777777" w:rsidR="00454A29" w:rsidRDefault="00454A29"/>
        </w:tc>
        <w:tc>
          <w:tcPr>
            <w:tcW w:w="2204" w:type="dxa"/>
            <w:vMerge/>
          </w:tcPr>
          <w:p w14:paraId="0009FEE2" w14:textId="77777777" w:rsidR="00454A29" w:rsidRDefault="00454A29"/>
        </w:tc>
        <w:tc>
          <w:tcPr>
            <w:tcW w:w="1417" w:type="dxa"/>
            <w:vMerge/>
          </w:tcPr>
          <w:p w14:paraId="1A83D063" w14:textId="77777777" w:rsidR="00454A29" w:rsidRDefault="00454A29"/>
        </w:tc>
        <w:tc>
          <w:tcPr>
            <w:tcW w:w="2324" w:type="dxa"/>
            <w:vMerge/>
          </w:tcPr>
          <w:p w14:paraId="4DDE26DB" w14:textId="77777777" w:rsidR="00454A29" w:rsidRDefault="00454A29"/>
        </w:tc>
        <w:tc>
          <w:tcPr>
            <w:tcW w:w="1701" w:type="dxa"/>
            <w:vAlign w:val="center"/>
          </w:tcPr>
          <w:p w14:paraId="5E856C3A" w14:textId="77777777" w:rsidR="00454A29" w:rsidRDefault="00454A29">
            <w:pPr>
              <w:pStyle w:val="ConsPlusNormal"/>
            </w:pPr>
          </w:p>
        </w:tc>
        <w:tc>
          <w:tcPr>
            <w:tcW w:w="1814" w:type="dxa"/>
            <w:vAlign w:val="center"/>
          </w:tcPr>
          <w:p w14:paraId="3F95DE70" w14:textId="77777777" w:rsidR="00454A29" w:rsidRDefault="00454A29">
            <w:pPr>
              <w:pStyle w:val="ConsPlusNormal"/>
            </w:pPr>
          </w:p>
        </w:tc>
        <w:tc>
          <w:tcPr>
            <w:tcW w:w="1701" w:type="dxa"/>
            <w:vAlign w:val="center"/>
          </w:tcPr>
          <w:p w14:paraId="738341B5" w14:textId="77777777" w:rsidR="00454A29" w:rsidRDefault="00454A29">
            <w:pPr>
              <w:pStyle w:val="ConsPlusNormal"/>
            </w:pPr>
          </w:p>
        </w:tc>
        <w:tc>
          <w:tcPr>
            <w:tcW w:w="1701" w:type="dxa"/>
            <w:vAlign w:val="center"/>
          </w:tcPr>
          <w:p w14:paraId="0D7CA07D" w14:textId="77777777" w:rsidR="00454A29" w:rsidRDefault="00454A29">
            <w:pPr>
              <w:pStyle w:val="ConsPlusNormal"/>
            </w:pPr>
          </w:p>
        </w:tc>
        <w:tc>
          <w:tcPr>
            <w:tcW w:w="1814" w:type="dxa"/>
            <w:vAlign w:val="center"/>
          </w:tcPr>
          <w:p w14:paraId="012585E6" w14:textId="77777777" w:rsidR="00454A29" w:rsidRDefault="00454A29">
            <w:pPr>
              <w:pStyle w:val="ConsPlusNormal"/>
            </w:pPr>
          </w:p>
        </w:tc>
      </w:tr>
      <w:tr w:rsidR="00454A29" w14:paraId="3AA59FFF" w14:textId="77777777">
        <w:tc>
          <w:tcPr>
            <w:tcW w:w="567" w:type="dxa"/>
            <w:vMerge/>
          </w:tcPr>
          <w:p w14:paraId="502AB13A" w14:textId="77777777" w:rsidR="00454A29" w:rsidRDefault="00454A29"/>
        </w:tc>
        <w:tc>
          <w:tcPr>
            <w:tcW w:w="3345" w:type="dxa"/>
            <w:vMerge/>
          </w:tcPr>
          <w:p w14:paraId="10DDD135" w14:textId="77777777" w:rsidR="00454A29" w:rsidRDefault="00454A29"/>
        </w:tc>
        <w:tc>
          <w:tcPr>
            <w:tcW w:w="1701" w:type="dxa"/>
            <w:vAlign w:val="center"/>
          </w:tcPr>
          <w:p w14:paraId="28AF92DB" w14:textId="77777777" w:rsidR="00454A29" w:rsidRDefault="00454A29">
            <w:pPr>
              <w:pStyle w:val="ConsPlusNormal"/>
              <w:jc w:val="center"/>
            </w:pPr>
            <w:r>
              <w:t>2021</w:t>
            </w:r>
          </w:p>
        </w:tc>
        <w:tc>
          <w:tcPr>
            <w:tcW w:w="1417" w:type="dxa"/>
            <w:vMerge/>
          </w:tcPr>
          <w:p w14:paraId="72A1A2AA" w14:textId="77777777" w:rsidR="00454A29" w:rsidRDefault="00454A29"/>
        </w:tc>
        <w:tc>
          <w:tcPr>
            <w:tcW w:w="2204" w:type="dxa"/>
            <w:vMerge/>
          </w:tcPr>
          <w:p w14:paraId="3DEA3C0F" w14:textId="77777777" w:rsidR="00454A29" w:rsidRDefault="00454A29"/>
        </w:tc>
        <w:tc>
          <w:tcPr>
            <w:tcW w:w="1417" w:type="dxa"/>
            <w:vMerge/>
          </w:tcPr>
          <w:p w14:paraId="5E0EDF4B" w14:textId="77777777" w:rsidR="00454A29" w:rsidRDefault="00454A29"/>
        </w:tc>
        <w:tc>
          <w:tcPr>
            <w:tcW w:w="2324" w:type="dxa"/>
            <w:vMerge/>
          </w:tcPr>
          <w:p w14:paraId="7B9923E6" w14:textId="77777777" w:rsidR="00454A29" w:rsidRDefault="00454A29"/>
        </w:tc>
        <w:tc>
          <w:tcPr>
            <w:tcW w:w="1701" w:type="dxa"/>
            <w:vAlign w:val="center"/>
          </w:tcPr>
          <w:p w14:paraId="3D031EB9" w14:textId="77777777" w:rsidR="00454A29" w:rsidRDefault="00454A29">
            <w:pPr>
              <w:pStyle w:val="ConsPlusNormal"/>
            </w:pPr>
          </w:p>
        </w:tc>
        <w:tc>
          <w:tcPr>
            <w:tcW w:w="1814" w:type="dxa"/>
            <w:vAlign w:val="center"/>
          </w:tcPr>
          <w:p w14:paraId="3BBE75E6" w14:textId="77777777" w:rsidR="00454A29" w:rsidRDefault="00454A29">
            <w:pPr>
              <w:pStyle w:val="ConsPlusNormal"/>
            </w:pPr>
          </w:p>
        </w:tc>
        <w:tc>
          <w:tcPr>
            <w:tcW w:w="1701" w:type="dxa"/>
            <w:vAlign w:val="center"/>
          </w:tcPr>
          <w:p w14:paraId="14BDD877" w14:textId="77777777" w:rsidR="00454A29" w:rsidRDefault="00454A29">
            <w:pPr>
              <w:pStyle w:val="ConsPlusNormal"/>
            </w:pPr>
          </w:p>
        </w:tc>
        <w:tc>
          <w:tcPr>
            <w:tcW w:w="1701" w:type="dxa"/>
            <w:vAlign w:val="center"/>
          </w:tcPr>
          <w:p w14:paraId="522613E3" w14:textId="77777777" w:rsidR="00454A29" w:rsidRDefault="00454A29">
            <w:pPr>
              <w:pStyle w:val="ConsPlusNormal"/>
            </w:pPr>
          </w:p>
        </w:tc>
        <w:tc>
          <w:tcPr>
            <w:tcW w:w="1814" w:type="dxa"/>
            <w:vAlign w:val="center"/>
          </w:tcPr>
          <w:p w14:paraId="19D5D052" w14:textId="77777777" w:rsidR="00454A29" w:rsidRDefault="00454A29">
            <w:pPr>
              <w:pStyle w:val="ConsPlusNormal"/>
            </w:pPr>
          </w:p>
        </w:tc>
      </w:tr>
      <w:tr w:rsidR="00454A29" w14:paraId="0A36BD11" w14:textId="77777777">
        <w:tc>
          <w:tcPr>
            <w:tcW w:w="567" w:type="dxa"/>
            <w:vMerge/>
          </w:tcPr>
          <w:p w14:paraId="7EF7DB0A" w14:textId="77777777" w:rsidR="00454A29" w:rsidRDefault="00454A29"/>
        </w:tc>
        <w:tc>
          <w:tcPr>
            <w:tcW w:w="3345" w:type="dxa"/>
            <w:vMerge/>
          </w:tcPr>
          <w:p w14:paraId="059B13EF" w14:textId="77777777" w:rsidR="00454A29" w:rsidRDefault="00454A29"/>
        </w:tc>
        <w:tc>
          <w:tcPr>
            <w:tcW w:w="1701" w:type="dxa"/>
            <w:vAlign w:val="center"/>
          </w:tcPr>
          <w:p w14:paraId="295870B2" w14:textId="77777777" w:rsidR="00454A29" w:rsidRDefault="00454A29">
            <w:pPr>
              <w:pStyle w:val="ConsPlusNormal"/>
              <w:jc w:val="center"/>
            </w:pPr>
            <w:r>
              <w:t>2022</w:t>
            </w:r>
          </w:p>
        </w:tc>
        <w:tc>
          <w:tcPr>
            <w:tcW w:w="1417" w:type="dxa"/>
            <w:vMerge/>
          </w:tcPr>
          <w:p w14:paraId="40E83155" w14:textId="77777777" w:rsidR="00454A29" w:rsidRDefault="00454A29"/>
        </w:tc>
        <w:tc>
          <w:tcPr>
            <w:tcW w:w="2204" w:type="dxa"/>
            <w:vMerge/>
          </w:tcPr>
          <w:p w14:paraId="26B96D76" w14:textId="77777777" w:rsidR="00454A29" w:rsidRDefault="00454A29"/>
        </w:tc>
        <w:tc>
          <w:tcPr>
            <w:tcW w:w="1417" w:type="dxa"/>
            <w:vMerge/>
          </w:tcPr>
          <w:p w14:paraId="32A90AB4" w14:textId="77777777" w:rsidR="00454A29" w:rsidRDefault="00454A29"/>
        </w:tc>
        <w:tc>
          <w:tcPr>
            <w:tcW w:w="2324" w:type="dxa"/>
            <w:vMerge/>
          </w:tcPr>
          <w:p w14:paraId="1A0C7622" w14:textId="77777777" w:rsidR="00454A29" w:rsidRDefault="00454A29"/>
        </w:tc>
        <w:tc>
          <w:tcPr>
            <w:tcW w:w="1701" w:type="dxa"/>
            <w:vAlign w:val="center"/>
          </w:tcPr>
          <w:p w14:paraId="6B1CA88D" w14:textId="77777777" w:rsidR="00454A29" w:rsidRDefault="00454A29">
            <w:pPr>
              <w:pStyle w:val="ConsPlusNormal"/>
            </w:pPr>
          </w:p>
        </w:tc>
        <w:tc>
          <w:tcPr>
            <w:tcW w:w="1814" w:type="dxa"/>
            <w:vAlign w:val="center"/>
          </w:tcPr>
          <w:p w14:paraId="457B1DE3" w14:textId="77777777" w:rsidR="00454A29" w:rsidRDefault="00454A29">
            <w:pPr>
              <w:pStyle w:val="ConsPlusNormal"/>
            </w:pPr>
          </w:p>
        </w:tc>
        <w:tc>
          <w:tcPr>
            <w:tcW w:w="1701" w:type="dxa"/>
            <w:vAlign w:val="center"/>
          </w:tcPr>
          <w:p w14:paraId="1F366043" w14:textId="77777777" w:rsidR="00454A29" w:rsidRDefault="00454A29">
            <w:pPr>
              <w:pStyle w:val="ConsPlusNormal"/>
            </w:pPr>
          </w:p>
        </w:tc>
        <w:tc>
          <w:tcPr>
            <w:tcW w:w="1701" w:type="dxa"/>
            <w:vAlign w:val="center"/>
          </w:tcPr>
          <w:p w14:paraId="0417B92B" w14:textId="77777777" w:rsidR="00454A29" w:rsidRDefault="00454A29">
            <w:pPr>
              <w:pStyle w:val="ConsPlusNormal"/>
            </w:pPr>
          </w:p>
        </w:tc>
        <w:tc>
          <w:tcPr>
            <w:tcW w:w="1814" w:type="dxa"/>
            <w:vAlign w:val="center"/>
          </w:tcPr>
          <w:p w14:paraId="1D275D65" w14:textId="77777777" w:rsidR="00454A29" w:rsidRDefault="00454A29">
            <w:pPr>
              <w:pStyle w:val="ConsPlusNormal"/>
            </w:pPr>
          </w:p>
        </w:tc>
      </w:tr>
      <w:tr w:rsidR="00454A29" w14:paraId="22E86B9B" w14:textId="77777777">
        <w:tc>
          <w:tcPr>
            <w:tcW w:w="567" w:type="dxa"/>
            <w:vMerge/>
          </w:tcPr>
          <w:p w14:paraId="70FFF2B0" w14:textId="77777777" w:rsidR="00454A29" w:rsidRDefault="00454A29"/>
        </w:tc>
        <w:tc>
          <w:tcPr>
            <w:tcW w:w="3345" w:type="dxa"/>
            <w:vMerge/>
          </w:tcPr>
          <w:p w14:paraId="260E4F03" w14:textId="77777777" w:rsidR="00454A29" w:rsidRDefault="00454A29"/>
        </w:tc>
        <w:tc>
          <w:tcPr>
            <w:tcW w:w="1701" w:type="dxa"/>
            <w:vAlign w:val="center"/>
          </w:tcPr>
          <w:p w14:paraId="0DF9F059" w14:textId="77777777" w:rsidR="00454A29" w:rsidRDefault="00454A29">
            <w:pPr>
              <w:pStyle w:val="ConsPlusNormal"/>
              <w:jc w:val="center"/>
            </w:pPr>
            <w:r>
              <w:t>2023</w:t>
            </w:r>
          </w:p>
        </w:tc>
        <w:tc>
          <w:tcPr>
            <w:tcW w:w="1417" w:type="dxa"/>
            <w:vMerge/>
          </w:tcPr>
          <w:p w14:paraId="48863A08" w14:textId="77777777" w:rsidR="00454A29" w:rsidRDefault="00454A29"/>
        </w:tc>
        <w:tc>
          <w:tcPr>
            <w:tcW w:w="2204" w:type="dxa"/>
            <w:vMerge/>
          </w:tcPr>
          <w:p w14:paraId="606D2B7B" w14:textId="77777777" w:rsidR="00454A29" w:rsidRDefault="00454A29"/>
        </w:tc>
        <w:tc>
          <w:tcPr>
            <w:tcW w:w="1417" w:type="dxa"/>
            <w:vMerge/>
          </w:tcPr>
          <w:p w14:paraId="572A0112" w14:textId="77777777" w:rsidR="00454A29" w:rsidRDefault="00454A29"/>
        </w:tc>
        <w:tc>
          <w:tcPr>
            <w:tcW w:w="2324" w:type="dxa"/>
            <w:vMerge/>
          </w:tcPr>
          <w:p w14:paraId="01780541" w14:textId="77777777" w:rsidR="00454A29" w:rsidRDefault="00454A29"/>
        </w:tc>
        <w:tc>
          <w:tcPr>
            <w:tcW w:w="1701" w:type="dxa"/>
            <w:vAlign w:val="center"/>
          </w:tcPr>
          <w:p w14:paraId="746E4FCC" w14:textId="77777777" w:rsidR="00454A29" w:rsidRDefault="00454A29">
            <w:pPr>
              <w:pStyle w:val="ConsPlusNormal"/>
            </w:pPr>
          </w:p>
        </w:tc>
        <w:tc>
          <w:tcPr>
            <w:tcW w:w="1814" w:type="dxa"/>
            <w:vAlign w:val="center"/>
          </w:tcPr>
          <w:p w14:paraId="46F8465D" w14:textId="77777777" w:rsidR="00454A29" w:rsidRDefault="00454A29">
            <w:pPr>
              <w:pStyle w:val="ConsPlusNormal"/>
            </w:pPr>
          </w:p>
        </w:tc>
        <w:tc>
          <w:tcPr>
            <w:tcW w:w="1701" w:type="dxa"/>
            <w:vAlign w:val="center"/>
          </w:tcPr>
          <w:p w14:paraId="3DB0298A" w14:textId="77777777" w:rsidR="00454A29" w:rsidRDefault="00454A29">
            <w:pPr>
              <w:pStyle w:val="ConsPlusNormal"/>
            </w:pPr>
          </w:p>
        </w:tc>
        <w:tc>
          <w:tcPr>
            <w:tcW w:w="1701" w:type="dxa"/>
            <w:vAlign w:val="center"/>
          </w:tcPr>
          <w:p w14:paraId="2A365F1D" w14:textId="77777777" w:rsidR="00454A29" w:rsidRDefault="00454A29">
            <w:pPr>
              <w:pStyle w:val="ConsPlusNormal"/>
            </w:pPr>
          </w:p>
        </w:tc>
        <w:tc>
          <w:tcPr>
            <w:tcW w:w="1814" w:type="dxa"/>
            <w:vAlign w:val="center"/>
          </w:tcPr>
          <w:p w14:paraId="02EB960F" w14:textId="77777777" w:rsidR="00454A29" w:rsidRDefault="00454A29">
            <w:pPr>
              <w:pStyle w:val="ConsPlusNormal"/>
            </w:pPr>
          </w:p>
        </w:tc>
      </w:tr>
      <w:tr w:rsidR="00454A29" w14:paraId="7BD22719" w14:textId="77777777">
        <w:tc>
          <w:tcPr>
            <w:tcW w:w="567" w:type="dxa"/>
            <w:vMerge/>
          </w:tcPr>
          <w:p w14:paraId="4974EEF4" w14:textId="77777777" w:rsidR="00454A29" w:rsidRDefault="00454A29"/>
        </w:tc>
        <w:tc>
          <w:tcPr>
            <w:tcW w:w="3345" w:type="dxa"/>
            <w:vMerge/>
          </w:tcPr>
          <w:p w14:paraId="25FFE8B9" w14:textId="77777777" w:rsidR="00454A29" w:rsidRDefault="00454A29"/>
        </w:tc>
        <w:tc>
          <w:tcPr>
            <w:tcW w:w="1701" w:type="dxa"/>
            <w:vAlign w:val="center"/>
          </w:tcPr>
          <w:p w14:paraId="658FD221" w14:textId="77777777" w:rsidR="00454A29" w:rsidRDefault="00454A29">
            <w:pPr>
              <w:pStyle w:val="ConsPlusNormal"/>
              <w:jc w:val="center"/>
            </w:pPr>
            <w:r>
              <w:t>2024</w:t>
            </w:r>
          </w:p>
        </w:tc>
        <w:tc>
          <w:tcPr>
            <w:tcW w:w="1417" w:type="dxa"/>
            <w:vMerge/>
          </w:tcPr>
          <w:p w14:paraId="597D1C6B" w14:textId="77777777" w:rsidR="00454A29" w:rsidRDefault="00454A29"/>
        </w:tc>
        <w:tc>
          <w:tcPr>
            <w:tcW w:w="2204" w:type="dxa"/>
            <w:vMerge/>
          </w:tcPr>
          <w:p w14:paraId="2FB82C4F" w14:textId="77777777" w:rsidR="00454A29" w:rsidRDefault="00454A29"/>
        </w:tc>
        <w:tc>
          <w:tcPr>
            <w:tcW w:w="1417" w:type="dxa"/>
            <w:vMerge/>
          </w:tcPr>
          <w:p w14:paraId="47889AB5" w14:textId="77777777" w:rsidR="00454A29" w:rsidRDefault="00454A29"/>
        </w:tc>
        <w:tc>
          <w:tcPr>
            <w:tcW w:w="2324" w:type="dxa"/>
            <w:vMerge/>
          </w:tcPr>
          <w:p w14:paraId="5EA3DA95" w14:textId="77777777" w:rsidR="00454A29" w:rsidRDefault="00454A29"/>
        </w:tc>
        <w:tc>
          <w:tcPr>
            <w:tcW w:w="1701" w:type="dxa"/>
            <w:vAlign w:val="center"/>
          </w:tcPr>
          <w:p w14:paraId="4F05753F" w14:textId="77777777" w:rsidR="00454A29" w:rsidRDefault="00454A29">
            <w:pPr>
              <w:pStyle w:val="ConsPlusNormal"/>
            </w:pPr>
          </w:p>
        </w:tc>
        <w:tc>
          <w:tcPr>
            <w:tcW w:w="1814" w:type="dxa"/>
            <w:vAlign w:val="center"/>
          </w:tcPr>
          <w:p w14:paraId="1F6FDA0A" w14:textId="77777777" w:rsidR="00454A29" w:rsidRDefault="00454A29">
            <w:pPr>
              <w:pStyle w:val="ConsPlusNormal"/>
            </w:pPr>
          </w:p>
        </w:tc>
        <w:tc>
          <w:tcPr>
            <w:tcW w:w="1701" w:type="dxa"/>
            <w:vAlign w:val="center"/>
          </w:tcPr>
          <w:p w14:paraId="210C778B" w14:textId="77777777" w:rsidR="00454A29" w:rsidRDefault="00454A29">
            <w:pPr>
              <w:pStyle w:val="ConsPlusNormal"/>
            </w:pPr>
          </w:p>
        </w:tc>
        <w:tc>
          <w:tcPr>
            <w:tcW w:w="1701" w:type="dxa"/>
            <w:vAlign w:val="center"/>
          </w:tcPr>
          <w:p w14:paraId="7652D507" w14:textId="77777777" w:rsidR="00454A29" w:rsidRDefault="00454A29">
            <w:pPr>
              <w:pStyle w:val="ConsPlusNormal"/>
            </w:pPr>
          </w:p>
        </w:tc>
        <w:tc>
          <w:tcPr>
            <w:tcW w:w="1814" w:type="dxa"/>
            <w:vAlign w:val="center"/>
          </w:tcPr>
          <w:p w14:paraId="62C35CF6" w14:textId="77777777" w:rsidR="00454A29" w:rsidRDefault="00454A29">
            <w:pPr>
              <w:pStyle w:val="ConsPlusNormal"/>
            </w:pPr>
          </w:p>
        </w:tc>
      </w:tr>
      <w:tr w:rsidR="00454A29" w14:paraId="49A64615" w14:textId="77777777">
        <w:tc>
          <w:tcPr>
            <w:tcW w:w="567" w:type="dxa"/>
            <w:vMerge/>
          </w:tcPr>
          <w:p w14:paraId="4832F333" w14:textId="77777777" w:rsidR="00454A29" w:rsidRDefault="00454A29"/>
        </w:tc>
        <w:tc>
          <w:tcPr>
            <w:tcW w:w="3345" w:type="dxa"/>
            <w:vMerge/>
          </w:tcPr>
          <w:p w14:paraId="65A8D4F3" w14:textId="77777777" w:rsidR="00454A29" w:rsidRDefault="00454A29"/>
        </w:tc>
        <w:tc>
          <w:tcPr>
            <w:tcW w:w="1701" w:type="dxa"/>
            <w:vAlign w:val="center"/>
          </w:tcPr>
          <w:p w14:paraId="18FE5DEC" w14:textId="77777777" w:rsidR="00454A29" w:rsidRDefault="00454A29">
            <w:pPr>
              <w:pStyle w:val="ConsPlusNormal"/>
              <w:jc w:val="center"/>
            </w:pPr>
            <w:r>
              <w:t>2025</w:t>
            </w:r>
          </w:p>
        </w:tc>
        <w:tc>
          <w:tcPr>
            <w:tcW w:w="1417" w:type="dxa"/>
            <w:vMerge/>
          </w:tcPr>
          <w:p w14:paraId="7165F2EF" w14:textId="77777777" w:rsidR="00454A29" w:rsidRDefault="00454A29"/>
        </w:tc>
        <w:tc>
          <w:tcPr>
            <w:tcW w:w="2204" w:type="dxa"/>
            <w:vMerge/>
          </w:tcPr>
          <w:p w14:paraId="6F25B09C" w14:textId="77777777" w:rsidR="00454A29" w:rsidRDefault="00454A29"/>
        </w:tc>
        <w:tc>
          <w:tcPr>
            <w:tcW w:w="1417" w:type="dxa"/>
            <w:vMerge/>
          </w:tcPr>
          <w:p w14:paraId="13F53F32" w14:textId="77777777" w:rsidR="00454A29" w:rsidRDefault="00454A29"/>
        </w:tc>
        <w:tc>
          <w:tcPr>
            <w:tcW w:w="2324" w:type="dxa"/>
            <w:vMerge/>
          </w:tcPr>
          <w:p w14:paraId="428611A5" w14:textId="77777777" w:rsidR="00454A29" w:rsidRDefault="00454A29"/>
        </w:tc>
        <w:tc>
          <w:tcPr>
            <w:tcW w:w="1701" w:type="dxa"/>
            <w:vAlign w:val="center"/>
          </w:tcPr>
          <w:p w14:paraId="2C5FAE6D" w14:textId="77777777" w:rsidR="00454A29" w:rsidRDefault="00454A29">
            <w:pPr>
              <w:pStyle w:val="ConsPlusNormal"/>
            </w:pPr>
          </w:p>
        </w:tc>
        <w:tc>
          <w:tcPr>
            <w:tcW w:w="1814" w:type="dxa"/>
            <w:vAlign w:val="center"/>
          </w:tcPr>
          <w:p w14:paraId="6DB34A03" w14:textId="77777777" w:rsidR="00454A29" w:rsidRDefault="00454A29">
            <w:pPr>
              <w:pStyle w:val="ConsPlusNormal"/>
            </w:pPr>
          </w:p>
        </w:tc>
        <w:tc>
          <w:tcPr>
            <w:tcW w:w="1701" w:type="dxa"/>
            <w:vAlign w:val="center"/>
          </w:tcPr>
          <w:p w14:paraId="122B3AB2" w14:textId="77777777" w:rsidR="00454A29" w:rsidRDefault="00454A29">
            <w:pPr>
              <w:pStyle w:val="ConsPlusNormal"/>
            </w:pPr>
          </w:p>
        </w:tc>
        <w:tc>
          <w:tcPr>
            <w:tcW w:w="1701" w:type="dxa"/>
            <w:vAlign w:val="center"/>
          </w:tcPr>
          <w:p w14:paraId="1F777DD5" w14:textId="77777777" w:rsidR="00454A29" w:rsidRDefault="00454A29">
            <w:pPr>
              <w:pStyle w:val="ConsPlusNormal"/>
            </w:pPr>
          </w:p>
        </w:tc>
        <w:tc>
          <w:tcPr>
            <w:tcW w:w="1814" w:type="dxa"/>
            <w:vAlign w:val="center"/>
          </w:tcPr>
          <w:p w14:paraId="46230C93" w14:textId="77777777" w:rsidR="00454A29" w:rsidRDefault="00454A29">
            <w:pPr>
              <w:pStyle w:val="ConsPlusNormal"/>
            </w:pPr>
          </w:p>
        </w:tc>
      </w:tr>
      <w:tr w:rsidR="00454A29" w14:paraId="251AF3B0" w14:textId="77777777">
        <w:tc>
          <w:tcPr>
            <w:tcW w:w="567" w:type="dxa"/>
            <w:vMerge/>
          </w:tcPr>
          <w:p w14:paraId="0ADB75F0" w14:textId="77777777" w:rsidR="00454A29" w:rsidRDefault="00454A29"/>
        </w:tc>
        <w:tc>
          <w:tcPr>
            <w:tcW w:w="3345" w:type="dxa"/>
            <w:vMerge/>
          </w:tcPr>
          <w:p w14:paraId="204837A7" w14:textId="77777777" w:rsidR="00454A29" w:rsidRDefault="00454A29"/>
        </w:tc>
        <w:tc>
          <w:tcPr>
            <w:tcW w:w="1701" w:type="dxa"/>
            <w:vAlign w:val="center"/>
          </w:tcPr>
          <w:p w14:paraId="0D8BD5BE" w14:textId="77777777" w:rsidR="00454A29" w:rsidRDefault="00454A29">
            <w:pPr>
              <w:pStyle w:val="ConsPlusNormal"/>
              <w:jc w:val="center"/>
            </w:pPr>
            <w:r>
              <w:t>2026</w:t>
            </w:r>
          </w:p>
        </w:tc>
        <w:tc>
          <w:tcPr>
            <w:tcW w:w="1417" w:type="dxa"/>
            <w:vMerge/>
          </w:tcPr>
          <w:p w14:paraId="489385DB" w14:textId="77777777" w:rsidR="00454A29" w:rsidRDefault="00454A29"/>
        </w:tc>
        <w:tc>
          <w:tcPr>
            <w:tcW w:w="2204" w:type="dxa"/>
            <w:vMerge/>
          </w:tcPr>
          <w:p w14:paraId="5E83065D" w14:textId="77777777" w:rsidR="00454A29" w:rsidRDefault="00454A29"/>
        </w:tc>
        <w:tc>
          <w:tcPr>
            <w:tcW w:w="1417" w:type="dxa"/>
            <w:vMerge/>
          </w:tcPr>
          <w:p w14:paraId="6397F586" w14:textId="77777777" w:rsidR="00454A29" w:rsidRDefault="00454A29"/>
        </w:tc>
        <w:tc>
          <w:tcPr>
            <w:tcW w:w="2324" w:type="dxa"/>
            <w:vMerge/>
          </w:tcPr>
          <w:p w14:paraId="57B30A6B" w14:textId="77777777" w:rsidR="00454A29" w:rsidRDefault="00454A29"/>
        </w:tc>
        <w:tc>
          <w:tcPr>
            <w:tcW w:w="1701" w:type="dxa"/>
            <w:vAlign w:val="center"/>
          </w:tcPr>
          <w:p w14:paraId="0AA38490" w14:textId="77777777" w:rsidR="00454A29" w:rsidRDefault="00454A29">
            <w:pPr>
              <w:pStyle w:val="ConsPlusNormal"/>
              <w:jc w:val="center"/>
            </w:pPr>
            <w:r>
              <w:t>420 044,60</w:t>
            </w:r>
          </w:p>
        </w:tc>
        <w:tc>
          <w:tcPr>
            <w:tcW w:w="1814" w:type="dxa"/>
            <w:vAlign w:val="center"/>
          </w:tcPr>
          <w:p w14:paraId="3E214C0C" w14:textId="77777777" w:rsidR="00454A29" w:rsidRDefault="00454A29">
            <w:pPr>
              <w:pStyle w:val="ConsPlusNormal"/>
              <w:jc w:val="center"/>
            </w:pPr>
            <w:r>
              <w:t>5 174,95</w:t>
            </w:r>
          </w:p>
        </w:tc>
        <w:tc>
          <w:tcPr>
            <w:tcW w:w="1701" w:type="dxa"/>
            <w:vAlign w:val="center"/>
          </w:tcPr>
          <w:p w14:paraId="1E6F49FE" w14:textId="77777777" w:rsidR="00454A29" w:rsidRDefault="00454A29">
            <w:pPr>
              <w:pStyle w:val="ConsPlusNormal"/>
              <w:jc w:val="center"/>
            </w:pPr>
            <w:r>
              <w:t>512 319,99</w:t>
            </w:r>
          </w:p>
        </w:tc>
        <w:tc>
          <w:tcPr>
            <w:tcW w:w="1701" w:type="dxa"/>
            <w:vAlign w:val="center"/>
          </w:tcPr>
          <w:p w14:paraId="2E7662C0" w14:textId="77777777" w:rsidR="00454A29" w:rsidRDefault="00454A29">
            <w:pPr>
              <w:pStyle w:val="ConsPlusNormal"/>
            </w:pPr>
          </w:p>
        </w:tc>
        <w:tc>
          <w:tcPr>
            <w:tcW w:w="1814" w:type="dxa"/>
            <w:vAlign w:val="center"/>
          </w:tcPr>
          <w:p w14:paraId="0EB7328D" w14:textId="77777777" w:rsidR="00454A29" w:rsidRDefault="00454A29">
            <w:pPr>
              <w:pStyle w:val="ConsPlusNormal"/>
            </w:pPr>
          </w:p>
        </w:tc>
      </w:tr>
      <w:tr w:rsidR="00454A29" w14:paraId="1A2EE07E" w14:textId="77777777">
        <w:tc>
          <w:tcPr>
            <w:tcW w:w="21706" w:type="dxa"/>
            <w:gridSpan w:val="12"/>
            <w:vAlign w:val="center"/>
          </w:tcPr>
          <w:p w14:paraId="16035DB7" w14:textId="77777777" w:rsidR="00454A29" w:rsidRDefault="00454A29">
            <w:pPr>
              <w:pStyle w:val="ConsPlusNormal"/>
              <w:jc w:val="center"/>
              <w:outlineLvl w:val="2"/>
            </w:pPr>
            <w:r>
              <w:t>МО "Эвено-Бытантайский национальный улус"</w:t>
            </w:r>
          </w:p>
        </w:tc>
      </w:tr>
      <w:tr w:rsidR="00454A29" w14:paraId="1C570A30" w14:textId="77777777">
        <w:tc>
          <w:tcPr>
            <w:tcW w:w="567" w:type="dxa"/>
            <w:vMerge w:val="restart"/>
            <w:vAlign w:val="center"/>
          </w:tcPr>
          <w:p w14:paraId="1366FF4B" w14:textId="77777777" w:rsidR="00454A29" w:rsidRDefault="00454A29">
            <w:pPr>
              <w:pStyle w:val="ConsPlusNormal"/>
              <w:jc w:val="center"/>
            </w:pPr>
            <w:r>
              <w:t>163</w:t>
            </w:r>
          </w:p>
        </w:tc>
        <w:tc>
          <w:tcPr>
            <w:tcW w:w="3345" w:type="dxa"/>
            <w:vMerge w:val="restart"/>
            <w:vAlign w:val="center"/>
          </w:tcPr>
          <w:p w14:paraId="715C9897" w14:textId="77777777" w:rsidR="00454A29" w:rsidRDefault="00454A29">
            <w:pPr>
              <w:pStyle w:val="ConsPlusNormal"/>
              <w:jc w:val="center"/>
            </w:pPr>
            <w:r>
              <w:t>Школа на 220 учащихся в с. Батагай-Алыта</w:t>
            </w:r>
          </w:p>
        </w:tc>
        <w:tc>
          <w:tcPr>
            <w:tcW w:w="1701" w:type="dxa"/>
            <w:vAlign w:val="center"/>
          </w:tcPr>
          <w:p w14:paraId="0856C97A" w14:textId="77777777" w:rsidR="00454A29" w:rsidRDefault="00454A29">
            <w:pPr>
              <w:pStyle w:val="ConsPlusNormal"/>
              <w:jc w:val="center"/>
            </w:pPr>
            <w:r>
              <w:t>2020 - 2026 годы - всего</w:t>
            </w:r>
          </w:p>
        </w:tc>
        <w:tc>
          <w:tcPr>
            <w:tcW w:w="1417" w:type="dxa"/>
            <w:vMerge w:val="restart"/>
            <w:vAlign w:val="center"/>
          </w:tcPr>
          <w:p w14:paraId="047C011A" w14:textId="77777777" w:rsidR="00454A29" w:rsidRDefault="00454A29">
            <w:pPr>
              <w:pStyle w:val="ConsPlusNormal"/>
              <w:jc w:val="center"/>
            </w:pPr>
            <w:r>
              <w:t>343 082,52</w:t>
            </w:r>
          </w:p>
        </w:tc>
        <w:tc>
          <w:tcPr>
            <w:tcW w:w="2204" w:type="dxa"/>
            <w:vMerge w:val="restart"/>
            <w:vAlign w:val="center"/>
          </w:tcPr>
          <w:p w14:paraId="2442E344" w14:textId="77777777" w:rsidR="00454A29" w:rsidRDefault="00454A29">
            <w:pPr>
              <w:pStyle w:val="ConsPlusNormal"/>
              <w:jc w:val="center"/>
            </w:pPr>
            <w:r>
              <w:t>имеется</w:t>
            </w:r>
          </w:p>
        </w:tc>
        <w:tc>
          <w:tcPr>
            <w:tcW w:w="1417" w:type="dxa"/>
            <w:vMerge w:val="restart"/>
            <w:vAlign w:val="center"/>
          </w:tcPr>
          <w:p w14:paraId="3515709C" w14:textId="77777777" w:rsidR="00454A29" w:rsidRDefault="00454A29">
            <w:pPr>
              <w:pStyle w:val="ConsPlusNormal"/>
              <w:jc w:val="center"/>
            </w:pPr>
            <w:r>
              <w:t>220</w:t>
            </w:r>
          </w:p>
        </w:tc>
        <w:tc>
          <w:tcPr>
            <w:tcW w:w="2324" w:type="dxa"/>
            <w:vMerge w:val="restart"/>
            <w:vAlign w:val="center"/>
          </w:tcPr>
          <w:p w14:paraId="128DE06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7E666B8" w14:textId="77777777" w:rsidR="00454A29" w:rsidRDefault="00454A29">
            <w:pPr>
              <w:pStyle w:val="ConsPlusNormal"/>
              <w:jc w:val="center"/>
            </w:pPr>
            <w:r>
              <w:t>343 082,52</w:t>
            </w:r>
          </w:p>
        </w:tc>
        <w:tc>
          <w:tcPr>
            <w:tcW w:w="1814" w:type="dxa"/>
            <w:vAlign w:val="center"/>
          </w:tcPr>
          <w:p w14:paraId="0CFF8D7E" w14:textId="77777777" w:rsidR="00454A29" w:rsidRDefault="00454A29">
            <w:pPr>
              <w:pStyle w:val="ConsPlusNormal"/>
              <w:jc w:val="center"/>
            </w:pPr>
            <w:r>
              <w:t>3 430,83</w:t>
            </w:r>
          </w:p>
        </w:tc>
        <w:tc>
          <w:tcPr>
            <w:tcW w:w="1701" w:type="dxa"/>
            <w:vAlign w:val="center"/>
          </w:tcPr>
          <w:p w14:paraId="42E3DCC9" w14:textId="77777777" w:rsidR="00454A29" w:rsidRDefault="00454A29">
            <w:pPr>
              <w:pStyle w:val="ConsPlusNormal"/>
              <w:jc w:val="center"/>
            </w:pPr>
            <w:r>
              <w:t>339 651,70</w:t>
            </w:r>
          </w:p>
        </w:tc>
        <w:tc>
          <w:tcPr>
            <w:tcW w:w="1701" w:type="dxa"/>
            <w:vAlign w:val="center"/>
          </w:tcPr>
          <w:p w14:paraId="3A99E5D5" w14:textId="77777777" w:rsidR="00454A29" w:rsidRDefault="00454A29">
            <w:pPr>
              <w:pStyle w:val="ConsPlusNormal"/>
              <w:jc w:val="center"/>
            </w:pPr>
            <w:r>
              <w:t>-</w:t>
            </w:r>
          </w:p>
        </w:tc>
        <w:tc>
          <w:tcPr>
            <w:tcW w:w="1814" w:type="dxa"/>
            <w:vAlign w:val="center"/>
          </w:tcPr>
          <w:p w14:paraId="3D12FBEA" w14:textId="77777777" w:rsidR="00454A29" w:rsidRDefault="00454A29">
            <w:pPr>
              <w:pStyle w:val="ConsPlusNormal"/>
              <w:jc w:val="center"/>
            </w:pPr>
            <w:r>
              <w:t>-</w:t>
            </w:r>
          </w:p>
        </w:tc>
      </w:tr>
      <w:tr w:rsidR="00454A29" w14:paraId="1E69CD95" w14:textId="77777777">
        <w:tc>
          <w:tcPr>
            <w:tcW w:w="567" w:type="dxa"/>
            <w:vMerge/>
          </w:tcPr>
          <w:p w14:paraId="522EA688" w14:textId="77777777" w:rsidR="00454A29" w:rsidRDefault="00454A29"/>
        </w:tc>
        <w:tc>
          <w:tcPr>
            <w:tcW w:w="3345" w:type="dxa"/>
            <w:vMerge/>
          </w:tcPr>
          <w:p w14:paraId="62B79A1A" w14:textId="77777777" w:rsidR="00454A29" w:rsidRDefault="00454A29"/>
        </w:tc>
        <w:tc>
          <w:tcPr>
            <w:tcW w:w="1701" w:type="dxa"/>
            <w:vAlign w:val="center"/>
          </w:tcPr>
          <w:p w14:paraId="389FCA76" w14:textId="77777777" w:rsidR="00454A29" w:rsidRDefault="00454A29">
            <w:pPr>
              <w:pStyle w:val="ConsPlusNormal"/>
              <w:jc w:val="center"/>
            </w:pPr>
            <w:r>
              <w:t>2020</w:t>
            </w:r>
          </w:p>
        </w:tc>
        <w:tc>
          <w:tcPr>
            <w:tcW w:w="1417" w:type="dxa"/>
            <w:vMerge/>
          </w:tcPr>
          <w:p w14:paraId="6526E3BC" w14:textId="77777777" w:rsidR="00454A29" w:rsidRDefault="00454A29"/>
        </w:tc>
        <w:tc>
          <w:tcPr>
            <w:tcW w:w="2204" w:type="dxa"/>
            <w:vMerge/>
          </w:tcPr>
          <w:p w14:paraId="1FFB9F75" w14:textId="77777777" w:rsidR="00454A29" w:rsidRDefault="00454A29"/>
        </w:tc>
        <w:tc>
          <w:tcPr>
            <w:tcW w:w="1417" w:type="dxa"/>
            <w:vMerge/>
          </w:tcPr>
          <w:p w14:paraId="1320FE29" w14:textId="77777777" w:rsidR="00454A29" w:rsidRDefault="00454A29"/>
        </w:tc>
        <w:tc>
          <w:tcPr>
            <w:tcW w:w="2324" w:type="dxa"/>
            <w:vMerge/>
          </w:tcPr>
          <w:p w14:paraId="73C31646" w14:textId="77777777" w:rsidR="00454A29" w:rsidRDefault="00454A29"/>
        </w:tc>
        <w:tc>
          <w:tcPr>
            <w:tcW w:w="1701" w:type="dxa"/>
            <w:vAlign w:val="center"/>
          </w:tcPr>
          <w:p w14:paraId="1E3A8227" w14:textId="77777777" w:rsidR="00454A29" w:rsidRDefault="00454A29">
            <w:pPr>
              <w:pStyle w:val="ConsPlusNormal"/>
            </w:pPr>
          </w:p>
        </w:tc>
        <w:tc>
          <w:tcPr>
            <w:tcW w:w="1814" w:type="dxa"/>
            <w:vAlign w:val="center"/>
          </w:tcPr>
          <w:p w14:paraId="459FDC6C" w14:textId="77777777" w:rsidR="00454A29" w:rsidRDefault="00454A29">
            <w:pPr>
              <w:pStyle w:val="ConsPlusNormal"/>
            </w:pPr>
          </w:p>
        </w:tc>
        <w:tc>
          <w:tcPr>
            <w:tcW w:w="1701" w:type="dxa"/>
            <w:vAlign w:val="center"/>
          </w:tcPr>
          <w:p w14:paraId="20D7F54D" w14:textId="77777777" w:rsidR="00454A29" w:rsidRDefault="00454A29">
            <w:pPr>
              <w:pStyle w:val="ConsPlusNormal"/>
            </w:pPr>
          </w:p>
        </w:tc>
        <w:tc>
          <w:tcPr>
            <w:tcW w:w="1701" w:type="dxa"/>
            <w:vAlign w:val="center"/>
          </w:tcPr>
          <w:p w14:paraId="17EA4B30" w14:textId="77777777" w:rsidR="00454A29" w:rsidRDefault="00454A29">
            <w:pPr>
              <w:pStyle w:val="ConsPlusNormal"/>
            </w:pPr>
          </w:p>
        </w:tc>
        <w:tc>
          <w:tcPr>
            <w:tcW w:w="1814" w:type="dxa"/>
            <w:vAlign w:val="center"/>
          </w:tcPr>
          <w:p w14:paraId="12533D78" w14:textId="77777777" w:rsidR="00454A29" w:rsidRDefault="00454A29">
            <w:pPr>
              <w:pStyle w:val="ConsPlusNormal"/>
            </w:pPr>
          </w:p>
        </w:tc>
      </w:tr>
      <w:tr w:rsidR="00454A29" w14:paraId="4C8FDA9F" w14:textId="77777777">
        <w:tc>
          <w:tcPr>
            <w:tcW w:w="567" w:type="dxa"/>
            <w:vMerge/>
          </w:tcPr>
          <w:p w14:paraId="5C008E51" w14:textId="77777777" w:rsidR="00454A29" w:rsidRDefault="00454A29"/>
        </w:tc>
        <w:tc>
          <w:tcPr>
            <w:tcW w:w="3345" w:type="dxa"/>
            <w:vMerge/>
          </w:tcPr>
          <w:p w14:paraId="1C609451" w14:textId="77777777" w:rsidR="00454A29" w:rsidRDefault="00454A29"/>
        </w:tc>
        <w:tc>
          <w:tcPr>
            <w:tcW w:w="1701" w:type="dxa"/>
            <w:vAlign w:val="center"/>
          </w:tcPr>
          <w:p w14:paraId="4026A791" w14:textId="77777777" w:rsidR="00454A29" w:rsidRDefault="00454A29">
            <w:pPr>
              <w:pStyle w:val="ConsPlusNormal"/>
              <w:jc w:val="center"/>
            </w:pPr>
            <w:r>
              <w:t>2021</w:t>
            </w:r>
          </w:p>
        </w:tc>
        <w:tc>
          <w:tcPr>
            <w:tcW w:w="1417" w:type="dxa"/>
            <w:vMerge/>
          </w:tcPr>
          <w:p w14:paraId="25F72BBC" w14:textId="77777777" w:rsidR="00454A29" w:rsidRDefault="00454A29"/>
        </w:tc>
        <w:tc>
          <w:tcPr>
            <w:tcW w:w="2204" w:type="dxa"/>
            <w:vMerge/>
          </w:tcPr>
          <w:p w14:paraId="16559EC5" w14:textId="77777777" w:rsidR="00454A29" w:rsidRDefault="00454A29"/>
        </w:tc>
        <w:tc>
          <w:tcPr>
            <w:tcW w:w="1417" w:type="dxa"/>
            <w:vMerge/>
          </w:tcPr>
          <w:p w14:paraId="6DB8AC60" w14:textId="77777777" w:rsidR="00454A29" w:rsidRDefault="00454A29"/>
        </w:tc>
        <w:tc>
          <w:tcPr>
            <w:tcW w:w="2324" w:type="dxa"/>
            <w:vMerge/>
          </w:tcPr>
          <w:p w14:paraId="60B9E3A5" w14:textId="77777777" w:rsidR="00454A29" w:rsidRDefault="00454A29"/>
        </w:tc>
        <w:tc>
          <w:tcPr>
            <w:tcW w:w="1701" w:type="dxa"/>
            <w:vAlign w:val="center"/>
          </w:tcPr>
          <w:p w14:paraId="565F2C0C" w14:textId="77777777" w:rsidR="00454A29" w:rsidRDefault="00454A29">
            <w:pPr>
              <w:pStyle w:val="ConsPlusNormal"/>
            </w:pPr>
          </w:p>
        </w:tc>
        <w:tc>
          <w:tcPr>
            <w:tcW w:w="1814" w:type="dxa"/>
            <w:vAlign w:val="center"/>
          </w:tcPr>
          <w:p w14:paraId="1C29B2E9" w14:textId="77777777" w:rsidR="00454A29" w:rsidRDefault="00454A29">
            <w:pPr>
              <w:pStyle w:val="ConsPlusNormal"/>
            </w:pPr>
          </w:p>
        </w:tc>
        <w:tc>
          <w:tcPr>
            <w:tcW w:w="1701" w:type="dxa"/>
            <w:vAlign w:val="center"/>
          </w:tcPr>
          <w:p w14:paraId="06C1535D" w14:textId="77777777" w:rsidR="00454A29" w:rsidRDefault="00454A29">
            <w:pPr>
              <w:pStyle w:val="ConsPlusNormal"/>
            </w:pPr>
          </w:p>
        </w:tc>
        <w:tc>
          <w:tcPr>
            <w:tcW w:w="1701" w:type="dxa"/>
            <w:vAlign w:val="center"/>
          </w:tcPr>
          <w:p w14:paraId="41A7CB89" w14:textId="77777777" w:rsidR="00454A29" w:rsidRDefault="00454A29">
            <w:pPr>
              <w:pStyle w:val="ConsPlusNormal"/>
            </w:pPr>
          </w:p>
        </w:tc>
        <w:tc>
          <w:tcPr>
            <w:tcW w:w="1814" w:type="dxa"/>
            <w:vAlign w:val="center"/>
          </w:tcPr>
          <w:p w14:paraId="5D381BD0" w14:textId="77777777" w:rsidR="00454A29" w:rsidRDefault="00454A29">
            <w:pPr>
              <w:pStyle w:val="ConsPlusNormal"/>
            </w:pPr>
          </w:p>
        </w:tc>
      </w:tr>
      <w:tr w:rsidR="00454A29" w14:paraId="2EADCD55" w14:textId="77777777">
        <w:tc>
          <w:tcPr>
            <w:tcW w:w="567" w:type="dxa"/>
            <w:vMerge/>
          </w:tcPr>
          <w:p w14:paraId="45C2DA5B" w14:textId="77777777" w:rsidR="00454A29" w:rsidRDefault="00454A29"/>
        </w:tc>
        <w:tc>
          <w:tcPr>
            <w:tcW w:w="3345" w:type="dxa"/>
            <w:vMerge/>
          </w:tcPr>
          <w:p w14:paraId="5F3FB1AB" w14:textId="77777777" w:rsidR="00454A29" w:rsidRDefault="00454A29"/>
        </w:tc>
        <w:tc>
          <w:tcPr>
            <w:tcW w:w="1701" w:type="dxa"/>
            <w:vAlign w:val="center"/>
          </w:tcPr>
          <w:p w14:paraId="298FDA71" w14:textId="77777777" w:rsidR="00454A29" w:rsidRDefault="00454A29">
            <w:pPr>
              <w:pStyle w:val="ConsPlusNormal"/>
              <w:jc w:val="center"/>
            </w:pPr>
            <w:r>
              <w:t>2022</w:t>
            </w:r>
          </w:p>
        </w:tc>
        <w:tc>
          <w:tcPr>
            <w:tcW w:w="1417" w:type="dxa"/>
            <w:vMerge/>
          </w:tcPr>
          <w:p w14:paraId="0EBBFB6B" w14:textId="77777777" w:rsidR="00454A29" w:rsidRDefault="00454A29"/>
        </w:tc>
        <w:tc>
          <w:tcPr>
            <w:tcW w:w="2204" w:type="dxa"/>
            <w:vMerge/>
          </w:tcPr>
          <w:p w14:paraId="5CA8ED98" w14:textId="77777777" w:rsidR="00454A29" w:rsidRDefault="00454A29"/>
        </w:tc>
        <w:tc>
          <w:tcPr>
            <w:tcW w:w="1417" w:type="dxa"/>
            <w:vMerge/>
          </w:tcPr>
          <w:p w14:paraId="57AFC31F" w14:textId="77777777" w:rsidR="00454A29" w:rsidRDefault="00454A29"/>
        </w:tc>
        <w:tc>
          <w:tcPr>
            <w:tcW w:w="2324" w:type="dxa"/>
            <w:vMerge/>
          </w:tcPr>
          <w:p w14:paraId="0CDD737A" w14:textId="77777777" w:rsidR="00454A29" w:rsidRDefault="00454A29"/>
        </w:tc>
        <w:tc>
          <w:tcPr>
            <w:tcW w:w="1701" w:type="dxa"/>
            <w:vAlign w:val="center"/>
          </w:tcPr>
          <w:p w14:paraId="26A3C26C" w14:textId="77777777" w:rsidR="00454A29" w:rsidRDefault="00454A29">
            <w:pPr>
              <w:pStyle w:val="ConsPlusNormal"/>
            </w:pPr>
          </w:p>
        </w:tc>
        <w:tc>
          <w:tcPr>
            <w:tcW w:w="1814" w:type="dxa"/>
            <w:vAlign w:val="center"/>
          </w:tcPr>
          <w:p w14:paraId="73667E6D" w14:textId="77777777" w:rsidR="00454A29" w:rsidRDefault="00454A29">
            <w:pPr>
              <w:pStyle w:val="ConsPlusNormal"/>
            </w:pPr>
          </w:p>
        </w:tc>
        <w:tc>
          <w:tcPr>
            <w:tcW w:w="1701" w:type="dxa"/>
            <w:vAlign w:val="center"/>
          </w:tcPr>
          <w:p w14:paraId="3E0D0998" w14:textId="77777777" w:rsidR="00454A29" w:rsidRDefault="00454A29">
            <w:pPr>
              <w:pStyle w:val="ConsPlusNormal"/>
            </w:pPr>
          </w:p>
        </w:tc>
        <w:tc>
          <w:tcPr>
            <w:tcW w:w="1701" w:type="dxa"/>
            <w:vAlign w:val="center"/>
          </w:tcPr>
          <w:p w14:paraId="1535D893" w14:textId="77777777" w:rsidR="00454A29" w:rsidRDefault="00454A29">
            <w:pPr>
              <w:pStyle w:val="ConsPlusNormal"/>
            </w:pPr>
          </w:p>
        </w:tc>
        <w:tc>
          <w:tcPr>
            <w:tcW w:w="1814" w:type="dxa"/>
            <w:vAlign w:val="center"/>
          </w:tcPr>
          <w:p w14:paraId="4DC23666" w14:textId="77777777" w:rsidR="00454A29" w:rsidRDefault="00454A29">
            <w:pPr>
              <w:pStyle w:val="ConsPlusNormal"/>
            </w:pPr>
          </w:p>
        </w:tc>
      </w:tr>
      <w:tr w:rsidR="00454A29" w14:paraId="6A041163" w14:textId="77777777">
        <w:tc>
          <w:tcPr>
            <w:tcW w:w="567" w:type="dxa"/>
            <w:vMerge/>
          </w:tcPr>
          <w:p w14:paraId="5CAB0D65" w14:textId="77777777" w:rsidR="00454A29" w:rsidRDefault="00454A29"/>
        </w:tc>
        <w:tc>
          <w:tcPr>
            <w:tcW w:w="3345" w:type="dxa"/>
            <w:vMerge/>
          </w:tcPr>
          <w:p w14:paraId="292DBB87" w14:textId="77777777" w:rsidR="00454A29" w:rsidRDefault="00454A29"/>
        </w:tc>
        <w:tc>
          <w:tcPr>
            <w:tcW w:w="1701" w:type="dxa"/>
            <w:vAlign w:val="center"/>
          </w:tcPr>
          <w:p w14:paraId="5A7FE9BB" w14:textId="77777777" w:rsidR="00454A29" w:rsidRDefault="00454A29">
            <w:pPr>
              <w:pStyle w:val="ConsPlusNormal"/>
              <w:jc w:val="center"/>
            </w:pPr>
            <w:r>
              <w:t>2023</w:t>
            </w:r>
          </w:p>
        </w:tc>
        <w:tc>
          <w:tcPr>
            <w:tcW w:w="1417" w:type="dxa"/>
            <w:vMerge/>
          </w:tcPr>
          <w:p w14:paraId="783693E8" w14:textId="77777777" w:rsidR="00454A29" w:rsidRDefault="00454A29"/>
        </w:tc>
        <w:tc>
          <w:tcPr>
            <w:tcW w:w="2204" w:type="dxa"/>
            <w:vMerge/>
          </w:tcPr>
          <w:p w14:paraId="60D5177A" w14:textId="77777777" w:rsidR="00454A29" w:rsidRDefault="00454A29"/>
        </w:tc>
        <w:tc>
          <w:tcPr>
            <w:tcW w:w="1417" w:type="dxa"/>
            <w:vMerge/>
          </w:tcPr>
          <w:p w14:paraId="69F2883F" w14:textId="77777777" w:rsidR="00454A29" w:rsidRDefault="00454A29"/>
        </w:tc>
        <w:tc>
          <w:tcPr>
            <w:tcW w:w="2324" w:type="dxa"/>
            <w:vMerge/>
          </w:tcPr>
          <w:p w14:paraId="1861CC6E" w14:textId="77777777" w:rsidR="00454A29" w:rsidRDefault="00454A29"/>
        </w:tc>
        <w:tc>
          <w:tcPr>
            <w:tcW w:w="1701" w:type="dxa"/>
            <w:vAlign w:val="center"/>
          </w:tcPr>
          <w:p w14:paraId="7AEC4EE1" w14:textId="77777777" w:rsidR="00454A29" w:rsidRDefault="00454A29">
            <w:pPr>
              <w:pStyle w:val="ConsPlusNormal"/>
              <w:jc w:val="center"/>
            </w:pPr>
            <w:r>
              <w:t>146 067,75</w:t>
            </w:r>
          </w:p>
        </w:tc>
        <w:tc>
          <w:tcPr>
            <w:tcW w:w="1814" w:type="dxa"/>
            <w:vAlign w:val="center"/>
          </w:tcPr>
          <w:p w14:paraId="569B1369" w14:textId="77777777" w:rsidR="00454A29" w:rsidRDefault="00454A29">
            <w:pPr>
              <w:pStyle w:val="ConsPlusNormal"/>
              <w:jc w:val="center"/>
            </w:pPr>
            <w:r>
              <w:t>1 460,68</w:t>
            </w:r>
          </w:p>
        </w:tc>
        <w:tc>
          <w:tcPr>
            <w:tcW w:w="1701" w:type="dxa"/>
            <w:vAlign w:val="center"/>
          </w:tcPr>
          <w:p w14:paraId="16447EC9" w14:textId="77777777" w:rsidR="00454A29" w:rsidRDefault="00454A29">
            <w:pPr>
              <w:pStyle w:val="ConsPlusNormal"/>
              <w:jc w:val="center"/>
            </w:pPr>
            <w:r>
              <w:t>144 607,07</w:t>
            </w:r>
          </w:p>
        </w:tc>
        <w:tc>
          <w:tcPr>
            <w:tcW w:w="1701" w:type="dxa"/>
            <w:vAlign w:val="center"/>
          </w:tcPr>
          <w:p w14:paraId="5CC09E1D" w14:textId="77777777" w:rsidR="00454A29" w:rsidRDefault="00454A29">
            <w:pPr>
              <w:pStyle w:val="ConsPlusNormal"/>
            </w:pPr>
          </w:p>
        </w:tc>
        <w:tc>
          <w:tcPr>
            <w:tcW w:w="1814" w:type="dxa"/>
            <w:vAlign w:val="center"/>
          </w:tcPr>
          <w:p w14:paraId="647EA81B" w14:textId="77777777" w:rsidR="00454A29" w:rsidRDefault="00454A29">
            <w:pPr>
              <w:pStyle w:val="ConsPlusNormal"/>
            </w:pPr>
          </w:p>
        </w:tc>
      </w:tr>
      <w:tr w:rsidR="00454A29" w14:paraId="76FCB8CA" w14:textId="77777777">
        <w:tc>
          <w:tcPr>
            <w:tcW w:w="567" w:type="dxa"/>
            <w:vMerge/>
          </w:tcPr>
          <w:p w14:paraId="391BED4A" w14:textId="77777777" w:rsidR="00454A29" w:rsidRDefault="00454A29"/>
        </w:tc>
        <w:tc>
          <w:tcPr>
            <w:tcW w:w="3345" w:type="dxa"/>
            <w:vMerge/>
          </w:tcPr>
          <w:p w14:paraId="7F6B000D" w14:textId="77777777" w:rsidR="00454A29" w:rsidRDefault="00454A29"/>
        </w:tc>
        <w:tc>
          <w:tcPr>
            <w:tcW w:w="1701" w:type="dxa"/>
            <w:vAlign w:val="center"/>
          </w:tcPr>
          <w:p w14:paraId="46EE0090" w14:textId="77777777" w:rsidR="00454A29" w:rsidRDefault="00454A29">
            <w:pPr>
              <w:pStyle w:val="ConsPlusNormal"/>
              <w:jc w:val="center"/>
            </w:pPr>
            <w:r>
              <w:t>2024</w:t>
            </w:r>
          </w:p>
        </w:tc>
        <w:tc>
          <w:tcPr>
            <w:tcW w:w="1417" w:type="dxa"/>
            <w:vMerge/>
          </w:tcPr>
          <w:p w14:paraId="3398684F" w14:textId="77777777" w:rsidR="00454A29" w:rsidRDefault="00454A29"/>
        </w:tc>
        <w:tc>
          <w:tcPr>
            <w:tcW w:w="2204" w:type="dxa"/>
            <w:vMerge/>
          </w:tcPr>
          <w:p w14:paraId="78E669ED" w14:textId="77777777" w:rsidR="00454A29" w:rsidRDefault="00454A29"/>
        </w:tc>
        <w:tc>
          <w:tcPr>
            <w:tcW w:w="1417" w:type="dxa"/>
            <w:vMerge/>
          </w:tcPr>
          <w:p w14:paraId="3A7A9106" w14:textId="77777777" w:rsidR="00454A29" w:rsidRDefault="00454A29"/>
        </w:tc>
        <w:tc>
          <w:tcPr>
            <w:tcW w:w="2324" w:type="dxa"/>
            <w:vMerge/>
          </w:tcPr>
          <w:p w14:paraId="0B1A6AA0" w14:textId="77777777" w:rsidR="00454A29" w:rsidRDefault="00454A29"/>
        </w:tc>
        <w:tc>
          <w:tcPr>
            <w:tcW w:w="1701" w:type="dxa"/>
            <w:vAlign w:val="center"/>
          </w:tcPr>
          <w:p w14:paraId="0F792EA1" w14:textId="77777777" w:rsidR="00454A29" w:rsidRDefault="00454A29">
            <w:pPr>
              <w:pStyle w:val="ConsPlusNormal"/>
              <w:jc w:val="center"/>
            </w:pPr>
            <w:r>
              <w:t>197 014,77</w:t>
            </w:r>
          </w:p>
        </w:tc>
        <w:tc>
          <w:tcPr>
            <w:tcW w:w="1814" w:type="dxa"/>
            <w:vAlign w:val="center"/>
          </w:tcPr>
          <w:p w14:paraId="36FE9A4D" w14:textId="77777777" w:rsidR="00454A29" w:rsidRDefault="00454A29">
            <w:pPr>
              <w:pStyle w:val="ConsPlusNormal"/>
              <w:jc w:val="center"/>
            </w:pPr>
            <w:r>
              <w:t>1 970,15</w:t>
            </w:r>
          </w:p>
        </w:tc>
        <w:tc>
          <w:tcPr>
            <w:tcW w:w="1701" w:type="dxa"/>
            <w:vAlign w:val="center"/>
          </w:tcPr>
          <w:p w14:paraId="60723E35" w14:textId="77777777" w:rsidR="00454A29" w:rsidRDefault="00454A29">
            <w:pPr>
              <w:pStyle w:val="ConsPlusNormal"/>
              <w:jc w:val="center"/>
            </w:pPr>
            <w:r>
              <w:t>195 044,62</w:t>
            </w:r>
          </w:p>
        </w:tc>
        <w:tc>
          <w:tcPr>
            <w:tcW w:w="1701" w:type="dxa"/>
            <w:vAlign w:val="center"/>
          </w:tcPr>
          <w:p w14:paraId="19C966FA" w14:textId="77777777" w:rsidR="00454A29" w:rsidRDefault="00454A29">
            <w:pPr>
              <w:pStyle w:val="ConsPlusNormal"/>
            </w:pPr>
          </w:p>
        </w:tc>
        <w:tc>
          <w:tcPr>
            <w:tcW w:w="1814" w:type="dxa"/>
            <w:vAlign w:val="center"/>
          </w:tcPr>
          <w:p w14:paraId="5E8031A0" w14:textId="77777777" w:rsidR="00454A29" w:rsidRDefault="00454A29">
            <w:pPr>
              <w:pStyle w:val="ConsPlusNormal"/>
            </w:pPr>
          </w:p>
        </w:tc>
      </w:tr>
      <w:tr w:rsidR="00454A29" w14:paraId="0560A3BD" w14:textId="77777777">
        <w:tc>
          <w:tcPr>
            <w:tcW w:w="567" w:type="dxa"/>
            <w:vMerge/>
          </w:tcPr>
          <w:p w14:paraId="584A0C47" w14:textId="77777777" w:rsidR="00454A29" w:rsidRDefault="00454A29"/>
        </w:tc>
        <w:tc>
          <w:tcPr>
            <w:tcW w:w="3345" w:type="dxa"/>
            <w:vMerge/>
          </w:tcPr>
          <w:p w14:paraId="2BC5D30A" w14:textId="77777777" w:rsidR="00454A29" w:rsidRDefault="00454A29"/>
        </w:tc>
        <w:tc>
          <w:tcPr>
            <w:tcW w:w="1701" w:type="dxa"/>
            <w:vAlign w:val="center"/>
          </w:tcPr>
          <w:p w14:paraId="5F3DF8E7" w14:textId="77777777" w:rsidR="00454A29" w:rsidRDefault="00454A29">
            <w:pPr>
              <w:pStyle w:val="ConsPlusNormal"/>
              <w:jc w:val="center"/>
            </w:pPr>
            <w:r>
              <w:t>2025</w:t>
            </w:r>
          </w:p>
        </w:tc>
        <w:tc>
          <w:tcPr>
            <w:tcW w:w="1417" w:type="dxa"/>
            <w:vMerge/>
          </w:tcPr>
          <w:p w14:paraId="6782A0B0" w14:textId="77777777" w:rsidR="00454A29" w:rsidRDefault="00454A29"/>
        </w:tc>
        <w:tc>
          <w:tcPr>
            <w:tcW w:w="2204" w:type="dxa"/>
            <w:vMerge/>
          </w:tcPr>
          <w:p w14:paraId="195B79EC" w14:textId="77777777" w:rsidR="00454A29" w:rsidRDefault="00454A29"/>
        </w:tc>
        <w:tc>
          <w:tcPr>
            <w:tcW w:w="1417" w:type="dxa"/>
            <w:vMerge/>
          </w:tcPr>
          <w:p w14:paraId="6561217B" w14:textId="77777777" w:rsidR="00454A29" w:rsidRDefault="00454A29"/>
        </w:tc>
        <w:tc>
          <w:tcPr>
            <w:tcW w:w="2324" w:type="dxa"/>
            <w:vMerge/>
          </w:tcPr>
          <w:p w14:paraId="5A4E6837" w14:textId="77777777" w:rsidR="00454A29" w:rsidRDefault="00454A29"/>
        </w:tc>
        <w:tc>
          <w:tcPr>
            <w:tcW w:w="1701" w:type="dxa"/>
            <w:vAlign w:val="center"/>
          </w:tcPr>
          <w:p w14:paraId="0D00DB7A" w14:textId="77777777" w:rsidR="00454A29" w:rsidRDefault="00454A29">
            <w:pPr>
              <w:pStyle w:val="ConsPlusNormal"/>
            </w:pPr>
          </w:p>
        </w:tc>
        <w:tc>
          <w:tcPr>
            <w:tcW w:w="1814" w:type="dxa"/>
            <w:vAlign w:val="center"/>
          </w:tcPr>
          <w:p w14:paraId="74F09475" w14:textId="77777777" w:rsidR="00454A29" w:rsidRDefault="00454A29">
            <w:pPr>
              <w:pStyle w:val="ConsPlusNormal"/>
            </w:pPr>
          </w:p>
        </w:tc>
        <w:tc>
          <w:tcPr>
            <w:tcW w:w="1701" w:type="dxa"/>
            <w:vAlign w:val="center"/>
          </w:tcPr>
          <w:p w14:paraId="4C7C5519" w14:textId="77777777" w:rsidR="00454A29" w:rsidRDefault="00454A29">
            <w:pPr>
              <w:pStyle w:val="ConsPlusNormal"/>
            </w:pPr>
          </w:p>
        </w:tc>
        <w:tc>
          <w:tcPr>
            <w:tcW w:w="1701" w:type="dxa"/>
            <w:vAlign w:val="center"/>
          </w:tcPr>
          <w:p w14:paraId="58D97F04" w14:textId="77777777" w:rsidR="00454A29" w:rsidRDefault="00454A29">
            <w:pPr>
              <w:pStyle w:val="ConsPlusNormal"/>
            </w:pPr>
          </w:p>
        </w:tc>
        <w:tc>
          <w:tcPr>
            <w:tcW w:w="1814" w:type="dxa"/>
            <w:vAlign w:val="center"/>
          </w:tcPr>
          <w:p w14:paraId="2AEA9B9D" w14:textId="77777777" w:rsidR="00454A29" w:rsidRDefault="00454A29">
            <w:pPr>
              <w:pStyle w:val="ConsPlusNormal"/>
            </w:pPr>
          </w:p>
        </w:tc>
      </w:tr>
      <w:tr w:rsidR="00454A29" w14:paraId="075C4355" w14:textId="77777777">
        <w:tc>
          <w:tcPr>
            <w:tcW w:w="567" w:type="dxa"/>
            <w:vMerge/>
          </w:tcPr>
          <w:p w14:paraId="67764AFF" w14:textId="77777777" w:rsidR="00454A29" w:rsidRDefault="00454A29"/>
        </w:tc>
        <w:tc>
          <w:tcPr>
            <w:tcW w:w="3345" w:type="dxa"/>
            <w:vMerge/>
          </w:tcPr>
          <w:p w14:paraId="40280176" w14:textId="77777777" w:rsidR="00454A29" w:rsidRDefault="00454A29"/>
        </w:tc>
        <w:tc>
          <w:tcPr>
            <w:tcW w:w="1701" w:type="dxa"/>
            <w:vAlign w:val="center"/>
          </w:tcPr>
          <w:p w14:paraId="59CCEA20" w14:textId="77777777" w:rsidR="00454A29" w:rsidRDefault="00454A29">
            <w:pPr>
              <w:pStyle w:val="ConsPlusNormal"/>
              <w:jc w:val="center"/>
            </w:pPr>
            <w:r>
              <w:t>2026</w:t>
            </w:r>
          </w:p>
        </w:tc>
        <w:tc>
          <w:tcPr>
            <w:tcW w:w="1417" w:type="dxa"/>
            <w:vMerge/>
          </w:tcPr>
          <w:p w14:paraId="253EBACC" w14:textId="77777777" w:rsidR="00454A29" w:rsidRDefault="00454A29"/>
        </w:tc>
        <w:tc>
          <w:tcPr>
            <w:tcW w:w="2204" w:type="dxa"/>
            <w:vMerge/>
          </w:tcPr>
          <w:p w14:paraId="7290F089" w14:textId="77777777" w:rsidR="00454A29" w:rsidRDefault="00454A29"/>
        </w:tc>
        <w:tc>
          <w:tcPr>
            <w:tcW w:w="1417" w:type="dxa"/>
            <w:vMerge/>
          </w:tcPr>
          <w:p w14:paraId="3D689C19" w14:textId="77777777" w:rsidR="00454A29" w:rsidRDefault="00454A29"/>
        </w:tc>
        <w:tc>
          <w:tcPr>
            <w:tcW w:w="2324" w:type="dxa"/>
            <w:vMerge/>
          </w:tcPr>
          <w:p w14:paraId="71394D4F" w14:textId="77777777" w:rsidR="00454A29" w:rsidRDefault="00454A29"/>
        </w:tc>
        <w:tc>
          <w:tcPr>
            <w:tcW w:w="1701" w:type="dxa"/>
            <w:vAlign w:val="center"/>
          </w:tcPr>
          <w:p w14:paraId="3E57D4EC" w14:textId="77777777" w:rsidR="00454A29" w:rsidRDefault="00454A29">
            <w:pPr>
              <w:pStyle w:val="ConsPlusNormal"/>
            </w:pPr>
          </w:p>
        </w:tc>
        <w:tc>
          <w:tcPr>
            <w:tcW w:w="1814" w:type="dxa"/>
            <w:vAlign w:val="center"/>
          </w:tcPr>
          <w:p w14:paraId="4A903A13" w14:textId="77777777" w:rsidR="00454A29" w:rsidRDefault="00454A29">
            <w:pPr>
              <w:pStyle w:val="ConsPlusNormal"/>
            </w:pPr>
          </w:p>
        </w:tc>
        <w:tc>
          <w:tcPr>
            <w:tcW w:w="1701" w:type="dxa"/>
            <w:vAlign w:val="center"/>
          </w:tcPr>
          <w:p w14:paraId="1A10CAAA" w14:textId="77777777" w:rsidR="00454A29" w:rsidRDefault="00454A29">
            <w:pPr>
              <w:pStyle w:val="ConsPlusNormal"/>
            </w:pPr>
          </w:p>
        </w:tc>
        <w:tc>
          <w:tcPr>
            <w:tcW w:w="1701" w:type="dxa"/>
            <w:vAlign w:val="center"/>
          </w:tcPr>
          <w:p w14:paraId="113B947B" w14:textId="77777777" w:rsidR="00454A29" w:rsidRDefault="00454A29">
            <w:pPr>
              <w:pStyle w:val="ConsPlusNormal"/>
            </w:pPr>
          </w:p>
        </w:tc>
        <w:tc>
          <w:tcPr>
            <w:tcW w:w="1814" w:type="dxa"/>
            <w:vAlign w:val="center"/>
          </w:tcPr>
          <w:p w14:paraId="35BBF96B" w14:textId="77777777" w:rsidR="00454A29" w:rsidRDefault="00454A29">
            <w:pPr>
              <w:pStyle w:val="ConsPlusNormal"/>
            </w:pPr>
          </w:p>
        </w:tc>
      </w:tr>
      <w:tr w:rsidR="00454A29" w14:paraId="51051917" w14:textId="77777777">
        <w:tc>
          <w:tcPr>
            <w:tcW w:w="567" w:type="dxa"/>
            <w:vMerge w:val="restart"/>
            <w:vAlign w:val="center"/>
          </w:tcPr>
          <w:p w14:paraId="798FD5F6" w14:textId="77777777" w:rsidR="00454A29" w:rsidRDefault="00454A29">
            <w:pPr>
              <w:pStyle w:val="ConsPlusNormal"/>
              <w:jc w:val="center"/>
            </w:pPr>
            <w:r>
              <w:t>164</w:t>
            </w:r>
          </w:p>
        </w:tc>
        <w:tc>
          <w:tcPr>
            <w:tcW w:w="3345" w:type="dxa"/>
            <w:vMerge w:val="restart"/>
            <w:vAlign w:val="center"/>
          </w:tcPr>
          <w:p w14:paraId="1E104684" w14:textId="77777777" w:rsidR="00454A29" w:rsidRDefault="00454A29">
            <w:pPr>
              <w:pStyle w:val="ConsPlusNormal"/>
              <w:jc w:val="center"/>
            </w:pPr>
            <w:r>
              <w:t>Школа на 35 учащихся в с. Джаргалах</w:t>
            </w:r>
          </w:p>
        </w:tc>
        <w:tc>
          <w:tcPr>
            <w:tcW w:w="1701" w:type="dxa"/>
            <w:vAlign w:val="center"/>
          </w:tcPr>
          <w:p w14:paraId="716DEB13" w14:textId="77777777" w:rsidR="00454A29" w:rsidRDefault="00454A29">
            <w:pPr>
              <w:pStyle w:val="ConsPlusNormal"/>
              <w:jc w:val="center"/>
            </w:pPr>
            <w:r>
              <w:t>2020 - 2026 годы - всего</w:t>
            </w:r>
          </w:p>
        </w:tc>
        <w:tc>
          <w:tcPr>
            <w:tcW w:w="1417" w:type="dxa"/>
            <w:vMerge w:val="restart"/>
            <w:vAlign w:val="center"/>
          </w:tcPr>
          <w:p w14:paraId="20E02FCA" w14:textId="77777777" w:rsidR="00454A29" w:rsidRDefault="00454A29">
            <w:pPr>
              <w:pStyle w:val="ConsPlusNormal"/>
              <w:jc w:val="center"/>
            </w:pPr>
            <w:r>
              <w:t>145 744,88</w:t>
            </w:r>
          </w:p>
        </w:tc>
        <w:tc>
          <w:tcPr>
            <w:tcW w:w="2204" w:type="dxa"/>
            <w:vMerge w:val="restart"/>
            <w:vAlign w:val="center"/>
          </w:tcPr>
          <w:p w14:paraId="539623D6" w14:textId="77777777" w:rsidR="00454A29" w:rsidRDefault="00454A29">
            <w:pPr>
              <w:pStyle w:val="ConsPlusNormal"/>
            </w:pPr>
          </w:p>
        </w:tc>
        <w:tc>
          <w:tcPr>
            <w:tcW w:w="1417" w:type="dxa"/>
            <w:vMerge w:val="restart"/>
            <w:vAlign w:val="center"/>
          </w:tcPr>
          <w:p w14:paraId="41E99F36" w14:textId="77777777" w:rsidR="00454A29" w:rsidRDefault="00454A29">
            <w:pPr>
              <w:pStyle w:val="ConsPlusNormal"/>
              <w:jc w:val="center"/>
            </w:pPr>
            <w:r>
              <w:t>35</w:t>
            </w:r>
          </w:p>
        </w:tc>
        <w:tc>
          <w:tcPr>
            <w:tcW w:w="2324" w:type="dxa"/>
            <w:vMerge w:val="restart"/>
            <w:vAlign w:val="center"/>
          </w:tcPr>
          <w:p w14:paraId="3A8DA59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71797C8" w14:textId="77777777" w:rsidR="00454A29" w:rsidRDefault="00454A29">
            <w:pPr>
              <w:pStyle w:val="ConsPlusNormal"/>
              <w:jc w:val="center"/>
            </w:pPr>
            <w:r>
              <w:t>145 744,88</w:t>
            </w:r>
          </w:p>
        </w:tc>
        <w:tc>
          <w:tcPr>
            <w:tcW w:w="1814" w:type="dxa"/>
            <w:vAlign w:val="center"/>
          </w:tcPr>
          <w:p w14:paraId="0F26B764" w14:textId="77777777" w:rsidR="00454A29" w:rsidRDefault="00454A29">
            <w:pPr>
              <w:pStyle w:val="ConsPlusNormal"/>
              <w:jc w:val="center"/>
            </w:pPr>
            <w:r>
              <w:t>1 795,58</w:t>
            </w:r>
          </w:p>
        </w:tc>
        <w:tc>
          <w:tcPr>
            <w:tcW w:w="1701" w:type="dxa"/>
            <w:vAlign w:val="center"/>
          </w:tcPr>
          <w:p w14:paraId="5B5621BC" w14:textId="77777777" w:rsidR="00454A29" w:rsidRDefault="00454A29">
            <w:pPr>
              <w:pStyle w:val="ConsPlusNormal"/>
              <w:jc w:val="center"/>
            </w:pPr>
            <w:r>
              <w:t>177 762,12</w:t>
            </w:r>
          </w:p>
        </w:tc>
        <w:tc>
          <w:tcPr>
            <w:tcW w:w="1701" w:type="dxa"/>
            <w:vAlign w:val="center"/>
          </w:tcPr>
          <w:p w14:paraId="12592229" w14:textId="77777777" w:rsidR="00454A29" w:rsidRDefault="00454A29">
            <w:pPr>
              <w:pStyle w:val="ConsPlusNormal"/>
              <w:jc w:val="center"/>
            </w:pPr>
            <w:r>
              <w:t>-</w:t>
            </w:r>
          </w:p>
        </w:tc>
        <w:tc>
          <w:tcPr>
            <w:tcW w:w="1814" w:type="dxa"/>
            <w:vAlign w:val="center"/>
          </w:tcPr>
          <w:p w14:paraId="008031DA" w14:textId="77777777" w:rsidR="00454A29" w:rsidRDefault="00454A29">
            <w:pPr>
              <w:pStyle w:val="ConsPlusNormal"/>
              <w:jc w:val="center"/>
            </w:pPr>
            <w:r>
              <w:t>-</w:t>
            </w:r>
          </w:p>
        </w:tc>
      </w:tr>
      <w:tr w:rsidR="00454A29" w14:paraId="4C2E8A99" w14:textId="77777777">
        <w:tc>
          <w:tcPr>
            <w:tcW w:w="567" w:type="dxa"/>
            <w:vMerge/>
          </w:tcPr>
          <w:p w14:paraId="4BA0573B" w14:textId="77777777" w:rsidR="00454A29" w:rsidRDefault="00454A29"/>
        </w:tc>
        <w:tc>
          <w:tcPr>
            <w:tcW w:w="3345" w:type="dxa"/>
            <w:vMerge/>
          </w:tcPr>
          <w:p w14:paraId="613F4980" w14:textId="77777777" w:rsidR="00454A29" w:rsidRDefault="00454A29"/>
        </w:tc>
        <w:tc>
          <w:tcPr>
            <w:tcW w:w="1701" w:type="dxa"/>
            <w:vAlign w:val="center"/>
          </w:tcPr>
          <w:p w14:paraId="53F38FE3" w14:textId="77777777" w:rsidR="00454A29" w:rsidRDefault="00454A29">
            <w:pPr>
              <w:pStyle w:val="ConsPlusNormal"/>
              <w:jc w:val="center"/>
            </w:pPr>
            <w:r>
              <w:t>2020</w:t>
            </w:r>
          </w:p>
        </w:tc>
        <w:tc>
          <w:tcPr>
            <w:tcW w:w="1417" w:type="dxa"/>
            <w:vMerge/>
          </w:tcPr>
          <w:p w14:paraId="41E3CFE1" w14:textId="77777777" w:rsidR="00454A29" w:rsidRDefault="00454A29"/>
        </w:tc>
        <w:tc>
          <w:tcPr>
            <w:tcW w:w="2204" w:type="dxa"/>
            <w:vMerge/>
          </w:tcPr>
          <w:p w14:paraId="5BAAD177" w14:textId="77777777" w:rsidR="00454A29" w:rsidRDefault="00454A29"/>
        </w:tc>
        <w:tc>
          <w:tcPr>
            <w:tcW w:w="1417" w:type="dxa"/>
            <w:vMerge/>
          </w:tcPr>
          <w:p w14:paraId="43329D32" w14:textId="77777777" w:rsidR="00454A29" w:rsidRDefault="00454A29"/>
        </w:tc>
        <w:tc>
          <w:tcPr>
            <w:tcW w:w="2324" w:type="dxa"/>
            <w:vMerge/>
          </w:tcPr>
          <w:p w14:paraId="07C54E46" w14:textId="77777777" w:rsidR="00454A29" w:rsidRDefault="00454A29"/>
        </w:tc>
        <w:tc>
          <w:tcPr>
            <w:tcW w:w="1701" w:type="dxa"/>
            <w:vAlign w:val="center"/>
          </w:tcPr>
          <w:p w14:paraId="3758955E" w14:textId="77777777" w:rsidR="00454A29" w:rsidRDefault="00454A29">
            <w:pPr>
              <w:pStyle w:val="ConsPlusNormal"/>
            </w:pPr>
          </w:p>
        </w:tc>
        <w:tc>
          <w:tcPr>
            <w:tcW w:w="1814" w:type="dxa"/>
            <w:vAlign w:val="center"/>
          </w:tcPr>
          <w:p w14:paraId="5C670AFE" w14:textId="77777777" w:rsidR="00454A29" w:rsidRDefault="00454A29">
            <w:pPr>
              <w:pStyle w:val="ConsPlusNormal"/>
            </w:pPr>
          </w:p>
        </w:tc>
        <w:tc>
          <w:tcPr>
            <w:tcW w:w="1701" w:type="dxa"/>
            <w:vAlign w:val="center"/>
          </w:tcPr>
          <w:p w14:paraId="781D95ED" w14:textId="77777777" w:rsidR="00454A29" w:rsidRDefault="00454A29">
            <w:pPr>
              <w:pStyle w:val="ConsPlusNormal"/>
            </w:pPr>
          </w:p>
        </w:tc>
        <w:tc>
          <w:tcPr>
            <w:tcW w:w="1701" w:type="dxa"/>
            <w:vAlign w:val="center"/>
          </w:tcPr>
          <w:p w14:paraId="220D9544" w14:textId="77777777" w:rsidR="00454A29" w:rsidRDefault="00454A29">
            <w:pPr>
              <w:pStyle w:val="ConsPlusNormal"/>
            </w:pPr>
          </w:p>
        </w:tc>
        <w:tc>
          <w:tcPr>
            <w:tcW w:w="1814" w:type="dxa"/>
            <w:vAlign w:val="center"/>
          </w:tcPr>
          <w:p w14:paraId="7E242864" w14:textId="77777777" w:rsidR="00454A29" w:rsidRDefault="00454A29">
            <w:pPr>
              <w:pStyle w:val="ConsPlusNormal"/>
            </w:pPr>
          </w:p>
        </w:tc>
      </w:tr>
      <w:tr w:rsidR="00454A29" w14:paraId="20D57C05" w14:textId="77777777">
        <w:tc>
          <w:tcPr>
            <w:tcW w:w="567" w:type="dxa"/>
            <w:vMerge/>
          </w:tcPr>
          <w:p w14:paraId="3087FC9B" w14:textId="77777777" w:rsidR="00454A29" w:rsidRDefault="00454A29"/>
        </w:tc>
        <w:tc>
          <w:tcPr>
            <w:tcW w:w="3345" w:type="dxa"/>
            <w:vMerge/>
          </w:tcPr>
          <w:p w14:paraId="6BF284CC" w14:textId="77777777" w:rsidR="00454A29" w:rsidRDefault="00454A29"/>
        </w:tc>
        <w:tc>
          <w:tcPr>
            <w:tcW w:w="1701" w:type="dxa"/>
            <w:vAlign w:val="center"/>
          </w:tcPr>
          <w:p w14:paraId="51DD72AE" w14:textId="77777777" w:rsidR="00454A29" w:rsidRDefault="00454A29">
            <w:pPr>
              <w:pStyle w:val="ConsPlusNormal"/>
              <w:jc w:val="center"/>
            </w:pPr>
            <w:r>
              <w:t>2021</w:t>
            </w:r>
          </w:p>
        </w:tc>
        <w:tc>
          <w:tcPr>
            <w:tcW w:w="1417" w:type="dxa"/>
            <w:vMerge/>
          </w:tcPr>
          <w:p w14:paraId="37855EB2" w14:textId="77777777" w:rsidR="00454A29" w:rsidRDefault="00454A29"/>
        </w:tc>
        <w:tc>
          <w:tcPr>
            <w:tcW w:w="2204" w:type="dxa"/>
            <w:vMerge/>
          </w:tcPr>
          <w:p w14:paraId="128E9235" w14:textId="77777777" w:rsidR="00454A29" w:rsidRDefault="00454A29"/>
        </w:tc>
        <w:tc>
          <w:tcPr>
            <w:tcW w:w="1417" w:type="dxa"/>
            <w:vMerge/>
          </w:tcPr>
          <w:p w14:paraId="028BAFEF" w14:textId="77777777" w:rsidR="00454A29" w:rsidRDefault="00454A29"/>
        </w:tc>
        <w:tc>
          <w:tcPr>
            <w:tcW w:w="2324" w:type="dxa"/>
            <w:vMerge/>
          </w:tcPr>
          <w:p w14:paraId="43E90B89" w14:textId="77777777" w:rsidR="00454A29" w:rsidRDefault="00454A29"/>
        </w:tc>
        <w:tc>
          <w:tcPr>
            <w:tcW w:w="1701" w:type="dxa"/>
            <w:vAlign w:val="center"/>
          </w:tcPr>
          <w:p w14:paraId="5E6C6AF3" w14:textId="77777777" w:rsidR="00454A29" w:rsidRDefault="00454A29">
            <w:pPr>
              <w:pStyle w:val="ConsPlusNormal"/>
            </w:pPr>
          </w:p>
        </w:tc>
        <w:tc>
          <w:tcPr>
            <w:tcW w:w="1814" w:type="dxa"/>
            <w:vAlign w:val="center"/>
          </w:tcPr>
          <w:p w14:paraId="004FD781" w14:textId="77777777" w:rsidR="00454A29" w:rsidRDefault="00454A29">
            <w:pPr>
              <w:pStyle w:val="ConsPlusNormal"/>
            </w:pPr>
          </w:p>
        </w:tc>
        <w:tc>
          <w:tcPr>
            <w:tcW w:w="1701" w:type="dxa"/>
            <w:vAlign w:val="center"/>
          </w:tcPr>
          <w:p w14:paraId="120B2092" w14:textId="77777777" w:rsidR="00454A29" w:rsidRDefault="00454A29">
            <w:pPr>
              <w:pStyle w:val="ConsPlusNormal"/>
            </w:pPr>
          </w:p>
        </w:tc>
        <w:tc>
          <w:tcPr>
            <w:tcW w:w="1701" w:type="dxa"/>
            <w:vAlign w:val="center"/>
          </w:tcPr>
          <w:p w14:paraId="4FED3710" w14:textId="77777777" w:rsidR="00454A29" w:rsidRDefault="00454A29">
            <w:pPr>
              <w:pStyle w:val="ConsPlusNormal"/>
            </w:pPr>
          </w:p>
        </w:tc>
        <w:tc>
          <w:tcPr>
            <w:tcW w:w="1814" w:type="dxa"/>
            <w:vAlign w:val="center"/>
          </w:tcPr>
          <w:p w14:paraId="5A664798" w14:textId="77777777" w:rsidR="00454A29" w:rsidRDefault="00454A29">
            <w:pPr>
              <w:pStyle w:val="ConsPlusNormal"/>
            </w:pPr>
          </w:p>
        </w:tc>
      </w:tr>
      <w:tr w:rsidR="00454A29" w14:paraId="3D60B4F1" w14:textId="77777777">
        <w:tc>
          <w:tcPr>
            <w:tcW w:w="567" w:type="dxa"/>
            <w:vMerge/>
          </w:tcPr>
          <w:p w14:paraId="39039193" w14:textId="77777777" w:rsidR="00454A29" w:rsidRDefault="00454A29"/>
        </w:tc>
        <w:tc>
          <w:tcPr>
            <w:tcW w:w="3345" w:type="dxa"/>
            <w:vMerge/>
          </w:tcPr>
          <w:p w14:paraId="58F4925C" w14:textId="77777777" w:rsidR="00454A29" w:rsidRDefault="00454A29"/>
        </w:tc>
        <w:tc>
          <w:tcPr>
            <w:tcW w:w="1701" w:type="dxa"/>
            <w:vAlign w:val="center"/>
          </w:tcPr>
          <w:p w14:paraId="399FCB15" w14:textId="77777777" w:rsidR="00454A29" w:rsidRDefault="00454A29">
            <w:pPr>
              <w:pStyle w:val="ConsPlusNormal"/>
              <w:jc w:val="center"/>
            </w:pPr>
            <w:r>
              <w:t>2022</w:t>
            </w:r>
          </w:p>
        </w:tc>
        <w:tc>
          <w:tcPr>
            <w:tcW w:w="1417" w:type="dxa"/>
            <w:vMerge/>
          </w:tcPr>
          <w:p w14:paraId="423EC18A" w14:textId="77777777" w:rsidR="00454A29" w:rsidRDefault="00454A29"/>
        </w:tc>
        <w:tc>
          <w:tcPr>
            <w:tcW w:w="2204" w:type="dxa"/>
            <w:vMerge/>
          </w:tcPr>
          <w:p w14:paraId="7C93ADF6" w14:textId="77777777" w:rsidR="00454A29" w:rsidRDefault="00454A29"/>
        </w:tc>
        <w:tc>
          <w:tcPr>
            <w:tcW w:w="1417" w:type="dxa"/>
            <w:vMerge/>
          </w:tcPr>
          <w:p w14:paraId="4885A69C" w14:textId="77777777" w:rsidR="00454A29" w:rsidRDefault="00454A29"/>
        </w:tc>
        <w:tc>
          <w:tcPr>
            <w:tcW w:w="2324" w:type="dxa"/>
            <w:vMerge/>
          </w:tcPr>
          <w:p w14:paraId="4A558C68" w14:textId="77777777" w:rsidR="00454A29" w:rsidRDefault="00454A29"/>
        </w:tc>
        <w:tc>
          <w:tcPr>
            <w:tcW w:w="1701" w:type="dxa"/>
            <w:vAlign w:val="center"/>
          </w:tcPr>
          <w:p w14:paraId="4EF85489" w14:textId="77777777" w:rsidR="00454A29" w:rsidRDefault="00454A29">
            <w:pPr>
              <w:pStyle w:val="ConsPlusNormal"/>
            </w:pPr>
          </w:p>
        </w:tc>
        <w:tc>
          <w:tcPr>
            <w:tcW w:w="1814" w:type="dxa"/>
            <w:vAlign w:val="center"/>
          </w:tcPr>
          <w:p w14:paraId="27CFF50C" w14:textId="77777777" w:rsidR="00454A29" w:rsidRDefault="00454A29">
            <w:pPr>
              <w:pStyle w:val="ConsPlusNormal"/>
            </w:pPr>
          </w:p>
        </w:tc>
        <w:tc>
          <w:tcPr>
            <w:tcW w:w="1701" w:type="dxa"/>
            <w:vAlign w:val="center"/>
          </w:tcPr>
          <w:p w14:paraId="6FF888B3" w14:textId="77777777" w:rsidR="00454A29" w:rsidRDefault="00454A29">
            <w:pPr>
              <w:pStyle w:val="ConsPlusNormal"/>
            </w:pPr>
          </w:p>
        </w:tc>
        <w:tc>
          <w:tcPr>
            <w:tcW w:w="1701" w:type="dxa"/>
            <w:vAlign w:val="center"/>
          </w:tcPr>
          <w:p w14:paraId="2CA135D6" w14:textId="77777777" w:rsidR="00454A29" w:rsidRDefault="00454A29">
            <w:pPr>
              <w:pStyle w:val="ConsPlusNormal"/>
            </w:pPr>
          </w:p>
        </w:tc>
        <w:tc>
          <w:tcPr>
            <w:tcW w:w="1814" w:type="dxa"/>
            <w:vAlign w:val="center"/>
          </w:tcPr>
          <w:p w14:paraId="3F9B217E" w14:textId="77777777" w:rsidR="00454A29" w:rsidRDefault="00454A29">
            <w:pPr>
              <w:pStyle w:val="ConsPlusNormal"/>
            </w:pPr>
          </w:p>
        </w:tc>
      </w:tr>
      <w:tr w:rsidR="00454A29" w14:paraId="41ECE8BA" w14:textId="77777777">
        <w:tc>
          <w:tcPr>
            <w:tcW w:w="567" w:type="dxa"/>
            <w:vMerge/>
          </w:tcPr>
          <w:p w14:paraId="420A570B" w14:textId="77777777" w:rsidR="00454A29" w:rsidRDefault="00454A29"/>
        </w:tc>
        <w:tc>
          <w:tcPr>
            <w:tcW w:w="3345" w:type="dxa"/>
            <w:vMerge/>
          </w:tcPr>
          <w:p w14:paraId="21BA2481" w14:textId="77777777" w:rsidR="00454A29" w:rsidRDefault="00454A29"/>
        </w:tc>
        <w:tc>
          <w:tcPr>
            <w:tcW w:w="1701" w:type="dxa"/>
            <w:vAlign w:val="center"/>
          </w:tcPr>
          <w:p w14:paraId="7D1724BA" w14:textId="77777777" w:rsidR="00454A29" w:rsidRDefault="00454A29">
            <w:pPr>
              <w:pStyle w:val="ConsPlusNormal"/>
              <w:jc w:val="center"/>
            </w:pPr>
            <w:r>
              <w:t>2023</w:t>
            </w:r>
          </w:p>
        </w:tc>
        <w:tc>
          <w:tcPr>
            <w:tcW w:w="1417" w:type="dxa"/>
            <w:vMerge/>
          </w:tcPr>
          <w:p w14:paraId="7BE8F8CA" w14:textId="77777777" w:rsidR="00454A29" w:rsidRDefault="00454A29"/>
        </w:tc>
        <w:tc>
          <w:tcPr>
            <w:tcW w:w="2204" w:type="dxa"/>
            <w:vMerge/>
          </w:tcPr>
          <w:p w14:paraId="339D5C16" w14:textId="77777777" w:rsidR="00454A29" w:rsidRDefault="00454A29"/>
        </w:tc>
        <w:tc>
          <w:tcPr>
            <w:tcW w:w="1417" w:type="dxa"/>
            <w:vMerge/>
          </w:tcPr>
          <w:p w14:paraId="36E297D4" w14:textId="77777777" w:rsidR="00454A29" w:rsidRDefault="00454A29"/>
        </w:tc>
        <w:tc>
          <w:tcPr>
            <w:tcW w:w="2324" w:type="dxa"/>
            <w:vMerge/>
          </w:tcPr>
          <w:p w14:paraId="2DE75FB5" w14:textId="77777777" w:rsidR="00454A29" w:rsidRDefault="00454A29"/>
        </w:tc>
        <w:tc>
          <w:tcPr>
            <w:tcW w:w="1701" w:type="dxa"/>
            <w:vAlign w:val="center"/>
          </w:tcPr>
          <w:p w14:paraId="204F655E" w14:textId="77777777" w:rsidR="00454A29" w:rsidRDefault="00454A29">
            <w:pPr>
              <w:pStyle w:val="ConsPlusNormal"/>
            </w:pPr>
          </w:p>
        </w:tc>
        <w:tc>
          <w:tcPr>
            <w:tcW w:w="1814" w:type="dxa"/>
            <w:vAlign w:val="center"/>
          </w:tcPr>
          <w:p w14:paraId="20F08CFC" w14:textId="77777777" w:rsidR="00454A29" w:rsidRDefault="00454A29">
            <w:pPr>
              <w:pStyle w:val="ConsPlusNormal"/>
            </w:pPr>
          </w:p>
        </w:tc>
        <w:tc>
          <w:tcPr>
            <w:tcW w:w="1701" w:type="dxa"/>
            <w:vAlign w:val="center"/>
          </w:tcPr>
          <w:p w14:paraId="475D5E1D" w14:textId="77777777" w:rsidR="00454A29" w:rsidRDefault="00454A29">
            <w:pPr>
              <w:pStyle w:val="ConsPlusNormal"/>
            </w:pPr>
          </w:p>
        </w:tc>
        <w:tc>
          <w:tcPr>
            <w:tcW w:w="1701" w:type="dxa"/>
            <w:vAlign w:val="center"/>
          </w:tcPr>
          <w:p w14:paraId="63F04BB6" w14:textId="77777777" w:rsidR="00454A29" w:rsidRDefault="00454A29">
            <w:pPr>
              <w:pStyle w:val="ConsPlusNormal"/>
            </w:pPr>
          </w:p>
        </w:tc>
        <w:tc>
          <w:tcPr>
            <w:tcW w:w="1814" w:type="dxa"/>
            <w:vAlign w:val="center"/>
          </w:tcPr>
          <w:p w14:paraId="14956268" w14:textId="77777777" w:rsidR="00454A29" w:rsidRDefault="00454A29">
            <w:pPr>
              <w:pStyle w:val="ConsPlusNormal"/>
            </w:pPr>
          </w:p>
        </w:tc>
      </w:tr>
      <w:tr w:rsidR="00454A29" w14:paraId="7FF75B9C" w14:textId="77777777">
        <w:tc>
          <w:tcPr>
            <w:tcW w:w="567" w:type="dxa"/>
            <w:vMerge/>
          </w:tcPr>
          <w:p w14:paraId="38A90335" w14:textId="77777777" w:rsidR="00454A29" w:rsidRDefault="00454A29"/>
        </w:tc>
        <w:tc>
          <w:tcPr>
            <w:tcW w:w="3345" w:type="dxa"/>
            <w:vMerge/>
          </w:tcPr>
          <w:p w14:paraId="46ECE7B6" w14:textId="77777777" w:rsidR="00454A29" w:rsidRDefault="00454A29"/>
        </w:tc>
        <w:tc>
          <w:tcPr>
            <w:tcW w:w="1701" w:type="dxa"/>
            <w:vAlign w:val="center"/>
          </w:tcPr>
          <w:p w14:paraId="09821AB2" w14:textId="77777777" w:rsidR="00454A29" w:rsidRDefault="00454A29">
            <w:pPr>
              <w:pStyle w:val="ConsPlusNormal"/>
              <w:jc w:val="center"/>
            </w:pPr>
            <w:r>
              <w:t>2024</w:t>
            </w:r>
          </w:p>
        </w:tc>
        <w:tc>
          <w:tcPr>
            <w:tcW w:w="1417" w:type="dxa"/>
            <w:vMerge/>
          </w:tcPr>
          <w:p w14:paraId="5F46CF84" w14:textId="77777777" w:rsidR="00454A29" w:rsidRDefault="00454A29"/>
        </w:tc>
        <w:tc>
          <w:tcPr>
            <w:tcW w:w="2204" w:type="dxa"/>
            <w:vMerge/>
          </w:tcPr>
          <w:p w14:paraId="3A93E547" w14:textId="77777777" w:rsidR="00454A29" w:rsidRDefault="00454A29"/>
        </w:tc>
        <w:tc>
          <w:tcPr>
            <w:tcW w:w="1417" w:type="dxa"/>
            <w:vMerge/>
          </w:tcPr>
          <w:p w14:paraId="56CFA4F7" w14:textId="77777777" w:rsidR="00454A29" w:rsidRDefault="00454A29"/>
        </w:tc>
        <w:tc>
          <w:tcPr>
            <w:tcW w:w="2324" w:type="dxa"/>
            <w:vMerge/>
          </w:tcPr>
          <w:p w14:paraId="76F87F34" w14:textId="77777777" w:rsidR="00454A29" w:rsidRDefault="00454A29"/>
        </w:tc>
        <w:tc>
          <w:tcPr>
            <w:tcW w:w="1701" w:type="dxa"/>
            <w:vAlign w:val="center"/>
          </w:tcPr>
          <w:p w14:paraId="3634E82D" w14:textId="77777777" w:rsidR="00454A29" w:rsidRDefault="00454A29">
            <w:pPr>
              <w:pStyle w:val="ConsPlusNormal"/>
              <w:jc w:val="center"/>
            </w:pPr>
            <w:r>
              <w:t>-</w:t>
            </w:r>
          </w:p>
        </w:tc>
        <w:tc>
          <w:tcPr>
            <w:tcW w:w="1814" w:type="dxa"/>
            <w:vAlign w:val="center"/>
          </w:tcPr>
          <w:p w14:paraId="26BBCA9C" w14:textId="77777777" w:rsidR="00454A29" w:rsidRDefault="00454A29">
            <w:pPr>
              <w:pStyle w:val="ConsPlusNormal"/>
            </w:pPr>
          </w:p>
        </w:tc>
        <w:tc>
          <w:tcPr>
            <w:tcW w:w="1701" w:type="dxa"/>
            <w:vAlign w:val="center"/>
          </w:tcPr>
          <w:p w14:paraId="0D58885C" w14:textId="77777777" w:rsidR="00454A29" w:rsidRDefault="00454A29">
            <w:pPr>
              <w:pStyle w:val="ConsPlusNormal"/>
            </w:pPr>
          </w:p>
        </w:tc>
        <w:tc>
          <w:tcPr>
            <w:tcW w:w="1701" w:type="dxa"/>
            <w:vAlign w:val="center"/>
          </w:tcPr>
          <w:p w14:paraId="1873E20E" w14:textId="77777777" w:rsidR="00454A29" w:rsidRDefault="00454A29">
            <w:pPr>
              <w:pStyle w:val="ConsPlusNormal"/>
            </w:pPr>
          </w:p>
        </w:tc>
        <w:tc>
          <w:tcPr>
            <w:tcW w:w="1814" w:type="dxa"/>
            <w:vAlign w:val="center"/>
          </w:tcPr>
          <w:p w14:paraId="30B3E224" w14:textId="77777777" w:rsidR="00454A29" w:rsidRDefault="00454A29">
            <w:pPr>
              <w:pStyle w:val="ConsPlusNormal"/>
            </w:pPr>
          </w:p>
        </w:tc>
      </w:tr>
      <w:tr w:rsidR="00454A29" w14:paraId="68518600" w14:textId="77777777">
        <w:tc>
          <w:tcPr>
            <w:tcW w:w="567" w:type="dxa"/>
            <w:vMerge/>
          </w:tcPr>
          <w:p w14:paraId="4F827C63" w14:textId="77777777" w:rsidR="00454A29" w:rsidRDefault="00454A29"/>
        </w:tc>
        <w:tc>
          <w:tcPr>
            <w:tcW w:w="3345" w:type="dxa"/>
            <w:vMerge/>
          </w:tcPr>
          <w:p w14:paraId="5BEAC099" w14:textId="77777777" w:rsidR="00454A29" w:rsidRDefault="00454A29"/>
        </w:tc>
        <w:tc>
          <w:tcPr>
            <w:tcW w:w="1701" w:type="dxa"/>
            <w:vAlign w:val="center"/>
          </w:tcPr>
          <w:p w14:paraId="57EB973B" w14:textId="77777777" w:rsidR="00454A29" w:rsidRDefault="00454A29">
            <w:pPr>
              <w:pStyle w:val="ConsPlusNormal"/>
              <w:jc w:val="center"/>
            </w:pPr>
            <w:r>
              <w:t>2025</w:t>
            </w:r>
          </w:p>
        </w:tc>
        <w:tc>
          <w:tcPr>
            <w:tcW w:w="1417" w:type="dxa"/>
            <w:vMerge/>
          </w:tcPr>
          <w:p w14:paraId="0415909F" w14:textId="77777777" w:rsidR="00454A29" w:rsidRDefault="00454A29"/>
        </w:tc>
        <w:tc>
          <w:tcPr>
            <w:tcW w:w="2204" w:type="dxa"/>
            <w:vMerge/>
          </w:tcPr>
          <w:p w14:paraId="4A59E39A" w14:textId="77777777" w:rsidR="00454A29" w:rsidRDefault="00454A29"/>
        </w:tc>
        <w:tc>
          <w:tcPr>
            <w:tcW w:w="1417" w:type="dxa"/>
            <w:vMerge/>
          </w:tcPr>
          <w:p w14:paraId="757D5B7E" w14:textId="77777777" w:rsidR="00454A29" w:rsidRDefault="00454A29"/>
        </w:tc>
        <w:tc>
          <w:tcPr>
            <w:tcW w:w="2324" w:type="dxa"/>
            <w:vMerge/>
          </w:tcPr>
          <w:p w14:paraId="652BD4BA" w14:textId="77777777" w:rsidR="00454A29" w:rsidRDefault="00454A29"/>
        </w:tc>
        <w:tc>
          <w:tcPr>
            <w:tcW w:w="1701" w:type="dxa"/>
            <w:vAlign w:val="center"/>
          </w:tcPr>
          <w:p w14:paraId="5D8CC965" w14:textId="77777777" w:rsidR="00454A29" w:rsidRDefault="00454A29">
            <w:pPr>
              <w:pStyle w:val="ConsPlusNormal"/>
            </w:pPr>
          </w:p>
        </w:tc>
        <w:tc>
          <w:tcPr>
            <w:tcW w:w="1814" w:type="dxa"/>
            <w:vAlign w:val="center"/>
          </w:tcPr>
          <w:p w14:paraId="7D17221F" w14:textId="77777777" w:rsidR="00454A29" w:rsidRDefault="00454A29">
            <w:pPr>
              <w:pStyle w:val="ConsPlusNormal"/>
            </w:pPr>
          </w:p>
        </w:tc>
        <w:tc>
          <w:tcPr>
            <w:tcW w:w="1701" w:type="dxa"/>
            <w:vAlign w:val="center"/>
          </w:tcPr>
          <w:p w14:paraId="7B84F7D1" w14:textId="77777777" w:rsidR="00454A29" w:rsidRDefault="00454A29">
            <w:pPr>
              <w:pStyle w:val="ConsPlusNormal"/>
            </w:pPr>
          </w:p>
        </w:tc>
        <w:tc>
          <w:tcPr>
            <w:tcW w:w="1701" w:type="dxa"/>
            <w:vAlign w:val="center"/>
          </w:tcPr>
          <w:p w14:paraId="3724172B" w14:textId="77777777" w:rsidR="00454A29" w:rsidRDefault="00454A29">
            <w:pPr>
              <w:pStyle w:val="ConsPlusNormal"/>
            </w:pPr>
          </w:p>
        </w:tc>
        <w:tc>
          <w:tcPr>
            <w:tcW w:w="1814" w:type="dxa"/>
            <w:vAlign w:val="center"/>
          </w:tcPr>
          <w:p w14:paraId="7E99AB67" w14:textId="77777777" w:rsidR="00454A29" w:rsidRDefault="00454A29">
            <w:pPr>
              <w:pStyle w:val="ConsPlusNormal"/>
            </w:pPr>
          </w:p>
        </w:tc>
      </w:tr>
      <w:tr w:rsidR="00454A29" w14:paraId="68CE7FDA" w14:textId="77777777">
        <w:tc>
          <w:tcPr>
            <w:tcW w:w="567" w:type="dxa"/>
            <w:vMerge/>
          </w:tcPr>
          <w:p w14:paraId="1A8EAA4F" w14:textId="77777777" w:rsidR="00454A29" w:rsidRDefault="00454A29"/>
        </w:tc>
        <w:tc>
          <w:tcPr>
            <w:tcW w:w="3345" w:type="dxa"/>
            <w:vMerge/>
          </w:tcPr>
          <w:p w14:paraId="6E285949" w14:textId="77777777" w:rsidR="00454A29" w:rsidRDefault="00454A29"/>
        </w:tc>
        <w:tc>
          <w:tcPr>
            <w:tcW w:w="1701" w:type="dxa"/>
            <w:vAlign w:val="center"/>
          </w:tcPr>
          <w:p w14:paraId="1CF63564" w14:textId="77777777" w:rsidR="00454A29" w:rsidRDefault="00454A29">
            <w:pPr>
              <w:pStyle w:val="ConsPlusNormal"/>
              <w:jc w:val="center"/>
            </w:pPr>
            <w:r>
              <w:t>2026</w:t>
            </w:r>
          </w:p>
        </w:tc>
        <w:tc>
          <w:tcPr>
            <w:tcW w:w="1417" w:type="dxa"/>
            <w:vMerge/>
          </w:tcPr>
          <w:p w14:paraId="2C6AF826" w14:textId="77777777" w:rsidR="00454A29" w:rsidRDefault="00454A29"/>
        </w:tc>
        <w:tc>
          <w:tcPr>
            <w:tcW w:w="2204" w:type="dxa"/>
            <w:vMerge/>
          </w:tcPr>
          <w:p w14:paraId="1EBE93D6" w14:textId="77777777" w:rsidR="00454A29" w:rsidRDefault="00454A29"/>
        </w:tc>
        <w:tc>
          <w:tcPr>
            <w:tcW w:w="1417" w:type="dxa"/>
            <w:vMerge/>
          </w:tcPr>
          <w:p w14:paraId="103A3DE7" w14:textId="77777777" w:rsidR="00454A29" w:rsidRDefault="00454A29"/>
        </w:tc>
        <w:tc>
          <w:tcPr>
            <w:tcW w:w="2324" w:type="dxa"/>
            <w:vMerge/>
          </w:tcPr>
          <w:p w14:paraId="2565937F" w14:textId="77777777" w:rsidR="00454A29" w:rsidRDefault="00454A29"/>
        </w:tc>
        <w:tc>
          <w:tcPr>
            <w:tcW w:w="1701" w:type="dxa"/>
            <w:vAlign w:val="center"/>
          </w:tcPr>
          <w:p w14:paraId="44D83B0A" w14:textId="77777777" w:rsidR="00454A29" w:rsidRDefault="00454A29">
            <w:pPr>
              <w:pStyle w:val="ConsPlusNormal"/>
              <w:jc w:val="center"/>
            </w:pPr>
            <w:r>
              <w:t>145 744,88</w:t>
            </w:r>
          </w:p>
        </w:tc>
        <w:tc>
          <w:tcPr>
            <w:tcW w:w="1814" w:type="dxa"/>
            <w:vAlign w:val="center"/>
          </w:tcPr>
          <w:p w14:paraId="365DC88C" w14:textId="77777777" w:rsidR="00454A29" w:rsidRDefault="00454A29">
            <w:pPr>
              <w:pStyle w:val="ConsPlusNormal"/>
              <w:jc w:val="center"/>
            </w:pPr>
            <w:r>
              <w:t>1 795,58</w:t>
            </w:r>
          </w:p>
        </w:tc>
        <w:tc>
          <w:tcPr>
            <w:tcW w:w="1701" w:type="dxa"/>
            <w:vAlign w:val="center"/>
          </w:tcPr>
          <w:p w14:paraId="46E37B80" w14:textId="77777777" w:rsidR="00454A29" w:rsidRDefault="00454A29">
            <w:pPr>
              <w:pStyle w:val="ConsPlusNormal"/>
              <w:jc w:val="center"/>
            </w:pPr>
            <w:r>
              <w:t>177 762,12</w:t>
            </w:r>
          </w:p>
        </w:tc>
        <w:tc>
          <w:tcPr>
            <w:tcW w:w="1701" w:type="dxa"/>
            <w:vAlign w:val="center"/>
          </w:tcPr>
          <w:p w14:paraId="2005B2C5" w14:textId="77777777" w:rsidR="00454A29" w:rsidRDefault="00454A29">
            <w:pPr>
              <w:pStyle w:val="ConsPlusNormal"/>
            </w:pPr>
          </w:p>
        </w:tc>
        <w:tc>
          <w:tcPr>
            <w:tcW w:w="1814" w:type="dxa"/>
            <w:vAlign w:val="center"/>
          </w:tcPr>
          <w:p w14:paraId="15A7FE2B" w14:textId="77777777" w:rsidR="00454A29" w:rsidRDefault="00454A29">
            <w:pPr>
              <w:pStyle w:val="ConsPlusNormal"/>
            </w:pPr>
          </w:p>
        </w:tc>
      </w:tr>
      <w:tr w:rsidR="00454A29" w14:paraId="3BCFAC38" w14:textId="77777777">
        <w:tc>
          <w:tcPr>
            <w:tcW w:w="21706" w:type="dxa"/>
            <w:gridSpan w:val="12"/>
            <w:vAlign w:val="center"/>
          </w:tcPr>
          <w:p w14:paraId="550BABEE" w14:textId="77777777" w:rsidR="00454A29" w:rsidRDefault="00454A29">
            <w:pPr>
              <w:pStyle w:val="ConsPlusNormal"/>
              <w:jc w:val="center"/>
              <w:outlineLvl w:val="2"/>
            </w:pPr>
            <w:r>
              <w:t>ГО "город Якутск"</w:t>
            </w:r>
          </w:p>
        </w:tc>
      </w:tr>
      <w:tr w:rsidR="00454A29" w14:paraId="7A8CEC7B" w14:textId="77777777">
        <w:tc>
          <w:tcPr>
            <w:tcW w:w="567" w:type="dxa"/>
            <w:vMerge w:val="restart"/>
            <w:vAlign w:val="center"/>
          </w:tcPr>
          <w:p w14:paraId="290EA342" w14:textId="77777777" w:rsidR="00454A29" w:rsidRDefault="00454A29">
            <w:pPr>
              <w:pStyle w:val="ConsPlusNormal"/>
              <w:jc w:val="center"/>
            </w:pPr>
            <w:r>
              <w:t>165</w:t>
            </w:r>
          </w:p>
        </w:tc>
        <w:tc>
          <w:tcPr>
            <w:tcW w:w="3345" w:type="dxa"/>
            <w:vMerge w:val="restart"/>
            <w:vAlign w:val="center"/>
          </w:tcPr>
          <w:p w14:paraId="3199D652" w14:textId="77777777" w:rsidR="00454A29" w:rsidRDefault="00454A29">
            <w:pPr>
              <w:pStyle w:val="ConsPlusNormal"/>
              <w:jc w:val="center"/>
            </w:pPr>
            <w:r>
              <w:t>Школа на 360 учащихся в 203 мкр. г. Якутска</w:t>
            </w:r>
          </w:p>
        </w:tc>
        <w:tc>
          <w:tcPr>
            <w:tcW w:w="1701" w:type="dxa"/>
            <w:vAlign w:val="center"/>
          </w:tcPr>
          <w:p w14:paraId="75BFDC3B" w14:textId="77777777" w:rsidR="00454A29" w:rsidRDefault="00454A29">
            <w:pPr>
              <w:pStyle w:val="ConsPlusNormal"/>
              <w:jc w:val="center"/>
            </w:pPr>
            <w:r>
              <w:t>2020 - 2026 годы - всего</w:t>
            </w:r>
          </w:p>
        </w:tc>
        <w:tc>
          <w:tcPr>
            <w:tcW w:w="1417" w:type="dxa"/>
            <w:vMerge w:val="restart"/>
            <w:vAlign w:val="center"/>
          </w:tcPr>
          <w:p w14:paraId="5C70B878" w14:textId="77777777" w:rsidR="00454A29" w:rsidRDefault="00454A29">
            <w:pPr>
              <w:pStyle w:val="ConsPlusNormal"/>
              <w:jc w:val="center"/>
            </w:pPr>
            <w:r>
              <w:t>321 142,97</w:t>
            </w:r>
          </w:p>
        </w:tc>
        <w:tc>
          <w:tcPr>
            <w:tcW w:w="2204" w:type="dxa"/>
            <w:vMerge w:val="restart"/>
            <w:vAlign w:val="center"/>
          </w:tcPr>
          <w:p w14:paraId="6B61C94E" w14:textId="77777777" w:rsidR="00454A29" w:rsidRDefault="00454A29">
            <w:pPr>
              <w:pStyle w:val="ConsPlusNormal"/>
            </w:pPr>
          </w:p>
        </w:tc>
        <w:tc>
          <w:tcPr>
            <w:tcW w:w="1417" w:type="dxa"/>
            <w:vMerge w:val="restart"/>
            <w:vAlign w:val="center"/>
          </w:tcPr>
          <w:p w14:paraId="21749CE4" w14:textId="77777777" w:rsidR="00454A29" w:rsidRDefault="00454A29">
            <w:pPr>
              <w:pStyle w:val="ConsPlusNormal"/>
              <w:jc w:val="center"/>
            </w:pPr>
            <w:r>
              <w:t>360</w:t>
            </w:r>
          </w:p>
        </w:tc>
        <w:tc>
          <w:tcPr>
            <w:tcW w:w="2324" w:type="dxa"/>
            <w:vMerge w:val="restart"/>
            <w:vAlign w:val="center"/>
          </w:tcPr>
          <w:p w14:paraId="11B38B8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FFBA1F1" w14:textId="77777777" w:rsidR="00454A29" w:rsidRDefault="00454A29">
            <w:pPr>
              <w:pStyle w:val="ConsPlusNormal"/>
              <w:jc w:val="center"/>
            </w:pPr>
            <w:r>
              <w:t>321 142,97</w:t>
            </w:r>
          </w:p>
        </w:tc>
        <w:tc>
          <w:tcPr>
            <w:tcW w:w="1814" w:type="dxa"/>
            <w:vAlign w:val="center"/>
          </w:tcPr>
          <w:p w14:paraId="6380585D" w14:textId="77777777" w:rsidR="00454A29" w:rsidRDefault="00454A29">
            <w:pPr>
              <w:pStyle w:val="ConsPlusNormal"/>
              <w:jc w:val="center"/>
            </w:pPr>
            <w:r>
              <w:t>321 142,97</w:t>
            </w:r>
          </w:p>
        </w:tc>
        <w:tc>
          <w:tcPr>
            <w:tcW w:w="1701" w:type="dxa"/>
            <w:vAlign w:val="center"/>
          </w:tcPr>
          <w:p w14:paraId="4DCAE25E" w14:textId="77777777" w:rsidR="00454A29" w:rsidRDefault="00454A29">
            <w:pPr>
              <w:pStyle w:val="ConsPlusNormal"/>
              <w:jc w:val="center"/>
            </w:pPr>
            <w:r>
              <w:t>-</w:t>
            </w:r>
          </w:p>
        </w:tc>
        <w:tc>
          <w:tcPr>
            <w:tcW w:w="1701" w:type="dxa"/>
            <w:vAlign w:val="center"/>
          </w:tcPr>
          <w:p w14:paraId="7B5B1047" w14:textId="77777777" w:rsidR="00454A29" w:rsidRDefault="00454A29">
            <w:pPr>
              <w:pStyle w:val="ConsPlusNormal"/>
              <w:jc w:val="center"/>
            </w:pPr>
            <w:r>
              <w:t>-</w:t>
            </w:r>
          </w:p>
        </w:tc>
        <w:tc>
          <w:tcPr>
            <w:tcW w:w="1814" w:type="dxa"/>
            <w:vAlign w:val="center"/>
          </w:tcPr>
          <w:p w14:paraId="6F8C75B7" w14:textId="77777777" w:rsidR="00454A29" w:rsidRDefault="00454A29">
            <w:pPr>
              <w:pStyle w:val="ConsPlusNormal"/>
              <w:jc w:val="center"/>
            </w:pPr>
            <w:r>
              <w:t>-</w:t>
            </w:r>
          </w:p>
        </w:tc>
      </w:tr>
      <w:tr w:rsidR="00454A29" w14:paraId="398EDDD3" w14:textId="77777777">
        <w:tc>
          <w:tcPr>
            <w:tcW w:w="567" w:type="dxa"/>
            <w:vMerge/>
          </w:tcPr>
          <w:p w14:paraId="0B592665" w14:textId="77777777" w:rsidR="00454A29" w:rsidRDefault="00454A29"/>
        </w:tc>
        <w:tc>
          <w:tcPr>
            <w:tcW w:w="3345" w:type="dxa"/>
            <w:vMerge/>
          </w:tcPr>
          <w:p w14:paraId="76229FF8" w14:textId="77777777" w:rsidR="00454A29" w:rsidRDefault="00454A29"/>
        </w:tc>
        <w:tc>
          <w:tcPr>
            <w:tcW w:w="1701" w:type="dxa"/>
            <w:vAlign w:val="center"/>
          </w:tcPr>
          <w:p w14:paraId="295FDE89" w14:textId="77777777" w:rsidR="00454A29" w:rsidRDefault="00454A29">
            <w:pPr>
              <w:pStyle w:val="ConsPlusNormal"/>
              <w:jc w:val="center"/>
            </w:pPr>
            <w:r>
              <w:t>2020</w:t>
            </w:r>
          </w:p>
        </w:tc>
        <w:tc>
          <w:tcPr>
            <w:tcW w:w="1417" w:type="dxa"/>
            <w:vMerge/>
          </w:tcPr>
          <w:p w14:paraId="5DE907E8" w14:textId="77777777" w:rsidR="00454A29" w:rsidRDefault="00454A29"/>
        </w:tc>
        <w:tc>
          <w:tcPr>
            <w:tcW w:w="2204" w:type="dxa"/>
            <w:vMerge/>
          </w:tcPr>
          <w:p w14:paraId="4FE13CD3" w14:textId="77777777" w:rsidR="00454A29" w:rsidRDefault="00454A29"/>
        </w:tc>
        <w:tc>
          <w:tcPr>
            <w:tcW w:w="1417" w:type="dxa"/>
            <w:vMerge/>
          </w:tcPr>
          <w:p w14:paraId="0EE759ED" w14:textId="77777777" w:rsidR="00454A29" w:rsidRDefault="00454A29"/>
        </w:tc>
        <w:tc>
          <w:tcPr>
            <w:tcW w:w="2324" w:type="dxa"/>
            <w:vMerge/>
          </w:tcPr>
          <w:p w14:paraId="5C718275" w14:textId="77777777" w:rsidR="00454A29" w:rsidRDefault="00454A29"/>
        </w:tc>
        <w:tc>
          <w:tcPr>
            <w:tcW w:w="1701" w:type="dxa"/>
            <w:vAlign w:val="center"/>
          </w:tcPr>
          <w:p w14:paraId="09A6A689" w14:textId="77777777" w:rsidR="00454A29" w:rsidRDefault="00454A29">
            <w:pPr>
              <w:pStyle w:val="ConsPlusNormal"/>
              <w:jc w:val="center"/>
            </w:pPr>
            <w:r>
              <w:t>321 142,97</w:t>
            </w:r>
          </w:p>
        </w:tc>
        <w:tc>
          <w:tcPr>
            <w:tcW w:w="1814" w:type="dxa"/>
            <w:vAlign w:val="center"/>
          </w:tcPr>
          <w:p w14:paraId="594F9C0D" w14:textId="77777777" w:rsidR="00454A29" w:rsidRDefault="00454A29">
            <w:pPr>
              <w:pStyle w:val="ConsPlusNormal"/>
              <w:jc w:val="center"/>
            </w:pPr>
            <w:r>
              <w:t>321 142,97</w:t>
            </w:r>
          </w:p>
        </w:tc>
        <w:tc>
          <w:tcPr>
            <w:tcW w:w="1701" w:type="dxa"/>
            <w:vAlign w:val="center"/>
          </w:tcPr>
          <w:p w14:paraId="5E228719" w14:textId="77777777" w:rsidR="00454A29" w:rsidRDefault="00454A29">
            <w:pPr>
              <w:pStyle w:val="ConsPlusNormal"/>
            </w:pPr>
          </w:p>
        </w:tc>
        <w:tc>
          <w:tcPr>
            <w:tcW w:w="1701" w:type="dxa"/>
            <w:vAlign w:val="center"/>
          </w:tcPr>
          <w:p w14:paraId="6DA5A4E5" w14:textId="77777777" w:rsidR="00454A29" w:rsidRDefault="00454A29">
            <w:pPr>
              <w:pStyle w:val="ConsPlusNormal"/>
            </w:pPr>
          </w:p>
        </w:tc>
        <w:tc>
          <w:tcPr>
            <w:tcW w:w="1814" w:type="dxa"/>
            <w:vAlign w:val="center"/>
          </w:tcPr>
          <w:p w14:paraId="06B3C4BB" w14:textId="77777777" w:rsidR="00454A29" w:rsidRDefault="00454A29">
            <w:pPr>
              <w:pStyle w:val="ConsPlusNormal"/>
            </w:pPr>
          </w:p>
        </w:tc>
      </w:tr>
      <w:tr w:rsidR="00454A29" w14:paraId="3F8983CC" w14:textId="77777777">
        <w:tc>
          <w:tcPr>
            <w:tcW w:w="567" w:type="dxa"/>
            <w:vMerge/>
          </w:tcPr>
          <w:p w14:paraId="38E0C1B8" w14:textId="77777777" w:rsidR="00454A29" w:rsidRDefault="00454A29"/>
        </w:tc>
        <w:tc>
          <w:tcPr>
            <w:tcW w:w="3345" w:type="dxa"/>
            <w:vMerge/>
          </w:tcPr>
          <w:p w14:paraId="2174700F" w14:textId="77777777" w:rsidR="00454A29" w:rsidRDefault="00454A29"/>
        </w:tc>
        <w:tc>
          <w:tcPr>
            <w:tcW w:w="1701" w:type="dxa"/>
            <w:vAlign w:val="center"/>
          </w:tcPr>
          <w:p w14:paraId="0AFBBC7B" w14:textId="77777777" w:rsidR="00454A29" w:rsidRDefault="00454A29">
            <w:pPr>
              <w:pStyle w:val="ConsPlusNormal"/>
              <w:jc w:val="center"/>
            </w:pPr>
            <w:r>
              <w:t>2021</w:t>
            </w:r>
          </w:p>
        </w:tc>
        <w:tc>
          <w:tcPr>
            <w:tcW w:w="1417" w:type="dxa"/>
            <w:vMerge/>
          </w:tcPr>
          <w:p w14:paraId="767A63AB" w14:textId="77777777" w:rsidR="00454A29" w:rsidRDefault="00454A29"/>
        </w:tc>
        <w:tc>
          <w:tcPr>
            <w:tcW w:w="2204" w:type="dxa"/>
            <w:vMerge/>
          </w:tcPr>
          <w:p w14:paraId="504E7EAC" w14:textId="77777777" w:rsidR="00454A29" w:rsidRDefault="00454A29"/>
        </w:tc>
        <w:tc>
          <w:tcPr>
            <w:tcW w:w="1417" w:type="dxa"/>
            <w:vMerge/>
          </w:tcPr>
          <w:p w14:paraId="6E5E6785" w14:textId="77777777" w:rsidR="00454A29" w:rsidRDefault="00454A29"/>
        </w:tc>
        <w:tc>
          <w:tcPr>
            <w:tcW w:w="2324" w:type="dxa"/>
            <w:vMerge/>
          </w:tcPr>
          <w:p w14:paraId="36B64DC2" w14:textId="77777777" w:rsidR="00454A29" w:rsidRDefault="00454A29"/>
        </w:tc>
        <w:tc>
          <w:tcPr>
            <w:tcW w:w="1701" w:type="dxa"/>
            <w:vAlign w:val="center"/>
          </w:tcPr>
          <w:p w14:paraId="0AD1C972" w14:textId="77777777" w:rsidR="00454A29" w:rsidRDefault="00454A29">
            <w:pPr>
              <w:pStyle w:val="ConsPlusNormal"/>
            </w:pPr>
          </w:p>
        </w:tc>
        <w:tc>
          <w:tcPr>
            <w:tcW w:w="1814" w:type="dxa"/>
            <w:vAlign w:val="center"/>
          </w:tcPr>
          <w:p w14:paraId="2D29D635" w14:textId="77777777" w:rsidR="00454A29" w:rsidRDefault="00454A29">
            <w:pPr>
              <w:pStyle w:val="ConsPlusNormal"/>
            </w:pPr>
          </w:p>
        </w:tc>
        <w:tc>
          <w:tcPr>
            <w:tcW w:w="1701" w:type="dxa"/>
            <w:vAlign w:val="center"/>
          </w:tcPr>
          <w:p w14:paraId="390B8725" w14:textId="77777777" w:rsidR="00454A29" w:rsidRDefault="00454A29">
            <w:pPr>
              <w:pStyle w:val="ConsPlusNormal"/>
            </w:pPr>
          </w:p>
        </w:tc>
        <w:tc>
          <w:tcPr>
            <w:tcW w:w="1701" w:type="dxa"/>
            <w:vAlign w:val="center"/>
          </w:tcPr>
          <w:p w14:paraId="0A4C72C2" w14:textId="77777777" w:rsidR="00454A29" w:rsidRDefault="00454A29">
            <w:pPr>
              <w:pStyle w:val="ConsPlusNormal"/>
            </w:pPr>
          </w:p>
        </w:tc>
        <w:tc>
          <w:tcPr>
            <w:tcW w:w="1814" w:type="dxa"/>
            <w:vAlign w:val="center"/>
          </w:tcPr>
          <w:p w14:paraId="31DB2790" w14:textId="77777777" w:rsidR="00454A29" w:rsidRDefault="00454A29">
            <w:pPr>
              <w:pStyle w:val="ConsPlusNormal"/>
            </w:pPr>
          </w:p>
        </w:tc>
      </w:tr>
      <w:tr w:rsidR="00454A29" w14:paraId="2BFA4CA1" w14:textId="77777777">
        <w:tc>
          <w:tcPr>
            <w:tcW w:w="567" w:type="dxa"/>
            <w:vMerge/>
          </w:tcPr>
          <w:p w14:paraId="199203B3" w14:textId="77777777" w:rsidR="00454A29" w:rsidRDefault="00454A29"/>
        </w:tc>
        <w:tc>
          <w:tcPr>
            <w:tcW w:w="3345" w:type="dxa"/>
            <w:vMerge/>
          </w:tcPr>
          <w:p w14:paraId="11A4B4A9" w14:textId="77777777" w:rsidR="00454A29" w:rsidRDefault="00454A29"/>
        </w:tc>
        <w:tc>
          <w:tcPr>
            <w:tcW w:w="1701" w:type="dxa"/>
            <w:vAlign w:val="center"/>
          </w:tcPr>
          <w:p w14:paraId="76B36792" w14:textId="77777777" w:rsidR="00454A29" w:rsidRDefault="00454A29">
            <w:pPr>
              <w:pStyle w:val="ConsPlusNormal"/>
              <w:jc w:val="center"/>
            </w:pPr>
            <w:r>
              <w:t>2022</w:t>
            </w:r>
          </w:p>
        </w:tc>
        <w:tc>
          <w:tcPr>
            <w:tcW w:w="1417" w:type="dxa"/>
            <w:vMerge/>
          </w:tcPr>
          <w:p w14:paraId="5B99445F" w14:textId="77777777" w:rsidR="00454A29" w:rsidRDefault="00454A29"/>
        </w:tc>
        <w:tc>
          <w:tcPr>
            <w:tcW w:w="2204" w:type="dxa"/>
            <w:vMerge/>
          </w:tcPr>
          <w:p w14:paraId="21E0E5ED" w14:textId="77777777" w:rsidR="00454A29" w:rsidRDefault="00454A29"/>
        </w:tc>
        <w:tc>
          <w:tcPr>
            <w:tcW w:w="1417" w:type="dxa"/>
            <w:vMerge/>
          </w:tcPr>
          <w:p w14:paraId="4BE180C6" w14:textId="77777777" w:rsidR="00454A29" w:rsidRDefault="00454A29"/>
        </w:tc>
        <w:tc>
          <w:tcPr>
            <w:tcW w:w="2324" w:type="dxa"/>
            <w:vMerge/>
          </w:tcPr>
          <w:p w14:paraId="2516174E" w14:textId="77777777" w:rsidR="00454A29" w:rsidRDefault="00454A29"/>
        </w:tc>
        <w:tc>
          <w:tcPr>
            <w:tcW w:w="1701" w:type="dxa"/>
            <w:vAlign w:val="center"/>
          </w:tcPr>
          <w:p w14:paraId="5B88C9FA" w14:textId="77777777" w:rsidR="00454A29" w:rsidRDefault="00454A29">
            <w:pPr>
              <w:pStyle w:val="ConsPlusNormal"/>
            </w:pPr>
          </w:p>
        </w:tc>
        <w:tc>
          <w:tcPr>
            <w:tcW w:w="1814" w:type="dxa"/>
            <w:vAlign w:val="center"/>
          </w:tcPr>
          <w:p w14:paraId="29B94FF7" w14:textId="77777777" w:rsidR="00454A29" w:rsidRDefault="00454A29">
            <w:pPr>
              <w:pStyle w:val="ConsPlusNormal"/>
            </w:pPr>
          </w:p>
        </w:tc>
        <w:tc>
          <w:tcPr>
            <w:tcW w:w="1701" w:type="dxa"/>
            <w:vAlign w:val="center"/>
          </w:tcPr>
          <w:p w14:paraId="453D8FE5" w14:textId="77777777" w:rsidR="00454A29" w:rsidRDefault="00454A29">
            <w:pPr>
              <w:pStyle w:val="ConsPlusNormal"/>
            </w:pPr>
          </w:p>
        </w:tc>
        <w:tc>
          <w:tcPr>
            <w:tcW w:w="1701" w:type="dxa"/>
            <w:vAlign w:val="center"/>
          </w:tcPr>
          <w:p w14:paraId="65C623DF" w14:textId="77777777" w:rsidR="00454A29" w:rsidRDefault="00454A29">
            <w:pPr>
              <w:pStyle w:val="ConsPlusNormal"/>
            </w:pPr>
          </w:p>
        </w:tc>
        <w:tc>
          <w:tcPr>
            <w:tcW w:w="1814" w:type="dxa"/>
            <w:vAlign w:val="center"/>
          </w:tcPr>
          <w:p w14:paraId="7D5B207D" w14:textId="77777777" w:rsidR="00454A29" w:rsidRDefault="00454A29">
            <w:pPr>
              <w:pStyle w:val="ConsPlusNormal"/>
            </w:pPr>
          </w:p>
        </w:tc>
      </w:tr>
      <w:tr w:rsidR="00454A29" w14:paraId="06E2CD6A" w14:textId="77777777">
        <w:tc>
          <w:tcPr>
            <w:tcW w:w="567" w:type="dxa"/>
            <w:vMerge/>
          </w:tcPr>
          <w:p w14:paraId="3C5A81A6" w14:textId="77777777" w:rsidR="00454A29" w:rsidRDefault="00454A29"/>
        </w:tc>
        <w:tc>
          <w:tcPr>
            <w:tcW w:w="3345" w:type="dxa"/>
            <w:vMerge/>
          </w:tcPr>
          <w:p w14:paraId="772C89E1" w14:textId="77777777" w:rsidR="00454A29" w:rsidRDefault="00454A29"/>
        </w:tc>
        <w:tc>
          <w:tcPr>
            <w:tcW w:w="1701" w:type="dxa"/>
            <w:vAlign w:val="center"/>
          </w:tcPr>
          <w:p w14:paraId="02B26F02" w14:textId="77777777" w:rsidR="00454A29" w:rsidRDefault="00454A29">
            <w:pPr>
              <w:pStyle w:val="ConsPlusNormal"/>
              <w:jc w:val="center"/>
            </w:pPr>
            <w:r>
              <w:t>2023</w:t>
            </w:r>
          </w:p>
        </w:tc>
        <w:tc>
          <w:tcPr>
            <w:tcW w:w="1417" w:type="dxa"/>
            <w:vMerge/>
          </w:tcPr>
          <w:p w14:paraId="1259535B" w14:textId="77777777" w:rsidR="00454A29" w:rsidRDefault="00454A29"/>
        </w:tc>
        <w:tc>
          <w:tcPr>
            <w:tcW w:w="2204" w:type="dxa"/>
            <w:vMerge/>
          </w:tcPr>
          <w:p w14:paraId="07DF834F" w14:textId="77777777" w:rsidR="00454A29" w:rsidRDefault="00454A29"/>
        </w:tc>
        <w:tc>
          <w:tcPr>
            <w:tcW w:w="1417" w:type="dxa"/>
            <w:vMerge/>
          </w:tcPr>
          <w:p w14:paraId="24BD2F7D" w14:textId="77777777" w:rsidR="00454A29" w:rsidRDefault="00454A29"/>
        </w:tc>
        <w:tc>
          <w:tcPr>
            <w:tcW w:w="2324" w:type="dxa"/>
            <w:vMerge/>
          </w:tcPr>
          <w:p w14:paraId="08D39452" w14:textId="77777777" w:rsidR="00454A29" w:rsidRDefault="00454A29"/>
        </w:tc>
        <w:tc>
          <w:tcPr>
            <w:tcW w:w="1701" w:type="dxa"/>
            <w:vAlign w:val="center"/>
          </w:tcPr>
          <w:p w14:paraId="37EDD353" w14:textId="77777777" w:rsidR="00454A29" w:rsidRDefault="00454A29">
            <w:pPr>
              <w:pStyle w:val="ConsPlusNormal"/>
            </w:pPr>
          </w:p>
        </w:tc>
        <w:tc>
          <w:tcPr>
            <w:tcW w:w="1814" w:type="dxa"/>
            <w:vAlign w:val="center"/>
          </w:tcPr>
          <w:p w14:paraId="39D0E035" w14:textId="77777777" w:rsidR="00454A29" w:rsidRDefault="00454A29">
            <w:pPr>
              <w:pStyle w:val="ConsPlusNormal"/>
            </w:pPr>
          </w:p>
        </w:tc>
        <w:tc>
          <w:tcPr>
            <w:tcW w:w="1701" w:type="dxa"/>
            <w:vAlign w:val="center"/>
          </w:tcPr>
          <w:p w14:paraId="1D362EEB" w14:textId="77777777" w:rsidR="00454A29" w:rsidRDefault="00454A29">
            <w:pPr>
              <w:pStyle w:val="ConsPlusNormal"/>
            </w:pPr>
          </w:p>
        </w:tc>
        <w:tc>
          <w:tcPr>
            <w:tcW w:w="1701" w:type="dxa"/>
            <w:vAlign w:val="center"/>
          </w:tcPr>
          <w:p w14:paraId="42B2A2CC" w14:textId="77777777" w:rsidR="00454A29" w:rsidRDefault="00454A29">
            <w:pPr>
              <w:pStyle w:val="ConsPlusNormal"/>
            </w:pPr>
          </w:p>
        </w:tc>
        <w:tc>
          <w:tcPr>
            <w:tcW w:w="1814" w:type="dxa"/>
            <w:vAlign w:val="center"/>
          </w:tcPr>
          <w:p w14:paraId="5A1C3324" w14:textId="77777777" w:rsidR="00454A29" w:rsidRDefault="00454A29">
            <w:pPr>
              <w:pStyle w:val="ConsPlusNormal"/>
            </w:pPr>
          </w:p>
        </w:tc>
      </w:tr>
      <w:tr w:rsidR="00454A29" w14:paraId="2A3E45A7" w14:textId="77777777">
        <w:tc>
          <w:tcPr>
            <w:tcW w:w="567" w:type="dxa"/>
            <w:vMerge/>
          </w:tcPr>
          <w:p w14:paraId="45EF0D1C" w14:textId="77777777" w:rsidR="00454A29" w:rsidRDefault="00454A29"/>
        </w:tc>
        <w:tc>
          <w:tcPr>
            <w:tcW w:w="3345" w:type="dxa"/>
            <w:vMerge/>
          </w:tcPr>
          <w:p w14:paraId="7ED6CE73" w14:textId="77777777" w:rsidR="00454A29" w:rsidRDefault="00454A29"/>
        </w:tc>
        <w:tc>
          <w:tcPr>
            <w:tcW w:w="1701" w:type="dxa"/>
            <w:vAlign w:val="center"/>
          </w:tcPr>
          <w:p w14:paraId="11BB0578" w14:textId="77777777" w:rsidR="00454A29" w:rsidRDefault="00454A29">
            <w:pPr>
              <w:pStyle w:val="ConsPlusNormal"/>
              <w:jc w:val="center"/>
            </w:pPr>
            <w:r>
              <w:t>2024</w:t>
            </w:r>
          </w:p>
        </w:tc>
        <w:tc>
          <w:tcPr>
            <w:tcW w:w="1417" w:type="dxa"/>
            <w:vMerge/>
          </w:tcPr>
          <w:p w14:paraId="4ECD9174" w14:textId="77777777" w:rsidR="00454A29" w:rsidRDefault="00454A29"/>
        </w:tc>
        <w:tc>
          <w:tcPr>
            <w:tcW w:w="2204" w:type="dxa"/>
            <w:vMerge/>
          </w:tcPr>
          <w:p w14:paraId="3F51E635" w14:textId="77777777" w:rsidR="00454A29" w:rsidRDefault="00454A29"/>
        </w:tc>
        <w:tc>
          <w:tcPr>
            <w:tcW w:w="1417" w:type="dxa"/>
            <w:vMerge/>
          </w:tcPr>
          <w:p w14:paraId="43F95BA4" w14:textId="77777777" w:rsidR="00454A29" w:rsidRDefault="00454A29"/>
        </w:tc>
        <w:tc>
          <w:tcPr>
            <w:tcW w:w="2324" w:type="dxa"/>
            <w:vMerge/>
          </w:tcPr>
          <w:p w14:paraId="503D7AFE" w14:textId="77777777" w:rsidR="00454A29" w:rsidRDefault="00454A29"/>
        </w:tc>
        <w:tc>
          <w:tcPr>
            <w:tcW w:w="1701" w:type="dxa"/>
            <w:vAlign w:val="center"/>
          </w:tcPr>
          <w:p w14:paraId="61A44900" w14:textId="77777777" w:rsidR="00454A29" w:rsidRDefault="00454A29">
            <w:pPr>
              <w:pStyle w:val="ConsPlusNormal"/>
            </w:pPr>
          </w:p>
        </w:tc>
        <w:tc>
          <w:tcPr>
            <w:tcW w:w="1814" w:type="dxa"/>
            <w:vAlign w:val="center"/>
          </w:tcPr>
          <w:p w14:paraId="76915FF6" w14:textId="77777777" w:rsidR="00454A29" w:rsidRDefault="00454A29">
            <w:pPr>
              <w:pStyle w:val="ConsPlusNormal"/>
            </w:pPr>
          </w:p>
        </w:tc>
        <w:tc>
          <w:tcPr>
            <w:tcW w:w="1701" w:type="dxa"/>
            <w:vAlign w:val="center"/>
          </w:tcPr>
          <w:p w14:paraId="421B4DD6" w14:textId="77777777" w:rsidR="00454A29" w:rsidRDefault="00454A29">
            <w:pPr>
              <w:pStyle w:val="ConsPlusNormal"/>
            </w:pPr>
          </w:p>
        </w:tc>
        <w:tc>
          <w:tcPr>
            <w:tcW w:w="1701" w:type="dxa"/>
            <w:vAlign w:val="center"/>
          </w:tcPr>
          <w:p w14:paraId="2C85F31E" w14:textId="77777777" w:rsidR="00454A29" w:rsidRDefault="00454A29">
            <w:pPr>
              <w:pStyle w:val="ConsPlusNormal"/>
            </w:pPr>
          </w:p>
        </w:tc>
        <w:tc>
          <w:tcPr>
            <w:tcW w:w="1814" w:type="dxa"/>
            <w:vAlign w:val="center"/>
          </w:tcPr>
          <w:p w14:paraId="29CCA0B7" w14:textId="77777777" w:rsidR="00454A29" w:rsidRDefault="00454A29">
            <w:pPr>
              <w:pStyle w:val="ConsPlusNormal"/>
            </w:pPr>
          </w:p>
        </w:tc>
      </w:tr>
      <w:tr w:rsidR="00454A29" w14:paraId="0ADCA675" w14:textId="77777777">
        <w:tc>
          <w:tcPr>
            <w:tcW w:w="567" w:type="dxa"/>
            <w:vMerge/>
          </w:tcPr>
          <w:p w14:paraId="3202E1D9" w14:textId="77777777" w:rsidR="00454A29" w:rsidRDefault="00454A29"/>
        </w:tc>
        <w:tc>
          <w:tcPr>
            <w:tcW w:w="3345" w:type="dxa"/>
            <w:vMerge/>
          </w:tcPr>
          <w:p w14:paraId="339F14EE" w14:textId="77777777" w:rsidR="00454A29" w:rsidRDefault="00454A29"/>
        </w:tc>
        <w:tc>
          <w:tcPr>
            <w:tcW w:w="1701" w:type="dxa"/>
            <w:vAlign w:val="center"/>
          </w:tcPr>
          <w:p w14:paraId="78F2B2CB" w14:textId="77777777" w:rsidR="00454A29" w:rsidRDefault="00454A29">
            <w:pPr>
              <w:pStyle w:val="ConsPlusNormal"/>
              <w:jc w:val="center"/>
            </w:pPr>
            <w:r>
              <w:t>2025</w:t>
            </w:r>
          </w:p>
        </w:tc>
        <w:tc>
          <w:tcPr>
            <w:tcW w:w="1417" w:type="dxa"/>
            <w:vMerge/>
          </w:tcPr>
          <w:p w14:paraId="11C208C4" w14:textId="77777777" w:rsidR="00454A29" w:rsidRDefault="00454A29"/>
        </w:tc>
        <w:tc>
          <w:tcPr>
            <w:tcW w:w="2204" w:type="dxa"/>
            <w:vMerge/>
          </w:tcPr>
          <w:p w14:paraId="5BD6F3C9" w14:textId="77777777" w:rsidR="00454A29" w:rsidRDefault="00454A29"/>
        </w:tc>
        <w:tc>
          <w:tcPr>
            <w:tcW w:w="1417" w:type="dxa"/>
            <w:vMerge/>
          </w:tcPr>
          <w:p w14:paraId="605342C7" w14:textId="77777777" w:rsidR="00454A29" w:rsidRDefault="00454A29"/>
        </w:tc>
        <w:tc>
          <w:tcPr>
            <w:tcW w:w="2324" w:type="dxa"/>
            <w:vMerge/>
          </w:tcPr>
          <w:p w14:paraId="7535C78C" w14:textId="77777777" w:rsidR="00454A29" w:rsidRDefault="00454A29"/>
        </w:tc>
        <w:tc>
          <w:tcPr>
            <w:tcW w:w="1701" w:type="dxa"/>
            <w:vAlign w:val="center"/>
          </w:tcPr>
          <w:p w14:paraId="2B353E58" w14:textId="77777777" w:rsidR="00454A29" w:rsidRDefault="00454A29">
            <w:pPr>
              <w:pStyle w:val="ConsPlusNormal"/>
            </w:pPr>
          </w:p>
        </w:tc>
        <w:tc>
          <w:tcPr>
            <w:tcW w:w="1814" w:type="dxa"/>
            <w:vAlign w:val="center"/>
          </w:tcPr>
          <w:p w14:paraId="34A592CE" w14:textId="77777777" w:rsidR="00454A29" w:rsidRDefault="00454A29">
            <w:pPr>
              <w:pStyle w:val="ConsPlusNormal"/>
            </w:pPr>
          </w:p>
        </w:tc>
        <w:tc>
          <w:tcPr>
            <w:tcW w:w="1701" w:type="dxa"/>
            <w:vAlign w:val="center"/>
          </w:tcPr>
          <w:p w14:paraId="4EFDC4B3" w14:textId="77777777" w:rsidR="00454A29" w:rsidRDefault="00454A29">
            <w:pPr>
              <w:pStyle w:val="ConsPlusNormal"/>
            </w:pPr>
          </w:p>
        </w:tc>
        <w:tc>
          <w:tcPr>
            <w:tcW w:w="1701" w:type="dxa"/>
            <w:vAlign w:val="center"/>
          </w:tcPr>
          <w:p w14:paraId="786FD506" w14:textId="77777777" w:rsidR="00454A29" w:rsidRDefault="00454A29">
            <w:pPr>
              <w:pStyle w:val="ConsPlusNormal"/>
            </w:pPr>
          </w:p>
        </w:tc>
        <w:tc>
          <w:tcPr>
            <w:tcW w:w="1814" w:type="dxa"/>
            <w:vAlign w:val="center"/>
          </w:tcPr>
          <w:p w14:paraId="754C4AC0" w14:textId="77777777" w:rsidR="00454A29" w:rsidRDefault="00454A29">
            <w:pPr>
              <w:pStyle w:val="ConsPlusNormal"/>
            </w:pPr>
          </w:p>
        </w:tc>
      </w:tr>
      <w:tr w:rsidR="00454A29" w14:paraId="11DA289C" w14:textId="77777777">
        <w:tc>
          <w:tcPr>
            <w:tcW w:w="567" w:type="dxa"/>
            <w:vMerge/>
          </w:tcPr>
          <w:p w14:paraId="4DEA8FF9" w14:textId="77777777" w:rsidR="00454A29" w:rsidRDefault="00454A29"/>
        </w:tc>
        <w:tc>
          <w:tcPr>
            <w:tcW w:w="3345" w:type="dxa"/>
            <w:vMerge/>
          </w:tcPr>
          <w:p w14:paraId="3AA22983" w14:textId="77777777" w:rsidR="00454A29" w:rsidRDefault="00454A29"/>
        </w:tc>
        <w:tc>
          <w:tcPr>
            <w:tcW w:w="1701" w:type="dxa"/>
            <w:vAlign w:val="center"/>
          </w:tcPr>
          <w:p w14:paraId="7A1F4933" w14:textId="77777777" w:rsidR="00454A29" w:rsidRDefault="00454A29">
            <w:pPr>
              <w:pStyle w:val="ConsPlusNormal"/>
              <w:jc w:val="center"/>
            </w:pPr>
            <w:r>
              <w:t>2026</w:t>
            </w:r>
          </w:p>
        </w:tc>
        <w:tc>
          <w:tcPr>
            <w:tcW w:w="1417" w:type="dxa"/>
            <w:vMerge/>
          </w:tcPr>
          <w:p w14:paraId="1D4815BA" w14:textId="77777777" w:rsidR="00454A29" w:rsidRDefault="00454A29"/>
        </w:tc>
        <w:tc>
          <w:tcPr>
            <w:tcW w:w="2204" w:type="dxa"/>
            <w:vMerge/>
          </w:tcPr>
          <w:p w14:paraId="71763F22" w14:textId="77777777" w:rsidR="00454A29" w:rsidRDefault="00454A29"/>
        </w:tc>
        <w:tc>
          <w:tcPr>
            <w:tcW w:w="1417" w:type="dxa"/>
            <w:vMerge/>
          </w:tcPr>
          <w:p w14:paraId="6060EEE4" w14:textId="77777777" w:rsidR="00454A29" w:rsidRDefault="00454A29"/>
        </w:tc>
        <w:tc>
          <w:tcPr>
            <w:tcW w:w="2324" w:type="dxa"/>
            <w:vMerge/>
          </w:tcPr>
          <w:p w14:paraId="01B97E45" w14:textId="77777777" w:rsidR="00454A29" w:rsidRDefault="00454A29"/>
        </w:tc>
        <w:tc>
          <w:tcPr>
            <w:tcW w:w="1701" w:type="dxa"/>
            <w:vAlign w:val="center"/>
          </w:tcPr>
          <w:p w14:paraId="442DBD96" w14:textId="77777777" w:rsidR="00454A29" w:rsidRDefault="00454A29">
            <w:pPr>
              <w:pStyle w:val="ConsPlusNormal"/>
            </w:pPr>
          </w:p>
        </w:tc>
        <w:tc>
          <w:tcPr>
            <w:tcW w:w="1814" w:type="dxa"/>
            <w:vAlign w:val="center"/>
          </w:tcPr>
          <w:p w14:paraId="29CEF6E4" w14:textId="77777777" w:rsidR="00454A29" w:rsidRDefault="00454A29">
            <w:pPr>
              <w:pStyle w:val="ConsPlusNormal"/>
            </w:pPr>
          </w:p>
        </w:tc>
        <w:tc>
          <w:tcPr>
            <w:tcW w:w="1701" w:type="dxa"/>
            <w:vAlign w:val="center"/>
          </w:tcPr>
          <w:p w14:paraId="03E259AE" w14:textId="77777777" w:rsidR="00454A29" w:rsidRDefault="00454A29">
            <w:pPr>
              <w:pStyle w:val="ConsPlusNormal"/>
            </w:pPr>
          </w:p>
        </w:tc>
        <w:tc>
          <w:tcPr>
            <w:tcW w:w="1701" w:type="dxa"/>
            <w:vAlign w:val="center"/>
          </w:tcPr>
          <w:p w14:paraId="1D971B51" w14:textId="77777777" w:rsidR="00454A29" w:rsidRDefault="00454A29">
            <w:pPr>
              <w:pStyle w:val="ConsPlusNormal"/>
            </w:pPr>
          </w:p>
        </w:tc>
        <w:tc>
          <w:tcPr>
            <w:tcW w:w="1814" w:type="dxa"/>
            <w:vAlign w:val="center"/>
          </w:tcPr>
          <w:p w14:paraId="48FFA141" w14:textId="77777777" w:rsidR="00454A29" w:rsidRDefault="00454A29">
            <w:pPr>
              <w:pStyle w:val="ConsPlusNormal"/>
            </w:pPr>
          </w:p>
        </w:tc>
      </w:tr>
      <w:tr w:rsidR="00454A29" w14:paraId="24803834" w14:textId="77777777">
        <w:tc>
          <w:tcPr>
            <w:tcW w:w="567" w:type="dxa"/>
            <w:vMerge w:val="restart"/>
            <w:vAlign w:val="center"/>
          </w:tcPr>
          <w:p w14:paraId="7954B505" w14:textId="77777777" w:rsidR="00454A29" w:rsidRDefault="00454A29">
            <w:pPr>
              <w:pStyle w:val="ConsPlusNormal"/>
              <w:jc w:val="center"/>
            </w:pPr>
            <w:r>
              <w:t>166</w:t>
            </w:r>
          </w:p>
        </w:tc>
        <w:tc>
          <w:tcPr>
            <w:tcW w:w="3345" w:type="dxa"/>
            <w:vMerge w:val="restart"/>
            <w:vAlign w:val="center"/>
          </w:tcPr>
          <w:p w14:paraId="41B1848A" w14:textId="77777777" w:rsidR="00454A29" w:rsidRDefault="00454A29">
            <w:pPr>
              <w:pStyle w:val="ConsPlusNormal"/>
              <w:jc w:val="center"/>
            </w:pPr>
            <w:r>
              <w:t>Учебный корпус с интернатом ГБОУ РС(Я) "Якутская кадетская школа-интернат" в мкр. Марха г. Якутска</w:t>
            </w:r>
          </w:p>
        </w:tc>
        <w:tc>
          <w:tcPr>
            <w:tcW w:w="1701" w:type="dxa"/>
            <w:vAlign w:val="center"/>
          </w:tcPr>
          <w:p w14:paraId="5236888F" w14:textId="77777777" w:rsidR="00454A29" w:rsidRDefault="00454A29">
            <w:pPr>
              <w:pStyle w:val="ConsPlusNormal"/>
              <w:jc w:val="center"/>
            </w:pPr>
            <w:r>
              <w:t>2020 - 2026 годы - всего</w:t>
            </w:r>
          </w:p>
        </w:tc>
        <w:tc>
          <w:tcPr>
            <w:tcW w:w="1417" w:type="dxa"/>
            <w:vMerge w:val="restart"/>
            <w:vAlign w:val="center"/>
          </w:tcPr>
          <w:p w14:paraId="1121BB68" w14:textId="77777777" w:rsidR="00454A29" w:rsidRDefault="00454A29">
            <w:pPr>
              <w:pStyle w:val="ConsPlusNormal"/>
              <w:jc w:val="center"/>
            </w:pPr>
            <w:r>
              <w:t>586 143,10</w:t>
            </w:r>
          </w:p>
        </w:tc>
        <w:tc>
          <w:tcPr>
            <w:tcW w:w="2204" w:type="dxa"/>
            <w:vMerge w:val="restart"/>
            <w:vAlign w:val="center"/>
          </w:tcPr>
          <w:p w14:paraId="561F3602" w14:textId="77777777" w:rsidR="00454A29" w:rsidRDefault="00454A29">
            <w:pPr>
              <w:pStyle w:val="ConsPlusNormal"/>
            </w:pPr>
          </w:p>
        </w:tc>
        <w:tc>
          <w:tcPr>
            <w:tcW w:w="1417" w:type="dxa"/>
            <w:vMerge w:val="restart"/>
            <w:vAlign w:val="center"/>
          </w:tcPr>
          <w:p w14:paraId="0667D188" w14:textId="77777777" w:rsidR="00454A29" w:rsidRDefault="00454A29">
            <w:pPr>
              <w:pStyle w:val="ConsPlusNormal"/>
              <w:jc w:val="center"/>
            </w:pPr>
            <w:r>
              <w:t>200</w:t>
            </w:r>
          </w:p>
        </w:tc>
        <w:tc>
          <w:tcPr>
            <w:tcW w:w="2324" w:type="dxa"/>
            <w:vMerge w:val="restart"/>
            <w:vAlign w:val="center"/>
          </w:tcPr>
          <w:p w14:paraId="57DE09F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C317ECE" w14:textId="77777777" w:rsidR="00454A29" w:rsidRDefault="00454A29">
            <w:pPr>
              <w:pStyle w:val="ConsPlusNormal"/>
              <w:jc w:val="center"/>
            </w:pPr>
            <w:r>
              <w:t>586 143,10</w:t>
            </w:r>
          </w:p>
        </w:tc>
        <w:tc>
          <w:tcPr>
            <w:tcW w:w="1814" w:type="dxa"/>
            <w:vAlign w:val="center"/>
          </w:tcPr>
          <w:p w14:paraId="11DA8D84" w14:textId="77777777" w:rsidR="00454A29" w:rsidRDefault="00454A29">
            <w:pPr>
              <w:pStyle w:val="ConsPlusNormal"/>
              <w:jc w:val="center"/>
            </w:pPr>
            <w:r>
              <w:t>3 921,30</w:t>
            </w:r>
          </w:p>
        </w:tc>
        <w:tc>
          <w:tcPr>
            <w:tcW w:w="1701" w:type="dxa"/>
            <w:vAlign w:val="center"/>
          </w:tcPr>
          <w:p w14:paraId="0873AAFE" w14:textId="77777777" w:rsidR="00454A29" w:rsidRDefault="00454A29">
            <w:pPr>
              <w:pStyle w:val="ConsPlusNormal"/>
              <w:jc w:val="center"/>
            </w:pPr>
            <w:r>
              <w:t>388 208,44</w:t>
            </w:r>
          </w:p>
        </w:tc>
        <w:tc>
          <w:tcPr>
            <w:tcW w:w="1701" w:type="dxa"/>
            <w:vAlign w:val="center"/>
          </w:tcPr>
          <w:p w14:paraId="587381ED" w14:textId="77777777" w:rsidR="00454A29" w:rsidRDefault="00454A29">
            <w:pPr>
              <w:pStyle w:val="ConsPlusNormal"/>
              <w:jc w:val="center"/>
            </w:pPr>
            <w:r>
              <w:t>-</w:t>
            </w:r>
          </w:p>
        </w:tc>
        <w:tc>
          <w:tcPr>
            <w:tcW w:w="1814" w:type="dxa"/>
            <w:vAlign w:val="center"/>
          </w:tcPr>
          <w:p w14:paraId="624C4F04" w14:textId="77777777" w:rsidR="00454A29" w:rsidRDefault="00454A29">
            <w:pPr>
              <w:pStyle w:val="ConsPlusNormal"/>
              <w:jc w:val="center"/>
            </w:pPr>
            <w:r>
              <w:t>-</w:t>
            </w:r>
          </w:p>
        </w:tc>
      </w:tr>
      <w:tr w:rsidR="00454A29" w14:paraId="51BBBE5E" w14:textId="77777777">
        <w:tc>
          <w:tcPr>
            <w:tcW w:w="567" w:type="dxa"/>
            <w:vMerge/>
          </w:tcPr>
          <w:p w14:paraId="65F8DE02" w14:textId="77777777" w:rsidR="00454A29" w:rsidRDefault="00454A29"/>
        </w:tc>
        <w:tc>
          <w:tcPr>
            <w:tcW w:w="3345" w:type="dxa"/>
            <w:vMerge/>
          </w:tcPr>
          <w:p w14:paraId="1769D8A2" w14:textId="77777777" w:rsidR="00454A29" w:rsidRDefault="00454A29"/>
        </w:tc>
        <w:tc>
          <w:tcPr>
            <w:tcW w:w="1701" w:type="dxa"/>
            <w:vAlign w:val="center"/>
          </w:tcPr>
          <w:p w14:paraId="52A87386" w14:textId="77777777" w:rsidR="00454A29" w:rsidRDefault="00454A29">
            <w:pPr>
              <w:pStyle w:val="ConsPlusNormal"/>
              <w:jc w:val="center"/>
            </w:pPr>
            <w:r>
              <w:t>2020</w:t>
            </w:r>
          </w:p>
        </w:tc>
        <w:tc>
          <w:tcPr>
            <w:tcW w:w="1417" w:type="dxa"/>
            <w:vMerge/>
          </w:tcPr>
          <w:p w14:paraId="2364D01F" w14:textId="77777777" w:rsidR="00454A29" w:rsidRDefault="00454A29"/>
        </w:tc>
        <w:tc>
          <w:tcPr>
            <w:tcW w:w="2204" w:type="dxa"/>
            <w:vMerge/>
          </w:tcPr>
          <w:p w14:paraId="6D90F313" w14:textId="77777777" w:rsidR="00454A29" w:rsidRDefault="00454A29"/>
        </w:tc>
        <w:tc>
          <w:tcPr>
            <w:tcW w:w="1417" w:type="dxa"/>
            <w:vMerge/>
          </w:tcPr>
          <w:p w14:paraId="6CCA1A7C" w14:textId="77777777" w:rsidR="00454A29" w:rsidRDefault="00454A29"/>
        </w:tc>
        <w:tc>
          <w:tcPr>
            <w:tcW w:w="2324" w:type="dxa"/>
            <w:vMerge/>
          </w:tcPr>
          <w:p w14:paraId="2066E72F" w14:textId="77777777" w:rsidR="00454A29" w:rsidRDefault="00454A29"/>
        </w:tc>
        <w:tc>
          <w:tcPr>
            <w:tcW w:w="1701" w:type="dxa"/>
            <w:vAlign w:val="center"/>
          </w:tcPr>
          <w:p w14:paraId="26BFAB5A" w14:textId="77777777" w:rsidR="00454A29" w:rsidRDefault="00454A29">
            <w:pPr>
              <w:pStyle w:val="ConsPlusNormal"/>
            </w:pPr>
          </w:p>
        </w:tc>
        <w:tc>
          <w:tcPr>
            <w:tcW w:w="1814" w:type="dxa"/>
            <w:vAlign w:val="center"/>
          </w:tcPr>
          <w:p w14:paraId="221D54CB" w14:textId="77777777" w:rsidR="00454A29" w:rsidRDefault="00454A29">
            <w:pPr>
              <w:pStyle w:val="ConsPlusNormal"/>
            </w:pPr>
          </w:p>
        </w:tc>
        <w:tc>
          <w:tcPr>
            <w:tcW w:w="1701" w:type="dxa"/>
            <w:vAlign w:val="center"/>
          </w:tcPr>
          <w:p w14:paraId="5A4AB2F5" w14:textId="77777777" w:rsidR="00454A29" w:rsidRDefault="00454A29">
            <w:pPr>
              <w:pStyle w:val="ConsPlusNormal"/>
            </w:pPr>
          </w:p>
        </w:tc>
        <w:tc>
          <w:tcPr>
            <w:tcW w:w="1701" w:type="dxa"/>
            <w:vAlign w:val="center"/>
          </w:tcPr>
          <w:p w14:paraId="7EC03838" w14:textId="77777777" w:rsidR="00454A29" w:rsidRDefault="00454A29">
            <w:pPr>
              <w:pStyle w:val="ConsPlusNormal"/>
            </w:pPr>
          </w:p>
        </w:tc>
        <w:tc>
          <w:tcPr>
            <w:tcW w:w="1814" w:type="dxa"/>
            <w:vAlign w:val="center"/>
          </w:tcPr>
          <w:p w14:paraId="2F39A6AB" w14:textId="77777777" w:rsidR="00454A29" w:rsidRDefault="00454A29">
            <w:pPr>
              <w:pStyle w:val="ConsPlusNormal"/>
            </w:pPr>
          </w:p>
        </w:tc>
      </w:tr>
      <w:tr w:rsidR="00454A29" w14:paraId="69166414" w14:textId="77777777">
        <w:tc>
          <w:tcPr>
            <w:tcW w:w="567" w:type="dxa"/>
            <w:vMerge/>
          </w:tcPr>
          <w:p w14:paraId="2A830A98" w14:textId="77777777" w:rsidR="00454A29" w:rsidRDefault="00454A29"/>
        </w:tc>
        <w:tc>
          <w:tcPr>
            <w:tcW w:w="3345" w:type="dxa"/>
            <w:vMerge/>
          </w:tcPr>
          <w:p w14:paraId="003A3906" w14:textId="77777777" w:rsidR="00454A29" w:rsidRDefault="00454A29"/>
        </w:tc>
        <w:tc>
          <w:tcPr>
            <w:tcW w:w="1701" w:type="dxa"/>
            <w:vAlign w:val="center"/>
          </w:tcPr>
          <w:p w14:paraId="54AA3973" w14:textId="77777777" w:rsidR="00454A29" w:rsidRDefault="00454A29">
            <w:pPr>
              <w:pStyle w:val="ConsPlusNormal"/>
              <w:jc w:val="center"/>
            </w:pPr>
            <w:r>
              <w:t>2021</w:t>
            </w:r>
          </w:p>
        </w:tc>
        <w:tc>
          <w:tcPr>
            <w:tcW w:w="1417" w:type="dxa"/>
            <w:vMerge/>
          </w:tcPr>
          <w:p w14:paraId="216AD94E" w14:textId="77777777" w:rsidR="00454A29" w:rsidRDefault="00454A29"/>
        </w:tc>
        <w:tc>
          <w:tcPr>
            <w:tcW w:w="2204" w:type="dxa"/>
            <w:vMerge/>
          </w:tcPr>
          <w:p w14:paraId="1B1F561C" w14:textId="77777777" w:rsidR="00454A29" w:rsidRDefault="00454A29"/>
        </w:tc>
        <w:tc>
          <w:tcPr>
            <w:tcW w:w="1417" w:type="dxa"/>
            <w:vMerge/>
          </w:tcPr>
          <w:p w14:paraId="1C3742AC" w14:textId="77777777" w:rsidR="00454A29" w:rsidRDefault="00454A29"/>
        </w:tc>
        <w:tc>
          <w:tcPr>
            <w:tcW w:w="2324" w:type="dxa"/>
            <w:vMerge/>
          </w:tcPr>
          <w:p w14:paraId="0F057370" w14:textId="77777777" w:rsidR="00454A29" w:rsidRDefault="00454A29"/>
        </w:tc>
        <w:tc>
          <w:tcPr>
            <w:tcW w:w="1701" w:type="dxa"/>
            <w:vAlign w:val="center"/>
          </w:tcPr>
          <w:p w14:paraId="5F2A56F1" w14:textId="77777777" w:rsidR="00454A29" w:rsidRDefault="00454A29">
            <w:pPr>
              <w:pStyle w:val="ConsPlusNormal"/>
              <w:jc w:val="center"/>
            </w:pPr>
            <w:r>
              <w:t>-</w:t>
            </w:r>
          </w:p>
        </w:tc>
        <w:tc>
          <w:tcPr>
            <w:tcW w:w="1814" w:type="dxa"/>
            <w:vAlign w:val="center"/>
          </w:tcPr>
          <w:p w14:paraId="765651C9" w14:textId="77777777" w:rsidR="00454A29" w:rsidRDefault="00454A29">
            <w:pPr>
              <w:pStyle w:val="ConsPlusNormal"/>
            </w:pPr>
          </w:p>
        </w:tc>
        <w:tc>
          <w:tcPr>
            <w:tcW w:w="1701" w:type="dxa"/>
            <w:vAlign w:val="center"/>
          </w:tcPr>
          <w:p w14:paraId="688C7DFC" w14:textId="77777777" w:rsidR="00454A29" w:rsidRDefault="00454A29">
            <w:pPr>
              <w:pStyle w:val="ConsPlusNormal"/>
            </w:pPr>
          </w:p>
        </w:tc>
        <w:tc>
          <w:tcPr>
            <w:tcW w:w="1701" w:type="dxa"/>
            <w:vAlign w:val="center"/>
          </w:tcPr>
          <w:p w14:paraId="70CA1106" w14:textId="77777777" w:rsidR="00454A29" w:rsidRDefault="00454A29">
            <w:pPr>
              <w:pStyle w:val="ConsPlusNormal"/>
            </w:pPr>
          </w:p>
        </w:tc>
        <w:tc>
          <w:tcPr>
            <w:tcW w:w="1814" w:type="dxa"/>
            <w:vAlign w:val="center"/>
          </w:tcPr>
          <w:p w14:paraId="12FC0347" w14:textId="77777777" w:rsidR="00454A29" w:rsidRDefault="00454A29">
            <w:pPr>
              <w:pStyle w:val="ConsPlusNormal"/>
            </w:pPr>
          </w:p>
        </w:tc>
      </w:tr>
      <w:tr w:rsidR="00454A29" w14:paraId="1F536226" w14:textId="77777777">
        <w:tc>
          <w:tcPr>
            <w:tcW w:w="567" w:type="dxa"/>
            <w:vMerge/>
          </w:tcPr>
          <w:p w14:paraId="1B0A3054" w14:textId="77777777" w:rsidR="00454A29" w:rsidRDefault="00454A29"/>
        </w:tc>
        <w:tc>
          <w:tcPr>
            <w:tcW w:w="3345" w:type="dxa"/>
            <w:vMerge/>
          </w:tcPr>
          <w:p w14:paraId="70ECD0EB" w14:textId="77777777" w:rsidR="00454A29" w:rsidRDefault="00454A29"/>
        </w:tc>
        <w:tc>
          <w:tcPr>
            <w:tcW w:w="1701" w:type="dxa"/>
            <w:vAlign w:val="center"/>
          </w:tcPr>
          <w:p w14:paraId="4817AF5F" w14:textId="77777777" w:rsidR="00454A29" w:rsidRDefault="00454A29">
            <w:pPr>
              <w:pStyle w:val="ConsPlusNormal"/>
              <w:jc w:val="center"/>
            </w:pPr>
            <w:r>
              <w:t>2022</w:t>
            </w:r>
          </w:p>
        </w:tc>
        <w:tc>
          <w:tcPr>
            <w:tcW w:w="1417" w:type="dxa"/>
            <w:vMerge/>
          </w:tcPr>
          <w:p w14:paraId="4FAFADD9" w14:textId="77777777" w:rsidR="00454A29" w:rsidRDefault="00454A29"/>
        </w:tc>
        <w:tc>
          <w:tcPr>
            <w:tcW w:w="2204" w:type="dxa"/>
            <w:vMerge/>
          </w:tcPr>
          <w:p w14:paraId="21AD2B9C" w14:textId="77777777" w:rsidR="00454A29" w:rsidRDefault="00454A29"/>
        </w:tc>
        <w:tc>
          <w:tcPr>
            <w:tcW w:w="1417" w:type="dxa"/>
            <w:vMerge/>
          </w:tcPr>
          <w:p w14:paraId="0B6EC7FB" w14:textId="77777777" w:rsidR="00454A29" w:rsidRDefault="00454A29"/>
        </w:tc>
        <w:tc>
          <w:tcPr>
            <w:tcW w:w="2324" w:type="dxa"/>
            <w:vMerge/>
          </w:tcPr>
          <w:p w14:paraId="33FAA686" w14:textId="77777777" w:rsidR="00454A29" w:rsidRDefault="00454A29"/>
        </w:tc>
        <w:tc>
          <w:tcPr>
            <w:tcW w:w="1701" w:type="dxa"/>
            <w:vAlign w:val="center"/>
          </w:tcPr>
          <w:p w14:paraId="31D34151" w14:textId="77777777" w:rsidR="00454A29" w:rsidRDefault="00454A29">
            <w:pPr>
              <w:pStyle w:val="ConsPlusNormal"/>
            </w:pPr>
          </w:p>
        </w:tc>
        <w:tc>
          <w:tcPr>
            <w:tcW w:w="1814" w:type="dxa"/>
            <w:vAlign w:val="center"/>
          </w:tcPr>
          <w:p w14:paraId="107D83B7" w14:textId="77777777" w:rsidR="00454A29" w:rsidRDefault="00454A29">
            <w:pPr>
              <w:pStyle w:val="ConsPlusNormal"/>
            </w:pPr>
          </w:p>
        </w:tc>
        <w:tc>
          <w:tcPr>
            <w:tcW w:w="1701" w:type="dxa"/>
            <w:vAlign w:val="center"/>
          </w:tcPr>
          <w:p w14:paraId="3A32BB4D" w14:textId="77777777" w:rsidR="00454A29" w:rsidRDefault="00454A29">
            <w:pPr>
              <w:pStyle w:val="ConsPlusNormal"/>
            </w:pPr>
          </w:p>
        </w:tc>
        <w:tc>
          <w:tcPr>
            <w:tcW w:w="1701" w:type="dxa"/>
            <w:vAlign w:val="center"/>
          </w:tcPr>
          <w:p w14:paraId="47485F2D" w14:textId="77777777" w:rsidR="00454A29" w:rsidRDefault="00454A29">
            <w:pPr>
              <w:pStyle w:val="ConsPlusNormal"/>
            </w:pPr>
          </w:p>
        </w:tc>
        <w:tc>
          <w:tcPr>
            <w:tcW w:w="1814" w:type="dxa"/>
            <w:vAlign w:val="center"/>
          </w:tcPr>
          <w:p w14:paraId="3E7811E5" w14:textId="77777777" w:rsidR="00454A29" w:rsidRDefault="00454A29">
            <w:pPr>
              <w:pStyle w:val="ConsPlusNormal"/>
            </w:pPr>
          </w:p>
        </w:tc>
      </w:tr>
      <w:tr w:rsidR="00454A29" w14:paraId="1DC236FE" w14:textId="77777777">
        <w:tc>
          <w:tcPr>
            <w:tcW w:w="567" w:type="dxa"/>
            <w:vMerge/>
          </w:tcPr>
          <w:p w14:paraId="5CE90B1E" w14:textId="77777777" w:rsidR="00454A29" w:rsidRDefault="00454A29"/>
        </w:tc>
        <w:tc>
          <w:tcPr>
            <w:tcW w:w="3345" w:type="dxa"/>
            <w:vMerge/>
          </w:tcPr>
          <w:p w14:paraId="735C6A64" w14:textId="77777777" w:rsidR="00454A29" w:rsidRDefault="00454A29"/>
        </w:tc>
        <w:tc>
          <w:tcPr>
            <w:tcW w:w="1701" w:type="dxa"/>
            <w:vAlign w:val="center"/>
          </w:tcPr>
          <w:p w14:paraId="3B6A7F21" w14:textId="77777777" w:rsidR="00454A29" w:rsidRDefault="00454A29">
            <w:pPr>
              <w:pStyle w:val="ConsPlusNormal"/>
              <w:jc w:val="center"/>
            </w:pPr>
            <w:r>
              <w:t>2023</w:t>
            </w:r>
          </w:p>
        </w:tc>
        <w:tc>
          <w:tcPr>
            <w:tcW w:w="1417" w:type="dxa"/>
            <w:vMerge/>
          </w:tcPr>
          <w:p w14:paraId="7F9BF81D" w14:textId="77777777" w:rsidR="00454A29" w:rsidRDefault="00454A29"/>
        </w:tc>
        <w:tc>
          <w:tcPr>
            <w:tcW w:w="2204" w:type="dxa"/>
            <w:vMerge/>
          </w:tcPr>
          <w:p w14:paraId="1D8A7CA7" w14:textId="77777777" w:rsidR="00454A29" w:rsidRDefault="00454A29"/>
        </w:tc>
        <w:tc>
          <w:tcPr>
            <w:tcW w:w="1417" w:type="dxa"/>
            <w:vMerge/>
          </w:tcPr>
          <w:p w14:paraId="64DCDFEB" w14:textId="77777777" w:rsidR="00454A29" w:rsidRDefault="00454A29"/>
        </w:tc>
        <w:tc>
          <w:tcPr>
            <w:tcW w:w="2324" w:type="dxa"/>
            <w:vMerge/>
          </w:tcPr>
          <w:p w14:paraId="08871EA1" w14:textId="77777777" w:rsidR="00454A29" w:rsidRDefault="00454A29"/>
        </w:tc>
        <w:tc>
          <w:tcPr>
            <w:tcW w:w="1701" w:type="dxa"/>
            <w:vAlign w:val="center"/>
          </w:tcPr>
          <w:p w14:paraId="42AEBB50" w14:textId="77777777" w:rsidR="00454A29" w:rsidRDefault="00454A29">
            <w:pPr>
              <w:pStyle w:val="ConsPlusNormal"/>
            </w:pPr>
          </w:p>
        </w:tc>
        <w:tc>
          <w:tcPr>
            <w:tcW w:w="1814" w:type="dxa"/>
            <w:vAlign w:val="center"/>
          </w:tcPr>
          <w:p w14:paraId="4454C813" w14:textId="77777777" w:rsidR="00454A29" w:rsidRDefault="00454A29">
            <w:pPr>
              <w:pStyle w:val="ConsPlusNormal"/>
            </w:pPr>
          </w:p>
        </w:tc>
        <w:tc>
          <w:tcPr>
            <w:tcW w:w="1701" w:type="dxa"/>
            <w:vAlign w:val="center"/>
          </w:tcPr>
          <w:p w14:paraId="038C5CD8" w14:textId="77777777" w:rsidR="00454A29" w:rsidRDefault="00454A29">
            <w:pPr>
              <w:pStyle w:val="ConsPlusNormal"/>
            </w:pPr>
          </w:p>
        </w:tc>
        <w:tc>
          <w:tcPr>
            <w:tcW w:w="1701" w:type="dxa"/>
            <w:vAlign w:val="center"/>
          </w:tcPr>
          <w:p w14:paraId="3AD27913" w14:textId="77777777" w:rsidR="00454A29" w:rsidRDefault="00454A29">
            <w:pPr>
              <w:pStyle w:val="ConsPlusNormal"/>
            </w:pPr>
          </w:p>
        </w:tc>
        <w:tc>
          <w:tcPr>
            <w:tcW w:w="1814" w:type="dxa"/>
            <w:vAlign w:val="center"/>
          </w:tcPr>
          <w:p w14:paraId="377BA6FE" w14:textId="77777777" w:rsidR="00454A29" w:rsidRDefault="00454A29">
            <w:pPr>
              <w:pStyle w:val="ConsPlusNormal"/>
            </w:pPr>
          </w:p>
        </w:tc>
      </w:tr>
      <w:tr w:rsidR="00454A29" w14:paraId="39ECE9E5" w14:textId="77777777">
        <w:tc>
          <w:tcPr>
            <w:tcW w:w="567" w:type="dxa"/>
            <w:vMerge/>
          </w:tcPr>
          <w:p w14:paraId="3EC46426" w14:textId="77777777" w:rsidR="00454A29" w:rsidRDefault="00454A29"/>
        </w:tc>
        <w:tc>
          <w:tcPr>
            <w:tcW w:w="3345" w:type="dxa"/>
            <w:vMerge/>
          </w:tcPr>
          <w:p w14:paraId="0F42D049" w14:textId="77777777" w:rsidR="00454A29" w:rsidRDefault="00454A29"/>
        </w:tc>
        <w:tc>
          <w:tcPr>
            <w:tcW w:w="1701" w:type="dxa"/>
            <w:vAlign w:val="center"/>
          </w:tcPr>
          <w:p w14:paraId="113D4921" w14:textId="77777777" w:rsidR="00454A29" w:rsidRDefault="00454A29">
            <w:pPr>
              <w:pStyle w:val="ConsPlusNormal"/>
              <w:jc w:val="center"/>
            </w:pPr>
            <w:r>
              <w:t>2024</w:t>
            </w:r>
          </w:p>
        </w:tc>
        <w:tc>
          <w:tcPr>
            <w:tcW w:w="1417" w:type="dxa"/>
            <w:vMerge/>
          </w:tcPr>
          <w:p w14:paraId="772B2AD6" w14:textId="77777777" w:rsidR="00454A29" w:rsidRDefault="00454A29"/>
        </w:tc>
        <w:tc>
          <w:tcPr>
            <w:tcW w:w="2204" w:type="dxa"/>
            <w:vMerge/>
          </w:tcPr>
          <w:p w14:paraId="4E174841" w14:textId="77777777" w:rsidR="00454A29" w:rsidRDefault="00454A29"/>
        </w:tc>
        <w:tc>
          <w:tcPr>
            <w:tcW w:w="1417" w:type="dxa"/>
            <w:vMerge/>
          </w:tcPr>
          <w:p w14:paraId="6E3BD0D5" w14:textId="77777777" w:rsidR="00454A29" w:rsidRDefault="00454A29"/>
        </w:tc>
        <w:tc>
          <w:tcPr>
            <w:tcW w:w="2324" w:type="dxa"/>
            <w:vMerge/>
          </w:tcPr>
          <w:p w14:paraId="07C778D0" w14:textId="77777777" w:rsidR="00454A29" w:rsidRDefault="00454A29"/>
        </w:tc>
        <w:tc>
          <w:tcPr>
            <w:tcW w:w="1701" w:type="dxa"/>
            <w:vAlign w:val="center"/>
          </w:tcPr>
          <w:p w14:paraId="0A7279BD" w14:textId="77777777" w:rsidR="00454A29" w:rsidRDefault="00454A29">
            <w:pPr>
              <w:pStyle w:val="ConsPlusNormal"/>
              <w:jc w:val="center"/>
            </w:pPr>
            <w:r>
              <w:t>586 143,10</w:t>
            </w:r>
          </w:p>
        </w:tc>
        <w:tc>
          <w:tcPr>
            <w:tcW w:w="1814" w:type="dxa"/>
            <w:vAlign w:val="center"/>
          </w:tcPr>
          <w:p w14:paraId="64B507A6" w14:textId="77777777" w:rsidR="00454A29" w:rsidRDefault="00454A29">
            <w:pPr>
              <w:pStyle w:val="ConsPlusNormal"/>
              <w:jc w:val="center"/>
            </w:pPr>
            <w:r>
              <w:t>3 921,30</w:t>
            </w:r>
          </w:p>
        </w:tc>
        <w:tc>
          <w:tcPr>
            <w:tcW w:w="1701" w:type="dxa"/>
            <w:vAlign w:val="center"/>
          </w:tcPr>
          <w:p w14:paraId="0FF349CB" w14:textId="77777777" w:rsidR="00454A29" w:rsidRDefault="00454A29">
            <w:pPr>
              <w:pStyle w:val="ConsPlusNormal"/>
              <w:jc w:val="center"/>
            </w:pPr>
            <w:r>
              <w:t>388 208,44</w:t>
            </w:r>
          </w:p>
        </w:tc>
        <w:tc>
          <w:tcPr>
            <w:tcW w:w="1701" w:type="dxa"/>
            <w:vAlign w:val="center"/>
          </w:tcPr>
          <w:p w14:paraId="0362A619" w14:textId="77777777" w:rsidR="00454A29" w:rsidRDefault="00454A29">
            <w:pPr>
              <w:pStyle w:val="ConsPlusNormal"/>
            </w:pPr>
          </w:p>
        </w:tc>
        <w:tc>
          <w:tcPr>
            <w:tcW w:w="1814" w:type="dxa"/>
            <w:vAlign w:val="center"/>
          </w:tcPr>
          <w:p w14:paraId="7A8ACD24" w14:textId="77777777" w:rsidR="00454A29" w:rsidRDefault="00454A29">
            <w:pPr>
              <w:pStyle w:val="ConsPlusNormal"/>
            </w:pPr>
          </w:p>
        </w:tc>
      </w:tr>
      <w:tr w:rsidR="00454A29" w14:paraId="647A8C0B" w14:textId="77777777">
        <w:tc>
          <w:tcPr>
            <w:tcW w:w="567" w:type="dxa"/>
            <w:vMerge/>
          </w:tcPr>
          <w:p w14:paraId="50D5CDEF" w14:textId="77777777" w:rsidR="00454A29" w:rsidRDefault="00454A29"/>
        </w:tc>
        <w:tc>
          <w:tcPr>
            <w:tcW w:w="3345" w:type="dxa"/>
            <w:vMerge/>
          </w:tcPr>
          <w:p w14:paraId="354A1833" w14:textId="77777777" w:rsidR="00454A29" w:rsidRDefault="00454A29"/>
        </w:tc>
        <w:tc>
          <w:tcPr>
            <w:tcW w:w="1701" w:type="dxa"/>
            <w:vAlign w:val="center"/>
          </w:tcPr>
          <w:p w14:paraId="768F3637" w14:textId="77777777" w:rsidR="00454A29" w:rsidRDefault="00454A29">
            <w:pPr>
              <w:pStyle w:val="ConsPlusNormal"/>
              <w:jc w:val="center"/>
            </w:pPr>
            <w:r>
              <w:t>2025</w:t>
            </w:r>
          </w:p>
        </w:tc>
        <w:tc>
          <w:tcPr>
            <w:tcW w:w="1417" w:type="dxa"/>
            <w:vMerge/>
          </w:tcPr>
          <w:p w14:paraId="6F1FC614" w14:textId="77777777" w:rsidR="00454A29" w:rsidRDefault="00454A29"/>
        </w:tc>
        <w:tc>
          <w:tcPr>
            <w:tcW w:w="2204" w:type="dxa"/>
            <w:vMerge/>
          </w:tcPr>
          <w:p w14:paraId="30FECEE6" w14:textId="77777777" w:rsidR="00454A29" w:rsidRDefault="00454A29"/>
        </w:tc>
        <w:tc>
          <w:tcPr>
            <w:tcW w:w="1417" w:type="dxa"/>
            <w:vMerge/>
          </w:tcPr>
          <w:p w14:paraId="3A541B1B" w14:textId="77777777" w:rsidR="00454A29" w:rsidRDefault="00454A29"/>
        </w:tc>
        <w:tc>
          <w:tcPr>
            <w:tcW w:w="2324" w:type="dxa"/>
            <w:vMerge/>
          </w:tcPr>
          <w:p w14:paraId="47A0B493" w14:textId="77777777" w:rsidR="00454A29" w:rsidRDefault="00454A29"/>
        </w:tc>
        <w:tc>
          <w:tcPr>
            <w:tcW w:w="1701" w:type="dxa"/>
            <w:vAlign w:val="center"/>
          </w:tcPr>
          <w:p w14:paraId="7B3C361A" w14:textId="77777777" w:rsidR="00454A29" w:rsidRDefault="00454A29">
            <w:pPr>
              <w:pStyle w:val="ConsPlusNormal"/>
            </w:pPr>
          </w:p>
        </w:tc>
        <w:tc>
          <w:tcPr>
            <w:tcW w:w="1814" w:type="dxa"/>
            <w:vAlign w:val="center"/>
          </w:tcPr>
          <w:p w14:paraId="4FF48752" w14:textId="77777777" w:rsidR="00454A29" w:rsidRDefault="00454A29">
            <w:pPr>
              <w:pStyle w:val="ConsPlusNormal"/>
            </w:pPr>
          </w:p>
        </w:tc>
        <w:tc>
          <w:tcPr>
            <w:tcW w:w="1701" w:type="dxa"/>
            <w:vAlign w:val="center"/>
          </w:tcPr>
          <w:p w14:paraId="72F822A3" w14:textId="77777777" w:rsidR="00454A29" w:rsidRDefault="00454A29">
            <w:pPr>
              <w:pStyle w:val="ConsPlusNormal"/>
            </w:pPr>
          </w:p>
        </w:tc>
        <w:tc>
          <w:tcPr>
            <w:tcW w:w="1701" w:type="dxa"/>
            <w:vAlign w:val="center"/>
          </w:tcPr>
          <w:p w14:paraId="3455BCDA" w14:textId="77777777" w:rsidR="00454A29" w:rsidRDefault="00454A29">
            <w:pPr>
              <w:pStyle w:val="ConsPlusNormal"/>
            </w:pPr>
          </w:p>
        </w:tc>
        <w:tc>
          <w:tcPr>
            <w:tcW w:w="1814" w:type="dxa"/>
            <w:vAlign w:val="center"/>
          </w:tcPr>
          <w:p w14:paraId="583AD7ED" w14:textId="77777777" w:rsidR="00454A29" w:rsidRDefault="00454A29">
            <w:pPr>
              <w:pStyle w:val="ConsPlusNormal"/>
            </w:pPr>
          </w:p>
        </w:tc>
      </w:tr>
      <w:tr w:rsidR="00454A29" w14:paraId="723FAA81" w14:textId="77777777">
        <w:tc>
          <w:tcPr>
            <w:tcW w:w="567" w:type="dxa"/>
            <w:vMerge/>
          </w:tcPr>
          <w:p w14:paraId="4C5B5FE1" w14:textId="77777777" w:rsidR="00454A29" w:rsidRDefault="00454A29"/>
        </w:tc>
        <w:tc>
          <w:tcPr>
            <w:tcW w:w="3345" w:type="dxa"/>
            <w:vMerge/>
          </w:tcPr>
          <w:p w14:paraId="687A2B6E" w14:textId="77777777" w:rsidR="00454A29" w:rsidRDefault="00454A29"/>
        </w:tc>
        <w:tc>
          <w:tcPr>
            <w:tcW w:w="1701" w:type="dxa"/>
            <w:vAlign w:val="center"/>
          </w:tcPr>
          <w:p w14:paraId="31E0FBFF" w14:textId="77777777" w:rsidR="00454A29" w:rsidRDefault="00454A29">
            <w:pPr>
              <w:pStyle w:val="ConsPlusNormal"/>
              <w:jc w:val="center"/>
            </w:pPr>
            <w:r>
              <w:t>2026</w:t>
            </w:r>
          </w:p>
        </w:tc>
        <w:tc>
          <w:tcPr>
            <w:tcW w:w="1417" w:type="dxa"/>
            <w:vMerge/>
          </w:tcPr>
          <w:p w14:paraId="1F3021BB" w14:textId="77777777" w:rsidR="00454A29" w:rsidRDefault="00454A29"/>
        </w:tc>
        <w:tc>
          <w:tcPr>
            <w:tcW w:w="2204" w:type="dxa"/>
            <w:vMerge/>
          </w:tcPr>
          <w:p w14:paraId="148AD056" w14:textId="77777777" w:rsidR="00454A29" w:rsidRDefault="00454A29"/>
        </w:tc>
        <w:tc>
          <w:tcPr>
            <w:tcW w:w="1417" w:type="dxa"/>
            <w:vMerge/>
          </w:tcPr>
          <w:p w14:paraId="2C673F12" w14:textId="77777777" w:rsidR="00454A29" w:rsidRDefault="00454A29"/>
        </w:tc>
        <w:tc>
          <w:tcPr>
            <w:tcW w:w="2324" w:type="dxa"/>
            <w:vMerge/>
          </w:tcPr>
          <w:p w14:paraId="0FEB687D" w14:textId="77777777" w:rsidR="00454A29" w:rsidRDefault="00454A29"/>
        </w:tc>
        <w:tc>
          <w:tcPr>
            <w:tcW w:w="1701" w:type="dxa"/>
            <w:vAlign w:val="center"/>
          </w:tcPr>
          <w:p w14:paraId="551439CF" w14:textId="77777777" w:rsidR="00454A29" w:rsidRDefault="00454A29">
            <w:pPr>
              <w:pStyle w:val="ConsPlusNormal"/>
            </w:pPr>
          </w:p>
        </w:tc>
        <w:tc>
          <w:tcPr>
            <w:tcW w:w="1814" w:type="dxa"/>
            <w:vAlign w:val="center"/>
          </w:tcPr>
          <w:p w14:paraId="03FA8F19" w14:textId="77777777" w:rsidR="00454A29" w:rsidRDefault="00454A29">
            <w:pPr>
              <w:pStyle w:val="ConsPlusNormal"/>
            </w:pPr>
          </w:p>
        </w:tc>
        <w:tc>
          <w:tcPr>
            <w:tcW w:w="1701" w:type="dxa"/>
            <w:vAlign w:val="center"/>
          </w:tcPr>
          <w:p w14:paraId="3E505DD7" w14:textId="77777777" w:rsidR="00454A29" w:rsidRDefault="00454A29">
            <w:pPr>
              <w:pStyle w:val="ConsPlusNormal"/>
            </w:pPr>
          </w:p>
        </w:tc>
        <w:tc>
          <w:tcPr>
            <w:tcW w:w="1701" w:type="dxa"/>
            <w:vAlign w:val="center"/>
          </w:tcPr>
          <w:p w14:paraId="2C2CDDF1" w14:textId="77777777" w:rsidR="00454A29" w:rsidRDefault="00454A29">
            <w:pPr>
              <w:pStyle w:val="ConsPlusNormal"/>
            </w:pPr>
          </w:p>
        </w:tc>
        <w:tc>
          <w:tcPr>
            <w:tcW w:w="1814" w:type="dxa"/>
            <w:vAlign w:val="center"/>
          </w:tcPr>
          <w:p w14:paraId="504B426A" w14:textId="77777777" w:rsidR="00454A29" w:rsidRDefault="00454A29">
            <w:pPr>
              <w:pStyle w:val="ConsPlusNormal"/>
            </w:pPr>
          </w:p>
        </w:tc>
      </w:tr>
      <w:tr w:rsidR="00454A29" w14:paraId="4986DCE3" w14:textId="77777777">
        <w:tc>
          <w:tcPr>
            <w:tcW w:w="567" w:type="dxa"/>
            <w:vMerge w:val="restart"/>
            <w:vAlign w:val="center"/>
          </w:tcPr>
          <w:p w14:paraId="0F7D1A71" w14:textId="77777777" w:rsidR="00454A29" w:rsidRDefault="00454A29">
            <w:pPr>
              <w:pStyle w:val="ConsPlusNormal"/>
              <w:jc w:val="center"/>
            </w:pPr>
            <w:r>
              <w:t>167</w:t>
            </w:r>
          </w:p>
        </w:tc>
        <w:tc>
          <w:tcPr>
            <w:tcW w:w="3345" w:type="dxa"/>
            <w:vMerge w:val="restart"/>
            <w:vAlign w:val="center"/>
          </w:tcPr>
          <w:p w14:paraId="4D6C1307" w14:textId="77777777" w:rsidR="00454A29" w:rsidRDefault="00454A29">
            <w:pPr>
              <w:pStyle w:val="ConsPlusNormal"/>
              <w:jc w:val="center"/>
            </w:pPr>
            <w:r>
              <w:t>Школа на 250 учащихся в г. Якутске, квартал 55</w:t>
            </w:r>
          </w:p>
        </w:tc>
        <w:tc>
          <w:tcPr>
            <w:tcW w:w="1701" w:type="dxa"/>
            <w:vAlign w:val="center"/>
          </w:tcPr>
          <w:p w14:paraId="4622D34D" w14:textId="77777777" w:rsidR="00454A29" w:rsidRDefault="00454A29">
            <w:pPr>
              <w:pStyle w:val="ConsPlusNormal"/>
              <w:jc w:val="center"/>
            </w:pPr>
            <w:r>
              <w:t>2020 - 2026 годы - всего</w:t>
            </w:r>
          </w:p>
        </w:tc>
        <w:tc>
          <w:tcPr>
            <w:tcW w:w="1417" w:type="dxa"/>
            <w:vMerge w:val="restart"/>
            <w:vAlign w:val="center"/>
          </w:tcPr>
          <w:p w14:paraId="4111100F" w14:textId="77777777" w:rsidR="00454A29" w:rsidRDefault="00454A29">
            <w:pPr>
              <w:pStyle w:val="ConsPlusNormal"/>
              <w:jc w:val="center"/>
            </w:pPr>
            <w:r>
              <w:t>627 417,81</w:t>
            </w:r>
          </w:p>
        </w:tc>
        <w:tc>
          <w:tcPr>
            <w:tcW w:w="2204" w:type="dxa"/>
            <w:vMerge w:val="restart"/>
            <w:vAlign w:val="center"/>
          </w:tcPr>
          <w:p w14:paraId="46A1D62E" w14:textId="77777777" w:rsidR="00454A29" w:rsidRDefault="00454A29">
            <w:pPr>
              <w:pStyle w:val="ConsPlusNormal"/>
            </w:pPr>
          </w:p>
        </w:tc>
        <w:tc>
          <w:tcPr>
            <w:tcW w:w="1417" w:type="dxa"/>
            <w:vMerge w:val="restart"/>
            <w:vAlign w:val="center"/>
          </w:tcPr>
          <w:p w14:paraId="49A28E88" w14:textId="77777777" w:rsidR="00454A29" w:rsidRDefault="00454A29">
            <w:pPr>
              <w:pStyle w:val="ConsPlusNormal"/>
              <w:jc w:val="center"/>
            </w:pPr>
            <w:r>
              <w:t>250</w:t>
            </w:r>
          </w:p>
        </w:tc>
        <w:tc>
          <w:tcPr>
            <w:tcW w:w="2324" w:type="dxa"/>
            <w:vMerge w:val="restart"/>
            <w:vAlign w:val="center"/>
          </w:tcPr>
          <w:p w14:paraId="7C42DFD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C92B657" w14:textId="77777777" w:rsidR="00454A29" w:rsidRDefault="00454A29">
            <w:pPr>
              <w:pStyle w:val="ConsPlusNormal"/>
              <w:jc w:val="center"/>
            </w:pPr>
            <w:r>
              <w:t>627 417,81</w:t>
            </w:r>
          </w:p>
        </w:tc>
        <w:tc>
          <w:tcPr>
            <w:tcW w:w="1814" w:type="dxa"/>
            <w:vAlign w:val="center"/>
          </w:tcPr>
          <w:p w14:paraId="136A0319" w14:textId="77777777" w:rsidR="00454A29" w:rsidRDefault="00454A29">
            <w:pPr>
              <w:pStyle w:val="ConsPlusNormal"/>
              <w:jc w:val="center"/>
            </w:pPr>
            <w:r>
              <w:t>7 936,84</w:t>
            </w:r>
          </w:p>
        </w:tc>
        <w:tc>
          <w:tcPr>
            <w:tcW w:w="1701" w:type="dxa"/>
            <w:vAlign w:val="center"/>
          </w:tcPr>
          <w:p w14:paraId="6505813D" w14:textId="77777777" w:rsidR="00454A29" w:rsidRDefault="00454A29">
            <w:pPr>
              <w:pStyle w:val="ConsPlusNormal"/>
              <w:jc w:val="center"/>
            </w:pPr>
            <w:r>
              <w:t>785 746,70</w:t>
            </w:r>
          </w:p>
        </w:tc>
        <w:tc>
          <w:tcPr>
            <w:tcW w:w="1701" w:type="dxa"/>
            <w:vAlign w:val="center"/>
          </w:tcPr>
          <w:p w14:paraId="1F3BF2FB" w14:textId="77777777" w:rsidR="00454A29" w:rsidRDefault="00454A29">
            <w:pPr>
              <w:pStyle w:val="ConsPlusNormal"/>
              <w:jc w:val="center"/>
            </w:pPr>
            <w:r>
              <w:t>-</w:t>
            </w:r>
          </w:p>
        </w:tc>
        <w:tc>
          <w:tcPr>
            <w:tcW w:w="1814" w:type="dxa"/>
            <w:vAlign w:val="center"/>
          </w:tcPr>
          <w:p w14:paraId="59E53749" w14:textId="77777777" w:rsidR="00454A29" w:rsidRDefault="00454A29">
            <w:pPr>
              <w:pStyle w:val="ConsPlusNormal"/>
              <w:jc w:val="center"/>
            </w:pPr>
            <w:r>
              <w:t>-</w:t>
            </w:r>
          </w:p>
        </w:tc>
      </w:tr>
      <w:tr w:rsidR="00454A29" w14:paraId="2A5B3B5B" w14:textId="77777777">
        <w:tc>
          <w:tcPr>
            <w:tcW w:w="567" w:type="dxa"/>
            <w:vMerge/>
          </w:tcPr>
          <w:p w14:paraId="55D4C37C" w14:textId="77777777" w:rsidR="00454A29" w:rsidRDefault="00454A29"/>
        </w:tc>
        <w:tc>
          <w:tcPr>
            <w:tcW w:w="3345" w:type="dxa"/>
            <w:vMerge/>
          </w:tcPr>
          <w:p w14:paraId="5E5C4FC6" w14:textId="77777777" w:rsidR="00454A29" w:rsidRDefault="00454A29"/>
        </w:tc>
        <w:tc>
          <w:tcPr>
            <w:tcW w:w="1701" w:type="dxa"/>
            <w:vAlign w:val="center"/>
          </w:tcPr>
          <w:p w14:paraId="166D5612" w14:textId="77777777" w:rsidR="00454A29" w:rsidRDefault="00454A29">
            <w:pPr>
              <w:pStyle w:val="ConsPlusNormal"/>
              <w:jc w:val="center"/>
            </w:pPr>
            <w:r>
              <w:t>2020</w:t>
            </w:r>
          </w:p>
        </w:tc>
        <w:tc>
          <w:tcPr>
            <w:tcW w:w="1417" w:type="dxa"/>
            <w:vMerge/>
          </w:tcPr>
          <w:p w14:paraId="7B8B9CAB" w14:textId="77777777" w:rsidR="00454A29" w:rsidRDefault="00454A29"/>
        </w:tc>
        <w:tc>
          <w:tcPr>
            <w:tcW w:w="2204" w:type="dxa"/>
            <w:vMerge/>
          </w:tcPr>
          <w:p w14:paraId="36064BCD" w14:textId="77777777" w:rsidR="00454A29" w:rsidRDefault="00454A29"/>
        </w:tc>
        <w:tc>
          <w:tcPr>
            <w:tcW w:w="1417" w:type="dxa"/>
            <w:vMerge/>
          </w:tcPr>
          <w:p w14:paraId="2A96BEBB" w14:textId="77777777" w:rsidR="00454A29" w:rsidRDefault="00454A29"/>
        </w:tc>
        <w:tc>
          <w:tcPr>
            <w:tcW w:w="2324" w:type="dxa"/>
            <w:vMerge/>
          </w:tcPr>
          <w:p w14:paraId="741FDBCE" w14:textId="77777777" w:rsidR="00454A29" w:rsidRDefault="00454A29"/>
        </w:tc>
        <w:tc>
          <w:tcPr>
            <w:tcW w:w="1701" w:type="dxa"/>
            <w:vAlign w:val="center"/>
          </w:tcPr>
          <w:p w14:paraId="05405FCE" w14:textId="77777777" w:rsidR="00454A29" w:rsidRDefault="00454A29">
            <w:pPr>
              <w:pStyle w:val="ConsPlusNormal"/>
            </w:pPr>
          </w:p>
        </w:tc>
        <w:tc>
          <w:tcPr>
            <w:tcW w:w="1814" w:type="dxa"/>
            <w:vAlign w:val="center"/>
          </w:tcPr>
          <w:p w14:paraId="11A81FF4" w14:textId="77777777" w:rsidR="00454A29" w:rsidRDefault="00454A29">
            <w:pPr>
              <w:pStyle w:val="ConsPlusNormal"/>
            </w:pPr>
          </w:p>
        </w:tc>
        <w:tc>
          <w:tcPr>
            <w:tcW w:w="1701" w:type="dxa"/>
            <w:vAlign w:val="center"/>
          </w:tcPr>
          <w:p w14:paraId="79DE9D5E" w14:textId="77777777" w:rsidR="00454A29" w:rsidRDefault="00454A29">
            <w:pPr>
              <w:pStyle w:val="ConsPlusNormal"/>
            </w:pPr>
          </w:p>
        </w:tc>
        <w:tc>
          <w:tcPr>
            <w:tcW w:w="1701" w:type="dxa"/>
            <w:vAlign w:val="center"/>
          </w:tcPr>
          <w:p w14:paraId="6C481528" w14:textId="77777777" w:rsidR="00454A29" w:rsidRDefault="00454A29">
            <w:pPr>
              <w:pStyle w:val="ConsPlusNormal"/>
            </w:pPr>
          </w:p>
        </w:tc>
        <w:tc>
          <w:tcPr>
            <w:tcW w:w="1814" w:type="dxa"/>
            <w:vAlign w:val="center"/>
          </w:tcPr>
          <w:p w14:paraId="2460A308" w14:textId="77777777" w:rsidR="00454A29" w:rsidRDefault="00454A29">
            <w:pPr>
              <w:pStyle w:val="ConsPlusNormal"/>
            </w:pPr>
          </w:p>
        </w:tc>
      </w:tr>
      <w:tr w:rsidR="00454A29" w14:paraId="1DD5BC97" w14:textId="77777777">
        <w:tc>
          <w:tcPr>
            <w:tcW w:w="567" w:type="dxa"/>
            <w:vMerge/>
          </w:tcPr>
          <w:p w14:paraId="0900D68C" w14:textId="77777777" w:rsidR="00454A29" w:rsidRDefault="00454A29"/>
        </w:tc>
        <w:tc>
          <w:tcPr>
            <w:tcW w:w="3345" w:type="dxa"/>
            <w:vMerge/>
          </w:tcPr>
          <w:p w14:paraId="00336D17" w14:textId="77777777" w:rsidR="00454A29" w:rsidRDefault="00454A29"/>
        </w:tc>
        <w:tc>
          <w:tcPr>
            <w:tcW w:w="1701" w:type="dxa"/>
            <w:vAlign w:val="center"/>
          </w:tcPr>
          <w:p w14:paraId="4FECAF9F" w14:textId="77777777" w:rsidR="00454A29" w:rsidRDefault="00454A29">
            <w:pPr>
              <w:pStyle w:val="ConsPlusNormal"/>
              <w:jc w:val="center"/>
            </w:pPr>
            <w:r>
              <w:t>2021</w:t>
            </w:r>
          </w:p>
        </w:tc>
        <w:tc>
          <w:tcPr>
            <w:tcW w:w="1417" w:type="dxa"/>
            <w:vMerge/>
          </w:tcPr>
          <w:p w14:paraId="461A3D4E" w14:textId="77777777" w:rsidR="00454A29" w:rsidRDefault="00454A29"/>
        </w:tc>
        <w:tc>
          <w:tcPr>
            <w:tcW w:w="2204" w:type="dxa"/>
            <w:vMerge/>
          </w:tcPr>
          <w:p w14:paraId="77AEB9B1" w14:textId="77777777" w:rsidR="00454A29" w:rsidRDefault="00454A29"/>
        </w:tc>
        <w:tc>
          <w:tcPr>
            <w:tcW w:w="1417" w:type="dxa"/>
            <w:vMerge/>
          </w:tcPr>
          <w:p w14:paraId="0516ABC6" w14:textId="77777777" w:rsidR="00454A29" w:rsidRDefault="00454A29"/>
        </w:tc>
        <w:tc>
          <w:tcPr>
            <w:tcW w:w="2324" w:type="dxa"/>
            <w:vMerge/>
          </w:tcPr>
          <w:p w14:paraId="51C870C5" w14:textId="77777777" w:rsidR="00454A29" w:rsidRDefault="00454A29"/>
        </w:tc>
        <w:tc>
          <w:tcPr>
            <w:tcW w:w="1701" w:type="dxa"/>
            <w:vAlign w:val="center"/>
          </w:tcPr>
          <w:p w14:paraId="119B04FE" w14:textId="77777777" w:rsidR="00454A29" w:rsidRDefault="00454A29">
            <w:pPr>
              <w:pStyle w:val="ConsPlusNormal"/>
              <w:jc w:val="center"/>
            </w:pPr>
            <w:r>
              <w:t>-</w:t>
            </w:r>
          </w:p>
        </w:tc>
        <w:tc>
          <w:tcPr>
            <w:tcW w:w="1814" w:type="dxa"/>
            <w:vAlign w:val="center"/>
          </w:tcPr>
          <w:p w14:paraId="031B4C6F" w14:textId="77777777" w:rsidR="00454A29" w:rsidRDefault="00454A29">
            <w:pPr>
              <w:pStyle w:val="ConsPlusNormal"/>
            </w:pPr>
          </w:p>
        </w:tc>
        <w:tc>
          <w:tcPr>
            <w:tcW w:w="1701" w:type="dxa"/>
            <w:vAlign w:val="center"/>
          </w:tcPr>
          <w:p w14:paraId="494FEEBA" w14:textId="77777777" w:rsidR="00454A29" w:rsidRDefault="00454A29">
            <w:pPr>
              <w:pStyle w:val="ConsPlusNormal"/>
            </w:pPr>
          </w:p>
        </w:tc>
        <w:tc>
          <w:tcPr>
            <w:tcW w:w="1701" w:type="dxa"/>
            <w:vAlign w:val="center"/>
          </w:tcPr>
          <w:p w14:paraId="1A863C74" w14:textId="77777777" w:rsidR="00454A29" w:rsidRDefault="00454A29">
            <w:pPr>
              <w:pStyle w:val="ConsPlusNormal"/>
            </w:pPr>
          </w:p>
        </w:tc>
        <w:tc>
          <w:tcPr>
            <w:tcW w:w="1814" w:type="dxa"/>
            <w:vAlign w:val="center"/>
          </w:tcPr>
          <w:p w14:paraId="2AC9E151" w14:textId="77777777" w:rsidR="00454A29" w:rsidRDefault="00454A29">
            <w:pPr>
              <w:pStyle w:val="ConsPlusNormal"/>
            </w:pPr>
          </w:p>
        </w:tc>
      </w:tr>
      <w:tr w:rsidR="00454A29" w14:paraId="22969769" w14:textId="77777777">
        <w:tc>
          <w:tcPr>
            <w:tcW w:w="567" w:type="dxa"/>
            <w:vMerge/>
          </w:tcPr>
          <w:p w14:paraId="2BB0B05E" w14:textId="77777777" w:rsidR="00454A29" w:rsidRDefault="00454A29"/>
        </w:tc>
        <w:tc>
          <w:tcPr>
            <w:tcW w:w="3345" w:type="dxa"/>
            <w:vMerge/>
          </w:tcPr>
          <w:p w14:paraId="346AD2E0" w14:textId="77777777" w:rsidR="00454A29" w:rsidRDefault="00454A29"/>
        </w:tc>
        <w:tc>
          <w:tcPr>
            <w:tcW w:w="1701" w:type="dxa"/>
            <w:vAlign w:val="center"/>
          </w:tcPr>
          <w:p w14:paraId="0128B538" w14:textId="77777777" w:rsidR="00454A29" w:rsidRDefault="00454A29">
            <w:pPr>
              <w:pStyle w:val="ConsPlusNormal"/>
              <w:jc w:val="center"/>
            </w:pPr>
            <w:r>
              <w:t>2022</w:t>
            </w:r>
          </w:p>
        </w:tc>
        <w:tc>
          <w:tcPr>
            <w:tcW w:w="1417" w:type="dxa"/>
            <w:vMerge/>
          </w:tcPr>
          <w:p w14:paraId="11BCD0A8" w14:textId="77777777" w:rsidR="00454A29" w:rsidRDefault="00454A29"/>
        </w:tc>
        <w:tc>
          <w:tcPr>
            <w:tcW w:w="2204" w:type="dxa"/>
            <w:vMerge/>
          </w:tcPr>
          <w:p w14:paraId="139D7010" w14:textId="77777777" w:rsidR="00454A29" w:rsidRDefault="00454A29"/>
        </w:tc>
        <w:tc>
          <w:tcPr>
            <w:tcW w:w="1417" w:type="dxa"/>
            <w:vMerge/>
          </w:tcPr>
          <w:p w14:paraId="19E0C92E" w14:textId="77777777" w:rsidR="00454A29" w:rsidRDefault="00454A29"/>
        </w:tc>
        <w:tc>
          <w:tcPr>
            <w:tcW w:w="2324" w:type="dxa"/>
            <w:vMerge/>
          </w:tcPr>
          <w:p w14:paraId="5F929DBF" w14:textId="77777777" w:rsidR="00454A29" w:rsidRDefault="00454A29"/>
        </w:tc>
        <w:tc>
          <w:tcPr>
            <w:tcW w:w="1701" w:type="dxa"/>
            <w:vAlign w:val="center"/>
          </w:tcPr>
          <w:p w14:paraId="16BA9B24" w14:textId="77777777" w:rsidR="00454A29" w:rsidRDefault="00454A29">
            <w:pPr>
              <w:pStyle w:val="ConsPlusNormal"/>
              <w:jc w:val="center"/>
            </w:pPr>
            <w:r>
              <w:t>-</w:t>
            </w:r>
          </w:p>
        </w:tc>
        <w:tc>
          <w:tcPr>
            <w:tcW w:w="1814" w:type="dxa"/>
            <w:vAlign w:val="center"/>
          </w:tcPr>
          <w:p w14:paraId="0FDE81B5" w14:textId="77777777" w:rsidR="00454A29" w:rsidRDefault="00454A29">
            <w:pPr>
              <w:pStyle w:val="ConsPlusNormal"/>
            </w:pPr>
          </w:p>
        </w:tc>
        <w:tc>
          <w:tcPr>
            <w:tcW w:w="1701" w:type="dxa"/>
            <w:vAlign w:val="center"/>
          </w:tcPr>
          <w:p w14:paraId="6622B71F" w14:textId="77777777" w:rsidR="00454A29" w:rsidRDefault="00454A29">
            <w:pPr>
              <w:pStyle w:val="ConsPlusNormal"/>
            </w:pPr>
          </w:p>
        </w:tc>
        <w:tc>
          <w:tcPr>
            <w:tcW w:w="1701" w:type="dxa"/>
            <w:vAlign w:val="center"/>
          </w:tcPr>
          <w:p w14:paraId="5CD80D35" w14:textId="77777777" w:rsidR="00454A29" w:rsidRDefault="00454A29">
            <w:pPr>
              <w:pStyle w:val="ConsPlusNormal"/>
            </w:pPr>
          </w:p>
        </w:tc>
        <w:tc>
          <w:tcPr>
            <w:tcW w:w="1814" w:type="dxa"/>
            <w:vAlign w:val="center"/>
          </w:tcPr>
          <w:p w14:paraId="677F8823" w14:textId="77777777" w:rsidR="00454A29" w:rsidRDefault="00454A29">
            <w:pPr>
              <w:pStyle w:val="ConsPlusNormal"/>
            </w:pPr>
          </w:p>
        </w:tc>
      </w:tr>
      <w:tr w:rsidR="00454A29" w14:paraId="4A944563" w14:textId="77777777">
        <w:tc>
          <w:tcPr>
            <w:tcW w:w="567" w:type="dxa"/>
            <w:vMerge/>
          </w:tcPr>
          <w:p w14:paraId="063B51D1" w14:textId="77777777" w:rsidR="00454A29" w:rsidRDefault="00454A29"/>
        </w:tc>
        <w:tc>
          <w:tcPr>
            <w:tcW w:w="3345" w:type="dxa"/>
            <w:vMerge/>
          </w:tcPr>
          <w:p w14:paraId="2CBE7B05" w14:textId="77777777" w:rsidR="00454A29" w:rsidRDefault="00454A29"/>
        </w:tc>
        <w:tc>
          <w:tcPr>
            <w:tcW w:w="1701" w:type="dxa"/>
            <w:vAlign w:val="center"/>
          </w:tcPr>
          <w:p w14:paraId="22823C38" w14:textId="77777777" w:rsidR="00454A29" w:rsidRDefault="00454A29">
            <w:pPr>
              <w:pStyle w:val="ConsPlusNormal"/>
              <w:jc w:val="center"/>
            </w:pPr>
            <w:r>
              <w:t>2023</w:t>
            </w:r>
          </w:p>
        </w:tc>
        <w:tc>
          <w:tcPr>
            <w:tcW w:w="1417" w:type="dxa"/>
            <w:vMerge/>
          </w:tcPr>
          <w:p w14:paraId="794CFC2B" w14:textId="77777777" w:rsidR="00454A29" w:rsidRDefault="00454A29"/>
        </w:tc>
        <w:tc>
          <w:tcPr>
            <w:tcW w:w="2204" w:type="dxa"/>
            <w:vMerge/>
          </w:tcPr>
          <w:p w14:paraId="1972F6EF" w14:textId="77777777" w:rsidR="00454A29" w:rsidRDefault="00454A29"/>
        </w:tc>
        <w:tc>
          <w:tcPr>
            <w:tcW w:w="1417" w:type="dxa"/>
            <w:vMerge/>
          </w:tcPr>
          <w:p w14:paraId="6A77E54B" w14:textId="77777777" w:rsidR="00454A29" w:rsidRDefault="00454A29"/>
        </w:tc>
        <w:tc>
          <w:tcPr>
            <w:tcW w:w="2324" w:type="dxa"/>
            <w:vMerge/>
          </w:tcPr>
          <w:p w14:paraId="14A47079" w14:textId="77777777" w:rsidR="00454A29" w:rsidRDefault="00454A29"/>
        </w:tc>
        <w:tc>
          <w:tcPr>
            <w:tcW w:w="1701" w:type="dxa"/>
            <w:vAlign w:val="center"/>
          </w:tcPr>
          <w:p w14:paraId="037B9FF6" w14:textId="77777777" w:rsidR="00454A29" w:rsidRDefault="00454A29">
            <w:pPr>
              <w:pStyle w:val="ConsPlusNormal"/>
            </w:pPr>
          </w:p>
        </w:tc>
        <w:tc>
          <w:tcPr>
            <w:tcW w:w="1814" w:type="dxa"/>
            <w:vAlign w:val="center"/>
          </w:tcPr>
          <w:p w14:paraId="38B45737" w14:textId="77777777" w:rsidR="00454A29" w:rsidRDefault="00454A29">
            <w:pPr>
              <w:pStyle w:val="ConsPlusNormal"/>
            </w:pPr>
          </w:p>
        </w:tc>
        <w:tc>
          <w:tcPr>
            <w:tcW w:w="1701" w:type="dxa"/>
            <w:vAlign w:val="center"/>
          </w:tcPr>
          <w:p w14:paraId="7982B151" w14:textId="77777777" w:rsidR="00454A29" w:rsidRDefault="00454A29">
            <w:pPr>
              <w:pStyle w:val="ConsPlusNormal"/>
            </w:pPr>
          </w:p>
        </w:tc>
        <w:tc>
          <w:tcPr>
            <w:tcW w:w="1701" w:type="dxa"/>
            <w:vAlign w:val="center"/>
          </w:tcPr>
          <w:p w14:paraId="25D9768D" w14:textId="77777777" w:rsidR="00454A29" w:rsidRDefault="00454A29">
            <w:pPr>
              <w:pStyle w:val="ConsPlusNormal"/>
            </w:pPr>
          </w:p>
        </w:tc>
        <w:tc>
          <w:tcPr>
            <w:tcW w:w="1814" w:type="dxa"/>
            <w:vAlign w:val="center"/>
          </w:tcPr>
          <w:p w14:paraId="22A5B818" w14:textId="77777777" w:rsidR="00454A29" w:rsidRDefault="00454A29">
            <w:pPr>
              <w:pStyle w:val="ConsPlusNormal"/>
            </w:pPr>
          </w:p>
        </w:tc>
      </w:tr>
      <w:tr w:rsidR="00454A29" w14:paraId="5D4D3C9E" w14:textId="77777777">
        <w:tc>
          <w:tcPr>
            <w:tcW w:w="567" w:type="dxa"/>
            <w:vMerge/>
          </w:tcPr>
          <w:p w14:paraId="3536CA8C" w14:textId="77777777" w:rsidR="00454A29" w:rsidRDefault="00454A29"/>
        </w:tc>
        <w:tc>
          <w:tcPr>
            <w:tcW w:w="3345" w:type="dxa"/>
            <w:vMerge/>
          </w:tcPr>
          <w:p w14:paraId="12051FB3" w14:textId="77777777" w:rsidR="00454A29" w:rsidRDefault="00454A29"/>
        </w:tc>
        <w:tc>
          <w:tcPr>
            <w:tcW w:w="1701" w:type="dxa"/>
            <w:vAlign w:val="center"/>
          </w:tcPr>
          <w:p w14:paraId="699DCA66" w14:textId="77777777" w:rsidR="00454A29" w:rsidRDefault="00454A29">
            <w:pPr>
              <w:pStyle w:val="ConsPlusNormal"/>
              <w:jc w:val="center"/>
            </w:pPr>
            <w:r>
              <w:t>2024</w:t>
            </w:r>
          </w:p>
        </w:tc>
        <w:tc>
          <w:tcPr>
            <w:tcW w:w="1417" w:type="dxa"/>
            <w:vMerge/>
          </w:tcPr>
          <w:p w14:paraId="656AA9FB" w14:textId="77777777" w:rsidR="00454A29" w:rsidRDefault="00454A29"/>
        </w:tc>
        <w:tc>
          <w:tcPr>
            <w:tcW w:w="2204" w:type="dxa"/>
            <w:vMerge/>
          </w:tcPr>
          <w:p w14:paraId="4807F6D9" w14:textId="77777777" w:rsidR="00454A29" w:rsidRDefault="00454A29"/>
        </w:tc>
        <w:tc>
          <w:tcPr>
            <w:tcW w:w="1417" w:type="dxa"/>
            <w:vMerge/>
          </w:tcPr>
          <w:p w14:paraId="7495B58D" w14:textId="77777777" w:rsidR="00454A29" w:rsidRDefault="00454A29"/>
        </w:tc>
        <w:tc>
          <w:tcPr>
            <w:tcW w:w="2324" w:type="dxa"/>
            <w:vMerge/>
          </w:tcPr>
          <w:p w14:paraId="2E62D072" w14:textId="77777777" w:rsidR="00454A29" w:rsidRDefault="00454A29"/>
        </w:tc>
        <w:tc>
          <w:tcPr>
            <w:tcW w:w="1701" w:type="dxa"/>
            <w:vAlign w:val="center"/>
          </w:tcPr>
          <w:p w14:paraId="1FE36063" w14:textId="77777777" w:rsidR="00454A29" w:rsidRDefault="00454A29">
            <w:pPr>
              <w:pStyle w:val="ConsPlusNormal"/>
            </w:pPr>
          </w:p>
        </w:tc>
        <w:tc>
          <w:tcPr>
            <w:tcW w:w="1814" w:type="dxa"/>
            <w:vAlign w:val="center"/>
          </w:tcPr>
          <w:p w14:paraId="70F56791" w14:textId="77777777" w:rsidR="00454A29" w:rsidRDefault="00454A29">
            <w:pPr>
              <w:pStyle w:val="ConsPlusNormal"/>
            </w:pPr>
          </w:p>
        </w:tc>
        <w:tc>
          <w:tcPr>
            <w:tcW w:w="1701" w:type="dxa"/>
            <w:vAlign w:val="center"/>
          </w:tcPr>
          <w:p w14:paraId="119308F5" w14:textId="77777777" w:rsidR="00454A29" w:rsidRDefault="00454A29">
            <w:pPr>
              <w:pStyle w:val="ConsPlusNormal"/>
            </w:pPr>
          </w:p>
        </w:tc>
        <w:tc>
          <w:tcPr>
            <w:tcW w:w="1701" w:type="dxa"/>
            <w:vAlign w:val="center"/>
          </w:tcPr>
          <w:p w14:paraId="50CB6C67" w14:textId="77777777" w:rsidR="00454A29" w:rsidRDefault="00454A29">
            <w:pPr>
              <w:pStyle w:val="ConsPlusNormal"/>
            </w:pPr>
          </w:p>
        </w:tc>
        <w:tc>
          <w:tcPr>
            <w:tcW w:w="1814" w:type="dxa"/>
            <w:vAlign w:val="center"/>
          </w:tcPr>
          <w:p w14:paraId="270A9D9C" w14:textId="77777777" w:rsidR="00454A29" w:rsidRDefault="00454A29">
            <w:pPr>
              <w:pStyle w:val="ConsPlusNormal"/>
            </w:pPr>
          </w:p>
        </w:tc>
      </w:tr>
      <w:tr w:rsidR="00454A29" w14:paraId="4E5A7D10" w14:textId="77777777">
        <w:tc>
          <w:tcPr>
            <w:tcW w:w="567" w:type="dxa"/>
            <w:vMerge/>
          </w:tcPr>
          <w:p w14:paraId="771B5628" w14:textId="77777777" w:rsidR="00454A29" w:rsidRDefault="00454A29"/>
        </w:tc>
        <w:tc>
          <w:tcPr>
            <w:tcW w:w="3345" w:type="dxa"/>
            <w:vMerge/>
          </w:tcPr>
          <w:p w14:paraId="6EC537C9" w14:textId="77777777" w:rsidR="00454A29" w:rsidRDefault="00454A29"/>
        </w:tc>
        <w:tc>
          <w:tcPr>
            <w:tcW w:w="1701" w:type="dxa"/>
            <w:vAlign w:val="center"/>
          </w:tcPr>
          <w:p w14:paraId="1EFA1295" w14:textId="77777777" w:rsidR="00454A29" w:rsidRDefault="00454A29">
            <w:pPr>
              <w:pStyle w:val="ConsPlusNormal"/>
              <w:jc w:val="center"/>
            </w:pPr>
            <w:r>
              <w:t>2025</w:t>
            </w:r>
          </w:p>
        </w:tc>
        <w:tc>
          <w:tcPr>
            <w:tcW w:w="1417" w:type="dxa"/>
            <w:vMerge/>
          </w:tcPr>
          <w:p w14:paraId="7AA79BA4" w14:textId="77777777" w:rsidR="00454A29" w:rsidRDefault="00454A29"/>
        </w:tc>
        <w:tc>
          <w:tcPr>
            <w:tcW w:w="2204" w:type="dxa"/>
            <w:vMerge/>
          </w:tcPr>
          <w:p w14:paraId="0B0AE7A8" w14:textId="77777777" w:rsidR="00454A29" w:rsidRDefault="00454A29"/>
        </w:tc>
        <w:tc>
          <w:tcPr>
            <w:tcW w:w="1417" w:type="dxa"/>
            <w:vMerge/>
          </w:tcPr>
          <w:p w14:paraId="3C65BBEC" w14:textId="77777777" w:rsidR="00454A29" w:rsidRDefault="00454A29"/>
        </w:tc>
        <w:tc>
          <w:tcPr>
            <w:tcW w:w="2324" w:type="dxa"/>
            <w:vMerge/>
          </w:tcPr>
          <w:p w14:paraId="25E726CD" w14:textId="77777777" w:rsidR="00454A29" w:rsidRDefault="00454A29"/>
        </w:tc>
        <w:tc>
          <w:tcPr>
            <w:tcW w:w="1701" w:type="dxa"/>
            <w:vAlign w:val="center"/>
          </w:tcPr>
          <w:p w14:paraId="2FC846B0" w14:textId="77777777" w:rsidR="00454A29" w:rsidRDefault="00454A29">
            <w:pPr>
              <w:pStyle w:val="ConsPlusNormal"/>
              <w:jc w:val="center"/>
            </w:pPr>
            <w:r>
              <w:t>627 417,81</w:t>
            </w:r>
          </w:p>
        </w:tc>
        <w:tc>
          <w:tcPr>
            <w:tcW w:w="1814" w:type="dxa"/>
            <w:vAlign w:val="center"/>
          </w:tcPr>
          <w:p w14:paraId="314C9AF7" w14:textId="77777777" w:rsidR="00454A29" w:rsidRDefault="00454A29">
            <w:pPr>
              <w:pStyle w:val="ConsPlusNormal"/>
              <w:jc w:val="center"/>
            </w:pPr>
            <w:r>
              <w:t>7 936,84</w:t>
            </w:r>
          </w:p>
        </w:tc>
        <w:tc>
          <w:tcPr>
            <w:tcW w:w="1701" w:type="dxa"/>
            <w:vAlign w:val="center"/>
          </w:tcPr>
          <w:p w14:paraId="62E1C514" w14:textId="77777777" w:rsidR="00454A29" w:rsidRDefault="00454A29">
            <w:pPr>
              <w:pStyle w:val="ConsPlusNormal"/>
              <w:jc w:val="center"/>
            </w:pPr>
            <w:r>
              <w:t>785 746,70</w:t>
            </w:r>
          </w:p>
        </w:tc>
        <w:tc>
          <w:tcPr>
            <w:tcW w:w="1701" w:type="dxa"/>
            <w:vAlign w:val="center"/>
          </w:tcPr>
          <w:p w14:paraId="0A5277D2" w14:textId="77777777" w:rsidR="00454A29" w:rsidRDefault="00454A29">
            <w:pPr>
              <w:pStyle w:val="ConsPlusNormal"/>
            </w:pPr>
          </w:p>
        </w:tc>
        <w:tc>
          <w:tcPr>
            <w:tcW w:w="1814" w:type="dxa"/>
            <w:vAlign w:val="center"/>
          </w:tcPr>
          <w:p w14:paraId="18CB67D1" w14:textId="77777777" w:rsidR="00454A29" w:rsidRDefault="00454A29">
            <w:pPr>
              <w:pStyle w:val="ConsPlusNormal"/>
            </w:pPr>
          </w:p>
        </w:tc>
      </w:tr>
      <w:tr w:rsidR="00454A29" w14:paraId="317CEC7E" w14:textId="77777777">
        <w:tc>
          <w:tcPr>
            <w:tcW w:w="567" w:type="dxa"/>
            <w:vMerge/>
          </w:tcPr>
          <w:p w14:paraId="007CBB3D" w14:textId="77777777" w:rsidR="00454A29" w:rsidRDefault="00454A29"/>
        </w:tc>
        <w:tc>
          <w:tcPr>
            <w:tcW w:w="3345" w:type="dxa"/>
            <w:vMerge/>
          </w:tcPr>
          <w:p w14:paraId="4C27C044" w14:textId="77777777" w:rsidR="00454A29" w:rsidRDefault="00454A29"/>
        </w:tc>
        <w:tc>
          <w:tcPr>
            <w:tcW w:w="1701" w:type="dxa"/>
            <w:vAlign w:val="center"/>
          </w:tcPr>
          <w:p w14:paraId="2C07D7E2" w14:textId="77777777" w:rsidR="00454A29" w:rsidRDefault="00454A29">
            <w:pPr>
              <w:pStyle w:val="ConsPlusNormal"/>
              <w:jc w:val="center"/>
            </w:pPr>
            <w:r>
              <w:t>2026</w:t>
            </w:r>
          </w:p>
        </w:tc>
        <w:tc>
          <w:tcPr>
            <w:tcW w:w="1417" w:type="dxa"/>
            <w:vMerge/>
          </w:tcPr>
          <w:p w14:paraId="43F1BC9D" w14:textId="77777777" w:rsidR="00454A29" w:rsidRDefault="00454A29"/>
        </w:tc>
        <w:tc>
          <w:tcPr>
            <w:tcW w:w="2204" w:type="dxa"/>
            <w:vMerge/>
          </w:tcPr>
          <w:p w14:paraId="2BDD9FC3" w14:textId="77777777" w:rsidR="00454A29" w:rsidRDefault="00454A29"/>
        </w:tc>
        <w:tc>
          <w:tcPr>
            <w:tcW w:w="1417" w:type="dxa"/>
            <w:vMerge/>
          </w:tcPr>
          <w:p w14:paraId="7046D5AD" w14:textId="77777777" w:rsidR="00454A29" w:rsidRDefault="00454A29"/>
        </w:tc>
        <w:tc>
          <w:tcPr>
            <w:tcW w:w="2324" w:type="dxa"/>
            <w:vMerge/>
          </w:tcPr>
          <w:p w14:paraId="688045E1" w14:textId="77777777" w:rsidR="00454A29" w:rsidRDefault="00454A29"/>
        </w:tc>
        <w:tc>
          <w:tcPr>
            <w:tcW w:w="1701" w:type="dxa"/>
            <w:vAlign w:val="center"/>
          </w:tcPr>
          <w:p w14:paraId="1C05C8A5" w14:textId="77777777" w:rsidR="00454A29" w:rsidRDefault="00454A29">
            <w:pPr>
              <w:pStyle w:val="ConsPlusNormal"/>
              <w:jc w:val="center"/>
            </w:pPr>
            <w:r>
              <w:t>-</w:t>
            </w:r>
          </w:p>
        </w:tc>
        <w:tc>
          <w:tcPr>
            <w:tcW w:w="1814" w:type="dxa"/>
            <w:vAlign w:val="center"/>
          </w:tcPr>
          <w:p w14:paraId="24EF17BE" w14:textId="77777777" w:rsidR="00454A29" w:rsidRDefault="00454A29">
            <w:pPr>
              <w:pStyle w:val="ConsPlusNormal"/>
            </w:pPr>
          </w:p>
        </w:tc>
        <w:tc>
          <w:tcPr>
            <w:tcW w:w="1701" w:type="dxa"/>
            <w:vAlign w:val="center"/>
          </w:tcPr>
          <w:p w14:paraId="036E978A" w14:textId="77777777" w:rsidR="00454A29" w:rsidRDefault="00454A29">
            <w:pPr>
              <w:pStyle w:val="ConsPlusNormal"/>
            </w:pPr>
          </w:p>
        </w:tc>
        <w:tc>
          <w:tcPr>
            <w:tcW w:w="1701" w:type="dxa"/>
            <w:vAlign w:val="center"/>
          </w:tcPr>
          <w:p w14:paraId="44B82F7F" w14:textId="77777777" w:rsidR="00454A29" w:rsidRDefault="00454A29">
            <w:pPr>
              <w:pStyle w:val="ConsPlusNormal"/>
            </w:pPr>
          </w:p>
        </w:tc>
        <w:tc>
          <w:tcPr>
            <w:tcW w:w="1814" w:type="dxa"/>
            <w:vAlign w:val="center"/>
          </w:tcPr>
          <w:p w14:paraId="6902F4F9" w14:textId="77777777" w:rsidR="00454A29" w:rsidRDefault="00454A29">
            <w:pPr>
              <w:pStyle w:val="ConsPlusNormal"/>
            </w:pPr>
          </w:p>
        </w:tc>
      </w:tr>
      <w:tr w:rsidR="00454A29" w14:paraId="51E505C9" w14:textId="77777777">
        <w:tc>
          <w:tcPr>
            <w:tcW w:w="567" w:type="dxa"/>
            <w:vMerge w:val="restart"/>
            <w:vAlign w:val="center"/>
          </w:tcPr>
          <w:p w14:paraId="2089772A" w14:textId="77777777" w:rsidR="00454A29" w:rsidRDefault="00454A29">
            <w:pPr>
              <w:pStyle w:val="ConsPlusNormal"/>
              <w:jc w:val="center"/>
            </w:pPr>
            <w:r>
              <w:t>168</w:t>
            </w:r>
          </w:p>
        </w:tc>
        <w:tc>
          <w:tcPr>
            <w:tcW w:w="3345" w:type="dxa"/>
            <w:vMerge w:val="restart"/>
            <w:vAlign w:val="center"/>
          </w:tcPr>
          <w:p w14:paraId="54AD547B" w14:textId="77777777" w:rsidR="00454A29" w:rsidRDefault="00454A29">
            <w:pPr>
              <w:pStyle w:val="ConsPlusNormal"/>
              <w:jc w:val="center"/>
            </w:pPr>
            <w:r>
              <w:t xml:space="preserve">Пристрой к зданию ЯГЛ на 100 </w:t>
            </w:r>
            <w:r>
              <w:lastRenderedPageBreak/>
              <w:t>учащихся в г. Якутске</w:t>
            </w:r>
          </w:p>
        </w:tc>
        <w:tc>
          <w:tcPr>
            <w:tcW w:w="1701" w:type="dxa"/>
            <w:vAlign w:val="center"/>
          </w:tcPr>
          <w:p w14:paraId="188EE4CD" w14:textId="77777777" w:rsidR="00454A29" w:rsidRDefault="00454A29">
            <w:pPr>
              <w:pStyle w:val="ConsPlusNormal"/>
              <w:jc w:val="center"/>
            </w:pPr>
            <w:r>
              <w:lastRenderedPageBreak/>
              <w:t xml:space="preserve">2020 - 2026 годы </w:t>
            </w:r>
            <w:r>
              <w:lastRenderedPageBreak/>
              <w:t>- всего</w:t>
            </w:r>
          </w:p>
        </w:tc>
        <w:tc>
          <w:tcPr>
            <w:tcW w:w="1417" w:type="dxa"/>
            <w:vMerge w:val="restart"/>
            <w:vAlign w:val="center"/>
          </w:tcPr>
          <w:p w14:paraId="3CEC5873" w14:textId="77777777" w:rsidR="00454A29" w:rsidRDefault="00454A29">
            <w:pPr>
              <w:pStyle w:val="ConsPlusNormal"/>
              <w:jc w:val="center"/>
            </w:pPr>
            <w:r>
              <w:lastRenderedPageBreak/>
              <w:t>367 824,52</w:t>
            </w:r>
          </w:p>
        </w:tc>
        <w:tc>
          <w:tcPr>
            <w:tcW w:w="2204" w:type="dxa"/>
            <w:vMerge w:val="restart"/>
            <w:vAlign w:val="center"/>
          </w:tcPr>
          <w:p w14:paraId="520A14A9" w14:textId="77777777" w:rsidR="00454A29" w:rsidRDefault="00454A29">
            <w:pPr>
              <w:pStyle w:val="ConsPlusNormal"/>
            </w:pPr>
          </w:p>
        </w:tc>
        <w:tc>
          <w:tcPr>
            <w:tcW w:w="1417" w:type="dxa"/>
            <w:vMerge w:val="restart"/>
            <w:vAlign w:val="center"/>
          </w:tcPr>
          <w:p w14:paraId="67C76BE9" w14:textId="77777777" w:rsidR="00454A29" w:rsidRDefault="00454A29">
            <w:pPr>
              <w:pStyle w:val="ConsPlusNormal"/>
              <w:jc w:val="center"/>
            </w:pPr>
            <w:r>
              <w:t>100</w:t>
            </w:r>
          </w:p>
        </w:tc>
        <w:tc>
          <w:tcPr>
            <w:tcW w:w="2324" w:type="dxa"/>
            <w:vMerge w:val="restart"/>
            <w:vAlign w:val="center"/>
          </w:tcPr>
          <w:p w14:paraId="6883C5A6" w14:textId="77777777" w:rsidR="00454A29" w:rsidRDefault="00454A29">
            <w:pPr>
              <w:pStyle w:val="ConsPlusNormal"/>
              <w:jc w:val="center"/>
            </w:pPr>
            <w:r>
              <w:t xml:space="preserve">Минстрой РС(Я), ГКУ </w:t>
            </w:r>
            <w:r>
              <w:lastRenderedPageBreak/>
              <w:t>"Служба государственного заказчика Республики Саха (Якутия)"</w:t>
            </w:r>
          </w:p>
        </w:tc>
        <w:tc>
          <w:tcPr>
            <w:tcW w:w="1701" w:type="dxa"/>
            <w:vAlign w:val="center"/>
          </w:tcPr>
          <w:p w14:paraId="224262C0" w14:textId="77777777" w:rsidR="00454A29" w:rsidRDefault="00454A29">
            <w:pPr>
              <w:pStyle w:val="ConsPlusNormal"/>
              <w:jc w:val="center"/>
            </w:pPr>
            <w:r>
              <w:lastRenderedPageBreak/>
              <w:t>367 824,52</w:t>
            </w:r>
          </w:p>
        </w:tc>
        <w:tc>
          <w:tcPr>
            <w:tcW w:w="1814" w:type="dxa"/>
            <w:vAlign w:val="center"/>
          </w:tcPr>
          <w:p w14:paraId="67D31360" w14:textId="77777777" w:rsidR="00454A29" w:rsidRDefault="00454A29">
            <w:pPr>
              <w:pStyle w:val="ConsPlusNormal"/>
              <w:jc w:val="center"/>
            </w:pPr>
            <w:r>
              <w:t>4 652,98</w:t>
            </w:r>
          </w:p>
        </w:tc>
        <w:tc>
          <w:tcPr>
            <w:tcW w:w="1701" w:type="dxa"/>
            <w:vAlign w:val="center"/>
          </w:tcPr>
          <w:p w14:paraId="279B297C" w14:textId="77777777" w:rsidR="00454A29" w:rsidRDefault="00454A29">
            <w:pPr>
              <w:pStyle w:val="ConsPlusNormal"/>
              <w:jc w:val="center"/>
            </w:pPr>
            <w:r>
              <w:t>460 645,04</w:t>
            </w:r>
          </w:p>
        </w:tc>
        <w:tc>
          <w:tcPr>
            <w:tcW w:w="1701" w:type="dxa"/>
            <w:vAlign w:val="center"/>
          </w:tcPr>
          <w:p w14:paraId="06934B33" w14:textId="77777777" w:rsidR="00454A29" w:rsidRDefault="00454A29">
            <w:pPr>
              <w:pStyle w:val="ConsPlusNormal"/>
              <w:jc w:val="center"/>
            </w:pPr>
            <w:r>
              <w:t>-</w:t>
            </w:r>
          </w:p>
        </w:tc>
        <w:tc>
          <w:tcPr>
            <w:tcW w:w="1814" w:type="dxa"/>
            <w:vAlign w:val="center"/>
          </w:tcPr>
          <w:p w14:paraId="5BB88C23" w14:textId="77777777" w:rsidR="00454A29" w:rsidRDefault="00454A29">
            <w:pPr>
              <w:pStyle w:val="ConsPlusNormal"/>
              <w:jc w:val="center"/>
            </w:pPr>
            <w:r>
              <w:t>-</w:t>
            </w:r>
          </w:p>
        </w:tc>
      </w:tr>
      <w:tr w:rsidR="00454A29" w14:paraId="73CC5355" w14:textId="77777777">
        <w:tc>
          <w:tcPr>
            <w:tcW w:w="567" w:type="dxa"/>
            <w:vMerge/>
          </w:tcPr>
          <w:p w14:paraId="5A1BDF83" w14:textId="77777777" w:rsidR="00454A29" w:rsidRDefault="00454A29"/>
        </w:tc>
        <w:tc>
          <w:tcPr>
            <w:tcW w:w="3345" w:type="dxa"/>
            <w:vMerge/>
          </w:tcPr>
          <w:p w14:paraId="7A5A8937" w14:textId="77777777" w:rsidR="00454A29" w:rsidRDefault="00454A29"/>
        </w:tc>
        <w:tc>
          <w:tcPr>
            <w:tcW w:w="1701" w:type="dxa"/>
            <w:vAlign w:val="center"/>
          </w:tcPr>
          <w:p w14:paraId="7E4F0102" w14:textId="77777777" w:rsidR="00454A29" w:rsidRDefault="00454A29">
            <w:pPr>
              <w:pStyle w:val="ConsPlusNormal"/>
              <w:jc w:val="center"/>
            </w:pPr>
            <w:r>
              <w:t>2020</w:t>
            </w:r>
          </w:p>
        </w:tc>
        <w:tc>
          <w:tcPr>
            <w:tcW w:w="1417" w:type="dxa"/>
            <w:vMerge/>
          </w:tcPr>
          <w:p w14:paraId="37E697A6" w14:textId="77777777" w:rsidR="00454A29" w:rsidRDefault="00454A29"/>
        </w:tc>
        <w:tc>
          <w:tcPr>
            <w:tcW w:w="2204" w:type="dxa"/>
            <w:vMerge/>
          </w:tcPr>
          <w:p w14:paraId="245480C4" w14:textId="77777777" w:rsidR="00454A29" w:rsidRDefault="00454A29"/>
        </w:tc>
        <w:tc>
          <w:tcPr>
            <w:tcW w:w="1417" w:type="dxa"/>
            <w:vMerge/>
          </w:tcPr>
          <w:p w14:paraId="58DCA14A" w14:textId="77777777" w:rsidR="00454A29" w:rsidRDefault="00454A29"/>
        </w:tc>
        <w:tc>
          <w:tcPr>
            <w:tcW w:w="2324" w:type="dxa"/>
            <w:vMerge/>
          </w:tcPr>
          <w:p w14:paraId="232475AB" w14:textId="77777777" w:rsidR="00454A29" w:rsidRDefault="00454A29"/>
        </w:tc>
        <w:tc>
          <w:tcPr>
            <w:tcW w:w="1701" w:type="dxa"/>
            <w:vAlign w:val="center"/>
          </w:tcPr>
          <w:p w14:paraId="48C2D62C" w14:textId="77777777" w:rsidR="00454A29" w:rsidRDefault="00454A29">
            <w:pPr>
              <w:pStyle w:val="ConsPlusNormal"/>
            </w:pPr>
          </w:p>
        </w:tc>
        <w:tc>
          <w:tcPr>
            <w:tcW w:w="1814" w:type="dxa"/>
            <w:vAlign w:val="center"/>
          </w:tcPr>
          <w:p w14:paraId="759F2089" w14:textId="77777777" w:rsidR="00454A29" w:rsidRDefault="00454A29">
            <w:pPr>
              <w:pStyle w:val="ConsPlusNormal"/>
            </w:pPr>
          </w:p>
        </w:tc>
        <w:tc>
          <w:tcPr>
            <w:tcW w:w="1701" w:type="dxa"/>
            <w:vAlign w:val="center"/>
          </w:tcPr>
          <w:p w14:paraId="74B01DB4" w14:textId="77777777" w:rsidR="00454A29" w:rsidRDefault="00454A29">
            <w:pPr>
              <w:pStyle w:val="ConsPlusNormal"/>
            </w:pPr>
          </w:p>
        </w:tc>
        <w:tc>
          <w:tcPr>
            <w:tcW w:w="1701" w:type="dxa"/>
            <w:vAlign w:val="center"/>
          </w:tcPr>
          <w:p w14:paraId="23707F00" w14:textId="77777777" w:rsidR="00454A29" w:rsidRDefault="00454A29">
            <w:pPr>
              <w:pStyle w:val="ConsPlusNormal"/>
            </w:pPr>
          </w:p>
        </w:tc>
        <w:tc>
          <w:tcPr>
            <w:tcW w:w="1814" w:type="dxa"/>
            <w:vAlign w:val="center"/>
          </w:tcPr>
          <w:p w14:paraId="2DC4D92D" w14:textId="77777777" w:rsidR="00454A29" w:rsidRDefault="00454A29">
            <w:pPr>
              <w:pStyle w:val="ConsPlusNormal"/>
            </w:pPr>
          </w:p>
        </w:tc>
      </w:tr>
      <w:tr w:rsidR="00454A29" w14:paraId="3E5105FD" w14:textId="77777777">
        <w:tc>
          <w:tcPr>
            <w:tcW w:w="567" w:type="dxa"/>
            <w:vMerge/>
          </w:tcPr>
          <w:p w14:paraId="00A5E8BB" w14:textId="77777777" w:rsidR="00454A29" w:rsidRDefault="00454A29"/>
        </w:tc>
        <w:tc>
          <w:tcPr>
            <w:tcW w:w="3345" w:type="dxa"/>
            <w:vMerge/>
          </w:tcPr>
          <w:p w14:paraId="77DE035B" w14:textId="77777777" w:rsidR="00454A29" w:rsidRDefault="00454A29"/>
        </w:tc>
        <w:tc>
          <w:tcPr>
            <w:tcW w:w="1701" w:type="dxa"/>
            <w:vAlign w:val="center"/>
          </w:tcPr>
          <w:p w14:paraId="1B33A775" w14:textId="77777777" w:rsidR="00454A29" w:rsidRDefault="00454A29">
            <w:pPr>
              <w:pStyle w:val="ConsPlusNormal"/>
              <w:jc w:val="center"/>
            </w:pPr>
            <w:r>
              <w:t>2021</w:t>
            </w:r>
          </w:p>
        </w:tc>
        <w:tc>
          <w:tcPr>
            <w:tcW w:w="1417" w:type="dxa"/>
            <w:vMerge/>
          </w:tcPr>
          <w:p w14:paraId="27ABFA03" w14:textId="77777777" w:rsidR="00454A29" w:rsidRDefault="00454A29"/>
        </w:tc>
        <w:tc>
          <w:tcPr>
            <w:tcW w:w="2204" w:type="dxa"/>
            <w:vMerge/>
          </w:tcPr>
          <w:p w14:paraId="0BA31C03" w14:textId="77777777" w:rsidR="00454A29" w:rsidRDefault="00454A29"/>
        </w:tc>
        <w:tc>
          <w:tcPr>
            <w:tcW w:w="1417" w:type="dxa"/>
            <w:vMerge/>
          </w:tcPr>
          <w:p w14:paraId="0B76472E" w14:textId="77777777" w:rsidR="00454A29" w:rsidRDefault="00454A29"/>
        </w:tc>
        <w:tc>
          <w:tcPr>
            <w:tcW w:w="2324" w:type="dxa"/>
            <w:vMerge/>
          </w:tcPr>
          <w:p w14:paraId="53956A01" w14:textId="77777777" w:rsidR="00454A29" w:rsidRDefault="00454A29"/>
        </w:tc>
        <w:tc>
          <w:tcPr>
            <w:tcW w:w="1701" w:type="dxa"/>
            <w:vAlign w:val="center"/>
          </w:tcPr>
          <w:p w14:paraId="26108E58" w14:textId="77777777" w:rsidR="00454A29" w:rsidRDefault="00454A29">
            <w:pPr>
              <w:pStyle w:val="ConsPlusNormal"/>
              <w:jc w:val="center"/>
            </w:pPr>
            <w:r>
              <w:t>-</w:t>
            </w:r>
          </w:p>
        </w:tc>
        <w:tc>
          <w:tcPr>
            <w:tcW w:w="1814" w:type="dxa"/>
            <w:vAlign w:val="center"/>
          </w:tcPr>
          <w:p w14:paraId="6431819C" w14:textId="77777777" w:rsidR="00454A29" w:rsidRDefault="00454A29">
            <w:pPr>
              <w:pStyle w:val="ConsPlusNormal"/>
            </w:pPr>
          </w:p>
        </w:tc>
        <w:tc>
          <w:tcPr>
            <w:tcW w:w="1701" w:type="dxa"/>
            <w:vAlign w:val="center"/>
          </w:tcPr>
          <w:p w14:paraId="5A462DFD" w14:textId="77777777" w:rsidR="00454A29" w:rsidRDefault="00454A29">
            <w:pPr>
              <w:pStyle w:val="ConsPlusNormal"/>
            </w:pPr>
          </w:p>
        </w:tc>
        <w:tc>
          <w:tcPr>
            <w:tcW w:w="1701" w:type="dxa"/>
            <w:vAlign w:val="center"/>
          </w:tcPr>
          <w:p w14:paraId="515F2777" w14:textId="77777777" w:rsidR="00454A29" w:rsidRDefault="00454A29">
            <w:pPr>
              <w:pStyle w:val="ConsPlusNormal"/>
            </w:pPr>
          </w:p>
        </w:tc>
        <w:tc>
          <w:tcPr>
            <w:tcW w:w="1814" w:type="dxa"/>
            <w:vAlign w:val="center"/>
          </w:tcPr>
          <w:p w14:paraId="4A79D0EE" w14:textId="77777777" w:rsidR="00454A29" w:rsidRDefault="00454A29">
            <w:pPr>
              <w:pStyle w:val="ConsPlusNormal"/>
            </w:pPr>
          </w:p>
        </w:tc>
      </w:tr>
      <w:tr w:rsidR="00454A29" w14:paraId="4E94D797" w14:textId="77777777">
        <w:tc>
          <w:tcPr>
            <w:tcW w:w="567" w:type="dxa"/>
            <w:vMerge/>
          </w:tcPr>
          <w:p w14:paraId="455F9859" w14:textId="77777777" w:rsidR="00454A29" w:rsidRDefault="00454A29"/>
        </w:tc>
        <w:tc>
          <w:tcPr>
            <w:tcW w:w="3345" w:type="dxa"/>
            <w:vMerge/>
          </w:tcPr>
          <w:p w14:paraId="7F645536" w14:textId="77777777" w:rsidR="00454A29" w:rsidRDefault="00454A29"/>
        </w:tc>
        <w:tc>
          <w:tcPr>
            <w:tcW w:w="1701" w:type="dxa"/>
            <w:vAlign w:val="center"/>
          </w:tcPr>
          <w:p w14:paraId="4725F260" w14:textId="77777777" w:rsidR="00454A29" w:rsidRDefault="00454A29">
            <w:pPr>
              <w:pStyle w:val="ConsPlusNormal"/>
              <w:jc w:val="center"/>
            </w:pPr>
            <w:r>
              <w:t>2022</w:t>
            </w:r>
          </w:p>
        </w:tc>
        <w:tc>
          <w:tcPr>
            <w:tcW w:w="1417" w:type="dxa"/>
            <w:vMerge/>
          </w:tcPr>
          <w:p w14:paraId="15D02D29" w14:textId="77777777" w:rsidR="00454A29" w:rsidRDefault="00454A29"/>
        </w:tc>
        <w:tc>
          <w:tcPr>
            <w:tcW w:w="2204" w:type="dxa"/>
            <w:vMerge/>
          </w:tcPr>
          <w:p w14:paraId="6E614107" w14:textId="77777777" w:rsidR="00454A29" w:rsidRDefault="00454A29"/>
        </w:tc>
        <w:tc>
          <w:tcPr>
            <w:tcW w:w="1417" w:type="dxa"/>
            <w:vMerge/>
          </w:tcPr>
          <w:p w14:paraId="2408A028" w14:textId="77777777" w:rsidR="00454A29" w:rsidRDefault="00454A29"/>
        </w:tc>
        <w:tc>
          <w:tcPr>
            <w:tcW w:w="2324" w:type="dxa"/>
            <w:vMerge/>
          </w:tcPr>
          <w:p w14:paraId="79F4E6AF" w14:textId="77777777" w:rsidR="00454A29" w:rsidRDefault="00454A29"/>
        </w:tc>
        <w:tc>
          <w:tcPr>
            <w:tcW w:w="1701" w:type="dxa"/>
            <w:vAlign w:val="center"/>
          </w:tcPr>
          <w:p w14:paraId="4342C4B4" w14:textId="77777777" w:rsidR="00454A29" w:rsidRDefault="00454A29">
            <w:pPr>
              <w:pStyle w:val="ConsPlusNormal"/>
            </w:pPr>
          </w:p>
        </w:tc>
        <w:tc>
          <w:tcPr>
            <w:tcW w:w="1814" w:type="dxa"/>
            <w:vAlign w:val="center"/>
          </w:tcPr>
          <w:p w14:paraId="7381146A" w14:textId="77777777" w:rsidR="00454A29" w:rsidRDefault="00454A29">
            <w:pPr>
              <w:pStyle w:val="ConsPlusNormal"/>
            </w:pPr>
          </w:p>
        </w:tc>
        <w:tc>
          <w:tcPr>
            <w:tcW w:w="1701" w:type="dxa"/>
            <w:vAlign w:val="center"/>
          </w:tcPr>
          <w:p w14:paraId="39F91D58" w14:textId="77777777" w:rsidR="00454A29" w:rsidRDefault="00454A29">
            <w:pPr>
              <w:pStyle w:val="ConsPlusNormal"/>
            </w:pPr>
          </w:p>
        </w:tc>
        <w:tc>
          <w:tcPr>
            <w:tcW w:w="1701" w:type="dxa"/>
            <w:vAlign w:val="center"/>
          </w:tcPr>
          <w:p w14:paraId="24E7961B" w14:textId="77777777" w:rsidR="00454A29" w:rsidRDefault="00454A29">
            <w:pPr>
              <w:pStyle w:val="ConsPlusNormal"/>
            </w:pPr>
          </w:p>
        </w:tc>
        <w:tc>
          <w:tcPr>
            <w:tcW w:w="1814" w:type="dxa"/>
            <w:vAlign w:val="center"/>
          </w:tcPr>
          <w:p w14:paraId="63765B2E" w14:textId="77777777" w:rsidR="00454A29" w:rsidRDefault="00454A29">
            <w:pPr>
              <w:pStyle w:val="ConsPlusNormal"/>
            </w:pPr>
          </w:p>
        </w:tc>
      </w:tr>
      <w:tr w:rsidR="00454A29" w14:paraId="0B60BE71" w14:textId="77777777">
        <w:tc>
          <w:tcPr>
            <w:tcW w:w="567" w:type="dxa"/>
            <w:vMerge/>
          </w:tcPr>
          <w:p w14:paraId="3F1F9A91" w14:textId="77777777" w:rsidR="00454A29" w:rsidRDefault="00454A29"/>
        </w:tc>
        <w:tc>
          <w:tcPr>
            <w:tcW w:w="3345" w:type="dxa"/>
            <w:vMerge/>
          </w:tcPr>
          <w:p w14:paraId="3A7976EE" w14:textId="77777777" w:rsidR="00454A29" w:rsidRDefault="00454A29"/>
        </w:tc>
        <w:tc>
          <w:tcPr>
            <w:tcW w:w="1701" w:type="dxa"/>
            <w:vAlign w:val="center"/>
          </w:tcPr>
          <w:p w14:paraId="60D46286" w14:textId="77777777" w:rsidR="00454A29" w:rsidRDefault="00454A29">
            <w:pPr>
              <w:pStyle w:val="ConsPlusNormal"/>
              <w:jc w:val="center"/>
            </w:pPr>
            <w:r>
              <w:t>2023</w:t>
            </w:r>
          </w:p>
        </w:tc>
        <w:tc>
          <w:tcPr>
            <w:tcW w:w="1417" w:type="dxa"/>
            <w:vMerge/>
          </w:tcPr>
          <w:p w14:paraId="4ED49542" w14:textId="77777777" w:rsidR="00454A29" w:rsidRDefault="00454A29"/>
        </w:tc>
        <w:tc>
          <w:tcPr>
            <w:tcW w:w="2204" w:type="dxa"/>
            <w:vMerge/>
          </w:tcPr>
          <w:p w14:paraId="4C6ED201" w14:textId="77777777" w:rsidR="00454A29" w:rsidRDefault="00454A29"/>
        </w:tc>
        <w:tc>
          <w:tcPr>
            <w:tcW w:w="1417" w:type="dxa"/>
            <w:vMerge/>
          </w:tcPr>
          <w:p w14:paraId="527B3FB6" w14:textId="77777777" w:rsidR="00454A29" w:rsidRDefault="00454A29"/>
        </w:tc>
        <w:tc>
          <w:tcPr>
            <w:tcW w:w="2324" w:type="dxa"/>
            <w:vMerge/>
          </w:tcPr>
          <w:p w14:paraId="5D4810AB" w14:textId="77777777" w:rsidR="00454A29" w:rsidRDefault="00454A29"/>
        </w:tc>
        <w:tc>
          <w:tcPr>
            <w:tcW w:w="1701" w:type="dxa"/>
            <w:vAlign w:val="center"/>
          </w:tcPr>
          <w:p w14:paraId="30B44B03" w14:textId="77777777" w:rsidR="00454A29" w:rsidRDefault="00454A29">
            <w:pPr>
              <w:pStyle w:val="ConsPlusNormal"/>
            </w:pPr>
          </w:p>
        </w:tc>
        <w:tc>
          <w:tcPr>
            <w:tcW w:w="1814" w:type="dxa"/>
            <w:vAlign w:val="center"/>
          </w:tcPr>
          <w:p w14:paraId="0FAE723B" w14:textId="77777777" w:rsidR="00454A29" w:rsidRDefault="00454A29">
            <w:pPr>
              <w:pStyle w:val="ConsPlusNormal"/>
            </w:pPr>
          </w:p>
        </w:tc>
        <w:tc>
          <w:tcPr>
            <w:tcW w:w="1701" w:type="dxa"/>
            <w:vAlign w:val="center"/>
          </w:tcPr>
          <w:p w14:paraId="3261077E" w14:textId="77777777" w:rsidR="00454A29" w:rsidRDefault="00454A29">
            <w:pPr>
              <w:pStyle w:val="ConsPlusNormal"/>
            </w:pPr>
          </w:p>
        </w:tc>
        <w:tc>
          <w:tcPr>
            <w:tcW w:w="1701" w:type="dxa"/>
            <w:vAlign w:val="center"/>
          </w:tcPr>
          <w:p w14:paraId="4F69403E" w14:textId="77777777" w:rsidR="00454A29" w:rsidRDefault="00454A29">
            <w:pPr>
              <w:pStyle w:val="ConsPlusNormal"/>
            </w:pPr>
          </w:p>
        </w:tc>
        <w:tc>
          <w:tcPr>
            <w:tcW w:w="1814" w:type="dxa"/>
            <w:vAlign w:val="center"/>
          </w:tcPr>
          <w:p w14:paraId="13D271B4" w14:textId="77777777" w:rsidR="00454A29" w:rsidRDefault="00454A29">
            <w:pPr>
              <w:pStyle w:val="ConsPlusNormal"/>
            </w:pPr>
          </w:p>
        </w:tc>
      </w:tr>
      <w:tr w:rsidR="00454A29" w14:paraId="18A4F635" w14:textId="77777777">
        <w:tc>
          <w:tcPr>
            <w:tcW w:w="567" w:type="dxa"/>
            <w:vMerge/>
          </w:tcPr>
          <w:p w14:paraId="1976A36F" w14:textId="77777777" w:rsidR="00454A29" w:rsidRDefault="00454A29"/>
        </w:tc>
        <w:tc>
          <w:tcPr>
            <w:tcW w:w="3345" w:type="dxa"/>
            <w:vMerge/>
          </w:tcPr>
          <w:p w14:paraId="77689D82" w14:textId="77777777" w:rsidR="00454A29" w:rsidRDefault="00454A29"/>
        </w:tc>
        <w:tc>
          <w:tcPr>
            <w:tcW w:w="1701" w:type="dxa"/>
            <w:vAlign w:val="center"/>
          </w:tcPr>
          <w:p w14:paraId="036F694F" w14:textId="77777777" w:rsidR="00454A29" w:rsidRDefault="00454A29">
            <w:pPr>
              <w:pStyle w:val="ConsPlusNormal"/>
              <w:jc w:val="center"/>
            </w:pPr>
            <w:r>
              <w:t>2024</w:t>
            </w:r>
          </w:p>
        </w:tc>
        <w:tc>
          <w:tcPr>
            <w:tcW w:w="1417" w:type="dxa"/>
            <w:vMerge/>
          </w:tcPr>
          <w:p w14:paraId="6427B086" w14:textId="77777777" w:rsidR="00454A29" w:rsidRDefault="00454A29"/>
        </w:tc>
        <w:tc>
          <w:tcPr>
            <w:tcW w:w="2204" w:type="dxa"/>
            <w:vMerge/>
          </w:tcPr>
          <w:p w14:paraId="61ABE0B1" w14:textId="77777777" w:rsidR="00454A29" w:rsidRDefault="00454A29"/>
        </w:tc>
        <w:tc>
          <w:tcPr>
            <w:tcW w:w="1417" w:type="dxa"/>
            <w:vMerge/>
          </w:tcPr>
          <w:p w14:paraId="19D7C23E" w14:textId="77777777" w:rsidR="00454A29" w:rsidRDefault="00454A29"/>
        </w:tc>
        <w:tc>
          <w:tcPr>
            <w:tcW w:w="2324" w:type="dxa"/>
            <w:vMerge/>
          </w:tcPr>
          <w:p w14:paraId="05437322" w14:textId="77777777" w:rsidR="00454A29" w:rsidRDefault="00454A29"/>
        </w:tc>
        <w:tc>
          <w:tcPr>
            <w:tcW w:w="1701" w:type="dxa"/>
            <w:vAlign w:val="center"/>
          </w:tcPr>
          <w:p w14:paraId="07A49215" w14:textId="77777777" w:rsidR="00454A29" w:rsidRDefault="00454A29">
            <w:pPr>
              <w:pStyle w:val="ConsPlusNormal"/>
            </w:pPr>
          </w:p>
        </w:tc>
        <w:tc>
          <w:tcPr>
            <w:tcW w:w="1814" w:type="dxa"/>
            <w:vAlign w:val="center"/>
          </w:tcPr>
          <w:p w14:paraId="4F84E1FB" w14:textId="77777777" w:rsidR="00454A29" w:rsidRDefault="00454A29">
            <w:pPr>
              <w:pStyle w:val="ConsPlusNormal"/>
            </w:pPr>
          </w:p>
        </w:tc>
        <w:tc>
          <w:tcPr>
            <w:tcW w:w="1701" w:type="dxa"/>
            <w:vAlign w:val="center"/>
          </w:tcPr>
          <w:p w14:paraId="37DE366C" w14:textId="77777777" w:rsidR="00454A29" w:rsidRDefault="00454A29">
            <w:pPr>
              <w:pStyle w:val="ConsPlusNormal"/>
            </w:pPr>
          </w:p>
        </w:tc>
        <w:tc>
          <w:tcPr>
            <w:tcW w:w="1701" w:type="dxa"/>
            <w:vAlign w:val="center"/>
          </w:tcPr>
          <w:p w14:paraId="62DA97B6" w14:textId="77777777" w:rsidR="00454A29" w:rsidRDefault="00454A29">
            <w:pPr>
              <w:pStyle w:val="ConsPlusNormal"/>
            </w:pPr>
          </w:p>
        </w:tc>
        <w:tc>
          <w:tcPr>
            <w:tcW w:w="1814" w:type="dxa"/>
            <w:vAlign w:val="center"/>
          </w:tcPr>
          <w:p w14:paraId="76FB1015" w14:textId="77777777" w:rsidR="00454A29" w:rsidRDefault="00454A29">
            <w:pPr>
              <w:pStyle w:val="ConsPlusNormal"/>
            </w:pPr>
          </w:p>
        </w:tc>
      </w:tr>
      <w:tr w:rsidR="00454A29" w14:paraId="5E381FD3" w14:textId="77777777">
        <w:tc>
          <w:tcPr>
            <w:tcW w:w="567" w:type="dxa"/>
            <w:vMerge/>
          </w:tcPr>
          <w:p w14:paraId="0B861D68" w14:textId="77777777" w:rsidR="00454A29" w:rsidRDefault="00454A29"/>
        </w:tc>
        <w:tc>
          <w:tcPr>
            <w:tcW w:w="3345" w:type="dxa"/>
            <w:vMerge/>
          </w:tcPr>
          <w:p w14:paraId="3322E391" w14:textId="77777777" w:rsidR="00454A29" w:rsidRDefault="00454A29"/>
        </w:tc>
        <w:tc>
          <w:tcPr>
            <w:tcW w:w="1701" w:type="dxa"/>
            <w:vAlign w:val="center"/>
          </w:tcPr>
          <w:p w14:paraId="5C8101C6" w14:textId="77777777" w:rsidR="00454A29" w:rsidRDefault="00454A29">
            <w:pPr>
              <w:pStyle w:val="ConsPlusNormal"/>
              <w:jc w:val="center"/>
            </w:pPr>
            <w:r>
              <w:t>2025</w:t>
            </w:r>
          </w:p>
        </w:tc>
        <w:tc>
          <w:tcPr>
            <w:tcW w:w="1417" w:type="dxa"/>
            <w:vMerge/>
          </w:tcPr>
          <w:p w14:paraId="5C2DE970" w14:textId="77777777" w:rsidR="00454A29" w:rsidRDefault="00454A29"/>
        </w:tc>
        <w:tc>
          <w:tcPr>
            <w:tcW w:w="2204" w:type="dxa"/>
            <w:vMerge/>
          </w:tcPr>
          <w:p w14:paraId="686145BA" w14:textId="77777777" w:rsidR="00454A29" w:rsidRDefault="00454A29"/>
        </w:tc>
        <w:tc>
          <w:tcPr>
            <w:tcW w:w="1417" w:type="dxa"/>
            <w:vMerge/>
          </w:tcPr>
          <w:p w14:paraId="76BCDAD1" w14:textId="77777777" w:rsidR="00454A29" w:rsidRDefault="00454A29"/>
        </w:tc>
        <w:tc>
          <w:tcPr>
            <w:tcW w:w="2324" w:type="dxa"/>
            <w:vMerge/>
          </w:tcPr>
          <w:p w14:paraId="4623737E" w14:textId="77777777" w:rsidR="00454A29" w:rsidRDefault="00454A29"/>
        </w:tc>
        <w:tc>
          <w:tcPr>
            <w:tcW w:w="1701" w:type="dxa"/>
            <w:vAlign w:val="center"/>
          </w:tcPr>
          <w:p w14:paraId="59129472" w14:textId="77777777" w:rsidR="00454A29" w:rsidRDefault="00454A29">
            <w:pPr>
              <w:pStyle w:val="ConsPlusNormal"/>
              <w:jc w:val="center"/>
            </w:pPr>
            <w:r>
              <w:t>367 824,52</w:t>
            </w:r>
          </w:p>
        </w:tc>
        <w:tc>
          <w:tcPr>
            <w:tcW w:w="1814" w:type="dxa"/>
            <w:vAlign w:val="center"/>
          </w:tcPr>
          <w:p w14:paraId="38D5B3EE" w14:textId="77777777" w:rsidR="00454A29" w:rsidRDefault="00454A29">
            <w:pPr>
              <w:pStyle w:val="ConsPlusNormal"/>
              <w:jc w:val="center"/>
            </w:pPr>
            <w:r>
              <w:t>4 652,98</w:t>
            </w:r>
          </w:p>
        </w:tc>
        <w:tc>
          <w:tcPr>
            <w:tcW w:w="1701" w:type="dxa"/>
            <w:vAlign w:val="center"/>
          </w:tcPr>
          <w:p w14:paraId="7964751E" w14:textId="77777777" w:rsidR="00454A29" w:rsidRDefault="00454A29">
            <w:pPr>
              <w:pStyle w:val="ConsPlusNormal"/>
              <w:jc w:val="center"/>
            </w:pPr>
            <w:r>
              <w:t>460 645,04</w:t>
            </w:r>
          </w:p>
        </w:tc>
        <w:tc>
          <w:tcPr>
            <w:tcW w:w="1701" w:type="dxa"/>
            <w:vAlign w:val="center"/>
          </w:tcPr>
          <w:p w14:paraId="1DEE00ED" w14:textId="77777777" w:rsidR="00454A29" w:rsidRDefault="00454A29">
            <w:pPr>
              <w:pStyle w:val="ConsPlusNormal"/>
            </w:pPr>
          </w:p>
        </w:tc>
        <w:tc>
          <w:tcPr>
            <w:tcW w:w="1814" w:type="dxa"/>
            <w:vAlign w:val="center"/>
          </w:tcPr>
          <w:p w14:paraId="4EA655D8" w14:textId="77777777" w:rsidR="00454A29" w:rsidRDefault="00454A29">
            <w:pPr>
              <w:pStyle w:val="ConsPlusNormal"/>
            </w:pPr>
          </w:p>
        </w:tc>
      </w:tr>
      <w:tr w:rsidR="00454A29" w14:paraId="6E8A510C" w14:textId="77777777">
        <w:tc>
          <w:tcPr>
            <w:tcW w:w="567" w:type="dxa"/>
            <w:vMerge/>
          </w:tcPr>
          <w:p w14:paraId="2A29D21F" w14:textId="77777777" w:rsidR="00454A29" w:rsidRDefault="00454A29"/>
        </w:tc>
        <w:tc>
          <w:tcPr>
            <w:tcW w:w="3345" w:type="dxa"/>
            <w:vMerge/>
          </w:tcPr>
          <w:p w14:paraId="216EBB64" w14:textId="77777777" w:rsidR="00454A29" w:rsidRDefault="00454A29"/>
        </w:tc>
        <w:tc>
          <w:tcPr>
            <w:tcW w:w="1701" w:type="dxa"/>
            <w:vAlign w:val="center"/>
          </w:tcPr>
          <w:p w14:paraId="3017B3C9" w14:textId="77777777" w:rsidR="00454A29" w:rsidRDefault="00454A29">
            <w:pPr>
              <w:pStyle w:val="ConsPlusNormal"/>
              <w:jc w:val="center"/>
            </w:pPr>
            <w:r>
              <w:t>2026</w:t>
            </w:r>
          </w:p>
        </w:tc>
        <w:tc>
          <w:tcPr>
            <w:tcW w:w="1417" w:type="dxa"/>
            <w:vMerge/>
          </w:tcPr>
          <w:p w14:paraId="1858F24D" w14:textId="77777777" w:rsidR="00454A29" w:rsidRDefault="00454A29"/>
        </w:tc>
        <w:tc>
          <w:tcPr>
            <w:tcW w:w="2204" w:type="dxa"/>
            <w:vMerge/>
          </w:tcPr>
          <w:p w14:paraId="27542401" w14:textId="77777777" w:rsidR="00454A29" w:rsidRDefault="00454A29"/>
        </w:tc>
        <w:tc>
          <w:tcPr>
            <w:tcW w:w="1417" w:type="dxa"/>
            <w:vMerge/>
          </w:tcPr>
          <w:p w14:paraId="61F5FE65" w14:textId="77777777" w:rsidR="00454A29" w:rsidRDefault="00454A29"/>
        </w:tc>
        <w:tc>
          <w:tcPr>
            <w:tcW w:w="2324" w:type="dxa"/>
            <w:vMerge/>
          </w:tcPr>
          <w:p w14:paraId="352D6633" w14:textId="77777777" w:rsidR="00454A29" w:rsidRDefault="00454A29"/>
        </w:tc>
        <w:tc>
          <w:tcPr>
            <w:tcW w:w="1701" w:type="dxa"/>
            <w:vAlign w:val="center"/>
          </w:tcPr>
          <w:p w14:paraId="29B66F85" w14:textId="77777777" w:rsidR="00454A29" w:rsidRDefault="00454A29">
            <w:pPr>
              <w:pStyle w:val="ConsPlusNormal"/>
              <w:jc w:val="center"/>
            </w:pPr>
            <w:r>
              <w:t>-</w:t>
            </w:r>
          </w:p>
        </w:tc>
        <w:tc>
          <w:tcPr>
            <w:tcW w:w="1814" w:type="dxa"/>
            <w:vAlign w:val="center"/>
          </w:tcPr>
          <w:p w14:paraId="56E1159C" w14:textId="77777777" w:rsidR="00454A29" w:rsidRDefault="00454A29">
            <w:pPr>
              <w:pStyle w:val="ConsPlusNormal"/>
            </w:pPr>
          </w:p>
        </w:tc>
        <w:tc>
          <w:tcPr>
            <w:tcW w:w="1701" w:type="dxa"/>
            <w:vAlign w:val="center"/>
          </w:tcPr>
          <w:p w14:paraId="1406E8C7" w14:textId="77777777" w:rsidR="00454A29" w:rsidRDefault="00454A29">
            <w:pPr>
              <w:pStyle w:val="ConsPlusNormal"/>
            </w:pPr>
          </w:p>
        </w:tc>
        <w:tc>
          <w:tcPr>
            <w:tcW w:w="1701" w:type="dxa"/>
            <w:vAlign w:val="center"/>
          </w:tcPr>
          <w:p w14:paraId="681CCB5E" w14:textId="77777777" w:rsidR="00454A29" w:rsidRDefault="00454A29">
            <w:pPr>
              <w:pStyle w:val="ConsPlusNormal"/>
            </w:pPr>
          </w:p>
        </w:tc>
        <w:tc>
          <w:tcPr>
            <w:tcW w:w="1814" w:type="dxa"/>
            <w:vAlign w:val="center"/>
          </w:tcPr>
          <w:p w14:paraId="33B2D461" w14:textId="77777777" w:rsidR="00454A29" w:rsidRDefault="00454A29">
            <w:pPr>
              <w:pStyle w:val="ConsPlusNormal"/>
            </w:pPr>
          </w:p>
        </w:tc>
      </w:tr>
      <w:tr w:rsidR="00454A29" w14:paraId="5BFD3529" w14:textId="77777777">
        <w:tc>
          <w:tcPr>
            <w:tcW w:w="567" w:type="dxa"/>
            <w:vMerge w:val="restart"/>
            <w:vAlign w:val="center"/>
          </w:tcPr>
          <w:p w14:paraId="4B5421F5" w14:textId="77777777" w:rsidR="00454A29" w:rsidRDefault="00454A29">
            <w:pPr>
              <w:pStyle w:val="ConsPlusNormal"/>
              <w:jc w:val="center"/>
            </w:pPr>
            <w:r>
              <w:t>169</w:t>
            </w:r>
          </w:p>
        </w:tc>
        <w:tc>
          <w:tcPr>
            <w:tcW w:w="3345" w:type="dxa"/>
            <w:vMerge w:val="restart"/>
            <w:vAlign w:val="center"/>
          </w:tcPr>
          <w:p w14:paraId="75A7A3B8" w14:textId="77777777" w:rsidR="00454A29" w:rsidRDefault="00454A29">
            <w:pPr>
              <w:pStyle w:val="ConsPlusNormal"/>
              <w:jc w:val="center"/>
            </w:pPr>
            <w:r>
              <w:t>Пристрой на 120 мест к Хатасской СОШ в с. Хатассы ГО "город Якутск"</w:t>
            </w:r>
          </w:p>
        </w:tc>
        <w:tc>
          <w:tcPr>
            <w:tcW w:w="1701" w:type="dxa"/>
            <w:vAlign w:val="center"/>
          </w:tcPr>
          <w:p w14:paraId="3B40C361" w14:textId="77777777" w:rsidR="00454A29" w:rsidRDefault="00454A29">
            <w:pPr>
              <w:pStyle w:val="ConsPlusNormal"/>
              <w:jc w:val="center"/>
            </w:pPr>
            <w:r>
              <w:t>2020 - 2026 годы - всего</w:t>
            </w:r>
          </w:p>
        </w:tc>
        <w:tc>
          <w:tcPr>
            <w:tcW w:w="1417" w:type="dxa"/>
            <w:vMerge w:val="restart"/>
            <w:vAlign w:val="center"/>
          </w:tcPr>
          <w:p w14:paraId="3E942BB1" w14:textId="77777777" w:rsidR="00454A29" w:rsidRDefault="00454A29">
            <w:pPr>
              <w:pStyle w:val="ConsPlusNormal"/>
              <w:jc w:val="center"/>
            </w:pPr>
            <w:r>
              <w:t>420 044,60</w:t>
            </w:r>
          </w:p>
        </w:tc>
        <w:tc>
          <w:tcPr>
            <w:tcW w:w="2204" w:type="dxa"/>
            <w:vMerge w:val="restart"/>
            <w:vAlign w:val="center"/>
          </w:tcPr>
          <w:p w14:paraId="555CFBC4" w14:textId="77777777" w:rsidR="00454A29" w:rsidRDefault="00454A29">
            <w:pPr>
              <w:pStyle w:val="ConsPlusNormal"/>
            </w:pPr>
          </w:p>
        </w:tc>
        <w:tc>
          <w:tcPr>
            <w:tcW w:w="1417" w:type="dxa"/>
            <w:vMerge w:val="restart"/>
            <w:vAlign w:val="center"/>
          </w:tcPr>
          <w:p w14:paraId="6B337F91" w14:textId="77777777" w:rsidR="00454A29" w:rsidRDefault="00454A29">
            <w:pPr>
              <w:pStyle w:val="ConsPlusNormal"/>
              <w:jc w:val="center"/>
            </w:pPr>
            <w:r>
              <w:t>120</w:t>
            </w:r>
          </w:p>
        </w:tc>
        <w:tc>
          <w:tcPr>
            <w:tcW w:w="2324" w:type="dxa"/>
            <w:vMerge w:val="restart"/>
            <w:vAlign w:val="center"/>
          </w:tcPr>
          <w:p w14:paraId="31B1D71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E943E2F" w14:textId="77777777" w:rsidR="00454A29" w:rsidRDefault="00454A29">
            <w:pPr>
              <w:pStyle w:val="ConsPlusNormal"/>
              <w:jc w:val="center"/>
            </w:pPr>
            <w:r>
              <w:t>420 044,60</w:t>
            </w:r>
          </w:p>
        </w:tc>
        <w:tc>
          <w:tcPr>
            <w:tcW w:w="1814" w:type="dxa"/>
            <w:vAlign w:val="center"/>
          </w:tcPr>
          <w:p w14:paraId="68223B7B" w14:textId="77777777" w:rsidR="00454A29" w:rsidRDefault="00454A29">
            <w:pPr>
              <w:pStyle w:val="ConsPlusNormal"/>
              <w:jc w:val="center"/>
            </w:pPr>
            <w:r>
              <w:t>5 313,56</w:t>
            </w:r>
          </w:p>
        </w:tc>
        <w:tc>
          <w:tcPr>
            <w:tcW w:w="1701" w:type="dxa"/>
            <w:vAlign w:val="center"/>
          </w:tcPr>
          <w:p w14:paraId="0450D68C" w14:textId="77777777" w:rsidR="00454A29" w:rsidRDefault="00454A29">
            <w:pPr>
              <w:pStyle w:val="ConsPlusNormal"/>
              <w:jc w:val="center"/>
            </w:pPr>
            <w:r>
              <w:t>526 042,86</w:t>
            </w:r>
          </w:p>
        </w:tc>
        <w:tc>
          <w:tcPr>
            <w:tcW w:w="1701" w:type="dxa"/>
            <w:vAlign w:val="center"/>
          </w:tcPr>
          <w:p w14:paraId="2C436BD0" w14:textId="77777777" w:rsidR="00454A29" w:rsidRDefault="00454A29">
            <w:pPr>
              <w:pStyle w:val="ConsPlusNormal"/>
              <w:jc w:val="center"/>
            </w:pPr>
            <w:r>
              <w:t>-</w:t>
            </w:r>
          </w:p>
        </w:tc>
        <w:tc>
          <w:tcPr>
            <w:tcW w:w="1814" w:type="dxa"/>
            <w:vAlign w:val="center"/>
          </w:tcPr>
          <w:p w14:paraId="318BD1D2" w14:textId="77777777" w:rsidR="00454A29" w:rsidRDefault="00454A29">
            <w:pPr>
              <w:pStyle w:val="ConsPlusNormal"/>
              <w:jc w:val="center"/>
            </w:pPr>
            <w:r>
              <w:t>-</w:t>
            </w:r>
          </w:p>
        </w:tc>
      </w:tr>
      <w:tr w:rsidR="00454A29" w14:paraId="5EDBAABE" w14:textId="77777777">
        <w:tc>
          <w:tcPr>
            <w:tcW w:w="567" w:type="dxa"/>
            <w:vMerge/>
          </w:tcPr>
          <w:p w14:paraId="1BED57DD" w14:textId="77777777" w:rsidR="00454A29" w:rsidRDefault="00454A29"/>
        </w:tc>
        <w:tc>
          <w:tcPr>
            <w:tcW w:w="3345" w:type="dxa"/>
            <w:vMerge/>
          </w:tcPr>
          <w:p w14:paraId="7B507753" w14:textId="77777777" w:rsidR="00454A29" w:rsidRDefault="00454A29"/>
        </w:tc>
        <w:tc>
          <w:tcPr>
            <w:tcW w:w="1701" w:type="dxa"/>
            <w:vAlign w:val="center"/>
          </w:tcPr>
          <w:p w14:paraId="58FE9447" w14:textId="77777777" w:rsidR="00454A29" w:rsidRDefault="00454A29">
            <w:pPr>
              <w:pStyle w:val="ConsPlusNormal"/>
              <w:jc w:val="center"/>
            </w:pPr>
            <w:r>
              <w:t>2020</w:t>
            </w:r>
          </w:p>
        </w:tc>
        <w:tc>
          <w:tcPr>
            <w:tcW w:w="1417" w:type="dxa"/>
            <w:vMerge/>
          </w:tcPr>
          <w:p w14:paraId="398B3BA3" w14:textId="77777777" w:rsidR="00454A29" w:rsidRDefault="00454A29"/>
        </w:tc>
        <w:tc>
          <w:tcPr>
            <w:tcW w:w="2204" w:type="dxa"/>
            <w:vMerge/>
          </w:tcPr>
          <w:p w14:paraId="2D7BBFDF" w14:textId="77777777" w:rsidR="00454A29" w:rsidRDefault="00454A29"/>
        </w:tc>
        <w:tc>
          <w:tcPr>
            <w:tcW w:w="1417" w:type="dxa"/>
            <w:vMerge/>
          </w:tcPr>
          <w:p w14:paraId="7F7C97D0" w14:textId="77777777" w:rsidR="00454A29" w:rsidRDefault="00454A29"/>
        </w:tc>
        <w:tc>
          <w:tcPr>
            <w:tcW w:w="2324" w:type="dxa"/>
            <w:vMerge/>
          </w:tcPr>
          <w:p w14:paraId="69D9038A" w14:textId="77777777" w:rsidR="00454A29" w:rsidRDefault="00454A29"/>
        </w:tc>
        <w:tc>
          <w:tcPr>
            <w:tcW w:w="1701" w:type="dxa"/>
            <w:vAlign w:val="center"/>
          </w:tcPr>
          <w:p w14:paraId="4569C470" w14:textId="77777777" w:rsidR="00454A29" w:rsidRDefault="00454A29">
            <w:pPr>
              <w:pStyle w:val="ConsPlusNormal"/>
            </w:pPr>
          </w:p>
        </w:tc>
        <w:tc>
          <w:tcPr>
            <w:tcW w:w="1814" w:type="dxa"/>
            <w:vAlign w:val="center"/>
          </w:tcPr>
          <w:p w14:paraId="05A1C778" w14:textId="77777777" w:rsidR="00454A29" w:rsidRDefault="00454A29">
            <w:pPr>
              <w:pStyle w:val="ConsPlusNormal"/>
            </w:pPr>
          </w:p>
        </w:tc>
        <w:tc>
          <w:tcPr>
            <w:tcW w:w="1701" w:type="dxa"/>
            <w:vAlign w:val="center"/>
          </w:tcPr>
          <w:p w14:paraId="2A6E04B6" w14:textId="77777777" w:rsidR="00454A29" w:rsidRDefault="00454A29">
            <w:pPr>
              <w:pStyle w:val="ConsPlusNormal"/>
            </w:pPr>
          </w:p>
        </w:tc>
        <w:tc>
          <w:tcPr>
            <w:tcW w:w="1701" w:type="dxa"/>
            <w:vAlign w:val="center"/>
          </w:tcPr>
          <w:p w14:paraId="59B783D8" w14:textId="77777777" w:rsidR="00454A29" w:rsidRDefault="00454A29">
            <w:pPr>
              <w:pStyle w:val="ConsPlusNormal"/>
            </w:pPr>
          </w:p>
        </w:tc>
        <w:tc>
          <w:tcPr>
            <w:tcW w:w="1814" w:type="dxa"/>
            <w:vAlign w:val="center"/>
          </w:tcPr>
          <w:p w14:paraId="7049EB7A" w14:textId="77777777" w:rsidR="00454A29" w:rsidRDefault="00454A29">
            <w:pPr>
              <w:pStyle w:val="ConsPlusNormal"/>
            </w:pPr>
          </w:p>
        </w:tc>
      </w:tr>
      <w:tr w:rsidR="00454A29" w14:paraId="692B3A3E" w14:textId="77777777">
        <w:tc>
          <w:tcPr>
            <w:tcW w:w="567" w:type="dxa"/>
            <w:vMerge/>
          </w:tcPr>
          <w:p w14:paraId="2C322BF1" w14:textId="77777777" w:rsidR="00454A29" w:rsidRDefault="00454A29"/>
        </w:tc>
        <w:tc>
          <w:tcPr>
            <w:tcW w:w="3345" w:type="dxa"/>
            <w:vMerge/>
          </w:tcPr>
          <w:p w14:paraId="1BCC8C21" w14:textId="77777777" w:rsidR="00454A29" w:rsidRDefault="00454A29"/>
        </w:tc>
        <w:tc>
          <w:tcPr>
            <w:tcW w:w="1701" w:type="dxa"/>
            <w:vAlign w:val="center"/>
          </w:tcPr>
          <w:p w14:paraId="11287DB9" w14:textId="77777777" w:rsidR="00454A29" w:rsidRDefault="00454A29">
            <w:pPr>
              <w:pStyle w:val="ConsPlusNormal"/>
              <w:jc w:val="center"/>
            </w:pPr>
            <w:r>
              <w:t>2021</w:t>
            </w:r>
          </w:p>
        </w:tc>
        <w:tc>
          <w:tcPr>
            <w:tcW w:w="1417" w:type="dxa"/>
            <w:vMerge/>
          </w:tcPr>
          <w:p w14:paraId="596BCA5E" w14:textId="77777777" w:rsidR="00454A29" w:rsidRDefault="00454A29"/>
        </w:tc>
        <w:tc>
          <w:tcPr>
            <w:tcW w:w="2204" w:type="dxa"/>
            <w:vMerge/>
          </w:tcPr>
          <w:p w14:paraId="173F5FC7" w14:textId="77777777" w:rsidR="00454A29" w:rsidRDefault="00454A29"/>
        </w:tc>
        <w:tc>
          <w:tcPr>
            <w:tcW w:w="1417" w:type="dxa"/>
            <w:vMerge/>
          </w:tcPr>
          <w:p w14:paraId="754A10C8" w14:textId="77777777" w:rsidR="00454A29" w:rsidRDefault="00454A29"/>
        </w:tc>
        <w:tc>
          <w:tcPr>
            <w:tcW w:w="2324" w:type="dxa"/>
            <w:vMerge/>
          </w:tcPr>
          <w:p w14:paraId="3572D167" w14:textId="77777777" w:rsidR="00454A29" w:rsidRDefault="00454A29"/>
        </w:tc>
        <w:tc>
          <w:tcPr>
            <w:tcW w:w="1701" w:type="dxa"/>
            <w:vAlign w:val="center"/>
          </w:tcPr>
          <w:p w14:paraId="10D822EE" w14:textId="77777777" w:rsidR="00454A29" w:rsidRDefault="00454A29">
            <w:pPr>
              <w:pStyle w:val="ConsPlusNormal"/>
              <w:jc w:val="center"/>
            </w:pPr>
            <w:r>
              <w:t>-</w:t>
            </w:r>
          </w:p>
        </w:tc>
        <w:tc>
          <w:tcPr>
            <w:tcW w:w="1814" w:type="dxa"/>
            <w:vAlign w:val="center"/>
          </w:tcPr>
          <w:p w14:paraId="4EC0B504" w14:textId="77777777" w:rsidR="00454A29" w:rsidRDefault="00454A29">
            <w:pPr>
              <w:pStyle w:val="ConsPlusNormal"/>
              <w:jc w:val="center"/>
            </w:pPr>
            <w:r>
              <w:t>-</w:t>
            </w:r>
          </w:p>
        </w:tc>
        <w:tc>
          <w:tcPr>
            <w:tcW w:w="1701" w:type="dxa"/>
            <w:vAlign w:val="center"/>
          </w:tcPr>
          <w:p w14:paraId="51ED28E7" w14:textId="77777777" w:rsidR="00454A29" w:rsidRDefault="00454A29">
            <w:pPr>
              <w:pStyle w:val="ConsPlusNormal"/>
              <w:jc w:val="center"/>
            </w:pPr>
            <w:r>
              <w:t>-</w:t>
            </w:r>
          </w:p>
        </w:tc>
        <w:tc>
          <w:tcPr>
            <w:tcW w:w="1701" w:type="dxa"/>
            <w:vAlign w:val="center"/>
          </w:tcPr>
          <w:p w14:paraId="12470694" w14:textId="77777777" w:rsidR="00454A29" w:rsidRDefault="00454A29">
            <w:pPr>
              <w:pStyle w:val="ConsPlusNormal"/>
            </w:pPr>
          </w:p>
        </w:tc>
        <w:tc>
          <w:tcPr>
            <w:tcW w:w="1814" w:type="dxa"/>
            <w:vAlign w:val="center"/>
          </w:tcPr>
          <w:p w14:paraId="49D41B61" w14:textId="77777777" w:rsidR="00454A29" w:rsidRDefault="00454A29">
            <w:pPr>
              <w:pStyle w:val="ConsPlusNormal"/>
            </w:pPr>
          </w:p>
        </w:tc>
      </w:tr>
      <w:tr w:rsidR="00454A29" w14:paraId="65071081" w14:textId="77777777">
        <w:tc>
          <w:tcPr>
            <w:tcW w:w="567" w:type="dxa"/>
            <w:vMerge/>
          </w:tcPr>
          <w:p w14:paraId="3A664CD7" w14:textId="77777777" w:rsidR="00454A29" w:rsidRDefault="00454A29"/>
        </w:tc>
        <w:tc>
          <w:tcPr>
            <w:tcW w:w="3345" w:type="dxa"/>
            <w:vMerge/>
          </w:tcPr>
          <w:p w14:paraId="019EB8AA" w14:textId="77777777" w:rsidR="00454A29" w:rsidRDefault="00454A29"/>
        </w:tc>
        <w:tc>
          <w:tcPr>
            <w:tcW w:w="1701" w:type="dxa"/>
            <w:vAlign w:val="center"/>
          </w:tcPr>
          <w:p w14:paraId="411EFC18" w14:textId="77777777" w:rsidR="00454A29" w:rsidRDefault="00454A29">
            <w:pPr>
              <w:pStyle w:val="ConsPlusNormal"/>
              <w:jc w:val="center"/>
            </w:pPr>
            <w:r>
              <w:t>2022</w:t>
            </w:r>
          </w:p>
        </w:tc>
        <w:tc>
          <w:tcPr>
            <w:tcW w:w="1417" w:type="dxa"/>
            <w:vMerge/>
          </w:tcPr>
          <w:p w14:paraId="5CB9F03F" w14:textId="77777777" w:rsidR="00454A29" w:rsidRDefault="00454A29"/>
        </w:tc>
        <w:tc>
          <w:tcPr>
            <w:tcW w:w="2204" w:type="dxa"/>
            <w:vMerge/>
          </w:tcPr>
          <w:p w14:paraId="644289C9" w14:textId="77777777" w:rsidR="00454A29" w:rsidRDefault="00454A29"/>
        </w:tc>
        <w:tc>
          <w:tcPr>
            <w:tcW w:w="1417" w:type="dxa"/>
            <w:vMerge/>
          </w:tcPr>
          <w:p w14:paraId="67ACC93F" w14:textId="77777777" w:rsidR="00454A29" w:rsidRDefault="00454A29"/>
        </w:tc>
        <w:tc>
          <w:tcPr>
            <w:tcW w:w="2324" w:type="dxa"/>
            <w:vMerge/>
          </w:tcPr>
          <w:p w14:paraId="6AB15EEF" w14:textId="77777777" w:rsidR="00454A29" w:rsidRDefault="00454A29"/>
        </w:tc>
        <w:tc>
          <w:tcPr>
            <w:tcW w:w="1701" w:type="dxa"/>
            <w:vAlign w:val="center"/>
          </w:tcPr>
          <w:p w14:paraId="3193E9FD" w14:textId="77777777" w:rsidR="00454A29" w:rsidRDefault="00454A29">
            <w:pPr>
              <w:pStyle w:val="ConsPlusNormal"/>
            </w:pPr>
          </w:p>
        </w:tc>
        <w:tc>
          <w:tcPr>
            <w:tcW w:w="1814" w:type="dxa"/>
            <w:vAlign w:val="center"/>
          </w:tcPr>
          <w:p w14:paraId="12846FB8" w14:textId="77777777" w:rsidR="00454A29" w:rsidRDefault="00454A29">
            <w:pPr>
              <w:pStyle w:val="ConsPlusNormal"/>
            </w:pPr>
          </w:p>
        </w:tc>
        <w:tc>
          <w:tcPr>
            <w:tcW w:w="1701" w:type="dxa"/>
            <w:vAlign w:val="center"/>
          </w:tcPr>
          <w:p w14:paraId="7DBEB364" w14:textId="77777777" w:rsidR="00454A29" w:rsidRDefault="00454A29">
            <w:pPr>
              <w:pStyle w:val="ConsPlusNormal"/>
            </w:pPr>
          </w:p>
        </w:tc>
        <w:tc>
          <w:tcPr>
            <w:tcW w:w="1701" w:type="dxa"/>
            <w:vAlign w:val="center"/>
          </w:tcPr>
          <w:p w14:paraId="17F50375" w14:textId="77777777" w:rsidR="00454A29" w:rsidRDefault="00454A29">
            <w:pPr>
              <w:pStyle w:val="ConsPlusNormal"/>
            </w:pPr>
          </w:p>
        </w:tc>
        <w:tc>
          <w:tcPr>
            <w:tcW w:w="1814" w:type="dxa"/>
            <w:vAlign w:val="center"/>
          </w:tcPr>
          <w:p w14:paraId="2D926A5C" w14:textId="77777777" w:rsidR="00454A29" w:rsidRDefault="00454A29">
            <w:pPr>
              <w:pStyle w:val="ConsPlusNormal"/>
            </w:pPr>
          </w:p>
        </w:tc>
      </w:tr>
      <w:tr w:rsidR="00454A29" w14:paraId="226AD4D8" w14:textId="77777777">
        <w:tc>
          <w:tcPr>
            <w:tcW w:w="567" w:type="dxa"/>
            <w:vMerge/>
          </w:tcPr>
          <w:p w14:paraId="5B1110D5" w14:textId="77777777" w:rsidR="00454A29" w:rsidRDefault="00454A29"/>
        </w:tc>
        <w:tc>
          <w:tcPr>
            <w:tcW w:w="3345" w:type="dxa"/>
            <w:vMerge/>
          </w:tcPr>
          <w:p w14:paraId="38BFB1C4" w14:textId="77777777" w:rsidR="00454A29" w:rsidRDefault="00454A29"/>
        </w:tc>
        <w:tc>
          <w:tcPr>
            <w:tcW w:w="1701" w:type="dxa"/>
            <w:vAlign w:val="center"/>
          </w:tcPr>
          <w:p w14:paraId="2D1385BE" w14:textId="77777777" w:rsidR="00454A29" w:rsidRDefault="00454A29">
            <w:pPr>
              <w:pStyle w:val="ConsPlusNormal"/>
              <w:jc w:val="center"/>
            </w:pPr>
            <w:r>
              <w:t>2023</w:t>
            </w:r>
          </w:p>
        </w:tc>
        <w:tc>
          <w:tcPr>
            <w:tcW w:w="1417" w:type="dxa"/>
            <w:vMerge/>
          </w:tcPr>
          <w:p w14:paraId="60FEA62F" w14:textId="77777777" w:rsidR="00454A29" w:rsidRDefault="00454A29"/>
        </w:tc>
        <w:tc>
          <w:tcPr>
            <w:tcW w:w="2204" w:type="dxa"/>
            <w:vMerge/>
          </w:tcPr>
          <w:p w14:paraId="243A42F3" w14:textId="77777777" w:rsidR="00454A29" w:rsidRDefault="00454A29"/>
        </w:tc>
        <w:tc>
          <w:tcPr>
            <w:tcW w:w="1417" w:type="dxa"/>
            <w:vMerge/>
          </w:tcPr>
          <w:p w14:paraId="6A273100" w14:textId="77777777" w:rsidR="00454A29" w:rsidRDefault="00454A29"/>
        </w:tc>
        <w:tc>
          <w:tcPr>
            <w:tcW w:w="2324" w:type="dxa"/>
            <w:vMerge/>
          </w:tcPr>
          <w:p w14:paraId="7C8FCD33" w14:textId="77777777" w:rsidR="00454A29" w:rsidRDefault="00454A29"/>
        </w:tc>
        <w:tc>
          <w:tcPr>
            <w:tcW w:w="1701" w:type="dxa"/>
            <w:vAlign w:val="center"/>
          </w:tcPr>
          <w:p w14:paraId="33C01590" w14:textId="77777777" w:rsidR="00454A29" w:rsidRDefault="00454A29">
            <w:pPr>
              <w:pStyle w:val="ConsPlusNormal"/>
            </w:pPr>
          </w:p>
        </w:tc>
        <w:tc>
          <w:tcPr>
            <w:tcW w:w="1814" w:type="dxa"/>
            <w:vAlign w:val="center"/>
          </w:tcPr>
          <w:p w14:paraId="6B080ED9" w14:textId="77777777" w:rsidR="00454A29" w:rsidRDefault="00454A29">
            <w:pPr>
              <w:pStyle w:val="ConsPlusNormal"/>
            </w:pPr>
          </w:p>
        </w:tc>
        <w:tc>
          <w:tcPr>
            <w:tcW w:w="1701" w:type="dxa"/>
            <w:vAlign w:val="center"/>
          </w:tcPr>
          <w:p w14:paraId="2F2E9D5C" w14:textId="77777777" w:rsidR="00454A29" w:rsidRDefault="00454A29">
            <w:pPr>
              <w:pStyle w:val="ConsPlusNormal"/>
            </w:pPr>
          </w:p>
        </w:tc>
        <w:tc>
          <w:tcPr>
            <w:tcW w:w="1701" w:type="dxa"/>
            <w:vAlign w:val="center"/>
          </w:tcPr>
          <w:p w14:paraId="2A579615" w14:textId="77777777" w:rsidR="00454A29" w:rsidRDefault="00454A29">
            <w:pPr>
              <w:pStyle w:val="ConsPlusNormal"/>
            </w:pPr>
          </w:p>
        </w:tc>
        <w:tc>
          <w:tcPr>
            <w:tcW w:w="1814" w:type="dxa"/>
            <w:vAlign w:val="center"/>
          </w:tcPr>
          <w:p w14:paraId="7D257E4A" w14:textId="77777777" w:rsidR="00454A29" w:rsidRDefault="00454A29">
            <w:pPr>
              <w:pStyle w:val="ConsPlusNormal"/>
            </w:pPr>
          </w:p>
        </w:tc>
      </w:tr>
      <w:tr w:rsidR="00454A29" w14:paraId="6D3238F8" w14:textId="77777777">
        <w:tc>
          <w:tcPr>
            <w:tcW w:w="567" w:type="dxa"/>
            <w:vMerge/>
          </w:tcPr>
          <w:p w14:paraId="777434F6" w14:textId="77777777" w:rsidR="00454A29" w:rsidRDefault="00454A29"/>
        </w:tc>
        <w:tc>
          <w:tcPr>
            <w:tcW w:w="3345" w:type="dxa"/>
            <w:vMerge/>
          </w:tcPr>
          <w:p w14:paraId="4020C10C" w14:textId="77777777" w:rsidR="00454A29" w:rsidRDefault="00454A29"/>
        </w:tc>
        <w:tc>
          <w:tcPr>
            <w:tcW w:w="1701" w:type="dxa"/>
            <w:vAlign w:val="center"/>
          </w:tcPr>
          <w:p w14:paraId="439AB09E" w14:textId="77777777" w:rsidR="00454A29" w:rsidRDefault="00454A29">
            <w:pPr>
              <w:pStyle w:val="ConsPlusNormal"/>
              <w:jc w:val="center"/>
            </w:pPr>
            <w:r>
              <w:t>2024</w:t>
            </w:r>
          </w:p>
        </w:tc>
        <w:tc>
          <w:tcPr>
            <w:tcW w:w="1417" w:type="dxa"/>
            <w:vMerge/>
          </w:tcPr>
          <w:p w14:paraId="20766D46" w14:textId="77777777" w:rsidR="00454A29" w:rsidRDefault="00454A29"/>
        </w:tc>
        <w:tc>
          <w:tcPr>
            <w:tcW w:w="2204" w:type="dxa"/>
            <w:vMerge/>
          </w:tcPr>
          <w:p w14:paraId="7A4AE207" w14:textId="77777777" w:rsidR="00454A29" w:rsidRDefault="00454A29"/>
        </w:tc>
        <w:tc>
          <w:tcPr>
            <w:tcW w:w="1417" w:type="dxa"/>
            <w:vMerge/>
          </w:tcPr>
          <w:p w14:paraId="25CE3150" w14:textId="77777777" w:rsidR="00454A29" w:rsidRDefault="00454A29"/>
        </w:tc>
        <w:tc>
          <w:tcPr>
            <w:tcW w:w="2324" w:type="dxa"/>
            <w:vMerge/>
          </w:tcPr>
          <w:p w14:paraId="72468CD2" w14:textId="77777777" w:rsidR="00454A29" w:rsidRDefault="00454A29"/>
        </w:tc>
        <w:tc>
          <w:tcPr>
            <w:tcW w:w="1701" w:type="dxa"/>
            <w:vAlign w:val="center"/>
          </w:tcPr>
          <w:p w14:paraId="17954E6D" w14:textId="77777777" w:rsidR="00454A29" w:rsidRDefault="00454A29">
            <w:pPr>
              <w:pStyle w:val="ConsPlusNormal"/>
            </w:pPr>
          </w:p>
        </w:tc>
        <w:tc>
          <w:tcPr>
            <w:tcW w:w="1814" w:type="dxa"/>
            <w:vAlign w:val="center"/>
          </w:tcPr>
          <w:p w14:paraId="55EE6212" w14:textId="77777777" w:rsidR="00454A29" w:rsidRDefault="00454A29">
            <w:pPr>
              <w:pStyle w:val="ConsPlusNormal"/>
            </w:pPr>
          </w:p>
        </w:tc>
        <w:tc>
          <w:tcPr>
            <w:tcW w:w="1701" w:type="dxa"/>
            <w:vAlign w:val="center"/>
          </w:tcPr>
          <w:p w14:paraId="35352867" w14:textId="77777777" w:rsidR="00454A29" w:rsidRDefault="00454A29">
            <w:pPr>
              <w:pStyle w:val="ConsPlusNormal"/>
            </w:pPr>
          </w:p>
        </w:tc>
        <w:tc>
          <w:tcPr>
            <w:tcW w:w="1701" w:type="dxa"/>
            <w:vAlign w:val="center"/>
          </w:tcPr>
          <w:p w14:paraId="535BC56B" w14:textId="77777777" w:rsidR="00454A29" w:rsidRDefault="00454A29">
            <w:pPr>
              <w:pStyle w:val="ConsPlusNormal"/>
            </w:pPr>
          </w:p>
        </w:tc>
        <w:tc>
          <w:tcPr>
            <w:tcW w:w="1814" w:type="dxa"/>
            <w:vAlign w:val="center"/>
          </w:tcPr>
          <w:p w14:paraId="02B17716" w14:textId="77777777" w:rsidR="00454A29" w:rsidRDefault="00454A29">
            <w:pPr>
              <w:pStyle w:val="ConsPlusNormal"/>
            </w:pPr>
          </w:p>
        </w:tc>
      </w:tr>
      <w:tr w:rsidR="00454A29" w14:paraId="0A19260F" w14:textId="77777777">
        <w:tc>
          <w:tcPr>
            <w:tcW w:w="567" w:type="dxa"/>
            <w:vMerge/>
          </w:tcPr>
          <w:p w14:paraId="3AC061DB" w14:textId="77777777" w:rsidR="00454A29" w:rsidRDefault="00454A29"/>
        </w:tc>
        <w:tc>
          <w:tcPr>
            <w:tcW w:w="3345" w:type="dxa"/>
            <w:vMerge/>
          </w:tcPr>
          <w:p w14:paraId="0176DE5D" w14:textId="77777777" w:rsidR="00454A29" w:rsidRDefault="00454A29"/>
        </w:tc>
        <w:tc>
          <w:tcPr>
            <w:tcW w:w="1701" w:type="dxa"/>
            <w:vAlign w:val="center"/>
          </w:tcPr>
          <w:p w14:paraId="483D340E" w14:textId="77777777" w:rsidR="00454A29" w:rsidRDefault="00454A29">
            <w:pPr>
              <w:pStyle w:val="ConsPlusNormal"/>
              <w:jc w:val="center"/>
            </w:pPr>
            <w:r>
              <w:t>2025</w:t>
            </w:r>
          </w:p>
        </w:tc>
        <w:tc>
          <w:tcPr>
            <w:tcW w:w="1417" w:type="dxa"/>
            <w:vMerge/>
          </w:tcPr>
          <w:p w14:paraId="6F02E59C" w14:textId="77777777" w:rsidR="00454A29" w:rsidRDefault="00454A29"/>
        </w:tc>
        <w:tc>
          <w:tcPr>
            <w:tcW w:w="2204" w:type="dxa"/>
            <w:vMerge/>
          </w:tcPr>
          <w:p w14:paraId="5D2F85E2" w14:textId="77777777" w:rsidR="00454A29" w:rsidRDefault="00454A29"/>
        </w:tc>
        <w:tc>
          <w:tcPr>
            <w:tcW w:w="1417" w:type="dxa"/>
            <w:vMerge/>
          </w:tcPr>
          <w:p w14:paraId="033024D1" w14:textId="77777777" w:rsidR="00454A29" w:rsidRDefault="00454A29"/>
        </w:tc>
        <w:tc>
          <w:tcPr>
            <w:tcW w:w="2324" w:type="dxa"/>
            <w:vMerge/>
          </w:tcPr>
          <w:p w14:paraId="6901271C" w14:textId="77777777" w:rsidR="00454A29" w:rsidRDefault="00454A29"/>
        </w:tc>
        <w:tc>
          <w:tcPr>
            <w:tcW w:w="1701" w:type="dxa"/>
            <w:vAlign w:val="center"/>
          </w:tcPr>
          <w:p w14:paraId="6C465E6C" w14:textId="77777777" w:rsidR="00454A29" w:rsidRDefault="00454A29">
            <w:pPr>
              <w:pStyle w:val="ConsPlusNormal"/>
              <w:jc w:val="center"/>
            </w:pPr>
            <w:r>
              <w:t>420 044,60</w:t>
            </w:r>
          </w:p>
        </w:tc>
        <w:tc>
          <w:tcPr>
            <w:tcW w:w="1814" w:type="dxa"/>
            <w:vAlign w:val="center"/>
          </w:tcPr>
          <w:p w14:paraId="62A152BD" w14:textId="77777777" w:rsidR="00454A29" w:rsidRDefault="00454A29">
            <w:pPr>
              <w:pStyle w:val="ConsPlusNormal"/>
              <w:jc w:val="center"/>
            </w:pPr>
            <w:r>
              <w:t>5 313,56</w:t>
            </w:r>
          </w:p>
        </w:tc>
        <w:tc>
          <w:tcPr>
            <w:tcW w:w="1701" w:type="dxa"/>
            <w:vAlign w:val="center"/>
          </w:tcPr>
          <w:p w14:paraId="61F00017" w14:textId="77777777" w:rsidR="00454A29" w:rsidRDefault="00454A29">
            <w:pPr>
              <w:pStyle w:val="ConsPlusNormal"/>
              <w:jc w:val="center"/>
            </w:pPr>
            <w:r>
              <w:t>526 042,86</w:t>
            </w:r>
          </w:p>
        </w:tc>
        <w:tc>
          <w:tcPr>
            <w:tcW w:w="1701" w:type="dxa"/>
            <w:vAlign w:val="center"/>
          </w:tcPr>
          <w:p w14:paraId="4F404D9E" w14:textId="77777777" w:rsidR="00454A29" w:rsidRDefault="00454A29">
            <w:pPr>
              <w:pStyle w:val="ConsPlusNormal"/>
            </w:pPr>
          </w:p>
        </w:tc>
        <w:tc>
          <w:tcPr>
            <w:tcW w:w="1814" w:type="dxa"/>
            <w:vAlign w:val="center"/>
          </w:tcPr>
          <w:p w14:paraId="70EE8960" w14:textId="77777777" w:rsidR="00454A29" w:rsidRDefault="00454A29">
            <w:pPr>
              <w:pStyle w:val="ConsPlusNormal"/>
            </w:pPr>
          </w:p>
        </w:tc>
      </w:tr>
      <w:tr w:rsidR="00454A29" w14:paraId="74D477D8" w14:textId="77777777">
        <w:tc>
          <w:tcPr>
            <w:tcW w:w="567" w:type="dxa"/>
            <w:vMerge/>
          </w:tcPr>
          <w:p w14:paraId="01D5BC6F" w14:textId="77777777" w:rsidR="00454A29" w:rsidRDefault="00454A29"/>
        </w:tc>
        <w:tc>
          <w:tcPr>
            <w:tcW w:w="3345" w:type="dxa"/>
            <w:vMerge/>
          </w:tcPr>
          <w:p w14:paraId="7FAA9D87" w14:textId="77777777" w:rsidR="00454A29" w:rsidRDefault="00454A29"/>
        </w:tc>
        <w:tc>
          <w:tcPr>
            <w:tcW w:w="1701" w:type="dxa"/>
            <w:vAlign w:val="center"/>
          </w:tcPr>
          <w:p w14:paraId="4F6A2E85" w14:textId="77777777" w:rsidR="00454A29" w:rsidRDefault="00454A29">
            <w:pPr>
              <w:pStyle w:val="ConsPlusNormal"/>
              <w:jc w:val="center"/>
            </w:pPr>
            <w:r>
              <w:t>2026</w:t>
            </w:r>
          </w:p>
        </w:tc>
        <w:tc>
          <w:tcPr>
            <w:tcW w:w="1417" w:type="dxa"/>
            <w:vMerge/>
          </w:tcPr>
          <w:p w14:paraId="37877311" w14:textId="77777777" w:rsidR="00454A29" w:rsidRDefault="00454A29"/>
        </w:tc>
        <w:tc>
          <w:tcPr>
            <w:tcW w:w="2204" w:type="dxa"/>
            <w:vMerge/>
          </w:tcPr>
          <w:p w14:paraId="62562957" w14:textId="77777777" w:rsidR="00454A29" w:rsidRDefault="00454A29"/>
        </w:tc>
        <w:tc>
          <w:tcPr>
            <w:tcW w:w="1417" w:type="dxa"/>
            <w:vMerge/>
          </w:tcPr>
          <w:p w14:paraId="1E7CEA77" w14:textId="77777777" w:rsidR="00454A29" w:rsidRDefault="00454A29"/>
        </w:tc>
        <w:tc>
          <w:tcPr>
            <w:tcW w:w="2324" w:type="dxa"/>
            <w:vMerge/>
          </w:tcPr>
          <w:p w14:paraId="393B945F" w14:textId="77777777" w:rsidR="00454A29" w:rsidRDefault="00454A29"/>
        </w:tc>
        <w:tc>
          <w:tcPr>
            <w:tcW w:w="1701" w:type="dxa"/>
            <w:vAlign w:val="center"/>
          </w:tcPr>
          <w:p w14:paraId="3DB7E2BE" w14:textId="77777777" w:rsidR="00454A29" w:rsidRDefault="00454A29">
            <w:pPr>
              <w:pStyle w:val="ConsPlusNormal"/>
            </w:pPr>
          </w:p>
        </w:tc>
        <w:tc>
          <w:tcPr>
            <w:tcW w:w="1814" w:type="dxa"/>
            <w:vAlign w:val="center"/>
          </w:tcPr>
          <w:p w14:paraId="528271E2" w14:textId="77777777" w:rsidR="00454A29" w:rsidRDefault="00454A29">
            <w:pPr>
              <w:pStyle w:val="ConsPlusNormal"/>
            </w:pPr>
          </w:p>
        </w:tc>
        <w:tc>
          <w:tcPr>
            <w:tcW w:w="1701" w:type="dxa"/>
            <w:vAlign w:val="center"/>
          </w:tcPr>
          <w:p w14:paraId="7157C34A" w14:textId="77777777" w:rsidR="00454A29" w:rsidRDefault="00454A29">
            <w:pPr>
              <w:pStyle w:val="ConsPlusNormal"/>
            </w:pPr>
          </w:p>
        </w:tc>
        <w:tc>
          <w:tcPr>
            <w:tcW w:w="1701" w:type="dxa"/>
            <w:vAlign w:val="center"/>
          </w:tcPr>
          <w:p w14:paraId="4EEBE611" w14:textId="77777777" w:rsidR="00454A29" w:rsidRDefault="00454A29">
            <w:pPr>
              <w:pStyle w:val="ConsPlusNormal"/>
            </w:pPr>
          </w:p>
        </w:tc>
        <w:tc>
          <w:tcPr>
            <w:tcW w:w="1814" w:type="dxa"/>
            <w:vAlign w:val="center"/>
          </w:tcPr>
          <w:p w14:paraId="4AE60180" w14:textId="77777777" w:rsidR="00454A29" w:rsidRDefault="00454A29">
            <w:pPr>
              <w:pStyle w:val="ConsPlusNormal"/>
            </w:pPr>
          </w:p>
        </w:tc>
      </w:tr>
      <w:tr w:rsidR="00454A29" w14:paraId="192ACE14" w14:textId="77777777">
        <w:tc>
          <w:tcPr>
            <w:tcW w:w="567" w:type="dxa"/>
            <w:vMerge w:val="restart"/>
            <w:vAlign w:val="center"/>
          </w:tcPr>
          <w:p w14:paraId="16068C56" w14:textId="77777777" w:rsidR="00454A29" w:rsidRDefault="00454A29">
            <w:pPr>
              <w:pStyle w:val="ConsPlusNormal"/>
              <w:jc w:val="center"/>
            </w:pPr>
            <w:r>
              <w:t>170</w:t>
            </w:r>
          </w:p>
        </w:tc>
        <w:tc>
          <w:tcPr>
            <w:tcW w:w="3345" w:type="dxa"/>
            <w:vMerge w:val="restart"/>
            <w:vAlign w:val="center"/>
          </w:tcPr>
          <w:p w14:paraId="14428441" w14:textId="77777777" w:rsidR="00454A29" w:rsidRDefault="00454A29">
            <w:pPr>
              <w:pStyle w:val="ConsPlusNormal"/>
              <w:jc w:val="center"/>
            </w:pPr>
            <w:r>
              <w:t>Школа на 550 учащихся в г. Якутске, ул. Чехова, квартал 103</w:t>
            </w:r>
          </w:p>
        </w:tc>
        <w:tc>
          <w:tcPr>
            <w:tcW w:w="1701" w:type="dxa"/>
            <w:vAlign w:val="center"/>
          </w:tcPr>
          <w:p w14:paraId="56D87041" w14:textId="77777777" w:rsidR="00454A29" w:rsidRDefault="00454A29">
            <w:pPr>
              <w:pStyle w:val="ConsPlusNormal"/>
              <w:jc w:val="center"/>
            </w:pPr>
            <w:r>
              <w:t>2020 - 2026 годы - всего</w:t>
            </w:r>
          </w:p>
        </w:tc>
        <w:tc>
          <w:tcPr>
            <w:tcW w:w="1417" w:type="dxa"/>
            <w:vMerge w:val="restart"/>
            <w:vAlign w:val="center"/>
          </w:tcPr>
          <w:p w14:paraId="485741C2" w14:textId="77777777" w:rsidR="00454A29" w:rsidRDefault="00454A29">
            <w:pPr>
              <w:pStyle w:val="ConsPlusNormal"/>
              <w:jc w:val="center"/>
            </w:pPr>
            <w:r>
              <w:t>913 743,00</w:t>
            </w:r>
          </w:p>
        </w:tc>
        <w:tc>
          <w:tcPr>
            <w:tcW w:w="2204" w:type="dxa"/>
            <w:vMerge w:val="restart"/>
            <w:vAlign w:val="center"/>
          </w:tcPr>
          <w:p w14:paraId="568288A4" w14:textId="77777777" w:rsidR="00454A29" w:rsidRDefault="00454A29">
            <w:pPr>
              <w:pStyle w:val="ConsPlusNormal"/>
            </w:pPr>
          </w:p>
        </w:tc>
        <w:tc>
          <w:tcPr>
            <w:tcW w:w="1417" w:type="dxa"/>
            <w:vMerge w:val="restart"/>
            <w:vAlign w:val="center"/>
          </w:tcPr>
          <w:p w14:paraId="68C0DB42" w14:textId="77777777" w:rsidR="00454A29" w:rsidRDefault="00454A29">
            <w:pPr>
              <w:pStyle w:val="ConsPlusNormal"/>
              <w:jc w:val="center"/>
            </w:pPr>
            <w:r>
              <w:t>550</w:t>
            </w:r>
          </w:p>
        </w:tc>
        <w:tc>
          <w:tcPr>
            <w:tcW w:w="2324" w:type="dxa"/>
            <w:vMerge w:val="restart"/>
            <w:vAlign w:val="center"/>
          </w:tcPr>
          <w:p w14:paraId="49A87175" w14:textId="77777777" w:rsidR="00454A29" w:rsidRDefault="00454A29">
            <w:pPr>
              <w:pStyle w:val="ConsPlusNormal"/>
              <w:jc w:val="center"/>
            </w:pPr>
            <w:r>
              <w:t xml:space="preserve">Минстрой РС(Я), ГКУ "Служба государственного </w:t>
            </w:r>
            <w:r>
              <w:lastRenderedPageBreak/>
              <w:t>заказчика Республики Саха (Якутия)"</w:t>
            </w:r>
          </w:p>
        </w:tc>
        <w:tc>
          <w:tcPr>
            <w:tcW w:w="1701" w:type="dxa"/>
            <w:vAlign w:val="center"/>
          </w:tcPr>
          <w:p w14:paraId="5E15605B" w14:textId="77777777" w:rsidR="00454A29" w:rsidRDefault="00454A29">
            <w:pPr>
              <w:pStyle w:val="ConsPlusNormal"/>
              <w:jc w:val="center"/>
            </w:pPr>
            <w:r>
              <w:lastRenderedPageBreak/>
              <w:t>913 743,00</w:t>
            </w:r>
          </w:p>
        </w:tc>
        <w:tc>
          <w:tcPr>
            <w:tcW w:w="1814" w:type="dxa"/>
            <w:vAlign w:val="center"/>
          </w:tcPr>
          <w:p w14:paraId="751E6E81" w14:textId="77777777" w:rsidR="00454A29" w:rsidRDefault="00454A29">
            <w:pPr>
              <w:pStyle w:val="ConsPlusNormal"/>
              <w:jc w:val="center"/>
            </w:pPr>
            <w:r>
              <w:t>11 257,31</w:t>
            </w:r>
          </w:p>
        </w:tc>
        <w:tc>
          <w:tcPr>
            <w:tcW w:w="1701" w:type="dxa"/>
            <w:vAlign w:val="center"/>
          </w:tcPr>
          <w:p w14:paraId="2B8236D6" w14:textId="77777777" w:rsidR="00454A29" w:rsidRDefault="00454A29">
            <w:pPr>
              <w:pStyle w:val="ConsPlusNormal"/>
              <w:jc w:val="center"/>
            </w:pPr>
            <w:r>
              <w:t>1 114 474,07</w:t>
            </w:r>
          </w:p>
        </w:tc>
        <w:tc>
          <w:tcPr>
            <w:tcW w:w="1701" w:type="dxa"/>
            <w:vAlign w:val="center"/>
          </w:tcPr>
          <w:p w14:paraId="3D7E7FD7" w14:textId="77777777" w:rsidR="00454A29" w:rsidRDefault="00454A29">
            <w:pPr>
              <w:pStyle w:val="ConsPlusNormal"/>
              <w:jc w:val="center"/>
            </w:pPr>
            <w:r>
              <w:t>-</w:t>
            </w:r>
          </w:p>
        </w:tc>
        <w:tc>
          <w:tcPr>
            <w:tcW w:w="1814" w:type="dxa"/>
            <w:vAlign w:val="center"/>
          </w:tcPr>
          <w:p w14:paraId="38FB3B9D" w14:textId="77777777" w:rsidR="00454A29" w:rsidRDefault="00454A29">
            <w:pPr>
              <w:pStyle w:val="ConsPlusNormal"/>
              <w:jc w:val="center"/>
            </w:pPr>
            <w:r>
              <w:t>-</w:t>
            </w:r>
          </w:p>
        </w:tc>
      </w:tr>
      <w:tr w:rsidR="00454A29" w14:paraId="4B2B2890" w14:textId="77777777">
        <w:tc>
          <w:tcPr>
            <w:tcW w:w="567" w:type="dxa"/>
            <w:vMerge/>
          </w:tcPr>
          <w:p w14:paraId="1A309927" w14:textId="77777777" w:rsidR="00454A29" w:rsidRDefault="00454A29"/>
        </w:tc>
        <w:tc>
          <w:tcPr>
            <w:tcW w:w="3345" w:type="dxa"/>
            <w:vMerge/>
          </w:tcPr>
          <w:p w14:paraId="5570365F" w14:textId="77777777" w:rsidR="00454A29" w:rsidRDefault="00454A29"/>
        </w:tc>
        <w:tc>
          <w:tcPr>
            <w:tcW w:w="1701" w:type="dxa"/>
            <w:vAlign w:val="center"/>
          </w:tcPr>
          <w:p w14:paraId="4CE2C61C" w14:textId="77777777" w:rsidR="00454A29" w:rsidRDefault="00454A29">
            <w:pPr>
              <w:pStyle w:val="ConsPlusNormal"/>
              <w:jc w:val="center"/>
            </w:pPr>
            <w:r>
              <w:t>2020</w:t>
            </w:r>
          </w:p>
        </w:tc>
        <w:tc>
          <w:tcPr>
            <w:tcW w:w="1417" w:type="dxa"/>
            <w:vMerge/>
          </w:tcPr>
          <w:p w14:paraId="32D6F3B8" w14:textId="77777777" w:rsidR="00454A29" w:rsidRDefault="00454A29"/>
        </w:tc>
        <w:tc>
          <w:tcPr>
            <w:tcW w:w="2204" w:type="dxa"/>
            <w:vMerge/>
          </w:tcPr>
          <w:p w14:paraId="7B50A19F" w14:textId="77777777" w:rsidR="00454A29" w:rsidRDefault="00454A29"/>
        </w:tc>
        <w:tc>
          <w:tcPr>
            <w:tcW w:w="1417" w:type="dxa"/>
            <w:vMerge/>
          </w:tcPr>
          <w:p w14:paraId="5F555169" w14:textId="77777777" w:rsidR="00454A29" w:rsidRDefault="00454A29"/>
        </w:tc>
        <w:tc>
          <w:tcPr>
            <w:tcW w:w="2324" w:type="dxa"/>
            <w:vMerge/>
          </w:tcPr>
          <w:p w14:paraId="672124B3" w14:textId="77777777" w:rsidR="00454A29" w:rsidRDefault="00454A29"/>
        </w:tc>
        <w:tc>
          <w:tcPr>
            <w:tcW w:w="1701" w:type="dxa"/>
            <w:vAlign w:val="center"/>
          </w:tcPr>
          <w:p w14:paraId="7D89D505" w14:textId="77777777" w:rsidR="00454A29" w:rsidRDefault="00454A29">
            <w:pPr>
              <w:pStyle w:val="ConsPlusNormal"/>
            </w:pPr>
          </w:p>
        </w:tc>
        <w:tc>
          <w:tcPr>
            <w:tcW w:w="1814" w:type="dxa"/>
            <w:vAlign w:val="center"/>
          </w:tcPr>
          <w:p w14:paraId="2BBE1388" w14:textId="77777777" w:rsidR="00454A29" w:rsidRDefault="00454A29">
            <w:pPr>
              <w:pStyle w:val="ConsPlusNormal"/>
            </w:pPr>
          </w:p>
        </w:tc>
        <w:tc>
          <w:tcPr>
            <w:tcW w:w="1701" w:type="dxa"/>
            <w:vAlign w:val="center"/>
          </w:tcPr>
          <w:p w14:paraId="360025D8" w14:textId="77777777" w:rsidR="00454A29" w:rsidRDefault="00454A29">
            <w:pPr>
              <w:pStyle w:val="ConsPlusNormal"/>
            </w:pPr>
          </w:p>
        </w:tc>
        <w:tc>
          <w:tcPr>
            <w:tcW w:w="1701" w:type="dxa"/>
            <w:vAlign w:val="center"/>
          </w:tcPr>
          <w:p w14:paraId="3EB8965A" w14:textId="77777777" w:rsidR="00454A29" w:rsidRDefault="00454A29">
            <w:pPr>
              <w:pStyle w:val="ConsPlusNormal"/>
            </w:pPr>
          </w:p>
        </w:tc>
        <w:tc>
          <w:tcPr>
            <w:tcW w:w="1814" w:type="dxa"/>
            <w:vAlign w:val="center"/>
          </w:tcPr>
          <w:p w14:paraId="4A6CCE17" w14:textId="77777777" w:rsidR="00454A29" w:rsidRDefault="00454A29">
            <w:pPr>
              <w:pStyle w:val="ConsPlusNormal"/>
            </w:pPr>
          </w:p>
        </w:tc>
      </w:tr>
      <w:tr w:rsidR="00454A29" w14:paraId="6AE7919B" w14:textId="77777777">
        <w:tc>
          <w:tcPr>
            <w:tcW w:w="567" w:type="dxa"/>
            <w:vMerge/>
          </w:tcPr>
          <w:p w14:paraId="51BFFED8" w14:textId="77777777" w:rsidR="00454A29" w:rsidRDefault="00454A29"/>
        </w:tc>
        <w:tc>
          <w:tcPr>
            <w:tcW w:w="3345" w:type="dxa"/>
            <w:vMerge/>
          </w:tcPr>
          <w:p w14:paraId="4DA078D6" w14:textId="77777777" w:rsidR="00454A29" w:rsidRDefault="00454A29"/>
        </w:tc>
        <w:tc>
          <w:tcPr>
            <w:tcW w:w="1701" w:type="dxa"/>
            <w:vAlign w:val="center"/>
          </w:tcPr>
          <w:p w14:paraId="204897D0" w14:textId="77777777" w:rsidR="00454A29" w:rsidRDefault="00454A29">
            <w:pPr>
              <w:pStyle w:val="ConsPlusNormal"/>
              <w:jc w:val="center"/>
            </w:pPr>
            <w:r>
              <w:t>2021</w:t>
            </w:r>
          </w:p>
        </w:tc>
        <w:tc>
          <w:tcPr>
            <w:tcW w:w="1417" w:type="dxa"/>
            <w:vMerge/>
          </w:tcPr>
          <w:p w14:paraId="1BF4D9E3" w14:textId="77777777" w:rsidR="00454A29" w:rsidRDefault="00454A29"/>
        </w:tc>
        <w:tc>
          <w:tcPr>
            <w:tcW w:w="2204" w:type="dxa"/>
            <w:vMerge/>
          </w:tcPr>
          <w:p w14:paraId="1B578C58" w14:textId="77777777" w:rsidR="00454A29" w:rsidRDefault="00454A29"/>
        </w:tc>
        <w:tc>
          <w:tcPr>
            <w:tcW w:w="1417" w:type="dxa"/>
            <w:vMerge/>
          </w:tcPr>
          <w:p w14:paraId="08AFCC43" w14:textId="77777777" w:rsidR="00454A29" w:rsidRDefault="00454A29"/>
        </w:tc>
        <w:tc>
          <w:tcPr>
            <w:tcW w:w="2324" w:type="dxa"/>
            <w:vMerge/>
          </w:tcPr>
          <w:p w14:paraId="5B3BD3F8" w14:textId="77777777" w:rsidR="00454A29" w:rsidRDefault="00454A29"/>
        </w:tc>
        <w:tc>
          <w:tcPr>
            <w:tcW w:w="1701" w:type="dxa"/>
            <w:vAlign w:val="center"/>
          </w:tcPr>
          <w:p w14:paraId="213FC2B0" w14:textId="77777777" w:rsidR="00454A29" w:rsidRDefault="00454A29">
            <w:pPr>
              <w:pStyle w:val="ConsPlusNormal"/>
              <w:jc w:val="center"/>
            </w:pPr>
            <w:r>
              <w:t>-</w:t>
            </w:r>
          </w:p>
        </w:tc>
        <w:tc>
          <w:tcPr>
            <w:tcW w:w="1814" w:type="dxa"/>
            <w:vAlign w:val="center"/>
          </w:tcPr>
          <w:p w14:paraId="261C9B80" w14:textId="77777777" w:rsidR="00454A29" w:rsidRDefault="00454A29">
            <w:pPr>
              <w:pStyle w:val="ConsPlusNormal"/>
            </w:pPr>
          </w:p>
        </w:tc>
        <w:tc>
          <w:tcPr>
            <w:tcW w:w="1701" w:type="dxa"/>
            <w:vAlign w:val="center"/>
          </w:tcPr>
          <w:p w14:paraId="328654DE" w14:textId="77777777" w:rsidR="00454A29" w:rsidRDefault="00454A29">
            <w:pPr>
              <w:pStyle w:val="ConsPlusNormal"/>
            </w:pPr>
          </w:p>
        </w:tc>
        <w:tc>
          <w:tcPr>
            <w:tcW w:w="1701" w:type="dxa"/>
            <w:vAlign w:val="center"/>
          </w:tcPr>
          <w:p w14:paraId="66729A8B" w14:textId="77777777" w:rsidR="00454A29" w:rsidRDefault="00454A29">
            <w:pPr>
              <w:pStyle w:val="ConsPlusNormal"/>
            </w:pPr>
          </w:p>
        </w:tc>
        <w:tc>
          <w:tcPr>
            <w:tcW w:w="1814" w:type="dxa"/>
            <w:vAlign w:val="center"/>
          </w:tcPr>
          <w:p w14:paraId="559FB4CA" w14:textId="77777777" w:rsidR="00454A29" w:rsidRDefault="00454A29">
            <w:pPr>
              <w:pStyle w:val="ConsPlusNormal"/>
            </w:pPr>
          </w:p>
        </w:tc>
      </w:tr>
      <w:tr w:rsidR="00454A29" w14:paraId="5ACE34D1" w14:textId="77777777">
        <w:tc>
          <w:tcPr>
            <w:tcW w:w="567" w:type="dxa"/>
            <w:vMerge/>
          </w:tcPr>
          <w:p w14:paraId="50C9DA8C" w14:textId="77777777" w:rsidR="00454A29" w:rsidRDefault="00454A29"/>
        </w:tc>
        <w:tc>
          <w:tcPr>
            <w:tcW w:w="3345" w:type="dxa"/>
            <w:vMerge/>
          </w:tcPr>
          <w:p w14:paraId="6AD214C8" w14:textId="77777777" w:rsidR="00454A29" w:rsidRDefault="00454A29"/>
        </w:tc>
        <w:tc>
          <w:tcPr>
            <w:tcW w:w="1701" w:type="dxa"/>
            <w:vAlign w:val="center"/>
          </w:tcPr>
          <w:p w14:paraId="18743A64" w14:textId="77777777" w:rsidR="00454A29" w:rsidRDefault="00454A29">
            <w:pPr>
              <w:pStyle w:val="ConsPlusNormal"/>
              <w:jc w:val="center"/>
            </w:pPr>
            <w:r>
              <w:t>2022</w:t>
            </w:r>
          </w:p>
        </w:tc>
        <w:tc>
          <w:tcPr>
            <w:tcW w:w="1417" w:type="dxa"/>
            <w:vMerge/>
          </w:tcPr>
          <w:p w14:paraId="3DF0BA03" w14:textId="77777777" w:rsidR="00454A29" w:rsidRDefault="00454A29"/>
        </w:tc>
        <w:tc>
          <w:tcPr>
            <w:tcW w:w="2204" w:type="dxa"/>
            <w:vMerge/>
          </w:tcPr>
          <w:p w14:paraId="571CDAF5" w14:textId="77777777" w:rsidR="00454A29" w:rsidRDefault="00454A29"/>
        </w:tc>
        <w:tc>
          <w:tcPr>
            <w:tcW w:w="1417" w:type="dxa"/>
            <w:vMerge/>
          </w:tcPr>
          <w:p w14:paraId="0908C8FE" w14:textId="77777777" w:rsidR="00454A29" w:rsidRDefault="00454A29"/>
        </w:tc>
        <w:tc>
          <w:tcPr>
            <w:tcW w:w="2324" w:type="dxa"/>
            <w:vMerge/>
          </w:tcPr>
          <w:p w14:paraId="31135F89" w14:textId="77777777" w:rsidR="00454A29" w:rsidRDefault="00454A29"/>
        </w:tc>
        <w:tc>
          <w:tcPr>
            <w:tcW w:w="1701" w:type="dxa"/>
            <w:vAlign w:val="center"/>
          </w:tcPr>
          <w:p w14:paraId="4F44EB80" w14:textId="77777777" w:rsidR="00454A29" w:rsidRDefault="00454A29">
            <w:pPr>
              <w:pStyle w:val="ConsPlusNormal"/>
            </w:pPr>
          </w:p>
        </w:tc>
        <w:tc>
          <w:tcPr>
            <w:tcW w:w="1814" w:type="dxa"/>
            <w:vAlign w:val="center"/>
          </w:tcPr>
          <w:p w14:paraId="220B7A73" w14:textId="77777777" w:rsidR="00454A29" w:rsidRDefault="00454A29">
            <w:pPr>
              <w:pStyle w:val="ConsPlusNormal"/>
            </w:pPr>
          </w:p>
        </w:tc>
        <w:tc>
          <w:tcPr>
            <w:tcW w:w="1701" w:type="dxa"/>
            <w:vAlign w:val="center"/>
          </w:tcPr>
          <w:p w14:paraId="2D65454D" w14:textId="77777777" w:rsidR="00454A29" w:rsidRDefault="00454A29">
            <w:pPr>
              <w:pStyle w:val="ConsPlusNormal"/>
            </w:pPr>
          </w:p>
        </w:tc>
        <w:tc>
          <w:tcPr>
            <w:tcW w:w="1701" w:type="dxa"/>
            <w:vAlign w:val="center"/>
          </w:tcPr>
          <w:p w14:paraId="2120654E" w14:textId="77777777" w:rsidR="00454A29" w:rsidRDefault="00454A29">
            <w:pPr>
              <w:pStyle w:val="ConsPlusNormal"/>
            </w:pPr>
          </w:p>
        </w:tc>
        <w:tc>
          <w:tcPr>
            <w:tcW w:w="1814" w:type="dxa"/>
            <w:vAlign w:val="center"/>
          </w:tcPr>
          <w:p w14:paraId="72DB1C01" w14:textId="77777777" w:rsidR="00454A29" w:rsidRDefault="00454A29">
            <w:pPr>
              <w:pStyle w:val="ConsPlusNormal"/>
            </w:pPr>
          </w:p>
        </w:tc>
      </w:tr>
      <w:tr w:rsidR="00454A29" w14:paraId="211BC903" w14:textId="77777777">
        <w:tc>
          <w:tcPr>
            <w:tcW w:w="567" w:type="dxa"/>
            <w:vMerge/>
          </w:tcPr>
          <w:p w14:paraId="33CD29D7" w14:textId="77777777" w:rsidR="00454A29" w:rsidRDefault="00454A29"/>
        </w:tc>
        <w:tc>
          <w:tcPr>
            <w:tcW w:w="3345" w:type="dxa"/>
            <w:vMerge/>
          </w:tcPr>
          <w:p w14:paraId="60CAF6DE" w14:textId="77777777" w:rsidR="00454A29" w:rsidRDefault="00454A29"/>
        </w:tc>
        <w:tc>
          <w:tcPr>
            <w:tcW w:w="1701" w:type="dxa"/>
            <w:vAlign w:val="center"/>
          </w:tcPr>
          <w:p w14:paraId="656D93B7" w14:textId="77777777" w:rsidR="00454A29" w:rsidRDefault="00454A29">
            <w:pPr>
              <w:pStyle w:val="ConsPlusNormal"/>
              <w:jc w:val="center"/>
            </w:pPr>
            <w:r>
              <w:t>2023</w:t>
            </w:r>
          </w:p>
        </w:tc>
        <w:tc>
          <w:tcPr>
            <w:tcW w:w="1417" w:type="dxa"/>
            <w:vMerge/>
          </w:tcPr>
          <w:p w14:paraId="37C8B0FE" w14:textId="77777777" w:rsidR="00454A29" w:rsidRDefault="00454A29"/>
        </w:tc>
        <w:tc>
          <w:tcPr>
            <w:tcW w:w="2204" w:type="dxa"/>
            <w:vMerge/>
          </w:tcPr>
          <w:p w14:paraId="293ACE20" w14:textId="77777777" w:rsidR="00454A29" w:rsidRDefault="00454A29"/>
        </w:tc>
        <w:tc>
          <w:tcPr>
            <w:tcW w:w="1417" w:type="dxa"/>
            <w:vMerge/>
          </w:tcPr>
          <w:p w14:paraId="500270E6" w14:textId="77777777" w:rsidR="00454A29" w:rsidRDefault="00454A29"/>
        </w:tc>
        <w:tc>
          <w:tcPr>
            <w:tcW w:w="2324" w:type="dxa"/>
            <w:vMerge/>
          </w:tcPr>
          <w:p w14:paraId="08B20824" w14:textId="77777777" w:rsidR="00454A29" w:rsidRDefault="00454A29"/>
        </w:tc>
        <w:tc>
          <w:tcPr>
            <w:tcW w:w="1701" w:type="dxa"/>
            <w:vAlign w:val="center"/>
          </w:tcPr>
          <w:p w14:paraId="30EF05BA" w14:textId="77777777" w:rsidR="00454A29" w:rsidRDefault="00454A29">
            <w:pPr>
              <w:pStyle w:val="ConsPlusNormal"/>
            </w:pPr>
          </w:p>
        </w:tc>
        <w:tc>
          <w:tcPr>
            <w:tcW w:w="1814" w:type="dxa"/>
            <w:vAlign w:val="center"/>
          </w:tcPr>
          <w:p w14:paraId="5CBB7055" w14:textId="77777777" w:rsidR="00454A29" w:rsidRDefault="00454A29">
            <w:pPr>
              <w:pStyle w:val="ConsPlusNormal"/>
            </w:pPr>
          </w:p>
        </w:tc>
        <w:tc>
          <w:tcPr>
            <w:tcW w:w="1701" w:type="dxa"/>
            <w:vAlign w:val="center"/>
          </w:tcPr>
          <w:p w14:paraId="1DD15CD3" w14:textId="77777777" w:rsidR="00454A29" w:rsidRDefault="00454A29">
            <w:pPr>
              <w:pStyle w:val="ConsPlusNormal"/>
            </w:pPr>
          </w:p>
        </w:tc>
        <w:tc>
          <w:tcPr>
            <w:tcW w:w="1701" w:type="dxa"/>
            <w:vAlign w:val="center"/>
          </w:tcPr>
          <w:p w14:paraId="03E2CC5E" w14:textId="77777777" w:rsidR="00454A29" w:rsidRDefault="00454A29">
            <w:pPr>
              <w:pStyle w:val="ConsPlusNormal"/>
            </w:pPr>
          </w:p>
        </w:tc>
        <w:tc>
          <w:tcPr>
            <w:tcW w:w="1814" w:type="dxa"/>
            <w:vAlign w:val="center"/>
          </w:tcPr>
          <w:p w14:paraId="2EC6F117" w14:textId="77777777" w:rsidR="00454A29" w:rsidRDefault="00454A29">
            <w:pPr>
              <w:pStyle w:val="ConsPlusNormal"/>
            </w:pPr>
          </w:p>
        </w:tc>
      </w:tr>
      <w:tr w:rsidR="00454A29" w14:paraId="406F6D20" w14:textId="77777777">
        <w:tc>
          <w:tcPr>
            <w:tcW w:w="567" w:type="dxa"/>
            <w:vMerge/>
          </w:tcPr>
          <w:p w14:paraId="41FB40C5" w14:textId="77777777" w:rsidR="00454A29" w:rsidRDefault="00454A29"/>
        </w:tc>
        <w:tc>
          <w:tcPr>
            <w:tcW w:w="3345" w:type="dxa"/>
            <w:vMerge/>
          </w:tcPr>
          <w:p w14:paraId="5EF0A6BF" w14:textId="77777777" w:rsidR="00454A29" w:rsidRDefault="00454A29"/>
        </w:tc>
        <w:tc>
          <w:tcPr>
            <w:tcW w:w="1701" w:type="dxa"/>
            <w:vAlign w:val="center"/>
          </w:tcPr>
          <w:p w14:paraId="5139DDC7" w14:textId="77777777" w:rsidR="00454A29" w:rsidRDefault="00454A29">
            <w:pPr>
              <w:pStyle w:val="ConsPlusNormal"/>
              <w:jc w:val="center"/>
            </w:pPr>
            <w:r>
              <w:t>2024</w:t>
            </w:r>
          </w:p>
        </w:tc>
        <w:tc>
          <w:tcPr>
            <w:tcW w:w="1417" w:type="dxa"/>
            <w:vMerge/>
          </w:tcPr>
          <w:p w14:paraId="33FE06D1" w14:textId="77777777" w:rsidR="00454A29" w:rsidRDefault="00454A29"/>
        </w:tc>
        <w:tc>
          <w:tcPr>
            <w:tcW w:w="2204" w:type="dxa"/>
            <w:vMerge/>
          </w:tcPr>
          <w:p w14:paraId="33584C81" w14:textId="77777777" w:rsidR="00454A29" w:rsidRDefault="00454A29"/>
        </w:tc>
        <w:tc>
          <w:tcPr>
            <w:tcW w:w="1417" w:type="dxa"/>
            <w:vMerge/>
          </w:tcPr>
          <w:p w14:paraId="5D7BBCC4" w14:textId="77777777" w:rsidR="00454A29" w:rsidRDefault="00454A29"/>
        </w:tc>
        <w:tc>
          <w:tcPr>
            <w:tcW w:w="2324" w:type="dxa"/>
            <w:vMerge/>
          </w:tcPr>
          <w:p w14:paraId="6F05851D" w14:textId="77777777" w:rsidR="00454A29" w:rsidRDefault="00454A29"/>
        </w:tc>
        <w:tc>
          <w:tcPr>
            <w:tcW w:w="1701" w:type="dxa"/>
            <w:vAlign w:val="center"/>
          </w:tcPr>
          <w:p w14:paraId="41D0A88A" w14:textId="77777777" w:rsidR="00454A29" w:rsidRDefault="00454A29">
            <w:pPr>
              <w:pStyle w:val="ConsPlusNormal"/>
            </w:pPr>
          </w:p>
        </w:tc>
        <w:tc>
          <w:tcPr>
            <w:tcW w:w="1814" w:type="dxa"/>
            <w:vAlign w:val="center"/>
          </w:tcPr>
          <w:p w14:paraId="7CDE8B79" w14:textId="77777777" w:rsidR="00454A29" w:rsidRDefault="00454A29">
            <w:pPr>
              <w:pStyle w:val="ConsPlusNormal"/>
            </w:pPr>
          </w:p>
        </w:tc>
        <w:tc>
          <w:tcPr>
            <w:tcW w:w="1701" w:type="dxa"/>
            <w:vAlign w:val="center"/>
          </w:tcPr>
          <w:p w14:paraId="00999CE5" w14:textId="77777777" w:rsidR="00454A29" w:rsidRDefault="00454A29">
            <w:pPr>
              <w:pStyle w:val="ConsPlusNormal"/>
            </w:pPr>
          </w:p>
        </w:tc>
        <w:tc>
          <w:tcPr>
            <w:tcW w:w="1701" w:type="dxa"/>
            <w:vAlign w:val="center"/>
          </w:tcPr>
          <w:p w14:paraId="20249B17" w14:textId="77777777" w:rsidR="00454A29" w:rsidRDefault="00454A29">
            <w:pPr>
              <w:pStyle w:val="ConsPlusNormal"/>
            </w:pPr>
          </w:p>
        </w:tc>
        <w:tc>
          <w:tcPr>
            <w:tcW w:w="1814" w:type="dxa"/>
            <w:vAlign w:val="center"/>
          </w:tcPr>
          <w:p w14:paraId="375E870A" w14:textId="77777777" w:rsidR="00454A29" w:rsidRDefault="00454A29">
            <w:pPr>
              <w:pStyle w:val="ConsPlusNormal"/>
            </w:pPr>
          </w:p>
        </w:tc>
      </w:tr>
      <w:tr w:rsidR="00454A29" w14:paraId="44B603D1" w14:textId="77777777">
        <w:tc>
          <w:tcPr>
            <w:tcW w:w="567" w:type="dxa"/>
            <w:vMerge/>
          </w:tcPr>
          <w:p w14:paraId="0DBA48BC" w14:textId="77777777" w:rsidR="00454A29" w:rsidRDefault="00454A29"/>
        </w:tc>
        <w:tc>
          <w:tcPr>
            <w:tcW w:w="3345" w:type="dxa"/>
            <w:vMerge/>
          </w:tcPr>
          <w:p w14:paraId="3E84FB2F" w14:textId="77777777" w:rsidR="00454A29" w:rsidRDefault="00454A29"/>
        </w:tc>
        <w:tc>
          <w:tcPr>
            <w:tcW w:w="1701" w:type="dxa"/>
            <w:vAlign w:val="center"/>
          </w:tcPr>
          <w:p w14:paraId="0EA51E55" w14:textId="77777777" w:rsidR="00454A29" w:rsidRDefault="00454A29">
            <w:pPr>
              <w:pStyle w:val="ConsPlusNormal"/>
              <w:jc w:val="center"/>
            </w:pPr>
            <w:r>
              <w:t>2025</w:t>
            </w:r>
          </w:p>
        </w:tc>
        <w:tc>
          <w:tcPr>
            <w:tcW w:w="1417" w:type="dxa"/>
            <w:vMerge/>
          </w:tcPr>
          <w:p w14:paraId="6F8957B3" w14:textId="77777777" w:rsidR="00454A29" w:rsidRDefault="00454A29"/>
        </w:tc>
        <w:tc>
          <w:tcPr>
            <w:tcW w:w="2204" w:type="dxa"/>
            <w:vMerge/>
          </w:tcPr>
          <w:p w14:paraId="02F67068" w14:textId="77777777" w:rsidR="00454A29" w:rsidRDefault="00454A29"/>
        </w:tc>
        <w:tc>
          <w:tcPr>
            <w:tcW w:w="1417" w:type="dxa"/>
            <w:vMerge/>
          </w:tcPr>
          <w:p w14:paraId="4342FB5B" w14:textId="77777777" w:rsidR="00454A29" w:rsidRDefault="00454A29"/>
        </w:tc>
        <w:tc>
          <w:tcPr>
            <w:tcW w:w="2324" w:type="dxa"/>
            <w:vMerge/>
          </w:tcPr>
          <w:p w14:paraId="7BB1A707" w14:textId="77777777" w:rsidR="00454A29" w:rsidRDefault="00454A29"/>
        </w:tc>
        <w:tc>
          <w:tcPr>
            <w:tcW w:w="1701" w:type="dxa"/>
            <w:vAlign w:val="center"/>
          </w:tcPr>
          <w:p w14:paraId="6961A7A2" w14:textId="77777777" w:rsidR="00454A29" w:rsidRDefault="00454A29">
            <w:pPr>
              <w:pStyle w:val="ConsPlusNormal"/>
            </w:pPr>
          </w:p>
        </w:tc>
        <w:tc>
          <w:tcPr>
            <w:tcW w:w="1814" w:type="dxa"/>
            <w:vAlign w:val="center"/>
          </w:tcPr>
          <w:p w14:paraId="6268E7DD" w14:textId="77777777" w:rsidR="00454A29" w:rsidRDefault="00454A29">
            <w:pPr>
              <w:pStyle w:val="ConsPlusNormal"/>
            </w:pPr>
          </w:p>
        </w:tc>
        <w:tc>
          <w:tcPr>
            <w:tcW w:w="1701" w:type="dxa"/>
            <w:vAlign w:val="center"/>
          </w:tcPr>
          <w:p w14:paraId="6D93E658" w14:textId="77777777" w:rsidR="00454A29" w:rsidRDefault="00454A29">
            <w:pPr>
              <w:pStyle w:val="ConsPlusNormal"/>
            </w:pPr>
          </w:p>
        </w:tc>
        <w:tc>
          <w:tcPr>
            <w:tcW w:w="1701" w:type="dxa"/>
            <w:vAlign w:val="center"/>
          </w:tcPr>
          <w:p w14:paraId="5DF8AEBC" w14:textId="77777777" w:rsidR="00454A29" w:rsidRDefault="00454A29">
            <w:pPr>
              <w:pStyle w:val="ConsPlusNormal"/>
            </w:pPr>
          </w:p>
        </w:tc>
        <w:tc>
          <w:tcPr>
            <w:tcW w:w="1814" w:type="dxa"/>
            <w:vAlign w:val="center"/>
          </w:tcPr>
          <w:p w14:paraId="28544A60" w14:textId="77777777" w:rsidR="00454A29" w:rsidRDefault="00454A29">
            <w:pPr>
              <w:pStyle w:val="ConsPlusNormal"/>
            </w:pPr>
          </w:p>
        </w:tc>
      </w:tr>
      <w:tr w:rsidR="00454A29" w14:paraId="02D0847D" w14:textId="77777777">
        <w:tc>
          <w:tcPr>
            <w:tcW w:w="567" w:type="dxa"/>
            <w:vMerge/>
          </w:tcPr>
          <w:p w14:paraId="15BD3295" w14:textId="77777777" w:rsidR="00454A29" w:rsidRDefault="00454A29"/>
        </w:tc>
        <w:tc>
          <w:tcPr>
            <w:tcW w:w="3345" w:type="dxa"/>
            <w:vMerge/>
          </w:tcPr>
          <w:p w14:paraId="164A46D0" w14:textId="77777777" w:rsidR="00454A29" w:rsidRDefault="00454A29"/>
        </w:tc>
        <w:tc>
          <w:tcPr>
            <w:tcW w:w="1701" w:type="dxa"/>
            <w:vAlign w:val="center"/>
          </w:tcPr>
          <w:p w14:paraId="3A8B5462" w14:textId="77777777" w:rsidR="00454A29" w:rsidRDefault="00454A29">
            <w:pPr>
              <w:pStyle w:val="ConsPlusNormal"/>
              <w:jc w:val="center"/>
            </w:pPr>
            <w:r>
              <w:t>2026</w:t>
            </w:r>
          </w:p>
        </w:tc>
        <w:tc>
          <w:tcPr>
            <w:tcW w:w="1417" w:type="dxa"/>
            <w:vMerge/>
          </w:tcPr>
          <w:p w14:paraId="0E30FDA2" w14:textId="77777777" w:rsidR="00454A29" w:rsidRDefault="00454A29"/>
        </w:tc>
        <w:tc>
          <w:tcPr>
            <w:tcW w:w="2204" w:type="dxa"/>
            <w:vMerge/>
          </w:tcPr>
          <w:p w14:paraId="087EF504" w14:textId="77777777" w:rsidR="00454A29" w:rsidRDefault="00454A29"/>
        </w:tc>
        <w:tc>
          <w:tcPr>
            <w:tcW w:w="1417" w:type="dxa"/>
            <w:vMerge/>
          </w:tcPr>
          <w:p w14:paraId="098A40AC" w14:textId="77777777" w:rsidR="00454A29" w:rsidRDefault="00454A29"/>
        </w:tc>
        <w:tc>
          <w:tcPr>
            <w:tcW w:w="2324" w:type="dxa"/>
            <w:vMerge/>
          </w:tcPr>
          <w:p w14:paraId="17DFAC07" w14:textId="77777777" w:rsidR="00454A29" w:rsidRDefault="00454A29"/>
        </w:tc>
        <w:tc>
          <w:tcPr>
            <w:tcW w:w="1701" w:type="dxa"/>
            <w:vAlign w:val="center"/>
          </w:tcPr>
          <w:p w14:paraId="7AD73C17" w14:textId="77777777" w:rsidR="00454A29" w:rsidRDefault="00454A29">
            <w:pPr>
              <w:pStyle w:val="ConsPlusNormal"/>
              <w:jc w:val="center"/>
            </w:pPr>
            <w:r>
              <w:t>913 743,00</w:t>
            </w:r>
          </w:p>
        </w:tc>
        <w:tc>
          <w:tcPr>
            <w:tcW w:w="1814" w:type="dxa"/>
            <w:vAlign w:val="center"/>
          </w:tcPr>
          <w:p w14:paraId="2E293D5C" w14:textId="77777777" w:rsidR="00454A29" w:rsidRDefault="00454A29">
            <w:pPr>
              <w:pStyle w:val="ConsPlusNormal"/>
              <w:jc w:val="center"/>
            </w:pPr>
            <w:r>
              <w:t>11 257,31</w:t>
            </w:r>
          </w:p>
        </w:tc>
        <w:tc>
          <w:tcPr>
            <w:tcW w:w="1701" w:type="dxa"/>
            <w:vAlign w:val="center"/>
          </w:tcPr>
          <w:p w14:paraId="7F23C7C3" w14:textId="77777777" w:rsidR="00454A29" w:rsidRDefault="00454A29">
            <w:pPr>
              <w:pStyle w:val="ConsPlusNormal"/>
              <w:jc w:val="center"/>
            </w:pPr>
            <w:r>
              <w:t>1 114 474,07</w:t>
            </w:r>
          </w:p>
        </w:tc>
        <w:tc>
          <w:tcPr>
            <w:tcW w:w="1701" w:type="dxa"/>
            <w:vAlign w:val="center"/>
          </w:tcPr>
          <w:p w14:paraId="1AB37FC6" w14:textId="77777777" w:rsidR="00454A29" w:rsidRDefault="00454A29">
            <w:pPr>
              <w:pStyle w:val="ConsPlusNormal"/>
            </w:pPr>
          </w:p>
        </w:tc>
        <w:tc>
          <w:tcPr>
            <w:tcW w:w="1814" w:type="dxa"/>
            <w:vAlign w:val="center"/>
          </w:tcPr>
          <w:p w14:paraId="73399330" w14:textId="77777777" w:rsidR="00454A29" w:rsidRDefault="00454A29">
            <w:pPr>
              <w:pStyle w:val="ConsPlusNormal"/>
            </w:pPr>
          </w:p>
        </w:tc>
      </w:tr>
      <w:tr w:rsidR="00454A29" w14:paraId="356EDDF0" w14:textId="77777777">
        <w:tc>
          <w:tcPr>
            <w:tcW w:w="567" w:type="dxa"/>
            <w:vMerge w:val="restart"/>
            <w:vAlign w:val="center"/>
          </w:tcPr>
          <w:p w14:paraId="14776031" w14:textId="77777777" w:rsidR="00454A29" w:rsidRDefault="00454A29">
            <w:pPr>
              <w:pStyle w:val="ConsPlusNormal"/>
              <w:jc w:val="center"/>
            </w:pPr>
            <w:r>
              <w:t>171</w:t>
            </w:r>
          </w:p>
        </w:tc>
        <w:tc>
          <w:tcPr>
            <w:tcW w:w="3345" w:type="dxa"/>
            <w:vMerge w:val="restart"/>
            <w:vAlign w:val="center"/>
          </w:tcPr>
          <w:p w14:paraId="42B1F4CB" w14:textId="77777777" w:rsidR="00454A29" w:rsidRDefault="00454A29">
            <w:pPr>
              <w:pStyle w:val="ConsPlusNormal"/>
              <w:jc w:val="center"/>
            </w:pPr>
            <w:r>
              <w:t>Пристрой к Саха политехническому лицею на 180 учащихся в г. Якутске</w:t>
            </w:r>
          </w:p>
        </w:tc>
        <w:tc>
          <w:tcPr>
            <w:tcW w:w="1701" w:type="dxa"/>
            <w:vAlign w:val="center"/>
          </w:tcPr>
          <w:p w14:paraId="4008FB0B" w14:textId="77777777" w:rsidR="00454A29" w:rsidRDefault="00454A29">
            <w:pPr>
              <w:pStyle w:val="ConsPlusNormal"/>
              <w:jc w:val="center"/>
            </w:pPr>
            <w:r>
              <w:t>2020 - 2026 годы - всего</w:t>
            </w:r>
          </w:p>
        </w:tc>
        <w:tc>
          <w:tcPr>
            <w:tcW w:w="1417" w:type="dxa"/>
            <w:vMerge w:val="restart"/>
            <w:vAlign w:val="center"/>
          </w:tcPr>
          <w:p w14:paraId="3393B308" w14:textId="77777777" w:rsidR="00454A29" w:rsidRDefault="00454A29">
            <w:pPr>
              <w:pStyle w:val="ConsPlusNormal"/>
              <w:jc w:val="center"/>
            </w:pPr>
            <w:r>
              <w:t>534 015,16</w:t>
            </w:r>
          </w:p>
        </w:tc>
        <w:tc>
          <w:tcPr>
            <w:tcW w:w="2204" w:type="dxa"/>
            <w:vMerge w:val="restart"/>
            <w:vAlign w:val="center"/>
          </w:tcPr>
          <w:p w14:paraId="4448122C" w14:textId="77777777" w:rsidR="00454A29" w:rsidRDefault="00454A29">
            <w:pPr>
              <w:pStyle w:val="ConsPlusNormal"/>
            </w:pPr>
          </w:p>
        </w:tc>
        <w:tc>
          <w:tcPr>
            <w:tcW w:w="1417" w:type="dxa"/>
            <w:vMerge w:val="restart"/>
            <w:vAlign w:val="center"/>
          </w:tcPr>
          <w:p w14:paraId="1BEDFAC7" w14:textId="77777777" w:rsidR="00454A29" w:rsidRDefault="00454A29">
            <w:pPr>
              <w:pStyle w:val="ConsPlusNormal"/>
              <w:jc w:val="center"/>
            </w:pPr>
            <w:r>
              <w:t>180</w:t>
            </w:r>
          </w:p>
        </w:tc>
        <w:tc>
          <w:tcPr>
            <w:tcW w:w="2324" w:type="dxa"/>
            <w:vMerge w:val="restart"/>
            <w:vAlign w:val="center"/>
          </w:tcPr>
          <w:p w14:paraId="13BA6123"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02D4212" w14:textId="77777777" w:rsidR="00454A29" w:rsidRDefault="00454A29">
            <w:pPr>
              <w:pStyle w:val="ConsPlusNormal"/>
              <w:jc w:val="center"/>
            </w:pPr>
            <w:r>
              <w:t>534 015,16</w:t>
            </w:r>
          </w:p>
        </w:tc>
        <w:tc>
          <w:tcPr>
            <w:tcW w:w="1814" w:type="dxa"/>
            <w:vAlign w:val="center"/>
          </w:tcPr>
          <w:p w14:paraId="134C9BE3" w14:textId="77777777" w:rsidR="00454A29" w:rsidRDefault="00454A29">
            <w:pPr>
              <w:pStyle w:val="ConsPlusNormal"/>
              <w:jc w:val="center"/>
            </w:pPr>
            <w:r>
              <w:t>6 579,07</w:t>
            </w:r>
          </w:p>
        </w:tc>
        <w:tc>
          <w:tcPr>
            <w:tcW w:w="1701" w:type="dxa"/>
            <w:vAlign w:val="center"/>
          </w:tcPr>
          <w:p w14:paraId="7D0503F1" w14:textId="77777777" w:rsidR="00454A29" w:rsidRDefault="00454A29">
            <w:pPr>
              <w:pStyle w:val="ConsPlusNormal"/>
              <w:jc w:val="center"/>
            </w:pPr>
            <w:r>
              <w:t>651 327,61</w:t>
            </w:r>
          </w:p>
        </w:tc>
        <w:tc>
          <w:tcPr>
            <w:tcW w:w="1701" w:type="dxa"/>
            <w:vAlign w:val="center"/>
          </w:tcPr>
          <w:p w14:paraId="44752265" w14:textId="77777777" w:rsidR="00454A29" w:rsidRDefault="00454A29">
            <w:pPr>
              <w:pStyle w:val="ConsPlusNormal"/>
              <w:jc w:val="center"/>
            </w:pPr>
            <w:r>
              <w:t>-</w:t>
            </w:r>
          </w:p>
        </w:tc>
        <w:tc>
          <w:tcPr>
            <w:tcW w:w="1814" w:type="dxa"/>
            <w:vAlign w:val="center"/>
          </w:tcPr>
          <w:p w14:paraId="5CB5619E" w14:textId="77777777" w:rsidR="00454A29" w:rsidRDefault="00454A29">
            <w:pPr>
              <w:pStyle w:val="ConsPlusNormal"/>
              <w:jc w:val="center"/>
            </w:pPr>
            <w:r>
              <w:t>-</w:t>
            </w:r>
          </w:p>
        </w:tc>
      </w:tr>
      <w:tr w:rsidR="00454A29" w14:paraId="79038B44" w14:textId="77777777">
        <w:tc>
          <w:tcPr>
            <w:tcW w:w="567" w:type="dxa"/>
            <w:vMerge/>
          </w:tcPr>
          <w:p w14:paraId="79451D78" w14:textId="77777777" w:rsidR="00454A29" w:rsidRDefault="00454A29"/>
        </w:tc>
        <w:tc>
          <w:tcPr>
            <w:tcW w:w="3345" w:type="dxa"/>
            <w:vMerge/>
          </w:tcPr>
          <w:p w14:paraId="6B888A43" w14:textId="77777777" w:rsidR="00454A29" w:rsidRDefault="00454A29"/>
        </w:tc>
        <w:tc>
          <w:tcPr>
            <w:tcW w:w="1701" w:type="dxa"/>
            <w:vAlign w:val="center"/>
          </w:tcPr>
          <w:p w14:paraId="702D2E56" w14:textId="77777777" w:rsidR="00454A29" w:rsidRDefault="00454A29">
            <w:pPr>
              <w:pStyle w:val="ConsPlusNormal"/>
              <w:jc w:val="center"/>
            </w:pPr>
            <w:r>
              <w:t>2020</w:t>
            </w:r>
          </w:p>
        </w:tc>
        <w:tc>
          <w:tcPr>
            <w:tcW w:w="1417" w:type="dxa"/>
            <w:vMerge/>
          </w:tcPr>
          <w:p w14:paraId="10579F24" w14:textId="77777777" w:rsidR="00454A29" w:rsidRDefault="00454A29"/>
        </w:tc>
        <w:tc>
          <w:tcPr>
            <w:tcW w:w="2204" w:type="dxa"/>
            <w:vMerge/>
          </w:tcPr>
          <w:p w14:paraId="0C80F256" w14:textId="77777777" w:rsidR="00454A29" w:rsidRDefault="00454A29"/>
        </w:tc>
        <w:tc>
          <w:tcPr>
            <w:tcW w:w="1417" w:type="dxa"/>
            <w:vMerge/>
          </w:tcPr>
          <w:p w14:paraId="49DD80F1" w14:textId="77777777" w:rsidR="00454A29" w:rsidRDefault="00454A29"/>
        </w:tc>
        <w:tc>
          <w:tcPr>
            <w:tcW w:w="2324" w:type="dxa"/>
            <w:vMerge/>
          </w:tcPr>
          <w:p w14:paraId="51A88420" w14:textId="77777777" w:rsidR="00454A29" w:rsidRDefault="00454A29"/>
        </w:tc>
        <w:tc>
          <w:tcPr>
            <w:tcW w:w="1701" w:type="dxa"/>
            <w:vAlign w:val="center"/>
          </w:tcPr>
          <w:p w14:paraId="48E1B304" w14:textId="77777777" w:rsidR="00454A29" w:rsidRDefault="00454A29">
            <w:pPr>
              <w:pStyle w:val="ConsPlusNormal"/>
            </w:pPr>
          </w:p>
        </w:tc>
        <w:tc>
          <w:tcPr>
            <w:tcW w:w="1814" w:type="dxa"/>
            <w:vAlign w:val="center"/>
          </w:tcPr>
          <w:p w14:paraId="159D6FCE" w14:textId="77777777" w:rsidR="00454A29" w:rsidRDefault="00454A29">
            <w:pPr>
              <w:pStyle w:val="ConsPlusNormal"/>
            </w:pPr>
          </w:p>
        </w:tc>
        <w:tc>
          <w:tcPr>
            <w:tcW w:w="1701" w:type="dxa"/>
            <w:vAlign w:val="center"/>
          </w:tcPr>
          <w:p w14:paraId="53D6F306" w14:textId="77777777" w:rsidR="00454A29" w:rsidRDefault="00454A29">
            <w:pPr>
              <w:pStyle w:val="ConsPlusNormal"/>
            </w:pPr>
          </w:p>
        </w:tc>
        <w:tc>
          <w:tcPr>
            <w:tcW w:w="1701" w:type="dxa"/>
            <w:vAlign w:val="center"/>
          </w:tcPr>
          <w:p w14:paraId="78360811" w14:textId="77777777" w:rsidR="00454A29" w:rsidRDefault="00454A29">
            <w:pPr>
              <w:pStyle w:val="ConsPlusNormal"/>
            </w:pPr>
          </w:p>
        </w:tc>
        <w:tc>
          <w:tcPr>
            <w:tcW w:w="1814" w:type="dxa"/>
            <w:vAlign w:val="center"/>
          </w:tcPr>
          <w:p w14:paraId="4BE05AAD" w14:textId="77777777" w:rsidR="00454A29" w:rsidRDefault="00454A29">
            <w:pPr>
              <w:pStyle w:val="ConsPlusNormal"/>
            </w:pPr>
          </w:p>
        </w:tc>
      </w:tr>
      <w:tr w:rsidR="00454A29" w14:paraId="5BD948BF" w14:textId="77777777">
        <w:tc>
          <w:tcPr>
            <w:tcW w:w="567" w:type="dxa"/>
            <w:vMerge/>
          </w:tcPr>
          <w:p w14:paraId="1802A98A" w14:textId="77777777" w:rsidR="00454A29" w:rsidRDefault="00454A29"/>
        </w:tc>
        <w:tc>
          <w:tcPr>
            <w:tcW w:w="3345" w:type="dxa"/>
            <w:vMerge/>
          </w:tcPr>
          <w:p w14:paraId="392ED419" w14:textId="77777777" w:rsidR="00454A29" w:rsidRDefault="00454A29"/>
        </w:tc>
        <w:tc>
          <w:tcPr>
            <w:tcW w:w="1701" w:type="dxa"/>
            <w:vAlign w:val="center"/>
          </w:tcPr>
          <w:p w14:paraId="548B8910" w14:textId="77777777" w:rsidR="00454A29" w:rsidRDefault="00454A29">
            <w:pPr>
              <w:pStyle w:val="ConsPlusNormal"/>
              <w:jc w:val="center"/>
            </w:pPr>
            <w:r>
              <w:t>2021</w:t>
            </w:r>
          </w:p>
        </w:tc>
        <w:tc>
          <w:tcPr>
            <w:tcW w:w="1417" w:type="dxa"/>
            <w:vMerge/>
          </w:tcPr>
          <w:p w14:paraId="08161DAE" w14:textId="77777777" w:rsidR="00454A29" w:rsidRDefault="00454A29"/>
        </w:tc>
        <w:tc>
          <w:tcPr>
            <w:tcW w:w="2204" w:type="dxa"/>
            <w:vMerge/>
          </w:tcPr>
          <w:p w14:paraId="537D6125" w14:textId="77777777" w:rsidR="00454A29" w:rsidRDefault="00454A29"/>
        </w:tc>
        <w:tc>
          <w:tcPr>
            <w:tcW w:w="1417" w:type="dxa"/>
            <w:vMerge/>
          </w:tcPr>
          <w:p w14:paraId="0C04A67B" w14:textId="77777777" w:rsidR="00454A29" w:rsidRDefault="00454A29"/>
        </w:tc>
        <w:tc>
          <w:tcPr>
            <w:tcW w:w="2324" w:type="dxa"/>
            <w:vMerge/>
          </w:tcPr>
          <w:p w14:paraId="29736E96" w14:textId="77777777" w:rsidR="00454A29" w:rsidRDefault="00454A29"/>
        </w:tc>
        <w:tc>
          <w:tcPr>
            <w:tcW w:w="1701" w:type="dxa"/>
            <w:vAlign w:val="center"/>
          </w:tcPr>
          <w:p w14:paraId="4C664948" w14:textId="77777777" w:rsidR="00454A29" w:rsidRDefault="00454A29">
            <w:pPr>
              <w:pStyle w:val="ConsPlusNormal"/>
              <w:jc w:val="center"/>
            </w:pPr>
            <w:r>
              <w:t>-</w:t>
            </w:r>
          </w:p>
        </w:tc>
        <w:tc>
          <w:tcPr>
            <w:tcW w:w="1814" w:type="dxa"/>
            <w:vAlign w:val="center"/>
          </w:tcPr>
          <w:p w14:paraId="0B16325D" w14:textId="77777777" w:rsidR="00454A29" w:rsidRDefault="00454A29">
            <w:pPr>
              <w:pStyle w:val="ConsPlusNormal"/>
            </w:pPr>
          </w:p>
        </w:tc>
        <w:tc>
          <w:tcPr>
            <w:tcW w:w="1701" w:type="dxa"/>
            <w:vAlign w:val="center"/>
          </w:tcPr>
          <w:p w14:paraId="6D96E024" w14:textId="77777777" w:rsidR="00454A29" w:rsidRDefault="00454A29">
            <w:pPr>
              <w:pStyle w:val="ConsPlusNormal"/>
            </w:pPr>
          </w:p>
        </w:tc>
        <w:tc>
          <w:tcPr>
            <w:tcW w:w="1701" w:type="dxa"/>
            <w:vAlign w:val="center"/>
          </w:tcPr>
          <w:p w14:paraId="5021B46C" w14:textId="77777777" w:rsidR="00454A29" w:rsidRDefault="00454A29">
            <w:pPr>
              <w:pStyle w:val="ConsPlusNormal"/>
            </w:pPr>
          </w:p>
        </w:tc>
        <w:tc>
          <w:tcPr>
            <w:tcW w:w="1814" w:type="dxa"/>
            <w:vAlign w:val="center"/>
          </w:tcPr>
          <w:p w14:paraId="38136A14" w14:textId="77777777" w:rsidR="00454A29" w:rsidRDefault="00454A29">
            <w:pPr>
              <w:pStyle w:val="ConsPlusNormal"/>
            </w:pPr>
          </w:p>
        </w:tc>
      </w:tr>
      <w:tr w:rsidR="00454A29" w14:paraId="7A42A8B9" w14:textId="77777777">
        <w:tc>
          <w:tcPr>
            <w:tcW w:w="567" w:type="dxa"/>
            <w:vMerge/>
          </w:tcPr>
          <w:p w14:paraId="39C8AC2A" w14:textId="77777777" w:rsidR="00454A29" w:rsidRDefault="00454A29"/>
        </w:tc>
        <w:tc>
          <w:tcPr>
            <w:tcW w:w="3345" w:type="dxa"/>
            <w:vMerge/>
          </w:tcPr>
          <w:p w14:paraId="6281ACDC" w14:textId="77777777" w:rsidR="00454A29" w:rsidRDefault="00454A29"/>
        </w:tc>
        <w:tc>
          <w:tcPr>
            <w:tcW w:w="1701" w:type="dxa"/>
            <w:vAlign w:val="center"/>
          </w:tcPr>
          <w:p w14:paraId="23D15974" w14:textId="77777777" w:rsidR="00454A29" w:rsidRDefault="00454A29">
            <w:pPr>
              <w:pStyle w:val="ConsPlusNormal"/>
              <w:jc w:val="center"/>
            </w:pPr>
            <w:r>
              <w:t>2022</w:t>
            </w:r>
          </w:p>
        </w:tc>
        <w:tc>
          <w:tcPr>
            <w:tcW w:w="1417" w:type="dxa"/>
            <w:vMerge/>
          </w:tcPr>
          <w:p w14:paraId="31616F57" w14:textId="77777777" w:rsidR="00454A29" w:rsidRDefault="00454A29"/>
        </w:tc>
        <w:tc>
          <w:tcPr>
            <w:tcW w:w="2204" w:type="dxa"/>
            <w:vMerge/>
          </w:tcPr>
          <w:p w14:paraId="01F918ED" w14:textId="77777777" w:rsidR="00454A29" w:rsidRDefault="00454A29"/>
        </w:tc>
        <w:tc>
          <w:tcPr>
            <w:tcW w:w="1417" w:type="dxa"/>
            <w:vMerge/>
          </w:tcPr>
          <w:p w14:paraId="4C3DF80A" w14:textId="77777777" w:rsidR="00454A29" w:rsidRDefault="00454A29"/>
        </w:tc>
        <w:tc>
          <w:tcPr>
            <w:tcW w:w="2324" w:type="dxa"/>
            <w:vMerge/>
          </w:tcPr>
          <w:p w14:paraId="00617D78" w14:textId="77777777" w:rsidR="00454A29" w:rsidRDefault="00454A29"/>
        </w:tc>
        <w:tc>
          <w:tcPr>
            <w:tcW w:w="1701" w:type="dxa"/>
            <w:vAlign w:val="center"/>
          </w:tcPr>
          <w:p w14:paraId="371702F1" w14:textId="77777777" w:rsidR="00454A29" w:rsidRDefault="00454A29">
            <w:pPr>
              <w:pStyle w:val="ConsPlusNormal"/>
            </w:pPr>
          </w:p>
        </w:tc>
        <w:tc>
          <w:tcPr>
            <w:tcW w:w="1814" w:type="dxa"/>
            <w:vAlign w:val="center"/>
          </w:tcPr>
          <w:p w14:paraId="08D8A0B0" w14:textId="77777777" w:rsidR="00454A29" w:rsidRDefault="00454A29">
            <w:pPr>
              <w:pStyle w:val="ConsPlusNormal"/>
            </w:pPr>
          </w:p>
        </w:tc>
        <w:tc>
          <w:tcPr>
            <w:tcW w:w="1701" w:type="dxa"/>
            <w:vAlign w:val="center"/>
          </w:tcPr>
          <w:p w14:paraId="79992639" w14:textId="77777777" w:rsidR="00454A29" w:rsidRDefault="00454A29">
            <w:pPr>
              <w:pStyle w:val="ConsPlusNormal"/>
            </w:pPr>
          </w:p>
        </w:tc>
        <w:tc>
          <w:tcPr>
            <w:tcW w:w="1701" w:type="dxa"/>
            <w:vAlign w:val="center"/>
          </w:tcPr>
          <w:p w14:paraId="035C51F2" w14:textId="77777777" w:rsidR="00454A29" w:rsidRDefault="00454A29">
            <w:pPr>
              <w:pStyle w:val="ConsPlusNormal"/>
            </w:pPr>
          </w:p>
        </w:tc>
        <w:tc>
          <w:tcPr>
            <w:tcW w:w="1814" w:type="dxa"/>
            <w:vAlign w:val="center"/>
          </w:tcPr>
          <w:p w14:paraId="07C0607F" w14:textId="77777777" w:rsidR="00454A29" w:rsidRDefault="00454A29">
            <w:pPr>
              <w:pStyle w:val="ConsPlusNormal"/>
            </w:pPr>
          </w:p>
        </w:tc>
      </w:tr>
      <w:tr w:rsidR="00454A29" w14:paraId="04957C47" w14:textId="77777777">
        <w:tc>
          <w:tcPr>
            <w:tcW w:w="567" w:type="dxa"/>
            <w:vMerge/>
          </w:tcPr>
          <w:p w14:paraId="6A4FB113" w14:textId="77777777" w:rsidR="00454A29" w:rsidRDefault="00454A29"/>
        </w:tc>
        <w:tc>
          <w:tcPr>
            <w:tcW w:w="3345" w:type="dxa"/>
            <w:vMerge/>
          </w:tcPr>
          <w:p w14:paraId="0E490716" w14:textId="77777777" w:rsidR="00454A29" w:rsidRDefault="00454A29"/>
        </w:tc>
        <w:tc>
          <w:tcPr>
            <w:tcW w:w="1701" w:type="dxa"/>
            <w:vAlign w:val="center"/>
          </w:tcPr>
          <w:p w14:paraId="22A1A106" w14:textId="77777777" w:rsidR="00454A29" w:rsidRDefault="00454A29">
            <w:pPr>
              <w:pStyle w:val="ConsPlusNormal"/>
              <w:jc w:val="center"/>
            </w:pPr>
            <w:r>
              <w:t>2023</w:t>
            </w:r>
          </w:p>
        </w:tc>
        <w:tc>
          <w:tcPr>
            <w:tcW w:w="1417" w:type="dxa"/>
            <w:vMerge/>
          </w:tcPr>
          <w:p w14:paraId="2DAB2857" w14:textId="77777777" w:rsidR="00454A29" w:rsidRDefault="00454A29"/>
        </w:tc>
        <w:tc>
          <w:tcPr>
            <w:tcW w:w="2204" w:type="dxa"/>
            <w:vMerge/>
          </w:tcPr>
          <w:p w14:paraId="1A375E2F" w14:textId="77777777" w:rsidR="00454A29" w:rsidRDefault="00454A29"/>
        </w:tc>
        <w:tc>
          <w:tcPr>
            <w:tcW w:w="1417" w:type="dxa"/>
            <w:vMerge/>
          </w:tcPr>
          <w:p w14:paraId="5924FCFA" w14:textId="77777777" w:rsidR="00454A29" w:rsidRDefault="00454A29"/>
        </w:tc>
        <w:tc>
          <w:tcPr>
            <w:tcW w:w="2324" w:type="dxa"/>
            <w:vMerge/>
          </w:tcPr>
          <w:p w14:paraId="7B09DCBB" w14:textId="77777777" w:rsidR="00454A29" w:rsidRDefault="00454A29"/>
        </w:tc>
        <w:tc>
          <w:tcPr>
            <w:tcW w:w="1701" w:type="dxa"/>
            <w:vAlign w:val="center"/>
          </w:tcPr>
          <w:p w14:paraId="4465F0F0" w14:textId="77777777" w:rsidR="00454A29" w:rsidRDefault="00454A29">
            <w:pPr>
              <w:pStyle w:val="ConsPlusNormal"/>
            </w:pPr>
          </w:p>
        </w:tc>
        <w:tc>
          <w:tcPr>
            <w:tcW w:w="1814" w:type="dxa"/>
            <w:vAlign w:val="center"/>
          </w:tcPr>
          <w:p w14:paraId="15D8FC89" w14:textId="77777777" w:rsidR="00454A29" w:rsidRDefault="00454A29">
            <w:pPr>
              <w:pStyle w:val="ConsPlusNormal"/>
            </w:pPr>
          </w:p>
        </w:tc>
        <w:tc>
          <w:tcPr>
            <w:tcW w:w="1701" w:type="dxa"/>
            <w:vAlign w:val="center"/>
          </w:tcPr>
          <w:p w14:paraId="405CC2FA" w14:textId="77777777" w:rsidR="00454A29" w:rsidRDefault="00454A29">
            <w:pPr>
              <w:pStyle w:val="ConsPlusNormal"/>
            </w:pPr>
          </w:p>
        </w:tc>
        <w:tc>
          <w:tcPr>
            <w:tcW w:w="1701" w:type="dxa"/>
            <w:vAlign w:val="center"/>
          </w:tcPr>
          <w:p w14:paraId="41B0B4EE" w14:textId="77777777" w:rsidR="00454A29" w:rsidRDefault="00454A29">
            <w:pPr>
              <w:pStyle w:val="ConsPlusNormal"/>
            </w:pPr>
          </w:p>
        </w:tc>
        <w:tc>
          <w:tcPr>
            <w:tcW w:w="1814" w:type="dxa"/>
            <w:vAlign w:val="center"/>
          </w:tcPr>
          <w:p w14:paraId="3319EC92" w14:textId="77777777" w:rsidR="00454A29" w:rsidRDefault="00454A29">
            <w:pPr>
              <w:pStyle w:val="ConsPlusNormal"/>
            </w:pPr>
          </w:p>
        </w:tc>
      </w:tr>
      <w:tr w:rsidR="00454A29" w14:paraId="379D53B6" w14:textId="77777777">
        <w:tc>
          <w:tcPr>
            <w:tcW w:w="567" w:type="dxa"/>
            <w:vMerge/>
          </w:tcPr>
          <w:p w14:paraId="75CD5E18" w14:textId="77777777" w:rsidR="00454A29" w:rsidRDefault="00454A29"/>
        </w:tc>
        <w:tc>
          <w:tcPr>
            <w:tcW w:w="3345" w:type="dxa"/>
            <w:vMerge/>
          </w:tcPr>
          <w:p w14:paraId="629FC8A9" w14:textId="77777777" w:rsidR="00454A29" w:rsidRDefault="00454A29"/>
        </w:tc>
        <w:tc>
          <w:tcPr>
            <w:tcW w:w="1701" w:type="dxa"/>
            <w:vAlign w:val="center"/>
          </w:tcPr>
          <w:p w14:paraId="26E1E4AC" w14:textId="77777777" w:rsidR="00454A29" w:rsidRDefault="00454A29">
            <w:pPr>
              <w:pStyle w:val="ConsPlusNormal"/>
              <w:jc w:val="center"/>
            </w:pPr>
            <w:r>
              <w:t>2024</w:t>
            </w:r>
          </w:p>
        </w:tc>
        <w:tc>
          <w:tcPr>
            <w:tcW w:w="1417" w:type="dxa"/>
            <w:vMerge/>
          </w:tcPr>
          <w:p w14:paraId="430E55D4" w14:textId="77777777" w:rsidR="00454A29" w:rsidRDefault="00454A29"/>
        </w:tc>
        <w:tc>
          <w:tcPr>
            <w:tcW w:w="2204" w:type="dxa"/>
            <w:vMerge/>
          </w:tcPr>
          <w:p w14:paraId="17FF7A76" w14:textId="77777777" w:rsidR="00454A29" w:rsidRDefault="00454A29"/>
        </w:tc>
        <w:tc>
          <w:tcPr>
            <w:tcW w:w="1417" w:type="dxa"/>
            <w:vMerge/>
          </w:tcPr>
          <w:p w14:paraId="3F09CF8B" w14:textId="77777777" w:rsidR="00454A29" w:rsidRDefault="00454A29"/>
        </w:tc>
        <w:tc>
          <w:tcPr>
            <w:tcW w:w="2324" w:type="dxa"/>
            <w:vMerge/>
          </w:tcPr>
          <w:p w14:paraId="766BD6B1" w14:textId="77777777" w:rsidR="00454A29" w:rsidRDefault="00454A29"/>
        </w:tc>
        <w:tc>
          <w:tcPr>
            <w:tcW w:w="1701" w:type="dxa"/>
            <w:vAlign w:val="center"/>
          </w:tcPr>
          <w:p w14:paraId="22184448" w14:textId="77777777" w:rsidR="00454A29" w:rsidRDefault="00454A29">
            <w:pPr>
              <w:pStyle w:val="ConsPlusNormal"/>
            </w:pPr>
          </w:p>
        </w:tc>
        <w:tc>
          <w:tcPr>
            <w:tcW w:w="1814" w:type="dxa"/>
            <w:vAlign w:val="center"/>
          </w:tcPr>
          <w:p w14:paraId="18003AED" w14:textId="77777777" w:rsidR="00454A29" w:rsidRDefault="00454A29">
            <w:pPr>
              <w:pStyle w:val="ConsPlusNormal"/>
            </w:pPr>
          </w:p>
        </w:tc>
        <w:tc>
          <w:tcPr>
            <w:tcW w:w="1701" w:type="dxa"/>
            <w:vAlign w:val="center"/>
          </w:tcPr>
          <w:p w14:paraId="5BE1557C" w14:textId="77777777" w:rsidR="00454A29" w:rsidRDefault="00454A29">
            <w:pPr>
              <w:pStyle w:val="ConsPlusNormal"/>
            </w:pPr>
          </w:p>
        </w:tc>
        <w:tc>
          <w:tcPr>
            <w:tcW w:w="1701" w:type="dxa"/>
            <w:vAlign w:val="center"/>
          </w:tcPr>
          <w:p w14:paraId="6E996982" w14:textId="77777777" w:rsidR="00454A29" w:rsidRDefault="00454A29">
            <w:pPr>
              <w:pStyle w:val="ConsPlusNormal"/>
            </w:pPr>
          </w:p>
        </w:tc>
        <w:tc>
          <w:tcPr>
            <w:tcW w:w="1814" w:type="dxa"/>
            <w:vAlign w:val="center"/>
          </w:tcPr>
          <w:p w14:paraId="0E719CE9" w14:textId="77777777" w:rsidR="00454A29" w:rsidRDefault="00454A29">
            <w:pPr>
              <w:pStyle w:val="ConsPlusNormal"/>
            </w:pPr>
          </w:p>
        </w:tc>
      </w:tr>
      <w:tr w:rsidR="00454A29" w14:paraId="72364FBE" w14:textId="77777777">
        <w:tc>
          <w:tcPr>
            <w:tcW w:w="567" w:type="dxa"/>
            <w:vMerge/>
          </w:tcPr>
          <w:p w14:paraId="29A14862" w14:textId="77777777" w:rsidR="00454A29" w:rsidRDefault="00454A29"/>
        </w:tc>
        <w:tc>
          <w:tcPr>
            <w:tcW w:w="3345" w:type="dxa"/>
            <w:vMerge/>
          </w:tcPr>
          <w:p w14:paraId="2B629438" w14:textId="77777777" w:rsidR="00454A29" w:rsidRDefault="00454A29"/>
        </w:tc>
        <w:tc>
          <w:tcPr>
            <w:tcW w:w="1701" w:type="dxa"/>
            <w:vAlign w:val="center"/>
          </w:tcPr>
          <w:p w14:paraId="7FDD0028" w14:textId="77777777" w:rsidR="00454A29" w:rsidRDefault="00454A29">
            <w:pPr>
              <w:pStyle w:val="ConsPlusNormal"/>
              <w:jc w:val="center"/>
            </w:pPr>
            <w:r>
              <w:t>2025</w:t>
            </w:r>
          </w:p>
        </w:tc>
        <w:tc>
          <w:tcPr>
            <w:tcW w:w="1417" w:type="dxa"/>
            <w:vMerge/>
          </w:tcPr>
          <w:p w14:paraId="5C5BFA3D" w14:textId="77777777" w:rsidR="00454A29" w:rsidRDefault="00454A29"/>
        </w:tc>
        <w:tc>
          <w:tcPr>
            <w:tcW w:w="2204" w:type="dxa"/>
            <w:vMerge/>
          </w:tcPr>
          <w:p w14:paraId="4F9BCBCD" w14:textId="77777777" w:rsidR="00454A29" w:rsidRDefault="00454A29"/>
        </w:tc>
        <w:tc>
          <w:tcPr>
            <w:tcW w:w="1417" w:type="dxa"/>
            <w:vMerge/>
          </w:tcPr>
          <w:p w14:paraId="26E668EA" w14:textId="77777777" w:rsidR="00454A29" w:rsidRDefault="00454A29"/>
        </w:tc>
        <w:tc>
          <w:tcPr>
            <w:tcW w:w="2324" w:type="dxa"/>
            <w:vMerge/>
          </w:tcPr>
          <w:p w14:paraId="7053B2FE" w14:textId="77777777" w:rsidR="00454A29" w:rsidRDefault="00454A29"/>
        </w:tc>
        <w:tc>
          <w:tcPr>
            <w:tcW w:w="1701" w:type="dxa"/>
            <w:vAlign w:val="center"/>
          </w:tcPr>
          <w:p w14:paraId="5606C03F" w14:textId="77777777" w:rsidR="00454A29" w:rsidRDefault="00454A29">
            <w:pPr>
              <w:pStyle w:val="ConsPlusNormal"/>
            </w:pPr>
          </w:p>
        </w:tc>
        <w:tc>
          <w:tcPr>
            <w:tcW w:w="1814" w:type="dxa"/>
            <w:vAlign w:val="center"/>
          </w:tcPr>
          <w:p w14:paraId="5C0A0208" w14:textId="77777777" w:rsidR="00454A29" w:rsidRDefault="00454A29">
            <w:pPr>
              <w:pStyle w:val="ConsPlusNormal"/>
            </w:pPr>
          </w:p>
        </w:tc>
        <w:tc>
          <w:tcPr>
            <w:tcW w:w="1701" w:type="dxa"/>
            <w:vAlign w:val="center"/>
          </w:tcPr>
          <w:p w14:paraId="06FCE23F" w14:textId="77777777" w:rsidR="00454A29" w:rsidRDefault="00454A29">
            <w:pPr>
              <w:pStyle w:val="ConsPlusNormal"/>
            </w:pPr>
          </w:p>
        </w:tc>
        <w:tc>
          <w:tcPr>
            <w:tcW w:w="1701" w:type="dxa"/>
            <w:vAlign w:val="center"/>
          </w:tcPr>
          <w:p w14:paraId="2E804F99" w14:textId="77777777" w:rsidR="00454A29" w:rsidRDefault="00454A29">
            <w:pPr>
              <w:pStyle w:val="ConsPlusNormal"/>
            </w:pPr>
          </w:p>
        </w:tc>
        <w:tc>
          <w:tcPr>
            <w:tcW w:w="1814" w:type="dxa"/>
            <w:vAlign w:val="center"/>
          </w:tcPr>
          <w:p w14:paraId="0B7A69B7" w14:textId="77777777" w:rsidR="00454A29" w:rsidRDefault="00454A29">
            <w:pPr>
              <w:pStyle w:val="ConsPlusNormal"/>
            </w:pPr>
          </w:p>
        </w:tc>
      </w:tr>
      <w:tr w:rsidR="00454A29" w14:paraId="081D9690" w14:textId="77777777">
        <w:tc>
          <w:tcPr>
            <w:tcW w:w="567" w:type="dxa"/>
            <w:vMerge/>
          </w:tcPr>
          <w:p w14:paraId="289E2A0E" w14:textId="77777777" w:rsidR="00454A29" w:rsidRDefault="00454A29"/>
        </w:tc>
        <w:tc>
          <w:tcPr>
            <w:tcW w:w="3345" w:type="dxa"/>
            <w:vMerge/>
          </w:tcPr>
          <w:p w14:paraId="56C022A4" w14:textId="77777777" w:rsidR="00454A29" w:rsidRDefault="00454A29"/>
        </w:tc>
        <w:tc>
          <w:tcPr>
            <w:tcW w:w="1701" w:type="dxa"/>
            <w:vAlign w:val="center"/>
          </w:tcPr>
          <w:p w14:paraId="23FDD954" w14:textId="77777777" w:rsidR="00454A29" w:rsidRDefault="00454A29">
            <w:pPr>
              <w:pStyle w:val="ConsPlusNormal"/>
              <w:jc w:val="center"/>
            </w:pPr>
            <w:r>
              <w:t>2026</w:t>
            </w:r>
          </w:p>
        </w:tc>
        <w:tc>
          <w:tcPr>
            <w:tcW w:w="1417" w:type="dxa"/>
            <w:vMerge/>
          </w:tcPr>
          <w:p w14:paraId="5C8726A2" w14:textId="77777777" w:rsidR="00454A29" w:rsidRDefault="00454A29"/>
        </w:tc>
        <w:tc>
          <w:tcPr>
            <w:tcW w:w="2204" w:type="dxa"/>
            <w:vMerge/>
          </w:tcPr>
          <w:p w14:paraId="47E1FAC1" w14:textId="77777777" w:rsidR="00454A29" w:rsidRDefault="00454A29"/>
        </w:tc>
        <w:tc>
          <w:tcPr>
            <w:tcW w:w="1417" w:type="dxa"/>
            <w:vMerge/>
          </w:tcPr>
          <w:p w14:paraId="435D9927" w14:textId="77777777" w:rsidR="00454A29" w:rsidRDefault="00454A29"/>
        </w:tc>
        <w:tc>
          <w:tcPr>
            <w:tcW w:w="2324" w:type="dxa"/>
            <w:vMerge/>
          </w:tcPr>
          <w:p w14:paraId="78C93B3D" w14:textId="77777777" w:rsidR="00454A29" w:rsidRDefault="00454A29"/>
        </w:tc>
        <w:tc>
          <w:tcPr>
            <w:tcW w:w="1701" w:type="dxa"/>
            <w:vAlign w:val="center"/>
          </w:tcPr>
          <w:p w14:paraId="5AF29DB4" w14:textId="77777777" w:rsidR="00454A29" w:rsidRDefault="00454A29">
            <w:pPr>
              <w:pStyle w:val="ConsPlusNormal"/>
              <w:jc w:val="center"/>
            </w:pPr>
            <w:r>
              <w:t>534 015,16</w:t>
            </w:r>
          </w:p>
        </w:tc>
        <w:tc>
          <w:tcPr>
            <w:tcW w:w="1814" w:type="dxa"/>
            <w:vAlign w:val="center"/>
          </w:tcPr>
          <w:p w14:paraId="2898D6B0" w14:textId="77777777" w:rsidR="00454A29" w:rsidRDefault="00454A29">
            <w:pPr>
              <w:pStyle w:val="ConsPlusNormal"/>
              <w:jc w:val="center"/>
            </w:pPr>
            <w:r>
              <w:t>6 579,07</w:t>
            </w:r>
          </w:p>
        </w:tc>
        <w:tc>
          <w:tcPr>
            <w:tcW w:w="1701" w:type="dxa"/>
            <w:vAlign w:val="center"/>
          </w:tcPr>
          <w:p w14:paraId="0A70DEAE" w14:textId="77777777" w:rsidR="00454A29" w:rsidRDefault="00454A29">
            <w:pPr>
              <w:pStyle w:val="ConsPlusNormal"/>
              <w:jc w:val="center"/>
            </w:pPr>
            <w:r>
              <w:t>651 327,61</w:t>
            </w:r>
          </w:p>
        </w:tc>
        <w:tc>
          <w:tcPr>
            <w:tcW w:w="1701" w:type="dxa"/>
            <w:vAlign w:val="center"/>
          </w:tcPr>
          <w:p w14:paraId="271B6A4A" w14:textId="77777777" w:rsidR="00454A29" w:rsidRDefault="00454A29">
            <w:pPr>
              <w:pStyle w:val="ConsPlusNormal"/>
            </w:pPr>
          </w:p>
        </w:tc>
        <w:tc>
          <w:tcPr>
            <w:tcW w:w="1814" w:type="dxa"/>
            <w:vAlign w:val="center"/>
          </w:tcPr>
          <w:p w14:paraId="61C971BF" w14:textId="77777777" w:rsidR="00454A29" w:rsidRDefault="00454A29">
            <w:pPr>
              <w:pStyle w:val="ConsPlusNormal"/>
            </w:pPr>
          </w:p>
        </w:tc>
      </w:tr>
      <w:tr w:rsidR="00454A29" w14:paraId="235C069C" w14:textId="77777777">
        <w:tc>
          <w:tcPr>
            <w:tcW w:w="567" w:type="dxa"/>
            <w:vMerge w:val="restart"/>
            <w:vAlign w:val="center"/>
          </w:tcPr>
          <w:p w14:paraId="7225D48C" w14:textId="77777777" w:rsidR="00454A29" w:rsidRDefault="00454A29">
            <w:pPr>
              <w:pStyle w:val="ConsPlusNormal"/>
              <w:jc w:val="center"/>
            </w:pPr>
            <w:r>
              <w:t>172</w:t>
            </w:r>
          </w:p>
        </w:tc>
        <w:tc>
          <w:tcPr>
            <w:tcW w:w="3345" w:type="dxa"/>
            <w:vMerge w:val="restart"/>
            <w:vAlign w:val="center"/>
          </w:tcPr>
          <w:p w14:paraId="3057EE94" w14:textId="77777777" w:rsidR="00454A29" w:rsidRDefault="00454A29">
            <w:pPr>
              <w:pStyle w:val="ConsPlusNormal"/>
              <w:jc w:val="center"/>
            </w:pPr>
            <w:r>
              <w:t>Школа на 500 учащихся в г. Якутске, ул. Пионерская, квартал 4</w:t>
            </w:r>
          </w:p>
        </w:tc>
        <w:tc>
          <w:tcPr>
            <w:tcW w:w="1701" w:type="dxa"/>
            <w:vAlign w:val="center"/>
          </w:tcPr>
          <w:p w14:paraId="38687703" w14:textId="77777777" w:rsidR="00454A29" w:rsidRDefault="00454A29">
            <w:pPr>
              <w:pStyle w:val="ConsPlusNormal"/>
              <w:jc w:val="center"/>
            </w:pPr>
            <w:r>
              <w:t>2020 - 2026 годы - всего</w:t>
            </w:r>
          </w:p>
        </w:tc>
        <w:tc>
          <w:tcPr>
            <w:tcW w:w="1417" w:type="dxa"/>
            <w:vMerge w:val="restart"/>
            <w:vAlign w:val="center"/>
          </w:tcPr>
          <w:p w14:paraId="1AAA805D" w14:textId="77777777" w:rsidR="00454A29" w:rsidRDefault="00454A29">
            <w:pPr>
              <w:pStyle w:val="ConsPlusNormal"/>
              <w:jc w:val="center"/>
            </w:pPr>
            <w:r>
              <w:t>867 173,65</w:t>
            </w:r>
          </w:p>
        </w:tc>
        <w:tc>
          <w:tcPr>
            <w:tcW w:w="2204" w:type="dxa"/>
            <w:vMerge w:val="restart"/>
            <w:vAlign w:val="center"/>
          </w:tcPr>
          <w:p w14:paraId="1A0B3433" w14:textId="77777777" w:rsidR="00454A29" w:rsidRDefault="00454A29">
            <w:pPr>
              <w:pStyle w:val="ConsPlusNormal"/>
            </w:pPr>
          </w:p>
        </w:tc>
        <w:tc>
          <w:tcPr>
            <w:tcW w:w="1417" w:type="dxa"/>
            <w:vMerge w:val="restart"/>
            <w:vAlign w:val="center"/>
          </w:tcPr>
          <w:p w14:paraId="3ADE35C9" w14:textId="77777777" w:rsidR="00454A29" w:rsidRDefault="00454A29">
            <w:pPr>
              <w:pStyle w:val="ConsPlusNormal"/>
              <w:jc w:val="center"/>
            </w:pPr>
            <w:r>
              <w:t>500</w:t>
            </w:r>
          </w:p>
        </w:tc>
        <w:tc>
          <w:tcPr>
            <w:tcW w:w="2324" w:type="dxa"/>
            <w:vMerge w:val="restart"/>
            <w:vAlign w:val="center"/>
          </w:tcPr>
          <w:p w14:paraId="79C22EC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98911BC" w14:textId="77777777" w:rsidR="00454A29" w:rsidRDefault="00454A29">
            <w:pPr>
              <w:pStyle w:val="ConsPlusNormal"/>
              <w:jc w:val="center"/>
            </w:pPr>
            <w:r>
              <w:t>867 173,65</w:t>
            </w:r>
          </w:p>
        </w:tc>
        <w:tc>
          <w:tcPr>
            <w:tcW w:w="1814" w:type="dxa"/>
            <w:vAlign w:val="center"/>
          </w:tcPr>
          <w:p w14:paraId="0A7A2EF2" w14:textId="77777777" w:rsidR="00454A29" w:rsidRDefault="00454A29">
            <w:pPr>
              <w:pStyle w:val="ConsPlusNormal"/>
              <w:jc w:val="center"/>
            </w:pPr>
            <w:r>
              <w:t>10 683,58</w:t>
            </w:r>
          </w:p>
        </w:tc>
        <w:tc>
          <w:tcPr>
            <w:tcW w:w="1701" w:type="dxa"/>
            <w:vAlign w:val="center"/>
          </w:tcPr>
          <w:p w14:paraId="0C679EA2" w14:textId="77777777" w:rsidR="00454A29" w:rsidRDefault="00454A29">
            <w:pPr>
              <w:pStyle w:val="ConsPlusNormal"/>
              <w:jc w:val="center"/>
            </w:pPr>
            <w:r>
              <w:t>1 057 674,36</w:t>
            </w:r>
          </w:p>
        </w:tc>
        <w:tc>
          <w:tcPr>
            <w:tcW w:w="1701" w:type="dxa"/>
            <w:vAlign w:val="center"/>
          </w:tcPr>
          <w:p w14:paraId="7E3D6079" w14:textId="77777777" w:rsidR="00454A29" w:rsidRDefault="00454A29">
            <w:pPr>
              <w:pStyle w:val="ConsPlusNormal"/>
              <w:jc w:val="center"/>
            </w:pPr>
            <w:r>
              <w:t>-</w:t>
            </w:r>
          </w:p>
        </w:tc>
        <w:tc>
          <w:tcPr>
            <w:tcW w:w="1814" w:type="dxa"/>
            <w:vAlign w:val="center"/>
          </w:tcPr>
          <w:p w14:paraId="13AB07EF" w14:textId="77777777" w:rsidR="00454A29" w:rsidRDefault="00454A29">
            <w:pPr>
              <w:pStyle w:val="ConsPlusNormal"/>
              <w:jc w:val="center"/>
            </w:pPr>
            <w:r>
              <w:t>-</w:t>
            </w:r>
          </w:p>
        </w:tc>
      </w:tr>
      <w:tr w:rsidR="00454A29" w14:paraId="1476C3B6" w14:textId="77777777">
        <w:tc>
          <w:tcPr>
            <w:tcW w:w="567" w:type="dxa"/>
            <w:vMerge/>
          </w:tcPr>
          <w:p w14:paraId="1C765DA6" w14:textId="77777777" w:rsidR="00454A29" w:rsidRDefault="00454A29"/>
        </w:tc>
        <w:tc>
          <w:tcPr>
            <w:tcW w:w="3345" w:type="dxa"/>
            <w:vMerge/>
          </w:tcPr>
          <w:p w14:paraId="03F36E05" w14:textId="77777777" w:rsidR="00454A29" w:rsidRDefault="00454A29"/>
        </w:tc>
        <w:tc>
          <w:tcPr>
            <w:tcW w:w="1701" w:type="dxa"/>
            <w:vAlign w:val="center"/>
          </w:tcPr>
          <w:p w14:paraId="2CD05896" w14:textId="77777777" w:rsidR="00454A29" w:rsidRDefault="00454A29">
            <w:pPr>
              <w:pStyle w:val="ConsPlusNormal"/>
              <w:jc w:val="center"/>
            </w:pPr>
            <w:r>
              <w:t>2020</w:t>
            </w:r>
          </w:p>
        </w:tc>
        <w:tc>
          <w:tcPr>
            <w:tcW w:w="1417" w:type="dxa"/>
            <w:vMerge/>
          </w:tcPr>
          <w:p w14:paraId="4FE330C2" w14:textId="77777777" w:rsidR="00454A29" w:rsidRDefault="00454A29"/>
        </w:tc>
        <w:tc>
          <w:tcPr>
            <w:tcW w:w="2204" w:type="dxa"/>
            <w:vMerge/>
          </w:tcPr>
          <w:p w14:paraId="59D25A24" w14:textId="77777777" w:rsidR="00454A29" w:rsidRDefault="00454A29"/>
        </w:tc>
        <w:tc>
          <w:tcPr>
            <w:tcW w:w="1417" w:type="dxa"/>
            <w:vMerge/>
          </w:tcPr>
          <w:p w14:paraId="75D904D8" w14:textId="77777777" w:rsidR="00454A29" w:rsidRDefault="00454A29"/>
        </w:tc>
        <w:tc>
          <w:tcPr>
            <w:tcW w:w="2324" w:type="dxa"/>
            <w:vMerge/>
          </w:tcPr>
          <w:p w14:paraId="219BD6A5" w14:textId="77777777" w:rsidR="00454A29" w:rsidRDefault="00454A29"/>
        </w:tc>
        <w:tc>
          <w:tcPr>
            <w:tcW w:w="1701" w:type="dxa"/>
            <w:vAlign w:val="center"/>
          </w:tcPr>
          <w:p w14:paraId="72863B4D" w14:textId="77777777" w:rsidR="00454A29" w:rsidRDefault="00454A29">
            <w:pPr>
              <w:pStyle w:val="ConsPlusNormal"/>
            </w:pPr>
          </w:p>
        </w:tc>
        <w:tc>
          <w:tcPr>
            <w:tcW w:w="1814" w:type="dxa"/>
            <w:vAlign w:val="center"/>
          </w:tcPr>
          <w:p w14:paraId="229DDE21" w14:textId="77777777" w:rsidR="00454A29" w:rsidRDefault="00454A29">
            <w:pPr>
              <w:pStyle w:val="ConsPlusNormal"/>
            </w:pPr>
          </w:p>
        </w:tc>
        <w:tc>
          <w:tcPr>
            <w:tcW w:w="1701" w:type="dxa"/>
            <w:vAlign w:val="center"/>
          </w:tcPr>
          <w:p w14:paraId="1D5F53DC" w14:textId="77777777" w:rsidR="00454A29" w:rsidRDefault="00454A29">
            <w:pPr>
              <w:pStyle w:val="ConsPlusNormal"/>
            </w:pPr>
          </w:p>
        </w:tc>
        <w:tc>
          <w:tcPr>
            <w:tcW w:w="1701" w:type="dxa"/>
            <w:vAlign w:val="center"/>
          </w:tcPr>
          <w:p w14:paraId="6D20D76A" w14:textId="77777777" w:rsidR="00454A29" w:rsidRDefault="00454A29">
            <w:pPr>
              <w:pStyle w:val="ConsPlusNormal"/>
            </w:pPr>
          </w:p>
        </w:tc>
        <w:tc>
          <w:tcPr>
            <w:tcW w:w="1814" w:type="dxa"/>
            <w:vAlign w:val="center"/>
          </w:tcPr>
          <w:p w14:paraId="1FF4FC10" w14:textId="77777777" w:rsidR="00454A29" w:rsidRDefault="00454A29">
            <w:pPr>
              <w:pStyle w:val="ConsPlusNormal"/>
            </w:pPr>
          </w:p>
        </w:tc>
      </w:tr>
      <w:tr w:rsidR="00454A29" w14:paraId="69DB83A3" w14:textId="77777777">
        <w:tc>
          <w:tcPr>
            <w:tcW w:w="567" w:type="dxa"/>
            <w:vMerge/>
          </w:tcPr>
          <w:p w14:paraId="2B3EE50D" w14:textId="77777777" w:rsidR="00454A29" w:rsidRDefault="00454A29"/>
        </w:tc>
        <w:tc>
          <w:tcPr>
            <w:tcW w:w="3345" w:type="dxa"/>
            <w:vMerge/>
          </w:tcPr>
          <w:p w14:paraId="26E5E596" w14:textId="77777777" w:rsidR="00454A29" w:rsidRDefault="00454A29"/>
        </w:tc>
        <w:tc>
          <w:tcPr>
            <w:tcW w:w="1701" w:type="dxa"/>
            <w:vAlign w:val="center"/>
          </w:tcPr>
          <w:p w14:paraId="5CA5785E" w14:textId="77777777" w:rsidR="00454A29" w:rsidRDefault="00454A29">
            <w:pPr>
              <w:pStyle w:val="ConsPlusNormal"/>
              <w:jc w:val="center"/>
            </w:pPr>
            <w:r>
              <w:t>2021</w:t>
            </w:r>
          </w:p>
        </w:tc>
        <w:tc>
          <w:tcPr>
            <w:tcW w:w="1417" w:type="dxa"/>
            <w:vMerge/>
          </w:tcPr>
          <w:p w14:paraId="530795EC" w14:textId="77777777" w:rsidR="00454A29" w:rsidRDefault="00454A29"/>
        </w:tc>
        <w:tc>
          <w:tcPr>
            <w:tcW w:w="2204" w:type="dxa"/>
            <w:vMerge/>
          </w:tcPr>
          <w:p w14:paraId="650F6E87" w14:textId="77777777" w:rsidR="00454A29" w:rsidRDefault="00454A29"/>
        </w:tc>
        <w:tc>
          <w:tcPr>
            <w:tcW w:w="1417" w:type="dxa"/>
            <w:vMerge/>
          </w:tcPr>
          <w:p w14:paraId="1C100B2F" w14:textId="77777777" w:rsidR="00454A29" w:rsidRDefault="00454A29"/>
        </w:tc>
        <w:tc>
          <w:tcPr>
            <w:tcW w:w="2324" w:type="dxa"/>
            <w:vMerge/>
          </w:tcPr>
          <w:p w14:paraId="2E89D142" w14:textId="77777777" w:rsidR="00454A29" w:rsidRDefault="00454A29"/>
        </w:tc>
        <w:tc>
          <w:tcPr>
            <w:tcW w:w="1701" w:type="dxa"/>
            <w:vAlign w:val="center"/>
          </w:tcPr>
          <w:p w14:paraId="782D99E1" w14:textId="77777777" w:rsidR="00454A29" w:rsidRDefault="00454A29">
            <w:pPr>
              <w:pStyle w:val="ConsPlusNormal"/>
              <w:jc w:val="center"/>
            </w:pPr>
            <w:r>
              <w:t>-</w:t>
            </w:r>
          </w:p>
        </w:tc>
        <w:tc>
          <w:tcPr>
            <w:tcW w:w="1814" w:type="dxa"/>
            <w:vAlign w:val="center"/>
          </w:tcPr>
          <w:p w14:paraId="087542D4" w14:textId="77777777" w:rsidR="00454A29" w:rsidRDefault="00454A29">
            <w:pPr>
              <w:pStyle w:val="ConsPlusNormal"/>
            </w:pPr>
          </w:p>
        </w:tc>
        <w:tc>
          <w:tcPr>
            <w:tcW w:w="1701" w:type="dxa"/>
            <w:vAlign w:val="center"/>
          </w:tcPr>
          <w:p w14:paraId="15917CAF" w14:textId="77777777" w:rsidR="00454A29" w:rsidRDefault="00454A29">
            <w:pPr>
              <w:pStyle w:val="ConsPlusNormal"/>
            </w:pPr>
          </w:p>
        </w:tc>
        <w:tc>
          <w:tcPr>
            <w:tcW w:w="1701" w:type="dxa"/>
            <w:vAlign w:val="center"/>
          </w:tcPr>
          <w:p w14:paraId="09690BDC" w14:textId="77777777" w:rsidR="00454A29" w:rsidRDefault="00454A29">
            <w:pPr>
              <w:pStyle w:val="ConsPlusNormal"/>
            </w:pPr>
          </w:p>
        </w:tc>
        <w:tc>
          <w:tcPr>
            <w:tcW w:w="1814" w:type="dxa"/>
            <w:vAlign w:val="center"/>
          </w:tcPr>
          <w:p w14:paraId="1DF8B8F0" w14:textId="77777777" w:rsidR="00454A29" w:rsidRDefault="00454A29">
            <w:pPr>
              <w:pStyle w:val="ConsPlusNormal"/>
            </w:pPr>
          </w:p>
        </w:tc>
      </w:tr>
      <w:tr w:rsidR="00454A29" w14:paraId="57E3056A" w14:textId="77777777">
        <w:tc>
          <w:tcPr>
            <w:tcW w:w="567" w:type="dxa"/>
            <w:vMerge/>
          </w:tcPr>
          <w:p w14:paraId="2555E3C0" w14:textId="77777777" w:rsidR="00454A29" w:rsidRDefault="00454A29"/>
        </w:tc>
        <w:tc>
          <w:tcPr>
            <w:tcW w:w="3345" w:type="dxa"/>
            <w:vMerge/>
          </w:tcPr>
          <w:p w14:paraId="6B0F06ED" w14:textId="77777777" w:rsidR="00454A29" w:rsidRDefault="00454A29"/>
        </w:tc>
        <w:tc>
          <w:tcPr>
            <w:tcW w:w="1701" w:type="dxa"/>
            <w:vAlign w:val="center"/>
          </w:tcPr>
          <w:p w14:paraId="3A89AB8F" w14:textId="77777777" w:rsidR="00454A29" w:rsidRDefault="00454A29">
            <w:pPr>
              <w:pStyle w:val="ConsPlusNormal"/>
              <w:jc w:val="center"/>
            </w:pPr>
            <w:r>
              <w:t>2022</w:t>
            </w:r>
          </w:p>
        </w:tc>
        <w:tc>
          <w:tcPr>
            <w:tcW w:w="1417" w:type="dxa"/>
            <w:vMerge/>
          </w:tcPr>
          <w:p w14:paraId="4E87515C" w14:textId="77777777" w:rsidR="00454A29" w:rsidRDefault="00454A29"/>
        </w:tc>
        <w:tc>
          <w:tcPr>
            <w:tcW w:w="2204" w:type="dxa"/>
            <w:vMerge/>
          </w:tcPr>
          <w:p w14:paraId="38490A0B" w14:textId="77777777" w:rsidR="00454A29" w:rsidRDefault="00454A29"/>
        </w:tc>
        <w:tc>
          <w:tcPr>
            <w:tcW w:w="1417" w:type="dxa"/>
            <w:vMerge/>
          </w:tcPr>
          <w:p w14:paraId="651316BE" w14:textId="77777777" w:rsidR="00454A29" w:rsidRDefault="00454A29"/>
        </w:tc>
        <w:tc>
          <w:tcPr>
            <w:tcW w:w="2324" w:type="dxa"/>
            <w:vMerge/>
          </w:tcPr>
          <w:p w14:paraId="285C738E" w14:textId="77777777" w:rsidR="00454A29" w:rsidRDefault="00454A29"/>
        </w:tc>
        <w:tc>
          <w:tcPr>
            <w:tcW w:w="1701" w:type="dxa"/>
            <w:vAlign w:val="center"/>
          </w:tcPr>
          <w:p w14:paraId="7DC9E413" w14:textId="77777777" w:rsidR="00454A29" w:rsidRDefault="00454A29">
            <w:pPr>
              <w:pStyle w:val="ConsPlusNormal"/>
            </w:pPr>
          </w:p>
        </w:tc>
        <w:tc>
          <w:tcPr>
            <w:tcW w:w="1814" w:type="dxa"/>
            <w:vAlign w:val="center"/>
          </w:tcPr>
          <w:p w14:paraId="453FB6C5" w14:textId="77777777" w:rsidR="00454A29" w:rsidRDefault="00454A29">
            <w:pPr>
              <w:pStyle w:val="ConsPlusNormal"/>
            </w:pPr>
          </w:p>
        </w:tc>
        <w:tc>
          <w:tcPr>
            <w:tcW w:w="1701" w:type="dxa"/>
            <w:vAlign w:val="center"/>
          </w:tcPr>
          <w:p w14:paraId="385385CC" w14:textId="77777777" w:rsidR="00454A29" w:rsidRDefault="00454A29">
            <w:pPr>
              <w:pStyle w:val="ConsPlusNormal"/>
            </w:pPr>
          </w:p>
        </w:tc>
        <w:tc>
          <w:tcPr>
            <w:tcW w:w="1701" w:type="dxa"/>
            <w:vAlign w:val="center"/>
          </w:tcPr>
          <w:p w14:paraId="7740C1F7" w14:textId="77777777" w:rsidR="00454A29" w:rsidRDefault="00454A29">
            <w:pPr>
              <w:pStyle w:val="ConsPlusNormal"/>
            </w:pPr>
          </w:p>
        </w:tc>
        <w:tc>
          <w:tcPr>
            <w:tcW w:w="1814" w:type="dxa"/>
            <w:vAlign w:val="center"/>
          </w:tcPr>
          <w:p w14:paraId="0A5E1F4A" w14:textId="77777777" w:rsidR="00454A29" w:rsidRDefault="00454A29">
            <w:pPr>
              <w:pStyle w:val="ConsPlusNormal"/>
            </w:pPr>
          </w:p>
        </w:tc>
      </w:tr>
      <w:tr w:rsidR="00454A29" w14:paraId="3AB9B5ED" w14:textId="77777777">
        <w:tc>
          <w:tcPr>
            <w:tcW w:w="567" w:type="dxa"/>
            <w:vMerge/>
          </w:tcPr>
          <w:p w14:paraId="3B53A1CE" w14:textId="77777777" w:rsidR="00454A29" w:rsidRDefault="00454A29"/>
        </w:tc>
        <w:tc>
          <w:tcPr>
            <w:tcW w:w="3345" w:type="dxa"/>
            <w:vMerge/>
          </w:tcPr>
          <w:p w14:paraId="12731DB3" w14:textId="77777777" w:rsidR="00454A29" w:rsidRDefault="00454A29"/>
        </w:tc>
        <w:tc>
          <w:tcPr>
            <w:tcW w:w="1701" w:type="dxa"/>
            <w:vAlign w:val="center"/>
          </w:tcPr>
          <w:p w14:paraId="654728E7" w14:textId="77777777" w:rsidR="00454A29" w:rsidRDefault="00454A29">
            <w:pPr>
              <w:pStyle w:val="ConsPlusNormal"/>
              <w:jc w:val="center"/>
            </w:pPr>
            <w:r>
              <w:t>2023</w:t>
            </w:r>
          </w:p>
        </w:tc>
        <w:tc>
          <w:tcPr>
            <w:tcW w:w="1417" w:type="dxa"/>
            <w:vMerge/>
          </w:tcPr>
          <w:p w14:paraId="75F90DB1" w14:textId="77777777" w:rsidR="00454A29" w:rsidRDefault="00454A29"/>
        </w:tc>
        <w:tc>
          <w:tcPr>
            <w:tcW w:w="2204" w:type="dxa"/>
            <w:vMerge/>
          </w:tcPr>
          <w:p w14:paraId="6E8F2F17" w14:textId="77777777" w:rsidR="00454A29" w:rsidRDefault="00454A29"/>
        </w:tc>
        <w:tc>
          <w:tcPr>
            <w:tcW w:w="1417" w:type="dxa"/>
            <w:vMerge/>
          </w:tcPr>
          <w:p w14:paraId="060E85DD" w14:textId="77777777" w:rsidR="00454A29" w:rsidRDefault="00454A29"/>
        </w:tc>
        <w:tc>
          <w:tcPr>
            <w:tcW w:w="2324" w:type="dxa"/>
            <w:vMerge/>
          </w:tcPr>
          <w:p w14:paraId="7632102D" w14:textId="77777777" w:rsidR="00454A29" w:rsidRDefault="00454A29"/>
        </w:tc>
        <w:tc>
          <w:tcPr>
            <w:tcW w:w="1701" w:type="dxa"/>
            <w:vAlign w:val="center"/>
          </w:tcPr>
          <w:p w14:paraId="79A38495" w14:textId="77777777" w:rsidR="00454A29" w:rsidRDefault="00454A29">
            <w:pPr>
              <w:pStyle w:val="ConsPlusNormal"/>
            </w:pPr>
          </w:p>
        </w:tc>
        <w:tc>
          <w:tcPr>
            <w:tcW w:w="1814" w:type="dxa"/>
            <w:vAlign w:val="center"/>
          </w:tcPr>
          <w:p w14:paraId="11223A3F" w14:textId="77777777" w:rsidR="00454A29" w:rsidRDefault="00454A29">
            <w:pPr>
              <w:pStyle w:val="ConsPlusNormal"/>
            </w:pPr>
          </w:p>
        </w:tc>
        <w:tc>
          <w:tcPr>
            <w:tcW w:w="1701" w:type="dxa"/>
            <w:vAlign w:val="center"/>
          </w:tcPr>
          <w:p w14:paraId="69214EF0" w14:textId="77777777" w:rsidR="00454A29" w:rsidRDefault="00454A29">
            <w:pPr>
              <w:pStyle w:val="ConsPlusNormal"/>
            </w:pPr>
          </w:p>
        </w:tc>
        <w:tc>
          <w:tcPr>
            <w:tcW w:w="1701" w:type="dxa"/>
            <w:vAlign w:val="center"/>
          </w:tcPr>
          <w:p w14:paraId="3DDE350A" w14:textId="77777777" w:rsidR="00454A29" w:rsidRDefault="00454A29">
            <w:pPr>
              <w:pStyle w:val="ConsPlusNormal"/>
            </w:pPr>
          </w:p>
        </w:tc>
        <w:tc>
          <w:tcPr>
            <w:tcW w:w="1814" w:type="dxa"/>
            <w:vAlign w:val="center"/>
          </w:tcPr>
          <w:p w14:paraId="10A59109" w14:textId="77777777" w:rsidR="00454A29" w:rsidRDefault="00454A29">
            <w:pPr>
              <w:pStyle w:val="ConsPlusNormal"/>
            </w:pPr>
          </w:p>
        </w:tc>
      </w:tr>
      <w:tr w:rsidR="00454A29" w14:paraId="39054A95" w14:textId="77777777">
        <w:tc>
          <w:tcPr>
            <w:tcW w:w="567" w:type="dxa"/>
            <w:vMerge/>
          </w:tcPr>
          <w:p w14:paraId="01850CA9" w14:textId="77777777" w:rsidR="00454A29" w:rsidRDefault="00454A29"/>
        </w:tc>
        <w:tc>
          <w:tcPr>
            <w:tcW w:w="3345" w:type="dxa"/>
            <w:vMerge/>
          </w:tcPr>
          <w:p w14:paraId="68434E6A" w14:textId="77777777" w:rsidR="00454A29" w:rsidRDefault="00454A29"/>
        </w:tc>
        <w:tc>
          <w:tcPr>
            <w:tcW w:w="1701" w:type="dxa"/>
            <w:vAlign w:val="center"/>
          </w:tcPr>
          <w:p w14:paraId="792419FD" w14:textId="77777777" w:rsidR="00454A29" w:rsidRDefault="00454A29">
            <w:pPr>
              <w:pStyle w:val="ConsPlusNormal"/>
              <w:jc w:val="center"/>
            </w:pPr>
            <w:r>
              <w:t>2024</w:t>
            </w:r>
          </w:p>
        </w:tc>
        <w:tc>
          <w:tcPr>
            <w:tcW w:w="1417" w:type="dxa"/>
            <w:vMerge/>
          </w:tcPr>
          <w:p w14:paraId="7905F046" w14:textId="77777777" w:rsidR="00454A29" w:rsidRDefault="00454A29"/>
        </w:tc>
        <w:tc>
          <w:tcPr>
            <w:tcW w:w="2204" w:type="dxa"/>
            <w:vMerge/>
          </w:tcPr>
          <w:p w14:paraId="73DFA6E3" w14:textId="77777777" w:rsidR="00454A29" w:rsidRDefault="00454A29"/>
        </w:tc>
        <w:tc>
          <w:tcPr>
            <w:tcW w:w="1417" w:type="dxa"/>
            <w:vMerge/>
          </w:tcPr>
          <w:p w14:paraId="66123D3C" w14:textId="77777777" w:rsidR="00454A29" w:rsidRDefault="00454A29"/>
        </w:tc>
        <w:tc>
          <w:tcPr>
            <w:tcW w:w="2324" w:type="dxa"/>
            <w:vMerge/>
          </w:tcPr>
          <w:p w14:paraId="64C420DA" w14:textId="77777777" w:rsidR="00454A29" w:rsidRDefault="00454A29"/>
        </w:tc>
        <w:tc>
          <w:tcPr>
            <w:tcW w:w="1701" w:type="dxa"/>
            <w:vAlign w:val="center"/>
          </w:tcPr>
          <w:p w14:paraId="532D4747" w14:textId="77777777" w:rsidR="00454A29" w:rsidRDefault="00454A29">
            <w:pPr>
              <w:pStyle w:val="ConsPlusNormal"/>
            </w:pPr>
          </w:p>
        </w:tc>
        <w:tc>
          <w:tcPr>
            <w:tcW w:w="1814" w:type="dxa"/>
            <w:vAlign w:val="center"/>
          </w:tcPr>
          <w:p w14:paraId="0B1440D8" w14:textId="77777777" w:rsidR="00454A29" w:rsidRDefault="00454A29">
            <w:pPr>
              <w:pStyle w:val="ConsPlusNormal"/>
            </w:pPr>
          </w:p>
        </w:tc>
        <w:tc>
          <w:tcPr>
            <w:tcW w:w="1701" w:type="dxa"/>
            <w:vAlign w:val="center"/>
          </w:tcPr>
          <w:p w14:paraId="23084DFA" w14:textId="77777777" w:rsidR="00454A29" w:rsidRDefault="00454A29">
            <w:pPr>
              <w:pStyle w:val="ConsPlusNormal"/>
            </w:pPr>
          </w:p>
        </w:tc>
        <w:tc>
          <w:tcPr>
            <w:tcW w:w="1701" w:type="dxa"/>
            <w:vAlign w:val="center"/>
          </w:tcPr>
          <w:p w14:paraId="10A42972" w14:textId="77777777" w:rsidR="00454A29" w:rsidRDefault="00454A29">
            <w:pPr>
              <w:pStyle w:val="ConsPlusNormal"/>
            </w:pPr>
          </w:p>
        </w:tc>
        <w:tc>
          <w:tcPr>
            <w:tcW w:w="1814" w:type="dxa"/>
            <w:vAlign w:val="center"/>
          </w:tcPr>
          <w:p w14:paraId="04D6A1AE" w14:textId="77777777" w:rsidR="00454A29" w:rsidRDefault="00454A29">
            <w:pPr>
              <w:pStyle w:val="ConsPlusNormal"/>
            </w:pPr>
          </w:p>
        </w:tc>
      </w:tr>
      <w:tr w:rsidR="00454A29" w14:paraId="3174F7C8" w14:textId="77777777">
        <w:tc>
          <w:tcPr>
            <w:tcW w:w="567" w:type="dxa"/>
            <w:vMerge/>
          </w:tcPr>
          <w:p w14:paraId="1B0AFCB7" w14:textId="77777777" w:rsidR="00454A29" w:rsidRDefault="00454A29"/>
        </w:tc>
        <w:tc>
          <w:tcPr>
            <w:tcW w:w="3345" w:type="dxa"/>
            <w:vMerge/>
          </w:tcPr>
          <w:p w14:paraId="0F8DB001" w14:textId="77777777" w:rsidR="00454A29" w:rsidRDefault="00454A29"/>
        </w:tc>
        <w:tc>
          <w:tcPr>
            <w:tcW w:w="1701" w:type="dxa"/>
            <w:vAlign w:val="center"/>
          </w:tcPr>
          <w:p w14:paraId="49A5E0B1" w14:textId="77777777" w:rsidR="00454A29" w:rsidRDefault="00454A29">
            <w:pPr>
              <w:pStyle w:val="ConsPlusNormal"/>
              <w:jc w:val="center"/>
            </w:pPr>
            <w:r>
              <w:t>2025</w:t>
            </w:r>
          </w:p>
        </w:tc>
        <w:tc>
          <w:tcPr>
            <w:tcW w:w="1417" w:type="dxa"/>
            <w:vMerge/>
          </w:tcPr>
          <w:p w14:paraId="7BA9C754" w14:textId="77777777" w:rsidR="00454A29" w:rsidRDefault="00454A29"/>
        </w:tc>
        <w:tc>
          <w:tcPr>
            <w:tcW w:w="2204" w:type="dxa"/>
            <w:vMerge/>
          </w:tcPr>
          <w:p w14:paraId="3B50EA56" w14:textId="77777777" w:rsidR="00454A29" w:rsidRDefault="00454A29"/>
        </w:tc>
        <w:tc>
          <w:tcPr>
            <w:tcW w:w="1417" w:type="dxa"/>
            <w:vMerge/>
          </w:tcPr>
          <w:p w14:paraId="2A3AB2CB" w14:textId="77777777" w:rsidR="00454A29" w:rsidRDefault="00454A29"/>
        </w:tc>
        <w:tc>
          <w:tcPr>
            <w:tcW w:w="2324" w:type="dxa"/>
            <w:vMerge/>
          </w:tcPr>
          <w:p w14:paraId="28E9EF83" w14:textId="77777777" w:rsidR="00454A29" w:rsidRDefault="00454A29"/>
        </w:tc>
        <w:tc>
          <w:tcPr>
            <w:tcW w:w="1701" w:type="dxa"/>
            <w:vAlign w:val="center"/>
          </w:tcPr>
          <w:p w14:paraId="31963F4B" w14:textId="77777777" w:rsidR="00454A29" w:rsidRDefault="00454A29">
            <w:pPr>
              <w:pStyle w:val="ConsPlusNormal"/>
            </w:pPr>
          </w:p>
        </w:tc>
        <w:tc>
          <w:tcPr>
            <w:tcW w:w="1814" w:type="dxa"/>
            <w:vAlign w:val="center"/>
          </w:tcPr>
          <w:p w14:paraId="6C06FDC1" w14:textId="77777777" w:rsidR="00454A29" w:rsidRDefault="00454A29">
            <w:pPr>
              <w:pStyle w:val="ConsPlusNormal"/>
            </w:pPr>
          </w:p>
        </w:tc>
        <w:tc>
          <w:tcPr>
            <w:tcW w:w="1701" w:type="dxa"/>
            <w:vAlign w:val="center"/>
          </w:tcPr>
          <w:p w14:paraId="6341C953" w14:textId="77777777" w:rsidR="00454A29" w:rsidRDefault="00454A29">
            <w:pPr>
              <w:pStyle w:val="ConsPlusNormal"/>
            </w:pPr>
          </w:p>
        </w:tc>
        <w:tc>
          <w:tcPr>
            <w:tcW w:w="1701" w:type="dxa"/>
            <w:vAlign w:val="center"/>
          </w:tcPr>
          <w:p w14:paraId="6DD56ADD" w14:textId="77777777" w:rsidR="00454A29" w:rsidRDefault="00454A29">
            <w:pPr>
              <w:pStyle w:val="ConsPlusNormal"/>
            </w:pPr>
          </w:p>
        </w:tc>
        <w:tc>
          <w:tcPr>
            <w:tcW w:w="1814" w:type="dxa"/>
            <w:vAlign w:val="center"/>
          </w:tcPr>
          <w:p w14:paraId="2F7187D6" w14:textId="77777777" w:rsidR="00454A29" w:rsidRDefault="00454A29">
            <w:pPr>
              <w:pStyle w:val="ConsPlusNormal"/>
            </w:pPr>
          </w:p>
        </w:tc>
      </w:tr>
      <w:tr w:rsidR="00454A29" w14:paraId="0A889D12" w14:textId="77777777">
        <w:tc>
          <w:tcPr>
            <w:tcW w:w="567" w:type="dxa"/>
            <w:vMerge/>
          </w:tcPr>
          <w:p w14:paraId="6F5281BB" w14:textId="77777777" w:rsidR="00454A29" w:rsidRDefault="00454A29"/>
        </w:tc>
        <w:tc>
          <w:tcPr>
            <w:tcW w:w="3345" w:type="dxa"/>
            <w:vMerge/>
          </w:tcPr>
          <w:p w14:paraId="4B47C71D" w14:textId="77777777" w:rsidR="00454A29" w:rsidRDefault="00454A29"/>
        </w:tc>
        <w:tc>
          <w:tcPr>
            <w:tcW w:w="1701" w:type="dxa"/>
            <w:vAlign w:val="center"/>
          </w:tcPr>
          <w:p w14:paraId="1BAE77D5" w14:textId="77777777" w:rsidR="00454A29" w:rsidRDefault="00454A29">
            <w:pPr>
              <w:pStyle w:val="ConsPlusNormal"/>
              <w:jc w:val="center"/>
            </w:pPr>
            <w:r>
              <w:t>2026</w:t>
            </w:r>
          </w:p>
        </w:tc>
        <w:tc>
          <w:tcPr>
            <w:tcW w:w="1417" w:type="dxa"/>
            <w:vMerge/>
          </w:tcPr>
          <w:p w14:paraId="0F37E71F" w14:textId="77777777" w:rsidR="00454A29" w:rsidRDefault="00454A29"/>
        </w:tc>
        <w:tc>
          <w:tcPr>
            <w:tcW w:w="2204" w:type="dxa"/>
            <w:vMerge/>
          </w:tcPr>
          <w:p w14:paraId="6EAA4156" w14:textId="77777777" w:rsidR="00454A29" w:rsidRDefault="00454A29"/>
        </w:tc>
        <w:tc>
          <w:tcPr>
            <w:tcW w:w="1417" w:type="dxa"/>
            <w:vMerge/>
          </w:tcPr>
          <w:p w14:paraId="14997F79" w14:textId="77777777" w:rsidR="00454A29" w:rsidRDefault="00454A29"/>
        </w:tc>
        <w:tc>
          <w:tcPr>
            <w:tcW w:w="2324" w:type="dxa"/>
            <w:vMerge/>
          </w:tcPr>
          <w:p w14:paraId="5FBC08EA" w14:textId="77777777" w:rsidR="00454A29" w:rsidRDefault="00454A29"/>
        </w:tc>
        <w:tc>
          <w:tcPr>
            <w:tcW w:w="1701" w:type="dxa"/>
            <w:vAlign w:val="center"/>
          </w:tcPr>
          <w:p w14:paraId="4BAEEF8B" w14:textId="77777777" w:rsidR="00454A29" w:rsidRDefault="00454A29">
            <w:pPr>
              <w:pStyle w:val="ConsPlusNormal"/>
              <w:jc w:val="center"/>
            </w:pPr>
            <w:r>
              <w:t>867 173,65</w:t>
            </w:r>
          </w:p>
        </w:tc>
        <w:tc>
          <w:tcPr>
            <w:tcW w:w="1814" w:type="dxa"/>
            <w:vAlign w:val="center"/>
          </w:tcPr>
          <w:p w14:paraId="11288EFA" w14:textId="77777777" w:rsidR="00454A29" w:rsidRDefault="00454A29">
            <w:pPr>
              <w:pStyle w:val="ConsPlusNormal"/>
              <w:jc w:val="center"/>
            </w:pPr>
            <w:r>
              <w:t>10 683,58</w:t>
            </w:r>
          </w:p>
        </w:tc>
        <w:tc>
          <w:tcPr>
            <w:tcW w:w="1701" w:type="dxa"/>
            <w:vAlign w:val="center"/>
          </w:tcPr>
          <w:p w14:paraId="5C01BA60" w14:textId="77777777" w:rsidR="00454A29" w:rsidRDefault="00454A29">
            <w:pPr>
              <w:pStyle w:val="ConsPlusNormal"/>
              <w:jc w:val="center"/>
            </w:pPr>
            <w:r>
              <w:t>1 057 674,36</w:t>
            </w:r>
          </w:p>
        </w:tc>
        <w:tc>
          <w:tcPr>
            <w:tcW w:w="1701" w:type="dxa"/>
            <w:vAlign w:val="center"/>
          </w:tcPr>
          <w:p w14:paraId="4957DF7F" w14:textId="77777777" w:rsidR="00454A29" w:rsidRDefault="00454A29">
            <w:pPr>
              <w:pStyle w:val="ConsPlusNormal"/>
            </w:pPr>
          </w:p>
        </w:tc>
        <w:tc>
          <w:tcPr>
            <w:tcW w:w="1814" w:type="dxa"/>
            <w:vAlign w:val="center"/>
          </w:tcPr>
          <w:p w14:paraId="4B25F72F" w14:textId="77777777" w:rsidR="00454A29" w:rsidRDefault="00454A29">
            <w:pPr>
              <w:pStyle w:val="ConsPlusNormal"/>
            </w:pPr>
          </w:p>
        </w:tc>
      </w:tr>
      <w:tr w:rsidR="00454A29" w14:paraId="0C3319E5" w14:textId="77777777">
        <w:tc>
          <w:tcPr>
            <w:tcW w:w="567" w:type="dxa"/>
            <w:vMerge w:val="restart"/>
            <w:vAlign w:val="center"/>
          </w:tcPr>
          <w:p w14:paraId="35FE6A98" w14:textId="77777777" w:rsidR="00454A29" w:rsidRDefault="00454A29">
            <w:pPr>
              <w:pStyle w:val="ConsPlusNormal"/>
              <w:jc w:val="center"/>
            </w:pPr>
            <w:r>
              <w:t>173</w:t>
            </w:r>
          </w:p>
        </w:tc>
        <w:tc>
          <w:tcPr>
            <w:tcW w:w="3345" w:type="dxa"/>
            <w:vMerge w:val="restart"/>
            <w:vAlign w:val="center"/>
          </w:tcPr>
          <w:p w14:paraId="7C4C25C0" w14:textId="77777777" w:rsidR="00454A29" w:rsidRDefault="00454A29">
            <w:pPr>
              <w:pStyle w:val="ConsPlusNormal"/>
              <w:jc w:val="center"/>
            </w:pPr>
            <w:r>
              <w:t>Школа N 36 на 250 учащихся в г. Якутске, ул. П. Алексеева 75/1, квартал 50</w:t>
            </w:r>
          </w:p>
        </w:tc>
        <w:tc>
          <w:tcPr>
            <w:tcW w:w="1701" w:type="dxa"/>
            <w:vAlign w:val="center"/>
          </w:tcPr>
          <w:p w14:paraId="10514378" w14:textId="77777777" w:rsidR="00454A29" w:rsidRDefault="00454A29">
            <w:pPr>
              <w:pStyle w:val="ConsPlusNormal"/>
              <w:jc w:val="center"/>
            </w:pPr>
            <w:r>
              <w:t>2020 - 2026 годы - всего</w:t>
            </w:r>
          </w:p>
        </w:tc>
        <w:tc>
          <w:tcPr>
            <w:tcW w:w="1417" w:type="dxa"/>
            <w:vMerge w:val="restart"/>
            <w:vAlign w:val="center"/>
          </w:tcPr>
          <w:p w14:paraId="18960ADE" w14:textId="77777777" w:rsidR="00454A29" w:rsidRDefault="00454A29">
            <w:pPr>
              <w:pStyle w:val="ConsPlusNormal"/>
              <w:jc w:val="center"/>
            </w:pPr>
            <w:r>
              <w:t>627 417,81</w:t>
            </w:r>
          </w:p>
        </w:tc>
        <w:tc>
          <w:tcPr>
            <w:tcW w:w="2204" w:type="dxa"/>
            <w:vMerge w:val="restart"/>
            <w:vAlign w:val="center"/>
          </w:tcPr>
          <w:p w14:paraId="4F2BA9EF" w14:textId="77777777" w:rsidR="00454A29" w:rsidRDefault="00454A29">
            <w:pPr>
              <w:pStyle w:val="ConsPlusNormal"/>
            </w:pPr>
          </w:p>
        </w:tc>
        <w:tc>
          <w:tcPr>
            <w:tcW w:w="1417" w:type="dxa"/>
            <w:vMerge w:val="restart"/>
            <w:vAlign w:val="center"/>
          </w:tcPr>
          <w:p w14:paraId="59231402" w14:textId="77777777" w:rsidR="00454A29" w:rsidRDefault="00454A29">
            <w:pPr>
              <w:pStyle w:val="ConsPlusNormal"/>
              <w:jc w:val="center"/>
            </w:pPr>
            <w:r>
              <w:t>250</w:t>
            </w:r>
          </w:p>
        </w:tc>
        <w:tc>
          <w:tcPr>
            <w:tcW w:w="2324" w:type="dxa"/>
            <w:vMerge w:val="restart"/>
            <w:vAlign w:val="center"/>
          </w:tcPr>
          <w:p w14:paraId="31C376E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2B65903" w14:textId="77777777" w:rsidR="00454A29" w:rsidRDefault="00454A29">
            <w:pPr>
              <w:pStyle w:val="ConsPlusNormal"/>
              <w:jc w:val="center"/>
            </w:pPr>
            <w:r>
              <w:t>627 417,81</w:t>
            </w:r>
          </w:p>
        </w:tc>
        <w:tc>
          <w:tcPr>
            <w:tcW w:w="1814" w:type="dxa"/>
            <w:vAlign w:val="center"/>
          </w:tcPr>
          <w:p w14:paraId="188185AF" w14:textId="77777777" w:rsidR="00454A29" w:rsidRDefault="00454A29">
            <w:pPr>
              <w:pStyle w:val="ConsPlusNormal"/>
              <w:jc w:val="center"/>
            </w:pPr>
            <w:r>
              <w:t>7 729,79</w:t>
            </w:r>
          </w:p>
        </w:tc>
        <w:tc>
          <w:tcPr>
            <w:tcW w:w="1701" w:type="dxa"/>
            <w:vAlign w:val="center"/>
          </w:tcPr>
          <w:p w14:paraId="3BF249E4" w14:textId="77777777" w:rsidR="00454A29" w:rsidRDefault="00454A29">
            <w:pPr>
              <w:pStyle w:val="ConsPlusNormal"/>
              <w:jc w:val="center"/>
            </w:pPr>
            <w:r>
              <w:t>765 248,96</w:t>
            </w:r>
          </w:p>
        </w:tc>
        <w:tc>
          <w:tcPr>
            <w:tcW w:w="1701" w:type="dxa"/>
            <w:vAlign w:val="center"/>
          </w:tcPr>
          <w:p w14:paraId="590975F6" w14:textId="77777777" w:rsidR="00454A29" w:rsidRDefault="00454A29">
            <w:pPr>
              <w:pStyle w:val="ConsPlusNormal"/>
              <w:jc w:val="center"/>
            </w:pPr>
            <w:r>
              <w:t>-</w:t>
            </w:r>
          </w:p>
        </w:tc>
        <w:tc>
          <w:tcPr>
            <w:tcW w:w="1814" w:type="dxa"/>
            <w:vAlign w:val="center"/>
          </w:tcPr>
          <w:p w14:paraId="5AFF38CE" w14:textId="77777777" w:rsidR="00454A29" w:rsidRDefault="00454A29">
            <w:pPr>
              <w:pStyle w:val="ConsPlusNormal"/>
              <w:jc w:val="center"/>
            </w:pPr>
            <w:r>
              <w:t>-</w:t>
            </w:r>
          </w:p>
        </w:tc>
      </w:tr>
      <w:tr w:rsidR="00454A29" w14:paraId="038D1661" w14:textId="77777777">
        <w:tc>
          <w:tcPr>
            <w:tcW w:w="567" w:type="dxa"/>
            <w:vMerge/>
          </w:tcPr>
          <w:p w14:paraId="1F751E9D" w14:textId="77777777" w:rsidR="00454A29" w:rsidRDefault="00454A29"/>
        </w:tc>
        <w:tc>
          <w:tcPr>
            <w:tcW w:w="3345" w:type="dxa"/>
            <w:vMerge/>
          </w:tcPr>
          <w:p w14:paraId="6B243E41" w14:textId="77777777" w:rsidR="00454A29" w:rsidRDefault="00454A29"/>
        </w:tc>
        <w:tc>
          <w:tcPr>
            <w:tcW w:w="1701" w:type="dxa"/>
            <w:vAlign w:val="center"/>
          </w:tcPr>
          <w:p w14:paraId="68753FEB" w14:textId="77777777" w:rsidR="00454A29" w:rsidRDefault="00454A29">
            <w:pPr>
              <w:pStyle w:val="ConsPlusNormal"/>
              <w:jc w:val="center"/>
            </w:pPr>
            <w:r>
              <w:t>2020</w:t>
            </w:r>
          </w:p>
        </w:tc>
        <w:tc>
          <w:tcPr>
            <w:tcW w:w="1417" w:type="dxa"/>
            <w:vMerge/>
          </w:tcPr>
          <w:p w14:paraId="75220165" w14:textId="77777777" w:rsidR="00454A29" w:rsidRDefault="00454A29"/>
        </w:tc>
        <w:tc>
          <w:tcPr>
            <w:tcW w:w="2204" w:type="dxa"/>
            <w:vMerge/>
          </w:tcPr>
          <w:p w14:paraId="349C7687" w14:textId="77777777" w:rsidR="00454A29" w:rsidRDefault="00454A29"/>
        </w:tc>
        <w:tc>
          <w:tcPr>
            <w:tcW w:w="1417" w:type="dxa"/>
            <w:vMerge/>
          </w:tcPr>
          <w:p w14:paraId="717BF62D" w14:textId="77777777" w:rsidR="00454A29" w:rsidRDefault="00454A29"/>
        </w:tc>
        <w:tc>
          <w:tcPr>
            <w:tcW w:w="2324" w:type="dxa"/>
            <w:vMerge/>
          </w:tcPr>
          <w:p w14:paraId="3BA01415" w14:textId="77777777" w:rsidR="00454A29" w:rsidRDefault="00454A29"/>
        </w:tc>
        <w:tc>
          <w:tcPr>
            <w:tcW w:w="1701" w:type="dxa"/>
            <w:vAlign w:val="center"/>
          </w:tcPr>
          <w:p w14:paraId="072F4DA9" w14:textId="77777777" w:rsidR="00454A29" w:rsidRDefault="00454A29">
            <w:pPr>
              <w:pStyle w:val="ConsPlusNormal"/>
            </w:pPr>
          </w:p>
        </w:tc>
        <w:tc>
          <w:tcPr>
            <w:tcW w:w="1814" w:type="dxa"/>
            <w:vAlign w:val="center"/>
          </w:tcPr>
          <w:p w14:paraId="3CC312AE" w14:textId="77777777" w:rsidR="00454A29" w:rsidRDefault="00454A29">
            <w:pPr>
              <w:pStyle w:val="ConsPlusNormal"/>
            </w:pPr>
          </w:p>
        </w:tc>
        <w:tc>
          <w:tcPr>
            <w:tcW w:w="1701" w:type="dxa"/>
            <w:vAlign w:val="center"/>
          </w:tcPr>
          <w:p w14:paraId="22B05F3A" w14:textId="77777777" w:rsidR="00454A29" w:rsidRDefault="00454A29">
            <w:pPr>
              <w:pStyle w:val="ConsPlusNormal"/>
            </w:pPr>
          </w:p>
        </w:tc>
        <w:tc>
          <w:tcPr>
            <w:tcW w:w="1701" w:type="dxa"/>
            <w:vAlign w:val="center"/>
          </w:tcPr>
          <w:p w14:paraId="6341E885" w14:textId="77777777" w:rsidR="00454A29" w:rsidRDefault="00454A29">
            <w:pPr>
              <w:pStyle w:val="ConsPlusNormal"/>
            </w:pPr>
          </w:p>
        </w:tc>
        <w:tc>
          <w:tcPr>
            <w:tcW w:w="1814" w:type="dxa"/>
            <w:vAlign w:val="center"/>
          </w:tcPr>
          <w:p w14:paraId="728215D9" w14:textId="77777777" w:rsidR="00454A29" w:rsidRDefault="00454A29">
            <w:pPr>
              <w:pStyle w:val="ConsPlusNormal"/>
            </w:pPr>
          </w:p>
        </w:tc>
      </w:tr>
      <w:tr w:rsidR="00454A29" w14:paraId="3BC81F11" w14:textId="77777777">
        <w:tc>
          <w:tcPr>
            <w:tcW w:w="567" w:type="dxa"/>
            <w:vMerge/>
          </w:tcPr>
          <w:p w14:paraId="56A0341F" w14:textId="77777777" w:rsidR="00454A29" w:rsidRDefault="00454A29"/>
        </w:tc>
        <w:tc>
          <w:tcPr>
            <w:tcW w:w="3345" w:type="dxa"/>
            <w:vMerge/>
          </w:tcPr>
          <w:p w14:paraId="5AFC5B88" w14:textId="77777777" w:rsidR="00454A29" w:rsidRDefault="00454A29"/>
        </w:tc>
        <w:tc>
          <w:tcPr>
            <w:tcW w:w="1701" w:type="dxa"/>
            <w:vAlign w:val="center"/>
          </w:tcPr>
          <w:p w14:paraId="1E505B2E" w14:textId="77777777" w:rsidR="00454A29" w:rsidRDefault="00454A29">
            <w:pPr>
              <w:pStyle w:val="ConsPlusNormal"/>
              <w:jc w:val="center"/>
            </w:pPr>
            <w:r>
              <w:t>2021</w:t>
            </w:r>
          </w:p>
        </w:tc>
        <w:tc>
          <w:tcPr>
            <w:tcW w:w="1417" w:type="dxa"/>
            <w:vMerge/>
          </w:tcPr>
          <w:p w14:paraId="0BC6C756" w14:textId="77777777" w:rsidR="00454A29" w:rsidRDefault="00454A29"/>
        </w:tc>
        <w:tc>
          <w:tcPr>
            <w:tcW w:w="2204" w:type="dxa"/>
            <w:vMerge/>
          </w:tcPr>
          <w:p w14:paraId="63D9D6A0" w14:textId="77777777" w:rsidR="00454A29" w:rsidRDefault="00454A29"/>
        </w:tc>
        <w:tc>
          <w:tcPr>
            <w:tcW w:w="1417" w:type="dxa"/>
            <w:vMerge/>
          </w:tcPr>
          <w:p w14:paraId="370BB4A8" w14:textId="77777777" w:rsidR="00454A29" w:rsidRDefault="00454A29"/>
        </w:tc>
        <w:tc>
          <w:tcPr>
            <w:tcW w:w="2324" w:type="dxa"/>
            <w:vMerge/>
          </w:tcPr>
          <w:p w14:paraId="571E6686" w14:textId="77777777" w:rsidR="00454A29" w:rsidRDefault="00454A29"/>
        </w:tc>
        <w:tc>
          <w:tcPr>
            <w:tcW w:w="1701" w:type="dxa"/>
            <w:vAlign w:val="center"/>
          </w:tcPr>
          <w:p w14:paraId="4450062F" w14:textId="77777777" w:rsidR="00454A29" w:rsidRDefault="00454A29">
            <w:pPr>
              <w:pStyle w:val="ConsPlusNormal"/>
              <w:jc w:val="center"/>
            </w:pPr>
            <w:r>
              <w:t>-</w:t>
            </w:r>
          </w:p>
        </w:tc>
        <w:tc>
          <w:tcPr>
            <w:tcW w:w="1814" w:type="dxa"/>
            <w:vAlign w:val="center"/>
          </w:tcPr>
          <w:p w14:paraId="4D0A1B4E" w14:textId="77777777" w:rsidR="00454A29" w:rsidRDefault="00454A29">
            <w:pPr>
              <w:pStyle w:val="ConsPlusNormal"/>
            </w:pPr>
          </w:p>
        </w:tc>
        <w:tc>
          <w:tcPr>
            <w:tcW w:w="1701" w:type="dxa"/>
            <w:vAlign w:val="center"/>
          </w:tcPr>
          <w:p w14:paraId="17C65E33" w14:textId="77777777" w:rsidR="00454A29" w:rsidRDefault="00454A29">
            <w:pPr>
              <w:pStyle w:val="ConsPlusNormal"/>
            </w:pPr>
          </w:p>
        </w:tc>
        <w:tc>
          <w:tcPr>
            <w:tcW w:w="1701" w:type="dxa"/>
            <w:vAlign w:val="center"/>
          </w:tcPr>
          <w:p w14:paraId="30187C5B" w14:textId="77777777" w:rsidR="00454A29" w:rsidRDefault="00454A29">
            <w:pPr>
              <w:pStyle w:val="ConsPlusNormal"/>
            </w:pPr>
          </w:p>
        </w:tc>
        <w:tc>
          <w:tcPr>
            <w:tcW w:w="1814" w:type="dxa"/>
            <w:vAlign w:val="center"/>
          </w:tcPr>
          <w:p w14:paraId="366780E2" w14:textId="77777777" w:rsidR="00454A29" w:rsidRDefault="00454A29">
            <w:pPr>
              <w:pStyle w:val="ConsPlusNormal"/>
            </w:pPr>
          </w:p>
        </w:tc>
      </w:tr>
      <w:tr w:rsidR="00454A29" w14:paraId="4D25ECE5" w14:textId="77777777">
        <w:tc>
          <w:tcPr>
            <w:tcW w:w="567" w:type="dxa"/>
            <w:vMerge/>
          </w:tcPr>
          <w:p w14:paraId="075C952A" w14:textId="77777777" w:rsidR="00454A29" w:rsidRDefault="00454A29"/>
        </w:tc>
        <w:tc>
          <w:tcPr>
            <w:tcW w:w="3345" w:type="dxa"/>
            <w:vMerge/>
          </w:tcPr>
          <w:p w14:paraId="05D31266" w14:textId="77777777" w:rsidR="00454A29" w:rsidRDefault="00454A29"/>
        </w:tc>
        <w:tc>
          <w:tcPr>
            <w:tcW w:w="1701" w:type="dxa"/>
            <w:vAlign w:val="center"/>
          </w:tcPr>
          <w:p w14:paraId="0D7597FE" w14:textId="77777777" w:rsidR="00454A29" w:rsidRDefault="00454A29">
            <w:pPr>
              <w:pStyle w:val="ConsPlusNormal"/>
              <w:jc w:val="center"/>
            </w:pPr>
            <w:r>
              <w:t>2022</w:t>
            </w:r>
          </w:p>
        </w:tc>
        <w:tc>
          <w:tcPr>
            <w:tcW w:w="1417" w:type="dxa"/>
            <w:vMerge/>
          </w:tcPr>
          <w:p w14:paraId="7354A2F1" w14:textId="77777777" w:rsidR="00454A29" w:rsidRDefault="00454A29"/>
        </w:tc>
        <w:tc>
          <w:tcPr>
            <w:tcW w:w="2204" w:type="dxa"/>
            <w:vMerge/>
          </w:tcPr>
          <w:p w14:paraId="10FBF62F" w14:textId="77777777" w:rsidR="00454A29" w:rsidRDefault="00454A29"/>
        </w:tc>
        <w:tc>
          <w:tcPr>
            <w:tcW w:w="1417" w:type="dxa"/>
            <w:vMerge/>
          </w:tcPr>
          <w:p w14:paraId="2D201BA7" w14:textId="77777777" w:rsidR="00454A29" w:rsidRDefault="00454A29"/>
        </w:tc>
        <w:tc>
          <w:tcPr>
            <w:tcW w:w="2324" w:type="dxa"/>
            <w:vMerge/>
          </w:tcPr>
          <w:p w14:paraId="43D1A072" w14:textId="77777777" w:rsidR="00454A29" w:rsidRDefault="00454A29"/>
        </w:tc>
        <w:tc>
          <w:tcPr>
            <w:tcW w:w="1701" w:type="dxa"/>
            <w:vAlign w:val="center"/>
          </w:tcPr>
          <w:p w14:paraId="5C0519E4" w14:textId="77777777" w:rsidR="00454A29" w:rsidRDefault="00454A29">
            <w:pPr>
              <w:pStyle w:val="ConsPlusNormal"/>
            </w:pPr>
          </w:p>
        </w:tc>
        <w:tc>
          <w:tcPr>
            <w:tcW w:w="1814" w:type="dxa"/>
            <w:vAlign w:val="center"/>
          </w:tcPr>
          <w:p w14:paraId="4ABF2FEC" w14:textId="77777777" w:rsidR="00454A29" w:rsidRDefault="00454A29">
            <w:pPr>
              <w:pStyle w:val="ConsPlusNormal"/>
            </w:pPr>
          </w:p>
        </w:tc>
        <w:tc>
          <w:tcPr>
            <w:tcW w:w="1701" w:type="dxa"/>
            <w:vAlign w:val="center"/>
          </w:tcPr>
          <w:p w14:paraId="239E4063" w14:textId="77777777" w:rsidR="00454A29" w:rsidRDefault="00454A29">
            <w:pPr>
              <w:pStyle w:val="ConsPlusNormal"/>
            </w:pPr>
          </w:p>
        </w:tc>
        <w:tc>
          <w:tcPr>
            <w:tcW w:w="1701" w:type="dxa"/>
            <w:vAlign w:val="center"/>
          </w:tcPr>
          <w:p w14:paraId="0918CCAB" w14:textId="77777777" w:rsidR="00454A29" w:rsidRDefault="00454A29">
            <w:pPr>
              <w:pStyle w:val="ConsPlusNormal"/>
            </w:pPr>
          </w:p>
        </w:tc>
        <w:tc>
          <w:tcPr>
            <w:tcW w:w="1814" w:type="dxa"/>
            <w:vAlign w:val="center"/>
          </w:tcPr>
          <w:p w14:paraId="1770602A" w14:textId="77777777" w:rsidR="00454A29" w:rsidRDefault="00454A29">
            <w:pPr>
              <w:pStyle w:val="ConsPlusNormal"/>
            </w:pPr>
          </w:p>
        </w:tc>
      </w:tr>
      <w:tr w:rsidR="00454A29" w14:paraId="6F17D4EF" w14:textId="77777777">
        <w:tc>
          <w:tcPr>
            <w:tcW w:w="567" w:type="dxa"/>
            <w:vMerge/>
          </w:tcPr>
          <w:p w14:paraId="42FDEB87" w14:textId="77777777" w:rsidR="00454A29" w:rsidRDefault="00454A29"/>
        </w:tc>
        <w:tc>
          <w:tcPr>
            <w:tcW w:w="3345" w:type="dxa"/>
            <w:vMerge/>
          </w:tcPr>
          <w:p w14:paraId="224167D2" w14:textId="77777777" w:rsidR="00454A29" w:rsidRDefault="00454A29"/>
        </w:tc>
        <w:tc>
          <w:tcPr>
            <w:tcW w:w="1701" w:type="dxa"/>
            <w:vAlign w:val="center"/>
          </w:tcPr>
          <w:p w14:paraId="4238AB98" w14:textId="77777777" w:rsidR="00454A29" w:rsidRDefault="00454A29">
            <w:pPr>
              <w:pStyle w:val="ConsPlusNormal"/>
              <w:jc w:val="center"/>
            </w:pPr>
            <w:r>
              <w:t>2023</w:t>
            </w:r>
          </w:p>
        </w:tc>
        <w:tc>
          <w:tcPr>
            <w:tcW w:w="1417" w:type="dxa"/>
            <w:vMerge/>
          </w:tcPr>
          <w:p w14:paraId="131BCAED" w14:textId="77777777" w:rsidR="00454A29" w:rsidRDefault="00454A29"/>
        </w:tc>
        <w:tc>
          <w:tcPr>
            <w:tcW w:w="2204" w:type="dxa"/>
            <w:vMerge/>
          </w:tcPr>
          <w:p w14:paraId="2C449E5F" w14:textId="77777777" w:rsidR="00454A29" w:rsidRDefault="00454A29"/>
        </w:tc>
        <w:tc>
          <w:tcPr>
            <w:tcW w:w="1417" w:type="dxa"/>
            <w:vMerge/>
          </w:tcPr>
          <w:p w14:paraId="5F7C65CC" w14:textId="77777777" w:rsidR="00454A29" w:rsidRDefault="00454A29"/>
        </w:tc>
        <w:tc>
          <w:tcPr>
            <w:tcW w:w="2324" w:type="dxa"/>
            <w:vMerge/>
          </w:tcPr>
          <w:p w14:paraId="425A214B" w14:textId="77777777" w:rsidR="00454A29" w:rsidRDefault="00454A29"/>
        </w:tc>
        <w:tc>
          <w:tcPr>
            <w:tcW w:w="1701" w:type="dxa"/>
            <w:vAlign w:val="center"/>
          </w:tcPr>
          <w:p w14:paraId="16BC2073" w14:textId="77777777" w:rsidR="00454A29" w:rsidRDefault="00454A29">
            <w:pPr>
              <w:pStyle w:val="ConsPlusNormal"/>
            </w:pPr>
          </w:p>
        </w:tc>
        <w:tc>
          <w:tcPr>
            <w:tcW w:w="1814" w:type="dxa"/>
            <w:vAlign w:val="center"/>
          </w:tcPr>
          <w:p w14:paraId="4A35AC53" w14:textId="77777777" w:rsidR="00454A29" w:rsidRDefault="00454A29">
            <w:pPr>
              <w:pStyle w:val="ConsPlusNormal"/>
            </w:pPr>
          </w:p>
        </w:tc>
        <w:tc>
          <w:tcPr>
            <w:tcW w:w="1701" w:type="dxa"/>
            <w:vAlign w:val="center"/>
          </w:tcPr>
          <w:p w14:paraId="0820D01C" w14:textId="77777777" w:rsidR="00454A29" w:rsidRDefault="00454A29">
            <w:pPr>
              <w:pStyle w:val="ConsPlusNormal"/>
            </w:pPr>
          </w:p>
        </w:tc>
        <w:tc>
          <w:tcPr>
            <w:tcW w:w="1701" w:type="dxa"/>
            <w:vAlign w:val="center"/>
          </w:tcPr>
          <w:p w14:paraId="6DDC817C" w14:textId="77777777" w:rsidR="00454A29" w:rsidRDefault="00454A29">
            <w:pPr>
              <w:pStyle w:val="ConsPlusNormal"/>
            </w:pPr>
          </w:p>
        </w:tc>
        <w:tc>
          <w:tcPr>
            <w:tcW w:w="1814" w:type="dxa"/>
            <w:vAlign w:val="center"/>
          </w:tcPr>
          <w:p w14:paraId="3F605E8B" w14:textId="77777777" w:rsidR="00454A29" w:rsidRDefault="00454A29">
            <w:pPr>
              <w:pStyle w:val="ConsPlusNormal"/>
            </w:pPr>
          </w:p>
        </w:tc>
      </w:tr>
      <w:tr w:rsidR="00454A29" w14:paraId="3EF55598" w14:textId="77777777">
        <w:tc>
          <w:tcPr>
            <w:tcW w:w="567" w:type="dxa"/>
            <w:vMerge/>
          </w:tcPr>
          <w:p w14:paraId="0050B7E2" w14:textId="77777777" w:rsidR="00454A29" w:rsidRDefault="00454A29"/>
        </w:tc>
        <w:tc>
          <w:tcPr>
            <w:tcW w:w="3345" w:type="dxa"/>
            <w:vMerge/>
          </w:tcPr>
          <w:p w14:paraId="33AB11AC" w14:textId="77777777" w:rsidR="00454A29" w:rsidRDefault="00454A29"/>
        </w:tc>
        <w:tc>
          <w:tcPr>
            <w:tcW w:w="1701" w:type="dxa"/>
            <w:vAlign w:val="center"/>
          </w:tcPr>
          <w:p w14:paraId="44D1D2A5" w14:textId="77777777" w:rsidR="00454A29" w:rsidRDefault="00454A29">
            <w:pPr>
              <w:pStyle w:val="ConsPlusNormal"/>
              <w:jc w:val="center"/>
            </w:pPr>
            <w:r>
              <w:t>2024</w:t>
            </w:r>
          </w:p>
        </w:tc>
        <w:tc>
          <w:tcPr>
            <w:tcW w:w="1417" w:type="dxa"/>
            <w:vMerge/>
          </w:tcPr>
          <w:p w14:paraId="408AE007" w14:textId="77777777" w:rsidR="00454A29" w:rsidRDefault="00454A29"/>
        </w:tc>
        <w:tc>
          <w:tcPr>
            <w:tcW w:w="2204" w:type="dxa"/>
            <w:vMerge/>
          </w:tcPr>
          <w:p w14:paraId="2AC14F73" w14:textId="77777777" w:rsidR="00454A29" w:rsidRDefault="00454A29"/>
        </w:tc>
        <w:tc>
          <w:tcPr>
            <w:tcW w:w="1417" w:type="dxa"/>
            <w:vMerge/>
          </w:tcPr>
          <w:p w14:paraId="5511BFA0" w14:textId="77777777" w:rsidR="00454A29" w:rsidRDefault="00454A29"/>
        </w:tc>
        <w:tc>
          <w:tcPr>
            <w:tcW w:w="2324" w:type="dxa"/>
            <w:vMerge/>
          </w:tcPr>
          <w:p w14:paraId="24F13697" w14:textId="77777777" w:rsidR="00454A29" w:rsidRDefault="00454A29"/>
        </w:tc>
        <w:tc>
          <w:tcPr>
            <w:tcW w:w="1701" w:type="dxa"/>
            <w:vAlign w:val="center"/>
          </w:tcPr>
          <w:p w14:paraId="54C8140C" w14:textId="77777777" w:rsidR="00454A29" w:rsidRDefault="00454A29">
            <w:pPr>
              <w:pStyle w:val="ConsPlusNormal"/>
            </w:pPr>
          </w:p>
        </w:tc>
        <w:tc>
          <w:tcPr>
            <w:tcW w:w="1814" w:type="dxa"/>
            <w:vAlign w:val="center"/>
          </w:tcPr>
          <w:p w14:paraId="1AB5FE5B" w14:textId="77777777" w:rsidR="00454A29" w:rsidRDefault="00454A29">
            <w:pPr>
              <w:pStyle w:val="ConsPlusNormal"/>
            </w:pPr>
          </w:p>
        </w:tc>
        <w:tc>
          <w:tcPr>
            <w:tcW w:w="1701" w:type="dxa"/>
            <w:vAlign w:val="center"/>
          </w:tcPr>
          <w:p w14:paraId="52EBB569" w14:textId="77777777" w:rsidR="00454A29" w:rsidRDefault="00454A29">
            <w:pPr>
              <w:pStyle w:val="ConsPlusNormal"/>
            </w:pPr>
          </w:p>
        </w:tc>
        <w:tc>
          <w:tcPr>
            <w:tcW w:w="1701" w:type="dxa"/>
            <w:vAlign w:val="center"/>
          </w:tcPr>
          <w:p w14:paraId="379B5A82" w14:textId="77777777" w:rsidR="00454A29" w:rsidRDefault="00454A29">
            <w:pPr>
              <w:pStyle w:val="ConsPlusNormal"/>
            </w:pPr>
          </w:p>
        </w:tc>
        <w:tc>
          <w:tcPr>
            <w:tcW w:w="1814" w:type="dxa"/>
            <w:vAlign w:val="center"/>
          </w:tcPr>
          <w:p w14:paraId="5DEBED24" w14:textId="77777777" w:rsidR="00454A29" w:rsidRDefault="00454A29">
            <w:pPr>
              <w:pStyle w:val="ConsPlusNormal"/>
            </w:pPr>
          </w:p>
        </w:tc>
      </w:tr>
      <w:tr w:rsidR="00454A29" w14:paraId="17FE2331" w14:textId="77777777">
        <w:tc>
          <w:tcPr>
            <w:tcW w:w="567" w:type="dxa"/>
            <w:vMerge/>
          </w:tcPr>
          <w:p w14:paraId="64E1880D" w14:textId="77777777" w:rsidR="00454A29" w:rsidRDefault="00454A29"/>
        </w:tc>
        <w:tc>
          <w:tcPr>
            <w:tcW w:w="3345" w:type="dxa"/>
            <w:vMerge/>
          </w:tcPr>
          <w:p w14:paraId="3B2D40C7" w14:textId="77777777" w:rsidR="00454A29" w:rsidRDefault="00454A29"/>
        </w:tc>
        <w:tc>
          <w:tcPr>
            <w:tcW w:w="1701" w:type="dxa"/>
            <w:vAlign w:val="center"/>
          </w:tcPr>
          <w:p w14:paraId="521AD4E7" w14:textId="77777777" w:rsidR="00454A29" w:rsidRDefault="00454A29">
            <w:pPr>
              <w:pStyle w:val="ConsPlusNormal"/>
              <w:jc w:val="center"/>
            </w:pPr>
            <w:r>
              <w:t>2025</w:t>
            </w:r>
          </w:p>
        </w:tc>
        <w:tc>
          <w:tcPr>
            <w:tcW w:w="1417" w:type="dxa"/>
            <w:vMerge/>
          </w:tcPr>
          <w:p w14:paraId="6A668E1D" w14:textId="77777777" w:rsidR="00454A29" w:rsidRDefault="00454A29"/>
        </w:tc>
        <w:tc>
          <w:tcPr>
            <w:tcW w:w="2204" w:type="dxa"/>
            <w:vMerge/>
          </w:tcPr>
          <w:p w14:paraId="7B66D376" w14:textId="77777777" w:rsidR="00454A29" w:rsidRDefault="00454A29"/>
        </w:tc>
        <w:tc>
          <w:tcPr>
            <w:tcW w:w="1417" w:type="dxa"/>
            <w:vMerge/>
          </w:tcPr>
          <w:p w14:paraId="32CB4968" w14:textId="77777777" w:rsidR="00454A29" w:rsidRDefault="00454A29"/>
        </w:tc>
        <w:tc>
          <w:tcPr>
            <w:tcW w:w="2324" w:type="dxa"/>
            <w:vMerge/>
          </w:tcPr>
          <w:p w14:paraId="3BCBF838" w14:textId="77777777" w:rsidR="00454A29" w:rsidRDefault="00454A29"/>
        </w:tc>
        <w:tc>
          <w:tcPr>
            <w:tcW w:w="1701" w:type="dxa"/>
            <w:vAlign w:val="center"/>
          </w:tcPr>
          <w:p w14:paraId="1AFE433A" w14:textId="77777777" w:rsidR="00454A29" w:rsidRDefault="00454A29">
            <w:pPr>
              <w:pStyle w:val="ConsPlusNormal"/>
            </w:pPr>
          </w:p>
        </w:tc>
        <w:tc>
          <w:tcPr>
            <w:tcW w:w="1814" w:type="dxa"/>
            <w:vAlign w:val="center"/>
          </w:tcPr>
          <w:p w14:paraId="2765DB78" w14:textId="77777777" w:rsidR="00454A29" w:rsidRDefault="00454A29">
            <w:pPr>
              <w:pStyle w:val="ConsPlusNormal"/>
            </w:pPr>
          </w:p>
        </w:tc>
        <w:tc>
          <w:tcPr>
            <w:tcW w:w="1701" w:type="dxa"/>
            <w:vAlign w:val="center"/>
          </w:tcPr>
          <w:p w14:paraId="09A14471" w14:textId="77777777" w:rsidR="00454A29" w:rsidRDefault="00454A29">
            <w:pPr>
              <w:pStyle w:val="ConsPlusNormal"/>
            </w:pPr>
          </w:p>
        </w:tc>
        <w:tc>
          <w:tcPr>
            <w:tcW w:w="1701" w:type="dxa"/>
            <w:vAlign w:val="center"/>
          </w:tcPr>
          <w:p w14:paraId="0ACB5F39" w14:textId="77777777" w:rsidR="00454A29" w:rsidRDefault="00454A29">
            <w:pPr>
              <w:pStyle w:val="ConsPlusNormal"/>
            </w:pPr>
          </w:p>
        </w:tc>
        <w:tc>
          <w:tcPr>
            <w:tcW w:w="1814" w:type="dxa"/>
            <w:vAlign w:val="center"/>
          </w:tcPr>
          <w:p w14:paraId="3710BBB7" w14:textId="77777777" w:rsidR="00454A29" w:rsidRDefault="00454A29">
            <w:pPr>
              <w:pStyle w:val="ConsPlusNormal"/>
            </w:pPr>
          </w:p>
        </w:tc>
      </w:tr>
      <w:tr w:rsidR="00454A29" w14:paraId="02C527F4" w14:textId="77777777">
        <w:tc>
          <w:tcPr>
            <w:tcW w:w="567" w:type="dxa"/>
            <w:vMerge/>
          </w:tcPr>
          <w:p w14:paraId="0B98BBC3" w14:textId="77777777" w:rsidR="00454A29" w:rsidRDefault="00454A29"/>
        </w:tc>
        <w:tc>
          <w:tcPr>
            <w:tcW w:w="3345" w:type="dxa"/>
            <w:vMerge/>
          </w:tcPr>
          <w:p w14:paraId="7D67DAB6" w14:textId="77777777" w:rsidR="00454A29" w:rsidRDefault="00454A29"/>
        </w:tc>
        <w:tc>
          <w:tcPr>
            <w:tcW w:w="1701" w:type="dxa"/>
            <w:vAlign w:val="center"/>
          </w:tcPr>
          <w:p w14:paraId="143E8523" w14:textId="77777777" w:rsidR="00454A29" w:rsidRDefault="00454A29">
            <w:pPr>
              <w:pStyle w:val="ConsPlusNormal"/>
              <w:jc w:val="center"/>
            </w:pPr>
            <w:r>
              <w:t>2026</w:t>
            </w:r>
          </w:p>
        </w:tc>
        <w:tc>
          <w:tcPr>
            <w:tcW w:w="1417" w:type="dxa"/>
            <w:vMerge/>
          </w:tcPr>
          <w:p w14:paraId="3D863D7F" w14:textId="77777777" w:rsidR="00454A29" w:rsidRDefault="00454A29"/>
        </w:tc>
        <w:tc>
          <w:tcPr>
            <w:tcW w:w="2204" w:type="dxa"/>
            <w:vMerge/>
          </w:tcPr>
          <w:p w14:paraId="61F20A4D" w14:textId="77777777" w:rsidR="00454A29" w:rsidRDefault="00454A29"/>
        </w:tc>
        <w:tc>
          <w:tcPr>
            <w:tcW w:w="1417" w:type="dxa"/>
            <w:vMerge/>
          </w:tcPr>
          <w:p w14:paraId="1D820BA9" w14:textId="77777777" w:rsidR="00454A29" w:rsidRDefault="00454A29"/>
        </w:tc>
        <w:tc>
          <w:tcPr>
            <w:tcW w:w="2324" w:type="dxa"/>
            <w:vMerge/>
          </w:tcPr>
          <w:p w14:paraId="21060426" w14:textId="77777777" w:rsidR="00454A29" w:rsidRDefault="00454A29"/>
        </w:tc>
        <w:tc>
          <w:tcPr>
            <w:tcW w:w="1701" w:type="dxa"/>
            <w:vAlign w:val="center"/>
          </w:tcPr>
          <w:p w14:paraId="7ED9F0A8" w14:textId="77777777" w:rsidR="00454A29" w:rsidRDefault="00454A29">
            <w:pPr>
              <w:pStyle w:val="ConsPlusNormal"/>
              <w:jc w:val="center"/>
            </w:pPr>
            <w:r>
              <w:t>627 417,81</w:t>
            </w:r>
          </w:p>
        </w:tc>
        <w:tc>
          <w:tcPr>
            <w:tcW w:w="1814" w:type="dxa"/>
            <w:vAlign w:val="center"/>
          </w:tcPr>
          <w:p w14:paraId="09F2487B" w14:textId="77777777" w:rsidR="00454A29" w:rsidRDefault="00454A29">
            <w:pPr>
              <w:pStyle w:val="ConsPlusNormal"/>
              <w:jc w:val="center"/>
            </w:pPr>
            <w:r>
              <w:t>7 729,79</w:t>
            </w:r>
          </w:p>
        </w:tc>
        <w:tc>
          <w:tcPr>
            <w:tcW w:w="1701" w:type="dxa"/>
            <w:vAlign w:val="center"/>
          </w:tcPr>
          <w:p w14:paraId="2ED35C71" w14:textId="77777777" w:rsidR="00454A29" w:rsidRDefault="00454A29">
            <w:pPr>
              <w:pStyle w:val="ConsPlusNormal"/>
              <w:jc w:val="center"/>
            </w:pPr>
            <w:r>
              <w:t>765 248,96</w:t>
            </w:r>
          </w:p>
        </w:tc>
        <w:tc>
          <w:tcPr>
            <w:tcW w:w="1701" w:type="dxa"/>
            <w:vAlign w:val="center"/>
          </w:tcPr>
          <w:p w14:paraId="7D8E3902" w14:textId="77777777" w:rsidR="00454A29" w:rsidRDefault="00454A29">
            <w:pPr>
              <w:pStyle w:val="ConsPlusNormal"/>
            </w:pPr>
          </w:p>
        </w:tc>
        <w:tc>
          <w:tcPr>
            <w:tcW w:w="1814" w:type="dxa"/>
            <w:vAlign w:val="center"/>
          </w:tcPr>
          <w:p w14:paraId="542DF963" w14:textId="77777777" w:rsidR="00454A29" w:rsidRDefault="00454A29">
            <w:pPr>
              <w:pStyle w:val="ConsPlusNormal"/>
            </w:pPr>
          </w:p>
        </w:tc>
      </w:tr>
      <w:tr w:rsidR="00454A29" w14:paraId="6046301C" w14:textId="77777777">
        <w:tc>
          <w:tcPr>
            <w:tcW w:w="567" w:type="dxa"/>
            <w:vMerge w:val="restart"/>
            <w:vAlign w:val="center"/>
          </w:tcPr>
          <w:p w14:paraId="609A7F13" w14:textId="77777777" w:rsidR="00454A29" w:rsidRDefault="00454A29">
            <w:pPr>
              <w:pStyle w:val="ConsPlusNormal"/>
              <w:jc w:val="center"/>
            </w:pPr>
            <w:r>
              <w:t>174</w:t>
            </w:r>
          </w:p>
        </w:tc>
        <w:tc>
          <w:tcPr>
            <w:tcW w:w="3345" w:type="dxa"/>
            <w:vMerge w:val="restart"/>
            <w:vAlign w:val="center"/>
          </w:tcPr>
          <w:p w14:paraId="2209E807" w14:textId="77777777" w:rsidR="00454A29" w:rsidRDefault="00454A29">
            <w:pPr>
              <w:pStyle w:val="ConsPlusNormal"/>
              <w:jc w:val="center"/>
            </w:pPr>
            <w:r>
              <w:t>Школа на 660 учащихся в г. Якутске, ул. Винокурова, квартал 75</w:t>
            </w:r>
          </w:p>
        </w:tc>
        <w:tc>
          <w:tcPr>
            <w:tcW w:w="1701" w:type="dxa"/>
            <w:vAlign w:val="center"/>
          </w:tcPr>
          <w:p w14:paraId="71172324" w14:textId="77777777" w:rsidR="00454A29" w:rsidRDefault="00454A29">
            <w:pPr>
              <w:pStyle w:val="ConsPlusNormal"/>
              <w:jc w:val="center"/>
            </w:pPr>
            <w:r>
              <w:t>2020 - 2026 годы - всего</w:t>
            </w:r>
          </w:p>
        </w:tc>
        <w:tc>
          <w:tcPr>
            <w:tcW w:w="1417" w:type="dxa"/>
            <w:vMerge w:val="restart"/>
            <w:vAlign w:val="center"/>
          </w:tcPr>
          <w:p w14:paraId="1FAC0AAD" w14:textId="77777777" w:rsidR="00454A29" w:rsidRDefault="00454A29">
            <w:pPr>
              <w:pStyle w:val="ConsPlusNormal"/>
              <w:jc w:val="center"/>
            </w:pPr>
            <w:r>
              <w:t>1 039 780,48</w:t>
            </w:r>
          </w:p>
        </w:tc>
        <w:tc>
          <w:tcPr>
            <w:tcW w:w="2204" w:type="dxa"/>
            <w:vMerge w:val="restart"/>
            <w:vAlign w:val="center"/>
          </w:tcPr>
          <w:p w14:paraId="26224639" w14:textId="77777777" w:rsidR="00454A29" w:rsidRDefault="00454A29">
            <w:pPr>
              <w:pStyle w:val="ConsPlusNormal"/>
            </w:pPr>
          </w:p>
        </w:tc>
        <w:tc>
          <w:tcPr>
            <w:tcW w:w="1417" w:type="dxa"/>
            <w:vMerge w:val="restart"/>
            <w:vAlign w:val="center"/>
          </w:tcPr>
          <w:p w14:paraId="0BECB51A" w14:textId="77777777" w:rsidR="00454A29" w:rsidRDefault="00454A29">
            <w:pPr>
              <w:pStyle w:val="ConsPlusNormal"/>
              <w:jc w:val="center"/>
            </w:pPr>
            <w:r>
              <w:t>660</w:t>
            </w:r>
          </w:p>
        </w:tc>
        <w:tc>
          <w:tcPr>
            <w:tcW w:w="2324" w:type="dxa"/>
            <w:vMerge w:val="restart"/>
            <w:vAlign w:val="center"/>
          </w:tcPr>
          <w:p w14:paraId="12EC695C"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292A9C5" w14:textId="77777777" w:rsidR="00454A29" w:rsidRDefault="00454A29">
            <w:pPr>
              <w:pStyle w:val="ConsPlusNormal"/>
              <w:jc w:val="center"/>
            </w:pPr>
            <w:r>
              <w:t>1 039 780,48</w:t>
            </w:r>
          </w:p>
        </w:tc>
        <w:tc>
          <w:tcPr>
            <w:tcW w:w="1814" w:type="dxa"/>
            <w:vAlign w:val="center"/>
          </w:tcPr>
          <w:p w14:paraId="1F8798A6" w14:textId="77777777" w:rsidR="00454A29" w:rsidRDefault="00454A29">
            <w:pPr>
              <w:pStyle w:val="ConsPlusNormal"/>
              <w:jc w:val="center"/>
            </w:pPr>
            <w:r>
              <w:t>12 810,10</w:t>
            </w:r>
          </w:p>
        </w:tc>
        <w:tc>
          <w:tcPr>
            <w:tcW w:w="1701" w:type="dxa"/>
            <w:vAlign w:val="center"/>
          </w:tcPr>
          <w:p w14:paraId="2FF7E6FB" w14:textId="77777777" w:rsidR="00454A29" w:rsidRDefault="00454A29">
            <w:pPr>
              <w:pStyle w:val="ConsPlusNormal"/>
              <w:jc w:val="center"/>
            </w:pPr>
            <w:r>
              <w:t>1 268 199,45</w:t>
            </w:r>
          </w:p>
        </w:tc>
        <w:tc>
          <w:tcPr>
            <w:tcW w:w="1701" w:type="dxa"/>
            <w:vAlign w:val="center"/>
          </w:tcPr>
          <w:p w14:paraId="5464FA62" w14:textId="77777777" w:rsidR="00454A29" w:rsidRDefault="00454A29">
            <w:pPr>
              <w:pStyle w:val="ConsPlusNormal"/>
              <w:jc w:val="center"/>
            </w:pPr>
            <w:r>
              <w:t>-</w:t>
            </w:r>
          </w:p>
        </w:tc>
        <w:tc>
          <w:tcPr>
            <w:tcW w:w="1814" w:type="dxa"/>
            <w:vAlign w:val="center"/>
          </w:tcPr>
          <w:p w14:paraId="40E65B37" w14:textId="77777777" w:rsidR="00454A29" w:rsidRDefault="00454A29">
            <w:pPr>
              <w:pStyle w:val="ConsPlusNormal"/>
              <w:jc w:val="center"/>
            </w:pPr>
            <w:r>
              <w:t>-</w:t>
            </w:r>
          </w:p>
        </w:tc>
      </w:tr>
      <w:tr w:rsidR="00454A29" w14:paraId="6BDCA71B" w14:textId="77777777">
        <w:tc>
          <w:tcPr>
            <w:tcW w:w="567" w:type="dxa"/>
            <w:vMerge/>
          </w:tcPr>
          <w:p w14:paraId="7FB087EC" w14:textId="77777777" w:rsidR="00454A29" w:rsidRDefault="00454A29"/>
        </w:tc>
        <w:tc>
          <w:tcPr>
            <w:tcW w:w="3345" w:type="dxa"/>
            <w:vMerge/>
          </w:tcPr>
          <w:p w14:paraId="325B5C33" w14:textId="77777777" w:rsidR="00454A29" w:rsidRDefault="00454A29"/>
        </w:tc>
        <w:tc>
          <w:tcPr>
            <w:tcW w:w="1701" w:type="dxa"/>
            <w:vAlign w:val="center"/>
          </w:tcPr>
          <w:p w14:paraId="75ECE6EB" w14:textId="77777777" w:rsidR="00454A29" w:rsidRDefault="00454A29">
            <w:pPr>
              <w:pStyle w:val="ConsPlusNormal"/>
              <w:jc w:val="center"/>
            </w:pPr>
            <w:r>
              <w:t>2020</w:t>
            </w:r>
          </w:p>
        </w:tc>
        <w:tc>
          <w:tcPr>
            <w:tcW w:w="1417" w:type="dxa"/>
            <w:vMerge/>
          </w:tcPr>
          <w:p w14:paraId="1C63AFC6" w14:textId="77777777" w:rsidR="00454A29" w:rsidRDefault="00454A29"/>
        </w:tc>
        <w:tc>
          <w:tcPr>
            <w:tcW w:w="2204" w:type="dxa"/>
            <w:vMerge/>
          </w:tcPr>
          <w:p w14:paraId="375AEFB5" w14:textId="77777777" w:rsidR="00454A29" w:rsidRDefault="00454A29"/>
        </w:tc>
        <w:tc>
          <w:tcPr>
            <w:tcW w:w="1417" w:type="dxa"/>
            <w:vMerge/>
          </w:tcPr>
          <w:p w14:paraId="36AAD61C" w14:textId="77777777" w:rsidR="00454A29" w:rsidRDefault="00454A29"/>
        </w:tc>
        <w:tc>
          <w:tcPr>
            <w:tcW w:w="2324" w:type="dxa"/>
            <w:vMerge/>
          </w:tcPr>
          <w:p w14:paraId="52E4C477" w14:textId="77777777" w:rsidR="00454A29" w:rsidRDefault="00454A29"/>
        </w:tc>
        <w:tc>
          <w:tcPr>
            <w:tcW w:w="1701" w:type="dxa"/>
            <w:vAlign w:val="center"/>
          </w:tcPr>
          <w:p w14:paraId="2D51F055" w14:textId="77777777" w:rsidR="00454A29" w:rsidRDefault="00454A29">
            <w:pPr>
              <w:pStyle w:val="ConsPlusNormal"/>
            </w:pPr>
          </w:p>
        </w:tc>
        <w:tc>
          <w:tcPr>
            <w:tcW w:w="1814" w:type="dxa"/>
            <w:vAlign w:val="center"/>
          </w:tcPr>
          <w:p w14:paraId="3B7DC452" w14:textId="77777777" w:rsidR="00454A29" w:rsidRDefault="00454A29">
            <w:pPr>
              <w:pStyle w:val="ConsPlusNormal"/>
            </w:pPr>
          </w:p>
        </w:tc>
        <w:tc>
          <w:tcPr>
            <w:tcW w:w="1701" w:type="dxa"/>
            <w:vAlign w:val="center"/>
          </w:tcPr>
          <w:p w14:paraId="62E156A7" w14:textId="77777777" w:rsidR="00454A29" w:rsidRDefault="00454A29">
            <w:pPr>
              <w:pStyle w:val="ConsPlusNormal"/>
            </w:pPr>
          </w:p>
        </w:tc>
        <w:tc>
          <w:tcPr>
            <w:tcW w:w="1701" w:type="dxa"/>
            <w:vAlign w:val="center"/>
          </w:tcPr>
          <w:p w14:paraId="79C62ED7" w14:textId="77777777" w:rsidR="00454A29" w:rsidRDefault="00454A29">
            <w:pPr>
              <w:pStyle w:val="ConsPlusNormal"/>
            </w:pPr>
          </w:p>
        </w:tc>
        <w:tc>
          <w:tcPr>
            <w:tcW w:w="1814" w:type="dxa"/>
            <w:vAlign w:val="center"/>
          </w:tcPr>
          <w:p w14:paraId="42FFD6B5" w14:textId="77777777" w:rsidR="00454A29" w:rsidRDefault="00454A29">
            <w:pPr>
              <w:pStyle w:val="ConsPlusNormal"/>
            </w:pPr>
          </w:p>
        </w:tc>
      </w:tr>
      <w:tr w:rsidR="00454A29" w14:paraId="15BBF2E4" w14:textId="77777777">
        <w:tc>
          <w:tcPr>
            <w:tcW w:w="567" w:type="dxa"/>
            <w:vMerge/>
          </w:tcPr>
          <w:p w14:paraId="0B03B059" w14:textId="77777777" w:rsidR="00454A29" w:rsidRDefault="00454A29"/>
        </w:tc>
        <w:tc>
          <w:tcPr>
            <w:tcW w:w="3345" w:type="dxa"/>
            <w:vMerge/>
          </w:tcPr>
          <w:p w14:paraId="2790EB6C" w14:textId="77777777" w:rsidR="00454A29" w:rsidRDefault="00454A29"/>
        </w:tc>
        <w:tc>
          <w:tcPr>
            <w:tcW w:w="1701" w:type="dxa"/>
            <w:vAlign w:val="center"/>
          </w:tcPr>
          <w:p w14:paraId="7DA464B3" w14:textId="77777777" w:rsidR="00454A29" w:rsidRDefault="00454A29">
            <w:pPr>
              <w:pStyle w:val="ConsPlusNormal"/>
              <w:jc w:val="center"/>
            </w:pPr>
            <w:r>
              <w:t>2021</w:t>
            </w:r>
          </w:p>
        </w:tc>
        <w:tc>
          <w:tcPr>
            <w:tcW w:w="1417" w:type="dxa"/>
            <w:vMerge/>
          </w:tcPr>
          <w:p w14:paraId="26B81865" w14:textId="77777777" w:rsidR="00454A29" w:rsidRDefault="00454A29"/>
        </w:tc>
        <w:tc>
          <w:tcPr>
            <w:tcW w:w="2204" w:type="dxa"/>
            <w:vMerge/>
          </w:tcPr>
          <w:p w14:paraId="7F8CADC9" w14:textId="77777777" w:rsidR="00454A29" w:rsidRDefault="00454A29"/>
        </w:tc>
        <w:tc>
          <w:tcPr>
            <w:tcW w:w="1417" w:type="dxa"/>
            <w:vMerge/>
          </w:tcPr>
          <w:p w14:paraId="52F3E2B7" w14:textId="77777777" w:rsidR="00454A29" w:rsidRDefault="00454A29"/>
        </w:tc>
        <w:tc>
          <w:tcPr>
            <w:tcW w:w="2324" w:type="dxa"/>
            <w:vMerge/>
          </w:tcPr>
          <w:p w14:paraId="714D797E" w14:textId="77777777" w:rsidR="00454A29" w:rsidRDefault="00454A29"/>
        </w:tc>
        <w:tc>
          <w:tcPr>
            <w:tcW w:w="1701" w:type="dxa"/>
            <w:vAlign w:val="center"/>
          </w:tcPr>
          <w:p w14:paraId="443AD002" w14:textId="77777777" w:rsidR="00454A29" w:rsidRDefault="00454A29">
            <w:pPr>
              <w:pStyle w:val="ConsPlusNormal"/>
              <w:jc w:val="center"/>
            </w:pPr>
            <w:r>
              <w:t>-</w:t>
            </w:r>
          </w:p>
        </w:tc>
        <w:tc>
          <w:tcPr>
            <w:tcW w:w="1814" w:type="dxa"/>
            <w:vAlign w:val="center"/>
          </w:tcPr>
          <w:p w14:paraId="1F4AB2AC" w14:textId="77777777" w:rsidR="00454A29" w:rsidRDefault="00454A29">
            <w:pPr>
              <w:pStyle w:val="ConsPlusNormal"/>
            </w:pPr>
          </w:p>
        </w:tc>
        <w:tc>
          <w:tcPr>
            <w:tcW w:w="1701" w:type="dxa"/>
            <w:vAlign w:val="center"/>
          </w:tcPr>
          <w:p w14:paraId="0FB53113" w14:textId="77777777" w:rsidR="00454A29" w:rsidRDefault="00454A29">
            <w:pPr>
              <w:pStyle w:val="ConsPlusNormal"/>
            </w:pPr>
          </w:p>
        </w:tc>
        <w:tc>
          <w:tcPr>
            <w:tcW w:w="1701" w:type="dxa"/>
            <w:vAlign w:val="center"/>
          </w:tcPr>
          <w:p w14:paraId="35286F68" w14:textId="77777777" w:rsidR="00454A29" w:rsidRDefault="00454A29">
            <w:pPr>
              <w:pStyle w:val="ConsPlusNormal"/>
            </w:pPr>
          </w:p>
        </w:tc>
        <w:tc>
          <w:tcPr>
            <w:tcW w:w="1814" w:type="dxa"/>
            <w:vAlign w:val="center"/>
          </w:tcPr>
          <w:p w14:paraId="6B46C9E3" w14:textId="77777777" w:rsidR="00454A29" w:rsidRDefault="00454A29">
            <w:pPr>
              <w:pStyle w:val="ConsPlusNormal"/>
            </w:pPr>
          </w:p>
        </w:tc>
      </w:tr>
      <w:tr w:rsidR="00454A29" w14:paraId="26CB62D8" w14:textId="77777777">
        <w:tc>
          <w:tcPr>
            <w:tcW w:w="567" w:type="dxa"/>
            <w:vMerge/>
          </w:tcPr>
          <w:p w14:paraId="6661DE2E" w14:textId="77777777" w:rsidR="00454A29" w:rsidRDefault="00454A29"/>
        </w:tc>
        <w:tc>
          <w:tcPr>
            <w:tcW w:w="3345" w:type="dxa"/>
            <w:vMerge/>
          </w:tcPr>
          <w:p w14:paraId="5395843E" w14:textId="77777777" w:rsidR="00454A29" w:rsidRDefault="00454A29"/>
        </w:tc>
        <w:tc>
          <w:tcPr>
            <w:tcW w:w="1701" w:type="dxa"/>
            <w:vAlign w:val="center"/>
          </w:tcPr>
          <w:p w14:paraId="29FF3031" w14:textId="77777777" w:rsidR="00454A29" w:rsidRDefault="00454A29">
            <w:pPr>
              <w:pStyle w:val="ConsPlusNormal"/>
              <w:jc w:val="center"/>
            </w:pPr>
            <w:r>
              <w:t>2022</w:t>
            </w:r>
          </w:p>
        </w:tc>
        <w:tc>
          <w:tcPr>
            <w:tcW w:w="1417" w:type="dxa"/>
            <w:vMerge/>
          </w:tcPr>
          <w:p w14:paraId="3DE89055" w14:textId="77777777" w:rsidR="00454A29" w:rsidRDefault="00454A29"/>
        </w:tc>
        <w:tc>
          <w:tcPr>
            <w:tcW w:w="2204" w:type="dxa"/>
            <w:vMerge/>
          </w:tcPr>
          <w:p w14:paraId="1DF5E020" w14:textId="77777777" w:rsidR="00454A29" w:rsidRDefault="00454A29"/>
        </w:tc>
        <w:tc>
          <w:tcPr>
            <w:tcW w:w="1417" w:type="dxa"/>
            <w:vMerge/>
          </w:tcPr>
          <w:p w14:paraId="7CA3FDE5" w14:textId="77777777" w:rsidR="00454A29" w:rsidRDefault="00454A29"/>
        </w:tc>
        <w:tc>
          <w:tcPr>
            <w:tcW w:w="2324" w:type="dxa"/>
            <w:vMerge/>
          </w:tcPr>
          <w:p w14:paraId="3A5024F7" w14:textId="77777777" w:rsidR="00454A29" w:rsidRDefault="00454A29"/>
        </w:tc>
        <w:tc>
          <w:tcPr>
            <w:tcW w:w="1701" w:type="dxa"/>
            <w:vAlign w:val="center"/>
          </w:tcPr>
          <w:p w14:paraId="2FA6EB6D" w14:textId="77777777" w:rsidR="00454A29" w:rsidRDefault="00454A29">
            <w:pPr>
              <w:pStyle w:val="ConsPlusNormal"/>
            </w:pPr>
          </w:p>
        </w:tc>
        <w:tc>
          <w:tcPr>
            <w:tcW w:w="1814" w:type="dxa"/>
            <w:vAlign w:val="center"/>
          </w:tcPr>
          <w:p w14:paraId="31A28A51" w14:textId="77777777" w:rsidR="00454A29" w:rsidRDefault="00454A29">
            <w:pPr>
              <w:pStyle w:val="ConsPlusNormal"/>
            </w:pPr>
          </w:p>
        </w:tc>
        <w:tc>
          <w:tcPr>
            <w:tcW w:w="1701" w:type="dxa"/>
            <w:vAlign w:val="center"/>
          </w:tcPr>
          <w:p w14:paraId="43A11779" w14:textId="77777777" w:rsidR="00454A29" w:rsidRDefault="00454A29">
            <w:pPr>
              <w:pStyle w:val="ConsPlusNormal"/>
            </w:pPr>
          </w:p>
        </w:tc>
        <w:tc>
          <w:tcPr>
            <w:tcW w:w="1701" w:type="dxa"/>
            <w:vAlign w:val="center"/>
          </w:tcPr>
          <w:p w14:paraId="160E52D4" w14:textId="77777777" w:rsidR="00454A29" w:rsidRDefault="00454A29">
            <w:pPr>
              <w:pStyle w:val="ConsPlusNormal"/>
            </w:pPr>
          </w:p>
        </w:tc>
        <w:tc>
          <w:tcPr>
            <w:tcW w:w="1814" w:type="dxa"/>
            <w:vAlign w:val="center"/>
          </w:tcPr>
          <w:p w14:paraId="3E8C48A3" w14:textId="77777777" w:rsidR="00454A29" w:rsidRDefault="00454A29">
            <w:pPr>
              <w:pStyle w:val="ConsPlusNormal"/>
            </w:pPr>
          </w:p>
        </w:tc>
      </w:tr>
      <w:tr w:rsidR="00454A29" w14:paraId="4266F0CA" w14:textId="77777777">
        <w:tc>
          <w:tcPr>
            <w:tcW w:w="567" w:type="dxa"/>
            <w:vMerge/>
          </w:tcPr>
          <w:p w14:paraId="639BB2D6" w14:textId="77777777" w:rsidR="00454A29" w:rsidRDefault="00454A29"/>
        </w:tc>
        <w:tc>
          <w:tcPr>
            <w:tcW w:w="3345" w:type="dxa"/>
            <w:vMerge/>
          </w:tcPr>
          <w:p w14:paraId="6728A8B0" w14:textId="77777777" w:rsidR="00454A29" w:rsidRDefault="00454A29"/>
        </w:tc>
        <w:tc>
          <w:tcPr>
            <w:tcW w:w="1701" w:type="dxa"/>
            <w:vAlign w:val="center"/>
          </w:tcPr>
          <w:p w14:paraId="1DDC45D3" w14:textId="77777777" w:rsidR="00454A29" w:rsidRDefault="00454A29">
            <w:pPr>
              <w:pStyle w:val="ConsPlusNormal"/>
              <w:jc w:val="center"/>
            </w:pPr>
            <w:r>
              <w:t>2023</w:t>
            </w:r>
          </w:p>
        </w:tc>
        <w:tc>
          <w:tcPr>
            <w:tcW w:w="1417" w:type="dxa"/>
            <w:vMerge/>
          </w:tcPr>
          <w:p w14:paraId="266F79FC" w14:textId="77777777" w:rsidR="00454A29" w:rsidRDefault="00454A29"/>
        </w:tc>
        <w:tc>
          <w:tcPr>
            <w:tcW w:w="2204" w:type="dxa"/>
            <w:vMerge/>
          </w:tcPr>
          <w:p w14:paraId="1DA77338" w14:textId="77777777" w:rsidR="00454A29" w:rsidRDefault="00454A29"/>
        </w:tc>
        <w:tc>
          <w:tcPr>
            <w:tcW w:w="1417" w:type="dxa"/>
            <w:vMerge/>
          </w:tcPr>
          <w:p w14:paraId="3BFBE770" w14:textId="77777777" w:rsidR="00454A29" w:rsidRDefault="00454A29"/>
        </w:tc>
        <w:tc>
          <w:tcPr>
            <w:tcW w:w="2324" w:type="dxa"/>
            <w:vMerge/>
          </w:tcPr>
          <w:p w14:paraId="49EA8117" w14:textId="77777777" w:rsidR="00454A29" w:rsidRDefault="00454A29"/>
        </w:tc>
        <w:tc>
          <w:tcPr>
            <w:tcW w:w="1701" w:type="dxa"/>
            <w:vAlign w:val="center"/>
          </w:tcPr>
          <w:p w14:paraId="44671B2F" w14:textId="77777777" w:rsidR="00454A29" w:rsidRDefault="00454A29">
            <w:pPr>
              <w:pStyle w:val="ConsPlusNormal"/>
            </w:pPr>
          </w:p>
        </w:tc>
        <w:tc>
          <w:tcPr>
            <w:tcW w:w="1814" w:type="dxa"/>
            <w:vAlign w:val="center"/>
          </w:tcPr>
          <w:p w14:paraId="428AAD05" w14:textId="77777777" w:rsidR="00454A29" w:rsidRDefault="00454A29">
            <w:pPr>
              <w:pStyle w:val="ConsPlusNormal"/>
            </w:pPr>
          </w:p>
        </w:tc>
        <w:tc>
          <w:tcPr>
            <w:tcW w:w="1701" w:type="dxa"/>
            <w:vAlign w:val="center"/>
          </w:tcPr>
          <w:p w14:paraId="5D1C7594" w14:textId="77777777" w:rsidR="00454A29" w:rsidRDefault="00454A29">
            <w:pPr>
              <w:pStyle w:val="ConsPlusNormal"/>
            </w:pPr>
          </w:p>
        </w:tc>
        <w:tc>
          <w:tcPr>
            <w:tcW w:w="1701" w:type="dxa"/>
            <w:vAlign w:val="center"/>
          </w:tcPr>
          <w:p w14:paraId="27D783A9" w14:textId="77777777" w:rsidR="00454A29" w:rsidRDefault="00454A29">
            <w:pPr>
              <w:pStyle w:val="ConsPlusNormal"/>
            </w:pPr>
          </w:p>
        </w:tc>
        <w:tc>
          <w:tcPr>
            <w:tcW w:w="1814" w:type="dxa"/>
            <w:vAlign w:val="center"/>
          </w:tcPr>
          <w:p w14:paraId="11E2BC85" w14:textId="77777777" w:rsidR="00454A29" w:rsidRDefault="00454A29">
            <w:pPr>
              <w:pStyle w:val="ConsPlusNormal"/>
            </w:pPr>
          </w:p>
        </w:tc>
      </w:tr>
      <w:tr w:rsidR="00454A29" w14:paraId="03C4D257" w14:textId="77777777">
        <w:tc>
          <w:tcPr>
            <w:tcW w:w="567" w:type="dxa"/>
            <w:vMerge/>
          </w:tcPr>
          <w:p w14:paraId="02305140" w14:textId="77777777" w:rsidR="00454A29" w:rsidRDefault="00454A29"/>
        </w:tc>
        <w:tc>
          <w:tcPr>
            <w:tcW w:w="3345" w:type="dxa"/>
            <w:vMerge/>
          </w:tcPr>
          <w:p w14:paraId="12A9ABE4" w14:textId="77777777" w:rsidR="00454A29" w:rsidRDefault="00454A29"/>
        </w:tc>
        <w:tc>
          <w:tcPr>
            <w:tcW w:w="1701" w:type="dxa"/>
            <w:vAlign w:val="center"/>
          </w:tcPr>
          <w:p w14:paraId="123400AE" w14:textId="77777777" w:rsidR="00454A29" w:rsidRDefault="00454A29">
            <w:pPr>
              <w:pStyle w:val="ConsPlusNormal"/>
              <w:jc w:val="center"/>
            </w:pPr>
            <w:r>
              <w:t>2024</w:t>
            </w:r>
          </w:p>
        </w:tc>
        <w:tc>
          <w:tcPr>
            <w:tcW w:w="1417" w:type="dxa"/>
            <w:vMerge/>
          </w:tcPr>
          <w:p w14:paraId="700ADC30" w14:textId="77777777" w:rsidR="00454A29" w:rsidRDefault="00454A29"/>
        </w:tc>
        <w:tc>
          <w:tcPr>
            <w:tcW w:w="2204" w:type="dxa"/>
            <w:vMerge/>
          </w:tcPr>
          <w:p w14:paraId="6BAE1A7E" w14:textId="77777777" w:rsidR="00454A29" w:rsidRDefault="00454A29"/>
        </w:tc>
        <w:tc>
          <w:tcPr>
            <w:tcW w:w="1417" w:type="dxa"/>
            <w:vMerge/>
          </w:tcPr>
          <w:p w14:paraId="113B33C3" w14:textId="77777777" w:rsidR="00454A29" w:rsidRDefault="00454A29"/>
        </w:tc>
        <w:tc>
          <w:tcPr>
            <w:tcW w:w="2324" w:type="dxa"/>
            <w:vMerge/>
          </w:tcPr>
          <w:p w14:paraId="273D672E" w14:textId="77777777" w:rsidR="00454A29" w:rsidRDefault="00454A29"/>
        </w:tc>
        <w:tc>
          <w:tcPr>
            <w:tcW w:w="1701" w:type="dxa"/>
            <w:vAlign w:val="center"/>
          </w:tcPr>
          <w:p w14:paraId="79AC110C" w14:textId="77777777" w:rsidR="00454A29" w:rsidRDefault="00454A29">
            <w:pPr>
              <w:pStyle w:val="ConsPlusNormal"/>
            </w:pPr>
          </w:p>
        </w:tc>
        <w:tc>
          <w:tcPr>
            <w:tcW w:w="1814" w:type="dxa"/>
            <w:vAlign w:val="center"/>
          </w:tcPr>
          <w:p w14:paraId="5916E22F" w14:textId="77777777" w:rsidR="00454A29" w:rsidRDefault="00454A29">
            <w:pPr>
              <w:pStyle w:val="ConsPlusNormal"/>
            </w:pPr>
          </w:p>
        </w:tc>
        <w:tc>
          <w:tcPr>
            <w:tcW w:w="1701" w:type="dxa"/>
            <w:vAlign w:val="center"/>
          </w:tcPr>
          <w:p w14:paraId="5DF00368" w14:textId="77777777" w:rsidR="00454A29" w:rsidRDefault="00454A29">
            <w:pPr>
              <w:pStyle w:val="ConsPlusNormal"/>
            </w:pPr>
          </w:p>
        </w:tc>
        <w:tc>
          <w:tcPr>
            <w:tcW w:w="1701" w:type="dxa"/>
            <w:vAlign w:val="center"/>
          </w:tcPr>
          <w:p w14:paraId="5BBFA0EB" w14:textId="77777777" w:rsidR="00454A29" w:rsidRDefault="00454A29">
            <w:pPr>
              <w:pStyle w:val="ConsPlusNormal"/>
            </w:pPr>
          </w:p>
        </w:tc>
        <w:tc>
          <w:tcPr>
            <w:tcW w:w="1814" w:type="dxa"/>
            <w:vAlign w:val="center"/>
          </w:tcPr>
          <w:p w14:paraId="618D460A" w14:textId="77777777" w:rsidR="00454A29" w:rsidRDefault="00454A29">
            <w:pPr>
              <w:pStyle w:val="ConsPlusNormal"/>
            </w:pPr>
          </w:p>
        </w:tc>
      </w:tr>
      <w:tr w:rsidR="00454A29" w14:paraId="49AF983E" w14:textId="77777777">
        <w:tc>
          <w:tcPr>
            <w:tcW w:w="567" w:type="dxa"/>
            <w:vMerge/>
          </w:tcPr>
          <w:p w14:paraId="30C60BE1" w14:textId="77777777" w:rsidR="00454A29" w:rsidRDefault="00454A29"/>
        </w:tc>
        <w:tc>
          <w:tcPr>
            <w:tcW w:w="3345" w:type="dxa"/>
            <w:vMerge/>
          </w:tcPr>
          <w:p w14:paraId="38C27A06" w14:textId="77777777" w:rsidR="00454A29" w:rsidRDefault="00454A29"/>
        </w:tc>
        <w:tc>
          <w:tcPr>
            <w:tcW w:w="1701" w:type="dxa"/>
            <w:vAlign w:val="center"/>
          </w:tcPr>
          <w:p w14:paraId="17D0165E" w14:textId="77777777" w:rsidR="00454A29" w:rsidRDefault="00454A29">
            <w:pPr>
              <w:pStyle w:val="ConsPlusNormal"/>
              <w:jc w:val="center"/>
            </w:pPr>
            <w:r>
              <w:t>2025</w:t>
            </w:r>
          </w:p>
        </w:tc>
        <w:tc>
          <w:tcPr>
            <w:tcW w:w="1417" w:type="dxa"/>
            <w:vMerge/>
          </w:tcPr>
          <w:p w14:paraId="24F6D3FD" w14:textId="77777777" w:rsidR="00454A29" w:rsidRDefault="00454A29"/>
        </w:tc>
        <w:tc>
          <w:tcPr>
            <w:tcW w:w="2204" w:type="dxa"/>
            <w:vMerge/>
          </w:tcPr>
          <w:p w14:paraId="2C2F6176" w14:textId="77777777" w:rsidR="00454A29" w:rsidRDefault="00454A29"/>
        </w:tc>
        <w:tc>
          <w:tcPr>
            <w:tcW w:w="1417" w:type="dxa"/>
            <w:vMerge/>
          </w:tcPr>
          <w:p w14:paraId="30BAA976" w14:textId="77777777" w:rsidR="00454A29" w:rsidRDefault="00454A29"/>
        </w:tc>
        <w:tc>
          <w:tcPr>
            <w:tcW w:w="2324" w:type="dxa"/>
            <w:vMerge/>
          </w:tcPr>
          <w:p w14:paraId="0403D330" w14:textId="77777777" w:rsidR="00454A29" w:rsidRDefault="00454A29"/>
        </w:tc>
        <w:tc>
          <w:tcPr>
            <w:tcW w:w="1701" w:type="dxa"/>
            <w:vAlign w:val="center"/>
          </w:tcPr>
          <w:p w14:paraId="21C97836" w14:textId="77777777" w:rsidR="00454A29" w:rsidRDefault="00454A29">
            <w:pPr>
              <w:pStyle w:val="ConsPlusNormal"/>
            </w:pPr>
          </w:p>
        </w:tc>
        <w:tc>
          <w:tcPr>
            <w:tcW w:w="1814" w:type="dxa"/>
            <w:vAlign w:val="center"/>
          </w:tcPr>
          <w:p w14:paraId="491563B1" w14:textId="77777777" w:rsidR="00454A29" w:rsidRDefault="00454A29">
            <w:pPr>
              <w:pStyle w:val="ConsPlusNormal"/>
            </w:pPr>
          </w:p>
        </w:tc>
        <w:tc>
          <w:tcPr>
            <w:tcW w:w="1701" w:type="dxa"/>
            <w:vAlign w:val="center"/>
          </w:tcPr>
          <w:p w14:paraId="549E605B" w14:textId="77777777" w:rsidR="00454A29" w:rsidRDefault="00454A29">
            <w:pPr>
              <w:pStyle w:val="ConsPlusNormal"/>
            </w:pPr>
          </w:p>
        </w:tc>
        <w:tc>
          <w:tcPr>
            <w:tcW w:w="1701" w:type="dxa"/>
            <w:vAlign w:val="center"/>
          </w:tcPr>
          <w:p w14:paraId="5AE361D7" w14:textId="77777777" w:rsidR="00454A29" w:rsidRDefault="00454A29">
            <w:pPr>
              <w:pStyle w:val="ConsPlusNormal"/>
            </w:pPr>
          </w:p>
        </w:tc>
        <w:tc>
          <w:tcPr>
            <w:tcW w:w="1814" w:type="dxa"/>
            <w:vAlign w:val="center"/>
          </w:tcPr>
          <w:p w14:paraId="602D6CB0" w14:textId="77777777" w:rsidR="00454A29" w:rsidRDefault="00454A29">
            <w:pPr>
              <w:pStyle w:val="ConsPlusNormal"/>
            </w:pPr>
          </w:p>
        </w:tc>
      </w:tr>
      <w:tr w:rsidR="00454A29" w14:paraId="190BEB37" w14:textId="77777777">
        <w:tc>
          <w:tcPr>
            <w:tcW w:w="567" w:type="dxa"/>
            <w:vMerge/>
          </w:tcPr>
          <w:p w14:paraId="70706979" w14:textId="77777777" w:rsidR="00454A29" w:rsidRDefault="00454A29"/>
        </w:tc>
        <w:tc>
          <w:tcPr>
            <w:tcW w:w="3345" w:type="dxa"/>
            <w:vMerge/>
          </w:tcPr>
          <w:p w14:paraId="238B36D4" w14:textId="77777777" w:rsidR="00454A29" w:rsidRDefault="00454A29"/>
        </w:tc>
        <w:tc>
          <w:tcPr>
            <w:tcW w:w="1701" w:type="dxa"/>
            <w:vAlign w:val="center"/>
          </w:tcPr>
          <w:p w14:paraId="2EC31DD6" w14:textId="77777777" w:rsidR="00454A29" w:rsidRDefault="00454A29">
            <w:pPr>
              <w:pStyle w:val="ConsPlusNormal"/>
              <w:jc w:val="center"/>
            </w:pPr>
            <w:r>
              <w:t>2026</w:t>
            </w:r>
          </w:p>
        </w:tc>
        <w:tc>
          <w:tcPr>
            <w:tcW w:w="1417" w:type="dxa"/>
            <w:vMerge/>
          </w:tcPr>
          <w:p w14:paraId="0E5C64C6" w14:textId="77777777" w:rsidR="00454A29" w:rsidRDefault="00454A29"/>
        </w:tc>
        <w:tc>
          <w:tcPr>
            <w:tcW w:w="2204" w:type="dxa"/>
            <w:vMerge/>
          </w:tcPr>
          <w:p w14:paraId="0992C518" w14:textId="77777777" w:rsidR="00454A29" w:rsidRDefault="00454A29"/>
        </w:tc>
        <w:tc>
          <w:tcPr>
            <w:tcW w:w="1417" w:type="dxa"/>
            <w:vMerge/>
          </w:tcPr>
          <w:p w14:paraId="5E9FCFEE" w14:textId="77777777" w:rsidR="00454A29" w:rsidRDefault="00454A29"/>
        </w:tc>
        <w:tc>
          <w:tcPr>
            <w:tcW w:w="2324" w:type="dxa"/>
            <w:vMerge/>
          </w:tcPr>
          <w:p w14:paraId="33F8CFBA" w14:textId="77777777" w:rsidR="00454A29" w:rsidRDefault="00454A29"/>
        </w:tc>
        <w:tc>
          <w:tcPr>
            <w:tcW w:w="1701" w:type="dxa"/>
            <w:vAlign w:val="center"/>
          </w:tcPr>
          <w:p w14:paraId="6B45EC7B" w14:textId="77777777" w:rsidR="00454A29" w:rsidRDefault="00454A29">
            <w:pPr>
              <w:pStyle w:val="ConsPlusNormal"/>
              <w:jc w:val="center"/>
            </w:pPr>
            <w:r>
              <w:t>1 039 780,48</w:t>
            </w:r>
          </w:p>
        </w:tc>
        <w:tc>
          <w:tcPr>
            <w:tcW w:w="1814" w:type="dxa"/>
            <w:vAlign w:val="center"/>
          </w:tcPr>
          <w:p w14:paraId="748E29AF" w14:textId="77777777" w:rsidR="00454A29" w:rsidRDefault="00454A29">
            <w:pPr>
              <w:pStyle w:val="ConsPlusNormal"/>
              <w:jc w:val="center"/>
            </w:pPr>
            <w:r>
              <w:t>12 810,10</w:t>
            </w:r>
          </w:p>
        </w:tc>
        <w:tc>
          <w:tcPr>
            <w:tcW w:w="1701" w:type="dxa"/>
            <w:vAlign w:val="center"/>
          </w:tcPr>
          <w:p w14:paraId="0CE21A49" w14:textId="77777777" w:rsidR="00454A29" w:rsidRDefault="00454A29">
            <w:pPr>
              <w:pStyle w:val="ConsPlusNormal"/>
              <w:jc w:val="center"/>
            </w:pPr>
            <w:r>
              <w:t>1 268 199,45</w:t>
            </w:r>
          </w:p>
        </w:tc>
        <w:tc>
          <w:tcPr>
            <w:tcW w:w="1701" w:type="dxa"/>
            <w:vAlign w:val="center"/>
          </w:tcPr>
          <w:p w14:paraId="591711CC" w14:textId="77777777" w:rsidR="00454A29" w:rsidRDefault="00454A29">
            <w:pPr>
              <w:pStyle w:val="ConsPlusNormal"/>
            </w:pPr>
          </w:p>
        </w:tc>
        <w:tc>
          <w:tcPr>
            <w:tcW w:w="1814" w:type="dxa"/>
            <w:vAlign w:val="center"/>
          </w:tcPr>
          <w:p w14:paraId="6512B08D" w14:textId="77777777" w:rsidR="00454A29" w:rsidRDefault="00454A29">
            <w:pPr>
              <w:pStyle w:val="ConsPlusNormal"/>
            </w:pPr>
          </w:p>
        </w:tc>
      </w:tr>
      <w:tr w:rsidR="00454A29" w14:paraId="4BB5183B" w14:textId="77777777">
        <w:tc>
          <w:tcPr>
            <w:tcW w:w="567" w:type="dxa"/>
            <w:vMerge w:val="restart"/>
            <w:vAlign w:val="center"/>
          </w:tcPr>
          <w:p w14:paraId="794B5639" w14:textId="77777777" w:rsidR="00454A29" w:rsidRDefault="00454A29">
            <w:pPr>
              <w:pStyle w:val="ConsPlusNormal"/>
              <w:jc w:val="center"/>
            </w:pPr>
            <w:r>
              <w:t>175</w:t>
            </w:r>
          </w:p>
        </w:tc>
        <w:tc>
          <w:tcPr>
            <w:tcW w:w="3345" w:type="dxa"/>
            <w:vMerge w:val="restart"/>
            <w:vAlign w:val="center"/>
          </w:tcPr>
          <w:p w14:paraId="5A37C037" w14:textId="77777777" w:rsidR="00454A29" w:rsidRDefault="00454A29">
            <w:pPr>
              <w:pStyle w:val="ConsPlusNormal"/>
              <w:jc w:val="center"/>
            </w:pPr>
            <w:r>
              <w:t>Школа на 600 учащихся в г. Якутске, квартал Новопортовской</w:t>
            </w:r>
          </w:p>
        </w:tc>
        <w:tc>
          <w:tcPr>
            <w:tcW w:w="1701" w:type="dxa"/>
            <w:vAlign w:val="center"/>
          </w:tcPr>
          <w:p w14:paraId="27D5F365" w14:textId="77777777" w:rsidR="00454A29" w:rsidRDefault="00454A29">
            <w:pPr>
              <w:pStyle w:val="ConsPlusNormal"/>
              <w:jc w:val="center"/>
            </w:pPr>
            <w:r>
              <w:t>2020 - 2026 годы - всего</w:t>
            </w:r>
          </w:p>
        </w:tc>
        <w:tc>
          <w:tcPr>
            <w:tcW w:w="1417" w:type="dxa"/>
            <w:vMerge w:val="restart"/>
            <w:vAlign w:val="center"/>
          </w:tcPr>
          <w:p w14:paraId="55E7355E" w14:textId="77777777" w:rsidR="00454A29" w:rsidRDefault="00454A29">
            <w:pPr>
              <w:pStyle w:val="ConsPlusNormal"/>
              <w:jc w:val="center"/>
            </w:pPr>
            <w:r>
              <w:t>973 376,20</w:t>
            </w:r>
          </w:p>
        </w:tc>
        <w:tc>
          <w:tcPr>
            <w:tcW w:w="2204" w:type="dxa"/>
            <w:vMerge w:val="restart"/>
            <w:vAlign w:val="center"/>
          </w:tcPr>
          <w:p w14:paraId="21F74286" w14:textId="77777777" w:rsidR="00454A29" w:rsidRDefault="00454A29">
            <w:pPr>
              <w:pStyle w:val="ConsPlusNormal"/>
            </w:pPr>
          </w:p>
        </w:tc>
        <w:tc>
          <w:tcPr>
            <w:tcW w:w="1417" w:type="dxa"/>
            <w:vMerge w:val="restart"/>
            <w:vAlign w:val="center"/>
          </w:tcPr>
          <w:p w14:paraId="25BFCD52" w14:textId="77777777" w:rsidR="00454A29" w:rsidRDefault="00454A29">
            <w:pPr>
              <w:pStyle w:val="ConsPlusNormal"/>
              <w:jc w:val="center"/>
            </w:pPr>
            <w:r>
              <w:t>600</w:t>
            </w:r>
          </w:p>
        </w:tc>
        <w:tc>
          <w:tcPr>
            <w:tcW w:w="2324" w:type="dxa"/>
            <w:vMerge w:val="restart"/>
            <w:vAlign w:val="center"/>
          </w:tcPr>
          <w:p w14:paraId="4A3496E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E8F27FD" w14:textId="77777777" w:rsidR="00454A29" w:rsidRDefault="00454A29">
            <w:pPr>
              <w:pStyle w:val="ConsPlusNormal"/>
              <w:jc w:val="center"/>
            </w:pPr>
            <w:r>
              <w:t>973 376,20</w:t>
            </w:r>
          </w:p>
        </w:tc>
        <w:tc>
          <w:tcPr>
            <w:tcW w:w="1814" w:type="dxa"/>
            <w:vAlign w:val="center"/>
          </w:tcPr>
          <w:p w14:paraId="34FDF498" w14:textId="77777777" w:rsidR="00454A29" w:rsidRDefault="00454A29">
            <w:pPr>
              <w:pStyle w:val="ConsPlusNormal"/>
              <w:jc w:val="center"/>
            </w:pPr>
            <w:r>
              <w:t>12 313,21</w:t>
            </w:r>
          </w:p>
        </w:tc>
        <w:tc>
          <w:tcPr>
            <w:tcW w:w="1701" w:type="dxa"/>
            <w:vAlign w:val="center"/>
          </w:tcPr>
          <w:p w14:paraId="0D9D4356" w14:textId="77777777" w:rsidR="00454A29" w:rsidRDefault="00454A29">
            <w:pPr>
              <w:pStyle w:val="ConsPlusNormal"/>
              <w:jc w:val="center"/>
            </w:pPr>
            <w:r>
              <w:t>1 219 007,68</w:t>
            </w:r>
          </w:p>
        </w:tc>
        <w:tc>
          <w:tcPr>
            <w:tcW w:w="1701" w:type="dxa"/>
            <w:vAlign w:val="center"/>
          </w:tcPr>
          <w:p w14:paraId="652D0518" w14:textId="77777777" w:rsidR="00454A29" w:rsidRDefault="00454A29">
            <w:pPr>
              <w:pStyle w:val="ConsPlusNormal"/>
              <w:jc w:val="center"/>
            </w:pPr>
            <w:r>
              <w:t>-</w:t>
            </w:r>
          </w:p>
        </w:tc>
        <w:tc>
          <w:tcPr>
            <w:tcW w:w="1814" w:type="dxa"/>
            <w:vAlign w:val="center"/>
          </w:tcPr>
          <w:p w14:paraId="0B29552B" w14:textId="77777777" w:rsidR="00454A29" w:rsidRDefault="00454A29">
            <w:pPr>
              <w:pStyle w:val="ConsPlusNormal"/>
              <w:jc w:val="center"/>
            </w:pPr>
            <w:r>
              <w:t>-</w:t>
            </w:r>
          </w:p>
        </w:tc>
      </w:tr>
      <w:tr w:rsidR="00454A29" w14:paraId="6E7BC38B" w14:textId="77777777">
        <w:tc>
          <w:tcPr>
            <w:tcW w:w="567" w:type="dxa"/>
            <w:vMerge/>
          </w:tcPr>
          <w:p w14:paraId="7D6F5F74" w14:textId="77777777" w:rsidR="00454A29" w:rsidRDefault="00454A29"/>
        </w:tc>
        <w:tc>
          <w:tcPr>
            <w:tcW w:w="3345" w:type="dxa"/>
            <w:vMerge/>
          </w:tcPr>
          <w:p w14:paraId="34ADE50B" w14:textId="77777777" w:rsidR="00454A29" w:rsidRDefault="00454A29"/>
        </w:tc>
        <w:tc>
          <w:tcPr>
            <w:tcW w:w="1701" w:type="dxa"/>
            <w:vAlign w:val="center"/>
          </w:tcPr>
          <w:p w14:paraId="0E38B33C" w14:textId="77777777" w:rsidR="00454A29" w:rsidRDefault="00454A29">
            <w:pPr>
              <w:pStyle w:val="ConsPlusNormal"/>
              <w:jc w:val="center"/>
            </w:pPr>
            <w:r>
              <w:t>2020</w:t>
            </w:r>
          </w:p>
        </w:tc>
        <w:tc>
          <w:tcPr>
            <w:tcW w:w="1417" w:type="dxa"/>
            <w:vMerge/>
          </w:tcPr>
          <w:p w14:paraId="3040CF47" w14:textId="77777777" w:rsidR="00454A29" w:rsidRDefault="00454A29"/>
        </w:tc>
        <w:tc>
          <w:tcPr>
            <w:tcW w:w="2204" w:type="dxa"/>
            <w:vMerge/>
          </w:tcPr>
          <w:p w14:paraId="415C9F66" w14:textId="77777777" w:rsidR="00454A29" w:rsidRDefault="00454A29"/>
        </w:tc>
        <w:tc>
          <w:tcPr>
            <w:tcW w:w="1417" w:type="dxa"/>
            <w:vMerge/>
          </w:tcPr>
          <w:p w14:paraId="195BE645" w14:textId="77777777" w:rsidR="00454A29" w:rsidRDefault="00454A29"/>
        </w:tc>
        <w:tc>
          <w:tcPr>
            <w:tcW w:w="2324" w:type="dxa"/>
            <w:vMerge/>
          </w:tcPr>
          <w:p w14:paraId="759DB337" w14:textId="77777777" w:rsidR="00454A29" w:rsidRDefault="00454A29"/>
        </w:tc>
        <w:tc>
          <w:tcPr>
            <w:tcW w:w="1701" w:type="dxa"/>
            <w:vAlign w:val="center"/>
          </w:tcPr>
          <w:p w14:paraId="3DF13021" w14:textId="77777777" w:rsidR="00454A29" w:rsidRDefault="00454A29">
            <w:pPr>
              <w:pStyle w:val="ConsPlusNormal"/>
            </w:pPr>
          </w:p>
        </w:tc>
        <w:tc>
          <w:tcPr>
            <w:tcW w:w="1814" w:type="dxa"/>
            <w:vAlign w:val="center"/>
          </w:tcPr>
          <w:p w14:paraId="68D0323C" w14:textId="77777777" w:rsidR="00454A29" w:rsidRDefault="00454A29">
            <w:pPr>
              <w:pStyle w:val="ConsPlusNormal"/>
            </w:pPr>
          </w:p>
        </w:tc>
        <w:tc>
          <w:tcPr>
            <w:tcW w:w="1701" w:type="dxa"/>
            <w:vAlign w:val="center"/>
          </w:tcPr>
          <w:p w14:paraId="1624163E" w14:textId="77777777" w:rsidR="00454A29" w:rsidRDefault="00454A29">
            <w:pPr>
              <w:pStyle w:val="ConsPlusNormal"/>
            </w:pPr>
          </w:p>
        </w:tc>
        <w:tc>
          <w:tcPr>
            <w:tcW w:w="1701" w:type="dxa"/>
            <w:vAlign w:val="center"/>
          </w:tcPr>
          <w:p w14:paraId="01761854" w14:textId="77777777" w:rsidR="00454A29" w:rsidRDefault="00454A29">
            <w:pPr>
              <w:pStyle w:val="ConsPlusNormal"/>
            </w:pPr>
          </w:p>
        </w:tc>
        <w:tc>
          <w:tcPr>
            <w:tcW w:w="1814" w:type="dxa"/>
            <w:vAlign w:val="center"/>
          </w:tcPr>
          <w:p w14:paraId="2A8FECCA" w14:textId="77777777" w:rsidR="00454A29" w:rsidRDefault="00454A29">
            <w:pPr>
              <w:pStyle w:val="ConsPlusNormal"/>
            </w:pPr>
          </w:p>
        </w:tc>
      </w:tr>
      <w:tr w:rsidR="00454A29" w14:paraId="17AD3B7E" w14:textId="77777777">
        <w:tc>
          <w:tcPr>
            <w:tcW w:w="567" w:type="dxa"/>
            <w:vMerge/>
          </w:tcPr>
          <w:p w14:paraId="1D099FC0" w14:textId="77777777" w:rsidR="00454A29" w:rsidRDefault="00454A29"/>
        </w:tc>
        <w:tc>
          <w:tcPr>
            <w:tcW w:w="3345" w:type="dxa"/>
            <w:vMerge/>
          </w:tcPr>
          <w:p w14:paraId="1542485E" w14:textId="77777777" w:rsidR="00454A29" w:rsidRDefault="00454A29"/>
        </w:tc>
        <w:tc>
          <w:tcPr>
            <w:tcW w:w="1701" w:type="dxa"/>
            <w:vAlign w:val="center"/>
          </w:tcPr>
          <w:p w14:paraId="2ADEF9CB" w14:textId="77777777" w:rsidR="00454A29" w:rsidRDefault="00454A29">
            <w:pPr>
              <w:pStyle w:val="ConsPlusNormal"/>
              <w:jc w:val="center"/>
            </w:pPr>
            <w:r>
              <w:t>2021</w:t>
            </w:r>
          </w:p>
        </w:tc>
        <w:tc>
          <w:tcPr>
            <w:tcW w:w="1417" w:type="dxa"/>
            <w:vMerge/>
          </w:tcPr>
          <w:p w14:paraId="4721AAB3" w14:textId="77777777" w:rsidR="00454A29" w:rsidRDefault="00454A29"/>
        </w:tc>
        <w:tc>
          <w:tcPr>
            <w:tcW w:w="2204" w:type="dxa"/>
            <w:vMerge/>
          </w:tcPr>
          <w:p w14:paraId="719E7994" w14:textId="77777777" w:rsidR="00454A29" w:rsidRDefault="00454A29"/>
        </w:tc>
        <w:tc>
          <w:tcPr>
            <w:tcW w:w="1417" w:type="dxa"/>
            <w:vMerge/>
          </w:tcPr>
          <w:p w14:paraId="67AB19D3" w14:textId="77777777" w:rsidR="00454A29" w:rsidRDefault="00454A29"/>
        </w:tc>
        <w:tc>
          <w:tcPr>
            <w:tcW w:w="2324" w:type="dxa"/>
            <w:vMerge/>
          </w:tcPr>
          <w:p w14:paraId="2A0AA59F" w14:textId="77777777" w:rsidR="00454A29" w:rsidRDefault="00454A29"/>
        </w:tc>
        <w:tc>
          <w:tcPr>
            <w:tcW w:w="1701" w:type="dxa"/>
            <w:vAlign w:val="center"/>
          </w:tcPr>
          <w:p w14:paraId="758082CD" w14:textId="77777777" w:rsidR="00454A29" w:rsidRDefault="00454A29">
            <w:pPr>
              <w:pStyle w:val="ConsPlusNormal"/>
              <w:jc w:val="center"/>
            </w:pPr>
            <w:r>
              <w:t>-</w:t>
            </w:r>
          </w:p>
        </w:tc>
        <w:tc>
          <w:tcPr>
            <w:tcW w:w="1814" w:type="dxa"/>
            <w:vAlign w:val="center"/>
          </w:tcPr>
          <w:p w14:paraId="5E26DB98" w14:textId="77777777" w:rsidR="00454A29" w:rsidRDefault="00454A29">
            <w:pPr>
              <w:pStyle w:val="ConsPlusNormal"/>
            </w:pPr>
          </w:p>
        </w:tc>
        <w:tc>
          <w:tcPr>
            <w:tcW w:w="1701" w:type="dxa"/>
            <w:vAlign w:val="center"/>
          </w:tcPr>
          <w:p w14:paraId="13C3506E" w14:textId="77777777" w:rsidR="00454A29" w:rsidRDefault="00454A29">
            <w:pPr>
              <w:pStyle w:val="ConsPlusNormal"/>
            </w:pPr>
          </w:p>
        </w:tc>
        <w:tc>
          <w:tcPr>
            <w:tcW w:w="1701" w:type="dxa"/>
            <w:vAlign w:val="center"/>
          </w:tcPr>
          <w:p w14:paraId="46F14941" w14:textId="77777777" w:rsidR="00454A29" w:rsidRDefault="00454A29">
            <w:pPr>
              <w:pStyle w:val="ConsPlusNormal"/>
            </w:pPr>
          </w:p>
        </w:tc>
        <w:tc>
          <w:tcPr>
            <w:tcW w:w="1814" w:type="dxa"/>
            <w:vAlign w:val="center"/>
          </w:tcPr>
          <w:p w14:paraId="31940C6B" w14:textId="77777777" w:rsidR="00454A29" w:rsidRDefault="00454A29">
            <w:pPr>
              <w:pStyle w:val="ConsPlusNormal"/>
            </w:pPr>
          </w:p>
        </w:tc>
      </w:tr>
      <w:tr w:rsidR="00454A29" w14:paraId="7DB5DC64" w14:textId="77777777">
        <w:tc>
          <w:tcPr>
            <w:tcW w:w="567" w:type="dxa"/>
            <w:vMerge/>
          </w:tcPr>
          <w:p w14:paraId="6BD00359" w14:textId="77777777" w:rsidR="00454A29" w:rsidRDefault="00454A29"/>
        </w:tc>
        <w:tc>
          <w:tcPr>
            <w:tcW w:w="3345" w:type="dxa"/>
            <w:vMerge/>
          </w:tcPr>
          <w:p w14:paraId="261D5E7A" w14:textId="77777777" w:rsidR="00454A29" w:rsidRDefault="00454A29"/>
        </w:tc>
        <w:tc>
          <w:tcPr>
            <w:tcW w:w="1701" w:type="dxa"/>
            <w:vAlign w:val="center"/>
          </w:tcPr>
          <w:p w14:paraId="4FBE2C96" w14:textId="77777777" w:rsidR="00454A29" w:rsidRDefault="00454A29">
            <w:pPr>
              <w:pStyle w:val="ConsPlusNormal"/>
              <w:jc w:val="center"/>
            </w:pPr>
            <w:r>
              <w:t>2022</w:t>
            </w:r>
          </w:p>
        </w:tc>
        <w:tc>
          <w:tcPr>
            <w:tcW w:w="1417" w:type="dxa"/>
            <w:vMerge/>
          </w:tcPr>
          <w:p w14:paraId="4DC14E28" w14:textId="77777777" w:rsidR="00454A29" w:rsidRDefault="00454A29"/>
        </w:tc>
        <w:tc>
          <w:tcPr>
            <w:tcW w:w="2204" w:type="dxa"/>
            <w:vMerge/>
          </w:tcPr>
          <w:p w14:paraId="0BE0424E" w14:textId="77777777" w:rsidR="00454A29" w:rsidRDefault="00454A29"/>
        </w:tc>
        <w:tc>
          <w:tcPr>
            <w:tcW w:w="1417" w:type="dxa"/>
            <w:vMerge/>
          </w:tcPr>
          <w:p w14:paraId="355C61C9" w14:textId="77777777" w:rsidR="00454A29" w:rsidRDefault="00454A29"/>
        </w:tc>
        <w:tc>
          <w:tcPr>
            <w:tcW w:w="2324" w:type="dxa"/>
            <w:vMerge/>
          </w:tcPr>
          <w:p w14:paraId="34201F62" w14:textId="77777777" w:rsidR="00454A29" w:rsidRDefault="00454A29"/>
        </w:tc>
        <w:tc>
          <w:tcPr>
            <w:tcW w:w="1701" w:type="dxa"/>
            <w:vAlign w:val="center"/>
          </w:tcPr>
          <w:p w14:paraId="4F60B164" w14:textId="77777777" w:rsidR="00454A29" w:rsidRDefault="00454A29">
            <w:pPr>
              <w:pStyle w:val="ConsPlusNormal"/>
            </w:pPr>
          </w:p>
        </w:tc>
        <w:tc>
          <w:tcPr>
            <w:tcW w:w="1814" w:type="dxa"/>
            <w:vAlign w:val="center"/>
          </w:tcPr>
          <w:p w14:paraId="4B822B69" w14:textId="77777777" w:rsidR="00454A29" w:rsidRDefault="00454A29">
            <w:pPr>
              <w:pStyle w:val="ConsPlusNormal"/>
            </w:pPr>
          </w:p>
        </w:tc>
        <w:tc>
          <w:tcPr>
            <w:tcW w:w="1701" w:type="dxa"/>
            <w:vAlign w:val="center"/>
          </w:tcPr>
          <w:p w14:paraId="5BC82C11" w14:textId="77777777" w:rsidR="00454A29" w:rsidRDefault="00454A29">
            <w:pPr>
              <w:pStyle w:val="ConsPlusNormal"/>
            </w:pPr>
          </w:p>
        </w:tc>
        <w:tc>
          <w:tcPr>
            <w:tcW w:w="1701" w:type="dxa"/>
            <w:vAlign w:val="center"/>
          </w:tcPr>
          <w:p w14:paraId="294F689C" w14:textId="77777777" w:rsidR="00454A29" w:rsidRDefault="00454A29">
            <w:pPr>
              <w:pStyle w:val="ConsPlusNormal"/>
            </w:pPr>
          </w:p>
        </w:tc>
        <w:tc>
          <w:tcPr>
            <w:tcW w:w="1814" w:type="dxa"/>
            <w:vAlign w:val="center"/>
          </w:tcPr>
          <w:p w14:paraId="666CF9BE" w14:textId="77777777" w:rsidR="00454A29" w:rsidRDefault="00454A29">
            <w:pPr>
              <w:pStyle w:val="ConsPlusNormal"/>
            </w:pPr>
          </w:p>
        </w:tc>
      </w:tr>
      <w:tr w:rsidR="00454A29" w14:paraId="278B3C09" w14:textId="77777777">
        <w:tc>
          <w:tcPr>
            <w:tcW w:w="567" w:type="dxa"/>
            <w:vMerge/>
          </w:tcPr>
          <w:p w14:paraId="44D4D786" w14:textId="77777777" w:rsidR="00454A29" w:rsidRDefault="00454A29"/>
        </w:tc>
        <w:tc>
          <w:tcPr>
            <w:tcW w:w="3345" w:type="dxa"/>
            <w:vMerge/>
          </w:tcPr>
          <w:p w14:paraId="345CF870" w14:textId="77777777" w:rsidR="00454A29" w:rsidRDefault="00454A29"/>
        </w:tc>
        <w:tc>
          <w:tcPr>
            <w:tcW w:w="1701" w:type="dxa"/>
            <w:vAlign w:val="center"/>
          </w:tcPr>
          <w:p w14:paraId="6DB3A279" w14:textId="77777777" w:rsidR="00454A29" w:rsidRDefault="00454A29">
            <w:pPr>
              <w:pStyle w:val="ConsPlusNormal"/>
              <w:jc w:val="center"/>
            </w:pPr>
            <w:r>
              <w:t>2023</w:t>
            </w:r>
          </w:p>
        </w:tc>
        <w:tc>
          <w:tcPr>
            <w:tcW w:w="1417" w:type="dxa"/>
            <w:vMerge/>
          </w:tcPr>
          <w:p w14:paraId="1F6CE83B" w14:textId="77777777" w:rsidR="00454A29" w:rsidRDefault="00454A29"/>
        </w:tc>
        <w:tc>
          <w:tcPr>
            <w:tcW w:w="2204" w:type="dxa"/>
            <w:vMerge/>
          </w:tcPr>
          <w:p w14:paraId="3015E50B" w14:textId="77777777" w:rsidR="00454A29" w:rsidRDefault="00454A29"/>
        </w:tc>
        <w:tc>
          <w:tcPr>
            <w:tcW w:w="1417" w:type="dxa"/>
            <w:vMerge/>
          </w:tcPr>
          <w:p w14:paraId="5300A705" w14:textId="77777777" w:rsidR="00454A29" w:rsidRDefault="00454A29"/>
        </w:tc>
        <w:tc>
          <w:tcPr>
            <w:tcW w:w="2324" w:type="dxa"/>
            <w:vMerge/>
          </w:tcPr>
          <w:p w14:paraId="5B14445B" w14:textId="77777777" w:rsidR="00454A29" w:rsidRDefault="00454A29"/>
        </w:tc>
        <w:tc>
          <w:tcPr>
            <w:tcW w:w="1701" w:type="dxa"/>
            <w:vAlign w:val="center"/>
          </w:tcPr>
          <w:p w14:paraId="338F3339" w14:textId="77777777" w:rsidR="00454A29" w:rsidRDefault="00454A29">
            <w:pPr>
              <w:pStyle w:val="ConsPlusNormal"/>
            </w:pPr>
          </w:p>
        </w:tc>
        <w:tc>
          <w:tcPr>
            <w:tcW w:w="1814" w:type="dxa"/>
            <w:vAlign w:val="center"/>
          </w:tcPr>
          <w:p w14:paraId="17ACD538" w14:textId="77777777" w:rsidR="00454A29" w:rsidRDefault="00454A29">
            <w:pPr>
              <w:pStyle w:val="ConsPlusNormal"/>
            </w:pPr>
          </w:p>
        </w:tc>
        <w:tc>
          <w:tcPr>
            <w:tcW w:w="1701" w:type="dxa"/>
            <w:vAlign w:val="center"/>
          </w:tcPr>
          <w:p w14:paraId="5C7C9212" w14:textId="77777777" w:rsidR="00454A29" w:rsidRDefault="00454A29">
            <w:pPr>
              <w:pStyle w:val="ConsPlusNormal"/>
            </w:pPr>
          </w:p>
        </w:tc>
        <w:tc>
          <w:tcPr>
            <w:tcW w:w="1701" w:type="dxa"/>
            <w:vAlign w:val="center"/>
          </w:tcPr>
          <w:p w14:paraId="31FC9661" w14:textId="77777777" w:rsidR="00454A29" w:rsidRDefault="00454A29">
            <w:pPr>
              <w:pStyle w:val="ConsPlusNormal"/>
            </w:pPr>
          </w:p>
        </w:tc>
        <w:tc>
          <w:tcPr>
            <w:tcW w:w="1814" w:type="dxa"/>
            <w:vAlign w:val="center"/>
          </w:tcPr>
          <w:p w14:paraId="4221D8E9" w14:textId="77777777" w:rsidR="00454A29" w:rsidRDefault="00454A29">
            <w:pPr>
              <w:pStyle w:val="ConsPlusNormal"/>
            </w:pPr>
          </w:p>
        </w:tc>
      </w:tr>
      <w:tr w:rsidR="00454A29" w14:paraId="5051DBA2" w14:textId="77777777">
        <w:tc>
          <w:tcPr>
            <w:tcW w:w="567" w:type="dxa"/>
            <w:vMerge/>
          </w:tcPr>
          <w:p w14:paraId="238AF37F" w14:textId="77777777" w:rsidR="00454A29" w:rsidRDefault="00454A29"/>
        </w:tc>
        <w:tc>
          <w:tcPr>
            <w:tcW w:w="3345" w:type="dxa"/>
            <w:vMerge/>
          </w:tcPr>
          <w:p w14:paraId="24AC1AE4" w14:textId="77777777" w:rsidR="00454A29" w:rsidRDefault="00454A29"/>
        </w:tc>
        <w:tc>
          <w:tcPr>
            <w:tcW w:w="1701" w:type="dxa"/>
            <w:vAlign w:val="center"/>
          </w:tcPr>
          <w:p w14:paraId="799068CD" w14:textId="77777777" w:rsidR="00454A29" w:rsidRDefault="00454A29">
            <w:pPr>
              <w:pStyle w:val="ConsPlusNormal"/>
              <w:jc w:val="center"/>
            </w:pPr>
            <w:r>
              <w:t>2024</w:t>
            </w:r>
          </w:p>
        </w:tc>
        <w:tc>
          <w:tcPr>
            <w:tcW w:w="1417" w:type="dxa"/>
            <w:vMerge/>
          </w:tcPr>
          <w:p w14:paraId="341187B8" w14:textId="77777777" w:rsidR="00454A29" w:rsidRDefault="00454A29"/>
        </w:tc>
        <w:tc>
          <w:tcPr>
            <w:tcW w:w="2204" w:type="dxa"/>
            <w:vMerge/>
          </w:tcPr>
          <w:p w14:paraId="1F907271" w14:textId="77777777" w:rsidR="00454A29" w:rsidRDefault="00454A29"/>
        </w:tc>
        <w:tc>
          <w:tcPr>
            <w:tcW w:w="1417" w:type="dxa"/>
            <w:vMerge/>
          </w:tcPr>
          <w:p w14:paraId="03830F4E" w14:textId="77777777" w:rsidR="00454A29" w:rsidRDefault="00454A29"/>
        </w:tc>
        <w:tc>
          <w:tcPr>
            <w:tcW w:w="2324" w:type="dxa"/>
            <w:vMerge/>
          </w:tcPr>
          <w:p w14:paraId="55EEC3EE" w14:textId="77777777" w:rsidR="00454A29" w:rsidRDefault="00454A29"/>
        </w:tc>
        <w:tc>
          <w:tcPr>
            <w:tcW w:w="1701" w:type="dxa"/>
            <w:vAlign w:val="center"/>
          </w:tcPr>
          <w:p w14:paraId="43DF5BD3" w14:textId="77777777" w:rsidR="00454A29" w:rsidRDefault="00454A29">
            <w:pPr>
              <w:pStyle w:val="ConsPlusNormal"/>
            </w:pPr>
          </w:p>
        </w:tc>
        <w:tc>
          <w:tcPr>
            <w:tcW w:w="1814" w:type="dxa"/>
            <w:vAlign w:val="center"/>
          </w:tcPr>
          <w:p w14:paraId="6AD289BD" w14:textId="77777777" w:rsidR="00454A29" w:rsidRDefault="00454A29">
            <w:pPr>
              <w:pStyle w:val="ConsPlusNormal"/>
            </w:pPr>
          </w:p>
        </w:tc>
        <w:tc>
          <w:tcPr>
            <w:tcW w:w="1701" w:type="dxa"/>
            <w:vAlign w:val="center"/>
          </w:tcPr>
          <w:p w14:paraId="29FAFA91" w14:textId="77777777" w:rsidR="00454A29" w:rsidRDefault="00454A29">
            <w:pPr>
              <w:pStyle w:val="ConsPlusNormal"/>
            </w:pPr>
          </w:p>
        </w:tc>
        <w:tc>
          <w:tcPr>
            <w:tcW w:w="1701" w:type="dxa"/>
            <w:vAlign w:val="center"/>
          </w:tcPr>
          <w:p w14:paraId="1C6B5D87" w14:textId="77777777" w:rsidR="00454A29" w:rsidRDefault="00454A29">
            <w:pPr>
              <w:pStyle w:val="ConsPlusNormal"/>
            </w:pPr>
          </w:p>
        </w:tc>
        <w:tc>
          <w:tcPr>
            <w:tcW w:w="1814" w:type="dxa"/>
            <w:vAlign w:val="center"/>
          </w:tcPr>
          <w:p w14:paraId="5DEFB724" w14:textId="77777777" w:rsidR="00454A29" w:rsidRDefault="00454A29">
            <w:pPr>
              <w:pStyle w:val="ConsPlusNormal"/>
            </w:pPr>
          </w:p>
        </w:tc>
      </w:tr>
      <w:tr w:rsidR="00454A29" w14:paraId="24BD120F" w14:textId="77777777">
        <w:tc>
          <w:tcPr>
            <w:tcW w:w="567" w:type="dxa"/>
            <w:vMerge/>
          </w:tcPr>
          <w:p w14:paraId="6F63C3D8" w14:textId="77777777" w:rsidR="00454A29" w:rsidRDefault="00454A29"/>
        </w:tc>
        <w:tc>
          <w:tcPr>
            <w:tcW w:w="3345" w:type="dxa"/>
            <w:vMerge/>
          </w:tcPr>
          <w:p w14:paraId="615D282F" w14:textId="77777777" w:rsidR="00454A29" w:rsidRDefault="00454A29"/>
        </w:tc>
        <w:tc>
          <w:tcPr>
            <w:tcW w:w="1701" w:type="dxa"/>
            <w:vAlign w:val="center"/>
          </w:tcPr>
          <w:p w14:paraId="4DDB7082" w14:textId="77777777" w:rsidR="00454A29" w:rsidRDefault="00454A29">
            <w:pPr>
              <w:pStyle w:val="ConsPlusNormal"/>
              <w:jc w:val="center"/>
            </w:pPr>
            <w:r>
              <w:t>2025</w:t>
            </w:r>
          </w:p>
        </w:tc>
        <w:tc>
          <w:tcPr>
            <w:tcW w:w="1417" w:type="dxa"/>
            <w:vMerge/>
          </w:tcPr>
          <w:p w14:paraId="76781878" w14:textId="77777777" w:rsidR="00454A29" w:rsidRDefault="00454A29"/>
        </w:tc>
        <w:tc>
          <w:tcPr>
            <w:tcW w:w="2204" w:type="dxa"/>
            <w:vMerge/>
          </w:tcPr>
          <w:p w14:paraId="784FAD59" w14:textId="77777777" w:rsidR="00454A29" w:rsidRDefault="00454A29"/>
        </w:tc>
        <w:tc>
          <w:tcPr>
            <w:tcW w:w="1417" w:type="dxa"/>
            <w:vMerge/>
          </w:tcPr>
          <w:p w14:paraId="23BA35FB" w14:textId="77777777" w:rsidR="00454A29" w:rsidRDefault="00454A29"/>
        </w:tc>
        <w:tc>
          <w:tcPr>
            <w:tcW w:w="2324" w:type="dxa"/>
            <w:vMerge/>
          </w:tcPr>
          <w:p w14:paraId="39B5A165" w14:textId="77777777" w:rsidR="00454A29" w:rsidRDefault="00454A29"/>
        </w:tc>
        <w:tc>
          <w:tcPr>
            <w:tcW w:w="1701" w:type="dxa"/>
            <w:vAlign w:val="center"/>
          </w:tcPr>
          <w:p w14:paraId="07FD76E9" w14:textId="77777777" w:rsidR="00454A29" w:rsidRDefault="00454A29">
            <w:pPr>
              <w:pStyle w:val="ConsPlusNormal"/>
              <w:jc w:val="center"/>
            </w:pPr>
            <w:r>
              <w:t>973 376,20</w:t>
            </w:r>
          </w:p>
        </w:tc>
        <w:tc>
          <w:tcPr>
            <w:tcW w:w="1814" w:type="dxa"/>
            <w:vAlign w:val="center"/>
          </w:tcPr>
          <w:p w14:paraId="21C78C9B" w14:textId="77777777" w:rsidR="00454A29" w:rsidRDefault="00454A29">
            <w:pPr>
              <w:pStyle w:val="ConsPlusNormal"/>
              <w:jc w:val="center"/>
            </w:pPr>
            <w:r>
              <w:t>12 313,21</w:t>
            </w:r>
          </w:p>
        </w:tc>
        <w:tc>
          <w:tcPr>
            <w:tcW w:w="1701" w:type="dxa"/>
            <w:vAlign w:val="center"/>
          </w:tcPr>
          <w:p w14:paraId="7F69E67A" w14:textId="77777777" w:rsidR="00454A29" w:rsidRDefault="00454A29">
            <w:pPr>
              <w:pStyle w:val="ConsPlusNormal"/>
              <w:jc w:val="center"/>
            </w:pPr>
            <w:r>
              <w:t>1 219 007,68</w:t>
            </w:r>
          </w:p>
        </w:tc>
        <w:tc>
          <w:tcPr>
            <w:tcW w:w="1701" w:type="dxa"/>
            <w:vAlign w:val="center"/>
          </w:tcPr>
          <w:p w14:paraId="1CBBE429" w14:textId="77777777" w:rsidR="00454A29" w:rsidRDefault="00454A29">
            <w:pPr>
              <w:pStyle w:val="ConsPlusNormal"/>
            </w:pPr>
          </w:p>
        </w:tc>
        <w:tc>
          <w:tcPr>
            <w:tcW w:w="1814" w:type="dxa"/>
            <w:vAlign w:val="center"/>
          </w:tcPr>
          <w:p w14:paraId="6F2CCCE3" w14:textId="77777777" w:rsidR="00454A29" w:rsidRDefault="00454A29">
            <w:pPr>
              <w:pStyle w:val="ConsPlusNormal"/>
            </w:pPr>
          </w:p>
        </w:tc>
      </w:tr>
      <w:tr w:rsidR="00454A29" w14:paraId="3E375B48" w14:textId="77777777">
        <w:tc>
          <w:tcPr>
            <w:tcW w:w="567" w:type="dxa"/>
            <w:vMerge/>
          </w:tcPr>
          <w:p w14:paraId="046A8B04" w14:textId="77777777" w:rsidR="00454A29" w:rsidRDefault="00454A29"/>
        </w:tc>
        <w:tc>
          <w:tcPr>
            <w:tcW w:w="3345" w:type="dxa"/>
            <w:vMerge/>
          </w:tcPr>
          <w:p w14:paraId="0663C976" w14:textId="77777777" w:rsidR="00454A29" w:rsidRDefault="00454A29"/>
        </w:tc>
        <w:tc>
          <w:tcPr>
            <w:tcW w:w="1701" w:type="dxa"/>
            <w:vAlign w:val="center"/>
          </w:tcPr>
          <w:p w14:paraId="3D345F67" w14:textId="77777777" w:rsidR="00454A29" w:rsidRDefault="00454A29">
            <w:pPr>
              <w:pStyle w:val="ConsPlusNormal"/>
              <w:jc w:val="center"/>
            </w:pPr>
            <w:r>
              <w:t>2026</w:t>
            </w:r>
          </w:p>
        </w:tc>
        <w:tc>
          <w:tcPr>
            <w:tcW w:w="1417" w:type="dxa"/>
            <w:vMerge/>
          </w:tcPr>
          <w:p w14:paraId="1D3CBA5A" w14:textId="77777777" w:rsidR="00454A29" w:rsidRDefault="00454A29"/>
        </w:tc>
        <w:tc>
          <w:tcPr>
            <w:tcW w:w="2204" w:type="dxa"/>
            <w:vMerge/>
          </w:tcPr>
          <w:p w14:paraId="3DC5D08F" w14:textId="77777777" w:rsidR="00454A29" w:rsidRDefault="00454A29"/>
        </w:tc>
        <w:tc>
          <w:tcPr>
            <w:tcW w:w="1417" w:type="dxa"/>
            <w:vMerge/>
          </w:tcPr>
          <w:p w14:paraId="68DECAD3" w14:textId="77777777" w:rsidR="00454A29" w:rsidRDefault="00454A29"/>
        </w:tc>
        <w:tc>
          <w:tcPr>
            <w:tcW w:w="2324" w:type="dxa"/>
            <w:vMerge/>
          </w:tcPr>
          <w:p w14:paraId="4617E86E" w14:textId="77777777" w:rsidR="00454A29" w:rsidRDefault="00454A29"/>
        </w:tc>
        <w:tc>
          <w:tcPr>
            <w:tcW w:w="1701" w:type="dxa"/>
            <w:vAlign w:val="center"/>
          </w:tcPr>
          <w:p w14:paraId="1E3C8D65" w14:textId="77777777" w:rsidR="00454A29" w:rsidRDefault="00454A29">
            <w:pPr>
              <w:pStyle w:val="ConsPlusNormal"/>
              <w:jc w:val="center"/>
            </w:pPr>
            <w:r>
              <w:t>-</w:t>
            </w:r>
          </w:p>
        </w:tc>
        <w:tc>
          <w:tcPr>
            <w:tcW w:w="1814" w:type="dxa"/>
            <w:vAlign w:val="center"/>
          </w:tcPr>
          <w:p w14:paraId="14090F78" w14:textId="77777777" w:rsidR="00454A29" w:rsidRDefault="00454A29">
            <w:pPr>
              <w:pStyle w:val="ConsPlusNormal"/>
            </w:pPr>
          </w:p>
        </w:tc>
        <w:tc>
          <w:tcPr>
            <w:tcW w:w="1701" w:type="dxa"/>
            <w:vAlign w:val="center"/>
          </w:tcPr>
          <w:p w14:paraId="3AA335C7" w14:textId="77777777" w:rsidR="00454A29" w:rsidRDefault="00454A29">
            <w:pPr>
              <w:pStyle w:val="ConsPlusNormal"/>
            </w:pPr>
          </w:p>
        </w:tc>
        <w:tc>
          <w:tcPr>
            <w:tcW w:w="1701" w:type="dxa"/>
            <w:vAlign w:val="center"/>
          </w:tcPr>
          <w:p w14:paraId="2252DC33" w14:textId="77777777" w:rsidR="00454A29" w:rsidRDefault="00454A29">
            <w:pPr>
              <w:pStyle w:val="ConsPlusNormal"/>
            </w:pPr>
          </w:p>
        </w:tc>
        <w:tc>
          <w:tcPr>
            <w:tcW w:w="1814" w:type="dxa"/>
            <w:vAlign w:val="center"/>
          </w:tcPr>
          <w:p w14:paraId="5FD66040" w14:textId="77777777" w:rsidR="00454A29" w:rsidRDefault="00454A29">
            <w:pPr>
              <w:pStyle w:val="ConsPlusNormal"/>
            </w:pPr>
          </w:p>
        </w:tc>
      </w:tr>
      <w:tr w:rsidR="00454A29" w14:paraId="18E35DEF" w14:textId="77777777">
        <w:tc>
          <w:tcPr>
            <w:tcW w:w="567" w:type="dxa"/>
            <w:vMerge w:val="restart"/>
            <w:vAlign w:val="center"/>
          </w:tcPr>
          <w:p w14:paraId="6CB59F70" w14:textId="77777777" w:rsidR="00454A29" w:rsidRDefault="00454A29">
            <w:pPr>
              <w:pStyle w:val="ConsPlusNormal"/>
              <w:jc w:val="center"/>
            </w:pPr>
            <w:r>
              <w:t>176</w:t>
            </w:r>
          </w:p>
        </w:tc>
        <w:tc>
          <w:tcPr>
            <w:tcW w:w="3345" w:type="dxa"/>
            <w:vMerge w:val="restart"/>
            <w:vAlign w:val="center"/>
          </w:tcPr>
          <w:p w14:paraId="0EB27411" w14:textId="77777777" w:rsidR="00454A29" w:rsidRDefault="00454A29">
            <w:pPr>
              <w:pStyle w:val="ConsPlusNormal"/>
              <w:jc w:val="center"/>
            </w:pPr>
            <w:r>
              <w:t>Школа на 660 учащихся в г. Якутске, ул. Байкалова, квартал 117</w:t>
            </w:r>
          </w:p>
        </w:tc>
        <w:tc>
          <w:tcPr>
            <w:tcW w:w="1701" w:type="dxa"/>
            <w:vAlign w:val="center"/>
          </w:tcPr>
          <w:p w14:paraId="6F1B64B3" w14:textId="77777777" w:rsidR="00454A29" w:rsidRDefault="00454A29">
            <w:pPr>
              <w:pStyle w:val="ConsPlusNormal"/>
              <w:jc w:val="center"/>
            </w:pPr>
            <w:r>
              <w:t>2020 - 2026 годы - всего</w:t>
            </w:r>
          </w:p>
        </w:tc>
        <w:tc>
          <w:tcPr>
            <w:tcW w:w="1417" w:type="dxa"/>
            <w:vMerge w:val="restart"/>
            <w:vAlign w:val="center"/>
          </w:tcPr>
          <w:p w14:paraId="08F30D88" w14:textId="77777777" w:rsidR="00454A29" w:rsidRDefault="00454A29">
            <w:pPr>
              <w:pStyle w:val="ConsPlusNormal"/>
              <w:jc w:val="center"/>
            </w:pPr>
            <w:r>
              <w:t>1 039 780,48</w:t>
            </w:r>
          </w:p>
        </w:tc>
        <w:tc>
          <w:tcPr>
            <w:tcW w:w="2204" w:type="dxa"/>
            <w:vMerge w:val="restart"/>
            <w:vAlign w:val="center"/>
          </w:tcPr>
          <w:p w14:paraId="6F5AE076" w14:textId="77777777" w:rsidR="00454A29" w:rsidRDefault="00454A29">
            <w:pPr>
              <w:pStyle w:val="ConsPlusNormal"/>
            </w:pPr>
          </w:p>
        </w:tc>
        <w:tc>
          <w:tcPr>
            <w:tcW w:w="1417" w:type="dxa"/>
            <w:vMerge w:val="restart"/>
            <w:vAlign w:val="center"/>
          </w:tcPr>
          <w:p w14:paraId="0C6208B4" w14:textId="77777777" w:rsidR="00454A29" w:rsidRDefault="00454A29">
            <w:pPr>
              <w:pStyle w:val="ConsPlusNormal"/>
              <w:jc w:val="center"/>
            </w:pPr>
            <w:r>
              <w:t>660</w:t>
            </w:r>
          </w:p>
        </w:tc>
        <w:tc>
          <w:tcPr>
            <w:tcW w:w="2324" w:type="dxa"/>
            <w:vMerge w:val="restart"/>
            <w:vAlign w:val="center"/>
          </w:tcPr>
          <w:p w14:paraId="27F4A25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F05430A" w14:textId="77777777" w:rsidR="00454A29" w:rsidRDefault="00454A29">
            <w:pPr>
              <w:pStyle w:val="ConsPlusNormal"/>
              <w:jc w:val="center"/>
            </w:pPr>
            <w:r>
              <w:t>1 039 780,48</w:t>
            </w:r>
          </w:p>
        </w:tc>
        <w:tc>
          <w:tcPr>
            <w:tcW w:w="1814" w:type="dxa"/>
            <w:vAlign w:val="center"/>
          </w:tcPr>
          <w:p w14:paraId="37E9C980" w14:textId="77777777" w:rsidR="00454A29" w:rsidRDefault="00454A29">
            <w:pPr>
              <w:pStyle w:val="ConsPlusNormal"/>
              <w:jc w:val="center"/>
            </w:pPr>
            <w:r>
              <w:t>12 810,10</w:t>
            </w:r>
          </w:p>
        </w:tc>
        <w:tc>
          <w:tcPr>
            <w:tcW w:w="1701" w:type="dxa"/>
            <w:vAlign w:val="center"/>
          </w:tcPr>
          <w:p w14:paraId="1EE3F883" w14:textId="77777777" w:rsidR="00454A29" w:rsidRDefault="00454A29">
            <w:pPr>
              <w:pStyle w:val="ConsPlusNormal"/>
              <w:jc w:val="center"/>
            </w:pPr>
            <w:r>
              <w:t>1 268 199,45</w:t>
            </w:r>
          </w:p>
        </w:tc>
        <w:tc>
          <w:tcPr>
            <w:tcW w:w="1701" w:type="dxa"/>
            <w:vAlign w:val="center"/>
          </w:tcPr>
          <w:p w14:paraId="2AC1783B" w14:textId="77777777" w:rsidR="00454A29" w:rsidRDefault="00454A29">
            <w:pPr>
              <w:pStyle w:val="ConsPlusNormal"/>
              <w:jc w:val="center"/>
            </w:pPr>
            <w:r>
              <w:t>-</w:t>
            </w:r>
          </w:p>
        </w:tc>
        <w:tc>
          <w:tcPr>
            <w:tcW w:w="1814" w:type="dxa"/>
            <w:vAlign w:val="center"/>
          </w:tcPr>
          <w:p w14:paraId="5B2E4394" w14:textId="77777777" w:rsidR="00454A29" w:rsidRDefault="00454A29">
            <w:pPr>
              <w:pStyle w:val="ConsPlusNormal"/>
              <w:jc w:val="center"/>
            </w:pPr>
            <w:r>
              <w:t>-</w:t>
            </w:r>
          </w:p>
        </w:tc>
      </w:tr>
      <w:tr w:rsidR="00454A29" w14:paraId="23C04FF6" w14:textId="77777777">
        <w:tc>
          <w:tcPr>
            <w:tcW w:w="567" w:type="dxa"/>
            <w:vMerge/>
          </w:tcPr>
          <w:p w14:paraId="65975324" w14:textId="77777777" w:rsidR="00454A29" w:rsidRDefault="00454A29"/>
        </w:tc>
        <w:tc>
          <w:tcPr>
            <w:tcW w:w="3345" w:type="dxa"/>
            <w:vMerge/>
          </w:tcPr>
          <w:p w14:paraId="795D8A8E" w14:textId="77777777" w:rsidR="00454A29" w:rsidRDefault="00454A29"/>
        </w:tc>
        <w:tc>
          <w:tcPr>
            <w:tcW w:w="1701" w:type="dxa"/>
            <w:vAlign w:val="center"/>
          </w:tcPr>
          <w:p w14:paraId="14995ACE" w14:textId="77777777" w:rsidR="00454A29" w:rsidRDefault="00454A29">
            <w:pPr>
              <w:pStyle w:val="ConsPlusNormal"/>
              <w:jc w:val="center"/>
            </w:pPr>
            <w:r>
              <w:t>2020</w:t>
            </w:r>
          </w:p>
        </w:tc>
        <w:tc>
          <w:tcPr>
            <w:tcW w:w="1417" w:type="dxa"/>
            <w:vMerge/>
          </w:tcPr>
          <w:p w14:paraId="5A3D55FE" w14:textId="77777777" w:rsidR="00454A29" w:rsidRDefault="00454A29"/>
        </w:tc>
        <w:tc>
          <w:tcPr>
            <w:tcW w:w="2204" w:type="dxa"/>
            <w:vMerge/>
          </w:tcPr>
          <w:p w14:paraId="7E18E436" w14:textId="77777777" w:rsidR="00454A29" w:rsidRDefault="00454A29"/>
        </w:tc>
        <w:tc>
          <w:tcPr>
            <w:tcW w:w="1417" w:type="dxa"/>
            <w:vMerge/>
          </w:tcPr>
          <w:p w14:paraId="1BF7DDE3" w14:textId="77777777" w:rsidR="00454A29" w:rsidRDefault="00454A29"/>
        </w:tc>
        <w:tc>
          <w:tcPr>
            <w:tcW w:w="2324" w:type="dxa"/>
            <w:vMerge/>
          </w:tcPr>
          <w:p w14:paraId="0F080118" w14:textId="77777777" w:rsidR="00454A29" w:rsidRDefault="00454A29"/>
        </w:tc>
        <w:tc>
          <w:tcPr>
            <w:tcW w:w="1701" w:type="dxa"/>
            <w:vAlign w:val="center"/>
          </w:tcPr>
          <w:p w14:paraId="411EAEF7" w14:textId="77777777" w:rsidR="00454A29" w:rsidRDefault="00454A29">
            <w:pPr>
              <w:pStyle w:val="ConsPlusNormal"/>
            </w:pPr>
          </w:p>
        </w:tc>
        <w:tc>
          <w:tcPr>
            <w:tcW w:w="1814" w:type="dxa"/>
            <w:vAlign w:val="center"/>
          </w:tcPr>
          <w:p w14:paraId="512B0AE1" w14:textId="77777777" w:rsidR="00454A29" w:rsidRDefault="00454A29">
            <w:pPr>
              <w:pStyle w:val="ConsPlusNormal"/>
            </w:pPr>
          </w:p>
        </w:tc>
        <w:tc>
          <w:tcPr>
            <w:tcW w:w="1701" w:type="dxa"/>
            <w:vAlign w:val="center"/>
          </w:tcPr>
          <w:p w14:paraId="7B4D28B6" w14:textId="77777777" w:rsidR="00454A29" w:rsidRDefault="00454A29">
            <w:pPr>
              <w:pStyle w:val="ConsPlusNormal"/>
            </w:pPr>
          </w:p>
        </w:tc>
        <w:tc>
          <w:tcPr>
            <w:tcW w:w="1701" w:type="dxa"/>
            <w:vAlign w:val="center"/>
          </w:tcPr>
          <w:p w14:paraId="5A1FB930" w14:textId="77777777" w:rsidR="00454A29" w:rsidRDefault="00454A29">
            <w:pPr>
              <w:pStyle w:val="ConsPlusNormal"/>
            </w:pPr>
          </w:p>
        </w:tc>
        <w:tc>
          <w:tcPr>
            <w:tcW w:w="1814" w:type="dxa"/>
            <w:vAlign w:val="center"/>
          </w:tcPr>
          <w:p w14:paraId="0E105602" w14:textId="77777777" w:rsidR="00454A29" w:rsidRDefault="00454A29">
            <w:pPr>
              <w:pStyle w:val="ConsPlusNormal"/>
            </w:pPr>
          </w:p>
        </w:tc>
      </w:tr>
      <w:tr w:rsidR="00454A29" w14:paraId="118E3541" w14:textId="77777777">
        <w:tc>
          <w:tcPr>
            <w:tcW w:w="567" w:type="dxa"/>
            <w:vMerge/>
          </w:tcPr>
          <w:p w14:paraId="23C863EA" w14:textId="77777777" w:rsidR="00454A29" w:rsidRDefault="00454A29"/>
        </w:tc>
        <w:tc>
          <w:tcPr>
            <w:tcW w:w="3345" w:type="dxa"/>
            <w:vMerge/>
          </w:tcPr>
          <w:p w14:paraId="59ADCFCA" w14:textId="77777777" w:rsidR="00454A29" w:rsidRDefault="00454A29"/>
        </w:tc>
        <w:tc>
          <w:tcPr>
            <w:tcW w:w="1701" w:type="dxa"/>
            <w:vAlign w:val="center"/>
          </w:tcPr>
          <w:p w14:paraId="7C0952AB" w14:textId="77777777" w:rsidR="00454A29" w:rsidRDefault="00454A29">
            <w:pPr>
              <w:pStyle w:val="ConsPlusNormal"/>
              <w:jc w:val="center"/>
            </w:pPr>
            <w:r>
              <w:t>2021</w:t>
            </w:r>
          </w:p>
        </w:tc>
        <w:tc>
          <w:tcPr>
            <w:tcW w:w="1417" w:type="dxa"/>
            <w:vMerge/>
          </w:tcPr>
          <w:p w14:paraId="0CB5659B" w14:textId="77777777" w:rsidR="00454A29" w:rsidRDefault="00454A29"/>
        </w:tc>
        <w:tc>
          <w:tcPr>
            <w:tcW w:w="2204" w:type="dxa"/>
            <w:vMerge/>
          </w:tcPr>
          <w:p w14:paraId="2607ABF9" w14:textId="77777777" w:rsidR="00454A29" w:rsidRDefault="00454A29"/>
        </w:tc>
        <w:tc>
          <w:tcPr>
            <w:tcW w:w="1417" w:type="dxa"/>
            <w:vMerge/>
          </w:tcPr>
          <w:p w14:paraId="0F5D3FEF" w14:textId="77777777" w:rsidR="00454A29" w:rsidRDefault="00454A29"/>
        </w:tc>
        <w:tc>
          <w:tcPr>
            <w:tcW w:w="2324" w:type="dxa"/>
            <w:vMerge/>
          </w:tcPr>
          <w:p w14:paraId="076A6A73" w14:textId="77777777" w:rsidR="00454A29" w:rsidRDefault="00454A29"/>
        </w:tc>
        <w:tc>
          <w:tcPr>
            <w:tcW w:w="1701" w:type="dxa"/>
            <w:vAlign w:val="center"/>
          </w:tcPr>
          <w:p w14:paraId="18828137" w14:textId="77777777" w:rsidR="00454A29" w:rsidRDefault="00454A29">
            <w:pPr>
              <w:pStyle w:val="ConsPlusNormal"/>
              <w:jc w:val="center"/>
            </w:pPr>
            <w:r>
              <w:t>-</w:t>
            </w:r>
          </w:p>
        </w:tc>
        <w:tc>
          <w:tcPr>
            <w:tcW w:w="1814" w:type="dxa"/>
            <w:vAlign w:val="center"/>
          </w:tcPr>
          <w:p w14:paraId="61A3E0BD" w14:textId="77777777" w:rsidR="00454A29" w:rsidRDefault="00454A29">
            <w:pPr>
              <w:pStyle w:val="ConsPlusNormal"/>
            </w:pPr>
          </w:p>
        </w:tc>
        <w:tc>
          <w:tcPr>
            <w:tcW w:w="1701" w:type="dxa"/>
            <w:vAlign w:val="center"/>
          </w:tcPr>
          <w:p w14:paraId="66F1909E" w14:textId="77777777" w:rsidR="00454A29" w:rsidRDefault="00454A29">
            <w:pPr>
              <w:pStyle w:val="ConsPlusNormal"/>
            </w:pPr>
          </w:p>
        </w:tc>
        <w:tc>
          <w:tcPr>
            <w:tcW w:w="1701" w:type="dxa"/>
            <w:vAlign w:val="center"/>
          </w:tcPr>
          <w:p w14:paraId="5C45F50F" w14:textId="77777777" w:rsidR="00454A29" w:rsidRDefault="00454A29">
            <w:pPr>
              <w:pStyle w:val="ConsPlusNormal"/>
            </w:pPr>
          </w:p>
        </w:tc>
        <w:tc>
          <w:tcPr>
            <w:tcW w:w="1814" w:type="dxa"/>
            <w:vAlign w:val="center"/>
          </w:tcPr>
          <w:p w14:paraId="02D71D5D" w14:textId="77777777" w:rsidR="00454A29" w:rsidRDefault="00454A29">
            <w:pPr>
              <w:pStyle w:val="ConsPlusNormal"/>
            </w:pPr>
          </w:p>
        </w:tc>
      </w:tr>
      <w:tr w:rsidR="00454A29" w14:paraId="2E34B4B7" w14:textId="77777777">
        <w:tc>
          <w:tcPr>
            <w:tcW w:w="567" w:type="dxa"/>
            <w:vMerge/>
          </w:tcPr>
          <w:p w14:paraId="179DC87F" w14:textId="77777777" w:rsidR="00454A29" w:rsidRDefault="00454A29"/>
        </w:tc>
        <w:tc>
          <w:tcPr>
            <w:tcW w:w="3345" w:type="dxa"/>
            <w:vMerge/>
          </w:tcPr>
          <w:p w14:paraId="1B217E5D" w14:textId="77777777" w:rsidR="00454A29" w:rsidRDefault="00454A29"/>
        </w:tc>
        <w:tc>
          <w:tcPr>
            <w:tcW w:w="1701" w:type="dxa"/>
            <w:vAlign w:val="center"/>
          </w:tcPr>
          <w:p w14:paraId="6EF98189" w14:textId="77777777" w:rsidR="00454A29" w:rsidRDefault="00454A29">
            <w:pPr>
              <w:pStyle w:val="ConsPlusNormal"/>
              <w:jc w:val="center"/>
            </w:pPr>
            <w:r>
              <w:t>2022</w:t>
            </w:r>
          </w:p>
        </w:tc>
        <w:tc>
          <w:tcPr>
            <w:tcW w:w="1417" w:type="dxa"/>
            <w:vMerge/>
          </w:tcPr>
          <w:p w14:paraId="74EB571B" w14:textId="77777777" w:rsidR="00454A29" w:rsidRDefault="00454A29"/>
        </w:tc>
        <w:tc>
          <w:tcPr>
            <w:tcW w:w="2204" w:type="dxa"/>
            <w:vMerge/>
          </w:tcPr>
          <w:p w14:paraId="0379AE35" w14:textId="77777777" w:rsidR="00454A29" w:rsidRDefault="00454A29"/>
        </w:tc>
        <w:tc>
          <w:tcPr>
            <w:tcW w:w="1417" w:type="dxa"/>
            <w:vMerge/>
          </w:tcPr>
          <w:p w14:paraId="6E1CE36B" w14:textId="77777777" w:rsidR="00454A29" w:rsidRDefault="00454A29"/>
        </w:tc>
        <w:tc>
          <w:tcPr>
            <w:tcW w:w="2324" w:type="dxa"/>
            <w:vMerge/>
          </w:tcPr>
          <w:p w14:paraId="654D7A9A" w14:textId="77777777" w:rsidR="00454A29" w:rsidRDefault="00454A29"/>
        </w:tc>
        <w:tc>
          <w:tcPr>
            <w:tcW w:w="1701" w:type="dxa"/>
            <w:vAlign w:val="center"/>
          </w:tcPr>
          <w:p w14:paraId="6865542A" w14:textId="77777777" w:rsidR="00454A29" w:rsidRDefault="00454A29">
            <w:pPr>
              <w:pStyle w:val="ConsPlusNormal"/>
            </w:pPr>
          </w:p>
        </w:tc>
        <w:tc>
          <w:tcPr>
            <w:tcW w:w="1814" w:type="dxa"/>
            <w:vAlign w:val="center"/>
          </w:tcPr>
          <w:p w14:paraId="125AB085" w14:textId="77777777" w:rsidR="00454A29" w:rsidRDefault="00454A29">
            <w:pPr>
              <w:pStyle w:val="ConsPlusNormal"/>
            </w:pPr>
          </w:p>
        </w:tc>
        <w:tc>
          <w:tcPr>
            <w:tcW w:w="1701" w:type="dxa"/>
            <w:vAlign w:val="center"/>
          </w:tcPr>
          <w:p w14:paraId="3C3288F3" w14:textId="77777777" w:rsidR="00454A29" w:rsidRDefault="00454A29">
            <w:pPr>
              <w:pStyle w:val="ConsPlusNormal"/>
            </w:pPr>
          </w:p>
        </w:tc>
        <w:tc>
          <w:tcPr>
            <w:tcW w:w="1701" w:type="dxa"/>
            <w:vAlign w:val="center"/>
          </w:tcPr>
          <w:p w14:paraId="79BCB9AD" w14:textId="77777777" w:rsidR="00454A29" w:rsidRDefault="00454A29">
            <w:pPr>
              <w:pStyle w:val="ConsPlusNormal"/>
            </w:pPr>
          </w:p>
        </w:tc>
        <w:tc>
          <w:tcPr>
            <w:tcW w:w="1814" w:type="dxa"/>
            <w:vAlign w:val="center"/>
          </w:tcPr>
          <w:p w14:paraId="582C1529" w14:textId="77777777" w:rsidR="00454A29" w:rsidRDefault="00454A29">
            <w:pPr>
              <w:pStyle w:val="ConsPlusNormal"/>
            </w:pPr>
          </w:p>
        </w:tc>
      </w:tr>
      <w:tr w:rsidR="00454A29" w14:paraId="775F9342" w14:textId="77777777">
        <w:tc>
          <w:tcPr>
            <w:tcW w:w="567" w:type="dxa"/>
            <w:vMerge/>
          </w:tcPr>
          <w:p w14:paraId="37059CC2" w14:textId="77777777" w:rsidR="00454A29" w:rsidRDefault="00454A29"/>
        </w:tc>
        <w:tc>
          <w:tcPr>
            <w:tcW w:w="3345" w:type="dxa"/>
            <w:vMerge/>
          </w:tcPr>
          <w:p w14:paraId="6D5B94DE" w14:textId="77777777" w:rsidR="00454A29" w:rsidRDefault="00454A29"/>
        </w:tc>
        <w:tc>
          <w:tcPr>
            <w:tcW w:w="1701" w:type="dxa"/>
            <w:vAlign w:val="center"/>
          </w:tcPr>
          <w:p w14:paraId="6D6AF30B" w14:textId="77777777" w:rsidR="00454A29" w:rsidRDefault="00454A29">
            <w:pPr>
              <w:pStyle w:val="ConsPlusNormal"/>
              <w:jc w:val="center"/>
            </w:pPr>
            <w:r>
              <w:t>2023</w:t>
            </w:r>
          </w:p>
        </w:tc>
        <w:tc>
          <w:tcPr>
            <w:tcW w:w="1417" w:type="dxa"/>
            <w:vMerge/>
          </w:tcPr>
          <w:p w14:paraId="3AFAEA80" w14:textId="77777777" w:rsidR="00454A29" w:rsidRDefault="00454A29"/>
        </w:tc>
        <w:tc>
          <w:tcPr>
            <w:tcW w:w="2204" w:type="dxa"/>
            <w:vMerge/>
          </w:tcPr>
          <w:p w14:paraId="470313EE" w14:textId="77777777" w:rsidR="00454A29" w:rsidRDefault="00454A29"/>
        </w:tc>
        <w:tc>
          <w:tcPr>
            <w:tcW w:w="1417" w:type="dxa"/>
            <w:vMerge/>
          </w:tcPr>
          <w:p w14:paraId="5C206CB9" w14:textId="77777777" w:rsidR="00454A29" w:rsidRDefault="00454A29"/>
        </w:tc>
        <w:tc>
          <w:tcPr>
            <w:tcW w:w="2324" w:type="dxa"/>
            <w:vMerge/>
          </w:tcPr>
          <w:p w14:paraId="62F7D82F" w14:textId="77777777" w:rsidR="00454A29" w:rsidRDefault="00454A29"/>
        </w:tc>
        <w:tc>
          <w:tcPr>
            <w:tcW w:w="1701" w:type="dxa"/>
            <w:vAlign w:val="center"/>
          </w:tcPr>
          <w:p w14:paraId="592D8141" w14:textId="77777777" w:rsidR="00454A29" w:rsidRDefault="00454A29">
            <w:pPr>
              <w:pStyle w:val="ConsPlusNormal"/>
            </w:pPr>
          </w:p>
        </w:tc>
        <w:tc>
          <w:tcPr>
            <w:tcW w:w="1814" w:type="dxa"/>
            <w:vAlign w:val="center"/>
          </w:tcPr>
          <w:p w14:paraId="41C46FF5" w14:textId="77777777" w:rsidR="00454A29" w:rsidRDefault="00454A29">
            <w:pPr>
              <w:pStyle w:val="ConsPlusNormal"/>
            </w:pPr>
          </w:p>
        </w:tc>
        <w:tc>
          <w:tcPr>
            <w:tcW w:w="1701" w:type="dxa"/>
            <w:vAlign w:val="center"/>
          </w:tcPr>
          <w:p w14:paraId="2807DF93" w14:textId="77777777" w:rsidR="00454A29" w:rsidRDefault="00454A29">
            <w:pPr>
              <w:pStyle w:val="ConsPlusNormal"/>
            </w:pPr>
          </w:p>
        </w:tc>
        <w:tc>
          <w:tcPr>
            <w:tcW w:w="1701" w:type="dxa"/>
            <w:vAlign w:val="center"/>
          </w:tcPr>
          <w:p w14:paraId="5118CE83" w14:textId="77777777" w:rsidR="00454A29" w:rsidRDefault="00454A29">
            <w:pPr>
              <w:pStyle w:val="ConsPlusNormal"/>
            </w:pPr>
          </w:p>
        </w:tc>
        <w:tc>
          <w:tcPr>
            <w:tcW w:w="1814" w:type="dxa"/>
            <w:vAlign w:val="center"/>
          </w:tcPr>
          <w:p w14:paraId="3FB755B3" w14:textId="77777777" w:rsidR="00454A29" w:rsidRDefault="00454A29">
            <w:pPr>
              <w:pStyle w:val="ConsPlusNormal"/>
            </w:pPr>
          </w:p>
        </w:tc>
      </w:tr>
      <w:tr w:rsidR="00454A29" w14:paraId="5261ED30" w14:textId="77777777">
        <w:tc>
          <w:tcPr>
            <w:tcW w:w="567" w:type="dxa"/>
            <w:vMerge/>
          </w:tcPr>
          <w:p w14:paraId="28A14603" w14:textId="77777777" w:rsidR="00454A29" w:rsidRDefault="00454A29"/>
        </w:tc>
        <w:tc>
          <w:tcPr>
            <w:tcW w:w="3345" w:type="dxa"/>
            <w:vMerge/>
          </w:tcPr>
          <w:p w14:paraId="4E079E75" w14:textId="77777777" w:rsidR="00454A29" w:rsidRDefault="00454A29"/>
        </w:tc>
        <w:tc>
          <w:tcPr>
            <w:tcW w:w="1701" w:type="dxa"/>
            <w:vAlign w:val="center"/>
          </w:tcPr>
          <w:p w14:paraId="1556BF48" w14:textId="77777777" w:rsidR="00454A29" w:rsidRDefault="00454A29">
            <w:pPr>
              <w:pStyle w:val="ConsPlusNormal"/>
              <w:jc w:val="center"/>
            </w:pPr>
            <w:r>
              <w:t>2024</w:t>
            </w:r>
          </w:p>
        </w:tc>
        <w:tc>
          <w:tcPr>
            <w:tcW w:w="1417" w:type="dxa"/>
            <w:vMerge/>
          </w:tcPr>
          <w:p w14:paraId="3BF4D94A" w14:textId="77777777" w:rsidR="00454A29" w:rsidRDefault="00454A29"/>
        </w:tc>
        <w:tc>
          <w:tcPr>
            <w:tcW w:w="2204" w:type="dxa"/>
            <w:vMerge/>
          </w:tcPr>
          <w:p w14:paraId="3B40C533" w14:textId="77777777" w:rsidR="00454A29" w:rsidRDefault="00454A29"/>
        </w:tc>
        <w:tc>
          <w:tcPr>
            <w:tcW w:w="1417" w:type="dxa"/>
            <w:vMerge/>
          </w:tcPr>
          <w:p w14:paraId="3ED9FCC9" w14:textId="77777777" w:rsidR="00454A29" w:rsidRDefault="00454A29"/>
        </w:tc>
        <w:tc>
          <w:tcPr>
            <w:tcW w:w="2324" w:type="dxa"/>
            <w:vMerge/>
          </w:tcPr>
          <w:p w14:paraId="4BC37AE5" w14:textId="77777777" w:rsidR="00454A29" w:rsidRDefault="00454A29"/>
        </w:tc>
        <w:tc>
          <w:tcPr>
            <w:tcW w:w="1701" w:type="dxa"/>
            <w:vAlign w:val="center"/>
          </w:tcPr>
          <w:p w14:paraId="254E6ECC" w14:textId="77777777" w:rsidR="00454A29" w:rsidRDefault="00454A29">
            <w:pPr>
              <w:pStyle w:val="ConsPlusNormal"/>
            </w:pPr>
          </w:p>
        </w:tc>
        <w:tc>
          <w:tcPr>
            <w:tcW w:w="1814" w:type="dxa"/>
            <w:vAlign w:val="center"/>
          </w:tcPr>
          <w:p w14:paraId="4CFD4626" w14:textId="77777777" w:rsidR="00454A29" w:rsidRDefault="00454A29">
            <w:pPr>
              <w:pStyle w:val="ConsPlusNormal"/>
            </w:pPr>
          </w:p>
        </w:tc>
        <w:tc>
          <w:tcPr>
            <w:tcW w:w="1701" w:type="dxa"/>
            <w:vAlign w:val="center"/>
          </w:tcPr>
          <w:p w14:paraId="2B7908EE" w14:textId="77777777" w:rsidR="00454A29" w:rsidRDefault="00454A29">
            <w:pPr>
              <w:pStyle w:val="ConsPlusNormal"/>
            </w:pPr>
          </w:p>
        </w:tc>
        <w:tc>
          <w:tcPr>
            <w:tcW w:w="1701" w:type="dxa"/>
            <w:vAlign w:val="center"/>
          </w:tcPr>
          <w:p w14:paraId="5D58663B" w14:textId="77777777" w:rsidR="00454A29" w:rsidRDefault="00454A29">
            <w:pPr>
              <w:pStyle w:val="ConsPlusNormal"/>
            </w:pPr>
          </w:p>
        </w:tc>
        <w:tc>
          <w:tcPr>
            <w:tcW w:w="1814" w:type="dxa"/>
            <w:vAlign w:val="center"/>
          </w:tcPr>
          <w:p w14:paraId="2356C21F" w14:textId="77777777" w:rsidR="00454A29" w:rsidRDefault="00454A29">
            <w:pPr>
              <w:pStyle w:val="ConsPlusNormal"/>
            </w:pPr>
          </w:p>
        </w:tc>
      </w:tr>
      <w:tr w:rsidR="00454A29" w14:paraId="0B0D58FD" w14:textId="77777777">
        <w:tc>
          <w:tcPr>
            <w:tcW w:w="567" w:type="dxa"/>
            <w:vMerge/>
          </w:tcPr>
          <w:p w14:paraId="11D520AF" w14:textId="77777777" w:rsidR="00454A29" w:rsidRDefault="00454A29"/>
        </w:tc>
        <w:tc>
          <w:tcPr>
            <w:tcW w:w="3345" w:type="dxa"/>
            <w:vMerge/>
          </w:tcPr>
          <w:p w14:paraId="38538FAC" w14:textId="77777777" w:rsidR="00454A29" w:rsidRDefault="00454A29"/>
        </w:tc>
        <w:tc>
          <w:tcPr>
            <w:tcW w:w="1701" w:type="dxa"/>
            <w:vAlign w:val="center"/>
          </w:tcPr>
          <w:p w14:paraId="78BB98DD" w14:textId="77777777" w:rsidR="00454A29" w:rsidRDefault="00454A29">
            <w:pPr>
              <w:pStyle w:val="ConsPlusNormal"/>
              <w:jc w:val="center"/>
            </w:pPr>
            <w:r>
              <w:t>2025</w:t>
            </w:r>
          </w:p>
        </w:tc>
        <w:tc>
          <w:tcPr>
            <w:tcW w:w="1417" w:type="dxa"/>
            <w:vMerge/>
          </w:tcPr>
          <w:p w14:paraId="4FE45F41" w14:textId="77777777" w:rsidR="00454A29" w:rsidRDefault="00454A29"/>
        </w:tc>
        <w:tc>
          <w:tcPr>
            <w:tcW w:w="2204" w:type="dxa"/>
            <w:vMerge/>
          </w:tcPr>
          <w:p w14:paraId="07271BF4" w14:textId="77777777" w:rsidR="00454A29" w:rsidRDefault="00454A29"/>
        </w:tc>
        <w:tc>
          <w:tcPr>
            <w:tcW w:w="1417" w:type="dxa"/>
            <w:vMerge/>
          </w:tcPr>
          <w:p w14:paraId="0268233B" w14:textId="77777777" w:rsidR="00454A29" w:rsidRDefault="00454A29"/>
        </w:tc>
        <w:tc>
          <w:tcPr>
            <w:tcW w:w="2324" w:type="dxa"/>
            <w:vMerge/>
          </w:tcPr>
          <w:p w14:paraId="701C3BC3" w14:textId="77777777" w:rsidR="00454A29" w:rsidRDefault="00454A29"/>
        </w:tc>
        <w:tc>
          <w:tcPr>
            <w:tcW w:w="1701" w:type="dxa"/>
            <w:vAlign w:val="center"/>
          </w:tcPr>
          <w:p w14:paraId="062DA3ED" w14:textId="77777777" w:rsidR="00454A29" w:rsidRDefault="00454A29">
            <w:pPr>
              <w:pStyle w:val="ConsPlusNormal"/>
            </w:pPr>
          </w:p>
        </w:tc>
        <w:tc>
          <w:tcPr>
            <w:tcW w:w="1814" w:type="dxa"/>
            <w:vAlign w:val="center"/>
          </w:tcPr>
          <w:p w14:paraId="1FF67DDC" w14:textId="77777777" w:rsidR="00454A29" w:rsidRDefault="00454A29">
            <w:pPr>
              <w:pStyle w:val="ConsPlusNormal"/>
            </w:pPr>
          </w:p>
        </w:tc>
        <w:tc>
          <w:tcPr>
            <w:tcW w:w="1701" w:type="dxa"/>
            <w:vAlign w:val="center"/>
          </w:tcPr>
          <w:p w14:paraId="4E4734B1" w14:textId="77777777" w:rsidR="00454A29" w:rsidRDefault="00454A29">
            <w:pPr>
              <w:pStyle w:val="ConsPlusNormal"/>
            </w:pPr>
          </w:p>
        </w:tc>
        <w:tc>
          <w:tcPr>
            <w:tcW w:w="1701" w:type="dxa"/>
            <w:vAlign w:val="center"/>
          </w:tcPr>
          <w:p w14:paraId="1CBD46FD" w14:textId="77777777" w:rsidR="00454A29" w:rsidRDefault="00454A29">
            <w:pPr>
              <w:pStyle w:val="ConsPlusNormal"/>
            </w:pPr>
          </w:p>
        </w:tc>
        <w:tc>
          <w:tcPr>
            <w:tcW w:w="1814" w:type="dxa"/>
            <w:vAlign w:val="center"/>
          </w:tcPr>
          <w:p w14:paraId="245925D6" w14:textId="77777777" w:rsidR="00454A29" w:rsidRDefault="00454A29">
            <w:pPr>
              <w:pStyle w:val="ConsPlusNormal"/>
            </w:pPr>
          </w:p>
        </w:tc>
      </w:tr>
      <w:tr w:rsidR="00454A29" w14:paraId="31B20A28" w14:textId="77777777">
        <w:tc>
          <w:tcPr>
            <w:tcW w:w="567" w:type="dxa"/>
            <w:vMerge/>
          </w:tcPr>
          <w:p w14:paraId="1A1B9803" w14:textId="77777777" w:rsidR="00454A29" w:rsidRDefault="00454A29"/>
        </w:tc>
        <w:tc>
          <w:tcPr>
            <w:tcW w:w="3345" w:type="dxa"/>
            <w:vMerge/>
          </w:tcPr>
          <w:p w14:paraId="2FA3641D" w14:textId="77777777" w:rsidR="00454A29" w:rsidRDefault="00454A29"/>
        </w:tc>
        <w:tc>
          <w:tcPr>
            <w:tcW w:w="1701" w:type="dxa"/>
            <w:vAlign w:val="center"/>
          </w:tcPr>
          <w:p w14:paraId="2A4468C7" w14:textId="77777777" w:rsidR="00454A29" w:rsidRDefault="00454A29">
            <w:pPr>
              <w:pStyle w:val="ConsPlusNormal"/>
              <w:jc w:val="center"/>
            </w:pPr>
            <w:r>
              <w:t>2026</w:t>
            </w:r>
          </w:p>
        </w:tc>
        <w:tc>
          <w:tcPr>
            <w:tcW w:w="1417" w:type="dxa"/>
            <w:vMerge/>
          </w:tcPr>
          <w:p w14:paraId="1D7475A2" w14:textId="77777777" w:rsidR="00454A29" w:rsidRDefault="00454A29"/>
        </w:tc>
        <w:tc>
          <w:tcPr>
            <w:tcW w:w="2204" w:type="dxa"/>
            <w:vMerge/>
          </w:tcPr>
          <w:p w14:paraId="17D18B71" w14:textId="77777777" w:rsidR="00454A29" w:rsidRDefault="00454A29"/>
        </w:tc>
        <w:tc>
          <w:tcPr>
            <w:tcW w:w="1417" w:type="dxa"/>
            <w:vMerge/>
          </w:tcPr>
          <w:p w14:paraId="5CDF1B62" w14:textId="77777777" w:rsidR="00454A29" w:rsidRDefault="00454A29"/>
        </w:tc>
        <w:tc>
          <w:tcPr>
            <w:tcW w:w="2324" w:type="dxa"/>
            <w:vMerge/>
          </w:tcPr>
          <w:p w14:paraId="762A5451" w14:textId="77777777" w:rsidR="00454A29" w:rsidRDefault="00454A29"/>
        </w:tc>
        <w:tc>
          <w:tcPr>
            <w:tcW w:w="1701" w:type="dxa"/>
            <w:vAlign w:val="center"/>
          </w:tcPr>
          <w:p w14:paraId="50F19FD6" w14:textId="77777777" w:rsidR="00454A29" w:rsidRDefault="00454A29">
            <w:pPr>
              <w:pStyle w:val="ConsPlusNormal"/>
              <w:jc w:val="center"/>
            </w:pPr>
            <w:r>
              <w:t>1 039 780,48</w:t>
            </w:r>
          </w:p>
        </w:tc>
        <w:tc>
          <w:tcPr>
            <w:tcW w:w="1814" w:type="dxa"/>
            <w:vAlign w:val="center"/>
          </w:tcPr>
          <w:p w14:paraId="608DAAAF" w14:textId="77777777" w:rsidR="00454A29" w:rsidRDefault="00454A29">
            <w:pPr>
              <w:pStyle w:val="ConsPlusNormal"/>
              <w:jc w:val="center"/>
            </w:pPr>
            <w:r>
              <w:t>12 810,10</w:t>
            </w:r>
          </w:p>
        </w:tc>
        <w:tc>
          <w:tcPr>
            <w:tcW w:w="1701" w:type="dxa"/>
            <w:vAlign w:val="center"/>
          </w:tcPr>
          <w:p w14:paraId="35D9E287" w14:textId="77777777" w:rsidR="00454A29" w:rsidRDefault="00454A29">
            <w:pPr>
              <w:pStyle w:val="ConsPlusNormal"/>
              <w:jc w:val="center"/>
            </w:pPr>
            <w:r>
              <w:t>1 268 199,45</w:t>
            </w:r>
          </w:p>
        </w:tc>
        <w:tc>
          <w:tcPr>
            <w:tcW w:w="1701" w:type="dxa"/>
            <w:vAlign w:val="center"/>
          </w:tcPr>
          <w:p w14:paraId="02D41E8D" w14:textId="77777777" w:rsidR="00454A29" w:rsidRDefault="00454A29">
            <w:pPr>
              <w:pStyle w:val="ConsPlusNormal"/>
            </w:pPr>
          </w:p>
        </w:tc>
        <w:tc>
          <w:tcPr>
            <w:tcW w:w="1814" w:type="dxa"/>
            <w:vAlign w:val="center"/>
          </w:tcPr>
          <w:p w14:paraId="1EA4C1F8" w14:textId="77777777" w:rsidR="00454A29" w:rsidRDefault="00454A29">
            <w:pPr>
              <w:pStyle w:val="ConsPlusNormal"/>
            </w:pPr>
          </w:p>
        </w:tc>
      </w:tr>
      <w:tr w:rsidR="00454A29" w14:paraId="722DA078" w14:textId="77777777">
        <w:tc>
          <w:tcPr>
            <w:tcW w:w="567" w:type="dxa"/>
            <w:vMerge w:val="restart"/>
            <w:vAlign w:val="center"/>
          </w:tcPr>
          <w:p w14:paraId="163C80D1" w14:textId="77777777" w:rsidR="00454A29" w:rsidRDefault="00454A29">
            <w:pPr>
              <w:pStyle w:val="ConsPlusNormal"/>
              <w:jc w:val="center"/>
            </w:pPr>
            <w:r>
              <w:lastRenderedPageBreak/>
              <w:t>177</w:t>
            </w:r>
          </w:p>
        </w:tc>
        <w:tc>
          <w:tcPr>
            <w:tcW w:w="3345" w:type="dxa"/>
            <w:vMerge w:val="restart"/>
            <w:vAlign w:val="center"/>
          </w:tcPr>
          <w:p w14:paraId="2A269510" w14:textId="77777777" w:rsidR="00454A29" w:rsidRDefault="00454A29">
            <w:pPr>
              <w:pStyle w:val="ConsPlusNormal"/>
              <w:jc w:val="center"/>
            </w:pPr>
            <w:r>
              <w:t>Школа на 500 учащихся в г. Якутске, ул. Рыдзинского, квартал 15</w:t>
            </w:r>
          </w:p>
        </w:tc>
        <w:tc>
          <w:tcPr>
            <w:tcW w:w="1701" w:type="dxa"/>
            <w:vAlign w:val="center"/>
          </w:tcPr>
          <w:p w14:paraId="25315710" w14:textId="77777777" w:rsidR="00454A29" w:rsidRDefault="00454A29">
            <w:pPr>
              <w:pStyle w:val="ConsPlusNormal"/>
              <w:jc w:val="center"/>
            </w:pPr>
            <w:r>
              <w:t>2020 - 2026 годы - всего</w:t>
            </w:r>
          </w:p>
        </w:tc>
        <w:tc>
          <w:tcPr>
            <w:tcW w:w="1417" w:type="dxa"/>
            <w:vMerge w:val="restart"/>
            <w:vAlign w:val="center"/>
          </w:tcPr>
          <w:p w14:paraId="70E5C8E4" w14:textId="77777777" w:rsidR="00454A29" w:rsidRDefault="00454A29">
            <w:pPr>
              <w:pStyle w:val="ConsPlusNormal"/>
              <w:jc w:val="center"/>
            </w:pPr>
            <w:r>
              <w:t>867 173,65</w:t>
            </w:r>
          </w:p>
        </w:tc>
        <w:tc>
          <w:tcPr>
            <w:tcW w:w="2204" w:type="dxa"/>
            <w:vMerge w:val="restart"/>
            <w:vAlign w:val="center"/>
          </w:tcPr>
          <w:p w14:paraId="3A58C8FE" w14:textId="77777777" w:rsidR="00454A29" w:rsidRDefault="00454A29">
            <w:pPr>
              <w:pStyle w:val="ConsPlusNormal"/>
            </w:pPr>
          </w:p>
        </w:tc>
        <w:tc>
          <w:tcPr>
            <w:tcW w:w="1417" w:type="dxa"/>
            <w:vMerge w:val="restart"/>
            <w:vAlign w:val="center"/>
          </w:tcPr>
          <w:p w14:paraId="7B237CFB" w14:textId="77777777" w:rsidR="00454A29" w:rsidRDefault="00454A29">
            <w:pPr>
              <w:pStyle w:val="ConsPlusNormal"/>
              <w:jc w:val="center"/>
            </w:pPr>
            <w:r>
              <w:t>500</w:t>
            </w:r>
          </w:p>
        </w:tc>
        <w:tc>
          <w:tcPr>
            <w:tcW w:w="2324" w:type="dxa"/>
            <w:vMerge w:val="restart"/>
            <w:vAlign w:val="center"/>
          </w:tcPr>
          <w:p w14:paraId="1B7E98A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2B40979" w14:textId="77777777" w:rsidR="00454A29" w:rsidRDefault="00454A29">
            <w:pPr>
              <w:pStyle w:val="ConsPlusNormal"/>
              <w:jc w:val="center"/>
            </w:pPr>
            <w:r>
              <w:t>867 173,65</w:t>
            </w:r>
          </w:p>
        </w:tc>
        <w:tc>
          <w:tcPr>
            <w:tcW w:w="1814" w:type="dxa"/>
            <w:vAlign w:val="center"/>
          </w:tcPr>
          <w:p w14:paraId="2FDC64FD" w14:textId="77777777" w:rsidR="00454A29" w:rsidRDefault="00454A29">
            <w:pPr>
              <w:pStyle w:val="ConsPlusNormal"/>
              <w:jc w:val="center"/>
            </w:pPr>
            <w:r>
              <w:t>10 683,58</w:t>
            </w:r>
          </w:p>
        </w:tc>
        <w:tc>
          <w:tcPr>
            <w:tcW w:w="1701" w:type="dxa"/>
            <w:vAlign w:val="center"/>
          </w:tcPr>
          <w:p w14:paraId="351B0551" w14:textId="77777777" w:rsidR="00454A29" w:rsidRDefault="00454A29">
            <w:pPr>
              <w:pStyle w:val="ConsPlusNormal"/>
              <w:jc w:val="center"/>
            </w:pPr>
            <w:r>
              <w:t>1 057 674,36</w:t>
            </w:r>
          </w:p>
        </w:tc>
        <w:tc>
          <w:tcPr>
            <w:tcW w:w="1701" w:type="dxa"/>
            <w:vAlign w:val="center"/>
          </w:tcPr>
          <w:p w14:paraId="68A7D23C" w14:textId="77777777" w:rsidR="00454A29" w:rsidRDefault="00454A29">
            <w:pPr>
              <w:pStyle w:val="ConsPlusNormal"/>
              <w:jc w:val="center"/>
            </w:pPr>
            <w:r>
              <w:t>-</w:t>
            </w:r>
          </w:p>
        </w:tc>
        <w:tc>
          <w:tcPr>
            <w:tcW w:w="1814" w:type="dxa"/>
            <w:vAlign w:val="center"/>
          </w:tcPr>
          <w:p w14:paraId="09393186" w14:textId="77777777" w:rsidR="00454A29" w:rsidRDefault="00454A29">
            <w:pPr>
              <w:pStyle w:val="ConsPlusNormal"/>
              <w:jc w:val="center"/>
            </w:pPr>
            <w:r>
              <w:t>-</w:t>
            </w:r>
          </w:p>
        </w:tc>
      </w:tr>
      <w:tr w:rsidR="00454A29" w14:paraId="557FDF12" w14:textId="77777777">
        <w:tc>
          <w:tcPr>
            <w:tcW w:w="567" w:type="dxa"/>
            <w:vMerge/>
          </w:tcPr>
          <w:p w14:paraId="5B71FDAC" w14:textId="77777777" w:rsidR="00454A29" w:rsidRDefault="00454A29"/>
        </w:tc>
        <w:tc>
          <w:tcPr>
            <w:tcW w:w="3345" w:type="dxa"/>
            <w:vMerge/>
          </w:tcPr>
          <w:p w14:paraId="3F1DA6D8" w14:textId="77777777" w:rsidR="00454A29" w:rsidRDefault="00454A29"/>
        </w:tc>
        <w:tc>
          <w:tcPr>
            <w:tcW w:w="1701" w:type="dxa"/>
            <w:vAlign w:val="center"/>
          </w:tcPr>
          <w:p w14:paraId="6F9693DE" w14:textId="77777777" w:rsidR="00454A29" w:rsidRDefault="00454A29">
            <w:pPr>
              <w:pStyle w:val="ConsPlusNormal"/>
              <w:jc w:val="center"/>
            </w:pPr>
            <w:r>
              <w:t>2020</w:t>
            </w:r>
          </w:p>
        </w:tc>
        <w:tc>
          <w:tcPr>
            <w:tcW w:w="1417" w:type="dxa"/>
            <w:vMerge/>
          </w:tcPr>
          <w:p w14:paraId="7EB39EF6" w14:textId="77777777" w:rsidR="00454A29" w:rsidRDefault="00454A29"/>
        </w:tc>
        <w:tc>
          <w:tcPr>
            <w:tcW w:w="2204" w:type="dxa"/>
            <w:vMerge/>
          </w:tcPr>
          <w:p w14:paraId="4BE63230" w14:textId="77777777" w:rsidR="00454A29" w:rsidRDefault="00454A29"/>
        </w:tc>
        <w:tc>
          <w:tcPr>
            <w:tcW w:w="1417" w:type="dxa"/>
            <w:vMerge/>
          </w:tcPr>
          <w:p w14:paraId="592027CA" w14:textId="77777777" w:rsidR="00454A29" w:rsidRDefault="00454A29"/>
        </w:tc>
        <w:tc>
          <w:tcPr>
            <w:tcW w:w="2324" w:type="dxa"/>
            <w:vMerge/>
          </w:tcPr>
          <w:p w14:paraId="41A34DBE" w14:textId="77777777" w:rsidR="00454A29" w:rsidRDefault="00454A29"/>
        </w:tc>
        <w:tc>
          <w:tcPr>
            <w:tcW w:w="1701" w:type="dxa"/>
            <w:vAlign w:val="center"/>
          </w:tcPr>
          <w:p w14:paraId="30EA584D" w14:textId="77777777" w:rsidR="00454A29" w:rsidRDefault="00454A29">
            <w:pPr>
              <w:pStyle w:val="ConsPlusNormal"/>
            </w:pPr>
          </w:p>
        </w:tc>
        <w:tc>
          <w:tcPr>
            <w:tcW w:w="1814" w:type="dxa"/>
            <w:vAlign w:val="center"/>
          </w:tcPr>
          <w:p w14:paraId="294A597E" w14:textId="77777777" w:rsidR="00454A29" w:rsidRDefault="00454A29">
            <w:pPr>
              <w:pStyle w:val="ConsPlusNormal"/>
            </w:pPr>
          </w:p>
        </w:tc>
        <w:tc>
          <w:tcPr>
            <w:tcW w:w="1701" w:type="dxa"/>
            <w:vAlign w:val="center"/>
          </w:tcPr>
          <w:p w14:paraId="2457F03F" w14:textId="77777777" w:rsidR="00454A29" w:rsidRDefault="00454A29">
            <w:pPr>
              <w:pStyle w:val="ConsPlusNormal"/>
            </w:pPr>
          </w:p>
        </w:tc>
        <w:tc>
          <w:tcPr>
            <w:tcW w:w="1701" w:type="dxa"/>
            <w:vAlign w:val="center"/>
          </w:tcPr>
          <w:p w14:paraId="5CA86093" w14:textId="77777777" w:rsidR="00454A29" w:rsidRDefault="00454A29">
            <w:pPr>
              <w:pStyle w:val="ConsPlusNormal"/>
            </w:pPr>
          </w:p>
        </w:tc>
        <w:tc>
          <w:tcPr>
            <w:tcW w:w="1814" w:type="dxa"/>
            <w:vAlign w:val="center"/>
          </w:tcPr>
          <w:p w14:paraId="428DD061" w14:textId="77777777" w:rsidR="00454A29" w:rsidRDefault="00454A29">
            <w:pPr>
              <w:pStyle w:val="ConsPlusNormal"/>
            </w:pPr>
          </w:p>
        </w:tc>
      </w:tr>
      <w:tr w:rsidR="00454A29" w14:paraId="645E04C6" w14:textId="77777777">
        <w:tc>
          <w:tcPr>
            <w:tcW w:w="567" w:type="dxa"/>
            <w:vMerge/>
          </w:tcPr>
          <w:p w14:paraId="259D9A78" w14:textId="77777777" w:rsidR="00454A29" w:rsidRDefault="00454A29"/>
        </w:tc>
        <w:tc>
          <w:tcPr>
            <w:tcW w:w="3345" w:type="dxa"/>
            <w:vMerge/>
          </w:tcPr>
          <w:p w14:paraId="2A3BBAC6" w14:textId="77777777" w:rsidR="00454A29" w:rsidRDefault="00454A29"/>
        </w:tc>
        <w:tc>
          <w:tcPr>
            <w:tcW w:w="1701" w:type="dxa"/>
            <w:vAlign w:val="center"/>
          </w:tcPr>
          <w:p w14:paraId="5078F4DA" w14:textId="77777777" w:rsidR="00454A29" w:rsidRDefault="00454A29">
            <w:pPr>
              <w:pStyle w:val="ConsPlusNormal"/>
              <w:jc w:val="center"/>
            </w:pPr>
            <w:r>
              <w:t>2021</w:t>
            </w:r>
          </w:p>
        </w:tc>
        <w:tc>
          <w:tcPr>
            <w:tcW w:w="1417" w:type="dxa"/>
            <w:vMerge/>
          </w:tcPr>
          <w:p w14:paraId="4B562E81" w14:textId="77777777" w:rsidR="00454A29" w:rsidRDefault="00454A29"/>
        </w:tc>
        <w:tc>
          <w:tcPr>
            <w:tcW w:w="2204" w:type="dxa"/>
            <w:vMerge/>
          </w:tcPr>
          <w:p w14:paraId="4442E680" w14:textId="77777777" w:rsidR="00454A29" w:rsidRDefault="00454A29"/>
        </w:tc>
        <w:tc>
          <w:tcPr>
            <w:tcW w:w="1417" w:type="dxa"/>
            <w:vMerge/>
          </w:tcPr>
          <w:p w14:paraId="55919BF5" w14:textId="77777777" w:rsidR="00454A29" w:rsidRDefault="00454A29"/>
        </w:tc>
        <w:tc>
          <w:tcPr>
            <w:tcW w:w="2324" w:type="dxa"/>
            <w:vMerge/>
          </w:tcPr>
          <w:p w14:paraId="4E18EF94" w14:textId="77777777" w:rsidR="00454A29" w:rsidRDefault="00454A29"/>
        </w:tc>
        <w:tc>
          <w:tcPr>
            <w:tcW w:w="1701" w:type="dxa"/>
            <w:vAlign w:val="center"/>
          </w:tcPr>
          <w:p w14:paraId="2DABD7FC" w14:textId="77777777" w:rsidR="00454A29" w:rsidRDefault="00454A29">
            <w:pPr>
              <w:pStyle w:val="ConsPlusNormal"/>
              <w:jc w:val="center"/>
            </w:pPr>
            <w:r>
              <w:t>-</w:t>
            </w:r>
          </w:p>
        </w:tc>
        <w:tc>
          <w:tcPr>
            <w:tcW w:w="1814" w:type="dxa"/>
            <w:vAlign w:val="center"/>
          </w:tcPr>
          <w:p w14:paraId="3489A282" w14:textId="77777777" w:rsidR="00454A29" w:rsidRDefault="00454A29">
            <w:pPr>
              <w:pStyle w:val="ConsPlusNormal"/>
            </w:pPr>
          </w:p>
        </w:tc>
        <w:tc>
          <w:tcPr>
            <w:tcW w:w="1701" w:type="dxa"/>
            <w:vAlign w:val="center"/>
          </w:tcPr>
          <w:p w14:paraId="1F2C2567" w14:textId="77777777" w:rsidR="00454A29" w:rsidRDefault="00454A29">
            <w:pPr>
              <w:pStyle w:val="ConsPlusNormal"/>
            </w:pPr>
          </w:p>
        </w:tc>
        <w:tc>
          <w:tcPr>
            <w:tcW w:w="1701" w:type="dxa"/>
            <w:vAlign w:val="center"/>
          </w:tcPr>
          <w:p w14:paraId="7BA3A187" w14:textId="77777777" w:rsidR="00454A29" w:rsidRDefault="00454A29">
            <w:pPr>
              <w:pStyle w:val="ConsPlusNormal"/>
            </w:pPr>
          </w:p>
        </w:tc>
        <w:tc>
          <w:tcPr>
            <w:tcW w:w="1814" w:type="dxa"/>
            <w:vAlign w:val="center"/>
          </w:tcPr>
          <w:p w14:paraId="4F78B253" w14:textId="77777777" w:rsidR="00454A29" w:rsidRDefault="00454A29">
            <w:pPr>
              <w:pStyle w:val="ConsPlusNormal"/>
            </w:pPr>
          </w:p>
        </w:tc>
      </w:tr>
      <w:tr w:rsidR="00454A29" w14:paraId="730B8875" w14:textId="77777777">
        <w:tc>
          <w:tcPr>
            <w:tcW w:w="567" w:type="dxa"/>
            <w:vMerge/>
          </w:tcPr>
          <w:p w14:paraId="05EA0BFB" w14:textId="77777777" w:rsidR="00454A29" w:rsidRDefault="00454A29"/>
        </w:tc>
        <w:tc>
          <w:tcPr>
            <w:tcW w:w="3345" w:type="dxa"/>
            <w:vMerge/>
          </w:tcPr>
          <w:p w14:paraId="7EDA4CCF" w14:textId="77777777" w:rsidR="00454A29" w:rsidRDefault="00454A29"/>
        </w:tc>
        <w:tc>
          <w:tcPr>
            <w:tcW w:w="1701" w:type="dxa"/>
            <w:vAlign w:val="center"/>
          </w:tcPr>
          <w:p w14:paraId="17C19CFC" w14:textId="77777777" w:rsidR="00454A29" w:rsidRDefault="00454A29">
            <w:pPr>
              <w:pStyle w:val="ConsPlusNormal"/>
              <w:jc w:val="center"/>
            </w:pPr>
            <w:r>
              <w:t>2022</w:t>
            </w:r>
          </w:p>
        </w:tc>
        <w:tc>
          <w:tcPr>
            <w:tcW w:w="1417" w:type="dxa"/>
            <w:vMerge/>
          </w:tcPr>
          <w:p w14:paraId="79B025B8" w14:textId="77777777" w:rsidR="00454A29" w:rsidRDefault="00454A29"/>
        </w:tc>
        <w:tc>
          <w:tcPr>
            <w:tcW w:w="2204" w:type="dxa"/>
            <w:vMerge/>
          </w:tcPr>
          <w:p w14:paraId="75A3EA31" w14:textId="77777777" w:rsidR="00454A29" w:rsidRDefault="00454A29"/>
        </w:tc>
        <w:tc>
          <w:tcPr>
            <w:tcW w:w="1417" w:type="dxa"/>
            <w:vMerge/>
          </w:tcPr>
          <w:p w14:paraId="2C5C5ECD" w14:textId="77777777" w:rsidR="00454A29" w:rsidRDefault="00454A29"/>
        </w:tc>
        <w:tc>
          <w:tcPr>
            <w:tcW w:w="2324" w:type="dxa"/>
            <w:vMerge/>
          </w:tcPr>
          <w:p w14:paraId="6EADA1D5" w14:textId="77777777" w:rsidR="00454A29" w:rsidRDefault="00454A29"/>
        </w:tc>
        <w:tc>
          <w:tcPr>
            <w:tcW w:w="1701" w:type="dxa"/>
            <w:vAlign w:val="center"/>
          </w:tcPr>
          <w:p w14:paraId="16264D89" w14:textId="77777777" w:rsidR="00454A29" w:rsidRDefault="00454A29">
            <w:pPr>
              <w:pStyle w:val="ConsPlusNormal"/>
            </w:pPr>
          </w:p>
        </w:tc>
        <w:tc>
          <w:tcPr>
            <w:tcW w:w="1814" w:type="dxa"/>
            <w:vAlign w:val="center"/>
          </w:tcPr>
          <w:p w14:paraId="56793CA3" w14:textId="77777777" w:rsidR="00454A29" w:rsidRDefault="00454A29">
            <w:pPr>
              <w:pStyle w:val="ConsPlusNormal"/>
            </w:pPr>
          </w:p>
        </w:tc>
        <w:tc>
          <w:tcPr>
            <w:tcW w:w="1701" w:type="dxa"/>
            <w:vAlign w:val="center"/>
          </w:tcPr>
          <w:p w14:paraId="04181814" w14:textId="77777777" w:rsidR="00454A29" w:rsidRDefault="00454A29">
            <w:pPr>
              <w:pStyle w:val="ConsPlusNormal"/>
            </w:pPr>
          </w:p>
        </w:tc>
        <w:tc>
          <w:tcPr>
            <w:tcW w:w="1701" w:type="dxa"/>
            <w:vAlign w:val="center"/>
          </w:tcPr>
          <w:p w14:paraId="2B606918" w14:textId="77777777" w:rsidR="00454A29" w:rsidRDefault="00454A29">
            <w:pPr>
              <w:pStyle w:val="ConsPlusNormal"/>
            </w:pPr>
          </w:p>
        </w:tc>
        <w:tc>
          <w:tcPr>
            <w:tcW w:w="1814" w:type="dxa"/>
            <w:vAlign w:val="center"/>
          </w:tcPr>
          <w:p w14:paraId="2CAC8F8B" w14:textId="77777777" w:rsidR="00454A29" w:rsidRDefault="00454A29">
            <w:pPr>
              <w:pStyle w:val="ConsPlusNormal"/>
            </w:pPr>
          </w:p>
        </w:tc>
      </w:tr>
      <w:tr w:rsidR="00454A29" w14:paraId="3509C6B4" w14:textId="77777777">
        <w:tc>
          <w:tcPr>
            <w:tcW w:w="567" w:type="dxa"/>
            <w:vMerge/>
          </w:tcPr>
          <w:p w14:paraId="1C7EDCDA" w14:textId="77777777" w:rsidR="00454A29" w:rsidRDefault="00454A29"/>
        </w:tc>
        <w:tc>
          <w:tcPr>
            <w:tcW w:w="3345" w:type="dxa"/>
            <w:vMerge/>
          </w:tcPr>
          <w:p w14:paraId="49EB63D9" w14:textId="77777777" w:rsidR="00454A29" w:rsidRDefault="00454A29"/>
        </w:tc>
        <w:tc>
          <w:tcPr>
            <w:tcW w:w="1701" w:type="dxa"/>
            <w:vAlign w:val="center"/>
          </w:tcPr>
          <w:p w14:paraId="66624EB3" w14:textId="77777777" w:rsidR="00454A29" w:rsidRDefault="00454A29">
            <w:pPr>
              <w:pStyle w:val="ConsPlusNormal"/>
              <w:jc w:val="center"/>
            </w:pPr>
            <w:r>
              <w:t>2023</w:t>
            </w:r>
          </w:p>
        </w:tc>
        <w:tc>
          <w:tcPr>
            <w:tcW w:w="1417" w:type="dxa"/>
            <w:vMerge/>
          </w:tcPr>
          <w:p w14:paraId="6472252E" w14:textId="77777777" w:rsidR="00454A29" w:rsidRDefault="00454A29"/>
        </w:tc>
        <w:tc>
          <w:tcPr>
            <w:tcW w:w="2204" w:type="dxa"/>
            <w:vMerge/>
          </w:tcPr>
          <w:p w14:paraId="0A095518" w14:textId="77777777" w:rsidR="00454A29" w:rsidRDefault="00454A29"/>
        </w:tc>
        <w:tc>
          <w:tcPr>
            <w:tcW w:w="1417" w:type="dxa"/>
            <w:vMerge/>
          </w:tcPr>
          <w:p w14:paraId="2312251B" w14:textId="77777777" w:rsidR="00454A29" w:rsidRDefault="00454A29"/>
        </w:tc>
        <w:tc>
          <w:tcPr>
            <w:tcW w:w="2324" w:type="dxa"/>
            <w:vMerge/>
          </w:tcPr>
          <w:p w14:paraId="0A2636CF" w14:textId="77777777" w:rsidR="00454A29" w:rsidRDefault="00454A29"/>
        </w:tc>
        <w:tc>
          <w:tcPr>
            <w:tcW w:w="1701" w:type="dxa"/>
            <w:vAlign w:val="center"/>
          </w:tcPr>
          <w:p w14:paraId="771146F0" w14:textId="77777777" w:rsidR="00454A29" w:rsidRDefault="00454A29">
            <w:pPr>
              <w:pStyle w:val="ConsPlusNormal"/>
              <w:jc w:val="center"/>
            </w:pPr>
            <w:r>
              <w:t>-</w:t>
            </w:r>
          </w:p>
        </w:tc>
        <w:tc>
          <w:tcPr>
            <w:tcW w:w="1814" w:type="dxa"/>
            <w:vAlign w:val="center"/>
          </w:tcPr>
          <w:p w14:paraId="6CDB57AD" w14:textId="77777777" w:rsidR="00454A29" w:rsidRDefault="00454A29">
            <w:pPr>
              <w:pStyle w:val="ConsPlusNormal"/>
            </w:pPr>
          </w:p>
        </w:tc>
        <w:tc>
          <w:tcPr>
            <w:tcW w:w="1701" w:type="dxa"/>
            <w:vAlign w:val="center"/>
          </w:tcPr>
          <w:p w14:paraId="35BF76AB" w14:textId="77777777" w:rsidR="00454A29" w:rsidRDefault="00454A29">
            <w:pPr>
              <w:pStyle w:val="ConsPlusNormal"/>
            </w:pPr>
          </w:p>
        </w:tc>
        <w:tc>
          <w:tcPr>
            <w:tcW w:w="1701" w:type="dxa"/>
            <w:vAlign w:val="center"/>
          </w:tcPr>
          <w:p w14:paraId="0D384A7A" w14:textId="77777777" w:rsidR="00454A29" w:rsidRDefault="00454A29">
            <w:pPr>
              <w:pStyle w:val="ConsPlusNormal"/>
            </w:pPr>
          </w:p>
        </w:tc>
        <w:tc>
          <w:tcPr>
            <w:tcW w:w="1814" w:type="dxa"/>
            <w:vAlign w:val="center"/>
          </w:tcPr>
          <w:p w14:paraId="438DE151" w14:textId="77777777" w:rsidR="00454A29" w:rsidRDefault="00454A29">
            <w:pPr>
              <w:pStyle w:val="ConsPlusNormal"/>
            </w:pPr>
          </w:p>
        </w:tc>
      </w:tr>
      <w:tr w:rsidR="00454A29" w14:paraId="21E7678E" w14:textId="77777777">
        <w:tc>
          <w:tcPr>
            <w:tcW w:w="567" w:type="dxa"/>
            <w:vMerge/>
          </w:tcPr>
          <w:p w14:paraId="5318BEE8" w14:textId="77777777" w:rsidR="00454A29" w:rsidRDefault="00454A29"/>
        </w:tc>
        <w:tc>
          <w:tcPr>
            <w:tcW w:w="3345" w:type="dxa"/>
            <w:vMerge/>
          </w:tcPr>
          <w:p w14:paraId="7760AA1D" w14:textId="77777777" w:rsidR="00454A29" w:rsidRDefault="00454A29"/>
        </w:tc>
        <w:tc>
          <w:tcPr>
            <w:tcW w:w="1701" w:type="dxa"/>
            <w:vAlign w:val="center"/>
          </w:tcPr>
          <w:p w14:paraId="526B0096" w14:textId="77777777" w:rsidR="00454A29" w:rsidRDefault="00454A29">
            <w:pPr>
              <w:pStyle w:val="ConsPlusNormal"/>
              <w:jc w:val="center"/>
            </w:pPr>
            <w:r>
              <w:t>2024</w:t>
            </w:r>
          </w:p>
        </w:tc>
        <w:tc>
          <w:tcPr>
            <w:tcW w:w="1417" w:type="dxa"/>
            <w:vMerge/>
          </w:tcPr>
          <w:p w14:paraId="6E02639D" w14:textId="77777777" w:rsidR="00454A29" w:rsidRDefault="00454A29"/>
        </w:tc>
        <w:tc>
          <w:tcPr>
            <w:tcW w:w="2204" w:type="dxa"/>
            <w:vMerge/>
          </w:tcPr>
          <w:p w14:paraId="6CB4782A" w14:textId="77777777" w:rsidR="00454A29" w:rsidRDefault="00454A29"/>
        </w:tc>
        <w:tc>
          <w:tcPr>
            <w:tcW w:w="1417" w:type="dxa"/>
            <w:vMerge/>
          </w:tcPr>
          <w:p w14:paraId="6272E675" w14:textId="77777777" w:rsidR="00454A29" w:rsidRDefault="00454A29"/>
        </w:tc>
        <w:tc>
          <w:tcPr>
            <w:tcW w:w="2324" w:type="dxa"/>
            <w:vMerge/>
          </w:tcPr>
          <w:p w14:paraId="6CFFF270" w14:textId="77777777" w:rsidR="00454A29" w:rsidRDefault="00454A29"/>
        </w:tc>
        <w:tc>
          <w:tcPr>
            <w:tcW w:w="1701" w:type="dxa"/>
            <w:vAlign w:val="center"/>
          </w:tcPr>
          <w:p w14:paraId="3204AE05" w14:textId="77777777" w:rsidR="00454A29" w:rsidRDefault="00454A29">
            <w:pPr>
              <w:pStyle w:val="ConsPlusNormal"/>
            </w:pPr>
          </w:p>
        </w:tc>
        <w:tc>
          <w:tcPr>
            <w:tcW w:w="1814" w:type="dxa"/>
            <w:vAlign w:val="center"/>
          </w:tcPr>
          <w:p w14:paraId="7894CF0E" w14:textId="77777777" w:rsidR="00454A29" w:rsidRDefault="00454A29">
            <w:pPr>
              <w:pStyle w:val="ConsPlusNormal"/>
            </w:pPr>
          </w:p>
        </w:tc>
        <w:tc>
          <w:tcPr>
            <w:tcW w:w="1701" w:type="dxa"/>
            <w:vAlign w:val="center"/>
          </w:tcPr>
          <w:p w14:paraId="7FD832BC" w14:textId="77777777" w:rsidR="00454A29" w:rsidRDefault="00454A29">
            <w:pPr>
              <w:pStyle w:val="ConsPlusNormal"/>
            </w:pPr>
          </w:p>
        </w:tc>
        <w:tc>
          <w:tcPr>
            <w:tcW w:w="1701" w:type="dxa"/>
            <w:vAlign w:val="center"/>
          </w:tcPr>
          <w:p w14:paraId="241F50CF" w14:textId="77777777" w:rsidR="00454A29" w:rsidRDefault="00454A29">
            <w:pPr>
              <w:pStyle w:val="ConsPlusNormal"/>
            </w:pPr>
          </w:p>
        </w:tc>
        <w:tc>
          <w:tcPr>
            <w:tcW w:w="1814" w:type="dxa"/>
            <w:vAlign w:val="center"/>
          </w:tcPr>
          <w:p w14:paraId="606BC813" w14:textId="77777777" w:rsidR="00454A29" w:rsidRDefault="00454A29">
            <w:pPr>
              <w:pStyle w:val="ConsPlusNormal"/>
            </w:pPr>
          </w:p>
        </w:tc>
      </w:tr>
      <w:tr w:rsidR="00454A29" w14:paraId="30C98411" w14:textId="77777777">
        <w:tc>
          <w:tcPr>
            <w:tcW w:w="567" w:type="dxa"/>
            <w:vMerge/>
          </w:tcPr>
          <w:p w14:paraId="457C8695" w14:textId="77777777" w:rsidR="00454A29" w:rsidRDefault="00454A29"/>
        </w:tc>
        <w:tc>
          <w:tcPr>
            <w:tcW w:w="3345" w:type="dxa"/>
            <w:vMerge/>
          </w:tcPr>
          <w:p w14:paraId="5543CD5B" w14:textId="77777777" w:rsidR="00454A29" w:rsidRDefault="00454A29"/>
        </w:tc>
        <w:tc>
          <w:tcPr>
            <w:tcW w:w="1701" w:type="dxa"/>
            <w:vAlign w:val="center"/>
          </w:tcPr>
          <w:p w14:paraId="252A03FC" w14:textId="77777777" w:rsidR="00454A29" w:rsidRDefault="00454A29">
            <w:pPr>
              <w:pStyle w:val="ConsPlusNormal"/>
              <w:jc w:val="center"/>
            </w:pPr>
            <w:r>
              <w:t>2025</w:t>
            </w:r>
          </w:p>
        </w:tc>
        <w:tc>
          <w:tcPr>
            <w:tcW w:w="1417" w:type="dxa"/>
            <w:vMerge/>
          </w:tcPr>
          <w:p w14:paraId="57E7B1EA" w14:textId="77777777" w:rsidR="00454A29" w:rsidRDefault="00454A29"/>
        </w:tc>
        <w:tc>
          <w:tcPr>
            <w:tcW w:w="2204" w:type="dxa"/>
            <w:vMerge/>
          </w:tcPr>
          <w:p w14:paraId="6EA12FE7" w14:textId="77777777" w:rsidR="00454A29" w:rsidRDefault="00454A29"/>
        </w:tc>
        <w:tc>
          <w:tcPr>
            <w:tcW w:w="1417" w:type="dxa"/>
            <w:vMerge/>
          </w:tcPr>
          <w:p w14:paraId="38B79F37" w14:textId="77777777" w:rsidR="00454A29" w:rsidRDefault="00454A29"/>
        </w:tc>
        <w:tc>
          <w:tcPr>
            <w:tcW w:w="2324" w:type="dxa"/>
            <w:vMerge/>
          </w:tcPr>
          <w:p w14:paraId="7763C2D7" w14:textId="77777777" w:rsidR="00454A29" w:rsidRDefault="00454A29"/>
        </w:tc>
        <w:tc>
          <w:tcPr>
            <w:tcW w:w="1701" w:type="dxa"/>
            <w:vAlign w:val="center"/>
          </w:tcPr>
          <w:p w14:paraId="4936A558" w14:textId="77777777" w:rsidR="00454A29" w:rsidRDefault="00454A29">
            <w:pPr>
              <w:pStyle w:val="ConsPlusNormal"/>
            </w:pPr>
          </w:p>
        </w:tc>
        <w:tc>
          <w:tcPr>
            <w:tcW w:w="1814" w:type="dxa"/>
            <w:vAlign w:val="center"/>
          </w:tcPr>
          <w:p w14:paraId="507208E5" w14:textId="77777777" w:rsidR="00454A29" w:rsidRDefault="00454A29">
            <w:pPr>
              <w:pStyle w:val="ConsPlusNormal"/>
            </w:pPr>
          </w:p>
        </w:tc>
        <w:tc>
          <w:tcPr>
            <w:tcW w:w="1701" w:type="dxa"/>
            <w:vAlign w:val="center"/>
          </w:tcPr>
          <w:p w14:paraId="41CC108F" w14:textId="77777777" w:rsidR="00454A29" w:rsidRDefault="00454A29">
            <w:pPr>
              <w:pStyle w:val="ConsPlusNormal"/>
            </w:pPr>
          </w:p>
        </w:tc>
        <w:tc>
          <w:tcPr>
            <w:tcW w:w="1701" w:type="dxa"/>
            <w:vAlign w:val="center"/>
          </w:tcPr>
          <w:p w14:paraId="4CA40FD8" w14:textId="77777777" w:rsidR="00454A29" w:rsidRDefault="00454A29">
            <w:pPr>
              <w:pStyle w:val="ConsPlusNormal"/>
            </w:pPr>
          </w:p>
        </w:tc>
        <w:tc>
          <w:tcPr>
            <w:tcW w:w="1814" w:type="dxa"/>
            <w:vAlign w:val="center"/>
          </w:tcPr>
          <w:p w14:paraId="4D00BFC3" w14:textId="77777777" w:rsidR="00454A29" w:rsidRDefault="00454A29">
            <w:pPr>
              <w:pStyle w:val="ConsPlusNormal"/>
            </w:pPr>
          </w:p>
        </w:tc>
      </w:tr>
      <w:tr w:rsidR="00454A29" w14:paraId="17E4328C" w14:textId="77777777">
        <w:tc>
          <w:tcPr>
            <w:tcW w:w="567" w:type="dxa"/>
            <w:vMerge/>
          </w:tcPr>
          <w:p w14:paraId="3DDC4D0D" w14:textId="77777777" w:rsidR="00454A29" w:rsidRDefault="00454A29"/>
        </w:tc>
        <w:tc>
          <w:tcPr>
            <w:tcW w:w="3345" w:type="dxa"/>
            <w:vMerge/>
          </w:tcPr>
          <w:p w14:paraId="4784D380" w14:textId="77777777" w:rsidR="00454A29" w:rsidRDefault="00454A29"/>
        </w:tc>
        <w:tc>
          <w:tcPr>
            <w:tcW w:w="1701" w:type="dxa"/>
            <w:vAlign w:val="center"/>
          </w:tcPr>
          <w:p w14:paraId="4DB29EEE" w14:textId="77777777" w:rsidR="00454A29" w:rsidRDefault="00454A29">
            <w:pPr>
              <w:pStyle w:val="ConsPlusNormal"/>
              <w:jc w:val="center"/>
            </w:pPr>
            <w:r>
              <w:t>2026</w:t>
            </w:r>
          </w:p>
        </w:tc>
        <w:tc>
          <w:tcPr>
            <w:tcW w:w="1417" w:type="dxa"/>
            <w:vMerge/>
          </w:tcPr>
          <w:p w14:paraId="5887EA99" w14:textId="77777777" w:rsidR="00454A29" w:rsidRDefault="00454A29"/>
        </w:tc>
        <w:tc>
          <w:tcPr>
            <w:tcW w:w="2204" w:type="dxa"/>
            <w:vMerge/>
          </w:tcPr>
          <w:p w14:paraId="713FDD20" w14:textId="77777777" w:rsidR="00454A29" w:rsidRDefault="00454A29"/>
        </w:tc>
        <w:tc>
          <w:tcPr>
            <w:tcW w:w="1417" w:type="dxa"/>
            <w:vMerge/>
          </w:tcPr>
          <w:p w14:paraId="3A1303E5" w14:textId="77777777" w:rsidR="00454A29" w:rsidRDefault="00454A29"/>
        </w:tc>
        <w:tc>
          <w:tcPr>
            <w:tcW w:w="2324" w:type="dxa"/>
            <w:vMerge/>
          </w:tcPr>
          <w:p w14:paraId="068937FE" w14:textId="77777777" w:rsidR="00454A29" w:rsidRDefault="00454A29"/>
        </w:tc>
        <w:tc>
          <w:tcPr>
            <w:tcW w:w="1701" w:type="dxa"/>
            <w:vAlign w:val="center"/>
          </w:tcPr>
          <w:p w14:paraId="5935CFE8" w14:textId="77777777" w:rsidR="00454A29" w:rsidRDefault="00454A29">
            <w:pPr>
              <w:pStyle w:val="ConsPlusNormal"/>
              <w:jc w:val="center"/>
            </w:pPr>
            <w:r>
              <w:t>867 173,65</w:t>
            </w:r>
          </w:p>
        </w:tc>
        <w:tc>
          <w:tcPr>
            <w:tcW w:w="1814" w:type="dxa"/>
            <w:vAlign w:val="center"/>
          </w:tcPr>
          <w:p w14:paraId="0075DFCF" w14:textId="77777777" w:rsidR="00454A29" w:rsidRDefault="00454A29">
            <w:pPr>
              <w:pStyle w:val="ConsPlusNormal"/>
              <w:jc w:val="center"/>
            </w:pPr>
            <w:r>
              <w:t>10 683,58</w:t>
            </w:r>
          </w:p>
        </w:tc>
        <w:tc>
          <w:tcPr>
            <w:tcW w:w="1701" w:type="dxa"/>
            <w:vAlign w:val="center"/>
          </w:tcPr>
          <w:p w14:paraId="4517CA96" w14:textId="77777777" w:rsidR="00454A29" w:rsidRDefault="00454A29">
            <w:pPr>
              <w:pStyle w:val="ConsPlusNormal"/>
              <w:jc w:val="center"/>
            </w:pPr>
            <w:r>
              <w:t>1 057 674,36</w:t>
            </w:r>
          </w:p>
        </w:tc>
        <w:tc>
          <w:tcPr>
            <w:tcW w:w="1701" w:type="dxa"/>
            <w:vAlign w:val="center"/>
          </w:tcPr>
          <w:p w14:paraId="3CC3B3C9" w14:textId="77777777" w:rsidR="00454A29" w:rsidRDefault="00454A29">
            <w:pPr>
              <w:pStyle w:val="ConsPlusNormal"/>
            </w:pPr>
          </w:p>
        </w:tc>
        <w:tc>
          <w:tcPr>
            <w:tcW w:w="1814" w:type="dxa"/>
            <w:vAlign w:val="center"/>
          </w:tcPr>
          <w:p w14:paraId="3AD4FC6A" w14:textId="77777777" w:rsidR="00454A29" w:rsidRDefault="00454A29">
            <w:pPr>
              <w:pStyle w:val="ConsPlusNormal"/>
            </w:pPr>
          </w:p>
        </w:tc>
      </w:tr>
      <w:tr w:rsidR="00454A29" w14:paraId="4F62CE89" w14:textId="77777777">
        <w:tc>
          <w:tcPr>
            <w:tcW w:w="567" w:type="dxa"/>
            <w:vMerge w:val="restart"/>
            <w:vAlign w:val="center"/>
          </w:tcPr>
          <w:p w14:paraId="2873D5A4" w14:textId="77777777" w:rsidR="00454A29" w:rsidRDefault="00454A29">
            <w:pPr>
              <w:pStyle w:val="ConsPlusNormal"/>
              <w:jc w:val="center"/>
            </w:pPr>
            <w:r>
              <w:t>178</w:t>
            </w:r>
          </w:p>
        </w:tc>
        <w:tc>
          <w:tcPr>
            <w:tcW w:w="3345" w:type="dxa"/>
            <w:vMerge w:val="restart"/>
            <w:vAlign w:val="center"/>
          </w:tcPr>
          <w:p w14:paraId="7ED7B191" w14:textId="77777777" w:rsidR="00454A29" w:rsidRDefault="00454A29">
            <w:pPr>
              <w:pStyle w:val="ConsPlusNormal"/>
              <w:jc w:val="center"/>
            </w:pPr>
            <w:r>
              <w:t>Школа на 350 учащихся в г. Якутске, ул. Чайковского 113, квартал 86</w:t>
            </w:r>
          </w:p>
        </w:tc>
        <w:tc>
          <w:tcPr>
            <w:tcW w:w="1701" w:type="dxa"/>
            <w:vAlign w:val="center"/>
          </w:tcPr>
          <w:p w14:paraId="33C40256" w14:textId="77777777" w:rsidR="00454A29" w:rsidRDefault="00454A29">
            <w:pPr>
              <w:pStyle w:val="ConsPlusNormal"/>
              <w:jc w:val="center"/>
            </w:pPr>
            <w:r>
              <w:t>2020 - 2026 годы - всего</w:t>
            </w:r>
          </w:p>
        </w:tc>
        <w:tc>
          <w:tcPr>
            <w:tcW w:w="1417" w:type="dxa"/>
            <w:vMerge w:val="restart"/>
            <w:vAlign w:val="center"/>
          </w:tcPr>
          <w:p w14:paraId="019A5E0F" w14:textId="77777777" w:rsidR="00454A29" w:rsidRDefault="00454A29">
            <w:pPr>
              <w:pStyle w:val="ConsPlusNormal"/>
              <w:jc w:val="center"/>
            </w:pPr>
            <w:r>
              <w:t>428 124,02</w:t>
            </w:r>
          </w:p>
        </w:tc>
        <w:tc>
          <w:tcPr>
            <w:tcW w:w="2204" w:type="dxa"/>
            <w:vMerge w:val="restart"/>
            <w:vAlign w:val="center"/>
          </w:tcPr>
          <w:p w14:paraId="1A171D80" w14:textId="77777777" w:rsidR="00454A29" w:rsidRDefault="00454A29">
            <w:pPr>
              <w:pStyle w:val="ConsPlusNormal"/>
            </w:pPr>
          </w:p>
        </w:tc>
        <w:tc>
          <w:tcPr>
            <w:tcW w:w="1417" w:type="dxa"/>
            <w:vMerge w:val="restart"/>
            <w:vAlign w:val="center"/>
          </w:tcPr>
          <w:p w14:paraId="03D365E3" w14:textId="77777777" w:rsidR="00454A29" w:rsidRDefault="00454A29">
            <w:pPr>
              <w:pStyle w:val="ConsPlusNormal"/>
              <w:jc w:val="center"/>
            </w:pPr>
            <w:r>
              <w:t>350</w:t>
            </w:r>
          </w:p>
        </w:tc>
        <w:tc>
          <w:tcPr>
            <w:tcW w:w="2324" w:type="dxa"/>
            <w:vMerge w:val="restart"/>
            <w:vAlign w:val="center"/>
          </w:tcPr>
          <w:p w14:paraId="5FF85EC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65938BF" w14:textId="77777777" w:rsidR="00454A29" w:rsidRDefault="00454A29">
            <w:pPr>
              <w:pStyle w:val="ConsPlusNormal"/>
              <w:jc w:val="center"/>
            </w:pPr>
            <w:r>
              <w:t>428 124,02</w:t>
            </w:r>
          </w:p>
        </w:tc>
        <w:tc>
          <w:tcPr>
            <w:tcW w:w="1814" w:type="dxa"/>
            <w:vAlign w:val="center"/>
          </w:tcPr>
          <w:p w14:paraId="37E2D2F3" w14:textId="77777777" w:rsidR="00454A29" w:rsidRDefault="00454A29">
            <w:pPr>
              <w:pStyle w:val="ConsPlusNormal"/>
              <w:jc w:val="center"/>
            </w:pPr>
            <w:r>
              <w:t>5 274,49</w:t>
            </w:r>
          </w:p>
        </w:tc>
        <w:tc>
          <w:tcPr>
            <w:tcW w:w="1701" w:type="dxa"/>
            <w:vAlign w:val="center"/>
          </w:tcPr>
          <w:p w14:paraId="13C38CC5" w14:textId="77777777" w:rsidR="00454A29" w:rsidRDefault="00454A29">
            <w:pPr>
              <w:pStyle w:val="ConsPlusNormal"/>
              <w:jc w:val="center"/>
            </w:pPr>
            <w:r>
              <w:t>522 174,31</w:t>
            </w:r>
          </w:p>
        </w:tc>
        <w:tc>
          <w:tcPr>
            <w:tcW w:w="1701" w:type="dxa"/>
            <w:vAlign w:val="center"/>
          </w:tcPr>
          <w:p w14:paraId="4FFC28E6" w14:textId="77777777" w:rsidR="00454A29" w:rsidRDefault="00454A29">
            <w:pPr>
              <w:pStyle w:val="ConsPlusNormal"/>
              <w:jc w:val="center"/>
            </w:pPr>
            <w:r>
              <w:t>-</w:t>
            </w:r>
          </w:p>
        </w:tc>
        <w:tc>
          <w:tcPr>
            <w:tcW w:w="1814" w:type="dxa"/>
            <w:vAlign w:val="center"/>
          </w:tcPr>
          <w:p w14:paraId="17B9D666" w14:textId="77777777" w:rsidR="00454A29" w:rsidRDefault="00454A29">
            <w:pPr>
              <w:pStyle w:val="ConsPlusNormal"/>
              <w:jc w:val="center"/>
            </w:pPr>
            <w:r>
              <w:t>-</w:t>
            </w:r>
          </w:p>
        </w:tc>
      </w:tr>
      <w:tr w:rsidR="00454A29" w14:paraId="7D12CAE6" w14:textId="77777777">
        <w:tc>
          <w:tcPr>
            <w:tcW w:w="567" w:type="dxa"/>
            <w:vMerge/>
          </w:tcPr>
          <w:p w14:paraId="1C9A428D" w14:textId="77777777" w:rsidR="00454A29" w:rsidRDefault="00454A29"/>
        </w:tc>
        <w:tc>
          <w:tcPr>
            <w:tcW w:w="3345" w:type="dxa"/>
            <w:vMerge/>
          </w:tcPr>
          <w:p w14:paraId="64F7DA76" w14:textId="77777777" w:rsidR="00454A29" w:rsidRDefault="00454A29"/>
        </w:tc>
        <w:tc>
          <w:tcPr>
            <w:tcW w:w="1701" w:type="dxa"/>
            <w:vAlign w:val="center"/>
          </w:tcPr>
          <w:p w14:paraId="1384C666" w14:textId="77777777" w:rsidR="00454A29" w:rsidRDefault="00454A29">
            <w:pPr>
              <w:pStyle w:val="ConsPlusNormal"/>
              <w:jc w:val="center"/>
            </w:pPr>
            <w:r>
              <w:t>2020</w:t>
            </w:r>
          </w:p>
        </w:tc>
        <w:tc>
          <w:tcPr>
            <w:tcW w:w="1417" w:type="dxa"/>
            <w:vMerge/>
          </w:tcPr>
          <w:p w14:paraId="67BBEF40" w14:textId="77777777" w:rsidR="00454A29" w:rsidRDefault="00454A29"/>
        </w:tc>
        <w:tc>
          <w:tcPr>
            <w:tcW w:w="2204" w:type="dxa"/>
            <w:vMerge/>
          </w:tcPr>
          <w:p w14:paraId="2FD64CEF" w14:textId="77777777" w:rsidR="00454A29" w:rsidRDefault="00454A29"/>
        </w:tc>
        <w:tc>
          <w:tcPr>
            <w:tcW w:w="1417" w:type="dxa"/>
            <w:vMerge/>
          </w:tcPr>
          <w:p w14:paraId="4B5228C4" w14:textId="77777777" w:rsidR="00454A29" w:rsidRDefault="00454A29"/>
        </w:tc>
        <w:tc>
          <w:tcPr>
            <w:tcW w:w="2324" w:type="dxa"/>
            <w:vMerge/>
          </w:tcPr>
          <w:p w14:paraId="29F2CD08" w14:textId="77777777" w:rsidR="00454A29" w:rsidRDefault="00454A29"/>
        </w:tc>
        <w:tc>
          <w:tcPr>
            <w:tcW w:w="1701" w:type="dxa"/>
            <w:vAlign w:val="center"/>
          </w:tcPr>
          <w:p w14:paraId="62B07FF9" w14:textId="77777777" w:rsidR="00454A29" w:rsidRDefault="00454A29">
            <w:pPr>
              <w:pStyle w:val="ConsPlusNormal"/>
            </w:pPr>
          </w:p>
        </w:tc>
        <w:tc>
          <w:tcPr>
            <w:tcW w:w="1814" w:type="dxa"/>
            <w:vAlign w:val="center"/>
          </w:tcPr>
          <w:p w14:paraId="282A6C05" w14:textId="77777777" w:rsidR="00454A29" w:rsidRDefault="00454A29">
            <w:pPr>
              <w:pStyle w:val="ConsPlusNormal"/>
            </w:pPr>
          </w:p>
        </w:tc>
        <w:tc>
          <w:tcPr>
            <w:tcW w:w="1701" w:type="dxa"/>
            <w:vAlign w:val="center"/>
          </w:tcPr>
          <w:p w14:paraId="7E7EB941" w14:textId="77777777" w:rsidR="00454A29" w:rsidRDefault="00454A29">
            <w:pPr>
              <w:pStyle w:val="ConsPlusNormal"/>
            </w:pPr>
          </w:p>
        </w:tc>
        <w:tc>
          <w:tcPr>
            <w:tcW w:w="1701" w:type="dxa"/>
            <w:vAlign w:val="center"/>
          </w:tcPr>
          <w:p w14:paraId="5E95F0B7" w14:textId="77777777" w:rsidR="00454A29" w:rsidRDefault="00454A29">
            <w:pPr>
              <w:pStyle w:val="ConsPlusNormal"/>
            </w:pPr>
          </w:p>
        </w:tc>
        <w:tc>
          <w:tcPr>
            <w:tcW w:w="1814" w:type="dxa"/>
            <w:vAlign w:val="center"/>
          </w:tcPr>
          <w:p w14:paraId="3940914B" w14:textId="77777777" w:rsidR="00454A29" w:rsidRDefault="00454A29">
            <w:pPr>
              <w:pStyle w:val="ConsPlusNormal"/>
            </w:pPr>
          </w:p>
        </w:tc>
      </w:tr>
      <w:tr w:rsidR="00454A29" w14:paraId="3F9F80C7" w14:textId="77777777">
        <w:tc>
          <w:tcPr>
            <w:tcW w:w="567" w:type="dxa"/>
            <w:vMerge/>
          </w:tcPr>
          <w:p w14:paraId="54FEE5E5" w14:textId="77777777" w:rsidR="00454A29" w:rsidRDefault="00454A29"/>
        </w:tc>
        <w:tc>
          <w:tcPr>
            <w:tcW w:w="3345" w:type="dxa"/>
            <w:vMerge/>
          </w:tcPr>
          <w:p w14:paraId="51C66446" w14:textId="77777777" w:rsidR="00454A29" w:rsidRDefault="00454A29"/>
        </w:tc>
        <w:tc>
          <w:tcPr>
            <w:tcW w:w="1701" w:type="dxa"/>
            <w:vAlign w:val="center"/>
          </w:tcPr>
          <w:p w14:paraId="4301A25A" w14:textId="77777777" w:rsidR="00454A29" w:rsidRDefault="00454A29">
            <w:pPr>
              <w:pStyle w:val="ConsPlusNormal"/>
              <w:jc w:val="center"/>
            </w:pPr>
            <w:r>
              <w:t>2021</w:t>
            </w:r>
          </w:p>
        </w:tc>
        <w:tc>
          <w:tcPr>
            <w:tcW w:w="1417" w:type="dxa"/>
            <w:vMerge/>
          </w:tcPr>
          <w:p w14:paraId="30BE3721" w14:textId="77777777" w:rsidR="00454A29" w:rsidRDefault="00454A29"/>
        </w:tc>
        <w:tc>
          <w:tcPr>
            <w:tcW w:w="2204" w:type="dxa"/>
            <w:vMerge/>
          </w:tcPr>
          <w:p w14:paraId="0C55BE10" w14:textId="77777777" w:rsidR="00454A29" w:rsidRDefault="00454A29"/>
        </w:tc>
        <w:tc>
          <w:tcPr>
            <w:tcW w:w="1417" w:type="dxa"/>
            <w:vMerge/>
          </w:tcPr>
          <w:p w14:paraId="506933D1" w14:textId="77777777" w:rsidR="00454A29" w:rsidRDefault="00454A29"/>
        </w:tc>
        <w:tc>
          <w:tcPr>
            <w:tcW w:w="2324" w:type="dxa"/>
            <w:vMerge/>
          </w:tcPr>
          <w:p w14:paraId="6EF5C81E" w14:textId="77777777" w:rsidR="00454A29" w:rsidRDefault="00454A29"/>
        </w:tc>
        <w:tc>
          <w:tcPr>
            <w:tcW w:w="1701" w:type="dxa"/>
            <w:vAlign w:val="center"/>
          </w:tcPr>
          <w:p w14:paraId="660B1604" w14:textId="77777777" w:rsidR="00454A29" w:rsidRDefault="00454A29">
            <w:pPr>
              <w:pStyle w:val="ConsPlusNormal"/>
              <w:jc w:val="center"/>
            </w:pPr>
            <w:r>
              <w:t>-</w:t>
            </w:r>
          </w:p>
        </w:tc>
        <w:tc>
          <w:tcPr>
            <w:tcW w:w="1814" w:type="dxa"/>
            <w:vAlign w:val="center"/>
          </w:tcPr>
          <w:p w14:paraId="52587FAD" w14:textId="77777777" w:rsidR="00454A29" w:rsidRDefault="00454A29">
            <w:pPr>
              <w:pStyle w:val="ConsPlusNormal"/>
            </w:pPr>
          </w:p>
        </w:tc>
        <w:tc>
          <w:tcPr>
            <w:tcW w:w="1701" w:type="dxa"/>
            <w:vAlign w:val="center"/>
          </w:tcPr>
          <w:p w14:paraId="28270317" w14:textId="77777777" w:rsidR="00454A29" w:rsidRDefault="00454A29">
            <w:pPr>
              <w:pStyle w:val="ConsPlusNormal"/>
            </w:pPr>
          </w:p>
        </w:tc>
        <w:tc>
          <w:tcPr>
            <w:tcW w:w="1701" w:type="dxa"/>
            <w:vAlign w:val="center"/>
          </w:tcPr>
          <w:p w14:paraId="7BAE4AC4" w14:textId="77777777" w:rsidR="00454A29" w:rsidRDefault="00454A29">
            <w:pPr>
              <w:pStyle w:val="ConsPlusNormal"/>
            </w:pPr>
          </w:p>
        </w:tc>
        <w:tc>
          <w:tcPr>
            <w:tcW w:w="1814" w:type="dxa"/>
            <w:vAlign w:val="center"/>
          </w:tcPr>
          <w:p w14:paraId="687730FE" w14:textId="77777777" w:rsidR="00454A29" w:rsidRDefault="00454A29">
            <w:pPr>
              <w:pStyle w:val="ConsPlusNormal"/>
            </w:pPr>
          </w:p>
        </w:tc>
      </w:tr>
      <w:tr w:rsidR="00454A29" w14:paraId="6553276A" w14:textId="77777777">
        <w:tc>
          <w:tcPr>
            <w:tcW w:w="567" w:type="dxa"/>
            <w:vMerge/>
          </w:tcPr>
          <w:p w14:paraId="651C1979" w14:textId="77777777" w:rsidR="00454A29" w:rsidRDefault="00454A29"/>
        </w:tc>
        <w:tc>
          <w:tcPr>
            <w:tcW w:w="3345" w:type="dxa"/>
            <w:vMerge/>
          </w:tcPr>
          <w:p w14:paraId="020A263B" w14:textId="77777777" w:rsidR="00454A29" w:rsidRDefault="00454A29"/>
        </w:tc>
        <w:tc>
          <w:tcPr>
            <w:tcW w:w="1701" w:type="dxa"/>
            <w:vAlign w:val="center"/>
          </w:tcPr>
          <w:p w14:paraId="5A694ECB" w14:textId="77777777" w:rsidR="00454A29" w:rsidRDefault="00454A29">
            <w:pPr>
              <w:pStyle w:val="ConsPlusNormal"/>
              <w:jc w:val="center"/>
            </w:pPr>
            <w:r>
              <w:t>2022</w:t>
            </w:r>
          </w:p>
        </w:tc>
        <w:tc>
          <w:tcPr>
            <w:tcW w:w="1417" w:type="dxa"/>
            <w:vMerge/>
          </w:tcPr>
          <w:p w14:paraId="1500A5C8" w14:textId="77777777" w:rsidR="00454A29" w:rsidRDefault="00454A29"/>
        </w:tc>
        <w:tc>
          <w:tcPr>
            <w:tcW w:w="2204" w:type="dxa"/>
            <w:vMerge/>
          </w:tcPr>
          <w:p w14:paraId="54E4A094" w14:textId="77777777" w:rsidR="00454A29" w:rsidRDefault="00454A29"/>
        </w:tc>
        <w:tc>
          <w:tcPr>
            <w:tcW w:w="1417" w:type="dxa"/>
            <w:vMerge/>
          </w:tcPr>
          <w:p w14:paraId="61F12D13" w14:textId="77777777" w:rsidR="00454A29" w:rsidRDefault="00454A29"/>
        </w:tc>
        <w:tc>
          <w:tcPr>
            <w:tcW w:w="2324" w:type="dxa"/>
            <w:vMerge/>
          </w:tcPr>
          <w:p w14:paraId="7C5B0D89" w14:textId="77777777" w:rsidR="00454A29" w:rsidRDefault="00454A29"/>
        </w:tc>
        <w:tc>
          <w:tcPr>
            <w:tcW w:w="1701" w:type="dxa"/>
            <w:vAlign w:val="center"/>
          </w:tcPr>
          <w:p w14:paraId="4C234697" w14:textId="77777777" w:rsidR="00454A29" w:rsidRDefault="00454A29">
            <w:pPr>
              <w:pStyle w:val="ConsPlusNormal"/>
            </w:pPr>
          </w:p>
        </w:tc>
        <w:tc>
          <w:tcPr>
            <w:tcW w:w="1814" w:type="dxa"/>
            <w:vAlign w:val="center"/>
          </w:tcPr>
          <w:p w14:paraId="0057F895" w14:textId="77777777" w:rsidR="00454A29" w:rsidRDefault="00454A29">
            <w:pPr>
              <w:pStyle w:val="ConsPlusNormal"/>
            </w:pPr>
          </w:p>
        </w:tc>
        <w:tc>
          <w:tcPr>
            <w:tcW w:w="1701" w:type="dxa"/>
            <w:vAlign w:val="center"/>
          </w:tcPr>
          <w:p w14:paraId="49E82AEB" w14:textId="77777777" w:rsidR="00454A29" w:rsidRDefault="00454A29">
            <w:pPr>
              <w:pStyle w:val="ConsPlusNormal"/>
            </w:pPr>
          </w:p>
        </w:tc>
        <w:tc>
          <w:tcPr>
            <w:tcW w:w="1701" w:type="dxa"/>
            <w:vAlign w:val="center"/>
          </w:tcPr>
          <w:p w14:paraId="6AC35B74" w14:textId="77777777" w:rsidR="00454A29" w:rsidRDefault="00454A29">
            <w:pPr>
              <w:pStyle w:val="ConsPlusNormal"/>
            </w:pPr>
          </w:p>
        </w:tc>
        <w:tc>
          <w:tcPr>
            <w:tcW w:w="1814" w:type="dxa"/>
            <w:vAlign w:val="center"/>
          </w:tcPr>
          <w:p w14:paraId="63985073" w14:textId="77777777" w:rsidR="00454A29" w:rsidRDefault="00454A29">
            <w:pPr>
              <w:pStyle w:val="ConsPlusNormal"/>
            </w:pPr>
          </w:p>
        </w:tc>
      </w:tr>
      <w:tr w:rsidR="00454A29" w14:paraId="1322A9A9" w14:textId="77777777">
        <w:tc>
          <w:tcPr>
            <w:tcW w:w="567" w:type="dxa"/>
            <w:vMerge/>
          </w:tcPr>
          <w:p w14:paraId="421BECF7" w14:textId="77777777" w:rsidR="00454A29" w:rsidRDefault="00454A29"/>
        </w:tc>
        <w:tc>
          <w:tcPr>
            <w:tcW w:w="3345" w:type="dxa"/>
            <w:vMerge/>
          </w:tcPr>
          <w:p w14:paraId="445EA94E" w14:textId="77777777" w:rsidR="00454A29" w:rsidRDefault="00454A29"/>
        </w:tc>
        <w:tc>
          <w:tcPr>
            <w:tcW w:w="1701" w:type="dxa"/>
            <w:vAlign w:val="center"/>
          </w:tcPr>
          <w:p w14:paraId="7E91EC8D" w14:textId="77777777" w:rsidR="00454A29" w:rsidRDefault="00454A29">
            <w:pPr>
              <w:pStyle w:val="ConsPlusNormal"/>
              <w:jc w:val="center"/>
            </w:pPr>
            <w:r>
              <w:t>2023</w:t>
            </w:r>
          </w:p>
        </w:tc>
        <w:tc>
          <w:tcPr>
            <w:tcW w:w="1417" w:type="dxa"/>
            <w:vMerge/>
          </w:tcPr>
          <w:p w14:paraId="3F2CC78C" w14:textId="77777777" w:rsidR="00454A29" w:rsidRDefault="00454A29"/>
        </w:tc>
        <w:tc>
          <w:tcPr>
            <w:tcW w:w="2204" w:type="dxa"/>
            <w:vMerge/>
          </w:tcPr>
          <w:p w14:paraId="33F0161C" w14:textId="77777777" w:rsidR="00454A29" w:rsidRDefault="00454A29"/>
        </w:tc>
        <w:tc>
          <w:tcPr>
            <w:tcW w:w="1417" w:type="dxa"/>
            <w:vMerge/>
          </w:tcPr>
          <w:p w14:paraId="1C8CF841" w14:textId="77777777" w:rsidR="00454A29" w:rsidRDefault="00454A29"/>
        </w:tc>
        <w:tc>
          <w:tcPr>
            <w:tcW w:w="2324" w:type="dxa"/>
            <w:vMerge/>
          </w:tcPr>
          <w:p w14:paraId="671CA569" w14:textId="77777777" w:rsidR="00454A29" w:rsidRDefault="00454A29"/>
        </w:tc>
        <w:tc>
          <w:tcPr>
            <w:tcW w:w="1701" w:type="dxa"/>
            <w:vAlign w:val="center"/>
          </w:tcPr>
          <w:p w14:paraId="51029824" w14:textId="77777777" w:rsidR="00454A29" w:rsidRDefault="00454A29">
            <w:pPr>
              <w:pStyle w:val="ConsPlusNormal"/>
            </w:pPr>
          </w:p>
        </w:tc>
        <w:tc>
          <w:tcPr>
            <w:tcW w:w="1814" w:type="dxa"/>
            <w:vAlign w:val="center"/>
          </w:tcPr>
          <w:p w14:paraId="6B93859A" w14:textId="77777777" w:rsidR="00454A29" w:rsidRDefault="00454A29">
            <w:pPr>
              <w:pStyle w:val="ConsPlusNormal"/>
            </w:pPr>
          </w:p>
        </w:tc>
        <w:tc>
          <w:tcPr>
            <w:tcW w:w="1701" w:type="dxa"/>
            <w:vAlign w:val="center"/>
          </w:tcPr>
          <w:p w14:paraId="15794DB3" w14:textId="77777777" w:rsidR="00454A29" w:rsidRDefault="00454A29">
            <w:pPr>
              <w:pStyle w:val="ConsPlusNormal"/>
            </w:pPr>
          </w:p>
        </w:tc>
        <w:tc>
          <w:tcPr>
            <w:tcW w:w="1701" w:type="dxa"/>
            <w:vAlign w:val="center"/>
          </w:tcPr>
          <w:p w14:paraId="69A67D1A" w14:textId="77777777" w:rsidR="00454A29" w:rsidRDefault="00454A29">
            <w:pPr>
              <w:pStyle w:val="ConsPlusNormal"/>
            </w:pPr>
          </w:p>
        </w:tc>
        <w:tc>
          <w:tcPr>
            <w:tcW w:w="1814" w:type="dxa"/>
            <w:vAlign w:val="center"/>
          </w:tcPr>
          <w:p w14:paraId="331A4DAD" w14:textId="77777777" w:rsidR="00454A29" w:rsidRDefault="00454A29">
            <w:pPr>
              <w:pStyle w:val="ConsPlusNormal"/>
            </w:pPr>
          </w:p>
        </w:tc>
      </w:tr>
      <w:tr w:rsidR="00454A29" w14:paraId="3DC70707" w14:textId="77777777">
        <w:tc>
          <w:tcPr>
            <w:tcW w:w="567" w:type="dxa"/>
            <w:vMerge/>
          </w:tcPr>
          <w:p w14:paraId="33D37AA2" w14:textId="77777777" w:rsidR="00454A29" w:rsidRDefault="00454A29"/>
        </w:tc>
        <w:tc>
          <w:tcPr>
            <w:tcW w:w="3345" w:type="dxa"/>
            <w:vMerge/>
          </w:tcPr>
          <w:p w14:paraId="53146235" w14:textId="77777777" w:rsidR="00454A29" w:rsidRDefault="00454A29"/>
        </w:tc>
        <w:tc>
          <w:tcPr>
            <w:tcW w:w="1701" w:type="dxa"/>
            <w:vAlign w:val="center"/>
          </w:tcPr>
          <w:p w14:paraId="50085E6C" w14:textId="77777777" w:rsidR="00454A29" w:rsidRDefault="00454A29">
            <w:pPr>
              <w:pStyle w:val="ConsPlusNormal"/>
              <w:jc w:val="center"/>
            </w:pPr>
            <w:r>
              <w:t>2024</w:t>
            </w:r>
          </w:p>
        </w:tc>
        <w:tc>
          <w:tcPr>
            <w:tcW w:w="1417" w:type="dxa"/>
            <w:vMerge/>
          </w:tcPr>
          <w:p w14:paraId="6C1B46E6" w14:textId="77777777" w:rsidR="00454A29" w:rsidRDefault="00454A29"/>
        </w:tc>
        <w:tc>
          <w:tcPr>
            <w:tcW w:w="2204" w:type="dxa"/>
            <w:vMerge/>
          </w:tcPr>
          <w:p w14:paraId="6D7BD472" w14:textId="77777777" w:rsidR="00454A29" w:rsidRDefault="00454A29"/>
        </w:tc>
        <w:tc>
          <w:tcPr>
            <w:tcW w:w="1417" w:type="dxa"/>
            <w:vMerge/>
          </w:tcPr>
          <w:p w14:paraId="42921306" w14:textId="77777777" w:rsidR="00454A29" w:rsidRDefault="00454A29"/>
        </w:tc>
        <w:tc>
          <w:tcPr>
            <w:tcW w:w="2324" w:type="dxa"/>
            <w:vMerge/>
          </w:tcPr>
          <w:p w14:paraId="78F09F86" w14:textId="77777777" w:rsidR="00454A29" w:rsidRDefault="00454A29"/>
        </w:tc>
        <w:tc>
          <w:tcPr>
            <w:tcW w:w="1701" w:type="dxa"/>
            <w:vAlign w:val="center"/>
          </w:tcPr>
          <w:p w14:paraId="4224C96C" w14:textId="77777777" w:rsidR="00454A29" w:rsidRDefault="00454A29">
            <w:pPr>
              <w:pStyle w:val="ConsPlusNormal"/>
            </w:pPr>
          </w:p>
        </w:tc>
        <w:tc>
          <w:tcPr>
            <w:tcW w:w="1814" w:type="dxa"/>
            <w:vAlign w:val="center"/>
          </w:tcPr>
          <w:p w14:paraId="185003E3" w14:textId="77777777" w:rsidR="00454A29" w:rsidRDefault="00454A29">
            <w:pPr>
              <w:pStyle w:val="ConsPlusNormal"/>
            </w:pPr>
          </w:p>
        </w:tc>
        <w:tc>
          <w:tcPr>
            <w:tcW w:w="1701" w:type="dxa"/>
            <w:vAlign w:val="center"/>
          </w:tcPr>
          <w:p w14:paraId="50B1D229" w14:textId="77777777" w:rsidR="00454A29" w:rsidRDefault="00454A29">
            <w:pPr>
              <w:pStyle w:val="ConsPlusNormal"/>
            </w:pPr>
          </w:p>
        </w:tc>
        <w:tc>
          <w:tcPr>
            <w:tcW w:w="1701" w:type="dxa"/>
            <w:vAlign w:val="center"/>
          </w:tcPr>
          <w:p w14:paraId="50D85FA9" w14:textId="77777777" w:rsidR="00454A29" w:rsidRDefault="00454A29">
            <w:pPr>
              <w:pStyle w:val="ConsPlusNormal"/>
            </w:pPr>
          </w:p>
        </w:tc>
        <w:tc>
          <w:tcPr>
            <w:tcW w:w="1814" w:type="dxa"/>
            <w:vAlign w:val="center"/>
          </w:tcPr>
          <w:p w14:paraId="17DABE66" w14:textId="77777777" w:rsidR="00454A29" w:rsidRDefault="00454A29">
            <w:pPr>
              <w:pStyle w:val="ConsPlusNormal"/>
            </w:pPr>
          </w:p>
        </w:tc>
      </w:tr>
      <w:tr w:rsidR="00454A29" w14:paraId="70BD57C1" w14:textId="77777777">
        <w:tc>
          <w:tcPr>
            <w:tcW w:w="567" w:type="dxa"/>
            <w:vMerge/>
          </w:tcPr>
          <w:p w14:paraId="17656552" w14:textId="77777777" w:rsidR="00454A29" w:rsidRDefault="00454A29"/>
        </w:tc>
        <w:tc>
          <w:tcPr>
            <w:tcW w:w="3345" w:type="dxa"/>
            <w:vMerge/>
          </w:tcPr>
          <w:p w14:paraId="27ECC319" w14:textId="77777777" w:rsidR="00454A29" w:rsidRDefault="00454A29"/>
        </w:tc>
        <w:tc>
          <w:tcPr>
            <w:tcW w:w="1701" w:type="dxa"/>
            <w:vAlign w:val="center"/>
          </w:tcPr>
          <w:p w14:paraId="4105546C" w14:textId="77777777" w:rsidR="00454A29" w:rsidRDefault="00454A29">
            <w:pPr>
              <w:pStyle w:val="ConsPlusNormal"/>
              <w:jc w:val="center"/>
            </w:pPr>
            <w:r>
              <w:t>2025</w:t>
            </w:r>
          </w:p>
        </w:tc>
        <w:tc>
          <w:tcPr>
            <w:tcW w:w="1417" w:type="dxa"/>
            <w:vMerge/>
          </w:tcPr>
          <w:p w14:paraId="048491DF" w14:textId="77777777" w:rsidR="00454A29" w:rsidRDefault="00454A29"/>
        </w:tc>
        <w:tc>
          <w:tcPr>
            <w:tcW w:w="2204" w:type="dxa"/>
            <w:vMerge/>
          </w:tcPr>
          <w:p w14:paraId="6CDCDB4B" w14:textId="77777777" w:rsidR="00454A29" w:rsidRDefault="00454A29"/>
        </w:tc>
        <w:tc>
          <w:tcPr>
            <w:tcW w:w="1417" w:type="dxa"/>
            <w:vMerge/>
          </w:tcPr>
          <w:p w14:paraId="6FD5D0CB" w14:textId="77777777" w:rsidR="00454A29" w:rsidRDefault="00454A29"/>
        </w:tc>
        <w:tc>
          <w:tcPr>
            <w:tcW w:w="2324" w:type="dxa"/>
            <w:vMerge/>
          </w:tcPr>
          <w:p w14:paraId="78B7E205" w14:textId="77777777" w:rsidR="00454A29" w:rsidRDefault="00454A29"/>
        </w:tc>
        <w:tc>
          <w:tcPr>
            <w:tcW w:w="1701" w:type="dxa"/>
            <w:vAlign w:val="center"/>
          </w:tcPr>
          <w:p w14:paraId="4166D7C5" w14:textId="77777777" w:rsidR="00454A29" w:rsidRDefault="00454A29">
            <w:pPr>
              <w:pStyle w:val="ConsPlusNormal"/>
            </w:pPr>
          </w:p>
        </w:tc>
        <w:tc>
          <w:tcPr>
            <w:tcW w:w="1814" w:type="dxa"/>
            <w:vAlign w:val="center"/>
          </w:tcPr>
          <w:p w14:paraId="21708772" w14:textId="77777777" w:rsidR="00454A29" w:rsidRDefault="00454A29">
            <w:pPr>
              <w:pStyle w:val="ConsPlusNormal"/>
            </w:pPr>
          </w:p>
        </w:tc>
        <w:tc>
          <w:tcPr>
            <w:tcW w:w="1701" w:type="dxa"/>
            <w:vAlign w:val="center"/>
          </w:tcPr>
          <w:p w14:paraId="7508E2F3" w14:textId="77777777" w:rsidR="00454A29" w:rsidRDefault="00454A29">
            <w:pPr>
              <w:pStyle w:val="ConsPlusNormal"/>
            </w:pPr>
          </w:p>
        </w:tc>
        <w:tc>
          <w:tcPr>
            <w:tcW w:w="1701" w:type="dxa"/>
            <w:vAlign w:val="center"/>
          </w:tcPr>
          <w:p w14:paraId="70F76981" w14:textId="77777777" w:rsidR="00454A29" w:rsidRDefault="00454A29">
            <w:pPr>
              <w:pStyle w:val="ConsPlusNormal"/>
            </w:pPr>
          </w:p>
        </w:tc>
        <w:tc>
          <w:tcPr>
            <w:tcW w:w="1814" w:type="dxa"/>
            <w:vAlign w:val="center"/>
          </w:tcPr>
          <w:p w14:paraId="5E9762FC" w14:textId="77777777" w:rsidR="00454A29" w:rsidRDefault="00454A29">
            <w:pPr>
              <w:pStyle w:val="ConsPlusNormal"/>
            </w:pPr>
          </w:p>
        </w:tc>
      </w:tr>
      <w:tr w:rsidR="00454A29" w14:paraId="44EB4832" w14:textId="77777777">
        <w:tc>
          <w:tcPr>
            <w:tcW w:w="567" w:type="dxa"/>
            <w:vMerge/>
          </w:tcPr>
          <w:p w14:paraId="2ADC6AC5" w14:textId="77777777" w:rsidR="00454A29" w:rsidRDefault="00454A29"/>
        </w:tc>
        <w:tc>
          <w:tcPr>
            <w:tcW w:w="3345" w:type="dxa"/>
            <w:vMerge/>
          </w:tcPr>
          <w:p w14:paraId="64F8D185" w14:textId="77777777" w:rsidR="00454A29" w:rsidRDefault="00454A29"/>
        </w:tc>
        <w:tc>
          <w:tcPr>
            <w:tcW w:w="1701" w:type="dxa"/>
            <w:vAlign w:val="center"/>
          </w:tcPr>
          <w:p w14:paraId="388ABFDF" w14:textId="77777777" w:rsidR="00454A29" w:rsidRDefault="00454A29">
            <w:pPr>
              <w:pStyle w:val="ConsPlusNormal"/>
              <w:jc w:val="center"/>
            </w:pPr>
            <w:r>
              <w:t>2026</w:t>
            </w:r>
          </w:p>
        </w:tc>
        <w:tc>
          <w:tcPr>
            <w:tcW w:w="1417" w:type="dxa"/>
            <w:vMerge/>
          </w:tcPr>
          <w:p w14:paraId="3DEF9EB6" w14:textId="77777777" w:rsidR="00454A29" w:rsidRDefault="00454A29"/>
        </w:tc>
        <w:tc>
          <w:tcPr>
            <w:tcW w:w="2204" w:type="dxa"/>
            <w:vMerge/>
          </w:tcPr>
          <w:p w14:paraId="2CA877A5" w14:textId="77777777" w:rsidR="00454A29" w:rsidRDefault="00454A29"/>
        </w:tc>
        <w:tc>
          <w:tcPr>
            <w:tcW w:w="1417" w:type="dxa"/>
            <w:vMerge/>
          </w:tcPr>
          <w:p w14:paraId="5602D260" w14:textId="77777777" w:rsidR="00454A29" w:rsidRDefault="00454A29"/>
        </w:tc>
        <w:tc>
          <w:tcPr>
            <w:tcW w:w="2324" w:type="dxa"/>
            <w:vMerge/>
          </w:tcPr>
          <w:p w14:paraId="454D9A1F" w14:textId="77777777" w:rsidR="00454A29" w:rsidRDefault="00454A29"/>
        </w:tc>
        <w:tc>
          <w:tcPr>
            <w:tcW w:w="1701" w:type="dxa"/>
            <w:vAlign w:val="center"/>
          </w:tcPr>
          <w:p w14:paraId="4D1E6AA8" w14:textId="77777777" w:rsidR="00454A29" w:rsidRDefault="00454A29">
            <w:pPr>
              <w:pStyle w:val="ConsPlusNormal"/>
              <w:jc w:val="center"/>
            </w:pPr>
            <w:r>
              <w:t>428 124,02</w:t>
            </w:r>
          </w:p>
        </w:tc>
        <w:tc>
          <w:tcPr>
            <w:tcW w:w="1814" w:type="dxa"/>
            <w:vAlign w:val="center"/>
          </w:tcPr>
          <w:p w14:paraId="22EE8F3E" w14:textId="77777777" w:rsidR="00454A29" w:rsidRDefault="00454A29">
            <w:pPr>
              <w:pStyle w:val="ConsPlusNormal"/>
              <w:jc w:val="center"/>
            </w:pPr>
            <w:r>
              <w:t>5 274,49</w:t>
            </w:r>
          </w:p>
        </w:tc>
        <w:tc>
          <w:tcPr>
            <w:tcW w:w="1701" w:type="dxa"/>
            <w:vAlign w:val="center"/>
          </w:tcPr>
          <w:p w14:paraId="34F9F9B1" w14:textId="77777777" w:rsidR="00454A29" w:rsidRDefault="00454A29">
            <w:pPr>
              <w:pStyle w:val="ConsPlusNormal"/>
              <w:jc w:val="center"/>
            </w:pPr>
            <w:r>
              <w:t>522 174,31</w:t>
            </w:r>
          </w:p>
        </w:tc>
        <w:tc>
          <w:tcPr>
            <w:tcW w:w="1701" w:type="dxa"/>
            <w:vAlign w:val="center"/>
          </w:tcPr>
          <w:p w14:paraId="74ECCFAB" w14:textId="77777777" w:rsidR="00454A29" w:rsidRDefault="00454A29">
            <w:pPr>
              <w:pStyle w:val="ConsPlusNormal"/>
            </w:pPr>
          </w:p>
        </w:tc>
        <w:tc>
          <w:tcPr>
            <w:tcW w:w="1814" w:type="dxa"/>
            <w:vAlign w:val="center"/>
          </w:tcPr>
          <w:p w14:paraId="3BE7C131" w14:textId="77777777" w:rsidR="00454A29" w:rsidRDefault="00454A29">
            <w:pPr>
              <w:pStyle w:val="ConsPlusNormal"/>
            </w:pPr>
          </w:p>
        </w:tc>
      </w:tr>
      <w:tr w:rsidR="00454A29" w14:paraId="53427458" w14:textId="77777777">
        <w:tc>
          <w:tcPr>
            <w:tcW w:w="567" w:type="dxa"/>
            <w:vMerge w:val="restart"/>
            <w:vAlign w:val="center"/>
          </w:tcPr>
          <w:p w14:paraId="113D8660" w14:textId="77777777" w:rsidR="00454A29" w:rsidRDefault="00454A29">
            <w:pPr>
              <w:pStyle w:val="ConsPlusNormal"/>
              <w:jc w:val="center"/>
            </w:pPr>
            <w:r>
              <w:t>179</w:t>
            </w:r>
          </w:p>
        </w:tc>
        <w:tc>
          <w:tcPr>
            <w:tcW w:w="3345" w:type="dxa"/>
            <w:vMerge w:val="restart"/>
            <w:vAlign w:val="center"/>
          </w:tcPr>
          <w:p w14:paraId="0058CD0C" w14:textId="77777777" w:rsidR="00454A29" w:rsidRDefault="00454A29">
            <w:pPr>
              <w:pStyle w:val="ConsPlusNormal"/>
              <w:jc w:val="center"/>
            </w:pPr>
            <w:r>
              <w:t>Школа на 350 учащихся в г. Якутске, ул. Халтурина, квартал 47</w:t>
            </w:r>
          </w:p>
        </w:tc>
        <w:tc>
          <w:tcPr>
            <w:tcW w:w="1701" w:type="dxa"/>
            <w:vAlign w:val="center"/>
          </w:tcPr>
          <w:p w14:paraId="69BEF35D" w14:textId="77777777" w:rsidR="00454A29" w:rsidRDefault="00454A29">
            <w:pPr>
              <w:pStyle w:val="ConsPlusNormal"/>
              <w:jc w:val="center"/>
            </w:pPr>
            <w:r>
              <w:t>2020 - 2026 годы - всего</w:t>
            </w:r>
          </w:p>
        </w:tc>
        <w:tc>
          <w:tcPr>
            <w:tcW w:w="1417" w:type="dxa"/>
            <w:vMerge w:val="restart"/>
            <w:vAlign w:val="center"/>
          </w:tcPr>
          <w:p w14:paraId="5D8B24DB" w14:textId="77777777" w:rsidR="00454A29" w:rsidRDefault="00454A29">
            <w:pPr>
              <w:pStyle w:val="ConsPlusNormal"/>
              <w:jc w:val="center"/>
            </w:pPr>
            <w:r>
              <w:t>428 124,02</w:t>
            </w:r>
          </w:p>
        </w:tc>
        <w:tc>
          <w:tcPr>
            <w:tcW w:w="2204" w:type="dxa"/>
            <w:vMerge w:val="restart"/>
            <w:vAlign w:val="center"/>
          </w:tcPr>
          <w:p w14:paraId="3E11C744" w14:textId="77777777" w:rsidR="00454A29" w:rsidRDefault="00454A29">
            <w:pPr>
              <w:pStyle w:val="ConsPlusNormal"/>
            </w:pPr>
          </w:p>
        </w:tc>
        <w:tc>
          <w:tcPr>
            <w:tcW w:w="1417" w:type="dxa"/>
            <w:vMerge w:val="restart"/>
            <w:vAlign w:val="center"/>
          </w:tcPr>
          <w:p w14:paraId="4B165026" w14:textId="77777777" w:rsidR="00454A29" w:rsidRDefault="00454A29">
            <w:pPr>
              <w:pStyle w:val="ConsPlusNormal"/>
              <w:jc w:val="center"/>
            </w:pPr>
            <w:r>
              <w:t>350</w:t>
            </w:r>
          </w:p>
        </w:tc>
        <w:tc>
          <w:tcPr>
            <w:tcW w:w="2324" w:type="dxa"/>
            <w:vMerge w:val="restart"/>
            <w:vAlign w:val="center"/>
          </w:tcPr>
          <w:p w14:paraId="320D907B"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4D6C8DE2" w14:textId="77777777" w:rsidR="00454A29" w:rsidRDefault="00454A29">
            <w:pPr>
              <w:pStyle w:val="ConsPlusNormal"/>
              <w:jc w:val="center"/>
            </w:pPr>
            <w:r>
              <w:lastRenderedPageBreak/>
              <w:t>428 124,02</w:t>
            </w:r>
          </w:p>
        </w:tc>
        <w:tc>
          <w:tcPr>
            <w:tcW w:w="1814" w:type="dxa"/>
            <w:vAlign w:val="center"/>
          </w:tcPr>
          <w:p w14:paraId="588BF0B7" w14:textId="77777777" w:rsidR="00454A29" w:rsidRDefault="00454A29">
            <w:pPr>
              <w:pStyle w:val="ConsPlusNormal"/>
              <w:jc w:val="center"/>
            </w:pPr>
            <w:r>
              <w:t>5 274,49</w:t>
            </w:r>
          </w:p>
        </w:tc>
        <w:tc>
          <w:tcPr>
            <w:tcW w:w="1701" w:type="dxa"/>
            <w:vAlign w:val="center"/>
          </w:tcPr>
          <w:p w14:paraId="0B9E7F9D" w14:textId="77777777" w:rsidR="00454A29" w:rsidRDefault="00454A29">
            <w:pPr>
              <w:pStyle w:val="ConsPlusNormal"/>
              <w:jc w:val="center"/>
            </w:pPr>
            <w:r>
              <w:t>522 174,31</w:t>
            </w:r>
          </w:p>
        </w:tc>
        <w:tc>
          <w:tcPr>
            <w:tcW w:w="1701" w:type="dxa"/>
            <w:vAlign w:val="center"/>
          </w:tcPr>
          <w:p w14:paraId="5A92696C" w14:textId="77777777" w:rsidR="00454A29" w:rsidRDefault="00454A29">
            <w:pPr>
              <w:pStyle w:val="ConsPlusNormal"/>
              <w:jc w:val="center"/>
            </w:pPr>
            <w:r>
              <w:t>-</w:t>
            </w:r>
          </w:p>
        </w:tc>
        <w:tc>
          <w:tcPr>
            <w:tcW w:w="1814" w:type="dxa"/>
            <w:vAlign w:val="center"/>
          </w:tcPr>
          <w:p w14:paraId="3DE347B3" w14:textId="77777777" w:rsidR="00454A29" w:rsidRDefault="00454A29">
            <w:pPr>
              <w:pStyle w:val="ConsPlusNormal"/>
              <w:jc w:val="center"/>
            </w:pPr>
            <w:r>
              <w:t>-</w:t>
            </w:r>
          </w:p>
        </w:tc>
      </w:tr>
      <w:tr w:rsidR="00454A29" w14:paraId="3FE8EDAE" w14:textId="77777777">
        <w:tc>
          <w:tcPr>
            <w:tcW w:w="567" w:type="dxa"/>
            <w:vMerge/>
          </w:tcPr>
          <w:p w14:paraId="37763766" w14:textId="77777777" w:rsidR="00454A29" w:rsidRDefault="00454A29"/>
        </w:tc>
        <w:tc>
          <w:tcPr>
            <w:tcW w:w="3345" w:type="dxa"/>
            <w:vMerge/>
          </w:tcPr>
          <w:p w14:paraId="4D381F51" w14:textId="77777777" w:rsidR="00454A29" w:rsidRDefault="00454A29"/>
        </w:tc>
        <w:tc>
          <w:tcPr>
            <w:tcW w:w="1701" w:type="dxa"/>
            <w:vAlign w:val="center"/>
          </w:tcPr>
          <w:p w14:paraId="7D164967" w14:textId="77777777" w:rsidR="00454A29" w:rsidRDefault="00454A29">
            <w:pPr>
              <w:pStyle w:val="ConsPlusNormal"/>
              <w:jc w:val="center"/>
            </w:pPr>
            <w:r>
              <w:t>2020</w:t>
            </w:r>
          </w:p>
        </w:tc>
        <w:tc>
          <w:tcPr>
            <w:tcW w:w="1417" w:type="dxa"/>
            <w:vMerge/>
          </w:tcPr>
          <w:p w14:paraId="5B0AF299" w14:textId="77777777" w:rsidR="00454A29" w:rsidRDefault="00454A29"/>
        </w:tc>
        <w:tc>
          <w:tcPr>
            <w:tcW w:w="2204" w:type="dxa"/>
            <w:vMerge/>
          </w:tcPr>
          <w:p w14:paraId="4E09ACED" w14:textId="77777777" w:rsidR="00454A29" w:rsidRDefault="00454A29"/>
        </w:tc>
        <w:tc>
          <w:tcPr>
            <w:tcW w:w="1417" w:type="dxa"/>
            <w:vMerge/>
          </w:tcPr>
          <w:p w14:paraId="643BD5AA" w14:textId="77777777" w:rsidR="00454A29" w:rsidRDefault="00454A29"/>
        </w:tc>
        <w:tc>
          <w:tcPr>
            <w:tcW w:w="2324" w:type="dxa"/>
            <w:vMerge/>
          </w:tcPr>
          <w:p w14:paraId="6680C53B" w14:textId="77777777" w:rsidR="00454A29" w:rsidRDefault="00454A29"/>
        </w:tc>
        <w:tc>
          <w:tcPr>
            <w:tcW w:w="1701" w:type="dxa"/>
            <w:vAlign w:val="center"/>
          </w:tcPr>
          <w:p w14:paraId="751B468A" w14:textId="77777777" w:rsidR="00454A29" w:rsidRDefault="00454A29">
            <w:pPr>
              <w:pStyle w:val="ConsPlusNormal"/>
            </w:pPr>
          </w:p>
        </w:tc>
        <w:tc>
          <w:tcPr>
            <w:tcW w:w="1814" w:type="dxa"/>
            <w:vAlign w:val="center"/>
          </w:tcPr>
          <w:p w14:paraId="326E21BB" w14:textId="77777777" w:rsidR="00454A29" w:rsidRDefault="00454A29">
            <w:pPr>
              <w:pStyle w:val="ConsPlusNormal"/>
            </w:pPr>
          </w:p>
        </w:tc>
        <w:tc>
          <w:tcPr>
            <w:tcW w:w="1701" w:type="dxa"/>
            <w:vAlign w:val="center"/>
          </w:tcPr>
          <w:p w14:paraId="4610D7AD" w14:textId="77777777" w:rsidR="00454A29" w:rsidRDefault="00454A29">
            <w:pPr>
              <w:pStyle w:val="ConsPlusNormal"/>
            </w:pPr>
          </w:p>
        </w:tc>
        <w:tc>
          <w:tcPr>
            <w:tcW w:w="1701" w:type="dxa"/>
            <w:vAlign w:val="center"/>
          </w:tcPr>
          <w:p w14:paraId="0F2EF266" w14:textId="77777777" w:rsidR="00454A29" w:rsidRDefault="00454A29">
            <w:pPr>
              <w:pStyle w:val="ConsPlusNormal"/>
            </w:pPr>
          </w:p>
        </w:tc>
        <w:tc>
          <w:tcPr>
            <w:tcW w:w="1814" w:type="dxa"/>
            <w:vAlign w:val="center"/>
          </w:tcPr>
          <w:p w14:paraId="1715F1C6" w14:textId="77777777" w:rsidR="00454A29" w:rsidRDefault="00454A29">
            <w:pPr>
              <w:pStyle w:val="ConsPlusNormal"/>
            </w:pPr>
          </w:p>
        </w:tc>
      </w:tr>
      <w:tr w:rsidR="00454A29" w14:paraId="4AD19FA2" w14:textId="77777777">
        <w:tc>
          <w:tcPr>
            <w:tcW w:w="567" w:type="dxa"/>
            <w:vMerge/>
          </w:tcPr>
          <w:p w14:paraId="65F30141" w14:textId="77777777" w:rsidR="00454A29" w:rsidRDefault="00454A29"/>
        </w:tc>
        <w:tc>
          <w:tcPr>
            <w:tcW w:w="3345" w:type="dxa"/>
            <w:vMerge/>
          </w:tcPr>
          <w:p w14:paraId="3683FAAC" w14:textId="77777777" w:rsidR="00454A29" w:rsidRDefault="00454A29"/>
        </w:tc>
        <w:tc>
          <w:tcPr>
            <w:tcW w:w="1701" w:type="dxa"/>
            <w:vAlign w:val="center"/>
          </w:tcPr>
          <w:p w14:paraId="00346D15" w14:textId="77777777" w:rsidR="00454A29" w:rsidRDefault="00454A29">
            <w:pPr>
              <w:pStyle w:val="ConsPlusNormal"/>
              <w:jc w:val="center"/>
            </w:pPr>
            <w:r>
              <w:t>2021</w:t>
            </w:r>
          </w:p>
        </w:tc>
        <w:tc>
          <w:tcPr>
            <w:tcW w:w="1417" w:type="dxa"/>
            <w:vMerge/>
          </w:tcPr>
          <w:p w14:paraId="764974E0" w14:textId="77777777" w:rsidR="00454A29" w:rsidRDefault="00454A29"/>
        </w:tc>
        <w:tc>
          <w:tcPr>
            <w:tcW w:w="2204" w:type="dxa"/>
            <w:vMerge/>
          </w:tcPr>
          <w:p w14:paraId="7B15A2B2" w14:textId="77777777" w:rsidR="00454A29" w:rsidRDefault="00454A29"/>
        </w:tc>
        <w:tc>
          <w:tcPr>
            <w:tcW w:w="1417" w:type="dxa"/>
            <w:vMerge/>
          </w:tcPr>
          <w:p w14:paraId="080F6F7E" w14:textId="77777777" w:rsidR="00454A29" w:rsidRDefault="00454A29"/>
        </w:tc>
        <w:tc>
          <w:tcPr>
            <w:tcW w:w="2324" w:type="dxa"/>
            <w:vMerge/>
          </w:tcPr>
          <w:p w14:paraId="5334ECBE" w14:textId="77777777" w:rsidR="00454A29" w:rsidRDefault="00454A29"/>
        </w:tc>
        <w:tc>
          <w:tcPr>
            <w:tcW w:w="1701" w:type="dxa"/>
            <w:vAlign w:val="center"/>
          </w:tcPr>
          <w:p w14:paraId="306B292A" w14:textId="77777777" w:rsidR="00454A29" w:rsidRDefault="00454A29">
            <w:pPr>
              <w:pStyle w:val="ConsPlusNormal"/>
              <w:jc w:val="center"/>
            </w:pPr>
            <w:r>
              <w:t>-</w:t>
            </w:r>
          </w:p>
        </w:tc>
        <w:tc>
          <w:tcPr>
            <w:tcW w:w="1814" w:type="dxa"/>
            <w:vAlign w:val="center"/>
          </w:tcPr>
          <w:p w14:paraId="1A16F891" w14:textId="77777777" w:rsidR="00454A29" w:rsidRDefault="00454A29">
            <w:pPr>
              <w:pStyle w:val="ConsPlusNormal"/>
            </w:pPr>
          </w:p>
        </w:tc>
        <w:tc>
          <w:tcPr>
            <w:tcW w:w="1701" w:type="dxa"/>
            <w:vAlign w:val="center"/>
          </w:tcPr>
          <w:p w14:paraId="7E4A9103" w14:textId="77777777" w:rsidR="00454A29" w:rsidRDefault="00454A29">
            <w:pPr>
              <w:pStyle w:val="ConsPlusNormal"/>
            </w:pPr>
          </w:p>
        </w:tc>
        <w:tc>
          <w:tcPr>
            <w:tcW w:w="1701" w:type="dxa"/>
            <w:vAlign w:val="center"/>
          </w:tcPr>
          <w:p w14:paraId="0DAA2517" w14:textId="77777777" w:rsidR="00454A29" w:rsidRDefault="00454A29">
            <w:pPr>
              <w:pStyle w:val="ConsPlusNormal"/>
            </w:pPr>
          </w:p>
        </w:tc>
        <w:tc>
          <w:tcPr>
            <w:tcW w:w="1814" w:type="dxa"/>
            <w:vAlign w:val="center"/>
          </w:tcPr>
          <w:p w14:paraId="535DA6B7" w14:textId="77777777" w:rsidR="00454A29" w:rsidRDefault="00454A29">
            <w:pPr>
              <w:pStyle w:val="ConsPlusNormal"/>
            </w:pPr>
          </w:p>
        </w:tc>
      </w:tr>
      <w:tr w:rsidR="00454A29" w14:paraId="5AEBAA2A" w14:textId="77777777">
        <w:tc>
          <w:tcPr>
            <w:tcW w:w="567" w:type="dxa"/>
            <w:vMerge/>
          </w:tcPr>
          <w:p w14:paraId="66E5EBEE" w14:textId="77777777" w:rsidR="00454A29" w:rsidRDefault="00454A29"/>
        </w:tc>
        <w:tc>
          <w:tcPr>
            <w:tcW w:w="3345" w:type="dxa"/>
            <w:vMerge/>
          </w:tcPr>
          <w:p w14:paraId="1D9900C0" w14:textId="77777777" w:rsidR="00454A29" w:rsidRDefault="00454A29"/>
        </w:tc>
        <w:tc>
          <w:tcPr>
            <w:tcW w:w="1701" w:type="dxa"/>
            <w:vAlign w:val="center"/>
          </w:tcPr>
          <w:p w14:paraId="11BE7FD3" w14:textId="77777777" w:rsidR="00454A29" w:rsidRDefault="00454A29">
            <w:pPr>
              <w:pStyle w:val="ConsPlusNormal"/>
              <w:jc w:val="center"/>
            </w:pPr>
            <w:r>
              <w:t>2022</w:t>
            </w:r>
          </w:p>
        </w:tc>
        <w:tc>
          <w:tcPr>
            <w:tcW w:w="1417" w:type="dxa"/>
            <w:vMerge/>
          </w:tcPr>
          <w:p w14:paraId="543A6C5C" w14:textId="77777777" w:rsidR="00454A29" w:rsidRDefault="00454A29"/>
        </w:tc>
        <w:tc>
          <w:tcPr>
            <w:tcW w:w="2204" w:type="dxa"/>
            <w:vMerge/>
          </w:tcPr>
          <w:p w14:paraId="605BF3CA" w14:textId="77777777" w:rsidR="00454A29" w:rsidRDefault="00454A29"/>
        </w:tc>
        <w:tc>
          <w:tcPr>
            <w:tcW w:w="1417" w:type="dxa"/>
            <w:vMerge/>
          </w:tcPr>
          <w:p w14:paraId="42A47B94" w14:textId="77777777" w:rsidR="00454A29" w:rsidRDefault="00454A29"/>
        </w:tc>
        <w:tc>
          <w:tcPr>
            <w:tcW w:w="2324" w:type="dxa"/>
            <w:vMerge/>
          </w:tcPr>
          <w:p w14:paraId="3B25A586" w14:textId="77777777" w:rsidR="00454A29" w:rsidRDefault="00454A29"/>
        </w:tc>
        <w:tc>
          <w:tcPr>
            <w:tcW w:w="1701" w:type="dxa"/>
            <w:vAlign w:val="center"/>
          </w:tcPr>
          <w:p w14:paraId="2E4BC778" w14:textId="77777777" w:rsidR="00454A29" w:rsidRDefault="00454A29">
            <w:pPr>
              <w:pStyle w:val="ConsPlusNormal"/>
            </w:pPr>
          </w:p>
        </w:tc>
        <w:tc>
          <w:tcPr>
            <w:tcW w:w="1814" w:type="dxa"/>
            <w:vAlign w:val="center"/>
          </w:tcPr>
          <w:p w14:paraId="2C300C81" w14:textId="77777777" w:rsidR="00454A29" w:rsidRDefault="00454A29">
            <w:pPr>
              <w:pStyle w:val="ConsPlusNormal"/>
            </w:pPr>
          </w:p>
        </w:tc>
        <w:tc>
          <w:tcPr>
            <w:tcW w:w="1701" w:type="dxa"/>
            <w:vAlign w:val="center"/>
          </w:tcPr>
          <w:p w14:paraId="4A5C7665" w14:textId="77777777" w:rsidR="00454A29" w:rsidRDefault="00454A29">
            <w:pPr>
              <w:pStyle w:val="ConsPlusNormal"/>
            </w:pPr>
          </w:p>
        </w:tc>
        <w:tc>
          <w:tcPr>
            <w:tcW w:w="1701" w:type="dxa"/>
            <w:vAlign w:val="center"/>
          </w:tcPr>
          <w:p w14:paraId="5836F01C" w14:textId="77777777" w:rsidR="00454A29" w:rsidRDefault="00454A29">
            <w:pPr>
              <w:pStyle w:val="ConsPlusNormal"/>
            </w:pPr>
          </w:p>
        </w:tc>
        <w:tc>
          <w:tcPr>
            <w:tcW w:w="1814" w:type="dxa"/>
            <w:vAlign w:val="center"/>
          </w:tcPr>
          <w:p w14:paraId="4EA63FD5" w14:textId="77777777" w:rsidR="00454A29" w:rsidRDefault="00454A29">
            <w:pPr>
              <w:pStyle w:val="ConsPlusNormal"/>
            </w:pPr>
          </w:p>
        </w:tc>
      </w:tr>
      <w:tr w:rsidR="00454A29" w14:paraId="77DD9404" w14:textId="77777777">
        <w:tc>
          <w:tcPr>
            <w:tcW w:w="567" w:type="dxa"/>
            <w:vMerge/>
          </w:tcPr>
          <w:p w14:paraId="1DEBFAA8" w14:textId="77777777" w:rsidR="00454A29" w:rsidRDefault="00454A29"/>
        </w:tc>
        <w:tc>
          <w:tcPr>
            <w:tcW w:w="3345" w:type="dxa"/>
            <w:vMerge/>
          </w:tcPr>
          <w:p w14:paraId="00FBBA01" w14:textId="77777777" w:rsidR="00454A29" w:rsidRDefault="00454A29"/>
        </w:tc>
        <w:tc>
          <w:tcPr>
            <w:tcW w:w="1701" w:type="dxa"/>
            <w:vAlign w:val="center"/>
          </w:tcPr>
          <w:p w14:paraId="541B69F7" w14:textId="77777777" w:rsidR="00454A29" w:rsidRDefault="00454A29">
            <w:pPr>
              <w:pStyle w:val="ConsPlusNormal"/>
              <w:jc w:val="center"/>
            </w:pPr>
            <w:r>
              <w:t>2023</w:t>
            </w:r>
          </w:p>
        </w:tc>
        <w:tc>
          <w:tcPr>
            <w:tcW w:w="1417" w:type="dxa"/>
            <w:vMerge/>
          </w:tcPr>
          <w:p w14:paraId="3ABD0C03" w14:textId="77777777" w:rsidR="00454A29" w:rsidRDefault="00454A29"/>
        </w:tc>
        <w:tc>
          <w:tcPr>
            <w:tcW w:w="2204" w:type="dxa"/>
            <w:vMerge/>
          </w:tcPr>
          <w:p w14:paraId="0182A7E2" w14:textId="77777777" w:rsidR="00454A29" w:rsidRDefault="00454A29"/>
        </w:tc>
        <w:tc>
          <w:tcPr>
            <w:tcW w:w="1417" w:type="dxa"/>
            <w:vMerge/>
          </w:tcPr>
          <w:p w14:paraId="0C6F45F2" w14:textId="77777777" w:rsidR="00454A29" w:rsidRDefault="00454A29"/>
        </w:tc>
        <w:tc>
          <w:tcPr>
            <w:tcW w:w="2324" w:type="dxa"/>
            <w:vMerge/>
          </w:tcPr>
          <w:p w14:paraId="23DB1B46" w14:textId="77777777" w:rsidR="00454A29" w:rsidRDefault="00454A29"/>
        </w:tc>
        <w:tc>
          <w:tcPr>
            <w:tcW w:w="1701" w:type="dxa"/>
            <w:vAlign w:val="center"/>
          </w:tcPr>
          <w:p w14:paraId="27B220EA" w14:textId="77777777" w:rsidR="00454A29" w:rsidRDefault="00454A29">
            <w:pPr>
              <w:pStyle w:val="ConsPlusNormal"/>
            </w:pPr>
          </w:p>
        </w:tc>
        <w:tc>
          <w:tcPr>
            <w:tcW w:w="1814" w:type="dxa"/>
            <w:vAlign w:val="center"/>
          </w:tcPr>
          <w:p w14:paraId="77A56FFB" w14:textId="77777777" w:rsidR="00454A29" w:rsidRDefault="00454A29">
            <w:pPr>
              <w:pStyle w:val="ConsPlusNormal"/>
            </w:pPr>
          </w:p>
        </w:tc>
        <w:tc>
          <w:tcPr>
            <w:tcW w:w="1701" w:type="dxa"/>
            <w:vAlign w:val="center"/>
          </w:tcPr>
          <w:p w14:paraId="20C5F6DF" w14:textId="77777777" w:rsidR="00454A29" w:rsidRDefault="00454A29">
            <w:pPr>
              <w:pStyle w:val="ConsPlusNormal"/>
            </w:pPr>
          </w:p>
        </w:tc>
        <w:tc>
          <w:tcPr>
            <w:tcW w:w="1701" w:type="dxa"/>
            <w:vAlign w:val="center"/>
          </w:tcPr>
          <w:p w14:paraId="659C7C7C" w14:textId="77777777" w:rsidR="00454A29" w:rsidRDefault="00454A29">
            <w:pPr>
              <w:pStyle w:val="ConsPlusNormal"/>
            </w:pPr>
          </w:p>
        </w:tc>
        <w:tc>
          <w:tcPr>
            <w:tcW w:w="1814" w:type="dxa"/>
            <w:vAlign w:val="center"/>
          </w:tcPr>
          <w:p w14:paraId="3F609915" w14:textId="77777777" w:rsidR="00454A29" w:rsidRDefault="00454A29">
            <w:pPr>
              <w:pStyle w:val="ConsPlusNormal"/>
            </w:pPr>
          </w:p>
        </w:tc>
      </w:tr>
      <w:tr w:rsidR="00454A29" w14:paraId="4C7449A2" w14:textId="77777777">
        <w:tc>
          <w:tcPr>
            <w:tcW w:w="567" w:type="dxa"/>
            <w:vMerge/>
          </w:tcPr>
          <w:p w14:paraId="0A84520C" w14:textId="77777777" w:rsidR="00454A29" w:rsidRDefault="00454A29"/>
        </w:tc>
        <w:tc>
          <w:tcPr>
            <w:tcW w:w="3345" w:type="dxa"/>
            <w:vMerge/>
          </w:tcPr>
          <w:p w14:paraId="114C3BC0" w14:textId="77777777" w:rsidR="00454A29" w:rsidRDefault="00454A29"/>
        </w:tc>
        <w:tc>
          <w:tcPr>
            <w:tcW w:w="1701" w:type="dxa"/>
            <w:vAlign w:val="center"/>
          </w:tcPr>
          <w:p w14:paraId="349D00BA" w14:textId="77777777" w:rsidR="00454A29" w:rsidRDefault="00454A29">
            <w:pPr>
              <w:pStyle w:val="ConsPlusNormal"/>
              <w:jc w:val="center"/>
            </w:pPr>
            <w:r>
              <w:t>2024</w:t>
            </w:r>
          </w:p>
        </w:tc>
        <w:tc>
          <w:tcPr>
            <w:tcW w:w="1417" w:type="dxa"/>
            <w:vMerge/>
          </w:tcPr>
          <w:p w14:paraId="0631C075" w14:textId="77777777" w:rsidR="00454A29" w:rsidRDefault="00454A29"/>
        </w:tc>
        <w:tc>
          <w:tcPr>
            <w:tcW w:w="2204" w:type="dxa"/>
            <w:vMerge/>
          </w:tcPr>
          <w:p w14:paraId="3DB0F6A9" w14:textId="77777777" w:rsidR="00454A29" w:rsidRDefault="00454A29"/>
        </w:tc>
        <w:tc>
          <w:tcPr>
            <w:tcW w:w="1417" w:type="dxa"/>
            <w:vMerge/>
          </w:tcPr>
          <w:p w14:paraId="48F3870A" w14:textId="77777777" w:rsidR="00454A29" w:rsidRDefault="00454A29"/>
        </w:tc>
        <w:tc>
          <w:tcPr>
            <w:tcW w:w="2324" w:type="dxa"/>
            <w:vMerge/>
          </w:tcPr>
          <w:p w14:paraId="419055B6" w14:textId="77777777" w:rsidR="00454A29" w:rsidRDefault="00454A29"/>
        </w:tc>
        <w:tc>
          <w:tcPr>
            <w:tcW w:w="1701" w:type="dxa"/>
            <w:vAlign w:val="center"/>
          </w:tcPr>
          <w:p w14:paraId="5935011B" w14:textId="77777777" w:rsidR="00454A29" w:rsidRDefault="00454A29">
            <w:pPr>
              <w:pStyle w:val="ConsPlusNormal"/>
            </w:pPr>
          </w:p>
        </w:tc>
        <w:tc>
          <w:tcPr>
            <w:tcW w:w="1814" w:type="dxa"/>
            <w:vAlign w:val="center"/>
          </w:tcPr>
          <w:p w14:paraId="6178486A" w14:textId="77777777" w:rsidR="00454A29" w:rsidRDefault="00454A29">
            <w:pPr>
              <w:pStyle w:val="ConsPlusNormal"/>
            </w:pPr>
          </w:p>
        </w:tc>
        <w:tc>
          <w:tcPr>
            <w:tcW w:w="1701" w:type="dxa"/>
            <w:vAlign w:val="center"/>
          </w:tcPr>
          <w:p w14:paraId="5E7F0204" w14:textId="77777777" w:rsidR="00454A29" w:rsidRDefault="00454A29">
            <w:pPr>
              <w:pStyle w:val="ConsPlusNormal"/>
            </w:pPr>
          </w:p>
        </w:tc>
        <w:tc>
          <w:tcPr>
            <w:tcW w:w="1701" w:type="dxa"/>
            <w:vAlign w:val="center"/>
          </w:tcPr>
          <w:p w14:paraId="497D48CA" w14:textId="77777777" w:rsidR="00454A29" w:rsidRDefault="00454A29">
            <w:pPr>
              <w:pStyle w:val="ConsPlusNormal"/>
            </w:pPr>
          </w:p>
        </w:tc>
        <w:tc>
          <w:tcPr>
            <w:tcW w:w="1814" w:type="dxa"/>
            <w:vAlign w:val="center"/>
          </w:tcPr>
          <w:p w14:paraId="665E5874" w14:textId="77777777" w:rsidR="00454A29" w:rsidRDefault="00454A29">
            <w:pPr>
              <w:pStyle w:val="ConsPlusNormal"/>
            </w:pPr>
          </w:p>
        </w:tc>
      </w:tr>
      <w:tr w:rsidR="00454A29" w14:paraId="73C31A84" w14:textId="77777777">
        <w:tc>
          <w:tcPr>
            <w:tcW w:w="567" w:type="dxa"/>
            <w:vMerge/>
          </w:tcPr>
          <w:p w14:paraId="2439B07B" w14:textId="77777777" w:rsidR="00454A29" w:rsidRDefault="00454A29"/>
        </w:tc>
        <w:tc>
          <w:tcPr>
            <w:tcW w:w="3345" w:type="dxa"/>
            <w:vMerge/>
          </w:tcPr>
          <w:p w14:paraId="54343659" w14:textId="77777777" w:rsidR="00454A29" w:rsidRDefault="00454A29"/>
        </w:tc>
        <w:tc>
          <w:tcPr>
            <w:tcW w:w="1701" w:type="dxa"/>
            <w:vAlign w:val="center"/>
          </w:tcPr>
          <w:p w14:paraId="7215E219" w14:textId="77777777" w:rsidR="00454A29" w:rsidRDefault="00454A29">
            <w:pPr>
              <w:pStyle w:val="ConsPlusNormal"/>
              <w:jc w:val="center"/>
            </w:pPr>
            <w:r>
              <w:t>2025</w:t>
            </w:r>
          </w:p>
        </w:tc>
        <w:tc>
          <w:tcPr>
            <w:tcW w:w="1417" w:type="dxa"/>
            <w:vMerge/>
          </w:tcPr>
          <w:p w14:paraId="4C8FDD41" w14:textId="77777777" w:rsidR="00454A29" w:rsidRDefault="00454A29"/>
        </w:tc>
        <w:tc>
          <w:tcPr>
            <w:tcW w:w="2204" w:type="dxa"/>
            <w:vMerge/>
          </w:tcPr>
          <w:p w14:paraId="4627F056" w14:textId="77777777" w:rsidR="00454A29" w:rsidRDefault="00454A29"/>
        </w:tc>
        <w:tc>
          <w:tcPr>
            <w:tcW w:w="1417" w:type="dxa"/>
            <w:vMerge/>
          </w:tcPr>
          <w:p w14:paraId="053BF866" w14:textId="77777777" w:rsidR="00454A29" w:rsidRDefault="00454A29"/>
        </w:tc>
        <w:tc>
          <w:tcPr>
            <w:tcW w:w="2324" w:type="dxa"/>
            <w:vMerge/>
          </w:tcPr>
          <w:p w14:paraId="68B51CC5" w14:textId="77777777" w:rsidR="00454A29" w:rsidRDefault="00454A29"/>
        </w:tc>
        <w:tc>
          <w:tcPr>
            <w:tcW w:w="1701" w:type="dxa"/>
            <w:vAlign w:val="center"/>
          </w:tcPr>
          <w:p w14:paraId="071DA8DB" w14:textId="77777777" w:rsidR="00454A29" w:rsidRDefault="00454A29">
            <w:pPr>
              <w:pStyle w:val="ConsPlusNormal"/>
            </w:pPr>
          </w:p>
        </w:tc>
        <w:tc>
          <w:tcPr>
            <w:tcW w:w="1814" w:type="dxa"/>
            <w:vAlign w:val="center"/>
          </w:tcPr>
          <w:p w14:paraId="17E393A1" w14:textId="77777777" w:rsidR="00454A29" w:rsidRDefault="00454A29">
            <w:pPr>
              <w:pStyle w:val="ConsPlusNormal"/>
            </w:pPr>
          </w:p>
        </w:tc>
        <w:tc>
          <w:tcPr>
            <w:tcW w:w="1701" w:type="dxa"/>
            <w:vAlign w:val="center"/>
          </w:tcPr>
          <w:p w14:paraId="10A35890" w14:textId="77777777" w:rsidR="00454A29" w:rsidRDefault="00454A29">
            <w:pPr>
              <w:pStyle w:val="ConsPlusNormal"/>
            </w:pPr>
          </w:p>
        </w:tc>
        <w:tc>
          <w:tcPr>
            <w:tcW w:w="1701" w:type="dxa"/>
            <w:vAlign w:val="center"/>
          </w:tcPr>
          <w:p w14:paraId="65895451" w14:textId="77777777" w:rsidR="00454A29" w:rsidRDefault="00454A29">
            <w:pPr>
              <w:pStyle w:val="ConsPlusNormal"/>
            </w:pPr>
          </w:p>
        </w:tc>
        <w:tc>
          <w:tcPr>
            <w:tcW w:w="1814" w:type="dxa"/>
            <w:vAlign w:val="center"/>
          </w:tcPr>
          <w:p w14:paraId="6074969E" w14:textId="77777777" w:rsidR="00454A29" w:rsidRDefault="00454A29">
            <w:pPr>
              <w:pStyle w:val="ConsPlusNormal"/>
            </w:pPr>
          </w:p>
        </w:tc>
      </w:tr>
      <w:tr w:rsidR="00454A29" w14:paraId="3BAB1C96" w14:textId="77777777">
        <w:tc>
          <w:tcPr>
            <w:tcW w:w="567" w:type="dxa"/>
            <w:vMerge/>
          </w:tcPr>
          <w:p w14:paraId="1EDD221B" w14:textId="77777777" w:rsidR="00454A29" w:rsidRDefault="00454A29"/>
        </w:tc>
        <w:tc>
          <w:tcPr>
            <w:tcW w:w="3345" w:type="dxa"/>
            <w:vMerge/>
          </w:tcPr>
          <w:p w14:paraId="24722BDE" w14:textId="77777777" w:rsidR="00454A29" w:rsidRDefault="00454A29"/>
        </w:tc>
        <w:tc>
          <w:tcPr>
            <w:tcW w:w="1701" w:type="dxa"/>
            <w:vAlign w:val="center"/>
          </w:tcPr>
          <w:p w14:paraId="4B09B71E" w14:textId="77777777" w:rsidR="00454A29" w:rsidRDefault="00454A29">
            <w:pPr>
              <w:pStyle w:val="ConsPlusNormal"/>
              <w:jc w:val="center"/>
            </w:pPr>
            <w:r>
              <w:t>2026</w:t>
            </w:r>
          </w:p>
        </w:tc>
        <w:tc>
          <w:tcPr>
            <w:tcW w:w="1417" w:type="dxa"/>
            <w:vMerge/>
          </w:tcPr>
          <w:p w14:paraId="4EC2E113" w14:textId="77777777" w:rsidR="00454A29" w:rsidRDefault="00454A29"/>
        </w:tc>
        <w:tc>
          <w:tcPr>
            <w:tcW w:w="2204" w:type="dxa"/>
            <w:vMerge/>
          </w:tcPr>
          <w:p w14:paraId="25417450" w14:textId="77777777" w:rsidR="00454A29" w:rsidRDefault="00454A29"/>
        </w:tc>
        <w:tc>
          <w:tcPr>
            <w:tcW w:w="1417" w:type="dxa"/>
            <w:vMerge/>
          </w:tcPr>
          <w:p w14:paraId="5B17F5CE" w14:textId="77777777" w:rsidR="00454A29" w:rsidRDefault="00454A29"/>
        </w:tc>
        <w:tc>
          <w:tcPr>
            <w:tcW w:w="2324" w:type="dxa"/>
            <w:vMerge/>
          </w:tcPr>
          <w:p w14:paraId="413DCA62" w14:textId="77777777" w:rsidR="00454A29" w:rsidRDefault="00454A29"/>
        </w:tc>
        <w:tc>
          <w:tcPr>
            <w:tcW w:w="1701" w:type="dxa"/>
            <w:vAlign w:val="center"/>
          </w:tcPr>
          <w:p w14:paraId="7A89F6AD" w14:textId="77777777" w:rsidR="00454A29" w:rsidRDefault="00454A29">
            <w:pPr>
              <w:pStyle w:val="ConsPlusNormal"/>
              <w:jc w:val="center"/>
            </w:pPr>
            <w:r>
              <w:t>428 124,02</w:t>
            </w:r>
          </w:p>
        </w:tc>
        <w:tc>
          <w:tcPr>
            <w:tcW w:w="1814" w:type="dxa"/>
            <w:vAlign w:val="center"/>
          </w:tcPr>
          <w:p w14:paraId="19C94C54" w14:textId="77777777" w:rsidR="00454A29" w:rsidRDefault="00454A29">
            <w:pPr>
              <w:pStyle w:val="ConsPlusNormal"/>
              <w:jc w:val="center"/>
            </w:pPr>
            <w:r>
              <w:t>5 274,49</w:t>
            </w:r>
          </w:p>
        </w:tc>
        <w:tc>
          <w:tcPr>
            <w:tcW w:w="1701" w:type="dxa"/>
            <w:vAlign w:val="center"/>
          </w:tcPr>
          <w:p w14:paraId="5A81E132" w14:textId="77777777" w:rsidR="00454A29" w:rsidRDefault="00454A29">
            <w:pPr>
              <w:pStyle w:val="ConsPlusNormal"/>
              <w:jc w:val="center"/>
            </w:pPr>
            <w:r>
              <w:t>522 174,31</w:t>
            </w:r>
          </w:p>
        </w:tc>
        <w:tc>
          <w:tcPr>
            <w:tcW w:w="1701" w:type="dxa"/>
            <w:vAlign w:val="center"/>
          </w:tcPr>
          <w:p w14:paraId="43A91B39" w14:textId="77777777" w:rsidR="00454A29" w:rsidRDefault="00454A29">
            <w:pPr>
              <w:pStyle w:val="ConsPlusNormal"/>
            </w:pPr>
          </w:p>
        </w:tc>
        <w:tc>
          <w:tcPr>
            <w:tcW w:w="1814" w:type="dxa"/>
            <w:vAlign w:val="center"/>
          </w:tcPr>
          <w:p w14:paraId="49862E4D" w14:textId="77777777" w:rsidR="00454A29" w:rsidRDefault="00454A29">
            <w:pPr>
              <w:pStyle w:val="ConsPlusNormal"/>
            </w:pPr>
          </w:p>
        </w:tc>
      </w:tr>
      <w:tr w:rsidR="00454A29" w14:paraId="23D96F96" w14:textId="77777777">
        <w:tc>
          <w:tcPr>
            <w:tcW w:w="567" w:type="dxa"/>
            <w:vMerge w:val="restart"/>
            <w:vAlign w:val="center"/>
          </w:tcPr>
          <w:p w14:paraId="2E746D73" w14:textId="77777777" w:rsidR="00454A29" w:rsidRDefault="00454A29">
            <w:pPr>
              <w:pStyle w:val="ConsPlusNormal"/>
              <w:jc w:val="center"/>
            </w:pPr>
            <w:r>
              <w:t>180</w:t>
            </w:r>
          </w:p>
        </w:tc>
        <w:tc>
          <w:tcPr>
            <w:tcW w:w="3345" w:type="dxa"/>
            <w:vMerge w:val="restart"/>
            <w:vAlign w:val="center"/>
          </w:tcPr>
          <w:p w14:paraId="4397AF24" w14:textId="77777777" w:rsidR="00454A29" w:rsidRDefault="00454A29">
            <w:pPr>
              <w:pStyle w:val="ConsPlusNormal"/>
              <w:jc w:val="center"/>
            </w:pPr>
            <w:r>
              <w:t>Школа на 900 учащихся в г. Якутске, квартал 84</w:t>
            </w:r>
          </w:p>
        </w:tc>
        <w:tc>
          <w:tcPr>
            <w:tcW w:w="1701" w:type="dxa"/>
            <w:vAlign w:val="center"/>
          </w:tcPr>
          <w:p w14:paraId="2D26D42B" w14:textId="77777777" w:rsidR="00454A29" w:rsidRDefault="00454A29">
            <w:pPr>
              <w:pStyle w:val="ConsPlusNormal"/>
              <w:jc w:val="center"/>
            </w:pPr>
            <w:r>
              <w:t>2020 - 2026 годы - всего</w:t>
            </w:r>
          </w:p>
        </w:tc>
        <w:tc>
          <w:tcPr>
            <w:tcW w:w="1417" w:type="dxa"/>
            <w:vMerge w:val="restart"/>
            <w:vAlign w:val="center"/>
          </w:tcPr>
          <w:p w14:paraId="45A6322A" w14:textId="77777777" w:rsidR="00454A29" w:rsidRDefault="00454A29">
            <w:pPr>
              <w:pStyle w:val="ConsPlusNormal"/>
              <w:jc w:val="center"/>
            </w:pPr>
            <w:r>
              <w:t>1 279 113,91</w:t>
            </w:r>
          </w:p>
        </w:tc>
        <w:tc>
          <w:tcPr>
            <w:tcW w:w="2204" w:type="dxa"/>
            <w:vMerge w:val="restart"/>
            <w:vAlign w:val="center"/>
          </w:tcPr>
          <w:p w14:paraId="13DF461C" w14:textId="77777777" w:rsidR="00454A29" w:rsidRDefault="00454A29">
            <w:pPr>
              <w:pStyle w:val="ConsPlusNormal"/>
            </w:pPr>
          </w:p>
        </w:tc>
        <w:tc>
          <w:tcPr>
            <w:tcW w:w="1417" w:type="dxa"/>
            <w:vMerge w:val="restart"/>
            <w:vAlign w:val="center"/>
          </w:tcPr>
          <w:p w14:paraId="77915345" w14:textId="77777777" w:rsidR="00454A29" w:rsidRDefault="00454A29">
            <w:pPr>
              <w:pStyle w:val="ConsPlusNormal"/>
              <w:jc w:val="center"/>
            </w:pPr>
            <w:r>
              <w:t>900</w:t>
            </w:r>
          </w:p>
        </w:tc>
        <w:tc>
          <w:tcPr>
            <w:tcW w:w="2324" w:type="dxa"/>
            <w:vMerge w:val="restart"/>
            <w:vAlign w:val="center"/>
          </w:tcPr>
          <w:p w14:paraId="1D3479A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12AB6D6" w14:textId="77777777" w:rsidR="00454A29" w:rsidRDefault="00454A29">
            <w:pPr>
              <w:pStyle w:val="ConsPlusNormal"/>
              <w:jc w:val="center"/>
            </w:pPr>
            <w:r>
              <w:t>1 279 113,91</w:t>
            </w:r>
          </w:p>
        </w:tc>
        <w:tc>
          <w:tcPr>
            <w:tcW w:w="1814" w:type="dxa"/>
            <w:vAlign w:val="center"/>
          </w:tcPr>
          <w:p w14:paraId="5EB4DCB3" w14:textId="77777777" w:rsidR="00454A29" w:rsidRDefault="00454A29">
            <w:pPr>
              <w:pStyle w:val="ConsPlusNormal"/>
              <w:jc w:val="center"/>
            </w:pPr>
            <w:r>
              <w:t>15 758,68</w:t>
            </w:r>
          </w:p>
        </w:tc>
        <w:tc>
          <w:tcPr>
            <w:tcW w:w="1701" w:type="dxa"/>
            <w:vAlign w:val="center"/>
          </w:tcPr>
          <w:p w14:paraId="5B839844" w14:textId="77777777" w:rsidR="00454A29" w:rsidRDefault="00454A29">
            <w:pPr>
              <w:pStyle w:val="ConsPlusNormal"/>
              <w:jc w:val="center"/>
            </w:pPr>
            <w:r>
              <w:t>1 560 109,65</w:t>
            </w:r>
          </w:p>
        </w:tc>
        <w:tc>
          <w:tcPr>
            <w:tcW w:w="1701" w:type="dxa"/>
            <w:vAlign w:val="center"/>
          </w:tcPr>
          <w:p w14:paraId="62755AD1" w14:textId="77777777" w:rsidR="00454A29" w:rsidRDefault="00454A29">
            <w:pPr>
              <w:pStyle w:val="ConsPlusNormal"/>
              <w:jc w:val="center"/>
            </w:pPr>
            <w:r>
              <w:t>-</w:t>
            </w:r>
          </w:p>
        </w:tc>
        <w:tc>
          <w:tcPr>
            <w:tcW w:w="1814" w:type="dxa"/>
            <w:vAlign w:val="center"/>
          </w:tcPr>
          <w:p w14:paraId="4B29F644" w14:textId="77777777" w:rsidR="00454A29" w:rsidRDefault="00454A29">
            <w:pPr>
              <w:pStyle w:val="ConsPlusNormal"/>
              <w:jc w:val="center"/>
            </w:pPr>
            <w:r>
              <w:t>-</w:t>
            </w:r>
          </w:p>
        </w:tc>
      </w:tr>
      <w:tr w:rsidR="00454A29" w14:paraId="31B84B5A" w14:textId="77777777">
        <w:tc>
          <w:tcPr>
            <w:tcW w:w="567" w:type="dxa"/>
            <w:vMerge/>
          </w:tcPr>
          <w:p w14:paraId="679AA202" w14:textId="77777777" w:rsidR="00454A29" w:rsidRDefault="00454A29"/>
        </w:tc>
        <w:tc>
          <w:tcPr>
            <w:tcW w:w="3345" w:type="dxa"/>
            <w:vMerge/>
          </w:tcPr>
          <w:p w14:paraId="324622BC" w14:textId="77777777" w:rsidR="00454A29" w:rsidRDefault="00454A29"/>
        </w:tc>
        <w:tc>
          <w:tcPr>
            <w:tcW w:w="1701" w:type="dxa"/>
            <w:vAlign w:val="center"/>
          </w:tcPr>
          <w:p w14:paraId="47AF5160" w14:textId="77777777" w:rsidR="00454A29" w:rsidRDefault="00454A29">
            <w:pPr>
              <w:pStyle w:val="ConsPlusNormal"/>
              <w:jc w:val="center"/>
            </w:pPr>
            <w:r>
              <w:t>2020</w:t>
            </w:r>
          </w:p>
        </w:tc>
        <w:tc>
          <w:tcPr>
            <w:tcW w:w="1417" w:type="dxa"/>
            <w:vMerge/>
          </w:tcPr>
          <w:p w14:paraId="2BD1A9DE" w14:textId="77777777" w:rsidR="00454A29" w:rsidRDefault="00454A29"/>
        </w:tc>
        <w:tc>
          <w:tcPr>
            <w:tcW w:w="2204" w:type="dxa"/>
            <w:vMerge/>
          </w:tcPr>
          <w:p w14:paraId="256E62E5" w14:textId="77777777" w:rsidR="00454A29" w:rsidRDefault="00454A29"/>
        </w:tc>
        <w:tc>
          <w:tcPr>
            <w:tcW w:w="1417" w:type="dxa"/>
            <w:vMerge/>
          </w:tcPr>
          <w:p w14:paraId="16D4BC57" w14:textId="77777777" w:rsidR="00454A29" w:rsidRDefault="00454A29"/>
        </w:tc>
        <w:tc>
          <w:tcPr>
            <w:tcW w:w="2324" w:type="dxa"/>
            <w:vMerge/>
          </w:tcPr>
          <w:p w14:paraId="7A4A2494" w14:textId="77777777" w:rsidR="00454A29" w:rsidRDefault="00454A29"/>
        </w:tc>
        <w:tc>
          <w:tcPr>
            <w:tcW w:w="1701" w:type="dxa"/>
            <w:vAlign w:val="center"/>
          </w:tcPr>
          <w:p w14:paraId="096A2CD8" w14:textId="77777777" w:rsidR="00454A29" w:rsidRDefault="00454A29">
            <w:pPr>
              <w:pStyle w:val="ConsPlusNormal"/>
            </w:pPr>
          </w:p>
        </w:tc>
        <w:tc>
          <w:tcPr>
            <w:tcW w:w="1814" w:type="dxa"/>
            <w:vAlign w:val="center"/>
          </w:tcPr>
          <w:p w14:paraId="4946FD4F" w14:textId="77777777" w:rsidR="00454A29" w:rsidRDefault="00454A29">
            <w:pPr>
              <w:pStyle w:val="ConsPlusNormal"/>
            </w:pPr>
          </w:p>
        </w:tc>
        <w:tc>
          <w:tcPr>
            <w:tcW w:w="1701" w:type="dxa"/>
            <w:vAlign w:val="center"/>
          </w:tcPr>
          <w:p w14:paraId="4370AB4C" w14:textId="77777777" w:rsidR="00454A29" w:rsidRDefault="00454A29">
            <w:pPr>
              <w:pStyle w:val="ConsPlusNormal"/>
            </w:pPr>
          </w:p>
        </w:tc>
        <w:tc>
          <w:tcPr>
            <w:tcW w:w="1701" w:type="dxa"/>
            <w:vAlign w:val="center"/>
          </w:tcPr>
          <w:p w14:paraId="54685627" w14:textId="77777777" w:rsidR="00454A29" w:rsidRDefault="00454A29">
            <w:pPr>
              <w:pStyle w:val="ConsPlusNormal"/>
            </w:pPr>
          </w:p>
        </w:tc>
        <w:tc>
          <w:tcPr>
            <w:tcW w:w="1814" w:type="dxa"/>
            <w:vAlign w:val="center"/>
          </w:tcPr>
          <w:p w14:paraId="41BE0450" w14:textId="77777777" w:rsidR="00454A29" w:rsidRDefault="00454A29">
            <w:pPr>
              <w:pStyle w:val="ConsPlusNormal"/>
            </w:pPr>
          </w:p>
        </w:tc>
      </w:tr>
      <w:tr w:rsidR="00454A29" w14:paraId="67799AF3" w14:textId="77777777">
        <w:tc>
          <w:tcPr>
            <w:tcW w:w="567" w:type="dxa"/>
            <w:vMerge/>
          </w:tcPr>
          <w:p w14:paraId="062F90D1" w14:textId="77777777" w:rsidR="00454A29" w:rsidRDefault="00454A29"/>
        </w:tc>
        <w:tc>
          <w:tcPr>
            <w:tcW w:w="3345" w:type="dxa"/>
            <w:vMerge/>
          </w:tcPr>
          <w:p w14:paraId="69D36296" w14:textId="77777777" w:rsidR="00454A29" w:rsidRDefault="00454A29"/>
        </w:tc>
        <w:tc>
          <w:tcPr>
            <w:tcW w:w="1701" w:type="dxa"/>
            <w:vAlign w:val="center"/>
          </w:tcPr>
          <w:p w14:paraId="6D7A0B53" w14:textId="77777777" w:rsidR="00454A29" w:rsidRDefault="00454A29">
            <w:pPr>
              <w:pStyle w:val="ConsPlusNormal"/>
              <w:jc w:val="center"/>
            </w:pPr>
            <w:r>
              <w:t>2021</w:t>
            </w:r>
          </w:p>
        </w:tc>
        <w:tc>
          <w:tcPr>
            <w:tcW w:w="1417" w:type="dxa"/>
            <w:vMerge/>
          </w:tcPr>
          <w:p w14:paraId="7E117280" w14:textId="77777777" w:rsidR="00454A29" w:rsidRDefault="00454A29"/>
        </w:tc>
        <w:tc>
          <w:tcPr>
            <w:tcW w:w="2204" w:type="dxa"/>
            <w:vMerge/>
          </w:tcPr>
          <w:p w14:paraId="7E62825F" w14:textId="77777777" w:rsidR="00454A29" w:rsidRDefault="00454A29"/>
        </w:tc>
        <w:tc>
          <w:tcPr>
            <w:tcW w:w="1417" w:type="dxa"/>
            <w:vMerge/>
          </w:tcPr>
          <w:p w14:paraId="243069AE" w14:textId="77777777" w:rsidR="00454A29" w:rsidRDefault="00454A29"/>
        </w:tc>
        <w:tc>
          <w:tcPr>
            <w:tcW w:w="2324" w:type="dxa"/>
            <w:vMerge/>
          </w:tcPr>
          <w:p w14:paraId="7052F2BA" w14:textId="77777777" w:rsidR="00454A29" w:rsidRDefault="00454A29"/>
        </w:tc>
        <w:tc>
          <w:tcPr>
            <w:tcW w:w="1701" w:type="dxa"/>
            <w:vAlign w:val="center"/>
          </w:tcPr>
          <w:p w14:paraId="3936C474" w14:textId="77777777" w:rsidR="00454A29" w:rsidRDefault="00454A29">
            <w:pPr>
              <w:pStyle w:val="ConsPlusNormal"/>
              <w:jc w:val="center"/>
            </w:pPr>
            <w:r>
              <w:t>-</w:t>
            </w:r>
          </w:p>
        </w:tc>
        <w:tc>
          <w:tcPr>
            <w:tcW w:w="1814" w:type="dxa"/>
            <w:vAlign w:val="center"/>
          </w:tcPr>
          <w:p w14:paraId="051B6BCA" w14:textId="77777777" w:rsidR="00454A29" w:rsidRDefault="00454A29">
            <w:pPr>
              <w:pStyle w:val="ConsPlusNormal"/>
            </w:pPr>
          </w:p>
        </w:tc>
        <w:tc>
          <w:tcPr>
            <w:tcW w:w="1701" w:type="dxa"/>
            <w:vAlign w:val="center"/>
          </w:tcPr>
          <w:p w14:paraId="0802C91A" w14:textId="77777777" w:rsidR="00454A29" w:rsidRDefault="00454A29">
            <w:pPr>
              <w:pStyle w:val="ConsPlusNormal"/>
            </w:pPr>
          </w:p>
        </w:tc>
        <w:tc>
          <w:tcPr>
            <w:tcW w:w="1701" w:type="dxa"/>
            <w:vAlign w:val="center"/>
          </w:tcPr>
          <w:p w14:paraId="6DE99E12" w14:textId="77777777" w:rsidR="00454A29" w:rsidRDefault="00454A29">
            <w:pPr>
              <w:pStyle w:val="ConsPlusNormal"/>
            </w:pPr>
          </w:p>
        </w:tc>
        <w:tc>
          <w:tcPr>
            <w:tcW w:w="1814" w:type="dxa"/>
            <w:vAlign w:val="center"/>
          </w:tcPr>
          <w:p w14:paraId="3661F826" w14:textId="77777777" w:rsidR="00454A29" w:rsidRDefault="00454A29">
            <w:pPr>
              <w:pStyle w:val="ConsPlusNormal"/>
            </w:pPr>
          </w:p>
        </w:tc>
      </w:tr>
      <w:tr w:rsidR="00454A29" w14:paraId="797C2316" w14:textId="77777777">
        <w:tc>
          <w:tcPr>
            <w:tcW w:w="567" w:type="dxa"/>
            <w:vMerge/>
          </w:tcPr>
          <w:p w14:paraId="3F3A519E" w14:textId="77777777" w:rsidR="00454A29" w:rsidRDefault="00454A29"/>
        </w:tc>
        <w:tc>
          <w:tcPr>
            <w:tcW w:w="3345" w:type="dxa"/>
            <w:vMerge/>
          </w:tcPr>
          <w:p w14:paraId="3B59DF1C" w14:textId="77777777" w:rsidR="00454A29" w:rsidRDefault="00454A29"/>
        </w:tc>
        <w:tc>
          <w:tcPr>
            <w:tcW w:w="1701" w:type="dxa"/>
            <w:vAlign w:val="center"/>
          </w:tcPr>
          <w:p w14:paraId="01D0FE4E" w14:textId="77777777" w:rsidR="00454A29" w:rsidRDefault="00454A29">
            <w:pPr>
              <w:pStyle w:val="ConsPlusNormal"/>
              <w:jc w:val="center"/>
            </w:pPr>
            <w:r>
              <w:t>2022</w:t>
            </w:r>
          </w:p>
        </w:tc>
        <w:tc>
          <w:tcPr>
            <w:tcW w:w="1417" w:type="dxa"/>
            <w:vMerge/>
          </w:tcPr>
          <w:p w14:paraId="49B8B49A" w14:textId="77777777" w:rsidR="00454A29" w:rsidRDefault="00454A29"/>
        </w:tc>
        <w:tc>
          <w:tcPr>
            <w:tcW w:w="2204" w:type="dxa"/>
            <w:vMerge/>
          </w:tcPr>
          <w:p w14:paraId="4DF54F9D" w14:textId="77777777" w:rsidR="00454A29" w:rsidRDefault="00454A29"/>
        </w:tc>
        <w:tc>
          <w:tcPr>
            <w:tcW w:w="1417" w:type="dxa"/>
            <w:vMerge/>
          </w:tcPr>
          <w:p w14:paraId="56FC1872" w14:textId="77777777" w:rsidR="00454A29" w:rsidRDefault="00454A29"/>
        </w:tc>
        <w:tc>
          <w:tcPr>
            <w:tcW w:w="2324" w:type="dxa"/>
            <w:vMerge/>
          </w:tcPr>
          <w:p w14:paraId="2042A229" w14:textId="77777777" w:rsidR="00454A29" w:rsidRDefault="00454A29"/>
        </w:tc>
        <w:tc>
          <w:tcPr>
            <w:tcW w:w="1701" w:type="dxa"/>
            <w:vAlign w:val="center"/>
          </w:tcPr>
          <w:p w14:paraId="3753C315" w14:textId="77777777" w:rsidR="00454A29" w:rsidRDefault="00454A29">
            <w:pPr>
              <w:pStyle w:val="ConsPlusNormal"/>
            </w:pPr>
          </w:p>
        </w:tc>
        <w:tc>
          <w:tcPr>
            <w:tcW w:w="1814" w:type="dxa"/>
            <w:vAlign w:val="center"/>
          </w:tcPr>
          <w:p w14:paraId="236FBB59" w14:textId="77777777" w:rsidR="00454A29" w:rsidRDefault="00454A29">
            <w:pPr>
              <w:pStyle w:val="ConsPlusNormal"/>
            </w:pPr>
          </w:p>
        </w:tc>
        <w:tc>
          <w:tcPr>
            <w:tcW w:w="1701" w:type="dxa"/>
            <w:vAlign w:val="center"/>
          </w:tcPr>
          <w:p w14:paraId="1072FA16" w14:textId="77777777" w:rsidR="00454A29" w:rsidRDefault="00454A29">
            <w:pPr>
              <w:pStyle w:val="ConsPlusNormal"/>
            </w:pPr>
          </w:p>
        </w:tc>
        <w:tc>
          <w:tcPr>
            <w:tcW w:w="1701" w:type="dxa"/>
            <w:vAlign w:val="center"/>
          </w:tcPr>
          <w:p w14:paraId="25F0CCAD" w14:textId="77777777" w:rsidR="00454A29" w:rsidRDefault="00454A29">
            <w:pPr>
              <w:pStyle w:val="ConsPlusNormal"/>
            </w:pPr>
          </w:p>
        </w:tc>
        <w:tc>
          <w:tcPr>
            <w:tcW w:w="1814" w:type="dxa"/>
            <w:vAlign w:val="center"/>
          </w:tcPr>
          <w:p w14:paraId="21E8C28B" w14:textId="77777777" w:rsidR="00454A29" w:rsidRDefault="00454A29">
            <w:pPr>
              <w:pStyle w:val="ConsPlusNormal"/>
            </w:pPr>
          </w:p>
        </w:tc>
      </w:tr>
      <w:tr w:rsidR="00454A29" w14:paraId="3180CEC2" w14:textId="77777777">
        <w:tc>
          <w:tcPr>
            <w:tcW w:w="567" w:type="dxa"/>
            <w:vMerge/>
          </w:tcPr>
          <w:p w14:paraId="2A5B05F8" w14:textId="77777777" w:rsidR="00454A29" w:rsidRDefault="00454A29"/>
        </w:tc>
        <w:tc>
          <w:tcPr>
            <w:tcW w:w="3345" w:type="dxa"/>
            <w:vMerge/>
          </w:tcPr>
          <w:p w14:paraId="0100C20E" w14:textId="77777777" w:rsidR="00454A29" w:rsidRDefault="00454A29"/>
        </w:tc>
        <w:tc>
          <w:tcPr>
            <w:tcW w:w="1701" w:type="dxa"/>
            <w:vAlign w:val="center"/>
          </w:tcPr>
          <w:p w14:paraId="15214717" w14:textId="77777777" w:rsidR="00454A29" w:rsidRDefault="00454A29">
            <w:pPr>
              <w:pStyle w:val="ConsPlusNormal"/>
              <w:jc w:val="center"/>
            </w:pPr>
            <w:r>
              <w:t>2023</w:t>
            </w:r>
          </w:p>
        </w:tc>
        <w:tc>
          <w:tcPr>
            <w:tcW w:w="1417" w:type="dxa"/>
            <w:vMerge/>
          </w:tcPr>
          <w:p w14:paraId="38B0F315" w14:textId="77777777" w:rsidR="00454A29" w:rsidRDefault="00454A29"/>
        </w:tc>
        <w:tc>
          <w:tcPr>
            <w:tcW w:w="2204" w:type="dxa"/>
            <w:vMerge/>
          </w:tcPr>
          <w:p w14:paraId="776A34AB" w14:textId="77777777" w:rsidR="00454A29" w:rsidRDefault="00454A29"/>
        </w:tc>
        <w:tc>
          <w:tcPr>
            <w:tcW w:w="1417" w:type="dxa"/>
            <w:vMerge/>
          </w:tcPr>
          <w:p w14:paraId="407389F1" w14:textId="77777777" w:rsidR="00454A29" w:rsidRDefault="00454A29"/>
        </w:tc>
        <w:tc>
          <w:tcPr>
            <w:tcW w:w="2324" w:type="dxa"/>
            <w:vMerge/>
          </w:tcPr>
          <w:p w14:paraId="2B7FCC47" w14:textId="77777777" w:rsidR="00454A29" w:rsidRDefault="00454A29"/>
        </w:tc>
        <w:tc>
          <w:tcPr>
            <w:tcW w:w="1701" w:type="dxa"/>
            <w:vAlign w:val="center"/>
          </w:tcPr>
          <w:p w14:paraId="60CC7E95" w14:textId="77777777" w:rsidR="00454A29" w:rsidRDefault="00454A29">
            <w:pPr>
              <w:pStyle w:val="ConsPlusNormal"/>
            </w:pPr>
          </w:p>
        </w:tc>
        <w:tc>
          <w:tcPr>
            <w:tcW w:w="1814" w:type="dxa"/>
            <w:vAlign w:val="center"/>
          </w:tcPr>
          <w:p w14:paraId="2020FC36" w14:textId="77777777" w:rsidR="00454A29" w:rsidRDefault="00454A29">
            <w:pPr>
              <w:pStyle w:val="ConsPlusNormal"/>
            </w:pPr>
          </w:p>
        </w:tc>
        <w:tc>
          <w:tcPr>
            <w:tcW w:w="1701" w:type="dxa"/>
            <w:vAlign w:val="center"/>
          </w:tcPr>
          <w:p w14:paraId="2C78748B" w14:textId="77777777" w:rsidR="00454A29" w:rsidRDefault="00454A29">
            <w:pPr>
              <w:pStyle w:val="ConsPlusNormal"/>
            </w:pPr>
          </w:p>
        </w:tc>
        <w:tc>
          <w:tcPr>
            <w:tcW w:w="1701" w:type="dxa"/>
            <w:vAlign w:val="center"/>
          </w:tcPr>
          <w:p w14:paraId="241BB291" w14:textId="77777777" w:rsidR="00454A29" w:rsidRDefault="00454A29">
            <w:pPr>
              <w:pStyle w:val="ConsPlusNormal"/>
            </w:pPr>
          </w:p>
        </w:tc>
        <w:tc>
          <w:tcPr>
            <w:tcW w:w="1814" w:type="dxa"/>
            <w:vAlign w:val="center"/>
          </w:tcPr>
          <w:p w14:paraId="559E35BF" w14:textId="77777777" w:rsidR="00454A29" w:rsidRDefault="00454A29">
            <w:pPr>
              <w:pStyle w:val="ConsPlusNormal"/>
            </w:pPr>
          </w:p>
        </w:tc>
      </w:tr>
      <w:tr w:rsidR="00454A29" w14:paraId="5E14A9F5" w14:textId="77777777">
        <w:tc>
          <w:tcPr>
            <w:tcW w:w="567" w:type="dxa"/>
            <w:vMerge/>
          </w:tcPr>
          <w:p w14:paraId="3588B14F" w14:textId="77777777" w:rsidR="00454A29" w:rsidRDefault="00454A29"/>
        </w:tc>
        <w:tc>
          <w:tcPr>
            <w:tcW w:w="3345" w:type="dxa"/>
            <w:vMerge/>
          </w:tcPr>
          <w:p w14:paraId="5806EC74" w14:textId="77777777" w:rsidR="00454A29" w:rsidRDefault="00454A29"/>
        </w:tc>
        <w:tc>
          <w:tcPr>
            <w:tcW w:w="1701" w:type="dxa"/>
            <w:vAlign w:val="center"/>
          </w:tcPr>
          <w:p w14:paraId="1CAA064B" w14:textId="77777777" w:rsidR="00454A29" w:rsidRDefault="00454A29">
            <w:pPr>
              <w:pStyle w:val="ConsPlusNormal"/>
              <w:jc w:val="center"/>
            </w:pPr>
            <w:r>
              <w:t>2024</w:t>
            </w:r>
          </w:p>
        </w:tc>
        <w:tc>
          <w:tcPr>
            <w:tcW w:w="1417" w:type="dxa"/>
            <w:vMerge/>
          </w:tcPr>
          <w:p w14:paraId="41C03128" w14:textId="77777777" w:rsidR="00454A29" w:rsidRDefault="00454A29"/>
        </w:tc>
        <w:tc>
          <w:tcPr>
            <w:tcW w:w="2204" w:type="dxa"/>
            <w:vMerge/>
          </w:tcPr>
          <w:p w14:paraId="052A9112" w14:textId="77777777" w:rsidR="00454A29" w:rsidRDefault="00454A29"/>
        </w:tc>
        <w:tc>
          <w:tcPr>
            <w:tcW w:w="1417" w:type="dxa"/>
            <w:vMerge/>
          </w:tcPr>
          <w:p w14:paraId="4D0C023B" w14:textId="77777777" w:rsidR="00454A29" w:rsidRDefault="00454A29"/>
        </w:tc>
        <w:tc>
          <w:tcPr>
            <w:tcW w:w="2324" w:type="dxa"/>
            <w:vMerge/>
          </w:tcPr>
          <w:p w14:paraId="60BE6F18" w14:textId="77777777" w:rsidR="00454A29" w:rsidRDefault="00454A29"/>
        </w:tc>
        <w:tc>
          <w:tcPr>
            <w:tcW w:w="1701" w:type="dxa"/>
            <w:vAlign w:val="center"/>
          </w:tcPr>
          <w:p w14:paraId="04B8C783" w14:textId="77777777" w:rsidR="00454A29" w:rsidRDefault="00454A29">
            <w:pPr>
              <w:pStyle w:val="ConsPlusNormal"/>
            </w:pPr>
          </w:p>
        </w:tc>
        <w:tc>
          <w:tcPr>
            <w:tcW w:w="1814" w:type="dxa"/>
            <w:vAlign w:val="center"/>
          </w:tcPr>
          <w:p w14:paraId="3FCA8D42" w14:textId="77777777" w:rsidR="00454A29" w:rsidRDefault="00454A29">
            <w:pPr>
              <w:pStyle w:val="ConsPlusNormal"/>
            </w:pPr>
          </w:p>
        </w:tc>
        <w:tc>
          <w:tcPr>
            <w:tcW w:w="1701" w:type="dxa"/>
            <w:vAlign w:val="center"/>
          </w:tcPr>
          <w:p w14:paraId="5899FE4F" w14:textId="77777777" w:rsidR="00454A29" w:rsidRDefault="00454A29">
            <w:pPr>
              <w:pStyle w:val="ConsPlusNormal"/>
            </w:pPr>
          </w:p>
        </w:tc>
        <w:tc>
          <w:tcPr>
            <w:tcW w:w="1701" w:type="dxa"/>
            <w:vAlign w:val="center"/>
          </w:tcPr>
          <w:p w14:paraId="26BDF4AB" w14:textId="77777777" w:rsidR="00454A29" w:rsidRDefault="00454A29">
            <w:pPr>
              <w:pStyle w:val="ConsPlusNormal"/>
            </w:pPr>
          </w:p>
        </w:tc>
        <w:tc>
          <w:tcPr>
            <w:tcW w:w="1814" w:type="dxa"/>
            <w:vAlign w:val="center"/>
          </w:tcPr>
          <w:p w14:paraId="60600109" w14:textId="77777777" w:rsidR="00454A29" w:rsidRDefault="00454A29">
            <w:pPr>
              <w:pStyle w:val="ConsPlusNormal"/>
            </w:pPr>
          </w:p>
        </w:tc>
      </w:tr>
      <w:tr w:rsidR="00454A29" w14:paraId="705EB849" w14:textId="77777777">
        <w:tc>
          <w:tcPr>
            <w:tcW w:w="567" w:type="dxa"/>
            <w:vMerge/>
          </w:tcPr>
          <w:p w14:paraId="59C9073A" w14:textId="77777777" w:rsidR="00454A29" w:rsidRDefault="00454A29"/>
        </w:tc>
        <w:tc>
          <w:tcPr>
            <w:tcW w:w="3345" w:type="dxa"/>
            <w:vMerge/>
          </w:tcPr>
          <w:p w14:paraId="10271324" w14:textId="77777777" w:rsidR="00454A29" w:rsidRDefault="00454A29"/>
        </w:tc>
        <w:tc>
          <w:tcPr>
            <w:tcW w:w="1701" w:type="dxa"/>
            <w:vAlign w:val="center"/>
          </w:tcPr>
          <w:p w14:paraId="4616021A" w14:textId="77777777" w:rsidR="00454A29" w:rsidRDefault="00454A29">
            <w:pPr>
              <w:pStyle w:val="ConsPlusNormal"/>
              <w:jc w:val="center"/>
            </w:pPr>
            <w:r>
              <w:t>2025</w:t>
            </w:r>
          </w:p>
        </w:tc>
        <w:tc>
          <w:tcPr>
            <w:tcW w:w="1417" w:type="dxa"/>
            <w:vMerge/>
          </w:tcPr>
          <w:p w14:paraId="555B77DC" w14:textId="77777777" w:rsidR="00454A29" w:rsidRDefault="00454A29"/>
        </w:tc>
        <w:tc>
          <w:tcPr>
            <w:tcW w:w="2204" w:type="dxa"/>
            <w:vMerge/>
          </w:tcPr>
          <w:p w14:paraId="311219A6" w14:textId="77777777" w:rsidR="00454A29" w:rsidRDefault="00454A29"/>
        </w:tc>
        <w:tc>
          <w:tcPr>
            <w:tcW w:w="1417" w:type="dxa"/>
            <w:vMerge/>
          </w:tcPr>
          <w:p w14:paraId="1E6ED045" w14:textId="77777777" w:rsidR="00454A29" w:rsidRDefault="00454A29"/>
        </w:tc>
        <w:tc>
          <w:tcPr>
            <w:tcW w:w="2324" w:type="dxa"/>
            <w:vMerge/>
          </w:tcPr>
          <w:p w14:paraId="1C38AE2D" w14:textId="77777777" w:rsidR="00454A29" w:rsidRDefault="00454A29"/>
        </w:tc>
        <w:tc>
          <w:tcPr>
            <w:tcW w:w="1701" w:type="dxa"/>
            <w:vAlign w:val="center"/>
          </w:tcPr>
          <w:p w14:paraId="457EB649" w14:textId="77777777" w:rsidR="00454A29" w:rsidRDefault="00454A29">
            <w:pPr>
              <w:pStyle w:val="ConsPlusNormal"/>
            </w:pPr>
          </w:p>
        </w:tc>
        <w:tc>
          <w:tcPr>
            <w:tcW w:w="1814" w:type="dxa"/>
            <w:vAlign w:val="center"/>
          </w:tcPr>
          <w:p w14:paraId="2923E25E" w14:textId="77777777" w:rsidR="00454A29" w:rsidRDefault="00454A29">
            <w:pPr>
              <w:pStyle w:val="ConsPlusNormal"/>
            </w:pPr>
          </w:p>
        </w:tc>
        <w:tc>
          <w:tcPr>
            <w:tcW w:w="1701" w:type="dxa"/>
            <w:vAlign w:val="center"/>
          </w:tcPr>
          <w:p w14:paraId="60AFED70" w14:textId="77777777" w:rsidR="00454A29" w:rsidRDefault="00454A29">
            <w:pPr>
              <w:pStyle w:val="ConsPlusNormal"/>
            </w:pPr>
          </w:p>
        </w:tc>
        <w:tc>
          <w:tcPr>
            <w:tcW w:w="1701" w:type="dxa"/>
            <w:vAlign w:val="center"/>
          </w:tcPr>
          <w:p w14:paraId="5834D1DB" w14:textId="77777777" w:rsidR="00454A29" w:rsidRDefault="00454A29">
            <w:pPr>
              <w:pStyle w:val="ConsPlusNormal"/>
            </w:pPr>
          </w:p>
        </w:tc>
        <w:tc>
          <w:tcPr>
            <w:tcW w:w="1814" w:type="dxa"/>
            <w:vAlign w:val="center"/>
          </w:tcPr>
          <w:p w14:paraId="7D63952C" w14:textId="77777777" w:rsidR="00454A29" w:rsidRDefault="00454A29">
            <w:pPr>
              <w:pStyle w:val="ConsPlusNormal"/>
            </w:pPr>
          </w:p>
        </w:tc>
      </w:tr>
      <w:tr w:rsidR="00454A29" w14:paraId="4455E4C4" w14:textId="77777777">
        <w:tc>
          <w:tcPr>
            <w:tcW w:w="567" w:type="dxa"/>
            <w:vMerge/>
          </w:tcPr>
          <w:p w14:paraId="7CD0B9BC" w14:textId="77777777" w:rsidR="00454A29" w:rsidRDefault="00454A29"/>
        </w:tc>
        <w:tc>
          <w:tcPr>
            <w:tcW w:w="3345" w:type="dxa"/>
            <w:vMerge/>
          </w:tcPr>
          <w:p w14:paraId="6E724CD1" w14:textId="77777777" w:rsidR="00454A29" w:rsidRDefault="00454A29"/>
        </w:tc>
        <w:tc>
          <w:tcPr>
            <w:tcW w:w="1701" w:type="dxa"/>
            <w:vAlign w:val="center"/>
          </w:tcPr>
          <w:p w14:paraId="31F9E0F1" w14:textId="77777777" w:rsidR="00454A29" w:rsidRDefault="00454A29">
            <w:pPr>
              <w:pStyle w:val="ConsPlusNormal"/>
              <w:jc w:val="center"/>
            </w:pPr>
            <w:r>
              <w:t>2026</w:t>
            </w:r>
          </w:p>
        </w:tc>
        <w:tc>
          <w:tcPr>
            <w:tcW w:w="1417" w:type="dxa"/>
            <w:vMerge/>
          </w:tcPr>
          <w:p w14:paraId="5A37507F" w14:textId="77777777" w:rsidR="00454A29" w:rsidRDefault="00454A29"/>
        </w:tc>
        <w:tc>
          <w:tcPr>
            <w:tcW w:w="2204" w:type="dxa"/>
            <w:vMerge/>
          </w:tcPr>
          <w:p w14:paraId="1717F4E7" w14:textId="77777777" w:rsidR="00454A29" w:rsidRDefault="00454A29"/>
        </w:tc>
        <w:tc>
          <w:tcPr>
            <w:tcW w:w="1417" w:type="dxa"/>
            <w:vMerge/>
          </w:tcPr>
          <w:p w14:paraId="0D1AF074" w14:textId="77777777" w:rsidR="00454A29" w:rsidRDefault="00454A29"/>
        </w:tc>
        <w:tc>
          <w:tcPr>
            <w:tcW w:w="2324" w:type="dxa"/>
            <w:vMerge/>
          </w:tcPr>
          <w:p w14:paraId="5D873DE6" w14:textId="77777777" w:rsidR="00454A29" w:rsidRDefault="00454A29"/>
        </w:tc>
        <w:tc>
          <w:tcPr>
            <w:tcW w:w="1701" w:type="dxa"/>
            <w:vAlign w:val="center"/>
          </w:tcPr>
          <w:p w14:paraId="285E7D65" w14:textId="77777777" w:rsidR="00454A29" w:rsidRDefault="00454A29">
            <w:pPr>
              <w:pStyle w:val="ConsPlusNormal"/>
              <w:jc w:val="center"/>
            </w:pPr>
            <w:r>
              <w:t>1 279 113,91</w:t>
            </w:r>
          </w:p>
        </w:tc>
        <w:tc>
          <w:tcPr>
            <w:tcW w:w="1814" w:type="dxa"/>
            <w:vAlign w:val="center"/>
          </w:tcPr>
          <w:p w14:paraId="4BFD4131" w14:textId="77777777" w:rsidR="00454A29" w:rsidRDefault="00454A29">
            <w:pPr>
              <w:pStyle w:val="ConsPlusNormal"/>
              <w:jc w:val="center"/>
            </w:pPr>
            <w:r>
              <w:t>15 758,68</w:t>
            </w:r>
          </w:p>
        </w:tc>
        <w:tc>
          <w:tcPr>
            <w:tcW w:w="1701" w:type="dxa"/>
            <w:vAlign w:val="center"/>
          </w:tcPr>
          <w:p w14:paraId="4DBAC2CD" w14:textId="77777777" w:rsidR="00454A29" w:rsidRDefault="00454A29">
            <w:pPr>
              <w:pStyle w:val="ConsPlusNormal"/>
              <w:jc w:val="center"/>
            </w:pPr>
            <w:r>
              <w:t>1 560 109,65</w:t>
            </w:r>
          </w:p>
        </w:tc>
        <w:tc>
          <w:tcPr>
            <w:tcW w:w="1701" w:type="dxa"/>
            <w:vAlign w:val="center"/>
          </w:tcPr>
          <w:p w14:paraId="10D00FB0" w14:textId="77777777" w:rsidR="00454A29" w:rsidRDefault="00454A29">
            <w:pPr>
              <w:pStyle w:val="ConsPlusNormal"/>
            </w:pPr>
          </w:p>
        </w:tc>
        <w:tc>
          <w:tcPr>
            <w:tcW w:w="1814" w:type="dxa"/>
            <w:vAlign w:val="center"/>
          </w:tcPr>
          <w:p w14:paraId="18F684EB" w14:textId="77777777" w:rsidR="00454A29" w:rsidRDefault="00454A29">
            <w:pPr>
              <w:pStyle w:val="ConsPlusNormal"/>
            </w:pPr>
          </w:p>
        </w:tc>
      </w:tr>
      <w:tr w:rsidR="00454A29" w14:paraId="6CCEC7A9" w14:textId="77777777">
        <w:tc>
          <w:tcPr>
            <w:tcW w:w="567" w:type="dxa"/>
            <w:vMerge w:val="restart"/>
            <w:vAlign w:val="center"/>
          </w:tcPr>
          <w:p w14:paraId="2E36124A" w14:textId="77777777" w:rsidR="00454A29" w:rsidRDefault="00454A29">
            <w:pPr>
              <w:pStyle w:val="ConsPlusNormal"/>
              <w:jc w:val="center"/>
            </w:pPr>
            <w:r>
              <w:t>181</w:t>
            </w:r>
          </w:p>
        </w:tc>
        <w:tc>
          <w:tcPr>
            <w:tcW w:w="3345" w:type="dxa"/>
            <w:vMerge w:val="restart"/>
            <w:vAlign w:val="center"/>
          </w:tcPr>
          <w:p w14:paraId="6B68679D" w14:textId="77777777" w:rsidR="00454A29" w:rsidRDefault="00454A29">
            <w:pPr>
              <w:pStyle w:val="ConsPlusNormal"/>
              <w:jc w:val="center"/>
            </w:pPr>
            <w:r>
              <w:t>Школа на 550 учащихся в г. Якутске, квартал 94</w:t>
            </w:r>
          </w:p>
        </w:tc>
        <w:tc>
          <w:tcPr>
            <w:tcW w:w="1701" w:type="dxa"/>
            <w:vAlign w:val="center"/>
          </w:tcPr>
          <w:p w14:paraId="1F5BDDDC" w14:textId="77777777" w:rsidR="00454A29" w:rsidRDefault="00454A29">
            <w:pPr>
              <w:pStyle w:val="ConsPlusNormal"/>
              <w:jc w:val="center"/>
            </w:pPr>
            <w:r>
              <w:t>2020 - 2026 годы - всего</w:t>
            </w:r>
          </w:p>
        </w:tc>
        <w:tc>
          <w:tcPr>
            <w:tcW w:w="1417" w:type="dxa"/>
            <w:vMerge w:val="restart"/>
            <w:vAlign w:val="center"/>
          </w:tcPr>
          <w:p w14:paraId="225B0316" w14:textId="77777777" w:rsidR="00454A29" w:rsidRDefault="00454A29">
            <w:pPr>
              <w:pStyle w:val="ConsPlusNormal"/>
              <w:jc w:val="center"/>
            </w:pPr>
            <w:r>
              <w:t>913 743,00</w:t>
            </w:r>
          </w:p>
        </w:tc>
        <w:tc>
          <w:tcPr>
            <w:tcW w:w="2204" w:type="dxa"/>
            <w:vMerge w:val="restart"/>
            <w:vAlign w:val="center"/>
          </w:tcPr>
          <w:p w14:paraId="18922562" w14:textId="77777777" w:rsidR="00454A29" w:rsidRDefault="00454A29">
            <w:pPr>
              <w:pStyle w:val="ConsPlusNormal"/>
            </w:pPr>
          </w:p>
        </w:tc>
        <w:tc>
          <w:tcPr>
            <w:tcW w:w="1417" w:type="dxa"/>
            <w:vMerge w:val="restart"/>
            <w:vAlign w:val="center"/>
          </w:tcPr>
          <w:p w14:paraId="39B0D188" w14:textId="77777777" w:rsidR="00454A29" w:rsidRDefault="00454A29">
            <w:pPr>
              <w:pStyle w:val="ConsPlusNormal"/>
              <w:jc w:val="center"/>
            </w:pPr>
            <w:r>
              <w:t>550</w:t>
            </w:r>
          </w:p>
        </w:tc>
        <w:tc>
          <w:tcPr>
            <w:tcW w:w="2324" w:type="dxa"/>
            <w:vMerge w:val="restart"/>
            <w:vAlign w:val="center"/>
          </w:tcPr>
          <w:p w14:paraId="4F63195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7CFC44C" w14:textId="77777777" w:rsidR="00454A29" w:rsidRDefault="00454A29">
            <w:pPr>
              <w:pStyle w:val="ConsPlusNormal"/>
              <w:jc w:val="center"/>
            </w:pPr>
            <w:r>
              <w:t>913 743,00</w:t>
            </w:r>
          </w:p>
        </w:tc>
        <w:tc>
          <w:tcPr>
            <w:tcW w:w="1814" w:type="dxa"/>
            <w:vAlign w:val="center"/>
          </w:tcPr>
          <w:p w14:paraId="68AA5918" w14:textId="77777777" w:rsidR="00454A29" w:rsidRDefault="00454A29">
            <w:pPr>
              <w:pStyle w:val="ConsPlusNormal"/>
              <w:jc w:val="center"/>
            </w:pPr>
            <w:r>
              <w:t>11 257,31</w:t>
            </w:r>
          </w:p>
        </w:tc>
        <w:tc>
          <w:tcPr>
            <w:tcW w:w="1701" w:type="dxa"/>
            <w:vAlign w:val="center"/>
          </w:tcPr>
          <w:p w14:paraId="6A28E47A" w14:textId="77777777" w:rsidR="00454A29" w:rsidRDefault="00454A29">
            <w:pPr>
              <w:pStyle w:val="ConsPlusNormal"/>
              <w:jc w:val="center"/>
            </w:pPr>
            <w:r>
              <w:t>1 114 474,07</w:t>
            </w:r>
          </w:p>
        </w:tc>
        <w:tc>
          <w:tcPr>
            <w:tcW w:w="1701" w:type="dxa"/>
            <w:vAlign w:val="center"/>
          </w:tcPr>
          <w:p w14:paraId="3DD218B4" w14:textId="77777777" w:rsidR="00454A29" w:rsidRDefault="00454A29">
            <w:pPr>
              <w:pStyle w:val="ConsPlusNormal"/>
              <w:jc w:val="center"/>
            </w:pPr>
            <w:r>
              <w:t>-</w:t>
            </w:r>
          </w:p>
        </w:tc>
        <w:tc>
          <w:tcPr>
            <w:tcW w:w="1814" w:type="dxa"/>
            <w:vAlign w:val="center"/>
          </w:tcPr>
          <w:p w14:paraId="400A78F3" w14:textId="77777777" w:rsidR="00454A29" w:rsidRDefault="00454A29">
            <w:pPr>
              <w:pStyle w:val="ConsPlusNormal"/>
              <w:jc w:val="center"/>
            </w:pPr>
            <w:r>
              <w:t>-</w:t>
            </w:r>
          </w:p>
        </w:tc>
      </w:tr>
      <w:tr w:rsidR="00454A29" w14:paraId="3FCFBF6F" w14:textId="77777777">
        <w:tc>
          <w:tcPr>
            <w:tcW w:w="567" w:type="dxa"/>
            <w:vMerge/>
          </w:tcPr>
          <w:p w14:paraId="53CE7FE0" w14:textId="77777777" w:rsidR="00454A29" w:rsidRDefault="00454A29"/>
        </w:tc>
        <w:tc>
          <w:tcPr>
            <w:tcW w:w="3345" w:type="dxa"/>
            <w:vMerge/>
          </w:tcPr>
          <w:p w14:paraId="340C9A5A" w14:textId="77777777" w:rsidR="00454A29" w:rsidRDefault="00454A29"/>
        </w:tc>
        <w:tc>
          <w:tcPr>
            <w:tcW w:w="1701" w:type="dxa"/>
            <w:vAlign w:val="center"/>
          </w:tcPr>
          <w:p w14:paraId="628A50B3" w14:textId="77777777" w:rsidR="00454A29" w:rsidRDefault="00454A29">
            <w:pPr>
              <w:pStyle w:val="ConsPlusNormal"/>
              <w:jc w:val="center"/>
            </w:pPr>
            <w:r>
              <w:t>2020</w:t>
            </w:r>
          </w:p>
        </w:tc>
        <w:tc>
          <w:tcPr>
            <w:tcW w:w="1417" w:type="dxa"/>
            <w:vMerge/>
          </w:tcPr>
          <w:p w14:paraId="6F46D358" w14:textId="77777777" w:rsidR="00454A29" w:rsidRDefault="00454A29"/>
        </w:tc>
        <w:tc>
          <w:tcPr>
            <w:tcW w:w="2204" w:type="dxa"/>
            <w:vMerge/>
          </w:tcPr>
          <w:p w14:paraId="0B26BB87" w14:textId="77777777" w:rsidR="00454A29" w:rsidRDefault="00454A29"/>
        </w:tc>
        <w:tc>
          <w:tcPr>
            <w:tcW w:w="1417" w:type="dxa"/>
            <w:vMerge/>
          </w:tcPr>
          <w:p w14:paraId="67F4D486" w14:textId="77777777" w:rsidR="00454A29" w:rsidRDefault="00454A29"/>
        </w:tc>
        <w:tc>
          <w:tcPr>
            <w:tcW w:w="2324" w:type="dxa"/>
            <w:vMerge/>
          </w:tcPr>
          <w:p w14:paraId="368A1882" w14:textId="77777777" w:rsidR="00454A29" w:rsidRDefault="00454A29"/>
        </w:tc>
        <w:tc>
          <w:tcPr>
            <w:tcW w:w="1701" w:type="dxa"/>
            <w:vAlign w:val="center"/>
          </w:tcPr>
          <w:p w14:paraId="6ADB086B" w14:textId="77777777" w:rsidR="00454A29" w:rsidRDefault="00454A29">
            <w:pPr>
              <w:pStyle w:val="ConsPlusNormal"/>
            </w:pPr>
          </w:p>
        </w:tc>
        <w:tc>
          <w:tcPr>
            <w:tcW w:w="1814" w:type="dxa"/>
            <w:vAlign w:val="center"/>
          </w:tcPr>
          <w:p w14:paraId="6FDEDEDD" w14:textId="77777777" w:rsidR="00454A29" w:rsidRDefault="00454A29">
            <w:pPr>
              <w:pStyle w:val="ConsPlusNormal"/>
            </w:pPr>
          </w:p>
        </w:tc>
        <w:tc>
          <w:tcPr>
            <w:tcW w:w="1701" w:type="dxa"/>
            <w:vAlign w:val="center"/>
          </w:tcPr>
          <w:p w14:paraId="5418B700" w14:textId="77777777" w:rsidR="00454A29" w:rsidRDefault="00454A29">
            <w:pPr>
              <w:pStyle w:val="ConsPlusNormal"/>
            </w:pPr>
          </w:p>
        </w:tc>
        <w:tc>
          <w:tcPr>
            <w:tcW w:w="1701" w:type="dxa"/>
            <w:vAlign w:val="center"/>
          </w:tcPr>
          <w:p w14:paraId="5331586F" w14:textId="77777777" w:rsidR="00454A29" w:rsidRDefault="00454A29">
            <w:pPr>
              <w:pStyle w:val="ConsPlusNormal"/>
            </w:pPr>
          </w:p>
        </w:tc>
        <w:tc>
          <w:tcPr>
            <w:tcW w:w="1814" w:type="dxa"/>
            <w:vAlign w:val="center"/>
          </w:tcPr>
          <w:p w14:paraId="271A8792" w14:textId="77777777" w:rsidR="00454A29" w:rsidRDefault="00454A29">
            <w:pPr>
              <w:pStyle w:val="ConsPlusNormal"/>
            </w:pPr>
          </w:p>
        </w:tc>
      </w:tr>
      <w:tr w:rsidR="00454A29" w14:paraId="61BF36F6" w14:textId="77777777">
        <w:tc>
          <w:tcPr>
            <w:tcW w:w="567" w:type="dxa"/>
            <w:vMerge/>
          </w:tcPr>
          <w:p w14:paraId="1FEFE589" w14:textId="77777777" w:rsidR="00454A29" w:rsidRDefault="00454A29"/>
        </w:tc>
        <w:tc>
          <w:tcPr>
            <w:tcW w:w="3345" w:type="dxa"/>
            <w:vMerge/>
          </w:tcPr>
          <w:p w14:paraId="514574F0" w14:textId="77777777" w:rsidR="00454A29" w:rsidRDefault="00454A29"/>
        </w:tc>
        <w:tc>
          <w:tcPr>
            <w:tcW w:w="1701" w:type="dxa"/>
            <w:vAlign w:val="center"/>
          </w:tcPr>
          <w:p w14:paraId="70A3EF8E" w14:textId="77777777" w:rsidR="00454A29" w:rsidRDefault="00454A29">
            <w:pPr>
              <w:pStyle w:val="ConsPlusNormal"/>
              <w:jc w:val="center"/>
            </w:pPr>
            <w:r>
              <w:t>2021</w:t>
            </w:r>
          </w:p>
        </w:tc>
        <w:tc>
          <w:tcPr>
            <w:tcW w:w="1417" w:type="dxa"/>
            <w:vMerge/>
          </w:tcPr>
          <w:p w14:paraId="5C2A08A7" w14:textId="77777777" w:rsidR="00454A29" w:rsidRDefault="00454A29"/>
        </w:tc>
        <w:tc>
          <w:tcPr>
            <w:tcW w:w="2204" w:type="dxa"/>
            <w:vMerge/>
          </w:tcPr>
          <w:p w14:paraId="539AE86D" w14:textId="77777777" w:rsidR="00454A29" w:rsidRDefault="00454A29"/>
        </w:tc>
        <w:tc>
          <w:tcPr>
            <w:tcW w:w="1417" w:type="dxa"/>
            <w:vMerge/>
          </w:tcPr>
          <w:p w14:paraId="78D37DCD" w14:textId="77777777" w:rsidR="00454A29" w:rsidRDefault="00454A29"/>
        </w:tc>
        <w:tc>
          <w:tcPr>
            <w:tcW w:w="2324" w:type="dxa"/>
            <w:vMerge/>
          </w:tcPr>
          <w:p w14:paraId="648E2A5D" w14:textId="77777777" w:rsidR="00454A29" w:rsidRDefault="00454A29"/>
        </w:tc>
        <w:tc>
          <w:tcPr>
            <w:tcW w:w="1701" w:type="dxa"/>
            <w:vAlign w:val="center"/>
          </w:tcPr>
          <w:p w14:paraId="3CFC2C98" w14:textId="77777777" w:rsidR="00454A29" w:rsidRDefault="00454A29">
            <w:pPr>
              <w:pStyle w:val="ConsPlusNormal"/>
              <w:jc w:val="center"/>
            </w:pPr>
            <w:r>
              <w:t>-</w:t>
            </w:r>
          </w:p>
        </w:tc>
        <w:tc>
          <w:tcPr>
            <w:tcW w:w="1814" w:type="dxa"/>
            <w:vAlign w:val="center"/>
          </w:tcPr>
          <w:p w14:paraId="314791E5" w14:textId="77777777" w:rsidR="00454A29" w:rsidRDefault="00454A29">
            <w:pPr>
              <w:pStyle w:val="ConsPlusNormal"/>
            </w:pPr>
          </w:p>
        </w:tc>
        <w:tc>
          <w:tcPr>
            <w:tcW w:w="1701" w:type="dxa"/>
            <w:vAlign w:val="center"/>
          </w:tcPr>
          <w:p w14:paraId="21B4CD65" w14:textId="77777777" w:rsidR="00454A29" w:rsidRDefault="00454A29">
            <w:pPr>
              <w:pStyle w:val="ConsPlusNormal"/>
            </w:pPr>
          </w:p>
        </w:tc>
        <w:tc>
          <w:tcPr>
            <w:tcW w:w="1701" w:type="dxa"/>
            <w:vAlign w:val="center"/>
          </w:tcPr>
          <w:p w14:paraId="30384EF2" w14:textId="77777777" w:rsidR="00454A29" w:rsidRDefault="00454A29">
            <w:pPr>
              <w:pStyle w:val="ConsPlusNormal"/>
            </w:pPr>
          </w:p>
        </w:tc>
        <w:tc>
          <w:tcPr>
            <w:tcW w:w="1814" w:type="dxa"/>
            <w:vAlign w:val="center"/>
          </w:tcPr>
          <w:p w14:paraId="7B3956AD" w14:textId="77777777" w:rsidR="00454A29" w:rsidRDefault="00454A29">
            <w:pPr>
              <w:pStyle w:val="ConsPlusNormal"/>
            </w:pPr>
          </w:p>
        </w:tc>
      </w:tr>
      <w:tr w:rsidR="00454A29" w14:paraId="7AC72033" w14:textId="77777777">
        <w:tc>
          <w:tcPr>
            <w:tcW w:w="567" w:type="dxa"/>
            <w:vMerge/>
          </w:tcPr>
          <w:p w14:paraId="7FAC6EFA" w14:textId="77777777" w:rsidR="00454A29" w:rsidRDefault="00454A29"/>
        </w:tc>
        <w:tc>
          <w:tcPr>
            <w:tcW w:w="3345" w:type="dxa"/>
            <w:vMerge/>
          </w:tcPr>
          <w:p w14:paraId="152A7771" w14:textId="77777777" w:rsidR="00454A29" w:rsidRDefault="00454A29"/>
        </w:tc>
        <w:tc>
          <w:tcPr>
            <w:tcW w:w="1701" w:type="dxa"/>
            <w:vAlign w:val="center"/>
          </w:tcPr>
          <w:p w14:paraId="1934DF07" w14:textId="77777777" w:rsidR="00454A29" w:rsidRDefault="00454A29">
            <w:pPr>
              <w:pStyle w:val="ConsPlusNormal"/>
              <w:jc w:val="center"/>
            </w:pPr>
            <w:r>
              <w:t>2022</w:t>
            </w:r>
          </w:p>
        </w:tc>
        <w:tc>
          <w:tcPr>
            <w:tcW w:w="1417" w:type="dxa"/>
            <w:vMerge/>
          </w:tcPr>
          <w:p w14:paraId="1C5CD321" w14:textId="77777777" w:rsidR="00454A29" w:rsidRDefault="00454A29"/>
        </w:tc>
        <w:tc>
          <w:tcPr>
            <w:tcW w:w="2204" w:type="dxa"/>
            <w:vMerge/>
          </w:tcPr>
          <w:p w14:paraId="301C6CAF" w14:textId="77777777" w:rsidR="00454A29" w:rsidRDefault="00454A29"/>
        </w:tc>
        <w:tc>
          <w:tcPr>
            <w:tcW w:w="1417" w:type="dxa"/>
            <w:vMerge/>
          </w:tcPr>
          <w:p w14:paraId="4D824B4B" w14:textId="77777777" w:rsidR="00454A29" w:rsidRDefault="00454A29"/>
        </w:tc>
        <w:tc>
          <w:tcPr>
            <w:tcW w:w="2324" w:type="dxa"/>
            <w:vMerge/>
          </w:tcPr>
          <w:p w14:paraId="1A8F4E4C" w14:textId="77777777" w:rsidR="00454A29" w:rsidRDefault="00454A29"/>
        </w:tc>
        <w:tc>
          <w:tcPr>
            <w:tcW w:w="1701" w:type="dxa"/>
            <w:vAlign w:val="center"/>
          </w:tcPr>
          <w:p w14:paraId="06BB691E" w14:textId="77777777" w:rsidR="00454A29" w:rsidRDefault="00454A29">
            <w:pPr>
              <w:pStyle w:val="ConsPlusNormal"/>
            </w:pPr>
          </w:p>
        </w:tc>
        <w:tc>
          <w:tcPr>
            <w:tcW w:w="1814" w:type="dxa"/>
            <w:vAlign w:val="center"/>
          </w:tcPr>
          <w:p w14:paraId="5EBC5D84" w14:textId="77777777" w:rsidR="00454A29" w:rsidRDefault="00454A29">
            <w:pPr>
              <w:pStyle w:val="ConsPlusNormal"/>
            </w:pPr>
          </w:p>
        </w:tc>
        <w:tc>
          <w:tcPr>
            <w:tcW w:w="1701" w:type="dxa"/>
            <w:vAlign w:val="center"/>
          </w:tcPr>
          <w:p w14:paraId="7B5C84F0" w14:textId="77777777" w:rsidR="00454A29" w:rsidRDefault="00454A29">
            <w:pPr>
              <w:pStyle w:val="ConsPlusNormal"/>
            </w:pPr>
          </w:p>
        </w:tc>
        <w:tc>
          <w:tcPr>
            <w:tcW w:w="1701" w:type="dxa"/>
            <w:vAlign w:val="center"/>
          </w:tcPr>
          <w:p w14:paraId="2764F249" w14:textId="77777777" w:rsidR="00454A29" w:rsidRDefault="00454A29">
            <w:pPr>
              <w:pStyle w:val="ConsPlusNormal"/>
            </w:pPr>
          </w:p>
        </w:tc>
        <w:tc>
          <w:tcPr>
            <w:tcW w:w="1814" w:type="dxa"/>
            <w:vAlign w:val="center"/>
          </w:tcPr>
          <w:p w14:paraId="66AFA12D" w14:textId="77777777" w:rsidR="00454A29" w:rsidRDefault="00454A29">
            <w:pPr>
              <w:pStyle w:val="ConsPlusNormal"/>
            </w:pPr>
          </w:p>
        </w:tc>
      </w:tr>
      <w:tr w:rsidR="00454A29" w14:paraId="7B3D92BD" w14:textId="77777777">
        <w:tc>
          <w:tcPr>
            <w:tcW w:w="567" w:type="dxa"/>
            <w:vMerge/>
          </w:tcPr>
          <w:p w14:paraId="442B3119" w14:textId="77777777" w:rsidR="00454A29" w:rsidRDefault="00454A29"/>
        </w:tc>
        <w:tc>
          <w:tcPr>
            <w:tcW w:w="3345" w:type="dxa"/>
            <w:vMerge/>
          </w:tcPr>
          <w:p w14:paraId="48076D90" w14:textId="77777777" w:rsidR="00454A29" w:rsidRDefault="00454A29"/>
        </w:tc>
        <w:tc>
          <w:tcPr>
            <w:tcW w:w="1701" w:type="dxa"/>
            <w:vAlign w:val="center"/>
          </w:tcPr>
          <w:p w14:paraId="60031337" w14:textId="77777777" w:rsidR="00454A29" w:rsidRDefault="00454A29">
            <w:pPr>
              <w:pStyle w:val="ConsPlusNormal"/>
              <w:jc w:val="center"/>
            </w:pPr>
            <w:r>
              <w:t>2023</w:t>
            </w:r>
          </w:p>
        </w:tc>
        <w:tc>
          <w:tcPr>
            <w:tcW w:w="1417" w:type="dxa"/>
            <w:vMerge/>
          </w:tcPr>
          <w:p w14:paraId="71050004" w14:textId="77777777" w:rsidR="00454A29" w:rsidRDefault="00454A29"/>
        </w:tc>
        <w:tc>
          <w:tcPr>
            <w:tcW w:w="2204" w:type="dxa"/>
            <w:vMerge/>
          </w:tcPr>
          <w:p w14:paraId="67DE8DE4" w14:textId="77777777" w:rsidR="00454A29" w:rsidRDefault="00454A29"/>
        </w:tc>
        <w:tc>
          <w:tcPr>
            <w:tcW w:w="1417" w:type="dxa"/>
            <w:vMerge/>
          </w:tcPr>
          <w:p w14:paraId="5FF64828" w14:textId="77777777" w:rsidR="00454A29" w:rsidRDefault="00454A29"/>
        </w:tc>
        <w:tc>
          <w:tcPr>
            <w:tcW w:w="2324" w:type="dxa"/>
            <w:vMerge/>
          </w:tcPr>
          <w:p w14:paraId="063B08B1" w14:textId="77777777" w:rsidR="00454A29" w:rsidRDefault="00454A29"/>
        </w:tc>
        <w:tc>
          <w:tcPr>
            <w:tcW w:w="1701" w:type="dxa"/>
            <w:vAlign w:val="center"/>
          </w:tcPr>
          <w:p w14:paraId="21C91FD5" w14:textId="77777777" w:rsidR="00454A29" w:rsidRDefault="00454A29">
            <w:pPr>
              <w:pStyle w:val="ConsPlusNormal"/>
            </w:pPr>
          </w:p>
        </w:tc>
        <w:tc>
          <w:tcPr>
            <w:tcW w:w="1814" w:type="dxa"/>
            <w:vAlign w:val="center"/>
          </w:tcPr>
          <w:p w14:paraId="3BD6E454" w14:textId="77777777" w:rsidR="00454A29" w:rsidRDefault="00454A29">
            <w:pPr>
              <w:pStyle w:val="ConsPlusNormal"/>
            </w:pPr>
          </w:p>
        </w:tc>
        <w:tc>
          <w:tcPr>
            <w:tcW w:w="1701" w:type="dxa"/>
            <w:vAlign w:val="center"/>
          </w:tcPr>
          <w:p w14:paraId="3E023BF7" w14:textId="77777777" w:rsidR="00454A29" w:rsidRDefault="00454A29">
            <w:pPr>
              <w:pStyle w:val="ConsPlusNormal"/>
            </w:pPr>
          </w:p>
        </w:tc>
        <w:tc>
          <w:tcPr>
            <w:tcW w:w="1701" w:type="dxa"/>
            <w:vAlign w:val="center"/>
          </w:tcPr>
          <w:p w14:paraId="76C33736" w14:textId="77777777" w:rsidR="00454A29" w:rsidRDefault="00454A29">
            <w:pPr>
              <w:pStyle w:val="ConsPlusNormal"/>
            </w:pPr>
          </w:p>
        </w:tc>
        <w:tc>
          <w:tcPr>
            <w:tcW w:w="1814" w:type="dxa"/>
            <w:vAlign w:val="center"/>
          </w:tcPr>
          <w:p w14:paraId="3A2A1392" w14:textId="77777777" w:rsidR="00454A29" w:rsidRDefault="00454A29">
            <w:pPr>
              <w:pStyle w:val="ConsPlusNormal"/>
            </w:pPr>
          </w:p>
        </w:tc>
      </w:tr>
      <w:tr w:rsidR="00454A29" w14:paraId="68E30FF3" w14:textId="77777777">
        <w:tc>
          <w:tcPr>
            <w:tcW w:w="567" w:type="dxa"/>
            <w:vMerge/>
          </w:tcPr>
          <w:p w14:paraId="0433608A" w14:textId="77777777" w:rsidR="00454A29" w:rsidRDefault="00454A29"/>
        </w:tc>
        <w:tc>
          <w:tcPr>
            <w:tcW w:w="3345" w:type="dxa"/>
            <w:vMerge/>
          </w:tcPr>
          <w:p w14:paraId="420B359F" w14:textId="77777777" w:rsidR="00454A29" w:rsidRDefault="00454A29"/>
        </w:tc>
        <w:tc>
          <w:tcPr>
            <w:tcW w:w="1701" w:type="dxa"/>
            <w:vAlign w:val="center"/>
          </w:tcPr>
          <w:p w14:paraId="4314E409" w14:textId="77777777" w:rsidR="00454A29" w:rsidRDefault="00454A29">
            <w:pPr>
              <w:pStyle w:val="ConsPlusNormal"/>
              <w:jc w:val="center"/>
            </w:pPr>
            <w:r>
              <w:t>2024</w:t>
            </w:r>
          </w:p>
        </w:tc>
        <w:tc>
          <w:tcPr>
            <w:tcW w:w="1417" w:type="dxa"/>
            <w:vMerge/>
          </w:tcPr>
          <w:p w14:paraId="137D0DDB" w14:textId="77777777" w:rsidR="00454A29" w:rsidRDefault="00454A29"/>
        </w:tc>
        <w:tc>
          <w:tcPr>
            <w:tcW w:w="2204" w:type="dxa"/>
            <w:vMerge/>
          </w:tcPr>
          <w:p w14:paraId="3F894334" w14:textId="77777777" w:rsidR="00454A29" w:rsidRDefault="00454A29"/>
        </w:tc>
        <w:tc>
          <w:tcPr>
            <w:tcW w:w="1417" w:type="dxa"/>
            <w:vMerge/>
          </w:tcPr>
          <w:p w14:paraId="0FE40805" w14:textId="77777777" w:rsidR="00454A29" w:rsidRDefault="00454A29"/>
        </w:tc>
        <w:tc>
          <w:tcPr>
            <w:tcW w:w="2324" w:type="dxa"/>
            <w:vMerge/>
          </w:tcPr>
          <w:p w14:paraId="3A147166" w14:textId="77777777" w:rsidR="00454A29" w:rsidRDefault="00454A29"/>
        </w:tc>
        <w:tc>
          <w:tcPr>
            <w:tcW w:w="1701" w:type="dxa"/>
            <w:vAlign w:val="center"/>
          </w:tcPr>
          <w:p w14:paraId="3D4F17C4" w14:textId="77777777" w:rsidR="00454A29" w:rsidRDefault="00454A29">
            <w:pPr>
              <w:pStyle w:val="ConsPlusNormal"/>
            </w:pPr>
          </w:p>
        </w:tc>
        <w:tc>
          <w:tcPr>
            <w:tcW w:w="1814" w:type="dxa"/>
            <w:vAlign w:val="center"/>
          </w:tcPr>
          <w:p w14:paraId="1E4F9F82" w14:textId="77777777" w:rsidR="00454A29" w:rsidRDefault="00454A29">
            <w:pPr>
              <w:pStyle w:val="ConsPlusNormal"/>
            </w:pPr>
          </w:p>
        </w:tc>
        <w:tc>
          <w:tcPr>
            <w:tcW w:w="1701" w:type="dxa"/>
            <w:vAlign w:val="center"/>
          </w:tcPr>
          <w:p w14:paraId="6FA707E1" w14:textId="77777777" w:rsidR="00454A29" w:rsidRDefault="00454A29">
            <w:pPr>
              <w:pStyle w:val="ConsPlusNormal"/>
            </w:pPr>
          </w:p>
        </w:tc>
        <w:tc>
          <w:tcPr>
            <w:tcW w:w="1701" w:type="dxa"/>
            <w:vAlign w:val="center"/>
          </w:tcPr>
          <w:p w14:paraId="75E631C7" w14:textId="77777777" w:rsidR="00454A29" w:rsidRDefault="00454A29">
            <w:pPr>
              <w:pStyle w:val="ConsPlusNormal"/>
            </w:pPr>
          </w:p>
        </w:tc>
        <w:tc>
          <w:tcPr>
            <w:tcW w:w="1814" w:type="dxa"/>
            <w:vAlign w:val="center"/>
          </w:tcPr>
          <w:p w14:paraId="1B10A6FE" w14:textId="77777777" w:rsidR="00454A29" w:rsidRDefault="00454A29">
            <w:pPr>
              <w:pStyle w:val="ConsPlusNormal"/>
            </w:pPr>
          </w:p>
        </w:tc>
      </w:tr>
      <w:tr w:rsidR="00454A29" w14:paraId="30BE50A8" w14:textId="77777777">
        <w:tc>
          <w:tcPr>
            <w:tcW w:w="567" w:type="dxa"/>
            <w:vMerge/>
          </w:tcPr>
          <w:p w14:paraId="69E7C786" w14:textId="77777777" w:rsidR="00454A29" w:rsidRDefault="00454A29"/>
        </w:tc>
        <w:tc>
          <w:tcPr>
            <w:tcW w:w="3345" w:type="dxa"/>
            <w:vMerge/>
          </w:tcPr>
          <w:p w14:paraId="7BDE4F3F" w14:textId="77777777" w:rsidR="00454A29" w:rsidRDefault="00454A29"/>
        </w:tc>
        <w:tc>
          <w:tcPr>
            <w:tcW w:w="1701" w:type="dxa"/>
            <w:vAlign w:val="center"/>
          </w:tcPr>
          <w:p w14:paraId="1A930F7D" w14:textId="77777777" w:rsidR="00454A29" w:rsidRDefault="00454A29">
            <w:pPr>
              <w:pStyle w:val="ConsPlusNormal"/>
              <w:jc w:val="center"/>
            </w:pPr>
            <w:r>
              <w:t>2025</w:t>
            </w:r>
          </w:p>
        </w:tc>
        <w:tc>
          <w:tcPr>
            <w:tcW w:w="1417" w:type="dxa"/>
            <w:vMerge/>
          </w:tcPr>
          <w:p w14:paraId="16C5DB98" w14:textId="77777777" w:rsidR="00454A29" w:rsidRDefault="00454A29"/>
        </w:tc>
        <w:tc>
          <w:tcPr>
            <w:tcW w:w="2204" w:type="dxa"/>
            <w:vMerge/>
          </w:tcPr>
          <w:p w14:paraId="3F861E00" w14:textId="77777777" w:rsidR="00454A29" w:rsidRDefault="00454A29"/>
        </w:tc>
        <w:tc>
          <w:tcPr>
            <w:tcW w:w="1417" w:type="dxa"/>
            <w:vMerge/>
          </w:tcPr>
          <w:p w14:paraId="1739C04B" w14:textId="77777777" w:rsidR="00454A29" w:rsidRDefault="00454A29"/>
        </w:tc>
        <w:tc>
          <w:tcPr>
            <w:tcW w:w="2324" w:type="dxa"/>
            <w:vMerge/>
          </w:tcPr>
          <w:p w14:paraId="1D92AC01" w14:textId="77777777" w:rsidR="00454A29" w:rsidRDefault="00454A29"/>
        </w:tc>
        <w:tc>
          <w:tcPr>
            <w:tcW w:w="1701" w:type="dxa"/>
            <w:vAlign w:val="center"/>
          </w:tcPr>
          <w:p w14:paraId="1EDD6307" w14:textId="77777777" w:rsidR="00454A29" w:rsidRDefault="00454A29">
            <w:pPr>
              <w:pStyle w:val="ConsPlusNormal"/>
            </w:pPr>
          </w:p>
        </w:tc>
        <w:tc>
          <w:tcPr>
            <w:tcW w:w="1814" w:type="dxa"/>
            <w:vAlign w:val="center"/>
          </w:tcPr>
          <w:p w14:paraId="2E2CD404" w14:textId="77777777" w:rsidR="00454A29" w:rsidRDefault="00454A29">
            <w:pPr>
              <w:pStyle w:val="ConsPlusNormal"/>
            </w:pPr>
          </w:p>
        </w:tc>
        <w:tc>
          <w:tcPr>
            <w:tcW w:w="1701" w:type="dxa"/>
            <w:vAlign w:val="center"/>
          </w:tcPr>
          <w:p w14:paraId="08CE7A71" w14:textId="77777777" w:rsidR="00454A29" w:rsidRDefault="00454A29">
            <w:pPr>
              <w:pStyle w:val="ConsPlusNormal"/>
            </w:pPr>
          </w:p>
        </w:tc>
        <w:tc>
          <w:tcPr>
            <w:tcW w:w="1701" w:type="dxa"/>
            <w:vAlign w:val="center"/>
          </w:tcPr>
          <w:p w14:paraId="743C047C" w14:textId="77777777" w:rsidR="00454A29" w:rsidRDefault="00454A29">
            <w:pPr>
              <w:pStyle w:val="ConsPlusNormal"/>
            </w:pPr>
          </w:p>
        </w:tc>
        <w:tc>
          <w:tcPr>
            <w:tcW w:w="1814" w:type="dxa"/>
            <w:vAlign w:val="center"/>
          </w:tcPr>
          <w:p w14:paraId="3D84F52B" w14:textId="77777777" w:rsidR="00454A29" w:rsidRDefault="00454A29">
            <w:pPr>
              <w:pStyle w:val="ConsPlusNormal"/>
            </w:pPr>
          </w:p>
        </w:tc>
      </w:tr>
      <w:tr w:rsidR="00454A29" w14:paraId="689A9CCE" w14:textId="77777777">
        <w:tc>
          <w:tcPr>
            <w:tcW w:w="567" w:type="dxa"/>
            <w:vMerge/>
          </w:tcPr>
          <w:p w14:paraId="1029154D" w14:textId="77777777" w:rsidR="00454A29" w:rsidRDefault="00454A29"/>
        </w:tc>
        <w:tc>
          <w:tcPr>
            <w:tcW w:w="3345" w:type="dxa"/>
            <w:vMerge/>
          </w:tcPr>
          <w:p w14:paraId="1322DD67" w14:textId="77777777" w:rsidR="00454A29" w:rsidRDefault="00454A29"/>
        </w:tc>
        <w:tc>
          <w:tcPr>
            <w:tcW w:w="1701" w:type="dxa"/>
            <w:vAlign w:val="center"/>
          </w:tcPr>
          <w:p w14:paraId="3B947543" w14:textId="77777777" w:rsidR="00454A29" w:rsidRDefault="00454A29">
            <w:pPr>
              <w:pStyle w:val="ConsPlusNormal"/>
              <w:jc w:val="center"/>
            </w:pPr>
            <w:r>
              <w:t>2026</w:t>
            </w:r>
          </w:p>
        </w:tc>
        <w:tc>
          <w:tcPr>
            <w:tcW w:w="1417" w:type="dxa"/>
            <w:vMerge/>
          </w:tcPr>
          <w:p w14:paraId="496351B2" w14:textId="77777777" w:rsidR="00454A29" w:rsidRDefault="00454A29"/>
        </w:tc>
        <w:tc>
          <w:tcPr>
            <w:tcW w:w="2204" w:type="dxa"/>
            <w:vMerge/>
          </w:tcPr>
          <w:p w14:paraId="02420903" w14:textId="77777777" w:rsidR="00454A29" w:rsidRDefault="00454A29"/>
        </w:tc>
        <w:tc>
          <w:tcPr>
            <w:tcW w:w="1417" w:type="dxa"/>
            <w:vMerge/>
          </w:tcPr>
          <w:p w14:paraId="3A60686B" w14:textId="77777777" w:rsidR="00454A29" w:rsidRDefault="00454A29"/>
        </w:tc>
        <w:tc>
          <w:tcPr>
            <w:tcW w:w="2324" w:type="dxa"/>
            <w:vMerge/>
          </w:tcPr>
          <w:p w14:paraId="1F92B0C9" w14:textId="77777777" w:rsidR="00454A29" w:rsidRDefault="00454A29"/>
        </w:tc>
        <w:tc>
          <w:tcPr>
            <w:tcW w:w="1701" w:type="dxa"/>
            <w:vAlign w:val="center"/>
          </w:tcPr>
          <w:p w14:paraId="5994C651" w14:textId="77777777" w:rsidR="00454A29" w:rsidRDefault="00454A29">
            <w:pPr>
              <w:pStyle w:val="ConsPlusNormal"/>
              <w:jc w:val="center"/>
            </w:pPr>
            <w:r>
              <w:t>913 743,00</w:t>
            </w:r>
          </w:p>
        </w:tc>
        <w:tc>
          <w:tcPr>
            <w:tcW w:w="1814" w:type="dxa"/>
            <w:vAlign w:val="center"/>
          </w:tcPr>
          <w:p w14:paraId="3B88ED37" w14:textId="77777777" w:rsidR="00454A29" w:rsidRDefault="00454A29">
            <w:pPr>
              <w:pStyle w:val="ConsPlusNormal"/>
              <w:jc w:val="center"/>
            </w:pPr>
            <w:r>
              <w:t>11 257,31</w:t>
            </w:r>
          </w:p>
        </w:tc>
        <w:tc>
          <w:tcPr>
            <w:tcW w:w="1701" w:type="dxa"/>
            <w:vAlign w:val="center"/>
          </w:tcPr>
          <w:p w14:paraId="0F011E04" w14:textId="77777777" w:rsidR="00454A29" w:rsidRDefault="00454A29">
            <w:pPr>
              <w:pStyle w:val="ConsPlusNormal"/>
              <w:jc w:val="center"/>
            </w:pPr>
            <w:r>
              <w:t>1 114 474,07</w:t>
            </w:r>
          </w:p>
        </w:tc>
        <w:tc>
          <w:tcPr>
            <w:tcW w:w="1701" w:type="dxa"/>
            <w:vAlign w:val="center"/>
          </w:tcPr>
          <w:p w14:paraId="38E93A6C" w14:textId="77777777" w:rsidR="00454A29" w:rsidRDefault="00454A29">
            <w:pPr>
              <w:pStyle w:val="ConsPlusNormal"/>
            </w:pPr>
          </w:p>
        </w:tc>
        <w:tc>
          <w:tcPr>
            <w:tcW w:w="1814" w:type="dxa"/>
            <w:vAlign w:val="center"/>
          </w:tcPr>
          <w:p w14:paraId="66731933" w14:textId="77777777" w:rsidR="00454A29" w:rsidRDefault="00454A29">
            <w:pPr>
              <w:pStyle w:val="ConsPlusNormal"/>
            </w:pPr>
          </w:p>
        </w:tc>
      </w:tr>
      <w:tr w:rsidR="00454A29" w14:paraId="692974F0" w14:textId="77777777">
        <w:tc>
          <w:tcPr>
            <w:tcW w:w="567" w:type="dxa"/>
            <w:vMerge w:val="restart"/>
            <w:vAlign w:val="center"/>
          </w:tcPr>
          <w:p w14:paraId="0E7E7E87" w14:textId="77777777" w:rsidR="00454A29" w:rsidRDefault="00454A29">
            <w:pPr>
              <w:pStyle w:val="ConsPlusNormal"/>
              <w:jc w:val="center"/>
            </w:pPr>
            <w:r>
              <w:t>182</w:t>
            </w:r>
          </w:p>
        </w:tc>
        <w:tc>
          <w:tcPr>
            <w:tcW w:w="3345" w:type="dxa"/>
            <w:vMerge w:val="restart"/>
            <w:vAlign w:val="center"/>
          </w:tcPr>
          <w:p w14:paraId="25C8C5E7" w14:textId="77777777" w:rsidR="00454A29" w:rsidRDefault="00454A29">
            <w:pPr>
              <w:pStyle w:val="ConsPlusNormal"/>
              <w:jc w:val="center"/>
            </w:pPr>
            <w:r>
              <w:t>Школа на 990 учащихся в 153 квартале (микрорайон ДСК) г. Якутска</w:t>
            </w:r>
          </w:p>
        </w:tc>
        <w:tc>
          <w:tcPr>
            <w:tcW w:w="1701" w:type="dxa"/>
            <w:vAlign w:val="center"/>
          </w:tcPr>
          <w:p w14:paraId="225D05FD" w14:textId="77777777" w:rsidR="00454A29" w:rsidRDefault="00454A29">
            <w:pPr>
              <w:pStyle w:val="ConsPlusNormal"/>
              <w:jc w:val="center"/>
            </w:pPr>
            <w:r>
              <w:t>2020 - 2026 годы - всего</w:t>
            </w:r>
          </w:p>
        </w:tc>
        <w:tc>
          <w:tcPr>
            <w:tcW w:w="1417" w:type="dxa"/>
            <w:vMerge w:val="restart"/>
            <w:vAlign w:val="center"/>
          </w:tcPr>
          <w:p w14:paraId="65BB70EE" w14:textId="77777777" w:rsidR="00454A29" w:rsidRDefault="00454A29">
            <w:pPr>
              <w:pStyle w:val="ConsPlusNormal"/>
              <w:jc w:val="center"/>
            </w:pPr>
            <w:r>
              <w:t>1 367 070,39</w:t>
            </w:r>
          </w:p>
        </w:tc>
        <w:tc>
          <w:tcPr>
            <w:tcW w:w="2204" w:type="dxa"/>
            <w:vMerge w:val="restart"/>
            <w:vAlign w:val="center"/>
          </w:tcPr>
          <w:p w14:paraId="62E8593D" w14:textId="77777777" w:rsidR="00454A29" w:rsidRDefault="00454A29">
            <w:pPr>
              <w:pStyle w:val="ConsPlusNormal"/>
              <w:jc w:val="center"/>
            </w:pPr>
            <w:r>
              <w:t>имеется</w:t>
            </w:r>
          </w:p>
        </w:tc>
        <w:tc>
          <w:tcPr>
            <w:tcW w:w="1417" w:type="dxa"/>
            <w:vMerge w:val="restart"/>
            <w:vAlign w:val="center"/>
          </w:tcPr>
          <w:p w14:paraId="06B45FE4" w14:textId="77777777" w:rsidR="00454A29" w:rsidRDefault="00454A29">
            <w:pPr>
              <w:pStyle w:val="ConsPlusNormal"/>
              <w:jc w:val="center"/>
            </w:pPr>
            <w:r>
              <w:t>990</w:t>
            </w:r>
          </w:p>
        </w:tc>
        <w:tc>
          <w:tcPr>
            <w:tcW w:w="2324" w:type="dxa"/>
            <w:vMerge w:val="restart"/>
            <w:vAlign w:val="center"/>
          </w:tcPr>
          <w:p w14:paraId="50CF626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EFFDD11" w14:textId="77777777" w:rsidR="00454A29" w:rsidRDefault="00454A29">
            <w:pPr>
              <w:pStyle w:val="ConsPlusNormal"/>
              <w:jc w:val="center"/>
            </w:pPr>
            <w:r>
              <w:t>1 367 070,39</w:t>
            </w:r>
          </w:p>
        </w:tc>
        <w:tc>
          <w:tcPr>
            <w:tcW w:w="1814" w:type="dxa"/>
            <w:vAlign w:val="center"/>
          </w:tcPr>
          <w:p w14:paraId="78D0BD79" w14:textId="77777777" w:rsidR="00454A29" w:rsidRDefault="00454A29">
            <w:pPr>
              <w:pStyle w:val="ConsPlusNormal"/>
              <w:jc w:val="center"/>
            </w:pPr>
            <w:r>
              <w:t>17 293,44</w:t>
            </w:r>
          </w:p>
        </w:tc>
        <w:tc>
          <w:tcPr>
            <w:tcW w:w="1701" w:type="dxa"/>
            <w:vAlign w:val="center"/>
          </w:tcPr>
          <w:p w14:paraId="7B01C529" w14:textId="77777777" w:rsidR="00454A29" w:rsidRDefault="00454A29">
            <w:pPr>
              <w:pStyle w:val="ConsPlusNormal"/>
              <w:jc w:val="center"/>
            </w:pPr>
            <w:r>
              <w:t>1 712 050,60</w:t>
            </w:r>
          </w:p>
        </w:tc>
        <w:tc>
          <w:tcPr>
            <w:tcW w:w="1701" w:type="dxa"/>
            <w:vAlign w:val="center"/>
          </w:tcPr>
          <w:p w14:paraId="0DF5BFFE" w14:textId="77777777" w:rsidR="00454A29" w:rsidRDefault="00454A29">
            <w:pPr>
              <w:pStyle w:val="ConsPlusNormal"/>
              <w:jc w:val="center"/>
            </w:pPr>
            <w:r>
              <w:t>-</w:t>
            </w:r>
          </w:p>
        </w:tc>
        <w:tc>
          <w:tcPr>
            <w:tcW w:w="1814" w:type="dxa"/>
            <w:vAlign w:val="center"/>
          </w:tcPr>
          <w:p w14:paraId="27D31DC2" w14:textId="77777777" w:rsidR="00454A29" w:rsidRDefault="00454A29">
            <w:pPr>
              <w:pStyle w:val="ConsPlusNormal"/>
              <w:jc w:val="center"/>
            </w:pPr>
            <w:r>
              <w:t>-</w:t>
            </w:r>
          </w:p>
        </w:tc>
      </w:tr>
      <w:tr w:rsidR="00454A29" w14:paraId="1E71CA55" w14:textId="77777777">
        <w:tc>
          <w:tcPr>
            <w:tcW w:w="567" w:type="dxa"/>
            <w:vMerge/>
          </w:tcPr>
          <w:p w14:paraId="767816BE" w14:textId="77777777" w:rsidR="00454A29" w:rsidRDefault="00454A29"/>
        </w:tc>
        <w:tc>
          <w:tcPr>
            <w:tcW w:w="3345" w:type="dxa"/>
            <w:vMerge/>
          </w:tcPr>
          <w:p w14:paraId="780D6504" w14:textId="77777777" w:rsidR="00454A29" w:rsidRDefault="00454A29"/>
        </w:tc>
        <w:tc>
          <w:tcPr>
            <w:tcW w:w="1701" w:type="dxa"/>
            <w:vAlign w:val="center"/>
          </w:tcPr>
          <w:p w14:paraId="34E93D2B" w14:textId="77777777" w:rsidR="00454A29" w:rsidRDefault="00454A29">
            <w:pPr>
              <w:pStyle w:val="ConsPlusNormal"/>
              <w:jc w:val="center"/>
            </w:pPr>
            <w:r>
              <w:t>2020</w:t>
            </w:r>
          </w:p>
        </w:tc>
        <w:tc>
          <w:tcPr>
            <w:tcW w:w="1417" w:type="dxa"/>
            <w:vMerge/>
          </w:tcPr>
          <w:p w14:paraId="72DC780E" w14:textId="77777777" w:rsidR="00454A29" w:rsidRDefault="00454A29"/>
        </w:tc>
        <w:tc>
          <w:tcPr>
            <w:tcW w:w="2204" w:type="dxa"/>
            <w:vMerge/>
          </w:tcPr>
          <w:p w14:paraId="0EF69E56" w14:textId="77777777" w:rsidR="00454A29" w:rsidRDefault="00454A29"/>
        </w:tc>
        <w:tc>
          <w:tcPr>
            <w:tcW w:w="1417" w:type="dxa"/>
            <w:vMerge/>
          </w:tcPr>
          <w:p w14:paraId="2624F66D" w14:textId="77777777" w:rsidR="00454A29" w:rsidRDefault="00454A29"/>
        </w:tc>
        <w:tc>
          <w:tcPr>
            <w:tcW w:w="2324" w:type="dxa"/>
            <w:vMerge/>
          </w:tcPr>
          <w:p w14:paraId="730E7B60" w14:textId="77777777" w:rsidR="00454A29" w:rsidRDefault="00454A29"/>
        </w:tc>
        <w:tc>
          <w:tcPr>
            <w:tcW w:w="1701" w:type="dxa"/>
            <w:vAlign w:val="center"/>
          </w:tcPr>
          <w:p w14:paraId="0DA01288" w14:textId="77777777" w:rsidR="00454A29" w:rsidRDefault="00454A29">
            <w:pPr>
              <w:pStyle w:val="ConsPlusNormal"/>
            </w:pPr>
          </w:p>
        </w:tc>
        <w:tc>
          <w:tcPr>
            <w:tcW w:w="1814" w:type="dxa"/>
            <w:vAlign w:val="center"/>
          </w:tcPr>
          <w:p w14:paraId="50F39A3C" w14:textId="77777777" w:rsidR="00454A29" w:rsidRDefault="00454A29">
            <w:pPr>
              <w:pStyle w:val="ConsPlusNormal"/>
            </w:pPr>
          </w:p>
        </w:tc>
        <w:tc>
          <w:tcPr>
            <w:tcW w:w="1701" w:type="dxa"/>
            <w:vAlign w:val="center"/>
          </w:tcPr>
          <w:p w14:paraId="2C70DDCB" w14:textId="77777777" w:rsidR="00454A29" w:rsidRDefault="00454A29">
            <w:pPr>
              <w:pStyle w:val="ConsPlusNormal"/>
            </w:pPr>
          </w:p>
        </w:tc>
        <w:tc>
          <w:tcPr>
            <w:tcW w:w="1701" w:type="dxa"/>
            <w:vAlign w:val="center"/>
          </w:tcPr>
          <w:p w14:paraId="00F9811A" w14:textId="77777777" w:rsidR="00454A29" w:rsidRDefault="00454A29">
            <w:pPr>
              <w:pStyle w:val="ConsPlusNormal"/>
            </w:pPr>
          </w:p>
        </w:tc>
        <w:tc>
          <w:tcPr>
            <w:tcW w:w="1814" w:type="dxa"/>
            <w:vAlign w:val="center"/>
          </w:tcPr>
          <w:p w14:paraId="7EDA7970" w14:textId="77777777" w:rsidR="00454A29" w:rsidRDefault="00454A29">
            <w:pPr>
              <w:pStyle w:val="ConsPlusNormal"/>
            </w:pPr>
          </w:p>
        </w:tc>
      </w:tr>
      <w:tr w:rsidR="00454A29" w14:paraId="28F94437" w14:textId="77777777">
        <w:tc>
          <w:tcPr>
            <w:tcW w:w="567" w:type="dxa"/>
            <w:vMerge/>
          </w:tcPr>
          <w:p w14:paraId="0E6BDBA6" w14:textId="77777777" w:rsidR="00454A29" w:rsidRDefault="00454A29"/>
        </w:tc>
        <w:tc>
          <w:tcPr>
            <w:tcW w:w="3345" w:type="dxa"/>
            <w:vMerge/>
          </w:tcPr>
          <w:p w14:paraId="5AD62EB1" w14:textId="77777777" w:rsidR="00454A29" w:rsidRDefault="00454A29"/>
        </w:tc>
        <w:tc>
          <w:tcPr>
            <w:tcW w:w="1701" w:type="dxa"/>
            <w:vAlign w:val="center"/>
          </w:tcPr>
          <w:p w14:paraId="65CA2FC3" w14:textId="77777777" w:rsidR="00454A29" w:rsidRDefault="00454A29">
            <w:pPr>
              <w:pStyle w:val="ConsPlusNormal"/>
              <w:jc w:val="center"/>
            </w:pPr>
            <w:r>
              <w:t>2021</w:t>
            </w:r>
          </w:p>
        </w:tc>
        <w:tc>
          <w:tcPr>
            <w:tcW w:w="1417" w:type="dxa"/>
            <w:vMerge/>
          </w:tcPr>
          <w:p w14:paraId="18974886" w14:textId="77777777" w:rsidR="00454A29" w:rsidRDefault="00454A29"/>
        </w:tc>
        <w:tc>
          <w:tcPr>
            <w:tcW w:w="2204" w:type="dxa"/>
            <w:vMerge/>
          </w:tcPr>
          <w:p w14:paraId="7EC5F9BE" w14:textId="77777777" w:rsidR="00454A29" w:rsidRDefault="00454A29"/>
        </w:tc>
        <w:tc>
          <w:tcPr>
            <w:tcW w:w="1417" w:type="dxa"/>
            <w:vMerge/>
          </w:tcPr>
          <w:p w14:paraId="0C0AEFA7" w14:textId="77777777" w:rsidR="00454A29" w:rsidRDefault="00454A29"/>
        </w:tc>
        <w:tc>
          <w:tcPr>
            <w:tcW w:w="2324" w:type="dxa"/>
            <w:vMerge/>
          </w:tcPr>
          <w:p w14:paraId="1A989670" w14:textId="77777777" w:rsidR="00454A29" w:rsidRDefault="00454A29"/>
        </w:tc>
        <w:tc>
          <w:tcPr>
            <w:tcW w:w="1701" w:type="dxa"/>
            <w:vAlign w:val="center"/>
          </w:tcPr>
          <w:p w14:paraId="6AD00613" w14:textId="77777777" w:rsidR="00454A29" w:rsidRDefault="00454A29">
            <w:pPr>
              <w:pStyle w:val="ConsPlusNormal"/>
              <w:jc w:val="center"/>
            </w:pPr>
            <w:r>
              <w:t>-</w:t>
            </w:r>
          </w:p>
        </w:tc>
        <w:tc>
          <w:tcPr>
            <w:tcW w:w="1814" w:type="dxa"/>
            <w:vAlign w:val="center"/>
          </w:tcPr>
          <w:p w14:paraId="4985FA5E" w14:textId="77777777" w:rsidR="00454A29" w:rsidRDefault="00454A29">
            <w:pPr>
              <w:pStyle w:val="ConsPlusNormal"/>
            </w:pPr>
          </w:p>
        </w:tc>
        <w:tc>
          <w:tcPr>
            <w:tcW w:w="1701" w:type="dxa"/>
            <w:vAlign w:val="center"/>
          </w:tcPr>
          <w:p w14:paraId="33E2BE8B" w14:textId="77777777" w:rsidR="00454A29" w:rsidRDefault="00454A29">
            <w:pPr>
              <w:pStyle w:val="ConsPlusNormal"/>
            </w:pPr>
          </w:p>
        </w:tc>
        <w:tc>
          <w:tcPr>
            <w:tcW w:w="1701" w:type="dxa"/>
            <w:vAlign w:val="center"/>
          </w:tcPr>
          <w:p w14:paraId="1CB49E89" w14:textId="77777777" w:rsidR="00454A29" w:rsidRDefault="00454A29">
            <w:pPr>
              <w:pStyle w:val="ConsPlusNormal"/>
            </w:pPr>
          </w:p>
        </w:tc>
        <w:tc>
          <w:tcPr>
            <w:tcW w:w="1814" w:type="dxa"/>
            <w:vAlign w:val="center"/>
          </w:tcPr>
          <w:p w14:paraId="58329E8C" w14:textId="77777777" w:rsidR="00454A29" w:rsidRDefault="00454A29">
            <w:pPr>
              <w:pStyle w:val="ConsPlusNormal"/>
            </w:pPr>
          </w:p>
        </w:tc>
      </w:tr>
      <w:tr w:rsidR="00454A29" w14:paraId="1D4E758D" w14:textId="77777777">
        <w:tc>
          <w:tcPr>
            <w:tcW w:w="567" w:type="dxa"/>
            <w:vMerge/>
          </w:tcPr>
          <w:p w14:paraId="7DBAC645" w14:textId="77777777" w:rsidR="00454A29" w:rsidRDefault="00454A29"/>
        </w:tc>
        <w:tc>
          <w:tcPr>
            <w:tcW w:w="3345" w:type="dxa"/>
            <w:vMerge/>
          </w:tcPr>
          <w:p w14:paraId="01555289" w14:textId="77777777" w:rsidR="00454A29" w:rsidRDefault="00454A29"/>
        </w:tc>
        <w:tc>
          <w:tcPr>
            <w:tcW w:w="1701" w:type="dxa"/>
            <w:vAlign w:val="center"/>
          </w:tcPr>
          <w:p w14:paraId="414C02D9" w14:textId="77777777" w:rsidR="00454A29" w:rsidRDefault="00454A29">
            <w:pPr>
              <w:pStyle w:val="ConsPlusNormal"/>
              <w:jc w:val="center"/>
            </w:pPr>
            <w:r>
              <w:t>2022</w:t>
            </w:r>
          </w:p>
        </w:tc>
        <w:tc>
          <w:tcPr>
            <w:tcW w:w="1417" w:type="dxa"/>
            <w:vMerge/>
          </w:tcPr>
          <w:p w14:paraId="1C1617B3" w14:textId="77777777" w:rsidR="00454A29" w:rsidRDefault="00454A29"/>
        </w:tc>
        <w:tc>
          <w:tcPr>
            <w:tcW w:w="2204" w:type="dxa"/>
            <w:vMerge/>
          </w:tcPr>
          <w:p w14:paraId="1697FD4E" w14:textId="77777777" w:rsidR="00454A29" w:rsidRDefault="00454A29"/>
        </w:tc>
        <w:tc>
          <w:tcPr>
            <w:tcW w:w="1417" w:type="dxa"/>
            <w:vMerge/>
          </w:tcPr>
          <w:p w14:paraId="5FDD538E" w14:textId="77777777" w:rsidR="00454A29" w:rsidRDefault="00454A29"/>
        </w:tc>
        <w:tc>
          <w:tcPr>
            <w:tcW w:w="2324" w:type="dxa"/>
            <w:vMerge/>
          </w:tcPr>
          <w:p w14:paraId="48DB4D98" w14:textId="77777777" w:rsidR="00454A29" w:rsidRDefault="00454A29"/>
        </w:tc>
        <w:tc>
          <w:tcPr>
            <w:tcW w:w="1701" w:type="dxa"/>
            <w:vAlign w:val="center"/>
          </w:tcPr>
          <w:p w14:paraId="203CA659" w14:textId="77777777" w:rsidR="00454A29" w:rsidRDefault="00454A29">
            <w:pPr>
              <w:pStyle w:val="ConsPlusNormal"/>
              <w:jc w:val="center"/>
            </w:pPr>
            <w:r>
              <w:t>-</w:t>
            </w:r>
          </w:p>
        </w:tc>
        <w:tc>
          <w:tcPr>
            <w:tcW w:w="1814" w:type="dxa"/>
            <w:vAlign w:val="center"/>
          </w:tcPr>
          <w:p w14:paraId="51C66DE9" w14:textId="77777777" w:rsidR="00454A29" w:rsidRDefault="00454A29">
            <w:pPr>
              <w:pStyle w:val="ConsPlusNormal"/>
            </w:pPr>
          </w:p>
        </w:tc>
        <w:tc>
          <w:tcPr>
            <w:tcW w:w="1701" w:type="dxa"/>
            <w:vAlign w:val="center"/>
          </w:tcPr>
          <w:p w14:paraId="44736BB8" w14:textId="77777777" w:rsidR="00454A29" w:rsidRDefault="00454A29">
            <w:pPr>
              <w:pStyle w:val="ConsPlusNormal"/>
            </w:pPr>
          </w:p>
        </w:tc>
        <w:tc>
          <w:tcPr>
            <w:tcW w:w="1701" w:type="dxa"/>
            <w:vAlign w:val="center"/>
          </w:tcPr>
          <w:p w14:paraId="1AF85726" w14:textId="77777777" w:rsidR="00454A29" w:rsidRDefault="00454A29">
            <w:pPr>
              <w:pStyle w:val="ConsPlusNormal"/>
            </w:pPr>
          </w:p>
        </w:tc>
        <w:tc>
          <w:tcPr>
            <w:tcW w:w="1814" w:type="dxa"/>
            <w:vAlign w:val="center"/>
          </w:tcPr>
          <w:p w14:paraId="44341676" w14:textId="77777777" w:rsidR="00454A29" w:rsidRDefault="00454A29">
            <w:pPr>
              <w:pStyle w:val="ConsPlusNormal"/>
            </w:pPr>
          </w:p>
        </w:tc>
      </w:tr>
      <w:tr w:rsidR="00454A29" w14:paraId="13A9593F" w14:textId="77777777">
        <w:tc>
          <w:tcPr>
            <w:tcW w:w="567" w:type="dxa"/>
            <w:vMerge/>
          </w:tcPr>
          <w:p w14:paraId="66005D0A" w14:textId="77777777" w:rsidR="00454A29" w:rsidRDefault="00454A29"/>
        </w:tc>
        <w:tc>
          <w:tcPr>
            <w:tcW w:w="3345" w:type="dxa"/>
            <w:vMerge/>
          </w:tcPr>
          <w:p w14:paraId="36FE3907" w14:textId="77777777" w:rsidR="00454A29" w:rsidRDefault="00454A29"/>
        </w:tc>
        <w:tc>
          <w:tcPr>
            <w:tcW w:w="1701" w:type="dxa"/>
            <w:vAlign w:val="center"/>
          </w:tcPr>
          <w:p w14:paraId="51DE86B3" w14:textId="77777777" w:rsidR="00454A29" w:rsidRDefault="00454A29">
            <w:pPr>
              <w:pStyle w:val="ConsPlusNormal"/>
              <w:jc w:val="center"/>
            </w:pPr>
            <w:r>
              <w:t>2023</w:t>
            </w:r>
          </w:p>
        </w:tc>
        <w:tc>
          <w:tcPr>
            <w:tcW w:w="1417" w:type="dxa"/>
            <w:vMerge/>
          </w:tcPr>
          <w:p w14:paraId="60E273F7" w14:textId="77777777" w:rsidR="00454A29" w:rsidRDefault="00454A29"/>
        </w:tc>
        <w:tc>
          <w:tcPr>
            <w:tcW w:w="2204" w:type="dxa"/>
            <w:vMerge/>
          </w:tcPr>
          <w:p w14:paraId="6A87BCFE" w14:textId="77777777" w:rsidR="00454A29" w:rsidRDefault="00454A29"/>
        </w:tc>
        <w:tc>
          <w:tcPr>
            <w:tcW w:w="1417" w:type="dxa"/>
            <w:vMerge/>
          </w:tcPr>
          <w:p w14:paraId="746A5C8C" w14:textId="77777777" w:rsidR="00454A29" w:rsidRDefault="00454A29"/>
        </w:tc>
        <w:tc>
          <w:tcPr>
            <w:tcW w:w="2324" w:type="dxa"/>
            <w:vMerge/>
          </w:tcPr>
          <w:p w14:paraId="2F6D65DD" w14:textId="77777777" w:rsidR="00454A29" w:rsidRDefault="00454A29"/>
        </w:tc>
        <w:tc>
          <w:tcPr>
            <w:tcW w:w="1701" w:type="dxa"/>
            <w:vAlign w:val="center"/>
          </w:tcPr>
          <w:p w14:paraId="12E9A4A2" w14:textId="77777777" w:rsidR="00454A29" w:rsidRDefault="00454A29">
            <w:pPr>
              <w:pStyle w:val="ConsPlusNormal"/>
            </w:pPr>
          </w:p>
        </w:tc>
        <w:tc>
          <w:tcPr>
            <w:tcW w:w="1814" w:type="dxa"/>
            <w:vAlign w:val="center"/>
          </w:tcPr>
          <w:p w14:paraId="285D8A0F" w14:textId="77777777" w:rsidR="00454A29" w:rsidRDefault="00454A29">
            <w:pPr>
              <w:pStyle w:val="ConsPlusNormal"/>
            </w:pPr>
          </w:p>
        </w:tc>
        <w:tc>
          <w:tcPr>
            <w:tcW w:w="1701" w:type="dxa"/>
            <w:vAlign w:val="center"/>
          </w:tcPr>
          <w:p w14:paraId="27862590" w14:textId="77777777" w:rsidR="00454A29" w:rsidRDefault="00454A29">
            <w:pPr>
              <w:pStyle w:val="ConsPlusNormal"/>
            </w:pPr>
          </w:p>
        </w:tc>
        <w:tc>
          <w:tcPr>
            <w:tcW w:w="1701" w:type="dxa"/>
            <w:vAlign w:val="center"/>
          </w:tcPr>
          <w:p w14:paraId="605BBD0F" w14:textId="77777777" w:rsidR="00454A29" w:rsidRDefault="00454A29">
            <w:pPr>
              <w:pStyle w:val="ConsPlusNormal"/>
            </w:pPr>
          </w:p>
        </w:tc>
        <w:tc>
          <w:tcPr>
            <w:tcW w:w="1814" w:type="dxa"/>
            <w:vAlign w:val="center"/>
          </w:tcPr>
          <w:p w14:paraId="3A70C7AF" w14:textId="77777777" w:rsidR="00454A29" w:rsidRDefault="00454A29">
            <w:pPr>
              <w:pStyle w:val="ConsPlusNormal"/>
            </w:pPr>
          </w:p>
        </w:tc>
      </w:tr>
      <w:tr w:rsidR="00454A29" w14:paraId="247DFD8A" w14:textId="77777777">
        <w:tc>
          <w:tcPr>
            <w:tcW w:w="567" w:type="dxa"/>
            <w:vMerge/>
          </w:tcPr>
          <w:p w14:paraId="62D1831A" w14:textId="77777777" w:rsidR="00454A29" w:rsidRDefault="00454A29"/>
        </w:tc>
        <w:tc>
          <w:tcPr>
            <w:tcW w:w="3345" w:type="dxa"/>
            <w:vMerge/>
          </w:tcPr>
          <w:p w14:paraId="1A9F65A6" w14:textId="77777777" w:rsidR="00454A29" w:rsidRDefault="00454A29"/>
        </w:tc>
        <w:tc>
          <w:tcPr>
            <w:tcW w:w="1701" w:type="dxa"/>
            <w:vAlign w:val="center"/>
          </w:tcPr>
          <w:p w14:paraId="700B45AD" w14:textId="77777777" w:rsidR="00454A29" w:rsidRDefault="00454A29">
            <w:pPr>
              <w:pStyle w:val="ConsPlusNormal"/>
              <w:jc w:val="center"/>
            </w:pPr>
            <w:r>
              <w:t>2024</w:t>
            </w:r>
          </w:p>
        </w:tc>
        <w:tc>
          <w:tcPr>
            <w:tcW w:w="1417" w:type="dxa"/>
            <w:vMerge/>
          </w:tcPr>
          <w:p w14:paraId="7B7CFCC6" w14:textId="77777777" w:rsidR="00454A29" w:rsidRDefault="00454A29"/>
        </w:tc>
        <w:tc>
          <w:tcPr>
            <w:tcW w:w="2204" w:type="dxa"/>
            <w:vMerge/>
          </w:tcPr>
          <w:p w14:paraId="04FA2CBF" w14:textId="77777777" w:rsidR="00454A29" w:rsidRDefault="00454A29"/>
        </w:tc>
        <w:tc>
          <w:tcPr>
            <w:tcW w:w="1417" w:type="dxa"/>
            <w:vMerge/>
          </w:tcPr>
          <w:p w14:paraId="0C9355C2" w14:textId="77777777" w:rsidR="00454A29" w:rsidRDefault="00454A29"/>
        </w:tc>
        <w:tc>
          <w:tcPr>
            <w:tcW w:w="2324" w:type="dxa"/>
            <w:vMerge/>
          </w:tcPr>
          <w:p w14:paraId="0B4DBA10" w14:textId="77777777" w:rsidR="00454A29" w:rsidRDefault="00454A29"/>
        </w:tc>
        <w:tc>
          <w:tcPr>
            <w:tcW w:w="1701" w:type="dxa"/>
            <w:vAlign w:val="center"/>
          </w:tcPr>
          <w:p w14:paraId="3FE7AF56" w14:textId="77777777" w:rsidR="00454A29" w:rsidRDefault="00454A29">
            <w:pPr>
              <w:pStyle w:val="ConsPlusNormal"/>
            </w:pPr>
          </w:p>
        </w:tc>
        <w:tc>
          <w:tcPr>
            <w:tcW w:w="1814" w:type="dxa"/>
            <w:vAlign w:val="center"/>
          </w:tcPr>
          <w:p w14:paraId="363E4092" w14:textId="77777777" w:rsidR="00454A29" w:rsidRDefault="00454A29">
            <w:pPr>
              <w:pStyle w:val="ConsPlusNormal"/>
            </w:pPr>
          </w:p>
        </w:tc>
        <w:tc>
          <w:tcPr>
            <w:tcW w:w="1701" w:type="dxa"/>
            <w:vAlign w:val="center"/>
          </w:tcPr>
          <w:p w14:paraId="0D400213" w14:textId="77777777" w:rsidR="00454A29" w:rsidRDefault="00454A29">
            <w:pPr>
              <w:pStyle w:val="ConsPlusNormal"/>
            </w:pPr>
          </w:p>
        </w:tc>
        <w:tc>
          <w:tcPr>
            <w:tcW w:w="1701" w:type="dxa"/>
            <w:vAlign w:val="center"/>
          </w:tcPr>
          <w:p w14:paraId="6B9C4EFE" w14:textId="77777777" w:rsidR="00454A29" w:rsidRDefault="00454A29">
            <w:pPr>
              <w:pStyle w:val="ConsPlusNormal"/>
            </w:pPr>
          </w:p>
        </w:tc>
        <w:tc>
          <w:tcPr>
            <w:tcW w:w="1814" w:type="dxa"/>
            <w:vAlign w:val="center"/>
          </w:tcPr>
          <w:p w14:paraId="668F5A09" w14:textId="77777777" w:rsidR="00454A29" w:rsidRDefault="00454A29">
            <w:pPr>
              <w:pStyle w:val="ConsPlusNormal"/>
            </w:pPr>
          </w:p>
        </w:tc>
      </w:tr>
      <w:tr w:rsidR="00454A29" w14:paraId="7D5E74AB" w14:textId="77777777">
        <w:tc>
          <w:tcPr>
            <w:tcW w:w="567" w:type="dxa"/>
            <w:vMerge/>
          </w:tcPr>
          <w:p w14:paraId="10744AB0" w14:textId="77777777" w:rsidR="00454A29" w:rsidRDefault="00454A29"/>
        </w:tc>
        <w:tc>
          <w:tcPr>
            <w:tcW w:w="3345" w:type="dxa"/>
            <w:vMerge/>
          </w:tcPr>
          <w:p w14:paraId="5861F437" w14:textId="77777777" w:rsidR="00454A29" w:rsidRDefault="00454A29"/>
        </w:tc>
        <w:tc>
          <w:tcPr>
            <w:tcW w:w="1701" w:type="dxa"/>
            <w:vAlign w:val="center"/>
          </w:tcPr>
          <w:p w14:paraId="40E2B740" w14:textId="77777777" w:rsidR="00454A29" w:rsidRDefault="00454A29">
            <w:pPr>
              <w:pStyle w:val="ConsPlusNormal"/>
              <w:jc w:val="center"/>
            </w:pPr>
            <w:r>
              <w:t>2025</w:t>
            </w:r>
          </w:p>
        </w:tc>
        <w:tc>
          <w:tcPr>
            <w:tcW w:w="1417" w:type="dxa"/>
            <w:vMerge/>
          </w:tcPr>
          <w:p w14:paraId="549CE0D9" w14:textId="77777777" w:rsidR="00454A29" w:rsidRDefault="00454A29"/>
        </w:tc>
        <w:tc>
          <w:tcPr>
            <w:tcW w:w="2204" w:type="dxa"/>
            <w:vMerge/>
          </w:tcPr>
          <w:p w14:paraId="216AD36E" w14:textId="77777777" w:rsidR="00454A29" w:rsidRDefault="00454A29"/>
        </w:tc>
        <w:tc>
          <w:tcPr>
            <w:tcW w:w="1417" w:type="dxa"/>
            <w:vMerge/>
          </w:tcPr>
          <w:p w14:paraId="1A3DDA56" w14:textId="77777777" w:rsidR="00454A29" w:rsidRDefault="00454A29"/>
        </w:tc>
        <w:tc>
          <w:tcPr>
            <w:tcW w:w="2324" w:type="dxa"/>
            <w:vMerge/>
          </w:tcPr>
          <w:p w14:paraId="51EDD1A2" w14:textId="77777777" w:rsidR="00454A29" w:rsidRDefault="00454A29"/>
        </w:tc>
        <w:tc>
          <w:tcPr>
            <w:tcW w:w="1701" w:type="dxa"/>
            <w:vAlign w:val="center"/>
          </w:tcPr>
          <w:p w14:paraId="2B901D21" w14:textId="77777777" w:rsidR="00454A29" w:rsidRDefault="00454A29">
            <w:pPr>
              <w:pStyle w:val="ConsPlusNormal"/>
              <w:jc w:val="center"/>
            </w:pPr>
            <w:r>
              <w:t>1 367 070,39</w:t>
            </w:r>
          </w:p>
        </w:tc>
        <w:tc>
          <w:tcPr>
            <w:tcW w:w="1814" w:type="dxa"/>
            <w:vAlign w:val="center"/>
          </w:tcPr>
          <w:p w14:paraId="52BA3655" w14:textId="77777777" w:rsidR="00454A29" w:rsidRDefault="00454A29">
            <w:pPr>
              <w:pStyle w:val="ConsPlusNormal"/>
              <w:jc w:val="center"/>
            </w:pPr>
            <w:r>
              <w:t>17 293,44</w:t>
            </w:r>
          </w:p>
        </w:tc>
        <w:tc>
          <w:tcPr>
            <w:tcW w:w="1701" w:type="dxa"/>
            <w:vAlign w:val="center"/>
          </w:tcPr>
          <w:p w14:paraId="4CC32F53" w14:textId="77777777" w:rsidR="00454A29" w:rsidRDefault="00454A29">
            <w:pPr>
              <w:pStyle w:val="ConsPlusNormal"/>
              <w:jc w:val="center"/>
            </w:pPr>
            <w:r>
              <w:t>1 712 050,60</w:t>
            </w:r>
          </w:p>
        </w:tc>
        <w:tc>
          <w:tcPr>
            <w:tcW w:w="1701" w:type="dxa"/>
            <w:vAlign w:val="center"/>
          </w:tcPr>
          <w:p w14:paraId="76FB51D3" w14:textId="77777777" w:rsidR="00454A29" w:rsidRDefault="00454A29">
            <w:pPr>
              <w:pStyle w:val="ConsPlusNormal"/>
            </w:pPr>
          </w:p>
        </w:tc>
        <w:tc>
          <w:tcPr>
            <w:tcW w:w="1814" w:type="dxa"/>
            <w:vAlign w:val="center"/>
          </w:tcPr>
          <w:p w14:paraId="227F0138" w14:textId="77777777" w:rsidR="00454A29" w:rsidRDefault="00454A29">
            <w:pPr>
              <w:pStyle w:val="ConsPlusNormal"/>
            </w:pPr>
          </w:p>
        </w:tc>
      </w:tr>
      <w:tr w:rsidR="00454A29" w14:paraId="4343F472" w14:textId="77777777">
        <w:tc>
          <w:tcPr>
            <w:tcW w:w="567" w:type="dxa"/>
            <w:vMerge/>
          </w:tcPr>
          <w:p w14:paraId="2BAEAE39" w14:textId="77777777" w:rsidR="00454A29" w:rsidRDefault="00454A29"/>
        </w:tc>
        <w:tc>
          <w:tcPr>
            <w:tcW w:w="3345" w:type="dxa"/>
            <w:vMerge/>
          </w:tcPr>
          <w:p w14:paraId="675E7BF9" w14:textId="77777777" w:rsidR="00454A29" w:rsidRDefault="00454A29"/>
        </w:tc>
        <w:tc>
          <w:tcPr>
            <w:tcW w:w="1701" w:type="dxa"/>
            <w:vAlign w:val="center"/>
          </w:tcPr>
          <w:p w14:paraId="2EC6F34C" w14:textId="77777777" w:rsidR="00454A29" w:rsidRDefault="00454A29">
            <w:pPr>
              <w:pStyle w:val="ConsPlusNormal"/>
              <w:jc w:val="center"/>
            </w:pPr>
            <w:r>
              <w:t>2026</w:t>
            </w:r>
          </w:p>
        </w:tc>
        <w:tc>
          <w:tcPr>
            <w:tcW w:w="1417" w:type="dxa"/>
            <w:vMerge/>
          </w:tcPr>
          <w:p w14:paraId="21707D68" w14:textId="77777777" w:rsidR="00454A29" w:rsidRDefault="00454A29"/>
        </w:tc>
        <w:tc>
          <w:tcPr>
            <w:tcW w:w="2204" w:type="dxa"/>
            <w:vMerge/>
          </w:tcPr>
          <w:p w14:paraId="7387CD9A" w14:textId="77777777" w:rsidR="00454A29" w:rsidRDefault="00454A29"/>
        </w:tc>
        <w:tc>
          <w:tcPr>
            <w:tcW w:w="1417" w:type="dxa"/>
            <w:vMerge/>
          </w:tcPr>
          <w:p w14:paraId="3BE79072" w14:textId="77777777" w:rsidR="00454A29" w:rsidRDefault="00454A29"/>
        </w:tc>
        <w:tc>
          <w:tcPr>
            <w:tcW w:w="2324" w:type="dxa"/>
            <w:vMerge/>
          </w:tcPr>
          <w:p w14:paraId="3D9D36DD" w14:textId="77777777" w:rsidR="00454A29" w:rsidRDefault="00454A29"/>
        </w:tc>
        <w:tc>
          <w:tcPr>
            <w:tcW w:w="1701" w:type="dxa"/>
            <w:vAlign w:val="center"/>
          </w:tcPr>
          <w:p w14:paraId="534E80C5" w14:textId="77777777" w:rsidR="00454A29" w:rsidRDefault="00454A29">
            <w:pPr>
              <w:pStyle w:val="ConsPlusNormal"/>
              <w:jc w:val="center"/>
            </w:pPr>
            <w:r>
              <w:t>-</w:t>
            </w:r>
          </w:p>
        </w:tc>
        <w:tc>
          <w:tcPr>
            <w:tcW w:w="1814" w:type="dxa"/>
            <w:vAlign w:val="center"/>
          </w:tcPr>
          <w:p w14:paraId="05AEE029" w14:textId="77777777" w:rsidR="00454A29" w:rsidRDefault="00454A29">
            <w:pPr>
              <w:pStyle w:val="ConsPlusNormal"/>
            </w:pPr>
          </w:p>
        </w:tc>
        <w:tc>
          <w:tcPr>
            <w:tcW w:w="1701" w:type="dxa"/>
            <w:vAlign w:val="center"/>
          </w:tcPr>
          <w:p w14:paraId="20DA2929" w14:textId="77777777" w:rsidR="00454A29" w:rsidRDefault="00454A29">
            <w:pPr>
              <w:pStyle w:val="ConsPlusNormal"/>
            </w:pPr>
          </w:p>
        </w:tc>
        <w:tc>
          <w:tcPr>
            <w:tcW w:w="1701" w:type="dxa"/>
            <w:vAlign w:val="center"/>
          </w:tcPr>
          <w:p w14:paraId="6C69E06F" w14:textId="77777777" w:rsidR="00454A29" w:rsidRDefault="00454A29">
            <w:pPr>
              <w:pStyle w:val="ConsPlusNormal"/>
            </w:pPr>
          </w:p>
        </w:tc>
        <w:tc>
          <w:tcPr>
            <w:tcW w:w="1814" w:type="dxa"/>
            <w:vAlign w:val="center"/>
          </w:tcPr>
          <w:p w14:paraId="34D3FAA9" w14:textId="77777777" w:rsidR="00454A29" w:rsidRDefault="00454A29">
            <w:pPr>
              <w:pStyle w:val="ConsPlusNormal"/>
            </w:pPr>
          </w:p>
        </w:tc>
      </w:tr>
      <w:tr w:rsidR="00454A29" w14:paraId="0CE55FB6" w14:textId="77777777">
        <w:tc>
          <w:tcPr>
            <w:tcW w:w="567" w:type="dxa"/>
            <w:vMerge w:val="restart"/>
            <w:vAlign w:val="center"/>
          </w:tcPr>
          <w:p w14:paraId="21058518" w14:textId="77777777" w:rsidR="00454A29" w:rsidRDefault="00454A29">
            <w:pPr>
              <w:pStyle w:val="ConsPlusNormal"/>
              <w:jc w:val="center"/>
            </w:pPr>
            <w:r>
              <w:t>183</w:t>
            </w:r>
          </w:p>
        </w:tc>
        <w:tc>
          <w:tcPr>
            <w:tcW w:w="3345" w:type="dxa"/>
            <w:vMerge w:val="restart"/>
            <w:vAlign w:val="center"/>
          </w:tcPr>
          <w:p w14:paraId="6BCFAEBA" w14:textId="77777777" w:rsidR="00454A29" w:rsidRDefault="00454A29">
            <w:pPr>
              <w:pStyle w:val="ConsPlusNormal"/>
              <w:jc w:val="center"/>
            </w:pPr>
            <w:r>
              <w:t>Школа на 990 учащихся в 68 квартале г. Якутска</w:t>
            </w:r>
          </w:p>
        </w:tc>
        <w:tc>
          <w:tcPr>
            <w:tcW w:w="1701" w:type="dxa"/>
            <w:vAlign w:val="center"/>
          </w:tcPr>
          <w:p w14:paraId="196EFA94" w14:textId="77777777" w:rsidR="00454A29" w:rsidRDefault="00454A29">
            <w:pPr>
              <w:pStyle w:val="ConsPlusNormal"/>
              <w:jc w:val="center"/>
            </w:pPr>
            <w:r>
              <w:t>2020 - 2026 годы - всего</w:t>
            </w:r>
          </w:p>
        </w:tc>
        <w:tc>
          <w:tcPr>
            <w:tcW w:w="1417" w:type="dxa"/>
            <w:vMerge w:val="restart"/>
            <w:vAlign w:val="center"/>
          </w:tcPr>
          <w:p w14:paraId="518FAD8C" w14:textId="77777777" w:rsidR="00454A29" w:rsidRDefault="00454A29">
            <w:pPr>
              <w:pStyle w:val="ConsPlusNormal"/>
              <w:jc w:val="center"/>
            </w:pPr>
            <w:r>
              <w:t>1 367 070,39</w:t>
            </w:r>
          </w:p>
        </w:tc>
        <w:tc>
          <w:tcPr>
            <w:tcW w:w="2204" w:type="dxa"/>
            <w:vMerge w:val="restart"/>
            <w:vAlign w:val="center"/>
          </w:tcPr>
          <w:p w14:paraId="1001AD07" w14:textId="77777777" w:rsidR="00454A29" w:rsidRDefault="00454A29">
            <w:pPr>
              <w:pStyle w:val="ConsPlusNormal"/>
            </w:pPr>
          </w:p>
        </w:tc>
        <w:tc>
          <w:tcPr>
            <w:tcW w:w="1417" w:type="dxa"/>
            <w:vMerge w:val="restart"/>
            <w:vAlign w:val="center"/>
          </w:tcPr>
          <w:p w14:paraId="2B579EDD" w14:textId="77777777" w:rsidR="00454A29" w:rsidRDefault="00454A29">
            <w:pPr>
              <w:pStyle w:val="ConsPlusNormal"/>
              <w:jc w:val="center"/>
            </w:pPr>
            <w:r>
              <w:t>990</w:t>
            </w:r>
          </w:p>
        </w:tc>
        <w:tc>
          <w:tcPr>
            <w:tcW w:w="2324" w:type="dxa"/>
            <w:vMerge w:val="restart"/>
            <w:vAlign w:val="center"/>
          </w:tcPr>
          <w:p w14:paraId="5B765C6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6C3A645" w14:textId="77777777" w:rsidR="00454A29" w:rsidRDefault="00454A29">
            <w:pPr>
              <w:pStyle w:val="ConsPlusNormal"/>
              <w:jc w:val="center"/>
            </w:pPr>
            <w:r>
              <w:t>1 367 070,39</w:t>
            </w:r>
          </w:p>
        </w:tc>
        <w:tc>
          <w:tcPr>
            <w:tcW w:w="1814" w:type="dxa"/>
            <w:vAlign w:val="center"/>
          </w:tcPr>
          <w:p w14:paraId="7ACE9083" w14:textId="77777777" w:rsidR="00454A29" w:rsidRDefault="00454A29">
            <w:pPr>
              <w:pStyle w:val="ConsPlusNormal"/>
              <w:jc w:val="center"/>
            </w:pPr>
            <w:r>
              <w:t>16 842,31</w:t>
            </w:r>
          </w:p>
        </w:tc>
        <w:tc>
          <w:tcPr>
            <w:tcW w:w="1701" w:type="dxa"/>
            <w:vAlign w:val="center"/>
          </w:tcPr>
          <w:p w14:paraId="618ADD8F" w14:textId="77777777" w:rsidR="00454A29" w:rsidRDefault="00454A29">
            <w:pPr>
              <w:pStyle w:val="ConsPlusNormal"/>
              <w:jc w:val="center"/>
            </w:pPr>
            <w:r>
              <w:t>1 667 388,41</w:t>
            </w:r>
          </w:p>
        </w:tc>
        <w:tc>
          <w:tcPr>
            <w:tcW w:w="1701" w:type="dxa"/>
            <w:vAlign w:val="center"/>
          </w:tcPr>
          <w:p w14:paraId="2762AD6A" w14:textId="77777777" w:rsidR="00454A29" w:rsidRDefault="00454A29">
            <w:pPr>
              <w:pStyle w:val="ConsPlusNormal"/>
              <w:jc w:val="center"/>
            </w:pPr>
            <w:r>
              <w:t>-</w:t>
            </w:r>
          </w:p>
        </w:tc>
        <w:tc>
          <w:tcPr>
            <w:tcW w:w="1814" w:type="dxa"/>
            <w:vAlign w:val="center"/>
          </w:tcPr>
          <w:p w14:paraId="0FA375A8" w14:textId="77777777" w:rsidR="00454A29" w:rsidRDefault="00454A29">
            <w:pPr>
              <w:pStyle w:val="ConsPlusNormal"/>
              <w:jc w:val="center"/>
            </w:pPr>
            <w:r>
              <w:t>-</w:t>
            </w:r>
          </w:p>
        </w:tc>
      </w:tr>
      <w:tr w:rsidR="00454A29" w14:paraId="5C0A4227" w14:textId="77777777">
        <w:tc>
          <w:tcPr>
            <w:tcW w:w="567" w:type="dxa"/>
            <w:vMerge/>
          </w:tcPr>
          <w:p w14:paraId="56958D00" w14:textId="77777777" w:rsidR="00454A29" w:rsidRDefault="00454A29"/>
        </w:tc>
        <w:tc>
          <w:tcPr>
            <w:tcW w:w="3345" w:type="dxa"/>
            <w:vMerge/>
          </w:tcPr>
          <w:p w14:paraId="424F2892" w14:textId="77777777" w:rsidR="00454A29" w:rsidRDefault="00454A29"/>
        </w:tc>
        <w:tc>
          <w:tcPr>
            <w:tcW w:w="1701" w:type="dxa"/>
            <w:vAlign w:val="center"/>
          </w:tcPr>
          <w:p w14:paraId="71D42E45" w14:textId="77777777" w:rsidR="00454A29" w:rsidRDefault="00454A29">
            <w:pPr>
              <w:pStyle w:val="ConsPlusNormal"/>
              <w:jc w:val="center"/>
            </w:pPr>
            <w:r>
              <w:t>2020</w:t>
            </w:r>
          </w:p>
        </w:tc>
        <w:tc>
          <w:tcPr>
            <w:tcW w:w="1417" w:type="dxa"/>
            <w:vMerge/>
          </w:tcPr>
          <w:p w14:paraId="740006F9" w14:textId="77777777" w:rsidR="00454A29" w:rsidRDefault="00454A29"/>
        </w:tc>
        <w:tc>
          <w:tcPr>
            <w:tcW w:w="2204" w:type="dxa"/>
            <w:vMerge/>
          </w:tcPr>
          <w:p w14:paraId="40186CAD" w14:textId="77777777" w:rsidR="00454A29" w:rsidRDefault="00454A29"/>
        </w:tc>
        <w:tc>
          <w:tcPr>
            <w:tcW w:w="1417" w:type="dxa"/>
            <w:vMerge/>
          </w:tcPr>
          <w:p w14:paraId="040E0A2F" w14:textId="77777777" w:rsidR="00454A29" w:rsidRDefault="00454A29"/>
        </w:tc>
        <w:tc>
          <w:tcPr>
            <w:tcW w:w="2324" w:type="dxa"/>
            <w:vMerge/>
          </w:tcPr>
          <w:p w14:paraId="29A95EAE" w14:textId="77777777" w:rsidR="00454A29" w:rsidRDefault="00454A29"/>
        </w:tc>
        <w:tc>
          <w:tcPr>
            <w:tcW w:w="1701" w:type="dxa"/>
            <w:vAlign w:val="center"/>
          </w:tcPr>
          <w:p w14:paraId="61A1F620" w14:textId="77777777" w:rsidR="00454A29" w:rsidRDefault="00454A29">
            <w:pPr>
              <w:pStyle w:val="ConsPlusNormal"/>
            </w:pPr>
          </w:p>
        </w:tc>
        <w:tc>
          <w:tcPr>
            <w:tcW w:w="1814" w:type="dxa"/>
            <w:vAlign w:val="center"/>
          </w:tcPr>
          <w:p w14:paraId="1D6C1D51" w14:textId="77777777" w:rsidR="00454A29" w:rsidRDefault="00454A29">
            <w:pPr>
              <w:pStyle w:val="ConsPlusNormal"/>
            </w:pPr>
          </w:p>
        </w:tc>
        <w:tc>
          <w:tcPr>
            <w:tcW w:w="1701" w:type="dxa"/>
            <w:vAlign w:val="center"/>
          </w:tcPr>
          <w:p w14:paraId="57AD7149" w14:textId="77777777" w:rsidR="00454A29" w:rsidRDefault="00454A29">
            <w:pPr>
              <w:pStyle w:val="ConsPlusNormal"/>
            </w:pPr>
          </w:p>
        </w:tc>
        <w:tc>
          <w:tcPr>
            <w:tcW w:w="1701" w:type="dxa"/>
            <w:vAlign w:val="center"/>
          </w:tcPr>
          <w:p w14:paraId="33DFD496" w14:textId="77777777" w:rsidR="00454A29" w:rsidRDefault="00454A29">
            <w:pPr>
              <w:pStyle w:val="ConsPlusNormal"/>
            </w:pPr>
          </w:p>
        </w:tc>
        <w:tc>
          <w:tcPr>
            <w:tcW w:w="1814" w:type="dxa"/>
            <w:vAlign w:val="center"/>
          </w:tcPr>
          <w:p w14:paraId="2CEB5AE1" w14:textId="77777777" w:rsidR="00454A29" w:rsidRDefault="00454A29">
            <w:pPr>
              <w:pStyle w:val="ConsPlusNormal"/>
            </w:pPr>
          </w:p>
        </w:tc>
      </w:tr>
      <w:tr w:rsidR="00454A29" w14:paraId="6F31DF43" w14:textId="77777777">
        <w:tc>
          <w:tcPr>
            <w:tcW w:w="567" w:type="dxa"/>
            <w:vMerge/>
          </w:tcPr>
          <w:p w14:paraId="1098B8E6" w14:textId="77777777" w:rsidR="00454A29" w:rsidRDefault="00454A29"/>
        </w:tc>
        <w:tc>
          <w:tcPr>
            <w:tcW w:w="3345" w:type="dxa"/>
            <w:vMerge/>
          </w:tcPr>
          <w:p w14:paraId="4DFA0427" w14:textId="77777777" w:rsidR="00454A29" w:rsidRDefault="00454A29"/>
        </w:tc>
        <w:tc>
          <w:tcPr>
            <w:tcW w:w="1701" w:type="dxa"/>
            <w:vAlign w:val="center"/>
          </w:tcPr>
          <w:p w14:paraId="0B7E39A4" w14:textId="77777777" w:rsidR="00454A29" w:rsidRDefault="00454A29">
            <w:pPr>
              <w:pStyle w:val="ConsPlusNormal"/>
              <w:jc w:val="center"/>
            </w:pPr>
            <w:r>
              <w:t>2021</w:t>
            </w:r>
          </w:p>
        </w:tc>
        <w:tc>
          <w:tcPr>
            <w:tcW w:w="1417" w:type="dxa"/>
            <w:vMerge/>
          </w:tcPr>
          <w:p w14:paraId="04760A85" w14:textId="77777777" w:rsidR="00454A29" w:rsidRDefault="00454A29"/>
        </w:tc>
        <w:tc>
          <w:tcPr>
            <w:tcW w:w="2204" w:type="dxa"/>
            <w:vMerge/>
          </w:tcPr>
          <w:p w14:paraId="3F7E3DCC" w14:textId="77777777" w:rsidR="00454A29" w:rsidRDefault="00454A29"/>
        </w:tc>
        <w:tc>
          <w:tcPr>
            <w:tcW w:w="1417" w:type="dxa"/>
            <w:vMerge/>
          </w:tcPr>
          <w:p w14:paraId="69159EC3" w14:textId="77777777" w:rsidR="00454A29" w:rsidRDefault="00454A29"/>
        </w:tc>
        <w:tc>
          <w:tcPr>
            <w:tcW w:w="2324" w:type="dxa"/>
            <w:vMerge/>
          </w:tcPr>
          <w:p w14:paraId="7D788F01" w14:textId="77777777" w:rsidR="00454A29" w:rsidRDefault="00454A29"/>
        </w:tc>
        <w:tc>
          <w:tcPr>
            <w:tcW w:w="1701" w:type="dxa"/>
            <w:vAlign w:val="center"/>
          </w:tcPr>
          <w:p w14:paraId="15131659" w14:textId="77777777" w:rsidR="00454A29" w:rsidRDefault="00454A29">
            <w:pPr>
              <w:pStyle w:val="ConsPlusNormal"/>
              <w:jc w:val="center"/>
            </w:pPr>
            <w:r>
              <w:t>-</w:t>
            </w:r>
          </w:p>
        </w:tc>
        <w:tc>
          <w:tcPr>
            <w:tcW w:w="1814" w:type="dxa"/>
            <w:vAlign w:val="center"/>
          </w:tcPr>
          <w:p w14:paraId="184D06E9" w14:textId="77777777" w:rsidR="00454A29" w:rsidRDefault="00454A29">
            <w:pPr>
              <w:pStyle w:val="ConsPlusNormal"/>
            </w:pPr>
          </w:p>
        </w:tc>
        <w:tc>
          <w:tcPr>
            <w:tcW w:w="1701" w:type="dxa"/>
            <w:vAlign w:val="center"/>
          </w:tcPr>
          <w:p w14:paraId="5E0EE36C" w14:textId="77777777" w:rsidR="00454A29" w:rsidRDefault="00454A29">
            <w:pPr>
              <w:pStyle w:val="ConsPlusNormal"/>
            </w:pPr>
          </w:p>
        </w:tc>
        <w:tc>
          <w:tcPr>
            <w:tcW w:w="1701" w:type="dxa"/>
            <w:vAlign w:val="center"/>
          </w:tcPr>
          <w:p w14:paraId="7C378AB6" w14:textId="77777777" w:rsidR="00454A29" w:rsidRDefault="00454A29">
            <w:pPr>
              <w:pStyle w:val="ConsPlusNormal"/>
            </w:pPr>
          </w:p>
        </w:tc>
        <w:tc>
          <w:tcPr>
            <w:tcW w:w="1814" w:type="dxa"/>
            <w:vAlign w:val="center"/>
          </w:tcPr>
          <w:p w14:paraId="79D15835" w14:textId="77777777" w:rsidR="00454A29" w:rsidRDefault="00454A29">
            <w:pPr>
              <w:pStyle w:val="ConsPlusNormal"/>
            </w:pPr>
          </w:p>
        </w:tc>
      </w:tr>
      <w:tr w:rsidR="00454A29" w14:paraId="76A37DF2" w14:textId="77777777">
        <w:tc>
          <w:tcPr>
            <w:tcW w:w="567" w:type="dxa"/>
            <w:vMerge/>
          </w:tcPr>
          <w:p w14:paraId="674F10D6" w14:textId="77777777" w:rsidR="00454A29" w:rsidRDefault="00454A29"/>
        </w:tc>
        <w:tc>
          <w:tcPr>
            <w:tcW w:w="3345" w:type="dxa"/>
            <w:vMerge/>
          </w:tcPr>
          <w:p w14:paraId="5F45D98D" w14:textId="77777777" w:rsidR="00454A29" w:rsidRDefault="00454A29"/>
        </w:tc>
        <w:tc>
          <w:tcPr>
            <w:tcW w:w="1701" w:type="dxa"/>
            <w:vAlign w:val="center"/>
          </w:tcPr>
          <w:p w14:paraId="15B7E113" w14:textId="77777777" w:rsidR="00454A29" w:rsidRDefault="00454A29">
            <w:pPr>
              <w:pStyle w:val="ConsPlusNormal"/>
              <w:jc w:val="center"/>
            </w:pPr>
            <w:r>
              <w:t>2022</w:t>
            </w:r>
          </w:p>
        </w:tc>
        <w:tc>
          <w:tcPr>
            <w:tcW w:w="1417" w:type="dxa"/>
            <w:vMerge/>
          </w:tcPr>
          <w:p w14:paraId="4A424A21" w14:textId="77777777" w:rsidR="00454A29" w:rsidRDefault="00454A29"/>
        </w:tc>
        <w:tc>
          <w:tcPr>
            <w:tcW w:w="2204" w:type="dxa"/>
            <w:vMerge/>
          </w:tcPr>
          <w:p w14:paraId="6C229E9D" w14:textId="77777777" w:rsidR="00454A29" w:rsidRDefault="00454A29"/>
        </w:tc>
        <w:tc>
          <w:tcPr>
            <w:tcW w:w="1417" w:type="dxa"/>
            <w:vMerge/>
          </w:tcPr>
          <w:p w14:paraId="072BE9F2" w14:textId="77777777" w:rsidR="00454A29" w:rsidRDefault="00454A29"/>
        </w:tc>
        <w:tc>
          <w:tcPr>
            <w:tcW w:w="2324" w:type="dxa"/>
            <w:vMerge/>
          </w:tcPr>
          <w:p w14:paraId="3ABA9499" w14:textId="77777777" w:rsidR="00454A29" w:rsidRDefault="00454A29"/>
        </w:tc>
        <w:tc>
          <w:tcPr>
            <w:tcW w:w="1701" w:type="dxa"/>
            <w:vAlign w:val="center"/>
          </w:tcPr>
          <w:p w14:paraId="22E38774" w14:textId="77777777" w:rsidR="00454A29" w:rsidRDefault="00454A29">
            <w:pPr>
              <w:pStyle w:val="ConsPlusNormal"/>
            </w:pPr>
          </w:p>
        </w:tc>
        <w:tc>
          <w:tcPr>
            <w:tcW w:w="1814" w:type="dxa"/>
            <w:vAlign w:val="center"/>
          </w:tcPr>
          <w:p w14:paraId="0DD026C4" w14:textId="77777777" w:rsidR="00454A29" w:rsidRDefault="00454A29">
            <w:pPr>
              <w:pStyle w:val="ConsPlusNormal"/>
            </w:pPr>
          </w:p>
        </w:tc>
        <w:tc>
          <w:tcPr>
            <w:tcW w:w="1701" w:type="dxa"/>
            <w:vAlign w:val="center"/>
          </w:tcPr>
          <w:p w14:paraId="056BD478" w14:textId="77777777" w:rsidR="00454A29" w:rsidRDefault="00454A29">
            <w:pPr>
              <w:pStyle w:val="ConsPlusNormal"/>
            </w:pPr>
          </w:p>
        </w:tc>
        <w:tc>
          <w:tcPr>
            <w:tcW w:w="1701" w:type="dxa"/>
            <w:vAlign w:val="center"/>
          </w:tcPr>
          <w:p w14:paraId="14C2B9F7" w14:textId="77777777" w:rsidR="00454A29" w:rsidRDefault="00454A29">
            <w:pPr>
              <w:pStyle w:val="ConsPlusNormal"/>
            </w:pPr>
          </w:p>
        </w:tc>
        <w:tc>
          <w:tcPr>
            <w:tcW w:w="1814" w:type="dxa"/>
            <w:vAlign w:val="center"/>
          </w:tcPr>
          <w:p w14:paraId="0D64FF51" w14:textId="77777777" w:rsidR="00454A29" w:rsidRDefault="00454A29">
            <w:pPr>
              <w:pStyle w:val="ConsPlusNormal"/>
            </w:pPr>
          </w:p>
        </w:tc>
      </w:tr>
      <w:tr w:rsidR="00454A29" w14:paraId="6CACB3DE" w14:textId="77777777">
        <w:tc>
          <w:tcPr>
            <w:tcW w:w="567" w:type="dxa"/>
            <w:vMerge/>
          </w:tcPr>
          <w:p w14:paraId="79239D9A" w14:textId="77777777" w:rsidR="00454A29" w:rsidRDefault="00454A29"/>
        </w:tc>
        <w:tc>
          <w:tcPr>
            <w:tcW w:w="3345" w:type="dxa"/>
            <w:vMerge/>
          </w:tcPr>
          <w:p w14:paraId="66622457" w14:textId="77777777" w:rsidR="00454A29" w:rsidRDefault="00454A29"/>
        </w:tc>
        <w:tc>
          <w:tcPr>
            <w:tcW w:w="1701" w:type="dxa"/>
            <w:vAlign w:val="center"/>
          </w:tcPr>
          <w:p w14:paraId="5E190022" w14:textId="77777777" w:rsidR="00454A29" w:rsidRDefault="00454A29">
            <w:pPr>
              <w:pStyle w:val="ConsPlusNormal"/>
              <w:jc w:val="center"/>
            </w:pPr>
            <w:r>
              <w:t>2023</w:t>
            </w:r>
          </w:p>
        </w:tc>
        <w:tc>
          <w:tcPr>
            <w:tcW w:w="1417" w:type="dxa"/>
            <w:vMerge/>
          </w:tcPr>
          <w:p w14:paraId="00271317" w14:textId="77777777" w:rsidR="00454A29" w:rsidRDefault="00454A29"/>
        </w:tc>
        <w:tc>
          <w:tcPr>
            <w:tcW w:w="2204" w:type="dxa"/>
            <w:vMerge/>
          </w:tcPr>
          <w:p w14:paraId="7613FAB2" w14:textId="77777777" w:rsidR="00454A29" w:rsidRDefault="00454A29"/>
        </w:tc>
        <w:tc>
          <w:tcPr>
            <w:tcW w:w="1417" w:type="dxa"/>
            <w:vMerge/>
          </w:tcPr>
          <w:p w14:paraId="77857859" w14:textId="77777777" w:rsidR="00454A29" w:rsidRDefault="00454A29"/>
        </w:tc>
        <w:tc>
          <w:tcPr>
            <w:tcW w:w="2324" w:type="dxa"/>
            <w:vMerge/>
          </w:tcPr>
          <w:p w14:paraId="5666D5F5" w14:textId="77777777" w:rsidR="00454A29" w:rsidRDefault="00454A29"/>
        </w:tc>
        <w:tc>
          <w:tcPr>
            <w:tcW w:w="1701" w:type="dxa"/>
            <w:vAlign w:val="center"/>
          </w:tcPr>
          <w:p w14:paraId="422AF9EF" w14:textId="77777777" w:rsidR="00454A29" w:rsidRDefault="00454A29">
            <w:pPr>
              <w:pStyle w:val="ConsPlusNormal"/>
              <w:jc w:val="center"/>
            </w:pPr>
            <w:r>
              <w:t>-</w:t>
            </w:r>
          </w:p>
        </w:tc>
        <w:tc>
          <w:tcPr>
            <w:tcW w:w="1814" w:type="dxa"/>
            <w:vAlign w:val="center"/>
          </w:tcPr>
          <w:p w14:paraId="05C32F2D" w14:textId="77777777" w:rsidR="00454A29" w:rsidRDefault="00454A29">
            <w:pPr>
              <w:pStyle w:val="ConsPlusNormal"/>
            </w:pPr>
          </w:p>
        </w:tc>
        <w:tc>
          <w:tcPr>
            <w:tcW w:w="1701" w:type="dxa"/>
            <w:vAlign w:val="center"/>
          </w:tcPr>
          <w:p w14:paraId="2BF593A9" w14:textId="77777777" w:rsidR="00454A29" w:rsidRDefault="00454A29">
            <w:pPr>
              <w:pStyle w:val="ConsPlusNormal"/>
            </w:pPr>
          </w:p>
        </w:tc>
        <w:tc>
          <w:tcPr>
            <w:tcW w:w="1701" w:type="dxa"/>
            <w:vAlign w:val="center"/>
          </w:tcPr>
          <w:p w14:paraId="072E8AB9" w14:textId="77777777" w:rsidR="00454A29" w:rsidRDefault="00454A29">
            <w:pPr>
              <w:pStyle w:val="ConsPlusNormal"/>
            </w:pPr>
          </w:p>
        </w:tc>
        <w:tc>
          <w:tcPr>
            <w:tcW w:w="1814" w:type="dxa"/>
            <w:vAlign w:val="center"/>
          </w:tcPr>
          <w:p w14:paraId="1F8C83E5" w14:textId="77777777" w:rsidR="00454A29" w:rsidRDefault="00454A29">
            <w:pPr>
              <w:pStyle w:val="ConsPlusNormal"/>
            </w:pPr>
          </w:p>
        </w:tc>
      </w:tr>
      <w:tr w:rsidR="00454A29" w14:paraId="4293CD5F" w14:textId="77777777">
        <w:tc>
          <w:tcPr>
            <w:tcW w:w="567" w:type="dxa"/>
            <w:vMerge/>
          </w:tcPr>
          <w:p w14:paraId="387D3705" w14:textId="77777777" w:rsidR="00454A29" w:rsidRDefault="00454A29"/>
        </w:tc>
        <w:tc>
          <w:tcPr>
            <w:tcW w:w="3345" w:type="dxa"/>
            <w:vMerge/>
          </w:tcPr>
          <w:p w14:paraId="36B49FE5" w14:textId="77777777" w:rsidR="00454A29" w:rsidRDefault="00454A29"/>
        </w:tc>
        <w:tc>
          <w:tcPr>
            <w:tcW w:w="1701" w:type="dxa"/>
            <w:vAlign w:val="center"/>
          </w:tcPr>
          <w:p w14:paraId="4A66EF4E" w14:textId="77777777" w:rsidR="00454A29" w:rsidRDefault="00454A29">
            <w:pPr>
              <w:pStyle w:val="ConsPlusNormal"/>
              <w:jc w:val="center"/>
            </w:pPr>
            <w:r>
              <w:t>2024</w:t>
            </w:r>
          </w:p>
        </w:tc>
        <w:tc>
          <w:tcPr>
            <w:tcW w:w="1417" w:type="dxa"/>
            <w:vMerge/>
          </w:tcPr>
          <w:p w14:paraId="69F75861" w14:textId="77777777" w:rsidR="00454A29" w:rsidRDefault="00454A29"/>
        </w:tc>
        <w:tc>
          <w:tcPr>
            <w:tcW w:w="2204" w:type="dxa"/>
            <w:vMerge/>
          </w:tcPr>
          <w:p w14:paraId="5106614C" w14:textId="77777777" w:rsidR="00454A29" w:rsidRDefault="00454A29"/>
        </w:tc>
        <w:tc>
          <w:tcPr>
            <w:tcW w:w="1417" w:type="dxa"/>
            <w:vMerge/>
          </w:tcPr>
          <w:p w14:paraId="7CCF7533" w14:textId="77777777" w:rsidR="00454A29" w:rsidRDefault="00454A29"/>
        </w:tc>
        <w:tc>
          <w:tcPr>
            <w:tcW w:w="2324" w:type="dxa"/>
            <w:vMerge/>
          </w:tcPr>
          <w:p w14:paraId="3DD02881" w14:textId="77777777" w:rsidR="00454A29" w:rsidRDefault="00454A29"/>
        </w:tc>
        <w:tc>
          <w:tcPr>
            <w:tcW w:w="1701" w:type="dxa"/>
            <w:vAlign w:val="center"/>
          </w:tcPr>
          <w:p w14:paraId="75AEA3D1" w14:textId="77777777" w:rsidR="00454A29" w:rsidRDefault="00454A29">
            <w:pPr>
              <w:pStyle w:val="ConsPlusNormal"/>
            </w:pPr>
          </w:p>
        </w:tc>
        <w:tc>
          <w:tcPr>
            <w:tcW w:w="1814" w:type="dxa"/>
            <w:vAlign w:val="center"/>
          </w:tcPr>
          <w:p w14:paraId="47CF89A7" w14:textId="77777777" w:rsidR="00454A29" w:rsidRDefault="00454A29">
            <w:pPr>
              <w:pStyle w:val="ConsPlusNormal"/>
            </w:pPr>
          </w:p>
        </w:tc>
        <w:tc>
          <w:tcPr>
            <w:tcW w:w="1701" w:type="dxa"/>
            <w:vAlign w:val="center"/>
          </w:tcPr>
          <w:p w14:paraId="7FE0A7E7" w14:textId="77777777" w:rsidR="00454A29" w:rsidRDefault="00454A29">
            <w:pPr>
              <w:pStyle w:val="ConsPlusNormal"/>
            </w:pPr>
          </w:p>
        </w:tc>
        <w:tc>
          <w:tcPr>
            <w:tcW w:w="1701" w:type="dxa"/>
            <w:vAlign w:val="center"/>
          </w:tcPr>
          <w:p w14:paraId="689639C2" w14:textId="77777777" w:rsidR="00454A29" w:rsidRDefault="00454A29">
            <w:pPr>
              <w:pStyle w:val="ConsPlusNormal"/>
            </w:pPr>
          </w:p>
        </w:tc>
        <w:tc>
          <w:tcPr>
            <w:tcW w:w="1814" w:type="dxa"/>
            <w:vAlign w:val="center"/>
          </w:tcPr>
          <w:p w14:paraId="6632B698" w14:textId="77777777" w:rsidR="00454A29" w:rsidRDefault="00454A29">
            <w:pPr>
              <w:pStyle w:val="ConsPlusNormal"/>
            </w:pPr>
          </w:p>
        </w:tc>
      </w:tr>
      <w:tr w:rsidR="00454A29" w14:paraId="548A4A7D" w14:textId="77777777">
        <w:tc>
          <w:tcPr>
            <w:tcW w:w="567" w:type="dxa"/>
            <w:vMerge/>
          </w:tcPr>
          <w:p w14:paraId="3B3A7B6C" w14:textId="77777777" w:rsidR="00454A29" w:rsidRDefault="00454A29"/>
        </w:tc>
        <w:tc>
          <w:tcPr>
            <w:tcW w:w="3345" w:type="dxa"/>
            <w:vMerge/>
          </w:tcPr>
          <w:p w14:paraId="4D9DA3C4" w14:textId="77777777" w:rsidR="00454A29" w:rsidRDefault="00454A29"/>
        </w:tc>
        <w:tc>
          <w:tcPr>
            <w:tcW w:w="1701" w:type="dxa"/>
            <w:vAlign w:val="center"/>
          </w:tcPr>
          <w:p w14:paraId="33A0859F" w14:textId="77777777" w:rsidR="00454A29" w:rsidRDefault="00454A29">
            <w:pPr>
              <w:pStyle w:val="ConsPlusNormal"/>
              <w:jc w:val="center"/>
            </w:pPr>
            <w:r>
              <w:t>2025</w:t>
            </w:r>
          </w:p>
        </w:tc>
        <w:tc>
          <w:tcPr>
            <w:tcW w:w="1417" w:type="dxa"/>
            <w:vMerge/>
          </w:tcPr>
          <w:p w14:paraId="3033026C" w14:textId="77777777" w:rsidR="00454A29" w:rsidRDefault="00454A29"/>
        </w:tc>
        <w:tc>
          <w:tcPr>
            <w:tcW w:w="2204" w:type="dxa"/>
            <w:vMerge/>
          </w:tcPr>
          <w:p w14:paraId="2FF0C506" w14:textId="77777777" w:rsidR="00454A29" w:rsidRDefault="00454A29"/>
        </w:tc>
        <w:tc>
          <w:tcPr>
            <w:tcW w:w="1417" w:type="dxa"/>
            <w:vMerge/>
          </w:tcPr>
          <w:p w14:paraId="42C33E36" w14:textId="77777777" w:rsidR="00454A29" w:rsidRDefault="00454A29"/>
        </w:tc>
        <w:tc>
          <w:tcPr>
            <w:tcW w:w="2324" w:type="dxa"/>
            <w:vMerge/>
          </w:tcPr>
          <w:p w14:paraId="57367EF3" w14:textId="77777777" w:rsidR="00454A29" w:rsidRDefault="00454A29"/>
        </w:tc>
        <w:tc>
          <w:tcPr>
            <w:tcW w:w="1701" w:type="dxa"/>
            <w:vAlign w:val="center"/>
          </w:tcPr>
          <w:p w14:paraId="60B1083E" w14:textId="77777777" w:rsidR="00454A29" w:rsidRDefault="00454A29">
            <w:pPr>
              <w:pStyle w:val="ConsPlusNormal"/>
            </w:pPr>
          </w:p>
        </w:tc>
        <w:tc>
          <w:tcPr>
            <w:tcW w:w="1814" w:type="dxa"/>
            <w:vAlign w:val="center"/>
          </w:tcPr>
          <w:p w14:paraId="029615CF" w14:textId="77777777" w:rsidR="00454A29" w:rsidRDefault="00454A29">
            <w:pPr>
              <w:pStyle w:val="ConsPlusNormal"/>
            </w:pPr>
          </w:p>
        </w:tc>
        <w:tc>
          <w:tcPr>
            <w:tcW w:w="1701" w:type="dxa"/>
            <w:vAlign w:val="center"/>
          </w:tcPr>
          <w:p w14:paraId="52CF4D29" w14:textId="77777777" w:rsidR="00454A29" w:rsidRDefault="00454A29">
            <w:pPr>
              <w:pStyle w:val="ConsPlusNormal"/>
            </w:pPr>
          </w:p>
        </w:tc>
        <w:tc>
          <w:tcPr>
            <w:tcW w:w="1701" w:type="dxa"/>
            <w:vAlign w:val="center"/>
          </w:tcPr>
          <w:p w14:paraId="75D0091E" w14:textId="77777777" w:rsidR="00454A29" w:rsidRDefault="00454A29">
            <w:pPr>
              <w:pStyle w:val="ConsPlusNormal"/>
            </w:pPr>
          </w:p>
        </w:tc>
        <w:tc>
          <w:tcPr>
            <w:tcW w:w="1814" w:type="dxa"/>
            <w:vAlign w:val="center"/>
          </w:tcPr>
          <w:p w14:paraId="48FAB1F8" w14:textId="77777777" w:rsidR="00454A29" w:rsidRDefault="00454A29">
            <w:pPr>
              <w:pStyle w:val="ConsPlusNormal"/>
            </w:pPr>
          </w:p>
        </w:tc>
      </w:tr>
      <w:tr w:rsidR="00454A29" w14:paraId="504E2CCE" w14:textId="77777777">
        <w:tc>
          <w:tcPr>
            <w:tcW w:w="567" w:type="dxa"/>
            <w:vMerge/>
          </w:tcPr>
          <w:p w14:paraId="58587D9E" w14:textId="77777777" w:rsidR="00454A29" w:rsidRDefault="00454A29"/>
        </w:tc>
        <w:tc>
          <w:tcPr>
            <w:tcW w:w="3345" w:type="dxa"/>
            <w:vMerge/>
          </w:tcPr>
          <w:p w14:paraId="55D7F8EE" w14:textId="77777777" w:rsidR="00454A29" w:rsidRDefault="00454A29"/>
        </w:tc>
        <w:tc>
          <w:tcPr>
            <w:tcW w:w="1701" w:type="dxa"/>
            <w:vAlign w:val="center"/>
          </w:tcPr>
          <w:p w14:paraId="597596D4" w14:textId="77777777" w:rsidR="00454A29" w:rsidRDefault="00454A29">
            <w:pPr>
              <w:pStyle w:val="ConsPlusNormal"/>
              <w:jc w:val="center"/>
            </w:pPr>
            <w:r>
              <w:t>2026</w:t>
            </w:r>
          </w:p>
        </w:tc>
        <w:tc>
          <w:tcPr>
            <w:tcW w:w="1417" w:type="dxa"/>
            <w:vMerge/>
          </w:tcPr>
          <w:p w14:paraId="0F283117" w14:textId="77777777" w:rsidR="00454A29" w:rsidRDefault="00454A29"/>
        </w:tc>
        <w:tc>
          <w:tcPr>
            <w:tcW w:w="2204" w:type="dxa"/>
            <w:vMerge/>
          </w:tcPr>
          <w:p w14:paraId="13EFEC51" w14:textId="77777777" w:rsidR="00454A29" w:rsidRDefault="00454A29"/>
        </w:tc>
        <w:tc>
          <w:tcPr>
            <w:tcW w:w="1417" w:type="dxa"/>
            <w:vMerge/>
          </w:tcPr>
          <w:p w14:paraId="7649924D" w14:textId="77777777" w:rsidR="00454A29" w:rsidRDefault="00454A29"/>
        </w:tc>
        <w:tc>
          <w:tcPr>
            <w:tcW w:w="2324" w:type="dxa"/>
            <w:vMerge/>
          </w:tcPr>
          <w:p w14:paraId="7F7E7A9F" w14:textId="77777777" w:rsidR="00454A29" w:rsidRDefault="00454A29"/>
        </w:tc>
        <w:tc>
          <w:tcPr>
            <w:tcW w:w="1701" w:type="dxa"/>
            <w:vAlign w:val="center"/>
          </w:tcPr>
          <w:p w14:paraId="32332045" w14:textId="77777777" w:rsidR="00454A29" w:rsidRDefault="00454A29">
            <w:pPr>
              <w:pStyle w:val="ConsPlusNormal"/>
              <w:jc w:val="center"/>
            </w:pPr>
            <w:r>
              <w:t>1 367 070,39</w:t>
            </w:r>
          </w:p>
        </w:tc>
        <w:tc>
          <w:tcPr>
            <w:tcW w:w="1814" w:type="dxa"/>
            <w:vAlign w:val="center"/>
          </w:tcPr>
          <w:p w14:paraId="6E69D04E" w14:textId="77777777" w:rsidR="00454A29" w:rsidRDefault="00454A29">
            <w:pPr>
              <w:pStyle w:val="ConsPlusNormal"/>
              <w:jc w:val="center"/>
            </w:pPr>
            <w:r>
              <w:t>16 842,31</w:t>
            </w:r>
          </w:p>
        </w:tc>
        <w:tc>
          <w:tcPr>
            <w:tcW w:w="1701" w:type="dxa"/>
            <w:vAlign w:val="center"/>
          </w:tcPr>
          <w:p w14:paraId="6C6926FC" w14:textId="77777777" w:rsidR="00454A29" w:rsidRDefault="00454A29">
            <w:pPr>
              <w:pStyle w:val="ConsPlusNormal"/>
              <w:jc w:val="center"/>
            </w:pPr>
            <w:r>
              <w:t>1 667 388,41</w:t>
            </w:r>
          </w:p>
        </w:tc>
        <w:tc>
          <w:tcPr>
            <w:tcW w:w="1701" w:type="dxa"/>
            <w:vAlign w:val="center"/>
          </w:tcPr>
          <w:p w14:paraId="19098C0F" w14:textId="77777777" w:rsidR="00454A29" w:rsidRDefault="00454A29">
            <w:pPr>
              <w:pStyle w:val="ConsPlusNormal"/>
            </w:pPr>
          </w:p>
        </w:tc>
        <w:tc>
          <w:tcPr>
            <w:tcW w:w="1814" w:type="dxa"/>
            <w:vAlign w:val="center"/>
          </w:tcPr>
          <w:p w14:paraId="1E4ECE54" w14:textId="77777777" w:rsidR="00454A29" w:rsidRDefault="00454A29">
            <w:pPr>
              <w:pStyle w:val="ConsPlusNormal"/>
            </w:pPr>
          </w:p>
        </w:tc>
      </w:tr>
      <w:tr w:rsidR="00454A29" w14:paraId="0198E52D" w14:textId="77777777">
        <w:tc>
          <w:tcPr>
            <w:tcW w:w="567" w:type="dxa"/>
            <w:vMerge w:val="restart"/>
            <w:vAlign w:val="center"/>
          </w:tcPr>
          <w:p w14:paraId="6219AED4" w14:textId="77777777" w:rsidR="00454A29" w:rsidRDefault="00454A29">
            <w:pPr>
              <w:pStyle w:val="ConsPlusNormal"/>
              <w:jc w:val="center"/>
            </w:pPr>
            <w:r>
              <w:t>184</w:t>
            </w:r>
          </w:p>
        </w:tc>
        <w:tc>
          <w:tcPr>
            <w:tcW w:w="3345" w:type="dxa"/>
            <w:vMerge w:val="restart"/>
            <w:vAlign w:val="center"/>
          </w:tcPr>
          <w:p w14:paraId="0E54EC9C" w14:textId="77777777" w:rsidR="00454A29" w:rsidRDefault="00454A29">
            <w:pPr>
              <w:pStyle w:val="ConsPlusNormal"/>
              <w:jc w:val="center"/>
            </w:pPr>
            <w:r>
              <w:t>Школа на 990 учащихся в г. Якутске</w:t>
            </w:r>
          </w:p>
        </w:tc>
        <w:tc>
          <w:tcPr>
            <w:tcW w:w="1701" w:type="dxa"/>
            <w:vAlign w:val="center"/>
          </w:tcPr>
          <w:p w14:paraId="6B05DE3B" w14:textId="77777777" w:rsidR="00454A29" w:rsidRDefault="00454A29">
            <w:pPr>
              <w:pStyle w:val="ConsPlusNormal"/>
              <w:jc w:val="center"/>
            </w:pPr>
            <w:r>
              <w:t>2020 - 2026 годы - всего</w:t>
            </w:r>
          </w:p>
        </w:tc>
        <w:tc>
          <w:tcPr>
            <w:tcW w:w="1417" w:type="dxa"/>
            <w:vMerge w:val="restart"/>
            <w:vAlign w:val="center"/>
          </w:tcPr>
          <w:p w14:paraId="5B2B7B29" w14:textId="77777777" w:rsidR="00454A29" w:rsidRDefault="00454A29">
            <w:pPr>
              <w:pStyle w:val="ConsPlusNormal"/>
              <w:jc w:val="center"/>
            </w:pPr>
            <w:r>
              <w:t>1 367 070,39</w:t>
            </w:r>
          </w:p>
        </w:tc>
        <w:tc>
          <w:tcPr>
            <w:tcW w:w="2204" w:type="dxa"/>
            <w:vMerge w:val="restart"/>
            <w:vAlign w:val="center"/>
          </w:tcPr>
          <w:p w14:paraId="2E20CC4E" w14:textId="77777777" w:rsidR="00454A29" w:rsidRDefault="00454A29">
            <w:pPr>
              <w:pStyle w:val="ConsPlusNormal"/>
            </w:pPr>
          </w:p>
        </w:tc>
        <w:tc>
          <w:tcPr>
            <w:tcW w:w="1417" w:type="dxa"/>
            <w:vMerge w:val="restart"/>
            <w:vAlign w:val="center"/>
          </w:tcPr>
          <w:p w14:paraId="3B4AA234" w14:textId="77777777" w:rsidR="00454A29" w:rsidRDefault="00454A29">
            <w:pPr>
              <w:pStyle w:val="ConsPlusNormal"/>
              <w:jc w:val="center"/>
            </w:pPr>
            <w:r>
              <w:t>990</w:t>
            </w:r>
          </w:p>
        </w:tc>
        <w:tc>
          <w:tcPr>
            <w:tcW w:w="2324" w:type="dxa"/>
            <w:vMerge w:val="restart"/>
            <w:vAlign w:val="center"/>
          </w:tcPr>
          <w:p w14:paraId="393D84E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81F5301" w14:textId="77777777" w:rsidR="00454A29" w:rsidRDefault="00454A29">
            <w:pPr>
              <w:pStyle w:val="ConsPlusNormal"/>
              <w:jc w:val="center"/>
            </w:pPr>
            <w:r>
              <w:t>1 367 070,39</w:t>
            </w:r>
          </w:p>
        </w:tc>
        <w:tc>
          <w:tcPr>
            <w:tcW w:w="1814" w:type="dxa"/>
            <w:vAlign w:val="center"/>
          </w:tcPr>
          <w:p w14:paraId="34C007BC" w14:textId="77777777" w:rsidR="00454A29" w:rsidRDefault="00454A29">
            <w:pPr>
              <w:pStyle w:val="ConsPlusNormal"/>
              <w:jc w:val="center"/>
            </w:pPr>
            <w:r>
              <w:t>17 293,44</w:t>
            </w:r>
          </w:p>
        </w:tc>
        <w:tc>
          <w:tcPr>
            <w:tcW w:w="1701" w:type="dxa"/>
            <w:vAlign w:val="center"/>
          </w:tcPr>
          <w:p w14:paraId="45F57DE1" w14:textId="77777777" w:rsidR="00454A29" w:rsidRDefault="00454A29">
            <w:pPr>
              <w:pStyle w:val="ConsPlusNormal"/>
              <w:jc w:val="center"/>
            </w:pPr>
            <w:r>
              <w:t>1 712 050,60</w:t>
            </w:r>
          </w:p>
        </w:tc>
        <w:tc>
          <w:tcPr>
            <w:tcW w:w="1701" w:type="dxa"/>
            <w:vAlign w:val="center"/>
          </w:tcPr>
          <w:p w14:paraId="75EAFE9F" w14:textId="77777777" w:rsidR="00454A29" w:rsidRDefault="00454A29">
            <w:pPr>
              <w:pStyle w:val="ConsPlusNormal"/>
              <w:jc w:val="center"/>
            </w:pPr>
            <w:r>
              <w:t>-</w:t>
            </w:r>
          </w:p>
        </w:tc>
        <w:tc>
          <w:tcPr>
            <w:tcW w:w="1814" w:type="dxa"/>
            <w:vAlign w:val="center"/>
          </w:tcPr>
          <w:p w14:paraId="53370A74" w14:textId="77777777" w:rsidR="00454A29" w:rsidRDefault="00454A29">
            <w:pPr>
              <w:pStyle w:val="ConsPlusNormal"/>
              <w:jc w:val="center"/>
            </w:pPr>
            <w:r>
              <w:t>-</w:t>
            </w:r>
          </w:p>
        </w:tc>
      </w:tr>
      <w:tr w:rsidR="00454A29" w14:paraId="401414DA" w14:textId="77777777">
        <w:tc>
          <w:tcPr>
            <w:tcW w:w="567" w:type="dxa"/>
            <w:vMerge/>
          </w:tcPr>
          <w:p w14:paraId="619CAB70" w14:textId="77777777" w:rsidR="00454A29" w:rsidRDefault="00454A29"/>
        </w:tc>
        <w:tc>
          <w:tcPr>
            <w:tcW w:w="3345" w:type="dxa"/>
            <w:vMerge/>
          </w:tcPr>
          <w:p w14:paraId="5269DB74" w14:textId="77777777" w:rsidR="00454A29" w:rsidRDefault="00454A29"/>
        </w:tc>
        <w:tc>
          <w:tcPr>
            <w:tcW w:w="1701" w:type="dxa"/>
            <w:vAlign w:val="center"/>
          </w:tcPr>
          <w:p w14:paraId="4214C86F" w14:textId="77777777" w:rsidR="00454A29" w:rsidRDefault="00454A29">
            <w:pPr>
              <w:pStyle w:val="ConsPlusNormal"/>
              <w:jc w:val="center"/>
            </w:pPr>
            <w:r>
              <w:t>2020</w:t>
            </w:r>
          </w:p>
        </w:tc>
        <w:tc>
          <w:tcPr>
            <w:tcW w:w="1417" w:type="dxa"/>
            <w:vMerge/>
          </w:tcPr>
          <w:p w14:paraId="325A1541" w14:textId="77777777" w:rsidR="00454A29" w:rsidRDefault="00454A29"/>
        </w:tc>
        <w:tc>
          <w:tcPr>
            <w:tcW w:w="2204" w:type="dxa"/>
            <w:vMerge/>
          </w:tcPr>
          <w:p w14:paraId="44EE2AAA" w14:textId="77777777" w:rsidR="00454A29" w:rsidRDefault="00454A29"/>
        </w:tc>
        <w:tc>
          <w:tcPr>
            <w:tcW w:w="1417" w:type="dxa"/>
            <w:vMerge/>
          </w:tcPr>
          <w:p w14:paraId="7FE7A39B" w14:textId="77777777" w:rsidR="00454A29" w:rsidRDefault="00454A29"/>
        </w:tc>
        <w:tc>
          <w:tcPr>
            <w:tcW w:w="2324" w:type="dxa"/>
            <w:vMerge/>
          </w:tcPr>
          <w:p w14:paraId="747C6811" w14:textId="77777777" w:rsidR="00454A29" w:rsidRDefault="00454A29"/>
        </w:tc>
        <w:tc>
          <w:tcPr>
            <w:tcW w:w="1701" w:type="dxa"/>
            <w:vAlign w:val="center"/>
          </w:tcPr>
          <w:p w14:paraId="63B150A1" w14:textId="77777777" w:rsidR="00454A29" w:rsidRDefault="00454A29">
            <w:pPr>
              <w:pStyle w:val="ConsPlusNormal"/>
            </w:pPr>
          </w:p>
        </w:tc>
        <w:tc>
          <w:tcPr>
            <w:tcW w:w="1814" w:type="dxa"/>
            <w:vAlign w:val="center"/>
          </w:tcPr>
          <w:p w14:paraId="246F2574" w14:textId="77777777" w:rsidR="00454A29" w:rsidRDefault="00454A29">
            <w:pPr>
              <w:pStyle w:val="ConsPlusNormal"/>
            </w:pPr>
          </w:p>
        </w:tc>
        <w:tc>
          <w:tcPr>
            <w:tcW w:w="1701" w:type="dxa"/>
            <w:vAlign w:val="center"/>
          </w:tcPr>
          <w:p w14:paraId="56FC9B5F" w14:textId="77777777" w:rsidR="00454A29" w:rsidRDefault="00454A29">
            <w:pPr>
              <w:pStyle w:val="ConsPlusNormal"/>
            </w:pPr>
          </w:p>
        </w:tc>
        <w:tc>
          <w:tcPr>
            <w:tcW w:w="1701" w:type="dxa"/>
            <w:vAlign w:val="center"/>
          </w:tcPr>
          <w:p w14:paraId="33E16940" w14:textId="77777777" w:rsidR="00454A29" w:rsidRDefault="00454A29">
            <w:pPr>
              <w:pStyle w:val="ConsPlusNormal"/>
            </w:pPr>
          </w:p>
        </w:tc>
        <w:tc>
          <w:tcPr>
            <w:tcW w:w="1814" w:type="dxa"/>
            <w:vAlign w:val="center"/>
          </w:tcPr>
          <w:p w14:paraId="698F78A4" w14:textId="77777777" w:rsidR="00454A29" w:rsidRDefault="00454A29">
            <w:pPr>
              <w:pStyle w:val="ConsPlusNormal"/>
            </w:pPr>
          </w:p>
        </w:tc>
      </w:tr>
      <w:tr w:rsidR="00454A29" w14:paraId="2BD219B4" w14:textId="77777777">
        <w:tc>
          <w:tcPr>
            <w:tcW w:w="567" w:type="dxa"/>
            <w:vMerge/>
          </w:tcPr>
          <w:p w14:paraId="5D70D0E6" w14:textId="77777777" w:rsidR="00454A29" w:rsidRDefault="00454A29"/>
        </w:tc>
        <w:tc>
          <w:tcPr>
            <w:tcW w:w="3345" w:type="dxa"/>
            <w:vMerge/>
          </w:tcPr>
          <w:p w14:paraId="4C0B025D" w14:textId="77777777" w:rsidR="00454A29" w:rsidRDefault="00454A29"/>
        </w:tc>
        <w:tc>
          <w:tcPr>
            <w:tcW w:w="1701" w:type="dxa"/>
            <w:vAlign w:val="center"/>
          </w:tcPr>
          <w:p w14:paraId="5D667875" w14:textId="77777777" w:rsidR="00454A29" w:rsidRDefault="00454A29">
            <w:pPr>
              <w:pStyle w:val="ConsPlusNormal"/>
              <w:jc w:val="center"/>
            </w:pPr>
            <w:r>
              <w:t>2021</w:t>
            </w:r>
          </w:p>
        </w:tc>
        <w:tc>
          <w:tcPr>
            <w:tcW w:w="1417" w:type="dxa"/>
            <w:vMerge/>
          </w:tcPr>
          <w:p w14:paraId="3F281611" w14:textId="77777777" w:rsidR="00454A29" w:rsidRDefault="00454A29"/>
        </w:tc>
        <w:tc>
          <w:tcPr>
            <w:tcW w:w="2204" w:type="dxa"/>
            <w:vMerge/>
          </w:tcPr>
          <w:p w14:paraId="7FE363C9" w14:textId="77777777" w:rsidR="00454A29" w:rsidRDefault="00454A29"/>
        </w:tc>
        <w:tc>
          <w:tcPr>
            <w:tcW w:w="1417" w:type="dxa"/>
            <w:vMerge/>
          </w:tcPr>
          <w:p w14:paraId="51781F83" w14:textId="77777777" w:rsidR="00454A29" w:rsidRDefault="00454A29"/>
        </w:tc>
        <w:tc>
          <w:tcPr>
            <w:tcW w:w="2324" w:type="dxa"/>
            <w:vMerge/>
          </w:tcPr>
          <w:p w14:paraId="085DCA6C" w14:textId="77777777" w:rsidR="00454A29" w:rsidRDefault="00454A29"/>
        </w:tc>
        <w:tc>
          <w:tcPr>
            <w:tcW w:w="1701" w:type="dxa"/>
            <w:vAlign w:val="center"/>
          </w:tcPr>
          <w:p w14:paraId="112B3EF2" w14:textId="77777777" w:rsidR="00454A29" w:rsidRDefault="00454A29">
            <w:pPr>
              <w:pStyle w:val="ConsPlusNormal"/>
              <w:jc w:val="center"/>
            </w:pPr>
            <w:r>
              <w:t>-</w:t>
            </w:r>
          </w:p>
        </w:tc>
        <w:tc>
          <w:tcPr>
            <w:tcW w:w="1814" w:type="dxa"/>
            <w:vAlign w:val="center"/>
          </w:tcPr>
          <w:p w14:paraId="431A75BF" w14:textId="77777777" w:rsidR="00454A29" w:rsidRDefault="00454A29">
            <w:pPr>
              <w:pStyle w:val="ConsPlusNormal"/>
            </w:pPr>
          </w:p>
        </w:tc>
        <w:tc>
          <w:tcPr>
            <w:tcW w:w="1701" w:type="dxa"/>
            <w:vAlign w:val="center"/>
          </w:tcPr>
          <w:p w14:paraId="69240430" w14:textId="77777777" w:rsidR="00454A29" w:rsidRDefault="00454A29">
            <w:pPr>
              <w:pStyle w:val="ConsPlusNormal"/>
            </w:pPr>
          </w:p>
        </w:tc>
        <w:tc>
          <w:tcPr>
            <w:tcW w:w="1701" w:type="dxa"/>
            <w:vAlign w:val="center"/>
          </w:tcPr>
          <w:p w14:paraId="25C1A38B" w14:textId="77777777" w:rsidR="00454A29" w:rsidRDefault="00454A29">
            <w:pPr>
              <w:pStyle w:val="ConsPlusNormal"/>
            </w:pPr>
          </w:p>
        </w:tc>
        <w:tc>
          <w:tcPr>
            <w:tcW w:w="1814" w:type="dxa"/>
            <w:vAlign w:val="center"/>
          </w:tcPr>
          <w:p w14:paraId="10ABD9E0" w14:textId="77777777" w:rsidR="00454A29" w:rsidRDefault="00454A29">
            <w:pPr>
              <w:pStyle w:val="ConsPlusNormal"/>
            </w:pPr>
          </w:p>
        </w:tc>
      </w:tr>
      <w:tr w:rsidR="00454A29" w14:paraId="0329DD8D" w14:textId="77777777">
        <w:tc>
          <w:tcPr>
            <w:tcW w:w="567" w:type="dxa"/>
            <w:vMerge/>
          </w:tcPr>
          <w:p w14:paraId="3630D220" w14:textId="77777777" w:rsidR="00454A29" w:rsidRDefault="00454A29"/>
        </w:tc>
        <w:tc>
          <w:tcPr>
            <w:tcW w:w="3345" w:type="dxa"/>
            <w:vMerge/>
          </w:tcPr>
          <w:p w14:paraId="09F9F743" w14:textId="77777777" w:rsidR="00454A29" w:rsidRDefault="00454A29"/>
        </w:tc>
        <w:tc>
          <w:tcPr>
            <w:tcW w:w="1701" w:type="dxa"/>
            <w:vAlign w:val="center"/>
          </w:tcPr>
          <w:p w14:paraId="558F6C74" w14:textId="77777777" w:rsidR="00454A29" w:rsidRDefault="00454A29">
            <w:pPr>
              <w:pStyle w:val="ConsPlusNormal"/>
              <w:jc w:val="center"/>
            </w:pPr>
            <w:r>
              <w:t>2022</w:t>
            </w:r>
          </w:p>
        </w:tc>
        <w:tc>
          <w:tcPr>
            <w:tcW w:w="1417" w:type="dxa"/>
            <w:vMerge/>
          </w:tcPr>
          <w:p w14:paraId="7A4070EF" w14:textId="77777777" w:rsidR="00454A29" w:rsidRDefault="00454A29"/>
        </w:tc>
        <w:tc>
          <w:tcPr>
            <w:tcW w:w="2204" w:type="dxa"/>
            <w:vMerge/>
          </w:tcPr>
          <w:p w14:paraId="15397604" w14:textId="77777777" w:rsidR="00454A29" w:rsidRDefault="00454A29"/>
        </w:tc>
        <w:tc>
          <w:tcPr>
            <w:tcW w:w="1417" w:type="dxa"/>
            <w:vMerge/>
          </w:tcPr>
          <w:p w14:paraId="58712E39" w14:textId="77777777" w:rsidR="00454A29" w:rsidRDefault="00454A29"/>
        </w:tc>
        <w:tc>
          <w:tcPr>
            <w:tcW w:w="2324" w:type="dxa"/>
            <w:vMerge/>
          </w:tcPr>
          <w:p w14:paraId="09073872" w14:textId="77777777" w:rsidR="00454A29" w:rsidRDefault="00454A29"/>
        </w:tc>
        <w:tc>
          <w:tcPr>
            <w:tcW w:w="1701" w:type="dxa"/>
            <w:vAlign w:val="center"/>
          </w:tcPr>
          <w:p w14:paraId="750D2AED" w14:textId="77777777" w:rsidR="00454A29" w:rsidRDefault="00454A29">
            <w:pPr>
              <w:pStyle w:val="ConsPlusNormal"/>
            </w:pPr>
          </w:p>
        </w:tc>
        <w:tc>
          <w:tcPr>
            <w:tcW w:w="1814" w:type="dxa"/>
            <w:vAlign w:val="center"/>
          </w:tcPr>
          <w:p w14:paraId="1534CB2C" w14:textId="77777777" w:rsidR="00454A29" w:rsidRDefault="00454A29">
            <w:pPr>
              <w:pStyle w:val="ConsPlusNormal"/>
            </w:pPr>
          </w:p>
        </w:tc>
        <w:tc>
          <w:tcPr>
            <w:tcW w:w="1701" w:type="dxa"/>
            <w:vAlign w:val="center"/>
          </w:tcPr>
          <w:p w14:paraId="2563213E" w14:textId="77777777" w:rsidR="00454A29" w:rsidRDefault="00454A29">
            <w:pPr>
              <w:pStyle w:val="ConsPlusNormal"/>
            </w:pPr>
          </w:p>
        </w:tc>
        <w:tc>
          <w:tcPr>
            <w:tcW w:w="1701" w:type="dxa"/>
            <w:vAlign w:val="center"/>
          </w:tcPr>
          <w:p w14:paraId="66FEFB39" w14:textId="77777777" w:rsidR="00454A29" w:rsidRDefault="00454A29">
            <w:pPr>
              <w:pStyle w:val="ConsPlusNormal"/>
            </w:pPr>
          </w:p>
        </w:tc>
        <w:tc>
          <w:tcPr>
            <w:tcW w:w="1814" w:type="dxa"/>
            <w:vAlign w:val="center"/>
          </w:tcPr>
          <w:p w14:paraId="5EF8A048" w14:textId="77777777" w:rsidR="00454A29" w:rsidRDefault="00454A29">
            <w:pPr>
              <w:pStyle w:val="ConsPlusNormal"/>
            </w:pPr>
          </w:p>
        </w:tc>
      </w:tr>
      <w:tr w:rsidR="00454A29" w14:paraId="7F1DAFA3" w14:textId="77777777">
        <w:tc>
          <w:tcPr>
            <w:tcW w:w="567" w:type="dxa"/>
            <w:vMerge/>
          </w:tcPr>
          <w:p w14:paraId="78251335" w14:textId="77777777" w:rsidR="00454A29" w:rsidRDefault="00454A29"/>
        </w:tc>
        <w:tc>
          <w:tcPr>
            <w:tcW w:w="3345" w:type="dxa"/>
            <w:vMerge/>
          </w:tcPr>
          <w:p w14:paraId="415EBFCF" w14:textId="77777777" w:rsidR="00454A29" w:rsidRDefault="00454A29"/>
        </w:tc>
        <w:tc>
          <w:tcPr>
            <w:tcW w:w="1701" w:type="dxa"/>
            <w:vAlign w:val="center"/>
          </w:tcPr>
          <w:p w14:paraId="6AF133CD" w14:textId="77777777" w:rsidR="00454A29" w:rsidRDefault="00454A29">
            <w:pPr>
              <w:pStyle w:val="ConsPlusNormal"/>
              <w:jc w:val="center"/>
            </w:pPr>
            <w:r>
              <w:t>2023</w:t>
            </w:r>
          </w:p>
        </w:tc>
        <w:tc>
          <w:tcPr>
            <w:tcW w:w="1417" w:type="dxa"/>
            <w:vMerge/>
          </w:tcPr>
          <w:p w14:paraId="425D23E0" w14:textId="77777777" w:rsidR="00454A29" w:rsidRDefault="00454A29"/>
        </w:tc>
        <w:tc>
          <w:tcPr>
            <w:tcW w:w="2204" w:type="dxa"/>
            <w:vMerge/>
          </w:tcPr>
          <w:p w14:paraId="0A363181" w14:textId="77777777" w:rsidR="00454A29" w:rsidRDefault="00454A29"/>
        </w:tc>
        <w:tc>
          <w:tcPr>
            <w:tcW w:w="1417" w:type="dxa"/>
            <w:vMerge/>
          </w:tcPr>
          <w:p w14:paraId="5C15CF45" w14:textId="77777777" w:rsidR="00454A29" w:rsidRDefault="00454A29"/>
        </w:tc>
        <w:tc>
          <w:tcPr>
            <w:tcW w:w="2324" w:type="dxa"/>
            <w:vMerge/>
          </w:tcPr>
          <w:p w14:paraId="4BBD66C1" w14:textId="77777777" w:rsidR="00454A29" w:rsidRDefault="00454A29"/>
        </w:tc>
        <w:tc>
          <w:tcPr>
            <w:tcW w:w="1701" w:type="dxa"/>
            <w:vAlign w:val="center"/>
          </w:tcPr>
          <w:p w14:paraId="3C1BC80A" w14:textId="77777777" w:rsidR="00454A29" w:rsidRDefault="00454A29">
            <w:pPr>
              <w:pStyle w:val="ConsPlusNormal"/>
            </w:pPr>
          </w:p>
        </w:tc>
        <w:tc>
          <w:tcPr>
            <w:tcW w:w="1814" w:type="dxa"/>
            <w:vAlign w:val="center"/>
          </w:tcPr>
          <w:p w14:paraId="10D5FDE1" w14:textId="77777777" w:rsidR="00454A29" w:rsidRDefault="00454A29">
            <w:pPr>
              <w:pStyle w:val="ConsPlusNormal"/>
            </w:pPr>
          </w:p>
        </w:tc>
        <w:tc>
          <w:tcPr>
            <w:tcW w:w="1701" w:type="dxa"/>
            <w:vAlign w:val="center"/>
          </w:tcPr>
          <w:p w14:paraId="7C7956D5" w14:textId="77777777" w:rsidR="00454A29" w:rsidRDefault="00454A29">
            <w:pPr>
              <w:pStyle w:val="ConsPlusNormal"/>
            </w:pPr>
          </w:p>
        </w:tc>
        <w:tc>
          <w:tcPr>
            <w:tcW w:w="1701" w:type="dxa"/>
            <w:vAlign w:val="center"/>
          </w:tcPr>
          <w:p w14:paraId="56052F20" w14:textId="77777777" w:rsidR="00454A29" w:rsidRDefault="00454A29">
            <w:pPr>
              <w:pStyle w:val="ConsPlusNormal"/>
            </w:pPr>
          </w:p>
        </w:tc>
        <w:tc>
          <w:tcPr>
            <w:tcW w:w="1814" w:type="dxa"/>
            <w:vAlign w:val="center"/>
          </w:tcPr>
          <w:p w14:paraId="1FEDC14F" w14:textId="77777777" w:rsidR="00454A29" w:rsidRDefault="00454A29">
            <w:pPr>
              <w:pStyle w:val="ConsPlusNormal"/>
            </w:pPr>
          </w:p>
        </w:tc>
      </w:tr>
      <w:tr w:rsidR="00454A29" w14:paraId="2AB7B9F6" w14:textId="77777777">
        <w:tc>
          <w:tcPr>
            <w:tcW w:w="567" w:type="dxa"/>
            <w:vMerge/>
          </w:tcPr>
          <w:p w14:paraId="30E80C68" w14:textId="77777777" w:rsidR="00454A29" w:rsidRDefault="00454A29"/>
        </w:tc>
        <w:tc>
          <w:tcPr>
            <w:tcW w:w="3345" w:type="dxa"/>
            <w:vMerge/>
          </w:tcPr>
          <w:p w14:paraId="5130C5ED" w14:textId="77777777" w:rsidR="00454A29" w:rsidRDefault="00454A29"/>
        </w:tc>
        <w:tc>
          <w:tcPr>
            <w:tcW w:w="1701" w:type="dxa"/>
            <w:vAlign w:val="center"/>
          </w:tcPr>
          <w:p w14:paraId="5725EE43" w14:textId="77777777" w:rsidR="00454A29" w:rsidRDefault="00454A29">
            <w:pPr>
              <w:pStyle w:val="ConsPlusNormal"/>
              <w:jc w:val="center"/>
            </w:pPr>
            <w:r>
              <w:t>2024</w:t>
            </w:r>
          </w:p>
        </w:tc>
        <w:tc>
          <w:tcPr>
            <w:tcW w:w="1417" w:type="dxa"/>
            <w:vMerge/>
          </w:tcPr>
          <w:p w14:paraId="65326005" w14:textId="77777777" w:rsidR="00454A29" w:rsidRDefault="00454A29"/>
        </w:tc>
        <w:tc>
          <w:tcPr>
            <w:tcW w:w="2204" w:type="dxa"/>
            <w:vMerge/>
          </w:tcPr>
          <w:p w14:paraId="589A9E4B" w14:textId="77777777" w:rsidR="00454A29" w:rsidRDefault="00454A29"/>
        </w:tc>
        <w:tc>
          <w:tcPr>
            <w:tcW w:w="1417" w:type="dxa"/>
            <w:vMerge/>
          </w:tcPr>
          <w:p w14:paraId="3EB79477" w14:textId="77777777" w:rsidR="00454A29" w:rsidRDefault="00454A29"/>
        </w:tc>
        <w:tc>
          <w:tcPr>
            <w:tcW w:w="2324" w:type="dxa"/>
            <w:vMerge/>
          </w:tcPr>
          <w:p w14:paraId="23C75E51" w14:textId="77777777" w:rsidR="00454A29" w:rsidRDefault="00454A29"/>
        </w:tc>
        <w:tc>
          <w:tcPr>
            <w:tcW w:w="1701" w:type="dxa"/>
            <w:vAlign w:val="center"/>
          </w:tcPr>
          <w:p w14:paraId="327A0F09" w14:textId="77777777" w:rsidR="00454A29" w:rsidRDefault="00454A29">
            <w:pPr>
              <w:pStyle w:val="ConsPlusNormal"/>
            </w:pPr>
          </w:p>
        </w:tc>
        <w:tc>
          <w:tcPr>
            <w:tcW w:w="1814" w:type="dxa"/>
            <w:vAlign w:val="center"/>
          </w:tcPr>
          <w:p w14:paraId="0F9F9C4C" w14:textId="77777777" w:rsidR="00454A29" w:rsidRDefault="00454A29">
            <w:pPr>
              <w:pStyle w:val="ConsPlusNormal"/>
            </w:pPr>
          </w:p>
        </w:tc>
        <w:tc>
          <w:tcPr>
            <w:tcW w:w="1701" w:type="dxa"/>
            <w:vAlign w:val="center"/>
          </w:tcPr>
          <w:p w14:paraId="793BC2C8" w14:textId="77777777" w:rsidR="00454A29" w:rsidRDefault="00454A29">
            <w:pPr>
              <w:pStyle w:val="ConsPlusNormal"/>
            </w:pPr>
          </w:p>
        </w:tc>
        <w:tc>
          <w:tcPr>
            <w:tcW w:w="1701" w:type="dxa"/>
            <w:vAlign w:val="center"/>
          </w:tcPr>
          <w:p w14:paraId="04AC752F" w14:textId="77777777" w:rsidR="00454A29" w:rsidRDefault="00454A29">
            <w:pPr>
              <w:pStyle w:val="ConsPlusNormal"/>
            </w:pPr>
          </w:p>
        </w:tc>
        <w:tc>
          <w:tcPr>
            <w:tcW w:w="1814" w:type="dxa"/>
            <w:vAlign w:val="center"/>
          </w:tcPr>
          <w:p w14:paraId="67184FBB" w14:textId="77777777" w:rsidR="00454A29" w:rsidRDefault="00454A29">
            <w:pPr>
              <w:pStyle w:val="ConsPlusNormal"/>
            </w:pPr>
          </w:p>
        </w:tc>
      </w:tr>
      <w:tr w:rsidR="00454A29" w14:paraId="090FFA99" w14:textId="77777777">
        <w:tc>
          <w:tcPr>
            <w:tcW w:w="567" w:type="dxa"/>
            <w:vMerge/>
          </w:tcPr>
          <w:p w14:paraId="6565E3F6" w14:textId="77777777" w:rsidR="00454A29" w:rsidRDefault="00454A29"/>
        </w:tc>
        <w:tc>
          <w:tcPr>
            <w:tcW w:w="3345" w:type="dxa"/>
            <w:vMerge/>
          </w:tcPr>
          <w:p w14:paraId="10E74D28" w14:textId="77777777" w:rsidR="00454A29" w:rsidRDefault="00454A29"/>
        </w:tc>
        <w:tc>
          <w:tcPr>
            <w:tcW w:w="1701" w:type="dxa"/>
            <w:vAlign w:val="center"/>
          </w:tcPr>
          <w:p w14:paraId="1487A384" w14:textId="77777777" w:rsidR="00454A29" w:rsidRDefault="00454A29">
            <w:pPr>
              <w:pStyle w:val="ConsPlusNormal"/>
              <w:jc w:val="center"/>
            </w:pPr>
            <w:r>
              <w:t>2025</w:t>
            </w:r>
          </w:p>
        </w:tc>
        <w:tc>
          <w:tcPr>
            <w:tcW w:w="1417" w:type="dxa"/>
            <w:vMerge/>
          </w:tcPr>
          <w:p w14:paraId="3298CA55" w14:textId="77777777" w:rsidR="00454A29" w:rsidRDefault="00454A29"/>
        </w:tc>
        <w:tc>
          <w:tcPr>
            <w:tcW w:w="2204" w:type="dxa"/>
            <w:vMerge/>
          </w:tcPr>
          <w:p w14:paraId="2A96EE61" w14:textId="77777777" w:rsidR="00454A29" w:rsidRDefault="00454A29"/>
        </w:tc>
        <w:tc>
          <w:tcPr>
            <w:tcW w:w="1417" w:type="dxa"/>
            <w:vMerge/>
          </w:tcPr>
          <w:p w14:paraId="7B43CE5C" w14:textId="77777777" w:rsidR="00454A29" w:rsidRDefault="00454A29"/>
        </w:tc>
        <w:tc>
          <w:tcPr>
            <w:tcW w:w="2324" w:type="dxa"/>
            <w:vMerge/>
          </w:tcPr>
          <w:p w14:paraId="7350986E" w14:textId="77777777" w:rsidR="00454A29" w:rsidRDefault="00454A29"/>
        </w:tc>
        <w:tc>
          <w:tcPr>
            <w:tcW w:w="1701" w:type="dxa"/>
            <w:vAlign w:val="center"/>
          </w:tcPr>
          <w:p w14:paraId="75F49B49" w14:textId="77777777" w:rsidR="00454A29" w:rsidRDefault="00454A29">
            <w:pPr>
              <w:pStyle w:val="ConsPlusNormal"/>
              <w:jc w:val="center"/>
            </w:pPr>
            <w:r>
              <w:t>1 367 070,39</w:t>
            </w:r>
          </w:p>
        </w:tc>
        <w:tc>
          <w:tcPr>
            <w:tcW w:w="1814" w:type="dxa"/>
            <w:vAlign w:val="center"/>
          </w:tcPr>
          <w:p w14:paraId="43F62BF1" w14:textId="77777777" w:rsidR="00454A29" w:rsidRDefault="00454A29">
            <w:pPr>
              <w:pStyle w:val="ConsPlusNormal"/>
              <w:jc w:val="center"/>
            </w:pPr>
            <w:r>
              <w:t>17 293,44</w:t>
            </w:r>
          </w:p>
        </w:tc>
        <w:tc>
          <w:tcPr>
            <w:tcW w:w="1701" w:type="dxa"/>
            <w:vAlign w:val="center"/>
          </w:tcPr>
          <w:p w14:paraId="56009018" w14:textId="77777777" w:rsidR="00454A29" w:rsidRDefault="00454A29">
            <w:pPr>
              <w:pStyle w:val="ConsPlusNormal"/>
              <w:jc w:val="center"/>
            </w:pPr>
            <w:r>
              <w:t>1 712 050,60</w:t>
            </w:r>
          </w:p>
        </w:tc>
        <w:tc>
          <w:tcPr>
            <w:tcW w:w="1701" w:type="dxa"/>
            <w:vAlign w:val="center"/>
          </w:tcPr>
          <w:p w14:paraId="6EA4D6DC" w14:textId="77777777" w:rsidR="00454A29" w:rsidRDefault="00454A29">
            <w:pPr>
              <w:pStyle w:val="ConsPlusNormal"/>
            </w:pPr>
          </w:p>
        </w:tc>
        <w:tc>
          <w:tcPr>
            <w:tcW w:w="1814" w:type="dxa"/>
            <w:vAlign w:val="center"/>
          </w:tcPr>
          <w:p w14:paraId="44D3B693" w14:textId="77777777" w:rsidR="00454A29" w:rsidRDefault="00454A29">
            <w:pPr>
              <w:pStyle w:val="ConsPlusNormal"/>
            </w:pPr>
          </w:p>
        </w:tc>
      </w:tr>
      <w:tr w:rsidR="00454A29" w14:paraId="2D185A99" w14:textId="77777777">
        <w:tc>
          <w:tcPr>
            <w:tcW w:w="567" w:type="dxa"/>
            <w:vMerge/>
          </w:tcPr>
          <w:p w14:paraId="450D8737" w14:textId="77777777" w:rsidR="00454A29" w:rsidRDefault="00454A29"/>
        </w:tc>
        <w:tc>
          <w:tcPr>
            <w:tcW w:w="3345" w:type="dxa"/>
            <w:vMerge/>
          </w:tcPr>
          <w:p w14:paraId="33091555" w14:textId="77777777" w:rsidR="00454A29" w:rsidRDefault="00454A29"/>
        </w:tc>
        <w:tc>
          <w:tcPr>
            <w:tcW w:w="1701" w:type="dxa"/>
            <w:vAlign w:val="center"/>
          </w:tcPr>
          <w:p w14:paraId="7E843B3C" w14:textId="77777777" w:rsidR="00454A29" w:rsidRDefault="00454A29">
            <w:pPr>
              <w:pStyle w:val="ConsPlusNormal"/>
              <w:jc w:val="center"/>
            </w:pPr>
            <w:r>
              <w:t>2026</w:t>
            </w:r>
          </w:p>
        </w:tc>
        <w:tc>
          <w:tcPr>
            <w:tcW w:w="1417" w:type="dxa"/>
            <w:vMerge/>
          </w:tcPr>
          <w:p w14:paraId="31E17970" w14:textId="77777777" w:rsidR="00454A29" w:rsidRDefault="00454A29"/>
        </w:tc>
        <w:tc>
          <w:tcPr>
            <w:tcW w:w="2204" w:type="dxa"/>
            <w:vMerge/>
          </w:tcPr>
          <w:p w14:paraId="31FC9548" w14:textId="77777777" w:rsidR="00454A29" w:rsidRDefault="00454A29"/>
        </w:tc>
        <w:tc>
          <w:tcPr>
            <w:tcW w:w="1417" w:type="dxa"/>
            <w:vMerge/>
          </w:tcPr>
          <w:p w14:paraId="41F7AB98" w14:textId="77777777" w:rsidR="00454A29" w:rsidRDefault="00454A29"/>
        </w:tc>
        <w:tc>
          <w:tcPr>
            <w:tcW w:w="2324" w:type="dxa"/>
            <w:vMerge/>
          </w:tcPr>
          <w:p w14:paraId="557EC826" w14:textId="77777777" w:rsidR="00454A29" w:rsidRDefault="00454A29"/>
        </w:tc>
        <w:tc>
          <w:tcPr>
            <w:tcW w:w="1701" w:type="dxa"/>
            <w:vAlign w:val="center"/>
          </w:tcPr>
          <w:p w14:paraId="7BD14327" w14:textId="77777777" w:rsidR="00454A29" w:rsidRDefault="00454A29">
            <w:pPr>
              <w:pStyle w:val="ConsPlusNormal"/>
              <w:jc w:val="center"/>
            </w:pPr>
            <w:r>
              <w:t>-</w:t>
            </w:r>
          </w:p>
        </w:tc>
        <w:tc>
          <w:tcPr>
            <w:tcW w:w="1814" w:type="dxa"/>
            <w:vAlign w:val="center"/>
          </w:tcPr>
          <w:p w14:paraId="260A17D8" w14:textId="77777777" w:rsidR="00454A29" w:rsidRDefault="00454A29">
            <w:pPr>
              <w:pStyle w:val="ConsPlusNormal"/>
            </w:pPr>
          </w:p>
        </w:tc>
        <w:tc>
          <w:tcPr>
            <w:tcW w:w="1701" w:type="dxa"/>
            <w:vAlign w:val="center"/>
          </w:tcPr>
          <w:p w14:paraId="6C4189DD" w14:textId="77777777" w:rsidR="00454A29" w:rsidRDefault="00454A29">
            <w:pPr>
              <w:pStyle w:val="ConsPlusNormal"/>
            </w:pPr>
          </w:p>
        </w:tc>
        <w:tc>
          <w:tcPr>
            <w:tcW w:w="1701" w:type="dxa"/>
            <w:vAlign w:val="center"/>
          </w:tcPr>
          <w:p w14:paraId="2952DFAB" w14:textId="77777777" w:rsidR="00454A29" w:rsidRDefault="00454A29">
            <w:pPr>
              <w:pStyle w:val="ConsPlusNormal"/>
            </w:pPr>
          </w:p>
        </w:tc>
        <w:tc>
          <w:tcPr>
            <w:tcW w:w="1814" w:type="dxa"/>
            <w:vAlign w:val="center"/>
          </w:tcPr>
          <w:p w14:paraId="6B5B6AAD" w14:textId="77777777" w:rsidR="00454A29" w:rsidRDefault="00454A29">
            <w:pPr>
              <w:pStyle w:val="ConsPlusNormal"/>
            </w:pPr>
          </w:p>
        </w:tc>
      </w:tr>
      <w:tr w:rsidR="00454A29" w14:paraId="2F05394E" w14:textId="77777777">
        <w:tc>
          <w:tcPr>
            <w:tcW w:w="567" w:type="dxa"/>
            <w:vMerge w:val="restart"/>
            <w:vAlign w:val="center"/>
          </w:tcPr>
          <w:p w14:paraId="1A585ADA" w14:textId="77777777" w:rsidR="00454A29" w:rsidRDefault="00454A29">
            <w:pPr>
              <w:pStyle w:val="ConsPlusNormal"/>
              <w:jc w:val="center"/>
            </w:pPr>
            <w:r>
              <w:t>185</w:t>
            </w:r>
          </w:p>
        </w:tc>
        <w:tc>
          <w:tcPr>
            <w:tcW w:w="3345" w:type="dxa"/>
            <w:vMerge w:val="restart"/>
            <w:vAlign w:val="center"/>
          </w:tcPr>
          <w:p w14:paraId="4AA22AAC" w14:textId="77777777" w:rsidR="00454A29" w:rsidRDefault="00454A29">
            <w:pPr>
              <w:pStyle w:val="ConsPlusNormal"/>
              <w:jc w:val="center"/>
            </w:pPr>
            <w:r>
              <w:t>Школа на 990 учащихся в г. Якутске</w:t>
            </w:r>
          </w:p>
        </w:tc>
        <w:tc>
          <w:tcPr>
            <w:tcW w:w="1701" w:type="dxa"/>
            <w:vAlign w:val="center"/>
          </w:tcPr>
          <w:p w14:paraId="4A4BDB48" w14:textId="77777777" w:rsidR="00454A29" w:rsidRDefault="00454A29">
            <w:pPr>
              <w:pStyle w:val="ConsPlusNormal"/>
              <w:jc w:val="center"/>
            </w:pPr>
            <w:r>
              <w:t>2020 - 2026 годы - всего</w:t>
            </w:r>
          </w:p>
        </w:tc>
        <w:tc>
          <w:tcPr>
            <w:tcW w:w="1417" w:type="dxa"/>
            <w:vMerge w:val="restart"/>
            <w:vAlign w:val="center"/>
          </w:tcPr>
          <w:p w14:paraId="5B2827FB" w14:textId="77777777" w:rsidR="00454A29" w:rsidRDefault="00454A29">
            <w:pPr>
              <w:pStyle w:val="ConsPlusNormal"/>
              <w:jc w:val="center"/>
            </w:pPr>
            <w:r>
              <w:t>1 367 070,39</w:t>
            </w:r>
          </w:p>
        </w:tc>
        <w:tc>
          <w:tcPr>
            <w:tcW w:w="2204" w:type="dxa"/>
            <w:vMerge w:val="restart"/>
            <w:vAlign w:val="center"/>
          </w:tcPr>
          <w:p w14:paraId="2E92A552" w14:textId="77777777" w:rsidR="00454A29" w:rsidRDefault="00454A29">
            <w:pPr>
              <w:pStyle w:val="ConsPlusNormal"/>
            </w:pPr>
          </w:p>
        </w:tc>
        <w:tc>
          <w:tcPr>
            <w:tcW w:w="1417" w:type="dxa"/>
            <w:vMerge w:val="restart"/>
            <w:vAlign w:val="center"/>
          </w:tcPr>
          <w:p w14:paraId="4ADD0C29" w14:textId="77777777" w:rsidR="00454A29" w:rsidRDefault="00454A29">
            <w:pPr>
              <w:pStyle w:val="ConsPlusNormal"/>
              <w:jc w:val="center"/>
            </w:pPr>
            <w:r>
              <w:t>990</w:t>
            </w:r>
          </w:p>
        </w:tc>
        <w:tc>
          <w:tcPr>
            <w:tcW w:w="2324" w:type="dxa"/>
            <w:vMerge w:val="restart"/>
            <w:vAlign w:val="center"/>
          </w:tcPr>
          <w:p w14:paraId="1D2864C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1AEDEA4" w14:textId="77777777" w:rsidR="00454A29" w:rsidRDefault="00454A29">
            <w:pPr>
              <w:pStyle w:val="ConsPlusNormal"/>
              <w:jc w:val="center"/>
            </w:pPr>
            <w:r>
              <w:t>1 367 070,39</w:t>
            </w:r>
          </w:p>
        </w:tc>
        <w:tc>
          <w:tcPr>
            <w:tcW w:w="1814" w:type="dxa"/>
            <w:vAlign w:val="center"/>
          </w:tcPr>
          <w:p w14:paraId="1CA003D6" w14:textId="77777777" w:rsidR="00454A29" w:rsidRDefault="00454A29">
            <w:pPr>
              <w:pStyle w:val="ConsPlusNormal"/>
              <w:jc w:val="center"/>
            </w:pPr>
            <w:r>
              <w:t>16 842,31</w:t>
            </w:r>
          </w:p>
        </w:tc>
        <w:tc>
          <w:tcPr>
            <w:tcW w:w="1701" w:type="dxa"/>
            <w:vAlign w:val="center"/>
          </w:tcPr>
          <w:p w14:paraId="41BFDC71" w14:textId="77777777" w:rsidR="00454A29" w:rsidRDefault="00454A29">
            <w:pPr>
              <w:pStyle w:val="ConsPlusNormal"/>
              <w:jc w:val="center"/>
            </w:pPr>
            <w:r>
              <w:t>1 667 388,41</w:t>
            </w:r>
          </w:p>
        </w:tc>
        <w:tc>
          <w:tcPr>
            <w:tcW w:w="1701" w:type="dxa"/>
            <w:vAlign w:val="center"/>
          </w:tcPr>
          <w:p w14:paraId="7878C1A0" w14:textId="77777777" w:rsidR="00454A29" w:rsidRDefault="00454A29">
            <w:pPr>
              <w:pStyle w:val="ConsPlusNormal"/>
              <w:jc w:val="center"/>
            </w:pPr>
            <w:r>
              <w:t>-</w:t>
            </w:r>
          </w:p>
        </w:tc>
        <w:tc>
          <w:tcPr>
            <w:tcW w:w="1814" w:type="dxa"/>
            <w:vAlign w:val="center"/>
          </w:tcPr>
          <w:p w14:paraId="4BA90A84" w14:textId="77777777" w:rsidR="00454A29" w:rsidRDefault="00454A29">
            <w:pPr>
              <w:pStyle w:val="ConsPlusNormal"/>
              <w:jc w:val="center"/>
            </w:pPr>
            <w:r>
              <w:t>-</w:t>
            </w:r>
          </w:p>
        </w:tc>
      </w:tr>
      <w:tr w:rsidR="00454A29" w14:paraId="3524ED06" w14:textId="77777777">
        <w:tc>
          <w:tcPr>
            <w:tcW w:w="567" w:type="dxa"/>
            <w:vMerge/>
          </w:tcPr>
          <w:p w14:paraId="76742685" w14:textId="77777777" w:rsidR="00454A29" w:rsidRDefault="00454A29"/>
        </w:tc>
        <w:tc>
          <w:tcPr>
            <w:tcW w:w="3345" w:type="dxa"/>
            <w:vMerge/>
          </w:tcPr>
          <w:p w14:paraId="60F6BD91" w14:textId="77777777" w:rsidR="00454A29" w:rsidRDefault="00454A29"/>
        </w:tc>
        <w:tc>
          <w:tcPr>
            <w:tcW w:w="1701" w:type="dxa"/>
            <w:vAlign w:val="center"/>
          </w:tcPr>
          <w:p w14:paraId="74D34A40" w14:textId="77777777" w:rsidR="00454A29" w:rsidRDefault="00454A29">
            <w:pPr>
              <w:pStyle w:val="ConsPlusNormal"/>
              <w:jc w:val="center"/>
            </w:pPr>
            <w:r>
              <w:t>2020</w:t>
            </w:r>
          </w:p>
        </w:tc>
        <w:tc>
          <w:tcPr>
            <w:tcW w:w="1417" w:type="dxa"/>
            <w:vMerge/>
          </w:tcPr>
          <w:p w14:paraId="68D46CA3" w14:textId="77777777" w:rsidR="00454A29" w:rsidRDefault="00454A29"/>
        </w:tc>
        <w:tc>
          <w:tcPr>
            <w:tcW w:w="2204" w:type="dxa"/>
            <w:vMerge/>
          </w:tcPr>
          <w:p w14:paraId="38589EEE" w14:textId="77777777" w:rsidR="00454A29" w:rsidRDefault="00454A29"/>
        </w:tc>
        <w:tc>
          <w:tcPr>
            <w:tcW w:w="1417" w:type="dxa"/>
            <w:vMerge/>
          </w:tcPr>
          <w:p w14:paraId="3AD5D1A6" w14:textId="77777777" w:rsidR="00454A29" w:rsidRDefault="00454A29"/>
        </w:tc>
        <w:tc>
          <w:tcPr>
            <w:tcW w:w="2324" w:type="dxa"/>
            <w:vMerge/>
          </w:tcPr>
          <w:p w14:paraId="37D8A832" w14:textId="77777777" w:rsidR="00454A29" w:rsidRDefault="00454A29"/>
        </w:tc>
        <w:tc>
          <w:tcPr>
            <w:tcW w:w="1701" w:type="dxa"/>
            <w:vAlign w:val="center"/>
          </w:tcPr>
          <w:p w14:paraId="0DB9464E" w14:textId="77777777" w:rsidR="00454A29" w:rsidRDefault="00454A29">
            <w:pPr>
              <w:pStyle w:val="ConsPlusNormal"/>
            </w:pPr>
          </w:p>
        </w:tc>
        <w:tc>
          <w:tcPr>
            <w:tcW w:w="1814" w:type="dxa"/>
            <w:vAlign w:val="center"/>
          </w:tcPr>
          <w:p w14:paraId="17CAE466" w14:textId="77777777" w:rsidR="00454A29" w:rsidRDefault="00454A29">
            <w:pPr>
              <w:pStyle w:val="ConsPlusNormal"/>
            </w:pPr>
          </w:p>
        </w:tc>
        <w:tc>
          <w:tcPr>
            <w:tcW w:w="1701" w:type="dxa"/>
            <w:vAlign w:val="center"/>
          </w:tcPr>
          <w:p w14:paraId="5DA8CA29" w14:textId="77777777" w:rsidR="00454A29" w:rsidRDefault="00454A29">
            <w:pPr>
              <w:pStyle w:val="ConsPlusNormal"/>
            </w:pPr>
          </w:p>
        </w:tc>
        <w:tc>
          <w:tcPr>
            <w:tcW w:w="1701" w:type="dxa"/>
            <w:vAlign w:val="center"/>
          </w:tcPr>
          <w:p w14:paraId="2F606E12" w14:textId="77777777" w:rsidR="00454A29" w:rsidRDefault="00454A29">
            <w:pPr>
              <w:pStyle w:val="ConsPlusNormal"/>
            </w:pPr>
          </w:p>
        </w:tc>
        <w:tc>
          <w:tcPr>
            <w:tcW w:w="1814" w:type="dxa"/>
            <w:vAlign w:val="center"/>
          </w:tcPr>
          <w:p w14:paraId="216B86F3" w14:textId="77777777" w:rsidR="00454A29" w:rsidRDefault="00454A29">
            <w:pPr>
              <w:pStyle w:val="ConsPlusNormal"/>
            </w:pPr>
          </w:p>
        </w:tc>
      </w:tr>
      <w:tr w:rsidR="00454A29" w14:paraId="4E5B1011" w14:textId="77777777">
        <w:tc>
          <w:tcPr>
            <w:tcW w:w="567" w:type="dxa"/>
            <w:vMerge/>
          </w:tcPr>
          <w:p w14:paraId="64A5C35D" w14:textId="77777777" w:rsidR="00454A29" w:rsidRDefault="00454A29"/>
        </w:tc>
        <w:tc>
          <w:tcPr>
            <w:tcW w:w="3345" w:type="dxa"/>
            <w:vMerge/>
          </w:tcPr>
          <w:p w14:paraId="4644ABDD" w14:textId="77777777" w:rsidR="00454A29" w:rsidRDefault="00454A29"/>
        </w:tc>
        <w:tc>
          <w:tcPr>
            <w:tcW w:w="1701" w:type="dxa"/>
            <w:vAlign w:val="center"/>
          </w:tcPr>
          <w:p w14:paraId="53821866" w14:textId="77777777" w:rsidR="00454A29" w:rsidRDefault="00454A29">
            <w:pPr>
              <w:pStyle w:val="ConsPlusNormal"/>
              <w:jc w:val="center"/>
            </w:pPr>
            <w:r>
              <w:t>2021</w:t>
            </w:r>
          </w:p>
        </w:tc>
        <w:tc>
          <w:tcPr>
            <w:tcW w:w="1417" w:type="dxa"/>
            <w:vMerge/>
          </w:tcPr>
          <w:p w14:paraId="40EED619" w14:textId="77777777" w:rsidR="00454A29" w:rsidRDefault="00454A29"/>
        </w:tc>
        <w:tc>
          <w:tcPr>
            <w:tcW w:w="2204" w:type="dxa"/>
            <w:vMerge/>
          </w:tcPr>
          <w:p w14:paraId="25985D24" w14:textId="77777777" w:rsidR="00454A29" w:rsidRDefault="00454A29"/>
        </w:tc>
        <w:tc>
          <w:tcPr>
            <w:tcW w:w="1417" w:type="dxa"/>
            <w:vMerge/>
          </w:tcPr>
          <w:p w14:paraId="613A02AC" w14:textId="77777777" w:rsidR="00454A29" w:rsidRDefault="00454A29"/>
        </w:tc>
        <w:tc>
          <w:tcPr>
            <w:tcW w:w="2324" w:type="dxa"/>
            <w:vMerge/>
          </w:tcPr>
          <w:p w14:paraId="09855D19" w14:textId="77777777" w:rsidR="00454A29" w:rsidRDefault="00454A29"/>
        </w:tc>
        <w:tc>
          <w:tcPr>
            <w:tcW w:w="1701" w:type="dxa"/>
            <w:vAlign w:val="center"/>
          </w:tcPr>
          <w:p w14:paraId="5C514F0A" w14:textId="77777777" w:rsidR="00454A29" w:rsidRDefault="00454A29">
            <w:pPr>
              <w:pStyle w:val="ConsPlusNormal"/>
              <w:jc w:val="center"/>
            </w:pPr>
            <w:r>
              <w:t>-</w:t>
            </w:r>
          </w:p>
        </w:tc>
        <w:tc>
          <w:tcPr>
            <w:tcW w:w="1814" w:type="dxa"/>
            <w:vAlign w:val="center"/>
          </w:tcPr>
          <w:p w14:paraId="36520CFF" w14:textId="77777777" w:rsidR="00454A29" w:rsidRDefault="00454A29">
            <w:pPr>
              <w:pStyle w:val="ConsPlusNormal"/>
            </w:pPr>
          </w:p>
        </w:tc>
        <w:tc>
          <w:tcPr>
            <w:tcW w:w="1701" w:type="dxa"/>
            <w:vAlign w:val="center"/>
          </w:tcPr>
          <w:p w14:paraId="04C96EBA" w14:textId="77777777" w:rsidR="00454A29" w:rsidRDefault="00454A29">
            <w:pPr>
              <w:pStyle w:val="ConsPlusNormal"/>
            </w:pPr>
          </w:p>
        </w:tc>
        <w:tc>
          <w:tcPr>
            <w:tcW w:w="1701" w:type="dxa"/>
            <w:vAlign w:val="center"/>
          </w:tcPr>
          <w:p w14:paraId="3EA9921D" w14:textId="77777777" w:rsidR="00454A29" w:rsidRDefault="00454A29">
            <w:pPr>
              <w:pStyle w:val="ConsPlusNormal"/>
            </w:pPr>
          </w:p>
        </w:tc>
        <w:tc>
          <w:tcPr>
            <w:tcW w:w="1814" w:type="dxa"/>
            <w:vAlign w:val="center"/>
          </w:tcPr>
          <w:p w14:paraId="0A573363" w14:textId="77777777" w:rsidR="00454A29" w:rsidRDefault="00454A29">
            <w:pPr>
              <w:pStyle w:val="ConsPlusNormal"/>
            </w:pPr>
          </w:p>
        </w:tc>
      </w:tr>
      <w:tr w:rsidR="00454A29" w14:paraId="60567A2F" w14:textId="77777777">
        <w:tc>
          <w:tcPr>
            <w:tcW w:w="567" w:type="dxa"/>
            <w:vMerge/>
          </w:tcPr>
          <w:p w14:paraId="1684315F" w14:textId="77777777" w:rsidR="00454A29" w:rsidRDefault="00454A29"/>
        </w:tc>
        <w:tc>
          <w:tcPr>
            <w:tcW w:w="3345" w:type="dxa"/>
            <w:vMerge/>
          </w:tcPr>
          <w:p w14:paraId="6866D124" w14:textId="77777777" w:rsidR="00454A29" w:rsidRDefault="00454A29"/>
        </w:tc>
        <w:tc>
          <w:tcPr>
            <w:tcW w:w="1701" w:type="dxa"/>
            <w:vAlign w:val="center"/>
          </w:tcPr>
          <w:p w14:paraId="4B7244CB" w14:textId="77777777" w:rsidR="00454A29" w:rsidRDefault="00454A29">
            <w:pPr>
              <w:pStyle w:val="ConsPlusNormal"/>
              <w:jc w:val="center"/>
            </w:pPr>
            <w:r>
              <w:t>2022</w:t>
            </w:r>
          </w:p>
        </w:tc>
        <w:tc>
          <w:tcPr>
            <w:tcW w:w="1417" w:type="dxa"/>
            <w:vMerge/>
          </w:tcPr>
          <w:p w14:paraId="79C5FD1B" w14:textId="77777777" w:rsidR="00454A29" w:rsidRDefault="00454A29"/>
        </w:tc>
        <w:tc>
          <w:tcPr>
            <w:tcW w:w="2204" w:type="dxa"/>
            <w:vMerge/>
          </w:tcPr>
          <w:p w14:paraId="3B8BDB16" w14:textId="77777777" w:rsidR="00454A29" w:rsidRDefault="00454A29"/>
        </w:tc>
        <w:tc>
          <w:tcPr>
            <w:tcW w:w="1417" w:type="dxa"/>
            <w:vMerge/>
          </w:tcPr>
          <w:p w14:paraId="7F60B294" w14:textId="77777777" w:rsidR="00454A29" w:rsidRDefault="00454A29"/>
        </w:tc>
        <w:tc>
          <w:tcPr>
            <w:tcW w:w="2324" w:type="dxa"/>
            <w:vMerge/>
          </w:tcPr>
          <w:p w14:paraId="3BAFE4EE" w14:textId="77777777" w:rsidR="00454A29" w:rsidRDefault="00454A29"/>
        </w:tc>
        <w:tc>
          <w:tcPr>
            <w:tcW w:w="1701" w:type="dxa"/>
            <w:vAlign w:val="center"/>
          </w:tcPr>
          <w:p w14:paraId="65EE6064" w14:textId="77777777" w:rsidR="00454A29" w:rsidRDefault="00454A29">
            <w:pPr>
              <w:pStyle w:val="ConsPlusNormal"/>
            </w:pPr>
          </w:p>
        </w:tc>
        <w:tc>
          <w:tcPr>
            <w:tcW w:w="1814" w:type="dxa"/>
            <w:vAlign w:val="center"/>
          </w:tcPr>
          <w:p w14:paraId="04F4C5AE" w14:textId="77777777" w:rsidR="00454A29" w:rsidRDefault="00454A29">
            <w:pPr>
              <w:pStyle w:val="ConsPlusNormal"/>
            </w:pPr>
          </w:p>
        </w:tc>
        <w:tc>
          <w:tcPr>
            <w:tcW w:w="1701" w:type="dxa"/>
            <w:vAlign w:val="center"/>
          </w:tcPr>
          <w:p w14:paraId="3D506686" w14:textId="77777777" w:rsidR="00454A29" w:rsidRDefault="00454A29">
            <w:pPr>
              <w:pStyle w:val="ConsPlusNormal"/>
            </w:pPr>
          </w:p>
        </w:tc>
        <w:tc>
          <w:tcPr>
            <w:tcW w:w="1701" w:type="dxa"/>
            <w:vAlign w:val="center"/>
          </w:tcPr>
          <w:p w14:paraId="5079F301" w14:textId="77777777" w:rsidR="00454A29" w:rsidRDefault="00454A29">
            <w:pPr>
              <w:pStyle w:val="ConsPlusNormal"/>
            </w:pPr>
          </w:p>
        </w:tc>
        <w:tc>
          <w:tcPr>
            <w:tcW w:w="1814" w:type="dxa"/>
            <w:vAlign w:val="center"/>
          </w:tcPr>
          <w:p w14:paraId="716C3C69" w14:textId="77777777" w:rsidR="00454A29" w:rsidRDefault="00454A29">
            <w:pPr>
              <w:pStyle w:val="ConsPlusNormal"/>
            </w:pPr>
          </w:p>
        </w:tc>
      </w:tr>
      <w:tr w:rsidR="00454A29" w14:paraId="1435998F" w14:textId="77777777">
        <w:tc>
          <w:tcPr>
            <w:tcW w:w="567" w:type="dxa"/>
            <w:vMerge/>
          </w:tcPr>
          <w:p w14:paraId="709A4898" w14:textId="77777777" w:rsidR="00454A29" w:rsidRDefault="00454A29"/>
        </w:tc>
        <w:tc>
          <w:tcPr>
            <w:tcW w:w="3345" w:type="dxa"/>
            <w:vMerge/>
          </w:tcPr>
          <w:p w14:paraId="69DFE228" w14:textId="77777777" w:rsidR="00454A29" w:rsidRDefault="00454A29"/>
        </w:tc>
        <w:tc>
          <w:tcPr>
            <w:tcW w:w="1701" w:type="dxa"/>
            <w:vAlign w:val="center"/>
          </w:tcPr>
          <w:p w14:paraId="4CF40AF2" w14:textId="77777777" w:rsidR="00454A29" w:rsidRDefault="00454A29">
            <w:pPr>
              <w:pStyle w:val="ConsPlusNormal"/>
              <w:jc w:val="center"/>
            </w:pPr>
            <w:r>
              <w:t>2023</w:t>
            </w:r>
          </w:p>
        </w:tc>
        <w:tc>
          <w:tcPr>
            <w:tcW w:w="1417" w:type="dxa"/>
            <w:vMerge/>
          </w:tcPr>
          <w:p w14:paraId="4954CDC4" w14:textId="77777777" w:rsidR="00454A29" w:rsidRDefault="00454A29"/>
        </w:tc>
        <w:tc>
          <w:tcPr>
            <w:tcW w:w="2204" w:type="dxa"/>
            <w:vMerge/>
          </w:tcPr>
          <w:p w14:paraId="5566A89A" w14:textId="77777777" w:rsidR="00454A29" w:rsidRDefault="00454A29"/>
        </w:tc>
        <w:tc>
          <w:tcPr>
            <w:tcW w:w="1417" w:type="dxa"/>
            <w:vMerge/>
          </w:tcPr>
          <w:p w14:paraId="5E5EF1F6" w14:textId="77777777" w:rsidR="00454A29" w:rsidRDefault="00454A29"/>
        </w:tc>
        <w:tc>
          <w:tcPr>
            <w:tcW w:w="2324" w:type="dxa"/>
            <w:vMerge/>
          </w:tcPr>
          <w:p w14:paraId="7B755849" w14:textId="77777777" w:rsidR="00454A29" w:rsidRDefault="00454A29"/>
        </w:tc>
        <w:tc>
          <w:tcPr>
            <w:tcW w:w="1701" w:type="dxa"/>
            <w:vAlign w:val="center"/>
          </w:tcPr>
          <w:p w14:paraId="5FC8D444" w14:textId="77777777" w:rsidR="00454A29" w:rsidRDefault="00454A29">
            <w:pPr>
              <w:pStyle w:val="ConsPlusNormal"/>
              <w:jc w:val="center"/>
            </w:pPr>
            <w:r>
              <w:t>-</w:t>
            </w:r>
          </w:p>
        </w:tc>
        <w:tc>
          <w:tcPr>
            <w:tcW w:w="1814" w:type="dxa"/>
            <w:vAlign w:val="center"/>
          </w:tcPr>
          <w:p w14:paraId="36841656" w14:textId="77777777" w:rsidR="00454A29" w:rsidRDefault="00454A29">
            <w:pPr>
              <w:pStyle w:val="ConsPlusNormal"/>
            </w:pPr>
          </w:p>
        </w:tc>
        <w:tc>
          <w:tcPr>
            <w:tcW w:w="1701" w:type="dxa"/>
            <w:vAlign w:val="center"/>
          </w:tcPr>
          <w:p w14:paraId="0459AEB9" w14:textId="77777777" w:rsidR="00454A29" w:rsidRDefault="00454A29">
            <w:pPr>
              <w:pStyle w:val="ConsPlusNormal"/>
            </w:pPr>
          </w:p>
        </w:tc>
        <w:tc>
          <w:tcPr>
            <w:tcW w:w="1701" w:type="dxa"/>
            <w:vAlign w:val="center"/>
          </w:tcPr>
          <w:p w14:paraId="7F909BA3" w14:textId="77777777" w:rsidR="00454A29" w:rsidRDefault="00454A29">
            <w:pPr>
              <w:pStyle w:val="ConsPlusNormal"/>
            </w:pPr>
          </w:p>
        </w:tc>
        <w:tc>
          <w:tcPr>
            <w:tcW w:w="1814" w:type="dxa"/>
            <w:vAlign w:val="center"/>
          </w:tcPr>
          <w:p w14:paraId="69AFB167" w14:textId="77777777" w:rsidR="00454A29" w:rsidRDefault="00454A29">
            <w:pPr>
              <w:pStyle w:val="ConsPlusNormal"/>
            </w:pPr>
          </w:p>
        </w:tc>
      </w:tr>
      <w:tr w:rsidR="00454A29" w14:paraId="2D8397BE" w14:textId="77777777">
        <w:tc>
          <w:tcPr>
            <w:tcW w:w="567" w:type="dxa"/>
            <w:vMerge/>
          </w:tcPr>
          <w:p w14:paraId="6750ADF5" w14:textId="77777777" w:rsidR="00454A29" w:rsidRDefault="00454A29"/>
        </w:tc>
        <w:tc>
          <w:tcPr>
            <w:tcW w:w="3345" w:type="dxa"/>
            <w:vMerge/>
          </w:tcPr>
          <w:p w14:paraId="1D2E73E3" w14:textId="77777777" w:rsidR="00454A29" w:rsidRDefault="00454A29"/>
        </w:tc>
        <w:tc>
          <w:tcPr>
            <w:tcW w:w="1701" w:type="dxa"/>
            <w:vAlign w:val="center"/>
          </w:tcPr>
          <w:p w14:paraId="1A2083D0" w14:textId="77777777" w:rsidR="00454A29" w:rsidRDefault="00454A29">
            <w:pPr>
              <w:pStyle w:val="ConsPlusNormal"/>
              <w:jc w:val="center"/>
            </w:pPr>
            <w:r>
              <w:t>2024</w:t>
            </w:r>
          </w:p>
        </w:tc>
        <w:tc>
          <w:tcPr>
            <w:tcW w:w="1417" w:type="dxa"/>
            <w:vMerge/>
          </w:tcPr>
          <w:p w14:paraId="6C6D8CD0" w14:textId="77777777" w:rsidR="00454A29" w:rsidRDefault="00454A29"/>
        </w:tc>
        <w:tc>
          <w:tcPr>
            <w:tcW w:w="2204" w:type="dxa"/>
            <w:vMerge/>
          </w:tcPr>
          <w:p w14:paraId="41C007FD" w14:textId="77777777" w:rsidR="00454A29" w:rsidRDefault="00454A29"/>
        </w:tc>
        <w:tc>
          <w:tcPr>
            <w:tcW w:w="1417" w:type="dxa"/>
            <w:vMerge/>
          </w:tcPr>
          <w:p w14:paraId="7EFF5BA2" w14:textId="77777777" w:rsidR="00454A29" w:rsidRDefault="00454A29"/>
        </w:tc>
        <w:tc>
          <w:tcPr>
            <w:tcW w:w="2324" w:type="dxa"/>
            <w:vMerge/>
          </w:tcPr>
          <w:p w14:paraId="256B572E" w14:textId="77777777" w:rsidR="00454A29" w:rsidRDefault="00454A29"/>
        </w:tc>
        <w:tc>
          <w:tcPr>
            <w:tcW w:w="1701" w:type="dxa"/>
            <w:vAlign w:val="center"/>
          </w:tcPr>
          <w:p w14:paraId="21FC46F8" w14:textId="77777777" w:rsidR="00454A29" w:rsidRDefault="00454A29">
            <w:pPr>
              <w:pStyle w:val="ConsPlusNormal"/>
            </w:pPr>
          </w:p>
        </w:tc>
        <w:tc>
          <w:tcPr>
            <w:tcW w:w="1814" w:type="dxa"/>
            <w:vAlign w:val="center"/>
          </w:tcPr>
          <w:p w14:paraId="663B67F7" w14:textId="77777777" w:rsidR="00454A29" w:rsidRDefault="00454A29">
            <w:pPr>
              <w:pStyle w:val="ConsPlusNormal"/>
            </w:pPr>
          </w:p>
        </w:tc>
        <w:tc>
          <w:tcPr>
            <w:tcW w:w="1701" w:type="dxa"/>
            <w:vAlign w:val="center"/>
          </w:tcPr>
          <w:p w14:paraId="101060B3" w14:textId="77777777" w:rsidR="00454A29" w:rsidRDefault="00454A29">
            <w:pPr>
              <w:pStyle w:val="ConsPlusNormal"/>
            </w:pPr>
          </w:p>
        </w:tc>
        <w:tc>
          <w:tcPr>
            <w:tcW w:w="1701" w:type="dxa"/>
            <w:vAlign w:val="center"/>
          </w:tcPr>
          <w:p w14:paraId="5F5A7111" w14:textId="77777777" w:rsidR="00454A29" w:rsidRDefault="00454A29">
            <w:pPr>
              <w:pStyle w:val="ConsPlusNormal"/>
            </w:pPr>
          </w:p>
        </w:tc>
        <w:tc>
          <w:tcPr>
            <w:tcW w:w="1814" w:type="dxa"/>
            <w:vAlign w:val="center"/>
          </w:tcPr>
          <w:p w14:paraId="2BB0824D" w14:textId="77777777" w:rsidR="00454A29" w:rsidRDefault="00454A29">
            <w:pPr>
              <w:pStyle w:val="ConsPlusNormal"/>
            </w:pPr>
          </w:p>
        </w:tc>
      </w:tr>
      <w:tr w:rsidR="00454A29" w14:paraId="07F68F86" w14:textId="77777777">
        <w:tc>
          <w:tcPr>
            <w:tcW w:w="567" w:type="dxa"/>
            <w:vMerge/>
          </w:tcPr>
          <w:p w14:paraId="2C6130B6" w14:textId="77777777" w:rsidR="00454A29" w:rsidRDefault="00454A29"/>
        </w:tc>
        <w:tc>
          <w:tcPr>
            <w:tcW w:w="3345" w:type="dxa"/>
            <w:vMerge/>
          </w:tcPr>
          <w:p w14:paraId="2796840B" w14:textId="77777777" w:rsidR="00454A29" w:rsidRDefault="00454A29"/>
        </w:tc>
        <w:tc>
          <w:tcPr>
            <w:tcW w:w="1701" w:type="dxa"/>
            <w:vAlign w:val="center"/>
          </w:tcPr>
          <w:p w14:paraId="5454703D" w14:textId="77777777" w:rsidR="00454A29" w:rsidRDefault="00454A29">
            <w:pPr>
              <w:pStyle w:val="ConsPlusNormal"/>
              <w:jc w:val="center"/>
            </w:pPr>
            <w:r>
              <w:t>2025</w:t>
            </w:r>
          </w:p>
        </w:tc>
        <w:tc>
          <w:tcPr>
            <w:tcW w:w="1417" w:type="dxa"/>
            <w:vMerge/>
          </w:tcPr>
          <w:p w14:paraId="4662B09F" w14:textId="77777777" w:rsidR="00454A29" w:rsidRDefault="00454A29"/>
        </w:tc>
        <w:tc>
          <w:tcPr>
            <w:tcW w:w="2204" w:type="dxa"/>
            <w:vMerge/>
          </w:tcPr>
          <w:p w14:paraId="531EA325" w14:textId="77777777" w:rsidR="00454A29" w:rsidRDefault="00454A29"/>
        </w:tc>
        <w:tc>
          <w:tcPr>
            <w:tcW w:w="1417" w:type="dxa"/>
            <w:vMerge/>
          </w:tcPr>
          <w:p w14:paraId="5965A50C" w14:textId="77777777" w:rsidR="00454A29" w:rsidRDefault="00454A29"/>
        </w:tc>
        <w:tc>
          <w:tcPr>
            <w:tcW w:w="2324" w:type="dxa"/>
            <w:vMerge/>
          </w:tcPr>
          <w:p w14:paraId="2B7998B3" w14:textId="77777777" w:rsidR="00454A29" w:rsidRDefault="00454A29"/>
        </w:tc>
        <w:tc>
          <w:tcPr>
            <w:tcW w:w="1701" w:type="dxa"/>
            <w:vAlign w:val="center"/>
          </w:tcPr>
          <w:p w14:paraId="72E3CE9C" w14:textId="77777777" w:rsidR="00454A29" w:rsidRDefault="00454A29">
            <w:pPr>
              <w:pStyle w:val="ConsPlusNormal"/>
            </w:pPr>
          </w:p>
        </w:tc>
        <w:tc>
          <w:tcPr>
            <w:tcW w:w="1814" w:type="dxa"/>
            <w:vAlign w:val="center"/>
          </w:tcPr>
          <w:p w14:paraId="287A30BB" w14:textId="77777777" w:rsidR="00454A29" w:rsidRDefault="00454A29">
            <w:pPr>
              <w:pStyle w:val="ConsPlusNormal"/>
            </w:pPr>
          </w:p>
        </w:tc>
        <w:tc>
          <w:tcPr>
            <w:tcW w:w="1701" w:type="dxa"/>
            <w:vAlign w:val="center"/>
          </w:tcPr>
          <w:p w14:paraId="72AC4BB9" w14:textId="77777777" w:rsidR="00454A29" w:rsidRDefault="00454A29">
            <w:pPr>
              <w:pStyle w:val="ConsPlusNormal"/>
            </w:pPr>
          </w:p>
        </w:tc>
        <w:tc>
          <w:tcPr>
            <w:tcW w:w="1701" w:type="dxa"/>
            <w:vAlign w:val="center"/>
          </w:tcPr>
          <w:p w14:paraId="56E1F796" w14:textId="77777777" w:rsidR="00454A29" w:rsidRDefault="00454A29">
            <w:pPr>
              <w:pStyle w:val="ConsPlusNormal"/>
            </w:pPr>
          </w:p>
        </w:tc>
        <w:tc>
          <w:tcPr>
            <w:tcW w:w="1814" w:type="dxa"/>
            <w:vAlign w:val="center"/>
          </w:tcPr>
          <w:p w14:paraId="35E4073D" w14:textId="77777777" w:rsidR="00454A29" w:rsidRDefault="00454A29">
            <w:pPr>
              <w:pStyle w:val="ConsPlusNormal"/>
            </w:pPr>
          </w:p>
        </w:tc>
      </w:tr>
      <w:tr w:rsidR="00454A29" w14:paraId="0DEB3251" w14:textId="77777777">
        <w:tc>
          <w:tcPr>
            <w:tcW w:w="567" w:type="dxa"/>
            <w:vMerge/>
          </w:tcPr>
          <w:p w14:paraId="18ECAB6C" w14:textId="77777777" w:rsidR="00454A29" w:rsidRDefault="00454A29"/>
        </w:tc>
        <w:tc>
          <w:tcPr>
            <w:tcW w:w="3345" w:type="dxa"/>
            <w:vMerge/>
          </w:tcPr>
          <w:p w14:paraId="4A791A5C" w14:textId="77777777" w:rsidR="00454A29" w:rsidRDefault="00454A29"/>
        </w:tc>
        <w:tc>
          <w:tcPr>
            <w:tcW w:w="1701" w:type="dxa"/>
            <w:vAlign w:val="center"/>
          </w:tcPr>
          <w:p w14:paraId="22F52A3E" w14:textId="77777777" w:rsidR="00454A29" w:rsidRDefault="00454A29">
            <w:pPr>
              <w:pStyle w:val="ConsPlusNormal"/>
              <w:jc w:val="center"/>
            </w:pPr>
            <w:r>
              <w:t>2026</w:t>
            </w:r>
          </w:p>
        </w:tc>
        <w:tc>
          <w:tcPr>
            <w:tcW w:w="1417" w:type="dxa"/>
            <w:vMerge/>
          </w:tcPr>
          <w:p w14:paraId="326258CD" w14:textId="77777777" w:rsidR="00454A29" w:rsidRDefault="00454A29"/>
        </w:tc>
        <w:tc>
          <w:tcPr>
            <w:tcW w:w="2204" w:type="dxa"/>
            <w:vMerge/>
          </w:tcPr>
          <w:p w14:paraId="01F586DE" w14:textId="77777777" w:rsidR="00454A29" w:rsidRDefault="00454A29"/>
        </w:tc>
        <w:tc>
          <w:tcPr>
            <w:tcW w:w="1417" w:type="dxa"/>
            <w:vMerge/>
          </w:tcPr>
          <w:p w14:paraId="4343B6AF" w14:textId="77777777" w:rsidR="00454A29" w:rsidRDefault="00454A29"/>
        </w:tc>
        <w:tc>
          <w:tcPr>
            <w:tcW w:w="2324" w:type="dxa"/>
            <w:vMerge/>
          </w:tcPr>
          <w:p w14:paraId="17C42EB9" w14:textId="77777777" w:rsidR="00454A29" w:rsidRDefault="00454A29"/>
        </w:tc>
        <w:tc>
          <w:tcPr>
            <w:tcW w:w="1701" w:type="dxa"/>
            <w:vAlign w:val="center"/>
          </w:tcPr>
          <w:p w14:paraId="5C411CD6" w14:textId="77777777" w:rsidR="00454A29" w:rsidRDefault="00454A29">
            <w:pPr>
              <w:pStyle w:val="ConsPlusNormal"/>
              <w:jc w:val="center"/>
            </w:pPr>
            <w:r>
              <w:t>1 367 070,39</w:t>
            </w:r>
          </w:p>
        </w:tc>
        <w:tc>
          <w:tcPr>
            <w:tcW w:w="1814" w:type="dxa"/>
            <w:vAlign w:val="center"/>
          </w:tcPr>
          <w:p w14:paraId="48FC2F55" w14:textId="77777777" w:rsidR="00454A29" w:rsidRDefault="00454A29">
            <w:pPr>
              <w:pStyle w:val="ConsPlusNormal"/>
              <w:jc w:val="center"/>
            </w:pPr>
            <w:r>
              <w:t>16 842,31</w:t>
            </w:r>
          </w:p>
        </w:tc>
        <w:tc>
          <w:tcPr>
            <w:tcW w:w="1701" w:type="dxa"/>
            <w:vAlign w:val="center"/>
          </w:tcPr>
          <w:p w14:paraId="0DB0B7CF" w14:textId="77777777" w:rsidR="00454A29" w:rsidRDefault="00454A29">
            <w:pPr>
              <w:pStyle w:val="ConsPlusNormal"/>
              <w:jc w:val="center"/>
            </w:pPr>
            <w:r>
              <w:t>1 667 388,41</w:t>
            </w:r>
          </w:p>
        </w:tc>
        <w:tc>
          <w:tcPr>
            <w:tcW w:w="1701" w:type="dxa"/>
            <w:vAlign w:val="center"/>
          </w:tcPr>
          <w:p w14:paraId="4F883134" w14:textId="77777777" w:rsidR="00454A29" w:rsidRDefault="00454A29">
            <w:pPr>
              <w:pStyle w:val="ConsPlusNormal"/>
            </w:pPr>
          </w:p>
        </w:tc>
        <w:tc>
          <w:tcPr>
            <w:tcW w:w="1814" w:type="dxa"/>
            <w:vAlign w:val="center"/>
          </w:tcPr>
          <w:p w14:paraId="36D469CA" w14:textId="77777777" w:rsidR="00454A29" w:rsidRDefault="00454A29">
            <w:pPr>
              <w:pStyle w:val="ConsPlusNormal"/>
            </w:pPr>
          </w:p>
        </w:tc>
      </w:tr>
      <w:tr w:rsidR="00454A29" w14:paraId="521A4B2A" w14:textId="77777777">
        <w:tc>
          <w:tcPr>
            <w:tcW w:w="567" w:type="dxa"/>
            <w:vMerge w:val="restart"/>
            <w:vAlign w:val="center"/>
          </w:tcPr>
          <w:p w14:paraId="12F60F4A" w14:textId="77777777" w:rsidR="00454A29" w:rsidRDefault="00454A29">
            <w:pPr>
              <w:pStyle w:val="ConsPlusNormal"/>
              <w:jc w:val="center"/>
            </w:pPr>
            <w:r>
              <w:t>186</w:t>
            </w:r>
          </w:p>
        </w:tc>
        <w:tc>
          <w:tcPr>
            <w:tcW w:w="3345" w:type="dxa"/>
            <w:vMerge w:val="restart"/>
            <w:vAlign w:val="center"/>
          </w:tcPr>
          <w:p w14:paraId="04B556C3" w14:textId="77777777" w:rsidR="00454A29" w:rsidRDefault="00454A29">
            <w:pPr>
              <w:pStyle w:val="ConsPlusNormal"/>
              <w:jc w:val="center"/>
            </w:pPr>
            <w:r>
              <w:t>Школа на 990 учащихся в г. Якутске</w:t>
            </w:r>
          </w:p>
        </w:tc>
        <w:tc>
          <w:tcPr>
            <w:tcW w:w="1701" w:type="dxa"/>
            <w:vAlign w:val="center"/>
          </w:tcPr>
          <w:p w14:paraId="3BCE3841" w14:textId="77777777" w:rsidR="00454A29" w:rsidRDefault="00454A29">
            <w:pPr>
              <w:pStyle w:val="ConsPlusNormal"/>
              <w:jc w:val="center"/>
            </w:pPr>
            <w:r>
              <w:t>2020 - 2026 годы - всего</w:t>
            </w:r>
          </w:p>
        </w:tc>
        <w:tc>
          <w:tcPr>
            <w:tcW w:w="1417" w:type="dxa"/>
            <w:vMerge w:val="restart"/>
            <w:vAlign w:val="center"/>
          </w:tcPr>
          <w:p w14:paraId="7150DF0A" w14:textId="77777777" w:rsidR="00454A29" w:rsidRDefault="00454A29">
            <w:pPr>
              <w:pStyle w:val="ConsPlusNormal"/>
              <w:jc w:val="center"/>
            </w:pPr>
            <w:r>
              <w:t>1 367 070,39</w:t>
            </w:r>
          </w:p>
        </w:tc>
        <w:tc>
          <w:tcPr>
            <w:tcW w:w="2204" w:type="dxa"/>
            <w:vMerge w:val="restart"/>
            <w:vAlign w:val="center"/>
          </w:tcPr>
          <w:p w14:paraId="46898322" w14:textId="77777777" w:rsidR="00454A29" w:rsidRDefault="00454A29">
            <w:pPr>
              <w:pStyle w:val="ConsPlusNormal"/>
            </w:pPr>
          </w:p>
        </w:tc>
        <w:tc>
          <w:tcPr>
            <w:tcW w:w="1417" w:type="dxa"/>
            <w:vMerge w:val="restart"/>
            <w:vAlign w:val="center"/>
          </w:tcPr>
          <w:p w14:paraId="24789CF9" w14:textId="77777777" w:rsidR="00454A29" w:rsidRDefault="00454A29">
            <w:pPr>
              <w:pStyle w:val="ConsPlusNormal"/>
              <w:jc w:val="center"/>
            </w:pPr>
            <w:r>
              <w:t>990</w:t>
            </w:r>
          </w:p>
        </w:tc>
        <w:tc>
          <w:tcPr>
            <w:tcW w:w="2324" w:type="dxa"/>
            <w:vMerge w:val="restart"/>
            <w:vAlign w:val="center"/>
          </w:tcPr>
          <w:p w14:paraId="422ACC5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EEDA47A" w14:textId="77777777" w:rsidR="00454A29" w:rsidRDefault="00454A29">
            <w:pPr>
              <w:pStyle w:val="ConsPlusNormal"/>
              <w:jc w:val="center"/>
            </w:pPr>
            <w:r>
              <w:t>1 367 070,39</w:t>
            </w:r>
          </w:p>
        </w:tc>
        <w:tc>
          <w:tcPr>
            <w:tcW w:w="1814" w:type="dxa"/>
            <w:vAlign w:val="center"/>
          </w:tcPr>
          <w:p w14:paraId="7DCBE716" w14:textId="77777777" w:rsidR="00454A29" w:rsidRDefault="00454A29">
            <w:pPr>
              <w:pStyle w:val="ConsPlusNormal"/>
              <w:jc w:val="center"/>
            </w:pPr>
            <w:r>
              <w:t>17 293,44</w:t>
            </w:r>
          </w:p>
        </w:tc>
        <w:tc>
          <w:tcPr>
            <w:tcW w:w="1701" w:type="dxa"/>
            <w:vAlign w:val="center"/>
          </w:tcPr>
          <w:p w14:paraId="126D201F" w14:textId="77777777" w:rsidR="00454A29" w:rsidRDefault="00454A29">
            <w:pPr>
              <w:pStyle w:val="ConsPlusNormal"/>
              <w:jc w:val="center"/>
            </w:pPr>
            <w:r>
              <w:t>1 712 050,60</w:t>
            </w:r>
          </w:p>
        </w:tc>
        <w:tc>
          <w:tcPr>
            <w:tcW w:w="1701" w:type="dxa"/>
            <w:vAlign w:val="center"/>
          </w:tcPr>
          <w:p w14:paraId="7F75F2BD" w14:textId="77777777" w:rsidR="00454A29" w:rsidRDefault="00454A29">
            <w:pPr>
              <w:pStyle w:val="ConsPlusNormal"/>
              <w:jc w:val="center"/>
            </w:pPr>
            <w:r>
              <w:t>-</w:t>
            </w:r>
          </w:p>
        </w:tc>
        <w:tc>
          <w:tcPr>
            <w:tcW w:w="1814" w:type="dxa"/>
            <w:vAlign w:val="center"/>
          </w:tcPr>
          <w:p w14:paraId="6AEE46AD" w14:textId="77777777" w:rsidR="00454A29" w:rsidRDefault="00454A29">
            <w:pPr>
              <w:pStyle w:val="ConsPlusNormal"/>
              <w:jc w:val="center"/>
            </w:pPr>
            <w:r>
              <w:t>-</w:t>
            </w:r>
          </w:p>
        </w:tc>
      </w:tr>
      <w:tr w:rsidR="00454A29" w14:paraId="119676E3" w14:textId="77777777">
        <w:tc>
          <w:tcPr>
            <w:tcW w:w="567" w:type="dxa"/>
            <w:vMerge/>
          </w:tcPr>
          <w:p w14:paraId="55C26EE3" w14:textId="77777777" w:rsidR="00454A29" w:rsidRDefault="00454A29"/>
        </w:tc>
        <w:tc>
          <w:tcPr>
            <w:tcW w:w="3345" w:type="dxa"/>
            <w:vMerge/>
          </w:tcPr>
          <w:p w14:paraId="1F24D222" w14:textId="77777777" w:rsidR="00454A29" w:rsidRDefault="00454A29"/>
        </w:tc>
        <w:tc>
          <w:tcPr>
            <w:tcW w:w="1701" w:type="dxa"/>
            <w:vAlign w:val="center"/>
          </w:tcPr>
          <w:p w14:paraId="629E29C2" w14:textId="77777777" w:rsidR="00454A29" w:rsidRDefault="00454A29">
            <w:pPr>
              <w:pStyle w:val="ConsPlusNormal"/>
              <w:jc w:val="center"/>
            </w:pPr>
            <w:r>
              <w:t>2020</w:t>
            </w:r>
          </w:p>
        </w:tc>
        <w:tc>
          <w:tcPr>
            <w:tcW w:w="1417" w:type="dxa"/>
            <w:vMerge/>
          </w:tcPr>
          <w:p w14:paraId="68B4D549" w14:textId="77777777" w:rsidR="00454A29" w:rsidRDefault="00454A29"/>
        </w:tc>
        <w:tc>
          <w:tcPr>
            <w:tcW w:w="2204" w:type="dxa"/>
            <w:vMerge/>
          </w:tcPr>
          <w:p w14:paraId="7C673B3D" w14:textId="77777777" w:rsidR="00454A29" w:rsidRDefault="00454A29"/>
        </w:tc>
        <w:tc>
          <w:tcPr>
            <w:tcW w:w="1417" w:type="dxa"/>
            <w:vMerge/>
          </w:tcPr>
          <w:p w14:paraId="1F589EAE" w14:textId="77777777" w:rsidR="00454A29" w:rsidRDefault="00454A29"/>
        </w:tc>
        <w:tc>
          <w:tcPr>
            <w:tcW w:w="2324" w:type="dxa"/>
            <w:vMerge/>
          </w:tcPr>
          <w:p w14:paraId="25CC3515" w14:textId="77777777" w:rsidR="00454A29" w:rsidRDefault="00454A29"/>
        </w:tc>
        <w:tc>
          <w:tcPr>
            <w:tcW w:w="1701" w:type="dxa"/>
            <w:vAlign w:val="center"/>
          </w:tcPr>
          <w:p w14:paraId="261D1F20" w14:textId="77777777" w:rsidR="00454A29" w:rsidRDefault="00454A29">
            <w:pPr>
              <w:pStyle w:val="ConsPlusNormal"/>
            </w:pPr>
          </w:p>
        </w:tc>
        <w:tc>
          <w:tcPr>
            <w:tcW w:w="1814" w:type="dxa"/>
            <w:vAlign w:val="center"/>
          </w:tcPr>
          <w:p w14:paraId="463FE6D1" w14:textId="77777777" w:rsidR="00454A29" w:rsidRDefault="00454A29">
            <w:pPr>
              <w:pStyle w:val="ConsPlusNormal"/>
            </w:pPr>
          </w:p>
        </w:tc>
        <w:tc>
          <w:tcPr>
            <w:tcW w:w="1701" w:type="dxa"/>
            <w:vAlign w:val="center"/>
          </w:tcPr>
          <w:p w14:paraId="1C86B1C0" w14:textId="77777777" w:rsidR="00454A29" w:rsidRDefault="00454A29">
            <w:pPr>
              <w:pStyle w:val="ConsPlusNormal"/>
            </w:pPr>
          </w:p>
        </w:tc>
        <w:tc>
          <w:tcPr>
            <w:tcW w:w="1701" w:type="dxa"/>
            <w:vAlign w:val="center"/>
          </w:tcPr>
          <w:p w14:paraId="765DD3B6" w14:textId="77777777" w:rsidR="00454A29" w:rsidRDefault="00454A29">
            <w:pPr>
              <w:pStyle w:val="ConsPlusNormal"/>
            </w:pPr>
          </w:p>
        </w:tc>
        <w:tc>
          <w:tcPr>
            <w:tcW w:w="1814" w:type="dxa"/>
            <w:vAlign w:val="center"/>
          </w:tcPr>
          <w:p w14:paraId="088FD978" w14:textId="77777777" w:rsidR="00454A29" w:rsidRDefault="00454A29">
            <w:pPr>
              <w:pStyle w:val="ConsPlusNormal"/>
            </w:pPr>
          </w:p>
        </w:tc>
      </w:tr>
      <w:tr w:rsidR="00454A29" w14:paraId="269ADB48" w14:textId="77777777">
        <w:tc>
          <w:tcPr>
            <w:tcW w:w="567" w:type="dxa"/>
            <w:vMerge/>
          </w:tcPr>
          <w:p w14:paraId="545B8EF9" w14:textId="77777777" w:rsidR="00454A29" w:rsidRDefault="00454A29"/>
        </w:tc>
        <w:tc>
          <w:tcPr>
            <w:tcW w:w="3345" w:type="dxa"/>
            <w:vMerge/>
          </w:tcPr>
          <w:p w14:paraId="5788BC40" w14:textId="77777777" w:rsidR="00454A29" w:rsidRDefault="00454A29"/>
        </w:tc>
        <w:tc>
          <w:tcPr>
            <w:tcW w:w="1701" w:type="dxa"/>
            <w:vAlign w:val="center"/>
          </w:tcPr>
          <w:p w14:paraId="33AABC44" w14:textId="77777777" w:rsidR="00454A29" w:rsidRDefault="00454A29">
            <w:pPr>
              <w:pStyle w:val="ConsPlusNormal"/>
              <w:jc w:val="center"/>
            </w:pPr>
            <w:r>
              <w:t>2021</w:t>
            </w:r>
          </w:p>
        </w:tc>
        <w:tc>
          <w:tcPr>
            <w:tcW w:w="1417" w:type="dxa"/>
            <w:vMerge/>
          </w:tcPr>
          <w:p w14:paraId="38054E73" w14:textId="77777777" w:rsidR="00454A29" w:rsidRDefault="00454A29"/>
        </w:tc>
        <w:tc>
          <w:tcPr>
            <w:tcW w:w="2204" w:type="dxa"/>
            <w:vMerge/>
          </w:tcPr>
          <w:p w14:paraId="3E9F7223" w14:textId="77777777" w:rsidR="00454A29" w:rsidRDefault="00454A29"/>
        </w:tc>
        <w:tc>
          <w:tcPr>
            <w:tcW w:w="1417" w:type="dxa"/>
            <w:vMerge/>
          </w:tcPr>
          <w:p w14:paraId="05EA72D3" w14:textId="77777777" w:rsidR="00454A29" w:rsidRDefault="00454A29"/>
        </w:tc>
        <w:tc>
          <w:tcPr>
            <w:tcW w:w="2324" w:type="dxa"/>
            <w:vMerge/>
          </w:tcPr>
          <w:p w14:paraId="0E43AE6B" w14:textId="77777777" w:rsidR="00454A29" w:rsidRDefault="00454A29"/>
        </w:tc>
        <w:tc>
          <w:tcPr>
            <w:tcW w:w="1701" w:type="dxa"/>
            <w:vAlign w:val="center"/>
          </w:tcPr>
          <w:p w14:paraId="55870753" w14:textId="77777777" w:rsidR="00454A29" w:rsidRDefault="00454A29">
            <w:pPr>
              <w:pStyle w:val="ConsPlusNormal"/>
              <w:jc w:val="center"/>
            </w:pPr>
            <w:r>
              <w:t>-</w:t>
            </w:r>
          </w:p>
        </w:tc>
        <w:tc>
          <w:tcPr>
            <w:tcW w:w="1814" w:type="dxa"/>
            <w:vAlign w:val="center"/>
          </w:tcPr>
          <w:p w14:paraId="3830EDCB" w14:textId="77777777" w:rsidR="00454A29" w:rsidRDefault="00454A29">
            <w:pPr>
              <w:pStyle w:val="ConsPlusNormal"/>
            </w:pPr>
          </w:p>
        </w:tc>
        <w:tc>
          <w:tcPr>
            <w:tcW w:w="1701" w:type="dxa"/>
            <w:vAlign w:val="center"/>
          </w:tcPr>
          <w:p w14:paraId="481F5B23" w14:textId="77777777" w:rsidR="00454A29" w:rsidRDefault="00454A29">
            <w:pPr>
              <w:pStyle w:val="ConsPlusNormal"/>
            </w:pPr>
          </w:p>
        </w:tc>
        <w:tc>
          <w:tcPr>
            <w:tcW w:w="1701" w:type="dxa"/>
            <w:vAlign w:val="center"/>
          </w:tcPr>
          <w:p w14:paraId="75F8381C" w14:textId="77777777" w:rsidR="00454A29" w:rsidRDefault="00454A29">
            <w:pPr>
              <w:pStyle w:val="ConsPlusNormal"/>
            </w:pPr>
          </w:p>
        </w:tc>
        <w:tc>
          <w:tcPr>
            <w:tcW w:w="1814" w:type="dxa"/>
            <w:vAlign w:val="center"/>
          </w:tcPr>
          <w:p w14:paraId="4E8D87AD" w14:textId="77777777" w:rsidR="00454A29" w:rsidRDefault="00454A29">
            <w:pPr>
              <w:pStyle w:val="ConsPlusNormal"/>
            </w:pPr>
          </w:p>
        </w:tc>
      </w:tr>
      <w:tr w:rsidR="00454A29" w14:paraId="566B254F" w14:textId="77777777">
        <w:tc>
          <w:tcPr>
            <w:tcW w:w="567" w:type="dxa"/>
            <w:vMerge/>
          </w:tcPr>
          <w:p w14:paraId="1DDB0E0F" w14:textId="77777777" w:rsidR="00454A29" w:rsidRDefault="00454A29"/>
        </w:tc>
        <w:tc>
          <w:tcPr>
            <w:tcW w:w="3345" w:type="dxa"/>
            <w:vMerge/>
          </w:tcPr>
          <w:p w14:paraId="77B71210" w14:textId="77777777" w:rsidR="00454A29" w:rsidRDefault="00454A29"/>
        </w:tc>
        <w:tc>
          <w:tcPr>
            <w:tcW w:w="1701" w:type="dxa"/>
            <w:vAlign w:val="center"/>
          </w:tcPr>
          <w:p w14:paraId="453CEDFE" w14:textId="77777777" w:rsidR="00454A29" w:rsidRDefault="00454A29">
            <w:pPr>
              <w:pStyle w:val="ConsPlusNormal"/>
              <w:jc w:val="center"/>
            </w:pPr>
            <w:r>
              <w:t>2022</w:t>
            </w:r>
          </w:p>
        </w:tc>
        <w:tc>
          <w:tcPr>
            <w:tcW w:w="1417" w:type="dxa"/>
            <w:vMerge/>
          </w:tcPr>
          <w:p w14:paraId="4D82FE9E" w14:textId="77777777" w:rsidR="00454A29" w:rsidRDefault="00454A29"/>
        </w:tc>
        <w:tc>
          <w:tcPr>
            <w:tcW w:w="2204" w:type="dxa"/>
            <w:vMerge/>
          </w:tcPr>
          <w:p w14:paraId="356EC8F8" w14:textId="77777777" w:rsidR="00454A29" w:rsidRDefault="00454A29"/>
        </w:tc>
        <w:tc>
          <w:tcPr>
            <w:tcW w:w="1417" w:type="dxa"/>
            <w:vMerge/>
          </w:tcPr>
          <w:p w14:paraId="76209633" w14:textId="77777777" w:rsidR="00454A29" w:rsidRDefault="00454A29"/>
        </w:tc>
        <w:tc>
          <w:tcPr>
            <w:tcW w:w="2324" w:type="dxa"/>
            <w:vMerge/>
          </w:tcPr>
          <w:p w14:paraId="5B2F2700" w14:textId="77777777" w:rsidR="00454A29" w:rsidRDefault="00454A29"/>
        </w:tc>
        <w:tc>
          <w:tcPr>
            <w:tcW w:w="1701" w:type="dxa"/>
            <w:vAlign w:val="center"/>
          </w:tcPr>
          <w:p w14:paraId="3AF80A3C" w14:textId="77777777" w:rsidR="00454A29" w:rsidRDefault="00454A29">
            <w:pPr>
              <w:pStyle w:val="ConsPlusNormal"/>
            </w:pPr>
          </w:p>
        </w:tc>
        <w:tc>
          <w:tcPr>
            <w:tcW w:w="1814" w:type="dxa"/>
            <w:vAlign w:val="center"/>
          </w:tcPr>
          <w:p w14:paraId="58AD7477" w14:textId="77777777" w:rsidR="00454A29" w:rsidRDefault="00454A29">
            <w:pPr>
              <w:pStyle w:val="ConsPlusNormal"/>
            </w:pPr>
          </w:p>
        </w:tc>
        <w:tc>
          <w:tcPr>
            <w:tcW w:w="1701" w:type="dxa"/>
            <w:vAlign w:val="center"/>
          </w:tcPr>
          <w:p w14:paraId="1159DCD0" w14:textId="77777777" w:rsidR="00454A29" w:rsidRDefault="00454A29">
            <w:pPr>
              <w:pStyle w:val="ConsPlusNormal"/>
            </w:pPr>
          </w:p>
        </w:tc>
        <w:tc>
          <w:tcPr>
            <w:tcW w:w="1701" w:type="dxa"/>
            <w:vAlign w:val="center"/>
          </w:tcPr>
          <w:p w14:paraId="3F78DA66" w14:textId="77777777" w:rsidR="00454A29" w:rsidRDefault="00454A29">
            <w:pPr>
              <w:pStyle w:val="ConsPlusNormal"/>
            </w:pPr>
          </w:p>
        </w:tc>
        <w:tc>
          <w:tcPr>
            <w:tcW w:w="1814" w:type="dxa"/>
            <w:vAlign w:val="center"/>
          </w:tcPr>
          <w:p w14:paraId="1A5F55CC" w14:textId="77777777" w:rsidR="00454A29" w:rsidRDefault="00454A29">
            <w:pPr>
              <w:pStyle w:val="ConsPlusNormal"/>
            </w:pPr>
          </w:p>
        </w:tc>
      </w:tr>
      <w:tr w:rsidR="00454A29" w14:paraId="6AA36655" w14:textId="77777777">
        <w:tc>
          <w:tcPr>
            <w:tcW w:w="567" w:type="dxa"/>
            <w:vMerge/>
          </w:tcPr>
          <w:p w14:paraId="67833C5C" w14:textId="77777777" w:rsidR="00454A29" w:rsidRDefault="00454A29"/>
        </w:tc>
        <w:tc>
          <w:tcPr>
            <w:tcW w:w="3345" w:type="dxa"/>
            <w:vMerge/>
          </w:tcPr>
          <w:p w14:paraId="30AF8E82" w14:textId="77777777" w:rsidR="00454A29" w:rsidRDefault="00454A29"/>
        </w:tc>
        <w:tc>
          <w:tcPr>
            <w:tcW w:w="1701" w:type="dxa"/>
            <w:vAlign w:val="center"/>
          </w:tcPr>
          <w:p w14:paraId="59FAD915" w14:textId="77777777" w:rsidR="00454A29" w:rsidRDefault="00454A29">
            <w:pPr>
              <w:pStyle w:val="ConsPlusNormal"/>
              <w:jc w:val="center"/>
            </w:pPr>
            <w:r>
              <w:t>2023</w:t>
            </w:r>
          </w:p>
        </w:tc>
        <w:tc>
          <w:tcPr>
            <w:tcW w:w="1417" w:type="dxa"/>
            <w:vMerge/>
          </w:tcPr>
          <w:p w14:paraId="0766DBE4" w14:textId="77777777" w:rsidR="00454A29" w:rsidRDefault="00454A29"/>
        </w:tc>
        <w:tc>
          <w:tcPr>
            <w:tcW w:w="2204" w:type="dxa"/>
            <w:vMerge/>
          </w:tcPr>
          <w:p w14:paraId="100E6477" w14:textId="77777777" w:rsidR="00454A29" w:rsidRDefault="00454A29"/>
        </w:tc>
        <w:tc>
          <w:tcPr>
            <w:tcW w:w="1417" w:type="dxa"/>
            <w:vMerge/>
          </w:tcPr>
          <w:p w14:paraId="1330EA45" w14:textId="77777777" w:rsidR="00454A29" w:rsidRDefault="00454A29"/>
        </w:tc>
        <w:tc>
          <w:tcPr>
            <w:tcW w:w="2324" w:type="dxa"/>
            <w:vMerge/>
          </w:tcPr>
          <w:p w14:paraId="56982604" w14:textId="77777777" w:rsidR="00454A29" w:rsidRDefault="00454A29"/>
        </w:tc>
        <w:tc>
          <w:tcPr>
            <w:tcW w:w="1701" w:type="dxa"/>
            <w:vAlign w:val="center"/>
          </w:tcPr>
          <w:p w14:paraId="25F75633" w14:textId="77777777" w:rsidR="00454A29" w:rsidRDefault="00454A29">
            <w:pPr>
              <w:pStyle w:val="ConsPlusNormal"/>
            </w:pPr>
          </w:p>
        </w:tc>
        <w:tc>
          <w:tcPr>
            <w:tcW w:w="1814" w:type="dxa"/>
            <w:vAlign w:val="center"/>
          </w:tcPr>
          <w:p w14:paraId="1CB2A7D7" w14:textId="77777777" w:rsidR="00454A29" w:rsidRDefault="00454A29">
            <w:pPr>
              <w:pStyle w:val="ConsPlusNormal"/>
            </w:pPr>
          </w:p>
        </w:tc>
        <w:tc>
          <w:tcPr>
            <w:tcW w:w="1701" w:type="dxa"/>
            <w:vAlign w:val="center"/>
          </w:tcPr>
          <w:p w14:paraId="0CDD9742" w14:textId="77777777" w:rsidR="00454A29" w:rsidRDefault="00454A29">
            <w:pPr>
              <w:pStyle w:val="ConsPlusNormal"/>
            </w:pPr>
          </w:p>
        </w:tc>
        <w:tc>
          <w:tcPr>
            <w:tcW w:w="1701" w:type="dxa"/>
            <w:vAlign w:val="center"/>
          </w:tcPr>
          <w:p w14:paraId="2C0082A3" w14:textId="77777777" w:rsidR="00454A29" w:rsidRDefault="00454A29">
            <w:pPr>
              <w:pStyle w:val="ConsPlusNormal"/>
            </w:pPr>
          </w:p>
        </w:tc>
        <w:tc>
          <w:tcPr>
            <w:tcW w:w="1814" w:type="dxa"/>
            <w:vAlign w:val="center"/>
          </w:tcPr>
          <w:p w14:paraId="2AA081E1" w14:textId="77777777" w:rsidR="00454A29" w:rsidRDefault="00454A29">
            <w:pPr>
              <w:pStyle w:val="ConsPlusNormal"/>
            </w:pPr>
          </w:p>
        </w:tc>
      </w:tr>
      <w:tr w:rsidR="00454A29" w14:paraId="2F1A02BD" w14:textId="77777777">
        <w:tc>
          <w:tcPr>
            <w:tcW w:w="567" w:type="dxa"/>
            <w:vMerge/>
          </w:tcPr>
          <w:p w14:paraId="1999C3AA" w14:textId="77777777" w:rsidR="00454A29" w:rsidRDefault="00454A29"/>
        </w:tc>
        <w:tc>
          <w:tcPr>
            <w:tcW w:w="3345" w:type="dxa"/>
            <w:vMerge/>
          </w:tcPr>
          <w:p w14:paraId="3AF4231B" w14:textId="77777777" w:rsidR="00454A29" w:rsidRDefault="00454A29"/>
        </w:tc>
        <w:tc>
          <w:tcPr>
            <w:tcW w:w="1701" w:type="dxa"/>
            <w:vAlign w:val="center"/>
          </w:tcPr>
          <w:p w14:paraId="42F38E30" w14:textId="77777777" w:rsidR="00454A29" w:rsidRDefault="00454A29">
            <w:pPr>
              <w:pStyle w:val="ConsPlusNormal"/>
              <w:jc w:val="center"/>
            </w:pPr>
            <w:r>
              <w:t>2024</w:t>
            </w:r>
          </w:p>
        </w:tc>
        <w:tc>
          <w:tcPr>
            <w:tcW w:w="1417" w:type="dxa"/>
            <w:vMerge/>
          </w:tcPr>
          <w:p w14:paraId="14A296F0" w14:textId="77777777" w:rsidR="00454A29" w:rsidRDefault="00454A29"/>
        </w:tc>
        <w:tc>
          <w:tcPr>
            <w:tcW w:w="2204" w:type="dxa"/>
            <w:vMerge/>
          </w:tcPr>
          <w:p w14:paraId="3C854450" w14:textId="77777777" w:rsidR="00454A29" w:rsidRDefault="00454A29"/>
        </w:tc>
        <w:tc>
          <w:tcPr>
            <w:tcW w:w="1417" w:type="dxa"/>
            <w:vMerge/>
          </w:tcPr>
          <w:p w14:paraId="5F9A83B5" w14:textId="77777777" w:rsidR="00454A29" w:rsidRDefault="00454A29"/>
        </w:tc>
        <w:tc>
          <w:tcPr>
            <w:tcW w:w="2324" w:type="dxa"/>
            <w:vMerge/>
          </w:tcPr>
          <w:p w14:paraId="45BB9E01" w14:textId="77777777" w:rsidR="00454A29" w:rsidRDefault="00454A29"/>
        </w:tc>
        <w:tc>
          <w:tcPr>
            <w:tcW w:w="1701" w:type="dxa"/>
            <w:vAlign w:val="center"/>
          </w:tcPr>
          <w:p w14:paraId="49A971BE" w14:textId="77777777" w:rsidR="00454A29" w:rsidRDefault="00454A29">
            <w:pPr>
              <w:pStyle w:val="ConsPlusNormal"/>
            </w:pPr>
          </w:p>
        </w:tc>
        <w:tc>
          <w:tcPr>
            <w:tcW w:w="1814" w:type="dxa"/>
            <w:vAlign w:val="center"/>
          </w:tcPr>
          <w:p w14:paraId="047D56A6" w14:textId="77777777" w:rsidR="00454A29" w:rsidRDefault="00454A29">
            <w:pPr>
              <w:pStyle w:val="ConsPlusNormal"/>
            </w:pPr>
          </w:p>
        </w:tc>
        <w:tc>
          <w:tcPr>
            <w:tcW w:w="1701" w:type="dxa"/>
            <w:vAlign w:val="center"/>
          </w:tcPr>
          <w:p w14:paraId="5771E2DD" w14:textId="77777777" w:rsidR="00454A29" w:rsidRDefault="00454A29">
            <w:pPr>
              <w:pStyle w:val="ConsPlusNormal"/>
            </w:pPr>
          </w:p>
        </w:tc>
        <w:tc>
          <w:tcPr>
            <w:tcW w:w="1701" w:type="dxa"/>
            <w:vAlign w:val="center"/>
          </w:tcPr>
          <w:p w14:paraId="471919D7" w14:textId="77777777" w:rsidR="00454A29" w:rsidRDefault="00454A29">
            <w:pPr>
              <w:pStyle w:val="ConsPlusNormal"/>
            </w:pPr>
          </w:p>
        </w:tc>
        <w:tc>
          <w:tcPr>
            <w:tcW w:w="1814" w:type="dxa"/>
            <w:vAlign w:val="center"/>
          </w:tcPr>
          <w:p w14:paraId="290139FA" w14:textId="77777777" w:rsidR="00454A29" w:rsidRDefault="00454A29">
            <w:pPr>
              <w:pStyle w:val="ConsPlusNormal"/>
            </w:pPr>
          </w:p>
        </w:tc>
      </w:tr>
      <w:tr w:rsidR="00454A29" w14:paraId="0DEB9895" w14:textId="77777777">
        <w:tc>
          <w:tcPr>
            <w:tcW w:w="567" w:type="dxa"/>
            <w:vMerge/>
          </w:tcPr>
          <w:p w14:paraId="13E7DB1D" w14:textId="77777777" w:rsidR="00454A29" w:rsidRDefault="00454A29"/>
        </w:tc>
        <w:tc>
          <w:tcPr>
            <w:tcW w:w="3345" w:type="dxa"/>
            <w:vMerge/>
          </w:tcPr>
          <w:p w14:paraId="40CDA1D4" w14:textId="77777777" w:rsidR="00454A29" w:rsidRDefault="00454A29"/>
        </w:tc>
        <w:tc>
          <w:tcPr>
            <w:tcW w:w="1701" w:type="dxa"/>
            <w:vAlign w:val="center"/>
          </w:tcPr>
          <w:p w14:paraId="2BC627FF" w14:textId="77777777" w:rsidR="00454A29" w:rsidRDefault="00454A29">
            <w:pPr>
              <w:pStyle w:val="ConsPlusNormal"/>
              <w:jc w:val="center"/>
            </w:pPr>
            <w:r>
              <w:t>2025</w:t>
            </w:r>
          </w:p>
        </w:tc>
        <w:tc>
          <w:tcPr>
            <w:tcW w:w="1417" w:type="dxa"/>
            <w:vMerge/>
          </w:tcPr>
          <w:p w14:paraId="6BF91D47" w14:textId="77777777" w:rsidR="00454A29" w:rsidRDefault="00454A29"/>
        </w:tc>
        <w:tc>
          <w:tcPr>
            <w:tcW w:w="2204" w:type="dxa"/>
            <w:vMerge/>
          </w:tcPr>
          <w:p w14:paraId="4EE51D1C" w14:textId="77777777" w:rsidR="00454A29" w:rsidRDefault="00454A29"/>
        </w:tc>
        <w:tc>
          <w:tcPr>
            <w:tcW w:w="1417" w:type="dxa"/>
            <w:vMerge/>
          </w:tcPr>
          <w:p w14:paraId="469A9FCD" w14:textId="77777777" w:rsidR="00454A29" w:rsidRDefault="00454A29"/>
        </w:tc>
        <w:tc>
          <w:tcPr>
            <w:tcW w:w="2324" w:type="dxa"/>
            <w:vMerge/>
          </w:tcPr>
          <w:p w14:paraId="34F15324" w14:textId="77777777" w:rsidR="00454A29" w:rsidRDefault="00454A29"/>
        </w:tc>
        <w:tc>
          <w:tcPr>
            <w:tcW w:w="1701" w:type="dxa"/>
            <w:vAlign w:val="center"/>
          </w:tcPr>
          <w:p w14:paraId="290F537D" w14:textId="77777777" w:rsidR="00454A29" w:rsidRDefault="00454A29">
            <w:pPr>
              <w:pStyle w:val="ConsPlusNormal"/>
              <w:jc w:val="center"/>
            </w:pPr>
            <w:r>
              <w:t>1 367 070,39</w:t>
            </w:r>
          </w:p>
        </w:tc>
        <w:tc>
          <w:tcPr>
            <w:tcW w:w="1814" w:type="dxa"/>
            <w:vAlign w:val="center"/>
          </w:tcPr>
          <w:p w14:paraId="4C0299DB" w14:textId="77777777" w:rsidR="00454A29" w:rsidRDefault="00454A29">
            <w:pPr>
              <w:pStyle w:val="ConsPlusNormal"/>
              <w:jc w:val="center"/>
            </w:pPr>
            <w:r>
              <w:t>17 293,44</w:t>
            </w:r>
          </w:p>
        </w:tc>
        <w:tc>
          <w:tcPr>
            <w:tcW w:w="1701" w:type="dxa"/>
            <w:vAlign w:val="center"/>
          </w:tcPr>
          <w:p w14:paraId="1AD55049" w14:textId="77777777" w:rsidR="00454A29" w:rsidRDefault="00454A29">
            <w:pPr>
              <w:pStyle w:val="ConsPlusNormal"/>
              <w:jc w:val="center"/>
            </w:pPr>
            <w:r>
              <w:t>1 712 050,60</w:t>
            </w:r>
          </w:p>
        </w:tc>
        <w:tc>
          <w:tcPr>
            <w:tcW w:w="1701" w:type="dxa"/>
            <w:vAlign w:val="center"/>
          </w:tcPr>
          <w:p w14:paraId="0475BF50" w14:textId="77777777" w:rsidR="00454A29" w:rsidRDefault="00454A29">
            <w:pPr>
              <w:pStyle w:val="ConsPlusNormal"/>
            </w:pPr>
          </w:p>
        </w:tc>
        <w:tc>
          <w:tcPr>
            <w:tcW w:w="1814" w:type="dxa"/>
            <w:vAlign w:val="center"/>
          </w:tcPr>
          <w:p w14:paraId="34391BC8" w14:textId="77777777" w:rsidR="00454A29" w:rsidRDefault="00454A29">
            <w:pPr>
              <w:pStyle w:val="ConsPlusNormal"/>
            </w:pPr>
          </w:p>
        </w:tc>
      </w:tr>
      <w:tr w:rsidR="00454A29" w14:paraId="7784794A" w14:textId="77777777">
        <w:tc>
          <w:tcPr>
            <w:tcW w:w="567" w:type="dxa"/>
            <w:vMerge/>
          </w:tcPr>
          <w:p w14:paraId="22494633" w14:textId="77777777" w:rsidR="00454A29" w:rsidRDefault="00454A29"/>
        </w:tc>
        <w:tc>
          <w:tcPr>
            <w:tcW w:w="3345" w:type="dxa"/>
            <w:vMerge/>
          </w:tcPr>
          <w:p w14:paraId="7016E399" w14:textId="77777777" w:rsidR="00454A29" w:rsidRDefault="00454A29"/>
        </w:tc>
        <w:tc>
          <w:tcPr>
            <w:tcW w:w="1701" w:type="dxa"/>
            <w:vAlign w:val="center"/>
          </w:tcPr>
          <w:p w14:paraId="392652F4" w14:textId="77777777" w:rsidR="00454A29" w:rsidRDefault="00454A29">
            <w:pPr>
              <w:pStyle w:val="ConsPlusNormal"/>
              <w:jc w:val="center"/>
            </w:pPr>
            <w:r>
              <w:t>2026</w:t>
            </w:r>
          </w:p>
        </w:tc>
        <w:tc>
          <w:tcPr>
            <w:tcW w:w="1417" w:type="dxa"/>
            <w:vMerge/>
          </w:tcPr>
          <w:p w14:paraId="0E49238D" w14:textId="77777777" w:rsidR="00454A29" w:rsidRDefault="00454A29"/>
        </w:tc>
        <w:tc>
          <w:tcPr>
            <w:tcW w:w="2204" w:type="dxa"/>
            <w:vMerge/>
          </w:tcPr>
          <w:p w14:paraId="26E58196" w14:textId="77777777" w:rsidR="00454A29" w:rsidRDefault="00454A29"/>
        </w:tc>
        <w:tc>
          <w:tcPr>
            <w:tcW w:w="1417" w:type="dxa"/>
            <w:vMerge/>
          </w:tcPr>
          <w:p w14:paraId="4DA91528" w14:textId="77777777" w:rsidR="00454A29" w:rsidRDefault="00454A29"/>
        </w:tc>
        <w:tc>
          <w:tcPr>
            <w:tcW w:w="2324" w:type="dxa"/>
            <w:vMerge/>
          </w:tcPr>
          <w:p w14:paraId="6A9D8C2D" w14:textId="77777777" w:rsidR="00454A29" w:rsidRDefault="00454A29"/>
        </w:tc>
        <w:tc>
          <w:tcPr>
            <w:tcW w:w="1701" w:type="dxa"/>
            <w:vAlign w:val="center"/>
          </w:tcPr>
          <w:p w14:paraId="391782B9" w14:textId="77777777" w:rsidR="00454A29" w:rsidRDefault="00454A29">
            <w:pPr>
              <w:pStyle w:val="ConsPlusNormal"/>
            </w:pPr>
          </w:p>
        </w:tc>
        <w:tc>
          <w:tcPr>
            <w:tcW w:w="1814" w:type="dxa"/>
            <w:vAlign w:val="center"/>
          </w:tcPr>
          <w:p w14:paraId="55FECE05" w14:textId="77777777" w:rsidR="00454A29" w:rsidRDefault="00454A29">
            <w:pPr>
              <w:pStyle w:val="ConsPlusNormal"/>
            </w:pPr>
          </w:p>
        </w:tc>
        <w:tc>
          <w:tcPr>
            <w:tcW w:w="1701" w:type="dxa"/>
            <w:vAlign w:val="center"/>
          </w:tcPr>
          <w:p w14:paraId="2B32755A" w14:textId="77777777" w:rsidR="00454A29" w:rsidRDefault="00454A29">
            <w:pPr>
              <w:pStyle w:val="ConsPlusNormal"/>
            </w:pPr>
          </w:p>
        </w:tc>
        <w:tc>
          <w:tcPr>
            <w:tcW w:w="1701" w:type="dxa"/>
            <w:vAlign w:val="center"/>
          </w:tcPr>
          <w:p w14:paraId="49CCC7E0" w14:textId="77777777" w:rsidR="00454A29" w:rsidRDefault="00454A29">
            <w:pPr>
              <w:pStyle w:val="ConsPlusNormal"/>
            </w:pPr>
          </w:p>
        </w:tc>
        <w:tc>
          <w:tcPr>
            <w:tcW w:w="1814" w:type="dxa"/>
            <w:vAlign w:val="center"/>
          </w:tcPr>
          <w:p w14:paraId="501CAF78" w14:textId="77777777" w:rsidR="00454A29" w:rsidRDefault="00454A29">
            <w:pPr>
              <w:pStyle w:val="ConsPlusNormal"/>
            </w:pPr>
          </w:p>
        </w:tc>
      </w:tr>
      <w:tr w:rsidR="00454A29" w14:paraId="13142005" w14:textId="77777777">
        <w:tc>
          <w:tcPr>
            <w:tcW w:w="567" w:type="dxa"/>
            <w:vMerge w:val="restart"/>
            <w:vAlign w:val="center"/>
          </w:tcPr>
          <w:p w14:paraId="302DFEE6" w14:textId="77777777" w:rsidR="00454A29" w:rsidRDefault="00454A29">
            <w:pPr>
              <w:pStyle w:val="ConsPlusNormal"/>
              <w:jc w:val="center"/>
            </w:pPr>
            <w:r>
              <w:t>187</w:t>
            </w:r>
          </w:p>
        </w:tc>
        <w:tc>
          <w:tcPr>
            <w:tcW w:w="3345" w:type="dxa"/>
            <w:vMerge w:val="restart"/>
            <w:vAlign w:val="center"/>
          </w:tcPr>
          <w:p w14:paraId="6F98907F" w14:textId="77777777" w:rsidR="00454A29" w:rsidRDefault="00454A29">
            <w:pPr>
              <w:pStyle w:val="ConsPlusNormal"/>
              <w:jc w:val="center"/>
            </w:pPr>
            <w:r>
              <w:t>Школа на 990 учащихся в г. Якутске</w:t>
            </w:r>
          </w:p>
        </w:tc>
        <w:tc>
          <w:tcPr>
            <w:tcW w:w="1701" w:type="dxa"/>
            <w:vAlign w:val="center"/>
          </w:tcPr>
          <w:p w14:paraId="4AEC5B43" w14:textId="77777777" w:rsidR="00454A29" w:rsidRDefault="00454A29">
            <w:pPr>
              <w:pStyle w:val="ConsPlusNormal"/>
              <w:jc w:val="center"/>
            </w:pPr>
            <w:r>
              <w:t>2020 - 2026 годы - всего</w:t>
            </w:r>
          </w:p>
        </w:tc>
        <w:tc>
          <w:tcPr>
            <w:tcW w:w="1417" w:type="dxa"/>
            <w:vMerge w:val="restart"/>
            <w:vAlign w:val="center"/>
          </w:tcPr>
          <w:p w14:paraId="6875EE62" w14:textId="77777777" w:rsidR="00454A29" w:rsidRDefault="00454A29">
            <w:pPr>
              <w:pStyle w:val="ConsPlusNormal"/>
              <w:jc w:val="center"/>
            </w:pPr>
            <w:r>
              <w:t>1 367 070,39</w:t>
            </w:r>
          </w:p>
        </w:tc>
        <w:tc>
          <w:tcPr>
            <w:tcW w:w="2204" w:type="dxa"/>
            <w:vMerge w:val="restart"/>
            <w:vAlign w:val="center"/>
          </w:tcPr>
          <w:p w14:paraId="0F4705AA" w14:textId="77777777" w:rsidR="00454A29" w:rsidRDefault="00454A29">
            <w:pPr>
              <w:pStyle w:val="ConsPlusNormal"/>
            </w:pPr>
          </w:p>
        </w:tc>
        <w:tc>
          <w:tcPr>
            <w:tcW w:w="1417" w:type="dxa"/>
            <w:vMerge w:val="restart"/>
            <w:vAlign w:val="center"/>
          </w:tcPr>
          <w:p w14:paraId="32B0F8FD" w14:textId="77777777" w:rsidR="00454A29" w:rsidRDefault="00454A29">
            <w:pPr>
              <w:pStyle w:val="ConsPlusNormal"/>
              <w:jc w:val="center"/>
            </w:pPr>
            <w:r>
              <w:t>990</w:t>
            </w:r>
          </w:p>
        </w:tc>
        <w:tc>
          <w:tcPr>
            <w:tcW w:w="2324" w:type="dxa"/>
            <w:vMerge w:val="restart"/>
            <w:vAlign w:val="center"/>
          </w:tcPr>
          <w:p w14:paraId="4A4CDE8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20181A4" w14:textId="77777777" w:rsidR="00454A29" w:rsidRDefault="00454A29">
            <w:pPr>
              <w:pStyle w:val="ConsPlusNormal"/>
              <w:jc w:val="center"/>
            </w:pPr>
            <w:r>
              <w:t>1 367 070,39</w:t>
            </w:r>
          </w:p>
        </w:tc>
        <w:tc>
          <w:tcPr>
            <w:tcW w:w="1814" w:type="dxa"/>
            <w:vAlign w:val="center"/>
          </w:tcPr>
          <w:p w14:paraId="0ED72495" w14:textId="77777777" w:rsidR="00454A29" w:rsidRDefault="00454A29">
            <w:pPr>
              <w:pStyle w:val="ConsPlusNormal"/>
              <w:jc w:val="center"/>
            </w:pPr>
            <w:r>
              <w:t>16 842,31</w:t>
            </w:r>
          </w:p>
        </w:tc>
        <w:tc>
          <w:tcPr>
            <w:tcW w:w="1701" w:type="dxa"/>
            <w:vAlign w:val="center"/>
          </w:tcPr>
          <w:p w14:paraId="6EA31DDA" w14:textId="77777777" w:rsidR="00454A29" w:rsidRDefault="00454A29">
            <w:pPr>
              <w:pStyle w:val="ConsPlusNormal"/>
              <w:jc w:val="center"/>
            </w:pPr>
            <w:r>
              <w:t>1 667 388,41</w:t>
            </w:r>
          </w:p>
        </w:tc>
        <w:tc>
          <w:tcPr>
            <w:tcW w:w="1701" w:type="dxa"/>
            <w:vAlign w:val="center"/>
          </w:tcPr>
          <w:p w14:paraId="02BD2E1C" w14:textId="77777777" w:rsidR="00454A29" w:rsidRDefault="00454A29">
            <w:pPr>
              <w:pStyle w:val="ConsPlusNormal"/>
              <w:jc w:val="center"/>
            </w:pPr>
            <w:r>
              <w:t>-</w:t>
            </w:r>
          </w:p>
        </w:tc>
        <w:tc>
          <w:tcPr>
            <w:tcW w:w="1814" w:type="dxa"/>
            <w:vAlign w:val="center"/>
          </w:tcPr>
          <w:p w14:paraId="2E9E89AB" w14:textId="77777777" w:rsidR="00454A29" w:rsidRDefault="00454A29">
            <w:pPr>
              <w:pStyle w:val="ConsPlusNormal"/>
              <w:jc w:val="center"/>
            </w:pPr>
            <w:r>
              <w:t>-</w:t>
            </w:r>
          </w:p>
        </w:tc>
      </w:tr>
      <w:tr w:rsidR="00454A29" w14:paraId="548B957A" w14:textId="77777777">
        <w:tc>
          <w:tcPr>
            <w:tcW w:w="567" w:type="dxa"/>
            <w:vMerge/>
          </w:tcPr>
          <w:p w14:paraId="061D2175" w14:textId="77777777" w:rsidR="00454A29" w:rsidRDefault="00454A29"/>
        </w:tc>
        <w:tc>
          <w:tcPr>
            <w:tcW w:w="3345" w:type="dxa"/>
            <w:vMerge/>
          </w:tcPr>
          <w:p w14:paraId="26993D7A" w14:textId="77777777" w:rsidR="00454A29" w:rsidRDefault="00454A29"/>
        </w:tc>
        <w:tc>
          <w:tcPr>
            <w:tcW w:w="1701" w:type="dxa"/>
            <w:vAlign w:val="center"/>
          </w:tcPr>
          <w:p w14:paraId="5FD83F18" w14:textId="77777777" w:rsidR="00454A29" w:rsidRDefault="00454A29">
            <w:pPr>
              <w:pStyle w:val="ConsPlusNormal"/>
              <w:jc w:val="center"/>
            </w:pPr>
            <w:r>
              <w:t>2020</w:t>
            </w:r>
          </w:p>
        </w:tc>
        <w:tc>
          <w:tcPr>
            <w:tcW w:w="1417" w:type="dxa"/>
            <w:vMerge/>
          </w:tcPr>
          <w:p w14:paraId="05F96A64" w14:textId="77777777" w:rsidR="00454A29" w:rsidRDefault="00454A29"/>
        </w:tc>
        <w:tc>
          <w:tcPr>
            <w:tcW w:w="2204" w:type="dxa"/>
            <w:vMerge/>
          </w:tcPr>
          <w:p w14:paraId="4C733CAB" w14:textId="77777777" w:rsidR="00454A29" w:rsidRDefault="00454A29"/>
        </w:tc>
        <w:tc>
          <w:tcPr>
            <w:tcW w:w="1417" w:type="dxa"/>
            <w:vMerge/>
          </w:tcPr>
          <w:p w14:paraId="7BEB4AC1" w14:textId="77777777" w:rsidR="00454A29" w:rsidRDefault="00454A29"/>
        </w:tc>
        <w:tc>
          <w:tcPr>
            <w:tcW w:w="2324" w:type="dxa"/>
            <w:vMerge/>
          </w:tcPr>
          <w:p w14:paraId="0C9FB7C4" w14:textId="77777777" w:rsidR="00454A29" w:rsidRDefault="00454A29"/>
        </w:tc>
        <w:tc>
          <w:tcPr>
            <w:tcW w:w="1701" w:type="dxa"/>
            <w:vAlign w:val="center"/>
          </w:tcPr>
          <w:p w14:paraId="6659922C" w14:textId="77777777" w:rsidR="00454A29" w:rsidRDefault="00454A29">
            <w:pPr>
              <w:pStyle w:val="ConsPlusNormal"/>
            </w:pPr>
          </w:p>
        </w:tc>
        <w:tc>
          <w:tcPr>
            <w:tcW w:w="1814" w:type="dxa"/>
            <w:vAlign w:val="center"/>
          </w:tcPr>
          <w:p w14:paraId="15499620" w14:textId="77777777" w:rsidR="00454A29" w:rsidRDefault="00454A29">
            <w:pPr>
              <w:pStyle w:val="ConsPlusNormal"/>
            </w:pPr>
          </w:p>
        </w:tc>
        <w:tc>
          <w:tcPr>
            <w:tcW w:w="1701" w:type="dxa"/>
            <w:vAlign w:val="center"/>
          </w:tcPr>
          <w:p w14:paraId="431111EE" w14:textId="77777777" w:rsidR="00454A29" w:rsidRDefault="00454A29">
            <w:pPr>
              <w:pStyle w:val="ConsPlusNormal"/>
            </w:pPr>
          </w:p>
        </w:tc>
        <w:tc>
          <w:tcPr>
            <w:tcW w:w="1701" w:type="dxa"/>
            <w:vAlign w:val="center"/>
          </w:tcPr>
          <w:p w14:paraId="00E9BC2B" w14:textId="77777777" w:rsidR="00454A29" w:rsidRDefault="00454A29">
            <w:pPr>
              <w:pStyle w:val="ConsPlusNormal"/>
            </w:pPr>
          </w:p>
        </w:tc>
        <w:tc>
          <w:tcPr>
            <w:tcW w:w="1814" w:type="dxa"/>
            <w:vAlign w:val="center"/>
          </w:tcPr>
          <w:p w14:paraId="21E475E5" w14:textId="77777777" w:rsidR="00454A29" w:rsidRDefault="00454A29">
            <w:pPr>
              <w:pStyle w:val="ConsPlusNormal"/>
            </w:pPr>
          </w:p>
        </w:tc>
      </w:tr>
      <w:tr w:rsidR="00454A29" w14:paraId="22730567" w14:textId="77777777">
        <w:tc>
          <w:tcPr>
            <w:tcW w:w="567" w:type="dxa"/>
            <w:vMerge/>
          </w:tcPr>
          <w:p w14:paraId="09F25303" w14:textId="77777777" w:rsidR="00454A29" w:rsidRDefault="00454A29"/>
        </w:tc>
        <w:tc>
          <w:tcPr>
            <w:tcW w:w="3345" w:type="dxa"/>
            <w:vMerge/>
          </w:tcPr>
          <w:p w14:paraId="30674241" w14:textId="77777777" w:rsidR="00454A29" w:rsidRDefault="00454A29"/>
        </w:tc>
        <w:tc>
          <w:tcPr>
            <w:tcW w:w="1701" w:type="dxa"/>
            <w:vAlign w:val="center"/>
          </w:tcPr>
          <w:p w14:paraId="046578E1" w14:textId="77777777" w:rsidR="00454A29" w:rsidRDefault="00454A29">
            <w:pPr>
              <w:pStyle w:val="ConsPlusNormal"/>
              <w:jc w:val="center"/>
            </w:pPr>
            <w:r>
              <w:t>2021</w:t>
            </w:r>
          </w:p>
        </w:tc>
        <w:tc>
          <w:tcPr>
            <w:tcW w:w="1417" w:type="dxa"/>
            <w:vMerge/>
          </w:tcPr>
          <w:p w14:paraId="43DB0B3B" w14:textId="77777777" w:rsidR="00454A29" w:rsidRDefault="00454A29"/>
        </w:tc>
        <w:tc>
          <w:tcPr>
            <w:tcW w:w="2204" w:type="dxa"/>
            <w:vMerge/>
          </w:tcPr>
          <w:p w14:paraId="454AB8D0" w14:textId="77777777" w:rsidR="00454A29" w:rsidRDefault="00454A29"/>
        </w:tc>
        <w:tc>
          <w:tcPr>
            <w:tcW w:w="1417" w:type="dxa"/>
            <w:vMerge/>
          </w:tcPr>
          <w:p w14:paraId="5EA0F05B" w14:textId="77777777" w:rsidR="00454A29" w:rsidRDefault="00454A29"/>
        </w:tc>
        <w:tc>
          <w:tcPr>
            <w:tcW w:w="2324" w:type="dxa"/>
            <w:vMerge/>
          </w:tcPr>
          <w:p w14:paraId="5F31C95E" w14:textId="77777777" w:rsidR="00454A29" w:rsidRDefault="00454A29"/>
        </w:tc>
        <w:tc>
          <w:tcPr>
            <w:tcW w:w="1701" w:type="dxa"/>
            <w:vAlign w:val="center"/>
          </w:tcPr>
          <w:p w14:paraId="14071416" w14:textId="77777777" w:rsidR="00454A29" w:rsidRDefault="00454A29">
            <w:pPr>
              <w:pStyle w:val="ConsPlusNormal"/>
              <w:jc w:val="center"/>
            </w:pPr>
            <w:r>
              <w:t>-</w:t>
            </w:r>
          </w:p>
        </w:tc>
        <w:tc>
          <w:tcPr>
            <w:tcW w:w="1814" w:type="dxa"/>
            <w:vAlign w:val="center"/>
          </w:tcPr>
          <w:p w14:paraId="6E9A49E9" w14:textId="77777777" w:rsidR="00454A29" w:rsidRDefault="00454A29">
            <w:pPr>
              <w:pStyle w:val="ConsPlusNormal"/>
            </w:pPr>
          </w:p>
        </w:tc>
        <w:tc>
          <w:tcPr>
            <w:tcW w:w="1701" w:type="dxa"/>
            <w:vAlign w:val="center"/>
          </w:tcPr>
          <w:p w14:paraId="30125925" w14:textId="77777777" w:rsidR="00454A29" w:rsidRDefault="00454A29">
            <w:pPr>
              <w:pStyle w:val="ConsPlusNormal"/>
            </w:pPr>
          </w:p>
        </w:tc>
        <w:tc>
          <w:tcPr>
            <w:tcW w:w="1701" w:type="dxa"/>
            <w:vAlign w:val="center"/>
          </w:tcPr>
          <w:p w14:paraId="4AF2B0B0" w14:textId="77777777" w:rsidR="00454A29" w:rsidRDefault="00454A29">
            <w:pPr>
              <w:pStyle w:val="ConsPlusNormal"/>
            </w:pPr>
          </w:p>
        </w:tc>
        <w:tc>
          <w:tcPr>
            <w:tcW w:w="1814" w:type="dxa"/>
            <w:vAlign w:val="center"/>
          </w:tcPr>
          <w:p w14:paraId="5B713E61" w14:textId="77777777" w:rsidR="00454A29" w:rsidRDefault="00454A29">
            <w:pPr>
              <w:pStyle w:val="ConsPlusNormal"/>
            </w:pPr>
          </w:p>
        </w:tc>
      </w:tr>
      <w:tr w:rsidR="00454A29" w14:paraId="752CF563" w14:textId="77777777">
        <w:tc>
          <w:tcPr>
            <w:tcW w:w="567" w:type="dxa"/>
            <w:vMerge/>
          </w:tcPr>
          <w:p w14:paraId="31A3050E" w14:textId="77777777" w:rsidR="00454A29" w:rsidRDefault="00454A29"/>
        </w:tc>
        <w:tc>
          <w:tcPr>
            <w:tcW w:w="3345" w:type="dxa"/>
            <w:vMerge/>
          </w:tcPr>
          <w:p w14:paraId="5605AC3F" w14:textId="77777777" w:rsidR="00454A29" w:rsidRDefault="00454A29"/>
        </w:tc>
        <w:tc>
          <w:tcPr>
            <w:tcW w:w="1701" w:type="dxa"/>
            <w:vAlign w:val="center"/>
          </w:tcPr>
          <w:p w14:paraId="32ADD5A3" w14:textId="77777777" w:rsidR="00454A29" w:rsidRDefault="00454A29">
            <w:pPr>
              <w:pStyle w:val="ConsPlusNormal"/>
              <w:jc w:val="center"/>
            </w:pPr>
            <w:r>
              <w:t>2022</w:t>
            </w:r>
          </w:p>
        </w:tc>
        <w:tc>
          <w:tcPr>
            <w:tcW w:w="1417" w:type="dxa"/>
            <w:vMerge/>
          </w:tcPr>
          <w:p w14:paraId="51E9A581" w14:textId="77777777" w:rsidR="00454A29" w:rsidRDefault="00454A29"/>
        </w:tc>
        <w:tc>
          <w:tcPr>
            <w:tcW w:w="2204" w:type="dxa"/>
            <w:vMerge/>
          </w:tcPr>
          <w:p w14:paraId="0B7F3729" w14:textId="77777777" w:rsidR="00454A29" w:rsidRDefault="00454A29"/>
        </w:tc>
        <w:tc>
          <w:tcPr>
            <w:tcW w:w="1417" w:type="dxa"/>
            <w:vMerge/>
          </w:tcPr>
          <w:p w14:paraId="2A73C596" w14:textId="77777777" w:rsidR="00454A29" w:rsidRDefault="00454A29"/>
        </w:tc>
        <w:tc>
          <w:tcPr>
            <w:tcW w:w="2324" w:type="dxa"/>
            <w:vMerge/>
          </w:tcPr>
          <w:p w14:paraId="366FCCFB" w14:textId="77777777" w:rsidR="00454A29" w:rsidRDefault="00454A29"/>
        </w:tc>
        <w:tc>
          <w:tcPr>
            <w:tcW w:w="1701" w:type="dxa"/>
            <w:vAlign w:val="center"/>
          </w:tcPr>
          <w:p w14:paraId="7A178994" w14:textId="77777777" w:rsidR="00454A29" w:rsidRDefault="00454A29">
            <w:pPr>
              <w:pStyle w:val="ConsPlusNormal"/>
            </w:pPr>
          </w:p>
        </w:tc>
        <w:tc>
          <w:tcPr>
            <w:tcW w:w="1814" w:type="dxa"/>
            <w:vAlign w:val="center"/>
          </w:tcPr>
          <w:p w14:paraId="7405EF25" w14:textId="77777777" w:rsidR="00454A29" w:rsidRDefault="00454A29">
            <w:pPr>
              <w:pStyle w:val="ConsPlusNormal"/>
            </w:pPr>
          </w:p>
        </w:tc>
        <w:tc>
          <w:tcPr>
            <w:tcW w:w="1701" w:type="dxa"/>
            <w:vAlign w:val="center"/>
          </w:tcPr>
          <w:p w14:paraId="22B44C5D" w14:textId="77777777" w:rsidR="00454A29" w:rsidRDefault="00454A29">
            <w:pPr>
              <w:pStyle w:val="ConsPlusNormal"/>
            </w:pPr>
          </w:p>
        </w:tc>
        <w:tc>
          <w:tcPr>
            <w:tcW w:w="1701" w:type="dxa"/>
            <w:vAlign w:val="center"/>
          </w:tcPr>
          <w:p w14:paraId="79E2513E" w14:textId="77777777" w:rsidR="00454A29" w:rsidRDefault="00454A29">
            <w:pPr>
              <w:pStyle w:val="ConsPlusNormal"/>
            </w:pPr>
          </w:p>
        </w:tc>
        <w:tc>
          <w:tcPr>
            <w:tcW w:w="1814" w:type="dxa"/>
            <w:vAlign w:val="center"/>
          </w:tcPr>
          <w:p w14:paraId="7A539FF8" w14:textId="77777777" w:rsidR="00454A29" w:rsidRDefault="00454A29">
            <w:pPr>
              <w:pStyle w:val="ConsPlusNormal"/>
            </w:pPr>
          </w:p>
        </w:tc>
      </w:tr>
      <w:tr w:rsidR="00454A29" w14:paraId="2BEE1CF5" w14:textId="77777777">
        <w:tc>
          <w:tcPr>
            <w:tcW w:w="567" w:type="dxa"/>
            <w:vMerge/>
          </w:tcPr>
          <w:p w14:paraId="58CEC063" w14:textId="77777777" w:rsidR="00454A29" w:rsidRDefault="00454A29"/>
        </w:tc>
        <w:tc>
          <w:tcPr>
            <w:tcW w:w="3345" w:type="dxa"/>
            <w:vMerge/>
          </w:tcPr>
          <w:p w14:paraId="0EB785B0" w14:textId="77777777" w:rsidR="00454A29" w:rsidRDefault="00454A29"/>
        </w:tc>
        <w:tc>
          <w:tcPr>
            <w:tcW w:w="1701" w:type="dxa"/>
            <w:vAlign w:val="center"/>
          </w:tcPr>
          <w:p w14:paraId="31905DBF" w14:textId="77777777" w:rsidR="00454A29" w:rsidRDefault="00454A29">
            <w:pPr>
              <w:pStyle w:val="ConsPlusNormal"/>
              <w:jc w:val="center"/>
            </w:pPr>
            <w:r>
              <w:t>2023</w:t>
            </w:r>
          </w:p>
        </w:tc>
        <w:tc>
          <w:tcPr>
            <w:tcW w:w="1417" w:type="dxa"/>
            <w:vMerge/>
          </w:tcPr>
          <w:p w14:paraId="0A6933B1" w14:textId="77777777" w:rsidR="00454A29" w:rsidRDefault="00454A29"/>
        </w:tc>
        <w:tc>
          <w:tcPr>
            <w:tcW w:w="2204" w:type="dxa"/>
            <w:vMerge/>
          </w:tcPr>
          <w:p w14:paraId="00F0D5D6" w14:textId="77777777" w:rsidR="00454A29" w:rsidRDefault="00454A29"/>
        </w:tc>
        <w:tc>
          <w:tcPr>
            <w:tcW w:w="1417" w:type="dxa"/>
            <w:vMerge/>
          </w:tcPr>
          <w:p w14:paraId="32481FA0" w14:textId="77777777" w:rsidR="00454A29" w:rsidRDefault="00454A29"/>
        </w:tc>
        <w:tc>
          <w:tcPr>
            <w:tcW w:w="2324" w:type="dxa"/>
            <w:vMerge/>
          </w:tcPr>
          <w:p w14:paraId="13F20F67" w14:textId="77777777" w:rsidR="00454A29" w:rsidRDefault="00454A29"/>
        </w:tc>
        <w:tc>
          <w:tcPr>
            <w:tcW w:w="1701" w:type="dxa"/>
            <w:vAlign w:val="center"/>
          </w:tcPr>
          <w:p w14:paraId="48458BF7" w14:textId="77777777" w:rsidR="00454A29" w:rsidRDefault="00454A29">
            <w:pPr>
              <w:pStyle w:val="ConsPlusNormal"/>
              <w:jc w:val="center"/>
            </w:pPr>
            <w:r>
              <w:t>-</w:t>
            </w:r>
          </w:p>
        </w:tc>
        <w:tc>
          <w:tcPr>
            <w:tcW w:w="1814" w:type="dxa"/>
            <w:vAlign w:val="center"/>
          </w:tcPr>
          <w:p w14:paraId="2F176500" w14:textId="77777777" w:rsidR="00454A29" w:rsidRDefault="00454A29">
            <w:pPr>
              <w:pStyle w:val="ConsPlusNormal"/>
            </w:pPr>
          </w:p>
        </w:tc>
        <w:tc>
          <w:tcPr>
            <w:tcW w:w="1701" w:type="dxa"/>
            <w:vAlign w:val="center"/>
          </w:tcPr>
          <w:p w14:paraId="2F8A8020" w14:textId="77777777" w:rsidR="00454A29" w:rsidRDefault="00454A29">
            <w:pPr>
              <w:pStyle w:val="ConsPlusNormal"/>
            </w:pPr>
          </w:p>
        </w:tc>
        <w:tc>
          <w:tcPr>
            <w:tcW w:w="1701" w:type="dxa"/>
            <w:vAlign w:val="center"/>
          </w:tcPr>
          <w:p w14:paraId="6F621E45" w14:textId="77777777" w:rsidR="00454A29" w:rsidRDefault="00454A29">
            <w:pPr>
              <w:pStyle w:val="ConsPlusNormal"/>
            </w:pPr>
          </w:p>
        </w:tc>
        <w:tc>
          <w:tcPr>
            <w:tcW w:w="1814" w:type="dxa"/>
            <w:vAlign w:val="center"/>
          </w:tcPr>
          <w:p w14:paraId="22302452" w14:textId="77777777" w:rsidR="00454A29" w:rsidRDefault="00454A29">
            <w:pPr>
              <w:pStyle w:val="ConsPlusNormal"/>
            </w:pPr>
          </w:p>
        </w:tc>
      </w:tr>
      <w:tr w:rsidR="00454A29" w14:paraId="69C0B186" w14:textId="77777777">
        <w:tc>
          <w:tcPr>
            <w:tcW w:w="567" w:type="dxa"/>
            <w:vMerge/>
          </w:tcPr>
          <w:p w14:paraId="68D99B33" w14:textId="77777777" w:rsidR="00454A29" w:rsidRDefault="00454A29"/>
        </w:tc>
        <w:tc>
          <w:tcPr>
            <w:tcW w:w="3345" w:type="dxa"/>
            <w:vMerge/>
          </w:tcPr>
          <w:p w14:paraId="7F23D634" w14:textId="77777777" w:rsidR="00454A29" w:rsidRDefault="00454A29"/>
        </w:tc>
        <w:tc>
          <w:tcPr>
            <w:tcW w:w="1701" w:type="dxa"/>
            <w:vAlign w:val="center"/>
          </w:tcPr>
          <w:p w14:paraId="1CDD9190" w14:textId="77777777" w:rsidR="00454A29" w:rsidRDefault="00454A29">
            <w:pPr>
              <w:pStyle w:val="ConsPlusNormal"/>
              <w:jc w:val="center"/>
            </w:pPr>
            <w:r>
              <w:t>2024</w:t>
            </w:r>
          </w:p>
        </w:tc>
        <w:tc>
          <w:tcPr>
            <w:tcW w:w="1417" w:type="dxa"/>
            <w:vMerge/>
          </w:tcPr>
          <w:p w14:paraId="7B2600C6" w14:textId="77777777" w:rsidR="00454A29" w:rsidRDefault="00454A29"/>
        </w:tc>
        <w:tc>
          <w:tcPr>
            <w:tcW w:w="2204" w:type="dxa"/>
            <w:vMerge/>
          </w:tcPr>
          <w:p w14:paraId="7BF8A65C" w14:textId="77777777" w:rsidR="00454A29" w:rsidRDefault="00454A29"/>
        </w:tc>
        <w:tc>
          <w:tcPr>
            <w:tcW w:w="1417" w:type="dxa"/>
            <w:vMerge/>
          </w:tcPr>
          <w:p w14:paraId="0D131023" w14:textId="77777777" w:rsidR="00454A29" w:rsidRDefault="00454A29"/>
        </w:tc>
        <w:tc>
          <w:tcPr>
            <w:tcW w:w="2324" w:type="dxa"/>
            <w:vMerge/>
          </w:tcPr>
          <w:p w14:paraId="2F5EB3CE" w14:textId="77777777" w:rsidR="00454A29" w:rsidRDefault="00454A29"/>
        </w:tc>
        <w:tc>
          <w:tcPr>
            <w:tcW w:w="1701" w:type="dxa"/>
            <w:vAlign w:val="center"/>
          </w:tcPr>
          <w:p w14:paraId="5F24BC4D" w14:textId="77777777" w:rsidR="00454A29" w:rsidRDefault="00454A29">
            <w:pPr>
              <w:pStyle w:val="ConsPlusNormal"/>
            </w:pPr>
          </w:p>
        </w:tc>
        <w:tc>
          <w:tcPr>
            <w:tcW w:w="1814" w:type="dxa"/>
            <w:vAlign w:val="center"/>
          </w:tcPr>
          <w:p w14:paraId="1F58C757" w14:textId="77777777" w:rsidR="00454A29" w:rsidRDefault="00454A29">
            <w:pPr>
              <w:pStyle w:val="ConsPlusNormal"/>
            </w:pPr>
          </w:p>
        </w:tc>
        <w:tc>
          <w:tcPr>
            <w:tcW w:w="1701" w:type="dxa"/>
            <w:vAlign w:val="center"/>
          </w:tcPr>
          <w:p w14:paraId="2BE427A1" w14:textId="77777777" w:rsidR="00454A29" w:rsidRDefault="00454A29">
            <w:pPr>
              <w:pStyle w:val="ConsPlusNormal"/>
            </w:pPr>
          </w:p>
        </w:tc>
        <w:tc>
          <w:tcPr>
            <w:tcW w:w="1701" w:type="dxa"/>
            <w:vAlign w:val="center"/>
          </w:tcPr>
          <w:p w14:paraId="6AD108DA" w14:textId="77777777" w:rsidR="00454A29" w:rsidRDefault="00454A29">
            <w:pPr>
              <w:pStyle w:val="ConsPlusNormal"/>
            </w:pPr>
          </w:p>
        </w:tc>
        <w:tc>
          <w:tcPr>
            <w:tcW w:w="1814" w:type="dxa"/>
            <w:vAlign w:val="center"/>
          </w:tcPr>
          <w:p w14:paraId="704D8A54" w14:textId="77777777" w:rsidR="00454A29" w:rsidRDefault="00454A29">
            <w:pPr>
              <w:pStyle w:val="ConsPlusNormal"/>
            </w:pPr>
          </w:p>
        </w:tc>
      </w:tr>
      <w:tr w:rsidR="00454A29" w14:paraId="573E658A" w14:textId="77777777">
        <w:tc>
          <w:tcPr>
            <w:tcW w:w="567" w:type="dxa"/>
            <w:vMerge/>
          </w:tcPr>
          <w:p w14:paraId="20674902" w14:textId="77777777" w:rsidR="00454A29" w:rsidRDefault="00454A29"/>
        </w:tc>
        <w:tc>
          <w:tcPr>
            <w:tcW w:w="3345" w:type="dxa"/>
            <w:vMerge/>
          </w:tcPr>
          <w:p w14:paraId="356897B6" w14:textId="77777777" w:rsidR="00454A29" w:rsidRDefault="00454A29"/>
        </w:tc>
        <w:tc>
          <w:tcPr>
            <w:tcW w:w="1701" w:type="dxa"/>
            <w:vAlign w:val="center"/>
          </w:tcPr>
          <w:p w14:paraId="0890ED9F" w14:textId="77777777" w:rsidR="00454A29" w:rsidRDefault="00454A29">
            <w:pPr>
              <w:pStyle w:val="ConsPlusNormal"/>
              <w:jc w:val="center"/>
            </w:pPr>
            <w:r>
              <w:t>2025</w:t>
            </w:r>
          </w:p>
        </w:tc>
        <w:tc>
          <w:tcPr>
            <w:tcW w:w="1417" w:type="dxa"/>
            <w:vMerge/>
          </w:tcPr>
          <w:p w14:paraId="3AF8B1B2" w14:textId="77777777" w:rsidR="00454A29" w:rsidRDefault="00454A29"/>
        </w:tc>
        <w:tc>
          <w:tcPr>
            <w:tcW w:w="2204" w:type="dxa"/>
            <w:vMerge/>
          </w:tcPr>
          <w:p w14:paraId="71C5D7B2" w14:textId="77777777" w:rsidR="00454A29" w:rsidRDefault="00454A29"/>
        </w:tc>
        <w:tc>
          <w:tcPr>
            <w:tcW w:w="1417" w:type="dxa"/>
            <w:vMerge/>
          </w:tcPr>
          <w:p w14:paraId="4DF0C64B" w14:textId="77777777" w:rsidR="00454A29" w:rsidRDefault="00454A29"/>
        </w:tc>
        <w:tc>
          <w:tcPr>
            <w:tcW w:w="2324" w:type="dxa"/>
            <w:vMerge/>
          </w:tcPr>
          <w:p w14:paraId="28F40430" w14:textId="77777777" w:rsidR="00454A29" w:rsidRDefault="00454A29"/>
        </w:tc>
        <w:tc>
          <w:tcPr>
            <w:tcW w:w="1701" w:type="dxa"/>
            <w:vAlign w:val="center"/>
          </w:tcPr>
          <w:p w14:paraId="34517038" w14:textId="77777777" w:rsidR="00454A29" w:rsidRDefault="00454A29">
            <w:pPr>
              <w:pStyle w:val="ConsPlusNormal"/>
            </w:pPr>
          </w:p>
        </w:tc>
        <w:tc>
          <w:tcPr>
            <w:tcW w:w="1814" w:type="dxa"/>
            <w:vAlign w:val="center"/>
          </w:tcPr>
          <w:p w14:paraId="334AD276" w14:textId="77777777" w:rsidR="00454A29" w:rsidRDefault="00454A29">
            <w:pPr>
              <w:pStyle w:val="ConsPlusNormal"/>
            </w:pPr>
          </w:p>
        </w:tc>
        <w:tc>
          <w:tcPr>
            <w:tcW w:w="1701" w:type="dxa"/>
            <w:vAlign w:val="center"/>
          </w:tcPr>
          <w:p w14:paraId="5878C298" w14:textId="77777777" w:rsidR="00454A29" w:rsidRDefault="00454A29">
            <w:pPr>
              <w:pStyle w:val="ConsPlusNormal"/>
            </w:pPr>
          </w:p>
        </w:tc>
        <w:tc>
          <w:tcPr>
            <w:tcW w:w="1701" w:type="dxa"/>
            <w:vAlign w:val="center"/>
          </w:tcPr>
          <w:p w14:paraId="2BCE373B" w14:textId="77777777" w:rsidR="00454A29" w:rsidRDefault="00454A29">
            <w:pPr>
              <w:pStyle w:val="ConsPlusNormal"/>
            </w:pPr>
          </w:p>
        </w:tc>
        <w:tc>
          <w:tcPr>
            <w:tcW w:w="1814" w:type="dxa"/>
            <w:vAlign w:val="center"/>
          </w:tcPr>
          <w:p w14:paraId="2129AF7F" w14:textId="77777777" w:rsidR="00454A29" w:rsidRDefault="00454A29">
            <w:pPr>
              <w:pStyle w:val="ConsPlusNormal"/>
            </w:pPr>
          </w:p>
        </w:tc>
      </w:tr>
      <w:tr w:rsidR="00454A29" w14:paraId="2467375D" w14:textId="77777777">
        <w:tc>
          <w:tcPr>
            <w:tcW w:w="567" w:type="dxa"/>
            <w:vMerge/>
          </w:tcPr>
          <w:p w14:paraId="0FCA4723" w14:textId="77777777" w:rsidR="00454A29" w:rsidRDefault="00454A29"/>
        </w:tc>
        <w:tc>
          <w:tcPr>
            <w:tcW w:w="3345" w:type="dxa"/>
            <w:vMerge/>
          </w:tcPr>
          <w:p w14:paraId="5E17C1AF" w14:textId="77777777" w:rsidR="00454A29" w:rsidRDefault="00454A29"/>
        </w:tc>
        <w:tc>
          <w:tcPr>
            <w:tcW w:w="1701" w:type="dxa"/>
            <w:vAlign w:val="center"/>
          </w:tcPr>
          <w:p w14:paraId="506E4AB6" w14:textId="77777777" w:rsidR="00454A29" w:rsidRDefault="00454A29">
            <w:pPr>
              <w:pStyle w:val="ConsPlusNormal"/>
              <w:jc w:val="center"/>
            </w:pPr>
            <w:r>
              <w:t>2026</w:t>
            </w:r>
          </w:p>
        </w:tc>
        <w:tc>
          <w:tcPr>
            <w:tcW w:w="1417" w:type="dxa"/>
            <w:vMerge/>
          </w:tcPr>
          <w:p w14:paraId="323516CA" w14:textId="77777777" w:rsidR="00454A29" w:rsidRDefault="00454A29"/>
        </w:tc>
        <w:tc>
          <w:tcPr>
            <w:tcW w:w="2204" w:type="dxa"/>
            <w:vMerge/>
          </w:tcPr>
          <w:p w14:paraId="39B801B9" w14:textId="77777777" w:rsidR="00454A29" w:rsidRDefault="00454A29"/>
        </w:tc>
        <w:tc>
          <w:tcPr>
            <w:tcW w:w="1417" w:type="dxa"/>
            <w:vMerge/>
          </w:tcPr>
          <w:p w14:paraId="6326F4D7" w14:textId="77777777" w:rsidR="00454A29" w:rsidRDefault="00454A29"/>
        </w:tc>
        <w:tc>
          <w:tcPr>
            <w:tcW w:w="2324" w:type="dxa"/>
            <w:vMerge/>
          </w:tcPr>
          <w:p w14:paraId="688BC5C1" w14:textId="77777777" w:rsidR="00454A29" w:rsidRDefault="00454A29"/>
        </w:tc>
        <w:tc>
          <w:tcPr>
            <w:tcW w:w="1701" w:type="dxa"/>
            <w:vAlign w:val="center"/>
          </w:tcPr>
          <w:p w14:paraId="552E5B4C" w14:textId="77777777" w:rsidR="00454A29" w:rsidRDefault="00454A29">
            <w:pPr>
              <w:pStyle w:val="ConsPlusNormal"/>
              <w:jc w:val="center"/>
            </w:pPr>
            <w:r>
              <w:t>1 367 070,39</w:t>
            </w:r>
          </w:p>
        </w:tc>
        <w:tc>
          <w:tcPr>
            <w:tcW w:w="1814" w:type="dxa"/>
            <w:vAlign w:val="center"/>
          </w:tcPr>
          <w:p w14:paraId="6E7158CF" w14:textId="77777777" w:rsidR="00454A29" w:rsidRDefault="00454A29">
            <w:pPr>
              <w:pStyle w:val="ConsPlusNormal"/>
              <w:jc w:val="center"/>
            </w:pPr>
            <w:r>
              <w:t>16 842,31</w:t>
            </w:r>
          </w:p>
        </w:tc>
        <w:tc>
          <w:tcPr>
            <w:tcW w:w="1701" w:type="dxa"/>
            <w:vAlign w:val="center"/>
          </w:tcPr>
          <w:p w14:paraId="0D68F41D" w14:textId="77777777" w:rsidR="00454A29" w:rsidRDefault="00454A29">
            <w:pPr>
              <w:pStyle w:val="ConsPlusNormal"/>
              <w:jc w:val="center"/>
            </w:pPr>
            <w:r>
              <w:t>1 667 388,41</w:t>
            </w:r>
          </w:p>
        </w:tc>
        <w:tc>
          <w:tcPr>
            <w:tcW w:w="1701" w:type="dxa"/>
            <w:vAlign w:val="center"/>
          </w:tcPr>
          <w:p w14:paraId="0E69BA34" w14:textId="77777777" w:rsidR="00454A29" w:rsidRDefault="00454A29">
            <w:pPr>
              <w:pStyle w:val="ConsPlusNormal"/>
            </w:pPr>
          </w:p>
        </w:tc>
        <w:tc>
          <w:tcPr>
            <w:tcW w:w="1814" w:type="dxa"/>
            <w:vAlign w:val="center"/>
          </w:tcPr>
          <w:p w14:paraId="0919232D" w14:textId="77777777" w:rsidR="00454A29" w:rsidRDefault="00454A29">
            <w:pPr>
              <w:pStyle w:val="ConsPlusNormal"/>
            </w:pPr>
          </w:p>
        </w:tc>
      </w:tr>
      <w:tr w:rsidR="00454A29" w14:paraId="75E0764C" w14:textId="77777777">
        <w:tc>
          <w:tcPr>
            <w:tcW w:w="567" w:type="dxa"/>
            <w:vMerge w:val="restart"/>
            <w:vAlign w:val="center"/>
          </w:tcPr>
          <w:p w14:paraId="26C39F3D" w14:textId="77777777" w:rsidR="00454A29" w:rsidRDefault="00454A29">
            <w:pPr>
              <w:pStyle w:val="ConsPlusNormal"/>
              <w:jc w:val="center"/>
            </w:pPr>
            <w:r>
              <w:t>188</w:t>
            </w:r>
          </w:p>
        </w:tc>
        <w:tc>
          <w:tcPr>
            <w:tcW w:w="3345" w:type="dxa"/>
            <w:vMerge w:val="restart"/>
            <w:vAlign w:val="center"/>
          </w:tcPr>
          <w:p w14:paraId="39C0A055" w14:textId="77777777" w:rsidR="00454A29" w:rsidRDefault="00454A29">
            <w:pPr>
              <w:pStyle w:val="ConsPlusNormal"/>
              <w:jc w:val="center"/>
            </w:pPr>
            <w:r>
              <w:t xml:space="preserve">Школа на 990 учащихся в г. </w:t>
            </w:r>
            <w:r>
              <w:lastRenderedPageBreak/>
              <w:t>Якутске</w:t>
            </w:r>
          </w:p>
        </w:tc>
        <w:tc>
          <w:tcPr>
            <w:tcW w:w="1701" w:type="dxa"/>
            <w:vAlign w:val="center"/>
          </w:tcPr>
          <w:p w14:paraId="2DD3A70F" w14:textId="77777777" w:rsidR="00454A29" w:rsidRDefault="00454A29">
            <w:pPr>
              <w:pStyle w:val="ConsPlusNormal"/>
              <w:jc w:val="center"/>
            </w:pPr>
            <w:r>
              <w:lastRenderedPageBreak/>
              <w:t xml:space="preserve">2020 - 2026 годы </w:t>
            </w:r>
            <w:r>
              <w:lastRenderedPageBreak/>
              <w:t>- всего</w:t>
            </w:r>
          </w:p>
        </w:tc>
        <w:tc>
          <w:tcPr>
            <w:tcW w:w="1417" w:type="dxa"/>
            <w:vMerge w:val="restart"/>
            <w:vAlign w:val="center"/>
          </w:tcPr>
          <w:p w14:paraId="2BBCBD8C" w14:textId="77777777" w:rsidR="00454A29" w:rsidRDefault="00454A29">
            <w:pPr>
              <w:pStyle w:val="ConsPlusNormal"/>
              <w:jc w:val="center"/>
            </w:pPr>
            <w:r>
              <w:lastRenderedPageBreak/>
              <w:t>1 367 070,39</w:t>
            </w:r>
          </w:p>
        </w:tc>
        <w:tc>
          <w:tcPr>
            <w:tcW w:w="2204" w:type="dxa"/>
            <w:vMerge w:val="restart"/>
            <w:vAlign w:val="center"/>
          </w:tcPr>
          <w:p w14:paraId="02C06833" w14:textId="77777777" w:rsidR="00454A29" w:rsidRDefault="00454A29">
            <w:pPr>
              <w:pStyle w:val="ConsPlusNormal"/>
            </w:pPr>
          </w:p>
        </w:tc>
        <w:tc>
          <w:tcPr>
            <w:tcW w:w="1417" w:type="dxa"/>
            <w:vMerge w:val="restart"/>
            <w:vAlign w:val="center"/>
          </w:tcPr>
          <w:p w14:paraId="2A6A12D1" w14:textId="77777777" w:rsidR="00454A29" w:rsidRDefault="00454A29">
            <w:pPr>
              <w:pStyle w:val="ConsPlusNormal"/>
              <w:jc w:val="center"/>
            </w:pPr>
            <w:r>
              <w:t>990</w:t>
            </w:r>
          </w:p>
        </w:tc>
        <w:tc>
          <w:tcPr>
            <w:tcW w:w="2324" w:type="dxa"/>
            <w:vMerge w:val="restart"/>
            <w:vAlign w:val="center"/>
          </w:tcPr>
          <w:p w14:paraId="4260AECD" w14:textId="77777777" w:rsidR="00454A29" w:rsidRDefault="00454A29">
            <w:pPr>
              <w:pStyle w:val="ConsPlusNormal"/>
              <w:jc w:val="center"/>
            </w:pPr>
            <w:r>
              <w:t xml:space="preserve">Минстрой РС(Я), ГКУ </w:t>
            </w:r>
            <w:r>
              <w:lastRenderedPageBreak/>
              <w:t>"Служба государственного заказчика Республики Саха (Якутия)"</w:t>
            </w:r>
          </w:p>
        </w:tc>
        <w:tc>
          <w:tcPr>
            <w:tcW w:w="1701" w:type="dxa"/>
            <w:vAlign w:val="center"/>
          </w:tcPr>
          <w:p w14:paraId="121EB4E9" w14:textId="77777777" w:rsidR="00454A29" w:rsidRDefault="00454A29">
            <w:pPr>
              <w:pStyle w:val="ConsPlusNormal"/>
              <w:jc w:val="center"/>
            </w:pPr>
            <w:r>
              <w:lastRenderedPageBreak/>
              <w:t>1 367 070,39</w:t>
            </w:r>
          </w:p>
        </w:tc>
        <w:tc>
          <w:tcPr>
            <w:tcW w:w="1814" w:type="dxa"/>
            <w:vAlign w:val="center"/>
          </w:tcPr>
          <w:p w14:paraId="3F0EF83B" w14:textId="77777777" w:rsidR="00454A29" w:rsidRDefault="00454A29">
            <w:pPr>
              <w:pStyle w:val="ConsPlusNormal"/>
              <w:jc w:val="center"/>
            </w:pPr>
            <w:r>
              <w:t>16 842,31</w:t>
            </w:r>
          </w:p>
        </w:tc>
        <w:tc>
          <w:tcPr>
            <w:tcW w:w="1701" w:type="dxa"/>
            <w:vAlign w:val="center"/>
          </w:tcPr>
          <w:p w14:paraId="3C55C201" w14:textId="77777777" w:rsidR="00454A29" w:rsidRDefault="00454A29">
            <w:pPr>
              <w:pStyle w:val="ConsPlusNormal"/>
              <w:jc w:val="center"/>
            </w:pPr>
            <w:r>
              <w:t>1 667 388,41</w:t>
            </w:r>
          </w:p>
        </w:tc>
        <w:tc>
          <w:tcPr>
            <w:tcW w:w="1701" w:type="dxa"/>
            <w:vAlign w:val="center"/>
          </w:tcPr>
          <w:p w14:paraId="410080A5" w14:textId="77777777" w:rsidR="00454A29" w:rsidRDefault="00454A29">
            <w:pPr>
              <w:pStyle w:val="ConsPlusNormal"/>
              <w:jc w:val="center"/>
            </w:pPr>
            <w:r>
              <w:t>-</w:t>
            </w:r>
          </w:p>
        </w:tc>
        <w:tc>
          <w:tcPr>
            <w:tcW w:w="1814" w:type="dxa"/>
            <w:vAlign w:val="center"/>
          </w:tcPr>
          <w:p w14:paraId="4B542371" w14:textId="77777777" w:rsidR="00454A29" w:rsidRDefault="00454A29">
            <w:pPr>
              <w:pStyle w:val="ConsPlusNormal"/>
              <w:jc w:val="center"/>
            </w:pPr>
            <w:r>
              <w:t>-</w:t>
            </w:r>
          </w:p>
        </w:tc>
      </w:tr>
      <w:tr w:rsidR="00454A29" w14:paraId="742EF235" w14:textId="77777777">
        <w:tc>
          <w:tcPr>
            <w:tcW w:w="567" w:type="dxa"/>
            <w:vMerge/>
          </w:tcPr>
          <w:p w14:paraId="3F27300E" w14:textId="77777777" w:rsidR="00454A29" w:rsidRDefault="00454A29"/>
        </w:tc>
        <w:tc>
          <w:tcPr>
            <w:tcW w:w="3345" w:type="dxa"/>
            <w:vMerge/>
          </w:tcPr>
          <w:p w14:paraId="5D6B5908" w14:textId="77777777" w:rsidR="00454A29" w:rsidRDefault="00454A29"/>
        </w:tc>
        <w:tc>
          <w:tcPr>
            <w:tcW w:w="1701" w:type="dxa"/>
            <w:vAlign w:val="center"/>
          </w:tcPr>
          <w:p w14:paraId="7A4380D6" w14:textId="77777777" w:rsidR="00454A29" w:rsidRDefault="00454A29">
            <w:pPr>
              <w:pStyle w:val="ConsPlusNormal"/>
              <w:jc w:val="center"/>
            </w:pPr>
            <w:r>
              <w:t>2020</w:t>
            </w:r>
          </w:p>
        </w:tc>
        <w:tc>
          <w:tcPr>
            <w:tcW w:w="1417" w:type="dxa"/>
            <w:vMerge/>
          </w:tcPr>
          <w:p w14:paraId="0AB29864" w14:textId="77777777" w:rsidR="00454A29" w:rsidRDefault="00454A29"/>
        </w:tc>
        <w:tc>
          <w:tcPr>
            <w:tcW w:w="2204" w:type="dxa"/>
            <w:vMerge/>
          </w:tcPr>
          <w:p w14:paraId="008CF78B" w14:textId="77777777" w:rsidR="00454A29" w:rsidRDefault="00454A29"/>
        </w:tc>
        <w:tc>
          <w:tcPr>
            <w:tcW w:w="1417" w:type="dxa"/>
            <w:vMerge/>
          </w:tcPr>
          <w:p w14:paraId="3B01405A" w14:textId="77777777" w:rsidR="00454A29" w:rsidRDefault="00454A29"/>
        </w:tc>
        <w:tc>
          <w:tcPr>
            <w:tcW w:w="2324" w:type="dxa"/>
            <w:vMerge/>
          </w:tcPr>
          <w:p w14:paraId="3A0E80A8" w14:textId="77777777" w:rsidR="00454A29" w:rsidRDefault="00454A29"/>
        </w:tc>
        <w:tc>
          <w:tcPr>
            <w:tcW w:w="1701" w:type="dxa"/>
            <w:vAlign w:val="center"/>
          </w:tcPr>
          <w:p w14:paraId="596A88AB" w14:textId="77777777" w:rsidR="00454A29" w:rsidRDefault="00454A29">
            <w:pPr>
              <w:pStyle w:val="ConsPlusNormal"/>
            </w:pPr>
          </w:p>
        </w:tc>
        <w:tc>
          <w:tcPr>
            <w:tcW w:w="1814" w:type="dxa"/>
            <w:vAlign w:val="center"/>
          </w:tcPr>
          <w:p w14:paraId="6709E794" w14:textId="77777777" w:rsidR="00454A29" w:rsidRDefault="00454A29">
            <w:pPr>
              <w:pStyle w:val="ConsPlusNormal"/>
            </w:pPr>
          </w:p>
        </w:tc>
        <w:tc>
          <w:tcPr>
            <w:tcW w:w="1701" w:type="dxa"/>
            <w:vAlign w:val="center"/>
          </w:tcPr>
          <w:p w14:paraId="02060258" w14:textId="77777777" w:rsidR="00454A29" w:rsidRDefault="00454A29">
            <w:pPr>
              <w:pStyle w:val="ConsPlusNormal"/>
            </w:pPr>
          </w:p>
        </w:tc>
        <w:tc>
          <w:tcPr>
            <w:tcW w:w="1701" w:type="dxa"/>
            <w:vAlign w:val="center"/>
          </w:tcPr>
          <w:p w14:paraId="3B949AD3" w14:textId="77777777" w:rsidR="00454A29" w:rsidRDefault="00454A29">
            <w:pPr>
              <w:pStyle w:val="ConsPlusNormal"/>
            </w:pPr>
          </w:p>
        </w:tc>
        <w:tc>
          <w:tcPr>
            <w:tcW w:w="1814" w:type="dxa"/>
            <w:vAlign w:val="center"/>
          </w:tcPr>
          <w:p w14:paraId="4F04549D" w14:textId="77777777" w:rsidR="00454A29" w:rsidRDefault="00454A29">
            <w:pPr>
              <w:pStyle w:val="ConsPlusNormal"/>
            </w:pPr>
          </w:p>
        </w:tc>
      </w:tr>
      <w:tr w:rsidR="00454A29" w14:paraId="54A67E0E" w14:textId="77777777">
        <w:tc>
          <w:tcPr>
            <w:tcW w:w="567" w:type="dxa"/>
            <w:vMerge/>
          </w:tcPr>
          <w:p w14:paraId="480EE007" w14:textId="77777777" w:rsidR="00454A29" w:rsidRDefault="00454A29"/>
        </w:tc>
        <w:tc>
          <w:tcPr>
            <w:tcW w:w="3345" w:type="dxa"/>
            <w:vMerge/>
          </w:tcPr>
          <w:p w14:paraId="7DB54149" w14:textId="77777777" w:rsidR="00454A29" w:rsidRDefault="00454A29"/>
        </w:tc>
        <w:tc>
          <w:tcPr>
            <w:tcW w:w="1701" w:type="dxa"/>
            <w:vAlign w:val="center"/>
          </w:tcPr>
          <w:p w14:paraId="2D967812" w14:textId="77777777" w:rsidR="00454A29" w:rsidRDefault="00454A29">
            <w:pPr>
              <w:pStyle w:val="ConsPlusNormal"/>
              <w:jc w:val="center"/>
            </w:pPr>
            <w:r>
              <w:t>2021</w:t>
            </w:r>
          </w:p>
        </w:tc>
        <w:tc>
          <w:tcPr>
            <w:tcW w:w="1417" w:type="dxa"/>
            <w:vMerge/>
          </w:tcPr>
          <w:p w14:paraId="00890968" w14:textId="77777777" w:rsidR="00454A29" w:rsidRDefault="00454A29"/>
        </w:tc>
        <w:tc>
          <w:tcPr>
            <w:tcW w:w="2204" w:type="dxa"/>
            <w:vMerge/>
          </w:tcPr>
          <w:p w14:paraId="243A9D78" w14:textId="77777777" w:rsidR="00454A29" w:rsidRDefault="00454A29"/>
        </w:tc>
        <w:tc>
          <w:tcPr>
            <w:tcW w:w="1417" w:type="dxa"/>
            <w:vMerge/>
          </w:tcPr>
          <w:p w14:paraId="77B7D165" w14:textId="77777777" w:rsidR="00454A29" w:rsidRDefault="00454A29"/>
        </w:tc>
        <w:tc>
          <w:tcPr>
            <w:tcW w:w="2324" w:type="dxa"/>
            <w:vMerge/>
          </w:tcPr>
          <w:p w14:paraId="61E8FC00" w14:textId="77777777" w:rsidR="00454A29" w:rsidRDefault="00454A29"/>
        </w:tc>
        <w:tc>
          <w:tcPr>
            <w:tcW w:w="1701" w:type="dxa"/>
            <w:vAlign w:val="center"/>
          </w:tcPr>
          <w:p w14:paraId="4218683D" w14:textId="77777777" w:rsidR="00454A29" w:rsidRDefault="00454A29">
            <w:pPr>
              <w:pStyle w:val="ConsPlusNormal"/>
              <w:jc w:val="center"/>
            </w:pPr>
            <w:r>
              <w:t>-</w:t>
            </w:r>
          </w:p>
        </w:tc>
        <w:tc>
          <w:tcPr>
            <w:tcW w:w="1814" w:type="dxa"/>
            <w:vAlign w:val="center"/>
          </w:tcPr>
          <w:p w14:paraId="3D63B6A4" w14:textId="77777777" w:rsidR="00454A29" w:rsidRDefault="00454A29">
            <w:pPr>
              <w:pStyle w:val="ConsPlusNormal"/>
            </w:pPr>
          </w:p>
        </w:tc>
        <w:tc>
          <w:tcPr>
            <w:tcW w:w="1701" w:type="dxa"/>
            <w:vAlign w:val="center"/>
          </w:tcPr>
          <w:p w14:paraId="35627A2F" w14:textId="77777777" w:rsidR="00454A29" w:rsidRDefault="00454A29">
            <w:pPr>
              <w:pStyle w:val="ConsPlusNormal"/>
            </w:pPr>
          </w:p>
        </w:tc>
        <w:tc>
          <w:tcPr>
            <w:tcW w:w="1701" w:type="dxa"/>
            <w:vAlign w:val="center"/>
          </w:tcPr>
          <w:p w14:paraId="1DF6374A" w14:textId="77777777" w:rsidR="00454A29" w:rsidRDefault="00454A29">
            <w:pPr>
              <w:pStyle w:val="ConsPlusNormal"/>
            </w:pPr>
          </w:p>
        </w:tc>
        <w:tc>
          <w:tcPr>
            <w:tcW w:w="1814" w:type="dxa"/>
            <w:vAlign w:val="center"/>
          </w:tcPr>
          <w:p w14:paraId="09B3E009" w14:textId="77777777" w:rsidR="00454A29" w:rsidRDefault="00454A29">
            <w:pPr>
              <w:pStyle w:val="ConsPlusNormal"/>
            </w:pPr>
          </w:p>
        </w:tc>
      </w:tr>
      <w:tr w:rsidR="00454A29" w14:paraId="52088A9E" w14:textId="77777777">
        <w:tc>
          <w:tcPr>
            <w:tcW w:w="567" w:type="dxa"/>
            <w:vMerge/>
          </w:tcPr>
          <w:p w14:paraId="123EAF30" w14:textId="77777777" w:rsidR="00454A29" w:rsidRDefault="00454A29"/>
        </w:tc>
        <w:tc>
          <w:tcPr>
            <w:tcW w:w="3345" w:type="dxa"/>
            <w:vMerge/>
          </w:tcPr>
          <w:p w14:paraId="09D37E96" w14:textId="77777777" w:rsidR="00454A29" w:rsidRDefault="00454A29"/>
        </w:tc>
        <w:tc>
          <w:tcPr>
            <w:tcW w:w="1701" w:type="dxa"/>
            <w:vAlign w:val="center"/>
          </w:tcPr>
          <w:p w14:paraId="11ABF22C" w14:textId="77777777" w:rsidR="00454A29" w:rsidRDefault="00454A29">
            <w:pPr>
              <w:pStyle w:val="ConsPlusNormal"/>
              <w:jc w:val="center"/>
            </w:pPr>
            <w:r>
              <w:t>2022</w:t>
            </w:r>
          </w:p>
        </w:tc>
        <w:tc>
          <w:tcPr>
            <w:tcW w:w="1417" w:type="dxa"/>
            <w:vMerge/>
          </w:tcPr>
          <w:p w14:paraId="0C7645DF" w14:textId="77777777" w:rsidR="00454A29" w:rsidRDefault="00454A29"/>
        </w:tc>
        <w:tc>
          <w:tcPr>
            <w:tcW w:w="2204" w:type="dxa"/>
            <w:vMerge/>
          </w:tcPr>
          <w:p w14:paraId="30634538" w14:textId="77777777" w:rsidR="00454A29" w:rsidRDefault="00454A29"/>
        </w:tc>
        <w:tc>
          <w:tcPr>
            <w:tcW w:w="1417" w:type="dxa"/>
            <w:vMerge/>
          </w:tcPr>
          <w:p w14:paraId="6B633A93" w14:textId="77777777" w:rsidR="00454A29" w:rsidRDefault="00454A29"/>
        </w:tc>
        <w:tc>
          <w:tcPr>
            <w:tcW w:w="2324" w:type="dxa"/>
            <w:vMerge/>
          </w:tcPr>
          <w:p w14:paraId="58CB134F" w14:textId="77777777" w:rsidR="00454A29" w:rsidRDefault="00454A29"/>
        </w:tc>
        <w:tc>
          <w:tcPr>
            <w:tcW w:w="1701" w:type="dxa"/>
            <w:vAlign w:val="center"/>
          </w:tcPr>
          <w:p w14:paraId="01B0ABEC" w14:textId="77777777" w:rsidR="00454A29" w:rsidRDefault="00454A29">
            <w:pPr>
              <w:pStyle w:val="ConsPlusNormal"/>
            </w:pPr>
          </w:p>
        </w:tc>
        <w:tc>
          <w:tcPr>
            <w:tcW w:w="1814" w:type="dxa"/>
            <w:vAlign w:val="center"/>
          </w:tcPr>
          <w:p w14:paraId="71C037A0" w14:textId="77777777" w:rsidR="00454A29" w:rsidRDefault="00454A29">
            <w:pPr>
              <w:pStyle w:val="ConsPlusNormal"/>
            </w:pPr>
          </w:p>
        </w:tc>
        <w:tc>
          <w:tcPr>
            <w:tcW w:w="1701" w:type="dxa"/>
            <w:vAlign w:val="center"/>
          </w:tcPr>
          <w:p w14:paraId="7622EC7C" w14:textId="77777777" w:rsidR="00454A29" w:rsidRDefault="00454A29">
            <w:pPr>
              <w:pStyle w:val="ConsPlusNormal"/>
            </w:pPr>
          </w:p>
        </w:tc>
        <w:tc>
          <w:tcPr>
            <w:tcW w:w="1701" w:type="dxa"/>
            <w:vAlign w:val="center"/>
          </w:tcPr>
          <w:p w14:paraId="34D74F74" w14:textId="77777777" w:rsidR="00454A29" w:rsidRDefault="00454A29">
            <w:pPr>
              <w:pStyle w:val="ConsPlusNormal"/>
            </w:pPr>
          </w:p>
        </w:tc>
        <w:tc>
          <w:tcPr>
            <w:tcW w:w="1814" w:type="dxa"/>
            <w:vAlign w:val="center"/>
          </w:tcPr>
          <w:p w14:paraId="430FD91A" w14:textId="77777777" w:rsidR="00454A29" w:rsidRDefault="00454A29">
            <w:pPr>
              <w:pStyle w:val="ConsPlusNormal"/>
            </w:pPr>
          </w:p>
        </w:tc>
      </w:tr>
      <w:tr w:rsidR="00454A29" w14:paraId="57E6753C" w14:textId="77777777">
        <w:tc>
          <w:tcPr>
            <w:tcW w:w="567" w:type="dxa"/>
            <w:vMerge/>
          </w:tcPr>
          <w:p w14:paraId="2CBAB6E0" w14:textId="77777777" w:rsidR="00454A29" w:rsidRDefault="00454A29"/>
        </w:tc>
        <w:tc>
          <w:tcPr>
            <w:tcW w:w="3345" w:type="dxa"/>
            <w:vMerge/>
          </w:tcPr>
          <w:p w14:paraId="1206834C" w14:textId="77777777" w:rsidR="00454A29" w:rsidRDefault="00454A29"/>
        </w:tc>
        <w:tc>
          <w:tcPr>
            <w:tcW w:w="1701" w:type="dxa"/>
            <w:vAlign w:val="center"/>
          </w:tcPr>
          <w:p w14:paraId="1EE7BEDF" w14:textId="77777777" w:rsidR="00454A29" w:rsidRDefault="00454A29">
            <w:pPr>
              <w:pStyle w:val="ConsPlusNormal"/>
              <w:jc w:val="center"/>
            </w:pPr>
            <w:r>
              <w:t>2023</w:t>
            </w:r>
          </w:p>
        </w:tc>
        <w:tc>
          <w:tcPr>
            <w:tcW w:w="1417" w:type="dxa"/>
            <w:vMerge/>
          </w:tcPr>
          <w:p w14:paraId="3B9236B2" w14:textId="77777777" w:rsidR="00454A29" w:rsidRDefault="00454A29"/>
        </w:tc>
        <w:tc>
          <w:tcPr>
            <w:tcW w:w="2204" w:type="dxa"/>
            <w:vMerge/>
          </w:tcPr>
          <w:p w14:paraId="734921A7" w14:textId="77777777" w:rsidR="00454A29" w:rsidRDefault="00454A29"/>
        </w:tc>
        <w:tc>
          <w:tcPr>
            <w:tcW w:w="1417" w:type="dxa"/>
            <w:vMerge/>
          </w:tcPr>
          <w:p w14:paraId="579CFF73" w14:textId="77777777" w:rsidR="00454A29" w:rsidRDefault="00454A29"/>
        </w:tc>
        <w:tc>
          <w:tcPr>
            <w:tcW w:w="2324" w:type="dxa"/>
            <w:vMerge/>
          </w:tcPr>
          <w:p w14:paraId="3D00BB50" w14:textId="77777777" w:rsidR="00454A29" w:rsidRDefault="00454A29"/>
        </w:tc>
        <w:tc>
          <w:tcPr>
            <w:tcW w:w="1701" w:type="dxa"/>
            <w:vAlign w:val="center"/>
          </w:tcPr>
          <w:p w14:paraId="601ED26A" w14:textId="77777777" w:rsidR="00454A29" w:rsidRDefault="00454A29">
            <w:pPr>
              <w:pStyle w:val="ConsPlusNormal"/>
            </w:pPr>
          </w:p>
        </w:tc>
        <w:tc>
          <w:tcPr>
            <w:tcW w:w="1814" w:type="dxa"/>
            <w:tcBorders>
              <w:right w:val="nil"/>
            </w:tcBorders>
            <w:vAlign w:val="center"/>
          </w:tcPr>
          <w:p w14:paraId="197B0AFF" w14:textId="77777777" w:rsidR="00454A29" w:rsidRDefault="00454A29">
            <w:pPr>
              <w:pStyle w:val="ConsPlusNormal"/>
            </w:pPr>
          </w:p>
        </w:tc>
        <w:tc>
          <w:tcPr>
            <w:tcW w:w="1701" w:type="dxa"/>
            <w:tcBorders>
              <w:left w:val="nil"/>
            </w:tcBorders>
            <w:vAlign w:val="center"/>
          </w:tcPr>
          <w:p w14:paraId="20618DFD" w14:textId="77777777" w:rsidR="00454A29" w:rsidRDefault="00454A29">
            <w:pPr>
              <w:pStyle w:val="ConsPlusNormal"/>
            </w:pPr>
          </w:p>
        </w:tc>
        <w:tc>
          <w:tcPr>
            <w:tcW w:w="1701" w:type="dxa"/>
            <w:vAlign w:val="center"/>
          </w:tcPr>
          <w:p w14:paraId="5990E2F9" w14:textId="77777777" w:rsidR="00454A29" w:rsidRDefault="00454A29">
            <w:pPr>
              <w:pStyle w:val="ConsPlusNormal"/>
            </w:pPr>
          </w:p>
        </w:tc>
        <w:tc>
          <w:tcPr>
            <w:tcW w:w="1814" w:type="dxa"/>
            <w:vAlign w:val="center"/>
          </w:tcPr>
          <w:p w14:paraId="26604FE9" w14:textId="77777777" w:rsidR="00454A29" w:rsidRDefault="00454A29">
            <w:pPr>
              <w:pStyle w:val="ConsPlusNormal"/>
            </w:pPr>
          </w:p>
        </w:tc>
      </w:tr>
      <w:tr w:rsidR="00454A29" w14:paraId="5F7F9674" w14:textId="77777777">
        <w:tc>
          <w:tcPr>
            <w:tcW w:w="567" w:type="dxa"/>
            <w:vMerge/>
          </w:tcPr>
          <w:p w14:paraId="3F2C6599" w14:textId="77777777" w:rsidR="00454A29" w:rsidRDefault="00454A29"/>
        </w:tc>
        <w:tc>
          <w:tcPr>
            <w:tcW w:w="3345" w:type="dxa"/>
            <w:vMerge/>
          </w:tcPr>
          <w:p w14:paraId="25428084" w14:textId="77777777" w:rsidR="00454A29" w:rsidRDefault="00454A29"/>
        </w:tc>
        <w:tc>
          <w:tcPr>
            <w:tcW w:w="1701" w:type="dxa"/>
            <w:vAlign w:val="center"/>
          </w:tcPr>
          <w:p w14:paraId="03490AF1" w14:textId="77777777" w:rsidR="00454A29" w:rsidRDefault="00454A29">
            <w:pPr>
              <w:pStyle w:val="ConsPlusNormal"/>
              <w:jc w:val="center"/>
            </w:pPr>
            <w:r>
              <w:t>2024</w:t>
            </w:r>
          </w:p>
        </w:tc>
        <w:tc>
          <w:tcPr>
            <w:tcW w:w="1417" w:type="dxa"/>
            <w:vMerge/>
          </w:tcPr>
          <w:p w14:paraId="243581DD" w14:textId="77777777" w:rsidR="00454A29" w:rsidRDefault="00454A29"/>
        </w:tc>
        <w:tc>
          <w:tcPr>
            <w:tcW w:w="2204" w:type="dxa"/>
            <w:vMerge/>
          </w:tcPr>
          <w:p w14:paraId="33C3CB9D" w14:textId="77777777" w:rsidR="00454A29" w:rsidRDefault="00454A29"/>
        </w:tc>
        <w:tc>
          <w:tcPr>
            <w:tcW w:w="1417" w:type="dxa"/>
            <w:vMerge/>
          </w:tcPr>
          <w:p w14:paraId="796705B9" w14:textId="77777777" w:rsidR="00454A29" w:rsidRDefault="00454A29"/>
        </w:tc>
        <w:tc>
          <w:tcPr>
            <w:tcW w:w="2324" w:type="dxa"/>
            <w:vMerge/>
          </w:tcPr>
          <w:p w14:paraId="00537330" w14:textId="77777777" w:rsidR="00454A29" w:rsidRDefault="00454A29"/>
        </w:tc>
        <w:tc>
          <w:tcPr>
            <w:tcW w:w="1701" w:type="dxa"/>
            <w:vAlign w:val="center"/>
          </w:tcPr>
          <w:p w14:paraId="1C7697FC" w14:textId="77777777" w:rsidR="00454A29" w:rsidRDefault="00454A29">
            <w:pPr>
              <w:pStyle w:val="ConsPlusNormal"/>
            </w:pPr>
          </w:p>
        </w:tc>
        <w:tc>
          <w:tcPr>
            <w:tcW w:w="1814" w:type="dxa"/>
            <w:vAlign w:val="center"/>
          </w:tcPr>
          <w:p w14:paraId="0CB16416" w14:textId="77777777" w:rsidR="00454A29" w:rsidRDefault="00454A29">
            <w:pPr>
              <w:pStyle w:val="ConsPlusNormal"/>
            </w:pPr>
          </w:p>
        </w:tc>
        <w:tc>
          <w:tcPr>
            <w:tcW w:w="1701" w:type="dxa"/>
            <w:vAlign w:val="center"/>
          </w:tcPr>
          <w:p w14:paraId="0C595113" w14:textId="77777777" w:rsidR="00454A29" w:rsidRDefault="00454A29">
            <w:pPr>
              <w:pStyle w:val="ConsPlusNormal"/>
            </w:pPr>
          </w:p>
        </w:tc>
        <w:tc>
          <w:tcPr>
            <w:tcW w:w="1701" w:type="dxa"/>
            <w:vAlign w:val="center"/>
          </w:tcPr>
          <w:p w14:paraId="5987F867" w14:textId="77777777" w:rsidR="00454A29" w:rsidRDefault="00454A29">
            <w:pPr>
              <w:pStyle w:val="ConsPlusNormal"/>
            </w:pPr>
          </w:p>
        </w:tc>
        <w:tc>
          <w:tcPr>
            <w:tcW w:w="1814" w:type="dxa"/>
            <w:vAlign w:val="center"/>
          </w:tcPr>
          <w:p w14:paraId="50517197" w14:textId="77777777" w:rsidR="00454A29" w:rsidRDefault="00454A29">
            <w:pPr>
              <w:pStyle w:val="ConsPlusNormal"/>
            </w:pPr>
          </w:p>
        </w:tc>
      </w:tr>
      <w:tr w:rsidR="00454A29" w14:paraId="2C744277" w14:textId="77777777">
        <w:tc>
          <w:tcPr>
            <w:tcW w:w="567" w:type="dxa"/>
            <w:vMerge/>
          </w:tcPr>
          <w:p w14:paraId="3CBBCFDC" w14:textId="77777777" w:rsidR="00454A29" w:rsidRDefault="00454A29"/>
        </w:tc>
        <w:tc>
          <w:tcPr>
            <w:tcW w:w="3345" w:type="dxa"/>
            <w:vMerge/>
          </w:tcPr>
          <w:p w14:paraId="0C21FE19" w14:textId="77777777" w:rsidR="00454A29" w:rsidRDefault="00454A29"/>
        </w:tc>
        <w:tc>
          <w:tcPr>
            <w:tcW w:w="1701" w:type="dxa"/>
            <w:vAlign w:val="center"/>
          </w:tcPr>
          <w:p w14:paraId="0F1DAA06" w14:textId="77777777" w:rsidR="00454A29" w:rsidRDefault="00454A29">
            <w:pPr>
              <w:pStyle w:val="ConsPlusNormal"/>
              <w:jc w:val="center"/>
            </w:pPr>
            <w:r>
              <w:t>2025</w:t>
            </w:r>
          </w:p>
        </w:tc>
        <w:tc>
          <w:tcPr>
            <w:tcW w:w="1417" w:type="dxa"/>
            <w:vMerge/>
          </w:tcPr>
          <w:p w14:paraId="001070B7" w14:textId="77777777" w:rsidR="00454A29" w:rsidRDefault="00454A29"/>
        </w:tc>
        <w:tc>
          <w:tcPr>
            <w:tcW w:w="2204" w:type="dxa"/>
            <w:vMerge/>
          </w:tcPr>
          <w:p w14:paraId="11C0C95E" w14:textId="77777777" w:rsidR="00454A29" w:rsidRDefault="00454A29"/>
        </w:tc>
        <w:tc>
          <w:tcPr>
            <w:tcW w:w="1417" w:type="dxa"/>
            <w:vMerge/>
          </w:tcPr>
          <w:p w14:paraId="2BF9C70F" w14:textId="77777777" w:rsidR="00454A29" w:rsidRDefault="00454A29"/>
        </w:tc>
        <w:tc>
          <w:tcPr>
            <w:tcW w:w="2324" w:type="dxa"/>
            <w:vMerge/>
          </w:tcPr>
          <w:p w14:paraId="28565C84" w14:textId="77777777" w:rsidR="00454A29" w:rsidRDefault="00454A29"/>
        </w:tc>
        <w:tc>
          <w:tcPr>
            <w:tcW w:w="1701" w:type="dxa"/>
            <w:vAlign w:val="center"/>
          </w:tcPr>
          <w:p w14:paraId="142801F5" w14:textId="77777777" w:rsidR="00454A29" w:rsidRDefault="00454A29">
            <w:pPr>
              <w:pStyle w:val="ConsPlusNormal"/>
            </w:pPr>
          </w:p>
        </w:tc>
        <w:tc>
          <w:tcPr>
            <w:tcW w:w="1814" w:type="dxa"/>
            <w:vAlign w:val="center"/>
          </w:tcPr>
          <w:p w14:paraId="5DDFCADA" w14:textId="77777777" w:rsidR="00454A29" w:rsidRDefault="00454A29">
            <w:pPr>
              <w:pStyle w:val="ConsPlusNormal"/>
            </w:pPr>
          </w:p>
        </w:tc>
        <w:tc>
          <w:tcPr>
            <w:tcW w:w="1701" w:type="dxa"/>
            <w:vAlign w:val="center"/>
          </w:tcPr>
          <w:p w14:paraId="6D75E589" w14:textId="77777777" w:rsidR="00454A29" w:rsidRDefault="00454A29">
            <w:pPr>
              <w:pStyle w:val="ConsPlusNormal"/>
            </w:pPr>
          </w:p>
        </w:tc>
        <w:tc>
          <w:tcPr>
            <w:tcW w:w="1701" w:type="dxa"/>
            <w:vAlign w:val="center"/>
          </w:tcPr>
          <w:p w14:paraId="5EF39887" w14:textId="77777777" w:rsidR="00454A29" w:rsidRDefault="00454A29">
            <w:pPr>
              <w:pStyle w:val="ConsPlusNormal"/>
            </w:pPr>
          </w:p>
        </w:tc>
        <w:tc>
          <w:tcPr>
            <w:tcW w:w="1814" w:type="dxa"/>
            <w:vAlign w:val="center"/>
          </w:tcPr>
          <w:p w14:paraId="422F5247" w14:textId="77777777" w:rsidR="00454A29" w:rsidRDefault="00454A29">
            <w:pPr>
              <w:pStyle w:val="ConsPlusNormal"/>
            </w:pPr>
          </w:p>
        </w:tc>
      </w:tr>
      <w:tr w:rsidR="00454A29" w14:paraId="32B3F4A1" w14:textId="77777777">
        <w:tc>
          <w:tcPr>
            <w:tcW w:w="567" w:type="dxa"/>
            <w:vMerge/>
          </w:tcPr>
          <w:p w14:paraId="03268C73" w14:textId="77777777" w:rsidR="00454A29" w:rsidRDefault="00454A29"/>
        </w:tc>
        <w:tc>
          <w:tcPr>
            <w:tcW w:w="3345" w:type="dxa"/>
            <w:vMerge/>
          </w:tcPr>
          <w:p w14:paraId="78E6DA9C" w14:textId="77777777" w:rsidR="00454A29" w:rsidRDefault="00454A29"/>
        </w:tc>
        <w:tc>
          <w:tcPr>
            <w:tcW w:w="1701" w:type="dxa"/>
            <w:vAlign w:val="center"/>
          </w:tcPr>
          <w:p w14:paraId="4B5D93C6" w14:textId="77777777" w:rsidR="00454A29" w:rsidRDefault="00454A29">
            <w:pPr>
              <w:pStyle w:val="ConsPlusNormal"/>
              <w:jc w:val="center"/>
            </w:pPr>
            <w:r>
              <w:t>2026</w:t>
            </w:r>
          </w:p>
        </w:tc>
        <w:tc>
          <w:tcPr>
            <w:tcW w:w="1417" w:type="dxa"/>
            <w:vMerge/>
          </w:tcPr>
          <w:p w14:paraId="5FFB027F" w14:textId="77777777" w:rsidR="00454A29" w:rsidRDefault="00454A29"/>
        </w:tc>
        <w:tc>
          <w:tcPr>
            <w:tcW w:w="2204" w:type="dxa"/>
            <w:vMerge/>
          </w:tcPr>
          <w:p w14:paraId="3B9BADBC" w14:textId="77777777" w:rsidR="00454A29" w:rsidRDefault="00454A29"/>
        </w:tc>
        <w:tc>
          <w:tcPr>
            <w:tcW w:w="1417" w:type="dxa"/>
            <w:vMerge/>
          </w:tcPr>
          <w:p w14:paraId="5E64D8D7" w14:textId="77777777" w:rsidR="00454A29" w:rsidRDefault="00454A29"/>
        </w:tc>
        <w:tc>
          <w:tcPr>
            <w:tcW w:w="2324" w:type="dxa"/>
            <w:vMerge/>
          </w:tcPr>
          <w:p w14:paraId="5DDF9E40" w14:textId="77777777" w:rsidR="00454A29" w:rsidRDefault="00454A29"/>
        </w:tc>
        <w:tc>
          <w:tcPr>
            <w:tcW w:w="1701" w:type="dxa"/>
            <w:vAlign w:val="center"/>
          </w:tcPr>
          <w:p w14:paraId="66C6D789" w14:textId="77777777" w:rsidR="00454A29" w:rsidRDefault="00454A29">
            <w:pPr>
              <w:pStyle w:val="ConsPlusNormal"/>
              <w:jc w:val="center"/>
            </w:pPr>
            <w:r>
              <w:t>1 367 070,39</w:t>
            </w:r>
          </w:p>
        </w:tc>
        <w:tc>
          <w:tcPr>
            <w:tcW w:w="1814" w:type="dxa"/>
            <w:vAlign w:val="center"/>
          </w:tcPr>
          <w:p w14:paraId="75479E40" w14:textId="77777777" w:rsidR="00454A29" w:rsidRDefault="00454A29">
            <w:pPr>
              <w:pStyle w:val="ConsPlusNormal"/>
              <w:jc w:val="center"/>
            </w:pPr>
            <w:r>
              <w:t>16 842,31</w:t>
            </w:r>
          </w:p>
        </w:tc>
        <w:tc>
          <w:tcPr>
            <w:tcW w:w="1701" w:type="dxa"/>
            <w:vAlign w:val="center"/>
          </w:tcPr>
          <w:p w14:paraId="578EE446" w14:textId="77777777" w:rsidR="00454A29" w:rsidRDefault="00454A29">
            <w:pPr>
              <w:pStyle w:val="ConsPlusNormal"/>
              <w:jc w:val="center"/>
            </w:pPr>
            <w:r>
              <w:t>1 667 388,41</w:t>
            </w:r>
          </w:p>
        </w:tc>
        <w:tc>
          <w:tcPr>
            <w:tcW w:w="1701" w:type="dxa"/>
            <w:vAlign w:val="center"/>
          </w:tcPr>
          <w:p w14:paraId="1FD84858" w14:textId="77777777" w:rsidR="00454A29" w:rsidRDefault="00454A29">
            <w:pPr>
              <w:pStyle w:val="ConsPlusNormal"/>
            </w:pPr>
          </w:p>
        </w:tc>
        <w:tc>
          <w:tcPr>
            <w:tcW w:w="1814" w:type="dxa"/>
            <w:vAlign w:val="center"/>
          </w:tcPr>
          <w:p w14:paraId="475C158F" w14:textId="77777777" w:rsidR="00454A29" w:rsidRDefault="00454A29">
            <w:pPr>
              <w:pStyle w:val="ConsPlusNormal"/>
            </w:pPr>
          </w:p>
        </w:tc>
      </w:tr>
      <w:tr w:rsidR="00454A29" w14:paraId="32A4970A" w14:textId="77777777">
        <w:tc>
          <w:tcPr>
            <w:tcW w:w="567" w:type="dxa"/>
            <w:vMerge w:val="restart"/>
            <w:vAlign w:val="center"/>
          </w:tcPr>
          <w:p w14:paraId="3CBC8A9F" w14:textId="77777777" w:rsidR="00454A29" w:rsidRDefault="00454A29">
            <w:pPr>
              <w:pStyle w:val="ConsPlusNormal"/>
              <w:jc w:val="center"/>
            </w:pPr>
            <w:r>
              <w:t>189</w:t>
            </w:r>
          </w:p>
        </w:tc>
        <w:tc>
          <w:tcPr>
            <w:tcW w:w="3345" w:type="dxa"/>
            <w:vMerge w:val="restart"/>
            <w:vAlign w:val="center"/>
          </w:tcPr>
          <w:p w14:paraId="281ED034" w14:textId="77777777" w:rsidR="00454A29" w:rsidRDefault="00454A29">
            <w:pPr>
              <w:pStyle w:val="ConsPlusNormal"/>
              <w:jc w:val="center"/>
            </w:pPr>
            <w:r>
              <w:t>Школа на 540 учащихся в г. Якутске</w:t>
            </w:r>
          </w:p>
        </w:tc>
        <w:tc>
          <w:tcPr>
            <w:tcW w:w="1701" w:type="dxa"/>
            <w:vAlign w:val="center"/>
          </w:tcPr>
          <w:p w14:paraId="41261795" w14:textId="77777777" w:rsidR="00454A29" w:rsidRDefault="00454A29">
            <w:pPr>
              <w:pStyle w:val="ConsPlusNormal"/>
              <w:jc w:val="center"/>
            </w:pPr>
            <w:r>
              <w:t>2020 - 2026 годы - всего</w:t>
            </w:r>
          </w:p>
        </w:tc>
        <w:tc>
          <w:tcPr>
            <w:tcW w:w="1417" w:type="dxa"/>
            <w:vMerge w:val="restart"/>
            <w:vAlign w:val="center"/>
          </w:tcPr>
          <w:p w14:paraId="6D638DE9" w14:textId="77777777" w:rsidR="00454A29" w:rsidRDefault="00454A29">
            <w:pPr>
              <w:pStyle w:val="ConsPlusNormal"/>
              <w:jc w:val="center"/>
            </w:pPr>
            <w:r>
              <w:t>746 481,93</w:t>
            </w:r>
          </w:p>
        </w:tc>
        <w:tc>
          <w:tcPr>
            <w:tcW w:w="2204" w:type="dxa"/>
            <w:vMerge w:val="restart"/>
            <w:vAlign w:val="center"/>
          </w:tcPr>
          <w:p w14:paraId="1F481B3B" w14:textId="77777777" w:rsidR="00454A29" w:rsidRDefault="00454A29">
            <w:pPr>
              <w:pStyle w:val="ConsPlusNormal"/>
            </w:pPr>
          </w:p>
        </w:tc>
        <w:tc>
          <w:tcPr>
            <w:tcW w:w="1417" w:type="dxa"/>
            <w:vMerge w:val="restart"/>
            <w:vAlign w:val="center"/>
          </w:tcPr>
          <w:p w14:paraId="2C497C61" w14:textId="77777777" w:rsidR="00454A29" w:rsidRDefault="00454A29">
            <w:pPr>
              <w:pStyle w:val="ConsPlusNormal"/>
              <w:jc w:val="center"/>
            </w:pPr>
            <w:r>
              <w:t>540</w:t>
            </w:r>
          </w:p>
        </w:tc>
        <w:tc>
          <w:tcPr>
            <w:tcW w:w="2324" w:type="dxa"/>
            <w:vMerge w:val="restart"/>
            <w:vAlign w:val="center"/>
          </w:tcPr>
          <w:p w14:paraId="1A3555D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B2A6F86" w14:textId="77777777" w:rsidR="00454A29" w:rsidRDefault="00454A29">
            <w:pPr>
              <w:pStyle w:val="ConsPlusNormal"/>
              <w:jc w:val="center"/>
            </w:pPr>
            <w:r>
              <w:t>746 481,93</w:t>
            </w:r>
          </w:p>
        </w:tc>
        <w:tc>
          <w:tcPr>
            <w:tcW w:w="1814" w:type="dxa"/>
            <w:vAlign w:val="center"/>
          </w:tcPr>
          <w:p w14:paraId="7605226C" w14:textId="77777777" w:rsidR="00454A29" w:rsidRDefault="00454A29">
            <w:pPr>
              <w:pStyle w:val="ConsPlusNormal"/>
              <w:jc w:val="center"/>
            </w:pPr>
            <w:r>
              <w:t>9 443,00</w:t>
            </w:r>
          </w:p>
        </w:tc>
        <w:tc>
          <w:tcPr>
            <w:tcW w:w="1701" w:type="dxa"/>
            <w:vAlign w:val="center"/>
          </w:tcPr>
          <w:p w14:paraId="3E0672A9" w14:textId="77777777" w:rsidR="00454A29" w:rsidRDefault="00454A29">
            <w:pPr>
              <w:pStyle w:val="ConsPlusNormal"/>
              <w:jc w:val="center"/>
            </w:pPr>
            <w:r>
              <w:t>934 856,64</w:t>
            </w:r>
          </w:p>
        </w:tc>
        <w:tc>
          <w:tcPr>
            <w:tcW w:w="1701" w:type="dxa"/>
            <w:vAlign w:val="center"/>
          </w:tcPr>
          <w:p w14:paraId="186986C1" w14:textId="77777777" w:rsidR="00454A29" w:rsidRDefault="00454A29">
            <w:pPr>
              <w:pStyle w:val="ConsPlusNormal"/>
              <w:jc w:val="center"/>
            </w:pPr>
            <w:r>
              <w:t>-</w:t>
            </w:r>
          </w:p>
        </w:tc>
        <w:tc>
          <w:tcPr>
            <w:tcW w:w="1814" w:type="dxa"/>
            <w:vAlign w:val="center"/>
          </w:tcPr>
          <w:p w14:paraId="236346EC" w14:textId="77777777" w:rsidR="00454A29" w:rsidRDefault="00454A29">
            <w:pPr>
              <w:pStyle w:val="ConsPlusNormal"/>
              <w:jc w:val="center"/>
            </w:pPr>
            <w:r>
              <w:t>-</w:t>
            </w:r>
          </w:p>
        </w:tc>
      </w:tr>
      <w:tr w:rsidR="00454A29" w14:paraId="17E3391E" w14:textId="77777777">
        <w:tc>
          <w:tcPr>
            <w:tcW w:w="567" w:type="dxa"/>
            <w:vMerge/>
          </w:tcPr>
          <w:p w14:paraId="6F432329" w14:textId="77777777" w:rsidR="00454A29" w:rsidRDefault="00454A29"/>
        </w:tc>
        <w:tc>
          <w:tcPr>
            <w:tcW w:w="3345" w:type="dxa"/>
            <w:vMerge/>
          </w:tcPr>
          <w:p w14:paraId="7DA8D580" w14:textId="77777777" w:rsidR="00454A29" w:rsidRDefault="00454A29"/>
        </w:tc>
        <w:tc>
          <w:tcPr>
            <w:tcW w:w="1701" w:type="dxa"/>
            <w:vAlign w:val="center"/>
          </w:tcPr>
          <w:p w14:paraId="51138835" w14:textId="77777777" w:rsidR="00454A29" w:rsidRDefault="00454A29">
            <w:pPr>
              <w:pStyle w:val="ConsPlusNormal"/>
              <w:jc w:val="center"/>
            </w:pPr>
            <w:r>
              <w:t>2020</w:t>
            </w:r>
          </w:p>
        </w:tc>
        <w:tc>
          <w:tcPr>
            <w:tcW w:w="1417" w:type="dxa"/>
            <w:vMerge/>
          </w:tcPr>
          <w:p w14:paraId="755D4B11" w14:textId="77777777" w:rsidR="00454A29" w:rsidRDefault="00454A29"/>
        </w:tc>
        <w:tc>
          <w:tcPr>
            <w:tcW w:w="2204" w:type="dxa"/>
            <w:vMerge/>
          </w:tcPr>
          <w:p w14:paraId="1715C802" w14:textId="77777777" w:rsidR="00454A29" w:rsidRDefault="00454A29"/>
        </w:tc>
        <w:tc>
          <w:tcPr>
            <w:tcW w:w="1417" w:type="dxa"/>
            <w:vMerge/>
          </w:tcPr>
          <w:p w14:paraId="39A6BFE1" w14:textId="77777777" w:rsidR="00454A29" w:rsidRDefault="00454A29"/>
        </w:tc>
        <w:tc>
          <w:tcPr>
            <w:tcW w:w="2324" w:type="dxa"/>
            <w:vMerge/>
          </w:tcPr>
          <w:p w14:paraId="4D1BFBB2" w14:textId="77777777" w:rsidR="00454A29" w:rsidRDefault="00454A29"/>
        </w:tc>
        <w:tc>
          <w:tcPr>
            <w:tcW w:w="1701" w:type="dxa"/>
            <w:vAlign w:val="center"/>
          </w:tcPr>
          <w:p w14:paraId="4593B727" w14:textId="77777777" w:rsidR="00454A29" w:rsidRDefault="00454A29">
            <w:pPr>
              <w:pStyle w:val="ConsPlusNormal"/>
            </w:pPr>
          </w:p>
        </w:tc>
        <w:tc>
          <w:tcPr>
            <w:tcW w:w="1814" w:type="dxa"/>
            <w:vAlign w:val="center"/>
          </w:tcPr>
          <w:p w14:paraId="4EE624B0" w14:textId="77777777" w:rsidR="00454A29" w:rsidRDefault="00454A29">
            <w:pPr>
              <w:pStyle w:val="ConsPlusNormal"/>
            </w:pPr>
          </w:p>
        </w:tc>
        <w:tc>
          <w:tcPr>
            <w:tcW w:w="1701" w:type="dxa"/>
            <w:vAlign w:val="center"/>
          </w:tcPr>
          <w:p w14:paraId="6E1A65C0" w14:textId="77777777" w:rsidR="00454A29" w:rsidRDefault="00454A29">
            <w:pPr>
              <w:pStyle w:val="ConsPlusNormal"/>
            </w:pPr>
          </w:p>
        </w:tc>
        <w:tc>
          <w:tcPr>
            <w:tcW w:w="1701" w:type="dxa"/>
            <w:vAlign w:val="center"/>
          </w:tcPr>
          <w:p w14:paraId="05BE7396" w14:textId="77777777" w:rsidR="00454A29" w:rsidRDefault="00454A29">
            <w:pPr>
              <w:pStyle w:val="ConsPlusNormal"/>
            </w:pPr>
          </w:p>
        </w:tc>
        <w:tc>
          <w:tcPr>
            <w:tcW w:w="1814" w:type="dxa"/>
            <w:vAlign w:val="center"/>
          </w:tcPr>
          <w:p w14:paraId="7664E647" w14:textId="77777777" w:rsidR="00454A29" w:rsidRDefault="00454A29">
            <w:pPr>
              <w:pStyle w:val="ConsPlusNormal"/>
            </w:pPr>
          </w:p>
        </w:tc>
      </w:tr>
      <w:tr w:rsidR="00454A29" w14:paraId="5986DDCC" w14:textId="77777777">
        <w:tc>
          <w:tcPr>
            <w:tcW w:w="567" w:type="dxa"/>
            <w:vMerge/>
          </w:tcPr>
          <w:p w14:paraId="0312E92D" w14:textId="77777777" w:rsidR="00454A29" w:rsidRDefault="00454A29"/>
        </w:tc>
        <w:tc>
          <w:tcPr>
            <w:tcW w:w="3345" w:type="dxa"/>
            <w:vMerge/>
          </w:tcPr>
          <w:p w14:paraId="07881C72" w14:textId="77777777" w:rsidR="00454A29" w:rsidRDefault="00454A29"/>
        </w:tc>
        <w:tc>
          <w:tcPr>
            <w:tcW w:w="1701" w:type="dxa"/>
            <w:vAlign w:val="center"/>
          </w:tcPr>
          <w:p w14:paraId="0BB804A1" w14:textId="77777777" w:rsidR="00454A29" w:rsidRDefault="00454A29">
            <w:pPr>
              <w:pStyle w:val="ConsPlusNormal"/>
              <w:jc w:val="center"/>
            </w:pPr>
            <w:r>
              <w:t>2021</w:t>
            </w:r>
          </w:p>
        </w:tc>
        <w:tc>
          <w:tcPr>
            <w:tcW w:w="1417" w:type="dxa"/>
            <w:vMerge/>
          </w:tcPr>
          <w:p w14:paraId="2D965C56" w14:textId="77777777" w:rsidR="00454A29" w:rsidRDefault="00454A29"/>
        </w:tc>
        <w:tc>
          <w:tcPr>
            <w:tcW w:w="2204" w:type="dxa"/>
            <w:vMerge/>
          </w:tcPr>
          <w:p w14:paraId="7C61213D" w14:textId="77777777" w:rsidR="00454A29" w:rsidRDefault="00454A29"/>
        </w:tc>
        <w:tc>
          <w:tcPr>
            <w:tcW w:w="1417" w:type="dxa"/>
            <w:vMerge/>
          </w:tcPr>
          <w:p w14:paraId="35451DD8" w14:textId="77777777" w:rsidR="00454A29" w:rsidRDefault="00454A29"/>
        </w:tc>
        <w:tc>
          <w:tcPr>
            <w:tcW w:w="2324" w:type="dxa"/>
            <w:vMerge/>
          </w:tcPr>
          <w:p w14:paraId="3796A489" w14:textId="77777777" w:rsidR="00454A29" w:rsidRDefault="00454A29"/>
        </w:tc>
        <w:tc>
          <w:tcPr>
            <w:tcW w:w="1701" w:type="dxa"/>
            <w:vAlign w:val="center"/>
          </w:tcPr>
          <w:p w14:paraId="2932F709" w14:textId="77777777" w:rsidR="00454A29" w:rsidRDefault="00454A29">
            <w:pPr>
              <w:pStyle w:val="ConsPlusNormal"/>
              <w:jc w:val="center"/>
            </w:pPr>
            <w:r>
              <w:t>-</w:t>
            </w:r>
          </w:p>
        </w:tc>
        <w:tc>
          <w:tcPr>
            <w:tcW w:w="1814" w:type="dxa"/>
            <w:vAlign w:val="center"/>
          </w:tcPr>
          <w:p w14:paraId="233BD0E3" w14:textId="77777777" w:rsidR="00454A29" w:rsidRDefault="00454A29">
            <w:pPr>
              <w:pStyle w:val="ConsPlusNormal"/>
            </w:pPr>
          </w:p>
        </w:tc>
        <w:tc>
          <w:tcPr>
            <w:tcW w:w="1701" w:type="dxa"/>
            <w:vAlign w:val="center"/>
          </w:tcPr>
          <w:p w14:paraId="48C96C48" w14:textId="77777777" w:rsidR="00454A29" w:rsidRDefault="00454A29">
            <w:pPr>
              <w:pStyle w:val="ConsPlusNormal"/>
            </w:pPr>
          </w:p>
        </w:tc>
        <w:tc>
          <w:tcPr>
            <w:tcW w:w="1701" w:type="dxa"/>
            <w:vAlign w:val="center"/>
          </w:tcPr>
          <w:p w14:paraId="724BDB7F" w14:textId="77777777" w:rsidR="00454A29" w:rsidRDefault="00454A29">
            <w:pPr>
              <w:pStyle w:val="ConsPlusNormal"/>
            </w:pPr>
          </w:p>
        </w:tc>
        <w:tc>
          <w:tcPr>
            <w:tcW w:w="1814" w:type="dxa"/>
            <w:vAlign w:val="center"/>
          </w:tcPr>
          <w:p w14:paraId="63309311" w14:textId="77777777" w:rsidR="00454A29" w:rsidRDefault="00454A29">
            <w:pPr>
              <w:pStyle w:val="ConsPlusNormal"/>
            </w:pPr>
          </w:p>
        </w:tc>
      </w:tr>
      <w:tr w:rsidR="00454A29" w14:paraId="2FBAE148" w14:textId="77777777">
        <w:tc>
          <w:tcPr>
            <w:tcW w:w="567" w:type="dxa"/>
            <w:vMerge/>
          </w:tcPr>
          <w:p w14:paraId="25F7C728" w14:textId="77777777" w:rsidR="00454A29" w:rsidRDefault="00454A29"/>
        </w:tc>
        <w:tc>
          <w:tcPr>
            <w:tcW w:w="3345" w:type="dxa"/>
            <w:vMerge/>
          </w:tcPr>
          <w:p w14:paraId="2DA02086" w14:textId="77777777" w:rsidR="00454A29" w:rsidRDefault="00454A29"/>
        </w:tc>
        <w:tc>
          <w:tcPr>
            <w:tcW w:w="1701" w:type="dxa"/>
            <w:vAlign w:val="center"/>
          </w:tcPr>
          <w:p w14:paraId="730C8A18" w14:textId="77777777" w:rsidR="00454A29" w:rsidRDefault="00454A29">
            <w:pPr>
              <w:pStyle w:val="ConsPlusNormal"/>
              <w:jc w:val="center"/>
            </w:pPr>
            <w:r>
              <w:t>2022</w:t>
            </w:r>
          </w:p>
        </w:tc>
        <w:tc>
          <w:tcPr>
            <w:tcW w:w="1417" w:type="dxa"/>
            <w:vMerge/>
          </w:tcPr>
          <w:p w14:paraId="431ABD9E" w14:textId="77777777" w:rsidR="00454A29" w:rsidRDefault="00454A29"/>
        </w:tc>
        <w:tc>
          <w:tcPr>
            <w:tcW w:w="2204" w:type="dxa"/>
            <w:vMerge/>
          </w:tcPr>
          <w:p w14:paraId="73E93CD3" w14:textId="77777777" w:rsidR="00454A29" w:rsidRDefault="00454A29"/>
        </w:tc>
        <w:tc>
          <w:tcPr>
            <w:tcW w:w="1417" w:type="dxa"/>
            <w:vMerge/>
          </w:tcPr>
          <w:p w14:paraId="55CF501B" w14:textId="77777777" w:rsidR="00454A29" w:rsidRDefault="00454A29"/>
        </w:tc>
        <w:tc>
          <w:tcPr>
            <w:tcW w:w="2324" w:type="dxa"/>
            <w:vMerge/>
          </w:tcPr>
          <w:p w14:paraId="0D40F38E" w14:textId="77777777" w:rsidR="00454A29" w:rsidRDefault="00454A29"/>
        </w:tc>
        <w:tc>
          <w:tcPr>
            <w:tcW w:w="1701" w:type="dxa"/>
            <w:vAlign w:val="center"/>
          </w:tcPr>
          <w:p w14:paraId="0FCC369A" w14:textId="77777777" w:rsidR="00454A29" w:rsidRDefault="00454A29">
            <w:pPr>
              <w:pStyle w:val="ConsPlusNormal"/>
            </w:pPr>
          </w:p>
        </w:tc>
        <w:tc>
          <w:tcPr>
            <w:tcW w:w="1814" w:type="dxa"/>
            <w:vAlign w:val="center"/>
          </w:tcPr>
          <w:p w14:paraId="28576546" w14:textId="77777777" w:rsidR="00454A29" w:rsidRDefault="00454A29">
            <w:pPr>
              <w:pStyle w:val="ConsPlusNormal"/>
            </w:pPr>
          </w:p>
        </w:tc>
        <w:tc>
          <w:tcPr>
            <w:tcW w:w="1701" w:type="dxa"/>
            <w:vAlign w:val="center"/>
          </w:tcPr>
          <w:p w14:paraId="3BD4F22A" w14:textId="77777777" w:rsidR="00454A29" w:rsidRDefault="00454A29">
            <w:pPr>
              <w:pStyle w:val="ConsPlusNormal"/>
            </w:pPr>
          </w:p>
        </w:tc>
        <w:tc>
          <w:tcPr>
            <w:tcW w:w="1701" w:type="dxa"/>
            <w:vAlign w:val="center"/>
          </w:tcPr>
          <w:p w14:paraId="735B16E3" w14:textId="77777777" w:rsidR="00454A29" w:rsidRDefault="00454A29">
            <w:pPr>
              <w:pStyle w:val="ConsPlusNormal"/>
            </w:pPr>
          </w:p>
        </w:tc>
        <w:tc>
          <w:tcPr>
            <w:tcW w:w="1814" w:type="dxa"/>
            <w:vAlign w:val="center"/>
          </w:tcPr>
          <w:p w14:paraId="0889F64F" w14:textId="77777777" w:rsidR="00454A29" w:rsidRDefault="00454A29">
            <w:pPr>
              <w:pStyle w:val="ConsPlusNormal"/>
            </w:pPr>
          </w:p>
        </w:tc>
      </w:tr>
      <w:tr w:rsidR="00454A29" w14:paraId="38B02E37" w14:textId="77777777">
        <w:tc>
          <w:tcPr>
            <w:tcW w:w="567" w:type="dxa"/>
            <w:vMerge/>
          </w:tcPr>
          <w:p w14:paraId="2F6163EB" w14:textId="77777777" w:rsidR="00454A29" w:rsidRDefault="00454A29"/>
        </w:tc>
        <w:tc>
          <w:tcPr>
            <w:tcW w:w="3345" w:type="dxa"/>
            <w:vMerge/>
          </w:tcPr>
          <w:p w14:paraId="46430344" w14:textId="77777777" w:rsidR="00454A29" w:rsidRDefault="00454A29"/>
        </w:tc>
        <w:tc>
          <w:tcPr>
            <w:tcW w:w="1701" w:type="dxa"/>
            <w:vAlign w:val="center"/>
          </w:tcPr>
          <w:p w14:paraId="13E119D4" w14:textId="77777777" w:rsidR="00454A29" w:rsidRDefault="00454A29">
            <w:pPr>
              <w:pStyle w:val="ConsPlusNormal"/>
              <w:jc w:val="center"/>
            </w:pPr>
            <w:r>
              <w:t>2023</w:t>
            </w:r>
          </w:p>
        </w:tc>
        <w:tc>
          <w:tcPr>
            <w:tcW w:w="1417" w:type="dxa"/>
            <w:vMerge/>
          </w:tcPr>
          <w:p w14:paraId="3DA8907D" w14:textId="77777777" w:rsidR="00454A29" w:rsidRDefault="00454A29"/>
        </w:tc>
        <w:tc>
          <w:tcPr>
            <w:tcW w:w="2204" w:type="dxa"/>
            <w:vMerge/>
          </w:tcPr>
          <w:p w14:paraId="06BBE747" w14:textId="77777777" w:rsidR="00454A29" w:rsidRDefault="00454A29"/>
        </w:tc>
        <w:tc>
          <w:tcPr>
            <w:tcW w:w="1417" w:type="dxa"/>
            <w:vMerge/>
          </w:tcPr>
          <w:p w14:paraId="71A4366D" w14:textId="77777777" w:rsidR="00454A29" w:rsidRDefault="00454A29"/>
        </w:tc>
        <w:tc>
          <w:tcPr>
            <w:tcW w:w="2324" w:type="dxa"/>
            <w:vMerge/>
          </w:tcPr>
          <w:p w14:paraId="43C8F72C" w14:textId="77777777" w:rsidR="00454A29" w:rsidRDefault="00454A29"/>
        </w:tc>
        <w:tc>
          <w:tcPr>
            <w:tcW w:w="1701" w:type="dxa"/>
            <w:vAlign w:val="center"/>
          </w:tcPr>
          <w:p w14:paraId="0FBF2B54" w14:textId="77777777" w:rsidR="00454A29" w:rsidRDefault="00454A29">
            <w:pPr>
              <w:pStyle w:val="ConsPlusNormal"/>
            </w:pPr>
          </w:p>
        </w:tc>
        <w:tc>
          <w:tcPr>
            <w:tcW w:w="1814" w:type="dxa"/>
            <w:vAlign w:val="center"/>
          </w:tcPr>
          <w:p w14:paraId="33EDEEE9" w14:textId="77777777" w:rsidR="00454A29" w:rsidRDefault="00454A29">
            <w:pPr>
              <w:pStyle w:val="ConsPlusNormal"/>
            </w:pPr>
          </w:p>
        </w:tc>
        <w:tc>
          <w:tcPr>
            <w:tcW w:w="1701" w:type="dxa"/>
            <w:vAlign w:val="center"/>
          </w:tcPr>
          <w:p w14:paraId="49F33FBA" w14:textId="77777777" w:rsidR="00454A29" w:rsidRDefault="00454A29">
            <w:pPr>
              <w:pStyle w:val="ConsPlusNormal"/>
            </w:pPr>
          </w:p>
        </w:tc>
        <w:tc>
          <w:tcPr>
            <w:tcW w:w="1701" w:type="dxa"/>
            <w:vAlign w:val="center"/>
          </w:tcPr>
          <w:p w14:paraId="13E0AFAB" w14:textId="77777777" w:rsidR="00454A29" w:rsidRDefault="00454A29">
            <w:pPr>
              <w:pStyle w:val="ConsPlusNormal"/>
            </w:pPr>
          </w:p>
        </w:tc>
        <w:tc>
          <w:tcPr>
            <w:tcW w:w="1814" w:type="dxa"/>
            <w:vAlign w:val="center"/>
          </w:tcPr>
          <w:p w14:paraId="2DBFF895" w14:textId="77777777" w:rsidR="00454A29" w:rsidRDefault="00454A29">
            <w:pPr>
              <w:pStyle w:val="ConsPlusNormal"/>
            </w:pPr>
          </w:p>
        </w:tc>
      </w:tr>
      <w:tr w:rsidR="00454A29" w14:paraId="70CD4DA2" w14:textId="77777777">
        <w:tc>
          <w:tcPr>
            <w:tcW w:w="567" w:type="dxa"/>
            <w:vMerge/>
          </w:tcPr>
          <w:p w14:paraId="59E9D5C3" w14:textId="77777777" w:rsidR="00454A29" w:rsidRDefault="00454A29"/>
        </w:tc>
        <w:tc>
          <w:tcPr>
            <w:tcW w:w="3345" w:type="dxa"/>
            <w:vMerge/>
          </w:tcPr>
          <w:p w14:paraId="7ABA7540" w14:textId="77777777" w:rsidR="00454A29" w:rsidRDefault="00454A29"/>
        </w:tc>
        <w:tc>
          <w:tcPr>
            <w:tcW w:w="1701" w:type="dxa"/>
            <w:vAlign w:val="center"/>
          </w:tcPr>
          <w:p w14:paraId="5E31092A" w14:textId="77777777" w:rsidR="00454A29" w:rsidRDefault="00454A29">
            <w:pPr>
              <w:pStyle w:val="ConsPlusNormal"/>
              <w:jc w:val="center"/>
            </w:pPr>
            <w:r>
              <w:t>2024</w:t>
            </w:r>
          </w:p>
        </w:tc>
        <w:tc>
          <w:tcPr>
            <w:tcW w:w="1417" w:type="dxa"/>
            <w:vMerge/>
          </w:tcPr>
          <w:p w14:paraId="1A398646" w14:textId="77777777" w:rsidR="00454A29" w:rsidRDefault="00454A29"/>
        </w:tc>
        <w:tc>
          <w:tcPr>
            <w:tcW w:w="2204" w:type="dxa"/>
            <w:vMerge/>
          </w:tcPr>
          <w:p w14:paraId="2BE0E221" w14:textId="77777777" w:rsidR="00454A29" w:rsidRDefault="00454A29"/>
        </w:tc>
        <w:tc>
          <w:tcPr>
            <w:tcW w:w="1417" w:type="dxa"/>
            <w:vMerge/>
          </w:tcPr>
          <w:p w14:paraId="6D4FD664" w14:textId="77777777" w:rsidR="00454A29" w:rsidRDefault="00454A29"/>
        </w:tc>
        <w:tc>
          <w:tcPr>
            <w:tcW w:w="2324" w:type="dxa"/>
            <w:vMerge/>
          </w:tcPr>
          <w:p w14:paraId="2AE0A255" w14:textId="77777777" w:rsidR="00454A29" w:rsidRDefault="00454A29"/>
        </w:tc>
        <w:tc>
          <w:tcPr>
            <w:tcW w:w="1701" w:type="dxa"/>
            <w:vAlign w:val="center"/>
          </w:tcPr>
          <w:p w14:paraId="06C04EDB" w14:textId="77777777" w:rsidR="00454A29" w:rsidRDefault="00454A29">
            <w:pPr>
              <w:pStyle w:val="ConsPlusNormal"/>
            </w:pPr>
          </w:p>
        </w:tc>
        <w:tc>
          <w:tcPr>
            <w:tcW w:w="1814" w:type="dxa"/>
            <w:vAlign w:val="center"/>
          </w:tcPr>
          <w:p w14:paraId="1A9DCEF9" w14:textId="77777777" w:rsidR="00454A29" w:rsidRDefault="00454A29">
            <w:pPr>
              <w:pStyle w:val="ConsPlusNormal"/>
            </w:pPr>
          </w:p>
        </w:tc>
        <w:tc>
          <w:tcPr>
            <w:tcW w:w="1701" w:type="dxa"/>
            <w:vAlign w:val="center"/>
          </w:tcPr>
          <w:p w14:paraId="3319EEC4" w14:textId="77777777" w:rsidR="00454A29" w:rsidRDefault="00454A29">
            <w:pPr>
              <w:pStyle w:val="ConsPlusNormal"/>
            </w:pPr>
          </w:p>
        </w:tc>
        <w:tc>
          <w:tcPr>
            <w:tcW w:w="1701" w:type="dxa"/>
            <w:vAlign w:val="center"/>
          </w:tcPr>
          <w:p w14:paraId="04E9938C" w14:textId="77777777" w:rsidR="00454A29" w:rsidRDefault="00454A29">
            <w:pPr>
              <w:pStyle w:val="ConsPlusNormal"/>
            </w:pPr>
          </w:p>
        </w:tc>
        <w:tc>
          <w:tcPr>
            <w:tcW w:w="1814" w:type="dxa"/>
            <w:vAlign w:val="center"/>
          </w:tcPr>
          <w:p w14:paraId="0FCE1A22" w14:textId="77777777" w:rsidR="00454A29" w:rsidRDefault="00454A29">
            <w:pPr>
              <w:pStyle w:val="ConsPlusNormal"/>
            </w:pPr>
          </w:p>
        </w:tc>
      </w:tr>
      <w:tr w:rsidR="00454A29" w14:paraId="0157A4ED" w14:textId="77777777">
        <w:tc>
          <w:tcPr>
            <w:tcW w:w="567" w:type="dxa"/>
            <w:vMerge/>
          </w:tcPr>
          <w:p w14:paraId="0F284467" w14:textId="77777777" w:rsidR="00454A29" w:rsidRDefault="00454A29"/>
        </w:tc>
        <w:tc>
          <w:tcPr>
            <w:tcW w:w="3345" w:type="dxa"/>
            <w:vMerge/>
          </w:tcPr>
          <w:p w14:paraId="16D4E356" w14:textId="77777777" w:rsidR="00454A29" w:rsidRDefault="00454A29"/>
        </w:tc>
        <w:tc>
          <w:tcPr>
            <w:tcW w:w="1701" w:type="dxa"/>
            <w:vAlign w:val="center"/>
          </w:tcPr>
          <w:p w14:paraId="00220B66" w14:textId="77777777" w:rsidR="00454A29" w:rsidRDefault="00454A29">
            <w:pPr>
              <w:pStyle w:val="ConsPlusNormal"/>
              <w:jc w:val="center"/>
            </w:pPr>
            <w:r>
              <w:t>2025</w:t>
            </w:r>
          </w:p>
        </w:tc>
        <w:tc>
          <w:tcPr>
            <w:tcW w:w="1417" w:type="dxa"/>
            <w:vMerge/>
          </w:tcPr>
          <w:p w14:paraId="351C0187" w14:textId="77777777" w:rsidR="00454A29" w:rsidRDefault="00454A29"/>
        </w:tc>
        <w:tc>
          <w:tcPr>
            <w:tcW w:w="2204" w:type="dxa"/>
            <w:vMerge/>
          </w:tcPr>
          <w:p w14:paraId="0E7357BD" w14:textId="77777777" w:rsidR="00454A29" w:rsidRDefault="00454A29"/>
        </w:tc>
        <w:tc>
          <w:tcPr>
            <w:tcW w:w="1417" w:type="dxa"/>
            <w:vMerge/>
          </w:tcPr>
          <w:p w14:paraId="79F9984B" w14:textId="77777777" w:rsidR="00454A29" w:rsidRDefault="00454A29"/>
        </w:tc>
        <w:tc>
          <w:tcPr>
            <w:tcW w:w="2324" w:type="dxa"/>
            <w:vMerge/>
          </w:tcPr>
          <w:p w14:paraId="77545CA5" w14:textId="77777777" w:rsidR="00454A29" w:rsidRDefault="00454A29"/>
        </w:tc>
        <w:tc>
          <w:tcPr>
            <w:tcW w:w="1701" w:type="dxa"/>
            <w:vAlign w:val="center"/>
          </w:tcPr>
          <w:p w14:paraId="7A731941" w14:textId="77777777" w:rsidR="00454A29" w:rsidRDefault="00454A29">
            <w:pPr>
              <w:pStyle w:val="ConsPlusNormal"/>
              <w:jc w:val="center"/>
            </w:pPr>
            <w:r>
              <w:t>746 481,93</w:t>
            </w:r>
          </w:p>
        </w:tc>
        <w:tc>
          <w:tcPr>
            <w:tcW w:w="1814" w:type="dxa"/>
            <w:vAlign w:val="center"/>
          </w:tcPr>
          <w:p w14:paraId="2C9CC16F" w14:textId="77777777" w:rsidR="00454A29" w:rsidRDefault="00454A29">
            <w:pPr>
              <w:pStyle w:val="ConsPlusNormal"/>
              <w:jc w:val="center"/>
            </w:pPr>
            <w:r>
              <w:t>9 443,00</w:t>
            </w:r>
          </w:p>
        </w:tc>
        <w:tc>
          <w:tcPr>
            <w:tcW w:w="1701" w:type="dxa"/>
            <w:vAlign w:val="center"/>
          </w:tcPr>
          <w:p w14:paraId="14B58BAE" w14:textId="77777777" w:rsidR="00454A29" w:rsidRDefault="00454A29">
            <w:pPr>
              <w:pStyle w:val="ConsPlusNormal"/>
              <w:jc w:val="center"/>
            </w:pPr>
            <w:r>
              <w:t>934 856,64</w:t>
            </w:r>
          </w:p>
        </w:tc>
        <w:tc>
          <w:tcPr>
            <w:tcW w:w="1701" w:type="dxa"/>
            <w:vAlign w:val="center"/>
          </w:tcPr>
          <w:p w14:paraId="13BC4936" w14:textId="77777777" w:rsidR="00454A29" w:rsidRDefault="00454A29">
            <w:pPr>
              <w:pStyle w:val="ConsPlusNormal"/>
            </w:pPr>
          </w:p>
        </w:tc>
        <w:tc>
          <w:tcPr>
            <w:tcW w:w="1814" w:type="dxa"/>
            <w:vAlign w:val="center"/>
          </w:tcPr>
          <w:p w14:paraId="39515C88" w14:textId="77777777" w:rsidR="00454A29" w:rsidRDefault="00454A29">
            <w:pPr>
              <w:pStyle w:val="ConsPlusNormal"/>
            </w:pPr>
          </w:p>
        </w:tc>
      </w:tr>
      <w:tr w:rsidR="00454A29" w14:paraId="7600B5AE" w14:textId="77777777">
        <w:tc>
          <w:tcPr>
            <w:tcW w:w="567" w:type="dxa"/>
            <w:vMerge/>
          </w:tcPr>
          <w:p w14:paraId="1A5ED192" w14:textId="77777777" w:rsidR="00454A29" w:rsidRDefault="00454A29"/>
        </w:tc>
        <w:tc>
          <w:tcPr>
            <w:tcW w:w="3345" w:type="dxa"/>
            <w:vMerge/>
          </w:tcPr>
          <w:p w14:paraId="429A8DBB" w14:textId="77777777" w:rsidR="00454A29" w:rsidRDefault="00454A29"/>
        </w:tc>
        <w:tc>
          <w:tcPr>
            <w:tcW w:w="1701" w:type="dxa"/>
            <w:vAlign w:val="center"/>
          </w:tcPr>
          <w:p w14:paraId="3E3C0D0C" w14:textId="77777777" w:rsidR="00454A29" w:rsidRDefault="00454A29">
            <w:pPr>
              <w:pStyle w:val="ConsPlusNormal"/>
              <w:jc w:val="center"/>
            </w:pPr>
            <w:r>
              <w:t>2026</w:t>
            </w:r>
          </w:p>
        </w:tc>
        <w:tc>
          <w:tcPr>
            <w:tcW w:w="1417" w:type="dxa"/>
            <w:vMerge/>
          </w:tcPr>
          <w:p w14:paraId="20CD59E1" w14:textId="77777777" w:rsidR="00454A29" w:rsidRDefault="00454A29"/>
        </w:tc>
        <w:tc>
          <w:tcPr>
            <w:tcW w:w="2204" w:type="dxa"/>
            <w:vMerge/>
          </w:tcPr>
          <w:p w14:paraId="00FDE263" w14:textId="77777777" w:rsidR="00454A29" w:rsidRDefault="00454A29"/>
        </w:tc>
        <w:tc>
          <w:tcPr>
            <w:tcW w:w="1417" w:type="dxa"/>
            <w:vMerge/>
          </w:tcPr>
          <w:p w14:paraId="26E294AE" w14:textId="77777777" w:rsidR="00454A29" w:rsidRDefault="00454A29"/>
        </w:tc>
        <w:tc>
          <w:tcPr>
            <w:tcW w:w="2324" w:type="dxa"/>
            <w:vMerge/>
          </w:tcPr>
          <w:p w14:paraId="5D6EB133" w14:textId="77777777" w:rsidR="00454A29" w:rsidRDefault="00454A29"/>
        </w:tc>
        <w:tc>
          <w:tcPr>
            <w:tcW w:w="1701" w:type="dxa"/>
            <w:vAlign w:val="center"/>
          </w:tcPr>
          <w:p w14:paraId="7A90DCA2" w14:textId="77777777" w:rsidR="00454A29" w:rsidRDefault="00454A29">
            <w:pPr>
              <w:pStyle w:val="ConsPlusNormal"/>
            </w:pPr>
          </w:p>
        </w:tc>
        <w:tc>
          <w:tcPr>
            <w:tcW w:w="1814" w:type="dxa"/>
            <w:vAlign w:val="center"/>
          </w:tcPr>
          <w:p w14:paraId="226D38FA" w14:textId="77777777" w:rsidR="00454A29" w:rsidRDefault="00454A29">
            <w:pPr>
              <w:pStyle w:val="ConsPlusNormal"/>
            </w:pPr>
          </w:p>
        </w:tc>
        <w:tc>
          <w:tcPr>
            <w:tcW w:w="1701" w:type="dxa"/>
            <w:vAlign w:val="center"/>
          </w:tcPr>
          <w:p w14:paraId="532F87B1" w14:textId="77777777" w:rsidR="00454A29" w:rsidRDefault="00454A29">
            <w:pPr>
              <w:pStyle w:val="ConsPlusNormal"/>
            </w:pPr>
          </w:p>
        </w:tc>
        <w:tc>
          <w:tcPr>
            <w:tcW w:w="1701" w:type="dxa"/>
            <w:vAlign w:val="center"/>
          </w:tcPr>
          <w:p w14:paraId="617565F8" w14:textId="77777777" w:rsidR="00454A29" w:rsidRDefault="00454A29">
            <w:pPr>
              <w:pStyle w:val="ConsPlusNormal"/>
            </w:pPr>
          </w:p>
        </w:tc>
        <w:tc>
          <w:tcPr>
            <w:tcW w:w="1814" w:type="dxa"/>
            <w:vAlign w:val="center"/>
          </w:tcPr>
          <w:p w14:paraId="6FD5BEAC" w14:textId="77777777" w:rsidR="00454A29" w:rsidRDefault="00454A29">
            <w:pPr>
              <w:pStyle w:val="ConsPlusNormal"/>
            </w:pPr>
          </w:p>
        </w:tc>
      </w:tr>
      <w:tr w:rsidR="00454A29" w14:paraId="3521209D" w14:textId="77777777">
        <w:tc>
          <w:tcPr>
            <w:tcW w:w="567" w:type="dxa"/>
            <w:vMerge w:val="restart"/>
            <w:vAlign w:val="center"/>
          </w:tcPr>
          <w:p w14:paraId="1446D551" w14:textId="77777777" w:rsidR="00454A29" w:rsidRDefault="00454A29">
            <w:pPr>
              <w:pStyle w:val="ConsPlusNormal"/>
              <w:jc w:val="center"/>
            </w:pPr>
            <w:r>
              <w:t>190</w:t>
            </w:r>
          </w:p>
        </w:tc>
        <w:tc>
          <w:tcPr>
            <w:tcW w:w="3345" w:type="dxa"/>
            <w:vMerge w:val="restart"/>
            <w:vAlign w:val="center"/>
          </w:tcPr>
          <w:p w14:paraId="7C7236B3" w14:textId="77777777" w:rsidR="00454A29" w:rsidRDefault="00454A29">
            <w:pPr>
              <w:pStyle w:val="ConsPlusNormal"/>
              <w:jc w:val="center"/>
            </w:pPr>
            <w:r>
              <w:t>Строительство объектов общего образования (софинансирование)</w:t>
            </w:r>
          </w:p>
        </w:tc>
        <w:tc>
          <w:tcPr>
            <w:tcW w:w="1701" w:type="dxa"/>
            <w:vAlign w:val="center"/>
          </w:tcPr>
          <w:p w14:paraId="44A96CA9" w14:textId="77777777" w:rsidR="00454A29" w:rsidRDefault="00454A29">
            <w:pPr>
              <w:pStyle w:val="ConsPlusNormal"/>
              <w:jc w:val="center"/>
            </w:pPr>
            <w:r>
              <w:t>2020 - 2026 годы - всего</w:t>
            </w:r>
          </w:p>
        </w:tc>
        <w:tc>
          <w:tcPr>
            <w:tcW w:w="1417" w:type="dxa"/>
            <w:vMerge w:val="restart"/>
            <w:vAlign w:val="center"/>
          </w:tcPr>
          <w:p w14:paraId="32BA5E25" w14:textId="77777777" w:rsidR="00454A29" w:rsidRDefault="00454A29">
            <w:pPr>
              <w:pStyle w:val="ConsPlusNormal"/>
              <w:jc w:val="center"/>
            </w:pPr>
            <w:r>
              <w:t>236 628,98</w:t>
            </w:r>
          </w:p>
        </w:tc>
        <w:tc>
          <w:tcPr>
            <w:tcW w:w="2204" w:type="dxa"/>
            <w:vMerge w:val="restart"/>
            <w:vAlign w:val="center"/>
          </w:tcPr>
          <w:p w14:paraId="32BA879C" w14:textId="77777777" w:rsidR="00454A29" w:rsidRDefault="00454A29">
            <w:pPr>
              <w:pStyle w:val="ConsPlusNormal"/>
            </w:pPr>
          </w:p>
        </w:tc>
        <w:tc>
          <w:tcPr>
            <w:tcW w:w="1417" w:type="dxa"/>
            <w:vMerge w:val="restart"/>
            <w:vAlign w:val="center"/>
          </w:tcPr>
          <w:p w14:paraId="38F1412A" w14:textId="77777777" w:rsidR="00454A29" w:rsidRDefault="00454A29">
            <w:pPr>
              <w:pStyle w:val="ConsPlusNormal"/>
            </w:pPr>
          </w:p>
        </w:tc>
        <w:tc>
          <w:tcPr>
            <w:tcW w:w="2324" w:type="dxa"/>
            <w:vMerge w:val="restart"/>
            <w:vAlign w:val="center"/>
          </w:tcPr>
          <w:p w14:paraId="1A5DCBC4" w14:textId="77777777" w:rsidR="00454A29" w:rsidRDefault="00454A29">
            <w:pPr>
              <w:pStyle w:val="ConsPlusNormal"/>
            </w:pPr>
          </w:p>
        </w:tc>
        <w:tc>
          <w:tcPr>
            <w:tcW w:w="1701" w:type="dxa"/>
            <w:vAlign w:val="center"/>
          </w:tcPr>
          <w:p w14:paraId="1B5EDA13" w14:textId="77777777" w:rsidR="00454A29" w:rsidRDefault="00454A29">
            <w:pPr>
              <w:pStyle w:val="ConsPlusNormal"/>
              <w:jc w:val="center"/>
            </w:pPr>
            <w:r>
              <w:t>236 628,98</w:t>
            </w:r>
          </w:p>
        </w:tc>
        <w:tc>
          <w:tcPr>
            <w:tcW w:w="1814" w:type="dxa"/>
            <w:vAlign w:val="center"/>
          </w:tcPr>
          <w:p w14:paraId="20E0C367" w14:textId="77777777" w:rsidR="00454A29" w:rsidRDefault="00454A29">
            <w:pPr>
              <w:pStyle w:val="ConsPlusNormal"/>
              <w:jc w:val="center"/>
            </w:pPr>
            <w:r>
              <w:t>236 628,98</w:t>
            </w:r>
          </w:p>
        </w:tc>
        <w:tc>
          <w:tcPr>
            <w:tcW w:w="1701" w:type="dxa"/>
            <w:vAlign w:val="center"/>
          </w:tcPr>
          <w:p w14:paraId="69B4F83E" w14:textId="77777777" w:rsidR="00454A29" w:rsidRDefault="00454A29">
            <w:pPr>
              <w:pStyle w:val="ConsPlusNormal"/>
              <w:jc w:val="center"/>
            </w:pPr>
            <w:r>
              <w:t>-</w:t>
            </w:r>
          </w:p>
        </w:tc>
        <w:tc>
          <w:tcPr>
            <w:tcW w:w="1701" w:type="dxa"/>
            <w:vAlign w:val="center"/>
          </w:tcPr>
          <w:p w14:paraId="5EA45AB5" w14:textId="77777777" w:rsidR="00454A29" w:rsidRDefault="00454A29">
            <w:pPr>
              <w:pStyle w:val="ConsPlusNormal"/>
              <w:jc w:val="center"/>
            </w:pPr>
            <w:r>
              <w:t>-</w:t>
            </w:r>
          </w:p>
        </w:tc>
        <w:tc>
          <w:tcPr>
            <w:tcW w:w="1814" w:type="dxa"/>
            <w:vAlign w:val="center"/>
          </w:tcPr>
          <w:p w14:paraId="6238B914" w14:textId="77777777" w:rsidR="00454A29" w:rsidRDefault="00454A29">
            <w:pPr>
              <w:pStyle w:val="ConsPlusNormal"/>
              <w:jc w:val="center"/>
            </w:pPr>
            <w:r>
              <w:t>-</w:t>
            </w:r>
          </w:p>
        </w:tc>
      </w:tr>
      <w:tr w:rsidR="00454A29" w14:paraId="2DF148D3" w14:textId="77777777">
        <w:tc>
          <w:tcPr>
            <w:tcW w:w="567" w:type="dxa"/>
            <w:vMerge/>
          </w:tcPr>
          <w:p w14:paraId="52ECF389" w14:textId="77777777" w:rsidR="00454A29" w:rsidRDefault="00454A29"/>
        </w:tc>
        <w:tc>
          <w:tcPr>
            <w:tcW w:w="3345" w:type="dxa"/>
            <w:vMerge/>
          </w:tcPr>
          <w:p w14:paraId="6747BA11" w14:textId="77777777" w:rsidR="00454A29" w:rsidRDefault="00454A29"/>
        </w:tc>
        <w:tc>
          <w:tcPr>
            <w:tcW w:w="1701" w:type="dxa"/>
            <w:vAlign w:val="center"/>
          </w:tcPr>
          <w:p w14:paraId="45B9FC36" w14:textId="77777777" w:rsidR="00454A29" w:rsidRDefault="00454A29">
            <w:pPr>
              <w:pStyle w:val="ConsPlusNormal"/>
              <w:jc w:val="center"/>
            </w:pPr>
            <w:r>
              <w:t>2020</w:t>
            </w:r>
          </w:p>
        </w:tc>
        <w:tc>
          <w:tcPr>
            <w:tcW w:w="1417" w:type="dxa"/>
            <w:vMerge/>
          </w:tcPr>
          <w:p w14:paraId="0B0D7BE3" w14:textId="77777777" w:rsidR="00454A29" w:rsidRDefault="00454A29"/>
        </w:tc>
        <w:tc>
          <w:tcPr>
            <w:tcW w:w="2204" w:type="dxa"/>
            <w:vMerge/>
          </w:tcPr>
          <w:p w14:paraId="1F5665E5" w14:textId="77777777" w:rsidR="00454A29" w:rsidRDefault="00454A29"/>
        </w:tc>
        <w:tc>
          <w:tcPr>
            <w:tcW w:w="1417" w:type="dxa"/>
            <w:vMerge/>
          </w:tcPr>
          <w:p w14:paraId="508FBF08" w14:textId="77777777" w:rsidR="00454A29" w:rsidRDefault="00454A29"/>
        </w:tc>
        <w:tc>
          <w:tcPr>
            <w:tcW w:w="2324" w:type="dxa"/>
            <w:vMerge/>
          </w:tcPr>
          <w:p w14:paraId="35A082A1" w14:textId="77777777" w:rsidR="00454A29" w:rsidRDefault="00454A29"/>
        </w:tc>
        <w:tc>
          <w:tcPr>
            <w:tcW w:w="1701" w:type="dxa"/>
            <w:vAlign w:val="center"/>
          </w:tcPr>
          <w:p w14:paraId="69C02377" w14:textId="77777777" w:rsidR="00454A29" w:rsidRDefault="00454A29">
            <w:pPr>
              <w:pStyle w:val="ConsPlusNormal"/>
              <w:jc w:val="center"/>
            </w:pPr>
            <w:r>
              <w:t>10 000,00</w:t>
            </w:r>
          </w:p>
        </w:tc>
        <w:tc>
          <w:tcPr>
            <w:tcW w:w="1814" w:type="dxa"/>
            <w:vAlign w:val="center"/>
          </w:tcPr>
          <w:p w14:paraId="0B1D894A" w14:textId="77777777" w:rsidR="00454A29" w:rsidRDefault="00454A29">
            <w:pPr>
              <w:pStyle w:val="ConsPlusNormal"/>
              <w:jc w:val="center"/>
            </w:pPr>
            <w:r>
              <w:t>10 000,00</w:t>
            </w:r>
          </w:p>
        </w:tc>
        <w:tc>
          <w:tcPr>
            <w:tcW w:w="1701" w:type="dxa"/>
            <w:vAlign w:val="center"/>
          </w:tcPr>
          <w:p w14:paraId="0728956E" w14:textId="77777777" w:rsidR="00454A29" w:rsidRDefault="00454A29">
            <w:pPr>
              <w:pStyle w:val="ConsPlusNormal"/>
            </w:pPr>
          </w:p>
        </w:tc>
        <w:tc>
          <w:tcPr>
            <w:tcW w:w="1701" w:type="dxa"/>
            <w:vAlign w:val="center"/>
          </w:tcPr>
          <w:p w14:paraId="3AF9639E" w14:textId="77777777" w:rsidR="00454A29" w:rsidRDefault="00454A29">
            <w:pPr>
              <w:pStyle w:val="ConsPlusNormal"/>
            </w:pPr>
          </w:p>
        </w:tc>
        <w:tc>
          <w:tcPr>
            <w:tcW w:w="1814" w:type="dxa"/>
            <w:vAlign w:val="center"/>
          </w:tcPr>
          <w:p w14:paraId="0C6F8941" w14:textId="77777777" w:rsidR="00454A29" w:rsidRDefault="00454A29">
            <w:pPr>
              <w:pStyle w:val="ConsPlusNormal"/>
            </w:pPr>
          </w:p>
        </w:tc>
      </w:tr>
      <w:tr w:rsidR="00454A29" w14:paraId="1F003449" w14:textId="77777777">
        <w:tc>
          <w:tcPr>
            <w:tcW w:w="567" w:type="dxa"/>
            <w:vMerge/>
          </w:tcPr>
          <w:p w14:paraId="1C8381B3" w14:textId="77777777" w:rsidR="00454A29" w:rsidRDefault="00454A29"/>
        </w:tc>
        <w:tc>
          <w:tcPr>
            <w:tcW w:w="3345" w:type="dxa"/>
            <w:vMerge/>
          </w:tcPr>
          <w:p w14:paraId="7C136898" w14:textId="77777777" w:rsidR="00454A29" w:rsidRDefault="00454A29"/>
        </w:tc>
        <w:tc>
          <w:tcPr>
            <w:tcW w:w="1701" w:type="dxa"/>
            <w:vAlign w:val="center"/>
          </w:tcPr>
          <w:p w14:paraId="0FA094BF" w14:textId="77777777" w:rsidR="00454A29" w:rsidRDefault="00454A29">
            <w:pPr>
              <w:pStyle w:val="ConsPlusNormal"/>
              <w:jc w:val="center"/>
            </w:pPr>
            <w:r>
              <w:t>2021</w:t>
            </w:r>
          </w:p>
        </w:tc>
        <w:tc>
          <w:tcPr>
            <w:tcW w:w="1417" w:type="dxa"/>
            <w:vMerge/>
          </w:tcPr>
          <w:p w14:paraId="1E770AE0" w14:textId="77777777" w:rsidR="00454A29" w:rsidRDefault="00454A29"/>
        </w:tc>
        <w:tc>
          <w:tcPr>
            <w:tcW w:w="2204" w:type="dxa"/>
            <w:vMerge/>
          </w:tcPr>
          <w:p w14:paraId="57E902A6" w14:textId="77777777" w:rsidR="00454A29" w:rsidRDefault="00454A29"/>
        </w:tc>
        <w:tc>
          <w:tcPr>
            <w:tcW w:w="1417" w:type="dxa"/>
            <w:vMerge/>
          </w:tcPr>
          <w:p w14:paraId="21177AE4" w14:textId="77777777" w:rsidR="00454A29" w:rsidRDefault="00454A29"/>
        </w:tc>
        <w:tc>
          <w:tcPr>
            <w:tcW w:w="2324" w:type="dxa"/>
            <w:vMerge/>
          </w:tcPr>
          <w:p w14:paraId="1CD2357A" w14:textId="77777777" w:rsidR="00454A29" w:rsidRDefault="00454A29"/>
        </w:tc>
        <w:tc>
          <w:tcPr>
            <w:tcW w:w="1701" w:type="dxa"/>
            <w:vAlign w:val="center"/>
          </w:tcPr>
          <w:p w14:paraId="475A4916" w14:textId="77777777" w:rsidR="00454A29" w:rsidRDefault="00454A29">
            <w:pPr>
              <w:pStyle w:val="ConsPlusNormal"/>
              <w:jc w:val="center"/>
            </w:pPr>
            <w:r>
              <w:t>51 326,03</w:t>
            </w:r>
          </w:p>
        </w:tc>
        <w:tc>
          <w:tcPr>
            <w:tcW w:w="1814" w:type="dxa"/>
            <w:vAlign w:val="center"/>
          </w:tcPr>
          <w:p w14:paraId="6DB29A92" w14:textId="77777777" w:rsidR="00454A29" w:rsidRDefault="00454A29">
            <w:pPr>
              <w:pStyle w:val="ConsPlusNormal"/>
              <w:jc w:val="center"/>
            </w:pPr>
            <w:r>
              <w:t>51 326,03</w:t>
            </w:r>
          </w:p>
        </w:tc>
        <w:tc>
          <w:tcPr>
            <w:tcW w:w="1701" w:type="dxa"/>
            <w:vAlign w:val="center"/>
          </w:tcPr>
          <w:p w14:paraId="77E0BB1D" w14:textId="77777777" w:rsidR="00454A29" w:rsidRDefault="00454A29">
            <w:pPr>
              <w:pStyle w:val="ConsPlusNormal"/>
            </w:pPr>
          </w:p>
        </w:tc>
        <w:tc>
          <w:tcPr>
            <w:tcW w:w="1701" w:type="dxa"/>
            <w:vAlign w:val="center"/>
          </w:tcPr>
          <w:p w14:paraId="03772CEB" w14:textId="77777777" w:rsidR="00454A29" w:rsidRDefault="00454A29">
            <w:pPr>
              <w:pStyle w:val="ConsPlusNormal"/>
            </w:pPr>
          </w:p>
        </w:tc>
        <w:tc>
          <w:tcPr>
            <w:tcW w:w="1814" w:type="dxa"/>
            <w:vAlign w:val="center"/>
          </w:tcPr>
          <w:p w14:paraId="0E02DDB5" w14:textId="77777777" w:rsidR="00454A29" w:rsidRDefault="00454A29">
            <w:pPr>
              <w:pStyle w:val="ConsPlusNormal"/>
            </w:pPr>
          </w:p>
        </w:tc>
      </w:tr>
      <w:tr w:rsidR="00454A29" w14:paraId="1BFEB22D" w14:textId="77777777">
        <w:tc>
          <w:tcPr>
            <w:tcW w:w="567" w:type="dxa"/>
            <w:vMerge/>
          </w:tcPr>
          <w:p w14:paraId="65E28B97" w14:textId="77777777" w:rsidR="00454A29" w:rsidRDefault="00454A29"/>
        </w:tc>
        <w:tc>
          <w:tcPr>
            <w:tcW w:w="3345" w:type="dxa"/>
            <w:vMerge/>
          </w:tcPr>
          <w:p w14:paraId="3F120D1A" w14:textId="77777777" w:rsidR="00454A29" w:rsidRDefault="00454A29"/>
        </w:tc>
        <w:tc>
          <w:tcPr>
            <w:tcW w:w="1701" w:type="dxa"/>
            <w:vAlign w:val="center"/>
          </w:tcPr>
          <w:p w14:paraId="328D71D7" w14:textId="77777777" w:rsidR="00454A29" w:rsidRDefault="00454A29">
            <w:pPr>
              <w:pStyle w:val="ConsPlusNormal"/>
              <w:jc w:val="center"/>
            </w:pPr>
            <w:r>
              <w:t>2022</w:t>
            </w:r>
          </w:p>
        </w:tc>
        <w:tc>
          <w:tcPr>
            <w:tcW w:w="1417" w:type="dxa"/>
            <w:vMerge/>
          </w:tcPr>
          <w:p w14:paraId="7755254F" w14:textId="77777777" w:rsidR="00454A29" w:rsidRDefault="00454A29"/>
        </w:tc>
        <w:tc>
          <w:tcPr>
            <w:tcW w:w="2204" w:type="dxa"/>
            <w:vMerge/>
          </w:tcPr>
          <w:p w14:paraId="18855099" w14:textId="77777777" w:rsidR="00454A29" w:rsidRDefault="00454A29"/>
        </w:tc>
        <w:tc>
          <w:tcPr>
            <w:tcW w:w="1417" w:type="dxa"/>
            <w:vMerge/>
          </w:tcPr>
          <w:p w14:paraId="4D71ABAA" w14:textId="77777777" w:rsidR="00454A29" w:rsidRDefault="00454A29"/>
        </w:tc>
        <w:tc>
          <w:tcPr>
            <w:tcW w:w="2324" w:type="dxa"/>
            <w:vMerge/>
          </w:tcPr>
          <w:p w14:paraId="1CD3676F" w14:textId="77777777" w:rsidR="00454A29" w:rsidRDefault="00454A29"/>
        </w:tc>
        <w:tc>
          <w:tcPr>
            <w:tcW w:w="1701" w:type="dxa"/>
            <w:vAlign w:val="center"/>
          </w:tcPr>
          <w:p w14:paraId="7533DC85" w14:textId="77777777" w:rsidR="00454A29" w:rsidRDefault="00454A29">
            <w:pPr>
              <w:pStyle w:val="ConsPlusNormal"/>
              <w:jc w:val="center"/>
            </w:pPr>
            <w:r>
              <w:t>175 302,96</w:t>
            </w:r>
          </w:p>
        </w:tc>
        <w:tc>
          <w:tcPr>
            <w:tcW w:w="1814" w:type="dxa"/>
            <w:vAlign w:val="center"/>
          </w:tcPr>
          <w:p w14:paraId="619FDA4B" w14:textId="77777777" w:rsidR="00454A29" w:rsidRDefault="00454A29">
            <w:pPr>
              <w:pStyle w:val="ConsPlusNormal"/>
              <w:jc w:val="center"/>
            </w:pPr>
            <w:r>
              <w:t>175 302,96</w:t>
            </w:r>
          </w:p>
        </w:tc>
        <w:tc>
          <w:tcPr>
            <w:tcW w:w="1701" w:type="dxa"/>
            <w:vAlign w:val="center"/>
          </w:tcPr>
          <w:p w14:paraId="4C865260" w14:textId="77777777" w:rsidR="00454A29" w:rsidRDefault="00454A29">
            <w:pPr>
              <w:pStyle w:val="ConsPlusNormal"/>
            </w:pPr>
          </w:p>
        </w:tc>
        <w:tc>
          <w:tcPr>
            <w:tcW w:w="1701" w:type="dxa"/>
            <w:vAlign w:val="center"/>
          </w:tcPr>
          <w:p w14:paraId="581312A0" w14:textId="77777777" w:rsidR="00454A29" w:rsidRDefault="00454A29">
            <w:pPr>
              <w:pStyle w:val="ConsPlusNormal"/>
            </w:pPr>
          </w:p>
        </w:tc>
        <w:tc>
          <w:tcPr>
            <w:tcW w:w="1814" w:type="dxa"/>
            <w:vAlign w:val="center"/>
          </w:tcPr>
          <w:p w14:paraId="6EBE7796" w14:textId="77777777" w:rsidR="00454A29" w:rsidRDefault="00454A29">
            <w:pPr>
              <w:pStyle w:val="ConsPlusNormal"/>
            </w:pPr>
          </w:p>
        </w:tc>
      </w:tr>
      <w:tr w:rsidR="00454A29" w14:paraId="022767FB" w14:textId="77777777">
        <w:tc>
          <w:tcPr>
            <w:tcW w:w="567" w:type="dxa"/>
            <w:vMerge/>
          </w:tcPr>
          <w:p w14:paraId="1506256B" w14:textId="77777777" w:rsidR="00454A29" w:rsidRDefault="00454A29"/>
        </w:tc>
        <w:tc>
          <w:tcPr>
            <w:tcW w:w="3345" w:type="dxa"/>
            <w:vMerge/>
          </w:tcPr>
          <w:p w14:paraId="27D62EC6" w14:textId="77777777" w:rsidR="00454A29" w:rsidRDefault="00454A29"/>
        </w:tc>
        <w:tc>
          <w:tcPr>
            <w:tcW w:w="1701" w:type="dxa"/>
            <w:vAlign w:val="center"/>
          </w:tcPr>
          <w:p w14:paraId="5ECD1E8C" w14:textId="77777777" w:rsidR="00454A29" w:rsidRDefault="00454A29">
            <w:pPr>
              <w:pStyle w:val="ConsPlusNormal"/>
              <w:jc w:val="center"/>
            </w:pPr>
            <w:r>
              <w:t>2023</w:t>
            </w:r>
          </w:p>
        </w:tc>
        <w:tc>
          <w:tcPr>
            <w:tcW w:w="1417" w:type="dxa"/>
            <w:vMerge/>
          </w:tcPr>
          <w:p w14:paraId="7E19B8AC" w14:textId="77777777" w:rsidR="00454A29" w:rsidRDefault="00454A29"/>
        </w:tc>
        <w:tc>
          <w:tcPr>
            <w:tcW w:w="2204" w:type="dxa"/>
            <w:vMerge/>
          </w:tcPr>
          <w:p w14:paraId="3BCE9A31" w14:textId="77777777" w:rsidR="00454A29" w:rsidRDefault="00454A29"/>
        </w:tc>
        <w:tc>
          <w:tcPr>
            <w:tcW w:w="1417" w:type="dxa"/>
            <w:vMerge/>
          </w:tcPr>
          <w:p w14:paraId="7FFE1F71" w14:textId="77777777" w:rsidR="00454A29" w:rsidRDefault="00454A29"/>
        </w:tc>
        <w:tc>
          <w:tcPr>
            <w:tcW w:w="2324" w:type="dxa"/>
            <w:vMerge/>
          </w:tcPr>
          <w:p w14:paraId="5309237E" w14:textId="77777777" w:rsidR="00454A29" w:rsidRDefault="00454A29"/>
        </w:tc>
        <w:tc>
          <w:tcPr>
            <w:tcW w:w="1701" w:type="dxa"/>
            <w:vAlign w:val="center"/>
          </w:tcPr>
          <w:p w14:paraId="20A372EA" w14:textId="77777777" w:rsidR="00454A29" w:rsidRDefault="00454A29">
            <w:pPr>
              <w:pStyle w:val="ConsPlusNormal"/>
            </w:pPr>
          </w:p>
        </w:tc>
        <w:tc>
          <w:tcPr>
            <w:tcW w:w="1814" w:type="dxa"/>
            <w:vAlign w:val="center"/>
          </w:tcPr>
          <w:p w14:paraId="397C4231" w14:textId="77777777" w:rsidR="00454A29" w:rsidRDefault="00454A29">
            <w:pPr>
              <w:pStyle w:val="ConsPlusNormal"/>
            </w:pPr>
          </w:p>
        </w:tc>
        <w:tc>
          <w:tcPr>
            <w:tcW w:w="1701" w:type="dxa"/>
            <w:vAlign w:val="center"/>
          </w:tcPr>
          <w:p w14:paraId="6F041AB4" w14:textId="77777777" w:rsidR="00454A29" w:rsidRDefault="00454A29">
            <w:pPr>
              <w:pStyle w:val="ConsPlusNormal"/>
            </w:pPr>
          </w:p>
        </w:tc>
        <w:tc>
          <w:tcPr>
            <w:tcW w:w="1701" w:type="dxa"/>
            <w:vAlign w:val="center"/>
          </w:tcPr>
          <w:p w14:paraId="0B81617B" w14:textId="77777777" w:rsidR="00454A29" w:rsidRDefault="00454A29">
            <w:pPr>
              <w:pStyle w:val="ConsPlusNormal"/>
            </w:pPr>
          </w:p>
        </w:tc>
        <w:tc>
          <w:tcPr>
            <w:tcW w:w="1814" w:type="dxa"/>
            <w:vAlign w:val="center"/>
          </w:tcPr>
          <w:p w14:paraId="7D856959" w14:textId="77777777" w:rsidR="00454A29" w:rsidRDefault="00454A29">
            <w:pPr>
              <w:pStyle w:val="ConsPlusNormal"/>
            </w:pPr>
          </w:p>
        </w:tc>
      </w:tr>
      <w:tr w:rsidR="00454A29" w14:paraId="11AF6E17" w14:textId="77777777">
        <w:tc>
          <w:tcPr>
            <w:tcW w:w="567" w:type="dxa"/>
            <w:vMerge/>
          </w:tcPr>
          <w:p w14:paraId="3CCCCA59" w14:textId="77777777" w:rsidR="00454A29" w:rsidRDefault="00454A29"/>
        </w:tc>
        <w:tc>
          <w:tcPr>
            <w:tcW w:w="3345" w:type="dxa"/>
            <w:vMerge/>
          </w:tcPr>
          <w:p w14:paraId="177B7AB9" w14:textId="77777777" w:rsidR="00454A29" w:rsidRDefault="00454A29"/>
        </w:tc>
        <w:tc>
          <w:tcPr>
            <w:tcW w:w="1701" w:type="dxa"/>
            <w:vAlign w:val="center"/>
          </w:tcPr>
          <w:p w14:paraId="771FD323" w14:textId="77777777" w:rsidR="00454A29" w:rsidRDefault="00454A29">
            <w:pPr>
              <w:pStyle w:val="ConsPlusNormal"/>
              <w:jc w:val="center"/>
            </w:pPr>
            <w:r>
              <w:t>2024</w:t>
            </w:r>
          </w:p>
        </w:tc>
        <w:tc>
          <w:tcPr>
            <w:tcW w:w="1417" w:type="dxa"/>
            <w:vMerge/>
          </w:tcPr>
          <w:p w14:paraId="1AF3CDF1" w14:textId="77777777" w:rsidR="00454A29" w:rsidRDefault="00454A29"/>
        </w:tc>
        <w:tc>
          <w:tcPr>
            <w:tcW w:w="2204" w:type="dxa"/>
            <w:vMerge/>
          </w:tcPr>
          <w:p w14:paraId="16306381" w14:textId="77777777" w:rsidR="00454A29" w:rsidRDefault="00454A29"/>
        </w:tc>
        <w:tc>
          <w:tcPr>
            <w:tcW w:w="1417" w:type="dxa"/>
            <w:vMerge/>
          </w:tcPr>
          <w:p w14:paraId="5966143E" w14:textId="77777777" w:rsidR="00454A29" w:rsidRDefault="00454A29"/>
        </w:tc>
        <w:tc>
          <w:tcPr>
            <w:tcW w:w="2324" w:type="dxa"/>
            <w:vMerge/>
          </w:tcPr>
          <w:p w14:paraId="3C237A32" w14:textId="77777777" w:rsidR="00454A29" w:rsidRDefault="00454A29"/>
        </w:tc>
        <w:tc>
          <w:tcPr>
            <w:tcW w:w="1701" w:type="dxa"/>
            <w:vAlign w:val="center"/>
          </w:tcPr>
          <w:p w14:paraId="3813AAAE" w14:textId="77777777" w:rsidR="00454A29" w:rsidRDefault="00454A29">
            <w:pPr>
              <w:pStyle w:val="ConsPlusNormal"/>
            </w:pPr>
          </w:p>
        </w:tc>
        <w:tc>
          <w:tcPr>
            <w:tcW w:w="1814" w:type="dxa"/>
            <w:vAlign w:val="center"/>
          </w:tcPr>
          <w:p w14:paraId="658798DF" w14:textId="77777777" w:rsidR="00454A29" w:rsidRDefault="00454A29">
            <w:pPr>
              <w:pStyle w:val="ConsPlusNormal"/>
            </w:pPr>
          </w:p>
        </w:tc>
        <w:tc>
          <w:tcPr>
            <w:tcW w:w="1701" w:type="dxa"/>
            <w:vAlign w:val="center"/>
          </w:tcPr>
          <w:p w14:paraId="1E007DAD" w14:textId="77777777" w:rsidR="00454A29" w:rsidRDefault="00454A29">
            <w:pPr>
              <w:pStyle w:val="ConsPlusNormal"/>
            </w:pPr>
          </w:p>
        </w:tc>
        <w:tc>
          <w:tcPr>
            <w:tcW w:w="1701" w:type="dxa"/>
            <w:vAlign w:val="center"/>
          </w:tcPr>
          <w:p w14:paraId="13E22773" w14:textId="77777777" w:rsidR="00454A29" w:rsidRDefault="00454A29">
            <w:pPr>
              <w:pStyle w:val="ConsPlusNormal"/>
            </w:pPr>
          </w:p>
        </w:tc>
        <w:tc>
          <w:tcPr>
            <w:tcW w:w="1814" w:type="dxa"/>
            <w:vAlign w:val="center"/>
          </w:tcPr>
          <w:p w14:paraId="661012D5" w14:textId="77777777" w:rsidR="00454A29" w:rsidRDefault="00454A29">
            <w:pPr>
              <w:pStyle w:val="ConsPlusNormal"/>
            </w:pPr>
          </w:p>
        </w:tc>
      </w:tr>
      <w:tr w:rsidR="00454A29" w14:paraId="473BB7B5" w14:textId="77777777">
        <w:tc>
          <w:tcPr>
            <w:tcW w:w="567" w:type="dxa"/>
            <w:vMerge/>
          </w:tcPr>
          <w:p w14:paraId="121F33BD" w14:textId="77777777" w:rsidR="00454A29" w:rsidRDefault="00454A29"/>
        </w:tc>
        <w:tc>
          <w:tcPr>
            <w:tcW w:w="3345" w:type="dxa"/>
            <w:vMerge/>
          </w:tcPr>
          <w:p w14:paraId="521082CC" w14:textId="77777777" w:rsidR="00454A29" w:rsidRDefault="00454A29"/>
        </w:tc>
        <w:tc>
          <w:tcPr>
            <w:tcW w:w="1701" w:type="dxa"/>
            <w:vAlign w:val="center"/>
          </w:tcPr>
          <w:p w14:paraId="5E769B3B" w14:textId="77777777" w:rsidR="00454A29" w:rsidRDefault="00454A29">
            <w:pPr>
              <w:pStyle w:val="ConsPlusNormal"/>
              <w:jc w:val="center"/>
            </w:pPr>
            <w:r>
              <w:t>2025</w:t>
            </w:r>
          </w:p>
        </w:tc>
        <w:tc>
          <w:tcPr>
            <w:tcW w:w="1417" w:type="dxa"/>
            <w:vMerge/>
          </w:tcPr>
          <w:p w14:paraId="072E1F72" w14:textId="77777777" w:rsidR="00454A29" w:rsidRDefault="00454A29"/>
        </w:tc>
        <w:tc>
          <w:tcPr>
            <w:tcW w:w="2204" w:type="dxa"/>
            <w:vMerge/>
          </w:tcPr>
          <w:p w14:paraId="0F79194E" w14:textId="77777777" w:rsidR="00454A29" w:rsidRDefault="00454A29"/>
        </w:tc>
        <w:tc>
          <w:tcPr>
            <w:tcW w:w="1417" w:type="dxa"/>
            <w:vMerge/>
          </w:tcPr>
          <w:p w14:paraId="33CC845A" w14:textId="77777777" w:rsidR="00454A29" w:rsidRDefault="00454A29"/>
        </w:tc>
        <w:tc>
          <w:tcPr>
            <w:tcW w:w="2324" w:type="dxa"/>
            <w:vMerge/>
          </w:tcPr>
          <w:p w14:paraId="47FE4151" w14:textId="77777777" w:rsidR="00454A29" w:rsidRDefault="00454A29"/>
        </w:tc>
        <w:tc>
          <w:tcPr>
            <w:tcW w:w="1701" w:type="dxa"/>
            <w:vAlign w:val="center"/>
          </w:tcPr>
          <w:p w14:paraId="001CAB5A" w14:textId="77777777" w:rsidR="00454A29" w:rsidRDefault="00454A29">
            <w:pPr>
              <w:pStyle w:val="ConsPlusNormal"/>
            </w:pPr>
          </w:p>
        </w:tc>
        <w:tc>
          <w:tcPr>
            <w:tcW w:w="1814" w:type="dxa"/>
            <w:vAlign w:val="center"/>
          </w:tcPr>
          <w:p w14:paraId="66E656E3" w14:textId="77777777" w:rsidR="00454A29" w:rsidRDefault="00454A29">
            <w:pPr>
              <w:pStyle w:val="ConsPlusNormal"/>
            </w:pPr>
          </w:p>
        </w:tc>
        <w:tc>
          <w:tcPr>
            <w:tcW w:w="1701" w:type="dxa"/>
            <w:vAlign w:val="center"/>
          </w:tcPr>
          <w:p w14:paraId="2DA02F57" w14:textId="77777777" w:rsidR="00454A29" w:rsidRDefault="00454A29">
            <w:pPr>
              <w:pStyle w:val="ConsPlusNormal"/>
            </w:pPr>
          </w:p>
        </w:tc>
        <w:tc>
          <w:tcPr>
            <w:tcW w:w="1701" w:type="dxa"/>
            <w:vAlign w:val="center"/>
          </w:tcPr>
          <w:p w14:paraId="7544DB8B" w14:textId="77777777" w:rsidR="00454A29" w:rsidRDefault="00454A29">
            <w:pPr>
              <w:pStyle w:val="ConsPlusNormal"/>
            </w:pPr>
          </w:p>
        </w:tc>
        <w:tc>
          <w:tcPr>
            <w:tcW w:w="1814" w:type="dxa"/>
            <w:vAlign w:val="center"/>
          </w:tcPr>
          <w:p w14:paraId="6DA75383" w14:textId="77777777" w:rsidR="00454A29" w:rsidRDefault="00454A29">
            <w:pPr>
              <w:pStyle w:val="ConsPlusNormal"/>
            </w:pPr>
          </w:p>
        </w:tc>
      </w:tr>
      <w:tr w:rsidR="00454A29" w14:paraId="37B4A69A" w14:textId="77777777">
        <w:tc>
          <w:tcPr>
            <w:tcW w:w="567" w:type="dxa"/>
            <w:vMerge/>
          </w:tcPr>
          <w:p w14:paraId="590382FA" w14:textId="77777777" w:rsidR="00454A29" w:rsidRDefault="00454A29"/>
        </w:tc>
        <w:tc>
          <w:tcPr>
            <w:tcW w:w="3345" w:type="dxa"/>
            <w:vMerge/>
          </w:tcPr>
          <w:p w14:paraId="76C4A40F" w14:textId="77777777" w:rsidR="00454A29" w:rsidRDefault="00454A29"/>
        </w:tc>
        <w:tc>
          <w:tcPr>
            <w:tcW w:w="1701" w:type="dxa"/>
            <w:vAlign w:val="center"/>
          </w:tcPr>
          <w:p w14:paraId="70D6BB39" w14:textId="77777777" w:rsidR="00454A29" w:rsidRDefault="00454A29">
            <w:pPr>
              <w:pStyle w:val="ConsPlusNormal"/>
              <w:jc w:val="center"/>
            </w:pPr>
            <w:r>
              <w:t>2026</w:t>
            </w:r>
          </w:p>
        </w:tc>
        <w:tc>
          <w:tcPr>
            <w:tcW w:w="1417" w:type="dxa"/>
            <w:vMerge/>
          </w:tcPr>
          <w:p w14:paraId="78D96992" w14:textId="77777777" w:rsidR="00454A29" w:rsidRDefault="00454A29"/>
        </w:tc>
        <w:tc>
          <w:tcPr>
            <w:tcW w:w="2204" w:type="dxa"/>
            <w:vMerge/>
          </w:tcPr>
          <w:p w14:paraId="47B40D96" w14:textId="77777777" w:rsidR="00454A29" w:rsidRDefault="00454A29"/>
        </w:tc>
        <w:tc>
          <w:tcPr>
            <w:tcW w:w="1417" w:type="dxa"/>
            <w:vMerge/>
          </w:tcPr>
          <w:p w14:paraId="6179FD98" w14:textId="77777777" w:rsidR="00454A29" w:rsidRDefault="00454A29"/>
        </w:tc>
        <w:tc>
          <w:tcPr>
            <w:tcW w:w="2324" w:type="dxa"/>
            <w:vMerge/>
          </w:tcPr>
          <w:p w14:paraId="2002A2B6" w14:textId="77777777" w:rsidR="00454A29" w:rsidRDefault="00454A29"/>
        </w:tc>
        <w:tc>
          <w:tcPr>
            <w:tcW w:w="1701" w:type="dxa"/>
            <w:vAlign w:val="center"/>
          </w:tcPr>
          <w:p w14:paraId="2028E893" w14:textId="77777777" w:rsidR="00454A29" w:rsidRDefault="00454A29">
            <w:pPr>
              <w:pStyle w:val="ConsPlusNormal"/>
            </w:pPr>
          </w:p>
        </w:tc>
        <w:tc>
          <w:tcPr>
            <w:tcW w:w="1814" w:type="dxa"/>
            <w:vAlign w:val="center"/>
          </w:tcPr>
          <w:p w14:paraId="5C6F1BAE" w14:textId="77777777" w:rsidR="00454A29" w:rsidRDefault="00454A29">
            <w:pPr>
              <w:pStyle w:val="ConsPlusNormal"/>
            </w:pPr>
          </w:p>
        </w:tc>
        <w:tc>
          <w:tcPr>
            <w:tcW w:w="1701" w:type="dxa"/>
            <w:vAlign w:val="center"/>
          </w:tcPr>
          <w:p w14:paraId="2D85B89B" w14:textId="77777777" w:rsidR="00454A29" w:rsidRDefault="00454A29">
            <w:pPr>
              <w:pStyle w:val="ConsPlusNormal"/>
            </w:pPr>
          </w:p>
        </w:tc>
        <w:tc>
          <w:tcPr>
            <w:tcW w:w="1701" w:type="dxa"/>
            <w:vAlign w:val="center"/>
          </w:tcPr>
          <w:p w14:paraId="7E07D657" w14:textId="77777777" w:rsidR="00454A29" w:rsidRDefault="00454A29">
            <w:pPr>
              <w:pStyle w:val="ConsPlusNormal"/>
            </w:pPr>
          </w:p>
        </w:tc>
        <w:tc>
          <w:tcPr>
            <w:tcW w:w="1814" w:type="dxa"/>
            <w:vAlign w:val="center"/>
          </w:tcPr>
          <w:p w14:paraId="0DB6C51D" w14:textId="77777777" w:rsidR="00454A29" w:rsidRDefault="00454A29">
            <w:pPr>
              <w:pStyle w:val="ConsPlusNormal"/>
            </w:pPr>
          </w:p>
        </w:tc>
      </w:tr>
      <w:tr w:rsidR="00454A29" w14:paraId="4200FD3C" w14:textId="77777777">
        <w:tc>
          <w:tcPr>
            <w:tcW w:w="21706" w:type="dxa"/>
            <w:gridSpan w:val="12"/>
            <w:vAlign w:val="center"/>
          </w:tcPr>
          <w:p w14:paraId="28683D36" w14:textId="77777777" w:rsidR="00454A29" w:rsidRDefault="00454A29">
            <w:pPr>
              <w:pStyle w:val="ConsPlusNormal"/>
              <w:jc w:val="center"/>
            </w:pPr>
            <w:r>
              <w:t>Мероприятие 9.1.2.</w:t>
            </w:r>
          </w:p>
        </w:tc>
      </w:tr>
      <w:tr w:rsidR="00454A29" w14:paraId="0776CCD7" w14:textId="77777777">
        <w:tc>
          <w:tcPr>
            <w:tcW w:w="567" w:type="dxa"/>
            <w:vMerge w:val="restart"/>
            <w:vAlign w:val="center"/>
          </w:tcPr>
          <w:p w14:paraId="3AFFBE9D" w14:textId="77777777" w:rsidR="00454A29" w:rsidRDefault="00454A29">
            <w:pPr>
              <w:pStyle w:val="ConsPlusNormal"/>
            </w:pPr>
          </w:p>
        </w:tc>
        <w:tc>
          <w:tcPr>
            <w:tcW w:w="3345" w:type="dxa"/>
            <w:vMerge w:val="restart"/>
            <w:vAlign w:val="center"/>
          </w:tcPr>
          <w:p w14:paraId="00406262" w14:textId="77777777" w:rsidR="00454A29" w:rsidRDefault="00454A29">
            <w:pPr>
              <w:pStyle w:val="ConsPlusNormal"/>
              <w:jc w:val="center"/>
            </w:pPr>
            <w:r>
              <w:t>Строительство, приобретение и реконструкция объектов общего образования (софинансирование)</w:t>
            </w:r>
          </w:p>
        </w:tc>
        <w:tc>
          <w:tcPr>
            <w:tcW w:w="1701" w:type="dxa"/>
            <w:vAlign w:val="center"/>
          </w:tcPr>
          <w:p w14:paraId="410AF8CF" w14:textId="77777777" w:rsidR="00454A29" w:rsidRDefault="00454A29">
            <w:pPr>
              <w:pStyle w:val="ConsPlusNormal"/>
              <w:jc w:val="center"/>
            </w:pPr>
            <w:r>
              <w:t>2020 - 2026 годы - всего</w:t>
            </w:r>
          </w:p>
        </w:tc>
        <w:tc>
          <w:tcPr>
            <w:tcW w:w="1417" w:type="dxa"/>
            <w:vMerge w:val="restart"/>
            <w:vAlign w:val="center"/>
          </w:tcPr>
          <w:p w14:paraId="5CF7E14F" w14:textId="77777777" w:rsidR="00454A29" w:rsidRDefault="00454A29">
            <w:pPr>
              <w:pStyle w:val="ConsPlusNormal"/>
            </w:pPr>
          </w:p>
        </w:tc>
        <w:tc>
          <w:tcPr>
            <w:tcW w:w="2204" w:type="dxa"/>
            <w:vMerge w:val="restart"/>
            <w:vAlign w:val="center"/>
          </w:tcPr>
          <w:p w14:paraId="2C8B8032" w14:textId="77777777" w:rsidR="00454A29" w:rsidRDefault="00454A29">
            <w:pPr>
              <w:pStyle w:val="ConsPlusNormal"/>
            </w:pPr>
          </w:p>
        </w:tc>
        <w:tc>
          <w:tcPr>
            <w:tcW w:w="1417" w:type="dxa"/>
            <w:vMerge w:val="restart"/>
            <w:vAlign w:val="center"/>
          </w:tcPr>
          <w:p w14:paraId="7EC1D899" w14:textId="77777777" w:rsidR="00454A29" w:rsidRDefault="00454A29">
            <w:pPr>
              <w:pStyle w:val="ConsPlusNormal"/>
              <w:jc w:val="center"/>
            </w:pPr>
            <w:r>
              <w:t>1736</w:t>
            </w:r>
          </w:p>
        </w:tc>
        <w:tc>
          <w:tcPr>
            <w:tcW w:w="2324" w:type="dxa"/>
            <w:vMerge w:val="restart"/>
            <w:vAlign w:val="center"/>
          </w:tcPr>
          <w:p w14:paraId="6D9F6F00" w14:textId="77777777" w:rsidR="00454A29" w:rsidRDefault="00454A29">
            <w:pPr>
              <w:pStyle w:val="ConsPlusNormal"/>
            </w:pPr>
          </w:p>
        </w:tc>
        <w:tc>
          <w:tcPr>
            <w:tcW w:w="1701" w:type="dxa"/>
            <w:vAlign w:val="center"/>
          </w:tcPr>
          <w:p w14:paraId="187231F0" w14:textId="77777777" w:rsidR="00454A29" w:rsidRDefault="00454A29">
            <w:pPr>
              <w:pStyle w:val="ConsPlusNormal"/>
              <w:jc w:val="center"/>
            </w:pPr>
            <w:r>
              <w:t>4 519 177,95</w:t>
            </w:r>
          </w:p>
        </w:tc>
        <w:tc>
          <w:tcPr>
            <w:tcW w:w="1814" w:type="dxa"/>
            <w:vAlign w:val="center"/>
          </w:tcPr>
          <w:p w14:paraId="6FF27D0E" w14:textId="77777777" w:rsidR="00454A29" w:rsidRDefault="00454A29">
            <w:pPr>
              <w:pStyle w:val="ConsPlusNormal"/>
              <w:jc w:val="center"/>
            </w:pPr>
            <w:r>
              <w:t>147 195,48</w:t>
            </w:r>
          </w:p>
        </w:tc>
        <w:tc>
          <w:tcPr>
            <w:tcW w:w="1701" w:type="dxa"/>
            <w:vAlign w:val="center"/>
          </w:tcPr>
          <w:p w14:paraId="44B47D1E" w14:textId="77777777" w:rsidR="00454A29" w:rsidRDefault="00454A29">
            <w:pPr>
              <w:pStyle w:val="ConsPlusNormal"/>
              <w:jc w:val="center"/>
            </w:pPr>
            <w:r>
              <w:t>3 543 437,27</w:t>
            </w:r>
          </w:p>
        </w:tc>
        <w:tc>
          <w:tcPr>
            <w:tcW w:w="1701" w:type="dxa"/>
            <w:vAlign w:val="center"/>
          </w:tcPr>
          <w:p w14:paraId="5B30CBA0" w14:textId="77777777" w:rsidR="00454A29" w:rsidRDefault="00454A29">
            <w:pPr>
              <w:pStyle w:val="ConsPlusNormal"/>
              <w:jc w:val="center"/>
            </w:pPr>
            <w:r>
              <w:t>828 545,20</w:t>
            </w:r>
          </w:p>
        </w:tc>
        <w:tc>
          <w:tcPr>
            <w:tcW w:w="1814" w:type="dxa"/>
            <w:vAlign w:val="center"/>
          </w:tcPr>
          <w:p w14:paraId="7A00B042" w14:textId="77777777" w:rsidR="00454A29" w:rsidRDefault="00454A29">
            <w:pPr>
              <w:pStyle w:val="ConsPlusNormal"/>
              <w:jc w:val="center"/>
            </w:pPr>
            <w:r>
              <w:t>-</w:t>
            </w:r>
          </w:p>
        </w:tc>
      </w:tr>
      <w:tr w:rsidR="00454A29" w14:paraId="66C2E6A2" w14:textId="77777777">
        <w:tc>
          <w:tcPr>
            <w:tcW w:w="567" w:type="dxa"/>
            <w:vMerge/>
          </w:tcPr>
          <w:p w14:paraId="739D0721" w14:textId="77777777" w:rsidR="00454A29" w:rsidRDefault="00454A29"/>
        </w:tc>
        <w:tc>
          <w:tcPr>
            <w:tcW w:w="3345" w:type="dxa"/>
            <w:vMerge/>
          </w:tcPr>
          <w:p w14:paraId="6A277193" w14:textId="77777777" w:rsidR="00454A29" w:rsidRDefault="00454A29"/>
        </w:tc>
        <w:tc>
          <w:tcPr>
            <w:tcW w:w="1701" w:type="dxa"/>
            <w:vAlign w:val="center"/>
          </w:tcPr>
          <w:p w14:paraId="063D0686" w14:textId="77777777" w:rsidR="00454A29" w:rsidRDefault="00454A29">
            <w:pPr>
              <w:pStyle w:val="ConsPlusNormal"/>
              <w:jc w:val="center"/>
            </w:pPr>
            <w:r>
              <w:t>2020</w:t>
            </w:r>
          </w:p>
        </w:tc>
        <w:tc>
          <w:tcPr>
            <w:tcW w:w="1417" w:type="dxa"/>
            <w:vMerge/>
          </w:tcPr>
          <w:p w14:paraId="6E2FE84B" w14:textId="77777777" w:rsidR="00454A29" w:rsidRDefault="00454A29"/>
        </w:tc>
        <w:tc>
          <w:tcPr>
            <w:tcW w:w="2204" w:type="dxa"/>
            <w:vMerge/>
          </w:tcPr>
          <w:p w14:paraId="3EEF6621" w14:textId="77777777" w:rsidR="00454A29" w:rsidRDefault="00454A29"/>
        </w:tc>
        <w:tc>
          <w:tcPr>
            <w:tcW w:w="1417" w:type="dxa"/>
            <w:vMerge/>
          </w:tcPr>
          <w:p w14:paraId="012DD496" w14:textId="77777777" w:rsidR="00454A29" w:rsidRDefault="00454A29"/>
        </w:tc>
        <w:tc>
          <w:tcPr>
            <w:tcW w:w="2324" w:type="dxa"/>
            <w:vMerge/>
          </w:tcPr>
          <w:p w14:paraId="564134BD" w14:textId="77777777" w:rsidR="00454A29" w:rsidRDefault="00454A29"/>
        </w:tc>
        <w:tc>
          <w:tcPr>
            <w:tcW w:w="1701" w:type="dxa"/>
            <w:vAlign w:val="center"/>
          </w:tcPr>
          <w:p w14:paraId="1E9123FC" w14:textId="77777777" w:rsidR="00454A29" w:rsidRDefault="00454A29">
            <w:pPr>
              <w:pStyle w:val="ConsPlusNormal"/>
              <w:jc w:val="center"/>
            </w:pPr>
            <w:r>
              <w:t>640 088,00</w:t>
            </w:r>
          </w:p>
        </w:tc>
        <w:tc>
          <w:tcPr>
            <w:tcW w:w="1814" w:type="dxa"/>
            <w:vAlign w:val="center"/>
          </w:tcPr>
          <w:p w14:paraId="411E3A03" w14:textId="77777777" w:rsidR="00454A29" w:rsidRDefault="00454A29">
            <w:pPr>
              <w:pStyle w:val="ConsPlusNormal"/>
              <w:jc w:val="center"/>
            </w:pPr>
            <w:r>
              <w:t>91 840,61</w:t>
            </w:r>
          </w:p>
        </w:tc>
        <w:tc>
          <w:tcPr>
            <w:tcW w:w="1701" w:type="dxa"/>
            <w:vAlign w:val="center"/>
          </w:tcPr>
          <w:p w14:paraId="3FA45929" w14:textId="77777777" w:rsidR="00454A29" w:rsidRDefault="00454A29">
            <w:pPr>
              <w:pStyle w:val="ConsPlusNormal"/>
              <w:jc w:val="center"/>
            </w:pPr>
            <w:r>
              <w:t>182 220,39</w:t>
            </w:r>
          </w:p>
        </w:tc>
        <w:tc>
          <w:tcPr>
            <w:tcW w:w="1701" w:type="dxa"/>
            <w:vAlign w:val="center"/>
          </w:tcPr>
          <w:p w14:paraId="1EFD4C18" w14:textId="77777777" w:rsidR="00454A29" w:rsidRDefault="00454A29">
            <w:pPr>
              <w:pStyle w:val="ConsPlusNormal"/>
              <w:jc w:val="center"/>
            </w:pPr>
            <w:r>
              <w:t>366 027,00</w:t>
            </w:r>
          </w:p>
        </w:tc>
        <w:tc>
          <w:tcPr>
            <w:tcW w:w="1814" w:type="dxa"/>
            <w:vAlign w:val="center"/>
          </w:tcPr>
          <w:p w14:paraId="765CF228" w14:textId="77777777" w:rsidR="00454A29" w:rsidRDefault="00454A29">
            <w:pPr>
              <w:pStyle w:val="ConsPlusNormal"/>
              <w:jc w:val="center"/>
            </w:pPr>
            <w:r>
              <w:t>-</w:t>
            </w:r>
          </w:p>
        </w:tc>
      </w:tr>
      <w:tr w:rsidR="00454A29" w14:paraId="1D67F435" w14:textId="77777777">
        <w:tc>
          <w:tcPr>
            <w:tcW w:w="567" w:type="dxa"/>
            <w:vMerge/>
          </w:tcPr>
          <w:p w14:paraId="5E16C9AA" w14:textId="77777777" w:rsidR="00454A29" w:rsidRDefault="00454A29"/>
        </w:tc>
        <w:tc>
          <w:tcPr>
            <w:tcW w:w="3345" w:type="dxa"/>
            <w:vMerge/>
          </w:tcPr>
          <w:p w14:paraId="2B435F6B" w14:textId="77777777" w:rsidR="00454A29" w:rsidRDefault="00454A29"/>
        </w:tc>
        <w:tc>
          <w:tcPr>
            <w:tcW w:w="1701" w:type="dxa"/>
            <w:vAlign w:val="center"/>
          </w:tcPr>
          <w:p w14:paraId="52B04B7C" w14:textId="77777777" w:rsidR="00454A29" w:rsidRDefault="00454A29">
            <w:pPr>
              <w:pStyle w:val="ConsPlusNormal"/>
              <w:jc w:val="center"/>
            </w:pPr>
            <w:r>
              <w:t>2021</w:t>
            </w:r>
          </w:p>
        </w:tc>
        <w:tc>
          <w:tcPr>
            <w:tcW w:w="1417" w:type="dxa"/>
            <w:vMerge/>
          </w:tcPr>
          <w:p w14:paraId="504CB60D" w14:textId="77777777" w:rsidR="00454A29" w:rsidRDefault="00454A29"/>
        </w:tc>
        <w:tc>
          <w:tcPr>
            <w:tcW w:w="2204" w:type="dxa"/>
            <w:vMerge/>
          </w:tcPr>
          <w:p w14:paraId="29F1010B" w14:textId="77777777" w:rsidR="00454A29" w:rsidRDefault="00454A29"/>
        </w:tc>
        <w:tc>
          <w:tcPr>
            <w:tcW w:w="1417" w:type="dxa"/>
            <w:vMerge/>
          </w:tcPr>
          <w:p w14:paraId="1DC1C130" w14:textId="77777777" w:rsidR="00454A29" w:rsidRDefault="00454A29"/>
        </w:tc>
        <w:tc>
          <w:tcPr>
            <w:tcW w:w="2324" w:type="dxa"/>
            <w:vMerge/>
          </w:tcPr>
          <w:p w14:paraId="2D1D1F23" w14:textId="77777777" w:rsidR="00454A29" w:rsidRDefault="00454A29"/>
        </w:tc>
        <w:tc>
          <w:tcPr>
            <w:tcW w:w="1701" w:type="dxa"/>
            <w:vAlign w:val="center"/>
          </w:tcPr>
          <w:p w14:paraId="51404D3E" w14:textId="77777777" w:rsidR="00454A29" w:rsidRDefault="00454A29">
            <w:pPr>
              <w:pStyle w:val="ConsPlusNormal"/>
              <w:jc w:val="center"/>
            </w:pPr>
            <w:r>
              <w:t>723 668,01</w:t>
            </w:r>
          </w:p>
        </w:tc>
        <w:tc>
          <w:tcPr>
            <w:tcW w:w="1814" w:type="dxa"/>
            <w:vAlign w:val="center"/>
          </w:tcPr>
          <w:p w14:paraId="2AE020F6" w14:textId="77777777" w:rsidR="00454A29" w:rsidRDefault="00454A29">
            <w:pPr>
              <w:pStyle w:val="ConsPlusNormal"/>
              <w:jc w:val="center"/>
            </w:pPr>
            <w:r>
              <w:t>3 027,37</w:t>
            </w:r>
          </w:p>
        </w:tc>
        <w:tc>
          <w:tcPr>
            <w:tcW w:w="1701" w:type="dxa"/>
            <w:vAlign w:val="center"/>
          </w:tcPr>
          <w:p w14:paraId="735D443F" w14:textId="77777777" w:rsidR="00454A29" w:rsidRDefault="00454A29">
            <w:pPr>
              <w:pStyle w:val="ConsPlusNormal"/>
              <w:jc w:val="center"/>
            </w:pPr>
            <w:r>
              <w:t>299 709,64</w:t>
            </w:r>
          </w:p>
        </w:tc>
        <w:tc>
          <w:tcPr>
            <w:tcW w:w="1701" w:type="dxa"/>
            <w:vAlign w:val="center"/>
          </w:tcPr>
          <w:p w14:paraId="5C101EA5" w14:textId="77777777" w:rsidR="00454A29" w:rsidRDefault="00454A29">
            <w:pPr>
              <w:pStyle w:val="ConsPlusNormal"/>
              <w:jc w:val="center"/>
            </w:pPr>
            <w:r>
              <w:t>420 931,00</w:t>
            </w:r>
          </w:p>
        </w:tc>
        <w:tc>
          <w:tcPr>
            <w:tcW w:w="1814" w:type="dxa"/>
            <w:vAlign w:val="center"/>
          </w:tcPr>
          <w:p w14:paraId="71748039" w14:textId="77777777" w:rsidR="00454A29" w:rsidRDefault="00454A29">
            <w:pPr>
              <w:pStyle w:val="ConsPlusNormal"/>
              <w:jc w:val="center"/>
            </w:pPr>
            <w:r>
              <w:t>-</w:t>
            </w:r>
          </w:p>
        </w:tc>
      </w:tr>
      <w:tr w:rsidR="00454A29" w14:paraId="0CDCBC2D" w14:textId="77777777">
        <w:tc>
          <w:tcPr>
            <w:tcW w:w="567" w:type="dxa"/>
            <w:vMerge/>
          </w:tcPr>
          <w:p w14:paraId="38106581" w14:textId="77777777" w:rsidR="00454A29" w:rsidRDefault="00454A29"/>
        </w:tc>
        <w:tc>
          <w:tcPr>
            <w:tcW w:w="3345" w:type="dxa"/>
            <w:vMerge/>
          </w:tcPr>
          <w:p w14:paraId="6812CDF1" w14:textId="77777777" w:rsidR="00454A29" w:rsidRDefault="00454A29"/>
        </w:tc>
        <w:tc>
          <w:tcPr>
            <w:tcW w:w="1701" w:type="dxa"/>
            <w:vAlign w:val="center"/>
          </w:tcPr>
          <w:p w14:paraId="34738CB7" w14:textId="77777777" w:rsidR="00454A29" w:rsidRDefault="00454A29">
            <w:pPr>
              <w:pStyle w:val="ConsPlusNormal"/>
              <w:jc w:val="center"/>
            </w:pPr>
            <w:r>
              <w:t>2022</w:t>
            </w:r>
          </w:p>
        </w:tc>
        <w:tc>
          <w:tcPr>
            <w:tcW w:w="1417" w:type="dxa"/>
            <w:vMerge/>
          </w:tcPr>
          <w:p w14:paraId="4FEA0D1D" w14:textId="77777777" w:rsidR="00454A29" w:rsidRDefault="00454A29"/>
        </w:tc>
        <w:tc>
          <w:tcPr>
            <w:tcW w:w="2204" w:type="dxa"/>
            <w:vMerge/>
          </w:tcPr>
          <w:p w14:paraId="6105FA0F" w14:textId="77777777" w:rsidR="00454A29" w:rsidRDefault="00454A29"/>
        </w:tc>
        <w:tc>
          <w:tcPr>
            <w:tcW w:w="1417" w:type="dxa"/>
            <w:vMerge/>
          </w:tcPr>
          <w:p w14:paraId="3D56FA33" w14:textId="77777777" w:rsidR="00454A29" w:rsidRDefault="00454A29"/>
        </w:tc>
        <w:tc>
          <w:tcPr>
            <w:tcW w:w="2324" w:type="dxa"/>
            <w:vMerge/>
          </w:tcPr>
          <w:p w14:paraId="4CC94DD1" w14:textId="77777777" w:rsidR="00454A29" w:rsidRDefault="00454A29"/>
        </w:tc>
        <w:tc>
          <w:tcPr>
            <w:tcW w:w="1701" w:type="dxa"/>
            <w:vAlign w:val="center"/>
          </w:tcPr>
          <w:p w14:paraId="61BB3C37" w14:textId="77777777" w:rsidR="00454A29" w:rsidRDefault="00454A29">
            <w:pPr>
              <w:pStyle w:val="ConsPlusNormal"/>
              <w:jc w:val="center"/>
            </w:pPr>
            <w:r>
              <w:t>-</w:t>
            </w:r>
          </w:p>
        </w:tc>
        <w:tc>
          <w:tcPr>
            <w:tcW w:w="1814" w:type="dxa"/>
            <w:vAlign w:val="center"/>
          </w:tcPr>
          <w:p w14:paraId="6701FC65" w14:textId="77777777" w:rsidR="00454A29" w:rsidRDefault="00454A29">
            <w:pPr>
              <w:pStyle w:val="ConsPlusNormal"/>
              <w:jc w:val="center"/>
            </w:pPr>
            <w:r>
              <w:t>-</w:t>
            </w:r>
          </w:p>
        </w:tc>
        <w:tc>
          <w:tcPr>
            <w:tcW w:w="1701" w:type="dxa"/>
            <w:vAlign w:val="center"/>
          </w:tcPr>
          <w:p w14:paraId="523C968B" w14:textId="77777777" w:rsidR="00454A29" w:rsidRDefault="00454A29">
            <w:pPr>
              <w:pStyle w:val="ConsPlusNormal"/>
              <w:jc w:val="center"/>
            </w:pPr>
            <w:r>
              <w:t>-</w:t>
            </w:r>
          </w:p>
        </w:tc>
        <w:tc>
          <w:tcPr>
            <w:tcW w:w="1701" w:type="dxa"/>
            <w:vAlign w:val="center"/>
          </w:tcPr>
          <w:p w14:paraId="796822E4" w14:textId="77777777" w:rsidR="00454A29" w:rsidRDefault="00454A29">
            <w:pPr>
              <w:pStyle w:val="ConsPlusNormal"/>
              <w:jc w:val="center"/>
            </w:pPr>
            <w:r>
              <w:t>-</w:t>
            </w:r>
          </w:p>
        </w:tc>
        <w:tc>
          <w:tcPr>
            <w:tcW w:w="1814" w:type="dxa"/>
            <w:vAlign w:val="center"/>
          </w:tcPr>
          <w:p w14:paraId="2B0F8136" w14:textId="77777777" w:rsidR="00454A29" w:rsidRDefault="00454A29">
            <w:pPr>
              <w:pStyle w:val="ConsPlusNormal"/>
              <w:jc w:val="center"/>
            </w:pPr>
            <w:r>
              <w:t>-</w:t>
            </w:r>
          </w:p>
        </w:tc>
      </w:tr>
      <w:tr w:rsidR="00454A29" w14:paraId="035F827D" w14:textId="77777777">
        <w:tc>
          <w:tcPr>
            <w:tcW w:w="567" w:type="dxa"/>
            <w:vMerge/>
          </w:tcPr>
          <w:p w14:paraId="0B2BCFBC" w14:textId="77777777" w:rsidR="00454A29" w:rsidRDefault="00454A29"/>
        </w:tc>
        <w:tc>
          <w:tcPr>
            <w:tcW w:w="3345" w:type="dxa"/>
            <w:vMerge/>
          </w:tcPr>
          <w:p w14:paraId="2ACD1A6B" w14:textId="77777777" w:rsidR="00454A29" w:rsidRDefault="00454A29"/>
        </w:tc>
        <w:tc>
          <w:tcPr>
            <w:tcW w:w="1701" w:type="dxa"/>
            <w:vAlign w:val="center"/>
          </w:tcPr>
          <w:p w14:paraId="197B3A6A" w14:textId="77777777" w:rsidR="00454A29" w:rsidRDefault="00454A29">
            <w:pPr>
              <w:pStyle w:val="ConsPlusNormal"/>
              <w:jc w:val="center"/>
            </w:pPr>
            <w:r>
              <w:t>2023</w:t>
            </w:r>
          </w:p>
        </w:tc>
        <w:tc>
          <w:tcPr>
            <w:tcW w:w="1417" w:type="dxa"/>
            <w:vMerge/>
          </w:tcPr>
          <w:p w14:paraId="277CA92F" w14:textId="77777777" w:rsidR="00454A29" w:rsidRDefault="00454A29"/>
        </w:tc>
        <w:tc>
          <w:tcPr>
            <w:tcW w:w="2204" w:type="dxa"/>
            <w:vMerge/>
          </w:tcPr>
          <w:p w14:paraId="74733E26" w14:textId="77777777" w:rsidR="00454A29" w:rsidRDefault="00454A29"/>
        </w:tc>
        <w:tc>
          <w:tcPr>
            <w:tcW w:w="1417" w:type="dxa"/>
            <w:vMerge/>
          </w:tcPr>
          <w:p w14:paraId="04241BFD" w14:textId="77777777" w:rsidR="00454A29" w:rsidRDefault="00454A29"/>
        </w:tc>
        <w:tc>
          <w:tcPr>
            <w:tcW w:w="2324" w:type="dxa"/>
            <w:vMerge/>
          </w:tcPr>
          <w:p w14:paraId="785266D7" w14:textId="77777777" w:rsidR="00454A29" w:rsidRDefault="00454A29"/>
        </w:tc>
        <w:tc>
          <w:tcPr>
            <w:tcW w:w="1701" w:type="dxa"/>
            <w:vAlign w:val="center"/>
          </w:tcPr>
          <w:p w14:paraId="0C402D36" w14:textId="77777777" w:rsidR="00454A29" w:rsidRDefault="00454A29">
            <w:pPr>
              <w:pStyle w:val="ConsPlusNormal"/>
              <w:jc w:val="center"/>
            </w:pPr>
            <w:r>
              <w:t>549 257,56</w:t>
            </w:r>
          </w:p>
        </w:tc>
        <w:tc>
          <w:tcPr>
            <w:tcW w:w="1814" w:type="dxa"/>
            <w:vAlign w:val="center"/>
          </w:tcPr>
          <w:p w14:paraId="151321B3" w14:textId="77777777" w:rsidR="00454A29" w:rsidRDefault="00454A29">
            <w:pPr>
              <w:pStyle w:val="ConsPlusNormal"/>
              <w:jc w:val="center"/>
            </w:pPr>
            <w:r>
              <w:t>3 220,25</w:t>
            </w:r>
          </w:p>
        </w:tc>
        <w:tc>
          <w:tcPr>
            <w:tcW w:w="1701" w:type="dxa"/>
            <w:vAlign w:val="center"/>
          </w:tcPr>
          <w:p w14:paraId="1A008288" w14:textId="77777777" w:rsidR="00454A29" w:rsidRDefault="00454A29">
            <w:pPr>
              <w:pStyle w:val="ConsPlusNormal"/>
              <w:jc w:val="center"/>
            </w:pPr>
            <w:r>
              <w:t>504 450,11</w:t>
            </w:r>
          </w:p>
        </w:tc>
        <w:tc>
          <w:tcPr>
            <w:tcW w:w="1701" w:type="dxa"/>
            <w:vAlign w:val="center"/>
          </w:tcPr>
          <w:p w14:paraId="209C5F38" w14:textId="77777777" w:rsidR="00454A29" w:rsidRDefault="00454A29">
            <w:pPr>
              <w:pStyle w:val="ConsPlusNormal"/>
              <w:jc w:val="center"/>
            </w:pPr>
            <w:r>
              <w:t>41 587,20</w:t>
            </w:r>
          </w:p>
        </w:tc>
        <w:tc>
          <w:tcPr>
            <w:tcW w:w="1814" w:type="dxa"/>
            <w:vAlign w:val="center"/>
          </w:tcPr>
          <w:p w14:paraId="29FDA995" w14:textId="77777777" w:rsidR="00454A29" w:rsidRDefault="00454A29">
            <w:pPr>
              <w:pStyle w:val="ConsPlusNormal"/>
              <w:jc w:val="center"/>
            </w:pPr>
            <w:r>
              <w:t>-</w:t>
            </w:r>
          </w:p>
        </w:tc>
      </w:tr>
      <w:tr w:rsidR="00454A29" w14:paraId="24F8A103" w14:textId="77777777">
        <w:tc>
          <w:tcPr>
            <w:tcW w:w="567" w:type="dxa"/>
            <w:vMerge/>
          </w:tcPr>
          <w:p w14:paraId="021DA239" w14:textId="77777777" w:rsidR="00454A29" w:rsidRDefault="00454A29"/>
        </w:tc>
        <w:tc>
          <w:tcPr>
            <w:tcW w:w="3345" w:type="dxa"/>
            <w:vMerge/>
          </w:tcPr>
          <w:p w14:paraId="45E509A6" w14:textId="77777777" w:rsidR="00454A29" w:rsidRDefault="00454A29"/>
        </w:tc>
        <w:tc>
          <w:tcPr>
            <w:tcW w:w="1701" w:type="dxa"/>
            <w:vAlign w:val="center"/>
          </w:tcPr>
          <w:p w14:paraId="7EAFEDD6" w14:textId="77777777" w:rsidR="00454A29" w:rsidRDefault="00454A29">
            <w:pPr>
              <w:pStyle w:val="ConsPlusNormal"/>
              <w:jc w:val="center"/>
            </w:pPr>
            <w:r>
              <w:t>2024</w:t>
            </w:r>
          </w:p>
        </w:tc>
        <w:tc>
          <w:tcPr>
            <w:tcW w:w="1417" w:type="dxa"/>
            <w:vMerge/>
          </w:tcPr>
          <w:p w14:paraId="3E4414FE" w14:textId="77777777" w:rsidR="00454A29" w:rsidRDefault="00454A29"/>
        </w:tc>
        <w:tc>
          <w:tcPr>
            <w:tcW w:w="2204" w:type="dxa"/>
            <w:vMerge/>
          </w:tcPr>
          <w:p w14:paraId="54E61DA1" w14:textId="77777777" w:rsidR="00454A29" w:rsidRDefault="00454A29"/>
        </w:tc>
        <w:tc>
          <w:tcPr>
            <w:tcW w:w="1417" w:type="dxa"/>
            <w:vMerge/>
          </w:tcPr>
          <w:p w14:paraId="1B0B7CA9" w14:textId="77777777" w:rsidR="00454A29" w:rsidRDefault="00454A29"/>
        </w:tc>
        <w:tc>
          <w:tcPr>
            <w:tcW w:w="2324" w:type="dxa"/>
            <w:vMerge/>
          </w:tcPr>
          <w:p w14:paraId="22BA2AB3" w14:textId="77777777" w:rsidR="00454A29" w:rsidRDefault="00454A29"/>
        </w:tc>
        <w:tc>
          <w:tcPr>
            <w:tcW w:w="1701" w:type="dxa"/>
            <w:vAlign w:val="center"/>
          </w:tcPr>
          <w:p w14:paraId="5B04DD8E" w14:textId="77777777" w:rsidR="00454A29" w:rsidRDefault="00454A29">
            <w:pPr>
              <w:pStyle w:val="ConsPlusNormal"/>
              <w:jc w:val="center"/>
            </w:pPr>
            <w:r>
              <w:t>145 344,43</w:t>
            </w:r>
          </w:p>
        </w:tc>
        <w:tc>
          <w:tcPr>
            <w:tcW w:w="1814" w:type="dxa"/>
            <w:vAlign w:val="center"/>
          </w:tcPr>
          <w:p w14:paraId="64B48A31" w14:textId="77777777" w:rsidR="00454A29" w:rsidRDefault="00454A29">
            <w:pPr>
              <w:pStyle w:val="ConsPlusNormal"/>
              <w:jc w:val="center"/>
            </w:pPr>
            <w:r>
              <w:t>1 453,44</w:t>
            </w:r>
          </w:p>
        </w:tc>
        <w:tc>
          <w:tcPr>
            <w:tcW w:w="1701" w:type="dxa"/>
            <w:vAlign w:val="center"/>
          </w:tcPr>
          <w:p w14:paraId="7D26726F" w14:textId="77777777" w:rsidR="00454A29" w:rsidRDefault="00454A29">
            <w:pPr>
              <w:pStyle w:val="ConsPlusNormal"/>
              <w:jc w:val="center"/>
            </w:pPr>
            <w:r>
              <w:t>143 890,99</w:t>
            </w:r>
          </w:p>
        </w:tc>
        <w:tc>
          <w:tcPr>
            <w:tcW w:w="1701" w:type="dxa"/>
            <w:vAlign w:val="center"/>
          </w:tcPr>
          <w:p w14:paraId="4700F719" w14:textId="77777777" w:rsidR="00454A29" w:rsidRDefault="00454A29">
            <w:pPr>
              <w:pStyle w:val="ConsPlusNormal"/>
              <w:jc w:val="center"/>
            </w:pPr>
            <w:r>
              <w:t>-</w:t>
            </w:r>
          </w:p>
        </w:tc>
        <w:tc>
          <w:tcPr>
            <w:tcW w:w="1814" w:type="dxa"/>
            <w:vAlign w:val="center"/>
          </w:tcPr>
          <w:p w14:paraId="0B144DC8" w14:textId="77777777" w:rsidR="00454A29" w:rsidRDefault="00454A29">
            <w:pPr>
              <w:pStyle w:val="ConsPlusNormal"/>
              <w:jc w:val="center"/>
            </w:pPr>
            <w:r>
              <w:t>-</w:t>
            </w:r>
          </w:p>
        </w:tc>
      </w:tr>
      <w:tr w:rsidR="00454A29" w14:paraId="43344812" w14:textId="77777777">
        <w:tc>
          <w:tcPr>
            <w:tcW w:w="567" w:type="dxa"/>
            <w:vMerge/>
          </w:tcPr>
          <w:p w14:paraId="7145C222" w14:textId="77777777" w:rsidR="00454A29" w:rsidRDefault="00454A29"/>
        </w:tc>
        <w:tc>
          <w:tcPr>
            <w:tcW w:w="3345" w:type="dxa"/>
            <w:vMerge/>
          </w:tcPr>
          <w:p w14:paraId="1C358E96" w14:textId="77777777" w:rsidR="00454A29" w:rsidRDefault="00454A29"/>
        </w:tc>
        <w:tc>
          <w:tcPr>
            <w:tcW w:w="1701" w:type="dxa"/>
            <w:vAlign w:val="center"/>
          </w:tcPr>
          <w:p w14:paraId="4DABCA43" w14:textId="77777777" w:rsidR="00454A29" w:rsidRDefault="00454A29">
            <w:pPr>
              <w:pStyle w:val="ConsPlusNormal"/>
              <w:jc w:val="center"/>
            </w:pPr>
            <w:r>
              <w:t>2025</w:t>
            </w:r>
          </w:p>
        </w:tc>
        <w:tc>
          <w:tcPr>
            <w:tcW w:w="1417" w:type="dxa"/>
            <w:vMerge/>
          </w:tcPr>
          <w:p w14:paraId="527B47E7" w14:textId="77777777" w:rsidR="00454A29" w:rsidRDefault="00454A29"/>
        </w:tc>
        <w:tc>
          <w:tcPr>
            <w:tcW w:w="2204" w:type="dxa"/>
            <w:vMerge/>
          </w:tcPr>
          <w:p w14:paraId="5E824168" w14:textId="77777777" w:rsidR="00454A29" w:rsidRDefault="00454A29"/>
        </w:tc>
        <w:tc>
          <w:tcPr>
            <w:tcW w:w="1417" w:type="dxa"/>
            <w:vMerge/>
          </w:tcPr>
          <w:p w14:paraId="4614207A" w14:textId="77777777" w:rsidR="00454A29" w:rsidRDefault="00454A29"/>
        </w:tc>
        <w:tc>
          <w:tcPr>
            <w:tcW w:w="2324" w:type="dxa"/>
            <w:vMerge/>
          </w:tcPr>
          <w:p w14:paraId="0D2EBF2A" w14:textId="77777777" w:rsidR="00454A29" w:rsidRDefault="00454A29"/>
        </w:tc>
        <w:tc>
          <w:tcPr>
            <w:tcW w:w="1701" w:type="dxa"/>
            <w:vAlign w:val="center"/>
          </w:tcPr>
          <w:p w14:paraId="556875BD" w14:textId="77777777" w:rsidR="00454A29" w:rsidRDefault="00454A29">
            <w:pPr>
              <w:pStyle w:val="ConsPlusNormal"/>
              <w:jc w:val="center"/>
            </w:pPr>
            <w:r>
              <w:t>2 358 238,57</w:t>
            </w:r>
          </w:p>
        </w:tc>
        <w:tc>
          <w:tcPr>
            <w:tcW w:w="1814" w:type="dxa"/>
            <w:vAlign w:val="center"/>
          </w:tcPr>
          <w:p w14:paraId="2379B871" w14:textId="77777777" w:rsidR="00454A29" w:rsidRDefault="00454A29">
            <w:pPr>
              <w:pStyle w:val="ConsPlusNormal"/>
              <w:jc w:val="center"/>
            </w:pPr>
            <w:r>
              <w:t>23 582,38</w:t>
            </w:r>
          </w:p>
        </w:tc>
        <w:tc>
          <w:tcPr>
            <w:tcW w:w="1701" w:type="dxa"/>
            <w:vAlign w:val="center"/>
          </w:tcPr>
          <w:p w14:paraId="0FA5864B" w14:textId="77777777" w:rsidR="00454A29" w:rsidRDefault="00454A29">
            <w:pPr>
              <w:pStyle w:val="ConsPlusNormal"/>
              <w:jc w:val="center"/>
            </w:pPr>
            <w:r>
              <w:t>2 334 656,20</w:t>
            </w:r>
          </w:p>
        </w:tc>
        <w:tc>
          <w:tcPr>
            <w:tcW w:w="1701" w:type="dxa"/>
            <w:vAlign w:val="center"/>
          </w:tcPr>
          <w:p w14:paraId="5C1DAA69" w14:textId="77777777" w:rsidR="00454A29" w:rsidRDefault="00454A29">
            <w:pPr>
              <w:pStyle w:val="ConsPlusNormal"/>
              <w:jc w:val="center"/>
            </w:pPr>
            <w:r>
              <w:t>-</w:t>
            </w:r>
          </w:p>
        </w:tc>
        <w:tc>
          <w:tcPr>
            <w:tcW w:w="1814" w:type="dxa"/>
            <w:vAlign w:val="center"/>
          </w:tcPr>
          <w:p w14:paraId="791F5CB3" w14:textId="77777777" w:rsidR="00454A29" w:rsidRDefault="00454A29">
            <w:pPr>
              <w:pStyle w:val="ConsPlusNormal"/>
              <w:jc w:val="center"/>
            </w:pPr>
            <w:r>
              <w:t>-</w:t>
            </w:r>
          </w:p>
        </w:tc>
      </w:tr>
      <w:tr w:rsidR="00454A29" w14:paraId="7729DBA0" w14:textId="77777777">
        <w:tc>
          <w:tcPr>
            <w:tcW w:w="567" w:type="dxa"/>
            <w:vMerge/>
          </w:tcPr>
          <w:p w14:paraId="47BDBCEB" w14:textId="77777777" w:rsidR="00454A29" w:rsidRDefault="00454A29"/>
        </w:tc>
        <w:tc>
          <w:tcPr>
            <w:tcW w:w="3345" w:type="dxa"/>
            <w:vMerge/>
          </w:tcPr>
          <w:p w14:paraId="5505702A" w14:textId="77777777" w:rsidR="00454A29" w:rsidRDefault="00454A29"/>
        </w:tc>
        <w:tc>
          <w:tcPr>
            <w:tcW w:w="1701" w:type="dxa"/>
            <w:vAlign w:val="center"/>
          </w:tcPr>
          <w:p w14:paraId="4CACF192" w14:textId="77777777" w:rsidR="00454A29" w:rsidRDefault="00454A29">
            <w:pPr>
              <w:pStyle w:val="ConsPlusNormal"/>
              <w:jc w:val="center"/>
            </w:pPr>
            <w:r>
              <w:t>2026</w:t>
            </w:r>
          </w:p>
        </w:tc>
        <w:tc>
          <w:tcPr>
            <w:tcW w:w="1417" w:type="dxa"/>
            <w:vMerge/>
          </w:tcPr>
          <w:p w14:paraId="21BC409D" w14:textId="77777777" w:rsidR="00454A29" w:rsidRDefault="00454A29"/>
        </w:tc>
        <w:tc>
          <w:tcPr>
            <w:tcW w:w="2204" w:type="dxa"/>
            <w:vMerge/>
          </w:tcPr>
          <w:p w14:paraId="4E0780F4" w14:textId="77777777" w:rsidR="00454A29" w:rsidRDefault="00454A29"/>
        </w:tc>
        <w:tc>
          <w:tcPr>
            <w:tcW w:w="1417" w:type="dxa"/>
            <w:vMerge/>
          </w:tcPr>
          <w:p w14:paraId="10EAFA25" w14:textId="77777777" w:rsidR="00454A29" w:rsidRDefault="00454A29"/>
        </w:tc>
        <w:tc>
          <w:tcPr>
            <w:tcW w:w="2324" w:type="dxa"/>
            <w:vMerge/>
          </w:tcPr>
          <w:p w14:paraId="218B0754" w14:textId="77777777" w:rsidR="00454A29" w:rsidRDefault="00454A29"/>
        </w:tc>
        <w:tc>
          <w:tcPr>
            <w:tcW w:w="1701" w:type="dxa"/>
            <w:vAlign w:val="center"/>
          </w:tcPr>
          <w:p w14:paraId="6DA4E998" w14:textId="77777777" w:rsidR="00454A29" w:rsidRDefault="00454A29">
            <w:pPr>
              <w:pStyle w:val="ConsPlusNormal"/>
              <w:jc w:val="center"/>
            </w:pPr>
            <w:r>
              <w:t>102 581,37</w:t>
            </w:r>
          </w:p>
        </w:tc>
        <w:tc>
          <w:tcPr>
            <w:tcW w:w="1814" w:type="dxa"/>
            <w:vAlign w:val="center"/>
          </w:tcPr>
          <w:p w14:paraId="6AA26261" w14:textId="77777777" w:rsidR="00454A29" w:rsidRDefault="00454A29">
            <w:pPr>
              <w:pStyle w:val="ConsPlusNormal"/>
              <w:jc w:val="center"/>
            </w:pPr>
            <w:r>
              <w:t>24 071,43</w:t>
            </w:r>
          </w:p>
        </w:tc>
        <w:tc>
          <w:tcPr>
            <w:tcW w:w="1701" w:type="dxa"/>
            <w:vAlign w:val="center"/>
          </w:tcPr>
          <w:p w14:paraId="72A50E4F" w14:textId="77777777" w:rsidR="00454A29" w:rsidRDefault="00454A29">
            <w:pPr>
              <w:pStyle w:val="ConsPlusNormal"/>
              <w:jc w:val="center"/>
            </w:pPr>
            <w:r>
              <w:t>78 509,94</w:t>
            </w:r>
          </w:p>
        </w:tc>
        <w:tc>
          <w:tcPr>
            <w:tcW w:w="1701" w:type="dxa"/>
            <w:vAlign w:val="center"/>
          </w:tcPr>
          <w:p w14:paraId="4122DC31" w14:textId="77777777" w:rsidR="00454A29" w:rsidRDefault="00454A29">
            <w:pPr>
              <w:pStyle w:val="ConsPlusNormal"/>
              <w:jc w:val="center"/>
            </w:pPr>
            <w:r>
              <w:t>-</w:t>
            </w:r>
          </w:p>
        </w:tc>
        <w:tc>
          <w:tcPr>
            <w:tcW w:w="1814" w:type="dxa"/>
            <w:vAlign w:val="center"/>
          </w:tcPr>
          <w:p w14:paraId="7166286D" w14:textId="77777777" w:rsidR="00454A29" w:rsidRDefault="00454A29">
            <w:pPr>
              <w:pStyle w:val="ConsPlusNormal"/>
              <w:jc w:val="center"/>
            </w:pPr>
            <w:r>
              <w:t>-</w:t>
            </w:r>
          </w:p>
        </w:tc>
      </w:tr>
      <w:tr w:rsidR="00454A29" w14:paraId="4D72CCD1" w14:textId="77777777">
        <w:tc>
          <w:tcPr>
            <w:tcW w:w="21706" w:type="dxa"/>
            <w:gridSpan w:val="12"/>
            <w:vAlign w:val="center"/>
          </w:tcPr>
          <w:p w14:paraId="1BDB770C" w14:textId="77777777" w:rsidR="00454A29" w:rsidRDefault="00454A29">
            <w:pPr>
              <w:pStyle w:val="ConsPlusNormal"/>
              <w:jc w:val="center"/>
              <w:outlineLvl w:val="2"/>
            </w:pPr>
            <w:r>
              <w:t>МР "Верхневилюйский улус (район)"</w:t>
            </w:r>
          </w:p>
        </w:tc>
      </w:tr>
      <w:tr w:rsidR="00454A29" w14:paraId="1D56E06F" w14:textId="77777777">
        <w:tc>
          <w:tcPr>
            <w:tcW w:w="567" w:type="dxa"/>
            <w:vMerge w:val="restart"/>
            <w:vAlign w:val="center"/>
          </w:tcPr>
          <w:p w14:paraId="48285660" w14:textId="77777777" w:rsidR="00454A29" w:rsidRDefault="00454A29">
            <w:pPr>
              <w:pStyle w:val="ConsPlusNormal"/>
              <w:jc w:val="center"/>
            </w:pPr>
            <w:r>
              <w:t>191</w:t>
            </w:r>
          </w:p>
        </w:tc>
        <w:tc>
          <w:tcPr>
            <w:tcW w:w="3345" w:type="dxa"/>
            <w:vMerge w:val="restart"/>
            <w:vAlign w:val="center"/>
          </w:tcPr>
          <w:p w14:paraId="4E8682A8" w14:textId="77777777" w:rsidR="00454A29" w:rsidRDefault="00454A29">
            <w:pPr>
              <w:pStyle w:val="ConsPlusNormal"/>
              <w:jc w:val="center"/>
            </w:pPr>
            <w:r>
              <w:t>Школа на 40 мест в с. Быракан</w:t>
            </w:r>
          </w:p>
        </w:tc>
        <w:tc>
          <w:tcPr>
            <w:tcW w:w="1701" w:type="dxa"/>
            <w:vAlign w:val="center"/>
          </w:tcPr>
          <w:p w14:paraId="194F4272" w14:textId="77777777" w:rsidR="00454A29" w:rsidRDefault="00454A29">
            <w:pPr>
              <w:pStyle w:val="ConsPlusNormal"/>
              <w:jc w:val="center"/>
            </w:pPr>
            <w:r>
              <w:t>2020 - 2026 годы - всего</w:t>
            </w:r>
          </w:p>
        </w:tc>
        <w:tc>
          <w:tcPr>
            <w:tcW w:w="1417" w:type="dxa"/>
            <w:vMerge w:val="restart"/>
            <w:vAlign w:val="center"/>
          </w:tcPr>
          <w:p w14:paraId="10B4D9F9" w14:textId="77777777" w:rsidR="00454A29" w:rsidRDefault="00454A29">
            <w:pPr>
              <w:pStyle w:val="ConsPlusNormal"/>
              <w:jc w:val="center"/>
            </w:pPr>
            <w:r>
              <w:t>186119,2097</w:t>
            </w:r>
          </w:p>
        </w:tc>
        <w:tc>
          <w:tcPr>
            <w:tcW w:w="2204" w:type="dxa"/>
            <w:vMerge w:val="restart"/>
            <w:vAlign w:val="center"/>
          </w:tcPr>
          <w:p w14:paraId="051ACEAC" w14:textId="77777777" w:rsidR="00454A29" w:rsidRDefault="00454A29">
            <w:pPr>
              <w:pStyle w:val="ConsPlusNormal"/>
            </w:pPr>
          </w:p>
        </w:tc>
        <w:tc>
          <w:tcPr>
            <w:tcW w:w="1417" w:type="dxa"/>
            <w:vMerge w:val="restart"/>
            <w:vAlign w:val="center"/>
          </w:tcPr>
          <w:p w14:paraId="70774C36" w14:textId="77777777" w:rsidR="00454A29" w:rsidRDefault="00454A29">
            <w:pPr>
              <w:pStyle w:val="ConsPlusNormal"/>
              <w:jc w:val="center"/>
            </w:pPr>
            <w:r>
              <w:t>40</w:t>
            </w:r>
          </w:p>
        </w:tc>
        <w:tc>
          <w:tcPr>
            <w:tcW w:w="2324" w:type="dxa"/>
            <w:vMerge w:val="restart"/>
            <w:vAlign w:val="center"/>
          </w:tcPr>
          <w:p w14:paraId="2BB3A882" w14:textId="77777777" w:rsidR="00454A29" w:rsidRDefault="00454A29">
            <w:pPr>
              <w:pStyle w:val="ConsPlusNormal"/>
              <w:jc w:val="center"/>
            </w:pPr>
            <w:r>
              <w:t>Минстрой РС(Я), МР "Верхневилюйский улус"</w:t>
            </w:r>
          </w:p>
        </w:tc>
        <w:tc>
          <w:tcPr>
            <w:tcW w:w="1701" w:type="dxa"/>
            <w:vAlign w:val="center"/>
          </w:tcPr>
          <w:p w14:paraId="2654447E" w14:textId="77777777" w:rsidR="00454A29" w:rsidRDefault="00454A29">
            <w:pPr>
              <w:pStyle w:val="ConsPlusNormal"/>
              <w:jc w:val="center"/>
            </w:pPr>
            <w:r>
              <w:t>186 119,21</w:t>
            </w:r>
          </w:p>
        </w:tc>
        <w:tc>
          <w:tcPr>
            <w:tcW w:w="1814" w:type="dxa"/>
            <w:vAlign w:val="center"/>
          </w:tcPr>
          <w:p w14:paraId="09D45145" w14:textId="77777777" w:rsidR="00454A29" w:rsidRDefault="00454A29">
            <w:pPr>
              <w:pStyle w:val="ConsPlusNormal"/>
              <w:jc w:val="center"/>
            </w:pPr>
            <w:r>
              <w:t>1 861,19</w:t>
            </w:r>
          </w:p>
        </w:tc>
        <w:tc>
          <w:tcPr>
            <w:tcW w:w="1701" w:type="dxa"/>
            <w:vAlign w:val="center"/>
          </w:tcPr>
          <w:p w14:paraId="313E8016" w14:textId="77777777" w:rsidR="00454A29" w:rsidRDefault="00454A29">
            <w:pPr>
              <w:pStyle w:val="ConsPlusNormal"/>
              <w:jc w:val="center"/>
            </w:pPr>
            <w:r>
              <w:t>184 258,02</w:t>
            </w:r>
          </w:p>
        </w:tc>
        <w:tc>
          <w:tcPr>
            <w:tcW w:w="1701" w:type="dxa"/>
            <w:vAlign w:val="center"/>
          </w:tcPr>
          <w:p w14:paraId="45C4926D" w14:textId="77777777" w:rsidR="00454A29" w:rsidRDefault="00454A29">
            <w:pPr>
              <w:pStyle w:val="ConsPlusNormal"/>
              <w:jc w:val="center"/>
            </w:pPr>
            <w:r>
              <w:t>-</w:t>
            </w:r>
          </w:p>
        </w:tc>
        <w:tc>
          <w:tcPr>
            <w:tcW w:w="1814" w:type="dxa"/>
            <w:vAlign w:val="center"/>
          </w:tcPr>
          <w:p w14:paraId="21322F8C" w14:textId="77777777" w:rsidR="00454A29" w:rsidRDefault="00454A29">
            <w:pPr>
              <w:pStyle w:val="ConsPlusNormal"/>
              <w:jc w:val="center"/>
            </w:pPr>
            <w:r>
              <w:t>-</w:t>
            </w:r>
          </w:p>
        </w:tc>
      </w:tr>
      <w:tr w:rsidR="00454A29" w14:paraId="2B1FCB41" w14:textId="77777777">
        <w:tc>
          <w:tcPr>
            <w:tcW w:w="567" w:type="dxa"/>
            <w:vMerge/>
          </w:tcPr>
          <w:p w14:paraId="28ECBC3F" w14:textId="77777777" w:rsidR="00454A29" w:rsidRDefault="00454A29"/>
        </w:tc>
        <w:tc>
          <w:tcPr>
            <w:tcW w:w="3345" w:type="dxa"/>
            <w:vMerge/>
          </w:tcPr>
          <w:p w14:paraId="1CFE8006" w14:textId="77777777" w:rsidR="00454A29" w:rsidRDefault="00454A29"/>
        </w:tc>
        <w:tc>
          <w:tcPr>
            <w:tcW w:w="1701" w:type="dxa"/>
            <w:vAlign w:val="center"/>
          </w:tcPr>
          <w:p w14:paraId="6A82366D" w14:textId="77777777" w:rsidR="00454A29" w:rsidRDefault="00454A29">
            <w:pPr>
              <w:pStyle w:val="ConsPlusNormal"/>
              <w:jc w:val="center"/>
            </w:pPr>
            <w:r>
              <w:t>2020</w:t>
            </w:r>
          </w:p>
        </w:tc>
        <w:tc>
          <w:tcPr>
            <w:tcW w:w="1417" w:type="dxa"/>
            <w:vMerge/>
          </w:tcPr>
          <w:p w14:paraId="206EE20B" w14:textId="77777777" w:rsidR="00454A29" w:rsidRDefault="00454A29"/>
        </w:tc>
        <w:tc>
          <w:tcPr>
            <w:tcW w:w="2204" w:type="dxa"/>
            <w:vMerge/>
          </w:tcPr>
          <w:p w14:paraId="58E28FCB" w14:textId="77777777" w:rsidR="00454A29" w:rsidRDefault="00454A29"/>
        </w:tc>
        <w:tc>
          <w:tcPr>
            <w:tcW w:w="1417" w:type="dxa"/>
            <w:vMerge/>
          </w:tcPr>
          <w:p w14:paraId="06B349BF" w14:textId="77777777" w:rsidR="00454A29" w:rsidRDefault="00454A29"/>
        </w:tc>
        <w:tc>
          <w:tcPr>
            <w:tcW w:w="2324" w:type="dxa"/>
            <w:vMerge/>
          </w:tcPr>
          <w:p w14:paraId="2720E68D" w14:textId="77777777" w:rsidR="00454A29" w:rsidRDefault="00454A29"/>
        </w:tc>
        <w:tc>
          <w:tcPr>
            <w:tcW w:w="1701" w:type="dxa"/>
            <w:vAlign w:val="center"/>
          </w:tcPr>
          <w:p w14:paraId="3439719C" w14:textId="77777777" w:rsidR="00454A29" w:rsidRDefault="00454A29">
            <w:pPr>
              <w:pStyle w:val="ConsPlusNormal"/>
            </w:pPr>
          </w:p>
        </w:tc>
        <w:tc>
          <w:tcPr>
            <w:tcW w:w="1814" w:type="dxa"/>
            <w:vAlign w:val="center"/>
          </w:tcPr>
          <w:p w14:paraId="1AC844F7" w14:textId="77777777" w:rsidR="00454A29" w:rsidRDefault="00454A29">
            <w:pPr>
              <w:pStyle w:val="ConsPlusNormal"/>
            </w:pPr>
          </w:p>
        </w:tc>
        <w:tc>
          <w:tcPr>
            <w:tcW w:w="1701" w:type="dxa"/>
            <w:vAlign w:val="center"/>
          </w:tcPr>
          <w:p w14:paraId="100A82A9" w14:textId="77777777" w:rsidR="00454A29" w:rsidRDefault="00454A29">
            <w:pPr>
              <w:pStyle w:val="ConsPlusNormal"/>
            </w:pPr>
          </w:p>
        </w:tc>
        <w:tc>
          <w:tcPr>
            <w:tcW w:w="1701" w:type="dxa"/>
            <w:vAlign w:val="center"/>
          </w:tcPr>
          <w:p w14:paraId="7E435971" w14:textId="77777777" w:rsidR="00454A29" w:rsidRDefault="00454A29">
            <w:pPr>
              <w:pStyle w:val="ConsPlusNormal"/>
            </w:pPr>
          </w:p>
        </w:tc>
        <w:tc>
          <w:tcPr>
            <w:tcW w:w="1814" w:type="dxa"/>
            <w:vAlign w:val="center"/>
          </w:tcPr>
          <w:p w14:paraId="78CB5243" w14:textId="77777777" w:rsidR="00454A29" w:rsidRDefault="00454A29">
            <w:pPr>
              <w:pStyle w:val="ConsPlusNormal"/>
            </w:pPr>
          </w:p>
        </w:tc>
      </w:tr>
      <w:tr w:rsidR="00454A29" w14:paraId="06A55727" w14:textId="77777777">
        <w:tc>
          <w:tcPr>
            <w:tcW w:w="567" w:type="dxa"/>
            <w:vMerge/>
          </w:tcPr>
          <w:p w14:paraId="7DC53A47" w14:textId="77777777" w:rsidR="00454A29" w:rsidRDefault="00454A29"/>
        </w:tc>
        <w:tc>
          <w:tcPr>
            <w:tcW w:w="3345" w:type="dxa"/>
            <w:vMerge/>
          </w:tcPr>
          <w:p w14:paraId="1259A271" w14:textId="77777777" w:rsidR="00454A29" w:rsidRDefault="00454A29"/>
        </w:tc>
        <w:tc>
          <w:tcPr>
            <w:tcW w:w="1701" w:type="dxa"/>
            <w:vAlign w:val="center"/>
          </w:tcPr>
          <w:p w14:paraId="13B98B37" w14:textId="77777777" w:rsidR="00454A29" w:rsidRDefault="00454A29">
            <w:pPr>
              <w:pStyle w:val="ConsPlusNormal"/>
              <w:jc w:val="center"/>
            </w:pPr>
            <w:r>
              <w:t>2021</w:t>
            </w:r>
          </w:p>
        </w:tc>
        <w:tc>
          <w:tcPr>
            <w:tcW w:w="1417" w:type="dxa"/>
            <w:vMerge/>
          </w:tcPr>
          <w:p w14:paraId="501E7F5E" w14:textId="77777777" w:rsidR="00454A29" w:rsidRDefault="00454A29"/>
        </w:tc>
        <w:tc>
          <w:tcPr>
            <w:tcW w:w="2204" w:type="dxa"/>
            <w:vMerge/>
          </w:tcPr>
          <w:p w14:paraId="3D091071" w14:textId="77777777" w:rsidR="00454A29" w:rsidRDefault="00454A29"/>
        </w:tc>
        <w:tc>
          <w:tcPr>
            <w:tcW w:w="1417" w:type="dxa"/>
            <w:vMerge/>
          </w:tcPr>
          <w:p w14:paraId="1FC889FB" w14:textId="77777777" w:rsidR="00454A29" w:rsidRDefault="00454A29"/>
        </w:tc>
        <w:tc>
          <w:tcPr>
            <w:tcW w:w="2324" w:type="dxa"/>
            <w:vMerge/>
          </w:tcPr>
          <w:p w14:paraId="6B622E3C" w14:textId="77777777" w:rsidR="00454A29" w:rsidRDefault="00454A29"/>
        </w:tc>
        <w:tc>
          <w:tcPr>
            <w:tcW w:w="1701" w:type="dxa"/>
            <w:vAlign w:val="center"/>
          </w:tcPr>
          <w:p w14:paraId="30949BA6" w14:textId="77777777" w:rsidR="00454A29" w:rsidRDefault="00454A29">
            <w:pPr>
              <w:pStyle w:val="ConsPlusNormal"/>
            </w:pPr>
          </w:p>
        </w:tc>
        <w:tc>
          <w:tcPr>
            <w:tcW w:w="1814" w:type="dxa"/>
            <w:vAlign w:val="center"/>
          </w:tcPr>
          <w:p w14:paraId="5023FFDA" w14:textId="77777777" w:rsidR="00454A29" w:rsidRDefault="00454A29">
            <w:pPr>
              <w:pStyle w:val="ConsPlusNormal"/>
            </w:pPr>
          </w:p>
        </w:tc>
        <w:tc>
          <w:tcPr>
            <w:tcW w:w="1701" w:type="dxa"/>
            <w:vAlign w:val="center"/>
          </w:tcPr>
          <w:p w14:paraId="101B3227" w14:textId="77777777" w:rsidR="00454A29" w:rsidRDefault="00454A29">
            <w:pPr>
              <w:pStyle w:val="ConsPlusNormal"/>
            </w:pPr>
          </w:p>
        </w:tc>
        <w:tc>
          <w:tcPr>
            <w:tcW w:w="1701" w:type="dxa"/>
            <w:vAlign w:val="center"/>
          </w:tcPr>
          <w:p w14:paraId="7E5FC17B" w14:textId="77777777" w:rsidR="00454A29" w:rsidRDefault="00454A29">
            <w:pPr>
              <w:pStyle w:val="ConsPlusNormal"/>
            </w:pPr>
          </w:p>
        </w:tc>
        <w:tc>
          <w:tcPr>
            <w:tcW w:w="1814" w:type="dxa"/>
            <w:vAlign w:val="center"/>
          </w:tcPr>
          <w:p w14:paraId="3A8E782E" w14:textId="77777777" w:rsidR="00454A29" w:rsidRDefault="00454A29">
            <w:pPr>
              <w:pStyle w:val="ConsPlusNormal"/>
            </w:pPr>
          </w:p>
        </w:tc>
      </w:tr>
      <w:tr w:rsidR="00454A29" w14:paraId="1ED4A37A" w14:textId="77777777">
        <w:tc>
          <w:tcPr>
            <w:tcW w:w="567" w:type="dxa"/>
            <w:vMerge/>
          </w:tcPr>
          <w:p w14:paraId="100D2FDD" w14:textId="77777777" w:rsidR="00454A29" w:rsidRDefault="00454A29"/>
        </w:tc>
        <w:tc>
          <w:tcPr>
            <w:tcW w:w="3345" w:type="dxa"/>
            <w:vMerge/>
          </w:tcPr>
          <w:p w14:paraId="64F1E9B4" w14:textId="77777777" w:rsidR="00454A29" w:rsidRDefault="00454A29"/>
        </w:tc>
        <w:tc>
          <w:tcPr>
            <w:tcW w:w="1701" w:type="dxa"/>
            <w:vAlign w:val="center"/>
          </w:tcPr>
          <w:p w14:paraId="2F9F95FA" w14:textId="77777777" w:rsidR="00454A29" w:rsidRDefault="00454A29">
            <w:pPr>
              <w:pStyle w:val="ConsPlusNormal"/>
              <w:jc w:val="center"/>
            </w:pPr>
            <w:r>
              <w:t>2022</w:t>
            </w:r>
          </w:p>
        </w:tc>
        <w:tc>
          <w:tcPr>
            <w:tcW w:w="1417" w:type="dxa"/>
            <w:vMerge/>
          </w:tcPr>
          <w:p w14:paraId="18496DC4" w14:textId="77777777" w:rsidR="00454A29" w:rsidRDefault="00454A29"/>
        </w:tc>
        <w:tc>
          <w:tcPr>
            <w:tcW w:w="2204" w:type="dxa"/>
            <w:vMerge/>
          </w:tcPr>
          <w:p w14:paraId="5404B8CA" w14:textId="77777777" w:rsidR="00454A29" w:rsidRDefault="00454A29"/>
        </w:tc>
        <w:tc>
          <w:tcPr>
            <w:tcW w:w="1417" w:type="dxa"/>
            <w:vMerge/>
          </w:tcPr>
          <w:p w14:paraId="54320D40" w14:textId="77777777" w:rsidR="00454A29" w:rsidRDefault="00454A29"/>
        </w:tc>
        <w:tc>
          <w:tcPr>
            <w:tcW w:w="2324" w:type="dxa"/>
            <w:vMerge/>
          </w:tcPr>
          <w:p w14:paraId="1F33315C" w14:textId="77777777" w:rsidR="00454A29" w:rsidRDefault="00454A29"/>
        </w:tc>
        <w:tc>
          <w:tcPr>
            <w:tcW w:w="1701" w:type="dxa"/>
            <w:vAlign w:val="center"/>
          </w:tcPr>
          <w:p w14:paraId="09F9597C" w14:textId="77777777" w:rsidR="00454A29" w:rsidRDefault="00454A29">
            <w:pPr>
              <w:pStyle w:val="ConsPlusNormal"/>
            </w:pPr>
          </w:p>
        </w:tc>
        <w:tc>
          <w:tcPr>
            <w:tcW w:w="1814" w:type="dxa"/>
            <w:vAlign w:val="center"/>
          </w:tcPr>
          <w:p w14:paraId="3DEAB354" w14:textId="77777777" w:rsidR="00454A29" w:rsidRDefault="00454A29">
            <w:pPr>
              <w:pStyle w:val="ConsPlusNormal"/>
            </w:pPr>
          </w:p>
        </w:tc>
        <w:tc>
          <w:tcPr>
            <w:tcW w:w="1701" w:type="dxa"/>
            <w:vAlign w:val="center"/>
          </w:tcPr>
          <w:p w14:paraId="6FEE69B7" w14:textId="77777777" w:rsidR="00454A29" w:rsidRDefault="00454A29">
            <w:pPr>
              <w:pStyle w:val="ConsPlusNormal"/>
            </w:pPr>
          </w:p>
        </w:tc>
        <w:tc>
          <w:tcPr>
            <w:tcW w:w="1701" w:type="dxa"/>
            <w:vAlign w:val="center"/>
          </w:tcPr>
          <w:p w14:paraId="285A8745" w14:textId="77777777" w:rsidR="00454A29" w:rsidRDefault="00454A29">
            <w:pPr>
              <w:pStyle w:val="ConsPlusNormal"/>
            </w:pPr>
          </w:p>
        </w:tc>
        <w:tc>
          <w:tcPr>
            <w:tcW w:w="1814" w:type="dxa"/>
            <w:vAlign w:val="center"/>
          </w:tcPr>
          <w:p w14:paraId="34042A39" w14:textId="77777777" w:rsidR="00454A29" w:rsidRDefault="00454A29">
            <w:pPr>
              <w:pStyle w:val="ConsPlusNormal"/>
            </w:pPr>
          </w:p>
        </w:tc>
      </w:tr>
      <w:tr w:rsidR="00454A29" w14:paraId="4B966205" w14:textId="77777777">
        <w:tc>
          <w:tcPr>
            <w:tcW w:w="567" w:type="dxa"/>
            <w:vMerge/>
          </w:tcPr>
          <w:p w14:paraId="5E903FD5" w14:textId="77777777" w:rsidR="00454A29" w:rsidRDefault="00454A29"/>
        </w:tc>
        <w:tc>
          <w:tcPr>
            <w:tcW w:w="3345" w:type="dxa"/>
            <w:vMerge/>
          </w:tcPr>
          <w:p w14:paraId="5EEDB747" w14:textId="77777777" w:rsidR="00454A29" w:rsidRDefault="00454A29"/>
        </w:tc>
        <w:tc>
          <w:tcPr>
            <w:tcW w:w="1701" w:type="dxa"/>
            <w:vAlign w:val="center"/>
          </w:tcPr>
          <w:p w14:paraId="609D0405" w14:textId="77777777" w:rsidR="00454A29" w:rsidRDefault="00454A29">
            <w:pPr>
              <w:pStyle w:val="ConsPlusNormal"/>
              <w:jc w:val="center"/>
            </w:pPr>
            <w:r>
              <w:t>2023</w:t>
            </w:r>
          </w:p>
        </w:tc>
        <w:tc>
          <w:tcPr>
            <w:tcW w:w="1417" w:type="dxa"/>
            <w:vMerge/>
          </w:tcPr>
          <w:p w14:paraId="02B01CDF" w14:textId="77777777" w:rsidR="00454A29" w:rsidRDefault="00454A29"/>
        </w:tc>
        <w:tc>
          <w:tcPr>
            <w:tcW w:w="2204" w:type="dxa"/>
            <w:vMerge/>
          </w:tcPr>
          <w:p w14:paraId="39503D73" w14:textId="77777777" w:rsidR="00454A29" w:rsidRDefault="00454A29"/>
        </w:tc>
        <w:tc>
          <w:tcPr>
            <w:tcW w:w="1417" w:type="dxa"/>
            <w:vMerge/>
          </w:tcPr>
          <w:p w14:paraId="56524596" w14:textId="77777777" w:rsidR="00454A29" w:rsidRDefault="00454A29"/>
        </w:tc>
        <w:tc>
          <w:tcPr>
            <w:tcW w:w="2324" w:type="dxa"/>
            <w:vMerge/>
          </w:tcPr>
          <w:p w14:paraId="2D44700C" w14:textId="77777777" w:rsidR="00454A29" w:rsidRDefault="00454A29"/>
        </w:tc>
        <w:tc>
          <w:tcPr>
            <w:tcW w:w="1701" w:type="dxa"/>
            <w:vAlign w:val="center"/>
          </w:tcPr>
          <w:p w14:paraId="358B4D0F" w14:textId="77777777" w:rsidR="00454A29" w:rsidRDefault="00454A29">
            <w:pPr>
              <w:pStyle w:val="ConsPlusNormal"/>
            </w:pPr>
          </w:p>
        </w:tc>
        <w:tc>
          <w:tcPr>
            <w:tcW w:w="1814" w:type="dxa"/>
            <w:vAlign w:val="center"/>
          </w:tcPr>
          <w:p w14:paraId="3C1803FA" w14:textId="77777777" w:rsidR="00454A29" w:rsidRDefault="00454A29">
            <w:pPr>
              <w:pStyle w:val="ConsPlusNormal"/>
            </w:pPr>
          </w:p>
        </w:tc>
        <w:tc>
          <w:tcPr>
            <w:tcW w:w="1701" w:type="dxa"/>
            <w:vAlign w:val="center"/>
          </w:tcPr>
          <w:p w14:paraId="005D6B43" w14:textId="77777777" w:rsidR="00454A29" w:rsidRDefault="00454A29">
            <w:pPr>
              <w:pStyle w:val="ConsPlusNormal"/>
            </w:pPr>
          </w:p>
        </w:tc>
        <w:tc>
          <w:tcPr>
            <w:tcW w:w="1701" w:type="dxa"/>
            <w:vAlign w:val="center"/>
          </w:tcPr>
          <w:p w14:paraId="1AE889DC" w14:textId="77777777" w:rsidR="00454A29" w:rsidRDefault="00454A29">
            <w:pPr>
              <w:pStyle w:val="ConsPlusNormal"/>
            </w:pPr>
          </w:p>
        </w:tc>
        <w:tc>
          <w:tcPr>
            <w:tcW w:w="1814" w:type="dxa"/>
            <w:vAlign w:val="center"/>
          </w:tcPr>
          <w:p w14:paraId="65FD9051" w14:textId="77777777" w:rsidR="00454A29" w:rsidRDefault="00454A29">
            <w:pPr>
              <w:pStyle w:val="ConsPlusNormal"/>
            </w:pPr>
          </w:p>
        </w:tc>
      </w:tr>
      <w:tr w:rsidR="00454A29" w14:paraId="2540ECE5" w14:textId="77777777">
        <w:tc>
          <w:tcPr>
            <w:tcW w:w="567" w:type="dxa"/>
            <w:vMerge/>
          </w:tcPr>
          <w:p w14:paraId="633B378D" w14:textId="77777777" w:rsidR="00454A29" w:rsidRDefault="00454A29"/>
        </w:tc>
        <w:tc>
          <w:tcPr>
            <w:tcW w:w="3345" w:type="dxa"/>
            <w:vMerge/>
          </w:tcPr>
          <w:p w14:paraId="71CEFEFA" w14:textId="77777777" w:rsidR="00454A29" w:rsidRDefault="00454A29"/>
        </w:tc>
        <w:tc>
          <w:tcPr>
            <w:tcW w:w="1701" w:type="dxa"/>
            <w:vAlign w:val="center"/>
          </w:tcPr>
          <w:p w14:paraId="2D18A619" w14:textId="77777777" w:rsidR="00454A29" w:rsidRDefault="00454A29">
            <w:pPr>
              <w:pStyle w:val="ConsPlusNormal"/>
              <w:jc w:val="center"/>
            </w:pPr>
            <w:r>
              <w:t>2024</w:t>
            </w:r>
          </w:p>
        </w:tc>
        <w:tc>
          <w:tcPr>
            <w:tcW w:w="1417" w:type="dxa"/>
            <w:vMerge/>
          </w:tcPr>
          <w:p w14:paraId="25A8C881" w14:textId="77777777" w:rsidR="00454A29" w:rsidRDefault="00454A29"/>
        </w:tc>
        <w:tc>
          <w:tcPr>
            <w:tcW w:w="2204" w:type="dxa"/>
            <w:vMerge/>
          </w:tcPr>
          <w:p w14:paraId="5720B1E9" w14:textId="77777777" w:rsidR="00454A29" w:rsidRDefault="00454A29"/>
        </w:tc>
        <w:tc>
          <w:tcPr>
            <w:tcW w:w="1417" w:type="dxa"/>
            <w:vMerge/>
          </w:tcPr>
          <w:p w14:paraId="1C562890" w14:textId="77777777" w:rsidR="00454A29" w:rsidRDefault="00454A29"/>
        </w:tc>
        <w:tc>
          <w:tcPr>
            <w:tcW w:w="2324" w:type="dxa"/>
            <w:vMerge/>
          </w:tcPr>
          <w:p w14:paraId="305EEBE3" w14:textId="77777777" w:rsidR="00454A29" w:rsidRDefault="00454A29"/>
        </w:tc>
        <w:tc>
          <w:tcPr>
            <w:tcW w:w="1701" w:type="dxa"/>
            <w:vAlign w:val="center"/>
          </w:tcPr>
          <w:p w14:paraId="448C398F" w14:textId="77777777" w:rsidR="00454A29" w:rsidRDefault="00454A29">
            <w:pPr>
              <w:pStyle w:val="ConsPlusNormal"/>
            </w:pPr>
          </w:p>
        </w:tc>
        <w:tc>
          <w:tcPr>
            <w:tcW w:w="1814" w:type="dxa"/>
            <w:vAlign w:val="center"/>
          </w:tcPr>
          <w:p w14:paraId="5288F179" w14:textId="77777777" w:rsidR="00454A29" w:rsidRDefault="00454A29">
            <w:pPr>
              <w:pStyle w:val="ConsPlusNormal"/>
            </w:pPr>
          </w:p>
        </w:tc>
        <w:tc>
          <w:tcPr>
            <w:tcW w:w="1701" w:type="dxa"/>
            <w:vAlign w:val="center"/>
          </w:tcPr>
          <w:p w14:paraId="6AA49695" w14:textId="77777777" w:rsidR="00454A29" w:rsidRDefault="00454A29">
            <w:pPr>
              <w:pStyle w:val="ConsPlusNormal"/>
            </w:pPr>
          </w:p>
        </w:tc>
        <w:tc>
          <w:tcPr>
            <w:tcW w:w="1701" w:type="dxa"/>
            <w:vAlign w:val="center"/>
          </w:tcPr>
          <w:p w14:paraId="4731B3FC" w14:textId="77777777" w:rsidR="00454A29" w:rsidRDefault="00454A29">
            <w:pPr>
              <w:pStyle w:val="ConsPlusNormal"/>
            </w:pPr>
          </w:p>
        </w:tc>
        <w:tc>
          <w:tcPr>
            <w:tcW w:w="1814" w:type="dxa"/>
            <w:vAlign w:val="center"/>
          </w:tcPr>
          <w:p w14:paraId="58D2ACED" w14:textId="77777777" w:rsidR="00454A29" w:rsidRDefault="00454A29">
            <w:pPr>
              <w:pStyle w:val="ConsPlusNormal"/>
            </w:pPr>
          </w:p>
        </w:tc>
      </w:tr>
      <w:tr w:rsidR="00454A29" w14:paraId="041857CB" w14:textId="77777777">
        <w:tc>
          <w:tcPr>
            <w:tcW w:w="567" w:type="dxa"/>
            <w:vMerge/>
          </w:tcPr>
          <w:p w14:paraId="46CCDD24" w14:textId="77777777" w:rsidR="00454A29" w:rsidRDefault="00454A29"/>
        </w:tc>
        <w:tc>
          <w:tcPr>
            <w:tcW w:w="3345" w:type="dxa"/>
            <w:vMerge/>
          </w:tcPr>
          <w:p w14:paraId="3C4C80A6" w14:textId="77777777" w:rsidR="00454A29" w:rsidRDefault="00454A29"/>
        </w:tc>
        <w:tc>
          <w:tcPr>
            <w:tcW w:w="1701" w:type="dxa"/>
            <w:vAlign w:val="center"/>
          </w:tcPr>
          <w:p w14:paraId="5DF04096" w14:textId="77777777" w:rsidR="00454A29" w:rsidRDefault="00454A29">
            <w:pPr>
              <w:pStyle w:val="ConsPlusNormal"/>
              <w:jc w:val="center"/>
            </w:pPr>
            <w:r>
              <w:t>2025</w:t>
            </w:r>
          </w:p>
        </w:tc>
        <w:tc>
          <w:tcPr>
            <w:tcW w:w="1417" w:type="dxa"/>
            <w:vMerge/>
          </w:tcPr>
          <w:p w14:paraId="64EAA3FD" w14:textId="77777777" w:rsidR="00454A29" w:rsidRDefault="00454A29"/>
        </w:tc>
        <w:tc>
          <w:tcPr>
            <w:tcW w:w="2204" w:type="dxa"/>
            <w:vMerge/>
          </w:tcPr>
          <w:p w14:paraId="18A21786" w14:textId="77777777" w:rsidR="00454A29" w:rsidRDefault="00454A29"/>
        </w:tc>
        <w:tc>
          <w:tcPr>
            <w:tcW w:w="1417" w:type="dxa"/>
            <w:vMerge/>
          </w:tcPr>
          <w:p w14:paraId="1D6D37C3" w14:textId="77777777" w:rsidR="00454A29" w:rsidRDefault="00454A29"/>
        </w:tc>
        <w:tc>
          <w:tcPr>
            <w:tcW w:w="2324" w:type="dxa"/>
            <w:vMerge/>
          </w:tcPr>
          <w:p w14:paraId="020103A5" w14:textId="77777777" w:rsidR="00454A29" w:rsidRDefault="00454A29"/>
        </w:tc>
        <w:tc>
          <w:tcPr>
            <w:tcW w:w="1701" w:type="dxa"/>
            <w:vAlign w:val="center"/>
          </w:tcPr>
          <w:p w14:paraId="7BF56F36" w14:textId="77777777" w:rsidR="00454A29" w:rsidRDefault="00454A29">
            <w:pPr>
              <w:pStyle w:val="ConsPlusNormal"/>
              <w:jc w:val="center"/>
            </w:pPr>
            <w:r>
              <w:t>186 119,21</w:t>
            </w:r>
          </w:p>
        </w:tc>
        <w:tc>
          <w:tcPr>
            <w:tcW w:w="1814" w:type="dxa"/>
            <w:vAlign w:val="center"/>
          </w:tcPr>
          <w:p w14:paraId="11B85326" w14:textId="77777777" w:rsidR="00454A29" w:rsidRDefault="00454A29">
            <w:pPr>
              <w:pStyle w:val="ConsPlusNormal"/>
              <w:jc w:val="center"/>
            </w:pPr>
            <w:r>
              <w:t>1 861,19</w:t>
            </w:r>
          </w:p>
        </w:tc>
        <w:tc>
          <w:tcPr>
            <w:tcW w:w="1701" w:type="dxa"/>
            <w:vAlign w:val="center"/>
          </w:tcPr>
          <w:p w14:paraId="675A8BD4" w14:textId="77777777" w:rsidR="00454A29" w:rsidRDefault="00454A29">
            <w:pPr>
              <w:pStyle w:val="ConsPlusNormal"/>
              <w:jc w:val="center"/>
            </w:pPr>
            <w:r>
              <w:t>184 258,02</w:t>
            </w:r>
          </w:p>
        </w:tc>
        <w:tc>
          <w:tcPr>
            <w:tcW w:w="1701" w:type="dxa"/>
            <w:vAlign w:val="center"/>
          </w:tcPr>
          <w:p w14:paraId="17B3389B" w14:textId="77777777" w:rsidR="00454A29" w:rsidRDefault="00454A29">
            <w:pPr>
              <w:pStyle w:val="ConsPlusNormal"/>
            </w:pPr>
          </w:p>
        </w:tc>
        <w:tc>
          <w:tcPr>
            <w:tcW w:w="1814" w:type="dxa"/>
            <w:vAlign w:val="center"/>
          </w:tcPr>
          <w:p w14:paraId="518F5E0F" w14:textId="77777777" w:rsidR="00454A29" w:rsidRDefault="00454A29">
            <w:pPr>
              <w:pStyle w:val="ConsPlusNormal"/>
            </w:pPr>
          </w:p>
        </w:tc>
      </w:tr>
      <w:tr w:rsidR="00454A29" w14:paraId="18A0AA65" w14:textId="77777777">
        <w:tc>
          <w:tcPr>
            <w:tcW w:w="567" w:type="dxa"/>
            <w:vMerge/>
          </w:tcPr>
          <w:p w14:paraId="34ECC144" w14:textId="77777777" w:rsidR="00454A29" w:rsidRDefault="00454A29"/>
        </w:tc>
        <w:tc>
          <w:tcPr>
            <w:tcW w:w="3345" w:type="dxa"/>
            <w:vMerge/>
          </w:tcPr>
          <w:p w14:paraId="79BF2238" w14:textId="77777777" w:rsidR="00454A29" w:rsidRDefault="00454A29"/>
        </w:tc>
        <w:tc>
          <w:tcPr>
            <w:tcW w:w="1701" w:type="dxa"/>
            <w:vAlign w:val="center"/>
          </w:tcPr>
          <w:p w14:paraId="3490BA5A" w14:textId="77777777" w:rsidR="00454A29" w:rsidRDefault="00454A29">
            <w:pPr>
              <w:pStyle w:val="ConsPlusNormal"/>
              <w:jc w:val="center"/>
            </w:pPr>
            <w:r>
              <w:t>2026</w:t>
            </w:r>
          </w:p>
        </w:tc>
        <w:tc>
          <w:tcPr>
            <w:tcW w:w="1417" w:type="dxa"/>
            <w:vMerge/>
          </w:tcPr>
          <w:p w14:paraId="2F49D9DA" w14:textId="77777777" w:rsidR="00454A29" w:rsidRDefault="00454A29"/>
        </w:tc>
        <w:tc>
          <w:tcPr>
            <w:tcW w:w="2204" w:type="dxa"/>
            <w:vMerge/>
          </w:tcPr>
          <w:p w14:paraId="3F373ACA" w14:textId="77777777" w:rsidR="00454A29" w:rsidRDefault="00454A29"/>
        </w:tc>
        <w:tc>
          <w:tcPr>
            <w:tcW w:w="1417" w:type="dxa"/>
            <w:vMerge/>
          </w:tcPr>
          <w:p w14:paraId="44D732DF" w14:textId="77777777" w:rsidR="00454A29" w:rsidRDefault="00454A29"/>
        </w:tc>
        <w:tc>
          <w:tcPr>
            <w:tcW w:w="2324" w:type="dxa"/>
            <w:vMerge/>
          </w:tcPr>
          <w:p w14:paraId="0EC76689" w14:textId="77777777" w:rsidR="00454A29" w:rsidRDefault="00454A29"/>
        </w:tc>
        <w:tc>
          <w:tcPr>
            <w:tcW w:w="1701" w:type="dxa"/>
            <w:vAlign w:val="center"/>
          </w:tcPr>
          <w:p w14:paraId="12B5613A" w14:textId="77777777" w:rsidR="00454A29" w:rsidRDefault="00454A29">
            <w:pPr>
              <w:pStyle w:val="ConsPlusNormal"/>
            </w:pPr>
          </w:p>
        </w:tc>
        <w:tc>
          <w:tcPr>
            <w:tcW w:w="1814" w:type="dxa"/>
            <w:vAlign w:val="center"/>
          </w:tcPr>
          <w:p w14:paraId="535F9E2C" w14:textId="77777777" w:rsidR="00454A29" w:rsidRDefault="00454A29">
            <w:pPr>
              <w:pStyle w:val="ConsPlusNormal"/>
            </w:pPr>
          </w:p>
        </w:tc>
        <w:tc>
          <w:tcPr>
            <w:tcW w:w="1701" w:type="dxa"/>
            <w:vAlign w:val="center"/>
          </w:tcPr>
          <w:p w14:paraId="1643EF5B" w14:textId="77777777" w:rsidR="00454A29" w:rsidRDefault="00454A29">
            <w:pPr>
              <w:pStyle w:val="ConsPlusNormal"/>
            </w:pPr>
          </w:p>
        </w:tc>
        <w:tc>
          <w:tcPr>
            <w:tcW w:w="1701" w:type="dxa"/>
            <w:vAlign w:val="center"/>
          </w:tcPr>
          <w:p w14:paraId="474222B7" w14:textId="77777777" w:rsidR="00454A29" w:rsidRDefault="00454A29">
            <w:pPr>
              <w:pStyle w:val="ConsPlusNormal"/>
            </w:pPr>
          </w:p>
        </w:tc>
        <w:tc>
          <w:tcPr>
            <w:tcW w:w="1814" w:type="dxa"/>
            <w:vAlign w:val="center"/>
          </w:tcPr>
          <w:p w14:paraId="4F3AAA36" w14:textId="77777777" w:rsidR="00454A29" w:rsidRDefault="00454A29">
            <w:pPr>
              <w:pStyle w:val="ConsPlusNormal"/>
            </w:pPr>
          </w:p>
        </w:tc>
      </w:tr>
      <w:tr w:rsidR="00454A29" w14:paraId="0E2A689F" w14:textId="77777777">
        <w:tc>
          <w:tcPr>
            <w:tcW w:w="567" w:type="dxa"/>
            <w:vMerge w:val="restart"/>
            <w:vAlign w:val="center"/>
          </w:tcPr>
          <w:p w14:paraId="66B590D2" w14:textId="77777777" w:rsidR="00454A29" w:rsidRDefault="00454A29">
            <w:pPr>
              <w:pStyle w:val="ConsPlusNormal"/>
              <w:jc w:val="center"/>
            </w:pPr>
            <w:r>
              <w:t>192</w:t>
            </w:r>
          </w:p>
        </w:tc>
        <w:tc>
          <w:tcPr>
            <w:tcW w:w="3345" w:type="dxa"/>
            <w:vMerge w:val="restart"/>
            <w:vAlign w:val="center"/>
          </w:tcPr>
          <w:p w14:paraId="5E81C7F7" w14:textId="77777777" w:rsidR="00454A29" w:rsidRDefault="00454A29">
            <w:pPr>
              <w:pStyle w:val="ConsPlusNormal"/>
              <w:jc w:val="center"/>
            </w:pPr>
            <w:r>
              <w:t>МБОУ "Верхневилюйская СОШ N 4 им. Д.С. Спиридонова" в с. Верхневилюйск</w:t>
            </w:r>
          </w:p>
        </w:tc>
        <w:tc>
          <w:tcPr>
            <w:tcW w:w="1701" w:type="dxa"/>
            <w:vAlign w:val="center"/>
          </w:tcPr>
          <w:p w14:paraId="33E13C5A" w14:textId="77777777" w:rsidR="00454A29" w:rsidRDefault="00454A29">
            <w:pPr>
              <w:pStyle w:val="ConsPlusNormal"/>
              <w:jc w:val="center"/>
            </w:pPr>
            <w:r>
              <w:t>2020 - 2026 годы - всего</w:t>
            </w:r>
          </w:p>
        </w:tc>
        <w:tc>
          <w:tcPr>
            <w:tcW w:w="1417" w:type="dxa"/>
            <w:vMerge w:val="restart"/>
            <w:vAlign w:val="center"/>
          </w:tcPr>
          <w:p w14:paraId="62D51891" w14:textId="77777777" w:rsidR="00454A29" w:rsidRDefault="00454A29">
            <w:pPr>
              <w:pStyle w:val="ConsPlusNormal"/>
              <w:jc w:val="center"/>
            </w:pPr>
            <w:r>
              <w:t>-</w:t>
            </w:r>
          </w:p>
        </w:tc>
        <w:tc>
          <w:tcPr>
            <w:tcW w:w="2204" w:type="dxa"/>
            <w:vMerge w:val="restart"/>
            <w:vAlign w:val="center"/>
          </w:tcPr>
          <w:p w14:paraId="241C64A5" w14:textId="77777777" w:rsidR="00454A29" w:rsidRDefault="00454A29">
            <w:pPr>
              <w:pStyle w:val="ConsPlusNormal"/>
            </w:pPr>
          </w:p>
        </w:tc>
        <w:tc>
          <w:tcPr>
            <w:tcW w:w="1417" w:type="dxa"/>
            <w:vMerge w:val="restart"/>
            <w:vAlign w:val="center"/>
          </w:tcPr>
          <w:p w14:paraId="704DCBFB" w14:textId="77777777" w:rsidR="00454A29" w:rsidRDefault="00454A29">
            <w:pPr>
              <w:pStyle w:val="ConsPlusNormal"/>
              <w:jc w:val="center"/>
            </w:pPr>
            <w:r>
              <w:t>60</w:t>
            </w:r>
          </w:p>
        </w:tc>
        <w:tc>
          <w:tcPr>
            <w:tcW w:w="2324" w:type="dxa"/>
            <w:vMerge w:val="restart"/>
            <w:vAlign w:val="center"/>
          </w:tcPr>
          <w:p w14:paraId="7397454E" w14:textId="77777777" w:rsidR="00454A29" w:rsidRDefault="00454A29">
            <w:pPr>
              <w:pStyle w:val="ConsPlusNormal"/>
              <w:jc w:val="center"/>
            </w:pPr>
            <w:r>
              <w:t>Минстрой РС(Я), МР "Верхневилюйский улус"</w:t>
            </w:r>
          </w:p>
        </w:tc>
        <w:tc>
          <w:tcPr>
            <w:tcW w:w="1701" w:type="dxa"/>
            <w:vAlign w:val="center"/>
          </w:tcPr>
          <w:p w14:paraId="0D4ABB8C" w14:textId="77777777" w:rsidR="00454A29" w:rsidRDefault="00454A29">
            <w:pPr>
              <w:pStyle w:val="ConsPlusNormal"/>
              <w:jc w:val="center"/>
            </w:pPr>
            <w:r>
              <w:t>279 178,81</w:t>
            </w:r>
          </w:p>
        </w:tc>
        <w:tc>
          <w:tcPr>
            <w:tcW w:w="1814" w:type="dxa"/>
            <w:vAlign w:val="center"/>
          </w:tcPr>
          <w:p w14:paraId="0709A73B" w14:textId="77777777" w:rsidR="00454A29" w:rsidRDefault="00454A29">
            <w:pPr>
              <w:pStyle w:val="ConsPlusNormal"/>
              <w:jc w:val="center"/>
            </w:pPr>
            <w:r>
              <w:t>2 791,79</w:t>
            </w:r>
          </w:p>
        </w:tc>
        <w:tc>
          <w:tcPr>
            <w:tcW w:w="1701" w:type="dxa"/>
            <w:vAlign w:val="center"/>
          </w:tcPr>
          <w:p w14:paraId="18612CD9" w14:textId="77777777" w:rsidR="00454A29" w:rsidRDefault="00454A29">
            <w:pPr>
              <w:pStyle w:val="ConsPlusNormal"/>
              <w:jc w:val="center"/>
            </w:pPr>
            <w:r>
              <w:t>276 387,02</w:t>
            </w:r>
          </w:p>
        </w:tc>
        <w:tc>
          <w:tcPr>
            <w:tcW w:w="1701" w:type="dxa"/>
            <w:vAlign w:val="center"/>
          </w:tcPr>
          <w:p w14:paraId="63022CF7" w14:textId="77777777" w:rsidR="00454A29" w:rsidRDefault="00454A29">
            <w:pPr>
              <w:pStyle w:val="ConsPlusNormal"/>
              <w:jc w:val="center"/>
            </w:pPr>
            <w:r>
              <w:t>-</w:t>
            </w:r>
          </w:p>
        </w:tc>
        <w:tc>
          <w:tcPr>
            <w:tcW w:w="1814" w:type="dxa"/>
            <w:vAlign w:val="center"/>
          </w:tcPr>
          <w:p w14:paraId="6583D90B" w14:textId="77777777" w:rsidR="00454A29" w:rsidRDefault="00454A29">
            <w:pPr>
              <w:pStyle w:val="ConsPlusNormal"/>
              <w:jc w:val="center"/>
            </w:pPr>
            <w:r>
              <w:t>-</w:t>
            </w:r>
          </w:p>
        </w:tc>
      </w:tr>
      <w:tr w:rsidR="00454A29" w14:paraId="076CDA0C" w14:textId="77777777">
        <w:tc>
          <w:tcPr>
            <w:tcW w:w="567" w:type="dxa"/>
            <w:vMerge/>
          </w:tcPr>
          <w:p w14:paraId="0BFC4547" w14:textId="77777777" w:rsidR="00454A29" w:rsidRDefault="00454A29"/>
        </w:tc>
        <w:tc>
          <w:tcPr>
            <w:tcW w:w="3345" w:type="dxa"/>
            <w:vMerge/>
          </w:tcPr>
          <w:p w14:paraId="67FA5A08" w14:textId="77777777" w:rsidR="00454A29" w:rsidRDefault="00454A29"/>
        </w:tc>
        <w:tc>
          <w:tcPr>
            <w:tcW w:w="1701" w:type="dxa"/>
            <w:vAlign w:val="center"/>
          </w:tcPr>
          <w:p w14:paraId="0A5CC950" w14:textId="77777777" w:rsidR="00454A29" w:rsidRDefault="00454A29">
            <w:pPr>
              <w:pStyle w:val="ConsPlusNormal"/>
              <w:jc w:val="center"/>
            </w:pPr>
            <w:r>
              <w:t>2020</w:t>
            </w:r>
          </w:p>
        </w:tc>
        <w:tc>
          <w:tcPr>
            <w:tcW w:w="1417" w:type="dxa"/>
            <w:vMerge/>
          </w:tcPr>
          <w:p w14:paraId="24A3C4D3" w14:textId="77777777" w:rsidR="00454A29" w:rsidRDefault="00454A29"/>
        </w:tc>
        <w:tc>
          <w:tcPr>
            <w:tcW w:w="2204" w:type="dxa"/>
            <w:vMerge/>
          </w:tcPr>
          <w:p w14:paraId="39C2A66C" w14:textId="77777777" w:rsidR="00454A29" w:rsidRDefault="00454A29"/>
        </w:tc>
        <w:tc>
          <w:tcPr>
            <w:tcW w:w="1417" w:type="dxa"/>
            <w:vMerge/>
          </w:tcPr>
          <w:p w14:paraId="7B7759EB" w14:textId="77777777" w:rsidR="00454A29" w:rsidRDefault="00454A29"/>
        </w:tc>
        <w:tc>
          <w:tcPr>
            <w:tcW w:w="2324" w:type="dxa"/>
            <w:vMerge/>
          </w:tcPr>
          <w:p w14:paraId="2CC180A9" w14:textId="77777777" w:rsidR="00454A29" w:rsidRDefault="00454A29"/>
        </w:tc>
        <w:tc>
          <w:tcPr>
            <w:tcW w:w="1701" w:type="dxa"/>
            <w:vAlign w:val="center"/>
          </w:tcPr>
          <w:p w14:paraId="1671A9A4" w14:textId="77777777" w:rsidR="00454A29" w:rsidRDefault="00454A29">
            <w:pPr>
              <w:pStyle w:val="ConsPlusNormal"/>
            </w:pPr>
          </w:p>
        </w:tc>
        <w:tc>
          <w:tcPr>
            <w:tcW w:w="1814" w:type="dxa"/>
            <w:vAlign w:val="center"/>
          </w:tcPr>
          <w:p w14:paraId="2185AEAE" w14:textId="77777777" w:rsidR="00454A29" w:rsidRDefault="00454A29">
            <w:pPr>
              <w:pStyle w:val="ConsPlusNormal"/>
            </w:pPr>
          </w:p>
        </w:tc>
        <w:tc>
          <w:tcPr>
            <w:tcW w:w="1701" w:type="dxa"/>
            <w:vAlign w:val="center"/>
          </w:tcPr>
          <w:p w14:paraId="208B023C" w14:textId="77777777" w:rsidR="00454A29" w:rsidRDefault="00454A29">
            <w:pPr>
              <w:pStyle w:val="ConsPlusNormal"/>
            </w:pPr>
          </w:p>
        </w:tc>
        <w:tc>
          <w:tcPr>
            <w:tcW w:w="1701" w:type="dxa"/>
            <w:vAlign w:val="center"/>
          </w:tcPr>
          <w:p w14:paraId="0FE1740B" w14:textId="77777777" w:rsidR="00454A29" w:rsidRDefault="00454A29">
            <w:pPr>
              <w:pStyle w:val="ConsPlusNormal"/>
            </w:pPr>
          </w:p>
        </w:tc>
        <w:tc>
          <w:tcPr>
            <w:tcW w:w="1814" w:type="dxa"/>
            <w:vAlign w:val="center"/>
          </w:tcPr>
          <w:p w14:paraId="572D7EF8" w14:textId="77777777" w:rsidR="00454A29" w:rsidRDefault="00454A29">
            <w:pPr>
              <w:pStyle w:val="ConsPlusNormal"/>
            </w:pPr>
          </w:p>
        </w:tc>
      </w:tr>
      <w:tr w:rsidR="00454A29" w14:paraId="013C3395" w14:textId="77777777">
        <w:tc>
          <w:tcPr>
            <w:tcW w:w="567" w:type="dxa"/>
            <w:vMerge/>
          </w:tcPr>
          <w:p w14:paraId="75F5ABB0" w14:textId="77777777" w:rsidR="00454A29" w:rsidRDefault="00454A29"/>
        </w:tc>
        <w:tc>
          <w:tcPr>
            <w:tcW w:w="3345" w:type="dxa"/>
            <w:vMerge/>
          </w:tcPr>
          <w:p w14:paraId="6CC87B04" w14:textId="77777777" w:rsidR="00454A29" w:rsidRDefault="00454A29"/>
        </w:tc>
        <w:tc>
          <w:tcPr>
            <w:tcW w:w="1701" w:type="dxa"/>
            <w:vAlign w:val="center"/>
          </w:tcPr>
          <w:p w14:paraId="622440DC" w14:textId="77777777" w:rsidR="00454A29" w:rsidRDefault="00454A29">
            <w:pPr>
              <w:pStyle w:val="ConsPlusNormal"/>
              <w:jc w:val="center"/>
            </w:pPr>
            <w:r>
              <w:t>2021</w:t>
            </w:r>
          </w:p>
        </w:tc>
        <w:tc>
          <w:tcPr>
            <w:tcW w:w="1417" w:type="dxa"/>
            <w:vMerge/>
          </w:tcPr>
          <w:p w14:paraId="23D9343B" w14:textId="77777777" w:rsidR="00454A29" w:rsidRDefault="00454A29"/>
        </w:tc>
        <w:tc>
          <w:tcPr>
            <w:tcW w:w="2204" w:type="dxa"/>
            <w:vMerge/>
          </w:tcPr>
          <w:p w14:paraId="5EB57C05" w14:textId="77777777" w:rsidR="00454A29" w:rsidRDefault="00454A29"/>
        </w:tc>
        <w:tc>
          <w:tcPr>
            <w:tcW w:w="1417" w:type="dxa"/>
            <w:vMerge/>
          </w:tcPr>
          <w:p w14:paraId="7363BBAE" w14:textId="77777777" w:rsidR="00454A29" w:rsidRDefault="00454A29"/>
        </w:tc>
        <w:tc>
          <w:tcPr>
            <w:tcW w:w="2324" w:type="dxa"/>
            <w:vMerge/>
          </w:tcPr>
          <w:p w14:paraId="542409AE" w14:textId="77777777" w:rsidR="00454A29" w:rsidRDefault="00454A29"/>
        </w:tc>
        <w:tc>
          <w:tcPr>
            <w:tcW w:w="1701" w:type="dxa"/>
            <w:vAlign w:val="center"/>
          </w:tcPr>
          <w:p w14:paraId="059441A4" w14:textId="77777777" w:rsidR="00454A29" w:rsidRDefault="00454A29">
            <w:pPr>
              <w:pStyle w:val="ConsPlusNormal"/>
            </w:pPr>
          </w:p>
        </w:tc>
        <w:tc>
          <w:tcPr>
            <w:tcW w:w="1814" w:type="dxa"/>
            <w:vAlign w:val="center"/>
          </w:tcPr>
          <w:p w14:paraId="23A6D37F" w14:textId="77777777" w:rsidR="00454A29" w:rsidRDefault="00454A29">
            <w:pPr>
              <w:pStyle w:val="ConsPlusNormal"/>
            </w:pPr>
          </w:p>
        </w:tc>
        <w:tc>
          <w:tcPr>
            <w:tcW w:w="1701" w:type="dxa"/>
            <w:vAlign w:val="center"/>
          </w:tcPr>
          <w:p w14:paraId="520C7B57" w14:textId="77777777" w:rsidR="00454A29" w:rsidRDefault="00454A29">
            <w:pPr>
              <w:pStyle w:val="ConsPlusNormal"/>
            </w:pPr>
          </w:p>
        </w:tc>
        <w:tc>
          <w:tcPr>
            <w:tcW w:w="1701" w:type="dxa"/>
            <w:vAlign w:val="center"/>
          </w:tcPr>
          <w:p w14:paraId="43E48808" w14:textId="77777777" w:rsidR="00454A29" w:rsidRDefault="00454A29">
            <w:pPr>
              <w:pStyle w:val="ConsPlusNormal"/>
            </w:pPr>
          </w:p>
        </w:tc>
        <w:tc>
          <w:tcPr>
            <w:tcW w:w="1814" w:type="dxa"/>
            <w:vAlign w:val="center"/>
          </w:tcPr>
          <w:p w14:paraId="31436310" w14:textId="77777777" w:rsidR="00454A29" w:rsidRDefault="00454A29">
            <w:pPr>
              <w:pStyle w:val="ConsPlusNormal"/>
            </w:pPr>
          </w:p>
        </w:tc>
      </w:tr>
      <w:tr w:rsidR="00454A29" w14:paraId="46103670" w14:textId="77777777">
        <w:tc>
          <w:tcPr>
            <w:tcW w:w="567" w:type="dxa"/>
            <w:vMerge/>
          </w:tcPr>
          <w:p w14:paraId="7D939BA4" w14:textId="77777777" w:rsidR="00454A29" w:rsidRDefault="00454A29"/>
        </w:tc>
        <w:tc>
          <w:tcPr>
            <w:tcW w:w="3345" w:type="dxa"/>
            <w:vMerge/>
          </w:tcPr>
          <w:p w14:paraId="22C6CB7B" w14:textId="77777777" w:rsidR="00454A29" w:rsidRDefault="00454A29"/>
        </w:tc>
        <w:tc>
          <w:tcPr>
            <w:tcW w:w="1701" w:type="dxa"/>
            <w:vAlign w:val="center"/>
          </w:tcPr>
          <w:p w14:paraId="3F78F816" w14:textId="77777777" w:rsidR="00454A29" w:rsidRDefault="00454A29">
            <w:pPr>
              <w:pStyle w:val="ConsPlusNormal"/>
              <w:jc w:val="center"/>
            </w:pPr>
            <w:r>
              <w:t>2022</w:t>
            </w:r>
          </w:p>
        </w:tc>
        <w:tc>
          <w:tcPr>
            <w:tcW w:w="1417" w:type="dxa"/>
            <w:vMerge/>
          </w:tcPr>
          <w:p w14:paraId="1ED24BFF" w14:textId="77777777" w:rsidR="00454A29" w:rsidRDefault="00454A29"/>
        </w:tc>
        <w:tc>
          <w:tcPr>
            <w:tcW w:w="2204" w:type="dxa"/>
            <w:vMerge/>
          </w:tcPr>
          <w:p w14:paraId="04BA2D9D" w14:textId="77777777" w:rsidR="00454A29" w:rsidRDefault="00454A29"/>
        </w:tc>
        <w:tc>
          <w:tcPr>
            <w:tcW w:w="1417" w:type="dxa"/>
            <w:vMerge/>
          </w:tcPr>
          <w:p w14:paraId="75748772" w14:textId="77777777" w:rsidR="00454A29" w:rsidRDefault="00454A29"/>
        </w:tc>
        <w:tc>
          <w:tcPr>
            <w:tcW w:w="2324" w:type="dxa"/>
            <w:vMerge/>
          </w:tcPr>
          <w:p w14:paraId="127D0F16" w14:textId="77777777" w:rsidR="00454A29" w:rsidRDefault="00454A29"/>
        </w:tc>
        <w:tc>
          <w:tcPr>
            <w:tcW w:w="1701" w:type="dxa"/>
            <w:vAlign w:val="center"/>
          </w:tcPr>
          <w:p w14:paraId="62B87D68" w14:textId="77777777" w:rsidR="00454A29" w:rsidRDefault="00454A29">
            <w:pPr>
              <w:pStyle w:val="ConsPlusNormal"/>
            </w:pPr>
          </w:p>
        </w:tc>
        <w:tc>
          <w:tcPr>
            <w:tcW w:w="1814" w:type="dxa"/>
            <w:vAlign w:val="center"/>
          </w:tcPr>
          <w:p w14:paraId="5AAFE462" w14:textId="77777777" w:rsidR="00454A29" w:rsidRDefault="00454A29">
            <w:pPr>
              <w:pStyle w:val="ConsPlusNormal"/>
            </w:pPr>
          </w:p>
        </w:tc>
        <w:tc>
          <w:tcPr>
            <w:tcW w:w="1701" w:type="dxa"/>
            <w:vAlign w:val="center"/>
          </w:tcPr>
          <w:p w14:paraId="28D96922" w14:textId="77777777" w:rsidR="00454A29" w:rsidRDefault="00454A29">
            <w:pPr>
              <w:pStyle w:val="ConsPlusNormal"/>
            </w:pPr>
          </w:p>
        </w:tc>
        <w:tc>
          <w:tcPr>
            <w:tcW w:w="1701" w:type="dxa"/>
            <w:vAlign w:val="center"/>
          </w:tcPr>
          <w:p w14:paraId="37A2F58C" w14:textId="77777777" w:rsidR="00454A29" w:rsidRDefault="00454A29">
            <w:pPr>
              <w:pStyle w:val="ConsPlusNormal"/>
            </w:pPr>
          </w:p>
        </w:tc>
        <w:tc>
          <w:tcPr>
            <w:tcW w:w="1814" w:type="dxa"/>
            <w:vAlign w:val="center"/>
          </w:tcPr>
          <w:p w14:paraId="01B2DE8B" w14:textId="77777777" w:rsidR="00454A29" w:rsidRDefault="00454A29">
            <w:pPr>
              <w:pStyle w:val="ConsPlusNormal"/>
            </w:pPr>
          </w:p>
        </w:tc>
      </w:tr>
      <w:tr w:rsidR="00454A29" w14:paraId="46A789FE" w14:textId="77777777">
        <w:tc>
          <w:tcPr>
            <w:tcW w:w="567" w:type="dxa"/>
            <w:vMerge/>
          </w:tcPr>
          <w:p w14:paraId="77054C84" w14:textId="77777777" w:rsidR="00454A29" w:rsidRDefault="00454A29"/>
        </w:tc>
        <w:tc>
          <w:tcPr>
            <w:tcW w:w="3345" w:type="dxa"/>
            <w:vMerge/>
          </w:tcPr>
          <w:p w14:paraId="21554F07" w14:textId="77777777" w:rsidR="00454A29" w:rsidRDefault="00454A29"/>
        </w:tc>
        <w:tc>
          <w:tcPr>
            <w:tcW w:w="1701" w:type="dxa"/>
            <w:vAlign w:val="center"/>
          </w:tcPr>
          <w:p w14:paraId="60C588BF" w14:textId="77777777" w:rsidR="00454A29" w:rsidRDefault="00454A29">
            <w:pPr>
              <w:pStyle w:val="ConsPlusNormal"/>
              <w:jc w:val="center"/>
            </w:pPr>
            <w:r>
              <w:t>2023</w:t>
            </w:r>
          </w:p>
        </w:tc>
        <w:tc>
          <w:tcPr>
            <w:tcW w:w="1417" w:type="dxa"/>
            <w:vMerge/>
          </w:tcPr>
          <w:p w14:paraId="151BF2FD" w14:textId="77777777" w:rsidR="00454A29" w:rsidRDefault="00454A29"/>
        </w:tc>
        <w:tc>
          <w:tcPr>
            <w:tcW w:w="2204" w:type="dxa"/>
            <w:vMerge/>
          </w:tcPr>
          <w:p w14:paraId="6C458117" w14:textId="77777777" w:rsidR="00454A29" w:rsidRDefault="00454A29"/>
        </w:tc>
        <w:tc>
          <w:tcPr>
            <w:tcW w:w="1417" w:type="dxa"/>
            <w:vMerge/>
          </w:tcPr>
          <w:p w14:paraId="41763D80" w14:textId="77777777" w:rsidR="00454A29" w:rsidRDefault="00454A29"/>
        </w:tc>
        <w:tc>
          <w:tcPr>
            <w:tcW w:w="2324" w:type="dxa"/>
            <w:vMerge/>
          </w:tcPr>
          <w:p w14:paraId="702231F0" w14:textId="77777777" w:rsidR="00454A29" w:rsidRDefault="00454A29"/>
        </w:tc>
        <w:tc>
          <w:tcPr>
            <w:tcW w:w="1701" w:type="dxa"/>
            <w:vAlign w:val="center"/>
          </w:tcPr>
          <w:p w14:paraId="6AE2A73E" w14:textId="77777777" w:rsidR="00454A29" w:rsidRDefault="00454A29">
            <w:pPr>
              <w:pStyle w:val="ConsPlusNormal"/>
            </w:pPr>
          </w:p>
        </w:tc>
        <w:tc>
          <w:tcPr>
            <w:tcW w:w="1814" w:type="dxa"/>
            <w:vAlign w:val="center"/>
          </w:tcPr>
          <w:p w14:paraId="1436D476" w14:textId="77777777" w:rsidR="00454A29" w:rsidRDefault="00454A29">
            <w:pPr>
              <w:pStyle w:val="ConsPlusNormal"/>
            </w:pPr>
          </w:p>
        </w:tc>
        <w:tc>
          <w:tcPr>
            <w:tcW w:w="1701" w:type="dxa"/>
            <w:vAlign w:val="center"/>
          </w:tcPr>
          <w:p w14:paraId="16816BBE" w14:textId="77777777" w:rsidR="00454A29" w:rsidRDefault="00454A29">
            <w:pPr>
              <w:pStyle w:val="ConsPlusNormal"/>
            </w:pPr>
          </w:p>
        </w:tc>
        <w:tc>
          <w:tcPr>
            <w:tcW w:w="1701" w:type="dxa"/>
            <w:vAlign w:val="center"/>
          </w:tcPr>
          <w:p w14:paraId="7E0F0653" w14:textId="77777777" w:rsidR="00454A29" w:rsidRDefault="00454A29">
            <w:pPr>
              <w:pStyle w:val="ConsPlusNormal"/>
            </w:pPr>
          </w:p>
        </w:tc>
        <w:tc>
          <w:tcPr>
            <w:tcW w:w="1814" w:type="dxa"/>
            <w:vAlign w:val="center"/>
          </w:tcPr>
          <w:p w14:paraId="2172A819" w14:textId="77777777" w:rsidR="00454A29" w:rsidRDefault="00454A29">
            <w:pPr>
              <w:pStyle w:val="ConsPlusNormal"/>
            </w:pPr>
          </w:p>
        </w:tc>
      </w:tr>
      <w:tr w:rsidR="00454A29" w14:paraId="072C0F21" w14:textId="77777777">
        <w:tc>
          <w:tcPr>
            <w:tcW w:w="567" w:type="dxa"/>
            <w:vMerge/>
          </w:tcPr>
          <w:p w14:paraId="2465B6FB" w14:textId="77777777" w:rsidR="00454A29" w:rsidRDefault="00454A29"/>
        </w:tc>
        <w:tc>
          <w:tcPr>
            <w:tcW w:w="3345" w:type="dxa"/>
            <w:vMerge/>
          </w:tcPr>
          <w:p w14:paraId="6D298FA0" w14:textId="77777777" w:rsidR="00454A29" w:rsidRDefault="00454A29"/>
        </w:tc>
        <w:tc>
          <w:tcPr>
            <w:tcW w:w="1701" w:type="dxa"/>
            <w:vAlign w:val="center"/>
          </w:tcPr>
          <w:p w14:paraId="6E77E229" w14:textId="77777777" w:rsidR="00454A29" w:rsidRDefault="00454A29">
            <w:pPr>
              <w:pStyle w:val="ConsPlusNormal"/>
              <w:jc w:val="center"/>
            </w:pPr>
            <w:r>
              <w:t>2024</w:t>
            </w:r>
          </w:p>
        </w:tc>
        <w:tc>
          <w:tcPr>
            <w:tcW w:w="1417" w:type="dxa"/>
            <w:vMerge/>
          </w:tcPr>
          <w:p w14:paraId="082C349C" w14:textId="77777777" w:rsidR="00454A29" w:rsidRDefault="00454A29"/>
        </w:tc>
        <w:tc>
          <w:tcPr>
            <w:tcW w:w="2204" w:type="dxa"/>
            <w:vMerge/>
          </w:tcPr>
          <w:p w14:paraId="22EB05F0" w14:textId="77777777" w:rsidR="00454A29" w:rsidRDefault="00454A29"/>
        </w:tc>
        <w:tc>
          <w:tcPr>
            <w:tcW w:w="1417" w:type="dxa"/>
            <w:vMerge/>
          </w:tcPr>
          <w:p w14:paraId="2D4F83AF" w14:textId="77777777" w:rsidR="00454A29" w:rsidRDefault="00454A29"/>
        </w:tc>
        <w:tc>
          <w:tcPr>
            <w:tcW w:w="2324" w:type="dxa"/>
            <w:vMerge/>
          </w:tcPr>
          <w:p w14:paraId="5E7B8C97" w14:textId="77777777" w:rsidR="00454A29" w:rsidRDefault="00454A29"/>
        </w:tc>
        <w:tc>
          <w:tcPr>
            <w:tcW w:w="1701" w:type="dxa"/>
            <w:vAlign w:val="center"/>
          </w:tcPr>
          <w:p w14:paraId="44CD69A7" w14:textId="77777777" w:rsidR="00454A29" w:rsidRDefault="00454A29">
            <w:pPr>
              <w:pStyle w:val="ConsPlusNormal"/>
            </w:pPr>
          </w:p>
        </w:tc>
        <w:tc>
          <w:tcPr>
            <w:tcW w:w="1814" w:type="dxa"/>
            <w:vAlign w:val="center"/>
          </w:tcPr>
          <w:p w14:paraId="175AFB9F" w14:textId="77777777" w:rsidR="00454A29" w:rsidRDefault="00454A29">
            <w:pPr>
              <w:pStyle w:val="ConsPlusNormal"/>
            </w:pPr>
          </w:p>
        </w:tc>
        <w:tc>
          <w:tcPr>
            <w:tcW w:w="1701" w:type="dxa"/>
            <w:vAlign w:val="center"/>
          </w:tcPr>
          <w:p w14:paraId="1873AEF9" w14:textId="77777777" w:rsidR="00454A29" w:rsidRDefault="00454A29">
            <w:pPr>
              <w:pStyle w:val="ConsPlusNormal"/>
            </w:pPr>
          </w:p>
        </w:tc>
        <w:tc>
          <w:tcPr>
            <w:tcW w:w="1701" w:type="dxa"/>
            <w:vAlign w:val="center"/>
          </w:tcPr>
          <w:p w14:paraId="290C4061" w14:textId="77777777" w:rsidR="00454A29" w:rsidRDefault="00454A29">
            <w:pPr>
              <w:pStyle w:val="ConsPlusNormal"/>
            </w:pPr>
          </w:p>
        </w:tc>
        <w:tc>
          <w:tcPr>
            <w:tcW w:w="1814" w:type="dxa"/>
            <w:vAlign w:val="center"/>
          </w:tcPr>
          <w:p w14:paraId="560E8C5F" w14:textId="77777777" w:rsidR="00454A29" w:rsidRDefault="00454A29">
            <w:pPr>
              <w:pStyle w:val="ConsPlusNormal"/>
            </w:pPr>
          </w:p>
        </w:tc>
      </w:tr>
      <w:tr w:rsidR="00454A29" w14:paraId="6992CA39" w14:textId="77777777">
        <w:tc>
          <w:tcPr>
            <w:tcW w:w="567" w:type="dxa"/>
            <w:vMerge/>
          </w:tcPr>
          <w:p w14:paraId="404D06B5" w14:textId="77777777" w:rsidR="00454A29" w:rsidRDefault="00454A29"/>
        </w:tc>
        <w:tc>
          <w:tcPr>
            <w:tcW w:w="3345" w:type="dxa"/>
            <w:vMerge/>
          </w:tcPr>
          <w:p w14:paraId="66071D8D" w14:textId="77777777" w:rsidR="00454A29" w:rsidRDefault="00454A29"/>
        </w:tc>
        <w:tc>
          <w:tcPr>
            <w:tcW w:w="1701" w:type="dxa"/>
            <w:vAlign w:val="center"/>
          </w:tcPr>
          <w:p w14:paraId="3A059539" w14:textId="77777777" w:rsidR="00454A29" w:rsidRDefault="00454A29">
            <w:pPr>
              <w:pStyle w:val="ConsPlusNormal"/>
              <w:jc w:val="center"/>
            </w:pPr>
            <w:r>
              <w:t>2025</w:t>
            </w:r>
          </w:p>
        </w:tc>
        <w:tc>
          <w:tcPr>
            <w:tcW w:w="1417" w:type="dxa"/>
            <w:vMerge/>
          </w:tcPr>
          <w:p w14:paraId="033A6DDF" w14:textId="77777777" w:rsidR="00454A29" w:rsidRDefault="00454A29"/>
        </w:tc>
        <w:tc>
          <w:tcPr>
            <w:tcW w:w="2204" w:type="dxa"/>
            <w:vMerge/>
          </w:tcPr>
          <w:p w14:paraId="7395C665" w14:textId="77777777" w:rsidR="00454A29" w:rsidRDefault="00454A29"/>
        </w:tc>
        <w:tc>
          <w:tcPr>
            <w:tcW w:w="1417" w:type="dxa"/>
            <w:vMerge/>
          </w:tcPr>
          <w:p w14:paraId="53E90E59" w14:textId="77777777" w:rsidR="00454A29" w:rsidRDefault="00454A29"/>
        </w:tc>
        <w:tc>
          <w:tcPr>
            <w:tcW w:w="2324" w:type="dxa"/>
            <w:vMerge/>
          </w:tcPr>
          <w:p w14:paraId="2ED84E44" w14:textId="77777777" w:rsidR="00454A29" w:rsidRDefault="00454A29"/>
        </w:tc>
        <w:tc>
          <w:tcPr>
            <w:tcW w:w="1701" w:type="dxa"/>
            <w:vAlign w:val="center"/>
          </w:tcPr>
          <w:p w14:paraId="3B3F49B1" w14:textId="77777777" w:rsidR="00454A29" w:rsidRDefault="00454A29">
            <w:pPr>
              <w:pStyle w:val="ConsPlusNormal"/>
              <w:jc w:val="center"/>
            </w:pPr>
            <w:r>
              <w:t>279 178,81</w:t>
            </w:r>
          </w:p>
        </w:tc>
        <w:tc>
          <w:tcPr>
            <w:tcW w:w="1814" w:type="dxa"/>
            <w:vAlign w:val="center"/>
          </w:tcPr>
          <w:p w14:paraId="05FACD9E" w14:textId="77777777" w:rsidR="00454A29" w:rsidRDefault="00454A29">
            <w:pPr>
              <w:pStyle w:val="ConsPlusNormal"/>
              <w:jc w:val="center"/>
            </w:pPr>
            <w:r>
              <w:t>2 791,79</w:t>
            </w:r>
          </w:p>
        </w:tc>
        <w:tc>
          <w:tcPr>
            <w:tcW w:w="1701" w:type="dxa"/>
            <w:vAlign w:val="center"/>
          </w:tcPr>
          <w:p w14:paraId="01AED05D" w14:textId="77777777" w:rsidR="00454A29" w:rsidRDefault="00454A29">
            <w:pPr>
              <w:pStyle w:val="ConsPlusNormal"/>
              <w:jc w:val="center"/>
            </w:pPr>
            <w:r>
              <w:t>276 387,02</w:t>
            </w:r>
          </w:p>
        </w:tc>
        <w:tc>
          <w:tcPr>
            <w:tcW w:w="1701" w:type="dxa"/>
            <w:vAlign w:val="center"/>
          </w:tcPr>
          <w:p w14:paraId="2A7C2879" w14:textId="77777777" w:rsidR="00454A29" w:rsidRDefault="00454A29">
            <w:pPr>
              <w:pStyle w:val="ConsPlusNormal"/>
            </w:pPr>
          </w:p>
        </w:tc>
        <w:tc>
          <w:tcPr>
            <w:tcW w:w="1814" w:type="dxa"/>
            <w:vAlign w:val="center"/>
          </w:tcPr>
          <w:p w14:paraId="782975A2" w14:textId="77777777" w:rsidR="00454A29" w:rsidRDefault="00454A29">
            <w:pPr>
              <w:pStyle w:val="ConsPlusNormal"/>
            </w:pPr>
          </w:p>
        </w:tc>
      </w:tr>
      <w:tr w:rsidR="00454A29" w14:paraId="76405FAE" w14:textId="77777777">
        <w:tc>
          <w:tcPr>
            <w:tcW w:w="567" w:type="dxa"/>
            <w:vMerge/>
          </w:tcPr>
          <w:p w14:paraId="3F64EF02" w14:textId="77777777" w:rsidR="00454A29" w:rsidRDefault="00454A29"/>
        </w:tc>
        <w:tc>
          <w:tcPr>
            <w:tcW w:w="3345" w:type="dxa"/>
            <w:vMerge/>
          </w:tcPr>
          <w:p w14:paraId="1E31F4B3" w14:textId="77777777" w:rsidR="00454A29" w:rsidRDefault="00454A29"/>
        </w:tc>
        <w:tc>
          <w:tcPr>
            <w:tcW w:w="1701" w:type="dxa"/>
            <w:vAlign w:val="center"/>
          </w:tcPr>
          <w:p w14:paraId="7D8529C0" w14:textId="77777777" w:rsidR="00454A29" w:rsidRDefault="00454A29">
            <w:pPr>
              <w:pStyle w:val="ConsPlusNormal"/>
              <w:jc w:val="center"/>
            </w:pPr>
            <w:r>
              <w:t>2026</w:t>
            </w:r>
          </w:p>
        </w:tc>
        <w:tc>
          <w:tcPr>
            <w:tcW w:w="1417" w:type="dxa"/>
            <w:vMerge/>
          </w:tcPr>
          <w:p w14:paraId="789FA9D3" w14:textId="77777777" w:rsidR="00454A29" w:rsidRDefault="00454A29"/>
        </w:tc>
        <w:tc>
          <w:tcPr>
            <w:tcW w:w="2204" w:type="dxa"/>
            <w:vMerge/>
          </w:tcPr>
          <w:p w14:paraId="20430641" w14:textId="77777777" w:rsidR="00454A29" w:rsidRDefault="00454A29"/>
        </w:tc>
        <w:tc>
          <w:tcPr>
            <w:tcW w:w="1417" w:type="dxa"/>
            <w:vMerge/>
          </w:tcPr>
          <w:p w14:paraId="4653B62B" w14:textId="77777777" w:rsidR="00454A29" w:rsidRDefault="00454A29"/>
        </w:tc>
        <w:tc>
          <w:tcPr>
            <w:tcW w:w="2324" w:type="dxa"/>
            <w:vMerge/>
          </w:tcPr>
          <w:p w14:paraId="14805F33" w14:textId="77777777" w:rsidR="00454A29" w:rsidRDefault="00454A29"/>
        </w:tc>
        <w:tc>
          <w:tcPr>
            <w:tcW w:w="1701" w:type="dxa"/>
            <w:vAlign w:val="center"/>
          </w:tcPr>
          <w:p w14:paraId="1BD0D742" w14:textId="77777777" w:rsidR="00454A29" w:rsidRDefault="00454A29">
            <w:pPr>
              <w:pStyle w:val="ConsPlusNormal"/>
            </w:pPr>
          </w:p>
        </w:tc>
        <w:tc>
          <w:tcPr>
            <w:tcW w:w="1814" w:type="dxa"/>
            <w:vAlign w:val="center"/>
          </w:tcPr>
          <w:p w14:paraId="35DECD81" w14:textId="77777777" w:rsidR="00454A29" w:rsidRDefault="00454A29">
            <w:pPr>
              <w:pStyle w:val="ConsPlusNormal"/>
            </w:pPr>
          </w:p>
        </w:tc>
        <w:tc>
          <w:tcPr>
            <w:tcW w:w="1701" w:type="dxa"/>
            <w:vAlign w:val="center"/>
          </w:tcPr>
          <w:p w14:paraId="3F7E8F20" w14:textId="77777777" w:rsidR="00454A29" w:rsidRDefault="00454A29">
            <w:pPr>
              <w:pStyle w:val="ConsPlusNormal"/>
            </w:pPr>
          </w:p>
        </w:tc>
        <w:tc>
          <w:tcPr>
            <w:tcW w:w="1701" w:type="dxa"/>
            <w:vAlign w:val="center"/>
          </w:tcPr>
          <w:p w14:paraId="7545A07A" w14:textId="77777777" w:rsidR="00454A29" w:rsidRDefault="00454A29">
            <w:pPr>
              <w:pStyle w:val="ConsPlusNormal"/>
            </w:pPr>
          </w:p>
        </w:tc>
        <w:tc>
          <w:tcPr>
            <w:tcW w:w="1814" w:type="dxa"/>
            <w:vAlign w:val="center"/>
          </w:tcPr>
          <w:p w14:paraId="0B2A7111" w14:textId="77777777" w:rsidR="00454A29" w:rsidRDefault="00454A29">
            <w:pPr>
              <w:pStyle w:val="ConsPlusNormal"/>
            </w:pPr>
          </w:p>
        </w:tc>
      </w:tr>
      <w:tr w:rsidR="00454A29" w14:paraId="4E86C000" w14:textId="77777777">
        <w:tc>
          <w:tcPr>
            <w:tcW w:w="567" w:type="dxa"/>
            <w:vMerge w:val="restart"/>
            <w:vAlign w:val="center"/>
          </w:tcPr>
          <w:p w14:paraId="1EA3937E" w14:textId="77777777" w:rsidR="00454A29" w:rsidRDefault="00454A29">
            <w:pPr>
              <w:pStyle w:val="ConsPlusNormal"/>
              <w:jc w:val="center"/>
            </w:pPr>
            <w:r>
              <w:t>193</w:t>
            </w:r>
          </w:p>
        </w:tc>
        <w:tc>
          <w:tcPr>
            <w:tcW w:w="3345" w:type="dxa"/>
            <w:vMerge w:val="restart"/>
            <w:vAlign w:val="center"/>
          </w:tcPr>
          <w:p w14:paraId="045E173A" w14:textId="77777777" w:rsidR="00454A29" w:rsidRDefault="00454A29">
            <w:pPr>
              <w:pStyle w:val="ConsPlusNormal"/>
              <w:jc w:val="center"/>
            </w:pPr>
            <w:r>
              <w:t>Школа-сад на 100/45 мест в с. Тамалакан</w:t>
            </w:r>
          </w:p>
        </w:tc>
        <w:tc>
          <w:tcPr>
            <w:tcW w:w="1701" w:type="dxa"/>
            <w:vAlign w:val="center"/>
          </w:tcPr>
          <w:p w14:paraId="28ADC65E" w14:textId="77777777" w:rsidR="00454A29" w:rsidRDefault="00454A29">
            <w:pPr>
              <w:pStyle w:val="ConsPlusNormal"/>
              <w:jc w:val="center"/>
            </w:pPr>
            <w:r>
              <w:t>2020 - 2026 годы - всего</w:t>
            </w:r>
          </w:p>
        </w:tc>
        <w:tc>
          <w:tcPr>
            <w:tcW w:w="1417" w:type="dxa"/>
            <w:vMerge w:val="restart"/>
            <w:vAlign w:val="center"/>
          </w:tcPr>
          <w:p w14:paraId="2D9FC3C4" w14:textId="77777777" w:rsidR="00454A29" w:rsidRDefault="00454A29">
            <w:pPr>
              <w:pStyle w:val="ConsPlusNormal"/>
              <w:jc w:val="center"/>
            </w:pPr>
            <w:r>
              <w:t>367 824,52</w:t>
            </w:r>
          </w:p>
        </w:tc>
        <w:tc>
          <w:tcPr>
            <w:tcW w:w="2204" w:type="dxa"/>
            <w:vMerge w:val="restart"/>
            <w:vAlign w:val="center"/>
          </w:tcPr>
          <w:p w14:paraId="6525F1D8" w14:textId="77777777" w:rsidR="00454A29" w:rsidRDefault="00454A29">
            <w:pPr>
              <w:pStyle w:val="ConsPlusNormal"/>
              <w:jc w:val="center"/>
            </w:pPr>
            <w:r>
              <w:t>имеется</w:t>
            </w:r>
          </w:p>
        </w:tc>
        <w:tc>
          <w:tcPr>
            <w:tcW w:w="1417" w:type="dxa"/>
            <w:vMerge w:val="restart"/>
            <w:vAlign w:val="center"/>
          </w:tcPr>
          <w:p w14:paraId="7BBBDBC8" w14:textId="77777777" w:rsidR="00454A29" w:rsidRDefault="00454A29">
            <w:pPr>
              <w:pStyle w:val="ConsPlusNormal"/>
              <w:jc w:val="center"/>
            </w:pPr>
            <w:r>
              <w:t>100</w:t>
            </w:r>
          </w:p>
        </w:tc>
        <w:tc>
          <w:tcPr>
            <w:tcW w:w="2324" w:type="dxa"/>
            <w:vMerge w:val="restart"/>
            <w:vAlign w:val="center"/>
          </w:tcPr>
          <w:p w14:paraId="70EB9292" w14:textId="77777777" w:rsidR="00454A29" w:rsidRDefault="00454A29">
            <w:pPr>
              <w:pStyle w:val="ConsPlusNormal"/>
              <w:jc w:val="center"/>
            </w:pPr>
            <w:r>
              <w:t>Минстрой РС(Я), МР "Верхневилюйский улус"</w:t>
            </w:r>
          </w:p>
        </w:tc>
        <w:tc>
          <w:tcPr>
            <w:tcW w:w="1701" w:type="dxa"/>
            <w:vAlign w:val="center"/>
          </w:tcPr>
          <w:p w14:paraId="1862E241" w14:textId="77777777" w:rsidR="00454A29" w:rsidRDefault="00454A29">
            <w:pPr>
              <w:pStyle w:val="ConsPlusNormal"/>
              <w:jc w:val="center"/>
            </w:pPr>
            <w:r>
              <w:t>367 824,52</w:t>
            </w:r>
          </w:p>
        </w:tc>
        <w:tc>
          <w:tcPr>
            <w:tcW w:w="1814" w:type="dxa"/>
            <w:vAlign w:val="center"/>
          </w:tcPr>
          <w:p w14:paraId="248E8ACB" w14:textId="77777777" w:rsidR="00454A29" w:rsidRDefault="00454A29">
            <w:pPr>
              <w:pStyle w:val="ConsPlusNormal"/>
              <w:jc w:val="center"/>
            </w:pPr>
            <w:r>
              <w:t>4 652,97</w:t>
            </w:r>
          </w:p>
        </w:tc>
        <w:tc>
          <w:tcPr>
            <w:tcW w:w="1701" w:type="dxa"/>
            <w:vAlign w:val="center"/>
          </w:tcPr>
          <w:p w14:paraId="0B6F438C" w14:textId="77777777" w:rsidR="00454A29" w:rsidRDefault="00454A29">
            <w:pPr>
              <w:pStyle w:val="ConsPlusNormal"/>
              <w:jc w:val="center"/>
            </w:pPr>
            <w:r>
              <w:t>460 645,04</w:t>
            </w:r>
          </w:p>
        </w:tc>
        <w:tc>
          <w:tcPr>
            <w:tcW w:w="1701" w:type="dxa"/>
            <w:vAlign w:val="center"/>
          </w:tcPr>
          <w:p w14:paraId="467F155F" w14:textId="77777777" w:rsidR="00454A29" w:rsidRDefault="00454A29">
            <w:pPr>
              <w:pStyle w:val="ConsPlusNormal"/>
              <w:jc w:val="center"/>
            </w:pPr>
            <w:r>
              <w:t>-</w:t>
            </w:r>
          </w:p>
        </w:tc>
        <w:tc>
          <w:tcPr>
            <w:tcW w:w="1814" w:type="dxa"/>
            <w:vAlign w:val="center"/>
          </w:tcPr>
          <w:p w14:paraId="1463AA3E" w14:textId="77777777" w:rsidR="00454A29" w:rsidRDefault="00454A29">
            <w:pPr>
              <w:pStyle w:val="ConsPlusNormal"/>
              <w:jc w:val="center"/>
            </w:pPr>
            <w:r>
              <w:t>-</w:t>
            </w:r>
          </w:p>
        </w:tc>
      </w:tr>
      <w:tr w:rsidR="00454A29" w14:paraId="2D16EB5E" w14:textId="77777777">
        <w:tc>
          <w:tcPr>
            <w:tcW w:w="567" w:type="dxa"/>
            <w:vMerge/>
          </w:tcPr>
          <w:p w14:paraId="228091AD" w14:textId="77777777" w:rsidR="00454A29" w:rsidRDefault="00454A29"/>
        </w:tc>
        <w:tc>
          <w:tcPr>
            <w:tcW w:w="3345" w:type="dxa"/>
            <w:vMerge/>
          </w:tcPr>
          <w:p w14:paraId="39614CE0" w14:textId="77777777" w:rsidR="00454A29" w:rsidRDefault="00454A29"/>
        </w:tc>
        <w:tc>
          <w:tcPr>
            <w:tcW w:w="1701" w:type="dxa"/>
            <w:vAlign w:val="center"/>
          </w:tcPr>
          <w:p w14:paraId="64CEFB99" w14:textId="77777777" w:rsidR="00454A29" w:rsidRDefault="00454A29">
            <w:pPr>
              <w:pStyle w:val="ConsPlusNormal"/>
              <w:jc w:val="center"/>
            </w:pPr>
            <w:r>
              <w:t>2020</w:t>
            </w:r>
          </w:p>
        </w:tc>
        <w:tc>
          <w:tcPr>
            <w:tcW w:w="1417" w:type="dxa"/>
            <w:vMerge/>
          </w:tcPr>
          <w:p w14:paraId="73970EB2" w14:textId="77777777" w:rsidR="00454A29" w:rsidRDefault="00454A29"/>
        </w:tc>
        <w:tc>
          <w:tcPr>
            <w:tcW w:w="2204" w:type="dxa"/>
            <w:vMerge/>
          </w:tcPr>
          <w:p w14:paraId="051BB502" w14:textId="77777777" w:rsidR="00454A29" w:rsidRDefault="00454A29"/>
        </w:tc>
        <w:tc>
          <w:tcPr>
            <w:tcW w:w="1417" w:type="dxa"/>
            <w:vMerge/>
          </w:tcPr>
          <w:p w14:paraId="12FBC866" w14:textId="77777777" w:rsidR="00454A29" w:rsidRDefault="00454A29"/>
        </w:tc>
        <w:tc>
          <w:tcPr>
            <w:tcW w:w="2324" w:type="dxa"/>
            <w:vMerge/>
          </w:tcPr>
          <w:p w14:paraId="6043AD25" w14:textId="77777777" w:rsidR="00454A29" w:rsidRDefault="00454A29"/>
        </w:tc>
        <w:tc>
          <w:tcPr>
            <w:tcW w:w="1701" w:type="dxa"/>
            <w:vAlign w:val="center"/>
          </w:tcPr>
          <w:p w14:paraId="1F565835" w14:textId="77777777" w:rsidR="00454A29" w:rsidRDefault="00454A29">
            <w:pPr>
              <w:pStyle w:val="ConsPlusNormal"/>
            </w:pPr>
          </w:p>
        </w:tc>
        <w:tc>
          <w:tcPr>
            <w:tcW w:w="1814" w:type="dxa"/>
            <w:vAlign w:val="center"/>
          </w:tcPr>
          <w:p w14:paraId="4E82B515" w14:textId="77777777" w:rsidR="00454A29" w:rsidRDefault="00454A29">
            <w:pPr>
              <w:pStyle w:val="ConsPlusNormal"/>
            </w:pPr>
          </w:p>
        </w:tc>
        <w:tc>
          <w:tcPr>
            <w:tcW w:w="1701" w:type="dxa"/>
            <w:vAlign w:val="center"/>
          </w:tcPr>
          <w:p w14:paraId="0769B994" w14:textId="77777777" w:rsidR="00454A29" w:rsidRDefault="00454A29">
            <w:pPr>
              <w:pStyle w:val="ConsPlusNormal"/>
            </w:pPr>
          </w:p>
        </w:tc>
        <w:tc>
          <w:tcPr>
            <w:tcW w:w="1701" w:type="dxa"/>
            <w:vAlign w:val="center"/>
          </w:tcPr>
          <w:p w14:paraId="7E011929" w14:textId="77777777" w:rsidR="00454A29" w:rsidRDefault="00454A29">
            <w:pPr>
              <w:pStyle w:val="ConsPlusNormal"/>
            </w:pPr>
          </w:p>
        </w:tc>
        <w:tc>
          <w:tcPr>
            <w:tcW w:w="1814" w:type="dxa"/>
            <w:vAlign w:val="center"/>
          </w:tcPr>
          <w:p w14:paraId="0B2F3528" w14:textId="77777777" w:rsidR="00454A29" w:rsidRDefault="00454A29">
            <w:pPr>
              <w:pStyle w:val="ConsPlusNormal"/>
            </w:pPr>
          </w:p>
        </w:tc>
      </w:tr>
      <w:tr w:rsidR="00454A29" w14:paraId="239DD232" w14:textId="77777777">
        <w:tc>
          <w:tcPr>
            <w:tcW w:w="567" w:type="dxa"/>
            <w:vMerge/>
          </w:tcPr>
          <w:p w14:paraId="63503296" w14:textId="77777777" w:rsidR="00454A29" w:rsidRDefault="00454A29"/>
        </w:tc>
        <w:tc>
          <w:tcPr>
            <w:tcW w:w="3345" w:type="dxa"/>
            <w:vMerge/>
          </w:tcPr>
          <w:p w14:paraId="16B1A299" w14:textId="77777777" w:rsidR="00454A29" w:rsidRDefault="00454A29"/>
        </w:tc>
        <w:tc>
          <w:tcPr>
            <w:tcW w:w="1701" w:type="dxa"/>
            <w:vAlign w:val="center"/>
          </w:tcPr>
          <w:p w14:paraId="37B795F5" w14:textId="77777777" w:rsidR="00454A29" w:rsidRDefault="00454A29">
            <w:pPr>
              <w:pStyle w:val="ConsPlusNormal"/>
              <w:jc w:val="center"/>
            </w:pPr>
            <w:r>
              <w:t>2021</w:t>
            </w:r>
          </w:p>
        </w:tc>
        <w:tc>
          <w:tcPr>
            <w:tcW w:w="1417" w:type="dxa"/>
            <w:vMerge/>
          </w:tcPr>
          <w:p w14:paraId="1900B1B2" w14:textId="77777777" w:rsidR="00454A29" w:rsidRDefault="00454A29"/>
        </w:tc>
        <w:tc>
          <w:tcPr>
            <w:tcW w:w="2204" w:type="dxa"/>
            <w:vMerge/>
          </w:tcPr>
          <w:p w14:paraId="4AADBD66" w14:textId="77777777" w:rsidR="00454A29" w:rsidRDefault="00454A29"/>
        </w:tc>
        <w:tc>
          <w:tcPr>
            <w:tcW w:w="1417" w:type="dxa"/>
            <w:vMerge/>
          </w:tcPr>
          <w:p w14:paraId="0647D3B1" w14:textId="77777777" w:rsidR="00454A29" w:rsidRDefault="00454A29"/>
        </w:tc>
        <w:tc>
          <w:tcPr>
            <w:tcW w:w="2324" w:type="dxa"/>
            <w:vMerge/>
          </w:tcPr>
          <w:p w14:paraId="0C90D46B" w14:textId="77777777" w:rsidR="00454A29" w:rsidRDefault="00454A29"/>
        </w:tc>
        <w:tc>
          <w:tcPr>
            <w:tcW w:w="1701" w:type="dxa"/>
            <w:vAlign w:val="center"/>
          </w:tcPr>
          <w:p w14:paraId="2B31B94E" w14:textId="77777777" w:rsidR="00454A29" w:rsidRDefault="00454A29">
            <w:pPr>
              <w:pStyle w:val="ConsPlusNormal"/>
              <w:jc w:val="center"/>
            </w:pPr>
            <w:r>
              <w:t>-</w:t>
            </w:r>
          </w:p>
        </w:tc>
        <w:tc>
          <w:tcPr>
            <w:tcW w:w="1814" w:type="dxa"/>
            <w:vAlign w:val="center"/>
          </w:tcPr>
          <w:p w14:paraId="2D9EB429" w14:textId="77777777" w:rsidR="00454A29" w:rsidRDefault="00454A29">
            <w:pPr>
              <w:pStyle w:val="ConsPlusNormal"/>
            </w:pPr>
          </w:p>
        </w:tc>
        <w:tc>
          <w:tcPr>
            <w:tcW w:w="1701" w:type="dxa"/>
            <w:vAlign w:val="center"/>
          </w:tcPr>
          <w:p w14:paraId="3C726608" w14:textId="77777777" w:rsidR="00454A29" w:rsidRDefault="00454A29">
            <w:pPr>
              <w:pStyle w:val="ConsPlusNormal"/>
            </w:pPr>
          </w:p>
        </w:tc>
        <w:tc>
          <w:tcPr>
            <w:tcW w:w="1701" w:type="dxa"/>
            <w:vAlign w:val="center"/>
          </w:tcPr>
          <w:p w14:paraId="0BC11248" w14:textId="77777777" w:rsidR="00454A29" w:rsidRDefault="00454A29">
            <w:pPr>
              <w:pStyle w:val="ConsPlusNormal"/>
            </w:pPr>
          </w:p>
        </w:tc>
        <w:tc>
          <w:tcPr>
            <w:tcW w:w="1814" w:type="dxa"/>
            <w:vAlign w:val="center"/>
          </w:tcPr>
          <w:p w14:paraId="08E711AD" w14:textId="77777777" w:rsidR="00454A29" w:rsidRDefault="00454A29">
            <w:pPr>
              <w:pStyle w:val="ConsPlusNormal"/>
            </w:pPr>
          </w:p>
        </w:tc>
      </w:tr>
      <w:tr w:rsidR="00454A29" w14:paraId="5C543E8B" w14:textId="77777777">
        <w:tc>
          <w:tcPr>
            <w:tcW w:w="567" w:type="dxa"/>
            <w:vMerge/>
          </w:tcPr>
          <w:p w14:paraId="7895926A" w14:textId="77777777" w:rsidR="00454A29" w:rsidRDefault="00454A29"/>
        </w:tc>
        <w:tc>
          <w:tcPr>
            <w:tcW w:w="3345" w:type="dxa"/>
            <w:vMerge/>
          </w:tcPr>
          <w:p w14:paraId="1D1EECF0" w14:textId="77777777" w:rsidR="00454A29" w:rsidRDefault="00454A29"/>
        </w:tc>
        <w:tc>
          <w:tcPr>
            <w:tcW w:w="1701" w:type="dxa"/>
            <w:vAlign w:val="center"/>
          </w:tcPr>
          <w:p w14:paraId="4674738D" w14:textId="77777777" w:rsidR="00454A29" w:rsidRDefault="00454A29">
            <w:pPr>
              <w:pStyle w:val="ConsPlusNormal"/>
              <w:jc w:val="center"/>
            </w:pPr>
            <w:r>
              <w:t>2022</w:t>
            </w:r>
          </w:p>
        </w:tc>
        <w:tc>
          <w:tcPr>
            <w:tcW w:w="1417" w:type="dxa"/>
            <w:vMerge/>
          </w:tcPr>
          <w:p w14:paraId="7C81C32F" w14:textId="77777777" w:rsidR="00454A29" w:rsidRDefault="00454A29"/>
        </w:tc>
        <w:tc>
          <w:tcPr>
            <w:tcW w:w="2204" w:type="dxa"/>
            <w:vMerge/>
          </w:tcPr>
          <w:p w14:paraId="1929CF8C" w14:textId="77777777" w:rsidR="00454A29" w:rsidRDefault="00454A29"/>
        </w:tc>
        <w:tc>
          <w:tcPr>
            <w:tcW w:w="1417" w:type="dxa"/>
            <w:vMerge/>
          </w:tcPr>
          <w:p w14:paraId="740BEFDE" w14:textId="77777777" w:rsidR="00454A29" w:rsidRDefault="00454A29"/>
        </w:tc>
        <w:tc>
          <w:tcPr>
            <w:tcW w:w="2324" w:type="dxa"/>
            <w:vMerge/>
          </w:tcPr>
          <w:p w14:paraId="08FE18D4" w14:textId="77777777" w:rsidR="00454A29" w:rsidRDefault="00454A29"/>
        </w:tc>
        <w:tc>
          <w:tcPr>
            <w:tcW w:w="1701" w:type="dxa"/>
            <w:vAlign w:val="center"/>
          </w:tcPr>
          <w:p w14:paraId="170B3630" w14:textId="77777777" w:rsidR="00454A29" w:rsidRDefault="00454A29">
            <w:pPr>
              <w:pStyle w:val="ConsPlusNormal"/>
            </w:pPr>
          </w:p>
        </w:tc>
        <w:tc>
          <w:tcPr>
            <w:tcW w:w="1814" w:type="dxa"/>
            <w:vAlign w:val="center"/>
          </w:tcPr>
          <w:p w14:paraId="242A999E" w14:textId="77777777" w:rsidR="00454A29" w:rsidRDefault="00454A29">
            <w:pPr>
              <w:pStyle w:val="ConsPlusNormal"/>
            </w:pPr>
          </w:p>
        </w:tc>
        <w:tc>
          <w:tcPr>
            <w:tcW w:w="1701" w:type="dxa"/>
            <w:vAlign w:val="center"/>
          </w:tcPr>
          <w:p w14:paraId="1154157F" w14:textId="77777777" w:rsidR="00454A29" w:rsidRDefault="00454A29">
            <w:pPr>
              <w:pStyle w:val="ConsPlusNormal"/>
            </w:pPr>
          </w:p>
        </w:tc>
        <w:tc>
          <w:tcPr>
            <w:tcW w:w="1701" w:type="dxa"/>
            <w:vAlign w:val="center"/>
          </w:tcPr>
          <w:p w14:paraId="61C96D78" w14:textId="77777777" w:rsidR="00454A29" w:rsidRDefault="00454A29">
            <w:pPr>
              <w:pStyle w:val="ConsPlusNormal"/>
            </w:pPr>
          </w:p>
        </w:tc>
        <w:tc>
          <w:tcPr>
            <w:tcW w:w="1814" w:type="dxa"/>
            <w:vAlign w:val="center"/>
          </w:tcPr>
          <w:p w14:paraId="0779879D" w14:textId="77777777" w:rsidR="00454A29" w:rsidRDefault="00454A29">
            <w:pPr>
              <w:pStyle w:val="ConsPlusNormal"/>
            </w:pPr>
          </w:p>
        </w:tc>
      </w:tr>
      <w:tr w:rsidR="00454A29" w14:paraId="21AAFD82" w14:textId="77777777">
        <w:tc>
          <w:tcPr>
            <w:tcW w:w="567" w:type="dxa"/>
            <w:vMerge/>
          </w:tcPr>
          <w:p w14:paraId="26F0304A" w14:textId="77777777" w:rsidR="00454A29" w:rsidRDefault="00454A29"/>
        </w:tc>
        <w:tc>
          <w:tcPr>
            <w:tcW w:w="3345" w:type="dxa"/>
            <w:vMerge/>
          </w:tcPr>
          <w:p w14:paraId="67795FE5" w14:textId="77777777" w:rsidR="00454A29" w:rsidRDefault="00454A29"/>
        </w:tc>
        <w:tc>
          <w:tcPr>
            <w:tcW w:w="1701" w:type="dxa"/>
            <w:vAlign w:val="center"/>
          </w:tcPr>
          <w:p w14:paraId="3660CC4D" w14:textId="77777777" w:rsidR="00454A29" w:rsidRDefault="00454A29">
            <w:pPr>
              <w:pStyle w:val="ConsPlusNormal"/>
              <w:jc w:val="center"/>
            </w:pPr>
            <w:r>
              <w:t>2023</w:t>
            </w:r>
          </w:p>
        </w:tc>
        <w:tc>
          <w:tcPr>
            <w:tcW w:w="1417" w:type="dxa"/>
            <w:vMerge/>
          </w:tcPr>
          <w:p w14:paraId="3A8A8655" w14:textId="77777777" w:rsidR="00454A29" w:rsidRDefault="00454A29"/>
        </w:tc>
        <w:tc>
          <w:tcPr>
            <w:tcW w:w="2204" w:type="dxa"/>
            <w:vMerge/>
          </w:tcPr>
          <w:p w14:paraId="6F5034FB" w14:textId="77777777" w:rsidR="00454A29" w:rsidRDefault="00454A29"/>
        </w:tc>
        <w:tc>
          <w:tcPr>
            <w:tcW w:w="1417" w:type="dxa"/>
            <w:vMerge/>
          </w:tcPr>
          <w:p w14:paraId="730D73AC" w14:textId="77777777" w:rsidR="00454A29" w:rsidRDefault="00454A29"/>
        </w:tc>
        <w:tc>
          <w:tcPr>
            <w:tcW w:w="2324" w:type="dxa"/>
            <w:vMerge/>
          </w:tcPr>
          <w:p w14:paraId="661B7C4D" w14:textId="77777777" w:rsidR="00454A29" w:rsidRDefault="00454A29"/>
        </w:tc>
        <w:tc>
          <w:tcPr>
            <w:tcW w:w="1701" w:type="dxa"/>
            <w:vAlign w:val="center"/>
          </w:tcPr>
          <w:p w14:paraId="477C88B0" w14:textId="77777777" w:rsidR="00454A29" w:rsidRDefault="00454A29">
            <w:pPr>
              <w:pStyle w:val="ConsPlusNormal"/>
            </w:pPr>
          </w:p>
        </w:tc>
        <w:tc>
          <w:tcPr>
            <w:tcW w:w="1814" w:type="dxa"/>
            <w:vAlign w:val="center"/>
          </w:tcPr>
          <w:p w14:paraId="0F94A54D" w14:textId="77777777" w:rsidR="00454A29" w:rsidRDefault="00454A29">
            <w:pPr>
              <w:pStyle w:val="ConsPlusNormal"/>
            </w:pPr>
          </w:p>
        </w:tc>
        <w:tc>
          <w:tcPr>
            <w:tcW w:w="1701" w:type="dxa"/>
            <w:vAlign w:val="center"/>
          </w:tcPr>
          <w:p w14:paraId="54963AE3" w14:textId="77777777" w:rsidR="00454A29" w:rsidRDefault="00454A29">
            <w:pPr>
              <w:pStyle w:val="ConsPlusNormal"/>
            </w:pPr>
          </w:p>
        </w:tc>
        <w:tc>
          <w:tcPr>
            <w:tcW w:w="1701" w:type="dxa"/>
            <w:vAlign w:val="center"/>
          </w:tcPr>
          <w:p w14:paraId="225DEDFC" w14:textId="77777777" w:rsidR="00454A29" w:rsidRDefault="00454A29">
            <w:pPr>
              <w:pStyle w:val="ConsPlusNormal"/>
            </w:pPr>
          </w:p>
        </w:tc>
        <w:tc>
          <w:tcPr>
            <w:tcW w:w="1814" w:type="dxa"/>
            <w:vAlign w:val="center"/>
          </w:tcPr>
          <w:p w14:paraId="087F9605" w14:textId="77777777" w:rsidR="00454A29" w:rsidRDefault="00454A29">
            <w:pPr>
              <w:pStyle w:val="ConsPlusNormal"/>
            </w:pPr>
          </w:p>
        </w:tc>
      </w:tr>
      <w:tr w:rsidR="00454A29" w14:paraId="15E08E6F" w14:textId="77777777">
        <w:tc>
          <w:tcPr>
            <w:tcW w:w="567" w:type="dxa"/>
            <w:vMerge/>
          </w:tcPr>
          <w:p w14:paraId="37CC26D7" w14:textId="77777777" w:rsidR="00454A29" w:rsidRDefault="00454A29"/>
        </w:tc>
        <w:tc>
          <w:tcPr>
            <w:tcW w:w="3345" w:type="dxa"/>
            <w:vMerge/>
          </w:tcPr>
          <w:p w14:paraId="2DFACBF1" w14:textId="77777777" w:rsidR="00454A29" w:rsidRDefault="00454A29"/>
        </w:tc>
        <w:tc>
          <w:tcPr>
            <w:tcW w:w="1701" w:type="dxa"/>
            <w:vAlign w:val="center"/>
          </w:tcPr>
          <w:p w14:paraId="096E9B1F" w14:textId="77777777" w:rsidR="00454A29" w:rsidRDefault="00454A29">
            <w:pPr>
              <w:pStyle w:val="ConsPlusNormal"/>
              <w:jc w:val="center"/>
            </w:pPr>
            <w:r>
              <w:t>2024</w:t>
            </w:r>
          </w:p>
        </w:tc>
        <w:tc>
          <w:tcPr>
            <w:tcW w:w="1417" w:type="dxa"/>
            <w:vMerge/>
          </w:tcPr>
          <w:p w14:paraId="73419B12" w14:textId="77777777" w:rsidR="00454A29" w:rsidRDefault="00454A29"/>
        </w:tc>
        <w:tc>
          <w:tcPr>
            <w:tcW w:w="2204" w:type="dxa"/>
            <w:vMerge/>
          </w:tcPr>
          <w:p w14:paraId="36E70530" w14:textId="77777777" w:rsidR="00454A29" w:rsidRDefault="00454A29"/>
        </w:tc>
        <w:tc>
          <w:tcPr>
            <w:tcW w:w="1417" w:type="dxa"/>
            <w:vMerge/>
          </w:tcPr>
          <w:p w14:paraId="57BEE1D2" w14:textId="77777777" w:rsidR="00454A29" w:rsidRDefault="00454A29"/>
        </w:tc>
        <w:tc>
          <w:tcPr>
            <w:tcW w:w="2324" w:type="dxa"/>
            <w:vMerge/>
          </w:tcPr>
          <w:p w14:paraId="50EA17E5" w14:textId="77777777" w:rsidR="00454A29" w:rsidRDefault="00454A29"/>
        </w:tc>
        <w:tc>
          <w:tcPr>
            <w:tcW w:w="1701" w:type="dxa"/>
            <w:vAlign w:val="center"/>
          </w:tcPr>
          <w:p w14:paraId="3FA38788" w14:textId="77777777" w:rsidR="00454A29" w:rsidRDefault="00454A29">
            <w:pPr>
              <w:pStyle w:val="ConsPlusNormal"/>
            </w:pPr>
          </w:p>
        </w:tc>
        <w:tc>
          <w:tcPr>
            <w:tcW w:w="1814" w:type="dxa"/>
            <w:vAlign w:val="center"/>
          </w:tcPr>
          <w:p w14:paraId="7F932FFD" w14:textId="77777777" w:rsidR="00454A29" w:rsidRDefault="00454A29">
            <w:pPr>
              <w:pStyle w:val="ConsPlusNormal"/>
            </w:pPr>
          </w:p>
        </w:tc>
        <w:tc>
          <w:tcPr>
            <w:tcW w:w="1701" w:type="dxa"/>
            <w:vAlign w:val="center"/>
          </w:tcPr>
          <w:p w14:paraId="4CA4F6F8" w14:textId="77777777" w:rsidR="00454A29" w:rsidRDefault="00454A29">
            <w:pPr>
              <w:pStyle w:val="ConsPlusNormal"/>
            </w:pPr>
          </w:p>
        </w:tc>
        <w:tc>
          <w:tcPr>
            <w:tcW w:w="1701" w:type="dxa"/>
            <w:vAlign w:val="center"/>
          </w:tcPr>
          <w:p w14:paraId="6FA35DE2" w14:textId="77777777" w:rsidR="00454A29" w:rsidRDefault="00454A29">
            <w:pPr>
              <w:pStyle w:val="ConsPlusNormal"/>
            </w:pPr>
          </w:p>
        </w:tc>
        <w:tc>
          <w:tcPr>
            <w:tcW w:w="1814" w:type="dxa"/>
            <w:vAlign w:val="center"/>
          </w:tcPr>
          <w:p w14:paraId="6955A67A" w14:textId="77777777" w:rsidR="00454A29" w:rsidRDefault="00454A29">
            <w:pPr>
              <w:pStyle w:val="ConsPlusNormal"/>
            </w:pPr>
          </w:p>
        </w:tc>
      </w:tr>
      <w:tr w:rsidR="00454A29" w14:paraId="499BF872" w14:textId="77777777">
        <w:tc>
          <w:tcPr>
            <w:tcW w:w="567" w:type="dxa"/>
            <w:vMerge/>
          </w:tcPr>
          <w:p w14:paraId="62C4F251" w14:textId="77777777" w:rsidR="00454A29" w:rsidRDefault="00454A29"/>
        </w:tc>
        <w:tc>
          <w:tcPr>
            <w:tcW w:w="3345" w:type="dxa"/>
            <w:vMerge/>
          </w:tcPr>
          <w:p w14:paraId="3890FDE5" w14:textId="77777777" w:rsidR="00454A29" w:rsidRDefault="00454A29"/>
        </w:tc>
        <w:tc>
          <w:tcPr>
            <w:tcW w:w="1701" w:type="dxa"/>
            <w:vAlign w:val="center"/>
          </w:tcPr>
          <w:p w14:paraId="2D690652" w14:textId="77777777" w:rsidR="00454A29" w:rsidRDefault="00454A29">
            <w:pPr>
              <w:pStyle w:val="ConsPlusNormal"/>
              <w:jc w:val="center"/>
            </w:pPr>
            <w:r>
              <w:t>2025</w:t>
            </w:r>
          </w:p>
        </w:tc>
        <w:tc>
          <w:tcPr>
            <w:tcW w:w="1417" w:type="dxa"/>
            <w:vMerge/>
          </w:tcPr>
          <w:p w14:paraId="3124403F" w14:textId="77777777" w:rsidR="00454A29" w:rsidRDefault="00454A29"/>
        </w:tc>
        <w:tc>
          <w:tcPr>
            <w:tcW w:w="2204" w:type="dxa"/>
            <w:vMerge/>
          </w:tcPr>
          <w:p w14:paraId="56C17D2A" w14:textId="77777777" w:rsidR="00454A29" w:rsidRDefault="00454A29"/>
        </w:tc>
        <w:tc>
          <w:tcPr>
            <w:tcW w:w="1417" w:type="dxa"/>
            <w:vMerge/>
          </w:tcPr>
          <w:p w14:paraId="57EB8AA6" w14:textId="77777777" w:rsidR="00454A29" w:rsidRDefault="00454A29"/>
        </w:tc>
        <w:tc>
          <w:tcPr>
            <w:tcW w:w="2324" w:type="dxa"/>
            <w:vMerge/>
          </w:tcPr>
          <w:p w14:paraId="0232ECB5" w14:textId="77777777" w:rsidR="00454A29" w:rsidRDefault="00454A29"/>
        </w:tc>
        <w:tc>
          <w:tcPr>
            <w:tcW w:w="1701" w:type="dxa"/>
            <w:vAlign w:val="center"/>
          </w:tcPr>
          <w:p w14:paraId="76AF8C87" w14:textId="77777777" w:rsidR="00454A29" w:rsidRDefault="00454A29">
            <w:pPr>
              <w:pStyle w:val="ConsPlusNormal"/>
              <w:jc w:val="center"/>
            </w:pPr>
            <w:r>
              <w:t>367 824,52</w:t>
            </w:r>
          </w:p>
        </w:tc>
        <w:tc>
          <w:tcPr>
            <w:tcW w:w="1814" w:type="dxa"/>
            <w:vAlign w:val="center"/>
          </w:tcPr>
          <w:p w14:paraId="47AF20C3" w14:textId="77777777" w:rsidR="00454A29" w:rsidRDefault="00454A29">
            <w:pPr>
              <w:pStyle w:val="ConsPlusNormal"/>
              <w:jc w:val="center"/>
            </w:pPr>
            <w:r>
              <w:t>4 652,97</w:t>
            </w:r>
          </w:p>
        </w:tc>
        <w:tc>
          <w:tcPr>
            <w:tcW w:w="1701" w:type="dxa"/>
            <w:vAlign w:val="center"/>
          </w:tcPr>
          <w:p w14:paraId="2488C437" w14:textId="77777777" w:rsidR="00454A29" w:rsidRDefault="00454A29">
            <w:pPr>
              <w:pStyle w:val="ConsPlusNormal"/>
              <w:jc w:val="center"/>
            </w:pPr>
            <w:r>
              <w:t>460 645,04</w:t>
            </w:r>
          </w:p>
        </w:tc>
        <w:tc>
          <w:tcPr>
            <w:tcW w:w="1701" w:type="dxa"/>
            <w:vAlign w:val="center"/>
          </w:tcPr>
          <w:p w14:paraId="2DDC309F" w14:textId="77777777" w:rsidR="00454A29" w:rsidRDefault="00454A29">
            <w:pPr>
              <w:pStyle w:val="ConsPlusNormal"/>
            </w:pPr>
          </w:p>
        </w:tc>
        <w:tc>
          <w:tcPr>
            <w:tcW w:w="1814" w:type="dxa"/>
            <w:vAlign w:val="center"/>
          </w:tcPr>
          <w:p w14:paraId="734217E7" w14:textId="77777777" w:rsidR="00454A29" w:rsidRDefault="00454A29">
            <w:pPr>
              <w:pStyle w:val="ConsPlusNormal"/>
            </w:pPr>
          </w:p>
        </w:tc>
      </w:tr>
      <w:tr w:rsidR="00454A29" w14:paraId="219C2E71" w14:textId="77777777">
        <w:tc>
          <w:tcPr>
            <w:tcW w:w="567" w:type="dxa"/>
            <w:vMerge/>
          </w:tcPr>
          <w:p w14:paraId="7F970D3E" w14:textId="77777777" w:rsidR="00454A29" w:rsidRDefault="00454A29"/>
        </w:tc>
        <w:tc>
          <w:tcPr>
            <w:tcW w:w="3345" w:type="dxa"/>
            <w:vMerge/>
          </w:tcPr>
          <w:p w14:paraId="60E40FF0" w14:textId="77777777" w:rsidR="00454A29" w:rsidRDefault="00454A29"/>
        </w:tc>
        <w:tc>
          <w:tcPr>
            <w:tcW w:w="1701" w:type="dxa"/>
            <w:vAlign w:val="center"/>
          </w:tcPr>
          <w:p w14:paraId="28445350" w14:textId="77777777" w:rsidR="00454A29" w:rsidRDefault="00454A29">
            <w:pPr>
              <w:pStyle w:val="ConsPlusNormal"/>
              <w:jc w:val="center"/>
            </w:pPr>
            <w:r>
              <w:t>2026</w:t>
            </w:r>
          </w:p>
        </w:tc>
        <w:tc>
          <w:tcPr>
            <w:tcW w:w="1417" w:type="dxa"/>
            <w:vMerge/>
          </w:tcPr>
          <w:p w14:paraId="603CF7D5" w14:textId="77777777" w:rsidR="00454A29" w:rsidRDefault="00454A29"/>
        </w:tc>
        <w:tc>
          <w:tcPr>
            <w:tcW w:w="2204" w:type="dxa"/>
            <w:vMerge/>
          </w:tcPr>
          <w:p w14:paraId="1DFC8311" w14:textId="77777777" w:rsidR="00454A29" w:rsidRDefault="00454A29"/>
        </w:tc>
        <w:tc>
          <w:tcPr>
            <w:tcW w:w="1417" w:type="dxa"/>
            <w:vMerge/>
          </w:tcPr>
          <w:p w14:paraId="7B3CF119" w14:textId="77777777" w:rsidR="00454A29" w:rsidRDefault="00454A29"/>
        </w:tc>
        <w:tc>
          <w:tcPr>
            <w:tcW w:w="2324" w:type="dxa"/>
            <w:vMerge/>
          </w:tcPr>
          <w:p w14:paraId="6BFA48AF" w14:textId="77777777" w:rsidR="00454A29" w:rsidRDefault="00454A29"/>
        </w:tc>
        <w:tc>
          <w:tcPr>
            <w:tcW w:w="1701" w:type="dxa"/>
            <w:vAlign w:val="center"/>
          </w:tcPr>
          <w:p w14:paraId="7BC36478" w14:textId="77777777" w:rsidR="00454A29" w:rsidRDefault="00454A29">
            <w:pPr>
              <w:pStyle w:val="ConsPlusNormal"/>
            </w:pPr>
          </w:p>
        </w:tc>
        <w:tc>
          <w:tcPr>
            <w:tcW w:w="1814" w:type="dxa"/>
            <w:vAlign w:val="center"/>
          </w:tcPr>
          <w:p w14:paraId="11F25C63" w14:textId="77777777" w:rsidR="00454A29" w:rsidRDefault="00454A29">
            <w:pPr>
              <w:pStyle w:val="ConsPlusNormal"/>
            </w:pPr>
          </w:p>
        </w:tc>
        <w:tc>
          <w:tcPr>
            <w:tcW w:w="1701" w:type="dxa"/>
            <w:vAlign w:val="center"/>
          </w:tcPr>
          <w:p w14:paraId="19CF0122" w14:textId="77777777" w:rsidR="00454A29" w:rsidRDefault="00454A29">
            <w:pPr>
              <w:pStyle w:val="ConsPlusNormal"/>
            </w:pPr>
          </w:p>
        </w:tc>
        <w:tc>
          <w:tcPr>
            <w:tcW w:w="1701" w:type="dxa"/>
            <w:vAlign w:val="center"/>
          </w:tcPr>
          <w:p w14:paraId="356B2D8C" w14:textId="77777777" w:rsidR="00454A29" w:rsidRDefault="00454A29">
            <w:pPr>
              <w:pStyle w:val="ConsPlusNormal"/>
            </w:pPr>
          </w:p>
        </w:tc>
        <w:tc>
          <w:tcPr>
            <w:tcW w:w="1814" w:type="dxa"/>
            <w:vAlign w:val="center"/>
          </w:tcPr>
          <w:p w14:paraId="6BBF368A" w14:textId="77777777" w:rsidR="00454A29" w:rsidRDefault="00454A29">
            <w:pPr>
              <w:pStyle w:val="ConsPlusNormal"/>
            </w:pPr>
          </w:p>
        </w:tc>
      </w:tr>
      <w:tr w:rsidR="00454A29" w14:paraId="58F85470" w14:textId="77777777">
        <w:tc>
          <w:tcPr>
            <w:tcW w:w="567" w:type="dxa"/>
            <w:vMerge w:val="restart"/>
            <w:vAlign w:val="center"/>
          </w:tcPr>
          <w:p w14:paraId="7FAE6483" w14:textId="77777777" w:rsidR="00454A29" w:rsidRDefault="00454A29">
            <w:pPr>
              <w:pStyle w:val="ConsPlusNormal"/>
              <w:jc w:val="center"/>
            </w:pPr>
            <w:r>
              <w:t>194</w:t>
            </w:r>
          </w:p>
        </w:tc>
        <w:tc>
          <w:tcPr>
            <w:tcW w:w="3345" w:type="dxa"/>
            <w:vMerge w:val="restart"/>
            <w:vAlign w:val="center"/>
          </w:tcPr>
          <w:p w14:paraId="6052F005" w14:textId="77777777" w:rsidR="00454A29" w:rsidRDefault="00454A29">
            <w:pPr>
              <w:pStyle w:val="ConsPlusNormal"/>
              <w:jc w:val="center"/>
            </w:pPr>
            <w:r>
              <w:t>Школа на 450 мест в с. Верхневилюйск (ВВСОШ N 2)</w:t>
            </w:r>
          </w:p>
        </w:tc>
        <w:tc>
          <w:tcPr>
            <w:tcW w:w="1701" w:type="dxa"/>
            <w:vAlign w:val="center"/>
          </w:tcPr>
          <w:p w14:paraId="68CEE886" w14:textId="77777777" w:rsidR="00454A29" w:rsidRDefault="00454A29">
            <w:pPr>
              <w:pStyle w:val="ConsPlusNormal"/>
              <w:jc w:val="center"/>
            </w:pPr>
            <w:r>
              <w:t>2020 - 2026 годы - всего</w:t>
            </w:r>
          </w:p>
        </w:tc>
        <w:tc>
          <w:tcPr>
            <w:tcW w:w="1417" w:type="dxa"/>
            <w:vMerge w:val="restart"/>
            <w:vAlign w:val="center"/>
          </w:tcPr>
          <w:p w14:paraId="64BB4E6B" w14:textId="77777777" w:rsidR="00454A29" w:rsidRDefault="00454A29">
            <w:pPr>
              <w:pStyle w:val="ConsPlusNormal"/>
              <w:jc w:val="center"/>
            </w:pPr>
            <w:r>
              <w:t>294 977,19</w:t>
            </w:r>
          </w:p>
        </w:tc>
        <w:tc>
          <w:tcPr>
            <w:tcW w:w="2204" w:type="dxa"/>
            <w:vMerge w:val="restart"/>
            <w:vAlign w:val="center"/>
          </w:tcPr>
          <w:p w14:paraId="00BC54BD" w14:textId="77777777" w:rsidR="00454A29" w:rsidRDefault="00454A29">
            <w:pPr>
              <w:pStyle w:val="ConsPlusNormal"/>
              <w:jc w:val="center"/>
            </w:pPr>
            <w:r>
              <w:t>имеется</w:t>
            </w:r>
          </w:p>
        </w:tc>
        <w:tc>
          <w:tcPr>
            <w:tcW w:w="1417" w:type="dxa"/>
            <w:vMerge w:val="restart"/>
            <w:vAlign w:val="center"/>
          </w:tcPr>
          <w:p w14:paraId="540B7F6C" w14:textId="77777777" w:rsidR="00454A29" w:rsidRDefault="00454A29">
            <w:pPr>
              <w:pStyle w:val="ConsPlusNormal"/>
              <w:jc w:val="center"/>
            </w:pPr>
            <w:r>
              <w:t>450</w:t>
            </w:r>
          </w:p>
        </w:tc>
        <w:tc>
          <w:tcPr>
            <w:tcW w:w="2324" w:type="dxa"/>
            <w:vMerge w:val="restart"/>
            <w:vAlign w:val="center"/>
          </w:tcPr>
          <w:p w14:paraId="582424E1" w14:textId="77777777" w:rsidR="00454A29" w:rsidRDefault="00454A29">
            <w:pPr>
              <w:pStyle w:val="ConsPlusNormal"/>
              <w:jc w:val="center"/>
            </w:pPr>
            <w:r>
              <w:t>Минстрой РС(Я), МР "Верхневилюйский улус"</w:t>
            </w:r>
          </w:p>
        </w:tc>
        <w:tc>
          <w:tcPr>
            <w:tcW w:w="1701" w:type="dxa"/>
            <w:vAlign w:val="center"/>
          </w:tcPr>
          <w:p w14:paraId="7DA7BE73" w14:textId="77777777" w:rsidR="00454A29" w:rsidRDefault="00454A29">
            <w:pPr>
              <w:pStyle w:val="ConsPlusNormal"/>
              <w:jc w:val="center"/>
            </w:pPr>
            <w:r>
              <w:t>294 977,19</w:t>
            </w:r>
          </w:p>
        </w:tc>
        <w:tc>
          <w:tcPr>
            <w:tcW w:w="1814" w:type="dxa"/>
            <w:vAlign w:val="center"/>
          </w:tcPr>
          <w:p w14:paraId="27424581" w14:textId="77777777" w:rsidR="00454A29" w:rsidRDefault="00454A29">
            <w:pPr>
              <w:pStyle w:val="ConsPlusNormal"/>
              <w:jc w:val="center"/>
            </w:pPr>
            <w:r>
              <w:t>25 995,39</w:t>
            </w:r>
          </w:p>
        </w:tc>
        <w:tc>
          <w:tcPr>
            <w:tcW w:w="1701" w:type="dxa"/>
            <w:vAlign w:val="center"/>
          </w:tcPr>
          <w:p w14:paraId="347125EE" w14:textId="77777777" w:rsidR="00454A29" w:rsidRDefault="00454A29">
            <w:pPr>
              <w:pStyle w:val="ConsPlusNormal"/>
              <w:jc w:val="center"/>
            </w:pPr>
            <w:r>
              <w:t>268 981,80</w:t>
            </w:r>
          </w:p>
        </w:tc>
        <w:tc>
          <w:tcPr>
            <w:tcW w:w="1701" w:type="dxa"/>
            <w:vAlign w:val="center"/>
          </w:tcPr>
          <w:p w14:paraId="73C8DA8C" w14:textId="77777777" w:rsidR="00454A29" w:rsidRDefault="00454A29">
            <w:pPr>
              <w:pStyle w:val="ConsPlusNormal"/>
              <w:jc w:val="center"/>
            </w:pPr>
            <w:r>
              <w:t>-</w:t>
            </w:r>
          </w:p>
        </w:tc>
        <w:tc>
          <w:tcPr>
            <w:tcW w:w="1814" w:type="dxa"/>
            <w:vAlign w:val="center"/>
          </w:tcPr>
          <w:p w14:paraId="7B752ACF" w14:textId="77777777" w:rsidR="00454A29" w:rsidRDefault="00454A29">
            <w:pPr>
              <w:pStyle w:val="ConsPlusNormal"/>
              <w:jc w:val="center"/>
            </w:pPr>
            <w:r>
              <w:t>-</w:t>
            </w:r>
          </w:p>
        </w:tc>
      </w:tr>
      <w:tr w:rsidR="00454A29" w14:paraId="3C21123F" w14:textId="77777777">
        <w:tc>
          <w:tcPr>
            <w:tcW w:w="567" w:type="dxa"/>
            <w:vMerge/>
          </w:tcPr>
          <w:p w14:paraId="49CC35A9" w14:textId="77777777" w:rsidR="00454A29" w:rsidRDefault="00454A29"/>
        </w:tc>
        <w:tc>
          <w:tcPr>
            <w:tcW w:w="3345" w:type="dxa"/>
            <w:vMerge/>
          </w:tcPr>
          <w:p w14:paraId="3A338097" w14:textId="77777777" w:rsidR="00454A29" w:rsidRDefault="00454A29"/>
        </w:tc>
        <w:tc>
          <w:tcPr>
            <w:tcW w:w="1701" w:type="dxa"/>
            <w:vAlign w:val="center"/>
          </w:tcPr>
          <w:p w14:paraId="64D905C8" w14:textId="77777777" w:rsidR="00454A29" w:rsidRDefault="00454A29">
            <w:pPr>
              <w:pStyle w:val="ConsPlusNormal"/>
              <w:jc w:val="center"/>
            </w:pPr>
            <w:r>
              <w:t>2020</w:t>
            </w:r>
          </w:p>
        </w:tc>
        <w:tc>
          <w:tcPr>
            <w:tcW w:w="1417" w:type="dxa"/>
            <w:vMerge/>
          </w:tcPr>
          <w:p w14:paraId="74BFBD31" w14:textId="77777777" w:rsidR="00454A29" w:rsidRDefault="00454A29"/>
        </w:tc>
        <w:tc>
          <w:tcPr>
            <w:tcW w:w="2204" w:type="dxa"/>
            <w:vMerge/>
          </w:tcPr>
          <w:p w14:paraId="7ACA0472" w14:textId="77777777" w:rsidR="00454A29" w:rsidRDefault="00454A29"/>
        </w:tc>
        <w:tc>
          <w:tcPr>
            <w:tcW w:w="1417" w:type="dxa"/>
            <w:vMerge/>
          </w:tcPr>
          <w:p w14:paraId="33198F2A" w14:textId="77777777" w:rsidR="00454A29" w:rsidRDefault="00454A29"/>
        </w:tc>
        <w:tc>
          <w:tcPr>
            <w:tcW w:w="2324" w:type="dxa"/>
            <w:vMerge/>
          </w:tcPr>
          <w:p w14:paraId="7695FA92" w14:textId="77777777" w:rsidR="00454A29" w:rsidRDefault="00454A29"/>
        </w:tc>
        <w:tc>
          <w:tcPr>
            <w:tcW w:w="1701" w:type="dxa"/>
            <w:vAlign w:val="center"/>
          </w:tcPr>
          <w:p w14:paraId="72BABBB5" w14:textId="77777777" w:rsidR="00454A29" w:rsidRDefault="00454A29">
            <w:pPr>
              <w:pStyle w:val="ConsPlusNormal"/>
            </w:pPr>
          </w:p>
        </w:tc>
        <w:tc>
          <w:tcPr>
            <w:tcW w:w="1814" w:type="dxa"/>
            <w:vAlign w:val="center"/>
          </w:tcPr>
          <w:p w14:paraId="00BFF496" w14:textId="77777777" w:rsidR="00454A29" w:rsidRDefault="00454A29">
            <w:pPr>
              <w:pStyle w:val="ConsPlusNormal"/>
            </w:pPr>
          </w:p>
        </w:tc>
        <w:tc>
          <w:tcPr>
            <w:tcW w:w="1701" w:type="dxa"/>
            <w:vAlign w:val="center"/>
          </w:tcPr>
          <w:p w14:paraId="5F16CC46" w14:textId="77777777" w:rsidR="00454A29" w:rsidRDefault="00454A29">
            <w:pPr>
              <w:pStyle w:val="ConsPlusNormal"/>
            </w:pPr>
          </w:p>
        </w:tc>
        <w:tc>
          <w:tcPr>
            <w:tcW w:w="1701" w:type="dxa"/>
            <w:vAlign w:val="center"/>
          </w:tcPr>
          <w:p w14:paraId="08A77299" w14:textId="77777777" w:rsidR="00454A29" w:rsidRDefault="00454A29">
            <w:pPr>
              <w:pStyle w:val="ConsPlusNormal"/>
            </w:pPr>
          </w:p>
        </w:tc>
        <w:tc>
          <w:tcPr>
            <w:tcW w:w="1814" w:type="dxa"/>
            <w:vAlign w:val="center"/>
          </w:tcPr>
          <w:p w14:paraId="1AE41C5E" w14:textId="77777777" w:rsidR="00454A29" w:rsidRDefault="00454A29">
            <w:pPr>
              <w:pStyle w:val="ConsPlusNormal"/>
            </w:pPr>
          </w:p>
        </w:tc>
      </w:tr>
      <w:tr w:rsidR="00454A29" w14:paraId="1D31F665" w14:textId="77777777">
        <w:tc>
          <w:tcPr>
            <w:tcW w:w="567" w:type="dxa"/>
            <w:vMerge/>
          </w:tcPr>
          <w:p w14:paraId="5BC5DB65" w14:textId="77777777" w:rsidR="00454A29" w:rsidRDefault="00454A29"/>
        </w:tc>
        <w:tc>
          <w:tcPr>
            <w:tcW w:w="3345" w:type="dxa"/>
            <w:vMerge/>
          </w:tcPr>
          <w:p w14:paraId="507E89BB" w14:textId="77777777" w:rsidR="00454A29" w:rsidRDefault="00454A29"/>
        </w:tc>
        <w:tc>
          <w:tcPr>
            <w:tcW w:w="1701" w:type="dxa"/>
            <w:vAlign w:val="center"/>
          </w:tcPr>
          <w:p w14:paraId="2176B52F" w14:textId="77777777" w:rsidR="00454A29" w:rsidRDefault="00454A29">
            <w:pPr>
              <w:pStyle w:val="ConsPlusNormal"/>
              <w:jc w:val="center"/>
            </w:pPr>
            <w:r>
              <w:t>2021</w:t>
            </w:r>
          </w:p>
        </w:tc>
        <w:tc>
          <w:tcPr>
            <w:tcW w:w="1417" w:type="dxa"/>
            <w:vMerge/>
          </w:tcPr>
          <w:p w14:paraId="62119547" w14:textId="77777777" w:rsidR="00454A29" w:rsidRDefault="00454A29"/>
        </w:tc>
        <w:tc>
          <w:tcPr>
            <w:tcW w:w="2204" w:type="dxa"/>
            <w:vMerge/>
          </w:tcPr>
          <w:p w14:paraId="5798B064" w14:textId="77777777" w:rsidR="00454A29" w:rsidRDefault="00454A29"/>
        </w:tc>
        <w:tc>
          <w:tcPr>
            <w:tcW w:w="1417" w:type="dxa"/>
            <w:vMerge/>
          </w:tcPr>
          <w:p w14:paraId="17B3BFE0" w14:textId="77777777" w:rsidR="00454A29" w:rsidRDefault="00454A29"/>
        </w:tc>
        <w:tc>
          <w:tcPr>
            <w:tcW w:w="2324" w:type="dxa"/>
            <w:vMerge/>
          </w:tcPr>
          <w:p w14:paraId="65D4BC28" w14:textId="77777777" w:rsidR="00454A29" w:rsidRDefault="00454A29"/>
        </w:tc>
        <w:tc>
          <w:tcPr>
            <w:tcW w:w="1701" w:type="dxa"/>
            <w:vAlign w:val="center"/>
          </w:tcPr>
          <w:p w14:paraId="2D4324D2" w14:textId="77777777" w:rsidR="00454A29" w:rsidRDefault="00454A29">
            <w:pPr>
              <w:pStyle w:val="ConsPlusNormal"/>
              <w:jc w:val="center"/>
            </w:pPr>
            <w:r>
              <w:t>-</w:t>
            </w:r>
          </w:p>
        </w:tc>
        <w:tc>
          <w:tcPr>
            <w:tcW w:w="1814" w:type="dxa"/>
            <w:vAlign w:val="center"/>
          </w:tcPr>
          <w:p w14:paraId="03E86169" w14:textId="77777777" w:rsidR="00454A29" w:rsidRDefault="00454A29">
            <w:pPr>
              <w:pStyle w:val="ConsPlusNormal"/>
            </w:pPr>
          </w:p>
        </w:tc>
        <w:tc>
          <w:tcPr>
            <w:tcW w:w="1701" w:type="dxa"/>
            <w:vAlign w:val="center"/>
          </w:tcPr>
          <w:p w14:paraId="04EDB9D0" w14:textId="77777777" w:rsidR="00454A29" w:rsidRDefault="00454A29">
            <w:pPr>
              <w:pStyle w:val="ConsPlusNormal"/>
            </w:pPr>
          </w:p>
        </w:tc>
        <w:tc>
          <w:tcPr>
            <w:tcW w:w="1701" w:type="dxa"/>
            <w:vAlign w:val="center"/>
          </w:tcPr>
          <w:p w14:paraId="2EFE0AAC" w14:textId="77777777" w:rsidR="00454A29" w:rsidRDefault="00454A29">
            <w:pPr>
              <w:pStyle w:val="ConsPlusNormal"/>
            </w:pPr>
          </w:p>
        </w:tc>
        <w:tc>
          <w:tcPr>
            <w:tcW w:w="1814" w:type="dxa"/>
            <w:vAlign w:val="center"/>
          </w:tcPr>
          <w:p w14:paraId="62EC4578" w14:textId="77777777" w:rsidR="00454A29" w:rsidRDefault="00454A29">
            <w:pPr>
              <w:pStyle w:val="ConsPlusNormal"/>
            </w:pPr>
          </w:p>
        </w:tc>
      </w:tr>
      <w:tr w:rsidR="00454A29" w14:paraId="143D77DB" w14:textId="77777777">
        <w:tc>
          <w:tcPr>
            <w:tcW w:w="567" w:type="dxa"/>
            <w:vMerge/>
          </w:tcPr>
          <w:p w14:paraId="20C64674" w14:textId="77777777" w:rsidR="00454A29" w:rsidRDefault="00454A29"/>
        </w:tc>
        <w:tc>
          <w:tcPr>
            <w:tcW w:w="3345" w:type="dxa"/>
            <w:vMerge/>
          </w:tcPr>
          <w:p w14:paraId="718987BC" w14:textId="77777777" w:rsidR="00454A29" w:rsidRDefault="00454A29"/>
        </w:tc>
        <w:tc>
          <w:tcPr>
            <w:tcW w:w="1701" w:type="dxa"/>
            <w:vAlign w:val="center"/>
          </w:tcPr>
          <w:p w14:paraId="44292EF5" w14:textId="77777777" w:rsidR="00454A29" w:rsidRDefault="00454A29">
            <w:pPr>
              <w:pStyle w:val="ConsPlusNormal"/>
              <w:jc w:val="center"/>
            </w:pPr>
            <w:r>
              <w:t>2022</w:t>
            </w:r>
          </w:p>
        </w:tc>
        <w:tc>
          <w:tcPr>
            <w:tcW w:w="1417" w:type="dxa"/>
            <w:vMerge/>
          </w:tcPr>
          <w:p w14:paraId="7AFB49FD" w14:textId="77777777" w:rsidR="00454A29" w:rsidRDefault="00454A29"/>
        </w:tc>
        <w:tc>
          <w:tcPr>
            <w:tcW w:w="2204" w:type="dxa"/>
            <w:vMerge/>
          </w:tcPr>
          <w:p w14:paraId="155258B6" w14:textId="77777777" w:rsidR="00454A29" w:rsidRDefault="00454A29"/>
        </w:tc>
        <w:tc>
          <w:tcPr>
            <w:tcW w:w="1417" w:type="dxa"/>
            <w:vMerge/>
          </w:tcPr>
          <w:p w14:paraId="132203E1" w14:textId="77777777" w:rsidR="00454A29" w:rsidRDefault="00454A29"/>
        </w:tc>
        <w:tc>
          <w:tcPr>
            <w:tcW w:w="2324" w:type="dxa"/>
            <w:vMerge/>
          </w:tcPr>
          <w:p w14:paraId="1AFB8656" w14:textId="77777777" w:rsidR="00454A29" w:rsidRDefault="00454A29"/>
        </w:tc>
        <w:tc>
          <w:tcPr>
            <w:tcW w:w="1701" w:type="dxa"/>
            <w:vAlign w:val="center"/>
          </w:tcPr>
          <w:p w14:paraId="3E5D628A" w14:textId="77777777" w:rsidR="00454A29" w:rsidRDefault="00454A29">
            <w:pPr>
              <w:pStyle w:val="ConsPlusNormal"/>
            </w:pPr>
          </w:p>
        </w:tc>
        <w:tc>
          <w:tcPr>
            <w:tcW w:w="1814" w:type="dxa"/>
            <w:vAlign w:val="center"/>
          </w:tcPr>
          <w:p w14:paraId="1F9A250C" w14:textId="77777777" w:rsidR="00454A29" w:rsidRDefault="00454A29">
            <w:pPr>
              <w:pStyle w:val="ConsPlusNormal"/>
            </w:pPr>
          </w:p>
        </w:tc>
        <w:tc>
          <w:tcPr>
            <w:tcW w:w="1701" w:type="dxa"/>
            <w:vAlign w:val="center"/>
          </w:tcPr>
          <w:p w14:paraId="778BF9D3" w14:textId="77777777" w:rsidR="00454A29" w:rsidRDefault="00454A29">
            <w:pPr>
              <w:pStyle w:val="ConsPlusNormal"/>
            </w:pPr>
          </w:p>
        </w:tc>
        <w:tc>
          <w:tcPr>
            <w:tcW w:w="1701" w:type="dxa"/>
            <w:vAlign w:val="center"/>
          </w:tcPr>
          <w:p w14:paraId="4FFC03E5" w14:textId="77777777" w:rsidR="00454A29" w:rsidRDefault="00454A29">
            <w:pPr>
              <w:pStyle w:val="ConsPlusNormal"/>
            </w:pPr>
          </w:p>
        </w:tc>
        <w:tc>
          <w:tcPr>
            <w:tcW w:w="1814" w:type="dxa"/>
            <w:vAlign w:val="center"/>
          </w:tcPr>
          <w:p w14:paraId="122E45EE" w14:textId="77777777" w:rsidR="00454A29" w:rsidRDefault="00454A29">
            <w:pPr>
              <w:pStyle w:val="ConsPlusNormal"/>
            </w:pPr>
          </w:p>
        </w:tc>
      </w:tr>
      <w:tr w:rsidR="00454A29" w14:paraId="42D90E81" w14:textId="77777777">
        <w:tc>
          <w:tcPr>
            <w:tcW w:w="567" w:type="dxa"/>
            <w:vMerge/>
          </w:tcPr>
          <w:p w14:paraId="152BCF79" w14:textId="77777777" w:rsidR="00454A29" w:rsidRDefault="00454A29"/>
        </w:tc>
        <w:tc>
          <w:tcPr>
            <w:tcW w:w="3345" w:type="dxa"/>
            <w:vMerge/>
          </w:tcPr>
          <w:p w14:paraId="4CC3104D" w14:textId="77777777" w:rsidR="00454A29" w:rsidRDefault="00454A29"/>
        </w:tc>
        <w:tc>
          <w:tcPr>
            <w:tcW w:w="1701" w:type="dxa"/>
            <w:vAlign w:val="center"/>
          </w:tcPr>
          <w:p w14:paraId="72552E6A" w14:textId="77777777" w:rsidR="00454A29" w:rsidRDefault="00454A29">
            <w:pPr>
              <w:pStyle w:val="ConsPlusNormal"/>
              <w:jc w:val="center"/>
            </w:pPr>
            <w:r>
              <w:t>2023</w:t>
            </w:r>
          </w:p>
        </w:tc>
        <w:tc>
          <w:tcPr>
            <w:tcW w:w="1417" w:type="dxa"/>
            <w:vMerge/>
          </w:tcPr>
          <w:p w14:paraId="48E28D8C" w14:textId="77777777" w:rsidR="00454A29" w:rsidRDefault="00454A29"/>
        </w:tc>
        <w:tc>
          <w:tcPr>
            <w:tcW w:w="2204" w:type="dxa"/>
            <w:vMerge/>
          </w:tcPr>
          <w:p w14:paraId="365D0336" w14:textId="77777777" w:rsidR="00454A29" w:rsidRDefault="00454A29"/>
        </w:tc>
        <w:tc>
          <w:tcPr>
            <w:tcW w:w="1417" w:type="dxa"/>
            <w:vMerge/>
          </w:tcPr>
          <w:p w14:paraId="2950EFCE" w14:textId="77777777" w:rsidR="00454A29" w:rsidRDefault="00454A29"/>
        </w:tc>
        <w:tc>
          <w:tcPr>
            <w:tcW w:w="2324" w:type="dxa"/>
            <w:vMerge/>
          </w:tcPr>
          <w:p w14:paraId="210C8CBA" w14:textId="77777777" w:rsidR="00454A29" w:rsidRDefault="00454A29"/>
        </w:tc>
        <w:tc>
          <w:tcPr>
            <w:tcW w:w="1701" w:type="dxa"/>
            <w:vAlign w:val="center"/>
          </w:tcPr>
          <w:p w14:paraId="797F7BB5" w14:textId="77777777" w:rsidR="00454A29" w:rsidRDefault="00454A29">
            <w:pPr>
              <w:pStyle w:val="ConsPlusNormal"/>
            </w:pPr>
          </w:p>
        </w:tc>
        <w:tc>
          <w:tcPr>
            <w:tcW w:w="1814" w:type="dxa"/>
            <w:vAlign w:val="center"/>
          </w:tcPr>
          <w:p w14:paraId="2AB9BB2D" w14:textId="77777777" w:rsidR="00454A29" w:rsidRDefault="00454A29">
            <w:pPr>
              <w:pStyle w:val="ConsPlusNormal"/>
            </w:pPr>
          </w:p>
        </w:tc>
        <w:tc>
          <w:tcPr>
            <w:tcW w:w="1701" w:type="dxa"/>
            <w:vAlign w:val="center"/>
          </w:tcPr>
          <w:p w14:paraId="324E80E5" w14:textId="77777777" w:rsidR="00454A29" w:rsidRDefault="00454A29">
            <w:pPr>
              <w:pStyle w:val="ConsPlusNormal"/>
            </w:pPr>
          </w:p>
        </w:tc>
        <w:tc>
          <w:tcPr>
            <w:tcW w:w="1701" w:type="dxa"/>
            <w:vAlign w:val="center"/>
          </w:tcPr>
          <w:p w14:paraId="08B398FA" w14:textId="77777777" w:rsidR="00454A29" w:rsidRDefault="00454A29">
            <w:pPr>
              <w:pStyle w:val="ConsPlusNormal"/>
            </w:pPr>
          </w:p>
        </w:tc>
        <w:tc>
          <w:tcPr>
            <w:tcW w:w="1814" w:type="dxa"/>
            <w:vAlign w:val="center"/>
          </w:tcPr>
          <w:p w14:paraId="6D0062BE" w14:textId="77777777" w:rsidR="00454A29" w:rsidRDefault="00454A29">
            <w:pPr>
              <w:pStyle w:val="ConsPlusNormal"/>
            </w:pPr>
          </w:p>
        </w:tc>
      </w:tr>
      <w:tr w:rsidR="00454A29" w14:paraId="3B3D4296" w14:textId="77777777">
        <w:tc>
          <w:tcPr>
            <w:tcW w:w="567" w:type="dxa"/>
            <w:vMerge/>
          </w:tcPr>
          <w:p w14:paraId="1C0E51E4" w14:textId="77777777" w:rsidR="00454A29" w:rsidRDefault="00454A29"/>
        </w:tc>
        <w:tc>
          <w:tcPr>
            <w:tcW w:w="3345" w:type="dxa"/>
            <w:vMerge/>
          </w:tcPr>
          <w:p w14:paraId="6C68684C" w14:textId="77777777" w:rsidR="00454A29" w:rsidRDefault="00454A29"/>
        </w:tc>
        <w:tc>
          <w:tcPr>
            <w:tcW w:w="1701" w:type="dxa"/>
            <w:vAlign w:val="center"/>
          </w:tcPr>
          <w:p w14:paraId="7C762EF5" w14:textId="77777777" w:rsidR="00454A29" w:rsidRDefault="00454A29">
            <w:pPr>
              <w:pStyle w:val="ConsPlusNormal"/>
              <w:jc w:val="center"/>
            </w:pPr>
            <w:r>
              <w:t>2024</w:t>
            </w:r>
          </w:p>
        </w:tc>
        <w:tc>
          <w:tcPr>
            <w:tcW w:w="1417" w:type="dxa"/>
            <w:vMerge/>
          </w:tcPr>
          <w:p w14:paraId="5CF456E0" w14:textId="77777777" w:rsidR="00454A29" w:rsidRDefault="00454A29"/>
        </w:tc>
        <w:tc>
          <w:tcPr>
            <w:tcW w:w="2204" w:type="dxa"/>
            <w:vMerge/>
          </w:tcPr>
          <w:p w14:paraId="24B5C28B" w14:textId="77777777" w:rsidR="00454A29" w:rsidRDefault="00454A29"/>
        </w:tc>
        <w:tc>
          <w:tcPr>
            <w:tcW w:w="1417" w:type="dxa"/>
            <w:vMerge/>
          </w:tcPr>
          <w:p w14:paraId="6BF508F0" w14:textId="77777777" w:rsidR="00454A29" w:rsidRDefault="00454A29"/>
        </w:tc>
        <w:tc>
          <w:tcPr>
            <w:tcW w:w="2324" w:type="dxa"/>
            <w:vMerge/>
          </w:tcPr>
          <w:p w14:paraId="3264D31A" w14:textId="77777777" w:rsidR="00454A29" w:rsidRDefault="00454A29"/>
        </w:tc>
        <w:tc>
          <w:tcPr>
            <w:tcW w:w="1701" w:type="dxa"/>
            <w:vAlign w:val="center"/>
          </w:tcPr>
          <w:p w14:paraId="61036648" w14:textId="77777777" w:rsidR="00454A29" w:rsidRDefault="00454A29">
            <w:pPr>
              <w:pStyle w:val="ConsPlusNormal"/>
            </w:pPr>
          </w:p>
        </w:tc>
        <w:tc>
          <w:tcPr>
            <w:tcW w:w="1814" w:type="dxa"/>
            <w:vAlign w:val="center"/>
          </w:tcPr>
          <w:p w14:paraId="5A77D031" w14:textId="77777777" w:rsidR="00454A29" w:rsidRDefault="00454A29">
            <w:pPr>
              <w:pStyle w:val="ConsPlusNormal"/>
            </w:pPr>
          </w:p>
        </w:tc>
        <w:tc>
          <w:tcPr>
            <w:tcW w:w="1701" w:type="dxa"/>
            <w:vAlign w:val="center"/>
          </w:tcPr>
          <w:p w14:paraId="417AC131" w14:textId="77777777" w:rsidR="00454A29" w:rsidRDefault="00454A29">
            <w:pPr>
              <w:pStyle w:val="ConsPlusNormal"/>
            </w:pPr>
          </w:p>
        </w:tc>
        <w:tc>
          <w:tcPr>
            <w:tcW w:w="1701" w:type="dxa"/>
            <w:vAlign w:val="center"/>
          </w:tcPr>
          <w:p w14:paraId="1D524307" w14:textId="77777777" w:rsidR="00454A29" w:rsidRDefault="00454A29">
            <w:pPr>
              <w:pStyle w:val="ConsPlusNormal"/>
            </w:pPr>
          </w:p>
        </w:tc>
        <w:tc>
          <w:tcPr>
            <w:tcW w:w="1814" w:type="dxa"/>
            <w:vAlign w:val="center"/>
          </w:tcPr>
          <w:p w14:paraId="77E22F4B" w14:textId="77777777" w:rsidR="00454A29" w:rsidRDefault="00454A29">
            <w:pPr>
              <w:pStyle w:val="ConsPlusNormal"/>
            </w:pPr>
          </w:p>
        </w:tc>
      </w:tr>
      <w:tr w:rsidR="00454A29" w14:paraId="5ADB2C80" w14:textId="77777777">
        <w:tc>
          <w:tcPr>
            <w:tcW w:w="567" w:type="dxa"/>
            <w:vMerge/>
          </w:tcPr>
          <w:p w14:paraId="38305586" w14:textId="77777777" w:rsidR="00454A29" w:rsidRDefault="00454A29"/>
        </w:tc>
        <w:tc>
          <w:tcPr>
            <w:tcW w:w="3345" w:type="dxa"/>
            <w:vMerge/>
          </w:tcPr>
          <w:p w14:paraId="314DD823" w14:textId="77777777" w:rsidR="00454A29" w:rsidRDefault="00454A29"/>
        </w:tc>
        <w:tc>
          <w:tcPr>
            <w:tcW w:w="1701" w:type="dxa"/>
            <w:vAlign w:val="center"/>
          </w:tcPr>
          <w:p w14:paraId="1269841E" w14:textId="77777777" w:rsidR="00454A29" w:rsidRDefault="00454A29">
            <w:pPr>
              <w:pStyle w:val="ConsPlusNormal"/>
              <w:jc w:val="center"/>
            </w:pPr>
            <w:r>
              <w:t>2025</w:t>
            </w:r>
          </w:p>
        </w:tc>
        <w:tc>
          <w:tcPr>
            <w:tcW w:w="1417" w:type="dxa"/>
            <w:vMerge/>
          </w:tcPr>
          <w:p w14:paraId="74FE3EB9" w14:textId="77777777" w:rsidR="00454A29" w:rsidRDefault="00454A29"/>
        </w:tc>
        <w:tc>
          <w:tcPr>
            <w:tcW w:w="2204" w:type="dxa"/>
            <w:vMerge/>
          </w:tcPr>
          <w:p w14:paraId="58B93884" w14:textId="77777777" w:rsidR="00454A29" w:rsidRDefault="00454A29"/>
        </w:tc>
        <w:tc>
          <w:tcPr>
            <w:tcW w:w="1417" w:type="dxa"/>
            <w:vMerge/>
          </w:tcPr>
          <w:p w14:paraId="54B9FCCA" w14:textId="77777777" w:rsidR="00454A29" w:rsidRDefault="00454A29"/>
        </w:tc>
        <w:tc>
          <w:tcPr>
            <w:tcW w:w="2324" w:type="dxa"/>
            <w:vMerge/>
          </w:tcPr>
          <w:p w14:paraId="7E23AD3E" w14:textId="77777777" w:rsidR="00454A29" w:rsidRDefault="00454A29"/>
        </w:tc>
        <w:tc>
          <w:tcPr>
            <w:tcW w:w="1701" w:type="dxa"/>
            <w:vAlign w:val="center"/>
          </w:tcPr>
          <w:p w14:paraId="39BA17E3" w14:textId="77777777" w:rsidR="00454A29" w:rsidRDefault="00454A29">
            <w:pPr>
              <w:pStyle w:val="ConsPlusNormal"/>
              <w:jc w:val="center"/>
            </w:pPr>
            <w:r>
              <w:t>271 698,79</w:t>
            </w:r>
          </w:p>
        </w:tc>
        <w:tc>
          <w:tcPr>
            <w:tcW w:w="1814" w:type="dxa"/>
            <w:vAlign w:val="center"/>
          </w:tcPr>
          <w:p w14:paraId="33333CC0" w14:textId="77777777" w:rsidR="00454A29" w:rsidRDefault="00454A29">
            <w:pPr>
              <w:pStyle w:val="ConsPlusNormal"/>
              <w:jc w:val="center"/>
            </w:pPr>
            <w:r>
              <w:t>2 716,99</w:t>
            </w:r>
          </w:p>
        </w:tc>
        <w:tc>
          <w:tcPr>
            <w:tcW w:w="1701" w:type="dxa"/>
            <w:vAlign w:val="center"/>
          </w:tcPr>
          <w:p w14:paraId="4FAE710F" w14:textId="77777777" w:rsidR="00454A29" w:rsidRDefault="00454A29">
            <w:pPr>
              <w:pStyle w:val="ConsPlusNormal"/>
              <w:jc w:val="center"/>
            </w:pPr>
            <w:r>
              <w:t>268 981,80</w:t>
            </w:r>
          </w:p>
        </w:tc>
        <w:tc>
          <w:tcPr>
            <w:tcW w:w="1701" w:type="dxa"/>
            <w:vAlign w:val="center"/>
          </w:tcPr>
          <w:p w14:paraId="72342815" w14:textId="77777777" w:rsidR="00454A29" w:rsidRDefault="00454A29">
            <w:pPr>
              <w:pStyle w:val="ConsPlusNormal"/>
            </w:pPr>
          </w:p>
        </w:tc>
        <w:tc>
          <w:tcPr>
            <w:tcW w:w="1814" w:type="dxa"/>
            <w:vAlign w:val="center"/>
          </w:tcPr>
          <w:p w14:paraId="55F2B373" w14:textId="77777777" w:rsidR="00454A29" w:rsidRDefault="00454A29">
            <w:pPr>
              <w:pStyle w:val="ConsPlusNormal"/>
            </w:pPr>
          </w:p>
        </w:tc>
      </w:tr>
      <w:tr w:rsidR="00454A29" w14:paraId="1509F30C" w14:textId="77777777">
        <w:tc>
          <w:tcPr>
            <w:tcW w:w="567" w:type="dxa"/>
            <w:vMerge/>
          </w:tcPr>
          <w:p w14:paraId="25470FA8" w14:textId="77777777" w:rsidR="00454A29" w:rsidRDefault="00454A29"/>
        </w:tc>
        <w:tc>
          <w:tcPr>
            <w:tcW w:w="3345" w:type="dxa"/>
            <w:vMerge/>
          </w:tcPr>
          <w:p w14:paraId="32305BC0" w14:textId="77777777" w:rsidR="00454A29" w:rsidRDefault="00454A29"/>
        </w:tc>
        <w:tc>
          <w:tcPr>
            <w:tcW w:w="1701" w:type="dxa"/>
            <w:vAlign w:val="center"/>
          </w:tcPr>
          <w:p w14:paraId="043CA5AD" w14:textId="77777777" w:rsidR="00454A29" w:rsidRDefault="00454A29">
            <w:pPr>
              <w:pStyle w:val="ConsPlusNormal"/>
              <w:jc w:val="center"/>
            </w:pPr>
            <w:r>
              <w:t>2026</w:t>
            </w:r>
          </w:p>
        </w:tc>
        <w:tc>
          <w:tcPr>
            <w:tcW w:w="1417" w:type="dxa"/>
            <w:vMerge/>
          </w:tcPr>
          <w:p w14:paraId="25AC97EB" w14:textId="77777777" w:rsidR="00454A29" w:rsidRDefault="00454A29"/>
        </w:tc>
        <w:tc>
          <w:tcPr>
            <w:tcW w:w="2204" w:type="dxa"/>
            <w:vMerge/>
          </w:tcPr>
          <w:p w14:paraId="694CE371" w14:textId="77777777" w:rsidR="00454A29" w:rsidRDefault="00454A29"/>
        </w:tc>
        <w:tc>
          <w:tcPr>
            <w:tcW w:w="1417" w:type="dxa"/>
            <w:vMerge/>
          </w:tcPr>
          <w:p w14:paraId="45BE546C" w14:textId="77777777" w:rsidR="00454A29" w:rsidRDefault="00454A29"/>
        </w:tc>
        <w:tc>
          <w:tcPr>
            <w:tcW w:w="2324" w:type="dxa"/>
            <w:vMerge/>
          </w:tcPr>
          <w:p w14:paraId="31B97C11" w14:textId="77777777" w:rsidR="00454A29" w:rsidRDefault="00454A29"/>
        </w:tc>
        <w:tc>
          <w:tcPr>
            <w:tcW w:w="1701" w:type="dxa"/>
            <w:vAlign w:val="center"/>
          </w:tcPr>
          <w:p w14:paraId="33D960EF" w14:textId="77777777" w:rsidR="00454A29" w:rsidRDefault="00454A29">
            <w:pPr>
              <w:pStyle w:val="ConsPlusNormal"/>
              <w:jc w:val="center"/>
            </w:pPr>
            <w:r>
              <w:t>23 278,40</w:t>
            </w:r>
          </w:p>
        </w:tc>
        <w:tc>
          <w:tcPr>
            <w:tcW w:w="1814" w:type="dxa"/>
            <w:vAlign w:val="center"/>
          </w:tcPr>
          <w:p w14:paraId="3568729D" w14:textId="77777777" w:rsidR="00454A29" w:rsidRDefault="00454A29">
            <w:pPr>
              <w:pStyle w:val="ConsPlusNormal"/>
              <w:jc w:val="center"/>
            </w:pPr>
            <w:r>
              <w:t>23 278,40</w:t>
            </w:r>
          </w:p>
        </w:tc>
        <w:tc>
          <w:tcPr>
            <w:tcW w:w="1701" w:type="dxa"/>
            <w:vAlign w:val="center"/>
          </w:tcPr>
          <w:p w14:paraId="0301B6F3" w14:textId="77777777" w:rsidR="00454A29" w:rsidRDefault="00454A29">
            <w:pPr>
              <w:pStyle w:val="ConsPlusNormal"/>
            </w:pPr>
          </w:p>
        </w:tc>
        <w:tc>
          <w:tcPr>
            <w:tcW w:w="1701" w:type="dxa"/>
            <w:vAlign w:val="center"/>
          </w:tcPr>
          <w:p w14:paraId="73D42772" w14:textId="77777777" w:rsidR="00454A29" w:rsidRDefault="00454A29">
            <w:pPr>
              <w:pStyle w:val="ConsPlusNormal"/>
            </w:pPr>
          </w:p>
        </w:tc>
        <w:tc>
          <w:tcPr>
            <w:tcW w:w="1814" w:type="dxa"/>
            <w:vAlign w:val="center"/>
          </w:tcPr>
          <w:p w14:paraId="2CFA2FD6" w14:textId="77777777" w:rsidR="00454A29" w:rsidRDefault="00454A29">
            <w:pPr>
              <w:pStyle w:val="ConsPlusNormal"/>
            </w:pPr>
          </w:p>
        </w:tc>
      </w:tr>
      <w:tr w:rsidR="00454A29" w14:paraId="0D8EB8DC" w14:textId="77777777">
        <w:tc>
          <w:tcPr>
            <w:tcW w:w="567" w:type="dxa"/>
            <w:vMerge w:val="restart"/>
            <w:vAlign w:val="center"/>
          </w:tcPr>
          <w:p w14:paraId="39BDBFB8" w14:textId="77777777" w:rsidR="00454A29" w:rsidRDefault="00454A29">
            <w:pPr>
              <w:pStyle w:val="ConsPlusNormal"/>
              <w:jc w:val="center"/>
            </w:pPr>
            <w:r>
              <w:t>195</w:t>
            </w:r>
          </w:p>
        </w:tc>
        <w:tc>
          <w:tcPr>
            <w:tcW w:w="3345" w:type="dxa"/>
            <w:vMerge w:val="restart"/>
            <w:vAlign w:val="center"/>
          </w:tcPr>
          <w:p w14:paraId="3F70BDB3" w14:textId="77777777" w:rsidR="00454A29" w:rsidRDefault="00454A29">
            <w:pPr>
              <w:pStyle w:val="ConsPlusNormal"/>
              <w:jc w:val="center"/>
            </w:pPr>
            <w:r>
              <w:t>Школа-сад на 20/15 мест в с. Балаганнах</w:t>
            </w:r>
          </w:p>
        </w:tc>
        <w:tc>
          <w:tcPr>
            <w:tcW w:w="1701" w:type="dxa"/>
            <w:vAlign w:val="center"/>
          </w:tcPr>
          <w:p w14:paraId="632A5D48" w14:textId="77777777" w:rsidR="00454A29" w:rsidRDefault="00454A29">
            <w:pPr>
              <w:pStyle w:val="ConsPlusNormal"/>
              <w:jc w:val="center"/>
            </w:pPr>
            <w:r>
              <w:t>2020 - 2026 годы - всего</w:t>
            </w:r>
          </w:p>
        </w:tc>
        <w:tc>
          <w:tcPr>
            <w:tcW w:w="1417" w:type="dxa"/>
            <w:vMerge w:val="restart"/>
            <w:vAlign w:val="center"/>
          </w:tcPr>
          <w:p w14:paraId="6B498A84" w14:textId="77777777" w:rsidR="00454A29" w:rsidRDefault="00454A29">
            <w:pPr>
              <w:pStyle w:val="ConsPlusNormal"/>
              <w:jc w:val="center"/>
            </w:pPr>
            <w:r>
              <w:t>93 059,60</w:t>
            </w:r>
          </w:p>
        </w:tc>
        <w:tc>
          <w:tcPr>
            <w:tcW w:w="2204" w:type="dxa"/>
            <w:vMerge w:val="restart"/>
            <w:vAlign w:val="center"/>
          </w:tcPr>
          <w:p w14:paraId="7F53D15A" w14:textId="77777777" w:rsidR="00454A29" w:rsidRDefault="00454A29">
            <w:pPr>
              <w:pStyle w:val="ConsPlusNormal"/>
            </w:pPr>
          </w:p>
        </w:tc>
        <w:tc>
          <w:tcPr>
            <w:tcW w:w="1417" w:type="dxa"/>
            <w:vMerge w:val="restart"/>
            <w:vAlign w:val="center"/>
          </w:tcPr>
          <w:p w14:paraId="4D935D02" w14:textId="77777777" w:rsidR="00454A29" w:rsidRDefault="00454A29">
            <w:pPr>
              <w:pStyle w:val="ConsPlusNormal"/>
              <w:jc w:val="center"/>
            </w:pPr>
            <w:r>
              <w:t>20</w:t>
            </w:r>
          </w:p>
        </w:tc>
        <w:tc>
          <w:tcPr>
            <w:tcW w:w="2324" w:type="dxa"/>
            <w:vMerge w:val="restart"/>
            <w:vAlign w:val="center"/>
          </w:tcPr>
          <w:p w14:paraId="2964048C" w14:textId="77777777" w:rsidR="00454A29" w:rsidRDefault="00454A29">
            <w:pPr>
              <w:pStyle w:val="ConsPlusNormal"/>
              <w:jc w:val="center"/>
            </w:pPr>
            <w:r>
              <w:t>Минстрой РС(Я), МР "Верхневилюйский улус"</w:t>
            </w:r>
          </w:p>
        </w:tc>
        <w:tc>
          <w:tcPr>
            <w:tcW w:w="1701" w:type="dxa"/>
            <w:vAlign w:val="center"/>
          </w:tcPr>
          <w:p w14:paraId="7D0F3B22" w14:textId="77777777" w:rsidR="00454A29" w:rsidRDefault="00454A29">
            <w:pPr>
              <w:pStyle w:val="ConsPlusNormal"/>
              <w:jc w:val="center"/>
            </w:pPr>
            <w:r>
              <w:t>93 059,60</w:t>
            </w:r>
          </w:p>
        </w:tc>
        <w:tc>
          <w:tcPr>
            <w:tcW w:w="1814" w:type="dxa"/>
            <w:vAlign w:val="center"/>
          </w:tcPr>
          <w:p w14:paraId="4C5C841B" w14:textId="77777777" w:rsidR="00454A29" w:rsidRDefault="00454A29">
            <w:pPr>
              <w:pStyle w:val="ConsPlusNormal"/>
              <w:jc w:val="center"/>
            </w:pPr>
            <w:r>
              <w:t>930,60</w:t>
            </w:r>
          </w:p>
        </w:tc>
        <w:tc>
          <w:tcPr>
            <w:tcW w:w="1701" w:type="dxa"/>
            <w:vAlign w:val="center"/>
          </w:tcPr>
          <w:p w14:paraId="1444EA49" w14:textId="77777777" w:rsidR="00454A29" w:rsidRDefault="00454A29">
            <w:pPr>
              <w:pStyle w:val="ConsPlusNormal"/>
              <w:jc w:val="center"/>
            </w:pPr>
            <w:r>
              <w:t>92 129,00</w:t>
            </w:r>
          </w:p>
        </w:tc>
        <w:tc>
          <w:tcPr>
            <w:tcW w:w="1701" w:type="dxa"/>
            <w:vAlign w:val="center"/>
          </w:tcPr>
          <w:p w14:paraId="32DCAA44" w14:textId="77777777" w:rsidR="00454A29" w:rsidRDefault="00454A29">
            <w:pPr>
              <w:pStyle w:val="ConsPlusNormal"/>
              <w:jc w:val="center"/>
            </w:pPr>
            <w:r>
              <w:t>-</w:t>
            </w:r>
          </w:p>
        </w:tc>
        <w:tc>
          <w:tcPr>
            <w:tcW w:w="1814" w:type="dxa"/>
            <w:vAlign w:val="center"/>
          </w:tcPr>
          <w:p w14:paraId="567CD1F0" w14:textId="77777777" w:rsidR="00454A29" w:rsidRDefault="00454A29">
            <w:pPr>
              <w:pStyle w:val="ConsPlusNormal"/>
              <w:jc w:val="center"/>
            </w:pPr>
            <w:r>
              <w:t>-</w:t>
            </w:r>
          </w:p>
        </w:tc>
      </w:tr>
      <w:tr w:rsidR="00454A29" w14:paraId="0FF9A4EB" w14:textId="77777777">
        <w:tc>
          <w:tcPr>
            <w:tcW w:w="567" w:type="dxa"/>
            <w:vMerge/>
          </w:tcPr>
          <w:p w14:paraId="37568D24" w14:textId="77777777" w:rsidR="00454A29" w:rsidRDefault="00454A29"/>
        </w:tc>
        <w:tc>
          <w:tcPr>
            <w:tcW w:w="3345" w:type="dxa"/>
            <w:vMerge/>
          </w:tcPr>
          <w:p w14:paraId="0E7160EB" w14:textId="77777777" w:rsidR="00454A29" w:rsidRDefault="00454A29"/>
        </w:tc>
        <w:tc>
          <w:tcPr>
            <w:tcW w:w="1701" w:type="dxa"/>
            <w:vAlign w:val="center"/>
          </w:tcPr>
          <w:p w14:paraId="2E9FCBBF" w14:textId="77777777" w:rsidR="00454A29" w:rsidRDefault="00454A29">
            <w:pPr>
              <w:pStyle w:val="ConsPlusNormal"/>
              <w:jc w:val="center"/>
            </w:pPr>
            <w:r>
              <w:t>2020</w:t>
            </w:r>
          </w:p>
        </w:tc>
        <w:tc>
          <w:tcPr>
            <w:tcW w:w="1417" w:type="dxa"/>
            <w:vMerge/>
          </w:tcPr>
          <w:p w14:paraId="435836F4" w14:textId="77777777" w:rsidR="00454A29" w:rsidRDefault="00454A29"/>
        </w:tc>
        <w:tc>
          <w:tcPr>
            <w:tcW w:w="2204" w:type="dxa"/>
            <w:vMerge/>
          </w:tcPr>
          <w:p w14:paraId="2A40FCF1" w14:textId="77777777" w:rsidR="00454A29" w:rsidRDefault="00454A29"/>
        </w:tc>
        <w:tc>
          <w:tcPr>
            <w:tcW w:w="1417" w:type="dxa"/>
            <w:vMerge/>
          </w:tcPr>
          <w:p w14:paraId="1A347C46" w14:textId="77777777" w:rsidR="00454A29" w:rsidRDefault="00454A29"/>
        </w:tc>
        <w:tc>
          <w:tcPr>
            <w:tcW w:w="2324" w:type="dxa"/>
            <w:vMerge/>
          </w:tcPr>
          <w:p w14:paraId="6A905149" w14:textId="77777777" w:rsidR="00454A29" w:rsidRDefault="00454A29"/>
        </w:tc>
        <w:tc>
          <w:tcPr>
            <w:tcW w:w="1701" w:type="dxa"/>
            <w:vAlign w:val="center"/>
          </w:tcPr>
          <w:p w14:paraId="3D8B3EC7" w14:textId="77777777" w:rsidR="00454A29" w:rsidRDefault="00454A29">
            <w:pPr>
              <w:pStyle w:val="ConsPlusNormal"/>
            </w:pPr>
          </w:p>
        </w:tc>
        <w:tc>
          <w:tcPr>
            <w:tcW w:w="1814" w:type="dxa"/>
            <w:vAlign w:val="center"/>
          </w:tcPr>
          <w:p w14:paraId="21F4294B" w14:textId="77777777" w:rsidR="00454A29" w:rsidRDefault="00454A29">
            <w:pPr>
              <w:pStyle w:val="ConsPlusNormal"/>
            </w:pPr>
          </w:p>
        </w:tc>
        <w:tc>
          <w:tcPr>
            <w:tcW w:w="1701" w:type="dxa"/>
            <w:vAlign w:val="center"/>
          </w:tcPr>
          <w:p w14:paraId="2EE0E349" w14:textId="77777777" w:rsidR="00454A29" w:rsidRDefault="00454A29">
            <w:pPr>
              <w:pStyle w:val="ConsPlusNormal"/>
            </w:pPr>
          </w:p>
        </w:tc>
        <w:tc>
          <w:tcPr>
            <w:tcW w:w="1701" w:type="dxa"/>
            <w:vAlign w:val="center"/>
          </w:tcPr>
          <w:p w14:paraId="047C347A" w14:textId="77777777" w:rsidR="00454A29" w:rsidRDefault="00454A29">
            <w:pPr>
              <w:pStyle w:val="ConsPlusNormal"/>
            </w:pPr>
          </w:p>
        </w:tc>
        <w:tc>
          <w:tcPr>
            <w:tcW w:w="1814" w:type="dxa"/>
            <w:vAlign w:val="center"/>
          </w:tcPr>
          <w:p w14:paraId="2BF5CE57" w14:textId="77777777" w:rsidR="00454A29" w:rsidRDefault="00454A29">
            <w:pPr>
              <w:pStyle w:val="ConsPlusNormal"/>
            </w:pPr>
          </w:p>
        </w:tc>
      </w:tr>
      <w:tr w:rsidR="00454A29" w14:paraId="29D43DAB" w14:textId="77777777">
        <w:tc>
          <w:tcPr>
            <w:tcW w:w="567" w:type="dxa"/>
            <w:vMerge/>
          </w:tcPr>
          <w:p w14:paraId="77387F85" w14:textId="77777777" w:rsidR="00454A29" w:rsidRDefault="00454A29"/>
        </w:tc>
        <w:tc>
          <w:tcPr>
            <w:tcW w:w="3345" w:type="dxa"/>
            <w:vMerge/>
          </w:tcPr>
          <w:p w14:paraId="4D80FB57" w14:textId="77777777" w:rsidR="00454A29" w:rsidRDefault="00454A29"/>
        </w:tc>
        <w:tc>
          <w:tcPr>
            <w:tcW w:w="1701" w:type="dxa"/>
            <w:vAlign w:val="center"/>
          </w:tcPr>
          <w:p w14:paraId="68371357" w14:textId="77777777" w:rsidR="00454A29" w:rsidRDefault="00454A29">
            <w:pPr>
              <w:pStyle w:val="ConsPlusNormal"/>
              <w:jc w:val="center"/>
            </w:pPr>
            <w:r>
              <w:t>2021</w:t>
            </w:r>
          </w:p>
        </w:tc>
        <w:tc>
          <w:tcPr>
            <w:tcW w:w="1417" w:type="dxa"/>
            <w:vMerge/>
          </w:tcPr>
          <w:p w14:paraId="23EDEF89" w14:textId="77777777" w:rsidR="00454A29" w:rsidRDefault="00454A29"/>
        </w:tc>
        <w:tc>
          <w:tcPr>
            <w:tcW w:w="2204" w:type="dxa"/>
            <w:vMerge/>
          </w:tcPr>
          <w:p w14:paraId="7A0B2911" w14:textId="77777777" w:rsidR="00454A29" w:rsidRDefault="00454A29"/>
        </w:tc>
        <w:tc>
          <w:tcPr>
            <w:tcW w:w="1417" w:type="dxa"/>
            <w:vMerge/>
          </w:tcPr>
          <w:p w14:paraId="19336A43" w14:textId="77777777" w:rsidR="00454A29" w:rsidRDefault="00454A29"/>
        </w:tc>
        <w:tc>
          <w:tcPr>
            <w:tcW w:w="2324" w:type="dxa"/>
            <w:vMerge/>
          </w:tcPr>
          <w:p w14:paraId="64805432" w14:textId="77777777" w:rsidR="00454A29" w:rsidRDefault="00454A29"/>
        </w:tc>
        <w:tc>
          <w:tcPr>
            <w:tcW w:w="1701" w:type="dxa"/>
            <w:vAlign w:val="center"/>
          </w:tcPr>
          <w:p w14:paraId="2A2AE36C" w14:textId="77777777" w:rsidR="00454A29" w:rsidRDefault="00454A29">
            <w:pPr>
              <w:pStyle w:val="ConsPlusNormal"/>
              <w:jc w:val="center"/>
            </w:pPr>
            <w:r>
              <w:t>-</w:t>
            </w:r>
          </w:p>
        </w:tc>
        <w:tc>
          <w:tcPr>
            <w:tcW w:w="1814" w:type="dxa"/>
            <w:vAlign w:val="center"/>
          </w:tcPr>
          <w:p w14:paraId="4A63773B" w14:textId="77777777" w:rsidR="00454A29" w:rsidRDefault="00454A29">
            <w:pPr>
              <w:pStyle w:val="ConsPlusNormal"/>
            </w:pPr>
          </w:p>
        </w:tc>
        <w:tc>
          <w:tcPr>
            <w:tcW w:w="1701" w:type="dxa"/>
            <w:vAlign w:val="center"/>
          </w:tcPr>
          <w:p w14:paraId="64E1F9D5" w14:textId="77777777" w:rsidR="00454A29" w:rsidRDefault="00454A29">
            <w:pPr>
              <w:pStyle w:val="ConsPlusNormal"/>
            </w:pPr>
          </w:p>
        </w:tc>
        <w:tc>
          <w:tcPr>
            <w:tcW w:w="1701" w:type="dxa"/>
            <w:vAlign w:val="center"/>
          </w:tcPr>
          <w:p w14:paraId="4C3A53B1" w14:textId="77777777" w:rsidR="00454A29" w:rsidRDefault="00454A29">
            <w:pPr>
              <w:pStyle w:val="ConsPlusNormal"/>
            </w:pPr>
          </w:p>
        </w:tc>
        <w:tc>
          <w:tcPr>
            <w:tcW w:w="1814" w:type="dxa"/>
            <w:vAlign w:val="center"/>
          </w:tcPr>
          <w:p w14:paraId="74A99C0B" w14:textId="77777777" w:rsidR="00454A29" w:rsidRDefault="00454A29">
            <w:pPr>
              <w:pStyle w:val="ConsPlusNormal"/>
            </w:pPr>
          </w:p>
        </w:tc>
      </w:tr>
      <w:tr w:rsidR="00454A29" w14:paraId="112B13D3" w14:textId="77777777">
        <w:tc>
          <w:tcPr>
            <w:tcW w:w="567" w:type="dxa"/>
            <w:vMerge/>
          </w:tcPr>
          <w:p w14:paraId="4E4EA3B5" w14:textId="77777777" w:rsidR="00454A29" w:rsidRDefault="00454A29"/>
        </w:tc>
        <w:tc>
          <w:tcPr>
            <w:tcW w:w="3345" w:type="dxa"/>
            <w:vMerge/>
          </w:tcPr>
          <w:p w14:paraId="39EB47BF" w14:textId="77777777" w:rsidR="00454A29" w:rsidRDefault="00454A29"/>
        </w:tc>
        <w:tc>
          <w:tcPr>
            <w:tcW w:w="1701" w:type="dxa"/>
            <w:vAlign w:val="center"/>
          </w:tcPr>
          <w:p w14:paraId="122C40EF" w14:textId="77777777" w:rsidR="00454A29" w:rsidRDefault="00454A29">
            <w:pPr>
              <w:pStyle w:val="ConsPlusNormal"/>
              <w:jc w:val="center"/>
            </w:pPr>
            <w:r>
              <w:t>2022</w:t>
            </w:r>
          </w:p>
        </w:tc>
        <w:tc>
          <w:tcPr>
            <w:tcW w:w="1417" w:type="dxa"/>
            <w:vMerge/>
          </w:tcPr>
          <w:p w14:paraId="46C3BC6F" w14:textId="77777777" w:rsidR="00454A29" w:rsidRDefault="00454A29"/>
        </w:tc>
        <w:tc>
          <w:tcPr>
            <w:tcW w:w="2204" w:type="dxa"/>
            <w:vMerge/>
          </w:tcPr>
          <w:p w14:paraId="5E20BD39" w14:textId="77777777" w:rsidR="00454A29" w:rsidRDefault="00454A29"/>
        </w:tc>
        <w:tc>
          <w:tcPr>
            <w:tcW w:w="1417" w:type="dxa"/>
            <w:vMerge/>
          </w:tcPr>
          <w:p w14:paraId="290817D0" w14:textId="77777777" w:rsidR="00454A29" w:rsidRDefault="00454A29"/>
        </w:tc>
        <w:tc>
          <w:tcPr>
            <w:tcW w:w="2324" w:type="dxa"/>
            <w:vMerge/>
          </w:tcPr>
          <w:p w14:paraId="368653D1" w14:textId="77777777" w:rsidR="00454A29" w:rsidRDefault="00454A29"/>
        </w:tc>
        <w:tc>
          <w:tcPr>
            <w:tcW w:w="1701" w:type="dxa"/>
            <w:vAlign w:val="center"/>
          </w:tcPr>
          <w:p w14:paraId="5A4A36D1" w14:textId="77777777" w:rsidR="00454A29" w:rsidRDefault="00454A29">
            <w:pPr>
              <w:pStyle w:val="ConsPlusNormal"/>
            </w:pPr>
          </w:p>
        </w:tc>
        <w:tc>
          <w:tcPr>
            <w:tcW w:w="1814" w:type="dxa"/>
            <w:vAlign w:val="center"/>
          </w:tcPr>
          <w:p w14:paraId="6C25CB1C" w14:textId="77777777" w:rsidR="00454A29" w:rsidRDefault="00454A29">
            <w:pPr>
              <w:pStyle w:val="ConsPlusNormal"/>
            </w:pPr>
          </w:p>
        </w:tc>
        <w:tc>
          <w:tcPr>
            <w:tcW w:w="1701" w:type="dxa"/>
            <w:vAlign w:val="center"/>
          </w:tcPr>
          <w:p w14:paraId="00EDF38D" w14:textId="77777777" w:rsidR="00454A29" w:rsidRDefault="00454A29">
            <w:pPr>
              <w:pStyle w:val="ConsPlusNormal"/>
            </w:pPr>
          </w:p>
        </w:tc>
        <w:tc>
          <w:tcPr>
            <w:tcW w:w="1701" w:type="dxa"/>
            <w:vAlign w:val="center"/>
          </w:tcPr>
          <w:p w14:paraId="43A51DCC" w14:textId="77777777" w:rsidR="00454A29" w:rsidRDefault="00454A29">
            <w:pPr>
              <w:pStyle w:val="ConsPlusNormal"/>
            </w:pPr>
          </w:p>
        </w:tc>
        <w:tc>
          <w:tcPr>
            <w:tcW w:w="1814" w:type="dxa"/>
            <w:vAlign w:val="center"/>
          </w:tcPr>
          <w:p w14:paraId="3074F015" w14:textId="77777777" w:rsidR="00454A29" w:rsidRDefault="00454A29">
            <w:pPr>
              <w:pStyle w:val="ConsPlusNormal"/>
            </w:pPr>
          </w:p>
        </w:tc>
      </w:tr>
      <w:tr w:rsidR="00454A29" w14:paraId="77EB456F" w14:textId="77777777">
        <w:tc>
          <w:tcPr>
            <w:tcW w:w="567" w:type="dxa"/>
            <w:vMerge/>
          </w:tcPr>
          <w:p w14:paraId="3CA42FFD" w14:textId="77777777" w:rsidR="00454A29" w:rsidRDefault="00454A29"/>
        </w:tc>
        <w:tc>
          <w:tcPr>
            <w:tcW w:w="3345" w:type="dxa"/>
            <w:vMerge/>
          </w:tcPr>
          <w:p w14:paraId="01D1C871" w14:textId="77777777" w:rsidR="00454A29" w:rsidRDefault="00454A29"/>
        </w:tc>
        <w:tc>
          <w:tcPr>
            <w:tcW w:w="1701" w:type="dxa"/>
            <w:vAlign w:val="center"/>
          </w:tcPr>
          <w:p w14:paraId="68034E1F" w14:textId="77777777" w:rsidR="00454A29" w:rsidRDefault="00454A29">
            <w:pPr>
              <w:pStyle w:val="ConsPlusNormal"/>
              <w:jc w:val="center"/>
            </w:pPr>
            <w:r>
              <w:t>2023</w:t>
            </w:r>
          </w:p>
        </w:tc>
        <w:tc>
          <w:tcPr>
            <w:tcW w:w="1417" w:type="dxa"/>
            <w:vMerge/>
          </w:tcPr>
          <w:p w14:paraId="61D8E882" w14:textId="77777777" w:rsidR="00454A29" w:rsidRDefault="00454A29"/>
        </w:tc>
        <w:tc>
          <w:tcPr>
            <w:tcW w:w="2204" w:type="dxa"/>
            <w:vMerge/>
          </w:tcPr>
          <w:p w14:paraId="595CADA0" w14:textId="77777777" w:rsidR="00454A29" w:rsidRDefault="00454A29"/>
        </w:tc>
        <w:tc>
          <w:tcPr>
            <w:tcW w:w="1417" w:type="dxa"/>
            <w:vMerge/>
          </w:tcPr>
          <w:p w14:paraId="537DAA44" w14:textId="77777777" w:rsidR="00454A29" w:rsidRDefault="00454A29"/>
        </w:tc>
        <w:tc>
          <w:tcPr>
            <w:tcW w:w="2324" w:type="dxa"/>
            <w:vMerge/>
          </w:tcPr>
          <w:p w14:paraId="16F9D610" w14:textId="77777777" w:rsidR="00454A29" w:rsidRDefault="00454A29"/>
        </w:tc>
        <w:tc>
          <w:tcPr>
            <w:tcW w:w="1701" w:type="dxa"/>
            <w:vAlign w:val="center"/>
          </w:tcPr>
          <w:p w14:paraId="0995D1BF" w14:textId="77777777" w:rsidR="00454A29" w:rsidRDefault="00454A29">
            <w:pPr>
              <w:pStyle w:val="ConsPlusNormal"/>
            </w:pPr>
          </w:p>
        </w:tc>
        <w:tc>
          <w:tcPr>
            <w:tcW w:w="1814" w:type="dxa"/>
            <w:vAlign w:val="center"/>
          </w:tcPr>
          <w:p w14:paraId="539C4D20" w14:textId="77777777" w:rsidR="00454A29" w:rsidRDefault="00454A29">
            <w:pPr>
              <w:pStyle w:val="ConsPlusNormal"/>
            </w:pPr>
          </w:p>
        </w:tc>
        <w:tc>
          <w:tcPr>
            <w:tcW w:w="1701" w:type="dxa"/>
            <w:vAlign w:val="center"/>
          </w:tcPr>
          <w:p w14:paraId="2E479C11" w14:textId="77777777" w:rsidR="00454A29" w:rsidRDefault="00454A29">
            <w:pPr>
              <w:pStyle w:val="ConsPlusNormal"/>
            </w:pPr>
          </w:p>
        </w:tc>
        <w:tc>
          <w:tcPr>
            <w:tcW w:w="1701" w:type="dxa"/>
            <w:vAlign w:val="center"/>
          </w:tcPr>
          <w:p w14:paraId="0C3B110B" w14:textId="77777777" w:rsidR="00454A29" w:rsidRDefault="00454A29">
            <w:pPr>
              <w:pStyle w:val="ConsPlusNormal"/>
            </w:pPr>
          </w:p>
        </w:tc>
        <w:tc>
          <w:tcPr>
            <w:tcW w:w="1814" w:type="dxa"/>
            <w:vAlign w:val="center"/>
          </w:tcPr>
          <w:p w14:paraId="510996CE" w14:textId="77777777" w:rsidR="00454A29" w:rsidRDefault="00454A29">
            <w:pPr>
              <w:pStyle w:val="ConsPlusNormal"/>
            </w:pPr>
          </w:p>
        </w:tc>
      </w:tr>
      <w:tr w:rsidR="00454A29" w14:paraId="305971D4" w14:textId="77777777">
        <w:tc>
          <w:tcPr>
            <w:tcW w:w="567" w:type="dxa"/>
            <w:vMerge/>
          </w:tcPr>
          <w:p w14:paraId="17D3A30C" w14:textId="77777777" w:rsidR="00454A29" w:rsidRDefault="00454A29"/>
        </w:tc>
        <w:tc>
          <w:tcPr>
            <w:tcW w:w="3345" w:type="dxa"/>
            <w:vMerge/>
          </w:tcPr>
          <w:p w14:paraId="2D22B03E" w14:textId="77777777" w:rsidR="00454A29" w:rsidRDefault="00454A29"/>
        </w:tc>
        <w:tc>
          <w:tcPr>
            <w:tcW w:w="1701" w:type="dxa"/>
            <w:vAlign w:val="center"/>
          </w:tcPr>
          <w:p w14:paraId="26D00CCC" w14:textId="77777777" w:rsidR="00454A29" w:rsidRDefault="00454A29">
            <w:pPr>
              <w:pStyle w:val="ConsPlusNormal"/>
              <w:jc w:val="center"/>
            </w:pPr>
            <w:r>
              <w:t>2024</w:t>
            </w:r>
          </w:p>
        </w:tc>
        <w:tc>
          <w:tcPr>
            <w:tcW w:w="1417" w:type="dxa"/>
            <w:vMerge/>
          </w:tcPr>
          <w:p w14:paraId="1687B286" w14:textId="77777777" w:rsidR="00454A29" w:rsidRDefault="00454A29"/>
        </w:tc>
        <w:tc>
          <w:tcPr>
            <w:tcW w:w="2204" w:type="dxa"/>
            <w:vMerge/>
          </w:tcPr>
          <w:p w14:paraId="6ED86BEF" w14:textId="77777777" w:rsidR="00454A29" w:rsidRDefault="00454A29"/>
        </w:tc>
        <w:tc>
          <w:tcPr>
            <w:tcW w:w="1417" w:type="dxa"/>
            <w:vMerge/>
          </w:tcPr>
          <w:p w14:paraId="7FB1A4EF" w14:textId="77777777" w:rsidR="00454A29" w:rsidRDefault="00454A29"/>
        </w:tc>
        <w:tc>
          <w:tcPr>
            <w:tcW w:w="2324" w:type="dxa"/>
            <w:vMerge/>
          </w:tcPr>
          <w:p w14:paraId="5D11616E" w14:textId="77777777" w:rsidR="00454A29" w:rsidRDefault="00454A29"/>
        </w:tc>
        <w:tc>
          <w:tcPr>
            <w:tcW w:w="1701" w:type="dxa"/>
            <w:vAlign w:val="center"/>
          </w:tcPr>
          <w:p w14:paraId="7ED3957E" w14:textId="77777777" w:rsidR="00454A29" w:rsidRDefault="00454A29">
            <w:pPr>
              <w:pStyle w:val="ConsPlusNormal"/>
            </w:pPr>
          </w:p>
        </w:tc>
        <w:tc>
          <w:tcPr>
            <w:tcW w:w="1814" w:type="dxa"/>
            <w:vAlign w:val="center"/>
          </w:tcPr>
          <w:p w14:paraId="161B0F7E" w14:textId="77777777" w:rsidR="00454A29" w:rsidRDefault="00454A29">
            <w:pPr>
              <w:pStyle w:val="ConsPlusNormal"/>
            </w:pPr>
          </w:p>
        </w:tc>
        <w:tc>
          <w:tcPr>
            <w:tcW w:w="1701" w:type="dxa"/>
            <w:vAlign w:val="center"/>
          </w:tcPr>
          <w:p w14:paraId="272E0D0C" w14:textId="77777777" w:rsidR="00454A29" w:rsidRDefault="00454A29">
            <w:pPr>
              <w:pStyle w:val="ConsPlusNormal"/>
            </w:pPr>
          </w:p>
        </w:tc>
        <w:tc>
          <w:tcPr>
            <w:tcW w:w="1701" w:type="dxa"/>
            <w:vAlign w:val="center"/>
          </w:tcPr>
          <w:p w14:paraId="2CB748A6" w14:textId="77777777" w:rsidR="00454A29" w:rsidRDefault="00454A29">
            <w:pPr>
              <w:pStyle w:val="ConsPlusNormal"/>
            </w:pPr>
          </w:p>
        </w:tc>
        <w:tc>
          <w:tcPr>
            <w:tcW w:w="1814" w:type="dxa"/>
            <w:vAlign w:val="center"/>
          </w:tcPr>
          <w:p w14:paraId="0E6AC021" w14:textId="77777777" w:rsidR="00454A29" w:rsidRDefault="00454A29">
            <w:pPr>
              <w:pStyle w:val="ConsPlusNormal"/>
            </w:pPr>
          </w:p>
        </w:tc>
      </w:tr>
      <w:tr w:rsidR="00454A29" w14:paraId="7F417002" w14:textId="77777777">
        <w:tc>
          <w:tcPr>
            <w:tcW w:w="567" w:type="dxa"/>
            <w:vMerge/>
          </w:tcPr>
          <w:p w14:paraId="7270A290" w14:textId="77777777" w:rsidR="00454A29" w:rsidRDefault="00454A29"/>
        </w:tc>
        <w:tc>
          <w:tcPr>
            <w:tcW w:w="3345" w:type="dxa"/>
            <w:vMerge/>
          </w:tcPr>
          <w:p w14:paraId="66195244" w14:textId="77777777" w:rsidR="00454A29" w:rsidRDefault="00454A29"/>
        </w:tc>
        <w:tc>
          <w:tcPr>
            <w:tcW w:w="1701" w:type="dxa"/>
            <w:vAlign w:val="center"/>
          </w:tcPr>
          <w:p w14:paraId="7475E087" w14:textId="77777777" w:rsidR="00454A29" w:rsidRDefault="00454A29">
            <w:pPr>
              <w:pStyle w:val="ConsPlusNormal"/>
              <w:jc w:val="center"/>
            </w:pPr>
            <w:r>
              <w:t>2025</w:t>
            </w:r>
          </w:p>
        </w:tc>
        <w:tc>
          <w:tcPr>
            <w:tcW w:w="1417" w:type="dxa"/>
            <w:vMerge/>
          </w:tcPr>
          <w:p w14:paraId="69339579" w14:textId="77777777" w:rsidR="00454A29" w:rsidRDefault="00454A29"/>
        </w:tc>
        <w:tc>
          <w:tcPr>
            <w:tcW w:w="2204" w:type="dxa"/>
            <w:vMerge/>
          </w:tcPr>
          <w:p w14:paraId="7AFA3BAA" w14:textId="77777777" w:rsidR="00454A29" w:rsidRDefault="00454A29"/>
        </w:tc>
        <w:tc>
          <w:tcPr>
            <w:tcW w:w="1417" w:type="dxa"/>
            <w:vMerge/>
          </w:tcPr>
          <w:p w14:paraId="6CCFDA7F" w14:textId="77777777" w:rsidR="00454A29" w:rsidRDefault="00454A29"/>
        </w:tc>
        <w:tc>
          <w:tcPr>
            <w:tcW w:w="2324" w:type="dxa"/>
            <w:vMerge/>
          </w:tcPr>
          <w:p w14:paraId="7CFE3025" w14:textId="77777777" w:rsidR="00454A29" w:rsidRDefault="00454A29"/>
        </w:tc>
        <w:tc>
          <w:tcPr>
            <w:tcW w:w="1701" w:type="dxa"/>
            <w:vAlign w:val="center"/>
          </w:tcPr>
          <w:p w14:paraId="3E89FEF1" w14:textId="77777777" w:rsidR="00454A29" w:rsidRDefault="00454A29">
            <w:pPr>
              <w:pStyle w:val="ConsPlusNormal"/>
              <w:jc w:val="center"/>
            </w:pPr>
            <w:r>
              <w:t>93 059,60</w:t>
            </w:r>
          </w:p>
        </w:tc>
        <w:tc>
          <w:tcPr>
            <w:tcW w:w="1814" w:type="dxa"/>
            <w:vAlign w:val="center"/>
          </w:tcPr>
          <w:p w14:paraId="4F0634FF" w14:textId="77777777" w:rsidR="00454A29" w:rsidRDefault="00454A29">
            <w:pPr>
              <w:pStyle w:val="ConsPlusNormal"/>
              <w:jc w:val="center"/>
            </w:pPr>
            <w:r>
              <w:t>930,60</w:t>
            </w:r>
          </w:p>
        </w:tc>
        <w:tc>
          <w:tcPr>
            <w:tcW w:w="1701" w:type="dxa"/>
            <w:vAlign w:val="center"/>
          </w:tcPr>
          <w:p w14:paraId="3C2C057C" w14:textId="77777777" w:rsidR="00454A29" w:rsidRDefault="00454A29">
            <w:pPr>
              <w:pStyle w:val="ConsPlusNormal"/>
              <w:jc w:val="center"/>
            </w:pPr>
            <w:r>
              <w:t>92 129,00</w:t>
            </w:r>
          </w:p>
        </w:tc>
        <w:tc>
          <w:tcPr>
            <w:tcW w:w="1701" w:type="dxa"/>
            <w:vAlign w:val="center"/>
          </w:tcPr>
          <w:p w14:paraId="7FDB40A2" w14:textId="77777777" w:rsidR="00454A29" w:rsidRDefault="00454A29">
            <w:pPr>
              <w:pStyle w:val="ConsPlusNormal"/>
            </w:pPr>
          </w:p>
        </w:tc>
        <w:tc>
          <w:tcPr>
            <w:tcW w:w="1814" w:type="dxa"/>
            <w:vAlign w:val="center"/>
          </w:tcPr>
          <w:p w14:paraId="194B77D9" w14:textId="77777777" w:rsidR="00454A29" w:rsidRDefault="00454A29">
            <w:pPr>
              <w:pStyle w:val="ConsPlusNormal"/>
            </w:pPr>
          </w:p>
        </w:tc>
      </w:tr>
      <w:tr w:rsidR="00454A29" w14:paraId="74533A2B" w14:textId="77777777">
        <w:tc>
          <w:tcPr>
            <w:tcW w:w="567" w:type="dxa"/>
            <w:vMerge/>
          </w:tcPr>
          <w:p w14:paraId="0C72F511" w14:textId="77777777" w:rsidR="00454A29" w:rsidRDefault="00454A29"/>
        </w:tc>
        <w:tc>
          <w:tcPr>
            <w:tcW w:w="3345" w:type="dxa"/>
            <w:vMerge/>
          </w:tcPr>
          <w:p w14:paraId="313035DD" w14:textId="77777777" w:rsidR="00454A29" w:rsidRDefault="00454A29"/>
        </w:tc>
        <w:tc>
          <w:tcPr>
            <w:tcW w:w="1701" w:type="dxa"/>
            <w:vAlign w:val="center"/>
          </w:tcPr>
          <w:p w14:paraId="218F2AF7" w14:textId="77777777" w:rsidR="00454A29" w:rsidRDefault="00454A29">
            <w:pPr>
              <w:pStyle w:val="ConsPlusNormal"/>
              <w:jc w:val="center"/>
            </w:pPr>
            <w:r>
              <w:t>2026</w:t>
            </w:r>
          </w:p>
        </w:tc>
        <w:tc>
          <w:tcPr>
            <w:tcW w:w="1417" w:type="dxa"/>
            <w:vMerge/>
          </w:tcPr>
          <w:p w14:paraId="0C700ABE" w14:textId="77777777" w:rsidR="00454A29" w:rsidRDefault="00454A29"/>
        </w:tc>
        <w:tc>
          <w:tcPr>
            <w:tcW w:w="2204" w:type="dxa"/>
            <w:vMerge/>
          </w:tcPr>
          <w:p w14:paraId="4158D9AA" w14:textId="77777777" w:rsidR="00454A29" w:rsidRDefault="00454A29"/>
        </w:tc>
        <w:tc>
          <w:tcPr>
            <w:tcW w:w="1417" w:type="dxa"/>
            <w:vMerge/>
          </w:tcPr>
          <w:p w14:paraId="08A322E8" w14:textId="77777777" w:rsidR="00454A29" w:rsidRDefault="00454A29"/>
        </w:tc>
        <w:tc>
          <w:tcPr>
            <w:tcW w:w="2324" w:type="dxa"/>
            <w:vMerge/>
          </w:tcPr>
          <w:p w14:paraId="757ED114" w14:textId="77777777" w:rsidR="00454A29" w:rsidRDefault="00454A29"/>
        </w:tc>
        <w:tc>
          <w:tcPr>
            <w:tcW w:w="1701" w:type="dxa"/>
            <w:vAlign w:val="center"/>
          </w:tcPr>
          <w:p w14:paraId="1D27F251" w14:textId="77777777" w:rsidR="00454A29" w:rsidRDefault="00454A29">
            <w:pPr>
              <w:pStyle w:val="ConsPlusNormal"/>
            </w:pPr>
          </w:p>
        </w:tc>
        <w:tc>
          <w:tcPr>
            <w:tcW w:w="1814" w:type="dxa"/>
            <w:vAlign w:val="center"/>
          </w:tcPr>
          <w:p w14:paraId="2087BF41" w14:textId="77777777" w:rsidR="00454A29" w:rsidRDefault="00454A29">
            <w:pPr>
              <w:pStyle w:val="ConsPlusNormal"/>
            </w:pPr>
          </w:p>
        </w:tc>
        <w:tc>
          <w:tcPr>
            <w:tcW w:w="1701" w:type="dxa"/>
            <w:vAlign w:val="center"/>
          </w:tcPr>
          <w:p w14:paraId="12C0F270" w14:textId="77777777" w:rsidR="00454A29" w:rsidRDefault="00454A29">
            <w:pPr>
              <w:pStyle w:val="ConsPlusNormal"/>
            </w:pPr>
          </w:p>
        </w:tc>
        <w:tc>
          <w:tcPr>
            <w:tcW w:w="1701" w:type="dxa"/>
            <w:vAlign w:val="center"/>
          </w:tcPr>
          <w:p w14:paraId="0F2173A7" w14:textId="77777777" w:rsidR="00454A29" w:rsidRDefault="00454A29">
            <w:pPr>
              <w:pStyle w:val="ConsPlusNormal"/>
            </w:pPr>
          </w:p>
        </w:tc>
        <w:tc>
          <w:tcPr>
            <w:tcW w:w="1814" w:type="dxa"/>
            <w:vAlign w:val="center"/>
          </w:tcPr>
          <w:p w14:paraId="115E93A7" w14:textId="77777777" w:rsidR="00454A29" w:rsidRDefault="00454A29">
            <w:pPr>
              <w:pStyle w:val="ConsPlusNormal"/>
            </w:pPr>
          </w:p>
        </w:tc>
      </w:tr>
      <w:tr w:rsidR="00454A29" w14:paraId="5E0B0B68" w14:textId="77777777">
        <w:tc>
          <w:tcPr>
            <w:tcW w:w="21706" w:type="dxa"/>
            <w:gridSpan w:val="12"/>
            <w:vAlign w:val="center"/>
          </w:tcPr>
          <w:p w14:paraId="37EB6EEB" w14:textId="77777777" w:rsidR="00454A29" w:rsidRDefault="00454A29">
            <w:pPr>
              <w:pStyle w:val="ConsPlusNormal"/>
              <w:jc w:val="center"/>
              <w:outlineLvl w:val="2"/>
            </w:pPr>
            <w:r>
              <w:t>МО "Кобяйский улус (район)"</w:t>
            </w:r>
          </w:p>
        </w:tc>
      </w:tr>
      <w:tr w:rsidR="00454A29" w14:paraId="0EC50264" w14:textId="77777777">
        <w:tc>
          <w:tcPr>
            <w:tcW w:w="567" w:type="dxa"/>
            <w:vMerge w:val="restart"/>
            <w:vAlign w:val="center"/>
          </w:tcPr>
          <w:p w14:paraId="68C16D0B" w14:textId="77777777" w:rsidR="00454A29" w:rsidRDefault="00454A29">
            <w:pPr>
              <w:pStyle w:val="ConsPlusNormal"/>
              <w:jc w:val="center"/>
            </w:pPr>
            <w:r>
              <w:t>196</w:t>
            </w:r>
          </w:p>
        </w:tc>
        <w:tc>
          <w:tcPr>
            <w:tcW w:w="3345" w:type="dxa"/>
            <w:vMerge w:val="restart"/>
            <w:vAlign w:val="center"/>
          </w:tcPr>
          <w:p w14:paraId="5F813E26" w14:textId="77777777" w:rsidR="00454A29" w:rsidRDefault="00454A29">
            <w:pPr>
              <w:pStyle w:val="ConsPlusNormal"/>
              <w:jc w:val="center"/>
            </w:pPr>
            <w:r>
              <w:t>Школа на 275 учащихся в с. Сайылык</w:t>
            </w:r>
          </w:p>
        </w:tc>
        <w:tc>
          <w:tcPr>
            <w:tcW w:w="1701" w:type="dxa"/>
            <w:vAlign w:val="center"/>
          </w:tcPr>
          <w:p w14:paraId="7C3A1B02" w14:textId="77777777" w:rsidR="00454A29" w:rsidRDefault="00454A29">
            <w:pPr>
              <w:pStyle w:val="ConsPlusNormal"/>
              <w:jc w:val="center"/>
            </w:pPr>
            <w:r>
              <w:t>2020 - 2026 годы - всего</w:t>
            </w:r>
          </w:p>
        </w:tc>
        <w:tc>
          <w:tcPr>
            <w:tcW w:w="1417" w:type="dxa"/>
            <w:vMerge w:val="restart"/>
            <w:vAlign w:val="center"/>
          </w:tcPr>
          <w:p w14:paraId="5C2B0872" w14:textId="77777777" w:rsidR="00454A29" w:rsidRDefault="00454A29">
            <w:pPr>
              <w:pStyle w:val="ConsPlusNormal"/>
              <w:jc w:val="center"/>
            </w:pPr>
            <w:r>
              <w:t>637 429,84</w:t>
            </w:r>
          </w:p>
        </w:tc>
        <w:tc>
          <w:tcPr>
            <w:tcW w:w="2204" w:type="dxa"/>
            <w:vMerge w:val="restart"/>
            <w:vAlign w:val="center"/>
          </w:tcPr>
          <w:p w14:paraId="79EFECD4" w14:textId="77777777" w:rsidR="00454A29" w:rsidRDefault="00454A29">
            <w:pPr>
              <w:pStyle w:val="ConsPlusNormal"/>
              <w:jc w:val="center"/>
            </w:pPr>
            <w:r>
              <w:t>имеется</w:t>
            </w:r>
          </w:p>
        </w:tc>
        <w:tc>
          <w:tcPr>
            <w:tcW w:w="1417" w:type="dxa"/>
            <w:vMerge w:val="restart"/>
            <w:vAlign w:val="center"/>
          </w:tcPr>
          <w:p w14:paraId="045D850B" w14:textId="77777777" w:rsidR="00454A29" w:rsidRDefault="00454A29">
            <w:pPr>
              <w:pStyle w:val="ConsPlusNormal"/>
              <w:jc w:val="center"/>
            </w:pPr>
            <w:r>
              <w:t>275</w:t>
            </w:r>
          </w:p>
        </w:tc>
        <w:tc>
          <w:tcPr>
            <w:tcW w:w="2324" w:type="dxa"/>
            <w:vMerge w:val="restart"/>
            <w:vAlign w:val="center"/>
          </w:tcPr>
          <w:p w14:paraId="12C5AC93" w14:textId="77777777" w:rsidR="00454A29" w:rsidRDefault="00454A29">
            <w:pPr>
              <w:pStyle w:val="ConsPlusNormal"/>
              <w:jc w:val="center"/>
            </w:pPr>
            <w:r>
              <w:t>Минстрой РС(Я), МР "Кобяйский улус"</w:t>
            </w:r>
          </w:p>
        </w:tc>
        <w:tc>
          <w:tcPr>
            <w:tcW w:w="1701" w:type="dxa"/>
            <w:vAlign w:val="center"/>
          </w:tcPr>
          <w:p w14:paraId="447A3202" w14:textId="77777777" w:rsidR="00454A29" w:rsidRDefault="00454A29">
            <w:pPr>
              <w:pStyle w:val="ConsPlusNormal"/>
              <w:jc w:val="center"/>
            </w:pPr>
            <w:r>
              <w:t>637 429,84</w:t>
            </w:r>
          </w:p>
        </w:tc>
        <w:tc>
          <w:tcPr>
            <w:tcW w:w="1814" w:type="dxa"/>
            <w:vAlign w:val="center"/>
          </w:tcPr>
          <w:p w14:paraId="1EDD4FD2" w14:textId="77777777" w:rsidR="00454A29" w:rsidRDefault="00454A29">
            <w:pPr>
              <w:pStyle w:val="ConsPlusNormal"/>
              <w:jc w:val="center"/>
            </w:pPr>
            <w:r>
              <w:t>5 279,32</w:t>
            </w:r>
          </w:p>
        </w:tc>
        <w:tc>
          <w:tcPr>
            <w:tcW w:w="1701" w:type="dxa"/>
            <w:vAlign w:val="center"/>
          </w:tcPr>
          <w:p w14:paraId="2B4BDDA4" w14:textId="77777777" w:rsidR="00454A29" w:rsidRDefault="00454A29">
            <w:pPr>
              <w:pStyle w:val="ConsPlusNormal"/>
              <w:jc w:val="center"/>
            </w:pPr>
            <w:r>
              <w:t>522 653,37</w:t>
            </w:r>
          </w:p>
        </w:tc>
        <w:tc>
          <w:tcPr>
            <w:tcW w:w="1701" w:type="dxa"/>
            <w:vAlign w:val="center"/>
          </w:tcPr>
          <w:p w14:paraId="1882B8D1" w14:textId="77777777" w:rsidR="00454A29" w:rsidRDefault="00454A29">
            <w:pPr>
              <w:pStyle w:val="ConsPlusNormal"/>
              <w:jc w:val="center"/>
            </w:pPr>
            <w:r>
              <w:t>-</w:t>
            </w:r>
          </w:p>
        </w:tc>
        <w:tc>
          <w:tcPr>
            <w:tcW w:w="1814" w:type="dxa"/>
            <w:vAlign w:val="center"/>
          </w:tcPr>
          <w:p w14:paraId="69F8F467" w14:textId="77777777" w:rsidR="00454A29" w:rsidRDefault="00454A29">
            <w:pPr>
              <w:pStyle w:val="ConsPlusNormal"/>
              <w:jc w:val="center"/>
            </w:pPr>
            <w:r>
              <w:t>-</w:t>
            </w:r>
          </w:p>
        </w:tc>
      </w:tr>
      <w:tr w:rsidR="00454A29" w14:paraId="61D70163" w14:textId="77777777">
        <w:tc>
          <w:tcPr>
            <w:tcW w:w="567" w:type="dxa"/>
            <w:vMerge/>
          </w:tcPr>
          <w:p w14:paraId="36F96A2E" w14:textId="77777777" w:rsidR="00454A29" w:rsidRDefault="00454A29"/>
        </w:tc>
        <w:tc>
          <w:tcPr>
            <w:tcW w:w="3345" w:type="dxa"/>
            <w:vMerge/>
          </w:tcPr>
          <w:p w14:paraId="196B34DD" w14:textId="77777777" w:rsidR="00454A29" w:rsidRDefault="00454A29"/>
        </w:tc>
        <w:tc>
          <w:tcPr>
            <w:tcW w:w="1701" w:type="dxa"/>
            <w:vAlign w:val="center"/>
          </w:tcPr>
          <w:p w14:paraId="40D7C712" w14:textId="77777777" w:rsidR="00454A29" w:rsidRDefault="00454A29">
            <w:pPr>
              <w:pStyle w:val="ConsPlusNormal"/>
              <w:jc w:val="center"/>
            </w:pPr>
            <w:r>
              <w:t>2020</w:t>
            </w:r>
          </w:p>
        </w:tc>
        <w:tc>
          <w:tcPr>
            <w:tcW w:w="1417" w:type="dxa"/>
            <w:vMerge/>
          </w:tcPr>
          <w:p w14:paraId="30FCCDA3" w14:textId="77777777" w:rsidR="00454A29" w:rsidRDefault="00454A29"/>
        </w:tc>
        <w:tc>
          <w:tcPr>
            <w:tcW w:w="2204" w:type="dxa"/>
            <w:vMerge/>
          </w:tcPr>
          <w:p w14:paraId="6D69C6B8" w14:textId="77777777" w:rsidR="00454A29" w:rsidRDefault="00454A29"/>
        </w:tc>
        <w:tc>
          <w:tcPr>
            <w:tcW w:w="1417" w:type="dxa"/>
            <w:vMerge/>
          </w:tcPr>
          <w:p w14:paraId="0DF97F40" w14:textId="77777777" w:rsidR="00454A29" w:rsidRDefault="00454A29"/>
        </w:tc>
        <w:tc>
          <w:tcPr>
            <w:tcW w:w="2324" w:type="dxa"/>
            <w:vMerge/>
          </w:tcPr>
          <w:p w14:paraId="37937E36" w14:textId="77777777" w:rsidR="00454A29" w:rsidRDefault="00454A29"/>
        </w:tc>
        <w:tc>
          <w:tcPr>
            <w:tcW w:w="1701" w:type="dxa"/>
            <w:vAlign w:val="center"/>
          </w:tcPr>
          <w:p w14:paraId="305DADCB" w14:textId="77777777" w:rsidR="00454A29" w:rsidRDefault="00454A29">
            <w:pPr>
              <w:pStyle w:val="ConsPlusNormal"/>
            </w:pPr>
          </w:p>
        </w:tc>
        <w:tc>
          <w:tcPr>
            <w:tcW w:w="1814" w:type="dxa"/>
            <w:vAlign w:val="center"/>
          </w:tcPr>
          <w:p w14:paraId="14E105DD" w14:textId="77777777" w:rsidR="00454A29" w:rsidRDefault="00454A29">
            <w:pPr>
              <w:pStyle w:val="ConsPlusNormal"/>
            </w:pPr>
          </w:p>
        </w:tc>
        <w:tc>
          <w:tcPr>
            <w:tcW w:w="1701" w:type="dxa"/>
            <w:vAlign w:val="center"/>
          </w:tcPr>
          <w:p w14:paraId="17AA9CD8" w14:textId="77777777" w:rsidR="00454A29" w:rsidRDefault="00454A29">
            <w:pPr>
              <w:pStyle w:val="ConsPlusNormal"/>
            </w:pPr>
          </w:p>
        </w:tc>
        <w:tc>
          <w:tcPr>
            <w:tcW w:w="1701" w:type="dxa"/>
            <w:vAlign w:val="center"/>
          </w:tcPr>
          <w:p w14:paraId="074FCEBB" w14:textId="77777777" w:rsidR="00454A29" w:rsidRDefault="00454A29">
            <w:pPr>
              <w:pStyle w:val="ConsPlusNormal"/>
            </w:pPr>
          </w:p>
        </w:tc>
        <w:tc>
          <w:tcPr>
            <w:tcW w:w="1814" w:type="dxa"/>
            <w:vAlign w:val="center"/>
          </w:tcPr>
          <w:p w14:paraId="1BBAA19F" w14:textId="77777777" w:rsidR="00454A29" w:rsidRDefault="00454A29">
            <w:pPr>
              <w:pStyle w:val="ConsPlusNormal"/>
            </w:pPr>
          </w:p>
        </w:tc>
      </w:tr>
      <w:tr w:rsidR="00454A29" w14:paraId="74BA9E95" w14:textId="77777777">
        <w:tc>
          <w:tcPr>
            <w:tcW w:w="567" w:type="dxa"/>
            <w:vMerge/>
          </w:tcPr>
          <w:p w14:paraId="105D2EC0" w14:textId="77777777" w:rsidR="00454A29" w:rsidRDefault="00454A29"/>
        </w:tc>
        <w:tc>
          <w:tcPr>
            <w:tcW w:w="3345" w:type="dxa"/>
            <w:vMerge/>
          </w:tcPr>
          <w:p w14:paraId="61D731EC" w14:textId="77777777" w:rsidR="00454A29" w:rsidRDefault="00454A29"/>
        </w:tc>
        <w:tc>
          <w:tcPr>
            <w:tcW w:w="1701" w:type="dxa"/>
            <w:vAlign w:val="center"/>
          </w:tcPr>
          <w:p w14:paraId="17A31117" w14:textId="77777777" w:rsidR="00454A29" w:rsidRDefault="00454A29">
            <w:pPr>
              <w:pStyle w:val="ConsPlusNormal"/>
              <w:jc w:val="center"/>
            </w:pPr>
            <w:r>
              <w:t>2021</w:t>
            </w:r>
          </w:p>
        </w:tc>
        <w:tc>
          <w:tcPr>
            <w:tcW w:w="1417" w:type="dxa"/>
            <w:vMerge/>
          </w:tcPr>
          <w:p w14:paraId="65D3577A" w14:textId="77777777" w:rsidR="00454A29" w:rsidRDefault="00454A29"/>
        </w:tc>
        <w:tc>
          <w:tcPr>
            <w:tcW w:w="2204" w:type="dxa"/>
            <w:vMerge/>
          </w:tcPr>
          <w:p w14:paraId="77CFBF08" w14:textId="77777777" w:rsidR="00454A29" w:rsidRDefault="00454A29"/>
        </w:tc>
        <w:tc>
          <w:tcPr>
            <w:tcW w:w="1417" w:type="dxa"/>
            <w:vMerge/>
          </w:tcPr>
          <w:p w14:paraId="77E07C55" w14:textId="77777777" w:rsidR="00454A29" w:rsidRDefault="00454A29"/>
        </w:tc>
        <w:tc>
          <w:tcPr>
            <w:tcW w:w="2324" w:type="dxa"/>
            <w:vMerge/>
          </w:tcPr>
          <w:p w14:paraId="7A0EAE67" w14:textId="77777777" w:rsidR="00454A29" w:rsidRDefault="00454A29"/>
        </w:tc>
        <w:tc>
          <w:tcPr>
            <w:tcW w:w="1701" w:type="dxa"/>
            <w:vAlign w:val="center"/>
          </w:tcPr>
          <w:p w14:paraId="2045AA6B" w14:textId="77777777" w:rsidR="00454A29" w:rsidRDefault="00454A29">
            <w:pPr>
              <w:pStyle w:val="ConsPlusNormal"/>
              <w:jc w:val="center"/>
            </w:pPr>
            <w:r>
              <w:t>-</w:t>
            </w:r>
          </w:p>
        </w:tc>
        <w:tc>
          <w:tcPr>
            <w:tcW w:w="1814" w:type="dxa"/>
            <w:vAlign w:val="center"/>
          </w:tcPr>
          <w:p w14:paraId="2BA78E3C" w14:textId="77777777" w:rsidR="00454A29" w:rsidRDefault="00454A29">
            <w:pPr>
              <w:pStyle w:val="ConsPlusNormal"/>
            </w:pPr>
          </w:p>
        </w:tc>
        <w:tc>
          <w:tcPr>
            <w:tcW w:w="1701" w:type="dxa"/>
            <w:vAlign w:val="center"/>
          </w:tcPr>
          <w:p w14:paraId="56085296" w14:textId="77777777" w:rsidR="00454A29" w:rsidRDefault="00454A29">
            <w:pPr>
              <w:pStyle w:val="ConsPlusNormal"/>
            </w:pPr>
          </w:p>
        </w:tc>
        <w:tc>
          <w:tcPr>
            <w:tcW w:w="1701" w:type="dxa"/>
            <w:vAlign w:val="center"/>
          </w:tcPr>
          <w:p w14:paraId="18552693" w14:textId="77777777" w:rsidR="00454A29" w:rsidRDefault="00454A29">
            <w:pPr>
              <w:pStyle w:val="ConsPlusNormal"/>
            </w:pPr>
          </w:p>
        </w:tc>
        <w:tc>
          <w:tcPr>
            <w:tcW w:w="1814" w:type="dxa"/>
            <w:vAlign w:val="center"/>
          </w:tcPr>
          <w:p w14:paraId="15B5A654" w14:textId="77777777" w:rsidR="00454A29" w:rsidRDefault="00454A29">
            <w:pPr>
              <w:pStyle w:val="ConsPlusNormal"/>
            </w:pPr>
          </w:p>
        </w:tc>
      </w:tr>
      <w:tr w:rsidR="00454A29" w14:paraId="0BDA311E" w14:textId="77777777">
        <w:tc>
          <w:tcPr>
            <w:tcW w:w="567" w:type="dxa"/>
            <w:vMerge/>
          </w:tcPr>
          <w:p w14:paraId="3662B191" w14:textId="77777777" w:rsidR="00454A29" w:rsidRDefault="00454A29"/>
        </w:tc>
        <w:tc>
          <w:tcPr>
            <w:tcW w:w="3345" w:type="dxa"/>
            <w:vMerge/>
          </w:tcPr>
          <w:p w14:paraId="0342CFD6" w14:textId="77777777" w:rsidR="00454A29" w:rsidRDefault="00454A29"/>
        </w:tc>
        <w:tc>
          <w:tcPr>
            <w:tcW w:w="1701" w:type="dxa"/>
            <w:vAlign w:val="center"/>
          </w:tcPr>
          <w:p w14:paraId="352BF526" w14:textId="77777777" w:rsidR="00454A29" w:rsidRDefault="00454A29">
            <w:pPr>
              <w:pStyle w:val="ConsPlusNormal"/>
              <w:jc w:val="center"/>
            </w:pPr>
            <w:r>
              <w:t>2022</w:t>
            </w:r>
          </w:p>
        </w:tc>
        <w:tc>
          <w:tcPr>
            <w:tcW w:w="1417" w:type="dxa"/>
            <w:vMerge/>
          </w:tcPr>
          <w:p w14:paraId="72687351" w14:textId="77777777" w:rsidR="00454A29" w:rsidRDefault="00454A29"/>
        </w:tc>
        <w:tc>
          <w:tcPr>
            <w:tcW w:w="2204" w:type="dxa"/>
            <w:vMerge/>
          </w:tcPr>
          <w:p w14:paraId="2C1CEA54" w14:textId="77777777" w:rsidR="00454A29" w:rsidRDefault="00454A29"/>
        </w:tc>
        <w:tc>
          <w:tcPr>
            <w:tcW w:w="1417" w:type="dxa"/>
            <w:vMerge/>
          </w:tcPr>
          <w:p w14:paraId="6C5674C0" w14:textId="77777777" w:rsidR="00454A29" w:rsidRDefault="00454A29"/>
        </w:tc>
        <w:tc>
          <w:tcPr>
            <w:tcW w:w="2324" w:type="dxa"/>
            <w:vMerge/>
          </w:tcPr>
          <w:p w14:paraId="4BC9DA97" w14:textId="77777777" w:rsidR="00454A29" w:rsidRDefault="00454A29"/>
        </w:tc>
        <w:tc>
          <w:tcPr>
            <w:tcW w:w="1701" w:type="dxa"/>
            <w:vAlign w:val="center"/>
          </w:tcPr>
          <w:p w14:paraId="19D3C1FA" w14:textId="77777777" w:rsidR="00454A29" w:rsidRDefault="00454A29">
            <w:pPr>
              <w:pStyle w:val="ConsPlusNormal"/>
            </w:pPr>
          </w:p>
        </w:tc>
        <w:tc>
          <w:tcPr>
            <w:tcW w:w="1814" w:type="dxa"/>
            <w:vAlign w:val="center"/>
          </w:tcPr>
          <w:p w14:paraId="6BC5559B" w14:textId="77777777" w:rsidR="00454A29" w:rsidRDefault="00454A29">
            <w:pPr>
              <w:pStyle w:val="ConsPlusNormal"/>
            </w:pPr>
          </w:p>
        </w:tc>
        <w:tc>
          <w:tcPr>
            <w:tcW w:w="1701" w:type="dxa"/>
            <w:vAlign w:val="center"/>
          </w:tcPr>
          <w:p w14:paraId="0C720795" w14:textId="77777777" w:rsidR="00454A29" w:rsidRDefault="00454A29">
            <w:pPr>
              <w:pStyle w:val="ConsPlusNormal"/>
            </w:pPr>
          </w:p>
        </w:tc>
        <w:tc>
          <w:tcPr>
            <w:tcW w:w="1701" w:type="dxa"/>
            <w:vAlign w:val="center"/>
          </w:tcPr>
          <w:p w14:paraId="0D99A4BE" w14:textId="77777777" w:rsidR="00454A29" w:rsidRDefault="00454A29">
            <w:pPr>
              <w:pStyle w:val="ConsPlusNormal"/>
            </w:pPr>
          </w:p>
        </w:tc>
        <w:tc>
          <w:tcPr>
            <w:tcW w:w="1814" w:type="dxa"/>
            <w:vAlign w:val="center"/>
          </w:tcPr>
          <w:p w14:paraId="5A51B6AF" w14:textId="77777777" w:rsidR="00454A29" w:rsidRDefault="00454A29">
            <w:pPr>
              <w:pStyle w:val="ConsPlusNormal"/>
            </w:pPr>
          </w:p>
        </w:tc>
      </w:tr>
      <w:tr w:rsidR="00454A29" w14:paraId="73D0720B" w14:textId="77777777">
        <w:tc>
          <w:tcPr>
            <w:tcW w:w="567" w:type="dxa"/>
            <w:vMerge/>
          </w:tcPr>
          <w:p w14:paraId="4C9B01B2" w14:textId="77777777" w:rsidR="00454A29" w:rsidRDefault="00454A29"/>
        </w:tc>
        <w:tc>
          <w:tcPr>
            <w:tcW w:w="3345" w:type="dxa"/>
            <w:vMerge/>
          </w:tcPr>
          <w:p w14:paraId="719CF389" w14:textId="77777777" w:rsidR="00454A29" w:rsidRDefault="00454A29"/>
        </w:tc>
        <w:tc>
          <w:tcPr>
            <w:tcW w:w="1701" w:type="dxa"/>
            <w:vAlign w:val="center"/>
          </w:tcPr>
          <w:p w14:paraId="2D37C1DC" w14:textId="77777777" w:rsidR="00454A29" w:rsidRDefault="00454A29">
            <w:pPr>
              <w:pStyle w:val="ConsPlusNormal"/>
              <w:jc w:val="center"/>
            </w:pPr>
            <w:r>
              <w:t>2023</w:t>
            </w:r>
          </w:p>
        </w:tc>
        <w:tc>
          <w:tcPr>
            <w:tcW w:w="1417" w:type="dxa"/>
            <w:vMerge/>
          </w:tcPr>
          <w:p w14:paraId="4F14EEC3" w14:textId="77777777" w:rsidR="00454A29" w:rsidRDefault="00454A29"/>
        </w:tc>
        <w:tc>
          <w:tcPr>
            <w:tcW w:w="2204" w:type="dxa"/>
            <w:vMerge/>
          </w:tcPr>
          <w:p w14:paraId="71188082" w14:textId="77777777" w:rsidR="00454A29" w:rsidRDefault="00454A29"/>
        </w:tc>
        <w:tc>
          <w:tcPr>
            <w:tcW w:w="1417" w:type="dxa"/>
            <w:vMerge/>
          </w:tcPr>
          <w:p w14:paraId="5406FAFA" w14:textId="77777777" w:rsidR="00454A29" w:rsidRDefault="00454A29"/>
        </w:tc>
        <w:tc>
          <w:tcPr>
            <w:tcW w:w="2324" w:type="dxa"/>
            <w:vMerge/>
          </w:tcPr>
          <w:p w14:paraId="2AD73D7C" w14:textId="77777777" w:rsidR="00454A29" w:rsidRDefault="00454A29"/>
        </w:tc>
        <w:tc>
          <w:tcPr>
            <w:tcW w:w="1701" w:type="dxa"/>
            <w:vAlign w:val="center"/>
          </w:tcPr>
          <w:p w14:paraId="1E5E90C5" w14:textId="77777777" w:rsidR="00454A29" w:rsidRDefault="00454A29">
            <w:pPr>
              <w:pStyle w:val="ConsPlusNormal"/>
              <w:jc w:val="center"/>
            </w:pPr>
            <w:r>
              <w:t>217 256,25</w:t>
            </w:r>
          </w:p>
        </w:tc>
        <w:tc>
          <w:tcPr>
            <w:tcW w:w="1814" w:type="dxa"/>
            <w:vAlign w:val="center"/>
          </w:tcPr>
          <w:p w14:paraId="2CE49D6D" w14:textId="77777777" w:rsidR="00454A29" w:rsidRDefault="00454A29">
            <w:pPr>
              <w:pStyle w:val="ConsPlusNormal"/>
              <w:jc w:val="center"/>
            </w:pPr>
            <w:r>
              <w:t>1 077,59</w:t>
            </w:r>
          </w:p>
        </w:tc>
        <w:tc>
          <w:tcPr>
            <w:tcW w:w="1701" w:type="dxa"/>
            <w:vAlign w:val="center"/>
          </w:tcPr>
          <w:p w14:paraId="5978197D" w14:textId="77777777" w:rsidR="00454A29" w:rsidRDefault="00454A29">
            <w:pPr>
              <w:pStyle w:val="ConsPlusNormal"/>
              <w:jc w:val="center"/>
            </w:pPr>
            <w:r>
              <w:t>106 681,51</w:t>
            </w:r>
          </w:p>
        </w:tc>
        <w:tc>
          <w:tcPr>
            <w:tcW w:w="1701" w:type="dxa"/>
            <w:vAlign w:val="center"/>
          </w:tcPr>
          <w:p w14:paraId="6F76C7C5" w14:textId="77777777" w:rsidR="00454A29" w:rsidRDefault="00454A29">
            <w:pPr>
              <w:pStyle w:val="ConsPlusNormal"/>
            </w:pPr>
          </w:p>
        </w:tc>
        <w:tc>
          <w:tcPr>
            <w:tcW w:w="1814" w:type="dxa"/>
            <w:vAlign w:val="center"/>
          </w:tcPr>
          <w:p w14:paraId="3ADAB7F8" w14:textId="77777777" w:rsidR="00454A29" w:rsidRDefault="00454A29">
            <w:pPr>
              <w:pStyle w:val="ConsPlusNormal"/>
            </w:pPr>
          </w:p>
        </w:tc>
      </w:tr>
      <w:tr w:rsidR="00454A29" w14:paraId="14EBEDC9" w14:textId="77777777">
        <w:tc>
          <w:tcPr>
            <w:tcW w:w="567" w:type="dxa"/>
            <w:vMerge/>
          </w:tcPr>
          <w:p w14:paraId="1EB3FEBE" w14:textId="77777777" w:rsidR="00454A29" w:rsidRDefault="00454A29"/>
        </w:tc>
        <w:tc>
          <w:tcPr>
            <w:tcW w:w="3345" w:type="dxa"/>
            <w:vMerge/>
          </w:tcPr>
          <w:p w14:paraId="7A40847B" w14:textId="77777777" w:rsidR="00454A29" w:rsidRDefault="00454A29"/>
        </w:tc>
        <w:tc>
          <w:tcPr>
            <w:tcW w:w="1701" w:type="dxa"/>
            <w:vAlign w:val="center"/>
          </w:tcPr>
          <w:p w14:paraId="18274B23" w14:textId="77777777" w:rsidR="00454A29" w:rsidRDefault="00454A29">
            <w:pPr>
              <w:pStyle w:val="ConsPlusNormal"/>
              <w:jc w:val="center"/>
            </w:pPr>
            <w:r>
              <w:t>2024</w:t>
            </w:r>
          </w:p>
        </w:tc>
        <w:tc>
          <w:tcPr>
            <w:tcW w:w="1417" w:type="dxa"/>
            <w:vMerge/>
          </w:tcPr>
          <w:p w14:paraId="367A3949" w14:textId="77777777" w:rsidR="00454A29" w:rsidRDefault="00454A29"/>
        </w:tc>
        <w:tc>
          <w:tcPr>
            <w:tcW w:w="2204" w:type="dxa"/>
            <w:vMerge/>
          </w:tcPr>
          <w:p w14:paraId="09F46882" w14:textId="77777777" w:rsidR="00454A29" w:rsidRDefault="00454A29"/>
        </w:tc>
        <w:tc>
          <w:tcPr>
            <w:tcW w:w="1417" w:type="dxa"/>
            <w:vMerge/>
          </w:tcPr>
          <w:p w14:paraId="005A058B" w14:textId="77777777" w:rsidR="00454A29" w:rsidRDefault="00454A29"/>
        </w:tc>
        <w:tc>
          <w:tcPr>
            <w:tcW w:w="2324" w:type="dxa"/>
            <w:vMerge/>
          </w:tcPr>
          <w:p w14:paraId="18934F75" w14:textId="77777777" w:rsidR="00454A29" w:rsidRDefault="00454A29"/>
        </w:tc>
        <w:tc>
          <w:tcPr>
            <w:tcW w:w="1701" w:type="dxa"/>
            <w:vAlign w:val="center"/>
          </w:tcPr>
          <w:p w14:paraId="665C0A8D" w14:textId="77777777" w:rsidR="00454A29" w:rsidRDefault="00454A29">
            <w:pPr>
              <w:pStyle w:val="ConsPlusNormal"/>
              <w:jc w:val="center"/>
            </w:pPr>
            <w:r>
              <w:t>145 344,43</w:t>
            </w:r>
          </w:p>
        </w:tc>
        <w:tc>
          <w:tcPr>
            <w:tcW w:w="1814" w:type="dxa"/>
            <w:vAlign w:val="center"/>
          </w:tcPr>
          <w:p w14:paraId="740DC3A1" w14:textId="77777777" w:rsidR="00454A29" w:rsidRDefault="00454A29">
            <w:pPr>
              <w:pStyle w:val="ConsPlusNormal"/>
              <w:jc w:val="center"/>
            </w:pPr>
            <w:r>
              <w:t>1 453,44</w:t>
            </w:r>
          </w:p>
        </w:tc>
        <w:tc>
          <w:tcPr>
            <w:tcW w:w="1701" w:type="dxa"/>
            <w:vAlign w:val="center"/>
          </w:tcPr>
          <w:p w14:paraId="4F16E5EF" w14:textId="77777777" w:rsidR="00454A29" w:rsidRDefault="00454A29">
            <w:pPr>
              <w:pStyle w:val="ConsPlusNormal"/>
              <w:jc w:val="center"/>
            </w:pPr>
            <w:r>
              <w:t>143 890,99</w:t>
            </w:r>
          </w:p>
        </w:tc>
        <w:tc>
          <w:tcPr>
            <w:tcW w:w="1701" w:type="dxa"/>
            <w:vAlign w:val="center"/>
          </w:tcPr>
          <w:p w14:paraId="3C7FD1C6" w14:textId="77777777" w:rsidR="00454A29" w:rsidRDefault="00454A29">
            <w:pPr>
              <w:pStyle w:val="ConsPlusNormal"/>
            </w:pPr>
          </w:p>
        </w:tc>
        <w:tc>
          <w:tcPr>
            <w:tcW w:w="1814" w:type="dxa"/>
            <w:vAlign w:val="center"/>
          </w:tcPr>
          <w:p w14:paraId="0E9F6B81" w14:textId="77777777" w:rsidR="00454A29" w:rsidRDefault="00454A29">
            <w:pPr>
              <w:pStyle w:val="ConsPlusNormal"/>
            </w:pPr>
          </w:p>
        </w:tc>
      </w:tr>
      <w:tr w:rsidR="00454A29" w14:paraId="4E045879" w14:textId="77777777">
        <w:tc>
          <w:tcPr>
            <w:tcW w:w="567" w:type="dxa"/>
            <w:vMerge/>
          </w:tcPr>
          <w:p w14:paraId="3A0DFB28" w14:textId="77777777" w:rsidR="00454A29" w:rsidRDefault="00454A29"/>
        </w:tc>
        <w:tc>
          <w:tcPr>
            <w:tcW w:w="3345" w:type="dxa"/>
            <w:vMerge/>
          </w:tcPr>
          <w:p w14:paraId="4568FDC8" w14:textId="77777777" w:rsidR="00454A29" w:rsidRDefault="00454A29"/>
        </w:tc>
        <w:tc>
          <w:tcPr>
            <w:tcW w:w="1701" w:type="dxa"/>
            <w:vAlign w:val="center"/>
          </w:tcPr>
          <w:p w14:paraId="67DCA9BC" w14:textId="77777777" w:rsidR="00454A29" w:rsidRDefault="00454A29">
            <w:pPr>
              <w:pStyle w:val="ConsPlusNormal"/>
              <w:jc w:val="center"/>
            </w:pPr>
            <w:r>
              <w:t>2025</w:t>
            </w:r>
          </w:p>
        </w:tc>
        <w:tc>
          <w:tcPr>
            <w:tcW w:w="1417" w:type="dxa"/>
            <w:vMerge/>
          </w:tcPr>
          <w:p w14:paraId="17688776" w14:textId="77777777" w:rsidR="00454A29" w:rsidRDefault="00454A29"/>
        </w:tc>
        <w:tc>
          <w:tcPr>
            <w:tcW w:w="2204" w:type="dxa"/>
            <w:vMerge/>
          </w:tcPr>
          <w:p w14:paraId="20217E81" w14:textId="77777777" w:rsidR="00454A29" w:rsidRDefault="00454A29"/>
        </w:tc>
        <w:tc>
          <w:tcPr>
            <w:tcW w:w="1417" w:type="dxa"/>
            <w:vMerge/>
          </w:tcPr>
          <w:p w14:paraId="3FFEDD06" w14:textId="77777777" w:rsidR="00454A29" w:rsidRDefault="00454A29"/>
        </w:tc>
        <w:tc>
          <w:tcPr>
            <w:tcW w:w="2324" w:type="dxa"/>
            <w:vMerge/>
          </w:tcPr>
          <w:p w14:paraId="2F7217EE" w14:textId="77777777" w:rsidR="00454A29" w:rsidRDefault="00454A29"/>
        </w:tc>
        <w:tc>
          <w:tcPr>
            <w:tcW w:w="1701" w:type="dxa"/>
            <w:vAlign w:val="center"/>
          </w:tcPr>
          <w:p w14:paraId="470CDCC1" w14:textId="77777777" w:rsidR="00454A29" w:rsidRDefault="00454A29">
            <w:pPr>
              <w:pStyle w:val="ConsPlusNormal"/>
              <w:jc w:val="center"/>
            </w:pPr>
            <w:r>
              <w:t>274 829,16</w:t>
            </w:r>
          </w:p>
        </w:tc>
        <w:tc>
          <w:tcPr>
            <w:tcW w:w="1814" w:type="dxa"/>
            <w:vAlign w:val="center"/>
          </w:tcPr>
          <w:p w14:paraId="537DA30A" w14:textId="77777777" w:rsidR="00454A29" w:rsidRDefault="00454A29">
            <w:pPr>
              <w:pStyle w:val="ConsPlusNormal"/>
              <w:jc w:val="center"/>
            </w:pPr>
            <w:r>
              <w:t>2 748,29</w:t>
            </w:r>
          </w:p>
        </w:tc>
        <w:tc>
          <w:tcPr>
            <w:tcW w:w="1701" w:type="dxa"/>
            <w:vAlign w:val="center"/>
          </w:tcPr>
          <w:p w14:paraId="15E4A90D" w14:textId="77777777" w:rsidR="00454A29" w:rsidRDefault="00454A29">
            <w:pPr>
              <w:pStyle w:val="ConsPlusNormal"/>
              <w:jc w:val="center"/>
            </w:pPr>
            <w:r>
              <w:t>272 080,87</w:t>
            </w:r>
          </w:p>
        </w:tc>
        <w:tc>
          <w:tcPr>
            <w:tcW w:w="1701" w:type="dxa"/>
            <w:vAlign w:val="center"/>
          </w:tcPr>
          <w:p w14:paraId="00361937" w14:textId="77777777" w:rsidR="00454A29" w:rsidRDefault="00454A29">
            <w:pPr>
              <w:pStyle w:val="ConsPlusNormal"/>
            </w:pPr>
          </w:p>
        </w:tc>
        <w:tc>
          <w:tcPr>
            <w:tcW w:w="1814" w:type="dxa"/>
            <w:vAlign w:val="center"/>
          </w:tcPr>
          <w:p w14:paraId="3671FD04" w14:textId="77777777" w:rsidR="00454A29" w:rsidRDefault="00454A29">
            <w:pPr>
              <w:pStyle w:val="ConsPlusNormal"/>
            </w:pPr>
          </w:p>
        </w:tc>
      </w:tr>
      <w:tr w:rsidR="00454A29" w14:paraId="2E4F4865" w14:textId="77777777">
        <w:tc>
          <w:tcPr>
            <w:tcW w:w="567" w:type="dxa"/>
            <w:vMerge/>
          </w:tcPr>
          <w:p w14:paraId="17C2EFE7" w14:textId="77777777" w:rsidR="00454A29" w:rsidRDefault="00454A29"/>
        </w:tc>
        <w:tc>
          <w:tcPr>
            <w:tcW w:w="3345" w:type="dxa"/>
            <w:vMerge/>
          </w:tcPr>
          <w:p w14:paraId="2C7A3182" w14:textId="77777777" w:rsidR="00454A29" w:rsidRDefault="00454A29"/>
        </w:tc>
        <w:tc>
          <w:tcPr>
            <w:tcW w:w="1701" w:type="dxa"/>
            <w:vAlign w:val="center"/>
          </w:tcPr>
          <w:p w14:paraId="66CA11BB" w14:textId="77777777" w:rsidR="00454A29" w:rsidRDefault="00454A29">
            <w:pPr>
              <w:pStyle w:val="ConsPlusNormal"/>
              <w:jc w:val="center"/>
            </w:pPr>
            <w:r>
              <w:t>2026</w:t>
            </w:r>
          </w:p>
        </w:tc>
        <w:tc>
          <w:tcPr>
            <w:tcW w:w="1417" w:type="dxa"/>
            <w:vMerge/>
          </w:tcPr>
          <w:p w14:paraId="7117140A" w14:textId="77777777" w:rsidR="00454A29" w:rsidRDefault="00454A29"/>
        </w:tc>
        <w:tc>
          <w:tcPr>
            <w:tcW w:w="2204" w:type="dxa"/>
            <w:vMerge/>
          </w:tcPr>
          <w:p w14:paraId="1D68AD0F" w14:textId="77777777" w:rsidR="00454A29" w:rsidRDefault="00454A29"/>
        </w:tc>
        <w:tc>
          <w:tcPr>
            <w:tcW w:w="1417" w:type="dxa"/>
            <w:vMerge/>
          </w:tcPr>
          <w:p w14:paraId="53C3E1CE" w14:textId="77777777" w:rsidR="00454A29" w:rsidRDefault="00454A29"/>
        </w:tc>
        <w:tc>
          <w:tcPr>
            <w:tcW w:w="2324" w:type="dxa"/>
            <w:vMerge/>
          </w:tcPr>
          <w:p w14:paraId="1CBA6F02" w14:textId="77777777" w:rsidR="00454A29" w:rsidRDefault="00454A29"/>
        </w:tc>
        <w:tc>
          <w:tcPr>
            <w:tcW w:w="1701" w:type="dxa"/>
            <w:vAlign w:val="center"/>
          </w:tcPr>
          <w:p w14:paraId="37416B08" w14:textId="77777777" w:rsidR="00454A29" w:rsidRDefault="00454A29">
            <w:pPr>
              <w:pStyle w:val="ConsPlusNormal"/>
            </w:pPr>
          </w:p>
        </w:tc>
        <w:tc>
          <w:tcPr>
            <w:tcW w:w="1814" w:type="dxa"/>
            <w:vAlign w:val="center"/>
          </w:tcPr>
          <w:p w14:paraId="63B3DA6F" w14:textId="77777777" w:rsidR="00454A29" w:rsidRDefault="00454A29">
            <w:pPr>
              <w:pStyle w:val="ConsPlusNormal"/>
            </w:pPr>
          </w:p>
        </w:tc>
        <w:tc>
          <w:tcPr>
            <w:tcW w:w="1701" w:type="dxa"/>
            <w:vAlign w:val="center"/>
          </w:tcPr>
          <w:p w14:paraId="05CFCDF0" w14:textId="77777777" w:rsidR="00454A29" w:rsidRDefault="00454A29">
            <w:pPr>
              <w:pStyle w:val="ConsPlusNormal"/>
            </w:pPr>
          </w:p>
        </w:tc>
        <w:tc>
          <w:tcPr>
            <w:tcW w:w="1701" w:type="dxa"/>
            <w:vAlign w:val="center"/>
          </w:tcPr>
          <w:p w14:paraId="101C1C19" w14:textId="77777777" w:rsidR="00454A29" w:rsidRDefault="00454A29">
            <w:pPr>
              <w:pStyle w:val="ConsPlusNormal"/>
            </w:pPr>
          </w:p>
        </w:tc>
        <w:tc>
          <w:tcPr>
            <w:tcW w:w="1814" w:type="dxa"/>
            <w:vAlign w:val="center"/>
          </w:tcPr>
          <w:p w14:paraId="216EAF7E" w14:textId="77777777" w:rsidR="00454A29" w:rsidRDefault="00454A29">
            <w:pPr>
              <w:pStyle w:val="ConsPlusNormal"/>
            </w:pPr>
          </w:p>
        </w:tc>
      </w:tr>
      <w:tr w:rsidR="00454A29" w14:paraId="3671DA38" w14:textId="77777777">
        <w:tc>
          <w:tcPr>
            <w:tcW w:w="21706" w:type="dxa"/>
            <w:gridSpan w:val="12"/>
            <w:vAlign w:val="center"/>
          </w:tcPr>
          <w:p w14:paraId="32991971" w14:textId="77777777" w:rsidR="00454A29" w:rsidRDefault="00454A29">
            <w:pPr>
              <w:pStyle w:val="ConsPlusNormal"/>
              <w:jc w:val="center"/>
              <w:outlineLvl w:val="2"/>
            </w:pPr>
            <w:r>
              <w:t>МО "Ленский район"</w:t>
            </w:r>
          </w:p>
        </w:tc>
      </w:tr>
      <w:tr w:rsidR="00454A29" w14:paraId="415E1F51" w14:textId="77777777">
        <w:tc>
          <w:tcPr>
            <w:tcW w:w="567" w:type="dxa"/>
            <w:vMerge w:val="restart"/>
            <w:vAlign w:val="center"/>
          </w:tcPr>
          <w:p w14:paraId="48CD6BD6" w14:textId="77777777" w:rsidR="00454A29" w:rsidRDefault="00454A29">
            <w:pPr>
              <w:pStyle w:val="ConsPlusNormal"/>
              <w:jc w:val="center"/>
            </w:pPr>
            <w:r>
              <w:t>197</w:t>
            </w:r>
          </w:p>
        </w:tc>
        <w:tc>
          <w:tcPr>
            <w:tcW w:w="3345" w:type="dxa"/>
            <w:vMerge w:val="restart"/>
            <w:vAlign w:val="center"/>
          </w:tcPr>
          <w:p w14:paraId="0BAED440" w14:textId="77777777" w:rsidR="00454A29" w:rsidRDefault="00454A29">
            <w:pPr>
              <w:pStyle w:val="ConsPlusNormal"/>
              <w:jc w:val="center"/>
            </w:pPr>
            <w:r>
              <w:t>Школа-сад на 50/15 мест с интернатом на 15 мест в с. Толон</w:t>
            </w:r>
          </w:p>
        </w:tc>
        <w:tc>
          <w:tcPr>
            <w:tcW w:w="1701" w:type="dxa"/>
            <w:vAlign w:val="center"/>
          </w:tcPr>
          <w:p w14:paraId="4D11571E" w14:textId="77777777" w:rsidR="00454A29" w:rsidRDefault="00454A29">
            <w:pPr>
              <w:pStyle w:val="ConsPlusNormal"/>
              <w:jc w:val="center"/>
            </w:pPr>
            <w:r>
              <w:t>2020 - 2026 годы - всего</w:t>
            </w:r>
          </w:p>
        </w:tc>
        <w:tc>
          <w:tcPr>
            <w:tcW w:w="1417" w:type="dxa"/>
            <w:vMerge w:val="restart"/>
            <w:vAlign w:val="center"/>
          </w:tcPr>
          <w:p w14:paraId="2D47F8C2" w14:textId="77777777" w:rsidR="00454A29" w:rsidRDefault="00454A29">
            <w:pPr>
              <w:pStyle w:val="ConsPlusNormal"/>
              <w:jc w:val="center"/>
            </w:pPr>
            <w:r>
              <w:t>90 000,00</w:t>
            </w:r>
          </w:p>
        </w:tc>
        <w:tc>
          <w:tcPr>
            <w:tcW w:w="2204" w:type="dxa"/>
            <w:vMerge w:val="restart"/>
            <w:vAlign w:val="center"/>
          </w:tcPr>
          <w:p w14:paraId="3D1F02AB" w14:textId="77777777" w:rsidR="00454A29" w:rsidRDefault="00454A29">
            <w:pPr>
              <w:pStyle w:val="ConsPlusNormal"/>
              <w:jc w:val="center"/>
            </w:pPr>
            <w:r>
              <w:t>имеется</w:t>
            </w:r>
          </w:p>
        </w:tc>
        <w:tc>
          <w:tcPr>
            <w:tcW w:w="1417" w:type="dxa"/>
            <w:vMerge w:val="restart"/>
            <w:vAlign w:val="center"/>
          </w:tcPr>
          <w:p w14:paraId="69B62BF1" w14:textId="77777777" w:rsidR="00454A29" w:rsidRDefault="00454A29">
            <w:pPr>
              <w:pStyle w:val="ConsPlusNormal"/>
              <w:jc w:val="center"/>
            </w:pPr>
            <w:r>
              <w:t>50</w:t>
            </w:r>
          </w:p>
        </w:tc>
        <w:tc>
          <w:tcPr>
            <w:tcW w:w="2324" w:type="dxa"/>
            <w:vMerge w:val="restart"/>
            <w:vAlign w:val="center"/>
          </w:tcPr>
          <w:p w14:paraId="0CC0A3E1" w14:textId="77777777" w:rsidR="00454A29" w:rsidRDefault="00454A29">
            <w:pPr>
              <w:pStyle w:val="ConsPlusNormal"/>
              <w:jc w:val="center"/>
            </w:pPr>
            <w:r>
              <w:t>Минстрой РС(Я), МО "Ленский район"</w:t>
            </w:r>
          </w:p>
        </w:tc>
        <w:tc>
          <w:tcPr>
            <w:tcW w:w="1701" w:type="dxa"/>
            <w:vAlign w:val="center"/>
          </w:tcPr>
          <w:p w14:paraId="555BB4B8" w14:textId="77777777" w:rsidR="00454A29" w:rsidRDefault="00454A29">
            <w:pPr>
              <w:pStyle w:val="ConsPlusNormal"/>
              <w:jc w:val="center"/>
            </w:pPr>
            <w:r>
              <w:t>90 000,00</w:t>
            </w:r>
          </w:p>
        </w:tc>
        <w:tc>
          <w:tcPr>
            <w:tcW w:w="1814" w:type="dxa"/>
            <w:vAlign w:val="center"/>
          </w:tcPr>
          <w:p w14:paraId="3A30E9B6" w14:textId="77777777" w:rsidR="00454A29" w:rsidRDefault="00454A29">
            <w:pPr>
              <w:pStyle w:val="ConsPlusNormal"/>
              <w:jc w:val="center"/>
            </w:pPr>
            <w:r>
              <w:t>90 000,00</w:t>
            </w:r>
          </w:p>
        </w:tc>
        <w:tc>
          <w:tcPr>
            <w:tcW w:w="1701" w:type="dxa"/>
            <w:vAlign w:val="center"/>
          </w:tcPr>
          <w:p w14:paraId="0182B00E" w14:textId="77777777" w:rsidR="00454A29" w:rsidRDefault="00454A29">
            <w:pPr>
              <w:pStyle w:val="ConsPlusNormal"/>
              <w:jc w:val="center"/>
            </w:pPr>
            <w:r>
              <w:t>-</w:t>
            </w:r>
          </w:p>
        </w:tc>
        <w:tc>
          <w:tcPr>
            <w:tcW w:w="1701" w:type="dxa"/>
            <w:vAlign w:val="center"/>
          </w:tcPr>
          <w:p w14:paraId="0DA8C0C3" w14:textId="77777777" w:rsidR="00454A29" w:rsidRDefault="00454A29">
            <w:pPr>
              <w:pStyle w:val="ConsPlusNormal"/>
              <w:jc w:val="center"/>
            </w:pPr>
            <w:r>
              <w:t>-</w:t>
            </w:r>
          </w:p>
        </w:tc>
        <w:tc>
          <w:tcPr>
            <w:tcW w:w="1814" w:type="dxa"/>
            <w:vAlign w:val="center"/>
          </w:tcPr>
          <w:p w14:paraId="1DF7AABF" w14:textId="77777777" w:rsidR="00454A29" w:rsidRDefault="00454A29">
            <w:pPr>
              <w:pStyle w:val="ConsPlusNormal"/>
              <w:jc w:val="center"/>
            </w:pPr>
            <w:r>
              <w:t>-</w:t>
            </w:r>
          </w:p>
        </w:tc>
      </w:tr>
      <w:tr w:rsidR="00454A29" w14:paraId="1F9155F7" w14:textId="77777777">
        <w:tc>
          <w:tcPr>
            <w:tcW w:w="567" w:type="dxa"/>
            <w:vMerge/>
          </w:tcPr>
          <w:p w14:paraId="52E431EA" w14:textId="77777777" w:rsidR="00454A29" w:rsidRDefault="00454A29"/>
        </w:tc>
        <w:tc>
          <w:tcPr>
            <w:tcW w:w="3345" w:type="dxa"/>
            <w:vMerge/>
          </w:tcPr>
          <w:p w14:paraId="175BCB1B" w14:textId="77777777" w:rsidR="00454A29" w:rsidRDefault="00454A29"/>
        </w:tc>
        <w:tc>
          <w:tcPr>
            <w:tcW w:w="1701" w:type="dxa"/>
            <w:vAlign w:val="center"/>
          </w:tcPr>
          <w:p w14:paraId="378B9045" w14:textId="77777777" w:rsidR="00454A29" w:rsidRDefault="00454A29">
            <w:pPr>
              <w:pStyle w:val="ConsPlusNormal"/>
              <w:jc w:val="center"/>
            </w:pPr>
            <w:r>
              <w:t>2020</w:t>
            </w:r>
          </w:p>
        </w:tc>
        <w:tc>
          <w:tcPr>
            <w:tcW w:w="1417" w:type="dxa"/>
            <w:vMerge/>
          </w:tcPr>
          <w:p w14:paraId="002A6928" w14:textId="77777777" w:rsidR="00454A29" w:rsidRDefault="00454A29"/>
        </w:tc>
        <w:tc>
          <w:tcPr>
            <w:tcW w:w="2204" w:type="dxa"/>
            <w:vMerge/>
          </w:tcPr>
          <w:p w14:paraId="7610DEF2" w14:textId="77777777" w:rsidR="00454A29" w:rsidRDefault="00454A29"/>
        </w:tc>
        <w:tc>
          <w:tcPr>
            <w:tcW w:w="1417" w:type="dxa"/>
            <w:vMerge/>
          </w:tcPr>
          <w:p w14:paraId="0045EBB2" w14:textId="77777777" w:rsidR="00454A29" w:rsidRDefault="00454A29"/>
        </w:tc>
        <w:tc>
          <w:tcPr>
            <w:tcW w:w="2324" w:type="dxa"/>
            <w:vMerge/>
          </w:tcPr>
          <w:p w14:paraId="156FBE3E" w14:textId="77777777" w:rsidR="00454A29" w:rsidRDefault="00454A29"/>
        </w:tc>
        <w:tc>
          <w:tcPr>
            <w:tcW w:w="1701" w:type="dxa"/>
            <w:vAlign w:val="center"/>
          </w:tcPr>
          <w:p w14:paraId="7AE21B4D" w14:textId="77777777" w:rsidR="00454A29" w:rsidRDefault="00454A29">
            <w:pPr>
              <w:pStyle w:val="ConsPlusNormal"/>
              <w:jc w:val="center"/>
            </w:pPr>
            <w:r>
              <w:t>90 000,00</w:t>
            </w:r>
          </w:p>
        </w:tc>
        <w:tc>
          <w:tcPr>
            <w:tcW w:w="1814" w:type="dxa"/>
            <w:vAlign w:val="center"/>
          </w:tcPr>
          <w:p w14:paraId="4F3E4BD2" w14:textId="77777777" w:rsidR="00454A29" w:rsidRDefault="00454A29">
            <w:pPr>
              <w:pStyle w:val="ConsPlusNormal"/>
              <w:jc w:val="center"/>
            </w:pPr>
            <w:r>
              <w:t>90 000,00</w:t>
            </w:r>
          </w:p>
        </w:tc>
        <w:tc>
          <w:tcPr>
            <w:tcW w:w="1701" w:type="dxa"/>
            <w:vAlign w:val="center"/>
          </w:tcPr>
          <w:p w14:paraId="23EF8418" w14:textId="77777777" w:rsidR="00454A29" w:rsidRDefault="00454A29">
            <w:pPr>
              <w:pStyle w:val="ConsPlusNormal"/>
            </w:pPr>
          </w:p>
        </w:tc>
        <w:tc>
          <w:tcPr>
            <w:tcW w:w="1701" w:type="dxa"/>
            <w:vAlign w:val="center"/>
          </w:tcPr>
          <w:p w14:paraId="36AB472A" w14:textId="77777777" w:rsidR="00454A29" w:rsidRDefault="00454A29">
            <w:pPr>
              <w:pStyle w:val="ConsPlusNormal"/>
            </w:pPr>
          </w:p>
        </w:tc>
        <w:tc>
          <w:tcPr>
            <w:tcW w:w="1814" w:type="dxa"/>
            <w:vAlign w:val="center"/>
          </w:tcPr>
          <w:p w14:paraId="63D5E3CF" w14:textId="77777777" w:rsidR="00454A29" w:rsidRDefault="00454A29">
            <w:pPr>
              <w:pStyle w:val="ConsPlusNormal"/>
            </w:pPr>
          </w:p>
        </w:tc>
      </w:tr>
      <w:tr w:rsidR="00454A29" w14:paraId="7A91A32B" w14:textId="77777777">
        <w:tc>
          <w:tcPr>
            <w:tcW w:w="567" w:type="dxa"/>
            <w:vMerge/>
          </w:tcPr>
          <w:p w14:paraId="259BAF70" w14:textId="77777777" w:rsidR="00454A29" w:rsidRDefault="00454A29"/>
        </w:tc>
        <w:tc>
          <w:tcPr>
            <w:tcW w:w="3345" w:type="dxa"/>
            <w:vMerge/>
          </w:tcPr>
          <w:p w14:paraId="60A612D5" w14:textId="77777777" w:rsidR="00454A29" w:rsidRDefault="00454A29"/>
        </w:tc>
        <w:tc>
          <w:tcPr>
            <w:tcW w:w="1701" w:type="dxa"/>
            <w:vAlign w:val="center"/>
          </w:tcPr>
          <w:p w14:paraId="5E2D6997" w14:textId="77777777" w:rsidR="00454A29" w:rsidRDefault="00454A29">
            <w:pPr>
              <w:pStyle w:val="ConsPlusNormal"/>
              <w:jc w:val="center"/>
            </w:pPr>
            <w:r>
              <w:t>2021</w:t>
            </w:r>
          </w:p>
        </w:tc>
        <w:tc>
          <w:tcPr>
            <w:tcW w:w="1417" w:type="dxa"/>
            <w:vMerge/>
          </w:tcPr>
          <w:p w14:paraId="0F38BB7F" w14:textId="77777777" w:rsidR="00454A29" w:rsidRDefault="00454A29"/>
        </w:tc>
        <w:tc>
          <w:tcPr>
            <w:tcW w:w="2204" w:type="dxa"/>
            <w:vMerge/>
          </w:tcPr>
          <w:p w14:paraId="0E7DB15C" w14:textId="77777777" w:rsidR="00454A29" w:rsidRDefault="00454A29"/>
        </w:tc>
        <w:tc>
          <w:tcPr>
            <w:tcW w:w="1417" w:type="dxa"/>
            <w:vMerge/>
          </w:tcPr>
          <w:p w14:paraId="0709CF12" w14:textId="77777777" w:rsidR="00454A29" w:rsidRDefault="00454A29"/>
        </w:tc>
        <w:tc>
          <w:tcPr>
            <w:tcW w:w="2324" w:type="dxa"/>
            <w:vMerge/>
          </w:tcPr>
          <w:p w14:paraId="1E59A54E" w14:textId="77777777" w:rsidR="00454A29" w:rsidRDefault="00454A29"/>
        </w:tc>
        <w:tc>
          <w:tcPr>
            <w:tcW w:w="1701" w:type="dxa"/>
            <w:vAlign w:val="center"/>
          </w:tcPr>
          <w:p w14:paraId="70276AEA" w14:textId="77777777" w:rsidR="00454A29" w:rsidRDefault="00454A29">
            <w:pPr>
              <w:pStyle w:val="ConsPlusNormal"/>
              <w:jc w:val="center"/>
            </w:pPr>
            <w:r>
              <w:t>-</w:t>
            </w:r>
          </w:p>
        </w:tc>
        <w:tc>
          <w:tcPr>
            <w:tcW w:w="1814" w:type="dxa"/>
            <w:vAlign w:val="center"/>
          </w:tcPr>
          <w:p w14:paraId="333D7B16" w14:textId="77777777" w:rsidR="00454A29" w:rsidRDefault="00454A29">
            <w:pPr>
              <w:pStyle w:val="ConsPlusNormal"/>
            </w:pPr>
          </w:p>
        </w:tc>
        <w:tc>
          <w:tcPr>
            <w:tcW w:w="1701" w:type="dxa"/>
            <w:vAlign w:val="center"/>
          </w:tcPr>
          <w:p w14:paraId="58A7BA01" w14:textId="77777777" w:rsidR="00454A29" w:rsidRDefault="00454A29">
            <w:pPr>
              <w:pStyle w:val="ConsPlusNormal"/>
            </w:pPr>
          </w:p>
        </w:tc>
        <w:tc>
          <w:tcPr>
            <w:tcW w:w="1701" w:type="dxa"/>
            <w:vAlign w:val="center"/>
          </w:tcPr>
          <w:p w14:paraId="3597AF5A" w14:textId="77777777" w:rsidR="00454A29" w:rsidRDefault="00454A29">
            <w:pPr>
              <w:pStyle w:val="ConsPlusNormal"/>
            </w:pPr>
          </w:p>
        </w:tc>
        <w:tc>
          <w:tcPr>
            <w:tcW w:w="1814" w:type="dxa"/>
            <w:vAlign w:val="center"/>
          </w:tcPr>
          <w:p w14:paraId="172ED442" w14:textId="77777777" w:rsidR="00454A29" w:rsidRDefault="00454A29">
            <w:pPr>
              <w:pStyle w:val="ConsPlusNormal"/>
            </w:pPr>
          </w:p>
        </w:tc>
      </w:tr>
      <w:tr w:rsidR="00454A29" w14:paraId="78F2FAFC" w14:textId="77777777">
        <w:tc>
          <w:tcPr>
            <w:tcW w:w="567" w:type="dxa"/>
            <w:vMerge/>
          </w:tcPr>
          <w:p w14:paraId="402D957E" w14:textId="77777777" w:rsidR="00454A29" w:rsidRDefault="00454A29"/>
        </w:tc>
        <w:tc>
          <w:tcPr>
            <w:tcW w:w="3345" w:type="dxa"/>
            <w:vMerge/>
          </w:tcPr>
          <w:p w14:paraId="2FCCD9C4" w14:textId="77777777" w:rsidR="00454A29" w:rsidRDefault="00454A29"/>
        </w:tc>
        <w:tc>
          <w:tcPr>
            <w:tcW w:w="1701" w:type="dxa"/>
            <w:vAlign w:val="center"/>
          </w:tcPr>
          <w:p w14:paraId="60CB099F" w14:textId="77777777" w:rsidR="00454A29" w:rsidRDefault="00454A29">
            <w:pPr>
              <w:pStyle w:val="ConsPlusNormal"/>
              <w:jc w:val="center"/>
            </w:pPr>
            <w:r>
              <w:t>2022</w:t>
            </w:r>
          </w:p>
        </w:tc>
        <w:tc>
          <w:tcPr>
            <w:tcW w:w="1417" w:type="dxa"/>
            <w:vMerge/>
          </w:tcPr>
          <w:p w14:paraId="683CF54C" w14:textId="77777777" w:rsidR="00454A29" w:rsidRDefault="00454A29"/>
        </w:tc>
        <w:tc>
          <w:tcPr>
            <w:tcW w:w="2204" w:type="dxa"/>
            <w:vMerge/>
          </w:tcPr>
          <w:p w14:paraId="059B4AF7" w14:textId="77777777" w:rsidR="00454A29" w:rsidRDefault="00454A29"/>
        </w:tc>
        <w:tc>
          <w:tcPr>
            <w:tcW w:w="1417" w:type="dxa"/>
            <w:vMerge/>
          </w:tcPr>
          <w:p w14:paraId="31979DDA" w14:textId="77777777" w:rsidR="00454A29" w:rsidRDefault="00454A29"/>
        </w:tc>
        <w:tc>
          <w:tcPr>
            <w:tcW w:w="2324" w:type="dxa"/>
            <w:vMerge/>
          </w:tcPr>
          <w:p w14:paraId="208F8FE9" w14:textId="77777777" w:rsidR="00454A29" w:rsidRDefault="00454A29"/>
        </w:tc>
        <w:tc>
          <w:tcPr>
            <w:tcW w:w="1701" w:type="dxa"/>
            <w:vAlign w:val="center"/>
          </w:tcPr>
          <w:p w14:paraId="3E909DB5" w14:textId="77777777" w:rsidR="00454A29" w:rsidRDefault="00454A29">
            <w:pPr>
              <w:pStyle w:val="ConsPlusNormal"/>
              <w:jc w:val="center"/>
            </w:pPr>
            <w:r>
              <w:t>-</w:t>
            </w:r>
          </w:p>
        </w:tc>
        <w:tc>
          <w:tcPr>
            <w:tcW w:w="1814" w:type="dxa"/>
            <w:vAlign w:val="center"/>
          </w:tcPr>
          <w:p w14:paraId="4CFF0E35" w14:textId="77777777" w:rsidR="00454A29" w:rsidRDefault="00454A29">
            <w:pPr>
              <w:pStyle w:val="ConsPlusNormal"/>
              <w:jc w:val="center"/>
            </w:pPr>
            <w:r>
              <w:t>-</w:t>
            </w:r>
          </w:p>
        </w:tc>
        <w:tc>
          <w:tcPr>
            <w:tcW w:w="1701" w:type="dxa"/>
            <w:vAlign w:val="center"/>
          </w:tcPr>
          <w:p w14:paraId="6FD0DED8" w14:textId="77777777" w:rsidR="00454A29" w:rsidRDefault="00454A29">
            <w:pPr>
              <w:pStyle w:val="ConsPlusNormal"/>
            </w:pPr>
          </w:p>
        </w:tc>
        <w:tc>
          <w:tcPr>
            <w:tcW w:w="1701" w:type="dxa"/>
            <w:vAlign w:val="center"/>
          </w:tcPr>
          <w:p w14:paraId="3B01EB45" w14:textId="77777777" w:rsidR="00454A29" w:rsidRDefault="00454A29">
            <w:pPr>
              <w:pStyle w:val="ConsPlusNormal"/>
            </w:pPr>
          </w:p>
        </w:tc>
        <w:tc>
          <w:tcPr>
            <w:tcW w:w="1814" w:type="dxa"/>
            <w:vAlign w:val="center"/>
          </w:tcPr>
          <w:p w14:paraId="53AB97FF" w14:textId="77777777" w:rsidR="00454A29" w:rsidRDefault="00454A29">
            <w:pPr>
              <w:pStyle w:val="ConsPlusNormal"/>
            </w:pPr>
          </w:p>
        </w:tc>
      </w:tr>
      <w:tr w:rsidR="00454A29" w14:paraId="6A4E17F9" w14:textId="77777777">
        <w:tc>
          <w:tcPr>
            <w:tcW w:w="567" w:type="dxa"/>
            <w:vMerge/>
          </w:tcPr>
          <w:p w14:paraId="1C937E39" w14:textId="77777777" w:rsidR="00454A29" w:rsidRDefault="00454A29"/>
        </w:tc>
        <w:tc>
          <w:tcPr>
            <w:tcW w:w="3345" w:type="dxa"/>
            <w:vMerge/>
          </w:tcPr>
          <w:p w14:paraId="615E211A" w14:textId="77777777" w:rsidR="00454A29" w:rsidRDefault="00454A29"/>
        </w:tc>
        <w:tc>
          <w:tcPr>
            <w:tcW w:w="1701" w:type="dxa"/>
            <w:vAlign w:val="center"/>
          </w:tcPr>
          <w:p w14:paraId="7328DED3" w14:textId="77777777" w:rsidR="00454A29" w:rsidRDefault="00454A29">
            <w:pPr>
              <w:pStyle w:val="ConsPlusNormal"/>
              <w:jc w:val="center"/>
            </w:pPr>
            <w:r>
              <w:t>2023</w:t>
            </w:r>
          </w:p>
        </w:tc>
        <w:tc>
          <w:tcPr>
            <w:tcW w:w="1417" w:type="dxa"/>
            <w:vMerge/>
          </w:tcPr>
          <w:p w14:paraId="01F93294" w14:textId="77777777" w:rsidR="00454A29" w:rsidRDefault="00454A29"/>
        </w:tc>
        <w:tc>
          <w:tcPr>
            <w:tcW w:w="2204" w:type="dxa"/>
            <w:vMerge/>
          </w:tcPr>
          <w:p w14:paraId="5015F6DC" w14:textId="77777777" w:rsidR="00454A29" w:rsidRDefault="00454A29"/>
        </w:tc>
        <w:tc>
          <w:tcPr>
            <w:tcW w:w="1417" w:type="dxa"/>
            <w:vMerge/>
          </w:tcPr>
          <w:p w14:paraId="75AC3E5F" w14:textId="77777777" w:rsidR="00454A29" w:rsidRDefault="00454A29"/>
        </w:tc>
        <w:tc>
          <w:tcPr>
            <w:tcW w:w="2324" w:type="dxa"/>
            <w:vMerge/>
          </w:tcPr>
          <w:p w14:paraId="6BE1BB4B" w14:textId="77777777" w:rsidR="00454A29" w:rsidRDefault="00454A29"/>
        </w:tc>
        <w:tc>
          <w:tcPr>
            <w:tcW w:w="1701" w:type="dxa"/>
            <w:vAlign w:val="center"/>
          </w:tcPr>
          <w:p w14:paraId="4DDB24F4" w14:textId="77777777" w:rsidR="00454A29" w:rsidRDefault="00454A29">
            <w:pPr>
              <w:pStyle w:val="ConsPlusNormal"/>
            </w:pPr>
          </w:p>
        </w:tc>
        <w:tc>
          <w:tcPr>
            <w:tcW w:w="1814" w:type="dxa"/>
            <w:vAlign w:val="center"/>
          </w:tcPr>
          <w:p w14:paraId="6B259674" w14:textId="77777777" w:rsidR="00454A29" w:rsidRDefault="00454A29">
            <w:pPr>
              <w:pStyle w:val="ConsPlusNormal"/>
            </w:pPr>
          </w:p>
        </w:tc>
        <w:tc>
          <w:tcPr>
            <w:tcW w:w="1701" w:type="dxa"/>
            <w:vAlign w:val="center"/>
          </w:tcPr>
          <w:p w14:paraId="1C09DCF9" w14:textId="77777777" w:rsidR="00454A29" w:rsidRDefault="00454A29">
            <w:pPr>
              <w:pStyle w:val="ConsPlusNormal"/>
            </w:pPr>
          </w:p>
        </w:tc>
        <w:tc>
          <w:tcPr>
            <w:tcW w:w="1701" w:type="dxa"/>
            <w:vAlign w:val="center"/>
          </w:tcPr>
          <w:p w14:paraId="416F079C" w14:textId="77777777" w:rsidR="00454A29" w:rsidRDefault="00454A29">
            <w:pPr>
              <w:pStyle w:val="ConsPlusNormal"/>
            </w:pPr>
          </w:p>
        </w:tc>
        <w:tc>
          <w:tcPr>
            <w:tcW w:w="1814" w:type="dxa"/>
            <w:vAlign w:val="center"/>
          </w:tcPr>
          <w:p w14:paraId="5B83CCA1" w14:textId="77777777" w:rsidR="00454A29" w:rsidRDefault="00454A29">
            <w:pPr>
              <w:pStyle w:val="ConsPlusNormal"/>
            </w:pPr>
          </w:p>
        </w:tc>
      </w:tr>
      <w:tr w:rsidR="00454A29" w14:paraId="4C2B0B3E" w14:textId="77777777">
        <w:tc>
          <w:tcPr>
            <w:tcW w:w="567" w:type="dxa"/>
            <w:vMerge/>
          </w:tcPr>
          <w:p w14:paraId="50FAA357" w14:textId="77777777" w:rsidR="00454A29" w:rsidRDefault="00454A29"/>
        </w:tc>
        <w:tc>
          <w:tcPr>
            <w:tcW w:w="3345" w:type="dxa"/>
            <w:vMerge/>
          </w:tcPr>
          <w:p w14:paraId="3A59326C" w14:textId="77777777" w:rsidR="00454A29" w:rsidRDefault="00454A29"/>
        </w:tc>
        <w:tc>
          <w:tcPr>
            <w:tcW w:w="1701" w:type="dxa"/>
            <w:vAlign w:val="center"/>
          </w:tcPr>
          <w:p w14:paraId="0AF02FB5" w14:textId="77777777" w:rsidR="00454A29" w:rsidRDefault="00454A29">
            <w:pPr>
              <w:pStyle w:val="ConsPlusNormal"/>
              <w:jc w:val="center"/>
            </w:pPr>
            <w:r>
              <w:t>2024</w:t>
            </w:r>
          </w:p>
        </w:tc>
        <w:tc>
          <w:tcPr>
            <w:tcW w:w="1417" w:type="dxa"/>
            <w:vMerge/>
          </w:tcPr>
          <w:p w14:paraId="3B62D765" w14:textId="77777777" w:rsidR="00454A29" w:rsidRDefault="00454A29"/>
        </w:tc>
        <w:tc>
          <w:tcPr>
            <w:tcW w:w="2204" w:type="dxa"/>
            <w:vMerge/>
          </w:tcPr>
          <w:p w14:paraId="59EE10B6" w14:textId="77777777" w:rsidR="00454A29" w:rsidRDefault="00454A29"/>
        </w:tc>
        <w:tc>
          <w:tcPr>
            <w:tcW w:w="1417" w:type="dxa"/>
            <w:vMerge/>
          </w:tcPr>
          <w:p w14:paraId="1D03F9D9" w14:textId="77777777" w:rsidR="00454A29" w:rsidRDefault="00454A29"/>
        </w:tc>
        <w:tc>
          <w:tcPr>
            <w:tcW w:w="2324" w:type="dxa"/>
            <w:vMerge/>
          </w:tcPr>
          <w:p w14:paraId="3C94CA9B" w14:textId="77777777" w:rsidR="00454A29" w:rsidRDefault="00454A29"/>
        </w:tc>
        <w:tc>
          <w:tcPr>
            <w:tcW w:w="1701" w:type="dxa"/>
            <w:vAlign w:val="center"/>
          </w:tcPr>
          <w:p w14:paraId="332D6ECE" w14:textId="77777777" w:rsidR="00454A29" w:rsidRDefault="00454A29">
            <w:pPr>
              <w:pStyle w:val="ConsPlusNormal"/>
            </w:pPr>
          </w:p>
        </w:tc>
        <w:tc>
          <w:tcPr>
            <w:tcW w:w="1814" w:type="dxa"/>
            <w:vAlign w:val="center"/>
          </w:tcPr>
          <w:p w14:paraId="7100AE26" w14:textId="77777777" w:rsidR="00454A29" w:rsidRDefault="00454A29">
            <w:pPr>
              <w:pStyle w:val="ConsPlusNormal"/>
            </w:pPr>
          </w:p>
        </w:tc>
        <w:tc>
          <w:tcPr>
            <w:tcW w:w="1701" w:type="dxa"/>
            <w:vAlign w:val="center"/>
          </w:tcPr>
          <w:p w14:paraId="4225D56D" w14:textId="77777777" w:rsidR="00454A29" w:rsidRDefault="00454A29">
            <w:pPr>
              <w:pStyle w:val="ConsPlusNormal"/>
            </w:pPr>
          </w:p>
        </w:tc>
        <w:tc>
          <w:tcPr>
            <w:tcW w:w="1701" w:type="dxa"/>
            <w:vAlign w:val="center"/>
          </w:tcPr>
          <w:p w14:paraId="4079868C" w14:textId="77777777" w:rsidR="00454A29" w:rsidRDefault="00454A29">
            <w:pPr>
              <w:pStyle w:val="ConsPlusNormal"/>
            </w:pPr>
          </w:p>
        </w:tc>
        <w:tc>
          <w:tcPr>
            <w:tcW w:w="1814" w:type="dxa"/>
            <w:vAlign w:val="center"/>
          </w:tcPr>
          <w:p w14:paraId="112B7B6F" w14:textId="77777777" w:rsidR="00454A29" w:rsidRDefault="00454A29">
            <w:pPr>
              <w:pStyle w:val="ConsPlusNormal"/>
            </w:pPr>
          </w:p>
        </w:tc>
      </w:tr>
      <w:tr w:rsidR="00454A29" w14:paraId="52F63D34" w14:textId="77777777">
        <w:tc>
          <w:tcPr>
            <w:tcW w:w="567" w:type="dxa"/>
            <w:vMerge/>
          </w:tcPr>
          <w:p w14:paraId="2A5B3306" w14:textId="77777777" w:rsidR="00454A29" w:rsidRDefault="00454A29"/>
        </w:tc>
        <w:tc>
          <w:tcPr>
            <w:tcW w:w="3345" w:type="dxa"/>
            <w:vMerge/>
          </w:tcPr>
          <w:p w14:paraId="07C13D6F" w14:textId="77777777" w:rsidR="00454A29" w:rsidRDefault="00454A29"/>
        </w:tc>
        <w:tc>
          <w:tcPr>
            <w:tcW w:w="1701" w:type="dxa"/>
            <w:vAlign w:val="center"/>
          </w:tcPr>
          <w:p w14:paraId="1B5E6D0B" w14:textId="77777777" w:rsidR="00454A29" w:rsidRDefault="00454A29">
            <w:pPr>
              <w:pStyle w:val="ConsPlusNormal"/>
              <w:jc w:val="center"/>
            </w:pPr>
            <w:r>
              <w:t>2025</w:t>
            </w:r>
          </w:p>
        </w:tc>
        <w:tc>
          <w:tcPr>
            <w:tcW w:w="1417" w:type="dxa"/>
            <w:vMerge/>
          </w:tcPr>
          <w:p w14:paraId="108A0ECC" w14:textId="77777777" w:rsidR="00454A29" w:rsidRDefault="00454A29"/>
        </w:tc>
        <w:tc>
          <w:tcPr>
            <w:tcW w:w="2204" w:type="dxa"/>
            <w:vMerge/>
          </w:tcPr>
          <w:p w14:paraId="1B666CBF" w14:textId="77777777" w:rsidR="00454A29" w:rsidRDefault="00454A29"/>
        </w:tc>
        <w:tc>
          <w:tcPr>
            <w:tcW w:w="1417" w:type="dxa"/>
            <w:vMerge/>
          </w:tcPr>
          <w:p w14:paraId="43669D8C" w14:textId="77777777" w:rsidR="00454A29" w:rsidRDefault="00454A29"/>
        </w:tc>
        <w:tc>
          <w:tcPr>
            <w:tcW w:w="2324" w:type="dxa"/>
            <w:vMerge/>
          </w:tcPr>
          <w:p w14:paraId="52B6EC9C" w14:textId="77777777" w:rsidR="00454A29" w:rsidRDefault="00454A29"/>
        </w:tc>
        <w:tc>
          <w:tcPr>
            <w:tcW w:w="1701" w:type="dxa"/>
            <w:vAlign w:val="center"/>
          </w:tcPr>
          <w:p w14:paraId="4E9FF3F6" w14:textId="77777777" w:rsidR="00454A29" w:rsidRDefault="00454A29">
            <w:pPr>
              <w:pStyle w:val="ConsPlusNormal"/>
            </w:pPr>
          </w:p>
        </w:tc>
        <w:tc>
          <w:tcPr>
            <w:tcW w:w="1814" w:type="dxa"/>
            <w:vAlign w:val="center"/>
          </w:tcPr>
          <w:p w14:paraId="695F15A8" w14:textId="77777777" w:rsidR="00454A29" w:rsidRDefault="00454A29">
            <w:pPr>
              <w:pStyle w:val="ConsPlusNormal"/>
            </w:pPr>
          </w:p>
        </w:tc>
        <w:tc>
          <w:tcPr>
            <w:tcW w:w="1701" w:type="dxa"/>
            <w:vAlign w:val="center"/>
          </w:tcPr>
          <w:p w14:paraId="7FCEC071" w14:textId="77777777" w:rsidR="00454A29" w:rsidRDefault="00454A29">
            <w:pPr>
              <w:pStyle w:val="ConsPlusNormal"/>
            </w:pPr>
          </w:p>
        </w:tc>
        <w:tc>
          <w:tcPr>
            <w:tcW w:w="1701" w:type="dxa"/>
            <w:vAlign w:val="center"/>
          </w:tcPr>
          <w:p w14:paraId="39B9BD44" w14:textId="77777777" w:rsidR="00454A29" w:rsidRDefault="00454A29">
            <w:pPr>
              <w:pStyle w:val="ConsPlusNormal"/>
            </w:pPr>
          </w:p>
        </w:tc>
        <w:tc>
          <w:tcPr>
            <w:tcW w:w="1814" w:type="dxa"/>
            <w:vAlign w:val="center"/>
          </w:tcPr>
          <w:p w14:paraId="259EAA41" w14:textId="77777777" w:rsidR="00454A29" w:rsidRDefault="00454A29">
            <w:pPr>
              <w:pStyle w:val="ConsPlusNormal"/>
            </w:pPr>
          </w:p>
        </w:tc>
      </w:tr>
      <w:tr w:rsidR="00454A29" w14:paraId="6805F51E" w14:textId="77777777">
        <w:tc>
          <w:tcPr>
            <w:tcW w:w="567" w:type="dxa"/>
            <w:vMerge/>
          </w:tcPr>
          <w:p w14:paraId="4B96D991" w14:textId="77777777" w:rsidR="00454A29" w:rsidRDefault="00454A29"/>
        </w:tc>
        <w:tc>
          <w:tcPr>
            <w:tcW w:w="3345" w:type="dxa"/>
            <w:vMerge/>
          </w:tcPr>
          <w:p w14:paraId="75257C2B" w14:textId="77777777" w:rsidR="00454A29" w:rsidRDefault="00454A29"/>
        </w:tc>
        <w:tc>
          <w:tcPr>
            <w:tcW w:w="1701" w:type="dxa"/>
            <w:vAlign w:val="center"/>
          </w:tcPr>
          <w:p w14:paraId="3A197E6C" w14:textId="77777777" w:rsidR="00454A29" w:rsidRDefault="00454A29">
            <w:pPr>
              <w:pStyle w:val="ConsPlusNormal"/>
              <w:jc w:val="center"/>
            </w:pPr>
            <w:r>
              <w:t>2026</w:t>
            </w:r>
          </w:p>
        </w:tc>
        <w:tc>
          <w:tcPr>
            <w:tcW w:w="1417" w:type="dxa"/>
            <w:vMerge/>
          </w:tcPr>
          <w:p w14:paraId="7F13D85C" w14:textId="77777777" w:rsidR="00454A29" w:rsidRDefault="00454A29"/>
        </w:tc>
        <w:tc>
          <w:tcPr>
            <w:tcW w:w="2204" w:type="dxa"/>
            <w:vMerge/>
          </w:tcPr>
          <w:p w14:paraId="37604D8A" w14:textId="77777777" w:rsidR="00454A29" w:rsidRDefault="00454A29"/>
        </w:tc>
        <w:tc>
          <w:tcPr>
            <w:tcW w:w="1417" w:type="dxa"/>
            <w:vMerge/>
          </w:tcPr>
          <w:p w14:paraId="048B7463" w14:textId="77777777" w:rsidR="00454A29" w:rsidRDefault="00454A29"/>
        </w:tc>
        <w:tc>
          <w:tcPr>
            <w:tcW w:w="2324" w:type="dxa"/>
            <w:vMerge/>
          </w:tcPr>
          <w:p w14:paraId="74FCB7DA" w14:textId="77777777" w:rsidR="00454A29" w:rsidRDefault="00454A29"/>
        </w:tc>
        <w:tc>
          <w:tcPr>
            <w:tcW w:w="1701" w:type="dxa"/>
            <w:vAlign w:val="center"/>
          </w:tcPr>
          <w:p w14:paraId="1E2627C0" w14:textId="77777777" w:rsidR="00454A29" w:rsidRDefault="00454A29">
            <w:pPr>
              <w:pStyle w:val="ConsPlusNormal"/>
            </w:pPr>
          </w:p>
        </w:tc>
        <w:tc>
          <w:tcPr>
            <w:tcW w:w="1814" w:type="dxa"/>
            <w:vAlign w:val="center"/>
          </w:tcPr>
          <w:p w14:paraId="38CFA679" w14:textId="77777777" w:rsidR="00454A29" w:rsidRDefault="00454A29">
            <w:pPr>
              <w:pStyle w:val="ConsPlusNormal"/>
            </w:pPr>
          </w:p>
        </w:tc>
        <w:tc>
          <w:tcPr>
            <w:tcW w:w="1701" w:type="dxa"/>
            <w:vAlign w:val="center"/>
          </w:tcPr>
          <w:p w14:paraId="113252DE" w14:textId="77777777" w:rsidR="00454A29" w:rsidRDefault="00454A29">
            <w:pPr>
              <w:pStyle w:val="ConsPlusNormal"/>
            </w:pPr>
          </w:p>
        </w:tc>
        <w:tc>
          <w:tcPr>
            <w:tcW w:w="1701" w:type="dxa"/>
            <w:vAlign w:val="center"/>
          </w:tcPr>
          <w:p w14:paraId="52A1B922" w14:textId="77777777" w:rsidR="00454A29" w:rsidRDefault="00454A29">
            <w:pPr>
              <w:pStyle w:val="ConsPlusNormal"/>
            </w:pPr>
          </w:p>
        </w:tc>
        <w:tc>
          <w:tcPr>
            <w:tcW w:w="1814" w:type="dxa"/>
            <w:vAlign w:val="center"/>
          </w:tcPr>
          <w:p w14:paraId="214826D1" w14:textId="77777777" w:rsidR="00454A29" w:rsidRDefault="00454A29">
            <w:pPr>
              <w:pStyle w:val="ConsPlusNormal"/>
            </w:pPr>
          </w:p>
        </w:tc>
      </w:tr>
      <w:tr w:rsidR="00454A29" w14:paraId="6419B68B" w14:textId="77777777">
        <w:tc>
          <w:tcPr>
            <w:tcW w:w="21706" w:type="dxa"/>
            <w:gridSpan w:val="12"/>
            <w:vAlign w:val="center"/>
          </w:tcPr>
          <w:p w14:paraId="47996DE5" w14:textId="77777777" w:rsidR="00454A29" w:rsidRDefault="00454A29">
            <w:pPr>
              <w:pStyle w:val="ConsPlusNormal"/>
              <w:jc w:val="center"/>
              <w:outlineLvl w:val="2"/>
            </w:pPr>
            <w:r>
              <w:t>МР "Мегино-Кангаласский улус"</w:t>
            </w:r>
          </w:p>
        </w:tc>
      </w:tr>
      <w:tr w:rsidR="00454A29" w14:paraId="67C464D5" w14:textId="77777777">
        <w:tc>
          <w:tcPr>
            <w:tcW w:w="567" w:type="dxa"/>
            <w:vMerge w:val="restart"/>
            <w:vAlign w:val="center"/>
          </w:tcPr>
          <w:p w14:paraId="497CCFDB" w14:textId="77777777" w:rsidR="00454A29" w:rsidRDefault="00454A29">
            <w:pPr>
              <w:pStyle w:val="ConsPlusNormal"/>
              <w:jc w:val="center"/>
            </w:pPr>
            <w:r>
              <w:t>198</w:t>
            </w:r>
          </w:p>
        </w:tc>
        <w:tc>
          <w:tcPr>
            <w:tcW w:w="3345" w:type="dxa"/>
            <w:vMerge w:val="restart"/>
            <w:vAlign w:val="center"/>
          </w:tcPr>
          <w:p w14:paraId="543EEAD6" w14:textId="77777777" w:rsidR="00454A29" w:rsidRDefault="00454A29">
            <w:pPr>
              <w:pStyle w:val="ConsPlusNormal"/>
              <w:jc w:val="center"/>
            </w:pPr>
            <w:r>
              <w:t>Реконструкция здания МБОУ "Майинская СОШ N 2" в с. Майя</w:t>
            </w:r>
          </w:p>
        </w:tc>
        <w:tc>
          <w:tcPr>
            <w:tcW w:w="1701" w:type="dxa"/>
            <w:vAlign w:val="center"/>
          </w:tcPr>
          <w:p w14:paraId="0CC3EB43" w14:textId="77777777" w:rsidR="00454A29" w:rsidRDefault="00454A29">
            <w:pPr>
              <w:pStyle w:val="ConsPlusNormal"/>
              <w:jc w:val="center"/>
            </w:pPr>
            <w:r>
              <w:t>2020 - 2026 годы - всего</w:t>
            </w:r>
          </w:p>
        </w:tc>
        <w:tc>
          <w:tcPr>
            <w:tcW w:w="1417" w:type="dxa"/>
            <w:vMerge w:val="restart"/>
            <w:vAlign w:val="center"/>
          </w:tcPr>
          <w:p w14:paraId="532522CF" w14:textId="77777777" w:rsidR="00454A29" w:rsidRDefault="00454A29">
            <w:pPr>
              <w:pStyle w:val="ConsPlusNormal"/>
              <w:jc w:val="center"/>
            </w:pPr>
            <w:r>
              <w:t>485 034,18</w:t>
            </w:r>
          </w:p>
        </w:tc>
        <w:tc>
          <w:tcPr>
            <w:tcW w:w="2204" w:type="dxa"/>
            <w:vMerge w:val="restart"/>
            <w:vAlign w:val="center"/>
          </w:tcPr>
          <w:p w14:paraId="52B54540" w14:textId="77777777" w:rsidR="00454A29" w:rsidRDefault="00454A29">
            <w:pPr>
              <w:pStyle w:val="ConsPlusNormal"/>
            </w:pPr>
          </w:p>
        </w:tc>
        <w:tc>
          <w:tcPr>
            <w:tcW w:w="1417" w:type="dxa"/>
            <w:vMerge w:val="restart"/>
            <w:vAlign w:val="center"/>
          </w:tcPr>
          <w:p w14:paraId="0F2E913A" w14:textId="77777777" w:rsidR="00454A29" w:rsidRDefault="00454A29">
            <w:pPr>
              <w:pStyle w:val="ConsPlusNormal"/>
              <w:jc w:val="center"/>
            </w:pPr>
            <w:r>
              <w:t>150</w:t>
            </w:r>
          </w:p>
        </w:tc>
        <w:tc>
          <w:tcPr>
            <w:tcW w:w="2324" w:type="dxa"/>
            <w:vMerge w:val="restart"/>
            <w:vAlign w:val="center"/>
          </w:tcPr>
          <w:p w14:paraId="088623E8" w14:textId="77777777" w:rsidR="00454A29" w:rsidRDefault="00454A29">
            <w:pPr>
              <w:pStyle w:val="ConsPlusNormal"/>
              <w:jc w:val="center"/>
            </w:pPr>
            <w:r>
              <w:t>Минстрой РС(Я), МР "Мегино-Кангаласский улус"</w:t>
            </w:r>
          </w:p>
        </w:tc>
        <w:tc>
          <w:tcPr>
            <w:tcW w:w="1701" w:type="dxa"/>
            <w:vAlign w:val="center"/>
          </w:tcPr>
          <w:p w14:paraId="1D1C39D9" w14:textId="77777777" w:rsidR="00454A29" w:rsidRDefault="00454A29">
            <w:pPr>
              <w:pStyle w:val="ConsPlusNormal"/>
              <w:jc w:val="center"/>
            </w:pPr>
            <w:r>
              <w:t>485 034,18</w:t>
            </w:r>
          </w:p>
        </w:tc>
        <w:tc>
          <w:tcPr>
            <w:tcW w:w="1814" w:type="dxa"/>
            <w:vAlign w:val="center"/>
          </w:tcPr>
          <w:p w14:paraId="5EE40702" w14:textId="77777777" w:rsidR="00454A29" w:rsidRDefault="00454A29">
            <w:pPr>
              <w:pStyle w:val="ConsPlusNormal"/>
              <w:jc w:val="center"/>
            </w:pPr>
            <w:r>
              <w:t>6 135,68</w:t>
            </w:r>
          </w:p>
        </w:tc>
        <w:tc>
          <w:tcPr>
            <w:tcW w:w="1701" w:type="dxa"/>
            <w:vAlign w:val="center"/>
          </w:tcPr>
          <w:p w14:paraId="6CEDB503" w14:textId="77777777" w:rsidR="00454A29" w:rsidRDefault="00454A29">
            <w:pPr>
              <w:pStyle w:val="ConsPlusNormal"/>
              <w:jc w:val="center"/>
            </w:pPr>
            <w:r>
              <w:t>607 432,56</w:t>
            </w:r>
          </w:p>
        </w:tc>
        <w:tc>
          <w:tcPr>
            <w:tcW w:w="1701" w:type="dxa"/>
            <w:vAlign w:val="center"/>
          </w:tcPr>
          <w:p w14:paraId="76461365" w14:textId="77777777" w:rsidR="00454A29" w:rsidRDefault="00454A29">
            <w:pPr>
              <w:pStyle w:val="ConsPlusNormal"/>
              <w:jc w:val="center"/>
            </w:pPr>
            <w:r>
              <w:t>-</w:t>
            </w:r>
          </w:p>
        </w:tc>
        <w:tc>
          <w:tcPr>
            <w:tcW w:w="1814" w:type="dxa"/>
            <w:vAlign w:val="center"/>
          </w:tcPr>
          <w:p w14:paraId="79630BB0" w14:textId="77777777" w:rsidR="00454A29" w:rsidRDefault="00454A29">
            <w:pPr>
              <w:pStyle w:val="ConsPlusNormal"/>
              <w:jc w:val="center"/>
            </w:pPr>
            <w:r>
              <w:t>-</w:t>
            </w:r>
          </w:p>
        </w:tc>
      </w:tr>
      <w:tr w:rsidR="00454A29" w14:paraId="0FC0C7F3" w14:textId="77777777">
        <w:tc>
          <w:tcPr>
            <w:tcW w:w="567" w:type="dxa"/>
            <w:vMerge/>
          </w:tcPr>
          <w:p w14:paraId="745D2FFE" w14:textId="77777777" w:rsidR="00454A29" w:rsidRDefault="00454A29"/>
        </w:tc>
        <w:tc>
          <w:tcPr>
            <w:tcW w:w="3345" w:type="dxa"/>
            <w:vMerge/>
          </w:tcPr>
          <w:p w14:paraId="360723B4" w14:textId="77777777" w:rsidR="00454A29" w:rsidRDefault="00454A29"/>
        </w:tc>
        <w:tc>
          <w:tcPr>
            <w:tcW w:w="1701" w:type="dxa"/>
            <w:vAlign w:val="center"/>
          </w:tcPr>
          <w:p w14:paraId="4AF170C1" w14:textId="77777777" w:rsidR="00454A29" w:rsidRDefault="00454A29">
            <w:pPr>
              <w:pStyle w:val="ConsPlusNormal"/>
              <w:jc w:val="center"/>
            </w:pPr>
            <w:r>
              <w:t>2020</w:t>
            </w:r>
          </w:p>
        </w:tc>
        <w:tc>
          <w:tcPr>
            <w:tcW w:w="1417" w:type="dxa"/>
            <w:vMerge/>
          </w:tcPr>
          <w:p w14:paraId="2B7F7714" w14:textId="77777777" w:rsidR="00454A29" w:rsidRDefault="00454A29"/>
        </w:tc>
        <w:tc>
          <w:tcPr>
            <w:tcW w:w="2204" w:type="dxa"/>
            <w:vMerge/>
          </w:tcPr>
          <w:p w14:paraId="5408015F" w14:textId="77777777" w:rsidR="00454A29" w:rsidRDefault="00454A29"/>
        </w:tc>
        <w:tc>
          <w:tcPr>
            <w:tcW w:w="1417" w:type="dxa"/>
            <w:vMerge/>
          </w:tcPr>
          <w:p w14:paraId="522981D0" w14:textId="77777777" w:rsidR="00454A29" w:rsidRDefault="00454A29"/>
        </w:tc>
        <w:tc>
          <w:tcPr>
            <w:tcW w:w="2324" w:type="dxa"/>
            <w:vMerge/>
          </w:tcPr>
          <w:p w14:paraId="1D65DC69" w14:textId="77777777" w:rsidR="00454A29" w:rsidRDefault="00454A29"/>
        </w:tc>
        <w:tc>
          <w:tcPr>
            <w:tcW w:w="1701" w:type="dxa"/>
            <w:vAlign w:val="center"/>
          </w:tcPr>
          <w:p w14:paraId="67C5656F" w14:textId="77777777" w:rsidR="00454A29" w:rsidRDefault="00454A29">
            <w:pPr>
              <w:pStyle w:val="ConsPlusNormal"/>
            </w:pPr>
          </w:p>
        </w:tc>
        <w:tc>
          <w:tcPr>
            <w:tcW w:w="1814" w:type="dxa"/>
            <w:vAlign w:val="center"/>
          </w:tcPr>
          <w:p w14:paraId="1AD1437F" w14:textId="77777777" w:rsidR="00454A29" w:rsidRDefault="00454A29">
            <w:pPr>
              <w:pStyle w:val="ConsPlusNormal"/>
            </w:pPr>
          </w:p>
        </w:tc>
        <w:tc>
          <w:tcPr>
            <w:tcW w:w="1701" w:type="dxa"/>
            <w:vAlign w:val="center"/>
          </w:tcPr>
          <w:p w14:paraId="69170F63" w14:textId="77777777" w:rsidR="00454A29" w:rsidRDefault="00454A29">
            <w:pPr>
              <w:pStyle w:val="ConsPlusNormal"/>
            </w:pPr>
          </w:p>
        </w:tc>
        <w:tc>
          <w:tcPr>
            <w:tcW w:w="1701" w:type="dxa"/>
            <w:vAlign w:val="center"/>
          </w:tcPr>
          <w:p w14:paraId="34B64845" w14:textId="77777777" w:rsidR="00454A29" w:rsidRDefault="00454A29">
            <w:pPr>
              <w:pStyle w:val="ConsPlusNormal"/>
            </w:pPr>
          </w:p>
        </w:tc>
        <w:tc>
          <w:tcPr>
            <w:tcW w:w="1814" w:type="dxa"/>
            <w:vAlign w:val="center"/>
          </w:tcPr>
          <w:p w14:paraId="4FFF49D8" w14:textId="77777777" w:rsidR="00454A29" w:rsidRDefault="00454A29">
            <w:pPr>
              <w:pStyle w:val="ConsPlusNormal"/>
            </w:pPr>
          </w:p>
        </w:tc>
      </w:tr>
      <w:tr w:rsidR="00454A29" w14:paraId="7DC9747C" w14:textId="77777777">
        <w:tc>
          <w:tcPr>
            <w:tcW w:w="567" w:type="dxa"/>
            <w:vMerge/>
          </w:tcPr>
          <w:p w14:paraId="71C37F01" w14:textId="77777777" w:rsidR="00454A29" w:rsidRDefault="00454A29"/>
        </w:tc>
        <w:tc>
          <w:tcPr>
            <w:tcW w:w="3345" w:type="dxa"/>
            <w:vMerge/>
          </w:tcPr>
          <w:p w14:paraId="73EC3F5F" w14:textId="77777777" w:rsidR="00454A29" w:rsidRDefault="00454A29"/>
        </w:tc>
        <w:tc>
          <w:tcPr>
            <w:tcW w:w="1701" w:type="dxa"/>
            <w:vAlign w:val="center"/>
          </w:tcPr>
          <w:p w14:paraId="49482303" w14:textId="77777777" w:rsidR="00454A29" w:rsidRDefault="00454A29">
            <w:pPr>
              <w:pStyle w:val="ConsPlusNormal"/>
              <w:jc w:val="center"/>
            </w:pPr>
            <w:r>
              <w:t>2021</w:t>
            </w:r>
          </w:p>
        </w:tc>
        <w:tc>
          <w:tcPr>
            <w:tcW w:w="1417" w:type="dxa"/>
            <w:vMerge/>
          </w:tcPr>
          <w:p w14:paraId="6F73FB89" w14:textId="77777777" w:rsidR="00454A29" w:rsidRDefault="00454A29"/>
        </w:tc>
        <w:tc>
          <w:tcPr>
            <w:tcW w:w="2204" w:type="dxa"/>
            <w:vMerge/>
          </w:tcPr>
          <w:p w14:paraId="4F85A19E" w14:textId="77777777" w:rsidR="00454A29" w:rsidRDefault="00454A29"/>
        </w:tc>
        <w:tc>
          <w:tcPr>
            <w:tcW w:w="1417" w:type="dxa"/>
            <w:vMerge/>
          </w:tcPr>
          <w:p w14:paraId="54960523" w14:textId="77777777" w:rsidR="00454A29" w:rsidRDefault="00454A29"/>
        </w:tc>
        <w:tc>
          <w:tcPr>
            <w:tcW w:w="2324" w:type="dxa"/>
            <w:vMerge/>
          </w:tcPr>
          <w:p w14:paraId="1A4FE848" w14:textId="77777777" w:rsidR="00454A29" w:rsidRDefault="00454A29"/>
        </w:tc>
        <w:tc>
          <w:tcPr>
            <w:tcW w:w="1701" w:type="dxa"/>
            <w:vAlign w:val="center"/>
          </w:tcPr>
          <w:p w14:paraId="068EE076" w14:textId="77777777" w:rsidR="00454A29" w:rsidRDefault="00454A29">
            <w:pPr>
              <w:pStyle w:val="ConsPlusNormal"/>
              <w:jc w:val="center"/>
            </w:pPr>
            <w:r>
              <w:t>-</w:t>
            </w:r>
          </w:p>
        </w:tc>
        <w:tc>
          <w:tcPr>
            <w:tcW w:w="1814" w:type="dxa"/>
            <w:vAlign w:val="center"/>
          </w:tcPr>
          <w:p w14:paraId="3245BB3A" w14:textId="77777777" w:rsidR="00454A29" w:rsidRDefault="00454A29">
            <w:pPr>
              <w:pStyle w:val="ConsPlusNormal"/>
            </w:pPr>
          </w:p>
        </w:tc>
        <w:tc>
          <w:tcPr>
            <w:tcW w:w="1701" w:type="dxa"/>
            <w:vAlign w:val="center"/>
          </w:tcPr>
          <w:p w14:paraId="382C67ED" w14:textId="77777777" w:rsidR="00454A29" w:rsidRDefault="00454A29">
            <w:pPr>
              <w:pStyle w:val="ConsPlusNormal"/>
            </w:pPr>
          </w:p>
        </w:tc>
        <w:tc>
          <w:tcPr>
            <w:tcW w:w="1701" w:type="dxa"/>
            <w:vAlign w:val="center"/>
          </w:tcPr>
          <w:p w14:paraId="1A9BD05B" w14:textId="77777777" w:rsidR="00454A29" w:rsidRDefault="00454A29">
            <w:pPr>
              <w:pStyle w:val="ConsPlusNormal"/>
            </w:pPr>
          </w:p>
        </w:tc>
        <w:tc>
          <w:tcPr>
            <w:tcW w:w="1814" w:type="dxa"/>
            <w:vAlign w:val="center"/>
          </w:tcPr>
          <w:p w14:paraId="6695040E" w14:textId="77777777" w:rsidR="00454A29" w:rsidRDefault="00454A29">
            <w:pPr>
              <w:pStyle w:val="ConsPlusNormal"/>
            </w:pPr>
          </w:p>
        </w:tc>
      </w:tr>
      <w:tr w:rsidR="00454A29" w14:paraId="544197AE" w14:textId="77777777">
        <w:tc>
          <w:tcPr>
            <w:tcW w:w="567" w:type="dxa"/>
            <w:vMerge/>
          </w:tcPr>
          <w:p w14:paraId="3486AC5D" w14:textId="77777777" w:rsidR="00454A29" w:rsidRDefault="00454A29"/>
        </w:tc>
        <w:tc>
          <w:tcPr>
            <w:tcW w:w="3345" w:type="dxa"/>
            <w:vMerge/>
          </w:tcPr>
          <w:p w14:paraId="2D8F343E" w14:textId="77777777" w:rsidR="00454A29" w:rsidRDefault="00454A29"/>
        </w:tc>
        <w:tc>
          <w:tcPr>
            <w:tcW w:w="1701" w:type="dxa"/>
            <w:vAlign w:val="center"/>
          </w:tcPr>
          <w:p w14:paraId="69D3FACC" w14:textId="77777777" w:rsidR="00454A29" w:rsidRDefault="00454A29">
            <w:pPr>
              <w:pStyle w:val="ConsPlusNormal"/>
              <w:jc w:val="center"/>
            </w:pPr>
            <w:r>
              <w:t>2022</w:t>
            </w:r>
          </w:p>
        </w:tc>
        <w:tc>
          <w:tcPr>
            <w:tcW w:w="1417" w:type="dxa"/>
            <w:vMerge/>
          </w:tcPr>
          <w:p w14:paraId="044960DE" w14:textId="77777777" w:rsidR="00454A29" w:rsidRDefault="00454A29"/>
        </w:tc>
        <w:tc>
          <w:tcPr>
            <w:tcW w:w="2204" w:type="dxa"/>
            <w:vMerge/>
          </w:tcPr>
          <w:p w14:paraId="0E15E8B0" w14:textId="77777777" w:rsidR="00454A29" w:rsidRDefault="00454A29"/>
        </w:tc>
        <w:tc>
          <w:tcPr>
            <w:tcW w:w="1417" w:type="dxa"/>
            <w:vMerge/>
          </w:tcPr>
          <w:p w14:paraId="798C58B6" w14:textId="77777777" w:rsidR="00454A29" w:rsidRDefault="00454A29"/>
        </w:tc>
        <w:tc>
          <w:tcPr>
            <w:tcW w:w="2324" w:type="dxa"/>
            <w:vMerge/>
          </w:tcPr>
          <w:p w14:paraId="183447D7" w14:textId="77777777" w:rsidR="00454A29" w:rsidRDefault="00454A29"/>
        </w:tc>
        <w:tc>
          <w:tcPr>
            <w:tcW w:w="1701" w:type="dxa"/>
            <w:vAlign w:val="center"/>
          </w:tcPr>
          <w:p w14:paraId="28B4B130" w14:textId="77777777" w:rsidR="00454A29" w:rsidRDefault="00454A29">
            <w:pPr>
              <w:pStyle w:val="ConsPlusNormal"/>
            </w:pPr>
          </w:p>
        </w:tc>
        <w:tc>
          <w:tcPr>
            <w:tcW w:w="1814" w:type="dxa"/>
            <w:vAlign w:val="center"/>
          </w:tcPr>
          <w:p w14:paraId="36FE4D1D" w14:textId="77777777" w:rsidR="00454A29" w:rsidRDefault="00454A29">
            <w:pPr>
              <w:pStyle w:val="ConsPlusNormal"/>
            </w:pPr>
          </w:p>
        </w:tc>
        <w:tc>
          <w:tcPr>
            <w:tcW w:w="1701" w:type="dxa"/>
            <w:vAlign w:val="center"/>
          </w:tcPr>
          <w:p w14:paraId="54E120BC" w14:textId="77777777" w:rsidR="00454A29" w:rsidRDefault="00454A29">
            <w:pPr>
              <w:pStyle w:val="ConsPlusNormal"/>
            </w:pPr>
          </w:p>
        </w:tc>
        <w:tc>
          <w:tcPr>
            <w:tcW w:w="1701" w:type="dxa"/>
            <w:vAlign w:val="center"/>
          </w:tcPr>
          <w:p w14:paraId="5BB1A5E9" w14:textId="77777777" w:rsidR="00454A29" w:rsidRDefault="00454A29">
            <w:pPr>
              <w:pStyle w:val="ConsPlusNormal"/>
            </w:pPr>
          </w:p>
        </w:tc>
        <w:tc>
          <w:tcPr>
            <w:tcW w:w="1814" w:type="dxa"/>
            <w:vAlign w:val="center"/>
          </w:tcPr>
          <w:p w14:paraId="4936BEC6" w14:textId="77777777" w:rsidR="00454A29" w:rsidRDefault="00454A29">
            <w:pPr>
              <w:pStyle w:val="ConsPlusNormal"/>
            </w:pPr>
          </w:p>
        </w:tc>
      </w:tr>
      <w:tr w:rsidR="00454A29" w14:paraId="07B19710" w14:textId="77777777">
        <w:tc>
          <w:tcPr>
            <w:tcW w:w="567" w:type="dxa"/>
            <w:vMerge/>
          </w:tcPr>
          <w:p w14:paraId="7364E1AC" w14:textId="77777777" w:rsidR="00454A29" w:rsidRDefault="00454A29"/>
        </w:tc>
        <w:tc>
          <w:tcPr>
            <w:tcW w:w="3345" w:type="dxa"/>
            <w:vMerge/>
          </w:tcPr>
          <w:p w14:paraId="0032802B" w14:textId="77777777" w:rsidR="00454A29" w:rsidRDefault="00454A29"/>
        </w:tc>
        <w:tc>
          <w:tcPr>
            <w:tcW w:w="1701" w:type="dxa"/>
            <w:vAlign w:val="center"/>
          </w:tcPr>
          <w:p w14:paraId="2C6BAEB0" w14:textId="77777777" w:rsidR="00454A29" w:rsidRDefault="00454A29">
            <w:pPr>
              <w:pStyle w:val="ConsPlusNormal"/>
              <w:jc w:val="center"/>
            </w:pPr>
            <w:r>
              <w:t>2023</w:t>
            </w:r>
          </w:p>
        </w:tc>
        <w:tc>
          <w:tcPr>
            <w:tcW w:w="1417" w:type="dxa"/>
            <w:vMerge/>
          </w:tcPr>
          <w:p w14:paraId="3A197134" w14:textId="77777777" w:rsidR="00454A29" w:rsidRDefault="00454A29"/>
        </w:tc>
        <w:tc>
          <w:tcPr>
            <w:tcW w:w="2204" w:type="dxa"/>
            <w:vMerge/>
          </w:tcPr>
          <w:p w14:paraId="7D18A2E4" w14:textId="77777777" w:rsidR="00454A29" w:rsidRDefault="00454A29"/>
        </w:tc>
        <w:tc>
          <w:tcPr>
            <w:tcW w:w="1417" w:type="dxa"/>
            <w:vMerge/>
          </w:tcPr>
          <w:p w14:paraId="352DFE37" w14:textId="77777777" w:rsidR="00454A29" w:rsidRDefault="00454A29"/>
        </w:tc>
        <w:tc>
          <w:tcPr>
            <w:tcW w:w="2324" w:type="dxa"/>
            <w:vMerge/>
          </w:tcPr>
          <w:p w14:paraId="407E4159" w14:textId="77777777" w:rsidR="00454A29" w:rsidRDefault="00454A29"/>
        </w:tc>
        <w:tc>
          <w:tcPr>
            <w:tcW w:w="1701" w:type="dxa"/>
            <w:vAlign w:val="center"/>
          </w:tcPr>
          <w:p w14:paraId="469DC41B" w14:textId="77777777" w:rsidR="00454A29" w:rsidRDefault="00454A29">
            <w:pPr>
              <w:pStyle w:val="ConsPlusNormal"/>
            </w:pPr>
          </w:p>
        </w:tc>
        <w:tc>
          <w:tcPr>
            <w:tcW w:w="1814" w:type="dxa"/>
            <w:vAlign w:val="center"/>
          </w:tcPr>
          <w:p w14:paraId="2D79124E" w14:textId="77777777" w:rsidR="00454A29" w:rsidRDefault="00454A29">
            <w:pPr>
              <w:pStyle w:val="ConsPlusNormal"/>
            </w:pPr>
          </w:p>
        </w:tc>
        <w:tc>
          <w:tcPr>
            <w:tcW w:w="1701" w:type="dxa"/>
            <w:vAlign w:val="center"/>
          </w:tcPr>
          <w:p w14:paraId="18C013A7" w14:textId="77777777" w:rsidR="00454A29" w:rsidRDefault="00454A29">
            <w:pPr>
              <w:pStyle w:val="ConsPlusNormal"/>
            </w:pPr>
          </w:p>
        </w:tc>
        <w:tc>
          <w:tcPr>
            <w:tcW w:w="1701" w:type="dxa"/>
            <w:vAlign w:val="center"/>
          </w:tcPr>
          <w:p w14:paraId="1BBEB4ED" w14:textId="77777777" w:rsidR="00454A29" w:rsidRDefault="00454A29">
            <w:pPr>
              <w:pStyle w:val="ConsPlusNormal"/>
            </w:pPr>
          </w:p>
        </w:tc>
        <w:tc>
          <w:tcPr>
            <w:tcW w:w="1814" w:type="dxa"/>
            <w:vAlign w:val="center"/>
          </w:tcPr>
          <w:p w14:paraId="7E2FB7F8" w14:textId="77777777" w:rsidR="00454A29" w:rsidRDefault="00454A29">
            <w:pPr>
              <w:pStyle w:val="ConsPlusNormal"/>
            </w:pPr>
          </w:p>
        </w:tc>
      </w:tr>
      <w:tr w:rsidR="00454A29" w14:paraId="36C3B8D1" w14:textId="77777777">
        <w:tc>
          <w:tcPr>
            <w:tcW w:w="567" w:type="dxa"/>
            <w:vMerge/>
          </w:tcPr>
          <w:p w14:paraId="42FCFEEE" w14:textId="77777777" w:rsidR="00454A29" w:rsidRDefault="00454A29"/>
        </w:tc>
        <w:tc>
          <w:tcPr>
            <w:tcW w:w="3345" w:type="dxa"/>
            <w:vMerge/>
          </w:tcPr>
          <w:p w14:paraId="7ECCBA30" w14:textId="77777777" w:rsidR="00454A29" w:rsidRDefault="00454A29"/>
        </w:tc>
        <w:tc>
          <w:tcPr>
            <w:tcW w:w="1701" w:type="dxa"/>
            <w:vAlign w:val="center"/>
          </w:tcPr>
          <w:p w14:paraId="0F0FB974" w14:textId="77777777" w:rsidR="00454A29" w:rsidRDefault="00454A29">
            <w:pPr>
              <w:pStyle w:val="ConsPlusNormal"/>
              <w:jc w:val="center"/>
            </w:pPr>
            <w:r>
              <w:t>2024</w:t>
            </w:r>
          </w:p>
        </w:tc>
        <w:tc>
          <w:tcPr>
            <w:tcW w:w="1417" w:type="dxa"/>
            <w:vMerge/>
          </w:tcPr>
          <w:p w14:paraId="694A4DE9" w14:textId="77777777" w:rsidR="00454A29" w:rsidRDefault="00454A29"/>
        </w:tc>
        <w:tc>
          <w:tcPr>
            <w:tcW w:w="2204" w:type="dxa"/>
            <w:vMerge/>
          </w:tcPr>
          <w:p w14:paraId="629BDB61" w14:textId="77777777" w:rsidR="00454A29" w:rsidRDefault="00454A29"/>
        </w:tc>
        <w:tc>
          <w:tcPr>
            <w:tcW w:w="1417" w:type="dxa"/>
            <w:vMerge/>
          </w:tcPr>
          <w:p w14:paraId="103BFC1F" w14:textId="77777777" w:rsidR="00454A29" w:rsidRDefault="00454A29"/>
        </w:tc>
        <w:tc>
          <w:tcPr>
            <w:tcW w:w="2324" w:type="dxa"/>
            <w:vMerge/>
          </w:tcPr>
          <w:p w14:paraId="6843E99B" w14:textId="77777777" w:rsidR="00454A29" w:rsidRDefault="00454A29"/>
        </w:tc>
        <w:tc>
          <w:tcPr>
            <w:tcW w:w="1701" w:type="dxa"/>
            <w:vAlign w:val="center"/>
          </w:tcPr>
          <w:p w14:paraId="1065CFEE" w14:textId="77777777" w:rsidR="00454A29" w:rsidRDefault="00454A29">
            <w:pPr>
              <w:pStyle w:val="ConsPlusNormal"/>
            </w:pPr>
          </w:p>
        </w:tc>
        <w:tc>
          <w:tcPr>
            <w:tcW w:w="1814" w:type="dxa"/>
            <w:vAlign w:val="center"/>
          </w:tcPr>
          <w:p w14:paraId="2CE6912A" w14:textId="77777777" w:rsidR="00454A29" w:rsidRDefault="00454A29">
            <w:pPr>
              <w:pStyle w:val="ConsPlusNormal"/>
            </w:pPr>
          </w:p>
        </w:tc>
        <w:tc>
          <w:tcPr>
            <w:tcW w:w="1701" w:type="dxa"/>
            <w:vAlign w:val="center"/>
          </w:tcPr>
          <w:p w14:paraId="245BB879" w14:textId="77777777" w:rsidR="00454A29" w:rsidRDefault="00454A29">
            <w:pPr>
              <w:pStyle w:val="ConsPlusNormal"/>
            </w:pPr>
          </w:p>
        </w:tc>
        <w:tc>
          <w:tcPr>
            <w:tcW w:w="1701" w:type="dxa"/>
            <w:vAlign w:val="center"/>
          </w:tcPr>
          <w:p w14:paraId="6DC0C6FB" w14:textId="77777777" w:rsidR="00454A29" w:rsidRDefault="00454A29">
            <w:pPr>
              <w:pStyle w:val="ConsPlusNormal"/>
            </w:pPr>
          </w:p>
        </w:tc>
        <w:tc>
          <w:tcPr>
            <w:tcW w:w="1814" w:type="dxa"/>
            <w:vAlign w:val="center"/>
          </w:tcPr>
          <w:p w14:paraId="179E80E6" w14:textId="77777777" w:rsidR="00454A29" w:rsidRDefault="00454A29">
            <w:pPr>
              <w:pStyle w:val="ConsPlusNormal"/>
            </w:pPr>
          </w:p>
        </w:tc>
      </w:tr>
      <w:tr w:rsidR="00454A29" w14:paraId="09B8E099" w14:textId="77777777">
        <w:tc>
          <w:tcPr>
            <w:tcW w:w="567" w:type="dxa"/>
            <w:vMerge/>
          </w:tcPr>
          <w:p w14:paraId="0D960BC9" w14:textId="77777777" w:rsidR="00454A29" w:rsidRDefault="00454A29"/>
        </w:tc>
        <w:tc>
          <w:tcPr>
            <w:tcW w:w="3345" w:type="dxa"/>
            <w:vMerge/>
          </w:tcPr>
          <w:p w14:paraId="504EDA09" w14:textId="77777777" w:rsidR="00454A29" w:rsidRDefault="00454A29"/>
        </w:tc>
        <w:tc>
          <w:tcPr>
            <w:tcW w:w="1701" w:type="dxa"/>
            <w:vAlign w:val="center"/>
          </w:tcPr>
          <w:p w14:paraId="7C0F7810" w14:textId="77777777" w:rsidR="00454A29" w:rsidRDefault="00454A29">
            <w:pPr>
              <w:pStyle w:val="ConsPlusNormal"/>
              <w:jc w:val="center"/>
            </w:pPr>
            <w:r>
              <w:t>2025</w:t>
            </w:r>
          </w:p>
        </w:tc>
        <w:tc>
          <w:tcPr>
            <w:tcW w:w="1417" w:type="dxa"/>
            <w:vMerge/>
          </w:tcPr>
          <w:p w14:paraId="787DF41F" w14:textId="77777777" w:rsidR="00454A29" w:rsidRDefault="00454A29"/>
        </w:tc>
        <w:tc>
          <w:tcPr>
            <w:tcW w:w="2204" w:type="dxa"/>
            <w:vMerge/>
          </w:tcPr>
          <w:p w14:paraId="130B4246" w14:textId="77777777" w:rsidR="00454A29" w:rsidRDefault="00454A29"/>
        </w:tc>
        <w:tc>
          <w:tcPr>
            <w:tcW w:w="1417" w:type="dxa"/>
            <w:vMerge/>
          </w:tcPr>
          <w:p w14:paraId="31FA3865" w14:textId="77777777" w:rsidR="00454A29" w:rsidRDefault="00454A29"/>
        </w:tc>
        <w:tc>
          <w:tcPr>
            <w:tcW w:w="2324" w:type="dxa"/>
            <w:vMerge/>
          </w:tcPr>
          <w:p w14:paraId="675240AC" w14:textId="77777777" w:rsidR="00454A29" w:rsidRDefault="00454A29"/>
        </w:tc>
        <w:tc>
          <w:tcPr>
            <w:tcW w:w="1701" w:type="dxa"/>
            <w:vAlign w:val="center"/>
          </w:tcPr>
          <w:p w14:paraId="5987F959" w14:textId="77777777" w:rsidR="00454A29" w:rsidRDefault="00454A29">
            <w:pPr>
              <w:pStyle w:val="ConsPlusNormal"/>
              <w:jc w:val="center"/>
            </w:pPr>
            <w:r>
              <w:t>485 034,18</w:t>
            </w:r>
          </w:p>
        </w:tc>
        <w:tc>
          <w:tcPr>
            <w:tcW w:w="1814" w:type="dxa"/>
            <w:vAlign w:val="center"/>
          </w:tcPr>
          <w:p w14:paraId="5075B6A1" w14:textId="77777777" w:rsidR="00454A29" w:rsidRDefault="00454A29">
            <w:pPr>
              <w:pStyle w:val="ConsPlusNormal"/>
              <w:jc w:val="center"/>
            </w:pPr>
            <w:r>
              <w:t>6 135,68</w:t>
            </w:r>
          </w:p>
        </w:tc>
        <w:tc>
          <w:tcPr>
            <w:tcW w:w="1701" w:type="dxa"/>
            <w:vAlign w:val="center"/>
          </w:tcPr>
          <w:p w14:paraId="4EEC1C86" w14:textId="77777777" w:rsidR="00454A29" w:rsidRDefault="00454A29">
            <w:pPr>
              <w:pStyle w:val="ConsPlusNormal"/>
              <w:jc w:val="center"/>
            </w:pPr>
            <w:r>
              <w:t>607 432,56</w:t>
            </w:r>
          </w:p>
        </w:tc>
        <w:tc>
          <w:tcPr>
            <w:tcW w:w="1701" w:type="dxa"/>
            <w:vAlign w:val="center"/>
          </w:tcPr>
          <w:p w14:paraId="530F18F2" w14:textId="77777777" w:rsidR="00454A29" w:rsidRDefault="00454A29">
            <w:pPr>
              <w:pStyle w:val="ConsPlusNormal"/>
            </w:pPr>
          </w:p>
        </w:tc>
        <w:tc>
          <w:tcPr>
            <w:tcW w:w="1814" w:type="dxa"/>
            <w:vAlign w:val="center"/>
          </w:tcPr>
          <w:p w14:paraId="053CD4B5" w14:textId="77777777" w:rsidR="00454A29" w:rsidRDefault="00454A29">
            <w:pPr>
              <w:pStyle w:val="ConsPlusNormal"/>
            </w:pPr>
          </w:p>
        </w:tc>
      </w:tr>
      <w:tr w:rsidR="00454A29" w14:paraId="4139693E" w14:textId="77777777">
        <w:tc>
          <w:tcPr>
            <w:tcW w:w="567" w:type="dxa"/>
            <w:vMerge/>
          </w:tcPr>
          <w:p w14:paraId="148D13F1" w14:textId="77777777" w:rsidR="00454A29" w:rsidRDefault="00454A29"/>
        </w:tc>
        <w:tc>
          <w:tcPr>
            <w:tcW w:w="3345" w:type="dxa"/>
            <w:vMerge/>
          </w:tcPr>
          <w:p w14:paraId="0342CD89" w14:textId="77777777" w:rsidR="00454A29" w:rsidRDefault="00454A29"/>
        </w:tc>
        <w:tc>
          <w:tcPr>
            <w:tcW w:w="1701" w:type="dxa"/>
            <w:vAlign w:val="center"/>
          </w:tcPr>
          <w:p w14:paraId="34D3B119" w14:textId="77777777" w:rsidR="00454A29" w:rsidRDefault="00454A29">
            <w:pPr>
              <w:pStyle w:val="ConsPlusNormal"/>
              <w:jc w:val="center"/>
            </w:pPr>
            <w:r>
              <w:t>2026</w:t>
            </w:r>
          </w:p>
        </w:tc>
        <w:tc>
          <w:tcPr>
            <w:tcW w:w="1417" w:type="dxa"/>
            <w:vMerge/>
          </w:tcPr>
          <w:p w14:paraId="383DEBFE" w14:textId="77777777" w:rsidR="00454A29" w:rsidRDefault="00454A29"/>
        </w:tc>
        <w:tc>
          <w:tcPr>
            <w:tcW w:w="2204" w:type="dxa"/>
            <w:vMerge/>
          </w:tcPr>
          <w:p w14:paraId="3A934CEF" w14:textId="77777777" w:rsidR="00454A29" w:rsidRDefault="00454A29"/>
        </w:tc>
        <w:tc>
          <w:tcPr>
            <w:tcW w:w="1417" w:type="dxa"/>
            <w:vMerge/>
          </w:tcPr>
          <w:p w14:paraId="3FFB489D" w14:textId="77777777" w:rsidR="00454A29" w:rsidRDefault="00454A29"/>
        </w:tc>
        <w:tc>
          <w:tcPr>
            <w:tcW w:w="2324" w:type="dxa"/>
            <w:vMerge/>
          </w:tcPr>
          <w:p w14:paraId="261D7612" w14:textId="77777777" w:rsidR="00454A29" w:rsidRDefault="00454A29"/>
        </w:tc>
        <w:tc>
          <w:tcPr>
            <w:tcW w:w="1701" w:type="dxa"/>
            <w:vAlign w:val="center"/>
          </w:tcPr>
          <w:p w14:paraId="53474B82" w14:textId="77777777" w:rsidR="00454A29" w:rsidRDefault="00454A29">
            <w:pPr>
              <w:pStyle w:val="ConsPlusNormal"/>
            </w:pPr>
          </w:p>
        </w:tc>
        <w:tc>
          <w:tcPr>
            <w:tcW w:w="1814" w:type="dxa"/>
            <w:vAlign w:val="center"/>
          </w:tcPr>
          <w:p w14:paraId="71289231" w14:textId="77777777" w:rsidR="00454A29" w:rsidRDefault="00454A29">
            <w:pPr>
              <w:pStyle w:val="ConsPlusNormal"/>
            </w:pPr>
          </w:p>
        </w:tc>
        <w:tc>
          <w:tcPr>
            <w:tcW w:w="1701" w:type="dxa"/>
            <w:vAlign w:val="center"/>
          </w:tcPr>
          <w:p w14:paraId="3C7D4515" w14:textId="77777777" w:rsidR="00454A29" w:rsidRDefault="00454A29">
            <w:pPr>
              <w:pStyle w:val="ConsPlusNormal"/>
            </w:pPr>
          </w:p>
        </w:tc>
        <w:tc>
          <w:tcPr>
            <w:tcW w:w="1701" w:type="dxa"/>
            <w:vAlign w:val="center"/>
          </w:tcPr>
          <w:p w14:paraId="2CD00408" w14:textId="77777777" w:rsidR="00454A29" w:rsidRDefault="00454A29">
            <w:pPr>
              <w:pStyle w:val="ConsPlusNormal"/>
            </w:pPr>
          </w:p>
        </w:tc>
        <w:tc>
          <w:tcPr>
            <w:tcW w:w="1814" w:type="dxa"/>
            <w:vAlign w:val="center"/>
          </w:tcPr>
          <w:p w14:paraId="433772BC" w14:textId="77777777" w:rsidR="00454A29" w:rsidRDefault="00454A29">
            <w:pPr>
              <w:pStyle w:val="ConsPlusNormal"/>
            </w:pPr>
          </w:p>
        </w:tc>
      </w:tr>
      <w:tr w:rsidR="00454A29" w14:paraId="4458FF72" w14:textId="77777777">
        <w:tc>
          <w:tcPr>
            <w:tcW w:w="567" w:type="dxa"/>
            <w:vMerge w:val="restart"/>
            <w:vAlign w:val="center"/>
          </w:tcPr>
          <w:p w14:paraId="52874C49" w14:textId="77777777" w:rsidR="00454A29" w:rsidRDefault="00454A29">
            <w:pPr>
              <w:pStyle w:val="ConsPlusNormal"/>
              <w:jc w:val="center"/>
            </w:pPr>
            <w:r>
              <w:t>199</w:t>
            </w:r>
          </w:p>
        </w:tc>
        <w:tc>
          <w:tcPr>
            <w:tcW w:w="3345" w:type="dxa"/>
            <w:vMerge w:val="restart"/>
            <w:vAlign w:val="center"/>
          </w:tcPr>
          <w:p w14:paraId="2B86616A" w14:textId="77777777" w:rsidR="00454A29" w:rsidRDefault="00454A29">
            <w:pPr>
              <w:pStyle w:val="ConsPlusNormal"/>
              <w:jc w:val="center"/>
            </w:pPr>
            <w:r>
              <w:t>Школа-сад на 90/40 мест в с. Бедиме Мегино-Кангаласского улуса</w:t>
            </w:r>
          </w:p>
        </w:tc>
        <w:tc>
          <w:tcPr>
            <w:tcW w:w="1701" w:type="dxa"/>
            <w:vAlign w:val="center"/>
          </w:tcPr>
          <w:p w14:paraId="5D53F1A1" w14:textId="77777777" w:rsidR="00454A29" w:rsidRDefault="00454A29">
            <w:pPr>
              <w:pStyle w:val="ConsPlusNormal"/>
              <w:jc w:val="center"/>
            </w:pPr>
            <w:r>
              <w:t>2020 - 2026 годы - всего</w:t>
            </w:r>
          </w:p>
        </w:tc>
        <w:tc>
          <w:tcPr>
            <w:tcW w:w="1417" w:type="dxa"/>
            <w:vMerge w:val="restart"/>
            <w:vAlign w:val="center"/>
          </w:tcPr>
          <w:p w14:paraId="78698A52" w14:textId="77777777" w:rsidR="00454A29" w:rsidRDefault="00454A29">
            <w:pPr>
              <w:pStyle w:val="ConsPlusNormal"/>
              <w:jc w:val="center"/>
            </w:pPr>
            <w:r>
              <w:t>214 266,00</w:t>
            </w:r>
          </w:p>
        </w:tc>
        <w:tc>
          <w:tcPr>
            <w:tcW w:w="2204" w:type="dxa"/>
            <w:vMerge w:val="restart"/>
            <w:vAlign w:val="center"/>
          </w:tcPr>
          <w:p w14:paraId="03EC6E05" w14:textId="77777777" w:rsidR="00454A29" w:rsidRDefault="00454A29">
            <w:pPr>
              <w:pStyle w:val="ConsPlusNormal"/>
            </w:pPr>
          </w:p>
        </w:tc>
        <w:tc>
          <w:tcPr>
            <w:tcW w:w="1417" w:type="dxa"/>
            <w:vMerge w:val="restart"/>
            <w:vAlign w:val="center"/>
          </w:tcPr>
          <w:p w14:paraId="20455D9B" w14:textId="77777777" w:rsidR="00454A29" w:rsidRDefault="00454A29">
            <w:pPr>
              <w:pStyle w:val="ConsPlusNormal"/>
              <w:jc w:val="center"/>
            </w:pPr>
            <w:r>
              <w:t>90</w:t>
            </w:r>
          </w:p>
        </w:tc>
        <w:tc>
          <w:tcPr>
            <w:tcW w:w="2324" w:type="dxa"/>
            <w:vMerge w:val="restart"/>
            <w:vAlign w:val="center"/>
          </w:tcPr>
          <w:p w14:paraId="2024C818" w14:textId="77777777" w:rsidR="00454A29" w:rsidRDefault="00454A29">
            <w:pPr>
              <w:pStyle w:val="ConsPlusNormal"/>
              <w:jc w:val="center"/>
            </w:pPr>
            <w:r>
              <w:t>Минстрой РС(Я), МР "Мегино-Кангаласский улус"</w:t>
            </w:r>
          </w:p>
        </w:tc>
        <w:tc>
          <w:tcPr>
            <w:tcW w:w="1701" w:type="dxa"/>
            <w:vAlign w:val="center"/>
          </w:tcPr>
          <w:p w14:paraId="3E1D10D1" w14:textId="77777777" w:rsidR="00454A29" w:rsidRDefault="00454A29">
            <w:pPr>
              <w:pStyle w:val="ConsPlusNormal"/>
              <w:jc w:val="center"/>
            </w:pPr>
            <w:r>
              <w:t>214 266,00</w:t>
            </w:r>
          </w:p>
        </w:tc>
        <w:tc>
          <w:tcPr>
            <w:tcW w:w="1814" w:type="dxa"/>
            <w:vAlign w:val="center"/>
          </w:tcPr>
          <w:p w14:paraId="7C1B026E" w14:textId="77777777" w:rsidR="00454A29" w:rsidRDefault="00454A29">
            <w:pPr>
              <w:pStyle w:val="ConsPlusNormal"/>
              <w:jc w:val="center"/>
            </w:pPr>
            <w:r>
              <w:t>2 142,66</w:t>
            </w:r>
          </w:p>
        </w:tc>
        <w:tc>
          <w:tcPr>
            <w:tcW w:w="1701" w:type="dxa"/>
            <w:vAlign w:val="center"/>
          </w:tcPr>
          <w:p w14:paraId="3339345E" w14:textId="77777777" w:rsidR="00454A29" w:rsidRDefault="00454A29">
            <w:pPr>
              <w:pStyle w:val="ConsPlusNormal"/>
              <w:jc w:val="center"/>
            </w:pPr>
            <w:r>
              <w:t>212 123,34</w:t>
            </w:r>
          </w:p>
        </w:tc>
        <w:tc>
          <w:tcPr>
            <w:tcW w:w="1701" w:type="dxa"/>
            <w:vAlign w:val="center"/>
          </w:tcPr>
          <w:p w14:paraId="349ABE1C" w14:textId="77777777" w:rsidR="00454A29" w:rsidRDefault="00454A29">
            <w:pPr>
              <w:pStyle w:val="ConsPlusNormal"/>
              <w:jc w:val="center"/>
            </w:pPr>
            <w:r>
              <w:t>-</w:t>
            </w:r>
          </w:p>
        </w:tc>
        <w:tc>
          <w:tcPr>
            <w:tcW w:w="1814" w:type="dxa"/>
            <w:vAlign w:val="center"/>
          </w:tcPr>
          <w:p w14:paraId="2F7C0859" w14:textId="77777777" w:rsidR="00454A29" w:rsidRDefault="00454A29">
            <w:pPr>
              <w:pStyle w:val="ConsPlusNormal"/>
              <w:jc w:val="center"/>
            </w:pPr>
            <w:r>
              <w:t>-</w:t>
            </w:r>
          </w:p>
        </w:tc>
      </w:tr>
      <w:tr w:rsidR="00454A29" w14:paraId="62FEC354" w14:textId="77777777">
        <w:tc>
          <w:tcPr>
            <w:tcW w:w="567" w:type="dxa"/>
            <w:vMerge/>
          </w:tcPr>
          <w:p w14:paraId="254C8C56" w14:textId="77777777" w:rsidR="00454A29" w:rsidRDefault="00454A29"/>
        </w:tc>
        <w:tc>
          <w:tcPr>
            <w:tcW w:w="3345" w:type="dxa"/>
            <w:vMerge/>
          </w:tcPr>
          <w:p w14:paraId="04B08381" w14:textId="77777777" w:rsidR="00454A29" w:rsidRDefault="00454A29"/>
        </w:tc>
        <w:tc>
          <w:tcPr>
            <w:tcW w:w="1701" w:type="dxa"/>
            <w:vAlign w:val="center"/>
          </w:tcPr>
          <w:p w14:paraId="02B1B18D" w14:textId="77777777" w:rsidR="00454A29" w:rsidRDefault="00454A29">
            <w:pPr>
              <w:pStyle w:val="ConsPlusNormal"/>
              <w:jc w:val="center"/>
            </w:pPr>
            <w:r>
              <w:t>2020</w:t>
            </w:r>
          </w:p>
        </w:tc>
        <w:tc>
          <w:tcPr>
            <w:tcW w:w="1417" w:type="dxa"/>
            <w:vMerge/>
          </w:tcPr>
          <w:p w14:paraId="75F51ED9" w14:textId="77777777" w:rsidR="00454A29" w:rsidRDefault="00454A29"/>
        </w:tc>
        <w:tc>
          <w:tcPr>
            <w:tcW w:w="2204" w:type="dxa"/>
            <w:vMerge/>
          </w:tcPr>
          <w:p w14:paraId="57AD669D" w14:textId="77777777" w:rsidR="00454A29" w:rsidRDefault="00454A29"/>
        </w:tc>
        <w:tc>
          <w:tcPr>
            <w:tcW w:w="1417" w:type="dxa"/>
            <w:vMerge/>
          </w:tcPr>
          <w:p w14:paraId="324688A7" w14:textId="77777777" w:rsidR="00454A29" w:rsidRDefault="00454A29"/>
        </w:tc>
        <w:tc>
          <w:tcPr>
            <w:tcW w:w="2324" w:type="dxa"/>
            <w:vMerge/>
          </w:tcPr>
          <w:p w14:paraId="56F52C8F" w14:textId="77777777" w:rsidR="00454A29" w:rsidRDefault="00454A29"/>
        </w:tc>
        <w:tc>
          <w:tcPr>
            <w:tcW w:w="1701" w:type="dxa"/>
            <w:vAlign w:val="center"/>
          </w:tcPr>
          <w:p w14:paraId="16BB4524" w14:textId="77777777" w:rsidR="00454A29" w:rsidRDefault="00454A29">
            <w:pPr>
              <w:pStyle w:val="ConsPlusNormal"/>
            </w:pPr>
          </w:p>
        </w:tc>
        <w:tc>
          <w:tcPr>
            <w:tcW w:w="1814" w:type="dxa"/>
            <w:vAlign w:val="center"/>
          </w:tcPr>
          <w:p w14:paraId="29582BBA" w14:textId="77777777" w:rsidR="00454A29" w:rsidRDefault="00454A29">
            <w:pPr>
              <w:pStyle w:val="ConsPlusNormal"/>
            </w:pPr>
          </w:p>
        </w:tc>
        <w:tc>
          <w:tcPr>
            <w:tcW w:w="1701" w:type="dxa"/>
            <w:vAlign w:val="center"/>
          </w:tcPr>
          <w:p w14:paraId="36925A82" w14:textId="77777777" w:rsidR="00454A29" w:rsidRDefault="00454A29">
            <w:pPr>
              <w:pStyle w:val="ConsPlusNormal"/>
            </w:pPr>
          </w:p>
        </w:tc>
        <w:tc>
          <w:tcPr>
            <w:tcW w:w="1701" w:type="dxa"/>
            <w:vAlign w:val="center"/>
          </w:tcPr>
          <w:p w14:paraId="27A70232" w14:textId="77777777" w:rsidR="00454A29" w:rsidRDefault="00454A29">
            <w:pPr>
              <w:pStyle w:val="ConsPlusNormal"/>
            </w:pPr>
          </w:p>
        </w:tc>
        <w:tc>
          <w:tcPr>
            <w:tcW w:w="1814" w:type="dxa"/>
            <w:vAlign w:val="center"/>
          </w:tcPr>
          <w:p w14:paraId="4D0C1141" w14:textId="77777777" w:rsidR="00454A29" w:rsidRDefault="00454A29">
            <w:pPr>
              <w:pStyle w:val="ConsPlusNormal"/>
            </w:pPr>
          </w:p>
        </w:tc>
      </w:tr>
      <w:tr w:rsidR="00454A29" w14:paraId="7D7B2693" w14:textId="77777777">
        <w:tc>
          <w:tcPr>
            <w:tcW w:w="567" w:type="dxa"/>
            <w:vMerge/>
          </w:tcPr>
          <w:p w14:paraId="629849C0" w14:textId="77777777" w:rsidR="00454A29" w:rsidRDefault="00454A29"/>
        </w:tc>
        <w:tc>
          <w:tcPr>
            <w:tcW w:w="3345" w:type="dxa"/>
            <w:vMerge/>
          </w:tcPr>
          <w:p w14:paraId="07523B99" w14:textId="77777777" w:rsidR="00454A29" w:rsidRDefault="00454A29"/>
        </w:tc>
        <w:tc>
          <w:tcPr>
            <w:tcW w:w="1701" w:type="dxa"/>
            <w:vAlign w:val="center"/>
          </w:tcPr>
          <w:p w14:paraId="78C4FED2" w14:textId="77777777" w:rsidR="00454A29" w:rsidRDefault="00454A29">
            <w:pPr>
              <w:pStyle w:val="ConsPlusNormal"/>
              <w:jc w:val="center"/>
            </w:pPr>
            <w:r>
              <w:t>2021</w:t>
            </w:r>
          </w:p>
        </w:tc>
        <w:tc>
          <w:tcPr>
            <w:tcW w:w="1417" w:type="dxa"/>
            <w:vMerge/>
          </w:tcPr>
          <w:p w14:paraId="3870BEDE" w14:textId="77777777" w:rsidR="00454A29" w:rsidRDefault="00454A29"/>
        </w:tc>
        <w:tc>
          <w:tcPr>
            <w:tcW w:w="2204" w:type="dxa"/>
            <w:vMerge/>
          </w:tcPr>
          <w:p w14:paraId="585718CC" w14:textId="77777777" w:rsidR="00454A29" w:rsidRDefault="00454A29"/>
        </w:tc>
        <w:tc>
          <w:tcPr>
            <w:tcW w:w="1417" w:type="dxa"/>
            <w:vMerge/>
          </w:tcPr>
          <w:p w14:paraId="205F3542" w14:textId="77777777" w:rsidR="00454A29" w:rsidRDefault="00454A29"/>
        </w:tc>
        <w:tc>
          <w:tcPr>
            <w:tcW w:w="2324" w:type="dxa"/>
            <w:vMerge/>
          </w:tcPr>
          <w:p w14:paraId="7F8AF512" w14:textId="77777777" w:rsidR="00454A29" w:rsidRDefault="00454A29"/>
        </w:tc>
        <w:tc>
          <w:tcPr>
            <w:tcW w:w="1701" w:type="dxa"/>
            <w:vAlign w:val="center"/>
          </w:tcPr>
          <w:p w14:paraId="10E8BA6A" w14:textId="77777777" w:rsidR="00454A29" w:rsidRDefault="00454A29">
            <w:pPr>
              <w:pStyle w:val="ConsPlusNormal"/>
              <w:jc w:val="center"/>
            </w:pPr>
            <w:r>
              <w:t>-</w:t>
            </w:r>
          </w:p>
        </w:tc>
        <w:tc>
          <w:tcPr>
            <w:tcW w:w="1814" w:type="dxa"/>
            <w:vAlign w:val="center"/>
          </w:tcPr>
          <w:p w14:paraId="4B44262F" w14:textId="77777777" w:rsidR="00454A29" w:rsidRDefault="00454A29">
            <w:pPr>
              <w:pStyle w:val="ConsPlusNormal"/>
            </w:pPr>
          </w:p>
        </w:tc>
        <w:tc>
          <w:tcPr>
            <w:tcW w:w="1701" w:type="dxa"/>
            <w:vAlign w:val="center"/>
          </w:tcPr>
          <w:p w14:paraId="1079C353" w14:textId="77777777" w:rsidR="00454A29" w:rsidRDefault="00454A29">
            <w:pPr>
              <w:pStyle w:val="ConsPlusNormal"/>
            </w:pPr>
          </w:p>
        </w:tc>
        <w:tc>
          <w:tcPr>
            <w:tcW w:w="1701" w:type="dxa"/>
            <w:vAlign w:val="center"/>
          </w:tcPr>
          <w:p w14:paraId="2A47105C" w14:textId="77777777" w:rsidR="00454A29" w:rsidRDefault="00454A29">
            <w:pPr>
              <w:pStyle w:val="ConsPlusNormal"/>
            </w:pPr>
          </w:p>
        </w:tc>
        <w:tc>
          <w:tcPr>
            <w:tcW w:w="1814" w:type="dxa"/>
            <w:vAlign w:val="center"/>
          </w:tcPr>
          <w:p w14:paraId="034B5EA9" w14:textId="77777777" w:rsidR="00454A29" w:rsidRDefault="00454A29">
            <w:pPr>
              <w:pStyle w:val="ConsPlusNormal"/>
            </w:pPr>
          </w:p>
        </w:tc>
      </w:tr>
      <w:tr w:rsidR="00454A29" w14:paraId="33B52054" w14:textId="77777777">
        <w:tc>
          <w:tcPr>
            <w:tcW w:w="567" w:type="dxa"/>
            <w:vMerge/>
          </w:tcPr>
          <w:p w14:paraId="7883C38C" w14:textId="77777777" w:rsidR="00454A29" w:rsidRDefault="00454A29"/>
        </w:tc>
        <w:tc>
          <w:tcPr>
            <w:tcW w:w="3345" w:type="dxa"/>
            <w:vMerge/>
          </w:tcPr>
          <w:p w14:paraId="71F1C339" w14:textId="77777777" w:rsidR="00454A29" w:rsidRDefault="00454A29"/>
        </w:tc>
        <w:tc>
          <w:tcPr>
            <w:tcW w:w="1701" w:type="dxa"/>
            <w:vAlign w:val="center"/>
          </w:tcPr>
          <w:p w14:paraId="62DB5B2A" w14:textId="77777777" w:rsidR="00454A29" w:rsidRDefault="00454A29">
            <w:pPr>
              <w:pStyle w:val="ConsPlusNormal"/>
              <w:jc w:val="center"/>
            </w:pPr>
            <w:r>
              <w:t>2022</w:t>
            </w:r>
          </w:p>
        </w:tc>
        <w:tc>
          <w:tcPr>
            <w:tcW w:w="1417" w:type="dxa"/>
            <w:vMerge/>
          </w:tcPr>
          <w:p w14:paraId="14454509" w14:textId="77777777" w:rsidR="00454A29" w:rsidRDefault="00454A29"/>
        </w:tc>
        <w:tc>
          <w:tcPr>
            <w:tcW w:w="2204" w:type="dxa"/>
            <w:vMerge/>
          </w:tcPr>
          <w:p w14:paraId="40761787" w14:textId="77777777" w:rsidR="00454A29" w:rsidRDefault="00454A29"/>
        </w:tc>
        <w:tc>
          <w:tcPr>
            <w:tcW w:w="1417" w:type="dxa"/>
            <w:vMerge/>
          </w:tcPr>
          <w:p w14:paraId="0D7164CC" w14:textId="77777777" w:rsidR="00454A29" w:rsidRDefault="00454A29"/>
        </w:tc>
        <w:tc>
          <w:tcPr>
            <w:tcW w:w="2324" w:type="dxa"/>
            <w:vMerge/>
          </w:tcPr>
          <w:p w14:paraId="523495EA" w14:textId="77777777" w:rsidR="00454A29" w:rsidRDefault="00454A29"/>
        </w:tc>
        <w:tc>
          <w:tcPr>
            <w:tcW w:w="1701" w:type="dxa"/>
            <w:vAlign w:val="center"/>
          </w:tcPr>
          <w:p w14:paraId="46680780" w14:textId="77777777" w:rsidR="00454A29" w:rsidRDefault="00454A29">
            <w:pPr>
              <w:pStyle w:val="ConsPlusNormal"/>
            </w:pPr>
          </w:p>
        </w:tc>
        <w:tc>
          <w:tcPr>
            <w:tcW w:w="1814" w:type="dxa"/>
            <w:vAlign w:val="center"/>
          </w:tcPr>
          <w:p w14:paraId="1FF49D02" w14:textId="77777777" w:rsidR="00454A29" w:rsidRDefault="00454A29">
            <w:pPr>
              <w:pStyle w:val="ConsPlusNormal"/>
            </w:pPr>
          </w:p>
        </w:tc>
        <w:tc>
          <w:tcPr>
            <w:tcW w:w="1701" w:type="dxa"/>
            <w:vAlign w:val="center"/>
          </w:tcPr>
          <w:p w14:paraId="06381199" w14:textId="77777777" w:rsidR="00454A29" w:rsidRDefault="00454A29">
            <w:pPr>
              <w:pStyle w:val="ConsPlusNormal"/>
            </w:pPr>
          </w:p>
        </w:tc>
        <w:tc>
          <w:tcPr>
            <w:tcW w:w="1701" w:type="dxa"/>
            <w:vAlign w:val="center"/>
          </w:tcPr>
          <w:p w14:paraId="3007D314" w14:textId="77777777" w:rsidR="00454A29" w:rsidRDefault="00454A29">
            <w:pPr>
              <w:pStyle w:val="ConsPlusNormal"/>
            </w:pPr>
          </w:p>
        </w:tc>
        <w:tc>
          <w:tcPr>
            <w:tcW w:w="1814" w:type="dxa"/>
            <w:vAlign w:val="center"/>
          </w:tcPr>
          <w:p w14:paraId="37397E75" w14:textId="77777777" w:rsidR="00454A29" w:rsidRDefault="00454A29">
            <w:pPr>
              <w:pStyle w:val="ConsPlusNormal"/>
            </w:pPr>
          </w:p>
        </w:tc>
      </w:tr>
      <w:tr w:rsidR="00454A29" w14:paraId="474A2791" w14:textId="77777777">
        <w:tc>
          <w:tcPr>
            <w:tcW w:w="567" w:type="dxa"/>
            <w:vMerge/>
          </w:tcPr>
          <w:p w14:paraId="46A5F77A" w14:textId="77777777" w:rsidR="00454A29" w:rsidRDefault="00454A29"/>
        </w:tc>
        <w:tc>
          <w:tcPr>
            <w:tcW w:w="3345" w:type="dxa"/>
            <w:vMerge/>
          </w:tcPr>
          <w:p w14:paraId="6813EFAA" w14:textId="77777777" w:rsidR="00454A29" w:rsidRDefault="00454A29"/>
        </w:tc>
        <w:tc>
          <w:tcPr>
            <w:tcW w:w="1701" w:type="dxa"/>
            <w:vAlign w:val="center"/>
          </w:tcPr>
          <w:p w14:paraId="5FDE3F9F" w14:textId="77777777" w:rsidR="00454A29" w:rsidRDefault="00454A29">
            <w:pPr>
              <w:pStyle w:val="ConsPlusNormal"/>
              <w:jc w:val="center"/>
            </w:pPr>
            <w:r>
              <w:t>2023</w:t>
            </w:r>
          </w:p>
        </w:tc>
        <w:tc>
          <w:tcPr>
            <w:tcW w:w="1417" w:type="dxa"/>
            <w:vMerge/>
          </w:tcPr>
          <w:p w14:paraId="6C3BA20F" w14:textId="77777777" w:rsidR="00454A29" w:rsidRDefault="00454A29"/>
        </w:tc>
        <w:tc>
          <w:tcPr>
            <w:tcW w:w="2204" w:type="dxa"/>
            <w:vMerge/>
          </w:tcPr>
          <w:p w14:paraId="46C4F77C" w14:textId="77777777" w:rsidR="00454A29" w:rsidRDefault="00454A29"/>
        </w:tc>
        <w:tc>
          <w:tcPr>
            <w:tcW w:w="1417" w:type="dxa"/>
            <w:vMerge/>
          </w:tcPr>
          <w:p w14:paraId="0D572864" w14:textId="77777777" w:rsidR="00454A29" w:rsidRDefault="00454A29"/>
        </w:tc>
        <w:tc>
          <w:tcPr>
            <w:tcW w:w="2324" w:type="dxa"/>
            <w:vMerge/>
          </w:tcPr>
          <w:p w14:paraId="63B53DB9" w14:textId="77777777" w:rsidR="00454A29" w:rsidRDefault="00454A29"/>
        </w:tc>
        <w:tc>
          <w:tcPr>
            <w:tcW w:w="1701" w:type="dxa"/>
            <w:vAlign w:val="center"/>
          </w:tcPr>
          <w:p w14:paraId="3B0DC14B" w14:textId="77777777" w:rsidR="00454A29" w:rsidRDefault="00454A29">
            <w:pPr>
              <w:pStyle w:val="ConsPlusNormal"/>
              <w:jc w:val="center"/>
            </w:pPr>
            <w:r>
              <w:t>214 266,00</w:t>
            </w:r>
          </w:p>
        </w:tc>
        <w:tc>
          <w:tcPr>
            <w:tcW w:w="1814" w:type="dxa"/>
            <w:vAlign w:val="center"/>
          </w:tcPr>
          <w:p w14:paraId="19BD20FB" w14:textId="77777777" w:rsidR="00454A29" w:rsidRDefault="00454A29">
            <w:pPr>
              <w:pStyle w:val="ConsPlusNormal"/>
              <w:jc w:val="center"/>
            </w:pPr>
            <w:r>
              <w:t>2 142,66</w:t>
            </w:r>
          </w:p>
        </w:tc>
        <w:tc>
          <w:tcPr>
            <w:tcW w:w="1701" w:type="dxa"/>
            <w:vAlign w:val="center"/>
          </w:tcPr>
          <w:p w14:paraId="07A702A5" w14:textId="77777777" w:rsidR="00454A29" w:rsidRDefault="00454A29">
            <w:pPr>
              <w:pStyle w:val="ConsPlusNormal"/>
              <w:jc w:val="center"/>
            </w:pPr>
            <w:r>
              <w:t>212 123,34</w:t>
            </w:r>
          </w:p>
        </w:tc>
        <w:tc>
          <w:tcPr>
            <w:tcW w:w="1701" w:type="dxa"/>
            <w:vAlign w:val="center"/>
          </w:tcPr>
          <w:p w14:paraId="2D1D3608" w14:textId="77777777" w:rsidR="00454A29" w:rsidRDefault="00454A29">
            <w:pPr>
              <w:pStyle w:val="ConsPlusNormal"/>
            </w:pPr>
          </w:p>
        </w:tc>
        <w:tc>
          <w:tcPr>
            <w:tcW w:w="1814" w:type="dxa"/>
            <w:vAlign w:val="center"/>
          </w:tcPr>
          <w:p w14:paraId="54AE8C53" w14:textId="77777777" w:rsidR="00454A29" w:rsidRDefault="00454A29">
            <w:pPr>
              <w:pStyle w:val="ConsPlusNormal"/>
            </w:pPr>
          </w:p>
        </w:tc>
      </w:tr>
      <w:tr w:rsidR="00454A29" w14:paraId="5873AFCA" w14:textId="77777777">
        <w:tc>
          <w:tcPr>
            <w:tcW w:w="567" w:type="dxa"/>
            <w:vMerge/>
          </w:tcPr>
          <w:p w14:paraId="02DCB03C" w14:textId="77777777" w:rsidR="00454A29" w:rsidRDefault="00454A29"/>
        </w:tc>
        <w:tc>
          <w:tcPr>
            <w:tcW w:w="3345" w:type="dxa"/>
            <w:vMerge/>
          </w:tcPr>
          <w:p w14:paraId="67619701" w14:textId="77777777" w:rsidR="00454A29" w:rsidRDefault="00454A29"/>
        </w:tc>
        <w:tc>
          <w:tcPr>
            <w:tcW w:w="1701" w:type="dxa"/>
            <w:vAlign w:val="center"/>
          </w:tcPr>
          <w:p w14:paraId="25EAFDD3" w14:textId="77777777" w:rsidR="00454A29" w:rsidRDefault="00454A29">
            <w:pPr>
              <w:pStyle w:val="ConsPlusNormal"/>
              <w:jc w:val="center"/>
            </w:pPr>
            <w:r>
              <w:t>2024</w:t>
            </w:r>
          </w:p>
        </w:tc>
        <w:tc>
          <w:tcPr>
            <w:tcW w:w="1417" w:type="dxa"/>
            <w:vMerge/>
          </w:tcPr>
          <w:p w14:paraId="431846D1" w14:textId="77777777" w:rsidR="00454A29" w:rsidRDefault="00454A29"/>
        </w:tc>
        <w:tc>
          <w:tcPr>
            <w:tcW w:w="2204" w:type="dxa"/>
            <w:vMerge/>
          </w:tcPr>
          <w:p w14:paraId="15619E7D" w14:textId="77777777" w:rsidR="00454A29" w:rsidRDefault="00454A29"/>
        </w:tc>
        <w:tc>
          <w:tcPr>
            <w:tcW w:w="1417" w:type="dxa"/>
            <w:vMerge/>
          </w:tcPr>
          <w:p w14:paraId="5D09DDBA" w14:textId="77777777" w:rsidR="00454A29" w:rsidRDefault="00454A29"/>
        </w:tc>
        <w:tc>
          <w:tcPr>
            <w:tcW w:w="2324" w:type="dxa"/>
            <w:vMerge/>
          </w:tcPr>
          <w:p w14:paraId="5E8C0AE0" w14:textId="77777777" w:rsidR="00454A29" w:rsidRDefault="00454A29"/>
        </w:tc>
        <w:tc>
          <w:tcPr>
            <w:tcW w:w="1701" w:type="dxa"/>
            <w:vAlign w:val="center"/>
          </w:tcPr>
          <w:p w14:paraId="3D8A1934" w14:textId="77777777" w:rsidR="00454A29" w:rsidRDefault="00454A29">
            <w:pPr>
              <w:pStyle w:val="ConsPlusNormal"/>
            </w:pPr>
          </w:p>
        </w:tc>
        <w:tc>
          <w:tcPr>
            <w:tcW w:w="1814" w:type="dxa"/>
            <w:vAlign w:val="center"/>
          </w:tcPr>
          <w:p w14:paraId="75F5B3F5" w14:textId="77777777" w:rsidR="00454A29" w:rsidRDefault="00454A29">
            <w:pPr>
              <w:pStyle w:val="ConsPlusNormal"/>
            </w:pPr>
          </w:p>
        </w:tc>
        <w:tc>
          <w:tcPr>
            <w:tcW w:w="1701" w:type="dxa"/>
            <w:vAlign w:val="center"/>
          </w:tcPr>
          <w:p w14:paraId="6E05B690" w14:textId="77777777" w:rsidR="00454A29" w:rsidRDefault="00454A29">
            <w:pPr>
              <w:pStyle w:val="ConsPlusNormal"/>
            </w:pPr>
          </w:p>
        </w:tc>
        <w:tc>
          <w:tcPr>
            <w:tcW w:w="1701" w:type="dxa"/>
            <w:vAlign w:val="center"/>
          </w:tcPr>
          <w:p w14:paraId="6C399631" w14:textId="77777777" w:rsidR="00454A29" w:rsidRDefault="00454A29">
            <w:pPr>
              <w:pStyle w:val="ConsPlusNormal"/>
            </w:pPr>
          </w:p>
        </w:tc>
        <w:tc>
          <w:tcPr>
            <w:tcW w:w="1814" w:type="dxa"/>
            <w:vAlign w:val="center"/>
          </w:tcPr>
          <w:p w14:paraId="7843B495" w14:textId="77777777" w:rsidR="00454A29" w:rsidRDefault="00454A29">
            <w:pPr>
              <w:pStyle w:val="ConsPlusNormal"/>
            </w:pPr>
          </w:p>
        </w:tc>
      </w:tr>
      <w:tr w:rsidR="00454A29" w14:paraId="4A4847A5" w14:textId="77777777">
        <w:tc>
          <w:tcPr>
            <w:tcW w:w="567" w:type="dxa"/>
            <w:vMerge/>
          </w:tcPr>
          <w:p w14:paraId="692BB55E" w14:textId="77777777" w:rsidR="00454A29" w:rsidRDefault="00454A29"/>
        </w:tc>
        <w:tc>
          <w:tcPr>
            <w:tcW w:w="3345" w:type="dxa"/>
            <w:vMerge/>
          </w:tcPr>
          <w:p w14:paraId="4CD9C0F2" w14:textId="77777777" w:rsidR="00454A29" w:rsidRDefault="00454A29"/>
        </w:tc>
        <w:tc>
          <w:tcPr>
            <w:tcW w:w="1701" w:type="dxa"/>
            <w:vAlign w:val="center"/>
          </w:tcPr>
          <w:p w14:paraId="58CBF009" w14:textId="77777777" w:rsidR="00454A29" w:rsidRDefault="00454A29">
            <w:pPr>
              <w:pStyle w:val="ConsPlusNormal"/>
              <w:jc w:val="center"/>
            </w:pPr>
            <w:r>
              <w:t>2025</w:t>
            </w:r>
          </w:p>
        </w:tc>
        <w:tc>
          <w:tcPr>
            <w:tcW w:w="1417" w:type="dxa"/>
            <w:vMerge/>
          </w:tcPr>
          <w:p w14:paraId="22C4673B" w14:textId="77777777" w:rsidR="00454A29" w:rsidRDefault="00454A29"/>
        </w:tc>
        <w:tc>
          <w:tcPr>
            <w:tcW w:w="2204" w:type="dxa"/>
            <w:vMerge/>
          </w:tcPr>
          <w:p w14:paraId="63B913BB" w14:textId="77777777" w:rsidR="00454A29" w:rsidRDefault="00454A29"/>
        </w:tc>
        <w:tc>
          <w:tcPr>
            <w:tcW w:w="1417" w:type="dxa"/>
            <w:vMerge/>
          </w:tcPr>
          <w:p w14:paraId="4E36C9D8" w14:textId="77777777" w:rsidR="00454A29" w:rsidRDefault="00454A29"/>
        </w:tc>
        <w:tc>
          <w:tcPr>
            <w:tcW w:w="2324" w:type="dxa"/>
            <w:vMerge/>
          </w:tcPr>
          <w:p w14:paraId="26EA464D" w14:textId="77777777" w:rsidR="00454A29" w:rsidRDefault="00454A29"/>
        </w:tc>
        <w:tc>
          <w:tcPr>
            <w:tcW w:w="1701" w:type="dxa"/>
            <w:vAlign w:val="center"/>
          </w:tcPr>
          <w:p w14:paraId="0497C1DB" w14:textId="77777777" w:rsidR="00454A29" w:rsidRDefault="00454A29">
            <w:pPr>
              <w:pStyle w:val="ConsPlusNormal"/>
            </w:pPr>
          </w:p>
        </w:tc>
        <w:tc>
          <w:tcPr>
            <w:tcW w:w="1814" w:type="dxa"/>
            <w:vAlign w:val="center"/>
          </w:tcPr>
          <w:p w14:paraId="4CF4A5C8" w14:textId="77777777" w:rsidR="00454A29" w:rsidRDefault="00454A29">
            <w:pPr>
              <w:pStyle w:val="ConsPlusNormal"/>
            </w:pPr>
          </w:p>
        </w:tc>
        <w:tc>
          <w:tcPr>
            <w:tcW w:w="1701" w:type="dxa"/>
            <w:vAlign w:val="center"/>
          </w:tcPr>
          <w:p w14:paraId="6088BE79" w14:textId="77777777" w:rsidR="00454A29" w:rsidRDefault="00454A29">
            <w:pPr>
              <w:pStyle w:val="ConsPlusNormal"/>
            </w:pPr>
          </w:p>
        </w:tc>
        <w:tc>
          <w:tcPr>
            <w:tcW w:w="1701" w:type="dxa"/>
            <w:vAlign w:val="center"/>
          </w:tcPr>
          <w:p w14:paraId="79001978" w14:textId="77777777" w:rsidR="00454A29" w:rsidRDefault="00454A29">
            <w:pPr>
              <w:pStyle w:val="ConsPlusNormal"/>
            </w:pPr>
          </w:p>
        </w:tc>
        <w:tc>
          <w:tcPr>
            <w:tcW w:w="1814" w:type="dxa"/>
            <w:vAlign w:val="center"/>
          </w:tcPr>
          <w:p w14:paraId="13DE17EB" w14:textId="77777777" w:rsidR="00454A29" w:rsidRDefault="00454A29">
            <w:pPr>
              <w:pStyle w:val="ConsPlusNormal"/>
            </w:pPr>
          </w:p>
        </w:tc>
      </w:tr>
      <w:tr w:rsidR="00454A29" w14:paraId="3F85174A" w14:textId="77777777">
        <w:tc>
          <w:tcPr>
            <w:tcW w:w="567" w:type="dxa"/>
            <w:vMerge/>
          </w:tcPr>
          <w:p w14:paraId="51F16466" w14:textId="77777777" w:rsidR="00454A29" w:rsidRDefault="00454A29"/>
        </w:tc>
        <w:tc>
          <w:tcPr>
            <w:tcW w:w="3345" w:type="dxa"/>
            <w:vMerge/>
          </w:tcPr>
          <w:p w14:paraId="34A586A1" w14:textId="77777777" w:rsidR="00454A29" w:rsidRDefault="00454A29"/>
        </w:tc>
        <w:tc>
          <w:tcPr>
            <w:tcW w:w="1701" w:type="dxa"/>
            <w:vAlign w:val="center"/>
          </w:tcPr>
          <w:p w14:paraId="4D2AA5B4" w14:textId="77777777" w:rsidR="00454A29" w:rsidRDefault="00454A29">
            <w:pPr>
              <w:pStyle w:val="ConsPlusNormal"/>
              <w:jc w:val="center"/>
            </w:pPr>
            <w:r>
              <w:t>2026</w:t>
            </w:r>
          </w:p>
        </w:tc>
        <w:tc>
          <w:tcPr>
            <w:tcW w:w="1417" w:type="dxa"/>
            <w:vMerge/>
          </w:tcPr>
          <w:p w14:paraId="7823D4B6" w14:textId="77777777" w:rsidR="00454A29" w:rsidRDefault="00454A29"/>
        </w:tc>
        <w:tc>
          <w:tcPr>
            <w:tcW w:w="2204" w:type="dxa"/>
            <w:vMerge/>
          </w:tcPr>
          <w:p w14:paraId="11A440A8" w14:textId="77777777" w:rsidR="00454A29" w:rsidRDefault="00454A29"/>
        </w:tc>
        <w:tc>
          <w:tcPr>
            <w:tcW w:w="1417" w:type="dxa"/>
            <w:vMerge/>
          </w:tcPr>
          <w:p w14:paraId="65512E4B" w14:textId="77777777" w:rsidR="00454A29" w:rsidRDefault="00454A29"/>
        </w:tc>
        <w:tc>
          <w:tcPr>
            <w:tcW w:w="2324" w:type="dxa"/>
            <w:vMerge/>
          </w:tcPr>
          <w:p w14:paraId="7669D519" w14:textId="77777777" w:rsidR="00454A29" w:rsidRDefault="00454A29"/>
        </w:tc>
        <w:tc>
          <w:tcPr>
            <w:tcW w:w="1701" w:type="dxa"/>
            <w:vAlign w:val="center"/>
          </w:tcPr>
          <w:p w14:paraId="552128D3" w14:textId="77777777" w:rsidR="00454A29" w:rsidRDefault="00454A29">
            <w:pPr>
              <w:pStyle w:val="ConsPlusNormal"/>
            </w:pPr>
          </w:p>
        </w:tc>
        <w:tc>
          <w:tcPr>
            <w:tcW w:w="1814" w:type="dxa"/>
            <w:vAlign w:val="center"/>
          </w:tcPr>
          <w:p w14:paraId="74281385" w14:textId="77777777" w:rsidR="00454A29" w:rsidRDefault="00454A29">
            <w:pPr>
              <w:pStyle w:val="ConsPlusNormal"/>
            </w:pPr>
          </w:p>
        </w:tc>
        <w:tc>
          <w:tcPr>
            <w:tcW w:w="1701" w:type="dxa"/>
            <w:vAlign w:val="center"/>
          </w:tcPr>
          <w:p w14:paraId="4081D299" w14:textId="77777777" w:rsidR="00454A29" w:rsidRDefault="00454A29">
            <w:pPr>
              <w:pStyle w:val="ConsPlusNormal"/>
            </w:pPr>
          </w:p>
        </w:tc>
        <w:tc>
          <w:tcPr>
            <w:tcW w:w="1701" w:type="dxa"/>
            <w:vAlign w:val="center"/>
          </w:tcPr>
          <w:p w14:paraId="4F790608" w14:textId="77777777" w:rsidR="00454A29" w:rsidRDefault="00454A29">
            <w:pPr>
              <w:pStyle w:val="ConsPlusNormal"/>
            </w:pPr>
          </w:p>
        </w:tc>
        <w:tc>
          <w:tcPr>
            <w:tcW w:w="1814" w:type="dxa"/>
            <w:vAlign w:val="center"/>
          </w:tcPr>
          <w:p w14:paraId="70E94190" w14:textId="77777777" w:rsidR="00454A29" w:rsidRDefault="00454A29">
            <w:pPr>
              <w:pStyle w:val="ConsPlusNormal"/>
            </w:pPr>
          </w:p>
        </w:tc>
      </w:tr>
      <w:tr w:rsidR="00454A29" w14:paraId="566AE0D3" w14:textId="77777777">
        <w:tc>
          <w:tcPr>
            <w:tcW w:w="567" w:type="dxa"/>
            <w:vMerge w:val="restart"/>
            <w:vAlign w:val="center"/>
          </w:tcPr>
          <w:p w14:paraId="6FDB53F6" w14:textId="77777777" w:rsidR="00454A29" w:rsidRDefault="00454A29">
            <w:pPr>
              <w:pStyle w:val="ConsPlusNormal"/>
              <w:jc w:val="center"/>
            </w:pPr>
            <w:r>
              <w:t>200</w:t>
            </w:r>
          </w:p>
        </w:tc>
        <w:tc>
          <w:tcPr>
            <w:tcW w:w="3345" w:type="dxa"/>
            <w:vMerge w:val="restart"/>
            <w:vAlign w:val="center"/>
          </w:tcPr>
          <w:p w14:paraId="4C30FBA7" w14:textId="77777777" w:rsidR="00454A29" w:rsidRDefault="00454A29">
            <w:pPr>
              <w:pStyle w:val="ConsPlusNormal"/>
              <w:jc w:val="center"/>
            </w:pPr>
            <w:r>
              <w:t>Школа - сад на 20/15 мест в с. Хапчагай*</w:t>
            </w:r>
          </w:p>
        </w:tc>
        <w:tc>
          <w:tcPr>
            <w:tcW w:w="1701" w:type="dxa"/>
            <w:vAlign w:val="center"/>
          </w:tcPr>
          <w:p w14:paraId="0E33161B" w14:textId="77777777" w:rsidR="00454A29" w:rsidRDefault="00454A29">
            <w:pPr>
              <w:pStyle w:val="ConsPlusNormal"/>
              <w:jc w:val="center"/>
            </w:pPr>
            <w:r>
              <w:t>2020 - 2026 годы - всего</w:t>
            </w:r>
          </w:p>
        </w:tc>
        <w:tc>
          <w:tcPr>
            <w:tcW w:w="1417" w:type="dxa"/>
            <w:vMerge w:val="restart"/>
            <w:vAlign w:val="center"/>
          </w:tcPr>
          <w:p w14:paraId="58E3B484" w14:textId="77777777" w:rsidR="00454A29" w:rsidRDefault="00454A29">
            <w:pPr>
              <w:pStyle w:val="ConsPlusNormal"/>
              <w:jc w:val="center"/>
            </w:pPr>
            <w:r>
              <w:t>-</w:t>
            </w:r>
          </w:p>
        </w:tc>
        <w:tc>
          <w:tcPr>
            <w:tcW w:w="2204" w:type="dxa"/>
            <w:vMerge w:val="restart"/>
            <w:vAlign w:val="center"/>
          </w:tcPr>
          <w:p w14:paraId="32911A53" w14:textId="77777777" w:rsidR="00454A29" w:rsidRDefault="00454A29">
            <w:pPr>
              <w:pStyle w:val="ConsPlusNormal"/>
            </w:pPr>
          </w:p>
        </w:tc>
        <w:tc>
          <w:tcPr>
            <w:tcW w:w="1417" w:type="dxa"/>
            <w:vMerge w:val="restart"/>
            <w:vAlign w:val="center"/>
          </w:tcPr>
          <w:p w14:paraId="03ABAAFD" w14:textId="77777777" w:rsidR="00454A29" w:rsidRDefault="00454A29">
            <w:pPr>
              <w:pStyle w:val="ConsPlusNormal"/>
              <w:jc w:val="center"/>
            </w:pPr>
            <w:r>
              <w:t>20</w:t>
            </w:r>
          </w:p>
        </w:tc>
        <w:tc>
          <w:tcPr>
            <w:tcW w:w="2324" w:type="dxa"/>
            <w:vMerge w:val="restart"/>
            <w:vAlign w:val="center"/>
          </w:tcPr>
          <w:p w14:paraId="6BCB4E4D" w14:textId="77777777" w:rsidR="00454A29" w:rsidRDefault="00454A29">
            <w:pPr>
              <w:pStyle w:val="ConsPlusNormal"/>
              <w:jc w:val="center"/>
            </w:pPr>
            <w:r>
              <w:t>Минстрой РС(Я), МР "Мегино-Кангаласский улус"</w:t>
            </w:r>
          </w:p>
        </w:tc>
        <w:tc>
          <w:tcPr>
            <w:tcW w:w="1701" w:type="dxa"/>
            <w:vAlign w:val="center"/>
          </w:tcPr>
          <w:p w14:paraId="7187C81F" w14:textId="77777777" w:rsidR="00454A29" w:rsidRDefault="00454A29">
            <w:pPr>
              <w:pStyle w:val="ConsPlusNormal"/>
              <w:jc w:val="center"/>
            </w:pPr>
            <w:r>
              <w:t>93 059,60</w:t>
            </w:r>
          </w:p>
        </w:tc>
        <w:tc>
          <w:tcPr>
            <w:tcW w:w="1814" w:type="dxa"/>
            <w:vAlign w:val="center"/>
          </w:tcPr>
          <w:p w14:paraId="011539B0" w14:textId="77777777" w:rsidR="00454A29" w:rsidRDefault="00454A29">
            <w:pPr>
              <w:pStyle w:val="ConsPlusNormal"/>
              <w:jc w:val="center"/>
            </w:pPr>
            <w:r>
              <w:t>930,60</w:t>
            </w:r>
          </w:p>
        </w:tc>
        <w:tc>
          <w:tcPr>
            <w:tcW w:w="1701" w:type="dxa"/>
            <w:vAlign w:val="center"/>
          </w:tcPr>
          <w:p w14:paraId="2652C21F" w14:textId="77777777" w:rsidR="00454A29" w:rsidRDefault="00454A29">
            <w:pPr>
              <w:pStyle w:val="ConsPlusNormal"/>
              <w:jc w:val="center"/>
            </w:pPr>
            <w:r>
              <w:t>92 129,00</w:t>
            </w:r>
          </w:p>
        </w:tc>
        <w:tc>
          <w:tcPr>
            <w:tcW w:w="1701" w:type="dxa"/>
            <w:vAlign w:val="center"/>
          </w:tcPr>
          <w:p w14:paraId="4FEDE70B" w14:textId="77777777" w:rsidR="00454A29" w:rsidRDefault="00454A29">
            <w:pPr>
              <w:pStyle w:val="ConsPlusNormal"/>
              <w:jc w:val="center"/>
            </w:pPr>
            <w:r>
              <w:t>-</w:t>
            </w:r>
          </w:p>
        </w:tc>
        <w:tc>
          <w:tcPr>
            <w:tcW w:w="1814" w:type="dxa"/>
            <w:vAlign w:val="center"/>
          </w:tcPr>
          <w:p w14:paraId="74C576C9" w14:textId="77777777" w:rsidR="00454A29" w:rsidRDefault="00454A29">
            <w:pPr>
              <w:pStyle w:val="ConsPlusNormal"/>
              <w:jc w:val="center"/>
            </w:pPr>
            <w:r>
              <w:t>-</w:t>
            </w:r>
          </w:p>
        </w:tc>
      </w:tr>
      <w:tr w:rsidR="00454A29" w14:paraId="231553F1" w14:textId="77777777">
        <w:tc>
          <w:tcPr>
            <w:tcW w:w="567" w:type="dxa"/>
            <w:vMerge/>
          </w:tcPr>
          <w:p w14:paraId="5D3FD664" w14:textId="77777777" w:rsidR="00454A29" w:rsidRDefault="00454A29"/>
        </w:tc>
        <w:tc>
          <w:tcPr>
            <w:tcW w:w="3345" w:type="dxa"/>
            <w:vMerge/>
          </w:tcPr>
          <w:p w14:paraId="7510AF10" w14:textId="77777777" w:rsidR="00454A29" w:rsidRDefault="00454A29"/>
        </w:tc>
        <w:tc>
          <w:tcPr>
            <w:tcW w:w="1701" w:type="dxa"/>
            <w:vAlign w:val="center"/>
          </w:tcPr>
          <w:p w14:paraId="1C18F8DE" w14:textId="77777777" w:rsidR="00454A29" w:rsidRDefault="00454A29">
            <w:pPr>
              <w:pStyle w:val="ConsPlusNormal"/>
              <w:jc w:val="center"/>
            </w:pPr>
            <w:r>
              <w:t>2020</w:t>
            </w:r>
          </w:p>
        </w:tc>
        <w:tc>
          <w:tcPr>
            <w:tcW w:w="1417" w:type="dxa"/>
            <w:vMerge/>
          </w:tcPr>
          <w:p w14:paraId="05102076" w14:textId="77777777" w:rsidR="00454A29" w:rsidRDefault="00454A29"/>
        </w:tc>
        <w:tc>
          <w:tcPr>
            <w:tcW w:w="2204" w:type="dxa"/>
            <w:vMerge/>
          </w:tcPr>
          <w:p w14:paraId="56BA111A" w14:textId="77777777" w:rsidR="00454A29" w:rsidRDefault="00454A29"/>
        </w:tc>
        <w:tc>
          <w:tcPr>
            <w:tcW w:w="1417" w:type="dxa"/>
            <w:vMerge/>
          </w:tcPr>
          <w:p w14:paraId="3B2F022A" w14:textId="77777777" w:rsidR="00454A29" w:rsidRDefault="00454A29"/>
        </w:tc>
        <w:tc>
          <w:tcPr>
            <w:tcW w:w="2324" w:type="dxa"/>
            <w:vMerge/>
          </w:tcPr>
          <w:p w14:paraId="1572D86E" w14:textId="77777777" w:rsidR="00454A29" w:rsidRDefault="00454A29"/>
        </w:tc>
        <w:tc>
          <w:tcPr>
            <w:tcW w:w="1701" w:type="dxa"/>
            <w:vAlign w:val="center"/>
          </w:tcPr>
          <w:p w14:paraId="71E5BF43" w14:textId="77777777" w:rsidR="00454A29" w:rsidRDefault="00454A29">
            <w:pPr>
              <w:pStyle w:val="ConsPlusNormal"/>
              <w:jc w:val="center"/>
            </w:pPr>
            <w:r>
              <w:t>-</w:t>
            </w:r>
          </w:p>
        </w:tc>
        <w:tc>
          <w:tcPr>
            <w:tcW w:w="1814" w:type="dxa"/>
            <w:vAlign w:val="center"/>
          </w:tcPr>
          <w:p w14:paraId="15E75C3D" w14:textId="77777777" w:rsidR="00454A29" w:rsidRDefault="00454A29">
            <w:pPr>
              <w:pStyle w:val="ConsPlusNormal"/>
            </w:pPr>
          </w:p>
        </w:tc>
        <w:tc>
          <w:tcPr>
            <w:tcW w:w="1701" w:type="dxa"/>
            <w:vAlign w:val="center"/>
          </w:tcPr>
          <w:p w14:paraId="67CA3D0A" w14:textId="77777777" w:rsidR="00454A29" w:rsidRDefault="00454A29">
            <w:pPr>
              <w:pStyle w:val="ConsPlusNormal"/>
            </w:pPr>
          </w:p>
        </w:tc>
        <w:tc>
          <w:tcPr>
            <w:tcW w:w="1701" w:type="dxa"/>
            <w:vAlign w:val="center"/>
          </w:tcPr>
          <w:p w14:paraId="5494A144" w14:textId="77777777" w:rsidR="00454A29" w:rsidRDefault="00454A29">
            <w:pPr>
              <w:pStyle w:val="ConsPlusNormal"/>
            </w:pPr>
          </w:p>
        </w:tc>
        <w:tc>
          <w:tcPr>
            <w:tcW w:w="1814" w:type="dxa"/>
            <w:vAlign w:val="center"/>
          </w:tcPr>
          <w:p w14:paraId="64FB9879" w14:textId="77777777" w:rsidR="00454A29" w:rsidRDefault="00454A29">
            <w:pPr>
              <w:pStyle w:val="ConsPlusNormal"/>
            </w:pPr>
          </w:p>
        </w:tc>
      </w:tr>
      <w:tr w:rsidR="00454A29" w14:paraId="25DAF54E" w14:textId="77777777">
        <w:tc>
          <w:tcPr>
            <w:tcW w:w="567" w:type="dxa"/>
            <w:vMerge/>
          </w:tcPr>
          <w:p w14:paraId="0442134E" w14:textId="77777777" w:rsidR="00454A29" w:rsidRDefault="00454A29"/>
        </w:tc>
        <w:tc>
          <w:tcPr>
            <w:tcW w:w="3345" w:type="dxa"/>
            <w:vMerge/>
          </w:tcPr>
          <w:p w14:paraId="75EB4723" w14:textId="77777777" w:rsidR="00454A29" w:rsidRDefault="00454A29"/>
        </w:tc>
        <w:tc>
          <w:tcPr>
            <w:tcW w:w="1701" w:type="dxa"/>
            <w:vAlign w:val="center"/>
          </w:tcPr>
          <w:p w14:paraId="5E150592" w14:textId="77777777" w:rsidR="00454A29" w:rsidRDefault="00454A29">
            <w:pPr>
              <w:pStyle w:val="ConsPlusNormal"/>
              <w:jc w:val="center"/>
            </w:pPr>
            <w:r>
              <w:t>2021</w:t>
            </w:r>
          </w:p>
        </w:tc>
        <w:tc>
          <w:tcPr>
            <w:tcW w:w="1417" w:type="dxa"/>
            <w:vMerge/>
          </w:tcPr>
          <w:p w14:paraId="6783959E" w14:textId="77777777" w:rsidR="00454A29" w:rsidRDefault="00454A29"/>
        </w:tc>
        <w:tc>
          <w:tcPr>
            <w:tcW w:w="2204" w:type="dxa"/>
            <w:vMerge/>
          </w:tcPr>
          <w:p w14:paraId="3E0FB799" w14:textId="77777777" w:rsidR="00454A29" w:rsidRDefault="00454A29"/>
        </w:tc>
        <w:tc>
          <w:tcPr>
            <w:tcW w:w="1417" w:type="dxa"/>
            <w:vMerge/>
          </w:tcPr>
          <w:p w14:paraId="7C034351" w14:textId="77777777" w:rsidR="00454A29" w:rsidRDefault="00454A29"/>
        </w:tc>
        <w:tc>
          <w:tcPr>
            <w:tcW w:w="2324" w:type="dxa"/>
            <w:vMerge/>
          </w:tcPr>
          <w:p w14:paraId="243A795B" w14:textId="77777777" w:rsidR="00454A29" w:rsidRDefault="00454A29"/>
        </w:tc>
        <w:tc>
          <w:tcPr>
            <w:tcW w:w="1701" w:type="dxa"/>
            <w:vAlign w:val="center"/>
          </w:tcPr>
          <w:p w14:paraId="724E6681" w14:textId="77777777" w:rsidR="00454A29" w:rsidRDefault="00454A29">
            <w:pPr>
              <w:pStyle w:val="ConsPlusNormal"/>
              <w:jc w:val="center"/>
            </w:pPr>
            <w:r>
              <w:t>-</w:t>
            </w:r>
          </w:p>
        </w:tc>
        <w:tc>
          <w:tcPr>
            <w:tcW w:w="1814" w:type="dxa"/>
            <w:vAlign w:val="center"/>
          </w:tcPr>
          <w:p w14:paraId="44BF69E2" w14:textId="77777777" w:rsidR="00454A29" w:rsidRDefault="00454A29">
            <w:pPr>
              <w:pStyle w:val="ConsPlusNormal"/>
            </w:pPr>
          </w:p>
        </w:tc>
        <w:tc>
          <w:tcPr>
            <w:tcW w:w="1701" w:type="dxa"/>
            <w:vAlign w:val="center"/>
          </w:tcPr>
          <w:p w14:paraId="7E4DE93A" w14:textId="77777777" w:rsidR="00454A29" w:rsidRDefault="00454A29">
            <w:pPr>
              <w:pStyle w:val="ConsPlusNormal"/>
            </w:pPr>
          </w:p>
        </w:tc>
        <w:tc>
          <w:tcPr>
            <w:tcW w:w="1701" w:type="dxa"/>
            <w:vAlign w:val="center"/>
          </w:tcPr>
          <w:p w14:paraId="0DF94604" w14:textId="77777777" w:rsidR="00454A29" w:rsidRDefault="00454A29">
            <w:pPr>
              <w:pStyle w:val="ConsPlusNormal"/>
            </w:pPr>
          </w:p>
        </w:tc>
        <w:tc>
          <w:tcPr>
            <w:tcW w:w="1814" w:type="dxa"/>
            <w:vAlign w:val="center"/>
          </w:tcPr>
          <w:p w14:paraId="2EFFC951" w14:textId="77777777" w:rsidR="00454A29" w:rsidRDefault="00454A29">
            <w:pPr>
              <w:pStyle w:val="ConsPlusNormal"/>
            </w:pPr>
          </w:p>
        </w:tc>
      </w:tr>
      <w:tr w:rsidR="00454A29" w14:paraId="2EB6E4B3" w14:textId="77777777">
        <w:tc>
          <w:tcPr>
            <w:tcW w:w="567" w:type="dxa"/>
            <w:vMerge/>
          </w:tcPr>
          <w:p w14:paraId="5C0172BF" w14:textId="77777777" w:rsidR="00454A29" w:rsidRDefault="00454A29"/>
        </w:tc>
        <w:tc>
          <w:tcPr>
            <w:tcW w:w="3345" w:type="dxa"/>
            <w:vMerge/>
          </w:tcPr>
          <w:p w14:paraId="3E9BF92E" w14:textId="77777777" w:rsidR="00454A29" w:rsidRDefault="00454A29"/>
        </w:tc>
        <w:tc>
          <w:tcPr>
            <w:tcW w:w="1701" w:type="dxa"/>
            <w:vAlign w:val="center"/>
          </w:tcPr>
          <w:p w14:paraId="00B333DB" w14:textId="77777777" w:rsidR="00454A29" w:rsidRDefault="00454A29">
            <w:pPr>
              <w:pStyle w:val="ConsPlusNormal"/>
              <w:jc w:val="center"/>
            </w:pPr>
            <w:r>
              <w:t>2022</w:t>
            </w:r>
          </w:p>
        </w:tc>
        <w:tc>
          <w:tcPr>
            <w:tcW w:w="1417" w:type="dxa"/>
            <w:vMerge/>
          </w:tcPr>
          <w:p w14:paraId="75D8F960" w14:textId="77777777" w:rsidR="00454A29" w:rsidRDefault="00454A29"/>
        </w:tc>
        <w:tc>
          <w:tcPr>
            <w:tcW w:w="2204" w:type="dxa"/>
            <w:vMerge/>
          </w:tcPr>
          <w:p w14:paraId="1FE3C726" w14:textId="77777777" w:rsidR="00454A29" w:rsidRDefault="00454A29"/>
        </w:tc>
        <w:tc>
          <w:tcPr>
            <w:tcW w:w="1417" w:type="dxa"/>
            <w:vMerge/>
          </w:tcPr>
          <w:p w14:paraId="005BB1C9" w14:textId="77777777" w:rsidR="00454A29" w:rsidRDefault="00454A29"/>
        </w:tc>
        <w:tc>
          <w:tcPr>
            <w:tcW w:w="2324" w:type="dxa"/>
            <w:vMerge/>
          </w:tcPr>
          <w:p w14:paraId="58C0093E" w14:textId="77777777" w:rsidR="00454A29" w:rsidRDefault="00454A29"/>
        </w:tc>
        <w:tc>
          <w:tcPr>
            <w:tcW w:w="1701" w:type="dxa"/>
            <w:vAlign w:val="center"/>
          </w:tcPr>
          <w:p w14:paraId="5A2F6338" w14:textId="77777777" w:rsidR="00454A29" w:rsidRDefault="00454A29">
            <w:pPr>
              <w:pStyle w:val="ConsPlusNormal"/>
            </w:pPr>
          </w:p>
        </w:tc>
        <w:tc>
          <w:tcPr>
            <w:tcW w:w="1814" w:type="dxa"/>
            <w:vAlign w:val="center"/>
          </w:tcPr>
          <w:p w14:paraId="66FE3F72" w14:textId="77777777" w:rsidR="00454A29" w:rsidRDefault="00454A29">
            <w:pPr>
              <w:pStyle w:val="ConsPlusNormal"/>
            </w:pPr>
          </w:p>
        </w:tc>
        <w:tc>
          <w:tcPr>
            <w:tcW w:w="1701" w:type="dxa"/>
            <w:vAlign w:val="center"/>
          </w:tcPr>
          <w:p w14:paraId="42D4EC07" w14:textId="77777777" w:rsidR="00454A29" w:rsidRDefault="00454A29">
            <w:pPr>
              <w:pStyle w:val="ConsPlusNormal"/>
            </w:pPr>
          </w:p>
        </w:tc>
        <w:tc>
          <w:tcPr>
            <w:tcW w:w="1701" w:type="dxa"/>
            <w:vAlign w:val="center"/>
          </w:tcPr>
          <w:p w14:paraId="7D6FACCB" w14:textId="77777777" w:rsidR="00454A29" w:rsidRDefault="00454A29">
            <w:pPr>
              <w:pStyle w:val="ConsPlusNormal"/>
            </w:pPr>
          </w:p>
        </w:tc>
        <w:tc>
          <w:tcPr>
            <w:tcW w:w="1814" w:type="dxa"/>
            <w:vAlign w:val="center"/>
          </w:tcPr>
          <w:p w14:paraId="4044E94C" w14:textId="77777777" w:rsidR="00454A29" w:rsidRDefault="00454A29">
            <w:pPr>
              <w:pStyle w:val="ConsPlusNormal"/>
            </w:pPr>
          </w:p>
        </w:tc>
      </w:tr>
      <w:tr w:rsidR="00454A29" w14:paraId="6FCE77B0" w14:textId="77777777">
        <w:tc>
          <w:tcPr>
            <w:tcW w:w="567" w:type="dxa"/>
            <w:vMerge/>
          </w:tcPr>
          <w:p w14:paraId="39706392" w14:textId="77777777" w:rsidR="00454A29" w:rsidRDefault="00454A29"/>
        </w:tc>
        <w:tc>
          <w:tcPr>
            <w:tcW w:w="3345" w:type="dxa"/>
            <w:vMerge/>
          </w:tcPr>
          <w:p w14:paraId="27A8A8E3" w14:textId="77777777" w:rsidR="00454A29" w:rsidRDefault="00454A29"/>
        </w:tc>
        <w:tc>
          <w:tcPr>
            <w:tcW w:w="1701" w:type="dxa"/>
            <w:vAlign w:val="center"/>
          </w:tcPr>
          <w:p w14:paraId="0C63E5EF" w14:textId="77777777" w:rsidR="00454A29" w:rsidRDefault="00454A29">
            <w:pPr>
              <w:pStyle w:val="ConsPlusNormal"/>
              <w:jc w:val="center"/>
            </w:pPr>
            <w:r>
              <w:t>2023</w:t>
            </w:r>
          </w:p>
        </w:tc>
        <w:tc>
          <w:tcPr>
            <w:tcW w:w="1417" w:type="dxa"/>
            <w:vMerge/>
          </w:tcPr>
          <w:p w14:paraId="6F78B0A7" w14:textId="77777777" w:rsidR="00454A29" w:rsidRDefault="00454A29"/>
        </w:tc>
        <w:tc>
          <w:tcPr>
            <w:tcW w:w="2204" w:type="dxa"/>
            <w:vMerge/>
          </w:tcPr>
          <w:p w14:paraId="041DE4AB" w14:textId="77777777" w:rsidR="00454A29" w:rsidRDefault="00454A29"/>
        </w:tc>
        <w:tc>
          <w:tcPr>
            <w:tcW w:w="1417" w:type="dxa"/>
            <w:vMerge/>
          </w:tcPr>
          <w:p w14:paraId="09DA1A1D" w14:textId="77777777" w:rsidR="00454A29" w:rsidRDefault="00454A29"/>
        </w:tc>
        <w:tc>
          <w:tcPr>
            <w:tcW w:w="2324" w:type="dxa"/>
            <w:vMerge/>
          </w:tcPr>
          <w:p w14:paraId="0F288189" w14:textId="77777777" w:rsidR="00454A29" w:rsidRDefault="00454A29"/>
        </w:tc>
        <w:tc>
          <w:tcPr>
            <w:tcW w:w="1701" w:type="dxa"/>
            <w:vAlign w:val="center"/>
          </w:tcPr>
          <w:p w14:paraId="1FFE24B0" w14:textId="77777777" w:rsidR="00454A29" w:rsidRDefault="00454A29">
            <w:pPr>
              <w:pStyle w:val="ConsPlusNormal"/>
            </w:pPr>
          </w:p>
        </w:tc>
        <w:tc>
          <w:tcPr>
            <w:tcW w:w="1814" w:type="dxa"/>
            <w:vAlign w:val="center"/>
          </w:tcPr>
          <w:p w14:paraId="73D22516" w14:textId="77777777" w:rsidR="00454A29" w:rsidRDefault="00454A29">
            <w:pPr>
              <w:pStyle w:val="ConsPlusNormal"/>
            </w:pPr>
          </w:p>
        </w:tc>
        <w:tc>
          <w:tcPr>
            <w:tcW w:w="1701" w:type="dxa"/>
            <w:vAlign w:val="center"/>
          </w:tcPr>
          <w:p w14:paraId="5FE5C330" w14:textId="77777777" w:rsidR="00454A29" w:rsidRDefault="00454A29">
            <w:pPr>
              <w:pStyle w:val="ConsPlusNormal"/>
            </w:pPr>
          </w:p>
        </w:tc>
        <w:tc>
          <w:tcPr>
            <w:tcW w:w="1701" w:type="dxa"/>
            <w:vAlign w:val="center"/>
          </w:tcPr>
          <w:p w14:paraId="0C7DEE91" w14:textId="77777777" w:rsidR="00454A29" w:rsidRDefault="00454A29">
            <w:pPr>
              <w:pStyle w:val="ConsPlusNormal"/>
            </w:pPr>
          </w:p>
        </w:tc>
        <w:tc>
          <w:tcPr>
            <w:tcW w:w="1814" w:type="dxa"/>
            <w:vAlign w:val="center"/>
          </w:tcPr>
          <w:p w14:paraId="5635FA41" w14:textId="77777777" w:rsidR="00454A29" w:rsidRDefault="00454A29">
            <w:pPr>
              <w:pStyle w:val="ConsPlusNormal"/>
            </w:pPr>
          </w:p>
        </w:tc>
      </w:tr>
      <w:tr w:rsidR="00454A29" w14:paraId="37BD0F43" w14:textId="77777777">
        <w:tc>
          <w:tcPr>
            <w:tcW w:w="567" w:type="dxa"/>
            <w:vMerge/>
          </w:tcPr>
          <w:p w14:paraId="5ED2803D" w14:textId="77777777" w:rsidR="00454A29" w:rsidRDefault="00454A29"/>
        </w:tc>
        <w:tc>
          <w:tcPr>
            <w:tcW w:w="3345" w:type="dxa"/>
            <w:vMerge/>
          </w:tcPr>
          <w:p w14:paraId="4C8E942D" w14:textId="77777777" w:rsidR="00454A29" w:rsidRDefault="00454A29"/>
        </w:tc>
        <w:tc>
          <w:tcPr>
            <w:tcW w:w="1701" w:type="dxa"/>
            <w:vAlign w:val="center"/>
          </w:tcPr>
          <w:p w14:paraId="14D77165" w14:textId="77777777" w:rsidR="00454A29" w:rsidRDefault="00454A29">
            <w:pPr>
              <w:pStyle w:val="ConsPlusNormal"/>
              <w:jc w:val="center"/>
            </w:pPr>
            <w:r>
              <w:t>2024</w:t>
            </w:r>
          </w:p>
        </w:tc>
        <w:tc>
          <w:tcPr>
            <w:tcW w:w="1417" w:type="dxa"/>
            <w:vMerge/>
          </w:tcPr>
          <w:p w14:paraId="2825EA83" w14:textId="77777777" w:rsidR="00454A29" w:rsidRDefault="00454A29"/>
        </w:tc>
        <w:tc>
          <w:tcPr>
            <w:tcW w:w="2204" w:type="dxa"/>
            <w:vMerge/>
          </w:tcPr>
          <w:p w14:paraId="51A26D9E" w14:textId="77777777" w:rsidR="00454A29" w:rsidRDefault="00454A29"/>
        </w:tc>
        <w:tc>
          <w:tcPr>
            <w:tcW w:w="1417" w:type="dxa"/>
            <w:vMerge/>
          </w:tcPr>
          <w:p w14:paraId="5F5431EB" w14:textId="77777777" w:rsidR="00454A29" w:rsidRDefault="00454A29"/>
        </w:tc>
        <w:tc>
          <w:tcPr>
            <w:tcW w:w="2324" w:type="dxa"/>
            <w:vMerge/>
          </w:tcPr>
          <w:p w14:paraId="3C0BF750" w14:textId="77777777" w:rsidR="00454A29" w:rsidRDefault="00454A29"/>
        </w:tc>
        <w:tc>
          <w:tcPr>
            <w:tcW w:w="1701" w:type="dxa"/>
            <w:vAlign w:val="center"/>
          </w:tcPr>
          <w:p w14:paraId="321B83F7" w14:textId="77777777" w:rsidR="00454A29" w:rsidRDefault="00454A29">
            <w:pPr>
              <w:pStyle w:val="ConsPlusNormal"/>
            </w:pPr>
          </w:p>
        </w:tc>
        <w:tc>
          <w:tcPr>
            <w:tcW w:w="1814" w:type="dxa"/>
            <w:vAlign w:val="center"/>
          </w:tcPr>
          <w:p w14:paraId="64A274A4" w14:textId="77777777" w:rsidR="00454A29" w:rsidRDefault="00454A29">
            <w:pPr>
              <w:pStyle w:val="ConsPlusNormal"/>
            </w:pPr>
          </w:p>
        </w:tc>
        <w:tc>
          <w:tcPr>
            <w:tcW w:w="1701" w:type="dxa"/>
            <w:vAlign w:val="center"/>
          </w:tcPr>
          <w:p w14:paraId="4761B695" w14:textId="77777777" w:rsidR="00454A29" w:rsidRDefault="00454A29">
            <w:pPr>
              <w:pStyle w:val="ConsPlusNormal"/>
            </w:pPr>
          </w:p>
        </w:tc>
        <w:tc>
          <w:tcPr>
            <w:tcW w:w="1701" w:type="dxa"/>
            <w:vAlign w:val="center"/>
          </w:tcPr>
          <w:p w14:paraId="0AA64767" w14:textId="77777777" w:rsidR="00454A29" w:rsidRDefault="00454A29">
            <w:pPr>
              <w:pStyle w:val="ConsPlusNormal"/>
            </w:pPr>
          </w:p>
        </w:tc>
        <w:tc>
          <w:tcPr>
            <w:tcW w:w="1814" w:type="dxa"/>
            <w:vAlign w:val="center"/>
          </w:tcPr>
          <w:p w14:paraId="280DE2A8" w14:textId="77777777" w:rsidR="00454A29" w:rsidRDefault="00454A29">
            <w:pPr>
              <w:pStyle w:val="ConsPlusNormal"/>
            </w:pPr>
          </w:p>
        </w:tc>
      </w:tr>
      <w:tr w:rsidR="00454A29" w14:paraId="75A64CBA" w14:textId="77777777">
        <w:tc>
          <w:tcPr>
            <w:tcW w:w="567" w:type="dxa"/>
            <w:vMerge/>
          </w:tcPr>
          <w:p w14:paraId="6AFF5B13" w14:textId="77777777" w:rsidR="00454A29" w:rsidRDefault="00454A29"/>
        </w:tc>
        <w:tc>
          <w:tcPr>
            <w:tcW w:w="3345" w:type="dxa"/>
            <w:vMerge/>
          </w:tcPr>
          <w:p w14:paraId="6155CAA8" w14:textId="77777777" w:rsidR="00454A29" w:rsidRDefault="00454A29"/>
        </w:tc>
        <w:tc>
          <w:tcPr>
            <w:tcW w:w="1701" w:type="dxa"/>
            <w:vAlign w:val="center"/>
          </w:tcPr>
          <w:p w14:paraId="334C7875" w14:textId="77777777" w:rsidR="00454A29" w:rsidRDefault="00454A29">
            <w:pPr>
              <w:pStyle w:val="ConsPlusNormal"/>
              <w:jc w:val="center"/>
            </w:pPr>
            <w:r>
              <w:t>2025</w:t>
            </w:r>
          </w:p>
        </w:tc>
        <w:tc>
          <w:tcPr>
            <w:tcW w:w="1417" w:type="dxa"/>
            <w:vMerge/>
          </w:tcPr>
          <w:p w14:paraId="17B5E9C9" w14:textId="77777777" w:rsidR="00454A29" w:rsidRDefault="00454A29"/>
        </w:tc>
        <w:tc>
          <w:tcPr>
            <w:tcW w:w="2204" w:type="dxa"/>
            <w:vMerge/>
          </w:tcPr>
          <w:p w14:paraId="38D69039" w14:textId="77777777" w:rsidR="00454A29" w:rsidRDefault="00454A29"/>
        </w:tc>
        <w:tc>
          <w:tcPr>
            <w:tcW w:w="1417" w:type="dxa"/>
            <w:vMerge/>
          </w:tcPr>
          <w:p w14:paraId="1A67AA22" w14:textId="77777777" w:rsidR="00454A29" w:rsidRDefault="00454A29"/>
        </w:tc>
        <w:tc>
          <w:tcPr>
            <w:tcW w:w="2324" w:type="dxa"/>
            <w:vMerge/>
          </w:tcPr>
          <w:p w14:paraId="15F6A283" w14:textId="77777777" w:rsidR="00454A29" w:rsidRDefault="00454A29"/>
        </w:tc>
        <w:tc>
          <w:tcPr>
            <w:tcW w:w="1701" w:type="dxa"/>
            <w:vAlign w:val="center"/>
          </w:tcPr>
          <w:p w14:paraId="31C52BFF" w14:textId="77777777" w:rsidR="00454A29" w:rsidRDefault="00454A29">
            <w:pPr>
              <w:pStyle w:val="ConsPlusNormal"/>
              <w:jc w:val="center"/>
            </w:pPr>
            <w:r>
              <w:t>93 059,60</w:t>
            </w:r>
          </w:p>
        </w:tc>
        <w:tc>
          <w:tcPr>
            <w:tcW w:w="1814" w:type="dxa"/>
            <w:vAlign w:val="center"/>
          </w:tcPr>
          <w:p w14:paraId="74359626" w14:textId="77777777" w:rsidR="00454A29" w:rsidRDefault="00454A29">
            <w:pPr>
              <w:pStyle w:val="ConsPlusNormal"/>
              <w:jc w:val="center"/>
            </w:pPr>
            <w:r>
              <w:t>930,60</w:t>
            </w:r>
          </w:p>
        </w:tc>
        <w:tc>
          <w:tcPr>
            <w:tcW w:w="1701" w:type="dxa"/>
            <w:vAlign w:val="center"/>
          </w:tcPr>
          <w:p w14:paraId="46CE18B4" w14:textId="77777777" w:rsidR="00454A29" w:rsidRDefault="00454A29">
            <w:pPr>
              <w:pStyle w:val="ConsPlusNormal"/>
              <w:jc w:val="center"/>
            </w:pPr>
            <w:r>
              <w:t>92 129,00</w:t>
            </w:r>
          </w:p>
        </w:tc>
        <w:tc>
          <w:tcPr>
            <w:tcW w:w="1701" w:type="dxa"/>
            <w:vAlign w:val="center"/>
          </w:tcPr>
          <w:p w14:paraId="6B96969E" w14:textId="77777777" w:rsidR="00454A29" w:rsidRDefault="00454A29">
            <w:pPr>
              <w:pStyle w:val="ConsPlusNormal"/>
            </w:pPr>
          </w:p>
        </w:tc>
        <w:tc>
          <w:tcPr>
            <w:tcW w:w="1814" w:type="dxa"/>
            <w:vAlign w:val="center"/>
          </w:tcPr>
          <w:p w14:paraId="0B1D1474" w14:textId="77777777" w:rsidR="00454A29" w:rsidRDefault="00454A29">
            <w:pPr>
              <w:pStyle w:val="ConsPlusNormal"/>
            </w:pPr>
          </w:p>
        </w:tc>
      </w:tr>
      <w:tr w:rsidR="00454A29" w14:paraId="7D699DE1" w14:textId="77777777">
        <w:tc>
          <w:tcPr>
            <w:tcW w:w="567" w:type="dxa"/>
            <w:vMerge/>
          </w:tcPr>
          <w:p w14:paraId="07DA6A51" w14:textId="77777777" w:rsidR="00454A29" w:rsidRDefault="00454A29"/>
        </w:tc>
        <w:tc>
          <w:tcPr>
            <w:tcW w:w="3345" w:type="dxa"/>
            <w:vMerge/>
          </w:tcPr>
          <w:p w14:paraId="612D6AE2" w14:textId="77777777" w:rsidR="00454A29" w:rsidRDefault="00454A29"/>
        </w:tc>
        <w:tc>
          <w:tcPr>
            <w:tcW w:w="1701" w:type="dxa"/>
            <w:vAlign w:val="center"/>
          </w:tcPr>
          <w:p w14:paraId="266A488E" w14:textId="77777777" w:rsidR="00454A29" w:rsidRDefault="00454A29">
            <w:pPr>
              <w:pStyle w:val="ConsPlusNormal"/>
              <w:jc w:val="center"/>
            </w:pPr>
            <w:r>
              <w:t>2026</w:t>
            </w:r>
          </w:p>
        </w:tc>
        <w:tc>
          <w:tcPr>
            <w:tcW w:w="1417" w:type="dxa"/>
            <w:vMerge/>
          </w:tcPr>
          <w:p w14:paraId="566E2B01" w14:textId="77777777" w:rsidR="00454A29" w:rsidRDefault="00454A29"/>
        </w:tc>
        <w:tc>
          <w:tcPr>
            <w:tcW w:w="2204" w:type="dxa"/>
            <w:vMerge/>
          </w:tcPr>
          <w:p w14:paraId="5B74A0C6" w14:textId="77777777" w:rsidR="00454A29" w:rsidRDefault="00454A29"/>
        </w:tc>
        <w:tc>
          <w:tcPr>
            <w:tcW w:w="1417" w:type="dxa"/>
            <w:vMerge/>
          </w:tcPr>
          <w:p w14:paraId="2448BCD9" w14:textId="77777777" w:rsidR="00454A29" w:rsidRDefault="00454A29"/>
        </w:tc>
        <w:tc>
          <w:tcPr>
            <w:tcW w:w="2324" w:type="dxa"/>
            <w:vMerge/>
          </w:tcPr>
          <w:p w14:paraId="1581A069" w14:textId="77777777" w:rsidR="00454A29" w:rsidRDefault="00454A29"/>
        </w:tc>
        <w:tc>
          <w:tcPr>
            <w:tcW w:w="1701" w:type="dxa"/>
            <w:vAlign w:val="center"/>
          </w:tcPr>
          <w:p w14:paraId="28F38BE0" w14:textId="77777777" w:rsidR="00454A29" w:rsidRDefault="00454A29">
            <w:pPr>
              <w:pStyle w:val="ConsPlusNormal"/>
            </w:pPr>
          </w:p>
        </w:tc>
        <w:tc>
          <w:tcPr>
            <w:tcW w:w="1814" w:type="dxa"/>
            <w:vAlign w:val="center"/>
          </w:tcPr>
          <w:p w14:paraId="2249DEE7" w14:textId="77777777" w:rsidR="00454A29" w:rsidRDefault="00454A29">
            <w:pPr>
              <w:pStyle w:val="ConsPlusNormal"/>
            </w:pPr>
          </w:p>
        </w:tc>
        <w:tc>
          <w:tcPr>
            <w:tcW w:w="1701" w:type="dxa"/>
            <w:vAlign w:val="center"/>
          </w:tcPr>
          <w:p w14:paraId="06F9052F" w14:textId="77777777" w:rsidR="00454A29" w:rsidRDefault="00454A29">
            <w:pPr>
              <w:pStyle w:val="ConsPlusNormal"/>
            </w:pPr>
          </w:p>
        </w:tc>
        <w:tc>
          <w:tcPr>
            <w:tcW w:w="1701" w:type="dxa"/>
            <w:vAlign w:val="center"/>
          </w:tcPr>
          <w:p w14:paraId="1A489792" w14:textId="77777777" w:rsidR="00454A29" w:rsidRDefault="00454A29">
            <w:pPr>
              <w:pStyle w:val="ConsPlusNormal"/>
            </w:pPr>
          </w:p>
        </w:tc>
        <w:tc>
          <w:tcPr>
            <w:tcW w:w="1814" w:type="dxa"/>
            <w:vAlign w:val="center"/>
          </w:tcPr>
          <w:p w14:paraId="6DEB780E" w14:textId="77777777" w:rsidR="00454A29" w:rsidRDefault="00454A29">
            <w:pPr>
              <w:pStyle w:val="ConsPlusNormal"/>
            </w:pPr>
          </w:p>
        </w:tc>
      </w:tr>
      <w:tr w:rsidR="00454A29" w14:paraId="7CAD405D" w14:textId="77777777">
        <w:tc>
          <w:tcPr>
            <w:tcW w:w="21706" w:type="dxa"/>
            <w:gridSpan w:val="12"/>
            <w:vAlign w:val="center"/>
          </w:tcPr>
          <w:p w14:paraId="57DAB70D" w14:textId="77777777" w:rsidR="00454A29" w:rsidRDefault="00454A29">
            <w:pPr>
              <w:pStyle w:val="ConsPlusNormal"/>
              <w:jc w:val="center"/>
              <w:outlineLvl w:val="2"/>
            </w:pPr>
            <w:r>
              <w:t>МР "Нюрбинский район"</w:t>
            </w:r>
          </w:p>
        </w:tc>
      </w:tr>
      <w:tr w:rsidR="00454A29" w14:paraId="1810DEC9" w14:textId="77777777">
        <w:tc>
          <w:tcPr>
            <w:tcW w:w="567" w:type="dxa"/>
            <w:vMerge w:val="restart"/>
            <w:vAlign w:val="center"/>
          </w:tcPr>
          <w:p w14:paraId="1D8B3D67" w14:textId="77777777" w:rsidR="00454A29" w:rsidRDefault="00454A29">
            <w:pPr>
              <w:pStyle w:val="ConsPlusNormal"/>
              <w:jc w:val="center"/>
            </w:pPr>
            <w:r>
              <w:t>201</w:t>
            </w:r>
          </w:p>
        </w:tc>
        <w:tc>
          <w:tcPr>
            <w:tcW w:w="3345" w:type="dxa"/>
            <w:vMerge w:val="restart"/>
            <w:vAlign w:val="center"/>
          </w:tcPr>
          <w:p w14:paraId="01BF5796" w14:textId="77777777" w:rsidR="00454A29" w:rsidRDefault="00454A29">
            <w:pPr>
              <w:pStyle w:val="ConsPlusNormal"/>
              <w:jc w:val="center"/>
            </w:pPr>
            <w:r>
              <w:t>Школа на 176 учащихся в с. Кюндядя</w:t>
            </w:r>
          </w:p>
        </w:tc>
        <w:tc>
          <w:tcPr>
            <w:tcW w:w="1701" w:type="dxa"/>
            <w:vAlign w:val="center"/>
          </w:tcPr>
          <w:p w14:paraId="248FCDB1" w14:textId="77777777" w:rsidR="00454A29" w:rsidRDefault="00454A29">
            <w:pPr>
              <w:pStyle w:val="ConsPlusNormal"/>
              <w:jc w:val="center"/>
            </w:pPr>
            <w:r>
              <w:t>2020 - 2026 годы - всего</w:t>
            </w:r>
          </w:p>
        </w:tc>
        <w:tc>
          <w:tcPr>
            <w:tcW w:w="1417" w:type="dxa"/>
            <w:vMerge w:val="restart"/>
            <w:vAlign w:val="center"/>
          </w:tcPr>
          <w:p w14:paraId="3BD2BB9F" w14:textId="77777777" w:rsidR="00454A29" w:rsidRDefault="00454A29">
            <w:pPr>
              <w:pStyle w:val="ConsPlusNormal"/>
              <w:jc w:val="center"/>
            </w:pPr>
            <w:r>
              <w:t>-</w:t>
            </w:r>
          </w:p>
        </w:tc>
        <w:tc>
          <w:tcPr>
            <w:tcW w:w="2204" w:type="dxa"/>
            <w:vMerge w:val="restart"/>
            <w:vAlign w:val="center"/>
          </w:tcPr>
          <w:p w14:paraId="1E7495B6" w14:textId="77777777" w:rsidR="00454A29" w:rsidRDefault="00454A29">
            <w:pPr>
              <w:pStyle w:val="ConsPlusNormal"/>
              <w:jc w:val="center"/>
            </w:pPr>
            <w:r>
              <w:t>имеется</w:t>
            </w:r>
          </w:p>
        </w:tc>
        <w:tc>
          <w:tcPr>
            <w:tcW w:w="1417" w:type="dxa"/>
            <w:vMerge w:val="restart"/>
            <w:vAlign w:val="center"/>
          </w:tcPr>
          <w:p w14:paraId="79A01D83" w14:textId="77777777" w:rsidR="00454A29" w:rsidRDefault="00454A29">
            <w:pPr>
              <w:pStyle w:val="ConsPlusNormal"/>
              <w:jc w:val="center"/>
            </w:pPr>
            <w:r>
              <w:t>176</w:t>
            </w:r>
          </w:p>
        </w:tc>
        <w:tc>
          <w:tcPr>
            <w:tcW w:w="2324" w:type="dxa"/>
            <w:vMerge w:val="restart"/>
            <w:vAlign w:val="center"/>
          </w:tcPr>
          <w:p w14:paraId="0E9925DA" w14:textId="77777777" w:rsidR="00454A29" w:rsidRDefault="00454A29">
            <w:pPr>
              <w:pStyle w:val="ConsPlusNormal"/>
              <w:jc w:val="center"/>
            </w:pPr>
            <w:r>
              <w:t>МР "Нюрбинский район"</w:t>
            </w:r>
          </w:p>
        </w:tc>
        <w:tc>
          <w:tcPr>
            <w:tcW w:w="1701" w:type="dxa"/>
            <w:vAlign w:val="center"/>
          </w:tcPr>
          <w:p w14:paraId="244DC808" w14:textId="77777777" w:rsidR="00454A29" w:rsidRDefault="00454A29">
            <w:pPr>
              <w:pStyle w:val="ConsPlusNormal"/>
              <w:jc w:val="center"/>
            </w:pPr>
            <w:r>
              <w:t>-</w:t>
            </w:r>
          </w:p>
        </w:tc>
        <w:tc>
          <w:tcPr>
            <w:tcW w:w="1814" w:type="dxa"/>
            <w:vAlign w:val="center"/>
          </w:tcPr>
          <w:p w14:paraId="56FF9859" w14:textId="77777777" w:rsidR="00454A29" w:rsidRDefault="00454A29">
            <w:pPr>
              <w:pStyle w:val="ConsPlusNormal"/>
              <w:jc w:val="center"/>
            </w:pPr>
            <w:r>
              <w:t>-</w:t>
            </w:r>
          </w:p>
        </w:tc>
        <w:tc>
          <w:tcPr>
            <w:tcW w:w="1701" w:type="dxa"/>
            <w:vAlign w:val="center"/>
          </w:tcPr>
          <w:p w14:paraId="26846613" w14:textId="77777777" w:rsidR="00454A29" w:rsidRDefault="00454A29">
            <w:pPr>
              <w:pStyle w:val="ConsPlusNormal"/>
              <w:jc w:val="center"/>
            </w:pPr>
            <w:r>
              <w:t>-</w:t>
            </w:r>
          </w:p>
        </w:tc>
        <w:tc>
          <w:tcPr>
            <w:tcW w:w="1701" w:type="dxa"/>
            <w:vAlign w:val="center"/>
          </w:tcPr>
          <w:p w14:paraId="404CB547" w14:textId="77777777" w:rsidR="00454A29" w:rsidRDefault="00454A29">
            <w:pPr>
              <w:pStyle w:val="ConsPlusNormal"/>
              <w:jc w:val="center"/>
            </w:pPr>
            <w:r>
              <w:t>-</w:t>
            </w:r>
          </w:p>
        </w:tc>
        <w:tc>
          <w:tcPr>
            <w:tcW w:w="1814" w:type="dxa"/>
            <w:vAlign w:val="center"/>
          </w:tcPr>
          <w:p w14:paraId="59D33E7B" w14:textId="77777777" w:rsidR="00454A29" w:rsidRDefault="00454A29">
            <w:pPr>
              <w:pStyle w:val="ConsPlusNormal"/>
              <w:jc w:val="center"/>
            </w:pPr>
            <w:r>
              <w:t>-</w:t>
            </w:r>
          </w:p>
        </w:tc>
      </w:tr>
      <w:tr w:rsidR="00454A29" w14:paraId="75E9EFF1" w14:textId="77777777">
        <w:tc>
          <w:tcPr>
            <w:tcW w:w="567" w:type="dxa"/>
            <w:vMerge/>
          </w:tcPr>
          <w:p w14:paraId="5A3F8049" w14:textId="77777777" w:rsidR="00454A29" w:rsidRDefault="00454A29"/>
        </w:tc>
        <w:tc>
          <w:tcPr>
            <w:tcW w:w="3345" w:type="dxa"/>
            <w:vMerge/>
          </w:tcPr>
          <w:p w14:paraId="5129645C" w14:textId="77777777" w:rsidR="00454A29" w:rsidRDefault="00454A29"/>
        </w:tc>
        <w:tc>
          <w:tcPr>
            <w:tcW w:w="1701" w:type="dxa"/>
            <w:vAlign w:val="center"/>
          </w:tcPr>
          <w:p w14:paraId="3BFBF038" w14:textId="77777777" w:rsidR="00454A29" w:rsidRDefault="00454A29">
            <w:pPr>
              <w:pStyle w:val="ConsPlusNormal"/>
              <w:jc w:val="center"/>
            </w:pPr>
            <w:r>
              <w:t>2020</w:t>
            </w:r>
          </w:p>
        </w:tc>
        <w:tc>
          <w:tcPr>
            <w:tcW w:w="1417" w:type="dxa"/>
            <w:vMerge/>
          </w:tcPr>
          <w:p w14:paraId="4B3B632B" w14:textId="77777777" w:rsidR="00454A29" w:rsidRDefault="00454A29"/>
        </w:tc>
        <w:tc>
          <w:tcPr>
            <w:tcW w:w="2204" w:type="dxa"/>
            <w:vMerge/>
          </w:tcPr>
          <w:p w14:paraId="405845C2" w14:textId="77777777" w:rsidR="00454A29" w:rsidRDefault="00454A29"/>
        </w:tc>
        <w:tc>
          <w:tcPr>
            <w:tcW w:w="1417" w:type="dxa"/>
            <w:vMerge/>
          </w:tcPr>
          <w:p w14:paraId="1578F4DA" w14:textId="77777777" w:rsidR="00454A29" w:rsidRDefault="00454A29"/>
        </w:tc>
        <w:tc>
          <w:tcPr>
            <w:tcW w:w="2324" w:type="dxa"/>
            <w:vMerge/>
          </w:tcPr>
          <w:p w14:paraId="5C560CB6" w14:textId="77777777" w:rsidR="00454A29" w:rsidRDefault="00454A29"/>
        </w:tc>
        <w:tc>
          <w:tcPr>
            <w:tcW w:w="1701" w:type="dxa"/>
            <w:vAlign w:val="center"/>
          </w:tcPr>
          <w:p w14:paraId="6C3280D3" w14:textId="77777777" w:rsidR="00454A29" w:rsidRDefault="00454A29">
            <w:pPr>
              <w:pStyle w:val="ConsPlusNormal"/>
            </w:pPr>
          </w:p>
        </w:tc>
        <w:tc>
          <w:tcPr>
            <w:tcW w:w="1814" w:type="dxa"/>
            <w:vAlign w:val="center"/>
          </w:tcPr>
          <w:p w14:paraId="68850F44" w14:textId="77777777" w:rsidR="00454A29" w:rsidRDefault="00454A29">
            <w:pPr>
              <w:pStyle w:val="ConsPlusNormal"/>
            </w:pPr>
          </w:p>
        </w:tc>
        <w:tc>
          <w:tcPr>
            <w:tcW w:w="1701" w:type="dxa"/>
            <w:vAlign w:val="center"/>
          </w:tcPr>
          <w:p w14:paraId="53A7A434" w14:textId="77777777" w:rsidR="00454A29" w:rsidRDefault="00454A29">
            <w:pPr>
              <w:pStyle w:val="ConsPlusNormal"/>
            </w:pPr>
          </w:p>
        </w:tc>
        <w:tc>
          <w:tcPr>
            <w:tcW w:w="1701" w:type="dxa"/>
            <w:vAlign w:val="center"/>
          </w:tcPr>
          <w:p w14:paraId="61534C6F" w14:textId="77777777" w:rsidR="00454A29" w:rsidRDefault="00454A29">
            <w:pPr>
              <w:pStyle w:val="ConsPlusNormal"/>
            </w:pPr>
          </w:p>
        </w:tc>
        <w:tc>
          <w:tcPr>
            <w:tcW w:w="1814" w:type="dxa"/>
            <w:vAlign w:val="center"/>
          </w:tcPr>
          <w:p w14:paraId="53A82D98" w14:textId="77777777" w:rsidR="00454A29" w:rsidRDefault="00454A29">
            <w:pPr>
              <w:pStyle w:val="ConsPlusNormal"/>
            </w:pPr>
          </w:p>
        </w:tc>
      </w:tr>
      <w:tr w:rsidR="00454A29" w14:paraId="1F27AEF8" w14:textId="77777777">
        <w:tc>
          <w:tcPr>
            <w:tcW w:w="567" w:type="dxa"/>
            <w:vMerge/>
          </w:tcPr>
          <w:p w14:paraId="2AA6D495" w14:textId="77777777" w:rsidR="00454A29" w:rsidRDefault="00454A29"/>
        </w:tc>
        <w:tc>
          <w:tcPr>
            <w:tcW w:w="3345" w:type="dxa"/>
            <w:vMerge/>
          </w:tcPr>
          <w:p w14:paraId="5D361E7C" w14:textId="77777777" w:rsidR="00454A29" w:rsidRDefault="00454A29"/>
        </w:tc>
        <w:tc>
          <w:tcPr>
            <w:tcW w:w="1701" w:type="dxa"/>
            <w:vAlign w:val="center"/>
          </w:tcPr>
          <w:p w14:paraId="003C6A65" w14:textId="77777777" w:rsidR="00454A29" w:rsidRDefault="00454A29">
            <w:pPr>
              <w:pStyle w:val="ConsPlusNormal"/>
              <w:jc w:val="center"/>
            </w:pPr>
            <w:r>
              <w:t>2021</w:t>
            </w:r>
          </w:p>
        </w:tc>
        <w:tc>
          <w:tcPr>
            <w:tcW w:w="1417" w:type="dxa"/>
            <w:vMerge/>
          </w:tcPr>
          <w:p w14:paraId="28CA5506" w14:textId="77777777" w:rsidR="00454A29" w:rsidRDefault="00454A29"/>
        </w:tc>
        <w:tc>
          <w:tcPr>
            <w:tcW w:w="2204" w:type="dxa"/>
            <w:vMerge/>
          </w:tcPr>
          <w:p w14:paraId="752C80B9" w14:textId="77777777" w:rsidR="00454A29" w:rsidRDefault="00454A29"/>
        </w:tc>
        <w:tc>
          <w:tcPr>
            <w:tcW w:w="1417" w:type="dxa"/>
            <w:vMerge/>
          </w:tcPr>
          <w:p w14:paraId="4753349D" w14:textId="77777777" w:rsidR="00454A29" w:rsidRDefault="00454A29"/>
        </w:tc>
        <w:tc>
          <w:tcPr>
            <w:tcW w:w="2324" w:type="dxa"/>
            <w:vMerge/>
          </w:tcPr>
          <w:p w14:paraId="5E164B2B" w14:textId="77777777" w:rsidR="00454A29" w:rsidRDefault="00454A29"/>
        </w:tc>
        <w:tc>
          <w:tcPr>
            <w:tcW w:w="1701" w:type="dxa"/>
            <w:vAlign w:val="center"/>
          </w:tcPr>
          <w:p w14:paraId="184E8C30" w14:textId="77777777" w:rsidR="00454A29" w:rsidRDefault="00454A29">
            <w:pPr>
              <w:pStyle w:val="ConsPlusNormal"/>
            </w:pPr>
          </w:p>
        </w:tc>
        <w:tc>
          <w:tcPr>
            <w:tcW w:w="1814" w:type="dxa"/>
            <w:vAlign w:val="center"/>
          </w:tcPr>
          <w:p w14:paraId="1864BF91" w14:textId="77777777" w:rsidR="00454A29" w:rsidRDefault="00454A29">
            <w:pPr>
              <w:pStyle w:val="ConsPlusNormal"/>
            </w:pPr>
          </w:p>
        </w:tc>
        <w:tc>
          <w:tcPr>
            <w:tcW w:w="1701" w:type="dxa"/>
            <w:vAlign w:val="center"/>
          </w:tcPr>
          <w:p w14:paraId="6C15E501" w14:textId="77777777" w:rsidR="00454A29" w:rsidRDefault="00454A29">
            <w:pPr>
              <w:pStyle w:val="ConsPlusNormal"/>
            </w:pPr>
          </w:p>
        </w:tc>
        <w:tc>
          <w:tcPr>
            <w:tcW w:w="1701" w:type="dxa"/>
            <w:vAlign w:val="center"/>
          </w:tcPr>
          <w:p w14:paraId="1EFF5492" w14:textId="77777777" w:rsidR="00454A29" w:rsidRDefault="00454A29">
            <w:pPr>
              <w:pStyle w:val="ConsPlusNormal"/>
            </w:pPr>
          </w:p>
        </w:tc>
        <w:tc>
          <w:tcPr>
            <w:tcW w:w="1814" w:type="dxa"/>
            <w:vAlign w:val="center"/>
          </w:tcPr>
          <w:p w14:paraId="445C2C98" w14:textId="77777777" w:rsidR="00454A29" w:rsidRDefault="00454A29">
            <w:pPr>
              <w:pStyle w:val="ConsPlusNormal"/>
            </w:pPr>
          </w:p>
        </w:tc>
      </w:tr>
      <w:tr w:rsidR="00454A29" w14:paraId="1517C7C1" w14:textId="77777777">
        <w:tc>
          <w:tcPr>
            <w:tcW w:w="567" w:type="dxa"/>
            <w:vMerge/>
          </w:tcPr>
          <w:p w14:paraId="50701B36" w14:textId="77777777" w:rsidR="00454A29" w:rsidRDefault="00454A29"/>
        </w:tc>
        <w:tc>
          <w:tcPr>
            <w:tcW w:w="3345" w:type="dxa"/>
            <w:vMerge/>
          </w:tcPr>
          <w:p w14:paraId="77D0CC84" w14:textId="77777777" w:rsidR="00454A29" w:rsidRDefault="00454A29"/>
        </w:tc>
        <w:tc>
          <w:tcPr>
            <w:tcW w:w="1701" w:type="dxa"/>
            <w:vAlign w:val="center"/>
          </w:tcPr>
          <w:p w14:paraId="2042E55B" w14:textId="77777777" w:rsidR="00454A29" w:rsidRDefault="00454A29">
            <w:pPr>
              <w:pStyle w:val="ConsPlusNormal"/>
              <w:jc w:val="center"/>
            </w:pPr>
            <w:r>
              <w:t>2022</w:t>
            </w:r>
          </w:p>
        </w:tc>
        <w:tc>
          <w:tcPr>
            <w:tcW w:w="1417" w:type="dxa"/>
            <w:vMerge/>
          </w:tcPr>
          <w:p w14:paraId="4165A236" w14:textId="77777777" w:rsidR="00454A29" w:rsidRDefault="00454A29"/>
        </w:tc>
        <w:tc>
          <w:tcPr>
            <w:tcW w:w="2204" w:type="dxa"/>
            <w:vMerge/>
          </w:tcPr>
          <w:p w14:paraId="730CB666" w14:textId="77777777" w:rsidR="00454A29" w:rsidRDefault="00454A29"/>
        </w:tc>
        <w:tc>
          <w:tcPr>
            <w:tcW w:w="1417" w:type="dxa"/>
            <w:vMerge/>
          </w:tcPr>
          <w:p w14:paraId="49BE5D84" w14:textId="77777777" w:rsidR="00454A29" w:rsidRDefault="00454A29"/>
        </w:tc>
        <w:tc>
          <w:tcPr>
            <w:tcW w:w="2324" w:type="dxa"/>
            <w:vMerge/>
          </w:tcPr>
          <w:p w14:paraId="2716718A" w14:textId="77777777" w:rsidR="00454A29" w:rsidRDefault="00454A29"/>
        </w:tc>
        <w:tc>
          <w:tcPr>
            <w:tcW w:w="1701" w:type="dxa"/>
            <w:vAlign w:val="center"/>
          </w:tcPr>
          <w:p w14:paraId="230E73C8" w14:textId="77777777" w:rsidR="00454A29" w:rsidRDefault="00454A29">
            <w:pPr>
              <w:pStyle w:val="ConsPlusNormal"/>
            </w:pPr>
          </w:p>
        </w:tc>
        <w:tc>
          <w:tcPr>
            <w:tcW w:w="1814" w:type="dxa"/>
            <w:vAlign w:val="center"/>
          </w:tcPr>
          <w:p w14:paraId="7C7C7F6B" w14:textId="77777777" w:rsidR="00454A29" w:rsidRDefault="00454A29">
            <w:pPr>
              <w:pStyle w:val="ConsPlusNormal"/>
            </w:pPr>
          </w:p>
        </w:tc>
        <w:tc>
          <w:tcPr>
            <w:tcW w:w="1701" w:type="dxa"/>
            <w:vAlign w:val="center"/>
          </w:tcPr>
          <w:p w14:paraId="4F311BD0" w14:textId="77777777" w:rsidR="00454A29" w:rsidRDefault="00454A29">
            <w:pPr>
              <w:pStyle w:val="ConsPlusNormal"/>
            </w:pPr>
          </w:p>
        </w:tc>
        <w:tc>
          <w:tcPr>
            <w:tcW w:w="1701" w:type="dxa"/>
            <w:vAlign w:val="center"/>
          </w:tcPr>
          <w:p w14:paraId="2A04E2CA" w14:textId="77777777" w:rsidR="00454A29" w:rsidRDefault="00454A29">
            <w:pPr>
              <w:pStyle w:val="ConsPlusNormal"/>
            </w:pPr>
          </w:p>
        </w:tc>
        <w:tc>
          <w:tcPr>
            <w:tcW w:w="1814" w:type="dxa"/>
            <w:vAlign w:val="center"/>
          </w:tcPr>
          <w:p w14:paraId="187D2C43" w14:textId="77777777" w:rsidR="00454A29" w:rsidRDefault="00454A29">
            <w:pPr>
              <w:pStyle w:val="ConsPlusNormal"/>
            </w:pPr>
          </w:p>
        </w:tc>
      </w:tr>
      <w:tr w:rsidR="00454A29" w14:paraId="01C51944" w14:textId="77777777">
        <w:tc>
          <w:tcPr>
            <w:tcW w:w="567" w:type="dxa"/>
            <w:vMerge/>
          </w:tcPr>
          <w:p w14:paraId="4C57008B" w14:textId="77777777" w:rsidR="00454A29" w:rsidRDefault="00454A29"/>
        </w:tc>
        <w:tc>
          <w:tcPr>
            <w:tcW w:w="3345" w:type="dxa"/>
            <w:vMerge/>
          </w:tcPr>
          <w:p w14:paraId="40BCAEA3" w14:textId="77777777" w:rsidR="00454A29" w:rsidRDefault="00454A29"/>
        </w:tc>
        <w:tc>
          <w:tcPr>
            <w:tcW w:w="1701" w:type="dxa"/>
            <w:vAlign w:val="center"/>
          </w:tcPr>
          <w:p w14:paraId="21846A66" w14:textId="77777777" w:rsidR="00454A29" w:rsidRDefault="00454A29">
            <w:pPr>
              <w:pStyle w:val="ConsPlusNormal"/>
              <w:jc w:val="center"/>
            </w:pPr>
            <w:r>
              <w:t>2023</w:t>
            </w:r>
          </w:p>
        </w:tc>
        <w:tc>
          <w:tcPr>
            <w:tcW w:w="1417" w:type="dxa"/>
            <w:vMerge/>
          </w:tcPr>
          <w:p w14:paraId="6FF293F5" w14:textId="77777777" w:rsidR="00454A29" w:rsidRDefault="00454A29"/>
        </w:tc>
        <w:tc>
          <w:tcPr>
            <w:tcW w:w="2204" w:type="dxa"/>
            <w:vMerge/>
          </w:tcPr>
          <w:p w14:paraId="48231417" w14:textId="77777777" w:rsidR="00454A29" w:rsidRDefault="00454A29"/>
        </w:tc>
        <w:tc>
          <w:tcPr>
            <w:tcW w:w="1417" w:type="dxa"/>
            <w:vMerge/>
          </w:tcPr>
          <w:p w14:paraId="04C69A64" w14:textId="77777777" w:rsidR="00454A29" w:rsidRDefault="00454A29"/>
        </w:tc>
        <w:tc>
          <w:tcPr>
            <w:tcW w:w="2324" w:type="dxa"/>
            <w:vMerge/>
          </w:tcPr>
          <w:p w14:paraId="521D8E3F" w14:textId="77777777" w:rsidR="00454A29" w:rsidRDefault="00454A29"/>
        </w:tc>
        <w:tc>
          <w:tcPr>
            <w:tcW w:w="1701" w:type="dxa"/>
            <w:vAlign w:val="center"/>
          </w:tcPr>
          <w:p w14:paraId="52E6EF43" w14:textId="77777777" w:rsidR="00454A29" w:rsidRDefault="00454A29">
            <w:pPr>
              <w:pStyle w:val="ConsPlusNormal"/>
            </w:pPr>
          </w:p>
        </w:tc>
        <w:tc>
          <w:tcPr>
            <w:tcW w:w="1814" w:type="dxa"/>
            <w:vAlign w:val="center"/>
          </w:tcPr>
          <w:p w14:paraId="0075B828" w14:textId="77777777" w:rsidR="00454A29" w:rsidRDefault="00454A29">
            <w:pPr>
              <w:pStyle w:val="ConsPlusNormal"/>
            </w:pPr>
          </w:p>
        </w:tc>
        <w:tc>
          <w:tcPr>
            <w:tcW w:w="1701" w:type="dxa"/>
            <w:vAlign w:val="center"/>
          </w:tcPr>
          <w:p w14:paraId="3F268FB4" w14:textId="77777777" w:rsidR="00454A29" w:rsidRDefault="00454A29">
            <w:pPr>
              <w:pStyle w:val="ConsPlusNormal"/>
            </w:pPr>
          </w:p>
        </w:tc>
        <w:tc>
          <w:tcPr>
            <w:tcW w:w="1701" w:type="dxa"/>
            <w:vAlign w:val="center"/>
          </w:tcPr>
          <w:p w14:paraId="4563B692" w14:textId="77777777" w:rsidR="00454A29" w:rsidRDefault="00454A29">
            <w:pPr>
              <w:pStyle w:val="ConsPlusNormal"/>
            </w:pPr>
          </w:p>
        </w:tc>
        <w:tc>
          <w:tcPr>
            <w:tcW w:w="1814" w:type="dxa"/>
            <w:vAlign w:val="center"/>
          </w:tcPr>
          <w:p w14:paraId="1D5FDD9A" w14:textId="77777777" w:rsidR="00454A29" w:rsidRDefault="00454A29">
            <w:pPr>
              <w:pStyle w:val="ConsPlusNormal"/>
            </w:pPr>
          </w:p>
        </w:tc>
      </w:tr>
      <w:tr w:rsidR="00454A29" w14:paraId="72AFCD10" w14:textId="77777777">
        <w:tc>
          <w:tcPr>
            <w:tcW w:w="567" w:type="dxa"/>
            <w:vMerge/>
          </w:tcPr>
          <w:p w14:paraId="016701A6" w14:textId="77777777" w:rsidR="00454A29" w:rsidRDefault="00454A29"/>
        </w:tc>
        <w:tc>
          <w:tcPr>
            <w:tcW w:w="3345" w:type="dxa"/>
            <w:vMerge/>
          </w:tcPr>
          <w:p w14:paraId="67B6FCC5" w14:textId="77777777" w:rsidR="00454A29" w:rsidRDefault="00454A29"/>
        </w:tc>
        <w:tc>
          <w:tcPr>
            <w:tcW w:w="1701" w:type="dxa"/>
            <w:vAlign w:val="center"/>
          </w:tcPr>
          <w:p w14:paraId="720BFCA1" w14:textId="77777777" w:rsidR="00454A29" w:rsidRDefault="00454A29">
            <w:pPr>
              <w:pStyle w:val="ConsPlusNormal"/>
              <w:jc w:val="center"/>
            </w:pPr>
            <w:r>
              <w:t>2024</w:t>
            </w:r>
          </w:p>
        </w:tc>
        <w:tc>
          <w:tcPr>
            <w:tcW w:w="1417" w:type="dxa"/>
            <w:vMerge/>
          </w:tcPr>
          <w:p w14:paraId="50E7AF3D" w14:textId="77777777" w:rsidR="00454A29" w:rsidRDefault="00454A29"/>
        </w:tc>
        <w:tc>
          <w:tcPr>
            <w:tcW w:w="2204" w:type="dxa"/>
            <w:vMerge/>
          </w:tcPr>
          <w:p w14:paraId="633A8FA6" w14:textId="77777777" w:rsidR="00454A29" w:rsidRDefault="00454A29"/>
        </w:tc>
        <w:tc>
          <w:tcPr>
            <w:tcW w:w="1417" w:type="dxa"/>
            <w:vMerge/>
          </w:tcPr>
          <w:p w14:paraId="58A5C100" w14:textId="77777777" w:rsidR="00454A29" w:rsidRDefault="00454A29"/>
        </w:tc>
        <w:tc>
          <w:tcPr>
            <w:tcW w:w="2324" w:type="dxa"/>
            <w:vMerge/>
          </w:tcPr>
          <w:p w14:paraId="69E9F3D7" w14:textId="77777777" w:rsidR="00454A29" w:rsidRDefault="00454A29"/>
        </w:tc>
        <w:tc>
          <w:tcPr>
            <w:tcW w:w="1701" w:type="dxa"/>
            <w:vAlign w:val="center"/>
          </w:tcPr>
          <w:p w14:paraId="4F3C6CF3" w14:textId="77777777" w:rsidR="00454A29" w:rsidRDefault="00454A29">
            <w:pPr>
              <w:pStyle w:val="ConsPlusNormal"/>
            </w:pPr>
          </w:p>
        </w:tc>
        <w:tc>
          <w:tcPr>
            <w:tcW w:w="1814" w:type="dxa"/>
            <w:vAlign w:val="center"/>
          </w:tcPr>
          <w:p w14:paraId="5C2C8B0E" w14:textId="77777777" w:rsidR="00454A29" w:rsidRDefault="00454A29">
            <w:pPr>
              <w:pStyle w:val="ConsPlusNormal"/>
            </w:pPr>
          </w:p>
        </w:tc>
        <w:tc>
          <w:tcPr>
            <w:tcW w:w="1701" w:type="dxa"/>
            <w:vAlign w:val="center"/>
          </w:tcPr>
          <w:p w14:paraId="33DF7DB1" w14:textId="77777777" w:rsidR="00454A29" w:rsidRDefault="00454A29">
            <w:pPr>
              <w:pStyle w:val="ConsPlusNormal"/>
            </w:pPr>
          </w:p>
        </w:tc>
        <w:tc>
          <w:tcPr>
            <w:tcW w:w="1701" w:type="dxa"/>
            <w:vAlign w:val="center"/>
          </w:tcPr>
          <w:p w14:paraId="1FE5AE78" w14:textId="77777777" w:rsidR="00454A29" w:rsidRDefault="00454A29">
            <w:pPr>
              <w:pStyle w:val="ConsPlusNormal"/>
            </w:pPr>
          </w:p>
        </w:tc>
        <w:tc>
          <w:tcPr>
            <w:tcW w:w="1814" w:type="dxa"/>
            <w:vAlign w:val="center"/>
          </w:tcPr>
          <w:p w14:paraId="4962E9CA" w14:textId="77777777" w:rsidR="00454A29" w:rsidRDefault="00454A29">
            <w:pPr>
              <w:pStyle w:val="ConsPlusNormal"/>
            </w:pPr>
          </w:p>
        </w:tc>
      </w:tr>
      <w:tr w:rsidR="00454A29" w14:paraId="241AE446" w14:textId="77777777">
        <w:tc>
          <w:tcPr>
            <w:tcW w:w="567" w:type="dxa"/>
            <w:vMerge/>
          </w:tcPr>
          <w:p w14:paraId="5D5AC11E" w14:textId="77777777" w:rsidR="00454A29" w:rsidRDefault="00454A29"/>
        </w:tc>
        <w:tc>
          <w:tcPr>
            <w:tcW w:w="3345" w:type="dxa"/>
            <w:vMerge/>
          </w:tcPr>
          <w:p w14:paraId="7DAF81B9" w14:textId="77777777" w:rsidR="00454A29" w:rsidRDefault="00454A29"/>
        </w:tc>
        <w:tc>
          <w:tcPr>
            <w:tcW w:w="1701" w:type="dxa"/>
            <w:vAlign w:val="center"/>
          </w:tcPr>
          <w:p w14:paraId="511090A4" w14:textId="77777777" w:rsidR="00454A29" w:rsidRDefault="00454A29">
            <w:pPr>
              <w:pStyle w:val="ConsPlusNormal"/>
              <w:jc w:val="center"/>
            </w:pPr>
            <w:r>
              <w:t>2025</w:t>
            </w:r>
          </w:p>
        </w:tc>
        <w:tc>
          <w:tcPr>
            <w:tcW w:w="1417" w:type="dxa"/>
            <w:vMerge/>
          </w:tcPr>
          <w:p w14:paraId="0389B5EE" w14:textId="77777777" w:rsidR="00454A29" w:rsidRDefault="00454A29"/>
        </w:tc>
        <w:tc>
          <w:tcPr>
            <w:tcW w:w="2204" w:type="dxa"/>
            <w:vMerge/>
          </w:tcPr>
          <w:p w14:paraId="55151079" w14:textId="77777777" w:rsidR="00454A29" w:rsidRDefault="00454A29"/>
        </w:tc>
        <w:tc>
          <w:tcPr>
            <w:tcW w:w="1417" w:type="dxa"/>
            <w:vMerge/>
          </w:tcPr>
          <w:p w14:paraId="2425E7D2" w14:textId="77777777" w:rsidR="00454A29" w:rsidRDefault="00454A29"/>
        </w:tc>
        <w:tc>
          <w:tcPr>
            <w:tcW w:w="2324" w:type="dxa"/>
            <w:vMerge/>
          </w:tcPr>
          <w:p w14:paraId="5D3B3269" w14:textId="77777777" w:rsidR="00454A29" w:rsidRDefault="00454A29"/>
        </w:tc>
        <w:tc>
          <w:tcPr>
            <w:tcW w:w="1701" w:type="dxa"/>
            <w:vAlign w:val="center"/>
          </w:tcPr>
          <w:p w14:paraId="4309DF27" w14:textId="77777777" w:rsidR="00454A29" w:rsidRDefault="00454A29">
            <w:pPr>
              <w:pStyle w:val="ConsPlusNormal"/>
            </w:pPr>
          </w:p>
        </w:tc>
        <w:tc>
          <w:tcPr>
            <w:tcW w:w="1814" w:type="dxa"/>
            <w:vAlign w:val="center"/>
          </w:tcPr>
          <w:p w14:paraId="6CC2C26B" w14:textId="77777777" w:rsidR="00454A29" w:rsidRDefault="00454A29">
            <w:pPr>
              <w:pStyle w:val="ConsPlusNormal"/>
            </w:pPr>
          </w:p>
        </w:tc>
        <w:tc>
          <w:tcPr>
            <w:tcW w:w="1701" w:type="dxa"/>
            <w:vAlign w:val="center"/>
          </w:tcPr>
          <w:p w14:paraId="06A96841" w14:textId="77777777" w:rsidR="00454A29" w:rsidRDefault="00454A29">
            <w:pPr>
              <w:pStyle w:val="ConsPlusNormal"/>
            </w:pPr>
          </w:p>
        </w:tc>
        <w:tc>
          <w:tcPr>
            <w:tcW w:w="1701" w:type="dxa"/>
            <w:vAlign w:val="center"/>
          </w:tcPr>
          <w:p w14:paraId="2C112FF3" w14:textId="77777777" w:rsidR="00454A29" w:rsidRDefault="00454A29">
            <w:pPr>
              <w:pStyle w:val="ConsPlusNormal"/>
            </w:pPr>
          </w:p>
        </w:tc>
        <w:tc>
          <w:tcPr>
            <w:tcW w:w="1814" w:type="dxa"/>
            <w:vAlign w:val="center"/>
          </w:tcPr>
          <w:p w14:paraId="2A6948CF" w14:textId="77777777" w:rsidR="00454A29" w:rsidRDefault="00454A29">
            <w:pPr>
              <w:pStyle w:val="ConsPlusNormal"/>
            </w:pPr>
          </w:p>
        </w:tc>
      </w:tr>
      <w:tr w:rsidR="00454A29" w14:paraId="611D9474" w14:textId="77777777">
        <w:tc>
          <w:tcPr>
            <w:tcW w:w="567" w:type="dxa"/>
            <w:vMerge/>
          </w:tcPr>
          <w:p w14:paraId="36B41850" w14:textId="77777777" w:rsidR="00454A29" w:rsidRDefault="00454A29"/>
        </w:tc>
        <w:tc>
          <w:tcPr>
            <w:tcW w:w="3345" w:type="dxa"/>
            <w:vMerge/>
          </w:tcPr>
          <w:p w14:paraId="36158875" w14:textId="77777777" w:rsidR="00454A29" w:rsidRDefault="00454A29"/>
        </w:tc>
        <w:tc>
          <w:tcPr>
            <w:tcW w:w="1701" w:type="dxa"/>
            <w:vAlign w:val="center"/>
          </w:tcPr>
          <w:p w14:paraId="7320D0B6" w14:textId="77777777" w:rsidR="00454A29" w:rsidRDefault="00454A29">
            <w:pPr>
              <w:pStyle w:val="ConsPlusNormal"/>
              <w:jc w:val="center"/>
            </w:pPr>
            <w:r>
              <w:t>2026</w:t>
            </w:r>
          </w:p>
        </w:tc>
        <w:tc>
          <w:tcPr>
            <w:tcW w:w="1417" w:type="dxa"/>
            <w:vMerge/>
          </w:tcPr>
          <w:p w14:paraId="4CF3B8A6" w14:textId="77777777" w:rsidR="00454A29" w:rsidRDefault="00454A29"/>
        </w:tc>
        <w:tc>
          <w:tcPr>
            <w:tcW w:w="2204" w:type="dxa"/>
            <w:vMerge/>
          </w:tcPr>
          <w:p w14:paraId="3CFF8CC0" w14:textId="77777777" w:rsidR="00454A29" w:rsidRDefault="00454A29"/>
        </w:tc>
        <w:tc>
          <w:tcPr>
            <w:tcW w:w="1417" w:type="dxa"/>
            <w:vMerge/>
          </w:tcPr>
          <w:p w14:paraId="32C7706D" w14:textId="77777777" w:rsidR="00454A29" w:rsidRDefault="00454A29"/>
        </w:tc>
        <w:tc>
          <w:tcPr>
            <w:tcW w:w="2324" w:type="dxa"/>
            <w:vMerge/>
          </w:tcPr>
          <w:p w14:paraId="2830D4CC" w14:textId="77777777" w:rsidR="00454A29" w:rsidRDefault="00454A29"/>
        </w:tc>
        <w:tc>
          <w:tcPr>
            <w:tcW w:w="1701" w:type="dxa"/>
            <w:vAlign w:val="center"/>
          </w:tcPr>
          <w:p w14:paraId="74606FB9" w14:textId="77777777" w:rsidR="00454A29" w:rsidRDefault="00454A29">
            <w:pPr>
              <w:pStyle w:val="ConsPlusNormal"/>
            </w:pPr>
          </w:p>
        </w:tc>
        <w:tc>
          <w:tcPr>
            <w:tcW w:w="1814" w:type="dxa"/>
            <w:vAlign w:val="center"/>
          </w:tcPr>
          <w:p w14:paraId="32AAEF57" w14:textId="77777777" w:rsidR="00454A29" w:rsidRDefault="00454A29">
            <w:pPr>
              <w:pStyle w:val="ConsPlusNormal"/>
            </w:pPr>
          </w:p>
        </w:tc>
        <w:tc>
          <w:tcPr>
            <w:tcW w:w="1701" w:type="dxa"/>
            <w:vAlign w:val="center"/>
          </w:tcPr>
          <w:p w14:paraId="62AC9C11" w14:textId="77777777" w:rsidR="00454A29" w:rsidRDefault="00454A29">
            <w:pPr>
              <w:pStyle w:val="ConsPlusNormal"/>
            </w:pPr>
          </w:p>
        </w:tc>
        <w:tc>
          <w:tcPr>
            <w:tcW w:w="1701" w:type="dxa"/>
            <w:vAlign w:val="center"/>
          </w:tcPr>
          <w:p w14:paraId="12EC329D" w14:textId="77777777" w:rsidR="00454A29" w:rsidRDefault="00454A29">
            <w:pPr>
              <w:pStyle w:val="ConsPlusNormal"/>
            </w:pPr>
          </w:p>
        </w:tc>
        <w:tc>
          <w:tcPr>
            <w:tcW w:w="1814" w:type="dxa"/>
            <w:vAlign w:val="center"/>
          </w:tcPr>
          <w:p w14:paraId="0A5E5CDF" w14:textId="77777777" w:rsidR="00454A29" w:rsidRDefault="00454A29">
            <w:pPr>
              <w:pStyle w:val="ConsPlusNormal"/>
            </w:pPr>
          </w:p>
        </w:tc>
      </w:tr>
      <w:tr w:rsidR="00454A29" w14:paraId="29979C46" w14:textId="77777777">
        <w:tc>
          <w:tcPr>
            <w:tcW w:w="567" w:type="dxa"/>
            <w:vMerge w:val="restart"/>
            <w:vAlign w:val="center"/>
          </w:tcPr>
          <w:p w14:paraId="46D4FDE2" w14:textId="77777777" w:rsidR="00454A29" w:rsidRDefault="00454A29">
            <w:pPr>
              <w:pStyle w:val="ConsPlusNormal"/>
              <w:jc w:val="center"/>
            </w:pPr>
            <w:r>
              <w:lastRenderedPageBreak/>
              <w:t>202</w:t>
            </w:r>
          </w:p>
        </w:tc>
        <w:tc>
          <w:tcPr>
            <w:tcW w:w="3345" w:type="dxa"/>
            <w:vMerge w:val="restart"/>
            <w:vAlign w:val="center"/>
          </w:tcPr>
          <w:p w14:paraId="741C9579" w14:textId="77777777" w:rsidR="00454A29" w:rsidRDefault="00454A29">
            <w:pPr>
              <w:pStyle w:val="ConsPlusNormal"/>
              <w:jc w:val="center"/>
            </w:pPr>
            <w:r>
              <w:t>Школа на 360 мест в г. Нюрба (Убоян)</w:t>
            </w:r>
          </w:p>
        </w:tc>
        <w:tc>
          <w:tcPr>
            <w:tcW w:w="1701" w:type="dxa"/>
            <w:vAlign w:val="center"/>
          </w:tcPr>
          <w:p w14:paraId="079F4303" w14:textId="77777777" w:rsidR="00454A29" w:rsidRDefault="00454A29">
            <w:pPr>
              <w:pStyle w:val="ConsPlusNormal"/>
              <w:jc w:val="center"/>
            </w:pPr>
            <w:r>
              <w:t>2020 - 2026 годы - всего</w:t>
            </w:r>
          </w:p>
        </w:tc>
        <w:tc>
          <w:tcPr>
            <w:tcW w:w="1417" w:type="dxa"/>
            <w:vMerge w:val="restart"/>
            <w:vAlign w:val="center"/>
          </w:tcPr>
          <w:p w14:paraId="03DA8DE7" w14:textId="77777777" w:rsidR="00454A29" w:rsidRDefault="00454A29">
            <w:pPr>
              <w:pStyle w:val="ConsPlusNormal"/>
              <w:jc w:val="center"/>
            </w:pPr>
            <w:r>
              <w:t>227 232,46</w:t>
            </w:r>
          </w:p>
        </w:tc>
        <w:tc>
          <w:tcPr>
            <w:tcW w:w="2204" w:type="dxa"/>
            <w:vMerge w:val="restart"/>
            <w:vAlign w:val="center"/>
          </w:tcPr>
          <w:p w14:paraId="72829927" w14:textId="77777777" w:rsidR="00454A29" w:rsidRDefault="00454A29">
            <w:pPr>
              <w:pStyle w:val="ConsPlusNormal"/>
              <w:jc w:val="center"/>
            </w:pPr>
            <w:r>
              <w:t>имеется</w:t>
            </w:r>
          </w:p>
        </w:tc>
        <w:tc>
          <w:tcPr>
            <w:tcW w:w="1417" w:type="dxa"/>
            <w:vMerge w:val="restart"/>
            <w:vAlign w:val="center"/>
          </w:tcPr>
          <w:p w14:paraId="173A5CE4" w14:textId="77777777" w:rsidR="00454A29" w:rsidRDefault="00454A29">
            <w:pPr>
              <w:pStyle w:val="ConsPlusNormal"/>
              <w:jc w:val="center"/>
            </w:pPr>
            <w:r>
              <w:t>360</w:t>
            </w:r>
          </w:p>
        </w:tc>
        <w:tc>
          <w:tcPr>
            <w:tcW w:w="2324" w:type="dxa"/>
            <w:vMerge w:val="restart"/>
            <w:vAlign w:val="center"/>
          </w:tcPr>
          <w:p w14:paraId="350A43B6" w14:textId="77777777" w:rsidR="00454A29" w:rsidRDefault="00454A29">
            <w:pPr>
              <w:pStyle w:val="ConsPlusNormal"/>
              <w:jc w:val="center"/>
            </w:pPr>
            <w:r>
              <w:t>Минстрой РС(Я), МР "Нюрбинский район"</w:t>
            </w:r>
          </w:p>
        </w:tc>
        <w:tc>
          <w:tcPr>
            <w:tcW w:w="1701" w:type="dxa"/>
            <w:vAlign w:val="center"/>
          </w:tcPr>
          <w:p w14:paraId="65D46F63" w14:textId="77777777" w:rsidR="00454A29" w:rsidRDefault="00454A29">
            <w:pPr>
              <w:pStyle w:val="ConsPlusNormal"/>
              <w:jc w:val="center"/>
            </w:pPr>
            <w:r>
              <w:t>227 232,46</w:t>
            </w:r>
          </w:p>
        </w:tc>
        <w:tc>
          <w:tcPr>
            <w:tcW w:w="1814" w:type="dxa"/>
            <w:vAlign w:val="center"/>
          </w:tcPr>
          <w:p w14:paraId="21C213BD" w14:textId="77777777" w:rsidR="00454A29" w:rsidRDefault="00454A29">
            <w:pPr>
              <w:pStyle w:val="ConsPlusNormal"/>
              <w:jc w:val="center"/>
            </w:pPr>
            <w:r>
              <w:t>-</w:t>
            </w:r>
          </w:p>
        </w:tc>
        <w:tc>
          <w:tcPr>
            <w:tcW w:w="1701" w:type="dxa"/>
            <w:vAlign w:val="center"/>
          </w:tcPr>
          <w:p w14:paraId="2D7C0D48" w14:textId="77777777" w:rsidR="00454A29" w:rsidRDefault="00454A29">
            <w:pPr>
              <w:pStyle w:val="ConsPlusNormal"/>
              <w:jc w:val="center"/>
            </w:pPr>
            <w:r>
              <w:t>185 645,26</w:t>
            </w:r>
          </w:p>
        </w:tc>
        <w:tc>
          <w:tcPr>
            <w:tcW w:w="1701" w:type="dxa"/>
            <w:vAlign w:val="center"/>
          </w:tcPr>
          <w:p w14:paraId="0B1651E9" w14:textId="77777777" w:rsidR="00454A29" w:rsidRDefault="00454A29">
            <w:pPr>
              <w:pStyle w:val="ConsPlusNormal"/>
              <w:jc w:val="center"/>
            </w:pPr>
            <w:r>
              <w:t>41 587,20</w:t>
            </w:r>
          </w:p>
        </w:tc>
        <w:tc>
          <w:tcPr>
            <w:tcW w:w="1814" w:type="dxa"/>
            <w:vAlign w:val="center"/>
          </w:tcPr>
          <w:p w14:paraId="72510772" w14:textId="77777777" w:rsidR="00454A29" w:rsidRDefault="00454A29">
            <w:pPr>
              <w:pStyle w:val="ConsPlusNormal"/>
              <w:jc w:val="center"/>
            </w:pPr>
            <w:r>
              <w:t>-</w:t>
            </w:r>
          </w:p>
        </w:tc>
      </w:tr>
      <w:tr w:rsidR="00454A29" w14:paraId="09484B2C" w14:textId="77777777">
        <w:tc>
          <w:tcPr>
            <w:tcW w:w="567" w:type="dxa"/>
            <w:vMerge/>
          </w:tcPr>
          <w:p w14:paraId="3852E6A6" w14:textId="77777777" w:rsidR="00454A29" w:rsidRDefault="00454A29"/>
        </w:tc>
        <w:tc>
          <w:tcPr>
            <w:tcW w:w="3345" w:type="dxa"/>
            <w:vMerge/>
          </w:tcPr>
          <w:p w14:paraId="5F673124" w14:textId="77777777" w:rsidR="00454A29" w:rsidRDefault="00454A29"/>
        </w:tc>
        <w:tc>
          <w:tcPr>
            <w:tcW w:w="1701" w:type="dxa"/>
            <w:vAlign w:val="center"/>
          </w:tcPr>
          <w:p w14:paraId="14D50CD2" w14:textId="77777777" w:rsidR="00454A29" w:rsidRDefault="00454A29">
            <w:pPr>
              <w:pStyle w:val="ConsPlusNormal"/>
              <w:jc w:val="center"/>
            </w:pPr>
            <w:r>
              <w:t>2020</w:t>
            </w:r>
          </w:p>
        </w:tc>
        <w:tc>
          <w:tcPr>
            <w:tcW w:w="1417" w:type="dxa"/>
            <w:vMerge/>
          </w:tcPr>
          <w:p w14:paraId="4C59867E" w14:textId="77777777" w:rsidR="00454A29" w:rsidRDefault="00454A29"/>
        </w:tc>
        <w:tc>
          <w:tcPr>
            <w:tcW w:w="2204" w:type="dxa"/>
            <w:vMerge/>
          </w:tcPr>
          <w:p w14:paraId="21895E13" w14:textId="77777777" w:rsidR="00454A29" w:rsidRDefault="00454A29"/>
        </w:tc>
        <w:tc>
          <w:tcPr>
            <w:tcW w:w="1417" w:type="dxa"/>
            <w:vMerge/>
          </w:tcPr>
          <w:p w14:paraId="2DEAD1A0" w14:textId="77777777" w:rsidR="00454A29" w:rsidRDefault="00454A29"/>
        </w:tc>
        <w:tc>
          <w:tcPr>
            <w:tcW w:w="2324" w:type="dxa"/>
            <w:vMerge/>
          </w:tcPr>
          <w:p w14:paraId="2478AEFC" w14:textId="77777777" w:rsidR="00454A29" w:rsidRDefault="00454A29"/>
        </w:tc>
        <w:tc>
          <w:tcPr>
            <w:tcW w:w="1701" w:type="dxa"/>
            <w:vAlign w:val="center"/>
          </w:tcPr>
          <w:p w14:paraId="44DDB471" w14:textId="77777777" w:rsidR="00454A29" w:rsidRDefault="00454A29">
            <w:pPr>
              <w:pStyle w:val="ConsPlusNormal"/>
            </w:pPr>
          </w:p>
        </w:tc>
        <w:tc>
          <w:tcPr>
            <w:tcW w:w="1814" w:type="dxa"/>
            <w:vAlign w:val="center"/>
          </w:tcPr>
          <w:p w14:paraId="0860240D" w14:textId="77777777" w:rsidR="00454A29" w:rsidRDefault="00454A29">
            <w:pPr>
              <w:pStyle w:val="ConsPlusNormal"/>
            </w:pPr>
          </w:p>
        </w:tc>
        <w:tc>
          <w:tcPr>
            <w:tcW w:w="1701" w:type="dxa"/>
            <w:vAlign w:val="center"/>
          </w:tcPr>
          <w:p w14:paraId="6B53C7C2" w14:textId="77777777" w:rsidR="00454A29" w:rsidRDefault="00454A29">
            <w:pPr>
              <w:pStyle w:val="ConsPlusNormal"/>
            </w:pPr>
          </w:p>
        </w:tc>
        <w:tc>
          <w:tcPr>
            <w:tcW w:w="1701" w:type="dxa"/>
            <w:vAlign w:val="center"/>
          </w:tcPr>
          <w:p w14:paraId="082350CC" w14:textId="77777777" w:rsidR="00454A29" w:rsidRDefault="00454A29">
            <w:pPr>
              <w:pStyle w:val="ConsPlusNormal"/>
            </w:pPr>
          </w:p>
        </w:tc>
        <w:tc>
          <w:tcPr>
            <w:tcW w:w="1814" w:type="dxa"/>
            <w:vAlign w:val="center"/>
          </w:tcPr>
          <w:p w14:paraId="4DDF4434" w14:textId="77777777" w:rsidR="00454A29" w:rsidRDefault="00454A29">
            <w:pPr>
              <w:pStyle w:val="ConsPlusNormal"/>
            </w:pPr>
          </w:p>
        </w:tc>
      </w:tr>
      <w:tr w:rsidR="00454A29" w14:paraId="7E8D9256" w14:textId="77777777">
        <w:tc>
          <w:tcPr>
            <w:tcW w:w="567" w:type="dxa"/>
            <w:vMerge/>
          </w:tcPr>
          <w:p w14:paraId="35788704" w14:textId="77777777" w:rsidR="00454A29" w:rsidRDefault="00454A29"/>
        </w:tc>
        <w:tc>
          <w:tcPr>
            <w:tcW w:w="3345" w:type="dxa"/>
            <w:vMerge/>
          </w:tcPr>
          <w:p w14:paraId="6BE0687C" w14:textId="77777777" w:rsidR="00454A29" w:rsidRDefault="00454A29"/>
        </w:tc>
        <w:tc>
          <w:tcPr>
            <w:tcW w:w="1701" w:type="dxa"/>
            <w:vAlign w:val="center"/>
          </w:tcPr>
          <w:p w14:paraId="1B155A8E" w14:textId="77777777" w:rsidR="00454A29" w:rsidRDefault="00454A29">
            <w:pPr>
              <w:pStyle w:val="ConsPlusNormal"/>
              <w:jc w:val="center"/>
            </w:pPr>
            <w:r>
              <w:t>2021</w:t>
            </w:r>
          </w:p>
        </w:tc>
        <w:tc>
          <w:tcPr>
            <w:tcW w:w="1417" w:type="dxa"/>
            <w:vMerge/>
          </w:tcPr>
          <w:p w14:paraId="1D3FB6A8" w14:textId="77777777" w:rsidR="00454A29" w:rsidRDefault="00454A29"/>
        </w:tc>
        <w:tc>
          <w:tcPr>
            <w:tcW w:w="2204" w:type="dxa"/>
            <w:vMerge/>
          </w:tcPr>
          <w:p w14:paraId="304EFFEF" w14:textId="77777777" w:rsidR="00454A29" w:rsidRDefault="00454A29"/>
        </w:tc>
        <w:tc>
          <w:tcPr>
            <w:tcW w:w="1417" w:type="dxa"/>
            <w:vMerge/>
          </w:tcPr>
          <w:p w14:paraId="61BD3071" w14:textId="77777777" w:rsidR="00454A29" w:rsidRDefault="00454A29"/>
        </w:tc>
        <w:tc>
          <w:tcPr>
            <w:tcW w:w="2324" w:type="dxa"/>
            <w:vMerge/>
          </w:tcPr>
          <w:p w14:paraId="31F836DE" w14:textId="77777777" w:rsidR="00454A29" w:rsidRDefault="00454A29"/>
        </w:tc>
        <w:tc>
          <w:tcPr>
            <w:tcW w:w="1701" w:type="dxa"/>
            <w:vAlign w:val="center"/>
          </w:tcPr>
          <w:p w14:paraId="1A5DB7FF" w14:textId="77777777" w:rsidR="00454A29" w:rsidRDefault="00454A29">
            <w:pPr>
              <w:pStyle w:val="ConsPlusNormal"/>
              <w:jc w:val="center"/>
            </w:pPr>
            <w:r>
              <w:t>-</w:t>
            </w:r>
          </w:p>
        </w:tc>
        <w:tc>
          <w:tcPr>
            <w:tcW w:w="1814" w:type="dxa"/>
            <w:vAlign w:val="center"/>
          </w:tcPr>
          <w:p w14:paraId="186860D8" w14:textId="77777777" w:rsidR="00454A29" w:rsidRDefault="00454A29">
            <w:pPr>
              <w:pStyle w:val="ConsPlusNormal"/>
            </w:pPr>
          </w:p>
        </w:tc>
        <w:tc>
          <w:tcPr>
            <w:tcW w:w="1701" w:type="dxa"/>
            <w:vAlign w:val="center"/>
          </w:tcPr>
          <w:p w14:paraId="77580293" w14:textId="77777777" w:rsidR="00454A29" w:rsidRDefault="00454A29">
            <w:pPr>
              <w:pStyle w:val="ConsPlusNormal"/>
            </w:pPr>
          </w:p>
        </w:tc>
        <w:tc>
          <w:tcPr>
            <w:tcW w:w="1701" w:type="dxa"/>
            <w:vAlign w:val="center"/>
          </w:tcPr>
          <w:p w14:paraId="0667C5E1" w14:textId="77777777" w:rsidR="00454A29" w:rsidRDefault="00454A29">
            <w:pPr>
              <w:pStyle w:val="ConsPlusNormal"/>
            </w:pPr>
          </w:p>
        </w:tc>
        <w:tc>
          <w:tcPr>
            <w:tcW w:w="1814" w:type="dxa"/>
            <w:vAlign w:val="center"/>
          </w:tcPr>
          <w:p w14:paraId="561F019C" w14:textId="77777777" w:rsidR="00454A29" w:rsidRDefault="00454A29">
            <w:pPr>
              <w:pStyle w:val="ConsPlusNormal"/>
            </w:pPr>
          </w:p>
        </w:tc>
      </w:tr>
      <w:tr w:rsidR="00454A29" w14:paraId="1A25A7D4" w14:textId="77777777">
        <w:tc>
          <w:tcPr>
            <w:tcW w:w="567" w:type="dxa"/>
            <w:vMerge/>
          </w:tcPr>
          <w:p w14:paraId="1833F730" w14:textId="77777777" w:rsidR="00454A29" w:rsidRDefault="00454A29"/>
        </w:tc>
        <w:tc>
          <w:tcPr>
            <w:tcW w:w="3345" w:type="dxa"/>
            <w:vMerge/>
          </w:tcPr>
          <w:p w14:paraId="1C9EAF5A" w14:textId="77777777" w:rsidR="00454A29" w:rsidRDefault="00454A29"/>
        </w:tc>
        <w:tc>
          <w:tcPr>
            <w:tcW w:w="1701" w:type="dxa"/>
            <w:vAlign w:val="center"/>
          </w:tcPr>
          <w:p w14:paraId="0EB9CB0B" w14:textId="77777777" w:rsidR="00454A29" w:rsidRDefault="00454A29">
            <w:pPr>
              <w:pStyle w:val="ConsPlusNormal"/>
              <w:jc w:val="center"/>
            </w:pPr>
            <w:r>
              <w:t>2022</w:t>
            </w:r>
          </w:p>
        </w:tc>
        <w:tc>
          <w:tcPr>
            <w:tcW w:w="1417" w:type="dxa"/>
            <w:vMerge/>
          </w:tcPr>
          <w:p w14:paraId="08AF1315" w14:textId="77777777" w:rsidR="00454A29" w:rsidRDefault="00454A29"/>
        </w:tc>
        <w:tc>
          <w:tcPr>
            <w:tcW w:w="2204" w:type="dxa"/>
            <w:vMerge/>
          </w:tcPr>
          <w:p w14:paraId="3F7BB4F1" w14:textId="77777777" w:rsidR="00454A29" w:rsidRDefault="00454A29"/>
        </w:tc>
        <w:tc>
          <w:tcPr>
            <w:tcW w:w="1417" w:type="dxa"/>
            <w:vMerge/>
          </w:tcPr>
          <w:p w14:paraId="07D950C1" w14:textId="77777777" w:rsidR="00454A29" w:rsidRDefault="00454A29"/>
        </w:tc>
        <w:tc>
          <w:tcPr>
            <w:tcW w:w="2324" w:type="dxa"/>
            <w:vMerge/>
          </w:tcPr>
          <w:p w14:paraId="36FBAF5D" w14:textId="77777777" w:rsidR="00454A29" w:rsidRDefault="00454A29"/>
        </w:tc>
        <w:tc>
          <w:tcPr>
            <w:tcW w:w="1701" w:type="dxa"/>
            <w:vAlign w:val="center"/>
          </w:tcPr>
          <w:p w14:paraId="708365EA" w14:textId="77777777" w:rsidR="00454A29" w:rsidRDefault="00454A29">
            <w:pPr>
              <w:pStyle w:val="ConsPlusNormal"/>
            </w:pPr>
          </w:p>
        </w:tc>
        <w:tc>
          <w:tcPr>
            <w:tcW w:w="1814" w:type="dxa"/>
            <w:vAlign w:val="center"/>
          </w:tcPr>
          <w:p w14:paraId="7BE9A7C2" w14:textId="77777777" w:rsidR="00454A29" w:rsidRDefault="00454A29">
            <w:pPr>
              <w:pStyle w:val="ConsPlusNormal"/>
            </w:pPr>
          </w:p>
        </w:tc>
        <w:tc>
          <w:tcPr>
            <w:tcW w:w="1701" w:type="dxa"/>
            <w:vAlign w:val="center"/>
          </w:tcPr>
          <w:p w14:paraId="4DD5B117" w14:textId="77777777" w:rsidR="00454A29" w:rsidRDefault="00454A29">
            <w:pPr>
              <w:pStyle w:val="ConsPlusNormal"/>
            </w:pPr>
          </w:p>
        </w:tc>
        <w:tc>
          <w:tcPr>
            <w:tcW w:w="1701" w:type="dxa"/>
            <w:vAlign w:val="center"/>
          </w:tcPr>
          <w:p w14:paraId="19F7A3B0" w14:textId="77777777" w:rsidR="00454A29" w:rsidRDefault="00454A29">
            <w:pPr>
              <w:pStyle w:val="ConsPlusNormal"/>
            </w:pPr>
          </w:p>
        </w:tc>
        <w:tc>
          <w:tcPr>
            <w:tcW w:w="1814" w:type="dxa"/>
            <w:vAlign w:val="center"/>
          </w:tcPr>
          <w:p w14:paraId="4C4F52BB" w14:textId="77777777" w:rsidR="00454A29" w:rsidRDefault="00454A29">
            <w:pPr>
              <w:pStyle w:val="ConsPlusNormal"/>
            </w:pPr>
          </w:p>
        </w:tc>
      </w:tr>
      <w:tr w:rsidR="00454A29" w14:paraId="483BF96E" w14:textId="77777777">
        <w:tc>
          <w:tcPr>
            <w:tcW w:w="567" w:type="dxa"/>
            <w:vMerge/>
          </w:tcPr>
          <w:p w14:paraId="31A425F7" w14:textId="77777777" w:rsidR="00454A29" w:rsidRDefault="00454A29"/>
        </w:tc>
        <w:tc>
          <w:tcPr>
            <w:tcW w:w="3345" w:type="dxa"/>
            <w:vMerge/>
          </w:tcPr>
          <w:p w14:paraId="0151462F" w14:textId="77777777" w:rsidR="00454A29" w:rsidRDefault="00454A29"/>
        </w:tc>
        <w:tc>
          <w:tcPr>
            <w:tcW w:w="1701" w:type="dxa"/>
            <w:vAlign w:val="center"/>
          </w:tcPr>
          <w:p w14:paraId="25FE1733" w14:textId="77777777" w:rsidR="00454A29" w:rsidRDefault="00454A29">
            <w:pPr>
              <w:pStyle w:val="ConsPlusNormal"/>
              <w:jc w:val="center"/>
            </w:pPr>
            <w:r>
              <w:t>2023</w:t>
            </w:r>
          </w:p>
        </w:tc>
        <w:tc>
          <w:tcPr>
            <w:tcW w:w="1417" w:type="dxa"/>
            <w:vMerge/>
          </w:tcPr>
          <w:p w14:paraId="1FCCB3C1" w14:textId="77777777" w:rsidR="00454A29" w:rsidRDefault="00454A29"/>
        </w:tc>
        <w:tc>
          <w:tcPr>
            <w:tcW w:w="2204" w:type="dxa"/>
            <w:vMerge/>
          </w:tcPr>
          <w:p w14:paraId="0B18C93F" w14:textId="77777777" w:rsidR="00454A29" w:rsidRDefault="00454A29"/>
        </w:tc>
        <w:tc>
          <w:tcPr>
            <w:tcW w:w="1417" w:type="dxa"/>
            <w:vMerge/>
          </w:tcPr>
          <w:p w14:paraId="50ED34B7" w14:textId="77777777" w:rsidR="00454A29" w:rsidRDefault="00454A29"/>
        </w:tc>
        <w:tc>
          <w:tcPr>
            <w:tcW w:w="2324" w:type="dxa"/>
            <w:vMerge/>
          </w:tcPr>
          <w:p w14:paraId="370C22DD" w14:textId="77777777" w:rsidR="00454A29" w:rsidRDefault="00454A29"/>
        </w:tc>
        <w:tc>
          <w:tcPr>
            <w:tcW w:w="1701" w:type="dxa"/>
            <w:vAlign w:val="center"/>
          </w:tcPr>
          <w:p w14:paraId="67A25A4A" w14:textId="77777777" w:rsidR="00454A29" w:rsidRDefault="00454A29">
            <w:pPr>
              <w:pStyle w:val="ConsPlusNormal"/>
              <w:jc w:val="center"/>
            </w:pPr>
            <w:r>
              <w:t>227 232,46</w:t>
            </w:r>
          </w:p>
        </w:tc>
        <w:tc>
          <w:tcPr>
            <w:tcW w:w="1814" w:type="dxa"/>
            <w:vAlign w:val="center"/>
          </w:tcPr>
          <w:p w14:paraId="5A6EB933" w14:textId="77777777" w:rsidR="00454A29" w:rsidRDefault="00454A29">
            <w:pPr>
              <w:pStyle w:val="ConsPlusNormal"/>
            </w:pPr>
          </w:p>
        </w:tc>
        <w:tc>
          <w:tcPr>
            <w:tcW w:w="1701" w:type="dxa"/>
            <w:vAlign w:val="center"/>
          </w:tcPr>
          <w:p w14:paraId="64C3BE14" w14:textId="77777777" w:rsidR="00454A29" w:rsidRDefault="00454A29">
            <w:pPr>
              <w:pStyle w:val="ConsPlusNormal"/>
              <w:jc w:val="center"/>
            </w:pPr>
            <w:r>
              <w:t>185 645,26</w:t>
            </w:r>
          </w:p>
        </w:tc>
        <w:tc>
          <w:tcPr>
            <w:tcW w:w="1701" w:type="dxa"/>
            <w:vAlign w:val="center"/>
          </w:tcPr>
          <w:p w14:paraId="445FFC54" w14:textId="77777777" w:rsidR="00454A29" w:rsidRDefault="00454A29">
            <w:pPr>
              <w:pStyle w:val="ConsPlusNormal"/>
              <w:jc w:val="center"/>
            </w:pPr>
            <w:r>
              <w:t>41 587,20</w:t>
            </w:r>
          </w:p>
        </w:tc>
        <w:tc>
          <w:tcPr>
            <w:tcW w:w="1814" w:type="dxa"/>
            <w:vAlign w:val="center"/>
          </w:tcPr>
          <w:p w14:paraId="315FEE0B" w14:textId="77777777" w:rsidR="00454A29" w:rsidRDefault="00454A29">
            <w:pPr>
              <w:pStyle w:val="ConsPlusNormal"/>
            </w:pPr>
          </w:p>
        </w:tc>
      </w:tr>
      <w:tr w:rsidR="00454A29" w14:paraId="2D18A289" w14:textId="77777777">
        <w:tc>
          <w:tcPr>
            <w:tcW w:w="567" w:type="dxa"/>
            <w:vMerge/>
          </w:tcPr>
          <w:p w14:paraId="3FDCDE35" w14:textId="77777777" w:rsidR="00454A29" w:rsidRDefault="00454A29"/>
        </w:tc>
        <w:tc>
          <w:tcPr>
            <w:tcW w:w="3345" w:type="dxa"/>
            <w:vMerge/>
          </w:tcPr>
          <w:p w14:paraId="17456AA7" w14:textId="77777777" w:rsidR="00454A29" w:rsidRDefault="00454A29"/>
        </w:tc>
        <w:tc>
          <w:tcPr>
            <w:tcW w:w="1701" w:type="dxa"/>
            <w:vAlign w:val="center"/>
          </w:tcPr>
          <w:p w14:paraId="5D194283" w14:textId="77777777" w:rsidR="00454A29" w:rsidRDefault="00454A29">
            <w:pPr>
              <w:pStyle w:val="ConsPlusNormal"/>
              <w:jc w:val="center"/>
            </w:pPr>
            <w:r>
              <w:t>2024</w:t>
            </w:r>
          </w:p>
        </w:tc>
        <w:tc>
          <w:tcPr>
            <w:tcW w:w="1417" w:type="dxa"/>
            <w:vMerge/>
          </w:tcPr>
          <w:p w14:paraId="2D197E1F" w14:textId="77777777" w:rsidR="00454A29" w:rsidRDefault="00454A29"/>
        </w:tc>
        <w:tc>
          <w:tcPr>
            <w:tcW w:w="2204" w:type="dxa"/>
            <w:vMerge/>
          </w:tcPr>
          <w:p w14:paraId="46083FA2" w14:textId="77777777" w:rsidR="00454A29" w:rsidRDefault="00454A29"/>
        </w:tc>
        <w:tc>
          <w:tcPr>
            <w:tcW w:w="1417" w:type="dxa"/>
            <w:vMerge/>
          </w:tcPr>
          <w:p w14:paraId="457DF18F" w14:textId="77777777" w:rsidR="00454A29" w:rsidRDefault="00454A29"/>
        </w:tc>
        <w:tc>
          <w:tcPr>
            <w:tcW w:w="2324" w:type="dxa"/>
            <w:vMerge/>
          </w:tcPr>
          <w:p w14:paraId="0BA8CE46" w14:textId="77777777" w:rsidR="00454A29" w:rsidRDefault="00454A29"/>
        </w:tc>
        <w:tc>
          <w:tcPr>
            <w:tcW w:w="1701" w:type="dxa"/>
            <w:vAlign w:val="center"/>
          </w:tcPr>
          <w:p w14:paraId="65FE064E" w14:textId="77777777" w:rsidR="00454A29" w:rsidRDefault="00454A29">
            <w:pPr>
              <w:pStyle w:val="ConsPlusNormal"/>
            </w:pPr>
          </w:p>
        </w:tc>
        <w:tc>
          <w:tcPr>
            <w:tcW w:w="1814" w:type="dxa"/>
            <w:vAlign w:val="center"/>
          </w:tcPr>
          <w:p w14:paraId="5D44C4FC" w14:textId="77777777" w:rsidR="00454A29" w:rsidRDefault="00454A29">
            <w:pPr>
              <w:pStyle w:val="ConsPlusNormal"/>
            </w:pPr>
          </w:p>
        </w:tc>
        <w:tc>
          <w:tcPr>
            <w:tcW w:w="1701" w:type="dxa"/>
            <w:vAlign w:val="center"/>
          </w:tcPr>
          <w:p w14:paraId="3245F1E8" w14:textId="77777777" w:rsidR="00454A29" w:rsidRDefault="00454A29">
            <w:pPr>
              <w:pStyle w:val="ConsPlusNormal"/>
            </w:pPr>
          </w:p>
        </w:tc>
        <w:tc>
          <w:tcPr>
            <w:tcW w:w="1701" w:type="dxa"/>
            <w:vAlign w:val="center"/>
          </w:tcPr>
          <w:p w14:paraId="405E1C82" w14:textId="77777777" w:rsidR="00454A29" w:rsidRDefault="00454A29">
            <w:pPr>
              <w:pStyle w:val="ConsPlusNormal"/>
            </w:pPr>
          </w:p>
        </w:tc>
        <w:tc>
          <w:tcPr>
            <w:tcW w:w="1814" w:type="dxa"/>
            <w:vAlign w:val="center"/>
          </w:tcPr>
          <w:p w14:paraId="75788F26" w14:textId="77777777" w:rsidR="00454A29" w:rsidRDefault="00454A29">
            <w:pPr>
              <w:pStyle w:val="ConsPlusNormal"/>
            </w:pPr>
          </w:p>
        </w:tc>
      </w:tr>
      <w:tr w:rsidR="00454A29" w14:paraId="23A4392D" w14:textId="77777777">
        <w:tc>
          <w:tcPr>
            <w:tcW w:w="567" w:type="dxa"/>
            <w:vMerge/>
          </w:tcPr>
          <w:p w14:paraId="252033D1" w14:textId="77777777" w:rsidR="00454A29" w:rsidRDefault="00454A29"/>
        </w:tc>
        <w:tc>
          <w:tcPr>
            <w:tcW w:w="3345" w:type="dxa"/>
            <w:vMerge/>
          </w:tcPr>
          <w:p w14:paraId="5F70AECB" w14:textId="77777777" w:rsidR="00454A29" w:rsidRDefault="00454A29"/>
        </w:tc>
        <w:tc>
          <w:tcPr>
            <w:tcW w:w="1701" w:type="dxa"/>
            <w:vAlign w:val="center"/>
          </w:tcPr>
          <w:p w14:paraId="00EE81BC" w14:textId="77777777" w:rsidR="00454A29" w:rsidRDefault="00454A29">
            <w:pPr>
              <w:pStyle w:val="ConsPlusNormal"/>
              <w:jc w:val="center"/>
            </w:pPr>
            <w:r>
              <w:t>2025</w:t>
            </w:r>
          </w:p>
        </w:tc>
        <w:tc>
          <w:tcPr>
            <w:tcW w:w="1417" w:type="dxa"/>
            <w:vMerge/>
          </w:tcPr>
          <w:p w14:paraId="58F3B08F" w14:textId="77777777" w:rsidR="00454A29" w:rsidRDefault="00454A29"/>
        </w:tc>
        <w:tc>
          <w:tcPr>
            <w:tcW w:w="2204" w:type="dxa"/>
            <w:vMerge/>
          </w:tcPr>
          <w:p w14:paraId="17C93EB0" w14:textId="77777777" w:rsidR="00454A29" w:rsidRDefault="00454A29"/>
        </w:tc>
        <w:tc>
          <w:tcPr>
            <w:tcW w:w="1417" w:type="dxa"/>
            <w:vMerge/>
          </w:tcPr>
          <w:p w14:paraId="1E7691A0" w14:textId="77777777" w:rsidR="00454A29" w:rsidRDefault="00454A29"/>
        </w:tc>
        <w:tc>
          <w:tcPr>
            <w:tcW w:w="2324" w:type="dxa"/>
            <w:vMerge/>
          </w:tcPr>
          <w:p w14:paraId="45BD56A1" w14:textId="77777777" w:rsidR="00454A29" w:rsidRDefault="00454A29"/>
        </w:tc>
        <w:tc>
          <w:tcPr>
            <w:tcW w:w="1701" w:type="dxa"/>
            <w:vAlign w:val="center"/>
          </w:tcPr>
          <w:p w14:paraId="0BB13E7A" w14:textId="77777777" w:rsidR="00454A29" w:rsidRDefault="00454A29">
            <w:pPr>
              <w:pStyle w:val="ConsPlusNormal"/>
            </w:pPr>
          </w:p>
        </w:tc>
        <w:tc>
          <w:tcPr>
            <w:tcW w:w="1814" w:type="dxa"/>
            <w:vAlign w:val="center"/>
          </w:tcPr>
          <w:p w14:paraId="29B67596" w14:textId="77777777" w:rsidR="00454A29" w:rsidRDefault="00454A29">
            <w:pPr>
              <w:pStyle w:val="ConsPlusNormal"/>
            </w:pPr>
          </w:p>
        </w:tc>
        <w:tc>
          <w:tcPr>
            <w:tcW w:w="1701" w:type="dxa"/>
            <w:vAlign w:val="center"/>
          </w:tcPr>
          <w:p w14:paraId="57C9B5DC" w14:textId="77777777" w:rsidR="00454A29" w:rsidRDefault="00454A29">
            <w:pPr>
              <w:pStyle w:val="ConsPlusNormal"/>
            </w:pPr>
          </w:p>
        </w:tc>
        <w:tc>
          <w:tcPr>
            <w:tcW w:w="1701" w:type="dxa"/>
            <w:vAlign w:val="center"/>
          </w:tcPr>
          <w:p w14:paraId="7052A5DD" w14:textId="77777777" w:rsidR="00454A29" w:rsidRDefault="00454A29">
            <w:pPr>
              <w:pStyle w:val="ConsPlusNormal"/>
            </w:pPr>
          </w:p>
        </w:tc>
        <w:tc>
          <w:tcPr>
            <w:tcW w:w="1814" w:type="dxa"/>
            <w:vAlign w:val="center"/>
          </w:tcPr>
          <w:p w14:paraId="2DB21389" w14:textId="77777777" w:rsidR="00454A29" w:rsidRDefault="00454A29">
            <w:pPr>
              <w:pStyle w:val="ConsPlusNormal"/>
            </w:pPr>
          </w:p>
        </w:tc>
      </w:tr>
      <w:tr w:rsidR="00454A29" w14:paraId="6DBBC49F" w14:textId="77777777">
        <w:tc>
          <w:tcPr>
            <w:tcW w:w="567" w:type="dxa"/>
            <w:vMerge/>
          </w:tcPr>
          <w:p w14:paraId="6E3234FB" w14:textId="77777777" w:rsidR="00454A29" w:rsidRDefault="00454A29"/>
        </w:tc>
        <w:tc>
          <w:tcPr>
            <w:tcW w:w="3345" w:type="dxa"/>
            <w:vMerge/>
          </w:tcPr>
          <w:p w14:paraId="172785E2" w14:textId="77777777" w:rsidR="00454A29" w:rsidRDefault="00454A29"/>
        </w:tc>
        <w:tc>
          <w:tcPr>
            <w:tcW w:w="1701" w:type="dxa"/>
            <w:vAlign w:val="center"/>
          </w:tcPr>
          <w:p w14:paraId="6247FCF3" w14:textId="77777777" w:rsidR="00454A29" w:rsidRDefault="00454A29">
            <w:pPr>
              <w:pStyle w:val="ConsPlusNormal"/>
              <w:jc w:val="center"/>
            </w:pPr>
            <w:r>
              <w:t>2026</w:t>
            </w:r>
          </w:p>
        </w:tc>
        <w:tc>
          <w:tcPr>
            <w:tcW w:w="1417" w:type="dxa"/>
            <w:vMerge/>
          </w:tcPr>
          <w:p w14:paraId="7EBFEBE9" w14:textId="77777777" w:rsidR="00454A29" w:rsidRDefault="00454A29"/>
        </w:tc>
        <w:tc>
          <w:tcPr>
            <w:tcW w:w="2204" w:type="dxa"/>
            <w:vMerge/>
          </w:tcPr>
          <w:p w14:paraId="23CA5098" w14:textId="77777777" w:rsidR="00454A29" w:rsidRDefault="00454A29"/>
        </w:tc>
        <w:tc>
          <w:tcPr>
            <w:tcW w:w="1417" w:type="dxa"/>
            <w:vMerge/>
          </w:tcPr>
          <w:p w14:paraId="23828FF1" w14:textId="77777777" w:rsidR="00454A29" w:rsidRDefault="00454A29"/>
        </w:tc>
        <w:tc>
          <w:tcPr>
            <w:tcW w:w="2324" w:type="dxa"/>
            <w:vMerge/>
          </w:tcPr>
          <w:p w14:paraId="62D8D748" w14:textId="77777777" w:rsidR="00454A29" w:rsidRDefault="00454A29"/>
        </w:tc>
        <w:tc>
          <w:tcPr>
            <w:tcW w:w="1701" w:type="dxa"/>
            <w:vAlign w:val="center"/>
          </w:tcPr>
          <w:p w14:paraId="33C7D0FB" w14:textId="77777777" w:rsidR="00454A29" w:rsidRDefault="00454A29">
            <w:pPr>
              <w:pStyle w:val="ConsPlusNormal"/>
            </w:pPr>
          </w:p>
        </w:tc>
        <w:tc>
          <w:tcPr>
            <w:tcW w:w="1814" w:type="dxa"/>
            <w:vAlign w:val="center"/>
          </w:tcPr>
          <w:p w14:paraId="13A8EF46" w14:textId="77777777" w:rsidR="00454A29" w:rsidRDefault="00454A29">
            <w:pPr>
              <w:pStyle w:val="ConsPlusNormal"/>
            </w:pPr>
          </w:p>
        </w:tc>
        <w:tc>
          <w:tcPr>
            <w:tcW w:w="1701" w:type="dxa"/>
            <w:vAlign w:val="center"/>
          </w:tcPr>
          <w:p w14:paraId="52F00BD9" w14:textId="77777777" w:rsidR="00454A29" w:rsidRDefault="00454A29">
            <w:pPr>
              <w:pStyle w:val="ConsPlusNormal"/>
            </w:pPr>
          </w:p>
        </w:tc>
        <w:tc>
          <w:tcPr>
            <w:tcW w:w="1701" w:type="dxa"/>
            <w:vAlign w:val="center"/>
          </w:tcPr>
          <w:p w14:paraId="5E035F3E" w14:textId="77777777" w:rsidR="00454A29" w:rsidRDefault="00454A29">
            <w:pPr>
              <w:pStyle w:val="ConsPlusNormal"/>
            </w:pPr>
          </w:p>
        </w:tc>
        <w:tc>
          <w:tcPr>
            <w:tcW w:w="1814" w:type="dxa"/>
            <w:vAlign w:val="center"/>
          </w:tcPr>
          <w:p w14:paraId="4269BE71" w14:textId="77777777" w:rsidR="00454A29" w:rsidRDefault="00454A29">
            <w:pPr>
              <w:pStyle w:val="ConsPlusNormal"/>
            </w:pPr>
          </w:p>
        </w:tc>
      </w:tr>
      <w:tr w:rsidR="00454A29" w14:paraId="206EFB8E" w14:textId="77777777">
        <w:tc>
          <w:tcPr>
            <w:tcW w:w="567" w:type="dxa"/>
            <w:vMerge w:val="restart"/>
            <w:vAlign w:val="center"/>
          </w:tcPr>
          <w:p w14:paraId="57730437" w14:textId="77777777" w:rsidR="00454A29" w:rsidRDefault="00454A29">
            <w:pPr>
              <w:pStyle w:val="ConsPlusNormal"/>
              <w:jc w:val="center"/>
            </w:pPr>
            <w:r>
              <w:t>203</w:t>
            </w:r>
          </w:p>
        </w:tc>
        <w:tc>
          <w:tcPr>
            <w:tcW w:w="3345" w:type="dxa"/>
            <w:vMerge w:val="restart"/>
            <w:vAlign w:val="center"/>
          </w:tcPr>
          <w:p w14:paraId="7275A6F1" w14:textId="77777777" w:rsidR="00454A29" w:rsidRDefault="00454A29">
            <w:pPr>
              <w:pStyle w:val="ConsPlusNormal"/>
              <w:jc w:val="center"/>
            </w:pPr>
            <w:r>
              <w:t>Школа-сад на 100/50 мест в с. Чаппанда</w:t>
            </w:r>
          </w:p>
        </w:tc>
        <w:tc>
          <w:tcPr>
            <w:tcW w:w="1701" w:type="dxa"/>
            <w:vAlign w:val="center"/>
          </w:tcPr>
          <w:p w14:paraId="26925A26" w14:textId="77777777" w:rsidR="00454A29" w:rsidRDefault="00454A29">
            <w:pPr>
              <w:pStyle w:val="ConsPlusNormal"/>
              <w:jc w:val="center"/>
            </w:pPr>
            <w:r>
              <w:t>2020 - 2026 годы - всего</w:t>
            </w:r>
          </w:p>
        </w:tc>
        <w:tc>
          <w:tcPr>
            <w:tcW w:w="1417" w:type="dxa"/>
            <w:vMerge w:val="restart"/>
            <w:vAlign w:val="center"/>
          </w:tcPr>
          <w:p w14:paraId="57991B2D" w14:textId="77777777" w:rsidR="00454A29" w:rsidRDefault="00454A29">
            <w:pPr>
              <w:pStyle w:val="ConsPlusNormal"/>
              <w:jc w:val="center"/>
            </w:pPr>
            <w:r>
              <w:t>366 027,00</w:t>
            </w:r>
          </w:p>
        </w:tc>
        <w:tc>
          <w:tcPr>
            <w:tcW w:w="2204" w:type="dxa"/>
            <w:vMerge w:val="restart"/>
            <w:vAlign w:val="center"/>
          </w:tcPr>
          <w:p w14:paraId="27B4701B" w14:textId="77777777" w:rsidR="00454A29" w:rsidRDefault="00454A29">
            <w:pPr>
              <w:pStyle w:val="ConsPlusNormal"/>
            </w:pPr>
          </w:p>
        </w:tc>
        <w:tc>
          <w:tcPr>
            <w:tcW w:w="1417" w:type="dxa"/>
            <w:vMerge w:val="restart"/>
            <w:vAlign w:val="center"/>
          </w:tcPr>
          <w:p w14:paraId="503D7EB8" w14:textId="77777777" w:rsidR="00454A29" w:rsidRDefault="00454A29">
            <w:pPr>
              <w:pStyle w:val="ConsPlusNormal"/>
              <w:jc w:val="center"/>
            </w:pPr>
            <w:r>
              <w:t>100</w:t>
            </w:r>
          </w:p>
        </w:tc>
        <w:tc>
          <w:tcPr>
            <w:tcW w:w="2324" w:type="dxa"/>
            <w:vMerge w:val="restart"/>
            <w:vAlign w:val="center"/>
          </w:tcPr>
          <w:p w14:paraId="62333A8C" w14:textId="77777777" w:rsidR="00454A29" w:rsidRDefault="00454A29">
            <w:pPr>
              <w:pStyle w:val="ConsPlusNormal"/>
              <w:jc w:val="center"/>
            </w:pPr>
            <w:r>
              <w:t>Минстрой РС(Я), МР "Нюрбинский район"</w:t>
            </w:r>
          </w:p>
        </w:tc>
        <w:tc>
          <w:tcPr>
            <w:tcW w:w="1701" w:type="dxa"/>
            <w:vAlign w:val="center"/>
          </w:tcPr>
          <w:p w14:paraId="625A07AA" w14:textId="77777777" w:rsidR="00454A29" w:rsidRDefault="00454A29">
            <w:pPr>
              <w:pStyle w:val="ConsPlusNormal"/>
              <w:jc w:val="center"/>
            </w:pPr>
            <w:r>
              <w:t>366 027,00</w:t>
            </w:r>
          </w:p>
        </w:tc>
        <w:tc>
          <w:tcPr>
            <w:tcW w:w="1814" w:type="dxa"/>
            <w:vAlign w:val="center"/>
          </w:tcPr>
          <w:p w14:paraId="32E4F9CC" w14:textId="77777777" w:rsidR="00454A29" w:rsidRDefault="00454A29">
            <w:pPr>
              <w:pStyle w:val="ConsPlusNormal"/>
              <w:jc w:val="center"/>
            </w:pPr>
            <w:r>
              <w:t>-</w:t>
            </w:r>
          </w:p>
        </w:tc>
        <w:tc>
          <w:tcPr>
            <w:tcW w:w="1701" w:type="dxa"/>
            <w:vAlign w:val="center"/>
          </w:tcPr>
          <w:p w14:paraId="154FD650" w14:textId="77777777" w:rsidR="00454A29" w:rsidRDefault="00454A29">
            <w:pPr>
              <w:pStyle w:val="ConsPlusNormal"/>
              <w:jc w:val="center"/>
            </w:pPr>
            <w:r>
              <w:t>-</w:t>
            </w:r>
          </w:p>
        </w:tc>
        <w:tc>
          <w:tcPr>
            <w:tcW w:w="1701" w:type="dxa"/>
            <w:vAlign w:val="center"/>
          </w:tcPr>
          <w:p w14:paraId="32DD6E51" w14:textId="77777777" w:rsidR="00454A29" w:rsidRDefault="00454A29">
            <w:pPr>
              <w:pStyle w:val="ConsPlusNormal"/>
              <w:jc w:val="center"/>
            </w:pPr>
            <w:r>
              <w:t>366 027,00</w:t>
            </w:r>
          </w:p>
        </w:tc>
        <w:tc>
          <w:tcPr>
            <w:tcW w:w="1814" w:type="dxa"/>
            <w:vAlign w:val="center"/>
          </w:tcPr>
          <w:p w14:paraId="73DDD631" w14:textId="77777777" w:rsidR="00454A29" w:rsidRDefault="00454A29">
            <w:pPr>
              <w:pStyle w:val="ConsPlusNormal"/>
              <w:jc w:val="center"/>
            </w:pPr>
            <w:r>
              <w:t>-</w:t>
            </w:r>
          </w:p>
        </w:tc>
      </w:tr>
      <w:tr w:rsidR="00454A29" w14:paraId="120C18FD" w14:textId="77777777">
        <w:tc>
          <w:tcPr>
            <w:tcW w:w="567" w:type="dxa"/>
            <w:vMerge/>
          </w:tcPr>
          <w:p w14:paraId="5CB543D6" w14:textId="77777777" w:rsidR="00454A29" w:rsidRDefault="00454A29"/>
        </w:tc>
        <w:tc>
          <w:tcPr>
            <w:tcW w:w="3345" w:type="dxa"/>
            <w:vMerge/>
          </w:tcPr>
          <w:p w14:paraId="30F84CFF" w14:textId="77777777" w:rsidR="00454A29" w:rsidRDefault="00454A29"/>
        </w:tc>
        <w:tc>
          <w:tcPr>
            <w:tcW w:w="1701" w:type="dxa"/>
            <w:vAlign w:val="center"/>
          </w:tcPr>
          <w:p w14:paraId="40AEADD3" w14:textId="77777777" w:rsidR="00454A29" w:rsidRDefault="00454A29">
            <w:pPr>
              <w:pStyle w:val="ConsPlusNormal"/>
              <w:jc w:val="center"/>
            </w:pPr>
            <w:r>
              <w:t>2020</w:t>
            </w:r>
          </w:p>
        </w:tc>
        <w:tc>
          <w:tcPr>
            <w:tcW w:w="1417" w:type="dxa"/>
            <w:vMerge/>
          </w:tcPr>
          <w:p w14:paraId="084F53AB" w14:textId="77777777" w:rsidR="00454A29" w:rsidRDefault="00454A29"/>
        </w:tc>
        <w:tc>
          <w:tcPr>
            <w:tcW w:w="2204" w:type="dxa"/>
            <w:vMerge/>
          </w:tcPr>
          <w:p w14:paraId="66497CB1" w14:textId="77777777" w:rsidR="00454A29" w:rsidRDefault="00454A29"/>
        </w:tc>
        <w:tc>
          <w:tcPr>
            <w:tcW w:w="1417" w:type="dxa"/>
            <w:vMerge/>
          </w:tcPr>
          <w:p w14:paraId="2C418DA2" w14:textId="77777777" w:rsidR="00454A29" w:rsidRDefault="00454A29"/>
        </w:tc>
        <w:tc>
          <w:tcPr>
            <w:tcW w:w="2324" w:type="dxa"/>
            <w:vMerge/>
          </w:tcPr>
          <w:p w14:paraId="69E358F0" w14:textId="77777777" w:rsidR="00454A29" w:rsidRDefault="00454A29"/>
        </w:tc>
        <w:tc>
          <w:tcPr>
            <w:tcW w:w="1701" w:type="dxa"/>
            <w:vAlign w:val="center"/>
          </w:tcPr>
          <w:p w14:paraId="51D7EE44" w14:textId="77777777" w:rsidR="00454A29" w:rsidRDefault="00454A29">
            <w:pPr>
              <w:pStyle w:val="ConsPlusNormal"/>
              <w:jc w:val="center"/>
            </w:pPr>
            <w:r>
              <w:t>366 027,00</w:t>
            </w:r>
          </w:p>
        </w:tc>
        <w:tc>
          <w:tcPr>
            <w:tcW w:w="1814" w:type="dxa"/>
            <w:vAlign w:val="center"/>
          </w:tcPr>
          <w:p w14:paraId="63DC82F0" w14:textId="77777777" w:rsidR="00454A29" w:rsidRDefault="00454A29">
            <w:pPr>
              <w:pStyle w:val="ConsPlusNormal"/>
            </w:pPr>
          </w:p>
        </w:tc>
        <w:tc>
          <w:tcPr>
            <w:tcW w:w="1701" w:type="dxa"/>
            <w:vAlign w:val="center"/>
          </w:tcPr>
          <w:p w14:paraId="1D982208" w14:textId="77777777" w:rsidR="00454A29" w:rsidRDefault="00454A29">
            <w:pPr>
              <w:pStyle w:val="ConsPlusNormal"/>
            </w:pPr>
          </w:p>
        </w:tc>
        <w:tc>
          <w:tcPr>
            <w:tcW w:w="1701" w:type="dxa"/>
            <w:vAlign w:val="center"/>
          </w:tcPr>
          <w:p w14:paraId="705E5582" w14:textId="77777777" w:rsidR="00454A29" w:rsidRDefault="00454A29">
            <w:pPr>
              <w:pStyle w:val="ConsPlusNormal"/>
              <w:jc w:val="center"/>
            </w:pPr>
            <w:r>
              <w:t>366 027,00</w:t>
            </w:r>
          </w:p>
        </w:tc>
        <w:tc>
          <w:tcPr>
            <w:tcW w:w="1814" w:type="dxa"/>
            <w:vAlign w:val="center"/>
          </w:tcPr>
          <w:p w14:paraId="6E035CCD" w14:textId="77777777" w:rsidR="00454A29" w:rsidRDefault="00454A29">
            <w:pPr>
              <w:pStyle w:val="ConsPlusNormal"/>
            </w:pPr>
          </w:p>
        </w:tc>
      </w:tr>
      <w:tr w:rsidR="00454A29" w14:paraId="7613583F" w14:textId="77777777">
        <w:tc>
          <w:tcPr>
            <w:tcW w:w="567" w:type="dxa"/>
            <w:vMerge/>
          </w:tcPr>
          <w:p w14:paraId="752766C4" w14:textId="77777777" w:rsidR="00454A29" w:rsidRDefault="00454A29"/>
        </w:tc>
        <w:tc>
          <w:tcPr>
            <w:tcW w:w="3345" w:type="dxa"/>
            <w:vMerge/>
          </w:tcPr>
          <w:p w14:paraId="039E6AA3" w14:textId="77777777" w:rsidR="00454A29" w:rsidRDefault="00454A29"/>
        </w:tc>
        <w:tc>
          <w:tcPr>
            <w:tcW w:w="1701" w:type="dxa"/>
            <w:vAlign w:val="center"/>
          </w:tcPr>
          <w:p w14:paraId="6F6DA563" w14:textId="77777777" w:rsidR="00454A29" w:rsidRDefault="00454A29">
            <w:pPr>
              <w:pStyle w:val="ConsPlusNormal"/>
              <w:jc w:val="center"/>
            </w:pPr>
            <w:r>
              <w:t>2021</w:t>
            </w:r>
          </w:p>
        </w:tc>
        <w:tc>
          <w:tcPr>
            <w:tcW w:w="1417" w:type="dxa"/>
            <w:vMerge/>
          </w:tcPr>
          <w:p w14:paraId="5C6EAD51" w14:textId="77777777" w:rsidR="00454A29" w:rsidRDefault="00454A29"/>
        </w:tc>
        <w:tc>
          <w:tcPr>
            <w:tcW w:w="2204" w:type="dxa"/>
            <w:vMerge/>
          </w:tcPr>
          <w:p w14:paraId="1CFBDB10" w14:textId="77777777" w:rsidR="00454A29" w:rsidRDefault="00454A29"/>
        </w:tc>
        <w:tc>
          <w:tcPr>
            <w:tcW w:w="1417" w:type="dxa"/>
            <w:vMerge/>
          </w:tcPr>
          <w:p w14:paraId="050FB81A" w14:textId="77777777" w:rsidR="00454A29" w:rsidRDefault="00454A29"/>
        </w:tc>
        <w:tc>
          <w:tcPr>
            <w:tcW w:w="2324" w:type="dxa"/>
            <w:vMerge/>
          </w:tcPr>
          <w:p w14:paraId="47167544" w14:textId="77777777" w:rsidR="00454A29" w:rsidRDefault="00454A29"/>
        </w:tc>
        <w:tc>
          <w:tcPr>
            <w:tcW w:w="1701" w:type="dxa"/>
            <w:vAlign w:val="center"/>
          </w:tcPr>
          <w:p w14:paraId="439D97E8" w14:textId="77777777" w:rsidR="00454A29" w:rsidRDefault="00454A29">
            <w:pPr>
              <w:pStyle w:val="ConsPlusNormal"/>
            </w:pPr>
          </w:p>
        </w:tc>
        <w:tc>
          <w:tcPr>
            <w:tcW w:w="1814" w:type="dxa"/>
            <w:vAlign w:val="center"/>
          </w:tcPr>
          <w:p w14:paraId="0FD96FD5" w14:textId="77777777" w:rsidR="00454A29" w:rsidRDefault="00454A29">
            <w:pPr>
              <w:pStyle w:val="ConsPlusNormal"/>
            </w:pPr>
          </w:p>
        </w:tc>
        <w:tc>
          <w:tcPr>
            <w:tcW w:w="1701" w:type="dxa"/>
            <w:vAlign w:val="center"/>
          </w:tcPr>
          <w:p w14:paraId="23A3FBF9" w14:textId="77777777" w:rsidR="00454A29" w:rsidRDefault="00454A29">
            <w:pPr>
              <w:pStyle w:val="ConsPlusNormal"/>
            </w:pPr>
          </w:p>
        </w:tc>
        <w:tc>
          <w:tcPr>
            <w:tcW w:w="1701" w:type="dxa"/>
            <w:vAlign w:val="center"/>
          </w:tcPr>
          <w:p w14:paraId="65063EC5" w14:textId="77777777" w:rsidR="00454A29" w:rsidRDefault="00454A29">
            <w:pPr>
              <w:pStyle w:val="ConsPlusNormal"/>
            </w:pPr>
          </w:p>
        </w:tc>
        <w:tc>
          <w:tcPr>
            <w:tcW w:w="1814" w:type="dxa"/>
            <w:vAlign w:val="center"/>
          </w:tcPr>
          <w:p w14:paraId="3BA2F810" w14:textId="77777777" w:rsidR="00454A29" w:rsidRDefault="00454A29">
            <w:pPr>
              <w:pStyle w:val="ConsPlusNormal"/>
            </w:pPr>
          </w:p>
        </w:tc>
      </w:tr>
      <w:tr w:rsidR="00454A29" w14:paraId="2C5E0D62" w14:textId="77777777">
        <w:tc>
          <w:tcPr>
            <w:tcW w:w="567" w:type="dxa"/>
            <w:vMerge/>
          </w:tcPr>
          <w:p w14:paraId="5F2D724E" w14:textId="77777777" w:rsidR="00454A29" w:rsidRDefault="00454A29"/>
        </w:tc>
        <w:tc>
          <w:tcPr>
            <w:tcW w:w="3345" w:type="dxa"/>
            <w:vMerge/>
          </w:tcPr>
          <w:p w14:paraId="6D86F945" w14:textId="77777777" w:rsidR="00454A29" w:rsidRDefault="00454A29"/>
        </w:tc>
        <w:tc>
          <w:tcPr>
            <w:tcW w:w="1701" w:type="dxa"/>
            <w:vAlign w:val="center"/>
          </w:tcPr>
          <w:p w14:paraId="6E15AB39" w14:textId="77777777" w:rsidR="00454A29" w:rsidRDefault="00454A29">
            <w:pPr>
              <w:pStyle w:val="ConsPlusNormal"/>
              <w:jc w:val="center"/>
            </w:pPr>
            <w:r>
              <w:t>2022</w:t>
            </w:r>
          </w:p>
        </w:tc>
        <w:tc>
          <w:tcPr>
            <w:tcW w:w="1417" w:type="dxa"/>
            <w:vMerge/>
          </w:tcPr>
          <w:p w14:paraId="50569DEC" w14:textId="77777777" w:rsidR="00454A29" w:rsidRDefault="00454A29"/>
        </w:tc>
        <w:tc>
          <w:tcPr>
            <w:tcW w:w="2204" w:type="dxa"/>
            <w:vMerge/>
          </w:tcPr>
          <w:p w14:paraId="25F53616" w14:textId="77777777" w:rsidR="00454A29" w:rsidRDefault="00454A29"/>
        </w:tc>
        <w:tc>
          <w:tcPr>
            <w:tcW w:w="1417" w:type="dxa"/>
            <w:vMerge/>
          </w:tcPr>
          <w:p w14:paraId="4B28AB2E" w14:textId="77777777" w:rsidR="00454A29" w:rsidRDefault="00454A29"/>
        </w:tc>
        <w:tc>
          <w:tcPr>
            <w:tcW w:w="2324" w:type="dxa"/>
            <w:vMerge/>
          </w:tcPr>
          <w:p w14:paraId="723BDE99" w14:textId="77777777" w:rsidR="00454A29" w:rsidRDefault="00454A29"/>
        </w:tc>
        <w:tc>
          <w:tcPr>
            <w:tcW w:w="1701" w:type="dxa"/>
            <w:vAlign w:val="center"/>
          </w:tcPr>
          <w:p w14:paraId="7DD77A15" w14:textId="77777777" w:rsidR="00454A29" w:rsidRDefault="00454A29">
            <w:pPr>
              <w:pStyle w:val="ConsPlusNormal"/>
              <w:jc w:val="center"/>
            </w:pPr>
            <w:r>
              <w:t>-</w:t>
            </w:r>
          </w:p>
        </w:tc>
        <w:tc>
          <w:tcPr>
            <w:tcW w:w="1814" w:type="dxa"/>
            <w:vAlign w:val="center"/>
          </w:tcPr>
          <w:p w14:paraId="4E73640D" w14:textId="77777777" w:rsidR="00454A29" w:rsidRDefault="00454A29">
            <w:pPr>
              <w:pStyle w:val="ConsPlusNormal"/>
            </w:pPr>
          </w:p>
        </w:tc>
        <w:tc>
          <w:tcPr>
            <w:tcW w:w="1701" w:type="dxa"/>
            <w:vAlign w:val="center"/>
          </w:tcPr>
          <w:p w14:paraId="3BD21A45" w14:textId="77777777" w:rsidR="00454A29" w:rsidRDefault="00454A29">
            <w:pPr>
              <w:pStyle w:val="ConsPlusNormal"/>
            </w:pPr>
          </w:p>
        </w:tc>
        <w:tc>
          <w:tcPr>
            <w:tcW w:w="1701" w:type="dxa"/>
            <w:vAlign w:val="center"/>
          </w:tcPr>
          <w:p w14:paraId="064690DA" w14:textId="77777777" w:rsidR="00454A29" w:rsidRDefault="00454A29">
            <w:pPr>
              <w:pStyle w:val="ConsPlusNormal"/>
            </w:pPr>
          </w:p>
        </w:tc>
        <w:tc>
          <w:tcPr>
            <w:tcW w:w="1814" w:type="dxa"/>
            <w:vAlign w:val="center"/>
          </w:tcPr>
          <w:p w14:paraId="5C2FAF1F" w14:textId="77777777" w:rsidR="00454A29" w:rsidRDefault="00454A29">
            <w:pPr>
              <w:pStyle w:val="ConsPlusNormal"/>
            </w:pPr>
          </w:p>
        </w:tc>
      </w:tr>
      <w:tr w:rsidR="00454A29" w14:paraId="7B38EB41" w14:textId="77777777">
        <w:tc>
          <w:tcPr>
            <w:tcW w:w="567" w:type="dxa"/>
            <w:vMerge/>
          </w:tcPr>
          <w:p w14:paraId="2F342944" w14:textId="77777777" w:rsidR="00454A29" w:rsidRDefault="00454A29"/>
        </w:tc>
        <w:tc>
          <w:tcPr>
            <w:tcW w:w="3345" w:type="dxa"/>
            <w:vMerge/>
          </w:tcPr>
          <w:p w14:paraId="7F1FE62C" w14:textId="77777777" w:rsidR="00454A29" w:rsidRDefault="00454A29"/>
        </w:tc>
        <w:tc>
          <w:tcPr>
            <w:tcW w:w="1701" w:type="dxa"/>
            <w:vAlign w:val="center"/>
          </w:tcPr>
          <w:p w14:paraId="05CE2956" w14:textId="77777777" w:rsidR="00454A29" w:rsidRDefault="00454A29">
            <w:pPr>
              <w:pStyle w:val="ConsPlusNormal"/>
              <w:jc w:val="center"/>
            </w:pPr>
            <w:r>
              <w:t>2023</w:t>
            </w:r>
          </w:p>
        </w:tc>
        <w:tc>
          <w:tcPr>
            <w:tcW w:w="1417" w:type="dxa"/>
            <w:vMerge/>
          </w:tcPr>
          <w:p w14:paraId="51148BC0" w14:textId="77777777" w:rsidR="00454A29" w:rsidRDefault="00454A29"/>
        </w:tc>
        <w:tc>
          <w:tcPr>
            <w:tcW w:w="2204" w:type="dxa"/>
            <w:vMerge/>
          </w:tcPr>
          <w:p w14:paraId="1C4237D8" w14:textId="77777777" w:rsidR="00454A29" w:rsidRDefault="00454A29"/>
        </w:tc>
        <w:tc>
          <w:tcPr>
            <w:tcW w:w="1417" w:type="dxa"/>
            <w:vMerge/>
          </w:tcPr>
          <w:p w14:paraId="33650CF2" w14:textId="77777777" w:rsidR="00454A29" w:rsidRDefault="00454A29"/>
        </w:tc>
        <w:tc>
          <w:tcPr>
            <w:tcW w:w="2324" w:type="dxa"/>
            <w:vMerge/>
          </w:tcPr>
          <w:p w14:paraId="46AE7196" w14:textId="77777777" w:rsidR="00454A29" w:rsidRDefault="00454A29"/>
        </w:tc>
        <w:tc>
          <w:tcPr>
            <w:tcW w:w="1701" w:type="dxa"/>
            <w:vAlign w:val="center"/>
          </w:tcPr>
          <w:p w14:paraId="2D4860E2" w14:textId="77777777" w:rsidR="00454A29" w:rsidRDefault="00454A29">
            <w:pPr>
              <w:pStyle w:val="ConsPlusNormal"/>
              <w:jc w:val="center"/>
            </w:pPr>
            <w:r>
              <w:t>-</w:t>
            </w:r>
          </w:p>
        </w:tc>
        <w:tc>
          <w:tcPr>
            <w:tcW w:w="1814" w:type="dxa"/>
            <w:vAlign w:val="center"/>
          </w:tcPr>
          <w:p w14:paraId="4CB98C54" w14:textId="77777777" w:rsidR="00454A29" w:rsidRDefault="00454A29">
            <w:pPr>
              <w:pStyle w:val="ConsPlusNormal"/>
            </w:pPr>
          </w:p>
        </w:tc>
        <w:tc>
          <w:tcPr>
            <w:tcW w:w="1701" w:type="dxa"/>
            <w:vAlign w:val="center"/>
          </w:tcPr>
          <w:p w14:paraId="05493E46" w14:textId="77777777" w:rsidR="00454A29" w:rsidRDefault="00454A29">
            <w:pPr>
              <w:pStyle w:val="ConsPlusNormal"/>
            </w:pPr>
          </w:p>
        </w:tc>
        <w:tc>
          <w:tcPr>
            <w:tcW w:w="1701" w:type="dxa"/>
            <w:vAlign w:val="center"/>
          </w:tcPr>
          <w:p w14:paraId="65E6A90B" w14:textId="77777777" w:rsidR="00454A29" w:rsidRDefault="00454A29">
            <w:pPr>
              <w:pStyle w:val="ConsPlusNormal"/>
            </w:pPr>
          </w:p>
        </w:tc>
        <w:tc>
          <w:tcPr>
            <w:tcW w:w="1814" w:type="dxa"/>
            <w:vAlign w:val="center"/>
          </w:tcPr>
          <w:p w14:paraId="5CEFEBE0" w14:textId="77777777" w:rsidR="00454A29" w:rsidRDefault="00454A29">
            <w:pPr>
              <w:pStyle w:val="ConsPlusNormal"/>
            </w:pPr>
          </w:p>
        </w:tc>
      </w:tr>
      <w:tr w:rsidR="00454A29" w14:paraId="0499013A" w14:textId="77777777">
        <w:tc>
          <w:tcPr>
            <w:tcW w:w="567" w:type="dxa"/>
            <w:vMerge/>
          </w:tcPr>
          <w:p w14:paraId="51A6189E" w14:textId="77777777" w:rsidR="00454A29" w:rsidRDefault="00454A29"/>
        </w:tc>
        <w:tc>
          <w:tcPr>
            <w:tcW w:w="3345" w:type="dxa"/>
            <w:vMerge/>
          </w:tcPr>
          <w:p w14:paraId="6C0B56EA" w14:textId="77777777" w:rsidR="00454A29" w:rsidRDefault="00454A29"/>
        </w:tc>
        <w:tc>
          <w:tcPr>
            <w:tcW w:w="1701" w:type="dxa"/>
            <w:vAlign w:val="center"/>
          </w:tcPr>
          <w:p w14:paraId="0A122FF8" w14:textId="77777777" w:rsidR="00454A29" w:rsidRDefault="00454A29">
            <w:pPr>
              <w:pStyle w:val="ConsPlusNormal"/>
              <w:jc w:val="center"/>
            </w:pPr>
            <w:r>
              <w:t>2024</w:t>
            </w:r>
          </w:p>
        </w:tc>
        <w:tc>
          <w:tcPr>
            <w:tcW w:w="1417" w:type="dxa"/>
            <w:vMerge/>
          </w:tcPr>
          <w:p w14:paraId="76C6F25D" w14:textId="77777777" w:rsidR="00454A29" w:rsidRDefault="00454A29"/>
        </w:tc>
        <w:tc>
          <w:tcPr>
            <w:tcW w:w="2204" w:type="dxa"/>
            <w:vMerge/>
          </w:tcPr>
          <w:p w14:paraId="494CDF9B" w14:textId="77777777" w:rsidR="00454A29" w:rsidRDefault="00454A29"/>
        </w:tc>
        <w:tc>
          <w:tcPr>
            <w:tcW w:w="1417" w:type="dxa"/>
            <w:vMerge/>
          </w:tcPr>
          <w:p w14:paraId="252B2709" w14:textId="77777777" w:rsidR="00454A29" w:rsidRDefault="00454A29"/>
        </w:tc>
        <w:tc>
          <w:tcPr>
            <w:tcW w:w="2324" w:type="dxa"/>
            <w:vMerge/>
          </w:tcPr>
          <w:p w14:paraId="03854310" w14:textId="77777777" w:rsidR="00454A29" w:rsidRDefault="00454A29"/>
        </w:tc>
        <w:tc>
          <w:tcPr>
            <w:tcW w:w="1701" w:type="dxa"/>
            <w:vAlign w:val="center"/>
          </w:tcPr>
          <w:p w14:paraId="2A6A7888" w14:textId="77777777" w:rsidR="00454A29" w:rsidRDefault="00454A29">
            <w:pPr>
              <w:pStyle w:val="ConsPlusNormal"/>
            </w:pPr>
          </w:p>
        </w:tc>
        <w:tc>
          <w:tcPr>
            <w:tcW w:w="1814" w:type="dxa"/>
            <w:vAlign w:val="center"/>
          </w:tcPr>
          <w:p w14:paraId="519ECA54" w14:textId="77777777" w:rsidR="00454A29" w:rsidRDefault="00454A29">
            <w:pPr>
              <w:pStyle w:val="ConsPlusNormal"/>
            </w:pPr>
          </w:p>
        </w:tc>
        <w:tc>
          <w:tcPr>
            <w:tcW w:w="1701" w:type="dxa"/>
            <w:vAlign w:val="center"/>
          </w:tcPr>
          <w:p w14:paraId="53C4D8F3" w14:textId="77777777" w:rsidR="00454A29" w:rsidRDefault="00454A29">
            <w:pPr>
              <w:pStyle w:val="ConsPlusNormal"/>
            </w:pPr>
          </w:p>
        </w:tc>
        <w:tc>
          <w:tcPr>
            <w:tcW w:w="1701" w:type="dxa"/>
            <w:vAlign w:val="center"/>
          </w:tcPr>
          <w:p w14:paraId="41C3B35A" w14:textId="77777777" w:rsidR="00454A29" w:rsidRDefault="00454A29">
            <w:pPr>
              <w:pStyle w:val="ConsPlusNormal"/>
            </w:pPr>
          </w:p>
        </w:tc>
        <w:tc>
          <w:tcPr>
            <w:tcW w:w="1814" w:type="dxa"/>
            <w:vAlign w:val="center"/>
          </w:tcPr>
          <w:p w14:paraId="0BC44BB4" w14:textId="77777777" w:rsidR="00454A29" w:rsidRDefault="00454A29">
            <w:pPr>
              <w:pStyle w:val="ConsPlusNormal"/>
            </w:pPr>
          </w:p>
        </w:tc>
      </w:tr>
      <w:tr w:rsidR="00454A29" w14:paraId="3C00EF01" w14:textId="77777777">
        <w:tc>
          <w:tcPr>
            <w:tcW w:w="567" w:type="dxa"/>
            <w:vMerge/>
          </w:tcPr>
          <w:p w14:paraId="7CD0B076" w14:textId="77777777" w:rsidR="00454A29" w:rsidRDefault="00454A29"/>
        </w:tc>
        <w:tc>
          <w:tcPr>
            <w:tcW w:w="3345" w:type="dxa"/>
            <w:vMerge/>
          </w:tcPr>
          <w:p w14:paraId="6D0E8704" w14:textId="77777777" w:rsidR="00454A29" w:rsidRDefault="00454A29"/>
        </w:tc>
        <w:tc>
          <w:tcPr>
            <w:tcW w:w="1701" w:type="dxa"/>
            <w:vAlign w:val="center"/>
          </w:tcPr>
          <w:p w14:paraId="615E90DF" w14:textId="77777777" w:rsidR="00454A29" w:rsidRDefault="00454A29">
            <w:pPr>
              <w:pStyle w:val="ConsPlusNormal"/>
              <w:jc w:val="center"/>
            </w:pPr>
            <w:r>
              <w:t>2025</w:t>
            </w:r>
          </w:p>
        </w:tc>
        <w:tc>
          <w:tcPr>
            <w:tcW w:w="1417" w:type="dxa"/>
            <w:vMerge/>
          </w:tcPr>
          <w:p w14:paraId="03E8B4ED" w14:textId="77777777" w:rsidR="00454A29" w:rsidRDefault="00454A29"/>
        </w:tc>
        <w:tc>
          <w:tcPr>
            <w:tcW w:w="2204" w:type="dxa"/>
            <w:vMerge/>
          </w:tcPr>
          <w:p w14:paraId="11718985" w14:textId="77777777" w:rsidR="00454A29" w:rsidRDefault="00454A29"/>
        </w:tc>
        <w:tc>
          <w:tcPr>
            <w:tcW w:w="1417" w:type="dxa"/>
            <w:vMerge/>
          </w:tcPr>
          <w:p w14:paraId="4BB5673E" w14:textId="77777777" w:rsidR="00454A29" w:rsidRDefault="00454A29"/>
        </w:tc>
        <w:tc>
          <w:tcPr>
            <w:tcW w:w="2324" w:type="dxa"/>
            <w:vMerge/>
          </w:tcPr>
          <w:p w14:paraId="09468AA5" w14:textId="77777777" w:rsidR="00454A29" w:rsidRDefault="00454A29"/>
        </w:tc>
        <w:tc>
          <w:tcPr>
            <w:tcW w:w="1701" w:type="dxa"/>
            <w:vAlign w:val="center"/>
          </w:tcPr>
          <w:p w14:paraId="72419C9A" w14:textId="77777777" w:rsidR="00454A29" w:rsidRDefault="00454A29">
            <w:pPr>
              <w:pStyle w:val="ConsPlusNormal"/>
            </w:pPr>
          </w:p>
        </w:tc>
        <w:tc>
          <w:tcPr>
            <w:tcW w:w="1814" w:type="dxa"/>
            <w:vAlign w:val="center"/>
          </w:tcPr>
          <w:p w14:paraId="5A21B6C8" w14:textId="77777777" w:rsidR="00454A29" w:rsidRDefault="00454A29">
            <w:pPr>
              <w:pStyle w:val="ConsPlusNormal"/>
            </w:pPr>
          </w:p>
        </w:tc>
        <w:tc>
          <w:tcPr>
            <w:tcW w:w="1701" w:type="dxa"/>
            <w:vAlign w:val="center"/>
          </w:tcPr>
          <w:p w14:paraId="5A6DF3CA" w14:textId="77777777" w:rsidR="00454A29" w:rsidRDefault="00454A29">
            <w:pPr>
              <w:pStyle w:val="ConsPlusNormal"/>
            </w:pPr>
          </w:p>
        </w:tc>
        <w:tc>
          <w:tcPr>
            <w:tcW w:w="1701" w:type="dxa"/>
            <w:vAlign w:val="center"/>
          </w:tcPr>
          <w:p w14:paraId="472E841E" w14:textId="77777777" w:rsidR="00454A29" w:rsidRDefault="00454A29">
            <w:pPr>
              <w:pStyle w:val="ConsPlusNormal"/>
            </w:pPr>
          </w:p>
        </w:tc>
        <w:tc>
          <w:tcPr>
            <w:tcW w:w="1814" w:type="dxa"/>
            <w:vAlign w:val="center"/>
          </w:tcPr>
          <w:p w14:paraId="5E8F56C7" w14:textId="77777777" w:rsidR="00454A29" w:rsidRDefault="00454A29">
            <w:pPr>
              <w:pStyle w:val="ConsPlusNormal"/>
            </w:pPr>
          </w:p>
        </w:tc>
      </w:tr>
      <w:tr w:rsidR="00454A29" w14:paraId="717FA997" w14:textId="77777777">
        <w:tc>
          <w:tcPr>
            <w:tcW w:w="567" w:type="dxa"/>
            <w:vMerge/>
          </w:tcPr>
          <w:p w14:paraId="0ADDC39F" w14:textId="77777777" w:rsidR="00454A29" w:rsidRDefault="00454A29"/>
        </w:tc>
        <w:tc>
          <w:tcPr>
            <w:tcW w:w="3345" w:type="dxa"/>
            <w:vMerge/>
          </w:tcPr>
          <w:p w14:paraId="78A65E76" w14:textId="77777777" w:rsidR="00454A29" w:rsidRDefault="00454A29"/>
        </w:tc>
        <w:tc>
          <w:tcPr>
            <w:tcW w:w="1701" w:type="dxa"/>
            <w:vAlign w:val="center"/>
          </w:tcPr>
          <w:p w14:paraId="2182BB72" w14:textId="77777777" w:rsidR="00454A29" w:rsidRDefault="00454A29">
            <w:pPr>
              <w:pStyle w:val="ConsPlusNormal"/>
              <w:jc w:val="center"/>
            </w:pPr>
            <w:r>
              <w:t>2026</w:t>
            </w:r>
          </w:p>
        </w:tc>
        <w:tc>
          <w:tcPr>
            <w:tcW w:w="1417" w:type="dxa"/>
            <w:vMerge/>
          </w:tcPr>
          <w:p w14:paraId="2F5DD184" w14:textId="77777777" w:rsidR="00454A29" w:rsidRDefault="00454A29"/>
        </w:tc>
        <w:tc>
          <w:tcPr>
            <w:tcW w:w="2204" w:type="dxa"/>
            <w:vMerge/>
          </w:tcPr>
          <w:p w14:paraId="3D3B8B45" w14:textId="77777777" w:rsidR="00454A29" w:rsidRDefault="00454A29"/>
        </w:tc>
        <w:tc>
          <w:tcPr>
            <w:tcW w:w="1417" w:type="dxa"/>
            <w:vMerge/>
          </w:tcPr>
          <w:p w14:paraId="305AB97F" w14:textId="77777777" w:rsidR="00454A29" w:rsidRDefault="00454A29"/>
        </w:tc>
        <w:tc>
          <w:tcPr>
            <w:tcW w:w="2324" w:type="dxa"/>
            <w:vMerge/>
          </w:tcPr>
          <w:p w14:paraId="238B1867" w14:textId="77777777" w:rsidR="00454A29" w:rsidRDefault="00454A29"/>
        </w:tc>
        <w:tc>
          <w:tcPr>
            <w:tcW w:w="1701" w:type="dxa"/>
            <w:vAlign w:val="center"/>
          </w:tcPr>
          <w:p w14:paraId="2A33E409" w14:textId="77777777" w:rsidR="00454A29" w:rsidRDefault="00454A29">
            <w:pPr>
              <w:pStyle w:val="ConsPlusNormal"/>
            </w:pPr>
          </w:p>
        </w:tc>
        <w:tc>
          <w:tcPr>
            <w:tcW w:w="1814" w:type="dxa"/>
            <w:vAlign w:val="center"/>
          </w:tcPr>
          <w:p w14:paraId="23C00516" w14:textId="77777777" w:rsidR="00454A29" w:rsidRDefault="00454A29">
            <w:pPr>
              <w:pStyle w:val="ConsPlusNormal"/>
            </w:pPr>
          </w:p>
        </w:tc>
        <w:tc>
          <w:tcPr>
            <w:tcW w:w="1701" w:type="dxa"/>
            <w:vAlign w:val="center"/>
          </w:tcPr>
          <w:p w14:paraId="188FF257" w14:textId="77777777" w:rsidR="00454A29" w:rsidRDefault="00454A29">
            <w:pPr>
              <w:pStyle w:val="ConsPlusNormal"/>
            </w:pPr>
          </w:p>
        </w:tc>
        <w:tc>
          <w:tcPr>
            <w:tcW w:w="1701" w:type="dxa"/>
            <w:vAlign w:val="center"/>
          </w:tcPr>
          <w:p w14:paraId="6550A2CF" w14:textId="77777777" w:rsidR="00454A29" w:rsidRDefault="00454A29">
            <w:pPr>
              <w:pStyle w:val="ConsPlusNormal"/>
            </w:pPr>
          </w:p>
        </w:tc>
        <w:tc>
          <w:tcPr>
            <w:tcW w:w="1814" w:type="dxa"/>
            <w:vAlign w:val="center"/>
          </w:tcPr>
          <w:p w14:paraId="6182C9AC" w14:textId="77777777" w:rsidR="00454A29" w:rsidRDefault="00454A29">
            <w:pPr>
              <w:pStyle w:val="ConsPlusNormal"/>
            </w:pPr>
          </w:p>
        </w:tc>
      </w:tr>
      <w:tr w:rsidR="00454A29" w14:paraId="4BE27618" w14:textId="77777777">
        <w:tc>
          <w:tcPr>
            <w:tcW w:w="567" w:type="dxa"/>
            <w:vMerge w:val="restart"/>
            <w:vAlign w:val="center"/>
          </w:tcPr>
          <w:p w14:paraId="499A0B74" w14:textId="77777777" w:rsidR="00454A29" w:rsidRDefault="00454A29">
            <w:pPr>
              <w:pStyle w:val="ConsPlusNormal"/>
              <w:jc w:val="center"/>
            </w:pPr>
            <w:r>
              <w:t>204</w:t>
            </w:r>
          </w:p>
        </w:tc>
        <w:tc>
          <w:tcPr>
            <w:tcW w:w="3345" w:type="dxa"/>
            <w:vMerge w:val="restart"/>
            <w:vAlign w:val="center"/>
          </w:tcPr>
          <w:p w14:paraId="35B635E3" w14:textId="77777777" w:rsidR="00454A29" w:rsidRDefault="00454A29">
            <w:pPr>
              <w:pStyle w:val="ConsPlusNormal"/>
              <w:jc w:val="center"/>
            </w:pPr>
            <w:r>
              <w:t>Школа-сад на 100/50 мест в с. Чукар</w:t>
            </w:r>
          </w:p>
        </w:tc>
        <w:tc>
          <w:tcPr>
            <w:tcW w:w="1701" w:type="dxa"/>
            <w:vAlign w:val="center"/>
          </w:tcPr>
          <w:p w14:paraId="2A3E09A7" w14:textId="77777777" w:rsidR="00454A29" w:rsidRDefault="00454A29">
            <w:pPr>
              <w:pStyle w:val="ConsPlusNormal"/>
              <w:jc w:val="center"/>
            </w:pPr>
            <w:r>
              <w:t>2020 - 2026 годы - всего</w:t>
            </w:r>
          </w:p>
        </w:tc>
        <w:tc>
          <w:tcPr>
            <w:tcW w:w="1417" w:type="dxa"/>
            <w:vMerge w:val="restart"/>
            <w:vAlign w:val="center"/>
          </w:tcPr>
          <w:p w14:paraId="29050A62" w14:textId="77777777" w:rsidR="00454A29" w:rsidRDefault="00454A29">
            <w:pPr>
              <w:pStyle w:val="ConsPlusNormal"/>
              <w:jc w:val="center"/>
            </w:pPr>
            <w:r>
              <w:t>420 931,00</w:t>
            </w:r>
          </w:p>
        </w:tc>
        <w:tc>
          <w:tcPr>
            <w:tcW w:w="2204" w:type="dxa"/>
            <w:vMerge w:val="restart"/>
            <w:vAlign w:val="center"/>
          </w:tcPr>
          <w:p w14:paraId="416C2CB7" w14:textId="77777777" w:rsidR="00454A29" w:rsidRDefault="00454A29">
            <w:pPr>
              <w:pStyle w:val="ConsPlusNormal"/>
            </w:pPr>
          </w:p>
        </w:tc>
        <w:tc>
          <w:tcPr>
            <w:tcW w:w="1417" w:type="dxa"/>
            <w:vMerge w:val="restart"/>
            <w:vAlign w:val="center"/>
          </w:tcPr>
          <w:p w14:paraId="6DFC3D86" w14:textId="77777777" w:rsidR="00454A29" w:rsidRDefault="00454A29">
            <w:pPr>
              <w:pStyle w:val="ConsPlusNormal"/>
              <w:jc w:val="center"/>
            </w:pPr>
            <w:r>
              <w:t>100</w:t>
            </w:r>
          </w:p>
        </w:tc>
        <w:tc>
          <w:tcPr>
            <w:tcW w:w="2324" w:type="dxa"/>
            <w:vMerge w:val="restart"/>
            <w:vAlign w:val="center"/>
          </w:tcPr>
          <w:p w14:paraId="00D11DBE" w14:textId="77777777" w:rsidR="00454A29" w:rsidRDefault="00454A29">
            <w:pPr>
              <w:pStyle w:val="ConsPlusNormal"/>
              <w:jc w:val="center"/>
            </w:pPr>
            <w:r>
              <w:t>Минстрой РС(Я), МР "Нюрбинский район"</w:t>
            </w:r>
          </w:p>
        </w:tc>
        <w:tc>
          <w:tcPr>
            <w:tcW w:w="1701" w:type="dxa"/>
            <w:vAlign w:val="center"/>
          </w:tcPr>
          <w:p w14:paraId="716EB067" w14:textId="77777777" w:rsidR="00454A29" w:rsidRDefault="00454A29">
            <w:pPr>
              <w:pStyle w:val="ConsPlusNormal"/>
              <w:jc w:val="center"/>
            </w:pPr>
            <w:r>
              <w:t>420 931,00</w:t>
            </w:r>
          </w:p>
        </w:tc>
        <w:tc>
          <w:tcPr>
            <w:tcW w:w="1814" w:type="dxa"/>
            <w:vAlign w:val="center"/>
          </w:tcPr>
          <w:p w14:paraId="3E7249F8" w14:textId="77777777" w:rsidR="00454A29" w:rsidRDefault="00454A29">
            <w:pPr>
              <w:pStyle w:val="ConsPlusNormal"/>
              <w:jc w:val="center"/>
            </w:pPr>
            <w:r>
              <w:t>-</w:t>
            </w:r>
          </w:p>
        </w:tc>
        <w:tc>
          <w:tcPr>
            <w:tcW w:w="1701" w:type="dxa"/>
            <w:vAlign w:val="center"/>
          </w:tcPr>
          <w:p w14:paraId="418C7959" w14:textId="77777777" w:rsidR="00454A29" w:rsidRDefault="00454A29">
            <w:pPr>
              <w:pStyle w:val="ConsPlusNormal"/>
              <w:jc w:val="center"/>
            </w:pPr>
            <w:r>
              <w:t>-</w:t>
            </w:r>
          </w:p>
        </w:tc>
        <w:tc>
          <w:tcPr>
            <w:tcW w:w="1701" w:type="dxa"/>
            <w:vAlign w:val="center"/>
          </w:tcPr>
          <w:p w14:paraId="45182565" w14:textId="77777777" w:rsidR="00454A29" w:rsidRDefault="00454A29">
            <w:pPr>
              <w:pStyle w:val="ConsPlusNormal"/>
              <w:jc w:val="center"/>
            </w:pPr>
            <w:r>
              <w:t>420 931,00</w:t>
            </w:r>
          </w:p>
        </w:tc>
        <w:tc>
          <w:tcPr>
            <w:tcW w:w="1814" w:type="dxa"/>
            <w:vAlign w:val="center"/>
          </w:tcPr>
          <w:p w14:paraId="4A5F7A45" w14:textId="77777777" w:rsidR="00454A29" w:rsidRDefault="00454A29">
            <w:pPr>
              <w:pStyle w:val="ConsPlusNormal"/>
              <w:jc w:val="center"/>
            </w:pPr>
            <w:r>
              <w:t>-</w:t>
            </w:r>
          </w:p>
        </w:tc>
      </w:tr>
      <w:tr w:rsidR="00454A29" w14:paraId="66B09409" w14:textId="77777777">
        <w:tc>
          <w:tcPr>
            <w:tcW w:w="567" w:type="dxa"/>
            <w:vMerge/>
          </w:tcPr>
          <w:p w14:paraId="49D94611" w14:textId="77777777" w:rsidR="00454A29" w:rsidRDefault="00454A29"/>
        </w:tc>
        <w:tc>
          <w:tcPr>
            <w:tcW w:w="3345" w:type="dxa"/>
            <w:vMerge/>
          </w:tcPr>
          <w:p w14:paraId="2F61E1BA" w14:textId="77777777" w:rsidR="00454A29" w:rsidRDefault="00454A29"/>
        </w:tc>
        <w:tc>
          <w:tcPr>
            <w:tcW w:w="1701" w:type="dxa"/>
            <w:vAlign w:val="center"/>
          </w:tcPr>
          <w:p w14:paraId="591D7775" w14:textId="77777777" w:rsidR="00454A29" w:rsidRDefault="00454A29">
            <w:pPr>
              <w:pStyle w:val="ConsPlusNormal"/>
              <w:jc w:val="center"/>
            </w:pPr>
            <w:r>
              <w:t>2020</w:t>
            </w:r>
          </w:p>
        </w:tc>
        <w:tc>
          <w:tcPr>
            <w:tcW w:w="1417" w:type="dxa"/>
            <w:vMerge/>
          </w:tcPr>
          <w:p w14:paraId="5A7CAA01" w14:textId="77777777" w:rsidR="00454A29" w:rsidRDefault="00454A29"/>
        </w:tc>
        <w:tc>
          <w:tcPr>
            <w:tcW w:w="2204" w:type="dxa"/>
            <w:vMerge/>
          </w:tcPr>
          <w:p w14:paraId="7B92D4C8" w14:textId="77777777" w:rsidR="00454A29" w:rsidRDefault="00454A29"/>
        </w:tc>
        <w:tc>
          <w:tcPr>
            <w:tcW w:w="1417" w:type="dxa"/>
            <w:vMerge/>
          </w:tcPr>
          <w:p w14:paraId="4AF9F67D" w14:textId="77777777" w:rsidR="00454A29" w:rsidRDefault="00454A29"/>
        </w:tc>
        <w:tc>
          <w:tcPr>
            <w:tcW w:w="2324" w:type="dxa"/>
            <w:vMerge/>
          </w:tcPr>
          <w:p w14:paraId="727200BC" w14:textId="77777777" w:rsidR="00454A29" w:rsidRDefault="00454A29"/>
        </w:tc>
        <w:tc>
          <w:tcPr>
            <w:tcW w:w="1701" w:type="dxa"/>
            <w:vAlign w:val="center"/>
          </w:tcPr>
          <w:p w14:paraId="1A9318A5" w14:textId="77777777" w:rsidR="00454A29" w:rsidRDefault="00454A29">
            <w:pPr>
              <w:pStyle w:val="ConsPlusNormal"/>
            </w:pPr>
          </w:p>
        </w:tc>
        <w:tc>
          <w:tcPr>
            <w:tcW w:w="1814" w:type="dxa"/>
            <w:vAlign w:val="center"/>
          </w:tcPr>
          <w:p w14:paraId="18253E99" w14:textId="77777777" w:rsidR="00454A29" w:rsidRDefault="00454A29">
            <w:pPr>
              <w:pStyle w:val="ConsPlusNormal"/>
            </w:pPr>
          </w:p>
        </w:tc>
        <w:tc>
          <w:tcPr>
            <w:tcW w:w="1701" w:type="dxa"/>
            <w:vAlign w:val="center"/>
          </w:tcPr>
          <w:p w14:paraId="67DF2016" w14:textId="77777777" w:rsidR="00454A29" w:rsidRDefault="00454A29">
            <w:pPr>
              <w:pStyle w:val="ConsPlusNormal"/>
            </w:pPr>
          </w:p>
        </w:tc>
        <w:tc>
          <w:tcPr>
            <w:tcW w:w="1701" w:type="dxa"/>
            <w:vAlign w:val="center"/>
          </w:tcPr>
          <w:p w14:paraId="75DEE825" w14:textId="77777777" w:rsidR="00454A29" w:rsidRDefault="00454A29">
            <w:pPr>
              <w:pStyle w:val="ConsPlusNormal"/>
            </w:pPr>
          </w:p>
        </w:tc>
        <w:tc>
          <w:tcPr>
            <w:tcW w:w="1814" w:type="dxa"/>
            <w:vAlign w:val="center"/>
          </w:tcPr>
          <w:p w14:paraId="037CD2D3" w14:textId="77777777" w:rsidR="00454A29" w:rsidRDefault="00454A29">
            <w:pPr>
              <w:pStyle w:val="ConsPlusNormal"/>
            </w:pPr>
          </w:p>
        </w:tc>
      </w:tr>
      <w:tr w:rsidR="00454A29" w14:paraId="6C8E4D3B" w14:textId="77777777">
        <w:tc>
          <w:tcPr>
            <w:tcW w:w="567" w:type="dxa"/>
            <w:vMerge/>
          </w:tcPr>
          <w:p w14:paraId="1F2BFDA1" w14:textId="77777777" w:rsidR="00454A29" w:rsidRDefault="00454A29"/>
        </w:tc>
        <w:tc>
          <w:tcPr>
            <w:tcW w:w="3345" w:type="dxa"/>
            <w:vMerge/>
          </w:tcPr>
          <w:p w14:paraId="75ADD397" w14:textId="77777777" w:rsidR="00454A29" w:rsidRDefault="00454A29"/>
        </w:tc>
        <w:tc>
          <w:tcPr>
            <w:tcW w:w="1701" w:type="dxa"/>
            <w:vAlign w:val="center"/>
          </w:tcPr>
          <w:p w14:paraId="289B3A59" w14:textId="77777777" w:rsidR="00454A29" w:rsidRDefault="00454A29">
            <w:pPr>
              <w:pStyle w:val="ConsPlusNormal"/>
              <w:jc w:val="center"/>
            </w:pPr>
            <w:r>
              <w:t>2021</w:t>
            </w:r>
          </w:p>
        </w:tc>
        <w:tc>
          <w:tcPr>
            <w:tcW w:w="1417" w:type="dxa"/>
            <w:vMerge/>
          </w:tcPr>
          <w:p w14:paraId="661A30C9" w14:textId="77777777" w:rsidR="00454A29" w:rsidRDefault="00454A29"/>
        </w:tc>
        <w:tc>
          <w:tcPr>
            <w:tcW w:w="2204" w:type="dxa"/>
            <w:vMerge/>
          </w:tcPr>
          <w:p w14:paraId="15CE81AA" w14:textId="77777777" w:rsidR="00454A29" w:rsidRDefault="00454A29"/>
        </w:tc>
        <w:tc>
          <w:tcPr>
            <w:tcW w:w="1417" w:type="dxa"/>
            <w:vMerge/>
          </w:tcPr>
          <w:p w14:paraId="2E5106CA" w14:textId="77777777" w:rsidR="00454A29" w:rsidRDefault="00454A29"/>
        </w:tc>
        <w:tc>
          <w:tcPr>
            <w:tcW w:w="2324" w:type="dxa"/>
            <w:vMerge/>
          </w:tcPr>
          <w:p w14:paraId="757E376A" w14:textId="77777777" w:rsidR="00454A29" w:rsidRDefault="00454A29"/>
        </w:tc>
        <w:tc>
          <w:tcPr>
            <w:tcW w:w="1701" w:type="dxa"/>
            <w:vAlign w:val="center"/>
          </w:tcPr>
          <w:p w14:paraId="0620DB04" w14:textId="77777777" w:rsidR="00454A29" w:rsidRDefault="00454A29">
            <w:pPr>
              <w:pStyle w:val="ConsPlusNormal"/>
              <w:jc w:val="center"/>
            </w:pPr>
            <w:r>
              <w:t>420 931,00</w:t>
            </w:r>
          </w:p>
        </w:tc>
        <w:tc>
          <w:tcPr>
            <w:tcW w:w="1814" w:type="dxa"/>
            <w:vAlign w:val="center"/>
          </w:tcPr>
          <w:p w14:paraId="357EE585" w14:textId="77777777" w:rsidR="00454A29" w:rsidRDefault="00454A29">
            <w:pPr>
              <w:pStyle w:val="ConsPlusNormal"/>
            </w:pPr>
          </w:p>
        </w:tc>
        <w:tc>
          <w:tcPr>
            <w:tcW w:w="1701" w:type="dxa"/>
            <w:vAlign w:val="center"/>
          </w:tcPr>
          <w:p w14:paraId="6037FA94" w14:textId="77777777" w:rsidR="00454A29" w:rsidRDefault="00454A29">
            <w:pPr>
              <w:pStyle w:val="ConsPlusNormal"/>
            </w:pPr>
          </w:p>
        </w:tc>
        <w:tc>
          <w:tcPr>
            <w:tcW w:w="1701" w:type="dxa"/>
            <w:vAlign w:val="center"/>
          </w:tcPr>
          <w:p w14:paraId="5E94E2BF" w14:textId="77777777" w:rsidR="00454A29" w:rsidRDefault="00454A29">
            <w:pPr>
              <w:pStyle w:val="ConsPlusNormal"/>
              <w:jc w:val="center"/>
            </w:pPr>
            <w:r>
              <w:t>420 931,00</w:t>
            </w:r>
          </w:p>
        </w:tc>
        <w:tc>
          <w:tcPr>
            <w:tcW w:w="1814" w:type="dxa"/>
            <w:vAlign w:val="center"/>
          </w:tcPr>
          <w:p w14:paraId="10CB9135" w14:textId="77777777" w:rsidR="00454A29" w:rsidRDefault="00454A29">
            <w:pPr>
              <w:pStyle w:val="ConsPlusNormal"/>
            </w:pPr>
          </w:p>
        </w:tc>
      </w:tr>
      <w:tr w:rsidR="00454A29" w14:paraId="37C4C7C7" w14:textId="77777777">
        <w:tc>
          <w:tcPr>
            <w:tcW w:w="567" w:type="dxa"/>
            <w:vMerge/>
          </w:tcPr>
          <w:p w14:paraId="2A35CC5E" w14:textId="77777777" w:rsidR="00454A29" w:rsidRDefault="00454A29"/>
        </w:tc>
        <w:tc>
          <w:tcPr>
            <w:tcW w:w="3345" w:type="dxa"/>
            <w:vMerge/>
          </w:tcPr>
          <w:p w14:paraId="6CEDF668" w14:textId="77777777" w:rsidR="00454A29" w:rsidRDefault="00454A29"/>
        </w:tc>
        <w:tc>
          <w:tcPr>
            <w:tcW w:w="1701" w:type="dxa"/>
            <w:vAlign w:val="center"/>
          </w:tcPr>
          <w:p w14:paraId="0012DFD5" w14:textId="77777777" w:rsidR="00454A29" w:rsidRDefault="00454A29">
            <w:pPr>
              <w:pStyle w:val="ConsPlusNormal"/>
              <w:jc w:val="center"/>
            </w:pPr>
            <w:r>
              <w:t>2022</w:t>
            </w:r>
          </w:p>
        </w:tc>
        <w:tc>
          <w:tcPr>
            <w:tcW w:w="1417" w:type="dxa"/>
            <w:vMerge/>
          </w:tcPr>
          <w:p w14:paraId="6F219F28" w14:textId="77777777" w:rsidR="00454A29" w:rsidRDefault="00454A29"/>
        </w:tc>
        <w:tc>
          <w:tcPr>
            <w:tcW w:w="2204" w:type="dxa"/>
            <w:vMerge/>
          </w:tcPr>
          <w:p w14:paraId="77E3A4E2" w14:textId="77777777" w:rsidR="00454A29" w:rsidRDefault="00454A29"/>
        </w:tc>
        <w:tc>
          <w:tcPr>
            <w:tcW w:w="1417" w:type="dxa"/>
            <w:vMerge/>
          </w:tcPr>
          <w:p w14:paraId="73397A8B" w14:textId="77777777" w:rsidR="00454A29" w:rsidRDefault="00454A29"/>
        </w:tc>
        <w:tc>
          <w:tcPr>
            <w:tcW w:w="2324" w:type="dxa"/>
            <w:vMerge/>
          </w:tcPr>
          <w:p w14:paraId="7F1F1DDA" w14:textId="77777777" w:rsidR="00454A29" w:rsidRDefault="00454A29"/>
        </w:tc>
        <w:tc>
          <w:tcPr>
            <w:tcW w:w="1701" w:type="dxa"/>
            <w:vAlign w:val="center"/>
          </w:tcPr>
          <w:p w14:paraId="67C94208" w14:textId="77777777" w:rsidR="00454A29" w:rsidRDefault="00454A29">
            <w:pPr>
              <w:pStyle w:val="ConsPlusNormal"/>
              <w:jc w:val="center"/>
            </w:pPr>
            <w:r>
              <w:t>-</w:t>
            </w:r>
          </w:p>
        </w:tc>
        <w:tc>
          <w:tcPr>
            <w:tcW w:w="1814" w:type="dxa"/>
            <w:vAlign w:val="center"/>
          </w:tcPr>
          <w:p w14:paraId="2EF72744" w14:textId="77777777" w:rsidR="00454A29" w:rsidRDefault="00454A29">
            <w:pPr>
              <w:pStyle w:val="ConsPlusNormal"/>
            </w:pPr>
          </w:p>
        </w:tc>
        <w:tc>
          <w:tcPr>
            <w:tcW w:w="1701" w:type="dxa"/>
            <w:vAlign w:val="center"/>
          </w:tcPr>
          <w:p w14:paraId="5AAA26EE" w14:textId="77777777" w:rsidR="00454A29" w:rsidRDefault="00454A29">
            <w:pPr>
              <w:pStyle w:val="ConsPlusNormal"/>
            </w:pPr>
          </w:p>
        </w:tc>
        <w:tc>
          <w:tcPr>
            <w:tcW w:w="1701" w:type="dxa"/>
            <w:vAlign w:val="center"/>
          </w:tcPr>
          <w:p w14:paraId="4CA46063" w14:textId="77777777" w:rsidR="00454A29" w:rsidRDefault="00454A29">
            <w:pPr>
              <w:pStyle w:val="ConsPlusNormal"/>
            </w:pPr>
          </w:p>
        </w:tc>
        <w:tc>
          <w:tcPr>
            <w:tcW w:w="1814" w:type="dxa"/>
            <w:vAlign w:val="center"/>
          </w:tcPr>
          <w:p w14:paraId="59128D54" w14:textId="77777777" w:rsidR="00454A29" w:rsidRDefault="00454A29">
            <w:pPr>
              <w:pStyle w:val="ConsPlusNormal"/>
            </w:pPr>
          </w:p>
        </w:tc>
      </w:tr>
      <w:tr w:rsidR="00454A29" w14:paraId="532521DB" w14:textId="77777777">
        <w:tc>
          <w:tcPr>
            <w:tcW w:w="567" w:type="dxa"/>
            <w:vMerge/>
          </w:tcPr>
          <w:p w14:paraId="1330E53A" w14:textId="77777777" w:rsidR="00454A29" w:rsidRDefault="00454A29"/>
        </w:tc>
        <w:tc>
          <w:tcPr>
            <w:tcW w:w="3345" w:type="dxa"/>
            <w:vMerge/>
          </w:tcPr>
          <w:p w14:paraId="55D6A3EE" w14:textId="77777777" w:rsidR="00454A29" w:rsidRDefault="00454A29"/>
        </w:tc>
        <w:tc>
          <w:tcPr>
            <w:tcW w:w="1701" w:type="dxa"/>
            <w:vAlign w:val="center"/>
          </w:tcPr>
          <w:p w14:paraId="265BD4B4" w14:textId="77777777" w:rsidR="00454A29" w:rsidRDefault="00454A29">
            <w:pPr>
              <w:pStyle w:val="ConsPlusNormal"/>
              <w:jc w:val="center"/>
            </w:pPr>
            <w:r>
              <w:t>2023</w:t>
            </w:r>
          </w:p>
        </w:tc>
        <w:tc>
          <w:tcPr>
            <w:tcW w:w="1417" w:type="dxa"/>
            <w:vMerge/>
          </w:tcPr>
          <w:p w14:paraId="2BFBBECE" w14:textId="77777777" w:rsidR="00454A29" w:rsidRDefault="00454A29"/>
        </w:tc>
        <w:tc>
          <w:tcPr>
            <w:tcW w:w="2204" w:type="dxa"/>
            <w:vMerge/>
          </w:tcPr>
          <w:p w14:paraId="73D3AE43" w14:textId="77777777" w:rsidR="00454A29" w:rsidRDefault="00454A29"/>
        </w:tc>
        <w:tc>
          <w:tcPr>
            <w:tcW w:w="1417" w:type="dxa"/>
            <w:vMerge/>
          </w:tcPr>
          <w:p w14:paraId="1AD140D8" w14:textId="77777777" w:rsidR="00454A29" w:rsidRDefault="00454A29"/>
        </w:tc>
        <w:tc>
          <w:tcPr>
            <w:tcW w:w="2324" w:type="dxa"/>
            <w:vMerge/>
          </w:tcPr>
          <w:p w14:paraId="68B165B9" w14:textId="77777777" w:rsidR="00454A29" w:rsidRDefault="00454A29"/>
        </w:tc>
        <w:tc>
          <w:tcPr>
            <w:tcW w:w="1701" w:type="dxa"/>
            <w:vAlign w:val="center"/>
          </w:tcPr>
          <w:p w14:paraId="78986071" w14:textId="77777777" w:rsidR="00454A29" w:rsidRDefault="00454A29">
            <w:pPr>
              <w:pStyle w:val="ConsPlusNormal"/>
              <w:jc w:val="center"/>
            </w:pPr>
            <w:r>
              <w:t>-</w:t>
            </w:r>
          </w:p>
        </w:tc>
        <w:tc>
          <w:tcPr>
            <w:tcW w:w="1814" w:type="dxa"/>
            <w:vAlign w:val="center"/>
          </w:tcPr>
          <w:p w14:paraId="08B8C105" w14:textId="77777777" w:rsidR="00454A29" w:rsidRDefault="00454A29">
            <w:pPr>
              <w:pStyle w:val="ConsPlusNormal"/>
            </w:pPr>
          </w:p>
        </w:tc>
        <w:tc>
          <w:tcPr>
            <w:tcW w:w="1701" w:type="dxa"/>
            <w:vAlign w:val="center"/>
          </w:tcPr>
          <w:p w14:paraId="32D19AEF" w14:textId="77777777" w:rsidR="00454A29" w:rsidRDefault="00454A29">
            <w:pPr>
              <w:pStyle w:val="ConsPlusNormal"/>
            </w:pPr>
          </w:p>
        </w:tc>
        <w:tc>
          <w:tcPr>
            <w:tcW w:w="1701" w:type="dxa"/>
            <w:vAlign w:val="center"/>
          </w:tcPr>
          <w:p w14:paraId="2E318C8E" w14:textId="77777777" w:rsidR="00454A29" w:rsidRDefault="00454A29">
            <w:pPr>
              <w:pStyle w:val="ConsPlusNormal"/>
            </w:pPr>
          </w:p>
        </w:tc>
        <w:tc>
          <w:tcPr>
            <w:tcW w:w="1814" w:type="dxa"/>
            <w:vAlign w:val="center"/>
          </w:tcPr>
          <w:p w14:paraId="3DE9F33C" w14:textId="77777777" w:rsidR="00454A29" w:rsidRDefault="00454A29">
            <w:pPr>
              <w:pStyle w:val="ConsPlusNormal"/>
            </w:pPr>
          </w:p>
        </w:tc>
      </w:tr>
      <w:tr w:rsidR="00454A29" w14:paraId="638386C0" w14:textId="77777777">
        <w:tc>
          <w:tcPr>
            <w:tcW w:w="567" w:type="dxa"/>
            <w:vMerge/>
          </w:tcPr>
          <w:p w14:paraId="5290BF53" w14:textId="77777777" w:rsidR="00454A29" w:rsidRDefault="00454A29"/>
        </w:tc>
        <w:tc>
          <w:tcPr>
            <w:tcW w:w="3345" w:type="dxa"/>
            <w:vMerge/>
          </w:tcPr>
          <w:p w14:paraId="1608BB28" w14:textId="77777777" w:rsidR="00454A29" w:rsidRDefault="00454A29"/>
        </w:tc>
        <w:tc>
          <w:tcPr>
            <w:tcW w:w="1701" w:type="dxa"/>
            <w:vAlign w:val="center"/>
          </w:tcPr>
          <w:p w14:paraId="6800A580" w14:textId="77777777" w:rsidR="00454A29" w:rsidRDefault="00454A29">
            <w:pPr>
              <w:pStyle w:val="ConsPlusNormal"/>
              <w:jc w:val="center"/>
            </w:pPr>
            <w:r>
              <w:t>2024</w:t>
            </w:r>
          </w:p>
        </w:tc>
        <w:tc>
          <w:tcPr>
            <w:tcW w:w="1417" w:type="dxa"/>
            <w:vMerge/>
          </w:tcPr>
          <w:p w14:paraId="7BDA13A3" w14:textId="77777777" w:rsidR="00454A29" w:rsidRDefault="00454A29"/>
        </w:tc>
        <w:tc>
          <w:tcPr>
            <w:tcW w:w="2204" w:type="dxa"/>
            <w:vMerge/>
          </w:tcPr>
          <w:p w14:paraId="783042E1" w14:textId="77777777" w:rsidR="00454A29" w:rsidRDefault="00454A29"/>
        </w:tc>
        <w:tc>
          <w:tcPr>
            <w:tcW w:w="1417" w:type="dxa"/>
            <w:vMerge/>
          </w:tcPr>
          <w:p w14:paraId="6E82BCE1" w14:textId="77777777" w:rsidR="00454A29" w:rsidRDefault="00454A29"/>
        </w:tc>
        <w:tc>
          <w:tcPr>
            <w:tcW w:w="2324" w:type="dxa"/>
            <w:vMerge/>
          </w:tcPr>
          <w:p w14:paraId="2894E96B" w14:textId="77777777" w:rsidR="00454A29" w:rsidRDefault="00454A29"/>
        </w:tc>
        <w:tc>
          <w:tcPr>
            <w:tcW w:w="1701" w:type="dxa"/>
            <w:vAlign w:val="center"/>
          </w:tcPr>
          <w:p w14:paraId="73CB7413" w14:textId="77777777" w:rsidR="00454A29" w:rsidRDefault="00454A29">
            <w:pPr>
              <w:pStyle w:val="ConsPlusNormal"/>
              <w:jc w:val="center"/>
            </w:pPr>
            <w:r>
              <w:t>-</w:t>
            </w:r>
          </w:p>
        </w:tc>
        <w:tc>
          <w:tcPr>
            <w:tcW w:w="1814" w:type="dxa"/>
            <w:vAlign w:val="center"/>
          </w:tcPr>
          <w:p w14:paraId="5F3104AC" w14:textId="77777777" w:rsidR="00454A29" w:rsidRDefault="00454A29">
            <w:pPr>
              <w:pStyle w:val="ConsPlusNormal"/>
            </w:pPr>
          </w:p>
        </w:tc>
        <w:tc>
          <w:tcPr>
            <w:tcW w:w="1701" w:type="dxa"/>
            <w:vAlign w:val="center"/>
          </w:tcPr>
          <w:p w14:paraId="768D196A" w14:textId="77777777" w:rsidR="00454A29" w:rsidRDefault="00454A29">
            <w:pPr>
              <w:pStyle w:val="ConsPlusNormal"/>
            </w:pPr>
          </w:p>
        </w:tc>
        <w:tc>
          <w:tcPr>
            <w:tcW w:w="1701" w:type="dxa"/>
            <w:vAlign w:val="center"/>
          </w:tcPr>
          <w:p w14:paraId="1E14FD08" w14:textId="77777777" w:rsidR="00454A29" w:rsidRDefault="00454A29">
            <w:pPr>
              <w:pStyle w:val="ConsPlusNormal"/>
            </w:pPr>
          </w:p>
        </w:tc>
        <w:tc>
          <w:tcPr>
            <w:tcW w:w="1814" w:type="dxa"/>
            <w:vAlign w:val="center"/>
          </w:tcPr>
          <w:p w14:paraId="263BE9C2" w14:textId="77777777" w:rsidR="00454A29" w:rsidRDefault="00454A29">
            <w:pPr>
              <w:pStyle w:val="ConsPlusNormal"/>
            </w:pPr>
          </w:p>
        </w:tc>
      </w:tr>
      <w:tr w:rsidR="00454A29" w14:paraId="3A38530A" w14:textId="77777777">
        <w:tc>
          <w:tcPr>
            <w:tcW w:w="567" w:type="dxa"/>
            <w:vMerge/>
          </w:tcPr>
          <w:p w14:paraId="47D55455" w14:textId="77777777" w:rsidR="00454A29" w:rsidRDefault="00454A29"/>
        </w:tc>
        <w:tc>
          <w:tcPr>
            <w:tcW w:w="3345" w:type="dxa"/>
            <w:vMerge/>
          </w:tcPr>
          <w:p w14:paraId="5E111FE3" w14:textId="77777777" w:rsidR="00454A29" w:rsidRDefault="00454A29"/>
        </w:tc>
        <w:tc>
          <w:tcPr>
            <w:tcW w:w="1701" w:type="dxa"/>
            <w:vAlign w:val="center"/>
          </w:tcPr>
          <w:p w14:paraId="52012D97" w14:textId="77777777" w:rsidR="00454A29" w:rsidRDefault="00454A29">
            <w:pPr>
              <w:pStyle w:val="ConsPlusNormal"/>
              <w:jc w:val="center"/>
            </w:pPr>
            <w:r>
              <w:t>2025</w:t>
            </w:r>
          </w:p>
        </w:tc>
        <w:tc>
          <w:tcPr>
            <w:tcW w:w="1417" w:type="dxa"/>
            <w:vMerge/>
          </w:tcPr>
          <w:p w14:paraId="123EE9CD" w14:textId="77777777" w:rsidR="00454A29" w:rsidRDefault="00454A29"/>
        </w:tc>
        <w:tc>
          <w:tcPr>
            <w:tcW w:w="2204" w:type="dxa"/>
            <w:vMerge/>
          </w:tcPr>
          <w:p w14:paraId="129C1F30" w14:textId="77777777" w:rsidR="00454A29" w:rsidRDefault="00454A29"/>
        </w:tc>
        <w:tc>
          <w:tcPr>
            <w:tcW w:w="1417" w:type="dxa"/>
            <w:vMerge/>
          </w:tcPr>
          <w:p w14:paraId="0A653362" w14:textId="77777777" w:rsidR="00454A29" w:rsidRDefault="00454A29"/>
        </w:tc>
        <w:tc>
          <w:tcPr>
            <w:tcW w:w="2324" w:type="dxa"/>
            <w:vMerge/>
          </w:tcPr>
          <w:p w14:paraId="6770D9E4" w14:textId="77777777" w:rsidR="00454A29" w:rsidRDefault="00454A29"/>
        </w:tc>
        <w:tc>
          <w:tcPr>
            <w:tcW w:w="1701" w:type="dxa"/>
            <w:vAlign w:val="center"/>
          </w:tcPr>
          <w:p w14:paraId="6F63EEDF" w14:textId="77777777" w:rsidR="00454A29" w:rsidRDefault="00454A29">
            <w:pPr>
              <w:pStyle w:val="ConsPlusNormal"/>
            </w:pPr>
          </w:p>
        </w:tc>
        <w:tc>
          <w:tcPr>
            <w:tcW w:w="1814" w:type="dxa"/>
            <w:vAlign w:val="center"/>
          </w:tcPr>
          <w:p w14:paraId="67CFC231" w14:textId="77777777" w:rsidR="00454A29" w:rsidRDefault="00454A29">
            <w:pPr>
              <w:pStyle w:val="ConsPlusNormal"/>
            </w:pPr>
          </w:p>
        </w:tc>
        <w:tc>
          <w:tcPr>
            <w:tcW w:w="1701" w:type="dxa"/>
            <w:vAlign w:val="center"/>
          </w:tcPr>
          <w:p w14:paraId="2859C245" w14:textId="77777777" w:rsidR="00454A29" w:rsidRDefault="00454A29">
            <w:pPr>
              <w:pStyle w:val="ConsPlusNormal"/>
            </w:pPr>
          </w:p>
        </w:tc>
        <w:tc>
          <w:tcPr>
            <w:tcW w:w="1701" w:type="dxa"/>
            <w:vAlign w:val="center"/>
          </w:tcPr>
          <w:p w14:paraId="167E9D32" w14:textId="77777777" w:rsidR="00454A29" w:rsidRDefault="00454A29">
            <w:pPr>
              <w:pStyle w:val="ConsPlusNormal"/>
            </w:pPr>
          </w:p>
        </w:tc>
        <w:tc>
          <w:tcPr>
            <w:tcW w:w="1814" w:type="dxa"/>
            <w:vAlign w:val="center"/>
          </w:tcPr>
          <w:p w14:paraId="12614F9F" w14:textId="77777777" w:rsidR="00454A29" w:rsidRDefault="00454A29">
            <w:pPr>
              <w:pStyle w:val="ConsPlusNormal"/>
            </w:pPr>
          </w:p>
        </w:tc>
      </w:tr>
      <w:tr w:rsidR="00454A29" w14:paraId="10EFDE7D" w14:textId="77777777">
        <w:tc>
          <w:tcPr>
            <w:tcW w:w="567" w:type="dxa"/>
            <w:vMerge/>
          </w:tcPr>
          <w:p w14:paraId="1DD67D07" w14:textId="77777777" w:rsidR="00454A29" w:rsidRDefault="00454A29"/>
        </w:tc>
        <w:tc>
          <w:tcPr>
            <w:tcW w:w="3345" w:type="dxa"/>
            <w:vMerge/>
          </w:tcPr>
          <w:p w14:paraId="48873994" w14:textId="77777777" w:rsidR="00454A29" w:rsidRDefault="00454A29"/>
        </w:tc>
        <w:tc>
          <w:tcPr>
            <w:tcW w:w="1701" w:type="dxa"/>
            <w:vAlign w:val="center"/>
          </w:tcPr>
          <w:p w14:paraId="06B8B9E9" w14:textId="77777777" w:rsidR="00454A29" w:rsidRDefault="00454A29">
            <w:pPr>
              <w:pStyle w:val="ConsPlusNormal"/>
              <w:jc w:val="center"/>
            </w:pPr>
            <w:r>
              <w:t>2026</w:t>
            </w:r>
          </w:p>
        </w:tc>
        <w:tc>
          <w:tcPr>
            <w:tcW w:w="1417" w:type="dxa"/>
            <w:vMerge/>
          </w:tcPr>
          <w:p w14:paraId="77C0DCA2" w14:textId="77777777" w:rsidR="00454A29" w:rsidRDefault="00454A29"/>
        </w:tc>
        <w:tc>
          <w:tcPr>
            <w:tcW w:w="2204" w:type="dxa"/>
            <w:vMerge/>
          </w:tcPr>
          <w:p w14:paraId="3CDD2D82" w14:textId="77777777" w:rsidR="00454A29" w:rsidRDefault="00454A29"/>
        </w:tc>
        <w:tc>
          <w:tcPr>
            <w:tcW w:w="1417" w:type="dxa"/>
            <w:vMerge/>
          </w:tcPr>
          <w:p w14:paraId="0C27BB68" w14:textId="77777777" w:rsidR="00454A29" w:rsidRDefault="00454A29"/>
        </w:tc>
        <w:tc>
          <w:tcPr>
            <w:tcW w:w="2324" w:type="dxa"/>
            <w:vMerge/>
          </w:tcPr>
          <w:p w14:paraId="6B4D3CD3" w14:textId="77777777" w:rsidR="00454A29" w:rsidRDefault="00454A29"/>
        </w:tc>
        <w:tc>
          <w:tcPr>
            <w:tcW w:w="1701" w:type="dxa"/>
            <w:vAlign w:val="center"/>
          </w:tcPr>
          <w:p w14:paraId="0D2365C3" w14:textId="77777777" w:rsidR="00454A29" w:rsidRDefault="00454A29">
            <w:pPr>
              <w:pStyle w:val="ConsPlusNormal"/>
            </w:pPr>
          </w:p>
        </w:tc>
        <w:tc>
          <w:tcPr>
            <w:tcW w:w="1814" w:type="dxa"/>
            <w:vAlign w:val="center"/>
          </w:tcPr>
          <w:p w14:paraId="2203AE1A" w14:textId="77777777" w:rsidR="00454A29" w:rsidRDefault="00454A29">
            <w:pPr>
              <w:pStyle w:val="ConsPlusNormal"/>
            </w:pPr>
          </w:p>
        </w:tc>
        <w:tc>
          <w:tcPr>
            <w:tcW w:w="1701" w:type="dxa"/>
            <w:vAlign w:val="center"/>
          </w:tcPr>
          <w:p w14:paraId="023AE122" w14:textId="77777777" w:rsidR="00454A29" w:rsidRDefault="00454A29">
            <w:pPr>
              <w:pStyle w:val="ConsPlusNormal"/>
            </w:pPr>
          </w:p>
        </w:tc>
        <w:tc>
          <w:tcPr>
            <w:tcW w:w="1701" w:type="dxa"/>
            <w:vAlign w:val="center"/>
          </w:tcPr>
          <w:p w14:paraId="27DB85FB" w14:textId="77777777" w:rsidR="00454A29" w:rsidRDefault="00454A29">
            <w:pPr>
              <w:pStyle w:val="ConsPlusNormal"/>
            </w:pPr>
          </w:p>
        </w:tc>
        <w:tc>
          <w:tcPr>
            <w:tcW w:w="1814" w:type="dxa"/>
            <w:vAlign w:val="center"/>
          </w:tcPr>
          <w:p w14:paraId="2BAFC39B" w14:textId="77777777" w:rsidR="00454A29" w:rsidRDefault="00454A29">
            <w:pPr>
              <w:pStyle w:val="ConsPlusNormal"/>
            </w:pPr>
          </w:p>
        </w:tc>
      </w:tr>
      <w:tr w:rsidR="00454A29" w14:paraId="25AD5431" w14:textId="77777777">
        <w:tc>
          <w:tcPr>
            <w:tcW w:w="21706" w:type="dxa"/>
            <w:gridSpan w:val="12"/>
            <w:vAlign w:val="center"/>
          </w:tcPr>
          <w:p w14:paraId="5D371855" w14:textId="77777777" w:rsidR="00454A29" w:rsidRDefault="00454A29">
            <w:pPr>
              <w:pStyle w:val="ConsPlusNormal"/>
              <w:jc w:val="center"/>
              <w:outlineLvl w:val="2"/>
            </w:pPr>
            <w:r>
              <w:t>МР "Сунтарский улус (район)"</w:t>
            </w:r>
          </w:p>
        </w:tc>
      </w:tr>
      <w:tr w:rsidR="00454A29" w14:paraId="06C22389" w14:textId="77777777">
        <w:tc>
          <w:tcPr>
            <w:tcW w:w="567" w:type="dxa"/>
            <w:vMerge w:val="restart"/>
            <w:vAlign w:val="center"/>
          </w:tcPr>
          <w:p w14:paraId="05839114" w14:textId="77777777" w:rsidR="00454A29" w:rsidRDefault="00454A29">
            <w:pPr>
              <w:pStyle w:val="ConsPlusNormal"/>
              <w:jc w:val="center"/>
            </w:pPr>
            <w:r>
              <w:t>205</w:t>
            </w:r>
          </w:p>
        </w:tc>
        <w:tc>
          <w:tcPr>
            <w:tcW w:w="3345" w:type="dxa"/>
            <w:vMerge w:val="restart"/>
            <w:vAlign w:val="center"/>
          </w:tcPr>
          <w:p w14:paraId="2361655D" w14:textId="77777777" w:rsidR="00454A29" w:rsidRDefault="00454A29">
            <w:pPr>
              <w:pStyle w:val="ConsPlusNormal"/>
              <w:jc w:val="center"/>
            </w:pPr>
            <w:r>
              <w:t>Школа/сад на 15/20 мест в с. Туойдах</w:t>
            </w:r>
          </w:p>
        </w:tc>
        <w:tc>
          <w:tcPr>
            <w:tcW w:w="1701" w:type="dxa"/>
            <w:vAlign w:val="center"/>
          </w:tcPr>
          <w:p w14:paraId="6A7A63FE" w14:textId="77777777" w:rsidR="00454A29" w:rsidRDefault="00454A29">
            <w:pPr>
              <w:pStyle w:val="ConsPlusNormal"/>
              <w:jc w:val="center"/>
            </w:pPr>
            <w:r>
              <w:t>2020 - 2026 годы - всего</w:t>
            </w:r>
          </w:p>
        </w:tc>
        <w:tc>
          <w:tcPr>
            <w:tcW w:w="1417" w:type="dxa"/>
            <w:vMerge w:val="restart"/>
            <w:vAlign w:val="center"/>
          </w:tcPr>
          <w:p w14:paraId="745B04DA" w14:textId="77777777" w:rsidR="00454A29" w:rsidRDefault="00454A29">
            <w:pPr>
              <w:pStyle w:val="ConsPlusNormal"/>
              <w:jc w:val="center"/>
            </w:pPr>
            <w:r>
              <w:t>160 730,12</w:t>
            </w:r>
          </w:p>
        </w:tc>
        <w:tc>
          <w:tcPr>
            <w:tcW w:w="2204" w:type="dxa"/>
            <w:vMerge w:val="restart"/>
            <w:vAlign w:val="center"/>
          </w:tcPr>
          <w:p w14:paraId="62D60984" w14:textId="77777777" w:rsidR="00454A29" w:rsidRDefault="00454A29">
            <w:pPr>
              <w:pStyle w:val="ConsPlusNormal"/>
            </w:pPr>
          </w:p>
        </w:tc>
        <w:tc>
          <w:tcPr>
            <w:tcW w:w="1417" w:type="dxa"/>
            <w:vMerge w:val="restart"/>
            <w:vAlign w:val="center"/>
          </w:tcPr>
          <w:p w14:paraId="48380390" w14:textId="77777777" w:rsidR="00454A29" w:rsidRDefault="00454A29">
            <w:pPr>
              <w:pStyle w:val="ConsPlusNormal"/>
              <w:jc w:val="center"/>
            </w:pPr>
            <w:r>
              <w:t>15</w:t>
            </w:r>
          </w:p>
        </w:tc>
        <w:tc>
          <w:tcPr>
            <w:tcW w:w="2324" w:type="dxa"/>
            <w:vMerge w:val="restart"/>
            <w:vAlign w:val="center"/>
          </w:tcPr>
          <w:p w14:paraId="27ED99C2" w14:textId="77777777" w:rsidR="00454A29" w:rsidRDefault="00454A29">
            <w:pPr>
              <w:pStyle w:val="ConsPlusNormal"/>
              <w:jc w:val="center"/>
            </w:pPr>
            <w:r>
              <w:t>Минстрой РС(Я), МР "Сунтарский улус"</w:t>
            </w:r>
          </w:p>
        </w:tc>
        <w:tc>
          <w:tcPr>
            <w:tcW w:w="1701" w:type="dxa"/>
            <w:vAlign w:val="center"/>
          </w:tcPr>
          <w:p w14:paraId="61307746" w14:textId="77777777" w:rsidR="00454A29" w:rsidRDefault="00454A29">
            <w:pPr>
              <w:pStyle w:val="ConsPlusNormal"/>
              <w:jc w:val="center"/>
            </w:pPr>
            <w:r>
              <w:t>160 730,12</w:t>
            </w:r>
          </w:p>
        </w:tc>
        <w:tc>
          <w:tcPr>
            <w:tcW w:w="1814" w:type="dxa"/>
            <w:vAlign w:val="center"/>
          </w:tcPr>
          <w:p w14:paraId="1B5CA36E" w14:textId="77777777" w:rsidR="00454A29" w:rsidRDefault="00454A29">
            <w:pPr>
              <w:pStyle w:val="ConsPlusNormal"/>
              <w:jc w:val="center"/>
            </w:pPr>
            <w:r>
              <w:t>1607,30</w:t>
            </w:r>
          </w:p>
        </w:tc>
        <w:tc>
          <w:tcPr>
            <w:tcW w:w="1701" w:type="dxa"/>
            <w:vAlign w:val="center"/>
          </w:tcPr>
          <w:p w14:paraId="4BF6751F" w14:textId="77777777" w:rsidR="00454A29" w:rsidRDefault="00454A29">
            <w:pPr>
              <w:pStyle w:val="ConsPlusNormal"/>
              <w:jc w:val="center"/>
            </w:pPr>
            <w:r>
              <w:t>159122,82</w:t>
            </w:r>
          </w:p>
        </w:tc>
        <w:tc>
          <w:tcPr>
            <w:tcW w:w="1701" w:type="dxa"/>
            <w:vAlign w:val="center"/>
          </w:tcPr>
          <w:p w14:paraId="48F80F03" w14:textId="77777777" w:rsidR="00454A29" w:rsidRDefault="00454A29">
            <w:pPr>
              <w:pStyle w:val="ConsPlusNormal"/>
              <w:jc w:val="center"/>
            </w:pPr>
            <w:r>
              <w:t>0,00</w:t>
            </w:r>
          </w:p>
        </w:tc>
        <w:tc>
          <w:tcPr>
            <w:tcW w:w="1814" w:type="dxa"/>
            <w:vAlign w:val="center"/>
          </w:tcPr>
          <w:p w14:paraId="6F64BD61" w14:textId="77777777" w:rsidR="00454A29" w:rsidRDefault="00454A29">
            <w:pPr>
              <w:pStyle w:val="ConsPlusNormal"/>
              <w:jc w:val="center"/>
            </w:pPr>
            <w:r>
              <w:t>0,00</w:t>
            </w:r>
          </w:p>
        </w:tc>
      </w:tr>
      <w:tr w:rsidR="00454A29" w14:paraId="6DAE5CB4" w14:textId="77777777">
        <w:tc>
          <w:tcPr>
            <w:tcW w:w="567" w:type="dxa"/>
            <w:vMerge/>
          </w:tcPr>
          <w:p w14:paraId="60D9E475" w14:textId="77777777" w:rsidR="00454A29" w:rsidRDefault="00454A29"/>
        </w:tc>
        <w:tc>
          <w:tcPr>
            <w:tcW w:w="3345" w:type="dxa"/>
            <w:vMerge/>
          </w:tcPr>
          <w:p w14:paraId="221E445B" w14:textId="77777777" w:rsidR="00454A29" w:rsidRDefault="00454A29"/>
        </w:tc>
        <w:tc>
          <w:tcPr>
            <w:tcW w:w="1701" w:type="dxa"/>
            <w:vAlign w:val="center"/>
          </w:tcPr>
          <w:p w14:paraId="7E312774" w14:textId="77777777" w:rsidR="00454A29" w:rsidRDefault="00454A29">
            <w:pPr>
              <w:pStyle w:val="ConsPlusNormal"/>
              <w:jc w:val="center"/>
            </w:pPr>
            <w:r>
              <w:t>2020</w:t>
            </w:r>
          </w:p>
        </w:tc>
        <w:tc>
          <w:tcPr>
            <w:tcW w:w="1417" w:type="dxa"/>
            <w:vMerge/>
          </w:tcPr>
          <w:p w14:paraId="3EC38986" w14:textId="77777777" w:rsidR="00454A29" w:rsidRDefault="00454A29"/>
        </w:tc>
        <w:tc>
          <w:tcPr>
            <w:tcW w:w="2204" w:type="dxa"/>
            <w:vMerge/>
          </w:tcPr>
          <w:p w14:paraId="6E7FA13C" w14:textId="77777777" w:rsidR="00454A29" w:rsidRDefault="00454A29"/>
        </w:tc>
        <w:tc>
          <w:tcPr>
            <w:tcW w:w="1417" w:type="dxa"/>
            <w:vMerge/>
          </w:tcPr>
          <w:p w14:paraId="3159668C" w14:textId="77777777" w:rsidR="00454A29" w:rsidRDefault="00454A29"/>
        </w:tc>
        <w:tc>
          <w:tcPr>
            <w:tcW w:w="2324" w:type="dxa"/>
            <w:vMerge/>
          </w:tcPr>
          <w:p w14:paraId="4DBFC421" w14:textId="77777777" w:rsidR="00454A29" w:rsidRDefault="00454A29"/>
        </w:tc>
        <w:tc>
          <w:tcPr>
            <w:tcW w:w="1701" w:type="dxa"/>
            <w:vAlign w:val="center"/>
          </w:tcPr>
          <w:p w14:paraId="50D3F377" w14:textId="77777777" w:rsidR="00454A29" w:rsidRDefault="00454A29">
            <w:pPr>
              <w:pStyle w:val="ConsPlusNormal"/>
            </w:pPr>
          </w:p>
        </w:tc>
        <w:tc>
          <w:tcPr>
            <w:tcW w:w="1814" w:type="dxa"/>
            <w:vAlign w:val="center"/>
          </w:tcPr>
          <w:p w14:paraId="6E2FEF06" w14:textId="77777777" w:rsidR="00454A29" w:rsidRDefault="00454A29">
            <w:pPr>
              <w:pStyle w:val="ConsPlusNormal"/>
            </w:pPr>
          </w:p>
        </w:tc>
        <w:tc>
          <w:tcPr>
            <w:tcW w:w="1701" w:type="dxa"/>
            <w:vAlign w:val="center"/>
          </w:tcPr>
          <w:p w14:paraId="3FF1AE5E" w14:textId="77777777" w:rsidR="00454A29" w:rsidRDefault="00454A29">
            <w:pPr>
              <w:pStyle w:val="ConsPlusNormal"/>
            </w:pPr>
          </w:p>
        </w:tc>
        <w:tc>
          <w:tcPr>
            <w:tcW w:w="1701" w:type="dxa"/>
            <w:vAlign w:val="center"/>
          </w:tcPr>
          <w:p w14:paraId="35BB2949" w14:textId="77777777" w:rsidR="00454A29" w:rsidRDefault="00454A29">
            <w:pPr>
              <w:pStyle w:val="ConsPlusNormal"/>
            </w:pPr>
          </w:p>
        </w:tc>
        <w:tc>
          <w:tcPr>
            <w:tcW w:w="1814" w:type="dxa"/>
            <w:vAlign w:val="center"/>
          </w:tcPr>
          <w:p w14:paraId="682BA6E4" w14:textId="77777777" w:rsidR="00454A29" w:rsidRDefault="00454A29">
            <w:pPr>
              <w:pStyle w:val="ConsPlusNormal"/>
            </w:pPr>
          </w:p>
        </w:tc>
      </w:tr>
      <w:tr w:rsidR="00454A29" w14:paraId="5003CF1D" w14:textId="77777777">
        <w:tc>
          <w:tcPr>
            <w:tcW w:w="567" w:type="dxa"/>
            <w:vMerge/>
          </w:tcPr>
          <w:p w14:paraId="55276A76" w14:textId="77777777" w:rsidR="00454A29" w:rsidRDefault="00454A29"/>
        </w:tc>
        <w:tc>
          <w:tcPr>
            <w:tcW w:w="3345" w:type="dxa"/>
            <w:vMerge/>
          </w:tcPr>
          <w:p w14:paraId="642C217C" w14:textId="77777777" w:rsidR="00454A29" w:rsidRDefault="00454A29"/>
        </w:tc>
        <w:tc>
          <w:tcPr>
            <w:tcW w:w="1701" w:type="dxa"/>
            <w:vAlign w:val="center"/>
          </w:tcPr>
          <w:p w14:paraId="0C0D6C1D" w14:textId="77777777" w:rsidR="00454A29" w:rsidRDefault="00454A29">
            <w:pPr>
              <w:pStyle w:val="ConsPlusNormal"/>
              <w:jc w:val="center"/>
            </w:pPr>
            <w:r>
              <w:t>2021</w:t>
            </w:r>
          </w:p>
        </w:tc>
        <w:tc>
          <w:tcPr>
            <w:tcW w:w="1417" w:type="dxa"/>
            <w:vMerge/>
          </w:tcPr>
          <w:p w14:paraId="79F954BF" w14:textId="77777777" w:rsidR="00454A29" w:rsidRDefault="00454A29"/>
        </w:tc>
        <w:tc>
          <w:tcPr>
            <w:tcW w:w="2204" w:type="dxa"/>
            <w:vMerge/>
          </w:tcPr>
          <w:p w14:paraId="6D3516C6" w14:textId="77777777" w:rsidR="00454A29" w:rsidRDefault="00454A29"/>
        </w:tc>
        <w:tc>
          <w:tcPr>
            <w:tcW w:w="1417" w:type="dxa"/>
            <w:vMerge/>
          </w:tcPr>
          <w:p w14:paraId="28B79FA5" w14:textId="77777777" w:rsidR="00454A29" w:rsidRDefault="00454A29"/>
        </w:tc>
        <w:tc>
          <w:tcPr>
            <w:tcW w:w="2324" w:type="dxa"/>
            <w:vMerge/>
          </w:tcPr>
          <w:p w14:paraId="27743E35" w14:textId="77777777" w:rsidR="00454A29" w:rsidRDefault="00454A29"/>
        </w:tc>
        <w:tc>
          <w:tcPr>
            <w:tcW w:w="1701" w:type="dxa"/>
            <w:vAlign w:val="center"/>
          </w:tcPr>
          <w:p w14:paraId="318332C0" w14:textId="77777777" w:rsidR="00454A29" w:rsidRDefault="00454A29">
            <w:pPr>
              <w:pStyle w:val="ConsPlusNormal"/>
            </w:pPr>
          </w:p>
        </w:tc>
        <w:tc>
          <w:tcPr>
            <w:tcW w:w="1814" w:type="dxa"/>
            <w:vAlign w:val="center"/>
          </w:tcPr>
          <w:p w14:paraId="113EABC5" w14:textId="77777777" w:rsidR="00454A29" w:rsidRDefault="00454A29">
            <w:pPr>
              <w:pStyle w:val="ConsPlusNormal"/>
            </w:pPr>
          </w:p>
        </w:tc>
        <w:tc>
          <w:tcPr>
            <w:tcW w:w="1701" w:type="dxa"/>
            <w:vAlign w:val="center"/>
          </w:tcPr>
          <w:p w14:paraId="2C506B00" w14:textId="77777777" w:rsidR="00454A29" w:rsidRDefault="00454A29">
            <w:pPr>
              <w:pStyle w:val="ConsPlusNormal"/>
            </w:pPr>
          </w:p>
        </w:tc>
        <w:tc>
          <w:tcPr>
            <w:tcW w:w="1701" w:type="dxa"/>
            <w:vAlign w:val="center"/>
          </w:tcPr>
          <w:p w14:paraId="2425AEF3" w14:textId="77777777" w:rsidR="00454A29" w:rsidRDefault="00454A29">
            <w:pPr>
              <w:pStyle w:val="ConsPlusNormal"/>
            </w:pPr>
          </w:p>
        </w:tc>
        <w:tc>
          <w:tcPr>
            <w:tcW w:w="1814" w:type="dxa"/>
            <w:vAlign w:val="center"/>
          </w:tcPr>
          <w:p w14:paraId="54B572D9" w14:textId="77777777" w:rsidR="00454A29" w:rsidRDefault="00454A29">
            <w:pPr>
              <w:pStyle w:val="ConsPlusNormal"/>
            </w:pPr>
          </w:p>
        </w:tc>
      </w:tr>
      <w:tr w:rsidR="00454A29" w14:paraId="3D486C96" w14:textId="77777777">
        <w:tc>
          <w:tcPr>
            <w:tcW w:w="567" w:type="dxa"/>
            <w:vMerge/>
          </w:tcPr>
          <w:p w14:paraId="3D2D7509" w14:textId="77777777" w:rsidR="00454A29" w:rsidRDefault="00454A29"/>
        </w:tc>
        <w:tc>
          <w:tcPr>
            <w:tcW w:w="3345" w:type="dxa"/>
            <w:vMerge/>
          </w:tcPr>
          <w:p w14:paraId="13EFAA85" w14:textId="77777777" w:rsidR="00454A29" w:rsidRDefault="00454A29"/>
        </w:tc>
        <w:tc>
          <w:tcPr>
            <w:tcW w:w="1701" w:type="dxa"/>
            <w:vAlign w:val="center"/>
          </w:tcPr>
          <w:p w14:paraId="6C6D7865" w14:textId="77777777" w:rsidR="00454A29" w:rsidRDefault="00454A29">
            <w:pPr>
              <w:pStyle w:val="ConsPlusNormal"/>
              <w:jc w:val="center"/>
            </w:pPr>
            <w:r>
              <w:t>2022</w:t>
            </w:r>
          </w:p>
        </w:tc>
        <w:tc>
          <w:tcPr>
            <w:tcW w:w="1417" w:type="dxa"/>
            <w:vMerge/>
          </w:tcPr>
          <w:p w14:paraId="3EB0B0DB" w14:textId="77777777" w:rsidR="00454A29" w:rsidRDefault="00454A29"/>
        </w:tc>
        <w:tc>
          <w:tcPr>
            <w:tcW w:w="2204" w:type="dxa"/>
            <w:vMerge/>
          </w:tcPr>
          <w:p w14:paraId="1B7D8645" w14:textId="77777777" w:rsidR="00454A29" w:rsidRDefault="00454A29"/>
        </w:tc>
        <w:tc>
          <w:tcPr>
            <w:tcW w:w="1417" w:type="dxa"/>
            <w:vMerge/>
          </w:tcPr>
          <w:p w14:paraId="3994CE32" w14:textId="77777777" w:rsidR="00454A29" w:rsidRDefault="00454A29"/>
        </w:tc>
        <w:tc>
          <w:tcPr>
            <w:tcW w:w="2324" w:type="dxa"/>
            <w:vMerge/>
          </w:tcPr>
          <w:p w14:paraId="1CB738CC" w14:textId="77777777" w:rsidR="00454A29" w:rsidRDefault="00454A29"/>
        </w:tc>
        <w:tc>
          <w:tcPr>
            <w:tcW w:w="1701" w:type="dxa"/>
            <w:vAlign w:val="center"/>
          </w:tcPr>
          <w:p w14:paraId="3C0A9B6A" w14:textId="77777777" w:rsidR="00454A29" w:rsidRDefault="00454A29">
            <w:pPr>
              <w:pStyle w:val="ConsPlusNormal"/>
            </w:pPr>
          </w:p>
        </w:tc>
        <w:tc>
          <w:tcPr>
            <w:tcW w:w="1814" w:type="dxa"/>
            <w:vAlign w:val="center"/>
          </w:tcPr>
          <w:p w14:paraId="7DF8F8E9" w14:textId="77777777" w:rsidR="00454A29" w:rsidRDefault="00454A29">
            <w:pPr>
              <w:pStyle w:val="ConsPlusNormal"/>
            </w:pPr>
          </w:p>
        </w:tc>
        <w:tc>
          <w:tcPr>
            <w:tcW w:w="1701" w:type="dxa"/>
            <w:vAlign w:val="center"/>
          </w:tcPr>
          <w:p w14:paraId="537206D1" w14:textId="77777777" w:rsidR="00454A29" w:rsidRDefault="00454A29">
            <w:pPr>
              <w:pStyle w:val="ConsPlusNormal"/>
            </w:pPr>
          </w:p>
        </w:tc>
        <w:tc>
          <w:tcPr>
            <w:tcW w:w="1701" w:type="dxa"/>
            <w:vAlign w:val="center"/>
          </w:tcPr>
          <w:p w14:paraId="587C69A6" w14:textId="77777777" w:rsidR="00454A29" w:rsidRDefault="00454A29">
            <w:pPr>
              <w:pStyle w:val="ConsPlusNormal"/>
            </w:pPr>
          </w:p>
        </w:tc>
        <w:tc>
          <w:tcPr>
            <w:tcW w:w="1814" w:type="dxa"/>
            <w:vAlign w:val="center"/>
          </w:tcPr>
          <w:p w14:paraId="37EDEA75" w14:textId="77777777" w:rsidR="00454A29" w:rsidRDefault="00454A29">
            <w:pPr>
              <w:pStyle w:val="ConsPlusNormal"/>
            </w:pPr>
          </w:p>
        </w:tc>
      </w:tr>
      <w:tr w:rsidR="00454A29" w14:paraId="7F7B626F" w14:textId="77777777">
        <w:tc>
          <w:tcPr>
            <w:tcW w:w="567" w:type="dxa"/>
            <w:vMerge/>
          </w:tcPr>
          <w:p w14:paraId="1E7A876B" w14:textId="77777777" w:rsidR="00454A29" w:rsidRDefault="00454A29"/>
        </w:tc>
        <w:tc>
          <w:tcPr>
            <w:tcW w:w="3345" w:type="dxa"/>
            <w:vMerge/>
          </w:tcPr>
          <w:p w14:paraId="5DA9CDF0" w14:textId="77777777" w:rsidR="00454A29" w:rsidRDefault="00454A29"/>
        </w:tc>
        <w:tc>
          <w:tcPr>
            <w:tcW w:w="1701" w:type="dxa"/>
            <w:vAlign w:val="center"/>
          </w:tcPr>
          <w:p w14:paraId="564E679F" w14:textId="77777777" w:rsidR="00454A29" w:rsidRDefault="00454A29">
            <w:pPr>
              <w:pStyle w:val="ConsPlusNormal"/>
              <w:jc w:val="center"/>
            </w:pPr>
            <w:r>
              <w:t>2023</w:t>
            </w:r>
          </w:p>
        </w:tc>
        <w:tc>
          <w:tcPr>
            <w:tcW w:w="1417" w:type="dxa"/>
            <w:vMerge/>
          </w:tcPr>
          <w:p w14:paraId="18EA2D22" w14:textId="77777777" w:rsidR="00454A29" w:rsidRDefault="00454A29"/>
        </w:tc>
        <w:tc>
          <w:tcPr>
            <w:tcW w:w="2204" w:type="dxa"/>
            <w:vMerge/>
          </w:tcPr>
          <w:p w14:paraId="6AD23A2E" w14:textId="77777777" w:rsidR="00454A29" w:rsidRDefault="00454A29"/>
        </w:tc>
        <w:tc>
          <w:tcPr>
            <w:tcW w:w="1417" w:type="dxa"/>
            <w:vMerge/>
          </w:tcPr>
          <w:p w14:paraId="1E0EE5D5" w14:textId="77777777" w:rsidR="00454A29" w:rsidRDefault="00454A29"/>
        </w:tc>
        <w:tc>
          <w:tcPr>
            <w:tcW w:w="2324" w:type="dxa"/>
            <w:vMerge/>
          </w:tcPr>
          <w:p w14:paraId="3C93DE3E" w14:textId="77777777" w:rsidR="00454A29" w:rsidRDefault="00454A29"/>
        </w:tc>
        <w:tc>
          <w:tcPr>
            <w:tcW w:w="1701" w:type="dxa"/>
            <w:vAlign w:val="center"/>
          </w:tcPr>
          <w:p w14:paraId="0FC1BD67" w14:textId="77777777" w:rsidR="00454A29" w:rsidRDefault="00454A29">
            <w:pPr>
              <w:pStyle w:val="ConsPlusNormal"/>
            </w:pPr>
          </w:p>
        </w:tc>
        <w:tc>
          <w:tcPr>
            <w:tcW w:w="1814" w:type="dxa"/>
            <w:vAlign w:val="center"/>
          </w:tcPr>
          <w:p w14:paraId="168BD9D5" w14:textId="77777777" w:rsidR="00454A29" w:rsidRDefault="00454A29">
            <w:pPr>
              <w:pStyle w:val="ConsPlusNormal"/>
            </w:pPr>
          </w:p>
        </w:tc>
        <w:tc>
          <w:tcPr>
            <w:tcW w:w="1701" w:type="dxa"/>
            <w:vAlign w:val="center"/>
          </w:tcPr>
          <w:p w14:paraId="0E3089D0" w14:textId="77777777" w:rsidR="00454A29" w:rsidRDefault="00454A29">
            <w:pPr>
              <w:pStyle w:val="ConsPlusNormal"/>
            </w:pPr>
          </w:p>
        </w:tc>
        <w:tc>
          <w:tcPr>
            <w:tcW w:w="1701" w:type="dxa"/>
            <w:vAlign w:val="center"/>
          </w:tcPr>
          <w:p w14:paraId="7723A456" w14:textId="77777777" w:rsidR="00454A29" w:rsidRDefault="00454A29">
            <w:pPr>
              <w:pStyle w:val="ConsPlusNormal"/>
            </w:pPr>
          </w:p>
        </w:tc>
        <w:tc>
          <w:tcPr>
            <w:tcW w:w="1814" w:type="dxa"/>
            <w:vAlign w:val="center"/>
          </w:tcPr>
          <w:p w14:paraId="2D6464CA" w14:textId="77777777" w:rsidR="00454A29" w:rsidRDefault="00454A29">
            <w:pPr>
              <w:pStyle w:val="ConsPlusNormal"/>
            </w:pPr>
          </w:p>
        </w:tc>
      </w:tr>
      <w:tr w:rsidR="00454A29" w14:paraId="2015272C" w14:textId="77777777">
        <w:tc>
          <w:tcPr>
            <w:tcW w:w="567" w:type="dxa"/>
            <w:vMerge/>
          </w:tcPr>
          <w:p w14:paraId="3B7C4059" w14:textId="77777777" w:rsidR="00454A29" w:rsidRDefault="00454A29"/>
        </w:tc>
        <w:tc>
          <w:tcPr>
            <w:tcW w:w="3345" w:type="dxa"/>
            <w:vMerge/>
          </w:tcPr>
          <w:p w14:paraId="28BD7245" w14:textId="77777777" w:rsidR="00454A29" w:rsidRDefault="00454A29"/>
        </w:tc>
        <w:tc>
          <w:tcPr>
            <w:tcW w:w="1701" w:type="dxa"/>
            <w:vAlign w:val="center"/>
          </w:tcPr>
          <w:p w14:paraId="06D5960A" w14:textId="77777777" w:rsidR="00454A29" w:rsidRDefault="00454A29">
            <w:pPr>
              <w:pStyle w:val="ConsPlusNormal"/>
              <w:jc w:val="center"/>
            </w:pPr>
            <w:r>
              <w:t>2024</w:t>
            </w:r>
          </w:p>
        </w:tc>
        <w:tc>
          <w:tcPr>
            <w:tcW w:w="1417" w:type="dxa"/>
            <w:vMerge/>
          </w:tcPr>
          <w:p w14:paraId="4AE9B05C" w14:textId="77777777" w:rsidR="00454A29" w:rsidRDefault="00454A29"/>
        </w:tc>
        <w:tc>
          <w:tcPr>
            <w:tcW w:w="2204" w:type="dxa"/>
            <w:vMerge/>
          </w:tcPr>
          <w:p w14:paraId="021F9224" w14:textId="77777777" w:rsidR="00454A29" w:rsidRDefault="00454A29"/>
        </w:tc>
        <w:tc>
          <w:tcPr>
            <w:tcW w:w="1417" w:type="dxa"/>
            <w:vMerge/>
          </w:tcPr>
          <w:p w14:paraId="103624F4" w14:textId="77777777" w:rsidR="00454A29" w:rsidRDefault="00454A29"/>
        </w:tc>
        <w:tc>
          <w:tcPr>
            <w:tcW w:w="2324" w:type="dxa"/>
            <w:vMerge/>
          </w:tcPr>
          <w:p w14:paraId="08346F20" w14:textId="77777777" w:rsidR="00454A29" w:rsidRDefault="00454A29"/>
        </w:tc>
        <w:tc>
          <w:tcPr>
            <w:tcW w:w="1701" w:type="dxa"/>
            <w:vAlign w:val="center"/>
          </w:tcPr>
          <w:p w14:paraId="5E97D7DE" w14:textId="77777777" w:rsidR="00454A29" w:rsidRDefault="00454A29">
            <w:pPr>
              <w:pStyle w:val="ConsPlusNormal"/>
            </w:pPr>
          </w:p>
        </w:tc>
        <w:tc>
          <w:tcPr>
            <w:tcW w:w="1814" w:type="dxa"/>
            <w:tcBorders>
              <w:right w:val="nil"/>
            </w:tcBorders>
            <w:vAlign w:val="center"/>
          </w:tcPr>
          <w:p w14:paraId="0241572A" w14:textId="77777777" w:rsidR="00454A29" w:rsidRDefault="00454A29">
            <w:pPr>
              <w:pStyle w:val="ConsPlusNormal"/>
            </w:pPr>
          </w:p>
        </w:tc>
        <w:tc>
          <w:tcPr>
            <w:tcW w:w="1701" w:type="dxa"/>
            <w:tcBorders>
              <w:left w:val="nil"/>
            </w:tcBorders>
            <w:vAlign w:val="center"/>
          </w:tcPr>
          <w:p w14:paraId="1FB98EDF" w14:textId="77777777" w:rsidR="00454A29" w:rsidRDefault="00454A29">
            <w:pPr>
              <w:pStyle w:val="ConsPlusNormal"/>
            </w:pPr>
          </w:p>
        </w:tc>
        <w:tc>
          <w:tcPr>
            <w:tcW w:w="1701" w:type="dxa"/>
            <w:vAlign w:val="center"/>
          </w:tcPr>
          <w:p w14:paraId="2CAAC5BA" w14:textId="77777777" w:rsidR="00454A29" w:rsidRDefault="00454A29">
            <w:pPr>
              <w:pStyle w:val="ConsPlusNormal"/>
            </w:pPr>
          </w:p>
        </w:tc>
        <w:tc>
          <w:tcPr>
            <w:tcW w:w="1814" w:type="dxa"/>
            <w:vAlign w:val="center"/>
          </w:tcPr>
          <w:p w14:paraId="2E702A57" w14:textId="77777777" w:rsidR="00454A29" w:rsidRDefault="00454A29">
            <w:pPr>
              <w:pStyle w:val="ConsPlusNormal"/>
            </w:pPr>
          </w:p>
        </w:tc>
      </w:tr>
      <w:tr w:rsidR="00454A29" w14:paraId="23C046F8" w14:textId="77777777">
        <w:tc>
          <w:tcPr>
            <w:tcW w:w="567" w:type="dxa"/>
            <w:vMerge/>
          </w:tcPr>
          <w:p w14:paraId="668C751C" w14:textId="77777777" w:rsidR="00454A29" w:rsidRDefault="00454A29"/>
        </w:tc>
        <w:tc>
          <w:tcPr>
            <w:tcW w:w="3345" w:type="dxa"/>
            <w:vMerge/>
          </w:tcPr>
          <w:p w14:paraId="3575A0DE" w14:textId="77777777" w:rsidR="00454A29" w:rsidRDefault="00454A29"/>
        </w:tc>
        <w:tc>
          <w:tcPr>
            <w:tcW w:w="1701" w:type="dxa"/>
            <w:vAlign w:val="center"/>
          </w:tcPr>
          <w:p w14:paraId="7CA93B7D" w14:textId="77777777" w:rsidR="00454A29" w:rsidRDefault="00454A29">
            <w:pPr>
              <w:pStyle w:val="ConsPlusNormal"/>
              <w:jc w:val="center"/>
            </w:pPr>
            <w:r>
              <w:t>2025</w:t>
            </w:r>
          </w:p>
        </w:tc>
        <w:tc>
          <w:tcPr>
            <w:tcW w:w="1417" w:type="dxa"/>
            <w:vMerge/>
          </w:tcPr>
          <w:p w14:paraId="035C1842" w14:textId="77777777" w:rsidR="00454A29" w:rsidRDefault="00454A29"/>
        </w:tc>
        <w:tc>
          <w:tcPr>
            <w:tcW w:w="2204" w:type="dxa"/>
            <w:vMerge/>
          </w:tcPr>
          <w:p w14:paraId="7F1B5A8A" w14:textId="77777777" w:rsidR="00454A29" w:rsidRDefault="00454A29"/>
        </w:tc>
        <w:tc>
          <w:tcPr>
            <w:tcW w:w="1417" w:type="dxa"/>
            <w:vMerge/>
          </w:tcPr>
          <w:p w14:paraId="576D53AC" w14:textId="77777777" w:rsidR="00454A29" w:rsidRDefault="00454A29"/>
        </w:tc>
        <w:tc>
          <w:tcPr>
            <w:tcW w:w="2324" w:type="dxa"/>
            <w:vMerge/>
          </w:tcPr>
          <w:p w14:paraId="182FCAEC" w14:textId="77777777" w:rsidR="00454A29" w:rsidRDefault="00454A29"/>
        </w:tc>
        <w:tc>
          <w:tcPr>
            <w:tcW w:w="1701" w:type="dxa"/>
            <w:vAlign w:val="center"/>
          </w:tcPr>
          <w:p w14:paraId="7C88869D" w14:textId="77777777" w:rsidR="00454A29" w:rsidRDefault="00454A29">
            <w:pPr>
              <w:pStyle w:val="ConsPlusNormal"/>
              <w:jc w:val="center"/>
            </w:pPr>
            <w:r>
              <w:t>81427,15</w:t>
            </w:r>
          </w:p>
        </w:tc>
        <w:tc>
          <w:tcPr>
            <w:tcW w:w="1814" w:type="dxa"/>
            <w:vAlign w:val="center"/>
          </w:tcPr>
          <w:p w14:paraId="1CA12ECC" w14:textId="77777777" w:rsidR="00454A29" w:rsidRDefault="00454A29">
            <w:pPr>
              <w:pStyle w:val="ConsPlusNormal"/>
              <w:jc w:val="center"/>
            </w:pPr>
            <w:r>
              <w:t>814,27</w:t>
            </w:r>
          </w:p>
        </w:tc>
        <w:tc>
          <w:tcPr>
            <w:tcW w:w="1701" w:type="dxa"/>
            <w:vAlign w:val="center"/>
          </w:tcPr>
          <w:p w14:paraId="6E8D0207" w14:textId="77777777" w:rsidR="00454A29" w:rsidRDefault="00454A29">
            <w:pPr>
              <w:pStyle w:val="ConsPlusNormal"/>
              <w:jc w:val="center"/>
            </w:pPr>
            <w:r>
              <w:t>80 612,88</w:t>
            </w:r>
          </w:p>
        </w:tc>
        <w:tc>
          <w:tcPr>
            <w:tcW w:w="1701" w:type="dxa"/>
            <w:vAlign w:val="center"/>
          </w:tcPr>
          <w:p w14:paraId="3293B00B" w14:textId="77777777" w:rsidR="00454A29" w:rsidRDefault="00454A29">
            <w:pPr>
              <w:pStyle w:val="ConsPlusNormal"/>
            </w:pPr>
          </w:p>
        </w:tc>
        <w:tc>
          <w:tcPr>
            <w:tcW w:w="1814" w:type="dxa"/>
            <w:vAlign w:val="center"/>
          </w:tcPr>
          <w:p w14:paraId="66D5663E" w14:textId="77777777" w:rsidR="00454A29" w:rsidRDefault="00454A29">
            <w:pPr>
              <w:pStyle w:val="ConsPlusNormal"/>
            </w:pPr>
          </w:p>
        </w:tc>
      </w:tr>
      <w:tr w:rsidR="00454A29" w14:paraId="0DB98CD0" w14:textId="77777777">
        <w:tc>
          <w:tcPr>
            <w:tcW w:w="567" w:type="dxa"/>
            <w:vMerge/>
          </w:tcPr>
          <w:p w14:paraId="226F67E5" w14:textId="77777777" w:rsidR="00454A29" w:rsidRDefault="00454A29"/>
        </w:tc>
        <w:tc>
          <w:tcPr>
            <w:tcW w:w="3345" w:type="dxa"/>
            <w:vMerge/>
          </w:tcPr>
          <w:p w14:paraId="26F180D4" w14:textId="77777777" w:rsidR="00454A29" w:rsidRDefault="00454A29"/>
        </w:tc>
        <w:tc>
          <w:tcPr>
            <w:tcW w:w="1701" w:type="dxa"/>
            <w:vAlign w:val="center"/>
          </w:tcPr>
          <w:p w14:paraId="19E8072E" w14:textId="77777777" w:rsidR="00454A29" w:rsidRDefault="00454A29">
            <w:pPr>
              <w:pStyle w:val="ConsPlusNormal"/>
              <w:jc w:val="center"/>
            </w:pPr>
            <w:r>
              <w:t>2026</w:t>
            </w:r>
          </w:p>
        </w:tc>
        <w:tc>
          <w:tcPr>
            <w:tcW w:w="1417" w:type="dxa"/>
            <w:vMerge/>
          </w:tcPr>
          <w:p w14:paraId="75683218" w14:textId="77777777" w:rsidR="00454A29" w:rsidRDefault="00454A29"/>
        </w:tc>
        <w:tc>
          <w:tcPr>
            <w:tcW w:w="2204" w:type="dxa"/>
            <w:vMerge/>
          </w:tcPr>
          <w:p w14:paraId="3956C060" w14:textId="77777777" w:rsidR="00454A29" w:rsidRDefault="00454A29"/>
        </w:tc>
        <w:tc>
          <w:tcPr>
            <w:tcW w:w="1417" w:type="dxa"/>
            <w:vMerge/>
          </w:tcPr>
          <w:p w14:paraId="501EEDE1" w14:textId="77777777" w:rsidR="00454A29" w:rsidRDefault="00454A29"/>
        </w:tc>
        <w:tc>
          <w:tcPr>
            <w:tcW w:w="2324" w:type="dxa"/>
            <w:vMerge/>
          </w:tcPr>
          <w:p w14:paraId="4D98A3C2" w14:textId="77777777" w:rsidR="00454A29" w:rsidRDefault="00454A29"/>
        </w:tc>
        <w:tc>
          <w:tcPr>
            <w:tcW w:w="1701" w:type="dxa"/>
            <w:vAlign w:val="center"/>
          </w:tcPr>
          <w:p w14:paraId="73CF2D34" w14:textId="77777777" w:rsidR="00454A29" w:rsidRDefault="00454A29">
            <w:pPr>
              <w:pStyle w:val="ConsPlusNormal"/>
              <w:jc w:val="center"/>
            </w:pPr>
            <w:r>
              <w:t>79302,97</w:t>
            </w:r>
          </w:p>
        </w:tc>
        <w:tc>
          <w:tcPr>
            <w:tcW w:w="1814" w:type="dxa"/>
            <w:vAlign w:val="center"/>
          </w:tcPr>
          <w:p w14:paraId="6E061B06" w14:textId="77777777" w:rsidR="00454A29" w:rsidRDefault="00454A29">
            <w:pPr>
              <w:pStyle w:val="ConsPlusNormal"/>
              <w:jc w:val="center"/>
            </w:pPr>
            <w:r>
              <w:t>793,03</w:t>
            </w:r>
          </w:p>
        </w:tc>
        <w:tc>
          <w:tcPr>
            <w:tcW w:w="1701" w:type="dxa"/>
            <w:vAlign w:val="center"/>
          </w:tcPr>
          <w:p w14:paraId="7B47AE30" w14:textId="77777777" w:rsidR="00454A29" w:rsidRDefault="00454A29">
            <w:pPr>
              <w:pStyle w:val="ConsPlusNormal"/>
              <w:jc w:val="center"/>
            </w:pPr>
            <w:r>
              <w:t>78 509,94</w:t>
            </w:r>
          </w:p>
        </w:tc>
        <w:tc>
          <w:tcPr>
            <w:tcW w:w="1701" w:type="dxa"/>
            <w:vAlign w:val="center"/>
          </w:tcPr>
          <w:p w14:paraId="07F24EC4" w14:textId="77777777" w:rsidR="00454A29" w:rsidRDefault="00454A29">
            <w:pPr>
              <w:pStyle w:val="ConsPlusNormal"/>
            </w:pPr>
          </w:p>
        </w:tc>
        <w:tc>
          <w:tcPr>
            <w:tcW w:w="1814" w:type="dxa"/>
            <w:vAlign w:val="center"/>
          </w:tcPr>
          <w:p w14:paraId="75C47B42" w14:textId="77777777" w:rsidR="00454A29" w:rsidRDefault="00454A29">
            <w:pPr>
              <w:pStyle w:val="ConsPlusNormal"/>
            </w:pPr>
          </w:p>
        </w:tc>
      </w:tr>
      <w:tr w:rsidR="00454A29" w14:paraId="3628A907" w14:textId="77777777">
        <w:tc>
          <w:tcPr>
            <w:tcW w:w="21706" w:type="dxa"/>
            <w:gridSpan w:val="12"/>
            <w:vAlign w:val="center"/>
          </w:tcPr>
          <w:p w14:paraId="225BC887" w14:textId="77777777" w:rsidR="00454A29" w:rsidRDefault="00454A29">
            <w:pPr>
              <w:pStyle w:val="ConsPlusNormal"/>
              <w:jc w:val="center"/>
              <w:outlineLvl w:val="2"/>
            </w:pPr>
            <w:r>
              <w:t>ГО "город Якутск"</w:t>
            </w:r>
          </w:p>
        </w:tc>
      </w:tr>
      <w:tr w:rsidR="00454A29" w14:paraId="4CB87034" w14:textId="77777777">
        <w:tc>
          <w:tcPr>
            <w:tcW w:w="567" w:type="dxa"/>
            <w:vMerge w:val="restart"/>
            <w:vAlign w:val="center"/>
          </w:tcPr>
          <w:p w14:paraId="50E93E0B" w14:textId="77777777" w:rsidR="00454A29" w:rsidRDefault="00454A29">
            <w:pPr>
              <w:pStyle w:val="ConsPlusNormal"/>
              <w:jc w:val="center"/>
            </w:pPr>
            <w:r>
              <w:t>206</w:t>
            </w:r>
          </w:p>
        </w:tc>
        <w:tc>
          <w:tcPr>
            <w:tcW w:w="3345" w:type="dxa"/>
            <w:vMerge w:val="restart"/>
            <w:vAlign w:val="center"/>
          </w:tcPr>
          <w:p w14:paraId="1EFE174C" w14:textId="77777777" w:rsidR="00454A29" w:rsidRDefault="00454A29">
            <w:pPr>
              <w:pStyle w:val="ConsPlusNormal"/>
              <w:jc w:val="center"/>
            </w:pPr>
            <w:r>
              <w:t>Школа-сад на 220/100 мест в мкр. Кангалассы</w:t>
            </w:r>
          </w:p>
        </w:tc>
        <w:tc>
          <w:tcPr>
            <w:tcW w:w="1701" w:type="dxa"/>
            <w:vAlign w:val="center"/>
          </w:tcPr>
          <w:p w14:paraId="14D07649" w14:textId="77777777" w:rsidR="00454A29" w:rsidRDefault="00454A29">
            <w:pPr>
              <w:pStyle w:val="ConsPlusNormal"/>
              <w:jc w:val="center"/>
            </w:pPr>
            <w:r>
              <w:t>2020 - 2026 годы - всего</w:t>
            </w:r>
          </w:p>
        </w:tc>
        <w:tc>
          <w:tcPr>
            <w:tcW w:w="1417" w:type="dxa"/>
            <w:vMerge w:val="restart"/>
            <w:vAlign w:val="center"/>
          </w:tcPr>
          <w:p w14:paraId="1C56806D" w14:textId="77777777" w:rsidR="00454A29" w:rsidRDefault="00454A29">
            <w:pPr>
              <w:pStyle w:val="ConsPlusNormal"/>
              <w:jc w:val="center"/>
            </w:pPr>
            <w:r>
              <w:t>486 798,01</w:t>
            </w:r>
          </w:p>
        </w:tc>
        <w:tc>
          <w:tcPr>
            <w:tcW w:w="2204" w:type="dxa"/>
            <w:vMerge w:val="restart"/>
            <w:vAlign w:val="center"/>
          </w:tcPr>
          <w:p w14:paraId="3D898806" w14:textId="77777777" w:rsidR="00454A29" w:rsidRDefault="00454A29">
            <w:pPr>
              <w:pStyle w:val="ConsPlusNormal"/>
            </w:pPr>
          </w:p>
        </w:tc>
        <w:tc>
          <w:tcPr>
            <w:tcW w:w="1417" w:type="dxa"/>
            <w:vMerge w:val="restart"/>
            <w:vAlign w:val="center"/>
          </w:tcPr>
          <w:p w14:paraId="60343162" w14:textId="77777777" w:rsidR="00454A29" w:rsidRDefault="00454A29">
            <w:pPr>
              <w:pStyle w:val="ConsPlusNormal"/>
              <w:jc w:val="center"/>
            </w:pPr>
            <w:r>
              <w:t>180</w:t>
            </w:r>
          </w:p>
        </w:tc>
        <w:tc>
          <w:tcPr>
            <w:tcW w:w="2324" w:type="dxa"/>
            <w:vMerge w:val="restart"/>
            <w:vAlign w:val="center"/>
          </w:tcPr>
          <w:p w14:paraId="4D576952" w14:textId="77777777" w:rsidR="00454A29" w:rsidRDefault="00454A29">
            <w:pPr>
              <w:pStyle w:val="ConsPlusNormal"/>
              <w:jc w:val="center"/>
            </w:pPr>
            <w:r>
              <w:t>Минстрой РС(Я)</w:t>
            </w:r>
          </w:p>
        </w:tc>
        <w:tc>
          <w:tcPr>
            <w:tcW w:w="1701" w:type="dxa"/>
            <w:vAlign w:val="center"/>
          </w:tcPr>
          <w:p w14:paraId="2D705E22" w14:textId="77777777" w:rsidR="00454A29" w:rsidRDefault="00454A29">
            <w:pPr>
              <w:pStyle w:val="ConsPlusNormal"/>
              <w:jc w:val="center"/>
            </w:pPr>
            <w:r>
              <w:t>486 798,01</w:t>
            </w:r>
          </w:p>
        </w:tc>
        <w:tc>
          <w:tcPr>
            <w:tcW w:w="1814" w:type="dxa"/>
            <w:vAlign w:val="center"/>
          </w:tcPr>
          <w:p w14:paraId="4AD8150B" w14:textId="77777777" w:rsidR="00454A29" w:rsidRDefault="00454A29">
            <w:pPr>
              <w:pStyle w:val="ConsPlusNormal"/>
              <w:jc w:val="center"/>
            </w:pPr>
            <w:r>
              <w:t>4 867,98</w:t>
            </w:r>
          </w:p>
        </w:tc>
        <w:tc>
          <w:tcPr>
            <w:tcW w:w="1701" w:type="dxa"/>
            <w:vAlign w:val="center"/>
          </w:tcPr>
          <w:p w14:paraId="5EAC26E7" w14:textId="77777777" w:rsidR="00454A29" w:rsidRDefault="00454A29">
            <w:pPr>
              <w:pStyle w:val="ConsPlusNormal"/>
              <w:jc w:val="center"/>
            </w:pPr>
            <w:r>
              <w:t>481 930,03</w:t>
            </w:r>
          </w:p>
        </w:tc>
        <w:tc>
          <w:tcPr>
            <w:tcW w:w="1701" w:type="dxa"/>
            <w:vAlign w:val="center"/>
          </w:tcPr>
          <w:p w14:paraId="0D5D58F1" w14:textId="77777777" w:rsidR="00454A29" w:rsidRDefault="00454A29">
            <w:pPr>
              <w:pStyle w:val="ConsPlusNormal"/>
              <w:jc w:val="center"/>
            </w:pPr>
            <w:r>
              <w:t>-</w:t>
            </w:r>
          </w:p>
        </w:tc>
        <w:tc>
          <w:tcPr>
            <w:tcW w:w="1814" w:type="dxa"/>
            <w:vAlign w:val="center"/>
          </w:tcPr>
          <w:p w14:paraId="5129D40A" w14:textId="77777777" w:rsidR="00454A29" w:rsidRDefault="00454A29">
            <w:pPr>
              <w:pStyle w:val="ConsPlusNormal"/>
              <w:jc w:val="center"/>
            </w:pPr>
            <w:r>
              <w:t>0,00</w:t>
            </w:r>
          </w:p>
        </w:tc>
      </w:tr>
      <w:tr w:rsidR="00454A29" w14:paraId="3AE442D7" w14:textId="77777777">
        <w:tc>
          <w:tcPr>
            <w:tcW w:w="567" w:type="dxa"/>
            <w:vMerge/>
          </w:tcPr>
          <w:p w14:paraId="5AB55C4C" w14:textId="77777777" w:rsidR="00454A29" w:rsidRDefault="00454A29"/>
        </w:tc>
        <w:tc>
          <w:tcPr>
            <w:tcW w:w="3345" w:type="dxa"/>
            <w:vMerge/>
          </w:tcPr>
          <w:p w14:paraId="7AA2AE8A" w14:textId="77777777" w:rsidR="00454A29" w:rsidRDefault="00454A29"/>
        </w:tc>
        <w:tc>
          <w:tcPr>
            <w:tcW w:w="1701" w:type="dxa"/>
            <w:vAlign w:val="center"/>
          </w:tcPr>
          <w:p w14:paraId="4E0EE9A8" w14:textId="77777777" w:rsidR="00454A29" w:rsidRDefault="00454A29">
            <w:pPr>
              <w:pStyle w:val="ConsPlusNormal"/>
              <w:jc w:val="center"/>
            </w:pPr>
            <w:r>
              <w:t>2020</w:t>
            </w:r>
          </w:p>
        </w:tc>
        <w:tc>
          <w:tcPr>
            <w:tcW w:w="1417" w:type="dxa"/>
            <w:vMerge/>
          </w:tcPr>
          <w:p w14:paraId="2D269FE2" w14:textId="77777777" w:rsidR="00454A29" w:rsidRDefault="00454A29"/>
        </w:tc>
        <w:tc>
          <w:tcPr>
            <w:tcW w:w="2204" w:type="dxa"/>
            <w:vMerge/>
          </w:tcPr>
          <w:p w14:paraId="3DD07060" w14:textId="77777777" w:rsidR="00454A29" w:rsidRDefault="00454A29"/>
        </w:tc>
        <w:tc>
          <w:tcPr>
            <w:tcW w:w="1417" w:type="dxa"/>
            <w:vMerge/>
          </w:tcPr>
          <w:p w14:paraId="0073F376" w14:textId="77777777" w:rsidR="00454A29" w:rsidRDefault="00454A29"/>
        </w:tc>
        <w:tc>
          <w:tcPr>
            <w:tcW w:w="2324" w:type="dxa"/>
            <w:vMerge/>
          </w:tcPr>
          <w:p w14:paraId="7B4FAE82" w14:textId="77777777" w:rsidR="00454A29" w:rsidRDefault="00454A29"/>
        </w:tc>
        <w:tc>
          <w:tcPr>
            <w:tcW w:w="1701" w:type="dxa"/>
            <w:vAlign w:val="center"/>
          </w:tcPr>
          <w:p w14:paraId="3AE6BDB8" w14:textId="77777777" w:rsidR="00454A29" w:rsidRDefault="00454A29">
            <w:pPr>
              <w:pStyle w:val="ConsPlusNormal"/>
              <w:jc w:val="center"/>
            </w:pPr>
            <w:r>
              <w:t>184 061,00</w:t>
            </w:r>
          </w:p>
        </w:tc>
        <w:tc>
          <w:tcPr>
            <w:tcW w:w="1814" w:type="dxa"/>
            <w:vAlign w:val="center"/>
          </w:tcPr>
          <w:p w14:paraId="4109110A" w14:textId="77777777" w:rsidR="00454A29" w:rsidRDefault="00454A29">
            <w:pPr>
              <w:pStyle w:val="ConsPlusNormal"/>
              <w:jc w:val="center"/>
            </w:pPr>
            <w:r>
              <w:t>1 840,61</w:t>
            </w:r>
          </w:p>
        </w:tc>
        <w:tc>
          <w:tcPr>
            <w:tcW w:w="1701" w:type="dxa"/>
            <w:vAlign w:val="center"/>
          </w:tcPr>
          <w:p w14:paraId="13DF7444" w14:textId="77777777" w:rsidR="00454A29" w:rsidRDefault="00454A29">
            <w:pPr>
              <w:pStyle w:val="ConsPlusNormal"/>
              <w:jc w:val="center"/>
            </w:pPr>
            <w:r>
              <w:t>182 220,39</w:t>
            </w:r>
          </w:p>
        </w:tc>
        <w:tc>
          <w:tcPr>
            <w:tcW w:w="1701" w:type="dxa"/>
            <w:vAlign w:val="center"/>
          </w:tcPr>
          <w:p w14:paraId="7E7C210D" w14:textId="77777777" w:rsidR="00454A29" w:rsidRDefault="00454A29">
            <w:pPr>
              <w:pStyle w:val="ConsPlusNormal"/>
            </w:pPr>
          </w:p>
        </w:tc>
        <w:tc>
          <w:tcPr>
            <w:tcW w:w="1814" w:type="dxa"/>
            <w:vAlign w:val="center"/>
          </w:tcPr>
          <w:p w14:paraId="7B0CF371" w14:textId="77777777" w:rsidR="00454A29" w:rsidRDefault="00454A29">
            <w:pPr>
              <w:pStyle w:val="ConsPlusNormal"/>
            </w:pPr>
          </w:p>
        </w:tc>
      </w:tr>
      <w:tr w:rsidR="00454A29" w14:paraId="338089EC" w14:textId="77777777">
        <w:tc>
          <w:tcPr>
            <w:tcW w:w="567" w:type="dxa"/>
            <w:vMerge/>
          </w:tcPr>
          <w:p w14:paraId="61E517A2" w14:textId="77777777" w:rsidR="00454A29" w:rsidRDefault="00454A29"/>
        </w:tc>
        <w:tc>
          <w:tcPr>
            <w:tcW w:w="3345" w:type="dxa"/>
            <w:vMerge/>
          </w:tcPr>
          <w:p w14:paraId="2CC8806A" w14:textId="77777777" w:rsidR="00454A29" w:rsidRDefault="00454A29"/>
        </w:tc>
        <w:tc>
          <w:tcPr>
            <w:tcW w:w="1701" w:type="dxa"/>
            <w:vAlign w:val="center"/>
          </w:tcPr>
          <w:p w14:paraId="22F31ED4" w14:textId="77777777" w:rsidR="00454A29" w:rsidRDefault="00454A29">
            <w:pPr>
              <w:pStyle w:val="ConsPlusNormal"/>
              <w:jc w:val="center"/>
            </w:pPr>
            <w:r>
              <w:t>2021</w:t>
            </w:r>
          </w:p>
        </w:tc>
        <w:tc>
          <w:tcPr>
            <w:tcW w:w="1417" w:type="dxa"/>
            <w:vMerge/>
          </w:tcPr>
          <w:p w14:paraId="63F266F5" w14:textId="77777777" w:rsidR="00454A29" w:rsidRDefault="00454A29"/>
        </w:tc>
        <w:tc>
          <w:tcPr>
            <w:tcW w:w="2204" w:type="dxa"/>
            <w:vMerge/>
          </w:tcPr>
          <w:p w14:paraId="6564AAD4" w14:textId="77777777" w:rsidR="00454A29" w:rsidRDefault="00454A29"/>
        </w:tc>
        <w:tc>
          <w:tcPr>
            <w:tcW w:w="1417" w:type="dxa"/>
            <w:vMerge/>
          </w:tcPr>
          <w:p w14:paraId="61FA8172" w14:textId="77777777" w:rsidR="00454A29" w:rsidRDefault="00454A29"/>
        </w:tc>
        <w:tc>
          <w:tcPr>
            <w:tcW w:w="2324" w:type="dxa"/>
            <w:vMerge/>
          </w:tcPr>
          <w:p w14:paraId="6244EAF9" w14:textId="77777777" w:rsidR="00454A29" w:rsidRDefault="00454A29"/>
        </w:tc>
        <w:tc>
          <w:tcPr>
            <w:tcW w:w="1701" w:type="dxa"/>
            <w:vAlign w:val="center"/>
          </w:tcPr>
          <w:p w14:paraId="08F73644" w14:textId="77777777" w:rsidR="00454A29" w:rsidRDefault="00454A29">
            <w:pPr>
              <w:pStyle w:val="ConsPlusNormal"/>
              <w:jc w:val="center"/>
            </w:pPr>
            <w:r>
              <w:t>302 737,01</w:t>
            </w:r>
          </w:p>
        </w:tc>
        <w:tc>
          <w:tcPr>
            <w:tcW w:w="1814" w:type="dxa"/>
            <w:vAlign w:val="center"/>
          </w:tcPr>
          <w:p w14:paraId="0EE98016" w14:textId="77777777" w:rsidR="00454A29" w:rsidRDefault="00454A29">
            <w:pPr>
              <w:pStyle w:val="ConsPlusNormal"/>
              <w:jc w:val="center"/>
            </w:pPr>
            <w:r>
              <w:t>3 027,37</w:t>
            </w:r>
          </w:p>
        </w:tc>
        <w:tc>
          <w:tcPr>
            <w:tcW w:w="1701" w:type="dxa"/>
            <w:vAlign w:val="center"/>
          </w:tcPr>
          <w:p w14:paraId="2EE37401" w14:textId="77777777" w:rsidR="00454A29" w:rsidRDefault="00454A29">
            <w:pPr>
              <w:pStyle w:val="ConsPlusNormal"/>
              <w:jc w:val="center"/>
            </w:pPr>
            <w:r>
              <w:t>299 709,64</w:t>
            </w:r>
          </w:p>
        </w:tc>
        <w:tc>
          <w:tcPr>
            <w:tcW w:w="1701" w:type="dxa"/>
            <w:vAlign w:val="center"/>
          </w:tcPr>
          <w:p w14:paraId="66E6240D" w14:textId="77777777" w:rsidR="00454A29" w:rsidRDefault="00454A29">
            <w:pPr>
              <w:pStyle w:val="ConsPlusNormal"/>
            </w:pPr>
          </w:p>
        </w:tc>
        <w:tc>
          <w:tcPr>
            <w:tcW w:w="1814" w:type="dxa"/>
            <w:vAlign w:val="center"/>
          </w:tcPr>
          <w:p w14:paraId="2601F0D3" w14:textId="77777777" w:rsidR="00454A29" w:rsidRDefault="00454A29">
            <w:pPr>
              <w:pStyle w:val="ConsPlusNormal"/>
            </w:pPr>
          </w:p>
        </w:tc>
      </w:tr>
      <w:tr w:rsidR="00454A29" w14:paraId="1A050649" w14:textId="77777777">
        <w:tc>
          <w:tcPr>
            <w:tcW w:w="567" w:type="dxa"/>
            <w:vMerge/>
          </w:tcPr>
          <w:p w14:paraId="6537F035" w14:textId="77777777" w:rsidR="00454A29" w:rsidRDefault="00454A29"/>
        </w:tc>
        <w:tc>
          <w:tcPr>
            <w:tcW w:w="3345" w:type="dxa"/>
            <w:vMerge/>
          </w:tcPr>
          <w:p w14:paraId="2E071A6A" w14:textId="77777777" w:rsidR="00454A29" w:rsidRDefault="00454A29"/>
        </w:tc>
        <w:tc>
          <w:tcPr>
            <w:tcW w:w="1701" w:type="dxa"/>
            <w:vAlign w:val="center"/>
          </w:tcPr>
          <w:p w14:paraId="618D2355" w14:textId="77777777" w:rsidR="00454A29" w:rsidRDefault="00454A29">
            <w:pPr>
              <w:pStyle w:val="ConsPlusNormal"/>
              <w:jc w:val="center"/>
            </w:pPr>
            <w:r>
              <w:t>2022</w:t>
            </w:r>
          </w:p>
        </w:tc>
        <w:tc>
          <w:tcPr>
            <w:tcW w:w="1417" w:type="dxa"/>
            <w:vMerge/>
          </w:tcPr>
          <w:p w14:paraId="7E915103" w14:textId="77777777" w:rsidR="00454A29" w:rsidRDefault="00454A29"/>
        </w:tc>
        <w:tc>
          <w:tcPr>
            <w:tcW w:w="2204" w:type="dxa"/>
            <w:vMerge/>
          </w:tcPr>
          <w:p w14:paraId="27DDD7D4" w14:textId="77777777" w:rsidR="00454A29" w:rsidRDefault="00454A29"/>
        </w:tc>
        <w:tc>
          <w:tcPr>
            <w:tcW w:w="1417" w:type="dxa"/>
            <w:vMerge/>
          </w:tcPr>
          <w:p w14:paraId="04AD9DB0" w14:textId="77777777" w:rsidR="00454A29" w:rsidRDefault="00454A29"/>
        </w:tc>
        <w:tc>
          <w:tcPr>
            <w:tcW w:w="2324" w:type="dxa"/>
            <w:vMerge/>
          </w:tcPr>
          <w:p w14:paraId="138708DC" w14:textId="77777777" w:rsidR="00454A29" w:rsidRDefault="00454A29"/>
        </w:tc>
        <w:tc>
          <w:tcPr>
            <w:tcW w:w="1701" w:type="dxa"/>
            <w:vAlign w:val="center"/>
          </w:tcPr>
          <w:p w14:paraId="3E6BA1EF" w14:textId="77777777" w:rsidR="00454A29" w:rsidRDefault="00454A29">
            <w:pPr>
              <w:pStyle w:val="ConsPlusNormal"/>
            </w:pPr>
          </w:p>
        </w:tc>
        <w:tc>
          <w:tcPr>
            <w:tcW w:w="1814" w:type="dxa"/>
            <w:vAlign w:val="center"/>
          </w:tcPr>
          <w:p w14:paraId="423028A3" w14:textId="77777777" w:rsidR="00454A29" w:rsidRDefault="00454A29">
            <w:pPr>
              <w:pStyle w:val="ConsPlusNormal"/>
            </w:pPr>
          </w:p>
        </w:tc>
        <w:tc>
          <w:tcPr>
            <w:tcW w:w="1701" w:type="dxa"/>
            <w:vAlign w:val="center"/>
          </w:tcPr>
          <w:p w14:paraId="4C93D4BF" w14:textId="77777777" w:rsidR="00454A29" w:rsidRDefault="00454A29">
            <w:pPr>
              <w:pStyle w:val="ConsPlusNormal"/>
            </w:pPr>
          </w:p>
        </w:tc>
        <w:tc>
          <w:tcPr>
            <w:tcW w:w="1701" w:type="dxa"/>
            <w:vAlign w:val="center"/>
          </w:tcPr>
          <w:p w14:paraId="5E5593ED" w14:textId="77777777" w:rsidR="00454A29" w:rsidRDefault="00454A29">
            <w:pPr>
              <w:pStyle w:val="ConsPlusNormal"/>
            </w:pPr>
          </w:p>
        </w:tc>
        <w:tc>
          <w:tcPr>
            <w:tcW w:w="1814" w:type="dxa"/>
            <w:vAlign w:val="center"/>
          </w:tcPr>
          <w:p w14:paraId="1418E48F" w14:textId="77777777" w:rsidR="00454A29" w:rsidRDefault="00454A29">
            <w:pPr>
              <w:pStyle w:val="ConsPlusNormal"/>
            </w:pPr>
          </w:p>
        </w:tc>
      </w:tr>
      <w:tr w:rsidR="00454A29" w14:paraId="20B00FBC" w14:textId="77777777">
        <w:tc>
          <w:tcPr>
            <w:tcW w:w="567" w:type="dxa"/>
            <w:vMerge/>
          </w:tcPr>
          <w:p w14:paraId="4DCEEB2C" w14:textId="77777777" w:rsidR="00454A29" w:rsidRDefault="00454A29"/>
        </w:tc>
        <w:tc>
          <w:tcPr>
            <w:tcW w:w="3345" w:type="dxa"/>
            <w:vMerge/>
          </w:tcPr>
          <w:p w14:paraId="1620C9DC" w14:textId="77777777" w:rsidR="00454A29" w:rsidRDefault="00454A29"/>
        </w:tc>
        <w:tc>
          <w:tcPr>
            <w:tcW w:w="1701" w:type="dxa"/>
            <w:vAlign w:val="center"/>
          </w:tcPr>
          <w:p w14:paraId="02ECAC5B" w14:textId="77777777" w:rsidR="00454A29" w:rsidRDefault="00454A29">
            <w:pPr>
              <w:pStyle w:val="ConsPlusNormal"/>
              <w:jc w:val="center"/>
            </w:pPr>
            <w:r>
              <w:t>2023</w:t>
            </w:r>
          </w:p>
        </w:tc>
        <w:tc>
          <w:tcPr>
            <w:tcW w:w="1417" w:type="dxa"/>
            <w:vMerge/>
          </w:tcPr>
          <w:p w14:paraId="4C9CD1B6" w14:textId="77777777" w:rsidR="00454A29" w:rsidRDefault="00454A29"/>
        </w:tc>
        <w:tc>
          <w:tcPr>
            <w:tcW w:w="2204" w:type="dxa"/>
            <w:vMerge/>
          </w:tcPr>
          <w:p w14:paraId="372604DE" w14:textId="77777777" w:rsidR="00454A29" w:rsidRDefault="00454A29"/>
        </w:tc>
        <w:tc>
          <w:tcPr>
            <w:tcW w:w="1417" w:type="dxa"/>
            <w:vMerge/>
          </w:tcPr>
          <w:p w14:paraId="489589A5" w14:textId="77777777" w:rsidR="00454A29" w:rsidRDefault="00454A29"/>
        </w:tc>
        <w:tc>
          <w:tcPr>
            <w:tcW w:w="2324" w:type="dxa"/>
            <w:vMerge/>
          </w:tcPr>
          <w:p w14:paraId="2BCE6658" w14:textId="77777777" w:rsidR="00454A29" w:rsidRDefault="00454A29"/>
        </w:tc>
        <w:tc>
          <w:tcPr>
            <w:tcW w:w="1701" w:type="dxa"/>
            <w:vAlign w:val="center"/>
          </w:tcPr>
          <w:p w14:paraId="28390AEC" w14:textId="77777777" w:rsidR="00454A29" w:rsidRDefault="00454A29">
            <w:pPr>
              <w:pStyle w:val="ConsPlusNormal"/>
            </w:pPr>
          </w:p>
        </w:tc>
        <w:tc>
          <w:tcPr>
            <w:tcW w:w="1814" w:type="dxa"/>
            <w:vAlign w:val="center"/>
          </w:tcPr>
          <w:p w14:paraId="2F64C81E" w14:textId="77777777" w:rsidR="00454A29" w:rsidRDefault="00454A29">
            <w:pPr>
              <w:pStyle w:val="ConsPlusNormal"/>
            </w:pPr>
          </w:p>
        </w:tc>
        <w:tc>
          <w:tcPr>
            <w:tcW w:w="1701" w:type="dxa"/>
            <w:vAlign w:val="center"/>
          </w:tcPr>
          <w:p w14:paraId="485DEC35" w14:textId="77777777" w:rsidR="00454A29" w:rsidRDefault="00454A29">
            <w:pPr>
              <w:pStyle w:val="ConsPlusNormal"/>
            </w:pPr>
          </w:p>
        </w:tc>
        <w:tc>
          <w:tcPr>
            <w:tcW w:w="1701" w:type="dxa"/>
            <w:vAlign w:val="center"/>
          </w:tcPr>
          <w:p w14:paraId="563B87C4" w14:textId="77777777" w:rsidR="00454A29" w:rsidRDefault="00454A29">
            <w:pPr>
              <w:pStyle w:val="ConsPlusNormal"/>
            </w:pPr>
          </w:p>
        </w:tc>
        <w:tc>
          <w:tcPr>
            <w:tcW w:w="1814" w:type="dxa"/>
            <w:vAlign w:val="center"/>
          </w:tcPr>
          <w:p w14:paraId="44D4543A" w14:textId="77777777" w:rsidR="00454A29" w:rsidRDefault="00454A29">
            <w:pPr>
              <w:pStyle w:val="ConsPlusNormal"/>
            </w:pPr>
          </w:p>
        </w:tc>
      </w:tr>
      <w:tr w:rsidR="00454A29" w14:paraId="692CFB22" w14:textId="77777777">
        <w:tc>
          <w:tcPr>
            <w:tcW w:w="567" w:type="dxa"/>
            <w:vMerge/>
          </w:tcPr>
          <w:p w14:paraId="1D5870E5" w14:textId="77777777" w:rsidR="00454A29" w:rsidRDefault="00454A29"/>
        </w:tc>
        <w:tc>
          <w:tcPr>
            <w:tcW w:w="3345" w:type="dxa"/>
            <w:vMerge/>
          </w:tcPr>
          <w:p w14:paraId="64EFD39C" w14:textId="77777777" w:rsidR="00454A29" w:rsidRDefault="00454A29"/>
        </w:tc>
        <w:tc>
          <w:tcPr>
            <w:tcW w:w="1701" w:type="dxa"/>
            <w:vAlign w:val="center"/>
          </w:tcPr>
          <w:p w14:paraId="5F960061" w14:textId="77777777" w:rsidR="00454A29" w:rsidRDefault="00454A29">
            <w:pPr>
              <w:pStyle w:val="ConsPlusNormal"/>
              <w:jc w:val="center"/>
            </w:pPr>
            <w:r>
              <w:t>2024</w:t>
            </w:r>
          </w:p>
        </w:tc>
        <w:tc>
          <w:tcPr>
            <w:tcW w:w="1417" w:type="dxa"/>
            <w:vMerge/>
          </w:tcPr>
          <w:p w14:paraId="18997AFB" w14:textId="77777777" w:rsidR="00454A29" w:rsidRDefault="00454A29"/>
        </w:tc>
        <w:tc>
          <w:tcPr>
            <w:tcW w:w="2204" w:type="dxa"/>
            <w:vMerge/>
          </w:tcPr>
          <w:p w14:paraId="530FBEAF" w14:textId="77777777" w:rsidR="00454A29" w:rsidRDefault="00454A29"/>
        </w:tc>
        <w:tc>
          <w:tcPr>
            <w:tcW w:w="1417" w:type="dxa"/>
            <w:vMerge/>
          </w:tcPr>
          <w:p w14:paraId="1E130EB3" w14:textId="77777777" w:rsidR="00454A29" w:rsidRDefault="00454A29"/>
        </w:tc>
        <w:tc>
          <w:tcPr>
            <w:tcW w:w="2324" w:type="dxa"/>
            <w:vMerge/>
          </w:tcPr>
          <w:p w14:paraId="5C27BBAC" w14:textId="77777777" w:rsidR="00454A29" w:rsidRDefault="00454A29"/>
        </w:tc>
        <w:tc>
          <w:tcPr>
            <w:tcW w:w="1701" w:type="dxa"/>
            <w:vAlign w:val="center"/>
          </w:tcPr>
          <w:p w14:paraId="7B579CBB" w14:textId="77777777" w:rsidR="00454A29" w:rsidRDefault="00454A29">
            <w:pPr>
              <w:pStyle w:val="ConsPlusNormal"/>
            </w:pPr>
          </w:p>
        </w:tc>
        <w:tc>
          <w:tcPr>
            <w:tcW w:w="1814" w:type="dxa"/>
            <w:vAlign w:val="center"/>
          </w:tcPr>
          <w:p w14:paraId="6B24BDAC" w14:textId="77777777" w:rsidR="00454A29" w:rsidRDefault="00454A29">
            <w:pPr>
              <w:pStyle w:val="ConsPlusNormal"/>
            </w:pPr>
          </w:p>
        </w:tc>
        <w:tc>
          <w:tcPr>
            <w:tcW w:w="1701" w:type="dxa"/>
            <w:vAlign w:val="center"/>
          </w:tcPr>
          <w:p w14:paraId="7B8D668B" w14:textId="77777777" w:rsidR="00454A29" w:rsidRDefault="00454A29">
            <w:pPr>
              <w:pStyle w:val="ConsPlusNormal"/>
            </w:pPr>
          </w:p>
        </w:tc>
        <w:tc>
          <w:tcPr>
            <w:tcW w:w="1701" w:type="dxa"/>
            <w:vAlign w:val="center"/>
          </w:tcPr>
          <w:p w14:paraId="7AA3D475" w14:textId="77777777" w:rsidR="00454A29" w:rsidRDefault="00454A29">
            <w:pPr>
              <w:pStyle w:val="ConsPlusNormal"/>
            </w:pPr>
          </w:p>
        </w:tc>
        <w:tc>
          <w:tcPr>
            <w:tcW w:w="1814" w:type="dxa"/>
            <w:vAlign w:val="center"/>
          </w:tcPr>
          <w:p w14:paraId="7A1A9758" w14:textId="77777777" w:rsidR="00454A29" w:rsidRDefault="00454A29">
            <w:pPr>
              <w:pStyle w:val="ConsPlusNormal"/>
            </w:pPr>
          </w:p>
        </w:tc>
      </w:tr>
      <w:tr w:rsidR="00454A29" w14:paraId="7A2FD107" w14:textId="77777777">
        <w:tc>
          <w:tcPr>
            <w:tcW w:w="567" w:type="dxa"/>
            <w:vMerge/>
          </w:tcPr>
          <w:p w14:paraId="7DAB4467" w14:textId="77777777" w:rsidR="00454A29" w:rsidRDefault="00454A29"/>
        </w:tc>
        <w:tc>
          <w:tcPr>
            <w:tcW w:w="3345" w:type="dxa"/>
            <w:vMerge/>
          </w:tcPr>
          <w:p w14:paraId="2E6C29B1" w14:textId="77777777" w:rsidR="00454A29" w:rsidRDefault="00454A29"/>
        </w:tc>
        <w:tc>
          <w:tcPr>
            <w:tcW w:w="1701" w:type="dxa"/>
            <w:vAlign w:val="center"/>
          </w:tcPr>
          <w:p w14:paraId="068831F6" w14:textId="77777777" w:rsidR="00454A29" w:rsidRDefault="00454A29">
            <w:pPr>
              <w:pStyle w:val="ConsPlusNormal"/>
              <w:jc w:val="center"/>
            </w:pPr>
            <w:r>
              <w:t>2025</w:t>
            </w:r>
          </w:p>
        </w:tc>
        <w:tc>
          <w:tcPr>
            <w:tcW w:w="1417" w:type="dxa"/>
            <w:vMerge/>
          </w:tcPr>
          <w:p w14:paraId="31F168DC" w14:textId="77777777" w:rsidR="00454A29" w:rsidRDefault="00454A29"/>
        </w:tc>
        <w:tc>
          <w:tcPr>
            <w:tcW w:w="2204" w:type="dxa"/>
            <w:vMerge/>
          </w:tcPr>
          <w:p w14:paraId="15508622" w14:textId="77777777" w:rsidR="00454A29" w:rsidRDefault="00454A29"/>
        </w:tc>
        <w:tc>
          <w:tcPr>
            <w:tcW w:w="1417" w:type="dxa"/>
            <w:vMerge/>
          </w:tcPr>
          <w:p w14:paraId="4D368165" w14:textId="77777777" w:rsidR="00454A29" w:rsidRDefault="00454A29"/>
        </w:tc>
        <w:tc>
          <w:tcPr>
            <w:tcW w:w="2324" w:type="dxa"/>
            <w:vMerge/>
          </w:tcPr>
          <w:p w14:paraId="3F0EDEA0" w14:textId="77777777" w:rsidR="00454A29" w:rsidRDefault="00454A29"/>
        </w:tc>
        <w:tc>
          <w:tcPr>
            <w:tcW w:w="1701" w:type="dxa"/>
            <w:vAlign w:val="center"/>
          </w:tcPr>
          <w:p w14:paraId="387F7F49" w14:textId="77777777" w:rsidR="00454A29" w:rsidRDefault="00454A29">
            <w:pPr>
              <w:pStyle w:val="ConsPlusNormal"/>
            </w:pPr>
          </w:p>
        </w:tc>
        <w:tc>
          <w:tcPr>
            <w:tcW w:w="1814" w:type="dxa"/>
            <w:vAlign w:val="center"/>
          </w:tcPr>
          <w:p w14:paraId="0E42E139" w14:textId="77777777" w:rsidR="00454A29" w:rsidRDefault="00454A29">
            <w:pPr>
              <w:pStyle w:val="ConsPlusNormal"/>
            </w:pPr>
          </w:p>
        </w:tc>
        <w:tc>
          <w:tcPr>
            <w:tcW w:w="1701" w:type="dxa"/>
            <w:vAlign w:val="center"/>
          </w:tcPr>
          <w:p w14:paraId="36C7090C" w14:textId="77777777" w:rsidR="00454A29" w:rsidRDefault="00454A29">
            <w:pPr>
              <w:pStyle w:val="ConsPlusNormal"/>
            </w:pPr>
          </w:p>
        </w:tc>
        <w:tc>
          <w:tcPr>
            <w:tcW w:w="1701" w:type="dxa"/>
            <w:vAlign w:val="center"/>
          </w:tcPr>
          <w:p w14:paraId="0CB2D3D3" w14:textId="77777777" w:rsidR="00454A29" w:rsidRDefault="00454A29">
            <w:pPr>
              <w:pStyle w:val="ConsPlusNormal"/>
            </w:pPr>
          </w:p>
        </w:tc>
        <w:tc>
          <w:tcPr>
            <w:tcW w:w="1814" w:type="dxa"/>
            <w:vAlign w:val="center"/>
          </w:tcPr>
          <w:p w14:paraId="4374FD8D" w14:textId="77777777" w:rsidR="00454A29" w:rsidRDefault="00454A29">
            <w:pPr>
              <w:pStyle w:val="ConsPlusNormal"/>
            </w:pPr>
          </w:p>
        </w:tc>
      </w:tr>
      <w:tr w:rsidR="00454A29" w14:paraId="071F685E" w14:textId="77777777">
        <w:tc>
          <w:tcPr>
            <w:tcW w:w="567" w:type="dxa"/>
            <w:vMerge/>
          </w:tcPr>
          <w:p w14:paraId="1772EC56" w14:textId="77777777" w:rsidR="00454A29" w:rsidRDefault="00454A29"/>
        </w:tc>
        <w:tc>
          <w:tcPr>
            <w:tcW w:w="3345" w:type="dxa"/>
            <w:vMerge/>
          </w:tcPr>
          <w:p w14:paraId="2EE15D36" w14:textId="77777777" w:rsidR="00454A29" w:rsidRDefault="00454A29"/>
        </w:tc>
        <w:tc>
          <w:tcPr>
            <w:tcW w:w="1701" w:type="dxa"/>
            <w:vAlign w:val="center"/>
          </w:tcPr>
          <w:p w14:paraId="16C19C6A" w14:textId="77777777" w:rsidR="00454A29" w:rsidRDefault="00454A29">
            <w:pPr>
              <w:pStyle w:val="ConsPlusNormal"/>
              <w:jc w:val="center"/>
            </w:pPr>
            <w:r>
              <w:t>2026</w:t>
            </w:r>
          </w:p>
        </w:tc>
        <w:tc>
          <w:tcPr>
            <w:tcW w:w="1417" w:type="dxa"/>
            <w:vMerge/>
          </w:tcPr>
          <w:p w14:paraId="1C9A400A" w14:textId="77777777" w:rsidR="00454A29" w:rsidRDefault="00454A29"/>
        </w:tc>
        <w:tc>
          <w:tcPr>
            <w:tcW w:w="2204" w:type="dxa"/>
            <w:vMerge/>
          </w:tcPr>
          <w:p w14:paraId="64977594" w14:textId="77777777" w:rsidR="00454A29" w:rsidRDefault="00454A29"/>
        </w:tc>
        <w:tc>
          <w:tcPr>
            <w:tcW w:w="1417" w:type="dxa"/>
            <w:vMerge/>
          </w:tcPr>
          <w:p w14:paraId="2186A694" w14:textId="77777777" w:rsidR="00454A29" w:rsidRDefault="00454A29"/>
        </w:tc>
        <w:tc>
          <w:tcPr>
            <w:tcW w:w="2324" w:type="dxa"/>
            <w:vMerge/>
          </w:tcPr>
          <w:p w14:paraId="45B14040" w14:textId="77777777" w:rsidR="00454A29" w:rsidRDefault="00454A29"/>
        </w:tc>
        <w:tc>
          <w:tcPr>
            <w:tcW w:w="1701" w:type="dxa"/>
            <w:vAlign w:val="center"/>
          </w:tcPr>
          <w:p w14:paraId="3BFAB1D7" w14:textId="77777777" w:rsidR="00454A29" w:rsidRDefault="00454A29">
            <w:pPr>
              <w:pStyle w:val="ConsPlusNormal"/>
            </w:pPr>
          </w:p>
        </w:tc>
        <w:tc>
          <w:tcPr>
            <w:tcW w:w="1814" w:type="dxa"/>
            <w:vAlign w:val="center"/>
          </w:tcPr>
          <w:p w14:paraId="1B854FBD" w14:textId="77777777" w:rsidR="00454A29" w:rsidRDefault="00454A29">
            <w:pPr>
              <w:pStyle w:val="ConsPlusNormal"/>
            </w:pPr>
          </w:p>
        </w:tc>
        <w:tc>
          <w:tcPr>
            <w:tcW w:w="1701" w:type="dxa"/>
            <w:vAlign w:val="center"/>
          </w:tcPr>
          <w:p w14:paraId="6450B5D6" w14:textId="77777777" w:rsidR="00454A29" w:rsidRDefault="00454A29">
            <w:pPr>
              <w:pStyle w:val="ConsPlusNormal"/>
            </w:pPr>
          </w:p>
        </w:tc>
        <w:tc>
          <w:tcPr>
            <w:tcW w:w="1701" w:type="dxa"/>
            <w:vAlign w:val="center"/>
          </w:tcPr>
          <w:p w14:paraId="075CCB15" w14:textId="77777777" w:rsidR="00454A29" w:rsidRDefault="00454A29">
            <w:pPr>
              <w:pStyle w:val="ConsPlusNormal"/>
            </w:pPr>
          </w:p>
        </w:tc>
        <w:tc>
          <w:tcPr>
            <w:tcW w:w="1814" w:type="dxa"/>
            <w:vAlign w:val="center"/>
          </w:tcPr>
          <w:p w14:paraId="0DE78D2B" w14:textId="77777777" w:rsidR="00454A29" w:rsidRDefault="00454A29">
            <w:pPr>
              <w:pStyle w:val="ConsPlusNormal"/>
            </w:pPr>
          </w:p>
        </w:tc>
      </w:tr>
      <w:tr w:rsidR="00454A29" w14:paraId="4B438E86" w14:textId="77777777">
        <w:tc>
          <w:tcPr>
            <w:tcW w:w="21706" w:type="dxa"/>
            <w:gridSpan w:val="12"/>
            <w:vAlign w:val="center"/>
          </w:tcPr>
          <w:p w14:paraId="5AF38509" w14:textId="77777777" w:rsidR="00454A29" w:rsidRDefault="00454A29">
            <w:pPr>
              <w:pStyle w:val="ConsPlusNormal"/>
              <w:jc w:val="center"/>
            </w:pPr>
            <w:r>
              <w:t>Мероприятие 9.1.3.</w:t>
            </w:r>
          </w:p>
        </w:tc>
      </w:tr>
      <w:tr w:rsidR="00454A29" w14:paraId="1737DD9F" w14:textId="77777777">
        <w:tc>
          <w:tcPr>
            <w:tcW w:w="567" w:type="dxa"/>
            <w:vMerge w:val="restart"/>
            <w:vAlign w:val="center"/>
          </w:tcPr>
          <w:p w14:paraId="79BF85DD" w14:textId="77777777" w:rsidR="00454A29" w:rsidRDefault="00454A29">
            <w:pPr>
              <w:pStyle w:val="ConsPlusNormal"/>
            </w:pPr>
          </w:p>
        </w:tc>
        <w:tc>
          <w:tcPr>
            <w:tcW w:w="3345" w:type="dxa"/>
            <w:vMerge w:val="restart"/>
            <w:vAlign w:val="center"/>
          </w:tcPr>
          <w:p w14:paraId="437F71A9" w14:textId="77777777" w:rsidR="00454A29" w:rsidRDefault="00454A29">
            <w:pPr>
              <w:pStyle w:val="ConsPlusNormal"/>
              <w:jc w:val="center"/>
            </w:pPr>
            <w:r>
              <w:t>Строительство и (или) реконструкция объектов общего образования г. Якутска в рамках государственно-частного партнерства</w:t>
            </w:r>
          </w:p>
        </w:tc>
        <w:tc>
          <w:tcPr>
            <w:tcW w:w="1701" w:type="dxa"/>
            <w:vAlign w:val="center"/>
          </w:tcPr>
          <w:p w14:paraId="0B383C56" w14:textId="77777777" w:rsidR="00454A29" w:rsidRDefault="00454A29">
            <w:pPr>
              <w:pStyle w:val="ConsPlusNormal"/>
              <w:jc w:val="center"/>
            </w:pPr>
            <w:r>
              <w:t>2016 - 2026 годы - всего</w:t>
            </w:r>
          </w:p>
        </w:tc>
        <w:tc>
          <w:tcPr>
            <w:tcW w:w="1417" w:type="dxa"/>
            <w:vMerge w:val="restart"/>
            <w:vAlign w:val="center"/>
          </w:tcPr>
          <w:p w14:paraId="076F5DDA" w14:textId="77777777" w:rsidR="00454A29" w:rsidRDefault="00454A29">
            <w:pPr>
              <w:pStyle w:val="ConsPlusNormal"/>
            </w:pPr>
          </w:p>
        </w:tc>
        <w:tc>
          <w:tcPr>
            <w:tcW w:w="2204" w:type="dxa"/>
            <w:vMerge w:val="restart"/>
            <w:vAlign w:val="center"/>
          </w:tcPr>
          <w:p w14:paraId="567026EC" w14:textId="77777777" w:rsidR="00454A29" w:rsidRDefault="00454A29">
            <w:pPr>
              <w:pStyle w:val="ConsPlusNormal"/>
            </w:pPr>
          </w:p>
        </w:tc>
        <w:tc>
          <w:tcPr>
            <w:tcW w:w="1417" w:type="dxa"/>
            <w:vMerge w:val="restart"/>
            <w:vAlign w:val="center"/>
          </w:tcPr>
          <w:p w14:paraId="27920474" w14:textId="77777777" w:rsidR="00454A29" w:rsidRDefault="00454A29">
            <w:pPr>
              <w:pStyle w:val="ConsPlusNormal"/>
              <w:jc w:val="center"/>
            </w:pPr>
            <w:r>
              <w:t>2270</w:t>
            </w:r>
          </w:p>
        </w:tc>
        <w:tc>
          <w:tcPr>
            <w:tcW w:w="2324" w:type="dxa"/>
            <w:vMerge w:val="restart"/>
            <w:vAlign w:val="center"/>
          </w:tcPr>
          <w:p w14:paraId="27C18C04" w14:textId="77777777" w:rsidR="00454A29" w:rsidRDefault="00454A29">
            <w:pPr>
              <w:pStyle w:val="ConsPlusNormal"/>
            </w:pPr>
          </w:p>
        </w:tc>
        <w:tc>
          <w:tcPr>
            <w:tcW w:w="1701" w:type="dxa"/>
            <w:vAlign w:val="center"/>
          </w:tcPr>
          <w:p w14:paraId="47253FEF" w14:textId="77777777" w:rsidR="00454A29" w:rsidRDefault="00454A29">
            <w:pPr>
              <w:pStyle w:val="ConsPlusNormal"/>
              <w:jc w:val="center"/>
            </w:pPr>
            <w:r>
              <w:t>8 292 185,34</w:t>
            </w:r>
          </w:p>
        </w:tc>
        <w:tc>
          <w:tcPr>
            <w:tcW w:w="1814" w:type="dxa"/>
            <w:vAlign w:val="center"/>
          </w:tcPr>
          <w:p w14:paraId="7B127C6D" w14:textId="77777777" w:rsidR="00454A29" w:rsidRDefault="00454A29">
            <w:pPr>
              <w:pStyle w:val="ConsPlusNormal"/>
              <w:jc w:val="center"/>
            </w:pPr>
            <w:r>
              <w:t>4 612 430,12</w:t>
            </w:r>
          </w:p>
        </w:tc>
        <w:tc>
          <w:tcPr>
            <w:tcW w:w="1701" w:type="dxa"/>
            <w:vAlign w:val="center"/>
          </w:tcPr>
          <w:p w14:paraId="0F3C622E" w14:textId="77777777" w:rsidR="00454A29" w:rsidRDefault="00454A29">
            <w:pPr>
              <w:pStyle w:val="ConsPlusNormal"/>
              <w:jc w:val="center"/>
            </w:pPr>
            <w:r>
              <w:t>-</w:t>
            </w:r>
          </w:p>
        </w:tc>
        <w:tc>
          <w:tcPr>
            <w:tcW w:w="1701" w:type="dxa"/>
            <w:vAlign w:val="center"/>
          </w:tcPr>
          <w:p w14:paraId="1A8F2680" w14:textId="77777777" w:rsidR="00454A29" w:rsidRDefault="00454A29">
            <w:pPr>
              <w:pStyle w:val="ConsPlusNormal"/>
              <w:jc w:val="center"/>
            </w:pPr>
            <w:r>
              <w:t>1 352 790,37</w:t>
            </w:r>
          </w:p>
        </w:tc>
        <w:tc>
          <w:tcPr>
            <w:tcW w:w="1814" w:type="dxa"/>
            <w:vAlign w:val="center"/>
          </w:tcPr>
          <w:p w14:paraId="00C4C14A" w14:textId="77777777" w:rsidR="00454A29" w:rsidRDefault="00454A29">
            <w:pPr>
              <w:pStyle w:val="ConsPlusNormal"/>
              <w:jc w:val="center"/>
            </w:pPr>
            <w:r>
              <w:t>2 326 964,85</w:t>
            </w:r>
          </w:p>
        </w:tc>
      </w:tr>
      <w:tr w:rsidR="00454A29" w14:paraId="317199D0" w14:textId="77777777">
        <w:tc>
          <w:tcPr>
            <w:tcW w:w="567" w:type="dxa"/>
            <w:vMerge/>
          </w:tcPr>
          <w:p w14:paraId="553DD6E8" w14:textId="77777777" w:rsidR="00454A29" w:rsidRDefault="00454A29"/>
        </w:tc>
        <w:tc>
          <w:tcPr>
            <w:tcW w:w="3345" w:type="dxa"/>
            <w:vMerge/>
          </w:tcPr>
          <w:p w14:paraId="406A65D3" w14:textId="77777777" w:rsidR="00454A29" w:rsidRDefault="00454A29"/>
        </w:tc>
        <w:tc>
          <w:tcPr>
            <w:tcW w:w="1701" w:type="dxa"/>
            <w:vAlign w:val="center"/>
          </w:tcPr>
          <w:p w14:paraId="4CD12239" w14:textId="77777777" w:rsidR="00454A29" w:rsidRDefault="00454A29">
            <w:pPr>
              <w:pStyle w:val="ConsPlusNormal"/>
              <w:jc w:val="center"/>
            </w:pPr>
            <w:r>
              <w:t>2016</w:t>
            </w:r>
          </w:p>
        </w:tc>
        <w:tc>
          <w:tcPr>
            <w:tcW w:w="1417" w:type="dxa"/>
            <w:vMerge/>
          </w:tcPr>
          <w:p w14:paraId="0E1AC4FE" w14:textId="77777777" w:rsidR="00454A29" w:rsidRDefault="00454A29"/>
        </w:tc>
        <w:tc>
          <w:tcPr>
            <w:tcW w:w="2204" w:type="dxa"/>
            <w:vMerge/>
          </w:tcPr>
          <w:p w14:paraId="34040769" w14:textId="77777777" w:rsidR="00454A29" w:rsidRDefault="00454A29"/>
        </w:tc>
        <w:tc>
          <w:tcPr>
            <w:tcW w:w="1417" w:type="dxa"/>
            <w:vMerge/>
          </w:tcPr>
          <w:p w14:paraId="199D1765" w14:textId="77777777" w:rsidR="00454A29" w:rsidRDefault="00454A29"/>
        </w:tc>
        <w:tc>
          <w:tcPr>
            <w:tcW w:w="2324" w:type="dxa"/>
            <w:vMerge/>
          </w:tcPr>
          <w:p w14:paraId="3A9745C6" w14:textId="77777777" w:rsidR="00454A29" w:rsidRDefault="00454A29"/>
        </w:tc>
        <w:tc>
          <w:tcPr>
            <w:tcW w:w="1701" w:type="dxa"/>
            <w:vAlign w:val="center"/>
          </w:tcPr>
          <w:p w14:paraId="585C8CBA" w14:textId="77777777" w:rsidR="00454A29" w:rsidRDefault="00454A29">
            <w:pPr>
              <w:pStyle w:val="ConsPlusNormal"/>
              <w:jc w:val="center"/>
            </w:pPr>
            <w:r>
              <w:t>1 545 676,66</w:t>
            </w:r>
          </w:p>
        </w:tc>
        <w:tc>
          <w:tcPr>
            <w:tcW w:w="1814" w:type="dxa"/>
            <w:vAlign w:val="center"/>
          </w:tcPr>
          <w:p w14:paraId="718FA691" w14:textId="77777777" w:rsidR="00454A29" w:rsidRDefault="00454A29">
            <w:pPr>
              <w:pStyle w:val="ConsPlusNormal"/>
              <w:jc w:val="center"/>
            </w:pPr>
            <w:r>
              <w:t>69 964,84</w:t>
            </w:r>
          </w:p>
        </w:tc>
        <w:tc>
          <w:tcPr>
            <w:tcW w:w="1701" w:type="dxa"/>
            <w:vAlign w:val="center"/>
          </w:tcPr>
          <w:p w14:paraId="2EF5F134" w14:textId="77777777" w:rsidR="00454A29" w:rsidRDefault="00454A29">
            <w:pPr>
              <w:pStyle w:val="ConsPlusNormal"/>
              <w:jc w:val="center"/>
            </w:pPr>
            <w:r>
              <w:t>-</w:t>
            </w:r>
          </w:p>
        </w:tc>
        <w:tc>
          <w:tcPr>
            <w:tcW w:w="1701" w:type="dxa"/>
            <w:vAlign w:val="center"/>
          </w:tcPr>
          <w:p w14:paraId="2C331A5B" w14:textId="77777777" w:rsidR="00454A29" w:rsidRDefault="00454A29">
            <w:pPr>
              <w:pStyle w:val="ConsPlusNormal"/>
              <w:jc w:val="center"/>
            </w:pPr>
            <w:r>
              <w:t>7 251,00</w:t>
            </w:r>
          </w:p>
        </w:tc>
        <w:tc>
          <w:tcPr>
            <w:tcW w:w="1814" w:type="dxa"/>
            <w:vAlign w:val="center"/>
          </w:tcPr>
          <w:p w14:paraId="3F86CCF5" w14:textId="77777777" w:rsidR="00454A29" w:rsidRDefault="00454A29">
            <w:pPr>
              <w:pStyle w:val="ConsPlusNormal"/>
              <w:jc w:val="center"/>
            </w:pPr>
            <w:r>
              <w:t>1 468 460,82</w:t>
            </w:r>
          </w:p>
        </w:tc>
      </w:tr>
      <w:tr w:rsidR="00454A29" w14:paraId="17A6DE16" w14:textId="77777777">
        <w:tc>
          <w:tcPr>
            <w:tcW w:w="567" w:type="dxa"/>
            <w:vMerge/>
          </w:tcPr>
          <w:p w14:paraId="6E268CFD" w14:textId="77777777" w:rsidR="00454A29" w:rsidRDefault="00454A29"/>
        </w:tc>
        <w:tc>
          <w:tcPr>
            <w:tcW w:w="3345" w:type="dxa"/>
            <w:vMerge/>
          </w:tcPr>
          <w:p w14:paraId="57FBAA3D" w14:textId="77777777" w:rsidR="00454A29" w:rsidRDefault="00454A29"/>
        </w:tc>
        <w:tc>
          <w:tcPr>
            <w:tcW w:w="1701" w:type="dxa"/>
            <w:vAlign w:val="center"/>
          </w:tcPr>
          <w:p w14:paraId="6CBEC864" w14:textId="77777777" w:rsidR="00454A29" w:rsidRDefault="00454A29">
            <w:pPr>
              <w:pStyle w:val="ConsPlusNormal"/>
              <w:jc w:val="center"/>
            </w:pPr>
            <w:r>
              <w:t>2017</w:t>
            </w:r>
          </w:p>
        </w:tc>
        <w:tc>
          <w:tcPr>
            <w:tcW w:w="1417" w:type="dxa"/>
            <w:vMerge/>
          </w:tcPr>
          <w:p w14:paraId="6E1A832F" w14:textId="77777777" w:rsidR="00454A29" w:rsidRDefault="00454A29"/>
        </w:tc>
        <w:tc>
          <w:tcPr>
            <w:tcW w:w="2204" w:type="dxa"/>
            <w:vMerge/>
          </w:tcPr>
          <w:p w14:paraId="0A27A0C8" w14:textId="77777777" w:rsidR="00454A29" w:rsidRDefault="00454A29"/>
        </w:tc>
        <w:tc>
          <w:tcPr>
            <w:tcW w:w="1417" w:type="dxa"/>
            <w:vMerge/>
          </w:tcPr>
          <w:p w14:paraId="2D4FD221" w14:textId="77777777" w:rsidR="00454A29" w:rsidRDefault="00454A29"/>
        </w:tc>
        <w:tc>
          <w:tcPr>
            <w:tcW w:w="2324" w:type="dxa"/>
            <w:vMerge/>
          </w:tcPr>
          <w:p w14:paraId="6A3CFBAD" w14:textId="77777777" w:rsidR="00454A29" w:rsidRDefault="00454A29"/>
        </w:tc>
        <w:tc>
          <w:tcPr>
            <w:tcW w:w="1701" w:type="dxa"/>
            <w:vAlign w:val="center"/>
          </w:tcPr>
          <w:p w14:paraId="409004D3" w14:textId="77777777" w:rsidR="00454A29" w:rsidRDefault="00454A29">
            <w:pPr>
              <w:pStyle w:val="ConsPlusNormal"/>
              <w:jc w:val="center"/>
            </w:pPr>
            <w:r>
              <w:t>936 663,16</w:t>
            </w:r>
          </w:p>
        </w:tc>
        <w:tc>
          <w:tcPr>
            <w:tcW w:w="1814" w:type="dxa"/>
            <w:vAlign w:val="center"/>
          </w:tcPr>
          <w:p w14:paraId="7015D87C" w14:textId="77777777" w:rsidR="00454A29" w:rsidRDefault="00454A29">
            <w:pPr>
              <w:pStyle w:val="ConsPlusNormal"/>
              <w:jc w:val="center"/>
            </w:pPr>
            <w:r>
              <w:t>245 866,98</w:t>
            </w:r>
          </w:p>
        </w:tc>
        <w:tc>
          <w:tcPr>
            <w:tcW w:w="1701" w:type="dxa"/>
            <w:vAlign w:val="center"/>
          </w:tcPr>
          <w:p w14:paraId="111EF1FA" w14:textId="77777777" w:rsidR="00454A29" w:rsidRDefault="00454A29">
            <w:pPr>
              <w:pStyle w:val="ConsPlusNormal"/>
            </w:pPr>
          </w:p>
        </w:tc>
        <w:tc>
          <w:tcPr>
            <w:tcW w:w="1701" w:type="dxa"/>
            <w:vAlign w:val="center"/>
          </w:tcPr>
          <w:p w14:paraId="6B35D112" w14:textId="77777777" w:rsidR="00454A29" w:rsidRDefault="00454A29">
            <w:pPr>
              <w:pStyle w:val="ConsPlusNormal"/>
              <w:jc w:val="center"/>
            </w:pPr>
            <w:r>
              <w:t>25 481,07</w:t>
            </w:r>
          </w:p>
        </w:tc>
        <w:tc>
          <w:tcPr>
            <w:tcW w:w="1814" w:type="dxa"/>
            <w:vAlign w:val="center"/>
          </w:tcPr>
          <w:p w14:paraId="0AA283CC" w14:textId="77777777" w:rsidR="00454A29" w:rsidRDefault="00454A29">
            <w:pPr>
              <w:pStyle w:val="ConsPlusNormal"/>
              <w:jc w:val="center"/>
            </w:pPr>
            <w:r>
              <w:t>665 315,11</w:t>
            </w:r>
          </w:p>
        </w:tc>
      </w:tr>
      <w:tr w:rsidR="00454A29" w14:paraId="17FE7B36" w14:textId="77777777">
        <w:tc>
          <w:tcPr>
            <w:tcW w:w="567" w:type="dxa"/>
            <w:vMerge/>
          </w:tcPr>
          <w:p w14:paraId="77A2B593" w14:textId="77777777" w:rsidR="00454A29" w:rsidRDefault="00454A29"/>
        </w:tc>
        <w:tc>
          <w:tcPr>
            <w:tcW w:w="3345" w:type="dxa"/>
            <w:vMerge/>
          </w:tcPr>
          <w:p w14:paraId="381CC276" w14:textId="77777777" w:rsidR="00454A29" w:rsidRDefault="00454A29"/>
        </w:tc>
        <w:tc>
          <w:tcPr>
            <w:tcW w:w="1701" w:type="dxa"/>
            <w:vAlign w:val="center"/>
          </w:tcPr>
          <w:p w14:paraId="425CFEA9" w14:textId="77777777" w:rsidR="00454A29" w:rsidRDefault="00454A29">
            <w:pPr>
              <w:pStyle w:val="ConsPlusNormal"/>
              <w:jc w:val="center"/>
            </w:pPr>
            <w:r>
              <w:t>2018</w:t>
            </w:r>
          </w:p>
        </w:tc>
        <w:tc>
          <w:tcPr>
            <w:tcW w:w="1417" w:type="dxa"/>
            <w:vMerge/>
          </w:tcPr>
          <w:p w14:paraId="04A2726A" w14:textId="77777777" w:rsidR="00454A29" w:rsidRDefault="00454A29"/>
        </w:tc>
        <w:tc>
          <w:tcPr>
            <w:tcW w:w="2204" w:type="dxa"/>
            <w:vMerge/>
          </w:tcPr>
          <w:p w14:paraId="670BF7E4" w14:textId="77777777" w:rsidR="00454A29" w:rsidRDefault="00454A29"/>
        </w:tc>
        <w:tc>
          <w:tcPr>
            <w:tcW w:w="1417" w:type="dxa"/>
            <w:vMerge/>
          </w:tcPr>
          <w:p w14:paraId="5131C62F" w14:textId="77777777" w:rsidR="00454A29" w:rsidRDefault="00454A29"/>
        </w:tc>
        <w:tc>
          <w:tcPr>
            <w:tcW w:w="2324" w:type="dxa"/>
            <w:vMerge/>
          </w:tcPr>
          <w:p w14:paraId="7D8CE98A" w14:textId="77777777" w:rsidR="00454A29" w:rsidRDefault="00454A29"/>
        </w:tc>
        <w:tc>
          <w:tcPr>
            <w:tcW w:w="1701" w:type="dxa"/>
            <w:vAlign w:val="center"/>
          </w:tcPr>
          <w:p w14:paraId="21E845A0" w14:textId="77777777" w:rsidR="00454A29" w:rsidRDefault="00454A29">
            <w:pPr>
              <w:pStyle w:val="ConsPlusNormal"/>
              <w:jc w:val="center"/>
            </w:pPr>
            <w:r>
              <w:t>652 245,75</w:t>
            </w:r>
          </w:p>
        </w:tc>
        <w:tc>
          <w:tcPr>
            <w:tcW w:w="1814" w:type="dxa"/>
            <w:vAlign w:val="center"/>
          </w:tcPr>
          <w:p w14:paraId="66C3D394" w14:textId="77777777" w:rsidR="00454A29" w:rsidRDefault="00454A29">
            <w:pPr>
              <w:pStyle w:val="ConsPlusNormal"/>
              <w:jc w:val="center"/>
            </w:pPr>
            <w:r>
              <w:t>410 899,30</w:t>
            </w:r>
          </w:p>
        </w:tc>
        <w:tc>
          <w:tcPr>
            <w:tcW w:w="1701" w:type="dxa"/>
            <w:vAlign w:val="center"/>
          </w:tcPr>
          <w:p w14:paraId="0198C769" w14:textId="77777777" w:rsidR="00454A29" w:rsidRDefault="00454A29">
            <w:pPr>
              <w:pStyle w:val="ConsPlusNormal"/>
              <w:jc w:val="center"/>
            </w:pPr>
            <w:r>
              <w:t>-</w:t>
            </w:r>
          </w:p>
        </w:tc>
        <w:tc>
          <w:tcPr>
            <w:tcW w:w="1701" w:type="dxa"/>
            <w:vAlign w:val="center"/>
          </w:tcPr>
          <w:p w14:paraId="5D26B72C" w14:textId="77777777" w:rsidR="00454A29" w:rsidRDefault="00454A29">
            <w:pPr>
              <w:pStyle w:val="ConsPlusNormal"/>
              <w:jc w:val="center"/>
            </w:pPr>
            <w:r>
              <w:t>48 157,53</w:t>
            </w:r>
          </w:p>
        </w:tc>
        <w:tc>
          <w:tcPr>
            <w:tcW w:w="1814" w:type="dxa"/>
            <w:vAlign w:val="center"/>
          </w:tcPr>
          <w:p w14:paraId="314DFD63" w14:textId="77777777" w:rsidR="00454A29" w:rsidRDefault="00454A29">
            <w:pPr>
              <w:pStyle w:val="ConsPlusNormal"/>
              <w:jc w:val="center"/>
            </w:pPr>
            <w:r>
              <w:t>193 188,92</w:t>
            </w:r>
          </w:p>
        </w:tc>
      </w:tr>
      <w:tr w:rsidR="00454A29" w14:paraId="570CF612" w14:textId="77777777">
        <w:tc>
          <w:tcPr>
            <w:tcW w:w="567" w:type="dxa"/>
            <w:vMerge/>
          </w:tcPr>
          <w:p w14:paraId="18C97B98" w14:textId="77777777" w:rsidR="00454A29" w:rsidRDefault="00454A29"/>
        </w:tc>
        <w:tc>
          <w:tcPr>
            <w:tcW w:w="3345" w:type="dxa"/>
            <w:vMerge/>
          </w:tcPr>
          <w:p w14:paraId="049739CF" w14:textId="77777777" w:rsidR="00454A29" w:rsidRDefault="00454A29"/>
        </w:tc>
        <w:tc>
          <w:tcPr>
            <w:tcW w:w="1701" w:type="dxa"/>
            <w:vAlign w:val="center"/>
          </w:tcPr>
          <w:p w14:paraId="38916788" w14:textId="77777777" w:rsidR="00454A29" w:rsidRDefault="00454A29">
            <w:pPr>
              <w:pStyle w:val="ConsPlusNormal"/>
              <w:jc w:val="center"/>
            </w:pPr>
            <w:r>
              <w:t>2019</w:t>
            </w:r>
          </w:p>
        </w:tc>
        <w:tc>
          <w:tcPr>
            <w:tcW w:w="1417" w:type="dxa"/>
            <w:vMerge/>
          </w:tcPr>
          <w:p w14:paraId="3D3DA220" w14:textId="77777777" w:rsidR="00454A29" w:rsidRDefault="00454A29"/>
        </w:tc>
        <w:tc>
          <w:tcPr>
            <w:tcW w:w="2204" w:type="dxa"/>
            <w:vMerge/>
          </w:tcPr>
          <w:p w14:paraId="008177AD" w14:textId="77777777" w:rsidR="00454A29" w:rsidRDefault="00454A29"/>
        </w:tc>
        <w:tc>
          <w:tcPr>
            <w:tcW w:w="1417" w:type="dxa"/>
            <w:vMerge/>
          </w:tcPr>
          <w:p w14:paraId="01D8D75B" w14:textId="77777777" w:rsidR="00454A29" w:rsidRDefault="00454A29"/>
        </w:tc>
        <w:tc>
          <w:tcPr>
            <w:tcW w:w="2324" w:type="dxa"/>
            <w:vMerge/>
          </w:tcPr>
          <w:p w14:paraId="76CA77AD" w14:textId="77777777" w:rsidR="00454A29" w:rsidRDefault="00454A29"/>
        </w:tc>
        <w:tc>
          <w:tcPr>
            <w:tcW w:w="1701" w:type="dxa"/>
            <w:vAlign w:val="center"/>
          </w:tcPr>
          <w:p w14:paraId="505E2756" w14:textId="77777777" w:rsidR="00454A29" w:rsidRDefault="00454A29">
            <w:pPr>
              <w:pStyle w:val="ConsPlusNormal"/>
              <w:jc w:val="center"/>
            </w:pPr>
            <w:r>
              <w:t>494 483,07</w:t>
            </w:r>
          </w:p>
        </w:tc>
        <w:tc>
          <w:tcPr>
            <w:tcW w:w="1814" w:type="dxa"/>
            <w:vAlign w:val="center"/>
          </w:tcPr>
          <w:p w14:paraId="4717E6BB" w14:textId="77777777" w:rsidR="00454A29" w:rsidRDefault="00454A29">
            <w:pPr>
              <w:pStyle w:val="ConsPlusNormal"/>
              <w:jc w:val="center"/>
            </w:pPr>
            <w:r>
              <w:t>437 640,89</w:t>
            </w:r>
          </w:p>
        </w:tc>
        <w:tc>
          <w:tcPr>
            <w:tcW w:w="1701" w:type="dxa"/>
            <w:vAlign w:val="center"/>
          </w:tcPr>
          <w:p w14:paraId="7AFB81A0" w14:textId="77777777" w:rsidR="00454A29" w:rsidRDefault="00454A29">
            <w:pPr>
              <w:pStyle w:val="ConsPlusNormal"/>
              <w:jc w:val="center"/>
            </w:pPr>
            <w:r>
              <w:t>-</w:t>
            </w:r>
          </w:p>
        </w:tc>
        <w:tc>
          <w:tcPr>
            <w:tcW w:w="1701" w:type="dxa"/>
            <w:vAlign w:val="center"/>
          </w:tcPr>
          <w:p w14:paraId="1DA8D455" w14:textId="77777777" w:rsidR="00454A29" w:rsidRDefault="00454A29">
            <w:pPr>
              <w:pStyle w:val="ConsPlusNormal"/>
              <w:jc w:val="center"/>
            </w:pPr>
            <w:r>
              <w:t>56 842,18</w:t>
            </w:r>
          </w:p>
        </w:tc>
        <w:tc>
          <w:tcPr>
            <w:tcW w:w="1814" w:type="dxa"/>
            <w:vAlign w:val="center"/>
          </w:tcPr>
          <w:p w14:paraId="70E6886F" w14:textId="77777777" w:rsidR="00454A29" w:rsidRDefault="00454A29">
            <w:pPr>
              <w:pStyle w:val="ConsPlusNormal"/>
              <w:jc w:val="center"/>
            </w:pPr>
            <w:r>
              <w:t>-</w:t>
            </w:r>
          </w:p>
        </w:tc>
      </w:tr>
      <w:tr w:rsidR="00454A29" w14:paraId="23DDE880" w14:textId="77777777">
        <w:tc>
          <w:tcPr>
            <w:tcW w:w="567" w:type="dxa"/>
            <w:vMerge/>
          </w:tcPr>
          <w:p w14:paraId="2748F22C" w14:textId="77777777" w:rsidR="00454A29" w:rsidRDefault="00454A29"/>
        </w:tc>
        <w:tc>
          <w:tcPr>
            <w:tcW w:w="3345" w:type="dxa"/>
            <w:vMerge/>
          </w:tcPr>
          <w:p w14:paraId="347F4F76" w14:textId="77777777" w:rsidR="00454A29" w:rsidRDefault="00454A29"/>
        </w:tc>
        <w:tc>
          <w:tcPr>
            <w:tcW w:w="1701" w:type="dxa"/>
            <w:vAlign w:val="center"/>
          </w:tcPr>
          <w:p w14:paraId="131834AB" w14:textId="77777777" w:rsidR="00454A29" w:rsidRDefault="00454A29">
            <w:pPr>
              <w:pStyle w:val="ConsPlusNormal"/>
              <w:jc w:val="center"/>
            </w:pPr>
            <w:r>
              <w:t>2020</w:t>
            </w:r>
          </w:p>
        </w:tc>
        <w:tc>
          <w:tcPr>
            <w:tcW w:w="1417" w:type="dxa"/>
            <w:vMerge/>
          </w:tcPr>
          <w:p w14:paraId="22A92C96" w14:textId="77777777" w:rsidR="00454A29" w:rsidRDefault="00454A29"/>
        </w:tc>
        <w:tc>
          <w:tcPr>
            <w:tcW w:w="2204" w:type="dxa"/>
            <w:vMerge/>
          </w:tcPr>
          <w:p w14:paraId="4F202D44" w14:textId="77777777" w:rsidR="00454A29" w:rsidRDefault="00454A29"/>
        </w:tc>
        <w:tc>
          <w:tcPr>
            <w:tcW w:w="1417" w:type="dxa"/>
            <w:vMerge/>
          </w:tcPr>
          <w:p w14:paraId="20755B14" w14:textId="77777777" w:rsidR="00454A29" w:rsidRDefault="00454A29"/>
        </w:tc>
        <w:tc>
          <w:tcPr>
            <w:tcW w:w="2324" w:type="dxa"/>
            <w:vMerge/>
          </w:tcPr>
          <w:p w14:paraId="5133CBC8" w14:textId="77777777" w:rsidR="00454A29" w:rsidRDefault="00454A29"/>
        </w:tc>
        <w:tc>
          <w:tcPr>
            <w:tcW w:w="1701" w:type="dxa"/>
            <w:vAlign w:val="center"/>
          </w:tcPr>
          <w:p w14:paraId="4B1D965E" w14:textId="77777777" w:rsidR="00454A29" w:rsidRDefault="00454A29">
            <w:pPr>
              <w:pStyle w:val="ConsPlusNormal"/>
              <w:jc w:val="center"/>
            </w:pPr>
            <w:r>
              <w:t>877 624,49</w:t>
            </w:r>
          </w:p>
        </w:tc>
        <w:tc>
          <w:tcPr>
            <w:tcW w:w="1814" w:type="dxa"/>
            <w:vAlign w:val="center"/>
          </w:tcPr>
          <w:p w14:paraId="491E5E67" w14:textId="77777777" w:rsidR="00454A29" w:rsidRDefault="00454A29">
            <w:pPr>
              <w:pStyle w:val="ConsPlusNormal"/>
              <w:jc w:val="center"/>
            </w:pPr>
            <w:r>
              <w:t>754 456,64</w:t>
            </w:r>
          </w:p>
        </w:tc>
        <w:tc>
          <w:tcPr>
            <w:tcW w:w="1701" w:type="dxa"/>
            <w:vAlign w:val="center"/>
          </w:tcPr>
          <w:p w14:paraId="2D186F7C" w14:textId="77777777" w:rsidR="00454A29" w:rsidRDefault="00454A29">
            <w:pPr>
              <w:pStyle w:val="ConsPlusNormal"/>
              <w:jc w:val="center"/>
            </w:pPr>
            <w:r>
              <w:t>-</w:t>
            </w:r>
          </w:p>
        </w:tc>
        <w:tc>
          <w:tcPr>
            <w:tcW w:w="1701" w:type="dxa"/>
            <w:vAlign w:val="center"/>
          </w:tcPr>
          <w:p w14:paraId="1D79A843" w14:textId="77777777" w:rsidR="00454A29" w:rsidRDefault="00454A29">
            <w:pPr>
              <w:pStyle w:val="ConsPlusNormal"/>
              <w:jc w:val="center"/>
            </w:pPr>
            <w:r>
              <w:t>123 167,85</w:t>
            </w:r>
          </w:p>
        </w:tc>
        <w:tc>
          <w:tcPr>
            <w:tcW w:w="1814" w:type="dxa"/>
            <w:vAlign w:val="center"/>
          </w:tcPr>
          <w:p w14:paraId="5F38DF5D" w14:textId="77777777" w:rsidR="00454A29" w:rsidRDefault="00454A29">
            <w:pPr>
              <w:pStyle w:val="ConsPlusNormal"/>
              <w:jc w:val="center"/>
            </w:pPr>
            <w:r>
              <w:t>-</w:t>
            </w:r>
          </w:p>
        </w:tc>
      </w:tr>
      <w:tr w:rsidR="00454A29" w14:paraId="4E12BB8E" w14:textId="77777777">
        <w:tc>
          <w:tcPr>
            <w:tcW w:w="567" w:type="dxa"/>
            <w:vMerge/>
          </w:tcPr>
          <w:p w14:paraId="132D37B1" w14:textId="77777777" w:rsidR="00454A29" w:rsidRDefault="00454A29"/>
        </w:tc>
        <w:tc>
          <w:tcPr>
            <w:tcW w:w="3345" w:type="dxa"/>
            <w:vMerge/>
          </w:tcPr>
          <w:p w14:paraId="48BE35D3" w14:textId="77777777" w:rsidR="00454A29" w:rsidRDefault="00454A29"/>
        </w:tc>
        <w:tc>
          <w:tcPr>
            <w:tcW w:w="1701" w:type="dxa"/>
            <w:vAlign w:val="center"/>
          </w:tcPr>
          <w:p w14:paraId="4423C628" w14:textId="77777777" w:rsidR="00454A29" w:rsidRDefault="00454A29">
            <w:pPr>
              <w:pStyle w:val="ConsPlusNormal"/>
              <w:jc w:val="center"/>
            </w:pPr>
            <w:r>
              <w:t>2021</w:t>
            </w:r>
          </w:p>
        </w:tc>
        <w:tc>
          <w:tcPr>
            <w:tcW w:w="1417" w:type="dxa"/>
            <w:vMerge/>
          </w:tcPr>
          <w:p w14:paraId="2B75B297" w14:textId="77777777" w:rsidR="00454A29" w:rsidRDefault="00454A29"/>
        </w:tc>
        <w:tc>
          <w:tcPr>
            <w:tcW w:w="2204" w:type="dxa"/>
            <w:vMerge/>
          </w:tcPr>
          <w:p w14:paraId="5D511E53" w14:textId="77777777" w:rsidR="00454A29" w:rsidRDefault="00454A29"/>
        </w:tc>
        <w:tc>
          <w:tcPr>
            <w:tcW w:w="1417" w:type="dxa"/>
            <w:vMerge/>
          </w:tcPr>
          <w:p w14:paraId="0C053D55" w14:textId="77777777" w:rsidR="00454A29" w:rsidRDefault="00454A29"/>
        </w:tc>
        <w:tc>
          <w:tcPr>
            <w:tcW w:w="2324" w:type="dxa"/>
            <w:vMerge/>
          </w:tcPr>
          <w:p w14:paraId="400E9DED" w14:textId="77777777" w:rsidR="00454A29" w:rsidRDefault="00454A29"/>
        </w:tc>
        <w:tc>
          <w:tcPr>
            <w:tcW w:w="1701" w:type="dxa"/>
            <w:vAlign w:val="center"/>
          </w:tcPr>
          <w:p w14:paraId="0BCD61D8" w14:textId="77777777" w:rsidR="00454A29" w:rsidRDefault="00454A29">
            <w:pPr>
              <w:pStyle w:val="ConsPlusNormal"/>
              <w:jc w:val="center"/>
            </w:pPr>
            <w:r>
              <w:t>942 133,86</w:t>
            </w:r>
          </w:p>
        </w:tc>
        <w:tc>
          <w:tcPr>
            <w:tcW w:w="1814" w:type="dxa"/>
            <w:vAlign w:val="center"/>
          </w:tcPr>
          <w:p w14:paraId="612F5FA7" w14:textId="77777777" w:rsidR="00454A29" w:rsidRDefault="00454A29">
            <w:pPr>
              <w:pStyle w:val="ConsPlusNormal"/>
              <w:jc w:val="center"/>
            </w:pPr>
            <w:r>
              <w:t>804 095,25</w:t>
            </w:r>
          </w:p>
        </w:tc>
        <w:tc>
          <w:tcPr>
            <w:tcW w:w="1701" w:type="dxa"/>
            <w:vAlign w:val="center"/>
          </w:tcPr>
          <w:p w14:paraId="71756EBE" w14:textId="77777777" w:rsidR="00454A29" w:rsidRDefault="00454A29">
            <w:pPr>
              <w:pStyle w:val="ConsPlusNormal"/>
              <w:jc w:val="center"/>
            </w:pPr>
            <w:r>
              <w:t>-</w:t>
            </w:r>
          </w:p>
        </w:tc>
        <w:tc>
          <w:tcPr>
            <w:tcW w:w="1701" w:type="dxa"/>
            <w:vAlign w:val="center"/>
          </w:tcPr>
          <w:p w14:paraId="41267080" w14:textId="77777777" w:rsidR="00454A29" w:rsidRDefault="00454A29">
            <w:pPr>
              <w:pStyle w:val="ConsPlusNormal"/>
              <w:jc w:val="center"/>
            </w:pPr>
            <w:r>
              <w:t>138 038,61</w:t>
            </w:r>
          </w:p>
        </w:tc>
        <w:tc>
          <w:tcPr>
            <w:tcW w:w="1814" w:type="dxa"/>
            <w:vAlign w:val="center"/>
          </w:tcPr>
          <w:p w14:paraId="7AB6B38A" w14:textId="77777777" w:rsidR="00454A29" w:rsidRDefault="00454A29">
            <w:pPr>
              <w:pStyle w:val="ConsPlusNormal"/>
              <w:jc w:val="center"/>
            </w:pPr>
            <w:r>
              <w:t>-</w:t>
            </w:r>
          </w:p>
        </w:tc>
      </w:tr>
      <w:tr w:rsidR="00454A29" w14:paraId="0171FF56" w14:textId="77777777">
        <w:tc>
          <w:tcPr>
            <w:tcW w:w="567" w:type="dxa"/>
            <w:vMerge/>
          </w:tcPr>
          <w:p w14:paraId="3FB20B55" w14:textId="77777777" w:rsidR="00454A29" w:rsidRDefault="00454A29"/>
        </w:tc>
        <w:tc>
          <w:tcPr>
            <w:tcW w:w="3345" w:type="dxa"/>
            <w:vMerge/>
          </w:tcPr>
          <w:p w14:paraId="2C698011" w14:textId="77777777" w:rsidR="00454A29" w:rsidRDefault="00454A29"/>
        </w:tc>
        <w:tc>
          <w:tcPr>
            <w:tcW w:w="1701" w:type="dxa"/>
            <w:vAlign w:val="center"/>
          </w:tcPr>
          <w:p w14:paraId="6662CAE4" w14:textId="77777777" w:rsidR="00454A29" w:rsidRDefault="00454A29">
            <w:pPr>
              <w:pStyle w:val="ConsPlusNormal"/>
              <w:jc w:val="center"/>
            </w:pPr>
            <w:r>
              <w:t>2022</w:t>
            </w:r>
          </w:p>
        </w:tc>
        <w:tc>
          <w:tcPr>
            <w:tcW w:w="1417" w:type="dxa"/>
            <w:vMerge/>
          </w:tcPr>
          <w:p w14:paraId="770E67F0" w14:textId="77777777" w:rsidR="00454A29" w:rsidRDefault="00454A29"/>
        </w:tc>
        <w:tc>
          <w:tcPr>
            <w:tcW w:w="2204" w:type="dxa"/>
            <w:vMerge/>
          </w:tcPr>
          <w:p w14:paraId="7EB65D97" w14:textId="77777777" w:rsidR="00454A29" w:rsidRDefault="00454A29"/>
        </w:tc>
        <w:tc>
          <w:tcPr>
            <w:tcW w:w="1417" w:type="dxa"/>
            <w:vMerge/>
          </w:tcPr>
          <w:p w14:paraId="3531705A" w14:textId="77777777" w:rsidR="00454A29" w:rsidRDefault="00454A29"/>
        </w:tc>
        <w:tc>
          <w:tcPr>
            <w:tcW w:w="2324" w:type="dxa"/>
            <w:vMerge/>
          </w:tcPr>
          <w:p w14:paraId="44B00855" w14:textId="77777777" w:rsidR="00454A29" w:rsidRDefault="00454A29"/>
        </w:tc>
        <w:tc>
          <w:tcPr>
            <w:tcW w:w="1701" w:type="dxa"/>
            <w:vAlign w:val="center"/>
          </w:tcPr>
          <w:p w14:paraId="303C8457" w14:textId="77777777" w:rsidR="00454A29" w:rsidRDefault="00454A29">
            <w:pPr>
              <w:pStyle w:val="ConsPlusNormal"/>
              <w:jc w:val="center"/>
            </w:pPr>
            <w:r>
              <w:t>871 102,12</w:t>
            </w:r>
          </w:p>
        </w:tc>
        <w:tc>
          <w:tcPr>
            <w:tcW w:w="1814" w:type="dxa"/>
            <w:vAlign w:val="center"/>
          </w:tcPr>
          <w:p w14:paraId="1CADC0D2" w14:textId="77777777" w:rsidR="00454A29" w:rsidRDefault="00454A29">
            <w:pPr>
              <w:pStyle w:val="ConsPlusNormal"/>
              <w:jc w:val="center"/>
            </w:pPr>
            <w:r>
              <w:t>716 109,49</w:t>
            </w:r>
          </w:p>
        </w:tc>
        <w:tc>
          <w:tcPr>
            <w:tcW w:w="1701" w:type="dxa"/>
            <w:vAlign w:val="center"/>
          </w:tcPr>
          <w:p w14:paraId="50CAE924" w14:textId="77777777" w:rsidR="00454A29" w:rsidRDefault="00454A29">
            <w:pPr>
              <w:pStyle w:val="ConsPlusNormal"/>
              <w:jc w:val="center"/>
            </w:pPr>
            <w:r>
              <w:t>-</w:t>
            </w:r>
          </w:p>
        </w:tc>
        <w:tc>
          <w:tcPr>
            <w:tcW w:w="1701" w:type="dxa"/>
            <w:vAlign w:val="center"/>
          </w:tcPr>
          <w:p w14:paraId="135EF468" w14:textId="77777777" w:rsidR="00454A29" w:rsidRDefault="00454A29">
            <w:pPr>
              <w:pStyle w:val="ConsPlusNormal"/>
              <w:jc w:val="center"/>
            </w:pPr>
            <w:r>
              <w:t>154 992,63</w:t>
            </w:r>
          </w:p>
        </w:tc>
        <w:tc>
          <w:tcPr>
            <w:tcW w:w="1814" w:type="dxa"/>
            <w:vAlign w:val="center"/>
          </w:tcPr>
          <w:p w14:paraId="3CD2E397" w14:textId="77777777" w:rsidR="00454A29" w:rsidRDefault="00454A29">
            <w:pPr>
              <w:pStyle w:val="ConsPlusNormal"/>
              <w:jc w:val="center"/>
            </w:pPr>
            <w:r>
              <w:t>-</w:t>
            </w:r>
          </w:p>
        </w:tc>
      </w:tr>
      <w:tr w:rsidR="00454A29" w14:paraId="5DC9690D" w14:textId="77777777">
        <w:tc>
          <w:tcPr>
            <w:tcW w:w="567" w:type="dxa"/>
            <w:vMerge/>
          </w:tcPr>
          <w:p w14:paraId="0D5D33CD" w14:textId="77777777" w:rsidR="00454A29" w:rsidRDefault="00454A29"/>
        </w:tc>
        <w:tc>
          <w:tcPr>
            <w:tcW w:w="3345" w:type="dxa"/>
            <w:vMerge/>
          </w:tcPr>
          <w:p w14:paraId="4B9903BC" w14:textId="77777777" w:rsidR="00454A29" w:rsidRDefault="00454A29"/>
        </w:tc>
        <w:tc>
          <w:tcPr>
            <w:tcW w:w="1701" w:type="dxa"/>
            <w:vAlign w:val="center"/>
          </w:tcPr>
          <w:p w14:paraId="4831147B" w14:textId="77777777" w:rsidR="00454A29" w:rsidRDefault="00454A29">
            <w:pPr>
              <w:pStyle w:val="ConsPlusNormal"/>
              <w:jc w:val="center"/>
            </w:pPr>
            <w:r>
              <w:t>2023</w:t>
            </w:r>
          </w:p>
        </w:tc>
        <w:tc>
          <w:tcPr>
            <w:tcW w:w="1417" w:type="dxa"/>
            <w:vMerge/>
          </w:tcPr>
          <w:p w14:paraId="1DEB984A" w14:textId="77777777" w:rsidR="00454A29" w:rsidRDefault="00454A29"/>
        </w:tc>
        <w:tc>
          <w:tcPr>
            <w:tcW w:w="2204" w:type="dxa"/>
            <w:vMerge/>
          </w:tcPr>
          <w:p w14:paraId="723E0E0B" w14:textId="77777777" w:rsidR="00454A29" w:rsidRDefault="00454A29"/>
        </w:tc>
        <w:tc>
          <w:tcPr>
            <w:tcW w:w="1417" w:type="dxa"/>
            <w:vMerge/>
          </w:tcPr>
          <w:p w14:paraId="51ADC0EB" w14:textId="77777777" w:rsidR="00454A29" w:rsidRDefault="00454A29"/>
        </w:tc>
        <w:tc>
          <w:tcPr>
            <w:tcW w:w="2324" w:type="dxa"/>
            <w:vMerge/>
          </w:tcPr>
          <w:p w14:paraId="11CEDA34" w14:textId="77777777" w:rsidR="00454A29" w:rsidRDefault="00454A29"/>
        </w:tc>
        <w:tc>
          <w:tcPr>
            <w:tcW w:w="1701" w:type="dxa"/>
            <w:vAlign w:val="center"/>
          </w:tcPr>
          <w:p w14:paraId="4795C6C5" w14:textId="77777777" w:rsidR="00454A29" w:rsidRDefault="00454A29">
            <w:pPr>
              <w:pStyle w:val="ConsPlusNormal"/>
              <w:jc w:val="center"/>
            </w:pPr>
            <w:r>
              <w:t>280 164,55</w:t>
            </w:r>
          </w:p>
        </w:tc>
        <w:tc>
          <w:tcPr>
            <w:tcW w:w="1814" w:type="dxa"/>
            <w:vAlign w:val="center"/>
          </w:tcPr>
          <w:p w14:paraId="57F75127" w14:textId="77777777" w:rsidR="00454A29" w:rsidRDefault="00454A29">
            <w:pPr>
              <w:pStyle w:val="ConsPlusNormal"/>
              <w:jc w:val="center"/>
            </w:pPr>
            <w:r>
              <w:t>120 018,12</w:t>
            </w:r>
          </w:p>
        </w:tc>
        <w:tc>
          <w:tcPr>
            <w:tcW w:w="1701" w:type="dxa"/>
            <w:vAlign w:val="center"/>
          </w:tcPr>
          <w:p w14:paraId="45F119FD" w14:textId="77777777" w:rsidR="00454A29" w:rsidRDefault="00454A29">
            <w:pPr>
              <w:pStyle w:val="ConsPlusNormal"/>
              <w:jc w:val="center"/>
            </w:pPr>
            <w:r>
              <w:t>-</w:t>
            </w:r>
          </w:p>
        </w:tc>
        <w:tc>
          <w:tcPr>
            <w:tcW w:w="1701" w:type="dxa"/>
            <w:vAlign w:val="center"/>
          </w:tcPr>
          <w:p w14:paraId="4D7ECA10" w14:textId="77777777" w:rsidR="00454A29" w:rsidRDefault="00454A29">
            <w:pPr>
              <w:pStyle w:val="ConsPlusNormal"/>
              <w:jc w:val="center"/>
            </w:pPr>
            <w:r>
              <w:t>160 146,42</w:t>
            </w:r>
          </w:p>
        </w:tc>
        <w:tc>
          <w:tcPr>
            <w:tcW w:w="1814" w:type="dxa"/>
            <w:vAlign w:val="center"/>
          </w:tcPr>
          <w:p w14:paraId="141AA8C6" w14:textId="77777777" w:rsidR="00454A29" w:rsidRDefault="00454A29">
            <w:pPr>
              <w:pStyle w:val="ConsPlusNormal"/>
              <w:jc w:val="center"/>
            </w:pPr>
            <w:r>
              <w:t>-</w:t>
            </w:r>
          </w:p>
        </w:tc>
      </w:tr>
      <w:tr w:rsidR="00454A29" w14:paraId="4FCADDE5" w14:textId="77777777">
        <w:tc>
          <w:tcPr>
            <w:tcW w:w="567" w:type="dxa"/>
            <w:vMerge/>
          </w:tcPr>
          <w:p w14:paraId="12D00F9C" w14:textId="77777777" w:rsidR="00454A29" w:rsidRDefault="00454A29"/>
        </w:tc>
        <w:tc>
          <w:tcPr>
            <w:tcW w:w="3345" w:type="dxa"/>
            <w:vMerge/>
          </w:tcPr>
          <w:p w14:paraId="52F39F20" w14:textId="77777777" w:rsidR="00454A29" w:rsidRDefault="00454A29"/>
        </w:tc>
        <w:tc>
          <w:tcPr>
            <w:tcW w:w="1701" w:type="dxa"/>
            <w:vAlign w:val="center"/>
          </w:tcPr>
          <w:p w14:paraId="672C6517" w14:textId="77777777" w:rsidR="00454A29" w:rsidRDefault="00454A29">
            <w:pPr>
              <w:pStyle w:val="ConsPlusNormal"/>
              <w:jc w:val="center"/>
            </w:pPr>
            <w:r>
              <w:t>2024</w:t>
            </w:r>
          </w:p>
        </w:tc>
        <w:tc>
          <w:tcPr>
            <w:tcW w:w="1417" w:type="dxa"/>
            <w:vMerge/>
          </w:tcPr>
          <w:p w14:paraId="2D2F14B9" w14:textId="77777777" w:rsidR="00454A29" w:rsidRDefault="00454A29"/>
        </w:tc>
        <w:tc>
          <w:tcPr>
            <w:tcW w:w="2204" w:type="dxa"/>
            <w:vMerge/>
          </w:tcPr>
          <w:p w14:paraId="023AD03B" w14:textId="77777777" w:rsidR="00454A29" w:rsidRDefault="00454A29"/>
        </w:tc>
        <w:tc>
          <w:tcPr>
            <w:tcW w:w="1417" w:type="dxa"/>
            <w:vMerge/>
          </w:tcPr>
          <w:p w14:paraId="255324CD" w14:textId="77777777" w:rsidR="00454A29" w:rsidRDefault="00454A29"/>
        </w:tc>
        <w:tc>
          <w:tcPr>
            <w:tcW w:w="2324" w:type="dxa"/>
            <w:vMerge/>
          </w:tcPr>
          <w:p w14:paraId="01B79D40" w14:textId="77777777" w:rsidR="00454A29" w:rsidRDefault="00454A29"/>
        </w:tc>
        <w:tc>
          <w:tcPr>
            <w:tcW w:w="1701" w:type="dxa"/>
            <w:vAlign w:val="center"/>
          </w:tcPr>
          <w:p w14:paraId="7C186362" w14:textId="77777777" w:rsidR="00454A29" w:rsidRDefault="00454A29">
            <w:pPr>
              <w:pStyle w:val="ConsPlusNormal"/>
              <w:jc w:val="center"/>
            </w:pPr>
            <w:r>
              <w:t>368 368,25</w:t>
            </w:r>
          </w:p>
        </w:tc>
        <w:tc>
          <w:tcPr>
            <w:tcW w:w="1814" w:type="dxa"/>
            <w:vAlign w:val="center"/>
          </w:tcPr>
          <w:p w14:paraId="4EA99D37" w14:textId="77777777" w:rsidR="00454A29" w:rsidRDefault="00454A29">
            <w:pPr>
              <w:pStyle w:val="ConsPlusNormal"/>
              <w:jc w:val="center"/>
            </w:pPr>
            <w:r>
              <w:t>186 822,92</w:t>
            </w:r>
          </w:p>
        </w:tc>
        <w:tc>
          <w:tcPr>
            <w:tcW w:w="1701" w:type="dxa"/>
            <w:vAlign w:val="center"/>
          </w:tcPr>
          <w:p w14:paraId="5C012610" w14:textId="77777777" w:rsidR="00454A29" w:rsidRDefault="00454A29">
            <w:pPr>
              <w:pStyle w:val="ConsPlusNormal"/>
              <w:jc w:val="center"/>
            </w:pPr>
            <w:r>
              <w:t>-</w:t>
            </w:r>
          </w:p>
        </w:tc>
        <w:tc>
          <w:tcPr>
            <w:tcW w:w="1701" w:type="dxa"/>
            <w:vAlign w:val="center"/>
          </w:tcPr>
          <w:p w14:paraId="331E20E9" w14:textId="77777777" w:rsidR="00454A29" w:rsidRDefault="00454A29">
            <w:pPr>
              <w:pStyle w:val="ConsPlusNormal"/>
              <w:jc w:val="center"/>
            </w:pPr>
            <w:r>
              <w:t>181 545,33</w:t>
            </w:r>
          </w:p>
        </w:tc>
        <w:tc>
          <w:tcPr>
            <w:tcW w:w="1814" w:type="dxa"/>
            <w:vAlign w:val="center"/>
          </w:tcPr>
          <w:p w14:paraId="25E1501B" w14:textId="77777777" w:rsidR="00454A29" w:rsidRDefault="00454A29">
            <w:pPr>
              <w:pStyle w:val="ConsPlusNormal"/>
              <w:jc w:val="center"/>
            </w:pPr>
            <w:r>
              <w:t>-</w:t>
            </w:r>
          </w:p>
        </w:tc>
      </w:tr>
      <w:tr w:rsidR="00454A29" w14:paraId="60588D84" w14:textId="77777777">
        <w:tc>
          <w:tcPr>
            <w:tcW w:w="567" w:type="dxa"/>
            <w:vMerge/>
          </w:tcPr>
          <w:p w14:paraId="34AF7BF9" w14:textId="77777777" w:rsidR="00454A29" w:rsidRDefault="00454A29"/>
        </w:tc>
        <w:tc>
          <w:tcPr>
            <w:tcW w:w="3345" w:type="dxa"/>
            <w:vMerge/>
          </w:tcPr>
          <w:p w14:paraId="4B33DADF" w14:textId="77777777" w:rsidR="00454A29" w:rsidRDefault="00454A29"/>
        </w:tc>
        <w:tc>
          <w:tcPr>
            <w:tcW w:w="1701" w:type="dxa"/>
            <w:vAlign w:val="center"/>
          </w:tcPr>
          <w:p w14:paraId="1F606791" w14:textId="77777777" w:rsidR="00454A29" w:rsidRDefault="00454A29">
            <w:pPr>
              <w:pStyle w:val="ConsPlusNormal"/>
              <w:jc w:val="center"/>
            </w:pPr>
            <w:r>
              <w:t>2025</w:t>
            </w:r>
          </w:p>
        </w:tc>
        <w:tc>
          <w:tcPr>
            <w:tcW w:w="1417" w:type="dxa"/>
            <w:vMerge/>
          </w:tcPr>
          <w:p w14:paraId="5071F540" w14:textId="77777777" w:rsidR="00454A29" w:rsidRDefault="00454A29"/>
        </w:tc>
        <w:tc>
          <w:tcPr>
            <w:tcW w:w="2204" w:type="dxa"/>
            <w:vMerge/>
          </w:tcPr>
          <w:p w14:paraId="3EDA6E58" w14:textId="77777777" w:rsidR="00454A29" w:rsidRDefault="00454A29"/>
        </w:tc>
        <w:tc>
          <w:tcPr>
            <w:tcW w:w="1417" w:type="dxa"/>
            <w:vMerge/>
          </w:tcPr>
          <w:p w14:paraId="5CC7F47E" w14:textId="77777777" w:rsidR="00454A29" w:rsidRDefault="00454A29"/>
        </w:tc>
        <w:tc>
          <w:tcPr>
            <w:tcW w:w="2324" w:type="dxa"/>
            <w:vMerge/>
          </w:tcPr>
          <w:p w14:paraId="7DFB6D65" w14:textId="77777777" w:rsidR="00454A29" w:rsidRDefault="00454A29"/>
        </w:tc>
        <w:tc>
          <w:tcPr>
            <w:tcW w:w="1701" w:type="dxa"/>
            <w:vAlign w:val="center"/>
          </w:tcPr>
          <w:p w14:paraId="31A0C3EA" w14:textId="77777777" w:rsidR="00454A29" w:rsidRDefault="00454A29">
            <w:pPr>
              <w:pStyle w:val="ConsPlusNormal"/>
              <w:jc w:val="center"/>
            </w:pPr>
            <w:r>
              <w:t>613 962,99</w:t>
            </w:r>
          </w:p>
        </w:tc>
        <w:tc>
          <w:tcPr>
            <w:tcW w:w="1814" w:type="dxa"/>
            <w:vAlign w:val="center"/>
          </w:tcPr>
          <w:p w14:paraId="7F88A42C" w14:textId="77777777" w:rsidR="00454A29" w:rsidRDefault="00454A29">
            <w:pPr>
              <w:pStyle w:val="ConsPlusNormal"/>
              <w:jc w:val="center"/>
            </w:pPr>
            <w:r>
              <w:t>407 838,77</w:t>
            </w:r>
          </w:p>
        </w:tc>
        <w:tc>
          <w:tcPr>
            <w:tcW w:w="1701" w:type="dxa"/>
            <w:vAlign w:val="center"/>
          </w:tcPr>
          <w:p w14:paraId="380F26B8" w14:textId="77777777" w:rsidR="00454A29" w:rsidRDefault="00454A29">
            <w:pPr>
              <w:pStyle w:val="ConsPlusNormal"/>
              <w:jc w:val="center"/>
            </w:pPr>
            <w:r>
              <w:t>-</w:t>
            </w:r>
          </w:p>
        </w:tc>
        <w:tc>
          <w:tcPr>
            <w:tcW w:w="1701" w:type="dxa"/>
            <w:vAlign w:val="center"/>
          </w:tcPr>
          <w:p w14:paraId="384D28B3" w14:textId="77777777" w:rsidR="00454A29" w:rsidRDefault="00454A29">
            <w:pPr>
              <w:pStyle w:val="ConsPlusNormal"/>
              <w:jc w:val="center"/>
            </w:pPr>
            <w:r>
              <w:t>206 124,22</w:t>
            </w:r>
          </w:p>
        </w:tc>
        <w:tc>
          <w:tcPr>
            <w:tcW w:w="1814" w:type="dxa"/>
            <w:vAlign w:val="center"/>
          </w:tcPr>
          <w:p w14:paraId="031F3C4A" w14:textId="77777777" w:rsidR="00454A29" w:rsidRDefault="00454A29">
            <w:pPr>
              <w:pStyle w:val="ConsPlusNormal"/>
              <w:jc w:val="center"/>
            </w:pPr>
            <w:r>
              <w:t>-</w:t>
            </w:r>
          </w:p>
        </w:tc>
      </w:tr>
      <w:tr w:rsidR="00454A29" w14:paraId="7CE89C6C" w14:textId="77777777">
        <w:tc>
          <w:tcPr>
            <w:tcW w:w="567" w:type="dxa"/>
            <w:vMerge/>
          </w:tcPr>
          <w:p w14:paraId="4039E85B" w14:textId="77777777" w:rsidR="00454A29" w:rsidRDefault="00454A29"/>
        </w:tc>
        <w:tc>
          <w:tcPr>
            <w:tcW w:w="3345" w:type="dxa"/>
            <w:vMerge/>
          </w:tcPr>
          <w:p w14:paraId="0893CF04" w14:textId="77777777" w:rsidR="00454A29" w:rsidRDefault="00454A29"/>
        </w:tc>
        <w:tc>
          <w:tcPr>
            <w:tcW w:w="1701" w:type="dxa"/>
            <w:vAlign w:val="center"/>
          </w:tcPr>
          <w:p w14:paraId="29798BC5" w14:textId="77777777" w:rsidR="00454A29" w:rsidRDefault="00454A29">
            <w:pPr>
              <w:pStyle w:val="ConsPlusNormal"/>
              <w:jc w:val="center"/>
            </w:pPr>
            <w:r>
              <w:t>2026</w:t>
            </w:r>
          </w:p>
        </w:tc>
        <w:tc>
          <w:tcPr>
            <w:tcW w:w="1417" w:type="dxa"/>
            <w:vMerge/>
          </w:tcPr>
          <w:p w14:paraId="36F3CAB3" w14:textId="77777777" w:rsidR="00454A29" w:rsidRDefault="00454A29"/>
        </w:tc>
        <w:tc>
          <w:tcPr>
            <w:tcW w:w="2204" w:type="dxa"/>
            <w:vMerge/>
          </w:tcPr>
          <w:p w14:paraId="41B40F77" w14:textId="77777777" w:rsidR="00454A29" w:rsidRDefault="00454A29"/>
        </w:tc>
        <w:tc>
          <w:tcPr>
            <w:tcW w:w="1417" w:type="dxa"/>
            <w:vMerge/>
          </w:tcPr>
          <w:p w14:paraId="33C22B49" w14:textId="77777777" w:rsidR="00454A29" w:rsidRDefault="00454A29"/>
        </w:tc>
        <w:tc>
          <w:tcPr>
            <w:tcW w:w="2324" w:type="dxa"/>
            <w:vMerge/>
          </w:tcPr>
          <w:p w14:paraId="3B036E4E" w14:textId="77777777" w:rsidR="00454A29" w:rsidRDefault="00454A29"/>
        </w:tc>
        <w:tc>
          <w:tcPr>
            <w:tcW w:w="1701" w:type="dxa"/>
            <w:vAlign w:val="center"/>
          </w:tcPr>
          <w:p w14:paraId="0DAB7790" w14:textId="77777777" w:rsidR="00454A29" w:rsidRDefault="00454A29">
            <w:pPr>
              <w:pStyle w:val="ConsPlusNormal"/>
              <w:jc w:val="center"/>
            </w:pPr>
            <w:r>
              <w:t>709 760,44</w:t>
            </w:r>
          </w:p>
        </w:tc>
        <w:tc>
          <w:tcPr>
            <w:tcW w:w="1814" w:type="dxa"/>
            <w:vAlign w:val="center"/>
          </w:tcPr>
          <w:p w14:paraId="06167EE5" w14:textId="77777777" w:rsidR="00454A29" w:rsidRDefault="00454A29">
            <w:pPr>
              <w:pStyle w:val="ConsPlusNormal"/>
              <w:jc w:val="center"/>
            </w:pPr>
            <w:r>
              <w:t>458 716,92</w:t>
            </w:r>
          </w:p>
        </w:tc>
        <w:tc>
          <w:tcPr>
            <w:tcW w:w="1701" w:type="dxa"/>
            <w:vAlign w:val="center"/>
          </w:tcPr>
          <w:p w14:paraId="280ED7C8" w14:textId="77777777" w:rsidR="00454A29" w:rsidRDefault="00454A29">
            <w:pPr>
              <w:pStyle w:val="ConsPlusNormal"/>
              <w:jc w:val="center"/>
            </w:pPr>
            <w:r>
              <w:t>-</w:t>
            </w:r>
          </w:p>
        </w:tc>
        <w:tc>
          <w:tcPr>
            <w:tcW w:w="1701" w:type="dxa"/>
            <w:vAlign w:val="center"/>
          </w:tcPr>
          <w:p w14:paraId="5C78DD29" w14:textId="77777777" w:rsidR="00454A29" w:rsidRDefault="00454A29">
            <w:pPr>
              <w:pStyle w:val="ConsPlusNormal"/>
              <w:jc w:val="center"/>
            </w:pPr>
            <w:r>
              <w:t>251 043,52</w:t>
            </w:r>
          </w:p>
        </w:tc>
        <w:tc>
          <w:tcPr>
            <w:tcW w:w="1814" w:type="dxa"/>
            <w:vAlign w:val="center"/>
          </w:tcPr>
          <w:p w14:paraId="23C94F01" w14:textId="77777777" w:rsidR="00454A29" w:rsidRDefault="00454A29">
            <w:pPr>
              <w:pStyle w:val="ConsPlusNormal"/>
              <w:jc w:val="center"/>
            </w:pPr>
            <w:r>
              <w:t>-</w:t>
            </w:r>
          </w:p>
        </w:tc>
      </w:tr>
      <w:tr w:rsidR="00454A29" w14:paraId="37FDA97E" w14:textId="77777777">
        <w:tc>
          <w:tcPr>
            <w:tcW w:w="567" w:type="dxa"/>
            <w:vMerge w:val="restart"/>
            <w:vAlign w:val="center"/>
          </w:tcPr>
          <w:p w14:paraId="02C5CAE2" w14:textId="77777777" w:rsidR="00454A29" w:rsidRDefault="00454A29">
            <w:pPr>
              <w:pStyle w:val="ConsPlusNormal"/>
              <w:jc w:val="center"/>
            </w:pPr>
            <w:r>
              <w:t>207</w:t>
            </w:r>
          </w:p>
        </w:tc>
        <w:tc>
          <w:tcPr>
            <w:tcW w:w="3345" w:type="dxa"/>
            <w:vMerge w:val="restart"/>
            <w:vAlign w:val="center"/>
          </w:tcPr>
          <w:p w14:paraId="7904E616" w14:textId="77777777" w:rsidR="00454A29" w:rsidRDefault="00454A29">
            <w:pPr>
              <w:pStyle w:val="ConsPlusNormal"/>
              <w:jc w:val="center"/>
            </w:pPr>
            <w:r>
              <w:t>Школа N 6 на 500 учащихся в мкр. ДСК г. Якутска &lt;*&gt;</w:t>
            </w:r>
          </w:p>
        </w:tc>
        <w:tc>
          <w:tcPr>
            <w:tcW w:w="1701" w:type="dxa"/>
            <w:vAlign w:val="center"/>
          </w:tcPr>
          <w:p w14:paraId="4BFBDDB8" w14:textId="77777777" w:rsidR="00454A29" w:rsidRDefault="00454A29">
            <w:pPr>
              <w:pStyle w:val="ConsPlusNormal"/>
              <w:jc w:val="center"/>
            </w:pPr>
            <w:r>
              <w:t>2016 - 2026 годы - всего</w:t>
            </w:r>
          </w:p>
        </w:tc>
        <w:tc>
          <w:tcPr>
            <w:tcW w:w="1417" w:type="dxa"/>
            <w:vMerge w:val="restart"/>
            <w:vAlign w:val="center"/>
          </w:tcPr>
          <w:p w14:paraId="1875B2D7" w14:textId="77777777" w:rsidR="00454A29" w:rsidRDefault="00454A29">
            <w:pPr>
              <w:pStyle w:val="ConsPlusNormal"/>
              <w:jc w:val="center"/>
            </w:pPr>
            <w:r>
              <w:t>999 434,28</w:t>
            </w:r>
          </w:p>
        </w:tc>
        <w:tc>
          <w:tcPr>
            <w:tcW w:w="2204" w:type="dxa"/>
            <w:vMerge w:val="restart"/>
            <w:vAlign w:val="center"/>
          </w:tcPr>
          <w:p w14:paraId="765A9128" w14:textId="77777777" w:rsidR="00454A29" w:rsidRDefault="00454A29">
            <w:pPr>
              <w:pStyle w:val="ConsPlusNormal"/>
              <w:jc w:val="center"/>
            </w:pPr>
            <w:r>
              <w:t>имеется</w:t>
            </w:r>
          </w:p>
        </w:tc>
        <w:tc>
          <w:tcPr>
            <w:tcW w:w="1417" w:type="dxa"/>
            <w:vMerge w:val="restart"/>
            <w:vAlign w:val="center"/>
          </w:tcPr>
          <w:p w14:paraId="0B7FAE6F" w14:textId="77777777" w:rsidR="00454A29" w:rsidRDefault="00454A29">
            <w:pPr>
              <w:pStyle w:val="ConsPlusNormal"/>
              <w:jc w:val="center"/>
            </w:pPr>
            <w:r>
              <w:t>500</w:t>
            </w:r>
          </w:p>
        </w:tc>
        <w:tc>
          <w:tcPr>
            <w:tcW w:w="2324" w:type="dxa"/>
            <w:vMerge w:val="restart"/>
            <w:vAlign w:val="center"/>
          </w:tcPr>
          <w:p w14:paraId="3C539863" w14:textId="77777777" w:rsidR="00454A29" w:rsidRDefault="00454A29">
            <w:pPr>
              <w:pStyle w:val="ConsPlusNormal"/>
              <w:jc w:val="center"/>
            </w:pPr>
            <w:r>
              <w:t>Минэкономики РС(Я), ГО "город Якутск"</w:t>
            </w:r>
          </w:p>
        </w:tc>
        <w:tc>
          <w:tcPr>
            <w:tcW w:w="1701" w:type="dxa"/>
            <w:vAlign w:val="center"/>
          </w:tcPr>
          <w:p w14:paraId="6E09F36A" w14:textId="77777777" w:rsidR="00454A29" w:rsidRDefault="00454A29">
            <w:pPr>
              <w:pStyle w:val="ConsPlusNormal"/>
              <w:jc w:val="center"/>
            </w:pPr>
            <w:r>
              <w:t>1 647 566,42</w:t>
            </w:r>
          </w:p>
        </w:tc>
        <w:tc>
          <w:tcPr>
            <w:tcW w:w="1814" w:type="dxa"/>
            <w:vAlign w:val="center"/>
          </w:tcPr>
          <w:p w14:paraId="0ECC2777" w14:textId="77777777" w:rsidR="00454A29" w:rsidRDefault="00454A29">
            <w:pPr>
              <w:pStyle w:val="ConsPlusNormal"/>
              <w:jc w:val="center"/>
            </w:pPr>
            <w:r>
              <w:t>620 261,55</w:t>
            </w:r>
          </w:p>
        </w:tc>
        <w:tc>
          <w:tcPr>
            <w:tcW w:w="1701" w:type="dxa"/>
            <w:vAlign w:val="center"/>
          </w:tcPr>
          <w:p w14:paraId="4912C0BE" w14:textId="77777777" w:rsidR="00454A29" w:rsidRDefault="00454A29">
            <w:pPr>
              <w:pStyle w:val="ConsPlusNormal"/>
              <w:jc w:val="center"/>
            </w:pPr>
            <w:r>
              <w:t>-</w:t>
            </w:r>
          </w:p>
        </w:tc>
        <w:tc>
          <w:tcPr>
            <w:tcW w:w="1701" w:type="dxa"/>
            <w:vAlign w:val="center"/>
          </w:tcPr>
          <w:p w14:paraId="6F7921EC" w14:textId="77777777" w:rsidR="00454A29" w:rsidRDefault="00454A29">
            <w:pPr>
              <w:pStyle w:val="ConsPlusNormal"/>
              <w:jc w:val="center"/>
            </w:pPr>
            <w:r>
              <w:t>479 506,73</w:t>
            </w:r>
          </w:p>
        </w:tc>
        <w:tc>
          <w:tcPr>
            <w:tcW w:w="1814" w:type="dxa"/>
            <w:vAlign w:val="center"/>
          </w:tcPr>
          <w:p w14:paraId="15173FF7" w14:textId="77777777" w:rsidR="00454A29" w:rsidRDefault="00454A29">
            <w:pPr>
              <w:pStyle w:val="ConsPlusNormal"/>
              <w:jc w:val="center"/>
            </w:pPr>
            <w:r>
              <w:t>547 798,14</w:t>
            </w:r>
          </w:p>
        </w:tc>
      </w:tr>
      <w:tr w:rsidR="00454A29" w14:paraId="1295EB79" w14:textId="77777777">
        <w:tc>
          <w:tcPr>
            <w:tcW w:w="567" w:type="dxa"/>
            <w:vMerge/>
          </w:tcPr>
          <w:p w14:paraId="195C1A8C" w14:textId="77777777" w:rsidR="00454A29" w:rsidRDefault="00454A29"/>
        </w:tc>
        <w:tc>
          <w:tcPr>
            <w:tcW w:w="3345" w:type="dxa"/>
            <w:vMerge/>
          </w:tcPr>
          <w:p w14:paraId="7D73232E" w14:textId="77777777" w:rsidR="00454A29" w:rsidRDefault="00454A29"/>
        </w:tc>
        <w:tc>
          <w:tcPr>
            <w:tcW w:w="1701" w:type="dxa"/>
            <w:vAlign w:val="center"/>
          </w:tcPr>
          <w:p w14:paraId="45199000" w14:textId="77777777" w:rsidR="00454A29" w:rsidRDefault="00454A29">
            <w:pPr>
              <w:pStyle w:val="ConsPlusNormal"/>
              <w:jc w:val="center"/>
            </w:pPr>
            <w:r>
              <w:t>2016</w:t>
            </w:r>
          </w:p>
        </w:tc>
        <w:tc>
          <w:tcPr>
            <w:tcW w:w="1417" w:type="dxa"/>
            <w:vMerge/>
          </w:tcPr>
          <w:p w14:paraId="00B6263F" w14:textId="77777777" w:rsidR="00454A29" w:rsidRDefault="00454A29"/>
        </w:tc>
        <w:tc>
          <w:tcPr>
            <w:tcW w:w="2204" w:type="dxa"/>
            <w:vMerge/>
          </w:tcPr>
          <w:p w14:paraId="66E5F4FC" w14:textId="77777777" w:rsidR="00454A29" w:rsidRDefault="00454A29"/>
        </w:tc>
        <w:tc>
          <w:tcPr>
            <w:tcW w:w="1417" w:type="dxa"/>
            <w:vMerge/>
          </w:tcPr>
          <w:p w14:paraId="1EF446EF" w14:textId="77777777" w:rsidR="00454A29" w:rsidRDefault="00454A29"/>
        </w:tc>
        <w:tc>
          <w:tcPr>
            <w:tcW w:w="2324" w:type="dxa"/>
            <w:vMerge/>
          </w:tcPr>
          <w:p w14:paraId="1C520688" w14:textId="77777777" w:rsidR="00454A29" w:rsidRDefault="00454A29"/>
        </w:tc>
        <w:tc>
          <w:tcPr>
            <w:tcW w:w="1701" w:type="dxa"/>
            <w:vAlign w:val="center"/>
          </w:tcPr>
          <w:p w14:paraId="11D162BB" w14:textId="77777777" w:rsidR="00454A29" w:rsidRDefault="00454A29">
            <w:pPr>
              <w:pStyle w:val="ConsPlusNormal"/>
              <w:jc w:val="center"/>
            </w:pPr>
            <w:r>
              <w:t>421 553,27</w:t>
            </w:r>
          </w:p>
        </w:tc>
        <w:tc>
          <w:tcPr>
            <w:tcW w:w="1814" w:type="dxa"/>
            <w:vAlign w:val="center"/>
          </w:tcPr>
          <w:p w14:paraId="28C552D0" w14:textId="77777777" w:rsidR="00454A29" w:rsidRDefault="00454A29">
            <w:pPr>
              <w:pStyle w:val="ConsPlusNormal"/>
              <w:jc w:val="center"/>
            </w:pPr>
            <w:r>
              <w:t>16 155,74</w:t>
            </w:r>
          </w:p>
        </w:tc>
        <w:tc>
          <w:tcPr>
            <w:tcW w:w="1701" w:type="dxa"/>
            <w:vAlign w:val="center"/>
          </w:tcPr>
          <w:p w14:paraId="3506B5DA" w14:textId="77777777" w:rsidR="00454A29" w:rsidRDefault="00454A29">
            <w:pPr>
              <w:pStyle w:val="ConsPlusNormal"/>
            </w:pPr>
          </w:p>
        </w:tc>
        <w:tc>
          <w:tcPr>
            <w:tcW w:w="1701" w:type="dxa"/>
            <w:vAlign w:val="center"/>
          </w:tcPr>
          <w:p w14:paraId="5D7B4030" w14:textId="77777777" w:rsidR="00454A29" w:rsidRDefault="00454A29">
            <w:pPr>
              <w:pStyle w:val="ConsPlusNormal"/>
              <w:jc w:val="center"/>
            </w:pPr>
            <w:r>
              <w:t>2 417,00</w:t>
            </w:r>
          </w:p>
        </w:tc>
        <w:tc>
          <w:tcPr>
            <w:tcW w:w="1814" w:type="dxa"/>
            <w:vAlign w:val="center"/>
          </w:tcPr>
          <w:p w14:paraId="5C5A6307" w14:textId="77777777" w:rsidR="00454A29" w:rsidRDefault="00454A29">
            <w:pPr>
              <w:pStyle w:val="ConsPlusNormal"/>
              <w:jc w:val="center"/>
            </w:pPr>
            <w:r>
              <w:t>402 980,53</w:t>
            </w:r>
          </w:p>
        </w:tc>
      </w:tr>
      <w:tr w:rsidR="00454A29" w14:paraId="7DD0CC45" w14:textId="77777777">
        <w:tc>
          <w:tcPr>
            <w:tcW w:w="567" w:type="dxa"/>
            <w:vMerge/>
          </w:tcPr>
          <w:p w14:paraId="1C7731F6" w14:textId="77777777" w:rsidR="00454A29" w:rsidRDefault="00454A29"/>
        </w:tc>
        <w:tc>
          <w:tcPr>
            <w:tcW w:w="3345" w:type="dxa"/>
            <w:vMerge/>
          </w:tcPr>
          <w:p w14:paraId="23C47C44" w14:textId="77777777" w:rsidR="00454A29" w:rsidRDefault="00454A29"/>
        </w:tc>
        <w:tc>
          <w:tcPr>
            <w:tcW w:w="1701" w:type="dxa"/>
            <w:vAlign w:val="center"/>
          </w:tcPr>
          <w:p w14:paraId="43E004A2" w14:textId="77777777" w:rsidR="00454A29" w:rsidRDefault="00454A29">
            <w:pPr>
              <w:pStyle w:val="ConsPlusNormal"/>
              <w:jc w:val="center"/>
            </w:pPr>
            <w:r>
              <w:t>2017</w:t>
            </w:r>
          </w:p>
        </w:tc>
        <w:tc>
          <w:tcPr>
            <w:tcW w:w="1417" w:type="dxa"/>
            <w:vMerge/>
          </w:tcPr>
          <w:p w14:paraId="041EA315" w14:textId="77777777" w:rsidR="00454A29" w:rsidRDefault="00454A29"/>
        </w:tc>
        <w:tc>
          <w:tcPr>
            <w:tcW w:w="2204" w:type="dxa"/>
            <w:vMerge/>
          </w:tcPr>
          <w:p w14:paraId="26630325" w14:textId="77777777" w:rsidR="00454A29" w:rsidRDefault="00454A29"/>
        </w:tc>
        <w:tc>
          <w:tcPr>
            <w:tcW w:w="1417" w:type="dxa"/>
            <w:vMerge/>
          </w:tcPr>
          <w:p w14:paraId="3F7C63DB" w14:textId="77777777" w:rsidR="00454A29" w:rsidRDefault="00454A29"/>
        </w:tc>
        <w:tc>
          <w:tcPr>
            <w:tcW w:w="2324" w:type="dxa"/>
            <w:vMerge/>
          </w:tcPr>
          <w:p w14:paraId="220F91FE" w14:textId="77777777" w:rsidR="00454A29" w:rsidRDefault="00454A29"/>
        </w:tc>
        <w:tc>
          <w:tcPr>
            <w:tcW w:w="1701" w:type="dxa"/>
            <w:vAlign w:val="center"/>
          </w:tcPr>
          <w:p w14:paraId="4A60710C" w14:textId="77777777" w:rsidR="00454A29" w:rsidRDefault="00454A29">
            <w:pPr>
              <w:pStyle w:val="ConsPlusNormal"/>
              <w:jc w:val="center"/>
            </w:pPr>
            <w:r>
              <w:t>210 085,00</w:t>
            </w:r>
          </w:p>
        </w:tc>
        <w:tc>
          <w:tcPr>
            <w:tcW w:w="1814" w:type="dxa"/>
            <w:vAlign w:val="center"/>
          </w:tcPr>
          <w:p w14:paraId="70DDC6E7" w14:textId="77777777" w:rsidR="00454A29" w:rsidRDefault="00454A29">
            <w:pPr>
              <w:pStyle w:val="ConsPlusNormal"/>
              <w:jc w:val="center"/>
            </w:pPr>
            <w:r>
              <w:t>56 773,70</w:t>
            </w:r>
          </w:p>
        </w:tc>
        <w:tc>
          <w:tcPr>
            <w:tcW w:w="1701" w:type="dxa"/>
            <w:vAlign w:val="center"/>
          </w:tcPr>
          <w:p w14:paraId="07247B31" w14:textId="77777777" w:rsidR="00454A29" w:rsidRDefault="00454A29">
            <w:pPr>
              <w:pStyle w:val="ConsPlusNormal"/>
            </w:pPr>
          </w:p>
        </w:tc>
        <w:tc>
          <w:tcPr>
            <w:tcW w:w="1701" w:type="dxa"/>
            <w:vAlign w:val="center"/>
          </w:tcPr>
          <w:p w14:paraId="1D96B03D" w14:textId="77777777" w:rsidR="00454A29" w:rsidRDefault="00454A29">
            <w:pPr>
              <w:pStyle w:val="ConsPlusNormal"/>
              <w:jc w:val="center"/>
            </w:pPr>
            <w:r>
              <w:t>8 493,69</w:t>
            </w:r>
          </w:p>
        </w:tc>
        <w:tc>
          <w:tcPr>
            <w:tcW w:w="1814" w:type="dxa"/>
            <w:vAlign w:val="center"/>
          </w:tcPr>
          <w:p w14:paraId="38F3D8CC" w14:textId="77777777" w:rsidR="00454A29" w:rsidRDefault="00454A29">
            <w:pPr>
              <w:pStyle w:val="ConsPlusNormal"/>
              <w:jc w:val="center"/>
            </w:pPr>
            <w:r>
              <w:t>144 817,61</w:t>
            </w:r>
          </w:p>
        </w:tc>
      </w:tr>
      <w:tr w:rsidR="00454A29" w14:paraId="4B7E4AE5" w14:textId="77777777">
        <w:tc>
          <w:tcPr>
            <w:tcW w:w="567" w:type="dxa"/>
            <w:vMerge/>
          </w:tcPr>
          <w:p w14:paraId="4E395BD1" w14:textId="77777777" w:rsidR="00454A29" w:rsidRDefault="00454A29"/>
        </w:tc>
        <w:tc>
          <w:tcPr>
            <w:tcW w:w="3345" w:type="dxa"/>
            <w:vMerge/>
          </w:tcPr>
          <w:p w14:paraId="0984385F" w14:textId="77777777" w:rsidR="00454A29" w:rsidRDefault="00454A29"/>
        </w:tc>
        <w:tc>
          <w:tcPr>
            <w:tcW w:w="1701" w:type="dxa"/>
            <w:vAlign w:val="center"/>
          </w:tcPr>
          <w:p w14:paraId="30734704" w14:textId="77777777" w:rsidR="00454A29" w:rsidRDefault="00454A29">
            <w:pPr>
              <w:pStyle w:val="ConsPlusNormal"/>
              <w:jc w:val="center"/>
            </w:pPr>
            <w:r>
              <w:t>2018</w:t>
            </w:r>
          </w:p>
        </w:tc>
        <w:tc>
          <w:tcPr>
            <w:tcW w:w="1417" w:type="dxa"/>
            <w:vMerge/>
          </w:tcPr>
          <w:p w14:paraId="51782843" w14:textId="77777777" w:rsidR="00454A29" w:rsidRDefault="00454A29"/>
        </w:tc>
        <w:tc>
          <w:tcPr>
            <w:tcW w:w="2204" w:type="dxa"/>
            <w:vMerge/>
          </w:tcPr>
          <w:p w14:paraId="09AD7AF2" w14:textId="77777777" w:rsidR="00454A29" w:rsidRDefault="00454A29"/>
        </w:tc>
        <w:tc>
          <w:tcPr>
            <w:tcW w:w="1417" w:type="dxa"/>
            <w:vMerge/>
          </w:tcPr>
          <w:p w14:paraId="5F5238E7" w14:textId="77777777" w:rsidR="00454A29" w:rsidRDefault="00454A29"/>
        </w:tc>
        <w:tc>
          <w:tcPr>
            <w:tcW w:w="2324" w:type="dxa"/>
            <w:vMerge/>
          </w:tcPr>
          <w:p w14:paraId="705DEF73" w14:textId="77777777" w:rsidR="00454A29" w:rsidRDefault="00454A29"/>
        </w:tc>
        <w:tc>
          <w:tcPr>
            <w:tcW w:w="1701" w:type="dxa"/>
            <w:vAlign w:val="center"/>
          </w:tcPr>
          <w:p w14:paraId="5EB80071" w14:textId="77777777" w:rsidR="00454A29" w:rsidRDefault="00454A29">
            <w:pPr>
              <w:pStyle w:val="ConsPlusNormal"/>
              <w:jc w:val="center"/>
            </w:pPr>
            <w:r>
              <w:t>110 763,57</w:t>
            </w:r>
          </w:p>
        </w:tc>
        <w:tc>
          <w:tcPr>
            <w:tcW w:w="1814" w:type="dxa"/>
            <w:vAlign w:val="center"/>
          </w:tcPr>
          <w:p w14:paraId="53F5DE05" w14:textId="77777777" w:rsidR="00454A29" w:rsidRDefault="00454A29">
            <w:pPr>
              <w:pStyle w:val="ConsPlusNormal"/>
              <w:jc w:val="center"/>
            </w:pPr>
            <w:r>
              <w:t>94 711,06</w:t>
            </w:r>
          </w:p>
        </w:tc>
        <w:tc>
          <w:tcPr>
            <w:tcW w:w="1701" w:type="dxa"/>
            <w:vAlign w:val="center"/>
          </w:tcPr>
          <w:p w14:paraId="1A534008" w14:textId="77777777" w:rsidR="00454A29" w:rsidRDefault="00454A29">
            <w:pPr>
              <w:pStyle w:val="ConsPlusNormal"/>
            </w:pPr>
          </w:p>
        </w:tc>
        <w:tc>
          <w:tcPr>
            <w:tcW w:w="1701" w:type="dxa"/>
            <w:vAlign w:val="center"/>
          </w:tcPr>
          <w:p w14:paraId="06CC410F" w14:textId="77777777" w:rsidR="00454A29" w:rsidRDefault="00454A29">
            <w:pPr>
              <w:pStyle w:val="ConsPlusNormal"/>
              <w:jc w:val="center"/>
            </w:pPr>
            <w:r>
              <w:t>16 052,51</w:t>
            </w:r>
          </w:p>
        </w:tc>
        <w:tc>
          <w:tcPr>
            <w:tcW w:w="1814" w:type="dxa"/>
            <w:vAlign w:val="center"/>
          </w:tcPr>
          <w:p w14:paraId="64E8A13B" w14:textId="77777777" w:rsidR="00454A29" w:rsidRDefault="00454A29">
            <w:pPr>
              <w:pStyle w:val="ConsPlusNormal"/>
            </w:pPr>
          </w:p>
        </w:tc>
      </w:tr>
      <w:tr w:rsidR="00454A29" w14:paraId="5B2E2CD2" w14:textId="77777777">
        <w:tc>
          <w:tcPr>
            <w:tcW w:w="567" w:type="dxa"/>
            <w:vMerge/>
          </w:tcPr>
          <w:p w14:paraId="470C13B3" w14:textId="77777777" w:rsidR="00454A29" w:rsidRDefault="00454A29"/>
        </w:tc>
        <w:tc>
          <w:tcPr>
            <w:tcW w:w="3345" w:type="dxa"/>
            <w:vMerge/>
          </w:tcPr>
          <w:p w14:paraId="355C9212" w14:textId="77777777" w:rsidR="00454A29" w:rsidRDefault="00454A29"/>
        </w:tc>
        <w:tc>
          <w:tcPr>
            <w:tcW w:w="1701" w:type="dxa"/>
            <w:vAlign w:val="center"/>
          </w:tcPr>
          <w:p w14:paraId="3B5C806D" w14:textId="77777777" w:rsidR="00454A29" w:rsidRDefault="00454A29">
            <w:pPr>
              <w:pStyle w:val="ConsPlusNormal"/>
              <w:jc w:val="center"/>
            </w:pPr>
            <w:r>
              <w:t>2019</w:t>
            </w:r>
          </w:p>
        </w:tc>
        <w:tc>
          <w:tcPr>
            <w:tcW w:w="1417" w:type="dxa"/>
            <w:vMerge/>
          </w:tcPr>
          <w:p w14:paraId="66B79ECD" w14:textId="77777777" w:rsidR="00454A29" w:rsidRDefault="00454A29"/>
        </w:tc>
        <w:tc>
          <w:tcPr>
            <w:tcW w:w="2204" w:type="dxa"/>
            <w:vMerge/>
          </w:tcPr>
          <w:p w14:paraId="2D540A12" w14:textId="77777777" w:rsidR="00454A29" w:rsidRDefault="00454A29"/>
        </w:tc>
        <w:tc>
          <w:tcPr>
            <w:tcW w:w="1417" w:type="dxa"/>
            <w:vMerge/>
          </w:tcPr>
          <w:p w14:paraId="0C132816" w14:textId="77777777" w:rsidR="00454A29" w:rsidRDefault="00454A29"/>
        </w:tc>
        <w:tc>
          <w:tcPr>
            <w:tcW w:w="2324" w:type="dxa"/>
            <w:vMerge/>
          </w:tcPr>
          <w:p w14:paraId="55F59BC6" w14:textId="77777777" w:rsidR="00454A29" w:rsidRDefault="00454A29"/>
        </w:tc>
        <w:tc>
          <w:tcPr>
            <w:tcW w:w="1701" w:type="dxa"/>
            <w:vAlign w:val="center"/>
          </w:tcPr>
          <w:p w14:paraId="4A65D538" w14:textId="77777777" w:rsidR="00454A29" w:rsidRDefault="00454A29">
            <w:pPr>
              <w:pStyle w:val="ConsPlusNormal"/>
              <w:jc w:val="center"/>
            </w:pPr>
            <w:r>
              <w:t>153 664,45</w:t>
            </w:r>
          </w:p>
        </w:tc>
        <w:tc>
          <w:tcPr>
            <w:tcW w:w="1814" w:type="dxa"/>
            <w:vAlign w:val="center"/>
          </w:tcPr>
          <w:p w14:paraId="3FB19A76" w14:textId="77777777" w:rsidR="00454A29" w:rsidRDefault="00454A29">
            <w:pPr>
              <w:pStyle w:val="ConsPlusNormal"/>
              <w:jc w:val="center"/>
            </w:pPr>
            <w:r>
              <w:t>138 162,04</w:t>
            </w:r>
          </w:p>
        </w:tc>
        <w:tc>
          <w:tcPr>
            <w:tcW w:w="1701" w:type="dxa"/>
            <w:vAlign w:val="center"/>
          </w:tcPr>
          <w:p w14:paraId="1B7F87E5" w14:textId="77777777" w:rsidR="00454A29" w:rsidRDefault="00454A29">
            <w:pPr>
              <w:pStyle w:val="ConsPlusNormal"/>
            </w:pPr>
          </w:p>
        </w:tc>
        <w:tc>
          <w:tcPr>
            <w:tcW w:w="1701" w:type="dxa"/>
            <w:vAlign w:val="center"/>
          </w:tcPr>
          <w:p w14:paraId="068D2CAB" w14:textId="77777777" w:rsidR="00454A29" w:rsidRDefault="00454A29">
            <w:pPr>
              <w:pStyle w:val="ConsPlusNormal"/>
              <w:jc w:val="center"/>
            </w:pPr>
            <w:r>
              <w:t>15 502,41</w:t>
            </w:r>
          </w:p>
        </w:tc>
        <w:tc>
          <w:tcPr>
            <w:tcW w:w="1814" w:type="dxa"/>
            <w:vAlign w:val="center"/>
          </w:tcPr>
          <w:p w14:paraId="70F752BE" w14:textId="77777777" w:rsidR="00454A29" w:rsidRDefault="00454A29">
            <w:pPr>
              <w:pStyle w:val="ConsPlusNormal"/>
            </w:pPr>
          </w:p>
        </w:tc>
      </w:tr>
      <w:tr w:rsidR="00454A29" w14:paraId="14678586" w14:textId="77777777">
        <w:tc>
          <w:tcPr>
            <w:tcW w:w="567" w:type="dxa"/>
            <w:vMerge/>
          </w:tcPr>
          <w:p w14:paraId="157A606A" w14:textId="77777777" w:rsidR="00454A29" w:rsidRDefault="00454A29"/>
        </w:tc>
        <w:tc>
          <w:tcPr>
            <w:tcW w:w="3345" w:type="dxa"/>
            <w:vMerge/>
          </w:tcPr>
          <w:p w14:paraId="12D17A1C" w14:textId="77777777" w:rsidR="00454A29" w:rsidRDefault="00454A29"/>
        </w:tc>
        <w:tc>
          <w:tcPr>
            <w:tcW w:w="1701" w:type="dxa"/>
            <w:vAlign w:val="center"/>
          </w:tcPr>
          <w:p w14:paraId="09462F1C" w14:textId="77777777" w:rsidR="00454A29" w:rsidRDefault="00454A29">
            <w:pPr>
              <w:pStyle w:val="ConsPlusNormal"/>
              <w:jc w:val="center"/>
            </w:pPr>
            <w:r>
              <w:t>2020</w:t>
            </w:r>
          </w:p>
        </w:tc>
        <w:tc>
          <w:tcPr>
            <w:tcW w:w="1417" w:type="dxa"/>
            <w:vMerge/>
          </w:tcPr>
          <w:p w14:paraId="6489FBB8" w14:textId="77777777" w:rsidR="00454A29" w:rsidRDefault="00454A29"/>
        </w:tc>
        <w:tc>
          <w:tcPr>
            <w:tcW w:w="2204" w:type="dxa"/>
            <w:vMerge/>
          </w:tcPr>
          <w:p w14:paraId="1C8AA4AD" w14:textId="77777777" w:rsidR="00454A29" w:rsidRDefault="00454A29"/>
        </w:tc>
        <w:tc>
          <w:tcPr>
            <w:tcW w:w="1417" w:type="dxa"/>
            <w:vMerge/>
          </w:tcPr>
          <w:p w14:paraId="0DDC4ABB" w14:textId="77777777" w:rsidR="00454A29" w:rsidRDefault="00454A29"/>
        </w:tc>
        <w:tc>
          <w:tcPr>
            <w:tcW w:w="2324" w:type="dxa"/>
            <w:vMerge/>
          </w:tcPr>
          <w:p w14:paraId="572B9F28" w14:textId="77777777" w:rsidR="00454A29" w:rsidRDefault="00454A29"/>
        </w:tc>
        <w:tc>
          <w:tcPr>
            <w:tcW w:w="1701" w:type="dxa"/>
            <w:vAlign w:val="center"/>
          </w:tcPr>
          <w:p w14:paraId="3F85965A" w14:textId="77777777" w:rsidR="00454A29" w:rsidRDefault="00454A29">
            <w:pPr>
              <w:pStyle w:val="ConsPlusNormal"/>
              <w:jc w:val="center"/>
            </w:pPr>
            <w:r>
              <w:t>70 002,63</w:t>
            </w:r>
          </w:p>
        </w:tc>
        <w:tc>
          <w:tcPr>
            <w:tcW w:w="1814" w:type="dxa"/>
            <w:vAlign w:val="center"/>
          </w:tcPr>
          <w:p w14:paraId="02E5C5DA" w14:textId="77777777" w:rsidR="00454A29" w:rsidRDefault="00454A29">
            <w:pPr>
              <w:pStyle w:val="ConsPlusNormal"/>
              <w:jc w:val="center"/>
            </w:pPr>
            <w:r>
              <w:t>27 648,39</w:t>
            </w:r>
          </w:p>
        </w:tc>
        <w:tc>
          <w:tcPr>
            <w:tcW w:w="1701" w:type="dxa"/>
            <w:vAlign w:val="center"/>
          </w:tcPr>
          <w:p w14:paraId="43E3F6CA" w14:textId="77777777" w:rsidR="00454A29" w:rsidRDefault="00454A29">
            <w:pPr>
              <w:pStyle w:val="ConsPlusNormal"/>
            </w:pPr>
          </w:p>
        </w:tc>
        <w:tc>
          <w:tcPr>
            <w:tcW w:w="1701" w:type="dxa"/>
            <w:vAlign w:val="center"/>
          </w:tcPr>
          <w:p w14:paraId="1B7F7EE0" w14:textId="77777777" w:rsidR="00454A29" w:rsidRDefault="00454A29">
            <w:pPr>
              <w:pStyle w:val="ConsPlusNormal"/>
              <w:jc w:val="center"/>
            </w:pPr>
            <w:r>
              <w:t>42 354,24</w:t>
            </w:r>
          </w:p>
        </w:tc>
        <w:tc>
          <w:tcPr>
            <w:tcW w:w="1814" w:type="dxa"/>
            <w:vAlign w:val="center"/>
          </w:tcPr>
          <w:p w14:paraId="0533198A" w14:textId="77777777" w:rsidR="00454A29" w:rsidRDefault="00454A29">
            <w:pPr>
              <w:pStyle w:val="ConsPlusNormal"/>
            </w:pPr>
          </w:p>
        </w:tc>
      </w:tr>
      <w:tr w:rsidR="00454A29" w14:paraId="304C3194" w14:textId="77777777">
        <w:tc>
          <w:tcPr>
            <w:tcW w:w="567" w:type="dxa"/>
            <w:vMerge/>
          </w:tcPr>
          <w:p w14:paraId="627A169B" w14:textId="77777777" w:rsidR="00454A29" w:rsidRDefault="00454A29"/>
        </w:tc>
        <w:tc>
          <w:tcPr>
            <w:tcW w:w="3345" w:type="dxa"/>
            <w:vMerge/>
          </w:tcPr>
          <w:p w14:paraId="00C2299B" w14:textId="77777777" w:rsidR="00454A29" w:rsidRDefault="00454A29"/>
        </w:tc>
        <w:tc>
          <w:tcPr>
            <w:tcW w:w="1701" w:type="dxa"/>
            <w:vAlign w:val="center"/>
          </w:tcPr>
          <w:p w14:paraId="33C2C500" w14:textId="77777777" w:rsidR="00454A29" w:rsidRDefault="00454A29">
            <w:pPr>
              <w:pStyle w:val="ConsPlusNormal"/>
              <w:jc w:val="center"/>
            </w:pPr>
            <w:r>
              <w:t>2021</w:t>
            </w:r>
          </w:p>
        </w:tc>
        <w:tc>
          <w:tcPr>
            <w:tcW w:w="1417" w:type="dxa"/>
            <w:vMerge/>
          </w:tcPr>
          <w:p w14:paraId="520C527D" w14:textId="77777777" w:rsidR="00454A29" w:rsidRDefault="00454A29"/>
        </w:tc>
        <w:tc>
          <w:tcPr>
            <w:tcW w:w="2204" w:type="dxa"/>
            <w:vMerge/>
          </w:tcPr>
          <w:p w14:paraId="3DC5614F" w14:textId="77777777" w:rsidR="00454A29" w:rsidRDefault="00454A29"/>
        </w:tc>
        <w:tc>
          <w:tcPr>
            <w:tcW w:w="1417" w:type="dxa"/>
            <w:vMerge/>
          </w:tcPr>
          <w:p w14:paraId="5832F867" w14:textId="77777777" w:rsidR="00454A29" w:rsidRDefault="00454A29"/>
        </w:tc>
        <w:tc>
          <w:tcPr>
            <w:tcW w:w="2324" w:type="dxa"/>
            <w:vMerge/>
          </w:tcPr>
          <w:p w14:paraId="3670660E" w14:textId="77777777" w:rsidR="00454A29" w:rsidRDefault="00454A29"/>
        </w:tc>
        <w:tc>
          <w:tcPr>
            <w:tcW w:w="1701" w:type="dxa"/>
            <w:vAlign w:val="center"/>
          </w:tcPr>
          <w:p w14:paraId="1107EA60" w14:textId="77777777" w:rsidR="00454A29" w:rsidRDefault="00454A29">
            <w:pPr>
              <w:pStyle w:val="ConsPlusNormal"/>
              <w:jc w:val="center"/>
            </w:pPr>
            <w:r>
              <w:t>79 632,73</w:t>
            </w:r>
          </w:p>
        </w:tc>
        <w:tc>
          <w:tcPr>
            <w:tcW w:w="1814" w:type="dxa"/>
            <w:vAlign w:val="center"/>
          </w:tcPr>
          <w:p w14:paraId="77B71CB2" w14:textId="77777777" w:rsidR="00454A29" w:rsidRDefault="00454A29">
            <w:pPr>
              <w:pStyle w:val="ConsPlusNormal"/>
              <w:jc w:val="center"/>
            </w:pPr>
            <w:r>
              <w:t>32 040,42</w:t>
            </w:r>
          </w:p>
        </w:tc>
        <w:tc>
          <w:tcPr>
            <w:tcW w:w="1701" w:type="dxa"/>
            <w:vAlign w:val="center"/>
          </w:tcPr>
          <w:p w14:paraId="46D4BEDE" w14:textId="77777777" w:rsidR="00454A29" w:rsidRDefault="00454A29">
            <w:pPr>
              <w:pStyle w:val="ConsPlusNormal"/>
            </w:pPr>
          </w:p>
        </w:tc>
        <w:tc>
          <w:tcPr>
            <w:tcW w:w="1701" w:type="dxa"/>
            <w:vAlign w:val="center"/>
          </w:tcPr>
          <w:p w14:paraId="6AAB1B32" w14:textId="77777777" w:rsidR="00454A29" w:rsidRDefault="00454A29">
            <w:pPr>
              <w:pStyle w:val="ConsPlusNormal"/>
              <w:jc w:val="center"/>
            </w:pPr>
            <w:r>
              <w:t>47 592,31</w:t>
            </w:r>
          </w:p>
        </w:tc>
        <w:tc>
          <w:tcPr>
            <w:tcW w:w="1814" w:type="dxa"/>
            <w:vAlign w:val="center"/>
          </w:tcPr>
          <w:p w14:paraId="413F311E" w14:textId="77777777" w:rsidR="00454A29" w:rsidRDefault="00454A29">
            <w:pPr>
              <w:pStyle w:val="ConsPlusNormal"/>
            </w:pPr>
          </w:p>
        </w:tc>
      </w:tr>
      <w:tr w:rsidR="00454A29" w14:paraId="2D90AC67" w14:textId="77777777">
        <w:tc>
          <w:tcPr>
            <w:tcW w:w="567" w:type="dxa"/>
            <w:vMerge/>
          </w:tcPr>
          <w:p w14:paraId="7616C0E5" w14:textId="77777777" w:rsidR="00454A29" w:rsidRDefault="00454A29"/>
        </w:tc>
        <w:tc>
          <w:tcPr>
            <w:tcW w:w="3345" w:type="dxa"/>
            <w:vMerge/>
          </w:tcPr>
          <w:p w14:paraId="61F311FE" w14:textId="77777777" w:rsidR="00454A29" w:rsidRDefault="00454A29"/>
        </w:tc>
        <w:tc>
          <w:tcPr>
            <w:tcW w:w="1701" w:type="dxa"/>
            <w:vAlign w:val="center"/>
          </w:tcPr>
          <w:p w14:paraId="45062067" w14:textId="77777777" w:rsidR="00454A29" w:rsidRDefault="00454A29">
            <w:pPr>
              <w:pStyle w:val="ConsPlusNormal"/>
              <w:jc w:val="center"/>
            </w:pPr>
            <w:r>
              <w:t>2022</w:t>
            </w:r>
          </w:p>
        </w:tc>
        <w:tc>
          <w:tcPr>
            <w:tcW w:w="1417" w:type="dxa"/>
            <w:vMerge/>
          </w:tcPr>
          <w:p w14:paraId="1715F52C" w14:textId="77777777" w:rsidR="00454A29" w:rsidRDefault="00454A29"/>
        </w:tc>
        <w:tc>
          <w:tcPr>
            <w:tcW w:w="2204" w:type="dxa"/>
            <w:vMerge/>
          </w:tcPr>
          <w:p w14:paraId="406B6616" w14:textId="77777777" w:rsidR="00454A29" w:rsidRDefault="00454A29"/>
        </w:tc>
        <w:tc>
          <w:tcPr>
            <w:tcW w:w="1417" w:type="dxa"/>
            <w:vMerge/>
          </w:tcPr>
          <w:p w14:paraId="7338304F" w14:textId="77777777" w:rsidR="00454A29" w:rsidRDefault="00454A29"/>
        </w:tc>
        <w:tc>
          <w:tcPr>
            <w:tcW w:w="2324" w:type="dxa"/>
            <w:vMerge/>
          </w:tcPr>
          <w:p w14:paraId="4DA22A21" w14:textId="77777777" w:rsidR="00454A29" w:rsidRDefault="00454A29"/>
        </w:tc>
        <w:tc>
          <w:tcPr>
            <w:tcW w:w="1701" w:type="dxa"/>
            <w:vAlign w:val="center"/>
          </w:tcPr>
          <w:p w14:paraId="61370F53" w14:textId="77777777" w:rsidR="00454A29" w:rsidRDefault="00454A29">
            <w:pPr>
              <w:pStyle w:val="ConsPlusNormal"/>
              <w:jc w:val="center"/>
            </w:pPr>
            <w:r>
              <w:t>90 704,04</w:t>
            </w:r>
          </w:p>
        </w:tc>
        <w:tc>
          <w:tcPr>
            <w:tcW w:w="1814" w:type="dxa"/>
            <w:vAlign w:val="center"/>
          </w:tcPr>
          <w:p w14:paraId="1853CD1B" w14:textId="77777777" w:rsidR="00454A29" w:rsidRDefault="00454A29">
            <w:pPr>
              <w:pStyle w:val="ConsPlusNormal"/>
              <w:jc w:val="center"/>
            </w:pPr>
            <w:r>
              <w:t>37 130,13</w:t>
            </w:r>
          </w:p>
        </w:tc>
        <w:tc>
          <w:tcPr>
            <w:tcW w:w="1701" w:type="dxa"/>
            <w:vAlign w:val="center"/>
          </w:tcPr>
          <w:p w14:paraId="61F03223" w14:textId="77777777" w:rsidR="00454A29" w:rsidRDefault="00454A29">
            <w:pPr>
              <w:pStyle w:val="ConsPlusNormal"/>
            </w:pPr>
          </w:p>
        </w:tc>
        <w:tc>
          <w:tcPr>
            <w:tcW w:w="1701" w:type="dxa"/>
            <w:vAlign w:val="center"/>
          </w:tcPr>
          <w:p w14:paraId="56C064CC" w14:textId="77777777" w:rsidR="00454A29" w:rsidRDefault="00454A29">
            <w:pPr>
              <w:pStyle w:val="ConsPlusNormal"/>
              <w:jc w:val="center"/>
            </w:pPr>
            <w:r>
              <w:t>53 573,92</w:t>
            </w:r>
          </w:p>
        </w:tc>
        <w:tc>
          <w:tcPr>
            <w:tcW w:w="1814" w:type="dxa"/>
            <w:vAlign w:val="center"/>
          </w:tcPr>
          <w:p w14:paraId="2DE7B828" w14:textId="77777777" w:rsidR="00454A29" w:rsidRDefault="00454A29">
            <w:pPr>
              <w:pStyle w:val="ConsPlusNormal"/>
            </w:pPr>
          </w:p>
        </w:tc>
      </w:tr>
      <w:tr w:rsidR="00454A29" w14:paraId="5F003537" w14:textId="77777777">
        <w:tc>
          <w:tcPr>
            <w:tcW w:w="567" w:type="dxa"/>
            <w:vMerge/>
          </w:tcPr>
          <w:p w14:paraId="2232A50A" w14:textId="77777777" w:rsidR="00454A29" w:rsidRDefault="00454A29"/>
        </w:tc>
        <w:tc>
          <w:tcPr>
            <w:tcW w:w="3345" w:type="dxa"/>
            <w:vMerge/>
          </w:tcPr>
          <w:p w14:paraId="0BF23E43" w14:textId="77777777" w:rsidR="00454A29" w:rsidRDefault="00454A29"/>
        </w:tc>
        <w:tc>
          <w:tcPr>
            <w:tcW w:w="1701" w:type="dxa"/>
            <w:vAlign w:val="center"/>
          </w:tcPr>
          <w:p w14:paraId="674B4AB5" w14:textId="77777777" w:rsidR="00454A29" w:rsidRDefault="00454A29">
            <w:pPr>
              <w:pStyle w:val="ConsPlusNormal"/>
              <w:jc w:val="center"/>
            </w:pPr>
            <w:r>
              <w:t>2023</w:t>
            </w:r>
          </w:p>
        </w:tc>
        <w:tc>
          <w:tcPr>
            <w:tcW w:w="1417" w:type="dxa"/>
            <w:vMerge/>
          </w:tcPr>
          <w:p w14:paraId="4E7DEEB3" w14:textId="77777777" w:rsidR="00454A29" w:rsidRDefault="00454A29"/>
        </w:tc>
        <w:tc>
          <w:tcPr>
            <w:tcW w:w="2204" w:type="dxa"/>
            <w:vMerge/>
          </w:tcPr>
          <w:p w14:paraId="503B26E9" w14:textId="77777777" w:rsidR="00454A29" w:rsidRDefault="00454A29"/>
        </w:tc>
        <w:tc>
          <w:tcPr>
            <w:tcW w:w="1417" w:type="dxa"/>
            <w:vMerge/>
          </w:tcPr>
          <w:p w14:paraId="0850A957" w14:textId="77777777" w:rsidR="00454A29" w:rsidRDefault="00454A29"/>
        </w:tc>
        <w:tc>
          <w:tcPr>
            <w:tcW w:w="2324" w:type="dxa"/>
            <w:vMerge/>
          </w:tcPr>
          <w:p w14:paraId="197D2947" w14:textId="77777777" w:rsidR="00454A29" w:rsidRDefault="00454A29"/>
        </w:tc>
        <w:tc>
          <w:tcPr>
            <w:tcW w:w="1701" w:type="dxa"/>
            <w:vAlign w:val="center"/>
          </w:tcPr>
          <w:p w14:paraId="71A544E2" w14:textId="77777777" w:rsidR="00454A29" w:rsidRDefault="00454A29">
            <w:pPr>
              <w:pStyle w:val="ConsPlusNormal"/>
              <w:jc w:val="center"/>
            </w:pPr>
            <w:r>
              <w:t>103 448,39</w:t>
            </w:r>
          </w:p>
        </w:tc>
        <w:tc>
          <w:tcPr>
            <w:tcW w:w="1814" w:type="dxa"/>
            <w:vAlign w:val="center"/>
          </w:tcPr>
          <w:p w14:paraId="6C5085DD" w14:textId="77777777" w:rsidR="00454A29" w:rsidRDefault="00454A29">
            <w:pPr>
              <w:pStyle w:val="ConsPlusNormal"/>
              <w:jc w:val="center"/>
            </w:pPr>
            <w:r>
              <w:t>43 028,35</w:t>
            </w:r>
          </w:p>
        </w:tc>
        <w:tc>
          <w:tcPr>
            <w:tcW w:w="1701" w:type="dxa"/>
            <w:vAlign w:val="center"/>
          </w:tcPr>
          <w:p w14:paraId="682C618C" w14:textId="77777777" w:rsidR="00454A29" w:rsidRDefault="00454A29">
            <w:pPr>
              <w:pStyle w:val="ConsPlusNormal"/>
            </w:pPr>
          </w:p>
        </w:tc>
        <w:tc>
          <w:tcPr>
            <w:tcW w:w="1701" w:type="dxa"/>
            <w:vAlign w:val="center"/>
          </w:tcPr>
          <w:p w14:paraId="09A73837" w14:textId="77777777" w:rsidR="00454A29" w:rsidRDefault="00454A29">
            <w:pPr>
              <w:pStyle w:val="ConsPlusNormal"/>
              <w:jc w:val="center"/>
            </w:pPr>
            <w:r>
              <w:t>60 420,04</w:t>
            </w:r>
          </w:p>
        </w:tc>
        <w:tc>
          <w:tcPr>
            <w:tcW w:w="1814" w:type="dxa"/>
            <w:vAlign w:val="center"/>
          </w:tcPr>
          <w:p w14:paraId="6F244F39" w14:textId="77777777" w:rsidR="00454A29" w:rsidRDefault="00454A29">
            <w:pPr>
              <w:pStyle w:val="ConsPlusNormal"/>
            </w:pPr>
          </w:p>
        </w:tc>
      </w:tr>
      <w:tr w:rsidR="00454A29" w14:paraId="00E970A2" w14:textId="77777777">
        <w:tc>
          <w:tcPr>
            <w:tcW w:w="567" w:type="dxa"/>
            <w:vMerge/>
          </w:tcPr>
          <w:p w14:paraId="26067465" w14:textId="77777777" w:rsidR="00454A29" w:rsidRDefault="00454A29"/>
        </w:tc>
        <w:tc>
          <w:tcPr>
            <w:tcW w:w="3345" w:type="dxa"/>
            <w:vMerge/>
          </w:tcPr>
          <w:p w14:paraId="60AC125E" w14:textId="77777777" w:rsidR="00454A29" w:rsidRDefault="00454A29"/>
        </w:tc>
        <w:tc>
          <w:tcPr>
            <w:tcW w:w="1701" w:type="dxa"/>
            <w:vAlign w:val="center"/>
          </w:tcPr>
          <w:p w14:paraId="44498B85" w14:textId="77777777" w:rsidR="00454A29" w:rsidRDefault="00454A29">
            <w:pPr>
              <w:pStyle w:val="ConsPlusNormal"/>
              <w:jc w:val="center"/>
            </w:pPr>
            <w:r>
              <w:t>2024</w:t>
            </w:r>
          </w:p>
        </w:tc>
        <w:tc>
          <w:tcPr>
            <w:tcW w:w="1417" w:type="dxa"/>
            <w:vMerge/>
          </w:tcPr>
          <w:p w14:paraId="547A5252" w14:textId="77777777" w:rsidR="00454A29" w:rsidRDefault="00454A29"/>
        </w:tc>
        <w:tc>
          <w:tcPr>
            <w:tcW w:w="2204" w:type="dxa"/>
            <w:vMerge/>
          </w:tcPr>
          <w:p w14:paraId="73B4E7EE" w14:textId="77777777" w:rsidR="00454A29" w:rsidRDefault="00454A29"/>
        </w:tc>
        <w:tc>
          <w:tcPr>
            <w:tcW w:w="1417" w:type="dxa"/>
            <w:vMerge/>
          </w:tcPr>
          <w:p w14:paraId="7E3294FC" w14:textId="77777777" w:rsidR="00454A29" w:rsidRDefault="00454A29"/>
        </w:tc>
        <w:tc>
          <w:tcPr>
            <w:tcW w:w="2324" w:type="dxa"/>
            <w:vMerge/>
          </w:tcPr>
          <w:p w14:paraId="758A8DBE" w14:textId="77777777" w:rsidR="00454A29" w:rsidRDefault="00454A29"/>
        </w:tc>
        <w:tc>
          <w:tcPr>
            <w:tcW w:w="1701" w:type="dxa"/>
            <w:vAlign w:val="center"/>
          </w:tcPr>
          <w:p w14:paraId="5F6C9826" w14:textId="77777777" w:rsidR="00454A29" w:rsidRDefault="00454A29">
            <w:pPr>
              <w:pStyle w:val="ConsPlusNormal"/>
              <w:jc w:val="center"/>
            </w:pPr>
            <w:r>
              <w:t>118 126,89</w:t>
            </w:r>
          </w:p>
        </w:tc>
        <w:tc>
          <w:tcPr>
            <w:tcW w:w="1814" w:type="dxa"/>
            <w:vAlign w:val="center"/>
          </w:tcPr>
          <w:p w14:paraId="6415D9D2" w14:textId="77777777" w:rsidR="00454A29" w:rsidRDefault="00454A29">
            <w:pPr>
              <w:pStyle w:val="ConsPlusNormal"/>
              <w:jc w:val="center"/>
            </w:pPr>
            <w:r>
              <w:t>49 863,53</w:t>
            </w:r>
          </w:p>
        </w:tc>
        <w:tc>
          <w:tcPr>
            <w:tcW w:w="1701" w:type="dxa"/>
            <w:vAlign w:val="center"/>
          </w:tcPr>
          <w:p w14:paraId="35523C55" w14:textId="77777777" w:rsidR="00454A29" w:rsidRDefault="00454A29">
            <w:pPr>
              <w:pStyle w:val="ConsPlusNormal"/>
            </w:pPr>
          </w:p>
        </w:tc>
        <w:tc>
          <w:tcPr>
            <w:tcW w:w="1701" w:type="dxa"/>
            <w:vAlign w:val="center"/>
          </w:tcPr>
          <w:p w14:paraId="2EE16A10" w14:textId="77777777" w:rsidR="00454A29" w:rsidRDefault="00454A29">
            <w:pPr>
              <w:pStyle w:val="ConsPlusNormal"/>
              <w:jc w:val="center"/>
            </w:pPr>
            <w:r>
              <w:t>68 263,37</w:t>
            </w:r>
          </w:p>
        </w:tc>
        <w:tc>
          <w:tcPr>
            <w:tcW w:w="1814" w:type="dxa"/>
            <w:vAlign w:val="center"/>
          </w:tcPr>
          <w:p w14:paraId="18AEB1D8" w14:textId="77777777" w:rsidR="00454A29" w:rsidRDefault="00454A29">
            <w:pPr>
              <w:pStyle w:val="ConsPlusNormal"/>
            </w:pPr>
          </w:p>
        </w:tc>
      </w:tr>
      <w:tr w:rsidR="00454A29" w14:paraId="4551676A" w14:textId="77777777">
        <w:tc>
          <w:tcPr>
            <w:tcW w:w="567" w:type="dxa"/>
            <w:vMerge/>
          </w:tcPr>
          <w:p w14:paraId="16929D11" w14:textId="77777777" w:rsidR="00454A29" w:rsidRDefault="00454A29"/>
        </w:tc>
        <w:tc>
          <w:tcPr>
            <w:tcW w:w="3345" w:type="dxa"/>
            <w:vMerge/>
          </w:tcPr>
          <w:p w14:paraId="11A06115" w14:textId="77777777" w:rsidR="00454A29" w:rsidRDefault="00454A29"/>
        </w:tc>
        <w:tc>
          <w:tcPr>
            <w:tcW w:w="1701" w:type="dxa"/>
            <w:vAlign w:val="center"/>
          </w:tcPr>
          <w:p w14:paraId="50B921AE" w14:textId="77777777" w:rsidR="00454A29" w:rsidRDefault="00454A29">
            <w:pPr>
              <w:pStyle w:val="ConsPlusNormal"/>
              <w:jc w:val="center"/>
            </w:pPr>
            <w:r>
              <w:t>2025</w:t>
            </w:r>
          </w:p>
        </w:tc>
        <w:tc>
          <w:tcPr>
            <w:tcW w:w="1417" w:type="dxa"/>
            <w:vMerge/>
          </w:tcPr>
          <w:p w14:paraId="694DF77F" w14:textId="77777777" w:rsidR="00454A29" w:rsidRDefault="00454A29"/>
        </w:tc>
        <w:tc>
          <w:tcPr>
            <w:tcW w:w="2204" w:type="dxa"/>
            <w:vMerge/>
          </w:tcPr>
          <w:p w14:paraId="6F1CBF37" w14:textId="77777777" w:rsidR="00454A29" w:rsidRDefault="00454A29"/>
        </w:tc>
        <w:tc>
          <w:tcPr>
            <w:tcW w:w="1417" w:type="dxa"/>
            <w:vMerge/>
          </w:tcPr>
          <w:p w14:paraId="3CE09964" w14:textId="77777777" w:rsidR="00454A29" w:rsidRDefault="00454A29"/>
        </w:tc>
        <w:tc>
          <w:tcPr>
            <w:tcW w:w="2324" w:type="dxa"/>
            <w:vMerge/>
          </w:tcPr>
          <w:p w14:paraId="0F696746" w14:textId="77777777" w:rsidR="00454A29" w:rsidRDefault="00454A29"/>
        </w:tc>
        <w:tc>
          <w:tcPr>
            <w:tcW w:w="1701" w:type="dxa"/>
            <w:vAlign w:val="center"/>
          </w:tcPr>
          <w:p w14:paraId="59ABA904" w14:textId="77777777" w:rsidR="00454A29" w:rsidRDefault="00454A29">
            <w:pPr>
              <w:pStyle w:val="ConsPlusNormal"/>
              <w:jc w:val="center"/>
            </w:pPr>
            <w:r>
              <w:t>135 041,91</w:t>
            </w:r>
          </w:p>
        </w:tc>
        <w:tc>
          <w:tcPr>
            <w:tcW w:w="1814" w:type="dxa"/>
            <w:vAlign w:val="center"/>
          </w:tcPr>
          <w:p w14:paraId="297FEE53" w14:textId="77777777" w:rsidR="00454A29" w:rsidRDefault="00454A29">
            <w:pPr>
              <w:pStyle w:val="ConsPlusNormal"/>
              <w:jc w:val="center"/>
            </w:pPr>
            <w:r>
              <w:t>57 784,49</w:t>
            </w:r>
          </w:p>
        </w:tc>
        <w:tc>
          <w:tcPr>
            <w:tcW w:w="1701" w:type="dxa"/>
            <w:vAlign w:val="center"/>
          </w:tcPr>
          <w:p w14:paraId="2BE6A0E6" w14:textId="77777777" w:rsidR="00454A29" w:rsidRDefault="00454A29">
            <w:pPr>
              <w:pStyle w:val="ConsPlusNormal"/>
            </w:pPr>
          </w:p>
        </w:tc>
        <w:tc>
          <w:tcPr>
            <w:tcW w:w="1701" w:type="dxa"/>
            <w:vAlign w:val="center"/>
          </w:tcPr>
          <w:p w14:paraId="49B75A9E" w14:textId="77777777" w:rsidR="00454A29" w:rsidRDefault="00454A29">
            <w:pPr>
              <w:pStyle w:val="ConsPlusNormal"/>
              <w:jc w:val="center"/>
            </w:pPr>
            <w:r>
              <w:t>77 257,42</w:t>
            </w:r>
          </w:p>
        </w:tc>
        <w:tc>
          <w:tcPr>
            <w:tcW w:w="1814" w:type="dxa"/>
            <w:vAlign w:val="center"/>
          </w:tcPr>
          <w:p w14:paraId="1A1C28AE" w14:textId="77777777" w:rsidR="00454A29" w:rsidRDefault="00454A29">
            <w:pPr>
              <w:pStyle w:val="ConsPlusNormal"/>
            </w:pPr>
          </w:p>
        </w:tc>
      </w:tr>
      <w:tr w:rsidR="00454A29" w14:paraId="17C3B891" w14:textId="77777777">
        <w:tc>
          <w:tcPr>
            <w:tcW w:w="567" w:type="dxa"/>
            <w:vMerge/>
          </w:tcPr>
          <w:p w14:paraId="5EF91CEE" w14:textId="77777777" w:rsidR="00454A29" w:rsidRDefault="00454A29"/>
        </w:tc>
        <w:tc>
          <w:tcPr>
            <w:tcW w:w="3345" w:type="dxa"/>
            <w:vMerge/>
          </w:tcPr>
          <w:p w14:paraId="15D7C4FC" w14:textId="77777777" w:rsidR="00454A29" w:rsidRDefault="00454A29"/>
        </w:tc>
        <w:tc>
          <w:tcPr>
            <w:tcW w:w="1701" w:type="dxa"/>
            <w:vAlign w:val="center"/>
          </w:tcPr>
          <w:p w14:paraId="11ACA7F4" w14:textId="77777777" w:rsidR="00454A29" w:rsidRDefault="00454A29">
            <w:pPr>
              <w:pStyle w:val="ConsPlusNormal"/>
              <w:jc w:val="center"/>
            </w:pPr>
            <w:r>
              <w:t>2026</w:t>
            </w:r>
          </w:p>
        </w:tc>
        <w:tc>
          <w:tcPr>
            <w:tcW w:w="1417" w:type="dxa"/>
            <w:vMerge/>
          </w:tcPr>
          <w:p w14:paraId="27B3FC28" w14:textId="77777777" w:rsidR="00454A29" w:rsidRDefault="00454A29"/>
        </w:tc>
        <w:tc>
          <w:tcPr>
            <w:tcW w:w="2204" w:type="dxa"/>
            <w:vMerge/>
          </w:tcPr>
          <w:p w14:paraId="3EDD4D11" w14:textId="77777777" w:rsidR="00454A29" w:rsidRDefault="00454A29"/>
        </w:tc>
        <w:tc>
          <w:tcPr>
            <w:tcW w:w="1417" w:type="dxa"/>
            <w:vMerge/>
          </w:tcPr>
          <w:p w14:paraId="4AE26A67" w14:textId="77777777" w:rsidR="00454A29" w:rsidRDefault="00454A29"/>
        </w:tc>
        <w:tc>
          <w:tcPr>
            <w:tcW w:w="2324" w:type="dxa"/>
            <w:vMerge/>
          </w:tcPr>
          <w:p w14:paraId="6B18DA77" w14:textId="77777777" w:rsidR="00454A29" w:rsidRDefault="00454A29"/>
        </w:tc>
        <w:tc>
          <w:tcPr>
            <w:tcW w:w="1701" w:type="dxa"/>
            <w:vAlign w:val="center"/>
          </w:tcPr>
          <w:p w14:paraId="3381FA65" w14:textId="77777777" w:rsidR="00454A29" w:rsidRDefault="00454A29">
            <w:pPr>
              <w:pStyle w:val="ConsPlusNormal"/>
              <w:jc w:val="center"/>
            </w:pPr>
            <w:r>
              <w:t>154 543,53</w:t>
            </w:r>
          </w:p>
        </w:tc>
        <w:tc>
          <w:tcPr>
            <w:tcW w:w="1814" w:type="dxa"/>
            <w:vAlign w:val="center"/>
          </w:tcPr>
          <w:p w14:paraId="1C6FD594" w14:textId="77777777" w:rsidR="00454A29" w:rsidRDefault="00454A29">
            <w:pPr>
              <w:pStyle w:val="ConsPlusNormal"/>
              <w:jc w:val="center"/>
            </w:pPr>
            <w:r>
              <w:t>66 963,72</w:t>
            </w:r>
          </w:p>
        </w:tc>
        <w:tc>
          <w:tcPr>
            <w:tcW w:w="1701" w:type="dxa"/>
            <w:vAlign w:val="center"/>
          </w:tcPr>
          <w:p w14:paraId="09613CED" w14:textId="77777777" w:rsidR="00454A29" w:rsidRDefault="00454A29">
            <w:pPr>
              <w:pStyle w:val="ConsPlusNormal"/>
            </w:pPr>
          </w:p>
        </w:tc>
        <w:tc>
          <w:tcPr>
            <w:tcW w:w="1701" w:type="dxa"/>
            <w:vAlign w:val="center"/>
          </w:tcPr>
          <w:p w14:paraId="726AFF60" w14:textId="77777777" w:rsidR="00454A29" w:rsidRDefault="00454A29">
            <w:pPr>
              <w:pStyle w:val="ConsPlusNormal"/>
              <w:jc w:val="center"/>
            </w:pPr>
            <w:r>
              <w:t>87 579,82</w:t>
            </w:r>
          </w:p>
        </w:tc>
        <w:tc>
          <w:tcPr>
            <w:tcW w:w="1814" w:type="dxa"/>
            <w:vAlign w:val="center"/>
          </w:tcPr>
          <w:p w14:paraId="0DD3F752" w14:textId="77777777" w:rsidR="00454A29" w:rsidRDefault="00454A29">
            <w:pPr>
              <w:pStyle w:val="ConsPlusNormal"/>
            </w:pPr>
          </w:p>
        </w:tc>
      </w:tr>
      <w:tr w:rsidR="00454A29" w14:paraId="26EFC6C1" w14:textId="77777777">
        <w:tc>
          <w:tcPr>
            <w:tcW w:w="567" w:type="dxa"/>
            <w:vMerge w:val="restart"/>
            <w:vAlign w:val="center"/>
          </w:tcPr>
          <w:p w14:paraId="4A8C59DB" w14:textId="77777777" w:rsidR="00454A29" w:rsidRDefault="00454A29">
            <w:pPr>
              <w:pStyle w:val="ConsPlusNormal"/>
              <w:jc w:val="center"/>
            </w:pPr>
            <w:r>
              <w:t>208</w:t>
            </w:r>
          </w:p>
        </w:tc>
        <w:tc>
          <w:tcPr>
            <w:tcW w:w="3345" w:type="dxa"/>
            <w:vMerge w:val="restart"/>
            <w:vAlign w:val="center"/>
          </w:tcPr>
          <w:p w14:paraId="056015D5" w14:textId="77777777" w:rsidR="00454A29" w:rsidRDefault="00454A29">
            <w:pPr>
              <w:pStyle w:val="ConsPlusNormal"/>
              <w:jc w:val="center"/>
            </w:pPr>
            <w:r>
              <w:t>Национальная школа "Айыы кыhата" на 550 учащихся в 203 мкр. г. Якутска &lt;*&gt;</w:t>
            </w:r>
          </w:p>
        </w:tc>
        <w:tc>
          <w:tcPr>
            <w:tcW w:w="1701" w:type="dxa"/>
            <w:vAlign w:val="center"/>
          </w:tcPr>
          <w:p w14:paraId="523235BD" w14:textId="77777777" w:rsidR="00454A29" w:rsidRDefault="00454A29">
            <w:pPr>
              <w:pStyle w:val="ConsPlusNormal"/>
              <w:jc w:val="center"/>
            </w:pPr>
            <w:r>
              <w:t>2016 - 2026 годы - всего</w:t>
            </w:r>
          </w:p>
        </w:tc>
        <w:tc>
          <w:tcPr>
            <w:tcW w:w="1417" w:type="dxa"/>
            <w:vMerge w:val="restart"/>
            <w:vAlign w:val="center"/>
          </w:tcPr>
          <w:p w14:paraId="6B4477B0" w14:textId="77777777" w:rsidR="00454A29" w:rsidRDefault="00454A29">
            <w:pPr>
              <w:pStyle w:val="ConsPlusNormal"/>
              <w:jc w:val="center"/>
            </w:pPr>
            <w:r>
              <w:t>1 238 396,59</w:t>
            </w:r>
          </w:p>
        </w:tc>
        <w:tc>
          <w:tcPr>
            <w:tcW w:w="2204" w:type="dxa"/>
            <w:vMerge w:val="restart"/>
            <w:vAlign w:val="center"/>
          </w:tcPr>
          <w:p w14:paraId="3CB08796" w14:textId="77777777" w:rsidR="00454A29" w:rsidRDefault="00454A29">
            <w:pPr>
              <w:pStyle w:val="ConsPlusNormal"/>
              <w:jc w:val="center"/>
            </w:pPr>
            <w:r>
              <w:t>имеется</w:t>
            </w:r>
          </w:p>
        </w:tc>
        <w:tc>
          <w:tcPr>
            <w:tcW w:w="1417" w:type="dxa"/>
            <w:vMerge w:val="restart"/>
            <w:vAlign w:val="center"/>
          </w:tcPr>
          <w:p w14:paraId="5B4E47A7" w14:textId="77777777" w:rsidR="00454A29" w:rsidRDefault="00454A29">
            <w:pPr>
              <w:pStyle w:val="ConsPlusNormal"/>
              <w:jc w:val="center"/>
            </w:pPr>
            <w:r>
              <w:t>550</w:t>
            </w:r>
          </w:p>
        </w:tc>
        <w:tc>
          <w:tcPr>
            <w:tcW w:w="2324" w:type="dxa"/>
            <w:vMerge w:val="restart"/>
            <w:vAlign w:val="center"/>
          </w:tcPr>
          <w:p w14:paraId="651FBA6A" w14:textId="77777777" w:rsidR="00454A29" w:rsidRDefault="00454A29">
            <w:pPr>
              <w:pStyle w:val="ConsPlusNormal"/>
              <w:jc w:val="center"/>
            </w:pPr>
            <w:r>
              <w:t>Минэкономики РС(Я), ГО "город Якутск"</w:t>
            </w:r>
          </w:p>
        </w:tc>
        <w:tc>
          <w:tcPr>
            <w:tcW w:w="1701" w:type="dxa"/>
            <w:vAlign w:val="center"/>
          </w:tcPr>
          <w:p w14:paraId="0D3F722A" w14:textId="77777777" w:rsidR="00454A29" w:rsidRDefault="00454A29">
            <w:pPr>
              <w:pStyle w:val="ConsPlusNormal"/>
              <w:jc w:val="center"/>
            </w:pPr>
            <w:r>
              <w:t>2 076 930,33</w:t>
            </w:r>
          </w:p>
        </w:tc>
        <w:tc>
          <w:tcPr>
            <w:tcW w:w="1814" w:type="dxa"/>
            <w:vAlign w:val="center"/>
          </w:tcPr>
          <w:p w14:paraId="560B802F" w14:textId="77777777" w:rsidR="00454A29" w:rsidRDefault="00454A29">
            <w:pPr>
              <w:pStyle w:val="ConsPlusNormal"/>
              <w:jc w:val="center"/>
            </w:pPr>
            <w:r>
              <w:t>828 067,97</w:t>
            </w:r>
          </w:p>
        </w:tc>
        <w:tc>
          <w:tcPr>
            <w:tcW w:w="1701" w:type="dxa"/>
            <w:vAlign w:val="center"/>
          </w:tcPr>
          <w:p w14:paraId="12417D7E" w14:textId="77777777" w:rsidR="00454A29" w:rsidRDefault="00454A29">
            <w:pPr>
              <w:pStyle w:val="ConsPlusNormal"/>
              <w:jc w:val="center"/>
            </w:pPr>
            <w:r>
              <w:t>-</w:t>
            </w:r>
          </w:p>
        </w:tc>
        <w:tc>
          <w:tcPr>
            <w:tcW w:w="1701" w:type="dxa"/>
            <w:vAlign w:val="center"/>
          </w:tcPr>
          <w:p w14:paraId="75780C42" w14:textId="77777777" w:rsidR="00454A29" w:rsidRDefault="00454A29">
            <w:pPr>
              <w:pStyle w:val="ConsPlusNormal"/>
              <w:jc w:val="center"/>
            </w:pPr>
            <w:r>
              <w:t>546 341,23</w:t>
            </w:r>
          </w:p>
        </w:tc>
        <w:tc>
          <w:tcPr>
            <w:tcW w:w="1814" w:type="dxa"/>
            <w:vAlign w:val="center"/>
          </w:tcPr>
          <w:p w14:paraId="197B36BE" w14:textId="77777777" w:rsidR="00454A29" w:rsidRDefault="00454A29">
            <w:pPr>
              <w:pStyle w:val="ConsPlusNormal"/>
              <w:jc w:val="center"/>
            </w:pPr>
            <w:r>
              <w:t>702 521,13</w:t>
            </w:r>
          </w:p>
        </w:tc>
      </w:tr>
      <w:tr w:rsidR="00454A29" w14:paraId="6293C297" w14:textId="77777777">
        <w:tc>
          <w:tcPr>
            <w:tcW w:w="567" w:type="dxa"/>
            <w:vMerge/>
          </w:tcPr>
          <w:p w14:paraId="57A8A8A3" w14:textId="77777777" w:rsidR="00454A29" w:rsidRDefault="00454A29"/>
        </w:tc>
        <w:tc>
          <w:tcPr>
            <w:tcW w:w="3345" w:type="dxa"/>
            <w:vMerge/>
          </w:tcPr>
          <w:p w14:paraId="7C5A5CD6" w14:textId="77777777" w:rsidR="00454A29" w:rsidRDefault="00454A29"/>
        </w:tc>
        <w:tc>
          <w:tcPr>
            <w:tcW w:w="1701" w:type="dxa"/>
            <w:vAlign w:val="center"/>
          </w:tcPr>
          <w:p w14:paraId="31A885F7" w14:textId="77777777" w:rsidR="00454A29" w:rsidRDefault="00454A29">
            <w:pPr>
              <w:pStyle w:val="ConsPlusNormal"/>
              <w:jc w:val="center"/>
            </w:pPr>
            <w:r>
              <w:t>2016</w:t>
            </w:r>
          </w:p>
        </w:tc>
        <w:tc>
          <w:tcPr>
            <w:tcW w:w="1417" w:type="dxa"/>
            <w:vMerge/>
          </w:tcPr>
          <w:p w14:paraId="292810E6" w14:textId="77777777" w:rsidR="00454A29" w:rsidRDefault="00454A29"/>
        </w:tc>
        <w:tc>
          <w:tcPr>
            <w:tcW w:w="2204" w:type="dxa"/>
            <w:vMerge/>
          </w:tcPr>
          <w:p w14:paraId="011D1BEE" w14:textId="77777777" w:rsidR="00454A29" w:rsidRDefault="00454A29"/>
        </w:tc>
        <w:tc>
          <w:tcPr>
            <w:tcW w:w="1417" w:type="dxa"/>
            <w:vMerge/>
          </w:tcPr>
          <w:p w14:paraId="54C51ACE" w14:textId="77777777" w:rsidR="00454A29" w:rsidRDefault="00454A29"/>
        </w:tc>
        <w:tc>
          <w:tcPr>
            <w:tcW w:w="2324" w:type="dxa"/>
            <w:vMerge/>
          </w:tcPr>
          <w:p w14:paraId="28A22429" w14:textId="77777777" w:rsidR="00454A29" w:rsidRDefault="00454A29"/>
        </w:tc>
        <w:tc>
          <w:tcPr>
            <w:tcW w:w="1701" w:type="dxa"/>
            <w:vAlign w:val="center"/>
          </w:tcPr>
          <w:p w14:paraId="6F51F73B" w14:textId="77777777" w:rsidR="00454A29" w:rsidRDefault="00454A29">
            <w:pPr>
              <w:pStyle w:val="ConsPlusNormal"/>
              <w:jc w:val="center"/>
            </w:pPr>
            <w:r>
              <w:t>721 571,27</w:t>
            </w:r>
          </w:p>
        </w:tc>
        <w:tc>
          <w:tcPr>
            <w:tcW w:w="1814" w:type="dxa"/>
            <w:vAlign w:val="center"/>
          </w:tcPr>
          <w:p w14:paraId="3686976F" w14:textId="77777777" w:rsidR="00454A29" w:rsidRDefault="00454A29">
            <w:pPr>
              <w:pStyle w:val="ConsPlusNormal"/>
              <w:jc w:val="center"/>
            </w:pPr>
            <w:r>
              <w:t>21 595,37</w:t>
            </w:r>
          </w:p>
        </w:tc>
        <w:tc>
          <w:tcPr>
            <w:tcW w:w="1701" w:type="dxa"/>
            <w:vAlign w:val="center"/>
          </w:tcPr>
          <w:p w14:paraId="646C40AF" w14:textId="77777777" w:rsidR="00454A29" w:rsidRDefault="00454A29">
            <w:pPr>
              <w:pStyle w:val="ConsPlusNormal"/>
            </w:pPr>
          </w:p>
        </w:tc>
        <w:tc>
          <w:tcPr>
            <w:tcW w:w="1701" w:type="dxa"/>
            <w:vAlign w:val="center"/>
          </w:tcPr>
          <w:p w14:paraId="27FA5EBB" w14:textId="77777777" w:rsidR="00454A29" w:rsidRDefault="00454A29">
            <w:pPr>
              <w:pStyle w:val="ConsPlusNormal"/>
              <w:jc w:val="center"/>
            </w:pPr>
            <w:r>
              <w:t>2 417,00</w:t>
            </w:r>
          </w:p>
        </w:tc>
        <w:tc>
          <w:tcPr>
            <w:tcW w:w="1814" w:type="dxa"/>
            <w:vAlign w:val="center"/>
          </w:tcPr>
          <w:p w14:paraId="4B10E7A7" w14:textId="77777777" w:rsidR="00454A29" w:rsidRDefault="00454A29">
            <w:pPr>
              <w:pStyle w:val="ConsPlusNormal"/>
              <w:jc w:val="center"/>
            </w:pPr>
            <w:r>
              <w:t>697 558,90</w:t>
            </w:r>
          </w:p>
        </w:tc>
      </w:tr>
      <w:tr w:rsidR="00454A29" w14:paraId="48A5286A" w14:textId="77777777">
        <w:tc>
          <w:tcPr>
            <w:tcW w:w="567" w:type="dxa"/>
            <w:vMerge/>
          </w:tcPr>
          <w:p w14:paraId="599CFB49" w14:textId="77777777" w:rsidR="00454A29" w:rsidRDefault="00454A29"/>
        </w:tc>
        <w:tc>
          <w:tcPr>
            <w:tcW w:w="3345" w:type="dxa"/>
            <w:vMerge/>
          </w:tcPr>
          <w:p w14:paraId="766116F4" w14:textId="77777777" w:rsidR="00454A29" w:rsidRDefault="00454A29"/>
        </w:tc>
        <w:tc>
          <w:tcPr>
            <w:tcW w:w="1701" w:type="dxa"/>
            <w:vAlign w:val="center"/>
          </w:tcPr>
          <w:p w14:paraId="05BA7D04" w14:textId="77777777" w:rsidR="00454A29" w:rsidRDefault="00454A29">
            <w:pPr>
              <w:pStyle w:val="ConsPlusNormal"/>
              <w:jc w:val="center"/>
            </w:pPr>
            <w:r>
              <w:t>2017</w:t>
            </w:r>
          </w:p>
        </w:tc>
        <w:tc>
          <w:tcPr>
            <w:tcW w:w="1417" w:type="dxa"/>
            <w:vMerge/>
          </w:tcPr>
          <w:p w14:paraId="5E5AA4FE" w14:textId="77777777" w:rsidR="00454A29" w:rsidRDefault="00454A29"/>
        </w:tc>
        <w:tc>
          <w:tcPr>
            <w:tcW w:w="2204" w:type="dxa"/>
            <w:vMerge/>
          </w:tcPr>
          <w:p w14:paraId="56789A5C" w14:textId="77777777" w:rsidR="00454A29" w:rsidRDefault="00454A29"/>
        </w:tc>
        <w:tc>
          <w:tcPr>
            <w:tcW w:w="1417" w:type="dxa"/>
            <w:vMerge/>
          </w:tcPr>
          <w:p w14:paraId="6BC69F73" w14:textId="77777777" w:rsidR="00454A29" w:rsidRDefault="00454A29"/>
        </w:tc>
        <w:tc>
          <w:tcPr>
            <w:tcW w:w="2324" w:type="dxa"/>
            <w:vMerge/>
          </w:tcPr>
          <w:p w14:paraId="3DDFEB6D" w14:textId="77777777" w:rsidR="00454A29" w:rsidRDefault="00454A29"/>
        </w:tc>
        <w:tc>
          <w:tcPr>
            <w:tcW w:w="1701" w:type="dxa"/>
            <w:vAlign w:val="center"/>
          </w:tcPr>
          <w:p w14:paraId="525776C2" w14:textId="77777777" w:rsidR="00454A29" w:rsidRDefault="00454A29">
            <w:pPr>
              <w:pStyle w:val="ConsPlusNormal"/>
              <w:jc w:val="center"/>
            </w:pPr>
            <w:r>
              <w:t>89 345,30</w:t>
            </w:r>
          </w:p>
        </w:tc>
        <w:tc>
          <w:tcPr>
            <w:tcW w:w="1814" w:type="dxa"/>
            <w:vAlign w:val="center"/>
          </w:tcPr>
          <w:p w14:paraId="0073D93B" w14:textId="77777777" w:rsidR="00454A29" w:rsidRDefault="00454A29">
            <w:pPr>
              <w:pStyle w:val="ConsPlusNormal"/>
              <w:jc w:val="center"/>
            </w:pPr>
            <w:r>
              <w:t>75 889,38</w:t>
            </w:r>
          </w:p>
        </w:tc>
        <w:tc>
          <w:tcPr>
            <w:tcW w:w="1701" w:type="dxa"/>
            <w:vAlign w:val="center"/>
          </w:tcPr>
          <w:p w14:paraId="77615D5C" w14:textId="77777777" w:rsidR="00454A29" w:rsidRDefault="00454A29">
            <w:pPr>
              <w:pStyle w:val="ConsPlusNormal"/>
            </w:pPr>
          </w:p>
        </w:tc>
        <w:tc>
          <w:tcPr>
            <w:tcW w:w="1701" w:type="dxa"/>
            <w:vAlign w:val="center"/>
          </w:tcPr>
          <w:p w14:paraId="6D4783B6" w14:textId="77777777" w:rsidR="00454A29" w:rsidRDefault="00454A29">
            <w:pPr>
              <w:pStyle w:val="ConsPlusNormal"/>
              <w:jc w:val="center"/>
            </w:pPr>
            <w:r>
              <w:t>8 493,69</w:t>
            </w:r>
          </w:p>
        </w:tc>
        <w:tc>
          <w:tcPr>
            <w:tcW w:w="1814" w:type="dxa"/>
            <w:vAlign w:val="center"/>
          </w:tcPr>
          <w:p w14:paraId="6B94DB12" w14:textId="77777777" w:rsidR="00454A29" w:rsidRDefault="00454A29">
            <w:pPr>
              <w:pStyle w:val="ConsPlusNormal"/>
              <w:jc w:val="center"/>
            </w:pPr>
            <w:r>
              <w:t>4 962,23</w:t>
            </w:r>
          </w:p>
        </w:tc>
      </w:tr>
      <w:tr w:rsidR="00454A29" w14:paraId="0714FC1D" w14:textId="77777777">
        <w:tc>
          <w:tcPr>
            <w:tcW w:w="567" w:type="dxa"/>
            <w:vMerge/>
          </w:tcPr>
          <w:p w14:paraId="030C537D" w14:textId="77777777" w:rsidR="00454A29" w:rsidRDefault="00454A29"/>
        </w:tc>
        <w:tc>
          <w:tcPr>
            <w:tcW w:w="3345" w:type="dxa"/>
            <w:vMerge/>
          </w:tcPr>
          <w:p w14:paraId="0AEB81E2" w14:textId="77777777" w:rsidR="00454A29" w:rsidRDefault="00454A29"/>
        </w:tc>
        <w:tc>
          <w:tcPr>
            <w:tcW w:w="1701" w:type="dxa"/>
            <w:vAlign w:val="center"/>
          </w:tcPr>
          <w:p w14:paraId="07E279AC" w14:textId="77777777" w:rsidR="00454A29" w:rsidRDefault="00454A29">
            <w:pPr>
              <w:pStyle w:val="ConsPlusNormal"/>
              <w:jc w:val="center"/>
            </w:pPr>
            <w:r>
              <w:t>2018</w:t>
            </w:r>
          </w:p>
        </w:tc>
        <w:tc>
          <w:tcPr>
            <w:tcW w:w="1417" w:type="dxa"/>
            <w:vMerge/>
          </w:tcPr>
          <w:p w14:paraId="1662794B" w14:textId="77777777" w:rsidR="00454A29" w:rsidRDefault="00454A29"/>
        </w:tc>
        <w:tc>
          <w:tcPr>
            <w:tcW w:w="2204" w:type="dxa"/>
            <w:vMerge/>
          </w:tcPr>
          <w:p w14:paraId="5AD3F735" w14:textId="77777777" w:rsidR="00454A29" w:rsidRDefault="00454A29"/>
        </w:tc>
        <w:tc>
          <w:tcPr>
            <w:tcW w:w="1417" w:type="dxa"/>
            <w:vMerge/>
          </w:tcPr>
          <w:p w14:paraId="10BF91B6" w14:textId="77777777" w:rsidR="00454A29" w:rsidRDefault="00454A29"/>
        </w:tc>
        <w:tc>
          <w:tcPr>
            <w:tcW w:w="2324" w:type="dxa"/>
            <w:vMerge/>
          </w:tcPr>
          <w:p w14:paraId="2045A459" w14:textId="77777777" w:rsidR="00454A29" w:rsidRDefault="00454A29"/>
        </w:tc>
        <w:tc>
          <w:tcPr>
            <w:tcW w:w="1701" w:type="dxa"/>
            <w:vAlign w:val="center"/>
          </w:tcPr>
          <w:p w14:paraId="2ABEAAC6" w14:textId="77777777" w:rsidR="00454A29" w:rsidRDefault="00454A29">
            <w:pPr>
              <w:pStyle w:val="ConsPlusNormal"/>
              <w:jc w:val="center"/>
            </w:pPr>
            <w:r>
              <w:t>141 617,35</w:t>
            </w:r>
          </w:p>
        </w:tc>
        <w:tc>
          <w:tcPr>
            <w:tcW w:w="1814" w:type="dxa"/>
            <w:vAlign w:val="center"/>
          </w:tcPr>
          <w:p w14:paraId="6FAA297F" w14:textId="77777777" w:rsidR="00454A29" w:rsidRDefault="00454A29">
            <w:pPr>
              <w:pStyle w:val="ConsPlusNormal"/>
              <w:jc w:val="center"/>
            </w:pPr>
            <w:r>
              <w:t>125 564,84</w:t>
            </w:r>
          </w:p>
        </w:tc>
        <w:tc>
          <w:tcPr>
            <w:tcW w:w="1701" w:type="dxa"/>
            <w:vAlign w:val="center"/>
          </w:tcPr>
          <w:p w14:paraId="6E06D67C" w14:textId="77777777" w:rsidR="00454A29" w:rsidRDefault="00454A29">
            <w:pPr>
              <w:pStyle w:val="ConsPlusNormal"/>
            </w:pPr>
          </w:p>
        </w:tc>
        <w:tc>
          <w:tcPr>
            <w:tcW w:w="1701" w:type="dxa"/>
            <w:vAlign w:val="center"/>
          </w:tcPr>
          <w:p w14:paraId="175F3BE0" w14:textId="77777777" w:rsidR="00454A29" w:rsidRDefault="00454A29">
            <w:pPr>
              <w:pStyle w:val="ConsPlusNormal"/>
              <w:jc w:val="center"/>
            </w:pPr>
            <w:r>
              <w:t>16 052,51</w:t>
            </w:r>
          </w:p>
        </w:tc>
        <w:tc>
          <w:tcPr>
            <w:tcW w:w="1814" w:type="dxa"/>
            <w:vAlign w:val="center"/>
          </w:tcPr>
          <w:p w14:paraId="3B88B859" w14:textId="77777777" w:rsidR="00454A29" w:rsidRDefault="00454A29">
            <w:pPr>
              <w:pStyle w:val="ConsPlusNormal"/>
            </w:pPr>
          </w:p>
        </w:tc>
      </w:tr>
      <w:tr w:rsidR="00454A29" w14:paraId="3A116034" w14:textId="77777777">
        <w:tc>
          <w:tcPr>
            <w:tcW w:w="567" w:type="dxa"/>
            <w:vMerge/>
          </w:tcPr>
          <w:p w14:paraId="4B18867A" w14:textId="77777777" w:rsidR="00454A29" w:rsidRDefault="00454A29"/>
        </w:tc>
        <w:tc>
          <w:tcPr>
            <w:tcW w:w="3345" w:type="dxa"/>
            <w:vMerge/>
          </w:tcPr>
          <w:p w14:paraId="06EBDB07" w14:textId="77777777" w:rsidR="00454A29" w:rsidRDefault="00454A29"/>
        </w:tc>
        <w:tc>
          <w:tcPr>
            <w:tcW w:w="1701" w:type="dxa"/>
            <w:vAlign w:val="center"/>
          </w:tcPr>
          <w:p w14:paraId="213E53D1" w14:textId="77777777" w:rsidR="00454A29" w:rsidRDefault="00454A29">
            <w:pPr>
              <w:pStyle w:val="ConsPlusNormal"/>
              <w:jc w:val="center"/>
            </w:pPr>
            <w:r>
              <w:t>2019</w:t>
            </w:r>
          </w:p>
        </w:tc>
        <w:tc>
          <w:tcPr>
            <w:tcW w:w="1417" w:type="dxa"/>
            <w:vMerge/>
          </w:tcPr>
          <w:p w14:paraId="6F223C35" w14:textId="77777777" w:rsidR="00454A29" w:rsidRDefault="00454A29"/>
        </w:tc>
        <w:tc>
          <w:tcPr>
            <w:tcW w:w="2204" w:type="dxa"/>
            <w:vMerge/>
          </w:tcPr>
          <w:p w14:paraId="0F6CC1CE" w14:textId="77777777" w:rsidR="00454A29" w:rsidRDefault="00454A29"/>
        </w:tc>
        <w:tc>
          <w:tcPr>
            <w:tcW w:w="1417" w:type="dxa"/>
            <w:vMerge/>
          </w:tcPr>
          <w:p w14:paraId="5A53BBC0" w14:textId="77777777" w:rsidR="00454A29" w:rsidRDefault="00454A29"/>
        </w:tc>
        <w:tc>
          <w:tcPr>
            <w:tcW w:w="2324" w:type="dxa"/>
            <w:vMerge/>
          </w:tcPr>
          <w:p w14:paraId="59568C44" w14:textId="77777777" w:rsidR="00454A29" w:rsidRDefault="00454A29"/>
        </w:tc>
        <w:tc>
          <w:tcPr>
            <w:tcW w:w="1701" w:type="dxa"/>
            <w:vAlign w:val="center"/>
          </w:tcPr>
          <w:p w14:paraId="684FEC89" w14:textId="77777777" w:rsidR="00454A29" w:rsidRDefault="00454A29">
            <w:pPr>
              <w:pStyle w:val="ConsPlusNormal"/>
              <w:jc w:val="center"/>
            </w:pPr>
            <w:r>
              <w:t>205 351,03</w:t>
            </w:r>
          </w:p>
        </w:tc>
        <w:tc>
          <w:tcPr>
            <w:tcW w:w="1814" w:type="dxa"/>
            <w:vAlign w:val="center"/>
          </w:tcPr>
          <w:p w14:paraId="5D3229D2" w14:textId="77777777" w:rsidR="00454A29" w:rsidRDefault="00454A29">
            <w:pPr>
              <w:pStyle w:val="ConsPlusNormal"/>
              <w:jc w:val="center"/>
            </w:pPr>
            <w:r>
              <w:t>184 681,15</w:t>
            </w:r>
          </w:p>
        </w:tc>
        <w:tc>
          <w:tcPr>
            <w:tcW w:w="1701" w:type="dxa"/>
            <w:vAlign w:val="center"/>
          </w:tcPr>
          <w:p w14:paraId="687B4643" w14:textId="77777777" w:rsidR="00454A29" w:rsidRDefault="00454A29">
            <w:pPr>
              <w:pStyle w:val="ConsPlusNormal"/>
            </w:pPr>
          </w:p>
        </w:tc>
        <w:tc>
          <w:tcPr>
            <w:tcW w:w="1701" w:type="dxa"/>
            <w:vAlign w:val="center"/>
          </w:tcPr>
          <w:p w14:paraId="5C436489" w14:textId="77777777" w:rsidR="00454A29" w:rsidRDefault="00454A29">
            <w:pPr>
              <w:pStyle w:val="ConsPlusNormal"/>
              <w:jc w:val="center"/>
            </w:pPr>
            <w:r>
              <w:t>20 669,88</w:t>
            </w:r>
          </w:p>
        </w:tc>
        <w:tc>
          <w:tcPr>
            <w:tcW w:w="1814" w:type="dxa"/>
            <w:vAlign w:val="center"/>
          </w:tcPr>
          <w:p w14:paraId="2074C0B3" w14:textId="77777777" w:rsidR="00454A29" w:rsidRDefault="00454A29">
            <w:pPr>
              <w:pStyle w:val="ConsPlusNormal"/>
            </w:pPr>
          </w:p>
        </w:tc>
      </w:tr>
      <w:tr w:rsidR="00454A29" w14:paraId="48255CF8" w14:textId="77777777">
        <w:tc>
          <w:tcPr>
            <w:tcW w:w="567" w:type="dxa"/>
            <w:vMerge/>
          </w:tcPr>
          <w:p w14:paraId="47A4882D" w14:textId="77777777" w:rsidR="00454A29" w:rsidRDefault="00454A29"/>
        </w:tc>
        <w:tc>
          <w:tcPr>
            <w:tcW w:w="3345" w:type="dxa"/>
            <w:vMerge/>
          </w:tcPr>
          <w:p w14:paraId="0E0905A9" w14:textId="77777777" w:rsidR="00454A29" w:rsidRDefault="00454A29"/>
        </w:tc>
        <w:tc>
          <w:tcPr>
            <w:tcW w:w="1701" w:type="dxa"/>
            <w:vAlign w:val="center"/>
          </w:tcPr>
          <w:p w14:paraId="0B2AD9AC" w14:textId="77777777" w:rsidR="00454A29" w:rsidRDefault="00454A29">
            <w:pPr>
              <w:pStyle w:val="ConsPlusNormal"/>
              <w:jc w:val="center"/>
            </w:pPr>
            <w:r>
              <w:t>2020</w:t>
            </w:r>
          </w:p>
        </w:tc>
        <w:tc>
          <w:tcPr>
            <w:tcW w:w="1417" w:type="dxa"/>
            <w:vMerge/>
          </w:tcPr>
          <w:p w14:paraId="05ED5495" w14:textId="77777777" w:rsidR="00454A29" w:rsidRDefault="00454A29"/>
        </w:tc>
        <w:tc>
          <w:tcPr>
            <w:tcW w:w="2204" w:type="dxa"/>
            <w:vMerge/>
          </w:tcPr>
          <w:p w14:paraId="7CD29B56" w14:textId="77777777" w:rsidR="00454A29" w:rsidRDefault="00454A29"/>
        </w:tc>
        <w:tc>
          <w:tcPr>
            <w:tcW w:w="1417" w:type="dxa"/>
            <w:vMerge/>
          </w:tcPr>
          <w:p w14:paraId="369E2FD3" w14:textId="77777777" w:rsidR="00454A29" w:rsidRDefault="00454A29"/>
        </w:tc>
        <w:tc>
          <w:tcPr>
            <w:tcW w:w="2324" w:type="dxa"/>
            <w:vMerge/>
          </w:tcPr>
          <w:p w14:paraId="6D9D759C" w14:textId="77777777" w:rsidR="00454A29" w:rsidRDefault="00454A29"/>
        </w:tc>
        <w:tc>
          <w:tcPr>
            <w:tcW w:w="1701" w:type="dxa"/>
            <w:vAlign w:val="center"/>
          </w:tcPr>
          <w:p w14:paraId="4CB5D835" w14:textId="77777777" w:rsidR="00454A29" w:rsidRDefault="00454A29">
            <w:pPr>
              <w:pStyle w:val="ConsPlusNormal"/>
              <w:jc w:val="center"/>
            </w:pPr>
            <w:r>
              <w:t>85 924,13</w:t>
            </w:r>
          </w:p>
        </w:tc>
        <w:tc>
          <w:tcPr>
            <w:tcW w:w="1814" w:type="dxa"/>
            <w:vAlign w:val="center"/>
          </w:tcPr>
          <w:p w14:paraId="773450E0" w14:textId="77777777" w:rsidR="00454A29" w:rsidRDefault="00454A29">
            <w:pPr>
              <w:pStyle w:val="ConsPlusNormal"/>
              <w:jc w:val="center"/>
            </w:pPr>
            <w:r>
              <w:t>36 957,59</w:t>
            </w:r>
          </w:p>
        </w:tc>
        <w:tc>
          <w:tcPr>
            <w:tcW w:w="1701" w:type="dxa"/>
            <w:vAlign w:val="center"/>
          </w:tcPr>
          <w:p w14:paraId="2D0FA999" w14:textId="77777777" w:rsidR="00454A29" w:rsidRDefault="00454A29">
            <w:pPr>
              <w:pStyle w:val="ConsPlusNormal"/>
            </w:pPr>
          </w:p>
        </w:tc>
        <w:tc>
          <w:tcPr>
            <w:tcW w:w="1701" w:type="dxa"/>
            <w:vAlign w:val="center"/>
          </w:tcPr>
          <w:p w14:paraId="4CEA0EC0" w14:textId="77777777" w:rsidR="00454A29" w:rsidRDefault="00454A29">
            <w:pPr>
              <w:pStyle w:val="ConsPlusNormal"/>
              <w:jc w:val="center"/>
            </w:pPr>
            <w:r>
              <w:t>48 966,54</w:t>
            </w:r>
          </w:p>
        </w:tc>
        <w:tc>
          <w:tcPr>
            <w:tcW w:w="1814" w:type="dxa"/>
            <w:vAlign w:val="center"/>
          </w:tcPr>
          <w:p w14:paraId="4A44B01E" w14:textId="77777777" w:rsidR="00454A29" w:rsidRDefault="00454A29">
            <w:pPr>
              <w:pStyle w:val="ConsPlusNormal"/>
            </w:pPr>
          </w:p>
        </w:tc>
      </w:tr>
      <w:tr w:rsidR="00454A29" w14:paraId="1E1EA56B" w14:textId="77777777">
        <w:tc>
          <w:tcPr>
            <w:tcW w:w="567" w:type="dxa"/>
            <w:vMerge/>
          </w:tcPr>
          <w:p w14:paraId="5C6C696A" w14:textId="77777777" w:rsidR="00454A29" w:rsidRDefault="00454A29"/>
        </w:tc>
        <w:tc>
          <w:tcPr>
            <w:tcW w:w="3345" w:type="dxa"/>
            <w:vMerge/>
          </w:tcPr>
          <w:p w14:paraId="4614E0BF" w14:textId="77777777" w:rsidR="00454A29" w:rsidRDefault="00454A29"/>
        </w:tc>
        <w:tc>
          <w:tcPr>
            <w:tcW w:w="1701" w:type="dxa"/>
            <w:vAlign w:val="center"/>
          </w:tcPr>
          <w:p w14:paraId="29FEE60A" w14:textId="77777777" w:rsidR="00454A29" w:rsidRDefault="00454A29">
            <w:pPr>
              <w:pStyle w:val="ConsPlusNormal"/>
              <w:jc w:val="center"/>
            </w:pPr>
            <w:r>
              <w:t>2021</w:t>
            </w:r>
          </w:p>
        </w:tc>
        <w:tc>
          <w:tcPr>
            <w:tcW w:w="1417" w:type="dxa"/>
            <w:vMerge/>
          </w:tcPr>
          <w:p w14:paraId="32CBE1A1" w14:textId="77777777" w:rsidR="00454A29" w:rsidRDefault="00454A29"/>
        </w:tc>
        <w:tc>
          <w:tcPr>
            <w:tcW w:w="2204" w:type="dxa"/>
            <w:vMerge/>
          </w:tcPr>
          <w:p w14:paraId="529BA8B7" w14:textId="77777777" w:rsidR="00454A29" w:rsidRDefault="00454A29"/>
        </w:tc>
        <w:tc>
          <w:tcPr>
            <w:tcW w:w="1417" w:type="dxa"/>
            <w:vMerge/>
          </w:tcPr>
          <w:p w14:paraId="38A45C68" w14:textId="77777777" w:rsidR="00454A29" w:rsidRDefault="00454A29"/>
        </w:tc>
        <w:tc>
          <w:tcPr>
            <w:tcW w:w="2324" w:type="dxa"/>
            <w:vMerge/>
          </w:tcPr>
          <w:p w14:paraId="1479D927" w14:textId="77777777" w:rsidR="00454A29" w:rsidRDefault="00454A29"/>
        </w:tc>
        <w:tc>
          <w:tcPr>
            <w:tcW w:w="1701" w:type="dxa"/>
            <w:vAlign w:val="center"/>
          </w:tcPr>
          <w:p w14:paraId="218C58B4" w14:textId="77777777" w:rsidR="00454A29" w:rsidRDefault="00454A29">
            <w:pPr>
              <w:pStyle w:val="ConsPlusNormal"/>
              <w:jc w:val="center"/>
            </w:pPr>
            <w:r>
              <w:t>97 631,88</w:t>
            </w:r>
          </w:p>
        </w:tc>
        <w:tc>
          <w:tcPr>
            <w:tcW w:w="1814" w:type="dxa"/>
            <w:vAlign w:val="center"/>
          </w:tcPr>
          <w:p w14:paraId="2033B953" w14:textId="77777777" w:rsidR="00454A29" w:rsidRDefault="00454A29">
            <w:pPr>
              <w:pStyle w:val="ConsPlusNormal"/>
              <w:jc w:val="center"/>
            </w:pPr>
            <w:r>
              <w:t>42 828,41</w:t>
            </w:r>
          </w:p>
        </w:tc>
        <w:tc>
          <w:tcPr>
            <w:tcW w:w="1701" w:type="dxa"/>
            <w:vAlign w:val="center"/>
          </w:tcPr>
          <w:p w14:paraId="7B596703" w14:textId="77777777" w:rsidR="00454A29" w:rsidRDefault="00454A29">
            <w:pPr>
              <w:pStyle w:val="ConsPlusNormal"/>
            </w:pPr>
          </w:p>
        </w:tc>
        <w:tc>
          <w:tcPr>
            <w:tcW w:w="1701" w:type="dxa"/>
            <w:vAlign w:val="center"/>
          </w:tcPr>
          <w:p w14:paraId="2FD1D155" w14:textId="77777777" w:rsidR="00454A29" w:rsidRDefault="00454A29">
            <w:pPr>
              <w:pStyle w:val="ConsPlusNormal"/>
              <w:jc w:val="center"/>
            </w:pPr>
            <w:r>
              <w:t>54 803,47</w:t>
            </w:r>
          </w:p>
        </w:tc>
        <w:tc>
          <w:tcPr>
            <w:tcW w:w="1814" w:type="dxa"/>
            <w:vAlign w:val="center"/>
          </w:tcPr>
          <w:p w14:paraId="1F586B72" w14:textId="77777777" w:rsidR="00454A29" w:rsidRDefault="00454A29">
            <w:pPr>
              <w:pStyle w:val="ConsPlusNormal"/>
            </w:pPr>
          </w:p>
        </w:tc>
      </w:tr>
      <w:tr w:rsidR="00454A29" w14:paraId="63755D57" w14:textId="77777777">
        <w:tc>
          <w:tcPr>
            <w:tcW w:w="567" w:type="dxa"/>
            <w:vMerge/>
          </w:tcPr>
          <w:p w14:paraId="18BCCBC5" w14:textId="77777777" w:rsidR="00454A29" w:rsidRDefault="00454A29"/>
        </w:tc>
        <w:tc>
          <w:tcPr>
            <w:tcW w:w="3345" w:type="dxa"/>
            <w:vMerge/>
          </w:tcPr>
          <w:p w14:paraId="1DE20C80" w14:textId="77777777" w:rsidR="00454A29" w:rsidRDefault="00454A29"/>
        </w:tc>
        <w:tc>
          <w:tcPr>
            <w:tcW w:w="1701" w:type="dxa"/>
            <w:vAlign w:val="center"/>
          </w:tcPr>
          <w:p w14:paraId="04064C5E" w14:textId="77777777" w:rsidR="00454A29" w:rsidRDefault="00454A29">
            <w:pPr>
              <w:pStyle w:val="ConsPlusNormal"/>
              <w:jc w:val="center"/>
            </w:pPr>
            <w:r>
              <w:t>2022</w:t>
            </w:r>
          </w:p>
        </w:tc>
        <w:tc>
          <w:tcPr>
            <w:tcW w:w="1417" w:type="dxa"/>
            <w:vMerge/>
          </w:tcPr>
          <w:p w14:paraId="00AC58AA" w14:textId="77777777" w:rsidR="00454A29" w:rsidRDefault="00454A29"/>
        </w:tc>
        <w:tc>
          <w:tcPr>
            <w:tcW w:w="2204" w:type="dxa"/>
            <w:vMerge/>
          </w:tcPr>
          <w:p w14:paraId="6ED2332B" w14:textId="77777777" w:rsidR="00454A29" w:rsidRDefault="00454A29"/>
        </w:tc>
        <w:tc>
          <w:tcPr>
            <w:tcW w:w="1417" w:type="dxa"/>
            <w:vMerge/>
          </w:tcPr>
          <w:p w14:paraId="1101E86B" w14:textId="77777777" w:rsidR="00454A29" w:rsidRDefault="00454A29"/>
        </w:tc>
        <w:tc>
          <w:tcPr>
            <w:tcW w:w="2324" w:type="dxa"/>
            <w:vMerge/>
          </w:tcPr>
          <w:p w14:paraId="113E1030" w14:textId="77777777" w:rsidR="00454A29" w:rsidRDefault="00454A29"/>
        </w:tc>
        <w:tc>
          <w:tcPr>
            <w:tcW w:w="1701" w:type="dxa"/>
            <w:vAlign w:val="center"/>
          </w:tcPr>
          <w:p w14:paraId="14FFC793" w14:textId="77777777" w:rsidR="00454A29" w:rsidRDefault="00454A29">
            <w:pPr>
              <w:pStyle w:val="ConsPlusNormal"/>
              <w:jc w:val="center"/>
            </w:pPr>
            <w:r>
              <w:t>111 084,05</w:t>
            </w:r>
          </w:p>
        </w:tc>
        <w:tc>
          <w:tcPr>
            <w:tcW w:w="1814" w:type="dxa"/>
            <w:vAlign w:val="center"/>
          </w:tcPr>
          <w:p w14:paraId="3398067B" w14:textId="77777777" w:rsidR="00454A29" w:rsidRDefault="00454A29">
            <w:pPr>
              <w:pStyle w:val="ConsPlusNormal"/>
              <w:jc w:val="center"/>
            </w:pPr>
            <w:r>
              <w:t>49 631,82</w:t>
            </w:r>
          </w:p>
        </w:tc>
        <w:tc>
          <w:tcPr>
            <w:tcW w:w="1701" w:type="dxa"/>
            <w:vAlign w:val="center"/>
          </w:tcPr>
          <w:p w14:paraId="6A3D5960" w14:textId="77777777" w:rsidR="00454A29" w:rsidRDefault="00454A29">
            <w:pPr>
              <w:pStyle w:val="ConsPlusNormal"/>
            </w:pPr>
          </w:p>
        </w:tc>
        <w:tc>
          <w:tcPr>
            <w:tcW w:w="1701" w:type="dxa"/>
            <w:vAlign w:val="center"/>
          </w:tcPr>
          <w:p w14:paraId="4E9A96A9" w14:textId="77777777" w:rsidR="00454A29" w:rsidRDefault="00454A29">
            <w:pPr>
              <w:pStyle w:val="ConsPlusNormal"/>
              <w:jc w:val="center"/>
            </w:pPr>
            <w:r>
              <w:t>61 452,23</w:t>
            </w:r>
          </w:p>
        </w:tc>
        <w:tc>
          <w:tcPr>
            <w:tcW w:w="1814" w:type="dxa"/>
            <w:vAlign w:val="center"/>
          </w:tcPr>
          <w:p w14:paraId="1B92A29F" w14:textId="77777777" w:rsidR="00454A29" w:rsidRDefault="00454A29">
            <w:pPr>
              <w:pStyle w:val="ConsPlusNormal"/>
            </w:pPr>
          </w:p>
        </w:tc>
      </w:tr>
      <w:tr w:rsidR="00454A29" w14:paraId="645A7B61" w14:textId="77777777">
        <w:tc>
          <w:tcPr>
            <w:tcW w:w="567" w:type="dxa"/>
            <w:vMerge/>
          </w:tcPr>
          <w:p w14:paraId="288AB98F" w14:textId="77777777" w:rsidR="00454A29" w:rsidRDefault="00454A29"/>
        </w:tc>
        <w:tc>
          <w:tcPr>
            <w:tcW w:w="3345" w:type="dxa"/>
            <w:vMerge/>
          </w:tcPr>
          <w:p w14:paraId="6CFD6C74" w14:textId="77777777" w:rsidR="00454A29" w:rsidRDefault="00454A29"/>
        </w:tc>
        <w:tc>
          <w:tcPr>
            <w:tcW w:w="1701" w:type="dxa"/>
            <w:vAlign w:val="center"/>
          </w:tcPr>
          <w:p w14:paraId="51367F3F" w14:textId="77777777" w:rsidR="00454A29" w:rsidRDefault="00454A29">
            <w:pPr>
              <w:pStyle w:val="ConsPlusNormal"/>
              <w:jc w:val="center"/>
            </w:pPr>
            <w:r>
              <w:t>2023</w:t>
            </w:r>
          </w:p>
        </w:tc>
        <w:tc>
          <w:tcPr>
            <w:tcW w:w="1417" w:type="dxa"/>
            <w:vMerge/>
          </w:tcPr>
          <w:p w14:paraId="32BC7D50" w14:textId="77777777" w:rsidR="00454A29" w:rsidRDefault="00454A29"/>
        </w:tc>
        <w:tc>
          <w:tcPr>
            <w:tcW w:w="2204" w:type="dxa"/>
            <w:vMerge/>
          </w:tcPr>
          <w:p w14:paraId="04202F59" w14:textId="77777777" w:rsidR="00454A29" w:rsidRDefault="00454A29"/>
        </w:tc>
        <w:tc>
          <w:tcPr>
            <w:tcW w:w="1417" w:type="dxa"/>
            <w:vMerge/>
          </w:tcPr>
          <w:p w14:paraId="61C50F2B" w14:textId="77777777" w:rsidR="00454A29" w:rsidRDefault="00454A29"/>
        </w:tc>
        <w:tc>
          <w:tcPr>
            <w:tcW w:w="2324" w:type="dxa"/>
            <w:vMerge/>
          </w:tcPr>
          <w:p w14:paraId="5FE3DA68" w14:textId="77777777" w:rsidR="00454A29" w:rsidRDefault="00454A29"/>
        </w:tc>
        <w:tc>
          <w:tcPr>
            <w:tcW w:w="1701" w:type="dxa"/>
            <w:vAlign w:val="center"/>
          </w:tcPr>
          <w:p w14:paraId="433EB64D" w14:textId="77777777" w:rsidR="00454A29" w:rsidRDefault="00454A29">
            <w:pPr>
              <w:pStyle w:val="ConsPlusNormal"/>
              <w:jc w:val="center"/>
            </w:pPr>
            <w:r>
              <w:t>126 561,49</w:t>
            </w:r>
          </w:p>
        </w:tc>
        <w:tc>
          <w:tcPr>
            <w:tcW w:w="1814" w:type="dxa"/>
            <w:vAlign w:val="center"/>
          </w:tcPr>
          <w:p w14:paraId="57E47EBD" w14:textId="77777777" w:rsidR="00454A29" w:rsidRDefault="00454A29">
            <w:pPr>
              <w:pStyle w:val="ConsPlusNormal"/>
              <w:jc w:val="center"/>
            </w:pPr>
            <w:r>
              <w:t>57 515,98</w:t>
            </w:r>
          </w:p>
        </w:tc>
        <w:tc>
          <w:tcPr>
            <w:tcW w:w="1701" w:type="dxa"/>
            <w:vAlign w:val="center"/>
          </w:tcPr>
          <w:p w14:paraId="73DEFF89" w14:textId="77777777" w:rsidR="00454A29" w:rsidRDefault="00454A29">
            <w:pPr>
              <w:pStyle w:val="ConsPlusNormal"/>
            </w:pPr>
          </w:p>
        </w:tc>
        <w:tc>
          <w:tcPr>
            <w:tcW w:w="1701" w:type="dxa"/>
            <w:vAlign w:val="center"/>
          </w:tcPr>
          <w:p w14:paraId="4CFE13AB" w14:textId="77777777" w:rsidR="00454A29" w:rsidRDefault="00454A29">
            <w:pPr>
              <w:pStyle w:val="ConsPlusNormal"/>
              <w:jc w:val="center"/>
            </w:pPr>
            <w:r>
              <w:t>69 045,52</w:t>
            </w:r>
          </w:p>
        </w:tc>
        <w:tc>
          <w:tcPr>
            <w:tcW w:w="1814" w:type="dxa"/>
            <w:vAlign w:val="center"/>
          </w:tcPr>
          <w:p w14:paraId="4A456C59" w14:textId="77777777" w:rsidR="00454A29" w:rsidRDefault="00454A29">
            <w:pPr>
              <w:pStyle w:val="ConsPlusNormal"/>
            </w:pPr>
          </w:p>
        </w:tc>
      </w:tr>
      <w:tr w:rsidR="00454A29" w14:paraId="04A3A253" w14:textId="77777777">
        <w:tc>
          <w:tcPr>
            <w:tcW w:w="567" w:type="dxa"/>
            <w:vMerge/>
          </w:tcPr>
          <w:p w14:paraId="7E3C2B66" w14:textId="77777777" w:rsidR="00454A29" w:rsidRDefault="00454A29"/>
        </w:tc>
        <w:tc>
          <w:tcPr>
            <w:tcW w:w="3345" w:type="dxa"/>
            <w:vMerge/>
          </w:tcPr>
          <w:p w14:paraId="6559EF39" w14:textId="77777777" w:rsidR="00454A29" w:rsidRDefault="00454A29"/>
        </w:tc>
        <w:tc>
          <w:tcPr>
            <w:tcW w:w="1701" w:type="dxa"/>
            <w:vAlign w:val="center"/>
          </w:tcPr>
          <w:p w14:paraId="463B519F" w14:textId="77777777" w:rsidR="00454A29" w:rsidRDefault="00454A29">
            <w:pPr>
              <w:pStyle w:val="ConsPlusNormal"/>
              <w:jc w:val="center"/>
            </w:pPr>
            <w:r>
              <w:t>2024</w:t>
            </w:r>
          </w:p>
        </w:tc>
        <w:tc>
          <w:tcPr>
            <w:tcW w:w="1417" w:type="dxa"/>
            <w:vMerge/>
          </w:tcPr>
          <w:p w14:paraId="6CB71A86" w14:textId="77777777" w:rsidR="00454A29" w:rsidRDefault="00454A29"/>
        </w:tc>
        <w:tc>
          <w:tcPr>
            <w:tcW w:w="2204" w:type="dxa"/>
            <w:vMerge/>
          </w:tcPr>
          <w:p w14:paraId="478177BF" w14:textId="77777777" w:rsidR="00454A29" w:rsidRDefault="00454A29"/>
        </w:tc>
        <w:tc>
          <w:tcPr>
            <w:tcW w:w="1417" w:type="dxa"/>
            <w:vMerge/>
          </w:tcPr>
          <w:p w14:paraId="4CDBB7F9" w14:textId="77777777" w:rsidR="00454A29" w:rsidRDefault="00454A29"/>
        </w:tc>
        <w:tc>
          <w:tcPr>
            <w:tcW w:w="2324" w:type="dxa"/>
            <w:vMerge/>
          </w:tcPr>
          <w:p w14:paraId="242DA047" w14:textId="77777777" w:rsidR="00454A29" w:rsidRDefault="00454A29"/>
        </w:tc>
        <w:tc>
          <w:tcPr>
            <w:tcW w:w="1701" w:type="dxa"/>
            <w:vAlign w:val="center"/>
          </w:tcPr>
          <w:p w14:paraId="056A8EF3" w14:textId="77777777" w:rsidR="00454A29" w:rsidRDefault="00454A29">
            <w:pPr>
              <w:pStyle w:val="ConsPlusNormal"/>
              <w:jc w:val="center"/>
            </w:pPr>
            <w:r>
              <w:t>144 379,90</w:t>
            </w:r>
          </w:p>
        </w:tc>
        <w:tc>
          <w:tcPr>
            <w:tcW w:w="1814" w:type="dxa"/>
            <w:vAlign w:val="center"/>
          </w:tcPr>
          <w:p w14:paraId="63FABADF" w14:textId="77777777" w:rsidR="00454A29" w:rsidRDefault="00454A29">
            <w:pPr>
              <w:pStyle w:val="ConsPlusNormal"/>
              <w:jc w:val="center"/>
            </w:pPr>
            <w:r>
              <w:t>66 652,55</w:t>
            </w:r>
          </w:p>
        </w:tc>
        <w:tc>
          <w:tcPr>
            <w:tcW w:w="1701" w:type="dxa"/>
            <w:vAlign w:val="center"/>
          </w:tcPr>
          <w:p w14:paraId="24DFD880" w14:textId="77777777" w:rsidR="00454A29" w:rsidRDefault="00454A29">
            <w:pPr>
              <w:pStyle w:val="ConsPlusNormal"/>
            </w:pPr>
          </w:p>
        </w:tc>
        <w:tc>
          <w:tcPr>
            <w:tcW w:w="1701" w:type="dxa"/>
            <w:vAlign w:val="center"/>
          </w:tcPr>
          <w:p w14:paraId="3A817806" w14:textId="77777777" w:rsidR="00454A29" w:rsidRDefault="00454A29">
            <w:pPr>
              <w:pStyle w:val="ConsPlusNormal"/>
              <w:jc w:val="center"/>
            </w:pPr>
            <w:r>
              <w:t>77 727,34</w:t>
            </w:r>
          </w:p>
        </w:tc>
        <w:tc>
          <w:tcPr>
            <w:tcW w:w="1814" w:type="dxa"/>
            <w:vAlign w:val="center"/>
          </w:tcPr>
          <w:p w14:paraId="13E649A3" w14:textId="77777777" w:rsidR="00454A29" w:rsidRDefault="00454A29">
            <w:pPr>
              <w:pStyle w:val="ConsPlusNormal"/>
            </w:pPr>
          </w:p>
        </w:tc>
      </w:tr>
      <w:tr w:rsidR="00454A29" w14:paraId="5E0F1CEA" w14:textId="77777777">
        <w:tc>
          <w:tcPr>
            <w:tcW w:w="567" w:type="dxa"/>
            <w:vMerge/>
          </w:tcPr>
          <w:p w14:paraId="1496EECC" w14:textId="77777777" w:rsidR="00454A29" w:rsidRDefault="00454A29"/>
        </w:tc>
        <w:tc>
          <w:tcPr>
            <w:tcW w:w="3345" w:type="dxa"/>
            <w:vMerge/>
          </w:tcPr>
          <w:p w14:paraId="7D53B4C3" w14:textId="77777777" w:rsidR="00454A29" w:rsidRDefault="00454A29"/>
        </w:tc>
        <w:tc>
          <w:tcPr>
            <w:tcW w:w="1701" w:type="dxa"/>
            <w:vAlign w:val="center"/>
          </w:tcPr>
          <w:p w14:paraId="0F4AA6F0" w14:textId="77777777" w:rsidR="00454A29" w:rsidRDefault="00454A29">
            <w:pPr>
              <w:pStyle w:val="ConsPlusNormal"/>
              <w:jc w:val="center"/>
            </w:pPr>
            <w:r>
              <w:t>2025</w:t>
            </w:r>
          </w:p>
        </w:tc>
        <w:tc>
          <w:tcPr>
            <w:tcW w:w="1417" w:type="dxa"/>
            <w:vMerge/>
          </w:tcPr>
          <w:p w14:paraId="3DF2EFAC" w14:textId="77777777" w:rsidR="00454A29" w:rsidRDefault="00454A29"/>
        </w:tc>
        <w:tc>
          <w:tcPr>
            <w:tcW w:w="2204" w:type="dxa"/>
            <w:vMerge/>
          </w:tcPr>
          <w:p w14:paraId="2BE172F3" w14:textId="77777777" w:rsidR="00454A29" w:rsidRDefault="00454A29"/>
        </w:tc>
        <w:tc>
          <w:tcPr>
            <w:tcW w:w="1417" w:type="dxa"/>
            <w:vMerge/>
          </w:tcPr>
          <w:p w14:paraId="0303A97A" w14:textId="77777777" w:rsidR="00454A29" w:rsidRDefault="00454A29"/>
        </w:tc>
        <w:tc>
          <w:tcPr>
            <w:tcW w:w="2324" w:type="dxa"/>
            <w:vMerge/>
          </w:tcPr>
          <w:p w14:paraId="3E894E97" w14:textId="77777777" w:rsidR="00454A29" w:rsidRDefault="00454A29"/>
        </w:tc>
        <w:tc>
          <w:tcPr>
            <w:tcW w:w="1701" w:type="dxa"/>
            <w:vAlign w:val="center"/>
          </w:tcPr>
          <w:p w14:paraId="3498C336" w14:textId="77777777" w:rsidR="00454A29" w:rsidRDefault="00454A29">
            <w:pPr>
              <w:pStyle w:val="ConsPlusNormal"/>
              <w:jc w:val="center"/>
            </w:pPr>
            <w:r>
              <w:t>164 904,73</w:t>
            </w:r>
          </w:p>
        </w:tc>
        <w:tc>
          <w:tcPr>
            <w:tcW w:w="1814" w:type="dxa"/>
            <w:vAlign w:val="center"/>
          </w:tcPr>
          <w:p w14:paraId="6385BC9E" w14:textId="77777777" w:rsidR="00454A29" w:rsidRDefault="00454A29">
            <w:pPr>
              <w:pStyle w:val="ConsPlusNormal"/>
              <w:jc w:val="center"/>
            </w:pPr>
            <w:r>
              <w:t>77 240,50</w:t>
            </w:r>
          </w:p>
        </w:tc>
        <w:tc>
          <w:tcPr>
            <w:tcW w:w="1701" w:type="dxa"/>
            <w:vAlign w:val="center"/>
          </w:tcPr>
          <w:p w14:paraId="1CA1D69D" w14:textId="77777777" w:rsidR="00454A29" w:rsidRDefault="00454A29">
            <w:pPr>
              <w:pStyle w:val="ConsPlusNormal"/>
            </w:pPr>
          </w:p>
        </w:tc>
        <w:tc>
          <w:tcPr>
            <w:tcW w:w="1701" w:type="dxa"/>
            <w:vAlign w:val="center"/>
          </w:tcPr>
          <w:p w14:paraId="07B2F704" w14:textId="77777777" w:rsidR="00454A29" w:rsidRDefault="00454A29">
            <w:pPr>
              <w:pStyle w:val="ConsPlusNormal"/>
              <w:jc w:val="center"/>
            </w:pPr>
            <w:r>
              <w:t>87 664,23</w:t>
            </w:r>
          </w:p>
        </w:tc>
        <w:tc>
          <w:tcPr>
            <w:tcW w:w="1814" w:type="dxa"/>
            <w:vAlign w:val="center"/>
          </w:tcPr>
          <w:p w14:paraId="77BB0DD8" w14:textId="77777777" w:rsidR="00454A29" w:rsidRDefault="00454A29">
            <w:pPr>
              <w:pStyle w:val="ConsPlusNormal"/>
            </w:pPr>
          </w:p>
        </w:tc>
      </w:tr>
      <w:tr w:rsidR="00454A29" w14:paraId="7A25B3E5" w14:textId="77777777">
        <w:tc>
          <w:tcPr>
            <w:tcW w:w="567" w:type="dxa"/>
            <w:vMerge/>
          </w:tcPr>
          <w:p w14:paraId="04D52A2F" w14:textId="77777777" w:rsidR="00454A29" w:rsidRDefault="00454A29"/>
        </w:tc>
        <w:tc>
          <w:tcPr>
            <w:tcW w:w="3345" w:type="dxa"/>
            <w:vMerge/>
          </w:tcPr>
          <w:p w14:paraId="00BFF324" w14:textId="77777777" w:rsidR="00454A29" w:rsidRDefault="00454A29"/>
        </w:tc>
        <w:tc>
          <w:tcPr>
            <w:tcW w:w="1701" w:type="dxa"/>
            <w:vAlign w:val="center"/>
          </w:tcPr>
          <w:p w14:paraId="5EDF6A0B" w14:textId="77777777" w:rsidR="00454A29" w:rsidRDefault="00454A29">
            <w:pPr>
              <w:pStyle w:val="ConsPlusNormal"/>
              <w:jc w:val="center"/>
            </w:pPr>
            <w:r>
              <w:t>2026</w:t>
            </w:r>
          </w:p>
        </w:tc>
        <w:tc>
          <w:tcPr>
            <w:tcW w:w="1417" w:type="dxa"/>
            <w:vMerge/>
          </w:tcPr>
          <w:p w14:paraId="3BF40A27" w14:textId="77777777" w:rsidR="00454A29" w:rsidRDefault="00454A29"/>
        </w:tc>
        <w:tc>
          <w:tcPr>
            <w:tcW w:w="2204" w:type="dxa"/>
            <w:vMerge/>
          </w:tcPr>
          <w:p w14:paraId="1C365D87" w14:textId="77777777" w:rsidR="00454A29" w:rsidRDefault="00454A29"/>
        </w:tc>
        <w:tc>
          <w:tcPr>
            <w:tcW w:w="1417" w:type="dxa"/>
            <w:vMerge/>
          </w:tcPr>
          <w:p w14:paraId="6CAEB1F9" w14:textId="77777777" w:rsidR="00454A29" w:rsidRDefault="00454A29"/>
        </w:tc>
        <w:tc>
          <w:tcPr>
            <w:tcW w:w="2324" w:type="dxa"/>
            <w:vMerge/>
          </w:tcPr>
          <w:p w14:paraId="04EE8490" w14:textId="77777777" w:rsidR="00454A29" w:rsidRDefault="00454A29"/>
        </w:tc>
        <w:tc>
          <w:tcPr>
            <w:tcW w:w="1701" w:type="dxa"/>
            <w:vAlign w:val="center"/>
          </w:tcPr>
          <w:p w14:paraId="4D603964" w14:textId="77777777" w:rsidR="00454A29" w:rsidRDefault="00454A29">
            <w:pPr>
              <w:pStyle w:val="ConsPlusNormal"/>
              <w:jc w:val="center"/>
            </w:pPr>
            <w:r>
              <w:t>188 559,20</w:t>
            </w:r>
          </w:p>
        </w:tc>
        <w:tc>
          <w:tcPr>
            <w:tcW w:w="1814" w:type="dxa"/>
            <w:vAlign w:val="center"/>
          </w:tcPr>
          <w:p w14:paraId="7F868A31" w14:textId="77777777" w:rsidR="00454A29" w:rsidRDefault="00454A29">
            <w:pPr>
              <w:pStyle w:val="ConsPlusNormal"/>
              <w:jc w:val="center"/>
            </w:pPr>
            <w:r>
              <w:t>89 510,37</w:t>
            </w:r>
          </w:p>
        </w:tc>
        <w:tc>
          <w:tcPr>
            <w:tcW w:w="1701" w:type="dxa"/>
            <w:vAlign w:val="center"/>
          </w:tcPr>
          <w:p w14:paraId="677063F9" w14:textId="77777777" w:rsidR="00454A29" w:rsidRDefault="00454A29">
            <w:pPr>
              <w:pStyle w:val="ConsPlusNormal"/>
            </w:pPr>
          </w:p>
        </w:tc>
        <w:tc>
          <w:tcPr>
            <w:tcW w:w="1701" w:type="dxa"/>
            <w:vAlign w:val="center"/>
          </w:tcPr>
          <w:p w14:paraId="5DB83021" w14:textId="77777777" w:rsidR="00454A29" w:rsidRDefault="00454A29">
            <w:pPr>
              <w:pStyle w:val="ConsPlusNormal"/>
              <w:jc w:val="center"/>
            </w:pPr>
            <w:r>
              <w:t>99 048,83</w:t>
            </w:r>
          </w:p>
        </w:tc>
        <w:tc>
          <w:tcPr>
            <w:tcW w:w="1814" w:type="dxa"/>
            <w:vAlign w:val="center"/>
          </w:tcPr>
          <w:p w14:paraId="7E1B58AC" w14:textId="77777777" w:rsidR="00454A29" w:rsidRDefault="00454A29">
            <w:pPr>
              <w:pStyle w:val="ConsPlusNormal"/>
            </w:pPr>
          </w:p>
        </w:tc>
      </w:tr>
      <w:tr w:rsidR="00454A29" w14:paraId="0F8943ED" w14:textId="77777777">
        <w:tc>
          <w:tcPr>
            <w:tcW w:w="567" w:type="dxa"/>
            <w:vMerge w:val="restart"/>
            <w:vAlign w:val="center"/>
          </w:tcPr>
          <w:p w14:paraId="13734A4F" w14:textId="77777777" w:rsidR="00454A29" w:rsidRDefault="00454A29">
            <w:pPr>
              <w:pStyle w:val="ConsPlusNormal"/>
              <w:jc w:val="center"/>
            </w:pPr>
            <w:r>
              <w:t>208</w:t>
            </w:r>
          </w:p>
        </w:tc>
        <w:tc>
          <w:tcPr>
            <w:tcW w:w="3345" w:type="dxa"/>
            <w:vMerge w:val="restart"/>
            <w:vAlign w:val="center"/>
          </w:tcPr>
          <w:p w14:paraId="48F684C0" w14:textId="77777777" w:rsidR="00454A29" w:rsidRDefault="00454A29">
            <w:pPr>
              <w:pStyle w:val="ConsPlusNormal"/>
              <w:jc w:val="center"/>
            </w:pPr>
            <w:r>
              <w:t>Школа N 25 на 350 учащихся (на условиях софинансирования с городским округом "город Якутск") &lt;*&gt;</w:t>
            </w:r>
          </w:p>
        </w:tc>
        <w:tc>
          <w:tcPr>
            <w:tcW w:w="1701" w:type="dxa"/>
            <w:vAlign w:val="center"/>
          </w:tcPr>
          <w:p w14:paraId="344FA19A" w14:textId="77777777" w:rsidR="00454A29" w:rsidRDefault="00454A29">
            <w:pPr>
              <w:pStyle w:val="ConsPlusNormal"/>
              <w:jc w:val="center"/>
            </w:pPr>
            <w:r>
              <w:t>2016 - 2026 годы - всего</w:t>
            </w:r>
          </w:p>
        </w:tc>
        <w:tc>
          <w:tcPr>
            <w:tcW w:w="1417" w:type="dxa"/>
            <w:vMerge w:val="restart"/>
            <w:vAlign w:val="center"/>
          </w:tcPr>
          <w:p w14:paraId="6DF76157" w14:textId="77777777" w:rsidR="00454A29" w:rsidRDefault="00454A29">
            <w:pPr>
              <w:pStyle w:val="ConsPlusNormal"/>
              <w:jc w:val="center"/>
            </w:pPr>
            <w:r>
              <w:t>797 683,46</w:t>
            </w:r>
          </w:p>
        </w:tc>
        <w:tc>
          <w:tcPr>
            <w:tcW w:w="2204" w:type="dxa"/>
            <w:vMerge w:val="restart"/>
            <w:vAlign w:val="center"/>
          </w:tcPr>
          <w:p w14:paraId="465E42FD" w14:textId="77777777" w:rsidR="00454A29" w:rsidRDefault="00454A29">
            <w:pPr>
              <w:pStyle w:val="ConsPlusNormal"/>
              <w:jc w:val="center"/>
            </w:pPr>
            <w:r>
              <w:t>имеется</w:t>
            </w:r>
          </w:p>
        </w:tc>
        <w:tc>
          <w:tcPr>
            <w:tcW w:w="1417" w:type="dxa"/>
            <w:vMerge w:val="restart"/>
            <w:vAlign w:val="center"/>
          </w:tcPr>
          <w:p w14:paraId="293CAB78" w14:textId="77777777" w:rsidR="00454A29" w:rsidRDefault="00454A29">
            <w:pPr>
              <w:pStyle w:val="ConsPlusNormal"/>
              <w:jc w:val="center"/>
            </w:pPr>
            <w:r>
              <w:t>350</w:t>
            </w:r>
          </w:p>
        </w:tc>
        <w:tc>
          <w:tcPr>
            <w:tcW w:w="2324" w:type="dxa"/>
            <w:vMerge w:val="restart"/>
            <w:vAlign w:val="center"/>
          </w:tcPr>
          <w:p w14:paraId="178ADFFB" w14:textId="77777777" w:rsidR="00454A29" w:rsidRDefault="00454A29">
            <w:pPr>
              <w:pStyle w:val="ConsPlusNormal"/>
              <w:jc w:val="center"/>
            </w:pPr>
            <w:r>
              <w:t>Минэкономики РС(Я), ГО "город Якутск"</w:t>
            </w:r>
          </w:p>
        </w:tc>
        <w:tc>
          <w:tcPr>
            <w:tcW w:w="1701" w:type="dxa"/>
            <w:vAlign w:val="center"/>
          </w:tcPr>
          <w:p w14:paraId="45BF5B4D" w14:textId="77777777" w:rsidR="00454A29" w:rsidRDefault="00454A29">
            <w:pPr>
              <w:pStyle w:val="ConsPlusNormal"/>
              <w:jc w:val="center"/>
            </w:pPr>
            <w:r>
              <w:t>1 304 974,56</w:t>
            </w:r>
          </w:p>
        </w:tc>
        <w:tc>
          <w:tcPr>
            <w:tcW w:w="1814" w:type="dxa"/>
            <w:vAlign w:val="center"/>
          </w:tcPr>
          <w:p w14:paraId="591E7EE0" w14:textId="77777777" w:rsidR="00454A29" w:rsidRDefault="00454A29">
            <w:pPr>
              <w:pStyle w:val="ConsPlusNormal"/>
              <w:jc w:val="center"/>
            </w:pPr>
            <w:r>
              <w:t>516 483,45</w:t>
            </w:r>
          </w:p>
        </w:tc>
        <w:tc>
          <w:tcPr>
            <w:tcW w:w="1701" w:type="dxa"/>
            <w:vAlign w:val="center"/>
          </w:tcPr>
          <w:p w14:paraId="01F6326B" w14:textId="77777777" w:rsidR="00454A29" w:rsidRDefault="00454A29">
            <w:pPr>
              <w:pStyle w:val="ConsPlusNormal"/>
              <w:jc w:val="center"/>
            </w:pPr>
            <w:r>
              <w:t>-</w:t>
            </w:r>
          </w:p>
        </w:tc>
        <w:tc>
          <w:tcPr>
            <w:tcW w:w="1701" w:type="dxa"/>
            <w:vAlign w:val="center"/>
          </w:tcPr>
          <w:p w14:paraId="5CF8DA95" w14:textId="77777777" w:rsidR="00454A29" w:rsidRDefault="00454A29">
            <w:pPr>
              <w:pStyle w:val="ConsPlusNormal"/>
              <w:jc w:val="center"/>
            </w:pPr>
            <w:r>
              <w:t>326 942,41</w:t>
            </w:r>
          </w:p>
        </w:tc>
        <w:tc>
          <w:tcPr>
            <w:tcW w:w="1814" w:type="dxa"/>
            <w:vAlign w:val="center"/>
          </w:tcPr>
          <w:p w14:paraId="51E66A4F" w14:textId="77777777" w:rsidR="00454A29" w:rsidRDefault="00454A29">
            <w:pPr>
              <w:pStyle w:val="ConsPlusNormal"/>
              <w:jc w:val="center"/>
            </w:pPr>
            <w:r>
              <w:t>461 548,70</w:t>
            </w:r>
          </w:p>
        </w:tc>
      </w:tr>
      <w:tr w:rsidR="00454A29" w14:paraId="1A94F900" w14:textId="77777777">
        <w:tc>
          <w:tcPr>
            <w:tcW w:w="567" w:type="dxa"/>
            <w:vMerge/>
          </w:tcPr>
          <w:p w14:paraId="1FFF8BCE" w14:textId="77777777" w:rsidR="00454A29" w:rsidRDefault="00454A29"/>
        </w:tc>
        <w:tc>
          <w:tcPr>
            <w:tcW w:w="3345" w:type="dxa"/>
            <w:vMerge/>
          </w:tcPr>
          <w:p w14:paraId="29A313DC" w14:textId="77777777" w:rsidR="00454A29" w:rsidRDefault="00454A29"/>
        </w:tc>
        <w:tc>
          <w:tcPr>
            <w:tcW w:w="1701" w:type="dxa"/>
            <w:vAlign w:val="center"/>
          </w:tcPr>
          <w:p w14:paraId="703DB756" w14:textId="77777777" w:rsidR="00454A29" w:rsidRDefault="00454A29">
            <w:pPr>
              <w:pStyle w:val="ConsPlusNormal"/>
              <w:jc w:val="center"/>
            </w:pPr>
            <w:r>
              <w:t>2016</w:t>
            </w:r>
          </w:p>
        </w:tc>
        <w:tc>
          <w:tcPr>
            <w:tcW w:w="1417" w:type="dxa"/>
            <w:vMerge/>
          </w:tcPr>
          <w:p w14:paraId="0AAF44F9" w14:textId="77777777" w:rsidR="00454A29" w:rsidRDefault="00454A29"/>
        </w:tc>
        <w:tc>
          <w:tcPr>
            <w:tcW w:w="2204" w:type="dxa"/>
            <w:vMerge/>
          </w:tcPr>
          <w:p w14:paraId="00F5B923" w14:textId="77777777" w:rsidR="00454A29" w:rsidRDefault="00454A29"/>
        </w:tc>
        <w:tc>
          <w:tcPr>
            <w:tcW w:w="1417" w:type="dxa"/>
            <w:vMerge/>
          </w:tcPr>
          <w:p w14:paraId="6DCC1B6D" w14:textId="77777777" w:rsidR="00454A29" w:rsidRDefault="00454A29"/>
        </w:tc>
        <w:tc>
          <w:tcPr>
            <w:tcW w:w="2324" w:type="dxa"/>
            <w:vMerge/>
          </w:tcPr>
          <w:p w14:paraId="4A4508C7" w14:textId="77777777" w:rsidR="00454A29" w:rsidRDefault="00454A29"/>
        </w:tc>
        <w:tc>
          <w:tcPr>
            <w:tcW w:w="1701" w:type="dxa"/>
            <w:vAlign w:val="center"/>
          </w:tcPr>
          <w:p w14:paraId="556E9A20" w14:textId="77777777" w:rsidR="00454A29" w:rsidRDefault="00454A29">
            <w:pPr>
              <w:pStyle w:val="ConsPlusNormal"/>
              <w:jc w:val="center"/>
            </w:pPr>
            <w:r>
              <w:t>356 325,25</w:t>
            </w:r>
          </w:p>
        </w:tc>
        <w:tc>
          <w:tcPr>
            <w:tcW w:w="1814" w:type="dxa"/>
            <w:vAlign w:val="center"/>
          </w:tcPr>
          <w:p w14:paraId="0F1BA3AE" w14:textId="77777777" w:rsidR="00454A29" w:rsidRDefault="00454A29">
            <w:pPr>
              <w:pStyle w:val="ConsPlusNormal"/>
              <w:jc w:val="center"/>
            </w:pPr>
            <w:r>
              <w:t>13 423,67</w:t>
            </w:r>
          </w:p>
        </w:tc>
        <w:tc>
          <w:tcPr>
            <w:tcW w:w="1701" w:type="dxa"/>
            <w:vAlign w:val="center"/>
          </w:tcPr>
          <w:p w14:paraId="32630CD3" w14:textId="77777777" w:rsidR="00454A29" w:rsidRDefault="00454A29">
            <w:pPr>
              <w:pStyle w:val="ConsPlusNormal"/>
            </w:pPr>
          </w:p>
        </w:tc>
        <w:tc>
          <w:tcPr>
            <w:tcW w:w="1701" w:type="dxa"/>
            <w:vAlign w:val="center"/>
          </w:tcPr>
          <w:p w14:paraId="1CEFC07D" w14:textId="77777777" w:rsidR="00454A29" w:rsidRDefault="00454A29">
            <w:pPr>
              <w:pStyle w:val="ConsPlusNormal"/>
              <w:jc w:val="center"/>
            </w:pPr>
            <w:r>
              <w:t>2 417,00</w:t>
            </w:r>
          </w:p>
        </w:tc>
        <w:tc>
          <w:tcPr>
            <w:tcW w:w="1814" w:type="dxa"/>
            <w:vAlign w:val="center"/>
          </w:tcPr>
          <w:p w14:paraId="34B839FA" w14:textId="77777777" w:rsidR="00454A29" w:rsidRDefault="00454A29">
            <w:pPr>
              <w:pStyle w:val="ConsPlusNormal"/>
              <w:jc w:val="center"/>
            </w:pPr>
            <w:r>
              <w:t>340 484,58</w:t>
            </w:r>
          </w:p>
        </w:tc>
      </w:tr>
      <w:tr w:rsidR="00454A29" w14:paraId="7533CC3B" w14:textId="77777777">
        <w:tc>
          <w:tcPr>
            <w:tcW w:w="567" w:type="dxa"/>
            <w:vMerge/>
          </w:tcPr>
          <w:p w14:paraId="60212BEC" w14:textId="77777777" w:rsidR="00454A29" w:rsidRDefault="00454A29"/>
        </w:tc>
        <w:tc>
          <w:tcPr>
            <w:tcW w:w="3345" w:type="dxa"/>
            <w:vMerge/>
          </w:tcPr>
          <w:p w14:paraId="739EDC0A" w14:textId="77777777" w:rsidR="00454A29" w:rsidRDefault="00454A29"/>
        </w:tc>
        <w:tc>
          <w:tcPr>
            <w:tcW w:w="1701" w:type="dxa"/>
            <w:vAlign w:val="center"/>
          </w:tcPr>
          <w:p w14:paraId="306C6DA2" w14:textId="77777777" w:rsidR="00454A29" w:rsidRDefault="00454A29">
            <w:pPr>
              <w:pStyle w:val="ConsPlusNormal"/>
              <w:jc w:val="center"/>
            </w:pPr>
            <w:r>
              <w:t>2017</w:t>
            </w:r>
          </w:p>
        </w:tc>
        <w:tc>
          <w:tcPr>
            <w:tcW w:w="1417" w:type="dxa"/>
            <w:vMerge/>
          </w:tcPr>
          <w:p w14:paraId="4AB6BF63" w14:textId="77777777" w:rsidR="00454A29" w:rsidRDefault="00454A29"/>
        </w:tc>
        <w:tc>
          <w:tcPr>
            <w:tcW w:w="2204" w:type="dxa"/>
            <w:vMerge/>
          </w:tcPr>
          <w:p w14:paraId="5FD90324" w14:textId="77777777" w:rsidR="00454A29" w:rsidRDefault="00454A29"/>
        </w:tc>
        <w:tc>
          <w:tcPr>
            <w:tcW w:w="1417" w:type="dxa"/>
            <w:vMerge/>
          </w:tcPr>
          <w:p w14:paraId="235A758A" w14:textId="77777777" w:rsidR="00454A29" w:rsidRDefault="00454A29"/>
        </w:tc>
        <w:tc>
          <w:tcPr>
            <w:tcW w:w="2324" w:type="dxa"/>
            <w:vMerge/>
          </w:tcPr>
          <w:p w14:paraId="605BF377" w14:textId="77777777" w:rsidR="00454A29" w:rsidRDefault="00454A29"/>
        </w:tc>
        <w:tc>
          <w:tcPr>
            <w:tcW w:w="1701" w:type="dxa"/>
            <w:vAlign w:val="center"/>
          </w:tcPr>
          <w:p w14:paraId="42980F3F" w14:textId="77777777" w:rsidR="00454A29" w:rsidRDefault="00454A29">
            <w:pPr>
              <w:pStyle w:val="ConsPlusNormal"/>
              <w:jc w:val="center"/>
            </w:pPr>
            <w:r>
              <w:t>176 730,61</w:t>
            </w:r>
          </w:p>
        </w:tc>
        <w:tc>
          <w:tcPr>
            <w:tcW w:w="1814" w:type="dxa"/>
            <w:vAlign w:val="center"/>
          </w:tcPr>
          <w:p w14:paraId="5E8DB6C2" w14:textId="77777777" w:rsidR="00454A29" w:rsidRDefault="00454A29">
            <w:pPr>
              <w:pStyle w:val="ConsPlusNormal"/>
              <w:jc w:val="center"/>
            </w:pPr>
            <w:r>
              <w:t>47 172,80</w:t>
            </w:r>
          </w:p>
        </w:tc>
        <w:tc>
          <w:tcPr>
            <w:tcW w:w="1701" w:type="dxa"/>
            <w:vAlign w:val="center"/>
          </w:tcPr>
          <w:p w14:paraId="7DA90644" w14:textId="77777777" w:rsidR="00454A29" w:rsidRDefault="00454A29">
            <w:pPr>
              <w:pStyle w:val="ConsPlusNormal"/>
            </w:pPr>
          </w:p>
        </w:tc>
        <w:tc>
          <w:tcPr>
            <w:tcW w:w="1701" w:type="dxa"/>
            <w:vAlign w:val="center"/>
          </w:tcPr>
          <w:p w14:paraId="58625E14" w14:textId="77777777" w:rsidR="00454A29" w:rsidRDefault="00454A29">
            <w:pPr>
              <w:pStyle w:val="ConsPlusNormal"/>
              <w:jc w:val="center"/>
            </w:pPr>
            <w:r>
              <w:t>8 493,69</w:t>
            </w:r>
          </w:p>
        </w:tc>
        <w:tc>
          <w:tcPr>
            <w:tcW w:w="1814" w:type="dxa"/>
            <w:vAlign w:val="center"/>
          </w:tcPr>
          <w:p w14:paraId="50C01D60" w14:textId="77777777" w:rsidR="00454A29" w:rsidRDefault="00454A29">
            <w:pPr>
              <w:pStyle w:val="ConsPlusNormal"/>
              <w:jc w:val="center"/>
            </w:pPr>
            <w:r>
              <w:t>121 064,12</w:t>
            </w:r>
          </w:p>
        </w:tc>
      </w:tr>
      <w:tr w:rsidR="00454A29" w14:paraId="630DEC0D" w14:textId="77777777">
        <w:tc>
          <w:tcPr>
            <w:tcW w:w="567" w:type="dxa"/>
            <w:vMerge/>
          </w:tcPr>
          <w:p w14:paraId="5F2EE3E6" w14:textId="77777777" w:rsidR="00454A29" w:rsidRDefault="00454A29"/>
        </w:tc>
        <w:tc>
          <w:tcPr>
            <w:tcW w:w="3345" w:type="dxa"/>
            <w:vMerge/>
          </w:tcPr>
          <w:p w14:paraId="24E9E11F" w14:textId="77777777" w:rsidR="00454A29" w:rsidRDefault="00454A29"/>
        </w:tc>
        <w:tc>
          <w:tcPr>
            <w:tcW w:w="1701" w:type="dxa"/>
            <w:vAlign w:val="center"/>
          </w:tcPr>
          <w:p w14:paraId="3B6E31B0" w14:textId="77777777" w:rsidR="00454A29" w:rsidRDefault="00454A29">
            <w:pPr>
              <w:pStyle w:val="ConsPlusNormal"/>
              <w:jc w:val="center"/>
            </w:pPr>
            <w:r>
              <w:t>2018</w:t>
            </w:r>
          </w:p>
        </w:tc>
        <w:tc>
          <w:tcPr>
            <w:tcW w:w="1417" w:type="dxa"/>
            <w:vMerge/>
          </w:tcPr>
          <w:p w14:paraId="0D74F519" w14:textId="77777777" w:rsidR="00454A29" w:rsidRDefault="00454A29"/>
        </w:tc>
        <w:tc>
          <w:tcPr>
            <w:tcW w:w="2204" w:type="dxa"/>
            <w:vMerge/>
          </w:tcPr>
          <w:p w14:paraId="5AEB707C" w14:textId="77777777" w:rsidR="00454A29" w:rsidRDefault="00454A29"/>
        </w:tc>
        <w:tc>
          <w:tcPr>
            <w:tcW w:w="1417" w:type="dxa"/>
            <w:vMerge/>
          </w:tcPr>
          <w:p w14:paraId="15472BED" w14:textId="77777777" w:rsidR="00454A29" w:rsidRDefault="00454A29"/>
        </w:tc>
        <w:tc>
          <w:tcPr>
            <w:tcW w:w="2324" w:type="dxa"/>
            <w:vMerge/>
          </w:tcPr>
          <w:p w14:paraId="666CE5A2" w14:textId="77777777" w:rsidR="00454A29" w:rsidRDefault="00454A29"/>
        </w:tc>
        <w:tc>
          <w:tcPr>
            <w:tcW w:w="1701" w:type="dxa"/>
            <w:vAlign w:val="center"/>
          </w:tcPr>
          <w:p w14:paraId="7AB25D14" w14:textId="77777777" w:rsidR="00454A29" w:rsidRDefault="00454A29">
            <w:pPr>
              <w:pStyle w:val="ConsPlusNormal"/>
              <w:jc w:val="center"/>
            </w:pPr>
            <w:r>
              <w:t>95 860,40</w:t>
            </w:r>
          </w:p>
        </w:tc>
        <w:tc>
          <w:tcPr>
            <w:tcW w:w="1814" w:type="dxa"/>
            <w:vAlign w:val="center"/>
          </w:tcPr>
          <w:p w14:paraId="27A9B151" w14:textId="77777777" w:rsidR="00454A29" w:rsidRDefault="00454A29">
            <w:pPr>
              <w:pStyle w:val="ConsPlusNormal"/>
              <w:jc w:val="center"/>
            </w:pPr>
            <w:r>
              <w:t>79 807,89</w:t>
            </w:r>
          </w:p>
        </w:tc>
        <w:tc>
          <w:tcPr>
            <w:tcW w:w="1701" w:type="dxa"/>
            <w:vAlign w:val="center"/>
          </w:tcPr>
          <w:p w14:paraId="34043D61" w14:textId="77777777" w:rsidR="00454A29" w:rsidRDefault="00454A29">
            <w:pPr>
              <w:pStyle w:val="ConsPlusNormal"/>
            </w:pPr>
          </w:p>
        </w:tc>
        <w:tc>
          <w:tcPr>
            <w:tcW w:w="1701" w:type="dxa"/>
            <w:vAlign w:val="center"/>
          </w:tcPr>
          <w:p w14:paraId="21B37A9F" w14:textId="77777777" w:rsidR="00454A29" w:rsidRDefault="00454A29">
            <w:pPr>
              <w:pStyle w:val="ConsPlusNormal"/>
              <w:jc w:val="center"/>
            </w:pPr>
            <w:r>
              <w:t>16 052,51</w:t>
            </w:r>
          </w:p>
        </w:tc>
        <w:tc>
          <w:tcPr>
            <w:tcW w:w="1814" w:type="dxa"/>
            <w:vAlign w:val="center"/>
          </w:tcPr>
          <w:p w14:paraId="7D73EB11" w14:textId="77777777" w:rsidR="00454A29" w:rsidRDefault="00454A29">
            <w:pPr>
              <w:pStyle w:val="ConsPlusNormal"/>
            </w:pPr>
          </w:p>
        </w:tc>
      </w:tr>
      <w:tr w:rsidR="00454A29" w14:paraId="75AFDD88" w14:textId="77777777">
        <w:tc>
          <w:tcPr>
            <w:tcW w:w="567" w:type="dxa"/>
            <w:vMerge/>
          </w:tcPr>
          <w:p w14:paraId="282598BF" w14:textId="77777777" w:rsidR="00454A29" w:rsidRDefault="00454A29"/>
        </w:tc>
        <w:tc>
          <w:tcPr>
            <w:tcW w:w="3345" w:type="dxa"/>
            <w:vMerge/>
          </w:tcPr>
          <w:p w14:paraId="4561B20D" w14:textId="77777777" w:rsidR="00454A29" w:rsidRDefault="00454A29"/>
        </w:tc>
        <w:tc>
          <w:tcPr>
            <w:tcW w:w="1701" w:type="dxa"/>
            <w:vAlign w:val="center"/>
          </w:tcPr>
          <w:p w14:paraId="4FF86E52" w14:textId="77777777" w:rsidR="00454A29" w:rsidRDefault="00454A29">
            <w:pPr>
              <w:pStyle w:val="ConsPlusNormal"/>
              <w:jc w:val="center"/>
            </w:pPr>
            <w:r>
              <w:t>2019</w:t>
            </w:r>
          </w:p>
        </w:tc>
        <w:tc>
          <w:tcPr>
            <w:tcW w:w="1417" w:type="dxa"/>
            <w:vMerge/>
          </w:tcPr>
          <w:p w14:paraId="08AD1237" w14:textId="77777777" w:rsidR="00454A29" w:rsidRDefault="00454A29"/>
        </w:tc>
        <w:tc>
          <w:tcPr>
            <w:tcW w:w="2204" w:type="dxa"/>
            <w:vMerge/>
          </w:tcPr>
          <w:p w14:paraId="72A073F6" w14:textId="77777777" w:rsidR="00454A29" w:rsidRDefault="00454A29"/>
        </w:tc>
        <w:tc>
          <w:tcPr>
            <w:tcW w:w="1417" w:type="dxa"/>
            <w:vMerge/>
          </w:tcPr>
          <w:p w14:paraId="108D961D" w14:textId="77777777" w:rsidR="00454A29" w:rsidRDefault="00454A29"/>
        </w:tc>
        <w:tc>
          <w:tcPr>
            <w:tcW w:w="2324" w:type="dxa"/>
            <w:vMerge/>
          </w:tcPr>
          <w:p w14:paraId="22C47FD3" w14:textId="77777777" w:rsidR="00454A29" w:rsidRDefault="00454A29"/>
        </w:tc>
        <w:tc>
          <w:tcPr>
            <w:tcW w:w="1701" w:type="dxa"/>
            <w:vAlign w:val="center"/>
          </w:tcPr>
          <w:p w14:paraId="67687859" w14:textId="77777777" w:rsidR="00454A29" w:rsidRDefault="00454A29">
            <w:pPr>
              <w:pStyle w:val="ConsPlusNormal"/>
              <w:jc w:val="center"/>
            </w:pPr>
            <w:r>
              <w:t>135 467,58</w:t>
            </w:r>
          </w:p>
        </w:tc>
        <w:tc>
          <w:tcPr>
            <w:tcW w:w="1814" w:type="dxa"/>
            <w:vAlign w:val="center"/>
          </w:tcPr>
          <w:p w14:paraId="2DDDDF1A" w14:textId="77777777" w:rsidR="00454A29" w:rsidRDefault="00454A29">
            <w:pPr>
              <w:pStyle w:val="ConsPlusNormal"/>
              <w:jc w:val="center"/>
            </w:pPr>
            <w:r>
              <w:t>114 797,70</w:t>
            </w:r>
          </w:p>
        </w:tc>
        <w:tc>
          <w:tcPr>
            <w:tcW w:w="1701" w:type="dxa"/>
            <w:vAlign w:val="center"/>
          </w:tcPr>
          <w:p w14:paraId="33C4AA15" w14:textId="77777777" w:rsidR="00454A29" w:rsidRDefault="00454A29">
            <w:pPr>
              <w:pStyle w:val="ConsPlusNormal"/>
            </w:pPr>
          </w:p>
        </w:tc>
        <w:tc>
          <w:tcPr>
            <w:tcW w:w="1701" w:type="dxa"/>
            <w:vAlign w:val="center"/>
          </w:tcPr>
          <w:p w14:paraId="1ABDC5F7" w14:textId="77777777" w:rsidR="00454A29" w:rsidRDefault="00454A29">
            <w:pPr>
              <w:pStyle w:val="ConsPlusNormal"/>
              <w:jc w:val="center"/>
            </w:pPr>
            <w:r>
              <w:t>20 669,88</w:t>
            </w:r>
          </w:p>
        </w:tc>
        <w:tc>
          <w:tcPr>
            <w:tcW w:w="1814" w:type="dxa"/>
            <w:vAlign w:val="center"/>
          </w:tcPr>
          <w:p w14:paraId="7D606281" w14:textId="77777777" w:rsidR="00454A29" w:rsidRDefault="00454A29">
            <w:pPr>
              <w:pStyle w:val="ConsPlusNormal"/>
            </w:pPr>
          </w:p>
        </w:tc>
      </w:tr>
      <w:tr w:rsidR="00454A29" w14:paraId="3322AF2D" w14:textId="77777777">
        <w:tc>
          <w:tcPr>
            <w:tcW w:w="567" w:type="dxa"/>
            <w:vMerge/>
          </w:tcPr>
          <w:p w14:paraId="76D28F2F" w14:textId="77777777" w:rsidR="00454A29" w:rsidRDefault="00454A29"/>
        </w:tc>
        <w:tc>
          <w:tcPr>
            <w:tcW w:w="3345" w:type="dxa"/>
            <w:vMerge/>
          </w:tcPr>
          <w:p w14:paraId="06CBE3C1" w14:textId="77777777" w:rsidR="00454A29" w:rsidRDefault="00454A29"/>
        </w:tc>
        <w:tc>
          <w:tcPr>
            <w:tcW w:w="1701" w:type="dxa"/>
            <w:vAlign w:val="center"/>
          </w:tcPr>
          <w:p w14:paraId="56ED2952" w14:textId="77777777" w:rsidR="00454A29" w:rsidRDefault="00454A29">
            <w:pPr>
              <w:pStyle w:val="ConsPlusNormal"/>
              <w:jc w:val="center"/>
            </w:pPr>
            <w:r>
              <w:t>2020</w:t>
            </w:r>
          </w:p>
        </w:tc>
        <w:tc>
          <w:tcPr>
            <w:tcW w:w="1417" w:type="dxa"/>
            <w:vMerge/>
          </w:tcPr>
          <w:p w14:paraId="63571032" w14:textId="77777777" w:rsidR="00454A29" w:rsidRDefault="00454A29"/>
        </w:tc>
        <w:tc>
          <w:tcPr>
            <w:tcW w:w="2204" w:type="dxa"/>
            <w:vMerge/>
          </w:tcPr>
          <w:p w14:paraId="1E152D1A" w14:textId="77777777" w:rsidR="00454A29" w:rsidRDefault="00454A29"/>
        </w:tc>
        <w:tc>
          <w:tcPr>
            <w:tcW w:w="1417" w:type="dxa"/>
            <w:vMerge/>
          </w:tcPr>
          <w:p w14:paraId="2D6FF73E" w14:textId="77777777" w:rsidR="00454A29" w:rsidRDefault="00454A29"/>
        </w:tc>
        <w:tc>
          <w:tcPr>
            <w:tcW w:w="2324" w:type="dxa"/>
            <w:vMerge/>
          </w:tcPr>
          <w:p w14:paraId="3B6CD33A" w14:textId="77777777" w:rsidR="00454A29" w:rsidRDefault="00454A29"/>
        </w:tc>
        <w:tc>
          <w:tcPr>
            <w:tcW w:w="1701" w:type="dxa"/>
            <w:vAlign w:val="center"/>
          </w:tcPr>
          <w:p w14:paraId="58F01968" w14:textId="77777777" w:rsidR="00454A29" w:rsidRDefault="00454A29">
            <w:pPr>
              <w:pStyle w:val="ConsPlusNormal"/>
              <w:jc w:val="center"/>
            </w:pPr>
            <w:r>
              <w:t>54 819,90</w:t>
            </w:r>
          </w:p>
        </w:tc>
        <w:tc>
          <w:tcPr>
            <w:tcW w:w="1814" w:type="dxa"/>
            <w:vAlign w:val="center"/>
          </w:tcPr>
          <w:p w14:paraId="0E0B939C" w14:textId="77777777" w:rsidR="00454A29" w:rsidRDefault="00454A29">
            <w:pPr>
              <w:pStyle w:val="ConsPlusNormal"/>
              <w:jc w:val="center"/>
            </w:pPr>
            <w:r>
              <w:t>22 972,82</w:t>
            </w:r>
          </w:p>
        </w:tc>
        <w:tc>
          <w:tcPr>
            <w:tcW w:w="1701" w:type="dxa"/>
            <w:vAlign w:val="center"/>
          </w:tcPr>
          <w:p w14:paraId="6D2A7F91" w14:textId="77777777" w:rsidR="00454A29" w:rsidRDefault="00454A29">
            <w:pPr>
              <w:pStyle w:val="ConsPlusNormal"/>
            </w:pPr>
          </w:p>
        </w:tc>
        <w:tc>
          <w:tcPr>
            <w:tcW w:w="1701" w:type="dxa"/>
            <w:vAlign w:val="center"/>
          </w:tcPr>
          <w:p w14:paraId="126CCAD9" w14:textId="77777777" w:rsidR="00454A29" w:rsidRDefault="00454A29">
            <w:pPr>
              <w:pStyle w:val="ConsPlusNormal"/>
              <w:jc w:val="center"/>
            </w:pPr>
            <w:r>
              <w:t>31 847,08</w:t>
            </w:r>
          </w:p>
        </w:tc>
        <w:tc>
          <w:tcPr>
            <w:tcW w:w="1814" w:type="dxa"/>
            <w:vAlign w:val="center"/>
          </w:tcPr>
          <w:p w14:paraId="72AEB355" w14:textId="77777777" w:rsidR="00454A29" w:rsidRDefault="00454A29">
            <w:pPr>
              <w:pStyle w:val="ConsPlusNormal"/>
            </w:pPr>
          </w:p>
        </w:tc>
      </w:tr>
      <w:tr w:rsidR="00454A29" w14:paraId="5EEC0890" w14:textId="77777777">
        <w:tc>
          <w:tcPr>
            <w:tcW w:w="567" w:type="dxa"/>
            <w:vMerge/>
          </w:tcPr>
          <w:p w14:paraId="54A72F62" w14:textId="77777777" w:rsidR="00454A29" w:rsidRDefault="00454A29"/>
        </w:tc>
        <w:tc>
          <w:tcPr>
            <w:tcW w:w="3345" w:type="dxa"/>
            <w:vMerge/>
          </w:tcPr>
          <w:p w14:paraId="2CD19ADE" w14:textId="77777777" w:rsidR="00454A29" w:rsidRDefault="00454A29"/>
        </w:tc>
        <w:tc>
          <w:tcPr>
            <w:tcW w:w="1701" w:type="dxa"/>
            <w:vAlign w:val="center"/>
          </w:tcPr>
          <w:p w14:paraId="002F0F71" w14:textId="77777777" w:rsidR="00454A29" w:rsidRDefault="00454A29">
            <w:pPr>
              <w:pStyle w:val="ConsPlusNormal"/>
              <w:jc w:val="center"/>
            </w:pPr>
            <w:r>
              <w:t>2021</w:t>
            </w:r>
          </w:p>
        </w:tc>
        <w:tc>
          <w:tcPr>
            <w:tcW w:w="1417" w:type="dxa"/>
            <w:vMerge/>
          </w:tcPr>
          <w:p w14:paraId="28701EE5" w14:textId="77777777" w:rsidR="00454A29" w:rsidRDefault="00454A29"/>
        </w:tc>
        <w:tc>
          <w:tcPr>
            <w:tcW w:w="2204" w:type="dxa"/>
            <w:vMerge/>
          </w:tcPr>
          <w:p w14:paraId="705DFD8C" w14:textId="77777777" w:rsidR="00454A29" w:rsidRDefault="00454A29"/>
        </w:tc>
        <w:tc>
          <w:tcPr>
            <w:tcW w:w="1417" w:type="dxa"/>
            <w:vMerge/>
          </w:tcPr>
          <w:p w14:paraId="60D4E196" w14:textId="77777777" w:rsidR="00454A29" w:rsidRDefault="00454A29"/>
        </w:tc>
        <w:tc>
          <w:tcPr>
            <w:tcW w:w="2324" w:type="dxa"/>
            <w:vMerge/>
          </w:tcPr>
          <w:p w14:paraId="61DF2FE6" w14:textId="77777777" w:rsidR="00454A29" w:rsidRDefault="00454A29"/>
        </w:tc>
        <w:tc>
          <w:tcPr>
            <w:tcW w:w="1701" w:type="dxa"/>
            <w:vAlign w:val="center"/>
          </w:tcPr>
          <w:p w14:paraId="4A3D86C9" w14:textId="77777777" w:rsidR="00454A29" w:rsidRDefault="00454A29">
            <w:pPr>
              <w:pStyle w:val="ConsPlusNormal"/>
              <w:jc w:val="center"/>
            </w:pPr>
            <w:r>
              <w:t>62 264,95</w:t>
            </w:r>
          </w:p>
        </w:tc>
        <w:tc>
          <w:tcPr>
            <w:tcW w:w="1814" w:type="dxa"/>
            <w:vAlign w:val="center"/>
          </w:tcPr>
          <w:p w14:paraId="3568AD01" w14:textId="77777777" w:rsidR="00454A29" w:rsidRDefault="00454A29">
            <w:pPr>
              <w:pStyle w:val="ConsPlusNormal"/>
              <w:jc w:val="center"/>
            </w:pPr>
            <w:r>
              <w:t>26 622,12</w:t>
            </w:r>
          </w:p>
        </w:tc>
        <w:tc>
          <w:tcPr>
            <w:tcW w:w="1701" w:type="dxa"/>
            <w:vAlign w:val="center"/>
          </w:tcPr>
          <w:p w14:paraId="0BC1CCFE" w14:textId="77777777" w:rsidR="00454A29" w:rsidRDefault="00454A29">
            <w:pPr>
              <w:pStyle w:val="ConsPlusNormal"/>
            </w:pPr>
          </w:p>
        </w:tc>
        <w:tc>
          <w:tcPr>
            <w:tcW w:w="1701" w:type="dxa"/>
            <w:vAlign w:val="center"/>
          </w:tcPr>
          <w:p w14:paraId="24E1E6A5" w14:textId="77777777" w:rsidR="00454A29" w:rsidRDefault="00454A29">
            <w:pPr>
              <w:pStyle w:val="ConsPlusNormal"/>
              <w:jc w:val="center"/>
            </w:pPr>
            <w:r>
              <w:t>35 642,83</w:t>
            </w:r>
          </w:p>
        </w:tc>
        <w:tc>
          <w:tcPr>
            <w:tcW w:w="1814" w:type="dxa"/>
            <w:vAlign w:val="center"/>
          </w:tcPr>
          <w:p w14:paraId="095A0E87" w14:textId="77777777" w:rsidR="00454A29" w:rsidRDefault="00454A29">
            <w:pPr>
              <w:pStyle w:val="ConsPlusNormal"/>
            </w:pPr>
          </w:p>
        </w:tc>
      </w:tr>
      <w:tr w:rsidR="00454A29" w14:paraId="3181B597" w14:textId="77777777">
        <w:tc>
          <w:tcPr>
            <w:tcW w:w="567" w:type="dxa"/>
            <w:vMerge/>
          </w:tcPr>
          <w:p w14:paraId="20116D02" w14:textId="77777777" w:rsidR="00454A29" w:rsidRDefault="00454A29"/>
        </w:tc>
        <w:tc>
          <w:tcPr>
            <w:tcW w:w="3345" w:type="dxa"/>
            <w:vMerge/>
          </w:tcPr>
          <w:p w14:paraId="578FA065" w14:textId="77777777" w:rsidR="00454A29" w:rsidRDefault="00454A29"/>
        </w:tc>
        <w:tc>
          <w:tcPr>
            <w:tcW w:w="1701" w:type="dxa"/>
            <w:vAlign w:val="center"/>
          </w:tcPr>
          <w:p w14:paraId="3C092526" w14:textId="77777777" w:rsidR="00454A29" w:rsidRDefault="00454A29">
            <w:pPr>
              <w:pStyle w:val="ConsPlusNormal"/>
              <w:jc w:val="center"/>
            </w:pPr>
            <w:r>
              <w:t>2022</w:t>
            </w:r>
          </w:p>
        </w:tc>
        <w:tc>
          <w:tcPr>
            <w:tcW w:w="1417" w:type="dxa"/>
            <w:vMerge/>
          </w:tcPr>
          <w:p w14:paraId="45E2F035" w14:textId="77777777" w:rsidR="00454A29" w:rsidRDefault="00454A29"/>
        </w:tc>
        <w:tc>
          <w:tcPr>
            <w:tcW w:w="2204" w:type="dxa"/>
            <w:vMerge/>
          </w:tcPr>
          <w:p w14:paraId="2E25ED15" w14:textId="77777777" w:rsidR="00454A29" w:rsidRDefault="00454A29"/>
        </w:tc>
        <w:tc>
          <w:tcPr>
            <w:tcW w:w="1417" w:type="dxa"/>
            <w:vMerge/>
          </w:tcPr>
          <w:p w14:paraId="00051194" w14:textId="77777777" w:rsidR="00454A29" w:rsidRDefault="00454A29"/>
        </w:tc>
        <w:tc>
          <w:tcPr>
            <w:tcW w:w="2324" w:type="dxa"/>
            <w:vMerge/>
          </w:tcPr>
          <w:p w14:paraId="5D801129" w14:textId="77777777" w:rsidR="00454A29" w:rsidRDefault="00454A29"/>
        </w:tc>
        <w:tc>
          <w:tcPr>
            <w:tcW w:w="1701" w:type="dxa"/>
            <w:vAlign w:val="center"/>
          </w:tcPr>
          <w:p w14:paraId="151F4D28" w14:textId="77777777" w:rsidR="00454A29" w:rsidRDefault="00454A29">
            <w:pPr>
              <w:pStyle w:val="ConsPlusNormal"/>
              <w:jc w:val="center"/>
            </w:pPr>
            <w:r>
              <w:t>70 817,60</w:t>
            </w:r>
          </w:p>
        </w:tc>
        <w:tc>
          <w:tcPr>
            <w:tcW w:w="1814" w:type="dxa"/>
            <w:vAlign w:val="center"/>
          </w:tcPr>
          <w:p w14:paraId="6CDFB126" w14:textId="77777777" w:rsidR="00454A29" w:rsidRDefault="00454A29">
            <w:pPr>
              <w:pStyle w:val="ConsPlusNormal"/>
              <w:jc w:val="center"/>
            </w:pPr>
            <w:r>
              <w:t>30 851,11</w:t>
            </w:r>
          </w:p>
        </w:tc>
        <w:tc>
          <w:tcPr>
            <w:tcW w:w="1701" w:type="dxa"/>
            <w:vAlign w:val="center"/>
          </w:tcPr>
          <w:p w14:paraId="5C9BF2CB" w14:textId="77777777" w:rsidR="00454A29" w:rsidRDefault="00454A29">
            <w:pPr>
              <w:pStyle w:val="ConsPlusNormal"/>
            </w:pPr>
          </w:p>
        </w:tc>
        <w:tc>
          <w:tcPr>
            <w:tcW w:w="1701" w:type="dxa"/>
            <w:vAlign w:val="center"/>
          </w:tcPr>
          <w:p w14:paraId="65BE367A" w14:textId="77777777" w:rsidR="00454A29" w:rsidRDefault="00454A29">
            <w:pPr>
              <w:pStyle w:val="ConsPlusNormal"/>
              <w:jc w:val="center"/>
            </w:pPr>
            <w:r>
              <w:t>39 966,49</w:t>
            </w:r>
          </w:p>
        </w:tc>
        <w:tc>
          <w:tcPr>
            <w:tcW w:w="1814" w:type="dxa"/>
            <w:vAlign w:val="center"/>
          </w:tcPr>
          <w:p w14:paraId="4D3CD344" w14:textId="77777777" w:rsidR="00454A29" w:rsidRDefault="00454A29">
            <w:pPr>
              <w:pStyle w:val="ConsPlusNormal"/>
            </w:pPr>
          </w:p>
        </w:tc>
      </w:tr>
      <w:tr w:rsidR="00454A29" w14:paraId="78DF91A0" w14:textId="77777777">
        <w:tc>
          <w:tcPr>
            <w:tcW w:w="567" w:type="dxa"/>
            <w:vMerge/>
          </w:tcPr>
          <w:p w14:paraId="58202C2F" w14:textId="77777777" w:rsidR="00454A29" w:rsidRDefault="00454A29"/>
        </w:tc>
        <w:tc>
          <w:tcPr>
            <w:tcW w:w="3345" w:type="dxa"/>
            <w:vMerge/>
          </w:tcPr>
          <w:p w14:paraId="654BE81B" w14:textId="77777777" w:rsidR="00454A29" w:rsidRDefault="00454A29"/>
        </w:tc>
        <w:tc>
          <w:tcPr>
            <w:tcW w:w="1701" w:type="dxa"/>
            <w:vAlign w:val="center"/>
          </w:tcPr>
          <w:p w14:paraId="2C143644" w14:textId="77777777" w:rsidR="00454A29" w:rsidRDefault="00454A29">
            <w:pPr>
              <w:pStyle w:val="ConsPlusNormal"/>
              <w:jc w:val="center"/>
            </w:pPr>
            <w:r>
              <w:t>2023</w:t>
            </w:r>
          </w:p>
        </w:tc>
        <w:tc>
          <w:tcPr>
            <w:tcW w:w="1417" w:type="dxa"/>
            <w:vMerge/>
          </w:tcPr>
          <w:p w14:paraId="1E729C1B" w14:textId="77777777" w:rsidR="00454A29" w:rsidRDefault="00454A29"/>
        </w:tc>
        <w:tc>
          <w:tcPr>
            <w:tcW w:w="2204" w:type="dxa"/>
            <w:vMerge/>
          </w:tcPr>
          <w:p w14:paraId="2DDB83A3" w14:textId="77777777" w:rsidR="00454A29" w:rsidRDefault="00454A29"/>
        </w:tc>
        <w:tc>
          <w:tcPr>
            <w:tcW w:w="1417" w:type="dxa"/>
            <w:vMerge/>
          </w:tcPr>
          <w:p w14:paraId="5955D729" w14:textId="77777777" w:rsidR="00454A29" w:rsidRDefault="00454A29"/>
        </w:tc>
        <w:tc>
          <w:tcPr>
            <w:tcW w:w="2324" w:type="dxa"/>
            <w:vMerge/>
          </w:tcPr>
          <w:p w14:paraId="4D2C1CA8" w14:textId="77777777" w:rsidR="00454A29" w:rsidRDefault="00454A29"/>
        </w:tc>
        <w:tc>
          <w:tcPr>
            <w:tcW w:w="1701" w:type="dxa"/>
            <w:vAlign w:val="center"/>
          </w:tcPr>
          <w:p w14:paraId="30542DED" w14:textId="77777777" w:rsidR="00454A29" w:rsidRDefault="00454A29">
            <w:pPr>
              <w:pStyle w:val="ConsPlusNormal"/>
              <w:jc w:val="center"/>
            </w:pPr>
            <w:r>
              <w:t>66 432,77</w:t>
            </w:r>
          </w:p>
        </w:tc>
        <w:tc>
          <w:tcPr>
            <w:tcW w:w="1814" w:type="dxa"/>
            <w:vAlign w:val="center"/>
          </w:tcPr>
          <w:p w14:paraId="2872AF39" w14:textId="77777777" w:rsidR="00454A29" w:rsidRDefault="00454A29">
            <w:pPr>
              <w:pStyle w:val="ConsPlusNormal"/>
              <w:jc w:val="center"/>
            </w:pPr>
            <w:r>
              <w:t>35 751,90</w:t>
            </w:r>
          </w:p>
        </w:tc>
        <w:tc>
          <w:tcPr>
            <w:tcW w:w="1701" w:type="dxa"/>
            <w:vAlign w:val="center"/>
          </w:tcPr>
          <w:p w14:paraId="52B8D42E" w14:textId="77777777" w:rsidR="00454A29" w:rsidRDefault="00454A29">
            <w:pPr>
              <w:pStyle w:val="ConsPlusNormal"/>
            </w:pPr>
          </w:p>
        </w:tc>
        <w:tc>
          <w:tcPr>
            <w:tcW w:w="1701" w:type="dxa"/>
            <w:vAlign w:val="center"/>
          </w:tcPr>
          <w:p w14:paraId="17B0C493" w14:textId="77777777" w:rsidR="00454A29" w:rsidRDefault="00454A29">
            <w:pPr>
              <w:pStyle w:val="ConsPlusNormal"/>
              <w:jc w:val="center"/>
            </w:pPr>
            <w:r>
              <w:t>30 680,87</w:t>
            </w:r>
          </w:p>
        </w:tc>
        <w:tc>
          <w:tcPr>
            <w:tcW w:w="1814" w:type="dxa"/>
            <w:vAlign w:val="center"/>
          </w:tcPr>
          <w:p w14:paraId="73720966" w14:textId="77777777" w:rsidR="00454A29" w:rsidRDefault="00454A29">
            <w:pPr>
              <w:pStyle w:val="ConsPlusNormal"/>
            </w:pPr>
          </w:p>
        </w:tc>
      </w:tr>
      <w:tr w:rsidR="00454A29" w14:paraId="72636FC0" w14:textId="77777777">
        <w:tc>
          <w:tcPr>
            <w:tcW w:w="567" w:type="dxa"/>
            <w:vMerge/>
          </w:tcPr>
          <w:p w14:paraId="33E2A5D4" w14:textId="77777777" w:rsidR="00454A29" w:rsidRDefault="00454A29"/>
        </w:tc>
        <w:tc>
          <w:tcPr>
            <w:tcW w:w="3345" w:type="dxa"/>
            <w:vMerge/>
          </w:tcPr>
          <w:p w14:paraId="190095DA" w14:textId="77777777" w:rsidR="00454A29" w:rsidRDefault="00454A29"/>
        </w:tc>
        <w:tc>
          <w:tcPr>
            <w:tcW w:w="1701" w:type="dxa"/>
            <w:vAlign w:val="center"/>
          </w:tcPr>
          <w:p w14:paraId="46818BE2" w14:textId="77777777" w:rsidR="00454A29" w:rsidRDefault="00454A29">
            <w:pPr>
              <w:pStyle w:val="ConsPlusNormal"/>
              <w:jc w:val="center"/>
            </w:pPr>
            <w:r>
              <w:t>2024</w:t>
            </w:r>
          </w:p>
        </w:tc>
        <w:tc>
          <w:tcPr>
            <w:tcW w:w="1417" w:type="dxa"/>
            <w:vMerge/>
          </w:tcPr>
          <w:p w14:paraId="72E04613" w14:textId="77777777" w:rsidR="00454A29" w:rsidRDefault="00454A29"/>
        </w:tc>
        <w:tc>
          <w:tcPr>
            <w:tcW w:w="2204" w:type="dxa"/>
            <w:vMerge/>
          </w:tcPr>
          <w:p w14:paraId="20ED331A" w14:textId="77777777" w:rsidR="00454A29" w:rsidRDefault="00454A29"/>
        </w:tc>
        <w:tc>
          <w:tcPr>
            <w:tcW w:w="1417" w:type="dxa"/>
            <w:vMerge/>
          </w:tcPr>
          <w:p w14:paraId="46CE2B03" w14:textId="77777777" w:rsidR="00454A29" w:rsidRDefault="00454A29"/>
        </w:tc>
        <w:tc>
          <w:tcPr>
            <w:tcW w:w="2324" w:type="dxa"/>
            <w:vMerge/>
          </w:tcPr>
          <w:p w14:paraId="6E54DF43" w14:textId="77777777" w:rsidR="00454A29" w:rsidRDefault="00454A29"/>
        </w:tc>
        <w:tc>
          <w:tcPr>
            <w:tcW w:w="1701" w:type="dxa"/>
            <w:vAlign w:val="center"/>
          </w:tcPr>
          <w:p w14:paraId="490610FD" w14:textId="77777777" w:rsidR="00454A29" w:rsidRDefault="00454A29">
            <w:pPr>
              <w:pStyle w:val="ConsPlusNormal"/>
              <w:jc w:val="center"/>
            </w:pPr>
            <w:r>
              <w:t>76 985,80</w:t>
            </w:r>
          </w:p>
        </w:tc>
        <w:tc>
          <w:tcPr>
            <w:tcW w:w="1814" w:type="dxa"/>
            <w:vAlign w:val="center"/>
          </w:tcPr>
          <w:p w14:paraId="08C6994C" w14:textId="77777777" w:rsidR="00454A29" w:rsidRDefault="00454A29">
            <w:pPr>
              <w:pStyle w:val="ConsPlusNormal"/>
              <w:jc w:val="center"/>
            </w:pPr>
            <w:r>
              <w:t>41 431,19</w:t>
            </w:r>
          </w:p>
        </w:tc>
        <w:tc>
          <w:tcPr>
            <w:tcW w:w="1701" w:type="dxa"/>
            <w:vAlign w:val="center"/>
          </w:tcPr>
          <w:p w14:paraId="45F3B4DA" w14:textId="77777777" w:rsidR="00454A29" w:rsidRDefault="00454A29">
            <w:pPr>
              <w:pStyle w:val="ConsPlusNormal"/>
            </w:pPr>
          </w:p>
        </w:tc>
        <w:tc>
          <w:tcPr>
            <w:tcW w:w="1701" w:type="dxa"/>
            <w:vAlign w:val="center"/>
          </w:tcPr>
          <w:p w14:paraId="316DEA89" w14:textId="77777777" w:rsidR="00454A29" w:rsidRDefault="00454A29">
            <w:pPr>
              <w:pStyle w:val="ConsPlusNormal"/>
              <w:jc w:val="center"/>
            </w:pPr>
            <w:r>
              <w:t>35 554,61</w:t>
            </w:r>
          </w:p>
        </w:tc>
        <w:tc>
          <w:tcPr>
            <w:tcW w:w="1814" w:type="dxa"/>
            <w:vAlign w:val="center"/>
          </w:tcPr>
          <w:p w14:paraId="60CB4D5A" w14:textId="77777777" w:rsidR="00454A29" w:rsidRDefault="00454A29">
            <w:pPr>
              <w:pStyle w:val="ConsPlusNormal"/>
            </w:pPr>
          </w:p>
        </w:tc>
      </w:tr>
      <w:tr w:rsidR="00454A29" w14:paraId="7D272074" w14:textId="77777777">
        <w:tc>
          <w:tcPr>
            <w:tcW w:w="567" w:type="dxa"/>
            <w:vMerge/>
          </w:tcPr>
          <w:p w14:paraId="6BC314D4" w14:textId="77777777" w:rsidR="00454A29" w:rsidRDefault="00454A29"/>
        </w:tc>
        <w:tc>
          <w:tcPr>
            <w:tcW w:w="3345" w:type="dxa"/>
            <w:vMerge/>
          </w:tcPr>
          <w:p w14:paraId="3603016D" w14:textId="77777777" w:rsidR="00454A29" w:rsidRDefault="00454A29"/>
        </w:tc>
        <w:tc>
          <w:tcPr>
            <w:tcW w:w="1701" w:type="dxa"/>
            <w:vAlign w:val="center"/>
          </w:tcPr>
          <w:p w14:paraId="2C5A888B" w14:textId="77777777" w:rsidR="00454A29" w:rsidRDefault="00454A29">
            <w:pPr>
              <w:pStyle w:val="ConsPlusNormal"/>
              <w:jc w:val="center"/>
            </w:pPr>
            <w:r>
              <w:t>2025</w:t>
            </w:r>
          </w:p>
        </w:tc>
        <w:tc>
          <w:tcPr>
            <w:tcW w:w="1417" w:type="dxa"/>
            <w:vMerge/>
          </w:tcPr>
          <w:p w14:paraId="2834FD16" w14:textId="77777777" w:rsidR="00454A29" w:rsidRDefault="00454A29"/>
        </w:tc>
        <w:tc>
          <w:tcPr>
            <w:tcW w:w="2204" w:type="dxa"/>
            <w:vMerge/>
          </w:tcPr>
          <w:p w14:paraId="13DDFE80" w14:textId="77777777" w:rsidR="00454A29" w:rsidRDefault="00454A29"/>
        </w:tc>
        <w:tc>
          <w:tcPr>
            <w:tcW w:w="1417" w:type="dxa"/>
            <w:vMerge/>
          </w:tcPr>
          <w:p w14:paraId="46792F3E" w14:textId="77777777" w:rsidR="00454A29" w:rsidRDefault="00454A29"/>
        </w:tc>
        <w:tc>
          <w:tcPr>
            <w:tcW w:w="2324" w:type="dxa"/>
            <w:vMerge/>
          </w:tcPr>
          <w:p w14:paraId="321646F3" w14:textId="77777777" w:rsidR="00454A29" w:rsidRDefault="00454A29"/>
        </w:tc>
        <w:tc>
          <w:tcPr>
            <w:tcW w:w="1701" w:type="dxa"/>
            <w:vAlign w:val="center"/>
          </w:tcPr>
          <w:p w14:paraId="1BACA18F" w14:textId="77777777" w:rsidR="00454A29" w:rsidRDefault="00454A29">
            <w:pPr>
              <w:pStyle w:val="ConsPlusNormal"/>
              <w:jc w:val="center"/>
            </w:pPr>
            <w:r>
              <w:t>89 215,22</w:t>
            </w:r>
          </w:p>
        </w:tc>
        <w:tc>
          <w:tcPr>
            <w:tcW w:w="1814" w:type="dxa"/>
            <w:vAlign w:val="center"/>
          </w:tcPr>
          <w:p w14:paraId="48BEB727" w14:textId="77777777" w:rsidR="00454A29" w:rsidRDefault="00454A29">
            <w:pPr>
              <w:pStyle w:val="ConsPlusNormal"/>
              <w:jc w:val="center"/>
            </w:pPr>
            <w:r>
              <w:t>48 012,65</w:t>
            </w:r>
          </w:p>
        </w:tc>
        <w:tc>
          <w:tcPr>
            <w:tcW w:w="1701" w:type="dxa"/>
            <w:vAlign w:val="center"/>
          </w:tcPr>
          <w:p w14:paraId="57852297" w14:textId="77777777" w:rsidR="00454A29" w:rsidRDefault="00454A29">
            <w:pPr>
              <w:pStyle w:val="ConsPlusNormal"/>
            </w:pPr>
          </w:p>
        </w:tc>
        <w:tc>
          <w:tcPr>
            <w:tcW w:w="1701" w:type="dxa"/>
            <w:vAlign w:val="center"/>
          </w:tcPr>
          <w:p w14:paraId="298CE960" w14:textId="77777777" w:rsidR="00454A29" w:rsidRDefault="00454A29">
            <w:pPr>
              <w:pStyle w:val="ConsPlusNormal"/>
              <w:jc w:val="center"/>
            </w:pPr>
            <w:r>
              <w:t>41 202,57</w:t>
            </w:r>
          </w:p>
        </w:tc>
        <w:tc>
          <w:tcPr>
            <w:tcW w:w="1814" w:type="dxa"/>
            <w:vAlign w:val="center"/>
          </w:tcPr>
          <w:p w14:paraId="1DE1DEA5" w14:textId="77777777" w:rsidR="00454A29" w:rsidRDefault="00454A29">
            <w:pPr>
              <w:pStyle w:val="ConsPlusNormal"/>
            </w:pPr>
          </w:p>
        </w:tc>
      </w:tr>
      <w:tr w:rsidR="00454A29" w14:paraId="68867711" w14:textId="77777777">
        <w:tc>
          <w:tcPr>
            <w:tcW w:w="567" w:type="dxa"/>
            <w:vMerge/>
          </w:tcPr>
          <w:p w14:paraId="6114EB0A" w14:textId="77777777" w:rsidR="00454A29" w:rsidRDefault="00454A29"/>
        </w:tc>
        <w:tc>
          <w:tcPr>
            <w:tcW w:w="3345" w:type="dxa"/>
            <w:vMerge/>
          </w:tcPr>
          <w:p w14:paraId="7A89C3DC" w14:textId="77777777" w:rsidR="00454A29" w:rsidRDefault="00454A29"/>
        </w:tc>
        <w:tc>
          <w:tcPr>
            <w:tcW w:w="1701" w:type="dxa"/>
            <w:vAlign w:val="center"/>
          </w:tcPr>
          <w:p w14:paraId="122BB7F9" w14:textId="77777777" w:rsidR="00454A29" w:rsidRDefault="00454A29">
            <w:pPr>
              <w:pStyle w:val="ConsPlusNormal"/>
              <w:jc w:val="center"/>
            </w:pPr>
            <w:r>
              <w:t>2026</w:t>
            </w:r>
          </w:p>
        </w:tc>
        <w:tc>
          <w:tcPr>
            <w:tcW w:w="1417" w:type="dxa"/>
            <w:vMerge/>
          </w:tcPr>
          <w:p w14:paraId="323D9869" w14:textId="77777777" w:rsidR="00454A29" w:rsidRDefault="00454A29"/>
        </w:tc>
        <w:tc>
          <w:tcPr>
            <w:tcW w:w="2204" w:type="dxa"/>
            <w:vMerge/>
          </w:tcPr>
          <w:p w14:paraId="000CBC88" w14:textId="77777777" w:rsidR="00454A29" w:rsidRDefault="00454A29"/>
        </w:tc>
        <w:tc>
          <w:tcPr>
            <w:tcW w:w="1417" w:type="dxa"/>
            <w:vMerge/>
          </w:tcPr>
          <w:p w14:paraId="03A94C5B" w14:textId="77777777" w:rsidR="00454A29" w:rsidRDefault="00454A29"/>
        </w:tc>
        <w:tc>
          <w:tcPr>
            <w:tcW w:w="2324" w:type="dxa"/>
            <w:vMerge/>
          </w:tcPr>
          <w:p w14:paraId="10E2F337" w14:textId="77777777" w:rsidR="00454A29" w:rsidRDefault="00454A29"/>
        </w:tc>
        <w:tc>
          <w:tcPr>
            <w:tcW w:w="1701" w:type="dxa"/>
            <w:vAlign w:val="center"/>
          </w:tcPr>
          <w:p w14:paraId="6D992FEE" w14:textId="77777777" w:rsidR="00454A29" w:rsidRDefault="00454A29">
            <w:pPr>
              <w:pStyle w:val="ConsPlusNormal"/>
              <w:jc w:val="center"/>
            </w:pPr>
            <w:r>
              <w:t>120 054,47</w:t>
            </w:r>
          </w:p>
        </w:tc>
        <w:tc>
          <w:tcPr>
            <w:tcW w:w="1814" w:type="dxa"/>
            <w:vAlign w:val="center"/>
          </w:tcPr>
          <w:p w14:paraId="28D0B8E3" w14:textId="77777777" w:rsidR="00454A29" w:rsidRDefault="00454A29">
            <w:pPr>
              <w:pStyle w:val="ConsPlusNormal"/>
              <w:jc w:val="center"/>
            </w:pPr>
            <w:r>
              <w:t>55 639,60</w:t>
            </w:r>
          </w:p>
        </w:tc>
        <w:tc>
          <w:tcPr>
            <w:tcW w:w="1701" w:type="dxa"/>
            <w:vAlign w:val="center"/>
          </w:tcPr>
          <w:p w14:paraId="6A51B4CE" w14:textId="77777777" w:rsidR="00454A29" w:rsidRDefault="00454A29">
            <w:pPr>
              <w:pStyle w:val="ConsPlusNormal"/>
            </w:pPr>
          </w:p>
        </w:tc>
        <w:tc>
          <w:tcPr>
            <w:tcW w:w="1701" w:type="dxa"/>
            <w:vAlign w:val="center"/>
          </w:tcPr>
          <w:p w14:paraId="5B922298" w14:textId="77777777" w:rsidR="00454A29" w:rsidRDefault="00454A29">
            <w:pPr>
              <w:pStyle w:val="ConsPlusNormal"/>
              <w:jc w:val="center"/>
            </w:pPr>
            <w:r>
              <w:t>64 414,87</w:t>
            </w:r>
          </w:p>
        </w:tc>
        <w:tc>
          <w:tcPr>
            <w:tcW w:w="1814" w:type="dxa"/>
            <w:vAlign w:val="center"/>
          </w:tcPr>
          <w:p w14:paraId="1046004E" w14:textId="77777777" w:rsidR="00454A29" w:rsidRDefault="00454A29">
            <w:pPr>
              <w:pStyle w:val="ConsPlusNormal"/>
            </w:pPr>
          </w:p>
        </w:tc>
      </w:tr>
      <w:tr w:rsidR="00454A29" w14:paraId="6398B9A1" w14:textId="77777777">
        <w:tc>
          <w:tcPr>
            <w:tcW w:w="567" w:type="dxa"/>
            <w:vMerge w:val="restart"/>
            <w:vAlign w:val="center"/>
          </w:tcPr>
          <w:p w14:paraId="0992B300" w14:textId="77777777" w:rsidR="00454A29" w:rsidRDefault="00454A29">
            <w:pPr>
              <w:pStyle w:val="ConsPlusNormal"/>
              <w:jc w:val="center"/>
            </w:pPr>
            <w:r>
              <w:t>209</w:t>
            </w:r>
          </w:p>
        </w:tc>
        <w:tc>
          <w:tcPr>
            <w:tcW w:w="3345" w:type="dxa"/>
            <w:vMerge w:val="restart"/>
            <w:vAlign w:val="center"/>
          </w:tcPr>
          <w:p w14:paraId="5BE9C916" w14:textId="77777777" w:rsidR="00454A29" w:rsidRDefault="00454A29">
            <w:pPr>
              <w:pStyle w:val="ConsPlusNormal"/>
              <w:jc w:val="center"/>
            </w:pPr>
            <w:r>
              <w:t>Учебный корпус на 220 учащихся ГАУ ДО РС(Я) "Центр отдыха и оздоровления детей "Сосновый Бор" (Международная Арктическая школа в г. Якутске) &lt;*&gt;</w:t>
            </w:r>
          </w:p>
        </w:tc>
        <w:tc>
          <w:tcPr>
            <w:tcW w:w="1701" w:type="dxa"/>
            <w:vAlign w:val="center"/>
          </w:tcPr>
          <w:p w14:paraId="32D432C6" w14:textId="77777777" w:rsidR="00454A29" w:rsidRDefault="00454A29">
            <w:pPr>
              <w:pStyle w:val="ConsPlusNormal"/>
              <w:jc w:val="center"/>
            </w:pPr>
            <w:r>
              <w:t>2016 - 2026 годы - всего</w:t>
            </w:r>
          </w:p>
        </w:tc>
        <w:tc>
          <w:tcPr>
            <w:tcW w:w="1417" w:type="dxa"/>
            <w:vMerge w:val="restart"/>
            <w:vAlign w:val="center"/>
          </w:tcPr>
          <w:p w14:paraId="11ACB158" w14:textId="77777777" w:rsidR="00454A29" w:rsidRDefault="00454A29">
            <w:pPr>
              <w:pStyle w:val="ConsPlusNormal"/>
              <w:jc w:val="center"/>
            </w:pPr>
            <w:r>
              <w:t>1 062 033,94</w:t>
            </w:r>
          </w:p>
        </w:tc>
        <w:tc>
          <w:tcPr>
            <w:tcW w:w="2204" w:type="dxa"/>
            <w:vMerge w:val="restart"/>
            <w:vAlign w:val="center"/>
          </w:tcPr>
          <w:p w14:paraId="291C4786" w14:textId="77777777" w:rsidR="00454A29" w:rsidRDefault="00454A29">
            <w:pPr>
              <w:pStyle w:val="ConsPlusNormal"/>
              <w:jc w:val="center"/>
            </w:pPr>
            <w:r>
              <w:t>имеется</w:t>
            </w:r>
          </w:p>
        </w:tc>
        <w:tc>
          <w:tcPr>
            <w:tcW w:w="1417" w:type="dxa"/>
            <w:vMerge w:val="restart"/>
            <w:vAlign w:val="center"/>
          </w:tcPr>
          <w:p w14:paraId="3CF0AF41" w14:textId="77777777" w:rsidR="00454A29" w:rsidRDefault="00454A29">
            <w:pPr>
              <w:pStyle w:val="ConsPlusNormal"/>
              <w:jc w:val="center"/>
            </w:pPr>
            <w:r>
              <w:t>220</w:t>
            </w:r>
          </w:p>
        </w:tc>
        <w:tc>
          <w:tcPr>
            <w:tcW w:w="2324" w:type="dxa"/>
            <w:vMerge w:val="restart"/>
            <w:vAlign w:val="center"/>
          </w:tcPr>
          <w:p w14:paraId="788026B4" w14:textId="77777777" w:rsidR="00454A29" w:rsidRDefault="00454A29">
            <w:pPr>
              <w:pStyle w:val="ConsPlusNormal"/>
              <w:jc w:val="center"/>
            </w:pPr>
            <w:r>
              <w:t>Минэкономики РС(Я), ГО "город Якутск", Минобрнауки РС(Я)</w:t>
            </w:r>
          </w:p>
        </w:tc>
        <w:tc>
          <w:tcPr>
            <w:tcW w:w="1701" w:type="dxa"/>
            <w:vAlign w:val="center"/>
          </w:tcPr>
          <w:p w14:paraId="6759BC47" w14:textId="77777777" w:rsidR="00454A29" w:rsidRDefault="00454A29">
            <w:pPr>
              <w:pStyle w:val="ConsPlusNormal"/>
              <w:jc w:val="center"/>
            </w:pPr>
            <w:r>
              <w:t>1 580 061,52</w:t>
            </w:r>
          </w:p>
        </w:tc>
        <w:tc>
          <w:tcPr>
            <w:tcW w:w="1814" w:type="dxa"/>
            <w:vAlign w:val="center"/>
          </w:tcPr>
          <w:p w14:paraId="7898D76A" w14:textId="77777777" w:rsidR="00454A29" w:rsidRDefault="00454A29">
            <w:pPr>
              <w:pStyle w:val="ConsPlusNormal"/>
              <w:jc w:val="center"/>
            </w:pPr>
            <w:r>
              <w:t>964 964,64</w:t>
            </w:r>
          </w:p>
        </w:tc>
        <w:tc>
          <w:tcPr>
            <w:tcW w:w="1701" w:type="dxa"/>
            <w:vAlign w:val="center"/>
          </w:tcPr>
          <w:p w14:paraId="1A8D05BB" w14:textId="77777777" w:rsidR="00454A29" w:rsidRDefault="00454A29">
            <w:pPr>
              <w:pStyle w:val="ConsPlusNormal"/>
              <w:jc w:val="center"/>
            </w:pPr>
            <w:r>
              <w:t>-</w:t>
            </w:r>
          </w:p>
        </w:tc>
        <w:tc>
          <w:tcPr>
            <w:tcW w:w="1701" w:type="dxa"/>
            <w:vAlign w:val="center"/>
          </w:tcPr>
          <w:p w14:paraId="2F21931A" w14:textId="77777777" w:rsidR="00454A29" w:rsidRDefault="00454A29">
            <w:pPr>
              <w:pStyle w:val="ConsPlusNormal"/>
              <w:jc w:val="center"/>
            </w:pPr>
            <w:r>
              <w:t>-</w:t>
            </w:r>
          </w:p>
        </w:tc>
        <w:tc>
          <w:tcPr>
            <w:tcW w:w="1814" w:type="dxa"/>
            <w:vAlign w:val="center"/>
          </w:tcPr>
          <w:p w14:paraId="361520D1" w14:textId="77777777" w:rsidR="00454A29" w:rsidRDefault="00454A29">
            <w:pPr>
              <w:pStyle w:val="ConsPlusNormal"/>
              <w:jc w:val="center"/>
            </w:pPr>
            <w:r>
              <w:t>615 096,88</w:t>
            </w:r>
          </w:p>
        </w:tc>
      </w:tr>
      <w:tr w:rsidR="00454A29" w14:paraId="094F39CB" w14:textId="77777777">
        <w:tc>
          <w:tcPr>
            <w:tcW w:w="567" w:type="dxa"/>
            <w:vMerge/>
          </w:tcPr>
          <w:p w14:paraId="75164F2B" w14:textId="77777777" w:rsidR="00454A29" w:rsidRDefault="00454A29"/>
        </w:tc>
        <w:tc>
          <w:tcPr>
            <w:tcW w:w="3345" w:type="dxa"/>
            <w:vMerge/>
          </w:tcPr>
          <w:p w14:paraId="73E82439" w14:textId="77777777" w:rsidR="00454A29" w:rsidRDefault="00454A29"/>
        </w:tc>
        <w:tc>
          <w:tcPr>
            <w:tcW w:w="1701" w:type="dxa"/>
            <w:vAlign w:val="center"/>
          </w:tcPr>
          <w:p w14:paraId="2BC2856F" w14:textId="77777777" w:rsidR="00454A29" w:rsidRDefault="00454A29">
            <w:pPr>
              <w:pStyle w:val="ConsPlusNormal"/>
              <w:jc w:val="center"/>
            </w:pPr>
            <w:r>
              <w:t>2016</w:t>
            </w:r>
          </w:p>
        </w:tc>
        <w:tc>
          <w:tcPr>
            <w:tcW w:w="1417" w:type="dxa"/>
            <w:vMerge/>
          </w:tcPr>
          <w:p w14:paraId="6085CE5C" w14:textId="77777777" w:rsidR="00454A29" w:rsidRDefault="00454A29"/>
        </w:tc>
        <w:tc>
          <w:tcPr>
            <w:tcW w:w="2204" w:type="dxa"/>
            <w:vMerge/>
          </w:tcPr>
          <w:p w14:paraId="084A93DD" w14:textId="77777777" w:rsidR="00454A29" w:rsidRDefault="00454A29"/>
        </w:tc>
        <w:tc>
          <w:tcPr>
            <w:tcW w:w="1417" w:type="dxa"/>
            <w:vMerge/>
          </w:tcPr>
          <w:p w14:paraId="3017431A" w14:textId="77777777" w:rsidR="00454A29" w:rsidRDefault="00454A29"/>
        </w:tc>
        <w:tc>
          <w:tcPr>
            <w:tcW w:w="2324" w:type="dxa"/>
            <w:vMerge/>
          </w:tcPr>
          <w:p w14:paraId="077610AB" w14:textId="77777777" w:rsidR="00454A29" w:rsidRDefault="00454A29"/>
        </w:tc>
        <w:tc>
          <w:tcPr>
            <w:tcW w:w="1701" w:type="dxa"/>
            <w:vAlign w:val="center"/>
          </w:tcPr>
          <w:p w14:paraId="576A29E4" w14:textId="77777777" w:rsidR="00454A29" w:rsidRDefault="00454A29">
            <w:pPr>
              <w:pStyle w:val="ConsPlusNormal"/>
              <w:jc w:val="center"/>
            </w:pPr>
            <w:r>
              <w:t>46 226,87</w:t>
            </w:r>
          </w:p>
        </w:tc>
        <w:tc>
          <w:tcPr>
            <w:tcW w:w="1814" w:type="dxa"/>
            <w:vAlign w:val="center"/>
          </w:tcPr>
          <w:p w14:paraId="1ED5EB65" w14:textId="77777777" w:rsidR="00454A29" w:rsidRDefault="00454A29">
            <w:pPr>
              <w:pStyle w:val="ConsPlusNormal"/>
              <w:jc w:val="center"/>
            </w:pPr>
            <w:r>
              <w:t>18 790,06</w:t>
            </w:r>
          </w:p>
        </w:tc>
        <w:tc>
          <w:tcPr>
            <w:tcW w:w="1701" w:type="dxa"/>
            <w:vAlign w:val="center"/>
          </w:tcPr>
          <w:p w14:paraId="0FB433D2" w14:textId="77777777" w:rsidR="00454A29" w:rsidRDefault="00454A29">
            <w:pPr>
              <w:pStyle w:val="ConsPlusNormal"/>
            </w:pPr>
          </w:p>
        </w:tc>
        <w:tc>
          <w:tcPr>
            <w:tcW w:w="1701" w:type="dxa"/>
            <w:vAlign w:val="center"/>
          </w:tcPr>
          <w:p w14:paraId="0F34C6A0" w14:textId="77777777" w:rsidR="00454A29" w:rsidRDefault="00454A29">
            <w:pPr>
              <w:pStyle w:val="ConsPlusNormal"/>
              <w:jc w:val="center"/>
            </w:pPr>
            <w:r>
              <w:t>-</w:t>
            </w:r>
          </w:p>
        </w:tc>
        <w:tc>
          <w:tcPr>
            <w:tcW w:w="1814" w:type="dxa"/>
            <w:vAlign w:val="center"/>
          </w:tcPr>
          <w:p w14:paraId="76B4989A" w14:textId="77777777" w:rsidR="00454A29" w:rsidRDefault="00454A29">
            <w:pPr>
              <w:pStyle w:val="ConsPlusNormal"/>
              <w:jc w:val="center"/>
            </w:pPr>
            <w:r>
              <w:t>27 436,81</w:t>
            </w:r>
          </w:p>
        </w:tc>
      </w:tr>
      <w:tr w:rsidR="00454A29" w14:paraId="2067C50B" w14:textId="77777777">
        <w:tc>
          <w:tcPr>
            <w:tcW w:w="567" w:type="dxa"/>
            <w:vMerge/>
          </w:tcPr>
          <w:p w14:paraId="3F68DF50" w14:textId="77777777" w:rsidR="00454A29" w:rsidRDefault="00454A29"/>
        </w:tc>
        <w:tc>
          <w:tcPr>
            <w:tcW w:w="3345" w:type="dxa"/>
            <w:vMerge/>
          </w:tcPr>
          <w:p w14:paraId="354BCD3D" w14:textId="77777777" w:rsidR="00454A29" w:rsidRDefault="00454A29"/>
        </w:tc>
        <w:tc>
          <w:tcPr>
            <w:tcW w:w="1701" w:type="dxa"/>
            <w:vAlign w:val="center"/>
          </w:tcPr>
          <w:p w14:paraId="380D7A72" w14:textId="77777777" w:rsidR="00454A29" w:rsidRDefault="00454A29">
            <w:pPr>
              <w:pStyle w:val="ConsPlusNormal"/>
              <w:jc w:val="center"/>
            </w:pPr>
            <w:r>
              <w:t>2017</w:t>
            </w:r>
          </w:p>
        </w:tc>
        <w:tc>
          <w:tcPr>
            <w:tcW w:w="1417" w:type="dxa"/>
            <w:vMerge/>
          </w:tcPr>
          <w:p w14:paraId="781F46B8" w14:textId="77777777" w:rsidR="00454A29" w:rsidRDefault="00454A29"/>
        </w:tc>
        <w:tc>
          <w:tcPr>
            <w:tcW w:w="2204" w:type="dxa"/>
            <w:vMerge/>
          </w:tcPr>
          <w:p w14:paraId="62E902D8" w14:textId="77777777" w:rsidR="00454A29" w:rsidRDefault="00454A29"/>
        </w:tc>
        <w:tc>
          <w:tcPr>
            <w:tcW w:w="1417" w:type="dxa"/>
            <w:vMerge/>
          </w:tcPr>
          <w:p w14:paraId="201EF801" w14:textId="77777777" w:rsidR="00454A29" w:rsidRDefault="00454A29"/>
        </w:tc>
        <w:tc>
          <w:tcPr>
            <w:tcW w:w="2324" w:type="dxa"/>
            <w:vMerge/>
          </w:tcPr>
          <w:p w14:paraId="5F1D088A" w14:textId="77777777" w:rsidR="00454A29" w:rsidRDefault="00454A29"/>
        </w:tc>
        <w:tc>
          <w:tcPr>
            <w:tcW w:w="1701" w:type="dxa"/>
            <w:vAlign w:val="center"/>
          </w:tcPr>
          <w:p w14:paraId="77DD8F97" w14:textId="77777777" w:rsidR="00454A29" w:rsidRDefault="00454A29">
            <w:pPr>
              <w:pStyle w:val="ConsPlusNormal"/>
              <w:jc w:val="center"/>
            </w:pPr>
            <w:r>
              <w:t>460 502,25</w:t>
            </w:r>
          </w:p>
        </w:tc>
        <w:tc>
          <w:tcPr>
            <w:tcW w:w="1814" w:type="dxa"/>
            <w:vAlign w:val="center"/>
          </w:tcPr>
          <w:p w14:paraId="09DA7E8F" w14:textId="77777777" w:rsidR="00454A29" w:rsidRDefault="00454A29">
            <w:pPr>
              <w:pStyle w:val="ConsPlusNormal"/>
              <w:jc w:val="center"/>
            </w:pPr>
            <w:r>
              <w:t>66 031,10</w:t>
            </w:r>
          </w:p>
        </w:tc>
        <w:tc>
          <w:tcPr>
            <w:tcW w:w="1701" w:type="dxa"/>
            <w:vAlign w:val="center"/>
          </w:tcPr>
          <w:p w14:paraId="1E35DA3D" w14:textId="77777777" w:rsidR="00454A29" w:rsidRDefault="00454A29">
            <w:pPr>
              <w:pStyle w:val="ConsPlusNormal"/>
            </w:pPr>
          </w:p>
        </w:tc>
        <w:tc>
          <w:tcPr>
            <w:tcW w:w="1701" w:type="dxa"/>
            <w:vAlign w:val="center"/>
          </w:tcPr>
          <w:p w14:paraId="13022909" w14:textId="77777777" w:rsidR="00454A29" w:rsidRDefault="00454A29">
            <w:pPr>
              <w:pStyle w:val="ConsPlusNormal"/>
              <w:jc w:val="center"/>
            </w:pPr>
            <w:r>
              <w:t>-</w:t>
            </w:r>
          </w:p>
        </w:tc>
        <w:tc>
          <w:tcPr>
            <w:tcW w:w="1814" w:type="dxa"/>
            <w:vAlign w:val="center"/>
          </w:tcPr>
          <w:p w14:paraId="54ECEDB3" w14:textId="77777777" w:rsidR="00454A29" w:rsidRDefault="00454A29">
            <w:pPr>
              <w:pStyle w:val="ConsPlusNormal"/>
              <w:jc w:val="center"/>
            </w:pPr>
            <w:r>
              <w:t>394 471,15</w:t>
            </w:r>
          </w:p>
        </w:tc>
      </w:tr>
      <w:tr w:rsidR="00454A29" w14:paraId="61519F2C" w14:textId="77777777">
        <w:tc>
          <w:tcPr>
            <w:tcW w:w="567" w:type="dxa"/>
            <w:vMerge/>
          </w:tcPr>
          <w:p w14:paraId="47FF08BE" w14:textId="77777777" w:rsidR="00454A29" w:rsidRDefault="00454A29"/>
        </w:tc>
        <w:tc>
          <w:tcPr>
            <w:tcW w:w="3345" w:type="dxa"/>
            <w:vMerge/>
          </w:tcPr>
          <w:p w14:paraId="1DFF4162" w14:textId="77777777" w:rsidR="00454A29" w:rsidRDefault="00454A29"/>
        </w:tc>
        <w:tc>
          <w:tcPr>
            <w:tcW w:w="1701" w:type="dxa"/>
            <w:vAlign w:val="center"/>
          </w:tcPr>
          <w:p w14:paraId="647C16B4" w14:textId="77777777" w:rsidR="00454A29" w:rsidRDefault="00454A29">
            <w:pPr>
              <w:pStyle w:val="ConsPlusNormal"/>
              <w:jc w:val="center"/>
            </w:pPr>
            <w:r>
              <w:t>2018</w:t>
            </w:r>
          </w:p>
        </w:tc>
        <w:tc>
          <w:tcPr>
            <w:tcW w:w="1417" w:type="dxa"/>
            <w:vMerge/>
          </w:tcPr>
          <w:p w14:paraId="077FE9E3" w14:textId="77777777" w:rsidR="00454A29" w:rsidRDefault="00454A29"/>
        </w:tc>
        <w:tc>
          <w:tcPr>
            <w:tcW w:w="2204" w:type="dxa"/>
            <w:vMerge/>
          </w:tcPr>
          <w:p w14:paraId="513C4B8E" w14:textId="77777777" w:rsidR="00454A29" w:rsidRDefault="00454A29"/>
        </w:tc>
        <w:tc>
          <w:tcPr>
            <w:tcW w:w="1417" w:type="dxa"/>
            <w:vMerge/>
          </w:tcPr>
          <w:p w14:paraId="112B793B" w14:textId="77777777" w:rsidR="00454A29" w:rsidRDefault="00454A29"/>
        </w:tc>
        <w:tc>
          <w:tcPr>
            <w:tcW w:w="2324" w:type="dxa"/>
            <w:vMerge/>
          </w:tcPr>
          <w:p w14:paraId="4BD67C76" w14:textId="77777777" w:rsidR="00454A29" w:rsidRDefault="00454A29"/>
        </w:tc>
        <w:tc>
          <w:tcPr>
            <w:tcW w:w="1701" w:type="dxa"/>
            <w:vAlign w:val="center"/>
          </w:tcPr>
          <w:p w14:paraId="7E71A543" w14:textId="77777777" w:rsidR="00454A29" w:rsidRDefault="00454A29">
            <w:pPr>
              <w:pStyle w:val="ConsPlusNormal"/>
              <w:jc w:val="center"/>
            </w:pPr>
            <w:r>
              <w:t>304 004,42</w:t>
            </w:r>
          </w:p>
        </w:tc>
        <w:tc>
          <w:tcPr>
            <w:tcW w:w="1814" w:type="dxa"/>
            <w:vAlign w:val="center"/>
          </w:tcPr>
          <w:p w14:paraId="68DDF8D8" w14:textId="77777777" w:rsidR="00454A29" w:rsidRDefault="00454A29">
            <w:pPr>
              <w:pStyle w:val="ConsPlusNormal"/>
              <w:jc w:val="center"/>
            </w:pPr>
            <w:r>
              <w:t>110 815,50</w:t>
            </w:r>
          </w:p>
        </w:tc>
        <w:tc>
          <w:tcPr>
            <w:tcW w:w="1701" w:type="dxa"/>
            <w:vAlign w:val="center"/>
          </w:tcPr>
          <w:p w14:paraId="26A059E7" w14:textId="77777777" w:rsidR="00454A29" w:rsidRDefault="00454A29">
            <w:pPr>
              <w:pStyle w:val="ConsPlusNormal"/>
            </w:pPr>
          </w:p>
        </w:tc>
        <w:tc>
          <w:tcPr>
            <w:tcW w:w="1701" w:type="dxa"/>
            <w:vAlign w:val="center"/>
          </w:tcPr>
          <w:p w14:paraId="70A5A7D1" w14:textId="77777777" w:rsidR="00454A29" w:rsidRDefault="00454A29">
            <w:pPr>
              <w:pStyle w:val="ConsPlusNormal"/>
              <w:jc w:val="center"/>
            </w:pPr>
            <w:r>
              <w:t>-</w:t>
            </w:r>
          </w:p>
        </w:tc>
        <w:tc>
          <w:tcPr>
            <w:tcW w:w="1814" w:type="dxa"/>
            <w:vAlign w:val="center"/>
          </w:tcPr>
          <w:p w14:paraId="1E23DFE9" w14:textId="77777777" w:rsidR="00454A29" w:rsidRDefault="00454A29">
            <w:pPr>
              <w:pStyle w:val="ConsPlusNormal"/>
              <w:jc w:val="center"/>
            </w:pPr>
            <w:r>
              <w:t>193 188,92</w:t>
            </w:r>
          </w:p>
        </w:tc>
      </w:tr>
      <w:tr w:rsidR="00454A29" w14:paraId="5711A762" w14:textId="77777777">
        <w:tc>
          <w:tcPr>
            <w:tcW w:w="567" w:type="dxa"/>
            <w:vMerge/>
          </w:tcPr>
          <w:p w14:paraId="1354374D" w14:textId="77777777" w:rsidR="00454A29" w:rsidRDefault="00454A29"/>
        </w:tc>
        <w:tc>
          <w:tcPr>
            <w:tcW w:w="3345" w:type="dxa"/>
            <w:vMerge/>
          </w:tcPr>
          <w:p w14:paraId="20DA300F" w14:textId="77777777" w:rsidR="00454A29" w:rsidRDefault="00454A29"/>
        </w:tc>
        <w:tc>
          <w:tcPr>
            <w:tcW w:w="1701" w:type="dxa"/>
            <w:vAlign w:val="center"/>
          </w:tcPr>
          <w:p w14:paraId="6D7273EE" w14:textId="77777777" w:rsidR="00454A29" w:rsidRDefault="00454A29">
            <w:pPr>
              <w:pStyle w:val="ConsPlusNormal"/>
              <w:jc w:val="center"/>
            </w:pPr>
            <w:r>
              <w:t>2019</w:t>
            </w:r>
          </w:p>
        </w:tc>
        <w:tc>
          <w:tcPr>
            <w:tcW w:w="1417" w:type="dxa"/>
            <w:vMerge/>
          </w:tcPr>
          <w:p w14:paraId="5AD67269" w14:textId="77777777" w:rsidR="00454A29" w:rsidRDefault="00454A29"/>
        </w:tc>
        <w:tc>
          <w:tcPr>
            <w:tcW w:w="2204" w:type="dxa"/>
            <w:vMerge/>
          </w:tcPr>
          <w:p w14:paraId="6FF01735" w14:textId="77777777" w:rsidR="00454A29" w:rsidRDefault="00454A29"/>
        </w:tc>
        <w:tc>
          <w:tcPr>
            <w:tcW w:w="1417" w:type="dxa"/>
            <w:vMerge/>
          </w:tcPr>
          <w:p w14:paraId="68B75020" w14:textId="77777777" w:rsidR="00454A29" w:rsidRDefault="00454A29"/>
        </w:tc>
        <w:tc>
          <w:tcPr>
            <w:tcW w:w="2324" w:type="dxa"/>
            <w:vMerge/>
          </w:tcPr>
          <w:p w14:paraId="5B89CFD6" w14:textId="77777777" w:rsidR="00454A29" w:rsidRDefault="00454A29"/>
        </w:tc>
        <w:tc>
          <w:tcPr>
            <w:tcW w:w="1701" w:type="dxa"/>
            <w:vAlign w:val="center"/>
          </w:tcPr>
          <w:p w14:paraId="50F73A61" w14:textId="77777777" w:rsidR="00454A29" w:rsidRDefault="00454A29">
            <w:pPr>
              <w:pStyle w:val="ConsPlusNormal"/>
              <w:jc w:val="center"/>
            </w:pPr>
            <w:r>
              <w:t>-</w:t>
            </w:r>
          </w:p>
        </w:tc>
        <w:tc>
          <w:tcPr>
            <w:tcW w:w="1814" w:type="dxa"/>
            <w:vAlign w:val="center"/>
          </w:tcPr>
          <w:p w14:paraId="37877BD2" w14:textId="77777777" w:rsidR="00454A29" w:rsidRDefault="00454A29">
            <w:pPr>
              <w:pStyle w:val="ConsPlusNormal"/>
              <w:jc w:val="center"/>
            </w:pPr>
            <w:r>
              <w:t>-</w:t>
            </w:r>
          </w:p>
        </w:tc>
        <w:tc>
          <w:tcPr>
            <w:tcW w:w="1701" w:type="dxa"/>
            <w:vAlign w:val="center"/>
          </w:tcPr>
          <w:p w14:paraId="63A6064C" w14:textId="77777777" w:rsidR="00454A29" w:rsidRDefault="00454A29">
            <w:pPr>
              <w:pStyle w:val="ConsPlusNormal"/>
            </w:pPr>
          </w:p>
        </w:tc>
        <w:tc>
          <w:tcPr>
            <w:tcW w:w="1701" w:type="dxa"/>
            <w:vAlign w:val="center"/>
          </w:tcPr>
          <w:p w14:paraId="734C77BC" w14:textId="77777777" w:rsidR="00454A29" w:rsidRDefault="00454A29">
            <w:pPr>
              <w:pStyle w:val="ConsPlusNormal"/>
              <w:jc w:val="center"/>
            </w:pPr>
            <w:r>
              <w:t>-</w:t>
            </w:r>
          </w:p>
        </w:tc>
        <w:tc>
          <w:tcPr>
            <w:tcW w:w="1814" w:type="dxa"/>
            <w:vAlign w:val="center"/>
          </w:tcPr>
          <w:p w14:paraId="579A573D" w14:textId="77777777" w:rsidR="00454A29" w:rsidRDefault="00454A29">
            <w:pPr>
              <w:pStyle w:val="ConsPlusNormal"/>
            </w:pPr>
          </w:p>
        </w:tc>
      </w:tr>
      <w:tr w:rsidR="00454A29" w14:paraId="10C773BF" w14:textId="77777777">
        <w:tc>
          <w:tcPr>
            <w:tcW w:w="567" w:type="dxa"/>
            <w:vMerge/>
          </w:tcPr>
          <w:p w14:paraId="5B4F4DD7" w14:textId="77777777" w:rsidR="00454A29" w:rsidRDefault="00454A29"/>
        </w:tc>
        <w:tc>
          <w:tcPr>
            <w:tcW w:w="3345" w:type="dxa"/>
            <w:vMerge/>
          </w:tcPr>
          <w:p w14:paraId="0C6A18E2" w14:textId="77777777" w:rsidR="00454A29" w:rsidRDefault="00454A29"/>
        </w:tc>
        <w:tc>
          <w:tcPr>
            <w:tcW w:w="1701" w:type="dxa"/>
            <w:vAlign w:val="center"/>
          </w:tcPr>
          <w:p w14:paraId="5D495F88" w14:textId="77777777" w:rsidR="00454A29" w:rsidRDefault="00454A29">
            <w:pPr>
              <w:pStyle w:val="ConsPlusNormal"/>
              <w:jc w:val="center"/>
            </w:pPr>
            <w:r>
              <w:t>2020</w:t>
            </w:r>
          </w:p>
        </w:tc>
        <w:tc>
          <w:tcPr>
            <w:tcW w:w="1417" w:type="dxa"/>
            <w:vMerge/>
          </w:tcPr>
          <w:p w14:paraId="62E2BE8B" w14:textId="77777777" w:rsidR="00454A29" w:rsidRDefault="00454A29"/>
        </w:tc>
        <w:tc>
          <w:tcPr>
            <w:tcW w:w="2204" w:type="dxa"/>
            <w:vMerge/>
          </w:tcPr>
          <w:p w14:paraId="2FB4C80B" w14:textId="77777777" w:rsidR="00454A29" w:rsidRDefault="00454A29"/>
        </w:tc>
        <w:tc>
          <w:tcPr>
            <w:tcW w:w="1417" w:type="dxa"/>
            <w:vMerge/>
          </w:tcPr>
          <w:p w14:paraId="456B16E7" w14:textId="77777777" w:rsidR="00454A29" w:rsidRDefault="00454A29"/>
        </w:tc>
        <w:tc>
          <w:tcPr>
            <w:tcW w:w="2324" w:type="dxa"/>
            <w:vMerge/>
          </w:tcPr>
          <w:p w14:paraId="385A6BA4" w14:textId="77777777" w:rsidR="00454A29" w:rsidRDefault="00454A29"/>
        </w:tc>
        <w:tc>
          <w:tcPr>
            <w:tcW w:w="1701" w:type="dxa"/>
            <w:vAlign w:val="center"/>
          </w:tcPr>
          <w:p w14:paraId="7FE0569B" w14:textId="77777777" w:rsidR="00454A29" w:rsidRDefault="00454A29">
            <w:pPr>
              <w:pStyle w:val="ConsPlusNormal"/>
              <w:jc w:val="center"/>
            </w:pPr>
            <w:r>
              <w:t>70 223,35</w:t>
            </w:r>
          </w:p>
        </w:tc>
        <w:tc>
          <w:tcPr>
            <w:tcW w:w="1814" w:type="dxa"/>
            <w:vAlign w:val="center"/>
          </w:tcPr>
          <w:p w14:paraId="5C6764F4" w14:textId="77777777" w:rsidR="00454A29" w:rsidRDefault="00454A29">
            <w:pPr>
              <w:pStyle w:val="ConsPlusNormal"/>
              <w:jc w:val="center"/>
            </w:pPr>
            <w:r>
              <w:t>70 223,35</w:t>
            </w:r>
          </w:p>
        </w:tc>
        <w:tc>
          <w:tcPr>
            <w:tcW w:w="1701" w:type="dxa"/>
            <w:vAlign w:val="center"/>
          </w:tcPr>
          <w:p w14:paraId="0598CD2B" w14:textId="77777777" w:rsidR="00454A29" w:rsidRDefault="00454A29">
            <w:pPr>
              <w:pStyle w:val="ConsPlusNormal"/>
            </w:pPr>
          </w:p>
        </w:tc>
        <w:tc>
          <w:tcPr>
            <w:tcW w:w="1701" w:type="dxa"/>
            <w:vAlign w:val="center"/>
          </w:tcPr>
          <w:p w14:paraId="5203AD02" w14:textId="77777777" w:rsidR="00454A29" w:rsidRDefault="00454A29">
            <w:pPr>
              <w:pStyle w:val="ConsPlusNormal"/>
              <w:jc w:val="center"/>
            </w:pPr>
            <w:r>
              <w:t>-</w:t>
            </w:r>
          </w:p>
        </w:tc>
        <w:tc>
          <w:tcPr>
            <w:tcW w:w="1814" w:type="dxa"/>
            <w:vAlign w:val="center"/>
          </w:tcPr>
          <w:p w14:paraId="7210FD04" w14:textId="77777777" w:rsidR="00454A29" w:rsidRDefault="00454A29">
            <w:pPr>
              <w:pStyle w:val="ConsPlusNormal"/>
            </w:pPr>
          </w:p>
        </w:tc>
      </w:tr>
      <w:tr w:rsidR="00454A29" w14:paraId="7B78CAFC" w14:textId="77777777">
        <w:tc>
          <w:tcPr>
            <w:tcW w:w="567" w:type="dxa"/>
            <w:vMerge/>
          </w:tcPr>
          <w:p w14:paraId="4EB03270" w14:textId="77777777" w:rsidR="00454A29" w:rsidRDefault="00454A29"/>
        </w:tc>
        <w:tc>
          <w:tcPr>
            <w:tcW w:w="3345" w:type="dxa"/>
            <w:vMerge/>
          </w:tcPr>
          <w:p w14:paraId="588BDA89" w14:textId="77777777" w:rsidR="00454A29" w:rsidRDefault="00454A29"/>
        </w:tc>
        <w:tc>
          <w:tcPr>
            <w:tcW w:w="1701" w:type="dxa"/>
            <w:vAlign w:val="center"/>
          </w:tcPr>
          <w:p w14:paraId="084BB089" w14:textId="77777777" w:rsidR="00454A29" w:rsidRDefault="00454A29">
            <w:pPr>
              <w:pStyle w:val="ConsPlusNormal"/>
              <w:jc w:val="center"/>
            </w:pPr>
            <w:r>
              <w:t>2021</w:t>
            </w:r>
          </w:p>
        </w:tc>
        <w:tc>
          <w:tcPr>
            <w:tcW w:w="1417" w:type="dxa"/>
            <w:vMerge/>
          </w:tcPr>
          <w:p w14:paraId="5AC0276C" w14:textId="77777777" w:rsidR="00454A29" w:rsidRDefault="00454A29"/>
        </w:tc>
        <w:tc>
          <w:tcPr>
            <w:tcW w:w="2204" w:type="dxa"/>
            <w:vMerge/>
          </w:tcPr>
          <w:p w14:paraId="18B54828" w14:textId="77777777" w:rsidR="00454A29" w:rsidRDefault="00454A29"/>
        </w:tc>
        <w:tc>
          <w:tcPr>
            <w:tcW w:w="1417" w:type="dxa"/>
            <w:vMerge/>
          </w:tcPr>
          <w:p w14:paraId="7D9DEBE9" w14:textId="77777777" w:rsidR="00454A29" w:rsidRDefault="00454A29"/>
        </w:tc>
        <w:tc>
          <w:tcPr>
            <w:tcW w:w="2324" w:type="dxa"/>
            <w:vMerge/>
          </w:tcPr>
          <w:p w14:paraId="2E70517E" w14:textId="77777777" w:rsidR="00454A29" w:rsidRDefault="00454A29"/>
        </w:tc>
        <w:tc>
          <w:tcPr>
            <w:tcW w:w="1701" w:type="dxa"/>
            <w:vAlign w:val="center"/>
          </w:tcPr>
          <w:p w14:paraId="25F30E64" w14:textId="77777777" w:rsidR="00454A29" w:rsidRDefault="00454A29">
            <w:pPr>
              <w:pStyle w:val="ConsPlusNormal"/>
              <w:jc w:val="center"/>
            </w:pPr>
            <w:r>
              <w:t>80 399,38</w:t>
            </w:r>
          </w:p>
        </w:tc>
        <w:tc>
          <w:tcPr>
            <w:tcW w:w="1814" w:type="dxa"/>
            <w:vAlign w:val="center"/>
          </w:tcPr>
          <w:p w14:paraId="787BCDF8" w14:textId="77777777" w:rsidR="00454A29" w:rsidRDefault="00454A29">
            <w:pPr>
              <w:pStyle w:val="ConsPlusNormal"/>
              <w:jc w:val="center"/>
            </w:pPr>
            <w:r>
              <w:t>80 399,38</w:t>
            </w:r>
          </w:p>
        </w:tc>
        <w:tc>
          <w:tcPr>
            <w:tcW w:w="1701" w:type="dxa"/>
            <w:vAlign w:val="center"/>
          </w:tcPr>
          <w:p w14:paraId="40999369" w14:textId="77777777" w:rsidR="00454A29" w:rsidRDefault="00454A29">
            <w:pPr>
              <w:pStyle w:val="ConsPlusNormal"/>
            </w:pPr>
          </w:p>
        </w:tc>
        <w:tc>
          <w:tcPr>
            <w:tcW w:w="1701" w:type="dxa"/>
            <w:vAlign w:val="center"/>
          </w:tcPr>
          <w:p w14:paraId="5EB907C6" w14:textId="77777777" w:rsidR="00454A29" w:rsidRDefault="00454A29">
            <w:pPr>
              <w:pStyle w:val="ConsPlusNormal"/>
              <w:jc w:val="center"/>
            </w:pPr>
            <w:r>
              <w:t>-</w:t>
            </w:r>
          </w:p>
        </w:tc>
        <w:tc>
          <w:tcPr>
            <w:tcW w:w="1814" w:type="dxa"/>
            <w:vAlign w:val="center"/>
          </w:tcPr>
          <w:p w14:paraId="7B6C0E98" w14:textId="77777777" w:rsidR="00454A29" w:rsidRDefault="00454A29">
            <w:pPr>
              <w:pStyle w:val="ConsPlusNormal"/>
            </w:pPr>
          </w:p>
        </w:tc>
      </w:tr>
      <w:tr w:rsidR="00454A29" w14:paraId="086DA61E" w14:textId="77777777">
        <w:tc>
          <w:tcPr>
            <w:tcW w:w="567" w:type="dxa"/>
            <w:vMerge/>
          </w:tcPr>
          <w:p w14:paraId="641029CB" w14:textId="77777777" w:rsidR="00454A29" w:rsidRDefault="00454A29"/>
        </w:tc>
        <w:tc>
          <w:tcPr>
            <w:tcW w:w="3345" w:type="dxa"/>
            <w:vMerge/>
          </w:tcPr>
          <w:p w14:paraId="5B204183" w14:textId="77777777" w:rsidR="00454A29" w:rsidRDefault="00454A29"/>
        </w:tc>
        <w:tc>
          <w:tcPr>
            <w:tcW w:w="1701" w:type="dxa"/>
            <w:vAlign w:val="center"/>
          </w:tcPr>
          <w:p w14:paraId="7F7E2696" w14:textId="77777777" w:rsidR="00454A29" w:rsidRDefault="00454A29">
            <w:pPr>
              <w:pStyle w:val="ConsPlusNormal"/>
              <w:jc w:val="center"/>
            </w:pPr>
            <w:r>
              <w:t>2022</w:t>
            </w:r>
          </w:p>
        </w:tc>
        <w:tc>
          <w:tcPr>
            <w:tcW w:w="1417" w:type="dxa"/>
            <w:vMerge/>
          </w:tcPr>
          <w:p w14:paraId="259B4D31" w14:textId="77777777" w:rsidR="00454A29" w:rsidRDefault="00454A29"/>
        </w:tc>
        <w:tc>
          <w:tcPr>
            <w:tcW w:w="2204" w:type="dxa"/>
            <w:vMerge/>
          </w:tcPr>
          <w:p w14:paraId="51ED1EA7" w14:textId="77777777" w:rsidR="00454A29" w:rsidRDefault="00454A29"/>
        </w:tc>
        <w:tc>
          <w:tcPr>
            <w:tcW w:w="1417" w:type="dxa"/>
            <w:vMerge/>
          </w:tcPr>
          <w:p w14:paraId="10BDBBF2" w14:textId="77777777" w:rsidR="00454A29" w:rsidRDefault="00454A29"/>
        </w:tc>
        <w:tc>
          <w:tcPr>
            <w:tcW w:w="2324" w:type="dxa"/>
            <w:vMerge/>
          </w:tcPr>
          <w:p w14:paraId="59DFED22" w14:textId="77777777" w:rsidR="00454A29" w:rsidRDefault="00454A29"/>
        </w:tc>
        <w:tc>
          <w:tcPr>
            <w:tcW w:w="1701" w:type="dxa"/>
            <w:vAlign w:val="center"/>
          </w:tcPr>
          <w:p w14:paraId="7E99105B" w14:textId="77777777" w:rsidR="00454A29" w:rsidRDefault="00454A29">
            <w:pPr>
              <w:pStyle w:val="ConsPlusNormal"/>
              <w:jc w:val="center"/>
            </w:pPr>
            <w:r>
              <w:t>92 133,72</w:t>
            </w:r>
          </w:p>
        </w:tc>
        <w:tc>
          <w:tcPr>
            <w:tcW w:w="1814" w:type="dxa"/>
            <w:vAlign w:val="center"/>
          </w:tcPr>
          <w:p w14:paraId="51157F8C" w14:textId="77777777" w:rsidR="00454A29" w:rsidRDefault="00454A29">
            <w:pPr>
              <w:pStyle w:val="ConsPlusNormal"/>
              <w:jc w:val="center"/>
            </w:pPr>
            <w:r>
              <w:t>92 133,72</w:t>
            </w:r>
          </w:p>
        </w:tc>
        <w:tc>
          <w:tcPr>
            <w:tcW w:w="1701" w:type="dxa"/>
            <w:vAlign w:val="center"/>
          </w:tcPr>
          <w:p w14:paraId="40CB0DE1" w14:textId="77777777" w:rsidR="00454A29" w:rsidRDefault="00454A29">
            <w:pPr>
              <w:pStyle w:val="ConsPlusNormal"/>
            </w:pPr>
          </w:p>
        </w:tc>
        <w:tc>
          <w:tcPr>
            <w:tcW w:w="1701" w:type="dxa"/>
            <w:vAlign w:val="center"/>
          </w:tcPr>
          <w:p w14:paraId="48E0396B" w14:textId="77777777" w:rsidR="00454A29" w:rsidRDefault="00454A29">
            <w:pPr>
              <w:pStyle w:val="ConsPlusNormal"/>
              <w:jc w:val="center"/>
            </w:pPr>
            <w:r>
              <w:t>-</w:t>
            </w:r>
          </w:p>
        </w:tc>
        <w:tc>
          <w:tcPr>
            <w:tcW w:w="1814" w:type="dxa"/>
            <w:vAlign w:val="center"/>
          </w:tcPr>
          <w:p w14:paraId="5D079F0D" w14:textId="77777777" w:rsidR="00454A29" w:rsidRDefault="00454A29">
            <w:pPr>
              <w:pStyle w:val="ConsPlusNormal"/>
            </w:pPr>
          </w:p>
        </w:tc>
      </w:tr>
      <w:tr w:rsidR="00454A29" w14:paraId="1708D061" w14:textId="77777777">
        <w:tc>
          <w:tcPr>
            <w:tcW w:w="567" w:type="dxa"/>
            <w:vMerge/>
          </w:tcPr>
          <w:p w14:paraId="718A920E" w14:textId="77777777" w:rsidR="00454A29" w:rsidRDefault="00454A29"/>
        </w:tc>
        <w:tc>
          <w:tcPr>
            <w:tcW w:w="3345" w:type="dxa"/>
            <w:vMerge/>
          </w:tcPr>
          <w:p w14:paraId="6C121606" w14:textId="77777777" w:rsidR="00454A29" w:rsidRDefault="00454A29"/>
        </w:tc>
        <w:tc>
          <w:tcPr>
            <w:tcW w:w="1701" w:type="dxa"/>
            <w:vAlign w:val="center"/>
          </w:tcPr>
          <w:p w14:paraId="0CE3D699" w14:textId="77777777" w:rsidR="00454A29" w:rsidRDefault="00454A29">
            <w:pPr>
              <w:pStyle w:val="ConsPlusNormal"/>
              <w:jc w:val="center"/>
            </w:pPr>
            <w:r>
              <w:t>2023</w:t>
            </w:r>
          </w:p>
        </w:tc>
        <w:tc>
          <w:tcPr>
            <w:tcW w:w="1417" w:type="dxa"/>
            <w:vMerge/>
          </w:tcPr>
          <w:p w14:paraId="1BAC6D26" w14:textId="77777777" w:rsidR="00454A29" w:rsidRDefault="00454A29"/>
        </w:tc>
        <w:tc>
          <w:tcPr>
            <w:tcW w:w="2204" w:type="dxa"/>
            <w:vMerge/>
          </w:tcPr>
          <w:p w14:paraId="40E3FBCF" w14:textId="77777777" w:rsidR="00454A29" w:rsidRDefault="00454A29"/>
        </w:tc>
        <w:tc>
          <w:tcPr>
            <w:tcW w:w="1417" w:type="dxa"/>
            <w:vMerge/>
          </w:tcPr>
          <w:p w14:paraId="0540061A" w14:textId="77777777" w:rsidR="00454A29" w:rsidRDefault="00454A29"/>
        </w:tc>
        <w:tc>
          <w:tcPr>
            <w:tcW w:w="2324" w:type="dxa"/>
            <w:vMerge/>
          </w:tcPr>
          <w:p w14:paraId="0436B504" w14:textId="77777777" w:rsidR="00454A29" w:rsidRDefault="00454A29"/>
        </w:tc>
        <w:tc>
          <w:tcPr>
            <w:tcW w:w="1701" w:type="dxa"/>
            <w:vAlign w:val="center"/>
          </w:tcPr>
          <w:p w14:paraId="41CB1C51" w14:textId="77777777" w:rsidR="00454A29" w:rsidRDefault="00454A29">
            <w:pPr>
              <w:pStyle w:val="ConsPlusNormal"/>
              <w:jc w:val="center"/>
            </w:pPr>
            <w:r>
              <w:t>105 675,79</w:t>
            </w:r>
          </w:p>
        </w:tc>
        <w:tc>
          <w:tcPr>
            <w:tcW w:w="1814" w:type="dxa"/>
            <w:vAlign w:val="center"/>
          </w:tcPr>
          <w:p w14:paraId="280A1C4E" w14:textId="77777777" w:rsidR="00454A29" w:rsidRDefault="00454A29">
            <w:pPr>
              <w:pStyle w:val="ConsPlusNormal"/>
              <w:jc w:val="center"/>
            </w:pPr>
            <w:r>
              <w:t>105 675,79</w:t>
            </w:r>
          </w:p>
        </w:tc>
        <w:tc>
          <w:tcPr>
            <w:tcW w:w="1701" w:type="dxa"/>
            <w:vAlign w:val="center"/>
          </w:tcPr>
          <w:p w14:paraId="26EC9DC0" w14:textId="77777777" w:rsidR="00454A29" w:rsidRDefault="00454A29">
            <w:pPr>
              <w:pStyle w:val="ConsPlusNormal"/>
            </w:pPr>
          </w:p>
        </w:tc>
        <w:tc>
          <w:tcPr>
            <w:tcW w:w="1701" w:type="dxa"/>
            <w:vAlign w:val="center"/>
          </w:tcPr>
          <w:p w14:paraId="5E6C982E" w14:textId="77777777" w:rsidR="00454A29" w:rsidRDefault="00454A29">
            <w:pPr>
              <w:pStyle w:val="ConsPlusNormal"/>
              <w:jc w:val="center"/>
            </w:pPr>
            <w:r>
              <w:t>-</w:t>
            </w:r>
          </w:p>
        </w:tc>
        <w:tc>
          <w:tcPr>
            <w:tcW w:w="1814" w:type="dxa"/>
            <w:vAlign w:val="center"/>
          </w:tcPr>
          <w:p w14:paraId="0716F6DA" w14:textId="77777777" w:rsidR="00454A29" w:rsidRDefault="00454A29">
            <w:pPr>
              <w:pStyle w:val="ConsPlusNormal"/>
            </w:pPr>
          </w:p>
        </w:tc>
      </w:tr>
      <w:tr w:rsidR="00454A29" w14:paraId="5C831DAA" w14:textId="77777777">
        <w:tc>
          <w:tcPr>
            <w:tcW w:w="567" w:type="dxa"/>
            <w:vMerge/>
          </w:tcPr>
          <w:p w14:paraId="482EE225" w14:textId="77777777" w:rsidR="00454A29" w:rsidRDefault="00454A29"/>
        </w:tc>
        <w:tc>
          <w:tcPr>
            <w:tcW w:w="3345" w:type="dxa"/>
            <w:vMerge/>
          </w:tcPr>
          <w:p w14:paraId="49A6752A" w14:textId="77777777" w:rsidR="00454A29" w:rsidRDefault="00454A29"/>
        </w:tc>
        <w:tc>
          <w:tcPr>
            <w:tcW w:w="1701" w:type="dxa"/>
            <w:vAlign w:val="center"/>
          </w:tcPr>
          <w:p w14:paraId="11E9B04A" w14:textId="77777777" w:rsidR="00454A29" w:rsidRDefault="00454A29">
            <w:pPr>
              <w:pStyle w:val="ConsPlusNormal"/>
              <w:jc w:val="center"/>
            </w:pPr>
            <w:r>
              <w:t>2024</w:t>
            </w:r>
          </w:p>
        </w:tc>
        <w:tc>
          <w:tcPr>
            <w:tcW w:w="1417" w:type="dxa"/>
            <w:vMerge/>
          </w:tcPr>
          <w:p w14:paraId="4D1CCD2A" w14:textId="77777777" w:rsidR="00454A29" w:rsidRDefault="00454A29"/>
        </w:tc>
        <w:tc>
          <w:tcPr>
            <w:tcW w:w="2204" w:type="dxa"/>
            <w:vMerge/>
          </w:tcPr>
          <w:p w14:paraId="64F7ACA2" w14:textId="77777777" w:rsidR="00454A29" w:rsidRDefault="00454A29"/>
        </w:tc>
        <w:tc>
          <w:tcPr>
            <w:tcW w:w="1417" w:type="dxa"/>
            <w:vMerge/>
          </w:tcPr>
          <w:p w14:paraId="0CA69DAB" w14:textId="77777777" w:rsidR="00454A29" w:rsidRDefault="00454A29"/>
        </w:tc>
        <w:tc>
          <w:tcPr>
            <w:tcW w:w="2324" w:type="dxa"/>
            <w:vMerge/>
          </w:tcPr>
          <w:p w14:paraId="6EFB624A" w14:textId="77777777" w:rsidR="00454A29" w:rsidRDefault="00454A29"/>
        </w:tc>
        <w:tc>
          <w:tcPr>
            <w:tcW w:w="1701" w:type="dxa"/>
            <w:vAlign w:val="center"/>
          </w:tcPr>
          <w:p w14:paraId="3CF6A16D" w14:textId="77777777" w:rsidR="00454A29" w:rsidRDefault="00454A29">
            <w:pPr>
              <w:pStyle w:val="ConsPlusNormal"/>
              <w:jc w:val="center"/>
            </w:pPr>
            <w:r>
              <w:t>121 309,71</w:t>
            </w:r>
          </w:p>
        </w:tc>
        <w:tc>
          <w:tcPr>
            <w:tcW w:w="1814" w:type="dxa"/>
            <w:vAlign w:val="center"/>
          </w:tcPr>
          <w:p w14:paraId="5C9BA5D7" w14:textId="77777777" w:rsidR="00454A29" w:rsidRDefault="00454A29">
            <w:pPr>
              <w:pStyle w:val="ConsPlusNormal"/>
              <w:jc w:val="center"/>
            </w:pPr>
            <w:r>
              <w:t>121 309,71</w:t>
            </w:r>
          </w:p>
        </w:tc>
        <w:tc>
          <w:tcPr>
            <w:tcW w:w="1701" w:type="dxa"/>
            <w:vAlign w:val="center"/>
          </w:tcPr>
          <w:p w14:paraId="5A3621BD" w14:textId="77777777" w:rsidR="00454A29" w:rsidRDefault="00454A29">
            <w:pPr>
              <w:pStyle w:val="ConsPlusNormal"/>
            </w:pPr>
          </w:p>
        </w:tc>
        <w:tc>
          <w:tcPr>
            <w:tcW w:w="1701" w:type="dxa"/>
            <w:vAlign w:val="center"/>
          </w:tcPr>
          <w:p w14:paraId="69B93A6E" w14:textId="77777777" w:rsidR="00454A29" w:rsidRDefault="00454A29">
            <w:pPr>
              <w:pStyle w:val="ConsPlusNormal"/>
              <w:jc w:val="center"/>
            </w:pPr>
            <w:r>
              <w:t>-</w:t>
            </w:r>
          </w:p>
        </w:tc>
        <w:tc>
          <w:tcPr>
            <w:tcW w:w="1814" w:type="dxa"/>
            <w:vAlign w:val="center"/>
          </w:tcPr>
          <w:p w14:paraId="020387F3" w14:textId="77777777" w:rsidR="00454A29" w:rsidRDefault="00454A29">
            <w:pPr>
              <w:pStyle w:val="ConsPlusNormal"/>
            </w:pPr>
          </w:p>
        </w:tc>
      </w:tr>
      <w:tr w:rsidR="00454A29" w14:paraId="2C48E730" w14:textId="77777777">
        <w:tc>
          <w:tcPr>
            <w:tcW w:w="567" w:type="dxa"/>
            <w:vMerge/>
          </w:tcPr>
          <w:p w14:paraId="2D15D8EE" w14:textId="77777777" w:rsidR="00454A29" w:rsidRDefault="00454A29"/>
        </w:tc>
        <w:tc>
          <w:tcPr>
            <w:tcW w:w="3345" w:type="dxa"/>
            <w:vMerge/>
          </w:tcPr>
          <w:p w14:paraId="3A2FE898" w14:textId="77777777" w:rsidR="00454A29" w:rsidRDefault="00454A29"/>
        </w:tc>
        <w:tc>
          <w:tcPr>
            <w:tcW w:w="1701" w:type="dxa"/>
            <w:vAlign w:val="center"/>
          </w:tcPr>
          <w:p w14:paraId="5AFAE9A8" w14:textId="77777777" w:rsidR="00454A29" w:rsidRDefault="00454A29">
            <w:pPr>
              <w:pStyle w:val="ConsPlusNormal"/>
              <w:jc w:val="center"/>
            </w:pPr>
            <w:r>
              <w:t>2025</w:t>
            </w:r>
          </w:p>
        </w:tc>
        <w:tc>
          <w:tcPr>
            <w:tcW w:w="1417" w:type="dxa"/>
            <w:vMerge/>
          </w:tcPr>
          <w:p w14:paraId="66E2B516" w14:textId="77777777" w:rsidR="00454A29" w:rsidRDefault="00454A29"/>
        </w:tc>
        <w:tc>
          <w:tcPr>
            <w:tcW w:w="2204" w:type="dxa"/>
            <w:vMerge/>
          </w:tcPr>
          <w:p w14:paraId="2249EBC7" w14:textId="77777777" w:rsidR="00454A29" w:rsidRDefault="00454A29"/>
        </w:tc>
        <w:tc>
          <w:tcPr>
            <w:tcW w:w="1417" w:type="dxa"/>
            <w:vMerge/>
          </w:tcPr>
          <w:p w14:paraId="08E70285" w14:textId="77777777" w:rsidR="00454A29" w:rsidRDefault="00454A29"/>
        </w:tc>
        <w:tc>
          <w:tcPr>
            <w:tcW w:w="2324" w:type="dxa"/>
            <w:vMerge/>
          </w:tcPr>
          <w:p w14:paraId="215857E6" w14:textId="77777777" w:rsidR="00454A29" w:rsidRDefault="00454A29"/>
        </w:tc>
        <w:tc>
          <w:tcPr>
            <w:tcW w:w="1701" w:type="dxa"/>
            <w:vAlign w:val="center"/>
          </w:tcPr>
          <w:p w14:paraId="5530D324" w14:textId="77777777" w:rsidR="00454A29" w:rsidRDefault="00454A29">
            <w:pPr>
              <w:pStyle w:val="ConsPlusNormal"/>
              <w:jc w:val="center"/>
            </w:pPr>
            <w:r>
              <w:t>139 364,55</w:t>
            </w:r>
          </w:p>
        </w:tc>
        <w:tc>
          <w:tcPr>
            <w:tcW w:w="1814" w:type="dxa"/>
            <w:vAlign w:val="center"/>
          </w:tcPr>
          <w:p w14:paraId="4D20FBF2" w14:textId="77777777" w:rsidR="00454A29" w:rsidRDefault="00454A29">
            <w:pPr>
              <w:pStyle w:val="ConsPlusNormal"/>
              <w:jc w:val="center"/>
            </w:pPr>
            <w:r>
              <w:t>139 364,55</w:t>
            </w:r>
          </w:p>
        </w:tc>
        <w:tc>
          <w:tcPr>
            <w:tcW w:w="1701" w:type="dxa"/>
            <w:vAlign w:val="center"/>
          </w:tcPr>
          <w:p w14:paraId="056E5406" w14:textId="77777777" w:rsidR="00454A29" w:rsidRDefault="00454A29">
            <w:pPr>
              <w:pStyle w:val="ConsPlusNormal"/>
            </w:pPr>
          </w:p>
        </w:tc>
        <w:tc>
          <w:tcPr>
            <w:tcW w:w="1701" w:type="dxa"/>
            <w:vAlign w:val="center"/>
          </w:tcPr>
          <w:p w14:paraId="749A2D3D" w14:textId="77777777" w:rsidR="00454A29" w:rsidRDefault="00454A29">
            <w:pPr>
              <w:pStyle w:val="ConsPlusNormal"/>
              <w:jc w:val="center"/>
            </w:pPr>
            <w:r>
              <w:t>-</w:t>
            </w:r>
          </w:p>
        </w:tc>
        <w:tc>
          <w:tcPr>
            <w:tcW w:w="1814" w:type="dxa"/>
            <w:vAlign w:val="center"/>
          </w:tcPr>
          <w:p w14:paraId="59C66CCD" w14:textId="77777777" w:rsidR="00454A29" w:rsidRDefault="00454A29">
            <w:pPr>
              <w:pStyle w:val="ConsPlusNormal"/>
            </w:pPr>
          </w:p>
        </w:tc>
      </w:tr>
      <w:tr w:rsidR="00454A29" w14:paraId="2AB6D408" w14:textId="77777777">
        <w:tc>
          <w:tcPr>
            <w:tcW w:w="567" w:type="dxa"/>
            <w:vMerge/>
          </w:tcPr>
          <w:p w14:paraId="03D9F9CD" w14:textId="77777777" w:rsidR="00454A29" w:rsidRDefault="00454A29"/>
        </w:tc>
        <w:tc>
          <w:tcPr>
            <w:tcW w:w="3345" w:type="dxa"/>
            <w:vMerge/>
          </w:tcPr>
          <w:p w14:paraId="5C50ED63" w14:textId="77777777" w:rsidR="00454A29" w:rsidRDefault="00454A29"/>
        </w:tc>
        <w:tc>
          <w:tcPr>
            <w:tcW w:w="1701" w:type="dxa"/>
            <w:vAlign w:val="center"/>
          </w:tcPr>
          <w:p w14:paraId="27AFC67C" w14:textId="77777777" w:rsidR="00454A29" w:rsidRDefault="00454A29">
            <w:pPr>
              <w:pStyle w:val="ConsPlusNormal"/>
              <w:jc w:val="center"/>
            </w:pPr>
            <w:r>
              <w:t>2026</w:t>
            </w:r>
          </w:p>
        </w:tc>
        <w:tc>
          <w:tcPr>
            <w:tcW w:w="1417" w:type="dxa"/>
            <w:vMerge/>
          </w:tcPr>
          <w:p w14:paraId="1D5E3C85" w14:textId="77777777" w:rsidR="00454A29" w:rsidRDefault="00454A29"/>
        </w:tc>
        <w:tc>
          <w:tcPr>
            <w:tcW w:w="2204" w:type="dxa"/>
            <w:vMerge/>
          </w:tcPr>
          <w:p w14:paraId="43447A01" w14:textId="77777777" w:rsidR="00454A29" w:rsidRDefault="00454A29"/>
        </w:tc>
        <w:tc>
          <w:tcPr>
            <w:tcW w:w="1417" w:type="dxa"/>
            <w:vMerge/>
          </w:tcPr>
          <w:p w14:paraId="35096157" w14:textId="77777777" w:rsidR="00454A29" w:rsidRDefault="00454A29"/>
        </w:tc>
        <w:tc>
          <w:tcPr>
            <w:tcW w:w="2324" w:type="dxa"/>
            <w:vMerge/>
          </w:tcPr>
          <w:p w14:paraId="43E80C70" w14:textId="77777777" w:rsidR="00454A29" w:rsidRDefault="00454A29"/>
        </w:tc>
        <w:tc>
          <w:tcPr>
            <w:tcW w:w="1701" w:type="dxa"/>
            <w:vAlign w:val="center"/>
          </w:tcPr>
          <w:p w14:paraId="3832099E" w14:textId="77777777" w:rsidR="00454A29" w:rsidRDefault="00454A29">
            <w:pPr>
              <w:pStyle w:val="ConsPlusNormal"/>
              <w:jc w:val="center"/>
            </w:pPr>
            <w:r>
              <w:t>160 221,48</w:t>
            </w:r>
          </w:p>
        </w:tc>
        <w:tc>
          <w:tcPr>
            <w:tcW w:w="1814" w:type="dxa"/>
            <w:vAlign w:val="center"/>
          </w:tcPr>
          <w:p w14:paraId="72A7BF92" w14:textId="77777777" w:rsidR="00454A29" w:rsidRDefault="00454A29">
            <w:pPr>
              <w:pStyle w:val="ConsPlusNormal"/>
              <w:jc w:val="center"/>
            </w:pPr>
            <w:r>
              <w:t>160 221,48</w:t>
            </w:r>
          </w:p>
        </w:tc>
        <w:tc>
          <w:tcPr>
            <w:tcW w:w="1701" w:type="dxa"/>
            <w:vAlign w:val="center"/>
          </w:tcPr>
          <w:p w14:paraId="286D47B1" w14:textId="77777777" w:rsidR="00454A29" w:rsidRDefault="00454A29">
            <w:pPr>
              <w:pStyle w:val="ConsPlusNormal"/>
            </w:pPr>
          </w:p>
        </w:tc>
        <w:tc>
          <w:tcPr>
            <w:tcW w:w="1701" w:type="dxa"/>
            <w:vAlign w:val="center"/>
          </w:tcPr>
          <w:p w14:paraId="03640A53" w14:textId="77777777" w:rsidR="00454A29" w:rsidRDefault="00454A29">
            <w:pPr>
              <w:pStyle w:val="ConsPlusNormal"/>
              <w:jc w:val="center"/>
            </w:pPr>
            <w:r>
              <w:t>-</w:t>
            </w:r>
          </w:p>
        </w:tc>
        <w:tc>
          <w:tcPr>
            <w:tcW w:w="1814" w:type="dxa"/>
            <w:vAlign w:val="center"/>
          </w:tcPr>
          <w:p w14:paraId="2FECCE65" w14:textId="77777777" w:rsidR="00454A29" w:rsidRDefault="00454A29">
            <w:pPr>
              <w:pStyle w:val="ConsPlusNormal"/>
            </w:pPr>
          </w:p>
        </w:tc>
      </w:tr>
      <w:tr w:rsidR="00454A29" w14:paraId="461C562E" w14:textId="77777777">
        <w:tc>
          <w:tcPr>
            <w:tcW w:w="567" w:type="dxa"/>
            <w:vMerge w:val="restart"/>
            <w:vAlign w:val="center"/>
          </w:tcPr>
          <w:p w14:paraId="42F0FA7E" w14:textId="77777777" w:rsidR="00454A29" w:rsidRDefault="00454A29">
            <w:pPr>
              <w:pStyle w:val="ConsPlusNormal"/>
            </w:pPr>
          </w:p>
        </w:tc>
        <w:tc>
          <w:tcPr>
            <w:tcW w:w="3345" w:type="dxa"/>
            <w:vMerge w:val="restart"/>
            <w:vAlign w:val="center"/>
          </w:tcPr>
          <w:p w14:paraId="31C68778" w14:textId="77777777" w:rsidR="00454A29" w:rsidRDefault="00454A29">
            <w:pPr>
              <w:pStyle w:val="ConsPlusNormal"/>
              <w:jc w:val="center"/>
            </w:pPr>
            <w:r>
              <w:t xml:space="preserve">Совокупный платеж по соглашению государственно-частного партнерства по реализации объектов социальной инфраструктуры в сфере образования Республики Саха </w:t>
            </w:r>
            <w:r>
              <w:lastRenderedPageBreak/>
              <w:t>(Якутия) (ГЧП-2)</w:t>
            </w:r>
          </w:p>
        </w:tc>
        <w:tc>
          <w:tcPr>
            <w:tcW w:w="1701" w:type="dxa"/>
            <w:vAlign w:val="center"/>
          </w:tcPr>
          <w:p w14:paraId="2847DC50" w14:textId="77777777" w:rsidR="00454A29" w:rsidRDefault="00454A29">
            <w:pPr>
              <w:pStyle w:val="ConsPlusNormal"/>
              <w:jc w:val="center"/>
            </w:pPr>
            <w:r>
              <w:lastRenderedPageBreak/>
              <w:t>Всего:</w:t>
            </w:r>
          </w:p>
        </w:tc>
        <w:tc>
          <w:tcPr>
            <w:tcW w:w="1417" w:type="dxa"/>
            <w:vMerge w:val="restart"/>
            <w:vAlign w:val="center"/>
          </w:tcPr>
          <w:p w14:paraId="67DBBB1B" w14:textId="77777777" w:rsidR="00454A29" w:rsidRDefault="00454A29">
            <w:pPr>
              <w:pStyle w:val="ConsPlusNormal"/>
            </w:pPr>
          </w:p>
        </w:tc>
        <w:tc>
          <w:tcPr>
            <w:tcW w:w="2204" w:type="dxa"/>
            <w:vMerge w:val="restart"/>
            <w:vAlign w:val="center"/>
          </w:tcPr>
          <w:p w14:paraId="73A5F709" w14:textId="77777777" w:rsidR="00454A29" w:rsidRDefault="00454A29">
            <w:pPr>
              <w:pStyle w:val="ConsPlusNormal"/>
            </w:pPr>
          </w:p>
        </w:tc>
        <w:tc>
          <w:tcPr>
            <w:tcW w:w="1417" w:type="dxa"/>
            <w:vMerge w:val="restart"/>
            <w:vAlign w:val="center"/>
          </w:tcPr>
          <w:p w14:paraId="41031A9E" w14:textId="77777777" w:rsidR="00454A29" w:rsidRDefault="00454A29">
            <w:pPr>
              <w:pStyle w:val="ConsPlusNormal"/>
              <w:jc w:val="center"/>
            </w:pPr>
            <w:r>
              <w:t>650</w:t>
            </w:r>
          </w:p>
        </w:tc>
        <w:tc>
          <w:tcPr>
            <w:tcW w:w="2324" w:type="dxa"/>
            <w:vMerge w:val="restart"/>
            <w:vAlign w:val="center"/>
          </w:tcPr>
          <w:p w14:paraId="2F20ED1A" w14:textId="77777777" w:rsidR="00454A29" w:rsidRDefault="00454A29">
            <w:pPr>
              <w:pStyle w:val="ConsPlusNormal"/>
              <w:jc w:val="center"/>
            </w:pPr>
            <w:r>
              <w:t>Минэкономики РС(Я), ГО "город Якутск"</w:t>
            </w:r>
          </w:p>
        </w:tc>
        <w:tc>
          <w:tcPr>
            <w:tcW w:w="1701" w:type="dxa"/>
            <w:vAlign w:val="center"/>
          </w:tcPr>
          <w:p w14:paraId="1D34BFC9" w14:textId="77777777" w:rsidR="00454A29" w:rsidRDefault="00454A29">
            <w:pPr>
              <w:pStyle w:val="ConsPlusNormal"/>
              <w:jc w:val="center"/>
            </w:pPr>
            <w:r>
              <w:t>483 515,64</w:t>
            </w:r>
          </w:p>
        </w:tc>
        <w:tc>
          <w:tcPr>
            <w:tcW w:w="1814" w:type="dxa"/>
            <w:vAlign w:val="center"/>
          </w:tcPr>
          <w:p w14:paraId="0BAE447C" w14:textId="77777777" w:rsidR="00454A29" w:rsidRDefault="00454A29">
            <w:pPr>
              <w:pStyle w:val="ConsPlusNormal"/>
              <w:jc w:val="center"/>
            </w:pPr>
            <w:r>
              <w:t>483 515,64</w:t>
            </w:r>
          </w:p>
        </w:tc>
        <w:tc>
          <w:tcPr>
            <w:tcW w:w="1701" w:type="dxa"/>
            <w:vAlign w:val="center"/>
          </w:tcPr>
          <w:p w14:paraId="378600F2" w14:textId="77777777" w:rsidR="00454A29" w:rsidRDefault="00454A29">
            <w:pPr>
              <w:pStyle w:val="ConsPlusNormal"/>
            </w:pPr>
          </w:p>
        </w:tc>
        <w:tc>
          <w:tcPr>
            <w:tcW w:w="1701" w:type="dxa"/>
            <w:vAlign w:val="center"/>
          </w:tcPr>
          <w:p w14:paraId="2ADF0AB9" w14:textId="77777777" w:rsidR="00454A29" w:rsidRDefault="00454A29">
            <w:pPr>
              <w:pStyle w:val="ConsPlusNormal"/>
            </w:pPr>
          </w:p>
        </w:tc>
        <w:tc>
          <w:tcPr>
            <w:tcW w:w="1814" w:type="dxa"/>
            <w:vAlign w:val="center"/>
          </w:tcPr>
          <w:p w14:paraId="49AB27A2" w14:textId="77777777" w:rsidR="00454A29" w:rsidRDefault="00454A29">
            <w:pPr>
              <w:pStyle w:val="ConsPlusNormal"/>
            </w:pPr>
          </w:p>
        </w:tc>
      </w:tr>
      <w:tr w:rsidR="00454A29" w14:paraId="4C9A984E" w14:textId="77777777">
        <w:tc>
          <w:tcPr>
            <w:tcW w:w="567" w:type="dxa"/>
            <w:vMerge/>
          </w:tcPr>
          <w:p w14:paraId="482304DE" w14:textId="77777777" w:rsidR="00454A29" w:rsidRDefault="00454A29"/>
        </w:tc>
        <w:tc>
          <w:tcPr>
            <w:tcW w:w="3345" w:type="dxa"/>
            <w:vMerge/>
          </w:tcPr>
          <w:p w14:paraId="027E908B" w14:textId="77777777" w:rsidR="00454A29" w:rsidRDefault="00454A29"/>
        </w:tc>
        <w:tc>
          <w:tcPr>
            <w:tcW w:w="1701" w:type="dxa"/>
            <w:vAlign w:val="center"/>
          </w:tcPr>
          <w:p w14:paraId="4C7BDA72" w14:textId="77777777" w:rsidR="00454A29" w:rsidRDefault="00454A29">
            <w:pPr>
              <w:pStyle w:val="ConsPlusNormal"/>
              <w:jc w:val="center"/>
            </w:pPr>
            <w:r>
              <w:t>2020</w:t>
            </w:r>
          </w:p>
        </w:tc>
        <w:tc>
          <w:tcPr>
            <w:tcW w:w="1417" w:type="dxa"/>
            <w:vMerge/>
          </w:tcPr>
          <w:p w14:paraId="467818DD" w14:textId="77777777" w:rsidR="00454A29" w:rsidRDefault="00454A29"/>
        </w:tc>
        <w:tc>
          <w:tcPr>
            <w:tcW w:w="2204" w:type="dxa"/>
            <w:vMerge/>
          </w:tcPr>
          <w:p w14:paraId="085EB1C7" w14:textId="77777777" w:rsidR="00454A29" w:rsidRDefault="00454A29"/>
        </w:tc>
        <w:tc>
          <w:tcPr>
            <w:tcW w:w="1417" w:type="dxa"/>
            <w:vMerge/>
          </w:tcPr>
          <w:p w14:paraId="33D6CA74" w14:textId="77777777" w:rsidR="00454A29" w:rsidRDefault="00454A29"/>
        </w:tc>
        <w:tc>
          <w:tcPr>
            <w:tcW w:w="2324" w:type="dxa"/>
            <w:vMerge/>
          </w:tcPr>
          <w:p w14:paraId="52218F98" w14:textId="77777777" w:rsidR="00454A29" w:rsidRDefault="00454A29"/>
        </w:tc>
        <w:tc>
          <w:tcPr>
            <w:tcW w:w="1701" w:type="dxa"/>
            <w:vAlign w:val="center"/>
          </w:tcPr>
          <w:p w14:paraId="6C8E90AF" w14:textId="77777777" w:rsidR="00454A29" w:rsidRDefault="00454A29">
            <w:pPr>
              <w:pStyle w:val="ConsPlusNormal"/>
              <w:jc w:val="center"/>
            </w:pPr>
            <w:r>
              <w:t>219 542,19</w:t>
            </w:r>
          </w:p>
        </w:tc>
        <w:tc>
          <w:tcPr>
            <w:tcW w:w="1814" w:type="dxa"/>
            <w:vAlign w:val="center"/>
          </w:tcPr>
          <w:p w14:paraId="34517AF1" w14:textId="77777777" w:rsidR="00454A29" w:rsidRDefault="00454A29">
            <w:pPr>
              <w:pStyle w:val="ConsPlusNormal"/>
              <w:jc w:val="center"/>
            </w:pPr>
            <w:r>
              <w:t>219 542,19</w:t>
            </w:r>
          </w:p>
        </w:tc>
        <w:tc>
          <w:tcPr>
            <w:tcW w:w="1701" w:type="dxa"/>
            <w:vAlign w:val="center"/>
          </w:tcPr>
          <w:p w14:paraId="34E642A6" w14:textId="77777777" w:rsidR="00454A29" w:rsidRDefault="00454A29">
            <w:pPr>
              <w:pStyle w:val="ConsPlusNormal"/>
            </w:pPr>
          </w:p>
        </w:tc>
        <w:tc>
          <w:tcPr>
            <w:tcW w:w="1701" w:type="dxa"/>
            <w:vAlign w:val="center"/>
          </w:tcPr>
          <w:p w14:paraId="00979EA5" w14:textId="77777777" w:rsidR="00454A29" w:rsidRDefault="00454A29">
            <w:pPr>
              <w:pStyle w:val="ConsPlusNormal"/>
            </w:pPr>
          </w:p>
        </w:tc>
        <w:tc>
          <w:tcPr>
            <w:tcW w:w="1814" w:type="dxa"/>
            <w:vAlign w:val="center"/>
          </w:tcPr>
          <w:p w14:paraId="53ADC63B" w14:textId="77777777" w:rsidR="00454A29" w:rsidRDefault="00454A29">
            <w:pPr>
              <w:pStyle w:val="ConsPlusNormal"/>
            </w:pPr>
          </w:p>
        </w:tc>
      </w:tr>
      <w:tr w:rsidR="00454A29" w14:paraId="298A2CA8" w14:textId="77777777">
        <w:tc>
          <w:tcPr>
            <w:tcW w:w="567" w:type="dxa"/>
            <w:vMerge/>
          </w:tcPr>
          <w:p w14:paraId="61D1C997" w14:textId="77777777" w:rsidR="00454A29" w:rsidRDefault="00454A29"/>
        </w:tc>
        <w:tc>
          <w:tcPr>
            <w:tcW w:w="3345" w:type="dxa"/>
            <w:vMerge/>
          </w:tcPr>
          <w:p w14:paraId="482F9D37" w14:textId="77777777" w:rsidR="00454A29" w:rsidRDefault="00454A29"/>
        </w:tc>
        <w:tc>
          <w:tcPr>
            <w:tcW w:w="1701" w:type="dxa"/>
            <w:vAlign w:val="center"/>
          </w:tcPr>
          <w:p w14:paraId="65AF2E61" w14:textId="77777777" w:rsidR="00454A29" w:rsidRDefault="00454A29">
            <w:pPr>
              <w:pStyle w:val="ConsPlusNormal"/>
              <w:jc w:val="center"/>
            </w:pPr>
            <w:r>
              <w:t>2021</w:t>
            </w:r>
          </w:p>
        </w:tc>
        <w:tc>
          <w:tcPr>
            <w:tcW w:w="1417" w:type="dxa"/>
            <w:vMerge/>
          </w:tcPr>
          <w:p w14:paraId="0C93328E" w14:textId="77777777" w:rsidR="00454A29" w:rsidRDefault="00454A29"/>
        </w:tc>
        <w:tc>
          <w:tcPr>
            <w:tcW w:w="2204" w:type="dxa"/>
            <w:vMerge/>
          </w:tcPr>
          <w:p w14:paraId="060739F8" w14:textId="77777777" w:rsidR="00454A29" w:rsidRDefault="00454A29"/>
        </w:tc>
        <w:tc>
          <w:tcPr>
            <w:tcW w:w="1417" w:type="dxa"/>
            <w:vMerge/>
          </w:tcPr>
          <w:p w14:paraId="5E47A467" w14:textId="77777777" w:rsidR="00454A29" w:rsidRDefault="00454A29"/>
        </w:tc>
        <w:tc>
          <w:tcPr>
            <w:tcW w:w="2324" w:type="dxa"/>
            <w:vMerge/>
          </w:tcPr>
          <w:p w14:paraId="7D7ADDEE" w14:textId="77777777" w:rsidR="00454A29" w:rsidRDefault="00454A29"/>
        </w:tc>
        <w:tc>
          <w:tcPr>
            <w:tcW w:w="1701" w:type="dxa"/>
            <w:vAlign w:val="center"/>
          </w:tcPr>
          <w:p w14:paraId="6DA0DD7B" w14:textId="77777777" w:rsidR="00454A29" w:rsidRDefault="00454A29">
            <w:pPr>
              <w:pStyle w:val="ConsPlusNormal"/>
              <w:jc w:val="center"/>
            </w:pPr>
            <w:r>
              <w:t>263 973,45</w:t>
            </w:r>
          </w:p>
        </w:tc>
        <w:tc>
          <w:tcPr>
            <w:tcW w:w="1814" w:type="dxa"/>
            <w:vAlign w:val="center"/>
          </w:tcPr>
          <w:p w14:paraId="4F5DB8C9" w14:textId="77777777" w:rsidR="00454A29" w:rsidRDefault="00454A29">
            <w:pPr>
              <w:pStyle w:val="ConsPlusNormal"/>
              <w:jc w:val="center"/>
            </w:pPr>
            <w:r>
              <w:t>263 973,45</w:t>
            </w:r>
          </w:p>
        </w:tc>
        <w:tc>
          <w:tcPr>
            <w:tcW w:w="1701" w:type="dxa"/>
            <w:vAlign w:val="center"/>
          </w:tcPr>
          <w:p w14:paraId="5986CFA9" w14:textId="77777777" w:rsidR="00454A29" w:rsidRDefault="00454A29">
            <w:pPr>
              <w:pStyle w:val="ConsPlusNormal"/>
            </w:pPr>
          </w:p>
        </w:tc>
        <w:tc>
          <w:tcPr>
            <w:tcW w:w="1701" w:type="dxa"/>
            <w:vAlign w:val="center"/>
          </w:tcPr>
          <w:p w14:paraId="23D95BAA" w14:textId="77777777" w:rsidR="00454A29" w:rsidRDefault="00454A29">
            <w:pPr>
              <w:pStyle w:val="ConsPlusNormal"/>
            </w:pPr>
          </w:p>
        </w:tc>
        <w:tc>
          <w:tcPr>
            <w:tcW w:w="1814" w:type="dxa"/>
            <w:vAlign w:val="center"/>
          </w:tcPr>
          <w:p w14:paraId="649E575B" w14:textId="77777777" w:rsidR="00454A29" w:rsidRDefault="00454A29">
            <w:pPr>
              <w:pStyle w:val="ConsPlusNormal"/>
            </w:pPr>
          </w:p>
        </w:tc>
      </w:tr>
      <w:tr w:rsidR="00454A29" w14:paraId="456E7E10" w14:textId="77777777">
        <w:tc>
          <w:tcPr>
            <w:tcW w:w="567" w:type="dxa"/>
            <w:vMerge/>
          </w:tcPr>
          <w:p w14:paraId="34DFE067" w14:textId="77777777" w:rsidR="00454A29" w:rsidRDefault="00454A29"/>
        </w:tc>
        <w:tc>
          <w:tcPr>
            <w:tcW w:w="3345" w:type="dxa"/>
            <w:vMerge/>
          </w:tcPr>
          <w:p w14:paraId="0BB0B22D" w14:textId="77777777" w:rsidR="00454A29" w:rsidRDefault="00454A29"/>
        </w:tc>
        <w:tc>
          <w:tcPr>
            <w:tcW w:w="1701" w:type="dxa"/>
            <w:vAlign w:val="center"/>
          </w:tcPr>
          <w:p w14:paraId="14B02B43" w14:textId="77777777" w:rsidR="00454A29" w:rsidRDefault="00454A29">
            <w:pPr>
              <w:pStyle w:val="ConsPlusNormal"/>
              <w:jc w:val="center"/>
            </w:pPr>
            <w:r>
              <w:t>2023</w:t>
            </w:r>
          </w:p>
        </w:tc>
        <w:tc>
          <w:tcPr>
            <w:tcW w:w="1417" w:type="dxa"/>
            <w:vMerge/>
          </w:tcPr>
          <w:p w14:paraId="457864AF" w14:textId="77777777" w:rsidR="00454A29" w:rsidRDefault="00454A29"/>
        </w:tc>
        <w:tc>
          <w:tcPr>
            <w:tcW w:w="2204" w:type="dxa"/>
            <w:vMerge/>
          </w:tcPr>
          <w:p w14:paraId="36BB6205" w14:textId="77777777" w:rsidR="00454A29" w:rsidRDefault="00454A29"/>
        </w:tc>
        <w:tc>
          <w:tcPr>
            <w:tcW w:w="1417" w:type="dxa"/>
            <w:vMerge/>
          </w:tcPr>
          <w:p w14:paraId="4DAC287E" w14:textId="77777777" w:rsidR="00454A29" w:rsidRDefault="00454A29"/>
        </w:tc>
        <w:tc>
          <w:tcPr>
            <w:tcW w:w="2324" w:type="dxa"/>
            <w:vMerge/>
          </w:tcPr>
          <w:p w14:paraId="609A38F9" w14:textId="77777777" w:rsidR="00454A29" w:rsidRDefault="00454A29"/>
        </w:tc>
        <w:tc>
          <w:tcPr>
            <w:tcW w:w="1701" w:type="dxa"/>
            <w:vAlign w:val="center"/>
          </w:tcPr>
          <w:p w14:paraId="17888213" w14:textId="77777777" w:rsidR="00454A29" w:rsidRDefault="00454A29">
            <w:pPr>
              <w:pStyle w:val="ConsPlusNormal"/>
              <w:jc w:val="center"/>
            </w:pPr>
            <w:r>
              <w:t>170 330,75</w:t>
            </w:r>
          </w:p>
        </w:tc>
        <w:tc>
          <w:tcPr>
            <w:tcW w:w="1814" w:type="dxa"/>
            <w:vAlign w:val="center"/>
          </w:tcPr>
          <w:p w14:paraId="6AF2CFAB" w14:textId="77777777" w:rsidR="00454A29" w:rsidRDefault="00454A29">
            <w:pPr>
              <w:pStyle w:val="ConsPlusNormal"/>
              <w:jc w:val="center"/>
            </w:pPr>
            <w:r>
              <w:t>170 330,75</w:t>
            </w:r>
          </w:p>
        </w:tc>
        <w:tc>
          <w:tcPr>
            <w:tcW w:w="1701" w:type="dxa"/>
            <w:vAlign w:val="center"/>
          </w:tcPr>
          <w:p w14:paraId="0015B8E1" w14:textId="77777777" w:rsidR="00454A29" w:rsidRDefault="00454A29">
            <w:pPr>
              <w:pStyle w:val="ConsPlusNormal"/>
            </w:pPr>
          </w:p>
        </w:tc>
        <w:tc>
          <w:tcPr>
            <w:tcW w:w="1701" w:type="dxa"/>
            <w:vAlign w:val="center"/>
          </w:tcPr>
          <w:p w14:paraId="5C6236A0" w14:textId="77777777" w:rsidR="00454A29" w:rsidRDefault="00454A29">
            <w:pPr>
              <w:pStyle w:val="ConsPlusNormal"/>
              <w:jc w:val="center"/>
            </w:pPr>
            <w:r>
              <w:t>-</w:t>
            </w:r>
          </w:p>
        </w:tc>
        <w:tc>
          <w:tcPr>
            <w:tcW w:w="1814" w:type="dxa"/>
            <w:vAlign w:val="center"/>
          </w:tcPr>
          <w:p w14:paraId="3ED67C61" w14:textId="77777777" w:rsidR="00454A29" w:rsidRDefault="00454A29">
            <w:pPr>
              <w:pStyle w:val="ConsPlusNormal"/>
            </w:pPr>
          </w:p>
        </w:tc>
      </w:tr>
      <w:tr w:rsidR="00454A29" w14:paraId="6CF14C79" w14:textId="77777777">
        <w:tc>
          <w:tcPr>
            <w:tcW w:w="567" w:type="dxa"/>
            <w:vMerge/>
          </w:tcPr>
          <w:p w14:paraId="3AE70A13" w14:textId="77777777" w:rsidR="00454A29" w:rsidRDefault="00454A29"/>
        </w:tc>
        <w:tc>
          <w:tcPr>
            <w:tcW w:w="3345" w:type="dxa"/>
            <w:vMerge/>
          </w:tcPr>
          <w:p w14:paraId="4C7A41B6" w14:textId="77777777" w:rsidR="00454A29" w:rsidRDefault="00454A29"/>
        </w:tc>
        <w:tc>
          <w:tcPr>
            <w:tcW w:w="1701" w:type="dxa"/>
            <w:vAlign w:val="center"/>
          </w:tcPr>
          <w:p w14:paraId="0937AF8C" w14:textId="77777777" w:rsidR="00454A29" w:rsidRDefault="00454A29">
            <w:pPr>
              <w:pStyle w:val="ConsPlusNormal"/>
              <w:jc w:val="center"/>
            </w:pPr>
            <w:r>
              <w:t>2024</w:t>
            </w:r>
          </w:p>
        </w:tc>
        <w:tc>
          <w:tcPr>
            <w:tcW w:w="1417" w:type="dxa"/>
            <w:vMerge/>
          </w:tcPr>
          <w:p w14:paraId="38564BD3" w14:textId="77777777" w:rsidR="00454A29" w:rsidRDefault="00454A29"/>
        </w:tc>
        <w:tc>
          <w:tcPr>
            <w:tcW w:w="2204" w:type="dxa"/>
            <w:vMerge/>
          </w:tcPr>
          <w:p w14:paraId="61A7BFCF" w14:textId="77777777" w:rsidR="00454A29" w:rsidRDefault="00454A29"/>
        </w:tc>
        <w:tc>
          <w:tcPr>
            <w:tcW w:w="1417" w:type="dxa"/>
            <w:vMerge/>
          </w:tcPr>
          <w:p w14:paraId="7B764016" w14:textId="77777777" w:rsidR="00454A29" w:rsidRDefault="00454A29"/>
        </w:tc>
        <w:tc>
          <w:tcPr>
            <w:tcW w:w="2324" w:type="dxa"/>
            <w:vMerge/>
          </w:tcPr>
          <w:p w14:paraId="02858EAC" w14:textId="77777777" w:rsidR="00454A29" w:rsidRDefault="00454A29"/>
        </w:tc>
        <w:tc>
          <w:tcPr>
            <w:tcW w:w="1701" w:type="dxa"/>
            <w:vAlign w:val="center"/>
          </w:tcPr>
          <w:p w14:paraId="58BF0791" w14:textId="77777777" w:rsidR="00454A29" w:rsidRDefault="00454A29">
            <w:pPr>
              <w:pStyle w:val="ConsPlusNormal"/>
              <w:jc w:val="center"/>
            </w:pPr>
            <w:r>
              <w:t>-</w:t>
            </w:r>
          </w:p>
        </w:tc>
        <w:tc>
          <w:tcPr>
            <w:tcW w:w="1814" w:type="dxa"/>
            <w:vAlign w:val="center"/>
          </w:tcPr>
          <w:p w14:paraId="33923087" w14:textId="77777777" w:rsidR="00454A29" w:rsidRDefault="00454A29">
            <w:pPr>
              <w:pStyle w:val="ConsPlusNormal"/>
              <w:jc w:val="center"/>
            </w:pPr>
            <w:r>
              <w:t>-</w:t>
            </w:r>
          </w:p>
        </w:tc>
        <w:tc>
          <w:tcPr>
            <w:tcW w:w="1701" w:type="dxa"/>
            <w:vAlign w:val="center"/>
          </w:tcPr>
          <w:p w14:paraId="0A5C7646" w14:textId="77777777" w:rsidR="00454A29" w:rsidRDefault="00454A29">
            <w:pPr>
              <w:pStyle w:val="ConsPlusNormal"/>
            </w:pPr>
          </w:p>
        </w:tc>
        <w:tc>
          <w:tcPr>
            <w:tcW w:w="1701" w:type="dxa"/>
            <w:vAlign w:val="center"/>
          </w:tcPr>
          <w:p w14:paraId="18321CFF" w14:textId="77777777" w:rsidR="00454A29" w:rsidRDefault="00454A29">
            <w:pPr>
              <w:pStyle w:val="ConsPlusNormal"/>
              <w:jc w:val="center"/>
            </w:pPr>
            <w:r>
              <w:t>-</w:t>
            </w:r>
          </w:p>
        </w:tc>
        <w:tc>
          <w:tcPr>
            <w:tcW w:w="1814" w:type="dxa"/>
            <w:vAlign w:val="center"/>
          </w:tcPr>
          <w:p w14:paraId="558F13A4" w14:textId="77777777" w:rsidR="00454A29" w:rsidRDefault="00454A29">
            <w:pPr>
              <w:pStyle w:val="ConsPlusNormal"/>
            </w:pPr>
          </w:p>
        </w:tc>
      </w:tr>
      <w:tr w:rsidR="00454A29" w14:paraId="2EFB10CF" w14:textId="77777777">
        <w:tc>
          <w:tcPr>
            <w:tcW w:w="567" w:type="dxa"/>
            <w:vMerge/>
          </w:tcPr>
          <w:p w14:paraId="000FAC41" w14:textId="77777777" w:rsidR="00454A29" w:rsidRDefault="00454A29"/>
        </w:tc>
        <w:tc>
          <w:tcPr>
            <w:tcW w:w="3345" w:type="dxa"/>
            <w:vMerge/>
          </w:tcPr>
          <w:p w14:paraId="744FFB79" w14:textId="77777777" w:rsidR="00454A29" w:rsidRDefault="00454A29"/>
        </w:tc>
        <w:tc>
          <w:tcPr>
            <w:tcW w:w="1701" w:type="dxa"/>
            <w:vAlign w:val="center"/>
          </w:tcPr>
          <w:p w14:paraId="3B6F4433" w14:textId="77777777" w:rsidR="00454A29" w:rsidRDefault="00454A29">
            <w:pPr>
              <w:pStyle w:val="ConsPlusNormal"/>
              <w:jc w:val="center"/>
            </w:pPr>
            <w:r>
              <w:t>2025</w:t>
            </w:r>
          </w:p>
        </w:tc>
        <w:tc>
          <w:tcPr>
            <w:tcW w:w="1417" w:type="dxa"/>
            <w:vMerge/>
          </w:tcPr>
          <w:p w14:paraId="369827BA" w14:textId="77777777" w:rsidR="00454A29" w:rsidRDefault="00454A29"/>
        </w:tc>
        <w:tc>
          <w:tcPr>
            <w:tcW w:w="2204" w:type="dxa"/>
            <w:vMerge/>
          </w:tcPr>
          <w:p w14:paraId="0638E430" w14:textId="77777777" w:rsidR="00454A29" w:rsidRDefault="00454A29"/>
        </w:tc>
        <w:tc>
          <w:tcPr>
            <w:tcW w:w="1417" w:type="dxa"/>
            <w:vMerge/>
          </w:tcPr>
          <w:p w14:paraId="4F96C234" w14:textId="77777777" w:rsidR="00454A29" w:rsidRDefault="00454A29"/>
        </w:tc>
        <w:tc>
          <w:tcPr>
            <w:tcW w:w="2324" w:type="dxa"/>
            <w:vMerge/>
          </w:tcPr>
          <w:p w14:paraId="65A52AA4" w14:textId="77777777" w:rsidR="00454A29" w:rsidRDefault="00454A29"/>
        </w:tc>
        <w:tc>
          <w:tcPr>
            <w:tcW w:w="1701" w:type="dxa"/>
            <w:vAlign w:val="center"/>
          </w:tcPr>
          <w:p w14:paraId="0C61C90C" w14:textId="77777777" w:rsidR="00454A29" w:rsidRDefault="00454A29">
            <w:pPr>
              <w:pStyle w:val="ConsPlusNormal"/>
              <w:jc w:val="center"/>
            </w:pPr>
            <w:r>
              <w:t>-</w:t>
            </w:r>
          </w:p>
        </w:tc>
        <w:tc>
          <w:tcPr>
            <w:tcW w:w="1814" w:type="dxa"/>
            <w:vAlign w:val="center"/>
          </w:tcPr>
          <w:p w14:paraId="1E6A8151" w14:textId="77777777" w:rsidR="00454A29" w:rsidRDefault="00454A29">
            <w:pPr>
              <w:pStyle w:val="ConsPlusNormal"/>
              <w:jc w:val="center"/>
            </w:pPr>
            <w:r>
              <w:t>-</w:t>
            </w:r>
          </w:p>
        </w:tc>
        <w:tc>
          <w:tcPr>
            <w:tcW w:w="1701" w:type="dxa"/>
            <w:vAlign w:val="center"/>
          </w:tcPr>
          <w:p w14:paraId="76EFBD7D" w14:textId="77777777" w:rsidR="00454A29" w:rsidRDefault="00454A29">
            <w:pPr>
              <w:pStyle w:val="ConsPlusNormal"/>
            </w:pPr>
          </w:p>
        </w:tc>
        <w:tc>
          <w:tcPr>
            <w:tcW w:w="1701" w:type="dxa"/>
            <w:vAlign w:val="center"/>
          </w:tcPr>
          <w:p w14:paraId="66456609" w14:textId="77777777" w:rsidR="00454A29" w:rsidRDefault="00454A29">
            <w:pPr>
              <w:pStyle w:val="ConsPlusNormal"/>
              <w:jc w:val="center"/>
            </w:pPr>
            <w:r>
              <w:t>-</w:t>
            </w:r>
          </w:p>
        </w:tc>
        <w:tc>
          <w:tcPr>
            <w:tcW w:w="1814" w:type="dxa"/>
            <w:vAlign w:val="center"/>
          </w:tcPr>
          <w:p w14:paraId="0F684A67" w14:textId="77777777" w:rsidR="00454A29" w:rsidRDefault="00454A29">
            <w:pPr>
              <w:pStyle w:val="ConsPlusNormal"/>
            </w:pPr>
          </w:p>
        </w:tc>
      </w:tr>
      <w:tr w:rsidR="00454A29" w14:paraId="1CAA8481" w14:textId="77777777">
        <w:tc>
          <w:tcPr>
            <w:tcW w:w="567" w:type="dxa"/>
            <w:vMerge/>
          </w:tcPr>
          <w:p w14:paraId="70C0A24C" w14:textId="77777777" w:rsidR="00454A29" w:rsidRDefault="00454A29"/>
        </w:tc>
        <w:tc>
          <w:tcPr>
            <w:tcW w:w="3345" w:type="dxa"/>
            <w:vMerge/>
          </w:tcPr>
          <w:p w14:paraId="291F3A4B" w14:textId="77777777" w:rsidR="00454A29" w:rsidRDefault="00454A29"/>
        </w:tc>
        <w:tc>
          <w:tcPr>
            <w:tcW w:w="1701" w:type="dxa"/>
            <w:vAlign w:val="center"/>
          </w:tcPr>
          <w:p w14:paraId="2E0C0C50" w14:textId="77777777" w:rsidR="00454A29" w:rsidRDefault="00454A29">
            <w:pPr>
              <w:pStyle w:val="ConsPlusNormal"/>
              <w:jc w:val="center"/>
            </w:pPr>
            <w:r>
              <w:t>2026</w:t>
            </w:r>
          </w:p>
        </w:tc>
        <w:tc>
          <w:tcPr>
            <w:tcW w:w="1417" w:type="dxa"/>
            <w:vMerge/>
          </w:tcPr>
          <w:p w14:paraId="1F413454" w14:textId="77777777" w:rsidR="00454A29" w:rsidRDefault="00454A29"/>
        </w:tc>
        <w:tc>
          <w:tcPr>
            <w:tcW w:w="2204" w:type="dxa"/>
            <w:vMerge/>
          </w:tcPr>
          <w:p w14:paraId="23813722" w14:textId="77777777" w:rsidR="00454A29" w:rsidRDefault="00454A29"/>
        </w:tc>
        <w:tc>
          <w:tcPr>
            <w:tcW w:w="1417" w:type="dxa"/>
            <w:vMerge/>
          </w:tcPr>
          <w:p w14:paraId="2F2CEB2B" w14:textId="77777777" w:rsidR="00454A29" w:rsidRDefault="00454A29"/>
        </w:tc>
        <w:tc>
          <w:tcPr>
            <w:tcW w:w="2324" w:type="dxa"/>
            <w:vMerge/>
          </w:tcPr>
          <w:p w14:paraId="6946A5F6" w14:textId="77777777" w:rsidR="00454A29" w:rsidRDefault="00454A29"/>
        </w:tc>
        <w:tc>
          <w:tcPr>
            <w:tcW w:w="1701" w:type="dxa"/>
            <w:vAlign w:val="center"/>
          </w:tcPr>
          <w:p w14:paraId="5659CA4C" w14:textId="77777777" w:rsidR="00454A29" w:rsidRDefault="00454A29">
            <w:pPr>
              <w:pStyle w:val="ConsPlusNormal"/>
              <w:jc w:val="center"/>
            </w:pPr>
            <w:r>
              <w:t>-</w:t>
            </w:r>
          </w:p>
        </w:tc>
        <w:tc>
          <w:tcPr>
            <w:tcW w:w="1814" w:type="dxa"/>
            <w:vAlign w:val="center"/>
          </w:tcPr>
          <w:p w14:paraId="4DB2B015" w14:textId="77777777" w:rsidR="00454A29" w:rsidRDefault="00454A29">
            <w:pPr>
              <w:pStyle w:val="ConsPlusNormal"/>
              <w:jc w:val="center"/>
            </w:pPr>
            <w:r>
              <w:t>-</w:t>
            </w:r>
          </w:p>
        </w:tc>
        <w:tc>
          <w:tcPr>
            <w:tcW w:w="1701" w:type="dxa"/>
            <w:vAlign w:val="center"/>
          </w:tcPr>
          <w:p w14:paraId="5B19F3BD" w14:textId="77777777" w:rsidR="00454A29" w:rsidRDefault="00454A29">
            <w:pPr>
              <w:pStyle w:val="ConsPlusNormal"/>
            </w:pPr>
          </w:p>
        </w:tc>
        <w:tc>
          <w:tcPr>
            <w:tcW w:w="1701" w:type="dxa"/>
            <w:vAlign w:val="center"/>
          </w:tcPr>
          <w:p w14:paraId="0DA878E6" w14:textId="77777777" w:rsidR="00454A29" w:rsidRDefault="00454A29">
            <w:pPr>
              <w:pStyle w:val="ConsPlusNormal"/>
              <w:jc w:val="center"/>
            </w:pPr>
            <w:r>
              <w:t>-</w:t>
            </w:r>
          </w:p>
        </w:tc>
        <w:tc>
          <w:tcPr>
            <w:tcW w:w="1814" w:type="dxa"/>
            <w:vAlign w:val="center"/>
          </w:tcPr>
          <w:p w14:paraId="1332BDDD" w14:textId="77777777" w:rsidR="00454A29" w:rsidRDefault="00454A29">
            <w:pPr>
              <w:pStyle w:val="ConsPlusNormal"/>
            </w:pPr>
          </w:p>
        </w:tc>
      </w:tr>
      <w:tr w:rsidR="00454A29" w14:paraId="5401143E" w14:textId="77777777">
        <w:tc>
          <w:tcPr>
            <w:tcW w:w="567" w:type="dxa"/>
            <w:vMerge w:val="restart"/>
            <w:vAlign w:val="center"/>
          </w:tcPr>
          <w:p w14:paraId="54AA0BB3" w14:textId="77777777" w:rsidR="00454A29" w:rsidRDefault="00454A29">
            <w:pPr>
              <w:pStyle w:val="ConsPlusNormal"/>
              <w:jc w:val="center"/>
            </w:pPr>
            <w:r>
              <w:t>210</w:t>
            </w:r>
          </w:p>
        </w:tc>
        <w:tc>
          <w:tcPr>
            <w:tcW w:w="3345" w:type="dxa"/>
            <w:vMerge w:val="restart"/>
            <w:vAlign w:val="center"/>
          </w:tcPr>
          <w:p w14:paraId="1A8FACC5" w14:textId="77777777" w:rsidR="00454A29" w:rsidRDefault="00454A29">
            <w:pPr>
              <w:pStyle w:val="ConsPlusNormal"/>
              <w:jc w:val="center"/>
            </w:pPr>
            <w:r>
              <w:t>Республиканская специальная (коррекционная) школа-интернат на 120 мест для детей с тяжелыми нарушениями речи в г. Якутске</w:t>
            </w:r>
          </w:p>
        </w:tc>
        <w:tc>
          <w:tcPr>
            <w:tcW w:w="1701" w:type="dxa"/>
            <w:vAlign w:val="center"/>
          </w:tcPr>
          <w:p w14:paraId="14E3B3C5" w14:textId="77777777" w:rsidR="00454A29" w:rsidRDefault="00454A29">
            <w:pPr>
              <w:pStyle w:val="ConsPlusNormal"/>
              <w:jc w:val="center"/>
            </w:pPr>
            <w:r>
              <w:t>2020 - 2026 годы - всего</w:t>
            </w:r>
          </w:p>
        </w:tc>
        <w:tc>
          <w:tcPr>
            <w:tcW w:w="1417" w:type="dxa"/>
            <w:vMerge w:val="restart"/>
            <w:vAlign w:val="center"/>
          </w:tcPr>
          <w:p w14:paraId="7E745ADD" w14:textId="77777777" w:rsidR="00454A29" w:rsidRDefault="00454A29">
            <w:pPr>
              <w:pStyle w:val="ConsPlusNormal"/>
              <w:jc w:val="center"/>
            </w:pPr>
            <w:r>
              <w:t>329 308,69</w:t>
            </w:r>
          </w:p>
        </w:tc>
        <w:tc>
          <w:tcPr>
            <w:tcW w:w="2204" w:type="dxa"/>
            <w:vMerge w:val="restart"/>
            <w:vAlign w:val="center"/>
          </w:tcPr>
          <w:p w14:paraId="50CEC95E" w14:textId="77777777" w:rsidR="00454A29" w:rsidRDefault="00454A29">
            <w:pPr>
              <w:pStyle w:val="ConsPlusNormal"/>
              <w:jc w:val="center"/>
            </w:pPr>
            <w:r>
              <w:t>имеется</w:t>
            </w:r>
          </w:p>
        </w:tc>
        <w:tc>
          <w:tcPr>
            <w:tcW w:w="1417" w:type="dxa"/>
            <w:vMerge w:val="restart"/>
            <w:vAlign w:val="center"/>
          </w:tcPr>
          <w:p w14:paraId="2810095F" w14:textId="77777777" w:rsidR="00454A29" w:rsidRDefault="00454A29">
            <w:pPr>
              <w:pStyle w:val="ConsPlusNormal"/>
              <w:jc w:val="center"/>
            </w:pPr>
            <w:r>
              <w:t>120</w:t>
            </w:r>
          </w:p>
        </w:tc>
        <w:tc>
          <w:tcPr>
            <w:tcW w:w="2324" w:type="dxa"/>
            <w:vMerge w:val="restart"/>
            <w:vAlign w:val="center"/>
          </w:tcPr>
          <w:p w14:paraId="0A443C69" w14:textId="77777777" w:rsidR="00454A29" w:rsidRDefault="00454A29">
            <w:pPr>
              <w:pStyle w:val="ConsPlusNormal"/>
              <w:jc w:val="center"/>
            </w:pPr>
            <w:r>
              <w:t>Минэкономики РС(Я), ГО "город Якутск"</w:t>
            </w:r>
          </w:p>
        </w:tc>
        <w:tc>
          <w:tcPr>
            <w:tcW w:w="1701" w:type="dxa"/>
            <w:vAlign w:val="center"/>
          </w:tcPr>
          <w:p w14:paraId="76CE32C7" w14:textId="77777777" w:rsidR="00454A29" w:rsidRDefault="00454A29">
            <w:pPr>
              <w:pStyle w:val="ConsPlusNormal"/>
              <w:jc w:val="center"/>
            </w:pPr>
            <w:r>
              <w:t>-</w:t>
            </w:r>
          </w:p>
        </w:tc>
        <w:tc>
          <w:tcPr>
            <w:tcW w:w="1814" w:type="dxa"/>
            <w:vAlign w:val="center"/>
          </w:tcPr>
          <w:p w14:paraId="5F7EE3B1" w14:textId="77777777" w:rsidR="00454A29" w:rsidRDefault="00454A29">
            <w:pPr>
              <w:pStyle w:val="ConsPlusNormal"/>
              <w:jc w:val="center"/>
            </w:pPr>
            <w:r>
              <w:t>-</w:t>
            </w:r>
          </w:p>
        </w:tc>
        <w:tc>
          <w:tcPr>
            <w:tcW w:w="1701" w:type="dxa"/>
            <w:vAlign w:val="center"/>
          </w:tcPr>
          <w:p w14:paraId="21F1F09E" w14:textId="77777777" w:rsidR="00454A29" w:rsidRDefault="00454A29">
            <w:pPr>
              <w:pStyle w:val="ConsPlusNormal"/>
              <w:jc w:val="center"/>
            </w:pPr>
            <w:r>
              <w:t>-</w:t>
            </w:r>
          </w:p>
        </w:tc>
        <w:tc>
          <w:tcPr>
            <w:tcW w:w="1701" w:type="dxa"/>
            <w:vAlign w:val="center"/>
          </w:tcPr>
          <w:p w14:paraId="59A8A5C7" w14:textId="77777777" w:rsidR="00454A29" w:rsidRDefault="00454A29">
            <w:pPr>
              <w:pStyle w:val="ConsPlusNormal"/>
              <w:jc w:val="center"/>
            </w:pPr>
            <w:r>
              <w:t>-</w:t>
            </w:r>
          </w:p>
        </w:tc>
        <w:tc>
          <w:tcPr>
            <w:tcW w:w="1814" w:type="dxa"/>
            <w:vAlign w:val="center"/>
          </w:tcPr>
          <w:p w14:paraId="35ECAEF7" w14:textId="77777777" w:rsidR="00454A29" w:rsidRDefault="00454A29">
            <w:pPr>
              <w:pStyle w:val="ConsPlusNormal"/>
              <w:jc w:val="center"/>
            </w:pPr>
            <w:r>
              <w:t>-</w:t>
            </w:r>
          </w:p>
        </w:tc>
      </w:tr>
      <w:tr w:rsidR="00454A29" w14:paraId="1DBFDD26" w14:textId="77777777">
        <w:tc>
          <w:tcPr>
            <w:tcW w:w="567" w:type="dxa"/>
            <w:vMerge/>
          </w:tcPr>
          <w:p w14:paraId="4872788C" w14:textId="77777777" w:rsidR="00454A29" w:rsidRDefault="00454A29"/>
        </w:tc>
        <w:tc>
          <w:tcPr>
            <w:tcW w:w="3345" w:type="dxa"/>
            <w:vMerge/>
          </w:tcPr>
          <w:p w14:paraId="6A876D85" w14:textId="77777777" w:rsidR="00454A29" w:rsidRDefault="00454A29"/>
        </w:tc>
        <w:tc>
          <w:tcPr>
            <w:tcW w:w="1701" w:type="dxa"/>
            <w:vAlign w:val="center"/>
          </w:tcPr>
          <w:p w14:paraId="68817F46" w14:textId="77777777" w:rsidR="00454A29" w:rsidRDefault="00454A29">
            <w:pPr>
              <w:pStyle w:val="ConsPlusNormal"/>
              <w:jc w:val="center"/>
            </w:pPr>
            <w:r>
              <w:t>2020</w:t>
            </w:r>
          </w:p>
        </w:tc>
        <w:tc>
          <w:tcPr>
            <w:tcW w:w="1417" w:type="dxa"/>
            <w:vMerge/>
          </w:tcPr>
          <w:p w14:paraId="4AFC9937" w14:textId="77777777" w:rsidR="00454A29" w:rsidRDefault="00454A29"/>
        </w:tc>
        <w:tc>
          <w:tcPr>
            <w:tcW w:w="2204" w:type="dxa"/>
            <w:vMerge/>
          </w:tcPr>
          <w:p w14:paraId="578EA553" w14:textId="77777777" w:rsidR="00454A29" w:rsidRDefault="00454A29"/>
        </w:tc>
        <w:tc>
          <w:tcPr>
            <w:tcW w:w="1417" w:type="dxa"/>
            <w:vMerge/>
          </w:tcPr>
          <w:p w14:paraId="166952E5" w14:textId="77777777" w:rsidR="00454A29" w:rsidRDefault="00454A29"/>
        </w:tc>
        <w:tc>
          <w:tcPr>
            <w:tcW w:w="2324" w:type="dxa"/>
            <w:vMerge/>
          </w:tcPr>
          <w:p w14:paraId="619DEAB0" w14:textId="77777777" w:rsidR="00454A29" w:rsidRDefault="00454A29"/>
        </w:tc>
        <w:tc>
          <w:tcPr>
            <w:tcW w:w="1701" w:type="dxa"/>
            <w:vAlign w:val="center"/>
          </w:tcPr>
          <w:p w14:paraId="0241576E" w14:textId="77777777" w:rsidR="00454A29" w:rsidRDefault="00454A29">
            <w:pPr>
              <w:pStyle w:val="ConsPlusNormal"/>
            </w:pPr>
          </w:p>
        </w:tc>
        <w:tc>
          <w:tcPr>
            <w:tcW w:w="1814" w:type="dxa"/>
            <w:vAlign w:val="center"/>
          </w:tcPr>
          <w:p w14:paraId="1FC3C33F" w14:textId="77777777" w:rsidR="00454A29" w:rsidRDefault="00454A29">
            <w:pPr>
              <w:pStyle w:val="ConsPlusNormal"/>
            </w:pPr>
          </w:p>
        </w:tc>
        <w:tc>
          <w:tcPr>
            <w:tcW w:w="1701" w:type="dxa"/>
            <w:vAlign w:val="center"/>
          </w:tcPr>
          <w:p w14:paraId="342608C7" w14:textId="77777777" w:rsidR="00454A29" w:rsidRDefault="00454A29">
            <w:pPr>
              <w:pStyle w:val="ConsPlusNormal"/>
            </w:pPr>
          </w:p>
        </w:tc>
        <w:tc>
          <w:tcPr>
            <w:tcW w:w="1701" w:type="dxa"/>
            <w:vAlign w:val="center"/>
          </w:tcPr>
          <w:p w14:paraId="322B9050" w14:textId="77777777" w:rsidR="00454A29" w:rsidRDefault="00454A29">
            <w:pPr>
              <w:pStyle w:val="ConsPlusNormal"/>
            </w:pPr>
          </w:p>
        </w:tc>
        <w:tc>
          <w:tcPr>
            <w:tcW w:w="1814" w:type="dxa"/>
            <w:vAlign w:val="center"/>
          </w:tcPr>
          <w:p w14:paraId="4C4C149E" w14:textId="77777777" w:rsidR="00454A29" w:rsidRDefault="00454A29">
            <w:pPr>
              <w:pStyle w:val="ConsPlusNormal"/>
            </w:pPr>
          </w:p>
        </w:tc>
      </w:tr>
      <w:tr w:rsidR="00454A29" w14:paraId="022D6FA5" w14:textId="77777777">
        <w:tc>
          <w:tcPr>
            <w:tcW w:w="567" w:type="dxa"/>
            <w:vMerge/>
          </w:tcPr>
          <w:p w14:paraId="6493B5EC" w14:textId="77777777" w:rsidR="00454A29" w:rsidRDefault="00454A29"/>
        </w:tc>
        <w:tc>
          <w:tcPr>
            <w:tcW w:w="3345" w:type="dxa"/>
            <w:vMerge/>
          </w:tcPr>
          <w:p w14:paraId="11B704A4" w14:textId="77777777" w:rsidR="00454A29" w:rsidRDefault="00454A29"/>
        </w:tc>
        <w:tc>
          <w:tcPr>
            <w:tcW w:w="1701" w:type="dxa"/>
            <w:vAlign w:val="center"/>
          </w:tcPr>
          <w:p w14:paraId="3539BC41" w14:textId="77777777" w:rsidR="00454A29" w:rsidRDefault="00454A29">
            <w:pPr>
              <w:pStyle w:val="ConsPlusNormal"/>
              <w:jc w:val="center"/>
            </w:pPr>
            <w:r>
              <w:t>2021</w:t>
            </w:r>
          </w:p>
        </w:tc>
        <w:tc>
          <w:tcPr>
            <w:tcW w:w="1417" w:type="dxa"/>
            <w:vMerge/>
          </w:tcPr>
          <w:p w14:paraId="02F7D7B1" w14:textId="77777777" w:rsidR="00454A29" w:rsidRDefault="00454A29"/>
        </w:tc>
        <w:tc>
          <w:tcPr>
            <w:tcW w:w="2204" w:type="dxa"/>
            <w:vMerge/>
          </w:tcPr>
          <w:p w14:paraId="791A5F1D" w14:textId="77777777" w:rsidR="00454A29" w:rsidRDefault="00454A29"/>
        </w:tc>
        <w:tc>
          <w:tcPr>
            <w:tcW w:w="1417" w:type="dxa"/>
            <w:vMerge/>
          </w:tcPr>
          <w:p w14:paraId="03BFD620" w14:textId="77777777" w:rsidR="00454A29" w:rsidRDefault="00454A29"/>
        </w:tc>
        <w:tc>
          <w:tcPr>
            <w:tcW w:w="2324" w:type="dxa"/>
            <w:vMerge/>
          </w:tcPr>
          <w:p w14:paraId="7186341B" w14:textId="77777777" w:rsidR="00454A29" w:rsidRDefault="00454A29"/>
        </w:tc>
        <w:tc>
          <w:tcPr>
            <w:tcW w:w="1701" w:type="dxa"/>
            <w:vAlign w:val="center"/>
          </w:tcPr>
          <w:p w14:paraId="4489EFA3" w14:textId="77777777" w:rsidR="00454A29" w:rsidRDefault="00454A29">
            <w:pPr>
              <w:pStyle w:val="ConsPlusNormal"/>
            </w:pPr>
          </w:p>
        </w:tc>
        <w:tc>
          <w:tcPr>
            <w:tcW w:w="1814" w:type="dxa"/>
            <w:vAlign w:val="center"/>
          </w:tcPr>
          <w:p w14:paraId="7ABB158E" w14:textId="77777777" w:rsidR="00454A29" w:rsidRDefault="00454A29">
            <w:pPr>
              <w:pStyle w:val="ConsPlusNormal"/>
            </w:pPr>
          </w:p>
        </w:tc>
        <w:tc>
          <w:tcPr>
            <w:tcW w:w="1701" w:type="dxa"/>
            <w:vAlign w:val="center"/>
          </w:tcPr>
          <w:p w14:paraId="7636E484" w14:textId="77777777" w:rsidR="00454A29" w:rsidRDefault="00454A29">
            <w:pPr>
              <w:pStyle w:val="ConsPlusNormal"/>
            </w:pPr>
          </w:p>
        </w:tc>
        <w:tc>
          <w:tcPr>
            <w:tcW w:w="1701" w:type="dxa"/>
            <w:vAlign w:val="center"/>
          </w:tcPr>
          <w:p w14:paraId="32E98694" w14:textId="77777777" w:rsidR="00454A29" w:rsidRDefault="00454A29">
            <w:pPr>
              <w:pStyle w:val="ConsPlusNormal"/>
            </w:pPr>
          </w:p>
        </w:tc>
        <w:tc>
          <w:tcPr>
            <w:tcW w:w="1814" w:type="dxa"/>
            <w:vAlign w:val="center"/>
          </w:tcPr>
          <w:p w14:paraId="43DCA186" w14:textId="77777777" w:rsidR="00454A29" w:rsidRDefault="00454A29">
            <w:pPr>
              <w:pStyle w:val="ConsPlusNormal"/>
            </w:pPr>
          </w:p>
        </w:tc>
      </w:tr>
      <w:tr w:rsidR="00454A29" w14:paraId="5D5BB274" w14:textId="77777777">
        <w:tc>
          <w:tcPr>
            <w:tcW w:w="567" w:type="dxa"/>
            <w:vMerge/>
          </w:tcPr>
          <w:p w14:paraId="2420B7E1" w14:textId="77777777" w:rsidR="00454A29" w:rsidRDefault="00454A29"/>
        </w:tc>
        <w:tc>
          <w:tcPr>
            <w:tcW w:w="3345" w:type="dxa"/>
            <w:vMerge/>
          </w:tcPr>
          <w:p w14:paraId="163AE94B" w14:textId="77777777" w:rsidR="00454A29" w:rsidRDefault="00454A29"/>
        </w:tc>
        <w:tc>
          <w:tcPr>
            <w:tcW w:w="1701" w:type="dxa"/>
            <w:vAlign w:val="center"/>
          </w:tcPr>
          <w:p w14:paraId="6D148F5A" w14:textId="77777777" w:rsidR="00454A29" w:rsidRDefault="00454A29">
            <w:pPr>
              <w:pStyle w:val="ConsPlusNormal"/>
              <w:jc w:val="center"/>
            </w:pPr>
            <w:r>
              <w:t>2022</w:t>
            </w:r>
          </w:p>
        </w:tc>
        <w:tc>
          <w:tcPr>
            <w:tcW w:w="1417" w:type="dxa"/>
            <w:vMerge/>
          </w:tcPr>
          <w:p w14:paraId="48CC56DF" w14:textId="77777777" w:rsidR="00454A29" w:rsidRDefault="00454A29"/>
        </w:tc>
        <w:tc>
          <w:tcPr>
            <w:tcW w:w="2204" w:type="dxa"/>
            <w:vMerge/>
          </w:tcPr>
          <w:p w14:paraId="622D877F" w14:textId="77777777" w:rsidR="00454A29" w:rsidRDefault="00454A29"/>
        </w:tc>
        <w:tc>
          <w:tcPr>
            <w:tcW w:w="1417" w:type="dxa"/>
            <w:vMerge/>
          </w:tcPr>
          <w:p w14:paraId="07B3EEDA" w14:textId="77777777" w:rsidR="00454A29" w:rsidRDefault="00454A29"/>
        </w:tc>
        <w:tc>
          <w:tcPr>
            <w:tcW w:w="2324" w:type="dxa"/>
            <w:vMerge/>
          </w:tcPr>
          <w:p w14:paraId="1CDEE143" w14:textId="77777777" w:rsidR="00454A29" w:rsidRDefault="00454A29"/>
        </w:tc>
        <w:tc>
          <w:tcPr>
            <w:tcW w:w="1701" w:type="dxa"/>
            <w:vAlign w:val="center"/>
          </w:tcPr>
          <w:p w14:paraId="2D74866E" w14:textId="77777777" w:rsidR="00454A29" w:rsidRDefault="00454A29">
            <w:pPr>
              <w:pStyle w:val="ConsPlusNormal"/>
            </w:pPr>
          </w:p>
        </w:tc>
        <w:tc>
          <w:tcPr>
            <w:tcW w:w="1814" w:type="dxa"/>
            <w:vAlign w:val="center"/>
          </w:tcPr>
          <w:p w14:paraId="6A56018D" w14:textId="77777777" w:rsidR="00454A29" w:rsidRDefault="00454A29">
            <w:pPr>
              <w:pStyle w:val="ConsPlusNormal"/>
            </w:pPr>
          </w:p>
        </w:tc>
        <w:tc>
          <w:tcPr>
            <w:tcW w:w="1701" w:type="dxa"/>
            <w:vAlign w:val="center"/>
          </w:tcPr>
          <w:p w14:paraId="00866507" w14:textId="77777777" w:rsidR="00454A29" w:rsidRDefault="00454A29">
            <w:pPr>
              <w:pStyle w:val="ConsPlusNormal"/>
            </w:pPr>
          </w:p>
        </w:tc>
        <w:tc>
          <w:tcPr>
            <w:tcW w:w="1701" w:type="dxa"/>
            <w:vAlign w:val="center"/>
          </w:tcPr>
          <w:p w14:paraId="3EDE791D" w14:textId="77777777" w:rsidR="00454A29" w:rsidRDefault="00454A29">
            <w:pPr>
              <w:pStyle w:val="ConsPlusNormal"/>
            </w:pPr>
          </w:p>
        </w:tc>
        <w:tc>
          <w:tcPr>
            <w:tcW w:w="1814" w:type="dxa"/>
            <w:vAlign w:val="center"/>
          </w:tcPr>
          <w:p w14:paraId="77D91085" w14:textId="77777777" w:rsidR="00454A29" w:rsidRDefault="00454A29">
            <w:pPr>
              <w:pStyle w:val="ConsPlusNormal"/>
            </w:pPr>
          </w:p>
        </w:tc>
      </w:tr>
      <w:tr w:rsidR="00454A29" w14:paraId="1D43B5B2" w14:textId="77777777">
        <w:tc>
          <w:tcPr>
            <w:tcW w:w="567" w:type="dxa"/>
            <w:vMerge/>
          </w:tcPr>
          <w:p w14:paraId="21D9FAF6" w14:textId="77777777" w:rsidR="00454A29" w:rsidRDefault="00454A29"/>
        </w:tc>
        <w:tc>
          <w:tcPr>
            <w:tcW w:w="3345" w:type="dxa"/>
            <w:vMerge/>
          </w:tcPr>
          <w:p w14:paraId="427D7BA5" w14:textId="77777777" w:rsidR="00454A29" w:rsidRDefault="00454A29"/>
        </w:tc>
        <w:tc>
          <w:tcPr>
            <w:tcW w:w="1701" w:type="dxa"/>
            <w:vAlign w:val="center"/>
          </w:tcPr>
          <w:p w14:paraId="62FD3F55" w14:textId="77777777" w:rsidR="00454A29" w:rsidRDefault="00454A29">
            <w:pPr>
              <w:pStyle w:val="ConsPlusNormal"/>
              <w:jc w:val="center"/>
            </w:pPr>
            <w:r>
              <w:t>2023</w:t>
            </w:r>
          </w:p>
        </w:tc>
        <w:tc>
          <w:tcPr>
            <w:tcW w:w="1417" w:type="dxa"/>
            <w:vMerge/>
          </w:tcPr>
          <w:p w14:paraId="28738A47" w14:textId="77777777" w:rsidR="00454A29" w:rsidRDefault="00454A29"/>
        </w:tc>
        <w:tc>
          <w:tcPr>
            <w:tcW w:w="2204" w:type="dxa"/>
            <w:vMerge/>
          </w:tcPr>
          <w:p w14:paraId="738C9CEF" w14:textId="77777777" w:rsidR="00454A29" w:rsidRDefault="00454A29"/>
        </w:tc>
        <w:tc>
          <w:tcPr>
            <w:tcW w:w="1417" w:type="dxa"/>
            <w:vMerge/>
          </w:tcPr>
          <w:p w14:paraId="746D602D" w14:textId="77777777" w:rsidR="00454A29" w:rsidRDefault="00454A29"/>
        </w:tc>
        <w:tc>
          <w:tcPr>
            <w:tcW w:w="2324" w:type="dxa"/>
            <w:vMerge/>
          </w:tcPr>
          <w:p w14:paraId="230F9928" w14:textId="77777777" w:rsidR="00454A29" w:rsidRDefault="00454A29"/>
        </w:tc>
        <w:tc>
          <w:tcPr>
            <w:tcW w:w="1701" w:type="dxa"/>
            <w:vAlign w:val="center"/>
          </w:tcPr>
          <w:p w14:paraId="28736248" w14:textId="77777777" w:rsidR="00454A29" w:rsidRDefault="00454A29">
            <w:pPr>
              <w:pStyle w:val="ConsPlusNormal"/>
            </w:pPr>
          </w:p>
        </w:tc>
        <w:tc>
          <w:tcPr>
            <w:tcW w:w="1814" w:type="dxa"/>
            <w:vAlign w:val="center"/>
          </w:tcPr>
          <w:p w14:paraId="6D8E3A52" w14:textId="77777777" w:rsidR="00454A29" w:rsidRDefault="00454A29">
            <w:pPr>
              <w:pStyle w:val="ConsPlusNormal"/>
            </w:pPr>
          </w:p>
        </w:tc>
        <w:tc>
          <w:tcPr>
            <w:tcW w:w="1701" w:type="dxa"/>
            <w:vAlign w:val="center"/>
          </w:tcPr>
          <w:p w14:paraId="046057A6" w14:textId="77777777" w:rsidR="00454A29" w:rsidRDefault="00454A29">
            <w:pPr>
              <w:pStyle w:val="ConsPlusNormal"/>
            </w:pPr>
          </w:p>
        </w:tc>
        <w:tc>
          <w:tcPr>
            <w:tcW w:w="1701" w:type="dxa"/>
            <w:vAlign w:val="center"/>
          </w:tcPr>
          <w:p w14:paraId="7F0F3885" w14:textId="77777777" w:rsidR="00454A29" w:rsidRDefault="00454A29">
            <w:pPr>
              <w:pStyle w:val="ConsPlusNormal"/>
            </w:pPr>
          </w:p>
        </w:tc>
        <w:tc>
          <w:tcPr>
            <w:tcW w:w="1814" w:type="dxa"/>
            <w:vAlign w:val="center"/>
          </w:tcPr>
          <w:p w14:paraId="05F82F85" w14:textId="77777777" w:rsidR="00454A29" w:rsidRDefault="00454A29">
            <w:pPr>
              <w:pStyle w:val="ConsPlusNormal"/>
            </w:pPr>
          </w:p>
        </w:tc>
      </w:tr>
      <w:tr w:rsidR="00454A29" w14:paraId="12218681" w14:textId="77777777">
        <w:tc>
          <w:tcPr>
            <w:tcW w:w="567" w:type="dxa"/>
            <w:vMerge/>
          </w:tcPr>
          <w:p w14:paraId="499E1FDE" w14:textId="77777777" w:rsidR="00454A29" w:rsidRDefault="00454A29"/>
        </w:tc>
        <w:tc>
          <w:tcPr>
            <w:tcW w:w="3345" w:type="dxa"/>
            <w:vMerge/>
          </w:tcPr>
          <w:p w14:paraId="523955F3" w14:textId="77777777" w:rsidR="00454A29" w:rsidRDefault="00454A29"/>
        </w:tc>
        <w:tc>
          <w:tcPr>
            <w:tcW w:w="1701" w:type="dxa"/>
            <w:vAlign w:val="center"/>
          </w:tcPr>
          <w:p w14:paraId="7CA31DFF" w14:textId="77777777" w:rsidR="00454A29" w:rsidRDefault="00454A29">
            <w:pPr>
              <w:pStyle w:val="ConsPlusNormal"/>
              <w:jc w:val="center"/>
            </w:pPr>
            <w:r>
              <w:t>2024</w:t>
            </w:r>
          </w:p>
        </w:tc>
        <w:tc>
          <w:tcPr>
            <w:tcW w:w="1417" w:type="dxa"/>
            <w:vMerge/>
          </w:tcPr>
          <w:p w14:paraId="18C2ADDC" w14:textId="77777777" w:rsidR="00454A29" w:rsidRDefault="00454A29"/>
        </w:tc>
        <w:tc>
          <w:tcPr>
            <w:tcW w:w="2204" w:type="dxa"/>
            <w:vMerge/>
          </w:tcPr>
          <w:p w14:paraId="7F948BE3" w14:textId="77777777" w:rsidR="00454A29" w:rsidRDefault="00454A29"/>
        </w:tc>
        <w:tc>
          <w:tcPr>
            <w:tcW w:w="1417" w:type="dxa"/>
            <w:vMerge/>
          </w:tcPr>
          <w:p w14:paraId="00C781CC" w14:textId="77777777" w:rsidR="00454A29" w:rsidRDefault="00454A29"/>
        </w:tc>
        <w:tc>
          <w:tcPr>
            <w:tcW w:w="2324" w:type="dxa"/>
            <w:vMerge/>
          </w:tcPr>
          <w:p w14:paraId="00CB2C2E" w14:textId="77777777" w:rsidR="00454A29" w:rsidRDefault="00454A29"/>
        </w:tc>
        <w:tc>
          <w:tcPr>
            <w:tcW w:w="1701" w:type="dxa"/>
            <w:vAlign w:val="center"/>
          </w:tcPr>
          <w:p w14:paraId="0D6A959D" w14:textId="77777777" w:rsidR="00454A29" w:rsidRDefault="00454A29">
            <w:pPr>
              <w:pStyle w:val="ConsPlusNormal"/>
            </w:pPr>
          </w:p>
        </w:tc>
        <w:tc>
          <w:tcPr>
            <w:tcW w:w="1814" w:type="dxa"/>
            <w:vAlign w:val="center"/>
          </w:tcPr>
          <w:p w14:paraId="4CFA7027" w14:textId="77777777" w:rsidR="00454A29" w:rsidRDefault="00454A29">
            <w:pPr>
              <w:pStyle w:val="ConsPlusNormal"/>
            </w:pPr>
          </w:p>
        </w:tc>
        <w:tc>
          <w:tcPr>
            <w:tcW w:w="1701" w:type="dxa"/>
            <w:vAlign w:val="center"/>
          </w:tcPr>
          <w:p w14:paraId="3EAD57A1" w14:textId="77777777" w:rsidR="00454A29" w:rsidRDefault="00454A29">
            <w:pPr>
              <w:pStyle w:val="ConsPlusNormal"/>
            </w:pPr>
          </w:p>
        </w:tc>
        <w:tc>
          <w:tcPr>
            <w:tcW w:w="1701" w:type="dxa"/>
            <w:vAlign w:val="center"/>
          </w:tcPr>
          <w:p w14:paraId="1B079A5A" w14:textId="77777777" w:rsidR="00454A29" w:rsidRDefault="00454A29">
            <w:pPr>
              <w:pStyle w:val="ConsPlusNormal"/>
            </w:pPr>
          </w:p>
        </w:tc>
        <w:tc>
          <w:tcPr>
            <w:tcW w:w="1814" w:type="dxa"/>
            <w:vAlign w:val="center"/>
          </w:tcPr>
          <w:p w14:paraId="0DB92087" w14:textId="77777777" w:rsidR="00454A29" w:rsidRDefault="00454A29">
            <w:pPr>
              <w:pStyle w:val="ConsPlusNormal"/>
            </w:pPr>
          </w:p>
        </w:tc>
      </w:tr>
      <w:tr w:rsidR="00454A29" w14:paraId="7C14DFCB" w14:textId="77777777">
        <w:tc>
          <w:tcPr>
            <w:tcW w:w="567" w:type="dxa"/>
            <w:vMerge/>
          </w:tcPr>
          <w:p w14:paraId="2B31C3D4" w14:textId="77777777" w:rsidR="00454A29" w:rsidRDefault="00454A29"/>
        </w:tc>
        <w:tc>
          <w:tcPr>
            <w:tcW w:w="3345" w:type="dxa"/>
            <w:vMerge/>
          </w:tcPr>
          <w:p w14:paraId="2F326200" w14:textId="77777777" w:rsidR="00454A29" w:rsidRDefault="00454A29"/>
        </w:tc>
        <w:tc>
          <w:tcPr>
            <w:tcW w:w="1701" w:type="dxa"/>
            <w:vAlign w:val="center"/>
          </w:tcPr>
          <w:p w14:paraId="3AE66681" w14:textId="77777777" w:rsidR="00454A29" w:rsidRDefault="00454A29">
            <w:pPr>
              <w:pStyle w:val="ConsPlusNormal"/>
              <w:jc w:val="center"/>
            </w:pPr>
            <w:r>
              <w:t>2025</w:t>
            </w:r>
          </w:p>
        </w:tc>
        <w:tc>
          <w:tcPr>
            <w:tcW w:w="1417" w:type="dxa"/>
            <w:vMerge/>
          </w:tcPr>
          <w:p w14:paraId="33F727CC" w14:textId="77777777" w:rsidR="00454A29" w:rsidRDefault="00454A29"/>
        </w:tc>
        <w:tc>
          <w:tcPr>
            <w:tcW w:w="2204" w:type="dxa"/>
            <w:vMerge/>
          </w:tcPr>
          <w:p w14:paraId="2BBE9B25" w14:textId="77777777" w:rsidR="00454A29" w:rsidRDefault="00454A29"/>
        </w:tc>
        <w:tc>
          <w:tcPr>
            <w:tcW w:w="1417" w:type="dxa"/>
            <w:vMerge/>
          </w:tcPr>
          <w:p w14:paraId="4A52B2B5" w14:textId="77777777" w:rsidR="00454A29" w:rsidRDefault="00454A29"/>
        </w:tc>
        <w:tc>
          <w:tcPr>
            <w:tcW w:w="2324" w:type="dxa"/>
            <w:vMerge/>
          </w:tcPr>
          <w:p w14:paraId="619EA28B" w14:textId="77777777" w:rsidR="00454A29" w:rsidRDefault="00454A29"/>
        </w:tc>
        <w:tc>
          <w:tcPr>
            <w:tcW w:w="1701" w:type="dxa"/>
            <w:vAlign w:val="center"/>
          </w:tcPr>
          <w:p w14:paraId="1DCE91B4" w14:textId="77777777" w:rsidR="00454A29" w:rsidRDefault="00454A29">
            <w:pPr>
              <w:pStyle w:val="ConsPlusNormal"/>
            </w:pPr>
          </w:p>
        </w:tc>
        <w:tc>
          <w:tcPr>
            <w:tcW w:w="1814" w:type="dxa"/>
            <w:vAlign w:val="center"/>
          </w:tcPr>
          <w:p w14:paraId="18B86CC0" w14:textId="77777777" w:rsidR="00454A29" w:rsidRDefault="00454A29">
            <w:pPr>
              <w:pStyle w:val="ConsPlusNormal"/>
            </w:pPr>
          </w:p>
        </w:tc>
        <w:tc>
          <w:tcPr>
            <w:tcW w:w="1701" w:type="dxa"/>
            <w:vAlign w:val="center"/>
          </w:tcPr>
          <w:p w14:paraId="7630CABA" w14:textId="77777777" w:rsidR="00454A29" w:rsidRDefault="00454A29">
            <w:pPr>
              <w:pStyle w:val="ConsPlusNormal"/>
            </w:pPr>
          </w:p>
        </w:tc>
        <w:tc>
          <w:tcPr>
            <w:tcW w:w="1701" w:type="dxa"/>
            <w:vAlign w:val="center"/>
          </w:tcPr>
          <w:p w14:paraId="48DE3EA0" w14:textId="77777777" w:rsidR="00454A29" w:rsidRDefault="00454A29">
            <w:pPr>
              <w:pStyle w:val="ConsPlusNormal"/>
            </w:pPr>
          </w:p>
        </w:tc>
        <w:tc>
          <w:tcPr>
            <w:tcW w:w="1814" w:type="dxa"/>
            <w:vAlign w:val="center"/>
          </w:tcPr>
          <w:p w14:paraId="1115601D" w14:textId="77777777" w:rsidR="00454A29" w:rsidRDefault="00454A29">
            <w:pPr>
              <w:pStyle w:val="ConsPlusNormal"/>
            </w:pPr>
          </w:p>
        </w:tc>
      </w:tr>
      <w:tr w:rsidR="00454A29" w14:paraId="03BDFFBE" w14:textId="77777777">
        <w:tc>
          <w:tcPr>
            <w:tcW w:w="567" w:type="dxa"/>
            <w:vMerge/>
          </w:tcPr>
          <w:p w14:paraId="47DA75D7" w14:textId="77777777" w:rsidR="00454A29" w:rsidRDefault="00454A29"/>
        </w:tc>
        <w:tc>
          <w:tcPr>
            <w:tcW w:w="3345" w:type="dxa"/>
            <w:vMerge/>
          </w:tcPr>
          <w:p w14:paraId="22E7A621" w14:textId="77777777" w:rsidR="00454A29" w:rsidRDefault="00454A29"/>
        </w:tc>
        <w:tc>
          <w:tcPr>
            <w:tcW w:w="1701" w:type="dxa"/>
            <w:vAlign w:val="center"/>
          </w:tcPr>
          <w:p w14:paraId="2BDCFE7B" w14:textId="77777777" w:rsidR="00454A29" w:rsidRDefault="00454A29">
            <w:pPr>
              <w:pStyle w:val="ConsPlusNormal"/>
              <w:jc w:val="center"/>
            </w:pPr>
            <w:r>
              <w:t>2026</w:t>
            </w:r>
          </w:p>
        </w:tc>
        <w:tc>
          <w:tcPr>
            <w:tcW w:w="1417" w:type="dxa"/>
            <w:vMerge/>
          </w:tcPr>
          <w:p w14:paraId="581B7AE4" w14:textId="77777777" w:rsidR="00454A29" w:rsidRDefault="00454A29"/>
        </w:tc>
        <w:tc>
          <w:tcPr>
            <w:tcW w:w="2204" w:type="dxa"/>
            <w:vMerge/>
          </w:tcPr>
          <w:p w14:paraId="31465E3C" w14:textId="77777777" w:rsidR="00454A29" w:rsidRDefault="00454A29"/>
        </w:tc>
        <w:tc>
          <w:tcPr>
            <w:tcW w:w="1417" w:type="dxa"/>
            <w:vMerge/>
          </w:tcPr>
          <w:p w14:paraId="739A02BA" w14:textId="77777777" w:rsidR="00454A29" w:rsidRDefault="00454A29"/>
        </w:tc>
        <w:tc>
          <w:tcPr>
            <w:tcW w:w="2324" w:type="dxa"/>
            <w:vMerge/>
          </w:tcPr>
          <w:p w14:paraId="76679F17" w14:textId="77777777" w:rsidR="00454A29" w:rsidRDefault="00454A29"/>
        </w:tc>
        <w:tc>
          <w:tcPr>
            <w:tcW w:w="1701" w:type="dxa"/>
            <w:vAlign w:val="center"/>
          </w:tcPr>
          <w:p w14:paraId="004F2993" w14:textId="77777777" w:rsidR="00454A29" w:rsidRDefault="00454A29">
            <w:pPr>
              <w:pStyle w:val="ConsPlusNormal"/>
            </w:pPr>
          </w:p>
        </w:tc>
        <w:tc>
          <w:tcPr>
            <w:tcW w:w="1814" w:type="dxa"/>
            <w:vAlign w:val="center"/>
          </w:tcPr>
          <w:p w14:paraId="77FA9563" w14:textId="77777777" w:rsidR="00454A29" w:rsidRDefault="00454A29">
            <w:pPr>
              <w:pStyle w:val="ConsPlusNormal"/>
            </w:pPr>
          </w:p>
        </w:tc>
        <w:tc>
          <w:tcPr>
            <w:tcW w:w="1701" w:type="dxa"/>
            <w:vAlign w:val="center"/>
          </w:tcPr>
          <w:p w14:paraId="6341DE84" w14:textId="77777777" w:rsidR="00454A29" w:rsidRDefault="00454A29">
            <w:pPr>
              <w:pStyle w:val="ConsPlusNormal"/>
            </w:pPr>
          </w:p>
        </w:tc>
        <w:tc>
          <w:tcPr>
            <w:tcW w:w="1701" w:type="dxa"/>
            <w:vAlign w:val="center"/>
          </w:tcPr>
          <w:p w14:paraId="7102573A" w14:textId="77777777" w:rsidR="00454A29" w:rsidRDefault="00454A29">
            <w:pPr>
              <w:pStyle w:val="ConsPlusNormal"/>
            </w:pPr>
          </w:p>
        </w:tc>
        <w:tc>
          <w:tcPr>
            <w:tcW w:w="1814" w:type="dxa"/>
            <w:vAlign w:val="center"/>
          </w:tcPr>
          <w:p w14:paraId="01D92DC8" w14:textId="77777777" w:rsidR="00454A29" w:rsidRDefault="00454A29">
            <w:pPr>
              <w:pStyle w:val="ConsPlusNormal"/>
            </w:pPr>
          </w:p>
        </w:tc>
      </w:tr>
      <w:tr w:rsidR="00454A29" w14:paraId="17D396F8" w14:textId="77777777">
        <w:tc>
          <w:tcPr>
            <w:tcW w:w="567" w:type="dxa"/>
            <w:vMerge w:val="restart"/>
            <w:vAlign w:val="center"/>
          </w:tcPr>
          <w:p w14:paraId="2B08C457" w14:textId="77777777" w:rsidR="00454A29" w:rsidRDefault="00454A29">
            <w:pPr>
              <w:pStyle w:val="ConsPlusNormal"/>
              <w:jc w:val="center"/>
            </w:pPr>
            <w:r>
              <w:t>211</w:t>
            </w:r>
          </w:p>
        </w:tc>
        <w:tc>
          <w:tcPr>
            <w:tcW w:w="3345" w:type="dxa"/>
            <w:vMerge w:val="restart"/>
            <w:vAlign w:val="center"/>
          </w:tcPr>
          <w:p w14:paraId="0A60FD70" w14:textId="77777777" w:rsidR="00454A29" w:rsidRDefault="00454A29">
            <w:pPr>
              <w:pStyle w:val="ConsPlusNormal"/>
              <w:jc w:val="center"/>
            </w:pPr>
            <w:r>
              <w:t>МОКУ СКОШ N 4 на 180 учащихся в г. Якутске (коррекционная)</w:t>
            </w:r>
          </w:p>
        </w:tc>
        <w:tc>
          <w:tcPr>
            <w:tcW w:w="1701" w:type="dxa"/>
            <w:vAlign w:val="center"/>
          </w:tcPr>
          <w:p w14:paraId="45E772FD" w14:textId="77777777" w:rsidR="00454A29" w:rsidRDefault="00454A29">
            <w:pPr>
              <w:pStyle w:val="ConsPlusNormal"/>
              <w:jc w:val="center"/>
            </w:pPr>
            <w:r>
              <w:t>2020 - 2026 годы - всего</w:t>
            </w:r>
          </w:p>
        </w:tc>
        <w:tc>
          <w:tcPr>
            <w:tcW w:w="1417" w:type="dxa"/>
            <w:vMerge w:val="restart"/>
            <w:vAlign w:val="center"/>
          </w:tcPr>
          <w:p w14:paraId="5B332611" w14:textId="77777777" w:rsidR="00454A29" w:rsidRDefault="00454A29">
            <w:pPr>
              <w:pStyle w:val="ConsPlusNormal"/>
            </w:pPr>
          </w:p>
        </w:tc>
        <w:tc>
          <w:tcPr>
            <w:tcW w:w="2204" w:type="dxa"/>
            <w:vMerge w:val="restart"/>
            <w:vAlign w:val="center"/>
          </w:tcPr>
          <w:p w14:paraId="54484DB7" w14:textId="77777777" w:rsidR="00454A29" w:rsidRDefault="00454A29">
            <w:pPr>
              <w:pStyle w:val="ConsPlusNormal"/>
            </w:pPr>
          </w:p>
        </w:tc>
        <w:tc>
          <w:tcPr>
            <w:tcW w:w="1417" w:type="dxa"/>
            <w:vMerge w:val="restart"/>
            <w:vAlign w:val="center"/>
          </w:tcPr>
          <w:p w14:paraId="74DA42C3" w14:textId="77777777" w:rsidR="00454A29" w:rsidRDefault="00454A29">
            <w:pPr>
              <w:pStyle w:val="ConsPlusNormal"/>
              <w:jc w:val="center"/>
            </w:pPr>
            <w:r>
              <w:t>180</w:t>
            </w:r>
          </w:p>
        </w:tc>
        <w:tc>
          <w:tcPr>
            <w:tcW w:w="2324" w:type="dxa"/>
            <w:vMerge w:val="restart"/>
            <w:vAlign w:val="center"/>
          </w:tcPr>
          <w:p w14:paraId="74403882" w14:textId="77777777" w:rsidR="00454A29" w:rsidRDefault="00454A29">
            <w:pPr>
              <w:pStyle w:val="ConsPlusNormal"/>
              <w:jc w:val="center"/>
            </w:pPr>
            <w:r>
              <w:t>Минэкономики РС(Я), ГО "город Якутск"</w:t>
            </w:r>
          </w:p>
        </w:tc>
        <w:tc>
          <w:tcPr>
            <w:tcW w:w="1701" w:type="dxa"/>
            <w:vAlign w:val="center"/>
          </w:tcPr>
          <w:p w14:paraId="5EC4D53A" w14:textId="77777777" w:rsidR="00454A29" w:rsidRDefault="00454A29">
            <w:pPr>
              <w:pStyle w:val="ConsPlusNormal"/>
            </w:pPr>
          </w:p>
        </w:tc>
        <w:tc>
          <w:tcPr>
            <w:tcW w:w="1814" w:type="dxa"/>
            <w:vAlign w:val="center"/>
          </w:tcPr>
          <w:p w14:paraId="4034F19B" w14:textId="77777777" w:rsidR="00454A29" w:rsidRDefault="00454A29">
            <w:pPr>
              <w:pStyle w:val="ConsPlusNormal"/>
            </w:pPr>
          </w:p>
        </w:tc>
        <w:tc>
          <w:tcPr>
            <w:tcW w:w="1701" w:type="dxa"/>
            <w:vAlign w:val="center"/>
          </w:tcPr>
          <w:p w14:paraId="4A25917D" w14:textId="77777777" w:rsidR="00454A29" w:rsidRDefault="00454A29">
            <w:pPr>
              <w:pStyle w:val="ConsPlusNormal"/>
            </w:pPr>
          </w:p>
        </w:tc>
        <w:tc>
          <w:tcPr>
            <w:tcW w:w="1701" w:type="dxa"/>
            <w:vAlign w:val="center"/>
          </w:tcPr>
          <w:p w14:paraId="1E4B3B82" w14:textId="77777777" w:rsidR="00454A29" w:rsidRDefault="00454A29">
            <w:pPr>
              <w:pStyle w:val="ConsPlusNormal"/>
            </w:pPr>
          </w:p>
        </w:tc>
        <w:tc>
          <w:tcPr>
            <w:tcW w:w="1814" w:type="dxa"/>
            <w:vAlign w:val="center"/>
          </w:tcPr>
          <w:p w14:paraId="4736AE90" w14:textId="77777777" w:rsidR="00454A29" w:rsidRDefault="00454A29">
            <w:pPr>
              <w:pStyle w:val="ConsPlusNormal"/>
            </w:pPr>
          </w:p>
        </w:tc>
      </w:tr>
      <w:tr w:rsidR="00454A29" w14:paraId="56D8FF6D" w14:textId="77777777">
        <w:tc>
          <w:tcPr>
            <w:tcW w:w="567" w:type="dxa"/>
            <w:vMerge/>
          </w:tcPr>
          <w:p w14:paraId="2B53549A" w14:textId="77777777" w:rsidR="00454A29" w:rsidRDefault="00454A29"/>
        </w:tc>
        <w:tc>
          <w:tcPr>
            <w:tcW w:w="3345" w:type="dxa"/>
            <w:vMerge/>
          </w:tcPr>
          <w:p w14:paraId="36E16DBD" w14:textId="77777777" w:rsidR="00454A29" w:rsidRDefault="00454A29"/>
        </w:tc>
        <w:tc>
          <w:tcPr>
            <w:tcW w:w="1701" w:type="dxa"/>
            <w:vAlign w:val="center"/>
          </w:tcPr>
          <w:p w14:paraId="013BC4AE" w14:textId="77777777" w:rsidR="00454A29" w:rsidRDefault="00454A29">
            <w:pPr>
              <w:pStyle w:val="ConsPlusNormal"/>
              <w:jc w:val="center"/>
            </w:pPr>
            <w:r>
              <w:t>2020</w:t>
            </w:r>
          </w:p>
        </w:tc>
        <w:tc>
          <w:tcPr>
            <w:tcW w:w="1417" w:type="dxa"/>
            <w:vMerge/>
          </w:tcPr>
          <w:p w14:paraId="6CF4F298" w14:textId="77777777" w:rsidR="00454A29" w:rsidRDefault="00454A29"/>
        </w:tc>
        <w:tc>
          <w:tcPr>
            <w:tcW w:w="2204" w:type="dxa"/>
            <w:vMerge/>
          </w:tcPr>
          <w:p w14:paraId="0C0B9195" w14:textId="77777777" w:rsidR="00454A29" w:rsidRDefault="00454A29"/>
        </w:tc>
        <w:tc>
          <w:tcPr>
            <w:tcW w:w="1417" w:type="dxa"/>
            <w:vMerge/>
          </w:tcPr>
          <w:p w14:paraId="32DCB069" w14:textId="77777777" w:rsidR="00454A29" w:rsidRDefault="00454A29"/>
        </w:tc>
        <w:tc>
          <w:tcPr>
            <w:tcW w:w="2324" w:type="dxa"/>
            <w:vMerge/>
          </w:tcPr>
          <w:p w14:paraId="57687739" w14:textId="77777777" w:rsidR="00454A29" w:rsidRDefault="00454A29"/>
        </w:tc>
        <w:tc>
          <w:tcPr>
            <w:tcW w:w="1701" w:type="dxa"/>
            <w:vAlign w:val="center"/>
          </w:tcPr>
          <w:p w14:paraId="5DB29FB2" w14:textId="77777777" w:rsidR="00454A29" w:rsidRDefault="00454A29">
            <w:pPr>
              <w:pStyle w:val="ConsPlusNormal"/>
            </w:pPr>
          </w:p>
        </w:tc>
        <w:tc>
          <w:tcPr>
            <w:tcW w:w="1814" w:type="dxa"/>
            <w:vAlign w:val="center"/>
          </w:tcPr>
          <w:p w14:paraId="28A54F46" w14:textId="77777777" w:rsidR="00454A29" w:rsidRDefault="00454A29">
            <w:pPr>
              <w:pStyle w:val="ConsPlusNormal"/>
            </w:pPr>
          </w:p>
        </w:tc>
        <w:tc>
          <w:tcPr>
            <w:tcW w:w="1701" w:type="dxa"/>
            <w:vAlign w:val="center"/>
          </w:tcPr>
          <w:p w14:paraId="68DF0193" w14:textId="77777777" w:rsidR="00454A29" w:rsidRDefault="00454A29">
            <w:pPr>
              <w:pStyle w:val="ConsPlusNormal"/>
            </w:pPr>
          </w:p>
        </w:tc>
        <w:tc>
          <w:tcPr>
            <w:tcW w:w="1701" w:type="dxa"/>
            <w:vAlign w:val="center"/>
          </w:tcPr>
          <w:p w14:paraId="4E4C59BD" w14:textId="77777777" w:rsidR="00454A29" w:rsidRDefault="00454A29">
            <w:pPr>
              <w:pStyle w:val="ConsPlusNormal"/>
            </w:pPr>
          </w:p>
        </w:tc>
        <w:tc>
          <w:tcPr>
            <w:tcW w:w="1814" w:type="dxa"/>
            <w:vAlign w:val="center"/>
          </w:tcPr>
          <w:p w14:paraId="621B92BB" w14:textId="77777777" w:rsidR="00454A29" w:rsidRDefault="00454A29">
            <w:pPr>
              <w:pStyle w:val="ConsPlusNormal"/>
            </w:pPr>
          </w:p>
        </w:tc>
      </w:tr>
      <w:tr w:rsidR="00454A29" w14:paraId="6908FCE9" w14:textId="77777777">
        <w:tc>
          <w:tcPr>
            <w:tcW w:w="567" w:type="dxa"/>
            <w:vMerge/>
          </w:tcPr>
          <w:p w14:paraId="5DCBDD3A" w14:textId="77777777" w:rsidR="00454A29" w:rsidRDefault="00454A29"/>
        </w:tc>
        <w:tc>
          <w:tcPr>
            <w:tcW w:w="3345" w:type="dxa"/>
            <w:vMerge/>
          </w:tcPr>
          <w:p w14:paraId="70F2D1BC" w14:textId="77777777" w:rsidR="00454A29" w:rsidRDefault="00454A29"/>
        </w:tc>
        <w:tc>
          <w:tcPr>
            <w:tcW w:w="1701" w:type="dxa"/>
            <w:vAlign w:val="center"/>
          </w:tcPr>
          <w:p w14:paraId="2E650711" w14:textId="77777777" w:rsidR="00454A29" w:rsidRDefault="00454A29">
            <w:pPr>
              <w:pStyle w:val="ConsPlusNormal"/>
              <w:jc w:val="center"/>
            </w:pPr>
            <w:r>
              <w:t>2021</w:t>
            </w:r>
          </w:p>
        </w:tc>
        <w:tc>
          <w:tcPr>
            <w:tcW w:w="1417" w:type="dxa"/>
            <w:vMerge/>
          </w:tcPr>
          <w:p w14:paraId="74CCF50F" w14:textId="77777777" w:rsidR="00454A29" w:rsidRDefault="00454A29"/>
        </w:tc>
        <w:tc>
          <w:tcPr>
            <w:tcW w:w="2204" w:type="dxa"/>
            <w:vMerge/>
          </w:tcPr>
          <w:p w14:paraId="75E23123" w14:textId="77777777" w:rsidR="00454A29" w:rsidRDefault="00454A29"/>
        </w:tc>
        <w:tc>
          <w:tcPr>
            <w:tcW w:w="1417" w:type="dxa"/>
            <w:vMerge/>
          </w:tcPr>
          <w:p w14:paraId="0184131D" w14:textId="77777777" w:rsidR="00454A29" w:rsidRDefault="00454A29"/>
        </w:tc>
        <w:tc>
          <w:tcPr>
            <w:tcW w:w="2324" w:type="dxa"/>
            <w:vMerge/>
          </w:tcPr>
          <w:p w14:paraId="42DDFBB4" w14:textId="77777777" w:rsidR="00454A29" w:rsidRDefault="00454A29"/>
        </w:tc>
        <w:tc>
          <w:tcPr>
            <w:tcW w:w="1701" w:type="dxa"/>
            <w:vAlign w:val="center"/>
          </w:tcPr>
          <w:p w14:paraId="590DFCC3" w14:textId="77777777" w:rsidR="00454A29" w:rsidRDefault="00454A29">
            <w:pPr>
              <w:pStyle w:val="ConsPlusNormal"/>
            </w:pPr>
          </w:p>
        </w:tc>
        <w:tc>
          <w:tcPr>
            <w:tcW w:w="1814" w:type="dxa"/>
            <w:vAlign w:val="center"/>
          </w:tcPr>
          <w:p w14:paraId="08A69804" w14:textId="77777777" w:rsidR="00454A29" w:rsidRDefault="00454A29">
            <w:pPr>
              <w:pStyle w:val="ConsPlusNormal"/>
            </w:pPr>
          </w:p>
        </w:tc>
        <w:tc>
          <w:tcPr>
            <w:tcW w:w="1701" w:type="dxa"/>
            <w:vAlign w:val="center"/>
          </w:tcPr>
          <w:p w14:paraId="7A227664" w14:textId="77777777" w:rsidR="00454A29" w:rsidRDefault="00454A29">
            <w:pPr>
              <w:pStyle w:val="ConsPlusNormal"/>
            </w:pPr>
          </w:p>
        </w:tc>
        <w:tc>
          <w:tcPr>
            <w:tcW w:w="1701" w:type="dxa"/>
            <w:vAlign w:val="center"/>
          </w:tcPr>
          <w:p w14:paraId="1724C93A" w14:textId="77777777" w:rsidR="00454A29" w:rsidRDefault="00454A29">
            <w:pPr>
              <w:pStyle w:val="ConsPlusNormal"/>
            </w:pPr>
          </w:p>
        </w:tc>
        <w:tc>
          <w:tcPr>
            <w:tcW w:w="1814" w:type="dxa"/>
            <w:vAlign w:val="center"/>
          </w:tcPr>
          <w:p w14:paraId="794862F3" w14:textId="77777777" w:rsidR="00454A29" w:rsidRDefault="00454A29">
            <w:pPr>
              <w:pStyle w:val="ConsPlusNormal"/>
            </w:pPr>
          </w:p>
        </w:tc>
      </w:tr>
      <w:tr w:rsidR="00454A29" w14:paraId="30897F4A" w14:textId="77777777">
        <w:tc>
          <w:tcPr>
            <w:tcW w:w="567" w:type="dxa"/>
            <w:vMerge/>
          </w:tcPr>
          <w:p w14:paraId="18DB6192" w14:textId="77777777" w:rsidR="00454A29" w:rsidRDefault="00454A29"/>
        </w:tc>
        <w:tc>
          <w:tcPr>
            <w:tcW w:w="3345" w:type="dxa"/>
            <w:vMerge/>
          </w:tcPr>
          <w:p w14:paraId="333AD93C" w14:textId="77777777" w:rsidR="00454A29" w:rsidRDefault="00454A29"/>
        </w:tc>
        <w:tc>
          <w:tcPr>
            <w:tcW w:w="1701" w:type="dxa"/>
            <w:vAlign w:val="center"/>
          </w:tcPr>
          <w:p w14:paraId="73AC994D" w14:textId="77777777" w:rsidR="00454A29" w:rsidRDefault="00454A29">
            <w:pPr>
              <w:pStyle w:val="ConsPlusNormal"/>
              <w:jc w:val="center"/>
            </w:pPr>
            <w:r>
              <w:t>2022</w:t>
            </w:r>
          </w:p>
        </w:tc>
        <w:tc>
          <w:tcPr>
            <w:tcW w:w="1417" w:type="dxa"/>
            <w:vMerge/>
          </w:tcPr>
          <w:p w14:paraId="3F821C41" w14:textId="77777777" w:rsidR="00454A29" w:rsidRDefault="00454A29"/>
        </w:tc>
        <w:tc>
          <w:tcPr>
            <w:tcW w:w="2204" w:type="dxa"/>
            <w:vMerge/>
          </w:tcPr>
          <w:p w14:paraId="7D82B80F" w14:textId="77777777" w:rsidR="00454A29" w:rsidRDefault="00454A29"/>
        </w:tc>
        <w:tc>
          <w:tcPr>
            <w:tcW w:w="1417" w:type="dxa"/>
            <w:vMerge/>
          </w:tcPr>
          <w:p w14:paraId="1ADC1E79" w14:textId="77777777" w:rsidR="00454A29" w:rsidRDefault="00454A29"/>
        </w:tc>
        <w:tc>
          <w:tcPr>
            <w:tcW w:w="2324" w:type="dxa"/>
            <w:vMerge/>
          </w:tcPr>
          <w:p w14:paraId="0989C7BA" w14:textId="77777777" w:rsidR="00454A29" w:rsidRDefault="00454A29"/>
        </w:tc>
        <w:tc>
          <w:tcPr>
            <w:tcW w:w="1701" w:type="dxa"/>
            <w:vAlign w:val="center"/>
          </w:tcPr>
          <w:p w14:paraId="05BFCDCA" w14:textId="77777777" w:rsidR="00454A29" w:rsidRDefault="00454A29">
            <w:pPr>
              <w:pStyle w:val="ConsPlusNormal"/>
            </w:pPr>
          </w:p>
        </w:tc>
        <w:tc>
          <w:tcPr>
            <w:tcW w:w="1814" w:type="dxa"/>
            <w:vAlign w:val="center"/>
          </w:tcPr>
          <w:p w14:paraId="2A468019" w14:textId="77777777" w:rsidR="00454A29" w:rsidRDefault="00454A29">
            <w:pPr>
              <w:pStyle w:val="ConsPlusNormal"/>
            </w:pPr>
          </w:p>
        </w:tc>
        <w:tc>
          <w:tcPr>
            <w:tcW w:w="1701" w:type="dxa"/>
            <w:vAlign w:val="center"/>
          </w:tcPr>
          <w:p w14:paraId="6DACFE05" w14:textId="77777777" w:rsidR="00454A29" w:rsidRDefault="00454A29">
            <w:pPr>
              <w:pStyle w:val="ConsPlusNormal"/>
            </w:pPr>
          </w:p>
        </w:tc>
        <w:tc>
          <w:tcPr>
            <w:tcW w:w="1701" w:type="dxa"/>
            <w:vAlign w:val="center"/>
          </w:tcPr>
          <w:p w14:paraId="2099F5D6" w14:textId="77777777" w:rsidR="00454A29" w:rsidRDefault="00454A29">
            <w:pPr>
              <w:pStyle w:val="ConsPlusNormal"/>
            </w:pPr>
          </w:p>
        </w:tc>
        <w:tc>
          <w:tcPr>
            <w:tcW w:w="1814" w:type="dxa"/>
            <w:vAlign w:val="center"/>
          </w:tcPr>
          <w:p w14:paraId="4D78DB7F" w14:textId="77777777" w:rsidR="00454A29" w:rsidRDefault="00454A29">
            <w:pPr>
              <w:pStyle w:val="ConsPlusNormal"/>
            </w:pPr>
          </w:p>
        </w:tc>
      </w:tr>
      <w:tr w:rsidR="00454A29" w14:paraId="787829A5" w14:textId="77777777">
        <w:tc>
          <w:tcPr>
            <w:tcW w:w="567" w:type="dxa"/>
            <w:vMerge/>
          </w:tcPr>
          <w:p w14:paraId="25E4FFCB" w14:textId="77777777" w:rsidR="00454A29" w:rsidRDefault="00454A29"/>
        </w:tc>
        <w:tc>
          <w:tcPr>
            <w:tcW w:w="3345" w:type="dxa"/>
            <w:vMerge/>
          </w:tcPr>
          <w:p w14:paraId="5D35D447" w14:textId="77777777" w:rsidR="00454A29" w:rsidRDefault="00454A29"/>
        </w:tc>
        <w:tc>
          <w:tcPr>
            <w:tcW w:w="1701" w:type="dxa"/>
            <w:vAlign w:val="center"/>
          </w:tcPr>
          <w:p w14:paraId="751D9735" w14:textId="77777777" w:rsidR="00454A29" w:rsidRDefault="00454A29">
            <w:pPr>
              <w:pStyle w:val="ConsPlusNormal"/>
              <w:jc w:val="center"/>
            </w:pPr>
            <w:r>
              <w:t>2023</w:t>
            </w:r>
          </w:p>
        </w:tc>
        <w:tc>
          <w:tcPr>
            <w:tcW w:w="1417" w:type="dxa"/>
            <w:vMerge/>
          </w:tcPr>
          <w:p w14:paraId="0B3ED048" w14:textId="77777777" w:rsidR="00454A29" w:rsidRDefault="00454A29"/>
        </w:tc>
        <w:tc>
          <w:tcPr>
            <w:tcW w:w="2204" w:type="dxa"/>
            <w:vMerge/>
          </w:tcPr>
          <w:p w14:paraId="03C90FBC" w14:textId="77777777" w:rsidR="00454A29" w:rsidRDefault="00454A29"/>
        </w:tc>
        <w:tc>
          <w:tcPr>
            <w:tcW w:w="1417" w:type="dxa"/>
            <w:vMerge/>
          </w:tcPr>
          <w:p w14:paraId="536D4DE7" w14:textId="77777777" w:rsidR="00454A29" w:rsidRDefault="00454A29"/>
        </w:tc>
        <w:tc>
          <w:tcPr>
            <w:tcW w:w="2324" w:type="dxa"/>
            <w:vMerge/>
          </w:tcPr>
          <w:p w14:paraId="23527003" w14:textId="77777777" w:rsidR="00454A29" w:rsidRDefault="00454A29"/>
        </w:tc>
        <w:tc>
          <w:tcPr>
            <w:tcW w:w="1701" w:type="dxa"/>
            <w:vAlign w:val="center"/>
          </w:tcPr>
          <w:p w14:paraId="2C9FD571" w14:textId="77777777" w:rsidR="00454A29" w:rsidRDefault="00454A29">
            <w:pPr>
              <w:pStyle w:val="ConsPlusNormal"/>
            </w:pPr>
          </w:p>
        </w:tc>
        <w:tc>
          <w:tcPr>
            <w:tcW w:w="1814" w:type="dxa"/>
            <w:vAlign w:val="center"/>
          </w:tcPr>
          <w:p w14:paraId="0ACC2C4B" w14:textId="77777777" w:rsidR="00454A29" w:rsidRDefault="00454A29">
            <w:pPr>
              <w:pStyle w:val="ConsPlusNormal"/>
            </w:pPr>
          </w:p>
        </w:tc>
        <w:tc>
          <w:tcPr>
            <w:tcW w:w="1701" w:type="dxa"/>
            <w:vAlign w:val="center"/>
          </w:tcPr>
          <w:p w14:paraId="55CBDD5C" w14:textId="77777777" w:rsidR="00454A29" w:rsidRDefault="00454A29">
            <w:pPr>
              <w:pStyle w:val="ConsPlusNormal"/>
            </w:pPr>
          </w:p>
        </w:tc>
        <w:tc>
          <w:tcPr>
            <w:tcW w:w="1701" w:type="dxa"/>
            <w:vAlign w:val="center"/>
          </w:tcPr>
          <w:p w14:paraId="08F80165" w14:textId="77777777" w:rsidR="00454A29" w:rsidRDefault="00454A29">
            <w:pPr>
              <w:pStyle w:val="ConsPlusNormal"/>
            </w:pPr>
          </w:p>
        </w:tc>
        <w:tc>
          <w:tcPr>
            <w:tcW w:w="1814" w:type="dxa"/>
            <w:vAlign w:val="center"/>
          </w:tcPr>
          <w:p w14:paraId="2D5A338B" w14:textId="77777777" w:rsidR="00454A29" w:rsidRDefault="00454A29">
            <w:pPr>
              <w:pStyle w:val="ConsPlusNormal"/>
            </w:pPr>
          </w:p>
        </w:tc>
      </w:tr>
      <w:tr w:rsidR="00454A29" w14:paraId="60C046FE" w14:textId="77777777">
        <w:tc>
          <w:tcPr>
            <w:tcW w:w="567" w:type="dxa"/>
            <w:vMerge/>
          </w:tcPr>
          <w:p w14:paraId="34E28A17" w14:textId="77777777" w:rsidR="00454A29" w:rsidRDefault="00454A29"/>
        </w:tc>
        <w:tc>
          <w:tcPr>
            <w:tcW w:w="3345" w:type="dxa"/>
            <w:vMerge/>
          </w:tcPr>
          <w:p w14:paraId="71D8649A" w14:textId="77777777" w:rsidR="00454A29" w:rsidRDefault="00454A29"/>
        </w:tc>
        <w:tc>
          <w:tcPr>
            <w:tcW w:w="1701" w:type="dxa"/>
            <w:vAlign w:val="center"/>
          </w:tcPr>
          <w:p w14:paraId="15985664" w14:textId="77777777" w:rsidR="00454A29" w:rsidRDefault="00454A29">
            <w:pPr>
              <w:pStyle w:val="ConsPlusNormal"/>
              <w:jc w:val="center"/>
            </w:pPr>
            <w:r>
              <w:t>2024</w:t>
            </w:r>
          </w:p>
        </w:tc>
        <w:tc>
          <w:tcPr>
            <w:tcW w:w="1417" w:type="dxa"/>
            <w:vMerge/>
          </w:tcPr>
          <w:p w14:paraId="10370A48" w14:textId="77777777" w:rsidR="00454A29" w:rsidRDefault="00454A29"/>
        </w:tc>
        <w:tc>
          <w:tcPr>
            <w:tcW w:w="2204" w:type="dxa"/>
            <w:vMerge/>
          </w:tcPr>
          <w:p w14:paraId="2A92185E" w14:textId="77777777" w:rsidR="00454A29" w:rsidRDefault="00454A29"/>
        </w:tc>
        <w:tc>
          <w:tcPr>
            <w:tcW w:w="1417" w:type="dxa"/>
            <w:vMerge/>
          </w:tcPr>
          <w:p w14:paraId="41BD8811" w14:textId="77777777" w:rsidR="00454A29" w:rsidRDefault="00454A29"/>
        </w:tc>
        <w:tc>
          <w:tcPr>
            <w:tcW w:w="2324" w:type="dxa"/>
            <w:vMerge/>
          </w:tcPr>
          <w:p w14:paraId="1F19DDAD" w14:textId="77777777" w:rsidR="00454A29" w:rsidRDefault="00454A29"/>
        </w:tc>
        <w:tc>
          <w:tcPr>
            <w:tcW w:w="1701" w:type="dxa"/>
            <w:vAlign w:val="center"/>
          </w:tcPr>
          <w:p w14:paraId="3E5A0619" w14:textId="77777777" w:rsidR="00454A29" w:rsidRDefault="00454A29">
            <w:pPr>
              <w:pStyle w:val="ConsPlusNormal"/>
            </w:pPr>
          </w:p>
        </w:tc>
        <w:tc>
          <w:tcPr>
            <w:tcW w:w="1814" w:type="dxa"/>
            <w:vAlign w:val="center"/>
          </w:tcPr>
          <w:p w14:paraId="1EA8B52A" w14:textId="77777777" w:rsidR="00454A29" w:rsidRDefault="00454A29">
            <w:pPr>
              <w:pStyle w:val="ConsPlusNormal"/>
            </w:pPr>
          </w:p>
        </w:tc>
        <w:tc>
          <w:tcPr>
            <w:tcW w:w="1701" w:type="dxa"/>
            <w:vAlign w:val="center"/>
          </w:tcPr>
          <w:p w14:paraId="493ADC0E" w14:textId="77777777" w:rsidR="00454A29" w:rsidRDefault="00454A29">
            <w:pPr>
              <w:pStyle w:val="ConsPlusNormal"/>
            </w:pPr>
          </w:p>
        </w:tc>
        <w:tc>
          <w:tcPr>
            <w:tcW w:w="1701" w:type="dxa"/>
            <w:vAlign w:val="center"/>
          </w:tcPr>
          <w:p w14:paraId="7218F015" w14:textId="77777777" w:rsidR="00454A29" w:rsidRDefault="00454A29">
            <w:pPr>
              <w:pStyle w:val="ConsPlusNormal"/>
            </w:pPr>
          </w:p>
        </w:tc>
        <w:tc>
          <w:tcPr>
            <w:tcW w:w="1814" w:type="dxa"/>
            <w:vAlign w:val="center"/>
          </w:tcPr>
          <w:p w14:paraId="41BF3E27" w14:textId="77777777" w:rsidR="00454A29" w:rsidRDefault="00454A29">
            <w:pPr>
              <w:pStyle w:val="ConsPlusNormal"/>
            </w:pPr>
          </w:p>
        </w:tc>
      </w:tr>
      <w:tr w:rsidR="00454A29" w14:paraId="3F2B9A34" w14:textId="77777777">
        <w:tc>
          <w:tcPr>
            <w:tcW w:w="567" w:type="dxa"/>
            <w:vMerge/>
          </w:tcPr>
          <w:p w14:paraId="4B705C88" w14:textId="77777777" w:rsidR="00454A29" w:rsidRDefault="00454A29"/>
        </w:tc>
        <w:tc>
          <w:tcPr>
            <w:tcW w:w="3345" w:type="dxa"/>
            <w:vMerge/>
          </w:tcPr>
          <w:p w14:paraId="309ABA94" w14:textId="77777777" w:rsidR="00454A29" w:rsidRDefault="00454A29"/>
        </w:tc>
        <w:tc>
          <w:tcPr>
            <w:tcW w:w="1701" w:type="dxa"/>
            <w:vAlign w:val="center"/>
          </w:tcPr>
          <w:p w14:paraId="3AF48C31" w14:textId="77777777" w:rsidR="00454A29" w:rsidRDefault="00454A29">
            <w:pPr>
              <w:pStyle w:val="ConsPlusNormal"/>
              <w:jc w:val="center"/>
            </w:pPr>
            <w:r>
              <w:t>2025</w:t>
            </w:r>
          </w:p>
        </w:tc>
        <w:tc>
          <w:tcPr>
            <w:tcW w:w="1417" w:type="dxa"/>
            <w:vMerge/>
          </w:tcPr>
          <w:p w14:paraId="52B31821" w14:textId="77777777" w:rsidR="00454A29" w:rsidRDefault="00454A29"/>
        </w:tc>
        <w:tc>
          <w:tcPr>
            <w:tcW w:w="2204" w:type="dxa"/>
            <w:vMerge/>
          </w:tcPr>
          <w:p w14:paraId="3BB18C25" w14:textId="77777777" w:rsidR="00454A29" w:rsidRDefault="00454A29"/>
        </w:tc>
        <w:tc>
          <w:tcPr>
            <w:tcW w:w="1417" w:type="dxa"/>
            <w:vMerge/>
          </w:tcPr>
          <w:p w14:paraId="255A3F56" w14:textId="77777777" w:rsidR="00454A29" w:rsidRDefault="00454A29"/>
        </w:tc>
        <w:tc>
          <w:tcPr>
            <w:tcW w:w="2324" w:type="dxa"/>
            <w:vMerge/>
          </w:tcPr>
          <w:p w14:paraId="123C7C32" w14:textId="77777777" w:rsidR="00454A29" w:rsidRDefault="00454A29"/>
        </w:tc>
        <w:tc>
          <w:tcPr>
            <w:tcW w:w="1701" w:type="dxa"/>
            <w:vAlign w:val="center"/>
          </w:tcPr>
          <w:p w14:paraId="35753540" w14:textId="77777777" w:rsidR="00454A29" w:rsidRDefault="00454A29">
            <w:pPr>
              <w:pStyle w:val="ConsPlusNormal"/>
            </w:pPr>
          </w:p>
        </w:tc>
        <w:tc>
          <w:tcPr>
            <w:tcW w:w="1814" w:type="dxa"/>
            <w:vAlign w:val="center"/>
          </w:tcPr>
          <w:p w14:paraId="6C889CBB" w14:textId="77777777" w:rsidR="00454A29" w:rsidRDefault="00454A29">
            <w:pPr>
              <w:pStyle w:val="ConsPlusNormal"/>
            </w:pPr>
          </w:p>
        </w:tc>
        <w:tc>
          <w:tcPr>
            <w:tcW w:w="1701" w:type="dxa"/>
            <w:vAlign w:val="center"/>
          </w:tcPr>
          <w:p w14:paraId="4FF1B2E2" w14:textId="77777777" w:rsidR="00454A29" w:rsidRDefault="00454A29">
            <w:pPr>
              <w:pStyle w:val="ConsPlusNormal"/>
            </w:pPr>
          </w:p>
        </w:tc>
        <w:tc>
          <w:tcPr>
            <w:tcW w:w="1701" w:type="dxa"/>
            <w:vAlign w:val="center"/>
          </w:tcPr>
          <w:p w14:paraId="0668792C" w14:textId="77777777" w:rsidR="00454A29" w:rsidRDefault="00454A29">
            <w:pPr>
              <w:pStyle w:val="ConsPlusNormal"/>
            </w:pPr>
          </w:p>
        </w:tc>
        <w:tc>
          <w:tcPr>
            <w:tcW w:w="1814" w:type="dxa"/>
            <w:vAlign w:val="center"/>
          </w:tcPr>
          <w:p w14:paraId="70FD4421" w14:textId="77777777" w:rsidR="00454A29" w:rsidRDefault="00454A29">
            <w:pPr>
              <w:pStyle w:val="ConsPlusNormal"/>
            </w:pPr>
          </w:p>
        </w:tc>
      </w:tr>
      <w:tr w:rsidR="00454A29" w14:paraId="06B2366A" w14:textId="77777777">
        <w:tc>
          <w:tcPr>
            <w:tcW w:w="567" w:type="dxa"/>
            <w:vMerge/>
          </w:tcPr>
          <w:p w14:paraId="06C78C3E" w14:textId="77777777" w:rsidR="00454A29" w:rsidRDefault="00454A29"/>
        </w:tc>
        <w:tc>
          <w:tcPr>
            <w:tcW w:w="3345" w:type="dxa"/>
            <w:vMerge/>
          </w:tcPr>
          <w:p w14:paraId="305BE7B6" w14:textId="77777777" w:rsidR="00454A29" w:rsidRDefault="00454A29"/>
        </w:tc>
        <w:tc>
          <w:tcPr>
            <w:tcW w:w="1701" w:type="dxa"/>
            <w:vAlign w:val="center"/>
          </w:tcPr>
          <w:p w14:paraId="50D50C01" w14:textId="77777777" w:rsidR="00454A29" w:rsidRDefault="00454A29">
            <w:pPr>
              <w:pStyle w:val="ConsPlusNormal"/>
              <w:jc w:val="center"/>
            </w:pPr>
            <w:r>
              <w:t>2026</w:t>
            </w:r>
          </w:p>
        </w:tc>
        <w:tc>
          <w:tcPr>
            <w:tcW w:w="1417" w:type="dxa"/>
            <w:vMerge/>
          </w:tcPr>
          <w:p w14:paraId="183A68DE" w14:textId="77777777" w:rsidR="00454A29" w:rsidRDefault="00454A29"/>
        </w:tc>
        <w:tc>
          <w:tcPr>
            <w:tcW w:w="2204" w:type="dxa"/>
            <w:vMerge/>
          </w:tcPr>
          <w:p w14:paraId="13D5D2B6" w14:textId="77777777" w:rsidR="00454A29" w:rsidRDefault="00454A29"/>
        </w:tc>
        <w:tc>
          <w:tcPr>
            <w:tcW w:w="1417" w:type="dxa"/>
            <w:vMerge/>
          </w:tcPr>
          <w:p w14:paraId="0D013D3A" w14:textId="77777777" w:rsidR="00454A29" w:rsidRDefault="00454A29"/>
        </w:tc>
        <w:tc>
          <w:tcPr>
            <w:tcW w:w="2324" w:type="dxa"/>
            <w:vMerge/>
          </w:tcPr>
          <w:p w14:paraId="03969AE3" w14:textId="77777777" w:rsidR="00454A29" w:rsidRDefault="00454A29"/>
        </w:tc>
        <w:tc>
          <w:tcPr>
            <w:tcW w:w="1701" w:type="dxa"/>
            <w:vAlign w:val="center"/>
          </w:tcPr>
          <w:p w14:paraId="43C0AE83" w14:textId="77777777" w:rsidR="00454A29" w:rsidRDefault="00454A29">
            <w:pPr>
              <w:pStyle w:val="ConsPlusNormal"/>
            </w:pPr>
          </w:p>
        </w:tc>
        <w:tc>
          <w:tcPr>
            <w:tcW w:w="1814" w:type="dxa"/>
            <w:vAlign w:val="center"/>
          </w:tcPr>
          <w:p w14:paraId="51F3AC55" w14:textId="77777777" w:rsidR="00454A29" w:rsidRDefault="00454A29">
            <w:pPr>
              <w:pStyle w:val="ConsPlusNormal"/>
            </w:pPr>
          </w:p>
        </w:tc>
        <w:tc>
          <w:tcPr>
            <w:tcW w:w="1701" w:type="dxa"/>
            <w:vAlign w:val="center"/>
          </w:tcPr>
          <w:p w14:paraId="0C27236E" w14:textId="77777777" w:rsidR="00454A29" w:rsidRDefault="00454A29">
            <w:pPr>
              <w:pStyle w:val="ConsPlusNormal"/>
            </w:pPr>
          </w:p>
        </w:tc>
        <w:tc>
          <w:tcPr>
            <w:tcW w:w="1701" w:type="dxa"/>
            <w:vAlign w:val="center"/>
          </w:tcPr>
          <w:p w14:paraId="5486F1AD" w14:textId="77777777" w:rsidR="00454A29" w:rsidRDefault="00454A29">
            <w:pPr>
              <w:pStyle w:val="ConsPlusNormal"/>
            </w:pPr>
          </w:p>
        </w:tc>
        <w:tc>
          <w:tcPr>
            <w:tcW w:w="1814" w:type="dxa"/>
            <w:vAlign w:val="center"/>
          </w:tcPr>
          <w:p w14:paraId="57F254F6" w14:textId="77777777" w:rsidR="00454A29" w:rsidRDefault="00454A29">
            <w:pPr>
              <w:pStyle w:val="ConsPlusNormal"/>
            </w:pPr>
          </w:p>
        </w:tc>
      </w:tr>
      <w:tr w:rsidR="00454A29" w14:paraId="4FFD8A7C" w14:textId="77777777">
        <w:tc>
          <w:tcPr>
            <w:tcW w:w="567" w:type="dxa"/>
            <w:vMerge w:val="restart"/>
            <w:vAlign w:val="center"/>
          </w:tcPr>
          <w:p w14:paraId="7DDE3A33" w14:textId="77777777" w:rsidR="00454A29" w:rsidRDefault="00454A29">
            <w:pPr>
              <w:pStyle w:val="ConsPlusNormal"/>
              <w:jc w:val="center"/>
            </w:pPr>
            <w:r>
              <w:t>212</w:t>
            </w:r>
          </w:p>
        </w:tc>
        <w:tc>
          <w:tcPr>
            <w:tcW w:w="3345" w:type="dxa"/>
            <w:vMerge w:val="restart"/>
            <w:vAlign w:val="center"/>
          </w:tcPr>
          <w:p w14:paraId="516BB17C" w14:textId="77777777" w:rsidR="00454A29" w:rsidRDefault="00454A29">
            <w:pPr>
              <w:pStyle w:val="ConsPlusNormal"/>
              <w:jc w:val="center"/>
            </w:pPr>
            <w:r>
              <w:t>Школа-интернат 350/120 мест (СКОШ N 34) по Сергеляхскому шоссе в г. Якутске</w:t>
            </w:r>
          </w:p>
        </w:tc>
        <w:tc>
          <w:tcPr>
            <w:tcW w:w="1701" w:type="dxa"/>
            <w:vAlign w:val="center"/>
          </w:tcPr>
          <w:p w14:paraId="2B84BEBC" w14:textId="77777777" w:rsidR="00454A29" w:rsidRDefault="00454A29">
            <w:pPr>
              <w:pStyle w:val="ConsPlusNormal"/>
              <w:jc w:val="center"/>
            </w:pPr>
            <w:r>
              <w:t>2020 - 2026 годы - всего</w:t>
            </w:r>
          </w:p>
        </w:tc>
        <w:tc>
          <w:tcPr>
            <w:tcW w:w="1417" w:type="dxa"/>
            <w:vMerge w:val="restart"/>
            <w:vAlign w:val="center"/>
          </w:tcPr>
          <w:p w14:paraId="1E96003A" w14:textId="77777777" w:rsidR="00454A29" w:rsidRDefault="00454A29">
            <w:pPr>
              <w:pStyle w:val="ConsPlusNormal"/>
            </w:pPr>
          </w:p>
        </w:tc>
        <w:tc>
          <w:tcPr>
            <w:tcW w:w="2204" w:type="dxa"/>
            <w:vMerge w:val="restart"/>
            <w:vAlign w:val="center"/>
          </w:tcPr>
          <w:p w14:paraId="7B9360F2" w14:textId="77777777" w:rsidR="00454A29" w:rsidRDefault="00454A29">
            <w:pPr>
              <w:pStyle w:val="ConsPlusNormal"/>
            </w:pPr>
          </w:p>
        </w:tc>
        <w:tc>
          <w:tcPr>
            <w:tcW w:w="1417" w:type="dxa"/>
            <w:vMerge w:val="restart"/>
            <w:vAlign w:val="center"/>
          </w:tcPr>
          <w:p w14:paraId="5FFB26BD" w14:textId="77777777" w:rsidR="00454A29" w:rsidRDefault="00454A29">
            <w:pPr>
              <w:pStyle w:val="ConsPlusNormal"/>
              <w:jc w:val="center"/>
            </w:pPr>
            <w:r>
              <w:t>350</w:t>
            </w:r>
          </w:p>
        </w:tc>
        <w:tc>
          <w:tcPr>
            <w:tcW w:w="2324" w:type="dxa"/>
            <w:vMerge w:val="restart"/>
            <w:vAlign w:val="center"/>
          </w:tcPr>
          <w:p w14:paraId="410A0032" w14:textId="77777777" w:rsidR="00454A29" w:rsidRDefault="00454A29">
            <w:pPr>
              <w:pStyle w:val="ConsPlusNormal"/>
              <w:jc w:val="center"/>
            </w:pPr>
            <w:r>
              <w:t>Минэкономики РС(Я), ГО "город Якутск"</w:t>
            </w:r>
          </w:p>
        </w:tc>
        <w:tc>
          <w:tcPr>
            <w:tcW w:w="1701" w:type="dxa"/>
            <w:vAlign w:val="center"/>
          </w:tcPr>
          <w:p w14:paraId="37B64858" w14:textId="77777777" w:rsidR="00454A29" w:rsidRDefault="00454A29">
            <w:pPr>
              <w:pStyle w:val="ConsPlusNormal"/>
            </w:pPr>
          </w:p>
        </w:tc>
        <w:tc>
          <w:tcPr>
            <w:tcW w:w="1814" w:type="dxa"/>
            <w:vAlign w:val="center"/>
          </w:tcPr>
          <w:p w14:paraId="67022B10" w14:textId="77777777" w:rsidR="00454A29" w:rsidRDefault="00454A29">
            <w:pPr>
              <w:pStyle w:val="ConsPlusNormal"/>
            </w:pPr>
          </w:p>
        </w:tc>
        <w:tc>
          <w:tcPr>
            <w:tcW w:w="1701" w:type="dxa"/>
            <w:vAlign w:val="center"/>
          </w:tcPr>
          <w:p w14:paraId="593AEF82" w14:textId="77777777" w:rsidR="00454A29" w:rsidRDefault="00454A29">
            <w:pPr>
              <w:pStyle w:val="ConsPlusNormal"/>
            </w:pPr>
          </w:p>
        </w:tc>
        <w:tc>
          <w:tcPr>
            <w:tcW w:w="1701" w:type="dxa"/>
            <w:vAlign w:val="center"/>
          </w:tcPr>
          <w:p w14:paraId="4503413E" w14:textId="77777777" w:rsidR="00454A29" w:rsidRDefault="00454A29">
            <w:pPr>
              <w:pStyle w:val="ConsPlusNormal"/>
            </w:pPr>
          </w:p>
        </w:tc>
        <w:tc>
          <w:tcPr>
            <w:tcW w:w="1814" w:type="dxa"/>
            <w:vAlign w:val="center"/>
          </w:tcPr>
          <w:p w14:paraId="28EABA65" w14:textId="77777777" w:rsidR="00454A29" w:rsidRDefault="00454A29">
            <w:pPr>
              <w:pStyle w:val="ConsPlusNormal"/>
            </w:pPr>
          </w:p>
        </w:tc>
      </w:tr>
      <w:tr w:rsidR="00454A29" w14:paraId="4994C309" w14:textId="77777777">
        <w:tc>
          <w:tcPr>
            <w:tcW w:w="567" w:type="dxa"/>
            <w:vMerge/>
          </w:tcPr>
          <w:p w14:paraId="4CB69010" w14:textId="77777777" w:rsidR="00454A29" w:rsidRDefault="00454A29"/>
        </w:tc>
        <w:tc>
          <w:tcPr>
            <w:tcW w:w="3345" w:type="dxa"/>
            <w:vMerge/>
          </w:tcPr>
          <w:p w14:paraId="12C18790" w14:textId="77777777" w:rsidR="00454A29" w:rsidRDefault="00454A29"/>
        </w:tc>
        <w:tc>
          <w:tcPr>
            <w:tcW w:w="1701" w:type="dxa"/>
            <w:vAlign w:val="center"/>
          </w:tcPr>
          <w:p w14:paraId="257A594F" w14:textId="77777777" w:rsidR="00454A29" w:rsidRDefault="00454A29">
            <w:pPr>
              <w:pStyle w:val="ConsPlusNormal"/>
              <w:jc w:val="center"/>
            </w:pPr>
            <w:r>
              <w:t>2020</w:t>
            </w:r>
          </w:p>
        </w:tc>
        <w:tc>
          <w:tcPr>
            <w:tcW w:w="1417" w:type="dxa"/>
            <w:vMerge/>
          </w:tcPr>
          <w:p w14:paraId="61C0F5CD" w14:textId="77777777" w:rsidR="00454A29" w:rsidRDefault="00454A29"/>
        </w:tc>
        <w:tc>
          <w:tcPr>
            <w:tcW w:w="2204" w:type="dxa"/>
            <w:vMerge/>
          </w:tcPr>
          <w:p w14:paraId="42A2ABF7" w14:textId="77777777" w:rsidR="00454A29" w:rsidRDefault="00454A29"/>
        </w:tc>
        <w:tc>
          <w:tcPr>
            <w:tcW w:w="1417" w:type="dxa"/>
            <w:vMerge/>
          </w:tcPr>
          <w:p w14:paraId="75ABEB2F" w14:textId="77777777" w:rsidR="00454A29" w:rsidRDefault="00454A29"/>
        </w:tc>
        <w:tc>
          <w:tcPr>
            <w:tcW w:w="2324" w:type="dxa"/>
            <w:vMerge/>
          </w:tcPr>
          <w:p w14:paraId="5F6A5CB7" w14:textId="77777777" w:rsidR="00454A29" w:rsidRDefault="00454A29"/>
        </w:tc>
        <w:tc>
          <w:tcPr>
            <w:tcW w:w="1701" w:type="dxa"/>
            <w:vAlign w:val="center"/>
          </w:tcPr>
          <w:p w14:paraId="0E73AF07" w14:textId="77777777" w:rsidR="00454A29" w:rsidRDefault="00454A29">
            <w:pPr>
              <w:pStyle w:val="ConsPlusNormal"/>
            </w:pPr>
          </w:p>
        </w:tc>
        <w:tc>
          <w:tcPr>
            <w:tcW w:w="1814" w:type="dxa"/>
            <w:vAlign w:val="center"/>
          </w:tcPr>
          <w:p w14:paraId="070E4B28" w14:textId="77777777" w:rsidR="00454A29" w:rsidRDefault="00454A29">
            <w:pPr>
              <w:pStyle w:val="ConsPlusNormal"/>
            </w:pPr>
          </w:p>
        </w:tc>
        <w:tc>
          <w:tcPr>
            <w:tcW w:w="1701" w:type="dxa"/>
            <w:vAlign w:val="center"/>
          </w:tcPr>
          <w:p w14:paraId="4A65E611" w14:textId="77777777" w:rsidR="00454A29" w:rsidRDefault="00454A29">
            <w:pPr>
              <w:pStyle w:val="ConsPlusNormal"/>
            </w:pPr>
          </w:p>
        </w:tc>
        <w:tc>
          <w:tcPr>
            <w:tcW w:w="1701" w:type="dxa"/>
            <w:vAlign w:val="center"/>
          </w:tcPr>
          <w:p w14:paraId="4237FE48" w14:textId="77777777" w:rsidR="00454A29" w:rsidRDefault="00454A29">
            <w:pPr>
              <w:pStyle w:val="ConsPlusNormal"/>
            </w:pPr>
          </w:p>
        </w:tc>
        <w:tc>
          <w:tcPr>
            <w:tcW w:w="1814" w:type="dxa"/>
            <w:vAlign w:val="center"/>
          </w:tcPr>
          <w:p w14:paraId="7922DD67" w14:textId="77777777" w:rsidR="00454A29" w:rsidRDefault="00454A29">
            <w:pPr>
              <w:pStyle w:val="ConsPlusNormal"/>
            </w:pPr>
          </w:p>
        </w:tc>
      </w:tr>
      <w:tr w:rsidR="00454A29" w14:paraId="4F541465" w14:textId="77777777">
        <w:tc>
          <w:tcPr>
            <w:tcW w:w="567" w:type="dxa"/>
            <w:vMerge/>
          </w:tcPr>
          <w:p w14:paraId="6B0B0B9B" w14:textId="77777777" w:rsidR="00454A29" w:rsidRDefault="00454A29"/>
        </w:tc>
        <w:tc>
          <w:tcPr>
            <w:tcW w:w="3345" w:type="dxa"/>
            <w:vMerge/>
          </w:tcPr>
          <w:p w14:paraId="21C92342" w14:textId="77777777" w:rsidR="00454A29" w:rsidRDefault="00454A29"/>
        </w:tc>
        <w:tc>
          <w:tcPr>
            <w:tcW w:w="1701" w:type="dxa"/>
            <w:vAlign w:val="center"/>
          </w:tcPr>
          <w:p w14:paraId="3C5A6ED2" w14:textId="77777777" w:rsidR="00454A29" w:rsidRDefault="00454A29">
            <w:pPr>
              <w:pStyle w:val="ConsPlusNormal"/>
              <w:jc w:val="center"/>
            </w:pPr>
            <w:r>
              <w:t>2021</w:t>
            </w:r>
          </w:p>
        </w:tc>
        <w:tc>
          <w:tcPr>
            <w:tcW w:w="1417" w:type="dxa"/>
            <w:vMerge/>
          </w:tcPr>
          <w:p w14:paraId="745A51F1" w14:textId="77777777" w:rsidR="00454A29" w:rsidRDefault="00454A29"/>
        </w:tc>
        <w:tc>
          <w:tcPr>
            <w:tcW w:w="2204" w:type="dxa"/>
            <w:vMerge/>
          </w:tcPr>
          <w:p w14:paraId="48067AB8" w14:textId="77777777" w:rsidR="00454A29" w:rsidRDefault="00454A29"/>
        </w:tc>
        <w:tc>
          <w:tcPr>
            <w:tcW w:w="1417" w:type="dxa"/>
            <w:vMerge/>
          </w:tcPr>
          <w:p w14:paraId="3B9EBB89" w14:textId="77777777" w:rsidR="00454A29" w:rsidRDefault="00454A29"/>
        </w:tc>
        <w:tc>
          <w:tcPr>
            <w:tcW w:w="2324" w:type="dxa"/>
            <w:vMerge/>
          </w:tcPr>
          <w:p w14:paraId="538D56AD" w14:textId="77777777" w:rsidR="00454A29" w:rsidRDefault="00454A29"/>
        </w:tc>
        <w:tc>
          <w:tcPr>
            <w:tcW w:w="1701" w:type="dxa"/>
            <w:vAlign w:val="center"/>
          </w:tcPr>
          <w:p w14:paraId="704317DE" w14:textId="77777777" w:rsidR="00454A29" w:rsidRDefault="00454A29">
            <w:pPr>
              <w:pStyle w:val="ConsPlusNormal"/>
            </w:pPr>
          </w:p>
        </w:tc>
        <w:tc>
          <w:tcPr>
            <w:tcW w:w="1814" w:type="dxa"/>
            <w:vAlign w:val="center"/>
          </w:tcPr>
          <w:p w14:paraId="58F78480" w14:textId="77777777" w:rsidR="00454A29" w:rsidRDefault="00454A29">
            <w:pPr>
              <w:pStyle w:val="ConsPlusNormal"/>
            </w:pPr>
          </w:p>
        </w:tc>
        <w:tc>
          <w:tcPr>
            <w:tcW w:w="1701" w:type="dxa"/>
            <w:vAlign w:val="center"/>
          </w:tcPr>
          <w:p w14:paraId="2AA30F39" w14:textId="77777777" w:rsidR="00454A29" w:rsidRDefault="00454A29">
            <w:pPr>
              <w:pStyle w:val="ConsPlusNormal"/>
            </w:pPr>
          </w:p>
        </w:tc>
        <w:tc>
          <w:tcPr>
            <w:tcW w:w="1701" w:type="dxa"/>
            <w:vAlign w:val="center"/>
          </w:tcPr>
          <w:p w14:paraId="4C8BC6B0" w14:textId="77777777" w:rsidR="00454A29" w:rsidRDefault="00454A29">
            <w:pPr>
              <w:pStyle w:val="ConsPlusNormal"/>
            </w:pPr>
          </w:p>
        </w:tc>
        <w:tc>
          <w:tcPr>
            <w:tcW w:w="1814" w:type="dxa"/>
            <w:vAlign w:val="center"/>
          </w:tcPr>
          <w:p w14:paraId="295224A2" w14:textId="77777777" w:rsidR="00454A29" w:rsidRDefault="00454A29">
            <w:pPr>
              <w:pStyle w:val="ConsPlusNormal"/>
            </w:pPr>
          </w:p>
        </w:tc>
      </w:tr>
      <w:tr w:rsidR="00454A29" w14:paraId="775BBF5C" w14:textId="77777777">
        <w:tc>
          <w:tcPr>
            <w:tcW w:w="567" w:type="dxa"/>
            <w:vMerge/>
          </w:tcPr>
          <w:p w14:paraId="679F53B6" w14:textId="77777777" w:rsidR="00454A29" w:rsidRDefault="00454A29"/>
        </w:tc>
        <w:tc>
          <w:tcPr>
            <w:tcW w:w="3345" w:type="dxa"/>
            <w:vMerge/>
          </w:tcPr>
          <w:p w14:paraId="665B51F8" w14:textId="77777777" w:rsidR="00454A29" w:rsidRDefault="00454A29"/>
        </w:tc>
        <w:tc>
          <w:tcPr>
            <w:tcW w:w="1701" w:type="dxa"/>
            <w:vAlign w:val="center"/>
          </w:tcPr>
          <w:p w14:paraId="586483AA" w14:textId="77777777" w:rsidR="00454A29" w:rsidRDefault="00454A29">
            <w:pPr>
              <w:pStyle w:val="ConsPlusNormal"/>
              <w:jc w:val="center"/>
            </w:pPr>
            <w:r>
              <w:t>2022</w:t>
            </w:r>
          </w:p>
        </w:tc>
        <w:tc>
          <w:tcPr>
            <w:tcW w:w="1417" w:type="dxa"/>
            <w:vMerge/>
          </w:tcPr>
          <w:p w14:paraId="231BF22B" w14:textId="77777777" w:rsidR="00454A29" w:rsidRDefault="00454A29"/>
        </w:tc>
        <w:tc>
          <w:tcPr>
            <w:tcW w:w="2204" w:type="dxa"/>
            <w:vMerge/>
          </w:tcPr>
          <w:p w14:paraId="02261432" w14:textId="77777777" w:rsidR="00454A29" w:rsidRDefault="00454A29"/>
        </w:tc>
        <w:tc>
          <w:tcPr>
            <w:tcW w:w="1417" w:type="dxa"/>
            <w:vMerge/>
          </w:tcPr>
          <w:p w14:paraId="09E17AF7" w14:textId="77777777" w:rsidR="00454A29" w:rsidRDefault="00454A29"/>
        </w:tc>
        <w:tc>
          <w:tcPr>
            <w:tcW w:w="2324" w:type="dxa"/>
            <w:vMerge/>
          </w:tcPr>
          <w:p w14:paraId="2A36FD12" w14:textId="77777777" w:rsidR="00454A29" w:rsidRDefault="00454A29"/>
        </w:tc>
        <w:tc>
          <w:tcPr>
            <w:tcW w:w="1701" w:type="dxa"/>
            <w:vAlign w:val="center"/>
          </w:tcPr>
          <w:p w14:paraId="1A9773DF" w14:textId="77777777" w:rsidR="00454A29" w:rsidRDefault="00454A29">
            <w:pPr>
              <w:pStyle w:val="ConsPlusNormal"/>
            </w:pPr>
          </w:p>
        </w:tc>
        <w:tc>
          <w:tcPr>
            <w:tcW w:w="1814" w:type="dxa"/>
            <w:vAlign w:val="center"/>
          </w:tcPr>
          <w:p w14:paraId="3F450286" w14:textId="77777777" w:rsidR="00454A29" w:rsidRDefault="00454A29">
            <w:pPr>
              <w:pStyle w:val="ConsPlusNormal"/>
            </w:pPr>
          </w:p>
        </w:tc>
        <w:tc>
          <w:tcPr>
            <w:tcW w:w="1701" w:type="dxa"/>
            <w:vAlign w:val="center"/>
          </w:tcPr>
          <w:p w14:paraId="557E9BF8" w14:textId="77777777" w:rsidR="00454A29" w:rsidRDefault="00454A29">
            <w:pPr>
              <w:pStyle w:val="ConsPlusNormal"/>
            </w:pPr>
          </w:p>
        </w:tc>
        <w:tc>
          <w:tcPr>
            <w:tcW w:w="1701" w:type="dxa"/>
            <w:vAlign w:val="center"/>
          </w:tcPr>
          <w:p w14:paraId="75324D9C" w14:textId="77777777" w:rsidR="00454A29" w:rsidRDefault="00454A29">
            <w:pPr>
              <w:pStyle w:val="ConsPlusNormal"/>
            </w:pPr>
          </w:p>
        </w:tc>
        <w:tc>
          <w:tcPr>
            <w:tcW w:w="1814" w:type="dxa"/>
            <w:vAlign w:val="center"/>
          </w:tcPr>
          <w:p w14:paraId="25D855AE" w14:textId="77777777" w:rsidR="00454A29" w:rsidRDefault="00454A29">
            <w:pPr>
              <w:pStyle w:val="ConsPlusNormal"/>
            </w:pPr>
          </w:p>
        </w:tc>
      </w:tr>
      <w:tr w:rsidR="00454A29" w14:paraId="7EF186FA" w14:textId="77777777">
        <w:tc>
          <w:tcPr>
            <w:tcW w:w="567" w:type="dxa"/>
            <w:vMerge/>
          </w:tcPr>
          <w:p w14:paraId="15C933BF" w14:textId="77777777" w:rsidR="00454A29" w:rsidRDefault="00454A29"/>
        </w:tc>
        <w:tc>
          <w:tcPr>
            <w:tcW w:w="3345" w:type="dxa"/>
            <w:vMerge/>
          </w:tcPr>
          <w:p w14:paraId="62D2DBA9" w14:textId="77777777" w:rsidR="00454A29" w:rsidRDefault="00454A29"/>
        </w:tc>
        <w:tc>
          <w:tcPr>
            <w:tcW w:w="1701" w:type="dxa"/>
            <w:vAlign w:val="center"/>
          </w:tcPr>
          <w:p w14:paraId="4E41C1DA" w14:textId="77777777" w:rsidR="00454A29" w:rsidRDefault="00454A29">
            <w:pPr>
              <w:pStyle w:val="ConsPlusNormal"/>
              <w:jc w:val="center"/>
            </w:pPr>
            <w:r>
              <w:t>2023</w:t>
            </w:r>
          </w:p>
        </w:tc>
        <w:tc>
          <w:tcPr>
            <w:tcW w:w="1417" w:type="dxa"/>
            <w:vMerge/>
          </w:tcPr>
          <w:p w14:paraId="4BB6B1C5" w14:textId="77777777" w:rsidR="00454A29" w:rsidRDefault="00454A29"/>
        </w:tc>
        <w:tc>
          <w:tcPr>
            <w:tcW w:w="2204" w:type="dxa"/>
            <w:vMerge/>
          </w:tcPr>
          <w:p w14:paraId="3ACEA9C9" w14:textId="77777777" w:rsidR="00454A29" w:rsidRDefault="00454A29"/>
        </w:tc>
        <w:tc>
          <w:tcPr>
            <w:tcW w:w="1417" w:type="dxa"/>
            <w:vMerge/>
          </w:tcPr>
          <w:p w14:paraId="255447FB" w14:textId="77777777" w:rsidR="00454A29" w:rsidRDefault="00454A29"/>
        </w:tc>
        <w:tc>
          <w:tcPr>
            <w:tcW w:w="2324" w:type="dxa"/>
            <w:vMerge/>
          </w:tcPr>
          <w:p w14:paraId="2D5A385C" w14:textId="77777777" w:rsidR="00454A29" w:rsidRDefault="00454A29"/>
        </w:tc>
        <w:tc>
          <w:tcPr>
            <w:tcW w:w="1701" w:type="dxa"/>
            <w:vAlign w:val="center"/>
          </w:tcPr>
          <w:p w14:paraId="7930E288" w14:textId="77777777" w:rsidR="00454A29" w:rsidRDefault="00454A29">
            <w:pPr>
              <w:pStyle w:val="ConsPlusNormal"/>
            </w:pPr>
          </w:p>
        </w:tc>
        <w:tc>
          <w:tcPr>
            <w:tcW w:w="1814" w:type="dxa"/>
            <w:vAlign w:val="center"/>
          </w:tcPr>
          <w:p w14:paraId="636F75B0" w14:textId="77777777" w:rsidR="00454A29" w:rsidRDefault="00454A29">
            <w:pPr>
              <w:pStyle w:val="ConsPlusNormal"/>
            </w:pPr>
          </w:p>
        </w:tc>
        <w:tc>
          <w:tcPr>
            <w:tcW w:w="1701" w:type="dxa"/>
            <w:vAlign w:val="center"/>
          </w:tcPr>
          <w:p w14:paraId="4602CB8F" w14:textId="77777777" w:rsidR="00454A29" w:rsidRDefault="00454A29">
            <w:pPr>
              <w:pStyle w:val="ConsPlusNormal"/>
            </w:pPr>
          </w:p>
        </w:tc>
        <w:tc>
          <w:tcPr>
            <w:tcW w:w="1701" w:type="dxa"/>
            <w:vAlign w:val="center"/>
          </w:tcPr>
          <w:p w14:paraId="744818FE" w14:textId="77777777" w:rsidR="00454A29" w:rsidRDefault="00454A29">
            <w:pPr>
              <w:pStyle w:val="ConsPlusNormal"/>
            </w:pPr>
          </w:p>
        </w:tc>
        <w:tc>
          <w:tcPr>
            <w:tcW w:w="1814" w:type="dxa"/>
            <w:vAlign w:val="center"/>
          </w:tcPr>
          <w:p w14:paraId="0CF3C5A2" w14:textId="77777777" w:rsidR="00454A29" w:rsidRDefault="00454A29">
            <w:pPr>
              <w:pStyle w:val="ConsPlusNormal"/>
            </w:pPr>
          </w:p>
        </w:tc>
      </w:tr>
      <w:tr w:rsidR="00454A29" w14:paraId="783DD3F7" w14:textId="77777777">
        <w:tc>
          <w:tcPr>
            <w:tcW w:w="567" w:type="dxa"/>
            <w:vMerge/>
          </w:tcPr>
          <w:p w14:paraId="12D42EB1" w14:textId="77777777" w:rsidR="00454A29" w:rsidRDefault="00454A29"/>
        </w:tc>
        <w:tc>
          <w:tcPr>
            <w:tcW w:w="3345" w:type="dxa"/>
            <w:vMerge/>
          </w:tcPr>
          <w:p w14:paraId="710FF82A" w14:textId="77777777" w:rsidR="00454A29" w:rsidRDefault="00454A29"/>
        </w:tc>
        <w:tc>
          <w:tcPr>
            <w:tcW w:w="1701" w:type="dxa"/>
            <w:vAlign w:val="center"/>
          </w:tcPr>
          <w:p w14:paraId="0CB0687C" w14:textId="77777777" w:rsidR="00454A29" w:rsidRDefault="00454A29">
            <w:pPr>
              <w:pStyle w:val="ConsPlusNormal"/>
              <w:jc w:val="center"/>
            </w:pPr>
            <w:r>
              <w:t>2024</w:t>
            </w:r>
          </w:p>
        </w:tc>
        <w:tc>
          <w:tcPr>
            <w:tcW w:w="1417" w:type="dxa"/>
            <w:vMerge/>
          </w:tcPr>
          <w:p w14:paraId="66A50F06" w14:textId="77777777" w:rsidR="00454A29" w:rsidRDefault="00454A29"/>
        </w:tc>
        <w:tc>
          <w:tcPr>
            <w:tcW w:w="2204" w:type="dxa"/>
            <w:vMerge/>
          </w:tcPr>
          <w:p w14:paraId="653E38F0" w14:textId="77777777" w:rsidR="00454A29" w:rsidRDefault="00454A29"/>
        </w:tc>
        <w:tc>
          <w:tcPr>
            <w:tcW w:w="1417" w:type="dxa"/>
            <w:vMerge/>
          </w:tcPr>
          <w:p w14:paraId="1F1B2E46" w14:textId="77777777" w:rsidR="00454A29" w:rsidRDefault="00454A29"/>
        </w:tc>
        <w:tc>
          <w:tcPr>
            <w:tcW w:w="2324" w:type="dxa"/>
            <w:vMerge/>
          </w:tcPr>
          <w:p w14:paraId="70CAFA29" w14:textId="77777777" w:rsidR="00454A29" w:rsidRDefault="00454A29"/>
        </w:tc>
        <w:tc>
          <w:tcPr>
            <w:tcW w:w="1701" w:type="dxa"/>
            <w:vAlign w:val="center"/>
          </w:tcPr>
          <w:p w14:paraId="35EBE2B8" w14:textId="77777777" w:rsidR="00454A29" w:rsidRDefault="00454A29">
            <w:pPr>
              <w:pStyle w:val="ConsPlusNormal"/>
            </w:pPr>
          </w:p>
        </w:tc>
        <w:tc>
          <w:tcPr>
            <w:tcW w:w="1814" w:type="dxa"/>
            <w:vAlign w:val="center"/>
          </w:tcPr>
          <w:p w14:paraId="35656F02" w14:textId="77777777" w:rsidR="00454A29" w:rsidRDefault="00454A29">
            <w:pPr>
              <w:pStyle w:val="ConsPlusNormal"/>
            </w:pPr>
          </w:p>
        </w:tc>
        <w:tc>
          <w:tcPr>
            <w:tcW w:w="1701" w:type="dxa"/>
            <w:vAlign w:val="center"/>
          </w:tcPr>
          <w:p w14:paraId="0F60621E" w14:textId="77777777" w:rsidR="00454A29" w:rsidRDefault="00454A29">
            <w:pPr>
              <w:pStyle w:val="ConsPlusNormal"/>
            </w:pPr>
          </w:p>
        </w:tc>
        <w:tc>
          <w:tcPr>
            <w:tcW w:w="1701" w:type="dxa"/>
            <w:vAlign w:val="center"/>
          </w:tcPr>
          <w:p w14:paraId="7FA0C9D3" w14:textId="77777777" w:rsidR="00454A29" w:rsidRDefault="00454A29">
            <w:pPr>
              <w:pStyle w:val="ConsPlusNormal"/>
            </w:pPr>
          </w:p>
        </w:tc>
        <w:tc>
          <w:tcPr>
            <w:tcW w:w="1814" w:type="dxa"/>
            <w:vAlign w:val="center"/>
          </w:tcPr>
          <w:p w14:paraId="566B94F1" w14:textId="77777777" w:rsidR="00454A29" w:rsidRDefault="00454A29">
            <w:pPr>
              <w:pStyle w:val="ConsPlusNormal"/>
            </w:pPr>
          </w:p>
        </w:tc>
      </w:tr>
      <w:tr w:rsidR="00454A29" w14:paraId="641D34EF" w14:textId="77777777">
        <w:tc>
          <w:tcPr>
            <w:tcW w:w="567" w:type="dxa"/>
            <w:vMerge/>
          </w:tcPr>
          <w:p w14:paraId="76F99294" w14:textId="77777777" w:rsidR="00454A29" w:rsidRDefault="00454A29"/>
        </w:tc>
        <w:tc>
          <w:tcPr>
            <w:tcW w:w="3345" w:type="dxa"/>
            <w:vMerge/>
          </w:tcPr>
          <w:p w14:paraId="5F792EAD" w14:textId="77777777" w:rsidR="00454A29" w:rsidRDefault="00454A29"/>
        </w:tc>
        <w:tc>
          <w:tcPr>
            <w:tcW w:w="1701" w:type="dxa"/>
            <w:vAlign w:val="center"/>
          </w:tcPr>
          <w:p w14:paraId="470086E0" w14:textId="77777777" w:rsidR="00454A29" w:rsidRDefault="00454A29">
            <w:pPr>
              <w:pStyle w:val="ConsPlusNormal"/>
              <w:jc w:val="center"/>
            </w:pPr>
            <w:r>
              <w:t>2025</w:t>
            </w:r>
          </w:p>
        </w:tc>
        <w:tc>
          <w:tcPr>
            <w:tcW w:w="1417" w:type="dxa"/>
            <w:vMerge/>
          </w:tcPr>
          <w:p w14:paraId="7A432C05" w14:textId="77777777" w:rsidR="00454A29" w:rsidRDefault="00454A29"/>
        </w:tc>
        <w:tc>
          <w:tcPr>
            <w:tcW w:w="2204" w:type="dxa"/>
            <w:vMerge/>
          </w:tcPr>
          <w:p w14:paraId="7DFCA430" w14:textId="77777777" w:rsidR="00454A29" w:rsidRDefault="00454A29"/>
        </w:tc>
        <w:tc>
          <w:tcPr>
            <w:tcW w:w="1417" w:type="dxa"/>
            <w:vMerge/>
          </w:tcPr>
          <w:p w14:paraId="6033C6B0" w14:textId="77777777" w:rsidR="00454A29" w:rsidRDefault="00454A29"/>
        </w:tc>
        <w:tc>
          <w:tcPr>
            <w:tcW w:w="2324" w:type="dxa"/>
            <w:vMerge/>
          </w:tcPr>
          <w:p w14:paraId="3D5A3484" w14:textId="77777777" w:rsidR="00454A29" w:rsidRDefault="00454A29"/>
        </w:tc>
        <w:tc>
          <w:tcPr>
            <w:tcW w:w="1701" w:type="dxa"/>
            <w:vAlign w:val="center"/>
          </w:tcPr>
          <w:p w14:paraId="489D78FB" w14:textId="77777777" w:rsidR="00454A29" w:rsidRDefault="00454A29">
            <w:pPr>
              <w:pStyle w:val="ConsPlusNormal"/>
            </w:pPr>
          </w:p>
        </w:tc>
        <w:tc>
          <w:tcPr>
            <w:tcW w:w="1814" w:type="dxa"/>
            <w:vAlign w:val="center"/>
          </w:tcPr>
          <w:p w14:paraId="5C370488" w14:textId="77777777" w:rsidR="00454A29" w:rsidRDefault="00454A29">
            <w:pPr>
              <w:pStyle w:val="ConsPlusNormal"/>
            </w:pPr>
          </w:p>
        </w:tc>
        <w:tc>
          <w:tcPr>
            <w:tcW w:w="1701" w:type="dxa"/>
            <w:vAlign w:val="center"/>
          </w:tcPr>
          <w:p w14:paraId="45B5BCF5" w14:textId="77777777" w:rsidR="00454A29" w:rsidRDefault="00454A29">
            <w:pPr>
              <w:pStyle w:val="ConsPlusNormal"/>
            </w:pPr>
          </w:p>
        </w:tc>
        <w:tc>
          <w:tcPr>
            <w:tcW w:w="1701" w:type="dxa"/>
            <w:vAlign w:val="center"/>
          </w:tcPr>
          <w:p w14:paraId="681EDDE4" w14:textId="77777777" w:rsidR="00454A29" w:rsidRDefault="00454A29">
            <w:pPr>
              <w:pStyle w:val="ConsPlusNormal"/>
            </w:pPr>
          </w:p>
        </w:tc>
        <w:tc>
          <w:tcPr>
            <w:tcW w:w="1814" w:type="dxa"/>
            <w:vAlign w:val="center"/>
          </w:tcPr>
          <w:p w14:paraId="03335A56" w14:textId="77777777" w:rsidR="00454A29" w:rsidRDefault="00454A29">
            <w:pPr>
              <w:pStyle w:val="ConsPlusNormal"/>
            </w:pPr>
          </w:p>
        </w:tc>
      </w:tr>
      <w:tr w:rsidR="00454A29" w14:paraId="1A8D8B9C" w14:textId="77777777">
        <w:tc>
          <w:tcPr>
            <w:tcW w:w="567" w:type="dxa"/>
            <w:vMerge/>
          </w:tcPr>
          <w:p w14:paraId="4F84AEA9" w14:textId="77777777" w:rsidR="00454A29" w:rsidRDefault="00454A29"/>
        </w:tc>
        <w:tc>
          <w:tcPr>
            <w:tcW w:w="3345" w:type="dxa"/>
            <w:vMerge/>
          </w:tcPr>
          <w:p w14:paraId="302D6136" w14:textId="77777777" w:rsidR="00454A29" w:rsidRDefault="00454A29"/>
        </w:tc>
        <w:tc>
          <w:tcPr>
            <w:tcW w:w="1701" w:type="dxa"/>
            <w:vAlign w:val="center"/>
          </w:tcPr>
          <w:p w14:paraId="57F729F6" w14:textId="77777777" w:rsidR="00454A29" w:rsidRDefault="00454A29">
            <w:pPr>
              <w:pStyle w:val="ConsPlusNormal"/>
              <w:jc w:val="center"/>
            </w:pPr>
            <w:r>
              <w:t>2026</w:t>
            </w:r>
          </w:p>
        </w:tc>
        <w:tc>
          <w:tcPr>
            <w:tcW w:w="1417" w:type="dxa"/>
            <w:vMerge/>
          </w:tcPr>
          <w:p w14:paraId="401197F0" w14:textId="77777777" w:rsidR="00454A29" w:rsidRDefault="00454A29"/>
        </w:tc>
        <w:tc>
          <w:tcPr>
            <w:tcW w:w="2204" w:type="dxa"/>
            <w:vMerge/>
          </w:tcPr>
          <w:p w14:paraId="7DFE964B" w14:textId="77777777" w:rsidR="00454A29" w:rsidRDefault="00454A29"/>
        </w:tc>
        <w:tc>
          <w:tcPr>
            <w:tcW w:w="1417" w:type="dxa"/>
            <w:vMerge/>
          </w:tcPr>
          <w:p w14:paraId="2AD8BFB9" w14:textId="77777777" w:rsidR="00454A29" w:rsidRDefault="00454A29"/>
        </w:tc>
        <w:tc>
          <w:tcPr>
            <w:tcW w:w="2324" w:type="dxa"/>
            <w:vMerge/>
          </w:tcPr>
          <w:p w14:paraId="583FD514" w14:textId="77777777" w:rsidR="00454A29" w:rsidRDefault="00454A29"/>
        </w:tc>
        <w:tc>
          <w:tcPr>
            <w:tcW w:w="1701" w:type="dxa"/>
            <w:vAlign w:val="center"/>
          </w:tcPr>
          <w:p w14:paraId="23DE34F0" w14:textId="77777777" w:rsidR="00454A29" w:rsidRDefault="00454A29">
            <w:pPr>
              <w:pStyle w:val="ConsPlusNormal"/>
            </w:pPr>
          </w:p>
        </w:tc>
        <w:tc>
          <w:tcPr>
            <w:tcW w:w="1814" w:type="dxa"/>
            <w:vAlign w:val="center"/>
          </w:tcPr>
          <w:p w14:paraId="1EA19868" w14:textId="77777777" w:rsidR="00454A29" w:rsidRDefault="00454A29">
            <w:pPr>
              <w:pStyle w:val="ConsPlusNormal"/>
            </w:pPr>
          </w:p>
        </w:tc>
        <w:tc>
          <w:tcPr>
            <w:tcW w:w="1701" w:type="dxa"/>
            <w:vAlign w:val="center"/>
          </w:tcPr>
          <w:p w14:paraId="3860909E" w14:textId="77777777" w:rsidR="00454A29" w:rsidRDefault="00454A29">
            <w:pPr>
              <w:pStyle w:val="ConsPlusNormal"/>
            </w:pPr>
          </w:p>
        </w:tc>
        <w:tc>
          <w:tcPr>
            <w:tcW w:w="1701" w:type="dxa"/>
            <w:vAlign w:val="center"/>
          </w:tcPr>
          <w:p w14:paraId="6B98D822" w14:textId="77777777" w:rsidR="00454A29" w:rsidRDefault="00454A29">
            <w:pPr>
              <w:pStyle w:val="ConsPlusNormal"/>
            </w:pPr>
          </w:p>
        </w:tc>
        <w:tc>
          <w:tcPr>
            <w:tcW w:w="1814" w:type="dxa"/>
            <w:vAlign w:val="center"/>
          </w:tcPr>
          <w:p w14:paraId="61A88F47" w14:textId="77777777" w:rsidR="00454A29" w:rsidRDefault="00454A29">
            <w:pPr>
              <w:pStyle w:val="ConsPlusNormal"/>
            </w:pPr>
          </w:p>
        </w:tc>
      </w:tr>
      <w:tr w:rsidR="00454A29" w14:paraId="60EC7EB5" w14:textId="77777777">
        <w:tc>
          <w:tcPr>
            <w:tcW w:w="21706" w:type="dxa"/>
            <w:gridSpan w:val="12"/>
            <w:vAlign w:val="center"/>
          </w:tcPr>
          <w:p w14:paraId="433199F7" w14:textId="77777777" w:rsidR="00454A29" w:rsidRDefault="00454A29">
            <w:pPr>
              <w:pStyle w:val="ConsPlusNormal"/>
              <w:jc w:val="center"/>
            </w:pPr>
            <w:r>
              <w:t>Основное мероприятие 9.2.</w:t>
            </w:r>
          </w:p>
        </w:tc>
      </w:tr>
      <w:tr w:rsidR="00454A29" w14:paraId="0D83EBC4" w14:textId="77777777">
        <w:tc>
          <w:tcPr>
            <w:tcW w:w="567" w:type="dxa"/>
            <w:vMerge w:val="restart"/>
            <w:vAlign w:val="center"/>
          </w:tcPr>
          <w:p w14:paraId="6BC5C7C2" w14:textId="77777777" w:rsidR="00454A29" w:rsidRDefault="00454A29">
            <w:pPr>
              <w:pStyle w:val="ConsPlusNormal"/>
            </w:pPr>
          </w:p>
        </w:tc>
        <w:tc>
          <w:tcPr>
            <w:tcW w:w="3345" w:type="dxa"/>
            <w:vMerge w:val="restart"/>
            <w:vAlign w:val="center"/>
          </w:tcPr>
          <w:p w14:paraId="1D8D4DCC" w14:textId="77777777" w:rsidR="00454A29" w:rsidRDefault="00454A29">
            <w:pPr>
              <w:pStyle w:val="ConsPlusNormal"/>
              <w:jc w:val="center"/>
            </w:pPr>
            <w:r>
              <w:t>"Модернизация существующей инфраструктуры общего образования" (Региональный проект "Современная школа")</w:t>
            </w:r>
          </w:p>
        </w:tc>
        <w:tc>
          <w:tcPr>
            <w:tcW w:w="1701" w:type="dxa"/>
            <w:vAlign w:val="center"/>
          </w:tcPr>
          <w:p w14:paraId="50EE4960" w14:textId="77777777" w:rsidR="00454A29" w:rsidRDefault="00454A29">
            <w:pPr>
              <w:pStyle w:val="ConsPlusNormal"/>
              <w:jc w:val="center"/>
            </w:pPr>
            <w:r>
              <w:t>Всего:</w:t>
            </w:r>
          </w:p>
        </w:tc>
        <w:tc>
          <w:tcPr>
            <w:tcW w:w="1417" w:type="dxa"/>
            <w:vMerge w:val="restart"/>
            <w:vAlign w:val="center"/>
          </w:tcPr>
          <w:p w14:paraId="6081BF8A" w14:textId="77777777" w:rsidR="00454A29" w:rsidRDefault="00454A29">
            <w:pPr>
              <w:pStyle w:val="ConsPlusNormal"/>
              <w:jc w:val="center"/>
            </w:pPr>
            <w:r>
              <w:t>2 505 883,47</w:t>
            </w:r>
          </w:p>
        </w:tc>
        <w:tc>
          <w:tcPr>
            <w:tcW w:w="2204" w:type="dxa"/>
            <w:vMerge w:val="restart"/>
            <w:vAlign w:val="center"/>
          </w:tcPr>
          <w:p w14:paraId="6C9DFEE6" w14:textId="77777777" w:rsidR="00454A29" w:rsidRDefault="00454A29">
            <w:pPr>
              <w:pStyle w:val="ConsPlusNormal"/>
            </w:pPr>
          </w:p>
        </w:tc>
        <w:tc>
          <w:tcPr>
            <w:tcW w:w="1417" w:type="dxa"/>
            <w:vMerge w:val="restart"/>
            <w:vAlign w:val="center"/>
          </w:tcPr>
          <w:p w14:paraId="0448C1BB" w14:textId="77777777" w:rsidR="00454A29" w:rsidRDefault="00454A29">
            <w:pPr>
              <w:pStyle w:val="ConsPlusNormal"/>
              <w:jc w:val="center"/>
            </w:pPr>
            <w:r>
              <w:t>1745</w:t>
            </w:r>
          </w:p>
        </w:tc>
        <w:tc>
          <w:tcPr>
            <w:tcW w:w="2324" w:type="dxa"/>
            <w:vMerge w:val="restart"/>
            <w:vAlign w:val="center"/>
          </w:tcPr>
          <w:p w14:paraId="763CE64B" w14:textId="77777777" w:rsidR="00454A29" w:rsidRDefault="00454A29">
            <w:pPr>
              <w:pStyle w:val="ConsPlusNormal"/>
              <w:jc w:val="center"/>
            </w:pPr>
            <w:r>
              <w:t>Минстрой РС(Я)</w:t>
            </w:r>
          </w:p>
        </w:tc>
        <w:tc>
          <w:tcPr>
            <w:tcW w:w="1701" w:type="dxa"/>
            <w:vAlign w:val="center"/>
          </w:tcPr>
          <w:p w14:paraId="195BB067" w14:textId="77777777" w:rsidR="00454A29" w:rsidRDefault="00454A29">
            <w:pPr>
              <w:pStyle w:val="ConsPlusNormal"/>
              <w:jc w:val="center"/>
            </w:pPr>
            <w:r>
              <w:t>2 027 069,39</w:t>
            </w:r>
          </w:p>
        </w:tc>
        <w:tc>
          <w:tcPr>
            <w:tcW w:w="1814" w:type="dxa"/>
            <w:vAlign w:val="center"/>
          </w:tcPr>
          <w:p w14:paraId="6D8B1B49" w14:textId="77777777" w:rsidR="00454A29" w:rsidRDefault="00454A29">
            <w:pPr>
              <w:pStyle w:val="ConsPlusNormal"/>
              <w:jc w:val="center"/>
            </w:pPr>
            <w:r>
              <w:t>405 409,99</w:t>
            </w:r>
          </w:p>
        </w:tc>
        <w:tc>
          <w:tcPr>
            <w:tcW w:w="1701" w:type="dxa"/>
            <w:vAlign w:val="center"/>
          </w:tcPr>
          <w:p w14:paraId="0CA29E62" w14:textId="77777777" w:rsidR="00454A29" w:rsidRDefault="00454A29">
            <w:pPr>
              <w:pStyle w:val="ConsPlusNormal"/>
              <w:jc w:val="center"/>
            </w:pPr>
            <w:r>
              <w:t>1 621 659,40</w:t>
            </w:r>
          </w:p>
        </w:tc>
        <w:tc>
          <w:tcPr>
            <w:tcW w:w="1701" w:type="dxa"/>
            <w:vAlign w:val="center"/>
          </w:tcPr>
          <w:p w14:paraId="55A2C794" w14:textId="77777777" w:rsidR="00454A29" w:rsidRDefault="00454A29">
            <w:pPr>
              <w:pStyle w:val="ConsPlusNormal"/>
              <w:jc w:val="center"/>
            </w:pPr>
            <w:r>
              <w:t>-</w:t>
            </w:r>
          </w:p>
        </w:tc>
        <w:tc>
          <w:tcPr>
            <w:tcW w:w="1814" w:type="dxa"/>
            <w:vAlign w:val="center"/>
          </w:tcPr>
          <w:p w14:paraId="60CF5886" w14:textId="77777777" w:rsidR="00454A29" w:rsidRDefault="00454A29">
            <w:pPr>
              <w:pStyle w:val="ConsPlusNormal"/>
              <w:jc w:val="center"/>
            </w:pPr>
            <w:r>
              <w:t>-</w:t>
            </w:r>
          </w:p>
        </w:tc>
      </w:tr>
      <w:tr w:rsidR="00454A29" w14:paraId="41BEBC38" w14:textId="77777777">
        <w:tc>
          <w:tcPr>
            <w:tcW w:w="567" w:type="dxa"/>
            <w:vMerge/>
          </w:tcPr>
          <w:p w14:paraId="18F884F0" w14:textId="77777777" w:rsidR="00454A29" w:rsidRDefault="00454A29"/>
        </w:tc>
        <w:tc>
          <w:tcPr>
            <w:tcW w:w="3345" w:type="dxa"/>
            <w:vMerge/>
          </w:tcPr>
          <w:p w14:paraId="1110B0A6" w14:textId="77777777" w:rsidR="00454A29" w:rsidRDefault="00454A29"/>
        </w:tc>
        <w:tc>
          <w:tcPr>
            <w:tcW w:w="1701" w:type="dxa"/>
            <w:vAlign w:val="center"/>
          </w:tcPr>
          <w:p w14:paraId="48559264" w14:textId="77777777" w:rsidR="00454A29" w:rsidRDefault="00454A29">
            <w:pPr>
              <w:pStyle w:val="ConsPlusNormal"/>
              <w:jc w:val="center"/>
            </w:pPr>
            <w:r>
              <w:t>2020</w:t>
            </w:r>
          </w:p>
        </w:tc>
        <w:tc>
          <w:tcPr>
            <w:tcW w:w="1417" w:type="dxa"/>
            <w:vMerge/>
          </w:tcPr>
          <w:p w14:paraId="15DDE81D" w14:textId="77777777" w:rsidR="00454A29" w:rsidRDefault="00454A29"/>
        </w:tc>
        <w:tc>
          <w:tcPr>
            <w:tcW w:w="2204" w:type="dxa"/>
            <w:vMerge/>
          </w:tcPr>
          <w:p w14:paraId="7D1E5595" w14:textId="77777777" w:rsidR="00454A29" w:rsidRDefault="00454A29"/>
        </w:tc>
        <w:tc>
          <w:tcPr>
            <w:tcW w:w="1417" w:type="dxa"/>
            <w:vMerge/>
          </w:tcPr>
          <w:p w14:paraId="0FC6260D" w14:textId="77777777" w:rsidR="00454A29" w:rsidRDefault="00454A29"/>
        </w:tc>
        <w:tc>
          <w:tcPr>
            <w:tcW w:w="2324" w:type="dxa"/>
            <w:vMerge/>
          </w:tcPr>
          <w:p w14:paraId="3FAE6A02" w14:textId="77777777" w:rsidR="00454A29" w:rsidRDefault="00454A29"/>
        </w:tc>
        <w:tc>
          <w:tcPr>
            <w:tcW w:w="1701" w:type="dxa"/>
            <w:vAlign w:val="center"/>
          </w:tcPr>
          <w:p w14:paraId="2125ABCA" w14:textId="77777777" w:rsidR="00454A29" w:rsidRDefault="00454A29">
            <w:pPr>
              <w:pStyle w:val="ConsPlusNormal"/>
              <w:jc w:val="center"/>
            </w:pPr>
            <w:r>
              <w:t>521 211,03</w:t>
            </w:r>
          </w:p>
        </w:tc>
        <w:tc>
          <w:tcPr>
            <w:tcW w:w="1814" w:type="dxa"/>
            <w:vAlign w:val="center"/>
          </w:tcPr>
          <w:p w14:paraId="3D3C2EC9" w14:textId="77777777" w:rsidR="00454A29" w:rsidRDefault="00454A29">
            <w:pPr>
              <w:pStyle w:val="ConsPlusNormal"/>
              <w:jc w:val="center"/>
            </w:pPr>
            <w:r>
              <w:t>275 665,93</w:t>
            </w:r>
          </w:p>
        </w:tc>
        <w:tc>
          <w:tcPr>
            <w:tcW w:w="1701" w:type="dxa"/>
            <w:vAlign w:val="center"/>
          </w:tcPr>
          <w:p w14:paraId="48DBBD05" w14:textId="77777777" w:rsidR="00454A29" w:rsidRDefault="00454A29">
            <w:pPr>
              <w:pStyle w:val="ConsPlusNormal"/>
              <w:jc w:val="center"/>
            </w:pPr>
            <w:r>
              <w:t>245 545,10</w:t>
            </w:r>
          </w:p>
        </w:tc>
        <w:tc>
          <w:tcPr>
            <w:tcW w:w="1701" w:type="dxa"/>
            <w:vAlign w:val="center"/>
          </w:tcPr>
          <w:p w14:paraId="30EF4727" w14:textId="77777777" w:rsidR="00454A29" w:rsidRDefault="00454A29">
            <w:pPr>
              <w:pStyle w:val="ConsPlusNormal"/>
              <w:jc w:val="center"/>
            </w:pPr>
            <w:r>
              <w:t>-</w:t>
            </w:r>
          </w:p>
        </w:tc>
        <w:tc>
          <w:tcPr>
            <w:tcW w:w="1814" w:type="dxa"/>
            <w:vAlign w:val="center"/>
          </w:tcPr>
          <w:p w14:paraId="668970F1" w14:textId="77777777" w:rsidR="00454A29" w:rsidRDefault="00454A29">
            <w:pPr>
              <w:pStyle w:val="ConsPlusNormal"/>
              <w:jc w:val="center"/>
            </w:pPr>
            <w:r>
              <w:t>-</w:t>
            </w:r>
          </w:p>
        </w:tc>
      </w:tr>
      <w:tr w:rsidR="00454A29" w14:paraId="4E8EF4EB" w14:textId="77777777">
        <w:tc>
          <w:tcPr>
            <w:tcW w:w="567" w:type="dxa"/>
            <w:vMerge/>
          </w:tcPr>
          <w:p w14:paraId="4D47950C" w14:textId="77777777" w:rsidR="00454A29" w:rsidRDefault="00454A29"/>
        </w:tc>
        <w:tc>
          <w:tcPr>
            <w:tcW w:w="3345" w:type="dxa"/>
            <w:vMerge/>
          </w:tcPr>
          <w:p w14:paraId="4E2DCBFE" w14:textId="77777777" w:rsidR="00454A29" w:rsidRDefault="00454A29"/>
        </w:tc>
        <w:tc>
          <w:tcPr>
            <w:tcW w:w="1701" w:type="dxa"/>
            <w:vAlign w:val="center"/>
          </w:tcPr>
          <w:p w14:paraId="4DF7B8EC" w14:textId="77777777" w:rsidR="00454A29" w:rsidRDefault="00454A29">
            <w:pPr>
              <w:pStyle w:val="ConsPlusNormal"/>
              <w:jc w:val="center"/>
            </w:pPr>
            <w:r>
              <w:t>2021</w:t>
            </w:r>
          </w:p>
        </w:tc>
        <w:tc>
          <w:tcPr>
            <w:tcW w:w="1417" w:type="dxa"/>
            <w:vMerge/>
          </w:tcPr>
          <w:p w14:paraId="337E13EC" w14:textId="77777777" w:rsidR="00454A29" w:rsidRDefault="00454A29"/>
        </w:tc>
        <w:tc>
          <w:tcPr>
            <w:tcW w:w="2204" w:type="dxa"/>
            <w:vMerge/>
          </w:tcPr>
          <w:p w14:paraId="06CF0494" w14:textId="77777777" w:rsidR="00454A29" w:rsidRDefault="00454A29"/>
        </w:tc>
        <w:tc>
          <w:tcPr>
            <w:tcW w:w="1417" w:type="dxa"/>
            <w:vMerge/>
          </w:tcPr>
          <w:p w14:paraId="4EEF4BF3" w14:textId="77777777" w:rsidR="00454A29" w:rsidRDefault="00454A29"/>
        </w:tc>
        <w:tc>
          <w:tcPr>
            <w:tcW w:w="2324" w:type="dxa"/>
            <w:vMerge/>
          </w:tcPr>
          <w:p w14:paraId="4D418D3B" w14:textId="77777777" w:rsidR="00454A29" w:rsidRDefault="00454A29"/>
        </w:tc>
        <w:tc>
          <w:tcPr>
            <w:tcW w:w="1701" w:type="dxa"/>
            <w:vAlign w:val="center"/>
          </w:tcPr>
          <w:p w14:paraId="66D3F61C" w14:textId="77777777" w:rsidR="00454A29" w:rsidRDefault="00454A29">
            <w:pPr>
              <w:pStyle w:val="ConsPlusNormal"/>
              <w:jc w:val="center"/>
            </w:pPr>
            <w:r>
              <w:t>975 541,13</w:t>
            </w:r>
          </w:p>
        </w:tc>
        <w:tc>
          <w:tcPr>
            <w:tcW w:w="1814" w:type="dxa"/>
            <w:vAlign w:val="center"/>
          </w:tcPr>
          <w:p w14:paraId="6C957CAA" w14:textId="77777777" w:rsidR="00454A29" w:rsidRDefault="00454A29">
            <w:pPr>
              <w:pStyle w:val="ConsPlusNormal"/>
              <w:jc w:val="center"/>
            </w:pPr>
            <w:r>
              <w:t>97 925,03</w:t>
            </w:r>
          </w:p>
        </w:tc>
        <w:tc>
          <w:tcPr>
            <w:tcW w:w="1701" w:type="dxa"/>
            <w:vAlign w:val="center"/>
          </w:tcPr>
          <w:p w14:paraId="3DDC868F" w14:textId="77777777" w:rsidR="00454A29" w:rsidRDefault="00454A29">
            <w:pPr>
              <w:pStyle w:val="ConsPlusNormal"/>
              <w:jc w:val="center"/>
            </w:pPr>
            <w:r>
              <w:t>877 616,10</w:t>
            </w:r>
          </w:p>
        </w:tc>
        <w:tc>
          <w:tcPr>
            <w:tcW w:w="1701" w:type="dxa"/>
            <w:vAlign w:val="center"/>
          </w:tcPr>
          <w:p w14:paraId="5022FF14" w14:textId="77777777" w:rsidR="00454A29" w:rsidRDefault="00454A29">
            <w:pPr>
              <w:pStyle w:val="ConsPlusNormal"/>
              <w:jc w:val="center"/>
            </w:pPr>
            <w:r>
              <w:t>-</w:t>
            </w:r>
          </w:p>
        </w:tc>
        <w:tc>
          <w:tcPr>
            <w:tcW w:w="1814" w:type="dxa"/>
            <w:vAlign w:val="center"/>
          </w:tcPr>
          <w:p w14:paraId="69A08804" w14:textId="77777777" w:rsidR="00454A29" w:rsidRDefault="00454A29">
            <w:pPr>
              <w:pStyle w:val="ConsPlusNormal"/>
              <w:jc w:val="center"/>
            </w:pPr>
            <w:r>
              <w:t>-</w:t>
            </w:r>
          </w:p>
        </w:tc>
      </w:tr>
      <w:tr w:rsidR="00454A29" w14:paraId="58404BCC" w14:textId="77777777">
        <w:tc>
          <w:tcPr>
            <w:tcW w:w="567" w:type="dxa"/>
            <w:vMerge/>
          </w:tcPr>
          <w:p w14:paraId="5D56B1B0" w14:textId="77777777" w:rsidR="00454A29" w:rsidRDefault="00454A29"/>
        </w:tc>
        <w:tc>
          <w:tcPr>
            <w:tcW w:w="3345" w:type="dxa"/>
            <w:vMerge/>
          </w:tcPr>
          <w:p w14:paraId="61EB905E" w14:textId="77777777" w:rsidR="00454A29" w:rsidRDefault="00454A29"/>
        </w:tc>
        <w:tc>
          <w:tcPr>
            <w:tcW w:w="1701" w:type="dxa"/>
            <w:vAlign w:val="center"/>
          </w:tcPr>
          <w:p w14:paraId="250E416A" w14:textId="77777777" w:rsidR="00454A29" w:rsidRDefault="00454A29">
            <w:pPr>
              <w:pStyle w:val="ConsPlusNormal"/>
              <w:jc w:val="center"/>
            </w:pPr>
            <w:r>
              <w:t>2022</w:t>
            </w:r>
          </w:p>
        </w:tc>
        <w:tc>
          <w:tcPr>
            <w:tcW w:w="1417" w:type="dxa"/>
            <w:vMerge/>
          </w:tcPr>
          <w:p w14:paraId="2EF03C20" w14:textId="77777777" w:rsidR="00454A29" w:rsidRDefault="00454A29"/>
        </w:tc>
        <w:tc>
          <w:tcPr>
            <w:tcW w:w="2204" w:type="dxa"/>
            <w:vMerge/>
          </w:tcPr>
          <w:p w14:paraId="513F6F71" w14:textId="77777777" w:rsidR="00454A29" w:rsidRDefault="00454A29"/>
        </w:tc>
        <w:tc>
          <w:tcPr>
            <w:tcW w:w="1417" w:type="dxa"/>
            <w:vMerge/>
          </w:tcPr>
          <w:p w14:paraId="09A31766" w14:textId="77777777" w:rsidR="00454A29" w:rsidRDefault="00454A29"/>
        </w:tc>
        <w:tc>
          <w:tcPr>
            <w:tcW w:w="2324" w:type="dxa"/>
            <w:vMerge/>
          </w:tcPr>
          <w:p w14:paraId="50C55342" w14:textId="77777777" w:rsidR="00454A29" w:rsidRDefault="00454A29"/>
        </w:tc>
        <w:tc>
          <w:tcPr>
            <w:tcW w:w="1701" w:type="dxa"/>
            <w:vAlign w:val="center"/>
          </w:tcPr>
          <w:p w14:paraId="3D17F573" w14:textId="77777777" w:rsidR="00454A29" w:rsidRDefault="00454A29">
            <w:pPr>
              <w:pStyle w:val="ConsPlusNormal"/>
              <w:jc w:val="center"/>
            </w:pPr>
            <w:r>
              <w:t>530 317,23</w:t>
            </w:r>
          </w:p>
        </w:tc>
        <w:tc>
          <w:tcPr>
            <w:tcW w:w="1814" w:type="dxa"/>
            <w:vAlign w:val="center"/>
          </w:tcPr>
          <w:p w14:paraId="5B301AE3" w14:textId="77777777" w:rsidR="00454A29" w:rsidRDefault="00454A29">
            <w:pPr>
              <w:pStyle w:val="ConsPlusNormal"/>
              <w:jc w:val="center"/>
            </w:pPr>
            <w:r>
              <w:t>31 819,03</w:t>
            </w:r>
          </w:p>
        </w:tc>
        <w:tc>
          <w:tcPr>
            <w:tcW w:w="1701" w:type="dxa"/>
            <w:vAlign w:val="center"/>
          </w:tcPr>
          <w:p w14:paraId="5F8455B2" w14:textId="77777777" w:rsidR="00454A29" w:rsidRDefault="00454A29">
            <w:pPr>
              <w:pStyle w:val="ConsPlusNormal"/>
              <w:jc w:val="center"/>
            </w:pPr>
            <w:r>
              <w:t>498 498,20</w:t>
            </w:r>
          </w:p>
        </w:tc>
        <w:tc>
          <w:tcPr>
            <w:tcW w:w="1701" w:type="dxa"/>
            <w:vAlign w:val="center"/>
          </w:tcPr>
          <w:p w14:paraId="72D888B2" w14:textId="77777777" w:rsidR="00454A29" w:rsidRDefault="00454A29">
            <w:pPr>
              <w:pStyle w:val="ConsPlusNormal"/>
              <w:jc w:val="center"/>
            </w:pPr>
            <w:r>
              <w:t>-</w:t>
            </w:r>
          </w:p>
        </w:tc>
        <w:tc>
          <w:tcPr>
            <w:tcW w:w="1814" w:type="dxa"/>
            <w:vAlign w:val="center"/>
          </w:tcPr>
          <w:p w14:paraId="7800F83E" w14:textId="77777777" w:rsidR="00454A29" w:rsidRDefault="00454A29">
            <w:pPr>
              <w:pStyle w:val="ConsPlusNormal"/>
              <w:jc w:val="center"/>
            </w:pPr>
            <w:r>
              <w:t>-</w:t>
            </w:r>
          </w:p>
        </w:tc>
      </w:tr>
      <w:tr w:rsidR="00454A29" w14:paraId="1AC89E1C" w14:textId="77777777">
        <w:tc>
          <w:tcPr>
            <w:tcW w:w="567" w:type="dxa"/>
            <w:vMerge/>
          </w:tcPr>
          <w:p w14:paraId="35A8B2E4" w14:textId="77777777" w:rsidR="00454A29" w:rsidRDefault="00454A29"/>
        </w:tc>
        <w:tc>
          <w:tcPr>
            <w:tcW w:w="3345" w:type="dxa"/>
            <w:vMerge/>
          </w:tcPr>
          <w:p w14:paraId="23E3B03E" w14:textId="77777777" w:rsidR="00454A29" w:rsidRDefault="00454A29"/>
        </w:tc>
        <w:tc>
          <w:tcPr>
            <w:tcW w:w="1701" w:type="dxa"/>
            <w:vAlign w:val="center"/>
          </w:tcPr>
          <w:p w14:paraId="70ED0513" w14:textId="77777777" w:rsidR="00454A29" w:rsidRDefault="00454A29">
            <w:pPr>
              <w:pStyle w:val="ConsPlusNormal"/>
              <w:jc w:val="center"/>
            </w:pPr>
            <w:r>
              <w:t>2023</w:t>
            </w:r>
          </w:p>
        </w:tc>
        <w:tc>
          <w:tcPr>
            <w:tcW w:w="1417" w:type="dxa"/>
            <w:vMerge/>
          </w:tcPr>
          <w:p w14:paraId="4FE89FD7" w14:textId="77777777" w:rsidR="00454A29" w:rsidRDefault="00454A29"/>
        </w:tc>
        <w:tc>
          <w:tcPr>
            <w:tcW w:w="2204" w:type="dxa"/>
            <w:vMerge/>
          </w:tcPr>
          <w:p w14:paraId="2A48D159" w14:textId="77777777" w:rsidR="00454A29" w:rsidRDefault="00454A29"/>
        </w:tc>
        <w:tc>
          <w:tcPr>
            <w:tcW w:w="1417" w:type="dxa"/>
            <w:vMerge/>
          </w:tcPr>
          <w:p w14:paraId="46941FCB" w14:textId="77777777" w:rsidR="00454A29" w:rsidRDefault="00454A29"/>
        </w:tc>
        <w:tc>
          <w:tcPr>
            <w:tcW w:w="2324" w:type="dxa"/>
            <w:vMerge/>
          </w:tcPr>
          <w:p w14:paraId="3B948E21" w14:textId="77777777" w:rsidR="00454A29" w:rsidRDefault="00454A29"/>
        </w:tc>
        <w:tc>
          <w:tcPr>
            <w:tcW w:w="1701" w:type="dxa"/>
            <w:vAlign w:val="center"/>
          </w:tcPr>
          <w:p w14:paraId="4D1D6A98" w14:textId="77777777" w:rsidR="00454A29" w:rsidRDefault="00454A29">
            <w:pPr>
              <w:pStyle w:val="ConsPlusNormal"/>
              <w:jc w:val="center"/>
            </w:pPr>
            <w:r>
              <w:t>-</w:t>
            </w:r>
          </w:p>
        </w:tc>
        <w:tc>
          <w:tcPr>
            <w:tcW w:w="1814" w:type="dxa"/>
            <w:vAlign w:val="center"/>
          </w:tcPr>
          <w:p w14:paraId="7C8F248E" w14:textId="77777777" w:rsidR="00454A29" w:rsidRDefault="00454A29">
            <w:pPr>
              <w:pStyle w:val="ConsPlusNormal"/>
              <w:jc w:val="center"/>
            </w:pPr>
            <w:r>
              <w:t>-</w:t>
            </w:r>
          </w:p>
        </w:tc>
        <w:tc>
          <w:tcPr>
            <w:tcW w:w="1701" w:type="dxa"/>
            <w:vAlign w:val="center"/>
          </w:tcPr>
          <w:p w14:paraId="1A7A458A" w14:textId="77777777" w:rsidR="00454A29" w:rsidRDefault="00454A29">
            <w:pPr>
              <w:pStyle w:val="ConsPlusNormal"/>
              <w:jc w:val="center"/>
            </w:pPr>
            <w:r>
              <w:t>-</w:t>
            </w:r>
          </w:p>
        </w:tc>
        <w:tc>
          <w:tcPr>
            <w:tcW w:w="1701" w:type="dxa"/>
            <w:vAlign w:val="center"/>
          </w:tcPr>
          <w:p w14:paraId="5FCA6C9D" w14:textId="77777777" w:rsidR="00454A29" w:rsidRDefault="00454A29">
            <w:pPr>
              <w:pStyle w:val="ConsPlusNormal"/>
              <w:jc w:val="center"/>
            </w:pPr>
            <w:r>
              <w:t>-</w:t>
            </w:r>
          </w:p>
        </w:tc>
        <w:tc>
          <w:tcPr>
            <w:tcW w:w="1814" w:type="dxa"/>
            <w:vAlign w:val="center"/>
          </w:tcPr>
          <w:p w14:paraId="73B5A6B0" w14:textId="77777777" w:rsidR="00454A29" w:rsidRDefault="00454A29">
            <w:pPr>
              <w:pStyle w:val="ConsPlusNormal"/>
              <w:jc w:val="center"/>
            </w:pPr>
            <w:r>
              <w:t>-</w:t>
            </w:r>
          </w:p>
        </w:tc>
      </w:tr>
      <w:tr w:rsidR="00454A29" w14:paraId="0FC55FD7" w14:textId="77777777">
        <w:tc>
          <w:tcPr>
            <w:tcW w:w="567" w:type="dxa"/>
            <w:vMerge/>
          </w:tcPr>
          <w:p w14:paraId="1D664881" w14:textId="77777777" w:rsidR="00454A29" w:rsidRDefault="00454A29"/>
        </w:tc>
        <w:tc>
          <w:tcPr>
            <w:tcW w:w="3345" w:type="dxa"/>
            <w:vMerge/>
          </w:tcPr>
          <w:p w14:paraId="77F83668" w14:textId="77777777" w:rsidR="00454A29" w:rsidRDefault="00454A29"/>
        </w:tc>
        <w:tc>
          <w:tcPr>
            <w:tcW w:w="1701" w:type="dxa"/>
            <w:vAlign w:val="center"/>
          </w:tcPr>
          <w:p w14:paraId="084C20CE" w14:textId="77777777" w:rsidR="00454A29" w:rsidRDefault="00454A29">
            <w:pPr>
              <w:pStyle w:val="ConsPlusNormal"/>
              <w:jc w:val="center"/>
            </w:pPr>
            <w:r>
              <w:t>2024</w:t>
            </w:r>
          </w:p>
        </w:tc>
        <w:tc>
          <w:tcPr>
            <w:tcW w:w="1417" w:type="dxa"/>
            <w:vMerge/>
          </w:tcPr>
          <w:p w14:paraId="6B933D66" w14:textId="77777777" w:rsidR="00454A29" w:rsidRDefault="00454A29"/>
        </w:tc>
        <w:tc>
          <w:tcPr>
            <w:tcW w:w="2204" w:type="dxa"/>
            <w:vMerge/>
          </w:tcPr>
          <w:p w14:paraId="0AA76599" w14:textId="77777777" w:rsidR="00454A29" w:rsidRDefault="00454A29"/>
        </w:tc>
        <w:tc>
          <w:tcPr>
            <w:tcW w:w="1417" w:type="dxa"/>
            <w:vMerge/>
          </w:tcPr>
          <w:p w14:paraId="52F155A7" w14:textId="77777777" w:rsidR="00454A29" w:rsidRDefault="00454A29"/>
        </w:tc>
        <w:tc>
          <w:tcPr>
            <w:tcW w:w="2324" w:type="dxa"/>
            <w:vMerge/>
          </w:tcPr>
          <w:p w14:paraId="0F6FD4EB" w14:textId="77777777" w:rsidR="00454A29" w:rsidRDefault="00454A29"/>
        </w:tc>
        <w:tc>
          <w:tcPr>
            <w:tcW w:w="1701" w:type="dxa"/>
            <w:vAlign w:val="center"/>
          </w:tcPr>
          <w:p w14:paraId="5047E867" w14:textId="77777777" w:rsidR="00454A29" w:rsidRDefault="00454A29">
            <w:pPr>
              <w:pStyle w:val="ConsPlusNormal"/>
              <w:jc w:val="center"/>
            </w:pPr>
            <w:r>
              <w:t>-</w:t>
            </w:r>
          </w:p>
        </w:tc>
        <w:tc>
          <w:tcPr>
            <w:tcW w:w="1814" w:type="dxa"/>
            <w:vAlign w:val="center"/>
          </w:tcPr>
          <w:p w14:paraId="71AB97A0" w14:textId="77777777" w:rsidR="00454A29" w:rsidRDefault="00454A29">
            <w:pPr>
              <w:pStyle w:val="ConsPlusNormal"/>
              <w:jc w:val="center"/>
            </w:pPr>
            <w:r>
              <w:t>-</w:t>
            </w:r>
          </w:p>
        </w:tc>
        <w:tc>
          <w:tcPr>
            <w:tcW w:w="1701" w:type="dxa"/>
            <w:vAlign w:val="center"/>
          </w:tcPr>
          <w:p w14:paraId="5EE4B7A7" w14:textId="77777777" w:rsidR="00454A29" w:rsidRDefault="00454A29">
            <w:pPr>
              <w:pStyle w:val="ConsPlusNormal"/>
              <w:jc w:val="center"/>
            </w:pPr>
            <w:r>
              <w:t>-</w:t>
            </w:r>
          </w:p>
        </w:tc>
        <w:tc>
          <w:tcPr>
            <w:tcW w:w="1701" w:type="dxa"/>
            <w:vAlign w:val="center"/>
          </w:tcPr>
          <w:p w14:paraId="07667C7B" w14:textId="77777777" w:rsidR="00454A29" w:rsidRDefault="00454A29">
            <w:pPr>
              <w:pStyle w:val="ConsPlusNormal"/>
              <w:jc w:val="center"/>
            </w:pPr>
            <w:r>
              <w:t>-</w:t>
            </w:r>
          </w:p>
        </w:tc>
        <w:tc>
          <w:tcPr>
            <w:tcW w:w="1814" w:type="dxa"/>
            <w:vAlign w:val="center"/>
          </w:tcPr>
          <w:p w14:paraId="01C22300" w14:textId="77777777" w:rsidR="00454A29" w:rsidRDefault="00454A29">
            <w:pPr>
              <w:pStyle w:val="ConsPlusNormal"/>
              <w:jc w:val="center"/>
            </w:pPr>
            <w:r>
              <w:t>-</w:t>
            </w:r>
          </w:p>
        </w:tc>
      </w:tr>
      <w:tr w:rsidR="00454A29" w14:paraId="6EEF7542" w14:textId="77777777">
        <w:tc>
          <w:tcPr>
            <w:tcW w:w="567" w:type="dxa"/>
            <w:vMerge/>
          </w:tcPr>
          <w:p w14:paraId="21FA6E5C" w14:textId="77777777" w:rsidR="00454A29" w:rsidRDefault="00454A29"/>
        </w:tc>
        <w:tc>
          <w:tcPr>
            <w:tcW w:w="3345" w:type="dxa"/>
            <w:vMerge/>
          </w:tcPr>
          <w:p w14:paraId="1F689332" w14:textId="77777777" w:rsidR="00454A29" w:rsidRDefault="00454A29"/>
        </w:tc>
        <w:tc>
          <w:tcPr>
            <w:tcW w:w="1701" w:type="dxa"/>
            <w:vAlign w:val="center"/>
          </w:tcPr>
          <w:p w14:paraId="09E39B7E" w14:textId="77777777" w:rsidR="00454A29" w:rsidRDefault="00454A29">
            <w:pPr>
              <w:pStyle w:val="ConsPlusNormal"/>
              <w:jc w:val="center"/>
            </w:pPr>
            <w:r>
              <w:t>2025</w:t>
            </w:r>
          </w:p>
        </w:tc>
        <w:tc>
          <w:tcPr>
            <w:tcW w:w="1417" w:type="dxa"/>
            <w:vMerge/>
          </w:tcPr>
          <w:p w14:paraId="7BD0D855" w14:textId="77777777" w:rsidR="00454A29" w:rsidRDefault="00454A29"/>
        </w:tc>
        <w:tc>
          <w:tcPr>
            <w:tcW w:w="2204" w:type="dxa"/>
            <w:vMerge/>
          </w:tcPr>
          <w:p w14:paraId="1608317D" w14:textId="77777777" w:rsidR="00454A29" w:rsidRDefault="00454A29"/>
        </w:tc>
        <w:tc>
          <w:tcPr>
            <w:tcW w:w="1417" w:type="dxa"/>
            <w:vMerge/>
          </w:tcPr>
          <w:p w14:paraId="535F3E95" w14:textId="77777777" w:rsidR="00454A29" w:rsidRDefault="00454A29"/>
        </w:tc>
        <w:tc>
          <w:tcPr>
            <w:tcW w:w="2324" w:type="dxa"/>
            <w:vMerge/>
          </w:tcPr>
          <w:p w14:paraId="07F0C07C" w14:textId="77777777" w:rsidR="00454A29" w:rsidRDefault="00454A29"/>
        </w:tc>
        <w:tc>
          <w:tcPr>
            <w:tcW w:w="1701" w:type="dxa"/>
            <w:vAlign w:val="center"/>
          </w:tcPr>
          <w:p w14:paraId="3A150D2B" w14:textId="77777777" w:rsidR="00454A29" w:rsidRDefault="00454A29">
            <w:pPr>
              <w:pStyle w:val="ConsPlusNormal"/>
              <w:jc w:val="center"/>
            </w:pPr>
            <w:r>
              <w:t>-</w:t>
            </w:r>
          </w:p>
        </w:tc>
        <w:tc>
          <w:tcPr>
            <w:tcW w:w="1814" w:type="dxa"/>
            <w:vAlign w:val="center"/>
          </w:tcPr>
          <w:p w14:paraId="54A70655" w14:textId="77777777" w:rsidR="00454A29" w:rsidRDefault="00454A29">
            <w:pPr>
              <w:pStyle w:val="ConsPlusNormal"/>
              <w:jc w:val="center"/>
            </w:pPr>
            <w:r>
              <w:t>-</w:t>
            </w:r>
          </w:p>
        </w:tc>
        <w:tc>
          <w:tcPr>
            <w:tcW w:w="1701" w:type="dxa"/>
            <w:vAlign w:val="center"/>
          </w:tcPr>
          <w:p w14:paraId="26AAD14F" w14:textId="77777777" w:rsidR="00454A29" w:rsidRDefault="00454A29">
            <w:pPr>
              <w:pStyle w:val="ConsPlusNormal"/>
              <w:jc w:val="center"/>
            </w:pPr>
            <w:r>
              <w:t>-</w:t>
            </w:r>
          </w:p>
        </w:tc>
        <w:tc>
          <w:tcPr>
            <w:tcW w:w="1701" w:type="dxa"/>
            <w:vAlign w:val="center"/>
          </w:tcPr>
          <w:p w14:paraId="022C82CB" w14:textId="77777777" w:rsidR="00454A29" w:rsidRDefault="00454A29">
            <w:pPr>
              <w:pStyle w:val="ConsPlusNormal"/>
              <w:jc w:val="center"/>
            </w:pPr>
            <w:r>
              <w:t>-</w:t>
            </w:r>
          </w:p>
        </w:tc>
        <w:tc>
          <w:tcPr>
            <w:tcW w:w="1814" w:type="dxa"/>
            <w:vAlign w:val="center"/>
          </w:tcPr>
          <w:p w14:paraId="00A256FA" w14:textId="77777777" w:rsidR="00454A29" w:rsidRDefault="00454A29">
            <w:pPr>
              <w:pStyle w:val="ConsPlusNormal"/>
              <w:jc w:val="center"/>
            </w:pPr>
            <w:r>
              <w:t>-</w:t>
            </w:r>
          </w:p>
        </w:tc>
      </w:tr>
      <w:tr w:rsidR="00454A29" w14:paraId="040F1668" w14:textId="77777777">
        <w:tc>
          <w:tcPr>
            <w:tcW w:w="567" w:type="dxa"/>
            <w:vMerge/>
          </w:tcPr>
          <w:p w14:paraId="73725DE7" w14:textId="77777777" w:rsidR="00454A29" w:rsidRDefault="00454A29"/>
        </w:tc>
        <w:tc>
          <w:tcPr>
            <w:tcW w:w="3345" w:type="dxa"/>
            <w:vMerge/>
          </w:tcPr>
          <w:p w14:paraId="05895A89" w14:textId="77777777" w:rsidR="00454A29" w:rsidRDefault="00454A29"/>
        </w:tc>
        <w:tc>
          <w:tcPr>
            <w:tcW w:w="1701" w:type="dxa"/>
            <w:vAlign w:val="center"/>
          </w:tcPr>
          <w:p w14:paraId="0162F7BD" w14:textId="77777777" w:rsidR="00454A29" w:rsidRDefault="00454A29">
            <w:pPr>
              <w:pStyle w:val="ConsPlusNormal"/>
              <w:jc w:val="center"/>
            </w:pPr>
            <w:r>
              <w:t>2026</w:t>
            </w:r>
          </w:p>
        </w:tc>
        <w:tc>
          <w:tcPr>
            <w:tcW w:w="1417" w:type="dxa"/>
            <w:vMerge/>
          </w:tcPr>
          <w:p w14:paraId="4CC6C974" w14:textId="77777777" w:rsidR="00454A29" w:rsidRDefault="00454A29"/>
        </w:tc>
        <w:tc>
          <w:tcPr>
            <w:tcW w:w="2204" w:type="dxa"/>
            <w:vMerge/>
          </w:tcPr>
          <w:p w14:paraId="012B3F09" w14:textId="77777777" w:rsidR="00454A29" w:rsidRDefault="00454A29"/>
        </w:tc>
        <w:tc>
          <w:tcPr>
            <w:tcW w:w="1417" w:type="dxa"/>
            <w:vMerge/>
          </w:tcPr>
          <w:p w14:paraId="731DFDAE" w14:textId="77777777" w:rsidR="00454A29" w:rsidRDefault="00454A29"/>
        </w:tc>
        <w:tc>
          <w:tcPr>
            <w:tcW w:w="2324" w:type="dxa"/>
            <w:vMerge/>
          </w:tcPr>
          <w:p w14:paraId="6099EC01" w14:textId="77777777" w:rsidR="00454A29" w:rsidRDefault="00454A29"/>
        </w:tc>
        <w:tc>
          <w:tcPr>
            <w:tcW w:w="1701" w:type="dxa"/>
            <w:vAlign w:val="center"/>
          </w:tcPr>
          <w:p w14:paraId="0BFFC80B" w14:textId="77777777" w:rsidR="00454A29" w:rsidRDefault="00454A29">
            <w:pPr>
              <w:pStyle w:val="ConsPlusNormal"/>
              <w:jc w:val="center"/>
            </w:pPr>
            <w:r>
              <w:t>-</w:t>
            </w:r>
          </w:p>
        </w:tc>
        <w:tc>
          <w:tcPr>
            <w:tcW w:w="1814" w:type="dxa"/>
            <w:vAlign w:val="center"/>
          </w:tcPr>
          <w:p w14:paraId="6EAA1420" w14:textId="77777777" w:rsidR="00454A29" w:rsidRDefault="00454A29">
            <w:pPr>
              <w:pStyle w:val="ConsPlusNormal"/>
              <w:jc w:val="center"/>
            </w:pPr>
            <w:r>
              <w:t>-</w:t>
            </w:r>
          </w:p>
        </w:tc>
        <w:tc>
          <w:tcPr>
            <w:tcW w:w="1701" w:type="dxa"/>
            <w:vAlign w:val="center"/>
          </w:tcPr>
          <w:p w14:paraId="0DD3106E" w14:textId="77777777" w:rsidR="00454A29" w:rsidRDefault="00454A29">
            <w:pPr>
              <w:pStyle w:val="ConsPlusNormal"/>
              <w:jc w:val="center"/>
            </w:pPr>
            <w:r>
              <w:t>-</w:t>
            </w:r>
          </w:p>
        </w:tc>
        <w:tc>
          <w:tcPr>
            <w:tcW w:w="1701" w:type="dxa"/>
            <w:vAlign w:val="center"/>
          </w:tcPr>
          <w:p w14:paraId="752A08BA" w14:textId="77777777" w:rsidR="00454A29" w:rsidRDefault="00454A29">
            <w:pPr>
              <w:pStyle w:val="ConsPlusNormal"/>
              <w:jc w:val="center"/>
            </w:pPr>
            <w:r>
              <w:t>-</w:t>
            </w:r>
          </w:p>
        </w:tc>
        <w:tc>
          <w:tcPr>
            <w:tcW w:w="1814" w:type="dxa"/>
            <w:vAlign w:val="center"/>
          </w:tcPr>
          <w:p w14:paraId="689DAD52" w14:textId="77777777" w:rsidR="00454A29" w:rsidRDefault="00454A29">
            <w:pPr>
              <w:pStyle w:val="ConsPlusNormal"/>
              <w:jc w:val="center"/>
            </w:pPr>
            <w:r>
              <w:t>-</w:t>
            </w:r>
          </w:p>
        </w:tc>
      </w:tr>
      <w:tr w:rsidR="00454A29" w14:paraId="65D90EAC" w14:textId="77777777">
        <w:tc>
          <w:tcPr>
            <w:tcW w:w="21706" w:type="dxa"/>
            <w:gridSpan w:val="12"/>
            <w:vAlign w:val="center"/>
          </w:tcPr>
          <w:p w14:paraId="51DB51AC" w14:textId="77777777" w:rsidR="00454A29" w:rsidRDefault="00454A29">
            <w:pPr>
              <w:pStyle w:val="ConsPlusNormal"/>
              <w:jc w:val="center"/>
            </w:pPr>
            <w:r>
              <w:lastRenderedPageBreak/>
              <w:t>Мероприятие 9.2.1.</w:t>
            </w:r>
          </w:p>
        </w:tc>
      </w:tr>
      <w:tr w:rsidR="00454A29" w14:paraId="6D72EEA8" w14:textId="77777777">
        <w:tc>
          <w:tcPr>
            <w:tcW w:w="567" w:type="dxa"/>
            <w:vMerge w:val="restart"/>
            <w:vAlign w:val="center"/>
          </w:tcPr>
          <w:p w14:paraId="5314B87F" w14:textId="77777777" w:rsidR="00454A29" w:rsidRDefault="00454A29">
            <w:pPr>
              <w:pStyle w:val="ConsPlusNormal"/>
            </w:pPr>
          </w:p>
        </w:tc>
        <w:tc>
          <w:tcPr>
            <w:tcW w:w="3345" w:type="dxa"/>
            <w:vMerge w:val="restart"/>
            <w:vAlign w:val="center"/>
          </w:tcPr>
          <w:p w14:paraId="5CF6BC13" w14:textId="77777777" w:rsidR="00454A29" w:rsidRDefault="00454A29">
            <w:pPr>
              <w:pStyle w:val="ConsPlusNormal"/>
              <w:jc w:val="center"/>
            </w:pPr>
            <w:r>
              <w:t>Создание новых мест в общеобразовательных организациях Республики Саха (Якутия)</w:t>
            </w:r>
          </w:p>
        </w:tc>
        <w:tc>
          <w:tcPr>
            <w:tcW w:w="1701" w:type="dxa"/>
            <w:vAlign w:val="center"/>
          </w:tcPr>
          <w:p w14:paraId="0099F9E0" w14:textId="77777777" w:rsidR="00454A29" w:rsidRDefault="00454A29">
            <w:pPr>
              <w:pStyle w:val="ConsPlusNormal"/>
              <w:jc w:val="center"/>
            </w:pPr>
            <w:r>
              <w:t>Всего:</w:t>
            </w:r>
          </w:p>
        </w:tc>
        <w:tc>
          <w:tcPr>
            <w:tcW w:w="1417" w:type="dxa"/>
            <w:vMerge w:val="restart"/>
            <w:vAlign w:val="center"/>
          </w:tcPr>
          <w:p w14:paraId="2E13B91A" w14:textId="77777777" w:rsidR="00454A29" w:rsidRDefault="00454A29">
            <w:pPr>
              <w:pStyle w:val="ConsPlusNormal"/>
              <w:jc w:val="center"/>
            </w:pPr>
            <w:r>
              <w:t>1 668 472,42</w:t>
            </w:r>
          </w:p>
        </w:tc>
        <w:tc>
          <w:tcPr>
            <w:tcW w:w="2204" w:type="dxa"/>
            <w:vMerge w:val="restart"/>
            <w:vAlign w:val="center"/>
          </w:tcPr>
          <w:p w14:paraId="45B0F329" w14:textId="77777777" w:rsidR="00454A29" w:rsidRDefault="00454A29">
            <w:pPr>
              <w:pStyle w:val="ConsPlusNormal"/>
            </w:pPr>
          </w:p>
        </w:tc>
        <w:tc>
          <w:tcPr>
            <w:tcW w:w="1417" w:type="dxa"/>
            <w:vMerge w:val="restart"/>
            <w:vAlign w:val="center"/>
          </w:tcPr>
          <w:p w14:paraId="306D53A2" w14:textId="77777777" w:rsidR="00454A29" w:rsidRDefault="00454A29">
            <w:pPr>
              <w:pStyle w:val="ConsPlusNormal"/>
              <w:jc w:val="center"/>
            </w:pPr>
            <w:r>
              <w:t>1305</w:t>
            </w:r>
          </w:p>
        </w:tc>
        <w:tc>
          <w:tcPr>
            <w:tcW w:w="2324" w:type="dxa"/>
            <w:vMerge w:val="restart"/>
            <w:vAlign w:val="center"/>
          </w:tcPr>
          <w:p w14:paraId="6D2E4704" w14:textId="77777777" w:rsidR="00454A29" w:rsidRDefault="00454A29">
            <w:pPr>
              <w:pStyle w:val="ConsPlusNormal"/>
              <w:jc w:val="center"/>
            </w:pPr>
            <w:r>
              <w:t>Минстрой РС(Я)</w:t>
            </w:r>
          </w:p>
        </w:tc>
        <w:tc>
          <w:tcPr>
            <w:tcW w:w="1701" w:type="dxa"/>
            <w:vAlign w:val="center"/>
          </w:tcPr>
          <w:p w14:paraId="23674423" w14:textId="77777777" w:rsidR="00454A29" w:rsidRDefault="00454A29">
            <w:pPr>
              <w:pStyle w:val="ConsPlusNormal"/>
              <w:jc w:val="center"/>
            </w:pPr>
            <w:r>
              <w:t>1 339 060,06</w:t>
            </w:r>
          </w:p>
        </w:tc>
        <w:tc>
          <w:tcPr>
            <w:tcW w:w="1814" w:type="dxa"/>
            <w:vAlign w:val="center"/>
          </w:tcPr>
          <w:p w14:paraId="4BADCAE8" w14:textId="77777777" w:rsidR="00454A29" w:rsidRDefault="00454A29">
            <w:pPr>
              <w:pStyle w:val="ConsPlusNormal"/>
              <w:jc w:val="center"/>
            </w:pPr>
            <w:r>
              <w:t>96 518,46</w:t>
            </w:r>
          </w:p>
        </w:tc>
        <w:tc>
          <w:tcPr>
            <w:tcW w:w="1701" w:type="dxa"/>
            <w:vAlign w:val="center"/>
          </w:tcPr>
          <w:p w14:paraId="654DF81A" w14:textId="77777777" w:rsidR="00454A29" w:rsidRDefault="00454A29">
            <w:pPr>
              <w:pStyle w:val="ConsPlusNormal"/>
              <w:jc w:val="center"/>
            </w:pPr>
            <w:r>
              <w:t>1 242 541,60</w:t>
            </w:r>
          </w:p>
        </w:tc>
        <w:tc>
          <w:tcPr>
            <w:tcW w:w="1701" w:type="dxa"/>
            <w:vAlign w:val="center"/>
          </w:tcPr>
          <w:p w14:paraId="7B33E4C5" w14:textId="77777777" w:rsidR="00454A29" w:rsidRDefault="00454A29">
            <w:pPr>
              <w:pStyle w:val="ConsPlusNormal"/>
              <w:jc w:val="center"/>
            </w:pPr>
            <w:r>
              <w:t>-</w:t>
            </w:r>
          </w:p>
        </w:tc>
        <w:tc>
          <w:tcPr>
            <w:tcW w:w="1814" w:type="dxa"/>
            <w:vAlign w:val="center"/>
          </w:tcPr>
          <w:p w14:paraId="10DC45EA" w14:textId="77777777" w:rsidR="00454A29" w:rsidRDefault="00454A29">
            <w:pPr>
              <w:pStyle w:val="ConsPlusNormal"/>
            </w:pPr>
          </w:p>
        </w:tc>
      </w:tr>
      <w:tr w:rsidR="00454A29" w14:paraId="5FDA4ECB" w14:textId="77777777">
        <w:tc>
          <w:tcPr>
            <w:tcW w:w="567" w:type="dxa"/>
            <w:vMerge/>
          </w:tcPr>
          <w:p w14:paraId="6D3A9C43" w14:textId="77777777" w:rsidR="00454A29" w:rsidRDefault="00454A29"/>
        </w:tc>
        <w:tc>
          <w:tcPr>
            <w:tcW w:w="3345" w:type="dxa"/>
            <w:vMerge/>
          </w:tcPr>
          <w:p w14:paraId="7C89B2A4" w14:textId="77777777" w:rsidR="00454A29" w:rsidRDefault="00454A29"/>
        </w:tc>
        <w:tc>
          <w:tcPr>
            <w:tcW w:w="1701" w:type="dxa"/>
            <w:vAlign w:val="center"/>
          </w:tcPr>
          <w:p w14:paraId="49974AF8" w14:textId="77777777" w:rsidR="00454A29" w:rsidRDefault="00454A29">
            <w:pPr>
              <w:pStyle w:val="ConsPlusNormal"/>
              <w:jc w:val="center"/>
            </w:pPr>
            <w:r>
              <w:t>2020</w:t>
            </w:r>
          </w:p>
        </w:tc>
        <w:tc>
          <w:tcPr>
            <w:tcW w:w="1417" w:type="dxa"/>
            <w:vMerge/>
          </w:tcPr>
          <w:p w14:paraId="4C23DCA4" w14:textId="77777777" w:rsidR="00454A29" w:rsidRDefault="00454A29"/>
        </w:tc>
        <w:tc>
          <w:tcPr>
            <w:tcW w:w="2204" w:type="dxa"/>
            <w:vMerge/>
          </w:tcPr>
          <w:p w14:paraId="16D46389" w14:textId="77777777" w:rsidR="00454A29" w:rsidRDefault="00454A29"/>
        </w:tc>
        <w:tc>
          <w:tcPr>
            <w:tcW w:w="1417" w:type="dxa"/>
            <w:vMerge/>
          </w:tcPr>
          <w:p w14:paraId="6CFB3E15" w14:textId="77777777" w:rsidR="00454A29" w:rsidRDefault="00454A29"/>
        </w:tc>
        <w:tc>
          <w:tcPr>
            <w:tcW w:w="2324" w:type="dxa"/>
            <w:vMerge/>
          </w:tcPr>
          <w:p w14:paraId="7D89981F" w14:textId="77777777" w:rsidR="00454A29" w:rsidRDefault="00454A29"/>
        </w:tc>
        <w:tc>
          <w:tcPr>
            <w:tcW w:w="1701" w:type="dxa"/>
            <w:vAlign w:val="center"/>
          </w:tcPr>
          <w:p w14:paraId="229DDE11" w14:textId="77777777" w:rsidR="00454A29" w:rsidRDefault="00454A29">
            <w:pPr>
              <w:pStyle w:val="ConsPlusNormal"/>
              <w:jc w:val="center"/>
            </w:pPr>
            <w:r>
              <w:t>266 896,85</w:t>
            </w:r>
          </w:p>
        </w:tc>
        <w:tc>
          <w:tcPr>
            <w:tcW w:w="1814" w:type="dxa"/>
            <w:vAlign w:val="center"/>
          </w:tcPr>
          <w:p w14:paraId="1D5CEEF2" w14:textId="77777777" w:rsidR="00454A29" w:rsidRDefault="00454A29">
            <w:pPr>
              <w:pStyle w:val="ConsPlusNormal"/>
              <w:jc w:val="center"/>
            </w:pPr>
            <w:r>
              <w:t>21 351,75</w:t>
            </w:r>
          </w:p>
        </w:tc>
        <w:tc>
          <w:tcPr>
            <w:tcW w:w="1701" w:type="dxa"/>
            <w:vAlign w:val="center"/>
          </w:tcPr>
          <w:p w14:paraId="1147794E" w14:textId="77777777" w:rsidR="00454A29" w:rsidRDefault="00454A29">
            <w:pPr>
              <w:pStyle w:val="ConsPlusNormal"/>
              <w:jc w:val="center"/>
            </w:pPr>
            <w:r>
              <w:t>245 545,10</w:t>
            </w:r>
          </w:p>
        </w:tc>
        <w:tc>
          <w:tcPr>
            <w:tcW w:w="1701" w:type="dxa"/>
            <w:vAlign w:val="center"/>
          </w:tcPr>
          <w:p w14:paraId="7E05726F" w14:textId="77777777" w:rsidR="00454A29" w:rsidRDefault="00454A29">
            <w:pPr>
              <w:pStyle w:val="ConsPlusNormal"/>
              <w:jc w:val="center"/>
            </w:pPr>
            <w:r>
              <w:t>-</w:t>
            </w:r>
          </w:p>
        </w:tc>
        <w:tc>
          <w:tcPr>
            <w:tcW w:w="1814" w:type="dxa"/>
            <w:vAlign w:val="center"/>
          </w:tcPr>
          <w:p w14:paraId="32040902" w14:textId="77777777" w:rsidR="00454A29" w:rsidRDefault="00454A29">
            <w:pPr>
              <w:pStyle w:val="ConsPlusNormal"/>
              <w:jc w:val="center"/>
            </w:pPr>
            <w:r>
              <w:t>-</w:t>
            </w:r>
          </w:p>
        </w:tc>
      </w:tr>
      <w:tr w:rsidR="00454A29" w14:paraId="58E110E7" w14:textId="77777777">
        <w:tc>
          <w:tcPr>
            <w:tcW w:w="567" w:type="dxa"/>
            <w:vMerge/>
          </w:tcPr>
          <w:p w14:paraId="550D9D02" w14:textId="77777777" w:rsidR="00454A29" w:rsidRDefault="00454A29"/>
        </w:tc>
        <w:tc>
          <w:tcPr>
            <w:tcW w:w="3345" w:type="dxa"/>
            <w:vMerge/>
          </w:tcPr>
          <w:p w14:paraId="064D38B6" w14:textId="77777777" w:rsidR="00454A29" w:rsidRDefault="00454A29"/>
        </w:tc>
        <w:tc>
          <w:tcPr>
            <w:tcW w:w="1701" w:type="dxa"/>
            <w:vAlign w:val="center"/>
          </w:tcPr>
          <w:p w14:paraId="5B854F92" w14:textId="77777777" w:rsidR="00454A29" w:rsidRDefault="00454A29">
            <w:pPr>
              <w:pStyle w:val="ConsPlusNormal"/>
              <w:jc w:val="center"/>
            </w:pPr>
            <w:r>
              <w:t>2021</w:t>
            </w:r>
          </w:p>
        </w:tc>
        <w:tc>
          <w:tcPr>
            <w:tcW w:w="1417" w:type="dxa"/>
            <w:vMerge/>
          </w:tcPr>
          <w:p w14:paraId="244A6962" w14:textId="77777777" w:rsidR="00454A29" w:rsidRDefault="00454A29"/>
        </w:tc>
        <w:tc>
          <w:tcPr>
            <w:tcW w:w="2204" w:type="dxa"/>
            <w:vMerge/>
          </w:tcPr>
          <w:p w14:paraId="55B9AA2B" w14:textId="77777777" w:rsidR="00454A29" w:rsidRDefault="00454A29"/>
        </w:tc>
        <w:tc>
          <w:tcPr>
            <w:tcW w:w="1417" w:type="dxa"/>
            <w:vMerge/>
          </w:tcPr>
          <w:p w14:paraId="4EC21E18" w14:textId="77777777" w:rsidR="00454A29" w:rsidRDefault="00454A29"/>
        </w:tc>
        <w:tc>
          <w:tcPr>
            <w:tcW w:w="2324" w:type="dxa"/>
            <w:vMerge/>
          </w:tcPr>
          <w:p w14:paraId="08095CD5" w14:textId="77777777" w:rsidR="00454A29" w:rsidRDefault="00454A29"/>
        </w:tc>
        <w:tc>
          <w:tcPr>
            <w:tcW w:w="1701" w:type="dxa"/>
            <w:vAlign w:val="center"/>
          </w:tcPr>
          <w:p w14:paraId="6A3B103F" w14:textId="77777777" w:rsidR="00454A29" w:rsidRDefault="00454A29">
            <w:pPr>
              <w:pStyle w:val="ConsPlusNormal"/>
              <w:jc w:val="center"/>
            </w:pPr>
            <w:r>
              <w:t>541 845,98</w:t>
            </w:r>
          </w:p>
        </w:tc>
        <w:tc>
          <w:tcPr>
            <w:tcW w:w="1814" w:type="dxa"/>
            <w:vAlign w:val="center"/>
          </w:tcPr>
          <w:p w14:paraId="76EB3BEA" w14:textId="77777777" w:rsidR="00454A29" w:rsidRDefault="00454A29">
            <w:pPr>
              <w:pStyle w:val="ConsPlusNormal"/>
              <w:jc w:val="center"/>
            </w:pPr>
            <w:r>
              <w:t>43 347,68</w:t>
            </w:r>
          </w:p>
        </w:tc>
        <w:tc>
          <w:tcPr>
            <w:tcW w:w="1701" w:type="dxa"/>
            <w:vAlign w:val="center"/>
          </w:tcPr>
          <w:p w14:paraId="396689F4" w14:textId="77777777" w:rsidR="00454A29" w:rsidRDefault="00454A29">
            <w:pPr>
              <w:pStyle w:val="ConsPlusNormal"/>
              <w:jc w:val="center"/>
            </w:pPr>
            <w:r>
              <w:t>498 498,30</w:t>
            </w:r>
          </w:p>
        </w:tc>
        <w:tc>
          <w:tcPr>
            <w:tcW w:w="1701" w:type="dxa"/>
            <w:vAlign w:val="center"/>
          </w:tcPr>
          <w:p w14:paraId="2DC7188E" w14:textId="77777777" w:rsidR="00454A29" w:rsidRDefault="00454A29">
            <w:pPr>
              <w:pStyle w:val="ConsPlusNormal"/>
              <w:jc w:val="center"/>
            </w:pPr>
            <w:r>
              <w:t>-</w:t>
            </w:r>
          </w:p>
        </w:tc>
        <w:tc>
          <w:tcPr>
            <w:tcW w:w="1814" w:type="dxa"/>
            <w:vAlign w:val="center"/>
          </w:tcPr>
          <w:p w14:paraId="4A05BAEE" w14:textId="77777777" w:rsidR="00454A29" w:rsidRDefault="00454A29">
            <w:pPr>
              <w:pStyle w:val="ConsPlusNormal"/>
              <w:jc w:val="center"/>
            </w:pPr>
            <w:r>
              <w:t>-</w:t>
            </w:r>
          </w:p>
        </w:tc>
      </w:tr>
      <w:tr w:rsidR="00454A29" w14:paraId="16F19169" w14:textId="77777777">
        <w:tc>
          <w:tcPr>
            <w:tcW w:w="567" w:type="dxa"/>
            <w:vMerge/>
          </w:tcPr>
          <w:p w14:paraId="4D5262F5" w14:textId="77777777" w:rsidR="00454A29" w:rsidRDefault="00454A29"/>
        </w:tc>
        <w:tc>
          <w:tcPr>
            <w:tcW w:w="3345" w:type="dxa"/>
            <w:vMerge/>
          </w:tcPr>
          <w:p w14:paraId="6CAB2033" w14:textId="77777777" w:rsidR="00454A29" w:rsidRDefault="00454A29"/>
        </w:tc>
        <w:tc>
          <w:tcPr>
            <w:tcW w:w="1701" w:type="dxa"/>
            <w:vAlign w:val="center"/>
          </w:tcPr>
          <w:p w14:paraId="7BFF4480" w14:textId="77777777" w:rsidR="00454A29" w:rsidRDefault="00454A29">
            <w:pPr>
              <w:pStyle w:val="ConsPlusNormal"/>
              <w:jc w:val="center"/>
            </w:pPr>
            <w:r>
              <w:t>2022</w:t>
            </w:r>
          </w:p>
        </w:tc>
        <w:tc>
          <w:tcPr>
            <w:tcW w:w="1417" w:type="dxa"/>
            <w:vMerge/>
          </w:tcPr>
          <w:p w14:paraId="0AF3EBFF" w14:textId="77777777" w:rsidR="00454A29" w:rsidRDefault="00454A29"/>
        </w:tc>
        <w:tc>
          <w:tcPr>
            <w:tcW w:w="2204" w:type="dxa"/>
            <w:vMerge/>
          </w:tcPr>
          <w:p w14:paraId="4AB1551A" w14:textId="77777777" w:rsidR="00454A29" w:rsidRDefault="00454A29"/>
        </w:tc>
        <w:tc>
          <w:tcPr>
            <w:tcW w:w="1417" w:type="dxa"/>
            <w:vMerge/>
          </w:tcPr>
          <w:p w14:paraId="101A9A85" w14:textId="77777777" w:rsidR="00454A29" w:rsidRDefault="00454A29"/>
        </w:tc>
        <w:tc>
          <w:tcPr>
            <w:tcW w:w="2324" w:type="dxa"/>
            <w:vMerge/>
          </w:tcPr>
          <w:p w14:paraId="67A68C26" w14:textId="77777777" w:rsidR="00454A29" w:rsidRDefault="00454A29"/>
        </w:tc>
        <w:tc>
          <w:tcPr>
            <w:tcW w:w="1701" w:type="dxa"/>
            <w:vAlign w:val="center"/>
          </w:tcPr>
          <w:p w14:paraId="7B5B719B" w14:textId="77777777" w:rsidR="00454A29" w:rsidRDefault="00454A29">
            <w:pPr>
              <w:pStyle w:val="ConsPlusNormal"/>
              <w:jc w:val="center"/>
            </w:pPr>
            <w:r>
              <w:t>530 317,23</w:t>
            </w:r>
          </w:p>
        </w:tc>
        <w:tc>
          <w:tcPr>
            <w:tcW w:w="1814" w:type="dxa"/>
            <w:vAlign w:val="center"/>
          </w:tcPr>
          <w:p w14:paraId="7E224569" w14:textId="77777777" w:rsidR="00454A29" w:rsidRDefault="00454A29">
            <w:pPr>
              <w:pStyle w:val="ConsPlusNormal"/>
              <w:jc w:val="center"/>
            </w:pPr>
            <w:r>
              <w:t>31 819,03</w:t>
            </w:r>
          </w:p>
        </w:tc>
        <w:tc>
          <w:tcPr>
            <w:tcW w:w="1701" w:type="dxa"/>
            <w:vAlign w:val="center"/>
          </w:tcPr>
          <w:p w14:paraId="03CDC1F6" w14:textId="77777777" w:rsidR="00454A29" w:rsidRDefault="00454A29">
            <w:pPr>
              <w:pStyle w:val="ConsPlusNormal"/>
              <w:jc w:val="center"/>
            </w:pPr>
            <w:r>
              <w:t>498 498,20</w:t>
            </w:r>
          </w:p>
        </w:tc>
        <w:tc>
          <w:tcPr>
            <w:tcW w:w="1701" w:type="dxa"/>
            <w:vAlign w:val="center"/>
          </w:tcPr>
          <w:p w14:paraId="0796B4BD" w14:textId="77777777" w:rsidR="00454A29" w:rsidRDefault="00454A29">
            <w:pPr>
              <w:pStyle w:val="ConsPlusNormal"/>
              <w:jc w:val="center"/>
            </w:pPr>
            <w:r>
              <w:t>-</w:t>
            </w:r>
          </w:p>
        </w:tc>
        <w:tc>
          <w:tcPr>
            <w:tcW w:w="1814" w:type="dxa"/>
            <w:vAlign w:val="center"/>
          </w:tcPr>
          <w:p w14:paraId="3BA07D3E" w14:textId="77777777" w:rsidR="00454A29" w:rsidRDefault="00454A29">
            <w:pPr>
              <w:pStyle w:val="ConsPlusNormal"/>
              <w:jc w:val="center"/>
            </w:pPr>
            <w:r>
              <w:t>-</w:t>
            </w:r>
          </w:p>
        </w:tc>
      </w:tr>
      <w:tr w:rsidR="00454A29" w14:paraId="586C5D72" w14:textId="77777777">
        <w:tc>
          <w:tcPr>
            <w:tcW w:w="567" w:type="dxa"/>
            <w:vMerge/>
          </w:tcPr>
          <w:p w14:paraId="4C643379" w14:textId="77777777" w:rsidR="00454A29" w:rsidRDefault="00454A29"/>
        </w:tc>
        <w:tc>
          <w:tcPr>
            <w:tcW w:w="3345" w:type="dxa"/>
            <w:vMerge/>
          </w:tcPr>
          <w:p w14:paraId="3B1789FD" w14:textId="77777777" w:rsidR="00454A29" w:rsidRDefault="00454A29"/>
        </w:tc>
        <w:tc>
          <w:tcPr>
            <w:tcW w:w="1701" w:type="dxa"/>
            <w:vAlign w:val="center"/>
          </w:tcPr>
          <w:p w14:paraId="1115915E" w14:textId="77777777" w:rsidR="00454A29" w:rsidRDefault="00454A29">
            <w:pPr>
              <w:pStyle w:val="ConsPlusNormal"/>
              <w:jc w:val="center"/>
            </w:pPr>
            <w:r>
              <w:t>2023</w:t>
            </w:r>
          </w:p>
        </w:tc>
        <w:tc>
          <w:tcPr>
            <w:tcW w:w="1417" w:type="dxa"/>
            <w:vMerge/>
          </w:tcPr>
          <w:p w14:paraId="0376908E" w14:textId="77777777" w:rsidR="00454A29" w:rsidRDefault="00454A29"/>
        </w:tc>
        <w:tc>
          <w:tcPr>
            <w:tcW w:w="2204" w:type="dxa"/>
            <w:vMerge/>
          </w:tcPr>
          <w:p w14:paraId="76943D0C" w14:textId="77777777" w:rsidR="00454A29" w:rsidRDefault="00454A29"/>
        </w:tc>
        <w:tc>
          <w:tcPr>
            <w:tcW w:w="1417" w:type="dxa"/>
            <w:vMerge/>
          </w:tcPr>
          <w:p w14:paraId="2FF6EEAB" w14:textId="77777777" w:rsidR="00454A29" w:rsidRDefault="00454A29"/>
        </w:tc>
        <w:tc>
          <w:tcPr>
            <w:tcW w:w="2324" w:type="dxa"/>
            <w:vMerge/>
          </w:tcPr>
          <w:p w14:paraId="2F2EF2F5" w14:textId="77777777" w:rsidR="00454A29" w:rsidRDefault="00454A29"/>
        </w:tc>
        <w:tc>
          <w:tcPr>
            <w:tcW w:w="1701" w:type="dxa"/>
            <w:vAlign w:val="center"/>
          </w:tcPr>
          <w:p w14:paraId="372B7CDE" w14:textId="77777777" w:rsidR="00454A29" w:rsidRDefault="00454A29">
            <w:pPr>
              <w:pStyle w:val="ConsPlusNormal"/>
              <w:jc w:val="center"/>
            </w:pPr>
            <w:r>
              <w:t>-</w:t>
            </w:r>
          </w:p>
        </w:tc>
        <w:tc>
          <w:tcPr>
            <w:tcW w:w="1814" w:type="dxa"/>
            <w:vAlign w:val="center"/>
          </w:tcPr>
          <w:p w14:paraId="1A621EA7" w14:textId="77777777" w:rsidR="00454A29" w:rsidRDefault="00454A29">
            <w:pPr>
              <w:pStyle w:val="ConsPlusNormal"/>
              <w:jc w:val="center"/>
            </w:pPr>
            <w:r>
              <w:t>-</w:t>
            </w:r>
          </w:p>
        </w:tc>
        <w:tc>
          <w:tcPr>
            <w:tcW w:w="1701" w:type="dxa"/>
            <w:vAlign w:val="center"/>
          </w:tcPr>
          <w:p w14:paraId="413EA384" w14:textId="77777777" w:rsidR="00454A29" w:rsidRDefault="00454A29">
            <w:pPr>
              <w:pStyle w:val="ConsPlusNormal"/>
              <w:jc w:val="center"/>
            </w:pPr>
            <w:r>
              <w:t>-</w:t>
            </w:r>
          </w:p>
        </w:tc>
        <w:tc>
          <w:tcPr>
            <w:tcW w:w="1701" w:type="dxa"/>
            <w:vAlign w:val="center"/>
          </w:tcPr>
          <w:p w14:paraId="1B13D74C" w14:textId="77777777" w:rsidR="00454A29" w:rsidRDefault="00454A29">
            <w:pPr>
              <w:pStyle w:val="ConsPlusNormal"/>
              <w:jc w:val="center"/>
            </w:pPr>
            <w:r>
              <w:t>-</w:t>
            </w:r>
          </w:p>
        </w:tc>
        <w:tc>
          <w:tcPr>
            <w:tcW w:w="1814" w:type="dxa"/>
            <w:vAlign w:val="center"/>
          </w:tcPr>
          <w:p w14:paraId="63373801" w14:textId="77777777" w:rsidR="00454A29" w:rsidRDefault="00454A29">
            <w:pPr>
              <w:pStyle w:val="ConsPlusNormal"/>
              <w:jc w:val="center"/>
            </w:pPr>
            <w:r>
              <w:t>-</w:t>
            </w:r>
          </w:p>
        </w:tc>
      </w:tr>
      <w:tr w:rsidR="00454A29" w14:paraId="6ACC78B1" w14:textId="77777777">
        <w:tc>
          <w:tcPr>
            <w:tcW w:w="567" w:type="dxa"/>
            <w:vMerge/>
          </w:tcPr>
          <w:p w14:paraId="5049CB82" w14:textId="77777777" w:rsidR="00454A29" w:rsidRDefault="00454A29"/>
        </w:tc>
        <w:tc>
          <w:tcPr>
            <w:tcW w:w="3345" w:type="dxa"/>
            <w:vMerge/>
          </w:tcPr>
          <w:p w14:paraId="3A11260D" w14:textId="77777777" w:rsidR="00454A29" w:rsidRDefault="00454A29"/>
        </w:tc>
        <w:tc>
          <w:tcPr>
            <w:tcW w:w="1701" w:type="dxa"/>
            <w:vAlign w:val="center"/>
          </w:tcPr>
          <w:p w14:paraId="3EED82CF" w14:textId="77777777" w:rsidR="00454A29" w:rsidRDefault="00454A29">
            <w:pPr>
              <w:pStyle w:val="ConsPlusNormal"/>
              <w:jc w:val="center"/>
            </w:pPr>
            <w:r>
              <w:t>2024</w:t>
            </w:r>
          </w:p>
        </w:tc>
        <w:tc>
          <w:tcPr>
            <w:tcW w:w="1417" w:type="dxa"/>
            <w:vMerge/>
          </w:tcPr>
          <w:p w14:paraId="38C020FB" w14:textId="77777777" w:rsidR="00454A29" w:rsidRDefault="00454A29"/>
        </w:tc>
        <w:tc>
          <w:tcPr>
            <w:tcW w:w="2204" w:type="dxa"/>
            <w:vMerge/>
          </w:tcPr>
          <w:p w14:paraId="3DBE1899" w14:textId="77777777" w:rsidR="00454A29" w:rsidRDefault="00454A29"/>
        </w:tc>
        <w:tc>
          <w:tcPr>
            <w:tcW w:w="1417" w:type="dxa"/>
            <w:vMerge/>
          </w:tcPr>
          <w:p w14:paraId="40C27023" w14:textId="77777777" w:rsidR="00454A29" w:rsidRDefault="00454A29"/>
        </w:tc>
        <w:tc>
          <w:tcPr>
            <w:tcW w:w="2324" w:type="dxa"/>
            <w:vMerge/>
          </w:tcPr>
          <w:p w14:paraId="7E54BE49" w14:textId="77777777" w:rsidR="00454A29" w:rsidRDefault="00454A29"/>
        </w:tc>
        <w:tc>
          <w:tcPr>
            <w:tcW w:w="1701" w:type="dxa"/>
            <w:vAlign w:val="center"/>
          </w:tcPr>
          <w:p w14:paraId="1414F2FA" w14:textId="77777777" w:rsidR="00454A29" w:rsidRDefault="00454A29">
            <w:pPr>
              <w:pStyle w:val="ConsPlusNormal"/>
              <w:jc w:val="center"/>
            </w:pPr>
            <w:r>
              <w:t>-</w:t>
            </w:r>
          </w:p>
        </w:tc>
        <w:tc>
          <w:tcPr>
            <w:tcW w:w="1814" w:type="dxa"/>
            <w:vAlign w:val="center"/>
          </w:tcPr>
          <w:p w14:paraId="02BA2F6D" w14:textId="77777777" w:rsidR="00454A29" w:rsidRDefault="00454A29">
            <w:pPr>
              <w:pStyle w:val="ConsPlusNormal"/>
              <w:jc w:val="center"/>
            </w:pPr>
            <w:r>
              <w:t>-</w:t>
            </w:r>
          </w:p>
        </w:tc>
        <w:tc>
          <w:tcPr>
            <w:tcW w:w="1701" w:type="dxa"/>
            <w:vAlign w:val="center"/>
          </w:tcPr>
          <w:p w14:paraId="3BBA0A77" w14:textId="77777777" w:rsidR="00454A29" w:rsidRDefault="00454A29">
            <w:pPr>
              <w:pStyle w:val="ConsPlusNormal"/>
              <w:jc w:val="center"/>
            </w:pPr>
            <w:r>
              <w:t>-</w:t>
            </w:r>
          </w:p>
        </w:tc>
        <w:tc>
          <w:tcPr>
            <w:tcW w:w="1701" w:type="dxa"/>
            <w:vAlign w:val="center"/>
          </w:tcPr>
          <w:p w14:paraId="6B3054F7" w14:textId="77777777" w:rsidR="00454A29" w:rsidRDefault="00454A29">
            <w:pPr>
              <w:pStyle w:val="ConsPlusNormal"/>
              <w:jc w:val="center"/>
            </w:pPr>
            <w:r>
              <w:t>-</w:t>
            </w:r>
          </w:p>
        </w:tc>
        <w:tc>
          <w:tcPr>
            <w:tcW w:w="1814" w:type="dxa"/>
            <w:vAlign w:val="center"/>
          </w:tcPr>
          <w:p w14:paraId="3838817D" w14:textId="77777777" w:rsidR="00454A29" w:rsidRDefault="00454A29">
            <w:pPr>
              <w:pStyle w:val="ConsPlusNormal"/>
              <w:jc w:val="center"/>
            </w:pPr>
            <w:r>
              <w:t>-</w:t>
            </w:r>
          </w:p>
        </w:tc>
      </w:tr>
      <w:tr w:rsidR="00454A29" w14:paraId="1A588016" w14:textId="77777777">
        <w:tc>
          <w:tcPr>
            <w:tcW w:w="567" w:type="dxa"/>
            <w:vMerge/>
          </w:tcPr>
          <w:p w14:paraId="413F07CD" w14:textId="77777777" w:rsidR="00454A29" w:rsidRDefault="00454A29"/>
        </w:tc>
        <w:tc>
          <w:tcPr>
            <w:tcW w:w="3345" w:type="dxa"/>
            <w:vMerge/>
          </w:tcPr>
          <w:p w14:paraId="2A1B13B9" w14:textId="77777777" w:rsidR="00454A29" w:rsidRDefault="00454A29"/>
        </w:tc>
        <w:tc>
          <w:tcPr>
            <w:tcW w:w="1701" w:type="dxa"/>
            <w:vAlign w:val="center"/>
          </w:tcPr>
          <w:p w14:paraId="6BD06849" w14:textId="77777777" w:rsidR="00454A29" w:rsidRDefault="00454A29">
            <w:pPr>
              <w:pStyle w:val="ConsPlusNormal"/>
              <w:jc w:val="center"/>
            </w:pPr>
            <w:r>
              <w:t>2025</w:t>
            </w:r>
          </w:p>
        </w:tc>
        <w:tc>
          <w:tcPr>
            <w:tcW w:w="1417" w:type="dxa"/>
            <w:vMerge/>
          </w:tcPr>
          <w:p w14:paraId="353DAEAF" w14:textId="77777777" w:rsidR="00454A29" w:rsidRDefault="00454A29"/>
        </w:tc>
        <w:tc>
          <w:tcPr>
            <w:tcW w:w="2204" w:type="dxa"/>
            <w:vMerge/>
          </w:tcPr>
          <w:p w14:paraId="1A633449" w14:textId="77777777" w:rsidR="00454A29" w:rsidRDefault="00454A29"/>
        </w:tc>
        <w:tc>
          <w:tcPr>
            <w:tcW w:w="1417" w:type="dxa"/>
            <w:vMerge/>
          </w:tcPr>
          <w:p w14:paraId="6AD99DA6" w14:textId="77777777" w:rsidR="00454A29" w:rsidRDefault="00454A29"/>
        </w:tc>
        <w:tc>
          <w:tcPr>
            <w:tcW w:w="2324" w:type="dxa"/>
            <w:vMerge/>
          </w:tcPr>
          <w:p w14:paraId="3981CDEF" w14:textId="77777777" w:rsidR="00454A29" w:rsidRDefault="00454A29"/>
        </w:tc>
        <w:tc>
          <w:tcPr>
            <w:tcW w:w="1701" w:type="dxa"/>
            <w:vAlign w:val="center"/>
          </w:tcPr>
          <w:p w14:paraId="43C62191" w14:textId="77777777" w:rsidR="00454A29" w:rsidRDefault="00454A29">
            <w:pPr>
              <w:pStyle w:val="ConsPlusNormal"/>
              <w:jc w:val="center"/>
            </w:pPr>
            <w:r>
              <w:t>-</w:t>
            </w:r>
          </w:p>
        </w:tc>
        <w:tc>
          <w:tcPr>
            <w:tcW w:w="1814" w:type="dxa"/>
            <w:vAlign w:val="center"/>
          </w:tcPr>
          <w:p w14:paraId="2302860E" w14:textId="77777777" w:rsidR="00454A29" w:rsidRDefault="00454A29">
            <w:pPr>
              <w:pStyle w:val="ConsPlusNormal"/>
              <w:jc w:val="center"/>
            </w:pPr>
            <w:r>
              <w:t>-</w:t>
            </w:r>
          </w:p>
        </w:tc>
        <w:tc>
          <w:tcPr>
            <w:tcW w:w="1701" w:type="dxa"/>
            <w:vAlign w:val="center"/>
          </w:tcPr>
          <w:p w14:paraId="32DD7A6A" w14:textId="77777777" w:rsidR="00454A29" w:rsidRDefault="00454A29">
            <w:pPr>
              <w:pStyle w:val="ConsPlusNormal"/>
              <w:jc w:val="center"/>
            </w:pPr>
            <w:r>
              <w:t>-</w:t>
            </w:r>
          </w:p>
        </w:tc>
        <w:tc>
          <w:tcPr>
            <w:tcW w:w="1701" w:type="dxa"/>
            <w:vAlign w:val="center"/>
          </w:tcPr>
          <w:p w14:paraId="75ADF83D" w14:textId="77777777" w:rsidR="00454A29" w:rsidRDefault="00454A29">
            <w:pPr>
              <w:pStyle w:val="ConsPlusNormal"/>
              <w:jc w:val="center"/>
            </w:pPr>
            <w:r>
              <w:t>-</w:t>
            </w:r>
          </w:p>
        </w:tc>
        <w:tc>
          <w:tcPr>
            <w:tcW w:w="1814" w:type="dxa"/>
            <w:vAlign w:val="center"/>
          </w:tcPr>
          <w:p w14:paraId="2E194428" w14:textId="77777777" w:rsidR="00454A29" w:rsidRDefault="00454A29">
            <w:pPr>
              <w:pStyle w:val="ConsPlusNormal"/>
              <w:jc w:val="center"/>
            </w:pPr>
            <w:r>
              <w:t>-</w:t>
            </w:r>
          </w:p>
        </w:tc>
      </w:tr>
      <w:tr w:rsidR="00454A29" w14:paraId="441E52FB" w14:textId="77777777">
        <w:tc>
          <w:tcPr>
            <w:tcW w:w="567" w:type="dxa"/>
            <w:vMerge/>
          </w:tcPr>
          <w:p w14:paraId="50367F64" w14:textId="77777777" w:rsidR="00454A29" w:rsidRDefault="00454A29"/>
        </w:tc>
        <w:tc>
          <w:tcPr>
            <w:tcW w:w="3345" w:type="dxa"/>
            <w:vMerge/>
          </w:tcPr>
          <w:p w14:paraId="55C21065" w14:textId="77777777" w:rsidR="00454A29" w:rsidRDefault="00454A29"/>
        </w:tc>
        <w:tc>
          <w:tcPr>
            <w:tcW w:w="1701" w:type="dxa"/>
            <w:vAlign w:val="center"/>
          </w:tcPr>
          <w:p w14:paraId="10FBD035" w14:textId="77777777" w:rsidR="00454A29" w:rsidRDefault="00454A29">
            <w:pPr>
              <w:pStyle w:val="ConsPlusNormal"/>
              <w:jc w:val="center"/>
            </w:pPr>
            <w:r>
              <w:t>2026</w:t>
            </w:r>
          </w:p>
        </w:tc>
        <w:tc>
          <w:tcPr>
            <w:tcW w:w="1417" w:type="dxa"/>
            <w:vMerge/>
          </w:tcPr>
          <w:p w14:paraId="276F28BE" w14:textId="77777777" w:rsidR="00454A29" w:rsidRDefault="00454A29"/>
        </w:tc>
        <w:tc>
          <w:tcPr>
            <w:tcW w:w="2204" w:type="dxa"/>
            <w:vMerge/>
          </w:tcPr>
          <w:p w14:paraId="6E7AD04C" w14:textId="77777777" w:rsidR="00454A29" w:rsidRDefault="00454A29"/>
        </w:tc>
        <w:tc>
          <w:tcPr>
            <w:tcW w:w="1417" w:type="dxa"/>
            <w:vMerge/>
          </w:tcPr>
          <w:p w14:paraId="7895D430" w14:textId="77777777" w:rsidR="00454A29" w:rsidRDefault="00454A29"/>
        </w:tc>
        <w:tc>
          <w:tcPr>
            <w:tcW w:w="2324" w:type="dxa"/>
            <w:vMerge/>
          </w:tcPr>
          <w:p w14:paraId="26FA3AE3" w14:textId="77777777" w:rsidR="00454A29" w:rsidRDefault="00454A29"/>
        </w:tc>
        <w:tc>
          <w:tcPr>
            <w:tcW w:w="1701" w:type="dxa"/>
            <w:vAlign w:val="center"/>
          </w:tcPr>
          <w:p w14:paraId="68B1DD45" w14:textId="77777777" w:rsidR="00454A29" w:rsidRDefault="00454A29">
            <w:pPr>
              <w:pStyle w:val="ConsPlusNormal"/>
              <w:jc w:val="center"/>
            </w:pPr>
            <w:r>
              <w:t>-</w:t>
            </w:r>
          </w:p>
        </w:tc>
        <w:tc>
          <w:tcPr>
            <w:tcW w:w="1814" w:type="dxa"/>
            <w:vAlign w:val="center"/>
          </w:tcPr>
          <w:p w14:paraId="0A8292DC" w14:textId="77777777" w:rsidR="00454A29" w:rsidRDefault="00454A29">
            <w:pPr>
              <w:pStyle w:val="ConsPlusNormal"/>
              <w:jc w:val="center"/>
            </w:pPr>
            <w:r>
              <w:t>-</w:t>
            </w:r>
          </w:p>
        </w:tc>
        <w:tc>
          <w:tcPr>
            <w:tcW w:w="1701" w:type="dxa"/>
            <w:vAlign w:val="center"/>
          </w:tcPr>
          <w:p w14:paraId="4E48BFE3" w14:textId="77777777" w:rsidR="00454A29" w:rsidRDefault="00454A29">
            <w:pPr>
              <w:pStyle w:val="ConsPlusNormal"/>
              <w:jc w:val="center"/>
            </w:pPr>
            <w:r>
              <w:t>-</w:t>
            </w:r>
          </w:p>
        </w:tc>
        <w:tc>
          <w:tcPr>
            <w:tcW w:w="1701" w:type="dxa"/>
            <w:vAlign w:val="center"/>
          </w:tcPr>
          <w:p w14:paraId="57F6499F" w14:textId="77777777" w:rsidR="00454A29" w:rsidRDefault="00454A29">
            <w:pPr>
              <w:pStyle w:val="ConsPlusNormal"/>
              <w:jc w:val="center"/>
            </w:pPr>
            <w:r>
              <w:t>-</w:t>
            </w:r>
          </w:p>
        </w:tc>
        <w:tc>
          <w:tcPr>
            <w:tcW w:w="1814" w:type="dxa"/>
            <w:vAlign w:val="center"/>
          </w:tcPr>
          <w:p w14:paraId="1E7330A8" w14:textId="77777777" w:rsidR="00454A29" w:rsidRDefault="00454A29">
            <w:pPr>
              <w:pStyle w:val="ConsPlusNormal"/>
              <w:jc w:val="center"/>
            </w:pPr>
            <w:r>
              <w:t>-</w:t>
            </w:r>
          </w:p>
        </w:tc>
      </w:tr>
      <w:tr w:rsidR="00454A29" w14:paraId="05236357" w14:textId="77777777">
        <w:tc>
          <w:tcPr>
            <w:tcW w:w="21706" w:type="dxa"/>
            <w:gridSpan w:val="12"/>
            <w:vAlign w:val="center"/>
          </w:tcPr>
          <w:p w14:paraId="5A6238A1" w14:textId="77777777" w:rsidR="00454A29" w:rsidRDefault="00454A29">
            <w:pPr>
              <w:pStyle w:val="ConsPlusNormal"/>
              <w:jc w:val="center"/>
            </w:pPr>
            <w:r>
              <w:t>ГО "город Якутск"</w:t>
            </w:r>
          </w:p>
        </w:tc>
      </w:tr>
      <w:tr w:rsidR="00454A29" w14:paraId="18FE350B" w14:textId="77777777">
        <w:tc>
          <w:tcPr>
            <w:tcW w:w="567" w:type="dxa"/>
            <w:vMerge w:val="restart"/>
            <w:vAlign w:val="center"/>
          </w:tcPr>
          <w:p w14:paraId="39A6B4D5" w14:textId="77777777" w:rsidR="00454A29" w:rsidRDefault="00454A29">
            <w:pPr>
              <w:pStyle w:val="ConsPlusNormal"/>
              <w:jc w:val="center"/>
            </w:pPr>
            <w:r>
              <w:t>213</w:t>
            </w:r>
          </w:p>
        </w:tc>
        <w:tc>
          <w:tcPr>
            <w:tcW w:w="3345" w:type="dxa"/>
            <w:vMerge w:val="restart"/>
            <w:vAlign w:val="center"/>
          </w:tcPr>
          <w:p w14:paraId="4B741A02" w14:textId="77777777" w:rsidR="00454A29" w:rsidRDefault="00454A29">
            <w:pPr>
              <w:pStyle w:val="ConsPlusNormal"/>
              <w:jc w:val="center"/>
            </w:pPr>
            <w:r>
              <w:t>Дополнительное здание к МОБУ "Средняя общеобразовательная школа N 31" ГО "город Якутск"</w:t>
            </w:r>
          </w:p>
        </w:tc>
        <w:tc>
          <w:tcPr>
            <w:tcW w:w="1701" w:type="dxa"/>
            <w:vAlign w:val="center"/>
          </w:tcPr>
          <w:p w14:paraId="40169545" w14:textId="77777777" w:rsidR="00454A29" w:rsidRDefault="00454A29">
            <w:pPr>
              <w:pStyle w:val="ConsPlusNormal"/>
              <w:jc w:val="center"/>
            </w:pPr>
            <w:r>
              <w:t>2020 - 2026 годы - всего</w:t>
            </w:r>
          </w:p>
        </w:tc>
        <w:tc>
          <w:tcPr>
            <w:tcW w:w="1417" w:type="dxa"/>
            <w:vMerge w:val="restart"/>
            <w:vAlign w:val="center"/>
          </w:tcPr>
          <w:p w14:paraId="3D694A0A" w14:textId="77777777" w:rsidR="00454A29" w:rsidRDefault="00454A29">
            <w:pPr>
              <w:pStyle w:val="ConsPlusNormal"/>
              <w:jc w:val="center"/>
            </w:pPr>
            <w:r>
              <w:t>301 407,90</w:t>
            </w:r>
          </w:p>
        </w:tc>
        <w:tc>
          <w:tcPr>
            <w:tcW w:w="2204" w:type="dxa"/>
            <w:vMerge w:val="restart"/>
            <w:vAlign w:val="center"/>
          </w:tcPr>
          <w:p w14:paraId="0B4A3089" w14:textId="77777777" w:rsidR="00454A29" w:rsidRDefault="00454A29">
            <w:pPr>
              <w:pStyle w:val="ConsPlusNormal"/>
            </w:pPr>
          </w:p>
        </w:tc>
        <w:tc>
          <w:tcPr>
            <w:tcW w:w="1417" w:type="dxa"/>
            <w:vMerge w:val="restart"/>
            <w:vAlign w:val="center"/>
          </w:tcPr>
          <w:p w14:paraId="3834B583" w14:textId="77777777" w:rsidR="00454A29" w:rsidRDefault="00454A29">
            <w:pPr>
              <w:pStyle w:val="ConsPlusNormal"/>
              <w:jc w:val="center"/>
            </w:pPr>
            <w:r>
              <w:t>315</w:t>
            </w:r>
          </w:p>
        </w:tc>
        <w:tc>
          <w:tcPr>
            <w:tcW w:w="2324" w:type="dxa"/>
            <w:vMerge w:val="restart"/>
            <w:vAlign w:val="center"/>
          </w:tcPr>
          <w:p w14:paraId="59242FD7" w14:textId="77777777" w:rsidR="00454A29" w:rsidRDefault="00454A29">
            <w:pPr>
              <w:pStyle w:val="ConsPlusNormal"/>
              <w:jc w:val="center"/>
            </w:pPr>
            <w:r>
              <w:t>Минстрой РС(Я), ГО "город Якутск"</w:t>
            </w:r>
          </w:p>
        </w:tc>
        <w:tc>
          <w:tcPr>
            <w:tcW w:w="1701" w:type="dxa"/>
            <w:vAlign w:val="center"/>
          </w:tcPr>
          <w:p w14:paraId="5C4C2F5C" w14:textId="77777777" w:rsidR="00454A29" w:rsidRDefault="00454A29">
            <w:pPr>
              <w:pStyle w:val="ConsPlusNormal"/>
              <w:jc w:val="center"/>
            </w:pPr>
            <w:r>
              <w:t>266 896,85</w:t>
            </w:r>
          </w:p>
        </w:tc>
        <w:tc>
          <w:tcPr>
            <w:tcW w:w="1814" w:type="dxa"/>
            <w:vAlign w:val="center"/>
          </w:tcPr>
          <w:p w14:paraId="71C1B79B" w14:textId="77777777" w:rsidR="00454A29" w:rsidRDefault="00454A29">
            <w:pPr>
              <w:pStyle w:val="ConsPlusNormal"/>
              <w:jc w:val="center"/>
            </w:pPr>
            <w:r>
              <w:t>21 351,75</w:t>
            </w:r>
          </w:p>
        </w:tc>
        <w:tc>
          <w:tcPr>
            <w:tcW w:w="1701" w:type="dxa"/>
            <w:vAlign w:val="center"/>
          </w:tcPr>
          <w:p w14:paraId="2FADB7AF" w14:textId="77777777" w:rsidR="00454A29" w:rsidRDefault="00454A29">
            <w:pPr>
              <w:pStyle w:val="ConsPlusNormal"/>
              <w:jc w:val="center"/>
            </w:pPr>
            <w:r>
              <w:t>245 545,10</w:t>
            </w:r>
          </w:p>
        </w:tc>
        <w:tc>
          <w:tcPr>
            <w:tcW w:w="1701" w:type="dxa"/>
            <w:vAlign w:val="center"/>
          </w:tcPr>
          <w:p w14:paraId="366C9083" w14:textId="77777777" w:rsidR="00454A29" w:rsidRDefault="00454A29">
            <w:pPr>
              <w:pStyle w:val="ConsPlusNormal"/>
              <w:jc w:val="center"/>
            </w:pPr>
            <w:r>
              <w:t>-</w:t>
            </w:r>
          </w:p>
        </w:tc>
        <w:tc>
          <w:tcPr>
            <w:tcW w:w="1814" w:type="dxa"/>
            <w:vAlign w:val="center"/>
          </w:tcPr>
          <w:p w14:paraId="7DF0C68E" w14:textId="77777777" w:rsidR="00454A29" w:rsidRDefault="00454A29">
            <w:pPr>
              <w:pStyle w:val="ConsPlusNormal"/>
              <w:jc w:val="center"/>
            </w:pPr>
            <w:r>
              <w:t>-</w:t>
            </w:r>
          </w:p>
        </w:tc>
      </w:tr>
      <w:tr w:rsidR="00454A29" w14:paraId="31B8D9E8" w14:textId="77777777">
        <w:tc>
          <w:tcPr>
            <w:tcW w:w="567" w:type="dxa"/>
            <w:vMerge/>
          </w:tcPr>
          <w:p w14:paraId="6B45996C" w14:textId="77777777" w:rsidR="00454A29" w:rsidRDefault="00454A29"/>
        </w:tc>
        <w:tc>
          <w:tcPr>
            <w:tcW w:w="3345" w:type="dxa"/>
            <w:vMerge/>
          </w:tcPr>
          <w:p w14:paraId="681BA770" w14:textId="77777777" w:rsidR="00454A29" w:rsidRDefault="00454A29"/>
        </w:tc>
        <w:tc>
          <w:tcPr>
            <w:tcW w:w="1701" w:type="dxa"/>
            <w:vAlign w:val="center"/>
          </w:tcPr>
          <w:p w14:paraId="07F3606A" w14:textId="77777777" w:rsidR="00454A29" w:rsidRDefault="00454A29">
            <w:pPr>
              <w:pStyle w:val="ConsPlusNormal"/>
              <w:jc w:val="center"/>
            </w:pPr>
            <w:r>
              <w:t>2020</w:t>
            </w:r>
          </w:p>
        </w:tc>
        <w:tc>
          <w:tcPr>
            <w:tcW w:w="1417" w:type="dxa"/>
            <w:vMerge/>
          </w:tcPr>
          <w:p w14:paraId="1EC66521" w14:textId="77777777" w:rsidR="00454A29" w:rsidRDefault="00454A29"/>
        </w:tc>
        <w:tc>
          <w:tcPr>
            <w:tcW w:w="2204" w:type="dxa"/>
            <w:vMerge/>
          </w:tcPr>
          <w:p w14:paraId="3C225351" w14:textId="77777777" w:rsidR="00454A29" w:rsidRDefault="00454A29"/>
        </w:tc>
        <w:tc>
          <w:tcPr>
            <w:tcW w:w="1417" w:type="dxa"/>
            <w:vMerge/>
          </w:tcPr>
          <w:p w14:paraId="0BE32A56" w14:textId="77777777" w:rsidR="00454A29" w:rsidRDefault="00454A29"/>
        </w:tc>
        <w:tc>
          <w:tcPr>
            <w:tcW w:w="2324" w:type="dxa"/>
            <w:vMerge/>
          </w:tcPr>
          <w:p w14:paraId="24DBEBE7" w14:textId="77777777" w:rsidR="00454A29" w:rsidRDefault="00454A29"/>
        </w:tc>
        <w:tc>
          <w:tcPr>
            <w:tcW w:w="1701" w:type="dxa"/>
            <w:vAlign w:val="center"/>
          </w:tcPr>
          <w:p w14:paraId="23F5BB69" w14:textId="77777777" w:rsidR="00454A29" w:rsidRDefault="00454A29">
            <w:pPr>
              <w:pStyle w:val="ConsPlusNormal"/>
              <w:jc w:val="center"/>
            </w:pPr>
            <w:r>
              <w:t>266 896,85</w:t>
            </w:r>
          </w:p>
        </w:tc>
        <w:tc>
          <w:tcPr>
            <w:tcW w:w="1814" w:type="dxa"/>
            <w:vAlign w:val="center"/>
          </w:tcPr>
          <w:p w14:paraId="2523715B" w14:textId="77777777" w:rsidR="00454A29" w:rsidRDefault="00454A29">
            <w:pPr>
              <w:pStyle w:val="ConsPlusNormal"/>
              <w:jc w:val="center"/>
            </w:pPr>
            <w:r>
              <w:t>21 351,75</w:t>
            </w:r>
          </w:p>
        </w:tc>
        <w:tc>
          <w:tcPr>
            <w:tcW w:w="1701" w:type="dxa"/>
            <w:vAlign w:val="center"/>
          </w:tcPr>
          <w:p w14:paraId="5BC06B1A" w14:textId="77777777" w:rsidR="00454A29" w:rsidRDefault="00454A29">
            <w:pPr>
              <w:pStyle w:val="ConsPlusNormal"/>
              <w:jc w:val="center"/>
            </w:pPr>
            <w:r>
              <w:t>245 545,10</w:t>
            </w:r>
          </w:p>
        </w:tc>
        <w:tc>
          <w:tcPr>
            <w:tcW w:w="1701" w:type="dxa"/>
            <w:vAlign w:val="center"/>
          </w:tcPr>
          <w:p w14:paraId="7FD9A360" w14:textId="77777777" w:rsidR="00454A29" w:rsidRDefault="00454A29">
            <w:pPr>
              <w:pStyle w:val="ConsPlusNormal"/>
            </w:pPr>
          </w:p>
        </w:tc>
        <w:tc>
          <w:tcPr>
            <w:tcW w:w="1814" w:type="dxa"/>
            <w:vAlign w:val="center"/>
          </w:tcPr>
          <w:p w14:paraId="5B5D9F65" w14:textId="77777777" w:rsidR="00454A29" w:rsidRDefault="00454A29">
            <w:pPr>
              <w:pStyle w:val="ConsPlusNormal"/>
            </w:pPr>
          </w:p>
        </w:tc>
      </w:tr>
      <w:tr w:rsidR="00454A29" w14:paraId="7646EDA8" w14:textId="77777777">
        <w:tc>
          <w:tcPr>
            <w:tcW w:w="567" w:type="dxa"/>
            <w:vMerge/>
          </w:tcPr>
          <w:p w14:paraId="1B8C688F" w14:textId="77777777" w:rsidR="00454A29" w:rsidRDefault="00454A29"/>
        </w:tc>
        <w:tc>
          <w:tcPr>
            <w:tcW w:w="3345" w:type="dxa"/>
            <w:vMerge/>
          </w:tcPr>
          <w:p w14:paraId="7493F02A" w14:textId="77777777" w:rsidR="00454A29" w:rsidRDefault="00454A29"/>
        </w:tc>
        <w:tc>
          <w:tcPr>
            <w:tcW w:w="1701" w:type="dxa"/>
            <w:vAlign w:val="center"/>
          </w:tcPr>
          <w:p w14:paraId="6A7180A1" w14:textId="77777777" w:rsidR="00454A29" w:rsidRDefault="00454A29">
            <w:pPr>
              <w:pStyle w:val="ConsPlusNormal"/>
              <w:jc w:val="center"/>
            </w:pPr>
            <w:r>
              <w:t>2021</w:t>
            </w:r>
          </w:p>
        </w:tc>
        <w:tc>
          <w:tcPr>
            <w:tcW w:w="1417" w:type="dxa"/>
            <w:vMerge/>
          </w:tcPr>
          <w:p w14:paraId="1F60869E" w14:textId="77777777" w:rsidR="00454A29" w:rsidRDefault="00454A29"/>
        </w:tc>
        <w:tc>
          <w:tcPr>
            <w:tcW w:w="2204" w:type="dxa"/>
            <w:vMerge/>
          </w:tcPr>
          <w:p w14:paraId="551924FA" w14:textId="77777777" w:rsidR="00454A29" w:rsidRDefault="00454A29"/>
        </w:tc>
        <w:tc>
          <w:tcPr>
            <w:tcW w:w="1417" w:type="dxa"/>
            <w:vMerge/>
          </w:tcPr>
          <w:p w14:paraId="40AC72E5" w14:textId="77777777" w:rsidR="00454A29" w:rsidRDefault="00454A29"/>
        </w:tc>
        <w:tc>
          <w:tcPr>
            <w:tcW w:w="2324" w:type="dxa"/>
            <w:vMerge/>
          </w:tcPr>
          <w:p w14:paraId="32C0A07F" w14:textId="77777777" w:rsidR="00454A29" w:rsidRDefault="00454A29"/>
        </w:tc>
        <w:tc>
          <w:tcPr>
            <w:tcW w:w="1701" w:type="dxa"/>
            <w:vAlign w:val="center"/>
          </w:tcPr>
          <w:p w14:paraId="22D9F1CB" w14:textId="77777777" w:rsidR="00454A29" w:rsidRDefault="00454A29">
            <w:pPr>
              <w:pStyle w:val="ConsPlusNormal"/>
            </w:pPr>
          </w:p>
        </w:tc>
        <w:tc>
          <w:tcPr>
            <w:tcW w:w="1814" w:type="dxa"/>
            <w:vAlign w:val="center"/>
          </w:tcPr>
          <w:p w14:paraId="1E1DC16E" w14:textId="77777777" w:rsidR="00454A29" w:rsidRDefault="00454A29">
            <w:pPr>
              <w:pStyle w:val="ConsPlusNormal"/>
            </w:pPr>
          </w:p>
        </w:tc>
        <w:tc>
          <w:tcPr>
            <w:tcW w:w="1701" w:type="dxa"/>
            <w:vAlign w:val="center"/>
          </w:tcPr>
          <w:p w14:paraId="769253C7" w14:textId="77777777" w:rsidR="00454A29" w:rsidRDefault="00454A29">
            <w:pPr>
              <w:pStyle w:val="ConsPlusNormal"/>
            </w:pPr>
          </w:p>
        </w:tc>
        <w:tc>
          <w:tcPr>
            <w:tcW w:w="1701" w:type="dxa"/>
            <w:vAlign w:val="center"/>
          </w:tcPr>
          <w:p w14:paraId="66A4E9AF" w14:textId="77777777" w:rsidR="00454A29" w:rsidRDefault="00454A29">
            <w:pPr>
              <w:pStyle w:val="ConsPlusNormal"/>
            </w:pPr>
          </w:p>
        </w:tc>
        <w:tc>
          <w:tcPr>
            <w:tcW w:w="1814" w:type="dxa"/>
            <w:vAlign w:val="center"/>
          </w:tcPr>
          <w:p w14:paraId="5FA5CA18" w14:textId="77777777" w:rsidR="00454A29" w:rsidRDefault="00454A29">
            <w:pPr>
              <w:pStyle w:val="ConsPlusNormal"/>
            </w:pPr>
          </w:p>
        </w:tc>
      </w:tr>
      <w:tr w:rsidR="00454A29" w14:paraId="4085E89B" w14:textId="77777777">
        <w:tc>
          <w:tcPr>
            <w:tcW w:w="567" w:type="dxa"/>
            <w:vMerge/>
          </w:tcPr>
          <w:p w14:paraId="1A18384D" w14:textId="77777777" w:rsidR="00454A29" w:rsidRDefault="00454A29"/>
        </w:tc>
        <w:tc>
          <w:tcPr>
            <w:tcW w:w="3345" w:type="dxa"/>
            <w:vMerge/>
          </w:tcPr>
          <w:p w14:paraId="2E34959A" w14:textId="77777777" w:rsidR="00454A29" w:rsidRDefault="00454A29"/>
        </w:tc>
        <w:tc>
          <w:tcPr>
            <w:tcW w:w="1701" w:type="dxa"/>
            <w:vAlign w:val="center"/>
          </w:tcPr>
          <w:p w14:paraId="325BEE31" w14:textId="77777777" w:rsidR="00454A29" w:rsidRDefault="00454A29">
            <w:pPr>
              <w:pStyle w:val="ConsPlusNormal"/>
              <w:jc w:val="center"/>
            </w:pPr>
            <w:r>
              <w:t>2022</w:t>
            </w:r>
          </w:p>
        </w:tc>
        <w:tc>
          <w:tcPr>
            <w:tcW w:w="1417" w:type="dxa"/>
            <w:vMerge/>
          </w:tcPr>
          <w:p w14:paraId="0BCD9EF4" w14:textId="77777777" w:rsidR="00454A29" w:rsidRDefault="00454A29"/>
        </w:tc>
        <w:tc>
          <w:tcPr>
            <w:tcW w:w="2204" w:type="dxa"/>
            <w:vMerge/>
          </w:tcPr>
          <w:p w14:paraId="6A579F40" w14:textId="77777777" w:rsidR="00454A29" w:rsidRDefault="00454A29"/>
        </w:tc>
        <w:tc>
          <w:tcPr>
            <w:tcW w:w="1417" w:type="dxa"/>
            <w:vMerge/>
          </w:tcPr>
          <w:p w14:paraId="3E854553" w14:textId="77777777" w:rsidR="00454A29" w:rsidRDefault="00454A29"/>
        </w:tc>
        <w:tc>
          <w:tcPr>
            <w:tcW w:w="2324" w:type="dxa"/>
            <w:vMerge/>
          </w:tcPr>
          <w:p w14:paraId="19C14A49" w14:textId="77777777" w:rsidR="00454A29" w:rsidRDefault="00454A29"/>
        </w:tc>
        <w:tc>
          <w:tcPr>
            <w:tcW w:w="1701" w:type="dxa"/>
            <w:vAlign w:val="center"/>
          </w:tcPr>
          <w:p w14:paraId="274B90C9" w14:textId="77777777" w:rsidR="00454A29" w:rsidRDefault="00454A29">
            <w:pPr>
              <w:pStyle w:val="ConsPlusNormal"/>
            </w:pPr>
          </w:p>
        </w:tc>
        <w:tc>
          <w:tcPr>
            <w:tcW w:w="1814" w:type="dxa"/>
            <w:vAlign w:val="center"/>
          </w:tcPr>
          <w:p w14:paraId="18FE46B0" w14:textId="77777777" w:rsidR="00454A29" w:rsidRDefault="00454A29">
            <w:pPr>
              <w:pStyle w:val="ConsPlusNormal"/>
            </w:pPr>
          </w:p>
        </w:tc>
        <w:tc>
          <w:tcPr>
            <w:tcW w:w="1701" w:type="dxa"/>
            <w:vAlign w:val="center"/>
          </w:tcPr>
          <w:p w14:paraId="6DEA9557" w14:textId="77777777" w:rsidR="00454A29" w:rsidRDefault="00454A29">
            <w:pPr>
              <w:pStyle w:val="ConsPlusNormal"/>
            </w:pPr>
          </w:p>
        </w:tc>
        <w:tc>
          <w:tcPr>
            <w:tcW w:w="1701" w:type="dxa"/>
            <w:vAlign w:val="center"/>
          </w:tcPr>
          <w:p w14:paraId="5B702EC7" w14:textId="77777777" w:rsidR="00454A29" w:rsidRDefault="00454A29">
            <w:pPr>
              <w:pStyle w:val="ConsPlusNormal"/>
            </w:pPr>
          </w:p>
        </w:tc>
        <w:tc>
          <w:tcPr>
            <w:tcW w:w="1814" w:type="dxa"/>
            <w:vAlign w:val="center"/>
          </w:tcPr>
          <w:p w14:paraId="79BF7203" w14:textId="77777777" w:rsidR="00454A29" w:rsidRDefault="00454A29">
            <w:pPr>
              <w:pStyle w:val="ConsPlusNormal"/>
            </w:pPr>
          </w:p>
        </w:tc>
      </w:tr>
      <w:tr w:rsidR="00454A29" w14:paraId="412109F5" w14:textId="77777777">
        <w:tc>
          <w:tcPr>
            <w:tcW w:w="567" w:type="dxa"/>
            <w:vMerge/>
          </w:tcPr>
          <w:p w14:paraId="6C39648A" w14:textId="77777777" w:rsidR="00454A29" w:rsidRDefault="00454A29"/>
        </w:tc>
        <w:tc>
          <w:tcPr>
            <w:tcW w:w="3345" w:type="dxa"/>
            <w:vMerge/>
          </w:tcPr>
          <w:p w14:paraId="70D2E0FD" w14:textId="77777777" w:rsidR="00454A29" w:rsidRDefault="00454A29"/>
        </w:tc>
        <w:tc>
          <w:tcPr>
            <w:tcW w:w="1701" w:type="dxa"/>
            <w:vAlign w:val="center"/>
          </w:tcPr>
          <w:p w14:paraId="650E489D" w14:textId="77777777" w:rsidR="00454A29" w:rsidRDefault="00454A29">
            <w:pPr>
              <w:pStyle w:val="ConsPlusNormal"/>
              <w:jc w:val="center"/>
            </w:pPr>
            <w:r>
              <w:t>2023</w:t>
            </w:r>
          </w:p>
        </w:tc>
        <w:tc>
          <w:tcPr>
            <w:tcW w:w="1417" w:type="dxa"/>
            <w:vMerge/>
          </w:tcPr>
          <w:p w14:paraId="70048EDE" w14:textId="77777777" w:rsidR="00454A29" w:rsidRDefault="00454A29"/>
        </w:tc>
        <w:tc>
          <w:tcPr>
            <w:tcW w:w="2204" w:type="dxa"/>
            <w:vMerge/>
          </w:tcPr>
          <w:p w14:paraId="79E9C0B3" w14:textId="77777777" w:rsidR="00454A29" w:rsidRDefault="00454A29"/>
        </w:tc>
        <w:tc>
          <w:tcPr>
            <w:tcW w:w="1417" w:type="dxa"/>
            <w:vMerge/>
          </w:tcPr>
          <w:p w14:paraId="17927C28" w14:textId="77777777" w:rsidR="00454A29" w:rsidRDefault="00454A29"/>
        </w:tc>
        <w:tc>
          <w:tcPr>
            <w:tcW w:w="2324" w:type="dxa"/>
            <w:vMerge/>
          </w:tcPr>
          <w:p w14:paraId="69B1B803" w14:textId="77777777" w:rsidR="00454A29" w:rsidRDefault="00454A29"/>
        </w:tc>
        <w:tc>
          <w:tcPr>
            <w:tcW w:w="1701" w:type="dxa"/>
            <w:vAlign w:val="center"/>
          </w:tcPr>
          <w:p w14:paraId="61ED2EBE" w14:textId="77777777" w:rsidR="00454A29" w:rsidRDefault="00454A29">
            <w:pPr>
              <w:pStyle w:val="ConsPlusNormal"/>
            </w:pPr>
          </w:p>
        </w:tc>
        <w:tc>
          <w:tcPr>
            <w:tcW w:w="1814" w:type="dxa"/>
            <w:vAlign w:val="center"/>
          </w:tcPr>
          <w:p w14:paraId="63271F30" w14:textId="77777777" w:rsidR="00454A29" w:rsidRDefault="00454A29">
            <w:pPr>
              <w:pStyle w:val="ConsPlusNormal"/>
            </w:pPr>
          </w:p>
        </w:tc>
        <w:tc>
          <w:tcPr>
            <w:tcW w:w="1701" w:type="dxa"/>
            <w:vAlign w:val="center"/>
          </w:tcPr>
          <w:p w14:paraId="6EE4716A" w14:textId="77777777" w:rsidR="00454A29" w:rsidRDefault="00454A29">
            <w:pPr>
              <w:pStyle w:val="ConsPlusNormal"/>
            </w:pPr>
          </w:p>
        </w:tc>
        <w:tc>
          <w:tcPr>
            <w:tcW w:w="1701" w:type="dxa"/>
            <w:vAlign w:val="center"/>
          </w:tcPr>
          <w:p w14:paraId="4CDFEECF" w14:textId="77777777" w:rsidR="00454A29" w:rsidRDefault="00454A29">
            <w:pPr>
              <w:pStyle w:val="ConsPlusNormal"/>
            </w:pPr>
          </w:p>
        </w:tc>
        <w:tc>
          <w:tcPr>
            <w:tcW w:w="1814" w:type="dxa"/>
            <w:vAlign w:val="center"/>
          </w:tcPr>
          <w:p w14:paraId="45D96C6A" w14:textId="77777777" w:rsidR="00454A29" w:rsidRDefault="00454A29">
            <w:pPr>
              <w:pStyle w:val="ConsPlusNormal"/>
            </w:pPr>
          </w:p>
        </w:tc>
      </w:tr>
      <w:tr w:rsidR="00454A29" w14:paraId="304F2809" w14:textId="77777777">
        <w:tc>
          <w:tcPr>
            <w:tcW w:w="567" w:type="dxa"/>
            <w:vMerge/>
          </w:tcPr>
          <w:p w14:paraId="2B87C19D" w14:textId="77777777" w:rsidR="00454A29" w:rsidRDefault="00454A29"/>
        </w:tc>
        <w:tc>
          <w:tcPr>
            <w:tcW w:w="3345" w:type="dxa"/>
            <w:vMerge/>
          </w:tcPr>
          <w:p w14:paraId="121B7410" w14:textId="77777777" w:rsidR="00454A29" w:rsidRDefault="00454A29"/>
        </w:tc>
        <w:tc>
          <w:tcPr>
            <w:tcW w:w="1701" w:type="dxa"/>
            <w:vAlign w:val="center"/>
          </w:tcPr>
          <w:p w14:paraId="42403CFD" w14:textId="77777777" w:rsidR="00454A29" w:rsidRDefault="00454A29">
            <w:pPr>
              <w:pStyle w:val="ConsPlusNormal"/>
              <w:jc w:val="center"/>
            </w:pPr>
            <w:r>
              <w:t>2024</w:t>
            </w:r>
          </w:p>
        </w:tc>
        <w:tc>
          <w:tcPr>
            <w:tcW w:w="1417" w:type="dxa"/>
            <w:vMerge/>
          </w:tcPr>
          <w:p w14:paraId="35709213" w14:textId="77777777" w:rsidR="00454A29" w:rsidRDefault="00454A29"/>
        </w:tc>
        <w:tc>
          <w:tcPr>
            <w:tcW w:w="2204" w:type="dxa"/>
            <w:vMerge/>
          </w:tcPr>
          <w:p w14:paraId="3AA0A66A" w14:textId="77777777" w:rsidR="00454A29" w:rsidRDefault="00454A29"/>
        </w:tc>
        <w:tc>
          <w:tcPr>
            <w:tcW w:w="1417" w:type="dxa"/>
            <w:vMerge/>
          </w:tcPr>
          <w:p w14:paraId="401CFD3C" w14:textId="77777777" w:rsidR="00454A29" w:rsidRDefault="00454A29"/>
        </w:tc>
        <w:tc>
          <w:tcPr>
            <w:tcW w:w="2324" w:type="dxa"/>
            <w:vMerge/>
          </w:tcPr>
          <w:p w14:paraId="332BC0A3" w14:textId="77777777" w:rsidR="00454A29" w:rsidRDefault="00454A29"/>
        </w:tc>
        <w:tc>
          <w:tcPr>
            <w:tcW w:w="1701" w:type="dxa"/>
            <w:vAlign w:val="center"/>
          </w:tcPr>
          <w:p w14:paraId="3089FEE3" w14:textId="77777777" w:rsidR="00454A29" w:rsidRDefault="00454A29">
            <w:pPr>
              <w:pStyle w:val="ConsPlusNormal"/>
            </w:pPr>
          </w:p>
        </w:tc>
        <w:tc>
          <w:tcPr>
            <w:tcW w:w="1814" w:type="dxa"/>
            <w:vAlign w:val="center"/>
          </w:tcPr>
          <w:p w14:paraId="390423DB" w14:textId="77777777" w:rsidR="00454A29" w:rsidRDefault="00454A29">
            <w:pPr>
              <w:pStyle w:val="ConsPlusNormal"/>
            </w:pPr>
          </w:p>
        </w:tc>
        <w:tc>
          <w:tcPr>
            <w:tcW w:w="1701" w:type="dxa"/>
            <w:vAlign w:val="center"/>
          </w:tcPr>
          <w:p w14:paraId="6EE056C8" w14:textId="77777777" w:rsidR="00454A29" w:rsidRDefault="00454A29">
            <w:pPr>
              <w:pStyle w:val="ConsPlusNormal"/>
            </w:pPr>
          </w:p>
        </w:tc>
        <w:tc>
          <w:tcPr>
            <w:tcW w:w="1701" w:type="dxa"/>
            <w:vAlign w:val="center"/>
          </w:tcPr>
          <w:p w14:paraId="2F6E28C6" w14:textId="77777777" w:rsidR="00454A29" w:rsidRDefault="00454A29">
            <w:pPr>
              <w:pStyle w:val="ConsPlusNormal"/>
            </w:pPr>
          </w:p>
        </w:tc>
        <w:tc>
          <w:tcPr>
            <w:tcW w:w="1814" w:type="dxa"/>
            <w:vAlign w:val="center"/>
          </w:tcPr>
          <w:p w14:paraId="301EFFFC" w14:textId="77777777" w:rsidR="00454A29" w:rsidRDefault="00454A29">
            <w:pPr>
              <w:pStyle w:val="ConsPlusNormal"/>
            </w:pPr>
          </w:p>
        </w:tc>
      </w:tr>
      <w:tr w:rsidR="00454A29" w14:paraId="4BFF83B9" w14:textId="77777777">
        <w:tc>
          <w:tcPr>
            <w:tcW w:w="567" w:type="dxa"/>
            <w:vMerge/>
          </w:tcPr>
          <w:p w14:paraId="67BFB1AA" w14:textId="77777777" w:rsidR="00454A29" w:rsidRDefault="00454A29"/>
        </w:tc>
        <w:tc>
          <w:tcPr>
            <w:tcW w:w="3345" w:type="dxa"/>
            <w:vMerge/>
          </w:tcPr>
          <w:p w14:paraId="400FC324" w14:textId="77777777" w:rsidR="00454A29" w:rsidRDefault="00454A29"/>
        </w:tc>
        <w:tc>
          <w:tcPr>
            <w:tcW w:w="1701" w:type="dxa"/>
            <w:vAlign w:val="center"/>
          </w:tcPr>
          <w:p w14:paraId="37BE03A3" w14:textId="77777777" w:rsidR="00454A29" w:rsidRDefault="00454A29">
            <w:pPr>
              <w:pStyle w:val="ConsPlusNormal"/>
              <w:jc w:val="center"/>
            </w:pPr>
            <w:r>
              <w:t>2025</w:t>
            </w:r>
          </w:p>
        </w:tc>
        <w:tc>
          <w:tcPr>
            <w:tcW w:w="1417" w:type="dxa"/>
            <w:vMerge/>
          </w:tcPr>
          <w:p w14:paraId="0F9E499A" w14:textId="77777777" w:rsidR="00454A29" w:rsidRDefault="00454A29"/>
        </w:tc>
        <w:tc>
          <w:tcPr>
            <w:tcW w:w="2204" w:type="dxa"/>
            <w:vMerge/>
          </w:tcPr>
          <w:p w14:paraId="467A5410" w14:textId="77777777" w:rsidR="00454A29" w:rsidRDefault="00454A29"/>
        </w:tc>
        <w:tc>
          <w:tcPr>
            <w:tcW w:w="1417" w:type="dxa"/>
            <w:vMerge/>
          </w:tcPr>
          <w:p w14:paraId="5DF7CFB7" w14:textId="77777777" w:rsidR="00454A29" w:rsidRDefault="00454A29"/>
        </w:tc>
        <w:tc>
          <w:tcPr>
            <w:tcW w:w="2324" w:type="dxa"/>
            <w:vMerge/>
          </w:tcPr>
          <w:p w14:paraId="06E87A86" w14:textId="77777777" w:rsidR="00454A29" w:rsidRDefault="00454A29"/>
        </w:tc>
        <w:tc>
          <w:tcPr>
            <w:tcW w:w="1701" w:type="dxa"/>
            <w:vAlign w:val="center"/>
          </w:tcPr>
          <w:p w14:paraId="1FB10E65" w14:textId="77777777" w:rsidR="00454A29" w:rsidRDefault="00454A29">
            <w:pPr>
              <w:pStyle w:val="ConsPlusNormal"/>
            </w:pPr>
          </w:p>
        </w:tc>
        <w:tc>
          <w:tcPr>
            <w:tcW w:w="1814" w:type="dxa"/>
            <w:vAlign w:val="center"/>
          </w:tcPr>
          <w:p w14:paraId="6681F681" w14:textId="77777777" w:rsidR="00454A29" w:rsidRDefault="00454A29">
            <w:pPr>
              <w:pStyle w:val="ConsPlusNormal"/>
            </w:pPr>
          </w:p>
        </w:tc>
        <w:tc>
          <w:tcPr>
            <w:tcW w:w="1701" w:type="dxa"/>
            <w:vAlign w:val="center"/>
          </w:tcPr>
          <w:p w14:paraId="22DAAD73" w14:textId="77777777" w:rsidR="00454A29" w:rsidRDefault="00454A29">
            <w:pPr>
              <w:pStyle w:val="ConsPlusNormal"/>
            </w:pPr>
          </w:p>
        </w:tc>
        <w:tc>
          <w:tcPr>
            <w:tcW w:w="1701" w:type="dxa"/>
            <w:vAlign w:val="center"/>
          </w:tcPr>
          <w:p w14:paraId="3A3CCE8C" w14:textId="77777777" w:rsidR="00454A29" w:rsidRDefault="00454A29">
            <w:pPr>
              <w:pStyle w:val="ConsPlusNormal"/>
            </w:pPr>
          </w:p>
        </w:tc>
        <w:tc>
          <w:tcPr>
            <w:tcW w:w="1814" w:type="dxa"/>
            <w:vAlign w:val="center"/>
          </w:tcPr>
          <w:p w14:paraId="49CCAC6C" w14:textId="77777777" w:rsidR="00454A29" w:rsidRDefault="00454A29">
            <w:pPr>
              <w:pStyle w:val="ConsPlusNormal"/>
            </w:pPr>
          </w:p>
        </w:tc>
      </w:tr>
      <w:tr w:rsidR="00454A29" w14:paraId="58D5A0B3" w14:textId="77777777">
        <w:tc>
          <w:tcPr>
            <w:tcW w:w="567" w:type="dxa"/>
            <w:vMerge/>
          </w:tcPr>
          <w:p w14:paraId="246D3DE7" w14:textId="77777777" w:rsidR="00454A29" w:rsidRDefault="00454A29"/>
        </w:tc>
        <w:tc>
          <w:tcPr>
            <w:tcW w:w="3345" w:type="dxa"/>
            <w:vMerge/>
          </w:tcPr>
          <w:p w14:paraId="0DEC9DC3" w14:textId="77777777" w:rsidR="00454A29" w:rsidRDefault="00454A29"/>
        </w:tc>
        <w:tc>
          <w:tcPr>
            <w:tcW w:w="1701" w:type="dxa"/>
            <w:vAlign w:val="center"/>
          </w:tcPr>
          <w:p w14:paraId="496D0952" w14:textId="77777777" w:rsidR="00454A29" w:rsidRDefault="00454A29">
            <w:pPr>
              <w:pStyle w:val="ConsPlusNormal"/>
              <w:jc w:val="center"/>
            </w:pPr>
            <w:r>
              <w:t>2026</w:t>
            </w:r>
          </w:p>
        </w:tc>
        <w:tc>
          <w:tcPr>
            <w:tcW w:w="1417" w:type="dxa"/>
            <w:vMerge/>
          </w:tcPr>
          <w:p w14:paraId="770B7391" w14:textId="77777777" w:rsidR="00454A29" w:rsidRDefault="00454A29"/>
        </w:tc>
        <w:tc>
          <w:tcPr>
            <w:tcW w:w="2204" w:type="dxa"/>
            <w:vMerge/>
          </w:tcPr>
          <w:p w14:paraId="0D5D6748" w14:textId="77777777" w:rsidR="00454A29" w:rsidRDefault="00454A29"/>
        </w:tc>
        <w:tc>
          <w:tcPr>
            <w:tcW w:w="1417" w:type="dxa"/>
            <w:vMerge/>
          </w:tcPr>
          <w:p w14:paraId="534FF452" w14:textId="77777777" w:rsidR="00454A29" w:rsidRDefault="00454A29"/>
        </w:tc>
        <w:tc>
          <w:tcPr>
            <w:tcW w:w="2324" w:type="dxa"/>
            <w:vMerge/>
          </w:tcPr>
          <w:p w14:paraId="3D5CCC59" w14:textId="77777777" w:rsidR="00454A29" w:rsidRDefault="00454A29"/>
        </w:tc>
        <w:tc>
          <w:tcPr>
            <w:tcW w:w="1701" w:type="dxa"/>
            <w:vAlign w:val="center"/>
          </w:tcPr>
          <w:p w14:paraId="2C185504" w14:textId="77777777" w:rsidR="00454A29" w:rsidRDefault="00454A29">
            <w:pPr>
              <w:pStyle w:val="ConsPlusNormal"/>
            </w:pPr>
          </w:p>
        </w:tc>
        <w:tc>
          <w:tcPr>
            <w:tcW w:w="1814" w:type="dxa"/>
            <w:vAlign w:val="center"/>
          </w:tcPr>
          <w:p w14:paraId="3C823665" w14:textId="77777777" w:rsidR="00454A29" w:rsidRDefault="00454A29">
            <w:pPr>
              <w:pStyle w:val="ConsPlusNormal"/>
            </w:pPr>
          </w:p>
        </w:tc>
        <w:tc>
          <w:tcPr>
            <w:tcW w:w="1701" w:type="dxa"/>
            <w:vAlign w:val="center"/>
          </w:tcPr>
          <w:p w14:paraId="6A6DA684" w14:textId="77777777" w:rsidR="00454A29" w:rsidRDefault="00454A29">
            <w:pPr>
              <w:pStyle w:val="ConsPlusNormal"/>
            </w:pPr>
          </w:p>
        </w:tc>
        <w:tc>
          <w:tcPr>
            <w:tcW w:w="1701" w:type="dxa"/>
            <w:vAlign w:val="center"/>
          </w:tcPr>
          <w:p w14:paraId="0B9A1064" w14:textId="77777777" w:rsidR="00454A29" w:rsidRDefault="00454A29">
            <w:pPr>
              <w:pStyle w:val="ConsPlusNormal"/>
            </w:pPr>
          </w:p>
        </w:tc>
        <w:tc>
          <w:tcPr>
            <w:tcW w:w="1814" w:type="dxa"/>
            <w:vAlign w:val="center"/>
          </w:tcPr>
          <w:p w14:paraId="3073782A" w14:textId="77777777" w:rsidR="00454A29" w:rsidRDefault="00454A29">
            <w:pPr>
              <w:pStyle w:val="ConsPlusNormal"/>
            </w:pPr>
          </w:p>
        </w:tc>
      </w:tr>
      <w:tr w:rsidR="00454A29" w14:paraId="019268C0" w14:textId="77777777">
        <w:tc>
          <w:tcPr>
            <w:tcW w:w="567" w:type="dxa"/>
            <w:vMerge w:val="restart"/>
            <w:vAlign w:val="center"/>
          </w:tcPr>
          <w:p w14:paraId="1682CAC5" w14:textId="77777777" w:rsidR="00454A29" w:rsidRDefault="00454A29">
            <w:pPr>
              <w:pStyle w:val="ConsPlusNormal"/>
              <w:jc w:val="center"/>
            </w:pPr>
            <w:r>
              <w:lastRenderedPageBreak/>
              <w:t>214</w:t>
            </w:r>
          </w:p>
        </w:tc>
        <w:tc>
          <w:tcPr>
            <w:tcW w:w="3345" w:type="dxa"/>
            <w:vMerge w:val="restart"/>
            <w:vAlign w:val="center"/>
          </w:tcPr>
          <w:p w14:paraId="32A9B5F1" w14:textId="77777777" w:rsidR="00454A29" w:rsidRDefault="00454A29">
            <w:pPr>
              <w:pStyle w:val="ConsPlusNormal"/>
              <w:jc w:val="center"/>
            </w:pPr>
            <w:r>
              <w:t>Школа на 990 учащихся в 68 квартале г. Якутска</w:t>
            </w:r>
          </w:p>
        </w:tc>
        <w:tc>
          <w:tcPr>
            <w:tcW w:w="1701" w:type="dxa"/>
            <w:vAlign w:val="center"/>
          </w:tcPr>
          <w:p w14:paraId="33B5B83E" w14:textId="77777777" w:rsidR="00454A29" w:rsidRDefault="00454A29">
            <w:pPr>
              <w:pStyle w:val="ConsPlusNormal"/>
              <w:jc w:val="center"/>
            </w:pPr>
            <w:r>
              <w:t>2020 - 2026 годы - всего</w:t>
            </w:r>
          </w:p>
        </w:tc>
        <w:tc>
          <w:tcPr>
            <w:tcW w:w="1417" w:type="dxa"/>
            <w:vMerge w:val="restart"/>
            <w:vAlign w:val="center"/>
          </w:tcPr>
          <w:p w14:paraId="5D69E642" w14:textId="77777777" w:rsidR="00454A29" w:rsidRDefault="00454A29">
            <w:pPr>
              <w:pStyle w:val="ConsPlusNormal"/>
              <w:jc w:val="center"/>
            </w:pPr>
            <w:r>
              <w:t>1 367 064,52</w:t>
            </w:r>
          </w:p>
        </w:tc>
        <w:tc>
          <w:tcPr>
            <w:tcW w:w="2204" w:type="dxa"/>
            <w:vMerge w:val="restart"/>
            <w:vAlign w:val="center"/>
          </w:tcPr>
          <w:p w14:paraId="42B3539C" w14:textId="77777777" w:rsidR="00454A29" w:rsidRDefault="00454A29">
            <w:pPr>
              <w:pStyle w:val="ConsPlusNormal"/>
            </w:pPr>
          </w:p>
        </w:tc>
        <w:tc>
          <w:tcPr>
            <w:tcW w:w="1417" w:type="dxa"/>
            <w:vMerge w:val="restart"/>
            <w:vAlign w:val="center"/>
          </w:tcPr>
          <w:p w14:paraId="749B5525" w14:textId="77777777" w:rsidR="00454A29" w:rsidRDefault="00454A29">
            <w:pPr>
              <w:pStyle w:val="ConsPlusNormal"/>
              <w:jc w:val="center"/>
            </w:pPr>
            <w:r>
              <w:t>990</w:t>
            </w:r>
          </w:p>
        </w:tc>
        <w:tc>
          <w:tcPr>
            <w:tcW w:w="2324" w:type="dxa"/>
            <w:vMerge w:val="restart"/>
            <w:vAlign w:val="center"/>
          </w:tcPr>
          <w:p w14:paraId="061E659B" w14:textId="77777777" w:rsidR="00454A29" w:rsidRDefault="00454A29">
            <w:pPr>
              <w:pStyle w:val="ConsPlusNormal"/>
              <w:jc w:val="center"/>
            </w:pPr>
            <w:r>
              <w:t>Минстрой РС(Я), ГО "город Якутск"</w:t>
            </w:r>
          </w:p>
        </w:tc>
        <w:tc>
          <w:tcPr>
            <w:tcW w:w="1701" w:type="dxa"/>
            <w:vAlign w:val="center"/>
          </w:tcPr>
          <w:p w14:paraId="572C93D8" w14:textId="77777777" w:rsidR="00454A29" w:rsidRDefault="00454A29">
            <w:pPr>
              <w:pStyle w:val="ConsPlusNormal"/>
              <w:jc w:val="center"/>
            </w:pPr>
            <w:r>
              <w:t>1 072 163,21</w:t>
            </w:r>
          </w:p>
        </w:tc>
        <w:tc>
          <w:tcPr>
            <w:tcW w:w="1814" w:type="dxa"/>
            <w:vAlign w:val="center"/>
          </w:tcPr>
          <w:p w14:paraId="6430A992" w14:textId="77777777" w:rsidR="00454A29" w:rsidRDefault="00454A29">
            <w:pPr>
              <w:pStyle w:val="ConsPlusNormal"/>
              <w:jc w:val="center"/>
            </w:pPr>
            <w:r>
              <w:t>75 166,71</w:t>
            </w:r>
          </w:p>
        </w:tc>
        <w:tc>
          <w:tcPr>
            <w:tcW w:w="1701" w:type="dxa"/>
            <w:vAlign w:val="center"/>
          </w:tcPr>
          <w:p w14:paraId="39E639A7" w14:textId="77777777" w:rsidR="00454A29" w:rsidRDefault="00454A29">
            <w:pPr>
              <w:pStyle w:val="ConsPlusNormal"/>
              <w:jc w:val="center"/>
            </w:pPr>
            <w:r>
              <w:t>996 996,50</w:t>
            </w:r>
          </w:p>
        </w:tc>
        <w:tc>
          <w:tcPr>
            <w:tcW w:w="1701" w:type="dxa"/>
            <w:vAlign w:val="center"/>
          </w:tcPr>
          <w:p w14:paraId="503E9FEC" w14:textId="77777777" w:rsidR="00454A29" w:rsidRDefault="00454A29">
            <w:pPr>
              <w:pStyle w:val="ConsPlusNormal"/>
              <w:jc w:val="center"/>
            </w:pPr>
            <w:r>
              <w:t>-</w:t>
            </w:r>
          </w:p>
        </w:tc>
        <w:tc>
          <w:tcPr>
            <w:tcW w:w="1814" w:type="dxa"/>
            <w:vAlign w:val="center"/>
          </w:tcPr>
          <w:p w14:paraId="0D89FBED" w14:textId="77777777" w:rsidR="00454A29" w:rsidRDefault="00454A29">
            <w:pPr>
              <w:pStyle w:val="ConsPlusNormal"/>
              <w:jc w:val="center"/>
            </w:pPr>
            <w:r>
              <w:t>-</w:t>
            </w:r>
          </w:p>
        </w:tc>
      </w:tr>
      <w:tr w:rsidR="00454A29" w14:paraId="3330875E" w14:textId="77777777">
        <w:tc>
          <w:tcPr>
            <w:tcW w:w="567" w:type="dxa"/>
            <w:vMerge/>
          </w:tcPr>
          <w:p w14:paraId="68C94352" w14:textId="77777777" w:rsidR="00454A29" w:rsidRDefault="00454A29"/>
        </w:tc>
        <w:tc>
          <w:tcPr>
            <w:tcW w:w="3345" w:type="dxa"/>
            <w:vMerge/>
          </w:tcPr>
          <w:p w14:paraId="0C289C20" w14:textId="77777777" w:rsidR="00454A29" w:rsidRDefault="00454A29"/>
        </w:tc>
        <w:tc>
          <w:tcPr>
            <w:tcW w:w="1701" w:type="dxa"/>
            <w:vAlign w:val="center"/>
          </w:tcPr>
          <w:p w14:paraId="0CFA35D2" w14:textId="77777777" w:rsidR="00454A29" w:rsidRDefault="00454A29">
            <w:pPr>
              <w:pStyle w:val="ConsPlusNormal"/>
              <w:jc w:val="center"/>
            </w:pPr>
            <w:r>
              <w:t>2020</w:t>
            </w:r>
          </w:p>
        </w:tc>
        <w:tc>
          <w:tcPr>
            <w:tcW w:w="1417" w:type="dxa"/>
            <w:vMerge/>
          </w:tcPr>
          <w:p w14:paraId="75EF639F" w14:textId="77777777" w:rsidR="00454A29" w:rsidRDefault="00454A29"/>
        </w:tc>
        <w:tc>
          <w:tcPr>
            <w:tcW w:w="2204" w:type="dxa"/>
            <w:vMerge/>
          </w:tcPr>
          <w:p w14:paraId="7BCDBCA6" w14:textId="77777777" w:rsidR="00454A29" w:rsidRDefault="00454A29"/>
        </w:tc>
        <w:tc>
          <w:tcPr>
            <w:tcW w:w="1417" w:type="dxa"/>
            <w:vMerge/>
          </w:tcPr>
          <w:p w14:paraId="1ECB301B" w14:textId="77777777" w:rsidR="00454A29" w:rsidRDefault="00454A29"/>
        </w:tc>
        <w:tc>
          <w:tcPr>
            <w:tcW w:w="2324" w:type="dxa"/>
            <w:vMerge/>
          </w:tcPr>
          <w:p w14:paraId="740142C3" w14:textId="77777777" w:rsidR="00454A29" w:rsidRDefault="00454A29"/>
        </w:tc>
        <w:tc>
          <w:tcPr>
            <w:tcW w:w="1701" w:type="dxa"/>
            <w:vAlign w:val="center"/>
          </w:tcPr>
          <w:p w14:paraId="6F6B3390" w14:textId="77777777" w:rsidR="00454A29" w:rsidRDefault="00454A29">
            <w:pPr>
              <w:pStyle w:val="ConsPlusNormal"/>
              <w:jc w:val="center"/>
            </w:pPr>
            <w:r>
              <w:t>-</w:t>
            </w:r>
          </w:p>
        </w:tc>
        <w:tc>
          <w:tcPr>
            <w:tcW w:w="1814" w:type="dxa"/>
            <w:vAlign w:val="center"/>
          </w:tcPr>
          <w:p w14:paraId="7EA61DE9" w14:textId="77777777" w:rsidR="00454A29" w:rsidRDefault="00454A29">
            <w:pPr>
              <w:pStyle w:val="ConsPlusNormal"/>
            </w:pPr>
          </w:p>
        </w:tc>
        <w:tc>
          <w:tcPr>
            <w:tcW w:w="1701" w:type="dxa"/>
            <w:vAlign w:val="center"/>
          </w:tcPr>
          <w:p w14:paraId="45D66490" w14:textId="77777777" w:rsidR="00454A29" w:rsidRDefault="00454A29">
            <w:pPr>
              <w:pStyle w:val="ConsPlusNormal"/>
            </w:pPr>
          </w:p>
        </w:tc>
        <w:tc>
          <w:tcPr>
            <w:tcW w:w="1701" w:type="dxa"/>
            <w:vAlign w:val="center"/>
          </w:tcPr>
          <w:p w14:paraId="4CDCB7F6" w14:textId="77777777" w:rsidR="00454A29" w:rsidRDefault="00454A29">
            <w:pPr>
              <w:pStyle w:val="ConsPlusNormal"/>
            </w:pPr>
          </w:p>
        </w:tc>
        <w:tc>
          <w:tcPr>
            <w:tcW w:w="1814" w:type="dxa"/>
            <w:vAlign w:val="center"/>
          </w:tcPr>
          <w:p w14:paraId="4A8A356E" w14:textId="77777777" w:rsidR="00454A29" w:rsidRDefault="00454A29">
            <w:pPr>
              <w:pStyle w:val="ConsPlusNormal"/>
            </w:pPr>
          </w:p>
        </w:tc>
      </w:tr>
      <w:tr w:rsidR="00454A29" w14:paraId="6DDE302E" w14:textId="77777777">
        <w:tc>
          <w:tcPr>
            <w:tcW w:w="567" w:type="dxa"/>
            <w:vMerge/>
          </w:tcPr>
          <w:p w14:paraId="67C5E2C9" w14:textId="77777777" w:rsidR="00454A29" w:rsidRDefault="00454A29"/>
        </w:tc>
        <w:tc>
          <w:tcPr>
            <w:tcW w:w="3345" w:type="dxa"/>
            <w:vMerge/>
          </w:tcPr>
          <w:p w14:paraId="2D9A175B" w14:textId="77777777" w:rsidR="00454A29" w:rsidRDefault="00454A29"/>
        </w:tc>
        <w:tc>
          <w:tcPr>
            <w:tcW w:w="1701" w:type="dxa"/>
            <w:vAlign w:val="center"/>
          </w:tcPr>
          <w:p w14:paraId="0B7ECBD6" w14:textId="77777777" w:rsidR="00454A29" w:rsidRDefault="00454A29">
            <w:pPr>
              <w:pStyle w:val="ConsPlusNormal"/>
              <w:jc w:val="center"/>
            </w:pPr>
            <w:r>
              <w:t>2021</w:t>
            </w:r>
          </w:p>
        </w:tc>
        <w:tc>
          <w:tcPr>
            <w:tcW w:w="1417" w:type="dxa"/>
            <w:vMerge/>
          </w:tcPr>
          <w:p w14:paraId="1A5E990D" w14:textId="77777777" w:rsidR="00454A29" w:rsidRDefault="00454A29"/>
        </w:tc>
        <w:tc>
          <w:tcPr>
            <w:tcW w:w="2204" w:type="dxa"/>
            <w:vMerge/>
          </w:tcPr>
          <w:p w14:paraId="3A224610" w14:textId="77777777" w:rsidR="00454A29" w:rsidRDefault="00454A29"/>
        </w:tc>
        <w:tc>
          <w:tcPr>
            <w:tcW w:w="1417" w:type="dxa"/>
            <w:vMerge/>
          </w:tcPr>
          <w:p w14:paraId="4FE6B272" w14:textId="77777777" w:rsidR="00454A29" w:rsidRDefault="00454A29"/>
        </w:tc>
        <w:tc>
          <w:tcPr>
            <w:tcW w:w="2324" w:type="dxa"/>
            <w:vMerge/>
          </w:tcPr>
          <w:p w14:paraId="6058A910" w14:textId="77777777" w:rsidR="00454A29" w:rsidRDefault="00454A29"/>
        </w:tc>
        <w:tc>
          <w:tcPr>
            <w:tcW w:w="1701" w:type="dxa"/>
            <w:vAlign w:val="center"/>
          </w:tcPr>
          <w:p w14:paraId="445AA8FF" w14:textId="77777777" w:rsidR="00454A29" w:rsidRDefault="00454A29">
            <w:pPr>
              <w:pStyle w:val="ConsPlusNormal"/>
              <w:jc w:val="center"/>
            </w:pPr>
            <w:r>
              <w:t>541 845,98</w:t>
            </w:r>
          </w:p>
        </w:tc>
        <w:tc>
          <w:tcPr>
            <w:tcW w:w="1814" w:type="dxa"/>
            <w:vAlign w:val="center"/>
          </w:tcPr>
          <w:p w14:paraId="651224D6" w14:textId="77777777" w:rsidR="00454A29" w:rsidRDefault="00454A29">
            <w:pPr>
              <w:pStyle w:val="ConsPlusNormal"/>
              <w:jc w:val="center"/>
            </w:pPr>
            <w:r>
              <w:t>43 347,68</w:t>
            </w:r>
          </w:p>
        </w:tc>
        <w:tc>
          <w:tcPr>
            <w:tcW w:w="1701" w:type="dxa"/>
            <w:vAlign w:val="center"/>
          </w:tcPr>
          <w:p w14:paraId="041C1CA8" w14:textId="77777777" w:rsidR="00454A29" w:rsidRDefault="00454A29">
            <w:pPr>
              <w:pStyle w:val="ConsPlusNormal"/>
              <w:jc w:val="center"/>
            </w:pPr>
            <w:r>
              <w:t>498 498,30</w:t>
            </w:r>
          </w:p>
        </w:tc>
        <w:tc>
          <w:tcPr>
            <w:tcW w:w="1701" w:type="dxa"/>
            <w:vAlign w:val="center"/>
          </w:tcPr>
          <w:p w14:paraId="4584169F" w14:textId="77777777" w:rsidR="00454A29" w:rsidRDefault="00454A29">
            <w:pPr>
              <w:pStyle w:val="ConsPlusNormal"/>
              <w:jc w:val="center"/>
            </w:pPr>
            <w:r>
              <w:t>-</w:t>
            </w:r>
          </w:p>
        </w:tc>
        <w:tc>
          <w:tcPr>
            <w:tcW w:w="1814" w:type="dxa"/>
            <w:vAlign w:val="center"/>
          </w:tcPr>
          <w:p w14:paraId="7764B770" w14:textId="77777777" w:rsidR="00454A29" w:rsidRDefault="00454A29">
            <w:pPr>
              <w:pStyle w:val="ConsPlusNormal"/>
            </w:pPr>
          </w:p>
        </w:tc>
      </w:tr>
      <w:tr w:rsidR="00454A29" w14:paraId="79B2C99A" w14:textId="77777777">
        <w:tc>
          <w:tcPr>
            <w:tcW w:w="567" w:type="dxa"/>
            <w:vMerge/>
          </w:tcPr>
          <w:p w14:paraId="7FEB5582" w14:textId="77777777" w:rsidR="00454A29" w:rsidRDefault="00454A29"/>
        </w:tc>
        <w:tc>
          <w:tcPr>
            <w:tcW w:w="3345" w:type="dxa"/>
            <w:vMerge/>
          </w:tcPr>
          <w:p w14:paraId="023C65B9" w14:textId="77777777" w:rsidR="00454A29" w:rsidRDefault="00454A29"/>
        </w:tc>
        <w:tc>
          <w:tcPr>
            <w:tcW w:w="1701" w:type="dxa"/>
            <w:vAlign w:val="center"/>
          </w:tcPr>
          <w:p w14:paraId="621729AB" w14:textId="77777777" w:rsidR="00454A29" w:rsidRDefault="00454A29">
            <w:pPr>
              <w:pStyle w:val="ConsPlusNormal"/>
              <w:jc w:val="center"/>
            </w:pPr>
            <w:r>
              <w:t>2022</w:t>
            </w:r>
          </w:p>
        </w:tc>
        <w:tc>
          <w:tcPr>
            <w:tcW w:w="1417" w:type="dxa"/>
            <w:vMerge/>
          </w:tcPr>
          <w:p w14:paraId="2DA67F8F" w14:textId="77777777" w:rsidR="00454A29" w:rsidRDefault="00454A29"/>
        </w:tc>
        <w:tc>
          <w:tcPr>
            <w:tcW w:w="2204" w:type="dxa"/>
            <w:vMerge/>
          </w:tcPr>
          <w:p w14:paraId="677853C8" w14:textId="77777777" w:rsidR="00454A29" w:rsidRDefault="00454A29"/>
        </w:tc>
        <w:tc>
          <w:tcPr>
            <w:tcW w:w="1417" w:type="dxa"/>
            <w:vMerge/>
          </w:tcPr>
          <w:p w14:paraId="0E3320C3" w14:textId="77777777" w:rsidR="00454A29" w:rsidRDefault="00454A29"/>
        </w:tc>
        <w:tc>
          <w:tcPr>
            <w:tcW w:w="2324" w:type="dxa"/>
            <w:vMerge/>
          </w:tcPr>
          <w:p w14:paraId="5A7C8B0A" w14:textId="77777777" w:rsidR="00454A29" w:rsidRDefault="00454A29"/>
        </w:tc>
        <w:tc>
          <w:tcPr>
            <w:tcW w:w="1701" w:type="dxa"/>
            <w:vAlign w:val="center"/>
          </w:tcPr>
          <w:p w14:paraId="76EEF34B" w14:textId="77777777" w:rsidR="00454A29" w:rsidRDefault="00454A29">
            <w:pPr>
              <w:pStyle w:val="ConsPlusNormal"/>
              <w:jc w:val="center"/>
            </w:pPr>
            <w:r>
              <w:t>530 317,23</w:t>
            </w:r>
          </w:p>
        </w:tc>
        <w:tc>
          <w:tcPr>
            <w:tcW w:w="1814" w:type="dxa"/>
            <w:vAlign w:val="center"/>
          </w:tcPr>
          <w:p w14:paraId="47F87D54" w14:textId="77777777" w:rsidR="00454A29" w:rsidRDefault="00454A29">
            <w:pPr>
              <w:pStyle w:val="ConsPlusNormal"/>
              <w:jc w:val="center"/>
            </w:pPr>
            <w:r>
              <w:t>31 819,03</w:t>
            </w:r>
          </w:p>
        </w:tc>
        <w:tc>
          <w:tcPr>
            <w:tcW w:w="1701" w:type="dxa"/>
            <w:vAlign w:val="center"/>
          </w:tcPr>
          <w:p w14:paraId="22ECEDBD" w14:textId="77777777" w:rsidR="00454A29" w:rsidRDefault="00454A29">
            <w:pPr>
              <w:pStyle w:val="ConsPlusNormal"/>
              <w:jc w:val="center"/>
            </w:pPr>
            <w:r>
              <w:t>498 498,20</w:t>
            </w:r>
          </w:p>
        </w:tc>
        <w:tc>
          <w:tcPr>
            <w:tcW w:w="1701" w:type="dxa"/>
            <w:vAlign w:val="center"/>
          </w:tcPr>
          <w:p w14:paraId="7669268D" w14:textId="77777777" w:rsidR="00454A29" w:rsidRDefault="00454A29">
            <w:pPr>
              <w:pStyle w:val="ConsPlusNormal"/>
              <w:jc w:val="center"/>
            </w:pPr>
            <w:r>
              <w:t>-</w:t>
            </w:r>
          </w:p>
        </w:tc>
        <w:tc>
          <w:tcPr>
            <w:tcW w:w="1814" w:type="dxa"/>
            <w:vAlign w:val="center"/>
          </w:tcPr>
          <w:p w14:paraId="3AF8E696" w14:textId="77777777" w:rsidR="00454A29" w:rsidRDefault="00454A29">
            <w:pPr>
              <w:pStyle w:val="ConsPlusNormal"/>
            </w:pPr>
          </w:p>
        </w:tc>
      </w:tr>
      <w:tr w:rsidR="00454A29" w14:paraId="736CA657" w14:textId="77777777">
        <w:tc>
          <w:tcPr>
            <w:tcW w:w="567" w:type="dxa"/>
            <w:vMerge/>
          </w:tcPr>
          <w:p w14:paraId="5AED133A" w14:textId="77777777" w:rsidR="00454A29" w:rsidRDefault="00454A29"/>
        </w:tc>
        <w:tc>
          <w:tcPr>
            <w:tcW w:w="3345" w:type="dxa"/>
            <w:vMerge/>
          </w:tcPr>
          <w:p w14:paraId="540782B1" w14:textId="77777777" w:rsidR="00454A29" w:rsidRDefault="00454A29"/>
        </w:tc>
        <w:tc>
          <w:tcPr>
            <w:tcW w:w="1701" w:type="dxa"/>
            <w:vAlign w:val="center"/>
          </w:tcPr>
          <w:p w14:paraId="3F2DAC59" w14:textId="77777777" w:rsidR="00454A29" w:rsidRDefault="00454A29">
            <w:pPr>
              <w:pStyle w:val="ConsPlusNormal"/>
              <w:jc w:val="center"/>
            </w:pPr>
            <w:r>
              <w:t>2023</w:t>
            </w:r>
          </w:p>
        </w:tc>
        <w:tc>
          <w:tcPr>
            <w:tcW w:w="1417" w:type="dxa"/>
            <w:vMerge/>
          </w:tcPr>
          <w:p w14:paraId="5639A953" w14:textId="77777777" w:rsidR="00454A29" w:rsidRDefault="00454A29"/>
        </w:tc>
        <w:tc>
          <w:tcPr>
            <w:tcW w:w="2204" w:type="dxa"/>
            <w:vMerge/>
          </w:tcPr>
          <w:p w14:paraId="7D21AA91" w14:textId="77777777" w:rsidR="00454A29" w:rsidRDefault="00454A29"/>
        </w:tc>
        <w:tc>
          <w:tcPr>
            <w:tcW w:w="1417" w:type="dxa"/>
            <w:vMerge/>
          </w:tcPr>
          <w:p w14:paraId="0F997F94" w14:textId="77777777" w:rsidR="00454A29" w:rsidRDefault="00454A29"/>
        </w:tc>
        <w:tc>
          <w:tcPr>
            <w:tcW w:w="2324" w:type="dxa"/>
            <w:vMerge/>
          </w:tcPr>
          <w:p w14:paraId="0EC010D5" w14:textId="77777777" w:rsidR="00454A29" w:rsidRDefault="00454A29"/>
        </w:tc>
        <w:tc>
          <w:tcPr>
            <w:tcW w:w="1701" w:type="dxa"/>
            <w:vAlign w:val="center"/>
          </w:tcPr>
          <w:p w14:paraId="79527A77" w14:textId="77777777" w:rsidR="00454A29" w:rsidRDefault="00454A29">
            <w:pPr>
              <w:pStyle w:val="ConsPlusNormal"/>
            </w:pPr>
          </w:p>
        </w:tc>
        <w:tc>
          <w:tcPr>
            <w:tcW w:w="1814" w:type="dxa"/>
            <w:vAlign w:val="center"/>
          </w:tcPr>
          <w:p w14:paraId="6C31252F" w14:textId="77777777" w:rsidR="00454A29" w:rsidRDefault="00454A29">
            <w:pPr>
              <w:pStyle w:val="ConsPlusNormal"/>
            </w:pPr>
          </w:p>
        </w:tc>
        <w:tc>
          <w:tcPr>
            <w:tcW w:w="1701" w:type="dxa"/>
            <w:vAlign w:val="center"/>
          </w:tcPr>
          <w:p w14:paraId="346C62F4" w14:textId="77777777" w:rsidR="00454A29" w:rsidRDefault="00454A29">
            <w:pPr>
              <w:pStyle w:val="ConsPlusNormal"/>
            </w:pPr>
          </w:p>
        </w:tc>
        <w:tc>
          <w:tcPr>
            <w:tcW w:w="1701" w:type="dxa"/>
            <w:vAlign w:val="center"/>
          </w:tcPr>
          <w:p w14:paraId="3D1CED41" w14:textId="77777777" w:rsidR="00454A29" w:rsidRDefault="00454A29">
            <w:pPr>
              <w:pStyle w:val="ConsPlusNormal"/>
            </w:pPr>
          </w:p>
        </w:tc>
        <w:tc>
          <w:tcPr>
            <w:tcW w:w="1814" w:type="dxa"/>
            <w:vAlign w:val="center"/>
          </w:tcPr>
          <w:p w14:paraId="19C69C73" w14:textId="77777777" w:rsidR="00454A29" w:rsidRDefault="00454A29">
            <w:pPr>
              <w:pStyle w:val="ConsPlusNormal"/>
            </w:pPr>
          </w:p>
        </w:tc>
      </w:tr>
      <w:tr w:rsidR="00454A29" w14:paraId="4F59ABD4" w14:textId="77777777">
        <w:tc>
          <w:tcPr>
            <w:tcW w:w="567" w:type="dxa"/>
            <w:vMerge/>
          </w:tcPr>
          <w:p w14:paraId="2A364B26" w14:textId="77777777" w:rsidR="00454A29" w:rsidRDefault="00454A29"/>
        </w:tc>
        <w:tc>
          <w:tcPr>
            <w:tcW w:w="3345" w:type="dxa"/>
            <w:vMerge/>
          </w:tcPr>
          <w:p w14:paraId="7FEDA7E0" w14:textId="77777777" w:rsidR="00454A29" w:rsidRDefault="00454A29"/>
        </w:tc>
        <w:tc>
          <w:tcPr>
            <w:tcW w:w="1701" w:type="dxa"/>
            <w:vAlign w:val="center"/>
          </w:tcPr>
          <w:p w14:paraId="5B4E299E" w14:textId="77777777" w:rsidR="00454A29" w:rsidRDefault="00454A29">
            <w:pPr>
              <w:pStyle w:val="ConsPlusNormal"/>
              <w:jc w:val="center"/>
            </w:pPr>
            <w:r>
              <w:t>2024</w:t>
            </w:r>
          </w:p>
        </w:tc>
        <w:tc>
          <w:tcPr>
            <w:tcW w:w="1417" w:type="dxa"/>
            <w:vMerge/>
          </w:tcPr>
          <w:p w14:paraId="609F8C4E" w14:textId="77777777" w:rsidR="00454A29" w:rsidRDefault="00454A29"/>
        </w:tc>
        <w:tc>
          <w:tcPr>
            <w:tcW w:w="2204" w:type="dxa"/>
            <w:vMerge/>
          </w:tcPr>
          <w:p w14:paraId="63D67A7B" w14:textId="77777777" w:rsidR="00454A29" w:rsidRDefault="00454A29"/>
        </w:tc>
        <w:tc>
          <w:tcPr>
            <w:tcW w:w="1417" w:type="dxa"/>
            <w:vMerge/>
          </w:tcPr>
          <w:p w14:paraId="36259AF9" w14:textId="77777777" w:rsidR="00454A29" w:rsidRDefault="00454A29"/>
        </w:tc>
        <w:tc>
          <w:tcPr>
            <w:tcW w:w="2324" w:type="dxa"/>
            <w:vMerge/>
          </w:tcPr>
          <w:p w14:paraId="5BB71793" w14:textId="77777777" w:rsidR="00454A29" w:rsidRDefault="00454A29"/>
        </w:tc>
        <w:tc>
          <w:tcPr>
            <w:tcW w:w="1701" w:type="dxa"/>
            <w:vAlign w:val="center"/>
          </w:tcPr>
          <w:p w14:paraId="1A10496E" w14:textId="77777777" w:rsidR="00454A29" w:rsidRDefault="00454A29">
            <w:pPr>
              <w:pStyle w:val="ConsPlusNormal"/>
            </w:pPr>
          </w:p>
        </w:tc>
        <w:tc>
          <w:tcPr>
            <w:tcW w:w="1814" w:type="dxa"/>
            <w:vAlign w:val="center"/>
          </w:tcPr>
          <w:p w14:paraId="7DDDD16E" w14:textId="77777777" w:rsidR="00454A29" w:rsidRDefault="00454A29">
            <w:pPr>
              <w:pStyle w:val="ConsPlusNormal"/>
            </w:pPr>
          </w:p>
        </w:tc>
        <w:tc>
          <w:tcPr>
            <w:tcW w:w="1701" w:type="dxa"/>
            <w:vAlign w:val="center"/>
          </w:tcPr>
          <w:p w14:paraId="41B86C4F" w14:textId="77777777" w:rsidR="00454A29" w:rsidRDefault="00454A29">
            <w:pPr>
              <w:pStyle w:val="ConsPlusNormal"/>
            </w:pPr>
          </w:p>
        </w:tc>
        <w:tc>
          <w:tcPr>
            <w:tcW w:w="1701" w:type="dxa"/>
            <w:vAlign w:val="center"/>
          </w:tcPr>
          <w:p w14:paraId="5B1FFC92" w14:textId="77777777" w:rsidR="00454A29" w:rsidRDefault="00454A29">
            <w:pPr>
              <w:pStyle w:val="ConsPlusNormal"/>
            </w:pPr>
          </w:p>
        </w:tc>
        <w:tc>
          <w:tcPr>
            <w:tcW w:w="1814" w:type="dxa"/>
            <w:vAlign w:val="center"/>
          </w:tcPr>
          <w:p w14:paraId="75296020" w14:textId="77777777" w:rsidR="00454A29" w:rsidRDefault="00454A29">
            <w:pPr>
              <w:pStyle w:val="ConsPlusNormal"/>
            </w:pPr>
          </w:p>
        </w:tc>
      </w:tr>
      <w:tr w:rsidR="00454A29" w14:paraId="167AD81B" w14:textId="77777777">
        <w:tc>
          <w:tcPr>
            <w:tcW w:w="567" w:type="dxa"/>
            <w:vMerge/>
          </w:tcPr>
          <w:p w14:paraId="3E21B5C3" w14:textId="77777777" w:rsidR="00454A29" w:rsidRDefault="00454A29"/>
        </w:tc>
        <w:tc>
          <w:tcPr>
            <w:tcW w:w="3345" w:type="dxa"/>
            <w:vMerge/>
          </w:tcPr>
          <w:p w14:paraId="2E46DA33" w14:textId="77777777" w:rsidR="00454A29" w:rsidRDefault="00454A29"/>
        </w:tc>
        <w:tc>
          <w:tcPr>
            <w:tcW w:w="1701" w:type="dxa"/>
            <w:vAlign w:val="center"/>
          </w:tcPr>
          <w:p w14:paraId="6F2DA0A1" w14:textId="77777777" w:rsidR="00454A29" w:rsidRDefault="00454A29">
            <w:pPr>
              <w:pStyle w:val="ConsPlusNormal"/>
              <w:jc w:val="center"/>
            </w:pPr>
            <w:r>
              <w:t>2025</w:t>
            </w:r>
          </w:p>
        </w:tc>
        <w:tc>
          <w:tcPr>
            <w:tcW w:w="1417" w:type="dxa"/>
            <w:vMerge/>
          </w:tcPr>
          <w:p w14:paraId="447832FB" w14:textId="77777777" w:rsidR="00454A29" w:rsidRDefault="00454A29"/>
        </w:tc>
        <w:tc>
          <w:tcPr>
            <w:tcW w:w="2204" w:type="dxa"/>
            <w:vMerge/>
          </w:tcPr>
          <w:p w14:paraId="52488FA3" w14:textId="77777777" w:rsidR="00454A29" w:rsidRDefault="00454A29"/>
        </w:tc>
        <w:tc>
          <w:tcPr>
            <w:tcW w:w="1417" w:type="dxa"/>
            <w:vMerge/>
          </w:tcPr>
          <w:p w14:paraId="44BB52DB" w14:textId="77777777" w:rsidR="00454A29" w:rsidRDefault="00454A29"/>
        </w:tc>
        <w:tc>
          <w:tcPr>
            <w:tcW w:w="2324" w:type="dxa"/>
            <w:vMerge/>
          </w:tcPr>
          <w:p w14:paraId="616671F3" w14:textId="77777777" w:rsidR="00454A29" w:rsidRDefault="00454A29"/>
        </w:tc>
        <w:tc>
          <w:tcPr>
            <w:tcW w:w="1701" w:type="dxa"/>
            <w:vAlign w:val="center"/>
          </w:tcPr>
          <w:p w14:paraId="322E61AD" w14:textId="77777777" w:rsidR="00454A29" w:rsidRDefault="00454A29">
            <w:pPr>
              <w:pStyle w:val="ConsPlusNormal"/>
            </w:pPr>
          </w:p>
        </w:tc>
        <w:tc>
          <w:tcPr>
            <w:tcW w:w="1814" w:type="dxa"/>
            <w:vAlign w:val="center"/>
          </w:tcPr>
          <w:p w14:paraId="386600FD" w14:textId="77777777" w:rsidR="00454A29" w:rsidRDefault="00454A29">
            <w:pPr>
              <w:pStyle w:val="ConsPlusNormal"/>
            </w:pPr>
          </w:p>
        </w:tc>
        <w:tc>
          <w:tcPr>
            <w:tcW w:w="1701" w:type="dxa"/>
            <w:vAlign w:val="center"/>
          </w:tcPr>
          <w:p w14:paraId="3C40CD44" w14:textId="77777777" w:rsidR="00454A29" w:rsidRDefault="00454A29">
            <w:pPr>
              <w:pStyle w:val="ConsPlusNormal"/>
            </w:pPr>
          </w:p>
        </w:tc>
        <w:tc>
          <w:tcPr>
            <w:tcW w:w="1701" w:type="dxa"/>
            <w:vAlign w:val="center"/>
          </w:tcPr>
          <w:p w14:paraId="1D0F7E00" w14:textId="77777777" w:rsidR="00454A29" w:rsidRDefault="00454A29">
            <w:pPr>
              <w:pStyle w:val="ConsPlusNormal"/>
            </w:pPr>
          </w:p>
        </w:tc>
        <w:tc>
          <w:tcPr>
            <w:tcW w:w="1814" w:type="dxa"/>
            <w:vAlign w:val="center"/>
          </w:tcPr>
          <w:p w14:paraId="766186BC" w14:textId="77777777" w:rsidR="00454A29" w:rsidRDefault="00454A29">
            <w:pPr>
              <w:pStyle w:val="ConsPlusNormal"/>
            </w:pPr>
          </w:p>
        </w:tc>
      </w:tr>
      <w:tr w:rsidR="00454A29" w14:paraId="5BDA994E" w14:textId="77777777">
        <w:tc>
          <w:tcPr>
            <w:tcW w:w="567" w:type="dxa"/>
            <w:vMerge/>
          </w:tcPr>
          <w:p w14:paraId="01C13664" w14:textId="77777777" w:rsidR="00454A29" w:rsidRDefault="00454A29"/>
        </w:tc>
        <w:tc>
          <w:tcPr>
            <w:tcW w:w="3345" w:type="dxa"/>
            <w:vMerge/>
          </w:tcPr>
          <w:p w14:paraId="6C503EBE" w14:textId="77777777" w:rsidR="00454A29" w:rsidRDefault="00454A29"/>
        </w:tc>
        <w:tc>
          <w:tcPr>
            <w:tcW w:w="1701" w:type="dxa"/>
            <w:vAlign w:val="center"/>
          </w:tcPr>
          <w:p w14:paraId="5D83E381" w14:textId="77777777" w:rsidR="00454A29" w:rsidRDefault="00454A29">
            <w:pPr>
              <w:pStyle w:val="ConsPlusNormal"/>
              <w:jc w:val="center"/>
            </w:pPr>
            <w:r>
              <w:t>2026</w:t>
            </w:r>
          </w:p>
        </w:tc>
        <w:tc>
          <w:tcPr>
            <w:tcW w:w="1417" w:type="dxa"/>
            <w:vMerge/>
          </w:tcPr>
          <w:p w14:paraId="27BBAC99" w14:textId="77777777" w:rsidR="00454A29" w:rsidRDefault="00454A29"/>
        </w:tc>
        <w:tc>
          <w:tcPr>
            <w:tcW w:w="2204" w:type="dxa"/>
            <w:vMerge/>
          </w:tcPr>
          <w:p w14:paraId="65D9302A" w14:textId="77777777" w:rsidR="00454A29" w:rsidRDefault="00454A29"/>
        </w:tc>
        <w:tc>
          <w:tcPr>
            <w:tcW w:w="1417" w:type="dxa"/>
            <w:vMerge/>
          </w:tcPr>
          <w:p w14:paraId="58199924" w14:textId="77777777" w:rsidR="00454A29" w:rsidRDefault="00454A29"/>
        </w:tc>
        <w:tc>
          <w:tcPr>
            <w:tcW w:w="2324" w:type="dxa"/>
            <w:vMerge/>
          </w:tcPr>
          <w:p w14:paraId="6914EAC5" w14:textId="77777777" w:rsidR="00454A29" w:rsidRDefault="00454A29"/>
        </w:tc>
        <w:tc>
          <w:tcPr>
            <w:tcW w:w="1701" w:type="dxa"/>
            <w:vAlign w:val="center"/>
          </w:tcPr>
          <w:p w14:paraId="627F6899" w14:textId="77777777" w:rsidR="00454A29" w:rsidRDefault="00454A29">
            <w:pPr>
              <w:pStyle w:val="ConsPlusNormal"/>
            </w:pPr>
          </w:p>
        </w:tc>
        <w:tc>
          <w:tcPr>
            <w:tcW w:w="1814" w:type="dxa"/>
            <w:vAlign w:val="center"/>
          </w:tcPr>
          <w:p w14:paraId="4CDC980A" w14:textId="77777777" w:rsidR="00454A29" w:rsidRDefault="00454A29">
            <w:pPr>
              <w:pStyle w:val="ConsPlusNormal"/>
            </w:pPr>
          </w:p>
        </w:tc>
        <w:tc>
          <w:tcPr>
            <w:tcW w:w="1701" w:type="dxa"/>
            <w:vAlign w:val="center"/>
          </w:tcPr>
          <w:p w14:paraId="45C18509" w14:textId="77777777" w:rsidR="00454A29" w:rsidRDefault="00454A29">
            <w:pPr>
              <w:pStyle w:val="ConsPlusNormal"/>
            </w:pPr>
          </w:p>
        </w:tc>
        <w:tc>
          <w:tcPr>
            <w:tcW w:w="1701" w:type="dxa"/>
            <w:vAlign w:val="center"/>
          </w:tcPr>
          <w:p w14:paraId="2C197619" w14:textId="77777777" w:rsidR="00454A29" w:rsidRDefault="00454A29">
            <w:pPr>
              <w:pStyle w:val="ConsPlusNormal"/>
            </w:pPr>
          </w:p>
        </w:tc>
        <w:tc>
          <w:tcPr>
            <w:tcW w:w="1814" w:type="dxa"/>
            <w:vAlign w:val="center"/>
          </w:tcPr>
          <w:p w14:paraId="67D47007" w14:textId="77777777" w:rsidR="00454A29" w:rsidRDefault="00454A29">
            <w:pPr>
              <w:pStyle w:val="ConsPlusNormal"/>
            </w:pPr>
          </w:p>
        </w:tc>
      </w:tr>
      <w:tr w:rsidR="00454A29" w14:paraId="3F531B8E" w14:textId="77777777">
        <w:tc>
          <w:tcPr>
            <w:tcW w:w="21706" w:type="dxa"/>
            <w:gridSpan w:val="12"/>
            <w:vAlign w:val="center"/>
          </w:tcPr>
          <w:p w14:paraId="6C381A3A" w14:textId="77777777" w:rsidR="00454A29" w:rsidRDefault="00454A29">
            <w:pPr>
              <w:pStyle w:val="ConsPlusNormal"/>
              <w:jc w:val="center"/>
            </w:pPr>
            <w:r>
              <w:t>Мероприятие 9.2.2.</w:t>
            </w:r>
          </w:p>
        </w:tc>
      </w:tr>
      <w:tr w:rsidR="00454A29" w14:paraId="3C08A4AD" w14:textId="77777777">
        <w:tc>
          <w:tcPr>
            <w:tcW w:w="567" w:type="dxa"/>
            <w:vMerge w:val="restart"/>
            <w:vAlign w:val="center"/>
          </w:tcPr>
          <w:p w14:paraId="7254F36B" w14:textId="77777777" w:rsidR="00454A29" w:rsidRDefault="00454A29">
            <w:pPr>
              <w:pStyle w:val="ConsPlusNormal"/>
              <w:jc w:val="center"/>
            </w:pPr>
            <w:r>
              <w:t>215</w:t>
            </w:r>
          </w:p>
        </w:tc>
        <w:tc>
          <w:tcPr>
            <w:tcW w:w="3345" w:type="dxa"/>
            <w:vMerge w:val="restart"/>
            <w:vAlign w:val="center"/>
          </w:tcPr>
          <w:p w14:paraId="400B5219" w14:textId="77777777" w:rsidR="00454A29" w:rsidRDefault="00454A29">
            <w:pPr>
              <w:pStyle w:val="ConsPlusNormal"/>
              <w:jc w:val="center"/>
            </w:pPr>
            <w:r>
              <w:t>Создание новых мест в общеобразовательных организациях, расположенных в сельской местности и поселков городского типа Республики Саха (Якутия)</w:t>
            </w:r>
          </w:p>
        </w:tc>
        <w:tc>
          <w:tcPr>
            <w:tcW w:w="1701" w:type="dxa"/>
            <w:vAlign w:val="center"/>
          </w:tcPr>
          <w:p w14:paraId="0D59573C" w14:textId="77777777" w:rsidR="00454A29" w:rsidRDefault="00454A29">
            <w:pPr>
              <w:pStyle w:val="ConsPlusNormal"/>
              <w:jc w:val="center"/>
            </w:pPr>
            <w:r>
              <w:t>2020 - 2026 годы - всего</w:t>
            </w:r>
          </w:p>
        </w:tc>
        <w:tc>
          <w:tcPr>
            <w:tcW w:w="1417" w:type="dxa"/>
            <w:vMerge w:val="restart"/>
            <w:vAlign w:val="center"/>
          </w:tcPr>
          <w:p w14:paraId="37745D95" w14:textId="77777777" w:rsidR="00454A29" w:rsidRDefault="00454A29">
            <w:pPr>
              <w:pStyle w:val="ConsPlusNormal"/>
              <w:jc w:val="center"/>
            </w:pPr>
            <w:r>
              <w:t>837 411,05</w:t>
            </w:r>
          </w:p>
        </w:tc>
        <w:tc>
          <w:tcPr>
            <w:tcW w:w="2204" w:type="dxa"/>
            <w:vMerge w:val="restart"/>
            <w:vAlign w:val="center"/>
          </w:tcPr>
          <w:p w14:paraId="0636ED3B" w14:textId="77777777" w:rsidR="00454A29" w:rsidRDefault="00454A29">
            <w:pPr>
              <w:pStyle w:val="ConsPlusNormal"/>
            </w:pPr>
          </w:p>
        </w:tc>
        <w:tc>
          <w:tcPr>
            <w:tcW w:w="1417" w:type="dxa"/>
            <w:vMerge w:val="restart"/>
            <w:vAlign w:val="center"/>
          </w:tcPr>
          <w:p w14:paraId="0437AA95" w14:textId="77777777" w:rsidR="00454A29" w:rsidRDefault="00454A29">
            <w:pPr>
              <w:pStyle w:val="ConsPlusNormal"/>
              <w:jc w:val="center"/>
            </w:pPr>
            <w:r>
              <w:t>440</w:t>
            </w:r>
          </w:p>
        </w:tc>
        <w:tc>
          <w:tcPr>
            <w:tcW w:w="2324" w:type="dxa"/>
            <w:vMerge w:val="restart"/>
            <w:vAlign w:val="center"/>
          </w:tcPr>
          <w:p w14:paraId="6697C7C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7D91415" w14:textId="77777777" w:rsidR="00454A29" w:rsidRDefault="00454A29">
            <w:pPr>
              <w:pStyle w:val="ConsPlusNormal"/>
              <w:jc w:val="center"/>
            </w:pPr>
            <w:r>
              <w:t>688 009,33</w:t>
            </w:r>
          </w:p>
        </w:tc>
        <w:tc>
          <w:tcPr>
            <w:tcW w:w="1814" w:type="dxa"/>
            <w:vAlign w:val="center"/>
          </w:tcPr>
          <w:p w14:paraId="0DE45933" w14:textId="77777777" w:rsidR="00454A29" w:rsidRDefault="00454A29">
            <w:pPr>
              <w:pStyle w:val="ConsPlusNormal"/>
              <w:jc w:val="center"/>
            </w:pPr>
            <w:r>
              <w:t>308 891,53</w:t>
            </w:r>
          </w:p>
        </w:tc>
        <w:tc>
          <w:tcPr>
            <w:tcW w:w="1701" w:type="dxa"/>
            <w:vAlign w:val="center"/>
          </w:tcPr>
          <w:p w14:paraId="0C3EBEC4" w14:textId="77777777" w:rsidR="00454A29" w:rsidRDefault="00454A29">
            <w:pPr>
              <w:pStyle w:val="ConsPlusNormal"/>
              <w:jc w:val="center"/>
            </w:pPr>
            <w:r>
              <w:t>379 117,80</w:t>
            </w:r>
          </w:p>
        </w:tc>
        <w:tc>
          <w:tcPr>
            <w:tcW w:w="1701" w:type="dxa"/>
            <w:vAlign w:val="center"/>
          </w:tcPr>
          <w:p w14:paraId="5E291262" w14:textId="77777777" w:rsidR="00454A29" w:rsidRDefault="00454A29">
            <w:pPr>
              <w:pStyle w:val="ConsPlusNormal"/>
              <w:jc w:val="center"/>
            </w:pPr>
            <w:r>
              <w:t>-</w:t>
            </w:r>
          </w:p>
        </w:tc>
        <w:tc>
          <w:tcPr>
            <w:tcW w:w="1814" w:type="dxa"/>
            <w:vAlign w:val="center"/>
          </w:tcPr>
          <w:p w14:paraId="68B327BE" w14:textId="77777777" w:rsidR="00454A29" w:rsidRDefault="00454A29">
            <w:pPr>
              <w:pStyle w:val="ConsPlusNormal"/>
              <w:jc w:val="center"/>
            </w:pPr>
            <w:r>
              <w:t>-</w:t>
            </w:r>
          </w:p>
        </w:tc>
      </w:tr>
      <w:tr w:rsidR="00454A29" w14:paraId="055E821C" w14:textId="77777777">
        <w:tc>
          <w:tcPr>
            <w:tcW w:w="567" w:type="dxa"/>
            <w:vMerge/>
          </w:tcPr>
          <w:p w14:paraId="32A255F8" w14:textId="77777777" w:rsidR="00454A29" w:rsidRDefault="00454A29"/>
        </w:tc>
        <w:tc>
          <w:tcPr>
            <w:tcW w:w="3345" w:type="dxa"/>
            <w:vMerge/>
          </w:tcPr>
          <w:p w14:paraId="18C8CBC2" w14:textId="77777777" w:rsidR="00454A29" w:rsidRDefault="00454A29"/>
        </w:tc>
        <w:tc>
          <w:tcPr>
            <w:tcW w:w="1701" w:type="dxa"/>
            <w:vAlign w:val="center"/>
          </w:tcPr>
          <w:p w14:paraId="6A3DA1F3" w14:textId="77777777" w:rsidR="00454A29" w:rsidRDefault="00454A29">
            <w:pPr>
              <w:pStyle w:val="ConsPlusNormal"/>
              <w:jc w:val="center"/>
            </w:pPr>
            <w:r>
              <w:t>2020</w:t>
            </w:r>
          </w:p>
        </w:tc>
        <w:tc>
          <w:tcPr>
            <w:tcW w:w="1417" w:type="dxa"/>
            <w:vMerge/>
          </w:tcPr>
          <w:p w14:paraId="597AC443" w14:textId="77777777" w:rsidR="00454A29" w:rsidRDefault="00454A29"/>
        </w:tc>
        <w:tc>
          <w:tcPr>
            <w:tcW w:w="2204" w:type="dxa"/>
            <w:vMerge/>
          </w:tcPr>
          <w:p w14:paraId="55C82823" w14:textId="77777777" w:rsidR="00454A29" w:rsidRDefault="00454A29"/>
        </w:tc>
        <w:tc>
          <w:tcPr>
            <w:tcW w:w="1417" w:type="dxa"/>
            <w:vMerge/>
          </w:tcPr>
          <w:p w14:paraId="7AB8B2D5" w14:textId="77777777" w:rsidR="00454A29" w:rsidRDefault="00454A29"/>
        </w:tc>
        <w:tc>
          <w:tcPr>
            <w:tcW w:w="2324" w:type="dxa"/>
            <w:vMerge/>
          </w:tcPr>
          <w:p w14:paraId="1AB199B4" w14:textId="77777777" w:rsidR="00454A29" w:rsidRDefault="00454A29"/>
        </w:tc>
        <w:tc>
          <w:tcPr>
            <w:tcW w:w="1701" w:type="dxa"/>
            <w:vAlign w:val="center"/>
          </w:tcPr>
          <w:p w14:paraId="2A625FD7" w14:textId="77777777" w:rsidR="00454A29" w:rsidRDefault="00454A29">
            <w:pPr>
              <w:pStyle w:val="ConsPlusNormal"/>
              <w:jc w:val="center"/>
            </w:pPr>
            <w:r>
              <w:t>254 314,19</w:t>
            </w:r>
          </w:p>
        </w:tc>
        <w:tc>
          <w:tcPr>
            <w:tcW w:w="1814" w:type="dxa"/>
            <w:vAlign w:val="center"/>
          </w:tcPr>
          <w:p w14:paraId="1B037F98" w14:textId="77777777" w:rsidR="00454A29" w:rsidRDefault="00454A29">
            <w:pPr>
              <w:pStyle w:val="ConsPlusNormal"/>
              <w:jc w:val="center"/>
            </w:pPr>
            <w:r>
              <w:t>254 314,19</w:t>
            </w:r>
          </w:p>
        </w:tc>
        <w:tc>
          <w:tcPr>
            <w:tcW w:w="1701" w:type="dxa"/>
            <w:vAlign w:val="center"/>
          </w:tcPr>
          <w:p w14:paraId="70429E71" w14:textId="77777777" w:rsidR="00454A29" w:rsidRDefault="00454A29">
            <w:pPr>
              <w:pStyle w:val="ConsPlusNormal"/>
              <w:jc w:val="center"/>
            </w:pPr>
            <w:r>
              <w:t>-</w:t>
            </w:r>
          </w:p>
        </w:tc>
        <w:tc>
          <w:tcPr>
            <w:tcW w:w="1701" w:type="dxa"/>
            <w:vAlign w:val="center"/>
          </w:tcPr>
          <w:p w14:paraId="46C5460B" w14:textId="77777777" w:rsidR="00454A29" w:rsidRDefault="00454A29">
            <w:pPr>
              <w:pStyle w:val="ConsPlusNormal"/>
              <w:jc w:val="center"/>
            </w:pPr>
            <w:r>
              <w:t>-</w:t>
            </w:r>
          </w:p>
        </w:tc>
        <w:tc>
          <w:tcPr>
            <w:tcW w:w="1814" w:type="dxa"/>
            <w:vAlign w:val="center"/>
          </w:tcPr>
          <w:p w14:paraId="191CEA8A" w14:textId="77777777" w:rsidR="00454A29" w:rsidRDefault="00454A29">
            <w:pPr>
              <w:pStyle w:val="ConsPlusNormal"/>
              <w:jc w:val="center"/>
            </w:pPr>
            <w:r>
              <w:t>-</w:t>
            </w:r>
          </w:p>
        </w:tc>
      </w:tr>
      <w:tr w:rsidR="00454A29" w14:paraId="42901343" w14:textId="77777777">
        <w:tc>
          <w:tcPr>
            <w:tcW w:w="567" w:type="dxa"/>
            <w:vMerge/>
          </w:tcPr>
          <w:p w14:paraId="15B214B6" w14:textId="77777777" w:rsidR="00454A29" w:rsidRDefault="00454A29"/>
        </w:tc>
        <w:tc>
          <w:tcPr>
            <w:tcW w:w="3345" w:type="dxa"/>
            <w:vMerge/>
          </w:tcPr>
          <w:p w14:paraId="6BD147DB" w14:textId="77777777" w:rsidR="00454A29" w:rsidRDefault="00454A29"/>
        </w:tc>
        <w:tc>
          <w:tcPr>
            <w:tcW w:w="1701" w:type="dxa"/>
            <w:vAlign w:val="center"/>
          </w:tcPr>
          <w:p w14:paraId="56BE902C" w14:textId="77777777" w:rsidR="00454A29" w:rsidRDefault="00454A29">
            <w:pPr>
              <w:pStyle w:val="ConsPlusNormal"/>
              <w:jc w:val="center"/>
            </w:pPr>
            <w:r>
              <w:t>2021</w:t>
            </w:r>
          </w:p>
        </w:tc>
        <w:tc>
          <w:tcPr>
            <w:tcW w:w="1417" w:type="dxa"/>
            <w:vMerge/>
          </w:tcPr>
          <w:p w14:paraId="67ADCC50" w14:textId="77777777" w:rsidR="00454A29" w:rsidRDefault="00454A29"/>
        </w:tc>
        <w:tc>
          <w:tcPr>
            <w:tcW w:w="2204" w:type="dxa"/>
            <w:vMerge/>
          </w:tcPr>
          <w:p w14:paraId="1183FB39" w14:textId="77777777" w:rsidR="00454A29" w:rsidRDefault="00454A29"/>
        </w:tc>
        <w:tc>
          <w:tcPr>
            <w:tcW w:w="1417" w:type="dxa"/>
            <w:vMerge/>
          </w:tcPr>
          <w:p w14:paraId="0F496B3D" w14:textId="77777777" w:rsidR="00454A29" w:rsidRDefault="00454A29"/>
        </w:tc>
        <w:tc>
          <w:tcPr>
            <w:tcW w:w="2324" w:type="dxa"/>
            <w:vMerge/>
          </w:tcPr>
          <w:p w14:paraId="0EA3B91D" w14:textId="77777777" w:rsidR="00454A29" w:rsidRDefault="00454A29"/>
        </w:tc>
        <w:tc>
          <w:tcPr>
            <w:tcW w:w="1701" w:type="dxa"/>
            <w:vAlign w:val="center"/>
          </w:tcPr>
          <w:p w14:paraId="3A01389F" w14:textId="77777777" w:rsidR="00454A29" w:rsidRDefault="00454A29">
            <w:pPr>
              <w:pStyle w:val="ConsPlusNormal"/>
              <w:jc w:val="center"/>
            </w:pPr>
            <w:r>
              <w:t>433 695,15</w:t>
            </w:r>
          </w:p>
        </w:tc>
        <w:tc>
          <w:tcPr>
            <w:tcW w:w="1814" w:type="dxa"/>
            <w:vAlign w:val="center"/>
          </w:tcPr>
          <w:p w14:paraId="5BE5F03F" w14:textId="77777777" w:rsidR="00454A29" w:rsidRDefault="00454A29">
            <w:pPr>
              <w:pStyle w:val="ConsPlusNormal"/>
              <w:jc w:val="center"/>
            </w:pPr>
            <w:r>
              <w:t>54 577,35</w:t>
            </w:r>
          </w:p>
        </w:tc>
        <w:tc>
          <w:tcPr>
            <w:tcW w:w="1701" w:type="dxa"/>
            <w:vAlign w:val="center"/>
          </w:tcPr>
          <w:p w14:paraId="1F3E7B7A" w14:textId="77777777" w:rsidR="00454A29" w:rsidRDefault="00454A29">
            <w:pPr>
              <w:pStyle w:val="ConsPlusNormal"/>
              <w:jc w:val="center"/>
            </w:pPr>
            <w:r>
              <w:t>379 117,80</w:t>
            </w:r>
          </w:p>
        </w:tc>
        <w:tc>
          <w:tcPr>
            <w:tcW w:w="1701" w:type="dxa"/>
            <w:vAlign w:val="center"/>
          </w:tcPr>
          <w:p w14:paraId="3B13C1F3" w14:textId="77777777" w:rsidR="00454A29" w:rsidRDefault="00454A29">
            <w:pPr>
              <w:pStyle w:val="ConsPlusNormal"/>
              <w:jc w:val="center"/>
            </w:pPr>
            <w:r>
              <w:t>-</w:t>
            </w:r>
          </w:p>
        </w:tc>
        <w:tc>
          <w:tcPr>
            <w:tcW w:w="1814" w:type="dxa"/>
            <w:vAlign w:val="center"/>
          </w:tcPr>
          <w:p w14:paraId="00045DD3" w14:textId="77777777" w:rsidR="00454A29" w:rsidRDefault="00454A29">
            <w:pPr>
              <w:pStyle w:val="ConsPlusNormal"/>
              <w:jc w:val="center"/>
            </w:pPr>
            <w:r>
              <w:t>-</w:t>
            </w:r>
          </w:p>
        </w:tc>
      </w:tr>
      <w:tr w:rsidR="00454A29" w14:paraId="1CE2F12C" w14:textId="77777777">
        <w:tc>
          <w:tcPr>
            <w:tcW w:w="567" w:type="dxa"/>
            <w:vMerge/>
          </w:tcPr>
          <w:p w14:paraId="2C3FC03E" w14:textId="77777777" w:rsidR="00454A29" w:rsidRDefault="00454A29"/>
        </w:tc>
        <w:tc>
          <w:tcPr>
            <w:tcW w:w="3345" w:type="dxa"/>
            <w:vMerge/>
          </w:tcPr>
          <w:p w14:paraId="24BED621" w14:textId="77777777" w:rsidR="00454A29" w:rsidRDefault="00454A29"/>
        </w:tc>
        <w:tc>
          <w:tcPr>
            <w:tcW w:w="1701" w:type="dxa"/>
            <w:vAlign w:val="center"/>
          </w:tcPr>
          <w:p w14:paraId="48296E07" w14:textId="77777777" w:rsidR="00454A29" w:rsidRDefault="00454A29">
            <w:pPr>
              <w:pStyle w:val="ConsPlusNormal"/>
              <w:jc w:val="center"/>
            </w:pPr>
            <w:r>
              <w:t>2022</w:t>
            </w:r>
          </w:p>
        </w:tc>
        <w:tc>
          <w:tcPr>
            <w:tcW w:w="1417" w:type="dxa"/>
            <w:vMerge/>
          </w:tcPr>
          <w:p w14:paraId="786EEBAA" w14:textId="77777777" w:rsidR="00454A29" w:rsidRDefault="00454A29"/>
        </w:tc>
        <w:tc>
          <w:tcPr>
            <w:tcW w:w="2204" w:type="dxa"/>
            <w:vMerge/>
          </w:tcPr>
          <w:p w14:paraId="5253D2E4" w14:textId="77777777" w:rsidR="00454A29" w:rsidRDefault="00454A29"/>
        </w:tc>
        <w:tc>
          <w:tcPr>
            <w:tcW w:w="1417" w:type="dxa"/>
            <w:vMerge/>
          </w:tcPr>
          <w:p w14:paraId="74CE51A9" w14:textId="77777777" w:rsidR="00454A29" w:rsidRDefault="00454A29"/>
        </w:tc>
        <w:tc>
          <w:tcPr>
            <w:tcW w:w="2324" w:type="dxa"/>
            <w:vMerge/>
          </w:tcPr>
          <w:p w14:paraId="2A1FC29F" w14:textId="77777777" w:rsidR="00454A29" w:rsidRDefault="00454A29"/>
        </w:tc>
        <w:tc>
          <w:tcPr>
            <w:tcW w:w="1701" w:type="dxa"/>
            <w:vAlign w:val="center"/>
          </w:tcPr>
          <w:p w14:paraId="1F7A1BEA" w14:textId="77777777" w:rsidR="00454A29" w:rsidRDefault="00454A29">
            <w:pPr>
              <w:pStyle w:val="ConsPlusNormal"/>
              <w:jc w:val="center"/>
            </w:pPr>
            <w:r>
              <w:t>-</w:t>
            </w:r>
          </w:p>
        </w:tc>
        <w:tc>
          <w:tcPr>
            <w:tcW w:w="1814" w:type="dxa"/>
            <w:vAlign w:val="center"/>
          </w:tcPr>
          <w:p w14:paraId="2A8DA4CB" w14:textId="77777777" w:rsidR="00454A29" w:rsidRDefault="00454A29">
            <w:pPr>
              <w:pStyle w:val="ConsPlusNormal"/>
              <w:jc w:val="center"/>
            </w:pPr>
            <w:r>
              <w:t>-</w:t>
            </w:r>
          </w:p>
        </w:tc>
        <w:tc>
          <w:tcPr>
            <w:tcW w:w="1701" w:type="dxa"/>
            <w:vAlign w:val="center"/>
          </w:tcPr>
          <w:p w14:paraId="16F7CFD9" w14:textId="77777777" w:rsidR="00454A29" w:rsidRDefault="00454A29">
            <w:pPr>
              <w:pStyle w:val="ConsPlusNormal"/>
              <w:jc w:val="center"/>
            </w:pPr>
            <w:r>
              <w:t>-</w:t>
            </w:r>
          </w:p>
        </w:tc>
        <w:tc>
          <w:tcPr>
            <w:tcW w:w="1701" w:type="dxa"/>
            <w:vAlign w:val="center"/>
          </w:tcPr>
          <w:p w14:paraId="3BED71FA" w14:textId="77777777" w:rsidR="00454A29" w:rsidRDefault="00454A29">
            <w:pPr>
              <w:pStyle w:val="ConsPlusNormal"/>
              <w:jc w:val="center"/>
            </w:pPr>
            <w:r>
              <w:t>-</w:t>
            </w:r>
          </w:p>
        </w:tc>
        <w:tc>
          <w:tcPr>
            <w:tcW w:w="1814" w:type="dxa"/>
            <w:vAlign w:val="center"/>
          </w:tcPr>
          <w:p w14:paraId="1F3A5BDD" w14:textId="77777777" w:rsidR="00454A29" w:rsidRDefault="00454A29">
            <w:pPr>
              <w:pStyle w:val="ConsPlusNormal"/>
              <w:jc w:val="center"/>
            </w:pPr>
            <w:r>
              <w:t>-</w:t>
            </w:r>
          </w:p>
        </w:tc>
      </w:tr>
      <w:tr w:rsidR="00454A29" w14:paraId="66D62CC0" w14:textId="77777777">
        <w:tc>
          <w:tcPr>
            <w:tcW w:w="567" w:type="dxa"/>
            <w:vMerge/>
          </w:tcPr>
          <w:p w14:paraId="494AEE30" w14:textId="77777777" w:rsidR="00454A29" w:rsidRDefault="00454A29"/>
        </w:tc>
        <w:tc>
          <w:tcPr>
            <w:tcW w:w="3345" w:type="dxa"/>
            <w:vMerge/>
          </w:tcPr>
          <w:p w14:paraId="5AA09309" w14:textId="77777777" w:rsidR="00454A29" w:rsidRDefault="00454A29"/>
        </w:tc>
        <w:tc>
          <w:tcPr>
            <w:tcW w:w="1701" w:type="dxa"/>
            <w:vAlign w:val="center"/>
          </w:tcPr>
          <w:p w14:paraId="5D3593D0" w14:textId="77777777" w:rsidR="00454A29" w:rsidRDefault="00454A29">
            <w:pPr>
              <w:pStyle w:val="ConsPlusNormal"/>
              <w:jc w:val="center"/>
            </w:pPr>
            <w:r>
              <w:t>2023</w:t>
            </w:r>
          </w:p>
        </w:tc>
        <w:tc>
          <w:tcPr>
            <w:tcW w:w="1417" w:type="dxa"/>
            <w:vMerge/>
          </w:tcPr>
          <w:p w14:paraId="6B7480B4" w14:textId="77777777" w:rsidR="00454A29" w:rsidRDefault="00454A29"/>
        </w:tc>
        <w:tc>
          <w:tcPr>
            <w:tcW w:w="2204" w:type="dxa"/>
            <w:vMerge/>
          </w:tcPr>
          <w:p w14:paraId="6F7A7A0A" w14:textId="77777777" w:rsidR="00454A29" w:rsidRDefault="00454A29"/>
        </w:tc>
        <w:tc>
          <w:tcPr>
            <w:tcW w:w="1417" w:type="dxa"/>
            <w:vMerge/>
          </w:tcPr>
          <w:p w14:paraId="48A8CD30" w14:textId="77777777" w:rsidR="00454A29" w:rsidRDefault="00454A29"/>
        </w:tc>
        <w:tc>
          <w:tcPr>
            <w:tcW w:w="2324" w:type="dxa"/>
            <w:vMerge/>
          </w:tcPr>
          <w:p w14:paraId="0ED49883" w14:textId="77777777" w:rsidR="00454A29" w:rsidRDefault="00454A29"/>
        </w:tc>
        <w:tc>
          <w:tcPr>
            <w:tcW w:w="1701" w:type="dxa"/>
            <w:vAlign w:val="center"/>
          </w:tcPr>
          <w:p w14:paraId="0CEB868D" w14:textId="77777777" w:rsidR="00454A29" w:rsidRDefault="00454A29">
            <w:pPr>
              <w:pStyle w:val="ConsPlusNormal"/>
              <w:jc w:val="center"/>
            </w:pPr>
            <w:r>
              <w:t>-</w:t>
            </w:r>
          </w:p>
        </w:tc>
        <w:tc>
          <w:tcPr>
            <w:tcW w:w="1814" w:type="dxa"/>
            <w:vAlign w:val="center"/>
          </w:tcPr>
          <w:p w14:paraId="42958219" w14:textId="77777777" w:rsidR="00454A29" w:rsidRDefault="00454A29">
            <w:pPr>
              <w:pStyle w:val="ConsPlusNormal"/>
              <w:jc w:val="center"/>
            </w:pPr>
            <w:r>
              <w:t>-</w:t>
            </w:r>
          </w:p>
        </w:tc>
        <w:tc>
          <w:tcPr>
            <w:tcW w:w="1701" w:type="dxa"/>
            <w:vAlign w:val="center"/>
          </w:tcPr>
          <w:p w14:paraId="7CACDFBB" w14:textId="77777777" w:rsidR="00454A29" w:rsidRDefault="00454A29">
            <w:pPr>
              <w:pStyle w:val="ConsPlusNormal"/>
              <w:jc w:val="center"/>
            </w:pPr>
            <w:r>
              <w:t>-</w:t>
            </w:r>
          </w:p>
        </w:tc>
        <w:tc>
          <w:tcPr>
            <w:tcW w:w="1701" w:type="dxa"/>
            <w:vAlign w:val="center"/>
          </w:tcPr>
          <w:p w14:paraId="0F10034B" w14:textId="77777777" w:rsidR="00454A29" w:rsidRDefault="00454A29">
            <w:pPr>
              <w:pStyle w:val="ConsPlusNormal"/>
              <w:jc w:val="center"/>
            </w:pPr>
            <w:r>
              <w:t>-</w:t>
            </w:r>
          </w:p>
        </w:tc>
        <w:tc>
          <w:tcPr>
            <w:tcW w:w="1814" w:type="dxa"/>
            <w:vAlign w:val="center"/>
          </w:tcPr>
          <w:p w14:paraId="745B1F8C" w14:textId="77777777" w:rsidR="00454A29" w:rsidRDefault="00454A29">
            <w:pPr>
              <w:pStyle w:val="ConsPlusNormal"/>
              <w:jc w:val="center"/>
            </w:pPr>
            <w:r>
              <w:t>-</w:t>
            </w:r>
          </w:p>
        </w:tc>
      </w:tr>
      <w:tr w:rsidR="00454A29" w14:paraId="61216AFD" w14:textId="77777777">
        <w:tc>
          <w:tcPr>
            <w:tcW w:w="567" w:type="dxa"/>
            <w:vMerge/>
          </w:tcPr>
          <w:p w14:paraId="417FBB5C" w14:textId="77777777" w:rsidR="00454A29" w:rsidRDefault="00454A29"/>
        </w:tc>
        <w:tc>
          <w:tcPr>
            <w:tcW w:w="3345" w:type="dxa"/>
            <w:vMerge/>
          </w:tcPr>
          <w:p w14:paraId="5C438AB1" w14:textId="77777777" w:rsidR="00454A29" w:rsidRDefault="00454A29"/>
        </w:tc>
        <w:tc>
          <w:tcPr>
            <w:tcW w:w="1701" w:type="dxa"/>
            <w:vAlign w:val="center"/>
          </w:tcPr>
          <w:p w14:paraId="262C9313" w14:textId="77777777" w:rsidR="00454A29" w:rsidRDefault="00454A29">
            <w:pPr>
              <w:pStyle w:val="ConsPlusNormal"/>
              <w:jc w:val="center"/>
            </w:pPr>
            <w:r>
              <w:t>2024</w:t>
            </w:r>
          </w:p>
        </w:tc>
        <w:tc>
          <w:tcPr>
            <w:tcW w:w="1417" w:type="dxa"/>
            <w:vMerge/>
          </w:tcPr>
          <w:p w14:paraId="17131386" w14:textId="77777777" w:rsidR="00454A29" w:rsidRDefault="00454A29"/>
        </w:tc>
        <w:tc>
          <w:tcPr>
            <w:tcW w:w="2204" w:type="dxa"/>
            <w:vMerge/>
          </w:tcPr>
          <w:p w14:paraId="51E0CA6E" w14:textId="77777777" w:rsidR="00454A29" w:rsidRDefault="00454A29"/>
        </w:tc>
        <w:tc>
          <w:tcPr>
            <w:tcW w:w="1417" w:type="dxa"/>
            <w:vMerge/>
          </w:tcPr>
          <w:p w14:paraId="37C2B421" w14:textId="77777777" w:rsidR="00454A29" w:rsidRDefault="00454A29"/>
        </w:tc>
        <w:tc>
          <w:tcPr>
            <w:tcW w:w="2324" w:type="dxa"/>
            <w:vMerge/>
          </w:tcPr>
          <w:p w14:paraId="43852B7B" w14:textId="77777777" w:rsidR="00454A29" w:rsidRDefault="00454A29"/>
        </w:tc>
        <w:tc>
          <w:tcPr>
            <w:tcW w:w="1701" w:type="dxa"/>
            <w:vAlign w:val="center"/>
          </w:tcPr>
          <w:p w14:paraId="66E1F130" w14:textId="77777777" w:rsidR="00454A29" w:rsidRDefault="00454A29">
            <w:pPr>
              <w:pStyle w:val="ConsPlusNormal"/>
              <w:jc w:val="center"/>
            </w:pPr>
            <w:r>
              <w:t>-</w:t>
            </w:r>
          </w:p>
        </w:tc>
        <w:tc>
          <w:tcPr>
            <w:tcW w:w="1814" w:type="dxa"/>
            <w:vAlign w:val="center"/>
          </w:tcPr>
          <w:p w14:paraId="04EEA0AC" w14:textId="77777777" w:rsidR="00454A29" w:rsidRDefault="00454A29">
            <w:pPr>
              <w:pStyle w:val="ConsPlusNormal"/>
              <w:jc w:val="center"/>
            </w:pPr>
            <w:r>
              <w:t>-</w:t>
            </w:r>
          </w:p>
        </w:tc>
        <w:tc>
          <w:tcPr>
            <w:tcW w:w="1701" w:type="dxa"/>
            <w:vAlign w:val="center"/>
          </w:tcPr>
          <w:p w14:paraId="51969EFB" w14:textId="77777777" w:rsidR="00454A29" w:rsidRDefault="00454A29">
            <w:pPr>
              <w:pStyle w:val="ConsPlusNormal"/>
              <w:jc w:val="center"/>
            </w:pPr>
            <w:r>
              <w:t>-</w:t>
            </w:r>
          </w:p>
        </w:tc>
        <w:tc>
          <w:tcPr>
            <w:tcW w:w="1701" w:type="dxa"/>
            <w:vAlign w:val="center"/>
          </w:tcPr>
          <w:p w14:paraId="1A5DDB60" w14:textId="77777777" w:rsidR="00454A29" w:rsidRDefault="00454A29">
            <w:pPr>
              <w:pStyle w:val="ConsPlusNormal"/>
              <w:jc w:val="center"/>
            </w:pPr>
            <w:r>
              <w:t>-</w:t>
            </w:r>
          </w:p>
        </w:tc>
        <w:tc>
          <w:tcPr>
            <w:tcW w:w="1814" w:type="dxa"/>
            <w:vAlign w:val="center"/>
          </w:tcPr>
          <w:p w14:paraId="1DB5C3B3" w14:textId="77777777" w:rsidR="00454A29" w:rsidRDefault="00454A29">
            <w:pPr>
              <w:pStyle w:val="ConsPlusNormal"/>
              <w:jc w:val="center"/>
            </w:pPr>
            <w:r>
              <w:t>-</w:t>
            </w:r>
          </w:p>
        </w:tc>
      </w:tr>
      <w:tr w:rsidR="00454A29" w14:paraId="5FFB7986" w14:textId="77777777">
        <w:tc>
          <w:tcPr>
            <w:tcW w:w="567" w:type="dxa"/>
            <w:vMerge/>
          </w:tcPr>
          <w:p w14:paraId="5A125841" w14:textId="77777777" w:rsidR="00454A29" w:rsidRDefault="00454A29"/>
        </w:tc>
        <w:tc>
          <w:tcPr>
            <w:tcW w:w="3345" w:type="dxa"/>
            <w:vMerge/>
          </w:tcPr>
          <w:p w14:paraId="0CD0A87B" w14:textId="77777777" w:rsidR="00454A29" w:rsidRDefault="00454A29"/>
        </w:tc>
        <w:tc>
          <w:tcPr>
            <w:tcW w:w="1701" w:type="dxa"/>
            <w:vAlign w:val="center"/>
          </w:tcPr>
          <w:p w14:paraId="3BDC3B9E" w14:textId="77777777" w:rsidR="00454A29" w:rsidRDefault="00454A29">
            <w:pPr>
              <w:pStyle w:val="ConsPlusNormal"/>
              <w:jc w:val="center"/>
            </w:pPr>
            <w:r>
              <w:t>2025</w:t>
            </w:r>
          </w:p>
        </w:tc>
        <w:tc>
          <w:tcPr>
            <w:tcW w:w="1417" w:type="dxa"/>
            <w:vMerge/>
          </w:tcPr>
          <w:p w14:paraId="0AE7FA70" w14:textId="77777777" w:rsidR="00454A29" w:rsidRDefault="00454A29"/>
        </w:tc>
        <w:tc>
          <w:tcPr>
            <w:tcW w:w="2204" w:type="dxa"/>
            <w:vMerge/>
          </w:tcPr>
          <w:p w14:paraId="007F4C98" w14:textId="77777777" w:rsidR="00454A29" w:rsidRDefault="00454A29"/>
        </w:tc>
        <w:tc>
          <w:tcPr>
            <w:tcW w:w="1417" w:type="dxa"/>
            <w:vMerge/>
          </w:tcPr>
          <w:p w14:paraId="2EAA15A6" w14:textId="77777777" w:rsidR="00454A29" w:rsidRDefault="00454A29"/>
        </w:tc>
        <w:tc>
          <w:tcPr>
            <w:tcW w:w="2324" w:type="dxa"/>
            <w:vMerge/>
          </w:tcPr>
          <w:p w14:paraId="4E0D3E26" w14:textId="77777777" w:rsidR="00454A29" w:rsidRDefault="00454A29"/>
        </w:tc>
        <w:tc>
          <w:tcPr>
            <w:tcW w:w="1701" w:type="dxa"/>
            <w:vAlign w:val="center"/>
          </w:tcPr>
          <w:p w14:paraId="6D1609A9" w14:textId="77777777" w:rsidR="00454A29" w:rsidRDefault="00454A29">
            <w:pPr>
              <w:pStyle w:val="ConsPlusNormal"/>
              <w:jc w:val="center"/>
            </w:pPr>
            <w:r>
              <w:t>-</w:t>
            </w:r>
          </w:p>
        </w:tc>
        <w:tc>
          <w:tcPr>
            <w:tcW w:w="1814" w:type="dxa"/>
            <w:vAlign w:val="center"/>
          </w:tcPr>
          <w:p w14:paraId="017D966E" w14:textId="77777777" w:rsidR="00454A29" w:rsidRDefault="00454A29">
            <w:pPr>
              <w:pStyle w:val="ConsPlusNormal"/>
              <w:jc w:val="center"/>
            </w:pPr>
            <w:r>
              <w:t>-</w:t>
            </w:r>
          </w:p>
        </w:tc>
        <w:tc>
          <w:tcPr>
            <w:tcW w:w="1701" w:type="dxa"/>
            <w:vAlign w:val="center"/>
          </w:tcPr>
          <w:p w14:paraId="4A009B27" w14:textId="77777777" w:rsidR="00454A29" w:rsidRDefault="00454A29">
            <w:pPr>
              <w:pStyle w:val="ConsPlusNormal"/>
              <w:jc w:val="center"/>
            </w:pPr>
            <w:r>
              <w:t>-</w:t>
            </w:r>
          </w:p>
        </w:tc>
        <w:tc>
          <w:tcPr>
            <w:tcW w:w="1701" w:type="dxa"/>
            <w:vAlign w:val="center"/>
          </w:tcPr>
          <w:p w14:paraId="144D12EB" w14:textId="77777777" w:rsidR="00454A29" w:rsidRDefault="00454A29">
            <w:pPr>
              <w:pStyle w:val="ConsPlusNormal"/>
              <w:jc w:val="center"/>
            </w:pPr>
            <w:r>
              <w:t>-</w:t>
            </w:r>
          </w:p>
        </w:tc>
        <w:tc>
          <w:tcPr>
            <w:tcW w:w="1814" w:type="dxa"/>
            <w:vAlign w:val="center"/>
          </w:tcPr>
          <w:p w14:paraId="6BDB87F4" w14:textId="77777777" w:rsidR="00454A29" w:rsidRDefault="00454A29">
            <w:pPr>
              <w:pStyle w:val="ConsPlusNormal"/>
              <w:jc w:val="center"/>
            </w:pPr>
            <w:r>
              <w:t>-</w:t>
            </w:r>
          </w:p>
        </w:tc>
      </w:tr>
      <w:tr w:rsidR="00454A29" w14:paraId="18E5E4B7" w14:textId="77777777">
        <w:tc>
          <w:tcPr>
            <w:tcW w:w="567" w:type="dxa"/>
            <w:vMerge/>
          </w:tcPr>
          <w:p w14:paraId="4D71FA72" w14:textId="77777777" w:rsidR="00454A29" w:rsidRDefault="00454A29"/>
        </w:tc>
        <w:tc>
          <w:tcPr>
            <w:tcW w:w="3345" w:type="dxa"/>
            <w:vMerge/>
          </w:tcPr>
          <w:p w14:paraId="28A1CF6B" w14:textId="77777777" w:rsidR="00454A29" w:rsidRDefault="00454A29"/>
        </w:tc>
        <w:tc>
          <w:tcPr>
            <w:tcW w:w="1701" w:type="dxa"/>
            <w:vAlign w:val="center"/>
          </w:tcPr>
          <w:p w14:paraId="629EF3D7" w14:textId="77777777" w:rsidR="00454A29" w:rsidRDefault="00454A29">
            <w:pPr>
              <w:pStyle w:val="ConsPlusNormal"/>
              <w:jc w:val="center"/>
            </w:pPr>
            <w:r>
              <w:t>2026</w:t>
            </w:r>
          </w:p>
        </w:tc>
        <w:tc>
          <w:tcPr>
            <w:tcW w:w="1417" w:type="dxa"/>
            <w:vMerge/>
          </w:tcPr>
          <w:p w14:paraId="06FD7340" w14:textId="77777777" w:rsidR="00454A29" w:rsidRDefault="00454A29"/>
        </w:tc>
        <w:tc>
          <w:tcPr>
            <w:tcW w:w="2204" w:type="dxa"/>
            <w:vMerge/>
          </w:tcPr>
          <w:p w14:paraId="443B0031" w14:textId="77777777" w:rsidR="00454A29" w:rsidRDefault="00454A29"/>
        </w:tc>
        <w:tc>
          <w:tcPr>
            <w:tcW w:w="1417" w:type="dxa"/>
            <w:vMerge/>
          </w:tcPr>
          <w:p w14:paraId="26833C82" w14:textId="77777777" w:rsidR="00454A29" w:rsidRDefault="00454A29"/>
        </w:tc>
        <w:tc>
          <w:tcPr>
            <w:tcW w:w="2324" w:type="dxa"/>
            <w:vMerge/>
          </w:tcPr>
          <w:p w14:paraId="13B4FF80" w14:textId="77777777" w:rsidR="00454A29" w:rsidRDefault="00454A29"/>
        </w:tc>
        <w:tc>
          <w:tcPr>
            <w:tcW w:w="1701" w:type="dxa"/>
            <w:vAlign w:val="center"/>
          </w:tcPr>
          <w:p w14:paraId="21BA94CA" w14:textId="77777777" w:rsidR="00454A29" w:rsidRDefault="00454A29">
            <w:pPr>
              <w:pStyle w:val="ConsPlusNormal"/>
              <w:jc w:val="center"/>
            </w:pPr>
            <w:r>
              <w:t>-</w:t>
            </w:r>
          </w:p>
        </w:tc>
        <w:tc>
          <w:tcPr>
            <w:tcW w:w="1814" w:type="dxa"/>
            <w:vAlign w:val="center"/>
          </w:tcPr>
          <w:p w14:paraId="0DEAC135" w14:textId="77777777" w:rsidR="00454A29" w:rsidRDefault="00454A29">
            <w:pPr>
              <w:pStyle w:val="ConsPlusNormal"/>
              <w:jc w:val="center"/>
            </w:pPr>
            <w:r>
              <w:t>-</w:t>
            </w:r>
          </w:p>
        </w:tc>
        <w:tc>
          <w:tcPr>
            <w:tcW w:w="1701" w:type="dxa"/>
            <w:vAlign w:val="center"/>
          </w:tcPr>
          <w:p w14:paraId="0202CE19" w14:textId="77777777" w:rsidR="00454A29" w:rsidRDefault="00454A29">
            <w:pPr>
              <w:pStyle w:val="ConsPlusNormal"/>
              <w:jc w:val="center"/>
            </w:pPr>
            <w:r>
              <w:t>-</w:t>
            </w:r>
          </w:p>
        </w:tc>
        <w:tc>
          <w:tcPr>
            <w:tcW w:w="1701" w:type="dxa"/>
            <w:vAlign w:val="center"/>
          </w:tcPr>
          <w:p w14:paraId="40A93F44" w14:textId="77777777" w:rsidR="00454A29" w:rsidRDefault="00454A29">
            <w:pPr>
              <w:pStyle w:val="ConsPlusNormal"/>
              <w:jc w:val="center"/>
            </w:pPr>
            <w:r>
              <w:t>-</w:t>
            </w:r>
          </w:p>
        </w:tc>
        <w:tc>
          <w:tcPr>
            <w:tcW w:w="1814" w:type="dxa"/>
            <w:vAlign w:val="center"/>
          </w:tcPr>
          <w:p w14:paraId="37ECF7A9" w14:textId="77777777" w:rsidR="00454A29" w:rsidRDefault="00454A29">
            <w:pPr>
              <w:pStyle w:val="ConsPlusNormal"/>
              <w:jc w:val="center"/>
            </w:pPr>
            <w:r>
              <w:t>-</w:t>
            </w:r>
          </w:p>
        </w:tc>
      </w:tr>
      <w:tr w:rsidR="00454A29" w14:paraId="50A2BF1F" w14:textId="77777777">
        <w:tc>
          <w:tcPr>
            <w:tcW w:w="21706" w:type="dxa"/>
            <w:gridSpan w:val="12"/>
            <w:vAlign w:val="center"/>
          </w:tcPr>
          <w:p w14:paraId="4683FD8C" w14:textId="77777777" w:rsidR="00454A29" w:rsidRDefault="00454A29">
            <w:pPr>
              <w:pStyle w:val="ConsPlusNormal"/>
              <w:jc w:val="center"/>
              <w:outlineLvl w:val="2"/>
            </w:pPr>
            <w:r>
              <w:t>МР "Усть-Алданский улус (район)"</w:t>
            </w:r>
          </w:p>
        </w:tc>
      </w:tr>
      <w:tr w:rsidR="00454A29" w14:paraId="704860D3" w14:textId="77777777">
        <w:tc>
          <w:tcPr>
            <w:tcW w:w="567" w:type="dxa"/>
            <w:vMerge w:val="restart"/>
            <w:vAlign w:val="center"/>
          </w:tcPr>
          <w:p w14:paraId="0E8AEB3F" w14:textId="77777777" w:rsidR="00454A29" w:rsidRDefault="00454A29">
            <w:pPr>
              <w:pStyle w:val="ConsPlusNormal"/>
              <w:jc w:val="center"/>
            </w:pPr>
            <w:r>
              <w:lastRenderedPageBreak/>
              <w:t>216</w:t>
            </w:r>
          </w:p>
        </w:tc>
        <w:tc>
          <w:tcPr>
            <w:tcW w:w="3345" w:type="dxa"/>
            <w:vMerge w:val="restart"/>
            <w:vAlign w:val="center"/>
          </w:tcPr>
          <w:p w14:paraId="026F8158" w14:textId="77777777" w:rsidR="00454A29" w:rsidRDefault="00454A29">
            <w:pPr>
              <w:pStyle w:val="ConsPlusNormal"/>
              <w:jc w:val="center"/>
            </w:pPr>
            <w:r>
              <w:t>Школа на 220 учащихся в с. Огородтах</w:t>
            </w:r>
          </w:p>
        </w:tc>
        <w:tc>
          <w:tcPr>
            <w:tcW w:w="1701" w:type="dxa"/>
            <w:vAlign w:val="center"/>
          </w:tcPr>
          <w:p w14:paraId="0AC1BBF4" w14:textId="77777777" w:rsidR="00454A29" w:rsidRDefault="00454A29">
            <w:pPr>
              <w:pStyle w:val="ConsPlusNormal"/>
              <w:jc w:val="center"/>
            </w:pPr>
            <w:r>
              <w:t>2020 - 2026 годы - всего</w:t>
            </w:r>
          </w:p>
        </w:tc>
        <w:tc>
          <w:tcPr>
            <w:tcW w:w="1417" w:type="dxa"/>
            <w:vMerge w:val="restart"/>
            <w:vAlign w:val="center"/>
          </w:tcPr>
          <w:p w14:paraId="45542ED9" w14:textId="77777777" w:rsidR="00454A29" w:rsidRDefault="00454A29">
            <w:pPr>
              <w:pStyle w:val="ConsPlusNormal"/>
              <w:jc w:val="center"/>
            </w:pPr>
            <w:r>
              <w:t>454 937,90</w:t>
            </w:r>
          </w:p>
        </w:tc>
        <w:tc>
          <w:tcPr>
            <w:tcW w:w="2204" w:type="dxa"/>
            <w:vMerge w:val="restart"/>
            <w:vAlign w:val="center"/>
          </w:tcPr>
          <w:p w14:paraId="499615EF" w14:textId="77777777" w:rsidR="00454A29" w:rsidRDefault="00454A29">
            <w:pPr>
              <w:pStyle w:val="ConsPlusNormal"/>
              <w:jc w:val="center"/>
            </w:pPr>
            <w:r>
              <w:t>имеется</w:t>
            </w:r>
          </w:p>
        </w:tc>
        <w:tc>
          <w:tcPr>
            <w:tcW w:w="1417" w:type="dxa"/>
            <w:vMerge w:val="restart"/>
            <w:vAlign w:val="center"/>
          </w:tcPr>
          <w:p w14:paraId="1DD45DF3" w14:textId="77777777" w:rsidR="00454A29" w:rsidRDefault="00454A29">
            <w:pPr>
              <w:pStyle w:val="ConsPlusNormal"/>
              <w:jc w:val="center"/>
            </w:pPr>
            <w:r>
              <w:t>220</w:t>
            </w:r>
          </w:p>
        </w:tc>
        <w:tc>
          <w:tcPr>
            <w:tcW w:w="2324" w:type="dxa"/>
            <w:vMerge w:val="restart"/>
            <w:vAlign w:val="center"/>
          </w:tcPr>
          <w:p w14:paraId="7724EAD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E5364AC" w14:textId="77777777" w:rsidR="00454A29" w:rsidRDefault="00454A29">
            <w:pPr>
              <w:pStyle w:val="ConsPlusNormal"/>
              <w:jc w:val="center"/>
            </w:pPr>
            <w:r>
              <w:t>388 090,65</w:t>
            </w:r>
          </w:p>
        </w:tc>
        <w:tc>
          <w:tcPr>
            <w:tcW w:w="1814" w:type="dxa"/>
            <w:vAlign w:val="center"/>
          </w:tcPr>
          <w:p w14:paraId="4049F778" w14:textId="77777777" w:rsidR="00454A29" w:rsidRDefault="00454A29">
            <w:pPr>
              <w:pStyle w:val="ConsPlusNormal"/>
              <w:jc w:val="center"/>
            </w:pPr>
            <w:r>
              <w:t>193 527,99</w:t>
            </w:r>
          </w:p>
        </w:tc>
        <w:tc>
          <w:tcPr>
            <w:tcW w:w="1701" w:type="dxa"/>
            <w:vAlign w:val="center"/>
          </w:tcPr>
          <w:p w14:paraId="70A7A064" w14:textId="77777777" w:rsidR="00454A29" w:rsidRDefault="00454A29">
            <w:pPr>
              <w:pStyle w:val="ConsPlusNormal"/>
              <w:jc w:val="center"/>
            </w:pPr>
            <w:r>
              <w:t>194 562,66</w:t>
            </w:r>
          </w:p>
        </w:tc>
        <w:tc>
          <w:tcPr>
            <w:tcW w:w="1701" w:type="dxa"/>
            <w:vAlign w:val="center"/>
          </w:tcPr>
          <w:p w14:paraId="69C10873" w14:textId="77777777" w:rsidR="00454A29" w:rsidRDefault="00454A29">
            <w:pPr>
              <w:pStyle w:val="ConsPlusNormal"/>
              <w:jc w:val="center"/>
            </w:pPr>
            <w:r>
              <w:t>-</w:t>
            </w:r>
          </w:p>
        </w:tc>
        <w:tc>
          <w:tcPr>
            <w:tcW w:w="1814" w:type="dxa"/>
            <w:vAlign w:val="center"/>
          </w:tcPr>
          <w:p w14:paraId="2D6E01D0" w14:textId="77777777" w:rsidR="00454A29" w:rsidRDefault="00454A29">
            <w:pPr>
              <w:pStyle w:val="ConsPlusNormal"/>
              <w:jc w:val="center"/>
            </w:pPr>
            <w:r>
              <w:t>-</w:t>
            </w:r>
          </w:p>
        </w:tc>
      </w:tr>
      <w:tr w:rsidR="00454A29" w14:paraId="0C85982E" w14:textId="77777777">
        <w:tc>
          <w:tcPr>
            <w:tcW w:w="567" w:type="dxa"/>
            <w:vMerge/>
          </w:tcPr>
          <w:p w14:paraId="23B77DCF" w14:textId="77777777" w:rsidR="00454A29" w:rsidRDefault="00454A29"/>
        </w:tc>
        <w:tc>
          <w:tcPr>
            <w:tcW w:w="3345" w:type="dxa"/>
            <w:vMerge/>
          </w:tcPr>
          <w:p w14:paraId="51622B1D" w14:textId="77777777" w:rsidR="00454A29" w:rsidRDefault="00454A29"/>
        </w:tc>
        <w:tc>
          <w:tcPr>
            <w:tcW w:w="1701" w:type="dxa"/>
            <w:vAlign w:val="center"/>
          </w:tcPr>
          <w:p w14:paraId="3E1CEB3A" w14:textId="77777777" w:rsidR="00454A29" w:rsidRDefault="00454A29">
            <w:pPr>
              <w:pStyle w:val="ConsPlusNormal"/>
              <w:jc w:val="center"/>
            </w:pPr>
            <w:r>
              <w:t>2020</w:t>
            </w:r>
          </w:p>
        </w:tc>
        <w:tc>
          <w:tcPr>
            <w:tcW w:w="1417" w:type="dxa"/>
            <w:vMerge/>
          </w:tcPr>
          <w:p w14:paraId="7678D4ED" w14:textId="77777777" w:rsidR="00454A29" w:rsidRDefault="00454A29"/>
        </w:tc>
        <w:tc>
          <w:tcPr>
            <w:tcW w:w="2204" w:type="dxa"/>
            <w:vMerge/>
          </w:tcPr>
          <w:p w14:paraId="148D8588" w14:textId="77777777" w:rsidR="00454A29" w:rsidRDefault="00454A29"/>
        </w:tc>
        <w:tc>
          <w:tcPr>
            <w:tcW w:w="1417" w:type="dxa"/>
            <w:vMerge/>
          </w:tcPr>
          <w:p w14:paraId="14486895" w14:textId="77777777" w:rsidR="00454A29" w:rsidRDefault="00454A29"/>
        </w:tc>
        <w:tc>
          <w:tcPr>
            <w:tcW w:w="2324" w:type="dxa"/>
            <w:vMerge/>
          </w:tcPr>
          <w:p w14:paraId="38E0DC1E" w14:textId="77777777" w:rsidR="00454A29" w:rsidRDefault="00454A29"/>
        </w:tc>
        <w:tc>
          <w:tcPr>
            <w:tcW w:w="1701" w:type="dxa"/>
            <w:vAlign w:val="center"/>
          </w:tcPr>
          <w:p w14:paraId="25694963" w14:textId="77777777" w:rsidR="00454A29" w:rsidRDefault="00454A29">
            <w:pPr>
              <w:pStyle w:val="ConsPlusNormal"/>
              <w:jc w:val="center"/>
            </w:pPr>
            <w:r>
              <w:t>164 338,58</w:t>
            </w:r>
          </w:p>
        </w:tc>
        <w:tc>
          <w:tcPr>
            <w:tcW w:w="1814" w:type="dxa"/>
            <w:vAlign w:val="center"/>
          </w:tcPr>
          <w:p w14:paraId="53311050" w14:textId="77777777" w:rsidR="00454A29" w:rsidRDefault="00454A29">
            <w:pPr>
              <w:pStyle w:val="ConsPlusNormal"/>
              <w:jc w:val="center"/>
            </w:pPr>
            <w:r>
              <w:t>164 338,58</w:t>
            </w:r>
          </w:p>
        </w:tc>
        <w:tc>
          <w:tcPr>
            <w:tcW w:w="1701" w:type="dxa"/>
            <w:vAlign w:val="center"/>
          </w:tcPr>
          <w:p w14:paraId="1C4BB37E" w14:textId="77777777" w:rsidR="00454A29" w:rsidRDefault="00454A29">
            <w:pPr>
              <w:pStyle w:val="ConsPlusNormal"/>
            </w:pPr>
          </w:p>
        </w:tc>
        <w:tc>
          <w:tcPr>
            <w:tcW w:w="1701" w:type="dxa"/>
            <w:vAlign w:val="center"/>
          </w:tcPr>
          <w:p w14:paraId="1F31A7DE" w14:textId="77777777" w:rsidR="00454A29" w:rsidRDefault="00454A29">
            <w:pPr>
              <w:pStyle w:val="ConsPlusNormal"/>
            </w:pPr>
          </w:p>
        </w:tc>
        <w:tc>
          <w:tcPr>
            <w:tcW w:w="1814" w:type="dxa"/>
            <w:vAlign w:val="center"/>
          </w:tcPr>
          <w:p w14:paraId="4F01A0E0" w14:textId="77777777" w:rsidR="00454A29" w:rsidRDefault="00454A29">
            <w:pPr>
              <w:pStyle w:val="ConsPlusNormal"/>
            </w:pPr>
          </w:p>
        </w:tc>
      </w:tr>
      <w:tr w:rsidR="00454A29" w14:paraId="47DD0BFA" w14:textId="77777777">
        <w:tc>
          <w:tcPr>
            <w:tcW w:w="567" w:type="dxa"/>
            <w:vMerge/>
          </w:tcPr>
          <w:p w14:paraId="7C2BD847" w14:textId="77777777" w:rsidR="00454A29" w:rsidRDefault="00454A29"/>
        </w:tc>
        <w:tc>
          <w:tcPr>
            <w:tcW w:w="3345" w:type="dxa"/>
            <w:vMerge/>
          </w:tcPr>
          <w:p w14:paraId="39150525" w14:textId="77777777" w:rsidR="00454A29" w:rsidRDefault="00454A29"/>
        </w:tc>
        <w:tc>
          <w:tcPr>
            <w:tcW w:w="1701" w:type="dxa"/>
            <w:vAlign w:val="center"/>
          </w:tcPr>
          <w:p w14:paraId="76731EE6" w14:textId="77777777" w:rsidR="00454A29" w:rsidRDefault="00454A29">
            <w:pPr>
              <w:pStyle w:val="ConsPlusNormal"/>
              <w:jc w:val="center"/>
            </w:pPr>
            <w:r>
              <w:t>2021</w:t>
            </w:r>
          </w:p>
        </w:tc>
        <w:tc>
          <w:tcPr>
            <w:tcW w:w="1417" w:type="dxa"/>
            <w:vMerge/>
          </w:tcPr>
          <w:p w14:paraId="3975622E" w14:textId="77777777" w:rsidR="00454A29" w:rsidRDefault="00454A29"/>
        </w:tc>
        <w:tc>
          <w:tcPr>
            <w:tcW w:w="2204" w:type="dxa"/>
            <w:vMerge/>
          </w:tcPr>
          <w:p w14:paraId="674445AA" w14:textId="77777777" w:rsidR="00454A29" w:rsidRDefault="00454A29"/>
        </w:tc>
        <w:tc>
          <w:tcPr>
            <w:tcW w:w="1417" w:type="dxa"/>
            <w:vMerge/>
          </w:tcPr>
          <w:p w14:paraId="41318B7C" w14:textId="77777777" w:rsidR="00454A29" w:rsidRDefault="00454A29"/>
        </w:tc>
        <w:tc>
          <w:tcPr>
            <w:tcW w:w="2324" w:type="dxa"/>
            <w:vMerge/>
          </w:tcPr>
          <w:p w14:paraId="24C0F023" w14:textId="77777777" w:rsidR="00454A29" w:rsidRDefault="00454A29"/>
        </w:tc>
        <w:tc>
          <w:tcPr>
            <w:tcW w:w="1701" w:type="dxa"/>
            <w:vAlign w:val="center"/>
          </w:tcPr>
          <w:p w14:paraId="18C92B42" w14:textId="77777777" w:rsidR="00454A29" w:rsidRDefault="00454A29">
            <w:pPr>
              <w:pStyle w:val="ConsPlusNormal"/>
              <w:jc w:val="center"/>
            </w:pPr>
            <w:r>
              <w:t>223 752,07</w:t>
            </w:r>
          </w:p>
        </w:tc>
        <w:tc>
          <w:tcPr>
            <w:tcW w:w="1814" w:type="dxa"/>
            <w:vAlign w:val="center"/>
          </w:tcPr>
          <w:p w14:paraId="788D53D2" w14:textId="77777777" w:rsidR="00454A29" w:rsidRDefault="00454A29">
            <w:pPr>
              <w:pStyle w:val="ConsPlusNormal"/>
              <w:jc w:val="center"/>
            </w:pPr>
            <w:r>
              <w:t>29 189,41</w:t>
            </w:r>
          </w:p>
        </w:tc>
        <w:tc>
          <w:tcPr>
            <w:tcW w:w="1701" w:type="dxa"/>
            <w:vAlign w:val="center"/>
          </w:tcPr>
          <w:p w14:paraId="60D59F1D" w14:textId="77777777" w:rsidR="00454A29" w:rsidRDefault="00454A29">
            <w:pPr>
              <w:pStyle w:val="ConsPlusNormal"/>
              <w:jc w:val="center"/>
            </w:pPr>
            <w:r>
              <w:t>194 562,66</w:t>
            </w:r>
          </w:p>
        </w:tc>
        <w:tc>
          <w:tcPr>
            <w:tcW w:w="1701" w:type="dxa"/>
            <w:vAlign w:val="center"/>
          </w:tcPr>
          <w:p w14:paraId="7E46173D" w14:textId="77777777" w:rsidR="00454A29" w:rsidRDefault="00454A29">
            <w:pPr>
              <w:pStyle w:val="ConsPlusNormal"/>
            </w:pPr>
          </w:p>
        </w:tc>
        <w:tc>
          <w:tcPr>
            <w:tcW w:w="1814" w:type="dxa"/>
            <w:vAlign w:val="center"/>
          </w:tcPr>
          <w:p w14:paraId="61F67B17" w14:textId="77777777" w:rsidR="00454A29" w:rsidRDefault="00454A29">
            <w:pPr>
              <w:pStyle w:val="ConsPlusNormal"/>
            </w:pPr>
          </w:p>
        </w:tc>
      </w:tr>
      <w:tr w:rsidR="00454A29" w14:paraId="60B9B184" w14:textId="77777777">
        <w:tc>
          <w:tcPr>
            <w:tcW w:w="567" w:type="dxa"/>
            <w:vMerge/>
          </w:tcPr>
          <w:p w14:paraId="062161DF" w14:textId="77777777" w:rsidR="00454A29" w:rsidRDefault="00454A29"/>
        </w:tc>
        <w:tc>
          <w:tcPr>
            <w:tcW w:w="3345" w:type="dxa"/>
            <w:vMerge/>
          </w:tcPr>
          <w:p w14:paraId="49B458A4" w14:textId="77777777" w:rsidR="00454A29" w:rsidRDefault="00454A29"/>
        </w:tc>
        <w:tc>
          <w:tcPr>
            <w:tcW w:w="1701" w:type="dxa"/>
            <w:vAlign w:val="center"/>
          </w:tcPr>
          <w:p w14:paraId="26B96100" w14:textId="77777777" w:rsidR="00454A29" w:rsidRDefault="00454A29">
            <w:pPr>
              <w:pStyle w:val="ConsPlusNormal"/>
              <w:jc w:val="center"/>
            </w:pPr>
            <w:r>
              <w:t>2022</w:t>
            </w:r>
          </w:p>
        </w:tc>
        <w:tc>
          <w:tcPr>
            <w:tcW w:w="1417" w:type="dxa"/>
            <w:vMerge/>
          </w:tcPr>
          <w:p w14:paraId="30CAF32D" w14:textId="77777777" w:rsidR="00454A29" w:rsidRDefault="00454A29"/>
        </w:tc>
        <w:tc>
          <w:tcPr>
            <w:tcW w:w="2204" w:type="dxa"/>
            <w:vMerge/>
          </w:tcPr>
          <w:p w14:paraId="74DFC555" w14:textId="77777777" w:rsidR="00454A29" w:rsidRDefault="00454A29"/>
        </w:tc>
        <w:tc>
          <w:tcPr>
            <w:tcW w:w="1417" w:type="dxa"/>
            <w:vMerge/>
          </w:tcPr>
          <w:p w14:paraId="47A252BA" w14:textId="77777777" w:rsidR="00454A29" w:rsidRDefault="00454A29"/>
        </w:tc>
        <w:tc>
          <w:tcPr>
            <w:tcW w:w="2324" w:type="dxa"/>
            <w:vMerge/>
          </w:tcPr>
          <w:p w14:paraId="394C855C" w14:textId="77777777" w:rsidR="00454A29" w:rsidRDefault="00454A29"/>
        </w:tc>
        <w:tc>
          <w:tcPr>
            <w:tcW w:w="1701" w:type="dxa"/>
            <w:vAlign w:val="center"/>
          </w:tcPr>
          <w:p w14:paraId="47A4E174" w14:textId="77777777" w:rsidR="00454A29" w:rsidRDefault="00454A29">
            <w:pPr>
              <w:pStyle w:val="ConsPlusNormal"/>
            </w:pPr>
          </w:p>
        </w:tc>
        <w:tc>
          <w:tcPr>
            <w:tcW w:w="1814" w:type="dxa"/>
            <w:vAlign w:val="center"/>
          </w:tcPr>
          <w:p w14:paraId="1B6A007A" w14:textId="77777777" w:rsidR="00454A29" w:rsidRDefault="00454A29">
            <w:pPr>
              <w:pStyle w:val="ConsPlusNormal"/>
            </w:pPr>
          </w:p>
        </w:tc>
        <w:tc>
          <w:tcPr>
            <w:tcW w:w="1701" w:type="dxa"/>
            <w:vAlign w:val="center"/>
          </w:tcPr>
          <w:p w14:paraId="4CA0F9EC" w14:textId="77777777" w:rsidR="00454A29" w:rsidRDefault="00454A29">
            <w:pPr>
              <w:pStyle w:val="ConsPlusNormal"/>
            </w:pPr>
          </w:p>
        </w:tc>
        <w:tc>
          <w:tcPr>
            <w:tcW w:w="1701" w:type="dxa"/>
            <w:vAlign w:val="center"/>
          </w:tcPr>
          <w:p w14:paraId="56A0B603" w14:textId="77777777" w:rsidR="00454A29" w:rsidRDefault="00454A29">
            <w:pPr>
              <w:pStyle w:val="ConsPlusNormal"/>
            </w:pPr>
          </w:p>
        </w:tc>
        <w:tc>
          <w:tcPr>
            <w:tcW w:w="1814" w:type="dxa"/>
            <w:vAlign w:val="center"/>
          </w:tcPr>
          <w:p w14:paraId="6E7384C7" w14:textId="77777777" w:rsidR="00454A29" w:rsidRDefault="00454A29">
            <w:pPr>
              <w:pStyle w:val="ConsPlusNormal"/>
            </w:pPr>
          </w:p>
        </w:tc>
      </w:tr>
      <w:tr w:rsidR="00454A29" w14:paraId="1FF75250" w14:textId="77777777">
        <w:tc>
          <w:tcPr>
            <w:tcW w:w="567" w:type="dxa"/>
            <w:vMerge/>
          </w:tcPr>
          <w:p w14:paraId="4EDBEC18" w14:textId="77777777" w:rsidR="00454A29" w:rsidRDefault="00454A29"/>
        </w:tc>
        <w:tc>
          <w:tcPr>
            <w:tcW w:w="3345" w:type="dxa"/>
            <w:vMerge/>
          </w:tcPr>
          <w:p w14:paraId="65FD3812" w14:textId="77777777" w:rsidR="00454A29" w:rsidRDefault="00454A29"/>
        </w:tc>
        <w:tc>
          <w:tcPr>
            <w:tcW w:w="1701" w:type="dxa"/>
            <w:vAlign w:val="center"/>
          </w:tcPr>
          <w:p w14:paraId="3E5D0532" w14:textId="77777777" w:rsidR="00454A29" w:rsidRDefault="00454A29">
            <w:pPr>
              <w:pStyle w:val="ConsPlusNormal"/>
              <w:jc w:val="center"/>
            </w:pPr>
            <w:r>
              <w:t>2023</w:t>
            </w:r>
          </w:p>
        </w:tc>
        <w:tc>
          <w:tcPr>
            <w:tcW w:w="1417" w:type="dxa"/>
            <w:vMerge/>
          </w:tcPr>
          <w:p w14:paraId="119D3645" w14:textId="77777777" w:rsidR="00454A29" w:rsidRDefault="00454A29"/>
        </w:tc>
        <w:tc>
          <w:tcPr>
            <w:tcW w:w="2204" w:type="dxa"/>
            <w:vMerge/>
          </w:tcPr>
          <w:p w14:paraId="5737A625" w14:textId="77777777" w:rsidR="00454A29" w:rsidRDefault="00454A29"/>
        </w:tc>
        <w:tc>
          <w:tcPr>
            <w:tcW w:w="1417" w:type="dxa"/>
            <w:vMerge/>
          </w:tcPr>
          <w:p w14:paraId="0CEDB24F" w14:textId="77777777" w:rsidR="00454A29" w:rsidRDefault="00454A29"/>
        </w:tc>
        <w:tc>
          <w:tcPr>
            <w:tcW w:w="2324" w:type="dxa"/>
            <w:vMerge/>
          </w:tcPr>
          <w:p w14:paraId="15DE4483" w14:textId="77777777" w:rsidR="00454A29" w:rsidRDefault="00454A29"/>
        </w:tc>
        <w:tc>
          <w:tcPr>
            <w:tcW w:w="1701" w:type="dxa"/>
            <w:vAlign w:val="center"/>
          </w:tcPr>
          <w:p w14:paraId="0AF717D4" w14:textId="77777777" w:rsidR="00454A29" w:rsidRDefault="00454A29">
            <w:pPr>
              <w:pStyle w:val="ConsPlusNormal"/>
            </w:pPr>
          </w:p>
        </w:tc>
        <w:tc>
          <w:tcPr>
            <w:tcW w:w="1814" w:type="dxa"/>
            <w:vAlign w:val="center"/>
          </w:tcPr>
          <w:p w14:paraId="4459E95F" w14:textId="77777777" w:rsidR="00454A29" w:rsidRDefault="00454A29">
            <w:pPr>
              <w:pStyle w:val="ConsPlusNormal"/>
            </w:pPr>
          </w:p>
        </w:tc>
        <w:tc>
          <w:tcPr>
            <w:tcW w:w="1701" w:type="dxa"/>
            <w:vAlign w:val="center"/>
          </w:tcPr>
          <w:p w14:paraId="485AB4AF" w14:textId="77777777" w:rsidR="00454A29" w:rsidRDefault="00454A29">
            <w:pPr>
              <w:pStyle w:val="ConsPlusNormal"/>
            </w:pPr>
          </w:p>
        </w:tc>
        <w:tc>
          <w:tcPr>
            <w:tcW w:w="1701" w:type="dxa"/>
            <w:vAlign w:val="center"/>
          </w:tcPr>
          <w:p w14:paraId="5AD268E0" w14:textId="77777777" w:rsidR="00454A29" w:rsidRDefault="00454A29">
            <w:pPr>
              <w:pStyle w:val="ConsPlusNormal"/>
            </w:pPr>
          </w:p>
        </w:tc>
        <w:tc>
          <w:tcPr>
            <w:tcW w:w="1814" w:type="dxa"/>
            <w:vAlign w:val="center"/>
          </w:tcPr>
          <w:p w14:paraId="550E4845" w14:textId="77777777" w:rsidR="00454A29" w:rsidRDefault="00454A29">
            <w:pPr>
              <w:pStyle w:val="ConsPlusNormal"/>
            </w:pPr>
          </w:p>
        </w:tc>
      </w:tr>
      <w:tr w:rsidR="00454A29" w14:paraId="282EE6BF" w14:textId="77777777">
        <w:tc>
          <w:tcPr>
            <w:tcW w:w="567" w:type="dxa"/>
            <w:vMerge/>
          </w:tcPr>
          <w:p w14:paraId="6E1D9955" w14:textId="77777777" w:rsidR="00454A29" w:rsidRDefault="00454A29"/>
        </w:tc>
        <w:tc>
          <w:tcPr>
            <w:tcW w:w="3345" w:type="dxa"/>
            <w:vMerge/>
          </w:tcPr>
          <w:p w14:paraId="00903CA8" w14:textId="77777777" w:rsidR="00454A29" w:rsidRDefault="00454A29"/>
        </w:tc>
        <w:tc>
          <w:tcPr>
            <w:tcW w:w="1701" w:type="dxa"/>
            <w:vAlign w:val="center"/>
          </w:tcPr>
          <w:p w14:paraId="3873A65D" w14:textId="77777777" w:rsidR="00454A29" w:rsidRDefault="00454A29">
            <w:pPr>
              <w:pStyle w:val="ConsPlusNormal"/>
              <w:jc w:val="center"/>
            </w:pPr>
            <w:r>
              <w:t>2024</w:t>
            </w:r>
          </w:p>
        </w:tc>
        <w:tc>
          <w:tcPr>
            <w:tcW w:w="1417" w:type="dxa"/>
            <w:vMerge/>
          </w:tcPr>
          <w:p w14:paraId="47C21381" w14:textId="77777777" w:rsidR="00454A29" w:rsidRDefault="00454A29"/>
        </w:tc>
        <w:tc>
          <w:tcPr>
            <w:tcW w:w="2204" w:type="dxa"/>
            <w:vMerge/>
          </w:tcPr>
          <w:p w14:paraId="7B73195F" w14:textId="77777777" w:rsidR="00454A29" w:rsidRDefault="00454A29"/>
        </w:tc>
        <w:tc>
          <w:tcPr>
            <w:tcW w:w="1417" w:type="dxa"/>
            <w:vMerge/>
          </w:tcPr>
          <w:p w14:paraId="09A145BB" w14:textId="77777777" w:rsidR="00454A29" w:rsidRDefault="00454A29"/>
        </w:tc>
        <w:tc>
          <w:tcPr>
            <w:tcW w:w="2324" w:type="dxa"/>
            <w:vMerge/>
          </w:tcPr>
          <w:p w14:paraId="0AFCBFEC" w14:textId="77777777" w:rsidR="00454A29" w:rsidRDefault="00454A29"/>
        </w:tc>
        <w:tc>
          <w:tcPr>
            <w:tcW w:w="1701" w:type="dxa"/>
            <w:vAlign w:val="center"/>
          </w:tcPr>
          <w:p w14:paraId="1D5B81ED" w14:textId="77777777" w:rsidR="00454A29" w:rsidRDefault="00454A29">
            <w:pPr>
              <w:pStyle w:val="ConsPlusNormal"/>
            </w:pPr>
          </w:p>
        </w:tc>
        <w:tc>
          <w:tcPr>
            <w:tcW w:w="1814" w:type="dxa"/>
            <w:vAlign w:val="center"/>
          </w:tcPr>
          <w:p w14:paraId="5A94159F" w14:textId="77777777" w:rsidR="00454A29" w:rsidRDefault="00454A29">
            <w:pPr>
              <w:pStyle w:val="ConsPlusNormal"/>
            </w:pPr>
          </w:p>
        </w:tc>
        <w:tc>
          <w:tcPr>
            <w:tcW w:w="1701" w:type="dxa"/>
            <w:vAlign w:val="center"/>
          </w:tcPr>
          <w:p w14:paraId="7E0E5B43" w14:textId="77777777" w:rsidR="00454A29" w:rsidRDefault="00454A29">
            <w:pPr>
              <w:pStyle w:val="ConsPlusNormal"/>
            </w:pPr>
          </w:p>
        </w:tc>
        <w:tc>
          <w:tcPr>
            <w:tcW w:w="1701" w:type="dxa"/>
            <w:vAlign w:val="center"/>
          </w:tcPr>
          <w:p w14:paraId="07D005C4" w14:textId="77777777" w:rsidR="00454A29" w:rsidRDefault="00454A29">
            <w:pPr>
              <w:pStyle w:val="ConsPlusNormal"/>
            </w:pPr>
          </w:p>
        </w:tc>
        <w:tc>
          <w:tcPr>
            <w:tcW w:w="1814" w:type="dxa"/>
            <w:vAlign w:val="center"/>
          </w:tcPr>
          <w:p w14:paraId="5279DD62" w14:textId="77777777" w:rsidR="00454A29" w:rsidRDefault="00454A29">
            <w:pPr>
              <w:pStyle w:val="ConsPlusNormal"/>
            </w:pPr>
          </w:p>
        </w:tc>
      </w:tr>
      <w:tr w:rsidR="00454A29" w14:paraId="2DD4BA66" w14:textId="77777777">
        <w:tc>
          <w:tcPr>
            <w:tcW w:w="567" w:type="dxa"/>
            <w:vMerge/>
          </w:tcPr>
          <w:p w14:paraId="2A5707AD" w14:textId="77777777" w:rsidR="00454A29" w:rsidRDefault="00454A29"/>
        </w:tc>
        <w:tc>
          <w:tcPr>
            <w:tcW w:w="3345" w:type="dxa"/>
            <w:vMerge/>
          </w:tcPr>
          <w:p w14:paraId="67CE4CF7" w14:textId="77777777" w:rsidR="00454A29" w:rsidRDefault="00454A29"/>
        </w:tc>
        <w:tc>
          <w:tcPr>
            <w:tcW w:w="1701" w:type="dxa"/>
            <w:vAlign w:val="center"/>
          </w:tcPr>
          <w:p w14:paraId="706B86C1" w14:textId="77777777" w:rsidR="00454A29" w:rsidRDefault="00454A29">
            <w:pPr>
              <w:pStyle w:val="ConsPlusNormal"/>
              <w:jc w:val="center"/>
            </w:pPr>
            <w:r>
              <w:t>2025</w:t>
            </w:r>
          </w:p>
        </w:tc>
        <w:tc>
          <w:tcPr>
            <w:tcW w:w="1417" w:type="dxa"/>
            <w:vMerge/>
          </w:tcPr>
          <w:p w14:paraId="681D90F3" w14:textId="77777777" w:rsidR="00454A29" w:rsidRDefault="00454A29"/>
        </w:tc>
        <w:tc>
          <w:tcPr>
            <w:tcW w:w="2204" w:type="dxa"/>
            <w:vMerge/>
          </w:tcPr>
          <w:p w14:paraId="514E976A" w14:textId="77777777" w:rsidR="00454A29" w:rsidRDefault="00454A29"/>
        </w:tc>
        <w:tc>
          <w:tcPr>
            <w:tcW w:w="1417" w:type="dxa"/>
            <w:vMerge/>
          </w:tcPr>
          <w:p w14:paraId="4F138EE1" w14:textId="77777777" w:rsidR="00454A29" w:rsidRDefault="00454A29"/>
        </w:tc>
        <w:tc>
          <w:tcPr>
            <w:tcW w:w="2324" w:type="dxa"/>
            <w:vMerge/>
          </w:tcPr>
          <w:p w14:paraId="3C5D319E" w14:textId="77777777" w:rsidR="00454A29" w:rsidRDefault="00454A29"/>
        </w:tc>
        <w:tc>
          <w:tcPr>
            <w:tcW w:w="1701" w:type="dxa"/>
            <w:vAlign w:val="center"/>
          </w:tcPr>
          <w:p w14:paraId="5E45591B" w14:textId="77777777" w:rsidR="00454A29" w:rsidRDefault="00454A29">
            <w:pPr>
              <w:pStyle w:val="ConsPlusNormal"/>
            </w:pPr>
          </w:p>
        </w:tc>
        <w:tc>
          <w:tcPr>
            <w:tcW w:w="1814" w:type="dxa"/>
            <w:vAlign w:val="center"/>
          </w:tcPr>
          <w:p w14:paraId="2578516E" w14:textId="77777777" w:rsidR="00454A29" w:rsidRDefault="00454A29">
            <w:pPr>
              <w:pStyle w:val="ConsPlusNormal"/>
            </w:pPr>
          </w:p>
        </w:tc>
        <w:tc>
          <w:tcPr>
            <w:tcW w:w="1701" w:type="dxa"/>
            <w:vAlign w:val="center"/>
          </w:tcPr>
          <w:p w14:paraId="13D89CAA" w14:textId="77777777" w:rsidR="00454A29" w:rsidRDefault="00454A29">
            <w:pPr>
              <w:pStyle w:val="ConsPlusNormal"/>
            </w:pPr>
          </w:p>
        </w:tc>
        <w:tc>
          <w:tcPr>
            <w:tcW w:w="1701" w:type="dxa"/>
            <w:vAlign w:val="center"/>
          </w:tcPr>
          <w:p w14:paraId="77FEE5F8" w14:textId="77777777" w:rsidR="00454A29" w:rsidRDefault="00454A29">
            <w:pPr>
              <w:pStyle w:val="ConsPlusNormal"/>
            </w:pPr>
          </w:p>
        </w:tc>
        <w:tc>
          <w:tcPr>
            <w:tcW w:w="1814" w:type="dxa"/>
            <w:vAlign w:val="center"/>
          </w:tcPr>
          <w:p w14:paraId="08C94E7D" w14:textId="77777777" w:rsidR="00454A29" w:rsidRDefault="00454A29">
            <w:pPr>
              <w:pStyle w:val="ConsPlusNormal"/>
            </w:pPr>
          </w:p>
        </w:tc>
      </w:tr>
      <w:tr w:rsidR="00454A29" w14:paraId="02B56421" w14:textId="77777777">
        <w:tc>
          <w:tcPr>
            <w:tcW w:w="567" w:type="dxa"/>
            <w:vMerge/>
          </w:tcPr>
          <w:p w14:paraId="54FF9C3E" w14:textId="77777777" w:rsidR="00454A29" w:rsidRDefault="00454A29"/>
        </w:tc>
        <w:tc>
          <w:tcPr>
            <w:tcW w:w="3345" w:type="dxa"/>
            <w:vMerge/>
          </w:tcPr>
          <w:p w14:paraId="6D19D169" w14:textId="77777777" w:rsidR="00454A29" w:rsidRDefault="00454A29"/>
        </w:tc>
        <w:tc>
          <w:tcPr>
            <w:tcW w:w="1701" w:type="dxa"/>
            <w:vAlign w:val="center"/>
          </w:tcPr>
          <w:p w14:paraId="12838FA6" w14:textId="77777777" w:rsidR="00454A29" w:rsidRDefault="00454A29">
            <w:pPr>
              <w:pStyle w:val="ConsPlusNormal"/>
              <w:jc w:val="center"/>
            </w:pPr>
            <w:r>
              <w:t>2026</w:t>
            </w:r>
          </w:p>
        </w:tc>
        <w:tc>
          <w:tcPr>
            <w:tcW w:w="1417" w:type="dxa"/>
            <w:vMerge/>
          </w:tcPr>
          <w:p w14:paraId="5C2A995C" w14:textId="77777777" w:rsidR="00454A29" w:rsidRDefault="00454A29"/>
        </w:tc>
        <w:tc>
          <w:tcPr>
            <w:tcW w:w="2204" w:type="dxa"/>
            <w:vMerge/>
          </w:tcPr>
          <w:p w14:paraId="694A5841" w14:textId="77777777" w:rsidR="00454A29" w:rsidRDefault="00454A29"/>
        </w:tc>
        <w:tc>
          <w:tcPr>
            <w:tcW w:w="1417" w:type="dxa"/>
            <w:vMerge/>
          </w:tcPr>
          <w:p w14:paraId="64289CCA" w14:textId="77777777" w:rsidR="00454A29" w:rsidRDefault="00454A29"/>
        </w:tc>
        <w:tc>
          <w:tcPr>
            <w:tcW w:w="2324" w:type="dxa"/>
            <w:vMerge/>
          </w:tcPr>
          <w:p w14:paraId="0513CFCC" w14:textId="77777777" w:rsidR="00454A29" w:rsidRDefault="00454A29"/>
        </w:tc>
        <w:tc>
          <w:tcPr>
            <w:tcW w:w="1701" w:type="dxa"/>
            <w:vAlign w:val="center"/>
          </w:tcPr>
          <w:p w14:paraId="6417737D" w14:textId="77777777" w:rsidR="00454A29" w:rsidRDefault="00454A29">
            <w:pPr>
              <w:pStyle w:val="ConsPlusNormal"/>
            </w:pPr>
          </w:p>
        </w:tc>
        <w:tc>
          <w:tcPr>
            <w:tcW w:w="1814" w:type="dxa"/>
            <w:vAlign w:val="center"/>
          </w:tcPr>
          <w:p w14:paraId="72B66CF5" w14:textId="77777777" w:rsidR="00454A29" w:rsidRDefault="00454A29">
            <w:pPr>
              <w:pStyle w:val="ConsPlusNormal"/>
            </w:pPr>
          </w:p>
        </w:tc>
        <w:tc>
          <w:tcPr>
            <w:tcW w:w="1701" w:type="dxa"/>
            <w:vAlign w:val="center"/>
          </w:tcPr>
          <w:p w14:paraId="5B7ED815" w14:textId="77777777" w:rsidR="00454A29" w:rsidRDefault="00454A29">
            <w:pPr>
              <w:pStyle w:val="ConsPlusNormal"/>
            </w:pPr>
          </w:p>
        </w:tc>
        <w:tc>
          <w:tcPr>
            <w:tcW w:w="1701" w:type="dxa"/>
            <w:vAlign w:val="center"/>
          </w:tcPr>
          <w:p w14:paraId="2C3478D1" w14:textId="77777777" w:rsidR="00454A29" w:rsidRDefault="00454A29">
            <w:pPr>
              <w:pStyle w:val="ConsPlusNormal"/>
            </w:pPr>
          </w:p>
        </w:tc>
        <w:tc>
          <w:tcPr>
            <w:tcW w:w="1814" w:type="dxa"/>
            <w:vAlign w:val="center"/>
          </w:tcPr>
          <w:p w14:paraId="740BC5EF" w14:textId="77777777" w:rsidR="00454A29" w:rsidRDefault="00454A29">
            <w:pPr>
              <w:pStyle w:val="ConsPlusNormal"/>
            </w:pPr>
          </w:p>
        </w:tc>
      </w:tr>
      <w:tr w:rsidR="00454A29" w14:paraId="358D242F" w14:textId="77777777">
        <w:tc>
          <w:tcPr>
            <w:tcW w:w="21706" w:type="dxa"/>
            <w:gridSpan w:val="12"/>
            <w:vAlign w:val="center"/>
          </w:tcPr>
          <w:p w14:paraId="03CEF4AC" w14:textId="77777777" w:rsidR="00454A29" w:rsidRDefault="00454A29">
            <w:pPr>
              <w:pStyle w:val="ConsPlusNormal"/>
              <w:jc w:val="center"/>
              <w:outlineLvl w:val="2"/>
            </w:pPr>
            <w:r>
              <w:t>МО "Намский улус"</w:t>
            </w:r>
          </w:p>
        </w:tc>
      </w:tr>
      <w:tr w:rsidR="00454A29" w14:paraId="2FC8DB78" w14:textId="77777777">
        <w:tc>
          <w:tcPr>
            <w:tcW w:w="567" w:type="dxa"/>
            <w:vMerge w:val="restart"/>
            <w:vAlign w:val="center"/>
          </w:tcPr>
          <w:p w14:paraId="02B1E44D" w14:textId="77777777" w:rsidR="00454A29" w:rsidRDefault="00454A29">
            <w:pPr>
              <w:pStyle w:val="ConsPlusNormal"/>
              <w:jc w:val="center"/>
            </w:pPr>
            <w:r>
              <w:t>217</w:t>
            </w:r>
          </w:p>
        </w:tc>
        <w:tc>
          <w:tcPr>
            <w:tcW w:w="3345" w:type="dxa"/>
            <w:vMerge w:val="restart"/>
            <w:vAlign w:val="center"/>
          </w:tcPr>
          <w:p w14:paraId="7D90223B" w14:textId="77777777" w:rsidR="00454A29" w:rsidRDefault="00454A29">
            <w:pPr>
              <w:pStyle w:val="ConsPlusNormal"/>
              <w:jc w:val="center"/>
            </w:pPr>
            <w:r>
              <w:t>Школа на 220 учащихся с интернатом в с. Крест-Кытыл</w:t>
            </w:r>
          </w:p>
        </w:tc>
        <w:tc>
          <w:tcPr>
            <w:tcW w:w="1701" w:type="dxa"/>
            <w:vAlign w:val="center"/>
          </w:tcPr>
          <w:p w14:paraId="1D7E1D7C" w14:textId="77777777" w:rsidR="00454A29" w:rsidRDefault="00454A29">
            <w:pPr>
              <w:pStyle w:val="ConsPlusNormal"/>
              <w:jc w:val="center"/>
            </w:pPr>
            <w:r>
              <w:t>2020 - 2026 годы - всего</w:t>
            </w:r>
          </w:p>
        </w:tc>
        <w:tc>
          <w:tcPr>
            <w:tcW w:w="1417" w:type="dxa"/>
            <w:vMerge w:val="restart"/>
            <w:vAlign w:val="center"/>
          </w:tcPr>
          <w:p w14:paraId="0A3DE5C2" w14:textId="77777777" w:rsidR="00454A29" w:rsidRDefault="00454A29">
            <w:pPr>
              <w:pStyle w:val="ConsPlusNormal"/>
              <w:jc w:val="center"/>
            </w:pPr>
            <w:r>
              <w:t>382 473,15</w:t>
            </w:r>
          </w:p>
        </w:tc>
        <w:tc>
          <w:tcPr>
            <w:tcW w:w="2204" w:type="dxa"/>
            <w:vMerge w:val="restart"/>
            <w:vAlign w:val="center"/>
          </w:tcPr>
          <w:p w14:paraId="03A3F070" w14:textId="77777777" w:rsidR="00454A29" w:rsidRDefault="00454A29">
            <w:pPr>
              <w:pStyle w:val="ConsPlusNormal"/>
              <w:jc w:val="center"/>
            </w:pPr>
            <w:r>
              <w:t>имеется</w:t>
            </w:r>
          </w:p>
        </w:tc>
        <w:tc>
          <w:tcPr>
            <w:tcW w:w="1417" w:type="dxa"/>
            <w:vMerge w:val="restart"/>
            <w:vAlign w:val="center"/>
          </w:tcPr>
          <w:p w14:paraId="434BAB90" w14:textId="77777777" w:rsidR="00454A29" w:rsidRDefault="00454A29">
            <w:pPr>
              <w:pStyle w:val="ConsPlusNormal"/>
              <w:jc w:val="center"/>
            </w:pPr>
            <w:r>
              <w:t>220</w:t>
            </w:r>
          </w:p>
        </w:tc>
        <w:tc>
          <w:tcPr>
            <w:tcW w:w="2324" w:type="dxa"/>
            <w:vMerge w:val="restart"/>
            <w:vAlign w:val="center"/>
          </w:tcPr>
          <w:p w14:paraId="490199F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D7C6CB9" w14:textId="77777777" w:rsidR="00454A29" w:rsidRDefault="00454A29">
            <w:pPr>
              <w:pStyle w:val="ConsPlusNormal"/>
              <w:jc w:val="center"/>
            </w:pPr>
            <w:r>
              <w:t>299 918,6855</w:t>
            </w:r>
          </w:p>
        </w:tc>
        <w:tc>
          <w:tcPr>
            <w:tcW w:w="1814" w:type="dxa"/>
            <w:vAlign w:val="center"/>
          </w:tcPr>
          <w:p w14:paraId="0963E6CD" w14:textId="77777777" w:rsidR="00454A29" w:rsidRDefault="00454A29">
            <w:pPr>
              <w:pStyle w:val="ConsPlusNormal"/>
              <w:jc w:val="center"/>
            </w:pPr>
            <w:r>
              <w:t>115 363,55</w:t>
            </w:r>
          </w:p>
        </w:tc>
        <w:tc>
          <w:tcPr>
            <w:tcW w:w="1701" w:type="dxa"/>
            <w:vAlign w:val="center"/>
          </w:tcPr>
          <w:p w14:paraId="589A0809" w14:textId="77777777" w:rsidR="00454A29" w:rsidRDefault="00454A29">
            <w:pPr>
              <w:pStyle w:val="ConsPlusNormal"/>
              <w:jc w:val="center"/>
            </w:pPr>
            <w:r>
              <w:t>184 555,14</w:t>
            </w:r>
          </w:p>
        </w:tc>
        <w:tc>
          <w:tcPr>
            <w:tcW w:w="1701" w:type="dxa"/>
            <w:vAlign w:val="center"/>
          </w:tcPr>
          <w:p w14:paraId="283318A3" w14:textId="77777777" w:rsidR="00454A29" w:rsidRDefault="00454A29">
            <w:pPr>
              <w:pStyle w:val="ConsPlusNormal"/>
              <w:jc w:val="center"/>
            </w:pPr>
            <w:r>
              <w:t>-</w:t>
            </w:r>
          </w:p>
        </w:tc>
        <w:tc>
          <w:tcPr>
            <w:tcW w:w="1814" w:type="dxa"/>
            <w:vAlign w:val="center"/>
          </w:tcPr>
          <w:p w14:paraId="4B44F71C" w14:textId="77777777" w:rsidR="00454A29" w:rsidRDefault="00454A29">
            <w:pPr>
              <w:pStyle w:val="ConsPlusNormal"/>
              <w:jc w:val="center"/>
            </w:pPr>
            <w:r>
              <w:t>-</w:t>
            </w:r>
          </w:p>
        </w:tc>
      </w:tr>
      <w:tr w:rsidR="00454A29" w14:paraId="6F8DBAC2" w14:textId="77777777">
        <w:tc>
          <w:tcPr>
            <w:tcW w:w="567" w:type="dxa"/>
            <w:vMerge/>
          </w:tcPr>
          <w:p w14:paraId="47984C75" w14:textId="77777777" w:rsidR="00454A29" w:rsidRDefault="00454A29"/>
        </w:tc>
        <w:tc>
          <w:tcPr>
            <w:tcW w:w="3345" w:type="dxa"/>
            <w:vMerge/>
          </w:tcPr>
          <w:p w14:paraId="38B9F162" w14:textId="77777777" w:rsidR="00454A29" w:rsidRDefault="00454A29"/>
        </w:tc>
        <w:tc>
          <w:tcPr>
            <w:tcW w:w="1701" w:type="dxa"/>
            <w:vAlign w:val="center"/>
          </w:tcPr>
          <w:p w14:paraId="506DFE03" w14:textId="77777777" w:rsidR="00454A29" w:rsidRDefault="00454A29">
            <w:pPr>
              <w:pStyle w:val="ConsPlusNormal"/>
              <w:jc w:val="center"/>
            </w:pPr>
            <w:r>
              <w:t>2020</w:t>
            </w:r>
          </w:p>
        </w:tc>
        <w:tc>
          <w:tcPr>
            <w:tcW w:w="1417" w:type="dxa"/>
            <w:vMerge/>
          </w:tcPr>
          <w:p w14:paraId="26B6A8E2" w14:textId="77777777" w:rsidR="00454A29" w:rsidRDefault="00454A29"/>
        </w:tc>
        <w:tc>
          <w:tcPr>
            <w:tcW w:w="2204" w:type="dxa"/>
            <w:vMerge/>
          </w:tcPr>
          <w:p w14:paraId="4879C03D" w14:textId="77777777" w:rsidR="00454A29" w:rsidRDefault="00454A29"/>
        </w:tc>
        <w:tc>
          <w:tcPr>
            <w:tcW w:w="1417" w:type="dxa"/>
            <w:vMerge/>
          </w:tcPr>
          <w:p w14:paraId="01D0D1B6" w14:textId="77777777" w:rsidR="00454A29" w:rsidRDefault="00454A29"/>
        </w:tc>
        <w:tc>
          <w:tcPr>
            <w:tcW w:w="2324" w:type="dxa"/>
            <w:vMerge/>
          </w:tcPr>
          <w:p w14:paraId="4309D5A9" w14:textId="77777777" w:rsidR="00454A29" w:rsidRDefault="00454A29"/>
        </w:tc>
        <w:tc>
          <w:tcPr>
            <w:tcW w:w="1701" w:type="dxa"/>
            <w:vAlign w:val="center"/>
          </w:tcPr>
          <w:p w14:paraId="6B56841E" w14:textId="77777777" w:rsidR="00454A29" w:rsidRDefault="00454A29">
            <w:pPr>
              <w:pStyle w:val="ConsPlusNormal"/>
              <w:jc w:val="center"/>
            </w:pPr>
            <w:r>
              <w:t>89 975,61</w:t>
            </w:r>
          </w:p>
        </w:tc>
        <w:tc>
          <w:tcPr>
            <w:tcW w:w="1814" w:type="dxa"/>
            <w:vAlign w:val="center"/>
          </w:tcPr>
          <w:p w14:paraId="71176DEE" w14:textId="77777777" w:rsidR="00454A29" w:rsidRDefault="00454A29">
            <w:pPr>
              <w:pStyle w:val="ConsPlusNormal"/>
              <w:jc w:val="center"/>
            </w:pPr>
            <w:r>
              <w:t>89 975,61</w:t>
            </w:r>
          </w:p>
        </w:tc>
        <w:tc>
          <w:tcPr>
            <w:tcW w:w="1701" w:type="dxa"/>
            <w:vAlign w:val="center"/>
          </w:tcPr>
          <w:p w14:paraId="2AE12731" w14:textId="77777777" w:rsidR="00454A29" w:rsidRDefault="00454A29">
            <w:pPr>
              <w:pStyle w:val="ConsPlusNormal"/>
            </w:pPr>
          </w:p>
        </w:tc>
        <w:tc>
          <w:tcPr>
            <w:tcW w:w="1701" w:type="dxa"/>
            <w:vAlign w:val="center"/>
          </w:tcPr>
          <w:p w14:paraId="1AA953A7" w14:textId="77777777" w:rsidR="00454A29" w:rsidRDefault="00454A29">
            <w:pPr>
              <w:pStyle w:val="ConsPlusNormal"/>
            </w:pPr>
          </w:p>
        </w:tc>
        <w:tc>
          <w:tcPr>
            <w:tcW w:w="1814" w:type="dxa"/>
            <w:vAlign w:val="center"/>
          </w:tcPr>
          <w:p w14:paraId="6CFAE0C4" w14:textId="77777777" w:rsidR="00454A29" w:rsidRDefault="00454A29">
            <w:pPr>
              <w:pStyle w:val="ConsPlusNormal"/>
            </w:pPr>
          </w:p>
        </w:tc>
      </w:tr>
      <w:tr w:rsidR="00454A29" w14:paraId="7612EE8B" w14:textId="77777777">
        <w:tc>
          <w:tcPr>
            <w:tcW w:w="567" w:type="dxa"/>
            <w:vMerge/>
          </w:tcPr>
          <w:p w14:paraId="2B42928C" w14:textId="77777777" w:rsidR="00454A29" w:rsidRDefault="00454A29"/>
        </w:tc>
        <w:tc>
          <w:tcPr>
            <w:tcW w:w="3345" w:type="dxa"/>
            <w:vMerge/>
          </w:tcPr>
          <w:p w14:paraId="33FCD841" w14:textId="77777777" w:rsidR="00454A29" w:rsidRDefault="00454A29"/>
        </w:tc>
        <w:tc>
          <w:tcPr>
            <w:tcW w:w="1701" w:type="dxa"/>
            <w:vAlign w:val="center"/>
          </w:tcPr>
          <w:p w14:paraId="060115D3" w14:textId="77777777" w:rsidR="00454A29" w:rsidRDefault="00454A29">
            <w:pPr>
              <w:pStyle w:val="ConsPlusNormal"/>
              <w:jc w:val="center"/>
            </w:pPr>
            <w:r>
              <w:t>2021</w:t>
            </w:r>
          </w:p>
        </w:tc>
        <w:tc>
          <w:tcPr>
            <w:tcW w:w="1417" w:type="dxa"/>
            <w:vMerge/>
          </w:tcPr>
          <w:p w14:paraId="72AEFBD1" w14:textId="77777777" w:rsidR="00454A29" w:rsidRDefault="00454A29"/>
        </w:tc>
        <w:tc>
          <w:tcPr>
            <w:tcW w:w="2204" w:type="dxa"/>
            <w:vMerge/>
          </w:tcPr>
          <w:p w14:paraId="3DFF7BA9" w14:textId="77777777" w:rsidR="00454A29" w:rsidRDefault="00454A29"/>
        </w:tc>
        <w:tc>
          <w:tcPr>
            <w:tcW w:w="1417" w:type="dxa"/>
            <w:vMerge/>
          </w:tcPr>
          <w:p w14:paraId="0D37CA41" w14:textId="77777777" w:rsidR="00454A29" w:rsidRDefault="00454A29"/>
        </w:tc>
        <w:tc>
          <w:tcPr>
            <w:tcW w:w="2324" w:type="dxa"/>
            <w:vMerge/>
          </w:tcPr>
          <w:p w14:paraId="3056DA82" w14:textId="77777777" w:rsidR="00454A29" w:rsidRDefault="00454A29"/>
        </w:tc>
        <w:tc>
          <w:tcPr>
            <w:tcW w:w="1701" w:type="dxa"/>
            <w:vAlign w:val="center"/>
          </w:tcPr>
          <w:p w14:paraId="0F097E3A" w14:textId="77777777" w:rsidR="00454A29" w:rsidRDefault="00454A29">
            <w:pPr>
              <w:pStyle w:val="ConsPlusNormal"/>
              <w:jc w:val="center"/>
            </w:pPr>
            <w:r>
              <w:t>209 943,08</w:t>
            </w:r>
          </w:p>
        </w:tc>
        <w:tc>
          <w:tcPr>
            <w:tcW w:w="1814" w:type="dxa"/>
            <w:vAlign w:val="center"/>
          </w:tcPr>
          <w:p w14:paraId="7A3C381B" w14:textId="77777777" w:rsidR="00454A29" w:rsidRDefault="00454A29">
            <w:pPr>
              <w:pStyle w:val="ConsPlusNormal"/>
              <w:jc w:val="center"/>
            </w:pPr>
            <w:r>
              <w:t>25 387,94</w:t>
            </w:r>
          </w:p>
        </w:tc>
        <w:tc>
          <w:tcPr>
            <w:tcW w:w="1701" w:type="dxa"/>
            <w:vAlign w:val="center"/>
          </w:tcPr>
          <w:p w14:paraId="7341571F" w14:textId="77777777" w:rsidR="00454A29" w:rsidRDefault="00454A29">
            <w:pPr>
              <w:pStyle w:val="ConsPlusNormal"/>
              <w:jc w:val="center"/>
            </w:pPr>
            <w:r>
              <w:t>184 555,14</w:t>
            </w:r>
          </w:p>
        </w:tc>
        <w:tc>
          <w:tcPr>
            <w:tcW w:w="1701" w:type="dxa"/>
            <w:vAlign w:val="center"/>
          </w:tcPr>
          <w:p w14:paraId="2CB82F15" w14:textId="77777777" w:rsidR="00454A29" w:rsidRDefault="00454A29">
            <w:pPr>
              <w:pStyle w:val="ConsPlusNormal"/>
            </w:pPr>
          </w:p>
        </w:tc>
        <w:tc>
          <w:tcPr>
            <w:tcW w:w="1814" w:type="dxa"/>
            <w:vAlign w:val="center"/>
          </w:tcPr>
          <w:p w14:paraId="30F304FB" w14:textId="77777777" w:rsidR="00454A29" w:rsidRDefault="00454A29">
            <w:pPr>
              <w:pStyle w:val="ConsPlusNormal"/>
            </w:pPr>
          </w:p>
        </w:tc>
      </w:tr>
      <w:tr w:rsidR="00454A29" w14:paraId="7A9FA04D" w14:textId="77777777">
        <w:tc>
          <w:tcPr>
            <w:tcW w:w="567" w:type="dxa"/>
            <w:vMerge/>
          </w:tcPr>
          <w:p w14:paraId="4F5630C6" w14:textId="77777777" w:rsidR="00454A29" w:rsidRDefault="00454A29"/>
        </w:tc>
        <w:tc>
          <w:tcPr>
            <w:tcW w:w="3345" w:type="dxa"/>
            <w:vMerge/>
          </w:tcPr>
          <w:p w14:paraId="3899F386" w14:textId="77777777" w:rsidR="00454A29" w:rsidRDefault="00454A29"/>
        </w:tc>
        <w:tc>
          <w:tcPr>
            <w:tcW w:w="1701" w:type="dxa"/>
            <w:vAlign w:val="center"/>
          </w:tcPr>
          <w:p w14:paraId="05201C1F" w14:textId="77777777" w:rsidR="00454A29" w:rsidRDefault="00454A29">
            <w:pPr>
              <w:pStyle w:val="ConsPlusNormal"/>
              <w:jc w:val="center"/>
            </w:pPr>
            <w:r>
              <w:t>2022</w:t>
            </w:r>
          </w:p>
        </w:tc>
        <w:tc>
          <w:tcPr>
            <w:tcW w:w="1417" w:type="dxa"/>
            <w:vMerge/>
          </w:tcPr>
          <w:p w14:paraId="3BE38CD5" w14:textId="77777777" w:rsidR="00454A29" w:rsidRDefault="00454A29"/>
        </w:tc>
        <w:tc>
          <w:tcPr>
            <w:tcW w:w="2204" w:type="dxa"/>
            <w:vMerge/>
          </w:tcPr>
          <w:p w14:paraId="239E8A5E" w14:textId="77777777" w:rsidR="00454A29" w:rsidRDefault="00454A29"/>
        </w:tc>
        <w:tc>
          <w:tcPr>
            <w:tcW w:w="1417" w:type="dxa"/>
            <w:vMerge/>
          </w:tcPr>
          <w:p w14:paraId="142EFA77" w14:textId="77777777" w:rsidR="00454A29" w:rsidRDefault="00454A29"/>
        </w:tc>
        <w:tc>
          <w:tcPr>
            <w:tcW w:w="2324" w:type="dxa"/>
            <w:vMerge/>
          </w:tcPr>
          <w:p w14:paraId="694B5130" w14:textId="77777777" w:rsidR="00454A29" w:rsidRDefault="00454A29"/>
        </w:tc>
        <w:tc>
          <w:tcPr>
            <w:tcW w:w="1701" w:type="dxa"/>
            <w:vAlign w:val="center"/>
          </w:tcPr>
          <w:p w14:paraId="097693DB" w14:textId="77777777" w:rsidR="00454A29" w:rsidRDefault="00454A29">
            <w:pPr>
              <w:pStyle w:val="ConsPlusNormal"/>
            </w:pPr>
          </w:p>
        </w:tc>
        <w:tc>
          <w:tcPr>
            <w:tcW w:w="1814" w:type="dxa"/>
            <w:vAlign w:val="center"/>
          </w:tcPr>
          <w:p w14:paraId="2512DDE0" w14:textId="77777777" w:rsidR="00454A29" w:rsidRDefault="00454A29">
            <w:pPr>
              <w:pStyle w:val="ConsPlusNormal"/>
            </w:pPr>
          </w:p>
        </w:tc>
        <w:tc>
          <w:tcPr>
            <w:tcW w:w="1701" w:type="dxa"/>
            <w:vAlign w:val="center"/>
          </w:tcPr>
          <w:p w14:paraId="5FD69F62" w14:textId="77777777" w:rsidR="00454A29" w:rsidRDefault="00454A29">
            <w:pPr>
              <w:pStyle w:val="ConsPlusNormal"/>
            </w:pPr>
          </w:p>
        </w:tc>
        <w:tc>
          <w:tcPr>
            <w:tcW w:w="1701" w:type="dxa"/>
            <w:vAlign w:val="center"/>
          </w:tcPr>
          <w:p w14:paraId="47AD579B" w14:textId="77777777" w:rsidR="00454A29" w:rsidRDefault="00454A29">
            <w:pPr>
              <w:pStyle w:val="ConsPlusNormal"/>
            </w:pPr>
          </w:p>
        </w:tc>
        <w:tc>
          <w:tcPr>
            <w:tcW w:w="1814" w:type="dxa"/>
            <w:vAlign w:val="center"/>
          </w:tcPr>
          <w:p w14:paraId="6006A974" w14:textId="77777777" w:rsidR="00454A29" w:rsidRDefault="00454A29">
            <w:pPr>
              <w:pStyle w:val="ConsPlusNormal"/>
            </w:pPr>
          </w:p>
        </w:tc>
      </w:tr>
      <w:tr w:rsidR="00454A29" w14:paraId="255322AD" w14:textId="77777777">
        <w:tc>
          <w:tcPr>
            <w:tcW w:w="567" w:type="dxa"/>
            <w:vMerge/>
          </w:tcPr>
          <w:p w14:paraId="58D5B005" w14:textId="77777777" w:rsidR="00454A29" w:rsidRDefault="00454A29"/>
        </w:tc>
        <w:tc>
          <w:tcPr>
            <w:tcW w:w="3345" w:type="dxa"/>
            <w:vMerge/>
          </w:tcPr>
          <w:p w14:paraId="18CE8802" w14:textId="77777777" w:rsidR="00454A29" w:rsidRDefault="00454A29"/>
        </w:tc>
        <w:tc>
          <w:tcPr>
            <w:tcW w:w="1701" w:type="dxa"/>
            <w:vAlign w:val="center"/>
          </w:tcPr>
          <w:p w14:paraId="4644868C" w14:textId="77777777" w:rsidR="00454A29" w:rsidRDefault="00454A29">
            <w:pPr>
              <w:pStyle w:val="ConsPlusNormal"/>
              <w:jc w:val="center"/>
            </w:pPr>
            <w:r>
              <w:t>2023</w:t>
            </w:r>
          </w:p>
        </w:tc>
        <w:tc>
          <w:tcPr>
            <w:tcW w:w="1417" w:type="dxa"/>
            <w:vMerge/>
          </w:tcPr>
          <w:p w14:paraId="4DEA902F" w14:textId="77777777" w:rsidR="00454A29" w:rsidRDefault="00454A29"/>
        </w:tc>
        <w:tc>
          <w:tcPr>
            <w:tcW w:w="2204" w:type="dxa"/>
            <w:vMerge/>
          </w:tcPr>
          <w:p w14:paraId="3AAA476C" w14:textId="77777777" w:rsidR="00454A29" w:rsidRDefault="00454A29"/>
        </w:tc>
        <w:tc>
          <w:tcPr>
            <w:tcW w:w="1417" w:type="dxa"/>
            <w:vMerge/>
          </w:tcPr>
          <w:p w14:paraId="3182C6BD" w14:textId="77777777" w:rsidR="00454A29" w:rsidRDefault="00454A29"/>
        </w:tc>
        <w:tc>
          <w:tcPr>
            <w:tcW w:w="2324" w:type="dxa"/>
            <w:vMerge/>
          </w:tcPr>
          <w:p w14:paraId="010F0599" w14:textId="77777777" w:rsidR="00454A29" w:rsidRDefault="00454A29"/>
        </w:tc>
        <w:tc>
          <w:tcPr>
            <w:tcW w:w="1701" w:type="dxa"/>
            <w:vAlign w:val="center"/>
          </w:tcPr>
          <w:p w14:paraId="38567641" w14:textId="77777777" w:rsidR="00454A29" w:rsidRDefault="00454A29">
            <w:pPr>
              <w:pStyle w:val="ConsPlusNormal"/>
            </w:pPr>
          </w:p>
        </w:tc>
        <w:tc>
          <w:tcPr>
            <w:tcW w:w="1814" w:type="dxa"/>
            <w:vAlign w:val="center"/>
          </w:tcPr>
          <w:p w14:paraId="680373E1" w14:textId="77777777" w:rsidR="00454A29" w:rsidRDefault="00454A29">
            <w:pPr>
              <w:pStyle w:val="ConsPlusNormal"/>
            </w:pPr>
          </w:p>
        </w:tc>
        <w:tc>
          <w:tcPr>
            <w:tcW w:w="1701" w:type="dxa"/>
            <w:vAlign w:val="center"/>
          </w:tcPr>
          <w:p w14:paraId="678162FE" w14:textId="77777777" w:rsidR="00454A29" w:rsidRDefault="00454A29">
            <w:pPr>
              <w:pStyle w:val="ConsPlusNormal"/>
            </w:pPr>
          </w:p>
        </w:tc>
        <w:tc>
          <w:tcPr>
            <w:tcW w:w="1701" w:type="dxa"/>
            <w:vAlign w:val="center"/>
          </w:tcPr>
          <w:p w14:paraId="69BF8575" w14:textId="77777777" w:rsidR="00454A29" w:rsidRDefault="00454A29">
            <w:pPr>
              <w:pStyle w:val="ConsPlusNormal"/>
            </w:pPr>
          </w:p>
        </w:tc>
        <w:tc>
          <w:tcPr>
            <w:tcW w:w="1814" w:type="dxa"/>
            <w:vAlign w:val="center"/>
          </w:tcPr>
          <w:p w14:paraId="736FDBE0" w14:textId="77777777" w:rsidR="00454A29" w:rsidRDefault="00454A29">
            <w:pPr>
              <w:pStyle w:val="ConsPlusNormal"/>
            </w:pPr>
          </w:p>
        </w:tc>
      </w:tr>
      <w:tr w:rsidR="00454A29" w14:paraId="3695BE23" w14:textId="77777777">
        <w:tc>
          <w:tcPr>
            <w:tcW w:w="567" w:type="dxa"/>
            <w:vMerge/>
          </w:tcPr>
          <w:p w14:paraId="01661BE5" w14:textId="77777777" w:rsidR="00454A29" w:rsidRDefault="00454A29"/>
        </w:tc>
        <w:tc>
          <w:tcPr>
            <w:tcW w:w="3345" w:type="dxa"/>
            <w:vMerge/>
          </w:tcPr>
          <w:p w14:paraId="4548D9E3" w14:textId="77777777" w:rsidR="00454A29" w:rsidRDefault="00454A29"/>
        </w:tc>
        <w:tc>
          <w:tcPr>
            <w:tcW w:w="1701" w:type="dxa"/>
            <w:vAlign w:val="center"/>
          </w:tcPr>
          <w:p w14:paraId="16DBAE10" w14:textId="77777777" w:rsidR="00454A29" w:rsidRDefault="00454A29">
            <w:pPr>
              <w:pStyle w:val="ConsPlusNormal"/>
              <w:jc w:val="center"/>
            </w:pPr>
            <w:r>
              <w:t>2024</w:t>
            </w:r>
          </w:p>
        </w:tc>
        <w:tc>
          <w:tcPr>
            <w:tcW w:w="1417" w:type="dxa"/>
            <w:vMerge/>
          </w:tcPr>
          <w:p w14:paraId="04B15D87" w14:textId="77777777" w:rsidR="00454A29" w:rsidRDefault="00454A29"/>
        </w:tc>
        <w:tc>
          <w:tcPr>
            <w:tcW w:w="2204" w:type="dxa"/>
            <w:vMerge/>
          </w:tcPr>
          <w:p w14:paraId="235DC2FC" w14:textId="77777777" w:rsidR="00454A29" w:rsidRDefault="00454A29"/>
        </w:tc>
        <w:tc>
          <w:tcPr>
            <w:tcW w:w="1417" w:type="dxa"/>
            <w:vMerge/>
          </w:tcPr>
          <w:p w14:paraId="5F0E0733" w14:textId="77777777" w:rsidR="00454A29" w:rsidRDefault="00454A29"/>
        </w:tc>
        <w:tc>
          <w:tcPr>
            <w:tcW w:w="2324" w:type="dxa"/>
            <w:vMerge/>
          </w:tcPr>
          <w:p w14:paraId="38371E92" w14:textId="77777777" w:rsidR="00454A29" w:rsidRDefault="00454A29"/>
        </w:tc>
        <w:tc>
          <w:tcPr>
            <w:tcW w:w="1701" w:type="dxa"/>
            <w:vAlign w:val="center"/>
          </w:tcPr>
          <w:p w14:paraId="359CA839" w14:textId="77777777" w:rsidR="00454A29" w:rsidRDefault="00454A29">
            <w:pPr>
              <w:pStyle w:val="ConsPlusNormal"/>
            </w:pPr>
          </w:p>
        </w:tc>
        <w:tc>
          <w:tcPr>
            <w:tcW w:w="1814" w:type="dxa"/>
            <w:vAlign w:val="center"/>
          </w:tcPr>
          <w:p w14:paraId="55EE5CBC" w14:textId="77777777" w:rsidR="00454A29" w:rsidRDefault="00454A29">
            <w:pPr>
              <w:pStyle w:val="ConsPlusNormal"/>
            </w:pPr>
          </w:p>
        </w:tc>
        <w:tc>
          <w:tcPr>
            <w:tcW w:w="1701" w:type="dxa"/>
            <w:vAlign w:val="center"/>
          </w:tcPr>
          <w:p w14:paraId="346883D2" w14:textId="77777777" w:rsidR="00454A29" w:rsidRDefault="00454A29">
            <w:pPr>
              <w:pStyle w:val="ConsPlusNormal"/>
            </w:pPr>
          </w:p>
        </w:tc>
        <w:tc>
          <w:tcPr>
            <w:tcW w:w="1701" w:type="dxa"/>
            <w:vAlign w:val="center"/>
          </w:tcPr>
          <w:p w14:paraId="2895DBDE" w14:textId="77777777" w:rsidR="00454A29" w:rsidRDefault="00454A29">
            <w:pPr>
              <w:pStyle w:val="ConsPlusNormal"/>
            </w:pPr>
          </w:p>
        </w:tc>
        <w:tc>
          <w:tcPr>
            <w:tcW w:w="1814" w:type="dxa"/>
            <w:vAlign w:val="center"/>
          </w:tcPr>
          <w:p w14:paraId="18209F8E" w14:textId="77777777" w:rsidR="00454A29" w:rsidRDefault="00454A29">
            <w:pPr>
              <w:pStyle w:val="ConsPlusNormal"/>
            </w:pPr>
          </w:p>
        </w:tc>
      </w:tr>
      <w:tr w:rsidR="00454A29" w14:paraId="3E38BF3D" w14:textId="77777777">
        <w:tc>
          <w:tcPr>
            <w:tcW w:w="567" w:type="dxa"/>
            <w:vMerge/>
          </w:tcPr>
          <w:p w14:paraId="29AC1D5B" w14:textId="77777777" w:rsidR="00454A29" w:rsidRDefault="00454A29"/>
        </w:tc>
        <w:tc>
          <w:tcPr>
            <w:tcW w:w="3345" w:type="dxa"/>
            <w:vMerge/>
          </w:tcPr>
          <w:p w14:paraId="4AEF0154" w14:textId="77777777" w:rsidR="00454A29" w:rsidRDefault="00454A29"/>
        </w:tc>
        <w:tc>
          <w:tcPr>
            <w:tcW w:w="1701" w:type="dxa"/>
            <w:vAlign w:val="center"/>
          </w:tcPr>
          <w:p w14:paraId="4E12C21D" w14:textId="77777777" w:rsidR="00454A29" w:rsidRDefault="00454A29">
            <w:pPr>
              <w:pStyle w:val="ConsPlusNormal"/>
              <w:jc w:val="center"/>
            </w:pPr>
            <w:r>
              <w:t>2025</w:t>
            </w:r>
          </w:p>
        </w:tc>
        <w:tc>
          <w:tcPr>
            <w:tcW w:w="1417" w:type="dxa"/>
            <w:vMerge/>
          </w:tcPr>
          <w:p w14:paraId="40ADC121" w14:textId="77777777" w:rsidR="00454A29" w:rsidRDefault="00454A29"/>
        </w:tc>
        <w:tc>
          <w:tcPr>
            <w:tcW w:w="2204" w:type="dxa"/>
            <w:vMerge/>
          </w:tcPr>
          <w:p w14:paraId="64D6ECB9" w14:textId="77777777" w:rsidR="00454A29" w:rsidRDefault="00454A29"/>
        </w:tc>
        <w:tc>
          <w:tcPr>
            <w:tcW w:w="1417" w:type="dxa"/>
            <w:vMerge/>
          </w:tcPr>
          <w:p w14:paraId="244457F7" w14:textId="77777777" w:rsidR="00454A29" w:rsidRDefault="00454A29"/>
        </w:tc>
        <w:tc>
          <w:tcPr>
            <w:tcW w:w="2324" w:type="dxa"/>
            <w:vMerge/>
          </w:tcPr>
          <w:p w14:paraId="6CEF61A4" w14:textId="77777777" w:rsidR="00454A29" w:rsidRDefault="00454A29"/>
        </w:tc>
        <w:tc>
          <w:tcPr>
            <w:tcW w:w="1701" w:type="dxa"/>
            <w:vAlign w:val="center"/>
          </w:tcPr>
          <w:p w14:paraId="3681B249" w14:textId="77777777" w:rsidR="00454A29" w:rsidRDefault="00454A29">
            <w:pPr>
              <w:pStyle w:val="ConsPlusNormal"/>
            </w:pPr>
          </w:p>
        </w:tc>
        <w:tc>
          <w:tcPr>
            <w:tcW w:w="1814" w:type="dxa"/>
            <w:vAlign w:val="center"/>
          </w:tcPr>
          <w:p w14:paraId="28A16EF7" w14:textId="77777777" w:rsidR="00454A29" w:rsidRDefault="00454A29">
            <w:pPr>
              <w:pStyle w:val="ConsPlusNormal"/>
            </w:pPr>
          </w:p>
        </w:tc>
        <w:tc>
          <w:tcPr>
            <w:tcW w:w="1701" w:type="dxa"/>
            <w:vAlign w:val="center"/>
          </w:tcPr>
          <w:p w14:paraId="542AC867" w14:textId="77777777" w:rsidR="00454A29" w:rsidRDefault="00454A29">
            <w:pPr>
              <w:pStyle w:val="ConsPlusNormal"/>
            </w:pPr>
          </w:p>
        </w:tc>
        <w:tc>
          <w:tcPr>
            <w:tcW w:w="1701" w:type="dxa"/>
            <w:vAlign w:val="center"/>
          </w:tcPr>
          <w:p w14:paraId="08570CFC" w14:textId="77777777" w:rsidR="00454A29" w:rsidRDefault="00454A29">
            <w:pPr>
              <w:pStyle w:val="ConsPlusNormal"/>
            </w:pPr>
          </w:p>
        </w:tc>
        <w:tc>
          <w:tcPr>
            <w:tcW w:w="1814" w:type="dxa"/>
            <w:vAlign w:val="center"/>
          </w:tcPr>
          <w:p w14:paraId="0E99D2CD" w14:textId="77777777" w:rsidR="00454A29" w:rsidRDefault="00454A29">
            <w:pPr>
              <w:pStyle w:val="ConsPlusNormal"/>
            </w:pPr>
          </w:p>
        </w:tc>
      </w:tr>
      <w:tr w:rsidR="00454A29" w14:paraId="0751955F" w14:textId="77777777">
        <w:tc>
          <w:tcPr>
            <w:tcW w:w="567" w:type="dxa"/>
            <w:vMerge/>
          </w:tcPr>
          <w:p w14:paraId="220D6CEA" w14:textId="77777777" w:rsidR="00454A29" w:rsidRDefault="00454A29"/>
        </w:tc>
        <w:tc>
          <w:tcPr>
            <w:tcW w:w="3345" w:type="dxa"/>
            <w:vMerge/>
          </w:tcPr>
          <w:p w14:paraId="78181A1B" w14:textId="77777777" w:rsidR="00454A29" w:rsidRDefault="00454A29"/>
        </w:tc>
        <w:tc>
          <w:tcPr>
            <w:tcW w:w="1701" w:type="dxa"/>
            <w:vAlign w:val="center"/>
          </w:tcPr>
          <w:p w14:paraId="4FAE7A7D" w14:textId="77777777" w:rsidR="00454A29" w:rsidRDefault="00454A29">
            <w:pPr>
              <w:pStyle w:val="ConsPlusNormal"/>
              <w:jc w:val="center"/>
            </w:pPr>
            <w:r>
              <w:t>2026</w:t>
            </w:r>
          </w:p>
        </w:tc>
        <w:tc>
          <w:tcPr>
            <w:tcW w:w="1417" w:type="dxa"/>
            <w:vMerge/>
          </w:tcPr>
          <w:p w14:paraId="739DF0D6" w14:textId="77777777" w:rsidR="00454A29" w:rsidRDefault="00454A29"/>
        </w:tc>
        <w:tc>
          <w:tcPr>
            <w:tcW w:w="2204" w:type="dxa"/>
            <w:vMerge/>
          </w:tcPr>
          <w:p w14:paraId="0D2D435F" w14:textId="77777777" w:rsidR="00454A29" w:rsidRDefault="00454A29"/>
        </w:tc>
        <w:tc>
          <w:tcPr>
            <w:tcW w:w="1417" w:type="dxa"/>
            <w:vMerge/>
          </w:tcPr>
          <w:p w14:paraId="1C7E5048" w14:textId="77777777" w:rsidR="00454A29" w:rsidRDefault="00454A29"/>
        </w:tc>
        <w:tc>
          <w:tcPr>
            <w:tcW w:w="2324" w:type="dxa"/>
            <w:vMerge/>
          </w:tcPr>
          <w:p w14:paraId="34DA998C" w14:textId="77777777" w:rsidR="00454A29" w:rsidRDefault="00454A29"/>
        </w:tc>
        <w:tc>
          <w:tcPr>
            <w:tcW w:w="1701" w:type="dxa"/>
            <w:vAlign w:val="center"/>
          </w:tcPr>
          <w:p w14:paraId="41415CF6" w14:textId="77777777" w:rsidR="00454A29" w:rsidRDefault="00454A29">
            <w:pPr>
              <w:pStyle w:val="ConsPlusNormal"/>
            </w:pPr>
          </w:p>
        </w:tc>
        <w:tc>
          <w:tcPr>
            <w:tcW w:w="1814" w:type="dxa"/>
            <w:vAlign w:val="center"/>
          </w:tcPr>
          <w:p w14:paraId="03981FB0" w14:textId="77777777" w:rsidR="00454A29" w:rsidRDefault="00454A29">
            <w:pPr>
              <w:pStyle w:val="ConsPlusNormal"/>
            </w:pPr>
          </w:p>
        </w:tc>
        <w:tc>
          <w:tcPr>
            <w:tcW w:w="1701" w:type="dxa"/>
            <w:vAlign w:val="center"/>
          </w:tcPr>
          <w:p w14:paraId="7E046000" w14:textId="77777777" w:rsidR="00454A29" w:rsidRDefault="00454A29">
            <w:pPr>
              <w:pStyle w:val="ConsPlusNormal"/>
            </w:pPr>
          </w:p>
        </w:tc>
        <w:tc>
          <w:tcPr>
            <w:tcW w:w="1701" w:type="dxa"/>
            <w:vAlign w:val="center"/>
          </w:tcPr>
          <w:p w14:paraId="08E3E1A1" w14:textId="77777777" w:rsidR="00454A29" w:rsidRDefault="00454A29">
            <w:pPr>
              <w:pStyle w:val="ConsPlusNormal"/>
            </w:pPr>
          </w:p>
        </w:tc>
        <w:tc>
          <w:tcPr>
            <w:tcW w:w="1814" w:type="dxa"/>
            <w:vAlign w:val="center"/>
          </w:tcPr>
          <w:p w14:paraId="29539A42" w14:textId="77777777" w:rsidR="00454A29" w:rsidRDefault="00454A29">
            <w:pPr>
              <w:pStyle w:val="ConsPlusNormal"/>
            </w:pPr>
          </w:p>
        </w:tc>
      </w:tr>
      <w:tr w:rsidR="00454A29" w14:paraId="78229556" w14:textId="77777777">
        <w:tc>
          <w:tcPr>
            <w:tcW w:w="567" w:type="dxa"/>
            <w:vMerge w:val="restart"/>
            <w:vAlign w:val="center"/>
          </w:tcPr>
          <w:p w14:paraId="5FDC043F" w14:textId="77777777" w:rsidR="00454A29" w:rsidRDefault="00454A29">
            <w:pPr>
              <w:pStyle w:val="ConsPlusNormal"/>
            </w:pPr>
          </w:p>
        </w:tc>
        <w:tc>
          <w:tcPr>
            <w:tcW w:w="3345" w:type="dxa"/>
            <w:vMerge w:val="restart"/>
            <w:vAlign w:val="center"/>
          </w:tcPr>
          <w:p w14:paraId="169BE192" w14:textId="77777777" w:rsidR="00454A29" w:rsidRDefault="00454A29">
            <w:pPr>
              <w:pStyle w:val="ConsPlusNormal"/>
              <w:jc w:val="center"/>
            </w:pPr>
            <w:r>
              <w:t xml:space="preserve">Подпрограмма 10. Укрепление </w:t>
            </w:r>
            <w:r>
              <w:lastRenderedPageBreak/>
              <w:t>материально-технической базы организаций образования</w:t>
            </w:r>
          </w:p>
        </w:tc>
        <w:tc>
          <w:tcPr>
            <w:tcW w:w="1701" w:type="dxa"/>
            <w:vAlign w:val="center"/>
          </w:tcPr>
          <w:p w14:paraId="75295B1A" w14:textId="77777777" w:rsidR="00454A29" w:rsidRDefault="00454A29">
            <w:pPr>
              <w:pStyle w:val="ConsPlusNormal"/>
              <w:jc w:val="center"/>
            </w:pPr>
            <w:r>
              <w:lastRenderedPageBreak/>
              <w:t xml:space="preserve">2020 - 2026 годы </w:t>
            </w:r>
            <w:r>
              <w:lastRenderedPageBreak/>
              <w:t>- всего</w:t>
            </w:r>
          </w:p>
        </w:tc>
        <w:tc>
          <w:tcPr>
            <w:tcW w:w="1417" w:type="dxa"/>
            <w:vMerge w:val="restart"/>
            <w:vAlign w:val="center"/>
          </w:tcPr>
          <w:p w14:paraId="4E98F612" w14:textId="77777777" w:rsidR="00454A29" w:rsidRDefault="00454A29">
            <w:pPr>
              <w:pStyle w:val="ConsPlusNormal"/>
              <w:jc w:val="center"/>
            </w:pPr>
            <w:r>
              <w:lastRenderedPageBreak/>
              <w:t>х</w:t>
            </w:r>
          </w:p>
        </w:tc>
        <w:tc>
          <w:tcPr>
            <w:tcW w:w="2204" w:type="dxa"/>
            <w:vMerge w:val="restart"/>
            <w:vAlign w:val="center"/>
          </w:tcPr>
          <w:p w14:paraId="5D24F3AB" w14:textId="77777777" w:rsidR="00454A29" w:rsidRDefault="00454A29">
            <w:pPr>
              <w:pStyle w:val="ConsPlusNormal"/>
              <w:jc w:val="center"/>
            </w:pPr>
            <w:r>
              <w:t>х</w:t>
            </w:r>
          </w:p>
        </w:tc>
        <w:tc>
          <w:tcPr>
            <w:tcW w:w="1417" w:type="dxa"/>
            <w:vMerge w:val="restart"/>
            <w:vAlign w:val="center"/>
          </w:tcPr>
          <w:p w14:paraId="6DA4CCDF" w14:textId="77777777" w:rsidR="00454A29" w:rsidRDefault="00454A29">
            <w:pPr>
              <w:pStyle w:val="ConsPlusNormal"/>
              <w:jc w:val="center"/>
            </w:pPr>
            <w:r>
              <w:t>13 779</w:t>
            </w:r>
          </w:p>
        </w:tc>
        <w:tc>
          <w:tcPr>
            <w:tcW w:w="2324" w:type="dxa"/>
            <w:vMerge w:val="restart"/>
            <w:vAlign w:val="center"/>
          </w:tcPr>
          <w:p w14:paraId="66547A79" w14:textId="77777777" w:rsidR="00454A29" w:rsidRDefault="00454A29">
            <w:pPr>
              <w:pStyle w:val="ConsPlusNormal"/>
              <w:jc w:val="center"/>
            </w:pPr>
            <w:r>
              <w:t>х</w:t>
            </w:r>
          </w:p>
        </w:tc>
        <w:tc>
          <w:tcPr>
            <w:tcW w:w="1701" w:type="dxa"/>
            <w:vAlign w:val="center"/>
          </w:tcPr>
          <w:p w14:paraId="51EB70B6" w14:textId="77777777" w:rsidR="00454A29" w:rsidRDefault="00454A29">
            <w:pPr>
              <w:pStyle w:val="ConsPlusNormal"/>
              <w:jc w:val="center"/>
            </w:pPr>
            <w:r>
              <w:t>26 925 688,60</w:t>
            </w:r>
          </w:p>
        </w:tc>
        <w:tc>
          <w:tcPr>
            <w:tcW w:w="1814" w:type="dxa"/>
            <w:vAlign w:val="center"/>
          </w:tcPr>
          <w:p w14:paraId="504FE084" w14:textId="77777777" w:rsidR="00454A29" w:rsidRDefault="00454A29">
            <w:pPr>
              <w:pStyle w:val="ConsPlusNormal"/>
              <w:jc w:val="center"/>
            </w:pPr>
            <w:r>
              <w:t>20 108 516,95</w:t>
            </w:r>
          </w:p>
        </w:tc>
        <w:tc>
          <w:tcPr>
            <w:tcW w:w="1701" w:type="dxa"/>
            <w:vAlign w:val="center"/>
          </w:tcPr>
          <w:p w14:paraId="2364FF19" w14:textId="77777777" w:rsidR="00454A29" w:rsidRDefault="00454A29">
            <w:pPr>
              <w:pStyle w:val="ConsPlusNormal"/>
              <w:jc w:val="center"/>
            </w:pPr>
            <w:r>
              <w:t>2 563 504,50</w:t>
            </w:r>
          </w:p>
        </w:tc>
        <w:tc>
          <w:tcPr>
            <w:tcW w:w="1701" w:type="dxa"/>
            <w:vAlign w:val="center"/>
          </w:tcPr>
          <w:p w14:paraId="749B1F12" w14:textId="77777777" w:rsidR="00454A29" w:rsidRDefault="00454A29">
            <w:pPr>
              <w:pStyle w:val="ConsPlusNormal"/>
              <w:jc w:val="center"/>
            </w:pPr>
            <w:r>
              <w:t>3 010 441,94</w:t>
            </w:r>
          </w:p>
        </w:tc>
        <w:tc>
          <w:tcPr>
            <w:tcW w:w="1814" w:type="dxa"/>
            <w:vAlign w:val="center"/>
          </w:tcPr>
          <w:p w14:paraId="7E03F031" w14:textId="77777777" w:rsidR="00454A29" w:rsidRDefault="00454A29">
            <w:pPr>
              <w:pStyle w:val="ConsPlusNormal"/>
              <w:jc w:val="center"/>
            </w:pPr>
            <w:r>
              <w:t>1 243 225,21</w:t>
            </w:r>
          </w:p>
        </w:tc>
      </w:tr>
      <w:tr w:rsidR="00454A29" w14:paraId="669DFF31" w14:textId="77777777">
        <w:tc>
          <w:tcPr>
            <w:tcW w:w="567" w:type="dxa"/>
            <w:vMerge/>
          </w:tcPr>
          <w:p w14:paraId="61C80917" w14:textId="77777777" w:rsidR="00454A29" w:rsidRDefault="00454A29"/>
        </w:tc>
        <w:tc>
          <w:tcPr>
            <w:tcW w:w="3345" w:type="dxa"/>
            <w:vMerge/>
          </w:tcPr>
          <w:p w14:paraId="52119324" w14:textId="77777777" w:rsidR="00454A29" w:rsidRDefault="00454A29"/>
        </w:tc>
        <w:tc>
          <w:tcPr>
            <w:tcW w:w="1701" w:type="dxa"/>
            <w:vAlign w:val="center"/>
          </w:tcPr>
          <w:p w14:paraId="0746B97A" w14:textId="77777777" w:rsidR="00454A29" w:rsidRDefault="00454A29">
            <w:pPr>
              <w:pStyle w:val="ConsPlusNormal"/>
              <w:jc w:val="center"/>
            </w:pPr>
            <w:r>
              <w:t>2020</w:t>
            </w:r>
          </w:p>
        </w:tc>
        <w:tc>
          <w:tcPr>
            <w:tcW w:w="1417" w:type="dxa"/>
            <w:vMerge/>
          </w:tcPr>
          <w:p w14:paraId="3F46384A" w14:textId="77777777" w:rsidR="00454A29" w:rsidRDefault="00454A29"/>
        </w:tc>
        <w:tc>
          <w:tcPr>
            <w:tcW w:w="2204" w:type="dxa"/>
            <w:vMerge/>
          </w:tcPr>
          <w:p w14:paraId="03EA46DA" w14:textId="77777777" w:rsidR="00454A29" w:rsidRDefault="00454A29"/>
        </w:tc>
        <w:tc>
          <w:tcPr>
            <w:tcW w:w="1417" w:type="dxa"/>
            <w:vMerge/>
          </w:tcPr>
          <w:p w14:paraId="4DACD61D" w14:textId="77777777" w:rsidR="00454A29" w:rsidRDefault="00454A29"/>
        </w:tc>
        <w:tc>
          <w:tcPr>
            <w:tcW w:w="2324" w:type="dxa"/>
            <w:vMerge/>
          </w:tcPr>
          <w:p w14:paraId="7A9EE3DC" w14:textId="77777777" w:rsidR="00454A29" w:rsidRDefault="00454A29"/>
        </w:tc>
        <w:tc>
          <w:tcPr>
            <w:tcW w:w="1701" w:type="dxa"/>
            <w:vAlign w:val="center"/>
          </w:tcPr>
          <w:p w14:paraId="3C985A25" w14:textId="77777777" w:rsidR="00454A29" w:rsidRDefault="00454A29">
            <w:pPr>
              <w:pStyle w:val="ConsPlusNormal"/>
              <w:jc w:val="center"/>
            </w:pPr>
            <w:r>
              <w:t>3 392 059,24</w:t>
            </w:r>
          </w:p>
        </w:tc>
        <w:tc>
          <w:tcPr>
            <w:tcW w:w="1814" w:type="dxa"/>
            <w:vAlign w:val="center"/>
          </w:tcPr>
          <w:p w14:paraId="3BC71495" w14:textId="77777777" w:rsidR="00454A29" w:rsidRDefault="00454A29">
            <w:pPr>
              <w:pStyle w:val="ConsPlusNormal"/>
              <w:jc w:val="center"/>
            </w:pPr>
            <w:r>
              <w:t>1 334 992,73</w:t>
            </w:r>
          </w:p>
        </w:tc>
        <w:tc>
          <w:tcPr>
            <w:tcW w:w="1701" w:type="dxa"/>
            <w:vAlign w:val="center"/>
          </w:tcPr>
          <w:p w14:paraId="5F6D7B7B" w14:textId="77777777" w:rsidR="00454A29" w:rsidRDefault="00454A29">
            <w:pPr>
              <w:pStyle w:val="ConsPlusNormal"/>
              <w:jc w:val="center"/>
            </w:pPr>
            <w:r>
              <w:t>946 237,40</w:t>
            </w:r>
          </w:p>
        </w:tc>
        <w:tc>
          <w:tcPr>
            <w:tcW w:w="1701" w:type="dxa"/>
            <w:vAlign w:val="center"/>
          </w:tcPr>
          <w:p w14:paraId="06271858" w14:textId="77777777" w:rsidR="00454A29" w:rsidRDefault="00454A29">
            <w:pPr>
              <w:pStyle w:val="ConsPlusNormal"/>
              <w:jc w:val="center"/>
            </w:pPr>
            <w:r>
              <w:t>415 801,42</w:t>
            </w:r>
          </w:p>
        </w:tc>
        <w:tc>
          <w:tcPr>
            <w:tcW w:w="1814" w:type="dxa"/>
            <w:vAlign w:val="center"/>
          </w:tcPr>
          <w:p w14:paraId="24DDA8B5" w14:textId="77777777" w:rsidR="00454A29" w:rsidRDefault="00454A29">
            <w:pPr>
              <w:pStyle w:val="ConsPlusNormal"/>
              <w:jc w:val="center"/>
            </w:pPr>
            <w:r>
              <w:t>695 027,69</w:t>
            </w:r>
          </w:p>
        </w:tc>
      </w:tr>
      <w:tr w:rsidR="00454A29" w14:paraId="56475EAE" w14:textId="77777777">
        <w:tc>
          <w:tcPr>
            <w:tcW w:w="567" w:type="dxa"/>
            <w:vMerge/>
          </w:tcPr>
          <w:p w14:paraId="5653FA07" w14:textId="77777777" w:rsidR="00454A29" w:rsidRDefault="00454A29"/>
        </w:tc>
        <w:tc>
          <w:tcPr>
            <w:tcW w:w="3345" w:type="dxa"/>
            <w:vMerge/>
          </w:tcPr>
          <w:p w14:paraId="6EABC8B7" w14:textId="77777777" w:rsidR="00454A29" w:rsidRDefault="00454A29"/>
        </w:tc>
        <w:tc>
          <w:tcPr>
            <w:tcW w:w="1701" w:type="dxa"/>
            <w:vAlign w:val="center"/>
          </w:tcPr>
          <w:p w14:paraId="4F3FFD14" w14:textId="77777777" w:rsidR="00454A29" w:rsidRDefault="00454A29">
            <w:pPr>
              <w:pStyle w:val="ConsPlusNormal"/>
              <w:jc w:val="center"/>
            </w:pPr>
            <w:r>
              <w:t>2021</w:t>
            </w:r>
          </w:p>
        </w:tc>
        <w:tc>
          <w:tcPr>
            <w:tcW w:w="1417" w:type="dxa"/>
            <w:vMerge/>
          </w:tcPr>
          <w:p w14:paraId="64DCD7FB" w14:textId="77777777" w:rsidR="00454A29" w:rsidRDefault="00454A29"/>
        </w:tc>
        <w:tc>
          <w:tcPr>
            <w:tcW w:w="2204" w:type="dxa"/>
            <w:vMerge/>
          </w:tcPr>
          <w:p w14:paraId="0756B1B9" w14:textId="77777777" w:rsidR="00454A29" w:rsidRDefault="00454A29"/>
        </w:tc>
        <w:tc>
          <w:tcPr>
            <w:tcW w:w="1417" w:type="dxa"/>
            <w:vMerge/>
          </w:tcPr>
          <w:p w14:paraId="23ECAB26" w14:textId="77777777" w:rsidR="00454A29" w:rsidRDefault="00454A29"/>
        </w:tc>
        <w:tc>
          <w:tcPr>
            <w:tcW w:w="2324" w:type="dxa"/>
            <w:vMerge/>
          </w:tcPr>
          <w:p w14:paraId="496E9956" w14:textId="77777777" w:rsidR="00454A29" w:rsidRDefault="00454A29"/>
        </w:tc>
        <w:tc>
          <w:tcPr>
            <w:tcW w:w="1701" w:type="dxa"/>
            <w:vAlign w:val="center"/>
          </w:tcPr>
          <w:p w14:paraId="32FD4B7D" w14:textId="77777777" w:rsidR="00454A29" w:rsidRDefault="00454A29">
            <w:pPr>
              <w:pStyle w:val="ConsPlusNormal"/>
              <w:jc w:val="center"/>
            </w:pPr>
            <w:r>
              <w:t>3 792 316,69</w:t>
            </w:r>
          </w:p>
        </w:tc>
        <w:tc>
          <w:tcPr>
            <w:tcW w:w="1814" w:type="dxa"/>
            <w:vAlign w:val="center"/>
          </w:tcPr>
          <w:p w14:paraId="3A45CCAF" w14:textId="77777777" w:rsidR="00454A29" w:rsidRDefault="00454A29">
            <w:pPr>
              <w:pStyle w:val="ConsPlusNormal"/>
              <w:jc w:val="center"/>
            </w:pPr>
            <w:r>
              <w:t>1 315 265,85</w:t>
            </w:r>
          </w:p>
        </w:tc>
        <w:tc>
          <w:tcPr>
            <w:tcW w:w="1701" w:type="dxa"/>
            <w:vAlign w:val="center"/>
          </w:tcPr>
          <w:p w14:paraId="22CA19FC" w14:textId="77777777" w:rsidR="00454A29" w:rsidRDefault="00454A29">
            <w:pPr>
              <w:pStyle w:val="ConsPlusNormal"/>
              <w:jc w:val="center"/>
            </w:pPr>
            <w:r>
              <w:t>1 480 417,10</w:t>
            </w:r>
          </w:p>
        </w:tc>
        <w:tc>
          <w:tcPr>
            <w:tcW w:w="1701" w:type="dxa"/>
            <w:vAlign w:val="center"/>
          </w:tcPr>
          <w:p w14:paraId="3E53AC2B" w14:textId="77777777" w:rsidR="00454A29" w:rsidRDefault="00454A29">
            <w:pPr>
              <w:pStyle w:val="ConsPlusNormal"/>
              <w:jc w:val="center"/>
            </w:pPr>
            <w:r>
              <w:t>448 436,22</w:t>
            </w:r>
          </w:p>
        </w:tc>
        <w:tc>
          <w:tcPr>
            <w:tcW w:w="1814" w:type="dxa"/>
            <w:vAlign w:val="center"/>
          </w:tcPr>
          <w:p w14:paraId="2B00BC5F" w14:textId="77777777" w:rsidR="00454A29" w:rsidRDefault="00454A29">
            <w:pPr>
              <w:pStyle w:val="ConsPlusNormal"/>
              <w:jc w:val="center"/>
            </w:pPr>
            <w:r>
              <w:t>548 197,52</w:t>
            </w:r>
          </w:p>
        </w:tc>
      </w:tr>
      <w:tr w:rsidR="00454A29" w14:paraId="24B3E929" w14:textId="77777777">
        <w:tc>
          <w:tcPr>
            <w:tcW w:w="567" w:type="dxa"/>
            <w:vMerge/>
          </w:tcPr>
          <w:p w14:paraId="0B080EB5" w14:textId="77777777" w:rsidR="00454A29" w:rsidRDefault="00454A29"/>
        </w:tc>
        <w:tc>
          <w:tcPr>
            <w:tcW w:w="3345" w:type="dxa"/>
            <w:vMerge/>
          </w:tcPr>
          <w:p w14:paraId="4F28F2E5" w14:textId="77777777" w:rsidR="00454A29" w:rsidRDefault="00454A29"/>
        </w:tc>
        <w:tc>
          <w:tcPr>
            <w:tcW w:w="1701" w:type="dxa"/>
            <w:vAlign w:val="center"/>
          </w:tcPr>
          <w:p w14:paraId="70FB1D6B" w14:textId="77777777" w:rsidR="00454A29" w:rsidRDefault="00454A29">
            <w:pPr>
              <w:pStyle w:val="ConsPlusNormal"/>
              <w:jc w:val="center"/>
            </w:pPr>
            <w:r>
              <w:t>2022</w:t>
            </w:r>
          </w:p>
        </w:tc>
        <w:tc>
          <w:tcPr>
            <w:tcW w:w="1417" w:type="dxa"/>
            <w:vMerge/>
          </w:tcPr>
          <w:p w14:paraId="6CA49717" w14:textId="77777777" w:rsidR="00454A29" w:rsidRDefault="00454A29"/>
        </w:tc>
        <w:tc>
          <w:tcPr>
            <w:tcW w:w="2204" w:type="dxa"/>
            <w:vMerge/>
          </w:tcPr>
          <w:p w14:paraId="01454C10" w14:textId="77777777" w:rsidR="00454A29" w:rsidRDefault="00454A29"/>
        </w:tc>
        <w:tc>
          <w:tcPr>
            <w:tcW w:w="1417" w:type="dxa"/>
            <w:vMerge/>
          </w:tcPr>
          <w:p w14:paraId="5A83BB48" w14:textId="77777777" w:rsidR="00454A29" w:rsidRDefault="00454A29"/>
        </w:tc>
        <w:tc>
          <w:tcPr>
            <w:tcW w:w="2324" w:type="dxa"/>
            <w:vMerge/>
          </w:tcPr>
          <w:p w14:paraId="0AB49F37" w14:textId="77777777" w:rsidR="00454A29" w:rsidRDefault="00454A29"/>
        </w:tc>
        <w:tc>
          <w:tcPr>
            <w:tcW w:w="1701" w:type="dxa"/>
            <w:vAlign w:val="center"/>
          </w:tcPr>
          <w:p w14:paraId="4E4CA8B1" w14:textId="77777777" w:rsidR="00454A29" w:rsidRDefault="00454A29">
            <w:pPr>
              <w:pStyle w:val="ConsPlusNormal"/>
              <w:jc w:val="center"/>
            </w:pPr>
            <w:r>
              <w:t>1 814 369,43</w:t>
            </w:r>
          </w:p>
        </w:tc>
        <w:tc>
          <w:tcPr>
            <w:tcW w:w="1814" w:type="dxa"/>
            <w:vAlign w:val="center"/>
          </w:tcPr>
          <w:p w14:paraId="6DF0727A" w14:textId="77777777" w:rsidR="00454A29" w:rsidRDefault="00454A29">
            <w:pPr>
              <w:pStyle w:val="ConsPlusNormal"/>
              <w:jc w:val="center"/>
            </w:pPr>
            <w:r>
              <w:t>1 348 444,58</w:t>
            </w:r>
          </w:p>
        </w:tc>
        <w:tc>
          <w:tcPr>
            <w:tcW w:w="1701" w:type="dxa"/>
            <w:vAlign w:val="center"/>
          </w:tcPr>
          <w:p w14:paraId="3C64ACE7" w14:textId="77777777" w:rsidR="00454A29" w:rsidRDefault="00454A29">
            <w:pPr>
              <w:pStyle w:val="ConsPlusNormal"/>
              <w:jc w:val="center"/>
            </w:pPr>
            <w:r>
              <w:t>-</w:t>
            </w:r>
          </w:p>
        </w:tc>
        <w:tc>
          <w:tcPr>
            <w:tcW w:w="1701" w:type="dxa"/>
            <w:vAlign w:val="center"/>
          </w:tcPr>
          <w:p w14:paraId="7D49FA0C" w14:textId="77777777" w:rsidR="00454A29" w:rsidRDefault="00454A29">
            <w:pPr>
              <w:pStyle w:val="ConsPlusNormal"/>
              <w:jc w:val="center"/>
            </w:pPr>
            <w:r>
              <w:t>465 924,85</w:t>
            </w:r>
          </w:p>
        </w:tc>
        <w:tc>
          <w:tcPr>
            <w:tcW w:w="1814" w:type="dxa"/>
            <w:vAlign w:val="center"/>
          </w:tcPr>
          <w:p w14:paraId="1A0AA04A" w14:textId="77777777" w:rsidR="00454A29" w:rsidRDefault="00454A29">
            <w:pPr>
              <w:pStyle w:val="ConsPlusNormal"/>
              <w:jc w:val="center"/>
            </w:pPr>
            <w:r>
              <w:t>-</w:t>
            </w:r>
          </w:p>
        </w:tc>
      </w:tr>
      <w:tr w:rsidR="00454A29" w14:paraId="5F57FCAB" w14:textId="77777777">
        <w:tc>
          <w:tcPr>
            <w:tcW w:w="567" w:type="dxa"/>
            <w:vMerge/>
          </w:tcPr>
          <w:p w14:paraId="25049F2A" w14:textId="77777777" w:rsidR="00454A29" w:rsidRDefault="00454A29"/>
        </w:tc>
        <w:tc>
          <w:tcPr>
            <w:tcW w:w="3345" w:type="dxa"/>
            <w:vMerge/>
          </w:tcPr>
          <w:p w14:paraId="3D5ADCDC" w14:textId="77777777" w:rsidR="00454A29" w:rsidRDefault="00454A29"/>
        </w:tc>
        <w:tc>
          <w:tcPr>
            <w:tcW w:w="1701" w:type="dxa"/>
            <w:vAlign w:val="center"/>
          </w:tcPr>
          <w:p w14:paraId="61D7AC27" w14:textId="77777777" w:rsidR="00454A29" w:rsidRDefault="00454A29">
            <w:pPr>
              <w:pStyle w:val="ConsPlusNormal"/>
              <w:jc w:val="center"/>
            </w:pPr>
            <w:r>
              <w:t>2023</w:t>
            </w:r>
          </w:p>
        </w:tc>
        <w:tc>
          <w:tcPr>
            <w:tcW w:w="1417" w:type="dxa"/>
            <w:vMerge/>
          </w:tcPr>
          <w:p w14:paraId="29F431E8" w14:textId="77777777" w:rsidR="00454A29" w:rsidRDefault="00454A29"/>
        </w:tc>
        <w:tc>
          <w:tcPr>
            <w:tcW w:w="2204" w:type="dxa"/>
            <w:vMerge/>
          </w:tcPr>
          <w:p w14:paraId="182B4DAD" w14:textId="77777777" w:rsidR="00454A29" w:rsidRDefault="00454A29"/>
        </w:tc>
        <w:tc>
          <w:tcPr>
            <w:tcW w:w="1417" w:type="dxa"/>
            <w:vMerge/>
          </w:tcPr>
          <w:p w14:paraId="504FA8C2" w14:textId="77777777" w:rsidR="00454A29" w:rsidRDefault="00454A29"/>
        </w:tc>
        <w:tc>
          <w:tcPr>
            <w:tcW w:w="2324" w:type="dxa"/>
            <w:vMerge/>
          </w:tcPr>
          <w:p w14:paraId="1B09FC30" w14:textId="77777777" w:rsidR="00454A29" w:rsidRDefault="00454A29"/>
        </w:tc>
        <w:tc>
          <w:tcPr>
            <w:tcW w:w="1701" w:type="dxa"/>
            <w:vAlign w:val="center"/>
          </w:tcPr>
          <w:p w14:paraId="691C6B84" w14:textId="77777777" w:rsidR="00454A29" w:rsidRDefault="00454A29">
            <w:pPr>
              <w:pStyle w:val="ConsPlusNormal"/>
              <w:jc w:val="center"/>
            </w:pPr>
            <w:r>
              <w:t>4 192 898,15</w:t>
            </w:r>
          </w:p>
        </w:tc>
        <w:tc>
          <w:tcPr>
            <w:tcW w:w="1814" w:type="dxa"/>
            <w:vAlign w:val="center"/>
          </w:tcPr>
          <w:p w14:paraId="02559BFF" w14:textId="77777777" w:rsidR="00454A29" w:rsidRDefault="00454A29">
            <w:pPr>
              <w:pStyle w:val="ConsPlusNormal"/>
              <w:jc w:val="center"/>
            </w:pPr>
            <w:r>
              <w:t>3 549 252,56</w:t>
            </w:r>
          </w:p>
        </w:tc>
        <w:tc>
          <w:tcPr>
            <w:tcW w:w="1701" w:type="dxa"/>
            <w:vAlign w:val="center"/>
          </w:tcPr>
          <w:p w14:paraId="294E2E79" w14:textId="77777777" w:rsidR="00454A29" w:rsidRDefault="00454A29">
            <w:pPr>
              <w:pStyle w:val="ConsPlusNormal"/>
              <w:jc w:val="center"/>
            </w:pPr>
            <w:r>
              <w:t>136 850,00</w:t>
            </w:r>
          </w:p>
        </w:tc>
        <w:tc>
          <w:tcPr>
            <w:tcW w:w="1701" w:type="dxa"/>
            <w:vAlign w:val="center"/>
          </w:tcPr>
          <w:p w14:paraId="3759B193" w14:textId="77777777" w:rsidR="00454A29" w:rsidRDefault="00454A29">
            <w:pPr>
              <w:pStyle w:val="ConsPlusNormal"/>
              <w:jc w:val="center"/>
            </w:pPr>
            <w:r>
              <w:t>506 795,59</w:t>
            </w:r>
          </w:p>
        </w:tc>
        <w:tc>
          <w:tcPr>
            <w:tcW w:w="1814" w:type="dxa"/>
            <w:vAlign w:val="center"/>
          </w:tcPr>
          <w:p w14:paraId="06FE282D" w14:textId="77777777" w:rsidR="00454A29" w:rsidRDefault="00454A29">
            <w:pPr>
              <w:pStyle w:val="ConsPlusNormal"/>
              <w:jc w:val="center"/>
            </w:pPr>
            <w:r>
              <w:t>-</w:t>
            </w:r>
          </w:p>
        </w:tc>
      </w:tr>
      <w:tr w:rsidR="00454A29" w14:paraId="3E141549" w14:textId="77777777">
        <w:tc>
          <w:tcPr>
            <w:tcW w:w="567" w:type="dxa"/>
            <w:vMerge/>
          </w:tcPr>
          <w:p w14:paraId="4D852069" w14:textId="77777777" w:rsidR="00454A29" w:rsidRDefault="00454A29"/>
        </w:tc>
        <w:tc>
          <w:tcPr>
            <w:tcW w:w="3345" w:type="dxa"/>
            <w:vMerge/>
          </w:tcPr>
          <w:p w14:paraId="07393264" w14:textId="77777777" w:rsidR="00454A29" w:rsidRDefault="00454A29"/>
        </w:tc>
        <w:tc>
          <w:tcPr>
            <w:tcW w:w="1701" w:type="dxa"/>
            <w:vAlign w:val="center"/>
          </w:tcPr>
          <w:p w14:paraId="384EDC6D" w14:textId="77777777" w:rsidR="00454A29" w:rsidRDefault="00454A29">
            <w:pPr>
              <w:pStyle w:val="ConsPlusNormal"/>
              <w:jc w:val="center"/>
            </w:pPr>
            <w:r>
              <w:t>2024</w:t>
            </w:r>
          </w:p>
        </w:tc>
        <w:tc>
          <w:tcPr>
            <w:tcW w:w="1417" w:type="dxa"/>
            <w:vMerge/>
          </w:tcPr>
          <w:p w14:paraId="446B20FB" w14:textId="77777777" w:rsidR="00454A29" w:rsidRDefault="00454A29"/>
        </w:tc>
        <w:tc>
          <w:tcPr>
            <w:tcW w:w="2204" w:type="dxa"/>
            <w:vMerge/>
          </w:tcPr>
          <w:p w14:paraId="5CDD1FCA" w14:textId="77777777" w:rsidR="00454A29" w:rsidRDefault="00454A29"/>
        </w:tc>
        <w:tc>
          <w:tcPr>
            <w:tcW w:w="1417" w:type="dxa"/>
            <w:vMerge/>
          </w:tcPr>
          <w:p w14:paraId="2A1963B9" w14:textId="77777777" w:rsidR="00454A29" w:rsidRDefault="00454A29"/>
        </w:tc>
        <w:tc>
          <w:tcPr>
            <w:tcW w:w="2324" w:type="dxa"/>
            <w:vMerge/>
          </w:tcPr>
          <w:p w14:paraId="2B1373CB" w14:textId="77777777" w:rsidR="00454A29" w:rsidRDefault="00454A29"/>
        </w:tc>
        <w:tc>
          <w:tcPr>
            <w:tcW w:w="1701" w:type="dxa"/>
            <w:vAlign w:val="center"/>
          </w:tcPr>
          <w:p w14:paraId="244E0671" w14:textId="77777777" w:rsidR="00454A29" w:rsidRDefault="00454A29">
            <w:pPr>
              <w:pStyle w:val="ConsPlusNormal"/>
              <w:jc w:val="center"/>
            </w:pPr>
            <w:r>
              <w:t>5 832 301,50</w:t>
            </w:r>
          </w:p>
        </w:tc>
        <w:tc>
          <w:tcPr>
            <w:tcW w:w="1814" w:type="dxa"/>
            <w:vAlign w:val="center"/>
          </w:tcPr>
          <w:p w14:paraId="6059F2C4" w14:textId="77777777" w:rsidR="00454A29" w:rsidRDefault="00454A29">
            <w:pPr>
              <w:pStyle w:val="ConsPlusNormal"/>
              <w:jc w:val="center"/>
            </w:pPr>
            <w:r>
              <w:t>5 308 605,99</w:t>
            </w:r>
          </w:p>
        </w:tc>
        <w:tc>
          <w:tcPr>
            <w:tcW w:w="1701" w:type="dxa"/>
            <w:vAlign w:val="center"/>
          </w:tcPr>
          <w:p w14:paraId="75C3419C" w14:textId="77777777" w:rsidR="00454A29" w:rsidRDefault="00454A29">
            <w:pPr>
              <w:pStyle w:val="ConsPlusNormal"/>
              <w:jc w:val="center"/>
            </w:pPr>
            <w:r>
              <w:t>-</w:t>
            </w:r>
          </w:p>
        </w:tc>
        <w:tc>
          <w:tcPr>
            <w:tcW w:w="1701" w:type="dxa"/>
            <w:vAlign w:val="center"/>
          </w:tcPr>
          <w:p w14:paraId="5EB8F9E7" w14:textId="77777777" w:rsidR="00454A29" w:rsidRDefault="00454A29">
            <w:pPr>
              <w:pStyle w:val="ConsPlusNormal"/>
              <w:jc w:val="center"/>
            </w:pPr>
            <w:r>
              <w:t>523 695,52</w:t>
            </w:r>
          </w:p>
        </w:tc>
        <w:tc>
          <w:tcPr>
            <w:tcW w:w="1814" w:type="dxa"/>
            <w:vAlign w:val="center"/>
          </w:tcPr>
          <w:p w14:paraId="7957F30C" w14:textId="77777777" w:rsidR="00454A29" w:rsidRDefault="00454A29">
            <w:pPr>
              <w:pStyle w:val="ConsPlusNormal"/>
              <w:jc w:val="center"/>
            </w:pPr>
            <w:r>
              <w:t>-</w:t>
            </w:r>
          </w:p>
        </w:tc>
      </w:tr>
      <w:tr w:rsidR="00454A29" w14:paraId="26CBD2AF" w14:textId="77777777">
        <w:tc>
          <w:tcPr>
            <w:tcW w:w="567" w:type="dxa"/>
            <w:vMerge/>
          </w:tcPr>
          <w:p w14:paraId="23816A29" w14:textId="77777777" w:rsidR="00454A29" w:rsidRDefault="00454A29"/>
        </w:tc>
        <w:tc>
          <w:tcPr>
            <w:tcW w:w="3345" w:type="dxa"/>
            <w:vMerge/>
          </w:tcPr>
          <w:p w14:paraId="36D27C2A" w14:textId="77777777" w:rsidR="00454A29" w:rsidRDefault="00454A29"/>
        </w:tc>
        <w:tc>
          <w:tcPr>
            <w:tcW w:w="1701" w:type="dxa"/>
            <w:vAlign w:val="center"/>
          </w:tcPr>
          <w:p w14:paraId="43F225DC" w14:textId="77777777" w:rsidR="00454A29" w:rsidRDefault="00454A29">
            <w:pPr>
              <w:pStyle w:val="ConsPlusNormal"/>
              <w:jc w:val="center"/>
            </w:pPr>
            <w:r>
              <w:t>2025</w:t>
            </w:r>
          </w:p>
        </w:tc>
        <w:tc>
          <w:tcPr>
            <w:tcW w:w="1417" w:type="dxa"/>
            <w:vMerge/>
          </w:tcPr>
          <w:p w14:paraId="3BA33127" w14:textId="77777777" w:rsidR="00454A29" w:rsidRDefault="00454A29"/>
        </w:tc>
        <w:tc>
          <w:tcPr>
            <w:tcW w:w="2204" w:type="dxa"/>
            <w:vMerge/>
          </w:tcPr>
          <w:p w14:paraId="7EA182E6" w14:textId="77777777" w:rsidR="00454A29" w:rsidRDefault="00454A29"/>
        </w:tc>
        <w:tc>
          <w:tcPr>
            <w:tcW w:w="1417" w:type="dxa"/>
            <w:vMerge/>
          </w:tcPr>
          <w:p w14:paraId="1527BAAD" w14:textId="77777777" w:rsidR="00454A29" w:rsidRDefault="00454A29"/>
        </w:tc>
        <w:tc>
          <w:tcPr>
            <w:tcW w:w="2324" w:type="dxa"/>
            <w:vMerge/>
          </w:tcPr>
          <w:p w14:paraId="303141E9" w14:textId="77777777" w:rsidR="00454A29" w:rsidRDefault="00454A29"/>
        </w:tc>
        <w:tc>
          <w:tcPr>
            <w:tcW w:w="1701" w:type="dxa"/>
            <w:vAlign w:val="center"/>
          </w:tcPr>
          <w:p w14:paraId="6CBA50EC" w14:textId="77777777" w:rsidR="00454A29" w:rsidRDefault="00454A29">
            <w:pPr>
              <w:pStyle w:val="ConsPlusNormal"/>
              <w:jc w:val="center"/>
            </w:pPr>
            <w:r>
              <w:t>6 376 020,70</w:t>
            </w:r>
          </w:p>
        </w:tc>
        <w:tc>
          <w:tcPr>
            <w:tcW w:w="1814" w:type="dxa"/>
            <w:vAlign w:val="center"/>
          </w:tcPr>
          <w:p w14:paraId="42BF604D" w14:textId="77777777" w:rsidR="00454A29" w:rsidRDefault="00454A29">
            <w:pPr>
              <w:pStyle w:val="ConsPlusNormal"/>
              <w:jc w:val="center"/>
            </w:pPr>
            <w:r>
              <w:t>5 997 400,71</w:t>
            </w:r>
          </w:p>
        </w:tc>
        <w:tc>
          <w:tcPr>
            <w:tcW w:w="1701" w:type="dxa"/>
            <w:vAlign w:val="center"/>
          </w:tcPr>
          <w:p w14:paraId="42DE3979" w14:textId="77777777" w:rsidR="00454A29" w:rsidRDefault="00454A29">
            <w:pPr>
              <w:pStyle w:val="ConsPlusNormal"/>
              <w:jc w:val="center"/>
            </w:pPr>
            <w:r>
              <w:t>-</w:t>
            </w:r>
          </w:p>
        </w:tc>
        <w:tc>
          <w:tcPr>
            <w:tcW w:w="1701" w:type="dxa"/>
            <w:vAlign w:val="center"/>
          </w:tcPr>
          <w:p w14:paraId="624FA614" w14:textId="77777777" w:rsidR="00454A29" w:rsidRDefault="00454A29">
            <w:pPr>
              <w:pStyle w:val="ConsPlusNormal"/>
              <w:jc w:val="center"/>
            </w:pPr>
            <w:r>
              <w:t>378 620,00</w:t>
            </w:r>
          </w:p>
        </w:tc>
        <w:tc>
          <w:tcPr>
            <w:tcW w:w="1814" w:type="dxa"/>
            <w:vAlign w:val="center"/>
          </w:tcPr>
          <w:p w14:paraId="24A34647" w14:textId="77777777" w:rsidR="00454A29" w:rsidRDefault="00454A29">
            <w:pPr>
              <w:pStyle w:val="ConsPlusNormal"/>
              <w:jc w:val="center"/>
            </w:pPr>
            <w:r>
              <w:t>-</w:t>
            </w:r>
          </w:p>
        </w:tc>
      </w:tr>
      <w:tr w:rsidR="00454A29" w14:paraId="6B73C0A6" w14:textId="77777777">
        <w:tc>
          <w:tcPr>
            <w:tcW w:w="567" w:type="dxa"/>
            <w:vMerge/>
          </w:tcPr>
          <w:p w14:paraId="745E4296" w14:textId="77777777" w:rsidR="00454A29" w:rsidRDefault="00454A29"/>
        </w:tc>
        <w:tc>
          <w:tcPr>
            <w:tcW w:w="3345" w:type="dxa"/>
            <w:vMerge/>
          </w:tcPr>
          <w:p w14:paraId="5F2D6B7A" w14:textId="77777777" w:rsidR="00454A29" w:rsidRDefault="00454A29"/>
        </w:tc>
        <w:tc>
          <w:tcPr>
            <w:tcW w:w="1701" w:type="dxa"/>
            <w:vAlign w:val="center"/>
          </w:tcPr>
          <w:p w14:paraId="6C81123E" w14:textId="77777777" w:rsidR="00454A29" w:rsidRDefault="00454A29">
            <w:pPr>
              <w:pStyle w:val="ConsPlusNormal"/>
              <w:jc w:val="center"/>
            </w:pPr>
            <w:r>
              <w:t>2026</w:t>
            </w:r>
          </w:p>
        </w:tc>
        <w:tc>
          <w:tcPr>
            <w:tcW w:w="1417" w:type="dxa"/>
            <w:vMerge/>
          </w:tcPr>
          <w:p w14:paraId="2EA5B615" w14:textId="77777777" w:rsidR="00454A29" w:rsidRDefault="00454A29"/>
        </w:tc>
        <w:tc>
          <w:tcPr>
            <w:tcW w:w="2204" w:type="dxa"/>
            <w:vMerge/>
          </w:tcPr>
          <w:p w14:paraId="26470A4A" w14:textId="77777777" w:rsidR="00454A29" w:rsidRDefault="00454A29"/>
        </w:tc>
        <w:tc>
          <w:tcPr>
            <w:tcW w:w="1417" w:type="dxa"/>
            <w:vMerge/>
          </w:tcPr>
          <w:p w14:paraId="0E627760" w14:textId="77777777" w:rsidR="00454A29" w:rsidRDefault="00454A29"/>
        </w:tc>
        <w:tc>
          <w:tcPr>
            <w:tcW w:w="2324" w:type="dxa"/>
            <w:vMerge/>
          </w:tcPr>
          <w:p w14:paraId="728A6414" w14:textId="77777777" w:rsidR="00454A29" w:rsidRDefault="00454A29"/>
        </w:tc>
        <w:tc>
          <w:tcPr>
            <w:tcW w:w="1701" w:type="dxa"/>
            <w:vAlign w:val="center"/>
          </w:tcPr>
          <w:p w14:paraId="422E5B09" w14:textId="77777777" w:rsidR="00454A29" w:rsidRDefault="00454A29">
            <w:pPr>
              <w:pStyle w:val="ConsPlusNormal"/>
              <w:jc w:val="center"/>
            </w:pPr>
            <w:r>
              <w:t>1 525 722,89</w:t>
            </w:r>
          </w:p>
        </w:tc>
        <w:tc>
          <w:tcPr>
            <w:tcW w:w="1814" w:type="dxa"/>
            <w:vAlign w:val="center"/>
          </w:tcPr>
          <w:p w14:paraId="07674735" w14:textId="77777777" w:rsidR="00454A29" w:rsidRDefault="00454A29">
            <w:pPr>
              <w:pStyle w:val="ConsPlusNormal"/>
              <w:jc w:val="center"/>
            </w:pPr>
            <w:r>
              <w:t>1 254 554,54</w:t>
            </w:r>
          </w:p>
        </w:tc>
        <w:tc>
          <w:tcPr>
            <w:tcW w:w="1701" w:type="dxa"/>
            <w:vAlign w:val="center"/>
          </w:tcPr>
          <w:p w14:paraId="2023750D" w14:textId="77777777" w:rsidR="00454A29" w:rsidRDefault="00454A29">
            <w:pPr>
              <w:pStyle w:val="ConsPlusNormal"/>
              <w:jc w:val="center"/>
            </w:pPr>
            <w:r>
              <w:t>-</w:t>
            </w:r>
          </w:p>
        </w:tc>
        <w:tc>
          <w:tcPr>
            <w:tcW w:w="1701" w:type="dxa"/>
            <w:vAlign w:val="center"/>
          </w:tcPr>
          <w:p w14:paraId="0B4E416D" w14:textId="77777777" w:rsidR="00454A29" w:rsidRDefault="00454A29">
            <w:pPr>
              <w:pStyle w:val="ConsPlusNormal"/>
              <w:jc w:val="center"/>
            </w:pPr>
            <w:r>
              <w:t>271 168,35</w:t>
            </w:r>
          </w:p>
        </w:tc>
        <w:tc>
          <w:tcPr>
            <w:tcW w:w="1814" w:type="dxa"/>
            <w:vAlign w:val="center"/>
          </w:tcPr>
          <w:p w14:paraId="5430B3EF" w14:textId="77777777" w:rsidR="00454A29" w:rsidRDefault="00454A29">
            <w:pPr>
              <w:pStyle w:val="ConsPlusNormal"/>
              <w:jc w:val="center"/>
            </w:pPr>
            <w:r>
              <w:t>-</w:t>
            </w:r>
          </w:p>
        </w:tc>
      </w:tr>
      <w:tr w:rsidR="00454A29" w14:paraId="24AE47A3" w14:textId="77777777">
        <w:tc>
          <w:tcPr>
            <w:tcW w:w="21706" w:type="dxa"/>
            <w:gridSpan w:val="12"/>
            <w:vAlign w:val="center"/>
          </w:tcPr>
          <w:p w14:paraId="52B27E90" w14:textId="77777777" w:rsidR="00454A29" w:rsidRDefault="00454A29">
            <w:pPr>
              <w:pStyle w:val="ConsPlusNormal"/>
              <w:jc w:val="center"/>
            </w:pPr>
            <w:r>
              <w:t>Основное мероприятие 10.1.</w:t>
            </w:r>
          </w:p>
        </w:tc>
      </w:tr>
      <w:tr w:rsidR="00454A29" w14:paraId="5AF1380E" w14:textId="77777777">
        <w:tc>
          <w:tcPr>
            <w:tcW w:w="567" w:type="dxa"/>
            <w:vMerge w:val="restart"/>
            <w:vAlign w:val="center"/>
          </w:tcPr>
          <w:p w14:paraId="4CFEEC37" w14:textId="77777777" w:rsidR="00454A29" w:rsidRDefault="00454A29">
            <w:pPr>
              <w:pStyle w:val="ConsPlusNormal"/>
            </w:pPr>
          </w:p>
        </w:tc>
        <w:tc>
          <w:tcPr>
            <w:tcW w:w="3345" w:type="dxa"/>
            <w:vMerge w:val="restart"/>
            <w:vAlign w:val="center"/>
          </w:tcPr>
          <w:p w14:paraId="6AB8D611" w14:textId="77777777" w:rsidR="00454A29" w:rsidRDefault="00454A29">
            <w:pPr>
              <w:pStyle w:val="ConsPlusNormal"/>
              <w:jc w:val="center"/>
            </w:pPr>
            <w:r>
              <w:t>Модернизация объектов дошкольного образования</w:t>
            </w:r>
          </w:p>
        </w:tc>
        <w:tc>
          <w:tcPr>
            <w:tcW w:w="1701" w:type="dxa"/>
            <w:vAlign w:val="center"/>
          </w:tcPr>
          <w:p w14:paraId="4FF92D15" w14:textId="77777777" w:rsidR="00454A29" w:rsidRDefault="00454A29">
            <w:pPr>
              <w:pStyle w:val="ConsPlusNormal"/>
              <w:jc w:val="center"/>
            </w:pPr>
            <w:r>
              <w:t>2020 - 2026 годы - всего</w:t>
            </w:r>
          </w:p>
        </w:tc>
        <w:tc>
          <w:tcPr>
            <w:tcW w:w="1417" w:type="dxa"/>
            <w:vMerge w:val="restart"/>
            <w:vAlign w:val="center"/>
          </w:tcPr>
          <w:p w14:paraId="25434F7A" w14:textId="77777777" w:rsidR="00454A29" w:rsidRDefault="00454A29">
            <w:pPr>
              <w:pStyle w:val="ConsPlusNormal"/>
              <w:jc w:val="center"/>
            </w:pPr>
            <w:r>
              <w:t>х</w:t>
            </w:r>
          </w:p>
        </w:tc>
        <w:tc>
          <w:tcPr>
            <w:tcW w:w="2204" w:type="dxa"/>
            <w:vMerge w:val="restart"/>
            <w:vAlign w:val="center"/>
          </w:tcPr>
          <w:p w14:paraId="224CD4C9" w14:textId="77777777" w:rsidR="00454A29" w:rsidRDefault="00454A29">
            <w:pPr>
              <w:pStyle w:val="ConsPlusNormal"/>
              <w:jc w:val="center"/>
            </w:pPr>
            <w:r>
              <w:t>х</w:t>
            </w:r>
          </w:p>
        </w:tc>
        <w:tc>
          <w:tcPr>
            <w:tcW w:w="1417" w:type="dxa"/>
            <w:vMerge w:val="restart"/>
            <w:vAlign w:val="center"/>
          </w:tcPr>
          <w:p w14:paraId="788BF836" w14:textId="77777777" w:rsidR="00454A29" w:rsidRDefault="00454A29">
            <w:pPr>
              <w:pStyle w:val="ConsPlusNormal"/>
              <w:jc w:val="center"/>
            </w:pPr>
            <w:r>
              <w:t>10 175</w:t>
            </w:r>
          </w:p>
        </w:tc>
        <w:tc>
          <w:tcPr>
            <w:tcW w:w="2324" w:type="dxa"/>
            <w:vMerge w:val="restart"/>
            <w:vAlign w:val="center"/>
          </w:tcPr>
          <w:p w14:paraId="2CBE1D9D" w14:textId="77777777" w:rsidR="00454A29" w:rsidRDefault="00454A29">
            <w:pPr>
              <w:pStyle w:val="ConsPlusNormal"/>
              <w:jc w:val="center"/>
            </w:pPr>
            <w:r>
              <w:t>х</w:t>
            </w:r>
          </w:p>
        </w:tc>
        <w:tc>
          <w:tcPr>
            <w:tcW w:w="1701" w:type="dxa"/>
            <w:vAlign w:val="center"/>
          </w:tcPr>
          <w:p w14:paraId="1482DC64" w14:textId="77777777" w:rsidR="00454A29" w:rsidRDefault="00454A29">
            <w:pPr>
              <w:pStyle w:val="ConsPlusNormal"/>
              <w:jc w:val="center"/>
            </w:pPr>
            <w:r>
              <w:t>16 847 380,62</w:t>
            </w:r>
          </w:p>
        </w:tc>
        <w:tc>
          <w:tcPr>
            <w:tcW w:w="1814" w:type="dxa"/>
            <w:vAlign w:val="center"/>
          </w:tcPr>
          <w:p w14:paraId="7B4D9F52" w14:textId="77777777" w:rsidR="00454A29" w:rsidRDefault="00454A29">
            <w:pPr>
              <w:pStyle w:val="ConsPlusNormal"/>
              <w:jc w:val="center"/>
            </w:pPr>
            <w:r>
              <w:t>14 562 605,28</w:t>
            </w:r>
          </w:p>
        </w:tc>
        <w:tc>
          <w:tcPr>
            <w:tcW w:w="1701" w:type="dxa"/>
            <w:vAlign w:val="center"/>
          </w:tcPr>
          <w:p w14:paraId="6BE6196D" w14:textId="77777777" w:rsidR="00454A29" w:rsidRDefault="00454A29">
            <w:pPr>
              <w:pStyle w:val="ConsPlusNormal"/>
              <w:jc w:val="center"/>
            </w:pPr>
            <w:r>
              <w:t>-</w:t>
            </w:r>
          </w:p>
        </w:tc>
        <w:tc>
          <w:tcPr>
            <w:tcW w:w="1701" w:type="dxa"/>
            <w:vAlign w:val="center"/>
          </w:tcPr>
          <w:p w14:paraId="756A688D" w14:textId="77777777" w:rsidR="00454A29" w:rsidRDefault="00454A29">
            <w:pPr>
              <w:pStyle w:val="ConsPlusNormal"/>
              <w:jc w:val="center"/>
            </w:pPr>
            <w:r>
              <w:t>2 284 775,34</w:t>
            </w:r>
          </w:p>
        </w:tc>
        <w:tc>
          <w:tcPr>
            <w:tcW w:w="1814" w:type="dxa"/>
            <w:vAlign w:val="center"/>
          </w:tcPr>
          <w:p w14:paraId="0E39D01A" w14:textId="77777777" w:rsidR="00454A29" w:rsidRDefault="00454A29">
            <w:pPr>
              <w:pStyle w:val="ConsPlusNormal"/>
              <w:jc w:val="center"/>
            </w:pPr>
            <w:r>
              <w:t>-</w:t>
            </w:r>
          </w:p>
        </w:tc>
      </w:tr>
      <w:tr w:rsidR="00454A29" w14:paraId="23AACA01" w14:textId="77777777">
        <w:tc>
          <w:tcPr>
            <w:tcW w:w="567" w:type="dxa"/>
            <w:vMerge/>
          </w:tcPr>
          <w:p w14:paraId="73005D48" w14:textId="77777777" w:rsidR="00454A29" w:rsidRDefault="00454A29"/>
        </w:tc>
        <w:tc>
          <w:tcPr>
            <w:tcW w:w="3345" w:type="dxa"/>
            <w:vMerge/>
          </w:tcPr>
          <w:p w14:paraId="70077815" w14:textId="77777777" w:rsidR="00454A29" w:rsidRDefault="00454A29"/>
        </w:tc>
        <w:tc>
          <w:tcPr>
            <w:tcW w:w="1701" w:type="dxa"/>
            <w:vAlign w:val="center"/>
          </w:tcPr>
          <w:p w14:paraId="6996B13E" w14:textId="77777777" w:rsidR="00454A29" w:rsidRDefault="00454A29">
            <w:pPr>
              <w:pStyle w:val="ConsPlusNormal"/>
              <w:jc w:val="center"/>
            </w:pPr>
            <w:r>
              <w:t>2020</w:t>
            </w:r>
          </w:p>
        </w:tc>
        <w:tc>
          <w:tcPr>
            <w:tcW w:w="1417" w:type="dxa"/>
            <w:vMerge/>
          </w:tcPr>
          <w:p w14:paraId="551A7BDA" w14:textId="77777777" w:rsidR="00454A29" w:rsidRDefault="00454A29"/>
        </w:tc>
        <w:tc>
          <w:tcPr>
            <w:tcW w:w="2204" w:type="dxa"/>
            <w:vMerge/>
          </w:tcPr>
          <w:p w14:paraId="740E3C59" w14:textId="77777777" w:rsidR="00454A29" w:rsidRDefault="00454A29"/>
        </w:tc>
        <w:tc>
          <w:tcPr>
            <w:tcW w:w="1417" w:type="dxa"/>
            <w:vMerge/>
          </w:tcPr>
          <w:p w14:paraId="612E2096" w14:textId="77777777" w:rsidR="00454A29" w:rsidRDefault="00454A29"/>
        </w:tc>
        <w:tc>
          <w:tcPr>
            <w:tcW w:w="2324" w:type="dxa"/>
            <w:vMerge/>
          </w:tcPr>
          <w:p w14:paraId="41A4F6E1" w14:textId="77777777" w:rsidR="00454A29" w:rsidRDefault="00454A29"/>
        </w:tc>
        <w:tc>
          <w:tcPr>
            <w:tcW w:w="1701" w:type="dxa"/>
            <w:vAlign w:val="center"/>
          </w:tcPr>
          <w:p w14:paraId="709FEE27" w14:textId="77777777" w:rsidR="00454A29" w:rsidRDefault="00454A29">
            <w:pPr>
              <w:pStyle w:val="ConsPlusNormal"/>
              <w:jc w:val="center"/>
            </w:pPr>
            <w:r>
              <w:t>1 654 979,24</w:t>
            </w:r>
          </w:p>
        </w:tc>
        <w:tc>
          <w:tcPr>
            <w:tcW w:w="1814" w:type="dxa"/>
            <w:vAlign w:val="center"/>
          </w:tcPr>
          <w:p w14:paraId="428034E5" w14:textId="77777777" w:rsidR="00454A29" w:rsidRDefault="00454A29">
            <w:pPr>
              <w:pStyle w:val="ConsPlusNormal"/>
              <w:jc w:val="center"/>
            </w:pPr>
            <w:r>
              <w:t>1 305 266,45</w:t>
            </w:r>
          </w:p>
        </w:tc>
        <w:tc>
          <w:tcPr>
            <w:tcW w:w="1701" w:type="dxa"/>
            <w:vAlign w:val="center"/>
          </w:tcPr>
          <w:p w14:paraId="4B7A103B" w14:textId="77777777" w:rsidR="00454A29" w:rsidRDefault="00454A29">
            <w:pPr>
              <w:pStyle w:val="ConsPlusNormal"/>
              <w:jc w:val="center"/>
            </w:pPr>
            <w:r>
              <w:t>-</w:t>
            </w:r>
          </w:p>
        </w:tc>
        <w:tc>
          <w:tcPr>
            <w:tcW w:w="1701" w:type="dxa"/>
            <w:vAlign w:val="center"/>
          </w:tcPr>
          <w:p w14:paraId="24CD7583" w14:textId="77777777" w:rsidR="00454A29" w:rsidRDefault="00454A29">
            <w:pPr>
              <w:pStyle w:val="ConsPlusNormal"/>
              <w:jc w:val="center"/>
            </w:pPr>
            <w:r>
              <w:t>349 712,79</w:t>
            </w:r>
          </w:p>
        </w:tc>
        <w:tc>
          <w:tcPr>
            <w:tcW w:w="1814" w:type="dxa"/>
            <w:vAlign w:val="center"/>
          </w:tcPr>
          <w:p w14:paraId="7921E067" w14:textId="77777777" w:rsidR="00454A29" w:rsidRDefault="00454A29">
            <w:pPr>
              <w:pStyle w:val="ConsPlusNormal"/>
              <w:jc w:val="center"/>
            </w:pPr>
            <w:r>
              <w:t>-</w:t>
            </w:r>
          </w:p>
        </w:tc>
      </w:tr>
      <w:tr w:rsidR="00454A29" w14:paraId="13FEF1A4" w14:textId="77777777">
        <w:tc>
          <w:tcPr>
            <w:tcW w:w="567" w:type="dxa"/>
            <w:vMerge/>
          </w:tcPr>
          <w:p w14:paraId="6A144221" w14:textId="77777777" w:rsidR="00454A29" w:rsidRDefault="00454A29"/>
        </w:tc>
        <w:tc>
          <w:tcPr>
            <w:tcW w:w="3345" w:type="dxa"/>
            <w:vMerge/>
          </w:tcPr>
          <w:p w14:paraId="2639EDEA" w14:textId="77777777" w:rsidR="00454A29" w:rsidRDefault="00454A29"/>
        </w:tc>
        <w:tc>
          <w:tcPr>
            <w:tcW w:w="1701" w:type="dxa"/>
            <w:vAlign w:val="center"/>
          </w:tcPr>
          <w:p w14:paraId="17690280" w14:textId="77777777" w:rsidR="00454A29" w:rsidRDefault="00454A29">
            <w:pPr>
              <w:pStyle w:val="ConsPlusNormal"/>
              <w:jc w:val="center"/>
            </w:pPr>
            <w:r>
              <w:t>2021</w:t>
            </w:r>
          </w:p>
        </w:tc>
        <w:tc>
          <w:tcPr>
            <w:tcW w:w="1417" w:type="dxa"/>
            <w:vMerge/>
          </w:tcPr>
          <w:p w14:paraId="3291AFD5" w14:textId="77777777" w:rsidR="00454A29" w:rsidRDefault="00454A29"/>
        </w:tc>
        <w:tc>
          <w:tcPr>
            <w:tcW w:w="2204" w:type="dxa"/>
            <w:vMerge/>
          </w:tcPr>
          <w:p w14:paraId="1A135539" w14:textId="77777777" w:rsidR="00454A29" w:rsidRDefault="00454A29"/>
        </w:tc>
        <w:tc>
          <w:tcPr>
            <w:tcW w:w="1417" w:type="dxa"/>
            <w:vMerge/>
          </w:tcPr>
          <w:p w14:paraId="72B93330" w14:textId="77777777" w:rsidR="00454A29" w:rsidRDefault="00454A29"/>
        </w:tc>
        <w:tc>
          <w:tcPr>
            <w:tcW w:w="2324" w:type="dxa"/>
            <w:vMerge/>
          </w:tcPr>
          <w:p w14:paraId="45ED9D37" w14:textId="77777777" w:rsidR="00454A29" w:rsidRDefault="00454A29"/>
        </w:tc>
        <w:tc>
          <w:tcPr>
            <w:tcW w:w="1701" w:type="dxa"/>
            <w:vAlign w:val="center"/>
          </w:tcPr>
          <w:p w14:paraId="47B52CA8" w14:textId="77777777" w:rsidR="00454A29" w:rsidRDefault="00454A29">
            <w:pPr>
              <w:pStyle w:val="ConsPlusNormal"/>
              <w:jc w:val="center"/>
            </w:pPr>
            <w:r>
              <w:t>1 647 176,25</w:t>
            </w:r>
          </w:p>
        </w:tc>
        <w:tc>
          <w:tcPr>
            <w:tcW w:w="1814" w:type="dxa"/>
            <w:vAlign w:val="center"/>
          </w:tcPr>
          <w:p w14:paraId="0C7F1588" w14:textId="77777777" w:rsidR="00454A29" w:rsidRDefault="00454A29">
            <w:pPr>
              <w:pStyle w:val="ConsPlusNormal"/>
              <w:jc w:val="center"/>
            </w:pPr>
            <w:r>
              <w:t>1 278 511,43</w:t>
            </w:r>
          </w:p>
        </w:tc>
        <w:tc>
          <w:tcPr>
            <w:tcW w:w="1701" w:type="dxa"/>
            <w:vAlign w:val="center"/>
          </w:tcPr>
          <w:p w14:paraId="0269B67C" w14:textId="77777777" w:rsidR="00454A29" w:rsidRDefault="00454A29">
            <w:pPr>
              <w:pStyle w:val="ConsPlusNormal"/>
              <w:jc w:val="center"/>
            </w:pPr>
            <w:r>
              <w:t>-</w:t>
            </w:r>
          </w:p>
        </w:tc>
        <w:tc>
          <w:tcPr>
            <w:tcW w:w="1701" w:type="dxa"/>
            <w:vAlign w:val="center"/>
          </w:tcPr>
          <w:p w14:paraId="2C8A6FBE" w14:textId="77777777" w:rsidR="00454A29" w:rsidRDefault="00454A29">
            <w:pPr>
              <w:pStyle w:val="ConsPlusNormal"/>
              <w:jc w:val="center"/>
            </w:pPr>
            <w:r>
              <w:t>368 664,82</w:t>
            </w:r>
          </w:p>
        </w:tc>
        <w:tc>
          <w:tcPr>
            <w:tcW w:w="1814" w:type="dxa"/>
            <w:vAlign w:val="center"/>
          </w:tcPr>
          <w:p w14:paraId="55ED8472" w14:textId="77777777" w:rsidR="00454A29" w:rsidRDefault="00454A29">
            <w:pPr>
              <w:pStyle w:val="ConsPlusNormal"/>
              <w:jc w:val="center"/>
            </w:pPr>
            <w:r>
              <w:t>-</w:t>
            </w:r>
          </w:p>
        </w:tc>
      </w:tr>
      <w:tr w:rsidR="00454A29" w14:paraId="2E1A7903" w14:textId="77777777">
        <w:tc>
          <w:tcPr>
            <w:tcW w:w="567" w:type="dxa"/>
            <w:vMerge/>
          </w:tcPr>
          <w:p w14:paraId="3688ED75" w14:textId="77777777" w:rsidR="00454A29" w:rsidRDefault="00454A29"/>
        </w:tc>
        <w:tc>
          <w:tcPr>
            <w:tcW w:w="3345" w:type="dxa"/>
            <w:vMerge/>
          </w:tcPr>
          <w:p w14:paraId="3E0A62EB" w14:textId="77777777" w:rsidR="00454A29" w:rsidRDefault="00454A29"/>
        </w:tc>
        <w:tc>
          <w:tcPr>
            <w:tcW w:w="1701" w:type="dxa"/>
            <w:vAlign w:val="center"/>
          </w:tcPr>
          <w:p w14:paraId="2F819ACD" w14:textId="77777777" w:rsidR="00454A29" w:rsidRDefault="00454A29">
            <w:pPr>
              <w:pStyle w:val="ConsPlusNormal"/>
              <w:jc w:val="center"/>
            </w:pPr>
            <w:r>
              <w:t>2022</w:t>
            </w:r>
          </w:p>
        </w:tc>
        <w:tc>
          <w:tcPr>
            <w:tcW w:w="1417" w:type="dxa"/>
            <w:vMerge/>
          </w:tcPr>
          <w:p w14:paraId="1A1C849D" w14:textId="77777777" w:rsidR="00454A29" w:rsidRDefault="00454A29"/>
        </w:tc>
        <w:tc>
          <w:tcPr>
            <w:tcW w:w="2204" w:type="dxa"/>
            <w:vMerge/>
          </w:tcPr>
          <w:p w14:paraId="53184237" w14:textId="77777777" w:rsidR="00454A29" w:rsidRDefault="00454A29"/>
        </w:tc>
        <w:tc>
          <w:tcPr>
            <w:tcW w:w="1417" w:type="dxa"/>
            <w:vMerge/>
          </w:tcPr>
          <w:p w14:paraId="64B1273F" w14:textId="77777777" w:rsidR="00454A29" w:rsidRDefault="00454A29"/>
        </w:tc>
        <w:tc>
          <w:tcPr>
            <w:tcW w:w="2324" w:type="dxa"/>
            <w:vMerge/>
          </w:tcPr>
          <w:p w14:paraId="7B3B91F8" w14:textId="77777777" w:rsidR="00454A29" w:rsidRDefault="00454A29"/>
        </w:tc>
        <w:tc>
          <w:tcPr>
            <w:tcW w:w="1701" w:type="dxa"/>
            <w:vAlign w:val="center"/>
          </w:tcPr>
          <w:p w14:paraId="375BE17D" w14:textId="77777777" w:rsidR="00454A29" w:rsidRDefault="00454A29">
            <w:pPr>
              <w:pStyle w:val="ConsPlusNormal"/>
              <w:jc w:val="center"/>
            </w:pPr>
            <w:r>
              <w:t>1 731 759,58</w:t>
            </w:r>
          </w:p>
        </w:tc>
        <w:tc>
          <w:tcPr>
            <w:tcW w:w="1814" w:type="dxa"/>
            <w:vAlign w:val="center"/>
          </w:tcPr>
          <w:p w14:paraId="5AE63EC4" w14:textId="77777777" w:rsidR="00454A29" w:rsidRDefault="00454A29">
            <w:pPr>
              <w:pStyle w:val="ConsPlusNormal"/>
              <w:jc w:val="center"/>
            </w:pPr>
            <w:r>
              <w:t>1 348 444,58</w:t>
            </w:r>
          </w:p>
        </w:tc>
        <w:tc>
          <w:tcPr>
            <w:tcW w:w="1701" w:type="dxa"/>
            <w:vAlign w:val="center"/>
          </w:tcPr>
          <w:p w14:paraId="4E02D48C" w14:textId="77777777" w:rsidR="00454A29" w:rsidRDefault="00454A29">
            <w:pPr>
              <w:pStyle w:val="ConsPlusNormal"/>
              <w:jc w:val="center"/>
            </w:pPr>
            <w:r>
              <w:t>-</w:t>
            </w:r>
          </w:p>
        </w:tc>
        <w:tc>
          <w:tcPr>
            <w:tcW w:w="1701" w:type="dxa"/>
            <w:vAlign w:val="center"/>
          </w:tcPr>
          <w:p w14:paraId="5DA0D58D" w14:textId="77777777" w:rsidR="00454A29" w:rsidRDefault="00454A29">
            <w:pPr>
              <w:pStyle w:val="ConsPlusNormal"/>
              <w:jc w:val="center"/>
            </w:pPr>
            <w:r>
              <w:t>383 315,00</w:t>
            </w:r>
          </w:p>
        </w:tc>
        <w:tc>
          <w:tcPr>
            <w:tcW w:w="1814" w:type="dxa"/>
            <w:vAlign w:val="center"/>
          </w:tcPr>
          <w:p w14:paraId="7E2D6221" w14:textId="77777777" w:rsidR="00454A29" w:rsidRDefault="00454A29">
            <w:pPr>
              <w:pStyle w:val="ConsPlusNormal"/>
              <w:jc w:val="center"/>
            </w:pPr>
            <w:r>
              <w:t>-</w:t>
            </w:r>
          </w:p>
        </w:tc>
      </w:tr>
      <w:tr w:rsidR="00454A29" w14:paraId="4951962A" w14:textId="77777777">
        <w:tc>
          <w:tcPr>
            <w:tcW w:w="567" w:type="dxa"/>
            <w:vMerge/>
          </w:tcPr>
          <w:p w14:paraId="48A126A8" w14:textId="77777777" w:rsidR="00454A29" w:rsidRDefault="00454A29"/>
        </w:tc>
        <w:tc>
          <w:tcPr>
            <w:tcW w:w="3345" w:type="dxa"/>
            <w:vMerge/>
          </w:tcPr>
          <w:p w14:paraId="6954C835" w14:textId="77777777" w:rsidR="00454A29" w:rsidRDefault="00454A29"/>
        </w:tc>
        <w:tc>
          <w:tcPr>
            <w:tcW w:w="1701" w:type="dxa"/>
            <w:vAlign w:val="center"/>
          </w:tcPr>
          <w:p w14:paraId="74917689" w14:textId="77777777" w:rsidR="00454A29" w:rsidRDefault="00454A29">
            <w:pPr>
              <w:pStyle w:val="ConsPlusNormal"/>
              <w:jc w:val="center"/>
            </w:pPr>
            <w:r>
              <w:t>2023</w:t>
            </w:r>
          </w:p>
        </w:tc>
        <w:tc>
          <w:tcPr>
            <w:tcW w:w="1417" w:type="dxa"/>
            <w:vMerge/>
          </w:tcPr>
          <w:p w14:paraId="0B7D6B72" w14:textId="77777777" w:rsidR="00454A29" w:rsidRDefault="00454A29"/>
        </w:tc>
        <w:tc>
          <w:tcPr>
            <w:tcW w:w="2204" w:type="dxa"/>
            <w:vMerge/>
          </w:tcPr>
          <w:p w14:paraId="658FA9B0" w14:textId="77777777" w:rsidR="00454A29" w:rsidRDefault="00454A29"/>
        </w:tc>
        <w:tc>
          <w:tcPr>
            <w:tcW w:w="1417" w:type="dxa"/>
            <w:vMerge/>
          </w:tcPr>
          <w:p w14:paraId="536DA465" w14:textId="77777777" w:rsidR="00454A29" w:rsidRDefault="00454A29"/>
        </w:tc>
        <w:tc>
          <w:tcPr>
            <w:tcW w:w="2324" w:type="dxa"/>
            <w:vMerge/>
          </w:tcPr>
          <w:p w14:paraId="3048A044" w14:textId="77777777" w:rsidR="00454A29" w:rsidRDefault="00454A29"/>
        </w:tc>
        <w:tc>
          <w:tcPr>
            <w:tcW w:w="1701" w:type="dxa"/>
            <w:vAlign w:val="center"/>
          </w:tcPr>
          <w:p w14:paraId="6D3927EB" w14:textId="77777777" w:rsidR="00454A29" w:rsidRDefault="00454A29">
            <w:pPr>
              <w:pStyle w:val="ConsPlusNormal"/>
              <w:jc w:val="center"/>
            </w:pPr>
            <w:r>
              <w:t>3 511 918,88</w:t>
            </w:r>
          </w:p>
        </w:tc>
        <w:tc>
          <w:tcPr>
            <w:tcW w:w="1814" w:type="dxa"/>
            <w:vAlign w:val="center"/>
          </w:tcPr>
          <w:p w14:paraId="44BD4CB2" w14:textId="77777777" w:rsidR="00454A29" w:rsidRDefault="00454A29">
            <w:pPr>
              <w:pStyle w:val="ConsPlusNormal"/>
              <w:jc w:val="center"/>
            </w:pPr>
            <w:r>
              <w:t>3 113 830,94</w:t>
            </w:r>
          </w:p>
        </w:tc>
        <w:tc>
          <w:tcPr>
            <w:tcW w:w="1701" w:type="dxa"/>
            <w:vAlign w:val="center"/>
          </w:tcPr>
          <w:p w14:paraId="2D3418EA" w14:textId="77777777" w:rsidR="00454A29" w:rsidRDefault="00454A29">
            <w:pPr>
              <w:pStyle w:val="ConsPlusNormal"/>
              <w:jc w:val="center"/>
            </w:pPr>
            <w:r>
              <w:t>-</w:t>
            </w:r>
          </w:p>
        </w:tc>
        <w:tc>
          <w:tcPr>
            <w:tcW w:w="1701" w:type="dxa"/>
            <w:vAlign w:val="center"/>
          </w:tcPr>
          <w:p w14:paraId="42AC9117" w14:textId="77777777" w:rsidR="00454A29" w:rsidRDefault="00454A29">
            <w:pPr>
              <w:pStyle w:val="ConsPlusNormal"/>
              <w:jc w:val="center"/>
            </w:pPr>
            <w:r>
              <w:t>398 087,93</w:t>
            </w:r>
          </w:p>
        </w:tc>
        <w:tc>
          <w:tcPr>
            <w:tcW w:w="1814" w:type="dxa"/>
            <w:vAlign w:val="center"/>
          </w:tcPr>
          <w:p w14:paraId="7146EF27" w14:textId="77777777" w:rsidR="00454A29" w:rsidRDefault="00454A29">
            <w:pPr>
              <w:pStyle w:val="ConsPlusNormal"/>
              <w:jc w:val="center"/>
            </w:pPr>
            <w:r>
              <w:t>-</w:t>
            </w:r>
          </w:p>
        </w:tc>
      </w:tr>
      <w:tr w:rsidR="00454A29" w14:paraId="4F85FD79" w14:textId="77777777">
        <w:tc>
          <w:tcPr>
            <w:tcW w:w="567" w:type="dxa"/>
            <w:vMerge/>
          </w:tcPr>
          <w:p w14:paraId="59FAB1C8" w14:textId="77777777" w:rsidR="00454A29" w:rsidRDefault="00454A29"/>
        </w:tc>
        <w:tc>
          <w:tcPr>
            <w:tcW w:w="3345" w:type="dxa"/>
            <w:vMerge/>
          </w:tcPr>
          <w:p w14:paraId="01832E69" w14:textId="77777777" w:rsidR="00454A29" w:rsidRDefault="00454A29"/>
        </w:tc>
        <w:tc>
          <w:tcPr>
            <w:tcW w:w="1701" w:type="dxa"/>
            <w:vAlign w:val="center"/>
          </w:tcPr>
          <w:p w14:paraId="20982313" w14:textId="77777777" w:rsidR="00454A29" w:rsidRDefault="00454A29">
            <w:pPr>
              <w:pStyle w:val="ConsPlusNormal"/>
              <w:jc w:val="center"/>
            </w:pPr>
            <w:r>
              <w:t>2024</w:t>
            </w:r>
          </w:p>
        </w:tc>
        <w:tc>
          <w:tcPr>
            <w:tcW w:w="1417" w:type="dxa"/>
            <w:vMerge/>
          </w:tcPr>
          <w:p w14:paraId="07865AD6" w14:textId="77777777" w:rsidR="00454A29" w:rsidRDefault="00454A29"/>
        </w:tc>
        <w:tc>
          <w:tcPr>
            <w:tcW w:w="2204" w:type="dxa"/>
            <w:vMerge/>
          </w:tcPr>
          <w:p w14:paraId="485774EF" w14:textId="77777777" w:rsidR="00454A29" w:rsidRDefault="00454A29"/>
        </w:tc>
        <w:tc>
          <w:tcPr>
            <w:tcW w:w="1417" w:type="dxa"/>
            <w:vMerge/>
          </w:tcPr>
          <w:p w14:paraId="5E2DC4F5" w14:textId="77777777" w:rsidR="00454A29" w:rsidRDefault="00454A29"/>
        </w:tc>
        <w:tc>
          <w:tcPr>
            <w:tcW w:w="2324" w:type="dxa"/>
            <w:vMerge/>
          </w:tcPr>
          <w:p w14:paraId="1CE9E224" w14:textId="77777777" w:rsidR="00454A29" w:rsidRDefault="00454A29"/>
        </w:tc>
        <w:tc>
          <w:tcPr>
            <w:tcW w:w="1701" w:type="dxa"/>
            <w:vAlign w:val="center"/>
          </w:tcPr>
          <w:p w14:paraId="53955193" w14:textId="77777777" w:rsidR="00454A29" w:rsidRDefault="00454A29">
            <w:pPr>
              <w:pStyle w:val="ConsPlusNormal"/>
              <w:jc w:val="center"/>
            </w:pPr>
            <w:r>
              <w:t>3 952 054,35</w:t>
            </w:r>
          </w:p>
        </w:tc>
        <w:tc>
          <w:tcPr>
            <w:tcW w:w="1814" w:type="dxa"/>
            <w:vAlign w:val="center"/>
          </w:tcPr>
          <w:p w14:paraId="22674DB8" w14:textId="77777777" w:rsidR="00454A29" w:rsidRDefault="00454A29">
            <w:pPr>
              <w:pStyle w:val="ConsPlusNormal"/>
              <w:jc w:val="center"/>
            </w:pPr>
            <w:r>
              <w:t>3 539 298,89</w:t>
            </w:r>
          </w:p>
        </w:tc>
        <w:tc>
          <w:tcPr>
            <w:tcW w:w="1701" w:type="dxa"/>
            <w:vAlign w:val="center"/>
          </w:tcPr>
          <w:p w14:paraId="701D5319" w14:textId="77777777" w:rsidR="00454A29" w:rsidRDefault="00454A29">
            <w:pPr>
              <w:pStyle w:val="ConsPlusNormal"/>
              <w:jc w:val="center"/>
            </w:pPr>
            <w:r>
              <w:t>-</w:t>
            </w:r>
          </w:p>
        </w:tc>
        <w:tc>
          <w:tcPr>
            <w:tcW w:w="1701" w:type="dxa"/>
            <w:vAlign w:val="center"/>
          </w:tcPr>
          <w:p w14:paraId="3009DC52" w14:textId="77777777" w:rsidR="00454A29" w:rsidRDefault="00454A29">
            <w:pPr>
              <w:pStyle w:val="ConsPlusNormal"/>
              <w:jc w:val="center"/>
            </w:pPr>
            <w:r>
              <w:t>412 755,46</w:t>
            </w:r>
          </w:p>
        </w:tc>
        <w:tc>
          <w:tcPr>
            <w:tcW w:w="1814" w:type="dxa"/>
            <w:vAlign w:val="center"/>
          </w:tcPr>
          <w:p w14:paraId="0556018C" w14:textId="77777777" w:rsidR="00454A29" w:rsidRDefault="00454A29">
            <w:pPr>
              <w:pStyle w:val="ConsPlusNormal"/>
              <w:jc w:val="center"/>
            </w:pPr>
            <w:r>
              <w:t>-</w:t>
            </w:r>
          </w:p>
        </w:tc>
      </w:tr>
      <w:tr w:rsidR="00454A29" w14:paraId="2CAD5D8A" w14:textId="77777777">
        <w:tc>
          <w:tcPr>
            <w:tcW w:w="567" w:type="dxa"/>
            <w:vMerge/>
          </w:tcPr>
          <w:p w14:paraId="6259EBD6" w14:textId="77777777" w:rsidR="00454A29" w:rsidRDefault="00454A29"/>
        </w:tc>
        <w:tc>
          <w:tcPr>
            <w:tcW w:w="3345" w:type="dxa"/>
            <w:vMerge/>
          </w:tcPr>
          <w:p w14:paraId="2EB96BA0" w14:textId="77777777" w:rsidR="00454A29" w:rsidRDefault="00454A29"/>
        </w:tc>
        <w:tc>
          <w:tcPr>
            <w:tcW w:w="1701" w:type="dxa"/>
            <w:vAlign w:val="center"/>
          </w:tcPr>
          <w:p w14:paraId="1A62AEC5" w14:textId="77777777" w:rsidR="00454A29" w:rsidRDefault="00454A29">
            <w:pPr>
              <w:pStyle w:val="ConsPlusNormal"/>
              <w:jc w:val="center"/>
            </w:pPr>
            <w:r>
              <w:t>2025</w:t>
            </w:r>
          </w:p>
        </w:tc>
        <w:tc>
          <w:tcPr>
            <w:tcW w:w="1417" w:type="dxa"/>
            <w:vMerge/>
          </w:tcPr>
          <w:p w14:paraId="56D786A5" w14:textId="77777777" w:rsidR="00454A29" w:rsidRDefault="00454A29"/>
        </w:tc>
        <w:tc>
          <w:tcPr>
            <w:tcW w:w="2204" w:type="dxa"/>
            <w:vMerge/>
          </w:tcPr>
          <w:p w14:paraId="255541EF" w14:textId="77777777" w:rsidR="00454A29" w:rsidRDefault="00454A29"/>
        </w:tc>
        <w:tc>
          <w:tcPr>
            <w:tcW w:w="1417" w:type="dxa"/>
            <w:vMerge/>
          </w:tcPr>
          <w:p w14:paraId="52CF2712" w14:textId="77777777" w:rsidR="00454A29" w:rsidRDefault="00454A29"/>
        </w:tc>
        <w:tc>
          <w:tcPr>
            <w:tcW w:w="2324" w:type="dxa"/>
            <w:vMerge/>
          </w:tcPr>
          <w:p w14:paraId="701AAEAF" w14:textId="77777777" w:rsidR="00454A29" w:rsidRDefault="00454A29"/>
        </w:tc>
        <w:tc>
          <w:tcPr>
            <w:tcW w:w="1701" w:type="dxa"/>
            <w:vAlign w:val="center"/>
          </w:tcPr>
          <w:p w14:paraId="4AAC64E9" w14:textId="77777777" w:rsidR="00454A29" w:rsidRDefault="00454A29">
            <w:pPr>
              <w:pStyle w:val="ConsPlusNormal"/>
              <w:jc w:val="center"/>
            </w:pPr>
            <w:r>
              <w:t>3 025 792,84</w:t>
            </w:r>
          </w:p>
        </w:tc>
        <w:tc>
          <w:tcPr>
            <w:tcW w:w="1814" w:type="dxa"/>
            <w:vAlign w:val="center"/>
          </w:tcPr>
          <w:p w14:paraId="52A829DE" w14:textId="77777777" w:rsidR="00454A29" w:rsidRDefault="00454A29">
            <w:pPr>
              <w:pStyle w:val="ConsPlusNormal"/>
              <w:jc w:val="center"/>
            </w:pPr>
            <w:r>
              <w:t>2 775 736,04</w:t>
            </w:r>
          </w:p>
        </w:tc>
        <w:tc>
          <w:tcPr>
            <w:tcW w:w="1701" w:type="dxa"/>
            <w:vAlign w:val="center"/>
          </w:tcPr>
          <w:p w14:paraId="185B00B8" w14:textId="77777777" w:rsidR="00454A29" w:rsidRDefault="00454A29">
            <w:pPr>
              <w:pStyle w:val="ConsPlusNormal"/>
              <w:jc w:val="center"/>
            </w:pPr>
            <w:r>
              <w:t>-</w:t>
            </w:r>
          </w:p>
        </w:tc>
        <w:tc>
          <w:tcPr>
            <w:tcW w:w="1701" w:type="dxa"/>
            <w:vAlign w:val="center"/>
          </w:tcPr>
          <w:p w14:paraId="763748DD" w14:textId="77777777" w:rsidR="00454A29" w:rsidRDefault="00454A29">
            <w:pPr>
              <w:pStyle w:val="ConsPlusNormal"/>
              <w:jc w:val="center"/>
            </w:pPr>
            <w:r>
              <w:t>250 056,80</w:t>
            </w:r>
          </w:p>
        </w:tc>
        <w:tc>
          <w:tcPr>
            <w:tcW w:w="1814" w:type="dxa"/>
            <w:vAlign w:val="center"/>
          </w:tcPr>
          <w:p w14:paraId="41F34510" w14:textId="77777777" w:rsidR="00454A29" w:rsidRDefault="00454A29">
            <w:pPr>
              <w:pStyle w:val="ConsPlusNormal"/>
              <w:jc w:val="center"/>
            </w:pPr>
            <w:r>
              <w:t>-</w:t>
            </w:r>
          </w:p>
        </w:tc>
      </w:tr>
      <w:tr w:rsidR="00454A29" w14:paraId="5351E92B" w14:textId="77777777">
        <w:tc>
          <w:tcPr>
            <w:tcW w:w="567" w:type="dxa"/>
            <w:vMerge/>
          </w:tcPr>
          <w:p w14:paraId="11EA5219" w14:textId="77777777" w:rsidR="00454A29" w:rsidRDefault="00454A29"/>
        </w:tc>
        <w:tc>
          <w:tcPr>
            <w:tcW w:w="3345" w:type="dxa"/>
            <w:vMerge/>
          </w:tcPr>
          <w:p w14:paraId="655C5030" w14:textId="77777777" w:rsidR="00454A29" w:rsidRDefault="00454A29"/>
        </w:tc>
        <w:tc>
          <w:tcPr>
            <w:tcW w:w="1701" w:type="dxa"/>
            <w:vAlign w:val="center"/>
          </w:tcPr>
          <w:p w14:paraId="217D29BD" w14:textId="77777777" w:rsidR="00454A29" w:rsidRDefault="00454A29">
            <w:pPr>
              <w:pStyle w:val="ConsPlusNormal"/>
              <w:jc w:val="center"/>
            </w:pPr>
            <w:r>
              <w:t>2026</w:t>
            </w:r>
          </w:p>
        </w:tc>
        <w:tc>
          <w:tcPr>
            <w:tcW w:w="1417" w:type="dxa"/>
            <w:vMerge/>
          </w:tcPr>
          <w:p w14:paraId="59B70B81" w14:textId="77777777" w:rsidR="00454A29" w:rsidRDefault="00454A29"/>
        </w:tc>
        <w:tc>
          <w:tcPr>
            <w:tcW w:w="2204" w:type="dxa"/>
            <w:vMerge/>
          </w:tcPr>
          <w:p w14:paraId="5E413784" w14:textId="77777777" w:rsidR="00454A29" w:rsidRDefault="00454A29"/>
        </w:tc>
        <w:tc>
          <w:tcPr>
            <w:tcW w:w="1417" w:type="dxa"/>
            <w:vMerge/>
          </w:tcPr>
          <w:p w14:paraId="06FBB320" w14:textId="77777777" w:rsidR="00454A29" w:rsidRDefault="00454A29"/>
        </w:tc>
        <w:tc>
          <w:tcPr>
            <w:tcW w:w="2324" w:type="dxa"/>
            <w:vMerge/>
          </w:tcPr>
          <w:p w14:paraId="011382E2" w14:textId="77777777" w:rsidR="00454A29" w:rsidRDefault="00454A29"/>
        </w:tc>
        <w:tc>
          <w:tcPr>
            <w:tcW w:w="1701" w:type="dxa"/>
            <w:vAlign w:val="center"/>
          </w:tcPr>
          <w:p w14:paraId="6490CAAD" w14:textId="77777777" w:rsidR="00454A29" w:rsidRDefault="00454A29">
            <w:pPr>
              <w:pStyle w:val="ConsPlusNormal"/>
              <w:jc w:val="center"/>
            </w:pPr>
            <w:r>
              <w:t>1 323 699,47</w:t>
            </w:r>
          </w:p>
        </w:tc>
        <w:tc>
          <w:tcPr>
            <w:tcW w:w="1814" w:type="dxa"/>
            <w:vAlign w:val="center"/>
          </w:tcPr>
          <w:p w14:paraId="21BC3FFE" w14:textId="77777777" w:rsidR="00454A29" w:rsidRDefault="00454A29">
            <w:pPr>
              <w:pStyle w:val="ConsPlusNormal"/>
              <w:jc w:val="center"/>
            </w:pPr>
            <w:r>
              <w:t>1 201 516,94</w:t>
            </w:r>
          </w:p>
        </w:tc>
        <w:tc>
          <w:tcPr>
            <w:tcW w:w="1701" w:type="dxa"/>
            <w:vAlign w:val="center"/>
          </w:tcPr>
          <w:p w14:paraId="4DEFBCDA" w14:textId="77777777" w:rsidR="00454A29" w:rsidRDefault="00454A29">
            <w:pPr>
              <w:pStyle w:val="ConsPlusNormal"/>
              <w:jc w:val="center"/>
            </w:pPr>
            <w:r>
              <w:t>-</w:t>
            </w:r>
          </w:p>
        </w:tc>
        <w:tc>
          <w:tcPr>
            <w:tcW w:w="1701" w:type="dxa"/>
            <w:vAlign w:val="center"/>
          </w:tcPr>
          <w:p w14:paraId="012CDF46" w14:textId="77777777" w:rsidR="00454A29" w:rsidRDefault="00454A29">
            <w:pPr>
              <w:pStyle w:val="ConsPlusNormal"/>
              <w:jc w:val="center"/>
            </w:pPr>
            <w:r>
              <w:t>122 182,53</w:t>
            </w:r>
          </w:p>
        </w:tc>
        <w:tc>
          <w:tcPr>
            <w:tcW w:w="1814" w:type="dxa"/>
            <w:vAlign w:val="center"/>
          </w:tcPr>
          <w:p w14:paraId="317E3F5F" w14:textId="77777777" w:rsidR="00454A29" w:rsidRDefault="00454A29">
            <w:pPr>
              <w:pStyle w:val="ConsPlusNormal"/>
              <w:jc w:val="center"/>
            </w:pPr>
            <w:r>
              <w:t>-</w:t>
            </w:r>
          </w:p>
        </w:tc>
      </w:tr>
      <w:tr w:rsidR="00454A29" w14:paraId="08BEAA45" w14:textId="77777777">
        <w:tc>
          <w:tcPr>
            <w:tcW w:w="21706" w:type="dxa"/>
            <w:gridSpan w:val="12"/>
            <w:vAlign w:val="center"/>
          </w:tcPr>
          <w:p w14:paraId="086AEACF" w14:textId="77777777" w:rsidR="00454A29" w:rsidRDefault="00454A29">
            <w:pPr>
              <w:pStyle w:val="ConsPlusNormal"/>
              <w:jc w:val="center"/>
            </w:pPr>
            <w:r>
              <w:t>Мероприятие 10.1.1.</w:t>
            </w:r>
          </w:p>
        </w:tc>
      </w:tr>
      <w:tr w:rsidR="00454A29" w14:paraId="4EC377A4" w14:textId="77777777">
        <w:tc>
          <w:tcPr>
            <w:tcW w:w="567" w:type="dxa"/>
            <w:vMerge w:val="restart"/>
            <w:vAlign w:val="center"/>
          </w:tcPr>
          <w:p w14:paraId="1596CCD8" w14:textId="77777777" w:rsidR="00454A29" w:rsidRDefault="00454A29">
            <w:pPr>
              <w:pStyle w:val="ConsPlusNormal"/>
            </w:pPr>
          </w:p>
        </w:tc>
        <w:tc>
          <w:tcPr>
            <w:tcW w:w="3345" w:type="dxa"/>
            <w:vMerge w:val="restart"/>
            <w:vAlign w:val="center"/>
          </w:tcPr>
          <w:p w14:paraId="553D41A6" w14:textId="77777777" w:rsidR="00454A29" w:rsidRDefault="00454A29">
            <w:pPr>
              <w:pStyle w:val="ConsPlusNormal"/>
              <w:jc w:val="center"/>
            </w:pPr>
            <w:r>
              <w:t>Строительство, приобретение и реконструкция зданий дошкольного образования</w:t>
            </w:r>
          </w:p>
        </w:tc>
        <w:tc>
          <w:tcPr>
            <w:tcW w:w="1701" w:type="dxa"/>
            <w:vAlign w:val="center"/>
          </w:tcPr>
          <w:p w14:paraId="2A0C6C93" w14:textId="77777777" w:rsidR="00454A29" w:rsidRDefault="00454A29">
            <w:pPr>
              <w:pStyle w:val="ConsPlusNormal"/>
              <w:jc w:val="center"/>
            </w:pPr>
            <w:r>
              <w:t>2020 - 2026 годы - всего</w:t>
            </w:r>
          </w:p>
        </w:tc>
        <w:tc>
          <w:tcPr>
            <w:tcW w:w="1417" w:type="dxa"/>
            <w:vMerge w:val="restart"/>
            <w:vAlign w:val="center"/>
          </w:tcPr>
          <w:p w14:paraId="39AE1320" w14:textId="77777777" w:rsidR="00454A29" w:rsidRDefault="00454A29">
            <w:pPr>
              <w:pStyle w:val="ConsPlusNormal"/>
              <w:jc w:val="center"/>
            </w:pPr>
            <w:r>
              <w:t>х</w:t>
            </w:r>
          </w:p>
        </w:tc>
        <w:tc>
          <w:tcPr>
            <w:tcW w:w="2204" w:type="dxa"/>
            <w:vMerge w:val="restart"/>
            <w:vAlign w:val="center"/>
          </w:tcPr>
          <w:p w14:paraId="662096A7" w14:textId="77777777" w:rsidR="00454A29" w:rsidRDefault="00454A29">
            <w:pPr>
              <w:pStyle w:val="ConsPlusNormal"/>
              <w:jc w:val="center"/>
            </w:pPr>
            <w:r>
              <w:t>х</w:t>
            </w:r>
          </w:p>
        </w:tc>
        <w:tc>
          <w:tcPr>
            <w:tcW w:w="1417" w:type="dxa"/>
            <w:vMerge w:val="restart"/>
            <w:vAlign w:val="center"/>
          </w:tcPr>
          <w:p w14:paraId="0B407151" w14:textId="77777777" w:rsidR="00454A29" w:rsidRDefault="00454A29">
            <w:pPr>
              <w:pStyle w:val="ConsPlusNormal"/>
              <w:jc w:val="center"/>
            </w:pPr>
            <w:r>
              <w:t>5324</w:t>
            </w:r>
          </w:p>
        </w:tc>
        <w:tc>
          <w:tcPr>
            <w:tcW w:w="2324" w:type="dxa"/>
            <w:vMerge w:val="restart"/>
            <w:vAlign w:val="center"/>
          </w:tcPr>
          <w:p w14:paraId="4247F270" w14:textId="77777777" w:rsidR="00454A29" w:rsidRDefault="00454A29">
            <w:pPr>
              <w:pStyle w:val="ConsPlusNormal"/>
              <w:jc w:val="center"/>
            </w:pPr>
            <w:r>
              <w:t>х</w:t>
            </w:r>
          </w:p>
        </w:tc>
        <w:tc>
          <w:tcPr>
            <w:tcW w:w="1701" w:type="dxa"/>
            <w:vAlign w:val="center"/>
          </w:tcPr>
          <w:p w14:paraId="5D2C8D80" w14:textId="77777777" w:rsidR="00454A29" w:rsidRDefault="00454A29">
            <w:pPr>
              <w:pStyle w:val="ConsPlusNormal"/>
              <w:jc w:val="center"/>
            </w:pPr>
            <w:r>
              <w:t>6 712 242,06</w:t>
            </w:r>
          </w:p>
        </w:tc>
        <w:tc>
          <w:tcPr>
            <w:tcW w:w="1814" w:type="dxa"/>
            <w:vAlign w:val="center"/>
          </w:tcPr>
          <w:p w14:paraId="113D4709" w14:textId="77777777" w:rsidR="00454A29" w:rsidRDefault="00454A29">
            <w:pPr>
              <w:pStyle w:val="ConsPlusNormal"/>
              <w:jc w:val="center"/>
            </w:pPr>
            <w:r>
              <w:t>6 712 242,06</w:t>
            </w:r>
          </w:p>
        </w:tc>
        <w:tc>
          <w:tcPr>
            <w:tcW w:w="1701" w:type="dxa"/>
            <w:vAlign w:val="center"/>
          </w:tcPr>
          <w:p w14:paraId="76DAEE72" w14:textId="77777777" w:rsidR="00454A29" w:rsidRDefault="00454A29">
            <w:pPr>
              <w:pStyle w:val="ConsPlusNormal"/>
              <w:jc w:val="center"/>
            </w:pPr>
            <w:r>
              <w:t>-</w:t>
            </w:r>
          </w:p>
        </w:tc>
        <w:tc>
          <w:tcPr>
            <w:tcW w:w="1701" w:type="dxa"/>
            <w:vAlign w:val="center"/>
          </w:tcPr>
          <w:p w14:paraId="47FA84DF" w14:textId="77777777" w:rsidR="00454A29" w:rsidRDefault="00454A29">
            <w:pPr>
              <w:pStyle w:val="ConsPlusNormal"/>
              <w:jc w:val="center"/>
            </w:pPr>
            <w:r>
              <w:t>-</w:t>
            </w:r>
          </w:p>
        </w:tc>
        <w:tc>
          <w:tcPr>
            <w:tcW w:w="1814" w:type="dxa"/>
            <w:vAlign w:val="center"/>
          </w:tcPr>
          <w:p w14:paraId="70C849C8" w14:textId="77777777" w:rsidR="00454A29" w:rsidRDefault="00454A29">
            <w:pPr>
              <w:pStyle w:val="ConsPlusNormal"/>
              <w:jc w:val="center"/>
            </w:pPr>
            <w:r>
              <w:t>-</w:t>
            </w:r>
          </w:p>
        </w:tc>
      </w:tr>
      <w:tr w:rsidR="00454A29" w14:paraId="76CC17E4" w14:textId="77777777">
        <w:tc>
          <w:tcPr>
            <w:tcW w:w="567" w:type="dxa"/>
            <w:vMerge/>
          </w:tcPr>
          <w:p w14:paraId="3BD19D54" w14:textId="77777777" w:rsidR="00454A29" w:rsidRDefault="00454A29"/>
        </w:tc>
        <w:tc>
          <w:tcPr>
            <w:tcW w:w="3345" w:type="dxa"/>
            <w:vMerge/>
          </w:tcPr>
          <w:p w14:paraId="738D75AE" w14:textId="77777777" w:rsidR="00454A29" w:rsidRDefault="00454A29"/>
        </w:tc>
        <w:tc>
          <w:tcPr>
            <w:tcW w:w="1701" w:type="dxa"/>
            <w:vAlign w:val="center"/>
          </w:tcPr>
          <w:p w14:paraId="14E89012" w14:textId="77777777" w:rsidR="00454A29" w:rsidRDefault="00454A29">
            <w:pPr>
              <w:pStyle w:val="ConsPlusNormal"/>
              <w:jc w:val="center"/>
            </w:pPr>
            <w:r>
              <w:t>2020</w:t>
            </w:r>
          </w:p>
        </w:tc>
        <w:tc>
          <w:tcPr>
            <w:tcW w:w="1417" w:type="dxa"/>
            <w:vMerge/>
          </w:tcPr>
          <w:p w14:paraId="38EBBFC2" w14:textId="77777777" w:rsidR="00454A29" w:rsidRDefault="00454A29"/>
        </w:tc>
        <w:tc>
          <w:tcPr>
            <w:tcW w:w="2204" w:type="dxa"/>
            <w:vMerge/>
          </w:tcPr>
          <w:p w14:paraId="47283850" w14:textId="77777777" w:rsidR="00454A29" w:rsidRDefault="00454A29"/>
        </w:tc>
        <w:tc>
          <w:tcPr>
            <w:tcW w:w="1417" w:type="dxa"/>
            <w:vMerge/>
          </w:tcPr>
          <w:p w14:paraId="6D052FCC" w14:textId="77777777" w:rsidR="00454A29" w:rsidRDefault="00454A29"/>
        </w:tc>
        <w:tc>
          <w:tcPr>
            <w:tcW w:w="2324" w:type="dxa"/>
            <w:vMerge/>
          </w:tcPr>
          <w:p w14:paraId="7B07A409" w14:textId="77777777" w:rsidR="00454A29" w:rsidRDefault="00454A29"/>
        </w:tc>
        <w:tc>
          <w:tcPr>
            <w:tcW w:w="1701" w:type="dxa"/>
            <w:vAlign w:val="center"/>
          </w:tcPr>
          <w:p w14:paraId="6F2CE215" w14:textId="77777777" w:rsidR="00454A29" w:rsidRDefault="00454A29">
            <w:pPr>
              <w:pStyle w:val="ConsPlusNormal"/>
              <w:jc w:val="center"/>
            </w:pPr>
            <w:r>
              <w:t>-</w:t>
            </w:r>
          </w:p>
        </w:tc>
        <w:tc>
          <w:tcPr>
            <w:tcW w:w="1814" w:type="dxa"/>
            <w:vAlign w:val="center"/>
          </w:tcPr>
          <w:p w14:paraId="27EA205D" w14:textId="77777777" w:rsidR="00454A29" w:rsidRDefault="00454A29">
            <w:pPr>
              <w:pStyle w:val="ConsPlusNormal"/>
              <w:jc w:val="center"/>
            </w:pPr>
            <w:r>
              <w:t>-</w:t>
            </w:r>
          </w:p>
        </w:tc>
        <w:tc>
          <w:tcPr>
            <w:tcW w:w="1701" w:type="dxa"/>
            <w:vAlign w:val="center"/>
          </w:tcPr>
          <w:p w14:paraId="5BE85671" w14:textId="77777777" w:rsidR="00454A29" w:rsidRDefault="00454A29">
            <w:pPr>
              <w:pStyle w:val="ConsPlusNormal"/>
              <w:jc w:val="center"/>
            </w:pPr>
            <w:r>
              <w:t>-</w:t>
            </w:r>
          </w:p>
        </w:tc>
        <w:tc>
          <w:tcPr>
            <w:tcW w:w="1701" w:type="dxa"/>
            <w:vAlign w:val="center"/>
          </w:tcPr>
          <w:p w14:paraId="7B4911E7" w14:textId="77777777" w:rsidR="00454A29" w:rsidRDefault="00454A29">
            <w:pPr>
              <w:pStyle w:val="ConsPlusNormal"/>
              <w:jc w:val="center"/>
            </w:pPr>
            <w:r>
              <w:t>-</w:t>
            </w:r>
          </w:p>
        </w:tc>
        <w:tc>
          <w:tcPr>
            <w:tcW w:w="1814" w:type="dxa"/>
            <w:vAlign w:val="center"/>
          </w:tcPr>
          <w:p w14:paraId="3D40B77D" w14:textId="77777777" w:rsidR="00454A29" w:rsidRDefault="00454A29">
            <w:pPr>
              <w:pStyle w:val="ConsPlusNormal"/>
              <w:jc w:val="center"/>
            </w:pPr>
            <w:r>
              <w:t>-</w:t>
            </w:r>
          </w:p>
        </w:tc>
      </w:tr>
      <w:tr w:rsidR="00454A29" w14:paraId="45D9CD0B" w14:textId="77777777">
        <w:tc>
          <w:tcPr>
            <w:tcW w:w="567" w:type="dxa"/>
            <w:vMerge/>
          </w:tcPr>
          <w:p w14:paraId="0EBD6BBC" w14:textId="77777777" w:rsidR="00454A29" w:rsidRDefault="00454A29"/>
        </w:tc>
        <w:tc>
          <w:tcPr>
            <w:tcW w:w="3345" w:type="dxa"/>
            <w:vMerge/>
          </w:tcPr>
          <w:p w14:paraId="13DABFF9" w14:textId="77777777" w:rsidR="00454A29" w:rsidRDefault="00454A29"/>
        </w:tc>
        <w:tc>
          <w:tcPr>
            <w:tcW w:w="1701" w:type="dxa"/>
            <w:vAlign w:val="center"/>
          </w:tcPr>
          <w:p w14:paraId="4A038188" w14:textId="77777777" w:rsidR="00454A29" w:rsidRDefault="00454A29">
            <w:pPr>
              <w:pStyle w:val="ConsPlusNormal"/>
              <w:jc w:val="center"/>
            </w:pPr>
            <w:r>
              <w:t>2021</w:t>
            </w:r>
          </w:p>
        </w:tc>
        <w:tc>
          <w:tcPr>
            <w:tcW w:w="1417" w:type="dxa"/>
            <w:vMerge/>
          </w:tcPr>
          <w:p w14:paraId="038D2297" w14:textId="77777777" w:rsidR="00454A29" w:rsidRDefault="00454A29"/>
        </w:tc>
        <w:tc>
          <w:tcPr>
            <w:tcW w:w="2204" w:type="dxa"/>
            <w:vMerge/>
          </w:tcPr>
          <w:p w14:paraId="5874A8B6" w14:textId="77777777" w:rsidR="00454A29" w:rsidRDefault="00454A29"/>
        </w:tc>
        <w:tc>
          <w:tcPr>
            <w:tcW w:w="1417" w:type="dxa"/>
            <w:vMerge/>
          </w:tcPr>
          <w:p w14:paraId="0E792E41" w14:textId="77777777" w:rsidR="00454A29" w:rsidRDefault="00454A29"/>
        </w:tc>
        <w:tc>
          <w:tcPr>
            <w:tcW w:w="2324" w:type="dxa"/>
            <w:vMerge/>
          </w:tcPr>
          <w:p w14:paraId="59F028D0" w14:textId="77777777" w:rsidR="00454A29" w:rsidRDefault="00454A29"/>
        </w:tc>
        <w:tc>
          <w:tcPr>
            <w:tcW w:w="1701" w:type="dxa"/>
            <w:vAlign w:val="center"/>
          </w:tcPr>
          <w:p w14:paraId="6D5A8C0D" w14:textId="77777777" w:rsidR="00454A29" w:rsidRDefault="00454A29">
            <w:pPr>
              <w:pStyle w:val="ConsPlusNormal"/>
              <w:jc w:val="center"/>
            </w:pPr>
            <w:r>
              <w:t>-</w:t>
            </w:r>
          </w:p>
        </w:tc>
        <w:tc>
          <w:tcPr>
            <w:tcW w:w="1814" w:type="dxa"/>
            <w:vAlign w:val="center"/>
          </w:tcPr>
          <w:p w14:paraId="45BBBC6B" w14:textId="77777777" w:rsidR="00454A29" w:rsidRDefault="00454A29">
            <w:pPr>
              <w:pStyle w:val="ConsPlusNormal"/>
              <w:jc w:val="center"/>
            </w:pPr>
            <w:r>
              <w:t>-</w:t>
            </w:r>
          </w:p>
        </w:tc>
        <w:tc>
          <w:tcPr>
            <w:tcW w:w="1701" w:type="dxa"/>
            <w:vAlign w:val="center"/>
          </w:tcPr>
          <w:p w14:paraId="4E382BB6" w14:textId="77777777" w:rsidR="00454A29" w:rsidRDefault="00454A29">
            <w:pPr>
              <w:pStyle w:val="ConsPlusNormal"/>
              <w:jc w:val="center"/>
            </w:pPr>
            <w:r>
              <w:t>-</w:t>
            </w:r>
          </w:p>
        </w:tc>
        <w:tc>
          <w:tcPr>
            <w:tcW w:w="1701" w:type="dxa"/>
            <w:vAlign w:val="center"/>
          </w:tcPr>
          <w:p w14:paraId="5BF1D2F6" w14:textId="77777777" w:rsidR="00454A29" w:rsidRDefault="00454A29">
            <w:pPr>
              <w:pStyle w:val="ConsPlusNormal"/>
              <w:jc w:val="center"/>
            </w:pPr>
            <w:r>
              <w:t>-</w:t>
            </w:r>
          </w:p>
        </w:tc>
        <w:tc>
          <w:tcPr>
            <w:tcW w:w="1814" w:type="dxa"/>
            <w:vAlign w:val="center"/>
          </w:tcPr>
          <w:p w14:paraId="67370C25" w14:textId="77777777" w:rsidR="00454A29" w:rsidRDefault="00454A29">
            <w:pPr>
              <w:pStyle w:val="ConsPlusNormal"/>
              <w:jc w:val="center"/>
            </w:pPr>
            <w:r>
              <w:t>-</w:t>
            </w:r>
          </w:p>
        </w:tc>
      </w:tr>
      <w:tr w:rsidR="00454A29" w14:paraId="6C26ED4F" w14:textId="77777777">
        <w:tc>
          <w:tcPr>
            <w:tcW w:w="567" w:type="dxa"/>
            <w:vMerge/>
          </w:tcPr>
          <w:p w14:paraId="4F9C0486" w14:textId="77777777" w:rsidR="00454A29" w:rsidRDefault="00454A29"/>
        </w:tc>
        <w:tc>
          <w:tcPr>
            <w:tcW w:w="3345" w:type="dxa"/>
            <w:vMerge/>
          </w:tcPr>
          <w:p w14:paraId="2F66673E" w14:textId="77777777" w:rsidR="00454A29" w:rsidRDefault="00454A29"/>
        </w:tc>
        <w:tc>
          <w:tcPr>
            <w:tcW w:w="1701" w:type="dxa"/>
            <w:vAlign w:val="center"/>
          </w:tcPr>
          <w:p w14:paraId="069371D8" w14:textId="77777777" w:rsidR="00454A29" w:rsidRDefault="00454A29">
            <w:pPr>
              <w:pStyle w:val="ConsPlusNormal"/>
              <w:jc w:val="center"/>
            </w:pPr>
            <w:r>
              <w:t>2022</w:t>
            </w:r>
          </w:p>
        </w:tc>
        <w:tc>
          <w:tcPr>
            <w:tcW w:w="1417" w:type="dxa"/>
            <w:vMerge/>
          </w:tcPr>
          <w:p w14:paraId="61832769" w14:textId="77777777" w:rsidR="00454A29" w:rsidRDefault="00454A29"/>
        </w:tc>
        <w:tc>
          <w:tcPr>
            <w:tcW w:w="2204" w:type="dxa"/>
            <w:vMerge/>
          </w:tcPr>
          <w:p w14:paraId="7F8BCCF8" w14:textId="77777777" w:rsidR="00454A29" w:rsidRDefault="00454A29"/>
        </w:tc>
        <w:tc>
          <w:tcPr>
            <w:tcW w:w="1417" w:type="dxa"/>
            <w:vMerge/>
          </w:tcPr>
          <w:p w14:paraId="31434087" w14:textId="77777777" w:rsidR="00454A29" w:rsidRDefault="00454A29"/>
        </w:tc>
        <w:tc>
          <w:tcPr>
            <w:tcW w:w="2324" w:type="dxa"/>
            <w:vMerge/>
          </w:tcPr>
          <w:p w14:paraId="7C0F4D63" w14:textId="77777777" w:rsidR="00454A29" w:rsidRDefault="00454A29"/>
        </w:tc>
        <w:tc>
          <w:tcPr>
            <w:tcW w:w="1701" w:type="dxa"/>
            <w:vAlign w:val="center"/>
          </w:tcPr>
          <w:p w14:paraId="7218C0B4" w14:textId="77777777" w:rsidR="00454A29" w:rsidRDefault="00454A29">
            <w:pPr>
              <w:pStyle w:val="ConsPlusNormal"/>
              <w:jc w:val="center"/>
            </w:pPr>
            <w:r>
              <w:t>-</w:t>
            </w:r>
          </w:p>
        </w:tc>
        <w:tc>
          <w:tcPr>
            <w:tcW w:w="1814" w:type="dxa"/>
            <w:vAlign w:val="center"/>
          </w:tcPr>
          <w:p w14:paraId="3AA5AF67" w14:textId="77777777" w:rsidR="00454A29" w:rsidRDefault="00454A29">
            <w:pPr>
              <w:pStyle w:val="ConsPlusNormal"/>
              <w:jc w:val="center"/>
            </w:pPr>
            <w:r>
              <w:t>-</w:t>
            </w:r>
          </w:p>
        </w:tc>
        <w:tc>
          <w:tcPr>
            <w:tcW w:w="1701" w:type="dxa"/>
            <w:vAlign w:val="center"/>
          </w:tcPr>
          <w:p w14:paraId="0146DF8F" w14:textId="77777777" w:rsidR="00454A29" w:rsidRDefault="00454A29">
            <w:pPr>
              <w:pStyle w:val="ConsPlusNormal"/>
              <w:jc w:val="center"/>
            </w:pPr>
            <w:r>
              <w:t>-</w:t>
            </w:r>
          </w:p>
        </w:tc>
        <w:tc>
          <w:tcPr>
            <w:tcW w:w="1701" w:type="dxa"/>
            <w:vAlign w:val="center"/>
          </w:tcPr>
          <w:p w14:paraId="16FB1BF6" w14:textId="77777777" w:rsidR="00454A29" w:rsidRDefault="00454A29">
            <w:pPr>
              <w:pStyle w:val="ConsPlusNormal"/>
              <w:jc w:val="center"/>
            </w:pPr>
            <w:r>
              <w:t>-</w:t>
            </w:r>
          </w:p>
        </w:tc>
        <w:tc>
          <w:tcPr>
            <w:tcW w:w="1814" w:type="dxa"/>
            <w:vAlign w:val="center"/>
          </w:tcPr>
          <w:p w14:paraId="3A6C69E3" w14:textId="77777777" w:rsidR="00454A29" w:rsidRDefault="00454A29">
            <w:pPr>
              <w:pStyle w:val="ConsPlusNormal"/>
              <w:jc w:val="center"/>
            </w:pPr>
            <w:r>
              <w:t>-</w:t>
            </w:r>
          </w:p>
        </w:tc>
      </w:tr>
      <w:tr w:rsidR="00454A29" w14:paraId="53197561" w14:textId="77777777">
        <w:tc>
          <w:tcPr>
            <w:tcW w:w="567" w:type="dxa"/>
            <w:vMerge/>
          </w:tcPr>
          <w:p w14:paraId="2C6AEEEE" w14:textId="77777777" w:rsidR="00454A29" w:rsidRDefault="00454A29"/>
        </w:tc>
        <w:tc>
          <w:tcPr>
            <w:tcW w:w="3345" w:type="dxa"/>
            <w:vMerge/>
          </w:tcPr>
          <w:p w14:paraId="1D5CE46C" w14:textId="77777777" w:rsidR="00454A29" w:rsidRDefault="00454A29"/>
        </w:tc>
        <w:tc>
          <w:tcPr>
            <w:tcW w:w="1701" w:type="dxa"/>
            <w:vAlign w:val="center"/>
          </w:tcPr>
          <w:p w14:paraId="0FB3D369" w14:textId="77777777" w:rsidR="00454A29" w:rsidRDefault="00454A29">
            <w:pPr>
              <w:pStyle w:val="ConsPlusNormal"/>
              <w:jc w:val="center"/>
            </w:pPr>
            <w:r>
              <w:t>2023</w:t>
            </w:r>
          </w:p>
        </w:tc>
        <w:tc>
          <w:tcPr>
            <w:tcW w:w="1417" w:type="dxa"/>
            <w:vMerge/>
          </w:tcPr>
          <w:p w14:paraId="00C22443" w14:textId="77777777" w:rsidR="00454A29" w:rsidRDefault="00454A29"/>
        </w:tc>
        <w:tc>
          <w:tcPr>
            <w:tcW w:w="2204" w:type="dxa"/>
            <w:vMerge/>
          </w:tcPr>
          <w:p w14:paraId="32F5CBE6" w14:textId="77777777" w:rsidR="00454A29" w:rsidRDefault="00454A29"/>
        </w:tc>
        <w:tc>
          <w:tcPr>
            <w:tcW w:w="1417" w:type="dxa"/>
            <w:vMerge/>
          </w:tcPr>
          <w:p w14:paraId="1A9BFAD1" w14:textId="77777777" w:rsidR="00454A29" w:rsidRDefault="00454A29"/>
        </w:tc>
        <w:tc>
          <w:tcPr>
            <w:tcW w:w="2324" w:type="dxa"/>
            <w:vMerge/>
          </w:tcPr>
          <w:p w14:paraId="6CF1F51C" w14:textId="77777777" w:rsidR="00454A29" w:rsidRDefault="00454A29"/>
        </w:tc>
        <w:tc>
          <w:tcPr>
            <w:tcW w:w="1701" w:type="dxa"/>
            <w:vAlign w:val="center"/>
          </w:tcPr>
          <w:p w14:paraId="195518D1" w14:textId="77777777" w:rsidR="00454A29" w:rsidRDefault="00454A29">
            <w:pPr>
              <w:pStyle w:val="ConsPlusNormal"/>
              <w:jc w:val="center"/>
            </w:pPr>
            <w:r>
              <w:t>1 902 615,81</w:t>
            </w:r>
          </w:p>
        </w:tc>
        <w:tc>
          <w:tcPr>
            <w:tcW w:w="1814" w:type="dxa"/>
            <w:vAlign w:val="center"/>
          </w:tcPr>
          <w:p w14:paraId="70A5B981" w14:textId="77777777" w:rsidR="00454A29" w:rsidRDefault="00454A29">
            <w:pPr>
              <w:pStyle w:val="ConsPlusNormal"/>
              <w:jc w:val="center"/>
            </w:pPr>
            <w:r>
              <w:t>1 902 615,81</w:t>
            </w:r>
          </w:p>
        </w:tc>
        <w:tc>
          <w:tcPr>
            <w:tcW w:w="1701" w:type="dxa"/>
            <w:vAlign w:val="center"/>
          </w:tcPr>
          <w:p w14:paraId="20CA70D1" w14:textId="77777777" w:rsidR="00454A29" w:rsidRDefault="00454A29">
            <w:pPr>
              <w:pStyle w:val="ConsPlusNormal"/>
              <w:jc w:val="center"/>
            </w:pPr>
            <w:r>
              <w:t>-</w:t>
            </w:r>
          </w:p>
        </w:tc>
        <w:tc>
          <w:tcPr>
            <w:tcW w:w="1701" w:type="dxa"/>
            <w:vAlign w:val="center"/>
          </w:tcPr>
          <w:p w14:paraId="1156CB95" w14:textId="77777777" w:rsidR="00454A29" w:rsidRDefault="00454A29">
            <w:pPr>
              <w:pStyle w:val="ConsPlusNormal"/>
              <w:jc w:val="center"/>
            </w:pPr>
            <w:r>
              <w:t>-</w:t>
            </w:r>
          </w:p>
        </w:tc>
        <w:tc>
          <w:tcPr>
            <w:tcW w:w="1814" w:type="dxa"/>
            <w:vAlign w:val="center"/>
          </w:tcPr>
          <w:p w14:paraId="49CCDBCF" w14:textId="77777777" w:rsidR="00454A29" w:rsidRDefault="00454A29">
            <w:pPr>
              <w:pStyle w:val="ConsPlusNormal"/>
              <w:jc w:val="center"/>
            </w:pPr>
            <w:r>
              <w:t>-</w:t>
            </w:r>
          </w:p>
        </w:tc>
      </w:tr>
      <w:tr w:rsidR="00454A29" w14:paraId="03464E5F" w14:textId="77777777">
        <w:tc>
          <w:tcPr>
            <w:tcW w:w="567" w:type="dxa"/>
            <w:vMerge/>
          </w:tcPr>
          <w:p w14:paraId="12B8FAA2" w14:textId="77777777" w:rsidR="00454A29" w:rsidRDefault="00454A29"/>
        </w:tc>
        <w:tc>
          <w:tcPr>
            <w:tcW w:w="3345" w:type="dxa"/>
            <w:vMerge/>
          </w:tcPr>
          <w:p w14:paraId="5D73DE02" w14:textId="77777777" w:rsidR="00454A29" w:rsidRDefault="00454A29"/>
        </w:tc>
        <w:tc>
          <w:tcPr>
            <w:tcW w:w="1701" w:type="dxa"/>
            <w:vAlign w:val="center"/>
          </w:tcPr>
          <w:p w14:paraId="4118E5AB" w14:textId="77777777" w:rsidR="00454A29" w:rsidRDefault="00454A29">
            <w:pPr>
              <w:pStyle w:val="ConsPlusNormal"/>
              <w:jc w:val="center"/>
            </w:pPr>
            <w:r>
              <w:t>2024</w:t>
            </w:r>
          </w:p>
        </w:tc>
        <w:tc>
          <w:tcPr>
            <w:tcW w:w="1417" w:type="dxa"/>
            <w:vMerge/>
          </w:tcPr>
          <w:p w14:paraId="732F9D05" w14:textId="77777777" w:rsidR="00454A29" w:rsidRDefault="00454A29"/>
        </w:tc>
        <w:tc>
          <w:tcPr>
            <w:tcW w:w="2204" w:type="dxa"/>
            <w:vMerge/>
          </w:tcPr>
          <w:p w14:paraId="04A7C919" w14:textId="77777777" w:rsidR="00454A29" w:rsidRDefault="00454A29"/>
        </w:tc>
        <w:tc>
          <w:tcPr>
            <w:tcW w:w="1417" w:type="dxa"/>
            <w:vMerge/>
          </w:tcPr>
          <w:p w14:paraId="33DA765C" w14:textId="77777777" w:rsidR="00454A29" w:rsidRDefault="00454A29"/>
        </w:tc>
        <w:tc>
          <w:tcPr>
            <w:tcW w:w="2324" w:type="dxa"/>
            <w:vMerge/>
          </w:tcPr>
          <w:p w14:paraId="5EFB7CB0" w14:textId="77777777" w:rsidR="00454A29" w:rsidRDefault="00454A29"/>
        </w:tc>
        <w:tc>
          <w:tcPr>
            <w:tcW w:w="1701" w:type="dxa"/>
            <w:vAlign w:val="center"/>
          </w:tcPr>
          <w:p w14:paraId="70EB60E6" w14:textId="77777777" w:rsidR="00454A29" w:rsidRDefault="00454A29">
            <w:pPr>
              <w:pStyle w:val="ConsPlusNormal"/>
              <w:jc w:val="center"/>
            </w:pPr>
            <w:r>
              <w:t>2 351 680,48</w:t>
            </w:r>
          </w:p>
        </w:tc>
        <w:tc>
          <w:tcPr>
            <w:tcW w:w="1814" w:type="dxa"/>
            <w:vAlign w:val="center"/>
          </w:tcPr>
          <w:p w14:paraId="10F14627" w14:textId="77777777" w:rsidR="00454A29" w:rsidRDefault="00454A29">
            <w:pPr>
              <w:pStyle w:val="ConsPlusNormal"/>
              <w:jc w:val="center"/>
            </w:pPr>
            <w:r>
              <w:t>2 351 680,48</w:t>
            </w:r>
          </w:p>
        </w:tc>
        <w:tc>
          <w:tcPr>
            <w:tcW w:w="1701" w:type="dxa"/>
            <w:vAlign w:val="center"/>
          </w:tcPr>
          <w:p w14:paraId="131CFD8B" w14:textId="77777777" w:rsidR="00454A29" w:rsidRDefault="00454A29">
            <w:pPr>
              <w:pStyle w:val="ConsPlusNormal"/>
              <w:jc w:val="center"/>
            </w:pPr>
            <w:r>
              <w:t>-</w:t>
            </w:r>
          </w:p>
        </w:tc>
        <w:tc>
          <w:tcPr>
            <w:tcW w:w="1701" w:type="dxa"/>
            <w:vAlign w:val="center"/>
          </w:tcPr>
          <w:p w14:paraId="5A3779E3" w14:textId="77777777" w:rsidR="00454A29" w:rsidRDefault="00454A29">
            <w:pPr>
              <w:pStyle w:val="ConsPlusNormal"/>
              <w:jc w:val="center"/>
            </w:pPr>
            <w:r>
              <w:t>-</w:t>
            </w:r>
          </w:p>
        </w:tc>
        <w:tc>
          <w:tcPr>
            <w:tcW w:w="1814" w:type="dxa"/>
            <w:vAlign w:val="center"/>
          </w:tcPr>
          <w:p w14:paraId="1D4BE2BE" w14:textId="77777777" w:rsidR="00454A29" w:rsidRDefault="00454A29">
            <w:pPr>
              <w:pStyle w:val="ConsPlusNormal"/>
              <w:jc w:val="center"/>
            </w:pPr>
            <w:r>
              <w:t>-</w:t>
            </w:r>
          </w:p>
        </w:tc>
      </w:tr>
      <w:tr w:rsidR="00454A29" w14:paraId="2155B022" w14:textId="77777777">
        <w:tc>
          <w:tcPr>
            <w:tcW w:w="567" w:type="dxa"/>
            <w:vMerge/>
          </w:tcPr>
          <w:p w14:paraId="3B394098" w14:textId="77777777" w:rsidR="00454A29" w:rsidRDefault="00454A29"/>
        </w:tc>
        <w:tc>
          <w:tcPr>
            <w:tcW w:w="3345" w:type="dxa"/>
            <w:vMerge/>
          </w:tcPr>
          <w:p w14:paraId="1E6FD5E6" w14:textId="77777777" w:rsidR="00454A29" w:rsidRDefault="00454A29"/>
        </w:tc>
        <w:tc>
          <w:tcPr>
            <w:tcW w:w="1701" w:type="dxa"/>
            <w:vAlign w:val="center"/>
          </w:tcPr>
          <w:p w14:paraId="436D9865" w14:textId="77777777" w:rsidR="00454A29" w:rsidRDefault="00454A29">
            <w:pPr>
              <w:pStyle w:val="ConsPlusNormal"/>
              <w:jc w:val="center"/>
            </w:pPr>
            <w:r>
              <w:t>2025</w:t>
            </w:r>
          </w:p>
        </w:tc>
        <w:tc>
          <w:tcPr>
            <w:tcW w:w="1417" w:type="dxa"/>
            <w:vMerge/>
          </w:tcPr>
          <w:p w14:paraId="5E7C2B3D" w14:textId="77777777" w:rsidR="00454A29" w:rsidRDefault="00454A29"/>
        </w:tc>
        <w:tc>
          <w:tcPr>
            <w:tcW w:w="2204" w:type="dxa"/>
            <w:vMerge/>
          </w:tcPr>
          <w:p w14:paraId="5C93A71D" w14:textId="77777777" w:rsidR="00454A29" w:rsidRDefault="00454A29"/>
        </w:tc>
        <w:tc>
          <w:tcPr>
            <w:tcW w:w="1417" w:type="dxa"/>
            <w:vMerge/>
          </w:tcPr>
          <w:p w14:paraId="277EE937" w14:textId="77777777" w:rsidR="00454A29" w:rsidRDefault="00454A29"/>
        </w:tc>
        <w:tc>
          <w:tcPr>
            <w:tcW w:w="2324" w:type="dxa"/>
            <w:vMerge/>
          </w:tcPr>
          <w:p w14:paraId="4AC5A91D" w14:textId="77777777" w:rsidR="00454A29" w:rsidRDefault="00454A29"/>
        </w:tc>
        <w:tc>
          <w:tcPr>
            <w:tcW w:w="1701" w:type="dxa"/>
            <w:vAlign w:val="center"/>
          </w:tcPr>
          <w:p w14:paraId="1BF597FA" w14:textId="77777777" w:rsidR="00454A29" w:rsidRDefault="00454A29">
            <w:pPr>
              <w:pStyle w:val="ConsPlusNormal"/>
              <w:jc w:val="center"/>
            </w:pPr>
            <w:r>
              <w:t>1 636 361,84</w:t>
            </w:r>
          </w:p>
        </w:tc>
        <w:tc>
          <w:tcPr>
            <w:tcW w:w="1814" w:type="dxa"/>
            <w:vAlign w:val="center"/>
          </w:tcPr>
          <w:p w14:paraId="37D40E83" w14:textId="77777777" w:rsidR="00454A29" w:rsidRDefault="00454A29">
            <w:pPr>
              <w:pStyle w:val="ConsPlusNormal"/>
              <w:jc w:val="center"/>
            </w:pPr>
            <w:r>
              <w:t>1 636 361,84</w:t>
            </w:r>
          </w:p>
        </w:tc>
        <w:tc>
          <w:tcPr>
            <w:tcW w:w="1701" w:type="dxa"/>
            <w:vAlign w:val="center"/>
          </w:tcPr>
          <w:p w14:paraId="5D3D965F" w14:textId="77777777" w:rsidR="00454A29" w:rsidRDefault="00454A29">
            <w:pPr>
              <w:pStyle w:val="ConsPlusNormal"/>
              <w:jc w:val="center"/>
            </w:pPr>
            <w:r>
              <w:t>-</w:t>
            </w:r>
          </w:p>
        </w:tc>
        <w:tc>
          <w:tcPr>
            <w:tcW w:w="1701" w:type="dxa"/>
            <w:vAlign w:val="center"/>
          </w:tcPr>
          <w:p w14:paraId="1EBEB21A" w14:textId="77777777" w:rsidR="00454A29" w:rsidRDefault="00454A29">
            <w:pPr>
              <w:pStyle w:val="ConsPlusNormal"/>
              <w:jc w:val="center"/>
            </w:pPr>
            <w:r>
              <w:t>-</w:t>
            </w:r>
          </w:p>
        </w:tc>
        <w:tc>
          <w:tcPr>
            <w:tcW w:w="1814" w:type="dxa"/>
            <w:vAlign w:val="center"/>
          </w:tcPr>
          <w:p w14:paraId="14C33F07" w14:textId="77777777" w:rsidR="00454A29" w:rsidRDefault="00454A29">
            <w:pPr>
              <w:pStyle w:val="ConsPlusNormal"/>
              <w:jc w:val="center"/>
            </w:pPr>
            <w:r>
              <w:t>-</w:t>
            </w:r>
          </w:p>
        </w:tc>
      </w:tr>
      <w:tr w:rsidR="00454A29" w14:paraId="44C9FBBD" w14:textId="77777777">
        <w:tc>
          <w:tcPr>
            <w:tcW w:w="567" w:type="dxa"/>
            <w:vMerge/>
          </w:tcPr>
          <w:p w14:paraId="6F52D1DB" w14:textId="77777777" w:rsidR="00454A29" w:rsidRDefault="00454A29"/>
        </w:tc>
        <w:tc>
          <w:tcPr>
            <w:tcW w:w="3345" w:type="dxa"/>
            <w:vMerge/>
          </w:tcPr>
          <w:p w14:paraId="57499FAA" w14:textId="77777777" w:rsidR="00454A29" w:rsidRDefault="00454A29"/>
        </w:tc>
        <w:tc>
          <w:tcPr>
            <w:tcW w:w="1701" w:type="dxa"/>
            <w:vAlign w:val="center"/>
          </w:tcPr>
          <w:p w14:paraId="3E7F262F" w14:textId="77777777" w:rsidR="00454A29" w:rsidRDefault="00454A29">
            <w:pPr>
              <w:pStyle w:val="ConsPlusNormal"/>
              <w:jc w:val="center"/>
            </w:pPr>
            <w:r>
              <w:t>2026</w:t>
            </w:r>
          </w:p>
        </w:tc>
        <w:tc>
          <w:tcPr>
            <w:tcW w:w="1417" w:type="dxa"/>
            <w:vMerge/>
          </w:tcPr>
          <w:p w14:paraId="2EE8A25B" w14:textId="77777777" w:rsidR="00454A29" w:rsidRDefault="00454A29"/>
        </w:tc>
        <w:tc>
          <w:tcPr>
            <w:tcW w:w="2204" w:type="dxa"/>
            <w:vMerge/>
          </w:tcPr>
          <w:p w14:paraId="2DA94943" w14:textId="77777777" w:rsidR="00454A29" w:rsidRDefault="00454A29"/>
        </w:tc>
        <w:tc>
          <w:tcPr>
            <w:tcW w:w="1417" w:type="dxa"/>
            <w:vMerge/>
          </w:tcPr>
          <w:p w14:paraId="526C5EC3" w14:textId="77777777" w:rsidR="00454A29" w:rsidRDefault="00454A29"/>
        </w:tc>
        <w:tc>
          <w:tcPr>
            <w:tcW w:w="2324" w:type="dxa"/>
            <w:vMerge/>
          </w:tcPr>
          <w:p w14:paraId="227C4D5C" w14:textId="77777777" w:rsidR="00454A29" w:rsidRDefault="00454A29"/>
        </w:tc>
        <w:tc>
          <w:tcPr>
            <w:tcW w:w="1701" w:type="dxa"/>
            <w:vAlign w:val="center"/>
          </w:tcPr>
          <w:p w14:paraId="15B09931" w14:textId="77777777" w:rsidR="00454A29" w:rsidRDefault="00454A29">
            <w:pPr>
              <w:pStyle w:val="ConsPlusNormal"/>
              <w:jc w:val="center"/>
            </w:pPr>
            <w:r>
              <w:t>821 583,94</w:t>
            </w:r>
          </w:p>
        </w:tc>
        <w:tc>
          <w:tcPr>
            <w:tcW w:w="1814" w:type="dxa"/>
            <w:vAlign w:val="center"/>
          </w:tcPr>
          <w:p w14:paraId="32F1AD51" w14:textId="77777777" w:rsidR="00454A29" w:rsidRDefault="00454A29">
            <w:pPr>
              <w:pStyle w:val="ConsPlusNormal"/>
              <w:jc w:val="center"/>
            </w:pPr>
            <w:r>
              <w:t>821 583,94</w:t>
            </w:r>
          </w:p>
        </w:tc>
        <w:tc>
          <w:tcPr>
            <w:tcW w:w="1701" w:type="dxa"/>
            <w:vAlign w:val="center"/>
          </w:tcPr>
          <w:p w14:paraId="7C92BEF5" w14:textId="77777777" w:rsidR="00454A29" w:rsidRDefault="00454A29">
            <w:pPr>
              <w:pStyle w:val="ConsPlusNormal"/>
              <w:jc w:val="center"/>
            </w:pPr>
            <w:r>
              <w:t>-</w:t>
            </w:r>
          </w:p>
        </w:tc>
        <w:tc>
          <w:tcPr>
            <w:tcW w:w="1701" w:type="dxa"/>
            <w:vAlign w:val="center"/>
          </w:tcPr>
          <w:p w14:paraId="24B4C899" w14:textId="77777777" w:rsidR="00454A29" w:rsidRDefault="00454A29">
            <w:pPr>
              <w:pStyle w:val="ConsPlusNormal"/>
              <w:jc w:val="center"/>
            </w:pPr>
            <w:r>
              <w:t>-</w:t>
            </w:r>
          </w:p>
        </w:tc>
        <w:tc>
          <w:tcPr>
            <w:tcW w:w="1814" w:type="dxa"/>
            <w:vAlign w:val="center"/>
          </w:tcPr>
          <w:p w14:paraId="46805858" w14:textId="77777777" w:rsidR="00454A29" w:rsidRDefault="00454A29">
            <w:pPr>
              <w:pStyle w:val="ConsPlusNormal"/>
              <w:jc w:val="center"/>
            </w:pPr>
            <w:r>
              <w:t>-</w:t>
            </w:r>
          </w:p>
        </w:tc>
      </w:tr>
      <w:tr w:rsidR="00454A29" w14:paraId="2F550E3E" w14:textId="77777777">
        <w:tc>
          <w:tcPr>
            <w:tcW w:w="567" w:type="dxa"/>
            <w:vMerge w:val="restart"/>
            <w:vAlign w:val="center"/>
          </w:tcPr>
          <w:p w14:paraId="13CB5E59" w14:textId="77777777" w:rsidR="00454A29" w:rsidRDefault="00454A29">
            <w:pPr>
              <w:pStyle w:val="ConsPlusNormal"/>
              <w:jc w:val="center"/>
            </w:pPr>
            <w:r>
              <w:t>1</w:t>
            </w:r>
          </w:p>
        </w:tc>
        <w:tc>
          <w:tcPr>
            <w:tcW w:w="3345" w:type="dxa"/>
            <w:vMerge w:val="restart"/>
            <w:vAlign w:val="center"/>
          </w:tcPr>
          <w:p w14:paraId="7BEF4A41" w14:textId="77777777" w:rsidR="00454A29" w:rsidRDefault="00454A29">
            <w:pPr>
              <w:pStyle w:val="ConsPlusNormal"/>
              <w:jc w:val="center"/>
            </w:pPr>
            <w:r>
              <w:t>Детский сад на 50 мест в с. Чаран Усть-Алданский улус</w:t>
            </w:r>
          </w:p>
        </w:tc>
        <w:tc>
          <w:tcPr>
            <w:tcW w:w="1701" w:type="dxa"/>
            <w:vAlign w:val="center"/>
          </w:tcPr>
          <w:p w14:paraId="26009C39" w14:textId="77777777" w:rsidR="00454A29" w:rsidRDefault="00454A29">
            <w:pPr>
              <w:pStyle w:val="ConsPlusNormal"/>
              <w:jc w:val="center"/>
            </w:pPr>
            <w:r>
              <w:t>2020 - 2026 годы - всего</w:t>
            </w:r>
          </w:p>
        </w:tc>
        <w:tc>
          <w:tcPr>
            <w:tcW w:w="1417" w:type="dxa"/>
            <w:vMerge w:val="restart"/>
            <w:vAlign w:val="center"/>
          </w:tcPr>
          <w:p w14:paraId="0075ECE2" w14:textId="77777777" w:rsidR="00454A29" w:rsidRDefault="00454A29">
            <w:pPr>
              <w:pStyle w:val="ConsPlusNormal"/>
              <w:jc w:val="center"/>
            </w:pPr>
            <w:r>
              <w:t>42 055,34</w:t>
            </w:r>
          </w:p>
        </w:tc>
        <w:tc>
          <w:tcPr>
            <w:tcW w:w="2204" w:type="dxa"/>
            <w:vMerge w:val="restart"/>
            <w:vAlign w:val="center"/>
          </w:tcPr>
          <w:p w14:paraId="470D5A17" w14:textId="77777777" w:rsidR="00454A29" w:rsidRDefault="00454A29">
            <w:pPr>
              <w:pStyle w:val="ConsPlusNormal"/>
            </w:pPr>
          </w:p>
        </w:tc>
        <w:tc>
          <w:tcPr>
            <w:tcW w:w="1417" w:type="dxa"/>
            <w:vMerge w:val="restart"/>
            <w:vAlign w:val="center"/>
          </w:tcPr>
          <w:p w14:paraId="664602D7" w14:textId="77777777" w:rsidR="00454A29" w:rsidRDefault="00454A29">
            <w:pPr>
              <w:pStyle w:val="ConsPlusNormal"/>
              <w:jc w:val="center"/>
            </w:pPr>
            <w:r>
              <w:t>50</w:t>
            </w:r>
          </w:p>
        </w:tc>
        <w:tc>
          <w:tcPr>
            <w:tcW w:w="2324" w:type="dxa"/>
            <w:vMerge w:val="restart"/>
            <w:vAlign w:val="center"/>
          </w:tcPr>
          <w:p w14:paraId="26E7D94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7877D91" w14:textId="77777777" w:rsidR="00454A29" w:rsidRDefault="00454A29">
            <w:pPr>
              <w:pStyle w:val="ConsPlusNormal"/>
              <w:jc w:val="center"/>
            </w:pPr>
            <w:r>
              <w:t>42 055,34</w:t>
            </w:r>
          </w:p>
        </w:tc>
        <w:tc>
          <w:tcPr>
            <w:tcW w:w="1814" w:type="dxa"/>
            <w:vAlign w:val="center"/>
          </w:tcPr>
          <w:p w14:paraId="13E8F86C" w14:textId="77777777" w:rsidR="00454A29" w:rsidRDefault="00454A29">
            <w:pPr>
              <w:pStyle w:val="ConsPlusNormal"/>
              <w:jc w:val="center"/>
            </w:pPr>
            <w:r>
              <w:t>42 055,34</w:t>
            </w:r>
          </w:p>
        </w:tc>
        <w:tc>
          <w:tcPr>
            <w:tcW w:w="1701" w:type="dxa"/>
            <w:vAlign w:val="center"/>
          </w:tcPr>
          <w:p w14:paraId="6B8F0B6B" w14:textId="77777777" w:rsidR="00454A29" w:rsidRDefault="00454A29">
            <w:pPr>
              <w:pStyle w:val="ConsPlusNormal"/>
              <w:jc w:val="center"/>
            </w:pPr>
            <w:r>
              <w:t>-</w:t>
            </w:r>
          </w:p>
        </w:tc>
        <w:tc>
          <w:tcPr>
            <w:tcW w:w="1701" w:type="dxa"/>
            <w:vAlign w:val="center"/>
          </w:tcPr>
          <w:p w14:paraId="69B5ECF2" w14:textId="77777777" w:rsidR="00454A29" w:rsidRDefault="00454A29">
            <w:pPr>
              <w:pStyle w:val="ConsPlusNormal"/>
              <w:jc w:val="center"/>
            </w:pPr>
            <w:r>
              <w:t>-</w:t>
            </w:r>
          </w:p>
        </w:tc>
        <w:tc>
          <w:tcPr>
            <w:tcW w:w="1814" w:type="dxa"/>
            <w:vAlign w:val="center"/>
          </w:tcPr>
          <w:p w14:paraId="03500178" w14:textId="77777777" w:rsidR="00454A29" w:rsidRDefault="00454A29">
            <w:pPr>
              <w:pStyle w:val="ConsPlusNormal"/>
              <w:jc w:val="center"/>
            </w:pPr>
            <w:r>
              <w:t>-</w:t>
            </w:r>
          </w:p>
        </w:tc>
      </w:tr>
      <w:tr w:rsidR="00454A29" w14:paraId="78864F05" w14:textId="77777777">
        <w:tc>
          <w:tcPr>
            <w:tcW w:w="567" w:type="dxa"/>
            <w:vMerge/>
          </w:tcPr>
          <w:p w14:paraId="6D103C76" w14:textId="77777777" w:rsidR="00454A29" w:rsidRDefault="00454A29"/>
        </w:tc>
        <w:tc>
          <w:tcPr>
            <w:tcW w:w="3345" w:type="dxa"/>
            <w:vMerge/>
          </w:tcPr>
          <w:p w14:paraId="22EC66D7" w14:textId="77777777" w:rsidR="00454A29" w:rsidRDefault="00454A29"/>
        </w:tc>
        <w:tc>
          <w:tcPr>
            <w:tcW w:w="1701" w:type="dxa"/>
            <w:vAlign w:val="center"/>
          </w:tcPr>
          <w:p w14:paraId="62321634" w14:textId="77777777" w:rsidR="00454A29" w:rsidRDefault="00454A29">
            <w:pPr>
              <w:pStyle w:val="ConsPlusNormal"/>
              <w:jc w:val="center"/>
            </w:pPr>
            <w:r>
              <w:t>2020</w:t>
            </w:r>
          </w:p>
        </w:tc>
        <w:tc>
          <w:tcPr>
            <w:tcW w:w="1417" w:type="dxa"/>
            <w:vMerge/>
          </w:tcPr>
          <w:p w14:paraId="368AA966" w14:textId="77777777" w:rsidR="00454A29" w:rsidRDefault="00454A29"/>
        </w:tc>
        <w:tc>
          <w:tcPr>
            <w:tcW w:w="2204" w:type="dxa"/>
            <w:vMerge/>
          </w:tcPr>
          <w:p w14:paraId="0091861A" w14:textId="77777777" w:rsidR="00454A29" w:rsidRDefault="00454A29"/>
        </w:tc>
        <w:tc>
          <w:tcPr>
            <w:tcW w:w="1417" w:type="dxa"/>
            <w:vMerge/>
          </w:tcPr>
          <w:p w14:paraId="69D230F7" w14:textId="77777777" w:rsidR="00454A29" w:rsidRDefault="00454A29"/>
        </w:tc>
        <w:tc>
          <w:tcPr>
            <w:tcW w:w="2324" w:type="dxa"/>
            <w:vMerge/>
          </w:tcPr>
          <w:p w14:paraId="3FAD634D" w14:textId="77777777" w:rsidR="00454A29" w:rsidRDefault="00454A29"/>
        </w:tc>
        <w:tc>
          <w:tcPr>
            <w:tcW w:w="1701" w:type="dxa"/>
            <w:vAlign w:val="center"/>
          </w:tcPr>
          <w:p w14:paraId="79C751AB" w14:textId="77777777" w:rsidR="00454A29" w:rsidRDefault="00454A29">
            <w:pPr>
              <w:pStyle w:val="ConsPlusNormal"/>
              <w:jc w:val="center"/>
            </w:pPr>
            <w:r>
              <w:t>-</w:t>
            </w:r>
          </w:p>
        </w:tc>
        <w:tc>
          <w:tcPr>
            <w:tcW w:w="1814" w:type="dxa"/>
            <w:vAlign w:val="center"/>
          </w:tcPr>
          <w:p w14:paraId="6E94FF02" w14:textId="77777777" w:rsidR="00454A29" w:rsidRDefault="00454A29">
            <w:pPr>
              <w:pStyle w:val="ConsPlusNormal"/>
            </w:pPr>
          </w:p>
        </w:tc>
        <w:tc>
          <w:tcPr>
            <w:tcW w:w="1701" w:type="dxa"/>
            <w:vAlign w:val="center"/>
          </w:tcPr>
          <w:p w14:paraId="6507F386" w14:textId="77777777" w:rsidR="00454A29" w:rsidRDefault="00454A29">
            <w:pPr>
              <w:pStyle w:val="ConsPlusNormal"/>
            </w:pPr>
          </w:p>
        </w:tc>
        <w:tc>
          <w:tcPr>
            <w:tcW w:w="1701" w:type="dxa"/>
            <w:vAlign w:val="center"/>
          </w:tcPr>
          <w:p w14:paraId="7D1648FF" w14:textId="77777777" w:rsidR="00454A29" w:rsidRDefault="00454A29">
            <w:pPr>
              <w:pStyle w:val="ConsPlusNormal"/>
            </w:pPr>
          </w:p>
        </w:tc>
        <w:tc>
          <w:tcPr>
            <w:tcW w:w="1814" w:type="dxa"/>
            <w:vAlign w:val="center"/>
          </w:tcPr>
          <w:p w14:paraId="5AFB5F5D" w14:textId="77777777" w:rsidR="00454A29" w:rsidRDefault="00454A29">
            <w:pPr>
              <w:pStyle w:val="ConsPlusNormal"/>
            </w:pPr>
          </w:p>
        </w:tc>
      </w:tr>
      <w:tr w:rsidR="00454A29" w14:paraId="312D57B0" w14:textId="77777777">
        <w:tc>
          <w:tcPr>
            <w:tcW w:w="567" w:type="dxa"/>
            <w:vMerge/>
          </w:tcPr>
          <w:p w14:paraId="539263A8" w14:textId="77777777" w:rsidR="00454A29" w:rsidRDefault="00454A29"/>
        </w:tc>
        <w:tc>
          <w:tcPr>
            <w:tcW w:w="3345" w:type="dxa"/>
            <w:vMerge/>
          </w:tcPr>
          <w:p w14:paraId="32061327" w14:textId="77777777" w:rsidR="00454A29" w:rsidRDefault="00454A29"/>
        </w:tc>
        <w:tc>
          <w:tcPr>
            <w:tcW w:w="1701" w:type="dxa"/>
            <w:vAlign w:val="center"/>
          </w:tcPr>
          <w:p w14:paraId="2E1980F5" w14:textId="77777777" w:rsidR="00454A29" w:rsidRDefault="00454A29">
            <w:pPr>
              <w:pStyle w:val="ConsPlusNormal"/>
              <w:jc w:val="center"/>
            </w:pPr>
            <w:r>
              <w:t>2021</w:t>
            </w:r>
          </w:p>
        </w:tc>
        <w:tc>
          <w:tcPr>
            <w:tcW w:w="1417" w:type="dxa"/>
            <w:vMerge/>
          </w:tcPr>
          <w:p w14:paraId="2374FCEA" w14:textId="77777777" w:rsidR="00454A29" w:rsidRDefault="00454A29"/>
        </w:tc>
        <w:tc>
          <w:tcPr>
            <w:tcW w:w="2204" w:type="dxa"/>
            <w:vMerge/>
          </w:tcPr>
          <w:p w14:paraId="5A17628A" w14:textId="77777777" w:rsidR="00454A29" w:rsidRDefault="00454A29"/>
        </w:tc>
        <w:tc>
          <w:tcPr>
            <w:tcW w:w="1417" w:type="dxa"/>
            <w:vMerge/>
          </w:tcPr>
          <w:p w14:paraId="4E2C378D" w14:textId="77777777" w:rsidR="00454A29" w:rsidRDefault="00454A29"/>
        </w:tc>
        <w:tc>
          <w:tcPr>
            <w:tcW w:w="2324" w:type="dxa"/>
            <w:vMerge/>
          </w:tcPr>
          <w:p w14:paraId="115BF9E3" w14:textId="77777777" w:rsidR="00454A29" w:rsidRDefault="00454A29"/>
        </w:tc>
        <w:tc>
          <w:tcPr>
            <w:tcW w:w="1701" w:type="dxa"/>
            <w:vAlign w:val="center"/>
          </w:tcPr>
          <w:p w14:paraId="108E2EE4" w14:textId="77777777" w:rsidR="00454A29" w:rsidRDefault="00454A29">
            <w:pPr>
              <w:pStyle w:val="ConsPlusNormal"/>
              <w:jc w:val="center"/>
            </w:pPr>
            <w:r>
              <w:t>-</w:t>
            </w:r>
          </w:p>
        </w:tc>
        <w:tc>
          <w:tcPr>
            <w:tcW w:w="1814" w:type="dxa"/>
            <w:vAlign w:val="center"/>
          </w:tcPr>
          <w:p w14:paraId="39A9A7DC" w14:textId="77777777" w:rsidR="00454A29" w:rsidRDefault="00454A29">
            <w:pPr>
              <w:pStyle w:val="ConsPlusNormal"/>
            </w:pPr>
          </w:p>
        </w:tc>
        <w:tc>
          <w:tcPr>
            <w:tcW w:w="1701" w:type="dxa"/>
            <w:vAlign w:val="center"/>
          </w:tcPr>
          <w:p w14:paraId="3C998441" w14:textId="77777777" w:rsidR="00454A29" w:rsidRDefault="00454A29">
            <w:pPr>
              <w:pStyle w:val="ConsPlusNormal"/>
            </w:pPr>
          </w:p>
        </w:tc>
        <w:tc>
          <w:tcPr>
            <w:tcW w:w="1701" w:type="dxa"/>
            <w:vAlign w:val="center"/>
          </w:tcPr>
          <w:p w14:paraId="68738994" w14:textId="77777777" w:rsidR="00454A29" w:rsidRDefault="00454A29">
            <w:pPr>
              <w:pStyle w:val="ConsPlusNormal"/>
            </w:pPr>
          </w:p>
        </w:tc>
        <w:tc>
          <w:tcPr>
            <w:tcW w:w="1814" w:type="dxa"/>
            <w:vAlign w:val="center"/>
          </w:tcPr>
          <w:p w14:paraId="3371D60C" w14:textId="77777777" w:rsidR="00454A29" w:rsidRDefault="00454A29">
            <w:pPr>
              <w:pStyle w:val="ConsPlusNormal"/>
            </w:pPr>
          </w:p>
        </w:tc>
      </w:tr>
      <w:tr w:rsidR="00454A29" w14:paraId="2CA3749B" w14:textId="77777777">
        <w:tc>
          <w:tcPr>
            <w:tcW w:w="567" w:type="dxa"/>
            <w:vMerge/>
          </w:tcPr>
          <w:p w14:paraId="3389BFCC" w14:textId="77777777" w:rsidR="00454A29" w:rsidRDefault="00454A29"/>
        </w:tc>
        <w:tc>
          <w:tcPr>
            <w:tcW w:w="3345" w:type="dxa"/>
            <w:vMerge/>
          </w:tcPr>
          <w:p w14:paraId="468FCC2D" w14:textId="77777777" w:rsidR="00454A29" w:rsidRDefault="00454A29"/>
        </w:tc>
        <w:tc>
          <w:tcPr>
            <w:tcW w:w="1701" w:type="dxa"/>
            <w:vAlign w:val="center"/>
          </w:tcPr>
          <w:p w14:paraId="1598B6BD" w14:textId="77777777" w:rsidR="00454A29" w:rsidRDefault="00454A29">
            <w:pPr>
              <w:pStyle w:val="ConsPlusNormal"/>
              <w:jc w:val="center"/>
            </w:pPr>
            <w:r>
              <w:t>2022</w:t>
            </w:r>
          </w:p>
        </w:tc>
        <w:tc>
          <w:tcPr>
            <w:tcW w:w="1417" w:type="dxa"/>
            <w:vMerge/>
          </w:tcPr>
          <w:p w14:paraId="1EA722B7" w14:textId="77777777" w:rsidR="00454A29" w:rsidRDefault="00454A29"/>
        </w:tc>
        <w:tc>
          <w:tcPr>
            <w:tcW w:w="2204" w:type="dxa"/>
            <w:vMerge/>
          </w:tcPr>
          <w:p w14:paraId="0CEB86D9" w14:textId="77777777" w:rsidR="00454A29" w:rsidRDefault="00454A29"/>
        </w:tc>
        <w:tc>
          <w:tcPr>
            <w:tcW w:w="1417" w:type="dxa"/>
            <w:vMerge/>
          </w:tcPr>
          <w:p w14:paraId="42A0E76F" w14:textId="77777777" w:rsidR="00454A29" w:rsidRDefault="00454A29"/>
        </w:tc>
        <w:tc>
          <w:tcPr>
            <w:tcW w:w="2324" w:type="dxa"/>
            <w:vMerge/>
          </w:tcPr>
          <w:p w14:paraId="31DB546F" w14:textId="77777777" w:rsidR="00454A29" w:rsidRDefault="00454A29"/>
        </w:tc>
        <w:tc>
          <w:tcPr>
            <w:tcW w:w="1701" w:type="dxa"/>
            <w:vAlign w:val="center"/>
          </w:tcPr>
          <w:p w14:paraId="4642E843" w14:textId="77777777" w:rsidR="00454A29" w:rsidRDefault="00454A29">
            <w:pPr>
              <w:pStyle w:val="ConsPlusNormal"/>
            </w:pPr>
          </w:p>
        </w:tc>
        <w:tc>
          <w:tcPr>
            <w:tcW w:w="1814" w:type="dxa"/>
            <w:vAlign w:val="center"/>
          </w:tcPr>
          <w:p w14:paraId="0FD52630" w14:textId="77777777" w:rsidR="00454A29" w:rsidRDefault="00454A29">
            <w:pPr>
              <w:pStyle w:val="ConsPlusNormal"/>
            </w:pPr>
          </w:p>
        </w:tc>
        <w:tc>
          <w:tcPr>
            <w:tcW w:w="1701" w:type="dxa"/>
            <w:vAlign w:val="center"/>
          </w:tcPr>
          <w:p w14:paraId="7F26BCBA" w14:textId="77777777" w:rsidR="00454A29" w:rsidRDefault="00454A29">
            <w:pPr>
              <w:pStyle w:val="ConsPlusNormal"/>
            </w:pPr>
          </w:p>
        </w:tc>
        <w:tc>
          <w:tcPr>
            <w:tcW w:w="1701" w:type="dxa"/>
            <w:vAlign w:val="center"/>
          </w:tcPr>
          <w:p w14:paraId="0C231BBE" w14:textId="77777777" w:rsidR="00454A29" w:rsidRDefault="00454A29">
            <w:pPr>
              <w:pStyle w:val="ConsPlusNormal"/>
            </w:pPr>
          </w:p>
        </w:tc>
        <w:tc>
          <w:tcPr>
            <w:tcW w:w="1814" w:type="dxa"/>
            <w:vAlign w:val="center"/>
          </w:tcPr>
          <w:p w14:paraId="39EBF85A" w14:textId="77777777" w:rsidR="00454A29" w:rsidRDefault="00454A29">
            <w:pPr>
              <w:pStyle w:val="ConsPlusNormal"/>
            </w:pPr>
          </w:p>
        </w:tc>
      </w:tr>
      <w:tr w:rsidR="00454A29" w14:paraId="234BE518" w14:textId="77777777">
        <w:tc>
          <w:tcPr>
            <w:tcW w:w="567" w:type="dxa"/>
            <w:vMerge/>
          </w:tcPr>
          <w:p w14:paraId="15BD24F8" w14:textId="77777777" w:rsidR="00454A29" w:rsidRDefault="00454A29"/>
        </w:tc>
        <w:tc>
          <w:tcPr>
            <w:tcW w:w="3345" w:type="dxa"/>
            <w:vMerge/>
          </w:tcPr>
          <w:p w14:paraId="143FFC96" w14:textId="77777777" w:rsidR="00454A29" w:rsidRDefault="00454A29"/>
        </w:tc>
        <w:tc>
          <w:tcPr>
            <w:tcW w:w="1701" w:type="dxa"/>
            <w:vAlign w:val="center"/>
          </w:tcPr>
          <w:p w14:paraId="75C9CCB2" w14:textId="77777777" w:rsidR="00454A29" w:rsidRDefault="00454A29">
            <w:pPr>
              <w:pStyle w:val="ConsPlusNormal"/>
              <w:jc w:val="center"/>
            </w:pPr>
            <w:r>
              <w:t>2023</w:t>
            </w:r>
          </w:p>
        </w:tc>
        <w:tc>
          <w:tcPr>
            <w:tcW w:w="1417" w:type="dxa"/>
            <w:vMerge/>
          </w:tcPr>
          <w:p w14:paraId="59BED06F" w14:textId="77777777" w:rsidR="00454A29" w:rsidRDefault="00454A29"/>
        </w:tc>
        <w:tc>
          <w:tcPr>
            <w:tcW w:w="2204" w:type="dxa"/>
            <w:vMerge/>
          </w:tcPr>
          <w:p w14:paraId="084F1143" w14:textId="77777777" w:rsidR="00454A29" w:rsidRDefault="00454A29"/>
        </w:tc>
        <w:tc>
          <w:tcPr>
            <w:tcW w:w="1417" w:type="dxa"/>
            <w:vMerge/>
          </w:tcPr>
          <w:p w14:paraId="5C55F022" w14:textId="77777777" w:rsidR="00454A29" w:rsidRDefault="00454A29"/>
        </w:tc>
        <w:tc>
          <w:tcPr>
            <w:tcW w:w="2324" w:type="dxa"/>
            <w:vMerge/>
          </w:tcPr>
          <w:p w14:paraId="67EA3C6A" w14:textId="77777777" w:rsidR="00454A29" w:rsidRDefault="00454A29"/>
        </w:tc>
        <w:tc>
          <w:tcPr>
            <w:tcW w:w="1701" w:type="dxa"/>
            <w:vAlign w:val="center"/>
          </w:tcPr>
          <w:p w14:paraId="201C9636" w14:textId="77777777" w:rsidR="00454A29" w:rsidRDefault="00454A29">
            <w:pPr>
              <w:pStyle w:val="ConsPlusNormal"/>
              <w:jc w:val="center"/>
            </w:pPr>
            <w:r>
              <w:t>42 055,34</w:t>
            </w:r>
          </w:p>
        </w:tc>
        <w:tc>
          <w:tcPr>
            <w:tcW w:w="1814" w:type="dxa"/>
            <w:vAlign w:val="center"/>
          </w:tcPr>
          <w:p w14:paraId="03BB5815" w14:textId="77777777" w:rsidR="00454A29" w:rsidRDefault="00454A29">
            <w:pPr>
              <w:pStyle w:val="ConsPlusNormal"/>
              <w:jc w:val="center"/>
            </w:pPr>
            <w:r>
              <w:t>42 055,34</w:t>
            </w:r>
          </w:p>
        </w:tc>
        <w:tc>
          <w:tcPr>
            <w:tcW w:w="1701" w:type="dxa"/>
            <w:vAlign w:val="center"/>
          </w:tcPr>
          <w:p w14:paraId="452ED587" w14:textId="77777777" w:rsidR="00454A29" w:rsidRDefault="00454A29">
            <w:pPr>
              <w:pStyle w:val="ConsPlusNormal"/>
            </w:pPr>
          </w:p>
        </w:tc>
        <w:tc>
          <w:tcPr>
            <w:tcW w:w="1701" w:type="dxa"/>
            <w:vAlign w:val="center"/>
          </w:tcPr>
          <w:p w14:paraId="30C262DA" w14:textId="77777777" w:rsidR="00454A29" w:rsidRDefault="00454A29">
            <w:pPr>
              <w:pStyle w:val="ConsPlusNormal"/>
            </w:pPr>
          </w:p>
        </w:tc>
        <w:tc>
          <w:tcPr>
            <w:tcW w:w="1814" w:type="dxa"/>
            <w:vAlign w:val="center"/>
          </w:tcPr>
          <w:p w14:paraId="2C5711A0" w14:textId="77777777" w:rsidR="00454A29" w:rsidRDefault="00454A29">
            <w:pPr>
              <w:pStyle w:val="ConsPlusNormal"/>
            </w:pPr>
          </w:p>
        </w:tc>
      </w:tr>
      <w:tr w:rsidR="00454A29" w14:paraId="42FEACAB" w14:textId="77777777">
        <w:tc>
          <w:tcPr>
            <w:tcW w:w="567" w:type="dxa"/>
            <w:vMerge/>
          </w:tcPr>
          <w:p w14:paraId="31A08583" w14:textId="77777777" w:rsidR="00454A29" w:rsidRDefault="00454A29"/>
        </w:tc>
        <w:tc>
          <w:tcPr>
            <w:tcW w:w="3345" w:type="dxa"/>
            <w:vMerge/>
          </w:tcPr>
          <w:p w14:paraId="762ECA7A" w14:textId="77777777" w:rsidR="00454A29" w:rsidRDefault="00454A29"/>
        </w:tc>
        <w:tc>
          <w:tcPr>
            <w:tcW w:w="1701" w:type="dxa"/>
            <w:vAlign w:val="center"/>
          </w:tcPr>
          <w:p w14:paraId="7C1AACFE" w14:textId="77777777" w:rsidR="00454A29" w:rsidRDefault="00454A29">
            <w:pPr>
              <w:pStyle w:val="ConsPlusNormal"/>
              <w:jc w:val="center"/>
            </w:pPr>
            <w:r>
              <w:t>2024</w:t>
            </w:r>
          </w:p>
        </w:tc>
        <w:tc>
          <w:tcPr>
            <w:tcW w:w="1417" w:type="dxa"/>
            <w:vMerge/>
          </w:tcPr>
          <w:p w14:paraId="266B8416" w14:textId="77777777" w:rsidR="00454A29" w:rsidRDefault="00454A29"/>
        </w:tc>
        <w:tc>
          <w:tcPr>
            <w:tcW w:w="2204" w:type="dxa"/>
            <w:vMerge/>
          </w:tcPr>
          <w:p w14:paraId="05B7048E" w14:textId="77777777" w:rsidR="00454A29" w:rsidRDefault="00454A29"/>
        </w:tc>
        <w:tc>
          <w:tcPr>
            <w:tcW w:w="1417" w:type="dxa"/>
            <w:vMerge/>
          </w:tcPr>
          <w:p w14:paraId="593676C7" w14:textId="77777777" w:rsidR="00454A29" w:rsidRDefault="00454A29"/>
        </w:tc>
        <w:tc>
          <w:tcPr>
            <w:tcW w:w="2324" w:type="dxa"/>
            <w:vMerge/>
          </w:tcPr>
          <w:p w14:paraId="19779D2B" w14:textId="77777777" w:rsidR="00454A29" w:rsidRDefault="00454A29"/>
        </w:tc>
        <w:tc>
          <w:tcPr>
            <w:tcW w:w="1701" w:type="dxa"/>
            <w:vAlign w:val="center"/>
          </w:tcPr>
          <w:p w14:paraId="1CD52B2D" w14:textId="77777777" w:rsidR="00454A29" w:rsidRDefault="00454A29">
            <w:pPr>
              <w:pStyle w:val="ConsPlusNormal"/>
              <w:jc w:val="center"/>
            </w:pPr>
            <w:r>
              <w:t>-</w:t>
            </w:r>
          </w:p>
        </w:tc>
        <w:tc>
          <w:tcPr>
            <w:tcW w:w="1814" w:type="dxa"/>
            <w:vAlign w:val="center"/>
          </w:tcPr>
          <w:p w14:paraId="38E62BCC" w14:textId="77777777" w:rsidR="00454A29" w:rsidRDefault="00454A29">
            <w:pPr>
              <w:pStyle w:val="ConsPlusNormal"/>
            </w:pPr>
          </w:p>
        </w:tc>
        <w:tc>
          <w:tcPr>
            <w:tcW w:w="1701" w:type="dxa"/>
            <w:vAlign w:val="center"/>
          </w:tcPr>
          <w:p w14:paraId="712B11C4" w14:textId="77777777" w:rsidR="00454A29" w:rsidRDefault="00454A29">
            <w:pPr>
              <w:pStyle w:val="ConsPlusNormal"/>
            </w:pPr>
          </w:p>
        </w:tc>
        <w:tc>
          <w:tcPr>
            <w:tcW w:w="1701" w:type="dxa"/>
            <w:vAlign w:val="center"/>
          </w:tcPr>
          <w:p w14:paraId="1C55722F" w14:textId="77777777" w:rsidR="00454A29" w:rsidRDefault="00454A29">
            <w:pPr>
              <w:pStyle w:val="ConsPlusNormal"/>
            </w:pPr>
          </w:p>
        </w:tc>
        <w:tc>
          <w:tcPr>
            <w:tcW w:w="1814" w:type="dxa"/>
            <w:vAlign w:val="center"/>
          </w:tcPr>
          <w:p w14:paraId="150A30CC" w14:textId="77777777" w:rsidR="00454A29" w:rsidRDefault="00454A29">
            <w:pPr>
              <w:pStyle w:val="ConsPlusNormal"/>
            </w:pPr>
          </w:p>
        </w:tc>
      </w:tr>
      <w:tr w:rsidR="00454A29" w14:paraId="309FD0EE" w14:textId="77777777">
        <w:tc>
          <w:tcPr>
            <w:tcW w:w="567" w:type="dxa"/>
            <w:vMerge/>
          </w:tcPr>
          <w:p w14:paraId="3F32FC8E" w14:textId="77777777" w:rsidR="00454A29" w:rsidRDefault="00454A29"/>
        </w:tc>
        <w:tc>
          <w:tcPr>
            <w:tcW w:w="3345" w:type="dxa"/>
            <w:vMerge/>
          </w:tcPr>
          <w:p w14:paraId="220FA4A9" w14:textId="77777777" w:rsidR="00454A29" w:rsidRDefault="00454A29"/>
        </w:tc>
        <w:tc>
          <w:tcPr>
            <w:tcW w:w="1701" w:type="dxa"/>
            <w:vAlign w:val="center"/>
          </w:tcPr>
          <w:p w14:paraId="4D2CAF66" w14:textId="77777777" w:rsidR="00454A29" w:rsidRDefault="00454A29">
            <w:pPr>
              <w:pStyle w:val="ConsPlusNormal"/>
              <w:jc w:val="center"/>
            </w:pPr>
            <w:r>
              <w:t>2025</w:t>
            </w:r>
          </w:p>
        </w:tc>
        <w:tc>
          <w:tcPr>
            <w:tcW w:w="1417" w:type="dxa"/>
            <w:vMerge/>
          </w:tcPr>
          <w:p w14:paraId="4651CB40" w14:textId="77777777" w:rsidR="00454A29" w:rsidRDefault="00454A29"/>
        </w:tc>
        <w:tc>
          <w:tcPr>
            <w:tcW w:w="2204" w:type="dxa"/>
            <w:vMerge/>
          </w:tcPr>
          <w:p w14:paraId="4AEF1F01" w14:textId="77777777" w:rsidR="00454A29" w:rsidRDefault="00454A29"/>
        </w:tc>
        <w:tc>
          <w:tcPr>
            <w:tcW w:w="1417" w:type="dxa"/>
            <w:vMerge/>
          </w:tcPr>
          <w:p w14:paraId="52855183" w14:textId="77777777" w:rsidR="00454A29" w:rsidRDefault="00454A29"/>
        </w:tc>
        <w:tc>
          <w:tcPr>
            <w:tcW w:w="2324" w:type="dxa"/>
            <w:vMerge/>
          </w:tcPr>
          <w:p w14:paraId="5F94FADC" w14:textId="77777777" w:rsidR="00454A29" w:rsidRDefault="00454A29"/>
        </w:tc>
        <w:tc>
          <w:tcPr>
            <w:tcW w:w="1701" w:type="dxa"/>
            <w:vAlign w:val="center"/>
          </w:tcPr>
          <w:p w14:paraId="7168B5D1" w14:textId="77777777" w:rsidR="00454A29" w:rsidRDefault="00454A29">
            <w:pPr>
              <w:pStyle w:val="ConsPlusNormal"/>
              <w:jc w:val="center"/>
            </w:pPr>
            <w:r>
              <w:t>-</w:t>
            </w:r>
          </w:p>
        </w:tc>
        <w:tc>
          <w:tcPr>
            <w:tcW w:w="1814" w:type="dxa"/>
            <w:vAlign w:val="center"/>
          </w:tcPr>
          <w:p w14:paraId="59140258" w14:textId="77777777" w:rsidR="00454A29" w:rsidRDefault="00454A29">
            <w:pPr>
              <w:pStyle w:val="ConsPlusNormal"/>
            </w:pPr>
          </w:p>
        </w:tc>
        <w:tc>
          <w:tcPr>
            <w:tcW w:w="1701" w:type="dxa"/>
            <w:vAlign w:val="center"/>
          </w:tcPr>
          <w:p w14:paraId="6FAAC7B4" w14:textId="77777777" w:rsidR="00454A29" w:rsidRDefault="00454A29">
            <w:pPr>
              <w:pStyle w:val="ConsPlusNormal"/>
            </w:pPr>
          </w:p>
        </w:tc>
        <w:tc>
          <w:tcPr>
            <w:tcW w:w="1701" w:type="dxa"/>
            <w:vAlign w:val="center"/>
          </w:tcPr>
          <w:p w14:paraId="05BC2726" w14:textId="77777777" w:rsidR="00454A29" w:rsidRDefault="00454A29">
            <w:pPr>
              <w:pStyle w:val="ConsPlusNormal"/>
            </w:pPr>
          </w:p>
        </w:tc>
        <w:tc>
          <w:tcPr>
            <w:tcW w:w="1814" w:type="dxa"/>
            <w:vAlign w:val="center"/>
          </w:tcPr>
          <w:p w14:paraId="1E369FDE" w14:textId="77777777" w:rsidR="00454A29" w:rsidRDefault="00454A29">
            <w:pPr>
              <w:pStyle w:val="ConsPlusNormal"/>
            </w:pPr>
          </w:p>
        </w:tc>
      </w:tr>
      <w:tr w:rsidR="00454A29" w14:paraId="2294523D" w14:textId="77777777">
        <w:tc>
          <w:tcPr>
            <w:tcW w:w="567" w:type="dxa"/>
            <w:vMerge/>
          </w:tcPr>
          <w:p w14:paraId="7E1F06A9" w14:textId="77777777" w:rsidR="00454A29" w:rsidRDefault="00454A29"/>
        </w:tc>
        <w:tc>
          <w:tcPr>
            <w:tcW w:w="3345" w:type="dxa"/>
            <w:vMerge/>
          </w:tcPr>
          <w:p w14:paraId="074F7730" w14:textId="77777777" w:rsidR="00454A29" w:rsidRDefault="00454A29"/>
        </w:tc>
        <w:tc>
          <w:tcPr>
            <w:tcW w:w="1701" w:type="dxa"/>
            <w:vAlign w:val="center"/>
          </w:tcPr>
          <w:p w14:paraId="0E9C0E3C" w14:textId="77777777" w:rsidR="00454A29" w:rsidRDefault="00454A29">
            <w:pPr>
              <w:pStyle w:val="ConsPlusNormal"/>
              <w:jc w:val="center"/>
            </w:pPr>
            <w:r>
              <w:t>2026</w:t>
            </w:r>
          </w:p>
        </w:tc>
        <w:tc>
          <w:tcPr>
            <w:tcW w:w="1417" w:type="dxa"/>
            <w:vMerge/>
          </w:tcPr>
          <w:p w14:paraId="13DAC434" w14:textId="77777777" w:rsidR="00454A29" w:rsidRDefault="00454A29"/>
        </w:tc>
        <w:tc>
          <w:tcPr>
            <w:tcW w:w="2204" w:type="dxa"/>
            <w:vMerge/>
          </w:tcPr>
          <w:p w14:paraId="4AA5BF67" w14:textId="77777777" w:rsidR="00454A29" w:rsidRDefault="00454A29"/>
        </w:tc>
        <w:tc>
          <w:tcPr>
            <w:tcW w:w="1417" w:type="dxa"/>
            <w:vMerge/>
          </w:tcPr>
          <w:p w14:paraId="53ACBB51" w14:textId="77777777" w:rsidR="00454A29" w:rsidRDefault="00454A29"/>
        </w:tc>
        <w:tc>
          <w:tcPr>
            <w:tcW w:w="2324" w:type="dxa"/>
            <w:vMerge/>
          </w:tcPr>
          <w:p w14:paraId="249AF7A8" w14:textId="77777777" w:rsidR="00454A29" w:rsidRDefault="00454A29"/>
        </w:tc>
        <w:tc>
          <w:tcPr>
            <w:tcW w:w="1701" w:type="dxa"/>
            <w:vAlign w:val="center"/>
          </w:tcPr>
          <w:p w14:paraId="681BAAB7" w14:textId="77777777" w:rsidR="00454A29" w:rsidRDefault="00454A29">
            <w:pPr>
              <w:pStyle w:val="ConsPlusNormal"/>
              <w:jc w:val="center"/>
            </w:pPr>
            <w:r>
              <w:t>-</w:t>
            </w:r>
          </w:p>
        </w:tc>
        <w:tc>
          <w:tcPr>
            <w:tcW w:w="1814" w:type="dxa"/>
            <w:vAlign w:val="center"/>
          </w:tcPr>
          <w:p w14:paraId="087121A6" w14:textId="77777777" w:rsidR="00454A29" w:rsidRDefault="00454A29">
            <w:pPr>
              <w:pStyle w:val="ConsPlusNormal"/>
            </w:pPr>
          </w:p>
        </w:tc>
        <w:tc>
          <w:tcPr>
            <w:tcW w:w="1701" w:type="dxa"/>
            <w:vAlign w:val="center"/>
          </w:tcPr>
          <w:p w14:paraId="772497BF" w14:textId="77777777" w:rsidR="00454A29" w:rsidRDefault="00454A29">
            <w:pPr>
              <w:pStyle w:val="ConsPlusNormal"/>
            </w:pPr>
          </w:p>
        </w:tc>
        <w:tc>
          <w:tcPr>
            <w:tcW w:w="1701" w:type="dxa"/>
            <w:vAlign w:val="center"/>
          </w:tcPr>
          <w:p w14:paraId="51DE6E4D" w14:textId="77777777" w:rsidR="00454A29" w:rsidRDefault="00454A29">
            <w:pPr>
              <w:pStyle w:val="ConsPlusNormal"/>
            </w:pPr>
          </w:p>
        </w:tc>
        <w:tc>
          <w:tcPr>
            <w:tcW w:w="1814" w:type="dxa"/>
            <w:vAlign w:val="center"/>
          </w:tcPr>
          <w:p w14:paraId="5D3A59CF" w14:textId="77777777" w:rsidR="00454A29" w:rsidRDefault="00454A29">
            <w:pPr>
              <w:pStyle w:val="ConsPlusNormal"/>
            </w:pPr>
          </w:p>
        </w:tc>
      </w:tr>
      <w:tr w:rsidR="00454A29" w14:paraId="4B80257A" w14:textId="77777777">
        <w:tc>
          <w:tcPr>
            <w:tcW w:w="567" w:type="dxa"/>
            <w:vMerge w:val="restart"/>
            <w:vAlign w:val="center"/>
          </w:tcPr>
          <w:p w14:paraId="2F23A130" w14:textId="77777777" w:rsidR="00454A29" w:rsidRDefault="00454A29">
            <w:pPr>
              <w:pStyle w:val="ConsPlusNormal"/>
              <w:jc w:val="center"/>
            </w:pPr>
            <w:r>
              <w:t>2</w:t>
            </w:r>
          </w:p>
        </w:tc>
        <w:tc>
          <w:tcPr>
            <w:tcW w:w="3345" w:type="dxa"/>
            <w:vMerge w:val="restart"/>
            <w:vAlign w:val="center"/>
          </w:tcPr>
          <w:p w14:paraId="04EB7CAB" w14:textId="77777777" w:rsidR="00454A29" w:rsidRDefault="00454A29">
            <w:pPr>
              <w:pStyle w:val="ConsPlusNormal"/>
              <w:jc w:val="center"/>
            </w:pPr>
            <w:r>
              <w:t>Детский сад на 240 мест в с. Кысыл-Сыр Вилюйский улус</w:t>
            </w:r>
          </w:p>
        </w:tc>
        <w:tc>
          <w:tcPr>
            <w:tcW w:w="1701" w:type="dxa"/>
            <w:vAlign w:val="center"/>
          </w:tcPr>
          <w:p w14:paraId="591A5182" w14:textId="77777777" w:rsidR="00454A29" w:rsidRDefault="00454A29">
            <w:pPr>
              <w:pStyle w:val="ConsPlusNormal"/>
              <w:jc w:val="center"/>
            </w:pPr>
            <w:r>
              <w:t>2020 - 2026 годы - всего</w:t>
            </w:r>
          </w:p>
        </w:tc>
        <w:tc>
          <w:tcPr>
            <w:tcW w:w="1417" w:type="dxa"/>
            <w:vMerge w:val="restart"/>
            <w:vAlign w:val="center"/>
          </w:tcPr>
          <w:p w14:paraId="61B5DA91" w14:textId="77777777" w:rsidR="00454A29" w:rsidRDefault="00454A29">
            <w:pPr>
              <w:pStyle w:val="ConsPlusNormal"/>
              <w:jc w:val="center"/>
            </w:pPr>
            <w:r>
              <w:t>191 677,42</w:t>
            </w:r>
          </w:p>
        </w:tc>
        <w:tc>
          <w:tcPr>
            <w:tcW w:w="2204" w:type="dxa"/>
            <w:vMerge w:val="restart"/>
            <w:vAlign w:val="center"/>
          </w:tcPr>
          <w:p w14:paraId="188ECD90" w14:textId="77777777" w:rsidR="00454A29" w:rsidRDefault="00454A29">
            <w:pPr>
              <w:pStyle w:val="ConsPlusNormal"/>
            </w:pPr>
          </w:p>
        </w:tc>
        <w:tc>
          <w:tcPr>
            <w:tcW w:w="1417" w:type="dxa"/>
            <w:vMerge w:val="restart"/>
            <w:vAlign w:val="center"/>
          </w:tcPr>
          <w:p w14:paraId="3970BB78" w14:textId="77777777" w:rsidR="00454A29" w:rsidRDefault="00454A29">
            <w:pPr>
              <w:pStyle w:val="ConsPlusNormal"/>
              <w:jc w:val="center"/>
            </w:pPr>
            <w:r>
              <w:t>240</w:t>
            </w:r>
          </w:p>
        </w:tc>
        <w:tc>
          <w:tcPr>
            <w:tcW w:w="2324" w:type="dxa"/>
            <w:vMerge w:val="restart"/>
            <w:vAlign w:val="center"/>
          </w:tcPr>
          <w:p w14:paraId="34D4C03D"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60DFAF3D" w14:textId="77777777" w:rsidR="00454A29" w:rsidRDefault="00454A29">
            <w:pPr>
              <w:pStyle w:val="ConsPlusNormal"/>
              <w:jc w:val="center"/>
            </w:pPr>
            <w:r>
              <w:lastRenderedPageBreak/>
              <w:t>191 677,42</w:t>
            </w:r>
          </w:p>
        </w:tc>
        <w:tc>
          <w:tcPr>
            <w:tcW w:w="1814" w:type="dxa"/>
            <w:vAlign w:val="center"/>
          </w:tcPr>
          <w:p w14:paraId="00529127" w14:textId="77777777" w:rsidR="00454A29" w:rsidRDefault="00454A29">
            <w:pPr>
              <w:pStyle w:val="ConsPlusNormal"/>
              <w:jc w:val="center"/>
            </w:pPr>
            <w:r>
              <w:t>191 677,42</w:t>
            </w:r>
          </w:p>
        </w:tc>
        <w:tc>
          <w:tcPr>
            <w:tcW w:w="1701" w:type="dxa"/>
            <w:vAlign w:val="center"/>
          </w:tcPr>
          <w:p w14:paraId="7A973E69" w14:textId="77777777" w:rsidR="00454A29" w:rsidRDefault="00454A29">
            <w:pPr>
              <w:pStyle w:val="ConsPlusNormal"/>
              <w:jc w:val="center"/>
            </w:pPr>
            <w:r>
              <w:t>-</w:t>
            </w:r>
          </w:p>
        </w:tc>
        <w:tc>
          <w:tcPr>
            <w:tcW w:w="1701" w:type="dxa"/>
            <w:vAlign w:val="center"/>
          </w:tcPr>
          <w:p w14:paraId="174239A9" w14:textId="77777777" w:rsidR="00454A29" w:rsidRDefault="00454A29">
            <w:pPr>
              <w:pStyle w:val="ConsPlusNormal"/>
              <w:jc w:val="center"/>
            </w:pPr>
            <w:r>
              <w:t>-</w:t>
            </w:r>
          </w:p>
        </w:tc>
        <w:tc>
          <w:tcPr>
            <w:tcW w:w="1814" w:type="dxa"/>
            <w:vAlign w:val="center"/>
          </w:tcPr>
          <w:p w14:paraId="62AABF77" w14:textId="77777777" w:rsidR="00454A29" w:rsidRDefault="00454A29">
            <w:pPr>
              <w:pStyle w:val="ConsPlusNormal"/>
              <w:jc w:val="center"/>
            </w:pPr>
            <w:r>
              <w:t>-</w:t>
            </w:r>
          </w:p>
        </w:tc>
      </w:tr>
      <w:tr w:rsidR="00454A29" w14:paraId="0CDE77B1" w14:textId="77777777">
        <w:tc>
          <w:tcPr>
            <w:tcW w:w="567" w:type="dxa"/>
            <w:vMerge/>
          </w:tcPr>
          <w:p w14:paraId="0E2A8CB8" w14:textId="77777777" w:rsidR="00454A29" w:rsidRDefault="00454A29"/>
        </w:tc>
        <w:tc>
          <w:tcPr>
            <w:tcW w:w="3345" w:type="dxa"/>
            <w:vMerge/>
          </w:tcPr>
          <w:p w14:paraId="116528B1" w14:textId="77777777" w:rsidR="00454A29" w:rsidRDefault="00454A29"/>
        </w:tc>
        <w:tc>
          <w:tcPr>
            <w:tcW w:w="1701" w:type="dxa"/>
            <w:vAlign w:val="center"/>
          </w:tcPr>
          <w:p w14:paraId="70D6CA77" w14:textId="77777777" w:rsidR="00454A29" w:rsidRDefault="00454A29">
            <w:pPr>
              <w:pStyle w:val="ConsPlusNormal"/>
              <w:jc w:val="center"/>
            </w:pPr>
            <w:r>
              <w:t>2020</w:t>
            </w:r>
          </w:p>
        </w:tc>
        <w:tc>
          <w:tcPr>
            <w:tcW w:w="1417" w:type="dxa"/>
            <w:vMerge/>
          </w:tcPr>
          <w:p w14:paraId="7B2231F6" w14:textId="77777777" w:rsidR="00454A29" w:rsidRDefault="00454A29"/>
        </w:tc>
        <w:tc>
          <w:tcPr>
            <w:tcW w:w="2204" w:type="dxa"/>
            <w:vMerge/>
          </w:tcPr>
          <w:p w14:paraId="69E39896" w14:textId="77777777" w:rsidR="00454A29" w:rsidRDefault="00454A29"/>
        </w:tc>
        <w:tc>
          <w:tcPr>
            <w:tcW w:w="1417" w:type="dxa"/>
            <w:vMerge/>
          </w:tcPr>
          <w:p w14:paraId="5B6193D3" w14:textId="77777777" w:rsidR="00454A29" w:rsidRDefault="00454A29"/>
        </w:tc>
        <w:tc>
          <w:tcPr>
            <w:tcW w:w="2324" w:type="dxa"/>
            <w:vMerge/>
          </w:tcPr>
          <w:p w14:paraId="4970DD9E" w14:textId="77777777" w:rsidR="00454A29" w:rsidRDefault="00454A29"/>
        </w:tc>
        <w:tc>
          <w:tcPr>
            <w:tcW w:w="1701" w:type="dxa"/>
            <w:vAlign w:val="center"/>
          </w:tcPr>
          <w:p w14:paraId="09F2D9AF" w14:textId="77777777" w:rsidR="00454A29" w:rsidRDefault="00454A29">
            <w:pPr>
              <w:pStyle w:val="ConsPlusNormal"/>
              <w:jc w:val="center"/>
            </w:pPr>
            <w:r>
              <w:t>-</w:t>
            </w:r>
          </w:p>
        </w:tc>
        <w:tc>
          <w:tcPr>
            <w:tcW w:w="1814" w:type="dxa"/>
            <w:vAlign w:val="center"/>
          </w:tcPr>
          <w:p w14:paraId="4495B589" w14:textId="77777777" w:rsidR="00454A29" w:rsidRDefault="00454A29">
            <w:pPr>
              <w:pStyle w:val="ConsPlusNormal"/>
            </w:pPr>
          </w:p>
        </w:tc>
        <w:tc>
          <w:tcPr>
            <w:tcW w:w="1701" w:type="dxa"/>
            <w:vAlign w:val="center"/>
          </w:tcPr>
          <w:p w14:paraId="3E6233FE" w14:textId="77777777" w:rsidR="00454A29" w:rsidRDefault="00454A29">
            <w:pPr>
              <w:pStyle w:val="ConsPlusNormal"/>
            </w:pPr>
          </w:p>
        </w:tc>
        <w:tc>
          <w:tcPr>
            <w:tcW w:w="1701" w:type="dxa"/>
            <w:vAlign w:val="center"/>
          </w:tcPr>
          <w:p w14:paraId="58716E57" w14:textId="77777777" w:rsidR="00454A29" w:rsidRDefault="00454A29">
            <w:pPr>
              <w:pStyle w:val="ConsPlusNormal"/>
            </w:pPr>
          </w:p>
        </w:tc>
        <w:tc>
          <w:tcPr>
            <w:tcW w:w="1814" w:type="dxa"/>
            <w:vAlign w:val="center"/>
          </w:tcPr>
          <w:p w14:paraId="12A2DBFF" w14:textId="77777777" w:rsidR="00454A29" w:rsidRDefault="00454A29">
            <w:pPr>
              <w:pStyle w:val="ConsPlusNormal"/>
            </w:pPr>
          </w:p>
        </w:tc>
      </w:tr>
      <w:tr w:rsidR="00454A29" w14:paraId="41AAB4DA" w14:textId="77777777">
        <w:tc>
          <w:tcPr>
            <w:tcW w:w="567" w:type="dxa"/>
            <w:vMerge/>
          </w:tcPr>
          <w:p w14:paraId="4DA281AA" w14:textId="77777777" w:rsidR="00454A29" w:rsidRDefault="00454A29"/>
        </w:tc>
        <w:tc>
          <w:tcPr>
            <w:tcW w:w="3345" w:type="dxa"/>
            <w:vMerge/>
          </w:tcPr>
          <w:p w14:paraId="6E5531B8" w14:textId="77777777" w:rsidR="00454A29" w:rsidRDefault="00454A29"/>
        </w:tc>
        <w:tc>
          <w:tcPr>
            <w:tcW w:w="1701" w:type="dxa"/>
            <w:vAlign w:val="center"/>
          </w:tcPr>
          <w:p w14:paraId="55614D50" w14:textId="77777777" w:rsidR="00454A29" w:rsidRDefault="00454A29">
            <w:pPr>
              <w:pStyle w:val="ConsPlusNormal"/>
              <w:jc w:val="center"/>
            </w:pPr>
            <w:r>
              <w:t>2021</w:t>
            </w:r>
          </w:p>
        </w:tc>
        <w:tc>
          <w:tcPr>
            <w:tcW w:w="1417" w:type="dxa"/>
            <w:vMerge/>
          </w:tcPr>
          <w:p w14:paraId="10DFDE71" w14:textId="77777777" w:rsidR="00454A29" w:rsidRDefault="00454A29"/>
        </w:tc>
        <w:tc>
          <w:tcPr>
            <w:tcW w:w="2204" w:type="dxa"/>
            <w:vMerge/>
          </w:tcPr>
          <w:p w14:paraId="7765497F" w14:textId="77777777" w:rsidR="00454A29" w:rsidRDefault="00454A29"/>
        </w:tc>
        <w:tc>
          <w:tcPr>
            <w:tcW w:w="1417" w:type="dxa"/>
            <w:vMerge/>
          </w:tcPr>
          <w:p w14:paraId="03C1930A" w14:textId="77777777" w:rsidR="00454A29" w:rsidRDefault="00454A29"/>
        </w:tc>
        <w:tc>
          <w:tcPr>
            <w:tcW w:w="2324" w:type="dxa"/>
            <w:vMerge/>
          </w:tcPr>
          <w:p w14:paraId="34328A86" w14:textId="77777777" w:rsidR="00454A29" w:rsidRDefault="00454A29"/>
        </w:tc>
        <w:tc>
          <w:tcPr>
            <w:tcW w:w="1701" w:type="dxa"/>
            <w:vAlign w:val="center"/>
          </w:tcPr>
          <w:p w14:paraId="11F910BF" w14:textId="77777777" w:rsidR="00454A29" w:rsidRDefault="00454A29">
            <w:pPr>
              <w:pStyle w:val="ConsPlusNormal"/>
              <w:jc w:val="center"/>
            </w:pPr>
            <w:r>
              <w:t>-</w:t>
            </w:r>
          </w:p>
        </w:tc>
        <w:tc>
          <w:tcPr>
            <w:tcW w:w="1814" w:type="dxa"/>
            <w:vAlign w:val="center"/>
          </w:tcPr>
          <w:p w14:paraId="1B042F9A" w14:textId="77777777" w:rsidR="00454A29" w:rsidRDefault="00454A29">
            <w:pPr>
              <w:pStyle w:val="ConsPlusNormal"/>
            </w:pPr>
          </w:p>
        </w:tc>
        <w:tc>
          <w:tcPr>
            <w:tcW w:w="1701" w:type="dxa"/>
            <w:vAlign w:val="center"/>
          </w:tcPr>
          <w:p w14:paraId="0AA2F3FA" w14:textId="77777777" w:rsidR="00454A29" w:rsidRDefault="00454A29">
            <w:pPr>
              <w:pStyle w:val="ConsPlusNormal"/>
            </w:pPr>
          </w:p>
        </w:tc>
        <w:tc>
          <w:tcPr>
            <w:tcW w:w="1701" w:type="dxa"/>
            <w:vAlign w:val="center"/>
          </w:tcPr>
          <w:p w14:paraId="287666CF" w14:textId="77777777" w:rsidR="00454A29" w:rsidRDefault="00454A29">
            <w:pPr>
              <w:pStyle w:val="ConsPlusNormal"/>
            </w:pPr>
          </w:p>
        </w:tc>
        <w:tc>
          <w:tcPr>
            <w:tcW w:w="1814" w:type="dxa"/>
            <w:vAlign w:val="center"/>
          </w:tcPr>
          <w:p w14:paraId="6152D463" w14:textId="77777777" w:rsidR="00454A29" w:rsidRDefault="00454A29">
            <w:pPr>
              <w:pStyle w:val="ConsPlusNormal"/>
            </w:pPr>
          </w:p>
        </w:tc>
      </w:tr>
      <w:tr w:rsidR="00454A29" w14:paraId="280E7E56" w14:textId="77777777">
        <w:tc>
          <w:tcPr>
            <w:tcW w:w="567" w:type="dxa"/>
            <w:vMerge/>
          </w:tcPr>
          <w:p w14:paraId="4CE8F5B2" w14:textId="77777777" w:rsidR="00454A29" w:rsidRDefault="00454A29"/>
        </w:tc>
        <w:tc>
          <w:tcPr>
            <w:tcW w:w="3345" w:type="dxa"/>
            <w:vMerge/>
          </w:tcPr>
          <w:p w14:paraId="20269A16" w14:textId="77777777" w:rsidR="00454A29" w:rsidRDefault="00454A29"/>
        </w:tc>
        <w:tc>
          <w:tcPr>
            <w:tcW w:w="1701" w:type="dxa"/>
            <w:vAlign w:val="center"/>
          </w:tcPr>
          <w:p w14:paraId="03F21177" w14:textId="77777777" w:rsidR="00454A29" w:rsidRDefault="00454A29">
            <w:pPr>
              <w:pStyle w:val="ConsPlusNormal"/>
              <w:jc w:val="center"/>
            </w:pPr>
            <w:r>
              <w:t>2022</w:t>
            </w:r>
          </w:p>
        </w:tc>
        <w:tc>
          <w:tcPr>
            <w:tcW w:w="1417" w:type="dxa"/>
            <w:vMerge/>
          </w:tcPr>
          <w:p w14:paraId="7894C30A" w14:textId="77777777" w:rsidR="00454A29" w:rsidRDefault="00454A29"/>
        </w:tc>
        <w:tc>
          <w:tcPr>
            <w:tcW w:w="2204" w:type="dxa"/>
            <w:vMerge/>
          </w:tcPr>
          <w:p w14:paraId="7E0B5B67" w14:textId="77777777" w:rsidR="00454A29" w:rsidRDefault="00454A29"/>
        </w:tc>
        <w:tc>
          <w:tcPr>
            <w:tcW w:w="1417" w:type="dxa"/>
            <w:vMerge/>
          </w:tcPr>
          <w:p w14:paraId="14BE7987" w14:textId="77777777" w:rsidR="00454A29" w:rsidRDefault="00454A29"/>
        </w:tc>
        <w:tc>
          <w:tcPr>
            <w:tcW w:w="2324" w:type="dxa"/>
            <w:vMerge/>
          </w:tcPr>
          <w:p w14:paraId="6A48F44D" w14:textId="77777777" w:rsidR="00454A29" w:rsidRDefault="00454A29"/>
        </w:tc>
        <w:tc>
          <w:tcPr>
            <w:tcW w:w="1701" w:type="dxa"/>
            <w:vAlign w:val="center"/>
          </w:tcPr>
          <w:p w14:paraId="0BD11A06" w14:textId="77777777" w:rsidR="00454A29" w:rsidRDefault="00454A29">
            <w:pPr>
              <w:pStyle w:val="ConsPlusNormal"/>
            </w:pPr>
          </w:p>
        </w:tc>
        <w:tc>
          <w:tcPr>
            <w:tcW w:w="1814" w:type="dxa"/>
            <w:vAlign w:val="center"/>
          </w:tcPr>
          <w:p w14:paraId="6FE008CE" w14:textId="77777777" w:rsidR="00454A29" w:rsidRDefault="00454A29">
            <w:pPr>
              <w:pStyle w:val="ConsPlusNormal"/>
            </w:pPr>
          </w:p>
        </w:tc>
        <w:tc>
          <w:tcPr>
            <w:tcW w:w="1701" w:type="dxa"/>
            <w:vAlign w:val="center"/>
          </w:tcPr>
          <w:p w14:paraId="00BEC29F" w14:textId="77777777" w:rsidR="00454A29" w:rsidRDefault="00454A29">
            <w:pPr>
              <w:pStyle w:val="ConsPlusNormal"/>
            </w:pPr>
          </w:p>
        </w:tc>
        <w:tc>
          <w:tcPr>
            <w:tcW w:w="1701" w:type="dxa"/>
            <w:vAlign w:val="center"/>
          </w:tcPr>
          <w:p w14:paraId="313D03F0" w14:textId="77777777" w:rsidR="00454A29" w:rsidRDefault="00454A29">
            <w:pPr>
              <w:pStyle w:val="ConsPlusNormal"/>
            </w:pPr>
          </w:p>
        </w:tc>
        <w:tc>
          <w:tcPr>
            <w:tcW w:w="1814" w:type="dxa"/>
            <w:vAlign w:val="center"/>
          </w:tcPr>
          <w:p w14:paraId="0CCCCE2E" w14:textId="77777777" w:rsidR="00454A29" w:rsidRDefault="00454A29">
            <w:pPr>
              <w:pStyle w:val="ConsPlusNormal"/>
            </w:pPr>
          </w:p>
        </w:tc>
      </w:tr>
      <w:tr w:rsidR="00454A29" w14:paraId="0B6E3534" w14:textId="77777777">
        <w:tc>
          <w:tcPr>
            <w:tcW w:w="567" w:type="dxa"/>
            <w:vMerge/>
          </w:tcPr>
          <w:p w14:paraId="4F116D3D" w14:textId="77777777" w:rsidR="00454A29" w:rsidRDefault="00454A29"/>
        </w:tc>
        <w:tc>
          <w:tcPr>
            <w:tcW w:w="3345" w:type="dxa"/>
            <w:vMerge/>
          </w:tcPr>
          <w:p w14:paraId="6A98A3FF" w14:textId="77777777" w:rsidR="00454A29" w:rsidRDefault="00454A29"/>
        </w:tc>
        <w:tc>
          <w:tcPr>
            <w:tcW w:w="1701" w:type="dxa"/>
            <w:vAlign w:val="center"/>
          </w:tcPr>
          <w:p w14:paraId="7CD86645" w14:textId="77777777" w:rsidR="00454A29" w:rsidRDefault="00454A29">
            <w:pPr>
              <w:pStyle w:val="ConsPlusNormal"/>
              <w:jc w:val="center"/>
            </w:pPr>
            <w:r>
              <w:t>2023</w:t>
            </w:r>
          </w:p>
        </w:tc>
        <w:tc>
          <w:tcPr>
            <w:tcW w:w="1417" w:type="dxa"/>
            <w:vMerge/>
          </w:tcPr>
          <w:p w14:paraId="14D84FD8" w14:textId="77777777" w:rsidR="00454A29" w:rsidRDefault="00454A29"/>
        </w:tc>
        <w:tc>
          <w:tcPr>
            <w:tcW w:w="2204" w:type="dxa"/>
            <w:vMerge/>
          </w:tcPr>
          <w:p w14:paraId="497BBECD" w14:textId="77777777" w:rsidR="00454A29" w:rsidRDefault="00454A29"/>
        </w:tc>
        <w:tc>
          <w:tcPr>
            <w:tcW w:w="1417" w:type="dxa"/>
            <w:vMerge/>
          </w:tcPr>
          <w:p w14:paraId="2B539431" w14:textId="77777777" w:rsidR="00454A29" w:rsidRDefault="00454A29"/>
        </w:tc>
        <w:tc>
          <w:tcPr>
            <w:tcW w:w="2324" w:type="dxa"/>
            <w:vMerge/>
          </w:tcPr>
          <w:p w14:paraId="4068EDD9" w14:textId="77777777" w:rsidR="00454A29" w:rsidRDefault="00454A29"/>
        </w:tc>
        <w:tc>
          <w:tcPr>
            <w:tcW w:w="1701" w:type="dxa"/>
            <w:vAlign w:val="center"/>
          </w:tcPr>
          <w:p w14:paraId="147973B4" w14:textId="77777777" w:rsidR="00454A29" w:rsidRDefault="00454A29">
            <w:pPr>
              <w:pStyle w:val="ConsPlusNormal"/>
              <w:jc w:val="center"/>
            </w:pPr>
            <w:r>
              <w:t>191 677,42</w:t>
            </w:r>
          </w:p>
        </w:tc>
        <w:tc>
          <w:tcPr>
            <w:tcW w:w="1814" w:type="dxa"/>
            <w:vAlign w:val="center"/>
          </w:tcPr>
          <w:p w14:paraId="12587A03" w14:textId="77777777" w:rsidR="00454A29" w:rsidRDefault="00454A29">
            <w:pPr>
              <w:pStyle w:val="ConsPlusNormal"/>
              <w:jc w:val="center"/>
            </w:pPr>
            <w:r>
              <w:t>191 677,42</w:t>
            </w:r>
          </w:p>
        </w:tc>
        <w:tc>
          <w:tcPr>
            <w:tcW w:w="1701" w:type="dxa"/>
            <w:vAlign w:val="center"/>
          </w:tcPr>
          <w:p w14:paraId="674D92B7" w14:textId="77777777" w:rsidR="00454A29" w:rsidRDefault="00454A29">
            <w:pPr>
              <w:pStyle w:val="ConsPlusNormal"/>
            </w:pPr>
          </w:p>
        </w:tc>
        <w:tc>
          <w:tcPr>
            <w:tcW w:w="1701" w:type="dxa"/>
            <w:vAlign w:val="center"/>
          </w:tcPr>
          <w:p w14:paraId="26025737" w14:textId="77777777" w:rsidR="00454A29" w:rsidRDefault="00454A29">
            <w:pPr>
              <w:pStyle w:val="ConsPlusNormal"/>
            </w:pPr>
          </w:p>
        </w:tc>
        <w:tc>
          <w:tcPr>
            <w:tcW w:w="1814" w:type="dxa"/>
            <w:vAlign w:val="center"/>
          </w:tcPr>
          <w:p w14:paraId="42D89F90" w14:textId="77777777" w:rsidR="00454A29" w:rsidRDefault="00454A29">
            <w:pPr>
              <w:pStyle w:val="ConsPlusNormal"/>
            </w:pPr>
          </w:p>
        </w:tc>
      </w:tr>
      <w:tr w:rsidR="00454A29" w14:paraId="6148D750" w14:textId="77777777">
        <w:tc>
          <w:tcPr>
            <w:tcW w:w="567" w:type="dxa"/>
            <w:vMerge/>
          </w:tcPr>
          <w:p w14:paraId="1DFBAFDC" w14:textId="77777777" w:rsidR="00454A29" w:rsidRDefault="00454A29"/>
        </w:tc>
        <w:tc>
          <w:tcPr>
            <w:tcW w:w="3345" w:type="dxa"/>
            <w:vMerge/>
          </w:tcPr>
          <w:p w14:paraId="5B964597" w14:textId="77777777" w:rsidR="00454A29" w:rsidRDefault="00454A29"/>
        </w:tc>
        <w:tc>
          <w:tcPr>
            <w:tcW w:w="1701" w:type="dxa"/>
            <w:vAlign w:val="center"/>
          </w:tcPr>
          <w:p w14:paraId="2EF89450" w14:textId="77777777" w:rsidR="00454A29" w:rsidRDefault="00454A29">
            <w:pPr>
              <w:pStyle w:val="ConsPlusNormal"/>
              <w:jc w:val="center"/>
            </w:pPr>
            <w:r>
              <w:t>2024</w:t>
            </w:r>
          </w:p>
        </w:tc>
        <w:tc>
          <w:tcPr>
            <w:tcW w:w="1417" w:type="dxa"/>
            <w:vMerge/>
          </w:tcPr>
          <w:p w14:paraId="115E8E77" w14:textId="77777777" w:rsidR="00454A29" w:rsidRDefault="00454A29"/>
        </w:tc>
        <w:tc>
          <w:tcPr>
            <w:tcW w:w="2204" w:type="dxa"/>
            <w:vMerge/>
          </w:tcPr>
          <w:p w14:paraId="738C370E" w14:textId="77777777" w:rsidR="00454A29" w:rsidRDefault="00454A29"/>
        </w:tc>
        <w:tc>
          <w:tcPr>
            <w:tcW w:w="1417" w:type="dxa"/>
            <w:vMerge/>
          </w:tcPr>
          <w:p w14:paraId="65290D65" w14:textId="77777777" w:rsidR="00454A29" w:rsidRDefault="00454A29"/>
        </w:tc>
        <w:tc>
          <w:tcPr>
            <w:tcW w:w="2324" w:type="dxa"/>
            <w:vMerge/>
          </w:tcPr>
          <w:p w14:paraId="72F3B886" w14:textId="77777777" w:rsidR="00454A29" w:rsidRDefault="00454A29"/>
        </w:tc>
        <w:tc>
          <w:tcPr>
            <w:tcW w:w="1701" w:type="dxa"/>
            <w:vAlign w:val="center"/>
          </w:tcPr>
          <w:p w14:paraId="0AFAEEE9" w14:textId="77777777" w:rsidR="00454A29" w:rsidRDefault="00454A29">
            <w:pPr>
              <w:pStyle w:val="ConsPlusNormal"/>
              <w:jc w:val="center"/>
            </w:pPr>
            <w:r>
              <w:t>-</w:t>
            </w:r>
          </w:p>
        </w:tc>
        <w:tc>
          <w:tcPr>
            <w:tcW w:w="1814" w:type="dxa"/>
            <w:vAlign w:val="center"/>
          </w:tcPr>
          <w:p w14:paraId="57AC086E" w14:textId="77777777" w:rsidR="00454A29" w:rsidRDefault="00454A29">
            <w:pPr>
              <w:pStyle w:val="ConsPlusNormal"/>
            </w:pPr>
          </w:p>
        </w:tc>
        <w:tc>
          <w:tcPr>
            <w:tcW w:w="1701" w:type="dxa"/>
            <w:vAlign w:val="center"/>
          </w:tcPr>
          <w:p w14:paraId="7DCC4F1B" w14:textId="77777777" w:rsidR="00454A29" w:rsidRDefault="00454A29">
            <w:pPr>
              <w:pStyle w:val="ConsPlusNormal"/>
            </w:pPr>
          </w:p>
        </w:tc>
        <w:tc>
          <w:tcPr>
            <w:tcW w:w="1701" w:type="dxa"/>
            <w:vAlign w:val="center"/>
          </w:tcPr>
          <w:p w14:paraId="2203B546" w14:textId="77777777" w:rsidR="00454A29" w:rsidRDefault="00454A29">
            <w:pPr>
              <w:pStyle w:val="ConsPlusNormal"/>
            </w:pPr>
          </w:p>
        </w:tc>
        <w:tc>
          <w:tcPr>
            <w:tcW w:w="1814" w:type="dxa"/>
            <w:vAlign w:val="center"/>
          </w:tcPr>
          <w:p w14:paraId="034DF8A7" w14:textId="77777777" w:rsidR="00454A29" w:rsidRDefault="00454A29">
            <w:pPr>
              <w:pStyle w:val="ConsPlusNormal"/>
            </w:pPr>
          </w:p>
        </w:tc>
      </w:tr>
      <w:tr w:rsidR="00454A29" w14:paraId="66224284" w14:textId="77777777">
        <w:tc>
          <w:tcPr>
            <w:tcW w:w="567" w:type="dxa"/>
            <w:vMerge/>
          </w:tcPr>
          <w:p w14:paraId="4278FE31" w14:textId="77777777" w:rsidR="00454A29" w:rsidRDefault="00454A29"/>
        </w:tc>
        <w:tc>
          <w:tcPr>
            <w:tcW w:w="3345" w:type="dxa"/>
            <w:vMerge/>
          </w:tcPr>
          <w:p w14:paraId="36BC7E62" w14:textId="77777777" w:rsidR="00454A29" w:rsidRDefault="00454A29"/>
        </w:tc>
        <w:tc>
          <w:tcPr>
            <w:tcW w:w="1701" w:type="dxa"/>
            <w:vAlign w:val="center"/>
          </w:tcPr>
          <w:p w14:paraId="7849549C" w14:textId="77777777" w:rsidR="00454A29" w:rsidRDefault="00454A29">
            <w:pPr>
              <w:pStyle w:val="ConsPlusNormal"/>
              <w:jc w:val="center"/>
            </w:pPr>
            <w:r>
              <w:t>2025</w:t>
            </w:r>
          </w:p>
        </w:tc>
        <w:tc>
          <w:tcPr>
            <w:tcW w:w="1417" w:type="dxa"/>
            <w:vMerge/>
          </w:tcPr>
          <w:p w14:paraId="303FCACD" w14:textId="77777777" w:rsidR="00454A29" w:rsidRDefault="00454A29"/>
        </w:tc>
        <w:tc>
          <w:tcPr>
            <w:tcW w:w="2204" w:type="dxa"/>
            <w:vMerge/>
          </w:tcPr>
          <w:p w14:paraId="1A53E421" w14:textId="77777777" w:rsidR="00454A29" w:rsidRDefault="00454A29"/>
        </w:tc>
        <w:tc>
          <w:tcPr>
            <w:tcW w:w="1417" w:type="dxa"/>
            <w:vMerge/>
          </w:tcPr>
          <w:p w14:paraId="1F638EAC" w14:textId="77777777" w:rsidR="00454A29" w:rsidRDefault="00454A29"/>
        </w:tc>
        <w:tc>
          <w:tcPr>
            <w:tcW w:w="2324" w:type="dxa"/>
            <w:vMerge/>
          </w:tcPr>
          <w:p w14:paraId="4965174E" w14:textId="77777777" w:rsidR="00454A29" w:rsidRDefault="00454A29"/>
        </w:tc>
        <w:tc>
          <w:tcPr>
            <w:tcW w:w="1701" w:type="dxa"/>
            <w:vAlign w:val="center"/>
          </w:tcPr>
          <w:p w14:paraId="463BD55D" w14:textId="77777777" w:rsidR="00454A29" w:rsidRDefault="00454A29">
            <w:pPr>
              <w:pStyle w:val="ConsPlusNormal"/>
              <w:jc w:val="center"/>
            </w:pPr>
            <w:r>
              <w:t>-</w:t>
            </w:r>
          </w:p>
        </w:tc>
        <w:tc>
          <w:tcPr>
            <w:tcW w:w="1814" w:type="dxa"/>
            <w:vAlign w:val="center"/>
          </w:tcPr>
          <w:p w14:paraId="00753C50" w14:textId="77777777" w:rsidR="00454A29" w:rsidRDefault="00454A29">
            <w:pPr>
              <w:pStyle w:val="ConsPlusNormal"/>
            </w:pPr>
          </w:p>
        </w:tc>
        <w:tc>
          <w:tcPr>
            <w:tcW w:w="1701" w:type="dxa"/>
            <w:vAlign w:val="center"/>
          </w:tcPr>
          <w:p w14:paraId="2C976F47" w14:textId="77777777" w:rsidR="00454A29" w:rsidRDefault="00454A29">
            <w:pPr>
              <w:pStyle w:val="ConsPlusNormal"/>
            </w:pPr>
          </w:p>
        </w:tc>
        <w:tc>
          <w:tcPr>
            <w:tcW w:w="1701" w:type="dxa"/>
            <w:vAlign w:val="center"/>
          </w:tcPr>
          <w:p w14:paraId="4894C2B2" w14:textId="77777777" w:rsidR="00454A29" w:rsidRDefault="00454A29">
            <w:pPr>
              <w:pStyle w:val="ConsPlusNormal"/>
            </w:pPr>
          </w:p>
        </w:tc>
        <w:tc>
          <w:tcPr>
            <w:tcW w:w="1814" w:type="dxa"/>
            <w:vAlign w:val="center"/>
          </w:tcPr>
          <w:p w14:paraId="0DFE0C15" w14:textId="77777777" w:rsidR="00454A29" w:rsidRDefault="00454A29">
            <w:pPr>
              <w:pStyle w:val="ConsPlusNormal"/>
            </w:pPr>
          </w:p>
        </w:tc>
      </w:tr>
      <w:tr w:rsidR="00454A29" w14:paraId="0CE588CB" w14:textId="77777777">
        <w:tc>
          <w:tcPr>
            <w:tcW w:w="567" w:type="dxa"/>
            <w:vMerge/>
          </w:tcPr>
          <w:p w14:paraId="4B5EA755" w14:textId="77777777" w:rsidR="00454A29" w:rsidRDefault="00454A29"/>
        </w:tc>
        <w:tc>
          <w:tcPr>
            <w:tcW w:w="3345" w:type="dxa"/>
            <w:vMerge/>
          </w:tcPr>
          <w:p w14:paraId="09463881" w14:textId="77777777" w:rsidR="00454A29" w:rsidRDefault="00454A29"/>
        </w:tc>
        <w:tc>
          <w:tcPr>
            <w:tcW w:w="1701" w:type="dxa"/>
            <w:vAlign w:val="center"/>
          </w:tcPr>
          <w:p w14:paraId="65F2716C" w14:textId="77777777" w:rsidR="00454A29" w:rsidRDefault="00454A29">
            <w:pPr>
              <w:pStyle w:val="ConsPlusNormal"/>
              <w:jc w:val="center"/>
            </w:pPr>
            <w:r>
              <w:t>2026</w:t>
            </w:r>
          </w:p>
        </w:tc>
        <w:tc>
          <w:tcPr>
            <w:tcW w:w="1417" w:type="dxa"/>
            <w:vMerge/>
          </w:tcPr>
          <w:p w14:paraId="20F61DCB" w14:textId="77777777" w:rsidR="00454A29" w:rsidRDefault="00454A29"/>
        </w:tc>
        <w:tc>
          <w:tcPr>
            <w:tcW w:w="2204" w:type="dxa"/>
            <w:vMerge/>
          </w:tcPr>
          <w:p w14:paraId="1CE1BB42" w14:textId="77777777" w:rsidR="00454A29" w:rsidRDefault="00454A29"/>
        </w:tc>
        <w:tc>
          <w:tcPr>
            <w:tcW w:w="1417" w:type="dxa"/>
            <w:vMerge/>
          </w:tcPr>
          <w:p w14:paraId="1AD98388" w14:textId="77777777" w:rsidR="00454A29" w:rsidRDefault="00454A29"/>
        </w:tc>
        <w:tc>
          <w:tcPr>
            <w:tcW w:w="2324" w:type="dxa"/>
            <w:vMerge/>
          </w:tcPr>
          <w:p w14:paraId="2597C6DC" w14:textId="77777777" w:rsidR="00454A29" w:rsidRDefault="00454A29"/>
        </w:tc>
        <w:tc>
          <w:tcPr>
            <w:tcW w:w="1701" w:type="dxa"/>
            <w:vAlign w:val="center"/>
          </w:tcPr>
          <w:p w14:paraId="4AB4A037" w14:textId="77777777" w:rsidR="00454A29" w:rsidRDefault="00454A29">
            <w:pPr>
              <w:pStyle w:val="ConsPlusNormal"/>
              <w:jc w:val="center"/>
            </w:pPr>
            <w:r>
              <w:t>-</w:t>
            </w:r>
          </w:p>
        </w:tc>
        <w:tc>
          <w:tcPr>
            <w:tcW w:w="1814" w:type="dxa"/>
            <w:vAlign w:val="center"/>
          </w:tcPr>
          <w:p w14:paraId="0E7343F6" w14:textId="77777777" w:rsidR="00454A29" w:rsidRDefault="00454A29">
            <w:pPr>
              <w:pStyle w:val="ConsPlusNormal"/>
            </w:pPr>
          </w:p>
        </w:tc>
        <w:tc>
          <w:tcPr>
            <w:tcW w:w="1701" w:type="dxa"/>
            <w:vAlign w:val="center"/>
          </w:tcPr>
          <w:p w14:paraId="7702F002" w14:textId="77777777" w:rsidR="00454A29" w:rsidRDefault="00454A29">
            <w:pPr>
              <w:pStyle w:val="ConsPlusNormal"/>
            </w:pPr>
          </w:p>
        </w:tc>
        <w:tc>
          <w:tcPr>
            <w:tcW w:w="1701" w:type="dxa"/>
            <w:vAlign w:val="center"/>
          </w:tcPr>
          <w:p w14:paraId="46BE6D0B" w14:textId="77777777" w:rsidR="00454A29" w:rsidRDefault="00454A29">
            <w:pPr>
              <w:pStyle w:val="ConsPlusNormal"/>
            </w:pPr>
          </w:p>
        </w:tc>
        <w:tc>
          <w:tcPr>
            <w:tcW w:w="1814" w:type="dxa"/>
            <w:vAlign w:val="center"/>
          </w:tcPr>
          <w:p w14:paraId="126A23A1" w14:textId="77777777" w:rsidR="00454A29" w:rsidRDefault="00454A29">
            <w:pPr>
              <w:pStyle w:val="ConsPlusNormal"/>
            </w:pPr>
          </w:p>
        </w:tc>
      </w:tr>
      <w:tr w:rsidR="00454A29" w14:paraId="122AE0EF" w14:textId="77777777">
        <w:tc>
          <w:tcPr>
            <w:tcW w:w="567" w:type="dxa"/>
            <w:vMerge w:val="restart"/>
            <w:vAlign w:val="center"/>
          </w:tcPr>
          <w:p w14:paraId="5CBD9B27" w14:textId="77777777" w:rsidR="00454A29" w:rsidRDefault="00454A29">
            <w:pPr>
              <w:pStyle w:val="ConsPlusNormal"/>
              <w:jc w:val="center"/>
            </w:pPr>
            <w:r>
              <w:t>3</w:t>
            </w:r>
          </w:p>
        </w:tc>
        <w:tc>
          <w:tcPr>
            <w:tcW w:w="3345" w:type="dxa"/>
            <w:vMerge w:val="restart"/>
            <w:vAlign w:val="center"/>
          </w:tcPr>
          <w:p w14:paraId="70F604FA" w14:textId="77777777" w:rsidR="00454A29" w:rsidRDefault="00454A29">
            <w:pPr>
              <w:pStyle w:val="ConsPlusNormal"/>
              <w:jc w:val="center"/>
            </w:pPr>
            <w:r>
              <w:t>Детский сад на 98 мест в с. Борогонцы Усть-Алданского улуса</w:t>
            </w:r>
          </w:p>
        </w:tc>
        <w:tc>
          <w:tcPr>
            <w:tcW w:w="1701" w:type="dxa"/>
            <w:vAlign w:val="center"/>
          </w:tcPr>
          <w:p w14:paraId="2929D48C" w14:textId="77777777" w:rsidR="00454A29" w:rsidRDefault="00454A29">
            <w:pPr>
              <w:pStyle w:val="ConsPlusNormal"/>
              <w:jc w:val="center"/>
            </w:pPr>
            <w:r>
              <w:t>2020 - 2026 годы - всего</w:t>
            </w:r>
          </w:p>
        </w:tc>
        <w:tc>
          <w:tcPr>
            <w:tcW w:w="1417" w:type="dxa"/>
            <w:vMerge w:val="restart"/>
            <w:vAlign w:val="center"/>
          </w:tcPr>
          <w:p w14:paraId="44CBBDB9" w14:textId="77777777" w:rsidR="00454A29" w:rsidRDefault="00454A29">
            <w:pPr>
              <w:pStyle w:val="ConsPlusNormal"/>
              <w:jc w:val="center"/>
            </w:pPr>
            <w:r>
              <w:t>202 454,30</w:t>
            </w:r>
          </w:p>
        </w:tc>
        <w:tc>
          <w:tcPr>
            <w:tcW w:w="2204" w:type="dxa"/>
            <w:vMerge w:val="restart"/>
            <w:vAlign w:val="center"/>
          </w:tcPr>
          <w:p w14:paraId="573A4B41" w14:textId="77777777" w:rsidR="00454A29" w:rsidRDefault="00454A29">
            <w:pPr>
              <w:pStyle w:val="ConsPlusNormal"/>
            </w:pPr>
          </w:p>
        </w:tc>
        <w:tc>
          <w:tcPr>
            <w:tcW w:w="1417" w:type="dxa"/>
            <w:vMerge w:val="restart"/>
            <w:vAlign w:val="center"/>
          </w:tcPr>
          <w:p w14:paraId="7265EFC6" w14:textId="77777777" w:rsidR="00454A29" w:rsidRDefault="00454A29">
            <w:pPr>
              <w:pStyle w:val="ConsPlusNormal"/>
              <w:jc w:val="center"/>
            </w:pPr>
            <w:r>
              <w:t>98</w:t>
            </w:r>
          </w:p>
        </w:tc>
        <w:tc>
          <w:tcPr>
            <w:tcW w:w="2324" w:type="dxa"/>
            <w:vMerge w:val="restart"/>
            <w:vAlign w:val="center"/>
          </w:tcPr>
          <w:p w14:paraId="4BAC861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4A160FF" w14:textId="77777777" w:rsidR="00454A29" w:rsidRDefault="00454A29">
            <w:pPr>
              <w:pStyle w:val="ConsPlusNormal"/>
              <w:jc w:val="center"/>
            </w:pPr>
            <w:r>
              <w:t>202 454,30</w:t>
            </w:r>
          </w:p>
        </w:tc>
        <w:tc>
          <w:tcPr>
            <w:tcW w:w="1814" w:type="dxa"/>
            <w:vAlign w:val="center"/>
          </w:tcPr>
          <w:p w14:paraId="2E12F067" w14:textId="77777777" w:rsidR="00454A29" w:rsidRDefault="00454A29">
            <w:pPr>
              <w:pStyle w:val="ConsPlusNormal"/>
              <w:jc w:val="center"/>
            </w:pPr>
            <w:r>
              <w:t>202 454,30</w:t>
            </w:r>
          </w:p>
        </w:tc>
        <w:tc>
          <w:tcPr>
            <w:tcW w:w="1701" w:type="dxa"/>
            <w:vAlign w:val="center"/>
          </w:tcPr>
          <w:p w14:paraId="279D6A20" w14:textId="77777777" w:rsidR="00454A29" w:rsidRDefault="00454A29">
            <w:pPr>
              <w:pStyle w:val="ConsPlusNormal"/>
              <w:jc w:val="center"/>
            </w:pPr>
            <w:r>
              <w:t>-</w:t>
            </w:r>
          </w:p>
        </w:tc>
        <w:tc>
          <w:tcPr>
            <w:tcW w:w="1701" w:type="dxa"/>
            <w:vAlign w:val="center"/>
          </w:tcPr>
          <w:p w14:paraId="5CFD04C5" w14:textId="77777777" w:rsidR="00454A29" w:rsidRDefault="00454A29">
            <w:pPr>
              <w:pStyle w:val="ConsPlusNormal"/>
              <w:jc w:val="center"/>
            </w:pPr>
            <w:r>
              <w:t>-</w:t>
            </w:r>
          </w:p>
        </w:tc>
        <w:tc>
          <w:tcPr>
            <w:tcW w:w="1814" w:type="dxa"/>
            <w:vAlign w:val="center"/>
          </w:tcPr>
          <w:p w14:paraId="71ACEDC7" w14:textId="77777777" w:rsidR="00454A29" w:rsidRDefault="00454A29">
            <w:pPr>
              <w:pStyle w:val="ConsPlusNormal"/>
              <w:jc w:val="center"/>
            </w:pPr>
            <w:r>
              <w:t>-</w:t>
            </w:r>
          </w:p>
        </w:tc>
      </w:tr>
      <w:tr w:rsidR="00454A29" w14:paraId="18BA210E" w14:textId="77777777">
        <w:tc>
          <w:tcPr>
            <w:tcW w:w="567" w:type="dxa"/>
            <w:vMerge/>
          </w:tcPr>
          <w:p w14:paraId="1203EB32" w14:textId="77777777" w:rsidR="00454A29" w:rsidRDefault="00454A29"/>
        </w:tc>
        <w:tc>
          <w:tcPr>
            <w:tcW w:w="3345" w:type="dxa"/>
            <w:vMerge/>
          </w:tcPr>
          <w:p w14:paraId="3B62A3BF" w14:textId="77777777" w:rsidR="00454A29" w:rsidRDefault="00454A29"/>
        </w:tc>
        <w:tc>
          <w:tcPr>
            <w:tcW w:w="1701" w:type="dxa"/>
            <w:vAlign w:val="center"/>
          </w:tcPr>
          <w:p w14:paraId="5230B445" w14:textId="77777777" w:rsidR="00454A29" w:rsidRDefault="00454A29">
            <w:pPr>
              <w:pStyle w:val="ConsPlusNormal"/>
              <w:jc w:val="center"/>
            </w:pPr>
            <w:r>
              <w:t>2020</w:t>
            </w:r>
          </w:p>
        </w:tc>
        <w:tc>
          <w:tcPr>
            <w:tcW w:w="1417" w:type="dxa"/>
            <w:vMerge/>
          </w:tcPr>
          <w:p w14:paraId="3180ABC2" w14:textId="77777777" w:rsidR="00454A29" w:rsidRDefault="00454A29"/>
        </w:tc>
        <w:tc>
          <w:tcPr>
            <w:tcW w:w="2204" w:type="dxa"/>
            <w:vMerge/>
          </w:tcPr>
          <w:p w14:paraId="304A1283" w14:textId="77777777" w:rsidR="00454A29" w:rsidRDefault="00454A29"/>
        </w:tc>
        <w:tc>
          <w:tcPr>
            <w:tcW w:w="1417" w:type="dxa"/>
            <w:vMerge/>
          </w:tcPr>
          <w:p w14:paraId="24B4E7AF" w14:textId="77777777" w:rsidR="00454A29" w:rsidRDefault="00454A29"/>
        </w:tc>
        <w:tc>
          <w:tcPr>
            <w:tcW w:w="2324" w:type="dxa"/>
            <w:vMerge/>
          </w:tcPr>
          <w:p w14:paraId="4B28F1FA" w14:textId="77777777" w:rsidR="00454A29" w:rsidRDefault="00454A29"/>
        </w:tc>
        <w:tc>
          <w:tcPr>
            <w:tcW w:w="1701" w:type="dxa"/>
            <w:vAlign w:val="center"/>
          </w:tcPr>
          <w:p w14:paraId="7CD7CFA5" w14:textId="77777777" w:rsidR="00454A29" w:rsidRDefault="00454A29">
            <w:pPr>
              <w:pStyle w:val="ConsPlusNormal"/>
              <w:jc w:val="center"/>
            </w:pPr>
            <w:r>
              <w:t>-</w:t>
            </w:r>
          </w:p>
        </w:tc>
        <w:tc>
          <w:tcPr>
            <w:tcW w:w="1814" w:type="dxa"/>
            <w:vAlign w:val="center"/>
          </w:tcPr>
          <w:p w14:paraId="7E45E63F" w14:textId="77777777" w:rsidR="00454A29" w:rsidRDefault="00454A29">
            <w:pPr>
              <w:pStyle w:val="ConsPlusNormal"/>
            </w:pPr>
          </w:p>
        </w:tc>
        <w:tc>
          <w:tcPr>
            <w:tcW w:w="1701" w:type="dxa"/>
            <w:vAlign w:val="center"/>
          </w:tcPr>
          <w:p w14:paraId="5A9F0216" w14:textId="77777777" w:rsidR="00454A29" w:rsidRDefault="00454A29">
            <w:pPr>
              <w:pStyle w:val="ConsPlusNormal"/>
            </w:pPr>
          </w:p>
        </w:tc>
        <w:tc>
          <w:tcPr>
            <w:tcW w:w="1701" w:type="dxa"/>
            <w:vAlign w:val="center"/>
          </w:tcPr>
          <w:p w14:paraId="211FE1EE" w14:textId="77777777" w:rsidR="00454A29" w:rsidRDefault="00454A29">
            <w:pPr>
              <w:pStyle w:val="ConsPlusNormal"/>
            </w:pPr>
          </w:p>
        </w:tc>
        <w:tc>
          <w:tcPr>
            <w:tcW w:w="1814" w:type="dxa"/>
            <w:vAlign w:val="center"/>
          </w:tcPr>
          <w:p w14:paraId="5F2B3C6E" w14:textId="77777777" w:rsidR="00454A29" w:rsidRDefault="00454A29">
            <w:pPr>
              <w:pStyle w:val="ConsPlusNormal"/>
            </w:pPr>
          </w:p>
        </w:tc>
      </w:tr>
      <w:tr w:rsidR="00454A29" w14:paraId="3661DDD4" w14:textId="77777777">
        <w:tc>
          <w:tcPr>
            <w:tcW w:w="567" w:type="dxa"/>
            <w:vMerge/>
          </w:tcPr>
          <w:p w14:paraId="3792C870" w14:textId="77777777" w:rsidR="00454A29" w:rsidRDefault="00454A29"/>
        </w:tc>
        <w:tc>
          <w:tcPr>
            <w:tcW w:w="3345" w:type="dxa"/>
            <w:vMerge/>
          </w:tcPr>
          <w:p w14:paraId="15204CED" w14:textId="77777777" w:rsidR="00454A29" w:rsidRDefault="00454A29"/>
        </w:tc>
        <w:tc>
          <w:tcPr>
            <w:tcW w:w="1701" w:type="dxa"/>
            <w:vAlign w:val="center"/>
          </w:tcPr>
          <w:p w14:paraId="1333EA94" w14:textId="77777777" w:rsidR="00454A29" w:rsidRDefault="00454A29">
            <w:pPr>
              <w:pStyle w:val="ConsPlusNormal"/>
              <w:jc w:val="center"/>
            </w:pPr>
            <w:r>
              <w:t>2021</w:t>
            </w:r>
          </w:p>
        </w:tc>
        <w:tc>
          <w:tcPr>
            <w:tcW w:w="1417" w:type="dxa"/>
            <w:vMerge/>
          </w:tcPr>
          <w:p w14:paraId="49BAF85F" w14:textId="77777777" w:rsidR="00454A29" w:rsidRDefault="00454A29"/>
        </w:tc>
        <w:tc>
          <w:tcPr>
            <w:tcW w:w="2204" w:type="dxa"/>
            <w:vMerge/>
          </w:tcPr>
          <w:p w14:paraId="24D72EBA" w14:textId="77777777" w:rsidR="00454A29" w:rsidRDefault="00454A29"/>
        </w:tc>
        <w:tc>
          <w:tcPr>
            <w:tcW w:w="1417" w:type="dxa"/>
            <w:vMerge/>
          </w:tcPr>
          <w:p w14:paraId="6E2863B8" w14:textId="77777777" w:rsidR="00454A29" w:rsidRDefault="00454A29"/>
        </w:tc>
        <w:tc>
          <w:tcPr>
            <w:tcW w:w="2324" w:type="dxa"/>
            <w:vMerge/>
          </w:tcPr>
          <w:p w14:paraId="1E8674FE" w14:textId="77777777" w:rsidR="00454A29" w:rsidRDefault="00454A29"/>
        </w:tc>
        <w:tc>
          <w:tcPr>
            <w:tcW w:w="1701" w:type="dxa"/>
            <w:vAlign w:val="center"/>
          </w:tcPr>
          <w:p w14:paraId="27430486" w14:textId="77777777" w:rsidR="00454A29" w:rsidRDefault="00454A29">
            <w:pPr>
              <w:pStyle w:val="ConsPlusNormal"/>
              <w:jc w:val="center"/>
            </w:pPr>
            <w:r>
              <w:t>-</w:t>
            </w:r>
          </w:p>
        </w:tc>
        <w:tc>
          <w:tcPr>
            <w:tcW w:w="1814" w:type="dxa"/>
            <w:vAlign w:val="center"/>
          </w:tcPr>
          <w:p w14:paraId="511150C3" w14:textId="77777777" w:rsidR="00454A29" w:rsidRDefault="00454A29">
            <w:pPr>
              <w:pStyle w:val="ConsPlusNormal"/>
            </w:pPr>
          </w:p>
        </w:tc>
        <w:tc>
          <w:tcPr>
            <w:tcW w:w="1701" w:type="dxa"/>
            <w:vAlign w:val="center"/>
          </w:tcPr>
          <w:p w14:paraId="205418A4" w14:textId="77777777" w:rsidR="00454A29" w:rsidRDefault="00454A29">
            <w:pPr>
              <w:pStyle w:val="ConsPlusNormal"/>
            </w:pPr>
          </w:p>
        </w:tc>
        <w:tc>
          <w:tcPr>
            <w:tcW w:w="1701" w:type="dxa"/>
            <w:vAlign w:val="center"/>
          </w:tcPr>
          <w:p w14:paraId="55421036" w14:textId="77777777" w:rsidR="00454A29" w:rsidRDefault="00454A29">
            <w:pPr>
              <w:pStyle w:val="ConsPlusNormal"/>
            </w:pPr>
          </w:p>
        </w:tc>
        <w:tc>
          <w:tcPr>
            <w:tcW w:w="1814" w:type="dxa"/>
            <w:vAlign w:val="center"/>
          </w:tcPr>
          <w:p w14:paraId="6274D024" w14:textId="77777777" w:rsidR="00454A29" w:rsidRDefault="00454A29">
            <w:pPr>
              <w:pStyle w:val="ConsPlusNormal"/>
            </w:pPr>
          </w:p>
        </w:tc>
      </w:tr>
      <w:tr w:rsidR="00454A29" w14:paraId="53F4C66F" w14:textId="77777777">
        <w:tc>
          <w:tcPr>
            <w:tcW w:w="567" w:type="dxa"/>
            <w:vMerge/>
          </w:tcPr>
          <w:p w14:paraId="6387E54E" w14:textId="77777777" w:rsidR="00454A29" w:rsidRDefault="00454A29"/>
        </w:tc>
        <w:tc>
          <w:tcPr>
            <w:tcW w:w="3345" w:type="dxa"/>
            <w:vMerge/>
          </w:tcPr>
          <w:p w14:paraId="6F74D2A0" w14:textId="77777777" w:rsidR="00454A29" w:rsidRDefault="00454A29"/>
        </w:tc>
        <w:tc>
          <w:tcPr>
            <w:tcW w:w="1701" w:type="dxa"/>
            <w:vAlign w:val="center"/>
          </w:tcPr>
          <w:p w14:paraId="6FC1368A" w14:textId="77777777" w:rsidR="00454A29" w:rsidRDefault="00454A29">
            <w:pPr>
              <w:pStyle w:val="ConsPlusNormal"/>
              <w:jc w:val="center"/>
            </w:pPr>
            <w:r>
              <w:t>2022</w:t>
            </w:r>
          </w:p>
        </w:tc>
        <w:tc>
          <w:tcPr>
            <w:tcW w:w="1417" w:type="dxa"/>
            <w:vMerge/>
          </w:tcPr>
          <w:p w14:paraId="6256340E" w14:textId="77777777" w:rsidR="00454A29" w:rsidRDefault="00454A29"/>
        </w:tc>
        <w:tc>
          <w:tcPr>
            <w:tcW w:w="2204" w:type="dxa"/>
            <w:vMerge/>
          </w:tcPr>
          <w:p w14:paraId="2017FAE5" w14:textId="77777777" w:rsidR="00454A29" w:rsidRDefault="00454A29"/>
        </w:tc>
        <w:tc>
          <w:tcPr>
            <w:tcW w:w="1417" w:type="dxa"/>
            <w:vMerge/>
          </w:tcPr>
          <w:p w14:paraId="5300D5B1" w14:textId="77777777" w:rsidR="00454A29" w:rsidRDefault="00454A29"/>
        </w:tc>
        <w:tc>
          <w:tcPr>
            <w:tcW w:w="2324" w:type="dxa"/>
            <w:vMerge/>
          </w:tcPr>
          <w:p w14:paraId="6212D179" w14:textId="77777777" w:rsidR="00454A29" w:rsidRDefault="00454A29"/>
        </w:tc>
        <w:tc>
          <w:tcPr>
            <w:tcW w:w="1701" w:type="dxa"/>
            <w:vAlign w:val="center"/>
          </w:tcPr>
          <w:p w14:paraId="06FAF790" w14:textId="77777777" w:rsidR="00454A29" w:rsidRDefault="00454A29">
            <w:pPr>
              <w:pStyle w:val="ConsPlusNormal"/>
              <w:jc w:val="center"/>
            </w:pPr>
            <w:r>
              <w:t>-</w:t>
            </w:r>
          </w:p>
        </w:tc>
        <w:tc>
          <w:tcPr>
            <w:tcW w:w="1814" w:type="dxa"/>
            <w:vAlign w:val="center"/>
          </w:tcPr>
          <w:p w14:paraId="64F7F24D" w14:textId="77777777" w:rsidR="00454A29" w:rsidRDefault="00454A29">
            <w:pPr>
              <w:pStyle w:val="ConsPlusNormal"/>
            </w:pPr>
          </w:p>
        </w:tc>
        <w:tc>
          <w:tcPr>
            <w:tcW w:w="1701" w:type="dxa"/>
            <w:vAlign w:val="center"/>
          </w:tcPr>
          <w:p w14:paraId="17176D82" w14:textId="77777777" w:rsidR="00454A29" w:rsidRDefault="00454A29">
            <w:pPr>
              <w:pStyle w:val="ConsPlusNormal"/>
            </w:pPr>
          </w:p>
        </w:tc>
        <w:tc>
          <w:tcPr>
            <w:tcW w:w="1701" w:type="dxa"/>
            <w:vAlign w:val="center"/>
          </w:tcPr>
          <w:p w14:paraId="78D0DF87" w14:textId="77777777" w:rsidR="00454A29" w:rsidRDefault="00454A29">
            <w:pPr>
              <w:pStyle w:val="ConsPlusNormal"/>
            </w:pPr>
          </w:p>
        </w:tc>
        <w:tc>
          <w:tcPr>
            <w:tcW w:w="1814" w:type="dxa"/>
            <w:vAlign w:val="center"/>
          </w:tcPr>
          <w:p w14:paraId="001C2CF1" w14:textId="77777777" w:rsidR="00454A29" w:rsidRDefault="00454A29">
            <w:pPr>
              <w:pStyle w:val="ConsPlusNormal"/>
            </w:pPr>
          </w:p>
        </w:tc>
      </w:tr>
      <w:tr w:rsidR="00454A29" w14:paraId="723C0903" w14:textId="77777777">
        <w:tc>
          <w:tcPr>
            <w:tcW w:w="567" w:type="dxa"/>
            <w:vMerge/>
          </w:tcPr>
          <w:p w14:paraId="706D6298" w14:textId="77777777" w:rsidR="00454A29" w:rsidRDefault="00454A29"/>
        </w:tc>
        <w:tc>
          <w:tcPr>
            <w:tcW w:w="3345" w:type="dxa"/>
            <w:vMerge/>
          </w:tcPr>
          <w:p w14:paraId="2F6C5A61" w14:textId="77777777" w:rsidR="00454A29" w:rsidRDefault="00454A29"/>
        </w:tc>
        <w:tc>
          <w:tcPr>
            <w:tcW w:w="1701" w:type="dxa"/>
            <w:vAlign w:val="center"/>
          </w:tcPr>
          <w:p w14:paraId="6AD40A23" w14:textId="77777777" w:rsidR="00454A29" w:rsidRDefault="00454A29">
            <w:pPr>
              <w:pStyle w:val="ConsPlusNormal"/>
              <w:jc w:val="center"/>
            </w:pPr>
            <w:r>
              <w:t>2023</w:t>
            </w:r>
          </w:p>
        </w:tc>
        <w:tc>
          <w:tcPr>
            <w:tcW w:w="1417" w:type="dxa"/>
            <w:vMerge/>
          </w:tcPr>
          <w:p w14:paraId="6395C4D1" w14:textId="77777777" w:rsidR="00454A29" w:rsidRDefault="00454A29"/>
        </w:tc>
        <w:tc>
          <w:tcPr>
            <w:tcW w:w="2204" w:type="dxa"/>
            <w:vMerge/>
          </w:tcPr>
          <w:p w14:paraId="03AC798B" w14:textId="77777777" w:rsidR="00454A29" w:rsidRDefault="00454A29"/>
        </w:tc>
        <w:tc>
          <w:tcPr>
            <w:tcW w:w="1417" w:type="dxa"/>
            <w:vMerge/>
          </w:tcPr>
          <w:p w14:paraId="0ABF8764" w14:textId="77777777" w:rsidR="00454A29" w:rsidRDefault="00454A29"/>
        </w:tc>
        <w:tc>
          <w:tcPr>
            <w:tcW w:w="2324" w:type="dxa"/>
            <w:vMerge/>
          </w:tcPr>
          <w:p w14:paraId="70B9BC26" w14:textId="77777777" w:rsidR="00454A29" w:rsidRDefault="00454A29"/>
        </w:tc>
        <w:tc>
          <w:tcPr>
            <w:tcW w:w="1701" w:type="dxa"/>
            <w:vAlign w:val="center"/>
          </w:tcPr>
          <w:p w14:paraId="2074002F" w14:textId="77777777" w:rsidR="00454A29" w:rsidRDefault="00454A29">
            <w:pPr>
              <w:pStyle w:val="ConsPlusNormal"/>
              <w:jc w:val="center"/>
            </w:pPr>
            <w:r>
              <w:t>-</w:t>
            </w:r>
          </w:p>
        </w:tc>
        <w:tc>
          <w:tcPr>
            <w:tcW w:w="1814" w:type="dxa"/>
            <w:vAlign w:val="center"/>
          </w:tcPr>
          <w:p w14:paraId="1D37C0A7" w14:textId="77777777" w:rsidR="00454A29" w:rsidRDefault="00454A29">
            <w:pPr>
              <w:pStyle w:val="ConsPlusNormal"/>
            </w:pPr>
          </w:p>
        </w:tc>
        <w:tc>
          <w:tcPr>
            <w:tcW w:w="1701" w:type="dxa"/>
            <w:vAlign w:val="center"/>
          </w:tcPr>
          <w:p w14:paraId="7EE67545" w14:textId="77777777" w:rsidR="00454A29" w:rsidRDefault="00454A29">
            <w:pPr>
              <w:pStyle w:val="ConsPlusNormal"/>
            </w:pPr>
          </w:p>
        </w:tc>
        <w:tc>
          <w:tcPr>
            <w:tcW w:w="1701" w:type="dxa"/>
            <w:vAlign w:val="center"/>
          </w:tcPr>
          <w:p w14:paraId="6A2DD784" w14:textId="77777777" w:rsidR="00454A29" w:rsidRDefault="00454A29">
            <w:pPr>
              <w:pStyle w:val="ConsPlusNormal"/>
            </w:pPr>
          </w:p>
        </w:tc>
        <w:tc>
          <w:tcPr>
            <w:tcW w:w="1814" w:type="dxa"/>
            <w:vAlign w:val="center"/>
          </w:tcPr>
          <w:p w14:paraId="7BB1E21A" w14:textId="77777777" w:rsidR="00454A29" w:rsidRDefault="00454A29">
            <w:pPr>
              <w:pStyle w:val="ConsPlusNormal"/>
            </w:pPr>
          </w:p>
        </w:tc>
      </w:tr>
      <w:tr w:rsidR="00454A29" w14:paraId="23DDCD53" w14:textId="77777777">
        <w:tc>
          <w:tcPr>
            <w:tcW w:w="567" w:type="dxa"/>
            <w:vMerge/>
          </w:tcPr>
          <w:p w14:paraId="0432A4D1" w14:textId="77777777" w:rsidR="00454A29" w:rsidRDefault="00454A29"/>
        </w:tc>
        <w:tc>
          <w:tcPr>
            <w:tcW w:w="3345" w:type="dxa"/>
            <w:vMerge/>
          </w:tcPr>
          <w:p w14:paraId="25E9889F" w14:textId="77777777" w:rsidR="00454A29" w:rsidRDefault="00454A29"/>
        </w:tc>
        <w:tc>
          <w:tcPr>
            <w:tcW w:w="1701" w:type="dxa"/>
            <w:vAlign w:val="center"/>
          </w:tcPr>
          <w:p w14:paraId="0B2AF310" w14:textId="77777777" w:rsidR="00454A29" w:rsidRDefault="00454A29">
            <w:pPr>
              <w:pStyle w:val="ConsPlusNormal"/>
              <w:jc w:val="center"/>
            </w:pPr>
            <w:r>
              <w:t>2024</w:t>
            </w:r>
          </w:p>
        </w:tc>
        <w:tc>
          <w:tcPr>
            <w:tcW w:w="1417" w:type="dxa"/>
            <w:vMerge/>
          </w:tcPr>
          <w:p w14:paraId="09BB623D" w14:textId="77777777" w:rsidR="00454A29" w:rsidRDefault="00454A29"/>
        </w:tc>
        <w:tc>
          <w:tcPr>
            <w:tcW w:w="2204" w:type="dxa"/>
            <w:vMerge/>
          </w:tcPr>
          <w:p w14:paraId="74B48530" w14:textId="77777777" w:rsidR="00454A29" w:rsidRDefault="00454A29"/>
        </w:tc>
        <w:tc>
          <w:tcPr>
            <w:tcW w:w="1417" w:type="dxa"/>
            <w:vMerge/>
          </w:tcPr>
          <w:p w14:paraId="4C668A22" w14:textId="77777777" w:rsidR="00454A29" w:rsidRDefault="00454A29"/>
        </w:tc>
        <w:tc>
          <w:tcPr>
            <w:tcW w:w="2324" w:type="dxa"/>
            <w:vMerge/>
          </w:tcPr>
          <w:p w14:paraId="14CE1265" w14:textId="77777777" w:rsidR="00454A29" w:rsidRDefault="00454A29"/>
        </w:tc>
        <w:tc>
          <w:tcPr>
            <w:tcW w:w="1701" w:type="dxa"/>
            <w:vAlign w:val="center"/>
          </w:tcPr>
          <w:p w14:paraId="40A47094" w14:textId="77777777" w:rsidR="00454A29" w:rsidRDefault="00454A29">
            <w:pPr>
              <w:pStyle w:val="ConsPlusNormal"/>
              <w:jc w:val="center"/>
            </w:pPr>
            <w:r>
              <w:t>-</w:t>
            </w:r>
          </w:p>
        </w:tc>
        <w:tc>
          <w:tcPr>
            <w:tcW w:w="1814" w:type="dxa"/>
            <w:vAlign w:val="center"/>
          </w:tcPr>
          <w:p w14:paraId="7F7FA6F8" w14:textId="77777777" w:rsidR="00454A29" w:rsidRDefault="00454A29">
            <w:pPr>
              <w:pStyle w:val="ConsPlusNormal"/>
            </w:pPr>
          </w:p>
        </w:tc>
        <w:tc>
          <w:tcPr>
            <w:tcW w:w="1701" w:type="dxa"/>
            <w:vAlign w:val="center"/>
          </w:tcPr>
          <w:p w14:paraId="5F3563B0" w14:textId="77777777" w:rsidR="00454A29" w:rsidRDefault="00454A29">
            <w:pPr>
              <w:pStyle w:val="ConsPlusNormal"/>
            </w:pPr>
          </w:p>
        </w:tc>
        <w:tc>
          <w:tcPr>
            <w:tcW w:w="1701" w:type="dxa"/>
            <w:vAlign w:val="center"/>
          </w:tcPr>
          <w:p w14:paraId="1E3E50D9" w14:textId="77777777" w:rsidR="00454A29" w:rsidRDefault="00454A29">
            <w:pPr>
              <w:pStyle w:val="ConsPlusNormal"/>
            </w:pPr>
          </w:p>
        </w:tc>
        <w:tc>
          <w:tcPr>
            <w:tcW w:w="1814" w:type="dxa"/>
            <w:vAlign w:val="center"/>
          </w:tcPr>
          <w:p w14:paraId="57B05C9D" w14:textId="77777777" w:rsidR="00454A29" w:rsidRDefault="00454A29">
            <w:pPr>
              <w:pStyle w:val="ConsPlusNormal"/>
            </w:pPr>
          </w:p>
        </w:tc>
      </w:tr>
      <w:tr w:rsidR="00454A29" w14:paraId="4C1562B9" w14:textId="77777777">
        <w:tc>
          <w:tcPr>
            <w:tcW w:w="567" w:type="dxa"/>
            <w:vMerge/>
          </w:tcPr>
          <w:p w14:paraId="0F1ABE46" w14:textId="77777777" w:rsidR="00454A29" w:rsidRDefault="00454A29"/>
        </w:tc>
        <w:tc>
          <w:tcPr>
            <w:tcW w:w="3345" w:type="dxa"/>
            <w:vMerge/>
          </w:tcPr>
          <w:p w14:paraId="10024419" w14:textId="77777777" w:rsidR="00454A29" w:rsidRDefault="00454A29"/>
        </w:tc>
        <w:tc>
          <w:tcPr>
            <w:tcW w:w="1701" w:type="dxa"/>
            <w:vAlign w:val="center"/>
          </w:tcPr>
          <w:p w14:paraId="41FB1D31" w14:textId="77777777" w:rsidR="00454A29" w:rsidRDefault="00454A29">
            <w:pPr>
              <w:pStyle w:val="ConsPlusNormal"/>
              <w:jc w:val="center"/>
            </w:pPr>
            <w:r>
              <w:t>2025</w:t>
            </w:r>
          </w:p>
        </w:tc>
        <w:tc>
          <w:tcPr>
            <w:tcW w:w="1417" w:type="dxa"/>
            <w:vMerge/>
          </w:tcPr>
          <w:p w14:paraId="599BBDC9" w14:textId="77777777" w:rsidR="00454A29" w:rsidRDefault="00454A29"/>
        </w:tc>
        <w:tc>
          <w:tcPr>
            <w:tcW w:w="2204" w:type="dxa"/>
            <w:vMerge/>
          </w:tcPr>
          <w:p w14:paraId="46CCB1D1" w14:textId="77777777" w:rsidR="00454A29" w:rsidRDefault="00454A29"/>
        </w:tc>
        <w:tc>
          <w:tcPr>
            <w:tcW w:w="1417" w:type="dxa"/>
            <w:vMerge/>
          </w:tcPr>
          <w:p w14:paraId="35CE8B0C" w14:textId="77777777" w:rsidR="00454A29" w:rsidRDefault="00454A29"/>
        </w:tc>
        <w:tc>
          <w:tcPr>
            <w:tcW w:w="2324" w:type="dxa"/>
            <w:vMerge/>
          </w:tcPr>
          <w:p w14:paraId="4FB92952" w14:textId="77777777" w:rsidR="00454A29" w:rsidRDefault="00454A29"/>
        </w:tc>
        <w:tc>
          <w:tcPr>
            <w:tcW w:w="1701" w:type="dxa"/>
            <w:vAlign w:val="center"/>
          </w:tcPr>
          <w:p w14:paraId="0D730017" w14:textId="77777777" w:rsidR="00454A29" w:rsidRDefault="00454A29">
            <w:pPr>
              <w:pStyle w:val="ConsPlusNormal"/>
              <w:jc w:val="center"/>
            </w:pPr>
            <w:r>
              <w:t>-</w:t>
            </w:r>
          </w:p>
        </w:tc>
        <w:tc>
          <w:tcPr>
            <w:tcW w:w="1814" w:type="dxa"/>
            <w:vAlign w:val="center"/>
          </w:tcPr>
          <w:p w14:paraId="0FD728E8" w14:textId="77777777" w:rsidR="00454A29" w:rsidRDefault="00454A29">
            <w:pPr>
              <w:pStyle w:val="ConsPlusNormal"/>
            </w:pPr>
          </w:p>
        </w:tc>
        <w:tc>
          <w:tcPr>
            <w:tcW w:w="1701" w:type="dxa"/>
            <w:vAlign w:val="center"/>
          </w:tcPr>
          <w:p w14:paraId="4C4908BF" w14:textId="77777777" w:rsidR="00454A29" w:rsidRDefault="00454A29">
            <w:pPr>
              <w:pStyle w:val="ConsPlusNormal"/>
            </w:pPr>
          </w:p>
        </w:tc>
        <w:tc>
          <w:tcPr>
            <w:tcW w:w="1701" w:type="dxa"/>
            <w:vAlign w:val="center"/>
          </w:tcPr>
          <w:p w14:paraId="28E177A2" w14:textId="77777777" w:rsidR="00454A29" w:rsidRDefault="00454A29">
            <w:pPr>
              <w:pStyle w:val="ConsPlusNormal"/>
            </w:pPr>
          </w:p>
        </w:tc>
        <w:tc>
          <w:tcPr>
            <w:tcW w:w="1814" w:type="dxa"/>
            <w:vAlign w:val="center"/>
          </w:tcPr>
          <w:p w14:paraId="6CB73912" w14:textId="77777777" w:rsidR="00454A29" w:rsidRDefault="00454A29">
            <w:pPr>
              <w:pStyle w:val="ConsPlusNormal"/>
            </w:pPr>
          </w:p>
        </w:tc>
      </w:tr>
      <w:tr w:rsidR="00454A29" w14:paraId="46E61256" w14:textId="77777777">
        <w:tc>
          <w:tcPr>
            <w:tcW w:w="567" w:type="dxa"/>
            <w:vMerge/>
          </w:tcPr>
          <w:p w14:paraId="6B791E5C" w14:textId="77777777" w:rsidR="00454A29" w:rsidRDefault="00454A29"/>
        </w:tc>
        <w:tc>
          <w:tcPr>
            <w:tcW w:w="3345" w:type="dxa"/>
            <w:vMerge/>
          </w:tcPr>
          <w:p w14:paraId="208E9062" w14:textId="77777777" w:rsidR="00454A29" w:rsidRDefault="00454A29"/>
        </w:tc>
        <w:tc>
          <w:tcPr>
            <w:tcW w:w="1701" w:type="dxa"/>
            <w:vAlign w:val="center"/>
          </w:tcPr>
          <w:p w14:paraId="1845B4E1" w14:textId="77777777" w:rsidR="00454A29" w:rsidRDefault="00454A29">
            <w:pPr>
              <w:pStyle w:val="ConsPlusNormal"/>
              <w:jc w:val="center"/>
            </w:pPr>
            <w:r>
              <w:t>2026</w:t>
            </w:r>
          </w:p>
        </w:tc>
        <w:tc>
          <w:tcPr>
            <w:tcW w:w="1417" w:type="dxa"/>
            <w:vMerge/>
          </w:tcPr>
          <w:p w14:paraId="4538D4D5" w14:textId="77777777" w:rsidR="00454A29" w:rsidRDefault="00454A29"/>
        </w:tc>
        <w:tc>
          <w:tcPr>
            <w:tcW w:w="2204" w:type="dxa"/>
            <w:vMerge/>
          </w:tcPr>
          <w:p w14:paraId="3049D8F4" w14:textId="77777777" w:rsidR="00454A29" w:rsidRDefault="00454A29"/>
        </w:tc>
        <w:tc>
          <w:tcPr>
            <w:tcW w:w="1417" w:type="dxa"/>
            <w:vMerge/>
          </w:tcPr>
          <w:p w14:paraId="1C14DFDC" w14:textId="77777777" w:rsidR="00454A29" w:rsidRDefault="00454A29"/>
        </w:tc>
        <w:tc>
          <w:tcPr>
            <w:tcW w:w="2324" w:type="dxa"/>
            <w:vMerge/>
          </w:tcPr>
          <w:p w14:paraId="67DCBEE1" w14:textId="77777777" w:rsidR="00454A29" w:rsidRDefault="00454A29"/>
        </w:tc>
        <w:tc>
          <w:tcPr>
            <w:tcW w:w="1701" w:type="dxa"/>
            <w:vAlign w:val="center"/>
          </w:tcPr>
          <w:p w14:paraId="1A93B447" w14:textId="77777777" w:rsidR="00454A29" w:rsidRDefault="00454A29">
            <w:pPr>
              <w:pStyle w:val="ConsPlusNormal"/>
              <w:jc w:val="center"/>
            </w:pPr>
            <w:r>
              <w:t>202 454,30</w:t>
            </w:r>
          </w:p>
        </w:tc>
        <w:tc>
          <w:tcPr>
            <w:tcW w:w="1814" w:type="dxa"/>
            <w:vAlign w:val="center"/>
          </w:tcPr>
          <w:p w14:paraId="2F77C8E8" w14:textId="77777777" w:rsidR="00454A29" w:rsidRDefault="00454A29">
            <w:pPr>
              <w:pStyle w:val="ConsPlusNormal"/>
              <w:jc w:val="center"/>
            </w:pPr>
            <w:r>
              <w:t>202 454,30</w:t>
            </w:r>
          </w:p>
        </w:tc>
        <w:tc>
          <w:tcPr>
            <w:tcW w:w="1701" w:type="dxa"/>
            <w:vAlign w:val="center"/>
          </w:tcPr>
          <w:p w14:paraId="21634034" w14:textId="77777777" w:rsidR="00454A29" w:rsidRDefault="00454A29">
            <w:pPr>
              <w:pStyle w:val="ConsPlusNormal"/>
            </w:pPr>
          </w:p>
        </w:tc>
        <w:tc>
          <w:tcPr>
            <w:tcW w:w="1701" w:type="dxa"/>
            <w:vAlign w:val="center"/>
          </w:tcPr>
          <w:p w14:paraId="77A2CF26" w14:textId="77777777" w:rsidR="00454A29" w:rsidRDefault="00454A29">
            <w:pPr>
              <w:pStyle w:val="ConsPlusNormal"/>
            </w:pPr>
          </w:p>
        </w:tc>
        <w:tc>
          <w:tcPr>
            <w:tcW w:w="1814" w:type="dxa"/>
            <w:vAlign w:val="center"/>
          </w:tcPr>
          <w:p w14:paraId="3BF1D0DA" w14:textId="77777777" w:rsidR="00454A29" w:rsidRDefault="00454A29">
            <w:pPr>
              <w:pStyle w:val="ConsPlusNormal"/>
            </w:pPr>
          </w:p>
        </w:tc>
      </w:tr>
      <w:tr w:rsidR="00454A29" w14:paraId="7186387B" w14:textId="77777777">
        <w:tc>
          <w:tcPr>
            <w:tcW w:w="567" w:type="dxa"/>
            <w:vMerge w:val="restart"/>
            <w:vAlign w:val="center"/>
          </w:tcPr>
          <w:p w14:paraId="035A509A" w14:textId="77777777" w:rsidR="00454A29" w:rsidRDefault="00454A29">
            <w:pPr>
              <w:pStyle w:val="ConsPlusNormal"/>
              <w:jc w:val="center"/>
            </w:pPr>
            <w:r>
              <w:t>4</w:t>
            </w:r>
          </w:p>
        </w:tc>
        <w:tc>
          <w:tcPr>
            <w:tcW w:w="3345" w:type="dxa"/>
            <w:vMerge w:val="restart"/>
            <w:vAlign w:val="center"/>
          </w:tcPr>
          <w:p w14:paraId="3AD2D1E1" w14:textId="77777777" w:rsidR="00454A29" w:rsidRDefault="00454A29">
            <w:pPr>
              <w:pStyle w:val="ConsPlusNormal"/>
              <w:jc w:val="center"/>
            </w:pPr>
            <w:r>
              <w:t>Детский сад на 50 мест с. Дэбдиргэ, МО "Игидейский наслег" Таттинского улуса</w:t>
            </w:r>
          </w:p>
        </w:tc>
        <w:tc>
          <w:tcPr>
            <w:tcW w:w="1701" w:type="dxa"/>
            <w:vAlign w:val="center"/>
          </w:tcPr>
          <w:p w14:paraId="44CA657A" w14:textId="77777777" w:rsidR="00454A29" w:rsidRDefault="00454A29">
            <w:pPr>
              <w:pStyle w:val="ConsPlusNormal"/>
              <w:jc w:val="center"/>
            </w:pPr>
            <w:r>
              <w:t>2020 - 2026 годы - всего</w:t>
            </w:r>
          </w:p>
        </w:tc>
        <w:tc>
          <w:tcPr>
            <w:tcW w:w="1417" w:type="dxa"/>
            <w:vMerge w:val="restart"/>
            <w:vAlign w:val="center"/>
          </w:tcPr>
          <w:p w14:paraId="23A3D0C4" w14:textId="77777777" w:rsidR="00454A29" w:rsidRDefault="00454A29">
            <w:pPr>
              <w:pStyle w:val="ConsPlusNormal"/>
              <w:jc w:val="center"/>
            </w:pPr>
            <w:r>
              <w:t>107 258,07</w:t>
            </w:r>
          </w:p>
        </w:tc>
        <w:tc>
          <w:tcPr>
            <w:tcW w:w="2204" w:type="dxa"/>
            <w:vMerge w:val="restart"/>
            <w:vAlign w:val="center"/>
          </w:tcPr>
          <w:p w14:paraId="5E8CA1B4" w14:textId="77777777" w:rsidR="00454A29" w:rsidRDefault="00454A29">
            <w:pPr>
              <w:pStyle w:val="ConsPlusNormal"/>
            </w:pPr>
          </w:p>
        </w:tc>
        <w:tc>
          <w:tcPr>
            <w:tcW w:w="1417" w:type="dxa"/>
            <w:vMerge w:val="restart"/>
            <w:vAlign w:val="center"/>
          </w:tcPr>
          <w:p w14:paraId="54246090" w14:textId="77777777" w:rsidR="00454A29" w:rsidRDefault="00454A29">
            <w:pPr>
              <w:pStyle w:val="ConsPlusNormal"/>
              <w:jc w:val="center"/>
            </w:pPr>
            <w:r>
              <w:t>50</w:t>
            </w:r>
          </w:p>
        </w:tc>
        <w:tc>
          <w:tcPr>
            <w:tcW w:w="2324" w:type="dxa"/>
            <w:vMerge w:val="restart"/>
            <w:vAlign w:val="center"/>
          </w:tcPr>
          <w:p w14:paraId="12995CE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08E465D" w14:textId="77777777" w:rsidR="00454A29" w:rsidRDefault="00454A29">
            <w:pPr>
              <w:pStyle w:val="ConsPlusNormal"/>
              <w:jc w:val="center"/>
            </w:pPr>
            <w:r>
              <w:t>107 258,07</w:t>
            </w:r>
          </w:p>
        </w:tc>
        <w:tc>
          <w:tcPr>
            <w:tcW w:w="1814" w:type="dxa"/>
            <w:vAlign w:val="center"/>
          </w:tcPr>
          <w:p w14:paraId="0D2E30F6" w14:textId="77777777" w:rsidR="00454A29" w:rsidRDefault="00454A29">
            <w:pPr>
              <w:pStyle w:val="ConsPlusNormal"/>
              <w:jc w:val="center"/>
            </w:pPr>
            <w:r>
              <w:t>107 258,07</w:t>
            </w:r>
          </w:p>
        </w:tc>
        <w:tc>
          <w:tcPr>
            <w:tcW w:w="1701" w:type="dxa"/>
            <w:vAlign w:val="center"/>
          </w:tcPr>
          <w:p w14:paraId="4018F24F" w14:textId="77777777" w:rsidR="00454A29" w:rsidRDefault="00454A29">
            <w:pPr>
              <w:pStyle w:val="ConsPlusNormal"/>
              <w:jc w:val="center"/>
            </w:pPr>
            <w:r>
              <w:t>-</w:t>
            </w:r>
          </w:p>
        </w:tc>
        <w:tc>
          <w:tcPr>
            <w:tcW w:w="1701" w:type="dxa"/>
            <w:vAlign w:val="center"/>
          </w:tcPr>
          <w:p w14:paraId="1814893C" w14:textId="77777777" w:rsidR="00454A29" w:rsidRDefault="00454A29">
            <w:pPr>
              <w:pStyle w:val="ConsPlusNormal"/>
              <w:jc w:val="center"/>
            </w:pPr>
            <w:r>
              <w:t>-</w:t>
            </w:r>
          </w:p>
        </w:tc>
        <w:tc>
          <w:tcPr>
            <w:tcW w:w="1814" w:type="dxa"/>
            <w:vAlign w:val="center"/>
          </w:tcPr>
          <w:p w14:paraId="66E16FAD" w14:textId="77777777" w:rsidR="00454A29" w:rsidRDefault="00454A29">
            <w:pPr>
              <w:pStyle w:val="ConsPlusNormal"/>
              <w:jc w:val="center"/>
            </w:pPr>
            <w:r>
              <w:t>-</w:t>
            </w:r>
          </w:p>
        </w:tc>
      </w:tr>
      <w:tr w:rsidR="00454A29" w14:paraId="772EA70D" w14:textId="77777777">
        <w:tc>
          <w:tcPr>
            <w:tcW w:w="567" w:type="dxa"/>
            <w:vMerge/>
          </w:tcPr>
          <w:p w14:paraId="4531B175" w14:textId="77777777" w:rsidR="00454A29" w:rsidRDefault="00454A29"/>
        </w:tc>
        <w:tc>
          <w:tcPr>
            <w:tcW w:w="3345" w:type="dxa"/>
            <w:vMerge/>
          </w:tcPr>
          <w:p w14:paraId="1E71A934" w14:textId="77777777" w:rsidR="00454A29" w:rsidRDefault="00454A29"/>
        </w:tc>
        <w:tc>
          <w:tcPr>
            <w:tcW w:w="1701" w:type="dxa"/>
            <w:vAlign w:val="center"/>
          </w:tcPr>
          <w:p w14:paraId="0974DF40" w14:textId="77777777" w:rsidR="00454A29" w:rsidRDefault="00454A29">
            <w:pPr>
              <w:pStyle w:val="ConsPlusNormal"/>
              <w:jc w:val="center"/>
            </w:pPr>
            <w:r>
              <w:t>2020</w:t>
            </w:r>
          </w:p>
        </w:tc>
        <w:tc>
          <w:tcPr>
            <w:tcW w:w="1417" w:type="dxa"/>
            <w:vMerge/>
          </w:tcPr>
          <w:p w14:paraId="63A545EE" w14:textId="77777777" w:rsidR="00454A29" w:rsidRDefault="00454A29"/>
        </w:tc>
        <w:tc>
          <w:tcPr>
            <w:tcW w:w="2204" w:type="dxa"/>
            <w:vMerge/>
          </w:tcPr>
          <w:p w14:paraId="5678B7B1" w14:textId="77777777" w:rsidR="00454A29" w:rsidRDefault="00454A29"/>
        </w:tc>
        <w:tc>
          <w:tcPr>
            <w:tcW w:w="1417" w:type="dxa"/>
            <w:vMerge/>
          </w:tcPr>
          <w:p w14:paraId="702BE148" w14:textId="77777777" w:rsidR="00454A29" w:rsidRDefault="00454A29"/>
        </w:tc>
        <w:tc>
          <w:tcPr>
            <w:tcW w:w="2324" w:type="dxa"/>
            <w:vMerge/>
          </w:tcPr>
          <w:p w14:paraId="5E6E7B25" w14:textId="77777777" w:rsidR="00454A29" w:rsidRDefault="00454A29"/>
        </w:tc>
        <w:tc>
          <w:tcPr>
            <w:tcW w:w="1701" w:type="dxa"/>
            <w:vAlign w:val="center"/>
          </w:tcPr>
          <w:p w14:paraId="4F771B2C" w14:textId="77777777" w:rsidR="00454A29" w:rsidRDefault="00454A29">
            <w:pPr>
              <w:pStyle w:val="ConsPlusNormal"/>
              <w:jc w:val="center"/>
            </w:pPr>
            <w:r>
              <w:t>-</w:t>
            </w:r>
          </w:p>
        </w:tc>
        <w:tc>
          <w:tcPr>
            <w:tcW w:w="1814" w:type="dxa"/>
            <w:vAlign w:val="center"/>
          </w:tcPr>
          <w:p w14:paraId="275A53EF" w14:textId="77777777" w:rsidR="00454A29" w:rsidRDefault="00454A29">
            <w:pPr>
              <w:pStyle w:val="ConsPlusNormal"/>
            </w:pPr>
          </w:p>
        </w:tc>
        <w:tc>
          <w:tcPr>
            <w:tcW w:w="1701" w:type="dxa"/>
            <w:vAlign w:val="center"/>
          </w:tcPr>
          <w:p w14:paraId="4F52AF58" w14:textId="77777777" w:rsidR="00454A29" w:rsidRDefault="00454A29">
            <w:pPr>
              <w:pStyle w:val="ConsPlusNormal"/>
            </w:pPr>
          </w:p>
        </w:tc>
        <w:tc>
          <w:tcPr>
            <w:tcW w:w="1701" w:type="dxa"/>
            <w:vAlign w:val="center"/>
          </w:tcPr>
          <w:p w14:paraId="321DB3A9" w14:textId="77777777" w:rsidR="00454A29" w:rsidRDefault="00454A29">
            <w:pPr>
              <w:pStyle w:val="ConsPlusNormal"/>
            </w:pPr>
          </w:p>
        </w:tc>
        <w:tc>
          <w:tcPr>
            <w:tcW w:w="1814" w:type="dxa"/>
            <w:vAlign w:val="center"/>
          </w:tcPr>
          <w:p w14:paraId="38823B6D" w14:textId="77777777" w:rsidR="00454A29" w:rsidRDefault="00454A29">
            <w:pPr>
              <w:pStyle w:val="ConsPlusNormal"/>
            </w:pPr>
          </w:p>
        </w:tc>
      </w:tr>
      <w:tr w:rsidR="00454A29" w14:paraId="27EC9197" w14:textId="77777777">
        <w:tc>
          <w:tcPr>
            <w:tcW w:w="567" w:type="dxa"/>
            <w:vMerge/>
          </w:tcPr>
          <w:p w14:paraId="53CB917C" w14:textId="77777777" w:rsidR="00454A29" w:rsidRDefault="00454A29"/>
        </w:tc>
        <w:tc>
          <w:tcPr>
            <w:tcW w:w="3345" w:type="dxa"/>
            <w:vMerge/>
          </w:tcPr>
          <w:p w14:paraId="43993450" w14:textId="77777777" w:rsidR="00454A29" w:rsidRDefault="00454A29"/>
        </w:tc>
        <w:tc>
          <w:tcPr>
            <w:tcW w:w="1701" w:type="dxa"/>
            <w:vAlign w:val="center"/>
          </w:tcPr>
          <w:p w14:paraId="6778BAF9" w14:textId="77777777" w:rsidR="00454A29" w:rsidRDefault="00454A29">
            <w:pPr>
              <w:pStyle w:val="ConsPlusNormal"/>
              <w:jc w:val="center"/>
            </w:pPr>
            <w:r>
              <w:t>2021</w:t>
            </w:r>
          </w:p>
        </w:tc>
        <w:tc>
          <w:tcPr>
            <w:tcW w:w="1417" w:type="dxa"/>
            <w:vMerge/>
          </w:tcPr>
          <w:p w14:paraId="1DA9E177" w14:textId="77777777" w:rsidR="00454A29" w:rsidRDefault="00454A29"/>
        </w:tc>
        <w:tc>
          <w:tcPr>
            <w:tcW w:w="2204" w:type="dxa"/>
            <w:vMerge/>
          </w:tcPr>
          <w:p w14:paraId="193B4123" w14:textId="77777777" w:rsidR="00454A29" w:rsidRDefault="00454A29"/>
        </w:tc>
        <w:tc>
          <w:tcPr>
            <w:tcW w:w="1417" w:type="dxa"/>
            <w:vMerge/>
          </w:tcPr>
          <w:p w14:paraId="113EAA51" w14:textId="77777777" w:rsidR="00454A29" w:rsidRDefault="00454A29"/>
        </w:tc>
        <w:tc>
          <w:tcPr>
            <w:tcW w:w="2324" w:type="dxa"/>
            <w:vMerge/>
          </w:tcPr>
          <w:p w14:paraId="2C18ADA8" w14:textId="77777777" w:rsidR="00454A29" w:rsidRDefault="00454A29"/>
        </w:tc>
        <w:tc>
          <w:tcPr>
            <w:tcW w:w="1701" w:type="dxa"/>
            <w:vAlign w:val="center"/>
          </w:tcPr>
          <w:p w14:paraId="49CAE3C4" w14:textId="77777777" w:rsidR="00454A29" w:rsidRDefault="00454A29">
            <w:pPr>
              <w:pStyle w:val="ConsPlusNormal"/>
              <w:jc w:val="center"/>
            </w:pPr>
            <w:r>
              <w:t>-</w:t>
            </w:r>
          </w:p>
        </w:tc>
        <w:tc>
          <w:tcPr>
            <w:tcW w:w="1814" w:type="dxa"/>
            <w:vAlign w:val="center"/>
          </w:tcPr>
          <w:p w14:paraId="0790B8F6" w14:textId="77777777" w:rsidR="00454A29" w:rsidRDefault="00454A29">
            <w:pPr>
              <w:pStyle w:val="ConsPlusNormal"/>
            </w:pPr>
          </w:p>
        </w:tc>
        <w:tc>
          <w:tcPr>
            <w:tcW w:w="1701" w:type="dxa"/>
            <w:vAlign w:val="center"/>
          </w:tcPr>
          <w:p w14:paraId="56147847" w14:textId="77777777" w:rsidR="00454A29" w:rsidRDefault="00454A29">
            <w:pPr>
              <w:pStyle w:val="ConsPlusNormal"/>
            </w:pPr>
          </w:p>
        </w:tc>
        <w:tc>
          <w:tcPr>
            <w:tcW w:w="1701" w:type="dxa"/>
            <w:vAlign w:val="center"/>
          </w:tcPr>
          <w:p w14:paraId="6A571D7F" w14:textId="77777777" w:rsidR="00454A29" w:rsidRDefault="00454A29">
            <w:pPr>
              <w:pStyle w:val="ConsPlusNormal"/>
            </w:pPr>
          </w:p>
        </w:tc>
        <w:tc>
          <w:tcPr>
            <w:tcW w:w="1814" w:type="dxa"/>
            <w:vAlign w:val="center"/>
          </w:tcPr>
          <w:p w14:paraId="2B138BF2" w14:textId="77777777" w:rsidR="00454A29" w:rsidRDefault="00454A29">
            <w:pPr>
              <w:pStyle w:val="ConsPlusNormal"/>
            </w:pPr>
          </w:p>
        </w:tc>
      </w:tr>
      <w:tr w:rsidR="00454A29" w14:paraId="230ECFA8" w14:textId="77777777">
        <w:tc>
          <w:tcPr>
            <w:tcW w:w="567" w:type="dxa"/>
            <w:vMerge/>
          </w:tcPr>
          <w:p w14:paraId="399A1D0E" w14:textId="77777777" w:rsidR="00454A29" w:rsidRDefault="00454A29"/>
        </w:tc>
        <w:tc>
          <w:tcPr>
            <w:tcW w:w="3345" w:type="dxa"/>
            <w:vMerge/>
          </w:tcPr>
          <w:p w14:paraId="68597BB3" w14:textId="77777777" w:rsidR="00454A29" w:rsidRDefault="00454A29"/>
        </w:tc>
        <w:tc>
          <w:tcPr>
            <w:tcW w:w="1701" w:type="dxa"/>
            <w:vAlign w:val="center"/>
          </w:tcPr>
          <w:p w14:paraId="4BEB6528" w14:textId="77777777" w:rsidR="00454A29" w:rsidRDefault="00454A29">
            <w:pPr>
              <w:pStyle w:val="ConsPlusNormal"/>
              <w:jc w:val="center"/>
            </w:pPr>
            <w:r>
              <w:t>2022</w:t>
            </w:r>
          </w:p>
        </w:tc>
        <w:tc>
          <w:tcPr>
            <w:tcW w:w="1417" w:type="dxa"/>
            <w:vMerge/>
          </w:tcPr>
          <w:p w14:paraId="20949549" w14:textId="77777777" w:rsidR="00454A29" w:rsidRDefault="00454A29"/>
        </w:tc>
        <w:tc>
          <w:tcPr>
            <w:tcW w:w="2204" w:type="dxa"/>
            <w:vMerge/>
          </w:tcPr>
          <w:p w14:paraId="7F2FDE9E" w14:textId="77777777" w:rsidR="00454A29" w:rsidRDefault="00454A29"/>
        </w:tc>
        <w:tc>
          <w:tcPr>
            <w:tcW w:w="1417" w:type="dxa"/>
            <w:vMerge/>
          </w:tcPr>
          <w:p w14:paraId="6A7C5014" w14:textId="77777777" w:rsidR="00454A29" w:rsidRDefault="00454A29"/>
        </w:tc>
        <w:tc>
          <w:tcPr>
            <w:tcW w:w="2324" w:type="dxa"/>
            <w:vMerge/>
          </w:tcPr>
          <w:p w14:paraId="3E18F2B2" w14:textId="77777777" w:rsidR="00454A29" w:rsidRDefault="00454A29"/>
        </w:tc>
        <w:tc>
          <w:tcPr>
            <w:tcW w:w="1701" w:type="dxa"/>
            <w:vAlign w:val="center"/>
          </w:tcPr>
          <w:p w14:paraId="5E2371ED" w14:textId="77777777" w:rsidR="00454A29" w:rsidRDefault="00454A29">
            <w:pPr>
              <w:pStyle w:val="ConsPlusNormal"/>
              <w:jc w:val="center"/>
            </w:pPr>
            <w:r>
              <w:t>-</w:t>
            </w:r>
          </w:p>
        </w:tc>
        <w:tc>
          <w:tcPr>
            <w:tcW w:w="1814" w:type="dxa"/>
            <w:vAlign w:val="center"/>
          </w:tcPr>
          <w:p w14:paraId="10D67415" w14:textId="77777777" w:rsidR="00454A29" w:rsidRDefault="00454A29">
            <w:pPr>
              <w:pStyle w:val="ConsPlusNormal"/>
            </w:pPr>
          </w:p>
        </w:tc>
        <w:tc>
          <w:tcPr>
            <w:tcW w:w="1701" w:type="dxa"/>
            <w:vAlign w:val="center"/>
          </w:tcPr>
          <w:p w14:paraId="0E2FFB16" w14:textId="77777777" w:rsidR="00454A29" w:rsidRDefault="00454A29">
            <w:pPr>
              <w:pStyle w:val="ConsPlusNormal"/>
            </w:pPr>
          </w:p>
        </w:tc>
        <w:tc>
          <w:tcPr>
            <w:tcW w:w="1701" w:type="dxa"/>
            <w:vAlign w:val="center"/>
          </w:tcPr>
          <w:p w14:paraId="61C029F8" w14:textId="77777777" w:rsidR="00454A29" w:rsidRDefault="00454A29">
            <w:pPr>
              <w:pStyle w:val="ConsPlusNormal"/>
            </w:pPr>
          </w:p>
        </w:tc>
        <w:tc>
          <w:tcPr>
            <w:tcW w:w="1814" w:type="dxa"/>
            <w:vAlign w:val="center"/>
          </w:tcPr>
          <w:p w14:paraId="24170B07" w14:textId="77777777" w:rsidR="00454A29" w:rsidRDefault="00454A29">
            <w:pPr>
              <w:pStyle w:val="ConsPlusNormal"/>
            </w:pPr>
          </w:p>
        </w:tc>
      </w:tr>
      <w:tr w:rsidR="00454A29" w14:paraId="539FB90F" w14:textId="77777777">
        <w:tc>
          <w:tcPr>
            <w:tcW w:w="567" w:type="dxa"/>
            <w:vMerge/>
          </w:tcPr>
          <w:p w14:paraId="0A4117C8" w14:textId="77777777" w:rsidR="00454A29" w:rsidRDefault="00454A29"/>
        </w:tc>
        <w:tc>
          <w:tcPr>
            <w:tcW w:w="3345" w:type="dxa"/>
            <w:vMerge/>
          </w:tcPr>
          <w:p w14:paraId="7E3A0C86" w14:textId="77777777" w:rsidR="00454A29" w:rsidRDefault="00454A29"/>
        </w:tc>
        <w:tc>
          <w:tcPr>
            <w:tcW w:w="1701" w:type="dxa"/>
            <w:vAlign w:val="center"/>
          </w:tcPr>
          <w:p w14:paraId="13FF6BB7" w14:textId="77777777" w:rsidR="00454A29" w:rsidRDefault="00454A29">
            <w:pPr>
              <w:pStyle w:val="ConsPlusNormal"/>
              <w:jc w:val="center"/>
            </w:pPr>
            <w:r>
              <w:t>2023</w:t>
            </w:r>
          </w:p>
        </w:tc>
        <w:tc>
          <w:tcPr>
            <w:tcW w:w="1417" w:type="dxa"/>
            <w:vMerge/>
          </w:tcPr>
          <w:p w14:paraId="48D408D9" w14:textId="77777777" w:rsidR="00454A29" w:rsidRDefault="00454A29"/>
        </w:tc>
        <w:tc>
          <w:tcPr>
            <w:tcW w:w="2204" w:type="dxa"/>
            <w:vMerge/>
          </w:tcPr>
          <w:p w14:paraId="09643D9C" w14:textId="77777777" w:rsidR="00454A29" w:rsidRDefault="00454A29"/>
        </w:tc>
        <w:tc>
          <w:tcPr>
            <w:tcW w:w="1417" w:type="dxa"/>
            <w:vMerge/>
          </w:tcPr>
          <w:p w14:paraId="659C35CD" w14:textId="77777777" w:rsidR="00454A29" w:rsidRDefault="00454A29"/>
        </w:tc>
        <w:tc>
          <w:tcPr>
            <w:tcW w:w="2324" w:type="dxa"/>
            <w:vMerge/>
          </w:tcPr>
          <w:p w14:paraId="34C8F927" w14:textId="77777777" w:rsidR="00454A29" w:rsidRDefault="00454A29"/>
        </w:tc>
        <w:tc>
          <w:tcPr>
            <w:tcW w:w="1701" w:type="dxa"/>
            <w:vAlign w:val="center"/>
          </w:tcPr>
          <w:p w14:paraId="1D0B146D" w14:textId="77777777" w:rsidR="00454A29" w:rsidRDefault="00454A29">
            <w:pPr>
              <w:pStyle w:val="ConsPlusNormal"/>
              <w:jc w:val="center"/>
            </w:pPr>
            <w:r>
              <w:t>-</w:t>
            </w:r>
          </w:p>
        </w:tc>
        <w:tc>
          <w:tcPr>
            <w:tcW w:w="1814" w:type="dxa"/>
            <w:vAlign w:val="center"/>
          </w:tcPr>
          <w:p w14:paraId="4D1B6979" w14:textId="77777777" w:rsidR="00454A29" w:rsidRDefault="00454A29">
            <w:pPr>
              <w:pStyle w:val="ConsPlusNormal"/>
            </w:pPr>
          </w:p>
        </w:tc>
        <w:tc>
          <w:tcPr>
            <w:tcW w:w="1701" w:type="dxa"/>
            <w:vAlign w:val="center"/>
          </w:tcPr>
          <w:p w14:paraId="2FAA1290" w14:textId="77777777" w:rsidR="00454A29" w:rsidRDefault="00454A29">
            <w:pPr>
              <w:pStyle w:val="ConsPlusNormal"/>
            </w:pPr>
          </w:p>
        </w:tc>
        <w:tc>
          <w:tcPr>
            <w:tcW w:w="1701" w:type="dxa"/>
            <w:vAlign w:val="center"/>
          </w:tcPr>
          <w:p w14:paraId="2A96DC5B" w14:textId="77777777" w:rsidR="00454A29" w:rsidRDefault="00454A29">
            <w:pPr>
              <w:pStyle w:val="ConsPlusNormal"/>
            </w:pPr>
          </w:p>
        </w:tc>
        <w:tc>
          <w:tcPr>
            <w:tcW w:w="1814" w:type="dxa"/>
            <w:vAlign w:val="center"/>
          </w:tcPr>
          <w:p w14:paraId="789051D1" w14:textId="77777777" w:rsidR="00454A29" w:rsidRDefault="00454A29">
            <w:pPr>
              <w:pStyle w:val="ConsPlusNormal"/>
            </w:pPr>
          </w:p>
        </w:tc>
      </w:tr>
      <w:tr w:rsidR="00454A29" w14:paraId="22613B37" w14:textId="77777777">
        <w:tc>
          <w:tcPr>
            <w:tcW w:w="567" w:type="dxa"/>
            <w:vMerge/>
          </w:tcPr>
          <w:p w14:paraId="318B5149" w14:textId="77777777" w:rsidR="00454A29" w:rsidRDefault="00454A29"/>
        </w:tc>
        <w:tc>
          <w:tcPr>
            <w:tcW w:w="3345" w:type="dxa"/>
            <w:vMerge/>
          </w:tcPr>
          <w:p w14:paraId="48BA3962" w14:textId="77777777" w:rsidR="00454A29" w:rsidRDefault="00454A29"/>
        </w:tc>
        <w:tc>
          <w:tcPr>
            <w:tcW w:w="1701" w:type="dxa"/>
            <w:vAlign w:val="center"/>
          </w:tcPr>
          <w:p w14:paraId="2B38329A" w14:textId="77777777" w:rsidR="00454A29" w:rsidRDefault="00454A29">
            <w:pPr>
              <w:pStyle w:val="ConsPlusNormal"/>
              <w:jc w:val="center"/>
            </w:pPr>
            <w:r>
              <w:t>2024</w:t>
            </w:r>
          </w:p>
        </w:tc>
        <w:tc>
          <w:tcPr>
            <w:tcW w:w="1417" w:type="dxa"/>
            <w:vMerge/>
          </w:tcPr>
          <w:p w14:paraId="25FA1B28" w14:textId="77777777" w:rsidR="00454A29" w:rsidRDefault="00454A29"/>
        </w:tc>
        <w:tc>
          <w:tcPr>
            <w:tcW w:w="2204" w:type="dxa"/>
            <w:vMerge/>
          </w:tcPr>
          <w:p w14:paraId="06F0A5E0" w14:textId="77777777" w:rsidR="00454A29" w:rsidRDefault="00454A29"/>
        </w:tc>
        <w:tc>
          <w:tcPr>
            <w:tcW w:w="1417" w:type="dxa"/>
            <w:vMerge/>
          </w:tcPr>
          <w:p w14:paraId="59183BC5" w14:textId="77777777" w:rsidR="00454A29" w:rsidRDefault="00454A29"/>
        </w:tc>
        <w:tc>
          <w:tcPr>
            <w:tcW w:w="2324" w:type="dxa"/>
            <w:vMerge/>
          </w:tcPr>
          <w:p w14:paraId="11B9D3A7" w14:textId="77777777" w:rsidR="00454A29" w:rsidRDefault="00454A29"/>
        </w:tc>
        <w:tc>
          <w:tcPr>
            <w:tcW w:w="1701" w:type="dxa"/>
            <w:vAlign w:val="center"/>
          </w:tcPr>
          <w:p w14:paraId="20F97467" w14:textId="77777777" w:rsidR="00454A29" w:rsidRDefault="00454A29">
            <w:pPr>
              <w:pStyle w:val="ConsPlusNormal"/>
              <w:jc w:val="center"/>
            </w:pPr>
            <w:r>
              <w:t>-</w:t>
            </w:r>
          </w:p>
        </w:tc>
        <w:tc>
          <w:tcPr>
            <w:tcW w:w="1814" w:type="dxa"/>
            <w:vAlign w:val="center"/>
          </w:tcPr>
          <w:p w14:paraId="1CF358E1" w14:textId="77777777" w:rsidR="00454A29" w:rsidRDefault="00454A29">
            <w:pPr>
              <w:pStyle w:val="ConsPlusNormal"/>
            </w:pPr>
          </w:p>
        </w:tc>
        <w:tc>
          <w:tcPr>
            <w:tcW w:w="1701" w:type="dxa"/>
            <w:vAlign w:val="center"/>
          </w:tcPr>
          <w:p w14:paraId="3EA571D3" w14:textId="77777777" w:rsidR="00454A29" w:rsidRDefault="00454A29">
            <w:pPr>
              <w:pStyle w:val="ConsPlusNormal"/>
            </w:pPr>
          </w:p>
        </w:tc>
        <w:tc>
          <w:tcPr>
            <w:tcW w:w="1701" w:type="dxa"/>
            <w:vAlign w:val="center"/>
          </w:tcPr>
          <w:p w14:paraId="6C0C8D6E" w14:textId="77777777" w:rsidR="00454A29" w:rsidRDefault="00454A29">
            <w:pPr>
              <w:pStyle w:val="ConsPlusNormal"/>
            </w:pPr>
          </w:p>
        </w:tc>
        <w:tc>
          <w:tcPr>
            <w:tcW w:w="1814" w:type="dxa"/>
            <w:vAlign w:val="center"/>
          </w:tcPr>
          <w:p w14:paraId="389AB6BD" w14:textId="77777777" w:rsidR="00454A29" w:rsidRDefault="00454A29">
            <w:pPr>
              <w:pStyle w:val="ConsPlusNormal"/>
            </w:pPr>
          </w:p>
        </w:tc>
      </w:tr>
      <w:tr w:rsidR="00454A29" w14:paraId="3C19493E" w14:textId="77777777">
        <w:tc>
          <w:tcPr>
            <w:tcW w:w="567" w:type="dxa"/>
            <w:vMerge/>
          </w:tcPr>
          <w:p w14:paraId="07297C8F" w14:textId="77777777" w:rsidR="00454A29" w:rsidRDefault="00454A29"/>
        </w:tc>
        <w:tc>
          <w:tcPr>
            <w:tcW w:w="3345" w:type="dxa"/>
            <w:vMerge/>
          </w:tcPr>
          <w:p w14:paraId="5D9C29AD" w14:textId="77777777" w:rsidR="00454A29" w:rsidRDefault="00454A29"/>
        </w:tc>
        <w:tc>
          <w:tcPr>
            <w:tcW w:w="1701" w:type="dxa"/>
            <w:vAlign w:val="center"/>
          </w:tcPr>
          <w:p w14:paraId="4AF7C6BC" w14:textId="77777777" w:rsidR="00454A29" w:rsidRDefault="00454A29">
            <w:pPr>
              <w:pStyle w:val="ConsPlusNormal"/>
              <w:jc w:val="center"/>
            </w:pPr>
            <w:r>
              <w:t>2025</w:t>
            </w:r>
          </w:p>
        </w:tc>
        <w:tc>
          <w:tcPr>
            <w:tcW w:w="1417" w:type="dxa"/>
            <w:vMerge/>
          </w:tcPr>
          <w:p w14:paraId="1E9001ED" w14:textId="77777777" w:rsidR="00454A29" w:rsidRDefault="00454A29"/>
        </w:tc>
        <w:tc>
          <w:tcPr>
            <w:tcW w:w="2204" w:type="dxa"/>
            <w:vMerge/>
          </w:tcPr>
          <w:p w14:paraId="15A69C98" w14:textId="77777777" w:rsidR="00454A29" w:rsidRDefault="00454A29"/>
        </w:tc>
        <w:tc>
          <w:tcPr>
            <w:tcW w:w="1417" w:type="dxa"/>
            <w:vMerge/>
          </w:tcPr>
          <w:p w14:paraId="33D22F3D" w14:textId="77777777" w:rsidR="00454A29" w:rsidRDefault="00454A29"/>
        </w:tc>
        <w:tc>
          <w:tcPr>
            <w:tcW w:w="2324" w:type="dxa"/>
            <w:vMerge/>
          </w:tcPr>
          <w:p w14:paraId="216AFD98" w14:textId="77777777" w:rsidR="00454A29" w:rsidRDefault="00454A29"/>
        </w:tc>
        <w:tc>
          <w:tcPr>
            <w:tcW w:w="1701" w:type="dxa"/>
            <w:vAlign w:val="center"/>
          </w:tcPr>
          <w:p w14:paraId="208F802B" w14:textId="77777777" w:rsidR="00454A29" w:rsidRDefault="00454A29">
            <w:pPr>
              <w:pStyle w:val="ConsPlusNormal"/>
              <w:jc w:val="center"/>
            </w:pPr>
            <w:r>
              <w:t>107 258,07</w:t>
            </w:r>
          </w:p>
        </w:tc>
        <w:tc>
          <w:tcPr>
            <w:tcW w:w="1814" w:type="dxa"/>
            <w:vAlign w:val="center"/>
          </w:tcPr>
          <w:p w14:paraId="3C34C431" w14:textId="77777777" w:rsidR="00454A29" w:rsidRDefault="00454A29">
            <w:pPr>
              <w:pStyle w:val="ConsPlusNormal"/>
              <w:jc w:val="center"/>
            </w:pPr>
            <w:r>
              <w:t>107 258,07</w:t>
            </w:r>
          </w:p>
        </w:tc>
        <w:tc>
          <w:tcPr>
            <w:tcW w:w="1701" w:type="dxa"/>
            <w:vAlign w:val="center"/>
          </w:tcPr>
          <w:p w14:paraId="4F576C15" w14:textId="77777777" w:rsidR="00454A29" w:rsidRDefault="00454A29">
            <w:pPr>
              <w:pStyle w:val="ConsPlusNormal"/>
            </w:pPr>
          </w:p>
        </w:tc>
        <w:tc>
          <w:tcPr>
            <w:tcW w:w="1701" w:type="dxa"/>
            <w:vAlign w:val="center"/>
          </w:tcPr>
          <w:p w14:paraId="67DA4B20" w14:textId="77777777" w:rsidR="00454A29" w:rsidRDefault="00454A29">
            <w:pPr>
              <w:pStyle w:val="ConsPlusNormal"/>
            </w:pPr>
          </w:p>
        </w:tc>
        <w:tc>
          <w:tcPr>
            <w:tcW w:w="1814" w:type="dxa"/>
            <w:vAlign w:val="center"/>
          </w:tcPr>
          <w:p w14:paraId="3C81013D" w14:textId="77777777" w:rsidR="00454A29" w:rsidRDefault="00454A29">
            <w:pPr>
              <w:pStyle w:val="ConsPlusNormal"/>
            </w:pPr>
          </w:p>
        </w:tc>
      </w:tr>
      <w:tr w:rsidR="00454A29" w14:paraId="41E24C2E" w14:textId="77777777">
        <w:tc>
          <w:tcPr>
            <w:tcW w:w="567" w:type="dxa"/>
            <w:vMerge/>
          </w:tcPr>
          <w:p w14:paraId="311B9F53" w14:textId="77777777" w:rsidR="00454A29" w:rsidRDefault="00454A29"/>
        </w:tc>
        <w:tc>
          <w:tcPr>
            <w:tcW w:w="3345" w:type="dxa"/>
            <w:vMerge/>
          </w:tcPr>
          <w:p w14:paraId="0BBBF7CA" w14:textId="77777777" w:rsidR="00454A29" w:rsidRDefault="00454A29"/>
        </w:tc>
        <w:tc>
          <w:tcPr>
            <w:tcW w:w="1701" w:type="dxa"/>
            <w:vAlign w:val="center"/>
          </w:tcPr>
          <w:p w14:paraId="451DC28B" w14:textId="77777777" w:rsidR="00454A29" w:rsidRDefault="00454A29">
            <w:pPr>
              <w:pStyle w:val="ConsPlusNormal"/>
              <w:jc w:val="center"/>
            </w:pPr>
            <w:r>
              <w:t>2026</w:t>
            </w:r>
          </w:p>
        </w:tc>
        <w:tc>
          <w:tcPr>
            <w:tcW w:w="1417" w:type="dxa"/>
            <w:vMerge/>
          </w:tcPr>
          <w:p w14:paraId="21BD373F" w14:textId="77777777" w:rsidR="00454A29" w:rsidRDefault="00454A29"/>
        </w:tc>
        <w:tc>
          <w:tcPr>
            <w:tcW w:w="2204" w:type="dxa"/>
            <w:vMerge/>
          </w:tcPr>
          <w:p w14:paraId="72FD432D" w14:textId="77777777" w:rsidR="00454A29" w:rsidRDefault="00454A29"/>
        </w:tc>
        <w:tc>
          <w:tcPr>
            <w:tcW w:w="1417" w:type="dxa"/>
            <w:vMerge/>
          </w:tcPr>
          <w:p w14:paraId="790706A3" w14:textId="77777777" w:rsidR="00454A29" w:rsidRDefault="00454A29"/>
        </w:tc>
        <w:tc>
          <w:tcPr>
            <w:tcW w:w="2324" w:type="dxa"/>
            <w:vMerge/>
          </w:tcPr>
          <w:p w14:paraId="1D968DA2" w14:textId="77777777" w:rsidR="00454A29" w:rsidRDefault="00454A29"/>
        </w:tc>
        <w:tc>
          <w:tcPr>
            <w:tcW w:w="1701" w:type="dxa"/>
            <w:vAlign w:val="center"/>
          </w:tcPr>
          <w:p w14:paraId="33C4416A" w14:textId="77777777" w:rsidR="00454A29" w:rsidRDefault="00454A29">
            <w:pPr>
              <w:pStyle w:val="ConsPlusNormal"/>
              <w:jc w:val="center"/>
            </w:pPr>
            <w:r>
              <w:t>-</w:t>
            </w:r>
          </w:p>
        </w:tc>
        <w:tc>
          <w:tcPr>
            <w:tcW w:w="1814" w:type="dxa"/>
            <w:vAlign w:val="center"/>
          </w:tcPr>
          <w:p w14:paraId="0B0E56E1" w14:textId="77777777" w:rsidR="00454A29" w:rsidRDefault="00454A29">
            <w:pPr>
              <w:pStyle w:val="ConsPlusNormal"/>
            </w:pPr>
          </w:p>
        </w:tc>
        <w:tc>
          <w:tcPr>
            <w:tcW w:w="1701" w:type="dxa"/>
            <w:vAlign w:val="center"/>
          </w:tcPr>
          <w:p w14:paraId="4027A146" w14:textId="77777777" w:rsidR="00454A29" w:rsidRDefault="00454A29">
            <w:pPr>
              <w:pStyle w:val="ConsPlusNormal"/>
            </w:pPr>
          </w:p>
        </w:tc>
        <w:tc>
          <w:tcPr>
            <w:tcW w:w="1701" w:type="dxa"/>
            <w:vAlign w:val="center"/>
          </w:tcPr>
          <w:p w14:paraId="4B62C25C" w14:textId="77777777" w:rsidR="00454A29" w:rsidRDefault="00454A29">
            <w:pPr>
              <w:pStyle w:val="ConsPlusNormal"/>
            </w:pPr>
          </w:p>
        </w:tc>
        <w:tc>
          <w:tcPr>
            <w:tcW w:w="1814" w:type="dxa"/>
            <w:vAlign w:val="center"/>
          </w:tcPr>
          <w:p w14:paraId="26C72BA6" w14:textId="77777777" w:rsidR="00454A29" w:rsidRDefault="00454A29">
            <w:pPr>
              <w:pStyle w:val="ConsPlusNormal"/>
            </w:pPr>
          </w:p>
        </w:tc>
      </w:tr>
      <w:tr w:rsidR="00454A29" w14:paraId="51055C7F" w14:textId="77777777">
        <w:tc>
          <w:tcPr>
            <w:tcW w:w="567" w:type="dxa"/>
            <w:vMerge w:val="restart"/>
            <w:vAlign w:val="center"/>
          </w:tcPr>
          <w:p w14:paraId="2191687D" w14:textId="77777777" w:rsidR="00454A29" w:rsidRDefault="00454A29">
            <w:pPr>
              <w:pStyle w:val="ConsPlusNormal"/>
              <w:jc w:val="center"/>
            </w:pPr>
            <w:r>
              <w:t>5</w:t>
            </w:r>
          </w:p>
        </w:tc>
        <w:tc>
          <w:tcPr>
            <w:tcW w:w="3345" w:type="dxa"/>
            <w:vMerge w:val="restart"/>
            <w:vAlign w:val="center"/>
          </w:tcPr>
          <w:p w14:paraId="62624CD7" w14:textId="77777777" w:rsidR="00454A29" w:rsidRDefault="00454A29">
            <w:pPr>
              <w:pStyle w:val="ConsPlusNormal"/>
              <w:jc w:val="center"/>
            </w:pPr>
            <w:r>
              <w:t>Детский сад на 90 мест в с. Ой Хангаласского улуса</w:t>
            </w:r>
          </w:p>
        </w:tc>
        <w:tc>
          <w:tcPr>
            <w:tcW w:w="1701" w:type="dxa"/>
            <w:vAlign w:val="center"/>
          </w:tcPr>
          <w:p w14:paraId="702AAE3E" w14:textId="77777777" w:rsidR="00454A29" w:rsidRDefault="00454A29">
            <w:pPr>
              <w:pStyle w:val="ConsPlusNormal"/>
              <w:jc w:val="center"/>
            </w:pPr>
            <w:r>
              <w:t>2020 - 2026 годы - всего</w:t>
            </w:r>
          </w:p>
        </w:tc>
        <w:tc>
          <w:tcPr>
            <w:tcW w:w="1417" w:type="dxa"/>
            <w:vMerge w:val="restart"/>
            <w:vAlign w:val="center"/>
          </w:tcPr>
          <w:p w14:paraId="306B6E12" w14:textId="77777777" w:rsidR="00454A29" w:rsidRDefault="00454A29">
            <w:pPr>
              <w:pStyle w:val="ConsPlusNormal"/>
              <w:jc w:val="center"/>
            </w:pPr>
            <w:r>
              <w:t>191 267,87</w:t>
            </w:r>
          </w:p>
        </w:tc>
        <w:tc>
          <w:tcPr>
            <w:tcW w:w="2204" w:type="dxa"/>
            <w:vMerge w:val="restart"/>
            <w:vAlign w:val="center"/>
          </w:tcPr>
          <w:p w14:paraId="246A7199" w14:textId="77777777" w:rsidR="00454A29" w:rsidRDefault="00454A29">
            <w:pPr>
              <w:pStyle w:val="ConsPlusNormal"/>
            </w:pPr>
          </w:p>
        </w:tc>
        <w:tc>
          <w:tcPr>
            <w:tcW w:w="1417" w:type="dxa"/>
            <w:vMerge w:val="restart"/>
            <w:vAlign w:val="center"/>
          </w:tcPr>
          <w:p w14:paraId="2294B1E2" w14:textId="77777777" w:rsidR="00454A29" w:rsidRDefault="00454A29">
            <w:pPr>
              <w:pStyle w:val="ConsPlusNormal"/>
              <w:jc w:val="center"/>
            </w:pPr>
            <w:r>
              <w:t>90</w:t>
            </w:r>
          </w:p>
        </w:tc>
        <w:tc>
          <w:tcPr>
            <w:tcW w:w="2324" w:type="dxa"/>
            <w:vMerge w:val="restart"/>
            <w:vAlign w:val="center"/>
          </w:tcPr>
          <w:p w14:paraId="3D78E08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14A6213" w14:textId="77777777" w:rsidR="00454A29" w:rsidRDefault="00454A29">
            <w:pPr>
              <w:pStyle w:val="ConsPlusNormal"/>
              <w:jc w:val="center"/>
            </w:pPr>
            <w:r>
              <w:t>191 267,87</w:t>
            </w:r>
          </w:p>
        </w:tc>
        <w:tc>
          <w:tcPr>
            <w:tcW w:w="1814" w:type="dxa"/>
            <w:vAlign w:val="center"/>
          </w:tcPr>
          <w:p w14:paraId="7DA1543B" w14:textId="77777777" w:rsidR="00454A29" w:rsidRDefault="00454A29">
            <w:pPr>
              <w:pStyle w:val="ConsPlusNormal"/>
              <w:jc w:val="center"/>
            </w:pPr>
            <w:r>
              <w:t>191 267,87</w:t>
            </w:r>
          </w:p>
        </w:tc>
        <w:tc>
          <w:tcPr>
            <w:tcW w:w="1701" w:type="dxa"/>
            <w:vAlign w:val="center"/>
          </w:tcPr>
          <w:p w14:paraId="312959C4" w14:textId="77777777" w:rsidR="00454A29" w:rsidRDefault="00454A29">
            <w:pPr>
              <w:pStyle w:val="ConsPlusNormal"/>
              <w:jc w:val="center"/>
            </w:pPr>
            <w:r>
              <w:t>-</w:t>
            </w:r>
          </w:p>
        </w:tc>
        <w:tc>
          <w:tcPr>
            <w:tcW w:w="1701" w:type="dxa"/>
            <w:vAlign w:val="center"/>
          </w:tcPr>
          <w:p w14:paraId="1A657146" w14:textId="77777777" w:rsidR="00454A29" w:rsidRDefault="00454A29">
            <w:pPr>
              <w:pStyle w:val="ConsPlusNormal"/>
              <w:jc w:val="center"/>
            </w:pPr>
            <w:r>
              <w:t>-</w:t>
            </w:r>
          </w:p>
        </w:tc>
        <w:tc>
          <w:tcPr>
            <w:tcW w:w="1814" w:type="dxa"/>
            <w:vAlign w:val="center"/>
          </w:tcPr>
          <w:p w14:paraId="40B73F54" w14:textId="77777777" w:rsidR="00454A29" w:rsidRDefault="00454A29">
            <w:pPr>
              <w:pStyle w:val="ConsPlusNormal"/>
              <w:jc w:val="center"/>
            </w:pPr>
            <w:r>
              <w:t>-</w:t>
            </w:r>
          </w:p>
        </w:tc>
      </w:tr>
      <w:tr w:rsidR="00454A29" w14:paraId="7A27B417" w14:textId="77777777">
        <w:tc>
          <w:tcPr>
            <w:tcW w:w="567" w:type="dxa"/>
            <w:vMerge/>
          </w:tcPr>
          <w:p w14:paraId="55BA4BF4" w14:textId="77777777" w:rsidR="00454A29" w:rsidRDefault="00454A29"/>
        </w:tc>
        <w:tc>
          <w:tcPr>
            <w:tcW w:w="3345" w:type="dxa"/>
            <w:vMerge/>
          </w:tcPr>
          <w:p w14:paraId="6700A4FB" w14:textId="77777777" w:rsidR="00454A29" w:rsidRDefault="00454A29"/>
        </w:tc>
        <w:tc>
          <w:tcPr>
            <w:tcW w:w="1701" w:type="dxa"/>
            <w:vAlign w:val="center"/>
          </w:tcPr>
          <w:p w14:paraId="1EC62D1E" w14:textId="77777777" w:rsidR="00454A29" w:rsidRDefault="00454A29">
            <w:pPr>
              <w:pStyle w:val="ConsPlusNormal"/>
              <w:jc w:val="center"/>
            </w:pPr>
            <w:r>
              <w:t>2020</w:t>
            </w:r>
          </w:p>
        </w:tc>
        <w:tc>
          <w:tcPr>
            <w:tcW w:w="1417" w:type="dxa"/>
            <w:vMerge/>
          </w:tcPr>
          <w:p w14:paraId="33BD9C02" w14:textId="77777777" w:rsidR="00454A29" w:rsidRDefault="00454A29"/>
        </w:tc>
        <w:tc>
          <w:tcPr>
            <w:tcW w:w="2204" w:type="dxa"/>
            <w:vMerge/>
          </w:tcPr>
          <w:p w14:paraId="0C16D6D7" w14:textId="77777777" w:rsidR="00454A29" w:rsidRDefault="00454A29"/>
        </w:tc>
        <w:tc>
          <w:tcPr>
            <w:tcW w:w="1417" w:type="dxa"/>
            <w:vMerge/>
          </w:tcPr>
          <w:p w14:paraId="633CAEF9" w14:textId="77777777" w:rsidR="00454A29" w:rsidRDefault="00454A29"/>
        </w:tc>
        <w:tc>
          <w:tcPr>
            <w:tcW w:w="2324" w:type="dxa"/>
            <w:vMerge/>
          </w:tcPr>
          <w:p w14:paraId="2A11817E" w14:textId="77777777" w:rsidR="00454A29" w:rsidRDefault="00454A29"/>
        </w:tc>
        <w:tc>
          <w:tcPr>
            <w:tcW w:w="1701" w:type="dxa"/>
            <w:vAlign w:val="center"/>
          </w:tcPr>
          <w:p w14:paraId="7CA17BFD" w14:textId="77777777" w:rsidR="00454A29" w:rsidRDefault="00454A29">
            <w:pPr>
              <w:pStyle w:val="ConsPlusNormal"/>
              <w:jc w:val="center"/>
            </w:pPr>
            <w:r>
              <w:t>-</w:t>
            </w:r>
          </w:p>
        </w:tc>
        <w:tc>
          <w:tcPr>
            <w:tcW w:w="1814" w:type="dxa"/>
            <w:vAlign w:val="center"/>
          </w:tcPr>
          <w:p w14:paraId="5A1E821C" w14:textId="77777777" w:rsidR="00454A29" w:rsidRDefault="00454A29">
            <w:pPr>
              <w:pStyle w:val="ConsPlusNormal"/>
            </w:pPr>
          </w:p>
        </w:tc>
        <w:tc>
          <w:tcPr>
            <w:tcW w:w="1701" w:type="dxa"/>
            <w:vAlign w:val="center"/>
          </w:tcPr>
          <w:p w14:paraId="5F7246E9" w14:textId="77777777" w:rsidR="00454A29" w:rsidRDefault="00454A29">
            <w:pPr>
              <w:pStyle w:val="ConsPlusNormal"/>
            </w:pPr>
          </w:p>
        </w:tc>
        <w:tc>
          <w:tcPr>
            <w:tcW w:w="1701" w:type="dxa"/>
            <w:vAlign w:val="center"/>
          </w:tcPr>
          <w:p w14:paraId="3E173136" w14:textId="77777777" w:rsidR="00454A29" w:rsidRDefault="00454A29">
            <w:pPr>
              <w:pStyle w:val="ConsPlusNormal"/>
            </w:pPr>
          </w:p>
        </w:tc>
        <w:tc>
          <w:tcPr>
            <w:tcW w:w="1814" w:type="dxa"/>
            <w:vAlign w:val="center"/>
          </w:tcPr>
          <w:p w14:paraId="1AC7B2EB" w14:textId="77777777" w:rsidR="00454A29" w:rsidRDefault="00454A29">
            <w:pPr>
              <w:pStyle w:val="ConsPlusNormal"/>
            </w:pPr>
          </w:p>
        </w:tc>
      </w:tr>
      <w:tr w:rsidR="00454A29" w14:paraId="4F2A22DB" w14:textId="77777777">
        <w:tc>
          <w:tcPr>
            <w:tcW w:w="567" w:type="dxa"/>
            <w:vMerge/>
          </w:tcPr>
          <w:p w14:paraId="6034C493" w14:textId="77777777" w:rsidR="00454A29" w:rsidRDefault="00454A29"/>
        </w:tc>
        <w:tc>
          <w:tcPr>
            <w:tcW w:w="3345" w:type="dxa"/>
            <w:vMerge/>
          </w:tcPr>
          <w:p w14:paraId="63661CBB" w14:textId="77777777" w:rsidR="00454A29" w:rsidRDefault="00454A29"/>
        </w:tc>
        <w:tc>
          <w:tcPr>
            <w:tcW w:w="1701" w:type="dxa"/>
            <w:vAlign w:val="center"/>
          </w:tcPr>
          <w:p w14:paraId="5F693043" w14:textId="77777777" w:rsidR="00454A29" w:rsidRDefault="00454A29">
            <w:pPr>
              <w:pStyle w:val="ConsPlusNormal"/>
              <w:jc w:val="center"/>
            </w:pPr>
            <w:r>
              <w:t>2021</w:t>
            </w:r>
          </w:p>
        </w:tc>
        <w:tc>
          <w:tcPr>
            <w:tcW w:w="1417" w:type="dxa"/>
            <w:vMerge/>
          </w:tcPr>
          <w:p w14:paraId="616D5D9E" w14:textId="77777777" w:rsidR="00454A29" w:rsidRDefault="00454A29"/>
        </w:tc>
        <w:tc>
          <w:tcPr>
            <w:tcW w:w="2204" w:type="dxa"/>
            <w:vMerge/>
          </w:tcPr>
          <w:p w14:paraId="3BAD6A17" w14:textId="77777777" w:rsidR="00454A29" w:rsidRDefault="00454A29"/>
        </w:tc>
        <w:tc>
          <w:tcPr>
            <w:tcW w:w="1417" w:type="dxa"/>
            <w:vMerge/>
          </w:tcPr>
          <w:p w14:paraId="06CBB938" w14:textId="77777777" w:rsidR="00454A29" w:rsidRDefault="00454A29"/>
        </w:tc>
        <w:tc>
          <w:tcPr>
            <w:tcW w:w="2324" w:type="dxa"/>
            <w:vMerge/>
          </w:tcPr>
          <w:p w14:paraId="508D4A0C" w14:textId="77777777" w:rsidR="00454A29" w:rsidRDefault="00454A29"/>
        </w:tc>
        <w:tc>
          <w:tcPr>
            <w:tcW w:w="1701" w:type="dxa"/>
            <w:vAlign w:val="center"/>
          </w:tcPr>
          <w:p w14:paraId="575E8ABF" w14:textId="77777777" w:rsidR="00454A29" w:rsidRDefault="00454A29">
            <w:pPr>
              <w:pStyle w:val="ConsPlusNormal"/>
              <w:jc w:val="center"/>
            </w:pPr>
            <w:r>
              <w:t>-</w:t>
            </w:r>
          </w:p>
        </w:tc>
        <w:tc>
          <w:tcPr>
            <w:tcW w:w="1814" w:type="dxa"/>
            <w:vAlign w:val="center"/>
          </w:tcPr>
          <w:p w14:paraId="60FD99CD" w14:textId="77777777" w:rsidR="00454A29" w:rsidRDefault="00454A29">
            <w:pPr>
              <w:pStyle w:val="ConsPlusNormal"/>
            </w:pPr>
          </w:p>
        </w:tc>
        <w:tc>
          <w:tcPr>
            <w:tcW w:w="1701" w:type="dxa"/>
            <w:vAlign w:val="center"/>
          </w:tcPr>
          <w:p w14:paraId="7C023432" w14:textId="77777777" w:rsidR="00454A29" w:rsidRDefault="00454A29">
            <w:pPr>
              <w:pStyle w:val="ConsPlusNormal"/>
            </w:pPr>
          </w:p>
        </w:tc>
        <w:tc>
          <w:tcPr>
            <w:tcW w:w="1701" w:type="dxa"/>
            <w:vAlign w:val="center"/>
          </w:tcPr>
          <w:p w14:paraId="7B99637D" w14:textId="77777777" w:rsidR="00454A29" w:rsidRDefault="00454A29">
            <w:pPr>
              <w:pStyle w:val="ConsPlusNormal"/>
            </w:pPr>
          </w:p>
        </w:tc>
        <w:tc>
          <w:tcPr>
            <w:tcW w:w="1814" w:type="dxa"/>
            <w:vAlign w:val="center"/>
          </w:tcPr>
          <w:p w14:paraId="468AA008" w14:textId="77777777" w:rsidR="00454A29" w:rsidRDefault="00454A29">
            <w:pPr>
              <w:pStyle w:val="ConsPlusNormal"/>
            </w:pPr>
          </w:p>
        </w:tc>
      </w:tr>
      <w:tr w:rsidR="00454A29" w14:paraId="50FA542B" w14:textId="77777777">
        <w:tc>
          <w:tcPr>
            <w:tcW w:w="567" w:type="dxa"/>
            <w:vMerge/>
          </w:tcPr>
          <w:p w14:paraId="1E87FE22" w14:textId="77777777" w:rsidR="00454A29" w:rsidRDefault="00454A29"/>
        </w:tc>
        <w:tc>
          <w:tcPr>
            <w:tcW w:w="3345" w:type="dxa"/>
            <w:vMerge/>
          </w:tcPr>
          <w:p w14:paraId="622D1845" w14:textId="77777777" w:rsidR="00454A29" w:rsidRDefault="00454A29"/>
        </w:tc>
        <w:tc>
          <w:tcPr>
            <w:tcW w:w="1701" w:type="dxa"/>
            <w:vAlign w:val="center"/>
          </w:tcPr>
          <w:p w14:paraId="7708F890" w14:textId="77777777" w:rsidR="00454A29" w:rsidRDefault="00454A29">
            <w:pPr>
              <w:pStyle w:val="ConsPlusNormal"/>
              <w:jc w:val="center"/>
            </w:pPr>
            <w:r>
              <w:t>2022</w:t>
            </w:r>
          </w:p>
        </w:tc>
        <w:tc>
          <w:tcPr>
            <w:tcW w:w="1417" w:type="dxa"/>
            <w:vMerge/>
          </w:tcPr>
          <w:p w14:paraId="2E34A2ED" w14:textId="77777777" w:rsidR="00454A29" w:rsidRDefault="00454A29"/>
        </w:tc>
        <w:tc>
          <w:tcPr>
            <w:tcW w:w="2204" w:type="dxa"/>
            <w:vMerge/>
          </w:tcPr>
          <w:p w14:paraId="345B2641" w14:textId="77777777" w:rsidR="00454A29" w:rsidRDefault="00454A29"/>
        </w:tc>
        <w:tc>
          <w:tcPr>
            <w:tcW w:w="1417" w:type="dxa"/>
            <w:vMerge/>
          </w:tcPr>
          <w:p w14:paraId="27D76262" w14:textId="77777777" w:rsidR="00454A29" w:rsidRDefault="00454A29"/>
        </w:tc>
        <w:tc>
          <w:tcPr>
            <w:tcW w:w="2324" w:type="dxa"/>
            <w:vMerge/>
          </w:tcPr>
          <w:p w14:paraId="0CE60A1E" w14:textId="77777777" w:rsidR="00454A29" w:rsidRDefault="00454A29"/>
        </w:tc>
        <w:tc>
          <w:tcPr>
            <w:tcW w:w="1701" w:type="dxa"/>
            <w:vAlign w:val="center"/>
          </w:tcPr>
          <w:p w14:paraId="701EE36F" w14:textId="77777777" w:rsidR="00454A29" w:rsidRDefault="00454A29">
            <w:pPr>
              <w:pStyle w:val="ConsPlusNormal"/>
              <w:jc w:val="center"/>
            </w:pPr>
            <w:r>
              <w:t>-</w:t>
            </w:r>
          </w:p>
        </w:tc>
        <w:tc>
          <w:tcPr>
            <w:tcW w:w="1814" w:type="dxa"/>
            <w:vAlign w:val="center"/>
          </w:tcPr>
          <w:p w14:paraId="6C07FE8D" w14:textId="77777777" w:rsidR="00454A29" w:rsidRDefault="00454A29">
            <w:pPr>
              <w:pStyle w:val="ConsPlusNormal"/>
            </w:pPr>
          </w:p>
        </w:tc>
        <w:tc>
          <w:tcPr>
            <w:tcW w:w="1701" w:type="dxa"/>
            <w:vAlign w:val="center"/>
          </w:tcPr>
          <w:p w14:paraId="09BD505A" w14:textId="77777777" w:rsidR="00454A29" w:rsidRDefault="00454A29">
            <w:pPr>
              <w:pStyle w:val="ConsPlusNormal"/>
            </w:pPr>
          </w:p>
        </w:tc>
        <w:tc>
          <w:tcPr>
            <w:tcW w:w="1701" w:type="dxa"/>
            <w:vAlign w:val="center"/>
          </w:tcPr>
          <w:p w14:paraId="3EC03A2D" w14:textId="77777777" w:rsidR="00454A29" w:rsidRDefault="00454A29">
            <w:pPr>
              <w:pStyle w:val="ConsPlusNormal"/>
            </w:pPr>
          </w:p>
        </w:tc>
        <w:tc>
          <w:tcPr>
            <w:tcW w:w="1814" w:type="dxa"/>
            <w:vAlign w:val="center"/>
          </w:tcPr>
          <w:p w14:paraId="6F84B400" w14:textId="77777777" w:rsidR="00454A29" w:rsidRDefault="00454A29">
            <w:pPr>
              <w:pStyle w:val="ConsPlusNormal"/>
            </w:pPr>
          </w:p>
        </w:tc>
      </w:tr>
      <w:tr w:rsidR="00454A29" w14:paraId="52BD22BA" w14:textId="77777777">
        <w:tc>
          <w:tcPr>
            <w:tcW w:w="567" w:type="dxa"/>
            <w:vMerge/>
          </w:tcPr>
          <w:p w14:paraId="2E7BCC51" w14:textId="77777777" w:rsidR="00454A29" w:rsidRDefault="00454A29"/>
        </w:tc>
        <w:tc>
          <w:tcPr>
            <w:tcW w:w="3345" w:type="dxa"/>
            <w:vMerge/>
          </w:tcPr>
          <w:p w14:paraId="5E59F8F8" w14:textId="77777777" w:rsidR="00454A29" w:rsidRDefault="00454A29"/>
        </w:tc>
        <w:tc>
          <w:tcPr>
            <w:tcW w:w="1701" w:type="dxa"/>
            <w:vAlign w:val="center"/>
          </w:tcPr>
          <w:p w14:paraId="3CB12F1D" w14:textId="77777777" w:rsidR="00454A29" w:rsidRDefault="00454A29">
            <w:pPr>
              <w:pStyle w:val="ConsPlusNormal"/>
              <w:jc w:val="center"/>
            </w:pPr>
            <w:r>
              <w:t>2023</w:t>
            </w:r>
          </w:p>
        </w:tc>
        <w:tc>
          <w:tcPr>
            <w:tcW w:w="1417" w:type="dxa"/>
            <w:vMerge/>
          </w:tcPr>
          <w:p w14:paraId="74695063" w14:textId="77777777" w:rsidR="00454A29" w:rsidRDefault="00454A29"/>
        </w:tc>
        <w:tc>
          <w:tcPr>
            <w:tcW w:w="2204" w:type="dxa"/>
            <w:vMerge/>
          </w:tcPr>
          <w:p w14:paraId="073DD28A" w14:textId="77777777" w:rsidR="00454A29" w:rsidRDefault="00454A29"/>
        </w:tc>
        <w:tc>
          <w:tcPr>
            <w:tcW w:w="1417" w:type="dxa"/>
            <w:vMerge/>
          </w:tcPr>
          <w:p w14:paraId="69C2B340" w14:textId="77777777" w:rsidR="00454A29" w:rsidRDefault="00454A29"/>
        </w:tc>
        <w:tc>
          <w:tcPr>
            <w:tcW w:w="2324" w:type="dxa"/>
            <w:vMerge/>
          </w:tcPr>
          <w:p w14:paraId="6D638426" w14:textId="77777777" w:rsidR="00454A29" w:rsidRDefault="00454A29"/>
        </w:tc>
        <w:tc>
          <w:tcPr>
            <w:tcW w:w="1701" w:type="dxa"/>
            <w:vAlign w:val="center"/>
          </w:tcPr>
          <w:p w14:paraId="1DD1A735" w14:textId="77777777" w:rsidR="00454A29" w:rsidRDefault="00454A29">
            <w:pPr>
              <w:pStyle w:val="ConsPlusNormal"/>
              <w:jc w:val="center"/>
            </w:pPr>
            <w:r>
              <w:t>-</w:t>
            </w:r>
          </w:p>
        </w:tc>
        <w:tc>
          <w:tcPr>
            <w:tcW w:w="1814" w:type="dxa"/>
            <w:vAlign w:val="center"/>
          </w:tcPr>
          <w:p w14:paraId="0F086A68" w14:textId="77777777" w:rsidR="00454A29" w:rsidRDefault="00454A29">
            <w:pPr>
              <w:pStyle w:val="ConsPlusNormal"/>
            </w:pPr>
          </w:p>
        </w:tc>
        <w:tc>
          <w:tcPr>
            <w:tcW w:w="1701" w:type="dxa"/>
            <w:vAlign w:val="center"/>
          </w:tcPr>
          <w:p w14:paraId="50E6DC91" w14:textId="77777777" w:rsidR="00454A29" w:rsidRDefault="00454A29">
            <w:pPr>
              <w:pStyle w:val="ConsPlusNormal"/>
            </w:pPr>
          </w:p>
        </w:tc>
        <w:tc>
          <w:tcPr>
            <w:tcW w:w="1701" w:type="dxa"/>
            <w:vAlign w:val="center"/>
          </w:tcPr>
          <w:p w14:paraId="43A876C6" w14:textId="77777777" w:rsidR="00454A29" w:rsidRDefault="00454A29">
            <w:pPr>
              <w:pStyle w:val="ConsPlusNormal"/>
            </w:pPr>
          </w:p>
        </w:tc>
        <w:tc>
          <w:tcPr>
            <w:tcW w:w="1814" w:type="dxa"/>
            <w:vAlign w:val="center"/>
          </w:tcPr>
          <w:p w14:paraId="30E16A70" w14:textId="77777777" w:rsidR="00454A29" w:rsidRDefault="00454A29">
            <w:pPr>
              <w:pStyle w:val="ConsPlusNormal"/>
            </w:pPr>
          </w:p>
        </w:tc>
      </w:tr>
      <w:tr w:rsidR="00454A29" w14:paraId="5E2683AF" w14:textId="77777777">
        <w:tc>
          <w:tcPr>
            <w:tcW w:w="567" w:type="dxa"/>
            <w:vMerge/>
          </w:tcPr>
          <w:p w14:paraId="3CEA23D2" w14:textId="77777777" w:rsidR="00454A29" w:rsidRDefault="00454A29"/>
        </w:tc>
        <w:tc>
          <w:tcPr>
            <w:tcW w:w="3345" w:type="dxa"/>
            <w:vMerge/>
          </w:tcPr>
          <w:p w14:paraId="7D6CF87E" w14:textId="77777777" w:rsidR="00454A29" w:rsidRDefault="00454A29"/>
        </w:tc>
        <w:tc>
          <w:tcPr>
            <w:tcW w:w="1701" w:type="dxa"/>
            <w:vAlign w:val="center"/>
          </w:tcPr>
          <w:p w14:paraId="5885E55F" w14:textId="77777777" w:rsidR="00454A29" w:rsidRDefault="00454A29">
            <w:pPr>
              <w:pStyle w:val="ConsPlusNormal"/>
              <w:jc w:val="center"/>
            </w:pPr>
            <w:r>
              <w:t>2024</w:t>
            </w:r>
          </w:p>
        </w:tc>
        <w:tc>
          <w:tcPr>
            <w:tcW w:w="1417" w:type="dxa"/>
            <w:vMerge/>
          </w:tcPr>
          <w:p w14:paraId="23BD410F" w14:textId="77777777" w:rsidR="00454A29" w:rsidRDefault="00454A29"/>
        </w:tc>
        <w:tc>
          <w:tcPr>
            <w:tcW w:w="2204" w:type="dxa"/>
            <w:vMerge/>
          </w:tcPr>
          <w:p w14:paraId="2E75A43B" w14:textId="77777777" w:rsidR="00454A29" w:rsidRDefault="00454A29"/>
        </w:tc>
        <w:tc>
          <w:tcPr>
            <w:tcW w:w="1417" w:type="dxa"/>
            <w:vMerge/>
          </w:tcPr>
          <w:p w14:paraId="722A45B8" w14:textId="77777777" w:rsidR="00454A29" w:rsidRDefault="00454A29"/>
        </w:tc>
        <w:tc>
          <w:tcPr>
            <w:tcW w:w="2324" w:type="dxa"/>
            <w:vMerge/>
          </w:tcPr>
          <w:p w14:paraId="5AC19F53" w14:textId="77777777" w:rsidR="00454A29" w:rsidRDefault="00454A29"/>
        </w:tc>
        <w:tc>
          <w:tcPr>
            <w:tcW w:w="1701" w:type="dxa"/>
            <w:vAlign w:val="center"/>
          </w:tcPr>
          <w:p w14:paraId="510A1A2E" w14:textId="77777777" w:rsidR="00454A29" w:rsidRDefault="00454A29">
            <w:pPr>
              <w:pStyle w:val="ConsPlusNormal"/>
              <w:jc w:val="center"/>
            </w:pPr>
            <w:r>
              <w:t>-</w:t>
            </w:r>
          </w:p>
        </w:tc>
        <w:tc>
          <w:tcPr>
            <w:tcW w:w="1814" w:type="dxa"/>
            <w:vAlign w:val="center"/>
          </w:tcPr>
          <w:p w14:paraId="0B9B2730" w14:textId="77777777" w:rsidR="00454A29" w:rsidRDefault="00454A29">
            <w:pPr>
              <w:pStyle w:val="ConsPlusNormal"/>
            </w:pPr>
          </w:p>
        </w:tc>
        <w:tc>
          <w:tcPr>
            <w:tcW w:w="1701" w:type="dxa"/>
            <w:vAlign w:val="center"/>
          </w:tcPr>
          <w:p w14:paraId="5A3B130F" w14:textId="77777777" w:rsidR="00454A29" w:rsidRDefault="00454A29">
            <w:pPr>
              <w:pStyle w:val="ConsPlusNormal"/>
            </w:pPr>
          </w:p>
        </w:tc>
        <w:tc>
          <w:tcPr>
            <w:tcW w:w="1701" w:type="dxa"/>
            <w:vAlign w:val="center"/>
          </w:tcPr>
          <w:p w14:paraId="27571040" w14:textId="77777777" w:rsidR="00454A29" w:rsidRDefault="00454A29">
            <w:pPr>
              <w:pStyle w:val="ConsPlusNormal"/>
            </w:pPr>
          </w:p>
        </w:tc>
        <w:tc>
          <w:tcPr>
            <w:tcW w:w="1814" w:type="dxa"/>
            <w:vAlign w:val="center"/>
          </w:tcPr>
          <w:p w14:paraId="52172D02" w14:textId="77777777" w:rsidR="00454A29" w:rsidRDefault="00454A29">
            <w:pPr>
              <w:pStyle w:val="ConsPlusNormal"/>
            </w:pPr>
          </w:p>
        </w:tc>
      </w:tr>
      <w:tr w:rsidR="00454A29" w14:paraId="4F1A7511" w14:textId="77777777">
        <w:tc>
          <w:tcPr>
            <w:tcW w:w="567" w:type="dxa"/>
            <w:vMerge/>
          </w:tcPr>
          <w:p w14:paraId="0696C83D" w14:textId="77777777" w:rsidR="00454A29" w:rsidRDefault="00454A29"/>
        </w:tc>
        <w:tc>
          <w:tcPr>
            <w:tcW w:w="3345" w:type="dxa"/>
            <w:vMerge/>
          </w:tcPr>
          <w:p w14:paraId="618C82B5" w14:textId="77777777" w:rsidR="00454A29" w:rsidRDefault="00454A29"/>
        </w:tc>
        <w:tc>
          <w:tcPr>
            <w:tcW w:w="1701" w:type="dxa"/>
            <w:vAlign w:val="center"/>
          </w:tcPr>
          <w:p w14:paraId="667F3C95" w14:textId="77777777" w:rsidR="00454A29" w:rsidRDefault="00454A29">
            <w:pPr>
              <w:pStyle w:val="ConsPlusNormal"/>
              <w:jc w:val="center"/>
            </w:pPr>
            <w:r>
              <w:t>2025</w:t>
            </w:r>
          </w:p>
        </w:tc>
        <w:tc>
          <w:tcPr>
            <w:tcW w:w="1417" w:type="dxa"/>
            <w:vMerge/>
          </w:tcPr>
          <w:p w14:paraId="3A44105F" w14:textId="77777777" w:rsidR="00454A29" w:rsidRDefault="00454A29"/>
        </w:tc>
        <w:tc>
          <w:tcPr>
            <w:tcW w:w="2204" w:type="dxa"/>
            <w:vMerge/>
          </w:tcPr>
          <w:p w14:paraId="6034EA18" w14:textId="77777777" w:rsidR="00454A29" w:rsidRDefault="00454A29"/>
        </w:tc>
        <w:tc>
          <w:tcPr>
            <w:tcW w:w="1417" w:type="dxa"/>
            <w:vMerge/>
          </w:tcPr>
          <w:p w14:paraId="690595E6" w14:textId="77777777" w:rsidR="00454A29" w:rsidRDefault="00454A29"/>
        </w:tc>
        <w:tc>
          <w:tcPr>
            <w:tcW w:w="2324" w:type="dxa"/>
            <w:vMerge/>
          </w:tcPr>
          <w:p w14:paraId="16548A13" w14:textId="77777777" w:rsidR="00454A29" w:rsidRDefault="00454A29"/>
        </w:tc>
        <w:tc>
          <w:tcPr>
            <w:tcW w:w="1701" w:type="dxa"/>
            <w:vAlign w:val="center"/>
          </w:tcPr>
          <w:p w14:paraId="4441B57F" w14:textId="77777777" w:rsidR="00454A29" w:rsidRDefault="00454A29">
            <w:pPr>
              <w:pStyle w:val="ConsPlusNormal"/>
              <w:jc w:val="center"/>
            </w:pPr>
            <w:r>
              <w:t>191 267,87</w:t>
            </w:r>
          </w:p>
        </w:tc>
        <w:tc>
          <w:tcPr>
            <w:tcW w:w="1814" w:type="dxa"/>
            <w:vAlign w:val="center"/>
          </w:tcPr>
          <w:p w14:paraId="27DCA4A0" w14:textId="77777777" w:rsidR="00454A29" w:rsidRDefault="00454A29">
            <w:pPr>
              <w:pStyle w:val="ConsPlusNormal"/>
              <w:jc w:val="center"/>
            </w:pPr>
            <w:r>
              <w:t>191 267,87</w:t>
            </w:r>
          </w:p>
        </w:tc>
        <w:tc>
          <w:tcPr>
            <w:tcW w:w="1701" w:type="dxa"/>
            <w:vAlign w:val="center"/>
          </w:tcPr>
          <w:p w14:paraId="56A45FA5" w14:textId="77777777" w:rsidR="00454A29" w:rsidRDefault="00454A29">
            <w:pPr>
              <w:pStyle w:val="ConsPlusNormal"/>
            </w:pPr>
          </w:p>
        </w:tc>
        <w:tc>
          <w:tcPr>
            <w:tcW w:w="1701" w:type="dxa"/>
            <w:vAlign w:val="center"/>
          </w:tcPr>
          <w:p w14:paraId="7AF62EC1" w14:textId="77777777" w:rsidR="00454A29" w:rsidRDefault="00454A29">
            <w:pPr>
              <w:pStyle w:val="ConsPlusNormal"/>
            </w:pPr>
          </w:p>
        </w:tc>
        <w:tc>
          <w:tcPr>
            <w:tcW w:w="1814" w:type="dxa"/>
            <w:vAlign w:val="center"/>
          </w:tcPr>
          <w:p w14:paraId="516C9EF1" w14:textId="77777777" w:rsidR="00454A29" w:rsidRDefault="00454A29">
            <w:pPr>
              <w:pStyle w:val="ConsPlusNormal"/>
            </w:pPr>
          </w:p>
        </w:tc>
      </w:tr>
      <w:tr w:rsidR="00454A29" w14:paraId="6403F269" w14:textId="77777777">
        <w:tc>
          <w:tcPr>
            <w:tcW w:w="567" w:type="dxa"/>
            <w:vMerge/>
          </w:tcPr>
          <w:p w14:paraId="4509EE22" w14:textId="77777777" w:rsidR="00454A29" w:rsidRDefault="00454A29"/>
        </w:tc>
        <w:tc>
          <w:tcPr>
            <w:tcW w:w="3345" w:type="dxa"/>
            <w:vMerge/>
          </w:tcPr>
          <w:p w14:paraId="290169D7" w14:textId="77777777" w:rsidR="00454A29" w:rsidRDefault="00454A29"/>
        </w:tc>
        <w:tc>
          <w:tcPr>
            <w:tcW w:w="1701" w:type="dxa"/>
            <w:vAlign w:val="center"/>
          </w:tcPr>
          <w:p w14:paraId="36462EA1" w14:textId="77777777" w:rsidR="00454A29" w:rsidRDefault="00454A29">
            <w:pPr>
              <w:pStyle w:val="ConsPlusNormal"/>
              <w:jc w:val="center"/>
            </w:pPr>
            <w:r>
              <w:t>2026</w:t>
            </w:r>
          </w:p>
        </w:tc>
        <w:tc>
          <w:tcPr>
            <w:tcW w:w="1417" w:type="dxa"/>
            <w:vMerge/>
          </w:tcPr>
          <w:p w14:paraId="3D77A1F1" w14:textId="77777777" w:rsidR="00454A29" w:rsidRDefault="00454A29"/>
        </w:tc>
        <w:tc>
          <w:tcPr>
            <w:tcW w:w="2204" w:type="dxa"/>
            <w:vMerge/>
          </w:tcPr>
          <w:p w14:paraId="318C7105" w14:textId="77777777" w:rsidR="00454A29" w:rsidRDefault="00454A29"/>
        </w:tc>
        <w:tc>
          <w:tcPr>
            <w:tcW w:w="1417" w:type="dxa"/>
            <w:vMerge/>
          </w:tcPr>
          <w:p w14:paraId="73D897D1" w14:textId="77777777" w:rsidR="00454A29" w:rsidRDefault="00454A29"/>
        </w:tc>
        <w:tc>
          <w:tcPr>
            <w:tcW w:w="2324" w:type="dxa"/>
            <w:vMerge/>
          </w:tcPr>
          <w:p w14:paraId="5745264F" w14:textId="77777777" w:rsidR="00454A29" w:rsidRDefault="00454A29"/>
        </w:tc>
        <w:tc>
          <w:tcPr>
            <w:tcW w:w="1701" w:type="dxa"/>
            <w:vAlign w:val="center"/>
          </w:tcPr>
          <w:p w14:paraId="12DB886F" w14:textId="77777777" w:rsidR="00454A29" w:rsidRDefault="00454A29">
            <w:pPr>
              <w:pStyle w:val="ConsPlusNormal"/>
              <w:jc w:val="center"/>
            </w:pPr>
            <w:r>
              <w:t>-</w:t>
            </w:r>
          </w:p>
        </w:tc>
        <w:tc>
          <w:tcPr>
            <w:tcW w:w="1814" w:type="dxa"/>
            <w:vAlign w:val="center"/>
          </w:tcPr>
          <w:p w14:paraId="0B0DB4BD" w14:textId="77777777" w:rsidR="00454A29" w:rsidRDefault="00454A29">
            <w:pPr>
              <w:pStyle w:val="ConsPlusNormal"/>
            </w:pPr>
          </w:p>
        </w:tc>
        <w:tc>
          <w:tcPr>
            <w:tcW w:w="1701" w:type="dxa"/>
            <w:vAlign w:val="center"/>
          </w:tcPr>
          <w:p w14:paraId="27DB62CB" w14:textId="77777777" w:rsidR="00454A29" w:rsidRDefault="00454A29">
            <w:pPr>
              <w:pStyle w:val="ConsPlusNormal"/>
            </w:pPr>
          </w:p>
        </w:tc>
        <w:tc>
          <w:tcPr>
            <w:tcW w:w="1701" w:type="dxa"/>
            <w:vAlign w:val="center"/>
          </w:tcPr>
          <w:p w14:paraId="2669DF10" w14:textId="77777777" w:rsidR="00454A29" w:rsidRDefault="00454A29">
            <w:pPr>
              <w:pStyle w:val="ConsPlusNormal"/>
            </w:pPr>
          </w:p>
        </w:tc>
        <w:tc>
          <w:tcPr>
            <w:tcW w:w="1814" w:type="dxa"/>
            <w:vAlign w:val="center"/>
          </w:tcPr>
          <w:p w14:paraId="469F3012" w14:textId="77777777" w:rsidR="00454A29" w:rsidRDefault="00454A29">
            <w:pPr>
              <w:pStyle w:val="ConsPlusNormal"/>
            </w:pPr>
          </w:p>
        </w:tc>
      </w:tr>
      <w:tr w:rsidR="00454A29" w14:paraId="07319A65" w14:textId="77777777">
        <w:tc>
          <w:tcPr>
            <w:tcW w:w="567" w:type="dxa"/>
            <w:vMerge w:val="restart"/>
            <w:vAlign w:val="center"/>
          </w:tcPr>
          <w:p w14:paraId="0677981D" w14:textId="77777777" w:rsidR="00454A29" w:rsidRDefault="00454A29">
            <w:pPr>
              <w:pStyle w:val="ConsPlusNormal"/>
              <w:jc w:val="center"/>
            </w:pPr>
            <w:r>
              <w:t>6</w:t>
            </w:r>
          </w:p>
        </w:tc>
        <w:tc>
          <w:tcPr>
            <w:tcW w:w="3345" w:type="dxa"/>
            <w:vMerge w:val="restart"/>
            <w:vAlign w:val="center"/>
          </w:tcPr>
          <w:p w14:paraId="35134E94" w14:textId="77777777" w:rsidR="00454A29" w:rsidRDefault="00454A29">
            <w:pPr>
              <w:pStyle w:val="ConsPlusNormal"/>
              <w:jc w:val="center"/>
            </w:pPr>
            <w:r>
              <w:t>Детский сад на 50 мест в с. Ус-Кюель Усть-Алданского улуса</w:t>
            </w:r>
          </w:p>
        </w:tc>
        <w:tc>
          <w:tcPr>
            <w:tcW w:w="1701" w:type="dxa"/>
            <w:vAlign w:val="center"/>
          </w:tcPr>
          <w:p w14:paraId="40BA4687" w14:textId="77777777" w:rsidR="00454A29" w:rsidRDefault="00454A29">
            <w:pPr>
              <w:pStyle w:val="ConsPlusNormal"/>
              <w:jc w:val="center"/>
            </w:pPr>
            <w:r>
              <w:t>2020 - 2026 годы - всего</w:t>
            </w:r>
          </w:p>
        </w:tc>
        <w:tc>
          <w:tcPr>
            <w:tcW w:w="1417" w:type="dxa"/>
            <w:vMerge w:val="restart"/>
            <w:vAlign w:val="center"/>
          </w:tcPr>
          <w:p w14:paraId="45307CD0" w14:textId="77777777" w:rsidR="00454A29" w:rsidRDefault="00454A29">
            <w:pPr>
              <w:pStyle w:val="ConsPlusNormal"/>
              <w:jc w:val="center"/>
            </w:pPr>
            <w:r>
              <w:t>107 258,07</w:t>
            </w:r>
          </w:p>
        </w:tc>
        <w:tc>
          <w:tcPr>
            <w:tcW w:w="2204" w:type="dxa"/>
            <w:vMerge w:val="restart"/>
            <w:vAlign w:val="center"/>
          </w:tcPr>
          <w:p w14:paraId="7031143F" w14:textId="77777777" w:rsidR="00454A29" w:rsidRDefault="00454A29">
            <w:pPr>
              <w:pStyle w:val="ConsPlusNormal"/>
            </w:pPr>
          </w:p>
        </w:tc>
        <w:tc>
          <w:tcPr>
            <w:tcW w:w="1417" w:type="dxa"/>
            <w:vMerge w:val="restart"/>
            <w:vAlign w:val="center"/>
          </w:tcPr>
          <w:p w14:paraId="25E2A92D" w14:textId="77777777" w:rsidR="00454A29" w:rsidRDefault="00454A29">
            <w:pPr>
              <w:pStyle w:val="ConsPlusNormal"/>
              <w:jc w:val="center"/>
            </w:pPr>
            <w:r>
              <w:t>50</w:t>
            </w:r>
          </w:p>
        </w:tc>
        <w:tc>
          <w:tcPr>
            <w:tcW w:w="2324" w:type="dxa"/>
            <w:vMerge w:val="restart"/>
            <w:vAlign w:val="center"/>
          </w:tcPr>
          <w:p w14:paraId="0380F99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5F3F252" w14:textId="77777777" w:rsidR="00454A29" w:rsidRDefault="00454A29">
            <w:pPr>
              <w:pStyle w:val="ConsPlusNormal"/>
              <w:jc w:val="center"/>
            </w:pPr>
            <w:r>
              <w:t>107 258,07</w:t>
            </w:r>
          </w:p>
        </w:tc>
        <w:tc>
          <w:tcPr>
            <w:tcW w:w="1814" w:type="dxa"/>
            <w:vAlign w:val="center"/>
          </w:tcPr>
          <w:p w14:paraId="7AA3ECCE" w14:textId="77777777" w:rsidR="00454A29" w:rsidRDefault="00454A29">
            <w:pPr>
              <w:pStyle w:val="ConsPlusNormal"/>
              <w:jc w:val="center"/>
            </w:pPr>
            <w:r>
              <w:t>107 258,07</w:t>
            </w:r>
          </w:p>
        </w:tc>
        <w:tc>
          <w:tcPr>
            <w:tcW w:w="1701" w:type="dxa"/>
            <w:vAlign w:val="center"/>
          </w:tcPr>
          <w:p w14:paraId="7DC0A3CD" w14:textId="77777777" w:rsidR="00454A29" w:rsidRDefault="00454A29">
            <w:pPr>
              <w:pStyle w:val="ConsPlusNormal"/>
              <w:jc w:val="center"/>
            </w:pPr>
            <w:r>
              <w:t>-</w:t>
            </w:r>
          </w:p>
        </w:tc>
        <w:tc>
          <w:tcPr>
            <w:tcW w:w="1701" w:type="dxa"/>
            <w:vAlign w:val="center"/>
          </w:tcPr>
          <w:p w14:paraId="6258F12C" w14:textId="77777777" w:rsidR="00454A29" w:rsidRDefault="00454A29">
            <w:pPr>
              <w:pStyle w:val="ConsPlusNormal"/>
              <w:jc w:val="center"/>
            </w:pPr>
            <w:r>
              <w:t>-</w:t>
            </w:r>
          </w:p>
        </w:tc>
        <w:tc>
          <w:tcPr>
            <w:tcW w:w="1814" w:type="dxa"/>
            <w:vAlign w:val="center"/>
          </w:tcPr>
          <w:p w14:paraId="09290F03" w14:textId="77777777" w:rsidR="00454A29" w:rsidRDefault="00454A29">
            <w:pPr>
              <w:pStyle w:val="ConsPlusNormal"/>
              <w:jc w:val="center"/>
            </w:pPr>
            <w:r>
              <w:t>-</w:t>
            </w:r>
          </w:p>
        </w:tc>
      </w:tr>
      <w:tr w:rsidR="00454A29" w14:paraId="2573025E" w14:textId="77777777">
        <w:tc>
          <w:tcPr>
            <w:tcW w:w="567" w:type="dxa"/>
            <w:vMerge/>
          </w:tcPr>
          <w:p w14:paraId="14FCBFEE" w14:textId="77777777" w:rsidR="00454A29" w:rsidRDefault="00454A29"/>
        </w:tc>
        <w:tc>
          <w:tcPr>
            <w:tcW w:w="3345" w:type="dxa"/>
            <w:vMerge/>
          </w:tcPr>
          <w:p w14:paraId="3F5BB985" w14:textId="77777777" w:rsidR="00454A29" w:rsidRDefault="00454A29"/>
        </w:tc>
        <w:tc>
          <w:tcPr>
            <w:tcW w:w="1701" w:type="dxa"/>
            <w:vAlign w:val="center"/>
          </w:tcPr>
          <w:p w14:paraId="3CE8F5AA" w14:textId="77777777" w:rsidR="00454A29" w:rsidRDefault="00454A29">
            <w:pPr>
              <w:pStyle w:val="ConsPlusNormal"/>
              <w:jc w:val="center"/>
            </w:pPr>
            <w:r>
              <w:t>2020</w:t>
            </w:r>
          </w:p>
        </w:tc>
        <w:tc>
          <w:tcPr>
            <w:tcW w:w="1417" w:type="dxa"/>
            <w:vMerge/>
          </w:tcPr>
          <w:p w14:paraId="50254623" w14:textId="77777777" w:rsidR="00454A29" w:rsidRDefault="00454A29"/>
        </w:tc>
        <w:tc>
          <w:tcPr>
            <w:tcW w:w="2204" w:type="dxa"/>
            <w:vMerge/>
          </w:tcPr>
          <w:p w14:paraId="41007C37" w14:textId="77777777" w:rsidR="00454A29" w:rsidRDefault="00454A29"/>
        </w:tc>
        <w:tc>
          <w:tcPr>
            <w:tcW w:w="1417" w:type="dxa"/>
            <w:vMerge/>
          </w:tcPr>
          <w:p w14:paraId="4AAA191B" w14:textId="77777777" w:rsidR="00454A29" w:rsidRDefault="00454A29"/>
        </w:tc>
        <w:tc>
          <w:tcPr>
            <w:tcW w:w="2324" w:type="dxa"/>
            <w:vMerge/>
          </w:tcPr>
          <w:p w14:paraId="7A91F374" w14:textId="77777777" w:rsidR="00454A29" w:rsidRDefault="00454A29"/>
        </w:tc>
        <w:tc>
          <w:tcPr>
            <w:tcW w:w="1701" w:type="dxa"/>
            <w:vAlign w:val="center"/>
          </w:tcPr>
          <w:p w14:paraId="4C359064" w14:textId="77777777" w:rsidR="00454A29" w:rsidRDefault="00454A29">
            <w:pPr>
              <w:pStyle w:val="ConsPlusNormal"/>
              <w:jc w:val="center"/>
            </w:pPr>
            <w:r>
              <w:t>-</w:t>
            </w:r>
          </w:p>
        </w:tc>
        <w:tc>
          <w:tcPr>
            <w:tcW w:w="1814" w:type="dxa"/>
            <w:vAlign w:val="center"/>
          </w:tcPr>
          <w:p w14:paraId="3DF131DB" w14:textId="77777777" w:rsidR="00454A29" w:rsidRDefault="00454A29">
            <w:pPr>
              <w:pStyle w:val="ConsPlusNormal"/>
            </w:pPr>
          </w:p>
        </w:tc>
        <w:tc>
          <w:tcPr>
            <w:tcW w:w="1701" w:type="dxa"/>
            <w:vAlign w:val="center"/>
          </w:tcPr>
          <w:p w14:paraId="69127D1E" w14:textId="77777777" w:rsidR="00454A29" w:rsidRDefault="00454A29">
            <w:pPr>
              <w:pStyle w:val="ConsPlusNormal"/>
            </w:pPr>
          </w:p>
        </w:tc>
        <w:tc>
          <w:tcPr>
            <w:tcW w:w="1701" w:type="dxa"/>
            <w:vAlign w:val="center"/>
          </w:tcPr>
          <w:p w14:paraId="0556CA95" w14:textId="77777777" w:rsidR="00454A29" w:rsidRDefault="00454A29">
            <w:pPr>
              <w:pStyle w:val="ConsPlusNormal"/>
            </w:pPr>
          </w:p>
        </w:tc>
        <w:tc>
          <w:tcPr>
            <w:tcW w:w="1814" w:type="dxa"/>
            <w:vAlign w:val="center"/>
          </w:tcPr>
          <w:p w14:paraId="6DA67212" w14:textId="77777777" w:rsidR="00454A29" w:rsidRDefault="00454A29">
            <w:pPr>
              <w:pStyle w:val="ConsPlusNormal"/>
            </w:pPr>
          </w:p>
        </w:tc>
      </w:tr>
      <w:tr w:rsidR="00454A29" w14:paraId="681BB3AC" w14:textId="77777777">
        <w:tc>
          <w:tcPr>
            <w:tcW w:w="567" w:type="dxa"/>
            <w:vMerge/>
          </w:tcPr>
          <w:p w14:paraId="482EA44B" w14:textId="77777777" w:rsidR="00454A29" w:rsidRDefault="00454A29"/>
        </w:tc>
        <w:tc>
          <w:tcPr>
            <w:tcW w:w="3345" w:type="dxa"/>
            <w:vMerge/>
          </w:tcPr>
          <w:p w14:paraId="4061AA69" w14:textId="77777777" w:rsidR="00454A29" w:rsidRDefault="00454A29"/>
        </w:tc>
        <w:tc>
          <w:tcPr>
            <w:tcW w:w="1701" w:type="dxa"/>
            <w:vAlign w:val="center"/>
          </w:tcPr>
          <w:p w14:paraId="7DD35DD3" w14:textId="77777777" w:rsidR="00454A29" w:rsidRDefault="00454A29">
            <w:pPr>
              <w:pStyle w:val="ConsPlusNormal"/>
              <w:jc w:val="center"/>
            </w:pPr>
            <w:r>
              <w:t>2021</w:t>
            </w:r>
          </w:p>
        </w:tc>
        <w:tc>
          <w:tcPr>
            <w:tcW w:w="1417" w:type="dxa"/>
            <w:vMerge/>
          </w:tcPr>
          <w:p w14:paraId="30C36622" w14:textId="77777777" w:rsidR="00454A29" w:rsidRDefault="00454A29"/>
        </w:tc>
        <w:tc>
          <w:tcPr>
            <w:tcW w:w="2204" w:type="dxa"/>
            <w:vMerge/>
          </w:tcPr>
          <w:p w14:paraId="5331F134" w14:textId="77777777" w:rsidR="00454A29" w:rsidRDefault="00454A29"/>
        </w:tc>
        <w:tc>
          <w:tcPr>
            <w:tcW w:w="1417" w:type="dxa"/>
            <w:vMerge/>
          </w:tcPr>
          <w:p w14:paraId="3DFF4357" w14:textId="77777777" w:rsidR="00454A29" w:rsidRDefault="00454A29"/>
        </w:tc>
        <w:tc>
          <w:tcPr>
            <w:tcW w:w="2324" w:type="dxa"/>
            <w:vMerge/>
          </w:tcPr>
          <w:p w14:paraId="04C72638" w14:textId="77777777" w:rsidR="00454A29" w:rsidRDefault="00454A29"/>
        </w:tc>
        <w:tc>
          <w:tcPr>
            <w:tcW w:w="1701" w:type="dxa"/>
            <w:vAlign w:val="center"/>
          </w:tcPr>
          <w:p w14:paraId="6711DC00" w14:textId="77777777" w:rsidR="00454A29" w:rsidRDefault="00454A29">
            <w:pPr>
              <w:pStyle w:val="ConsPlusNormal"/>
              <w:jc w:val="center"/>
            </w:pPr>
            <w:r>
              <w:t>-</w:t>
            </w:r>
          </w:p>
        </w:tc>
        <w:tc>
          <w:tcPr>
            <w:tcW w:w="1814" w:type="dxa"/>
            <w:vAlign w:val="center"/>
          </w:tcPr>
          <w:p w14:paraId="3331EBE7" w14:textId="77777777" w:rsidR="00454A29" w:rsidRDefault="00454A29">
            <w:pPr>
              <w:pStyle w:val="ConsPlusNormal"/>
            </w:pPr>
          </w:p>
        </w:tc>
        <w:tc>
          <w:tcPr>
            <w:tcW w:w="1701" w:type="dxa"/>
            <w:vAlign w:val="center"/>
          </w:tcPr>
          <w:p w14:paraId="1D33D915" w14:textId="77777777" w:rsidR="00454A29" w:rsidRDefault="00454A29">
            <w:pPr>
              <w:pStyle w:val="ConsPlusNormal"/>
            </w:pPr>
          </w:p>
        </w:tc>
        <w:tc>
          <w:tcPr>
            <w:tcW w:w="1701" w:type="dxa"/>
            <w:vAlign w:val="center"/>
          </w:tcPr>
          <w:p w14:paraId="691BBE23" w14:textId="77777777" w:rsidR="00454A29" w:rsidRDefault="00454A29">
            <w:pPr>
              <w:pStyle w:val="ConsPlusNormal"/>
            </w:pPr>
          </w:p>
        </w:tc>
        <w:tc>
          <w:tcPr>
            <w:tcW w:w="1814" w:type="dxa"/>
            <w:vAlign w:val="center"/>
          </w:tcPr>
          <w:p w14:paraId="685A37CD" w14:textId="77777777" w:rsidR="00454A29" w:rsidRDefault="00454A29">
            <w:pPr>
              <w:pStyle w:val="ConsPlusNormal"/>
            </w:pPr>
          </w:p>
        </w:tc>
      </w:tr>
      <w:tr w:rsidR="00454A29" w14:paraId="27A57161" w14:textId="77777777">
        <w:tc>
          <w:tcPr>
            <w:tcW w:w="567" w:type="dxa"/>
            <w:vMerge/>
          </w:tcPr>
          <w:p w14:paraId="09C8C586" w14:textId="77777777" w:rsidR="00454A29" w:rsidRDefault="00454A29"/>
        </w:tc>
        <w:tc>
          <w:tcPr>
            <w:tcW w:w="3345" w:type="dxa"/>
            <w:vMerge/>
          </w:tcPr>
          <w:p w14:paraId="764E58B4" w14:textId="77777777" w:rsidR="00454A29" w:rsidRDefault="00454A29"/>
        </w:tc>
        <w:tc>
          <w:tcPr>
            <w:tcW w:w="1701" w:type="dxa"/>
            <w:vAlign w:val="center"/>
          </w:tcPr>
          <w:p w14:paraId="36ADE5FB" w14:textId="77777777" w:rsidR="00454A29" w:rsidRDefault="00454A29">
            <w:pPr>
              <w:pStyle w:val="ConsPlusNormal"/>
              <w:jc w:val="center"/>
            </w:pPr>
            <w:r>
              <w:t>2022</w:t>
            </w:r>
          </w:p>
        </w:tc>
        <w:tc>
          <w:tcPr>
            <w:tcW w:w="1417" w:type="dxa"/>
            <w:vMerge/>
          </w:tcPr>
          <w:p w14:paraId="485C99F0" w14:textId="77777777" w:rsidR="00454A29" w:rsidRDefault="00454A29"/>
        </w:tc>
        <w:tc>
          <w:tcPr>
            <w:tcW w:w="2204" w:type="dxa"/>
            <w:vMerge/>
          </w:tcPr>
          <w:p w14:paraId="238A582B" w14:textId="77777777" w:rsidR="00454A29" w:rsidRDefault="00454A29"/>
        </w:tc>
        <w:tc>
          <w:tcPr>
            <w:tcW w:w="1417" w:type="dxa"/>
            <w:vMerge/>
          </w:tcPr>
          <w:p w14:paraId="0D652425" w14:textId="77777777" w:rsidR="00454A29" w:rsidRDefault="00454A29"/>
        </w:tc>
        <w:tc>
          <w:tcPr>
            <w:tcW w:w="2324" w:type="dxa"/>
            <w:vMerge/>
          </w:tcPr>
          <w:p w14:paraId="7C284D98" w14:textId="77777777" w:rsidR="00454A29" w:rsidRDefault="00454A29"/>
        </w:tc>
        <w:tc>
          <w:tcPr>
            <w:tcW w:w="1701" w:type="dxa"/>
            <w:vAlign w:val="center"/>
          </w:tcPr>
          <w:p w14:paraId="3135BC3A" w14:textId="77777777" w:rsidR="00454A29" w:rsidRDefault="00454A29">
            <w:pPr>
              <w:pStyle w:val="ConsPlusNormal"/>
              <w:jc w:val="center"/>
            </w:pPr>
            <w:r>
              <w:t>-</w:t>
            </w:r>
          </w:p>
        </w:tc>
        <w:tc>
          <w:tcPr>
            <w:tcW w:w="1814" w:type="dxa"/>
            <w:vAlign w:val="center"/>
          </w:tcPr>
          <w:p w14:paraId="7582C838" w14:textId="77777777" w:rsidR="00454A29" w:rsidRDefault="00454A29">
            <w:pPr>
              <w:pStyle w:val="ConsPlusNormal"/>
            </w:pPr>
          </w:p>
        </w:tc>
        <w:tc>
          <w:tcPr>
            <w:tcW w:w="1701" w:type="dxa"/>
            <w:vAlign w:val="center"/>
          </w:tcPr>
          <w:p w14:paraId="354813AA" w14:textId="77777777" w:rsidR="00454A29" w:rsidRDefault="00454A29">
            <w:pPr>
              <w:pStyle w:val="ConsPlusNormal"/>
            </w:pPr>
          </w:p>
        </w:tc>
        <w:tc>
          <w:tcPr>
            <w:tcW w:w="1701" w:type="dxa"/>
            <w:vAlign w:val="center"/>
          </w:tcPr>
          <w:p w14:paraId="29273C66" w14:textId="77777777" w:rsidR="00454A29" w:rsidRDefault="00454A29">
            <w:pPr>
              <w:pStyle w:val="ConsPlusNormal"/>
            </w:pPr>
          </w:p>
        </w:tc>
        <w:tc>
          <w:tcPr>
            <w:tcW w:w="1814" w:type="dxa"/>
            <w:vAlign w:val="center"/>
          </w:tcPr>
          <w:p w14:paraId="6144CE26" w14:textId="77777777" w:rsidR="00454A29" w:rsidRDefault="00454A29">
            <w:pPr>
              <w:pStyle w:val="ConsPlusNormal"/>
            </w:pPr>
          </w:p>
        </w:tc>
      </w:tr>
      <w:tr w:rsidR="00454A29" w14:paraId="651245CB" w14:textId="77777777">
        <w:tc>
          <w:tcPr>
            <w:tcW w:w="567" w:type="dxa"/>
            <w:vMerge/>
          </w:tcPr>
          <w:p w14:paraId="10FB6D75" w14:textId="77777777" w:rsidR="00454A29" w:rsidRDefault="00454A29"/>
        </w:tc>
        <w:tc>
          <w:tcPr>
            <w:tcW w:w="3345" w:type="dxa"/>
            <w:vMerge/>
          </w:tcPr>
          <w:p w14:paraId="18A2E577" w14:textId="77777777" w:rsidR="00454A29" w:rsidRDefault="00454A29"/>
        </w:tc>
        <w:tc>
          <w:tcPr>
            <w:tcW w:w="1701" w:type="dxa"/>
            <w:vAlign w:val="center"/>
          </w:tcPr>
          <w:p w14:paraId="3C49D667" w14:textId="77777777" w:rsidR="00454A29" w:rsidRDefault="00454A29">
            <w:pPr>
              <w:pStyle w:val="ConsPlusNormal"/>
              <w:jc w:val="center"/>
            </w:pPr>
            <w:r>
              <w:t>2023</w:t>
            </w:r>
          </w:p>
        </w:tc>
        <w:tc>
          <w:tcPr>
            <w:tcW w:w="1417" w:type="dxa"/>
            <w:vMerge/>
          </w:tcPr>
          <w:p w14:paraId="77B314E4" w14:textId="77777777" w:rsidR="00454A29" w:rsidRDefault="00454A29"/>
        </w:tc>
        <w:tc>
          <w:tcPr>
            <w:tcW w:w="2204" w:type="dxa"/>
            <w:vMerge/>
          </w:tcPr>
          <w:p w14:paraId="2C35691D" w14:textId="77777777" w:rsidR="00454A29" w:rsidRDefault="00454A29"/>
        </w:tc>
        <w:tc>
          <w:tcPr>
            <w:tcW w:w="1417" w:type="dxa"/>
            <w:vMerge/>
          </w:tcPr>
          <w:p w14:paraId="180E41CC" w14:textId="77777777" w:rsidR="00454A29" w:rsidRDefault="00454A29"/>
        </w:tc>
        <w:tc>
          <w:tcPr>
            <w:tcW w:w="2324" w:type="dxa"/>
            <w:vMerge/>
          </w:tcPr>
          <w:p w14:paraId="75FEF4CA" w14:textId="77777777" w:rsidR="00454A29" w:rsidRDefault="00454A29"/>
        </w:tc>
        <w:tc>
          <w:tcPr>
            <w:tcW w:w="1701" w:type="dxa"/>
            <w:vAlign w:val="center"/>
          </w:tcPr>
          <w:p w14:paraId="5101E6BD" w14:textId="77777777" w:rsidR="00454A29" w:rsidRDefault="00454A29">
            <w:pPr>
              <w:pStyle w:val="ConsPlusNormal"/>
              <w:jc w:val="center"/>
            </w:pPr>
            <w:r>
              <w:t>-</w:t>
            </w:r>
          </w:p>
        </w:tc>
        <w:tc>
          <w:tcPr>
            <w:tcW w:w="1814" w:type="dxa"/>
            <w:vAlign w:val="center"/>
          </w:tcPr>
          <w:p w14:paraId="50FDB627" w14:textId="77777777" w:rsidR="00454A29" w:rsidRDefault="00454A29">
            <w:pPr>
              <w:pStyle w:val="ConsPlusNormal"/>
            </w:pPr>
          </w:p>
        </w:tc>
        <w:tc>
          <w:tcPr>
            <w:tcW w:w="1701" w:type="dxa"/>
            <w:vAlign w:val="center"/>
          </w:tcPr>
          <w:p w14:paraId="3041D9AD" w14:textId="77777777" w:rsidR="00454A29" w:rsidRDefault="00454A29">
            <w:pPr>
              <w:pStyle w:val="ConsPlusNormal"/>
            </w:pPr>
          </w:p>
        </w:tc>
        <w:tc>
          <w:tcPr>
            <w:tcW w:w="1701" w:type="dxa"/>
            <w:vAlign w:val="center"/>
          </w:tcPr>
          <w:p w14:paraId="69487DB7" w14:textId="77777777" w:rsidR="00454A29" w:rsidRDefault="00454A29">
            <w:pPr>
              <w:pStyle w:val="ConsPlusNormal"/>
            </w:pPr>
          </w:p>
        </w:tc>
        <w:tc>
          <w:tcPr>
            <w:tcW w:w="1814" w:type="dxa"/>
            <w:vAlign w:val="center"/>
          </w:tcPr>
          <w:p w14:paraId="1D0BB458" w14:textId="77777777" w:rsidR="00454A29" w:rsidRDefault="00454A29">
            <w:pPr>
              <w:pStyle w:val="ConsPlusNormal"/>
            </w:pPr>
          </w:p>
        </w:tc>
      </w:tr>
      <w:tr w:rsidR="00454A29" w14:paraId="3E463AAA" w14:textId="77777777">
        <w:tc>
          <w:tcPr>
            <w:tcW w:w="567" w:type="dxa"/>
            <w:vMerge/>
          </w:tcPr>
          <w:p w14:paraId="090C74EF" w14:textId="77777777" w:rsidR="00454A29" w:rsidRDefault="00454A29"/>
        </w:tc>
        <w:tc>
          <w:tcPr>
            <w:tcW w:w="3345" w:type="dxa"/>
            <w:vMerge/>
          </w:tcPr>
          <w:p w14:paraId="3DEEB5CA" w14:textId="77777777" w:rsidR="00454A29" w:rsidRDefault="00454A29"/>
        </w:tc>
        <w:tc>
          <w:tcPr>
            <w:tcW w:w="1701" w:type="dxa"/>
            <w:vAlign w:val="center"/>
          </w:tcPr>
          <w:p w14:paraId="09C0CC5F" w14:textId="77777777" w:rsidR="00454A29" w:rsidRDefault="00454A29">
            <w:pPr>
              <w:pStyle w:val="ConsPlusNormal"/>
              <w:jc w:val="center"/>
            </w:pPr>
            <w:r>
              <w:t>2024</w:t>
            </w:r>
          </w:p>
        </w:tc>
        <w:tc>
          <w:tcPr>
            <w:tcW w:w="1417" w:type="dxa"/>
            <w:vMerge/>
          </w:tcPr>
          <w:p w14:paraId="446CFEA6" w14:textId="77777777" w:rsidR="00454A29" w:rsidRDefault="00454A29"/>
        </w:tc>
        <w:tc>
          <w:tcPr>
            <w:tcW w:w="2204" w:type="dxa"/>
            <w:vMerge/>
          </w:tcPr>
          <w:p w14:paraId="2472119B" w14:textId="77777777" w:rsidR="00454A29" w:rsidRDefault="00454A29"/>
        </w:tc>
        <w:tc>
          <w:tcPr>
            <w:tcW w:w="1417" w:type="dxa"/>
            <w:vMerge/>
          </w:tcPr>
          <w:p w14:paraId="471A1EFB" w14:textId="77777777" w:rsidR="00454A29" w:rsidRDefault="00454A29"/>
        </w:tc>
        <w:tc>
          <w:tcPr>
            <w:tcW w:w="2324" w:type="dxa"/>
            <w:vMerge/>
          </w:tcPr>
          <w:p w14:paraId="50235B73" w14:textId="77777777" w:rsidR="00454A29" w:rsidRDefault="00454A29"/>
        </w:tc>
        <w:tc>
          <w:tcPr>
            <w:tcW w:w="1701" w:type="dxa"/>
            <w:vAlign w:val="center"/>
          </w:tcPr>
          <w:p w14:paraId="77782390" w14:textId="77777777" w:rsidR="00454A29" w:rsidRDefault="00454A29">
            <w:pPr>
              <w:pStyle w:val="ConsPlusNormal"/>
              <w:jc w:val="center"/>
            </w:pPr>
            <w:r>
              <w:t>-</w:t>
            </w:r>
          </w:p>
        </w:tc>
        <w:tc>
          <w:tcPr>
            <w:tcW w:w="1814" w:type="dxa"/>
            <w:vAlign w:val="center"/>
          </w:tcPr>
          <w:p w14:paraId="56F954E1" w14:textId="77777777" w:rsidR="00454A29" w:rsidRDefault="00454A29">
            <w:pPr>
              <w:pStyle w:val="ConsPlusNormal"/>
            </w:pPr>
          </w:p>
        </w:tc>
        <w:tc>
          <w:tcPr>
            <w:tcW w:w="1701" w:type="dxa"/>
            <w:vAlign w:val="center"/>
          </w:tcPr>
          <w:p w14:paraId="363A2876" w14:textId="77777777" w:rsidR="00454A29" w:rsidRDefault="00454A29">
            <w:pPr>
              <w:pStyle w:val="ConsPlusNormal"/>
            </w:pPr>
          </w:p>
        </w:tc>
        <w:tc>
          <w:tcPr>
            <w:tcW w:w="1701" w:type="dxa"/>
            <w:vAlign w:val="center"/>
          </w:tcPr>
          <w:p w14:paraId="702EFFD8" w14:textId="77777777" w:rsidR="00454A29" w:rsidRDefault="00454A29">
            <w:pPr>
              <w:pStyle w:val="ConsPlusNormal"/>
            </w:pPr>
          </w:p>
        </w:tc>
        <w:tc>
          <w:tcPr>
            <w:tcW w:w="1814" w:type="dxa"/>
            <w:vAlign w:val="center"/>
          </w:tcPr>
          <w:p w14:paraId="5619FE86" w14:textId="77777777" w:rsidR="00454A29" w:rsidRDefault="00454A29">
            <w:pPr>
              <w:pStyle w:val="ConsPlusNormal"/>
            </w:pPr>
          </w:p>
        </w:tc>
      </w:tr>
      <w:tr w:rsidR="00454A29" w14:paraId="4E9E39C2" w14:textId="77777777">
        <w:tc>
          <w:tcPr>
            <w:tcW w:w="567" w:type="dxa"/>
            <w:vMerge/>
          </w:tcPr>
          <w:p w14:paraId="27455963" w14:textId="77777777" w:rsidR="00454A29" w:rsidRDefault="00454A29"/>
        </w:tc>
        <w:tc>
          <w:tcPr>
            <w:tcW w:w="3345" w:type="dxa"/>
            <w:vMerge/>
          </w:tcPr>
          <w:p w14:paraId="2A82E556" w14:textId="77777777" w:rsidR="00454A29" w:rsidRDefault="00454A29"/>
        </w:tc>
        <w:tc>
          <w:tcPr>
            <w:tcW w:w="1701" w:type="dxa"/>
            <w:vAlign w:val="center"/>
          </w:tcPr>
          <w:p w14:paraId="7AA4DAD2" w14:textId="77777777" w:rsidR="00454A29" w:rsidRDefault="00454A29">
            <w:pPr>
              <w:pStyle w:val="ConsPlusNormal"/>
              <w:jc w:val="center"/>
            </w:pPr>
            <w:r>
              <w:t>2025</w:t>
            </w:r>
          </w:p>
        </w:tc>
        <w:tc>
          <w:tcPr>
            <w:tcW w:w="1417" w:type="dxa"/>
            <w:vMerge/>
          </w:tcPr>
          <w:p w14:paraId="216BAE8A" w14:textId="77777777" w:rsidR="00454A29" w:rsidRDefault="00454A29"/>
        </w:tc>
        <w:tc>
          <w:tcPr>
            <w:tcW w:w="2204" w:type="dxa"/>
            <w:vMerge/>
          </w:tcPr>
          <w:p w14:paraId="3B13AE8A" w14:textId="77777777" w:rsidR="00454A29" w:rsidRDefault="00454A29"/>
        </w:tc>
        <w:tc>
          <w:tcPr>
            <w:tcW w:w="1417" w:type="dxa"/>
            <w:vMerge/>
          </w:tcPr>
          <w:p w14:paraId="7D1BA5C4" w14:textId="77777777" w:rsidR="00454A29" w:rsidRDefault="00454A29"/>
        </w:tc>
        <w:tc>
          <w:tcPr>
            <w:tcW w:w="2324" w:type="dxa"/>
            <w:vMerge/>
          </w:tcPr>
          <w:p w14:paraId="28B354E7" w14:textId="77777777" w:rsidR="00454A29" w:rsidRDefault="00454A29"/>
        </w:tc>
        <w:tc>
          <w:tcPr>
            <w:tcW w:w="1701" w:type="dxa"/>
            <w:vAlign w:val="center"/>
          </w:tcPr>
          <w:p w14:paraId="02CCEFC6" w14:textId="77777777" w:rsidR="00454A29" w:rsidRDefault="00454A29">
            <w:pPr>
              <w:pStyle w:val="ConsPlusNormal"/>
              <w:jc w:val="center"/>
            </w:pPr>
            <w:r>
              <w:t>107 258,07</w:t>
            </w:r>
          </w:p>
        </w:tc>
        <w:tc>
          <w:tcPr>
            <w:tcW w:w="1814" w:type="dxa"/>
            <w:vAlign w:val="center"/>
          </w:tcPr>
          <w:p w14:paraId="0B1727D8" w14:textId="77777777" w:rsidR="00454A29" w:rsidRDefault="00454A29">
            <w:pPr>
              <w:pStyle w:val="ConsPlusNormal"/>
              <w:jc w:val="center"/>
            </w:pPr>
            <w:r>
              <w:t>107 258,07</w:t>
            </w:r>
          </w:p>
        </w:tc>
        <w:tc>
          <w:tcPr>
            <w:tcW w:w="1701" w:type="dxa"/>
            <w:vAlign w:val="center"/>
          </w:tcPr>
          <w:p w14:paraId="126043B2" w14:textId="77777777" w:rsidR="00454A29" w:rsidRDefault="00454A29">
            <w:pPr>
              <w:pStyle w:val="ConsPlusNormal"/>
            </w:pPr>
          </w:p>
        </w:tc>
        <w:tc>
          <w:tcPr>
            <w:tcW w:w="1701" w:type="dxa"/>
            <w:vAlign w:val="center"/>
          </w:tcPr>
          <w:p w14:paraId="1211ACF1" w14:textId="77777777" w:rsidR="00454A29" w:rsidRDefault="00454A29">
            <w:pPr>
              <w:pStyle w:val="ConsPlusNormal"/>
            </w:pPr>
          </w:p>
        </w:tc>
        <w:tc>
          <w:tcPr>
            <w:tcW w:w="1814" w:type="dxa"/>
            <w:vAlign w:val="center"/>
          </w:tcPr>
          <w:p w14:paraId="4B24675D" w14:textId="77777777" w:rsidR="00454A29" w:rsidRDefault="00454A29">
            <w:pPr>
              <w:pStyle w:val="ConsPlusNormal"/>
            </w:pPr>
          </w:p>
        </w:tc>
      </w:tr>
      <w:tr w:rsidR="00454A29" w14:paraId="7208A783" w14:textId="77777777">
        <w:tc>
          <w:tcPr>
            <w:tcW w:w="567" w:type="dxa"/>
            <w:vMerge/>
          </w:tcPr>
          <w:p w14:paraId="271A96E7" w14:textId="77777777" w:rsidR="00454A29" w:rsidRDefault="00454A29"/>
        </w:tc>
        <w:tc>
          <w:tcPr>
            <w:tcW w:w="3345" w:type="dxa"/>
            <w:vMerge/>
          </w:tcPr>
          <w:p w14:paraId="421BE413" w14:textId="77777777" w:rsidR="00454A29" w:rsidRDefault="00454A29"/>
        </w:tc>
        <w:tc>
          <w:tcPr>
            <w:tcW w:w="1701" w:type="dxa"/>
            <w:vAlign w:val="center"/>
          </w:tcPr>
          <w:p w14:paraId="430983AB" w14:textId="77777777" w:rsidR="00454A29" w:rsidRDefault="00454A29">
            <w:pPr>
              <w:pStyle w:val="ConsPlusNormal"/>
              <w:jc w:val="center"/>
            </w:pPr>
            <w:r>
              <w:t>2026</w:t>
            </w:r>
          </w:p>
        </w:tc>
        <w:tc>
          <w:tcPr>
            <w:tcW w:w="1417" w:type="dxa"/>
            <w:vMerge/>
          </w:tcPr>
          <w:p w14:paraId="5F0D1DFF" w14:textId="77777777" w:rsidR="00454A29" w:rsidRDefault="00454A29"/>
        </w:tc>
        <w:tc>
          <w:tcPr>
            <w:tcW w:w="2204" w:type="dxa"/>
            <w:vMerge/>
          </w:tcPr>
          <w:p w14:paraId="1544A88A" w14:textId="77777777" w:rsidR="00454A29" w:rsidRDefault="00454A29"/>
        </w:tc>
        <w:tc>
          <w:tcPr>
            <w:tcW w:w="1417" w:type="dxa"/>
            <w:vMerge/>
          </w:tcPr>
          <w:p w14:paraId="06027500" w14:textId="77777777" w:rsidR="00454A29" w:rsidRDefault="00454A29"/>
        </w:tc>
        <w:tc>
          <w:tcPr>
            <w:tcW w:w="2324" w:type="dxa"/>
            <w:vMerge/>
          </w:tcPr>
          <w:p w14:paraId="274F43B0" w14:textId="77777777" w:rsidR="00454A29" w:rsidRDefault="00454A29"/>
        </w:tc>
        <w:tc>
          <w:tcPr>
            <w:tcW w:w="1701" w:type="dxa"/>
            <w:vAlign w:val="center"/>
          </w:tcPr>
          <w:p w14:paraId="26E483BE" w14:textId="77777777" w:rsidR="00454A29" w:rsidRDefault="00454A29">
            <w:pPr>
              <w:pStyle w:val="ConsPlusNormal"/>
              <w:jc w:val="center"/>
            </w:pPr>
            <w:r>
              <w:t>-</w:t>
            </w:r>
          </w:p>
        </w:tc>
        <w:tc>
          <w:tcPr>
            <w:tcW w:w="1814" w:type="dxa"/>
            <w:vAlign w:val="center"/>
          </w:tcPr>
          <w:p w14:paraId="279ECA78" w14:textId="77777777" w:rsidR="00454A29" w:rsidRDefault="00454A29">
            <w:pPr>
              <w:pStyle w:val="ConsPlusNormal"/>
            </w:pPr>
          </w:p>
        </w:tc>
        <w:tc>
          <w:tcPr>
            <w:tcW w:w="1701" w:type="dxa"/>
            <w:vAlign w:val="center"/>
          </w:tcPr>
          <w:p w14:paraId="11CA2B26" w14:textId="77777777" w:rsidR="00454A29" w:rsidRDefault="00454A29">
            <w:pPr>
              <w:pStyle w:val="ConsPlusNormal"/>
            </w:pPr>
          </w:p>
        </w:tc>
        <w:tc>
          <w:tcPr>
            <w:tcW w:w="1701" w:type="dxa"/>
            <w:vAlign w:val="center"/>
          </w:tcPr>
          <w:p w14:paraId="13E60435" w14:textId="77777777" w:rsidR="00454A29" w:rsidRDefault="00454A29">
            <w:pPr>
              <w:pStyle w:val="ConsPlusNormal"/>
            </w:pPr>
          </w:p>
        </w:tc>
        <w:tc>
          <w:tcPr>
            <w:tcW w:w="1814" w:type="dxa"/>
            <w:vAlign w:val="center"/>
          </w:tcPr>
          <w:p w14:paraId="7A3C2FF4" w14:textId="77777777" w:rsidR="00454A29" w:rsidRDefault="00454A29">
            <w:pPr>
              <w:pStyle w:val="ConsPlusNormal"/>
            </w:pPr>
          </w:p>
        </w:tc>
      </w:tr>
      <w:tr w:rsidR="00454A29" w14:paraId="6B505302" w14:textId="77777777">
        <w:tc>
          <w:tcPr>
            <w:tcW w:w="567" w:type="dxa"/>
            <w:vMerge w:val="restart"/>
            <w:vAlign w:val="center"/>
          </w:tcPr>
          <w:p w14:paraId="510F40CE" w14:textId="77777777" w:rsidR="00454A29" w:rsidRDefault="00454A29">
            <w:pPr>
              <w:pStyle w:val="ConsPlusNormal"/>
              <w:jc w:val="center"/>
            </w:pPr>
            <w:r>
              <w:t>7</w:t>
            </w:r>
          </w:p>
        </w:tc>
        <w:tc>
          <w:tcPr>
            <w:tcW w:w="3345" w:type="dxa"/>
            <w:vMerge w:val="restart"/>
            <w:vAlign w:val="center"/>
          </w:tcPr>
          <w:p w14:paraId="5135EE2F" w14:textId="77777777" w:rsidR="00454A29" w:rsidRDefault="00454A29">
            <w:pPr>
              <w:pStyle w:val="ConsPlusNormal"/>
              <w:jc w:val="center"/>
            </w:pPr>
            <w:r>
              <w:t>Детский сад на 50 мест в с. Жилинда Оленекского НЭР</w:t>
            </w:r>
          </w:p>
        </w:tc>
        <w:tc>
          <w:tcPr>
            <w:tcW w:w="1701" w:type="dxa"/>
            <w:vAlign w:val="center"/>
          </w:tcPr>
          <w:p w14:paraId="1CFF68A1" w14:textId="77777777" w:rsidR="00454A29" w:rsidRDefault="00454A29">
            <w:pPr>
              <w:pStyle w:val="ConsPlusNormal"/>
              <w:jc w:val="center"/>
            </w:pPr>
            <w:r>
              <w:t>2020 - 2026 годы - всего</w:t>
            </w:r>
          </w:p>
        </w:tc>
        <w:tc>
          <w:tcPr>
            <w:tcW w:w="1417" w:type="dxa"/>
            <w:vMerge w:val="restart"/>
            <w:vAlign w:val="center"/>
          </w:tcPr>
          <w:p w14:paraId="0D5D9D04" w14:textId="77777777" w:rsidR="00454A29" w:rsidRDefault="00454A29">
            <w:pPr>
              <w:pStyle w:val="ConsPlusNormal"/>
              <w:jc w:val="center"/>
            </w:pPr>
            <w:r>
              <w:t>56 723,83</w:t>
            </w:r>
          </w:p>
        </w:tc>
        <w:tc>
          <w:tcPr>
            <w:tcW w:w="2204" w:type="dxa"/>
            <w:vMerge w:val="restart"/>
            <w:vAlign w:val="center"/>
          </w:tcPr>
          <w:p w14:paraId="5B5D6297" w14:textId="77777777" w:rsidR="00454A29" w:rsidRDefault="00454A29">
            <w:pPr>
              <w:pStyle w:val="ConsPlusNormal"/>
            </w:pPr>
          </w:p>
        </w:tc>
        <w:tc>
          <w:tcPr>
            <w:tcW w:w="1417" w:type="dxa"/>
            <w:vMerge w:val="restart"/>
            <w:vAlign w:val="center"/>
          </w:tcPr>
          <w:p w14:paraId="289C2747" w14:textId="77777777" w:rsidR="00454A29" w:rsidRDefault="00454A29">
            <w:pPr>
              <w:pStyle w:val="ConsPlusNormal"/>
              <w:jc w:val="center"/>
            </w:pPr>
            <w:r>
              <w:t>50</w:t>
            </w:r>
          </w:p>
        </w:tc>
        <w:tc>
          <w:tcPr>
            <w:tcW w:w="2324" w:type="dxa"/>
            <w:vMerge w:val="restart"/>
            <w:vAlign w:val="center"/>
          </w:tcPr>
          <w:p w14:paraId="099BA24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2ACCB84" w14:textId="77777777" w:rsidR="00454A29" w:rsidRDefault="00454A29">
            <w:pPr>
              <w:pStyle w:val="ConsPlusNormal"/>
              <w:jc w:val="center"/>
            </w:pPr>
            <w:r>
              <w:t>56 723,83</w:t>
            </w:r>
          </w:p>
        </w:tc>
        <w:tc>
          <w:tcPr>
            <w:tcW w:w="1814" w:type="dxa"/>
            <w:vAlign w:val="center"/>
          </w:tcPr>
          <w:p w14:paraId="2A08655D" w14:textId="77777777" w:rsidR="00454A29" w:rsidRDefault="00454A29">
            <w:pPr>
              <w:pStyle w:val="ConsPlusNormal"/>
              <w:jc w:val="center"/>
            </w:pPr>
            <w:r>
              <w:t>56 723,83</w:t>
            </w:r>
          </w:p>
        </w:tc>
        <w:tc>
          <w:tcPr>
            <w:tcW w:w="1701" w:type="dxa"/>
            <w:vAlign w:val="center"/>
          </w:tcPr>
          <w:p w14:paraId="1F257588" w14:textId="77777777" w:rsidR="00454A29" w:rsidRDefault="00454A29">
            <w:pPr>
              <w:pStyle w:val="ConsPlusNormal"/>
              <w:jc w:val="center"/>
            </w:pPr>
            <w:r>
              <w:t>-</w:t>
            </w:r>
          </w:p>
        </w:tc>
        <w:tc>
          <w:tcPr>
            <w:tcW w:w="1701" w:type="dxa"/>
            <w:vAlign w:val="center"/>
          </w:tcPr>
          <w:p w14:paraId="7B1AA696" w14:textId="77777777" w:rsidR="00454A29" w:rsidRDefault="00454A29">
            <w:pPr>
              <w:pStyle w:val="ConsPlusNormal"/>
              <w:jc w:val="center"/>
            </w:pPr>
            <w:r>
              <w:t>-</w:t>
            </w:r>
          </w:p>
        </w:tc>
        <w:tc>
          <w:tcPr>
            <w:tcW w:w="1814" w:type="dxa"/>
            <w:vAlign w:val="center"/>
          </w:tcPr>
          <w:p w14:paraId="4875D3EF" w14:textId="77777777" w:rsidR="00454A29" w:rsidRDefault="00454A29">
            <w:pPr>
              <w:pStyle w:val="ConsPlusNormal"/>
              <w:jc w:val="center"/>
            </w:pPr>
            <w:r>
              <w:t>-</w:t>
            </w:r>
          </w:p>
        </w:tc>
      </w:tr>
      <w:tr w:rsidR="00454A29" w14:paraId="5FBA51D8" w14:textId="77777777">
        <w:tc>
          <w:tcPr>
            <w:tcW w:w="567" w:type="dxa"/>
            <w:vMerge/>
          </w:tcPr>
          <w:p w14:paraId="038D761B" w14:textId="77777777" w:rsidR="00454A29" w:rsidRDefault="00454A29"/>
        </w:tc>
        <w:tc>
          <w:tcPr>
            <w:tcW w:w="3345" w:type="dxa"/>
            <w:vMerge/>
          </w:tcPr>
          <w:p w14:paraId="64F89F61" w14:textId="77777777" w:rsidR="00454A29" w:rsidRDefault="00454A29"/>
        </w:tc>
        <w:tc>
          <w:tcPr>
            <w:tcW w:w="1701" w:type="dxa"/>
            <w:vAlign w:val="center"/>
          </w:tcPr>
          <w:p w14:paraId="31074792" w14:textId="77777777" w:rsidR="00454A29" w:rsidRDefault="00454A29">
            <w:pPr>
              <w:pStyle w:val="ConsPlusNormal"/>
              <w:jc w:val="center"/>
            </w:pPr>
            <w:r>
              <w:t>2020</w:t>
            </w:r>
          </w:p>
        </w:tc>
        <w:tc>
          <w:tcPr>
            <w:tcW w:w="1417" w:type="dxa"/>
            <w:vMerge/>
          </w:tcPr>
          <w:p w14:paraId="7F518520" w14:textId="77777777" w:rsidR="00454A29" w:rsidRDefault="00454A29"/>
        </w:tc>
        <w:tc>
          <w:tcPr>
            <w:tcW w:w="2204" w:type="dxa"/>
            <w:vMerge/>
          </w:tcPr>
          <w:p w14:paraId="756D1BB3" w14:textId="77777777" w:rsidR="00454A29" w:rsidRDefault="00454A29"/>
        </w:tc>
        <w:tc>
          <w:tcPr>
            <w:tcW w:w="1417" w:type="dxa"/>
            <w:vMerge/>
          </w:tcPr>
          <w:p w14:paraId="75CCA4A0" w14:textId="77777777" w:rsidR="00454A29" w:rsidRDefault="00454A29"/>
        </w:tc>
        <w:tc>
          <w:tcPr>
            <w:tcW w:w="2324" w:type="dxa"/>
            <w:vMerge/>
          </w:tcPr>
          <w:p w14:paraId="46D47F0B" w14:textId="77777777" w:rsidR="00454A29" w:rsidRDefault="00454A29"/>
        </w:tc>
        <w:tc>
          <w:tcPr>
            <w:tcW w:w="1701" w:type="dxa"/>
            <w:vAlign w:val="center"/>
          </w:tcPr>
          <w:p w14:paraId="611A98A5" w14:textId="77777777" w:rsidR="00454A29" w:rsidRDefault="00454A29">
            <w:pPr>
              <w:pStyle w:val="ConsPlusNormal"/>
              <w:jc w:val="center"/>
            </w:pPr>
            <w:r>
              <w:t>-</w:t>
            </w:r>
          </w:p>
        </w:tc>
        <w:tc>
          <w:tcPr>
            <w:tcW w:w="1814" w:type="dxa"/>
            <w:vAlign w:val="center"/>
          </w:tcPr>
          <w:p w14:paraId="545ECF00" w14:textId="77777777" w:rsidR="00454A29" w:rsidRDefault="00454A29">
            <w:pPr>
              <w:pStyle w:val="ConsPlusNormal"/>
            </w:pPr>
          </w:p>
        </w:tc>
        <w:tc>
          <w:tcPr>
            <w:tcW w:w="1701" w:type="dxa"/>
            <w:vAlign w:val="center"/>
          </w:tcPr>
          <w:p w14:paraId="543823C4" w14:textId="77777777" w:rsidR="00454A29" w:rsidRDefault="00454A29">
            <w:pPr>
              <w:pStyle w:val="ConsPlusNormal"/>
            </w:pPr>
          </w:p>
        </w:tc>
        <w:tc>
          <w:tcPr>
            <w:tcW w:w="1701" w:type="dxa"/>
            <w:vAlign w:val="center"/>
          </w:tcPr>
          <w:p w14:paraId="08C0FE35" w14:textId="77777777" w:rsidR="00454A29" w:rsidRDefault="00454A29">
            <w:pPr>
              <w:pStyle w:val="ConsPlusNormal"/>
            </w:pPr>
          </w:p>
        </w:tc>
        <w:tc>
          <w:tcPr>
            <w:tcW w:w="1814" w:type="dxa"/>
            <w:vAlign w:val="center"/>
          </w:tcPr>
          <w:p w14:paraId="6EE4EF39" w14:textId="77777777" w:rsidR="00454A29" w:rsidRDefault="00454A29">
            <w:pPr>
              <w:pStyle w:val="ConsPlusNormal"/>
            </w:pPr>
          </w:p>
        </w:tc>
      </w:tr>
      <w:tr w:rsidR="00454A29" w14:paraId="68F62118" w14:textId="77777777">
        <w:tc>
          <w:tcPr>
            <w:tcW w:w="567" w:type="dxa"/>
            <w:vMerge/>
          </w:tcPr>
          <w:p w14:paraId="09E2BA4B" w14:textId="77777777" w:rsidR="00454A29" w:rsidRDefault="00454A29"/>
        </w:tc>
        <w:tc>
          <w:tcPr>
            <w:tcW w:w="3345" w:type="dxa"/>
            <w:vMerge/>
          </w:tcPr>
          <w:p w14:paraId="5A117529" w14:textId="77777777" w:rsidR="00454A29" w:rsidRDefault="00454A29"/>
        </w:tc>
        <w:tc>
          <w:tcPr>
            <w:tcW w:w="1701" w:type="dxa"/>
            <w:vAlign w:val="center"/>
          </w:tcPr>
          <w:p w14:paraId="6AC87C49" w14:textId="77777777" w:rsidR="00454A29" w:rsidRDefault="00454A29">
            <w:pPr>
              <w:pStyle w:val="ConsPlusNormal"/>
              <w:jc w:val="center"/>
            </w:pPr>
            <w:r>
              <w:t>2021</w:t>
            </w:r>
          </w:p>
        </w:tc>
        <w:tc>
          <w:tcPr>
            <w:tcW w:w="1417" w:type="dxa"/>
            <w:vMerge/>
          </w:tcPr>
          <w:p w14:paraId="2854E6EB" w14:textId="77777777" w:rsidR="00454A29" w:rsidRDefault="00454A29"/>
        </w:tc>
        <w:tc>
          <w:tcPr>
            <w:tcW w:w="2204" w:type="dxa"/>
            <w:vMerge/>
          </w:tcPr>
          <w:p w14:paraId="5C2B9C83" w14:textId="77777777" w:rsidR="00454A29" w:rsidRDefault="00454A29"/>
        </w:tc>
        <w:tc>
          <w:tcPr>
            <w:tcW w:w="1417" w:type="dxa"/>
            <w:vMerge/>
          </w:tcPr>
          <w:p w14:paraId="102030F3" w14:textId="77777777" w:rsidR="00454A29" w:rsidRDefault="00454A29"/>
        </w:tc>
        <w:tc>
          <w:tcPr>
            <w:tcW w:w="2324" w:type="dxa"/>
            <w:vMerge/>
          </w:tcPr>
          <w:p w14:paraId="3E028835" w14:textId="77777777" w:rsidR="00454A29" w:rsidRDefault="00454A29"/>
        </w:tc>
        <w:tc>
          <w:tcPr>
            <w:tcW w:w="1701" w:type="dxa"/>
            <w:vAlign w:val="center"/>
          </w:tcPr>
          <w:p w14:paraId="0230405C" w14:textId="77777777" w:rsidR="00454A29" w:rsidRDefault="00454A29">
            <w:pPr>
              <w:pStyle w:val="ConsPlusNormal"/>
              <w:jc w:val="center"/>
            </w:pPr>
            <w:r>
              <w:t>-</w:t>
            </w:r>
          </w:p>
        </w:tc>
        <w:tc>
          <w:tcPr>
            <w:tcW w:w="1814" w:type="dxa"/>
            <w:vAlign w:val="center"/>
          </w:tcPr>
          <w:p w14:paraId="1021BA81" w14:textId="77777777" w:rsidR="00454A29" w:rsidRDefault="00454A29">
            <w:pPr>
              <w:pStyle w:val="ConsPlusNormal"/>
            </w:pPr>
          </w:p>
        </w:tc>
        <w:tc>
          <w:tcPr>
            <w:tcW w:w="1701" w:type="dxa"/>
            <w:vAlign w:val="center"/>
          </w:tcPr>
          <w:p w14:paraId="78FC995D" w14:textId="77777777" w:rsidR="00454A29" w:rsidRDefault="00454A29">
            <w:pPr>
              <w:pStyle w:val="ConsPlusNormal"/>
            </w:pPr>
          </w:p>
        </w:tc>
        <w:tc>
          <w:tcPr>
            <w:tcW w:w="1701" w:type="dxa"/>
            <w:vAlign w:val="center"/>
          </w:tcPr>
          <w:p w14:paraId="0D9485F7" w14:textId="77777777" w:rsidR="00454A29" w:rsidRDefault="00454A29">
            <w:pPr>
              <w:pStyle w:val="ConsPlusNormal"/>
            </w:pPr>
          </w:p>
        </w:tc>
        <w:tc>
          <w:tcPr>
            <w:tcW w:w="1814" w:type="dxa"/>
            <w:vAlign w:val="center"/>
          </w:tcPr>
          <w:p w14:paraId="15E40DE7" w14:textId="77777777" w:rsidR="00454A29" w:rsidRDefault="00454A29">
            <w:pPr>
              <w:pStyle w:val="ConsPlusNormal"/>
            </w:pPr>
          </w:p>
        </w:tc>
      </w:tr>
      <w:tr w:rsidR="00454A29" w14:paraId="6C5239D2" w14:textId="77777777">
        <w:tc>
          <w:tcPr>
            <w:tcW w:w="567" w:type="dxa"/>
            <w:vMerge/>
          </w:tcPr>
          <w:p w14:paraId="45608F2D" w14:textId="77777777" w:rsidR="00454A29" w:rsidRDefault="00454A29"/>
        </w:tc>
        <w:tc>
          <w:tcPr>
            <w:tcW w:w="3345" w:type="dxa"/>
            <w:vMerge/>
          </w:tcPr>
          <w:p w14:paraId="24619C0C" w14:textId="77777777" w:rsidR="00454A29" w:rsidRDefault="00454A29"/>
        </w:tc>
        <w:tc>
          <w:tcPr>
            <w:tcW w:w="1701" w:type="dxa"/>
            <w:vAlign w:val="center"/>
          </w:tcPr>
          <w:p w14:paraId="4FAC4503" w14:textId="77777777" w:rsidR="00454A29" w:rsidRDefault="00454A29">
            <w:pPr>
              <w:pStyle w:val="ConsPlusNormal"/>
              <w:jc w:val="center"/>
            </w:pPr>
            <w:r>
              <w:t>2022</w:t>
            </w:r>
          </w:p>
        </w:tc>
        <w:tc>
          <w:tcPr>
            <w:tcW w:w="1417" w:type="dxa"/>
            <w:vMerge/>
          </w:tcPr>
          <w:p w14:paraId="1EE056F6" w14:textId="77777777" w:rsidR="00454A29" w:rsidRDefault="00454A29"/>
        </w:tc>
        <w:tc>
          <w:tcPr>
            <w:tcW w:w="2204" w:type="dxa"/>
            <w:vMerge/>
          </w:tcPr>
          <w:p w14:paraId="1F74F12A" w14:textId="77777777" w:rsidR="00454A29" w:rsidRDefault="00454A29"/>
        </w:tc>
        <w:tc>
          <w:tcPr>
            <w:tcW w:w="1417" w:type="dxa"/>
            <w:vMerge/>
          </w:tcPr>
          <w:p w14:paraId="64548AE8" w14:textId="77777777" w:rsidR="00454A29" w:rsidRDefault="00454A29"/>
        </w:tc>
        <w:tc>
          <w:tcPr>
            <w:tcW w:w="2324" w:type="dxa"/>
            <w:vMerge/>
          </w:tcPr>
          <w:p w14:paraId="1A61DE65" w14:textId="77777777" w:rsidR="00454A29" w:rsidRDefault="00454A29"/>
        </w:tc>
        <w:tc>
          <w:tcPr>
            <w:tcW w:w="1701" w:type="dxa"/>
            <w:vAlign w:val="center"/>
          </w:tcPr>
          <w:p w14:paraId="379D82B0" w14:textId="77777777" w:rsidR="00454A29" w:rsidRDefault="00454A29">
            <w:pPr>
              <w:pStyle w:val="ConsPlusNormal"/>
              <w:jc w:val="center"/>
            </w:pPr>
            <w:r>
              <w:t>-</w:t>
            </w:r>
          </w:p>
        </w:tc>
        <w:tc>
          <w:tcPr>
            <w:tcW w:w="1814" w:type="dxa"/>
            <w:vAlign w:val="center"/>
          </w:tcPr>
          <w:p w14:paraId="30AB640B" w14:textId="77777777" w:rsidR="00454A29" w:rsidRDefault="00454A29">
            <w:pPr>
              <w:pStyle w:val="ConsPlusNormal"/>
            </w:pPr>
          </w:p>
        </w:tc>
        <w:tc>
          <w:tcPr>
            <w:tcW w:w="1701" w:type="dxa"/>
            <w:vAlign w:val="center"/>
          </w:tcPr>
          <w:p w14:paraId="3A29C620" w14:textId="77777777" w:rsidR="00454A29" w:rsidRDefault="00454A29">
            <w:pPr>
              <w:pStyle w:val="ConsPlusNormal"/>
            </w:pPr>
          </w:p>
        </w:tc>
        <w:tc>
          <w:tcPr>
            <w:tcW w:w="1701" w:type="dxa"/>
            <w:vAlign w:val="center"/>
          </w:tcPr>
          <w:p w14:paraId="6FA28214" w14:textId="77777777" w:rsidR="00454A29" w:rsidRDefault="00454A29">
            <w:pPr>
              <w:pStyle w:val="ConsPlusNormal"/>
            </w:pPr>
          </w:p>
        </w:tc>
        <w:tc>
          <w:tcPr>
            <w:tcW w:w="1814" w:type="dxa"/>
            <w:vAlign w:val="center"/>
          </w:tcPr>
          <w:p w14:paraId="48652BE8" w14:textId="77777777" w:rsidR="00454A29" w:rsidRDefault="00454A29">
            <w:pPr>
              <w:pStyle w:val="ConsPlusNormal"/>
            </w:pPr>
          </w:p>
        </w:tc>
      </w:tr>
      <w:tr w:rsidR="00454A29" w14:paraId="423D8516" w14:textId="77777777">
        <w:tc>
          <w:tcPr>
            <w:tcW w:w="567" w:type="dxa"/>
            <w:vMerge/>
          </w:tcPr>
          <w:p w14:paraId="298125A0" w14:textId="77777777" w:rsidR="00454A29" w:rsidRDefault="00454A29"/>
        </w:tc>
        <w:tc>
          <w:tcPr>
            <w:tcW w:w="3345" w:type="dxa"/>
            <w:vMerge/>
          </w:tcPr>
          <w:p w14:paraId="5A8D3A2C" w14:textId="77777777" w:rsidR="00454A29" w:rsidRDefault="00454A29"/>
        </w:tc>
        <w:tc>
          <w:tcPr>
            <w:tcW w:w="1701" w:type="dxa"/>
            <w:vAlign w:val="center"/>
          </w:tcPr>
          <w:p w14:paraId="76FD9C06" w14:textId="77777777" w:rsidR="00454A29" w:rsidRDefault="00454A29">
            <w:pPr>
              <w:pStyle w:val="ConsPlusNormal"/>
              <w:jc w:val="center"/>
            </w:pPr>
            <w:r>
              <w:t>2023</w:t>
            </w:r>
          </w:p>
        </w:tc>
        <w:tc>
          <w:tcPr>
            <w:tcW w:w="1417" w:type="dxa"/>
            <w:vMerge/>
          </w:tcPr>
          <w:p w14:paraId="7A577D8C" w14:textId="77777777" w:rsidR="00454A29" w:rsidRDefault="00454A29"/>
        </w:tc>
        <w:tc>
          <w:tcPr>
            <w:tcW w:w="2204" w:type="dxa"/>
            <w:vMerge/>
          </w:tcPr>
          <w:p w14:paraId="09786F4E" w14:textId="77777777" w:rsidR="00454A29" w:rsidRDefault="00454A29"/>
        </w:tc>
        <w:tc>
          <w:tcPr>
            <w:tcW w:w="1417" w:type="dxa"/>
            <w:vMerge/>
          </w:tcPr>
          <w:p w14:paraId="6C52B828" w14:textId="77777777" w:rsidR="00454A29" w:rsidRDefault="00454A29"/>
        </w:tc>
        <w:tc>
          <w:tcPr>
            <w:tcW w:w="2324" w:type="dxa"/>
            <w:vMerge/>
          </w:tcPr>
          <w:p w14:paraId="3C6FD8E8" w14:textId="77777777" w:rsidR="00454A29" w:rsidRDefault="00454A29"/>
        </w:tc>
        <w:tc>
          <w:tcPr>
            <w:tcW w:w="1701" w:type="dxa"/>
            <w:vAlign w:val="center"/>
          </w:tcPr>
          <w:p w14:paraId="29E11838" w14:textId="77777777" w:rsidR="00454A29" w:rsidRDefault="00454A29">
            <w:pPr>
              <w:pStyle w:val="ConsPlusNormal"/>
              <w:jc w:val="center"/>
            </w:pPr>
            <w:r>
              <w:t>-</w:t>
            </w:r>
          </w:p>
        </w:tc>
        <w:tc>
          <w:tcPr>
            <w:tcW w:w="1814" w:type="dxa"/>
            <w:vAlign w:val="center"/>
          </w:tcPr>
          <w:p w14:paraId="3B6AF150" w14:textId="77777777" w:rsidR="00454A29" w:rsidRDefault="00454A29">
            <w:pPr>
              <w:pStyle w:val="ConsPlusNormal"/>
            </w:pPr>
          </w:p>
        </w:tc>
        <w:tc>
          <w:tcPr>
            <w:tcW w:w="1701" w:type="dxa"/>
            <w:vAlign w:val="center"/>
          </w:tcPr>
          <w:p w14:paraId="10B86328" w14:textId="77777777" w:rsidR="00454A29" w:rsidRDefault="00454A29">
            <w:pPr>
              <w:pStyle w:val="ConsPlusNormal"/>
            </w:pPr>
          </w:p>
        </w:tc>
        <w:tc>
          <w:tcPr>
            <w:tcW w:w="1701" w:type="dxa"/>
            <w:vAlign w:val="center"/>
          </w:tcPr>
          <w:p w14:paraId="0CC0A7E3" w14:textId="77777777" w:rsidR="00454A29" w:rsidRDefault="00454A29">
            <w:pPr>
              <w:pStyle w:val="ConsPlusNormal"/>
            </w:pPr>
          </w:p>
        </w:tc>
        <w:tc>
          <w:tcPr>
            <w:tcW w:w="1814" w:type="dxa"/>
            <w:vAlign w:val="center"/>
          </w:tcPr>
          <w:p w14:paraId="55F56556" w14:textId="77777777" w:rsidR="00454A29" w:rsidRDefault="00454A29">
            <w:pPr>
              <w:pStyle w:val="ConsPlusNormal"/>
            </w:pPr>
          </w:p>
        </w:tc>
      </w:tr>
      <w:tr w:rsidR="00454A29" w14:paraId="58C0B881" w14:textId="77777777">
        <w:tc>
          <w:tcPr>
            <w:tcW w:w="567" w:type="dxa"/>
            <w:vMerge/>
          </w:tcPr>
          <w:p w14:paraId="4D276599" w14:textId="77777777" w:rsidR="00454A29" w:rsidRDefault="00454A29"/>
        </w:tc>
        <w:tc>
          <w:tcPr>
            <w:tcW w:w="3345" w:type="dxa"/>
            <w:vMerge/>
          </w:tcPr>
          <w:p w14:paraId="7B7178CB" w14:textId="77777777" w:rsidR="00454A29" w:rsidRDefault="00454A29"/>
        </w:tc>
        <w:tc>
          <w:tcPr>
            <w:tcW w:w="1701" w:type="dxa"/>
            <w:vAlign w:val="center"/>
          </w:tcPr>
          <w:p w14:paraId="4B33F842" w14:textId="77777777" w:rsidR="00454A29" w:rsidRDefault="00454A29">
            <w:pPr>
              <w:pStyle w:val="ConsPlusNormal"/>
              <w:jc w:val="center"/>
            </w:pPr>
            <w:r>
              <w:t>2024</w:t>
            </w:r>
          </w:p>
        </w:tc>
        <w:tc>
          <w:tcPr>
            <w:tcW w:w="1417" w:type="dxa"/>
            <w:vMerge/>
          </w:tcPr>
          <w:p w14:paraId="23C7E733" w14:textId="77777777" w:rsidR="00454A29" w:rsidRDefault="00454A29"/>
        </w:tc>
        <w:tc>
          <w:tcPr>
            <w:tcW w:w="2204" w:type="dxa"/>
            <w:vMerge/>
          </w:tcPr>
          <w:p w14:paraId="46FD6698" w14:textId="77777777" w:rsidR="00454A29" w:rsidRDefault="00454A29"/>
        </w:tc>
        <w:tc>
          <w:tcPr>
            <w:tcW w:w="1417" w:type="dxa"/>
            <w:vMerge/>
          </w:tcPr>
          <w:p w14:paraId="0255B19C" w14:textId="77777777" w:rsidR="00454A29" w:rsidRDefault="00454A29"/>
        </w:tc>
        <w:tc>
          <w:tcPr>
            <w:tcW w:w="2324" w:type="dxa"/>
            <w:vMerge/>
          </w:tcPr>
          <w:p w14:paraId="2C8B5FBA" w14:textId="77777777" w:rsidR="00454A29" w:rsidRDefault="00454A29"/>
        </w:tc>
        <w:tc>
          <w:tcPr>
            <w:tcW w:w="1701" w:type="dxa"/>
            <w:vAlign w:val="center"/>
          </w:tcPr>
          <w:p w14:paraId="79E422EF" w14:textId="77777777" w:rsidR="00454A29" w:rsidRDefault="00454A29">
            <w:pPr>
              <w:pStyle w:val="ConsPlusNormal"/>
              <w:jc w:val="center"/>
            </w:pPr>
            <w:r>
              <w:t>56 723,83</w:t>
            </w:r>
          </w:p>
        </w:tc>
        <w:tc>
          <w:tcPr>
            <w:tcW w:w="1814" w:type="dxa"/>
            <w:vAlign w:val="center"/>
          </w:tcPr>
          <w:p w14:paraId="401D1CCA" w14:textId="77777777" w:rsidR="00454A29" w:rsidRDefault="00454A29">
            <w:pPr>
              <w:pStyle w:val="ConsPlusNormal"/>
              <w:jc w:val="center"/>
            </w:pPr>
            <w:r>
              <w:t>56 723,83</w:t>
            </w:r>
          </w:p>
        </w:tc>
        <w:tc>
          <w:tcPr>
            <w:tcW w:w="1701" w:type="dxa"/>
            <w:vAlign w:val="center"/>
          </w:tcPr>
          <w:p w14:paraId="37E655DD" w14:textId="77777777" w:rsidR="00454A29" w:rsidRDefault="00454A29">
            <w:pPr>
              <w:pStyle w:val="ConsPlusNormal"/>
            </w:pPr>
          </w:p>
        </w:tc>
        <w:tc>
          <w:tcPr>
            <w:tcW w:w="1701" w:type="dxa"/>
            <w:vAlign w:val="center"/>
          </w:tcPr>
          <w:p w14:paraId="1A78C904" w14:textId="77777777" w:rsidR="00454A29" w:rsidRDefault="00454A29">
            <w:pPr>
              <w:pStyle w:val="ConsPlusNormal"/>
            </w:pPr>
          </w:p>
        </w:tc>
        <w:tc>
          <w:tcPr>
            <w:tcW w:w="1814" w:type="dxa"/>
            <w:vAlign w:val="center"/>
          </w:tcPr>
          <w:p w14:paraId="26C46E1B" w14:textId="77777777" w:rsidR="00454A29" w:rsidRDefault="00454A29">
            <w:pPr>
              <w:pStyle w:val="ConsPlusNormal"/>
            </w:pPr>
          </w:p>
        </w:tc>
      </w:tr>
      <w:tr w:rsidR="00454A29" w14:paraId="28D8A016" w14:textId="77777777">
        <w:tc>
          <w:tcPr>
            <w:tcW w:w="567" w:type="dxa"/>
            <w:vMerge/>
          </w:tcPr>
          <w:p w14:paraId="74731DA1" w14:textId="77777777" w:rsidR="00454A29" w:rsidRDefault="00454A29"/>
        </w:tc>
        <w:tc>
          <w:tcPr>
            <w:tcW w:w="3345" w:type="dxa"/>
            <w:vMerge/>
          </w:tcPr>
          <w:p w14:paraId="7F44917C" w14:textId="77777777" w:rsidR="00454A29" w:rsidRDefault="00454A29"/>
        </w:tc>
        <w:tc>
          <w:tcPr>
            <w:tcW w:w="1701" w:type="dxa"/>
            <w:vAlign w:val="center"/>
          </w:tcPr>
          <w:p w14:paraId="048E46C0" w14:textId="77777777" w:rsidR="00454A29" w:rsidRDefault="00454A29">
            <w:pPr>
              <w:pStyle w:val="ConsPlusNormal"/>
              <w:jc w:val="center"/>
            </w:pPr>
            <w:r>
              <w:t>2025</w:t>
            </w:r>
          </w:p>
        </w:tc>
        <w:tc>
          <w:tcPr>
            <w:tcW w:w="1417" w:type="dxa"/>
            <w:vMerge/>
          </w:tcPr>
          <w:p w14:paraId="613CDB3C" w14:textId="77777777" w:rsidR="00454A29" w:rsidRDefault="00454A29"/>
        </w:tc>
        <w:tc>
          <w:tcPr>
            <w:tcW w:w="2204" w:type="dxa"/>
            <w:vMerge/>
          </w:tcPr>
          <w:p w14:paraId="76B3826E" w14:textId="77777777" w:rsidR="00454A29" w:rsidRDefault="00454A29"/>
        </w:tc>
        <w:tc>
          <w:tcPr>
            <w:tcW w:w="1417" w:type="dxa"/>
            <w:vMerge/>
          </w:tcPr>
          <w:p w14:paraId="5F9FBCE8" w14:textId="77777777" w:rsidR="00454A29" w:rsidRDefault="00454A29"/>
        </w:tc>
        <w:tc>
          <w:tcPr>
            <w:tcW w:w="2324" w:type="dxa"/>
            <w:vMerge/>
          </w:tcPr>
          <w:p w14:paraId="0E1EEF5E" w14:textId="77777777" w:rsidR="00454A29" w:rsidRDefault="00454A29"/>
        </w:tc>
        <w:tc>
          <w:tcPr>
            <w:tcW w:w="1701" w:type="dxa"/>
            <w:vAlign w:val="center"/>
          </w:tcPr>
          <w:p w14:paraId="53D1AFE1" w14:textId="77777777" w:rsidR="00454A29" w:rsidRDefault="00454A29">
            <w:pPr>
              <w:pStyle w:val="ConsPlusNormal"/>
              <w:jc w:val="center"/>
            </w:pPr>
            <w:r>
              <w:t>-</w:t>
            </w:r>
          </w:p>
        </w:tc>
        <w:tc>
          <w:tcPr>
            <w:tcW w:w="1814" w:type="dxa"/>
            <w:vAlign w:val="center"/>
          </w:tcPr>
          <w:p w14:paraId="2E553690" w14:textId="77777777" w:rsidR="00454A29" w:rsidRDefault="00454A29">
            <w:pPr>
              <w:pStyle w:val="ConsPlusNormal"/>
            </w:pPr>
          </w:p>
        </w:tc>
        <w:tc>
          <w:tcPr>
            <w:tcW w:w="1701" w:type="dxa"/>
            <w:vAlign w:val="center"/>
          </w:tcPr>
          <w:p w14:paraId="161AF467" w14:textId="77777777" w:rsidR="00454A29" w:rsidRDefault="00454A29">
            <w:pPr>
              <w:pStyle w:val="ConsPlusNormal"/>
            </w:pPr>
          </w:p>
        </w:tc>
        <w:tc>
          <w:tcPr>
            <w:tcW w:w="1701" w:type="dxa"/>
            <w:vAlign w:val="center"/>
          </w:tcPr>
          <w:p w14:paraId="231ECED7" w14:textId="77777777" w:rsidR="00454A29" w:rsidRDefault="00454A29">
            <w:pPr>
              <w:pStyle w:val="ConsPlusNormal"/>
            </w:pPr>
          </w:p>
        </w:tc>
        <w:tc>
          <w:tcPr>
            <w:tcW w:w="1814" w:type="dxa"/>
            <w:vAlign w:val="center"/>
          </w:tcPr>
          <w:p w14:paraId="6FF1C327" w14:textId="77777777" w:rsidR="00454A29" w:rsidRDefault="00454A29">
            <w:pPr>
              <w:pStyle w:val="ConsPlusNormal"/>
            </w:pPr>
          </w:p>
        </w:tc>
      </w:tr>
      <w:tr w:rsidR="00454A29" w14:paraId="23C4D8EB" w14:textId="77777777">
        <w:tc>
          <w:tcPr>
            <w:tcW w:w="567" w:type="dxa"/>
            <w:vMerge/>
          </w:tcPr>
          <w:p w14:paraId="19823BA5" w14:textId="77777777" w:rsidR="00454A29" w:rsidRDefault="00454A29"/>
        </w:tc>
        <w:tc>
          <w:tcPr>
            <w:tcW w:w="3345" w:type="dxa"/>
            <w:vMerge/>
          </w:tcPr>
          <w:p w14:paraId="3436DFA4" w14:textId="77777777" w:rsidR="00454A29" w:rsidRDefault="00454A29"/>
        </w:tc>
        <w:tc>
          <w:tcPr>
            <w:tcW w:w="1701" w:type="dxa"/>
            <w:vAlign w:val="center"/>
          </w:tcPr>
          <w:p w14:paraId="382E60FC" w14:textId="77777777" w:rsidR="00454A29" w:rsidRDefault="00454A29">
            <w:pPr>
              <w:pStyle w:val="ConsPlusNormal"/>
              <w:jc w:val="center"/>
            </w:pPr>
            <w:r>
              <w:t>2026</w:t>
            </w:r>
          </w:p>
        </w:tc>
        <w:tc>
          <w:tcPr>
            <w:tcW w:w="1417" w:type="dxa"/>
            <w:vMerge/>
          </w:tcPr>
          <w:p w14:paraId="664B652F" w14:textId="77777777" w:rsidR="00454A29" w:rsidRDefault="00454A29"/>
        </w:tc>
        <w:tc>
          <w:tcPr>
            <w:tcW w:w="2204" w:type="dxa"/>
            <w:vMerge/>
          </w:tcPr>
          <w:p w14:paraId="75759A68" w14:textId="77777777" w:rsidR="00454A29" w:rsidRDefault="00454A29"/>
        </w:tc>
        <w:tc>
          <w:tcPr>
            <w:tcW w:w="1417" w:type="dxa"/>
            <w:vMerge/>
          </w:tcPr>
          <w:p w14:paraId="3BB17BEC" w14:textId="77777777" w:rsidR="00454A29" w:rsidRDefault="00454A29"/>
        </w:tc>
        <w:tc>
          <w:tcPr>
            <w:tcW w:w="2324" w:type="dxa"/>
            <w:vMerge/>
          </w:tcPr>
          <w:p w14:paraId="22EBD531" w14:textId="77777777" w:rsidR="00454A29" w:rsidRDefault="00454A29"/>
        </w:tc>
        <w:tc>
          <w:tcPr>
            <w:tcW w:w="1701" w:type="dxa"/>
            <w:vAlign w:val="center"/>
          </w:tcPr>
          <w:p w14:paraId="4C5E8514" w14:textId="77777777" w:rsidR="00454A29" w:rsidRDefault="00454A29">
            <w:pPr>
              <w:pStyle w:val="ConsPlusNormal"/>
              <w:jc w:val="center"/>
            </w:pPr>
            <w:r>
              <w:t>-</w:t>
            </w:r>
          </w:p>
        </w:tc>
        <w:tc>
          <w:tcPr>
            <w:tcW w:w="1814" w:type="dxa"/>
            <w:vAlign w:val="center"/>
          </w:tcPr>
          <w:p w14:paraId="612426A8" w14:textId="77777777" w:rsidR="00454A29" w:rsidRDefault="00454A29">
            <w:pPr>
              <w:pStyle w:val="ConsPlusNormal"/>
            </w:pPr>
          </w:p>
        </w:tc>
        <w:tc>
          <w:tcPr>
            <w:tcW w:w="1701" w:type="dxa"/>
            <w:vAlign w:val="center"/>
          </w:tcPr>
          <w:p w14:paraId="42EBE56E" w14:textId="77777777" w:rsidR="00454A29" w:rsidRDefault="00454A29">
            <w:pPr>
              <w:pStyle w:val="ConsPlusNormal"/>
            </w:pPr>
          </w:p>
        </w:tc>
        <w:tc>
          <w:tcPr>
            <w:tcW w:w="1701" w:type="dxa"/>
            <w:vAlign w:val="center"/>
          </w:tcPr>
          <w:p w14:paraId="6ECD841A" w14:textId="77777777" w:rsidR="00454A29" w:rsidRDefault="00454A29">
            <w:pPr>
              <w:pStyle w:val="ConsPlusNormal"/>
            </w:pPr>
          </w:p>
        </w:tc>
        <w:tc>
          <w:tcPr>
            <w:tcW w:w="1814" w:type="dxa"/>
            <w:vAlign w:val="center"/>
          </w:tcPr>
          <w:p w14:paraId="5D51BCCC" w14:textId="77777777" w:rsidR="00454A29" w:rsidRDefault="00454A29">
            <w:pPr>
              <w:pStyle w:val="ConsPlusNormal"/>
            </w:pPr>
          </w:p>
        </w:tc>
      </w:tr>
      <w:tr w:rsidR="00454A29" w14:paraId="59B074AB" w14:textId="77777777">
        <w:tc>
          <w:tcPr>
            <w:tcW w:w="567" w:type="dxa"/>
            <w:vMerge w:val="restart"/>
            <w:vAlign w:val="center"/>
          </w:tcPr>
          <w:p w14:paraId="51C27E0C" w14:textId="77777777" w:rsidR="00454A29" w:rsidRDefault="00454A29">
            <w:pPr>
              <w:pStyle w:val="ConsPlusNormal"/>
              <w:jc w:val="center"/>
            </w:pPr>
            <w:r>
              <w:t>8</w:t>
            </w:r>
          </w:p>
        </w:tc>
        <w:tc>
          <w:tcPr>
            <w:tcW w:w="3345" w:type="dxa"/>
            <w:vMerge w:val="restart"/>
            <w:vAlign w:val="center"/>
          </w:tcPr>
          <w:p w14:paraId="2D6A618F" w14:textId="77777777" w:rsidR="00454A29" w:rsidRDefault="00454A29">
            <w:pPr>
              <w:pStyle w:val="ConsPlusNormal"/>
              <w:jc w:val="center"/>
            </w:pPr>
            <w:r>
              <w:t>Детский сад на 90 мест в п. Белая Гора Абыйского улуса</w:t>
            </w:r>
          </w:p>
        </w:tc>
        <w:tc>
          <w:tcPr>
            <w:tcW w:w="1701" w:type="dxa"/>
            <w:vAlign w:val="center"/>
          </w:tcPr>
          <w:p w14:paraId="652D8490" w14:textId="77777777" w:rsidR="00454A29" w:rsidRDefault="00454A29">
            <w:pPr>
              <w:pStyle w:val="ConsPlusNormal"/>
              <w:jc w:val="center"/>
            </w:pPr>
            <w:r>
              <w:t>2020 - 2026 годы - всего</w:t>
            </w:r>
          </w:p>
        </w:tc>
        <w:tc>
          <w:tcPr>
            <w:tcW w:w="1417" w:type="dxa"/>
            <w:vMerge w:val="restart"/>
            <w:vAlign w:val="center"/>
          </w:tcPr>
          <w:p w14:paraId="1E436B72" w14:textId="77777777" w:rsidR="00454A29" w:rsidRDefault="00454A29">
            <w:pPr>
              <w:pStyle w:val="ConsPlusNormal"/>
              <w:jc w:val="center"/>
            </w:pPr>
            <w:r>
              <w:t>101 152,73</w:t>
            </w:r>
          </w:p>
        </w:tc>
        <w:tc>
          <w:tcPr>
            <w:tcW w:w="2204" w:type="dxa"/>
            <w:vMerge w:val="restart"/>
            <w:vAlign w:val="center"/>
          </w:tcPr>
          <w:p w14:paraId="1B7DB3CE" w14:textId="77777777" w:rsidR="00454A29" w:rsidRDefault="00454A29">
            <w:pPr>
              <w:pStyle w:val="ConsPlusNormal"/>
            </w:pPr>
          </w:p>
        </w:tc>
        <w:tc>
          <w:tcPr>
            <w:tcW w:w="1417" w:type="dxa"/>
            <w:vMerge w:val="restart"/>
            <w:vAlign w:val="center"/>
          </w:tcPr>
          <w:p w14:paraId="4067B2F0" w14:textId="77777777" w:rsidR="00454A29" w:rsidRDefault="00454A29">
            <w:pPr>
              <w:pStyle w:val="ConsPlusNormal"/>
              <w:jc w:val="center"/>
            </w:pPr>
            <w:r>
              <w:t>90</w:t>
            </w:r>
          </w:p>
        </w:tc>
        <w:tc>
          <w:tcPr>
            <w:tcW w:w="2324" w:type="dxa"/>
            <w:vMerge w:val="restart"/>
            <w:vAlign w:val="center"/>
          </w:tcPr>
          <w:p w14:paraId="6548778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81D734B" w14:textId="77777777" w:rsidR="00454A29" w:rsidRDefault="00454A29">
            <w:pPr>
              <w:pStyle w:val="ConsPlusNormal"/>
              <w:jc w:val="center"/>
            </w:pPr>
            <w:r>
              <w:t>101 152,73</w:t>
            </w:r>
          </w:p>
        </w:tc>
        <w:tc>
          <w:tcPr>
            <w:tcW w:w="1814" w:type="dxa"/>
            <w:vAlign w:val="center"/>
          </w:tcPr>
          <w:p w14:paraId="0CDCDF83" w14:textId="77777777" w:rsidR="00454A29" w:rsidRDefault="00454A29">
            <w:pPr>
              <w:pStyle w:val="ConsPlusNormal"/>
              <w:jc w:val="center"/>
            </w:pPr>
            <w:r>
              <w:t>101 152,73</w:t>
            </w:r>
          </w:p>
        </w:tc>
        <w:tc>
          <w:tcPr>
            <w:tcW w:w="1701" w:type="dxa"/>
            <w:vAlign w:val="center"/>
          </w:tcPr>
          <w:p w14:paraId="10776136" w14:textId="77777777" w:rsidR="00454A29" w:rsidRDefault="00454A29">
            <w:pPr>
              <w:pStyle w:val="ConsPlusNormal"/>
              <w:jc w:val="center"/>
            </w:pPr>
            <w:r>
              <w:t>-</w:t>
            </w:r>
          </w:p>
        </w:tc>
        <w:tc>
          <w:tcPr>
            <w:tcW w:w="1701" w:type="dxa"/>
            <w:vAlign w:val="center"/>
          </w:tcPr>
          <w:p w14:paraId="4ED90612" w14:textId="77777777" w:rsidR="00454A29" w:rsidRDefault="00454A29">
            <w:pPr>
              <w:pStyle w:val="ConsPlusNormal"/>
              <w:jc w:val="center"/>
            </w:pPr>
            <w:r>
              <w:t>-</w:t>
            </w:r>
          </w:p>
        </w:tc>
        <w:tc>
          <w:tcPr>
            <w:tcW w:w="1814" w:type="dxa"/>
            <w:vAlign w:val="center"/>
          </w:tcPr>
          <w:p w14:paraId="76CAB5E1" w14:textId="77777777" w:rsidR="00454A29" w:rsidRDefault="00454A29">
            <w:pPr>
              <w:pStyle w:val="ConsPlusNormal"/>
              <w:jc w:val="center"/>
            </w:pPr>
            <w:r>
              <w:t>-</w:t>
            </w:r>
          </w:p>
        </w:tc>
      </w:tr>
      <w:tr w:rsidR="00454A29" w14:paraId="6544C661" w14:textId="77777777">
        <w:tc>
          <w:tcPr>
            <w:tcW w:w="567" w:type="dxa"/>
            <w:vMerge/>
          </w:tcPr>
          <w:p w14:paraId="6178AEBE" w14:textId="77777777" w:rsidR="00454A29" w:rsidRDefault="00454A29"/>
        </w:tc>
        <w:tc>
          <w:tcPr>
            <w:tcW w:w="3345" w:type="dxa"/>
            <w:vMerge/>
          </w:tcPr>
          <w:p w14:paraId="6DD49B11" w14:textId="77777777" w:rsidR="00454A29" w:rsidRDefault="00454A29"/>
        </w:tc>
        <w:tc>
          <w:tcPr>
            <w:tcW w:w="1701" w:type="dxa"/>
            <w:vAlign w:val="center"/>
          </w:tcPr>
          <w:p w14:paraId="104DD889" w14:textId="77777777" w:rsidR="00454A29" w:rsidRDefault="00454A29">
            <w:pPr>
              <w:pStyle w:val="ConsPlusNormal"/>
              <w:jc w:val="center"/>
            </w:pPr>
            <w:r>
              <w:t>2020</w:t>
            </w:r>
          </w:p>
        </w:tc>
        <w:tc>
          <w:tcPr>
            <w:tcW w:w="1417" w:type="dxa"/>
            <w:vMerge/>
          </w:tcPr>
          <w:p w14:paraId="1578AEE7" w14:textId="77777777" w:rsidR="00454A29" w:rsidRDefault="00454A29"/>
        </w:tc>
        <w:tc>
          <w:tcPr>
            <w:tcW w:w="2204" w:type="dxa"/>
            <w:vMerge/>
          </w:tcPr>
          <w:p w14:paraId="51DA910F" w14:textId="77777777" w:rsidR="00454A29" w:rsidRDefault="00454A29"/>
        </w:tc>
        <w:tc>
          <w:tcPr>
            <w:tcW w:w="1417" w:type="dxa"/>
            <w:vMerge/>
          </w:tcPr>
          <w:p w14:paraId="48FBCEAE" w14:textId="77777777" w:rsidR="00454A29" w:rsidRDefault="00454A29"/>
        </w:tc>
        <w:tc>
          <w:tcPr>
            <w:tcW w:w="2324" w:type="dxa"/>
            <w:vMerge/>
          </w:tcPr>
          <w:p w14:paraId="7F34C811" w14:textId="77777777" w:rsidR="00454A29" w:rsidRDefault="00454A29"/>
        </w:tc>
        <w:tc>
          <w:tcPr>
            <w:tcW w:w="1701" w:type="dxa"/>
            <w:vAlign w:val="center"/>
          </w:tcPr>
          <w:p w14:paraId="26EC32BB" w14:textId="77777777" w:rsidR="00454A29" w:rsidRDefault="00454A29">
            <w:pPr>
              <w:pStyle w:val="ConsPlusNormal"/>
              <w:jc w:val="center"/>
            </w:pPr>
            <w:r>
              <w:t>-</w:t>
            </w:r>
          </w:p>
        </w:tc>
        <w:tc>
          <w:tcPr>
            <w:tcW w:w="1814" w:type="dxa"/>
            <w:vAlign w:val="center"/>
          </w:tcPr>
          <w:p w14:paraId="4E6301D4" w14:textId="77777777" w:rsidR="00454A29" w:rsidRDefault="00454A29">
            <w:pPr>
              <w:pStyle w:val="ConsPlusNormal"/>
            </w:pPr>
          </w:p>
        </w:tc>
        <w:tc>
          <w:tcPr>
            <w:tcW w:w="1701" w:type="dxa"/>
            <w:vAlign w:val="center"/>
          </w:tcPr>
          <w:p w14:paraId="474A104F" w14:textId="77777777" w:rsidR="00454A29" w:rsidRDefault="00454A29">
            <w:pPr>
              <w:pStyle w:val="ConsPlusNormal"/>
            </w:pPr>
          </w:p>
        </w:tc>
        <w:tc>
          <w:tcPr>
            <w:tcW w:w="1701" w:type="dxa"/>
            <w:vAlign w:val="center"/>
          </w:tcPr>
          <w:p w14:paraId="7F608EEC" w14:textId="77777777" w:rsidR="00454A29" w:rsidRDefault="00454A29">
            <w:pPr>
              <w:pStyle w:val="ConsPlusNormal"/>
            </w:pPr>
          </w:p>
        </w:tc>
        <w:tc>
          <w:tcPr>
            <w:tcW w:w="1814" w:type="dxa"/>
            <w:vAlign w:val="center"/>
          </w:tcPr>
          <w:p w14:paraId="3657E6FA" w14:textId="77777777" w:rsidR="00454A29" w:rsidRDefault="00454A29">
            <w:pPr>
              <w:pStyle w:val="ConsPlusNormal"/>
            </w:pPr>
          </w:p>
        </w:tc>
      </w:tr>
      <w:tr w:rsidR="00454A29" w14:paraId="3E173A43" w14:textId="77777777">
        <w:tc>
          <w:tcPr>
            <w:tcW w:w="567" w:type="dxa"/>
            <w:vMerge/>
          </w:tcPr>
          <w:p w14:paraId="1A7B74F8" w14:textId="77777777" w:rsidR="00454A29" w:rsidRDefault="00454A29"/>
        </w:tc>
        <w:tc>
          <w:tcPr>
            <w:tcW w:w="3345" w:type="dxa"/>
            <w:vMerge/>
          </w:tcPr>
          <w:p w14:paraId="0D431FFE" w14:textId="77777777" w:rsidR="00454A29" w:rsidRDefault="00454A29"/>
        </w:tc>
        <w:tc>
          <w:tcPr>
            <w:tcW w:w="1701" w:type="dxa"/>
            <w:vAlign w:val="center"/>
          </w:tcPr>
          <w:p w14:paraId="632F1B34" w14:textId="77777777" w:rsidR="00454A29" w:rsidRDefault="00454A29">
            <w:pPr>
              <w:pStyle w:val="ConsPlusNormal"/>
              <w:jc w:val="center"/>
            </w:pPr>
            <w:r>
              <w:t>2021</w:t>
            </w:r>
          </w:p>
        </w:tc>
        <w:tc>
          <w:tcPr>
            <w:tcW w:w="1417" w:type="dxa"/>
            <w:vMerge/>
          </w:tcPr>
          <w:p w14:paraId="2133821E" w14:textId="77777777" w:rsidR="00454A29" w:rsidRDefault="00454A29"/>
        </w:tc>
        <w:tc>
          <w:tcPr>
            <w:tcW w:w="2204" w:type="dxa"/>
            <w:vMerge/>
          </w:tcPr>
          <w:p w14:paraId="501385C6" w14:textId="77777777" w:rsidR="00454A29" w:rsidRDefault="00454A29"/>
        </w:tc>
        <w:tc>
          <w:tcPr>
            <w:tcW w:w="1417" w:type="dxa"/>
            <w:vMerge/>
          </w:tcPr>
          <w:p w14:paraId="17FFE4B5" w14:textId="77777777" w:rsidR="00454A29" w:rsidRDefault="00454A29"/>
        </w:tc>
        <w:tc>
          <w:tcPr>
            <w:tcW w:w="2324" w:type="dxa"/>
            <w:vMerge/>
          </w:tcPr>
          <w:p w14:paraId="4EF5BD2F" w14:textId="77777777" w:rsidR="00454A29" w:rsidRDefault="00454A29"/>
        </w:tc>
        <w:tc>
          <w:tcPr>
            <w:tcW w:w="1701" w:type="dxa"/>
            <w:vAlign w:val="center"/>
          </w:tcPr>
          <w:p w14:paraId="44678E37" w14:textId="77777777" w:rsidR="00454A29" w:rsidRDefault="00454A29">
            <w:pPr>
              <w:pStyle w:val="ConsPlusNormal"/>
              <w:jc w:val="center"/>
            </w:pPr>
            <w:r>
              <w:t>-</w:t>
            </w:r>
          </w:p>
        </w:tc>
        <w:tc>
          <w:tcPr>
            <w:tcW w:w="1814" w:type="dxa"/>
            <w:vAlign w:val="center"/>
          </w:tcPr>
          <w:p w14:paraId="53C79B29" w14:textId="77777777" w:rsidR="00454A29" w:rsidRDefault="00454A29">
            <w:pPr>
              <w:pStyle w:val="ConsPlusNormal"/>
            </w:pPr>
          </w:p>
        </w:tc>
        <w:tc>
          <w:tcPr>
            <w:tcW w:w="1701" w:type="dxa"/>
            <w:vAlign w:val="center"/>
          </w:tcPr>
          <w:p w14:paraId="2B98632A" w14:textId="77777777" w:rsidR="00454A29" w:rsidRDefault="00454A29">
            <w:pPr>
              <w:pStyle w:val="ConsPlusNormal"/>
            </w:pPr>
          </w:p>
        </w:tc>
        <w:tc>
          <w:tcPr>
            <w:tcW w:w="1701" w:type="dxa"/>
            <w:vAlign w:val="center"/>
          </w:tcPr>
          <w:p w14:paraId="102111FC" w14:textId="77777777" w:rsidR="00454A29" w:rsidRDefault="00454A29">
            <w:pPr>
              <w:pStyle w:val="ConsPlusNormal"/>
            </w:pPr>
          </w:p>
        </w:tc>
        <w:tc>
          <w:tcPr>
            <w:tcW w:w="1814" w:type="dxa"/>
            <w:vAlign w:val="center"/>
          </w:tcPr>
          <w:p w14:paraId="5FBBAE36" w14:textId="77777777" w:rsidR="00454A29" w:rsidRDefault="00454A29">
            <w:pPr>
              <w:pStyle w:val="ConsPlusNormal"/>
            </w:pPr>
          </w:p>
        </w:tc>
      </w:tr>
      <w:tr w:rsidR="00454A29" w14:paraId="11C75B3C" w14:textId="77777777">
        <w:tc>
          <w:tcPr>
            <w:tcW w:w="567" w:type="dxa"/>
            <w:vMerge/>
          </w:tcPr>
          <w:p w14:paraId="1C2304B8" w14:textId="77777777" w:rsidR="00454A29" w:rsidRDefault="00454A29"/>
        </w:tc>
        <w:tc>
          <w:tcPr>
            <w:tcW w:w="3345" w:type="dxa"/>
            <w:vMerge/>
          </w:tcPr>
          <w:p w14:paraId="0678BB4C" w14:textId="77777777" w:rsidR="00454A29" w:rsidRDefault="00454A29"/>
        </w:tc>
        <w:tc>
          <w:tcPr>
            <w:tcW w:w="1701" w:type="dxa"/>
            <w:vAlign w:val="center"/>
          </w:tcPr>
          <w:p w14:paraId="60B60BC7" w14:textId="77777777" w:rsidR="00454A29" w:rsidRDefault="00454A29">
            <w:pPr>
              <w:pStyle w:val="ConsPlusNormal"/>
              <w:jc w:val="center"/>
            </w:pPr>
            <w:r>
              <w:t>2022</w:t>
            </w:r>
          </w:p>
        </w:tc>
        <w:tc>
          <w:tcPr>
            <w:tcW w:w="1417" w:type="dxa"/>
            <w:vMerge/>
          </w:tcPr>
          <w:p w14:paraId="42EEC1D6" w14:textId="77777777" w:rsidR="00454A29" w:rsidRDefault="00454A29"/>
        </w:tc>
        <w:tc>
          <w:tcPr>
            <w:tcW w:w="2204" w:type="dxa"/>
            <w:vMerge/>
          </w:tcPr>
          <w:p w14:paraId="5C8F01D6" w14:textId="77777777" w:rsidR="00454A29" w:rsidRDefault="00454A29"/>
        </w:tc>
        <w:tc>
          <w:tcPr>
            <w:tcW w:w="1417" w:type="dxa"/>
            <w:vMerge/>
          </w:tcPr>
          <w:p w14:paraId="75465970" w14:textId="77777777" w:rsidR="00454A29" w:rsidRDefault="00454A29"/>
        </w:tc>
        <w:tc>
          <w:tcPr>
            <w:tcW w:w="2324" w:type="dxa"/>
            <w:vMerge/>
          </w:tcPr>
          <w:p w14:paraId="26E210B4" w14:textId="77777777" w:rsidR="00454A29" w:rsidRDefault="00454A29"/>
        </w:tc>
        <w:tc>
          <w:tcPr>
            <w:tcW w:w="1701" w:type="dxa"/>
            <w:vAlign w:val="center"/>
          </w:tcPr>
          <w:p w14:paraId="49A79C56" w14:textId="77777777" w:rsidR="00454A29" w:rsidRDefault="00454A29">
            <w:pPr>
              <w:pStyle w:val="ConsPlusNormal"/>
              <w:jc w:val="center"/>
            </w:pPr>
            <w:r>
              <w:t>-</w:t>
            </w:r>
          </w:p>
        </w:tc>
        <w:tc>
          <w:tcPr>
            <w:tcW w:w="1814" w:type="dxa"/>
            <w:vAlign w:val="center"/>
          </w:tcPr>
          <w:p w14:paraId="3E256C01" w14:textId="77777777" w:rsidR="00454A29" w:rsidRDefault="00454A29">
            <w:pPr>
              <w:pStyle w:val="ConsPlusNormal"/>
            </w:pPr>
          </w:p>
        </w:tc>
        <w:tc>
          <w:tcPr>
            <w:tcW w:w="1701" w:type="dxa"/>
            <w:vAlign w:val="center"/>
          </w:tcPr>
          <w:p w14:paraId="3CAD3742" w14:textId="77777777" w:rsidR="00454A29" w:rsidRDefault="00454A29">
            <w:pPr>
              <w:pStyle w:val="ConsPlusNormal"/>
            </w:pPr>
          </w:p>
        </w:tc>
        <w:tc>
          <w:tcPr>
            <w:tcW w:w="1701" w:type="dxa"/>
            <w:vAlign w:val="center"/>
          </w:tcPr>
          <w:p w14:paraId="5C2DB119" w14:textId="77777777" w:rsidR="00454A29" w:rsidRDefault="00454A29">
            <w:pPr>
              <w:pStyle w:val="ConsPlusNormal"/>
            </w:pPr>
          </w:p>
        </w:tc>
        <w:tc>
          <w:tcPr>
            <w:tcW w:w="1814" w:type="dxa"/>
            <w:vAlign w:val="center"/>
          </w:tcPr>
          <w:p w14:paraId="5FEFE8EB" w14:textId="77777777" w:rsidR="00454A29" w:rsidRDefault="00454A29">
            <w:pPr>
              <w:pStyle w:val="ConsPlusNormal"/>
            </w:pPr>
          </w:p>
        </w:tc>
      </w:tr>
      <w:tr w:rsidR="00454A29" w14:paraId="41230AB1" w14:textId="77777777">
        <w:tc>
          <w:tcPr>
            <w:tcW w:w="567" w:type="dxa"/>
            <w:vMerge/>
          </w:tcPr>
          <w:p w14:paraId="2803DACD" w14:textId="77777777" w:rsidR="00454A29" w:rsidRDefault="00454A29"/>
        </w:tc>
        <w:tc>
          <w:tcPr>
            <w:tcW w:w="3345" w:type="dxa"/>
            <w:vMerge/>
          </w:tcPr>
          <w:p w14:paraId="36EDA152" w14:textId="77777777" w:rsidR="00454A29" w:rsidRDefault="00454A29"/>
        </w:tc>
        <w:tc>
          <w:tcPr>
            <w:tcW w:w="1701" w:type="dxa"/>
            <w:vAlign w:val="center"/>
          </w:tcPr>
          <w:p w14:paraId="55529F21" w14:textId="77777777" w:rsidR="00454A29" w:rsidRDefault="00454A29">
            <w:pPr>
              <w:pStyle w:val="ConsPlusNormal"/>
              <w:jc w:val="center"/>
            </w:pPr>
            <w:r>
              <w:t>2023</w:t>
            </w:r>
          </w:p>
        </w:tc>
        <w:tc>
          <w:tcPr>
            <w:tcW w:w="1417" w:type="dxa"/>
            <w:vMerge/>
          </w:tcPr>
          <w:p w14:paraId="5DAF94BF" w14:textId="77777777" w:rsidR="00454A29" w:rsidRDefault="00454A29"/>
        </w:tc>
        <w:tc>
          <w:tcPr>
            <w:tcW w:w="2204" w:type="dxa"/>
            <w:vMerge/>
          </w:tcPr>
          <w:p w14:paraId="33EA4279" w14:textId="77777777" w:rsidR="00454A29" w:rsidRDefault="00454A29"/>
        </w:tc>
        <w:tc>
          <w:tcPr>
            <w:tcW w:w="1417" w:type="dxa"/>
            <w:vMerge/>
          </w:tcPr>
          <w:p w14:paraId="3D04E2B1" w14:textId="77777777" w:rsidR="00454A29" w:rsidRDefault="00454A29"/>
        </w:tc>
        <w:tc>
          <w:tcPr>
            <w:tcW w:w="2324" w:type="dxa"/>
            <w:vMerge/>
          </w:tcPr>
          <w:p w14:paraId="7F7965C1" w14:textId="77777777" w:rsidR="00454A29" w:rsidRDefault="00454A29"/>
        </w:tc>
        <w:tc>
          <w:tcPr>
            <w:tcW w:w="1701" w:type="dxa"/>
            <w:vAlign w:val="center"/>
          </w:tcPr>
          <w:p w14:paraId="6F41ABED" w14:textId="77777777" w:rsidR="00454A29" w:rsidRDefault="00454A29">
            <w:pPr>
              <w:pStyle w:val="ConsPlusNormal"/>
              <w:jc w:val="center"/>
            </w:pPr>
            <w:r>
              <w:t>-</w:t>
            </w:r>
          </w:p>
        </w:tc>
        <w:tc>
          <w:tcPr>
            <w:tcW w:w="1814" w:type="dxa"/>
            <w:vAlign w:val="center"/>
          </w:tcPr>
          <w:p w14:paraId="456D8507" w14:textId="77777777" w:rsidR="00454A29" w:rsidRDefault="00454A29">
            <w:pPr>
              <w:pStyle w:val="ConsPlusNormal"/>
            </w:pPr>
          </w:p>
        </w:tc>
        <w:tc>
          <w:tcPr>
            <w:tcW w:w="1701" w:type="dxa"/>
            <w:vAlign w:val="center"/>
          </w:tcPr>
          <w:p w14:paraId="159546F8" w14:textId="77777777" w:rsidR="00454A29" w:rsidRDefault="00454A29">
            <w:pPr>
              <w:pStyle w:val="ConsPlusNormal"/>
            </w:pPr>
          </w:p>
        </w:tc>
        <w:tc>
          <w:tcPr>
            <w:tcW w:w="1701" w:type="dxa"/>
            <w:vAlign w:val="center"/>
          </w:tcPr>
          <w:p w14:paraId="1AD06160" w14:textId="77777777" w:rsidR="00454A29" w:rsidRDefault="00454A29">
            <w:pPr>
              <w:pStyle w:val="ConsPlusNormal"/>
            </w:pPr>
          </w:p>
        </w:tc>
        <w:tc>
          <w:tcPr>
            <w:tcW w:w="1814" w:type="dxa"/>
            <w:vAlign w:val="center"/>
          </w:tcPr>
          <w:p w14:paraId="47346C14" w14:textId="77777777" w:rsidR="00454A29" w:rsidRDefault="00454A29">
            <w:pPr>
              <w:pStyle w:val="ConsPlusNormal"/>
            </w:pPr>
          </w:p>
        </w:tc>
      </w:tr>
      <w:tr w:rsidR="00454A29" w14:paraId="1CC3BE47" w14:textId="77777777">
        <w:tc>
          <w:tcPr>
            <w:tcW w:w="567" w:type="dxa"/>
            <w:vMerge/>
          </w:tcPr>
          <w:p w14:paraId="785DF074" w14:textId="77777777" w:rsidR="00454A29" w:rsidRDefault="00454A29"/>
        </w:tc>
        <w:tc>
          <w:tcPr>
            <w:tcW w:w="3345" w:type="dxa"/>
            <w:vMerge/>
          </w:tcPr>
          <w:p w14:paraId="46DE8F45" w14:textId="77777777" w:rsidR="00454A29" w:rsidRDefault="00454A29"/>
        </w:tc>
        <w:tc>
          <w:tcPr>
            <w:tcW w:w="1701" w:type="dxa"/>
            <w:vAlign w:val="center"/>
          </w:tcPr>
          <w:p w14:paraId="632B3117" w14:textId="77777777" w:rsidR="00454A29" w:rsidRDefault="00454A29">
            <w:pPr>
              <w:pStyle w:val="ConsPlusNormal"/>
              <w:jc w:val="center"/>
            </w:pPr>
            <w:r>
              <w:t>2024</w:t>
            </w:r>
          </w:p>
        </w:tc>
        <w:tc>
          <w:tcPr>
            <w:tcW w:w="1417" w:type="dxa"/>
            <w:vMerge/>
          </w:tcPr>
          <w:p w14:paraId="0B073632" w14:textId="77777777" w:rsidR="00454A29" w:rsidRDefault="00454A29"/>
        </w:tc>
        <w:tc>
          <w:tcPr>
            <w:tcW w:w="2204" w:type="dxa"/>
            <w:vMerge/>
          </w:tcPr>
          <w:p w14:paraId="2EB6D2CA" w14:textId="77777777" w:rsidR="00454A29" w:rsidRDefault="00454A29"/>
        </w:tc>
        <w:tc>
          <w:tcPr>
            <w:tcW w:w="1417" w:type="dxa"/>
            <w:vMerge/>
          </w:tcPr>
          <w:p w14:paraId="36C152D2" w14:textId="77777777" w:rsidR="00454A29" w:rsidRDefault="00454A29"/>
        </w:tc>
        <w:tc>
          <w:tcPr>
            <w:tcW w:w="2324" w:type="dxa"/>
            <w:vMerge/>
          </w:tcPr>
          <w:p w14:paraId="3193080C" w14:textId="77777777" w:rsidR="00454A29" w:rsidRDefault="00454A29"/>
        </w:tc>
        <w:tc>
          <w:tcPr>
            <w:tcW w:w="1701" w:type="dxa"/>
            <w:vAlign w:val="center"/>
          </w:tcPr>
          <w:p w14:paraId="70A89251" w14:textId="77777777" w:rsidR="00454A29" w:rsidRDefault="00454A29">
            <w:pPr>
              <w:pStyle w:val="ConsPlusNormal"/>
              <w:jc w:val="center"/>
            </w:pPr>
            <w:r>
              <w:t>101 152,73</w:t>
            </w:r>
          </w:p>
        </w:tc>
        <w:tc>
          <w:tcPr>
            <w:tcW w:w="1814" w:type="dxa"/>
            <w:vAlign w:val="center"/>
          </w:tcPr>
          <w:p w14:paraId="0E022517" w14:textId="77777777" w:rsidR="00454A29" w:rsidRDefault="00454A29">
            <w:pPr>
              <w:pStyle w:val="ConsPlusNormal"/>
              <w:jc w:val="center"/>
            </w:pPr>
            <w:r>
              <w:t>101 152,73</w:t>
            </w:r>
          </w:p>
        </w:tc>
        <w:tc>
          <w:tcPr>
            <w:tcW w:w="1701" w:type="dxa"/>
            <w:vAlign w:val="center"/>
          </w:tcPr>
          <w:p w14:paraId="035599FB" w14:textId="77777777" w:rsidR="00454A29" w:rsidRDefault="00454A29">
            <w:pPr>
              <w:pStyle w:val="ConsPlusNormal"/>
            </w:pPr>
          </w:p>
        </w:tc>
        <w:tc>
          <w:tcPr>
            <w:tcW w:w="1701" w:type="dxa"/>
            <w:vAlign w:val="center"/>
          </w:tcPr>
          <w:p w14:paraId="0600F59F" w14:textId="77777777" w:rsidR="00454A29" w:rsidRDefault="00454A29">
            <w:pPr>
              <w:pStyle w:val="ConsPlusNormal"/>
            </w:pPr>
          </w:p>
        </w:tc>
        <w:tc>
          <w:tcPr>
            <w:tcW w:w="1814" w:type="dxa"/>
            <w:vAlign w:val="center"/>
          </w:tcPr>
          <w:p w14:paraId="6DDB9A84" w14:textId="77777777" w:rsidR="00454A29" w:rsidRDefault="00454A29">
            <w:pPr>
              <w:pStyle w:val="ConsPlusNormal"/>
            </w:pPr>
          </w:p>
        </w:tc>
      </w:tr>
      <w:tr w:rsidR="00454A29" w14:paraId="7B9DAF5E" w14:textId="77777777">
        <w:tc>
          <w:tcPr>
            <w:tcW w:w="567" w:type="dxa"/>
            <w:vMerge/>
          </w:tcPr>
          <w:p w14:paraId="1C677B3E" w14:textId="77777777" w:rsidR="00454A29" w:rsidRDefault="00454A29"/>
        </w:tc>
        <w:tc>
          <w:tcPr>
            <w:tcW w:w="3345" w:type="dxa"/>
            <w:vMerge/>
          </w:tcPr>
          <w:p w14:paraId="48EFBE02" w14:textId="77777777" w:rsidR="00454A29" w:rsidRDefault="00454A29"/>
        </w:tc>
        <w:tc>
          <w:tcPr>
            <w:tcW w:w="1701" w:type="dxa"/>
            <w:vAlign w:val="center"/>
          </w:tcPr>
          <w:p w14:paraId="30592D51" w14:textId="77777777" w:rsidR="00454A29" w:rsidRDefault="00454A29">
            <w:pPr>
              <w:pStyle w:val="ConsPlusNormal"/>
              <w:jc w:val="center"/>
            </w:pPr>
            <w:r>
              <w:t>2025</w:t>
            </w:r>
          </w:p>
        </w:tc>
        <w:tc>
          <w:tcPr>
            <w:tcW w:w="1417" w:type="dxa"/>
            <w:vMerge/>
          </w:tcPr>
          <w:p w14:paraId="682C470D" w14:textId="77777777" w:rsidR="00454A29" w:rsidRDefault="00454A29"/>
        </w:tc>
        <w:tc>
          <w:tcPr>
            <w:tcW w:w="2204" w:type="dxa"/>
            <w:vMerge/>
          </w:tcPr>
          <w:p w14:paraId="05AEBAA2" w14:textId="77777777" w:rsidR="00454A29" w:rsidRDefault="00454A29"/>
        </w:tc>
        <w:tc>
          <w:tcPr>
            <w:tcW w:w="1417" w:type="dxa"/>
            <w:vMerge/>
          </w:tcPr>
          <w:p w14:paraId="1B3A8476" w14:textId="77777777" w:rsidR="00454A29" w:rsidRDefault="00454A29"/>
        </w:tc>
        <w:tc>
          <w:tcPr>
            <w:tcW w:w="2324" w:type="dxa"/>
            <w:vMerge/>
          </w:tcPr>
          <w:p w14:paraId="2EF871C5" w14:textId="77777777" w:rsidR="00454A29" w:rsidRDefault="00454A29"/>
        </w:tc>
        <w:tc>
          <w:tcPr>
            <w:tcW w:w="1701" w:type="dxa"/>
            <w:vAlign w:val="center"/>
          </w:tcPr>
          <w:p w14:paraId="0C315050" w14:textId="77777777" w:rsidR="00454A29" w:rsidRDefault="00454A29">
            <w:pPr>
              <w:pStyle w:val="ConsPlusNormal"/>
              <w:jc w:val="center"/>
            </w:pPr>
            <w:r>
              <w:t>-</w:t>
            </w:r>
          </w:p>
        </w:tc>
        <w:tc>
          <w:tcPr>
            <w:tcW w:w="1814" w:type="dxa"/>
            <w:vAlign w:val="center"/>
          </w:tcPr>
          <w:p w14:paraId="5AE2B3F3" w14:textId="77777777" w:rsidR="00454A29" w:rsidRDefault="00454A29">
            <w:pPr>
              <w:pStyle w:val="ConsPlusNormal"/>
            </w:pPr>
          </w:p>
        </w:tc>
        <w:tc>
          <w:tcPr>
            <w:tcW w:w="1701" w:type="dxa"/>
            <w:vAlign w:val="center"/>
          </w:tcPr>
          <w:p w14:paraId="461E5588" w14:textId="77777777" w:rsidR="00454A29" w:rsidRDefault="00454A29">
            <w:pPr>
              <w:pStyle w:val="ConsPlusNormal"/>
            </w:pPr>
          </w:p>
        </w:tc>
        <w:tc>
          <w:tcPr>
            <w:tcW w:w="1701" w:type="dxa"/>
            <w:vAlign w:val="center"/>
          </w:tcPr>
          <w:p w14:paraId="14C41D99" w14:textId="77777777" w:rsidR="00454A29" w:rsidRDefault="00454A29">
            <w:pPr>
              <w:pStyle w:val="ConsPlusNormal"/>
            </w:pPr>
          </w:p>
        </w:tc>
        <w:tc>
          <w:tcPr>
            <w:tcW w:w="1814" w:type="dxa"/>
            <w:vAlign w:val="center"/>
          </w:tcPr>
          <w:p w14:paraId="42B02C3B" w14:textId="77777777" w:rsidR="00454A29" w:rsidRDefault="00454A29">
            <w:pPr>
              <w:pStyle w:val="ConsPlusNormal"/>
            </w:pPr>
          </w:p>
        </w:tc>
      </w:tr>
      <w:tr w:rsidR="00454A29" w14:paraId="7FD1A71E" w14:textId="77777777">
        <w:tc>
          <w:tcPr>
            <w:tcW w:w="567" w:type="dxa"/>
            <w:vMerge/>
          </w:tcPr>
          <w:p w14:paraId="6B5DA47A" w14:textId="77777777" w:rsidR="00454A29" w:rsidRDefault="00454A29"/>
        </w:tc>
        <w:tc>
          <w:tcPr>
            <w:tcW w:w="3345" w:type="dxa"/>
            <w:vMerge/>
          </w:tcPr>
          <w:p w14:paraId="027BDBED" w14:textId="77777777" w:rsidR="00454A29" w:rsidRDefault="00454A29"/>
        </w:tc>
        <w:tc>
          <w:tcPr>
            <w:tcW w:w="1701" w:type="dxa"/>
            <w:vAlign w:val="center"/>
          </w:tcPr>
          <w:p w14:paraId="64B0D376" w14:textId="77777777" w:rsidR="00454A29" w:rsidRDefault="00454A29">
            <w:pPr>
              <w:pStyle w:val="ConsPlusNormal"/>
              <w:jc w:val="center"/>
            </w:pPr>
            <w:r>
              <w:t>2026</w:t>
            </w:r>
          </w:p>
        </w:tc>
        <w:tc>
          <w:tcPr>
            <w:tcW w:w="1417" w:type="dxa"/>
            <w:vMerge/>
          </w:tcPr>
          <w:p w14:paraId="6EAD30D4" w14:textId="77777777" w:rsidR="00454A29" w:rsidRDefault="00454A29"/>
        </w:tc>
        <w:tc>
          <w:tcPr>
            <w:tcW w:w="2204" w:type="dxa"/>
            <w:vMerge/>
          </w:tcPr>
          <w:p w14:paraId="0537397E" w14:textId="77777777" w:rsidR="00454A29" w:rsidRDefault="00454A29"/>
        </w:tc>
        <w:tc>
          <w:tcPr>
            <w:tcW w:w="1417" w:type="dxa"/>
            <w:vMerge/>
          </w:tcPr>
          <w:p w14:paraId="32A54FA5" w14:textId="77777777" w:rsidR="00454A29" w:rsidRDefault="00454A29"/>
        </w:tc>
        <w:tc>
          <w:tcPr>
            <w:tcW w:w="2324" w:type="dxa"/>
            <w:vMerge/>
          </w:tcPr>
          <w:p w14:paraId="0AED419D" w14:textId="77777777" w:rsidR="00454A29" w:rsidRDefault="00454A29"/>
        </w:tc>
        <w:tc>
          <w:tcPr>
            <w:tcW w:w="1701" w:type="dxa"/>
            <w:vAlign w:val="center"/>
          </w:tcPr>
          <w:p w14:paraId="4AFAE140" w14:textId="77777777" w:rsidR="00454A29" w:rsidRDefault="00454A29">
            <w:pPr>
              <w:pStyle w:val="ConsPlusNormal"/>
              <w:jc w:val="center"/>
            </w:pPr>
            <w:r>
              <w:t>-</w:t>
            </w:r>
          </w:p>
        </w:tc>
        <w:tc>
          <w:tcPr>
            <w:tcW w:w="1814" w:type="dxa"/>
            <w:vAlign w:val="center"/>
          </w:tcPr>
          <w:p w14:paraId="15A03D74" w14:textId="77777777" w:rsidR="00454A29" w:rsidRDefault="00454A29">
            <w:pPr>
              <w:pStyle w:val="ConsPlusNormal"/>
            </w:pPr>
          </w:p>
        </w:tc>
        <w:tc>
          <w:tcPr>
            <w:tcW w:w="1701" w:type="dxa"/>
            <w:vAlign w:val="center"/>
          </w:tcPr>
          <w:p w14:paraId="3F623F84" w14:textId="77777777" w:rsidR="00454A29" w:rsidRDefault="00454A29">
            <w:pPr>
              <w:pStyle w:val="ConsPlusNormal"/>
            </w:pPr>
          </w:p>
        </w:tc>
        <w:tc>
          <w:tcPr>
            <w:tcW w:w="1701" w:type="dxa"/>
            <w:vAlign w:val="center"/>
          </w:tcPr>
          <w:p w14:paraId="372B8385" w14:textId="77777777" w:rsidR="00454A29" w:rsidRDefault="00454A29">
            <w:pPr>
              <w:pStyle w:val="ConsPlusNormal"/>
            </w:pPr>
          </w:p>
        </w:tc>
        <w:tc>
          <w:tcPr>
            <w:tcW w:w="1814" w:type="dxa"/>
            <w:vAlign w:val="center"/>
          </w:tcPr>
          <w:p w14:paraId="1B61539E" w14:textId="77777777" w:rsidR="00454A29" w:rsidRDefault="00454A29">
            <w:pPr>
              <w:pStyle w:val="ConsPlusNormal"/>
            </w:pPr>
          </w:p>
        </w:tc>
      </w:tr>
      <w:tr w:rsidR="00454A29" w14:paraId="5F90D0CB" w14:textId="77777777">
        <w:tc>
          <w:tcPr>
            <w:tcW w:w="567" w:type="dxa"/>
            <w:vMerge w:val="restart"/>
            <w:vAlign w:val="center"/>
          </w:tcPr>
          <w:p w14:paraId="2905181F" w14:textId="77777777" w:rsidR="00454A29" w:rsidRDefault="00454A29">
            <w:pPr>
              <w:pStyle w:val="ConsPlusNormal"/>
              <w:jc w:val="center"/>
            </w:pPr>
            <w:r>
              <w:t>9</w:t>
            </w:r>
          </w:p>
        </w:tc>
        <w:tc>
          <w:tcPr>
            <w:tcW w:w="3345" w:type="dxa"/>
            <w:vMerge w:val="restart"/>
            <w:vAlign w:val="center"/>
          </w:tcPr>
          <w:p w14:paraId="437B183B" w14:textId="77777777" w:rsidR="00454A29" w:rsidRDefault="00454A29">
            <w:pPr>
              <w:pStyle w:val="ConsPlusNormal"/>
              <w:jc w:val="center"/>
            </w:pPr>
            <w:r>
              <w:t>Детский сад на 30 мест в с. Липпе-Атах Онхойский наслег Верхневилюйского улуса</w:t>
            </w:r>
          </w:p>
        </w:tc>
        <w:tc>
          <w:tcPr>
            <w:tcW w:w="1701" w:type="dxa"/>
            <w:vAlign w:val="center"/>
          </w:tcPr>
          <w:p w14:paraId="645D6766" w14:textId="77777777" w:rsidR="00454A29" w:rsidRDefault="00454A29">
            <w:pPr>
              <w:pStyle w:val="ConsPlusNormal"/>
              <w:jc w:val="center"/>
            </w:pPr>
            <w:r>
              <w:t>2020 - 2026 годы - всего</w:t>
            </w:r>
          </w:p>
        </w:tc>
        <w:tc>
          <w:tcPr>
            <w:tcW w:w="1417" w:type="dxa"/>
            <w:vMerge w:val="restart"/>
            <w:vAlign w:val="center"/>
          </w:tcPr>
          <w:p w14:paraId="6E549755" w14:textId="77777777" w:rsidR="00454A29" w:rsidRDefault="00454A29">
            <w:pPr>
              <w:pStyle w:val="ConsPlusNormal"/>
              <w:jc w:val="center"/>
            </w:pPr>
            <w:r>
              <w:t>34 034,30</w:t>
            </w:r>
          </w:p>
        </w:tc>
        <w:tc>
          <w:tcPr>
            <w:tcW w:w="2204" w:type="dxa"/>
            <w:vMerge w:val="restart"/>
            <w:vAlign w:val="center"/>
          </w:tcPr>
          <w:p w14:paraId="3E3E8B92" w14:textId="77777777" w:rsidR="00454A29" w:rsidRDefault="00454A29">
            <w:pPr>
              <w:pStyle w:val="ConsPlusNormal"/>
            </w:pPr>
          </w:p>
        </w:tc>
        <w:tc>
          <w:tcPr>
            <w:tcW w:w="1417" w:type="dxa"/>
            <w:vMerge w:val="restart"/>
            <w:vAlign w:val="center"/>
          </w:tcPr>
          <w:p w14:paraId="007D24E7" w14:textId="77777777" w:rsidR="00454A29" w:rsidRDefault="00454A29">
            <w:pPr>
              <w:pStyle w:val="ConsPlusNormal"/>
              <w:jc w:val="center"/>
            </w:pPr>
            <w:r>
              <w:t>30</w:t>
            </w:r>
          </w:p>
        </w:tc>
        <w:tc>
          <w:tcPr>
            <w:tcW w:w="2324" w:type="dxa"/>
            <w:vMerge w:val="restart"/>
            <w:vAlign w:val="center"/>
          </w:tcPr>
          <w:p w14:paraId="5BFD629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2BD4A27" w14:textId="77777777" w:rsidR="00454A29" w:rsidRDefault="00454A29">
            <w:pPr>
              <w:pStyle w:val="ConsPlusNormal"/>
              <w:jc w:val="center"/>
            </w:pPr>
            <w:r>
              <w:t>34 034,30</w:t>
            </w:r>
          </w:p>
        </w:tc>
        <w:tc>
          <w:tcPr>
            <w:tcW w:w="1814" w:type="dxa"/>
            <w:vAlign w:val="center"/>
          </w:tcPr>
          <w:p w14:paraId="52D277AF" w14:textId="77777777" w:rsidR="00454A29" w:rsidRDefault="00454A29">
            <w:pPr>
              <w:pStyle w:val="ConsPlusNormal"/>
              <w:jc w:val="center"/>
            </w:pPr>
            <w:r>
              <w:t>34 034,30</w:t>
            </w:r>
          </w:p>
        </w:tc>
        <w:tc>
          <w:tcPr>
            <w:tcW w:w="1701" w:type="dxa"/>
            <w:vAlign w:val="center"/>
          </w:tcPr>
          <w:p w14:paraId="6F465348" w14:textId="77777777" w:rsidR="00454A29" w:rsidRDefault="00454A29">
            <w:pPr>
              <w:pStyle w:val="ConsPlusNormal"/>
              <w:jc w:val="center"/>
            </w:pPr>
            <w:r>
              <w:t>-</w:t>
            </w:r>
          </w:p>
        </w:tc>
        <w:tc>
          <w:tcPr>
            <w:tcW w:w="1701" w:type="dxa"/>
            <w:vAlign w:val="center"/>
          </w:tcPr>
          <w:p w14:paraId="77F5E1C5" w14:textId="77777777" w:rsidR="00454A29" w:rsidRDefault="00454A29">
            <w:pPr>
              <w:pStyle w:val="ConsPlusNormal"/>
              <w:jc w:val="center"/>
            </w:pPr>
            <w:r>
              <w:t>-</w:t>
            </w:r>
          </w:p>
        </w:tc>
        <w:tc>
          <w:tcPr>
            <w:tcW w:w="1814" w:type="dxa"/>
            <w:vAlign w:val="center"/>
          </w:tcPr>
          <w:p w14:paraId="2EE34312" w14:textId="77777777" w:rsidR="00454A29" w:rsidRDefault="00454A29">
            <w:pPr>
              <w:pStyle w:val="ConsPlusNormal"/>
              <w:jc w:val="center"/>
            </w:pPr>
            <w:r>
              <w:t>-</w:t>
            </w:r>
          </w:p>
        </w:tc>
      </w:tr>
      <w:tr w:rsidR="00454A29" w14:paraId="31D8A287" w14:textId="77777777">
        <w:tc>
          <w:tcPr>
            <w:tcW w:w="567" w:type="dxa"/>
            <w:vMerge/>
          </w:tcPr>
          <w:p w14:paraId="51A6F1FB" w14:textId="77777777" w:rsidR="00454A29" w:rsidRDefault="00454A29"/>
        </w:tc>
        <w:tc>
          <w:tcPr>
            <w:tcW w:w="3345" w:type="dxa"/>
            <w:vMerge/>
          </w:tcPr>
          <w:p w14:paraId="0C9E1C27" w14:textId="77777777" w:rsidR="00454A29" w:rsidRDefault="00454A29"/>
        </w:tc>
        <w:tc>
          <w:tcPr>
            <w:tcW w:w="1701" w:type="dxa"/>
            <w:vAlign w:val="center"/>
          </w:tcPr>
          <w:p w14:paraId="28AAC236" w14:textId="77777777" w:rsidR="00454A29" w:rsidRDefault="00454A29">
            <w:pPr>
              <w:pStyle w:val="ConsPlusNormal"/>
              <w:jc w:val="center"/>
            </w:pPr>
            <w:r>
              <w:t>2020</w:t>
            </w:r>
          </w:p>
        </w:tc>
        <w:tc>
          <w:tcPr>
            <w:tcW w:w="1417" w:type="dxa"/>
            <w:vMerge/>
          </w:tcPr>
          <w:p w14:paraId="39E95461" w14:textId="77777777" w:rsidR="00454A29" w:rsidRDefault="00454A29"/>
        </w:tc>
        <w:tc>
          <w:tcPr>
            <w:tcW w:w="2204" w:type="dxa"/>
            <w:vMerge/>
          </w:tcPr>
          <w:p w14:paraId="4756E102" w14:textId="77777777" w:rsidR="00454A29" w:rsidRDefault="00454A29"/>
        </w:tc>
        <w:tc>
          <w:tcPr>
            <w:tcW w:w="1417" w:type="dxa"/>
            <w:vMerge/>
          </w:tcPr>
          <w:p w14:paraId="6B02E669" w14:textId="77777777" w:rsidR="00454A29" w:rsidRDefault="00454A29"/>
        </w:tc>
        <w:tc>
          <w:tcPr>
            <w:tcW w:w="2324" w:type="dxa"/>
            <w:vMerge/>
          </w:tcPr>
          <w:p w14:paraId="694E3E6E" w14:textId="77777777" w:rsidR="00454A29" w:rsidRDefault="00454A29"/>
        </w:tc>
        <w:tc>
          <w:tcPr>
            <w:tcW w:w="1701" w:type="dxa"/>
            <w:vAlign w:val="center"/>
          </w:tcPr>
          <w:p w14:paraId="79BDFE90" w14:textId="77777777" w:rsidR="00454A29" w:rsidRDefault="00454A29">
            <w:pPr>
              <w:pStyle w:val="ConsPlusNormal"/>
              <w:jc w:val="center"/>
            </w:pPr>
            <w:r>
              <w:t>-</w:t>
            </w:r>
          </w:p>
        </w:tc>
        <w:tc>
          <w:tcPr>
            <w:tcW w:w="1814" w:type="dxa"/>
            <w:vAlign w:val="center"/>
          </w:tcPr>
          <w:p w14:paraId="08DBDD24" w14:textId="77777777" w:rsidR="00454A29" w:rsidRDefault="00454A29">
            <w:pPr>
              <w:pStyle w:val="ConsPlusNormal"/>
            </w:pPr>
          </w:p>
        </w:tc>
        <w:tc>
          <w:tcPr>
            <w:tcW w:w="1701" w:type="dxa"/>
            <w:vAlign w:val="center"/>
          </w:tcPr>
          <w:p w14:paraId="75BF673F" w14:textId="77777777" w:rsidR="00454A29" w:rsidRDefault="00454A29">
            <w:pPr>
              <w:pStyle w:val="ConsPlusNormal"/>
            </w:pPr>
          </w:p>
        </w:tc>
        <w:tc>
          <w:tcPr>
            <w:tcW w:w="1701" w:type="dxa"/>
            <w:vAlign w:val="center"/>
          </w:tcPr>
          <w:p w14:paraId="4AE8CC6E" w14:textId="77777777" w:rsidR="00454A29" w:rsidRDefault="00454A29">
            <w:pPr>
              <w:pStyle w:val="ConsPlusNormal"/>
            </w:pPr>
          </w:p>
        </w:tc>
        <w:tc>
          <w:tcPr>
            <w:tcW w:w="1814" w:type="dxa"/>
            <w:vAlign w:val="center"/>
          </w:tcPr>
          <w:p w14:paraId="5FF76B34" w14:textId="77777777" w:rsidR="00454A29" w:rsidRDefault="00454A29">
            <w:pPr>
              <w:pStyle w:val="ConsPlusNormal"/>
            </w:pPr>
          </w:p>
        </w:tc>
      </w:tr>
      <w:tr w:rsidR="00454A29" w14:paraId="0C0668A0" w14:textId="77777777">
        <w:tc>
          <w:tcPr>
            <w:tcW w:w="567" w:type="dxa"/>
            <w:vMerge/>
          </w:tcPr>
          <w:p w14:paraId="5EDFD973" w14:textId="77777777" w:rsidR="00454A29" w:rsidRDefault="00454A29"/>
        </w:tc>
        <w:tc>
          <w:tcPr>
            <w:tcW w:w="3345" w:type="dxa"/>
            <w:vMerge/>
          </w:tcPr>
          <w:p w14:paraId="4CA60AC3" w14:textId="77777777" w:rsidR="00454A29" w:rsidRDefault="00454A29"/>
        </w:tc>
        <w:tc>
          <w:tcPr>
            <w:tcW w:w="1701" w:type="dxa"/>
            <w:vAlign w:val="center"/>
          </w:tcPr>
          <w:p w14:paraId="18F7A998" w14:textId="77777777" w:rsidR="00454A29" w:rsidRDefault="00454A29">
            <w:pPr>
              <w:pStyle w:val="ConsPlusNormal"/>
              <w:jc w:val="center"/>
            </w:pPr>
            <w:r>
              <w:t>2021</w:t>
            </w:r>
          </w:p>
        </w:tc>
        <w:tc>
          <w:tcPr>
            <w:tcW w:w="1417" w:type="dxa"/>
            <w:vMerge/>
          </w:tcPr>
          <w:p w14:paraId="7031DC05" w14:textId="77777777" w:rsidR="00454A29" w:rsidRDefault="00454A29"/>
        </w:tc>
        <w:tc>
          <w:tcPr>
            <w:tcW w:w="2204" w:type="dxa"/>
            <w:vMerge/>
          </w:tcPr>
          <w:p w14:paraId="43D2A7AC" w14:textId="77777777" w:rsidR="00454A29" w:rsidRDefault="00454A29"/>
        </w:tc>
        <w:tc>
          <w:tcPr>
            <w:tcW w:w="1417" w:type="dxa"/>
            <w:vMerge/>
          </w:tcPr>
          <w:p w14:paraId="03775511" w14:textId="77777777" w:rsidR="00454A29" w:rsidRDefault="00454A29"/>
        </w:tc>
        <w:tc>
          <w:tcPr>
            <w:tcW w:w="2324" w:type="dxa"/>
            <w:vMerge/>
          </w:tcPr>
          <w:p w14:paraId="14073004" w14:textId="77777777" w:rsidR="00454A29" w:rsidRDefault="00454A29"/>
        </w:tc>
        <w:tc>
          <w:tcPr>
            <w:tcW w:w="1701" w:type="dxa"/>
            <w:vAlign w:val="center"/>
          </w:tcPr>
          <w:p w14:paraId="72C9BDD3" w14:textId="77777777" w:rsidR="00454A29" w:rsidRDefault="00454A29">
            <w:pPr>
              <w:pStyle w:val="ConsPlusNormal"/>
              <w:jc w:val="center"/>
            </w:pPr>
            <w:r>
              <w:t>-</w:t>
            </w:r>
          </w:p>
        </w:tc>
        <w:tc>
          <w:tcPr>
            <w:tcW w:w="1814" w:type="dxa"/>
            <w:vAlign w:val="center"/>
          </w:tcPr>
          <w:p w14:paraId="40844695" w14:textId="77777777" w:rsidR="00454A29" w:rsidRDefault="00454A29">
            <w:pPr>
              <w:pStyle w:val="ConsPlusNormal"/>
            </w:pPr>
          </w:p>
        </w:tc>
        <w:tc>
          <w:tcPr>
            <w:tcW w:w="1701" w:type="dxa"/>
            <w:vAlign w:val="center"/>
          </w:tcPr>
          <w:p w14:paraId="2D949095" w14:textId="77777777" w:rsidR="00454A29" w:rsidRDefault="00454A29">
            <w:pPr>
              <w:pStyle w:val="ConsPlusNormal"/>
            </w:pPr>
          </w:p>
        </w:tc>
        <w:tc>
          <w:tcPr>
            <w:tcW w:w="1701" w:type="dxa"/>
            <w:vAlign w:val="center"/>
          </w:tcPr>
          <w:p w14:paraId="377B5E6D" w14:textId="77777777" w:rsidR="00454A29" w:rsidRDefault="00454A29">
            <w:pPr>
              <w:pStyle w:val="ConsPlusNormal"/>
            </w:pPr>
          </w:p>
        </w:tc>
        <w:tc>
          <w:tcPr>
            <w:tcW w:w="1814" w:type="dxa"/>
            <w:vAlign w:val="center"/>
          </w:tcPr>
          <w:p w14:paraId="12E23B37" w14:textId="77777777" w:rsidR="00454A29" w:rsidRDefault="00454A29">
            <w:pPr>
              <w:pStyle w:val="ConsPlusNormal"/>
            </w:pPr>
          </w:p>
        </w:tc>
      </w:tr>
      <w:tr w:rsidR="00454A29" w14:paraId="0138FB3C" w14:textId="77777777">
        <w:tc>
          <w:tcPr>
            <w:tcW w:w="567" w:type="dxa"/>
            <w:vMerge/>
          </w:tcPr>
          <w:p w14:paraId="6CE88C14" w14:textId="77777777" w:rsidR="00454A29" w:rsidRDefault="00454A29"/>
        </w:tc>
        <w:tc>
          <w:tcPr>
            <w:tcW w:w="3345" w:type="dxa"/>
            <w:vMerge/>
          </w:tcPr>
          <w:p w14:paraId="3052BFD2" w14:textId="77777777" w:rsidR="00454A29" w:rsidRDefault="00454A29"/>
        </w:tc>
        <w:tc>
          <w:tcPr>
            <w:tcW w:w="1701" w:type="dxa"/>
            <w:vAlign w:val="center"/>
          </w:tcPr>
          <w:p w14:paraId="7195AC22" w14:textId="77777777" w:rsidR="00454A29" w:rsidRDefault="00454A29">
            <w:pPr>
              <w:pStyle w:val="ConsPlusNormal"/>
              <w:jc w:val="center"/>
            </w:pPr>
            <w:r>
              <w:t>2022</w:t>
            </w:r>
          </w:p>
        </w:tc>
        <w:tc>
          <w:tcPr>
            <w:tcW w:w="1417" w:type="dxa"/>
            <w:vMerge/>
          </w:tcPr>
          <w:p w14:paraId="15F9942F" w14:textId="77777777" w:rsidR="00454A29" w:rsidRDefault="00454A29"/>
        </w:tc>
        <w:tc>
          <w:tcPr>
            <w:tcW w:w="2204" w:type="dxa"/>
            <w:vMerge/>
          </w:tcPr>
          <w:p w14:paraId="22B67E0E" w14:textId="77777777" w:rsidR="00454A29" w:rsidRDefault="00454A29"/>
        </w:tc>
        <w:tc>
          <w:tcPr>
            <w:tcW w:w="1417" w:type="dxa"/>
            <w:vMerge/>
          </w:tcPr>
          <w:p w14:paraId="4E0EB4A7" w14:textId="77777777" w:rsidR="00454A29" w:rsidRDefault="00454A29"/>
        </w:tc>
        <w:tc>
          <w:tcPr>
            <w:tcW w:w="2324" w:type="dxa"/>
            <w:vMerge/>
          </w:tcPr>
          <w:p w14:paraId="25355525" w14:textId="77777777" w:rsidR="00454A29" w:rsidRDefault="00454A29"/>
        </w:tc>
        <w:tc>
          <w:tcPr>
            <w:tcW w:w="1701" w:type="dxa"/>
            <w:vAlign w:val="center"/>
          </w:tcPr>
          <w:p w14:paraId="0A102431" w14:textId="77777777" w:rsidR="00454A29" w:rsidRDefault="00454A29">
            <w:pPr>
              <w:pStyle w:val="ConsPlusNormal"/>
              <w:jc w:val="center"/>
            </w:pPr>
            <w:r>
              <w:t>-</w:t>
            </w:r>
          </w:p>
        </w:tc>
        <w:tc>
          <w:tcPr>
            <w:tcW w:w="1814" w:type="dxa"/>
            <w:vAlign w:val="center"/>
          </w:tcPr>
          <w:p w14:paraId="284924AC" w14:textId="77777777" w:rsidR="00454A29" w:rsidRDefault="00454A29">
            <w:pPr>
              <w:pStyle w:val="ConsPlusNormal"/>
            </w:pPr>
          </w:p>
        </w:tc>
        <w:tc>
          <w:tcPr>
            <w:tcW w:w="1701" w:type="dxa"/>
            <w:vAlign w:val="center"/>
          </w:tcPr>
          <w:p w14:paraId="1910AF28" w14:textId="77777777" w:rsidR="00454A29" w:rsidRDefault="00454A29">
            <w:pPr>
              <w:pStyle w:val="ConsPlusNormal"/>
            </w:pPr>
          </w:p>
        </w:tc>
        <w:tc>
          <w:tcPr>
            <w:tcW w:w="1701" w:type="dxa"/>
            <w:vAlign w:val="center"/>
          </w:tcPr>
          <w:p w14:paraId="301C4EC0" w14:textId="77777777" w:rsidR="00454A29" w:rsidRDefault="00454A29">
            <w:pPr>
              <w:pStyle w:val="ConsPlusNormal"/>
            </w:pPr>
          </w:p>
        </w:tc>
        <w:tc>
          <w:tcPr>
            <w:tcW w:w="1814" w:type="dxa"/>
            <w:vAlign w:val="center"/>
          </w:tcPr>
          <w:p w14:paraId="4905DE96" w14:textId="77777777" w:rsidR="00454A29" w:rsidRDefault="00454A29">
            <w:pPr>
              <w:pStyle w:val="ConsPlusNormal"/>
            </w:pPr>
          </w:p>
        </w:tc>
      </w:tr>
      <w:tr w:rsidR="00454A29" w14:paraId="2F8033C6" w14:textId="77777777">
        <w:tc>
          <w:tcPr>
            <w:tcW w:w="567" w:type="dxa"/>
            <w:vMerge/>
          </w:tcPr>
          <w:p w14:paraId="020ADF01" w14:textId="77777777" w:rsidR="00454A29" w:rsidRDefault="00454A29"/>
        </w:tc>
        <w:tc>
          <w:tcPr>
            <w:tcW w:w="3345" w:type="dxa"/>
            <w:vMerge/>
          </w:tcPr>
          <w:p w14:paraId="7619D14C" w14:textId="77777777" w:rsidR="00454A29" w:rsidRDefault="00454A29"/>
        </w:tc>
        <w:tc>
          <w:tcPr>
            <w:tcW w:w="1701" w:type="dxa"/>
            <w:vAlign w:val="center"/>
          </w:tcPr>
          <w:p w14:paraId="577F5531" w14:textId="77777777" w:rsidR="00454A29" w:rsidRDefault="00454A29">
            <w:pPr>
              <w:pStyle w:val="ConsPlusNormal"/>
              <w:jc w:val="center"/>
            </w:pPr>
            <w:r>
              <w:t>2023</w:t>
            </w:r>
          </w:p>
        </w:tc>
        <w:tc>
          <w:tcPr>
            <w:tcW w:w="1417" w:type="dxa"/>
            <w:vMerge/>
          </w:tcPr>
          <w:p w14:paraId="4AF41EC7" w14:textId="77777777" w:rsidR="00454A29" w:rsidRDefault="00454A29"/>
        </w:tc>
        <w:tc>
          <w:tcPr>
            <w:tcW w:w="2204" w:type="dxa"/>
            <w:vMerge/>
          </w:tcPr>
          <w:p w14:paraId="124D9A4D" w14:textId="77777777" w:rsidR="00454A29" w:rsidRDefault="00454A29"/>
        </w:tc>
        <w:tc>
          <w:tcPr>
            <w:tcW w:w="1417" w:type="dxa"/>
            <w:vMerge/>
          </w:tcPr>
          <w:p w14:paraId="462545ED" w14:textId="77777777" w:rsidR="00454A29" w:rsidRDefault="00454A29"/>
        </w:tc>
        <w:tc>
          <w:tcPr>
            <w:tcW w:w="2324" w:type="dxa"/>
            <w:vMerge/>
          </w:tcPr>
          <w:p w14:paraId="1EF879A7" w14:textId="77777777" w:rsidR="00454A29" w:rsidRDefault="00454A29"/>
        </w:tc>
        <w:tc>
          <w:tcPr>
            <w:tcW w:w="1701" w:type="dxa"/>
            <w:vAlign w:val="center"/>
          </w:tcPr>
          <w:p w14:paraId="3D5FCC5E" w14:textId="77777777" w:rsidR="00454A29" w:rsidRDefault="00454A29">
            <w:pPr>
              <w:pStyle w:val="ConsPlusNormal"/>
              <w:jc w:val="center"/>
            </w:pPr>
            <w:r>
              <w:t>-</w:t>
            </w:r>
          </w:p>
        </w:tc>
        <w:tc>
          <w:tcPr>
            <w:tcW w:w="1814" w:type="dxa"/>
            <w:vAlign w:val="center"/>
          </w:tcPr>
          <w:p w14:paraId="1F2FFDAE" w14:textId="77777777" w:rsidR="00454A29" w:rsidRDefault="00454A29">
            <w:pPr>
              <w:pStyle w:val="ConsPlusNormal"/>
            </w:pPr>
          </w:p>
        </w:tc>
        <w:tc>
          <w:tcPr>
            <w:tcW w:w="1701" w:type="dxa"/>
            <w:vAlign w:val="center"/>
          </w:tcPr>
          <w:p w14:paraId="0F23B349" w14:textId="77777777" w:rsidR="00454A29" w:rsidRDefault="00454A29">
            <w:pPr>
              <w:pStyle w:val="ConsPlusNormal"/>
            </w:pPr>
          </w:p>
        </w:tc>
        <w:tc>
          <w:tcPr>
            <w:tcW w:w="1701" w:type="dxa"/>
            <w:vAlign w:val="center"/>
          </w:tcPr>
          <w:p w14:paraId="67A1BE66" w14:textId="77777777" w:rsidR="00454A29" w:rsidRDefault="00454A29">
            <w:pPr>
              <w:pStyle w:val="ConsPlusNormal"/>
            </w:pPr>
          </w:p>
        </w:tc>
        <w:tc>
          <w:tcPr>
            <w:tcW w:w="1814" w:type="dxa"/>
            <w:vAlign w:val="center"/>
          </w:tcPr>
          <w:p w14:paraId="431248D0" w14:textId="77777777" w:rsidR="00454A29" w:rsidRDefault="00454A29">
            <w:pPr>
              <w:pStyle w:val="ConsPlusNormal"/>
            </w:pPr>
          </w:p>
        </w:tc>
      </w:tr>
      <w:tr w:rsidR="00454A29" w14:paraId="42B1DA93" w14:textId="77777777">
        <w:tc>
          <w:tcPr>
            <w:tcW w:w="567" w:type="dxa"/>
            <w:vMerge/>
          </w:tcPr>
          <w:p w14:paraId="644EEF18" w14:textId="77777777" w:rsidR="00454A29" w:rsidRDefault="00454A29"/>
        </w:tc>
        <w:tc>
          <w:tcPr>
            <w:tcW w:w="3345" w:type="dxa"/>
            <w:vMerge/>
          </w:tcPr>
          <w:p w14:paraId="43376674" w14:textId="77777777" w:rsidR="00454A29" w:rsidRDefault="00454A29"/>
        </w:tc>
        <w:tc>
          <w:tcPr>
            <w:tcW w:w="1701" w:type="dxa"/>
            <w:vAlign w:val="center"/>
          </w:tcPr>
          <w:p w14:paraId="3F6237D9" w14:textId="77777777" w:rsidR="00454A29" w:rsidRDefault="00454A29">
            <w:pPr>
              <w:pStyle w:val="ConsPlusNormal"/>
              <w:jc w:val="center"/>
            </w:pPr>
            <w:r>
              <w:t>2024</w:t>
            </w:r>
          </w:p>
        </w:tc>
        <w:tc>
          <w:tcPr>
            <w:tcW w:w="1417" w:type="dxa"/>
            <w:vMerge/>
          </w:tcPr>
          <w:p w14:paraId="36055327" w14:textId="77777777" w:rsidR="00454A29" w:rsidRDefault="00454A29"/>
        </w:tc>
        <w:tc>
          <w:tcPr>
            <w:tcW w:w="2204" w:type="dxa"/>
            <w:vMerge/>
          </w:tcPr>
          <w:p w14:paraId="0553D869" w14:textId="77777777" w:rsidR="00454A29" w:rsidRDefault="00454A29"/>
        </w:tc>
        <w:tc>
          <w:tcPr>
            <w:tcW w:w="1417" w:type="dxa"/>
            <w:vMerge/>
          </w:tcPr>
          <w:p w14:paraId="7CA1F46E" w14:textId="77777777" w:rsidR="00454A29" w:rsidRDefault="00454A29"/>
        </w:tc>
        <w:tc>
          <w:tcPr>
            <w:tcW w:w="2324" w:type="dxa"/>
            <w:vMerge/>
          </w:tcPr>
          <w:p w14:paraId="6C2B1A51" w14:textId="77777777" w:rsidR="00454A29" w:rsidRDefault="00454A29"/>
        </w:tc>
        <w:tc>
          <w:tcPr>
            <w:tcW w:w="1701" w:type="dxa"/>
            <w:vAlign w:val="center"/>
          </w:tcPr>
          <w:p w14:paraId="4C9D8717" w14:textId="77777777" w:rsidR="00454A29" w:rsidRDefault="00454A29">
            <w:pPr>
              <w:pStyle w:val="ConsPlusNormal"/>
              <w:jc w:val="center"/>
            </w:pPr>
            <w:r>
              <w:t>34 034,30</w:t>
            </w:r>
          </w:p>
        </w:tc>
        <w:tc>
          <w:tcPr>
            <w:tcW w:w="1814" w:type="dxa"/>
            <w:vAlign w:val="center"/>
          </w:tcPr>
          <w:p w14:paraId="52546C53" w14:textId="77777777" w:rsidR="00454A29" w:rsidRDefault="00454A29">
            <w:pPr>
              <w:pStyle w:val="ConsPlusNormal"/>
              <w:jc w:val="center"/>
            </w:pPr>
            <w:r>
              <w:t>34 034,30</w:t>
            </w:r>
          </w:p>
        </w:tc>
        <w:tc>
          <w:tcPr>
            <w:tcW w:w="1701" w:type="dxa"/>
            <w:vAlign w:val="center"/>
          </w:tcPr>
          <w:p w14:paraId="0BCC865F" w14:textId="77777777" w:rsidR="00454A29" w:rsidRDefault="00454A29">
            <w:pPr>
              <w:pStyle w:val="ConsPlusNormal"/>
            </w:pPr>
          </w:p>
        </w:tc>
        <w:tc>
          <w:tcPr>
            <w:tcW w:w="1701" w:type="dxa"/>
            <w:vAlign w:val="center"/>
          </w:tcPr>
          <w:p w14:paraId="404B924D" w14:textId="77777777" w:rsidR="00454A29" w:rsidRDefault="00454A29">
            <w:pPr>
              <w:pStyle w:val="ConsPlusNormal"/>
            </w:pPr>
          </w:p>
        </w:tc>
        <w:tc>
          <w:tcPr>
            <w:tcW w:w="1814" w:type="dxa"/>
            <w:vAlign w:val="center"/>
          </w:tcPr>
          <w:p w14:paraId="2E3858C2" w14:textId="77777777" w:rsidR="00454A29" w:rsidRDefault="00454A29">
            <w:pPr>
              <w:pStyle w:val="ConsPlusNormal"/>
            </w:pPr>
          </w:p>
        </w:tc>
      </w:tr>
      <w:tr w:rsidR="00454A29" w14:paraId="2DFE9568" w14:textId="77777777">
        <w:tc>
          <w:tcPr>
            <w:tcW w:w="567" w:type="dxa"/>
            <w:vMerge/>
          </w:tcPr>
          <w:p w14:paraId="3C1B19E9" w14:textId="77777777" w:rsidR="00454A29" w:rsidRDefault="00454A29"/>
        </w:tc>
        <w:tc>
          <w:tcPr>
            <w:tcW w:w="3345" w:type="dxa"/>
            <w:vMerge/>
          </w:tcPr>
          <w:p w14:paraId="76BDD7AF" w14:textId="77777777" w:rsidR="00454A29" w:rsidRDefault="00454A29"/>
        </w:tc>
        <w:tc>
          <w:tcPr>
            <w:tcW w:w="1701" w:type="dxa"/>
            <w:vAlign w:val="center"/>
          </w:tcPr>
          <w:p w14:paraId="6C083ED2" w14:textId="77777777" w:rsidR="00454A29" w:rsidRDefault="00454A29">
            <w:pPr>
              <w:pStyle w:val="ConsPlusNormal"/>
              <w:jc w:val="center"/>
            </w:pPr>
            <w:r>
              <w:t>2025</w:t>
            </w:r>
          </w:p>
        </w:tc>
        <w:tc>
          <w:tcPr>
            <w:tcW w:w="1417" w:type="dxa"/>
            <w:vMerge/>
          </w:tcPr>
          <w:p w14:paraId="135EEE03" w14:textId="77777777" w:rsidR="00454A29" w:rsidRDefault="00454A29"/>
        </w:tc>
        <w:tc>
          <w:tcPr>
            <w:tcW w:w="2204" w:type="dxa"/>
            <w:vMerge/>
          </w:tcPr>
          <w:p w14:paraId="3BDD95F9" w14:textId="77777777" w:rsidR="00454A29" w:rsidRDefault="00454A29"/>
        </w:tc>
        <w:tc>
          <w:tcPr>
            <w:tcW w:w="1417" w:type="dxa"/>
            <w:vMerge/>
          </w:tcPr>
          <w:p w14:paraId="3ECF43BB" w14:textId="77777777" w:rsidR="00454A29" w:rsidRDefault="00454A29"/>
        </w:tc>
        <w:tc>
          <w:tcPr>
            <w:tcW w:w="2324" w:type="dxa"/>
            <w:vMerge/>
          </w:tcPr>
          <w:p w14:paraId="30662158" w14:textId="77777777" w:rsidR="00454A29" w:rsidRDefault="00454A29"/>
        </w:tc>
        <w:tc>
          <w:tcPr>
            <w:tcW w:w="1701" w:type="dxa"/>
            <w:vAlign w:val="center"/>
          </w:tcPr>
          <w:p w14:paraId="591A0096" w14:textId="77777777" w:rsidR="00454A29" w:rsidRDefault="00454A29">
            <w:pPr>
              <w:pStyle w:val="ConsPlusNormal"/>
              <w:jc w:val="center"/>
            </w:pPr>
            <w:r>
              <w:t>-</w:t>
            </w:r>
          </w:p>
        </w:tc>
        <w:tc>
          <w:tcPr>
            <w:tcW w:w="1814" w:type="dxa"/>
            <w:vAlign w:val="center"/>
          </w:tcPr>
          <w:p w14:paraId="55956F9B" w14:textId="77777777" w:rsidR="00454A29" w:rsidRDefault="00454A29">
            <w:pPr>
              <w:pStyle w:val="ConsPlusNormal"/>
            </w:pPr>
          </w:p>
        </w:tc>
        <w:tc>
          <w:tcPr>
            <w:tcW w:w="1701" w:type="dxa"/>
            <w:vAlign w:val="center"/>
          </w:tcPr>
          <w:p w14:paraId="60E76379" w14:textId="77777777" w:rsidR="00454A29" w:rsidRDefault="00454A29">
            <w:pPr>
              <w:pStyle w:val="ConsPlusNormal"/>
            </w:pPr>
          </w:p>
        </w:tc>
        <w:tc>
          <w:tcPr>
            <w:tcW w:w="1701" w:type="dxa"/>
            <w:vAlign w:val="center"/>
          </w:tcPr>
          <w:p w14:paraId="27E014D1" w14:textId="77777777" w:rsidR="00454A29" w:rsidRDefault="00454A29">
            <w:pPr>
              <w:pStyle w:val="ConsPlusNormal"/>
            </w:pPr>
          </w:p>
        </w:tc>
        <w:tc>
          <w:tcPr>
            <w:tcW w:w="1814" w:type="dxa"/>
            <w:vAlign w:val="center"/>
          </w:tcPr>
          <w:p w14:paraId="5A8B5311" w14:textId="77777777" w:rsidR="00454A29" w:rsidRDefault="00454A29">
            <w:pPr>
              <w:pStyle w:val="ConsPlusNormal"/>
            </w:pPr>
          </w:p>
        </w:tc>
      </w:tr>
      <w:tr w:rsidR="00454A29" w14:paraId="5941AA6B" w14:textId="77777777">
        <w:tc>
          <w:tcPr>
            <w:tcW w:w="567" w:type="dxa"/>
            <w:vMerge/>
          </w:tcPr>
          <w:p w14:paraId="1AB695A5" w14:textId="77777777" w:rsidR="00454A29" w:rsidRDefault="00454A29"/>
        </w:tc>
        <w:tc>
          <w:tcPr>
            <w:tcW w:w="3345" w:type="dxa"/>
            <w:vMerge/>
          </w:tcPr>
          <w:p w14:paraId="69978CC4" w14:textId="77777777" w:rsidR="00454A29" w:rsidRDefault="00454A29"/>
        </w:tc>
        <w:tc>
          <w:tcPr>
            <w:tcW w:w="1701" w:type="dxa"/>
            <w:vAlign w:val="center"/>
          </w:tcPr>
          <w:p w14:paraId="76003363" w14:textId="77777777" w:rsidR="00454A29" w:rsidRDefault="00454A29">
            <w:pPr>
              <w:pStyle w:val="ConsPlusNormal"/>
              <w:jc w:val="center"/>
            </w:pPr>
            <w:r>
              <w:t>2026</w:t>
            </w:r>
          </w:p>
        </w:tc>
        <w:tc>
          <w:tcPr>
            <w:tcW w:w="1417" w:type="dxa"/>
            <w:vMerge/>
          </w:tcPr>
          <w:p w14:paraId="00C0444C" w14:textId="77777777" w:rsidR="00454A29" w:rsidRDefault="00454A29"/>
        </w:tc>
        <w:tc>
          <w:tcPr>
            <w:tcW w:w="2204" w:type="dxa"/>
            <w:vMerge/>
          </w:tcPr>
          <w:p w14:paraId="6B08B74D" w14:textId="77777777" w:rsidR="00454A29" w:rsidRDefault="00454A29"/>
        </w:tc>
        <w:tc>
          <w:tcPr>
            <w:tcW w:w="1417" w:type="dxa"/>
            <w:vMerge/>
          </w:tcPr>
          <w:p w14:paraId="486CFECF" w14:textId="77777777" w:rsidR="00454A29" w:rsidRDefault="00454A29"/>
        </w:tc>
        <w:tc>
          <w:tcPr>
            <w:tcW w:w="2324" w:type="dxa"/>
            <w:vMerge/>
          </w:tcPr>
          <w:p w14:paraId="1878178E" w14:textId="77777777" w:rsidR="00454A29" w:rsidRDefault="00454A29"/>
        </w:tc>
        <w:tc>
          <w:tcPr>
            <w:tcW w:w="1701" w:type="dxa"/>
            <w:vAlign w:val="center"/>
          </w:tcPr>
          <w:p w14:paraId="522C5995" w14:textId="77777777" w:rsidR="00454A29" w:rsidRDefault="00454A29">
            <w:pPr>
              <w:pStyle w:val="ConsPlusNormal"/>
              <w:jc w:val="center"/>
            </w:pPr>
            <w:r>
              <w:t>-</w:t>
            </w:r>
          </w:p>
        </w:tc>
        <w:tc>
          <w:tcPr>
            <w:tcW w:w="1814" w:type="dxa"/>
            <w:vAlign w:val="center"/>
          </w:tcPr>
          <w:p w14:paraId="0A758F69" w14:textId="77777777" w:rsidR="00454A29" w:rsidRDefault="00454A29">
            <w:pPr>
              <w:pStyle w:val="ConsPlusNormal"/>
            </w:pPr>
          </w:p>
        </w:tc>
        <w:tc>
          <w:tcPr>
            <w:tcW w:w="1701" w:type="dxa"/>
            <w:vAlign w:val="center"/>
          </w:tcPr>
          <w:p w14:paraId="5B0B604C" w14:textId="77777777" w:rsidR="00454A29" w:rsidRDefault="00454A29">
            <w:pPr>
              <w:pStyle w:val="ConsPlusNormal"/>
            </w:pPr>
          </w:p>
        </w:tc>
        <w:tc>
          <w:tcPr>
            <w:tcW w:w="1701" w:type="dxa"/>
            <w:vAlign w:val="center"/>
          </w:tcPr>
          <w:p w14:paraId="5E7A2371" w14:textId="77777777" w:rsidR="00454A29" w:rsidRDefault="00454A29">
            <w:pPr>
              <w:pStyle w:val="ConsPlusNormal"/>
            </w:pPr>
          </w:p>
        </w:tc>
        <w:tc>
          <w:tcPr>
            <w:tcW w:w="1814" w:type="dxa"/>
            <w:vAlign w:val="center"/>
          </w:tcPr>
          <w:p w14:paraId="0EAE8C1B" w14:textId="77777777" w:rsidR="00454A29" w:rsidRDefault="00454A29">
            <w:pPr>
              <w:pStyle w:val="ConsPlusNormal"/>
            </w:pPr>
          </w:p>
        </w:tc>
      </w:tr>
      <w:tr w:rsidR="00454A29" w14:paraId="4D558F88" w14:textId="77777777">
        <w:tc>
          <w:tcPr>
            <w:tcW w:w="567" w:type="dxa"/>
            <w:vMerge w:val="restart"/>
            <w:vAlign w:val="center"/>
          </w:tcPr>
          <w:p w14:paraId="4733B711" w14:textId="77777777" w:rsidR="00454A29" w:rsidRDefault="00454A29">
            <w:pPr>
              <w:pStyle w:val="ConsPlusNormal"/>
              <w:jc w:val="center"/>
            </w:pPr>
            <w:r>
              <w:t>10</w:t>
            </w:r>
          </w:p>
        </w:tc>
        <w:tc>
          <w:tcPr>
            <w:tcW w:w="3345" w:type="dxa"/>
            <w:vMerge w:val="restart"/>
            <w:vAlign w:val="center"/>
          </w:tcPr>
          <w:p w14:paraId="2602EC1B" w14:textId="77777777" w:rsidR="00454A29" w:rsidRDefault="00454A29">
            <w:pPr>
              <w:pStyle w:val="ConsPlusNormal"/>
              <w:jc w:val="center"/>
            </w:pPr>
            <w:r>
              <w:t>Детский сад на 30 мест в с. Тобуя Верхневилюйского улуса</w:t>
            </w:r>
          </w:p>
        </w:tc>
        <w:tc>
          <w:tcPr>
            <w:tcW w:w="1701" w:type="dxa"/>
            <w:vAlign w:val="center"/>
          </w:tcPr>
          <w:p w14:paraId="592894FC" w14:textId="77777777" w:rsidR="00454A29" w:rsidRDefault="00454A29">
            <w:pPr>
              <w:pStyle w:val="ConsPlusNormal"/>
              <w:jc w:val="center"/>
            </w:pPr>
            <w:r>
              <w:t>2020 - 2026 годы - всего</w:t>
            </w:r>
          </w:p>
        </w:tc>
        <w:tc>
          <w:tcPr>
            <w:tcW w:w="1417" w:type="dxa"/>
            <w:vMerge w:val="restart"/>
            <w:vAlign w:val="center"/>
          </w:tcPr>
          <w:p w14:paraId="04E864D6" w14:textId="77777777" w:rsidR="00454A29" w:rsidRDefault="00454A29">
            <w:pPr>
              <w:pStyle w:val="ConsPlusNormal"/>
              <w:jc w:val="center"/>
            </w:pPr>
            <w:r>
              <w:t>34 034,30</w:t>
            </w:r>
          </w:p>
        </w:tc>
        <w:tc>
          <w:tcPr>
            <w:tcW w:w="2204" w:type="dxa"/>
            <w:vMerge w:val="restart"/>
            <w:vAlign w:val="center"/>
          </w:tcPr>
          <w:p w14:paraId="62711EB0" w14:textId="77777777" w:rsidR="00454A29" w:rsidRDefault="00454A29">
            <w:pPr>
              <w:pStyle w:val="ConsPlusNormal"/>
            </w:pPr>
          </w:p>
        </w:tc>
        <w:tc>
          <w:tcPr>
            <w:tcW w:w="1417" w:type="dxa"/>
            <w:vMerge w:val="restart"/>
            <w:vAlign w:val="center"/>
          </w:tcPr>
          <w:p w14:paraId="28B32194" w14:textId="77777777" w:rsidR="00454A29" w:rsidRDefault="00454A29">
            <w:pPr>
              <w:pStyle w:val="ConsPlusNormal"/>
              <w:jc w:val="center"/>
            </w:pPr>
            <w:r>
              <w:t>30</w:t>
            </w:r>
          </w:p>
        </w:tc>
        <w:tc>
          <w:tcPr>
            <w:tcW w:w="2324" w:type="dxa"/>
            <w:vMerge w:val="restart"/>
            <w:vAlign w:val="center"/>
          </w:tcPr>
          <w:p w14:paraId="7B1BE3DC"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801587E" w14:textId="77777777" w:rsidR="00454A29" w:rsidRDefault="00454A29">
            <w:pPr>
              <w:pStyle w:val="ConsPlusNormal"/>
              <w:jc w:val="center"/>
            </w:pPr>
            <w:r>
              <w:t>34 034,30</w:t>
            </w:r>
          </w:p>
        </w:tc>
        <w:tc>
          <w:tcPr>
            <w:tcW w:w="1814" w:type="dxa"/>
            <w:vAlign w:val="center"/>
          </w:tcPr>
          <w:p w14:paraId="66ACD76D" w14:textId="77777777" w:rsidR="00454A29" w:rsidRDefault="00454A29">
            <w:pPr>
              <w:pStyle w:val="ConsPlusNormal"/>
              <w:jc w:val="center"/>
            </w:pPr>
            <w:r>
              <w:t>34 034,30</w:t>
            </w:r>
          </w:p>
        </w:tc>
        <w:tc>
          <w:tcPr>
            <w:tcW w:w="1701" w:type="dxa"/>
            <w:vAlign w:val="center"/>
          </w:tcPr>
          <w:p w14:paraId="0FD161F8" w14:textId="77777777" w:rsidR="00454A29" w:rsidRDefault="00454A29">
            <w:pPr>
              <w:pStyle w:val="ConsPlusNormal"/>
              <w:jc w:val="center"/>
            </w:pPr>
            <w:r>
              <w:t>-</w:t>
            </w:r>
          </w:p>
        </w:tc>
        <w:tc>
          <w:tcPr>
            <w:tcW w:w="1701" w:type="dxa"/>
            <w:vAlign w:val="center"/>
          </w:tcPr>
          <w:p w14:paraId="6EA813C0" w14:textId="77777777" w:rsidR="00454A29" w:rsidRDefault="00454A29">
            <w:pPr>
              <w:pStyle w:val="ConsPlusNormal"/>
              <w:jc w:val="center"/>
            </w:pPr>
            <w:r>
              <w:t>-</w:t>
            </w:r>
          </w:p>
        </w:tc>
        <w:tc>
          <w:tcPr>
            <w:tcW w:w="1814" w:type="dxa"/>
            <w:vAlign w:val="center"/>
          </w:tcPr>
          <w:p w14:paraId="410A907B" w14:textId="77777777" w:rsidR="00454A29" w:rsidRDefault="00454A29">
            <w:pPr>
              <w:pStyle w:val="ConsPlusNormal"/>
              <w:jc w:val="center"/>
            </w:pPr>
            <w:r>
              <w:t>-</w:t>
            </w:r>
          </w:p>
        </w:tc>
      </w:tr>
      <w:tr w:rsidR="00454A29" w14:paraId="7A015A08" w14:textId="77777777">
        <w:tc>
          <w:tcPr>
            <w:tcW w:w="567" w:type="dxa"/>
            <w:vMerge/>
          </w:tcPr>
          <w:p w14:paraId="66702DDE" w14:textId="77777777" w:rsidR="00454A29" w:rsidRDefault="00454A29"/>
        </w:tc>
        <w:tc>
          <w:tcPr>
            <w:tcW w:w="3345" w:type="dxa"/>
            <w:vMerge/>
          </w:tcPr>
          <w:p w14:paraId="789C9934" w14:textId="77777777" w:rsidR="00454A29" w:rsidRDefault="00454A29"/>
        </w:tc>
        <w:tc>
          <w:tcPr>
            <w:tcW w:w="1701" w:type="dxa"/>
            <w:vAlign w:val="center"/>
          </w:tcPr>
          <w:p w14:paraId="2AAE4DE3" w14:textId="77777777" w:rsidR="00454A29" w:rsidRDefault="00454A29">
            <w:pPr>
              <w:pStyle w:val="ConsPlusNormal"/>
              <w:jc w:val="center"/>
            </w:pPr>
            <w:r>
              <w:t>2020</w:t>
            </w:r>
          </w:p>
        </w:tc>
        <w:tc>
          <w:tcPr>
            <w:tcW w:w="1417" w:type="dxa"/>
            <w:vMerge/>
          </w:tcPr>
          <w:p w14:paraId="7BEEC9D0" w14:textId="77777777" w:rsidR="00454A29" w:rsidRDefault="00454A29"/>
        </w:tc>
        <w:tc>
          <w:tcPr>
            <w:tcW w:w="2204" w:type="dxa"/>
            <w:vMerge/>
          </w:tcPr>
          <w:p w14:paraId="12C1344A" w14:textId="77777777" w:rsidR="00454A29" w:rsidRDefault="00454A29"/>
        </w:tc>
        <w:tc>
          <w:tcPr>
            <w:tcW w:w="1417" w:type="dxa"/>
            <w:vMerge/>
          </w:tcPr>
          <w:p w14:paraId="18FFBAF3" w14:textId="77777777" w:rsidR="00454A29" w:rsidRDefault="00454A29"/>
        </w:tc>
        <w:tc>
          <w:tcPr>
            <w:tcW w:w="2324" w:type="dxa"/>
            <w:vMerge/>
          </w:tcPr>
          <w:p w14:paraId="25B3BB5E" w14:textId="77777777" w:rsidR="00454A29" w:rsidRDefault="00454A29"/>
        </w:tc>
        <w:tc>
          <w:tcPr>
            <w:tcW w:w="1701" w:type="dxa"/>
            <w:vAlign w:val="center"/>
          </w:tcPr>
          <w:p w14:paraId="7B27DCBC" w14:textId="77777777" w:rsidR="00454A29" w:rsidRDefault="00454A29">
            <w:pPr>
              <w:pStyle w:val="ConsPlusNormal"/>
              <w:jc w:val="center"/>
            </w:pPr>
            <w:r>
              <w:t>-</w:t>
            </w:r>
          </w:p>
        </w:tc>
        <w:tc>
          <w:tcPr>
            <w:tcW w:w="1814" w:type="dxa"/>
            <w:vAlign w:val="center"/>
          </w:tcPr>
          <w:p w14:paraId="434C2576" w14:textId="77777777" w:rsidR="00454A29" w:rsidRDefault="00454A29">
            <w:pPr>
              <w:pStyle w:val="ConsPlusNormal"/>
            </w:pPr>
          </w:p>
        </w:tc>
        <w:tc>
          <w:tcPr>
            <w:tcW w:w="1701" w:type="dxa"/>
            <w:vAlign w:val="center"/>
          </w:tcPr>
          <w:p w14:paraId="5B4601CC" w14:textId="77777777" w:rsidR="00454A29" w:rsidRDefault="00454A29">
            <w:pPr>
              <w:pStyle w:val="ConsPlusNormal"/>
            </w:pPr>
          </w:p>
        </w:tc>
        <w:tc>
          <w:tcPr>
            <w:tcW w:w="1701" w:type="dxa"/>
            <w:vAlign w:val="center"/>
          </w:tcPr>
          <w:p w14:paraId="27BFD876" w14:textId="77777777" w:rsidR="00454A29" w:rsidRDefault="00454A29">
            <w:pPr>
              <w:pStyle w:val="ConsPlusNormal"/>
            </w:pPr>
          </w:p>
        </w:tc>
        <w:tc>
          <w:tcPr>
            <w:tcW w:w="1814" w:type="dxa"/>
            <w:vAlign w:val="center"/>
          </w:tcPr>
          <w:p w14:paraId="05DFE92F" w14:textId="77777777" w:rsidR="00454A29" w:rsidRDefault="00454A29">
            <w:pPr>
              <w:pStyle w:val="ConsPlusNormal"/>
            </w:pPr>
          </w:p>
        </w:tc>
      </w:tr>
      <w:tr w:rsidR="00454A29" w14:paraId="5DA50238" w14:textId="77777777">
        <w:tc>
          <w:tcPr>
            <w:tcW w:w="567" w:type="dxa"/>
            <w:vMerge/>
          </w:tcPr>
          <w:p w14:paraId="20E7DA52" w14:textId="77777777" w:rsidR="00454A29" w:rsidRDefault="00454A29"/>
        </w:tc>
        <w:tc>
          <w:tcPr>
            <w:tcW w:w="3345" w:type="dxa"/>
            <w:vMerge/>
          </w:tcPr>
          <w:p w14:paraId="79AF478A" w14:textId="77777777" w:rsidR="00454A29" w:rsidRDefault="00454A29"/>
        </w:tc>
        <w:tc>
          <w:tcPr>
            <w:tcW w:w="1701" w:type="dxa"/>
            <w:vAlign w:val="center"/>
          </w:tcPr>
          <w:p w14:paraId="54586B79" w14:textId="77777777" w:rsidR="00454A29" w:rsidRDefault="00454A29">
            <w:pPr>
              <w:pStyle w:val="ConsPlusNormal"/>
              <w:jc w:val="center"/>
            </w:pPr>
            <w:r>
              <w:t>2021</w:t>
            </w:r>
          </w:p>
        </w:tc>
        <w:tc>
          <w:tcPr>
            <w:tcW w:w="1417" w:type="dxa"/>
            <w:vMerge/>
          </w:tcPr>
          <w:p w14:paraId="5F1FE1FD" w14:textId="77777777" w:rsidR="00454A29" w:rsidRDefault="00454A29"/>
        </w:tc>
        <w:tc>
          <w:tcPr>
            <w:tcW w:w="2204" w:type="dxa"/>
            <w:vMerge/>
          </w:tcPr>
          <w:p w14:paraId="652D895D" w14:textId="77777777" w:rsidR="00454A29" w:rsidRDefault="00454A29"/>
        </w:tc>
        <w:tc>
          <w:tcPr>
            <w:tcW w:w="1417" w:type="dxa"/>
            <w:vMerge/>
          </w:tcPr>
          <w:p w14:paraId="1EFBA88D" w14:textId="77777777" w:rsidR="00454A29" w:rsidRDefault="00454A29"/>
        </w:tc>
        <w:tc>
          <w:tcPr>
            <w:tcW w:w="2324" w:type="dxa"/>
            <w:vMerge/>
          </w:tcPr>
          <w:p w14:paraId="377DF50D" w14:textId="77777777" w:rsidR="00454A29" w:rsidRDefault="00454A29"/>
        </w:tc>
        <w:tc>
          <w:tcPr>
            <w:tcW w:w="1701" w:type="dxa"/>
            <w:vAlign w:val="center"/>
          </w:tcPr>
          <w:p w14:paraId="762EC6AA" w14:textId="77777777" w:rsidR="00454A29" w:rsidRDefault="00454A29">
            <w:pPr>
              <w:pStyle w:val="ConsPlusNormal"/>
              <w:jc w:val="center"/>
            </w:pPr>
            <w:r>
              <w:t>-</w:t>
            </w:r>
          </w:p>
        </w:tc>
        <w:tc>
          <w:tcPr>
            <w:tcW w:w="1814" w:type="dxa"/>
            <w:vAlign w:val="center"/>
          </w:tcPr>
          <w:p w14:paraId="7B886AE1" w14:textId="77777777" w:rsidR="00454A29" w:rsidRDefault="00454A29">
            <w:pPr>
              <w:pStyle w:val="ConsPlusNormal"/>
            </w:pPr>
          </w:p>
        </w:tc>
        <w:tc>
          <w:tcPr>
            <w:tcW w:w="1701" w:type="dxa"/>
            <w:vAlign w:val="center"/>
          </w:tcPr>
          <w:p w14:paraId="3B793525" w14:textId="77777777" w:rsidR="00454A29" w:rsidRDefault="00454A29">
            <w:pPr>
              <w:pStyle w:val="ConsPlusNormal"/>
            </w:pPr>
          </w:p>
        </w:tc>
        <w:tc>
          <w:tcPr>
            <w:tcW w:w="1701" w:type="dxa"/>
            <w:vAlign w:val="center"/>
          </w:tcPr>
          <w:p w14:paraId="33F8AC93" w14:textId="77777777" w:rsidR="00454A29" w:rsidRDefault="00454A29">
            <w:pPr>
              <w:pStyle w:val="ConsPlusNormal"/>
            </w:pPr>
          </w:p>
        </w:tc>
        <w:tc>
          <w:tcPr>
            <w:tcW w:w="1814" w:type="dxa"/>
            <w:vAlign w:val="center"/>
          </w:tcPr>
          <w:p w14:paraId="66015EF6" w14:textId="77777777" w:rsidR="00454A29" w:rsidRDefault="00454A29">
            <w:pPr>
              <w:pStyle w:val="ConsPlusNormal"/>
            </w:pPr>
          </w:p>
        </w:tc>
      </w:tr>
      <w:tr w:rsidR="00454A29" w14:paraId="6334B6F2" w14:textId="77777777">
        <w:tc>
          <w:tcPr>
            <w:tcW w:w="567" w:type="dxa"/>
            <w:vMerge/>
          </w:tcPr>
          <w:p w14:paraId="1E530C0B" w14:textId="77777777" w:rsidR="00454A29" w:rsidRDefault="00454A29"/>
        </w:tc>
        <w:tc>
          <w:tcPr>
            <w:tcW w:w="3345" w:type="dxa"/>
            <w:vMerge/>
          </w:tcPr>
          <w:p w14:paraId="7301B279" w14:textId="77777777" w:rsidR="00454A29" w:rsidRDefault="00454A29"/>
        </w:tc>
        <w:tc>
          <w:tcPr>
            <w:tcW w:w="1701" w:type="dxa"/>
            <w:vAlign w:val="center"/>
          </w:tcPr>
          <w:p w14:paraId="2328B9CE" w14:textId="77777777" w:rsidR="00454A29" w:rsidRDefault="00454A29">
            <w:pPr>
              <w:pStyle w:val="ConsPlusNormal"/>
              <w:jc w:val="center"/>
            </w:pPr>
            <w:r>
              <w:t>2022</w:t>
            </w:r>
          </w:p>
        </w:tc>
        <w:tc>
          <w:tcPr>
            <w:tcW w:w="1417" w:type="dxa"/>
            <w:vMerge/>
          </w:tcPr>
          <w:p w14:paraId="6C6CD266" w14:textId="77777777" w:rsidR="00454A29" w:rsidRDefault="00454A29"/>
        </w:tc>
        <w:tc>
          <w:tcPr>
            <w:tcW w:w="2204" w:type="dxa"/>
            <w:vMerge/>
          </w:tcPr>
          <w:p w14:paraId="25D08699" w14:textId="77777777" w:rsidR="00454A29" w:rsidRDefault="00454A29"/>
        </w:tc>
        <w:tc>
          <w:tcPr>
            <w:tcW w:w="1417" w:type="dxa"/>
            <w:vMerge/>
          </w:tcPr>
          <w:p w14:paraId="4BC852A7" w14:textId="77777777" w:rsidR="00454A29" w:rsidRDefault="00454A29"/>
        </w:tc>
        <w:tc>
          <w:tcPr>
            <w:tcW w:w="2324" w:type="dxa"/>
            <w:vMerge/>
          </w:tcPr>
          <w:p w14:paraId="5F17BDE9" w14:textId="77777777" w:rsidR="00454A29" w:rsidRDefault="00454A29"/>
        </w:tc>
        <w:tc>
          <w:tcPr>
            <w:tcW w:w="1701" w:type="dxa"/>
            <w:vAlign w:val="center"/>
          </w:tcPr>
          <w:p w14:paraId="2CDD8D68" w14:textId="77777777" w:rsidR="00454A29" w:rsidRDefault="00454A29">
            <w:pPr>
              <w:pStyle w:val="ConsPlusNormal"/>
              <w:jc w:val="center"/>
            </w:pPr>
            <w:r>
              <w:t>-</w:t>
            </w:r>
          </w:p>
        </w:tc>
        <w:tc>
          <w:tcPr>
            <w:tcW w:w="1814" w:type="dxa"/>
            <w:vAlign w:val="center"/>
          </w:tcPr>
          <w:p w14:paraId="4A8688A0" w14:textId="77777777" w:rsidR="00454A29" w:rsidRDefault="00454A29">
            <w:pPr>
              <w:pStyle w:val="ConsPlusNormal"/>
            </w:pPr>
          </w:p>
        </w:tc>
        <w:tc>
          <w:tcPr>
            <w:tcW w:w="1701" w:type="dxa"/>
            <w:vAlign w:val="center"/>
          </w:tcPr>
          <w:p w14:paraId="263444A8" w14:textId="77777777" w:rsidR="00454A29" w:rsidRDefault="00454A29">
            <w:pPr>
              <w:pStyle w:val="ConsPlusNormal"/>
            </w:pPr>
          </w:p>
        </w:tc>
        <w:tc>
          <w:tcPr>
            <w:tcW w:w="1701" w:type="dxa"/>
            <w:vAlign w:val="center"/>
          </w:tcPr>
          <w:p w14:paraId="3E3AB567" w14:textId="77777777" w:rsidR="00454A29" w:rsidRDefault="00454A29">
            <w:pPr>
              <w:pStyle w:val="ConsPlusNormal"/>
            </w:pPr>
          </w:p>
        </w:tc>
        <w:tc>
          <w:tcPr>
            <w:tcW w:w="1814" w:type="dxa"/>
            <w:vAlign w:val="center"/>
          </w:tcPr>
          <w:p w14:paraId="6D4DF81F" w14:textId="77777777" w:rsidR="00454A29" w:rsidRDefault="00454A29">
            <w:pPr>
              <w:pStyle w:val="ConsPlusNormal"/>
            </w:pPr>
          </w:p>
        </w:tc>
      </w:tr>
      <w:tr w:rsidR="00454A29" w14:paraId="3AAD41C7" w14:textId="77777777">
        <w:tc>
          <w:tcPr>
            <w:tcW w:w="567" w:type="dxa"/>
            <w:vMerge/>
          </w:tcPr>
          <w:p w14:paraId="785B3B27" w14:textId="77777777" w:rsidR="00454A29" w:rsidRDefault="00454A29"/>
        </w:tc>
        <w:tc>
          <w:tcPr>
            <w:tcW w:w="3345" w:type="dxa"/>
            <w:vMerge/>
          </w:tcPr>
          <w:p w14:paraId="5EF92DD1" w14:textId="77777777" w:rsidR="00454A29" w:rsidRDefault="00454A29"/>
        </w:tc>
        <w:tc>
          <w:tcPr>
            <w:tcW w:w="1701" w:type="dxa"/>
            <w:vAlign w:val="center"/>
          </w:tcPr>
          <w:p w14:paraId="185FA570" w14:textId="77777777" w:rsidR="00454A29" w:rsidRDefault="00454A29">
            <w:pPr>
              <w:pStyle w:val="ConsPlusNormal"/>
              <w:jc w:val="center"/>
            </w:pPr>
            <w:r>
              <w:t>2023</w:t>
            </w:r>
          </w:p>
        </w:tc>
        <w:tc>
          <w:tcPr>
            <w:tcW w:w="1417" w:type="dxa"/>
            <w:vMerge/>
          </w:tcPr>
          <w:p w14:paraId="285A6C7E" w14:textId="77777777" w:rsidR="00454A29" w:rsidRDefault="00454A29"/>
        </w:tc>
        <w:tc>
          <w:tcPr>
            <w:tcW w:w="2204" w:type="dxa"/>
            <w:vMerge/>
          </w:tcPr>
          <w:p w14:paraId="3000D718" w14:textId="77777777" w:rsidR="00454A29" w:rsidRDefault="00454A29"/>
        </w:tc>
        <w:tc>
          <w:tcPr>
            <w:tcW w:w="1417" w:type="dxa"/>
            <w:vMerge/>
          </w:tcPr>
          <w:p w14:paraId="2B488BD6" w14:textId="77777777" w:rsidR="00454A29" w:rsidRDefault="00454A29"/>
        </w:tc>
        <w:tc>
          <w:tcPr>
            <w:tcW w:w="2324" w:type="dxa"/>
            <w:vMerge/>
          </w:tcPr>
          <w:p w14:paraId="19295B99" w14:textId="77777777" w:rsidR="00454A29" w:rsidRDefault="00454A29"/>
        </w:tc>
        <w:tc>
          <w:tcPr>
            <w:tcW w:w="1701" w:type="dxa"/>
            <w:vAlign w:val="center"/>
          </w:tcPr>
          <w:p w14:paraId="62ABC1AA" w14:textId="77777777" w:rsidR="00454A29" w:rsidRDefault="00454A29">
            <w:pPr>
              <w:pStyle w:val="ConsPlusNormal"/>
              <w:jc w:val="center"/>
            </w:pPr>
            <w:r>
              <w:t>-</w:t>
            </w:r>
          </w:p>
        </w:tc>
        <w:tc>
          <w:tcPr>
            <w:tcW w:w="1814" w:type="dxa"/>
            <w:vAlign w:val="center"/>
          </w:tcPr>
          <w:p w14:paraId="723182BA" w14:textId="77777777" w:rsidR="00454A29" w:rsidRDefault="00454A29">
            <w:pPr>
              <w:pStyle w:val="ConsPlusNormal"/>
            </w:pPr>
          </w:p>
        </w:tc>
        <w:tc>
          <w:tcPr>
            <w:tcW w:w="1701" w:type="dxa"/>
            <w:vAlign w:val="center"/>
          </w:tcPr>
          <w:p w14:paraId="70710FF4" w14:textId="77777777" w:rsidR="00454A29" w:rsidRDefault="00454A29">
            <w:pPr>
              <w:pStyle w:val="ConsPlusNormal"/>
            </w:pPr>
          </w:p>
        </w:tc>
        <w:tc>
          <w:tcPr>
            <w:tcW w:w="1701" w:type="dxa"/>
            <w:vAlign w:val="center"/>
          </w:tcPr>
          <w:p w14:paraId="3C7E038B" w14:textId="77777777" w:rsidR="00454A29" w:rsidRDefault="00454A29">
            <w:pPr>
              <w:pStyle w:val="ConsPlusNormal"/>
            </w:pPr>
          </w:p>
        </w:tc>
        <w:tc>
          <w:tcPr>
            <w:tcW w:w="1814" w:type="dxa"/>
            <w:vAlign w:val="center"/>
          </w:tcPr>
          <w:p w14:paraId="495AC7BC" w14:textId="77777777" w:rsidR="00454A29" w:rsidRDefault="00454A29">
            <w:pPr>
              <w:pStyle w:val="ConsPlusNormal"/>
            </w:pPr>
          </w:p>
        </w:tc>
      </w:tr>
      <w:tr w:rsidR="00454A29" w14:paraId="4E9330DD" w14:textId="77777777">
        <w:tc>
          <w:tcPr>
            <w:tcW w:w="567" w:type="dxa"/>
            <w:vMerge/>
          </w:tcPr>
          <w:p w14:paraId="23C137E7" w14:textId="77777777" w:rsidR="00454A29" w:rsidRDefault="00454A29"/>
        </w:tc>
        <w:tc>
          <w:tcPr>
            <w:tcW w:w="3345" w:type="dxa"/>
            <w:vMerge/>
          </w:tcPr>
          <w:p w14:paraId="468A4CC5" w14:textId="77777777" w:rsidR="00454A29" w:rsidRDefault="00454A29"/>
        </w:tc>
        <w:tc>
          <w:tcPr>
            <w:tcW w:w="1701" w:type="dxa"/>
            <w:vAlign w:val="center"/>
          </w:tcPr>
          <w:p w14:paraId="42AFEFB7" w14:textId="77777777" w:rsidR="00454A29" w:rsidRDefault="00454A29">
            <w:pPr>
              <w:pStyle w:val="ConsPlusNormal"/>
              <w:jc w:val="center"/>
            </w:pPr>
            <w:r>
              <w:t>2024</w:t>
            </w:r>
          </w:p>
        </w:tc>
        <w:tc>
          <w:tcPr>
            <w:tcW w:w="1417" w:type="dxa"/>
            <w:vMerge/>
          </w:tcPr>
          <w:p w14:paraId="728C2AA0" w14:textId="77777777" w:rsidR="00454A29" w:rsidRDefault="00454A29"/>
        </w:tc>
        <w:tc>
          <w:tcPr>
            <w:tcW w:w="2204" w:type="dxa"/>
            <w:vMerge/>
          </w:tcPr>
          <w:p w14:paraId="064C3297" w14:textId="77777777" w:rsidR="00454A29" w:rsidRDefault="00454A29"/>
        </w:tc>
        <w:tc>
          <w:tcPr>
            <w:tcW w:w="1417" w:type="dxa"/>
            <w:vMerge/>
          </w:tcPr>
          <w:p w14:paraId="343D8513" w14:textId="77777777" w:rsidR="00454A29" w:rsidRDefault="00454A29"/>
        </w:tc>
        <w:tc>
          <w:tcPr>
            <w:tcW w:w="2324" w:type="dxa"/>
            <w:vMerge/>
          </w:tcPr>
          <w:p w14:paraId="372708EA" w14:textId="77777777" w:rsidR="00454A29" w:rsidRDefault="00454A29"/>
        </w:tc>
        <w:tc>
          <w:tcPr>
            <w:tcW w:w="1701" w:type="dxa"/>
            <w:vAlign w:val="center"/>
          </w:tcPr>
          <w:p w14:paraId="6F8DB8C5" w14:textId="77777777" w:rsidR="00454A29" w:rsidRDefault="00454A29">
            <w:pPr>
              <w:pStyle w:val="ConsPlusNormal"/>
              <w:jc w:val="center"/>
            </w:pPr>
            <w:r>
              <w:t>34 034,30</w:t>
            </w:r>
          </w:p>
        </w:tc>
        <w:tc>
          <w:tcPr>
            <w:tcW w:w="1814" w:type="dxa"/>
            <w:vAlign w:val="center"/>
          </w:tcPr>
          <w:p w14:paraId="2AF64D83" w14:textId="77777777" w:rsidR="00454A29" w:rsidRDefault="00454A29">
            <w:pPr>
              <w:pStyle w:val="ConsPlusNormal"/>
              <w:jc w:val="center"/>
            </w:pPr>
            <w:r>
              <w:t>34 034,30</w:t>
            </w:r>
          </w:p>
        </w:tc>
        <w:tc>
          <w:tcPr>
            <w:tcW w:w="1701" w:type="dxa"/>
            <w:vAlign w:val="center"/>
          </w:tcPr>
          <w:p w14:paraId="46085C74" w14:textId="77777777" w:rsidR="00454A29" w:rsidRDefault="00454A29">
            <w:pPr>
              <w:pStyle w:val="ConsPlusNormal"/>
            </w:pPr>
          </w:p>
        </w:tc>
        <w:tc>
          <w:tcPr>
            <w:tcW w:w="1701" w:type="dxa"/>
            <w:vAlign w:val="center"/>
          </w:tcPr>
          <w:p w14:paraId="49CF9B04" w14:textId="77777777" w:rsidR="00454A29" w:rsidRDefault="00454A29">
            <w:pPr>
              <w:pStyle w:val="ConsPlusNormal"/>
            </w:pPr>
          </w:p>
        </w:tc>
        <w:tc>
          <w:tcPr>
            <w:tcW w:w="1814" w:type="dxa"/>
            <w:vAlign w:val="center"/>
          </w:tcPr>
          <w:p w14:paraId="3C7AD03B" w14:textId="77777777" w:rsidR="00454A29" w:rsidRDefault="00454A29">
            <w:pPr>
              <w:pStyle w:val="ConsPlusNormal"/>
            </w:pPr>
          </w:p>
        </w:tc>
      </w:tr>
      <w:tr w:rsidR="00454A29" w14:paraId="0656E0D5" w14:textId="77777777">
        <w:tc>
          <w:tcPr>
            <w:tcW w:w="567" w:type="dxa"/>
            <w:vMerge/>
          </w:tcPr>
          <w:p w14:paraId="7FC6686C" w14:textId="77777777" w:rsidR="00454A29" w:rsidRDefault="00454A29"/>
        </w:tc>
        <w:tc>
          <w:tcPr>
            <w:tcW w:w="3345" w:type="dxa"/>
            <w:vMerge/>
          </w:tcPr>
          <w:p w14:paraId="79A0E4C7" w14:textId="77777777" w:rsidR="00454A29" w:rsidRDefault="00454A29"/>
        </w:tc>
        <w:tc>
          <w:tcPr>
            <w:tcW w:w="1701" w:type="dxa"/>
            <w:vAlign w:val="center"/>
          </w:tcPr>
          <w:p w14:paraId="2C7595B6" w14:textId="77777777" w:rsidR="00454A29" w:rsidRDefault="00454A29">
            <w:pPr>
              <w:pStyle w:val="ConsPlusNormal"/>
              <w:jc w:val="center"/>
            </w:pPr>
            <w:r>
              <w:t>2025</w:t>
            </w:r>
          </w:p>
        </w:tc>
        <w:tc>
          <w:tcPr>
            <w:tcW w:w="1417" w:type="dxa"/>
            <w:vMerge/>
          </w:tcPr>
          <w:p w14:paraId="35FD44DA" w14:textId="77777777" w:rsidR="00454A29" w:rsidRDefault="00454A29"/>
        </w:tc>
        <w:tc>
          <w:tcPr>
            <w:tcW w:w="2204" w:type="dxa"/>
            <w:vMerge/>
          </w:tcPr>
          <w:p w14:paraId="504741F3" w14:textId="77777777" w:rsidR="00454A29" w:rsidRDefault="00454A29"/>
        </w:tc>
        <w:tc>
          <w:tcPr>
            <w:tcW w:w="1417" w:type="dxa"/>
            <w:vMerge/>
          </w:tcPr>
          <w:p w14:paraId="58B9F08D" w14:textId="77777777" w:rsidR="00454A29" w:rsidRDefault="00454A29"/>
        </w:tc>
        <w:tc>
          <w:tcPr>
            <w:tcW w:w="2324" w:type="dxa"/>
            <w:vMerge/>
          </w:tcPr>
          <w:p w14:paraId="704E32ED" w14:textId="77777777" w:rsidR="00454A29" w:rsidRDefault="00454A29"/>
        </w:tc>
        <w:tc>
          <w:tcPr>
            <w:tcW w:w="1701" w:type="dxa"/>
            <w:vAlign w:val="center"/>
          </w:tcPr>
          <w:p w14:paraId="0304A8E9" w14:textId="77777777" w:rsidR="00454A29" w:rsidRDefault="00454A29">
            <w:pPr>
              <w:pStyle w:val="ConsPlusNormal"/>
              <w:jc w:val="center"/>
            </w:pPr>
            <w:r>
              <w:t>-</w:t>
            </w:r>
          </w:p>
        </w:tc>
        <w:tc>
          <w:tcPr>
            <w:tcW w:w="1814" w:type="dxa"/>
            <w:vAlign w:val="center"/>
          </w:tcPr>
          <w:p w14:paraId="64D09B07" w14:textId="77777777" w:rsidR="00454A29" w:rsidRDefault="00454A29">
            <w:pPr>
              <w:pStyle w:val="ConsPlusNormal"/>
            </w:pPr>
          </w:p>
        </w:tc>
        <w:tc>
          <w:tcPr>
            <w:tcW w:w="1701" w:type="dxa"/>
            <w:vAlign w:val="center"/>
          </w:tcPr>
          <w:p w14:paraId="31D85814" w14:textId="77777777" w:rsidR="00454A29" w:rsidRDefault="00454A29">
            <w:pPr>
              <w:pStyle w:val="ConsPlusNormal"/>
            </w:pPr>
          </w:p>
        </w:tc>
        <w:tc>
          <w:tcPr>
            <w:tcW w:w="1701" w:type="dxa"/>
            <w:vAlign w:val="center"/>
          </w:tcPr>
          <w:p w14:paraId="53B7BD66" w14:textId="77777777" w:rsidR="00454A29" w:rsidRDefault="00454A29">
            <w:pPr>
              <w:pStyle w:val="ConsPlusNormal"/>
            </w:pPr>
          </w:p>
        </w:tc>
        <w:tc>
          <w:tcPr>
            <w:tcW w:w="1814" w:type="dxa"/>
            <w:vAlign w:val="center"/>
          </w:tcPr>
          <w:p w14:paraId="4AE9CC7E" w14:textId="77777777" w:rsidR="00454A29" w:rsidRDefault="00454A29">
            <w:pPr>
              <w:pStyle w:val="ConsPlusNormal"/>
            </w:pPr>
          </w:p>
        </w:tc>
      </w:tr>
      <w:tr w:rsidR="00454A29" w14:paraId="5072C006" w14:textId="77777777">
        <w:tc>
          <w:tcPr>
            <w:tcW w:w="567" w:type="dxa"/>
            <w:vMerge/>
          </w:tcPr>
          <w:p w14:paraId="4DFC03CD" w14:textId="77777777" w:rsidR="00454A29" w:rsidRDefault="00454A29"/>
        </w:tc>
        <w:tc>
          <w:tcPr>
            <w:tcW w:w="3345" w:type="dxa"/>
            <w:vMerge/>
          </w:tcPr>
          <w:p w14:paraId="582AA0B2" w14:textId="77777777" w:rsidR="00454A29" w:rsidRDefault="00454A29"/>
        </w:tc>
        <w:tc>
          <w:tcPr>
            <w:tcW w:w="1701" w:type="dxa"/>
            <w:vAlign w:val="center"/>
          </w:tcPr>
          <w:p w14:paraId="7663A29B" w14:textId="77777777" w:rsidR="00454A29" w:rsidRDefault="00454A29">
            <w:pPr>
              <w:pStyle w:val="ConsPlusNormal"/>
              <w:jc w:val="center"/>
            </w:pPr>
            <w:r>
              <w:t>2026</w:t>
            </w:r>
          </w:p>
        </w:tc>
        <w:tc>
          <w:tcPr>
            <w:tcW w:w="1417" w:type="dxa"/>
            <w:vMerge/>
          </w:tcPr>
          <w:p w14:paraId="6761FB42" w14:textId="77777777" w:rsidR="00454A29" w:rsidRDefault="00454A29"/>
        </w:tc>
        <w:tc>
          <w:tcPr>
            <w:tcW w:w="2204" w:type="dxa"/>
            <w:vMerge/>
          </w:tcPr>
          <w:p w14:paraId="34F102FF" w14:textId="77777777" w:rsidR="00454A29" w:rsidRDefault="00454A29"/>
        </w:tc>
        <w:tc>
          <w:tcPr>
            <w:tcW w:w="1417" w:type="dxa"/>
            <w:vMerge/>
          </w:tcPr>
          <w:p w14:paraId="1D0CB952" w14:textId="77777777" w:rsidR="00454A29" w:rsidRDefault="00454A29"/>
        </w:tc>
        <w:tc>
          <w:tcPr>
            <w:tcW w:w="2324" w:type="dxa"/>
            <w:vMerge/>
          </w:tcPr>
          <w:p w14:paraId="0C2E399C" w14:textId="77777777" w:rsidR="00454A29" w:rsidRDefault="00454A29"/>
        </w:tc>
        <w:tc>
          <w:tcPr>
            <w:tcW w:w="1701" w:type="dxa"/>
            <w:vAlign w:val="center"/>
          </w:tcPr>
          <w:p w14:paraId="6464DFB3" w14:textId="77777777" w:rsidR="00454A29" w:rsidRDefault="00454A29">
            <w:pPr>
              <w:pStyle w:val="ConsPlusNormal"/>
              <w:jc w:val="center"/>
            </w:pPr>
            <w:r>
              <w:t>-</w:t>
            </w:r>
          </w:p>
        </w:tc>
        <w:tc>
          <w:tcPr>
            <w:tcW w:w="1814" w:type="dxa"/>
            <w:vAlign w:val="center"/>
          </w:tcPr>
          <w:p w14:paraId="0CE6C18E" w14:textId="77777777" w:rsidR="00454A29" w:rsidRDefault="00454A29">
            <w:pPr>
              <w:pStyle w:val="ConsPlusNormal"/>
            </w:pPr>
          </w:p>
        </w:tc>
        <w:tc>
          <w:tcPr>
            <w:tcW w:w="1701" w:type="dxa"/>
            <w:vAlign w:val="center"/>
          </w:tcPr>
          <w:p w14:paraId="0B9C0ACE" w14:textId="77777777" w:rsidR="00454A29" w:rsidRDefault="00454A29">
            <w:pPr>
              <w:pStyle w:val="ConsPlusNormal"/>
            </w:pPr>
          </w:p>
        </w:tc>
        <w:tc>
          <w:tcPr>
            <w:tcW w:w="1701" w:type="dxa"/>
            <w:vAlign w:val="center"/>
          </w:tcPr>
          <w:p w14:paraId="7C57265F" w14:textId="77777777" w:rsidR="00454A29" w:rsidRDefault="00454A29">
            <w:pPr>
              <w:pStyle w:val="ConsPlusNormal"/>
            </w:pPr>
          </w:p>
        </w:tc>
        <w:tc>
          <w:tcPr>
            <w:tcW w:w="1814" w:type="dxa"/>
            <w:vAlign w:val="center"/>
          </w:tcPr>
          <w:p w14:paraId="36680ACA" w14:textId="77777777" w:rsidR="00454A29" w:rsidRDefault="00454A29">
            <w:pPr>
              <w:pStyle w:val="ConsPlusNormal"/>
            </w:pPr>
          </w:p>
        </w:tc>
      </w:tr>
      <w:tr w:rsidR="00454A29" w14:paraId="3D16F299" w14:textId="77777777">
        <w:tc>
          <w:tcPr>
            <w:tcW w:w="567" w:type="dxa"/>
            <w:vMerge w:val="restart"/>
            <w:vAlign w:val="center"/>
          </w:tcPr>
          <w:p w14:paraId="5D3D7B72" w14:textId="77777777" w:rsidR="00454A29" w:rsidRDefault="00454A29">
            <w:pPr>
              <w:pStyle w:val="ConsPlusNormal"/>
              <w:jc w:val="center"/>
            </w:pPr>
            <w:r>
              <w:t>11</w:t>
            </w:r>
          </w:p>
        </w:tc>
        <w:tc>
          <w:tcPr>
            <w:tcW w:w="3345" w:type="dxa"/>
            <w:vMerge w:val="restart"/>
            <w:vAlign w:val="center"/>
          </w:tcPr>
          <w:p w14:paraId="1AB5B961" w14:textId="77777777" w:rsidR="00454A29" w:rsidRDefault="00454A29">
            <w:pPr>
              <w:pStyle w:val="ConsPlusNormal"/>
              <w:jc w:val="center"/>
            </w:pPr>
            <w:r>
              <w:t xml:space="preserve">Детский сад на 35 мест в с. Ситтэ </w:t>
            </w:r>
            <w:r>
              <w:lastRenderedPageBreak/>
              <w:t>Кобяйского улуса</w:t>
            </w:r>
          </w:p>
        </w:tc>
        <w:tc>
          <w:tcPr>
            <w:tcW w:w="1701" w:type="dxa"/>
            <w:vAlign w:val="center"/>
          </w:tcPr>
          <w:p w14:paraId="48958678" w14:textId="77777777" w:rsidR="00454A29" w:rsidRDefault="00454A29">
            <w:pPr>
              <w:pStyle w:val="ConsPlusNormal"/>
              <w:jc w:val="center"/>
            </w:pPr>
            <w:r>
              <w:lastRenderedPageBreak/>
              <w:t xml:space="preserve">2020 - 2026 годы </w:t>
            </w:r>
            <w:r>
              <w:lastRenderedPageBreak/>
              <w:t>- всего</w:t>
            </w:r>
          </w:p>
        </w:tc>
        <w:tc>
          <w:tcPr>
            <w:tcW w:w="1417" w:type="dxa"/>
            <w:vMerge w:val="restart"/>
            <w:vAlign w:val="center"/>
          </w:tcPr>
          <w:p w14:paraId="2B548755" w14:textId="77777777" w:rsidR="00454A29" w:rsidRDefault="00454A29">
            <w:pPr>
              <w:pStyle w:val="ConsPlusNormal"/>
              <w:jc w:val="center"/>
            </w:pPr>
            <w:r>
              <w:lastRenderedPageBreak/>
              <w:t>29 438,74</w:t>
            </w:r>
          </w:p>
        </w:tc>
        <w:tc>
          <w:tcPr>
            <w:tcW w:w="2204" w:type="dxa"/>
            <w:vMerge w:val="restart"/>
            <w:vAlign w:val="center"/>
          </w:tcPr>
          <w:p w14:paraId="64D88445" w14:textId="77777777" w:rsidR="00454A29" w:rsidRDefault="00454A29">
            <w:pPr>
              <w:pStyle w:val="ConsPlusNormal"/>
            </w:pPr>
          </w:p>
        </w:tc>
        <w:tc>
          <w:tcPr>
            <w:tcW w:w="1417" w:type="dxa"/>
            <w:vMerge w:val="restart"/>
            <w:vAlign w:val="center"/>
          </w:tcPr>
          <w:p w14:paraId="61573457" w14:textId="77777777" w:rsidR="00454A29" w:rsidRDefault="00454A29">
            <w:pPr>
              <w:pStyle w:val="ConsPlusNormal"/>
              <w:jc w:val="center"/>
            </w:pPr>
            <w:r>
              <w:t>35</w:t>
            </w:r>
          </w:p>
        </w:tc>
        <w:tc>
          <w:tcPr>
            <w:tcW w:w="2324" w:type="dxa"/>
            <w:vMerge w:val="restart"/>
            <w:vAlign w:val="center"/>
          </w:tcPr>
          <w:p w14:paraId="697FCF4F" w14:textId="77777777" w:rsidR="00454A29" w:rsidRDefault="00454A29">
            <w:pPr>
              <w:pStyle w:val="ConsPlusNormal"/>
              <w:jc w:val="center"/>
            </w:pPr>
            <w:r>
              <w:t xml:space="preserve">Минстрой РС(Я), ГКУ </w:t>
            </w:r>
            <w:r>
              <w:lastRenderedPageBreak/>
              <w:t>"Служба государственного заказчика Республики Саха (Якутия)"</w:t>
            </w:r>
          </w:p>
        </w:tc>
        <w:tc>
          <w:tcPr>
            <w:tcW w:w="1701" w:type="dxa"/>
            <w:vAlign w:val="center"/>
          </w:tcPr>
          <w:p w14:paraId="67410481" w14:textId="77777777" w:rsidR="00454A29" w:rsidRDefault="00454A29">
            <w:pPr>
              <w:pStyle w:val="ConsPlusNormal"/>
              <w:jc w:val="center"/>
            </w:pPr>
            <w:r>
              <w:lastRenderedPageBreak/>
              <w:t>29 438,74</w:t>
            </w:r>
          </w:p>
        </w:tc>
        <w:tc>
          <w:tcPr>
            <w:tcW w:w="1814" w:type="dxa"/>
            <w:vAlign w:val="center"/>
          </w:tcPr>
          <w:p w14:paraId="4456BDE7" w14:textId="77777777" w:rsidR="00454A29" w:rsidRDefault="00454A29">
            <w:pPr>
              <w:pStyle w:val="ConsPlusNormal"/>
              <w:jc w:val="center"/>
            </w:pPr>
            <w:r>
              <w:t>29 438,74</w:t>
            </w:r>
          </w:p>
        </w:tc>
        <w:tc>
          <w:tcPr>
            <w:tcW w:w="1701" w:type="dxa"/>
            <w:vAlign w:val="center"/>
          </w:tcPr>
          <w:p w14:paraId="4EC0161E" w14:textId="77777777" w:rsidR="00454A29" w:rsidRDefault="00454A29">
            <w:pPr>
              <w:pStyle w:val="ConsPlusNormal"/>
              <w:jc w:val="center"/>
            </w:pPr>
            <w:r>
              <w:t>-</w:t>
            </w:r>
          </w:p>
        </w:tc>
        <w:tc>
          <w:tcPr>
            <w:tcW w:w="1701" w:type="dxa"/>
            <w:vAlign w:val="center"/>
          </w:tcPr>
          <w:p w14:paraId="3A1D5683" w14:textId="77777777" w:rsidR="00454A29" w:rsidRDefault="00454A29">
            <w:pPr>
              <w:pStyle w:val="ConsPlusNormal"/>
              <w:jc w:val="center"/>
            </w:pPr>
            <w:r>
              <w:t>-</w:t>
            </w:r>
          </w:p>
        </w:tc>
        <w:tc>
          <w:tcPr>
            <w:tcW w:w="1814" w:type="dxa"/>
            <w:vAlign w:val="center"/>
          </w:tcPr>
          <w:p w14:paraId="128CC2B9" w14:textId="77777777" w:rsidR="00454A29" w:rsidRDefault="00454A29">
            <w:pPr>
              <w:pStyle w:val="ConsPlusNormal"/>
              <w:jc w:val="center"/>
            </w:pPr>
            <w:r>
              <w:t>-</w:t>
            </w:r>
          </w:p>
        </w:tc>
      </w:tr>
      <w:tr w:rsidR="00454A29" w14:paraId="1A0DBDAD" w14:textId="77777777">
        <w:tc>
          <w:tcPr>
            <w:tcW w:w="567" w:type="dxa"/>
            <w:vMerge/>
          </w:tcPr>
          <w:p w14:paraId="3465A4AF" w14:textId="77777777" w:rsidR="00454A29" w:rsidRDefault="00454A29"/>
        </w:tc>
        <w:tc>
          <w:tcPr>
            <w:tcW w:w="3345" w:type="dxa"/>
            <w:vMerge/>
          </w:tcPr>
          <w:p w14:paraId="3A6BA3E4" w14:textId="77777777" w:rsidR="00454A29" w:rsidRDefault="00454A29"/>
        </w:tc>
        <w:tc>
          <w:tcPr>
            <w:tcW w:w="1701" w:type="dxa"/>
            <w:vAlign w:val="center"/>
          </w:tcPr>
          <w:p w14:paraId="4E7B4542" w14:textId="77777777" w:rsidR="00454A29" w:rsidRDefault="00454A29">
            <w:pPr>
              <w:pStyle w:val="ConsPlusNormal"/>
              <w:jc w:val="center"/>
            </w:pPr>
            <w:r>
              <w:t>2020</w:t>
            </w:r>
          </w:p>
        </w:tc>
        <w:tc>
          <w:tcPr>
            <w:tcW w:w="1417" w:type="dxa"/>
            <w:vMerge/>
          </w:tcPr>
          <w:p w14:paraId="6A1CD03D" w14:textId="77777777" w:rsidR="00454A29" w:rsidRDefault="00454A29"/>
        </w:tc>
        <w:tc>
          <w:tcPr>
            <w:tcW w:w="2204" w:type="dxa"/>
            <w:vMerge/>
          </w:tcPr>
          <w:p w14:paraId="6E6D9723" w14:textId="77777777" w:rsidR="00454A29" w:rsidRDefault="00454A29"/>
        </w:tc>
        <w:tc>
          <w:tcPr>
            <w:tcW w:w="1417" w:type="dxa"/>
            <w:vMerge/>
          </w:tcPr>
          <w:p w14:paraId="7D4C17E4" w14:textId="77777777" w:rsidR="00454A29" w:rsidRDefault="00454A29"/>
        </w:tc>
        <w:tc>
          <w:tcPr>
            <w:tcW w:w="2324" w:type="dxa"/>
            <w:vMerge/>
          </w:tcPr>
          <w:p w14:paraId="6B3D8188" w14:textId="77777777" w:rsidR="00454A29" w:rsidRDefault="00454A29"/>
        </w:tc>
        <w:tc>
          <w:tcPr>
            <w:tcW w:w="1701" w:type="dxa"/>
            <w:vAlign w:val="center"/>
          </w:tcPr>
          <w:p w14:paraId="319F3A6A" w14:textId="77777777" w:rsidR="00454A29" w:rsidRDefault="00454A29">
            <w:pPr>
              <w:pStyle w:val="ConsPlusNormal"/>
              <w:jc w:val="center"/>
            </w:pPr>
            <w:r>
              <w:t>-</w:t>
            </w:r>
          </w:p>
        </w:tc>
        <w:tc>
          <w:tcPr>
            <w:tcW w:w="1814" w:type="dxa"/>
            <w:vAlign w:val="center"/>
          </w:tcPr>
          <w:p w14:paraId="4490BFA9" w14:textId="77777777" w:rsidR="00454A29" w:rsidRDefault="00454A29">
            <w:pPr>
              <w:pStyle w:val="ConsPlusNormal"/>
            </w:pPr>
          </w:p>
        </w:tc>
        <w:tc>
          <w:tcPr>
            <w:tcW w:w="1701" w:type="dxa"/>
            <w:vAlign w:val="center"/>
          </w:tcPr>
          <w:p w14:paraId="0015975B" w14:textId="77777777" w:rsidR="00454A29" w:rsidRDefault="00454A29">
            <w:pPr>
              <w:pStyle w:val="ConsPlusNormal"/>
            </w:pPr>
          </w:p>
        </w:tc>
        <w:tc>
          <w:tcPr>
            <w:tcW w:w="1701" w:type="dxa"/>
            <w:vAlign w:val="center"/>
          </w:tcPr>
          <w:p w14:paraId="575C332F" w14:textId="77777777" w:rsidR="00454A29" w:rsidRDefault="00454A29">
            <w:pPr>
              <w:pStyle w:val="ConsPlusNormal"/>
            </w:pPr>
          </w:p>
        </w:tc>
        <w:tc>
          <w:tcPr>
            <w:tcW w:w="1814" w:type="dxa"/>
            <w:vAlign w:val="center"/>
          </w:tcPr>
          <w:p w14:paraId="0724639A" w14:textId="77777777" w:rsidR="00454A29" w:rsidRDefault="00454A29">
            <w:pPr>
              <w:pStyle w:val="ConsPlusNormal"/>
            </w:pPr>
          </w:p>
        </w:tc>
      </w:tr>
      <w:tr w:rsidR="00454A29" w14:paraId="001908E4" w14:textId="77777777">
        <w:tc>
          <w:tcPr>
            <w:tcW w:w="567" w:type="dxa"/>
            <w:vMerge/>
          </w:tcPr>
          <w:p w14:paraId="1C324834" w14:textId="77777777" w:rsidR="00454A29" w:rsidRDefault="00454A29"/>
        </w:tc>
        <w:tc>
          <w:tcPr>
            <w:tcW w:w="3345" w:type="dxa"/>
            <w:vMerge/>
          </w:tcPr>
          <w:p w14:paraId="5008A8C3" w14:textId="77777777" w:rsidR="00454A29" w:rsidRDefault="00454A29"/>
        </w:tc>
        <w:tc>
          <w:tcPr>
            <w:tcW w:w="1701" w:type="dxa"/>
            <w:vAlign w:val="center"/>
          </w:tcPr>
          <w:p w14:paraId="773F31AE" w14:textId="77777777" w:rsidR="00454A29" w:rsidRDefault="00454A29">
            <w:pPr>
              <w:pStyle w:val="ConsPlusNormal"/>
              <w:jc w:val="center"/>
            </w:pPr>
            <w:r>
              <w:t>2021</w:t>
            </w:r>
          </w:p>
        </w:tc>
        <w:tc>
          <w:tcPr>
            <w:tcW w:w="1417" w:type="dxa"/>
            <w:vMerge/>
          </w:tcPr>
          <w:p w14:paraId="4E61CF2E" w14:textId="77777777" w:rsidR="00454A29" w:rsidRDefault="00454A29"/>
        </w:tc>
        <w:tc>
          <w:tcPr>
            <w:tcW w:w="2204" w:type="dxa"/>
            <w:vMerge/>
          </w:tcPr>
          <w:p w14:paraId="1955F201" w14:textId="77777777" w:rsidR="00454A29" w:rsidRDefault="00454A29"/>
        </w:tc>
        <w:tc>
          <w:tcPr>
            <w:tcW w:w="1417" w:type="dxa"/>
            <w:vMerge/>
          </w:tcPr>
          <w:p w14:paraId="1131BF1F" w14:textId="77777777" w:rsidR="00454A29" w:rsidRDefault="00454A29"/>
        </w:tc>
        <w:tc>
          <w:tcPr>
            <w:tcW w:w="2324" w:type="dxa"/>
            <w:vMerge/>
          </w:tcPr>
          <w:p w14:paraId="3C7DC8ED" w14:textId="77777777" w:rsidR="00454A29" w:rsidRDefault="00454A29"/>
        </w:tc>
        <w:tc>
          <w:tcPr>
            <w:tcW w:w="1701" w:type="dxa"/>
            <w:vAlign w:val="center"/>
          </w:tcPr>
          <w:p w14:paraId="4091FC92" w14:textId="77777777" w:rsidR="00454A29" w:rsidRDefault="00454A29">
            <w:pPr>
              <w:pStyle w:val="ConsPlusNormal"/>
              <w:jc w:val="center"/>
            </w:pPr>
            <w:r>
              <w:t>-</w:t>
            </w:r>
          </w:p>
        </w:tc>
        <w:tc>
          <w:tcPr>
            <w:tcW w:w="1814" w:type="dxa"/>
            <w:vAlign w:val="center"/>
          </w:tcPr>
          <w:p w14:paraId="3B934A07" w14:textId="77777777" w:rsidR="00454A29" w:rsidRDefault="00454A29">
            <w:pPr>
              <w:pStyle w:val="ConsPlusNormal"/>
            </w:pPr>
          </w:p>
        </w:tc>
        <w:tc>
          <w:tcPr>
            <w:tcW w:w="1701" w:type="dxa"/>
            <w:vAlign w:val="center"/>
          </w:tcPr>
          <w:p w14:paraId="1C8BB1FB" w14:textId="77777777" w:rsidR="00454A29" w:rsidRDefault="00454A29">
            <w:pPr>
              <w:pStyle w:val="ConsPlusNormal"/>
            </w:pPr>
          </w:p>
        </w:tc>
        <w:tc>
          <w:tcPr>
            <w:tcW w:w="1701" w:type="dxa"/>
            <w:vAlign w:val="center"/>
          </w:tcPr>
          <w:p w14:paraId="3637AFF1" w14:textId="77777777" w:rsidR="00454A29" w:rsidRDefault="00454A29">
            <w:pPr>
              <w:pStyle w:val="ConsPlusNormal"/>
            </w:pPr>
          </w:p>
        </w:tc>
        <w:tc>
          <w:tcPr>
            <w:tcW w:w="1814" w:type="dxa"/>
            <w:vAlign w:val="center"/>
          </w:tcPr>
          <w:p w14:paraId="11658E84" w14:textId="77777777" w:rsidR="00454A29" w:rsidRDefault="00454A29">
            <w:pPr>
              <w:pStyle w:val="ConsPlusNormal"/>
            </w:pPr>
          </w:p>
        </w:tc>
      </w:tr>
      <w:tr w:rsidR="00454A29" w14:paraId="75469691" w14:textId="77777777">
        <w:tc>
          <w:tcPr>
            <w:tcW w:w="567" w:type="dxa"/>
            <w:vMerge/>
          </w:tcPr>
          <w:p w14:paraId="5B76C960" w14:textId="77777777" w:rsidR="00454A29" w:rsidRDefault="00454A29"/>
        </w:tc>
        <w:tc>
          <w:tcPr>
            <w:tcW w:w="3345" w:type="dxa"/>
            <w:vMerge/>
          </w:tcPr>
          <w:p w14:paraId="77184AB4" w14:textId="77777777" w:rsidR="00454A29" w:rsidRDefault="00454A29"/>
        </w:tc>
        <w:tc>
          <w:tcPr>
            <w:tcW w:w="1701" w:type="dxa"/>
            <w:vAlign w:val="center"/>
          </w:tcPr>
          <w:p w14:paraId="79F6D944" w14:textId="77777777" w:rsidR="00454A29" w:rsidRDefault="00454A29">
            <w:pPr>
              <w:pStyle w:val="ConsPlusNormal"/>
              <w:jc w:val="center"/>
            </w:pPr>
            <w:r>
              <w:t>2022</w:t>
            </w:r>
          </w:p>
        </w:tc>
        <w:tc>
          <w:tcPr>
            <w:tcW w:w="1417" w:type="dxa"/>
            <w:vMerge/>
          </w:tcPr>
          <w:p w14:paraId="0DFA0BE7" w14:textId="77777777" w:rsidR="00454A29" w:rsidRDefault="00454A29"/>
        </w:tc>
        <w:tc>
          <w:tcPr>
            <w:tcW w:w="2204" w:type="dxa"/>
            <w:vMerge/>
          </w:tcPr>
          <w:p w14:paraId="4CA75CAE" w14:textId="77777777" w:rsidR="00454A29" w:rsidRDefault="00454A29"/>
        </w:tc>
        <w:tc>
          <w:tcPr>
            <w:tcW w:w="1417" w:type="dxa"/>
            <w:vMerge/>
          </w:tcPr>
          <w:p w14:paraId="4B9B6F27" w14:textId="77777777" w:rsidR="00454A29" w:rsidRDefault="00454A29"/>
        </w:tc>
        <w:tc>
          <w:tcPr>
            <w:tcW w:w="2324" w:type="dxa"/>
            <w:vMerge/>
          </w:tcPr>
          <w:p w14:paraId="2504133F" w14:textId="77777777" w:rsidR="00454A29" w:rsidRDefault="00454A29"/>
        </w:tc>
        <w:tc>
          <w:tcPr>
            <w:tcW w:w="1701" w:type="dxa"/>
            <w:vAlign w:val="center"/>
          </w:tcPr>
          <w:p w14:paraId="286316D4" w14:textId="77777777" w:rsidR="00454A29" w:rsidRDefault="00454A29">
            <w:pPr>
              <w:pStyle w:val="ConsPlusNormal"/>
              <w:jc w:val="center"/>
            </w:pPr>
            <w:r>
              <w:t>-</w:t>
            </w:r>
          </w:p>
        </w:tc>
        <w:tc>
          <w:tcPr>
            <w:tcW w:w="1814" w:type="dxa"/>
            <w:vAlign w:val="center"/>
          </w:tcPr>
          <w:p w14:paraId="7C6F8CAB" w14:textId="77777777" w:rsidR="00454A29" w:rsidRDefault="00454A29">
            <w:pPr>
              <w:pStyle w:val="ConsPlusNormal"/>
            </w:pPr>
          </w:p>
        </w:tc>
        <w:tc>
          <w:tcPr>
            <w:tcW w:w="1701" w:type="dxa"/>
            <w:vAlign w:val="center"/>
          </w:tcPr>
          <w:p w14:paraId="5E746B2A" w14:textId="77777777" w:rsidR="00454A29" w:rsidRDefault="00454A29">
            <w:pPr>
              <w:pStyle w:val="ConsPlusNormal"/>
            </w:pPr>
          </w:p>
        </w:tc>
        <w:tc>
          <w:tcPr>
            <w:tcW w:w="1701" w:type="dxa"/>
            <w:vAlign w:val="center"/>
          </w:tcPr>
          <w:p w14:paraId="33400B97" w14:textId="77777777" w:rsidR="00454A29" w:rsidRDefault="00454A29">
            <w:pPr>
              <w:pStyle w:val="ConsPlusNormal"/>
            </w:pPr>
          </w:p>
        </w:tc>
        <w:tc>
          <w:tcPr>
            <w:tcW w:w="1814" w:type="dxa"/>
            <w:vAlign w:val="center"/>
          </w:tcPr>
          <w:p w14:paraId="3B0977D2" w14:textId="77777777" w:rsidR="00454A29" w:rsidRDefault="00454A29">
            <w:pPr>
              <w:pStyle w:val="ConsPlusNormal"/>
            </w:pPr>
          </w:p>
        </w:tc>
      </w:tr>
      <w:tr w:rsidR="00454A29" w14:paraId="7388F514" w14:textId="77777777">
        <w:tc>
          <w:tcPr>
            <w:tcW w:w="567" w:type="dxa"/>
            <w:vMerge/>
          </w:tcPr>
          <w:p w14:paraId="300B2C5E" w14:textId="77777777" w:rsidR="00454A29" w:rsidRDefault="00454A29"/>
        </w:tc>
        <w:tc>
          <w:tcPr>
            <w:tcW w:w="3345" w:type="dxa"/>
            <w:vMerge/>
          </w:tcPr>
          <w:p w14:paraId="37B1D702" w14:textId="77777777" w:rsidR="00454A29" w:rsidRDefault="00454A29"/>
        </w:tc>
        <w:tc>
          <w:tcPr>
            <w:tcW w:w="1701" w:type="dxa"/>
            <w:vAlign w:val="center"/>
          </w:tcPr>
          <w:p w14:paraId="3C923ECB" w14:textId="77777777" w:rsidR="00454A29" w:rsidRDefault="00454A29">
            <w:pPr>
              <w:pStyle w:val="ConsPlusNormal"/>
              <w:jc w:val="center"/>
            </w:pPr>
            <w:r>
              <w:t>2023</w:t>
            </w:r>
          </w:p>
        </w:tc>
        <w:tc>
          <w:tcPr>
            <w:tcW w:w="1417" w:type="dxa"/>
            <w:vMerge/>
          </w:tcPr>
          <w:p w14:paraId="517FCE22" w14:textId="77777777" w:rsidR="00454A29" w:rsidRDefault="00454A29"/>
        </w:tc>
        <w:tc>
          <w:tcPr>
            <w:tcW w:w="2204" w:type="dxa"/>
            <w:vMerge/>
          </w:tcPr>
          <w:p w14:paraId="2F13C6C5" w14:textId="77777777" w:rsidR="00454A29" w:rsidRDefault="00454A29"/>
        </w:tc>
        <w:tc>
          <w:tcPr>
            <w:tcW w:w="1417" w:type="dxa"/>
            <w:vMerge/>
          </w:tcPr>
          <w:p w14:paraId="24BD33EF" w14:textId="77777777" w:rsidR="00454A29" w:rsidRDefault="00454A29"/>
        </w:tc>
        <w:tc>
          <w:tcPr>
            <w:tcW w:w="2324" w:type="dxa"/>
            <w:vMerge/>
          </w:tcPr>
          <w:p w14:paraId="097E0C6D" w14:textId="77777777" w:rsidR="00454A29" w:rsidRDefault="00454A29"/>
        </w:tc>
        <w:tc>
          <w:tcPr>
            <w:tcW w:w="1701" w:type="dxa"/>
            <w:vAlign w:val="center"/>
          </w:tcPr>
          <w:p w14:paraId="43AF78B4" w14:textId="77777777" w:rsidR="00454A29" w:rsidRDefault="00454A29">
            <w:pPr>
              <w:pStyle w:val="ConsPlusNormal"/>
              <w:jc w:val="center"/>
            </w:pPr>
            <w:r>
              <w:t>29 438,74</w:t>
            </w:r>
          </w:p>
        </w:tc>
        <w:tc>
          <w:tcPr>
            <w:tcW w:w="1814" w:type="dxa"/>
            <w:vAlign w:val="center"/>
          </w:tcPr>
          <w:p w14:paraId="3DB679B1" w14:textId="77777777" w:rsidR="00454A29" w:rsidRDefault="00454A29">
            <w:pPr>
              <w:pStyle w:val="ConsPlusNormal"/>
              <w:jc w:val="center"/>
            </w:pPr>
            <w:r>
              <w:t>29 438,74</w:t>
            </w:r>
          </w:p>
        </w:tc>
        <w:tc>
          <w:tcPr>
            <w:tcW w:w="1701" w:type="dxa"/>
            <w:vAlign w:val="center"/>
          </w:tcPr>
          <w:p w14:paraId="1C674F26" w14:textId="77777777" w:rsidR="00454A29" w:rsidRDefault="00454A29">
            <w:pPr>
              <w:pStyle w:val="ConsPlusNormal"/>
            </w:pPr>
          </w:p>
        </w:tc>
        <w:tc>
          <w:tcPr>
            <w:tcW w:w="1701" w:type="dxa"/>
            <w:vAlign w:val="center"/>
          </w:tcPr>
          <w:p w14:paraId="42542219" w14:textId="77777777" w:rsidR="00454A29" w:rsidRDefault="00454A29">
            <w:pPr>
              <w:pStyle w:val="ConsPlusNormal"/>
            </w:pPr>
          </w:p>
        </w:tc>
        <w:tc>
          <w:tcPr>
            <w:tcW w:w="1814" w:type="dxa"/>
            <w:vAlign w:val="center"/>
          </w:tcPr>
          <w:p w14:paraId="30ACE2E3" w14:textId="77777777" w:rsidR="00454A29" w:rsidRDefault="00454A29">
            <w:pPr>
              <w:pStyle w:val="ConsPlusNormal"/>
            </w:pPr>
          </w:p>
        </w:tc>
      </w:tr>
      <w:tr w:rsidR="00454A29" w14:paraId="4380D09B" w14:textId="77777777">
        <w:tc>
          <w:tcPr>
            <w:tcW w:w="567" w:type="dxa"/>
            <w:vMerge/>
          </w:tcPr>
          <w:p w14:paraId="682EFF91" w14:textId="77777777" w:rsidR="00454A29" w:rsidRDefault="00454A29"/>
        </w:tc>
        <w:tc>
          <w:tcPr>
            <w:tcW w:w="3345" w:type="dxa"/>
            <w:vMerge/>
          </w:tcPr>
          <w:p w14:paraId="6E0F4EE4" w14:textId="77777777" w:rsidR="00454A29" w:rsidRDefault="00454A29"/>
        </w:tc>
        <w:tc>
          <w:tcPr>
            <w:tcW w:w="1701" w:type="dxa"/>
            <w:vAlign w:val="center"/>
          </w:tcPr>
          <w:p w14:paraId="5C526C46" w14:textId="77777777" w:rsidR="00454A29" w:rsidRDefault="00454A29">
            <w:pPr>
              <w:pStyle w:val="ConsPlusNormal"/>
              <w:jc w:val="center"/>
            </w:pPr>
            <w:r>
              <w:t>2024</w:t>
            </w:r>
          </w:p>
        </w:tc>
        <w:tc>
          <w:tcPr>
            <w:tcW w:w="1417" w:type="dxa"/>
            <w:vMerge/>
          </w:tcPr>
          <w:p w14:paraId="6110A58D" w14:textId="77777777" w:rsidR="00454A29" w:rsidRDefault="00454A29"/>
        </w:tc>
        <w:tc>
          <w:tcPr>
            <w:tcW w:w="2204" w:type="dxa"/>
            <w:vMerge/>
          </w:tcPr>
          <w:p w14:paraId="56ABF02F" w14:textId="77777777" w:rsidR="00454A29" w:rsidRDefault="00454A29"/>
        </w:tc>
        <w:tc>
          <w:tcPr>
            <w:tcW w:w="1417" w:type="dxa"/>
            <w:vMerge/>
          </w:tcPr>
          <w:p w14:paraId="1D2A0C60" w14:textId="77777777" w:rsidR="00454A29" w:rsidRDefault="00454A29"/>
        </w:tc>
        <w:tc>
          <w:tcPr>
            <w:tcW w:w="2324" w:type="dxa"/>
            <w:vMerge/>
          </w:tcPr>
          <w:p w14:paraId="7129756C" w14:textId="77777777" w:rsidR="00454A29" w:rsidRDefault="00454A29"/>
        </w:tc>
        <w:tc>
          <w:tcPr>
            <w:tcW w:w="1701" w:type="dxa"/>
            <w:vAlign w:val="center"/>
          </w:tcPr>
          <w:p w14:paraId="5E8A9310" w14:textId="77777777" w:rsidR="00454A29" w:rsidRDefault="00454A29">
            <w:pPr>
              <w:pStyle w:val="ConsPlusNormal"/>
              <w:jc w:val="center"/>
            </w:pPr>
            <w:r>
              <w:t>-</w:t>
            </w:r>
          </w:p>
        </w:tc>
        <w:tc>
          <w:tcPr>
            <w:tcW w:w="1814" w:type="dxa"/>
            <w:vAlign w:val="center"/>
          </w:tcPr>
          <w:p w14:paraId="0538BD22" w14:textId="77777777" w:rsidR="00454A29" w:rsidRDefault="00454A29">
            <w:pPr>
              <w:pStyle w:val="ConsPlusNormal"/>
            </w:pPr>
          </w:p>
        </w:tc>
        <w:tc>
          <w:tcPr>
            <w:tcW w:w="1701" w:type="dxa"/>
            <w:vAlign w:val="center"/>
          </w:tcPr>
          <w:p w14:paraId="6CBC7F8A" w14:textId="77777777" w:rsidR="00454A29" w:rsidRDefault="00454A29">
            <w:pPr>
              <w:pStyle w:val="ConsPlusNormal"/>
            </w:pPr>
          </w:p>
        </w:tc>
        <w:tc>
          <w:tcPr>
            <w:tcW w:w="1701" w:type="dxa"/>
            <w:vAlign w:val="center"/>
          </w:tcPr>
          <w:p w14:paraId="1675C832" w14:textId="77777777" w:rsidR="00454A29" w:rsidRDefault="00454A29">
            <w:pPr>
              <w:pStyle w:val="ConsPlusNormal"/>
            </w:pPr>
          </w:p>
        </w:tc>
        <w:tc>
          <w:tcPr>
            <w:tcW w:w="1814" w:type="dxa"/>
            <w:vAlign w:val="center"/>
          </w:tcPr>
          <w:p w14:paraId="3F8DF1C4" w14:textId="77777777" w:rsidR="00454A29" w:rsidRDefault="00454A29">
            <w:pPr>
              <w:pStyle w:val="ConsPlusNormal"/>
            </w:pPr>
          </w:p>
        </w:tc>
      </w:tr>
      <w:tr w:rsidR="00454A29" w14:paraId="1FF078AB" w14:textId="77777777">
        <w:tc>
          <w:tcPr>
            <w:tcW w:w="567" w:type="dxa"/>
            <w:vMerge/>
          </w:tcPr>
          <w:p w14:paraId="3FCFB36F" w14:textId="77777777" w:rsidR="00454A29" w:rsidRDefault="00454A29"/>
        </w:tc>
        <w:tc>
          <w:tcPr>
            <w:tcW w:w="3345" w:type="dxa"/>
            <w:vMerge/>
          </w:tcPr>
          <w:p w14:paraId="1E237D19" w14:textId="77777777" w:rsidR="00454A29" w:rsidRDefault="00454A29"/>
        </w:tc>
        <w:tc>
          <w:tcPr>
            <w:tcW w:w="1701" w:type="dxa"/>
            <w:vAlign w:val="center"/>
          </w:tcPr>
          <w:p w14:paraId="5282DE67" w14:textId="77777777" w:rsidR="00454A29" w:rsidRDefault="00454A29">
            <w:pPr>
              <w:pStyle w:val="ConsPlusNormal"/>
              <w:jc w:val="center"/>
            </w:pPr>
            <w:r>
              <w:t>2025</w:t>
            </w:r>
          </w:p>
        </w:tc>
        <w:tc>
          <w:tcPr>
            <w:tcW w:w="1417" w:type="dxa"/>
            <w:vMerge/>
          </w:tcPr>
          <w:p w14:paraId="019B09B6" w14:textId="77777777" w:rsidR="00454A29" w:rsidRDefault="00454A29"/>
        </w:tc>
        <w:tc>
          <w:tcPr>
            <w:tcW w:w="2204" w:type="dxa"/>
            <w:vMerge/>
          </w:tcPr>
          <w:p w14:paraId="33D03AFF" w14:textId="77777777" w:rsidR="00454A29" w:rsidRDefault="00454A29"/>
        </w:tc>
        <w:tc>
          <w:tcPr>
            <w:tcW w:w="1417" w:type="dxa"/>
            <w:vMerge/>
          </w:tcPr>
          <w:p w14:paraId="56742519" w14:textId="77777777" w:rsidR="00454A29" w:rsidRDefault="00454A29"/>
        </w:tc>
        <w:tc>
          <w:tcPr>
            <w:tcW w:w="2324" w:type="dxa"/>
            <w:vMerge/>
          </w:tcPr>
          <w:p w14:paraId="40C01AF8" w14:textId="77777777" w:rsidR="00454A29" w:rsidRDefault="00454A29"/>
        </w:tc>
        <w:tc>
          <w:tcPr>
            <w:tcW w:w="1701" w:type="dxa"/>
            <w:vAlign w:val="center"/>
          </w:tcPr>
          <w:p w14:paraId="24D76706" w14:textId="77777777" w:rsidR="00454A29" w:rsidRDefault="00454A29">
            <w:pPr>
              <w:pStyle w:val="ConsPlusNormal"/>
              <w:jc w:val="center"/>
            </w:pPr>
            <w:r>
              <w:t>-</w:t>
            </w:r>
          </w:p>
        </w:tc>
        <w:tc>
          <w:tcPr>
            <w:tcW w:w="1814" w:type="dxa"/>
            <w:vAlign w:val="center"/>
          </w:tcPr>
          <w:p w14:paraId="76981D3B" w14:textId="77777777" w:rsidR="00454A29" w:rsidRDefault="00454A29">
            <w:pPr>
              <w:pStyle w:val="ConsPlusNormal"/>
            </w:pPr>
          </w:p>
        </w:tc>
        <w:tc>
          <w:tcPr>
            <w:tcW w:w="1701" w:type="dxa"/>
            <w:vAlign w:val="center"/>
          </w:tcPr>
          <w:p w14:paraId="44A64849" w14:textId="77777777" w:rsidR="00454A29" w:rsidRDefault="00454A29">
            <w:pPr>
              <w:pStyle w:val="ConsPlusNormal"/>
            </w:pPr>
          </w:p>
        </w:tc>
        <w:tc>
          <w:tcPr>
            <w:tcW w:w="1701" w:type="dxa"/>
            <w:vAlign w:val="center"/>
          </w:tcPr>
          <w:p w14:paraId="3A2FE911" w14:textId="77777777" w:rsidR="00454A29" w:rsidRDefault="00454A29">
            <w:pPr>
              <w:pStyle w:val="ConsPlusNormal"/>
            </w:pPr>
          </w:p>
        </w:tc>
        <w:tc>
          <w:tcPr>
            <w:tcW w:w="1814" w:type="dxa"/>
            <w:vAlign w:val="center"/>
          </w:tcPr>
          <w:p w14:paraId="5B0D1521" w14:textId="77777777" w:rsidR="00454A29" w:rsidRDefault="00454A29">
            <w:pPr>
              <w:pStyle w:val="ConsPlusNormal"/>
            </w:pPr>
          </w:p>
        </w:tc>
      </w:tr>
      <w:tr w:rsidR="00454A29" w14:paraId="33880E88" w14:textId="77777777">
        <w:tc>
          <w:tcPr>
            <w:tcW w:w="567" w:type="dxa"/>
            <w:vMerge/>
          </w:tcPr>
          <w:p w14:paraId="6751FE40" w14:textId="77777777" w:rsidR="00454A29" w:rsidRDefault="00454A29"/>
        </w:tc>
        <w:tc>
          <w:tcPr>
            <w:tcW w:w="3345" w:type="dxa"/>
            <w:vMerge/>
          </w:tcPr>
          <w:p w14:paraId="4F93DE0D" w14:textId="77777777" w:rsidR="00454A29" w:rsidRDefault="00454A29"/>
        </w:tc>
        <w:tc>
          <w:tcPr>
            <w:tcW w:w="1701" w:type="dxa"/>
            <w:vAlign w:val="center"/>
          </w:tcPr>
          <w:p w14:paraId="76BA7BC6" w14:textId="77777777" w:rsidR="00454A29" w:rsidRDefault="00454A29">
            <w:pPr>
              <w:pStyle w:val="ConsPlusNormal"/>
              <w:jc w:val="center"/>
            </w:pPr>
            <w:r>
              <w:t>2026</w:t>
            </w:r>
          </w:p>
        </w:tc>
        <w:tc>
          <w:tcPr>
            <w:tcW w:w="1417" w:type="dxa"/>
            <w:vMerge/>
          </w:tcPr>
          <w:p w14:paraId="6B2B6013" w14:textId="77777777" w:rsidR="00454A29" w:rsidRDefault="00454A29"/>
        </w:tc>
        <w:tc>
          <w:tcPr>
            <w:tcW w:w="2204" w:type="dxa"/>
            <w:vMerge/>
          </w:tcPr>
          <w:p w14:paraId="7A11B08F" w14:textId="77777777" w:rsidR="00454A29" w:rsidRDefault="00454A29"/>
        </w:tc>
        <w:tc>
          <w:tcPr>
            <w:tcW w:w="1417" w:type="dxa"/>
            <w:vMerge/>
          </w:tcPr>
          <w:p w14:paraId="13AF614D" w14:textId="77777777" w:rsidR="00454A29" w:rsidRDefault="00454A29"/>
        </w:tc>
        <w:tc>
          <w:tcPr>
            <w:tcW w:w="2324" w:type="dxa"/>
            <w:vMerge/>
          </w:tcPr>
          <w:p w14:paraId="4A348A7C" w14:textId="77777777" w:rsidR="00454A29" w:rsidRDefault="00454A29"/>
        </w:tc>
        <w:tc>
          <w:tcPr>
            <w:tcW w:w="1701" w:type="dxa"/>
            <w:vAlign w:val="center"/>
          </w:tcPr>
          <w:p w14:paraId="5CB183C6" w14:textId="77777777" w:rsidR="00454A29" w:rsidRDefault="00454A29">
            <w:pPr>
              <w:pStyle w:val="ConsPlusNormal"/>
              <w:jc w:val="center"/>
            </w:pPr>
            <w:r>
              <w:t>-</w:t>
            </w:r>
          </w:p>
        </w:tc>
        <w:tc>
          <w:tcPr>
            <w:tcW w:w="1814" w:type="dxa"/>
            <w:vAlign w:val="center"/>
          </w:tcPr>
          <w:p w14:paraId="21191CC5" w14:textId="77777777" w:rsidR="00454A29" w:rsidRDefault="00454A29">
            <w:pPr>
              <w:pStyle w:val="ConsPlusNormal"/>
            </w:pPr>
          </w:p>
        </w:tc>
        <w:tc>
          <w:tcPr>
            <w:tcW w:w="1701" w:type="dxa"/>
            <w:vAlign w:val="center"/>
          </w:tcPr>
          <w:p w14:paraId="5B71833D" w14:textId="77777777" w:rsidR="00454A29" w:rsidRDefault="00454A29">
            <w:pPr>
              <w:pStyle w:val="ConsPlusNormal"/>
            </w:pPr>
          </w:p>
        </w:tc>
        <w:tc>
          <w:tcPr>
            <w:tcW w:w="1701" w:type="dxa"/>
            <w:vAlign w:val="center"/>
          </w:tcPr>
          <w:p w14:paraId="2CC4948D" w14:textId="77777777" w:rsidR="00454A29" w:rsidRDefault="00454A29">
            <w:pPr>
              <w:pStyle w:val="ConsPlusNormal"/>
            </w:pPr>
          </w:p>
        </w:tc>
        <w:tc>
          <w:tcPr>
            <w:tcW w:w="1814" w:type="dxa"/>
            <w:vAlign w:val="center"/>
          </w:tcPr>
          <w:p w14:paraId="0C83B374" w14:textId="77777777" w:rsidR="00454A29" w:rsidRDefault="00454A29">
            <w:pPr>
              <w:pStyle w:val="ConsPlusNormal"/>
            </w:pPr>
          </w:p>
        </w:tc>
      </w:tr>
      <w:tr w:rsidR="00454A29" w14:paraId="7919B2A8" w14:textId="77777777">
        <w:tc>
          <w:tcPr>
            <w:tcW w:w="567" w:type="dxa"/>
            <w:vMerge w:val="restart"/>
            <w:vAlign w:val="center"/>
          </w:tcPr>
          <w:p w14:paraId="05A24363" w14:textId="77777777" w:rsidR="00454A29" w:rsidRDefault="00454A29">
            <w:pPr>
              <w:pStyle w:val="ConsPlusNormal"/>
              <w:jc w:val="center"/>
            </w:pPr>
            <w:r>
              <w:t>12</w:t>
            </w:r>
          </w:p>
        </w:tc>
        <w:tc>
          <w:tcPr>
            <w:tcW w:w="3345" w:type="dxa"/>
            <w:vMerge w:val="restart"/>
            <w:vAlign w:val="center"/>
          </w:tcPr>
          <w:p w14:paraId="3CFFE77C" w14:textId="77777777" w:rsidR="00454A29" w:rsidRDefault="00454A29">
            <w:pPr>
              <w:pStyle w:val="ConsPlusNormal"/>
              <w:jc w:val="center"/>
            </w:pPr>
            <w:r>
              <w:t>Детский сад на 240 мест в г. Вилюйске Вилюйского улуса</w:t>
            </w:r>
          </w:p>
        </w:tc>
        <w:tc>
          <w:tcPr>
            <w:tcW w:w="1701" w:type="dxa"/>
            <w:vAlign w:val="center"/>
          </w:tcPr>
          <w:p w14:paraId="40605491" w14:textId="77777777" w:rsidR="00454A29" w:rsidRDefault="00454A29">
            <w:pPr>
              <w:pStyle w:val="ConsPlusNormal"/>
              <w:jc w:val="center"/>
            </w:pPr>
            <w:r>
              <w:t>2020 - 2026 годы - всего</w:t>
            </w:r>
          </w:p>
        </w:tc>
        <w:tc>
          <w:tcPr>
            <w:tcW w:w="1417" w:type="dxa"/>
            <w:vMerge w:val="restart"/>
            <w:vAlign w:val="center"/>
          </w:tcPr>
          <w:p w14:paraId="4A991452" w14:textId="77777777" w:rsidR="00454A29" w:rsidRDefault="00454A29">
            <w:pPr>
              <w:pStyle w:val="ConsPlusNormal"/>
              <w:jc w:val="center"/>
            </w:pPr>
            <w:r>
              <w:t>258 532,66</w:t>
            </w:r>
          </w:p>
        </w:tc>
        <w:tc>
          <w:tcPr>
            <w:tcW w:w="2204" w:type="dxa"/>
            <w:vMerge w:val="restart"/>
            <w:vAlign w:val="center"/>
          </w:tcPr>
          <w:p w14:paraId="6DAD58DD" w14:textId="77777777" w:rsidR="00454A29" w:rsidRDefault="00454A29">
            <w:pPr>
              <w:pStyle w:val="ConsPlusNormal"/>
            </w:pPr>
          </w:p>
        </w:tc>
        <w:tc>
          <w:tcPr>
            <w:tcW w:w="1417" w:type="dxa"/>
            <w:vMerge w:val="restart"/>
            <w:vAlign w:val="center"/>
          </w:tcPr>
          <w:p w14:paraId="2E3716A4" w14:textId="77777777" w:rsidR="00454A29" w:rsidRDefault="00454A29">
            <w:pPr>
              <w:pStyle w:val="ConsPlusNormal"/>
              <w:jc w:val="center"/>
            </w:pPr>
            <w:r>
              <w:t>240</w:t>
            </w:r>
          </w:p>
        </w:tc>
        <w:tc>
          <w:tcPr>
            <w:tcW w:w="2324" w:type="dxa"/>
            <w:vMerge w:val="restart"/>
            <w:vAlign w:val="center"/>
          </w:tcPr>
          <w:p w14:paraId="126C4AE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F8231AB" w14:textId="77777777" w:rsidR="00454A29" w:rsidRDefault="00454A29">
            <w:pPr>
              <w:pStyle w:val="ConsPlusNormal"/>
              <w:jc w:val="center"/>
            </w:pPr>
            <w:r>
              <w:t>258 532,66</w:t>
            </w:r>
          </w:p>
        </w:tc>
        <w:tc>
          <w:tcPr>
            <w:tcW w:w="1814" w:type="dxa"/>
            <w:vAlign w:val="center"/>
          </w:tcPr>
          <w:p w14:paraId="20B85E57" w14:textId="77777777" w:rsidR="00454A29" w:rsidRDefault="00454A29">
            <w:pPr>
              <w:pStyle w:val="ConsPlusNormal"/>
              <w:jc w:val="center"/>
            </w:pPr>
            <w:r>
              <w:t>258 532,66</w:t>
            </w:r>
          </w:p>
        </w:tc>
        <w:tc>
          <w:tcPr>
            <w:tcW w:w="1701" w:type="dxa"/>
            <w:vAlign w:val="center"/>
          </w:tcPr>
          <w:p w14:paraId="5C07F4B0" w14:textId="77777777" w:rsidR="00454A29" w:rsidRDefault="00454A29">
            <w:pPr>
              <w:pStyle w:val="ConsPlusNormal"/>
              <w:jc w:val="center"/>
            </w:pPr>
            <w:r>
              <w:t>-</w:t>
            </w:r>
          </w:p>
        </w:tc>
        <w:tc>
          <w:tcPr>
            <w:tcW w:w="1701" w:type="dxa"/>
            <w:vAlign w:val="center"/>
          </w:tcPr>
          <w:p w14:paraId="3842EFE9" w14:textId="77777777" w:rsidR="00454A29" w:rsidRDefault="00454A29">
            <w:pPr>
              <w:pStyle w:val="ConsPlusNormal"/>
              <w:jc w:val="center"/>
            </w:pPr>
            <w:r>
              <w:t>-</w:t>
            </w:r>
          </w:p>
        </w:tc>
        <w:tc>
          <w:tcPr>
            <w:tcW w:w="1814" w:type="dxa"/>
            <w:vAlign w:val="center"/>
          </w:tcPr>
          <w:p w14:paraId="7AFA8DAA" w14:textId="77777777" w:rsidR="00454A29" w:rsidRDefault="00454A29">
            <w:pPr>
              <w:pStyle w:val="ConsPlusNormal"/>
              <w:jc w:val="center"/>
            </w:pPr>
            <w:r>
              <w:t>-</w:t>
            </w:r>
          </w:p>
        </w:tc>
      </w:tr>
      <w:tr w:rsidR="00454A29" w14:paraId="2C1D352A" w14:textId="77777777">
        <w:tc>
          <w:tcPr>
            <w:tcW w:w="567" w:type="dxa"/>
            <w:vMerge/>
          </w:tcPr>
          <w:p w14:paraId="69E7D9A1" w14:textId="77777777" w:rsidR="00454A29" w:rsidRDefault="00454A29"/>
        </w:tc>
        <w:tc>
          <w:tcPr>
            <w:tcW w:w="3345" w:type="dxa"/>
            <w:vMerge/>
          </w:tcPr>
          <w:p w14:paraId="7E94E667" w14:textId="77777777" w:rsidR="00454A29" w:rsidRDefault="00454A29"/>
        </w:tc>
        <w:tc>
          <w:tcPr>
            <w:tcW w:w="1701" w:type="dxa"/>
            <w:vAlign w:val="center"/>
          </w:tcPr>
          <w:p w14:paraId="3157F35B" w14:textId="77777777" w:rsidR="00454A29" w:rsidRDefault="00454A29">
            <w:pPr>
              <w:pStyle w:val="ConsPlusNormal"/>
              <w:jc w:val="center"/>
            </w:pPr>
            <w:r>
              <w:t>2020</w:t>
            </w:r>
          </w:p>
        </w:tc>
        <w:tc>
          <w:tcPr>
            <w:tcW w:w="1417" w:type="dxa"/>
            <w:vMerge/>
          </w:tcPr>
          <w:p w14:paraId="161FC04E" w14:textId="77777777" w:rsidR="00454A29" w:rsidRDefault="00454A29"/>
        </w:tc>
        <w:tc>
          <w:tcPr>
            <w:tcW w:w="2204" w:type="dxa"/>
            <w:vMerge/>
          </w:tcPr>
          <w:p w14:paraId="5B21266F" w14:textId="77777777" w:rsidR="00454A29" w:rsidRDefault="00454A29"/>
        </w:tc>
        <w:tc>
          <w:tcPr>
            <w:tcW w:w="1417" w:type="dxa"/>
            <w:vMerge/>
          </w:tcPr>
          <w:p w14:paraId="21CC4FB6" w14:textId="77777777" w:rsidR="00454A29" w:rsidRDefault="00454A29"/>
        </w:tc>
        <w:tc>
          <w:tcPr>
            <w:tcW w:w="2324" w:type="dxa"/>
            <w:vMerge/>
          </w:tcPr>
          <w:p w14:paraId="361AB55C" w14:textId="77777777" w:rsidR="00454A29" w:rsidRDefault="00454A29"/>
        </w:tc>
        <w:tc>
          <w:tcPr>
            <w:tcW w:w="1701" w:type="dxa"/>
            <w:vAlign w:val="center"/>
          </w:tcPr>
          <w:p w14:paraId="39AC65C3" w14:textId="77777777" w:rsidR="00454A29" w:rsidRDefault="00454A29">
            <w:pPr>
              <w:pStyle w:val="ConsPlusNormal"/>
              <w:jc w:val="center"/>
            </w:pPr>
            <w:r>
              <w:t>-</w:t>
            </w:r>
          </w:p>
        </w:tc>
        <w:tc>
          <w:tcPr>
            <w:tcW w:w="1814" w:type="dxa"/>
            <w:vAlign w:val="center"/>
          </w:tcPr>
          <w:p w14:paraId="25C8AD6D" w14:textId="77777777" w:rsidR="00454A29" w:rsidRDefault="00454A29">
            <w:pPr>
              <w:pStyle w:val="ConsPlusNormal"/>
            </w:pPr>
          </w:p>
        </w:tc>
        <w:tc>
          <w:tcPr>
            <w:tcW w:w="1701" w:type="dxa"/>
            <w:vAlign w:val="center"/>
          </w:tcPr>
          <w:p w14:paraId="1EB2024B" w14:textId="77777777" w:rsidR="00454A29" w:rsidRDefault="00454A29">
            <w:pPr>
              <w:pStyle w:val="ConsPlusNormal"/>
            </w:pPr>
          </w:p>
        </w:tc>
        <w:tc>
          <w:tcPr>
            <w:tcW w:w="1701" w:type="dxa"/>
            <w:vAlign w:val="center"/>
          </w:tcPr>
          <w:p w14:paraId="2E0ECCF7" w14:textId="77777777" w:rsidR="00454A29" w:rsidRDefault="00454A29">
            <w:pPr>
              <w:pStyle w:val="ConsPlusNormal"/>
            </w:pPr>
          </w:p>
        </w:tc>
        <w:tc>
          <w:tcPr>
            <w:tcW w:w="1814" w:type="dxa"/>
            <w:vAlign w:val="center"/>
          </w:tcPr>
          <w:p w14:paraId="08D9F1C8" w14:textId="77777777" w:rsidR="00454A29" w:rsidRDefault="00454A29">
            <w:pPr>
              <w:pStyle w:val="ConsPlusNormal"/>
            </w:pPr>
          </w:p>
        </w:tc>
      </w:tr>
      <w:tr w:rsidR="00454A29" w14:paraId="1C19F83D" w14:textId="77777777">
        <w:tc>
          <w:tcPr>
            <w:tcW w:w="567" w:type="dxa"/>
            <w:vMerge/>
          </w:tcPr>
          <w:p w14:paraId="778D45E0" w14:textId="77777777" w:rsidR="00454A29" w:rsidRDefault="00454A29"/>
        </w:tc>
        <w:tc>
          <w:tcPr>
            <w:tcW w:w="3345" w:type="dxa"/>
            <w:vMerge/>
          </w:tcPr>
          <w:p w14:paraId="01BE965E" w14:textId="77777777" w:rsidR="00454A29" w:rsidRDefault="00454A29"/>
        </w:tc>
        <w:tc>
          <w:tcPr>
            <w:tcW w:w="1701" w:type="dxa"/>
            <w:vAlign w:val="center"/>
          </w:tcPr>
          <w:p w14:paraId="079B4E85" w14:textId="77777777" w:rsidR="00454A29" w:rsidRDefault="00454A29">
            <w:pPr>
              <w:pStyle w:val="ConsPlusNormal"/>
              <w:jc w:val="center"/>
            </w:pPr>
            <w:r>
              <w:t>2021</w:t>
            </w:r>
          </w:p>
        </w:tc>
        <w:tc>
          <w:tcPr>
            <w:tcW w:w="1417" w:type="dxa"/>
            <w:vMerge/>
          </w:tcPr>
          <w:p w14:paraId="6C200AE6" w14:textId="77777777" w:rsidR="00454A29" w:rsidRDefault="00454A29"/>
        </w:tc>
        <w:tc>
          <w:tcPr>
            <w:tcW w:w="2204" w:type="dxa"/>
            <w:vMerge/>
          </w:tcPr>
          <w:p w14:paraId="244F0E6F" w14:textId="77777777" w:rsidR="00454A29" w:rsidRDefault="00454A29"/>
        </w:tc>
        <w:tc>
          <w:tcPr>
            <w:tcW w:w="1417" w:type="dxa"/>
            <w:vMerge/>
          </w:tcPr>
          <w:p w14:paraId="07E990D1" w14:textId="77777777" w:rsidR="00454A29" w:rsidRDefault="00454A29"/>
        </w:tc>
        <w:tc>
          <w:tcPr>
            <w:tcW w:w="2324" w:type="dxa"/>
            <w:vMerge/>
          </w:tcPr>
          <w:p w14:paraId="26656942" w14:textId="77777777" w:rsidR="00454A29" w:rsidRDefault="00454A29"/>
        </w:tc>
        <w:tc>
          <w:tcPr>
            <w:tcW w:w="1701" w:type="dxa"/>
            <w:vAlign w:val="center"/>
          </w:tcPr>
          <w:p w14:paraId="1B83DFD2" w14:textId="77777777" w:rsidR="00454A29" w:rsidRDefault="00454A29">
            <w:pPr>
              <w:pStyle w:val="ConsPlusNormal"/>
              <w:jc w:val="center"/>
            </w:pPr>
            <w:r>
              <w:t>-</w:t>
            </w:r>
          </w:p>
        </w:tc>
        <w:tc>
          <w:tcPr>
            <w:tcW w:w="1814" w:type="dxa"/>
            <w:vAlign w:val="center"/>
          </w:tcPr>
          <w:p w14:paraId="2D2E42C6" w14:textId="77777777" w:rsidR="00454A29" w:rsidRDefault="00454A29">
            <w:pPr>
              <w:pStyle w:val="ConsPlusNormal"/>
            </w:pPr>
          </w:p>
        </w:tc>
        <w:tc>
          <w:tcPr>
            <w:tcW w:w="1701" w:type="dxa"/>
            <w:vAlign w:val="center"/>
          </w:tcPr>
          <w:p w14:paraId="62C46458" w14:textId="77777777" w:rsidR="00454A29" w:rsidRDefault="00454A29">
            <w:pPr>
              <w:pStyle w:val="ConsPlusNormal"/>
            </w:pPr>
          </w:p>
        </w:tc>
        <w:tc>
          <w:tcPr>
            <w:tcW w:w="1701" w:type="dxa"/>
            <w:vAlign w:val="center"/>
          </w:tcPr>
          <w:p w14:paraId="234A6993" w14:textId="77777777" w:rsidR="00454A29" w:rsidRDefault="00454A29">
            <w:pPr>
              <w:pStyle w:val="ConsPlusNormal"/>
            </w:pPr>
          </w:p>
        </w:tc>
        <w:tc>
          <w:tcPr>
            <w:tcW w:w="1814" w:type="dxa"/>
            <w:vAlign w:val="center"/>
          </w:tcPr>
          <w:p w14:paraId="78C0EB90" w14:textId="77777777" w:rsidR="00454A29" w:rsidRDefault="00454A29">
            <w:pPr>
              <w:pStyle w:val="ConsPlusNormal"/>
            </w:pPr>
          </w:p>
        </w:tc>
      </w:tr>
      <w:tr w:rsidR="00454A29" w14:paraId="1B6E0D74" w14:textId="77777777">
        <w:tc>
          <w:tcPr>
            <w:tcW w:w="567" w:type="dxa"/>
            <w:vMerge/>
          </w:tcPr>
          <w:p w14:paraId="2B54F8A1" w14:textId="77777777" w:rsidR="00454A29" w:rsidRDefault="00454A29"/>
        </w:tc>
        <w:tc>
          <w:tcPr>
            <w:tcW w:w="3345" w:type="dxa"/>
            <w:vMerge/>
          </w:tcPr>
          <w:p w14:paraId="75D3025D" w14:textId="77777777" w:rsidR="00454A29" w:rsidRDefault="00454A29"/>
        </w:tc>
        <w:tc>
          <w:tcPr>
            <w:tcW w:w="1701" w:type="dxa"/>
            <w:vAlign w:val="center"/>
          </w:tcPr>
          <w:p w14:paraId="3B0EADBC" w14:textId="77777777" w:rsidR="00454A29" w:rsidRDefault="00454A29">
            <w:pPr>
              <w:pStyle w:val="ConsPlusNormal"/>
              <w:jc w:val="center"/>
            </w:pPr>
            <w:r>
              <w:t>2022</w:t>
            </w:r>
          </w:p>
        </w:tc>
        <w:tc>
          <w:tcPr>
            <w:tcW w:w="1417" w:type="dxa"/>
            <w:vMerge/>
          </w:tcPr>
          <w:p w14:paraId="3D2BDA31" w14:textId="77777777" w:rsidR="00454A29" w:rsidRDefault="00454A29"/>
        </w:tc>
        <w:tc>
          <w:tcPr>
            <w:tcW w:w="2204" w:type="dxa"/>
            <w:vMerge/>
          </w:tcPr>
          <w:p w14:paraId="565E5BEC" w14:textId="77777777" w:rsidR="00454A29" w:rsidRDefault="00454A29"/>
        </w:tc>
        <w:tc>
          <w:tcPr>
            <w:tcW w:w="1417" w:type="dxa"/>
            <w:vMerge/>
          </w:tcPr>
          <w:p w14:paraId="7CF94991" w14:textId="77777777" w:rsidR="00454A29" w:rsidRDefault="00454A29"/>
        </w:tc>
        <w:tc>
          <w:tcPr>
            <w:tcW w:w="2324" w:type="dxa"/>
            <w:vMerge/>
          </w:tcPr>
          <w:p w14:paraId="028841E8" w14:textId="77777777" w:rsidR="00454A29" w:rsidRDefault="00454A29"/>
        </w:tc>
        <w:tc>
          <w:tcPr>
            <w:tcW w:w="1701" w:type="dxa"/>
            <w:vAlign w:val="center"/>
          </w:tcPr>
          <w:p w14:paraId="40550912" w14:textId="77777777" w:rsidR="00454A29" w:rsidRDefault="00454A29">
            <w:pPr>
              <w:pStyle w:val="ConsPlusNormal"/>
              <w:jc w:val="center"/>
            </w:pPr>
            <w:r>
              <w:t>-</w:t>
            </w:r>
          </w:p>
        </w:tc>
        <w:tc>
          <w:tcPr>
            <w:tcW w:w="1814" w:type="dxa"/>
            <w:vAlign w:val="center"/>
          </w:tcPr>
          <w:p w14:paraId="1949BC54" w14:textId="77777777" w:rsidR="00454A29" w:rsidRDefault="00454A29">
            <w:pPr>
              <w:pStyle w:val="ConsPlusNormal"/>
            </w:pPr>
          </w:p>
        </w:tc>
        <w:tc>
          <w:tcPr>
            <w:tcW w:w="1701" w:type="dxa"/>
            <w:vAlign w:val="center"/>
          </w:tcPr>
          <w:p w14:paraId="3CCAA341" w14:textId="77777777" w:rsidR="00454A29" w:rsidRDefault="00454A29">
            <w:pPr>
              <w:pStyle w:val="ConsPlusNormal"/>
            </w:pPr>
          </w:p>
        </w:tc>
        <w:tc>
          <w:tcPr>
            <w:tcW w:w="1701" w:type="dxa"/>
            <w:vAlign w:val="center"/>
          </w:tcPr>
          <w:p w14:paraId="44E5CC0E" w14:textId="77777777" w:rsidR="00454A29" w:rsidRDefault="00454A29">
            <w:pPr>
              <w:pStyle w:val="ConsPlusNormal"/>
            </w:pPr>
          </w:p>
        </w:tc>
        <w:tc>
          <w:tcPr>
            <w:tcW w:w="1814" w:type="dxa"/>
            <w:vAlign w:val="center"/>
          </w:tcPr>
          <w:p w14:paraId="3ED20DF4" w14:textId="77777777" w:rsidR="00454A29" w:rsidRDefault="00454A29">
            <w:pPr>
              <w:pStyle w:val="ConsPlusNormal"/>
            </w:pPr>
          </w:p>
        </w:tc>
      </w:tr>
      <w:tr w:rsidR="00454A29" w14:paraId="77C69241" w14:textId="77777777">
        <w:tc>
          <w:tcPr>
            <w:tcW w:w="567" w:type="dxa"/>
            <w:vMerge/>
          </w:tcPr>
          <w:p w14:paraId="6806DD60" w14:textId="77777777" w:rsidR="00454A29" w:rsidRDefault="00454A29"/>
        </w:tc>
        <w:tc>
          <w:tcPr>
            <w:tcW w:w="3345" w:type="dxa"/>
            <w:vMerge/>
          </w:tcPr>
          <w:p w14:paraId="6A679B97" w14:textId="77777777" w:rsidR="00454A29" w:rsidRDefault="00454A29"/>
        </w:tc>
        <w:tc>
          <w:tcPr>
            <w:tcW w:w="1701" w:type="dxa"/>
            <w:vAlign w:val="center"/>
          </w:tcPr>
          <w:p w14:paraId="23C8E964" w14:textId="77777777" w:rsidR="00454A29" w:rsidRDefault="00454A29">
            <w:pPr>
              <w:pStyle w:val="ConsPlusNormal"/>
              <w:jc w:val="center"/>
            </w:pPr>
            <w:r>
              <w:t>2023</w:t>
            </w:r>
          </w:p>
        </w:tc>
        <w:tc>
          <w:tcPr>
            <w:tcW w:w="1417" w:type="dxa"/>
            <w:vMerge/>
          </w:tcPr>
          <w:p w14:paraId="6DAE6CA1" w14:textId="77777777" w:rsidR="00454A29" w:rsidRDefault="00454A29"/>
        </w:tc>
        <w:tc>
          <w:tcPr>
            <w:tcW w:w="2204" w:type="dxa"/>
            <w:vMerge/>
          </w:tcPr>
          <w:p w14:paraId="578A4B62" w14:textId="77777777" w:rsidR="00454A29" w:rsidRDefault="00454A29"/>
        </w:tc>
        <w:tc>
          <w:tcPr>
            <w:tcW w:w="1417" w:type="dxa"/>
            <w:vMerge/>
          </w:tcPr>
          <w:p w14:paraId="6F7AC1D8" w14:textId="77777777" w:rsidR="00454A29" w:rsidRDefault="00454A29"/>
        </w:tc>
        <w:tc>
          <w:tcPr>
            <w:tcW w:w="2324" w:type="dxa"/>
            <w:vMerge/>
          </w:tcPr>
          <w:p w14:paraId="536B741A" w14:textId="77777777" w:rsidR="00454A29" w:rsidRDefault="00454A29"/>
        </w:tc>
        <w:tc>
          <w:tcPr>
            <w:tcW w:w="1701" w:type="dxa"/>
            <w:vAlign w:val="center"/>
          </w:tcPr>
          <w:p w14:paraId="5C51F45E" w14:textId="77777777" w:rsidR="00454A29" w:rsidRDefault="00454A29">
            <w:pPr>
              <w:pStyle w:val="ConsPlusNormal"/>
              <w:jc w:val="center"/>
            </w:pPr>
            <w:r>
              <w:t>-</w:t>
            </w:r>
          </w:p>
        </w:tc>
        <w:tc>
          <w:tcPr>
            <w:tcW w:w="1814" w:type="dxa"/>
            <w:vAlign w:val="center"/>
          </w:tcPr>
          <w:p w14:paraId="4F189BB4" w14:textId="77777777" w:rsidR="00454A29" w:rsidRDefault="00454A29">
            <w:pPr>
              <w:pStyle w:val="ConsPlusNormal"/>
            </w:pPr>
          </w:p>
        </w:tc>
        <w:tc>
          <w:tcPr>
            <w:tcW w:w="1701" w:type="dxa"/>
            <w:vAlign w:val="center"/>
          </w:tcPr>
          <w:p w14:paraId="7E1A3542" w14:textId="77777777" w:rsidR="00454A29" w:rsidRDefault="00454A29">
            <w:pPr>
              <w:pStyle w:val="ConsPlusNormal"/>
            </w:pPr>
          </w:p>
        </w:tc>
        <w:tc>
          <w:tcPr>
            <w:tcW w:w="1701" w:type="dxa"/>
            <w:vAlign w:val="center"/>
          </w:tcPr>
          <w:p w14:paraId="4E7A2242" w14:textId="77777777" w:rsidR="00454A29" w:rsidRDefault="00454A29">
            <w:pPr>
              <w:pStyle w:val="ConsPlusNormal"/>
            </w:pPr>
          </w:p>
        </w:tc>
        <w:tc>
          <w:tcPr>
            <w:tcW w:w="1814" w:type="dxa"/>
            <w:vAlign w:val="center"/>
          </w:tcPr>
          <w:p w14:paraId="3E810C6D" w14:textId="77777777" w:rsidR="00454A29" w:rsidRDefault="00454A29">
            <w:pPr>
              <w:pStyle w:val="ConsPlusNormal"/>
            </w:pPr>
          </w:p>
        </w:tc>
      </w:tr>
      <w:tr w:rsidR="00454A29" w14:paraId="5D781361" w14:textId="77777777">
        <w:tc>
          <w:tcPr>
            <w:tcW w:w="567" w:type="dxa"/>
            <w:vMerge/>
          </w:tcPr>
          <w:p w14:paraId="17E5AD98" w14:textId="77777777" w:rsidR="00454A29" w:rsidRDefault="00454A29"/>
        </w:tc>
        <w:tc>
          <w:tcPr>
            <w:tcW w:w="3345" w:type="dxa"/>
            <w:vMerge/>
          </w:tcPr>
          <w:p w14:paraId="61415BEF" w14:textId="77777777" w:rsidR="00454A29" w:rsidRDefault="00454A29"/>
        </w:tc>
        <w:tc>
          <w:tcPr>
            <w:tcW w:w="1701" w:type="dxa"/>
            <w:vAlign w:val="center"/>
          </w:tcPr>
          <w:p w14:paraId="2370D71D" w14:textId="77777777" w:rsidR="00454A29" w:rsidRDefault="00454A29">
            <w:pPr>
              <w:pStyle w:val="ConsPlusNormal"/>
              <w:jc w:val="center"/>
            </w:pPr>
            <w:r>
              <w:t>2024</w:t>
            </w:r>
          </w:p>
        </w:tc>
        <w:tc>
          <w:tcPr>
            <w:tcW w:w="1417" w:type="dxa"/>
            <w:vMerge/>
          </w:tcPr>
          <w:p w14:paraId="3AF92D9B" w14:textId="77777777" w:rsidR="00454A29" w:rsidRDefault="00454A29"/>
        </w:tc>
        <w:tc>
          <w:tcPr>
            <w:tcW w:w="2204" w:type="dxa"/>
            <w:vMerge/>
          </w:tcPr>
          <w:p w14:paraId="04576463" w14:textId="77777777" w:rsidR="00454A29" w:rsidRDefault="00454A29"/>
        </w:tc>
        <w:tc>
          <w:tcPr>
            <w:tcW w:w="1417" w:type="dxa"/>
            <w:vMerge/>
          </w:tcPr>
          <w:p w14:paraId="27B2CB9C" w14:textId="77777777" w:rsidR="00454A29" w:rsidRDefault="00454A29"/>
        </w:tc>
        <w:tc>
          <w:tcPr>
            <w:tcW w:w="2324" w:type="dxa"/>
            <w:vMerge/>
          </w:tcPr>
          <w:p w14:paraId="1139E881" w14:textId="77777777" w:rsidR="00454A29" w:rsidRDefault="00454A29"/>
        </w:tc>
        <w:tc>
          <w:tcPr>
            <w:tcW w:w="1701" w:type="dxa"/>
            <w:vAlign w:val="center"/>
          </w:tcPr>
          <w:p w14:paraId="7599659E" w14:textId="77777777" w:rsidR="00454A29" w:rsidRDefault="00454A29">
            <w:pPr>
              <w:pStyle w:val="ConsPlusNormal"/>
              <w:jc w:val="center"/>
            </w:pPr>
            <w:r>
              <w:t>258 532,66</w:t>
            </w:r>
          </w:p>
        </w:tc>
        <w:tc>
          <w:tcPr>
            <w:tcW w:w="1814" w:type="dxa"/>
            <w:vAlign w:val="center"/>
          </w:tcPr>
          <w:p w14:paraId="18DC468D" w14:textId="77777777" w:rsidR="00454A29" w:rsidRDefault="00454A29">
            <w:pPr>
              <w:pStyle w:val="ConsPlusNormal"/>
              <w:jc w:val="center"/>
            </w:pPr>
            <w:r>
              <w:t>258 532,66</w:t>
            </w:r>
          </w:p>
        </w:tc>
        <w:tc>
          <w:tcPr>
            <w:tcW w:w="1701" w:type="dxa"/>
            <w:vAlign w:val="center"/>
          </w:tcPr>
          <w:p w14:paraId="558B5548" w14:textId="77777777" w:rsidR="00454A29" w:rsidRDefault="00454A29">
            <w:pPr>
              <w:pStyle w:val="ConsPlusNormal"/>
            </w:pPr>
          </w:p>
        </w:tc>
        <w:tc>
          <w:tcPr>
            <w:tcW w:w="1701" w:type="dxa"/>
            <w:vAlign w:val="center"/>
          </w:tcPr>
          <w:p w14:paraId="5D537EA0" w14:textId="77777777" w:rsidR="00454A29" w:rsidRDefault="00454A29">
            <w:pPr>
              <w:pStyle w:val="ConsPlusNormal"/>
            </w:pPr>
          </w:p>
        </w:tc>
        <w:tc>
          <w:tcPr>
            <w:tcW w:w="1814" w:type="dxa"/>
            <w:vAlign w:val="center"/>
          </w:tcPr>
          <w:p w14:paraId="672DA74D" w14:textId="77777777" w:rsidR="00454A29" w:rsidRDefault="00454A29">
            <w:pPr>
              <w:pStyle w:val="ConsPlusNormal"/>
            </w:pPr>
          </w:p>
        </w:tc>
      </w:tr>
      <w:tr w:rsidR="00454A29" w14:paraId="7AFF5BE3" w14:textId="77777777">
        <w:tc>
          <w:tcPr>
            <w:tcW w:w="567" w:type="dxa"/>
            <w:vMerge/>
          </w:tcPr>
          <w:p w14:paraId="628C6B58" w14:textId="77777777" w:rsidR="00454A29" w:rsidRDefault="00454A29"/>
        </w:tc>
        <w:tc>
          <w:tcPr>
            <w:tcW w:w="3345" w:type="dxa"/>
            <w:vMerge/>
          </w:tcPr>
          <w:p w14:paraId="3FFEF984" w14:textId="77777777" w:rsidR="00454A29" w:rsidRDefault="00454A29"/>
        </w:tc>
        <w:tc>
          <w:tcPr>
            <w:tcW w:w="1701" w:type="dxa"/>
            <w:vAlign w:val="center"/>
          </w:tcPr>
          <w:p w14:paraId="33B72208" w14:textId="77777777" w:rsidR="00454A29" w:rsidRDefault="00454A29">
            <w:pPr>
              <w:pStyle w:val="ConsPlusNormal"/>
              <w:jc w:val="center"/>
            </w:pPr>
            <w:r>
              <w:t>2025</w:t>
            </w:r>
          </w:p>
        </w:tc>
        <w:tc>
          <w:tcPr>
            <w:tcW w:w="1417" w:type="dxa"/>
            <w:vMerge/>
          </w:tcPr>
          <w:p w14:paraId="13A16806" w14:textId="77777777" w:rsidR="00454A29" w:rsidRDefault="00454A29"/>
        </w:tc>
        <w:tc>
          <w:tcPr>
            <w:tcW w:w="2204" w:type="dxa"/>
            <w:vMerge/>
          </w:tcPr>
          <w:p w14:paraId="32205CDC" w14:textId="77777777" w:rsidR="00454A29" w:rsidRDefault="00454A29"/>
        </w:tc>
        <w:tc>
          <w:tcPr>
            <w:tcW w:w="1417" w:type="dxa"/>
            <w:vMerge/>
          </w:tcPr>
          <w:p w14:paraId="1E9743FB" w14:textId="77777777" w:rsidR="00454A29" w:rsidRDefault="00454A29"/>
        </w:tc>
        <w:tc>
          <w:tcPr>
            <w:tcW w:w="2324" w:type="dxa"/>
            <w:vMerge/>
          </w:tcPr>
          <w:p w14:paraId="2C17C8C7" w14:textId="77777777" w:rsidR="00454A29" w:rsidRDefault="00454A29"/>
        </w:tc>
        <w:tc>
          <w:tcPr>
            <w:tcW w:w="1701" w:type="dxa"/>
            <w:vAlign w:val="center"/>
          </w:tcPr>
          <w:p w14:paraId="277E56E8" w14:textId="77777777" w:rsidR="00454A29" w:rsidRDefault="00454A29">
            <w:pPr>
              <w:pStyle w:val="ConsPlusNormal"/>
              <w:jc w:val="center"/>
            </w:pPr>
            <w:r>
              <w:t>-</w:t>
            </w:r>
          </w:p>
        </w:tc>
        <w:tc>
          <w:tcPr>
            <w:tcW w:w="1814" w:type="dxa"/>
            <w:vAlign w:val="center"/>
          </w:tcPr>
          <w:p w14:paraId="34D8C93D" w14:textId="77777777" w:rsidR="00454A29" w:rsidRDefault="00454A29">
            <w:pPr>
              <w:pStyle w:val="ConsPlusNormal"/>
            </w:pPr>
          </w:p>
        </w:tc>
        <w:tc>
          <w:tcPr>
            <w:tcW w:w="1701" w:type="dxa"/>
            <w:vAlign w:val="center"/>
          </w:tcPr>
          <w:p w14:paraId="7BAD0385" w14:textId="77777777" w:rsidR="00454A29" w:rsidRDefault="00454A29">
            <w:pPr>
              <w:pStyle w:val="ConsPlusNormal"/>
            </w:pPr>
          </w:p>
        </w:tc>
        <w:tc>
          <w:tcPr>
            <w:tcW w:w="1701" w:type="dxa"/>
            <w:vAlign w:val="center"/>
          </w:tcPr>
          <w:p w14:paraId="376D07C4" w14:textId="77777777" w:rsidR="00454A29" w:rsidRDefault="00454A29">
            <w:pPr>
              <w:pStyle w:val="ConsPlusNormal"/>
            </w:pPr>
          </w:p>
        </w:tc>
        <w:tc>
          <w:tcPr>
            <w:tcW w:w="1814" w:type="dxa"/>
            <w:vAlign w:val="center"/>
          </w:tcPr>
          <w:p w14:paraId="6CCFCD2E" w14:textId="77777777" w:rsidR="00454A29" w:rsidRDefault="00454A29">
            <w:pPr>
              <w:pStyle w:val="ConsPlusNormal"/>
            </w:pPr>
          </w:p>
        </w:tc>
      </w:tr>
      <w:tr w:rsidR="00454A29" w14:paraId="3B31A654" w14:textId="77777777">
        <w:tc>
          <w:tcPr>
            <w:tcW w:w="567" w:type="dxa"/>
            <w:vMerge/>
          </w:tcPr>
          <w:p w14:paraId="31750F2C" w14:textId="77777777" w:rsidR="00454A29" w:rsidRDefault="00454A29"/>
        </w:tc>
        <w:tc>
          <w:tcPr>
            <w:tcW w:w="3345" w:type="dxa"/>
            <w:vMerge/>
          </w:tcPr>
          <w:p w14:paraId="72D3E0A0" w14:textId="77777777" w:rsidR="00454A29" w:rsidRDefault="00454A29"/>
        </w:tc>
        <w:tc>
          <w:tcPr>
            <w:tcW w:w="1701" w:type="dxa"/>
            <w:vAlign w:val="center"/>
          </w:tcPr>
          <w:p w14:paraId="455D4B91" w14:textId="77777777" w:rsidR="00454A29" w:rsidRDefault="00454A29">
            <w:pPr>
              <w:pStyle w:val="ConsPlusNormal"/>
              <w:jc w:val="center"/>
            </w:pPr>
            <w:r>
              <w:t>2026</w:t>
            </w:r>
          </w:p>
        </w:tc>
        <w:tc>
          <w:tcPr>
            <w:tcW w:w="1417" w:type="dxa"/>
            <w:vMerge/>
          </w:tcPr>
          <w:p w14:paraId="2728D3D1" w14:textId="77777777" w:rsidR="00454A29" w:rsidRDefault="00454A29"/>
        </w:tc>
        <w:tc>
          <w:tcPr>
            <w:tcW w:w="2204" w:type="dxa"/>
            <w:vMerge/>
          </w:tcPr>
          <w:p w14:paraId="6452C01B" w14:textId="77777777" w:rsidR="00454A29" w:rsidRDefault="00454A29"/>
        </w:tc>
        <w:tc>
          <w:tcPr>
            <w:tcW w:w="1417" w:type="dxa"/>
            <w:vMerge/>
          </w:tcPr>
          <w:p w14:paraId="55A0BB13" w14:textId="77777777" w:rsidR="00454A29" w:rsidRDefault="00454A29"/>
        </w:tc>
        <w:tc>
          <w:tcPr>
            <w:tcW w:w="2324" w:type="dxa"/>
            <w:vMerge/>
          </w:tcPr>
          <w:p w14:paraId="1235BDFE" w14:textId="77777777" w:rsidR="00454A29" w:rsidRDefault="00454A29"/>
        </w:tc>
        <w:tc>
          <w:tcPr>
            <w:tcW w:w="1701" w:type="dxa"/>
            <w:vAlign w:val="center"/>
          </w:tcPr>
          <w:p w14:paraId="32C676F1" w14:textId="77777777" w:rsidR="00454A29" w:rsidRDefault="00454A29">
            <w:pPr>
              <w:pStyle w:val="ConsPlusNormal"/>
              <w:jc w:val="center"/>
            </w:pPr>
            <w:r>
              <w:t>-</w:t>
            </w:r>
          </w:p>
        </w:tc>
        <w:tc>
          <w:tcPr>
            <w:tcW w:w="1814" w:type="dxa"/>
            <w:vAlign w:val="center"/>
          </w:tcPr>
          <w:p w14:paraId="02CDC1D6" w14:textId="77777777" w:rsidR="00454A29" w:rsidRDefault="00454A29">
            <w:pPr>
              <w:pStyle w:val="ConsPlusNormal"/>
            </w:pPr>
          </w:p>
        </w:tc>
        <w:tc>
          <w:tcPr>
            <w:tcW w:w="1701" w:type="dxa"/>
            <w:vAlign w:val="center"/>
          </w:tcPr>
          <w:p w14:paraId="2A91F0C1" w14:textId="77777777" w:rsidR="00454A29" w:rsidRDefault="00454A29">
            <w:pPr>
              <w:pStyle w:val="ConsPlusNormal"/>
            </w:pPr>
          </w:p>
        </w:tc>
        <w:tc>
          <w:tcPr>
            <w:tcW w:w="1701" w:type="dxa"/>
            <w:vAlign w:val="center"/>
          </w:tcPr>
          <w:p w14:paraId="3BCDF6EE" w14:textId="77777777" w:rsidR="00454A29" w:rsidRDefault="00454A29">
            <w:pPr>
              <w:pStyle w:val="ConsPlusNormal"/>
            </w:pPr>
          </w:p>
        </w:tc>
        <w:tc>
          <w:tcPr>
            <w:tcW w:w="1814" w:type="dxa"/>
            <w:vAlign w:val="center"/>
          </w:tcPr>
          <w:p w14:paraId="6786D8A2" w14:textId="77777777" w:rsidR="00454A29" w:rsidRDefault="00454A29">
            <w:pPr>
              <w:pStyle w:val="ConsPlusNormal"/>
            </w:pPr>
          </w:p>
        </w:tc>
      </w:tr>
      <w:tr w:rsidR="00454A29" w14:paraId="1F9FFBA6" w14:textId="77777777">
        <w:tc>
          <w:tcPr>
            <w:tcW w:w="567" w:type="dxa"/>
            <w:vMerge w:val="restart"/>
            <w:vAlign w:val="center"/>
          </w:tcPr>
          <w:p w14:paraId="7AC6B86F" w14:textId="77777777" w:rsidR="00454A29" w:rsidRDefault="00454A29">
            <w:pPr>
              <w:pStyle w:val="ConsPlusNormal"/>
              <w:jc w:val="center"/>
            </w:pPr>
            <w:r>
              <w:t>13</w:t>
            </w:r>
          </w:p>
        </w:tc>
        <w:tc>
          <w:tcPr>
            <w:tcW w:w="3345" w:type="dxa"/>
            <w:vMerge w:val="restart"/>
            <w:vAlign w:val="center"/>
          </w:tcPr>
          <w:p w14:paraId="349E64F3" w14:textId="77777777" w:rsidR="00454A29" w:rsidRDefault="00454A29">
            <w:pPr>
              <w:pStyle w:val="ConsPlusNormal"/>
              <w:jc w:val="center"/>
            </w:pPr>
            <w:r>
              <w:t>Детский сад на 50 мест в с. Кюбяингде Вилюйского улуса</w:t>
            </w:r>
          </w:p>
        </w:tc>
        <w:tc>
          <w:tcPr>
            <w:tcW w:w="1701" w:type="dxa"/>
            <w:vAlign w:val="center"/>
          </w:tcPr>
          <w:p w14:paraId="3B938409" w14:textId="77777777" w:rsidR="00454A29" w:rsidRDefault="00454A29">
            <w:pPr>
              <w:pStyle w:val="ConsPlusNormal"/>
              <w:jc w:val="center"/>
            </w:pPr>
            <w:r>
              <w:t>2020 - 2026 годы - всего</w:t>
            </w:r>
          </w:p>
        </w:tc>
        <w:tc>
          <w:tcPr>
            <w:tcW w:w="1417" w:type="dxa"/>
            <w:vMerge w:val="restart"/>
            <w:vAlign w:val="center"/>
          </w:tcPr>
          <w:p w14:paraId="253D2B3B" w14:textId="77777777" w:rsidR="00454A29" w:rsidRDefault="00454A29">
            <w:pPr>
              <w:pStyle w:val="ConsPlusNormal"/>
              <w:jc w:val="center"/>
            </w:pPr>
            <w:r>
              <w:t>42 055,34</w:t>
            </w:r>
          </w:p>
        </w:tc>
        <w:tc>
          <w:tcPr>
            <w:tcW w:w="2204" w:type="dxa"/>
            <w:vMerge w:val="restart"/>
            <w:vAlign w:val="center"/>
          </w:tcPr>
          <w:p w14:paraId="36B047BB" w14:textId="77777777" w:rsidR="00454A29" w:rsidRDefault="00454A29">
            <w:pPr>
              <w:pStyle w:val="ConsPlusNormal"/>
            </w:pPr>
          </w:p>
        </w:tc>
        <w:tc>
          <w:tcPr>
            <w:tcW w:w="1417" w:type="dxa"/>
            <w:vMerge w:val="restart"/>
            <w:vAlign w:val="center"/>
          </w:tcPr>
          <w:p w14:paraId="23BCADD9" w14:textId="77777777" w:rsidR="00454A29" w:rsidRDefault="00454A29">
            <w:pPr>
              <w:pStyle w:val="ConsPlusNormal"/>
              <w:jc w:val="center"/>
            </w:pPr>
            <w:r>
              <w:t>50</w:t>
            </w:r>
          </w:p>
        </w:tc>
        <w:tc>
          <w:tcPr>
            <w:tcW w:w="2324" w:type="dxa"/>
            <w:vMerge w:val="restart"/>
            <w:vAlign w:val="center"/>
          </w:tcPr>
          <w:p w14:paraId="18661A4D" w14:textId="77777777" w:rsidR="00454A29" w:rsidRDefault="00454A29">
            <w:pPr>
              <w:pStyle w:val="ConsPlusNormal"/>
              <w:jc w:val="center"/>
            </w:pPr>
            <w:r>
              <w:t xml:space="preserve">Минстрой РС(Я), ГКУ "Служба государственного </w:t>
            </w:r>
            <w:r>
              <w:lastRenderedPageBreak/>
              <w:t>заказчика Республики Саха (Якутия)"</w:t>
            </w:r>
          </w:p>
        </w:tc>
        <w:tc>
          <w:tcPr>
            <w:tcW w:w="1701" w:type="dxa"/>
            <w:vAlign w:val="center"/>
          </w:tcPr>
          <w:p w14:paraId="200BC5DB" w14:textId="77777777" w:rsidR="00454A29" w:rsidRDefault="00454A29">
            <w:pPr>
              <w:pStyle w:val="ConsPlusNormal"/>
              <w:jc w:val="center"/>
            </w:pPr>
            <w:r>
              <w:lastRenderedPageBreak/>
              <w:t>42 055,34</w:t>
            </w:r>
          </w:p>
        </w:tc>
        <w:tc>
          <w:tcPr>
            <w:tcW w:w="1814" w:type="dxa"/>
            <w:vAlign w:val="center"/>
          </w:tcPr>
          <w:p w14:paraId="7EB219C7" w14:textId="77777777" w:rsidR="00454A29" w:rsidRDefault="00454A29">
            <w:pPr>
              <w:pStyle w:val="ConsPlusNormal"/>
              <w:jc w:val="center"/>
            </w:pPr>
            <w:r>
              <w:t>42 055,34</w:t>
            </w:r>
          </w:p>
        </w:tc>
        <w:tc>
          <w:tcPr>
            <w:tcW w:w="1701" w:type="dxa"/>
            <w:vAlign w:val="center"/>
          </w:tcPr>
          <w:p w14:paraId="1193E27A" w14:textId="77777777" w:rsidR="00454A29" w:rsidRDefault="00454A29">
            <w:pPr>
              <w:pStyle w:val="ConsPlusNormal"/>
              <w:jc w:val="center"/>
            </w:pPr>
            <w:r>
              <w:t>-</w:t>
            </w:r>
          </w:p>
        </w:tc>
        <w:tc>
          <w:tcPr>
            <w:tcW w:w="1701" w:type="dxa"/>
            <w:vAlign w:val="center"/>
          </w:tcPr>
          <w:p w14:paraId="71642D78" w14:textId="77777777" w:rsidR="00454A29" w:rsidRDefault="00454A29">
            <w:pPr>
              <w:pStyle w:val="ConsPlusNormal"/>
              <w:jc w:val="center"/>
            </w:pPr>
            <w:r>
              <w:t>-</w:t>
            </w:r>
          </w:p>
        </w:tc>
        <w:tc>
          <w:tcPr>
            <w:tcW w:w="1814" w:type="dxa"/>
            <w:vAlign w:val="center"/>
          </w:tcPr>
          <w:p w14:paraId="2B315BEA" w14:textId="77777777" w:rsidR="00454A29" w:rsidRDefault="00454A29">
            <w:pPr>
              <w:pStyle w:val="ConsPlusNormal"/>
              <w:jc w:val="center"/>
            </w:pPr>
            <w:r>
              <w:t>-</w:t>
            </w:r>
          </w:p>
        </w:tc>
      </w:tr>
      <w:tr w:rsidR="00454A29" w14:paraId="7D8725E5" w14:textId="77777777">
        <w:tc>
          <w:tcPr>
            <w:tcW w:w="567" w:type="dxa"/>
            <w:vMerge/>
          </w:tcPr>
          <w:p w14:paraId="5785C866" w14:textId="77777777" w:rsidR="00454A29" w:rsidRDefault="00454A29"/>
        </w:tc>
        <w:tc>
          <w:tcPr>
            <w:tcW w:w="3345" w:type="dxa"/>
            <w:vMerge/>
          </w:tcPr>
          <w:p w14:paraId="4265DAA1" w14:textId="77777777" w:rsidR="00454A29" w:rsidRDefault="00454A29"/>
        </w:tc>
        <w:tc>
          <w:tcPr>
            <w:tcW w:w="1701" w:type="dxa"/>
            <w:vAlign w:val="center"/>
          </w:tcPr>
          <w:p w14:paraId="588129B4" w14:textId="77777777" w:rsidR="00454A29" w:rsidRDefault="00454A29">
            <w:pPr>
              <w:pStyle w:val="ConsPlusNormal"/>
              <w:jc w:val="center"/>
            </w:pPr>
            <w:r>
              <w:t>2020</w:t>
            </w:r>
          </w:p>
        </w:tc>
        <w:tc>
          <w:tcPr>
            <w:tcW w:w="1417" w:type="dxa"/>
            <w:vMerge/>
          </w:tcPr>
          <w:p w14:paraId="6E29C8B6" w14:textId="77777777" w:rsidR="00454A29" w:rsidRDefault="00454A29"/>
        </w:tc>
        <w:tc>
          <w:tcPr>
            <w:tcW w:w="2204" w:type="dxa"/>
            <w:vMerge/>
          </w:tcPr>
          <w:p w14:paraId="5405E4A7" w14:textId="77777777" w:rsidR="00454A29" w:rsidRDefault="00454A29"/>
        </w:tc>
        <w:tc>
          <w:tcPr>
            <w:tcW w:w="1417" w:type="dxa"/>
            <w:vMerge/>
          </w:tcPr>
          <w:p w14:paraId="0121C24C" w14:textId="77777777" w:rsidR="00454A29" w:rsidRDefault="00454A29"/>
        </w:tc>
        <w:tc>
          <w:tcPr>
            <w:tcW w:w="2324" w:type="dxa"/>
            <w:vMerge/>
          </w:tcPr>
          <w:p w14:paraId="0727991B" w14:textId="77777777" w:rsidR="00454A29" w:rsidRDefault="00454A29"/>
        </w:tc>
        <w:tc>
          <w:tcPr>
            <w:tcW w:w="1701" w:type="dxa"/>
            <w:vAlign w:val="center"/>
          </w:tcPr>
          <w:p w14:paraId="15295CD5" w14:textId="77777777" w:rsidR="00454A29" w:rsidRDefault="00454A29">
            <w:pPr>
              <w:pStyle w:val="ConsPlusNormal"/>
              <w:jc w:val="center"/>
            </w:pPr>
            <w:r>
              <w:t>-</w:t>
            </w:r>
          </w:p>
        </w:tc>
        <w:tc>
          <w:tcPr>
            <w:tcW w:w="1814" w:type="dxa"/>
            <w:vAlign w:val="center"/>
          </w:tcPr>
          <w:p w14:paraId="6EDB02F2" w14:textId="77777777" w:rsidR="00454A29" w:rsidRDefault="00454A29">
            <w:pPr>
              <w:pStyle w:val="ConsPlusNormal"/>
            </w:pPr>
          </w:p>
        </w:tc>
        <w:tc>
          <w:tcPr>
            <w:tcW w:w="1701" w:type="dxa"/>
            <w:vAlign w:val="center"/>
          </w:tcPr>
          <w:p w14:paraId="630D02DF" w14:textId="77777777" w:rsidR="00454A29" w:rsidRDefault="00454A29">
            <w:pPr>
              <w:pStyle w:val="ConsPlusNormal"/>
            </w:pPr>
          </w:p>
        </w:tc>
        <w:tc>
          <w:tcPr>
            <w:tcW w:w="1701" w:type="dxa"/>
            <w:vAlign w:val="center"/>
          </w:tcPr>
          <w:p w14:paraId="05341E79" w14:textId="77777777" w:rsidR="00454A29" w:rsidRDefault="00454A29">
            <w:pPr>
              <w:pStyle w:val="ConsPlusNormal"/>
            </w:pPr>
          </w:p>
        </w:tc>
        <w:tc>
          <w:tcPr>
            <w:tcW w:w="1814" w:type="dxa"/>
            <w:vAlign w:val="center"/>
          </w:tcPr>
          <w:p w14:paraId="3B81CC4B" w14:textId="77777777" w:rsidR="00454A29" w:rsidRDefault="00454A29">
            <w:pPr>
              <w:pStyle w:val="ConsPlusNormal"/>
            </w:pPr>
          </w:p>
        </w:tc>
      </w:tr>
      <w:tr w:rsidR="00454A29" w14:paraId="158C3E05" w14:textId="77777777">
        <w:tc>
          <w:tcPr>
            <w:tcW w:w="567" w:type="dxa"/>
            <w:vMerge/>
          </w:tcPr>
          <w:p w14:paraId="44C5BB6D" w14:textId="77777777" w:rsidR="00454A29" w:rsidRDefault="00454A29"/>
        </w:tc>
        <w:tc>
          <w:tcPr>
            <w:tcW w:w="3345" w:type="dxa"/>
            <w:vMerge/>
          </w:tcPr>
          <w:p w14:paraId="70B41A8A" w14:textId="77777777" w:rsidR="00454A29" w:rsidRDefault="00454A29"/>
        </w:tc>
        <w:tc>
          <w:tcPr>
            <w:tcW w:w="1701" w:type="dxa"/>
            <w:vAlign w:val="center"/>
          </w:tcPr>
          <w:p w14:paraId="486B0716" w14:textId="77777777" w:rsidR="00454A29" w:rsidRDefault="00454A29">
            <w:pPr>
              <w:pStyle w:val="ConsPlusNormal"/>
              <w:jc w:val="center"/>
            </w:pPr>
            <w:r>
              <w:t>2021</w:t>
            </w:r>
          </w:p>
        </w:tc>
        <w:tc>
          <w:tcPr>
            <w:tcW w:w="1417" w:type="dxa"/>
            <w:vMerge/>
          </w:tcPr>
          <w:p w14:paraId="4CFBA0A5" w14:textId="77777777" w:rsidR="00454A29" w:rsidRDefault="00454A29"/>
        </w:tc>
        <w:tc>
          <w:tcPr>
            <w:tcW w:w="2204" w:type="dxa"/>
            <w:vMerge/>
          </w:tcPr>
          <w:p w14:paraId="6C4EC8FC" w14:textId="77777777" w:rsidR="00454A29" w:rsidRDefault="00454A29"/>
        </w:tc>
        <w:tc>
          <w:tcPr>
            <w:tcW w:w="1417" w:type="dxa"/>
            <w:vMerge/>
          </w:tcPr>
          <w:p w14:paraId="25814CBB" w14:textId="77777777" w:rsidR="00454A29" w:rsidRDefault="00454A29"/>
        </w:tc>
        <w:tc>
          <w:tcPr>
            <w:tcW w:w="2324" w:type="dxa"/>
            <w:vMerge/>
          </w:tcPr>
          <w:p w14:paraId="6C696C09" w14:textId="77777777" w:rsidR="00454A29" w:rsidRDefault="00454A29"/>
        </w:tc>
        <w:tc>
          <w:tcPr>
            <w:tcW w:w="1701" w:type="dxa"/>
            <w:vAlign w:val="center"/>
          </w:tcPr>
          <w:p w14:paraId="236287C3" w14:textId="77777777" w:rsidR="00454A29" w:rsidRDefault="00454A29">
            <w:pPr>
              <w:pStyle w:val="ConsPlusNormal"/>
              <w:jc w:val="center"/>
            </w:pPr>
            <w:r>
              <w:t>-</w:t>
            </w:r>
          </w:p>
        </w:tc>
        <w:tc>
          <w:tcPr>
            <w:tcW w:w="1814" w:type="dxa"/>
            <w:vAlign w:val="center"/>
          </w:tcPr>
          <w:p w14:paraId="15FF0C4C" w14:textId="77777777" w:rsidR="00454A29" w:rsidRDefault="00454A29">
            <w:pPr>
              <w:pStyle w:val="ConsPlusNormal"/>
            </w:pPr>
          </w:p>
        </w:tc>
        <w:tc>
          <w:tcPr>
            <w:tcW w:w="1701" w:type="dxa"/>
            <w:vAlign w:val="center"/>
          </w:tcPr>
          <w:p w14:paraId="74878BE2" w14:textId="77777777" w:rsidR="00454A29" w:rsidRDefault="00454A29">
            <w:pPr>
              <w:pStyle w:val="ConsPlusNormal"/>
            </w:pPr>
          </w:p>
        </w:tc>
        <w:tc>
          <w:tcPr>
            <w:tcW w:w="1701" w:type="dxa"/>
            <w:vAlign w:val="center"/>
          </w:tcPr>
          <w:p w14:paraId="0F0E59DC" w14:textId="77777777" w:rsidR="00454A29" w:rsidRDefault="00454A29">
            <w:pPr>
              <w:pStyle w:val="ConsPlusNormal"/>
            </w:pPr>
          </w:p>
        </w:tc>
        <w:tc>
          <w:tcPr>
            <w:tcW w:w="1814" w:type="dxa"/>
            <w:vAlign w:val="center"/>
          </w:tcPr>
          <w:p w14:paraId="349A1108" w14:textId="77777777" w:rsidR="00454A29" w:rsidRDefault="00454A29">
            <w:pPr>
              <w:pStyle w:val="ConsPlusNormal"/>
            </w:pPr>
          </w:p>
        </w:tc>
      </w:tr>
      <w:tr w:rsidR="00454A29" w14:paraId="4D74C56C" w14:textId="77777777">
        <w:tc>
          <w:tcPr>
            <w:tcW w:w="567" w:type="dxa"/>
            <w:vMerge/>
          </w:tcPr>
          <w:p w14:paraId="4033FEB0" w14:textId="77777777" w:rsidR="00454A29" w:rsidRDefault="00454A29"/>
        </w:tc>
        <w:tc>
          <w:tcPr>
            <w:tcW w:w="3345" w:type="dxa"/>
            <w:vMerge/>
          </w:tcPr>
          <w:p w14:paraId="25BE7A9C" w14:textId="77777777" w:rsidR="00454A29" w:rsidRDefault="00454A29"/>
        </w:tc>
        <w:tc>
          <w:tcPr>
            <w:tcW w:w="1701" w:type="dxa"/>
            <w:vAlign w:val="center"/>
          </w:tcPr>
          <w:p w14:paraId="17726FE4" w14:textId="77777777" w:rsidR="00454A29" w:rsidRDefault="00454A29">
            <w:pPr>
              <w:pStyle w:val="ConsPlusNormal"/>
              <w:jc w:val="center"/>
            </w:pPr>
            <w:r>
              <w:t>2022</w:t>
            </w:r>
          </w:p>
        </w:tc>
        <w:tc>
          <w:tcPr>
            <w:tcW w:w="1417" w:type="dxa"/>
            <w:vMerge/>
          </w:tcPr>
          <w:p w14:paraId="1C3B40AB" w14:textId="77777777" w:rsidR="00454A29" w:rsidRDefault="00454A29"/>
        </w:tc>
        <w:tc>
          <w:tcPr>
            <w:tcW w:w="2204" w:type="dxa"/>
            <w:vMerge/>
          </w:tcPr>
          <w:p w14:paraId="282C947F" w14:textId="77777777" w:rsidR="00454A29" w:rsidRDefault="00454A29"/>
        </w:tc>
        <w:tc>
          <w:tcPr>
            <w:tcW w:w="1417" w:type="dxa"/>
            <w:vMerge/>
          </w:tcPr>
          <w:p w14:paraId="5149A4B4" w14:textId="77777777" w:rsidR="00454A29" w:rsidRDefault="00454A29"/>
        </w:tc>
        <w:tc>
          <w:tcPr>
            <w:tcW w:w="2324" w:type="dxa"/>
            <w:vMerge/>
          </w:tcPr>
          <w:p w14:paraId="11405BB2" w14:textId="77777777" w:rsidR="00454A29" w:rsidRDefault="00454A29"/>
        </w:tc>
        <w:tc>
          <w:tcPr>
            <w:tcW w:w="1701" w:type="dxa"/>
            <w:vAlign w:val="center"/>
          </w:tcPr>
          <w:p w14:paraId="6D0A6805" w14:textId="77777777" w:rsidR="00454A29" w:rsidRDefault="00454A29">
            <w:pPr>
              <w:pStyle w:val="ConsPlusNormal"/>
            </w:pPr>
          </w:p>
        </w:tc>
        <w:tc>
          <w:tcPr>
            <w:tcW w:w="1814" w:type="dxa"/>
            <w:vAlign w:val="center"/>
          </w:tcPr>
          <w:p w14:paraId="43457609" w14:textId="77777777" w:rsidR="00454A29" w:rsidRDefault="00454A29">
            <w:pPr>
              <w:pStyle w:val="ConsPlusNormal"/>
            </w:pPr>
          </w:p>
        </w:tc>
        <w:tc>
          <w:tcPr>
            <w:tcW w:w="1701" w:type="dxa"/>
            <w:vAlign w:val="center"/>
          </w:tcPr>
          <w:p w14:paraId="5ACE189A" w14:textId="77777777" w:rsidR="00454A29" w:rsidRDefault="00454A29">
            <w:pPr>
              <w:pStyle w:val="ConsPlusNormal"/>
            </w:pPr>
          </w:p>
        </w:tc>
        <w:tc>
          <w:tcPr>
            <w:tcW w:w="1701" w:type="dxa"/>
            <w:vAlign w:val="center"/>
          </w:tcPr>
          <w:p w14:paraId="2F92A3EA" w14:textId="77777777" w:rsidR="00454A29" w:rsidRDefault="00454A29">
            <w:pPr>
              <w:pStyle w:val="ConsPlusNormal"/>
            </w:pPr>
          </w:p>
        </w:tc>
        <w:tc>
          <w:tcPr>
            <w:tcW w:w="1814" w:type="dxa"/>
            <w:vAlign w:val="center"/>
          </w:tcPr>
          <w:p w14:paraId="27A704ED" w14:textId="77777777" w:rsidR="00454A29" w:rsidRDefault="00454A29">
            <w:pPr>
              <w:pStyle w:val="ConsPlusNormal"/>
            </w:pPr>
          </w:p>
        </w:tc>
      </w:tr>
      <w:tr w:rsidR="00454A29" w14:paraId="74178C54" w14:textId="77777777">
        <w:tc>
          <w:tcPr>
            <w:tcW w:w="567" w:type="dxa"/>
            <w:vMerge/>
          </w:tcPr>
          <w:p w14:paraId="13C6AB76" w14:textId="77777777" w:rsidR="00454A29" w:rsidRDefault="00454A29"/>
        </w:tc>
        <w:tc>
          <w:tcPr>
            <w:tcW w:w="3345" w:type="dxa"/>
            <w:vMerge/>
          </w:tcPr>
          <w:p w14:paraId="47AC7E92" w14:textId="77777777" w:rsidR="00454A29" w:rsidRDefault="00454A29"/>
        </w:tc>
        <w:tc>
          <w:tcPr>
            <w:tcW w:w="1701" w:type="dxa"/>
            <w:vAlign w:val="center"/>
          </w:tcPr>
          <w:p w14:paraId="3F80836D" w14:textId="77777777" w:rsidR="00454A29" w:rsidRDefault="00454A29">
            <w:pPr>
              <w:pStyle w:val="ConsPlusNormal"/>
              <w:jc w:val="center"/>
            </w:pPr>
            <w:r>
              <w:t>2023</w:t>
            </w:r>
          </w:p>
        </w:tc>
        <w:tc>
          <w:tcPr>
            <w:tcW w:w="1417" w:type="dxa"/>
            <w:vMerge/>
          </w:tcPr>
          <w:p w14:paraId="403EC503" w14:textId="77777777" w:rsidR="00454A29" w:rsidRDefault="00454A29"/>
        </w:tc>
        <w:tc>
          <w:tcPr>
            <w:tcW w:w="2204" w:type="dxa"/>
            <w:vMerge/>
          </w:tcPr>
          <w:p w14:paraId="4318EAD1" w14:textId="77777777" w:rsidR="00454A29" w:rsidRDefault="00454A29"/>
        </w:tc>
        <w:tc>
          <w:tcPr>
            <w:tcW w:w="1417" w:type="dxa"/>
            <w:vMerge/>
          </w:tcPr>
          <w:p w14:paraId="2DF52EE4" w14:textId="77777777" w:rsidR="00454A29" w:rsidRDefault="00454A29"/>
        </w:tc>
        <w:tc>
          <w:tcPr>
            <w:tcW w:w="2324" w:type="dxa"/>
            <w:vMerge/>
          </w:tcPr>
          <w:p w14:paraId="3214A7F0" w14:textId="77777777" w:rsidR="00454A29" w:rsidRDefault="00454A29"/>
        </w:tc>
        <w:tc>
          <w:tcPr>
            <w:tcW w:w="1701" w:type="dxa"/>
            <w:vAlign w:val="center"/>
          </w:tcPr>
          <w:p w14:paraId="5D7B641F" w14:textId="77777777" w:rsidR="00454A29" w:rsidRDefault="00454A29">
            <w:pPr>
              <w:pStyle w:val="ConsPlusNormal"/>
              <w:jc w:val="center"/>
            </w:pPr>
            <w:r>
              <w:t>42 055,34</w:t>
            </w:r>
          </w:p>
        </w:tc>
        <w:tc>
          <w:tcPr>
            <w:tcW w:w="1814" w:type="dxa"/>
            <w:vAlign w:val="center"/>
          </w:tcPr>
          <w:p w14:paraId="61BCF378" w14:textId="77777777" w:rsidR="00454A29" w:rsidRDefault="00454A29">
            <w:pPr>
              <w:pStyle w:val="ConsPlusNormal"/>
              <w:jc w:val="center"/>
            </w:pPr>
            <w:r>
              <w:t>42 055,34</w:t>
            </w:r>
          </w:p>
        </w:tc>
        <w:tc>
          <w:tcPr>
            <w:tcW w:w="1701" w:type="dxa"/>
            <w:vAlign w:val="center"/>
          </w:tcPr>
          <w:p w14:paraId="28D52640" w14:textId="77777777" w:rsidR="00454A29" w:rsidRDefault="00454A29">
            <w:pPr>
              <w:pStyle w:val="ConsPlusNormal"/>
            </w:pPr>
          </w:p>
        </w:tc>
        <w:tc>
          <w:tcPr>
            <w:tcW w:w="1701" w:type="dxa"/>
            <w:vAlign w:val="center"/>
          </w:tcPr>
          <w:p w14:paraId="14292F0F" w14:textId="77777777" w:rsidR="00454A29" w:rsidRDefault="00454A29">
            <w:pPr>
              <w:pStyle w:val="ConsPlusNormal"/>
            </w:pPr>
          </w:p>
        </w:tc>
        <w:tc>
          <w:tcPr>
            <w:tcW w:w="1814" w:type="dxa"/>
            <w:vAlign w:val="center"/>
          </w:tcPr>
          <w:p w14:paraId="0AFF02B5" w14:textId="77777777" w:rsidR="00454A29" w:rsidRDefault="00454A29">
            <w:pPr>
              <w:pStyle w:val="ConsPlusNormal"/>
            </w:pPr>
          </w:p>
        </w:tc>
      </w:tr>
      <w:tr w:rsidR="00454A29" w14:paraId="758EDF44" w14:textId="77777777">
        <w:tc>
          <w:tcPr>
            <w:tcW w:w="567" w:type="dxa"/>
            <w:vMerge/>
          </w:tcPr>
          <w:p w14:paraId="466F63A8" w14:textId="77777777" w:rsidR="00454A29" w:rsidRDefault="00454A29"/>
        </w:tc>
        <w:tc>
          <w:tcPr>
            <w:tcW w:w="3345" w:type="dxa"/>
            <w:vMerge/>
          </w:tcPr>
          <w:p w14:paraId="3A4F08A9" w14:textId="77777777" w:rsidR="00454A29" w:rsidRDefault="00454A29"/>
        </w:tc>
        <w:tc>
          <w:tcPr>
            <w:tcW w:w="1701" w:type="dxa"/>
            <w:vAlign w:val="center"/>
          </w:tcPr>
          <w:p w14:paraId="050C1311" w14:textId="77777777" w:rsidR="00454A29" w:rsidRDefault="00454A29">
            <w:pPr>
              <w:pStyle w:val="ConsPlusNormal"/>
              <w:jc w:val="center"/>
            </w:pPr>
            <w:r>
              <w:t>2024</w:t>
            </w:r>
          </w:p>
        </w:tc>
        <w:tc>
          <w:tcPr>
            <w:tcW w:w="1417" w:type="dxa"/>
            <w:vMerge/>
          </w:tcPr>
          <w:p w14:paraId="3B441438" w14:textId="77777777" w:rsidR="00454A29" w:rsidRDefault="00454A29"/>
        </w:tc>
        <w:tc>
          <w:tcPr>
            <w:tcW w:w="2204" w:type="dxa"/>
            <w:vMerge/>
          </w:tcPr>
          <w:p w14:paraId="3DC88628" w14:textId="77777777" w:rsidR="00454A29" w:rsidRDefault="00454A29"/>
        </w:tc>
        <w:tc>
          <w:tcPr>
            <w:tcW w:w="1417" w:type="dxa"/>
            <w:vMerge/>
          </w:tcPr>
          <w:p w14:paraId="50CF6FE4" w14:textId="77777777" w:rsidR="00454A29" w:rsidRDefault="00454A29"/>
        </w:tc>
        <w:tc>
          <w:tcPr>
            <w:tcW w:w="2324" w:type="dxa"/>
            <w:vMerge/>
          </w:tcPr>
          <w:p w14:paraId="410462FB" w14:textId="77777777" w:rsidR="00454A29" w:rsidRDefault="00454A29"/>
        </w:tc>
        <w:tc>
          <w:tcPr>
            <w:tcW w:w="1701" w:type="dxa"/>
            <w:vAlign w:val="center"/>
          </w:tcPr>
          <w:p w14:paraId="60561943" w14:textId="77777777" w:rsidR="00454A29" w:rsidRDefault="00454A29">
            <w:pPr>
              <w:pStyle w:val="ConsPlusNormal"/>
              <w:jc w:val="center"/>
            </w:pPr>
            <w:r>
              <w:t>-</w:t>
            </w:r>
          </w:p>
        </w:tc>
        <w:tc>
          <w:tcPr>
            <w:tcW w:w="1814" w:type="dxa"/>
            <w:vAlign w:val="center"/>
          </w:tcPr>
          <w:p w14:paraId="621416A0" w14:textId="77777777" w:rsidR="00454A29" w:rsidRDefault="00454A29">
            <w:pPr>
              <w:pStyle w:val="ConsPlusNormal"/>
            </w:pPr>
          </w:p>
        </w:tc>
        <w:tc>
          <w:tcPr>
            <w:tcW w:w="1701" w:type="dxa"/>
            <w:vAlign w:val="center"/>
          </w:tcPr>
          <w:p w14:paraId="37B4D88F" w14:textId="77777777" w:rsidR="00454A29" w:rsidRDefault="00454A29">
            <w:pPr>
              <w:pStyle w:val="ConsPlusNormal"/>
            </w:pPr>
          </w:p>
        </w:tc>
        <w:tc>
          <w:tcPr>
            <w:tcW w:w="1701" w:type="dxa"/>
            <w:vAlign w:val="center"/>
          </w:tcPr>
          <w:p w14:paraId="2FE4B706" w14:textId="77777777" w:rsidR="00454A29" w:rsidRDefault="00454A29">
            <w:pPr>
              <w:pStyle w:val="ConsPlusNormal"/>
            </w:pPr>
          </w:p>
        </w:tc>
        <w:tc>
          <w:tcPr>
            <w:tcW w:w="1814" w:type="dxa"/>
            <w:vAlign w:val="center"/>
          </w:tcPr>
          <w:p w14:paraId="744E292F" w14:textId="77777777" w:rsidR="00454A29" w:rsidRDefault="00454A29">
            <w:pPr>
              <w:pStyle w:val="ConsPlusNormal"/>
            </w:pPr>
          </w:p>
        </w:tc>
      </w:tr>
      <w:tr w:rsidR="00454A29" w14:paraId="62232B09" w14:textId="77777777">
        <w:tc>
          <w:tcPr>
            <w:tcW w:w="567" w:type="dxa"/>
            <w:vMerge/>
          </w:tcPr>
          <w:p w14:paraId="051822D3" w14:textId="77777777" w:rsidR="00454A29" w:rsidRDefault="00454A29"/>
        </w:tc>
        <w:tc>
          <w:tcPr>
            <w:tcW w:w="3345" w:type="dxa"/>
            <w:vMerge/>
          </w:tcPr>
          <w:p w14:paraId="09FCBA85" w14:textId="77777777" w:rsidR="00454A29" w:rsidRDefault="00454A29"/>
        </w:tc>
        <w:tc>
          <w:tcPr>
            <w:tcW w:w="1701" w:type="dxa"/>
            <w:vAlign w:val="center"/>
          </w:tcPr>
          <w:p w14:paraId="3F8C26D4" w14:textId="77777777" w:rsidR="00454A29" w:rsidRDefault="00454A29">
            <w:pPr>
              <w:pStyle w:val="ConsPlusNormal"/>
              <w:jc w:val="center"/>
            </w:pPr>
            <w:r>
              <w:t>2025</w:t>
            </w:r>
          </w:p>
        </w:tc>
        <w:tc>
          <w:tcPr>
            <w:tcW w:w="1417" w:type="dxa"/>
            <w:vMerge/>
          </w:tcPr>
          <w:p w14:paraId="7EBA7ACA" w14:textId="77777777" w:rsidR="00454A29" w:rsidRDefault="00454A29"/>
        </w:tc>
        <w:tc>
          <w:tcPr>
            <w:tcW w:w="2204" w:type="dxa"/>
            <w:vMerge/>
          </w:tcPr>
          <w:p w14:paraId="5305872D" w14:textId="77777777" w:rsidR="00454A29" w:rsidRDefault="00454A29"/>
        </w:tc>
        <w:tc>
          <w:tcPr>
            <w:tcW w:w="1417" w:type="dxa"/>
            <w:vMerge/>
          </w:tcPr>
          <w:p w14:paraId="161FA37D" w14:textId="77777777" w:rsidR="00454A29" w:rsidRDefault="00454A29"/>
        </w:tc>
        <w:tc>
          <w:tcPr>
            <w:tcW w:w="2324" w:type="dxa"/>
            <w:vMerge/>
          </w:tcPr>
          <w:p w14:paraId="56CFB997" w14:textId="77777777" w:rsidR="00454A29" w:rsidRDefault="00454A29"/>
        </w:tc>
        <w:tc>
          <w:tcPr>
            <w:tcW w:w="1701" w:type="dxa"/>
            <w:vAlign w:val="center"/>
          </w:tcPr>
          <w:p w14:paraId="7A0FC51F" w14:textId="77777777" w:rsidR="00454A29" w:rsidRDefault="00454A29">
            <w:pPr>
              <w:pStyle w:val="ConsPlusNormal"/>
              <w:jc w:val="center"/>
            </w:pPr>
            <w:r>
              <w:t>-</w:t>
            </w:r>
          </w:p>
        </w:tc>
        <w:tc>
          <w:tcPr>
            <w:tcW w:w="1814" w:type="dxa"/>
            <w:vAlign w:val="center"/>
          </w:tcPr>
          <w:p w14:paraId="4A0A2C59" w14:textId="77777777" w:rsidR="00454A29" w:rsidRDefault="00454A29">
            <w:pPr>
              <w:pStyle w:val="ConsPlusNormal"/>
            </w:pPr>
          </w:p>
        </w:tc>
        <w:tc>
          <w:tcPr>
            <w:tcW w:w="1701" w:type="dxa"/>
            <w:vAlign w:val="center"/>
          </w:tcPr>
          <w:p w14:paraId="0354365E" w14:textId="77777777" w:rsidR="00454A29" w:rsidRDefault="00454A29">
            <w:pPr>
              <w:pStyle w:val="ConsPlusNormal"/>
            </w:pPr>
          </w:p>
        </w:tc>
        <w:tc>
          <w:tcPr>
            <w:tcW w:w="1701" w:type="dxa"/>
            <w:vAlign w:val="center"/>
          </w:tcPr>
          <w:p w14:paraId="50B65411" w14:textId="77777777" w:rsidR="00454A29" w:rsidRDefault="00454A29">
            <w:pPr>
              <w:pStyle w:val="ConsPlusNormal"/>
            </w:pPr>
          </w:p>
        </w:tc>
        <w:tc>
          <w:tcPr>
            <w:tcW w:w="1814" w:type="dxa"/>
            <w:vAlign w:val="center"/>
          </w:tcPr>
          <w:p w14:paraId="7DC3F88D" w14:textId="77777777" w:rsidR="00454A29" w:rsidRDefault="00454A29">
            <w:pPr>
              <w:pStyle w:val="ConsPlusNormal"/>
            </w:pPr>
          </w:p>
        </w:tc>
      </w:tr>
      <w:tr w:rsidR="00454A29" w14:paraId="104A9EFE" w14:textId="77777777">
        <w:tc>
          <w:tcPr>
            <w:tcW w:w="567" w:type="dxa"/>
            <w:vMerge/>
          </w:tcPr>
          <w:p w14:paraId="7A36F52C" w14:textId="77777777" w:rsidR="00454A29" w:rsidRDefault="00454A29"/>
        </w:tc>
        <w:tc>
          <w:tcPr>
            <w:tcW w:w="3345" w:type="dxa"/>
            <w:vMerge/>
          </w:tcPr>
          <w:p w14:paraId="29689152" w14:textId="77777777" w:rsidR="00454A29" w:rsidRDefault="00454A29"/>
        </w:tc>
        <w:tc>
          <w:tcPr>
            <w:tcW w:w="1701" w:type="dxa"/>
            <w:vAlign w:val="center"/>
          </w:tcPr>
          <w:p w14:paraId="2B9BC5D7" w14:textId="77777777" w:rsidR="00454A29" w:rsidRDefault="00454A29">
            <w:pPr>
              <w:pStyle w:val="ConsPlusNormal"/>
              <w:jc w:val="center"/>
            </w:pPr>
            <w:r>
              <w:t>2026</w:t>
            </w:r>
          </w:p>
        </w:tc>
        <w:tc>
          <w:tcPr>
            <w:tcW w:w="1417" w:type="dxa"/>
            <w:vMerge/>
          </w:tcPr>
          <w:p w14:paraId="120194C9" w14:textId="77777777" w:rsidR="00454A29" w:rsidRDefault="00454A29"/>
        </w:tc>
        <w:tc>
          <w:tcPr>
            <w:tcW w:w="2204" w:type="dxa"/>
            <w:vMerge/>
          </w:tcPr>
          <w:p w14:paraId="61B5A807" w14:textId="77777777" w:rsidR="00454A29" w:rsidRDefault="00454A29"/>
        </w:tc>
        <w:tc>
          <w:tcPr>
            <w:tcW w:w="1417" w:type="dxa"/>
            <w:vMerge/>
          </w:tcPr>
          <w:p w14:paraId="10FBF98D" w14:textId="77777777" w:rsidR="00454A29" w:rsidRDefault="00454A29"/>
        </w:tc>
        <w:tc>
          <w:tcPr>
            <w:tcW w:w="2324" w:type="dxa"/>
            <w:vMerge/>
          </w:tcPr>
          <w:p w14:paraId="2DA14401" w14:textId="77777777" w:rsidR="00454A29" w:rsidRDefault="00454A29"/>
        </w:tc>
        <w:tc>
          <w:tcPr>
            <w:tcW w:w="1701" w:type="dxa"/>
            <w:vAlign w:val="center"/>
          </w:tcPr>
          <w:p w14:paraId="1EBAB388" w14:textId="77777777" w:rsidR="00454A29" w:rsidRDefault="00454A29">
            <w:pPr>
              <w:pStyle w:val="ConsPlusNormal"/>
              <w:jc w:val="center"/>
            </w:pPr>
            <w:r>
              <w:t>-</w:t>
            </w:r>
          </w:p>
        </w:tc>
        <w:tc>
          <w:tcPr>
            <w:tcW w:w="1814" w:type="dxa"/>
            <w:vAlign w:val="center"/>
          </w:tcPr>
          <w:p w14:paraId="7B8621B9" w14:textId="77777777" w:rsidR="00454A29" w:rsidRDefault="00454A29">
            <w:pPr>
              <w:pStyle w:val="ConsPlusNormal"/>
            </w:pPr>
          </w:p>
        </w:tc>
        <w:tc>
          <w:tcPr>
            <w:tcW w:w="1701" w:type="dxa"/>
            <w:vAlign w:val="center"/>
          </w:tcPr>
          <w:p w14:paraId="63C8B4AF" w14:textId="77777777" w:rsidR="00454A29" w:rsidRDefault="00454A29">
            <w:pPr>
              <w:pStyle w:val="ConsPlusNormal"/>
            </w:pPr>
          </w:p>
        </w:tc>
        <w:tc>
          <w:tcPr>
            <w:tcW w:w="1701" w:type="dxa"/>
            <w:vAlign w:val="center"/>
          </w:tcPr>
          <w:p w14:paraId="25C88ECB" w14:textId="77777777" w:rsidR="00454A29" w:rsidRDefault="00454A29">
            <w:pPr>
              <w:pStyle w:val="ConsPlusNormal"/>
            </w:pPr>
          </w:p>
        </w:tc>
        <w:tc>
          <w:tcPr>
            <w:tcW w:w="1814" w:type="dxa"/>
            <w:vAlign w:val="center"/>
          </w:tcPr>
          <w:p w14:paraId="1A1AC6D5" w14:textId="77777777" w:rsidR="00454A29" w:rsidRDefault="00454A29">
            <w:pPr>
              <w:pStyle w:val="ConsPlusNormal"/>
            </w:pPr>
          </w:p>
        </w:tc>
      </w:tr>
      <w:tr w:rsidR="00454A29" w14:paraId="41A3A5CE" w14:textId="77777777">
        <w:tc>
          <w:tcPr>
            <w:tcW w:w="567" w:type="dxa"/>
            <w:vMerge w:val="restart"/>
            <w:vAlign w:val="center"/>
          </w:tcPr>
          <w:p w14:paraId="19C21FF0" w14:textId="77777777" w:rsidR="00454A29" w:rsidRDefault="00454A29">
            <w:pPr>
              <w:pStyle w:val="ConsPlusNormal"/>
              <w:jc w:val="center"/>
            </w:pPr>
            <w:r>
              <w:t>14</w:t>
            </w:r>
          </w:p>
        </w:tc>
        <w:tc>
          <w:tcPr>
            <w:tcW w:w="3345" w:type="dxa"/>
            <w:vMerge w:val="restart"/>
            <w:vAlign w:val="center"/>
          </w:tcPr>
          <w:p w14:paraId="474FED5D" w14:textId="77777777" w:rsidR="00454A29" w:rsidRDefault="00454A29">
            <w:pPr>
              <w:pStyle w:val="ConsPlusNormal"/>
              <w:jc w:val="center"/>
            </w:pPr>
            <w:r>
              <w:t>Детский сад на 75 мест Кэнчээри с. Техтюр Хангаласского улуса</w:t>
            </w:r>
          </w:p>
        </w:tc>
        <w:tc>
          <w:tcPr>
            <w:tcW w:w="1701" w:type="dxa"/>
            <w:vAlign w:val="center"/>
          </w:tcPr>
          <w:p w14:paraId="6051E4F2" w14:textId="77777777" w:rsidR="00454A29" w:rsidRDefault="00454A29">
            <w:pPr>
              <w:pStyle w:val="ConsPlusNormal"/>
              <w:jc w:val="center"/>
            </w:pPr>
            <w:r>
              <w:t>2020 - 2026 годы - всего</w:t>
            </w:r>
          </w:p>
        </w:tc>
        <w:tc>
          <w:tcPr>
            <w:tcW w:w="1417" w:type="dxa"/>
            <w:vMerge w:val="restart"/>
            <w:vAlign w:val="center"/>
          </w:tcPr>
          <w:p w14:paraId="40C901CA" w14:textId="77777777" w:rsidR="00454A29" w:rsidRDefault="00454A29">
            <w:pPr>
              <w:pStyle w:val="ConsPlusNormal"/>
              <w:jc w:val="center"/>
            </w:pPr>
            <w:r>
              <w:t>62 716,32</w:t>
            </w:r>
          </w:p>
        </w:tc>
        <w:tc>
          <w:tcPr>
            <w:tcW w:w="2204" w:type="dxa"/>
            <w:vMerge w:val="restart"/>
            <w:vAlign w:val="center"/>
          </w:tcPr>
          <w:p w14:paraId="7A566F1B" w14:textId="77777777" w:rsidR="00454A29" w:rsidRDefault="00454A29">
            <w:pPr>
              <w:pStyle w:val="ConsPlusNormal"/>
            </w:pPr>
          </w:p>
        </w:tc>
        <w:tc>
          <w:tcPr>
            <w:tcW w:w="1417" w:type="dxa"/>
            <w:vMerge w:val="restart"/>
            <w:vAlign w:val="center"/>
          </w:tcPr>
          <w:p w14:paraId="60F15F02" w14:textId="77777777" w:rsidR="00454A29" w:rsidRDefault="00454A29">
            <w:pPr>
              <w:pStyle w:val="ConsPlusNormal"/>
              <w:jc w:val="center"/>
            </w:pPr>
            <w:r>
              <w:t>75</w:t>
            </w:r>
          </w:p>
        </w:tc>
        <w:tc>
          <w:tcPr>
            <w:tcW w:w="2324" w:type="dxa"/>
            <w:vMerge w:val="restart"/>
            <w:vAlign w:val="center"/>
          </w:tcPr>
          <w:p w14:paraId="26D6C7D7"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8BD3D1A" w14:textId="77777777" w:rsidR="00454A29" w:rsidRDefault="00454A29">
            <w:pPr>
              <w:pStyle w:val="ConsPlusNormal"/>
              <w:jc w:val="center"/>
            </w:pPr>
            <w:r>
              <w:t>62 716,32</w:t>
            </w:r>
          </w:p>
        </w:tc>
        <w:tc>
          <w:tcPr>
            <w:tcW w:w="1814" w:type="dxa"/>
            <w:vAlign w:val="center"/>
          </w:tcPr>
          <w:p w14:paraId="2EDDD88D" w14:textId="77777777" w:rsidR="00454A29" w:rsidRDefault="00454A29">
            <w:pPr>
              <w:pStyle w:val="ConsPlusNormal"/>
              <w:jc w:val="center"/>
            </w:pPr>
            <w:r>
              <w:t>62 716,32</w:t>
            </w:r>
          </w:p>
        </w:tc>
        <w:tc>
          <w:tcPr>
            <w:tcW w:w="1701" w:type="dxa"/>
            <w:vAlign w:val="center"/>
          </w:tcPr>
          <w:p w14:paraId="0FC9655A" w14:textId="77777777" w:rsidR="00454A29" w:rsidRDefault="00454A29">
            <w:pPr>
              <w:pStyle w:val="ConsPlusNormal"/>
              <w:jc w:val="center"/>
            </w:pPr>
            <w:r>
              <w:t>-</w:t>
            </w:r>
          </w:p>
        </w:tc>
        <w:tc>
          <w:tcPr>
            <w:tcW w:w="1701" w:type="dxa"/>
            <w:vAlign w:val="center"/>
          </w:tcPr>
          <w:p w14:paraId="3C41F627" w14:textId="77777777" w:rsidR="00454A29" w:rsidRDefault="00454A29">
            <w:pPr>
              <w:pStyle w:val="ConsPlusNormal"/>
              <w:jc w:val="center"/>
            </w:pPr>
            <w:r>
              <w:t>-</w:t>
            </w:r>
          </w:p>
        </w:tc>
        <w:tc>
          <w:tcPr>
            <w:tcW w:w="1814" w:type="dxa"/>
            <w:vAlign w:val="center"/>
          </w:tcPr>
          <w:p w14:paraId="498D0272" w14:textId="77777777" w:rsidR="00454A29" w:rsidRDefault="00454A29">
            <w:pPr>
              <w:pStyle w:val="ConsPlusNormal"/>
              <w:jc w:val="center"/>
            </w:pPr>
            <w:r>
              <w:t>-</w:t>
            </w:r>
          </w:p>
        </w:tc>
      </w:tr>
      <w:tr w:rsidR="00454A29" w14:paraId="29CE103D" w14:textId="77777777">
        <w:tc>
          <w:tcPr>
            <w:tcW w:w="567" w:type="dxa"/>
            <w:vMerge/>
          </w:tcPr>
          <w:p w14:paraId="3E1CBA3C" w14:textId="77777777" w:rsidR="00454A29" w:rsidRDefault="00454A29"/>
        </w:tc>
        <w:tc>
          <w:tcPr>
            <w:tcW w:w="3345" w:type="dxa"/>
            <w:vMerge/>
          </w:tcPr>
          <w:p w14:paraId="6F2166F0" w14:textId="77777777" w:rsidR="00454A29" w:rsidRDefault="00454A29"/>
        </w:tc>
        <w:tc>
          <w:tcPr>
            <w:tcW w:w="1701" w:type="dxa"/>
            <w:vAlign w:val="center"/>
          </w:tcPr>
          <w:p w14:paraId="6F76E88A" w14:textId="77777777" w:rsidR="00454A29" w:rsidRDefault="00454A29">
            <w:pPr>
              <w:pStyle w:val="ConsPlusNormal"/>
              <w:jc w:val="center"/>
            </w:pPr>
            <w:r>
              <w:t>2020</w:t>
            </w:r>
          </w:p>
        </w:tc>
        <w:tc>
          <w:tcPr>
            <w:tcW w:w="1417" w:type="dxa"/>
            <w:vMerge/>
          </w:tcPr>
          <w:p w14:paraId="3FC3F0F1" w14:textId="77777777" w:rsidR="00454A29" w:rsidRDefault="00454A29"/>
        </w:tc>
        <w:tc>
          <w:tcPr>
            <w:tcW w:w="2204" w:type="dxa"/>
            <w:vMerge/>
          </w:tcPr>
          <w:p w14:paraId="5AFF1C4D" w14:textId="77777777" w:rsidR="00454A29" w:rsidRDefault="00454A29"/>
        </w:tc>
        <w:tc>
          <w:tcPr>
            <w:tcW w:w="1417" w:type="dxa"/>
            <w:vMerge/>
          </w:tcPr>
          <w:p w14:paraId="07ED8C25" w14:textId="77777777" w:rsidR="00454A29" w:rsidRDefault="00454A29"/>
        </w:tc>
        <w:tc>
          <w:tcPr>
            <w:tcW w:w="2324" w:type="dxa"/>
            <w:vMerge/>
          </w:tcPr>
          <w:p w14:paraId="3F261692" w14:textId="77777777" w:rsidR="00454A29" w:rsidRDefault="00454A29"/>
        </w:tc>
        <w:tc>
          <w:tcPr>
            <w:tcW w:w="1701" w:type="dxa"/>
            <w:vAlign w:val="center"/>
          </w:tcPr>
          <w:p w14:paraId="333CC28C" w14:textId="77777777" w:rsidR="00454A29" w:rsidRDefault="00454A29">
            <w:pPr>
              <w:pStyle w:val="ConsPlusNormal"/>
              <w:jc w:val="center"/>
            </w:pPr>
            <w:r>
              <w:t>-</w:t>
            </w:r>
          </w:p>
        </w:tc>
        <w:tc>
          <w:tcPr>
            <w:tcW w:w="1814" w:type="dxa"/>
            <w:vAlign w:val="center"/>
          </w:tcPr>
          <w:p w14:paraId="3D0030BA" w14:textId="77777777" w:rsidR="00454A29" w:rsidRDefault="00454A29">
            <w:pPr>
              <w:pStyle w:val="ConsPlusNormal"/>
            </w:pPr>
          </w:p>
        </w:tc>
        <w:tc>
          <w:tcPr>
            <w:tcW w:w="1701" w:type="dxa"/>
            <w:vAlign w:val="center"/>
          </w:tcPr>
          <w:p w14:paraId="4B5A2E6E" w14:textId="77777777" w:rsidR="00454A29" w:rsidRDefault="00454A29">
            <w:pPr>
              <w:pStyle w:val="ConsPlusNormal"/>
            </w:pPr>
          </w:p>
        </w:tc>
        <w:tc>
          <w:tcPr>
            <w:tcW w:w="1701" w:type="dxa"/>
            <w:vAlign w:val="center"/>
          </w:tcPr>
          <w:p w14:paraId="5DB40A26" w14:textId="77777777" w:rsidR="00454A29" w:rsidRDefault="00454A29">
            <w:pPr>
              <w:pStyle w:val="ConsPlusNormal"/>
            </w:pPr>
          </w:p>
        </w:tc>
        <w:tc>
          <w:tcPr>
            <w:tcW w:w="1814" w:type="dxa"/>
            <w:vAlign w:val="center"/>
          </w:tcPr>
          <w:p w14:paraId="5EF64BFD" w14:textId="77777777" w:rsidR="00454A29" w:rsidRDefault="00454A29">
            <w:pPr>
              <w:pStyle w:val="ConsPlusNormal"/>
            </w:pPr>
          </w:p>
        </w:tc>
      </w:tr>
      <w:tr w:rsidR="00454A29" w14:paraId="0B1B69CA" w14:textId="77777777">
        <w:tc>
          <w:tcPr>
            <w:tcW w:w="567" w:type="dxa"/>
            <w:vMerge/>
          </w:tcPr>
          <w:p w14:paraId="6151BA24" w14:textId="77777777" w:rsidR="00454A29" w:rsidRDefault="00454A29"/>
        </w:tc>
        <w:tc>
          <w:tcPr>
            <w:tcW w:w="3345" w:type="dxa"/>
            <w:vMerge/>
          </w:tcPr>
          <w:p w14:paraId="175EE9F2" w14:textId="77777777" w:rsidR="00454A29" w:rsidRDefault="00454A29"/>
        </w:tc>
        <w:tc>
          <w:tcPr>
            <w:tcW w:w="1701" w:type="dxa"/>
            <w:vAlign w:val="center"/>
          </w:tcPr>
          <w:p w14:paraId="2F41ADD9" w14:textId="77777777" w:rsidR="00454A29" w:rsidRDefault="00454A29">
            <w:pPr>
              <w:pStyle w:val="ConsPlusNormal"/>
              <w:jc w:val="center"/>
            </w:pPr>
            <w:r>
              <w:t>2021</w:t>
            </w:r>
          </w:p>
        </w:tc>
        <w:tc>
          <w:tcPr>
            <w:tcW w:w="1417" w:type="dxa"/>
            <w:vMerge/>
          </w:tcPr>
          <w:p w14:paraId="05B73BDF" w14:textId="77777777" w:rsidR="00454A29" w:rsidRDefault="00454A29"/>
        </w:tc>
        <w:tc>
          <w:tcPr>
            <w:tcW w:w="2204" w:type="dxa"/>
            <w:vMerge/>
          </w:tcPr>
          <w:p w14:paraId="61808BEA" w14:textId="77777777" w:rsidR="00454A29" w:rsidRDefault="00454A29"/>
        </w:tc>
        <w:tc>
          <w:tcPr>
            <w:tcW w:w="1417" w:type="dxa"/>
            <w:vMerge/>
          </w:tcPr>
          <w:p w14:paraId="1B8468CD" w14:textId="77777777" w:rsidR="00454A29" w:rsidRDefault="00454A29"/>
        </w:tc>
        <w:tc>
          <w:tcPr>
            <w:tcW w:w="2324" w:type="dxa"/>
            <w:vMerge/>
          </w:tcPr>
          <w:p w14:paraId="41B53D51" w14:textId="77777777" w:rsidR="00454A29" w:rsidRDefault="00454A29"/>
        </w:tc>
        <w:tc>
          <w:tcPr>
            <w:tcW w:w="1701" w:type="dxa"/>
            <w:vAlign w:val="center"/>
          </w:tcPr>
          <w:p w14:paraId="60FE12C8" w14:textId="77777777" w:rsidR="00454A29" w:rsidRDefault="00454A29">
            <w:pPr>
              <w:pStyle w:val="ConsPlusNormal"/>
              <w:jc w:val="center"/>
            </w:pPr>
            <w:r>
              <w:t>-</w:t>
            </w:r>
          </w:p>
        </w:tc>
        <w:tc>
          <w:tcPr>
            <w:tcW w:w="1814" w:type="dxa"/>
            <w:vAlign w:val="center"/>
          </w:tcPr>
          <w:p w14:paraId="0E237201" w14:textId="77777777" w:rsidR="00454A29" w:rsidRDefault="00454A29">
            <w:pPr>
              <w:pStyle w:val="ConsPlusNormal"/>
            </w:pPr>
          </w:p>
        </w:tc>
        <w:tc>
          <w:tcPr>
            <w:tcW w:w="1701" w:type="dxa"/>
            <w:vAlign w:val="center"/>
          </w:tcPr>
          <w:p w14:paraId="00D940B2" w14:textId="77777777" w:rsidR="00454A29" w:rsidRDefault="00454A29">
            <w:pPr>
              <w:pStyle w:val="ConsPlusNormal"/>
            </w:pPr>
          </w:p>
        </w:tc>
        <w:tc>
          <w:tcPr>
            <w:tcW w:w="1701" w:type="dxa"/>
            <w:vAlign w:val="center"/>
          </w:tcPr>
          <w:p w14:paraId="2993A636" w14:textId="77777777" w:rsidR="00454A29" w:rsidRDefault="00454A29">
            <w:pPr>
              <w:pStyle w:val="ConsPlusNormal"/>
            </w:pPr>
          </w:p>
        </w:tc>
        <w:tc>
          <w:tcPr>
            <w:tcW w:w="1814" w:type="dxa"/>
            <w:vAlign w:val="center"/>
          </w:tcPr>
          <w:p w14:paraId="205C2C47" w14:textId="77777777" w:rsidR="00454A29" w:rsidRDefault="00454A29">
            <w:pPr>
              <w:pStyle w:val="ConsPlusNormal"/>
            </w:pPr>
          </w:p>
        </w:tc>
      </w:tr>
      <w:tr w:rsidR="00454A29" w14:paraId="6EA05CE5" w14:textId="77777777">
        <w:tc>
          <w:tcPr>
            <w:tcW w:w="567" w:type="dxa"/>
            <w:vMerge/>
          </w:tcPr>
          <w:p w14:paraId="35B618E0" w14:textId="77777777" w:rsidR="00454A29" w:rsidRDefault="00454A29"/>
        </w:tc>
        <w:tc>
          <w:tcPr>
            <w:tcW w:w="3345" w:type="dxa"/>
            <w:vMerge/>
          </w:tcPr>
          <w:p w14:paraId="25E52B32" w14:textId="77777777" w:rsidR="00454A29" w:rsidRDefault="00454A29"/>
        </w:tc>
        <w:tc>
          <w:tcPr>
            <w:tcW w:w="1701" w:type="dxa"/>
            <w:vAlign w:val="center"/>
          </w:tcPr>
          <w:p w14:paraId="63B6E8D7" w14:textId="77777777" w:rsidR="00454A29" w:rsidRDefault="00454A29">
            <w:pPr>
              <w:pStyle w:val="ConsPlusNormal"/>
              <w:jc w:val="center"/>
            </w:pPr>
            <w:r>
              <w:t>2022</w:t>
            </w:r>
          </w:p>
        </w:tc>
        <w:tc>
          <w:tcPr>
            <w:tcW w:w="1417" w:type="dxa"/>
            <w:vMerge/>
          </w:tcPr>
          <w:p w14:paraId="7B0F6B79" w14:textId="77777777" w:rsidR="00454A29" w:rsidRDefault="00454A29"/>
        </w:tc>
        <w:tc>
          <w:tcPr>
            <w:tcW w:w="2204" w:type="dxa"/>
            <w:vMerge/>
          </w:tcPr>
          <w:p w14:paraId="199B0C54" w14:textId="77777777" w:rsidR="00454A29" w:rsidRDefault="00454A29"/>
        </w:tc>
        <w:tc>
          <w:tcPr>
            <w:tcW w:w="1417" w:type="dxa"/>
            <w:vMerge/>
          </w:tcPr>
          <w:p w14:paraId="6C34A04B" w14:textId="77777777" w:rsidR="00454A29" w:rsidRDefault="00454A29"/>
        </w:tc>
        <w:tc>
          <w:tcPr>
            <w:tcW w:w="2324" w:type="dxa"/>
            <w:vMerge/>
          </w:tcPr>
          <w:p w14:paraId="39F65CC6" w14:textId="77777777" w:rsidR="00454A29" w:rsidRDefault="00454A29"/>
        </w:tc>
        <w:tc>
          <w:tcPr>
            <w:tcW w:w="1701" w:type="dxa"/>
            <w:vAlign w:val="center"/>
          </w:tcPr>
          <w:p w14:paraId="3B51F7C3" w14:textId="77777777" w:rsidR="00454A29" w:rsidRDefault="00454A29">
            <w:pPr>
              <w:pStyle w:val="ConsPlusNormal"/>
            </w:pPr>
          </w:p>
        </w:tc>
        <w:tc>
          <w:tcPr>
            <w:tcW w:w="1814" w:type="dxa"/>
            <w:vAlign w:val="center"/>
          </w:tcPr>
          <w:p w14:paraId="529AD9E4" w14:textId="77777777" w:rsidR="00454A29" w:rsidRDefault="00454A29">
            <w:pPr>
              <w:pStyle w:val="ConsPlusNormal"/>
            </w:pPr>
          </w:p>
        </w:tc>
        <w:tc>
          <w:tcPr>
            <w:tcW w:w="1701" w:type="dxa"/>
            <w:vAlign w:val="center"/>
          </w:tcPr>
          <w:p w14:paraId="19A5E8CE" w14:textId="77777777" w:rsidR="00454A29" w:rsidRDefault="00454A29">
            <w:pPr>
              <w:pStyle w:val="ConsPlusNormal"/>
            </w:pPr>
          </w:p>
        </w:tc>
        <w:tc>
          <w:tcPr>
            <w:tcW w:w="1701" w:type="dxa"/>
            <w:vAlign w:val="center"/>
          </w:tcPr>
          <w:p w14:paraId="0CE0ECAC" w14:textId="77777777" w:rsidR="00454A29" w:rsidRDefault="00454A29">
            <w:pPr>
              <w:pStyle w:val="ConsPlusNormal"/>
            </w:pPr>
          </w:p>
        </w:tc>
        <w:tc>
          <w:tcPr>
            <w:tcW w:w="1814" w:type="dxa"/>
            <w:vAlign w:val="center"/>
          </w:tcPr>
          <w:p w14:paraId="2BE4410D" w14:textId="77777777" w:rsidR="00454A29" w:rsidRDefault="00454A29">
            <w:pPr>
              <w:pStyle w:val="ConsPlusNormal"/>
            </w:pPr>
          </w:p>
        </w:tc>
      </w:tr>
      <w:tr w:rsidR="00454A29" w14:paraId="688CF1D4" w14:textId="77777777">
        <w:tc>
          <w:tcPr>
            <w:tcW w:w="567" w:type="dxa"/>
            <w:vMerge/>
          </w:tcPr>
          <w:p w14:paraId="1918C0D8" w14:textId="77777777" w:rsidR="00454A29" w:rsidRDefault="00454A29"/>
        </w:tc>
        <w:tc>
          <w:tcPr>
            <w:tcW w:w="3345" w:type="dxa"/>
            <w:vMerge/>
          </w:tcPr>
          <w:p w14:paraId="65AAD77D" w14:textId="77777777" w:rsidR="00454A29" w:rsidRDefault="00454A29"/>
        </w:tc>
        <w:tc>
          <w:tcPr>
            <w:tcW w:w="1701" w:type="dxa"/>
            <w:vAlign w:val="center"/>
          </w:tcPr>
          <w:p w14:paraId="6619B904" w14:textId="77777777" w:rsidR="00454A29" w:rsidRDefault="00454A29">
            <w:pPr>
              <w:pStyle w:val="ConsPlusNormal"/>
              <w:jc w:val="center"/>
            </w:pPr>
            <w:r>
              <w:t>2023</w:t>
            </w:r>
          </w:p>
        </w:tc>
        <w:tc>
          <w:tcPr>
            <w:tcW w:w="1417" w:type="dxa"/>
            <w:vMerge/>
          </w:tcPr>
          <w:p w14:paraId="03DBA9CB" w14:textId="77777777" w:rsidR="00454A29" w:rsidRDefault="00454A29"/>
        </w:tc>
        <w:tc>
          <w:tcPr>
            <w:tcW w:w="2204" w:type="dxa"/>
            <w:vMerge/>
          </w:tcPr>
          <w:p w14:paraId="1D0D9455" w14:textId="77777777" w:rsidR="00454A29" w:rsidRDefault="00454A29"/>
        </w:tc>
        <w:tc>
          <w:tcPr>
            <w:tcW w:w="1417" w:type="dxa"/>
            <w:vMerge/>
          </w:tcPr>
          <w:p w14:paraId="2D005493" w14:textId="77777777" w:rsidR="00454A29" w:rsidRDefault="00454A29"/>
        </w:tc>
        <w:tc>
          <w:tcPr>
            <w:tcW w:w="2324" w:type="dxa"/>
            <w:vMerge/>
          </w:tcPr>
          <w:p w14:paraId="00B96120" w14:textId="77777777" w:rsidR="00454A29" w:rsidRDefault="00454A29"/>
        </w:tc>
        <w:tc>
          <w:tcPr>
            <w:tcW w:w="1701" w:type="dxa"/>
            <w:vAlign w:val="center"/>
          </w:tcPr>
          <w:p w14:paraId="62CFB44E" w14:textId="77777777" w:rsidR="00454A29" w:rsidRDefault="00454A29">
            <w:pPr>
              <w:pStyle w:val="ConsPlusNormal"/>
              <w:jc w:val="center"/>
            </w:pPr>
            <w:r>
              <w:t>62 716,32</w:t>
            </w:r>
          </w:p>
        </w:tc>
        <w:tc>
          <w:tcPr>
            <w:tcW w:w="1814" w:type="dxa"/>
            <w:vAlign w:val="center"/>
          </w:tcPr>
          <w:p w14:paraId="55451091" w14:textId="77777777" w:rsidR="00454A29" w:rsidRDefault="00454A29">
            <w:pPr>
              <w:pStyle w:val="ConsPlusNormal"/>
              <w:jc w:val="center"/>
            </w:pPr>
            <w:r>
              <w:t>62 716,32</w:t>
            </w:r>
          </w:p>
        </w:tc>
        <w:tc>
          <w:tcPr>
            <w:tcW w:w="1701" w:type="dxa"/>
            <w:vAlign w:val="center"/>
          </w:tcPr>
          <w:p w14:paraId="5599761F" w14:textId="77777777" w:rsidR="00454A29" w:rsidRDefault="00454A29">
            <w:pPr>
              <w:pStyle w:val="ConsPlusNormal"/>
            </w:pPr>
          </w:p>
        </w:tc>
        <w:tc>
          <w:tcPr>
            <w:tcW w:w="1701" w:type="dxa"/>
            <w:vAlign w:val="center"/>
          </w:tcPr>
          <w:p w14:paraId="7B556F3B" w14:textId="77777777" w:rsidR="00454A29" w:rsidRDefault="00454A29">
            <w:pPr>
              <w:pStyle w:val="ConsPlusNormal"/>
            </w:pPr>
          </w:p>
        </w:tc>
        <w:tc>
          <w:tcPr>
            <w:tcW w:w="1814" w:type="dxa"/>
            <w:vAlign w:val="center"/>
          </w:tcPr>
          <w:p w14:paraId="179920D3" w14:textId="77777777" w:rsidR="00454A29" w:rsidRDefault="00454A29">
            <w:pPr>
              <w:pStyle w:val="ConsPlusNormal"/>
            </w:pPr>
          </w:p>
        </w:tc>
      </w:tr>
      <w:tr w:rsidR="00454A29" w14:paraId="04338FB6" w14:textId="77777777">
        <w:tc>
          <w:tcPr>
            <w:tcW w:w="567" w:type="dxa"/>
            <w:vMerge/>
          </w:tcPr>
          <w:p w14:paraId="02262E2E" w14:textId="77777777" w:rsidR="00454A29" w:rsidRDefault="00454A29"/>
        </w:tc>
        <w:tc>
          <w:tcPr>
            <w:tcW w:w="3345" w:type="dxa"/>
            <w:vMerge/>
          </w:tcPr>
          <w:p w14:paraId="0DC65E3A" w14:textId="77777777" w:rsidR="00454A29" w:rsidRDefault="00454A29"/>
        </w:tc>
        <w:tc>
          <w:tcPr>
            <w:tcW w:w="1701" w:type="dxa"/>
            <w:vAlign w:val="center"/>
          </w:tcPr>
          <w:p w14:paraId="0E197D70" w14:textId="77777777" w:rsidR="00454A29" w:rsidRDefault="00454A29">
            <w:pPr>
              <w:pStyle w:val="ConsPlusNormal"/>
              <w:jc w:val="center"/>
            </w:pPr>
            <w:r>
              <w:t>2024</w:t>
            </w:r>
          </w:p>
        </w:tc>
        <w:tc>
          <w:tcPr>
            <w:tcW w:w="1417" w:type="dxa"/>
            <w:vMerge/>
          </w:tcPr>
          <w:p w14:paraId="02EDFC2C" w14:textId="77777777" w:rsidR="00454A29" w:rsidRDefault="00454A29"/>
        </w:tc>
        <w:tc>
          <w:tcPr>
            <w:tcW w:w="2204" w:type="dxa"/>
            <w:vMerge/>
          </w:tcPr>
          <w:p w14:paraId="7EEFC639" w14:textId="77777777" w:rsidR="00454A29" w:rsidRDefault="00454A29"/>
        </w:tc>
        <w:tc>
          <w:tcPr>
            <w:tcW w:w="1417" w:type="dxa"/>
            <w:vMerge/>
          </w:tcPr>
          <w:p w14:paraId="4F947949" w14:textId="77777777" w:rsidR="00454A29" w:rsidRDefault="00454A29"/>
        </w:tc>
        <w:tc>
          <w:tcPr>
            <w:tcW w:w="2324" w:type="dxa"/>
            <w:vMerge/>
          </w:tcPr>
          <w:p w14:paraId="0DFDCAC0" w14:textId="77777777" w:rsidR="00454A29" w:rsidRDefault="00454A29"/>
        </w:tc>
        <w:tc>
          <w:tcPr>
            <w:tcW w:w="1701" w:type="dxa"/>
            <w:vAlign w:val="center"/>
          </w:tcPr>
          <w:p w14:paraId="5C57EA6F" w14:textId="77777777" w:rsidR="00454A29" w:rsidRDefault="00454A29">
            <w:pPr>
              <w:pStyle w:val="ConsPlusNormal"/>
              <w:jc w:val="center"/>
            </w:pPr>
            <w:r>
              <w:t>-</w:t>
            </w:r>
          </w:p>
        </w:tc>
        <w:tc>
          <w:tcPr>
            <w:tcW w:w="1814" w:type="dxa"/>
            <w:vAlign w:val="center"/>
          </w:tcPr>
          <w:p w14:paraId="33C9977D" w14:textId="77777777" w:rsidR="00454A29" w:rsidRDefault="00454A29">
            <w:pPr>
              <w:pStyle w:val="ConsPlusNormal"/>
            </w:pPr>
          </w:p>
        </w:tc>
        <w:tc>
          <w:tcPr>
            <w:tcW w:w="1701" w:type="dxa"/>
            <w:vAlign w:val="center"/>
          </w:tcPr>
          <w:p w14:paraId="57C57737" w14:textId="77777777" w:rsidR="00454A29" w:rsidRDefault="00454A29">
            <w:pPr>
              <w:pStyle w:val="ConsPlusNormal"/>
            </w:pPr>
          </w:p>
        </w:tc>
        <w:tc>
          <w:tcPr>
            <w:tcW w:w="1701" w:type="dxa"/>
            <w:vAlign w:val="center"/>
          </w:tcPr>
          <w:p w14:paraId="4D7B6CE5" w14:textId="77777777" w:rsidR="00454A29" w:rsidRDefault="00454A29">
            <w:pPr>
              <w:pStyle w:val="ConsPlusNormal"/>
            </w:pPr>
          </w:p>
        </w:tc>
        <w:tc>
          <w:tcPr>
            <w:tcW w:w="1814" w:type="dxa"/>
            <w:vAlign w:val="center"/>
          </w:tcPr>
          <w:p w14:paraId="130D66F5" w14:textId="77777777" w:rsidR="00454A29" w:rsidRDefault="00454A29">
            <w:pPr>
              <w:pStyle w:val="ConsPlusNormal"/>
            </w:pPr>
          </w:p>
        </w:tc>
      </w:tr>
      <w:tr w:rsidR="00454A29" w14:paraId="1F188800" w14:textId="77777777">
        <w:tc>
          <w:tcPr>
            <w:tcW w:w="567" w:type="dxa"/>
            <w:vMerge/>
          </w:tcPr>
          <w:p w14:paraId="491CF044" w14:textId="77777777" w:rsidR="00454A29" w:rsidRDefault="00454A29"/>
        </w:tc>
        <w:tc>
          <w:tcPr>
            <w:tcW w:w="3345" w:type="dxa"/>
            <w:vMerge/>
          </w:tcPr>
          <w:p w14:paraId="763A2E8D" w14:textId="77777777" w:rsidR="00454A29" w:rsidRDefault="00454A29"/>
        </w:tc>
        <w:tc>
          <w:tcPr>
            <w:tcW w:w="1701" w:type="dxa"/>
            <w:vAlign w:val="center"/>
          </w:tcPr>
          <w:p w14:paraId="3118CCDC" w14:textId="77777777" w:rsidR="00454A29" w:rsidRDefault="00454A29">
            <w:pPr>
              <w:pStyle w:val="ConsPlusNormal"/>
              <w:jc w:val="center"/>
            </w:pPr>
            <w:r>
              <w:t>2025</w:t>
            </w:r>
          </w:p>
        </w:tc>
        <w:tc>
          <w:tcPr>
            <w:tcW w:w="1417" w:type="dxa"/>
            <w:vMerge/>
          </w:tcPr>
          <w:p w14:paraId="1F77F4A8" w14:textId="77777777" w:rsidR="00454A29" w:rsidRDefault="00454A29"/>
        </w:tc>
        <w:tc>
          <w:tcPr>
            <w:tcW w:w="2204" w:type="dxa"/>
            <w:vMerge/>
          </w:tcPr>
          <w:p w14:paraId="57F1979D" w14:textId="77777777" w:rsidR="00454A29" w:rsidRDefault="00454A29"/>
        </w:tc>
        <w:tc>
          <w:tcPr>
            <w:tcW w:w="1417" w:type="dxa"/>
            <w:vMerge/>
          </w:tcPr>
          <w:p w14:paraId="6A523FEB" w14:textId="77777777" w:rsidR="00454A29" w:rsidRDefault="00454A29"/>
        </w:tc>
        <w:tc>
          <w:tcPr>
            <w:tcW w:w="2324" w:type="dxa"/>
            <w:vMerge/>
          </w:tcPr>
          <w:p w14:paraId="706B0B10" w14:textId="77777777" w:rsidR="00454A29" w:rsidRDefault="00454A29"/>
        </w:tc>
        <w:tc>
          <w:tcPr>
            <w:tcW w:w="1701" w:type="dxa"/>
            <w:vAlign w:val="center"/>
          </w:tcPr>
          <w:p w14:paraId="559445D8" w14:textId="77777777" w:rsidR="00454A29" w:rsidRDefault="00454A29">
            <w:pPr>
              <w:pStyle w:val="ConsPlusNormal"/>
              <w:jc w:val="center"/>
            </w:pPr>
            <w:r>
              <w:t>-</w:t>
            </w:r>
          </w:p>
        </w:tc>
        <w:tc>
          <w:tcPr>
            <w:tcW w:w="1814" w:type="dxa"/>
            <w:vAlign w:val="center"/>
          </w:tcPr>
          <w:p w14:paraId="34485200" w14:textId="77777777" w:rsidR="00454A29" w:rsidRDefault="00454A29">
            <w:pPr>
              <w:pStyle w:val="ConsPlusNormal"/>
            </w:pPr>
          </w:p>
        </w:tc>
        <w:tc>
          <w:tcPr>
            <w:tcW w:w="1701" w:type="dxa"/>
            <w:vAlign w:val="center"/>
          </w:tcPr>
          <w:p w14:paraId="557E9E5E" w14:textId="77777777" w:rsidR="00454A29" w:rsidRDefault="00454A29">
            <w:pPr>
              <w:pStyle w:val="ConsPlusNormal"/>
            </w:pPr>
          </w:p>
        </w:tc>
        <w:tc>
          <w:tcPr>
            <w:tcW w:w="1701" w:type="dxa"/>
            <w:vAlign w:val="center"/>
          </w:tcPr>
          <w:p w14:paraId="758E6A37" w14:textId="77777777" w:rsidR="00454A29" w:rsidRDefault="00454A29">
            <w:pPr>
              <w:pStyle w:val="ConsPlusNormal"/>
            </w:pPr>
          </w:p>
        </w:tc>
        <w:tc>
          <w:tcPr>
            <w:tcW w:w="1814" w:type="dxa"/>
            <w:vAlign w:val="center"/>
          </w:tcPr>
          <w:p w14:paraId="738DB9A9" w14:textId="77777777" w:rsidR="00454A29" w:rsidRDefault="00454A29">
            <w:pPr>
              <w:pStyle w:val="ConsPlusNormal"/>
            </w:pPr>
          </w:p>
        </w:tc>
      </w:tr>
      <w:tr w:rsidR="00454A29" w14:paraId="46804637" w14:textId="77777777">
        <w:tc>
          <w:tcPr>
            <w:tcW w:w="567" w:type="dxa"/>
            <w:vMerge/>
          </w:tcPr>
          <w:p w14:paraId="0B26285E" w14:textId="77777777" w:rsidR="00454A29" w:rsidRDefault="00454A29"/>
        </w:tc>
        <w:tc>
          <w:tcPr>
            <w:tcW w:w="3345" w:type="dxa"/>
            <w:vMerge/>
          </w:tcPr>
          <w:p w14:paraId="51E752BF" w14:textId="77777777" w:rsidR="00454A29" w:rsidRDefault="00454A29"/>
        </w:tc>
        <w:tc>
          <w:tcPr>
            <w:tcW w:w="1701" w:type="dxa"/>
            <w:vAlign w:val="center"/>
          </w:tcPr>
          <w:p w14:paraId="325E56DC" w14:textId="77777777" w:rsidR="00454A29" w:rsidRDefault="00454A29">
            <w:pPr>
              <w:pStyle w:val="ConsPlusNormal"/>
              <w:jc w:val="center"/>
            </w:pPr>
            <w:r>
              <w:t>2026</w:t>
            </w:r>
          </w:p>
        </w:tc>
        <w:tc>
          <w:tcPr>
            <w:tcW w:w="1417" w:type="dxa"/>
            <w:vMerge/>
          </w:tcPr>
          <w:p w14:paraId="6836F7DB" w14:textId="77777777" w:rsidR="00454A29" w:rsidRDefault="00454A29"/>
        </w:tc>
        <w:tc>
          <w:tcPr>
            <w:tcW w:w="2204" w:type="dxa"/>
            <w:vMerge/>
          </w:tcPr>
          <w:p w14:paraId="1FCF86C5" w14:textId="77777777" w:rsidR="00454A29" w:rsidRDefault="00454A29"/>
        </w:tc>
        <w:tc>
          <w:tcPr>
            <w:tcW w:w="1417" w:type="dxa"/>
            <w:vMerge/>
          </w:tcPr>
          <w:p w14:paraId="7771F0DB" w14:textId="77777777" w:rsidR="00454A29" w:rsidRDefault="00454A29"/>
        </w:tc>
        <w:tc>
          <w:tcPr>
            <w:tcW w:w="2324" w:type="dxa"/>
            <w:vMerge/>
          </w:tcPr>
          <w:p w14:paraId="6931F1B9" w14:textId="77777777" w:rsidR="00454A29" w:rsidRDefault="00454A29"/>
        </w:tc>
        <w:tc>
          <w:tcPr>
            <w:tcW w:w="1701" w:type="dxa"/>
            <w:vAlign w:val="center"/>
          </w:tcPr>
          <w:p w14:paraId="3C134343" w14:textId="77777777" w:rsidR="00454A29" w:rsidRDefault="00454A29">
            <w:pPr>
              <w:pStyle w:val="ConsPlusNormal"/>
              <w:jc w:val="center"/>
            </w:pPr>
            <w:r>
              <w:t>-</w:t>
            </w:r>
          </w:p>
        </w:tc>
        <w:tc>
          <w:tcPr>
            <w:tcW w:w="1814" w:type="dxa"/>
            <w:vAlign w:val="center"/>
          </w:tcPr>
          <w:p w14:paraId="4A08413F" w14:textId="77777777" w:rsidR="00454A29" w:rsidRDefault="00454A29">
            <w:pPr>
              <w:pStyle w:val="ConsPlusNormal"/>
            </w:pPr>
          </w:p>
        </w:tc>
        <w:tc>
          <w:tcPr>
            <w:tcW w:w="1701" w:type="dxa"/>
            <w:vAlign w:val="center"/>
          </w:tcPr>
          <w:p w14:paraId="39BBFAE8" w14:textId="77777777" w:rsidR="00454A29" w:rsidRDefault="00454A29">
            <w:pPr>
              <w:pStyle w:val="ConsPlusNormal"/>
            </w:pPr>
          </w:p>
        </w:tc>
        <w:tc>
          <w:tcPr>
            <w:tcW w:w="1701" w:type="dxa"/>
            <w:vAlign w:val="center"/>
          </w:tcPr>
          <w:p w14:paraId="7B957B22" w14:textId="77777777" w:rsidR="00454A29" w:rsidRDefault="00454A29">
            <w:pPr>
              <w:pStyle w:val="ConsPlusNormal"/>
            </w:pPr>
          </w:p>
        </w:tc>
        <w:tc>
          <w:tcPr>
            <w:tcW w:w="1814" w:type="dxa"/>
            <w:vAlign w:val="center"/>
          </w:tcPr>
          <w:p w14:paraId="30A1B3ED" w14:textId="77777777" w:rsidR="00454A29" w:rsidRDefault="00454A29">
            <w:pPr>
              <w:pStyle w:val="ConsPlusNormal"/>
            </w:pPr>
          </w:p>
        </w:tc>
      </w:tr>
      <w:tr w:rsidR="00454A29" w14:paraId="762FAF70" w14:textId="77777777">
        <w:tc>
          <w:tcPr>
            <w:tcW w:w="567" w:type="dxa"/>
            <w:vMerge w:val="restart"/>
            <w:vAlign w:val="center"/>
          </w:tcPr>
          <w:p w14:paraId="421291E2" w14:textId="77777777" w:rsidR="00454A29" w:rsidRDefault="00454A29">
            <w:pPr>
              <w:pStyle w:val="ConsPlusNormal"/>
              <w:jc w:val="center"/>
            </w:pPr>
            <w:r>
              <w:t>15</w:t>
            </w:r>
          </w:p>
        </w:tc>
        <w:tc>
          <w:tcPr>
            <w:tcW w:w="3345" w:type="dxa"/>
            <w:vMerge w:val="restart"/>
            <w:vAlign w:val="center"/>
          </w:tcPr>
          <w:p w14:paraId="5D736623" w14:textId="77777777" w:rsidR="00454A29" w:rsidRDefault="00454A29">
            <w:pPr>
              <w:pStyle w:val="ConsPlusNormal"/>
              <w:jc w:val="center"/>
            </w:pPr>
            <w:r>
              <w:t>Детский сад на 50 мест в с. Ботулу Верхневилюйского улуса</w:t>
            </w:r>
          </w:p>
        </w:tc>
        <w:tc>
          <w:tcPr>
            <w:tcW w:w="1701" w:type="dxa"/>
            <w:vAlign w:val="center"/>
          </w:tcPr>
          <w:p w14:paraId="2F224128" w14:textId="77777777" w:rsidR="00454A29" w:rsidRDefault="00454A29">
            <w:pPr>
              <w:pStyle w:val="ConsPlusNormal"/>
              <w:jc w:val="center"/>
            </w:pPr>
            <w:r>
              <w:t>2020 - 2026 годы - всего</w:t>
            </w:r>
          </w:p>
        </w:tc>
        <w:tc>
          <w:tcPr>
            <w:tcW w:w="1417" w:type="dxa"/>
            <w:vMerge w:val="restart"/>
            <w:vAlign w:val="center"/>
          </w:tcPr>
          <w:p w14:paraId="502A5959" w14:textId="77777777" w:rsidR="00454A29" w:rsidRDefault="00454A29">
            <w:pPr>
              <w:pStyle w:val="ConsPlusNormal"/>
              <w:jc w:val="center"/>
            </w:pPr>
            <w:r>
              <w:t>42 055,34</w:t>
            </w:r>
          </w:p>
        </w:tc>
        <w:tc>
          <w:tcPr>
            <w:tcW w:w="2204" w:type="dxa"/>
            <w:vMerge w:val="restart"/>
            <w:vAlign w:val="center"/>
          </w:tcPr>
          <w:p w14:paraId="03B27F8E" w14:textId="77777777" w:rsidR="00454A29" w:rsidRDefault="00454A29">
            <w:pPr>
              <w:pStyle w:val="ConsPlusNormal"/>
            </w:pPr>
          </w:p>
        </w:tc>
        <w:tc>
          <w:tcPr>
            <w:tcW w:w="1417" w:type="dxa"/>
            <w:vMerge w:val="restart"/>
            <w:vAlign w:val="center"/>
          </w:tcPr>
          <w:p w14:paraId="71D4245A" w14:textId="77777777" w:rsidR="00454A29" w:rsidRDefault="00454A29">
            <w:pPr>
              <w:pStyle w:val="ConsPlusNormal"/>
              <w:jc w:val="center"/>
            </w:pPr>
            <w:r>
              <w:t>50</w:t>
            </w:r>
          </w:p>
        </w:tc>
        <w:tc>
          <w:tcPr>
            <w:tcW w:w="2324" w:type="dxa"/>
            <w:vMerge w:val="restart"/>
            <w:vAlign w:val="center"/>
          </w:tcPr>
          <w:p w14:paraId="7283929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C9CB667" w14:textId="77777777" w:rsidR="00454A29" w:rsidRDefault="00454A29">
            <w:pPr>
              <w:pStyle w:val="ConsPlusNormal"/>
              <w:jc w:val="center"/>
            </w:pPr>
            <w:r>
              <w:t>42 055,34</w:t>
            </w:r>
          </w:p>
        </w:tc>
        <w:tc>
          <w:tcPr>
            <w:tcW w:w="1814" w:type="dxa"/>
            <w:vAlign w:val="center"/>
          </w:tcPr>
          <w:p w14:paraId="630E62C2" w14:textId="77777777" w:rsidR="00454A29" w:rsidRDefault="00454A29">
            <w:pPr>
              <w:pStyle w:val="ConsPlusNormal"/>
              <w:jc w:val="center"/>
            </w:pPr>
            <w:r>
              <w:t>42 055,34</w:t>
            </w:r>
          </w:p>
        </w:tc>
        <w:tc>
          <w:tcPr>
            <w:tcW w:w="1701" w:type="dxa"/>
            <w:vAlign w:val="center"/>
          </w:tcPr>
          <w:p w14:paraId="39EFA869" w14:textId="77777777" w:rsidR="00454A29" w:rsidRDefault="00454A29">
            <w:pPr>
              <w:pStyle w:val="ConsPlusNormal"/>
              <w:jc w:val="center"/>
            </w:pPr>
            <w:r>
              <w:t>-</w:t>
            </w:r>
          </w:p>
        </w:tc>
        <w:tc>
          <w:tcPr>
            <w:tcW w:w="1701" w:type="dxa"/>
            <w:vAlign w:val="center"/>
          </w:tcPr>
          <w:p w14:paraId="3A1C8841" w14:textId="77777777" w:rsidR="00454A29" w:rsidRDefault="00454A29">
            <w:pPr>
              <w:pStyle w:val="ConsPlusNormal"/>
              <w:jc w:val="center"/>
            </w:pPr>
            <w:r>
              <w:t>-</w:t>
            </w:r>
          </w:p>
        </w:tc>
        <w:tc>
          <w:tcPr>
            <w:tcW w:w="1814" w:type="dxa"/>
            <w:vAlign w:val="center"/>
          </w:tcPr>
          <w:p w14:paraId="73A403B8" w14:textId="77777777" w:rsidR="00454A29" w:rsidRDefault="00454A29">
            <w:pPr>
              <w:pStyle w:val="ConsPlusNormal"/>
              <w:jc w:val="center"/>
            </w:pPr>
            <w:r>
              <w:t>-</w:t>
            </w:r>
          </w:p>
        </w:tc>
      </w:tr>
      <w:tr w:rsidR="00454A29" w14:paraId="698F177A" w14:textId="77777777">
        <w:tc>
          <w:tcPr>
            <w:tcW w:w="567" w:type="dxa"/>
            <w:vMerge/>
          </w:tcPr>
          <w:p w14:paraId="1E6A56CC" w14:textId="77777777" w:rsidR="00454A29" w:rsidRDefault="00454A29"/>
        </w:tc>
        <w:tc>
          <w:tcPr>
            <w:tcW w:w="3345" w:type="dxa"/>
            <w:vMerge/>
          </w:tcPr>
          <w:p w14:paraId="7090945E" w14:textId="77777777" w:rsidR="00454A29" w:rsidRDefault="00454A29"/>
        </w:tc>
        <w:tc>
          <w:tcPr>
            <w:tcW w:w="1701" w:type="dxa"/>
            <w:vAlign w:val="center"/>
          </w:tcPr>
          <w:p w14:paraId="7598C631" w14:textId="77777777" w:rsidR="00454A29" w:rsidRDefault="00454A29">
            <w:pPr>
              <w:pStyle w:val="ConsPlusNormal"/>
              <w:jc w:val="center"/>
            </w:pPr>
            <w:r>
              <w:t>2020</w:t>
            </w:r>
          </w:p>
        </w:tc>
        <w:tc>
          <w:tcPr>
            <w:tcW w:w="1417" w:type="dxa"/>
            <w:vMerge/>
          </w:tcPr>
          <w:p w14:paraId="00F8434F" w14:textId="77777777" w:rsidR="00454A29" w:rsidRDefault="00454A29"/>
        </w:tc>
        <w:tc>
          <w:tcPr>
            <w:tcW w:w="2204" w:type="dxa"/>
            <w:vMerge/>
          </w:tcPr>
          <w:p w14:paraId="4F3AEAC4" w14:textId="77777777" w:rsidR="00454A29" w:rsidRDefault="00454A29"/>
        </w:tc>
        <w:tc>
          <w:tcPr>
            <w:tcW w:w="1417" w:type="dxa"/>
            <w:vMerge/>
          </w:tcPr>
          <w:p w14:paraId="224D3C78" w14:textId="77777777" w:rsidR="00454A29" w:rsidRDefault="00454A29"/>
        </w:tc>
        <w:tc>
          <w:tcPr>
            <w:tcW w:w="2324" w:type="dxa"/>
            <w:vMerge/>
          </w:tcPr>
          <w:p w14:paraId="08158FAE" w14:textId="77777777" w:rsidR="00454A29" w:rsidRDefault="00454A29"/>
        </w:tc>
        <w:tc>
          <w:tcPr>
            <w:tcW w:w="1701" w:type="dxa"/>
            <w:vAlign w:val="center"/>
          </w:tcPr>
          <w:p w14:paraId="3E35AFA6" w14:textId="77777777" w:rsidR="00454A29" w:rsidRDefault="00454A29">
            <w:pPr>
              <w:pStyle w:val="ConsPlusNormal"/>
              <w:jc w:val="center"/>
            </w:pPr>
            <w:r>
              <w:t>-</w:t>
            </w:r>
          </w:p>
        </w:tc>
        <w:tc>
          <w:tcPr>
            <w:tcW w:w="1814" w:type="dxa"/>
            <w:vAlign w:val="center"/>
          </w:tcPr>
          <w:p w14:paraId="2CA037F1" w14:textId="77777777" w:rsidR="00454A29" w:rsidRDefault="00454A29">
            <w:pPr>
              <w:pStyle w:val="ConsPlusNormal"/>
            </w:pPr>
          </w:p>
        </w:tc>
        <w:tc>
          <w:tcPr>
            <w:tcW w:w="1701" w:type="dxa"/>
            <w:vAlign w:val="center"/>
          </w:tcPr>
          <w:p w14:paraId="198EDAB7" w14:textId="77777777" w:rsidR="00454A29" w:rsidRDefault="00454A29">
            <w:pPr>
              <w:pStyle w:val="ConsPlusNormal"/>
            </w:pPr>
          </w:p>
        </w:tc>
        <w:tc>
          <w:tcPr>
            <w:tcW w:w="1701" w:type="dxa"/>
            <w:vAlign w:val="center"/>
          </w:tcPr>
          <w:p w14:paraId="186960DF" w14:textId="77777777" w:rsidR="00454A29" w:rsidRDefault="00454A29">
            <w:pPr>
              <w:pStyle w:val="ConsPlusNormal"/>
            </w:pPr>
          </w:p>
        </w:tc>
        <w:tc>
          <w:tcPr>
            <w:tcW w:w="1814" w:type="dxa"/>
            <w:vAlign w:val="center"/>
          </w:tcPr>
          <w:p w14:paraId="1DB5FBF1" w14:textId="77777777" w:rsidR="00454A29" w:rsidRDefault="00454A29">
            <w:pPr>
              <w:pStyle w:val="ConsPlusNormal"/>
            </w:pPr>
          </w:p>
        </w:tc>
      </w:tr>
      <w:tr w:rsidR="00454A29" w14:paraId="5C9EFABE" w14:textId="77777777">
        <w:tc>
          <w:tcPr>
            <w:tcW w:w="567" w:type="dxa"/>
            <w:vMerge/>
          </w:tcPr>
          <w:p w14:paraId="318495BD" w14:textId="77777777" w:rsidR="00454A29" w:rsidRDefault="00454A29"/>
        </w:tc>
        <w:tc>
          <w:tcPr>
            <w:tcW w:w="3345" w:type="dxa"/>
            <w:vMerge/>
          </w:tcPr>
          <w:p w14:paraId="46713526" w14:textId="77777777" w:rsidR="00454A29" w:rsidRDefault="00454A29"/>
        </w:tc>
        <w:tc>
          <w:tcPr>
            <w:tcW w:w="1701" w:type="dxa"/>
            <w:vAlign w:val="center"/>
          </w:tcPr>
          <w:p w14:paraId="0010C335" w14:textId="77777777" w:rsidR="00454A29" w:rsidRDefault="00454A29">
            <w:pPr>
              <w:pStyle w:val="ConsPlusNormal"/>
              <w:jc w:val="center"/>
            </w:pPr>
            <w:r>
              <w:t>2021</w:t>
            </w:r>
          </w:p>
        </w:tc>
        <w:tc>
          <w:tcPr>
            <w:tcW w:w="1417" w:type="dxa"/>
            <w:vMerge/>
          </w:tcPr>
          <w:p w14:paraId="1E1D77E9" w14:textId="77777777" w:rsidR="00454A29" w:rsidRDefault="00454A29"/>
        </w:tc>
        <w:tc>
          <w:tcPr>
            <w:tcW w:w="2204" w:type="dxa"/>
            <w:vMerge/>
          </w:tcPr>
          <w:p w14:paraId="6B8DED33" w14:textId="77777777" w:rsidR="00454A29" w:rsidRDefault="00454A29"/>
        </w:tc>
        <w:tc>
          <w:tcPr>
            <w:tcW w:w="1417" w:type="dxa"/>
            <w:vMerge/>
          </w:tcPr>
          <w:p w14:paraId="3ED1B6E9" w14:textId="77777777" w:rsidR="00454A29" w:rsidRDefault="00454A29"/>
        </w:tc>
        <w:tc>
          <w:tcPr>
            <w:tcW w:w="2324" w:type="dxa"/>
            <w:vMerge/>
          </w:tcPr>
          <w:p w14:paraId="0E62EC61" w14:textId="77777777" w:rsidR="00454A29" w:rsidRDefault="00454A29"/>
        </w:tc>
        <w:tc>
          <w:tcPr>
            <w:tcW w:w="1701" w:type="dxa"/>
            <w:vAlign w:val="center"/>
          </w:tcPr>
          <w:p w14:paraId="0412EFA7" w14:textId="77777777" w:rsidR="00454A29" w:rsidRDefault="00454A29">
            <w:pPr>
              <w:pStyle w:val="ConsPlusNormal"/>
              <w:jc w:val="center"/>
            </w:pPr>
            <w:r>
              <w:t>-</w:t>
            </w:r>
          </w:p>
        </w:tc>
        <w:tc>
          <w:tcPr>
            <w:tcW w:w="1814" w:type="dxa"/>
            <w:vAlign w:val="center"/>
          </w:tcPr>
          <w:p w14:paraId="658085CC" w14:textId="77777777" w:rsidR="00454A29" w:rsidRDefault="00454A29">
            <w:pPr>
              <w:pStyle w:val="ConsPlusNormal"/>
            </w:pPr>
          </w:p>
        </w:tc>
        <w:tc>
          <w:tcPr>
            <w:tcW w:w="1701" w:type="dxa"/>
            <w:vAlign w:val="center"/>
          </w:tcPr>
          <w:p w14:paraId="0E99E2CA" w14:textId="77777777" w:rsidR="00454A29" w:rsidRDefault="00454A29">
            <w:pPr>
              <w:pStyle w:val="ConsPlusNormal"/>
            </w:pPr>
          </w:p>
        </w:tc>
        <w:tc>
          <w:tcPr>
            <w:tcW w:w="1701" w:type="dxa"/>
            <w:vAlign w:val="center"/>
          </w:tcPr>
          <w:p w14:paraId="409E26A4" w14:textId="77777777" w:rsidR="00454A29" w:rsidRDefault="00454A29">
            <w:pPr>
              <w:pStyle w:val="ConsPlusNormal"/>
            </w:pPr>
          </w:p>
        </w:tc>
        <w:tc>
          <w:tcPr>
            <w:tcW w:w="1814" w:type="dxa"/>
            <w:vAlign w:val="center"/>
          </w:tcPr>
          <w:p w14:paraId="0E3D3174" w14:textId="77777777" w:rsidR="00454A29" w:rsidRDefault="00454A29">
            <w:pPr>
              <w:pStyle w:val="ConsPlusNormal"/>
            </w:pPr>
          </w:p>
        </w:tc>
      </w:tr>
      <w:tr w:rsidR="00454A29" w14:paraId="00E375F9" w14:textId="77777777">
        <w:tc>
          <w:tcPr>
            <w:tcW w:w="567" w:type="dxa"/>
            <w:vMerge/>
          </w:tcPr>
          <w:p w14:paraId="5A062F6D" w14:textId="77777777" w:rsidR="00454A29" w:rsidRDefault="00454A29"/>
        </w:tc>
        <w:tc>
          <w:tcPr>
            <w:tcW w:w="3345" w:type="dxa"/>
            <w:vMerge/>
          </w:tcPr>
          <w:p w14:paraId="3A5651B9" w14:textId="77777777" w:rsidR="00454A29" w:rsidRDefault="00454A29"/>
        </w:tc>
        <w:tc>
          <w:tcPr>
            <w:tcW w:w="1701" w:type="dxa"/>
            <w:vAlign w:val="center"/>
          </w:tcPr>
          <w:p w14:paraId="1C89F9FB" w14:textId="77777777" w:rsidR="00454A29" w:rsidRDefault="00454A29">
            <w:pPr>
              <w:pStyle w:val="ConsPlusNormal"/>
              <w:jc w:val="center"/>
            </w:pPr>
            <w:r>
              <w:t>2022</w:t>
            </w:r>
          </w:p>
        </w:tc>
        <w:tc>
          <w:tcPr>
            <w:tcW w:w="1417" w:type="dxa"/>
            <w:vMerge/>
          </w:tcPr>
          <w:p w14:paraId="7447C881" w14:textId="77777777" w:rsidR="00454A29" w:rsidRDefault="00454A29"/>
        </w:tc>
        <w:tc>
          <w:tcPr>
            <w:tcW w:w="2204" w:type="dxa"/>
            <w:vMerge/>
          </w:tcPr>
          <w:p w14:paraId="00E3F128" w14:textId="77777777" w:rsidR="00454A29" w:rsidRDefault="00454A29"/>
        </w:tc>
        <w:tc>
          <w:tcPr>
            <w:tcW w:w="1417" w:type="dxa"/>
            <w:vMerge/>
          </w:tcPr>
          <w:p w14:paraId="43A73B69" w14:textId="77777777" w:rsidR="00454A29" w:rsidRDefault="00454A29"/>
        </w:tc>
        <w:tc>
          <w:tcPr>
            <w:tcW w:w="2324" w:type="dxa"/>
            <w:vMerge/>
          </w:tcPr>
          <w:p w14:paraId="019F079D" w14:textId="77777777" w:rsidR="00454A29" w:rsidRDefault="00454A29"/>
        </w:tc>
        <w:tc>
          <w:tcPr>
            <w:tcW w:w="1701" w:type="dxa"/>
            <w:vAlign w:val="center"/>
          </w:tcPr>
          <w:p w14:paraId="4CF3B028" w14:textId="77777777" w:rsidR="00454A29" w:rsidRDefault="00454A29">
            <w:pPr>
              <w:pStyle w:val="ConsPlusNormal"/>
            </w:pPr>
          </w:p>
        </w:tc>
        <w:tc>
          <w:tcPr>
            <w:tcW w:w="1814" w:type="dxa"/>
            <w:vAlign w:val="center"/>
          </w:tcPr>
          <w:p w14:paraId="3BB9C91F" w14:textId="77777777" w:rsidR="00454A29" w:rsidRDefault="00454A29">
            <w:pPr>
              <w:pStyle w:val="ConsPlusNormal"/>
            </w:pPr>
          </w:p>
        </w:tc>
        <w:tc>
          <w:tcPr>
            <w:tcW w:w="1701" w:type="dxa"/>
            <w:vAlign w:val="center"/>
          </w:tcPr>
          <w:p w14:paraId="6165805A" w14:textId="77777777" w:rsidR="00454A29" w:rsidRDefault="00454A29">
            <w:pPr>
              <w:pStyle w:val="ConsPlusNormal"/>
            </w:pPr>
          </w:p>
        </w:tc>
        <w:tc>
          <w:tcPr>
            <w:tcW w:w="1701" w:type="dxa"/>
            <w:vAlign w:val="center"/>
          </w:tcPr>
          <w:p w14:paraId="0DF9F196" w14:textId="77777777" w:rsidR="00454A29" w:rsidRDefault="00454A29">
            <w:pPr>
              <w:pStyle w:val="ConsPlusNormal"/>
            </w:pPr>
          </w:p>
        </w:tc>
        <w:tc>
          <w:tcPr>
            <w:tcW w:w="1814" w:type="dxa"/>
            <w:vAlign w:val="center"/>
          </w:tcPr>
          <w:p w14:paraId="48B5C8C1" w14:textId="77777777" w:rsidR="00454A29" w:rsidRDefault="00454A29">
            <w:pPr>
              <w:pStyle w:val="ConsPlusNormal"/>
            </w:pPr>
          </w:p>
        </w:tc>
      </w:tr>
      <w:tr w:rsidR="00454A29" w14:paraId="032A494A" w14:textId="77777777">
        <w:tc>
          <w:tcPr>
            <w:tcW w:w="567" w:type="dxa"/>
            <w:vMerge/>
          </w:tcPr>
          <w:p w14:paraId="31318D7A" w14:textId="77777777" w:rsidR="00454A29" w:rsidRDefault="00454A29"/>
        </w:tc>
        <w:tc>
          <w:tcPr>
            <w:tcW w:w="3345" w:type="dxa"/>
            <w:vMerge/>
          </w:tcPr>
          <w:p w14:paraId="550D47C1" w14:textId="77777777" w:rsidR="00454A29" w:rsidRDefault="00454A29"/>
        </w:tc>
        <w:tc>
          <w:tcPr>
            <w:tcW w:w="1701" w:type="dxa"/>
            <w:vAlign w:val="center"/>
          </w:tcPr>
          <w:p w14:paraId="7986928F" w14:textId="77777777" w:rsidR="00454A29" w:rsidRDefault="00454A29">
            <w:pPr>
              <w:pStyle w:val="ConsPlusNormal"/>
              <w:jc w:val="center"/>
            </w:pPr>
            <w:r>
              <w:t>2023</w:t>
            </w:r>
          </w:p>
        </w:tc>
        <w:tc>
          <w:tcPr>
            <w:tcW w:w="1417" w:type="dxa"/>
            <w:vMerge/>
          </w:tcPr>
          <w:p w14:paraId="3AB17F92" w14:textId="77777777" w:rsidR="00454A29" w:rsidRDefault="00454A29"/>
        </w:tc>
        <w:tc>
          <w:tcPr>
            <w:tcW w:w="2204" w:type="dxa"/>
            <w:vMerge/>
          </w:tcPr>
          <w:p w14:paraId="4677D530" w14:textId="77777777" w:rsidR="00454A29" w:rsidRDefault="00454A29"/>
        </w:tc>
        <w:tc>
          <w:tcPr>
            <w:tcW w:w="1417" w:type="dxa"/>
            <w:vMerge/>
          </w:tcPr>
          <w:p w14:paraId="7E3A6169" w14:textId="77777777" w:rsidR="00454A29" w:rsidRDefault="00454A29"/>
        </w:tc>
        <w:tc>
          <w:tcPr>
            <w:tcW w:w="2324" w:type="dxa"/>
            <w:vMerge/>
          </w:tcPr>
          <w:p w14:paraId="20B7E438" w14:textId="77777777" w:rsidR="00454A29" w:rsidRDefault="00454A29"/>
        </w:tc>
        <w:tc>
          <w:tcPr>
            <w:tcW w:w="1701" w:type="dxa"/>
            <w:vAlign w:val="center"/>
          </w:tcPr>
          <w:p w14:paraId="49BB018C" w14:textId="77777777" w:rsidR="00454A29" w:rsidRDefault="00454A29">
            <w:pPr>
              <w:pStyle w:val="ConsPlusNormal"/>
              <w:jc w:val="center"/>
            </w:pPr>
            <w:r>
              <w:t>42 055,34</w:t>
            </w:r>
          </w:p>
        </w:tc>
        <w:tc>
          <w:tcPr>
            <w:tcW w:w="1814" w:type="dxa"/>
            <w:vAlign w:val="center"/>
          </w:tcPr>
          <w:p w14:paraId="26374375" w14:textId="77777777" w:rsidR="00454A29" w:rsidRDefault="00454A29">
            <w:pPr>
              <w:pStyle w:val="ConsPlusNormal"/>
              <w:jc w:val="center"/>
            </w:pPr>
            <w:r>
              <w:t>42 055,34</w:t>
            </w:r>
          </w:p>
        </w:tc>
        <w:tc>
          <w:tcPr>
            <w:tcW w:w="1701" w:type="dxa"/>
            <w:vAlign w:val="center"/>
          </w:tcPr>
          <w:p w14:paraId="3123B30D" w14:textId="77777777" w:rsidR="00454A29" w:rsidRDefault="00454A29">
            <w:pPr>
              <w:pStyle w:val="ConsPlusNormal"/>
            </w:pPr>
          </w:p>
        </w:tc>
        <w:tc>
          <w:tcPr>
            <w:tcW w:w="1701" w:type="dxa"/>
            <w:vAlign w:val="center"/>
          </w:tcPr>
          <w:p w14:paraId="4198C181" w14:textId="77777777" w:rsidR="00454A29" w:rsidRDefault="00454A29">
            <w:pPr>
              <w:pStyle w:val="ConsPlusNormal"/>
            </w:pPr>
          </w:p>
        </w:tc>
        <w:tc>
          <w:tcPr>
            <w:tcW w:w="1814" w:type="dxa"/>
            <w:vAlign w:val="center"/>
          </w:tcPr>
          <w:p w14:paraId="1C444C28" w14:textId="77777777" w:rsidR="00454A29" w:rsidRDefault="00454A29">
            <w:pPr>
              <w:pStyle w:val="ConsPlusNormal"/>
            </w:pPr>
          </w:p>
        </w:tc>
      </w:tr>
      <w:tr w:rsidR="00454A29" w14:paraId="32CBD3CF" w14:textId="77777777">
        <w:tc>
          <w:tcPr>
            <w:tcW w:w="567" w:type="dxa"/>
            <w:vMerge/>
          </w:tcPr>
          <w:p w14:paraId="084A5C8D" w14:textId="77777777" w:rsidR="00454A29" w:rsidRDefault="00454A29"/>
        </w:tc>
        <w:tc>
          <w:tcPr>
            <w:tcW w:w="3345" w:type="dxa"/>
            <w:vMerge/>
          </w:tcPr>
          <w:p w14:paraId="27CD3756" w14:textId="77777777" w:rsidR="00454A29" w:rsidRDefault="00454A29"/>
        </w:tc>
        <w:tc>
          <w:tcPr>
            <w:tcW w:w="1701" w:type="dxa"/>
            <w:vAlign w:val="center"/>
          </w:tcPr>
          <w:p w14:paraId="06D0ABDD" w14:textId="77777777" w:rsidR="00454A29" w:rsidRDefault="00454A29">
            <w:pPr>
              <w:pStyle w:val="ConsPlusNormal"/>
              <w:jc w:val="center"/>
            </w:pPr>
            <w:r>
              <w:t>2024</w:t>
            </w:r>
          </w:p>
        </w:tc>
        <w:tc>
          <w:tcPr>
            <w:tcW w:w="1417" w:type="dxa"/>
            <w:vMerge/>
          </w:tcPr>
          <w:p w14:paraId="0E5DE869" w14:textId="77777777" w:rsidR="00454A29" w:rsidRDefault="00454A29"/>
        </w:tc>
        <w:tc>
          <w:tcPr>
            <w:tcW w:w="2204" w:type="dxa"/>
            <w:vMerge/>
          </w:tcPr>
          <w:p w14:paraId="43A9B8EE" w14:textId="77777777" w:rsidR="00454A29" w:rsidRDefault="00454A29"/>
        </w:tc>
        <w:tc>
          <w:tcPr>
            <w:tcW w:w="1417" w:type="dxa"/>
            <w:vMerge/>
          </w:tcPr>
          <w:p w14:paraId="61286E2B" w14:textId="77777777" w:rsidR="00454A29" w:rsidRDefault="00454A29"/>
        </w:tc>
        <w:tc>
          <w:tcPr>
            <w:tcW w:w="2324" w:type="dxa"/>
            <w:vMerge/>
          </w:tcPr>
          <w:p w14:paraId="671758C3" w14:textId="77777777" w:rsidR="00454A29" w:rsidRDefault="00454A29"/>
        </w:tc>
        <w:tc>
          <w:tcPr>
            <w:tcW w:w="1701" w:type="dxa"/>
            <w:vAlign w:val="center"/>
          </w:tcPr>
          <w:p w14:paraId="05B51553" w14:textId="77777777" w:rsidR="00454A29" w:rsidRDefault="00454A29">
            <w:pPr>
              <w:pStyle w:val="ConsPlusNormal"/>
              <w:jc w:val="center"/>
            </w:pPr>
            <w:r>
              <w:t>-</w:t>
            </w:r>
          </w:p>
        </w:tc>
        <w:tc>
          <w:tcPr>
            <w:tcW w:w="1814" w:type="dxa"/>
            <w:vAlign w:val="center"/>
          </w:tcPr>
          <w:p w14:paraId="0EFFB486" w14:textId="77777777" w:rsidR="00454A29" w:rsidRDefault="00454A29">
            <w:pPr>
              <w:pStyle w:val="ConsPlusNormal"/>
            </w:pPr>
          </w:p>
        </w:tc>
        <w:tc>
          <w:tcPr>
            <w:tcW w:w="1701" w:type="dxa"/>
            <w:vAlign w:val="center"/>
          </w:tcPr>
          <w:p w14:paraId="02BD21F8" w14:textId="77777777" w:rsidR="00454A29" w:rsidRDefault="00454A29">
            <w:pPr>
              <w:pStyle w:val="ConsPlusNormal"/>
            </w:pPr>
          </w:p>
        </w:tc>
        <w:tc>
          <w:tcPr>
            <w:tcW w:w="1701" w:type="dxa"/>
            <w:vAlign w:val="center"/>
          </w:tcPr>
          <w:p w14:paraId="2CCCDDCB" w14:textId="77777777" w:rsidR="00454A29" w:rsidRDefault="00454A29">
            <w:pPr>
              <w:pStyle w:val="ConsPlusNormal"/>
            </w:pPr>
          </w:p>
        </w:tc>
        <w:tc>
          <w:tcPr>
            <w:tcW w:w="1814" w:type="dxa"/>
            <w:vAlign w:val="center"/>
          </w:tcPr>
          <w:p w14:paraId="4A657F27" w14:textId="77777777" w:rsidR="00454A29" w:rsidRDefault="00454A29">
            <w:pPr>
              <w:pStyle w:val="ConsPlusNormal"/>
            </w:pPr>
          </w:p>
        </w:tc>
      </w:tr>
      <w:tr w:rsidR="00454A29" w14:paraId="4B013439" w14:textId="77777777">
        <w:tc>
          <w:tcPr>
            <w:tcW w:w="567" w:type="dxa"/>
            <w:vMerge/>
          </w:tcPr>
          <w:p w14:paraId="50898178" w14:textId="77777777" w:rsidR="00454A29" w:rsidRDefault="00454A29"/>
        </w:tc>
        <w:tc>
          <w:tcPr>
            <w:tcW w:w="3345" w:type="dxa"/>
            <w:vMerge/>
          </w:tcPr>
          <w:p w14:paraId="4638A732" w14:textId="77777777" w:rsidR="00454A29" w:rsidRDefault="00454A29"/>
        </w:tc>
        <w:tc>
          <w:tcPr>
            <w:tcW w:w="1701" w:type="dxa"/>
            <w:vAlign w:val="center"/>
          </w:tcPr>
          <w:p w14:paraId="0672F166" w14:textId="77777777" w:rsidR="00454A29" w:rsidRDefault="00454A29">
            <w:pPr>
              <w:pStyle w:val="ConsPlusNormal"/>
              <w:jc w:val="center"/>
            </w:pPr>
            <w:r>
              <w:t>2025</w:t>
            </w:r>
          </w:p>
        </w:tc>
        <w:tc>
          <w:tcPr>
            <w:tcW w:w="1417" w:type="dxa"/>
            <w:vMerge/>
          </w:tcPr>
          <w:p w14:paraId="02A38D6E" w14:textId="77777777" w:rsidR="00454A29" w:rsidRDefault="00454A29"/>
        </w:tc>
        <w:tc>
          <w:tcPr>
            <w:tcW w:w="2204" w:type="dxa"/>
            <w:vMerge/>
          </w:tcPr>
          <w:p w14:paraId="5775715A" w14:textId="77777777" w:rsidR="00454A29" w:rsidRDefault="00454A29"/>
        </w:tc>
        <w:tc>
          <w:tcPr>
            <w:tcW w:w="1417" w:type="dxa"/>
            <w:vMerge/>
          </w:tcPr>
          <w:p w14:paraId="4F8A72F9" w14:textId="77777777" w:rsidR="00454A29" w:rsidRDefault="00454A29"/>
        </w:tc>
        <w:tc>
          <w:tcPr>
            <w:tcW w:w="2324" w:type="dxa"/>
            <w:vMerge/>
          </w:tcPr>
          <w:p w14:paraId="0D698CCE" w14:textId="77777777" w:rsidR="00454A29" w:rsidRDefault="00454A29"/>
        </w:tc>
        <w:tc>
          <w:tcPr>
            <w:tcW w:w="1701" w:type="dxa"/>
            <w:vAlign w:val="center"/>
          </w:tcPr>
          <w:p w14:paraId="254B8637" w14:textId="77777777" w:rsidR="00454A29" w:rsidRDefault="00454A29">
            <w:pPr>
              <w:pStyle w:val="ConsPlusNormal"/>
              <w:jc w:val="center"/>
            </w:pPr>
            <w:r>
              <w:t>-</w:t>
            </w:r>
          </w:p>
        </w:tc>
        <w:tc>
          <w:tcPr>
            <w:tcW w:w="1814" w:type="dxa"/>
            <w:vAlign w:val="center"/>
          </w:tcPr>
          <w:p w14:paraId="5D68BB7A" w14:textId="77777777" w:rsidR="00454A29" w:rsidRDefault="00454A29">
            <w:pPr>
              <w:pStyle w:val="ConsPlusNormal"/>
            </w:pPr>
          </w:p>
        </w:tc>
        <w:tc>
          <w:tcPr>
            <w:tcW w:w="1701" w:type="dxa"/>
            <w:vAlign w:val="center"/>
          </w:tcPr>
          <w:p w14:paraId="15ED2CD0" w14:textId="77777777" w:rsidR="00454A29" w:rsidRDefault="00454A29">
            <w:pPr>
              <w:pStyle w:val="ConsPlusNormal"/>
            </w:pPr>
          </w:p>
        </w:tc>
        <w:tc>
          <w:tcPr>
            <w:tcW w:w="1701" w:type="dxa"/>
            <w:vAlign w:val="center"/>
          </w:tcPr>
          <w:p w14:paraId="46DCD3D8" w14:textId="77777777" w:rsidR="00454A29" w:rsidRDefault="00454A29">
            <w:pPr>
              <w:pStyle w:val="ConsPlusNormal"/>
            </w:pPr>
          </w:p>
        </w:tc>
        <w:tc>
          <w:tcPr>
            <w:tcW w:w="1814" w:type="dxa"/>
            <w:vAlign w:val="center"/>
          </w:tcPr>
          <w:p w14:paraId="20B7ECB9" w14:textId="77777777" w:rsidR="00454A29" w:rsidRDefault="00454A29">
            <w:pPr>
              <w:pStyle w:val="ConsPlusNormal"/>
            </w:pPr>
          </w:p>
        </w:tc>
      </w:tr>
      <w:tr w:rsidR="00454A29" w14:paraId="285842A4" w14:textId="77777777">
        <w:tc>
          <w:tcPr>
            <w:tcW w:w="567" w:type="dxa"/>
            <w:vMerge/>
          </w:tcPr>
          <w:p w14:paraId="083D3F55" w14:textId="77777777" w:rsidR="00454A29" w:rsidRDefault="00454A29"/>
        </w:tc>
        <w:tc>
          <w:tcPr>
            <w:tcW w:w="3345" w:type="dxa"/>
            <w:vMerge/>
          </w:tcPr>
          <w:p w14:paraId="30B36471" w14:textId="77777777" w:rsidR="00454A29" w:rsidRDefault="00454A29"/>
        </w:tc>
        <w:tc>
          <w:tcPr>
            <w:tcW w:w="1701" w:type="dxa"/>
            <w:vAlign w:val="center"/>
          </w:tcPr>
          <w:p w14:paraId="6D20FE3E" w14:textId="77777777" w:rsidR="00454A29" w:rsidRDefault="00454A29">
            <w:pPr>
              <w:pStyle w:val="ConsPlusNormal"/>
              <w:jc w:val="center"/>
            </w:pPr>
            <w:r>
              <w:t>2026</w:t>
            </w:r>
          </w:p>
        </w:tc>
        <w:tc>
          <w:tcPr>
            <w:tcW w:w="1417" w:type="dxa"/>
            <w:vMerge/>
          </w:tcPr>
          <w:p w14:paraId="25C67D65" w14:textId="77777777" w:rsidR="00454A29" w:rsidRDefault="00454A29"/>
        </w:tc>
        <w:tc>
          <w:tcPr>
            <w:tcW w:w="2204" w:type="dxa"/>
            <w:vMerge/>
          </w:tcPr>
          <w:p w14:paraId="4AC562AF" w14:textId="77777777" w:rsidR="00454A29" w:rsidRDefault="00454A29"/>
        </w:tc>
        <w:tc>
          <w:tcPr>
            <w:tcW w:w="1417" w:type="dxa"/>
            <w:vMerge/>
          </w:tcPr>
          <w:p w14:paraId="1167A8FF" w14:textId="77777777" w:rsidR="00454A29" w:rsidRDefault="00454A29"/>
        </w:tc>
        <w:tc>
          <w:tcPr>
            <w:tcW w:w="2324" w:type="dxa"/>
            <w:vMerge/>
          </w:tcPr>
          <w:p w14:paraId="50CAF4CF" w14:textId="77777777" w:rsidR="00454A29" w:rsidRDefault="00454A29"/>
        </w:tc>
        <w:tc>
          <w:tcPr>
            <w:tcW w:w="1701" w:type="dxa"/>
            <w:vAlign w:val="center"/>
          </w:tcPr>
          <w:p w14:paraId="151E8F8E" w14:textId="77777777" w:rsidR="00454A29" w:rsidRDefault="00454A29">
            <w:pPr>
              <w:pStyle w:val="ConsPlusNormal"/>
              <w:jc w:val="center"/>
            </w:pPr>
            <w:r>
              <w:t>-</w:t>
            </w:r>
          </w:p>
        </w:tc>
        <w:tc>
          <w:tcPr>
            <w:tcW w:w="1814" w:type="dxa"/>
            <w:vAlign w:val="center"/>
          </w:tcPr>
          <w:p w14:paraId="5075F2B5" w14:textId="77777777" w:rsidR="00454A29" w:rsidRDefault="00454A29">
            <w:pPr>
              <w:pStyle w:val="ConsPlusNormal"/>
            </w:pPr>
          </w:p>
        </w:tc>
        <w:tc>
          <w:tcPr>
            <w:tcW w:w="1701" w:type="dxa"/>
            <w:vAlign w:val="center"/>
          </w:tcPr>
          <w:p w14:paraId="57ECE577" w14:textId="77777777" w:rsidR="00454A29" w:rsidRDefault="00454A29">
            <w:pPr>
              <w:pStyle w:val="ConsPlusNormal"/>
            </w:pPr>
          </w:p>
        </w:tc>
        <w:tc>
          <w:tcPr>
            <w:tcW w:w="1701" w:type="dxa"/>
            <w:vAlign w:val="center"/>
          </w:tcPr>
          <w:p w14:paraId="362BECA9" w14:textId="77777777" w:rsidR="00454A29" w:rsidRDefault="00454A29">
            <w:pPr>
              <w:pStyle w:val="ConsPlusNormal"/>
            </w:pPr>
          </w:p>
        </w:tc>
        <w:tc>
          <w:tcPr>
            <w:tcW w:w="1814" w:type="dxa"/>
            <w:vAlign w:val="center"/>
          </w:tcPr>
          <w:p w14:paraId="4E22CE7C" w14:textId="77777777" w:rsidR="00454A29" w:rsidRDefault="00454A29">
            <w:pPr>
              <w:pStyle w:val="ConsPlusNormal"/>
            </w:pPr>
          </w:p>
        </w:tc>
      </w:tr>
      <w:tr w:rsidR="00454A29" w14:paraId="59F756BB" w14:textId="77777777">
        <w:tc>
          <w:tcPr>
            <w:tcW w:w="567" w:type="dxa"/>
            <w:vMerge w:val="restart"/>
            <w:vAlign w:val="center"/>
          </w:tcPr>
          <w:p w14:paraId="5D014E04" w14:textId="77777777" w:rsidR="00454A29" w:rsidRDefault="00454A29">
            <w:pPr>
              <w:pStyle w:val="ConsPlusNormal"/>
              <w:jc w:val="center"/>
            </w:pPr>
            <w:r>
              <w:t>16</w:t>
            </w:r>
          </w:p>
        </w:tc>
        <w:tc>
          <w:tcPr>
            <w:tcW w:w="3345" w:type="dxa"/>
            <w:vMerge w:val="restart"/>
            <w:vAlign w:val="center"/>
          </w:tcPr>
          <w:p w14:paraId="161AD163" w14:textId="77777777" w:rsidR="00454A29" w:rsidRDefault="00454A29">
            <w:pPr>
              <w:pStyle w:val="ConsPlusNormal"/>
              <w:jc w:val="center"/>
            </w:pPr>
            <w:r>
              <w:t>Детский сад на 50 мест в с. Синск Хангаласского улуса</w:t>
            </w:r>
          </w:p>
        </w:tc>
        <w:tc>
          <w:tcPr>
            <w:tcW w:w="1701" w:type="dxa"/>
            <w:vAlign w:val="center"/>
          </w:tcPr>
          <w:p w14:paraId="1DDF85F4" w14:textId="77777777" w:rsidR="00454A29" w:rsidRDefault="00454A29">
            <w:pPr>
              <w:pStyle w:val="ConsPlusNormal"/>
              <w:jc w:val="center"/>
            </w:pPr>
            <w:r>
              <w:t>2020 - 2026 годы - всего</w:t>
            </w:r>
          </w:p>
        </w:tc>
        <w:tc>
          <w:tcPr>
            <w:tcW w:w="1417" w:type="dxa"/>
            <w:vMerge w:val="restart"/>
            <w:vAlign w:val="center"/>
          </w:tcPr>
          <w:p w14:paraId="2322A3F4" w14:textId="77777777" w:rsidR="00454A29" w:rsidRDefault="00454A29">
            <w:pPr>
              <w:pStyle w:val="ConsPlusNormal"/>
              <w:jc w:val="center"/>
            </w:pPr>
            <w:r>
              <w:t>99 288,37</w:t>
            </w:r>
          </w:p>
        </w:tc>
        <w:tc>
          <w:tcPr>
            <w:tcW w:w="2204" w:type="dxa"/>
            <w:vMerge w:val="restart"/>
            <w:vAlign w:val="center"/>
          </w:tcPr>
          <w:p w14:paraId="02F897F8" w14:textId="77777777" w:rsidR="00454A29" w:rsidRDefault="00454A29">
            <w:pPr>
              <w:pStyle w:val="ConsPlusNormal"/>
            </w:pPr>
          </w:p>
        </w:tc>
        <w:tc>
          <w:tcPr>
            <w:tcW w:w="1417" w:type="dxa"/>
            <w:vMerge w:val="restart"/>
            <w:vAlign w:val="center"/>
          </w:tcPr>
          <w:p w14:paraId="15EAADC8" w14:textId="77777777" w:rsidR="00454A29" w:rsidRDefault="00454A29">
            <w:pPr>
              <w:pStyle w:val="ConsPlusNormal"/>
              <w:jc w:val="center"/>
            </w:pPr>
            <w:r>
              <w:t>120</w:t>
            </w:r>
          </w:p>
        </w:tc>
        <w:tc>
          <w:tcPr>
            <w:tcW w:w="2324" w:type="dxa"/>
            <w:vMerge w:val="restart"/>
            <w:vAlign w:val="center"/>
          </w:tcPr>
          <w:p w14:paraId="67199D5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CB5C841" w14:textId="77777777" w:rsidR="00454A29" w:rsidRDefault="00454A29">
            <w:pPr>
              <w:pStyle w:val="ConsPlusNormal"/>
              <w:jc w:val="center"/>
            </w:pPr>
            <w:r>
              <w:t>99 288,37</w:t>
            </w:r>
          </w:p>
        </w:tc>
        <w:tc>
          <w:tcPr>
            <w:tcW w:w="1814" w:type="dxa"/>
            <w:vAlign w:val="center"/>
          </w:tcPr>
          <w:p w14:paraId="44D0418D" w14:textId="77777777" w:rsidR="00454A29" w:rsidRDefault="00454A29">
            <w:pPr>
              <w:pStyle w:val="ConsPlusNormal"/>
              <w:jc w:val="center"/>
            </w:pPr>
            <w:r>
              <w:t>99 288,37</w:t>
            </w:r>
          </w:p>
        </w:tc>
        <w:tc>
          <w:tcPr>
            <w:tcW w:w="1701" w:type="dxa"/>
            <w:vAlign w:val="center"/>
          </w:tcPr>
          <w:p w14:paraId="046F9332" w14:textId="77777777" w:rsidR="00454A29" w:rsidRDefault="00454A29">
            <w:pPr>
              <w:pStyle w:val="ConsPlusNormal"/>
              <w:jc w:val="center"/>
            </w:pPr>
            <w:r>
              <w:t>-</w:t>
            </w:r>
          </w:p>
        </w:tc>
        <w:tc>
          <w:tcPr>
            <w:tcW w:w="1701" w:type="dxa"/>
            <w:vAlign w:val="center"/>
          </w:tcPr>
          <w:p w14:paraId="476E97E4" w14:textId="77777777" w:rsidR="00454A29" w:rsidRDefault="00454A29">
            <w:pPr>
              <w:pStyle w:val="ConsPlusNormal"/>
              <w:jc w:val="center"/>
            </w:pPr>
            <w:r>
              <w:t>-</w:t>
            </w:r>
          </w:p>
        </w:tc>
        <w:tc>
          <w:tcPr>
            <w:tcW w:w="1814" w:type="dxa"/>
            <w:vAlign w:val="center"/>
          </w:tcPr>
          <w:p w14:paraId="78C5DE8A" w14:textId="77777777" w:rsidR="00454A29" w:rsidRDefault="00454A29">
            <w:pPr>
              <w:pStyle w:val="ConsPlusNormal"/>
              <w:jc w:val="center"/>
            </w:pPr>
            <w:r>
              <w:t>-</w:t>
            </w:r>
          </w:p>
        </w:tc>
      </w:tr>
      <w:tr w:rsidR="00454A29" w14:paraId="5E3825DF" w14:textId="77777777">
        <w:tc>
          <w:tcPr>
            <w:tcW w:w="567" w:type="dxa"/>
            <w:vMerge/>
          </w:tcPr>
          <w:p w14:paraId="00C734DB" w14:textId="77777777" w:rsidR="00454A29" w:rsidRDefault="00454A29"/>
        </w:tc>
        <w:tc>
          <w:tcPr>
            <w:tcW w:w="3345" w:type="dxa"/>
            <w:vMerge/>
          </w:tcPr>
          <w:p w14:paraId="75435EC4" w14:textId="77777777" w:rsidR="00454A29" w:rsidRDefault="00454A29"/>
        </w:tc>
        <w:tc>
          <w:tcPr>
            <w:tcW w:w="1701" w:type="dxa"/>
            <w:vAlign w:val="center"/>
          </w:tcPr>
          <w:p w14:paraId="349781A9" w14:textId="77777777" w:rsidR="00454A29" w:rsidRDefault="00454A29">
            <w:pPr>
              <w:pStyle w:val="ConsPlusNormal"/>
              <w:jc w:val="center"/>
            </w:pPr>
            <w:r>
              <w:t>2020</w:t>
            </w:r>
          </w:p>
        </w:tc>
        <w:tc>
          <w:tcPr>
            <w:tcW w:w="1417" w:type="dxa"/>
            <w:vMerge/>
          </w:tcPr>
          <w:p w14:paraId="33560A89" w14:textId="77777777" w:rsidR="00454A29" w:rsidRDefault="00454A29"/>
        </w:tc>
        <w:tc>
          <w:tcPr>
            <w:tcW w:w="2204" w:type="dxa"/>
            <w:vMerge/>
          </w:tcPr>
          <w:p w14:paraId="06DEF0F5" w14:textId="77777777" w:rsidR="00454A29" w:rsidRDefault="00454A29"/>
        </w:tc>
        <w:tc>
          <w:tcPr>
            <w:tcW w:w="1417" w:type="dxa"/>
            <w:vMerge/>
          </w:tcPr>
          <w:p w14:paraId="31CE898C" w14:textId="77777777" w:rsidR="00454A29" w:rsidRDefault="00454A29"/>
        </w:tc>
        <w:tc>
          <w:tcPr>
            <w:tcW w:w="2324" w:type="dxa"/>
            <w:vMerge/>
          </w:tcPr>
          <w:p w14:paraId="5B7F8F95" w14:textId="77777777" w:rsidR="00454A29" w:rsidRDefault="00454A29"/>
        </w:tc>
        <w:tc>
          <w:tcPr>
            <w:tcW w:w="1701" w:type="dxa"/>
            <w:vAlign w:val="center"/>
          </w:tcPr>
          <w:p w14:paraId="47B42B28" w14:textId="77777777" w:rsidR="00454A29" w:rsidRDefault="00454A29">
            <w:pPr>
              <w:pStyle w:val="ConsPlusNormal"/>
              <w:jc w:val="center"/>
            </w:pPr>
            <w:r>
              <w:t>-</w:t>
            </w:r>
          </w:p>
        </w:tc>
        <w:tc>
          <w:tcPr>
            <w:tcW w:w="1814" w:type="dxa"/>
            <w:vAlign w:val="center"/>
          </w:tcPr>
          <w:p w14:paraId="65E88A2D" w14:textId="77777777" w:rsidR="00454A29" w:rsidRDefault="00454A29">
            <w:pPr>
              <w:pStyle w:val="ConsPlusNormal"/>
            </w:pPr>
          </w:p>
        </w:tc>
        <w:tc>
          <w:tcPr>
            <w:tcW w:w="1701" w:type="dxa"/>
            <w:vAlign w:val="center"/>
          </w:tcPr>
          <w:p w14:paraId="2509C8BA" w14:textId="77777777" w:rsidR="00454A29" w:rsidRDefault="00454A29">
            <w:pPr>
              <w:pStyle w:val="ConsPlusNormal"/>
            </w:pPr>
          </w:p>
        </w:tc>
        <w:tc>
          <w:tcPr>
            <w:tcW w:w="1701" w:type="dxa"/>
            <w:vAlign w:val="center"/>
          </w:tcPr>
          <w:p w14:paraId="03663C06" w14:textId="77777777" w:rsidR="00454A29" w:rsidRDefault="00454A29">
            <w:pPr>
              <w:pStyle w:val="ConsPlusNormal"/>
            </w:pPr>
          </w:p>
        </w:tc>
        <w:tc>
          <w:tcPr>
            <w:tcW w:w="1814" w:type="dxa"/>
            <w:vAlign w:val="center"/>
          </w:tcPr>
          <w:p w14:paraId="04196B5B" w14:textId="77777777" w:rsidR="00454A29" w:rsidRDefault="00454A29">
            <w:pPr>
              <w:pStyle w:val="ConsPlusNormal"/>
            </w:pPr>
          </w:p>
        </w:tc>
      </w:tr>
      <w:tr w:rsidR="00454A29" w14:paraId="473352E3" w14:textId="77777777">
        <w:tc>
          <w:tcPr>
            <w:tcW w:w="567" w:type="dxa"/>
            <w:vMerge/>
          </w:tcPr>
          <w:p w14:paraId="2B11D579" w14:textId="77777777" w:rsidR="00454A29" w:rsidRDefault="00454A29"/>
        </w:tc>
        <w:tc>
          <w:tcPr>
            <w:tcW w:w="3345" w:type="dxa"/>
            <w:vMerge/>
          </w:tcPr>
          <w:p w14:paraId="6637474A" w14:textId="77777777" w:rsidR="00454A29" w:rsidRDefault="00454A29"/>
        </w:tc>
        <w:tc>
          <w:tcPr>
            <w:tcW w:w="1701" w:type="dxa"/>
            <w:vAlign w:val="center"/>
          </w:tcPr>
          <w:p w14:paraId="71B6D4E5" w14:textId="77777777" w:rsidR="00454A29" w:rsidRDefault="00454A29">
            <w:pPr>
              <w:pStyle w:val="ConsPlusNormal"/>
              <w:jc w:val="center"/>
            </w:pPr>
            <w:r>
              <w:t>2021</w:t>
            </w:r>
          </w:p>
        </w:tc>
        <w:tc>
          <w:tcPr>
            <w:tcW w:w="1417" w:type="dxa"/>
            <w:vMerge/>
          </w:tcPr>
          <w:p w14:paraId="0E124E6E" w14:textId="77777777" w:rsidR="00454A29" w:rsidRDefault="00454A29"/>
        </w:tc>
        <w:tc>
          <w:tcPr>
            <w:tcW w:w="2204" w:type="dxa"/>
            <w:vMerge/>
          </w:tcPr>
          <w:p w14:paraId="6F57818A" w14:textId="77777777" w:rsidR="00454A29" w:rsidRDefault="00454A29"/>
        </w:tc>
        <w:tc>
          <w:tcPr>
            <w:tcW w:w="1417" w:type="dxa"/>
            <w:vMerge/>
          </w:tcPr>
          <w:p w14:paraId="0B117216" w14:textId="77777777" w:rsidR="00454A29" w:rsidRDefault="00454A29"/>
        </w:tc>
        <w:tc>
          <w:tcPr>
            <w:tcW w:w="2324" w:type="dxa"/>
            <w:vMerge/>
          </w:tcPr>
          <w:p w14:paraId="37527FA6" w14:textId="77777777" w:rsidR="00454A29" w:rsidRDefault="00454A29"/>
        </w:tc>
        <w:tc>
          <w:tcPr>
            <w:tcW w:w="1701" w:type="dxa"/>
            <w:vAlign w:val="center"/>
          </w:tcPr>
          <w:p w14:paraId="72F7CBFB" w14:textId="77777777" w:rsidR="00454A29" w:rsidRDefault="00454A29">
            <w:pPr>
              <w:pStyle w:val="ConsPlusNormal"/>
              <w:jc w:val="center"/>
            </w:pPr>
            <w:r>
              <w:t>-</w:t>
            </w:r>
          </w:p>
        </w:tc>
        <w:tc>
          <w:tcPr>
            <w:tcW w:w="1814" w:type="dxa"/>
            <w:vAlign w:val="center"/>
          </w:tcPr>
          <w:p w14:paraId="275963BB" w14:textId="77777777" w:rsidR="00454A29" w:rsidRDefault="00454A29">
            <w:pPr>
              <w:pStyle w:val="ConsPlusNormal"/>
            </w:pPr>
          </w:p>
        </w:tc>
        <w:tc>
          <w:tcPr>
            <w:tcW w:w="1701" w:type="dxa"/>
            <w:vAlign w:val="center"/>
          </w:tcPr>
          <w:p w14:paraId="2B53C70A" w14:textId="77777777" w:rsidR="00454A29" w:rsidRDefault="00454A29">
            <w:pPr>
              <w:pStyle w:val="ConsPlusNormal"/>
            </w:pPr>
          </w:p>
        </w:tc>
        <w:tc>
          <w:tcPr>
            <w:tcW w:w="1701" w:type="dxa"/>
            <w:vAlign w:val="center"/>
          </w:tcPr>
          <w:p w14:paraId="480796C3" w14:textId="77777777" w:rsidR="00454A29" w:rsidRDefault="00454A29">
            <w:pPr>
              <w:pStyle w:val="ConsPlusNormal"/>
            </w:pPr>
          </w:p>
        </w:tc>
        <w:tc>
          <w:tcPr>
            <w:tcW w:w="1814" w:type="dxa"/>
            <w:vAlign w:val="center"/>
          </w:tcPr>
          <w:p w14:paraId="662F7F4B" w14:textId="77777777" w:rsidR="00454A29" w:rsidRDefault="00454A29">
            <w:pPr>
              <w:pStyle w:val="ConsPlusNormal"/>
            </w:pPr>
          </w:p>
        </w:tc>
      </w:tr>
      <w:tr w:rsidR="00454A29" w14:paraId="57A26DCE" w14:textId="77777777">
        <w:tc>
          <w:tcPr>
            <w:tcW w:w="567" w:type="dxa"/>
            <w:vMerge/>
          </w:tcPr>
          <w:p w14:paraId="16FFA4DC" w14:textId="77777777" w:rsidR="00454A29" w:rsidRDefault="00454A29"/>
        </w:tc>
        <w:tc>
          <w:tcPr>
            <w:tcW w:w="3345" w:type="dxa"/>
            <w:vMerge/>
          </w:tcPr>
          <w:p w14:paraId="68644FF4" w14:textId="77777777" w:rsidR="00454A29" w:rsidRDefault="00454A29"/>
        </w:tc>
        <w:tc>
          <w:tcPr>
            <w:tcW w:w="1701" w:type="dxa"/>
            <w:vAlign w:val="center"/>
          </w:tcPr>
          <w:p w14:paraId="6B5C4125" w14:textId="77777777" w:rsidR="00454A29" w:rsidRDefault="00454A29">
            <w:pPr>
              <w:pStyle w:val="ConsPlusNormal"/>
              <w:jc w:val="center"/>
            </w:pPr>
            <w:r>
              <w:t>2022</w:t>
            </w:r>
          </w:p>
        </w:tc>
        <w:tc>
          <w:tcPr>
            <w:tcW w:w="1417" w:type="dxa"/>
            <w:vMerge/>
          </w:tcPr>
          <w:p w14:paraId="4D3C0BCC" w14:textId="77777777" w:rsidR="00454A29" w:rsidRDefault="00454A29"/>
        </w:tc>
        <w:tc>
          <w:tcPr>
            <w:tcW w:w="2204" w:type="dxa"/>
            <w:vMerge/>
          </w:tcPr>
          <w:p w14:paraId="139D658E" w14:textId="77777777" w:rsidR="00454A29" w:rsidRDefault="00454A29"/>
        </w:tc>
        <w:tc>
          <w:tcPr>
            <w:tcW w:w="1417" w:type="dxa"/>
            <w:vMerge/>
          </w:tcPr>
          <w:p w14:paraId="184DC743" w14:textId="77777777" w:rsidR="00454A29" w:rsidRDefault="00454A29"/>
        </w:tc>
        <w:tc>
          <w:tcPr>
            <w:tcW w:w="2324" w:type="dxa"/>
            <w:vMerge/>
          </w:tcPr>
          <w:p w14:paraId="7AE22489" w14:textId="77777777" w:rsidR="00454A29" w:rsidRDefault="00454A29"/>
        </w:tc>
        <w:tc>
          <w:tcPr>
            <w:tcW w:w="1701" w:type="dxa"/>
            <w:vAlign w:val="center"/>
          </w:tcPr>
          <w:p w14:paraId="50A09BBF" w14:textId="77777777" w:rsidR="00454A29" w:rsidRDefault="00454A29">
            <w:pPr>
              <w:pStyle w:val="ConsPlusNormal"/>
              <w:jc w:val="center"/>
            </w:pPr>
            <w:r>
              <w:t>-</w:t>
            </w:r>
          </w:p>
        </w:tc>
        <w:tc>
          <w:tcPr>
            <w:tcW w:w="1814" w:type="dxa"/>
            <w:vAlign w:val="center"/>
          </w:tcPr>
          <w:p w14:paraId="3C83D184" w14:textId="77777777" w:rsidR="00454A29" w:rsidRDefault="00454A29">
            <w:pPr>
              <w:pStyle w:val="ConsPlusNormal"/>
            </w:pPr>
          </w:p>
        </w:tc>
        <w:tc>
          <w:tcPr>
            <w:tcW w:w="1701" w:type="dxa"/>
            <w:vAlign w:val="center"/>
          </w:tcPr>
          <w:p w14:paraId="28099AB5" w14:textId="77777777" w:rsidR="00454A29" w:rsidRDefault="00454A29">
            <w:pPr>
              <w:pStyle w:val="ConsPlusNormal"/>
            </w:pPr>
          </w:p>
        </w:tc>
        <w:tc>
          <w:tcPr>
            <w:tcW w:w="1701" w:type="dxa"/>
            <w:vAlign w:val="center"/>
          </w:tcPr>
          <w:p w14:paraId="1380DEDC" w14:textId="77777777" w:rsidR="00454A29" w:rsidRDefault="00454A29">
            <w:pPr>
              <w:pStyle w:val="ConsPlusNormal"/>
            </w:pPr>
          </w:p>
        </w:tc>
        <w:tc>
          <w:tcPr>
            <w:tcW w:w="1814" w:type="dxa"/>
            <w:vAlign w:val="center"/>
          </w:tcPr>
          <w:p w14:paraId="51F24DE0" w14:textId="77777777" w:rsidR="00454A29" w:rsidRDefault="00454A29">
            <w:pPr>
              <w:pStyle w:val="ConsPlusNormal"/>
            </w:pPr>
          </w:p>
        </w:tc>
      </w:tr>
      <w:tr w:rsidR="00454A29" w14:paraId="6E30952A" w14:textId="77777777">
        <w:tc>
          <w:tcPr>
            <w:tcW w:w="567" w:type="dxa"/>
            <w:vMerge/>
          </w:tcPr>
          <w:p w14:paraId="0D5B531A" w14:textId="77777777" w:rsidR="00454A29" w:rsidRDefault="00454A29"/>
        </w:tc>
        <w:tc>
          <w:tcPr>
            <w:tcW w:w="3345" w:type="dxa"/>
            <w:vMerge/>
          </w:tcPr>
          <w:p w14:paraId="038FC911" w14:textId="77777777" w:rsidR="00454A29" w:rsidRDefault="00454A29"/>
        </w:tc>
        <w:tc>
          <w:tcPr>
            <w:tcW w:w="1701" w:type="dxa"/>
            <w:vAlign w:val="center"/>
          </w:tcPr>
          <w:p w14:paraId="3E2142A1" w14:textId="77777777" w:rsidR="00454A29" w:rsidRDefault="00454A29">
            <w:pPr>
              <w:pStyle w:val="ConsPlusNormal"/>
              <w:jc w:val="center"/>
            </w:pPr>
            <w:r>
              <w:t>2023</w:t>
            </w:r>
          </w:p>
        </w:tc>
        <w:tc>
          <w:tcPr>
            <w:tcW w:w="1417" w:type="dxa"/>
            <w:vMerge/>
          </w:tcPr>
          <w:p w14:paraId="1D05EFD6" w14:textId="77777777" w:rsidR="00454A29" w:rsidRDefault="00454A29"/>
        </w:tc>
        <w:tc>
          <w:tcPr>
            <w:tcW w:w="2204" w:type="dxa"/>
            <w:vMerge/>
          </w:tcPr>
          <w:p w14:paraId="07CE93F3" w14:textId="77777777" w:rsidR="00454A29" w:rsidRDefault="00454A29"/>
        </w:tc>
        <w:tc>
          <w:tcPr>
            <w:tcW w:w="1417" w:type="dxa"/>
            <w:vMerge/>
          </w:tcPr>
          <w:p w14:paraId="1B0E9564" w14:textId="77777777" w:rsidR="00454A29" w:rsidRDefault="00454A29"/>
        </w:tc>
        <w:tc>
          <w:tcPr>
            <w:tcW w:w="2324" w:type="dxa"/>
            <w:vMerge/>
          </w:tcPr>
          <w:p w14:paraId="1985D514" w14:textId="77777777" w:rsidR="00454A29" w:rsidRDefault="00454A29"/>
        </w:tc>
        <w:tc>
          <w:tcPr>
            <w:tcW w:w="1701" w:type="dxa"/>
            <w:vAlign w:val="center"/>
          </w:tcPr>
          <w:p w14:paraId="3E4C1923" w14:textId="77777777" w:rsidR="00454A29" w:rsidRDefault="00454A29">
            <w:pPr>
              <w:pStyle w:val="ConsPlusNormal"/>
              <w:jc w:val="center"/>
            </w:pPr>
            <w:r>
              <w:t>99 288,37</w:t>
            </w:r>
          </w:p>
        </w:tc>
        <w:tc>
          <w:tcPr>
            <w:tcW w:w="1814" w:type="dxa"/>
            <w:vAlign w:val="center"/>
          </w:tcPr>
          <w:p w14:paraId="086D2863" w14:textId="77777777" w:rsidR="00454A29" w:rsidRDefault="00454A29">
            <w:pPr>
              <w:pStyle w:val="ConsPlusNormal"/>
              <w:jc w:val="center"/>
            </w:pPr>
            <w:r>
              <w:t>99 288,37</w:t>
            </w:r>
          </w:p>
        </w:tc>
        <w:tc>
          <w:tcPr>
            <w:tcW w:w="1701" w:type="dxa"/>
            <w:vAlign w:val="center"/>
          </w:tcPr>
          <w:p w14:paraId="5EB31B2E" w14:textId="77777777" w:rsidR="00454A29" w:rsidRDefault="00454A29">
            <w:pPr>
              <w:pStyle w:val="ConsPlusNormal"/>
            </w:pPr>
          </w:p>
        </w:tc>
        <w:tc>
          <w:tcPr>
            <w:tcW w:w="1701" w:type="dxa"/>
            <w:vAlign w:val="center"/>
          </w:tcPr>
          <w:p w14:paraId="18269CEA" w14:textId="77777777" w:rsidR="00454A29" w:rsidRDefault="00454A29">
            <w:pPr>
              <w:pStyle w:val="ConsPlusNormal"/>
            </w:pPr>
          </w:p>
        </w:tc>
        <w:tc>
          <w:tcPr>
            <w:tcW w:w="1814" w:type="dxa"/>
            <w:vAlign w:val="center"/>
          </w:tcPr>
          <w:p w14:paraId="1C5E7163" w14:textId="77777777" w:rsidR="00454A29" w:rsidRDefault="00454A29">
            <w:pPr>
              <w:pStyle w:val="ConsPlusNormal"/>
            </w:pPr>
          </w:p>
        </w:tc>
      </w:tr>
      <w:tr w:rsidR="00454A29" w14:paraId="50C04620" w14:textId="77777777">
        <w:tc>
          <w:tcPr>
            <w:tcW w:w="567" w:type="dxa"/>
            <w:vMerge/>
          </w:tcPr>
          <w:p w14:paraId="58D760EC" w14:textId="77777777" w:rsidR="00454A29" w:rsidRDefault="00454A29"/>
        </w:tc>
        <w:tc>
          <w:tcPr>
            <w:tcW w:w="3345" w:type="dxa"/>
            <w:vMerge/>
          </w:tcPr>
          <w:p w14:paraId="59AE1087" w14:textId="77777777" w:rsidR="00454A29" w:rsidRDefault="00454A29"/>
        </w:tc>
        <w:tc>
          <w:tcPr>
            <w:tcW w:w="1701" w:type="dxa"/>
            <w:vAlign w:val="center"/>
          </w:tcPr>
          <w:p w14:paraId="05BD003C" w14:textId="77777777" w:rsidR="00454A29" w:rsidRDefault="00454A29">
            <w:pPr>
              <w:pStyle w:val="ConsPlusNormal"/>
              <w:jc w:val="center"/>
            </w:pPr>
            <w:r>
              <w:t>2024</w:t>
            </w:r>
          </w:p>
        </w:tc>
        <w:tc>
          <w:tcPr>
            <w:tcW w:w="1417" w:type="dxa"/>
            <w:vMerge/>
          </w:tcPr>
          <w:p w14:paraId="3EBEB492" w14:textId="77777777" w:rsidR="00454A29" w:rsidRDefault="00454A29"/>
        </w:tc>
        <w:tc>
          <w:tcPr>
            <w:tcW w:w="2204" w:type="dxa"/>
            <w:vMerge/>
          </w:tcPr>
          <w:p w14:paraId="3522166A" w14:textId="77777777" w:rsidR="00454A29" w:rsidRDefault="00454A29"/>
        </w:tc>
        <w:tc>
          <w:tcPr>
            <w:tcW w:w="1417" w:type="dxa"/>
            <w:vMerge/>
          </w:tcPr>
          <w:p w14:paraId="77C29E05" w14:textId="77777777" w:rsidR="00454A29" w:rsidRDefault="00454A29"/>
        </w:tc>
        <w:tc>
          <w:tcPr>
            <w:tcW w:w="2324" w:type="dxa"/>
            <w:vMerge/>
          </w:tcPr>
          <w:p w14:paraId="00352AE5" w14:textId="77777777" w:rsidR="00454A29" w:rsidRDefault="00454A29"/>
        </w:tc>
        <w:tc>
          <w:tcPr>
            <w:tcW w:w="1701" w:type="dxa"/>
            <w:vAlign w:val="center"/>
          </w:tcPr>
          <w:p w14:paraId="12BB3716" w14:textId="77777777" w:rsidR="00454A29" w:rsidRDefault="00454A29">
            <w:pPr>
              <w:pStyle w:val="ConsPlusNormal"/>
              <w:jc w:val="center"/>
            </w:pPr>
            <w:r>
              <w:t>-</w:t>
            </w:r>
          </w:p>
        </w:tc>
        <w:tc>
          <w:tcPr>
            <w:tcW w:w="1814" w:type="dxa"/>
            <w:vAlign w:val="center"/>
          </w:tcPr>
          <w:p w14:paraId="333CFAB2" w14:textId="77777777" w:rsidR="00454A29" w:rsidRDefault="00454A29">
            <w:pPr>
              <w:pStyle w:val="ConsPlusNormal"/>
            </w:pPr>
          </w:p>
        </w:tc>
        <w:tc>
          <w:tcPr>
            <w:tcW w:w="1701" w:type="dxa"/>
            <w:vAlign w:val="center"/>
          </w:tcPr>
          <w:p w14:paraId="456A4D3F" w14:textId="77777777" w:rsidR="00454A29" w:rsidRDefault="00454A29">
            <w:pPr>
              <w:pStyle w:val="ConsPlusNormal"/>
            </w:pPr>
          </w:p>
        </w:tc>
        <w:tc>
          <w:tcPr>
            <w:tcW w:w="1701" w:type="dxa"/>
            <w:vAlign w:val="center"/>
          </w:tcPr>
          <w:p w14:paraId="1A2239FD" w14:textId="77777777" w:rsidR="00454A29" w:rsidRDefault="00454A29">
            <w:pPr>
              <w:pStyle w:val="ConsPlusNormal"/>
            </w:pPr>
          </w:p>
        </w:tc>
        <w:tc>
          <w:tcPr>
            <w:tcW w:w="1814" w:type="dxa"/>
            <w:vAlign w:val="center"/>
          </w:tcPr>
          <w:p w14:paraId="2E17590E" w14:textId="77777777" w:rsidR="00454A29" w:rsidRDefault="00454A29">
            <w:pPr>
              <w:pStyle w:val="ConsPlusNormal"/>
            </w:pPr>
          </w:p>
        </w:tc>
      </w:tr>
      <w:tr w:rsidR="00454A29" w14:paraId="11AFF19D" w14:textId="77777777">
        <w:tc>
          <w:tcPr>
            <w:tcW w:w="567" w:type="dxa"/>
            <w:vMerge/>
          </w:tcPr>
          <w:p w14:paraId="7B4F23DF" w14:textId="77777777" w:rsidR="00454A29" w:rsidRDefault="00454A29"/>
        </w:tc>
        <w:tc>
          <w:tcPr>
            <w:tcW w:w="3345" w:type="dxa"/>
            <w:vMerge/>
          </w:tcPr>
          <w:p w14:paraId="26201195" w14:textId="77777777" w:rsidR="00454A29" w:rsidRDefault="00454A29"/>
        </w:tc>
        <w:tc>
          <w:tcPr>
            <w:tcW w:w="1701" w:type="dxa"/>
            <w:vAlign w:val="center"/>
          </w:tcPr>
          <w:p w14:paraId="374F4670" w14:textId="77777777" w:rsidR="00454A29" w:rsidRDefault="00454A29">
            <w:pPr>
              <w:pStyle w:val="ConsPlusNormal"/>
              <w:jc w:val="center"/>
            </w:pPr>
            <w:r>
              <w:t>2025</w:t>
            </w:r>
          </w:p>
        </w:tc>
        <w:tc>
          <w:tcPr>
            <w:tcW w:w="1417" w:type="dxa"/>
            <w:vMerge/>
          </w:tcPr>
          <w:p w14:paraId="774E1133" w14:textId="77777777" w:rsidR="00454A29" w:rsidRDefault="00454A29"/>
        </w:tc>
        <w:tc>
          <w:tcPr>
            <w:tcW w:w="2204" w:type="dxa"/>
            <w:vMerge/>
          </w:tcPr>
          <w:p w14:paraId="08F6BB8E" w14:textId="77777777" w:rsidR="00454A29" w:rsidRDefault="00454A29"/>
        </w:tc>
        <w:tc>
          <w:tcPr>
            <w:tcW w:w="1417" w:type="dxa"/>
            <w:vMerge/>
          </w:tcPr>
          <w:p w14:paraId="7C85EAF5" w14:textId="77777777" w:rsidR="00454A29" w:rsidRDefault="00454A29"/>
        </w:tc>
        <w:tc>
          <w:tcPr>
            <w:tcW w:w="2324" w:type="dxa"/>
            <w:vMerge/>
          </w:tcPr>
          <w:p w14:paraId="3893B7EF" w14:textId="77777777" w:rsidR="00454A29" w:rsidRDefault="00454A29"/>
        </w:tc>
        <w:tc>
          <w:tcPr>
            <w:tcW w:w="1701" w:type="dxa"/>
            <w:vAlign w:val="center"/>
          </w:tcPr>
          <w:p w14:paraId="16041A47" w14:textId="77777777" w:rsidR="00454A29" w:rsidRDefault="00454A29">
            <w:pPr>
              <w:pStyle w:val="ConsPlusNormal"/>
              <w:jc w:val="center"/>
            </w:pPr>
            <w:r>
              <w:t>-</w:t>
            </w:r>
          </w:p>
        </w:tc>
        <w:tc>
          <w:tcPr>
            <w:tcW w:w="1814" w:type="dxa"/>
            <w:vAlign w:val="center"/>
          </w:tcPr>
          <w:p w14:paraId="3670D017" w14:textId="77777777" w:rsidR="00454A29" w:rsidRDefault="00454A29">
            <w:pPr>
              <w:pStyle w:val="ConsPlusNormal"/>
            </w:pPr>
          </w:p>
        </w:tc>
        <w:tc>
          <w:tcPr>
            <w:tcW w:w="1701" w:type="dxa"/>
            <w:vAlign w:val="center"/>
          </w:tcPr>
          <w:p w14:paraId="20EBC1F9" w14:textId="77777777" w:rsidR="00454A29" w:rsidRDefault="00454A29">
            <w:pPr>
              <w:pStyle w:val="ConsPlusNormal"/>
            </w:pPr>
          </w:p>
        </w:tc>
        <w:tc>
          <w:tcPr>
            <w:tcW w:w="1701" w:type="dxa"/>
            <w:vAlign w:val="center"/>
          </w:tcPr>
          <w:p w14:paraId="0F7D291A" w14:textId="77777777" w:rsidR="00454A29" w:rsidRDefault="00454A29">
            <w:pPr>
              <w:pStyle w:val="ConsPlusNormal"/>
            </w:pPr>
          </w:p>
        </w:tc>
        <w:tc>
          <w:tcPr>
            <w:tcW w:w="1814" w:type="dxa"/>
            <w:vAlign w:val="center"/>
          </w:tcPr>
          <w:p w14:paraId="4F9E9466" w14:textId="77777777" w:rsidR="00454A29" w:rsidRDefault="00454A29">
            <w:pPr>
              <w:pStyle w:val="ConsPlusNormal"/>
            </w:pPr>
          </w:p>
        </w:tc>
      </w:tr>
      <w:tr w:rsidR="00454A29" w14:paraId="62D9043F" w14:textId="77777777">
        <w:tc>
          <w:tcPr>
            <w:tcW w:w="567" w:type="dxa"/>
            <w:vMerge/>
          </w:tcPr>
          <w:p w14:paraId="25D4BE5F" w14:textId="77777777" w:rsidR="00454A29" w:rsidRDefault="00454A29"/>
        </w:tc>
        <w:tc>
          <w:tcPr>
            <w:tcW w:w="3345" w:type="dxa"/>
            <w:vMerge/>
          </w:tcPr>
          <w:p w14:paraId="6D980E09" w14:textId="77777777" w:rsidR="00454A29" w:rsidRDefault="00454A29"/>
        </w:tc>
        <w:tc>
          <w:tcPr>
            <w:tcW w:w="1701" w:type="dxa"/>
            <w:vAlign w:val="center"/>
          </w:tcPr>
          <w:p w14:paraId="7D5F7311" w14:textId="77777777" w:rsidR="00454A29" w:rsidRDefault="00454A29">
            <w:pPr>
              <w:pStyle w:val="ConsPlusNormal"/>
              <w:jc w:val="center"/>
            </w:pPr>
            <w:r>
              <w:t>2026</w:t>
            </w:r>
          </w:p>
        </w:tc>
        <w:tc>
          <w:tcPr>
            <w:tcW w:w="1417" w:type="dxa"/>
            <w:vMerge/>
          </w:tcPr>
          <w:p w14:paraId="51CE407F" w14:textId="77777777" w:rsidR="00454A29" w:rsidRDefault="00454A29"/>
        </w:tc>
        <w:tc>
          <w:tcPr>
            <w:tcW w:w="2204" w:type="dxa"/>
            <w:vMerge/>
          </w:tcPr>
          <w:p w14:paraId="708D2293" w14:textId="77777777" w:rsidR="00454A29" w:rsidRDefault="00454A29"/>
        </w:tc>
        <w:tc>
          <w:tcPr>
            <w:tcW w:w="1417" w:type="dxa"/>
            <w:vMerge/>
          </w:tcPr>
          <w:p w14:paraId="71744474" w14:textId="77777777" w:rsidR="00454A29" w:rsidRDefault="00454A29"/>
        </w:tc>
        <w:tc>
          <w:tcPr>
            <w:tcW w:w="2324" w:type="dxa"/>
            <w:vMerge/>
          </w:tcPr>
          <w:p w14:paraId="14731B71" w14:textId="77777777" w:rsidR="00454A29" w:rsidRDefault="00454A29"/>
        </w:tc>
        <w:tc>
          <w:tcPr>
            <w:tcW w:w="1701" w:type="dxa"/>
            <w:vAlign w:val="center"/>
          </w:tcPr>
          <w:p w14:paraId="1EF076EC" w14:textId="77777777" w:rsidR="00454A29" w:rsidRDefault="00454A29">
            <w:pPr>
              <w:pStyle w:val="ConsPlusNormal"/>
              <w:jc w:val="center"/>
            </w:pPr>
            <w:r>
              <w:t>-</w:t>
            </w:r>
          </w:p>
        </w:tc>
        <w:tc>
          <w:tcPr>
            <w:tcW w:w="1814" w:type="dxa"/>
            <w:vAlign w:val="center"/>
          </w:tcPr>
          <w:p w14:paraId="0A0F1068" w14:textId="77777777" w:rsidR="00454A29" w:rsidRDefault="00454A29">
            <w:pPr>
              <w:pStyle w:val="ConsPlusNormal"/>
            </w:pPr>
          </w:p>
        </w:tc>
        <w:tc>
          <w:tcPr>
            <w:tcW w:w="1701" w:type="dxa"/>
            <w:vAlign w:val="center"/>
          </w:tcPr>
          <w:p w14:paraId="7EF522FF" w14:textId="77777777" w:rsidR="00454A29" w:rsidRDefault="00454A29">
            <w:pPr>
              <w:pStyle w:val="ConsPlusNormal"/>
            </w:pPr>
          </w:p>
        </w:tc>
        <w:tc>
          <w:tcPr>
            <w:tcW w:w="1701" w:type="dxa"/>
            <w:vAlign w:val="center"/>
          </w:tcPr>
          <w:p w14:paraId="1D4C79D7" w14:textId="77777777" w:rsidR="00454A29" w:rsidRDefault="00454A29">
            <w:pPr>
              <w:pStyle w:val="ConsPlusNormal"/>
            </w:pPr>
          </w:p>
        </w:tc>
        <w:tc>
          <w:tcPr>
            <w:tcW w:w="1814" w:type="dxa"/>
            <w:vAlign w:val="center"/>
          </w:tcPr>
          <w:p w14:paraId="19EAE17C" w14:textId="77777777" w:rsidR="00454A29" w:rsidRDefault="00454A29">
            <w:pPr>
              <w:pStyle w:val="ConsPlusNormal"/>
            </w:pPr>
          </w:p>
        </w:tc>
      </w:tr>
      <w:tr w:rsidR="00454A29" w14:paraId="34EED3FD" w14:textId="77777777">
        <w:tc>
          <w:tcPr>
            <w:tcW w:w="567" w:type="dxa"/>
            <w:vMerge w:val="restart"/>
            <w:vAlign w:val="center"/>
          </w:tcPr>
          <w:p w14:paraId="3A84D98D" w14:textId="77777777" w:rsidR="00454A29" w:rsidRDefault="00454A29">
            <w:pPr>
              <w:pStyle w:val="ConsPlusNormal"/>
              <w:jc w:val="center"/>
            </w:pPr>
            <w:r>
              <w:t>17</w:t>
            </w:r>
          </w:p>
        </w:tc>
        <w:tc>
          <w:tcPr>
            <w:tcW w:w="3345" w:type="dxa"/>
            <w:vMerge w:val="restart"/>
            <w:vAlign w:val="center"/>
          </w:tcPr>
          <w:p w14:paraId="159AC8F2" w14:textId="77777777" w:rsidR="00454A29" w:rsidRDefault="00454A29">
            <w:pPr>
              <w:pStyle w:val="ConsPlusNormal"/>
              <w:jc w:val="center"/>
            </w:pPr>
            <w:r>
              <w:t>Детский сад на 120 мест в с. Петропавловск Усть-Майского улуса</w:t>
            </w:r>
          </w:p>
        </w:tc>
        <w:tc>
          <w:tcPr>
            <w:tcW w:w="1701" w:type="dxa"/>
            <w:vAlign w:val="center"/>
          </w:tcPr>
          <w:p w14:paraId="6E1BB3C5" w14:textId="77777777" w:rsidR="00454A29" w:rsidRDefault="00454A29">
            <w:pPr>
              <w:pStyle w:val="ConsPlusNormal"/>
              <w:jc w:val="center"/>
            </w:pPr>
            <w:r>
              <w:t>2020 - 2026 годы - всего</w:t>
            </w:r>
          </w:p>
        </w:tc>
        <w:tc>
          <w:tcPr>
            <w:tcW w:w="1417" w:type="dxa"/>
            <w:vMerge w:val="restart"/>
            <w:vAlign w:val="center"/>
          </w:tcPr>
          <w:p w14:paraId="37CC6DD3" w14:textId="77777777" w:rsidR="00454A29" w:rsidRDefault="00454A29">
            <w:pPr>
              <w:pStyle w:val="ConsPlusNormal"/>
              <w:jc w:val="center"/>
            </w:pPr>
            <w:r>
              <w:t>99 288,37</w:t>
            </w:r>
          </w:p>
        </w:tc>
        <w:tc>
          <w:tcPr>
            <w:tcW w:w="2204" w:type="dxa"/>
            <w:vMerge w:val="restart"/>
            <w:vAlign w:val="center"/>
          </w:tcPr>
          <w:p w14:paraId="389E08CD" w14:textId="77777777" w:rsidR="00454A29" w:rsidRDefault="00454A29">
            <w:pPr>
              <w:pStyle w:val="ConsPlusNormal"/>
            </w:pPr>
          </w:p>
        </w:tc>
        <w:tc>
          <w:tcPr>
            <w:tcW w:w="1417" w:type="dxa"/>
            <w:vMerge w:val="restart"/>
            <w:vAlign w:val="center"/>
          </w:tcPr>
          <w:p w14:paraId="21C46F73" w14:textId="77777777" w:rsidR="00454A29" w:rsidRDefault="00454A29">
            <w:pPr>
              <w:pStyle w:val="ConsPlusNormal"/>
              <w:jc w:val="center"/>
            </w:pPr>
            <w:r>
              <w:t>120</w:t>
            </w:r>
          </w:p>
        </w:tc>
        <w:tc>
          <w:tcPr>
            <w:tcW w:w="2324" w:type="dxa"/>
            <w:vMerge w:val="restart"/>
            <w:vAlign w:val="center"/>
          </w:tcPr>
          <w:p w14:paraId="07F4537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333AB8A" w14:textId="77777777" w:rsidR="00454A29" w:rsidRDefault="00454A29">
            <w:pPr>
              <w:pStyle w:val="ConsPlusNormal"/>
              <w:jc w:val="center"/>
            </w:pPr>
            <w:r>
              <w:t>99 288,37</w:t>
            </w:r>
          </w:p>
        </w:tc>
        <w:tc>
          <w:tcPr>
            <w:tcW w:w="1814" w:type="dxa"/>
            <w:vAlign w:val="center"/>
          </w:tcPr>
          <w:p w14:paraId="3048B1C3" w14:textId="77777777" w:rsidR="00454A29" w:rsidRDefault="00454A29">
            <w:pPr>
              <w:pStyle w:val="ConsPlusNormal"/>
              <w:jc w:val="center"/>
            </w:pPr>
            <w:r>
              <w:t>99 288,37</w:t>
            </w:r>
          </w:p>
        </w:tc>
        <w:tc>
          <w:tcPr>
            <w:tcW w:w="1701" w:type="dxa"/>
            <w:vAlign w:val="center"/>
          </w:tcPr>
          <w:p w14:paraId="6FD85D81" w14:textId="77777777" w:rsidR="00454A29" w:rsidRDefault="00454A29">
            <w:pPr>
              <w:pStyle w:val="ConsPlusNormal"/>
              <w:jc w:val="center"/>
            </w:pPr>
            <w:r>
              <w:t>-</w:t>
            </w:r>
          </w:p>
        </w:tc>
        <w:tc>
          <w:tcPr>
            <w:tcW w:w="1701" w:type="dxa"/>
            <w:vAlign w:val="center"/>
          </w:tcPr>
          <w:p w14:paraId="5A880BA2" w14:textId="77777777" w:rsidR="00454A29" w:rsidRDefault="00454A29">
            <w:pPr>
              <w:pStyle w:val="ConsPlusNormal"/>
              <w:jc w:val="center"/>
            </w:pPr>
            <w:r>
              <w:t>-</w:t>
            </w:r>
          </w:p>
        </w:tc>
        <w:tc>
          <w:tcPr>
            <w:tcW w:w="1814" w:type="dxa"/>
            <w:vAlign w:val="center"/>
          </w:tcPr>
          <w:p w14:paraId="303323BD" w14:textId="77777777" w:rsidR="00454A29" w:rsidRDefault="00454A29">
            <w:pPr>
              <w:pStyle w:val="ConsPlusNormal"/>
              <w:jc w:val="center"/>
            </w:pPr>
            <w:r>
              <w:t>-</w:t>
            </w:r>
          </w:p>
        </w:tc>
      </w:tr>
      <w:tr w:rsidR="00454A29" w14:paraId="238FE94B" w14:textId="77777777">
        <w:tc>
          <w:tcPr>
            <w:tcW w:w="567" w:type="dxa"/>
            <w:vMerge/>
          </w:tcPr>
          <w:p w14:paraId="494771F1" w14:textId="77777777" w:rsidR="00454A29" w:rsidRDefault="00454A29"/>
        </w:tc>
        <w:tc>
          <w:tcPr>
            <w:tcW w:w="3345" w:type="dxa"/>
            <w:vMerge/>
          </w:tcPr>
          <w:p w14:paraId="54EB0D01" w14:textId="77777777" w:rsidR="00454A29" w:rsidRDefault="00454A29"/>
        </w:tc>
        <w:tc>
          <w:tcPr>
            <w:tcW w:w="1701" w:type="dxa"/>
            <w:vAlign w:val="center"/>
          </w:tcPr>
          <w:p w14:paraId="585ED320" w14:textId="77777777" w:rsidR="00454A29" w:rsidRDefault="00454A29">
            <w:pPr>
              <w:pStyle w:val="ConsPlusNormal"/>
              <w:jc w:val="center"/>
            </w:pPr>
            <w:r>
              <w:t>2020</w:t>
            </w:r>
          </w:p>
        </w:tc>
        <w:tc>
          <w:tcPr>
            <w:tcW w:w="1417" w:type="dxa"/>
            <w:vMerge/>
          </w:tcPr>
          <w:p w14:paraId="48D664D1" w14:textId="77777777" w:rsidR="00454A29" w:rsidRDefault="00454A29"/>
        </w:tc>
        <w:tc>
          <w:tcPr>
            <w:tcW w:w="2204" w:type="dxa"/>
            <w:vMerge/>
          </w:tcPr>
          <w:p w14:paraId="63E678DF" w14:textId="77777777" w:rsidR="00454A29" w:rsidRDefault="00454A29"/>
        </w:tc>
        <w:tc>
          <w:tcPr>
            <w:tcW w:w="1417" w:type="dxa"/>
            <w:vMerge/>
          </w:tcPr>
          <w:p w14:paraId="1BB7DFC7" w14:textId="77777777" w:rsidR="00454A29" w:rsidRDefault="00454A29"/>
        </w:tc>
        <w:tc>
          <w:tcPr>
            <w:tcW w:w="2324" w:type="dxa"/>
            <w:vMerge/>
          </w:tcPr>
          <w:p w14:paraId="781083D2" w14:textId="77777777" w:rsidR="00454A29" w:rsidRDefault="00454A29"/>
        </w:tc>
        <w:tc>
          <w:tcPr>
            <w:tcW w:w="1701" w:type="dxa"/>
            <w:vAlign w:val="center"/>
          </w:tcPr>
          <w:p w14:paraId="2C9E07C6" w14:textId="77777777" w:rsidR="00454A29" w:rsidRDefault="00454A29">
            <w:pPr>
              <w:pStyle w:val="ConsPlusNormal"/>
              <w:jc w:val="center"/>
            </w:pPr>
            <w:r>
              <w:t>-</w:t>
            </w:r>
          </w:p>
        </w:tc>
        <w:tc>
          <w:tcPr>
            <w:tcW w:w="1814" w:type="dxa"/>
            <w:vAlign w:val="center"/>
          </w:tcPr>
          <w:p w14:paraId="459D13C4" w14:textId="77777777" w:rsidR="00454A29" w:rsidRDefault="00454A29">
            <w:pPr>
              <w:pStyle w:val="ConsPlusNormal"/>
            </w:pPr>
          </w:p>
        </w:tc>
        <w:tc>
          <w:tcPr>
            <w:tcW w:w="1701" w:type="dxa"/>
            <w:vAlign w:val="center"/>
          </w:tcPr>
          <w:p w14:paraId="360C2211" w14:textId="77777777" w:rsidR="00454A29" w:rsidRDefault="00454A29">
            <w:pPr>
              <w:pStyle w:val="ConsPlusNormal"/>
            </w:pPr>
          </w:p>
        </w:tc>
        <w:tc>
          <w:tcPr>
            <w:tcW w:w="1701" w:type="dxa"/>
            <w:vAlign w:val="center"/>
          </w:tcPr>
          <w:p w14:paraId="0A83B42E" w14:textId="77777777" w:rsidR="00454A29" w:rsidRDefault="00454A29">
            <w:pPr>
              <w:pStyle w:val="ConsPlusNormal"/>
            </w:pPr>
          </w:p>
        </w:tc>
        <w:tc>
          <w:tcPr>
            <w:tcW w:w="1814" w:type="dxa"/>
            <w:vAlign w:val="center"/>
          </w:tcPr>
          <w:p w14:paraId="79A3FF8E" w14:textId="77777777" w:rsidR="00454A29" w:rsidRDefault="00454A29">
            <w:pPr>
              <w:pStyle w:val="ConsPlusNormal"/>
            </w:pPr>
          </w:p>
        </w:tc>
      </w:tr>
      <w:tr w:rsidR="00454A29" w14:paraId="244698A5" w14:textId="77777777">
        <w:tc>
          <w:tcPr>
            <w:tcW w:w="567" w:type="dxa"/>
            <w:vMerge/>
          </w:tcPr>
          <w:p w14:paraId="62F59BB7" w14:textId="77777777" w:rsidR="00454A29" w:rsidRDefault="00454A29"/>
        </w:tc>
        <w:tc>
          <w:tcPr>
            <w:tcW w:w="3345" w:type="dxa"/>
            <w:vMerge/>
          </w:tcPr>
          <w:p w14:paraId="0363A189" w14:textId="77777777" w:rsidR="00454A29" w:rsidRDefault="00454A29"/>
        </w:tc>
        <w:tc>
          <w:tcPr>
            <w:tcW w:w="1701" w:type="dxa"/>
            <w:vAlign w:val="center"/>
          </w:tcPr>
          <w:p w14:paraId="2038C762" w14:textId="77777777" w:rsidR="00454A29" w:rsidRDefault="00454A29">
            <w:pPr>
              <w:pStyle w:val="ConsPlusNormal"/>
              <w:jc w:val="center"/>
            </w:pPr>
            <w:r>
              <w:t>2021</w:t>
            </w:r>
          </w:p>
        </w:tc>
        <w:tc>
          <w:tcPr>
            <w:tcW w:w="1417" w:type="dxa"/>
            <w:vMerge/>
          </w:tcPr>
          <w:p w14:paraId="3D45C06F" w14:textId="77777777" w:rsidR="00454A29" w:rsidRDefault="00454A29"/>
        </w:tc>
        <w:tc>
          <w:tcPr>
            <w:tcW w:w="2204" w:type="dxa"/>
            <w:vMerge/>
          </w:tcPr>
          <w:p w14:paraId="37F44741" w14:textId="77777777" w:rsidR="00454A29" w:rsidRDefault="00454A29"/>
        </w:tc>
        <w:tc>
          <w:tcPr>
            <w:tcW w:w="1417" w:type="dxa"/>
            <w:vMerge/>
          </w:tcPr>
          <w:p w14:paraId="315E55CA" w14:textId="77777777" w:rsidR="00454A29" w:rsidRDefault="00454A29"/>
        </w:tc>
        <w:tc>
          <w:tcPr>
            <w:tcW w:w="2324" w:type="dxa"/>
            <w:vMerge/>
          </w:tcPr>
          <w:p w14:paraId="0B0E03AC" w14:textId="77777777" w:rsidR="00454A29" w:rsidRDefault="00454A29"/>
        </w:tc>
        <w:tc>
          <w:tcPr>
            <w:tcW w:w="1701" w:type="dxa"/>
            <w:vAlign w:val="center"/>
          </w:tcPr>
          <w:p w14:paraId="33AF966E" w14:textId="77777777" w:rsidR="00454A29" w:rsidRDefault="00454A29">
            <w:pPr>
              <w:pStyle w:val="ConsPlusNormal"/>
              <w:jc w:val="center"/>
            </w:pPr>
            <w:r>
              <w:t>-</w:t>
            </w:r>
          </w:p>
        </w:tc>
        <w:tc>
          <w:tcPr>
            <w:tcW w:w="1814" w:type="dxa"/>
            <w:vAlign w:val="center"/>
          </w:tcPr>
          <w:p w14:paraId="722AD598" w14:textId="77777777" w:rsidR="00454A29" w:rsidRDefault="00454A29">
            <w:pPr>
              <w:pStyle w:val="ConsPlusNormal"/>
            </w:pPr>
          </w:p>
        </w:tc>
        <w:tc>
          <w:tcPr>
            <w:tcW w:w="1701" w:type="dxa"/>
            <w:vAlign w:val="center"/>
          </w:tcPr>
          <w:p w14:paraId="70512E0A" w14:textId="77777777" w:rsidR="00454A29" w:rsidRDefault="00454A29">
            <w:pPr>
              <w:pStyle w:val="ConsPlusNormal"/>
            </w:pPr>
          </w:p>
        </w:tc>
        <w:tc>
          <w:tcPr>
            <w:tcW w:w="1701" w:type="dxa"/>
            <w:vAlign w:val="center"/>
          </w:tcPr>
          <w:p w14:paraId="75601F5B" w14:textId="77777777" w:rsidR="00454A29" w:rsidRDefault="00454A29">
            <w:pPr>
              <w:pStyle w:val="ConsPlusNormal"/>
            </w:pPr>
          </w:p>
        </w:tc>
        <w:tc>
          <w:tcPr>
            <w:tcW w:w="1814" w:type="dxa"/>
            <w:vAlign w:val="center"/>
          </w:tcPr>
          <w:p w14:paraId="039FCB4A" w14:textId="77777777" w:rsidR="00454A29" w:rsidRDefault="00454A29">
            <w:pPr>
              <w:pStyle w:val="ConsPlusNormal"/>
            </w:pPr>
          </w:p>
        </w:tc>
      </w:tr>
      <w:tr w:rsidR="00454A29" w14:paraId="599FD7D1" w14:textId="77777777">
        <w:tc>
          <w:tcPr>
            <w:tcW w:w="567" w:type="dxa"/>
            <w:vMerge/>
          </w:tcPr>
          <w:p w14:paraId="435AC5B6" w14:textId="77777777" w:rsidR="00454A29" w:rsidRDefault="00454A29"/>
        </w:tc>
        <w:tc>
          <w:tcPr>
            <w:tcW w:w="3345" w:type="dxa"/>
            <w:vMerge/>
          </w:tcPr>
          <w:p w14:paraId="0C5FB3CF" w14:textId="77777777" w:rsidR="00454A29" w:rsidRDefault="00454A29"/>
        </w:tc>
        <w:tc>
          <w:tcPr>
            <w:tcW w:w="1701" w:type="dxa"/>
            <w:vAlign w:val="center"/>
          </w:tcPr>
          <w:p w14:paraId="4E81B3C3" w14:textId="77777777" w:rsidR="00454A29" w:rsidRDefault="00454A29">
            <w:pPr>
              <w:pStyle w:val="ConsPlusNormal"/>
              <w:jc w:val="center"/>
            </w:pPr>
            <w:r>
              <w:t>2022</w:t>
            </w:r>
          </w:p>
        </w:tc>
        <w:tc>
          <w:tcPr>
            <w:tcW w:w="1417" w:type="dxa"/>
            <w:vMerge/>
          </w:tcPr>
          <w:p w14:paraId="60DA1615" w14:textId="77777777" w:rsidR="00454A29" w:rsidRDefault="00454A29"/>
        </w:tc>
        <w:tc>
          <w:tcPr>
            <w:tcW w:w="2204" w:type="dxa"/>
            <w:vMerge/>
          </w:tcPr>
          <w:p w14:paraId="298E0018" w14:textId="77777777" w:rsidR="00454A29" w:rsidRDefault="00454A29"/>
        </w:tc>
        <w:tc>
          <w:tcPr>
            <w:tcW w:w="1417" w:type="dxa"/>
            <w:vMerge/>
          </w:tcPr>
          <w:p w14:paraId="47A651BD" w14:textId="77777777" w:rsidR="00454A29" w:rsidRDefault="00454A29"/>
        </w:tc>
        <w:tc>
          <w:tcPr>
            <w:tcW w:w="2324" w:type="dxa"/>
            <w:vMerge/>
          </w:tcPr>
          <w:p w14:paraId="529AA244" w14:textId="77777777" w:rsidR="00454A29" w:rsidRDefault="00454A29"/>
        </w:tc>
        <w:tc>
          <w:tcPr>
            <w:tcW w:w="1701" w:type="dxa"/>
            <w:vAlign w:val="center"/>
          </w:tcPr>
          <w:p w14:paraId="114FE60B" w14:textId="77777777" w:rsidR="00454A29" w:rsidRDefault="00454A29">
            <w:pPr>
              <w:pStyle w:val="ConsPlusNormal"/>
            </w:pPr>
          </w:p>
        </w:tc>
        <w:tc>
          <w:tcPr>
            <w:tcW w:w="1814" w:type="dxa"/>
            <w:vAlign w:val="center"/>
          </w:tcPr>
          <w:p w14:paraId="4138F795" w14:textId="77777777" w:rsidR="00454A29" w:rsidRDefault="00454A29">
            <w:pPr>
              <w:pStyle w:val="ConsPlusNormal"/>
            </w:pPr>
          </w:p>
        </w:tc>
        <w:tc>
          <w:tcPr>
            <w:tcW w:w="1701" w:type="dxa"/>
            <w:vAlign w:val="center"/>
          </w:tcPr>
          <w:p w14:paraId="417EE2D3" w14:textId="77777777" w:rsidR="00454A29" w:rsidRDefault="00454A29">
            <w:pPr>
              <w:pStyle w:val="ConsPlusNormal"/>
            </w:pPr>
          </w:p>
        </w:tc>
        <w:tc>
          <w:tcPr>
            <w:tcW w:w="1701" w:type="dxa"/>
            <w:vAlign w:val="center"/>
          </w:tcPr>
          <w:p w14:paraId="3BD08E5F" w14:textId="77777777" w:rsidR="00454A29" w:rsidRDefault="00454A29">
            <w:pPr>
              <w:pStyle w:val="ConsPlusNormal"/>
            </w:pPr>
          </w:p>
        </w:tc>
        <w:tc>
          <w:tcPr>
            <w:tcW w:w="1814" w:type="dxa"/>
            <w:vAlign w:val="center"/>
          </w:tcPr>
          <w:p w14:paraId="4AF2A48F" w14:textId="77777777" w:rsidR="00454A29" w:rsidRDefault="00454A29">
            <w:pPr>
              <w:pStyle w:val="ConsPlusNormal"/>
            </w:pPr>
          </w:p>
        </w:tc>
      </w:tr>
      <w:tr w:rsidR="00454A29" w14:paraId="74E373CA" w14:textId="77777777">
        <w:tc>
          <w:tcPr>
            <w:tcW w:w="567" w:type="dxa"/>
            <w:vMerge/>
          </w:tcPr>
          <w:p w14:paraId="64274CE8" w14:textId="77777777" w:rsidR="00454A29" w:rsidRDefault="00454A29"/>
        </w:tc>
        <w:tc>
          <w:tcPr>
            <w:tcW w:w="3345" w:type="dxa"/>
            <w:vMerge/>
          </w:tcPr>
          <w:p w14:paraId="52BE5445" w14:textId="77777777" w:rsidR="00454A29" w:rsidRDefault="00454A29"/>
        </w:tc>
        <w:tc>
          <w:tcPr>
            <w:tcW w:w="1701" w:type="dxa"/>
            <w:vAlign w:val="center"/>
          </w:tcPr>
          <w:p w14:paraId="6AB3BBCC" w14:textId="77777777" w:rsidR="00454A29" w:rsidRDefault="00454A29">
            <w:pPr>
              <w:pStyle w:val="ConsPlusNormal"/>
              <w:jc w:val="center"/>
            </w:pPr>
            <w:r>
              <w:t>2023</w:t>
            </w:r>
          </w:p>
        </w:tc>
        <w:tc>
          <w:tcPr>
            <w:tcW w:w="1417" w:type="dxa"/>
            <w:vMerge/>
          </w:tcPr>
          <w:p w14:paraId="0C386E0F" w14:textId="77777777" w:rsidR="00454A29" w:rsidRDefault="00454A29"/>
        </w:tc>
        <w:tc>
          <w:tcPr>
            <w:tcW w:w="2204" w:type="dxa"/>
            <w:vMerge/>
          </w:tcPr>
          <w:p w14:paraId="6BE2ECF8" w14:textId="77777777" w:rsidR="00454A29" w:rsidRDefault="00454A29"/>
        </w:tc>
        <w:tc>
          <w:tcPr>
            <w:tcW w:w="1417" w:type="dxa"/>
            <w:vMerge/>
          </w:tcPr>
          <w:p w14:paraId="7BA9D6C8" w14:textId="77777777" w:rsidR="00454A29" w:rsidRDefault="00454A29"/>
        </w:tc>
        <w:tc>
          <w:tcPr>
            <w:tcW w:w="2324" w:type="dxa"/>
            <w:vMerge/>
          </w:tcPr>
          <w:p w14:paraId="3DA1BE0D" w14:textId="77777777" w:rsidR="00454A29" w:rsidRDefault="00454A29"/>
        </w:tc>
        <w:tc>
          <w:tcPr>
            <w:tcW w:w="1701" w:type="dxa"/>
            <w:vAlign w:val="center"/>
          </w:tcPr>
          <w:p w14:paraId="0104DB42" w14:textId="77777777" w:rsidR="00454A29" w:rsidRDefault="00454A29">
            <w:pPr>
              <w:pStyle w:val="ConsPlusNormal"/>
              <w:jc w:val="center"/>
            </w:pPr>
            <w:r>
              <w:t>99 288,37</w:t>
            </w:r>
          </w:p>
        </w:tc>
        <w:tc>
          <w:tcPr>
            <w:tcW w:w="1814" w:type="dxa"/>
            <w:vAlign w:val="center"/>
          </w:tcPr>
          <w:p w14:paraId="325C20FC" w14:textId="77777777" w:rsidR="00454A29" w:rsidRDefault="00454A29">
            <w:pPr>
              <w:pStyle w:val="ConsPlusNormal"/>
              <w:jc w:val="center"/>
            </w:pPr>
            <w:r>
              <w:t>99 288,37</w:t>
            </w:r>
          </w:p>
        </w:tc>
        <w:tc>
          <w:tcPr>
            <w:tcW w:w="1701" w:type="dxa"/>
            <w:vAlign w:val="center"/>
          </w:tcPr>
          <w:p w14:paraId="136A2B42" w14:textId="77777777" w:rsidR="00454A29" w:rsidRDefault="00454A29">
            <w:pPr>
              <w:pStyle w:val="ConsPlusNormal"/>
            </w:pPr>
          </w:p>
        </w:tc>
        <w:tc>
          <w:tcPr>
            <w:tcW w:w="1701" w:type="dxa"/>
            <w:vAlign w:val="center"/>
          </w:tcPr>
          <w:p w14:paraId="6B0A3B6F" w14:textId="77777777" w:rsidR="00454A29" w:rsidRDefault="00454A29">
            <w:pPr>
              <w:pStyle w:val="ConsPlusNormal"/>
            </w:pPr>
          </w:p>
        </w:tc>
        <w:tc>
          <w:tcPr>
            <w:tcW w:w="1814" w:type="dxa"/>
            <w:vAlign w:val="center"/>
          </w:tcPr>
          <w:p w14:paraId="0296F937" w14:textId="77777777" w:rsidR="00454A29" w:rsidRDefault="00454A29">
            <w:pPr>
              <w:pStyle w:val="ConsPlusNormal"/>
            </w:pPr>
          </w:p>
        </w:tc>
      </w:tr>
      <w:tr w:rsidR="00454A29" w14:paraId="3C4AF33A" w14:textId="77777777">
        <w:tc>
          <w:tcPr>
            <w:tcW w:w="567" w:type="dxa"/>
            <w:vMerge/>
          </w:tcPr>
          <w:p w14:paraId="54DE1128" w14:textId="77777777" w:rsidR="00454A29" w:rsidRDefault="00454A29"/>
        </w:tc>
        <w:tc>
          <w:tcPr>
            <w:tcW w:w="3345" w:type="dxa"/>
            <w:vMerge/>
          </w:tcPr>
          <w:p w14:paraId="6645175A" w14:textId="77777777" w:rsidR="00454A29" w:rsidRDefault="00454A29"/>
        </w:tc>
        <w:tc>
          <w:tcPr>
            <w:tcW w:w="1701" w:type="dxa"/>
            <w:vAlign w:val="center"/>
          </w:tcPr>
          <w:p w14:paraId="039DC026" w14:textId="77777777" w:rsidR="00454A29" w:rsidRDefault="00454A29">
            <w:pPr>
              <w:pStyle w:val="ConsPlusNormal"/>
              <w:jc w:val="center"/>
            </w:pPr>
            <w:r>
              <w:t>2024</w:t>
            </w:r>
          </w:p>
        </w:tc>
        <w:tc>
          <w:tcPr>
            <w:tcW w:w="1417" w:type="dxa"/>
            <w:vMerge/>
          </w:tcPr>
          <w:p w14:paraId="55E12D39" w14:textId="77777777" w:rsidR="00454A29" w:rsidRDefault="00454A29"/>
        </w:tc>
        <w:tc>
          <w:tcPr>
            <w:tcW w:w="2204" w:type="dxa"/>
            <w:vMerge/>
          </w:tcPr>
          <w:p w14:paraId="3A90BF1F" w14:textId="77777777" w:rsidR="00454A29" w:rsidRDefault="00454A29"/>
        </w:tc>
        <w:tc>
          <w:tcPr>
            <w:tcW w:w="1417" w:type="dxa"/>
            <w:vMerge/>
          </w:tcPr>
          <w:p w14:paraId="5E00D2D0" w14:textId="77777777" w:rsidR="00454A29" w:rsidRDefault="00454A29"/>
        </w:tc>
        <w:tc>
          <w:tcPr>
            <w:tcW w:w="2324" w:type="dxa"/>
            <w:vMerge/>
          </w:tcPr>
          <w:p w14:paraId="60A46B7F" w14:textId="77777777" w:rsidR="00454A29" w:rsidRDefault="00454A29"/>
        </w:tc>
        <w:tc>
          <w:tcPr>
            <w:tcW w:w="1701" w:type="dxa"/>
            <w:vAlign w:val="center"/>
          </w:tcPr>
          <w:p w14:paraId="1EBCE398" w14:textId="77777777" w:rsidR="00454A29" w:rsidRDefault="00454A29">
            <w:pPr>
              <w:pStyle w:val="ConsPlusNormal"/>
              <w:jc w:val="center"/>
            </w:pPr>
            <w:r>
              <w:t>-</w:t>
            </w:r>
          </w:p>
        </w:tc>
        <w:tc>
          <w:tcPr>
            <w:tcW w:w="1814" w:type="dxa"/>
            <w:vAlign w:val="center"/>
          </w:tcPr>
          <w:p w14:paraId="4F740CBE" w14:textId="77777777" w:rsidR="00454A29" w:rsidRDefault="00454A29">
            <w:pPr>
              <w:pStyle w:val="ConsPlusNormal"/>
            </w:pPr>
          </w:p>
        </w:tc>
        <w:tc>
          <w:tcPr>
            <w:tcW w:w="1701" w:type="dxa"/>
            <w:vAlign w:val="center"/>
          </w:tcPr>
          <w:p w14:paraId="3219BCA7" w14:textId="77777777" w:rsidR="00454A29" w:rsidRDefault="00454A29">
            <w:pPr>
              <w:pStyle w:val="ConsPlusNormal"/>
            </w:pPr>
          </w:p>
        </w:tc>
        <w:tc>
          <w:tcPr>
            <w:tcW w:w="1701" w:type="dxa"/>
            <w:vAlign w:val="center"/>
          </w:tcPr>
          <w:p w14:paraId="20670E2A" w14:textId="77777777" w:rsidR="00454A29" w:rsidRDefault="00454A29">
            <w:pPr>
              <w:pStyle w:val="ConsPlusNormal"/>
            </w:pPr>
          </w:p>
        </w:tc>
        <w:tc>
          <w:tcPr>
            <w:tcW w:w="1814" w:type="dxa"/>
            <w:vAlign w:val="center"/>
          </w:tcPr>
          <w:p w14:paraId="2C971D47" w14:textId="77777777" w:rsidR="00454A29" w:rsidRDefault="00454A29">
            <w:pPr>
              <w:pStyle w:val="ConsPlusNormal"/>
            </w:pPr>
          </w:p>
        </w:tc>
      </w:tr>
      <w:tr w:rsidR="00454A29" w14:paraId="4920890F" w14:textId="77777777">
        <w:tc>
          <w:tcPr>
            <w:tcW w:w="567" w:type="dxa"/>
            <w:vMerge/>
          </w:tcPr>
          <w:p w14:paraId="2261C805" w14:textId="77777777" w:rsidR="00454A29" w:rsidRDefault="00454A29"/>
        </w:tc>
        <w:tc>
          <w:tcPr>
            <w:tcW w:w="3345" w:type="dxa"/>
            <w:vMerge/>
          </w:tcPr>
          <w:p w14:paraId="1C433A64" w14:textId="77777777" w:rsidR="00454A29" w:rsidRDefault="00454A29"/>
        </w:tc>
        <w:tc>
          <w:tcPr>
            <w:tcW w:w="1701" w:type="dxa"/>
            <w:vAlign w:val="center"/>
          </w:tcPr>
          <w:p w14:paraId="5A23C83F" w14:textId="77777777" w:rsidR="00454A29" w:rsidRDefault="00454A29">
            <w:pPr>
              <w:pStyle w:val="ConsPlusNormal"/>
              <w:jc w:val="center"/>
            </w:pPr>
            <w:r>
              <w:t>2025</w:t>
            </w:r>
          </w:p>
        </w:tc>
        <w:tc>
          <w:tcPr>
            <w:tcW w:w="1417" w:type="dxa"/>
            <w:vMerge/>
          </w:tcPr>
          <w:p w14:paraId="29C60263" w14:textId="77777777" w:rsidR="00454A29" w:rsidRDefault="00454A29"/>
        </w:tc>
        <w:tc>
          <w:tcPr>
            <w:tcW w:w="2204" w:type="dxa"/>
            <w:vMerge/>
          </w:tcPr>
          <w:p w14:paraId="2C566037" w14:textId="77777777" w:rsidR="00454A29" w:rsidRDefault="00454A29"/>
        </w:tc>
        <w:tc>
          <w:tcPr>
            <w:tcW w:w="1417" w:type="dxa"/>
            <w:vMerge/>
          </w:tcPr>
          <w:p w14:paraId="08B5E611" w14:textId="77777777" w:rsidR="00454A29" w:rsidRDefault="00454A29"/>
        </w:tc>
        <w:tc>
          <w:tcPr>
            <w:tcW w:w="2324" w:type="dxa"/>
            <w:vMerge/>
          </w:tcPr>
          <w:p w14:paraId="4547C39C" w14:textId="77777777" w:rsidR="00454A29" w:rsidRDefault="00454A29"/>
        </w:tc>
        <w:tc>
          <w:tcPr>
            <w:tcW w:w="1701" w:type="dxa"/>
            <w:vAlign w:val="center"/>
          </w:tcPr>
          <w:p w14:paraId="6D2822AB" w14:textId="77777777" w:rsidR="00454A29" w:rsidRDefault="00454A29">
            <w:pPr>
              <w:pStyle w:val="ConsPlusNormal"/>
              <w:jc w:val="center"/>
            </w:pPr>
            <w:r>
              <w:t>-</w:t>
            </w:r>
          </w:p>
        </w:tc>
        <w:tc>
          <w:tcPr>
            <w:tcW w:w="1814" w:type="dxa"/>
            <w:vAlign w:val="center"/>
          </w:tcPr>
          <w:p w14:paraId="37C6E2A6" w14:textId="77777777" w:rsidR="00454A29" w:rsidRDefault="00454A29">
            <w:pPr>
              <w:pStyle w:val="ConsPlusNormal"/>
            </w:pPr>
          </w:p>
        </w:tc>
        <w:tc>
          <w:tcPr>
            <w:tcW w:w="1701" w:type="dxa"/>
            <w:vAlign w:val="center"/>
          </w:tcPr>
          <w:p w14:paraId="63F1BCC4" w14:textId="77777777" w:rsidR="00454A29" w:rsidRDefault="00454A29">
            <w:pPr>
              <w:pStyle w:val="ConsPlusNormal"/>
            </w:pPr>
          </w:p>
        </w:tc>
        <w:tc>
          <w:tcPr>
            <w:tcW w:w="1701" w:type="dxa"/>
            <w:vAlign w:val="center"/>
          </w:tcPr>
          <w:p w14:paraId="4BE38976" w14:textId="77777777" w:rsidR="00454A29" w:rsidRDefault="00454A29">
            <w:pPr>
              <w:pStyle w:val="ConsPlusNormal"/>
            </w:pPr>
          </w:p>
        </w:tc>
        <w:tc>
          <w:tcPr>
            <w:tcW w:w="1814" w:type="dxa"/>
            <w:vAlign w:val="center"/>
          </w:tcPr>
          <w:p w14:paraId="731D6109" w14:textId="77777777" w:rsidR="00454A29" w:rsidRDefault="00454A29">
            <w:pPr>
              <w:pStyle w:val="ConsPlusNormal"/>
            </w:pPr>
          </w:p>
        </w:tc>
      </w:tr>
      <w:tr w:rsidR="00454A29" w14:paraId="6CCA0E02" w14:textId="77777777">
        <w:tc>
          <w:tcPr>
            <w:tcW w:w="567" w:type="dxa"/>
            <w:vMerge/>
          </w:tcPr>
          <w:p w14:paraId="0036E8C8" w14:textId="77777777" w:rsidR="00454A29" w:rsidRDefault="00454A29"/>
        </w:tc>
        <w:tc>
          <w:tcPr>
            <w:tcW w:w="3345" w:type="dxa"/>
            <w:vMerge/>
          </w:tcPr>
          <w:p w14:paraId="558CFC73" w14:textId="77777777" w:rsidR="00454A29" w:rsidRDefault="00454A29"/>
        </w:tc>
        <w:tc>
          <w:tcPr>
            <w:tcW w:w="1701" w:type="dxa"/>
            <w:vAlign w:val="center"/>
          </w:tcPr>
          <w:p w14:paraId="1CBD9FAC" w14:textId="77777777" w:rsidR="00454A29" w:rsidRDefault="00454A29">
            <w:pPr>
              <w:pStyle w:val="ConsPlusNormal"/>
              <w:jc w:val="center"/>
            </w:pPr>
            <w:r>
              <w:t>2026</w:t>
            </w:r>
          </w:p>
        </w:tc>
        <w:tc>
          <w:tcPr>
            <w:tcW w:w="1417" w:type="dxa"/>
            <w:vMerge/>
          </w:tcPr>
          <w:p w14:paraId="31A34DD2" w14:textId="77777777" w:rsidR="00454A29" w:rsidRDefault="00454A29"/>
        </w:tc>
        <w:tc>
          <w:tcPr>
            <w:tcW w:w="2204" w:type="dxa"/>
            <w:vMerge/>
          </w:tcPr>
          <w:p w14:paraId="60ED3DF0" w14:textId="77777777" w:rsidR="00454A29" w:rsidRDefault="00454A29"/>
        </w:tc>
        <w:tc>
          <w:tcPr>
            <w:tcW w:w="1417" w:type="dxa"/>
            <w:vMerge/>
          </w:tcPr>
          <w:p w14:paraId="086E196D" w14:textId="77777777" w:rsidR="00454A29" w:rsidRDefault="00454A29"/>
        </w:tc>
        <w:tc>
          <w:tcPr>
            <w:tcW w:w="2324" w:type="dxa"/>
            <w:vMerge/>
          </w:tcPr>
          <w:p w14:paraId="02D21A08" w14:textId="77777777" w:rsidR="00454A29" w:rsidRDefault="00454A29"/>
        </w:tc>
        <w:tc>
          <w:tcPr>
            <w:tcW w:w="1701" w:type="dxa"/>
            <w:vAlign w:val="center"/>
          </w:tcPr>
          <w:p w14:paraId="513D578F" w14:textId="77777777" w:rsidR="00454A29" w:rsidRDefault="00454A29">
            <w:pPr>
              <w:pStyle w:val="ConsPlusNormal"/>
              <w:jc w:val="center"/>
            </w:pPr>
            <w:r>
              <w:t>-</w:t>
            </w:r>
          </w:p>
        </w:tc>
        <w:tc>
          <w:tcPr>
            <w:tcW w:w="1814" w:type="dxa"/>
            <w:vAlign w:val="center"/>
          </w:tcPr>
          <w:p w14:paraId="3954DAB3" w14:textId="77777777" w:rsidR="00454A29" w:rsidRDefault="00454A29">
            <w:pPr>
              <w:pStyle w:val="ConsPlusNormal"/>
            </w:pPr>
          </w:p>
        </w:tc>
        <w:tc>
          <w:tcPr>
            <w:tcW w:w="1701" w:type="dxa"/>
            <w:vAlign w:val="center"/>
          </w:tcPr>
          <w:p w14:paraId="0756D607" w14:textId="77777777" w:rsidR="00454A29" w:rsidRDefault="00454A29">
            <w:pPr>
              <w:pStyle w:val="ConsPlusNormal"/>
            </w:pPr>
          </w:p>
        </w:tc>
        <w:tc>
          <w:tcPr>
            <w:tcW w:w="1701" w:type="dxa"/>
            <w:vAlign w:val="center"/>
          </w:tcPr>
          <w:p w14:paraId="295D8B95" w14:textId="77777777" w:rsidR="00454A29" w:rsidRDefault="00454A29">
            <w:pPr>
              <w:pStyle w:val="ConsPlusNormal"/>
            </w:pPr>
          </w:p>
        </w:tc>
        <w:tc>
          <w:tcPr>
            <w:tcW w:w="1814" w:type="dxa"/>
            <w:vAlign w:val="center"/>
          </w:tcPr>
          <w:p w14:paraId="04C0A016" w14:textId="77777777" w:rsidR="00454A29" w:rsidRDefault="00454A29">
            <w:pPr>
              <w:pStyle w:val="ConsPlusNormal"/>
            </w:pPr>
          </w:p>
        </w:tc>
      </w:tr>
      <w:tr w:rsidR="00454A29" w14:paraId="55ED08DF" w14:textId="77777777">
        <w:tc>
          <w:tcPr>
            <w:tcW w:w="567" w:type="dxa"/>
            <w:vMerge w:val="restart"/>
            <w:vAlign w:val="center"/>
          </w:tcPr>
          <w:p w14:paraId="1E884E67" w14:textId="77777777" w:rsidR="00454A29" w:rsidRDefault="00454A29">
            <w:pPr>
              <w:pStyle w:val="ConsPlusNormal"/>
              <w:jc w:val="center"/>
            </w:pPr>
            <w:r>
              <w:t>18</w:t>
            </w:r>
          </w:p>
        </w:tc>
        <w:tc>
          <w:tcPr>
            <w:tcW w:w="3345" w:type="dxa"/>
            <w:vMerge w:val="restart"/>
            <w:vAlign w:val="center"/>
          </w:tcPr>
          <w:p w14:paraId="6E3479A4" w14:textId="77777777" w:rsidR="00454A29" w:rsidRDefault="00454A29">
            <w:pPr>
              <w:pStyle w:val="ConsPlusNormal"/>
              <w:jc w:val="center"/>
            </w:pPr>
            <w:r>
              <w:t>Детский сад на 90 мест Кыымчаан с. Улахан-Ан мкр. Чэчир Хангаласского улуса</w:t>
            </w:r>
          </w:p>
        </w:tc>
        <w:tc>
          <w:tcPr>
            <w:tcW w:w="1701" w:type="dxa"/>
            <w:vAlign w:val="center"/>
          </w:tcPr>
          <w:p w14:paraId="6E2B7991" w14:textId="77777777" w:rsidR="00454A29" w:rsidRDefault="00454A29">
            <w:pPr>
              <w:pStyle w:val="ConsPlusNormal"/>
              <w:jc w:val="center"/>
            </w:pPr>
            <w:r>
              <w:t>2020 - 2026 годы - всего</w:t>
            </w:r>
          </w:p>
        </w:tc>
        <w:tc>
          <w:tcPr>
            <w:tcW w:w="1417" w:type="dxa"/>
            <w:vMerge w:val="restart"/>
            <w:vAlign w:val="center"/>
          </w:tcPr>
          <w:p w14:paraId="14E3AC96" w14:textId="77777777" w:rsidR="00454A29" w:rsidRDefault="00454A29">
            <w:pPr>
              <w:pStyle w:val="ConsPlusNormal"/>
              <w:jc w:val="center"/>
            </w:pPr>
            <w:r>
              <w:t>74 995,15</w:t>
            </w:r>
          </w:p>
        </w:tc>
        <w:tc>
          <w:tcPr>
            <w:tcW w:w="2204" w:type="dxa"/>
            <w:vMerge w:val="restart"/>
            <w:vAlign w:val="center"/>
          </w:tcPr>
          <w:p w14:paraId="7D60A22C" w14:textId="77777777" w:rsidR="00454A29" w:rsidRDefault="00454A29">
            <w:pPr>
              <w:pStyle w:val="ConsPlusNormal"/>
            </w:pPr>
          </w:p>
        </w:tc>
        <w:tc>
          <w:tcPr>
            <w:tcW w:w="1417" w:type="dxa"/>
            <w:vMerge w:val="restart"/>
            <w:vAlign w:val="center"/>
          </w:tcPr>
          <w:p w14:paraId="7F3A6E36" w14:textId="77777777" w:rsidR="00454A29" w:rsidRDefault="00454A29">
            <w:pPr>
              <w:pStyle w:val="ConsPlusNormal"/>
              <w:jc w:val="center"/>
            </w:pPr>
            <w:r>
              <w:t>90</w:t>
            </w:r>
          </w:p>
        </w:tc>
        <w:tc>
          <w:tcPr>
            <w:tcW w:w="2324" w:type="dxa"/>
            <w:vMerge w:val="restart"/>
            <w:vAlign w:val="center"/>
          </w:tcPr>
          <w:p w14:paraId="7FA3141C"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E47782D" w14:textId="77777777" w:rsidR="00454A29" w:rsidRDefault="00454A29">
            <w:pPr>
              <w:pStyle w:val="ConsPlusNormal"/>
              <w:jc w:val="center"/>
            </w:pPr>
            <w:r>
              <w:t>74 995,15</w:t>
            </w:r>
          </w:p>
        </w:tc>
        <w:tc>
          <w:tcPr>
            <w:tcW w:w="1814" w:type="dxa"/>
            <w:vAlign w:val="center"/>
          </w:tcPr>
          <w:p w14:paraId="06DA0F86" w14:textId="77777777" w:rsidR="00454A29" w:rsidRDefault="00454A29">
            <w:pPr>
              <w:pStyle w:val="ConsPlusNormal"/>
              <w:jc w:val="center"/>
            </w:pPr>
            <w:r>
              <w:t>74 995,15</w:t>
            </w:r>
          </w:p>
        </w:tc>
        <w:tc>
          <w:tcPr>
            <w:tcW w:w="1701" w:type="dxa"/>
            <w:vAlign w:val="center"/>
          </w:tcPr>
          <w:p w14:paraId="76922B7E" w14:textId="77777777" w:rsidR="00454A29" w:rsidRDefault="00454A29">
            <w:pPr>
              <w:pStyle w:val="ConsPlusNormal"/>
              <w:jc w:val="center"/>
            </w:pPr>
            <w:r>
              <w:t>-</w:t>
            </w:r>
          </w:p>
        </w:tc>
        <w:tc>
          <w:tcPr>
            <w:tcW w:w="1701" w:type="dxa"/>
            <w:vAlign w:val="center"/>
          </w:tcPr>
          <w:p w14:paraId="609B7A3B" w14:textId="77777777" w:rsidR="00454A29" w:rsidRDefault="00454A29">
            <w:pPr>
              <w:pStyle w:val="ConsPlusNormal"/>
              <w:jc w:val="center"/>
            </w:pPr>
            <w:r>
              <w:t>-</w:t>
            </w:r>
          </w:p>
        </w:tc>
        <w:tc>
          <w:tcPr>
            <w:tcW w:w="1814" w:type="dxa"/>
            <w:vAlign w:val="center"/>
          </w:tcPr>
          <w:p w14:paraId="47AD1435" w14:textId="77777777" w:rsidR="00454A29" w:rsidRDefault="00454A29">
            <w:pPr>
              <w:pStyle w:val="ConsPlusNormal"/>
              <w:jc w:val="center"/>
            </w:pPr>
            <w:r>
              <w:t>-</w:t>
            </w:r>
          </w:p>
        </w:tc>
      </w:tr>
      <w:tr w:rsidR="00454A29" w14:paraId="55344EBE" w14:textId="77777777">
        <w:tc>
          <w:tcPr>
            <w:tcW w:w="567" w:type="dxa"/>
            <w:vMerge/>
          </w:tcPr>
          <w:p w14:paraId="017A4821" w14:textId="77777777" w:rsidR="00454A29" w:rsidRDefault="00454A29"/>
        </w:tc>
        <w:tc>
          <w:tcPr>
            <w:tcW w:w="3345" w:type="dxa"/>
            <w:vMerge/>
          </w:tcPr>
          <w:p w14:paraId="4B2DC9CB" w14:textId="77777777" w:rsidR="00454A29" w:rsidRDefault="00454A29"/>
        </w:tc>
        <w:tc>
          <w:tcPr>
            <w:tcW w:w="1701" w:type="dxa"/>
            <w:vAlign w:val="center"/>
          </w:tcPr>
          <w:p w14:paraId="36A3463E" w14:textId="77777777" w:rsidR="00454A29" w:rsidRDefault="00454A29">
            <w:pPr>
              <w:pStyle w:val="ConsPlusNormal"/>
              <w:jc w:val="center"/>
            </w:pPr>
            <w:r>
              <w:t>2020</w:t>
            </w:r>
          </w:p>
        </w:tc>
        <w:tc>
          <w:tcPr>
            <w:tcW w:w="1417" w:type="dxa"/>
            <w:vMerge/>
          </w:tcPr>
          <w:p w14:paraId="30CA8121" w14:textId="77777777" w:rsidR="00454A29" w:rsidRDefault="00454A29"/>
        </w:tc>
        <w:tc>
          <w:tcPr>
            <w:tcW w:w="2204" w:type="dxa"/>
            <w:vMerge/>
          </w:tcPr>
          <w:p w14:paraId="63C8A933" w14:textId="77777777" w:rsidR="00454A29" w:rsidRDefault="00454A29"/>
        </w:tc>
        <w:tc>
          <w:tcPr>
            <w:tcW w:w="1417" w:type="dxa"/>
            <w:vMerge/>
          </w:tcPr>
          <w:p w14:paraId="240FFE0B" w14:textId="77777777" w:rsidR="00454A29" w:rsidRDefault="00454A29"/>
        </w:tc>
        <w:tc>
          <w:tcPr>
            <w:tcW w:w="2324" w:type="dxa"/>
            <w:vMerge/>
          </w:tcPr>
          <w:p w14:paraId="1491B0C9" w14:textId="77777777" w:rsidR="00454A29" w:rsidRDefault="00454A29"/>
        </w:tc>
        <w:tc>
          <w:tcPr>
            <w:tcW w:w="1701" w:type="dxa"/>
            <w:vAlign w:val="center"/>
          </w:tcPr>
          <w:p w14:paraId="3437B8C1" w14:textId="77777777" w:rsidR="00454A29" w:rsidRDefault="00454A29">
            <w:pPr>
              <w:pStyle w:val="ConsPlusNormal"/>
              <w:jc w:val="center"/>
            </w:pPr>
            <w:r>
              <w:t>-</w:t>
            </w:r>
          </w:p>
        </w:tc>
        <w:tc>
          <w:tcPr>
            <w:tcW w:w="1814" w:type="dxa"/>
            <w:vAlign w:val="center"/>
          </w:tcPr>
          <w:p w14:paraId="58B7A49F" w14:textId="77777777" w:rsidR="00454A29" w:rsidRDefault="00454A29">
            <w:pPr>
              <w:pStyle w:val="ConsPlusNormal"/>
            </w:pPr>
          </w:p>
        </w:tc>
        <w:tc>
          <w:tcPr>
            <w:tcW w:w="1701" w:type="dxa"/>
            <w:vAlign w:val="center"/>
          </w:tcPr>
          <w:p w14:paraId="18333FCE" w14:textId="77777777" w:rsidR="00454A29" w:rsidRDefault="00454A29">
            <w:pPr>
              <w:pStyle w:val="ConsPlusNormal"/>
            </w:pPr>
          </w:p>
        </w:tc>
        <w:tc>
          <w:tcPr>
            <w:tcW w:w="1701" w:type="dxa"/>
            <w:vAlign w:val="center"/>
          </w:tcPr>
          <w:p w14:paraId="012385BA" w14:textId="77777777" w:rsidR="00454A29" w:rsidRDefault="00454A29">
            <w:pPr>
              <w:pStyle w:val="ConsPlusNormal"/>
            </w:pPr>
          </w:p>
        </w:tc>
        <w:tc>
          <w:tcPr>
            <w:tcW w:w="1814" w:type="dxa"/>
            <w:vAlign w:val="center"/>
          </w:tcPr>
          <w:p w14:paraId="4ACDD369" w14:textId="77777777" w:rsidR="00454A29" w:rsidRDefault="00454A29">
            <w:pPr>
              <w:pStyle w:val="ConsPlusNormal"/>
            </w:pPr>
          </w:p>
        </w:tc>
      </w:tr>
      <w:tr w:rsidR="00454A29" w14:paraId="31438DBB" w14:textId="77777777">
        <w:tc>
          <w:tcPr>
            <w:tcW w:w="567" w:type="dxa"/>
            <w:vMerge/>
          </w:tcPr>
          <w:p w14:paraId="52BDAE08" w14:textId="77777777" w:rsidR="00454A29" w:rsidRDefault="00454A29"/>
        </w:tc>
        <w:tc>
          <w:tcPr>
            <w:tcW w:w="3345" w:type="dxa"/>
            <w:vMerge/>
          </w:tcPr>
          <w:p w14:paraId="51CA4F08" w14:textId="77777777" w:rsidR="00454A29" w:rsidRDefault="00454A29"/>
        </w:tc>
        <w:tc>
          <w:tcPr>
            <w:tcW w:w="1701" w:type="dxa"/>
            <w:vAlign w:val="center"/>
          </w:tcPr>
          <w:p w14:paraId="5946D5D9" w14:textId="77777777" w:rsidR="00454A29" w:rsidRDefault="00454A29">
            <w:pPr>
              <w:pStyle w:val="ConsPlusNormal"/>
              <w:jc w:val="center"/>
            </w:pPr>
            <w:r>
              <w:t>2021</w:t>
            </w:r>
          </w:p>
        </w:tc>
        <w:tc>
          <w:tcPr>
            <w:tcW w:w="1417" w:type="dxa"/>
            <w:vMerge/>
          </w:tcPr>
          <w:p w14:paraId="0D86CDE9" w14:textId="77777777" w:rsidR="00454A29" w:rsidRDefault="00454A29"/>
        </w:tc>
        <w:tc>
          <w:tcPr>
            <w:tcW w:w="2204" w:type="dxa"/>
            <w:vMerge/>
          </w:tcPr>
          <w:p w14:paraId="07962297" w14:textId="77777777" w:rsidR="00454A29" w:rsidRDefault="00454A29"/>
        </w:tc>
        <w:tc>
          <w:tcPr>
            <w:tcW w:w="1417" w:type="dxa"/>
            <w:vMerge/>
          </w:tcPr>
          <w:p w14:paraId="25B99E26" w14:textId="77777777" w:rsidR="00454A29" w:rsidRDefault="00454A29"/>
        </w:tc>
        <w:tc>
          <w:tcPr>
            <w:tcW w:w="2324" w:type="dxa"/>
            <w:vMerge/>
          </w:tcPr>
          <w:p w14:paraId="5CF4E07C" w14:textId="77777777" w:rsidR="00454A29" w:rsidRDefault="00454A29"/>
        </w:tc>
        <w:tc>
          <w:tcPr>
            <w:tcW w:w="1701" w:type="dxa"/>
            <w:vAlign w:val="center"/>
          </w:tcPr>
          <w:p w14:paraId="3954D63B" w14:textId="77777777" w:rsidR="00454A29" w:rsidRDefault="00454A29">
            <w:pPr>
              <w:pStyle w:val="ConsPlusNormal"/>
              <w:jc w:val="center"/>
            </w:pPr>
            <w:r>
              <w:t>-</w:t>
            </w:r>
          </w:p>
        </w:tc>
        <w:tc>
          <w:tcPr>
            <w:tcW w:w="1814" w:type="dxa"/>
            <w:vAlign w:val="center"/>
          </w:tcPr>
          <w:p w14:paraId="06AB5F77" w14:textId="77777777" w:rsidR="00454A29" w:rsidRDefault="00454A29">
            <w:pPr>
              <w:pStyle w:val="ConsPlusNormal"/>
            </w:pPr>
          </w:p>
        </w:tc>
        <w:tc>
          <w:tcPr>
            <w:tcW w:w="1701" w:type="dxa"/>
            <w:vAlign w:val="center"/>
          </w:tcPr>
          <w:p w14:paraId="777A1D63" w14:textId="77777777" w:rsidR="00454A29" w:rsidRDefault="00454A29">
            <w:pPr>
              <w:pStyle w:val="ConsPlusNormal"/>
            </w:pPr>
          </w:p>
        </w:tc>
        <w:tc>
          <w:tcPr>
            <w:tcW w:w="1701" w:type="dxa"/>
            <w:vAlign w:val="center"/>
          </w:tcPr>
          <w:p w14:paraId="22C651E8" w14:textId="77777777" w:rsidR="00454A29" w:rsidRDefault="00454A29">
            <w:pPr>
              <w:pStyle w:val="ConsPlusNormal"/>
            </w:pPr>
          </w:p>
        </w:tc>
        <w:tc>
          <w:tcPr>
            <w:tcW w:w="1814" w:type="dxa"/>
            <w:vAlign w:val="center"/>
          </w:tcPr>
          <w:p w14:paraId="2D40FD56" w14:textId="77777777" w:rsidR="00454A29" w:rsidRDefault="00454A29">
            <w:pPr>
              <w:pStyle w:val="ConsPlusNormal"/>
            </w:pPr>
          </w:p>
        </w:tc>
      </w:tr>
      <w:tr w:rsidR="00454A29" w14:paraId="6077DCD7" w14:textId="77777777">
        <w:tc>
          <w:tcPr>
            <w:tcW w:w="567" w:type="dxa"/>
            <w:vMerge/>
          </w:tcPr>
          <w:p w14:paraId="07A10F56" w14:textId="77777777" w:rsidR="00454A29" w:rsidRDefault="00454A29"/>
        </w:tc>
        <w:tc>
          <w:tcPr>
            <w:tcW w:w="3345" w:type="dxa"/>
            <w:vMerge/>
          </w:tcPr>
          <w:p w14:paraId="48D605E5" w14:textId="77777777" w:rsidR="00454A29" w:rsidRDefault="00454A29"/>
        </w:tc>
        <w:tc>
          <w:tcPr>
            <w:tcW w:w="1701" w:type="dxa"/>
            <w:vAlign w:val="center"/>
          </w:tcPr>
          <w:p w14:paraId="55AD101C" w14:textId="77777777" w:rsidR="00454A29" w:rsidRDefault="00454A29">
            <w:pPr>
              <w:pStyle w:val="ConsPlusNormal"/>
              <w:jc w:val="center"/>
            </w:pPr>
            <w:r>
              <w:t>2022</w:t>
            </w:r>
          </w:p>
        </w:tc>
        <w:tc>
          <w:tcPr>
            <w:tcW w:w="1417" w:type="dxa"/>
            <w:vMerge/>
          </w:tcPr>
          <w:p w14:paraId="6B4FEDEB" w14:textId="77777777" w:rsidR="00454A29" w:rsidRDefault="00454A29"/>
        </w:tc>
        <w:tc>
          <w:tcPr>
            <w:tcW w:w="2204" w:type="dxa"/>
            <w:vMerge/>
          </w:tcPr>
          <w:p w14:paraId="746731DA" w14:textId="77777777" w:rsidR="00454A29" w:rsidRDefault="00454A29"/>
        </w:tc>
        <w:tc>
          <w:tcPr>
            <w:tcW w:w="1417" w:type="dxa"/>
            <w:vMerge/>
          </w:tcPr>
          <w:p w14:paraId="35F05E2C" w14:textId="77777777" w:rsidR="00454A29" w:rsidRDefault="00454A29"/>
        </w:tc>
        <w:tc>
          <w:tcPr>
            <w:tcW w:w="2324" w:type="dxa"/>
            <w:vMerge/>
          </w:tcPr>
          <w:p w14:paraId="6159A010" w14:textId="77777777" w:rsidR="00454A29" w:rsidRDefault="00454A29"/>
        </w:tc>
        <w:tc>
          <w:tcPr>
            <w:tcW w:w="1701" w:type="dxa"/>
            <w:vAlign w:val="center"/>
          </w:tcPr>
          <w:p w14:paraId="465E7D19" w14:textId="77777777" w:rsidR="00454A29" w:rsidRDefault="00454A29">
            <w:pPr>
              <w:pStyle w:val="ConsPlusNormal"/>
            </w:pPr>
          </w:p>
        </w:tc>
        <w:tc>
          <w:tcPr>
            <w:tcW w:w="1814" w:type="dxa"/>
            <w:vAlign w:val="center"/>
          </w:tcPr>
          <w:p w14:paraId="31F20884" w14:textId="77777777" w:rsidR="00454A29" w:rsidRDefault="00454A29">
            <w:pPr>
              <w:pStyle w:val="ConsPlusNormal"/>
            </w:pPr>
          </w:p>
        </w:tc>
        <w:tc>
          <w:tcPr>
            <w:tcW w:w="1701" w:type="dxa"/>
            <w:vAlign w:val="center"/>
          </w:tcPr>
          <w:p w14:paraId="2D3D8107" w14:textId="77777777" w:rsidR="00454A29" w:rsidRDefault="00454A29">
            <w:pPr>
              <w:pStyle w:val="ConsPlusNormal"/>
            </w:pPr>
          </w:p>
        </w:tc>
        <w:tc>
          <w:tcPr>
            <w:tcW w:w="1701" w:type="dxa"/>
            <w:vAlign w:val="center"/>
          </w:tcPr>
          <w:p w14:paraId="2B8BB18D" w14:textId="77777777" w:rsidR="00454A29" w:rsidRDefault="00454A29">
            <w:pPr>
              <w:pStyle w:val="ConsPlusNormal"/>
            </w:pPr>
          </w:p>
        </w:tc>
        <w:tc>
          <w:tcPr>
            <w:tcW w:w="1814" w:type="dxa"/>
            <w:vAlign w:val="center"/>
          </w:tcPr>
          <w:p w14:paraId="2927370E" w14:textId="77777777" w:rsidR="00454A29" w:rsidRDefault="00454A29">
            <w:pPr>
              <w:pStyle w:val="ConsPlusNormal"/>
            </w:pPr>
          </w:p>
        </w:tc>
      </w:tr>
      <w:tr w:rsidR="00454A29" w14:paraId="5FD42FF3" w14:textId="77777777">
        <w:tc>
          <w:tcPr>
            <w:tcW w:w="567" w:type="dxa"/>
            <w:vMerge/>
          </w:tcPr>
          <w:p w14:paraId="71600C41" w14:textId="77777777" w:rsidR="00454A29" w:rsidRDefault="00454A29"/>
        </w:tc>
        <w:tc>
          <w:tcPr>
            <w:tcW w:w="3345" w:type="dxa"/>
            <w:vMerge/>
          </w:tcPr>
          <w:p w14:paraId="0CC305E3" w14:textId="77777777" w:rsidR="00454A29" w:rsidRDefault="00454A29"/>
        </w:tc>
        <w:tc>
          <w:tcPr>
            <w:tcW w:w="1701" w:type="dxa"/>
            <w:vAlign w:val="center"/>
          </w:tcPr>
          <w:p w14:paraId="30C59B13" w14:textId="77777777" w:rsidR="00454A29" w:rsidRDefault="00454A29">
            <w:pPr>
              <w:pStyle w:val="ConsPlusNormal"/>
              <w:jc w:val="center"/>
            </w:pPr>
            <w:r>
              <w:t>2023</w:t>
            </w:r>
          </w:p>
        </w:tc>
        <w:tc>
          <w:tcPr>
            <w:tcW w:w="1417" w:type="dxa"/>
            <w:vMerge/>
          </w:tcPr>
          <w:p w14:paraId="27DAF7ED" w14:textId="77777777" w:rsidR="00454A29" w:rsidRDefault="00454A29"/>
        </w:tc>
        <w:tc>
          <w:tcPr>
            <w:tcW w:w="2204" w:type="dxa"/>
            <w:vMerge/>
          </w:tcPr>
          <w:p w14:paraId="166618A4" w14:textId="77777777" w:rsidR="00454A29" w:rsidRDefault="00454A29"/>
        </w:tc>
        <w:tc>
          <w:tcPr>
            <w:tcW w:w="1417" w:type="dxa"/>
            <w:vMerge/>
          </w:tcPr>
          <w:p w14:paraId="65CC0160" w14:textId="77777777" w:rsidR="00454A29" w:rsidRDefault="00454A29"/>
        </w:tc>
        <w:tc>
          <w:tcPr>
            <w:tcW w:w="2324" w:type="dxa"/>
            <w:vMerge/>
          </w:tcPr>
          <w:p w14:paraId="5E5DA9BF" w14:textId="77777777" w:rsidR="00454A29" w:rsidRDefault="00454A29"/>
        </w:tc>
        <w:tc>
          <w:tcPr>
            <w:tcW w:w="1701" w:type="dxa"/>
            <w:vAlign w:val="center"/>
          </w:tcPr>
          <w:p w14:paraId="4A45F77A" w14:textId="77777777" w:rsidR="00454A29" w:rsidRDefault="00454A29">
            <w:pPr>
              <w:pStyle w:val="ConsPlusNormal"/>
              <w:jc w:val="center"/>
            </w:pPr>
            <w:r>
              <w:t>74 995,15</w:t>
            </w:r>
          </w:p>
        </w:tc>
        <w:tc>
          <w:tcPr>
            <w:tcW w:w="1814" w:type="dxa"/>
            <w:vAlign w:val="center"/>
          </w:tcPr>
          <w:p w14:paraId="7933DD28" w14:textId="77777777" w:rsidR="00454A29" w:rsidRDefault="00454A29">
            <w:pPr>
              <w:pStyle w:val="ConsPlusNormal"/>
              <w:jc w:val="center"/>
            </w:pPr>
            <w:r>
              <w:t>74 995,15</w:t>
            </w:r>
          </w:p>
        </w:tc>
        <w:tc>
          <w:tcPr>
            <w:tcW w:w="1701" w:type="dxa"/>
            <w:vAlign w:val="center"/>
          </w:tcPr>
          <w:p w14:paraId="55B83F91" w14:textId="77777777" w:rsidR="00454A29" w:rsidRDefault="00454A29">
            <w:pPr>
              <w:pStyle w:val="ConsPlusNormal"/>
            </w:pPr>
          </w:p>
        </w:tc>
        <w:tc>
          <w:tcPr>
            <w:tcW w:w="1701" w:type="dxa"/>
            <w:vAlign w:val="center"/>
          </w:tcPr>
          <w:p w14:paraId="186B7738" w14:textId="77777777" w:rsidR="00454A29" w:rsidRDefault="00454A29">
            <w:pPr>
              <w:pStyle w:val="ConsPlusNormal"/>
            </w:pPr>
          </w:p>
        </w:tc>
        <w:tc>
          <w:tcPr>
            <w:tcW w:w="1814" w:type="dxa"/>
            <w:vAlign w:val="center"/>
          </w:tcPr>
          <w:p w14:paraId="6DC95524" w14:textId="77777777" w:rsidR="00454A29" w:rsidRDefault="00454A29">
            <w:pPr>
              <w:pStyle w:val="ConsPlusNormal"/>
            </w:pPr>
          </w:p>
        </w:tc>
      </w:tr>
      <w:tr w:rsidR="00454A29" w14:paraId="45376E47" w14:textId="77777777">
        <w:tc>
          <w:tcPr>
            <w:tcW w:w="567" w:type="dxa"/>
            <w:vMerge/>
          </w:tcPr>
          <w:p w14:paraId="6A407071" w14:textId="77777777" w:rsidR="00454A29" w:rsidRDefault="00454A29"/>
        </w:tc>
        <w:tc>
          <w:tcPr>
            <w:tcW w:w="3345" w:type="dxa"/>
            <w:vMerge/>
          </w:tcPr>
          <w:p w14:paraId="45267FDC" w14:textId="77777777" w:rsidR="00454A29" w:rsidRDefault="00454A29"/>
        </w:tc>
        <w:tc>
          <w:tcPr>
            <w:tcW w:w="1701" w:type="dxa"/>
            <w:vAlign w:val="center"/>
          </w:tcPr>
          <w:p w14:paraId="7103E878" w14:textId="77777777" w:rsidR="00454A29" w:rsidRDefault="00454A29">
            <w:pPr>
              <w:pStyle w:val="ConsPlusNormal"/>
              <w:jc w:val="center"/>
            </w:pPr>
            <w:r>
              <w:t>2024</w:t>
            </w:r>
          </w:p>
        </w:tc>
        <w:tc>
          <w:tcPr>
            <w:tcW w:w="1417" w:type="dxa"/>
            <w:vMerge/>
          </w:tcPr>
          <w:p w14:paraId="3DFA43B9" w14:textId="77777777" w:rsidR="00454A29" w:rsidRDefault="00454A29"/>
        </w:tc>
        <w:tc>
          <w:tcPr>
            <w:tcW w:w="2204" w:type="dxa"/>
            <w:vMerge/>
          </w:tcPr>
          <w:p w14:paraId="4504DB0F" w14:textId="77777777" w:rsidR="00454A29" w:rsidRDefault="00454A29"/>
        </w:tc>
        <w:tc>
          <w:tcPr>
            <w:tcW w:w="1417" w:type="dxa"/>
            <w:vMerge/>
          </w:tcPr>
          <w:p w14:paraId="6654B9E5" w14:textId="77777777" w:rsidR="00454A29" w:rsidRDefault="00454A29"/>
        </w:tc>
        <w:tc>
          <w:tcPr>
            <w:tcW w:w="2324" w:type="dxa"/>
            <w:vMerge/>
          </w:tcPr>
          <w:p w14:paraId="5B6C7229" w14:textId="77777777" w:rsidR="00454A29" w:rsidRDefault="00454A29"/>
        </w:tc>
        <w:tc>
          <w:tcPr>
            <w:tcW w:w="1701" w:type="dxa"/>
            <w:vAlign w:val="center"/>
          </w:tcPr>
          <w:p w14:paraId="6A648547" w14:textId="77777777" w:rsidR="00454A29" w:rsidRDefault="00454A29">
            <w:pPr>
              <w:pStyle w:val="ConsPlusNormal"/>
              <w:jc w:val="center"/>
            </w:pPr>
            <w:r>
              <w:t>-</w:t>
            </w:r>
          </w:p>
        </w:tc>
        <w:tc>
          <w:tcPr>
            <w:tcW w:w="1814" w:type="dxa"/>
            <w:vAlign w:val="center"/>
          </w:tcPr>
          <w:p w14:paraId="2D59F4B2" w14:textId="77777777" w:rsidR="00454A29" w:rsidRDefault="00454A29">
            <w:pPr>
              <w:pStyle w:val="ConsPlusNormal"/>
            </w:pPr>
          </w:p>
        </w:tc>
        <w:tc>
          <w:tcPr>
            <w:tcW w:w="1701" w:type="dxa"/>
            <w:vAlign w:val="center"/>
          </w:tcPr>
          <w:p w14:paraId="6F0D2CD3" w14:textId="77777777" w:rsidR="00454A29" w:rsidRDefault="00454A29">
            <w:pPr>
              <w:pStyle w:val="ConsPlusNormal"/>
            </w:pPr>
          </w:p>
        </w:tc>
        <w:tc>
          <w:tcPr>
            <w:tcW w:w="1701" w:type="dxa"/>
            <w:vAlign w:val="center"/>
          </w:tcPr>
          <w:p w14:paraId="677D8486" w14:textId="77777777" w:rsidR="00454A29" w:rsidRDefault="00454A29">
            <w:pPr>
              <w:pStyle w:val="ConsPlusNormal"/>
            </w:pPr>
          </w:p>
        </w:tc>
        <w:tc>
          <w:tcPr>
            <w:tcW w:w="1814" w:type="dxa"/>
            <w:vAlign w:val="center"/>
          </w:tcPr>
          <w:p w14:paraId="5551FBD8" w14:textId="77777777" w:rsidR="00454A29" w:rsidRDefault="00454A29">
            <w:pPr>
              <w:pStyle w:val="ConsPlusNormal"/>
            </w:pPr>
          </w:p>
        </w:tc>
      </w:tr>
      <w:tr w:rsidR="00454A29" w14:paraId="59DF22D5" w14:textId="77777777">
        <w:tc>
          <w:tcPr>
            <w:tcW w:w="567" w:type="dxa"/>
            <w:vMerge/>
          </w:tcPr>
          <w:p w14:paraId="7A8E6757" w14:textId="77777777" w:rsidR="00454A29" w:rsidRDefault="00454A29"/>
        </w:tc>
        <w:tc>
          <w:tcPr>
            <w:tcW w:w="3345" w:type="dxa"/>
            <w:vMerge/>
          </w:tcPr>
          <w:p w14:paraId="441F74BC" w14:textId="77777777" w:rsidR="00454A29" w:rsidRDefault="00454A29"/>
        </w:tc>
        <w:tc>
          <w:tcPr>
            <w:tcW w:w="1701" w:type="dxa"/>
            <w:vAlign w:val="center"/>
          </w:tcPr>
          <w:p w14:paraId="05CE1B27" w14:textId="77777777" w:rsidR="00454A29" w:rsidRDefault="00454A29">
            <w:pPr>
              <w:pStyle w:val="ConsPlusNormal"/>
              <w:jc w:val="center"/>
            </w:pPr>
            <w:r>
              <w:t>2025</w:t>
            </w:r>
          </w:p>
        </w:tc>
        <w:tc>
          <w:tcPr>
            <w:tcW w:w="1417" w:type="dxa"/>
            <w:vMerge/>
          </w:tcPr>
          <w:p w14:paraId="4EF46C40" w14:textId="77777777" w:rsidR="00454A29" w:rsidRDefault="00454A29"/>
        </w:tc>
        <w:tc>
          <w:tcPr>
            <w:tcW w:w="2204" w:type="dxa"/>
            <w:vMerge/>
          </w:tcPr>
          <w:p w14:paraId="11E9BF3A" w14:textId="77777777" w:rsidR="00454A29" w:rsidRDefault="00454A29"/>
        </w:tc>
        <w:tc>
          <w:tcPr>
            <w:tcW w:w="1417" w:type="dxa"/>
            <w:vMerge/>
          </w:tcPr>
          <w:p w14:paraId="4F59BDBB" w14:textId="77777777" w:rsidR="00454A29" w:rsidRDefault="00454A29"/>
        </w:tc>
        <w:tc>
          <w:tcPr>
            <w:tcW w:w="2324" w:type="dxa"/>
            <w:vMerge/>
          </w:tcPr>
          <w:p w14:paraId="40D08879" w14:textId="77777777" w:rsidR="00454A29" w:rsidRDefault="00454A29"/>
        </w:tc>
        <w:tc>
          <w:tcPr>
            <w:tcW w:w="1701" w:type="dxa"/>
            <w:vAlign w:val="center"/>
          </w:tcPr>
          <w:p w14:paraId="1B10661F" w14:textId="77777777" w:rsidR="00454A29" w:rsidRDefault="00454A29">
            <w:pPr>
              <w:pStyle w:val="ConsPlusNormal"/>
              <w:jc w:val="center"/>
            </w:pPr>
            <w:r>
              <w:t>-</w:t>
            </w:r>
          </w:p>
        </w:tc>
        <w:tc>
          <w:tcPr>
            <w:tcW w:w="1814" w:type="dxa"/>
            <w:vAlign w:val="center"/>
          </w:tcPr>
          <w:p w14:paraId="5F2A76C5" w14:textId="77777777" w:rsidR="00454A29" w:rsidRDefault="00454A29">
            <w:pPr>
              <w:pStyle w:val="ConsPlusNormal"/>
            </w:pPr>
          </w:p>
        </w:tc>
        <w:tc>
          <w:tcPr>
            <w:tcW w:w="1701" w:type="dxa"/>
            <w:vAlign w:val="center"/>
          </w:tcPr>
          <w:p w14:paraId="7B1B56A7" w14:textId="77777777" w:rsidR="00454A29" w:rsidRDefault="00454A29">
            <w:pPr>
              <w:pStyle w:val="ConsPlusNormal"/>
            </w:pPr>
          </w:p>
        </w:tc>
        <w:tc>
          <w:tcPr>
            <w:tcW w:w="1701" w:type="dxa"/>
            <w:vAlign w:val="center"/>
          </w:tcPr>
          <w:p w14:paraId="62D844DE" w14:textId="77777777" w:rsidR="00454A29" w:rsidRDefault="00454A29">
            <w:pPr>
              <w:pStyle w:val="ConsPlusNormal"/>
            </w:pPr>
          </w:p>
        </w:tc>
        <w:tc>
          <w:tcPr>
            <w:tcW w:w="1814" w:type="dxa"/>
            <w:vAlign w:val="center"/>
          </w:tcPr>
          <w:p w14:paraId="1DD6F0C3" w14:textId="77777777" w:rsidR="00454A29" w:rsidRDefault="00454A29">
            <w:pPr>
              <w:pStyle w:val="ConsPlusNormal"/>
            </w:pPr>
          </w:p>
        </w:tc>
      </w:tr>
      <w:tr w:rsidR="00454A29" w14:paraId="29C40A27" w14:textId="77777777">
        <w:tc>
          <w:tcPr>
            <w:tcW w:w="567" w:type="dxa"/>
            <w:vMerge/>
          </w:tcPr>
          <w:p w14:paraId="604835D8" w14:textId="77777777" w:rsidR="00454A29" w:rsidRDefault="00454A29"/>
        </w:tc>
        <w:tc>
          <w:tcPr>
            <w:tcW w:w="3345" w:type="dxa"/>
            <w:vMerge/>
          </w:tcPr>
          <w:p w14:paraId="4D4691F5" w14:textId="77777777" w:rsidR="00454A29" w:rsidRDefault="00454A29"/>
        </w:tc>
        <w:tc>
          <w:tcPr>
            <w:tcW w:w="1701" w:type="dxa"/>
            <w:vAlign w:val="center"/>
          </w:tcPr>
          <w:p w14:paraId="275A52D3" w14:textId="77777777" w:rsidR="00454A29" w:rsidRDefault="00454A29">
            <w:pPr>
              <w:pStyle w:val="ConsPlusNormal"/>
              <w:jc w:val="center"/>
            </w:pPr>
            <w:r>
              <w:t>2026</w:t>
            </w:r>
          </w:p>
        </w:tc>
        <w:tc>
          <w:tcPr>
            <w:tcW w:w="1417" w:type="dxa"/>
            <w:vMerge/>
          </w:tcPr>
          <w:p w14:paraId="4F2834EE" w14:textId="77777777" w:rsidR="00454A29" w:rsidRDefault="00454A29"/>
        </w:tc>
        <w:tc>
          <w:tcPr>
            <w:tcW w:w="2204" w:type="dxa"/>
            <w:vMerge/>
          </w:tcPr>
          <w:p w14:paraId="548364DA" w14:textId="77777777" w:rsidR="00454A29" w:rsidRDefault="00454A29"/>
        </w:tc>
        <w:tc>
          <w:tcPr>
            <w:tcW w:w="1417" w:type="dxa"/>
            <w:vMerge/>
          </w:tcPr>
          <w:p w14:paraId="4FC0E998" w14:textId="77777777" w:rsidR="00454A29" w:rsidRDefault="00454A29"/>
        </w:tc>
        <w:tc>
          <w:tcPr>
            <w:tcW w:w="2324" w:type="dxa"/>
            <w:vMerge/>
          </w:tcPr>
          <w:p w14:paraId="36CE435C" w14:textId="77777777" w:rsidR="00454A29" w:rsidRDefault="00454A29"/>
        </w:tc>
        <w:tc>
          <w:tcPr>
            <w:tcW w:w="1701" w:type="dxa"/>
            <w:vAlign w:val="center"/>
          </w:tcPr>
          <w:p w14:paraId="21FB03C7" w14:textId="77777777" w:rsidR="00454A29" w:rsidRDefault="00454A29">
            <w:pPr>
              <w:pStyle w:val="ConsPlusNormal"/>
              <w:jc w:val="center"/>
            </w:pPr>
            <w:r>
              <w:t>-</w:t>
            </w:r>
          </w:p>
        </w:tc>
        <w:tc>
          <w:tcPr>
            <w:tcW w:w="1814" w:type="dxa"/>
            <w:vAlign w:val="center"/>
          </w:tcPr>
          <w:p w14:paraId="35CCBD97" w14:textId="77777777" w:rsidR="00454A29" w:rsidRDefault="00454A29">
            <w:pPr>
              <w:pStyle w:val="ConsPlusNormal"/>
            </w:pPr>
          </w:p>
        </w:tc>
        <w:tc>
          <w:tcPr>
            <w:tcW w:w="1701" w:type="dxa"/>
            <w:vAlign w:val="center"/>
          </w:tcPr>
          <w:p w14:paraId="0A920A99" w14:textId="77777777" w:rsidR="00454A29" w:rsidRDefault="00454A29">
            <w:pPr>
              <w:pStyle w:val="ConsPlusNormal"/>
            </w:pPr>
          </w:p>
        </w:tc>
        <w:tc>
          <w:tcPr>
            <w:tcW w:w="1701" w:type="dxa"/>
            <w:vAlign w:val="center"/>
          </w:tcPr>
          <w:p w14:paraId="1FAD40AA" w14:textId="77777777" w:rsidR="00454A29" w:rsidRDefault="00454A29">
            <w:pPr>
              <w:pStyle w:val="ConsPlusNormal"/>
            </w:pPr>
          </w:p>
        </w:tc>
        <w:tc>
          <w:tcPr>
            <w:tcW w:w="1814" w:type="dxa"/>
            <w:vAlign w:val="center"/>
          </w:tcPr>
          <w:p w14:paraId="54966C42" w14:textId="77777777" w:rsidR="00454A29" w:rsidRDefault="00454A29">
            <w:pPr>
              <w:pStyle w:val="ConsPlusNormal"/>
            </w:pPr>
          </w:p>
        </w:tc>
      </w:tr>
      <w:tr w:rsidR="00454A29" w14:paraId="07E47CE5" w14:textId="77777777">
        <w:tc>
          <w:tcPr>
            <w:tcW w:w="567" w:type="dxa"/>
            <w:vMerge w:val="restart"/>
            <w:vAlign w:val="center"/>
          </w:tcPr>
          <w:p w14:paraId="60C63C67" w14:textId="77777777" w:rsidR="00454A29" w:rsidRDefault="00454A29">
            <w:pPr>
              <w:pStyle w:val="ConsPlusNormal"/>
              <w:jc w:val="center"/>
            </w:pPr>
            <w:r>
              <w:t>19</w:t>
            </w:r>
          </w:p>
        </w:tc>
        <w:tc>
          <w:tcPr>
            <w:tcW w:w="3345" w:type="dxa"/>
            <w:vMerge w:val="restart"/>
            <w:vAlign w:val="center"/>
          </w:tcPr>
          <w:p w14:paraId="30082B23" w14:textId="77777777" w:rsidR="00454A29" w:rsidRDefault="00454A29">
            <w:pPr>
              <w:pStyle w:val="ConsPlusNormal"/>
              <w:jc w:val="center"/>
            </w:pPr>
            <w:r>
              <w:t>Детский сад на 98 мест в с. Кюсюр Булунского улуса</w:t>
            </w:r>
          </w:p>
        </w:tc>
        <w:tc>
          <w:tcPr>
            <w:tcW w:w="1701" w:type="dxa"/>
            <w:vAlign w:val="center"/>
          </w:tcPr>
          <w:p w14:paraId="446BB0E3" w14:textId="77777777" w:rsidR="00454A29" w:rsidRDefault="00454A29">
            <w:pPr>
              <w:pStyle w:val="ConsPlusNormal"/>
              <w:jc w:val="center"/>
            </w:pPr>
            <w:r>
              <w:t>2020 - 2026 годы - всего</w:t>
            </w:r>
          </w:p>
        </w:tc>
        <w:tc>
          <w:tcPr>
            <w:tcW w:w="1417" w:type="dxa"/>
            <w:vMerge w:val="restart"/>
            <w:vAlign w:val="center"/>
          </w:tcPr>
          <w:p w14:paraId="726DBFC4" w14:textId="77777777" w:rsidR="00454A29" w:rsidRDefault="00454A29">
            <w:pPr>
              <w:pStyle w:val="ConsPlusNormal"/>
              <w:jc w:val="center"/>
            </w:pPr>
            <w:r>
              <w:t>95 721,48</w:t>
            </w:r>
          </w:p>
        </w:tc>
        <w:tc>
          <w:tcPr>
            <w:tcW w:w="2204" w:type="dxa"/>
            <w:vMerge w:val="restart"/>
            <w:vAlign w:val="center"/>
          </w:tcPr>
          <w:p w14:paraId="7762B118" w14:textId="77777777" w:rsidR="00454A29" w:rsidRDefault="00454A29">
            <w:pPr>
              <w:pStyle w:val="ConsPlusNormal"/>
              <w:jc w:val="center"/>
            </w:pPr>
            <w:r>
              <w:t>имеется</w:t>
            </w:r>
          </w:p>
        </w:tc>
        <w:tc>
          <w:tcPr>
            <w:tcW w:w="1417" w:type="dxa"/>
            <w:vMerge w:val="restart"/>
            <w:vAlign w:val="center"/>
          </w:tcPr>
          <w:p w14:paraId="2030DF54" w14:textId="77777777" w:rsidR="00454A29" w:rsidRDefault="00454A29">
            <w:pPr>
              <w:pStyle w:val="ConsPlusNormal"/>
              <w:jc w:val="center"/>
            </w:pPr>
            <w:r>
              <w:t>98</w:t>
            </w:r>
          </w:p>
        </w:tc>
        <w:tc>
          <w:tcPr>
            <w:tcW w:w="2324" w:type="dxa"/>
            <w:vMerge w:val="restart"/>
            <w:vAlign w:val="center"/>
          </w:tcPr>
          <w:p w14:paraId="0DF46BD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4DAC8A9" w14:textId="77777777" w:rsidR="00454A29" w:rsidRDefault="00454A29">
            <w:pPr>
              <w:pStyle w:val="ConsPlusNormal"/>
              <w:jc w:val="center"/>
            </w:pPr>
            <w:r>
              <w:t>95 721,48</w:t>
            </w:r>
          </w:p>
        </w:tc>
        <w:tc>
          <w:tcPr>
            <w:tcW w:w="1814" w:type="dxa"/>
            <w:vAlign w:val="center"/>
          </w:tcPr>
          <w:p w14:paraId="0850F143" w14:textId="77777777" w:rsidR="00454A29" w:rsidRDefault="00454A29">
            <w:pPr>
              <w:pStyle w:val="ConsPlusNormal"/>
              <w:jc w:val="center"/>
            </w:pPr>
            <w:r>
              <w:t>164 328,73</w:t>
            </w:r>
          </w:p>
        </w:tc>
        <w:tc>
          <w:tcPr>
            <w:tcW w:w="1701" w:type="dxa"/>
            <w:vAlign w:val="center"/>
          </w:tcPr>
          <w:p w14:paraId="2444402E" w14:textId="77777777" w:rsidR="00454A29" w:rsidRDefault="00454A29">
            <w:pPr>
              <w:pStyle w:val="ConsPlusNormal"/>
              <w:jc w:val="center"/>
            </w:pPr>
            <w:r>
              <w:t>-</w:t>
            </w:r>
          </w:p>
        </w:tc>
        <w:tc>
          <w:tcPr>
            <w:tcW w:w="1701" w:type="dxa"/>
            <w:vAlign w:val="center"/>
          </w:tcPr>
          <w:p w14:paraId="695ED7F6" w14:textId="77777777" w:rsidR="00454A29" w:rsidRDefault="00454A29">
            <w:pPr>
              <w:pStyle w:val="ConsPlusNormal"/>
              <w:jc w:val="center"/>
            </w:pPr>
            <w:r>
              <w:t>-</w:t>
            </w:r>
          </w:p>
        </w:tc>
        <w:tc>
          <w:tcPr>
            <w:tcW w:w="1814" w:type="dxa"/>
            <w:vAlign w:val="center"/>
          </w:tcPr>
          <w:p w14:paraId="768FDB7F" w14:textId="77777777" w:rsidR="00454A29" w:rsidRDefault="00454A29">
            <w:pPr>
              <w:pStyle w:val="ConsPlusNormal"/>
              <w:jc w:val="center"/>
            </w:pPr>
            <w:r>
              <w:t>-</w:t>
            </w:r>
          </w:p>
        </w:tc>
      </w:tr>
      <w:tr w:rsidR="00454A29" w14:paraId="346C7356" w14:textId="77777777">
        <w:tc>
          <w:tcPr>
            <w:tcW w:w="567" w:type="dxa"/>
            <w:vMerge/>
          </w:tcPr>
          <w:p w14:paraId="63980414" w14:textId="77777777" w:rsidR="00454A29" w:rsidRDefault="00454A29"/>
        </w:tc>
        <w:tc>
          <w:tcPr>
            <w:tcW w:w="3345" w:type="dxa"/>
            <w:vMerge/>
          </w:tcPr>
          <w:p w14:paraId="59E15785" w14:textId="77777777" w:rsidR="00454A29" w:rsidRDefault="00454A29"/>
        </w:tc>
        <w:tc>
          <w:tcPr>
            <w:tcW w:w="1701" w:type="dxa"/>
            <w:vAlign w:val="center"/>
          </w:tcPr>
          <w:p w14:paraId="34E76481" w14:textId="77777777" w:rsidR="00454A29" w:rsidRDefault="00454A29">
            <w:pPr>
              <w:pStyle w:val="ConsPlusNormal"/>
              <w:jc w:val="center"/>
            </w:pPr>
            <w:r>
              <w:t>2020</w:t>
            </w:r>
          </w:p>
        </w:tc>
        <w:tc>
          <w:tcPr>
            <w:tcW w:w="1417" w:type="dxa"/>
            <w:vMerge/>
          </w:tcPr>
          <w:p w14:paraId="2C0784E0" w14:textId="77777777" w:rsidR="00454A29" w:rsidRDefault="00454A29"/>
        </w:tc>
        <w:tc>
          <w:tcPr>
            <w:tcW w:w="2204" w:type="dxa"/>
            <w:vMerge/>
          </w:tcPr>
          <w:p w14:paraId="37816150" w14:textId="77777777" w:rsidR="00454A29" w:rsidRDefault="00454A29"/>
        </w:tc>
        <w:tc>
          <w:tcPr>
            <w:tcW w:w="1417" w:type="dxa"/>
            <w:vMerge/>
          </w:tcPr>
          <w:p w14:paraId="797F0F07" w14:textId="77777777" w:rsidR="00454A29" w:rsidRDefault="00454A29"/>
        </w:tc>
        <w:tc>
          <w:tcPr>
            <w:tcW w:w="2324" w:type="dxa"/>
            <w:vMerge/>
          </w:tcPr>
          <w:p w14:paraId="1A707F00" w14:textId="77777777" w:rsidR="00454A29" w:rsidRDefault="00454A29"/>
        </w:tc>
        <w:tc>
          <w:tcPr>
            <w:tcW w:w="1701" w:type="dxa"/>
            <w:vAlign w:val="center"/>
          </w:tcPr>
          <w:p w14:paraId="68C4D56D" w14:textId="77777777" w:rsidR="00454A29" w:rsidRDefault="00454A29">
            <w:pPr>
              <w:pStyle w:val="ConsPlusNormal"/>
              <w:jc w:val="center"/>
            </w:pPr>
            <w:r>
              <w:t>-</w:t>
            </w:r>
          </w:p>
        </w:tc>
        <w:tc>
          <w:tcPr>
            <w:tcW w:w="1814" w:type="dxa"/>
            <w:vAlign w:val="center"/>
          </w:tcPr>
          <w:p w14:paraId="623C99CD" w14:textId="77777777" w:rsidR="00454A29" w:rsidRDefault="00454A29">
            <w:pPr>
              <w:pStyle w:val="ConsPlusNormal"/>
            </w:pPr>
          </w:p>
        </w:tc>
        <w:tc>
          <w:tcPr>
            <w:tcW w:w="1701" w:type="dxa"/>
            <w:vAlign w:val="center"/>
          </w:tcPr>
          <w:p w14:paraId="49E53A31" w14:textId="77777777" w:rsidR="00454A29" w:rsidRDefault="00454A29">
            <w:pPr>
              <w:pStyle w:val="ConsPlusNormal"/>
            </w:pPr>
          </w:p>
        </w:tc>
        <w:tc>
          <w:tcPr>
            <w:tcW w:w="1701" w:type="dxa"/>
            <w:vAlign w:val="center"/>
          </w:tcPr>
          <w:p w14:paraId="79F65924" w14:textId="77777777" w:rsidR="00454A29" w:rsidRDefault="00454A29">
            <w:pPr>
              <w:pStyle w:val="ConsPlusNormal"/>
            </w:pPr>
          </w:p>
        </w:tc>
        <w:tc>
          <w:tcPr>
            <w:tcW w:w="1814" w:type="dxa"/>
            <w:vAlign w:val="center"/>
          </w:tcPr>
          <w:p w14:paraId="7AC6B721" w14:textId="77777777" w:rsidR="00454A29" w:rsidRDefault="00454A29">
            <w:pPr>
              <w:pStyle w:val="ConsPlusNormal"/>
            </w:pPr>
          </w:p>
        </w:tc>
      </w:tr>
      <w:tr w:rsidR="00454A29" w14:paraId="629E4B7F" w14:textId="77777777">
        <w:tc>
          <w:tcPr>
            <w:tcW w:w="567" w:type="dxa"/>
            <w:vMerge/>
          </w:tcPr>
          <w:p w14:paraId="3F9177F1" w14:textId="77777777" w:rsidR="00454A29" w:rsidRDefault="00454A29"/>
        </w:tc>
        <w:tc>
          <w:tcPr>
            <w:tcW w:w="3345" w:type="dxa"/>
            <w:vMerge/>
          </w:tcPr>
          <w:p w14:paraId="4AB34040" w14:textId="77777777" w:rsidR="00454A29" w:rsidRDefault="00454A29"/>
        </w:tc>
        <w:tc>
          <w:tcPr>
            <w:tcW w:w="1701" w:type="dxa"/>
            <w:vAlign w:val="center"/>
          </w:tcPr>
          <w:p w14:paraId="59B4C013" w14:textId="77777777" w:rsidR="00454A29" w:rsidRDefault="00454A29">
            <w:pPr>
              <w:pStyle w:val="ConsPlusNormal"/>
              <w:jc w:val="center"/>
            </w:pPr>
            <w:r>
              <w:t>2021</w:t>
            </w:r>
          </w:p>
        </w:tc>
        <w:tc>
          <w:tcPr>
            <w:tcW w:w="1417" w:type="dxa"/>
            <w:vMerge/>
          </w:tcPr>
          <w:p w14:paraId="0639772A" w14:textId="77777777" w:rsidR="00454A29" w:rsidRDefault="00454A29"/>
        </w:tc>
        <w:tc>
          <w:tcPr>
            <w:tcW w:w="2204" w:type="dxa"/>
            <w:vMerge/>
          </w:tcPr>
          <w:p w14:paraId="659D4D10" w14:textId="77777777" w:rsidR="00454A29" w:rsidRDefault="00454A29"/>
        </w:tc>
        <w:tc>
          <w:tcPr>
            <w:tcW w:w="1417" w:type="dxa"/>
            <w:vMerge/>
          </w:tcPr>
          <w:p w14:paraId="5EA2519A" w14:textId="77777777" w:rsidR="00454A29" w:rsidRDefault="00454A29"/>
        </w:tc>
        <w:tc>
          <w:tcPr>
            <w:tcW w:w="2324" w:type="dxa"/>
            <w:vMerge/>
          </w:tcPr>
          <w:p w14:paraId="14216547" w14:textId="77777777" w:rsidR="00454A29" w:rsidRDefault="00454A29"/>
        </w:tc>
        <w:tc>
          <w:tcPr>
            <w:tcW w:w="1701" w:type="dxa"/>
            <w:vAlign w:val="center"/>
          </w:tcPr>
          <w:p w14:paraId="60371096" w14:textId="77777777" w:rsidR="00454A29" w:rsidRDefault="00454A29">
            <w:pPr>
              <w:pStyle w:val="ConsPlusNormal"/>
              <w:jc w:val="center"/>
            </w:pPr>
            <w:r>
              <w:t>-</w:t>
            </w:r>
          </w:p>
        </w:tc>
        <w:tc>
          <w:tcPr>
            <w:tcW w:w="1814" w:type="dxa"/>
            <w:vAlign w:val="center"/>
          </w:tcPr>
          <w:p w14:paraId="3B842262" w14:textId="77777777" w:rsidR="00454A29" w:rsidRDefault="00454A29">
            <w:pPr>
              <w:pStyle w:val="ConsPlusNormal"/>
            </w:pPr>
          </w:p>
        </w:tc>
        <w:tc>
          <w:tcPr>
            <w:tcW w:w="1701" w:type="dxa"/>
            <w:vAlign w:val="center"/>
          </w:tcPr>
          <w:p w14:paraId="5727E5EA" w14:textId="77777777" w:rsidR="00454A29" w:rsidRDefault="00454A29">
            <w:pPr>
              <w:pStyle w:val="ConsPlusNormal"/>
            </w:pPr>
          </w:p>
        </w:tc>
        <w:tc>
          <w:tcPr>
            <w:tcW w:w="1701" w:type="dxa"/>
            <w:vAlign w:val="center"/>
          </w:tcPr>
          <w:p w14:paraId="30AC1375" w14:textId="77777777" w:rsidR="00454A29" w:rsidRDefault="00454A29">
            <w:pPr>
              <w:pStyle w:val="ConsPlusNormal"/>
            </w:pPr>
          </w:p>
        </w:tc>
        <w:tc>
          <w:tcPr>
            <w:tcW w:w="1814" w:type="dxa"/>
            <w:vAlign w:val="center"/>
          </w:tcPr>
          <w:p w14:paraId="547333FD" w14:textId="77777777" w:rsidR="00454A29" w:rsidRDefault="00454A29">
            <w:pPr>
              <w:pStyle w:val="ConsPlusNormal"/>
            </w:pPr>
          </w:p>
        </w:tc>
      </w:tr>
      <w:tr w:rsidR="00454A29" w14:paraId="419CDC25" w14:textId="77777777">
        <w:tc>
          <w:tcPr>
            <w:tcW w:w="567" w:type="dxa"/>
            <w:vMerge/>
          </w:tcPr>
          <w:p w14:paraId="6DC33820" w14:textId="77777777" w:rsidR="00454A29" w:rsidRDefault="00454A29"/>
        </w:tc>
        <w:tc>
          <w:tcPr>
            <w:tcW w:w="3345" w:type="dxa"/>
            <w:vMerge/>
          </w:tcPr>
          <w:p w14:paraId="754D2087" w14:textId="77777777" w:rsidR="00454A29" w:rsidRDefault="00454A29"/>
        </w:tc>
        <w:tc>
          <w:tcPr>
            <w:tcW w:w="1701" w:type="dxa"/>
            <w:vAlign w:val="center"/>
          </w:tcPr>
          <w:p w14:paraId="2AE5D374" w14:textId="77777777" w:rsidR="00454A29" w:rsidRDefault="00454A29">
            <w:pPr>
              <w:pStyle w:val="ConsPlusNormal"/>
              <w:jc w:val="center"/>
            </w:pPr>
            <w:r>
              <w:t>2022</w:t>
            </w:r>
          </w:p>
        </w:tc>
        <w:tc>
          <w:tcPr>
            <w:tcW w:w="1417" w:type="dxa"/>
            <w:vMerge/>
          </w:tcPr>
          <w:p w14:paraId="4DEDDF15" w14:textId="77777777" w:rsidR="00454A29" w:rsidRDefault="00454A29"/>
        </w:tc>
        <w:tc>
          <w:tcPr>
            <w:tcW w:w="2204" w:type="dxa"/>
            <w:vMerge/>
          </w:tcPr>
          <w:p w14:paraId="39940F95" w14:textId="77777777" w:rsidR="00454A29" w:rsidRDefault="00454A29"/>
        </w:tc>
        <w:tc>
          <w:tcPr>
            <w:tcW w:w="1417" w:type="dxa"/>
            <w:vMerge/>
          </w:tcPr>
          <w:p w14:paraId="002690A3" w14:textId="77777777" w:rsidR="00454A29" w:rsidRDefault="00454A29"/>
        </w:tc>
        <w:tc>
          <w:tcPr>
            <w:tcW w:w="2324" w:type="dxa"/>
            <w:vMerge/>
          </w:tcPr>
          <w:p w14:paraId="628777F5" w14:textId="77777777" w:rsidR="00454A29" w:rsidRDefault="00454A29"/>
        </w:tc>
        <w:tc>
          <w:tcPr>
            <w:tcW w:w="1701" w:type="dxa"/>
            <w:vAlign w:val="center"/>
          </w:tcPr>
          <w:p w14:paraId="0211DB6F" w14:textId="77777777" w:rsidR="00454A29" w:rsidRDefault="00454A29">
            <w:pPr>
              <w:pStyle w:val="ConsPlusNormal"/>
            </w:pPr>
          </w:p>
        </w:tc>
        <w:tc>
          <w:tcPr>
            <w:tcW w:w="1814" w:type="dxa"/>
            <w:vAlign w:val="center"/>
          </w:tcPr>
          <w:p w14:paraId="021BE2A2" w14:textId="77777777" w:rsidR="00454A29" w:rsidRDefault="00454A29">
            <w:pPr>
              <w:pStyle w:val="ConsPlusNormal"/>
            </w:pPr>
          </w:p>
        </w:tc>
        <w:tc>
          <w:tcPr>
            <w:tcW w:w="1701" w:type="dxa"/>
            <w:vAlign w:val="center"/>
          </w:tcPr>
          <w:p w14:paraId="02D201E7" w14:textId="77777777" w:rsidR="00454A29" w:rsidRDefault="00454A29">
            <w:pPr>
              <w:pStyle w:val="ConsPlusNormal"/>
            </w:pPr>
          </w:p>
        </w:tc>
        <w:tc>
          <w:tcPr>
            <w:tcW w:w="1701" w:type="dxa"/>
            <w:vAlign w:val="center"/>
          </w:tcPr>
          <w:p w14:paraId="4D9FA300" w14:textId="77777777" w:rsidR="00454A29" w:rsidRDefault="00454A29">
            <w:pPr>
              <w:pStyle w:val="ConsPlusNormal"/>
            </w:pPr>
          </w:p>
        </w:tc>
        <w:tc>
          <w:tcPr>
            <w:tcW w:w="1814" w:type="dxa"/>
            <w:vAlign w:val="center"/>
          </w:tcPr>
          <w:p w14:paraId="003D1009" w14:textId="77777777" w:rsidR="00454A29" w:rsidRDefault="00454A29">
            <w:pPr>
              <w:pStyle w:val="ConsPlusNormal"/>
            </w:pPr>
          </w:p>
        </w:tc>
      </w:tr>
      <w:tr w:rsidR="00454A29" w14:paraId="0EF07931" w14:textId="77777777">
        <w:tc>
          <w:tcPr>
            <w:tcW w:w="567" w:type="dxa"/>
            <w:vMerge/>
          </w:tcPr>
          <w:p w14:paraId="39B65E18" w14:textId="77777777" w:rsidR="00454A29" w:rsidRDefault="00454A29"/>
        </w:tc>
        <w:tc>
          <w:tcPr>
            <w:tcW w:w="3345" w:type="dxa"/>
            <w:vMerge/>
          </w:tcPr>
          <w:p w14:paraId="2444A11A" w14:textId="77777777" w:rsidR="00454A29" w:rsidRDefault="00454A29"/>
        </w:tc>
        <w:tc>
          <w:tcPr>
            <w:tcW w:w="1701" w:type="dxa"/>
            <w:vAlign w:val="center"/>
          </w:tcPr>
          <w:p w14:paraId="77E528E0" w14:textId="77777777" w:rsidR="00454A29" w:rsidRDefault="00454A29">
            <w:pPr>
              <w:pStyle w:val="ConsPlusNormal"/>
              <w:jc w:val="center"/>
            </w:pPr>
            <w:r>
              <w:t>2023</w:t>
            </w:r>
          </w:p>
        </w:tc>
        <w:tc>
          <w:tcPr>
            <w:tcW w:w="1417" w:type="dxa"/>
            <w:vMerge/>
          </w:tcPr>
          <w:p w14:paraId="2D5E0FB0" w14:textId="77777777" w:rsidR="00454A29" w:rsidRDefault="00454A29"/>
        </w:tc>
        <w:tc>
          <w:tcPr>
            <w:tcW w:w="2204" w:type="dxa"/>
            <w:vMerge/>
          </w:tcPr>
          <w:p w14:paraId="0C8CA596" w14:textId="77777777" w:rsidR="00454A29" w:rsidRDefault="00454A29"/>
        </w:tc>
        <w:tc>
          <w:tcPr>
            <w:tcW w:w="1417" w:type="dxa"/>
            <w:vMerge/>
          </w:tcPr>
          <w:p w14:paraId="0AB92C62" w14:textId="77777777" w:rsidR="00454A29" w:rsidRDefault="00454A29"/>
        </w:tc>
        <w:tc>
          <w:tcPr>
            <w:tcW w:w="2324" w:type="dxa"/>
            <w:vMerge/>
          </w:tcPr>
          <w:p w14:paraId="7CE86A9D" w14:textId="77777777" w:rsidR="00454A29" w:rsidRDefault="00454A29"/>
        </w:tc>
        <w:tc>
          <w:tcPr>
            <w:tcW w:w="1701" w:type="dxa"/>
            <w:vAlign w:val="center"/>
          </w:tcPr>
          <w:p w14:paraId="7B4F0005" w14:textId="77777777" w:rsidR="00454A29" w:rsidRDefault="00454A29">
            <w:pPr>
              <w:pStyle w:val="ConsPlusNormal"/>
              <w:jc w:val="center"/>
            </w:pPr>
            <w:r>
              <w:t>40 753,52</w:t>
            </w:r>
          </w:p>
        </w:tc>
        <w:tc>
          <w:tcPr>
            <w:tcW w:w="1814" w:type="dxa"/>
            <w:vAlign w:val="center"/>
          </w:tcPr>
          <w:p w14:paraId="20C0AABE" w14:textId="77777777" w:rsidR="00454A29" w:rsidRDefault="00454A29">
            <w:pPr>
              <w:pStyle w:val="ConsPlusNormal"/>
              <w:jc w:val="center"/>
            </w:pPr>
            <w:r>
              <w:t>40 753,52</w:t>
            </w:r>
          </w:p>
        </w:tc>
        <w:tc>
          <w:tcPr>
            <w:tcW w:w="1701" w:type="dxa"/>
            <w:vAlign w:val="center"/>
          </w:tcPr>
          <w:p w14:paraId="1A62F64B" w14:textId="77777777" w:rsidR="00454A29" w:rsidRDefault="00454A29">
            <w:pPr>
              <w:pStyle w:val="ConsPlusNormal"/>
            </w:pPr>
          </w:p>
        </w:tc>
        <w:tc>
          <w:tcPr>
            <w:tcW w:w="1701" w:type="dxa"/>
            <w:vAlign w:val="center"/>
          </w:tcPr>
          <w:p w14:paraId="618F68B8" w14:textId="77777777" w:rsidR="00454A29" w:rsidRDefault="00454A29">
            <w:pPr>
              <w:pStyle w:val="ConsPlusNormal"/>
            </w:pPr>
          </w:p>
        </w:tc>
        <w:tc>
          <w:tcPr>
            <w:tcW w:w="1814" w:type="dxa"/>
            <w:vAlign w:val="center"/>
          </w:tcPr>
          <w:p w14:paraId="55B15400" w14:textId="77777777" w:rsidR="00454A29" w:rsidRDefault="00454A29">
            <w:pPr>
              <w:pStyle w:val="ConsPlusNormal"/>
            </w:pPr>
          </w:p>
        </w:tc>
      </w:tr>
      <w:tr w:rsidR="00454A29" w14:paraId="170D9BC0" w14:textId="77777777">
        <w:tc>
          <w:tcPr>
            <w:tcW w:w="567" w:type="dxa"/>
            <w:vMerge/>
          </w:tcPr>
          <w:p w14:paraId="3A660393" w14:textId="77777777" w:rsidR="00454A29" w:rsidRDefault="00454A29"/>
        </w:tc>
        <w:tc>
          <w:tcPr>
            <w:tcW w:w="3345" w:type="dxa"/>
            <w:vMerge/>
          </w:tcPr>
          <w:p w14:paraId="76A3EFC5" w14:textId="77777777" w:rsidR="00454A29" w:rsidRDefault="00454A29"/>
        </w:tc>
        <w:tc>
          <w:tcPr>
            <w:tcW w:w="1701" w:type="dxa"/>
            <w:vAlign w:val="center"/>
          </w:tcPr>
          <w:p w14:paraId="0A3262D0" w14:textId="77777777" w:rsidR="00454A29" w:rsidRDefault="00454A29">
            <w:pPr>
              <w:pStyle w:val="ConsPlusNormal"/>
              <w:jc w:val="center"/>
            </w:pPr>
            <w:r>
              <w:t>2024</w:t>
            </w:r>
          </w:p>
        </w:tc>
        <w:tc>
          <w:tcPr>
            <w:tcW w:w="1417" w:type="dxa"/>
            <w:vMerge/>
          </w:tcPr>
          <w:p w14:paraId="4A057DFC" w14:textId="77777777" w:rsidR="00454A29" w:rsidRDefault="00454A29"/>
        </w:tc>
        <w:tc>
          <w:tcPr>
            <w:tcW w:w="2204" w:type="dxa"/>
            <w:vMerge/>
          </w:tcPr>
          <w:p w14:paraId="4FBEFDC5" w14:textId="77777777" w:rsidR="00454A29" w:rsidRDefault="00454A29"/>
        </w:tc>
        <w:tc>
          <w:tcPr>
            <w:tcW w:w="1417" w:type="dxa"/>
            <w:vMerge/>
          </w:tcPr>
          <w:p w14:paraId="6D1A4482" w14:textId="77777777" w:rsidR="00454A29" w:rsidRDefault="00454A29"/>
        </w:tc>
        <w:tc>
          <w:tcPr>
            <w:tcW w:w="2324" w:type="dxa"/>
            <w:vMerge/>
          </w:tcPr>
          <w:p w14:paraId="23C3162E" w14:textId="77777777" w:rsidR="00454A29" w:rsidRDefault="00454A29"/>
        </w:tc>
        <w:tc>
          <w:tcPr>
            <w:tcW w:w="1701" w:type="dxa"/>
            <w:vAlign w:val="center"/>
          </w:tcPr>
          <w:p w14:paraId="0E36AC5E" w14:textId="77777777" w:rsidR="00454A29" w:rsidRDefault="00454A29">
            <w:pPr>
              <w:pStyle w:val="ConsPlusNormal"/>
              <w:jc w:val="center"/>
            </w:pPr>
            <w:r>
              <w:t>54 967,96</w:t>
            </w:r>
          </w:p>
        </w:tc>
        <w:tc>
          <w:tcPr>
            <w:tcW w:w="1814" w:type="dxa"/>
            <w:vAlign w:val="center"/>
          </w:tcPr>
          <w:p w14:paraId="627F5AD4" w14:textId="77777777" w:rsidR="00454A29" w:rsidRDefault="00454A29">
            <w:pPr>
              <w:pStyle w:val="ConsPlusNormal"/>
              <w:jc w:val="center"/>
            </w:pPr>
            <w:r>
              <w:t>54 967,96</w:t>
            </w:r>
          </w:p>
        </w:tc>
        <w:tc>
          <w:tcPr>
            <w:tcW w:w="1701" w:type="dxa"/>
            <w:vAlign w:val="center"/>
          </w:tcPr>
          <w:p w14:paraId="4ACC5833" w14:textId="77777777" w:rsidR="00454A29" w:rsidRDefault="00454A29">
            <w:pPr>
              <w:pStyle w:val="ConsPlusNormal"/>
            </w:pPr>
          </w:p>
        </w:tc>
        <w:tc>
          <w:tcPr>
            <w:tcW w:w="1701" w:type="dxa"/>
            <w:vAlign w:val="center"/>
          </w:tcPr>
          <w:p w14:paraId="1C60668F" w14:textId="77777777" w:rsidR="00454A29" w:rsidRDefault="00454A29">
            <w:pPr>
              <w:pStyle w:val="ConsPlusNormal"/>
            </w:pPr>
          </w:p>
        </w:tc>
        <w:tc>
          <w:tcPr>
            <w:tcW w:w="1814" w:type="dxa"/>
            <w:vAlign w:val="center"/>
          </w:tcPr>
          <w:p w14:paraId="394B411C" w14:textId="77777777" w:rsidR="00454A29" w:rsidRDefault="00454A29">
            <w:pPr>
              <w:pStyle w:val="ConsPlusNormal"/>
            </w:pPr>
          </w:p>
        </w:tc>
      </w:tr>
      <w:tr w:rsidR="00454A29" w14:paraId="3C0B6536" w14:textId="77777777">
        <w:tc>
          <w:tcPr>
            <w:tcW w:w="567" w:type="dxa"/>
            <w:vMerge/>
          </w:tcPr>
          <w:p w14:paraId="001CE0A8" w14:textId="77777777" w:rsidR="00454A29" w:rsidRDefault="00454A29"/>
        </w:tc>
        <w:tc>
          <w:tcPr>
            <w:tcW w:w="3345" w:type="dxa"/>
            <w:vMerge/>
          </w:tcPr>
          <w:p w14:paraId="6EE34094" w14:textId="77777777" w:rsidR="00454A29" w:rsidRDefault="00454A29"/>
        </w:tc>
        <w:tc>
          <w:tcPr>
            <w:tcW w:w="1701" w:type="dxa"/>
            <w:vAlign w:val="center"/>
          </w:tcPr>
          <w:p w14:paraId="1F316CC6" w14:textId="77777777" w:rsidR="00454A29" w:rsidRDefault="00454A29">
            <w:pPr>
              <w:pStyle w:val="ConsPlusNormal"/>
              <w:jc w:val="center"/>
            </w:pPr>
            <w:r>
              <w:t>2025</w:t>
            </w:r>
          </w:p>
        </w:tc>
        <w:tc>
          <w:tcPr>
            <w:tcW w:w="1417" w:type="dxa"/>
            <w:vMerge/>
          </w:tcPr>
          <w:p w14:paraId="4626A54C" w14:textId="77777777" w:rsidR="00454A29" w:rsidRDefault="00454A29"/>
        </w:tc>
        <w:tc>
          <w:tcPr>
            <w:tcW w:w="2204" w:type="dxa"/>
            <w:vMerge/>
          </w:tcPr>
          <w:p w14:paraId="53A02562" w14:textId="77777777" w:rsidR="00454A29" w:rsidRDefault="00454A29"/>
        </w:tc>
        <w:tc>
          <w:tcPr>
            <w:tcW w:w="1417" w:type="dxa"/>
            <w:vMerge/>
          </w:tcPr>
          <w:p w14:paraId="41C6F319" w14:textId="77777777" w:rsidR="00454A29" w:rsidRDefault="00454A29"/>
        </w:tc>
        <w:tc>
          <w:tcPr>
            <w:tcW w:w="2324" w:type="dxa"/>
            <w:vMerge/>
          </w:tcPr>
          <w:p w14:paraId="0868DF66" w14:textId="77777777" w:rsidR="00454A29" w:rsidRDefault="00454A29"/>
        </w:tc>
        <w:tc>
          <w:tcPr>
            <w:tcW w:w="1701" w:type="dxa"/>
            <w:vAlign w:val="center"/>
          </w:tcPr>
          <w:p w14:paraId="3A4F1350" w14:textId="77777777" w:rsidR="00454A29" w:rsidRDefault="00454A29">
            <w:pPr>
              <w:pStyle w:val="ConsPlusNormal"/>
              <w:jc w:val="center"/>
            </w:pPr>
            <w:r>
              <w:t>-</w:t>
            </w:r>
          </w:p>
        </w:tc>
        <w:tc>
          <w:tcPr>
            <w:tcW w:w="1814" w:type="dxa"/>
            <w:vAlign w:val="center"/>
          </w:tcPr>
          <w:p w14:paraId="06A4B3F1" w14:textId="77777777" w:rsidR="00454A29" w:rsidRDefault="00454A29">
            <w:pPr>
              <w:pStyle w:val="ConsPlusNormal"/>
            </w:pPr>
          </w:p>
        </w:tc>
        <w:tc>
          <w:tcPr>
            <w:tcW w:w="1701" w:type="dxa"/>
            <w:vAlign w:val="center"/>
          </w:tcPr>
          <w:p w14:paraId="7797C9C9" w14:textId="77777777" w:rsidR="00454A29" w:rsidRDefault="00454A29">
            <w:pPr>
              <w:pStyle w:val="ConsPlusNormal"/>
            </w:pPr>
          </w:p>
        </w:tc>
        <w:tc>
          <w:tcPr>
            <w:tcW w:w="1701" w:type="dxa"/>
            <w:vAlign w:val="center"/>
          </w:tcPr>
          <w:p w14:paraId="15252ECA" w14:textId="77777777" w:rsidR="00454A29" w:rsidRDefault="00454A29">
            <w:pPr>
              <w:pStyle w:val="ConsPlusNormal"/>
            </w:pPr>
          </w:p>
        </w:tc>
        <w:tc>
          <w:tcPr>
            <w:tcW w:w="1814" w:type="dxa"/>
            <w:vAlign w:val="center"/>
          </w:tcPr>
          <w:p w14:paraId="4E80BE25" w14:textId="77777777" w:rsidR="00454A29" w:rsidRDefault="00454A29">
            <w:pPr>
              <w:pStyle w:val="ConsPlusNormal"/>
            </w:pPr>
          </w:p>
        </w:tc>
      </w:tr>
      <w:tr w:rsidR="00454A29" w14:paraId="33D60CBB" w14:textId="77777777">
        <w:tc>
          <w:tcPr>
            <w:tcW w:w="567" w:type="dxa"/>
            <w:vMerge/>
          </w:tcPr>
          <w:p w14:paraId="1C36A54E" w14:textId="77777777" w:rsidR="00454A29" w:rsidRDefault="00454A29"/>
        </w:tc>
        <w:tc>
          <w:tcPr>
            <w:tcW w:w="3345" w:type="dxa"/>
            <w:vMerge/>
          </w:tcPr>
          <w:p w14:paraId="77706F42" w14:textId="77777777" w:rsidR="00454A29" w:rsidRDefault="00454A29"/>
        </w:tc>
        <w:tc>
          <w:tcPr>
            <w:tcW w:w="1701" w:type="dxa"/>
            <w:vAlign w:val="center"/>
          </w:tcPr>
          <w:p w14:paraId="2F693395" w14:textId="77777777" w:rsidR="00454A29" w:rsidRDefault="00454A29">
            <w:pPr>
              <w:pStyle w:val="ConsPlusNormal"/>
              <w:jc w:val="center"/>
            </w:pPr>
            <w:r>
              <w:t>2026</w:t>
            </w:r>
          </w:p>
        </w:tc>
        <w:tc>
          <w:tcPr>
            <w:tcW w:w="1417" w:type="dxa"/>
            <w:vMerge/>
          </w:tcPr>
          <w:p w14:paraId="71ECB7AA" w14:textId="77777777" w:rsidR="00454A29" w:rsidRDefault="00454A29"/>
        </w:tc>
        <w:tc>
          <w:tcPr>
            <w:tcW w:w="2204" w:type="dxa"/>
            <w:vMerge/>
          </w:tcPr>
          <w:p w14:paraId="214EDB1D" w14:textId="77777777" w:rsidR="00454A29" w:rsidRDefault="00454A29"/>
        </w:tc>
        <w:tc>
          <w:tcPr>
            <w:tcW w:w="1417" w:type="dxa"/>
            <w:vMerge/>
          </w:tcPr>
          <w:p w14:paraId="69389FCE" w14:textId="77777777" w:rsidR="00454A29" w:rsidRDefault="00454A29"/>
        </w:tc>
        <w:tc>
          <w:tcPr>
            <w:tcW w:w="2324" w:type="dxa"/>
            <w:vMerge/>
          </w:tcPr>
          <w:p w14:paraId="3C578B7C" w14:textId="77777777" w:rsidR="00454A29" w:rsidRDefault="00454A29"/>
        </w:tc>
        <w:tc>
          <w:tcPr>
            <w:tcW w:w="1701" w:type="dxa"/>
            <w:vAlign w:val="center"/>
          </w:tcPr>
          <w:p w14:paraId="058EF23C" w14:textId="77777777" w:rsidR="00454A29" w:rsidRDefault="00454A29">
            <w:pPr>
              <w:pStyle w:val="ConsPlusNormal"/>
              <w:jc w:val="center"/>
            </w:pPr>
            <w:r>
              <w:t>-</w:t>
            </w:r>
          </w:p>
        </w:tc>
        <w:tc>
          <w:tcPr>
            <w:tcW w:w="1814" w:type="dxa"/>
            <w:vAlign w:val="center"/>
          </w:tcPr>
          <w:p w14:paraId="57EFA7A2" w14:textId="77777777" w:rsidR="00454A29" w:rsidRDefault="00454A29">
            <w:pPr>
              <w:pStyle w:val="ConsPlusNormal"/>
            </w:pPr>
          </w:p>
        </w:tc>
        <w:tc>
          <w:tcPr>
            <w:tcW w:w="1701" w:type="dxa"/>
            <w:vAlign w:val="center"/>
          </w:tcPr>
          <w:p w14:paraId="1FFEE8C4" w14:textId="77777777" w:rsidR="00454A29" w:rsidRDefault="00454A29">
            <w:pPr>
              <w:pStyle w:val="ConsPlusNormal"/>
            </w:pPr>
          </w:p>
        </w:tc>
        <w:tc>
          <w:tcPr>
            <w:tcW w:w="1701" w:type="dxa"/>
            <w:vAlign w:val="center"/>
          </w:tcPr>
          <w:p w14:paraId="113464CC" w14:textId="77777777" w:rsidR="00454A29" w:rsidRDefault="00454A29">
            <w:pPr>
              <w:pStyle w:val="ConsPlusNormal"/>
            </w:pPr>
          </w:p>
        </w:tc>
        <w:tc>
          <w:tcPr>
            <w:tcW w:w="1814" w:type="dxa"/>
            <w:vAlign w:val="center"/>
          </w:tcPr>
          <w:p w14:paraId="220BA56D" w14:textId="77777777" w:rsidR="00454A29" w:rsidRDefault="00454A29">
            <w:pPr>
              <w:pStyle w:val="ConsPlusNormal"/>
            </w:pPr>
          </w:p>
        </w:tc>
      </w:tr>
      <w:tr w:rsidR="00454A29" w14:paraId="0580B095" w14:textId="77777777">
        <w:tc>
          <w:tcPr>
            <w:tcW w:w="567" w:type="dxa"/>
            <w:vMerge w:val="restart"/>
            <w:vAlign w:val="center"/>
          </w:tcPr>
          <w:p w14:paraId="35B33C5F" w14:textId="77777777" w:rsidR="00454A29" w:rsidRDefault="00454A29">
            <w:pPr>
              <w:pStyle w:val="ConsPlusNormal"/>
              <w:jc w:val="center"/>
            </w:pPr>
            <w:r>
              <w:lastRenderedPageBreak/>
              <w:t>20</w:t>
            </w:r>
          </w:p>
        </w:tc>
        <w:tc>
          <w:tcPr>
            <w:tcW w:w="3345" w:type="dxa"/>
            <w:vMerge w:val="restart"/>
            <w:vAlign w:val="center"/>
          </w:tcPr>
          <w:p w14:paraId="381FEB91" w14:textId="77777777" w:rsidR="00454A29" w:rsidRDefault="00454A29">
            <w:pPr>
              <w:pStyle w:val="ConsPlusNormal"/>
              <w:jc w:val="center"/>
            </w:pPr>
            <w:r>
              <w:t>Детский сад на 50 мест в с. Таймылыр Булунского улуса</w:t>
            </w:r>
          </w:p>
        </w:tc>
        <w:tc>
          <w:tcPr>
            <w:tcW w:w="1701" w:type="dxa"/>
            <w:vAlign w:val="center"/>
          </w:tcPr>
          <w:p w14:paraId="3B9CF876" w14:textId="77777777" w:rsidR="00454A29" w:rsidRDefault="00454A29">
            <w:pPr>
              <w:pStyle w:val="ConsPlusNormal"/>
              <w:jc w:val="center"/>
            </w:pPr>
            <w:r>
              <w:t>2020 - 2026 годы - всего</w:t>
            </w:r>
          </w:p>
        </w:tc>
        <w:tc>
          <w:tcPr>
            <w:tcW w:w="1417" w:type="dxa"/>
            <w:vMerge w:val="restart"/>
            <w:vAlign w:val="center"/>
          </w:tcPr>
          <w:p w14:paraId="0FF49818" w14:textId="77777777" w:rsidR="00454A29" w:rsidRDefault="00454A29">
            <w:pPr>
              <w:pStyle w:val="ConsPlusNormal"/>
              <w:jc w:val="center"/>
            </w:pPr>
            <w:r>
              <w:t>95 721,48</w:t>
            </w:r>
          </w:p>
        </w:tc>
        <w:tc>
          <w:tcPr>
            <w:tcW w:w="2204" w:type="dxa"/>
            <w:vMerge w:val="restart"/>
            <w:vAlign w:val="center"/>
          </w:tcPr>
          <w:p w14:paraId="357B804D" w14:textId="77777777" w:rsidR="00454A29" w:rsidRDefault="00454A29">
            <w:pPr>
              <w:pStyle w:val="ConsPlusNormal"/>
              <w:jc w:val="center"/>
            </w:pPr>
            <w:r>
              <w:t>имеется</w:t>
            </w:r>
          </w:p>
        </w:tc>
        <w:tc>
          <w:tcPr>
            <w:tcW w:w="1417" w:type="dxa"/>
            <w:vMerge w:val="restart"/>
            <w:vAlign w:val="center"/>
          </w:tcPr>
          <w:p w14:paraId="5DF5CA8F" w14:textId="77777777" w:rsidR="00454A29" w:rsidRDefault="00454A29">
            <w:pPr>
              <w:pStyle w:val="ConsPlusNormal"/>
              <w:jc w:val="center"/>
            </w:pPr>
            <w:r>
              <w:t>50</w:t>
            </w:r>
          </w:p>
        </w:tc>
        <w:tc>
          <w:tcPr>
            <w:tcW w:w="2324" w:type="dxa"/>
            <w:vMerge w:val="restart"/>
            <w:vAlign w:val="center"/>
          </w:tcPr>
          <w:p w14:paraId="3968BFD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2939609" w14:textId="77777777" w:rsidR="00454A29" w:rsidRDefault="00454A29">
            <w:pPr>
              <w:pStyle w:val="ConsPlusNormal"/>
              <w:jc w:val="center"/>
            </w:pPr>
            <w:r>
              <w:t>95 721,48</w:t>
            </w:r>
          </w:p>
        </w:tc>
        <w:tc>
          <w:tcPr>
            <w:tcW w:w="1814" w:type="dxa"/>
            <w:vAlign w:val="center"/>
          </w:tcPr>
          <w:p w14:paraId="72EF9A54" w14:textId="77777777" w:rsidR="00454A29" w:rsidRDefault="00454A29">
            <w:pPr>
              <w:pStyle w:val="ConsPlusNormal"/>
              <w:jc w:val="center"/>
            </w:pPr>
            <w:r>
              <w:t>164 328,73</w:t>
            </w:r>
          </w:p>
        </w:tc>
        <w:tc>
          <w:tcPr>
            <w:tcW w:w="1701" w:type="dxa"/>
            <w:vAlign w:val="center"/>
          </w:tcPr>
          <w:p w14:paraId="6D007829" w14:textId="77777777" w:rsidR="00454A29" w:rsidRDefault="00454A29">
            <w:pPr>
              <w:pStyle w:val="ConsPlusNormal"/>
              <w:jc w:val="center"/>
            </w:pPr>
            <w:r>
              <w:t>-</w:t>
            </w:r>
          </w:p>
        </w:tc>
        <w:tc>
          <w:tcPr>
            <w:tcW w:w="1701" w:type="dxa"/>
            <w:vAlign w:val="center"/>
          </w:tcPr>
          <w:p w14:paraId="460EA02D" w14:textId="77777777" w:rsidR="00454A29" w:rsidRDefault="00454A29">
            <w:pPr>
              <w:pStyle w:val="ConsPlusNormal"/>
              <w:jc w:val="center"/>
            </w:pPr>
            <w:r>
              <w:t>-</w:t>
            </w:r>
          </w:p>
        </w:tc>
        <w:tc>
          <w:tcPr>
            <w:tcW w:w="1814" w:type="dxa"/>
            <w:vAlign w:val="center"/>
          </w:tcPr>
          <w:p w14:paraId="3A23ABC0" w14:textId="77777777" w:rsidR="00454A29" w:rsidRDefault="00454A29">
            <w:pPr>
              <w:pStyle w:val="ConsPlusNormal"/>
              <w:jc w:val="center"/>
            </w:pPr>
            <w:r>
              <w:t>-</w:t>
            </w:r>
          </w:p>
        </w:tc>
      </w:tr>
      <w:tr w:rsidR="00454A29" w14:paraId="480C60D2" w14:textId="77777777">
        <w:tc>
          <w:tcPr>
            <w:tcW w:w="567" w:type="dxa"/>
            <w:vMerge/>
          </w:tcPr>
          <w:p w14:paraId="3502F0B6" w14:textId="77777777" w:rsidR="00454A29" w:rsidRDefault="00454A29"/>
        </w:tc>
        <w:tc>
          <w:tcPr>
            <w:tcW w:w="3345" w:type="dxa"/>
            <w:vMerge/>
          </w:tcPr>
          <w:p w14:paraId="4CD952E1" w14:textId="77777777" w:rsidR="00454A29" w:rsidRDefault="00454A29"/>
        </w:tc>
        <w:tc>
          <w:tcPr>
            <w:tcW w:w="1701" w:type="dxa"/>
            <w:vAlign w:val="center"/>
          </w:tcPr>
          <w:p w14:paraId="484D56A2" w14:textId="77777777" w:rsidR="00454A29" w:rsidRDefault="00454A29">
            <w:pPr>
              <w:pStyle w:val="ConsPlusNormal"/>
              <w:jc w:val="center"/>
            </w:pPr>
            <w:r>
              <w:t>2020</w:t>
            </w:r>
          </w:p>
        </w:tc>
        <w:tc>
          <w:tcPr>
            <w:tcW w:w="1417" w:type="dxa"/>
            <w:vMerge/>
          </w:tcPr>
          <w:p w14:paraId="5A0156F9" w14:textId="77777777" w:rsidR="00454A29" w:rsidRDefault="00454A29"/>
        </w:tc>
        <w:tc>
          <w:tcPr>
            <w:tcW w:w="2204" w:type="dxa"/>
            <w:vMerge/>
          </w:tcPr>
          <w:p w14:paraId="00726B4C" w14:textId="77777777" w:rsidR="00454A29" w:rsidRDefault="00454A29"/>
        </w:tc>
        <w:tc>
          <w:tcPr>
            <w:tcW w:w="1417" w:type="dxa"/>
            <w:vMerge/>
          </w:tcPr>
          <w:p w14:paraId="408AF81C" w14:textId="77777777" w:rsidR="00454A29" w:rsidRDefault="00454A29"/>
        </w:tc>
        <w:tc>
          <w:tcPr>
            <w:tcW w:w="2324" w:type="dxa"/>
            <w:vMerge/>
          </w:tcPr>
          <w:p w14:paraId="2E5D182D" w14:textId="77777777" w:rsidR="00454A29" w:rsidRDefault="00454A29"/>
        </w:tc>
        <w:tc>
          <w:tcPr>
            <w:tcW w:w="1701" w:type="dxa"/>
            <w:vAlign w:val="center"/>
          </w:tcPr>
          <w:p w14:paraId="447538A9" w14:textId="77777777" w:rsidR="00454A29" w:rsidRDefault="00454A29">
            <w:pPr>
              <w:pStyle w:val="ConsPlusNormal"/>
              <w:jc w:val="center"/>
            </w:pPr>
            <w:r>
              <w:t>-</w:t>
            </w:r>
          </w:p>
        </w:tc>
        <w:tc>
          <w:tcPr>
            <w:tcW w:w="1814" w:type="dxa"/>
            <w:vAlign w:val="center"/>
          </w:tcPr>
          <w:p w14:paraId="600B7BB7" w14:textId="77777777" w:rsidR="00454A29" w:rsidRDefault="00454A29">
            <w:pPr>
              <w:pStyle w:val="ConsPlusNormal"/>
            </w:pPr>
          </w:p>
        </w:tc>
        <w:tc>
          <w:tcPr>
            <w:tcW w:w="1701" w:type="dxa"/>
            <w:vAlign w:val="center"/>
          </w:tcPr>
          <w:p w14:paraId="339610E5" w14:textId="77777777" w:rsidR="00454A29" w:rsidRDefault="00454A29">
            <w:pPr>
              <w:pStyle w:val="ConsPlusNormal"/>
            </w:pPr>
          </w:p>
        </w:tc>
        <w:tc>
          <w:tcPr>
            <w:tcW w:w="1701" w:type="dxa"/>
            <w:vAlign w:val="center"/>
          </w:tcPr>
          <w:p w14:paraId="1F12ECDF" w14:textId="77777777" w:rsidR="00454A29" w:rsidRDefault="00454A29">
            <w:pPr>
              <w:pStyle w:val="ConsPlusNormal"/>
            </w:pPr>
          </w:p>
        </w:tc>
        <w:tc>
          <w:tcPr>
            <w:tcW w:w="1814" w:type="dxa"/>
            <w:vAlign w:val="center"/>
          </w:tcPr>
          <w:p w14:paraId="3415EC06" w14:textId="77777777" w:rsidR="00454A29" w:rsidRDefault="00454A29">
            <w:pPr>
              <w:pStyle w:val="ConsPlusNormal"/>
            </w:pPr>
          </w:p>
        </w:tc>
      </w:tr>
      <w:tr w:rsidR="00454A29" w14:paraId="728EE3C4" w14:textId="77777777">
        <w:tc>
          <w:tcPr>
            <w:tcW w:w="567" w:type="dxa"/>
            <w:vMerge/>
          </w:tcPr>
          <w:p w14:paraId="1DEB2C70" w14:textId="77777777" w:rsidR="00454A29" w:rsidRDefault="00454A29"/>
        </w:tc>
        <w:tc>
          <w:tcPr>
            <w:tcW w:w="3345" w:type="dxa"/>
            <w:vMerge/>
          </w:tcPr>
          <w:p w14:paraId="6214777D" w14:textId="77777777" w:rsidR="00454A29" w:rsidRDefault="00454A29"/>
        </w:tc>
        <w:tc>
          <w:tcPr>
            <w:tcW w:w="1701" w:type="dxa"/>
            <w:vAlign w:val="center"/>
          </w:tcPr>
          <w:p w14:paraId="4638D618" w14:textId="77777777" w:rsidR="00454A29" w:rsidRDefault="00454A29">
            <w:pPr>
              <w:pStyle w:val="ConsPlusNormal"/>
              <w:jc w:val="center"/>
            </w:pPr>
            <w:r>
              <w:t>2021</w:t>
            </w:r>
          </w:p>
        </w:tc>
        <w:tc>
          <w:tcPr>
            <w:tcW w:w="1417" w:type="dxa"/>
            <w:vMerge/>
          </w:tcPr>
          <w:p w14:paraId="0D7A2ED6" w14:textId="77777777" w:rsidR="00454A29" w:rsidRDefault="00454A29"/>
        </w:tc>
        <w:tc>
          <w:tcPr>
            <w:tcW w:w="2204" w:type="dxa"/>
            <w:vMerge/>
          </w:tcPr>
          <w:p w14:paraId="23639299" w14:textId="77777777" w:rsidR="00454A29" w:rsidRDefault="00454A29"/>
        </w:tc>
        <w:tc>
          <w:tcPr>
            <w:tcW w:w="1417" w:type="dxa"/>
            <w:vMerge/>
          </w:tcPr>
          <w:p w14:paraId="3DFBBCAB" w14:textId="77777777" w:rsidR="00454A29" w:rsidRDefault="00454A29"/>
        </w:tc>
        <w:tc>
          <w:tcPr>
            <w:tcW w:w="2324" w:type="dxa"/>
            <w:vMerge/>
          </w:tcPr>
          <w:p w14:paraId="7D81B1BA" w14:textId="77777777" w:rsidR="00454A29" w:rsidRDefault="00454A29"/>
        </w:tc>
        <w:tc>
          <w:tcPr>
            <w:tcW w:w="1701" w:type="dxa"/>
            <w:vAlign w:val="center"/>
          </w:tcPr>
          <w:p w14:paraId="738C22F4" w14:textId="77777777" w:rsidR="00454A29" w:rsidRDefault="00454A29">
            <w:pPr>
              <w:pStyle w:val="ConsPlusNormal"/>
              <w:jc w:val="center"/>
            </w:pPr>
            <w:r>
              <w:t>-</w:t>
            </w:r>
          </w:p>
        </w:tc>
        <w:tc>
          <w:tcPr>
            <w:tcW w:w="1814" w:type="dxa"/>
            <w:vAlign w:val="center"/>
          </w:tcPr>
          <w:p w14:paraId="6225EA8B" w14:textId="77777777" w:rsidR="00454A29" w:rsidRDefault="00454A29">
            <w:pPr>
              <w:pStyle w:val="ConsPlusNormal"/>
            </w:pPr>
          </w:p>
        </w:tc>
        <w:tc>
          <w:tcPr>
            <w:tcW w:w="1701" w:type="dxa"/>
            <w:vAlign w:val="center"/>
          </w:tcPr>
          <w:p w14:paraId="63A3B2BB" w14:textId="77777777" w:rsidR="00454A29" w:rsidRDefault="00454A29">
            <w:pPr>
              <w:pStyle w:val="ConsPlusNormal"/>
            </w:pPr>
          </w:p>
        </w:tc>
        <w:tc>
          <w:tcPr>
            <w:tcW w:w="1701" w:type="dxa"/>
            <w:vAlign w:val="center"/>
          </w:tcPr>
          <w:p w14:paraId="1A0CA0C7" w14:textId="77777777" w:rsidR="00454A29" w:rsidRDefault="00454A29">
            <w:pPr>
              <w:pStyle w:val="ConsPlusNormal"/>
            </w:pPr>
          </w:p>
        </w:tc>
        <w:tc>
          <w:tcPr>
            <w:tcW w:w="1814" w:type="dxa"/>
            <w:vAlign w:val="center"/>
          </w:tcPr>
          <w:p w14:paraId="7180BAE5" w14:textId="77777777" w:rsidR="00454A29" w:rsidRDefault="00454A29">
            <w:pPr>
              <w:pStyle w:val="ConsPlusNormal"/>
            </w:pPr>
          </w:p>
        </w:tc>
      </w:tr>
      <w:tr w:rsidR="00454A29" w14:paraId="378DF369" w14:textId="77777777">
        <w:tc>
          <w:tcPr>
            <w:tcW w:w="567" w:type="dxa"/>
            <w:vMerge/>
          </w:tcPr>
          <w:p w14:paraId="6EC4CAB7" w14:textId="77777777" w:rsidR="00454A29" w:rsidRDefault="00454A29"/>
        </w:tc>
        <w:tc>
          <w:tcPr>
            <w:tcW w:w="3345" w:type="dxa"/>
            <w:vMerge/>
          </w:tcPr>
          <w:p w14:paraId="0EA1B9B5" w14:textId="77777777" w:rsidR="00454A29" w:rsidRDefault="00454A29"/>
        </w:tc>
        <w:tc>
          <w:tcPr>
            <w:tcW w:w="1701" w:type="dxa"/>
            <w:vAlign w:val="center"/>
          </w:tcPr>
          <w:p w14:paraId="6D5E0588" w14:textId="77777777" w:rsidR="00454A29" w:rsidRDefault="00454A29">
            <w:pPr>
              <w:pStyle w:val="ConsPlusNormal"/>
              <w:jc w:val="center"/>
            </w:pPr>
            <w:r>
              <w:t>2022</w:t>
            </w:r>
          </w:p>
        </w:tc>
        <w:tc>
          <w:tcPr>
            <w:tcW w:w="1417" w:type="dxa"/>
            <w:vMerge/>
          </w:tcPr>
          <w:p w14:paraId="4B0715C3" w14:textId="77777777" w:rsidR="00454A29" w:rsidRDefault="00454A29"/>
        </w:tc>
        <w:tc>
          <w:tcPr>
            <w:tcW w:w="2204" w:type="dxa"/>
            <w:vMerge/>
          </w:tcPr>
          <w:p w14:paraId="69DAAE48" w14:textId="77777777" w:rsidR="00454A29" w:rsidRDefault="00454A29"/>
        </w:tc>
        <w:tc>
          <w:tcPr>
            <w:tcW w:w="1417" w:type="dxa"/>
            <w:vMerge/>
          </w:tcPr>
          <w:p w14:paraId="055CF533" w14:textId="77777777" w:rsidR="00454A29" w:rsidRDefault="00454A29"/>
        </w:tc>
        <w:tc>
          <w:tcPr>
            <w:tcW w:w="2324" w:type="dxa"/>
            <w:vMerge/>
          </w:tcPr>
          <w:p w14:paraId="5A374E5D" w14:textId="77777777" w:rsidR="00454A29" w:rsidRDefault="00454A29"/>
        </w:tc>
        <w:tc>
          <w:tcPr>
            <w:tcW w:w="1701" w:type="dxa"/>
            <w:vAlign w:val="center"/>
          </w:tcPr>
          <w:p w14:paraId="16C61F67" w14:textId="77777777" w:rsidR="00454A29" w:rsidRDefault="00454A29">
            <w:pPr>
              <w:pStyle w:val="ConsPlusNormal"/>
            </w:pPr>
          </w:p>
        </w:tc>
        <w:tc>
          <w:tcPr>
            <w:tcW w:w="1814" w:type="dxa"/>
            <w:vAlign w:val="center"/>
          </w:tcPr>
          <w:p w14:paraId="49AF6F2F" w14:textId="77777777" w:rsidR="00454A29" w:rsidRDefault="00454A29">
            <w:pPr>
              <w:pStyle w:val="ConsPlusNormal"/>
            </w:pPr>
          </w:p>
        </w:tc>
        <w:tc>
          <w:tcPr>
            <w:tcW w:w="1701" w:type="dxa"/>
            <w:vAlign w:val="center"/>
          </w:tcPr>
          <w:p w14:paraId="6A4943D3" w14:textId="77777777" w:rsidR="00454A29" w:rsidRDefault="00454A29">
            <w:pPr>
              <w:pStyle w:val="ConsPlusNormal"/>
            </w:pPr>
          </w:p>
        </w:tc>
        <w:tc>
          <w:tcPr>
            <w:tcW w:w="1701" w:type="dxa"/>
            <w:vAlign w:val="center"/>
          </w:tcPr>
          <w:p w14:paraId="17BBE91F" w14:textId="77777777" w:rsidR="00454A29" w:rsidRDefault="00454A29">
            <w:pPr>
              <w:pStyle w:val="ConsPlusNormal"/>
            </w:pPr>
          </w:p>
        </w:tc>
        <w:tc>
          <w:tcPr>
            <w:tcW w:w="1814" w:type="dxa"/>
            <w:vAlign w:val="center"/>
          </w:tcPr>
          <w:p w14:paraId="1EEAFA38" w14:textId="77777777" w:rsidR="00454A29" w:rsidRDefault="00454A29">
            <w:pPr>
              <w:pStyle w:val="ConsPlusNormal"/>
            </w:pPr>
          </w:p>
        </w:tc>
      </w:tr>
      <w:tr w:rsidR="00454A29" w14:paraId="30BFEA95" w14:textId="77777777">
        <w:tc>
          <w:tcPr>
            <w:tcW w:w="567" w:type="dxa"/>
            <w:vMerge/>
          </w:tcPr>
          <w:p w14:paraId="5BBFDE68" w14:textId="77777777" w:rsidR="00454A29" w:rsidRDefault="00454A29"/>
        </w:tc>
        <w:tc>
          <w:tcPr>
            <w:tcW w:w="3345" w:type="dxa"/>
            <w:vMerge/>
          </w:tcPr>
          <w:p w14:paraId="6AC41EC2" w14:textId="77777777" w:rsidR="00454A29" w:rsidRDefault="00454A29"/>
        </w:tc>
        <w:tc>
          <w:tcPr>
            <w:tcW w:w="1701" w:type="dxa"/>
            <w:vAlign w:val="center"/>
          </w:tcPr>
          <w:p w14:paraId="00DCF6A9" w14:textId="77777777" w:rsidR="00454A29" w:rsidRDefault="00454A29">
            <w:pPr>
              <w:pStyle w:val="ConsPlusNormal"/>
              <w:jc w:val="center"/>
            </w:pPr>
            <w:r>
              <w:t>2023</w:t>
            </w:r>
          </w:p>
        </w:tc>
        <w:tc>
          <w:tcPr>
            <w:tcW w:w="1417" w:type="dxa"/>
            <w:vMerge/>
          </w:tcPr>
          <w:p w14:paraId="37EF6060" w14:textId="77777777" w:rsidR="00454A29" w:rsidRDefault="00454A29"/>
        </w:tc>
        <w:tc>
          <w:tcPr>
            <w:tcW w:w="2204" w:type="dxa"/>
            <w:vMerge/>
          </w:tcPr>
          <w:p w14:paraId="75511871" w14:textId="77777777" w:rsidR="00454A29" w:rsidRDefault="00454A29"/>
        </w:tc>
        <w:tc>
          <w:tcPr>
            <w:tcW w:w="1417" w:type="dxa"/>
            <w:vMerge/>
          </w:tcPr>
          <w:p w14:paraId="43239CFD" w14:textId="77777777" w:rsidR="00454A29" w:rsidRDefault="00454A29"/>
        </w:tc>
        <w:tc>
          <w:tcPr>
            <w:tcW w:w="2324" w:type="dxa"/>
            <w:vMerge/>
          </w:tcPr>
          <w:p w14:paraId="484A6C27" w14:textId="77777777" w:rsidR="00454A29" w:rsidRDefault="00454A29"/>
        </w:tc>
        <w:tc>
          <w:tcPr>
            <w:tcW w:w="1701" w:type="dxa"/>
            <w:vAlign w:val="center"/>
          </w:tcPr>
          <w:p w14:paraId="6A23F0A1" w14:textId="77777777" w:rsidR="00454A29" w:rsidRDefault="00454A29">
            <w:pPr>
              <w:pStyle w:val="ConsPlusNormal"/>
              <w:jc w:val="center"/>
            </w:pPr>
            <w:r>
              <w:t>40 753,52</w:t>
            </w:r>
          </w:p>
        </w:tc>
        <w:tc>
          <w:tcPr>
            <w:tcW w:w="1814" w:type="dxa"/>
            <w:vAlign w:val="center"/>
          </w:tcPr>
          <w:p w14:paraId="7FD32FDE" w14:textId="77777777" w:rsidR="00454A29" w:rsidRDefault="00454A29">
            <w:pPr>
              <w:pStyle w:val="ConsPlusNormal"/>
              <w:jc w:val="center"/>
            </w:pPr>
            <w:r>
              <w:t>40 753,52</w:t>
            </w:r>
          </w:p>
        </w:tc>
        <w:tc>
          <w:tcPr>
            <w:tcW w:w="1701" w:type="dxa"/>
            <w:vAlign w:val="center"/>
          </w:tcPr>
          <w:p w14:paraId="63E0609E" w14:textId="77777777" w:rsidR="00454A29" w:rsidRDefault="00454A29">
            <w:pPr>
              <w:pStyle w:val="ConsPlusNormal"/>
            </w:pPr>
          </w:p>
        </w:tc>
        <w:tc>
          <w:tcPr>
            <w:tcW w:w="1701" w:type="dxa"/>
            <w:vAlign w:val="center"/>
          </w:tcPr>
          <w:p w14:paraId="31E768BD" w14:textId="77777777" w:rsidR="00454A29" w:rsidRDefault="00454A29">
            <w:pPr>
              <w:pStyle w:val="ConsPlusNormal"/>
            </w:pPr>
          </w:p>
        </w:tc>
        <w:tc>
          <w:tcPr>
            <w:tcW w:w="1814" w:type="dxa"/>
            <w:vAlign w:val="center"/>
          </w:tcPr>
          <w:p w14:paraId="15A9DE40" w14:textId="77777777" w:rsidR="00454A29" w:rsidRDefault="00454A29">
            <w:pPr>
              <w:pStyle w:val="ConsPlusNormal"/>
            </w:pPr>
          </w:p>
        </w:tc>
      </w:tr>
      <w:tr w:rsidR="00454A29" w14:paraId="35AA7837" w14:textId="77777777">
        <w:tc>
          <w:tcPr>
            <w:tcW w:w="567" w:type="dxa"/>
            <w:vMerge/>
          </w:tcPr>
          <w:p w14:paraId="4D972BD9" w14:textId="77777777" w:rsidR="00454A29" w:rsidRDefault="00454A29"/>
        </w:tc>
        <w:tc>
          <w:tcPr>
            <w:tcW w:w="3345" w:type="dxa"/>
            <w:vMerge/>
          </w:tcPr>
          <w:p w14:paraId="3B79F5E1" w14:textId="77777777" w:rsidR="00454A29" w:rsidRDefault="00454A29"/>
        </w:tc>
        <w:tc>
          <w:tcPr>
            <w:tcW w:w="1701" w:type="dxa"/>
            <w:vAlign w:val="center"/>
          </w:tcPr>
          <w:p w14:paraId="50DA8E9B" w14:textId="77777777" w:rsidR="00454A29" w:rsidRDefault="00454A29">
            <w:pPr>
              <w:pStyle w:val="ConsPlusNormal"/>
              <w:jc w:val="center"/>
            </w:pPr>
            <w:r>
              <w:t>2024</w:t>
            </w:r>
          </w:p>
        </w:tc>
        <w:tc>
          <w:tcPr>
            <w:tcW w:w="1417" w:type="dxa"/>
            <w:vMerge/>
          </w:tcPr>
          <w:p w14:paraId="6B9DB04A" w14:textId="77777777" w:rsidR="00454A29" w:rsidRDefault="00454A29"/>
        </w:tc>
        <w:tc>
          <w:tcPr>
            <w:tcW w:w="2204" w:type="dxa"/>
            <w:vMerge/>
          </w:tcPr>
          <w:p w14:paraId="1B80FAE0" w14:textId="77777777" w:rsidR="00454A29" w:rsidRDefault="00454A29"/>
        </w:tc>
        <w:tc>
          <w:tcPr>
            <w:tcW w:w="1417" w:type="dxa"/>
            <w:vMerge/>
          </w:tcPr>
          <w:p w14:paraId="3E251DBF" w14:textId="77777777" w:rsidR="00454A29" w:rsidRDefault="00454A29"/>
        </w:tc>
        <w:tc>
          <w:tcPr>
            <w:tcW w:w="2324" w:type="dxa"/>
            <w:vMerge/>
          </w:tcPr>
          <w:p w14:paraId="30F2EEF8" w14:textId="77777777" w:rsidR="00454A29" w:rsidRDefault="00454A29"/>
        </w:tc>
        <w:tc>
          <w:tcPr>
            <w:tcW w:w="1701" w:type="dxa"/>
            <w:vAlign w:val="center"/>
          </w:tcPr>
          <w:p w14:paraId="72C67DFA" w14:textId="77777777" w:rsidR="00454A29" w:rsidRDefault="00454A29">
            <w:pPr>
              <w:pStyle w:val="ConsPlusNormal"/>
              <w:jc w:val="center"/>
            </w:pPr>
            <w:r>
              <w:t>54 967,96</w:t>
            </w:r>
          </w:p>
        </w:tc>
        <w:tc>
          <w:tcPr>
            <w:tcW w:w="1814" w:type="dxa"/>
            <w:vAlign w:val="center"/>
          </w:tcPr>
          <w:p w14:paraId="43DBD083" w14:textId="77777777" w:rsidR="00454A29" w:rsidRDefault="00454A29">
            <w:pPr>
              <w:pStyle w:val="ConsPlusNormal"/>
              <w:jc w:val="center"/>
            </w:pPr>
            <w:r>
              <w:t>54 967,96</w:t>
            </w:r>
          </w:p>
        </w:tc>
        <w:tc>
          <w:tcPr>
            <w:tcW w:w="1701" w:type="dxa"/>
            <w:vAlign w:val="center"/>
          </w:tcPr>
          <w:p w14:paraId="62DB129F" w14:textId="77777777" w:rsidR="00454A29" w:rsidRDefault="00454A29">
            <w:pPr>
              <w:pStyle w:val="ConsPlusNormal"/>
            </w:pPr>
          </w:p>
        </w:tc>
        <w:tc>
          <w:tcPr>
            <w:tcW w:w="1701" w:type="dxa"/>
            <w:vAlign w:val="center"/>
          </w:tcPr>
          <w:p w14:paraId="09664039" w14:textId="77777777" w:rsidR="00454A29" w:rsidRDefault="00454A29">
            <w:pPr>
              <w:pStyle w:val="ConsPlusNormal"/>
            </w:pPr>
          </w:p>
        </w:tc>
        <w:tc>
          <w:tcPr>
            <w:tcW w:w="1814" w:type="dxa"/>
            <w:vAlign w:val="center"/>
          </w:tcPr>
          <w:p w14:paraId="32BA71BF" w14:textId="77777777" w:rsidR="00454A29" w:rsidRDefault="00454A29">
            <w:pPr>
              <w:pStyle w:val="ConsPlusNormal"/>
            </w:pPr>
          </w:p>
        </w:tc>
      </w:tr>
      <w:tr w:rsidR="00454A29" w14:paraId="044EF045" w14:textId="77777777">
        <w:tc>
          <w:tcPr>
            <w:tcW w:w="567" w:type="dxa"/>
            <w:vMerge/>
          </w:tcPr>
          <w:p w14:paraId="67D2A8ED" w14:textId="77777777" w:rsidR="00454A29" w:rsidRDefault="00454A29"/>
        </w:tc>
        <w:tc>
          <w:tcPr>
            <w:tcW w:w="3345" w:type="dxa"/>
            <w:vMerge/>
          </w:tcPr>
          <w:p w14:paraId="17A768DD" w14:textId="77777777" w:rsidR="00454A29" w:rsidRDefault="00454A29"/>
        </w:tc>
        <w:tc>
          <w:tcPr>
            <w:tcW w:w="1701" w:type="dxa"/>
            <w:vAlign w:val="center"/>
          </w:tcPr>
          <w:p w14:paraId="0C6E94D2" w14:textId="77777777" w:rsidR="00454A29" w:rsidRDefault="00454A29">
            <w:pPr>
              <w:pStyle w:val="ConsPlusNormal"/>
              <w:jc w:val="center"/>
            </w:pPr>
            <w:r>
              <w:t>2025</w:t>
            </w:r>
          </w:p>
        </w:tc>
        <w:tc>
          <w:tcPr>
            <w:tcW w:w="1417" w:type="dxa"/>
            <w:vMerge/>
          </w:tcPr>
          <w:p w14:paraId="094FE80D" w14:textId="77777777" w:rsidR="00454A29" w:rsidRDefault="00454A29"/>
        </w:tc>
        <w:tc>
          <w:tcPr>
            <w:tcW w:w="2204" w:type="dxa"/>
            <w:vMerge/>
          </w:tcPr>
          <w:p w14:paraId="5985F132" w14:textId="77777777" w:rsidR="00454A29" w:rsidRDefault="00454A29"/>
        </w:tc>
        <w:tc>
          <w:tcPr>
            <w:tcW w:w="1417" w:type="dxa"/>
            <w:vMerge/>
          </w:tcPr>
          <w:p w14:paraId="0282E708" w14:textId="77777777" w:rsidR="00454A29" w:rsidRDefault="00454A29"/>
        </w:tc>
        <w:tc>
          <w:tcPr>
            <w:tcW w:w="2324" w:type="dxa"/>
            <w:vMerge/>
          </w:tcPr>
          <w:p w14:paraId="72E5C58A" w14:textId="77777777" w:rsidR="00454A29" w:rsidRDefault="00454A29"/>
        </w:tc>
        <w:tc>
          <w:tcPr>
            <w:tcW w:w="1701" w:type="dxa"/>
            <w:vAlign w:val="center"/>
          </w:tcPr>
          <w:p w14:paraId="73D842B5" w14:textId="77777777" w:rsidR="00454A29" w:rsidRDefault="00454A29">
            <w:pPr>
              <w:pStyle w:val="ConsPlusNormal"/>
              <w:jc w:val="center"/>
            </w:pPr>
            <w:r>
              <w:t>-</w:t>
            </w:r>
          </w:p>
        </w:tc>
        <w:tc>
          <w:tcPr>
            <w:tcW w:w="1814" w:type="dxa"/>
            <w:vAlign w:val="center"/>
          </w:tcPr>
          <w:p w14:paraId="4A84092C" w14:textId="77777777" w:rsidR="00454A29" w:rsidRDefault="00454A29">
            <w:pPr>
              <w:pStyle w:val="ConsPlusNormal"/>
            </w:pPr>
          </w:p>
        </w:tc>
        <w:tc>
          <w:tcPr>
            <w:tcW w:w="1701" w:type="dxa"/>
            <w:vAlign w:val="center"/>
          </w:tcPr>
          <w:p w14:paraId="4660BAB8" w14:textId="77777777" w:rsidR="00454A29" w:rsidRDefault="00454A29">
            <w:pPr>
              <w:pStyle w:val="ConsPlusNormal"/>
            </w:pPr>
          </w:p>
        </w:tc>
        <w:tc>
          <w:tcPr>
            <w:tcW w:w="1701" w:type="dxa"/>
            <w:vAlign w:val="center"/>
          </w:tcPr>
          <w:p w14:paraId="07E8079A" w14:textId="77777777" w:rsidR="00454A29" w:rsidRDefault="00454A29">
            <w:pPr>
              <w:pStyle w:val="ConsPlusNormal"/>
            </w:pPr>
          </w:p>
        </w:tc>
        <w:tc>
          <w:tcPr>
            <w:tcW w:w="1814" w:type="dxa"/>
            <w:vAlign w:val="center"/>
          </w:tcPr>
          <w:p w14:paraId="6B7861DB" w14:textId="77777777" w:rsidR="00454A29" w:rsidRDefault="00454A29">
            <w:pPr>
              <w:pStyle w:val="ConsPlusNormal"/>
            </w:pPr>
          </w:p>
        </w:tc>
      </w:tr>
      <w:tr w:rsidR="00454A29" w14:paraId="08656EDA" w14:textId="77777777">
        <w:tc>
          <w:tcPr>
            <w:tcW w:w="567" w:type="dxa"/>
            <w:vMerge/>
          </w:tcPr>
          <w:p w14:paraId="63643525" w14:textId="77777777" w:rsidR="00454A29" w:rsidRDefault="00454A29"/>
        </w:tc>
        <w:tc>
          <w:tcPr>
            <w:tcW w:w="3345" w:type="dxa"/>
            <w:vMerge/>
          </w:tcPr>
          <w:p w14:paraId="1657C17B" w14:textId="77777777" w:rsidR="00454A29" w:rsidRDefault="00454A29"/>
        </w:tc>
        <w:tc>
          <w:tcPr>
            <w:tcW w:w="1701" w:type="dxa"/>
            <w:vAlign w:val="center"/>
          </w:tcPr>
          <w:p w14:paraId="3FA65AE2" w14:textId="77777777" w:rsidR="00454A29" w:rsidRDefault="00454A29">
            <w:pPr>
              <w:pStyle w:val="ConsPlusNormal"/>
              <w:jc w:val="center"/>
            </w:pPr>
            <w:r>
              <w:t>2026</w:t>
            </w:r>
          </w:p>
        </w:tc>
        <w:tc>
          <w:tcPr>
            <w:tcW w:w="1417" w:type="dxa"/>
            <w:vMerge/>
          </w:tcPr>
          <w:p w14:paraId="6BF969B7" w14:textId="77777777" w:rsidR="00454A29" w:rsidRDefault="00454A29"/>
        </w:tc>
        <w:tc>
          <w:tcPr>
            <w:tcW w:w="2204" w:type="dxa"/>
            <w:vMerge/>
          </w:tcPr>
          <w:p w14:paraId="5A59749C" w14:textId="77777777" w:rsidR="00454A29" w:rsidRDefault="00454A29"/>
        </w:tc>
        <w:tc>
          <w:tcPr>
            <w:tcW w:w="1417" w:type="dxa"/>
            <w:vMerge/>
          </w:tcPr>
          <w:p w14:paraId="34DB6A80" w14:textId="77777777" w:rsidR="00454A29" w:rsidRDefault="00454A29"/>
        </w:tc>
        <w:tc>
          <w:tcPr>
            <w:tcW w:w="2324" w:type="dxa"/>
            <w:vMerge/>
          </w:tcPr>
          <w:p w14:paraId="60918491" w14:textId="77777777" w:rsidR="00454A29" w:rsidRDefault="00454A29"/>
        </w:tc>
        <w:tc>
          <w:tcPr>
            <w:tcW w:w="1701" w:type="dxa"/>
            <w:vAlign w:val="center"/>
          </w:tcPr>
          <w:p w14:paraId="4997A73C" w14:textId="77777777" w:rsidR="00454A29" w:rsidRDefault="00454A29">
            <w:pPr>
              <w:pStyle w:val="ConsPlusNormal"/>
              <w:jc w:val="center"/>
            </w:pPr>
            <w:r>
              <w:t>-</w:t>
            </w:r>
          </w:p>
        </w:tc>
        <w:tc>
          <w:tcPr>
            <w:tcW w:w="1814" w:type="dxa"/>
            <w:vAlign w:val="center"/>
          </w:tcPr>
          <w:p w14:paraId="59F78C9A" w14:textId="77777777" w:rsidR="00454A29" w:rsidRDefault="00454A29">
            <w:pPr>
              <w:pStyle w:val="ConsPlusNormal"/>
            </w:pPr>
          </w:p>
        </w:tc>
        <w:tc>
          <w:tcPr>
            <w:tcW w:w="1701" w:type="dxa"/>
            <w:vAlign w:val="center"/>
          </w:tcPr>
          <w:p w14:paraId="08D9C7B1" w14:textId="77777777" w:rsidR="00454A29" w:rsidRDefault="00454A29">
            <w:pPr>
              <w:pStyle w:val="ConsPlusNormal"/>
            </w:pPr>
          </w:p>
        </w:tc>
        <w:tc>
          <w:tcPr>
            <w:tcW w:w="1701" w:type="dxa"/>
            <w:vAlign w:val="center"/>
          </w:tcPr>
          <w:p w14:paraId="25CE7950" w14:textId="77777777" w:rsidR="00454A29" w:rsidRDefault="00454A29">
            <w:pPr>
              <w:pStyle w:val="ConsPlusNormal"/>
            </w:pPr>
          </w:p>
        </w:tc>
        <w:tc>
          <w:tcPr>
            <w:tcW w:w="1814" w:type="dxa"/>
            <w:vAlign w:val="center"/>
          </w:tcPr>
          <w:p w14:paraId="7D10CBC0" w14:textId="77777777" w:rsidR="00454A29" w:rsidRDefault="00454A29">
            <w:pPr>
              <w:pStyle w:val="ConsPlusNormal"/>
            </w:pPr>
          </w:p>
        </w:tc>
      </w:tr>
      <w:tr w:rsidR="00454A29" w14:paraId="13541D63" w14:textId="77777777">
        <w:tc>
          <w:tcPr>
            <w:tcW w:w="567" w:type="dxa"/>
            <w:vMerge w:val="restart"/>
            <w:vAlign w:val="center"/>
          </w:tcPr>
          <w:p w14:paraId="365A5C77" w14:textId="77777777" w:rsidR="00454A29" w:rsidRDefault="00454A29">
            <w:pPr>
              <w:pStyle w:val="ConsPlusNormal"/>
              <w:jc w:val="center"/>
            </w:pPr>
            <w:r>
              <w:t>21</w:t>
            </w:r>
          </w:p>
        </w:tc>
        <w:tc>
          <w:tcPr>
            <w:tcW w:w="3345" w:type="dxa"/>
            <w:vMerge w:val="restart"/>
            <w:vAlign w:val="center"/>
          </w:tcPr>
          <w:p w14:paraId="439A0EB5" w14:textId="77777777" w:rsidR="00454A29" w:rsidRDefault="00454A29">
            <w:pPr>
              <w:pStyle w:val="ConsPlusNormal"/>
              <w:jc w:val="center"/>
            </w:pPr>
            <w:r>
              <w:t>Детский сад на 200 мест в п. Чокурдах Аллаиховского улуса</w:t>
            </w:r>
          </w:p>
        </w:tc>
        <w:tc>
          <w:tcPr>
            <w:tcW w:w="1701" w:type="dxa"/>
            <w:vAlign w:val="center"/>
          </w:tcPr>
          <w:p w14:paraId="0833088E" w14:textId="77777777" w:rsidR="00454A29" w:rsidRDefault="00454A29">
            <w:pPr>
              <w:pStyle w:val="ConsPlusNormal"/>
              <w:jc w:val="center"/>
            </w:pPr>
            <w:r>
              <w:t>2020 - 2026 годы - всего</w:t>
            </w:r>
          </w:p>
        </w:tc>
        <w:tc>
          <w:tcPr>
            <w:tcW w:w="1417" w:type="dxa"/>
            <w:vMerge w:val="restart"/>
            <w:vAlign w:val="center"/>
          </w:tcPr>
          <w:p w14:paraId="28DBD80D" w14:textId="77777777" w:rsidR="00454A29" w:rsidRDefault="00454A29">
            <w:pPr>
              <w:pStyle w:val="ConsPlusNormal"/>
              <w:jc w:val="center"/>
            </w:pPr>
            <w:r>
              <w:t>95 721,48</w:t>
            </w:r>
          </w:p>
        </w:tc>
        <w:tc>
          <w:tcPr>
            <w:tcW w:w="2204" w:type="dxa"/>
            <w:vMerge w:val="restart"/>
            <w:vAlign w:val="center"/>
          </w:tcPr>
          <w:p w14:paraId="14FC2180" w14:textId="77777777" w:rsidR="00454A29" w:rsidRDefault="00454A29">
            <w:pPr>
              <w:pStyle w:val="ConsPlusNormal"/>
              <w:jc w:val="center"/>
            </w:pPr>
            <w:r>
              <w:t>имеется</w:t>
            </w:r>
          </w:p>
        </w:tc>
        <w:tc>
          <w:tcPr>
            <w:tcW w:w="1417" w:type="dxa"/>
            <w:vMerge w:val="restart"/>
            <w:vAlign w:val="center"/>
          </w:tcPr>
          <w:p w14:paraId="279DD683" w14:textId="77777777" w:rsidR="00454A29" w:rsidRDefault="00454A29">
            <w:pPr>
              <w:pStyle w:val="ConsPlusNormal"/>
              <w:jc w:val="center"/>
            </w:pPr>
            <w:r>
              <w:t>98</w:t>
            </w:r>
          </w:p>
        </w:tc>
        <w:tc>
          <w:tcPr>
            <w:tcW w:w="2324" w:type="dxa"/>
            <w:vMerge w:val="restart"/>
            <w:vAlign w:val="center"/>
          </w:tcPr>
          <w:p w14:paraId="6D3B1D1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FD87385" w14:textId="77777777" w:rsidR="00454A29" w:rsidRDefault="00454A29">
            <w:pPr>
              <w:pStyle w:val="ConsPlusNormal"/>
              <w:jc w:val="center"/>
            </w:pPr>
            <w:r>
              <w:t>95 721,48</w:t>
            </w:r>
          </w:p>
        </w:tc>
        <w:tc>
          <w:tcPr>
            <w:tcW w:w="1814" w:type="dxa"/>
            <w:vAlign w:val="center"/>
          </w:tcPr>
          <w:p w14:paraId="7DD47F91" w14:textId="77777777" w:rsidR="00454A29" w:rsidRDefault="00454A29">
            <w:pPr>
              <w:pStyle w:val="ConsPlusNormal"/>
              <w:jc w:val="center"/>
            </w:pPr>
            <w:r>
              <w:t>164 328,73</w:t>
            </w:r>
          </w:p>
        </w:tc>
        <w:tc>
          <w:tcPr>
            <w:tcW w:w="1701" w:type="dxa"/>
            <w:vAlign w:val="center"/>
          </w:tcPr>
          <w:p w14:paraId="5C2EDE1A" w14:textId="77777777" w:rsidR="00454A29" w:rsidRDefault="00454A29">
            <w:pPr>
              <w:pStyle w:val="ConsPlusNormal"/>
              <w:jc w:val="center"/>
            </w:pPr>
            <w:r>
              <w:t>-</w:t>
            </w:r>
          </w:p>
        </w:tc>
        <w:tc>
          <w:tcPr>
            <w:tcW w:w="1701" w:type="dxa"/>
            <w:vAlign w:val="center"/>
          </w:tcPr>
          <w:p w14:paraId="0D0B722D" w14:textId="77777777" w:rsidR="00454A29" w:rsidRDefault="00454A29">
            <w:pPr>
              <w:pStyle w:val="ConsPlusNormal"/>
              <w:jc w:val="center"/>
            </w:pPr>
            <w:r>
              <w:t>-</w:t>
            </w:r>
          </w:p>
        </w:tc>
        <w:tc>
          <w:tcPr>
            <w:tcW w:w="1814" w:type="dxa"/>
            <w:vAlign w:val="center"/>
          </w:tcPr>
          <w:p w14:paraId="0B27DCF3" w14:textId="77777777" w:rsidR="00454A29" w:rsidRDefault="00454A29">
            <w:pPr>
              <w:pStyle w:val="ConsPlusNormal"/>
              <w:jc w:val="center"/>
            </w:pPr>
            <w:r>
              <w:t>-</w:t>
            </w:r>
          </w:p>
        </w:tc>
      </w:tr>
      <w:tr w:rsidR="00454A29" w14:paraId="320B7AC4" w14:textId="77777777">
        <w:tc>
          <w:tcPr>
            <w:tcW w:w="567" w:type="dxa"/>
            <w:vMerge/>
          </w:tcPr>
          <w:p w14:paraId="1CF820E7" w14:textId="77777777" w:rsidR="00454A29" w:rsidRDefault="00454A29"/>
        </w:tc>
        <w:tc>
          <w:tcPr>
            <w:tcW w:w="3345" w:type="dxa"/>
            <w:vMerge/>
          </w:tcPr>
          <w:p w14:paraId="761311C2" w14:textId="77777777" w:rsidR="00454A29" w:rsidRDefault="00454A29"/>
        </w:tc>
        <w:tc>
          <w:tcPr>
            <w:tcW w:w="1701" w:type="dxa"/>
            <w:vAlign w:val="center"/>
          </w:tcPr>
          <w:p w14:paraId="549D497E" w14:textId="77777777" w:rsidR="00454A29" w:rsidRDefault="00454A29">
            <w:pPr>
              <w:pStyle w:val="ConsPlusNormal"/>
              <w:jc w:val="center"/>
            </w:pPr>
            <w:r>
              <w:t>2020</w:t>
            </w:r>
          </w:p>
        </w:tc>
        <w:tc>
          <w:tcPr>
            <w:tcW w:w="1417" w:type="dxa"/>
            <w:vMerge/>
          </w:tcPr>
          <w:p w14:paraId="31195718" w14:textId="77777777" w:rsidR="00454A29" w:rsidRDefault="00454A29"/>
        </w:tc>
        <w:tc>
          <w:tcPr>
            <w:tcW w:w="2204" w:type="dxa"/>
            <w:vMerge/>
          </w:tcPr>
          <w:p w14:paraId="342EF1E9" w14:textId="77777777" w:rsidR="00454A29" w:rsidRDefault="00454A29"/>
        </w:tc>
        <w:tc>
          <w:tcPr>
            <w:tcW w:w="1417" w:type="dxa"/>
            <w:vMerge/>
          </w:tcPr>
          <w:p w14:paraId="08034859" w14:textId="77777777" w:rsidR="00454A29" w:rsidRDefault="00454A29"/>
        </w:tc>
        <w:tc>
          <w:tcPr>
            <w:tcW w:w="2324" w:type="dxa"/>
            <w:vMerge/>
          </w:tcPr>
          <w:p w14:paraId="00FB2380" w14:textId="77777777" w:rsidR="00454A29" w:rsidRDefault="00454A29"/>
        </w:tc>
        <w:tc>
          <w:tcPr>
            <w:tcW w:w="1701" w:type="dxa"/>
            <w:vAlign w:val="center"/>
          </w:tcPr>
          <w:p w14:paraId="3D8D9C93" w14:textId="77777777" w:rsidR="00454A29" w:rsidRDefault="00454A29">
            <w:pPr>
              <w:pStyle w:val="ConsPlusNormal"/>
              <w:jc w:val="center"/>
            </w:pPr>
            <w:r>
              <w:t>-</w:t>
            </w:r>
          </w:p>
        </w:tc>
        <w:tc>
          <w:tcPr>
            <w:tcW w:w="1814" w:type="dxa"/>
            <w:vAlign w:val="center"/>
          </w:tcPr>
          <w:p w14:paraId="7CBC7A48" w14:textId="77777777" w:rsidR="00454A29" w:rsidRDefault="00454A29">
            <w:pPr>
              <w:pStyle w:val="ConsPlusNormal"/>
            </w:pPr>
          </w:p>
        </w:tc>
        <w:tc>
          <w:tcPr>
            <w:tcW w:w="1701" w:type="dxa"/>
            <w:vAlign w:val="center"/>
          </w:tcPr>
          <w:p w14:paraId="65AC2160" w14:textId="77777777" w:rsidR="00454A29" w:rsidRDefault="00454A29">
            <w:pPr>
              <w:pStyle w:val="ConsPlusNormal"/>
            </w:pPr>
          </w:p>
        </w:tc>
        <w:tc>
          <w:tcPr>
            <w:tcW w:w="1701" w:type="dxa"/>
            <w:vAlign w:val="center"/>
          </w:tcPr>
          <w:p w14:paraId="17895E95" w14:textId="77777777" w:rsidR="00454A29" w:rsidRDefault="00454A29">
            <w:pPr>
              <w:pStyle w:val="ConsPlusNormal"/>
            </w:pPr>
          </w:p>
        </w:tc>
        <w:tc>
          <w:tcPr>
            <w:tcW w:w="1814" w:type="dxa"/>
            <w:vAlign w:val="center"/>
          </w:tcPr>
          <w:p w14:paraId="0BFE3387" w14:textId="77777777" w:rsidR="00454A29" w:rsidRDefault="00454A29">
            <w:pPr>
              <w:pStyle w:val="ConsPlusNormal"/>
            </w:pPr>
          </w:p>
        </w:tc>
      </w:tr>
      <w:tr w:rsidR="00454A29" w14:paraId="1DC56093" w14:textId="77777777">
        <w:tc>
          <w:tcPr>
            <w:tcW w:w="567" w:type="dxa"/>
            <w:vMerge/>
          </w:tcPr>
          <w:p w14:paraId="7D7177EF" w14:textId="77777777" w:rsidR="00454A29" w:rsidRDefault="00454A29"/>
        </w:tc>
        <w:tc>
          <w:tcPr>
            <w:tcW w:w="3345" w:type="dxa"/>
            <w:vMerge/>
          </w:tcPr>
          <w:p w14:paraId="0512F7A6" w14:textId="77777777" w:rsidR="00454A29" w:rsidRDefault="00454A29"/>
        </w:tc>
        <w:tc>
          <w:tcPr>
            <w:tcW w:w="1701" w:type="dxa"/>
            <w:vAlign w:val="center"/>
          </w:tcPr>
          <w:p w14:paraId="43B35D77" w14:textId="77777777" w:rsidR="00454A29" w:rsidRDefault="00454A29">
            <w:pPr>
              <w:pStyle w:val="ConsPlusNormal"/>
              <w:jc w:val="center"/>
            </w:pPr>
            <w:r>
              <w:t>2021</w:t>
            </w:r>
          </w:p>
        </w:tc>
        <w:tc>
          <w:tcPr>
            <w:tcW w:w="1417" w:type="dxa"/>
            <w:vMerge/>
          </w:tcPr>
          <w:p w14:paraId="531586FB" w14:textId="77777777" w:rsidR="00454A29" w:rsidRDefault="00454A29"/>
        </w:tc>
        <w:tc>
          <w:tcPr>
            <w:tcW w:w="2204" w:type="dxa"/>
            <w:vMerge/>
          </w:tcPr>
          <w:p w14:paraId="7BE82279" w14:textId="77777777" w:rsidR="00454A29" w:rsidRDefault="00454A29"/>
        </w:tc>
        <w:tc>
          <w:tcPr>
            <w:tcW w:w="1417" w:type="dxa"/>
            <w:vMerge/>
          </w:tcPr>
          <w:p w14:paraId="137F6D40" w14:textId="77777777" w:rsidR="00454A29" w:rsidRDefault="00454A29"/>
        </w:tc>
        <w:tc>
          <w:tcPr>
            <w:tcW w:w="2324" w:type="dxa"/>
            <w:vMerge/>
          </w:tcPr>
          <w:p w14:paraId="1A8EFC4E" w14:textId="77777777" w:rsidR="00454A29" w:rsidRDefault="00454A29"/>
        </w:tc>
        <w:tc>
          <w:tcPr>
            <w:tcW w:w="1701" w:type="dxa"/>
            <w:vAlign w:val="center"/>
          </w:tcPr>
          <w:p w14:paraId="7A71FDD2" w14:textId="77777777" w:rsidR="00454A29" w:rsidRDefault="00454A29">
            <w:pPr>
              <w:pStyle w:val="ConsPlusNormal"/>
              <w:jc w:val="center"/>
            </w:pPr>
            <w:r>
              <w:t>-</w:t>
            </w:r>
          </w:p>
        </w:tc>
        <w:tc>
          <w:tcPr>
            <w:tcW w:w="1814" w:type="dxa"/>
            <w:vAlign w:val="center"/>
          </w:tcPr>
          <w:p w14:paraId="0223580E" w14:textId="77777777" w:rsidR="00454A29" w:rsidRDefault="00454A29">
            <w:pPr>
              <w:pStyle w:val="ConsPlusNormal"/>
            </w:pPr>
          </w:p>
        </w:tc>
        <w:tc>
          <w:tcPr>
            <w:tcW w:w="1701" w:type="dxa"/>
            <w:vAlign w:val="center"/>
          </w:tcPr>
          <w:p w14:paraId="20F5C0D1" w14:textId="77777777" w:rsidR="00454A29" w:rsidRDefault="00454A29">
            <w:pPr>
              <w:pStyle w:val="ConsPlusNormal"/>
            </w:pPr>
          </w:p>
        </w:tc>
        <w:tc>
          <w:tcPr>
            <w:tcW w:w="1701" w:type="dxa"/>
            <w:vAlign w:val="center"/>
          </w:tcPr>
          <w:p w14:paraId="0EF2E075" w14:textId="77777777" w:rsidR="00454A29" w:rsidRDefault="00454A29">
            <w:pPr>
              <w:pStyle w:val="ConsPlusNormal"/>
            </w:pPr>
          </w:p>
        </w:tc>
        <w:tc>
          <w:tcPr>
            <w:tcW w:w="1814" w:type="dxa"/>
            <w:vAlign w:val="center"/>
          </w:tcPr>
          <w:p w14:paraId="16999A69" w14:textId="77777777" w:rsidR="00454A29" w:rsidRDefault="00454A29">
            <w:pPr>
              <w:pStyle w:val="ConsPlusNormal"/>
            </w:pPr>
          </w:p>
        </w:tc>
      </w:tr>
      <w:tr w:rsidR="00454A29" w14:paraId="4AA69BBE" w14:textId="77777777">
        <w:tc>
          <w:tcPr>
            <w:tcW w:w="567" w:type="dxa"/>
            <w:vMerge/>
          </w:tcPr>
          <w:p w14:paraId="3816A43F" w14:textId="77777777" w:rsidR="00454A29" w:rsidRDefault="00454A29"/>
        </w:tc>
        <w:tc>
          <w:tcPr>
            <w:tcW w:w="3345" w:type="dxa"/>
            <w:vMerge/>
          </w:tcPr>
          <w:p w14:paraId="57A7CB3E" w14:textId="77777777" w:rsidR="00454A29" w:rsidRDefault="00454A29"/>
        </w:tc>
        <w:tc>
          <w:tcPr>
            <w:tcW w:w="1701" w:type="dxa"/>
            <w:vAlign w:val="center"/>
          </w:tcPr>
          <w:p w14:paraId="5B2CF8DE" w14:textId="77777777" w:rsidR="00454A29" w:rsidRDefault="00454A29">
            <w:pPr>
              <w:pStyle w:val="ConsPlusNormal"/>
              <w:jc w:val="center"/>
            </w:pPr>
            <w:r>
              <w:t>2022</w:t>
            </w:r>
          </w:p>
        </w:tc>
        <w:tc>
          <w:tcPr>
            <w:tcW w:w="1417" w:type="dxa"/>
            <w:vMerge/>
          </w:tcPr>
          <w:p w14:paraId="67543357" w14:textId="77777777" w:rsidR="00454A29" w:rsidRDefault="00454A29"/>
        </w:tc>
        <w:tc>
          <w:tcPr>
            <w:tcW w:w="2204" w:type="dxa"/>
            <w:vMerge/>
          </w:tcPr>
          <w:p w14:paraId="24427084" w14:textId="77777777" w:rsidR="00454A29" w:rsidRDefault="00454A29"/>
        </w:tc>
        <w:tc>
          <w:tcPr>
            <w:tcW w:w="1417" w:type="dxa"/>
            <w:vMerge/>
          </w:tcPr>
          <w:p w14:paraId="23E33E9D" w14:textId="77777777" w:rsidR="00454A29" w:rsidRDefault="00454A29"/>
        </w:tc>
        <w:tc>
          <w:tcPr>
            <w:tcW w:w="2324" w:type="dxa"/>
            <w:vMerge/>
          </w:tcPr>
          <w:p w14:paraId="5FE5CB86" w14:textId="77777777" w:rsidR="00454A29" w:rsidRDefault="00454A29"/>
        </w:tc>
        <w:tc>
          <w:tcPr>
            <w:tcW w:w="1701" w:type="dxa"/>
            <w:vAlign w:val="center"/>
          </w:tcPr>
          <w:p w14:paraId="0DBDC041" w14:textId="77777777" w:rsidR="00454A29" w:rsidRDefault="00454A29">
            <w:pPr>
              <w:pStyle w:val="ConsPlusNormal"/>
            </w:pPr>
          </w:p>
        </w:tc>
        <w:tc>
          <w:tcPr>
            <w:tcW w:w="1814" w:type="dxa"/>
            <w:vAlign w:val="center"/>
          </w:tcPr>
          <w:p w14:paraId="438538A8" w14:textId="77777777" w:rsidR="00454A29" w:rsidRDefault="00454A29">
            <w:pPr>
              <w:pStyle w:val="ConsPlusNormal"/>
            </w:pPr>
          </w:p>
        </w:tc>
        <w:tc>
          <w:tcPr>
            <w:tcW w:w="1701" w:type="dxa"/>
            <w:vAlign w:val="center"/>
          </w:tcPr>
          <w:p w14:paraId="68DB63F7" w14:textId="77777777" w:rsidR="00454A29" w:rsidRDefault="00454A29">
            <w:pPr>
              <w:pStyle w:val="ConsPlusNormal"/>
            </w:pPr>
          </w:p>
        </w:tc>
        <w:tc>
          <w:tcPr>
            <w:tcW w:w="1701" w:type="dxa"/>
            <w:vAlign w:val="center"/>
          </w:tcPr>
          <w:p w14:paraId="4396D9E4" w14:textId="77777777" w:rsidR="00454A29" w:rsidRDefault="00454A29">
            <w:pPr>
              <w:pStyle w:val="ConsPlusNormal"/>
            </w:pPr>
          </w:p>
        </w:tc>
        <w:tc>
          <w:tcPr>
            <w:tcW w:w="1814" w:type="dxa"/>
            <w:vAlign w:val="center"/>
          </w:tcPr>
          <w:p w14:paraId="0D31CD88" w14:textId="77777777" w:rsidR="00454A29" w:rsidRDefault="00454A29">
            <w:pPr>
              <w:pStyle w:val="ConsPlusNormal"/>
            </w:pPr>
          </w:p>
        </w:tc>
      </w:tr>
      <w:tr w:rsidR="00454A29" w14:paraId="5A0365F1" w14:textId="77777777">
        <w:tc>
          <w:tcPr>
            <w:tcW w:w="567" w:type="dxa"/>
            <w:vMerge/>
          </w:tcPr>
          <w:p w14:paraId="74B1B0D8" w14:textId="77777777" w:rsidR="00454A29" w:rsidRDefault="00454A29"/>
        </w:tc>
        <w:tc>
          <w:tcPr>
            <w:tcW w:w="3345" w:type="dxa"/>
            <w:vMerge/>
          </w:tcPr>
          <w:p w14:paraId="5FDA5317" w14:textId="77777777" w:rsidR="00454A29" w:rsidRDefault="00454A29"/>
        </w:tc>
        <w:tc>
          <w:tcPr>
            <w:tcW w:w="1701" w:type="dxa"/>
            <w:vAlign w:val="center"/>
          </w:tcPr>
          <w:p w14:paraId="55B286AD" w14:textId="77777777" w:rsidR="00454A29" w:rsidRDefault="00454A29">
            <w:pPr>
              <w:pStyle w:val="ConsPlusNormal"/>
              <w:jc w:val="center"/>
            </w:pPr>
            <w:r>
              <w:t>2023</w:t>
            </w:r>
          </w:p>
        </w:tc>
        <w:tc>
          <w:tcPr>
            <w:tcW w:w="1417" w:type="dxa"/>
            <w:vMerge/>
          </w:tcPr>
          <w:p w14:paraId="3CE57536" w14:textId="77777777" w:rsidR="00454A29" w:rsidRDefault="00454A29"/>
        </w:tc>
        <w:tc>
          <w:tcPr>
            <w:tcW w:w="2204" w:type="dxa"/>
            <w:vMerge/>
          </w:tcPr>
          <w:p w14:paraId="49CE74B4" w14:textId="77777777" w:rsidR="00454A29" w:rsidRDefault="00454A29"/>
        </w:tc>
        <w:tc>
          <w:tcPr>
            <w:tcW w:w="1417" w:type="dxa"/>
            <w:vMerge/>
          </w:tcPr>
          <w:p w14:paraId="1060004D" w14:textId="77777777" w:rsidR="00454A29" w:rsidRDefault="00454A29"/>
        </w:tc>
        <w:tc>
          <w:tcPr>
            <w:tcW w:w="2324" w:type="dxa"/>
            <w:vMerge/>
          </w:tcPr>
          <w:p w14:paraId="4DF83475" w14:textId="77777777" w:rsidR="00454A29" w:rsidRDefault="00454A29"/>
        </w:tc>
        <w:tc>
          <w:tcPr>
            <w:tcW w:w="1701" w:type="dxa"/>
            <w:vAlign w:val="center"/>
          </w:tcPr>
          <w:p w14:paraId="460145F8" w14:textId="77777777" w:rsidR="00454A29" w:rsidRDefault="00454A29">
            <w:pPr>
              <w:pStyle w:val="ConsPlusNormal"/>
              <w:jc w:val="center"/>
            </w:pPr>
            <w:r>
              <w:t>40 753,52</w:t>
            </w:r>
          </w:p>
        </w:tc>
        <w:tc>
          <w:tcPr>
            <w:tcW w:w="1814" w:type="dxa"/>
            <w:vAlign w:val="center"/>
          </w:tcPr>
          <w:p w14:paraId="39E6104A" w14:textId="77777777" w:rsidR="00454A29" w:rsidRDefault="00454A29">
            <w:pPr>
              <w:pStyle w:val="ConsPlusNormal"/>
              <w:jc w:val="center"/>
            </w:pPr>
            <w:r>
              <w:t>40 753,52</w:t>
            </w:r>
          </w:p>
        </w:tc>
        <w:tc>
          <w:tcPr>
            <w:tcW w:w="1701" w:type="dxa"/>
            <w:vAlign w:val="center"/>
          </w:tcPr>
          <w:p w14:paraId="4A0BAE84" w14:textId="77777777" w:rsidR="00454A29" w:rsidRDefault="00454A29">
            <w:pPr>
              <w:pStyle w:val="ConsPlusNormal"/>
            </w:pPr>
          </w:p>
        </w:tc>
        <w:tc>
          <w:tcPr>
            <w:tcW w:w="1701" w:type="dxa"/>
            <w:vAlign w:val="center"/>
          </w:tcPr>
          <w:p w14:paraId="3D32CA4E" w14:textId="77777777" w:rsidR="00454A29" w:rsidRDefault="00454A29">
            <w:pPr>
              <w:pStyle w:val="ConsPlusNormal"/>
            </w:pPr>
          </w:p>
        </w:tc>
        <w:tc>
          <w:tcPr>
            <w:tcW w:w="1814" w:type="dxa"/>
            <w:vAlign w:val="center"/>
          </w:tcPr>
          <w:p w14:paraId="6087EFB2" w14:textId="77777777" w:rsidR="00454A29" w:rsidRDefault="00454A29">
            <w:pPr>
              <w:pStyle w:val="ConsPlusNormal"/>
            </w:pPr>
          </w:p>
        </w:tc>
      </w:tr>
      <w:tr w:rsidR="00454A29" w14:paraId="3A0B4D50" w14:textId="77777777">
        <w:tc>
          <w:tcPr>
            <w:tcW w:w="567" w:type="dxa"/>
            <w:vMerge/>
          </w:tcPr>
          <w:p w14:paraId="4F6AA611" w14:textId="77777777" w:rsidR="00454A29" w:rsidRDefault="00454A29"/>
        </w:tc>
        <w:tc>
          <w:tcPr>
            <w:tcW w:w="3345" w:type="dxa"/>
            <w:vMerge/>
          </w:tcPr>
          <w:p w14:paraId="4971BA02" w14:textId="77777777" w:rsidR="00454A29" w:rsidRDefault="00454A29"/>
        </w:tc>
        <w:tc>
          <w:tcPr>
            <w:tcW w:w="1701" w:type="dxa"/>
            <w:vAlign w:val="center"/>
          </w:tcPr>
          <w:p w14:paraId="2AF9C4C8" w14:textId="77777777" w:rsidR="00454A29" w:rsidRDefault="00454A29">
            <w:pPr>
              <w:pStyle w:val="ConsPlusNormal"/>
              <w:jc w:val="center"/>
            </w:pPr>
            <w:r>
              <w:t>2024</w:t>
            </w:r>
          </w:p>
        </w:tc>
        <w:tc>
          <w:tcPr>
            <w:tcW w:w="1417" w:type="dxa"/>
            <w:vMerge/>
          </w:tcPr>
          <w:p w14:paraId="4AFEEF44" w14:textId="77777777" w:rsidR="00454A29" w:rsidRDefault="00454A29"/>
        </w:tc>
        <w:tc>
          <w:tcPr>
            <w:tcW w:w="2204" w:type="dxa"/>
            <w:vMerge/>
          </w:tcPr>
          <w:p w14:paraId="312DEFE7" w14:textId="77777777" w:rsidR="00454A29" w:rsidRDefault="00454A29"/>
        </w:tc>
        <w:tc>
          <w:tcPr>
            <w:tcW w:w="1417" w:type="dxa"/>
            <w:vMerge/>
          </w:tcPr>
          <w:p w14:paraId="4A592F7C" w14:textId="77777777" w:rsidR="00454A29" w:rsidRDefault="00454A29"/>
        </w:tc>
        <w:tc>
          <w:tcPr>
            <w:tcW w:w="2324" w:type="dxa"/>
            <w:vMerge/>
          </w:tcPr>
          <w:p w14:paraId="5A7F7539" w14:textId="77777777" w:rsidR="00454A29" w:rsidRDefault="00454A29"/>
        </w:tc>
        <w:tc>
          <w:tcPr>
            <w:tcW w:w="1701" w:type="dxa"/>
            <w:vAlign w:val="center"/>
          </w:tcPr>
          <w:p w14:paraId="66C0E8FE" w14:textId="77777777" w:rsidR="00454A29" w:rsidRDefault="00454A29">
            <w:pPr>
              <w:pStyle w:val="ConsPlusNormal"/>
              <w:jc w:val="center"/>
            </w:pPr>
            <w:r>
              <w:t>54 967,96</w:t>
            </w:r>
          </w:p>
        </w:tc>
        <w:tc>
          <w:tcPr>
            <w:tcW w:w="1814" w:type="dxa"/>
            <w:vAlign w:val="center"/>
          </w:tcPr>
          <w:p w14:paraId="11B73796" w14:textId="77777777" w:rsidR="00454A29" w:rsidRDefault="00454A29">
            <w:pPr>
              <w:pStyle w:val="ConsPlusNormal"/>
              <w:jc w:val="center"/>
            </w:pPr>
            <w:r>
              <w:t>54 967,96</w:t>
            </w:r>
          </w:p>
        </w:tc>
        <w:tc>
          <w:tcPr>
            <w:tcW w:w="1701" w:type="dxa"/>
            <w:vAlign w:val="center"/>
          </w:tcPr>
          <w:p w14:paraId="3CDC2AC4" w14:textId="77777777" w:rsidR="00454A29" w:rsidRDefault="00454A29">
            <w:pPr>
              <w:pStyle w:val="ConsPlusNormal"/>
            </w:pPr>
          </w:p>
        </w:tc>
        <w:tc>
          <w:tcPr>
            <w:tcW w:w="1701" w:type="dxa"/>
            <w:vAlign w:val="center"/>
          </w:tcPr>
          <w:p w14:paraId="656180A9" w14:textId="77777777" w:rsidR="00454A29" w:rsidRDefault="00454A29">
            <w:pPr>
              <w:pStyle w:val="ConsPlusNormal"/>
            </w:pPr>
          </w:p>
        </w:tc>
        <w:tc>
          <w:tcPr>
            <w:tcW w:w="1814" w:type="dxa"/>
            <w:vAlign w:val="center"/>
          </w:tcPr>
          <w:p w14:paraId="6891BCF7" w14:textId="77777777" w:rsidR="00454A29" w:rsidRDefault="00454A29">
            <w:pPr>
              <w:pStyle w:val="ConsPlusNormal"/>
            </w:pPr>
          </w:p>
        </w:tc>
      </w:tr>
      <w:tr w:rsidR="00454A29" w14:paraId="5827859F" w14:textId="77777777">
        <w:tc>
          <w:tcPr>
            <w:tcW w:w="567" w:type="dxa"/>
            <w:vMerge/>
          </w:tcPr>
          <w:p w14:paraId="5EA1BA05" w14:textId="77777777" w:rsidR="00454A29" w:rsidRDefault="00454A29"/>
        </w:tc>
        <w:tc>
          <w:tcPr>
            <w:tcW w:w="3345" w:type="dxa"/>
            <w:vMerge/>
          </w:tcPr>
          <w:p w14:paraId="7D6A4859" w14:textId="77777777" w:rsidR="00454A29" w:rsidRDefault="00454A29"/>
        </w:tc>
        <w:tc>
          <w:tcPr>
            <w:tcW w:w="1701" w:type="dxa"/>
            <w:vAlign w:val="center"/>
          </w:tcPr>
          <w:p w14:paraId="71668C2B" w14:textId="77777777" w:rsidR="00454A29" w:rsidRDefault="00454A29">
            <w:pPr>
              <w:pStyle w:val="ConsPlusNormal"/>
              <w:jc w:val="center"/>
            </w:pPr>
            <w:r>
              <w:t>2025</w:t>
            </w:r>
          </w:p>
        </w:tc>
        <w:tc>
          <w:tcPr>
            <w:tcW w:w="1417" w:type="dxa"/>
            <w:vMerge/>
          </w:tcPr>
          <w:p w14:paraId="061C47FC" w14:textId="77777777" w:rsidR="00454A29" w:rsidRDefault="00454A29"/>
        </w:tc>
        <w:tc>
          <w:tcPr>
            <w:tcW w:w="2204" w:type="dxa"/>
            <w:vMerge/>
          </w:tcPr>
          <w:p w14:paraId="0602337E" w14:textId="77777777" w:rsidR="00454A29" w:rsidRDefault="00454A29"/>
        </w:tc>
        <w:tc>
          <w:tcPr>
            <w:tcW w:w="1417" w:type="dxa"/>
            <w:vMerge/>
          </w:tcPr>
          <w:p w14:paraId="1D7E0AF1" w14:textId="77777777" w:rsidR="00454A29" w:rsidRDefault="00454A29"/>
        </w:tc>
        <w:tc>
          <w:tcPr>
            <w:tcW w:w="2324" w:type="dxa"/>
            <w:vMerge/>
          </w:tcPr>
          <w:p w14:paraId="077692CD" w14:textId="77777777" w:rsidR="00454A29" w:rsidRDefault="00454A29"/>
        </w:tc>
        <w:tc>
          <w:tcPr>
            <w:tcW w:w="1701" w:type="dxa"/>
            <w:vAlign w:val="center"/>
          </w:tcPr>
          <w:p w14:paraId="6AEA6E61" w14:textId="77777777" w:rsidR="00454A29" w:rsidRDefault="00454A29">
            <w:pPr>
              <w:pStyle w:val="ConsPlusNormal"/>
              <w:jc w:val="center"/>
            </w:pPr>
            <w:r>
              <w:t>-</w:t>
            </w:r>
          </w:p>
        </w:tc>
        <w:tc>
          <w:tcPr>
            <w:tcW w:w="1814" w:type="dxa"/>
            <w:vAlign w:val="center"/>
          </w:tcPr>
          <w:p w14:paraId="3E996A03" w14:textId="77777777" w:rsidR="00454A29" w:rsidRDefault="00454A29">
            <w:pPr>
              <w:pStyle w:val="ConsPlusNormal"/>
            </w:pPr>
          </w:p>
        </w:tc>
        <w:tc>
          <w:tcPr>
            <w:tcW w:w="1701" w:type="dxa"/>
            <w:vAlign w:val="center"/>
          </w:tcPr>
          <w:p w14:paraId="1E84C8CA" w14:textId="77777777" w:rsidR="00454A29" w:rsidRDefault="00454A29">
            <w:pPr>
              <w:pStyle w:val="ConsPlusNormal"/>
            </w:pPr>
          </w:p>
        </w:tc>
        <w:tc>
          <w:tcPr>
            <w:tcW w:w="1701" w:type="dxa"/>
            <w:vAlign w:val="center"/>
          </w:tcPr>
          <w:p w14:paraId="67179CBC" w14:textId="77777777" w:rsidR="00454A29" w:rsidRDefault="00454A29">
            <w:pPr>
              <w:pStyle w:val="ConsPlusNormal"/>
            </w:pPr>
          </w:p>
        </w:tc>
        <w:tc>
          <w:tcPr>
            <w:tcW w:w="1814" w:type="dxa"/>
            <w:vAlign w:val="center"/>
          </w:tcPr>
          <w:p w14:paraId="0FE4D0B6" w14:textId="77777777" w:rsidR="00454A29" w:rsidRDefault="00454A29">
            <w:pPr>
              <w:pStyle w:val="ConsPlusNormal"/>
            </w:pPr>
          </w:p>
        </w:tc>
      </w:tr>
      <w:tr w:rsidR="00454A29" w14:paraId="22599439" w14:textId="77777777">
        <w:tc>
          <w:tcPr>
            <w:tcW w:w="567" w:type="dxa"/>
            <w:vMerge/>
          </w:tcPr>
          <w:p w14:paraId="7F3E04BE" w14:textId="77777777" w:rsidR="00454A29" w:rsidRDefault="00454A29"/>
        </w:tc>
        <w:tc>
          <w:tcPr>
            <w:tcW w:w="3345" w:type="dxa"/>
            <w:vMerge/>
          </w:tcPr>
          <w:p w14:paraId="0948E104" w14:textId="77777777" w:rsidR="00454A29" w:rsidRDefault="00454A29"/>
        </w:tc>
        <w:tc>
          <w:tcPr>
            <w:tcW w:w="1701" w:type="dxa"/>
            <w:vAlign w:val="center"/>
          </w:tcPr>
          <w:p w14:paraId="4BED10D2" w14:textId="77777777" w:rsidR="00454A29" w:rsidRDefault="00454A29">
            <w:pPr>
              <w:pStyle w:val="ConsPlusNormal"/>
              <w:jc w:val="center"/>
            </w:pPr>
            <w:r>
              <w:t>2026</w:t>
            </w:r>
          </w:p>
        </w:tc>
        <w:tc>
          <w:tcPr>
            <w:tcW w:w="1417" w:type="dxa"/>
            <w:vMerge/>
          </w:tcPr>
          <w:p w14:paraId="60AB353C" w14:textId="77777777" w:rsidR="00454A29" w:rsidRDefault="00454A29"/>
        </w:tc>
        <w:tc>
          <w:tcPr>
            <w:tcW w:w="2204" w:type="dxa"/>
            <w:vMerge/>
          </w:tcPr>
          <w:p w14:paraId="23261CAF" w14:textId="77777777" w:rsidR="00454A29" w:rsidRDefault="00454A29"/>
        </w:tc>
        <w:tc>
          <w:tcPr>
            <w:tcW w:w="1417" w:type="dxa"/>
            <w:vMerge/>
          </w:tcPr>
          <w:p w14:paraId="08272FE8" w14:textId="77777777" w:rsidR="00454A29" w:rsidRDefault="00454A29"/>
        </w:tc>
        <w:tc>
          <w:tcPr>
            <w:tcW w:w="2324" w:type="dxa"/>
            <w:vMerge/>
          </w:tcPr>
          <w:p w14:paraId="626591F3" w14:textId="77777777" w:rsidR="00454A29" w:rsidRDefault="00454A29"/>
        </w:tc>
        <w:tc>
          <w:tcPr>
            <w:tcW w:w="1701" w:type="dxa"/>
            <w:vAlign w:val="center"/>
          </w:tcPr>
          <w:p w14:paraId="6D9CF9BB" w14:textId="77777777" w:rsidR="00454A29" w:rsidRDefault="00454A29">
            <w:pPr>
              <w:pStyle w:val="ConsPlusNormal"/>
              <w:jc w:val="center"/>
            </w:pPr>
            <w:r>
              <w:t>-</w:t>
            </w:r>
          </w:p>
        </w:tc>
        <w:tc>
          <w:tcPr>
            <w:tcW w:w="1814" w:type="dxa"/>
            <w:vAlign w:val="center"/>
          </w:tcPr>
          <w:p w14:paraId="3A256EB3" w14:textId="77777777" w:rsidR="00454A29" w:rsidRDefault="00454A29">
            <w:pPr>
              <w:pStyle w:val="ConsPlusNormal"/>
            </w:pPr>
          </w:p>
        </w:tc>
        <w:tc>
          <w:tcPr>
            <w:tcW w:w="1701" w:type="dxa"/>
            <w:vAlign w:val="center"/>
          </w:tcPr>
          <w:p w14:paraId="491494EE" w14:textId="77777777" w:rsidR="00454A29" w:rsidRDefault="00454A29">
            <w:pPr>
              <w:pStyle w:val="ConsPlusNormal"/>
            </w:pPr>
          </w:p>
        </w:tc>
        <w:tc>
          <w:tcPr>
            <w:tcW w:w="1701" w:type="dxa"/>
            <w:vAlign w:val="center"/>
          </w:tcPr>
          <w:p w14:paraId="35A24860" w14:textId="77777777" w:rsidR="00454A29" w:rsidRDefault="00454A29">
            <w:pPr>
              <w:pStyle w:val="ConsPlusNormal"/>
            </w:pPr>
          </w:p>
        </w:tc>
        <w:tc>
          <w:tcPr>
            <w:tcW w:w="1814" w:type="dxa"/>
            <w:vAlign w:val="center"/>
          </w:tcPr>
          <w:p w14:paraId="2DBF6384" w14:textId="77777777" w:rsidR="00454A29" w:rsidRDefault="00454A29">
            <w:pPr>
              <w:pStyle w:val="ConsPlusNormal"/>
            </w:pPr>
          </w:p>
        </w:tc>
      </w:tr>
      <w:tr w:rsidR="00454A29" w14:paraId="612F3C9C" w14:textId="77777777">
        <w:tc>
          <w:tcPr>
            <w:tcW w:w="567" w:type="dxa"/>
            <w:vMerge w:val="restart"/>
            <w:vAlign w:val="center"/>
          </w:tcPr>
          <w:p w14:paraId="61981D4E" w14:textId="77777777" w:rsidR="00454A29" w:rsidRDefault="00454A29">
            <w:pPr>
              <w:pStyle w:val="ConsPlusNormal"/>
              <w:jc w:val="center"/>
            </w:pPr>
            <w:r>
              <w:t>22</w:t>
            </w:r>
          </w:p>
        </w:tc>
        <w:tc>
          <w:tcPr>
            <w:tcW w:w="3345" w:type="dxa"/>
            <w:vMerge w:val="restart"/>
            <w:vAlign w:val="center"/>
          </w:tcPr>
          <w:p w14:paraId="23A927EF" w14:textId="77777777" w:rsidR="00454A29" w:rsidRDefault="00454A29">
            <w:pPr>
              <w:pStyle w:val="ConsPlusNormal"/>
              <w:jc w:val="center"/>
            </w:pPr>
            <w:r>
              <w:t xml:space="preserve">Детский сад на 140 мест в с. Андреевский (Верхневилюйск) </w:t>
            </w:r>
            <w:r>
              <w:lastRenderedPageBreak/>
              <w:t>Верхневилюйского улуса</w:t>
            </w:r>
          </w:p>
        </w:tc>
        <w:tc>
          <w:tcPr>
            <w:tcW w:w="1701" w:type="dxa"/>
            <w:vAlign w:val="center"/>
          </w:tcPr>
          <w:p w14:paraId="2B6DB333" w14:textId="77777777" w:rsidR="00454A29" w:rsidRDefault="00454A29">
            <w:pPr>
              <w:pStyle w:val="ConsPlusNormal"/>
              <w:jc w:val="center"/>
            </w:pPr>
            <w:r>
              <w:lastRenderedPageBreak/>
              <w:t>2020 - 2026 годы - всего</w:t>
            </w:r>
          </w:p>
        </w:tc>
        <w:tc>
          <w:tcPr>
            <w:tcW w:w="1417" w:type="dxa"/>
            <w:vMerge w:val="restart"/>
            <w:vAlign w:val="center"/>
          </w:tcPr>
          <w:p w14:paraId="2A8067EC" w14:textId="77777777" w:rsidR="00454A29" w:rsidRDefault="00454A29">
            <w:pPr>
              <w:pStyle w:val="ConsPlusNormal"/>
              <w:jc w:val="center"/>
            </w:pPr>
            <w:r>
              <w:t>135 249,36</w:t>
            </w:r>
          </w:p>
        </w:tc>
        <w:tc>
          <w:tcPr>
            <w:tcW w:w="2204" w:type="dxa"/>
            <w:vMerge w:val="restart"/>
            <w:vAlign w:val="center"/>
          </w:tcPr>
          <w:p w14:paraId="1B1F8BA6" w14:textId="77777777" w:rsidR="00454A29" w:rsidRDefault="00454A29">
            <w:pPr>
              <w:pStyle w:val="ConsPlusNormal"/>
              <w:jc w:val="center"/>
            </w:pPr>
            <w:r>
              <w:t>имеется</w:t>
            </w:r>
          </w:p>
        </w:tc>
        <w:tc>
          <w:tcPr>
            <w:tcW w:w="1417" w:type="dxa"/>
            <w:vMerge w:val="restart"/>
            <w:vAlign w:val="center"/>
          </w:tcPr>
          <w:p w14:paraId="243D1AA6" w14:textId="77777777" w:rsidR="00454A29" w:rsidRDefault="00454A29">
            <w:pPr>
              <w:pStyle w:val="ConsPlusNormal"/>
              <w:jc w:val="center"/>
            </w:pPr>
            <w:r>
              <w:t>140</w:t>
            </w:r>
          </w:p>
        </w:tc>
        <w:tc>
          <w:tcPr>
            <w:tcW w:w="2324" w:type="dxa"/>
            <w:vMerge w:val="restart"/>
            <w:vAlign w:val="center"/>
          </w:tcPr>
          <w:p w14:paraId="573426BF"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06BF626E" w14:textId="77777777" w:rsidR="00454A29" w:rsidRDefault="00454A29">
            <w:pPr>
              <w:pStyle w:val="ConsPlusNormal"/>
              <w:jc w:val="center"/>
            </w:pPr>
            <w:r>
              <w:lastRenderedPageBreak/>
              <w:t>135 249,36</w:t>
            </w:r>
          </w:p>
        </w:tc>
        <w:tc>
          <w:tcPr>
            <w:tcW w:w="1814" w:type="dxa"/>
            <w:vAlign w:val="center"/>
          </w:tcPr>
          <w:p w14:paraId="772FBECB" w14:textId="77777777" w:rsidR="00454A29" w:rsidRDefault="00454A29">
            <w:pPr>
              <w:pStyle w:val="ConsPlusNormal"/>
              <w:jc w:val="center"/>
            </w:pPr>
            <w:r>
              <w:t>232 187,74</w:t>
            </w:r>
          </w:p>
        </w:tc>
        <w:tc>
          <w:tcPr>
            <w:tcW w:w="1701" w:type="dxa"/>
            <w:vAlign w:val="center"/>
          </w:tcPr>
          <w:p w14:paraId="7DB771B8" w14:textId="77777777" w:rsidR="00454A29" w:rsidRDefault="00454A29">
            <w:pPr>
              <w:pStyle w:val="ConsPlusNormal"/>
              <w:jc w:val="center"/>
            </w:pPr>
            <w:r>
              <w:t>-</w:t>
            </w:r>
          </w:p>
        </w:tc>
        <w:tc>
          <w:tcPr>
            <w:tcW w:w="1701" w:type="dxa"/>
            <w:vAlign w:val="center"/>
          </w:tcPr>
          <w:p w14:paraId="0192A957" w14:textId="77777777" w:rsidR="00454A29" w:rsidRDefault="00454A29">
            <w:pPr>
              <w:pStyle w:val="ConsPlusNormal"/>
              <w:jc w:val="center"/>
            </w:pPr>
            <w:r>
              <w:t>-</w:t>
            </w:r>
          </w:p>
        </w:tc>
        <w:tc>
          <w:tcPr>
            <w:tcW w:w="1814" w:type="dxa"/>
            <w:vAlign w:val="center"/>
          </w:tcPr>
          <w:p w14:paraId="72772E11" w14:textId="77777777" w:rsidR="00454A29" w:rsidRDefault="00454A29">
            <w:pPr>
              <w:pStyle w:val="ConsPlusNormal"/>
              <w:jc w:val="center"/>
            </w:pPr>
            <w:r>
              <w:t>-</w:t>
            </w:r>
          </w:p>
        </w:tc>
      </w:tr>
      <w:tr w:rsidR="00454A29" w14:paraId="57967B19" w14:textId="77777777">
        <w:tc>
          <w:tcPr>
            <w:tcW w:w="567" w:type="dxa"/>
            <w:vMerge/>
          </w:tcPr>
          <w:p w14:paraId="6C350A68" w14:textId="77777777" w:rsidR="00454A29" w:rsidRDefault="00454A29"/>
        </w:tc>
        <w:tc>
          <w:tcPr>
            <w:tcW w:w="3345" w:type="dxa"/>
            <w:vMerge/>
          </w:tcPr>
          <w:p w14:paraId="49DD1A89" w14:textId="77777777" w:rsidR="00454A29" w:rsidRDefault="00454A29"/>
        </w:tc>
        <w:tc>
          <w:tcPr>
            <w:tcW w:w="1701" w:type="dxa"/>
            <w:vAlign w:val="center"/>
          </w:tcPr>
          <w:p w14:paraId="424FE332" w14:textId="77777777" w:rsidR="00454A29" w:rsidRDefault="00454A29">
            <w:pPr>
              <w:pStyle w:val="ConsPlusNormal"/>
              <w:jc w:val="center"/>
            </w:pPr>
            <w:r>
              <w:t>2020</w:t>
            </w:r>
          </w:p>
        </w:tc>
        <w:tc>
          <w:tcPr>
            <w:tcW w:w="1417" w:type="dxa"/>
            <w:vMerge/>
          </w:tcPr>
          <w:p w14:paraId="0DCBBE73" w14:textId="77777777" w:rsidR="00454A29" w:rsidRDefault="00454A29"/>
        </w:tc>
        <w:tc>
          <w:tcPr>
            <w:tcW w:w="2204" w:type="dxa"/>
            <w:vMerge/>
          </w:tcPr>
          <w:p w14:paraId="5C55E79D" w14:textId="77777777" w:rsidR="00454A29" w:rsidRDefault="00454A29"/>
        </w:tc>
        <w:tc>
          <w:tcPr>
            <w:tcW w:w="1417" w:type="dxa"/>
            <w:vMerge/>
          </w:tcPr>
          <w:p w14:paraId="66A367D2" w14:textId="77777777" w:rsidR="00454A29" w:rsidRDefault="00454A29"/>
        </w:tc>
        <w:tc>
          <w:tcPr>
            <w:tcW w:w="2324" w:type="dxa"/>
            <w:vMerge/>
          </w:tcPr>
          <w:p w14:paraId="25D2D1CF" w14:textId="77777777" w:rsidR="00454A29" w:rsidRDefault="00454A29"/>
        </w:tc>
        <w:tc>
          <w:tcPr>
            <w:tcW w:w="1701" w:type="dxa"/>
            <w:vAlign w:val="center"/>
          </w:tcPr>
          <w:p w14:paraId="23C7C8F8" w14:textId="77777777" w:rsidR="00454A29" w:rsidRDefault="00454A29">
            <w:pPr>
              <w:pStyle w:val="ConsPlusNormal"/>
              <w:jc w:val="center"/>
            </w:pPr>
            <w:r>
              <w:t>-</w:t>
            </w:r>
          </w:p>
        </w:tc>
        <w:tc>
          <w:tcPr>
            <w:tcW w:w="1814" w:type="dxa"/>
            <w:vAlign w:val="center"/>
          </w:tcPr>
          <w:p w14:paraId="4275929B" w14:textId="77777777" w:rsidR="00454A29" w:rsidRDefault="00454A29">
            <w:pPr>
              <w:pStyle w:val="ConsPlusNormal"/>
            </w:pPr>
          </w:p>
        </w:tc>
        <w:tc>
          <w:tcPr>
            <w:tcW w:w="1701" w:type="dxa"/>
            <w:vAlign w:val="center"/>
          </w:tcPr>
          <w:p w14:paraId="33862D36" w14:textId="77777777" w:rsidR="00454A29" w:rsidRDefault="00454A29">
            <w:pPr>
              <w:pStyle w:val="ConsPlusNormal"/>
            </w:pPr>
          </w:p>
        </w:tc>
        <w:tc>
          <w:tcPr>
            <w:tcW w:w="1701" w:type="dxa"/>
            <w:vAlign w:val="center"/>
          </w:tcPr>
          <w:p w14:paraId="3D812F7C" w14:textId="77777777" w:rsidR="00454A29" w:rsidRDefault="00454A29">
            <w:pPr>
              <w:pStyle w:val="ConsPlusNormal"/>
            </w:pPr>
          </w:p>
        </w:tc>
        <w:tc>
          <w:tcPr>
            <w:tcW w:w="1814" w:type="dxa"/>
            <w:vAlign w:val="center"/>
          </w:tcPr>
          <w:p w14:paraId="20076ABC" w14:textId="77777777" w:rsidR="00454A29" w:rsidRDefault="00454A29">
            <w:pPr>
              <w:pStyle w:val="ConsPlusNormal"/>
            </w:pPr>
          </w:p>
        </w:tc>
      </w:tr>
      <w:tr w:rsidR="00454A29" w14:paraId="27415CEC" w14:textId="77777777">
        <w:tc>
          <w:tcPr>
            <w:tcW w:w="567" w:type="dxa"/>
            <w:vMerge/>
          </w:tcPr>
          <w:p w14:paraId="42FD4EE4" w14:textId="77777777" w:rsidR="00454A29" w:rsidRDefault="00454A29"/>
        </w:tc>
        <w:tc>
          <w:tcPr>
            <w:tcW w:w="3345" w:type="dxa"/>
            <w:vMerge/>
          </w:tcPr>
          <w:p w14:paraId="0AC84E62" w14:textId="77777777" w:rsidR="00454A29" w:rsidRDefault="00454A29"/>
        </w:tc>
        <w:tc>
          <w:tcPr>
            <w:tcW w:w="1701" w:type="dxa"/>
            <w:vAlign w:val="center"/>
          </w:tcPr>
          <w:p w14:paraId="4173B901" w14:textId="77777777" w:rsidR="00454A29" w:rsidRDefault="00454A29">
            <w:pPr>
              <w:pStyle w:val="ConsPlusNormal"/>
              <w:jc w:val="center"/>
            </w:pPr>
            <w:r>
              <w:t>2021</w:t>
            </w:r>
          </w:p>
        </w:tc>
        <w:tc>
          <w:tcPr>
            <w:tcW w:w="1417" w:type="dxa"/>
            <w:vMerge/>
          </w:tcPr>
          <w:p w14:paraId="0F8D2612" w14:textId="77777777" w:rsidR="00454A29" w:rsidRDefault="00454A29"/>
        </w:tc>
        <w:tc>
          <w:tcPr>
            <w:tcW w:w="2204" w:type="dxa"/>
            <w:vMerge/>
          </w:tcPr>
          <w:p w14:paraId="34FA37B0" w14:textId="77777777" w:rsidR="00454A29" w:rsidRDefault="00454A29"/>
        </w:tc>
        <w:tc>
          <w:tcPr>
            <w:tcW w:w="1417" w:type="dxa"/>
            <w:vMerge/>
          </w:tcPr>
          <w:p w14:paraId="7E3728C9" w14:textId="77777777" w:rsidR="00454A29" w:rsidRDefault="00454A29"/>
        </w:tc>
        <w:tc>
          <w:tcPr>
            <w:tcW w:w="2324" w:type="dxa"/>
            <w:vMerge/>
          </w:tcPr>
          <w:p w14:paraId="25249CA9" w14:textId="77777777" w:rsidR="00454A29" w:rsidRDefault="00454A29"/>
        </w:tc>
        <w:tc>
          <w:tcPr>
            <w:tcW w:w="1701" w:type="dxa"/>
            <w:vAlign w:val="center"/>
          </w:tcPr>
          <w:p w14:paraId="089AB9C4" w14:textId="77777777" w:rsidR="00454A29" w:rsidRDefault="00454A29">
            <w:pPr>
              <w:pStyle w:val="ConsPlusNormal"/>
              <w:jc w:val="center"/>
            </w:pPr>
            <w:r>
              <w:t>-</w:t>
            </w:r>
          </w:p>
        </w:tc>
        <w:tc>
          <w:tcPr>
            <w:tcW w:w="1814" w:type="dxa"/>
            <w:vAlign w:val="center"/>
          </w:tcPr>
          <w:p w14:paraId="32D55AC9" w14:textId="77777777" w:rsidR="00454A29" w:rsidRDefault="00454A29">
            <w:pPr>
              <w:pStyle w:val="ConsPlusNormal"/>
            </w:pPr>
          </w:p>
        </w:tc>
        <w:tc>
          <w:tcPr>
            <w:tcW w:w="1701" w:type="dxa"/>
            <w:vAlign w:val="center"/>
          </w:tcPr>
          <w:p w14:paraId="3E08AEE8" w14:textId="77777777" w:rsidR="00454A29" w:rsidRDefault="00454A29">
            <w:pPr>
              <w:pStyle w:val="ConsPlusNormal"/>
            </w:pPr>
          </w:p>
        </w:tc>
        <w:tc>
          <w:tcPr>
            <w:tcW w:w="1701" w:type="dxa"/>
            <w:vAlign w:val="center"/>
          </w:tcPr>
          <w:p w14:paraId="6E2AC49C" w14:textId="77777777" w:rsidR="00454A29" w:rsidRDefault="00454A29">
            <w:pPr>
              <w:pStyle w:val="ConsPlusNormal"/>
            </w:pPr>
          </w:p>
        </w:tc>
        <w:tc>
          <w:tcPr>
            <w:tcW w:w="1814" w:type="dxa"/>
            <w:vAlign w:val="center"/>
          </w:tcPr>
          <w:p w14:paraId="79C575B3" w14:textId="77777777" w:rsidR="00454A29" w:rsidRDefault="00454A29">
            <w:pPr>
              <w:pStyle w:val="ConsPlusNormal"/>
            </w:pPr>
          </w:p>
        </w:tc>
      </w:tr>
      <w:tr w:rsidR="00454A29" w14:paraId="56697EA9" w14:textId="77777777">
        <w:tc>
          <w:tcPr>
            <w:tcW w:w="567" w:type="dxa"/>
            <w:vMerge/>
          </w:tcPr>
          <w:p w14:paraId="11969E2F" w14:textId="77777777" w:rsidR="00454A29" w:rsidRDefault="00454A29"/>
        </w:tc>
        <w:tc>
          <w:tcPr>
            <w:tcW w:w="3345" w:type="dxa"/>
            <w:vMerge/>
          </w:tcPr>
          <w:p w14:paraId="5A3F1962" w14:textId="77777777" w:rsidR="00454A29" w:rsidRDefault="00454A29"/>
        </w:tc>
        <w:tc>
          <w:tcPr>
            <w:tcW w:w="1701" w:type="dxa"/>
            <w:vAlign w:val="center"/>
          </w:tcPr>
          <w:p w14:paraId="41BDBA2A" w14:textId="77777777" w:rsidR="00454A29" w:rsidRDefault="00454A29">
            <w:pPr>
              <w:pStyle w:val="ConsPlusNormal"/>
              <w:jc w:val="center"/>
            </w:pPr>
            <w:r>
              <w:t>2022</w:t>
            </w:r>
          </w:p>
        </w:tc>
        <w:tc>
          <w:tcPr>
            <w:tcW w:w="1417" w:type="dxa"/>
            <w:vMerge/>
          </w:tcPr>
          <w:p w14:paraId="269BB6E0" w14:textId="77777777" w:rsidR="00454A29" w:rsidRDefault="00454A29"/>
        </w:tc>
        <w:tc>
          <w:tcPr>
            <w:tcW w:w="2204" w:type="dxa"/>
            <w:vMerge/>
          </w:tcPr>
          <w:p w14:paraId="3EC36C24" w14:textId="77777777" w:rsidR="00454A29" w:rsidRDefault="00454A29"/>
        </w:tc>
        <w:tc>
          <w:tcPr>
            <w:tcW w:w="1417" w:type="dxa"/>
            <w:vMerge/>
          </w:tcPr>
          <w:p w14:paraId="6A1886D4" w14:textId="77777777" w:rsidR="00454A29" w:rsidRDefault="00454A29"/>
        </w:tc>
        <w:tc>
          <w:tcPr>
            <w:tcW w:w="2324" w:type="dxa"/>
            <w:vMerge/>
          </w:tcPr>
          <w:p w14:paraId="49F9667B" w14:textId="77777777" w:rsidR="00454A29" w:rsidRDefault="00454A29"/>
        </w:tc>
        <w:tc>
          <w:tcPr>
            <w:tcW w:w="1701" w:type="dxa"/>
            <w:vAlign w:val="center"/>
          </w:tcPr>
          <w:p w14:paraId="7FDD52FF" w14:textId="77777777" w:rsidR="00454A29" w:rsidRDefault="00454A29">
            <w:pPr>
              <w:pStyle w:val="ConsPlusNormal"/>
            </w:pPr>
          </w:p>
        </w:tc>
        <w:tc>
          <w:tcPr>
            <w:tcW w:w="1814" w:type="dxa"/>
            <w:vAlign w:val="center"/>
          </w:tcPr>
          <w:p w14:paraId="68C60A6D" w14:textId="77777777" w:rsidR="00454A29" w:rsidRDefault="00454A29">
            <w:pPr>
              <w:pStyle w:val="ConsPlusNormal"/>
            </w:pPr>
          </w:p>
        </w:tc>
        <w:tc>
          <w:tcPr>
            <w:tcW w:w="1701" w:type="dxa"/>
            <w:vAlign w:val="center"/>
          </w:tcPr>
          <w:p w14:paraId="108AF94D" w14:textId="77777777" w:rsidR="00454A29" w:rsidRDefault="00454A29">
            <w:pPr>
              <w:pStyle w:val="ConsPlusNormal"/>
            </w:pPr>
          </w:p>
        </w:tc>
        <w:tc>
          <w:tcPr>
            <w:tcW w:w="1701" w:type="dxa"/>
            <w:vAlign w:val="center"/>
          </w:tcPr>
          <w:p w14:paraId="3E8AC28F" w14:textId="77777777" w:rsidR="00454A29" w:rsidRDefault="00454A29">
            <w:pPr>
              <w:pStyle w:val="ConsPlusNormal"/>
            </w:pPr>
          </w:p>
        </w:tc>
        <w:tc>
          <w:tcPr>
            <w:tcW w:w="1814" w:type="dxa"/>
            <w:vAlign w:val="center"/>
          </w:tcPr>
          <w:p w14:paraId="6C56BBA4" w14:textId="77777777" w:rsidR="00454A29" w:rsidRDefault="00454A29">
            <w:pPr>
              <w:pStyle w:val="ConsPlusNormal"/>
            </w:pPr>
          </w:p>
        </w:tc>
      </w:tr>
      <w:tr w:rsidR="00454A29" w14:paraId="657FADF2" w14:textId="77777777">
        <w:tc>
          <w:tcPr>
            <w:tcW w:w="567" w:type="dxa"/>
            <w:vMerge/>
          </w:tcPr>
          <w:p w14:paraId="282CEB71" w14:textId="77777777" w:rsidR="00454A29" w:rsidRDefault="00454A29"/>
        </w:tc>
        <w:tc>
          <w:tcPr>
            <w:tcW w:w="3345" w:type="dxa"/>
            <w:vMerge/>
          </w:tcPr>
          <w:p w14:paraId="5E5123EB" w14:textId="77777777" w:rsidR="00454A29" w:rsidRDefault="00454A29"/>
        </w:tc>
        <w:tc>
          <w:tcPr>
            <w:tcW w:w="1701" w:type="dxa"/>
            <w:vAlign w:val="center"/>
          </w:tcPr>
          <w:p w14:paraId="69DBCE5A" w14:textId="77777777" w:rsidR="00454A29" w:rsidRDefault="00454A29">
            <w:pPr>
              <w:pStyle w:val="ConsPlusNormal"/>
              <w:jc w:val="center"/>
            </w:pPr>
            <w:r>
              <w:t>2023</w:t>
            </w:r>
          </w:p>
        </w:tc>
        <w:tc>
          <w:tcPr>
            <w:tcW w:w="1417" w:type="dxa"/>
            <w:vMerge/>
          </w:tcPr>
          <w:p w14:paraId="308846B0" w14:textId="77777777" w:rsidR="00454A29" w:rsidRDefault="00454A29"/>
        </w:tc>
        <w:tc>
          <w:tcPr>
            <w:tcW w:w="2204" w:type="dxa"/>
            <w:vMerge/>
          </w:tcPr>
          <w:p w14:paraId="770C884E" w14:textId="77777777" w:rsidR="00454A29" w:rsidRDefault="00454A29"/>
        </w:tc>
        <w:tc>
          <w:tcPr>
            <w:tcW w:w="1417" w:type="dxa"/>
            <w:vMerge/>
          </w:tcPr>
          <w:p w14:paraId="36D60548" w14:textId="77777777" w:rsidR="00454A29" w:rsidRDefault="00454A29"/>
        </w:tc>
        <w:tc>
          <w:tcPr>
            <w:tcW w:w="2324" w:type="dxa"/>
            <w:vMerge/>
          </w:tcPr>
          <w:p w14:paraId="4B957931" w14:textId="77777777" w:rsidR="00454A29" w:rsidRDefault="00454A29"/>
        </w:tc>
        <w:tc>
          <w:tcPr>
            <w:tcW w:w="1701" w:type="dxa"/>
            <w:vAlign w:val="center"/>
          </w:tcPr>
          <w:p w14:paraId="40572511" w14:textId="77777777" w:rsidR="00454A29" w:rsidRDefault="00454A29">
            <w:pPr>
              <w:pStyle w:val="ConsPlusNormal"/>
              <w:jc w:val="center"/>
            </w:pPr>
            <w:r>
              <w:t>57 582,56</w:t>
            </w:r>
          </w:p>
        </w:tc>
        <w:tc>
          <w:tcPr>
            <w:tcW w:w="1814" w:type="dxa"/>
            <w:vAlign w:val="center"/>
          </w:tcPr>
          <w:p w14:paraId="6A35D5F7" w14:textId="77777777" w:rsidR="00454A29" w:rsidRDefault="00454A29">
            <w:pPr>
              <w:pStyle w:val="ConsPlusNormal"/>
              <w:jc w:val="center"/>
            </w:pPr>
            <w:r>
              <w:t>57 582,56</w:t>
            </w:r>
          </w:p>
        </w:tc>
        <w:tc>
          <w:tcPr>
            <w:tcW w:w="1701" w:type="dxa"/>
            <w:vAlign w:val="center"/>
          </w:tcPr>
          <w:p w14:paraId="2E5E47F0" w14:textId="77777777" w:rsidR="00454A29" w:rsidRDefault="00454A29">
            <w:pPr>
              <w:pStyle w:val="ConsPlusNormal"/>
            </w:pPr>
          </w:p>
        </w:tc>
        <w:tc>
          <w:tcPr>
            <w:tcW w:w="1701" w:type="dxa"/>
            <w:vAlign w:val="center"/>
          </w:tcPr>
          <w:p w14:paraId="71FA888B" w14:textId="77777777" w:rsidR="00454A29" w:rsidRDefault="00454A29">
            <w:pPr>
              <w:pStyle w:val="ConsPlusNormal"/>
            </w:pPr>
          </w:p>
        </w:tc>
        <w:tc>
          <w:tcPr>
            <w:tcW w:w="1814" w:type="dxa"/>
            <w:vAlign w:val="center"/>
          </w:tcPr>
          <w:p w14:paraId="33552BD7" w14:textId="77777777" w:rsidR="00454A29" w:rsidRDefault="00454A29">
            <w:pPr>
              <w:pStyle w:val="ConsPlusNormal"/>
            </w:pPr>
          </w:p>
        </w:tc>
      </w:tr>
      <w:tr w:rsidR="00454A29" w14:paraId="3B66F191" w14:textId="77777777">
        <w:tc>
          <w:tcPr>
            <w:tcW w:w="567" w:type="dxa"/>
            <w:vMerge/>
          </w:tcPr>
          <w:p w14:paraId="6E410AC2" w14:textId="77777777" w:rsidR="00454A29" w:rsidRDefault="00454A29"/>
        </w:tc>
        <w:tc>
          <w:tcPr>
            <w:tcW w:w="3345" w:type="dxa"/>
            <w:vMerge/>
          </w:tcPr>
          <w:p w14:paraId="50469941" w14:textId="77777777" w:rsidR="00454A29" w:rsidRDefault="00454A29"/>
        </w:tc>
        <w:tc>
          <w:tcPr>
            <w:tcW w:w="1701" w:type="dxa"/>
            <w:vAlign w:val="center"/>
          </w:tcPr>
          <w:p w14:paraId="3F72384B" w14:textId="77777777" w:rsidR="00454A29" w:rsidRDefault="00454A29">
            <w:pPr>
              <w:pStyle w:val="ConsPlusNormal"/>
              <w:jc w:val="center"/>
            </w:pPr>
            <w:r>
              <w:t>2024</w:t>
            </w:r>
          </w:p>
        </w:tc>
        <w:tc>
          <w:tcPr>
            <w:tcW w:w="1417" w:type="dxa"/>
            <w:vMerge/>
          </w:tcPr>
          <w:p w14:paraId="1BE65B62" w14:textId="77777777" w:rsidR="00454A29" w:rsidRDefault="00454A29"/>
        </w:tc>
        <w:tc>
          <w:tcPr>
            <w:tcW w:w="2204" w:type="dxa"/>
            <w:vMerge/>
          </w:tcPr>
          <w:p w14:paraId="6F4C72AD" w14:textId="77777777" w:rsidR="00454A29" w:rsidRDefault="00454A29"/>
        </w:tc>
        <w:tc>
          <w:tcPr>
            <w:tcW w:w="1417" w:type="dxa"/>
            <w:vMerge/>
          </w:tcPr>
          <w:p w14:paraId="62D839E7" w14:textId="77777777" w:rsidR="00454A29" w:rsidRDefault="00454A29"/>
        </w:tc>
        <w:tc>
          <w:tcPr>
            <w:tcW w:w="2324" w:type="dxa"/>
            <w:vMerge/>
          </w:tcPr>
          <w:p w14:paraId="1C3231DB" w14:textId="77777777" w:rsidR="00454A29" w:rsidRDefault="00454A29"/>
        </w:tc>
        <w:tc>
          <w:tcPr>
            <w:tcW w:w="1701" w:type="dxa"/>
            <w:vAlign w:val="center"/>
          </w:tcPr>
          <w:p w14:paraId="4CAF575B" w14:textId="77777777" w:rsidR="00454A29" w:rsidRDefault="00454A29">
            <w:pPr>
              <w:pStyle w:val="ConsPlusNormal"/>
              <w:jc w:val="center"/>
            </w:pPr>
            <w:r>
              <w:t>77 666,80</w:t>
            </w:r>
          </w:p>
        </w:tc>
        <w:tc>
          <w:tcPr>
            <w:tcW w:w="1814" w:type="dxa"/>
            <w:vAlign w:val="center"/>
          </w:tcPr>
          <w:p w14:paraId="7DB70BC1" w14:textId="77777777" w:rsidR="00454A29" w:rsidRDefault="00454A29">
            <w:pPr>
              <w:pStyle w:val="ConsPlusNormal"/>
              <w:jc w:val="center"/>
            </w:pPr>
            <w:r>
              <w:t>77 666,80</w:t>
            </w:r>
          </w:p>
        </w:tc>
        <w:tc>
          <w:tcPr>
            <w:tcW w:w="1701" w:type="dxa"/>
            <w:vAlign w:val="center"/>
          </w:tcPr>
          <w:p w14:paraId="724AF92D" w14:textId="77777777" w:rsidR="00454A29" w:rsidRDefault="00454A29">
            <w:pPr>
              <w:pStyle w:val="ConsPlusNormal"/>
            </w:pPr>
          </w:p>
        </w:tc>
        <w:tc>
          <w:tcPr>
            <w:tcW w:w="1701" w:type="dxa"/>
            <w:vAlign w:val="center"/>
          </w:tcPr>
          <w:p w14:paraId="41461C2C" w14:textId="77777777" w:rsidR="00454A29" w:rsidRDefault="00454A29">
            <w:pPr>
              <w:pStyle w:val="ConsPlusNormal"/>
            </w:pPr>
          </w:p>
        </w:tc>
        <w:tc>
          <w:tcPr>
            <w:tcW w:w="1814" w:type="dxa"/>
            <w:vAlign w:val="center"/>
          </w:tcPr>
          <w:p w14:paraId="39B3A252" w14:textId="77777777" w:rsidR="00454A29" w:rsidRDefault="00454A29">
            <w:pPr>
              <w:pStyle w:val="ConsPlusNormal"/>
            </w:pPr>
          </w:p>
        </w:tc>
      </w:tr>
      <w:tr w:rsidR="00454A29" w14:paraId="11E9AA74" w14:textId="77777777">
        <w:tc>
          <w:tcPr>
            <w:tcW w:w="567" w:type="dxa"/>
            <w:vMerge/>
          </w:tcPr>
          <w:p w14:paraId="774E0FFB" w14:textId="77777777" w:rsidR="00454A29" w:rsidRDefault="00454A29"/>
        </w:tc>
        <w:tc>
          <w:tcPr>
            <w:tcW w:w="3345" w:type="dxa"/>
            <w:vMerge/>
          </w:tcPr>
          <w:p w14:paraId="08C7F4E4" w14:textId="77777777" w:rsidR="00454A29" w:rsidRDefault="00454A29"/>
        </w:tc>
        <w:tc>
          <w:tcPr>
            <w:tcW w:w="1701" w:type="dxa"/>
            <w:vAlign w:val="center"/>
          </w:tcPr>
          <w:p w14:paraId="7A0A8719" w14:textId="77777777" w:rsidR="00454A29" w:rsidRDefault="00454A29">
            <w:pPr>
              <w:pStyle w:val="ConsPlusNormal"/>
              <w:jc w:val="center"/>
            </w:pPr>
            <w:r>
              <w:t>2025</w:t>
            </w:r>
          </w:p>
        </w:tc>
        <w:tc>
          <w:tcPr>
            <w:tcW w:w="1417" w:type="dxa"/>
            <w:vMerge/>
          </w:tcPr>
          <w:p w14:paraId="00EDB3BC" w14:textId="77777777" w:rsidR="00454A29" w:rsidRDefault="00454A29"/>
        </w:tc>
        <w:tc>
          <w:tcPr>
            <w:tcW w:w="2204" w:type="dxa"/>
            <w:vMerge/>
          </w:tcPr>
          <w:p w14:paraId="3A14EB45" w14:textId="77777777" w:rsidR="00454A29" w:rsidRDefault="00454A29"/>
        </w:tc>
        <w:tc>
          <w:tcPr>
            <w:tcW w:w="1417" w:type="dxa"/>
            <w:vMerge/>
          </w:tcPr>
          <w:p w14:paraId="4F9283D8" w14:textId="77777777" w:rsidR="00454A29" w:rsidRDefault="00454A29"/>
        </w:tc>
        <w:tc>
          <w:tcPr>
            <w:tcW w:w="2324" w:type="dxa"/>
            <w:vMerge/>
          </w:tcPr>
          <w:p w14:paraId="42D8C93D" w14:textId="77777777" w:rsidR="00454A29" w:rsidRDefault="00454A29"/>
        </w:tc>
        <w:tc>
          <w:tcPr>
            <w:tcW w:w="1701" w:type="dxa"/>
            <w:vAlign w:val="center"/>
          </w:tcPr>
          <w:p w14:paraId="11AD05D9" w14:textId="77777777" w:rsidR="00454A29" w:rsidRDefault="00454A29">
            <w:pPr>
              <w:pStyle w:val="ConsPlusNormal"/>
              <w:jc w:val="center"/>
            </w:pPr>
            <w:r>
              <w:t>-</w:t>
            </w:r>
          </w:p>
        </w:tc>
        <w:tc>
          <w:tcPr>
            <w:tcW w:w="1814" w:type="dxa"/>
            <w:vAlign w:val="center"/>
          </w:tcPr>
          <w:p w14:paraId="35C623C2" w14:textId="77777777" w:rsidR="00454A29" w:rsidRDefault="00454A29">
            <w:pPr>
              <w:pStyle w:val="ConsPlusNormal"/>
            </w:pPr>
          </w:p>
        </w:tc>
        <w:tc>
          <w:tcPr>
            <w:tcW w:w="1701" w:type="dxa"/>
            <w:vAlign w:val="center"/>
          </w:tcPr>
          <w:p w14:paraId="0D569FB9" w14:textId="77777777" w:rsidR="00454A29" w:rsidRDefault="00454A29">
            <w:pPr>
              <w:pStyle w:val="ConsPlusNormal"/>
            </w:pPr>
          </w:p>
        </w:tc>
        <w:tc>
          <w:tcPr>
            <w:tcW w:w="1701" w:type="dxa"/>
            <w:vAlign w:val="center"/>
          </w:tcPr>
          <w:p w14:paraId="4F3A324E" w14:textId="77777777" w:rsidR="00454A29" w:rsidRDefault="00454A29">
            <w:pPr>
              <w:pStyle w:val="ConsPlusNormal"/>
            </w:pPr>
          </w:p>
        </w:tc>
        <w:tc>
          <w:tcPr>
            <w:tcW w:w="1814" w:type="dxa"/>
            <w:vAlign w:val="center"/>
          </w:tcPr>
          <w:p w14:paraId="06A8B9B9" w14:textId="77777777" w:rsidR="00454A29" w:rsidRDefault="00454A29">
            <w:pPr>
              <w:pStyle w:val="ConsPlusNormal"/>
            </w:pPr>
          </w:p>
        </w:tc>
      </w:tr>
      <w:tr w:rsidR="00454A29" w14:paraId="1A20D2BB" w14:textId="77777777">
        <w:tc>
          <w:tcPr>
            <w:tcW w:w="567" w:type="dxa"/>
            <w:vMerge/>
          </w:tcPr>
          <w:p w14:paraId="4C3CD91D" w14:textId="77777777" w:rsidR="00454A29" w:rsidRDefault="00454A29"/>
        </w:tc>
        <w:tc>
          <w:tcPr>
            <w:tcW w:w="3345" w:type="dxa"/>
            <w:vMerge/>
          </w:tcPr>
          <w:p w14:paraId="5562177C" w14:textId="77777777" w:rsidR="00454A29" w:rsidRDefault="00454A29"/>
        </w:tc>
        <w:tc>
          <w:tcPr>
            <w:tcW w:w="1701" w:type="dxa"/>
            <w:vAlign w:val="center"/>
          </w:tcPr>
          <w:p w14:paraId="2F2BC3BE" w14:textId="77777777" w:rsidR="00454A29" w:rsidRDefault="00454A29">
            <w:pPr>
              <w:pStyle w:val="ConsPlusNormal"/>
              <w:jc w:val="center"/>
            </w:pPr>
            <w:r>
              <w:t>2026</w:t>
            </w:r>
          </w:p>
        </w:tc>
        <w:tc>
          <w:tcPr>
            <w:tcW w:w="1417" w:type="dxa"/>
            <w:vMerge/>
          </w:tcPr>
          <w:p w14:paraId="3D0125BE" w14:textId="77777777" w:rsidR="00454A29" w:rsidRDefault="00454A29"/>
        </w:tc>
        <w:tc>
          <w:tcPr>
            <w:tcW w:w="2204" w:type="dxa"/>
            <w:vMerge/>
          </w:tcPr>
          <w:p w14:paraId="7011BC11" w14:textId="77777777" w:rsidR="00454A29" w:rsidRDefault="00454A29"/>
        </w:tc>
        <w:tc>
          <w:tcPr>
            <w:tcW w:w="1417" w:type="dxa"/>
            <w:vMerge/>
          </w:tcPr>
          <w:p w14:paraId="7368D467" w14:textId="77777777" w:rsidR="00454A29" w:rsidRDefault="00454A29"/>
        </w:tc>
        <w:tc>
          <w:tcPr>
            <w:tcW w:w="2324" w:type="dxa"/>
            <w:vMerge/>
          </w:tcPr>
          <w:p w14:paraId="17A979EB" w14:textId="77777777" w:rsidR="00454A29" w:rsidRDefault="00454A29"/>
        </w:tc>
        <w:tc>
          <w:tcPr>
            <w:tcW w:w="1701" w:type="dxa"/>
            <w:vAlign w:val="center"/>
          </w:tcPr>
          <w:p w14:paraId="5BB6E1A5" w14:textId="77777777" w:rsidR="00454A29" w:rsidRDefault="00454A29">
            <w:pPr>
              <w:pStyle w:val="ConsPlusNormal"/>
              <w:jc w:val="center"/>
            </w:pPr>
            <w:r>
              <w:t>-</w:t>
            </w:r>
          </w:p>
        </w:tc>
        <w:tc>
          <w:tcPr>
            <w:tcW w:w="1814" w:type="dxa"/>
            <w:vAlign w:val="center"/>
          </w:tcPr>
          <w:p w14:paraId="11FB5667" w14:textId="77777777" w:rsidR="00454A29" w:rsidRDefault="00454A29">
            <w:pPr>
              <w:pStyle w:val="ConsPlusNormal"/>
            </w:pPr>
          </w:p>
        </w:tc>
        <w:tc>
          <w:tcPr>
            <w:tcW w:w="1701" w:type="dxa"/>
            <w:vAlign w:val="center"/>
          </w:tcPr>
          <w:p w14:paraId="722E70A0" w14:textId="77777777" w:rsidR="00454A29" w:rsidRDefault="00454A29">
            <w:pPr>
              <w:pStyle w:val="ConsPlusNormal"/>
            </w:pPr>
          </w:p>
        </w:tc>
        <w:tc>
          <w:tcPr>
            <w:tcW w:w="1701" w:type="dxa"/>
            <w:vAlign w:val="center"/>
          </w:tcPr>
          <w:p w14:paraId="7AA3A7B4" w14:textId="77777777" w:rsidR="00454A29" w:rsidRDefault="00454A29">
            <w:pPr>
              <w:pStyle w:val="ConsPlusNormal"/>
            </w:pPr>
          </w:p>
        </w:tc>
        <w:tc>
          <w:tcPr>
            <w:tcW w:w="1814" w:type="dxa"/>
            <w:vAlign w:val="center"/>
          </w:tcPr>
          <w:p w14:paraId="73658EB6" w14:textId="77777777" w:rsidR="00454A29" w:rsidRDefault="00454A29">
            <w:pPr>
              <w:pStyle w:val="ConsPlusNormal"/>
            </w:pPr>
          </w:p>
        </w:tc>
      </w:tr>
      <w:tr w:rsidR="00454A29" w14:paraId="534C177C" w14:textId="77777777">
        <w:tc>
          <w:tcPr>
            <w:tcW w:w="567" w:type="dxa"/>
            <w:vMerge w:val="restart"/>
            <w:vAlign w:val="center"/>
          </w:tcPr>
          <w:p w14:paraId="78411816" w14:textId="77777777" w:rsidR="00454A29" w:rsidRDefault="00454A29">
            <w:pPr>
              <w:pStyle w:val="ConsPlusNormal"/>
              <w:jc w:val="center"/>
            </w:pPr>
            <w:r>
              <w:t>23</w:t>
            </w:r>
          </w:p>
        </w:tc>
        <w:tc>
          <w:tcPr>
            <w:tcW w:w="3345" w:type="dxa"/>
            <w:vMerge w:val="restart"/>
            <w:vAlign w:val="center"/>
          </w:tcPr>
          <w:p w14:paraId="7446011F" w14:textId="77777777" w:rsidR="00454A29" w:rsidRDefault="00454A29">
            <w:pPr>
              <w:pStyle w:val="ConsPlusNormal"/>
              <w:jc w:val="center"/>
            </w:pPr>
            <w:r>
              <w:t>Детский сад на 100 мест в г. Верхоянск Верхоянского улуса</w:t>
            </w:r>
          </w:p>
        </w:tc>
        <w:tc>
          <w:tcPr>
            <w:tcW w:w="1701" w:type="dxa"/>
            <w:vAlign w:val="center"/>
          </w:tcPr>
          <w:p w14:paraId="3CA5E94A" w14:textId="77777777" w:rsidR="00454A29" w:rsidRDefault="00454A29">
            <w:pPr>
              <w:pStyle w:val="ConsPlusNormal"/>
              <w:jc w:val="center"/>
            </w:pPr>
            <w:r>
              <w:t>2020 - 2026 годы - всего</w:t>
            </w:r>
          </w:p>
        </w:tc>
        <w:tc>
          <w:tcPr>
            <w:tcW w:w="1417" w:type="dxa"/>
            <w:vMerge w:val="restart"/>
            <w:vAlign w:val="center"/>
          </w:tcPr>
          <w:p w14:paraId="43F38C6E" w14:textId="77777777" w:rsidR="00454A29" w:rsidRDefault="00454A29">
            <w:pPr>
              <w:pStyle w:val="ConsPlusNormal"/>
              <w:jc w:val="center"/>
            </w:pPr>
            <w:r>
              <w:t>95 721,48</w:t>
            </w:r>
          </w:p>
        </w:tc>
        <w:tc>
          <w:tcPr>
            <w:tcW w:w="2204" w:type="dxa"/>
            <w:vMerge w:val="restart"/>
            <w:vAlign w:val="center"/>
          </w:tcPr>
          <w:p w14:paraId="715F3BEA" w14:textId="77777777" w:rsidR="00454A29" w:rsidRDefault="00454A29">
            <w:pPr>
              <w:pStyle w:val="ConsPlusNormal"/>
            </w:pPr>
          </w:p>
        </w:tc>
        <w:tc>
          <w:tcPr>
            <w:tcW w:w="1417" w:type="dxa"/>
            <w:vMerge w:val="restart"/>
            <w:vAlign w:val="center"/>
          </w:tcPr>
          <w:p w14:paraId="6D8A65AF" w14:textId="77777777" w:rsidR="00454A29" w:rsidRDefault="00454A29">
            <w:pPr>
              <w:pStyle w:val="ConsPlusNormal"/>
              <w:jc w:val="center"/>
            </w:pPr>
            <w:r>
              <w:t>100</w:t>
            </w:r>
          </w:p>
        </w:tc>
        <w:tc>
          <w:tcPr>
            <w:tcW w:w="2324" w:type="dxa"/>
            <w:vMerge w:val="restart"/>
            <w:vAlign w:val="center"/>
          </w:tcPr>
          <w:p w14:paraId="716BD72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12987EC" w14:textId="77777777" w:rsidR="00454A29" w:rsidRDefault="00454A29">
            <w:pPr>
              <w:pStyle w:val="ConsPlusNormal"/>
              <w:jc w:val="center"/>
            </w:pPr>
            <w:r>
              <w:t>95 721,48</w:t>
            </w:r>
          </w:p>
        </w:tc>
        <w:tc>
          <w:tcPr>
            <w:tcW w:w="1814" w:type="dxa"/>
            <w:vAlign w:val="center"/>
          </w:tcPr>
          <w:p w14:paraId="41504EB6" w14:textId="77777777" w:rsidR="00454A29" w:rsidRDefault="00454A29">
            <w:pPr>
              <w:pStyle w:val="ConsPlusNormal"/>
              <w:jc w:val="center"/>
            </w:pPr>
            <w:r>
              <w:t>164 328,73</w:t>
            </w:r>
          </w:p>
        </w:tc>
        <w:tc>
          <w:tcPr>
            <w:tcW w:w="1701" w:type="dxa"/>
            <w:vAlign w:val="center"/>
          </w:tcPr>
          <w:p w14:paraId="40E87E20" w14:textId="77777777" w:rsidR="00454A29" w:rsidRDefault="00454A29">
            <w:pPr>
              <w:pStyle w:val="ConsPlusNormal"/>
              <w:jc w:val="center"/>
            </w:pPr>
            <w:r>
              <w:t>-</w:t>
            </w:r>
          </w:p>
        </w:tc>
        <w:tc>
          <w:tcPr>
            <w:tcW w:w="1701" w:type="dxa"/>
            <w:vAlign w:val="center"/>
          </w:tcPr>
          <w:p w14:paraId="323B5B95" w14:textId="77777777" w:rsidR="00454A29" w:rsidRDefault="00454A29">
            <w:pPr>
              <w:pStyle w:val="ConsPlusNormal"/>
              <w:jc w:val="center"/>
            </w:pPr>
            <w:r>
              <w:t>-</w:t>
            </w:r>
          </w:p>
        </w:tc>
        <w:tc>
          <w:tcPr>
            <w:tcW w:w="1814" w:type="dxa"/>
            <w:vAlign w:val="center"/>
          </w:tcPr>
          <w:p w14:paraId="2A352152" w14:textId="77777777" w:rsidR="00454A29" w:rsidRDefault="00454A29">
            <w:pPr>
              <w:pStyle w:val="ConsPlusNormal"/>
              <w:jc w:val="center"/>
            </w:pPr>
            <w:r>
              <w:t>-</w:t>
            </w:r>
          </w:p>
        </w:tc>
      </w:tr>
      <w:tr w:rsidR="00454A29" w14:paraId="15B85DC6" w14:textId="77777777">
        <w:tc>
          <w:tcPr>
            <w:tcW w:w="567" w:type="dxa"/>
            <w:vMerge/>
          </w:tcPr>
          <w:p w14:paraId="292DE1F1" w14:textId="77777777" w:rsidR="00454A29" w:rsidRDefault="00454A29"/>
        </w:tc>
        <w:tc>
          <w:tcPr>
            <w:tcW w:w="3345" w:type="dxa"/>
            <w:vMerge/>
          </w:tcPr>
          <w:p w14:paraId="6041919F" w14:textId="77777777" w:rsidR="00454A29" w:rsidRDefault="00454A29"/>
        </w:tc>
        <w:tc>
          <w:tcPr>
            <w:tcW w:w="1701" w:type="dxa"/>
            <w:vAlign w:val="center"/>
          </w:tcPr>
          <w:p w14:paraId="4E7C6E02" w14:textId="77777777" w:rsidR="00454A29" w:rsidRDefault="00454A29">
            <w:pPr>
              <w:pStyle w:val="ConsPlusNormal"/>
              <w:jc w:val="center"/>
            </w:pPr>
            <w:r>
              <w:t>2020</w:t>
            </w:r>
          </w:p>
        </w:tc>
        <w:tc>
          <w:tcPr>
            <w:tcW w:w="1417" w:type="dxa"/>
            <w:vMerge/>
          </w:tcPr>
          <w:p w14:paraId="16951620" w14:textId="77777777" w:rsidR="00454A29" w:rsidRDefault="00454A29"/>
        </w:tc>
        <w:tc>
          <w:tcPr>
            <w:tcW w:w="2204" w:type="dxa"/>
            <w:vMerge/>
          </w:tcPr>
          <w:p w14:paraId="707E8378" w14:textId="77777777" w:rsidR="00454A29" w:rsidRDefault="00454A29"/>
        </w:tc>
        <w:tc>
          <w:tcPr>
            <w:tcW w:w="1417" w:type="dxa"/>
            <w:vMerge/>
          </w:tcPr>
          <w:p w14:paraId="40867520" w14:textId="77777777" w:rsidR="00454A29" w:rsidRDefault="00454A29"/>
        </w:tc>
        <w:tc>
          <w:tcPr>
            <w:tcW w:w="2324" w:type="dxa"/>
            <w:vMerge/>
          </w:tcPr>
          <w:p w14:paraId="01482113" w14:textId="77777777" w:rsidR="00454A29" w:rsidRDefault="00454A29"/>
        </w:tc>
        <w:tc>
          <w:tcPr>
            <w:tcW w:w="1701" w:type="dxa"/>
            <w:vAlign w:val="center"/>
          </w:tcPr>
          <w:p w14:paraId="47297E37" w14:textId="77777777" w:rsidR="00454A29" w:rsidRDefault="00454A29">
            <w:pPr>
              <w:pStyle w:val="ConsPlusNormal"/>
              <w:jc w:val="center"/>
            </w:pPr>
            <w:r>
              <w:t>-</w:t>
            </w:r>
          </w:p>
        </w:tc>
        <w:tc>
          <w:tcPr>
            <w:tcW w:w="1814" w:type="dxa"/>
            <w:vAlign w:val="center"/>
          </w:tcPr>
          <w:p w14:paraId="1DDBD32F" w14:textId="77777777" w:rsidR="00454A29" w:rsidRDefault="00454A29">
            <w:pPr>
              <w:pStyle w:val="ConsPlusNormal"/>
            </w:pPr>
          </w:p>
        </w:tc>
        <w:tc>
          <w:tcPr>
            <w:tcW w:w="1701" w:type="dxa"/>
            <w:vAlign w:val="center"/>
          </w:tcPr>
          <w:p w14:paraId="154170CB" w14:textId="77777777" w:rsidR="00454A29" w:rsidRDefault="00454A29">
            <w:pPr>
              <w:pStyle w:val="ConsPlusNormal"/>
            </w:pPr>
          </w:p>
        </w:tc>
        <w:tc>
          <w:tcPr>
            <w:tcW w:w="1701" w:type="dxa"/>
            <w:vAlign w:val="center"/>
          </w:tcPr>
          <w:p w14:paraId="0A90D080" w14:textId="77777777" w:rsidR="00454A29" w:rsidRDefault="00454A29">
            <w:pPr>
              <w:pStyle w:val="ConsPlusNormal"/>
            </w:pPr>
          </w:p>
        </w:tc>
        <w:tc>
          <w:tcPr>
            <w:tcW w:w="1814" w:type="dxa"/>
            <w:vAlign w:val="center"/>
          </w:tcPr>
          <w:p w14:paraId="709B6D2D" w14:textId="77777777" w:rsidR="00454A29" w:rsidRDefault="00454A29">
            <w:pPr>
              <w:pStyle w:val="ConsPlusNormal"/>
            </w:pPr>
          </w:p>
        </w:tc>
      </w:tr>
      <w:tr w:rsidR="00454A29" w14:paraId="3C1AFE0C" w14:textId="77777777">
        <w:tc>
          <w:tcPr>
            <w:tcW w:w="567" w:type="dxa"/>
            <w:vMerge/>
          </w:tcPr>
          <w:p w14:paraId="5CF2234F" w14:textId="77777777" w:rsidR="00454A29" w:rsidRDefault="00454A29"/>
        </w:tc>
        <w:tc>
          <w:tcPr>
            <w:tcW w:w="3345" w:type="dxa"/>
            <w:vMerge/>
          </w:tcPr>
          <w:p w14:paraId="5041783F" w14:textId="77777777" w:rsidR="00454A29" w:rsidRDefault="00454A29"/>
        </w:tc>
        <w:tc>
          <w:tcPr>
            <w:tcW w:w="1701" w:type="dxa"/>
            <w:vAlign w:val="center"/>
          </w:tcPr>
          <w:p w14:paraId="7AAEEDF6" w14:textId="77777777" w:rsidR="00454A29" w:rsidRDefault="00454A29">
            <w:pPr>
              <w:pStyle w:val="ConsPlusNormal"/>
              <w:jc w:val="center"/>
            </w:pPr>
            <w:r>
              <w:t>2021</w:t>
            </w:r>
          </w:p>
        </w:tc>
        <w:tc>
          <w:tcPr>
            <w:tcW w:w="1417" w:type="dxa"/>
            <w:vMerge/>
          </w:tcPr>
          <w:p w14:paraId="23EBF7D8" w14:textId="77777777" w:rsidR="00454A29" w:rsidRDefault="00454A29"/>
        </w:tc>
        <w:tc>
          <w:tcPr>
            <w:tcW w:w="2204" w:type="dxa"/>
            <w:vMerge/>
          </w:tcPr>
          <w:p w14:paraId="2E8FEE84" w14:textId="77777777" w:rsidR="00454A29" w:rsidRDefault="00454A29"/>
        </w:tc>
        <w:tc>
          <w:tcPr>
            <w:tcW w:w="1417" w:type="dxa"/>
            <w:vMerge/>
          </w:tcPr>
          <w:p w14:paraId="62BDF7A5" w14:textId="77777777" w:rsidR="00454A29" w:rsidRDefault="00454A29"/>
        </w:tc>
        <w:tc>
          <w:tcPr>
            <w:tcW w:w="2324" w:type="dxa"/>
            <w:vMerge/>
          </w:tcPr>
          <w:p w14:paraId="2CD26FE6" w14:textId="77777777" w:rsidR="00454A29" w:rsidRDefault="00454A29"/>
        </w:tc>
        <w:tc>
          <w:tcPr>
            <w:tcW w:w="1701" w:type="dxa"/>
            <w:vAlign w:val="center"/>
          </w:tcPr>
          <w:p w14:paraId="201BA72B" w14:textId="77777777" w:rsidR="00454A29" w:rsidRDefault="00454A29">
            <w:pPr>
              <w:pStyle w:val="ConsPlusNormal"/>
              <w:jc w:val="center"/>
            </w:pPr>
            <w:r>
              <w:t>-</w:t>
            </w:r>
          </w:p>
        </w:tc>
        <w:tc>
          <w:tcPr>
            <w:tcW w:w="1814" w:type="dxa"/>
            <w:vAlign w:val="center"/>
          </w:tcPr>
          <w:p w14:paraId="5FE8E394" w14:textId="77777777" w:rsidR="00454A29" w:rsidRDefault="00454A29">
            <w:pPr>
              <w:pStyle w:val="ConsPlusNormal"/>
            </w:pPr>
          </w:p>
        </w:tc>
        <w:tc>
          <w:tcPr>
            <w:tcW w:w="1701" w:type="dxa"/>
            <w:vAlign w:val="center"/>
          </w:tcPr>
          <w:p w14:paraId="046F7F22" w14:textId="77777777" w:rsidR="00454A29" w:rsidRDefault="00454A29">
            <w:pPr>
              <w:pStyle w:val="ConsPlusNormal"/>
            </w:pPr>
          </w:p>
        </w:tc>
        <w:tc>
          <w:tcPr>
            <w:tcW w:w="1701" w:type="dxa"/>
            <w:vAlign w:val="center"/>
          </w:tcPr>
          <w:p w14:paraId="446CF113" w14:textId="77777777" w:rsidR="00454A29" w:rsidRDefault="00454A29">
            <w:pPr>
              <w:pStyle w:val="ConsPlusNormal"/>
            </w:pPr>
          </w:p>
        </w:tc>
        <w:tc>
          <w:tcPr>
            <w:tcW w:w="1814" w:type="dxa"/>
            <w:vAlign w:val="center"/>
          </w:tcPr>
          <w:p w14:paraId="226948CF" w14:textId="77777777" w:rsidR="00454A29" w:rsidRDefault="00454A29">
            <w:pPr>
              <w:pStyle w:val="ConsPlusNormal"/>
            </w:pPr>
          </w:p>
        </w:tc>
      </w:tr>
      <w:tr w:rsidR="00454A29" w14:paraId="5C8BDCE1" w14:textId="77777777">
        <w:tc>
          <w:tcPr>
            <w:tcW w:w="567" w:type="dxa"/>
            <w:vMerge/>
          </w:tcPr>
          <w:p w14:paraId="7290EBD2" w14:textId="77777777" w:rsidR="00454A29" w:rsidRDefault="00454A29"/>
        </w:tc>
        <w:tc>
          <w:tcPr>
            <w:tcW w:w="3345" w:type="dxa"/>
            <w:vMerge/>
          </w:tcPr>
          <w:p w14:paraId="3CB3D2D9" w14:textId="77777777" w:rsidR="00454A29" w:rsidRDefault="00454A29"/>
        </w:tc>
        <w:tc>
          <w:tcPr>
            <w:tcW w:w="1701" w:type="dxa"/>
            <w:vAlign w:val="center"/>
          </w:tcPr>
          <w:p w14:paraId="59AC968A" w14:textId="77777777" w:rsidR="00454A29" w:rsidRDefault="00454A29">
            <w:pPr>
              <w:pStyle w:val="ConsPlusNormal"/>
              <w:jc w:val="center"/>
            </w:pPr>
            <w:r>
              <w:t>2022</w:t>
            </w:r>
          </w:p>
        </w:tc>
        <w:tc>
          <w:tcPr>
            <w:tcW w:w="1417" w:type="dxa"/>
            <w:vMerge/>
          </w:tcPr>
          <w:p w14:paraId="4D17FF74" w14:textId="77777777" w:rsidR="00454A29" w:rsidRDefault="00454A29"/>
        </w:tc>
        <w:tc>
          <w:tcPr>
            <w:tcW w:w="2204" w:type="dxa"/>
            <w:vMerge/>
          </w:tcPr>
          <w:p w14:paraId="2CAFDE62" w14:textId="77777777" w:rsidR="00454A29" w:rsidRDefault="00454A29"/>
        </w:tc>
        <w:tc>
          <w:tcPr>
            <w:tcW w:w="1417" w:type="dxa"/>
            <w:vMerge/>
          </w:tcPr>
          <w:p w14:paraId="71F315E3" w14:textId="77777777" w:rsidR="00454A29" w:rsidRDefault="00454A29"/>
        </w:tc>
        <w:tc>
          <w:tcPr>
            <w:tcW w:w="2324" w:type="dxa"/>
            <w:vMerge/>
          </w:tcPr>
          <w:p w14:paraId="159B9FD3" w14:textId="77777777" w:rsidR="00454A29" w:rsidRDefault="00454A29"/>
        </w:tc>
        <w:tc>
          <w:tcPr>
            <w:tcW w:w="1701" w:type="dxa"/>
            <w:vAlign w:val="center"/>
          </w:tcPr>
          <w:p w14:paraId="0E4F2CF5" w14:textId="77777777" w:rsidR="00454A29" w:rsidRDefault="00454A29">
            <w:pPr>
              <w:pStyle w:val="ConsPlusNormal"/>
            </w:pPr>
          </w:p>
        </w:tc>
        <w:tc>
          <w:tcPr>
            <w:tcW w:w="1814" w:type="dxa"/>
            <w:vAlign w:val="center"/>
          </w:tcPr>
          <w:p w14:paraId="0E7C7B8A" w14:textId="77777777" w:rsidR="00454A29" w:rsidRDefault="00454A29">
            <w:pPr>
              <w:pStyle w:val="ConsPlusNormal"/>
            </w:pPr>
          </w:p>
        </w:tc>
        <w:tc>
          <w:tcPr>
            <w:tcW w:w="1701" w:type="dxa"/>
            <w:vAlign w:val="center"/>
          </w:tcPr>
          <w:p w14:paraId="589C0A04" w14:textId="77777777" w:rsidR="00454A29" w:rsidRDefault="00454A29">
            <w:pPr>
              <w:pStyle w:val="ConsPlusNormal"/>
            </w:pPr>
          </w:p>
        </w:tc>
        <w:tc>
          <w:tcPr>
            <w:tcW w:w="1701" w:type="dxa"/>
            <w:vAlign w:val="center"/>
          </w:tcPr>
          <w:p w14:paraId="75390DB9" w14:textId="77777777" w:rsidR="00454A29" w:rsidRDefault="00454A29">
            <w:pPr>
              <w:pStyle w:val="ConsPlusNormal"/>
            </w:pPr>
          </w:p>
        </w:tc>
        <w:tc>
          <w:tcPr>
            <w:tcW w:w="1814" w:type="dxa"/>
            <w:vAlign w:val="center"/>
          </w:tcPr>
          <w:p w14:paraId="28D05CFB" w14:textId="77777777" w:rsidR="00454A29" w:rsidRDefault="00454A29">
            <w:pPr>
              <w:pStyle w:val="ConsPlusNormal"/>
            </w:pPr>
          </w:p>
        </w:tc>
      </w:tr>
      <w:tr w:rsidR="00454A29" w14:paraId="15DE978F" w14:textId="77777777">
        <w:tc>
          <w:tcPr>
            <w:tcW w:w="567" w:type="dxa"/>
            <w:vMerge/>
          </w:tcPr>
          <w:p w14:paraId="7CA57974" w14:textId="77777777" w:rsidR="00454A29" w:rsidRDefault="00454A29"/>
        </w:tc>
        <w:tc>
          <w:tcPr>
            <w:tcW w:w="3345" w:type="dxa"/>
            <w:vMerge/>
          </w:tcPr>
          <w:p w14:paraId="73314F8C" w14:textId="77777777" w:rsidR="00454A29" w:rsidRDefault="00454A29"/>
        </w:tc>
        <w:tc>
          <w:tcPr>
            <w:tcW w:w="1701" w:type="dxa"/>
            <w:vAlign w:val="center"/>
          </w:tcPr>
          <w:p w14:paraId="45C5AA2A" w14:textId="77777777" w:rsidR="00454A29" w:rsidRDefault="00454A29">
            <w:pPr>
              <w:pStyle w:val="ConsPlusNormal"/>
              <w:jc w:val="center"/>
            </w:pPr>
            <w:r>
              <w:t>2023</w:t>
            </w:r>
          </w:p>
        </w:tc>
        <w:tc>
          <w:tcPr>
            <w:tcW w:w="1417" w:type="dxa"/>
            <w:vMerge/>
          </w:tcPr>
          <w:p w14:paraId="4B1DF449" w14:textId="77777777" w:rsidR="00454A29" w:rsidRDefault="00454A29"/>
        </w:tc>
        <w:tc>
          <w:tcPr>
            <w:tcW w:w="2204" w:type="dxa"/>
            <w:vMerge/>
          </w:tcPr>
          <w:p w14:paraId="573164FE" w14:textId="77777777" w:rsidR="00454A29" w:rsidRDefault="00454A29"/>
        </w:tc>
        <w:tc>
          <w:tcPr>
            <w:tcW w:w="1417" w:type="dxa"/>
            <w:vMerge/>
          </w:tcPr>
          <w:p w14:paraId="1CFC4143" w14:textId="77777777" w:rsidR="00454A29" w:rsidRDefault="00454A29"/>
        </w:tc>
        <w:tc>
          <w:tcPr>
            <w:tcW w:w="2324" w:type="dxa"/>
            <w:vMerge/>
          </w:tcPr>
          <w:p w14:paraId="14606AC7" w14:textId="77777777" w:rsidR="00454A29" w:rsidRDefault="00454A29"/>
        </w:tc>
        <w:tc>
          <w:tcPr>
            <w:tcW w:w="1701" w:type="dxa"/>
            <w:vAlign w:val="center"/>
          </w:tcPr>
          <w:p w14:paraId="51ED1A0D" w14:textId="77777777" w:rsidR="00454A29" w:rsidRDefault="00454A29">
            <w:pPr>
              <w:pStyle w:val="ConsPlusNormal"/>
              <w:jc w:val="center"/>
            </w:pPr>
            <w:r>
              <w:t>40 753,52</w:t>
            </w:r>
          </w:p>
        </w:tc>
        <w:tc>
          <w:tcPr>
            <w:tcW w:w="1814" w:type="dxa"/>
            <w:vAlign w:val="center"/>
          </w:tcPr>
          <w:p w14:paraId="100D42B0" w14:textId="77777777" w:rsidR="00454A29" w:rsidRDefault="00454A29">
            <w:pPr>
              <w:pStyle w:val="ConsPlusNormal"/>
              <w:jc w:val="center"/>
            </w:pPr>
            <w:r>
              <w:t>40 753,52</w:t>
            </w:r>
          </w:p>
        </w:tc>
        <w:tc>
          <w:tcPr>
            <w:tcW w:w="1701" w:type="dxa"/>
            <w:vAlign w:val="center"/>
          </w:tcPr>
          <w:p w14:paraId="67C404DF" w14:textId="77777777" w:rsidR="00454A29" w:rsidRDefault="00454A29">
            <w:pPr>
              <w:pStyle w:val="ConsPlusNormal"/>
            </w:pPr>
          </w:p>
        </w:tc>
        <w:tc>
          <w:tcPr>
            <w:tcW w:w="1701" w:type="dxa"/>
            <w:vAlign w:val="center"/>
          </w:tcPr>
          <w:p w14:paraId="65FBBBEC" w14:textId="77777777" w:rsidR="00454A29" w:rsidRDefault="00454A29">
            <w:pPr>
              <w:pStyle w:val="ConsPlusNormal"/>
            </w:pPr>
          </w:p>
        </w:tc>
        <w:tc>
          <w:tcPr>
            <w:tcW w:w="1814" w:type="dxa"/>
            <w:vAlign w:val="center"/>
          </w:tcPr>
          <w:p w14:paraId="05652F92" w14:textId="77777777" w:rsidR="00454A29" w:rsidRDefault="00454A29">
            <w:pPr>
              <w:pStyle w:val="ConsPlusNormal"/>
            </w:pPr>
          </w:p>
        </w:tc>
      </w:tr>
      <w:tr w:rsidR="00454A29" w14:paraId="72DAA740" w14:textId="77777777">
        <w:tc>
          <w:tcPr>
            <w:tcW w:w="567" w:type="dxa"/>
            <w:vMerge/>
          </w:tcPr>
          <w:p w14:paraId="1769002D" w14:textId="77777777" w:rsidR="00454A29" w:rsidRDefault="00454A29"/>
        </w:tc>
        <w:tc>
          <w:tcPr>
            <w:tcW w:w="3345" w:type="dxa"/>
            <w:vMerge/>
          </w:tcPr>
          <w:p w14:paraId="32386CCE" w14:textId="77777777" w:rsidR="00454A29" w:rsidRDefault="00454A29"/>
        </w:tc>
        <w:tc>
          <w:tcPr>
            <w:tcW w:w="1701" w:type="dxa"/>
            <w:vAlign w:val="center"/>
          </w:tcPr>
          <w:p w14:paraId="39B2E5FD" w14:textId="77777777" w:rsidR="00454A29" w:rsidRDefault="00454A29">
            <w:pPr>
              <w:pStyle w:val="ConsPlusNormal"/>
              <w:jc w:val="center"/>
            </w:pPr>
            <w:r>
              <w:t>2024</w:t>
            </w:r>
          </w:p>
        </w:tc>
        <w:tc>
          <w:tcPr>
            <w:tcW w:w="1417" w:type="dxa"/>
            <w:vMerge/>
          </w:tcPr>
          <w:p w14:paraId="1F2DFBDF" w14:textId="77777777" w:rsidR="00454A29" w:rsidRDefault="00454A29"/>
        </w:tc>
        <w:tc>
          <w:tcPr>
            <w:tcW w:w="2204" w:type="dxa"/>
            <w:vMerge/>
          </w:tcPr>
          <w:p w14:paraId="42244F23" w14:textId="77777777" w:rsidR="00454A29" w:rsidRDefault="00454A29"/>
        </w:tc>
        <w:tc>
          <w:tcPr>
            <w:tcW w:w="1417" w:type="dxa"/>
            <w:vMerge/>
          </w:tcPr>
          <w:p w14:paraId="05FCC33E" w14:textId="77777777" w:rsidR="00454A29" w:rsidRDefault="00454A29"/>
        </w:tc>
        <w:tc>
          <w:tcPr>
            <w:tcW w:w="2324" w:type="dxa"/>
            <w:vMerge/>
          </w:tcPr>
          <w:p w14:paraId="4CDAC69D" w14:textId="77777777" w:rsidR="00454A29" w:rsidRDefault="00454A29"/>
        </w:tc>
        <w:tc>
          <w:tcPr>
            <w:tcW w:w="1701" w:type="dxa"/>
            <w:vAlign w:val="center"/>
          </w:tcPr>
          <w:p w14:paraId="00024B82" w14:textId="77777777" w:rsidR="00454A29" w:rsidRDefault="00454A29">
            <w:pPr>
              <w:pStyle w:val="ConsPlusNormal"/>
              <w:jc w:val="center"/>
            </w:pPr>
            <w:r>
              <w:t>54 967,96</w:t>
            </w:r>
          </w:p>
        </w:tc>
        <w:tc>
          <w:tcPr>
            <w:tcW w:w="1814" w:type="dxa"/>
            <w:vAlign w:val="center"/>
          </w:tcPr>
          <w:p w14:paraId="73175EDD" w14:textId="77777777" w:rsidR="00454A29" w:rsidRDefault="00454A29">
            <w:pPr>
              <w:pStyle w:val="ConsPlusNormal"/>
              <w:jc w:val="center"/>
            </w:pPr>
            <w:r>
              <w:t>54 967,96</w:t>
            </w:r>
          </w:p>
        </w:tc>
        <w:tc>
          <w:tcPr>
            <w:tcW w:w="1701" w:type="dxa"/>
            <w:vAlign w:val="center"/>
          </w:tcPr>
          <w:p w14:paraId="629F3DAB" w14:textId="77777777" w:rsidR="00454A29" w:rsidRDefault="00454A29">
            <w:pPr>
              <w:pStyle w:val="ConsPlusNormal"/>
            </w:pPr>
          </w:p>
        </w:tc>
        <w:tc>
          <w:tcPr>
            <w:tcW w:w="1701" w:type="dxa"/>
            <w:vAlign w:val="center"/>
          </w:tcPr>
          <w:p w14:paraId="120DBACA" w14:textId="77777777" w:rsidR="00454A29" w:rsidRDefault="00454A29">
            <w:pPr>
              <w:pStyle w:val="ConsPlusNormal"/>
            </w:pPr>
          </w:p>
        </w:tc>
        <w:tc>
          <w:tcPr>
            <w:tcW w:w="1814" w:type="dxa"/>
            <w:vAlign w:val="center"/>
          </w:tcPr>
          <w:p w14:paraId="33C39FEA" w14:textId="77777777" w:rsidR="00454A29" w:rsidRDefault="00454A29">
            <w:pPr>
              <w:pStyle w:val="ConsPlusNormal"/>
            </w:pPr>
          </w:p>
        </w:tc>
      </w:tr>
      <w:tr w:rsidR="00454A29" w14:paraId="2ACE3552" w14:textId="77777777">
        <w:tc>
          <w:tcPr>
            <w:tcW w:w="567" w:type="dxa"/>
            <w:vMerge/>
          </w:tcPr>
          <w:p w14:paraId="494F3AE2" w14:textId="77777777" w:rsidR="00454A29" w:rsidRDefault="00454A29"/>
        </w:tc>
        <w:tc>
          <w:tcPr>
            <w:tcW w:w="3345" w:type="dxa"/>
            <w:vMerge/>
          </w:tcPr>
          <w:p w14:paraId="7F92DB05" w14:textId="77777777" w:rsidR="00454A29" w:rsidRDefault="00454A29"/>
        </w:tc>
        <w:tc>
          <w:tcPr>
            <w:tcW w:w="1701" w:type="dxa"/>
            <w:vAlign w:val="center"/>
          </w:tcPr>
          <w:p w14:paraId="3FE956BD" w14:textId="77777777" w:rsidR="00454A29" w:rsidRDefault="00454A29">
            <w:pPr>
              <w:pStyle w:val="ConsPlusNormal"/>
              <w:jc w:val="center"/>
            </w:pPr>
            <w:r>
              <w:t>2025</w:t>
            </w:r>
          </w:p>
        </w:tc>
        <w:tc>
          <w:tcPr>
            <w:tcW w:w="1417" w:type="dxa"/>
            <w:vMerge/>
          </w:tcPr>
          <w:p w14:paraId="75B15751" w14:textId="77777777" w:rsidR="00454A29" w:rsidRDefault="00454A29"/>
        </w:tc>
        <w:tc>
          <w:tcPr>
            <w:tcW w:w="2204" w:type="dxa"/>
            <w:vMerge/>
          </w:tcPr>
          <w:p w14:paraId="2F6FA348" w14:textId="77777777" w:rsidR="00454A29" w:rsidRDefault="00454A29"/>
        </w:tc>
        <w:tc>
          <w:tcPr>
            <w:tcW w:w="1417" w:type="dxa"/>
            <w:vMerge/>
          </w:tcPr>
          <w:p w14:paraId="68D7C783" w14:textId="77777777" w:rsidR="00454A29" w:rsidRDefault="00454A29"/>
        </w:tc>
        <w:tc>
          <w:tcPr>
            <w:tcW w:w="2324" w:type="dxa"/>
            <w:vMerge/>
          </w:tcPr>
          <w:p w14:paraId="390DDBEF" w14:textId="77777777" w:rsidR="00454A29" w:rsidRDefault="00454A29"/>
        </w:tc>
        <w:tc>
          <w:tcPr>
            <w:tcW w:w="1701" w:type="dxa"/>
            <w:vAlign w:val="center"/>
          </w:tcPr>
          <w:p w14:paraId="63BB3684" w14:textId="77777777" w:rsidR="00454A29" w:rsidRDefault="00454A29">
            <w:pPr>
              <w:pStyle w:val="ConsPlusNormal"/>
              <w:jc w:val="center"/>
            </w:pPr>
            <w:r>
              <w:t>-</w:t>
            </w:r>
          </w:p>
        </w:tc>
        <w:tc>
          <w:tcPr>
            <w:tcW w:w="1814" w:type="dxa"/>
            <w:vAlign w:val="center"/>
          </w:tcPr>
          <w:p w14:paraId="202745DD" w14:textId="77777777" w:rsidR="00454A29" w:rsidRDefault="00454A29">
            <w:pPr>
              <w:pStyle w:val="ConsPlusNormal"/>
            </w:pPr>
          </w:p>
        </w:tc>
        <w:tc>
          <w:tcPr>
            <w:tcW w:w="1701" w:type="dxa"/>
            <w:vAlign w:val="center"/>
          </w:tcPr>
          <w:p w14:paraId="1DAFF5F2" w14:textId="77777777" w:rsidR="00454A29" w:rsidRDefault="00454A29">
            <w:pPr>
              <w:pStyle w:val="ConsPlusNormal"/>
            </w:pPr>
          </w:p>
        </w:tc>
        <w:tc>
          <w:tcPr>
            <w:tcW w:w="1701" w:type="dxa"/>
            <w:vAlign w:val="center"/>
          </w:tcPr>
          <w:p w14:paraId="027B0369" w14:textId="77777777" w:rsidR="00454A29" w:rsidRDefault="00454A29">
            <w:pPr>
              <w:pStyle w:val="ConsPlusNormal"/>
            </w:pPr>
          </w:p>
        </w:tc>
        <w:tc>
          <w:tcPr>
            <w:tcW w:w="1814" w:type="dxa"/>
            <w:vAlign w:val="center"/>
          </w:tcPr>
          <w:p w14:paraId="443E72FD" w14:textId="77777777" w:rsidR="00454A29" w:rsidRDefault="00454A29">
            <w:pPr>
              <w:pStyle w:val="ConsPlusNormal"/>
            </w:pPr>
          </w:p>
        </w:tc>
      </w:tr>
      <w:tr w:rsidR="00454A29" w14:paraId="6B1CBF75" w14:textId="77777777">
        <w:tc>
          <w:tcPr>
            <w:tcW w:w="567" w:type="dxa"/>
            <w:vMerge/>
          </w:tcPr>
          <w:p w14:paraId="43E05A5D" w14:textId="77777777" w:rsidR="00454A29" w:rsidRDefault="00454A29"/>
        </w:tc>
        <w:tc>
          <w:tcPr>
            <w:tcW w:w="3345" w:type="dxa"/>
            <w:vMerge/>
          </w:tcPr>
          <w:p w14:paraId="10F777E2" w14:textId="77777777" w:rsidR="00454A29" w:rsidRDefault="00454A29"/>
        </w:tc>
        <w:tc>
          <w:tcPr>
            <w:tcW w:w="1701" w:type="dxa"/>
            <w:vAlign w:val="center"/>
          </w:tcPr>
          <w:p w14:paraId="00BEC144" w14:textId="77777777" w:rsidR="00454A29" w:rsidRDefault="00454A29">
            <w:pPr>
              <w:pStyle w:val="ConsPlusNormal"/>
              <w:jc w:val="center"/>
            </w:pPr>
            <w:r>
              <w:t>2026</w:t>
            </w:r>
          </w:p>
        </w:tc>
        <w:tc>
          <w:tcPr>
            <w:tcW w:w="1417" w:type="dxa"/>
            <w:vMerge/>
          </w:tcPr>
          <w:p w14:paraId="31090EF8" w14:textId="77777777" w:rsidR="00454A29" w:rsidRDefault="00454A29"/>
        </w:tc>
        <w:tc>
          <w:tcPr>
            <w:tcW w:w="2204" w:type="dxa"/>
            <w:vMerge/>
          </w:tcPr>
          <w:p w14:paraId="438FFB97" w14:textId="77777777" w:rsidR="00454A29" w:rsidRDefault="00454A29"/>
        </w:tc>
        <w:tc>
          <w:tcPr>
            <w:tcW w:w="1417" w:type="dxa"/>
            <w:vMerge/>
          </w:tcPr>
          <w:p w14:paraId="05B39761" w14:textId="77777777" w:rsidR="00454A29" w:rsidRDefault="00454A29"/>
        </w:tc>
        <w:tc>
          <w:tcPr>
            <w:tcW w:w="2324" w:type="dxa"/>
            <w:vMerge/>
          </w:tcPr>
          <w:p w14:paraId="55C312FE" w14:textId="77777777" w:rsidR="00454A29" w:rsidRDefault="00454A29"/>
        </w:tc>
        <w:tc>
          <w:tcPr>
            <w:tcW w:w="1701" w:type="dxa"/>
            <w:vAlign w:val="center"/>
          </w:tcPr>
          <w:p w14:paraId="37BC814D" w14:textId="77777777" w:rsidR="00454A29" w:rsidRDefault="00454A29">
            <w:pPr>
              <w:pStyle w:val="ConsPlusNormal"/>
              <w:jc w:val="center"/>
            </w:pPr>
            <w:r>
              <w:t>-</w:t>
            </w:r>
          </w:p>
        </w:tc>
        <w:tc>
          <w:tcPr>
            <w:tcW w:w="1814" w:type="dxa"/>
            <w:vAlign w:val="center"/>
          </w:tcPr>
          <w:p w14:paraId="55B93772" w14:textId="77777777" w:rsidR="00454A29" w:rsidRDefault="00454A29">
            <w:pPr>
              <w:pStyle w:val="ConsPlusNormal"/>
            </w:pPr>
          </w:p>
        </w:tc>
        <w:tc>
          <w:tcPr>
            <w:tcW w:w="1701" w:type="dxa"/>
            <w:vAlign w:val="center"/>
          </w:tcPr>
          <w:p w14:paraId="3D90ED67" w14:textId="77777777" w:rsidR="00454A29" w:rsidRDefault="00454A29">
            <w:pPr>
              <w:pStyle w:val="ConsPlusNormal"/>
            </w:pPr>
          </w:p>
        </w:tc>
        <w:tc>
          <w:tcPr>
            <w:tcW w:w="1701" w:type="dxa"/>
            <w:vAlign w:val="center"/>
          </w:tcPr>
          <w:p w14:paraId="7BF04BDA" w14:textId="77777777" w:rsidR="00454A29" w:rsidRDefault="00454A29">
            <w:pPr>
              <w:pStyle w:val="ConsPlusNormal"/>
            </w:pPr>
          </w:p>
        </w:tc>
        <w:tc>
          <w:tcPr>
            <w:tcW w:w="1814" w:type="dxa"/>
            <w:vAlign w:val="center"/>
          </w:tcPr>
          <w:p w14:paraId="4C9AD651" w14:textId="77777777" w:rsidR="00454A29" w:rsidRDefault="00454A29">
            <w:pPr>
              <w:pStyle w:val="ConsPlusNormal"/>
            </w:pPr>
          </w:p>
        </w:tc>
      </w:tr>
      <w:tr w:rsidR="00454A29" w14:paraId="7F40758E" w14:textId="77777777">
        <w:tc>
          <w:tcPr>
            <w:tcW w:w="567" w:type="dxa"/>
            <w:vMerge w:val="restart"/>
            <w:vAlign w:val="center"/>
          </w:tcPr>
          <w:p w14:paraId="48E9EA22" w14:textId="77777777" w:rsidR="00454A29" w:rsidRDefault="00454A29">
            <w:pPr>
              <w:pStyle w:val="ConsPlusNormal"/>
              <w:jc w:val="center"/>
            </w:pPr>
            <w:r>
              <w:t>24</w:t>
            </w:r>
          </w:p>
        </w:tc>
        <w:tc>
          <w:tcPr>
            <w:tcW w:w="3345" w:type="dxa"/>
            <w:vMerge w:val="restart"/>
            <w:vAlign w:val="center"/>
          </w:tcPr>
          <w:p w14:paraId="50C7F34A" w14:textId="77777777" w:rsidR="00454A29" w:rsidRDefault="00454A29">
            <w:pPr>
              <w:pStyle w:val="ConsPlusNormal"/>
              <w:jc w:val="center"/>
            </w:pPr>
            <w:r>
              <w:t>Детский сад на 75 мест в с. Улахан-Кюель Верхоянского улуса</w:t>
            </w:r>
          </w:p>
        </w:tc>
        <w:tc>
          <w:tcPr>
            <w:tcW w:w="1701" w:type="dxa"/>
            <w:vAlign w:val="center"/>
          </w:tcPr>
          <w:p w14:paraId="21CD4F07" w14:textId="77777777" w:rsidR="00454A29" w:rsidRDefault="00454A29">
            <w:pPr>
              <w:pStyle w:val="ConsPlusNormal"/>
              <w:jc w:val="center"/>
            </w:pPr>
            <w:r>
              <w:t>2020 - 2026 годы - всего</w:t>
            </w:r>
          </w:p>
        </w:tc>
        <w:tc>
          <w:tcPr>
            <w:tcW w:w="1417" w:type="dxa"/>
            <w:vMerge w:val="restart"/>
            <w:vAlign w:val="center"/>
          </w:tcPr>
          <w:p w14:paraId="5C5D7DA8" w14:textId="77777777" w:rsidR="00454A29" w:rsidRDefault="00454A29">
            <w:pPr>
              <w:pStyle w:val="ConsPlusNormal"/>
              <w:jc w:val="center"/>
            </w:pPr>
            <w:r>
              <w:t>73 653,74</w:t>
            </w:r>
          </w:p>
        </w:tc>
        <w:tc>
          <w:tcPr>
            <w:tcW w:w="2204" w:type="dxa"/>
            <w:vMerge w:val="restart"/>
            <w:vAlign w:val="center"/>
          </w:tcPr>
          <w:p w14:paraId="09AA8621" w14:textId="77777777" w:rsidR="00454A29" w:rsidRDefault="00454A29">
            <w:pPr>
              <w:pStyle w:val="ConsPlusNormal"/>
            </w:pPr>
          </w:p>
        </w:tc>
        <w:tc>
          <w:tcPr>
            <w:tcW w:w="1417" w:type="dxa"/>
            <w:vMerge w:val="restart"/>
            <w:vAlign w:val="center"/>
          </w:tcPr>
          <w:p w14:paraId="6DE84945" w14:textId="77777777" w:rsidR="00454A29" w:rsidRDefault="00454A29">
            <w:pPr>
              <w:pStyle w:val="ConsPlusNormal"/>
              <w:jc w:val="center"/>
            </w:pPr>
            <w:r>
              <w:t>75</w:t>
            </w:r>
          </w:p>
        </w:tc>
        <w:tc>
          <w:tcPr>
            <w:tcW w:w="2324" w:type="dxa"/>
            <w:vMerge w:val="restart"/>
            <w:vAlign w:val="center"/>
          </w:tcPr>
          <w:p w14:paraId="034FDF7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A3DAF54" w14:textId="77777777" w:rsidR="00454A29" w:rsidRDefault="00454A29">
            <w:pPr>
              <w:pStyle w:val="ConsPlusNormal"/>
              <w:jc w:val="center"/>
            </w:pPr>
            <w:r>
              <w:t>73 653,74</w:t>
            </w:r>
          </w:p>
        </w:tc>
        <w:tc>
          <w:tcPr>
            <w:tcW w:w="1814" w:type="dxa"/>
            <w:vAlign w:val="center"/>
          </w:tcPr>
          <w:p w14:paraId="1B7BF918" w14:textId="77777777" w:rsidR="00454A29" w:rsidRDefault="00454A29">
            <w:pPr>
              <w:pStyle w:val="ConsPlusNormal"/>
              <w:jc w:val="center"/>
            </w:pPr>
            <w:r>
              <w:t>126 444,20</w:t>
            </w:r>
          </w:p>
        </w:tc>
        <w:tc>
          <w:tcPr>
            <w:tcW w:w="1701" w:type="dxa"/>
            <w:vAlign w:val="center"/>
          </w:tcPr>
          <w:p w14:paraId="7E0FD473" w14:textId="77777777" w:rsidR="00454A29" w:rsidRDefault="00454A29">
            <w:pPr>
              <w:pStyle w:val="ConsPlusNormal"/>
              <w:jc w:val="center"/>
            </w:pPr>
            <w:r>
              <w:t>-</w:t>
            </w:r>
          </w:p>
        </w:tc>
        <w:tc>
          <w:tcPr>
            <w:tcW w:w="1701" w:type="dxa"/>
            <w:vAlign w:val="center"/>
          </w:tcPr>
          <w:p w14:paraId="40562B99" w14:textId="77777777" w:rsidR="00454A29" w:rsidRDefault="00454A29">
            <w:pPr>
              <w:pStyle w:val="ConsPlusNormal"/>
              <w:jc w:val="center"/>
            </w:pPr>
            <w:r>
              <w:t>-</w:t>
            </w:r>
          </w:p>
        </w:tc>
        <w:tc>
          <w:tcPr>
            <w:tcW w:w="1814" w:type="dxa"/>
            <w:vAlign w:val="center"/>
          </w:tcPr>
          <w:p w14:paraId="44D3751B" w14:textId="77777777" w:rsidR="00454A29" w:rsidRDefault="00454A29">
            <w:pPr>
              <w:pStyle w:val="ConsPlusNormal"/>
              <w:jc w:val="center"/>
            </w:pPr>
            <w:r>
              <w:t>-</w:t>
            </w:r>
          </w:p>
        </w:tc>
      </w:tr>
      <w:tr w:rsidR="00454A29" w14:paraId="198B3B68" w14:textId="77777777">
        <w:tc>
          <w:tcPr>
            <w:tcW w:w="567" w:type="dxa"/>
            <w:vMerge/>
          </w:tcPr>
          <w:p w14:paraId="66EAC63D" w14:textId="77777777" w:rsidR="00454A29" w:rsidRDefault="00454A29"/>
        </w:tc>
        <w:tc>
          <w:tcPr>
            <w:tcW w:w="3345" w:type="dxa"/>
            <w:vMerge/>
          </w:tcPr>
          <w:p w14:paraId="57C40387" w14:textId="77777777" w:rsidR="00454A29" w:rsidRDefault="00454A29"/>
        </w:tc>
        <w:tc>
          <w:tcPr>
            <w:tcW w:w="1701" w:type="dxa"/>
            <w:vAlign w:val="center"/>
          </w:tcPr>
          <w:p w14:paraId="15C82511" w14:textId="77777777" w:rsidR="00454A29" w:rsidRDefault="00454A29">
            <w:pPr>
              <w:pStyle w:val="ConsPlusNormal"/>
              <w:jc w:val="center"/>
            </w:pPr>
            <w:r>
              <w:t>2020</w:t>
            </w:r>
          </w:p>
        </w:tc>
        <w:tc>
          <w:tcPr>
            <w:tcW w:w="1417" w:type="dxa"/>
            <w:vMerge/>
          </w:tcPr>
          <w:p w14:paraId="3A42BA8B" w14:textId="77777777" w:rsidR="00454A29" w:rsidRDefault="00454A29"/>
        </w:tc>
        <w:tc>
          <w:tcPr>
            <w:tcW w:w="2204" w:type="dxa"/>
            <w:vMerge/>
          </w:tcPr>
          <w:p w14:paraId="2CFB3745" w14:textId="77777777" w:rsidR="00454A29" w:rsidRDefault="00454A29"/>
        </w:tc>
        <w:tc>
          <w:tcPr>
            <w:tcW w:w="1417" w:type="dxa"/>
            <w:vMerge/>
          </w:tcPr>
          <w:p w14:paraId="3C842490" w14:textId="77777777" w:rsidR="00454A29" w:rsidRDefault="00454A29"/>
        </w:tc>
        <w:tc>
          <w:tcPr>
            <w:tcW w:w="2324" w:type="dxa"/>
            <w:vMerge/>
          </w:tcPr>
          <w:p w14:paraId="347B81A1" w14:textId="77777777" w:rsidR="00454A29" w:rsidRDefault="00454A29"/>
        </w:tc>
        <w:tc>
          <w:tcPr>
            <w:tcW w:w="1701" w:type="dxa"/>
            <w:vAlign w:val="center"/>
          </w:tcPr>
          <w:p w14:paraId="0128C4C0" w14:textId="77777777" w:rsidR="00454A29" w:rsidRDefault="00454A29">
            <w:pPr>
              <w:pStyle w:val="ConsPlusNormal"/>
              <w:jc w:val="center"/>
            </w:pPr>
            <w:r>
              <w:t>-</w:t>
            </w:r>
          </w:p>
        </w:tc>
        <w:tc>
          <w:tcPr>
            <w:tcW w:w="1814" w:type="dxa"/>
            <w:vAlign w:val="center"/>
          </w:tcPr>
          <w:p w14:paraId="1410A343" w14:textId="77777777" w:rsidR="00454A29" w:rsidRDefault="00454A29">
            <w:pPr>
              <w:pStyle w:val="ConsPlusNormal"/>
            </w:pPr>
          </w:p>
        </w:tc>
        <w:tc>
          <w:tcPr>
            <w:tcW w:w="1701" w:type="dxa"/>
            <w:vAlign w:val="center"/>
          </w:tcPr>
          <w:p w14:paraId="5D540CF1" w14:textId="77777777" w:rsidR="00454A29" w:rsidRDefault="00454A29">
            <w:pPr>
              <w:pStyle w:val="ConsPlusNormal"/>
            </w:pPr>
          </w:p>
        </w:tc>
        <w:tc>
          <w:tcPr>
            <w:tcW w:w="1701" w:type="dxa"/>
            <w:vAlign w:val="center"/>
          </w:tcPr>
          <w:p w14:paraId="7C816974" w14:textId="77777777" w:rsidR="00454A29" w:rsidRDefault="00454A29">
            <w:pPr>
              <w:pStyle w:val="ConsPlusNormal"/>
            </w:pPr>
          </w:p>
        </w:tc>
        <w:tc>
          <w:tcPr>
            <w:tcW w:w="1814" w:type="dxa"/>
            <w:vAlign w:val="center"/>
          </w:tcPr>
          <w:p w14:paraId="0BB77EE1" w14:textId="77777777" w:rsidR="00454A29" w:rsidRDefault="00454A29">
            <w:pPr>
              <w:pStyle w:val="ConsPlusNormal"/>
            </w:pPr>
          </w:p>
        </w:tc>
      </w:tr>
      <w:tr w:rsidR="00454A29" w14:paraId="300248C2" w14:textId="77777777">
        <w:tc>
          <w:tcPr>
            <w:tcW w:w="567" w:type="dxa"/>
            <w:vMerge/>
          </w:tcPr>
          <w:p w14:paraId="0D72CB11" w14:textId="77777777" w:rsidR="00454A29" w:rsidRDefault="00454A29"/>
        </w:tc>
        <w:tc>
          <w:tcPr>
            <w:tcW w:w="3345" w:type="dxa"/>
            <w:vMerge/>
          </w:tcPr>
          <w:p w14:paraId="07E50D31" w14:textId="77777777" w:rsidR="00454A29" w:rsidRDefault="00454A29"/>
        </w:tc>
        <w:tc>
          <w:tcPr>
            <w:tcW w:w="1701" w:type="dxa"/>
            <w:vAlign w:val="center"/>
          </w:tcPr>
          <w:p w14:paraId="7937C53F" w14:textId="77777777" w:rsidR="00454A29" w:rsidRDefault="00454A29">
            <w:pPr>
              <w:pStyle w:val="ConsPlusNormal"/>
              <w:jc w:val="center"/>
            </w:pPr>
            <w:r>
              <w:t>2021</w:t>
            </w:r>
          </w:p>
        </w:tc>
        <w:tc>
          <w:tcPr>
            <w:tcW w:w="1417" w:type="dxa"/>
            <w:vMerge/>
          </w:tcPr>
          <w:p w14:paraId="6B9707C8" w14:textId="77777777" w:rsidR="00454A29" w:rsidRDefault="00454A29"/>
        </w:tc>
        <w:tc>
          <w:tcPr>
            <w:tcW w:w="2204" w:type="dxa"/>
            <w:vMerge/>
          </w:tcPr>
          <w:p w14:paraId="1C127447" w14:textId="77777777" w:rsidR="00454A29" w:rsidRDefault="00454A29"/>
        </w:tc>
        <w:tc>
          <w:tcPr>
            <w:tcW w:w="1417" w:type="dxa"/>
            <w:vMerge/>
          </w:tcPr>
          <w:p w14:paraId="0B037B92" w14:textId="77777777" w:rsidR="00454A29" w:rsidRDefault="00454A29"/>
        </w:tc>
        <w:tc>
          <w:tcPr>
            <w:tcW w:w="2324" w:type="dxa"/>
            <w:vMerge/>
          </w:tcPr>
          <w:p w14:paraId="1FA85739" w14:textId="77777777" w:rsidR="00454A29" w:rsidRDefault="00454A29"/>
        </w:tc>
        <w:tc>
          <w:tcPr>
            <w:tcW w:w="1701" w:type="dxa"/>
            <w:vAlign w:val="center"/>
          </w:tcPr>
          <w:p w14:paraId="1826EE9D" w14:textId="77777777" w:rsidR="00454A29" w:rsidRDefault="00454A29">
            <w:pPr>
              <w:pStyle w:val="ConsPlusNormal"/>
              <w:jc w:val="center"/>
            </w:pPr>
            <w:r>
              <w:t>-</w:t>
            </w:r>
          </w:p>
        </w:tc>
        <w:tc>
          <w:tcPr>
            <w:tcW w:w="1814" w:type="dxa"/>
            <w:vAlign w:val="center"/>
          </w:tcPr>
          <w:p w14:paraId="289CCCC3" w14:textId="77777777" w:rsidR="00454A29" w:rsidRDefault="00454A29">
            <w:pPr>
              <w:pStyle w:val="ConsPlusNormal"/>
            </w:pPr>
          </w:p>
        </w:tc>
        <w:tc>
          <w:tcPr>
            <w:tcW w:w="1701" w:type="dxa"/>
            <w:vAlign w:val="center"/>
          </w:tcPr>
          <w:p w14:paraId="22681282" w14:textId="77777777" w:rsidR="00454A29" w:rsidRDefault="00454A29">
            <w:pPr>
              <w:pStyle w:val="ConsPlusNormal"/>
            </w:pPr>
          </w:p>
        </w:tc>
        <w:tc>
          <w:tcPr>
            <w:tcW w:w="1701" w:type="dxa"/>
            <w:vAlign w:val="center"/>
          </w:tcPr>
          <w:p w14:paraId="0D9ACB83" w14:textId="77777777" w:rsidR="00454A29" w:rsidRDefault="00454A29">
            <w:pPr>
              <w:pStyle w:val="ConsPlusNormal"/>
            </w:pPr>
          </w:p>
        </w:tc>
        <w:tc>
          <w:tcPr>
            <w:tcW w:w="1814" w:type="dxa"/>
            <w:vAlign w:val="center"/>
          </w:tcPr>
          <w:p w14:paraId="067E229B" w14:textId="77777777" w:rsidR="00454A29" w:rsidRDefault="00454A29">
            <w:pPr>
              <w:pStyle w:val="ConsPlusNormal"/>
            </w:pPr>
          </w:p>
        </w:tc>
      </w:tr>
      <w:tr w:rsidR="00454A29" w14:paraId="7EC355A7" w14:textId="77777777">
        <w:tc>
          <w:tcPr>
            <w:tcW w:w="567" w:type="dxa"/>
            <w:vMerge/>
          </w:tcPr>
          <w:p w14:paraId="62AE1A02" w14:textId="77777777" w:rsidR="00454A29" w:rsidRDefault="00454A29"/>
        </w:tc>
        <w:tc>
          <w:tcPr>
            <w:tcW w:w="3345" w:type="dxa"/>
            <w:vMerge/>
          </w:tcPr>
          <w:p w14:paraId="4C28AF45" w14:textId="77777777" w:rsidR="00454A29" w:rsidRDefault="00454A29"/>
        </w:tc>
        <w:tc>
          <w:tcPr>
            <w:tcW w:w="1701" w:type="dxa"/>
            <w:vAlign w:val="center"/>
          </w:tcPr>
          <w:p w14:paraId="4FD8BD29" w14:textId="77777777" w:rsidR="00454A29" w:rsidRDefault="00454A29">
            <w:pPr>
              <w:pStyle w:val="ConsPlusNormal"/>
              <w:jc w:val="center"/>
            </w:pPr>
            <w:r>
              <w:t>2022</w:t>
            </w:r>
          </w:p>
        </w:tc>
        <w:tc>
          <w:tcPr>
            <w:tcW w:w="1417" w:type="dxa"/>
            <w:vMerge/>
          </w:tcPr>
          <w:p w14:paraId="48DDB898" w14:textId="77777777" w:rsidR="00454A29" w:rsidRDefault="00454A29"/>
        </w:tc>
        <w:tc>
          <w:tcPr>
            <w:tcW w:w="2204" w:type="dxa"/>
            <w:vMerge/>
          </w:tcPr>
          <w:p w14:paraId="7CFF6BDE" w14:textId="77777777" w:rsidR="00454A29" w:rsidRDefault="00454A29"/>
        </w:tc>
        <w:tc>
          <w:tcPr>
            <w:tcW w:w="1417" w:type="dxa"/>
            <w:vMerge/>
          </w:tcPr>
          <w:p w14:paraId="6DDA1CE1" w14:textId="77777777" w:rsidR="00454A29" w:rsidRDefault="00454A29"/>
        </w:tc>
        <w:tc>
          <w:tcPr>
            <w:tcW w:w="2324" w:type="dxa"/>
            <w:vMerge/>
          </w:tcPr>
          <w:p w14:paraId="6392E00B" w14:textId="77777777" w:rsidR="00454A29" w:rsidRDefault="00454A29"/>
        </w:tc>
        <w:tc>
          <w:tcPr>
            <w:tcW w:w="1701" w:type="dxa"/>
            <w:vAlign w:val="center"/>
          </w:tcPr>
          <w:p w14:paraId="14A9ED07" w14:textId="77777777" w:rsidR="00454A29" w:rsidRDefault="00454A29">
            <w:pPr>
              <w:pStyle w:val="ConsPlusNormal"/>
            </w:pPr>
          </w:p>
        </w:tc>
        <w:tc>
          <w:tcPr>
            <w:tcW w:w="1814" w:type="dxa"/>
            <w:vAlign w:val="center"/>
          </w:tcPr>
          <w:p w14:paraId="55F6CFA7" w14:textId="77777777" w:rsidR="00454A29" w:rsidRDefault="00454A29">
            <w:pPr>
              <w:pStyle w:val="ConsPlusNormal"/>
            </w:pPr>
          </w:p>
        </w:tc>
        <w:tc>
          <w:tcPr>
            <w:tcW w:w="1701" w:type="dxa"/>
            <w:vAlign w:val="center"/>
          </w:tcPr>
          <w:p w14:paraId="788916A7" w14:textId="77777777" w:rsidR="00454A29" w:rsidRDefault="00454A29">
            <w:pPr>
              <w:pStyle w:val="ConsPlusNormal"/>
            </w:pPr>
          </w:p>
        </w:tc>
        <w:tc>
          <w:tcPr>
            <w:tcW w:w="1701" w:type="dxa"/>
            <w:vAlign w:val="center"/>
          </w:tcPr>
          <w:p w14:paraId="3E36EE78" w14:textId="77777777" w:rsidR="00454A29" w:rsidRDefault="00454A29">
            <w:pPr>
              <w:pStyle w:val="ConsPlusNormal"/>
            </w:pPr>
          </w:p>
        </w:tc>
        <w:tc>
          <w:tcPr>
            <w:tcW w:w="1814" w:type="dxa"/>
            <w:vAlign w:val="center"/>
          </w:tcPr>
          <w:p w14:paraId="5C67375A" w14:textId="77777777" w:rsidR="00454A29" w:rsidRDefault="00454A29">
            <w:pPr>
              <w:pStyle w:val="ConsPlusNormal"/>
            </w:pPr>
          </w:p>
        </w:tc>
      </w:tr>
      <w:tr w:rsidR="00454A29" w14:paraId="245727FC" w14:textId="77777777">
        <w:tc>
          <w:tcPr>
            <w:tcW w:w="567" w:type="dxa"/>
            <w:vMerge/>
          </w:tcPr>
          <w:p w14:paraId="26B9DF55" w14:textId="77777777" w:rsidR="00454A29" w:rsidRDefault="00454A29"/>
        </w:tc>
        <w:tc>
          <w:tcPr>
            <w:tcW w:w="3345" w:type="dxa"/>
            <w:vMerge/>
          </w:tcPr>
          <w:p w14:paraId="43B97680" w14:textId="77777777" w:rsidR="00454A29" w:rsidRDefault="00454A29"/>
        </w:tc>
        <w:tc>
          <w:tcPr>
            <w:tcW w:w="1701" w:type="dxa"/>
            <w:vAlign w:val="center"/>
          </w:tcPr>
          <w:p w14:paraId="3D03F64D" w14:textId="77777777" w:rsidR="00454A29" w:rsidRDefault="00454A29">
            <w:pPr>
              <w:pStyle w:val="ConsPlusNormal"/>
              <w:jc w:val="center"/>
            </w:pPr>
            <w:r>
              <w:t>2023</w:t>
            </w:r>
          </w:p>
        </w:tc>
        <w:tc>
          <w:tcPr>
            <w:tcW w:w="1417" w:type="dxa"/>
            <w:vMerge/>
          </w:tcPr>
          <w:p w14:paraId="5C0CADBB" w14:textId="77777777" w:rsidR="00454A29" w:rsidRDefault="00454A29"/>
        </w:tc>
        <w:tc>
          <w:tcPr>
            <w:tcW w:w="2204" w:type="dxa"/>
            <w:vMerge/>
          </w:tcPr>
          <w:p w14:paraId="6D71BCE4" w14:textId="77777777" w:rsidR="00454A29" w:rsidRDefault="00454A29"/>
        </w:tc>
        <w:tc>
          <w:tcPr>
            <w:tcW w:w="1417" w:type="dxa"/>
            <w:vMerge/>
          </w:tcPr>
          <w:p w14:paraId="3F686E7D" w14:textId="77777777" w:rsidR="00454A29" w:rsidRDefault="00454A29"/>
        </w:tc>
        <w:tc>
          <w:tcPr>
            <w:tcW w:w="2324" w:type="dxa"/>
            <w:vMerge/>
          </w:tcPr>
          <w:p w14:paraId="24638E66" w14:textId="77777777" w:rsidR="00454A29" w:rsidRDefault="00454A29"/>
        </w:tc>
        <w:tc>
          <w:tcPr>
            <w:tcW w:w="1701" w:type="dxa"/>
            <w:vAlign w:val="center"/>
          </w:tcPr>
          <w:p w14:paraId="1A5AA27E" w14:textId="77777777" w:rsidR="00454A29" w:rsidRDefault="00454A29">
            <w:pPr>
              <w:pStyle w:val="ConsPlusNormal"/>
              <w:jc w:val="center"/>
            </w:pPr>
            <w:r>
              <w:t>31 358,16</w:t>
            </w:r>
          </w:p>
        </w:tc>
        <w:tc>
          <w:tcPr>
            <w:tcW w:w="1814" w:type="dxa"/>
            <w:vAlign w:val="center"/>
          </w:tcPr>
          <w:p w14:paraId="22188189" w14:textId="77777777" w:rsidR="00454A29" w:rsidRDefault="00454A29">
            <w:pPr>
              <w:pStyle w:val="ConsPlusNormal"/>
              <w:jc w:val="center"/>
            </w:pPr>
            <w:r>
              <w:t>31 358,16</w:t>
            </w:r>
          </w:p>
        </w:tc>
        <w:tc>
          <w:tcPr>
            <w:tcW w:w="1701" w:type="dxa"/>
            <w:vAlign w:val="center"/>
          </w:tcPr>
          <w:p w14:paraId="212E1C5E" w14:textId="77777777" w:rsidR="00454A29" w:rsidRDefault="00454A29">
            <w:pPr>
              <w:pStyle w:val="ConsPlusNormal"/>
            </w:pPr>
          </w:p>
        </w:tc>
        <w:tc>
          <w:tcPr>
            <w:tcW w:w="1701" w:type="dxa"/>
            <w:vAlign w:val="center"/>
          </w:tcPr>
          <w:p w14:paraId="01031373" w14:textId="77777777" w:rsidR="00454A29" w:rsidRDefault="00454A29">
            <w:pPr>
              <w:pStyle w:val="ConsPlusNormal"/>
            </w:pPr>
          </w:p>
        </w:tc>
        <w:tc>
          <w:tcPr>
            <w:tcW w:w="1814" w:type="dxa"/>
            <w:vAlign w:val="center"/>
          </w:tcPr>
          <w:p w14:paraId="6E0DD953" w14:textId="77777777" w:rsidR="00454A29" w:rsidRDefault="00454A29">
            <w:pPr>
              <w:pStyle w:val="ConsPlusNormal"/>
            </w:pPr>
          </w:p>
        </w:tc>
      </w:tr>
      <w:tr w:rsidR="00454A29" w14:paraId="47F27A0B" w14:textId="77777777">
        <w:tc>
          <w:tcPr>
            <w:tcW w:w="567" w:type="dxa"/>
            <w:vMerge/>
          </w:tcPr>
          <w:p w14:paraId="3EA5C40A" w14:textId="77777777" w:rsidR="00454A29" w:rsidRDefault="00454A29"/>
        </w:tc>
        <w:tc>
          <w:tcPr>
            <w:tcW w:w="3345" w:type="dxa"/>
            <w:vMerge/>
          </w:tcPr>
          <w:p w14:paraId="785E9722" w14:textId="77777777" w:rsidR="00454A29" w:rsidRDefault="00454A29"/>
        </w:tc>
        <w:tc>
          <w:tcPr>
            <w:tcW w:w="1701" w:type="dxa"/>
            <w:vAlign w:val="center"/>
          </w:tcPr>
          <w:p w14:paraId="5FD8FBF2" w14:textId="77777777" w:rsidR="00454A29" w:rsidRDefault="00454A29">
            <w:pPr>
              <w:pStyle w:val="ConsPlusNormal"/>
              <w:jc w:val="center"/>
            </w:pPr>
            <w:r>
              <w:t>2024</w:t>
            </w:r>
          </w:p>
        </w:tc>
        <w:tc>
          <w:tcPr>
            <w:tcW w:w="1417" w:type="dxa"/>
            <w:vMerge/>
          </w:tcPr>
          <w:p w14:paraId="224651DA" w14:textId="77777777" w:rsidR="00454A29" w:rsidRDefault="00454A29"/>
        </w:tc>
        <w:tc>
          <w:tcPr>
            <w:tcW w:w="2204" w:type="dxa"/>
            <w:vMerge/>
          </w:tcPr>
          <w:p w14:paraId="7EBED0FD" w14:textId="77777777" w:rsidR="00454A29" w:rsidRDefault="00454A29"/>
        </w:tc>
        <w:tc>
          <w:tcPr>
            <w:tcW w:w="1417" w:type="dxa"/>
            <w:vMerge/>
          </w:tcPr>
          <w:p w14:paraId="79646DF9" w14:textId="77777777" w:rsidR="00454A29" w:rsidRDefault="00454A29"/>
        </w:tc>
        <w:tc>
          <w:tcPr>
            <w:tcW w:w="2324" w:type="dxa"/>
            <w:vMerge/>
          </w:tcPr>
          <w:p w14:paraId="1CDBD13C" w14:textId="77777777" w:rsidR="00454A29" w:rsidRDefault="00454A29"/>
        </w:tc>
        <w:tc>
          <w:tcPr>
            <w:tcW w:w="1701" w:type="dxa"/>
            <w:vAlign w:val="center"/>
          </w:tcPr>
          <w:p w14:paraId="37F6B44D" w14:textId="77777777" w:rsidR="00454A29" w:rsidRDefault="00454A29">
            <w:pPr>
              <w:pStyle w:val="ConsPlusNormal"/>
              <w:jc w:val="center"/>
            </w:pPr>
            <w:r>
              <w:t>42 295,58</w:t>
            </w:r>
          </w:p>
        </w:tc>
        <w:tc>
          <w:tcPr>
            <w:tcW w:w="1814" w:type="dxa"/>
            <w:vAlign w:val="center"/>
          </w:tcPr>
          <w:p w14:paraId="0E6FCF15" w14:textId="77777777" w:rsidR="00454A29" w:rsidRDefault="00454A29">
            <w:pPr>
              <w:pStyle w:val="ConsPlusNormal"/>
              <w:jc w:val="center"/>
            </w:pPr>
            <w:r>
              <w:t>42 295,58</w:t>
            </w:r>
          </w:p>
        </w:tc>
        <w:tc>
          <w:tcPr>
            <w:tcW w:w="1701" w:type="dxa"/>
            <w:vAlign w:val="center"/>
          </w:tcPr>
          <w:p w14:paraId="72681BB0" w14:textId="77777777" w:rsidR="00454A29" w:rsidRDefault="00454A29">
            <w:pPr>
              <w:pStyle w:val="ConsPlusNormal"/>
            </w:pPr>
          </w:p>
        </w:tc>
        <w:tc>
          <w:tcPr>
            <w:tcW w:w="1701" w:type="dxa"/>
            <w:vAlign w:val="center"/>
          </w:tcPr>
          <w:p w14:paraId="1EFB1E95" w14:textId="77777777" w:rsidR="00454A29" w:rsidRDefault="00454A29">
            <w:pPr>
              <w:pStyle w:val="ConsPlusNormal"/>
            </w:pPr>
          </w:p>
        </w:tc>
        <w:tc>
          <w:tcPr>
            <w:tcW w:w="1814" w:type="dxa"/>
            <w:vAlign w:val="center"/>
          </w:tcPr>
          <w:p w14:paraId="22D1067C" w14:textId="77777777" w:rsidR="00454A29" w:rsidRDefault="00454A29">
            <w:pPr>
              <w:pStyle w:val="ConsPlusNormal"/>
            </w:pPr>
          </w:p>
        </w:tc>
      </w:tr>
      <w:tr w:rsidR="00454A29" w14:paraId="3E23A47D" w14:textId="77777777">
        <w:tc>
          <w:tcPr>
            <w:tcW w:w="567" w:type="dxa"/>
            <w:vMerge/>
          </w:tcPr>
          <w:p w14:paraId="3C40DE46" w14:textId="77777777" w:rsidR="00454A29" w:rsidRDefault="00454A29"/>
        </w:tc>
        <w:tc>
          <w:tcPr>
            <w:tcW w:w="3345" w:type="dxa"/>
            <w:vMerge/>
          </w:tcPr>
          <w:p w14:paraId="1F9BFAF3" w14:textId="77777777" w:rsidR="00454A29" w:rsidRDefault="00454A29"/>
        </w:tc>
        <w:tc>
          <w:tcPr>
            <w:tcW w:w="1701" w:type="dxa"/>
            <w:vAlign w:val="center"/>
          </w:tcPr>
          <w:p w14:paraId="3DF6F5BF" w14:textId="77777777" w:rsidR="00454A29" w:rsidRDefault="00454A29">
            <w:pPr>
              <w:pStyle w:val="ConsPlusNormal"/>
              <w:jc w:val="center"/>
            </w:pPr>
            <w:r>
              <w:t>2025</w:t>
            </w:r>
          </w:p>
        </w:tc>
        <w:tc>
          <w:tcPr>
            <w:tcW w:w="1417" w:type="dxa"/>
            <w:vMerge/>
          </w:tcPr>
          <w:p w14:paraId="463E8670" w14:textId="77777777" w:rsidR="00454A29" w:rsidRDefault="00454A29"/>
        </w:tc>
        <w:tc>
          <w:tcPr>
            <w:tcW w:w="2204" w:type="dxa"/>
            <w:vMerge/>
          </w:tcPr>
          <w:p w14:paraId="67B85FA9" w14:textId="77777777" w:rsidR="00454A29" w:rsidRDefault="00454A29"/>
        </w:tc>
        <w:tc>
          <w:tcPr>
            <w:tcW w:w="1417" w:type="dxa"/>
            <w:vMerge/>
          </w:tcPr>
          <w:p w14:paraId="273AC298" w14:textId="77777777" w:rsidR="00454A29" w:rsidRDefault="00454A29"/>
        </w:tc>
        <w:tc>
          <w:tcPr>
            <w:tcW w:w="2324" w:type="dxa"/>
            <w:vMerge/>
          </w:tcPr>
          <w:p w14:paraId="1447FFC9" w14:textId="77777777" w:rsidR="00454A29" w:rsidRDefault="00454A29"/>
        </w:tc>
        <w:tc>
          <w:tcPr>
            <w:tcW w:w="1701" w:type="dxa"/>
            <w:vAlign w:val="center"/>
          </w:tcPr>
          <w:p w14:paraId="292C8F33" w14:textId="77777777" w:rsidR="00454A29" w:rsidRDefault="00454A29">
            <w:pPr>
              <w:pStyle w:val="ConsPlusNormal"/>
              <w:jc w:val="center"/>
            </w:pPr>
            <w:r>
              <w:t>-</w:t>
            </w:r>
          </w:p>
        </w:tc>
        <w:tc>
          <w:tcPr>
            <w:tcW w:w="1814" w:type="dxa"/>
            <w:vAlign w:val="center"/>
          </w:tcPr>
          <w:p w14:paraId="2D7E4E74" w14:textId="77777777" w:rsidR="00454A29" w:rsidRDefault="00454A29">
            <w:pPr>
              <w:pStyle w:val="ConsPlusNormal"/>
            </w:pPr>
          </w:p>
        </w:tc>
        <w:tc>
          <w:tcPr>
            <w:tcW w:w="1701" w:type="dxa"/>
            <w:vAlign w:val="center"/>
          </w:tcPr>
          <w:p w14:paraId="61947116" w14:textId="77777777" w:rsidR="00454A29" w:rsidRDefault="00454A29">
            <w:pPr>
              <w:pStyle w:val="ConsPlusNormal"/>
            </w:pPr>
          </w:p>
        </w:tc>
        <w:tc>
          <w:tcPr>
            <w:tcW w:w="1701" w:type="dxa"/>
            <w:vAlign w:val="center"/>
          </w:tcPr>
          <w:p w14:paraId="16C334A2" w14:textId="77777777" w:rsidR="00454A29" w:rsidRDefault="00454A29">
            <w:pPr>
              <w:pStyle w:val="ConsPlusNormal"/>
            </w:pPr>
          </w:p>
        </w:tc>
        <w:tc>
          <w:tcPr>
            <w:tcW w:w="1814" w:type="dxa"/>
            <w:vAlign w:val="center"/>
          </w:tcPr>
          <w:p w14:paraId="59C6E3F2" w14:textId="77777777" w:rsidR="00454A29" w:rsidRDefault="00454A29">
            <w:pPr>
              <w:pStyle w:val="ConsPlusNormal"/>
            </w:pPr>
          </w:p>
        </w:tc>
      </w:tr>
      <w:tr w:rsidR="00454A29" w14:paraId="7A8A5C00" w14:textId="77777777">
        <w:tc>
          <w:tcPr>
            <w:tcW w:w="567" w:type="dxa"/>
            <w:vMerge/>
          </w:tcPr>
          <w:p w14:paraId="786A26A0" w14:textId="77777777" w:rsidR="00454A29" w:rsidRDefault="00454A29"/>
        </w:tc>
        <w:tc>
          <w:tcPr>
            <w:tcW w:w="3345" w:type="dxa"/>
            <w:vMerge/>
          </w:tcPr>
          <w:p w14:paraId="1B58B273" w14:textId="77777777" w:rsidR="00454A29" w:rsidRDefault="00454A29"/>
        </w:tc>
        <w:tc>
          <w:tcPr>
            <w:tcW w:w="1701" w:type="dxa"/>
            <w:vAlign w:val="center"/>
          </w:tcPr>
          <w:p w14:paraId="34C2B607" w14:textId="77777777" w:rsidR="00454A29" w:rsidRDefault="00454A29">
            <w:pPr>
              <w:pStyle w:val="ConsPlusNormal"/>
              <w:jc w:val="center"/>
            </w:pPr>
            <w:r>
              <w:t>2026</w:t>
            </w:r>
          </w:p>
        </w:tc>
        <w:tc>
          <w:tcPr>
            <w:tcW w:w="1417" w:type="dxa"/>
            <w:vMerge/>
          </w:tcPr>
          <w:p w14:paraId="2CCDF2A0" w14:textId="77777777" w:rsidR="00454A29" w:rsidRDefault="00454A29"/>
        </w:tc>
        <w:tc>
          <w:tcPr>
            <w:tcW w:w="2204" w:type="dxa"/>
            <w:vMerge/>
          </w:tcPr>
          <w:p w14:paraId="73E1B3EC" w14:textId="77777777" w:rsidR="00454A29" w:rsidRDefault="00454A29"/>
        </w:tc>
        <w:tc>
          <w:tcPr>
            <w:tcW w:w="1417" w:type="dxa"/>
            <w:vMerge/>
          </w:tcPr>
          <w:p w14:paraId="34C04FBC" w14:textId="77777777" w:rsidR="00454A29" w:rsidRDefault="00454A29"/>
        </w:tc>
        <w:tc>
          <w:tcPr>
            <w:tcW w:w="2324" w:type="dxa"/>
            <w:vMerge/>
          </w:tcPr>
          <w:p w14:paraId="50BFA175" w14:textId="77777777" w:rsidR="00454A29" w:rsidRDefault="00454A29"/>
        </w:tc>
        <w:tc>
          <w:tcPr>
            <w:tcW w:w="1701" w:type="dxa"/>
            <w:vAlign w:val="center"/>
          </w:tcPr>
          <w:p w14:paraId="62A1EE40" w14:textId="77777777" w:rsidR="00454A29" w:rsidRDefault="00454A29">
            <w:pPr>
              <w:pStyle w:val="ConsPlusNormal"/>
              <w:jc w:val="center"/>
            </w:pPr>
            <w:r>
              <w:t>-</w:t>
            </w:r>
          </w:p>
        </w:tc>
        <w:tc>
          <w:tcPr>
            <w:tcW w:w="1814" w:type="dxa"/>
            <w:vAlign w:val="center"/>
          </w:tcPr>
          <w:p w14:paraId="793E0AE7" w14:textId="77777777" w:rsidR="00454A29" w:rsidRDefault="00454A29">
            <w:pPr>
              <w:pStyle w:val="ConsPlusNormal"/>
            </w:pPr>
          </w:p>
        </w:tc>
        <w:tc>
          <w:tcPr>
            <w:tcW w:w="1701" w:type="dxa"/>
            <w:vAlign w:val="center"/>
          </w:tcPr>
          <w:p w14:paraId="5C353135" w14:textId="77777777" w:rsidR="00454A29" w:rsidRDefault="00454A29">
            <w:pPr>
              <w:pStyle w:val="ConsPlusNormal"/>
            </w:pPr>
          </w:p>
        </w:tc>
        <w:tc>
          <w:tcPr>
            <w:tcW w:w="1701" w:type="dxa"/>
            <w:vAlign w:val="center"/>
          </w:tcPr>
          <w:p w14:paraId="7FADB0AA" w14:textId="77777777" w:rsidR="00454A29" w:rsidRDefault="00454A29">
            <w:pPr>
              <w:pStyle w:val="ConsPlusNormal"/>
            </w:pPr>
          </w:p>
        </w:tc>
        <w:tc>
          <w:tcPr>
            <w:tcW w:w="1814" w:type="dxa"/>
            <w:vAlign w:val="center"/>
          </w:tcPr>
          <w:p w14:paraId="455F77F9" w14:textId="77777777" w:rsidR="00454A29" w:rsidRDefault="00454A29">
            <w:pPr>
              <w:pStyle w:val="ConsPlusNormal"/>
            </w:pPr>
          </w:p>
        </w:tc>
      </w:tr>
      <w:tr w:rsidR="00454A29" w14:paraId="6D2A22F0" w14:textId="77777777">
        <w:tc>
          <w:tcPr>
            <w:tcW w:w="567" w:type="dxa"/>
            <w:vMerge w:val="restart"/>
            <w:vAlign w:val="center"/>
          </w:tcPr>
          <w:p w14:paraId="28F87652" w14:textId="77777777" w:rsidR="00454A29" w:rsidRDefault="00454A29">
            <w:pPr>
              <w:pStyle w:val="ConsPlusNormal"/>
              <w:jc w:val="center"/>
            </w:pPr>
            <w:r>
              <w:t>25</w:t>
            </w:r>
          </w:p>
        </w:tc>
        <w:tc>
          <w:tcPr>
            <w:tcW w:w="3345" w:type="dxa"/>
            <w:vMerge w:val="restart"/>
            <w:vAlign w:val="center"/>
          </w:tcPr>
          <w:p w14:paraId="5EDFE740" w14:textId="77777777" w:rsidR="00454A29" w:rsidRDefault="00454A29">
            <w:pPr>
              <w:pStyle w:val="ConsPlusNormal"/>
              <w:jc w:val="center"/>
            </w:pPr>
            <w:r>
              <w:t>Детский сад "Сказка" в пос. Сангар Кобяйского улуса</w:t>
            </w:r>
          </w:p>
        </w:tc>
        <w:tc>
          <w:tcPr>
            <w:tcW w:w="1701" w:type="dxa"/>
            <w:vAlign w:val="center"/>
          </w:tcPr>
          <w:p w14:paraId="4EB77CAF" w14:textId="77777777" w:rsidR="00454A29" w:rsidRDefault="00454A29">
            <w:pPr>
              <w:pStyle w:val="ConsPlusNormal"/>
              <w:jc w:val="center"/>
            </w:pPr>
            <w:r>
              <w:t>2020 - 2026 годы - всего</w:t>
            </w:r>
          </w:p>
        </w:tc>
        <w:tc>
          <w:tcPr>
            <w:tcW w:w="1417" w:type="dxa"/>
            <w:vMerge w:val="restart"/>
            <w:vAlign w:val="center"/>
          </w:tcPr>
          <w:p w14:paraId="703717C5" w14:textId="77777777" w:rsidR="00454A29" w:rsidRDefault="00454A29">
            <w:pPr>
              <w:pStyle w:val="ConsPlusNormal"/>
              <w:jc w:val="center"/>
            </w:pPr>
            <w:r>
              <w:t>88 073,94</w:t>
            </w:r>
          </w:p>
        </w:tc>
        <w:tc>
          <w:tcPr>
            <w:tcW w:w="2204" w:type="dxa"/>
            <w:vMerge w:val="restart"/>
            <w:vAlign w:val="center"/>
          </w:tcPr>
          <w:p w14:paraId="0C97C460" w14:textId="77777777" w:rsidR="00454A29" w:rsidRDefault="00454A29">
            <w:pPr>
              <w:pStyle w:val="ConsPlusNormal"/>
              <w:jc w:val="center"/>
            </w:pPr>
            <w:r>
              <w:t>имеется</w:t>
            </w:r>
          </w:p>
        </w:tc>
        <w:tc>
          <w:tcPr>
            <w:tcW w:w="1417" w:type="dxa"/>
            <w:vMerge w:val="restart"/>
            <w:vAlign w:val="center"/>
          </w:tcPr>
          <w:p w14:paraId="35554841" w14:textId="77777777" w:rsidR="00454A29" w:rsidRDefault="00454A29">
            <w:pPr>
              <w:pStyle w:val="ConsPlusNormal"/>
              <w:jc w:val="center"/>
            </w:pPr>
            <w:r>
              <w:t>90</w:t>
            </w:r>
          </w:p>
        </w:tc>
        <w:tc>
          <w:tcPr>
            <w:tcW w:w="2324" w:type="dxa"/>
            <w:vMerge w:val="restart"/>
            <w:vAlign w:val="center"/>
          </w:tcPr>
          <w:p w14:paraId="23C1B3F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922CA99" w14:textId="77777777" w:rsidR="00454A29" w:rsidRDefault="00454A29">
            <w:pPr>
              <w:pStyle w:val="ConsPlusNormal"/>
              <w:jc w:val="center"/>
            </w:pPr>
            <w:r>
              <w:t>88 073,94</w:t>
            </w:r>
          </w:p>
        </w:tc>
        <w:tc>
          <w:tcPr>
            <w:tcW w:w="1814" w:type="dxa"/>
            <w:vAlign w:val="center"/>
          </w:tcPr>
          <w:p w14:paraId="26C339AF" w14:textId="77777777" w:rsidR="00454A29" w:rsidRDefault="00454A29">
            <w:pPr>
              <w:pStyle w:val="ConsPlusNormal"/>
              <w:jc w:val="center"/>
            </w:pPr>
            <w:r>
              <w:t>151 199,90</w:t>
            </w:r>
          </w:p>
        </w:tc>
        <w:tc>
          <w:tcPr>
            <w:tcW w:w="1701" w:type="dxa"/>
            <w:vAlign w:val="center"/>
          </w:tcPr>
          <w:p w14:paraId="2A88A9D8" w14:textId="77777777" w:rsidR="00454A29" w:rsidRDefault="00454A29">
            <w:pPr>
              <w:pStyle w:val="ConsPlusNormal"/>
              <w:jc w:val="center"/>
            </w:pPr>
            <w:r>
              <w:t>-</w:t>
            </w:r>
          </w:p>
        </w:tc>
        <w:tc>
          <w:tcPr>
            <w:tcW w:w="1701" w:type="dxa"/>
            <w:vAlign w:val="center"/>
          </w:tcPr>
          <w:p w14:paraId="57E890F2" w14:textId="77777777" w:rsidR="00454A29" w:rsidRDefault="00454A29">
            <w:pPr>
              <w:pStyle w:val="ConsPlusNormal"/>
              <w:jc w:val="center"/>
            </w:pPr>
            <w:r>
              <w:t>-</w:t>
            </w:r>
          </w:p>
        </w:tc>
        <w:tc>
          <w:tcPr>
            <w:tcW w:w="1814" w:type="dxa"/>
            <w:vAlign w:val="center"/>
          </w:tcPr>
          <w:p w14:paraId="100D66B7" w14:textId="77777777" w:rsidR="00454A29" w:rsidRDefault="00454A29">
            <w:pPr>
              <w:pStyle w:val="ConsPlusNormal"/>
              <w:jc w:val="center"/>
            </w:pPr>
            <w:r>
              <w:t>-</w:t>
            </w:r>
          </w:p>
        </w:tc>
      </w:tr>
      <w:tr w:rsidR="00454A29" w14:paraId="53A19B87" w14:textId="77777777">
        <w:tc>
          <w:tcPr>
            <w:tcW w:w="567" w:type="dxa"/>
            <w:vMerge/>
          </w:tcPr>
          <w:p w14:paraId="048B54B1" w14:textId="77777777" w:rsidR="00454A29" w:rsidRDefault="00454A29"/>
        </w:tc>
        <w:tc>
          <w:tcPr>
            <w:tcW w:w="3345" w:type="dxa"/>
            <w:vMerge/>
          </w:tcPr>
          <w:p w14:paraId="703CB562" w14:textId="77777777" w:rsidR="00454A29" w:rsidRDefault="00454A29"/>
        </w:tc>
        <w:tc>
          <w:tcPr>
            <w:tcW w:w="1701" w:type="dxa"/>
            <w:vAlign w:val="center"/>
          </w:tcPr>
          <w:p w14:paraId="64075B73" w14:textId="77777777" w:rsidR="00454A29" w:rsidRDefault="00454A29">
            <w:pPr>
              <w:pStyle w:val="ConsPlusNormal"/>
              <w:jc w:val="center"/>
            </w:pPr>
            <w:r>
              <w:t>2020</w:t>
            </w:r>
          </w:p>
        </w:tc>
        <w:tc>
          <w:tcPr>
            <w:tcW w:w="1417" w:type="dxa"/>
            <w:vMerge/>
          </w:tcPr>
          <w:p w14:paraId="094C2585" w14:textId="77777777" w:rsidR="00454A29" w:rsidRDefault="00454A29"/>
        </w:tc>
        <w:tc>
          <w:tcPr>
            <w:tcW w:w="2204" w:type="dxa"/>
            <w:vMerge/>
          </w:tcPr>
          <w:p w14:paraId="49481185" w14:textId="77777777" w:rsidR="00454A29" w:rsidRDefault="00454A29"/>
        </w:tc>
        <w:tc>
          <w:tcPr>
            <w:tcW w:w="1417" w:type="dxa"/>
            <w:vMerge/>
          </w:tcPr>
          <w:p w14:paraId="6CD4E99D" w14:textId="77777777" w:rsidR="00454A29" w:rsidRDefault="00454A29"/>
        </w:tc>
        <w:tc>
          <w:tcPr>
            <w:tcW w:w="2324" w:type="dxa"/>
            <w:vMerge/>
          </w:tcPr>
          <w:p w14:paraId="3F13251F" w14:textId="77777777" w:rsidR="00454A29" w:rsidRDefault="00454A29"/>
        </w:tc>
        <w:tc>
          <w:tcPr>
            <w:tcW w:w="1701" w:type="dxa"/>
            <w:vAlign w:val="center"/>
          </w:tcPr>
          <w:p w14:paraId="5C83DE1E" w14:textId="77777777" w:rsidR="00454A29" w:rsidRDefault="00454A29">
            <w:pPr>
              <w:pStyle w:val="ConsPlusNormal"/>
              <w:jc w:val="center"/>
            </w:pPr>
            <w:r>
              <w:t>-</w:t>
            </w:r>
          </w:p>
        </w:tc>
        <w:tc>
          <w:tcPr>
            <w:tcW w:w="1814" w:type="dxa"/>
            <w:vAlign w:val="center"/>
          </w:tcPr>
          <w:p w14:paraId="49ED0628" w14:textId="77777777" w:rsidR="00454A29" w:rsidRDefault="00454A29">
            <w:pPr>
              <w:pStyle w:val="ConsPlusNormal"/>
            </w:pPr>
          </w:p>
        </w:tc>
        <w:tc>
          <w:tcPr>
            <w:tcW w:w="1701" w:type="dxa"/>
            <w:vAlign w:val="center"/>
          </w:tcPr>
          <w:p w14:paraId="2511FD88" w14:textId="77777777" w:rsidR="00454A29" w:rsidRDefault="00454A29">
            <w:pPr>
              <w:pStyle w:val="ConsPlusNormal"/>
            </w:pPr>
          </w:p>
        </w:tc>
        <w:tc>
          <w:tcPr>
            <w:tcW w:w="1701" w:type="dxa"/>
            <w:vAlign w:val="center"/>
          </w:tcPr>
          <w:p w14:paraId="3E380B72" w14:textId="77777777" w:rsidR="00454A29" w:rsidRDefault="00454A29">
            <w:pPr>
              <w:pStyle w:val="ConsPlusNormal"/>
            </w:pPr>
          </w:p>
        </w:tc>
        <w:tc>
          <w:tcPr>
            <w:tcW w:w="1814" w:type="dxa"/>
            <w:vAlign w:val="center"/>
          </w:tcPr>
          <w:p w14:paraId="071BE15F" w14:textId="77777777" w:rsidR="00454A29" w:rsidRDefault="00454A29">
            <w:pPr>
              <w:pStyle w:val="ConsPlusNormal"/>
            </w:pPr>
          </w:p>
        </w:tc>
      </w:tr>
      <w:tr w:rsidR="00454A29" w14:paraId="40B36072" w14:textId="77777777">
        <w:tc>
          <w:tcPr>
            <w:tcW w:w="567" w:type="dxa"/>
            <w:vMerge/>
          </w:tcPr>
          <w:p w14:paraId="79D875B6" w14:textId="77777777" w:rsidR="00454A29" w:rsidRDefault="00454A29"/>
        </w:tc>
        <w:tc>
          <w:tcPr>
            <w:tcW w:w="3345" w:type="dxa"/>
            <w:vMerge/>
          </w:tcPr>
          <w:p w14:paraId="0028C800" w14:textId="77777777" w:rsidR="00454A29" w:rsidRDefault="00454A29"/>
        </w:tc>
        <w:tc>
          <w:tcPr>
            <w:tcW w:w="1701" w:type="dxa"/>
            <w:vAlign w:val="center"/>
          </w:tcPr>
          <w:p w14:paraId="378D454C" w14:textId="77777777" w:rsidR="00454A29" w:rsidRDefault="00454A29">
            <w:pPr>
              <w:pStyle w:val="ConsPlusNormal"/>
              <w:jc w:val="center"/>
            </w:pPr>
            <w:r>
              <w:t>2021</w:t>
            </w:r>
          </w:p>
        </w:tc>
        <w:tc>
          <w:tcPr>
            <w:tcW w:w="1417" w:type="dxa"/>
            <w:vMerge/>
          </w:tcPr>
          <w:p w14:paraId="41A84F46" w14:textId="77777777" w:rsidR="00454A29" w:rsidRDefault="00454A29"/>
        </w:tc>
        <w:tc>
          <w:tcPr>
            <w:tcW w:w="2204" w:type="dxa"/>
            <w:vMerge/>
          </w:tcPr>
          <w:p w14:paraId="70F61069" w14:textId="77777777" w:rsidR="00454A29" w:rsidRDefault="00454A29"/>
        </w:tc>
        <w:tc>
          <w:tcPr>
            <w:tcW w:w="1417" w:type="dxa"/>
            <w:vMerge/>
          </w:tcPr>
          <w:p w14:paraId="2AE08023" w14:textId="77777777" w:rsidR="00454A29" w:rsidRDefault="00454A29"/>
        </w:tc>
        <w:tc>
          <w:tcPr>
            <w:tcW w:w="2324" w:type="dxa"/>
            <w:vMerge/>
          </w:tcPr>
          <w:p w14:paraId="01A07917" w14:textId="77777777" w:rsidR="00454A29" w:rsidRDefault="00454A29"/>
        </w:tc>
        <w:tc>
          <w:tcPr>
            <w:tcW w:w="1701" w:type="dxa"/>
            <w:vAlign w:val="center"/>
          </w:tcPr>
          <w:p w14:paraId="04520794" w14:textId="77777777" w:rsidR="00454A29" w:rsidRDefault="00454A29">
            <w:pPr>
              <w:pStyle w:val="ConsPlusNormal"/>
              <w:jc w:val="center"/>
            </w:pPr>
            <w:r>
              <w:t>-</w:t>
            </w:r>
          </w:p>
        </w:tc>
        <w:tc>
          <w:tcPr>
            <w:tcW w:w="1814" w:type="dxa"/>
            <w:vAlign w:val="center"/>
          </w:tcPr>
          <w:p w14:paraId="59F9704A" w14:textId="77777777" w:rsidR="00454A29" w:rsidRDefault="00454A29">
            <w:pPr>
              <w:pStyle w:val="ConsPlusNormal"/>
            </w:pPr>
          </w:p>
        </w:tc>
        <w:tc>
          <w:tcPr>
            <w:tcW w:w="1701" w:type="dxa"/>
            <w:vAlign w:val="center"/>
          </w:tcPr>
          <w:p w14:paraId="51559CB5" w14:textId="77777777" w:rsidR="00454A29" w:rsidRDefault="00454A29">
            <w:pPr>
              <w:pStyle w:val="ConsPlusNormal"/>
            </w:pPr>
          </w:p>
        </w:tc>
        <w:tc>
          <w:tcPr>
            <w:tcW w:w="1701" w:type="dxa"/>
            <w:vAlign w:val="center"/>
          </w:tcPr>
          <w:p w14:paraId="5C69B3D4" w14:textId="77777777" w:rsidR="00454A29" w:rsidRDefault="00454A29">
            <w:pPr>
              <w:pStyle w:val="ConsPlusNormal"/>
            </w:pPr>
          </w:p>
        </w:tc>
        <w:tc>
          <w:tcPr>
            <w:tcW w:w="1814" w:type="dxa"/>
            <w:vAlign w:val="center"/>
          </w:tcPr>
          <w:p w14:paraId="5E24B151" w14:textId="77777777" w:rsidR="00454A29" w:rsidRDefault="00454A29">
            <w:pPr>
              <w:pStyle w:val="ConsPlusNormal"/>
            </w:pPr>
          </w:p>
        </w:tc>
      </w:tr>
      <w:tr w:rsidR="00454A29" w14:paraId="22998E1D" w14:textId="77777777">
        <w:tc>
          <w:tcPr>
            <w:tcW w:w="567" w:type="dxa"/>
            <w:vMerge/>
          </w:tcPr>
          <w:p w14:paraId="3C87BE18" w14:textId="77777777" w:rsidR="00454A29" w:rsidRDefault="00454A29"/>
        </w:tc>
        <w:tc>
          <w:tcPr>
            <w:tcW w:w="3345" w:type="dxa"/>
            <w:vMerge/>
          </w:tcPr>
          <w:p w14:paraId="3E947FE7" w14:textId="77777777" w:rsidR="00454A29" w:rsidRDefault="00454A29"/>
        </w:tc>
        <w:tc>
          <w:tcPr>
            <w:tcW w:w="1701" w:type="dxa"/>
            <w:vAlign w:val="center"/>
          </w:tcPr>
          <w:p w14:paraId="61FB8AF2" w14:textId="77777777" w:rsidR="00454A29" w:rsidRDefault="00454A29">
            <w:pPr>
              <w:pStyle w:val="ConsPlusNormal"/>
              <w:jc w:val="center"/>
            </w:pPr>
            <w:r>
              <w:t>2022</w:t>
            </w:r>
          </w:p>
        </w:tc>
        <w:tc>
          <w:tcPr>
            <w:tcW w:w="1417" w:type="dxa"/>
            <w:vMerge/>
          </w:tcPr>
          <w:p w14:paraId="0A0E5171" w14:textId="77777777" w:rsidR="00454A29" w:rsidRDefault="00454A29"/>
        </w:tc>
        <w:tc>
          <w:tcPr>
            <w:tcW w:w="2204" w:type="dxa"/>
            <w:vMerge/>
          </w:tcPr>
          <w:p w14:paraId="62570243" w14:textId="77777777" w:rsidR="00454A29" w:rsidRDefault="00454A29"/>
        </w:tc>
        <w:tc>
          <w:tcPr>
            <w:tcW w:w="1417" w:type="dxa"/>
            <w:vMerge/>
          </w:tcPr>
          <w:p w14:paraId="3EFEB69B" w14:textId="77777777" w:rsidR="00454A29" w:rsidRDefault="00454A29"/>
        </w:tc>
        <w:tc>
          <w:tcPr>
            <w:tcW w:w="2324" w:type="dxa"/>
            <w:vMerge/>
          </w:tcPr>
          <w:p w14:paraId="4CB03239" w14:textId="77777777" w:rsidR="00454A29" w:rsidRDefault="00454A29"/>
        </w:tc>
        <w:tc>
          <w:tcPr>
            <w:tcW w:w="1701" w:type="dxa"/>
            <w:vAlign w:val="center"/>
          </w:tcPr>
          <w:p w14:paraId="1E838D59" w14:textId="77777777" w:rsidR="00454A29" w:rsidRDefault="00454A29">
            <w:pPr>
              <w:pStyle w:val="ConsPlusNormal"/>
            </w:pPr>
          </w:p>
        </w:tc>
        <w:tc>
          <w:tcPr>
            <w:tcW w:w="1814" w:type="dxa"/>
            <w:vAlign w:val="center"/>
          </w:tcPr>
          <w:p w14:paraId="37D2649A" w14:textId="77777777" w:rsidR="00454A29" w:rsidRDefault="00454A29">
            <w:pPr>
              <w:pStyle w:val="ConsPlusNormal"/>
            </w:pPr>
          </w:p>
        </w:tc>
        <w:tc>
          <w:tcPr>
            <w:tcW w:w="1701" w:type="dxa"/>
            <w:vAlign w:val="center"/>
          </w:tcPr>
          <w:p w14:paraId="1D6A368C" w14:textId="77777777" w:rsidR="00454A29" w:rsidRDefault="00454A29">
            <w:pPr>
              <w:pStyle w:val="ConsPlusNormal"/>
            </w:pPr>
          </w:p>
        </w:tc>
        <w:tc>
          <w:tcPr>
            <w:tcW w:w="1701" w:type="dxa"/>
            <w:vAlign w:val="center"/>
          </w:tcPr>
          <w:p w14:paraId="0EBB6118" w14:textId="77777777" w:rsidR="00454A29" w:rsidRDefault="00454A29">
            <w:pPr>
              <w:pStyle w:val="ConsPlusNormal"/>
            </w:pPr>
          </w:p>
        </w:tc>
        <w:tc>
          <w:tcPr>
            <w:tcW w:w="1814" w:type="dxa"/>
            <w:vAlign w:val="center"/>
          </w:tcPr>
          <w:p w14:paraId="45888D17" w14:textId="77777777" w:rsidR="00454A29" w:rsidRDefault="00454A29">
            <w:pPr>
              <w:pStyle w:val="ConsPlusNormal"/>
            </w:pPr>
          </w:p>
        </w:tc>
      </w:tr>
      <w:tr w:rsidR="00454A29" w14:paraId="1156BCD5" w14:textId="77777777">
        <w:tc>
          <w:tcPr>
            <w:tcW w:w="567" w:type="dxa"/>
            <w:vMerge/>
          </w:tcPr>
          <w:p w14:paraId="77EDB171" w14:textId="77777777" w:rsidR="00454A29" w:rsidRDefault="00454A29"/>
        </w:tc>
        <w:tc>
          <w:tcPr>
            <w:tcW w:w="3345" w:type="dxa"/>
            <w:vMerge/>
          </w:tcPr>
          <w:p w14:paraId="74BD441E" w14:textId="77777777" w:rsidR="00454A29" w:rsidRDefault="00454A29"/>
        </w:tc>
        <w:tc>
          <w:tcPr>
            <w:tcW w:w="1701" w:type="dxa"/>
            <w:vAlign w:val="center"/>
          </w:tcPr>
          <w:p w14:paraId="1BEB2DB5" w14:textId="77777777" w:rsidR="00454A29" w:rsidRDefault="00454A29">
            <w:pPr>
              <w:pStyle w:val="ConsPlusNormal"/>
              <w:jc w:val="center"/>
            </w:pPr>
            <w:r>
              <w:t>2023</w:t>
            </w:r>
          </w:p>
        </w:tc>
        <w:tc>
          <w:tcPr>
            <w:tcW w:w="1417" w:type="dxa"/>
            <w:vMerge/>
          </w:tcPr>
          <w:p w14:paraId="28454781" w14:textId="77777777" w:rsidR="00454A29" w:rsidRDefault="00454A29"/>
        </w:tc>
        <w:tc>
          <w:tcPr>
            <w:tcW w:w="2204" w:type="dxa"/>
            <w:vMerge/>
          </w:tcPr>
          <w:p w14:paraId="04D4F609" w14:textId="77777777" w:rsidR="00454A29" w:rsidRDefault="00454A29"/>
        </w:tc>
        <w:tc>
          <w:tcPr>
            <w:tcW w:w="1417" w:type="dxa"/>
            <w:vMerge/>
          </w:tcPr>
          <w:p w14:paraId="78EF6665" w14:textId="77777777" w:rsidR="00454A29" w:rsidRDefault="00454A29"/>
        </w:tc>
        <w:tc>
          <w:tcPr>
            <w:tcW w:w="2324" w:type="dxa"/>
            <w:vMerge/>
          </w:tcPr>
          <w:p w14:paraId="13383A90" w14:textId="77777777" w:rsidR="00454A29" w:rsidRDefault="00454A29"/>
        </w:tc>
        <w:tc>
          <w:tcPr>
            <w:tcW w:w="1701" w:type="dxa"/>
            <w:vAlign w:val="center"/>
          </w:tcPr>
          <w:p w14:paraId="6F2B622D" w14:textId="77777777" w:rsidR="00454A29" w:rsidRDefault="00454A29">
            <w:pPr>
              <w:pStyle w:val="ConsPlusNormal"/>
              <w:jc w:val="center"/>
            </w:pPr>
            <w:r>
              <w:t>37 497,57</w:t>
            </w:r>
          </w:p>
        </w:tc>
        <w:tc>
          <w:tcPr>
            <w:tcW w:w="1814" w:type="dxa"/>
            <w:vAlign w:val="center"/>
          </w:tcPr>
          <w:p w14:paraId="6E625D91" w14:textId="77777777" w:rsidR="00454A29" w:rsidRDefault="00454A29">
            <w:pPr>
              <w:pStyle w:val="ConsPlusNormal"/>
              <w:jc w:val="center"/>
            </w:pPr>
            <w:r>
              <w:t>37 497,57</w:t>
            </w:r>
          </w:p>
        </w:tc>
        <w:tc>
          <w:tcPr>
            <w:tcW w:w="1701" w:type="dxa"/>
            <w:vAlign w:val="center"/>
          </w:tcPr>
          <w:p w14:paraId="4EAC8261" w14:textId="77777777" w:rsidR="00454A29" w:rsidRDefault="00454A29">
            <w:pPr>
              <w:pStyle w:val="ConsPlusNormal"/>
            </w:pPr>
          </w:p>
        </w:tc>
        <w:tc>
          <w:tcPr>
            <w:tcW w:w="1701" w:type="dxa"/>
            <w:vAlign w:val="center"/>
          </w:tcPr>
          <w:p w14:paraId="4B12A312" w14:textId="77777777" w:rsidR="00454A29" w:rsidRDefault="00454A29">
            <w:pPr>
              <w:pStyle w:val="ConsPlusNormal"/>
            </w:pPr>
          </w:p>
        </w:tc>
        <w:tc>
          <w:tcPr>
            <w:tcW w:w="1814" w:type="dxa"/>
            <w:vAlign w:val="center"/>
          </w:tcPr>
          <w:p w14:paraId="2506CF98" w14:textId="77777777" w:rsidR="00454A29" w:rsidRDefault="00454A29">
            <w:pPr>
              <w:pStyle w:val="ConsPlusNormal"/>
            </w:pPr>
          </w:p>
        </w:tc>
      </w:tr>
      <w:tr w:rsidR="00454A29" w14:paraId="5C735B20" w14:textId="77777777">
        <w:tc>
          <w:tcPr>
            <w:tcW w:w="567" w:type="dxa"/>
            <w:vMerge/>
          </w:tcPr>
          <w:p w14:paraId="4796FD36" w14:textId="77777777" w:rsidR="00454A29" w:rsidRDefault="00454A29"/>
        </w:tc>
        <w:tc>
          <w:tcPr>
            <w:tcW w:w="3345" w:type="dxa"/>
            <w:vMerge/>
          </w:tcPr>
          <w:p w14:paraId="067CE58D" w14:textId="77777777" w:rsidR="00454A29" w:rsidRDefault="00454A29"/>
        </w:tc>
        <w:tc>
          <w:tcPr>
            <w:tcW w:w="1701" w:type="dxa"/>
            <w:vAlign w:val="center"/>
          </w:tcPr>
          <w:p w14:paraId="007EF90A" w14:textId="77777777" w:rsidR="00454A29" w:rsidRDefault="00454A29">
            <w:pPr>
              <w:pStyle w:val="ConsPlusNormal"/>
              <w:jc w:val="center"/>
            </w:pPr>
            <w:r>
              <w:t>2024</w:t>
            </w:r>
          </w:p>
        </w:tc>
        <w:tc>
          <w:tcPr>
            <w:tcW w:w="1417" w:type="dxa"/>
            <w:vMerge/>
          </w:tcPr>
          <w:p w14:paraId="2224AB8F" w14:textId="77777777" w:rsidR="00454A29" w:rsidRDefault="00454A29"/>
        </w:tc>
        <w:tc>
          <w:tcPr>
            <w:tcW w:w="2204" w:type="dxa"/>
            <w:vMerge/>
          </w:tcPr>
          <w:p w14:paraId="73D645E5" w14:textId="77777777" w:rsidR="00454A29" w:rsidRDefault="00454A29"/>
        </w:tc>
        <w:tc>
          <w:tcPr>
            <w:tcW w:w="1417" w:type="dxa"/>
            <w:vMerge/>
          </w:tcPr>
          <w:p w14:paraId="7E444954" w14:textId="77777777" w:rsidR="00454A29" w:rsidRDefault="00454A29"/>
        </w:tc>
        <w:tc>
          <w:tcPr>
            <w:tcW w:w="2324" w:type="dxa"/>
            <w:vMerge/>
          </w:tcPr>
          <w:p w14:paraId="1CBE09BD" w14:textId="77777777" w:rsidR="00454A29" w:rsidRDefault="00454A29"/>
        </w:tc>
        <w:tc>
          <w:tcPr>
            <w:tcW w:w="1701" w:type="dxa"/>
            <w:vAlign w:val="center"/>
          </w:tcPr>
          <w:p w14:paraId="418852A1" w14:textId="77777777" w:rsidR="00454A29" w:rsidRDefault="00454A29">
            <w:pPr>
              <w:pStyle w:val="ConsPlusNormal"/>
              <w:jc w:val="center"/>
            </w:pPr>
            <w:r>
              <w:t>50 576,37</w:t>
            </w:r>
          </w:p>
        </w:tc>
        <w:tc>
          <w:tcPr>
            <w:tcW w:w="1814" w:type="dxa"/>
            <w:vAlign w:val="center"/>
          </w:tcPr>
          <w:p w14:paraId="25D6C275" w14:textId="77777777" w:rsidR="00454A29" w:rsidRDefault="00454A29">
            <w:pPr>
              <w:pStyle w:val="ConsPlusNormal"/>
              <w:jc w:val="center"/>
            </w:pPr>
            <w:r>
              <w:t>50 576,37</w:t>
            </w:r>
          </w:p>
        </w:tc>
        <w:tc>
          <w:tcPr>
            <w:tcW w:w="1701" w:type="dxa"/>
            <w:vAlign w:val="center"/>
          </w:tcPr>
          <w:p w14:paraId="3AEEBF6C" w14:textId="77777777" w:rsidR="00454A29" w:rsidRDefault="00454A29">
            <w:pPr>
              <w:pStyle w:val="ConsPlusNormal"/>
            </w:pPr>
          </w:p>
        </w:tc>
        <w:tc>
          <w:tcPr>
            <w:tcW w:w="1701" w:type="dxa"/>
            <w:vAlign w:val="center"/>
          </w:tcPr>
          <w:p w14:paraId="74325F8F" w14:textId="77777777" w:rsidR="00454A29" w:rsidRDefault="00454A29">
            <w:pPr>
              <w:pStyle w:val="ConsPlusNormal"/>
            </w:pPr>
          </w:p>
        </w:tc>
        <w:tc>
          <w:tcPr>
            <w:tcW w:w="1814" w:type="dxa"/>
            <w:vAlign w:val="center"/>
          </w:tcPr>
          <w:p w14:paraId="4B88DC2C" w14:textId="77777777" w:rsidR="00454A29" w:rsidRDefault="00454A29">
            <w:pPr>
              <w:pStyle w:val="ConsPlusNormal"/>
            </w:pPr>
          </w:p>
        </w:tc>
      </w:tr>
      <w:tr w:rsidR="00454A29" w14:paraId="4E483A71" w14:textId="77777777">
        <w:tc>
          <w:tcPr>
            <w:tcW w:w="567" w:type="dxa"/>
            <w:vMerge/>
          </w:tcPr>
          <w:p w14:paraId="507BBDFB" w14:textId="77777777" w:rsidR="00454A29" w:rsidRDefault="00454A29"/>
        </w:tc>
        <w:tc>
          <w:tcPr>
            <w:tcW w:w="3345" w:type="dxa"/>
            <w:vMerge/>
          </w:tcPr>
          <w:p w14:paraId="36341A7B" w14:textId="77777777" w:rsidR="00454A29" w:rsidRDefault="00454A29"/>
        </w:tc>
        <w:tc>
          <w:tcPr>
            <w:tcW w:w="1701" w:type="dxa"/>
            <w:vAlign w:val="center"/>
          </w:tcPr>
          <w:p w14:paraId="07E8A16D" w14:textId="77777777" w:rsidR="00454A29" w:rsidRDefault="00454A29">
            <w:pPr>
              <w:pStyle w:val="ConsPlusNormal"/>
              <w:jc w:val="center"/>
            </w:pPr>
            <w:r>
              <w:t>2025</w:t>
            </w:r>
          </w:p>
        </w:tc>
        <w:tc>
          <w:tcPr>
            <w:tcW w:w="1417" w:type="dxa"/>
            <w:vMerge/>
          </w:tcPr>
          <w:p w14:paraId="028583AE" w14:textId="77777777" w:rsidR="00454A29" w:rsidRDefault="00454A29"/>
        </w:tc>
        <w:tc>
          <w:tcPr>
            <w:tcW w:w="2204" w:type="dxa"/>
            <w:vMerge/>
          </w:tcPr>
          <w:p w14:paraId="57195CB6" w14:textId="77777777" w:rsidR="00454A29" w:rsidRDefault="00454A29"/>
        </w:tc>
        <w:tc>
          <w:tcPr>
            <w:tcW w:w="1417" w:type="dxa"/>
            <w:vMerge/>
          </w:tcPr>
          <w:p w14:paraId="03069C4C" w14:textId="77777777" w:rsidR="00454A29" w:rsidRDefault="00454A29"/>
        </w:tc>
        <w:tc>
          <w:tcPr>
            <w:tcW w:w="2324" w:type="dxa"/>
            <w:vMerge/>
          </w:tcPr>
          <w:p w14:paraId="2FA6C27D" w14:textId="77777777" w:rsidR="00454A29" w:rsidRDefault="00454A29"/>
        </w:tc>
        <w:tc>
          <w:tcPr>
            <w:tcW w:w="1701" w:type="dxa"/>
            <w:vAlign w:val="center"/>
          </w:tcPr>
          <w:p w14:paraId="2B7FF5B4" w14:textId="77777777" w:rsidR="00454A29" w:rsidRDefault="00454A29">
            <w:pPr>
              <w:pStyle w:val="ConsPlusNormal"/>
              <w:jc w:val="center"/>
            </w:pPr>
            <w:r>
              <w:t>-</w:t>
            </w:r>
          </w:p>
        </w:tc>
        <w:tc>
          <w:tcPr>
            <w:tcW w:w="1814" w:type="dxa"/>
            <w:vAlign w:val="center"/>
          </w:tcPr>
          <w:p w14:paraId="6701BF06" w14:textId="77777777" w:rsidR="00454A29" w:rsidRDefault="00454A29">
            <w:pPr>
              <w:pStyle w:val="ConsPlusNormal"/>
            </w:pPr>
          </w:p>
        </w:tc>
        <w:tc>
          <w:tcPr>
            <w:tcW w:w="1701" w:type="dxa"/>
            <w:vAlign w:val="center"/>
          </w:tcPr>
          <w:p w14:paraId="490A31B4" w14:textId="77777777" w:rsidR="00454A29" w:rsidRDefault="00454A29">
            <w:pPr>
              <w:pStyle w:val="ConsPlusNormal"/>
            </w:pPr>
          </w:p>
        </w:tc>
        <w:tc>
          <w:tcPr>
            <w:tcW w:w="1701" w:type="dxa"/>
            <w:vAlign w:val="center"/>
          </w:tcPr>
          <w:p w14:paraId="2721AF24" w14:textId="77777777" w:rsidR="00454A29" w:rsidRDefault="00454A29">
            <w:pPr>
              <w:pStyle w:val="ConsPlusNormal"/>
            </w:pPr>
          </w:p>
        </w:tc>
        <w:tc>
          <w:tcPr>
            <w:tcW w:w="1814" w:type="dxa"/>
            <w:vAlign w:val="center"/>
          </w:tcPr>
          <w:p w14:paraId="5248CF5E" w14:textId="77777777" w:rsidR="00454A29" w:rsidRDefault="00454A29">
            <w:pPr>
              <w:pStyle w:val="ConsPlusNormal"/>
            </w:pPr>
          </w:p>
        </w:tc>
      </w:tr>
      <w:tr w:rsidR="00454A29" w14:paraId="2BA2A981" w14:textId="77777777">
        <w:tc>
          <w:tcPr>
            <w:tcW w:w="567" w:type="dxa"/>
            <w:vMerge/>
          </w:tcPr>
          <w:p w14:paraId="43F6CD1A" w14:textId="77777777" w:rsidR="00454A29" w:rsidRDefault="00454A29"/>
        </w:tc>
        <w:tc>
          <w:tcPr>
            <w:tcW w:w="3345" w:type="dxa"/>
            <w:vMerge/>
          </w:tcPr>
          <w:p w14:paraId="6E27464B" w14:textId="77777777" w:rsidR="00454A29" w:rsidRDefault="00454A29"/>
        </w:tc>
        <w:tc>
          <w:tcPr>
            <w:tcW w:w="1701" w:type="dxa"/>
            <w:vAlign w:val="center"/>
          </w:tcPr>
          <w:p w14:paraId="73C0A201" w14:textId="77777777" w:rsidR="00454A29" w:rsidRDefault="00454A29">
            <w:pPr>
              <w:pStyle w:val="ConsPlusNormal"/>
              <w:jc w:val="center"/>
            </w:pPr>
            <w:r>
              <w:t>2026</w:t>
            </w:r>
          </w:p>
        </w:tc>
        <w:tc>
          <w:tcPr>
            <w:tcW w:w="1417" w:type="dxa"/>
            <w:vMerge/>
          </w:tcPr>
          <w:p w14:paraId="4013FCD2" w14:textId="77777777" w:rsidR="00454A29" w:rsidRDefault="00454A29"/>
        </w:tc>
        <w:tc>
          <w:tcPr>
            <w:tcW w:w="2204" w:type="dxa"/>
            <w:vMerge/>
          </w:tcPr>
          <w:p w14:paraId="59D6D2E3" w14:textId="77777777" w:rsidR="00454A29" w:rsidRDefault="00454A29"/>
        </w:tc>
        <w:tc>
          <w:tcPr>
            <w:tcW w:w="1417" w:type="dxa"/>
            <w:vMerge/>
          </w:tcPr>
          <w:p w14:paraId="21653D10" w14:textId="77777777" w:rsidR="00454A29" w:rsidRDefault="00454A29"/>
        </w:tc>
        <w:tc>
          <w:tcPr>
            <w:tcW w:w="2324" w:type="dxa"/>
            <w:vMerge/>
          </w:tcPr>
          <w:p w14:paraId="43E4462F" w14:textId="77777777" w:rsidR="00454A29" w:rsidRDefault="00454A29"/>
        </w:tc>
        <w:tc>
          <w:tcPr>
            <w:tcW w:w="1701" w:type="dxa"/>
            <w:vAlign w:val="center"/>
          </w:tcPr>
          <w:p w14:paraId="27655BD5" w14:textId="77777777" w:rsidR="00454A29" w:rsidRDefault="00454A29">
            <w:pPr>
              <w:pStyle w:val="ConsPlusNormal"/>
              <w:jc w:val="center"/>
            </w:pPr>
            <w:r>
              <w:t>-</w:t>
            </w:r>
          </w:p>
        </w:tc>
        <w:tc>
          <w:tcPr>
            <w:tcW w:w="1814" w:type="dxa"/>
            <w:vAlign w:val="center"/>
          </w:tcPr>
          <w:p w14:paraId="7680BD49" w14:textId="77777777" w:rsidR="00454A29" w:rsidRDefault="00454A29">
            <w:pPr>
              <w:pStyle w:val="ConsPlusNormal"/>
            </w:pPr>
          </w:p>
        </w:tc>
        <w:tc>
          <w:tcPr>
            <w:tcW w:w="1701" w:type="dxa"/>
            <w:vAlign w:val="center"/>
          </w:tcPr>
          <w:p w14:paraId="43EAA197" w14:textId="77777777" w:rsidR="00454A29" w:rsidRDefault="00454A29">
            <w:pPr>
              <w:pStyle w:val="ConsPlusNormal"/>
            </w:pPr>
          </w:p>
        </w:tc>
        <w:tc>
          <w:tcPr>
            <w:tcW w:w="1701" w:type="dxa"/>
            <w:vAlign w:val="center"/>
          </w:tcPr>
          <w:p w14:paraId="1B45F24D" w14:textId="77777777" w:rsidR="00454A29" w:rsidRDefault="00454A29">
            <w:pPr>
              <w:pStyle w:val="ConsPlusNormal"/>
            </w:pPr>
          </w:p>
        </w:tc>
        <w:tc>
          <w:tcPr>
            <w:tcW w:w="1814" w:type="dxa"/>
            <w:vAlign w:val="center"/>
          </w:tcPr>
          <w:p w14:paraId="656D42A5" w14:textId="77777777" w:rsidR="00454A29" w:rsidRDefault="00454A29">
            <w:pPr>
              <w:pStyle w:val="ConsPlusNormal"/>
            </w:pPr>
          </w:p>
        </w:tc>
      </w:tr>
      <w:tr w:rsidR="00454A29" w14:paraId="4F9076B4" w14:textId="77777777">
        <w:tc>
          <w:tcPr>
            <w:tcW w:w="567" w:type="dxa"/>
            <w:vMerge w:val="restart"/>
            <w:vAlign w:val="center"/>
          </w:tcPr>
          <w:p w14:paraId="1A4D937B" w14:textId="77777777" w:rsidR="00454A29" w:rsidRDefault="00454A29">
            <w:pPr>
              <w:pStyle w:val="ConsPlusNormal"/>
              <w:jc w:val="center"/>
            </w:pPr>
            <w:r>
              <w:t>26</w:t>
            </w:r>
          </w:p>
        </w:tc>
        <w:tc>
          <w:tcPr>
            <w:tcW w:w="3345" w:type="dxa"/>
            <w:vMerge w:val="restart"/>
            <w:vAlign w:val="center"/>
          </w:tcPr>
          <w:p w14:paraId="2D1F9274" w14:textId="77777777" w:rsidR="00454A29" w:rsidRDefault="00454A29">
            <w:pPr>
              <w:pStyle w:val="ConsPlusNormal"/>
              <w:jc w:val="center"/>
            </w:pPr>
            <w:r>
              <w:t>Детский сад на 75 мест в с. Сайылык Кобяйского улуса</w:t>
            </w:r>
          </w:p>
        </w:tc>
        <w:tc>
          <w:tcPr>
            <w:tcW w:w="1701" w:type="dxa"/>
            <w:vAlign w:val="center"/>
          </w:tcPr>
          <w:p w14:paraId="2F422B88" w14:textId="77777777" w:rsidR="00454A29" w:rsidRDefault="00454A29">
            <w:pPr>
              <w:pStyle w:val="ConsPlusNormal"/>
              <w:jc w:val="center"/>
            </w:pPr>
            <w:r>
              <w:t>2020 - 2026 годы - всего</w:t>
            </w:r>
          </w:p>
        </w:tc>
        <w:tc>
          <w:tcPr>
            <w:tcW w:w="1417" w:type="dxa"/>
            <w:vMerge w:val="restart"/>
            <w:vAlign w:val="center"/>
          </w:tcPr>
          <w:p w14:paraId="188CCD83" w14:textId="77777777" w:rsidR="00454A29" w:rsidRDefault="00454A29">
            <w:pPr>
              <w:pStyle w:val="ConsPlusNormal"/>
              <w:jc w:val="center"/>
            </w:pPr>
            <w:r>
              <w:t>73 653,74</w:t>
            </w:r>
          </w:p>
        </w:tc>
        <w:tc>
          <w:tcPr>
            <w:tcW w:w="2204" w:type="dxa"/>
            <w:vMerge w:val="restart"/>
            <w:vAlign w:val="center"/>
          </w:tcPr>
          <w:p w14:paraId="6CB4CA8B" w14:textId="77777777" w:rsidR="00454A29" w:rsidRDefault="00454A29">
            <w:pPr>
              <w:pStyle w:val="ConsPlusNormal"/>
            </w:pPr>
          </w:p>
        </w:tc>
        <w:tc>
          <w:tcPr>
            <w:tcW w:w="1417" w:type="dxa"/>
            <w:vMerge w:val="restart"/>
            <w:vAlign w:val="center"/>
          </w:tcPr>
          <w:p w14:paraId="6ECB19EC" w14:textId="77777777" w:rsidR="00454A29" w:rsidRDefault="00454A29">
            <w:pPr>
              <w:pStyle w:val="ConsPlusNormal"/>
              <w:jc w:val="center"/>
            </w:pPr>
            <w:r>
              <w:t>75</w:t>
            </w:r>
          </w:p>
        </w:tc>
        <w:tc>
          <w:tcPr>
            <w:tcW w:w="2324" w:type="dxa"/>
            <w:vMerge w:val="restart"/>
            <w:vAlign w:val="center"/>
          </w:tcPr>
          <w:p w14:paraId="00AE747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FB5B059" w14:textId="77777777" w:rsidR="00454A29" w:rsidRDefault="00454A29">
            <w:pPr>
              <w:pStyle w:val="ConsPlusNormal"/>
              <w:jc w:val="center"/>
            </w:pPr>
            <w:r>
              <w:t>73 653,74</w:t>
            </w:r>
          </w:p>
        </w:tc>
        <w:tc>
          <w:tcPr>
            <w:tcW w:w="1814" w:type="dxa"/>
            <w:vAlign w:val="center"/>
          </w:tcPr>
          <w:p w14:paraId="383B20FF" w14:textId="77777777" w:rsidR="00454A29" w:rsidRDefault="00454A29">
            <w:pPr>
              <w:pStyle w:val="ConsPlusNormal"/>
              <w:jc w:val="center"/>
            </w:pPr>
            <w:r>
              <w:t>126 444,20</w:t>
            </w:r>
          </w:p>
        </w:tc>
        <w:tc>
          <w:tcPr>
            <w:tcW w:w="1701" w:type="dxa"/>
            <w:vAlign w:val="center"/>
          </w:tcPr>
          <w:p w14:paraId="4F6DB3B2" w14:textId="77777777" w:rsidR="00454A29" w:rsidRDefault="00454A29">
            <w:pPr>
              <w:pStyle w:val="ConsPlusNormal"/>
              <w:jc w:val="center"/>
            </w:pPr>
            <w:r>
              <w:t>-</w:t>
            </w:r>
          </w:p>
        </w:tc>
        <w:tc>
          <w:tcPr>
            <w:tcW w:w="1701" w:type="dxa"/>
            <w:vAlign w:val="center"/>
          </w:tcPr>
          <w:p w14:paraId="3E93A46E" w14:textId="77777777" w:rsidR="00454A29" w:rsidRDefault="00454A29">
            <w:pPr>
              <w:pStyle w:val="ConsPlusNormal"/>
              <w:jc w:val="center"/>
            </w:pPr>
            <w:r>
              <w:t>-</w:t>
            </w:r>
          </w:p>
        </w:tc>
        <w:tc>
          <w:tcPr>
            <w:tcW w:w="1814" w:type="dxa"/>
            <w:vAlign w:val="center"/>
          </w:tcPr>
          <w:p w14:paraId="4117F7F6" w14:textId="77777777" w:rsidR="00454A29" w:rsidRDefault="00454A29">
            <w:pPr>
              <w:pStyle w:val="ConsPlusNormal"/>
              <w:jc w:val="center"/>
            </w:pPr>
            <w:r>
              <w:t>-</w:t>
            </w:r>
          </w:p>
        </w:tc>
      </w:tr>
      <w:tr w:rsidR="00454A29" w14:paraId="0AA4C761" w14:textId="77777777">
        <w:tc>
          <w:tcPr>
            <w:tcW w:w="567" w:type="dxa"/>
            <w:vMerge/>
          </w:tcPr>
          <w:p w14:paraId="7426A52A" w14:textId="77777777" w:rsidR="00454A29" w:rsidRDefault="00454A29"/>
        </w:tc>
        <w:tc>
          <w:tcPr>
            <w:tcW w:w="3345" w:type="dxa"/>
            <w:vMerge/>
          </w:tcPr>
          <w:p w14:paraId="099B2AEE" w14:textId="77777777" w:rsidR="00454A29" w:rsidRDefault="00454A29"/>
        </w:tc>
        <w:tc>
          <w:tcPr>
            <w:tcW w:w="1701" w:type="dxa"/>
            <w:vAlign w:val="center"/>
          </w:tcPr>
          <w:p w14:paraId="20CAAAE1" w14:textId="77777777" w:rsidR="00454A29" w:rsidRDefault="00454A29">
            <w:pPr>
              <w:pStyle w:val="ConsPlusNormal"/>
              <w:jc w:val="center"/>
            </w:pPr>
            <w:r>
              <w:t>2020</w:t>
            </w:r>
          </w:p>
        </w:tc>
        <w:tc>
          <w:tcPr>
            <w:tcW w:w="1417" w:type="dxa"/>
            <w:vMerge/>
          </w:tcPr>
          <w:p w14:paraId="1A0A38FB" w14:textId="77777777" w:rsidR="00454A29" w:rsidRDefault="00454A29"/>
        </w:tc>
        <w:tc>
          <w:tcPr>
            <w:tcW w:w="2204" w:type="dxa"/>
            <w:vMerge/>
          </w:tcPr>
          <w:p w14:paraId="1538B45A" w14:textId="77777777" w:rsidR="00454A29" w:rsidRDefault="00454A29"/>
        </w:tc>
        <w:tc>
          <w:tcPr>
            <w:tcW w:w="1417" w:type="dxa"/>
            <w:vMerge/>
          </w:tcPr>
          <w:p w14:paraId="3B6B98E4" w14:textId="77777777" w:rsidR="00454A29" w:rsidRDefault="00454A29"/>
        </w:tc>
        <w:tc>
          <w:tcPr>
            <w:tcW w:w="2324" w:type="dxa"/>
            <w:vMerge/>
          </w:tcPr>
          <w:p w14:paraId="29D54583" w14:textId="77777777" w:rsidR="00454A29" w:rsidRDefault="00454A29"/>
        </w:tc>
        <w:tc>
          <w:tcPr>
            <w:tcW w:w="1701" w:type="dxa"/>
            <w:vAlign w:val="center"/>
          </w:tcPr>
          <w:p w14:paraId="75D86E88" w14:textId="77777777" w:rsidR="00454A29" w:rsidRDefault="00454A29">
            <w:pPr>
              <w:pStyle w:val="ConsPlusNormal"/>
              <w:jc w:val="center"/>
            </w:pPr>
            <w:r>
              <w:t>-</w:t>
            </w:r>
          </w:p>
        </w:tc>
        <w:tc>
          <w:tcPr>
            <w:tcW w:w="1814" w:type="dxa"/>
            <w:vAlign w:val="center"/>
          </w:tcPr>
          <w:p w14:paraId="0B153D3D" w14:textId="77777777" w:rsidR="00454A29" w:rsidRDefault="00454A29">
            <w:pPr>
              <w:pStyle w:val="ConsPlusNormal"/>
            </w:pPr>
          </w:p>
        </w:tc>
        <w:tc>
          <w:tcPr>
            <w:tcW w:w="1701" w:type="dxa"/>
            <w:vAlign w:val="center"/>
          </w:tcPr>
          <w:p w14:paraId="48DAFAF1" w14:textId="77777777" w:rsidR="00454A29" w:rsidRDefault="00454A29">
            <w:pPr>
              <w:pStyle w:val="ConsPlusNormal"/>
            </w:pPr>
          </w:p>
        </w:tc>
        <w:tc>
          <w:tcPr>
            <w:tcW w:w="1701" w:type="dxa"/>
            <w:vAlign w:val="center"/>
          </w:tcPr>
          <w:p w14:paraId="13D9C8B8" w14:textId="77777777" w:rsidR="00454A29" w:rsidRDefault="00454A29">
            <w:pPr>
              <w:pStyle w:val="ConsPlusNormal"/>
            </w:pPr>
          </w:p>
        </w:tc>
        <w:tc>
          <w:tcPr>
            <w:tcW w:w="1814" w:type="dxa"/>
            <w:vAlign w:val="center"/>
          </w:tcPr>
          <w:p w14:paraId="24F5F42A" w14:textId="77777777" w:rsidR="00454A29" w:rsidRDefault="00454A29">
            <w:pPr>
              <w:pStyle w:val="ConsPlusNormal"/>
            </w:pPr>
          </w:p>
        </w:tc>
      </w:tr>
      <w:tr w:rsidR="00454A29" w14:paraId="6D0496F4" w14:textId="77777777">
        <w:tc>
          <w:tcPr>
            <w:tcW w:w="567" w:type="dxa"/>
            <w:vMerge/>
          </w:tcPr>
          <w:p w14:paraId="6E8178BA" w14:textId="77777777" w:rsidR="00454A29" w:rsidRDefault="00454A29"/>
        </w:tc>
        <w:tc>
          <w:tcPr>
            <w:tcW w:w="3345" w:type="dxa"/>
            <w:vMerge/>
          </w:tcPr>
          <w:p w14:paraId="78016304" w14:textId="77777777" w:rsidR="00454A29" w:rsidRDefault="00454A29"/>
        </w:tc>
        <w:tc>
          <w:tcPr>
            <w:tcW w:w="1701" w:type="dxa"/>
            <w:vAlign w:val="center"/>
          </w:tcPr>
          <w:p w14:paraId="68407C93" w14:textId="77777777" w:rsidR="00454A29" w:rsidRDefault="00454A29">
            <w:pPr>
              <w:pStyle w:val="ConsPlusNormal"/>
              <w:jc w:val="center"/>
            </w:pPr>
            <w:r>
              <w:t>2021</w:t>
            </w:r>
          </w:p>
        </w:tc>
        <w:tc>
          <w:tcPr>
            <w:tcW w:w="1417" w:type="dxa"/>
            <w:vMerge/>
          </w:tcPr>
          <w:p w14:paraId="0CF7F171" w14:textId="77777777" w:rsidR="00454A29" w:rsidRDefault="00454A29"/>
        </w:tc>
        <w:tc>
          <w:tcPr>
            <w:tcW w:w="2204" w:type="dxa"/>
            <w:vMerge/>
          </w:tcPr>
          <w:p w14:paraId="1EF62DF5" w14:textId="77777777" w:rsidR="00454A29" w:rsidRDefault="00454A29"/>
        </w:tc>
        <w:tc>
          <w:tcPr>
            <w:tcW w:w="1417" w:type="dxa"/>
            <w:vMerge/>
          </w:tcPr>
          <w:p w14:paraId="654DC26E" w14:textId="77777777" w:rsidR="00454A29" w:rsidRDefault="00454A29"/>
        </w:tc>
        <w:tc>
          <w:tcPr>
            <w:tcW w:w="2324" w:type="dxa"/>
            <w:vMerge/>
          </w:tcPr>
          <w:p w14:paraId="7328D92A" w14:textId="77777777" w:rsidR="00454A29" w:rsidRDefault="00454A29"/>
        </w:tc>
        <w:tc>
          <w:tcPr>
            <w:tcW w:w="1701" w:type="dxa"/>
            <w:vAlign w:val="center"/>
          </w:tcPr>
          <w:p w14:paraId="01200CFC" w14:textId="77777777" w:rsidR="00454A29" w:rsidRDefault="00454A29">
            <w:pPr>
              <w:pStyle w:val="ConsPlusNormal"/>
              <w:jc w:val="center"/>
            </w:pPr>
            <w:r>
              <w:t>-</w:t>
            </w:r>
          </w:p>
        </w:tc>
        <w:tc>
          <w:tcPr>
            <w:tcW w:w="1814" w:type="dxa"/>
            <w:vAlign w:val="center"/>
          </w:tcPr>
          <w:p w14:paraId="459EC23D" w14:textId="77777777" w:rsidR="00454A29" w:rsidRDefault="00454A29">
            <w:pPr>
              <w:pStyle w:val="ConsPlusNormal"/>
            </w:pPr>
          </w:p>
        </w:tc>
        <w:tc>
          <w:tcPr>
            <w:tcW w:w="1701" w:type="dxa"/>
            <w:vAlign w:val="center"/>
          </w:tcPr>
          <w:p w14:paraId="768E7BD2" w14:textId="77777777" w:rsidR="00454A29" w:rsidRDefault="00454A29">
            <w:pPr>
              <w:pStyle w:val="ConsPlusNormal"/>
            </w:pPr>
          </w:p>
        </w:tc>
        <w:tc>
          <w:tcPr>
            <w:tcW w:w="1701" w:type="dxa"/>
            <w:vAlign w:val="center"/>
          </w:tcPr>
          <w:p w14:paraId="53310E8A" w14:textId="77777777" w:rsidR="00454A29" w:rsidRDefault="00454A29">
            <w:pPr>
              <w:pStyle w:val="ConsPlusNormal"/>
            </w:pPr>
          </w:p>
        </w:tc>
        <w:tc>
          <w:tcPr>
            <w:tcW w:w="1814" w:type="dxa"/>
            <w:vAlign w:val="center"/>
          </w:tcPr>
          <w:p w14:paraId="1C07A9AA" w14:textId="77777777" w:rsidR="00454A29" w:rsidRDefault="00454A29">
            <w:pPr>
              <w:pStyle w:val="ConsPlusNormal"/>
            </w:pPr>
          </w:p>
        </w:tc>
      </w:tr>
      <w:tr w:rsidR="00454A29" w14:paraId="6D589431" w14:textId="77777777">
        <w:tc>
          <w:tcPr>
            <w:tcW w:w="567" w:type="dxa"/>
            <w:vMerge/>
          </w:tcPr>
          <w:p w14:paraId="641FF152" w14:textId="77777777" w:rsidR="00454A29" w:rsidRDefault="00454A29"/>
        </w:tc>
        <w:tc>
          <w:tcPr>
            <w:tcW w:w="3345" w:type="dxa"/>
            <w:vMerge/>
          </w:tcPr>
          <w:p w14:paraId="3879B92C" w14:textId="77777777" w:rsidR="00454A29" w:rsidRDefault="00454A29"/>
        </w:tc>
        <w:tc>
          <w:tcPr>
            <w:tcW w:w="1701" w:type="dxa"/>
            <w:vAlign w:val="center"/>
          </w:tcPr>
          <w:p w14:paraId="30C1936B" w14:textId="77777777" w:rsidR="00454A29" w:rsidRDefault="00454A29">
            <w:pPr>
              <w:pStyle w:val="ConsPlusNormal"/>
              <w:jc w:val="center"/>
            </w:pPr>
            <w:r>
              <w:t>2022</w:t>
            </w:r>
          </w:p>
        </w:tc>
        <w:tc>
          <w:tcPr>
            <w:tcW w:w="1417" w:type="dxa"/>
            <w:vMerge/>
          </w:tcPr>
          <w:p w14:paraId="0D413FD3" w14:textId="77777777" w:rsidR="00454A29" w:rsidRDefault="00454A29"/>
        </w:tc>
        <w:tc>
          <w:tcPr>
            <w:tcW w:w="2204" w:type="dxa"/>
            <w:vMerge/>
          </w:tcPr>
          <w:p w14:paraId="1B3A2DDD" w14:textId="77777777" w:rsidR="00454A29" w:rsidRDefault="00454A29"/>
        </w:tc>
        <w:tc>
          <w:tcPr>
            <w:tcW w:w="1417" w:type="dxa"/>
            <w:vMerge/>
          </w:tcPr>
          <w:p w14:paraId="21FE3135" w14:textId="77777777" w:rsidR="00454A29" w:rsidRDefault="00454A29"/>
        </w:tc>
        <w:tc>
          <w:tcPr>
            <w:tcW w:w="2324" w:type="dxa"/>
            <w:vMerge/>
          </w:tcPr>
          <w:p w14:paraId="2FB28164" w14:textId="77777777" w:rsidR="00454A29" w:rsidRDefault="00454A29"/>
        </w:tc>
        <w:tc>
          <w:tcPr>
            <w:tcW w:w="1701" w:type="dxa"/>
            <w:vAlign w:val="center"/>
          </w:tcPr>
          <w:p w14:paraId="6E1AA993" w14:textId="77777777" w:rsidR="00454A29" w:rsidRDefault="00454A29">
            <w:pPr>
              <w:pStyle w:val="ConsPlusNormal"/>
            </w:pPr>
          </w:p>
        </w:tc>
        <w:tc>
          <w:tcPr>
            <w:tcW w:w="1814" w:type="dxa"/>
            <w:vAlign w:val="center"/>
          </w:tcPr>
          <w:p w14:paraId="0FE85ADA" w14:textId="77777777" w:rsidR="00454A29" w:rsidRDefault="00454A29">
            <w:pPr>
              <w:pStyle w:val="ConsPlusNormal"/>
            </w:pPr>
          </w:p>
        </w:tc>
        <w:tc>
          <w:tcPr>
            <w:tcW w:w="1701" w:type="dxa"/>
            <w:vAlign w:val="center"/>
          </w:tcPr>
          <w:p w14:paraId="5FF206C7" w14:textId="77777777" w:rsidR="00454A29" w:rsidRDefault="00454A29">
            <w:pPr>
              <w:pStyle w:val="ConsPlusNormal"/>
            </w:pPr>
          </w:p>
        </w:tc>
        <w:tc>
          <w:tcPr>
            <w:tcW w:w="1701" w:type="dxa"/>
            <w:vAlign w:val="center"/>
          </w:tcPr>
          <w:p w14:paraId="62FAF93A" w14:textId="77777777" w:rsidR="00454A29" w:rsidRDefault="00454A29">
            <w:pPr>
              <w:pStyle w:val="ConsPlusNormal"/>
            </w:pPr>
          </w:p>
        </w:tc>
        <w:tc>
          <w:tcPr>
            <w:tcW w:w="1814" w:type="dxa"/>
            <w:vAlign w:val="center"/>
          </w:tcPr>
          <w:p w14:paraId="5138065A" w14:textId="77777777" w:rsidR="00454A29" w:rsidRDefault="00454A29">
            <w:pPr>
              <w:pStyle w:val="ConsPlusNormal"/>
            </w:pPr>
          </w:p>
        </w:tc>
      </w:tr>
      <w:tr w:rsidR="00454A29" w14:paraId="7F6A36F0" w14:textId="77777777">
        <w:tc>
          <w:tcPr>
            <w:tcW w:w="567" w:type="dxa"/>
            <w:vMerge/>
          </w:tcPr>
          <w:p w14:paraId="7A3A1269" w14:textId="77777777" w:rsidR="00454A29" w:rsidRDefault="00454A29"/>
        </w:tc>
        <w:tc>
          <w:tcPr>
            <w:tcW w:w="3345" w:type="dxa"/>
            <w:vMerge/>
          </w:tcPr>
          <w:p w14:paraId="20E134AA" w14:textId="77777777" w:rsidR="00454A29" w:rsidRDefault="00454A29"/>
        </w:tc>
        <w:tc>
          <w:tcPr>
            <w:tcW w:w="1701" w:type="dxa"/>
            <w:vAlign w:val="center"/>
          </w:tcPr>
          <w:p w14:paraId="7AAE3499" w14:textId="77777777" w:rsidR="00454A29" w:rsidRDefault="00454A29">
            <w:pPr>
              <w:pStyle w:val="ConsPlusNormal"/>
              <w:jc w:val="center"/>
            </w:pPr>
            <w:r>
              <w:t>2023</w:t>
            </w:r>
          </w:p>
        </w:tc>
        <w:tc>
          <w:tcPr>
            <w:tcW w:w="1417" w:type="dxa"/>
            <w:vMerge/>
          </w:tcPr>
          <w:p w14:paraId="0824BF6E" w14:textId="77777777" w:rsidR="00454A29" w:rsidRDefault="00454A29"/>
        </w:tc>
        <w:tc>
          <w:tcPr>
            <w:tcW w:w="2204" w:type="dxa"/>
            <w:vMerge/>
          </w:tcPr>
          <w:p w14:paraId="04D09D88" w14:textId="77777777" w:rsidR="00454A29" w:rsidRDefault="00454A29"/>
        </w:tc>
        <w:tc>
          <w:tcPr>
            <w:tcW w:w="1417" w:type="dxa"/>
            <w:vMerge/>
          </w:tcPr>
          <w:p w14:paraId="52381138" w14:textId="77777777" w:rsidR="00454A29" w:rsidRDefault="00454A29"/>
        </w:tc>
        <w:tc>
          <w:tcPr>
            <w:tcW w:w="2324" w:type="dxa"/>
            <w:vMerge/>
          </w:tcPr>
          <w:p w14:paraId="4BF96EA1" w14:textId="77777777" w:rsidR="00454A29" w:rsidRDefault="00454A29"/>
        </w:tc>
        <w:tc>
          <w:tcPr>
            <w:tcW w:w="1701" w:type="dxa"/>
            <w:vAlign w:val="center"/>
          </w:tcPr>
          <w:p w14:paraId="3B15F5CC" w14:textId="77777777" w:rsidR="00454A29" w:rsidRDefault="00454A29">
            <w:pPr>
              <w:pStyle w:val="ConsPlusNormal"/>
              <w:jc w:val="center"/>
            </w:pPr>
            <w:r>
              <w:t>31 358,16</w:t>
            </w:r>
          </w:p>
        </w:tc>
        <w:tc>
          <w:tcPr>
            <w:tcW w:w="1814" w:type="dxa"/>
            <w:vAlign w:val="center"/>
          </w:tcPr>
          <w:p w14:paraId="54836EBF" w14:textId="77777777" w:rsidR="00454A29" w:rsidRDefault="00454A29">
            <w:pPr>
              <w:pStyle w:val="ConsPlusNormal"/>
              <w:jc w:val="center"/>
            </w:pPr>
            <w:r>
              <w:t>31 358,16</w:t>
            </w:r>
          </w:p>
        </w:tc>
        <w:tc>
          <w:tcPr>
            <w:tcW w:w="1701" w:type="dxa"/>
            <w:vAlign w:val="center"/>
          </w:tcPr>
          <w:p w14:paraId="513C74D8" w14:textId="77777777" w:rsidR="00454A29" w:rsidRDefault="00454A29">
            <w:pPr>
              <w:pStyle w:val="ConsPlusNormal"/>
            </w:pPr>
          </w:p>
        </w:tc>
        <w:tc>
          <w:tcPr>
            <w:tcW w:w="1701" w:type="dxa"/>
            <w:vAlign w:val="center"/>
          </w:tcPr>
          <w:p w14:paraId="175B6C0C" w14:textId="77777777" w:rsidR="00454A29" w:rsidRDefault="00454A29">
            <w:pPr>
              <w:pStyle w:val="ConsPlusNormal"/>
            </w:pPr>
          </w:p>
        </w:tc>
        <w:tc>
          <w:tcPr>
            <w:tcW w:w="1814" w:type="dxa"/>
            <w:vAlign w:val="center"/>
          </w:tcPr>
          <w:p w14:paraId="294CB937" w14:textId="77777777" w:rsidR="00454A29" w:rsidRDefault="00454A29">
            <w:pPr>
              <w:pStyle w:val="ConsPlusNormal"/>
            </w:pPr>
          </w:p>
        </w:tc>
      </w:tr>
      <w:tr w:rsidR="00454A29" w14:paraId="1B246227" w14:textId="77777777">
        <w:tc>
          <w:tcPr>
            <w:tcW w:w="567" w:type="dxa"/>
            <w:vMerge/>
          </w:tcPr>
          <w:p w14:paraId="28CA8BBA" w14:textId="77777777" w:rsidR="00454A29" w:rsidRDefault="00454A29"/>
        </w:tc>
        <w:tc>
          <w:tcPr>
            <w:tcW w:w="3345" w:type="dxa"/>
            <w:vMerge/>
          </w:tcPr>
          <w:p w14:paraId="7D5F1FD4" w14:textId="77777777" w:rsidR="00454A29" w:rsidRDefault="00454A29"/>
        </w:tc>
        <w:tc>
          <w:tcPr>
            <w:tcW w:w="1701" w:type="dxa"/>
            <w:vAlign w:val="center"/>
          </w:tcPr>
          <w:p w14:paraId="4555103C" w14:textId="77777777" w:rsidR="00454A29" w:rsidRDefault="00454A29">
            <w:pPr>
              <w:pStyle w:val="ConsPlusNormal"/>
              <w:jc w:val="center"/>
            </w:pPr>
            <w:r>
              <w:t>2024</w:t>
            </w:r>
          </w:p>
        </w:tc>
        <w:tc>
          <w:tcPr>
            <w:tcW w:w="1417" w:type="dxa"/>
            <w:vMerge/>
          </w:tcPr>
          <w:p w14:paraId="6B5CB053" w14:textId="77777777" w:rsidR="00454A29" w:rsidRDefault="00454A29"/>
        </w:tc>
        <w:tc>
          <w:tcPr>
            <w:tcW w:w="2204" w:type="dxa"/>
            <w:vMerge/>
          </w:tcPr>
          <w:p w14:paraId="5DE55AE2" w14:textId="77777777" w:rsidR="00454A29" w:rsidRDefault="00454A29"/>
        </w:tc>
        <w:tc>
          <w:tcPr>
            <w:tcW w:w="1417" w:type="dxa"/>
            <w:vMerge/>
          </w:tcPr>
          <w:p w14:paraId="42DC7E52" w14:textId="77777777" w:rsidR="00454A29" w:rsidRDefault="00454A29"/>
        </w:tc>
        <w:tc>
          <w:tcPr>
            <w:tcW w:w="2324" w:type="dxa"/>
            <w:vMerge/>
          </w:tcPr>
          <w:p w14:paraId="1FE6F10C" w14:textId="77777777" w:rsidR="00454A29" w:rsidRDefault="00454A29"/>
        </w:tc>
        <w:tc>
          <w:tcPr>
            <w:tcW w:w="1701" w:type="dxa"/>
            <w:vAlign w:val="center"/>
          </w:tcPr>
          <w:p w14:paraId="79BA2A5B" w14:textId="77777777" w:rsidR="00454A29" w:rsidRDefault="00454A29">
            <w:pPr>
              <w:pStyle w:val="ConsPlusNormal"/>
              <w:jc w:val="center"/>
            </w:pPr>
            <w:r>
              <w:t>42 295,58</w:t>
            </w:r>
          </w:p>
        </w:tc>
        <w:tc>
          <w:tcPr>
            <w:tcW w:w="1814" w:type="dxa"/>
            <w:vAlign w:val="center"/>
          </w:tcPr>
          <w:p w14:paraId="75F7CC75" w14:textId="77777777" w:rsidR="00454A29" w:rsidRDefault="00454A29">
            <w:pPr>
              <w:pStyle w:val="ConsPlusNormal"/>
              <w:jc w:val="center"/>
            </w:pPr>
            <w:r>
              <w:t>42 295,58</w:t>
            </w:r>
          </w:p>
        </w:tc>
        <w:tc>
          <w:tcPr>
            <w:tcW w:w="1701" w:type="dxa"/>
            <w:vAlign w:val="center"/>
          </w:tcPr>
          <w:p w14:paraId="3E6B97D2" w14:textId="77777777" w:rsidR="00454A29" w:rsidRDefault="00454A29">
            <w:pPr>
              <w:pStyle w:val="ConsPlusNormal"/>
            </w:pPr>
          </w:p>
        </w:tc>
        <w:tc>
          <w:tcPr>
            <w:tcW w:w="1701" w:type="dxa"/>
            <w:vAlign w:val="center"/>
          </w:tcPr>
          <w:p w14:paraId="40AC1BBF" w14:textId="77777777" w:rsidR="00454A29" w:rsidRDefault="00454A29">
            <w:pPr>
              <w:pStyle w:val="ConsPlusNormal"/>
            </w:pPr>
          </w:p>
        </w:tc>
        <w:tc>
          <w:tcPr>
            <w:tcW w:w="1814" w:type="dxa"/>
            <w:vAlign w:val="center"/>
          </w:tcPr>
          <w:p w14:paraId="25B13AAA" w14:textId="77777777" w:rsidR="00454A29" w:rsidRDefault="00454A29">
            <w:pPr>
              <w:pStyle w:val="ConsPlusNormal"/>
            </w:pPr>
          </w:p>
        </w:tc>
      </w:tr>
      <w:tr w:rsidR="00454A29" w14:paraId="11B3D2E9" w14:textId="77777777">
        <w:tc>
          <w:tcPr>
            <w:tcW w:w="567" w:type="dxa"/>
            <w:vMerge/>
          </w:tcPr>
          <w:p w14:paraId="5DD63634" w14:textId="77777777" w:rsidR="00454A29" w:rsidRDefault="00454A29"/>
        </w:tc>
        <w:tc>
          <w:tcPr>
            <w:tcW w:w="3345" w:type="dxa"/>
            <w:vMerge/>
          </w:tcPr>
          <w:p w14:paraId="7DEA4007" w14:textId="77777777" w:rsidR="00454A29" w:rsidRDefault="00454A29"/>
        </w:tc>
        <w:tc>
          <w:tcPr>
            <w:tcW w:w="1701" w:type="dxa"/>
            <w:vAlign w:val="center"/>
          </w:tcPr>
          <w:p w14:paraId="1EA75643" w14:textId="77777777" w:rsidR="00454A29" w:rsidRDefault="00454A29">
            <w:pPr>
              <w:pStyle w:val="ConsPlusNormal"/>
              <w:jc w:val="center"/>
            </w:pPr>
            <w:r>
              <w:t>2025</w:t>
            </w:r>
          </w:p>
        </w:tc>
        <w:tc>
          <w:tcPr>
            <w:tcW w:w="1417" w:type="dxa"/>
            <w:vMerge/>
          </w:tcPr>
          <w:p w14:paraId="14A51CC9" w14:textId="77777777" w:rsidR="00454A29" w:rsidRDefault="00454A29"/>
        </w:tc>
        <w:tc>
          <w:tcPr>
            <w:tcW w:w="2204" w:type="dxa"/>
            <w:vMerge/>
          </w:tcPr>
          <w:p w14:paraId="1D4E19B2" w14:textId="77777777" w:rsidR="00454A29" w:rsidRDefault="00454A29"/>
        </w:tc>
        <w:tc>
          <w:tcPr>
            <w:tcW w:w="1417" w:type="dxa"/>
            <w:vMerge/>
          </w:tcPr>
          <w:p w14:paraId="583C90DD" w14:textId="77777777" w:rsidR="00454A29" w:rsidRDefault="00454A29"/>
        </w:tc>
        <w:tc>
          <w:tcPr>
            <w:tcW w:w="2324" w:type="dxa"/>
            <w:vMerge/>
          </w:tcPr>
          <w:p w14:paraId="268E47E7" w14:textId="77777777" w:rsidR="00454A29" w:rsidRDefault="00454A29"/>
        </w:tc>
        <w:tc>
          <w:tcPr>
            <w:tcW w:w="1701" w:type="dxa"/>
            <w:vAlign w:val="center"/>
          </w:tcPr>
          <w:p w14:paraId="3B6925AF" w14:textId="77777777" w:rsidR="00454A29" w:rsidRDefault="00454A29">
            <w:pPr>
              <w:pStyle w:val="ConsPlusNormal"/>
              <w:jc w:val="center"/>
            </w:pPr>
            <w:r>
              <w:t>-</w:t>
            </w:r>
          </w:p>
        </w:tc>
        <w:tc>
          <w:tcPr>
            <w:tcW w:w="1814" w:type="dxa"/>
            <w:vAlign w:val="center"/>
          </w:tcPr>
          <w:p w14:paraId="4BD79054" w14:textId="77777777" w:rsidR="00454A29" w:rsidRDefault="00454A29">
            <w:pPr>
              <w:pStyle w:val="ConsPlusNormal"/>
            </w:pPr>
          </w:p>
        </w:tc>
        <w:tc>
          <w:tcPr>
            <w:tcW w:w="1701" w:type="dxa"/>
            <w:vAlign w:val="center"/>
          </w:tcPr>
          <w:p w14:paraId="27C8B39E" w14:textId="77777777" w:rsidR="00454A29" w:rsidRDefault="00454A29">
            <w:pPr>
              <w:pStyle w:val="ConsPlusNormal"/>
            </w:pPr>
          </w:p>
        </w:tc>
        <w:tc>
          <w:tcPr>
            <w:tcW w:w="1701" w:type="dxa"/>
            <w:vAlign w:val="center"/>
          </w:tcPr>
          <w:p w14:paraId="599F8AB7" w14:textId="77777777" w:rsidR="00454A29" w:rsidRDefault="00454A29">
            <w:pPr>
              <w:pStyle w:val="ConsPlusNormal"/>
            </w:pPr>
          </w:p>
        </w:tc>
        <w:tc>
          <w:tcPr>
            <w:tcW w:w="1814" w:type="dxa"/>
            <w:vAlign w:val="center"/>
          </w:tcPr>
          <w:p w14:paraId="589971E9" w14:textId="77777777" w:rsidR="00454A29" w:rsidRDefault="00454A29">
            <w:pPr>
              <w:pStyle w:val="ConsPlusNormal"/>
            </w:pPr>
          </w:p>
        </w:tc>
      </w:tr>
      <w:tr w:rsidR="00454A29" w14:paraId="2B0BBD82" w14:textId="77777777">
        <w:tc>
          <w:tcPr>
            <w:tcW w:w="567" w:type="dxa"/>
            <w:vMerge/>
          </w:tcPr>
          <w:p w14:paraId="3AAEF143" w14:textId="77777777" w:rsidR="00454A29" w:rsidRDefault="00454A29"/>
        </w:tc>
        <w:tc>
          <w:tcPr>
            <w:tcW w:w="3345" w:type="dxa"/>
            <w:vMerge/>
          </w:tcPr>
          <w:p w14:paraId="646A6F27" w14:textId="77777777" w:rsidR="00454A29" w:rsidRDefault="00454A29"/>
        </w:tc>
        <w:tc>
          <w:tcPr>
            <w:tcW w:w="1701" w:type="dxa"/>
            <w:vAlign w:val="center"/>
          </w:tcPr>
          <w:p w14:paraId="623726DF" w14:textId="77777777" w:rsidR="00454A29" w:rsidRDefault="00454A29">
            <w:pPr>
              <w:pStyle w:val="ConsPlusNormal"/>
              <w:jc w:val="center"/>
            </w:pPr>
            <w:r>
              <w:t>2026</w:t>
            </w:r>
          </w:p>
        </w:tc>
        <w:tc>
          <w:tcPr>
            <w:tcW w:w="1417" w:type="dxa"/>
            <w:vMerge/>
          </w:tcPr>
          <w:p w14:paraId="78DB34F1" w14:textId="77777777" w:rsidR="00454A29" w:rsidRDefault="00454A29"/>
        </w:tc>
        <w:tc>
          <w:tcPr>
            <w:tcW w:w="2204" w:type="dxa"/>
            <w:vMerge/>
          </w:tcPr>
          <w:p w14:paraId="0C8AEC07" w14:textId="77777777" w:rsidR="00454A29" w:rsidRDefault="00454A29"/>
        </w:tc>
        <w:tc>
          <w:tcPr>
            <w:tcW w:w="1417" w:type="dxa"/>
            <w:vMerge/>
          </w:tcPr>
          <w:p w14:paraId="488D805D" w14:textId="77777777" w:rsidR="00454A29" w:rsidRDefault="00454A29"/>
        </w:tc>
        <w:tc>
          <w:tcPr>
            <w:tcW w:w="2324" w:type="dxa"/>
            <w:vMerge/>
          </w:tcPr>
          <w:p w14:paraId="778255FC" w14:textId="77777777" w:rsidR="00454A29" w:rsidRDefault="00454A29"/>
        </w:tc>
        <w:tc>
          <w:tcPr>
            <w:tcW w:w="1701" w:type="dxa"/>
            <w:vAlign w:val="center"/>
          </w:tcPr>
          <w:p w14:paraId="5E299B75" w14:textId="77777777" w:rsidR="00454A29" w:rsidRDefault="00454A29">
            <w:pPr>
              <w:pStyle w:val="ConsPlusNormal"/>
              <w:jc w:val="center"/>
            </w:pPr>
            <w:r>
              <w:t>-</w:t>
            </w:r>
          </w:p>
        </w:tc>
        <w:tc>
          <w:tcPr>
            <w:tcW w:w="1814" w:type="dxa"/>
            <w:vAlign w:val="center"/>
          </w:tcPr>
          <w:p w14:paraId="7D3DBB88" w14:textId="77777777" w:rsidR="00454A29" w:rsidRDefault="00454A29">
            <w:pPr>
              <w:pStyle w:val="ConsPlusNormal"/>
            </w:pPr>
          </w:p>
        </w:tc>
        <w:tc>
          <w:tcPr>
            <w:tcW w:w="1701" w:type="dxa"/>
            <w:vAlign w:val="center"/>
          </w:tcPr>
          <w:p w14:paraId="44503D0D" w14:textId="77777777" w:rsidR="00454A29" w:rsidRDefault="00454A29">
            <w:pPr>
              <w:pStyle w:val="ConsPlusNormal"/>
            </w:pPr>
          </w:p>
        </w:tc>
        <w:tc>
          <w:tcPr>
            <w:tcW w:w="1701" w:type="dxa"/>
            <w:vAlign w:val="center"/>
          </w:tcPr>
          <w:p w14:paraId="5543043F" w14:textId="77777777" w:rsidR="00454A29" w:rsidRDefault="00454A29">
            <w:pPr>
              <w:pStyle w:val="ConsPlusNormal"/>
            </w:pPr>
          </w:p>
        </w:tc>
        <w:tc>
          <w:tcPr>
            <w:tcW w:w="1814" w:type="dxa"/>
            <w:vAlign w:val="center"/>
          </w:tcPr>
          <w:p w14:paraId="0706CDA4" w14:textId="77777777" w:rsidR="00454A29" w:rsidRDefault="00454A29">
            <w:pPr>
              <w:pStyle w:val="ConsPlusNormal"/>
            </w:pPr>
          </w:p>
        </w:tc>
      </w:tr>
      <w:tr w:rsidR="00454A29" w14:paraId="665648A2" w14:textId="77777777">
        <w:tc>
          <w:tcPr>
            <w:tcW w:w="567" w:type="dxa"/>
            <w:vMerge w:val="restart"/>
            <w:vAlign w:val="center"/>
          </w:tcPr>
          <w:p w14:paraId="7C71EF27" w14:textId="77777777" w:rsidR="00454A29" w:rsidRDefault="00454A29">
            <w:pPr>
              <w:pStyle w:val="ConsPlusNormal"/>
              <w:jc w:val="center"/>
            </w:pPr>
            <w:r>
              <w:t>27</w:t>
            </w:r>
          </w:p>
        </w:tc>
        <w:tc>
          <w:tcPr>
            <w:tcW w:w="3345" w:type="dxa"/>
            <w:vMerge w:val="restart"/>
            <w:vAlign w:val="center"/>
          </w:tcPr>
          <w:p w14:paraId="39F09D96" w14:textId="77777777" w:rsidR="00454A29" w:rsidRDefault="00454A29">
            <w:pPr>
              <w:pStyle w:val="ConsPlusNormal"/>
              <w:jc w:val="center"/>
            </w:pPr>
            <w:r>
              <w:t>Детский сад на 140 мест в с. Кобяй Кобяйского улуса</w:t>
            </w:r>
          </w:p>
        </w:tc>
        <w:tc>
          <w:tcPr>
            <w:tcW w:w="1701" w:type="dxa"/>
            <w:vAlign w:val="center"/>
          </w:tcPr>
          <w:p w14:paraId="5EDA450E" w14:textId="77777777" w:rsidR="00454A29" w:rsidRDefault="00454A29">
            <w:pPr>
              <w:pStyle w:val="ConsPlusNormal"/>
              <w:jc w:val="center"/>
            </w:pPr>
            <w:r>
              <w:t>2020 - 2026 годы - всего</w:t>
            </w:r>
          </w:p>
        </w:tc>
        <w:tc>
          <w:tcPr>
            <w:tcW w:w="1417" w:type="dxa"/>
            <w:vMerge w:val="restart"/>
            <w:vAlign w:val="center"/>
          </w:tcPr>
          <w:p w14:paraId="76980173" w14:textId="77777777" w:rsidR="00454A29" w:rsidRDefault="00454A29">
            <w:pPr>
              <w:pStyle w:val="ConsPlusNormal"/>
              <w:jc w:val="center"/>
            </w:pPr>
            <w:r>
              <w:t>135 249,36</w:t>
            </w:r>
          </w:p>
        </w:tc>
        <w:tc>
          <w:tcPr>
            <w:tcW w:w="2204" w:type="dxa"/>
            <w:vMerge w:val="restart"/>
            <w:vAlign w:val="center"/>
          </w:tcPr>
          <w:p w14:paraId="407C910A" w14:textId="77777777" w:rsidR="00454A29" w:rsidRDefault="00454A29">
            <w:pPr>
              <w:pStyle w:val="ConsPlusNormal"/>
            </w:pPr>
          </w:p>
        </w:tc>
        <w:tc>
          <w:tcPr>
            <w:tcW w:w="1417" w:type="dxa"/>
            <w:vMerge w:val="restart"/>
            <w:vAlign w:val="center"/>
          </w:tcPr>
          <w:p w14:paraId="05D4F4A5" w14:textId="77777777" w:rsidR="00454A29" w:rsidRDefault="00454A29">
            <w:pPr>
              <w:pStyle w:val="ConsPlusNormal"/>
              <w:jc w:val="center"/>
            </w:pPr>
            <w:r>
              <w:t>140</w:t>
            </w:r>
          </w:p>
        </w:tc>
        <w:tc>
          <w:tcPr>
            <w:tcW w:w="2324" w:type="dxa"/>
            <w:vMerge w:val="restart"/>
            <w:vAlign w:val="center"/>
          </w:tcPr>
          <w:p w14:paraId="55BA006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BAE84E6" w14:textId="77777777" w:rsidR="00454A29" w:rsidRDefault="00454A29">
            <w:pPr>
              <w:pStyle w:val="ConsPlusNormal"/>
              <w:jc w:val="center"/>
            </w:pPr>
            <w:r>
              <w:t>135 249,36</w:t>
            </w:r>
          </w:p>
        </w:tc>
        <w:tc>
          <w:tcPr>
            <w:tcW w:w="1814" w:type="dxa"/>
            <w:vAlign w:val="center"/>
          </w:tcPr>
          <w:p w14:paraId="512D53B4" w14:textId="77777777" w:rsidR="00454A29" w:rsidRDefault="00454A29">
            <w:pPr>
              <w:pStyle w:val="ConsPlusNormal"/>
              <w:jc w:val="center"/>
            </w:pPr>
            <w:r>
              <w:t>232 187,74</w:t>
            </w:r>
          </w:p>
        </w:tc>
        <w:tc>
          <w:tcPr>
            <w:tcW w:w="1701" w:type="dxa"/>
            <w:vAlign w:val="center"/>
          </w:tcPr>
          <w:p w14:paraId="52F10CA9" w14:textId="77777777" w:rsidR="00454A29" w:rsidRDefault="00454A29">
            <w:pPr>
              <w:pStyle w:val="ConsPlusNormal"/>
              <w:jc w:val="center"/>
            </w:pPr>
            <w:r>
              <w:t>-</w:t>
            </w:r>
          </w:p>
        </w:tc>
        <w:tc>
          <w:tcPr>
            <w:tcW w:w="1701" w:type="dxa"/>
            <w:vAlign w:val="center"/>
          </w:tcPr>
          <w:p w14:paraId="047F9B4C" w14:textId="77777777" w:rsidR="00454A29" w:rsidRDefault="00454A29">
            <w:pPr>
              <w:pStyle w:val="ConsPlusNormal"/>
              <w:jc w:val="center"/>
            </w:pPr>
            <w:r>
              <w:t>-</w:t>
            </w:r>
          </w:p>
        </w:tc>
        <w:tc>
          <w:tcPr>
            <w:tcW w:w="1814" w:type="dxa"/>
            <w:vAlign w:val="center"/>
          </w:tcPr>
          <w:p w14:paraId="2E75554D" w14:textId="77777777" w:rsidR="00454A29" w:rsidRDefault="00454A29">
            <w:pPr>
              <w:pStyle w:val="ConsPlusNormal"/>
              <w:jc w:val="center"/>
            </w:pPr>
            <w:r>
              <w:t>-</w:t>
            </w:r>
          </w:p>
        </w:tc>
      </w:tr>
      <w:tr w:rsidR="00454A29" w14:paraId="3D26142F" w14:textId="77777777">
        <w:tc>
          <w:tcPr>
            <w:tcW w:w="567" w:type="dxa"/>
            <w:vMerge/>
          </w:tcPr>
          <w:p w14:paraId="172D4AA4" w14:textId="77777777" w:rsidR="00454A29" w:rsidRDefault="00454A29"/>
        </w:tc>
        <w:tc>
          <w:tcPr>
            <w:tcW w:w="3345" w:type="dxa"/>
            <w:vMerge/>
          </w:tcPr>
          <w:p w14:paraId="3F953C9C" w14:textId="77777777" w:rsidR="00454A29" w:rsidRDefault="00454A29"/>
        </w:tc>
        <w:tc>
          <w:tcPr>
            <w:tcW w:w="1701" w:type="dxa"/>
            <w:vAlign w:val="center"/>
          </w:tcPr>
          <w:p w14:paraId="5B430E01" w14:textId="77777777" w:rsidR="00454A29" w:rsidRDefault="00454A29">
            <w:pPr>
              <w:pStyle w:val="ConsPlusNormal"/>
              <w:jc w:val="center"/>
            </w:pPr>
            <w:r>
              <w:t>2020</w:t>
            </w:r>
          </w:p>
        </w:tc>
        <w:tc>
          <w:tcPr>
            <w:tcW w:w="1417" w:type="dxa"/>
            <w:vMerge/>
          </w:tcPr>
          <w:p w14:paraId="367D1454" w14:textId="77777777" w:rsidR="00454A29" w:rsidRDefault="00454A29"/>
        </w:tc>
        <w:tc>
          <w:tcPr>
            <w:tcW w:w="2204" w:type="dxa"/>
            <w:vMerge/>
          </w:tcPr>
          <w:p w14:paraId="7781BDCB" w14:textId="77777777" w:rsidR="00454A29" w:rsidRDefault="00454A29"/>
        </w:tc>
        <w:tc>
          <w:tcPr>
            <w:tcW w:w="1417" w:type="dxa"/>
            <w:vMerge/>
          </w:tcPr>
          <w:p w14:paraId="475B086F" w14:textId="77777777" w:rsidR="00454A29" w:rsidRDefault="00454A29"/>
        </w:tc>
        <w:tc>
          <w:tcPr>
            <w:tcW w:w="2324" w:type="dxa"/>
            <w:vMerge/>
          </w:tcPr>
          <w:p w14:paraId="0A5F758D" w14:textId="77777777" w:rsidR="00454A29" w:rsidRDefault="00454A29"/>
        </w:tc>
        <w:tc>
          <w:tcPr>
            <w:tcW w:w="1701" w:type="dxa"/>
            <w:vAlign w:val="center"/>
          </w:tcPr>
          <w:p w14:paraId="0B2D52EE" w14:textId="77777777" w:rsidR="00454A29" w:rsidRDefault="00454A29">
            <w:pPr>
              <w:pStyle w:val="ConsPlusNormal"/>
              <w:jc w:val="center"/>
            </w:pPr>
            <w:r>
              <w:t>-</w:t>
            </w:r>
          </w:p>
        </w:tc>
        <w:tc>
          <w:tcPr>
            <w:tcW w:w="1814" w:type="dxa"/>
            <w:vAlign w:val="center"/>
          </w:tcPr>
          <w:p w14:paraId="64D32A7B" w14:textId="77777777" w:rsidR="00454A29" w:rsidRDefault="00454A29">
            <w:pPr>
              <w:pStyle w:val="ConsPlusNormal"/>
            </w:pPr>
          </w:p>
        </w:tc>
        <w:tc>
          <w:tcPr>
            <w:tcW w:w="1701" w:type="dxa"/>
            <w:vAlign w:val="center"/>
          </w:tcPr>
          <w:p w14:paraId="1411AF77" w14:textId="77777777" w:rsidR="00454A29" w:rsidRDefault="00454A29">
            <w:pPr>
              <w:pStyle w:val="ConsPlusNormal"/>
            </w:pPr>
          </w:p>
        </w:tc>
        <w:tc>
          <w:tcPr>
            <w:tcW w:w="1701" w:type="dxa"/>
            <w:vAlign w:val="center"/>
          </w:tcPr>
          <w:p w14:paraId="05852899" w14:textId="77777777" w:rsidR="00454A29" w:rsidRDefault="00454A29">
            <w:pPr>
              <w:pStyle w:val="ConsPlusNormal"/>
            </w:pPr>
          </w:p>
        </w:tc>
        <w:tc>
          <w:tcPr>
            <w:tcW w:w="1814" w:type="dxa"/>
            <w:vAlign w:val="center"/>
          </w:tcPr>
          <w:p w14:paraId="60732A2E" w14:textId="77777777" w:rsidR="00454A29" w:rsidRDefault="00454A29">
            <w:pPr>
              <w:pStyle w:val="ConsPlusNormal"/>
            </w:pPr>
          </w:p>
        </w:tc>
      </w:tr>
      <w:tr w:rsidR="00454A29" w14:paraId="384E9941" w14:textId="77777777">
        <w:tc>
          <w:tcPr>
            <w:tcW w:w="567" w:type="dxa"/>
            <w:vMerge/>
          </w:tcPr>
          <w:p w14:paraId="78E11102" w14:textId="77777777" w:rsidR="00454A29" w:rsidRDefault="00454A29"/>
        </w:tc>
        <w:tc>
          <w:tcPr>
            <w:tcW w:w="3345" w:type="dxa"/>
            <w:vMerge/>
          </w:tcPr>
          <w:p w14:paraId="6D5673EF" w14:textId="77777777" w:rsidR="00454A29" w:rsidRDefault="00454A29"/>
        </w:tc>
        <w:tc>
          <w:tcPr>
            <w:tcW w:w="1701" w:type="dxa"/>
            <w:vAlign w:val="center"/>
          </w:tcPr>
          <w:p w14:paraId="28AA7B8E" w14:textId="77777777" w:rsidR="00454A29" w:rsidRDefault="00454A29">
            <w:pPr>
              <w:pStyle w:val="ConsPlusNormal"/>
              <w:jc w:val="center"/>
            </w:pPr>
            <w:r>
              <w:t>2021</w:t>
            </w:r>
          </w:p>
        </w:tc>
        <w:tc>
          <w:tcPr>
            <w:tcW w:w="1417" w:type="dxa"/>
            <w:vMerge/>
          </w:tcPr>
          <w:p w14:paraId="2F52C76F" w14:textId="77777777" w:rsidR="00454A29" w:rsidRDefault="00454A29"/>
        </w:tc>
        <w:tc>
          <w:tcPr>
            <w:tcW w:w="2204" w:type="dxa"/>
            <w:vMerge/>
          </w:tcPr>
          <w:p w14:paraId="15B9C6CB" w14:textId="77777777" w:rsidR="00454A29" w:rsidRDefault="00454A29"/>
        </w:tc>
        <w:tc>
          <w:tcPr>
            <w:tcW w:w="1417" w:type="dxa"/>
            <w:vMerge/>
          </w:tcPr>
          <w:p w14:paraId="130C0894" w14:textId="77777777" w:rsidR="00454A29" w:rsidRDefault="00454A29"/>
        </w:tc>
        <w:tc>
          <w:tcPr>
            <w:tcW w:w="2324" w:type="dxa"/>
            <w:vMerge/>
          </w:tcPr>
          <w:p w14:paraId="4FB1DD65" w14:textId="77777777" w:rsidR="00454A29" w:rsidRDefault="00454A29"/>
        </w:tc>
        <w:tc>
          <w:tcPr>
            <w:tcW w:w="1701" w:type="dxa"/>
            <w:vAlign w:val="center"/>
          </w:tcPr>
          <w:p w14:paraId="75875E67" w14:textId="77777777" w:rsidR="00454A29" w:rsidRDefault="00454A29">
            <w:pPr>
              <w:pStyle w:val="ConsPlusNormal"/>
              <w:jc w:val="center"/>
            </w:pPr>
            <w:r>
              <w:t>-</w:t>
            </w:r>
          </w:p>
        </w:tc>
        <w:tc>
          <w:tcPr>
            <w:tcW w:w="1814" w:type="dxa"/>
            <w:vAlign w:val="center"/>
          </w:tcPr>
          <w:p w14:paraId="653D9924" w14:textId="77777777" w:rsidR="00454A29" w:rsidRDefault="00454A29">
            <w:pPr>
              <w:pStyle w:val="ConsPlusNormal"/>
            </w:pPr>
          </w:p>
        </w:tc>
        <w:tc>
          <w:tcPr>
            <w:tcW w:w="1701" w:type="dxa"/>
            <w:vAlign w:val="center"/>
          </w:tcPr>
          <w:p w14:paraId="0728E082" w14:textId="77777777" w:rsidR="00454A29" w:rsidRDefault="00454A29">
            <w:pPr>
              <w:pStyle w:val="ConsPlusNormal"/>
            </w:pPr>
          </w:p>
        </w:tc>
        <w:tc>
          <w:tcPr>
            <w:tcW w:w="1701" w:type="dxa"/>
            <w:vAlign w:val="center"/>
          </w:tcPr>
          <w:p w14:paraId="46399A51" w14:textId="77777777" w:rsidR="00454A29" w:rsidRDefault="00454A29">
            <w:pPr>
              <w:pStyle w:val="ConsPlusNormal"/>
            </w:pPr>
          </w:p>
        </w:tc>
        <w:tc>
          <w:tcPr>
            <w:tcW w:w="1814" w:type="dxa"/>
            <w:vAlign w:val="center"/>
          </w:tcPr>
          <w:p w14:paraId="2AE1ED05" w14:textId="77777777" w:rsidR="00454A29" w:rsidRDefault="00454A29">
            <w:pPr>
              <w:pStyle w:val="ConsPlusNormal"/>
            </w:pPr>
          </w:p>
        </w:tc>
      </w:tr>
      <w:tr w:rsidR="00454A29" w14:paraId="60566495" w14:textId="77777777">
        <w:tc>
          <w:tcPr>
            <w:tcW w:w="567" w:type="dxa"/>
            <w:vMerge/>
          </w:tcPr>
          <w:p w14:paraId="3A5A348C" w14:textId="77777777" w:rsidR="00454A29" w:rsidRDefault="00454A29"/>
        </w:tc>
        <w:tc>
          <w:tcPr>
            <w:tcW w:w="3345" w:type="dxa"/>
            <w:vMerge/>
          </w:tcPr>
          <w:p w14:paraId="319EA1D9" w14:textId="77777777" w:rsidR="00454A29" w:rsidRDefault="00454A29"/>
        </w:tc>
        <w:tc>
          <w:tcPr>
            <w:tcW w:w="1701" w:type="dxa"/>
            <w:vAlign w:val="center"/>
          </w:tcPr>
          <w:p w14:paraId="2DB3C425" w14:textId="77777777" w:rsidR="00454A29" w:rsidRDefault="00454A29">
            <w:pPr>
              <w:pStyle w:val="ConsPlusNormal"/>
              <w:jc w:val="center"/>
            </w:pPr>
            <w:r>
              <w:t>2022</w:t>
            </w:r>
          </w:p>
        </w:tc>
        <w:tc>
          <w:tcPr>
            <w:tcW w:w="1417" w:type="dxa"/>
            <w:vMerge/>
          </w:tcPr>
          <w:p w14:paraId="64788FC3" w14:textId="77777777" w:rsidR="00454A29" w:rsidRDefault="00454A29"/>
        </w:tc>
        <w:tc>
          <w:tcPr>
            <w:tcW w:w="2204" w:type="dxa"/>
            <w:vMerge/>
          </w:tcPr>
          <w:p w14:paraId="00302142" w14:textId="77777777" w:rsidR="00454A29" w:rsidRDefault="00454A29"/>
        </w:tc>
        <w:tc>
          <w:tcPr>
            <w:tcW w:w="1417" w:type="dxa"/>
            <w:vMerge/>
          </w:tcPr>
          <w:p w14:paraId="5178864A" w14:textId="77777777" w:rsidR="00454A29" w:rsidRDefault="00454A29"/>
        </w:tc>
        <w:tc>
          <w:tcPr>
            <w:tcW w:w="2324" w:type="dxa"/>
            <w:vMerge/>
          </w:tcPr>
          <w:p w14:paraId="17C4B042" w14:textId="77777777" w:rsidR="00454A29" w:rsidRDefault="00454A29"/>
        </w:tc>
        <w:tc>
          <w:tcPr>
            <w:tcW w:w="1701" w:type="dxa"/>
            <w:vAlign w:val="center"/>
          </w:tcPr>
          <w:p w14:paraId="6FAAA100" w14:textId="77777777" w:rsidR="00454A29" w:rsidRDefault="00454A29">
            <w:pPr>
              <w:pStyle w:val="ConsPlusNormal"/>
              <w:jc w:val="center"/>
            </w:pPr>
            <w:r>
              <w:t>-</w:t>
            </w:r>
          </w:p>
        </w:tc>
        <w:tc>
          <w:tcPr>
            <w:tcW w:w="1814" w:type="dxa"/>
            <w:vAlign w:val="center"/>
          </w:tcPr>
          <w:p w14:paraId="7FEF72B5" w14:textId="77777777" w:rsidR="00454A29" w:rsidRDefault="00454A29">
            <w:pPr>
              <w:pStyle w:val="ConsPlusNormal"/>
            </w:pPr>
          </w:p>
        </w:tc>
        <w:tc>
          <w:tcPr>
            <w:tcW w:w="1701" w:type="dxa"/>
            <w:vAlign w:val="center"/>
          </w:tcPr>
          <w:p w14:paraId="201097BF" w14:textId="77777777" w:rsidR="00454A29" w:rsidRDefault="00454A29">
            <w:pPr>
              <w:pStyle w:val="ConsPlusNormal"/>
            </w:pPr>
          </w:p>
        </w:tc>
        <w:tc>
          <w:tcPr>
            <w:tcW w:w="1701" w:type="dxa"/>
            <w:vAlign w:val="center"/>
          </w:tcPr>
          <w:p w14:paraId="379A35F5" w14:textId="77777777" w:rsidR="00454A29" w:rsidRDefault="00454A29">
            <w:pPr>
              <w:pStyle w:val="ConsPlusNormal"/>
            </w:pPr>
          </w:p>
        </w:tc>
        <w:tc>
          <w:tcPr>
            <w:tcW w:w="1814" w:type="dxa"/>
            <w:vAlign w:val="center"/>
          </w:tcPr>
          <w:p w14:paraId="3214BAFE" w14:textId="77777777" w:rsidR="00454A29" w:rsidRDefault="00454A29">
            <w:pPr>
              <w:pStyle w:val="ConsPlusNormal"/>
            </w:pPr>
          </w:p>
        </w:tc>
      </w:tr>
      <w:tr w:rsidR="00454A29" w14:paraId="193578CC" w14:textId="77777777">
        <w:tc>
          <w:tcPr>
            <w:tcW w:w="567" w:type="dxa"/>
            <w:vMerge/>
          </w:tcPr>
          <w:p w14:paraId="6D5D9ED0" w14:textId="77777777" w:rsidR="00454A29" w:rsidRDefault="00454A29"/>
        </w:tc>
        <w:tc>
          <w:tcPr>
            <w:tcW w:w="3345" w:type="dxa"/>
            <w:vMerge/>
          </w:tcPr>
          <w:p w14:paraId="3BA286FA" w14:textId="77777777" w:rsidR="00454A29" w:rsidRDefault="00454A29"/>
        </w:tc>
        <w:tc>
          <w:tcPr>
            <w:tcW w:w="1701" w:type="dxa"/>
            <w:vAlign w:val="center"/>
          </w:tcPr>
          <w:p w14:paraId="6520F092" w14:textId="77777777" w:rsidR="00454A29" w:rsidRDefault="00454A29">
            <w:pPr>
              <w:pStyle w:val="ConsPlusNormal"/>
              <w:jc w:val="center"/>
            </w:pPr>
            <w:r>
              <w:t>2023</w:t>
            </w:r>
          </w:p>
        </w:tc>
        <w:tc>
          <w:tcPr>
            <w:tcW w:w="1417" w:type="dxa"/>
            <w:vMerge/>
          </w:tcPr>
          <w:p w14:paraId="3BBA0361" w14:textId="77777777" w:rsidR="00454A29" w:rsidRDefault="00454A29"/>
        </w:tc>
        <w:tc>
          <w:tcPr>
            <w:tcW w:w="2204" w:type="dxa"/>
            <w:vMerge/>
          </w:tcPr>
          <w:p w14:paraId="6A20811E" w14:textId="77777777" w:rsidR="00454A29" w:rsidRDefault="00454A29"/>
        </w:tc>
        <w:tc>
          <w:tcPr>
            <w:tcW w:w="1417" w:type="dxa"/>
            <w:vMerge/>
          </w:tcPr>
          <w:p w14:paraId="7C0656C7" w14:textId="77777777" w:rsidR="00454A29" w:rsidRDefault="00454A29"/>
        </w:tc>
        <w:tc>
          <w:tcPr>
            <w:tcW w:w="2324" w:type="dxa"/>
            <w:vMerge/>
          </w:tcPr>
          <w:p w14:paraId="1A3C0C4D" w14:textId="77777777" w:rsidR="00454A29" w:rsidRDefault="00454A29"/>
        </w:tc>
        <w:tc>
          <w:tcPr>
            <w:tcW w:w="1701" w:type="dxa"/>
            <w:vAlign w:val="center"/>
          </w:tcPr>
          <w:p w14:paraId="0CB0B121" w14:textId="77777777" w:rsidR="00454A29" w:rsidRDefault="00454A29">
            <w:pPr>
              <w:pStyle w:val="ConsPlusNormal"/>
              <w:jc w:val="center"/>
            </w:pPr>
            <w:r>
              <w:t>57 582,56</w:t>
            </w:r>
          </w:p>
        </w:tc>
        <w:tc>
          <w:tcPr>
            <w:tcW w:w="1814" w:type="dxa"/>
            <w:vAlign w:val="center"/>
          </w:tcPr>
          <w:p w14:paraId="7187F994" w14:textId="77777777" w:rsidR="00454A29" w:rsidRDefault="00454A29">
            <w:pPr>
              <w:pStyle w:val="ConsPlusNormal"/>
              <w:jc w:val="center"/>
            </w:pPr>
            <w:r>
              <w:t>57 582,56</w:t>
            </w:r>
          </w:p>
        </w:tc>
        <w:tc>
          <w:tcPr>
            <w:tcW w:w="1701" w:type="dxa"/>
            <w:vAlign w:val="center"/>
          </w:tcPr>
          <w:p w14:paraId="087EA49F" w14:textId="77777777" w:rsidR="00454A29" w:rsidRDefault="00454A29">
            <w:pPr>
              <w:pStyle w:val="ConsPlusNormal"/>
            </w:pPr>
          </w:p>
        </w:tc>
        <w:tc>
          <w:tcPr>
            <w:tcW w:w="1701" w:type="dxa"/>
            <w:vAlign w:val="center"/>
          </w:tcPr>
          <w:p w14:paraId="7D7E12FE" w14:textId="77777777" w:rsidR="00454A29" w:rsidRDefault="00454A29">
            <w:pPr>
              <w:pStyle w:val="ConsPlusNormal"/>
            </w:pPr>
          </w:p>
        </w:tc>
        <w:tc>
          <w:tcPr>
            <w:tcW w:w="1814" w:type="dxa"/>
            <w:vAlign w:val="center"/>
          </w:tcPr>
          <w:p w14:paraId="68AB930E" w14:textId="77777777" w:rsidR="00454A29" w:rsidRDefault="00454A29">
            <w:pPr>
              <w:pStyle w:val="ConsPlusNormal"/>
            </w:pPr>
          </w:p>
        </w:tc>
      </w:tr>
      <w:tr w:rsidR="00454A29" w14:paraId="79A6FF1C" w14:textId="77777777">
        <w:tc>
          <w:tcPr>
            <w:tcW w:w="567" w:type="dxa"/>
            <w:vMerge/>
          </w:tcPr>
          <w:p w14:paraId="3367F57D" w14:textId="77777777" w:rsidR="00454A29" w:rsidRDefault="00454A29"/>
        </w:tc>
        <w:tc>
          <w:tcPr>
            <w:tcW w:w="3345" w:type="dxa"/>
            <w:vMerge/>
          </w:tcPr>
          <w:p w14:paraId="36418BE9" w14:textId="77777777" w:rsidR="00454A29" w:rsidRDefault="00454A29"/>
        </w:tc>
        <w:tc>
          <w:tcPr>
            <w:tcW w:w="1701" w:type="dxa"/>
            <w:vAlign w:val="center"/>
          </w:tcPr>
          <w:p w14:paraId="0BA138C6" w14:textId="77777777" w:rsidR="00454A29" w:rsidRDefault="00454A29">
            <w:pPr>
              <w:pStyle w:val="ConsPlusNormal"/>
              <w:jc w:val="center"/>
            </w:pPr>
            <w:r>
              <w:t>2024</w:t>
            </w:r>
          </w:p>
        </w:tc>
        <w:tc>
          <w:tcPr>
            <w:tcW w:w="1417" w:type="dxa"/>
            <w:vMerge/>
          </w:tcPr>
          <w:p w14:paraId="430BB036" w14:textId="77777777" w:rsidR="00454A29" w:rsidRDefault="00454A29"/>
        </w:tc>
        <w:tc>
          <w:tcPr>
            <w:tcW w:w="2204" w:type="dxa"/>
            <w:vMerge/>
          </w:tcPr>
          <w:p w14:paraId="3273EEDF" w14:textId="77777777" w:rsidR="00454A29" w:rsidRDefault="00454A29"/>
        </w:tc>
        <w:tc>
          <w:tcPr>
            <w:tcW w:w="1417" w:type="dxa"/>
            <w:vMerge/>
          </w:tcPr>
          <w:p w14:paraId="249FA007" w14:textId="77777777" w:rsidR="00454A29" w:rsidRDefault="00454A29"/>
        </w:tc>
        <w:tc>
          <w:tcPr>
            <w:tcW w:w="2324" w:type="dxa"/>
            <w:vMerge/>
          </w:tcPr>
          <w:p w14:paraId="1ACAFD2B" w14:textId="77777777" w:rsidR="00454A29" w:rsidRDefault="00454A29"/>
        </w:tc>
        <w:tc>
          <w:tcPr>
            <w:tcW w:w="1701" w:type="dxa"/>
            <w:vAlign w:val="center"/>
          </w:tcPr>
          <w:p w14:paraId="785F1F2D" w14:textId="77777777" w:rsidR="00454A29" w:rsidRDefault="00454A29">
            <w:pPr>
              <w:pStyle w:val="ConsPlusNormal"/>
              <w:jc w:val="center"/>
            </w:pPr>
            <w:r>
              <w:t>77 666,80</w:t>
            </w:r>
          </w:p>
        </w:tc>
        <w:tc>
          <w:tcPr>
            <w:tcW w:w="1814" w:type="dxa"/>
            <w:vAlign w:val="center"/>
          </w:tcPr>
          <w:p w14:paraId="743C0944" w14:textId="77777777" w:rsidR="00454A29" w:rsidRDefault="00454A29">
            <w:pPr>
              <w:pStyle w:val="ConsPlusNormal"/>
              <w:jc w:val="center"/>
            </w:pPr>
            <w:r>
              <w:t>77 666,80</w:t>
            </w:r>
          </w:p>
        </w:tc>
        <w:tc>
          <w:tcPr>
            <w:tcW w:w="1701" w:type="dxa"/>
            <w:vAlign w:val="center"/>
          </w:tcPr>
          <w:p w14:paraId="3E3C62B9" w14:textId="77777777" w:rsidR="00454A29" w:rsidRDefault="00454A29">
            <w:pPr>
              <w:pStyle w:val="ConsPlusNormal"/>
            </w:pPr>
          </w:p>
        </w:tc>
        <w:tc>
          <w:tcPr>
            <w:tcW w:w="1701" w:type="dxa"/>
            <w:vAlign w:val="center"/>
          </w:tcPr>
          <w:p w14:paraId="2DA43823" w14:textId="77777777" w:rsidR="00454A29" w:rsidRDefault="00454A29">
            <w:pPr>
              <w:pStyle w:val="ConsPlusNormal"/>
            </w:pPr>
          </w:p>
        </w:tc>
        <w:tc>
          <w:tcPr>
            <w:tcW w:w="1814" w:type="dxa"/>
            <w:vAlign w:val="center"/>
          </w:tcPr>
          <w:p w14:paraId="100A63E5" w14:textId="77777777" w:rsidR="00454A29" w:rsidRDefault="00454A29">
            <w:pPr>
              <w:pStyle w:val="ConsPlusNormal"/>
            </w:pPr>
          </w:p>
        </w:tc>
      </w:tr>
      <w:tr w:rsidR="00454A29" w14:paraId="0A7F7D21" w14:textId="77777777">
        <w:tc>
          <w:tcPr>
            <w:tcW w:w="567" w:type="dxa"/>
            <w:vMerge/>
          </w:tcPr>
          <w:p w14:paraId="1695DAD9" w14:textId="77777777" w:rsidR="00454A29" w:rsidRDefault="00454A29"/>
        </w:tc>
        <w:tc>
          <w:tcPr>
            <w:tcW w:w="3345" w:type="dxa"/>
            <w:vMerge/>
          </w:tcPr>
          <w:p w14:paraId="0DF96C1C" w14:textId="77777777" w:rsidR="00454A29" w:rsidRDefault="00454A29"/>
        </w:tc>
        <w:tc>
          <w:tcPr>
            <w:tcW w:w="1701" w:type="dxa"/>
            <w:vAlign w:val="center"/>
          </w:tcPr>
          <w:p w14:paraId="34B52745" w14:textId="77777777" w:rsidR="00454A29" w:rsidRDefault="00454A29">
            <w:pPr>
              <w:pStyle w:val="ConsPlusNormal"/>
              <w:jc w:val="center"/>
            </w:pPr>
            <w:r>
              <w:t>2025</w:t>
            </w:r>
          </w:p>
        </w:tc>
        <w:tc>
          <w:tcPr>
            <w:tcW w:w="1417" w:type="dxa"/>
            <w:vMerge/>
          </w:tcPr>
          <w:p w14:paraId="24B04547" w14:textId="77777777" w:rsidR="00454A29" w:rsidRDefault="00454A29"/>
        </w:tc>
        <w:tc>
          <w:tcPr>
            <w:tcW w:w="2204" w:type="dxa"/>
            <w:vMerge/>
          </w:tcPr>
          <w:p w14:paraId="195E8C03" w14:textId="77777777" w:rsidR="00454A29" w:rsidRDefault="00454A29"/>
        </w:tc>
        <w:tc>
          <w:tcPr>
            <w:tcW w:w="1417" w:type="dxa"/>
            <w:vMerge/>
          </w:tcPr>
          <w:p w14:paraId="5B2E130C" w14:textId="77777777" w:rsidR="00454A29" w:rsidRDefault="00454A29"/>
        </w:tc>
        <w:tc>
          <w:tcPr>
            <w:tcW w:w="2324" w:type="dxa"/>
            <w:vMerge/>
          </w:tcPr>
          <w:p w14:paraId="119DA9E6" w14:textId="77777777" w:rsidR="00454A29" w:rsidRDefault="00454A29"/>
        </w:tc>
        <w:tc>
          <w:tcPr>
            <w:tcW w:w="1701" w:type="dxa"/>
            <w:vAlign w:val="center"/>
          </w:tcPr>
          <w:p w14:paraId="688B9DAA" w14:textId="77777777" w:rsidR="00454A29" w:rsidRDefault="00454A29">
            <w:pPr>
              <w:pStyle w:val="ConsPlusNormal"/>
              <w:jc w:val="center"/>
            </w:pPr>
            <w:r>
              <w:t>-</w:t>
            </w:r>
          </w:p>
        </w:tc>
        <w:tc>
          <w:tcPr>
            <w:tcW w:w="1814" w:type="dxa"/>
            <w:vAlign w:val="center"/>
          </w:tcPr>
          <w:p w14:paraId="4F2C7D0A" w14:textId="77777777" w:rsidR="00454A29" w:rsidRDefault="00454A29">
            <w:pPr>
              <w:pStyle w:val="ConsPlusNormal"/>
            </w:pPr>
          </w:p>
        </w:tc>
        <w:tc>
          <w:tcPr>
            <w:tcW w:w="1701" w:type="dxa"/>
            <w:vAlign w:val="center"/>
          </w:tcPr>
          <w:p w14:paraId="78C5D341" w14:textId="77777777" w:rsidR="00454A29" w:rsidRDefault="00454A29">
            <w:pPr>
              <w:pStyle w:val="ConsPlusNormal"/>
            </w:pPr>
          </w:p>
        </w:tc>
        <w:tc>
          <w:tcPr>
            <w:tcW w:w="1701" w:type="dxa"/>
            <w:vAlign w:val="center"/>
          </w:tcPr>
          <w:p w14:paraId="584650A9" w14:textId="77777777" w:rsidR="00454A29" w:rsidRDefault="00454A29">
            <w:pPr>
              <w:pStyle w:val="ConsPlusNormal"/>
            </w:pPr>
          </w:p>
        </w:tc>
        <w:tc>
          <w:tcPr>
            <w:tcW w:w="1814" w:type="dxa"/>
            <w:vAlign w:val="center"/>
          </w:tcPr>
          <w:p w14:paraId="1C913A8A" w14:textId="77777777" w:rsidR="00454A29" w:rsidRDefault="00454A29">
            <w:pPr>
              <w:pStyle w:val="ConsPlusNormal"/>
            </w:pPr>
          </w:p>
        </w:tc>
      </w:tr>
      <w:tr w:rsidR="00454A29" w14:paraId="7461F34F" w14:textId="77777777">
        <w:tc>
          <w:tcPr>
            <w:tcW w:w="567" w:type="dxa"/>
            <w:vMerge/>
          </w:tcPr>
          <w:p w14:paraId="57F008EB" w14:textId="77777777" w:rsidR="00454A29" w:rsidRDefault="00454A29"/>
        </w:tc>
        <w:tc>
          <w:tcPr>
            <w:tcW w:w="3345" w:type="dxa"/>
            <w:vMerge/>
          </w:tcPr>
          <w:p w14:paraId="2E930679" w14:textId="77777777" w:rsidR="00454A29" w:rsidRDefault="00454A29"/>
        </w:tc>
        <w:tc>
          <w:tcPr>
            <w:tcW w:w="1701" w:type="dxa"/>
            <w:vAlign w:val="center"/>
          </w:tcPr>
          <w:p w14:paraId="596C2766" w14:textId="77777777" w:rsidR="00454A29" w:rsidRDefault="00454A29">
            <w:pPr>
              <w:pStyle w:val="ConsPlusNormal"/>
              <w:jc w:val="center"/>
            </w:pPr>
            <w:r>
              <w:t>2026</w:t>
            </w:r>
          </w:p>
        </w:tc>
        <w:tc>
          <w:tcPr>
            <w:tcW w:w="1417" w:type="dxa"/>
            <w:vMerge/>
          </w:tcPr>
          <w:p w14:paraId="25304CEC" w14:textId="77777777" w:rsidR="00454A29" w:rsidRDefault="00454A29"/>
        </w:tc>
        <w:tc>
          <w:tcPr>
            <w:tcW w:w="2204" w:type="dxa"/>
            <w:vMerge/>
          </w:tcPr>
          <w:p w14:paraId="4903BD8B" w14:textId="77777777" w:rsidR="00454A29" w:rsidRDefault="00454A29"/>
        </w:tc>
        <w:tc>
          <w:tcPr>
            <w:tcW w:w="1417" w:type="dxa"/>
            <w:vMerge/>
          </w:tcPr>
          <w:p w14:paraId="2F8B6619" w14:textId="77777777" w:rsidR="00454A29" w:rsidRDefault="00454A29"/>
        </w:tc>
        <w:tc>
          <w:tcPr>
            <w:tcW w:w="2324" w:type="dxa"/>
            <w:vMerge/>
          </w:tcPr>
          <w:p w14:paraId="11D89671" w14:textId="77777777" w:rsidR="00454A29" w:rsidRDefault="00454A29"/>
        </w:tc>
        <w:tc>
          <w:tcPr>
            <w:tcW w:w="1701" w:type="dxa"/>
            <w:vAlign w:val="center"/>
          </w:tcPr>
          <w:p w14:paraId="3D1019DC" w14:textId="77777777" w:rsidR="00454A29" w:rsidRDefault="00454A29">
            <w:pPr>
              <w:pStyle w:val="ConsPlusNormal"/>
              <w:jc w:val="center"/>
            </w:pPr>
            <w:r>
              <w:t>-</w:t>
            </w:r>
          </w:p>
        </w:tc>
        <w:tc>
          <w:tcPr>
            <w:tcW w:w="1814" w:type="dxa"/>
            <w:vAlign w:val="center"/>
          </w:tcPr>
          <w:p w14:paraId="2DBCD83A" w14:textId="77777777" w:rsidR="00454A29" w:rsidRDefault="00454A29">
            <w:pPr>
              <w:pStyle w:val="ConsPlusNormal"/>
            </w:pPr>
          </w:p>
        </w:tc>
        <w:tc>
          <w:tcPr>
            <w:tcW w:w="1701" w:type="dxa"/>
            <w:vAlign w:val="center"/>
          </w:tcPr>
          <w:p w14:paraId="40BFF19A" w14:textId="77777777" w:rsidR="00454A29" w:rsidRDefault="00454A29">
            <w:pPr>
              <w:pStyle w:val="ConsPlusNormal"/>
            </w:pPr>
          </w:p>
        </w:tc>
        <w:tc>
          <w:tcPr>
            <w:tcW w:w="1701" w:type="dxa"/>
            <w:vAlign w:val="center"/>
          </w:tcPr>
          <w:p w14:paraId="1EA47431" w14:textId="77777777" w:rsidR="00454A29" w:rsidRDefault="00454A29">
            <w:pPr>
              <w:pStyle w:val="ConsPlusNormal"/>
            </w:pPr>
          </w:p>
        </w:tc>
        <w:tc>
          <w:tcPr>
            <w:tcW w:w="1814" w:type="dxa"/>
            <w:vAlign w:val="center"/>
          </w:tcPr>
          <w:p w14:paraId="260A4E13" w14:textId="77777777" w:rsidR="00454A29" w:rsidRDefault="00454A29">
            <w:pPr>
              <w:pStyle w:val="ConsPlusNormal"/>
            </w:pPr>
          </w:p>
        </w:tc>
      </w:tr>
      <w:tr w:rsidR="00454A29" w14:paraId="7C9209A4" w14:textId="77777777">
        <w:tc>
          <w:tcPr>
            <w:tcW w:w="567" w:type="dxa"/>
            <w:vMerge w:val="restart"/>
            <w:vAlign w:val="center"/>
          </w:tcPr>
          <w:p w14:paraId="6CC017AE" w14:textId="77777777" w:rsidR="00454A29" w:rsidRDefault="00454A29">
            <w:pPr>
              <w:pStyle w:val="ConsPlusNormal"/>
              <w:jc w:val="center"/>
            </w:pPr>
            <w:r>
              <w:t>28</w:t>
            </w:r>
          </w:p>
        </w:tc>
        <w:tc>
          <w:tcPr>
            <w:tcW w:w="3345" w:type="dxa"/>
            <w:vMerge w:val="restart"/>
            <w:vAlign w:val="center"/>
          </w:tcPr>
          <w:p w14:paraId="20596353" w14:textId="77777777" w:rsidR="00454A29" w:rsidRDefault="00454A29">
            <w:pPr>
              <w:pStyle w:val="ConsPlusNormal"/>
              <w:jc w:val="center"/>
            </w:pPr>
            <w:r>
              <w:t>Детский сад на 140 мест в п. Алмазный Мирнинского улуса</w:t>
            </w:r>
          </w:p>
        </w:tc>
        <w:tc>
          <w:tcPr>
            <w:tcW w:w="1701" w:type="dxa"/>
            <w:vAlign w:val="center"/>
          </w:tcPr>
          <w:p w14:paraId="20443D66" w14:textId="77777777" w:rsidR="00454A29" w:rsidRDefault="00454A29">
            <w:pPr>
              <w:pStyle w:val="ConsPlusNormal"/>
              <w:jc w:val="center"/>
            </w:pPr>
            <w:r>
              <w:t>2020 - 2026 годы - всего</w:t>
            </w:r>
          </w:p>
        </w:tc>
        <w:tc>
          <w:tcPr>
            <w:tcW w:w="1417" w:type="dxa"/>
            <w:vMerge w:val="restart"/>
            <w:vAlign w:val="center"/>
          </w:tcPr>
          <w:p w14:paraId="74F42826" w14:textId="77777777" w:rsidR="00454A29" w:rsidRDefault="00454A29">
            <w:pPr>
              <w:pStyle w:val="ConsPlusNormal"/>
              <w:jc w:val="center"/>
            </w:pPr>
            <w:r>
              <w:t>135 249,36</w:t>
            </w:r>
          </w:p>
        </w:tc>
        <w:tc>
          <w:tcPr>
            <w:tcW w:w="2204" w:type="dxa"/>
            <w:vMerge w:val="restart"/>
            <w:vAlign w:val="center"/>
          </w:tcPr>
          <w:p w14:paraId="55B53F8D" w14:textId="77777777" w:rsidR="00454A29" w:rsidRDefault="00454A29">
            <w:pPr>
              <w:pStyle w:val="ConsPlusNormal"/>
            </w:pPr>
          </w:p>
        </w:tc>
        <w:tc>
          <w:tcPr>
            <w:tcW w:w="1417" w:type="dxa"/>
            <w:vMerge w:val="restart"/>
            <w:vAlign w:val="center"/>
          </w:tcPr>
          <w:p w14:paraId="2553E6E8" w14:textId="77777777" w:rsidR="00454A29" w:rsidRDefault="00454A29">
            <w:pPr>
              <w:pStyle w:val="ConsPlusNormal"/>
              <w:jc w:val="center"/>
            </w:pPr>
            <w:r>
              <w:t>140</w:t>
            </w:r>
          </w:p>
        </w:tc>
        <w:tc>
          <w:tcPr>
            <w:tcW w:w="2324" w:type="dxa"/>
            <w:vMerge w:val="restart"/>
            <w:vAlign w:val="center"/>
          </w:tcPr>
          <w:p w14:paraId="1ECE0E3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2048688" w14:textId="77777777" w:rsidR="00454A29" w:rsidRDefault="00454A29">
            <w:pPr>
              <w:pStyle w:val="ConsPlusNormal"/>
              <w:jc w:val="center"/>
            </w:pPr>
            <w:r>
              <w:t>135 249,36</w:t>
            </w:r>
          </w:p>
        </w:tc>
        <w:tc>
          <w:tcPr>
            <w:tcW w:w="1814" w:type="dxa"/>
            <w:vAlign w:val="center"/>
          </w:tcPr>
          <w:p w14:paraId="62AA09D6" w14:textId="77777777" w:rsidR="00454A29" w:rsidRDefault="00454A29">
            <w:pPr>
              <w:pStyle w:val="ConsPlusNormal"/>
              <w:jc w:val="center"/>
            </w:pPr>
            <w:r>
              <w:t>232 187,74</w:t>
            </w:r>
          </w:p>
        </w:tc>
        <w:tc>
          <w:tcPr>
            <w:tcW w:w="1701" w:type="dxa"/>
            <w:vAlign w:val="center"/>
          </w:tcPr>
          <w:p w14:paraId="30484F4E" w14:textId="77777777" w:rsidR="00454A29" w:rsidRDefault="00454A29">
            <w:pPr>
              <w:pStyle w:val="ConsPlusNormal"/>
              <w:jc w:val="center"/>
            </w:pPr>
            <w:r>
              <w:t>-</w:t>
            </w:r>
          </w:p>
        </w:tc>
        <w:tc>
          <w:tcPr>
            <w:tcW w:w="1701" w:type="dxa"/>
            <w:vAlign w:val="center"/>
          </w:tcPr>
          <w:p w14:paraId="611720C7" w14:textId="77777777" w:rsidR="00454A29" w:rsidRDefault="00454A29">
            <w:pPr>
              <w:pStyle w:val="ConsPlusNormal"/>
              <w:jc w:val="center"/>
            </w:pPr>
            <w:r>
              <w:t>-</w:t>
            </w:r>
          </w:p>
        </w:tc>
        <w:tc>
          <w:tcPr>
            <w:tcW w:w="1814" w:type="dxa"/>
            <w:vAlign w:val="center"/>
          </w:tcPr>
          <w:p w14:paraId="4F514A09" w14:textId="77777777" w:rsidR="00454A29" w:rsidRDefault="00454A29">
            <w:pPr>
              <w:pStyle w:val="ConsPlusNormal"/>
              <w:jc w:val="center"/>
            </w:pPr>
            <w:r>
              <w:t>-</w:t>
            </w:r>
          </w:p>
        </w:tc>
      </w:tr>
      <w:tr w:rsidR="00454A29" w14:paraId="73EF14A7" w14:textId="77777777">
        <w:tc>
          <w:tcPr>
            <w:tcW w:w="567" w:type="dxa"/>
            <w:vMerge/>
          </w:tcPr>
          <w:p w14:paraId="0988D8A2" w14:textId="77777777" w:rsidR="00454A29" w:rsidRDefault="00454A29"/>
        </w:tc>
        <w:tc>
          <w:tcPr>
            <w:tcW w:w="3345" w:type="dxa"/>
            <w:vMerge/>
          </w:tcPr>
          <w:p w14:paraId="61EB82A9" w14:textId="77777777" w:rsidR="00454A29" w:rsidRDefault="00454A29"/>
        </w:tc>
        <w:tc>
          <w:tcPr>
            <w:tcW w:w="1701" w:type="dxa"/>
            <w:vAlign w:val="center"/>
          </w:tcPr>
          <w:p w14:paraId="230075FF" w14:textId="77777777" w:rsidR="00454A29" w:rsidRDefault="00454A29">
            <w:pPr>
              <w:pStyle w:val="ConsPlusNormal"/>
              <w:jc w:val="center"/>
            </w:pPr>
            <w:r>
              <w:t>2020</w:t>
            </w:r>
          </w:p>
        </w:tc>
        <w:tc>
          <w:tcPr>
            <w:tcW w:w="1417" w:type="dxa"/>
            <w:vMerge/>
          </w:tcPr>
          <w:p w14:paraId="63BB80FD" w14:textId="77777777" w:rsidR="00454A29" w:rsidRDefault="00454A29"/>
        </w:tc>
        <w:tc>
          <w:tcPr>
            <w:tcW w:w="2204" w:type="dxa"/>
            <w:vMerge/>
          </w:tcPr>
          <w:p w14:paraId="2B506372" w14:textId="77777777" w:rsidR="00454A29" w:rsidRDefault="00454A29"/>
        </w:tc>
        <w:tc>
          <w:tcPr>
            <w:tcW w:w="1417" w:type="dxa"/>
            <w:vMerge/>
          </w:tcPr>
          <w:p w14:paraId="4603D7B8" w14:textId="77777777" w:rsidR="00454A29" w:rsidRDefault="00454A29"/>
        </w:tc>
        <w:tc>
          <w:tcPr>
            <w:tcW w:w="2324" w:type="dxa"/>
            <w:vMerge/>
          </w:tcPr>
          <w:p w14:paraId="1C777660" w14:textId="77777777" w:rsidR="00454A29" w:rsidRDefault="00454A29"/>
        </w:tc>
        <w:tc>
          <w:tcPr>
            <w:tcW w:w="1701" w:type="dxa"/>
            <w:vAlign w:val="center"/>
          </w:tcPr>
          <w:p w14:paraId="2E05141F" w14:textId="77777777" w:rsidR="00454A29" w:rsidRDefault="00454A29">
            <w:pPr>
              <w:pStyle w:val="ConsPlusNormal"/>
              <w:jc w:val="center"/>
            </w:pPr>
            <w:r>
              <w:t>-</w:t>
            </w:r>
          </w:p>
        </w:tc>
        <w:tc>
          <w:tcPr>
            <w:tcW w:w="1814" w:type="dxa"/>
            <w:vAlign w:val="center"/>
          </w:tcPr>
          <w:p w14:paraId="13E1BB89" w14:textId="77777777" w:rsidR="00454A29" w:rsidRDefault="00454A29">
            <w:pPr>
              <w:pStyle w:val="ConsPlusNormal"/>
            </w:pPr>
          </w:p>
        </w:tc>
        <w:tc>
          <w:tcPr>
            <w:tcW w:w="1701" w:type="dxa"/>
            <w:vAlign w:val="center"/>
          </w:tcPr>
          <w:p w14:paraId="55E43B2E" w14:textId="77777777" w:rsidR="00454A29" w:rsidRDefault="00454A29">
            <w:pPr>
              <w:pStyle w:val="ConsPlusNormal"/>
            </w:pPr>
          </w:p>
        </w:tc>
        <w:tc>
          <w:tcPr>
            <w:tcW w:w="1701" w:type="dxa"/>
            <w:vAlign w:val="center"/>
          </w:tcPr>
          <w:p w14:paraId="2FBF2755" w14:textId="77777777" w:rsidR="00454A29" w:rsidRDefault="00454A29">
            <w:pPr>
              <w:pStyle w:val="ConsPlusNormal"/>
            </w:pPr>
          </w:p>
        </w:tc>
        <w:tc>
          <w:tcPr>
            <w:tcW w:w="1814" w:type="dxa"/>
            <w:vAlign w:val="center"/>
          </w:tcPr>
          <w:p w14:paraId="5354B6A1" w14:textId="77777777" w:rsidR="00454A29" w:rsidRDefault="00454A29">
            <w:pPr>
              <w:pStyle w:val="ConsPlusNormal"/>
            </w:pPr>
          </w:p>
        </w:tc>
      </w:tr>
      <w:tr w:rsidR="00454A29" w14:paraId="07E98CD2" w14:textId="77777777">
        <w:tc>
          <w:tcPr>
            <w:tcW w:w="567" w:type="dxa"/>
            <w:vMerge/>
          </w:tcPr>
          <w:p w14:paraId="35F84686" w14:textId="77777777" w:rsidR="00454A29" w:rsidRDefault="00454A29"/>
        </w:tc>
        <w:tc>
          <w:tcPr>
            <w:tcW w:w="3345" w:type="dxa"/>
            <w:vMerge/>
          </w:tcPr>
          <w:p w14:paraId="10B66643" w14:textId="77777777" w:rsidR="00454A29" w:rsidRDefault="00454A29"/>
        </w:tc>
        <w:tc>
          <w:tcPr>
            <w:tcW w:w="1701" w:type="dxa"/>
            <w:vAlign w:val="center"/>
          </w:tcPr>
          <w:p w14:paraId="407DDB2D" w14:textId="77777777" w:rsidR="00454A29" w:rsidRDefault="00454A29">
            <w:pPr>
              <w:pStyle w:val="ConsPlusNormal"/>
              <w:jc w:val="center"/>
            </w:pPr>
            <w:r>
              <w:t>2021</w:t>
            </w:r>
          </w:p>
        </w:tc>
        <w:tc>
          <w:tcPr>
            <w:tcW w:w="1417" w:type="dxa"/>
            <w:vMerge/>
          </w:tcPr>
          <w:p w14:paraId="374E2816" w14:textId="77777777" w:rsidR="00454A29" w:rsidRDefault="00454A29"/>
        </w:tc>
        <w:tc>
          <w:tcPr>
            <w:tcW w:w="2204" w:type="dxa"/>
            <w:vMerge/>
          </w:tcPr>
          <w:p w14:paraId="4C64AC8F" w14:textId="77777777" w:rsidR="00454A29" w:rsidRDefault="00454A29"/>
        </w:tc>
        <w:tc>
          <w:tcPr>
            <w:tcW w:w="1417" w:type="dxa"/>
            <w:vMerge/>
          </w:tcPr>
          <w:p w14:paraId="4D3CB840" w14:textId="77777777" w:rsidR="00454A29" w:rsidRDefault="00454A29"/>
        </w:tc>
        <w:tc>
          <w:tcPr>
            <w:tcW w:w="2324" w:type="dxa"/>
            <w:vMerge/>
          </w:tcPr>
          <w:p w14:paraId="2D7541F9" w14:textId="77777777" w:rsidR="00454A29" w:rsidRDefault="00454A29"/>
        </w:tc>
        <w:tc>
          <w:tcPr>
            <w:tcW w:w="1701" w:type="dxa"/>
            <w:vAlign w:val="center"/>
          </w:tcPr>
          <w:p w14:paraId="0670B551" w14:textId="77777777" w:rsidR="00454A29" w:rsidRDefault="00454A29">
            <w:pPr>
              <w:pStyle w:val="ConsPlusNormal"/>
              <w:jc w:val="center"/>
            </w:pPr>
            <w:r>
              <w:t>-</w:t>
            </w:r>
          </w:p>
        </w:tc>
        <w:tc>
          <w:tcPr>
            <w:tcW w:w="1814" w:type="dxa"/>
            <w:vAlign w:val="center"/>
          </w:tcPr>
          <w:p w14:paraId="2CE89F52" w14:textId="77777777" w:rsidR="00454A29" w:rsidRDefault="00454A29">
            <w:pPr>
              <w:pStyle w:val="ConsPlusNormal"/>
            </w:pPr>
          </w:p>
        </w:tc>
        <w:tc>
          <w:tcPr>
            <w:tcW w:w="1701" w:type="dxa"/>
            <w:vAlign w:val="center"/>
          </w:tcPr>
          <w:p w14:paraId="7334DDC9" w14:textId="77777777" w:rsidR="00454A29" w:rsidRDefault="00454A29">
            <w:pPr>
              <w:pStyle w:val="ConsPlusNormal"/>
            </w:pPr>
          </w:p>
        </w:tc>
        <w:tc>
          <w:tcPr>
            <w:tcW w:w="1701" w:type="dxa"/>
            <w:vAlign w:val="center"/>
          </w:tcPr>
          <w:p w14:paraId="4E2D4F6C" w14:textId="77777777" w:rsidR="00454A29" w:rsidRDefault="00454A29">
            <w:pPr>
              <w:pStyle w:val="ConsPlusNormal"/>
            </w:pPr>
          </w:p>
        </w:tc>
        <w:tc>
          <w:tcPr>
            <w:tcW w:w="1814" w:type="dxa"/>
            <w:vAlign w:val="center"/>
          </w:tcPr>
          <w:p w14:paraId="3B4CAF30" w14:textId="77777777" w:rsidR="00454A29" w:rsidRDefault="00454A29">
            <w:pPr>
              <w:pStyle w:val="ConsPlusNormal"/>
            </w:pPr>
          </w:p>
        </w:tc>
      </w:tr>
      <w:tr w:rsidR="00454A29" w14:paraId="665AC8E8" w14:textId="77777777">
        <w:tc>
          <w:tcPr>
            <w:tcW w:w="567" w:type="dxa"/>
            <w:vMerge/>
          </w:tcPr>
          <w:p w14:paraId="25CC199A" w14:textId="77777777" w:rsidR="00454A29" w:rsidRDefault="00454A29"/>
        </w:tc>
        <w:tc>
          <w:tcPr>
            <w:tcW w:w="3345" w:type="dxa"/>
            <w:vMerge/>
          </w:tcPr>
          <w:p w14:paraId="21FEDD19" w14:textId="77777777" w:rsidR="00454A29" w:rsidRDefault="00454A29"/>
        </w:tc>
        <w:tc>
          <w:tcPr>
            <w:tcW w:w="1701" w:type="dxa"/>
            <w:vAlign w:val="center"/>
          </w:tcPr>
          <w:p w14:paraId="4974CBBE" w14:textId="77777777" w:rsidR="00454A29" w:rsidRDefault="00454A29">
            <w:pPr>
              <w:pStyle w:val="ConsPlusNormal"/>
              <w:jc w:val="center"/>
            </w:pPr>
            <w:r>
              <w:t>2022</w:t>
            </w:r>
          </w:p>
        </w:tc>
        <w:tc>
          <w:tcPr>
            <w:tcW w:w="1417" w:type="dxa"/>
            <w:vMerge/>
          </w:tcPr>
          <w:p w14:paraId="20B912B0" w14:textId="77777777" w:rsidR="00454A29" w:rsidRDefault="00454A29"/>
        </w:tc>
        <w:tc>
          <w:tcPr>
            <w:tcW w:w="2204" w:type="dxa"/>
            <w:vMerge/>
          </w:tcPr>
          <w:p w14:paraId="770EBB88" w14:textId="77777777" w:rsidR="00454A29" w:rsidRDefault="00454A29"/>
        </w:tc>
        <w:tc>
          <w:tcPr>
            <w:tcW w:w="1417" w:type="dxa"/>
            <w:vMerge/>
          </w:tcPr>
          <w:p w14:paraId="0B3D4932" w14:textId="77777777" w:rsidR="00454A29" w:rsidRDefault="00454A29"/>
        </w:tc>
        <w:tc>
          <w:tcPr>
            <w:tcW w:w="2324" w:type="dxa"/>
            <w:vMerge/>
          </w:tcPr>
          <w:p w14:paraId="492DAF26" w14:textId="77777777" w:rsidR="00454A29" w:rsidRDefault="00454A29"/>
        </w:tc>
        <w:tc>
          <w:tcPr>
            <w:tcW w:w="1701" w:type="dxa"/>
            <w:vAlign w:val="center"/>
          </w:tcPr>
          <w:p w14:paraId="78A5102E" w14:textId="77777777" w:rsidR="00454A29" w:rsidRDefault="00454A29">
            <w:pPr>
              <w:pStyle w:val="ConsPlusNormal"/>
              <w:jc w:val="center"/>
            </w:pPr>
            <w:r>
              <w:t>-</w:t>
            </w:r>
          </w:p>
        </w:tc>
        <w:tc>
          <w:tcPr>
            <w:tcW w:w="1814" w:type="dxa"/>
            <w:vAlign w:val="center"/>
          </w:tcPr>
          <w:p w14:paraId="6F6AAA92" w14:textId="77777777" w:rsidR="00454A29" w:rsidRDefault="00454A29">
            <w:pPr>
              <w:pStyle w:val="ConsPlusNormal"/>
            </w:pPr>
          </w:p>
        </w:tc>
        <w:tc>
          <w:tcPr>
            <w:tcW w:w="1701" w:type="dxa"/>
            <w:vAlign w:val="center"/>
          </w:tcPr>
          <w:p w14:paraId="6A1E9899" w14:textId="77777777" w:rsidR="00454A29" w:rsidRDefault="00454A29">
            <w:pPr>
              <w:pStyle w:val="ConsPlusNormal"/>
            </w:pPr>
          </w:p>
        </w:tc>
        <w:tc>
          <w:tcPr>
            <w:tcW w:w="1701" w:type="dxa"/>
            <w:vAlign w:val="center"/>
          </w:tcPr>
          <w:p w14:paraId="32D125A3" w14:textId="77777777" w:rsidR="00454A29" w:rsidRDefault="00454A29">
            <w:pPr>
              <w:pStyle w:val="ConsPlusNormal"/>
            </w:pPr>
          </w:p>
        </w:tc>
        <w:tc>
          <w:tcPr>
            <w:tcW w:w="1814" w:type="dxa"/>
            <w:vAlign w:val="center"/>
          </w:tcPr>
          <w:p w14:paraId="1C9DA1F4" w14:textId="77777777" w:rsidR="00454A29" w:rsidRDefault="00454A29">
            <w:pPr>
              <w:pStyle w:val="ConsPlusNormal"/>
            </w:pPr>
          </w:p>
        </w:tc>
      </w:tr>
      <w:tr w:rsidR="00454A29" w14:paraId="12A2EE2E" w14:textId="77777777">
        <w:tc>
          <w:tcPr>
            <w:tcW w:w="567" w:type="dxa"/>
            <w:vMerge/>
          </w:tcPr>
          <w:p w14:paraId="43DA601F" w14:textId="77777777" w:rsidR="00454A29" w:rsidRDefault="00454A29"/>
        </w:tc>
        <w:tc>
          <w:tcPr>
            <w:tcW w:w="3345" w:type="dxa"/>
            <w:vMerge/>
          </w:tcPr>
          <w:p w14:paraId="2BA6580F" w14:textId="77777777" w:rsidR="00454A29" w:rsidRDefault="00454A29"/>
        </w:tc>
        <w:tc>
          <w:tcPr>
            <w:tcW w:w="1701" w:type="dxa"/>
            <w:vAlign w:val="center"/>
          </w:tcPr>
          <w:p w14:paraId="278D0647" w14:textId="77777777" w:rsidR="00454A29" w:rsidRDefault="00454A29">
            <w:pPr>
              <w:pStyle w:val="ConsPlusNormal"/>
              <w:jc w:val="center"/>
            </w:pPr>
            <w:r>
              <w:t>2023</w:t>
            </w:r>
          </w:p>
        </w:tc>
        <w:tc>
          <w:tcPr>
            <w:tcW w:w="1417" w:type="dxa"/>
            <w:vMerge/>
          </w:tcPr>
          <w:p w14:paraId="68368890" w14:textId="77777777" w:rsidR="00454A29" w:rsidRDefault="00454A29"/>
        </w:tc>
        <w:tc>
          <w:tcPr>
            <w:tcW w:w="2204" w:type="dxa"/>
            <w:vMerge/>
          </w:tcPr>
          <w:p w14:paraId="0F21F40D" w14:textId="77777777" w:rsidR="00454A29" w:rsidRDefault="00454A29"/>
        </w:tc>
        <w:tc>
          <w:tcPr>
            <w:tcW w:w="1417" w:type="dxa"/>
            <w:vMerge/>
          </w:tcPr>
          <w:p w14:paraId="249C543E" w14:textId="77777777" w:rsidR="00454A29" w:rsidRDefault="00454A29"/>
        </w:tc>
        <w:tc>
          <w:tcPr>
            <w:tcW w:w="2324" w:type="dxa"/>
            <w:vMerge/>
          </w:tcPr>
          <w:p w14:paraId="1C5886DF" w14:textId="77777777" w:rsidR="00454A29" w:rsidRDefault="00454A29"/>
        </w:tc>
        <w:tc>
          <w:tcPr>
            <w:tcW w:w="1701" w:type="dxa"/>
            <w:vAlign w:val="center"/>
          </w:tcPr>
          <w:p w14:paraId="0B3AE345" w14:textId="77777777" w:rsidR="00454A29" w:rsidRDefault="00454A29">
            <w:pPr>
              <w:pStyle w:val="ConsPlusNormal"/>
              <w:jc w:val="center"/>
            </w:pPr>
            <w:r>
              <w:t>57 582,56</w:t>
            </w:r>
          </w:p>
        </w:tc>
        <w:tc>
          <w:tcPr>
            <w:tcW w:w="1814" w:type="dxa"/>
            <w:vAlign w:val="center"/>
          </w:tcPr>
          <w:p w14:paraId="6D2D81C4" w14:textId="77777777" w:rsidR="00454A29" w:rsidRDefault="00454A29">
            <w:pPr>
              <w:pStyle w:val="ConsPlusNormal"/>
              <w:jc w:val="center"/>
            </w:pPr>
            <w:r>
              <w:t>57 582,56</w:t>
            </w:r>
          </w:p>
        </w:tc>
        <w:tc>
          <w:tcPr>
            <w:tcW w:w="1701" w:type="dxa"/>
            <w:vAlign w:val="center"/>
          </w:tcPr>
          <w:p w14:paraId="05D822C9" w14:textId="77777777" w:rsidR="00454A29" w:rsidRDefault="00454A29">
            <w:pPr>
              <w:pStyle w:val="ConsPlusNormal"/>
            </w:pPr>
          </w:p>
        </w:tc>
        <w:tc>
          <w:tcPr>
            <w:tcW w:w="1701" w:type="dxa"/>
            <w:vAlign w:val="center"/>
          </w:tcPr>
          <w:p w14:paraId="4FBB1FC2" w14:textId="77777777" w:rsidR="00454A29" w:rsidRDefault="00454A29">
            <w:pPr>
              <w:pStyle w:val="ConsPlusNormal"/>
            </w:pPr>
          </w:p>
        </w:tc>
        <w:tc>
          <w:tcPr>
            <w:tcW w:w="1814" w:type="dxa"/>
            <w:vAlign w:val="center"/>
          </w:tcPr>
          <w:p w14:paraId="58BE2BCB" w14:textId="77777777" w:rsidR="00454A29" w:rsidRDefault="00454A29">
            <w:pPr>
              <w:pStyle w:val="ConsPlusNormal"/>
            </w:pPr>
          </w:p>
        </w:tc>
      </w:tr>
      <w:tr w:rsidR="00454A29" w14:paraId="1B51885D" w14:textId="77777777">
        <w:tc>
          <w:tcPr>
            <w:tcW w:w="567" w:type="dxa"/>
            <w:vMerge/>
          </w:tcPr>
          <w:p w14:paraId="0F980F9D" w14:textId="77777777" w:rsidR="00454A29" w:rsidRDefault="00454A29"/>
        </w:tc>
        <w:tc>
          <w:tcPr>
            <w:tcW w:w="3345" w:type="dxa"/>
            <w:vMerge/>
          </w:tcPr>
          <w:p w14:paraId="579BB6A7" w14:textId="77777777" w:rsidR="00454A29" w:rsidRDefault="00454A29"/>
        </w:tc>
        <w:tc>
          <w:tcPr>
            <w:tcW w:w="1701" w:type="dxa"/>
            <w:vAlign w:val="center"/>
          </w:tcPr>
          <w:p w14:paraId="0BBAFC7D" w14:textId="77777777" w:rsidR="00454A29" w:rsidRDefault="00454A29">
            <w:pPr>
              <w:pStyle w:val="ConsPlusNormal"/>
              <w:jc w:val="center"/>
            </w:pPr>
            <w:r>
              <w:t>2024</w:t>
            </w:r>
          </w:p>
        </w:tc>
        <w:tc>
          <w:tcPr>
            <w:tcW w:w="1417" w:type="dxa"/>
            <w:vMerge/>
          </w:tcPr>
          <w:p w14:paraId="1F74F664" w14:textId="77777777" w:rsidR="00454A29" w:rsidRDefault="00454A29"/>
        </w:tc>
        <w:tc>
          <w:tcPr>
            <w:tcW w:w="2204" w:type="dxa"/>
            <w:vMerge/>
          </w:tcPr>
          <w:p w14:paraId="651D2FE5" w14:textId="77777777" w:rsidR="00454A29" w:rsidRDefault="00454A29"/>
        </w:tc>
        <w:tc>
          <w:tcPr>
            <w:tcW w:w="1417" w:type="dxa"/>
            <w:vMerge/>
          </w:tcPr>
          <w:p w14:paraId="2BC34EAB" w14:textId="77777777" w:rsidR="00454A29" w:rsidRDefault="00454A29"/>
        </w:tc>
        <w:tc>
          <w:tcPr>
            <w:tcW w:w="2324" w:type="dxa"/>
            <w:vMerge/>
          </w:tcPr>
          <w:p w14:paraId="7EADADDD" w14:textId="77777777" w:rsidR="00454A29" w:rsidRDefault="00454A29"/>
        </w:tc>
        <w:tc>
          <w:tcPr>
            <w:tcW w:w="1701" w:type="dxa"/>
            <w:vAlign w:val="center"/>
          </w:tcPr>
          <w:p w14:paraId="67F3FCE1" w14:textId="77777777" w:rsidR="00454A29" w:rsidRDefault="00454A29">
            <w:pPr>
              <w:pStyle w:val="ConsPlusNormal"/>
              <w:jc w:val="center"/>
            </w:pPr>
            <w:r>
              <w:t>77 666,80</w:t>
            </w:r>
          </w:p>
        </w:tc>
        <w:tc>
          <w:tcPr>
            <w:tcW w:w="1814" w:type="dxa"/>
            <w:vAlign w:val="center"/>
          </w:tcPr>
          <w:p w14:paraId="16393ED9" w14:textId="77777777" w:rsidR="00454A29" w:rsidRDefault="00454A29">
            <w:pPr>
              <w:pStyle w:val="ConsPlusNormal"/>
              <w:jc w:val="center"/>
            </w:pPr>
            <w:r>
              <w:t>77 666,80</w:t>
            </w:r>
          </w:p>
        </w:tc>
        <w:tc>
          <w:tcPr>
            <w:tcW w:w="1701" w:type="dxa"/>
            <w:vAlign w:val="center"/>
          </w:tcPr>
          <w:p w14:paraId="2D2CCF05" w14:textId="77777777" w:rsidR="00454A29" w:rsidRDefault="00454A29">
            <w:pPr>
              <w:pStyle w:val="ConsPlusNormal"/>
            </w:pPr>
          </w:p>
        </w:tc>
        <w:tc>
          <w:tcPr>
            <w:tcW w:w="1701" w:type="dxa"/>
            <w:vAlign w:val="center"/>
          </w:tcPr>
          <w:p w14:paraId="2B0EB188" w14:textId="77777777" w:rsidR="00454A29" w:rsidRDefault="00454A29">
            <w:pPr>
              <w:pStyle w:val="ConsPlusNormal"/>
            </w:pPr>
          </w:p>
        </w:tc>
        <w:tc>
          <w:tcPr>
            <w:tcW w:w="1814" w:type="dxa"/>
            <w:vAlign w:val="center"/>
          </w:tcPr>
          <w:p w14:paraId="6DBD8984" w14:textId="77777777" w:rsidR="00454A29" w:rsidRDefault="00454A29">
            <w:pPr>
              <w:pStyle w:val="ConsPlusNormal"/>
            </w:pPr>
          </w:p>
        </w:tc>
      </w:tr>
      <w:tr w:rsidR="00454A29" w14:paraId="0C227E68" w14:textId="77777777">
        <w:tc>
          <w:tcPr>
            <w:tcW w:w="567" w:type="dxa"/>
            <w:vMerge/>
          </w:tcPr>
          <w:p w14:paraId="21E9118F" w14:textId="77777777" w:rsidR="00454A29" w:rsidRDefault="00454A29"/>
        </w:tc>
        <w:tc>
          <w:tcPr>
            <w:tcW w:w="3345" w:type="dxa"/>
            <w:vMerge/>
          </w:tcPr>
          <w:p w14:paraId="05535027" w14:textId="77777777" w:rsidR="00454A29" w:rsidRDefault="00454A29"/>
        </w:tc>
        <w:tc>
          <w:tcPr>
            <w:tcW w:w="1701" w:type="dxa"/>
            <w:vAlign w:val="center"/>
          </w:tcPr>
          <w:p w14:paraId="68369A4B" w14:textId="77777777" w:rsidR="00454A29" w:rsidRDefault="00454A29">
            <w:pPr>
              <w:pStyle w:val="ConsPlusNormal"/>
              <w:jc w:val="center"/>
            </w:pPr>
            <w:r>
              <w:t>2025</w:t>
            </w:r>
          </w:p>
        </w:tc>
        <w:tc>
          <w:tcPr>
            <w:tcW w:w="1417" w:type="dxa"/>
            <w:vMerge/>
          </w:tcPr>
          <w:p w14:paraId="11CA1CF2" w14:textId="77777777" w:rsidR="00454A29" w:rsidRDefault="00454A29"/>
        </w:tc>
        <w:tc>
          <w:tcPr>
            <w:tcW w:w="2204" w:type="dxa"/>
            <w:vMerge/>
          </w:tcPr>
          <w:p w14:paraId="11C52065" w14:textId="77777777" w:rsidR="00454A29" w:rsidRDefault="00454A29"/>
        </w:tc>
        <w:tc>
          <w:tcPr>
            <w:tcW w:w="1417" w:type="dxa"/>
            <w:vMerge/>
          </w:tcPr>
          <w:p w14:paraId="52788A2C" w14:textId="77777777" w:rsidR="00454A29" w:rsidRDefault="00454A29"/>
        </w:tc>
        <w:tc>
          <w:tcPr>
            <w:tcW w:w="2324" w:type="dxa"/>
            <w:vMerge/>
          </w:tcPr>
          <w:p w14:paraId="75599EC3" w14:textId="77777777" w:rsidR="00454A29" w:rsidRDefault="00454A29"/>
        </w:tc>
        <w:tc>
          <w:tcPr>
            <w:tcW w:w="1701" w:type="dxa"/>
            <w:vAlign w:val="center"/>
          </w:tcPr>
          <w:p w14:paraId="0A2C8472" w14:textId="77777777" w:rsidR="00454A29" w:rsidRDefault="00454A29">
            <w:pPr>
              <w:pStyle w:val="ConsPlusNormal"/>
              <w:jc w:val="center"/>
            </w:pPr>
            <w:r>
              <w:t>-</w:t>
            </w:r>
          </w:p>
        </w:tc>
        <w:tc>
          <w:tcPr>
            <w:tcW w:w="1814" w:type="dxa"/>
            <w:vAlign w:val="center"/>
          </w:tcPr>
          <w:p w14:paraId="68E1C894" w14:textId="77777777" w:rsidR="00454A29" w:rsidRDefault="00454A29">
            <w:pPr>
              <w:pStyle w:val="ConsPlusNormal"/>
            </w:pPr>
          </w:p>
        </w:tc>
        <w:tc>
          <w:tcPr>
            <w:tcW w:w="1701" w:type="dxa"/>
            <w:vAlign w:val="center"/>
          </w:tcPr>
          <w:p w14:paraId="38D8B453" w14:textId="77777777" w:rsidR="00454A29" w:rsidRDefault="00454A29">
            <w:pPr>
              <w:pStyle w:val="ConsPlusNormal"/>
            </w:pPr>
          </w:p>
        </w:tc>
        <w:tc>
          <w:tcPr>
            <w:tcW w:w="1701" w:type="dxa"/>
            <w:vAlign w:val="center"/>
          </w:tcPr>
          <w:p w14:paraId="6C8AB6D5" w14:textId="77777777" w:rsidR="00454A29" w:rsidRDefault="00454A29">
            <w:pPr>
              <w:pStyle w:val="ConsPlusNormal"/>
            </w:pPr>
          </w:p>
        </w:tc>
        <w:tc>
          <w:tcPr>
            <w:tcW w:w="1814" w:type="dxa"/>
            <w:vAlign w:val="center"/>
          </w:tcPr>
          <w:p w14:paraId="2094EBB0" w14:textId="77777777" w:rsidR="00454A29" w:rsidRDefault="00454A29">
            <w:pPr>
              <w:pStyle w:val="ConsPlusNormal"/>
            </w:pPr>
          </w:p>
        </w:tc>
      </w:tr>
      <w:tr w:rsidR="00454A29" w14:paraId="36B09216" w14:textId="77777777">
        <w:tc>
          <w:tcPr>
            <w:tcW w:w="567" w:type="dxa"/>
            <w:vMerge/>
          </w:tcPr>
          <w:p w14:paraId="2258097D" w14:textId="77777777" w:rsidR="00454A29" w:rsidRDefault="00454A29"/>
        </w:tc>
        <w:tc>
          <w:tcPr>
            <w:tcW w:w="3345" w:type="dxa"/>
            <w:vMerge/>
          </w:tcPr>
          <w:p w14:paraId="2670D29C" w14:textId="77777777" w:rsidR="00454A29" w:rsidRDefault="00454A29"/>
        </w:tc>
        <w:tc>
          <w:tcPr>
            <w:tcW w:w="1701" w:type="dxa"/>
            <w:vAlign w:val="center"/>
          </w:tcPr>
          <w:p w14:paraId="514C681D" w14:textId="77777777" w:rsidR="00454A29" w:rsidRDefault="00454A29">
            <w:pPr>
              <w:pStyle w:val="ConsPlusNormal"/>
              <w:jc w:val="center"/>
            </w:pPr>
            <w:r>
              <w:t>2026</w:t>
            </w:r>
          </w:p>
        </w:tc>
        <w:tc>
          <w:tcPr>
            <w:tcW w:w="1417" w:type="dxa"/>
            <w:vMerge/>
          </w:tcPr>
          <w:p w14:paraId="7B42F846" w14:textId="77777777" w:rsidR="00454A29" w:rsidRDefault="00454A29"/>
        </w:tc>
        <w:tc>
          <w:tcPr>
            <w:tcW w:w="2204" w:type="dxa"/>
            <w:vMerge/>
          </w:tcPr>
          <w:p w14:paraId="533B8A2B" w14:textId="77777777" w:rsidR="00454A29" w:rsidRDefault="00454A29"/>
        </w:tc>
        <w:tc>
          <w:tcPr>
            <w:tcW w:w="1417" w:type="dxa"/>
            <w:vMerge/>
          </w:tcPr>
          <w:p w14:paraId="2E306D76" w14:textId="77777777" w:rsidR="00454A29" w:rsidRDefault="00454A29"/>
        </w:tc>
        <w:tc>
          <w:tcPr>
            <w:tcW w:w="2324" w:type="dxa"/>
            <w:vMerge/>
          </w:tcPr>
          <w:p w14:paraId="12E4198B" w14:textId="77777777" w:rsidR="00454A29" w:rsidRDefault="00454A29"/>
        </w:tc>
        <w:tc>
          <w:tcPr>
            <w:tcW w:w="1701" w:type="dxa"/>
            <w:vAlign w:val="center"/>
          </w:tcPr>
          <w:p w14:paraId="53B49C85" w14:textId="77777777" w:rsidR="00454A29" w:rsidRDefault="00454A29">
            <w:pPr>
              <w:pStyle w:val="ConsPlusNormal"/>
              <w:jc w:val="center"/>
            </w:pPr>
            <w:r>
              <w:t>-</w:t>
            </w:r>
          </w:p>
        </w:tc>
        <w:tc>
          <w:tcPr>
            <w:tcW w:w="1814" w:type="dxa"/>
            <w:vAlign w:val="center"/>
          </w:tcPr>
          <w:p w14:paraId="52E58EE7" w14:textId="77777777" w:rsidR="00454A29" w:rsidRDefault="00454A29">
            <w:pPr>
              <w:pStyle w:val="ConsPlusNormal"/>
            </w:pPr>
          </w:p>
        </w:tc>
        <w:tc>
          <w:tcPr>
            <w:tcW w:w="1701" w:type="dxa"/>
            <w:vAlign w:val="center"/>
          </w:tcPr>
          <w:p w14:paraId="4BA82609" w14:textId="77777777" w:rsidR="00454A29" w:rsidRDefault="00454A29">
            <w:pPr>
              <w:pStyle w:val="ConsPlusNormal"/>
            </w:pPr>
          </w:p>
        </w:tc>
        <w:tc>
          <w:tcPr>
            <w:tcW w:w="1701" w:type="dxa"/>
            <w:vAlign w:val="center"/>
          </w:tcPr>
          <w:p w14:paraId="0CC7F340" w14:textId="77777777" w:rsidR="00454A29" w:rsidRDefault="00454A29">
            <w:pPr>
              <w:pStyle w:val="ConsPlusNormal"/>
            </w:pPr>
          </w:p>
        </w:tc>
        <w:tc>
          <w:tcPr>
            <w:tcW w:w="1814" w:type="dxa"/>
            <w:vAlign w:val="center"/>
          </w:tcPr>
          <w:p w14:paraId="6DCB98C4" w14:textId="77777777" w:rsidR="00454A29" w:rsidRDefault="00454A29">
            <w:pPr>
              <w:pStyle w:val="ConsPlusNormal"/>
            </w:pPr>
          </w:p>
        </w:tc>
      </w:tr>
      <w:tr w:rsidR="00454A29" w14:paraId="48FAE23E" w14:textId="77777777">
        <w:tc>
          <w:tcPr>
            <w:tcW w:w="567" w:type="dxa"/>
            <w:vMerge w:val="restart"/>
            <w:vAlign w:val="center"/>
          </w:tcPr>
          <w:p w14:paraId="2EE12BA3" w14:textId="77777777" w:rsidR="00454A29" w:rsidRDefault="00454A29">
            <w:pPr>
              <w:pStyle w:val="ConsPlusNormal"/>
              <w:jc w:val="center"/>
            </w:pPr>
            <w:r>
              <w:t>29</w:t>
            </w:r>
          </w:p>
        </w:tc>
        <w:tc>
          <w:tcPr>
            <w:tcW w:w="3345" w:type="dxa"/>
            <w:vMerge w:val="restart"/>
            <w:vAlign w:val="center"/>
          </w:tcPr>
          <w:p w14:paraId="0F53D74C" w14:textId="77777777" w:rsidR="00454A29" w:rsidRDefault="00454A29">
            <w:pPr>
              <w:pStyle w:val="ConsPlusNormal"/>
              <w:jc w:val="center"/>
            </w:pPr>
            <w:r>
              <w:t>Детский сад на 80 мест в с. Сасыр Момского улуса</w:t>
            </w:r>
          </w:p>
        </w:tc>
        <w:tc>
          <w:tcPr>
            <w:tcW w:w="1701" w:type="dxa"/>
            <w:vAlign w:val="center"/>
          </w:tcPr>
          <w:p w14:paraId="1E77323D" w14:textId="77777777" w:rsidR="00454A29" w:rsidRDefault="00454A29">
            <w:pPr>
              <w:pStyle w:val="ConsPlusNormal"/>
              <w:jc w:val="center"/>
            </w:pPr>
            <w:r>
              <w:t>2020 - 2026 годы - всего</w:t>
            </w:r>
          </w:p>
        </w:tc>
        <w:tc>
          <w:tcPr>
            <w:tcW w:w="1417" w:type="dxa"/>
            <w:vMerge w:val="restart"/>
            <w:vAlign w:val="center"/>
          </w:tcPr>
          <w:p w14:paraId="5DCF0767" w14:textId="77777777" w:rsidR="00454A29" w:rsidRDefault="00454A29">
            <w:pPr>
              <w:pStyle w:val="ConsPlusNormal"/>
              <w:jc w:val="center"/>
            </w:pPr>
            <w:r>
              <w:t>78 471,24</w:t>
            </w:r>
          </w:p>
        </w:tc>
        <w:tc>
          <w:tcPr>
            <w:tcW w:w="2204" w:type="dxa"/>
            <w:vMerge w:val="restart"/>
            <w:vAlign w:val="center"/>
          </w:tcPr>
          <w:p w14:paraId="6A5BF1ED" w14:textId="77777777" w:rsidR="00454A29" w:rsidRDefault="00454A29">
            <w:pPr>
              <w:pStyle w:val="ConsPlusNormal"/>
            </w:pPr>
          </w:p>
        </w:tc>
        <w:tc>
          <w:tcPr>
            <w:tcW w:w="1417" w:type="dxa"/>
            <w:vMerge w:val="restart"/>
            <w:vAlign w:val="center"/>
          </w:tcPr>
          <w:p w14:paraId="645D066F" w14:textId="77777777" w:rsidR="00454A29" w:rsidRDefault="00454A29">
            <w:pPr>
              <w:pStyle w:val="ConsPlusNormal"/>
              <w:jc w:val="center"/>
            </w:pPr>
            <w:r>
              <w:t>80</w:t>
            </w:r>
          </w:p>
        </w:tc>
        <w:tc>
          <w:tcPr>
            <w:tcW w:w="2324" w:type="dxa"/>
            <w:vMerge w:val="restart"/>
            <w:vAlign w:val="center"/>
          </w:tcPr>
          <w:p w14:paraId="5FCCBB6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C3E012F" w14:textId="77777777" w:rsidR="00454A29" w:rsidRDefault="00454A29">
            <w:pPr>
              <w:pStyle w:val="ConsPlusNormal"/>
              <w:jc w:val="center"/>
            </w:pPr>
            <w:r>
              <w:t>78 471,24</w:t>
            </w:r>
          </w:p>
        </w:tc>
        <w:tc>
          <w:tcPr>
            <w:tcW w:w="1814" w:type="dxa"/>
            <w:vAlign w:val="center"/>
          </w:tcPr>
          <w:p w14:paraId="01C04CB5" w14:textId="77777777" w:rsidR="00454A29" w:rsidRDefault="00454A29">
            <w:pPr>
              <w:pStyle w:val="ConsPlusNormal"/>
              <w:jc w:val="center"/>
            </w:pPr>
            <w:r>
              <w:t>134 714,58</w:t>
            </w:r>
          </w:p>
        </w:tc>
        <w:tc>
          <w:tcPr>
            <w:tcW w:w="1701" w:type="dxa"/>
            <w:vAlign w:val="center"/>
          </w:tcPr>
          <w:p w14:paraId="494B6D0E" w14:textId="77777777" w:rsidR="00454A29" w:rsidRDefault="00454A29">
            <w:pPr>
              <w:pStyle w:val="ConsPlusNormal"/>
              <w:jc w:val="center"/>
            </w:pPr>
            <w:r>
              <w:t>-</w:t>
            </w:r>
          </w:p>
        </w:tc>
        <w:tc>
          <w:tcPr>
            <w:tcW w:w="1701" w:type="dxa"/>
            <w:vAlign w:val="center"/>
          </w:tcPr>
          <w:p w14:paraId="6DA39FDB" w14:textId="77777777" w:rsidR="00454A29" w:rsidRDefault="00454A29">
            <w:pPr>
              <w:pStyle w:val="ConsPlusNormal"/>
              <w:jc w:val="center"/>
            </w:pPr>
            <w:r>
              <w:t>-</w:t>
            </w:r>
          </w:p>
        </w:tc>
        <w:tc>
          <w:tcPr>
            <w:tcW w:w="1814" w:type="dxa"/>
            <w:vAlign w:val="center"/>
          </w:tcPr>
          <w:p w14:paraId="3938895F" w14:textId="77777777" w:rsidR="00454A29" w:rsidRDefault="00454A29">
            <w:pPr>
              <w:pStyle w:val="ConsPlusNormal"/>
              <w:jc w:val="center"/>
            </w:pPr>
            <w:r>
              <w:t>-</w:t>
            </w:r>
          </w:p>
        </w:tc>
      </w:tr>
      <w:tr w:rsidR="00454A29" w14:paraId="5B834753" w14:textId="77777777">
        <w:tc>
          <w:tcPr>
            <w:tcW w:w="567" w:type="dxa"/>
            <w:vMerge/>
          </w:tcPr>
          <w:p w14:paraId="5BC65178" w14:textId="77777777" w:rsidR="00454A29" w:rsidRDefault="00454A29"/>
        </w:tc>
        <w:tc>
          <w:tcPr>
            <w:tcW w:w="3345" w:type="dxa"/>
            <w:vMerge/>
          </w:tcPr>
          <w:p w14:paraId="6230467A" w14:textId="77777777" w:rsidR="00454A29" w:rsidRDefault="00454A29"/>
        </w:tc>
        <w:tc>
          <w:tcPr>
            <w:tcW w:w="1701" w:type="dxa"/>
            <w:vAlign w:val="center"/>
          </w:tcPr>
          <w:p w14:paraId="710CA703" w14:textId="77777777" w:rsidR="00454A29" w:rsidRDefault="00454A29">
            <w:pPr>
              <w:pStyle w:val="ConsPlusNormal"/>
              <w:jc w:val="center"/>
            </w:pPr>
            <w:r>
              <w:t>2020</w:t>
            </w:r>
          </w:p>
        </w:tc>
        <w:tc>
          <w:tcPr>
            <w:tcW w:w="1417" w:type="dxa"/>
            <w:vMerge/>
          </w:tcPr>
          <w:p w14:paraId="0D6FFF20" w14:textId="77777777" w:rsidR="00454A29" w:rsidRDefault="00454A29"/>
        </w:tc>
        <w:tc>
          <w:tcPr>
            <w:tcW w:w="2204" w:type="dxa"/>
            <w:vMerge/>
          </w:tcPr>
          <w:p w14:paraId="1C9B2ACB" w14:textId="77777777" w:rsidR="00454A29" w:rsidRDefault="00454A29"/>
        </w:tc>
        <w:tc>
          <w:tcPr>
            <w:tcW w:w="1417" w:type="dxa"/>
            <w:vMerge/>
          </w:tcPr>
          <w:p w14:paraId="07C5821E" w14:textId="77777777" w:rsidR="00454A29" w:rsidRDefault="00454A29"/>
        </w:tc>
        <w:tc>
          <w:tcPr>
            <w:tcW w:w="2324" w:type="dxa"/>
            <w:vMerge/>
          </w:tcPr>
          <w:p w14:paraId="3F1D809B" w14:textId="77777777" w:rsidR="00454A29" w:rsidRDefault="00454A29"/>
        </w:tc>
        <w:tc>
          <w:tcPr>
            <w:tcW w:w="1701" w:type="dxa"/>
            <w:vAlign w:val="center"/>
          </w:tcPr>
          <w:p w14:paraId="69DB8DA0" w14:textId="77777777" w:rsidR="00454A29" w:rsidRDefault="00454A29">
            <w:pPr>
              <w:pStyle w:val="ConsPlusNormal"/>
              <w:jc w:val="center"/>
            </w:pPr>
            <w:r>
              <w:t>-</w:t>
            </w:r>
          </w:p>
        </w:tc>
        <w:tc>
          <w:tcPr>
            <w:tcW w:w="1814" w:type="dxa"/>
            <w:vAlign w:val="center"/>
          </w:tcPr>
          <w:p w14:paraId="26D532BB" w14:textId="77777777" w:rsidR="00454A29" w:rsidRDefault="00454A29">
            <w:pPr>
              <w:pStyle w:val="ConsPlusNormal"/>
            </w:pPr>
          </w:p>
        </w:tc>
        <w:tc>
          <w:tcPr>
            <w:tcW w:w="1701" w:type="dxa"/>
            <w:vAlign w:val="center"/>
          </w:tcPr>
          <w:p w14:paraId="5C07F038" w14:textId="77777777" w:rsidR="00454A29" w:rsidRDefault="00454A29">
            <w:pPr>
              <w:pStyle w:val="ConsPlusNormal"/>
            </w:pPr>
          </w:p>
        </w:tc>
        <w:tc>
          <w:tcPr>
            <w:tcW w:w="1701" w:type="dxa"/>
            <w:vAlign w:val="center"/>
          </w:tcPr>
          <w:p w14:paraId="37978EB4" w14:textId="77777777" w:rsidR="00454A29" w:rsidRDefault="00454A29">
            <w:pPr>
              <w:pStyle w:val="ConsPlusNormal"/>
            </w:pPr>
          </w:p>
        </w:tc>
        <w:tc>
          <w:tcPr>
            <w:tcW w:w="1814" w:type="dxa"/>
            <w:vAlign w:val="center"/>
          </w:tcPr>
          <w:p w14:paraId="4C4A5A9E" w14:textId="77777777" w:rsidR="00454A29" w:rsidRDefault="00454A29">
            <w:pPr>
              <w:pStyle w:val="ConsPlusNormal"/>
            </w:pPr>
          </w:p>
        </w:tc>
      </w:tr>
      <w:tr w:rsidR="00454A29" w14:paraId="4F0DDF29" w14:textId="77777777">
        <w:tc>
          <w:tcPr>
            <w:tcW w:w="567" w:type="dxa"/>
            <w:vMerge/>
          </w:tcPr>
          <w:p w14:paraId="56541285" w14:textId="77777777" w:rsidR="00454A29" w:rsidRDefault="00454A29"/>
        </w:tc>
        <w:tc>
          <w:tcPr>
            <w:tcW w:w="3345" w:type="dxa"/>
            <w:vMerge/>
          </w:tcPr>
          <w:p w14:paraId="72574A36" w14:textId="77777777" w:rsidR="00454A29" w:rsidRDefault="00454A29"/>
        </w:tc>
        <w:tc>
          <w:tcPr>
            <w:tcW w:w="1701" w:type="dxa"/>
            <w:vAlign w:val="center"/>
          </w:tcPr>
          <w:p w14:paraId="19C6E7EA" w14:textId="77777777" w:rsidR="00454A29" w:rsidRDefault="00454A29">
            <w:pPr>
              <w:pStyle w:val="ConsPlusNormal"/>
              <w:jc w:val="center"/>
            </w:pPr>
            <w:r>
              <w:t>2021</w:t>
            </w:r>
          </w:p>
        </w:tc>
        <w:tc>
          <w:tcPr>
            <w:tcW w:w="1417" w:type="dxa"/>
            <w:vMerge/>
          </w:tcPr>
          <w:p w14:paraId="7EBBBDDE" w14:textId="77777777" w:rsidR="00454A29" w:rsidRDefault="00454A29"/>
        </w:tc>
        <w:tc>
          <w:tcPr>
            <w:tcW w:w="2204" w:type="dxa"/>
            <w:vMerge/>
          </w:tcPr>
          <w:p w14:paraId="036FE0E4" w14:textId="77777777" w:rsidR="00454A29" w:rsidRDefault="00454A29"/>
        </w:tc>
        <w:tc>
          <w:tcPr>
            <w:tcW w:w="1417" w:type="dxa"/>
            <w:vMerge/>
          </w:tcPr>
          <w:p w14:paraId="76134C63" w14:textId="77777777" w:rsidR="00454A29" w:rsidRDefault="00454A29"/>
        </w:tc>
        <w:tc>
          <w:tcPr>
            <w:tcW w:w="2324" w:type="dxa"/>
            <w:vMerge/>
          </w:tcPr>
          <w:p w14:paraId="5D666FB1" w14:textId="77777777" w:rsidR="00454A29" w:rsidRDefault="00454A29"/>
        </w:tc>
        <w:tc>
          <w:tcPr>
            <w:tcW w:w="1701" w:type="dxa"/>
            <w:vAlign w:val="center"/>
          </w:tcPr>
          <w:p w14:paraId="3DD7D1B6" w14:textId="77777777" w:rsidR="00454A29" w:rsidRDefault="00454A29">
            <w:pPr>
              <w:pStyle w:val="ConsPlusNormal"/>
              <w:jc w:val="center"/>
            </w:pPr>
            <w:r>
              <w:t>-</w:t>
            </w:r>
          </w:p>
        </w:tc>
        <w:tc>
          <w:tcPr>
            <w:tcW w:w="1814" w:type="dxa"/>
            <w:vAlign w:val="center"/>
          </w:tcPr>
          <w:p w14:paraId="1B9508FD" w14:textId="77777777" w:rsidR="00454A29" w:rsidRDefault="00454A29">
            <w:pPr>
              <w:pStyle w:val="ConsPlusNormal"/>
            </w:pPr>
          </w:p>
        </w:tc>
        <w:tc>
          <w:tcPr>
            <w:tcW w:w="1701" w:type="dxa"/>
            <w:vAlign w:val="center"/>
          </w:tcPr>
          <w:p w14:paraId="3F868B88" w14:textId="77777777" w:rsidR="00454A29" w:rsidRDefault="00454A29">
            <w:pPr>
              <w:pStyle w:val="ConsPlusNormal"/>
            </w:pPr>
          </w:p>
        </w:tc>
        <w:tc>
          <w:tcPr>
            <w:tcW w:w="1701" w:type="dxa"/>
            <w:vAlign w:val="center"/>
          </w:tcPr>
          <w:p w14:paraId="27A3AE09" w14:textId="77777777" w:rsidR="00454A29" w:rsidRDefault="00454A29">
            <w:pPr>
              <w:pStyle w:val="ConsPlusNormal"/>
            </w:pPr>
          </w:p>
        </w:tc>
        <w:tc>
          <w:tcPr>
            <w:tcW w:w="1814" w:type="dxa"/>
            <w:vAlign w:val="center"/>
          </w:tcPr>
          <w:p w14:paraId="4D5849A3" w14:textId="77777777" w:rsidR="00454A29" w:rsidRDefault="00454A29">
            <w:pPr>
              <w:pStyle w:val="ConsPlusNormal"/>
            </w:pPr>
          </w:p>
        </w:tc>
      </w:tr>
      <w:tr w:rsidR="00454A29" w14:paraId="45973D82" w14:textId="77777777">
        <w:tc>
          <w:tcPr>
            <w:tcW w:w="567" w:type="dxa"/>
            <w:vMerge/>
          </w:tcPr>
          <w:p w14:paraId="623705C7" w14:textId="77777777" w:rsidR="00454A29" w:rsidRDefault="00454A29"/>
        </w:tc>
        <w:tc>
          <w:tcPr>
            <w:tcW w:w="3345" w:type="dxa"/>
            <w:vMerge/>
          </w:tcPr>
          <w:p w14:paraId="73E593FB" w14:textId="77777777" w:rsidR="00454A29" w:rsidRDefault="00454A29"/>
        </w:tc>
        <w:tc>
          <w:tcPr>
            <w:tcW w:w="1701" w:type="dxa"/>
            <w:vAlign w:val="center"/>
          </w:tcPr>
          <w:p w14:paraId="496B0B94" w14:textId="77777777" w:rsidR="00454A29" w:rsidRDefault="00454A29">
            <w:pPr>
              <w:pStyle w:val="ConsPlusNormal"/>
              <w:jc w:val="center"/>
            </w:pPr>
            <w:r>
              <w:t>2022</w:t>
            </w:r>
          </w:p>
        </w:tc>
        <w:tc>
          <w:tcPr>
            <w:tcW w:w="1417" w:type="dxa"/>
            <w:vMerge/>
          </w:tcPr>
          <w:p w14:paraId="2AA80F4C" w14:textId="77777777" w:rsidR="00454A29" w:rsidRDefault="00454A29"/>
        </w:tc>
        <w:tc>
          <w:tcPr>
            <w:tcW w:w="2204" w:type="dxa"/>
            <w:vMerge/>
          </w:tcPr>
          <w:p w14:paraId="0C5FAAFB" w14:textId="77777777" w:rsidR="00454A29" w:rsidRDefault="00454A29"/>
        </w:tc>
        <w:tc>
          <w:tcPr>
            <w:tcW w:w="1417" w:type="dxa"/>
            <w:vMerge/>
          </w:tcPr>
          <w:p w14:paraId="4D2F26E4" w14:textId="77777777" w:rsidR="00454A29" w:rsidRDefault="00454A29"/>
        </w:tc>
        <w:tc>
          <w:tcPr>
            <w:tcW w:w="2324" w:type="dxa"/>
            <w:vMerge/>
          </w:tcPr>
          <w:p w14:paraId="24F3CC26" w14:textId="77777777" w:rsidR="00454A29" w:rsidRDefault="00454A29"/>
        </w:tc>
        <w:tc>
          <w:tcPr>
            <w:tcW w:w="1701" w:type="dxa"/>
            <w:vAlign w:val="center"/>
          </w:tcPr>
          <w:p w14:paraId="37EBA70C" w14:textId="77777777" w:rsidR="00454A29" w:rsidRDefault="00454A29">
            <w:pPr>
              <w:pStyle w:val="ConsPlusNormal"/>
            </w:pPr>
          </w:p>
        </w:tc>
        <w:tc>
          <w:tcPr>
            <w:tcW w:w="1814" w:type="dxa"/>
            <w:vAlign w:val="center"/>
          </w:tcPr>
          <w:p w14:paraId="667437A5" w14:textId="77777777" w:rsidR="00454A29" w:rsidRDefault="00454A29">
            <w:pPr>
              <w:pStyle w:val="ConsPlusNormal"/>
            </w:pPr>
          </w:p>
        </w:tc>
        <w:tc>
          <w:tcPr>
            <w:tcW w:w="1701" w:type="dxa"/>
            <w:vAlign w:val="center"/>
          </w:tcPr>
          <w:p w14:paraId="1387AF4D" w14:textId="77777777" w:rsidR="00454A29" w:rsidRDefault="00454A29">
            <w:pPr>
              <w:pStyle w:val="ConsPlusNormal"/>
            </w:pPr>
          </w:p>
        </w:tc>
        <w:tc>
          <w:tcPr>
            <w:tcW w:w="1701" w:type="dxa"/>
            <w:vAlign w:val="center"/>
          </w:tcPr>
          <w:p w14:paraId="575CE833" w14:textId="77777777" w:rsidR="00454A29" w:rsidRDefault="00454A29">
            <w:pPr>
              <w:pStyle w:val="ConsPlusNormal"/>
            </w:pPr>
          </w:p>
        </w:tc>
        <w:tc>
          <w:tcPr>
            <w:tcW w:w="1814" w:type="dxa"/>
            <w:vAlign w:val="center"/>
          </w:tcPr>
          <w:p w14:paraId="2244D474" w14:textId="77777777" w:rsidR="00454A29" w:rsidRDefault="00454A29">
            <w:pPr>
              <w:pStyle w:val="ConsPlusNormal"/>
            </w:pPr>
          </w:p>
        </w:tc>
      </w:tr>
      <w:tr w:rsidR="00454A29" w14:paraId="7639C5FB" w14:textId="77777777">
        <w:tc>
          <w:tcPr>
            <w:tcW w:w="567" w:type="dxa"/>
            <w:vMerge/>
          </w:tcPr>
          <w:p w14:paraId="561F761F" w14:textId="77777777" w:rsidR="00454A29" w:rsidRDefault="00454A29"/>
        </w:tc>
        <w:tc>
          <w:tcPr>
            <w:tcW w:w="3345" w:type="dxa"/>
            <w:vMerge/>
          </w:tcPr>
          <w:p w14:paraId="1003718F" w14:textId="77777777" w:rsidR="00454A29" w:rsidRDefault="00454A29"/>
        </w:tc>
        <w:tc>
          <w:tcPr>
            <w:tcW w:w="1701" w:type="dxa"/>
            <w:vAlign w:val="center"/>
          </w:tcPr>
          <w:p w14:paraId="6F283CCF" w14:textId="77777777" w:rsidR="00454A29" w:rsidRDefault="00454A29">
            <w:pPr>
              <w:pStyle w:val="ConsPlusNormal"/>
              <w:jc w:val="center"/>
            </w:pPr>
            <w:r>
              <w:t>2023</w:t>
            </w:r>
          </w:p>
        </w:tc>
        <w:tc>
          <w:tcPr>
            <w:tcW w:w="1417" w:type="dxa"/>
            <w:vMerge/>
          </w:tcPr>
          <w:p w14:paraId="75B1C470" w14:textId="77777777" w:rsidR="00454A29" w:rsidRDefault="00454A29"/>
        </w:tc>
        <w:tc>
          <w:tcPr>
            <w:tcW w:w="2204" w:type="dxa"/>
            <w:vMerge/>
          </w:tcPr>
          <w:p w14:paraId="3FC9E49D" w14:textId="77777777" w:rsidR="00454A29" w:rsidRDefault="00454A29"/>
        </w:tc>
        <w:tc>
          <w:tcPr>
            <w:tcW w:w="1417" w:type="dxa"/>
            <w:vMerge/>
          </w:tcPr>
          <w:p w14:paraId="3F54327A" w14:textId="77777777" w:rsidR="00454A29" w:rsidRDefault="00454A29"/>
        </w:tc>
        <w:tc>
          <w:tcPr>
            <w:tcW w:w="2324" w:type="dxa"/>
            <w:vMerge/>
          </w:tcPr>
          <w:p w14:paraId="1C214B30" w14:textId="77777777" w:rsidR="00454A29" w:rsidRDefault="00454A29"/>
        </w:tc>
        <w:tc>
          <w:tcPr>
            <w:tcW w:w="1701" w:type="dxa"/>
            <w:vAlign w:val="center"/>
          </w:tcPr>
          <w:p w14:paraId="444E343F" w14:textId="77777777" w:rsidR="00454A29" w:rsidRDefault="00454A29">
            <w:pPr>
              <w:pStyle w:val="ConsPlusNormal"/>
              <w:jc w:val="center"/>
            </w:pPr>
            <w:r>
              <w:t>33 409,22</w:t>
            </w:r>
          </w:p>
        </w:tc>
        <w:tc>
          <w:tcPr>
            <w:tcW w:w="1814" w:type="dxa"/>
            <w:vAlign w:val="center"/>
          </w:tcPr>
          <w:p w14:paraId="07373D7E" w14:textId="77777777" w:rsidR="00454A29" w:rsidRDefault="00454A29">
            <w:pPr>
              <w:pStyle w:val="ConsPlusNormal"/>
              <w:jc w:val="center"/>
            </w:pPr>
            <w:r>
              <w:t>33 409,22</w:t>
            </w:r>
          </w:p>
        </w:tc>
        <w:tc>
          <w:tcPr>
            <w:tcW w:w="1701" w:type="dxa"/>
            <w:vAlign w:val="center"/>
          </w:tcPr>
          <w:p w14:paraId="6D3EADC3" w14:textId="77777777" w:rsidR="00454A29" w:rsidRDefault="00454A29">
            <w:pPr>
              <w:pStyle w:val="ConsPlusNormal"/>
            </w:pPr>
          </w:p>
        </w:tc>
        <w:tc>
          <w:tcPr>
            <w:tcW w:w="1701" w:type="dxa"/>
            <w:vAlign w:val="center"/>
          </w:tcPr>
          <w:p w14:paraId="189D0B60" w14:textId="77777777" w:rsidR="00454A29" w:rsidRDefault="00454A29">
            <w:pPr>
              <w:pStyle w:val="ConsPlusNormal"/>
            </w:pPr>
          </w:p>
        </w:tc>
        <w:tc>
          <w:tcPr>
            <w:tcW w:w="1814" w:type="dxa"/>
            <w:vAlign w:val="center"/>
          </w:tcPr>
          <w:p w14:paraId="5BCA2D54" w14:textId="77777777" w:rsidR="00454A29" w:rsidRDefault="00454A29">
            <w:pPr>
              <w:pStyle w:val="ConsPlusNormal"/>
            </w:pPr>
          </w:p>
        </w:tc>
      </w:tr>
      <w:tr w:rsidR="00454A29" w14:paraId="4CAFF104" w14:textId="77777777">
        <w:tc>
          <w:tcPr>
            <w:tcW w:w="567" w:type="dxa"/>
            <w:vMerge/>
          </w:tcPr>
          <w:p w14:paraId="216D1F8D" w14:textId="77777777" w:rsidR="00454A29" w:rsidRDefault="00454A29"/>
        </w:tc>
        <w:tc>
          <w:tcPr>
            <w:tcW w:w="3345" w:type="dxa"/>
            <w:vMerge/>
          </w:tcPr>
          <w:p w14:paraId="72603751" w14:textId="77777777" w:rsidR="00454A29" w:rsidRDefault="00454A29"/>
        </w:tc>
        <w:tc>
          <w:tcPr>
            <w:tcW w:w="1701" w:type="dxa"/>
            <w:vAlign w:val="center"/>
          </w:tcPr>
          <w:p w14:paraId="7037091F" w14:textId="77777777" w:rsidR="00454A29" w:rsidRDefault="00454A29">
            <w:pPr>
              <w:pStyle w:val="ConsPlusNormal"/>
              <w:jc w:val="center"/>
            </w:pPr>
            <w:r>
              <w:t>2024</w:t>
            </w:r>
          </w:p>
        </w:tc>
        <w:tc>
          <w:tcPr>
            <w:tcW w:w="1417" w:type="dxa"/>
            <w:vMerge/>
          </w:tcPr>
          <w:p w14:paraId="0A65DD48" w14:textId="77777777" w:rsidR="00454A29" w:rsidRDefault="00454A29"/>
        </w:tc>
        <w:tc>
          <w:tcPr>
            <w:tcW w:w="2204" w:type="dxa"/>
            <w:vMerge/>
          </w:tcPr>
          <w:p w14:paraId="00E6BFBE" w14:textId="77777777" w:rsidR="00454A29" w:rsidRDefault="00454A29"/>
        </w:tc>
        <w:tc>
          <w:tcPr>
            <w:tcW w:w="1417" w:type="dxa"/>
            <w:vMerge/>
          </w:tcPr>
          <w:p w14:paraId="2F56926C" w14:textId="77777777" w:rsidR="00454A29" w:rsidRDefault="00454A29"/>
        </w:tc>
        <w:tc>
          <w:tcPr>
            <w:tcW w:w="2324" w:type="dxa"/>
            <w:vMerge/>
          </w:tcPr>
          <w:p w14:paraId="273C0E22" w14:textId="77777777" w:rsidR="00454A29" w:rsidRDefault="00454A29"/>
        </w:tc>
        <w:tc>
          <w:tcPr>
            <w:tcW w:w="1701" w:type="dxa"/>
            <w:vAlign w:val="center"/>
          </w:tcPr>
          <w:p w14:paraId="45F6E59C" w14:textId="77777777" w:rsidR="00454A29" w:rsidRDefault="00454A29">
            <w:pPr>
              <w:pStyle w:val="ConsPlusNormal"/>
              <w:jc w:val="center"/>
            </w:pPr>
            <w:r>
              <w:t>45 062,03</w:t>
            </w:r>
          </w:p>
        </w:tc>
        <w:tc>
          <w:tcPr>
            <w:tcW w:w="1814" w:type="dxa"/>
            <w:vAlign w:val="center"/>
          </w:tcPr>
          <w:p w14:paraId="2BD37D28" w14:textId="77777777" w:rsidR="00454A29" w:rsidRDefault="00454A29">
            <w:pPr>
              <w:pStyle w:val="ConsPlusNormal"/>
              <w:jc w:val="center"/>
            </w:pPr>
            <w:r>
              <w:t>45 062,03</w:t>
            </w:r>
          </w:p>
        </w:tc>
        <w:tc>
          <w:tcPr>
            <w:tcW w:w="1701" w:type="dxa"/>
            <w:vAlign w:val="center"/>
          </w:tcPr>
          <w:p w14:paraId="6B7543D7" w14:textId="77777777" w:rsidR="00454A29" w:rsidRDefault="00454A29">
            <w:pPr>
              <w:pStyle w:val="ConsPlusNormal"/>
            </w:pPr>
          </w:p>
        </w:tc>
        <w:tc>
          <w:tcPr>
            <w:tcW w:w="1701" w:type="dxa"/>
            <w:vAlign w:val="center"/>
          </w:tcPr>
          <w:p w14:paraId="0CB886EB" w14:textId="77777777" w:rsidR="00454A29" w:rsidRDefault="00454A29">
            <w:pPr>
              <w:pStyle w:val="ConsPlusNormal"/>
            </w:pPr>
          </w:p>
        </w:tc>
        <w:tc>
          <w:tcPr>
            <w:tcW w:w="1814" w:type="dxa"/>
            <w:vAlign w:val="center"/>
          </w:tcPr>
          <w:p w14:paraId="1E1CA9EF" w14:textId="77777777" w:rsidR="00454A29" w:rsidRDefault="00454A29">
            <w:pPr>
              <w:pStyle w:val="ConsPlusNormal"/>
            </w:pPr>
          </w:p>
        </w:tc>
      </w:tr>
      <w:tr w:rsidR="00454A29" w14:paraId="5D818A48" w14:textId="77777777">
        <w:tc>
          <w:tcPr>
            <w:tcW w:w="567" w:type="dxa"/>
            <w:vMerge/>
          </w:tcPr>
          <w:p w14:paraId="14BE1354" w14:textId="77777777" w:rsidR="00454A29" w:rsidRDefault="00454A29"/>
        </w:tc>
        <w:tc>
          <w:tcPr>
            <w:tcW w:w="3345" w:type="dxa"/>
            <w:vMerge/>
          </w:tcPr>
          <w:p w14:paraId="5AF82E11" w14:textId="77777777" w:rsidR="00454A29" w:rsidRDefault="00454A29"/>
        </w:tc>
        <w:tc>
          <w:tcPr>
            <w:tcW w:w="1701" w:type="dxa"/>
            <w:vAlign w:val="center"/>
          </w:tcPr>
          <w:p w14:paraId="7E0C36FC" w14:textId="77777777" w:rsidR="00454A29" w:rsidRDefault="00454A29">
            <w:pPr>
              <w:pStyle w:val="ConsPlusNormal"/>
              <w:jc w:val="center"/>
            </w:pPr>
            <w:r>
              <w:t>2025</w:t>
            </w:r>
          </w:p>
        </w:tc>
        <w:tc>
          <w:tcPr>
            <w:tcW w:w="1417" w:type="dxa"/>
            <w:vMerge/>
          </w:tcPr>
          <w:p w14:paraId="35A66892" w14:textId="77777777" w:rsidR="00454A29" w:rsidRDefault="00454A29"/>
        </w:tc>
        <w:tc>
          <w:tcPr>
            <w:tcW w:w="2204" w:type="dxa"/>
            <w:vMerge/>
          </w:tcPr>
          <w:p w14:paraId="4C0668CD" w14:textId="77777777" w:rsidR="00454A29" w:rsidRDefault="00454A29"/>
        </w:tc>
        <w:tc>
          <w:tcPr>
            <w:tcW w:w="1417" w:type="dxa"/>
            <w:vMerge/>
          </w:tcPr>
          <w:p w14:paraId="2CEF706B" w14:textId="77777777" w:rsidR="00454A29" w:rsidRDefault="00454A29"/>
        </w:tc>
        <w:tc>
          <w:tcPr>
            <w:tcW w:w="2324" w:type="dxa"/>
            <w:vMerge/>
          </w:tcPr>
          <w:p w14:paraId="78B87A94" w14:textId="77777777" w:rsidR="00454A29" w:rsidRDefault="00454A29"/>
        </w:tc>
        <w:tc>
          <w:tcPr>
            <w:tcW w:w="1701" w:type="dxa"/>
            <w:vAlign w:val="center"/>
          </w:tcPr>
          <w:p w14:paraId="58438B6E" w14:textId="77777777" w:rsidR="00454A29" w:rsidRDefault="00454A29">
            <w:pPr>
              <w:pStyle w:val="ConsPlusNormal"/>
              <w:jc w:val="center"/>
            </w:pPr>
            <w:r>
              <w:t>-</w:t>
            </w:r>
          </w:p>
        </w:tc>
        <w:tc>
          <w:tcPr>
            <w:tcW w:w="1814" w:type="dxa"/>
            <w:vAlign w:val="center"/>
          </w:tcPr>
          <w:p w14:paraId="3248EAFB" w14:textId="77777777" w:rsidR="00454A29" w:rsidRDefault="00454A29">
            <w:pPr>
              <w:pStyle w:val="ConsPlusNormal"/>
            </w:pPr>
          </w:p>
        </w:tc>
        <w:tc>
          <w:tcPr>
            <w:tcW w:w="1701" w:type="dxa"/>
            <w:vAlign w:val="center"/>
          </w:tcPr>
          <w:p w14:paraId="326B67DD" w14:textId="77777777" w:rsidR="00454A29" w:rsidRDefault="00454A29">
            <w:pPr>
              <w:pStyle w:val="ConsPlusNormal"/>
            </w:pPr>
          </w:p>
        </w:tc>
        <w:tc>
          <w:tcPr>
            <w:tcW w:w="1701" w:type="dxa"/>
            <w:vAlign w:val="center"/>
          </w:tcPr>
          <w:p w14:paraId="5D7C6A77" w14:textId="77777777" w:rsidR="00454A29" w:rsidRDefault="00454A29">
            <w:pPr>
              <w:pStyle w:val="ConsPlusNormal"/>
            </w:pPr>
          </w:p>
        </w:tc>
        <w:tc>
          <w:tcPr>
            <w:tcW w:w="1814" w:type="dxa"/>
            <w:vAlign w:val="center"/>
          </w:tcPr>
          <w:p w14:paraId="090D47A0" w14:textId="77777777" w:rsidR="00454A29" w:rsidRDefault="00454A29">
            <w:pPr>
              <w:pStyle w:val="ConsPlusNormal"/>
            </w:pPr>
          </w:p>
        </w:tc>
      </w:tr>
      <w:tr w:rsidR="00454A29" w14:paraId="55371E2B" w14:textId="77777777">
        <w:tc>
          <w:tcPr>
            <w:tcW w:w="567" w:type="dxa"/>
            <w:vMerge/>
          </w:tcPr>
          <w:p w14:paraId="4DA2DF19" w14:textId="77777777" w:rsidR="00454A29" w:rsidRDefault="00454A29"/>
        </w:tc>
        <w:tc>
          <w:tcPr>
            <w:tcW w:w="3345" w:type="dxa"/>
            <w:vMerge/>
          </w:tcPr>
          <w:p w14:paraId="7C558DFB" w14:textId="77777777" w:rsidR="00454A29" w:rsidRDefault="00454A29"/>
        </w:tc>
        <w:tc>
          <w:tcPr>
            <w:tcW w:w="1701" w:type="dxa"/>
            <w:vAlign w:val="center"/>
          </w:tcPr>
          <w:p w14:paraId="7934D675" w14:textId="77777777" w:rsidR="00454A29" w:rsidRDefault="00454A29">
            <w:pPr>
              <w:pStyle w:val="ConsPlusNormal"/>
              <w:jc w:val="center"/>
            </w:pPr>
            <w:r>
              <w:t>2026</w:t>
            </w:r>
          </w:p>
        </w:tc>
        <w:tc>
          <w:tcPr>
            <w:tcW w:w="1417" w:type="dxa"/>
            <w:vMerge/>
          </w:tcPr>
          <w:p w14:paraId="7B144581" w14:textId="77777777" w:rsidR="00454A29" w:rsidRDefault="00454A29"/>
        </w:tc>
        <w:tc>
          <w:tcPr>
            <w:tcW w:w="2204" w:type="dxa"/>
            <w:vMerge/>
          </w:tcPr>
          <w:p w14:paraId="53BB6192" w14:textId="77777777" w:rsidR="00454A29" w:rsidRDefault="00454A29"/>
        </w:tc>
        <w:tc>
          <w:tcPr>
            <w:tcW w:w="1417" w:type="dxa"/>
            <w:vMerge/>
          </w:tcPr>
          <w:p w14:paraId="569AF3AE" w14:textId="77777777" w:rsidR="00454A29" w:rsidRDefault="00454A29"/>
        </w:tc>
        <w:tc>
          <w:tcPr>
            <w:tcW w:w="2324" w:type="dxa"/>
            <w:vMerge/>
          </w:tcPr>
          <w:p w14:paraId="11834BA8" w14:textId="77777777" w:rsidR="00454A29" w:rsidRDefault="00454A29"/>
        </w:tc>
        <w:tc>
          <w:tcPr>
            <w:tcW w:w="1701" w:type="dxa"/>
            <w:vAlign w:val="center"/>
          </w:tcPr>
          <w:p w14:paraId="74FA1FA7" w14:textId="77777777" w:rsidR="00454A29" w:rsidRDefault="00454A29">
            <w:pPr>
              <w:pStyle w:val="ConsPlusNormal"/>
              <w:jc w:val="center"/>
            </w:pPr>
            <w:r>
              <w:t>-</w:t>
            </w:r>
          </w:p>
        </w:tc>
        <w:tc>
          <w:tcPr>
            <w:tcW w:w="1814" w:type="dxa"/>
            <w:vAlign w:val="center"/>
          </w:tcPr>
          <w:p w14:paraId="3A9D4FA4" w14:textId="77777777" w:rsidR="00454A29" w:rsidRDefault="00454A29">
            <w:pPr>
              <w:pStyle w:val="ConsPlusNormal"/>
            </w:pPr>
          </w:p>
        </w:tc>
        <w:tc>
          <w:tcPr>
            <w:tcW w:w="1701" w:type="dxa"/>
            <w:vAlign w:val="center"/>
          </w:tcPr>
          <w:p w14:paraId="400517BA" w14:textId="77777777" w:rsidR="00454A29" w:rsidRDefault="00454A29">
            <w:pPr>
              <w:pStyle w:val="ConsPlusNormal"/>
            </w:pPr>
          </w:p>
        </w:tc>
        <w:tc>
          <w:tcPr>
            <w:tcW w:w="1701" w:type="dxa"/>
            <w:vAlign w:val="center"/>
          </w:tcPr>
          <w:p w14:paraId="1E6C098C" w14:textId="77777777" w:rsidR="00454A29" w:rsidRDefault="00454A29">
            <w:pPr>
              <w:pStyle w:val="ConsPlusNormal"/>
            </w:pPr>
          </w:p>
        </w:tc>
        <w:tc>
          <w:tcPr>
            <w:tcW w:w="1814" w:type="dxa"/>
            <w:vAlign w:val="center"/>
          </w:tcPr>
          <w:p w14:paraId="31B70492" w14:textId="77777777" w:rsidR="00454A29" w:rsidRDefault="00454A29">
            <w:pPr>
              <w:pStyle w:val="ConsPlusNormal"/>
            </w:pPr>
          </w:p>
        </w:tc>
      </w:tr>
      <w:tr w:rsidR="00454A29" w14:paraId="68407679" w14:textId="77777777">
        <w:tc>
          <w:tcPr>
            <w:tcW w:w="567" w:type="dxa"/>
            <w:vMerge w:val="restart"/>
            <w:vAlign w:val="center"/>
          </w:tcPr>
          <w:p w14:paraId="3E8D3C40" w14:textId="77777777" w:rsidR="00454A29" w:rsidRDefault="00454A29">
            <w:pPr>
              <w:pStyle w:val="ConsPlusNormal"/>
              <w:jc w:val="center"/>
            </w:pPr>
            <w:r>
              <w:t>30</w:t>
            </w:r>
          </w:p>
        </w:tc>
        <w:tc>
          <w:tcPr>
            <w:tcW w:w="3345" w:type="dxa"/>
            <w:vMerge w:val="restart"/>
            <w:vAlign w:val="center"/>
          </w:tcPr>
          <w:p w14:paraId="4B4D3AEA" w14:textId="77777777" w:rsidR="00454A29" w:rsidRDefault="00454A29">
            <w:pPr>
              <w:pStyle w:val="ConsPlusNormal"/>
              <w:jc w:val="center"/>
            </w:pPr>
            <w:r>
              <w:t>Детский сад на 98 мест в с. Томтор Оймяконского района</w:t>
            </w:r>
          </w:p>
        </w:tc>
        <w:tc>
          <w:tcPr>
            <w:tcW w:w="1701" w:type="dxa"/>
            <w:vAlign w:val="center"/>
          </w:tcPr>
          <w:p w14:paraId="6CDA10C6" w14:textId="77777777" w:rsidR="00454A29" w:rsidRDefault="00454A29">
            <w:pPr>
              <w:pStyle w:val="ConsPlusNormal"/>
              <w:jc w:val="center"/>
            </w:pPr>
            <w:r>
              <w:t>2020 - 2026 годы - всего</w:t>
            </w:r>
          </w:p>
        </w:tc>
        <w:tc>
          <w:tcPr>
            <w:tcW w:w="1417" w:type="dxa"/>
            <w:vMerge w:val="restart"/>
            <w:vAlign w:val="center"/>
          </w:tcPr>
          <w:p w14:paraId="04C2801B" w14:textId="77777777" w:rsidR="00454A29" w:rsidRDefault="00454A29">
            <w:pPr>
              <w:pStyle w:val="ConsPlusNormal"/>
              <w:jc w:val="center"/>
            </w:pPr>
            <w:r>
              <w:t>95 721,48</w:t>
            </w:r>
          </w:p>
        </w:tc>
        <w:tc>
          <w:tcPr>
            <w:tcW w:w="2204" w:type="dxa"/>
            <w:vMerge w:val="restart"/>
            <w:vAlign w:val="center"/>
          </w:tcPr>
          <w:p w14:paraId="34B94F2C" w14:textId="77777777" w:rsidR="00454A29" w:rsidRDefault="00454A29">
            <w:pPr>
              <w:pStyle w:val="ConsPlusNormal"/>
              <w:jc w:val="center"/>
            </w:pPr>
            <w:r>
              <w:t>имеется</w:t>
            </w:r>
          </w:p>
        </w:tc>
        <w:tc>
          <w:tcPr>
            <w:tcW w:w="1417" w:type="dxa"/>
            <w:vMerge w:val="restart"/>
            <w:vAlign w:val="center"/>
          </w:tcPr>
          <w:p w14:paraId="441F09C6" w14:textId="77777777" w:rsidR="00454A29" w:rsidRDefault="00454A29">
            <w:pPr>
              <w:pStyle w:val="ConsPlusNormal"/>
              <w:jc w:val="center"/>
            </w:pPr>
            <w:r>
              <w:t>98</w:t>
            </w:r>
          </w:p>
        </w:tc>
        <w:tc>
          <w:tcPr>
            <w:tcW w:w="2324" w:type="dxa"/>
            <w:vMerge w:val="restart"/>
            <w:vAlign w:val="center"/>
          </w:tcPr>
          <w:p w14:paraId="75C6D30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799EB03" w14:textId="77777777" w:rsidR="00454A29" w:rsidRDefault="00454A29">
            <w:pPr>
              <w:pStyle w:val="ConsPlusNormal"/>
              <w:jc w:val="center"/>
            </w:pPr>
            <w:r>
              <w:t>95 721,48</w:t>
            </w:r>
          </w:p>
        </w:tc>
        <w:tc>
          <w:tcPr>
            <w:tcW w:w="1814" w:type="dxa"/>
            <w:vAlign w:val="center"/>
          </w:tcPr>
          <w:p w14:paraId="16D9B287" w14:textId="77777777" w:rsidR="00454A29" w:rsidRDefault="00454A29">
            <w:pPr>
              <w:pStyle w:val="ConsPlusNormal"/>
              <w:jc w:val="center"/>
            </w:pPr>
            <w:r>
              <w:t>164 328,73</w:t>
            </w:r>
          </w:p>
        </w:tc>
        <w:tc>
          <w:tcPr>
            <w:tcW w:w="1701" w:type="dxa"/>
            <w:vAlign w:val="center"/>
          </w:tcPr>
          <w:p w14:paraId="38A28FC1" w14:textId="77777777" w:rsidR="00454A29" w:rsidRDefault="00454A29">
            <w:pPr>
              <w:pStyle w:val="ConsPlusNormal"/>
              <w:jc w:val="center"/>
            </w:pPr>
            <w:r>
              <w:t>-</w:t>
            </w:r>
          </w:p>
        </w:tc>
        <w:tc>
          <w:tcPr>
            <w:tcW w:w="1701" w:type="dxa"/>
            <w:vAlign w:val="center"/>
          </w:tcPr>
          <w:p w14:paraId="4F71A71E" w14:textId="77777777" w:rsidR="00454A29" w:rsidRDefault="00454A29">
            <w:pPr>
              <w:pStyle w:val="ConsPlusNormal"/>
              <w:jc w:val="center"/>
            </w:pPr>
            <w:r>
              <w:t>-</w:t>
            </w:r>
          </w:p>
        </w:tc>
        <w:tc>
          <w:tcPr>
            <w:tcW w:w="1814" w:type="dxa"/>
            <w:vAlign w:val="center"/>
          </w:tcPr>
          <w:p w14:paraId="56251917" w14:textId="77777777" w:rsidR="00454A29" w:rsidRDefault="00454A29">
            <w:pPr>
              <w:pStyle w:val="ConsPlusNormal"/>
              <w:jc w:val="center"/>
            </w:pPr>
            <w:r>
              <w:t>-</w:t>
            </w:r>
          </w:p>
        </w:tc>
      </w:tr>
      <w:tr w:rsidR="00454A29" w14:paraId="2F055C3D" w14:textId="77777777">
        <w:tc>
          <w:tcPr>
            <w:tcW w:w="567" w:type="dxa"/>
            <w:vMerge/>
          </w:tcPr>
          <w:p w14:paraId="0C0DE81C" w14:textId="77777777" w:rsidR="00454A29" w:rsidRDefault="00454A29"/>
        </w:tc>
        <w:tc>
          <w:tcPr>
            <w:tcW w:w="3345" w:type="dxa"/>
            <w:vMerge/>
          </w:tcPr>
          <w:p w14:paraId="0C8E4015" w14:textId="77777777" w:rsidR="00454A29" w:rsidRDefault="00454A29"/>
        </w:tc>
        <w:tc>
          <w:tcPr>
            <w:tcW w:w="1701" w:type="dxa"/>
            <w:vAlign w:val="center"/>
          </w:tcPr>
          <w:p w14:paraId="483D2B2A" w14:textId="77777777" w:rsidR="00454A29" w:rsidRDefault="00454A29">
            <w:pPr>
              <w:pStyle w:val="ConsPlusNormal"/>
              <w:jc w:val="center"/>
            </w:pPr>
            <w:r>
              <w:t>2020</w:t>
            </w:r>
          </w:p>
        </w:tc>
        <w:tc>
          <w:tcPr>
            <w:tcW w:w="1417" w:type="dxa"/>
            <w:vMerge/>
          </w:tcPr>
          <w:p w14:paraId="6DADB34F" w14:textId="77777777" w:rsidR="00454A29" w:rsidRDefault="00454A29"/>
        </w:tc>
        <w:tc>
          <w:tcPr>
            <w:tcW w:w="2204" w:type="dxa"/>
            <w:vMerge/>
          </w:tcPr>
          <w:p w14:paraId="3BC4E1B9" w14:textId="77777777" w:rsidR="00454A29" w:rsidRDefault="00454A29"/>
        </w:tc>
        <w:tc>
          <w:tcPr>
            <w:tcW w:w="1417" w:type="dxa"/>
            <w:vMerge/>
          </w:tcPr>
          <w:p w14:paraId="0B145226" w14:textId="77777777" w:rsidR="00454A29" w:rsidRDefault="00454A29"/>
        </w:tc>
        <w:tc>
          <w:tcPr>
            <w:tcW w:w="2324" w:type="dxa"/>
            <w:vMerge/>
          </w:tcPr>
          <w:p w14:paraId="25A02A69" w14:textId="77777777" w:rsidR="00454A29" w:rsidRDefault="00454A29"/>
        </w:tc>
        <w:tc>
          <w:tcPr>
            <w:tcW w:w="1701" w:type="dxa"/>
            <w:vAlign w:val="center"/>
          </w:tcPr>
          <w:p w14:paraId="0C87D73D" w14:textId="77777777" w:rsidR="00454A29" w:rsidRDefault="00454A29">
            <w:pPr>
              <w:pStyle w:val="ConsPlusNormal"/>
              <w:jc w:val="center"/>
            </w:pPr>
            <w:r>
              <w:t>-</w:t>
            </w:r>
          </w:p>
        </w:tc>
        <w:tc>
          <w:tcPr>
            <w:tcW w:w="1814" w:type="dxa"/>
            <w:vAlign w:val="center"/>
          </w:tcPr>
          <w:p w14:paraId="5258F183" w14:textId="77777777" w:rsidR="00454A29" w:rsidRDefault="00454A29">
            <w:pPr>
              <w:pStyle w:val="ConsPlusNormal"/>
            </w:pPr>
          </w:p>
        </w:tc>
        <w:tc>
          <w:tcPr>
            <w:tcW w:w="1701" w:type="dxa"/>
            <w:vAlign w:val="center"/>
          </w:tcPr>
          <w:p w14:paraId="39360AD4" w14:textId="77777777" w:rsidR="00454A29" w:rsidRDefault="00454A29">
            <w:pPr>
              <w:pStyle w:val="ConsPlusNormal"/>
            </w:pPr>
          </w:p>
        </w:tc>
        <w:tc>
          <w:tcPr>
            <w:tcW w:w="1701" w:type="dxa"/>
            <w:vAlign w:val="center"/>
          </w:tcPr>
          <w:p w14:paraId="694A317E" w14:textId="77777777" w:rsidR="00454A29" w:rsidRDefault="00454A29">
            <w:pPr>
              <w:pStyle w:val="ConsPlusNormal"/>
            </w:pPr>
          </w:p>
        </w:tc>
        <w:tc>
          <w:tcPr>
            <w:tcW w:w="1814" w:type="dxa"/>
            <w:vAlign w:val="center"/>
          </w:tcPr>
          <w:p w14:paraId="5E599DBE" w14:textId="77777777" w:rsidR="00454A29" w:rsidRDefault="00454A29">
            <w:pPr>
              <w:pStyle w:val="ConsPlusNormal"/>
            </w:pPr>
          </w:p>
        </w:tc>
      </w:tr>
      <w:tr w:rsidR="00454A29" w14:paraId="05CBF286" w14:textId="77777777">
        <w:tc>
          <w:tcPr>
            <w:tcW w:w="567" w:type="dxa"/>
            <w:vMerge/>
          </w:tcPr>
          <w:p w14:paraId="7BB05E4F" w14:textId="77777777" w:rsidR="00454A29" w:rsidRDefault="00454A29"/>
        </w:tc>
        <w:tc>
          <w:tcPr>
            <w:tcW w:w="3345" w:type="dxa"/>
            <w:vMerge/>
          </w:tcPr>
          <w:p w14:paraId="381EE7D9" w14:textId="77777777" w:rsidR="00454A29" w:rsidRDefault="00454A29"/>
        </w:tc>
        <w:tc>
          <w:tcPr>
            <w:tcW w:w="1701" w:type="dxa"/>
            <w:vAlign w:val="center"/>
          </w:tcPr>
          <w:p w14:paraId="14B14015" w14:textId="77777777" w:rsidR="00454A29" w:rsidRDefault="00454A29">
            <w:pPr>
              <w:pStyle w:val="ConsPlusNormal"/>
              <w:jc w:val="center"/>
            </w:pPr>
            <w:r>
              <w:t>2021</w:t>
            </w:r>
          </w:p>
        </w:tc>
        <w:tc>
          <w:tcPr>
            <w:tcW w:w="1417" w:type="dxa"/>
            <w:vMerge/>
          </w:tcPr>
          <w:p w14:paraId="6EF42DB5" w14:textId="77777777" w:rsidR="00454A29" w:rsidRDefault="00454A29"/>
        </w:tc>
        <w:tc>
          <w:tcPr>
            <w:tcW w:w="2204" w:type="dxa"/>
            <w:vMerge/>
          </w:tcPr>
          <w:p w14:paraId="288A6EEB" w14:textId="77777777" w:rsidR="00454A29" w:rsidRDefault="00454A29"/>
        </w:tc>
        <w:tc>
          <w:tcPr>
            <w:tcW w:w="1417" w:type="dxa"/>
            <w:vMerge/>
          </w:tcPr>
          <w:p w14:paraId="61CDF214" w14:textId="77777777" w:rsidR="00454A29" w:rsidRDefault="00454A29"/>
        </w:tc>
        <w:tc>
          <w:tcPr>
            <w:tcW w:w="2324" w:type="dxa"/>
            <w:vMerge/>
          </w:tcPr>
          <w:p w14:paraId="34CCD8C3" w14:textId="77777777" w:rsidR="00454A29" w:rsidRDefault="00454A29"/>
        </w:tc>
        <w:tc>
          <w:tcPr>
            <w:tcW w:w="1701" w:type="dxa"/>
            <w:vAlign w:val="center"/>
          </w:tcPr>
          <w:p w14:paraId="31A46F1B" w14:textId="77777777" w:rsidR="00454A29" w:rsidRDefault="00454A29">
            <w:pPr>
              <w:pStyle w:val="ConsPlusNormal"/>
              <w:jc w:val="center"/>
            </w:pPr>
            <w:r>
              <w:t>-</w:t>
            </w:r>
          </w:p>
        </w:tc>
        <w:tc>
          <w:tcPr>
            <w:tcW w:w="1814" w:type="dxa"/>
            <w:vAlign w:val="center"/>
          </w:tcPr>
          <w:p w14:paraId="0C47367A" w14:textId="77777777" w:rsidR="00454A29" w:rsidRDefault="00454A29">
            <w:pPr>
              <w:pStyle w:val="ConsPlusNormal"/>
            </w:pPr>
          </w:p>
        </w:tc>
        <w:tc>
          <w:tcPr>
            <w:tcW w:w="1701" w:type="dxa"/>
            <w:vAlign w:val="center"/>
          </w:tcPr>
          <w:p w14:paraId="2301ADBB" w14:textId="77777777" w:rsidR="00454A29" w:rsidRDefault="00454A29">
            <w:pPr>
              <w:pStyle w:val="ConsPlusNormal"/>
            </w:pPr>
          </w:p>
        </w:tc>
        <w:tc>
          <w:tcPr>
            <w:tcW w:w="1701" w:type="dxa"/>
            <w:vAlign w:val="center"/>
          </w:tcPr>
          <w:p w14:paraId="12729662" w14:textId="77777777" w:rsidR="00454A29" w:rsidRDefault="00454A29">
            <w:pPr>
              <w:pStyle w:val="ConsPlusNormal"/>
            </w:pPr>
          </w:p>
        </w:tc>
        <w:tc>
          <w:tcPr>
            <w:tcW w:w="1814" w:type="dxa"/>
            <w:vAlign w:val="center"/>
          </w:tcPr>
          <w:p w14:paraId="50FFF0F6" w14:textId="77777777" w:rsidR="00454A29" w:rsidRDefault="00454A29">
            <w:pPr>
              <w:pStyle w:val="ConsPlusNormal"/>
            </w:pPr>
          </w:p>
        </w:tc>
      </w:tr>
      <w:tr w:rsidR="00454A29" w14:paraId="6810AEB3" w14:textId="77777777">
        <w:tc>
          <w:tcPr>
            <w:tcW w:w="567" w:type="dxa"/>
            <w:vMerge/>
          </w:tcPr>
          <w:p w14:paraId="7C23BA65" w14:textId="77777777" w:rsidR="00454A29" w:rsidRDefault="00454A29"/>
        </w:tc>
        <w:tc>
          <w:tcPr>
            <w:tcW w:w="3345" w:type="dxa"/>
            <w:vMerge/>
          </w:tcPr>
          <w:p w14:paraId="01B2ABFB" w14:textId="77777777" w:rsidR="00454A29" w:rsidRDefault="00454A29"/>
        </w:tc>
        <w:tc>
          <w:tcPr>
            <w:tcW w:w="1701" w:type="dxa"/>
            <w:vAlign w:val="center"/>
          </w:tcPr>
          <w:p w14:paraId="3E7C7641" w14:textId="77777777" w:rsidR="00454A29" w:rsidRDefault="00454A29">
            <w:pPr>
              <w:pStyle w:val="ConsPlusNormal"/>
              <w:jc w:val="center"/>
            </w:pPr>
            <w:r>
              <w:t>2022</w:t>
            </w:r>
          </w:p>
        </w:tc>
        <w:tc>
          <w:tcPr>
            <w:tcW w:w="1417" w:type="dxa"/>
            <w:vMerge/>
          </w:tcPr>
          <w:p w14:paraId="47D16CB0" w14:textId="77777777" w:rsidR="00454A29" w:rsidRDefault="00454A29"/>
        </w:tc>
        <w:tc>
          <w:tcPr>
            <w:tcW w:w="2204" w:type="dxa"/>
            <w:vMerge/>
          </w:tcPr>
          <w:p w14:paraId="48437AF2" w14:textId="77777777" w:rsidR="00454A29" w:rsidRDefault="00454A29"/>
        </w:tc>
        <w:tc>
          <w:tcPr>
            <w:tcW w:w="1417" w:type="dxa"/>
            <w:vMerge/>
          </w:tcPr>
          <w:p w14:paraId="5FD07C0A" w14:textId="77777777" w:rsidR="00454A29" w:rsidRDefault="00454A29"/>
        </w:tc>
        <w:tc>
          <w:tcPr>
            <w:tcW w:w="2324" w:type="dxa"/>
            <w:vMerge/>
          </w:tcPr>
          <w:p w14:paraId="5C337B93" w14:textId="77777777" w:rsidR="00454A29" w:rsidRDefault="00454A29"/>
        </w:tc>
        <w:tc>
          <w:tcPr>
            <w:tcW w:w="1701" w:type="dxa"/>
            <w:vAlign w:val="center"/>
          </w:tcPr>
          <w:p w14:paraId="3E189E7A" w14:textId="77777777" w:rsidR="00454A29" w:rsidRDefault="00454A29">
            <w:pPr>
              <w:pStyle w:val="ConsPlusNormal"/>
            </w:pPr>
          </w:p>
        </w:tc>
        <w:tc>
          <w:tcPr>
            <w:tcW w:w="1814" w:type="dxa"/>
            <w:vAlign w:val="center"/>
          </w:tcPr>
          <w:p w14:paraId="5184939F" w14:textId="77777777" w:rsidR="00454A29" w:rsidRDefault="00454A29">
            <w:pPr>
              <w:pStyle w:val="ConsPlusNormal"/>
            </w:pPr>
          </w:p>
        </w:tc>
        <w:tc>
          <w:tcPr>
            <w:tcW w:w="1701" w:type="dxa"/>
            <w:vAlign w:val="center"/>
          </w:tcPr>
          <w:p w14:paraId="66202AC7" w14:textId="77777777" w:rsidR="00454A29" w:rsidRDefault="00454A29">
            <w:pPr>
              <w:pStyle w:val="ConsPlusNormal"/>
            </w:pPr>
          </w:p>
        </w:tc>
        <w:tc>
          <w:tcPr>
            <w:tcW w:w="1701" w:type="dxa"/>
            <w:vAlign w:val="center"/>
          </w:tcPr>
          <w:p w14:paraId="7B160355" w14:textId="77777777" w:rsidR="00454A29" w:rsidRDefault="00454A29">
            <w:pPr>
              <w:pStyle w:val="ConsPlusNormal"/>
            </w:pPr>
          </w:p>
        </w:tc>
        <w:tc>
          <w:tcPr>
            <w:tcW w:w="1814" w:type="dxa"/>
            <w:vAlign w:val="center"/>
          </w:tcPr>
          <w:p w14:paraId="168ADB6D" w14:textId="77777777" w:rsidR="00454A29" w:rsidRDefault="00454A29">
            <w:pPr>
              <w:pStyle w:val="ConsPlusNormal"/>
            </w:pPr>
          </w:p>
        </w:tc>
      </w:tr>
      <w:tr w:rsidR="00454A29" w14:paraId="59A03852" w14:textId="77777777">
        <w:tc>
          <w:tcPr>
            <w:tcW w:w="567" w:type="dxa"/>
            <w:vMerge/>
          </w:tcPr>
          <w:p w14:paraId="630AFB84" w14:textId="77777777" w:rsidR="00454A29" w:rsidRDefault="00454A29"/>
        </w:tc>
        <w:tc>
          <w:tcPr>
            <w:tcW w:w="3345" w:type="dxa"/>
            <w:vMerge/>
          </w:tcPr>
          <w:p w14:paraId="375FE5C6" w14:textId="77777777" w:rsidR="00454A29" w:rsidRDefault="00454A29"/>
        </w:tc>
        <w:tc>
          <w:tcPr>
            <w:tcW w:w="1701" w:type="dxa"/>
            <w:vAlign w:val="center"/>
          </w:tcPr>
          <w:p w14:paraId="74FEA934" w14:textId="77777777" w:rsidR="00454A29" w:rsidRDefault="00454A29">
            <w:pPr>
              <w:pStyle w:val="ConsPlusNormal"/>
              <w:jc w:val="center"/>
            </w:pPr>
            <w:r>
              <w:t>2023</w:t>
            </w:r>
          </w:p>
        </w:tc>
        <w:tc>
          <w:tcPr>
            <w:tcW w:w="1417" w:type="dxa"/>
            <w:vMerge/>
          </w:tcPr>
          <w:p w14:paraId="68AE2CA5" w14:textId="77777777" w:rsidR="00454A29" w:rsidRDefault="00454A29"/>
        </w:tc>
        <w:tc>
          <w:tcPr>
            <w:tcW w:w="2204" w:type="dxa"/>
            <w:vMerge/>
          </w:tcPr>
          <w:p w14:paraId="7CF3A069" w14:textId="77777777" w:rsidR="00454A29" w:rsidRDefault="00454A29"/>
        </w:tc>
        <w:tc>
          <w:tcPr>
            <w:tcW w:w="1417" w:type="dxa"/>
            <w:vMerge/>
          </w:tcPr>
          <w:p w14:paraId="295DE09F" w14:textId="77777777" w:rsidR="00454A29" w:rsidRDefault="00454A29"/>
        </w:tc>
        <w:tc>
          <w:tcPr>
            <w:tcW w:w="2324" w:type="dxa"/>
            <w:vMerge/>
          </w:tcPr>
          <w:p w14:paraId="117EECA3" w14:textId="77777777" w:rsidR="00454A29" w:rsidRDefault="00454A29"/>
        </w:tc>
        <w:tc>
          <w:tcPr>
            <w:tcW w:w="1701" w:type="dxa"/>
            <w:vAlign w:val="center"/>
          </w:tcPr>
          <w:p w14:paraId="4D48D785" w14:textId="77777777" w:rsidR="00454A29" w:rsidRDefault="00454A29">
            <w:pPr>
              <w:pStyle w:val="ConsPlusNormal"/>
              <w:jc w:val="center"/>
            </w:pPr>
            <w:r>
              <w:t>40 753,52</w:t>
            </w:r>
          </w:p>
        </w:tc>
        <w:tc>
          <w:tcPr>
            <w:tcW w:w="1814" w:type="dxa"/>
            <w:vAlign w:val="center"/>
          </w:tcPr>
          <w:p w14:paraId="7E80ECE5" w14:textId="77777777" w:rsidR="00454A29" w:rsidRDefault="00454A29">
            <w:pPr>
              <w:pStyle w:val="ConsPlusNormal"/>
              <w:jc w:val="center"/>
            </w:pPr>
            <w:r>
              <w:t>40 753,52</w:t>
            </w:r>
          </w:p>
        </w:tc>
        <w:tc>
          <w:tcPr>
            <w:tcW w:w="1701" w:type="dxa"/>
            <w:vAlign w:val="center"/>
          </w:tcPr>
          <w:p w14:paraId="330CF664" w14:textId="77777777" w:rsidR="00454A29" w:rsidRDefault="00454A29">
            <w:pPr>
              <w:pStyle w:val="ConsPlusNormal"/>
            </w:pPr>
          </w:p>
        </w:tc>
        <w:tc>
          <w:tcPr>
            <w:tcW w:w="1701" w:type="dxa"/>
            <w:vAlign w:val="center"/>
          </w:tcPr>
          <w:p w14:paraId="13553512" w14:textId="77777777" w:rsidR="00454A29" w:rsidRDefault="00454A29">
            <w:pPr>
              <w:pStyle w:val="ConsPlusNormal"/>
            </w:pPr>
          </w:p>
        </w:tc>
        <w:tc>
          <w:tcPr>
            <w:tcW w:w="1814" w:type="dxa"/>
            <w:vAlign w:val="center"/>
          </w:tcPr>
          <w:p w14:paraId="46E1A5BE" w14:textId="77777777" w:rsidR="00454A29" w:rsidRDefault="00454A29">
            <w:pPr>
              <w:pStyle w:val="ConsPlusNormal"/>
            </w:pPr>
          </w:p>
        </w:tc>
      </w:tr>
      <w:tr w:rsidR="00454A29" w14:paraId="1ED85B7E" w14:textId="77777777">
        <w:tc>
          <w:tcPr>
            <w:tcW w:w="567" w:type="dxa"/>
            <w:vMerge/>
          </w:tcPr>
          <w:p w14:paraId="729D9ADF" w14:textId="77777777" w:rsidR="00454A29" w:rsidRDefault="00454A29"/>
        </w:tc>
        <w:tc>
          <w:tcPr>
            <w:tcW w:w="3345" w:type="dxa"/>
            <w:vMerge/>
          </w:tcPr>
          <w:p w14:paraId="234B4B3C" w14:textId="77777777" w:rsidR="00454A29" w:rsidRDefault="00454A29"/>
        </w:tc>
        <w:tc>
          <w:tcPr>
            <w:tcW w:w="1701" w:type="dxa"/>
            <w:vAlign w:val="center"/>
          </w:tcPr>
          <w:p w14:paraId="1A91F7C5" w14:textId="77777777" w:rsidR="00454A29" w:rsidRDefault="00454A29">
            <w:pPr>
              <w:pStyle w:val="ConsPlusNormal"/>
              <w:jc w:val="center"/>
            </w:pPr>
            <w:r>
              <w:t>2024</w:t>
            </w:r>
          </w:p>
        </w:tc>
        <w:tc>
          <w:tcPr>
            <w:tcW w:w="1417" w:type="dxa"/>
            <w:vMerge/>
          </w:tcPr>
          <w:p w14:paraId="6CDAF22B" w14:textId="77777777" w:rsidR="00454A29" w:rsidRDefault="00454A29"/>
        </w:tc>
        <w:tc>
          <w:tcPr>
            <w:tcW w:w="2204" w:type="dxa"/>
            <w:vMerge/>
          </w:tcPr>
          <w:p w14:paraId="26893EE7" w14:textId="77777777" w:rsidR="00454A29" w:rsidRDefault="00454A29"/>
        </w:tc>
        <w:tc>
          <w:tcPr>
            <w:tcW w:w="1417" w:type="dxa"/>
            <w:vMerge/>
          </w:tcPr>
          <w:p w14:paraId="7A3EF151" w14:textId="77777777" w:rsidR="00454A29" w:rsidRDefault="00454A29"/>
        </w:tc>
        <w:tc>
          <w:tcPr>
            <w:tcW w:w="2324" w:type="dxa"/>
            <w:vMerge/>
          </w:tcPr>
          <w:p w14:paraId="5BBCA29D" w14:textId="77777777" w:rsidR="00454A29" w:rsidRDefault="00454A29"/>
        </w:tc>
        <w:tc>
          <w:tcPr>
            <w:tcW w:w="1701" w:type="dxa"/>
            <w:vAlign w:val="center"/>
          </w:tcPr>
          <w:p w14:paraId="6EB75A57" w14:textId="77777777" w:rsidR="00454A29" w:rsidRDefault="00454A29">
            <w:pPr>
              <w:pStyle w:val="ConsPlusNormal"/>
              <w:jc w:val="center"/>
            </w:pPr>
            <w:r>
              <w:t>54 967,96</w:t>
            </w:r>
          </w:p>
        </w:tc>
        <w:tc>
          <w:tcPr>
            <w:tcW w:w="1814" w:type="dxa"/>
            <w:vAlign w:val="center"/>
          </w:tcPr>
          <w:p w14:paraId="0B11BEBC" w14:textId="77777777" w:rsidR="00454A29" w:rsidRDefault="00454A29">
            <w:pPr>
              <w:pStyle w:val="ConsPlusNormal"/>
              <w:jc w:val="center"/>
            </w:pPr>
            <w:r>
              <w:t>54 967,96</w:t>
            </w:r>
          </w:p>
        </w:tc>
        <w:tc>
          <w:tcPr>
            <w:tcW w:w="1701" w:type="dxa"/>
            <w:vAlign w:val="center"/>
          </w:tcPr>
          <w:p w14:paraId="42CEE0FA" w14:textId="77777777" w:rsidR="00454A29" w:rsidRDefault="00454A29">
            <w:pPr>
              <w:pStyle w:val="ConsPlusNormal"/>
            </w:pPr>
          </w:p>
        </w:tc>
        <w:tc>
          <w:tcPr>
            <w:tcW w:w="1701" w:type="dxa"/>
            <w:vAlign w:val="center"/>
          </w:tcPr>
          <w:p w14:paraId="1599B6E2" w14:textId="77777777" w:rsidR="00454A29" w:rsidRDefault="00454A29">
            <w:pPr>
              <w:pStyle w:val="ConsPlusNormal"/>
            </w:pPr>
          </w:p>
        </w:tc>
        <w:tc>
          <w:tcPr>
            <w:tcW w:w="1814" w:type="dxa"/>
            <w:vAlign w:val="center"/>
          </w:tcPr>
          <w:p w14:paraId="4509AA55" w14:textId="77777777" w:rsidR="00454A29" w:rsidRDefault="00454A29">
            <w:pPr>
              <w:pStyle w:val="ConsPlusNormal"/>
            </w:pPr>
          </w:p>
        </w:tc>
      </w:tr>
      <w:tr w:rsidR="00454A29" w14:paraId="16E44BBB" w14:textId="77777777">
        <w:tc>
          <w:tcPr>
            <w:tcW w:w="567" w:type="dxa"/>
            <w:vMerge/>
          </w:tcPr>
          <w:p w14:paraId="6D3AB7BA" w14:textId="77777777" w:rsidR="00454A29" w:rsidRDefault="00454A29"/>
        </w:tc>
        <w:tc>
          <w:tcPr>
            <w:tcW w:w="3345" w:type="dxa"/>
            <w:vMerge/>
          </w:tcPr>
          <w:p w14:paraId="00A75B4D" w14:textId="77777777" w:rsidR="00454A29" w:rsidRDefault="00454A29"/>
        </w:tc>
        <w:tc>
          <w:tcPr>
            <w:tcW w:w="1701" w:type="dxa"/>
            <w:vAlign w:val="center"/>
          </w:tcPr>
          <w:p w14:paraId="2F664ED9" w14:textId="77777777" w:rsidR="00454A29" w:rsidRDefault="00454A29">
            <w:pPr>
              <w:pStyle w:val="ConsPlusNormal"/>
              <w:jc w:val="center"/>
            </w:pPr>
            <w:r>
              <w:t>2025</w:t>
            </w:r>
          </w:p>
        </w:tc>
        <w:tc>
          <w:tcPr>
            <w:tcW w:w="1417" w:type="dxa"/>
            <w:vMerge/>
          </w:tcPr>
          <w:p w14:paraId="02EBA551" w14:textId="77777777" w:rsidR="00454A29" w:rsidRDefault="00454A29"/>
        </w:tc>
        <w:tc>
          <w:tcPr>
            <w:tcW w:w="2204" w:type="dxa"/>
            <w:vMerge/>
          </w:tcPr>
          <w:p w14:paraId="2531C22C" w14:textId="77777777" w:rsidR="00454A29" w:rsidRDefault="00454A29"/>
        </w:tc>
        <w:tc>
          <w:tcPr>
            <w:tcW w:w="1417" w:type="dxa"/>
            <w:vMerge/>
          </w:tcPr>
          <w:p w14:paraId="00F2D47D" w14:textId="77777777" w:rsidR="00454A29" w:rsidRDefault="00454A29"/>
        </w:tc>
        <w:tc>
          <w:tcPr>
            <w:tcW w:w="2324" w:type="dxa"/>
            <w:vMerge/>
          </w:tcPr>
          <w:p w14:paraId="7ECE7E9C" w14:textId="77777777" w:rsidR="00454A29" w:rsidRDefault="00454A29"/>
        </w:tc>
        <w:tc>
          <w:tcPr>
            <w:tcW w:w="1701" w:type="dxa"/>
            <w:vAlign w:val="center"/>
          </w:tcPr>
          <w:p w14:paraId="52DC1BE6" w14:textId="77777777" w:rsidR="00454A29" w:rsidRDefault="00454A29">
            <w:pPr>
              <w:pStyle w:val="ConsPlusNormal"/>
              <w:jc w:val="center"/>
            </w:pPr>
            <w:r>
              <w:t>-</w:t>
            </w:r>
          </w:p>
        </w:tc>
        <w:tc>
          <w:tcPr>
            <w:tcW w:w="1814" w:type="dxa"/>
            <w:vAlign w:val="center"/>
          </w:tcPr>
          <w:p w14:paraId="61271F7E" w14:textId="77777777" w:rsidR="00454A29" w:rsidRDefault="00454A29">
            <w:pPr>
              <w:pStyle w:val="ConsPlusNormal"/>
            </w:pPr>
          </w:p>
        </w:tc>
        <w:tc>
          <w:tcPr>
            <w:tcW w:w="1701" w:type="dxa"/>
            <w:vAlign w:val="center"/>
          </w:tcPr>
          <w:p w14:paraId="34F015EB" w14:textId="77777777" w:rsidR="00454A29" w:rsidRDefault="00454A29">
            <w:pPr>
              <w:pStyle w:val="ConsPlusNormal"/>
            </w:pPr>
          </w:p>
        </w:tc>
        <w:tc>
          <w:tcPr>
            <w:tcW w:w="1701" w:type="dxa"/>
            <w:vAlign w:val="center"/>
          </w:tcPr>
          <w:p w14:paraId="7985967C" w14:textId="77777777" w:rsidR="00454A29" w:rsidRDefault="00454A29">
            <w:pPr>
              <w:pStyle w:val="ConsPlusNormal"/>
            </w:pPr>
          </w:p>
        </w:tc>
        <w:tc>
          <w:tcPr>
            <w:tcW w:w="1814" w:type="dxa"/>
            <w:vAlign w:val="center"/>
          </w:tcPr>
          <w:p w14:paraId="14EB0324" w14:textId="77777777" w:rsidR="00454A29" w:rsidRDefault="00454A29">
            <w:pPr>
              <w:pStyle w:val="ConsPlusNormal"/>
            </w:pPr>
          </w:p>
        </w:tc>
      </w:tr>
      <w:tr w:rsidR="00454A29" w14:paraId="616F7B93" w14:textId="77777777">
        <w:tc>
          <w:tcPr>
            <w:tcW w:w="567" w:type="dxa"/>
            <w:vMerge/>
          </w:tcPr>
          <w:p w14:paraId="4F39FBA1" w14:textId="77777777" w:rsidR="00454A29" w:rsidRDefault="00454A29"/>
        </w:tc>
        <w:tc>
          <w:tcPr>
            <w:tcW w:w="3345" w:type="dxa"/>
            <w:vMerge/>
          </w:tcPr>
          <w:p w14:paraId="7E774040" w14:textId="77777777" w:rsidR="00454A29" w:rsidRDefault="00454A29"/>
        </w:tc>
        <w:tc>
          <w:tcPr>
            <w:tcW w:w="1701" w:type="dxa"/>
            <w:vAlign w:val="center"/>
          </w:tcPr>
          <w:p w14:paraId="3FE8E59D" w14:textId="77777777" w:rsidR="00454A29" w:rsidRDefault="00454A29">
            <w:pPr>
              <w:pStyle w:val="ConsPlusNormal"/>
              <w:jc w:val="center"/>
            </w:pPr>
            <w:r>
              <w:t>2026</w:t>
            </w:r>
          </w:p>
        </w:tc>
        <w:tc>
          <w:tcPr>
            <w:tcW w:w="1417" w:type="dxa"/>
            <w:vMerge/>
          </w:tcPr>
          <w:p w14:paraId="64BD965E" w14:textId="77777777" w:rsidR="00454A29" w:rsidRDefault="00454A29"/>
        </w:tc>
        <w:tc>
          <w:tcPr>
            <w:tcW w:w="2204" w:type="dxa"/>
            <w:vMerge/>
          </w:tcPr>
          <w:p w14:paraId="583E8849" w14:textId="77777777" w:rsidR="00454A29" w:rsidRDefault="00454A29"/>
        </w:tc>
        <w:tc>
          <w:tcPr>
            <w:tcW w:w="1417" w:type="dxa"/>
            <w:vMerge/>
          </w:tcPr>
          <w:p w14:paraId="71FF4730" w14:textId="77777777" w:rsidR="00454A29" w:rsidRDefault="00454A29"/>
        </w:tc>
        <w:tc>
          <w:tcPr>
            <w:tcW w:w="2324" w:type="dxa"/>
            <w:vMerge/>
          </w:tcPr>
          <w:p w14:paraId="695AE124" w14:textId="77777777" w:rsidR="00454A29" w:rsidRDefault="00454A29"/>
        </w:tc>
        <w:tc>
          <w:tcPr>
            <w:tcW w:w="1701" w:type="dxa"/>
            <w:vAlign w:val="center"/>
          </w:tcPr>
          <w:p w14:paraId="5E7C00B6" w14:textId="77777777" w:rsidR="00454A29" w:rsidRDefault="00454A29">
            <w:pPr>
              <w:pStyle w:val="ConsPlusNormal"/>
              <w:jc w:val="center"/>
            </w:pPr>
            <w:r>
              <w:t>-</w:t>
            </w:r>
          </w:p>
        </w:tc>
        <w:tc>
          <w:tcPr>
            <w:tcW w:w="1814" w:type="dxa"/>
            <w:vAlign w:val="center"/>
          </w:tcPr>
          <w:p w14:paraId="56342FC4" w14:textId="77777777" w:rsidR="00454A29" w:rsidRDefault="00454A29">
            <w:pPr>
              <w:pStyle w:val="ConsPlusNormal"/>
            </w:pPr>
          </w:p>
        </w:tc>
        <w:tc>
          <w:tcPr>
            <w:tcW w:w="1701" w:type="dxa"/>
            <w:vAlign w:val="center"/>
          </w:tcPr>
          <w:p w14:paraId="2B195064" w14:textId="77777777" w:rsidR="00454A29" w:rsidRDefault="00454A29">
            <w:pPr>
              <w:pStyle w:val="ConsPlusNormal"/>
            </w:pPr>
          </w:p>
        </w:tc>
        <w:tc>
          <w:tcPr>
            <w:tcW w:w="1701" w:type="dxa"/>
            <w:vAlign w:val="center"/>
          </w:tcPr>
          <w:p w14:paraId="052DCC2C" w14:textId="77777777" w:rsidR="00454A29" w:rsidRDefault="00454A29">
            <w:pPr>
              <w:pStyle w:val="ConsPlusNormal"/>
            </w:pPr>
          </w:p>
        </w:tc>
        <w:tc>
          <w:tcPr>
            <w:tcW w:w="1814" w:type="dxa"/>
            <w:vAlign w:val="center"/>
          </w:tcPr>
          <w:p w14:paraId="48FE5E2B" w14:textId="77777777" w:rsidR="00454A29" w:rsidRDefault="00454A29">
            <w:pPr>
              <w:pStyle w:val="ConsPlusNormal"/>
            </w:pPr>
          </w:p>
        </w:tc>
      </w:tr>
      <w:tr w:rsidR="00454A29" w14:paraId="07EA3D8C" w14:textId="77777777">
        <w:tc>
          <w:tcPr>
            <w:tcW w:w="567" w:type="dxa"/>
            <w:vMerge w:val="restart"/>
            <w:vAlign w:val="center"/>
          </w:tcPr>
          <w:p w14:paraId="0CE49C15" w14:textId="77777777" w:rsidR="00454A29" w:rsidRDefault="00454A29">
            <w:pPr>
              <w:pStyle w:val="ConsPlusNormal"/>
              <w:jc w:val="center"/>
            </w:pPr>
            <w:r>
              <w:t>31</w:t>
            </w:r>
          </w:p>
        </w:tc>
        <w:tc>
          <w:tcPr>
            <w:tcW w:w="3345" w:type="dxa"/>
            <w:vMerge w:val="restart"/>
            <w:vAlign w:val="center"/>
          </w:tcPr>
          <w:p w14:paraId="394497C3" w14:textId="77777777" w:rsidR="00454A29" w:rsidRDefault="00454A29">
            <w:pPr>
              <w:pStyle w:val="ConsPlusNormal"/>
              <w:jc w:val="center"/>
            </w:pPr>
            <w:r>
              <w:t xml:space="preserve">Детский сад в с. Харбалах на 70 </w:t>
            </w:r>
            <w:r>
              <w:lastRenderedPageBreak/>
              <w:t>мест Таттинского улуса</w:t>
            </w:r>
          </w:p>
        </w:tc>
        <w:tc>
          <w:tcPr>
            <w:tcW w:w="1701" w:type="dxa"/>
            <w:vAlign w:val="center"/>
          </w:tcPr>
          <w:p w14:paraId="177EEE48" w14:textId="77777777" w:rsidR="00454A29" w:rsidRDefault="00454A29">
            <w:pPr>
              <w:pStyle w:val="ConsPlusNormal"/>
              <w:jc w:val="center"/>
            </w:pPr>
            <w:r>
              <w:lastRenderedPageBreak/>
              <w:t xml:space="preserve">2020 - 2026 годы </w:t>
            </w:r>
            <w:r>
              <w:lastRenderedPageBreak/>
              <w:t>- всего</w:t>
            </w:r>
          </w:p>
        </w:tc>
        <w:tc>
          <w:tcPr>
            <w:tcW w:w="1417" w:type="dxa"/>
            <w:vMerge w:val="restart"/>
            <w:vAlign w:val="center"/>
          </w:tcPr>
          <w:p w14:paraId="7B87FCD8" w14:textId="77777777" w:rsidR="00454A29" w:rsidRDefault="00454A29">
            <w:pPr>
              <w:pStyle w:val="ConsPlusNormal"/>
              <w:jc w:val="center"/>
            </w:pPr>
            <w:r>
              <w:lastRenderedPageBreak/>
              <w:t>118 152,25</w:t>
            </w:r>
          </w:p>
        </w:tc>
        <w:tc>
          <w:tcPr>
            <w:tcW w:w="2204" w:type="dxa"/>
            <w:vMerge w:val="restart"/>
            <w:vAlign w:val="center"/>
          </w:tcPr>
          <w:p w14:paraId="2AFBEF9E" w14:textId="77777777" w:rsidR="00454A29" w:rsidRDefault="00454A29">
            <w:pPr>
              <w:pStyle w:val="ConsPlusNormal"/>
              <w:jc w:val="center"/>
            </w:pPr>
            <w:r>
              <w:t>имеется</w:t>
            </w:r>
          </w:p>
        </w:tc>
        <w:tc>
          <w:tcPr>
            <w:tcW w:w="1417" w:type="dxa"/>
            <w:vMerge w:val="restart"/>
            <w:vAlign w:val="center"/>
          </w:tcPr>
          <w:p w14:paraId="1E2451B3" w14:textId="77777777" w:rsidR="00454A29" w:rsidRDefault="00454A29">
            <w:pPr>
              <w:pStyle w:val="ConsPlusNormal"/>
              <w:jc w:val="center"/>
            </w:pPr>
            <w:r>
              <w:t>70</w:t>
            </w:r>
          </w:p>
        </w:tc>
        <w:tc>
          <w:tcPr>
            <w:tcW w:w="2324" w:type="dxa"/>
            <w:vMerge w:val="restart"/>
            <w:vAlign w:val="center"/>
          </w:tcPr>
          <w:p w14:paraId="725EF693" w14:textId="77777777" w:rsidR="00454A29" w:rsidRDefault="00454A29">
            <w:pPr>
              <w:pStyle w:val="ConsPlusNormal"/>
              <w:jc w:val="center"/>
            </w:pPr>
            <w:r>
              <w:t xml:space="preserve">Минстрой РС(Я), ГКУ </w:t>
            </w:r>
            <w:r>
              <w:lastRenderedPageBreak/>
              <w:t>"Служба государственного заказчика Республики Саха (Якутия)"</w:t>
            </w:r>
          </w:p>
        </w:tc>
        <w:tc>
          <w:tcPr>
            <w:tcW w:w="1701" w:type="dxa"/>
            <w:vAlign w:val="center"/>
          </w:tcPr>
          <w:p w14:paraId="4026483C" w14:textId="77777777" w:rsidR="00454A29" w:rsidRDefault="00454A29">
            <w:pPr>
              <w:pStyle w:val="ConsPlusNormal"/>
              <w:jc w:val="center"/>
            </w:pPr>
            <w:r>
              <w:lastRenderedPageBreak/>
              <w:t>68 823,69</w:t>
            </w:r>
          </w:p>
        </w:tc>
        <w:tc>
          <w:tcPr>
            <w:tcW w:w="1814" w:type="dxa"/>
            <w:vAlign w:val="center"/>
          </w:tcPr>
          <w:p w14:paraId="17ADEFC1" w14:textId="77777777" w:rsidR="00454A29" w:rsidRDefault="00454A29">
            <w:pPr>
              <w:pStyle w:val="ConsPlusNormal"/>
              <w:jc w:val="center"/>
            </w:pPr>
            <w:r>
              <w:t>118 152,25</w:t>
            </w:r>
          </w:p>
        </w:tc>
        <w:tc>
          <w:tcPr>
            <w:tcW w:w="1701" w:type="dxa"/>
            <w:vAlign w:val="center"/>
          </w:tcPr>
          <w:p w14:paraId="06D37D4F" w14:textId="77777777" w:rsidR="00454A29" w:rsidRDefault="00454A29">
            <w:pPr>
              <w:pStyle w:val="ConsPlusNormal"/>
              <w:jc w:val="center"/>
            </w:pPr>
            <w:r>
              <w:t>-</w:t>
            </w:r>
          </w:p>
        </w:tc>
        <w:tc>
          <w:tcPr>
            <w:tcW w:w="1701" w:type="dxa"/>
            <w:vAlign w:val="center"/>
          </w:tcPr>
          <w:p w14:paraId="7A7AEA08" w14:textId="77777777" w:rsidR="00454A29" w:rsidRDefault="00454A29">
            <w:pPr>
              <w:pStyle w:val="ConsPlusNormal"/>
              <w:jc w:val="center"/>
            </w:pPr>
            <w:r>
              <w:t>-</w:t>
            </w:r>
          </w:p>
        </w:tc>
        <w:tc>
          <w:tcPr>
            <w:tcW w:w="1814" w:type="dxa"/>
            <w:vAlign w:val="center"/>
          </w:tcPr>
          <w:p w14:paraId="587126CC" w14:textId="77777777" w:rsidR="00454A29" w:rsidRDefault="00454A29">
            <w:pPr>
              <w:pStyle w:val="ConsPlusNormal"/>
              <w:jc w:val="center"/>
            </w:pPr>
            <w:r>
              <w:t>-</w:t>
            </w:r>
          </w:p>
        </w:tc>
      </w:tr>
      <w:tr w:rsidR="00454A29" w14:paraId="5779DD02" w14:textId="77777777">
        <w:tc>
          <w:tcPr>
            <w:tcW w:w="567" w:type="dxa"/>
            <w:vMerge/>
          </w:tcPr>
          <w:p w14:paraId="4047EABE" w14:textId="77777777" w:rsidR="00454A29" w:rsidRDefault="00454A29"/>
        </w:tc>
        <w:tc>
          <w:tcPr>
            <w:tcW w:w="3345" w:type="dxa"/>
            <w:vMerge/>
          </w:tcPr>
          <w:p w14:paraId="22054E6C" w14:textId="77777777" w:rsidR="00454A29" w:rsidRDefault="00454A29"/>
        </w:tc>
        <w:tc>
          <w:tcPr>
            <w:tcW w:w="1701" w:type="dxa"/>
            <w:vAlign w:val="center"/>
          </w:tcPr>
          <w:p w14:paraId="409E3F14" w14:textId="77777777" w:rsidR="00454A29" w:rsidRDefault="00454A29">
            <w:pPr>
              <w:pStyle w:val="ConsPlusNormal"/>
              <w:jc w:val="center"/>
            </w:pPr>
            <w:r>
              <w:t>2020</w:t>
            </w:r>
          </w:p>
        </w:tc>
        <w:tc>
          <w:tcPr>
            <w:tcW w:w="1417" w:type="dxa"/>
            <w:vMerge/>
          </w:tcPr>
          <w:p w14:paraId="11E6C4CD" w14:textId="77777777" w:rsidR="00454A29" w:rsidRDefault="00454A29"/>
        </w:tc>
        <w:tc>
          <w:tcPr>
            <w:tcW w:w="2204" w:type="dxa"/>
            <w:vMerge/>
          </w:tcPr>
          <w:p w14:paraId="5D189A7A" w14:textId="77777777" w:rsidR="00454A29" w:rsidRDefault="00454A29"/>
        </w:tc>
        <w:tc>
          <w:tcPr>
            <w:tcW w:w="1417" w:type="dxa"/>
            <w:vMerge/>
          </w:tcPr>
          <w:p w14:paraId="13EB2865" w14:textId="77777777" w:rsidR="00454A29" w:rsidRDefault="00454A29"/>
        </w:tc>
        <w:tc>
          <w:tcPr>
            <w:tcW w:w="2324" w:type="dxa"/>
            <w:vMerge/>
          </w:tcPr>
          <w:p w14:paraId="3F7957A6" w14:textId="77777777" w:rsidR="00454A29" w:rsidRDefault="00454A29"/>
        </w:tc>
        <w:tc>
          <w:tcPr>
            <w:tcW w:w="1701" w:type="dxa"/>
            <w:vAlign w:val="center"/>
          </w:tcPr>
          <w:p w14:paraId="2D24548C" w14:textId="77777777" w:rsidR="00454A29" w:rsidRDefault="00454A29">
            <w:pPr>
              <w:pStyle w:val="ConsPlusNormal"/>
              <w:jc w:val="center"/>
            </w:pPr>
            <w:r>
              <w:t>-</w:t>
            </w:r>
          </w:p>
        </w:tc>
        <w:tc>
          <w:tcPr>
            <w:tcW w:w="1814" w:type="dxa"/>
            <w:vAlign w:val="center"/>
          </w:tcPr>
          <w:p w14:paraId="65CC3F25" w14:textId="77777777" w:rsidR="00454A29" w:rsidRDefault="00454A29">
            <w:pPr>
              <w:pStyle w:val="ConsPlusNormal"/>
            </w:pPr>
          </w:p>
        </w:tc>
        <w:tc>
          <w:tcPr>
            <w:tcW w:w="1701" w:type="dxa"/>
            <w:vAlign w:val="center"/>
          </w:tcPr>
          <w:p w14:paraId="679F68CC" w14:textId="77777777" w:rsidR="00454A29" w:rsidRDefault="00454A29">
            <w:pPr>
              <w:pStyle w:val="ConsPlusNormal"/>
            </w:pPr>
          </w:p>
        </w:tc>
        <w:tc>
          <w:tcPr>
            <w:tcW w:w="1701" w:type="dxa"/>
            <w:vAlign w:val="center"/>
          </w:tcPr>
          <w:p w14:paraId="69844BB3" w14:textId="77777777" w:rsidR="00454A29" w:rsidRDefault="00454A29">
            <w:pPr>
              <w:pStyle w:val="ConsPlusNormal"/>
            </w:pPr>
          </w:p>
        </w:tc>
        <w:tc>
          <w:tcPr>
            <w:tcW w:w="1814" w:type="dxa"/>
            <w:vAlign w:val="center"/>
          </w:tcPr>
          <w:p w14:paraId="1358F9F5" w14:textId="77777777" w:rsidR="00454A29" w:rsidRDefault="00454A29">
            <w:pPr>
              <w:pStyle w:val="ConsPlusNormal"/>
            </w:pPr>
          </w:p>
        </w:tc>
      </w:tr>
      <w:tr w:rsidR="00454A29" w14:paraId="646FD35B" w14:textId="77777777">
        <w:tc>
          <w:tcPr>
            <w:tcW w:w="567" w:type="dxa"/>
            <w:vMerge/>
          </w:tcPr>
          <w:p w14:paraId="7920679F" w14:textId="77777777" w:rsidR="00454A29" w:rsidRDefault="00454A29"/>
        </w:tc>
        <w:tc>
          <w:tcPr>
            <w:tcW w:w="3345" w:type="dxa"/>
            <w:vMerge/>
          </w:tcPr>
          <w:p w14:paraId="6B342D0E" w14:textId="77777777" w:rsidR="00454A29" w:rsidRDefault="00454A29"/>
        </w:tc>
        <w:tc>
          <w:tcPr>
            <w:tcW w:w="1701" w:type="dxa"/>
            <w:vAlign w:val="center"/>
          </w:tcPr>
          <w:p w14:paraId="4BB15A50" w14:textId="77777777" w:rsidR="00454A29" w:rsidRDefault="00454A29">
            <w:pPr>
              <w:pStyle w:val="ConsPlusNormal"/>
              <w:jc w:val="center"/>
            </w:pPr>
            <w:r>
              <w:t>2021</w:t>
            </w:r>
          </w:p>
        </w:tc>
        <w:tc>
          <w:tcPr>
            <w:tcW w:w="1417" w:type="dxa"/>
            <w:vMerge/>
          </w:tcPr>
          <w:p w14:paraId="6DE27C03" w14:textId="77777777" w:rsidR="00454A29" w:rsidRDefault="00454A29"/>
        </w:tc>
        <w:tc>
          <w:tcPr>
            <w:tcW w:w="2204" w:type="dxa"/>
            <w:vMerge/>
          </w:tcPr>
          <w:p w14:paraId="24BC6DD6" w14:textId="77777777" w:rsidR="00454A29" w:rsidRDefault="00454A29"/>
        </w:tc>
        <w:tc>
          <w:tcPr>
            <w:tcW w:w="1417" w:type="dxa"/>
            <w:vMerge/>
          </w:tcPr>
          <w:p w14:paraId="6BCE7033" w14:textId="77777777" w:rsidR="00454A29" w:rsidRDefault="00454A29"/>
        </w:tc>
        <w:tc>
          <w:tcPr>
            <w:tcW w:w="2324" w:type="dxa"/>
            <w:vMerge/>
          </w:tcPr>
          <w:p w14:paraId="69B33CFA" w14:textId="77777777" w:rsidR="00454A29" w:rsidRDefault="00454A29"/>
        </w:tc>
        <w:tc>
          <w:tcPr>
            <w:tcW w:w="1701" w:type="dxa"/>
            <w:vAlign w:val="center"/>
          </w:tcPr>
          <w:p w14:paraId="1C3724C1" w14:textId="77777777" w:rsidR="00454A29" w:rsidRDefault="00454A29">
            <w:pPr>
              <w:pStyle w:val="ConsPlusNormal"/>
              <w:jc w:val="center"/>
            </w:pPr>
            <w:r>
              <w:t>-</w:t>
            </w:r>
          </w:p>
        </w:tc>
        <w:tc>
          <w:tcPr>
            <w:tcW w:w="1814" w:type="dxa"/>
            <w:vAlign w:val="center"/>
          </w:tcPr>
          <w:p w14:paraId="0A89C31A" w14:textId="77777777" w:rsidR="00454A29" w:rsidRDefault="00454A29">
            <w:pPr>
              <w:pStyle w:val="ConsPlusNormal"/>
            </w:pPr>
          </w:p>
        </w:tc>
        <w:tc>
          <w:tcPr>
            <w:tcW w:w="1701" w:type="dxa"/>
            <w:vAlign w:val="center"/>
          </w:tcPr>
          <w:p w14:paraId="620E7EC1" w14:textId="77777777" w:rsidR="00454A29" w:rsidRDefault="00454A29">
            <w:pPr>
              <w:pStyle w:val="ConsPlusNormal"/>
            </w:pPr>
          </w:p>
        </w:tc>
        <w:tc>
          <w:tcPr>
            <w:tcW w:w="1701" w:type="dxa"/>
            <w:vAlign w:val="center"/>
          </w:tcPr>
          <w:p w14:paraId="6121A8CC" w14:textId="77777777" w:rsidR="00454A29" w:rsidRDefault="00454A29">
            <w:pPr>
              <w:pStyle w:val="ConsPlusNormal"/>
            </w:pPr>
          </w:p>
        </w:tc>
        <w:tc>
          <w:tcPr>
            <w:tcW w:w="1814" w:type="dxa"/>
            <w:vAlign w:val="center"/>
          </w:tcPr>
          <w:p w14:paraId="63558F85" w14:textId="77777777" w:rsidR="00454A29" w:rsidRDefault="00454A29">
            <w:pPr>
              <w:pStyle w:val="ConsPlusNormal"/>
            </w:pPr>
          </w:p>
        </w:tc>
      </w:tr>
      <w:tr w:rsidR="00454A29" w14:paraId="10269A41" w14:textId="77777777">
        <w:tc>
          <w:tcPr>
            <w:tcW w:w="567" w:type="dxa"/>
            <w:vMerge/>
          </w:tcPr>
          <w:p w14:paraId="310C356F" w14:textId="77777777" w:rsidR="00454A29" w:rsidRDefault="00454A29"/>
        </w:tc>
        <w:tc>
          <w:tcPr>
            <w:tcW w:w="3345" w:type="dxa"/>
            <w:vMerge/>
          </w:tcPr>
          <w:p w14:paraId="3C6AA1F7" w14:textId="77777777" w:rsidR="00454A29" w:rsidRDefault="00454A29"/>
        </w:tc>
        <w:tc>
          <w:tcPr>
            <w:tcW w:w="1701" w:type="dxa"/>
            <w:vAlign w:val="center"/>
          </w:tcPr>
          <w:p w14:paraId="61D454E0" w14:textId="77777777" w:rsidR="00454A29" w:rsidRDefault="00454A29">
            <w:pPr>
              <w:pStyle w:val="ConsPlusNormal"/>
              <w:jc w:val="center"/>
            </w:pPr>
            <w:r>
              <w:t>2022</w:t>
            </w:r>
          </w:p>
        </w:tc>
        <w:tc>
          <w:tcPr>
            <w:tcW w:w="1417" w:type="dxa"/>
            <w:vMerge/>
          </w:tcPr>
          <w:p w14:paraId="29C8EE8B" w14:textId="77777777" w:rsidR="00454A29" w:rsidRDefault="00454A29"/>
        </w:tc>
        <w:tc>
          <w:tcPr>
            <w:tcW w:w="2204" w:type="dxa"/>
            <w:vMerge/>
          </w:tcPr>
          <w:p w14:paraId="1C7403D2" w14:textId="77777777" w:rsidR="00454A29" w:rsidRDefault="00454A29"/>
        </w:tc>
        <w:tc>
          <w:tcPr>
            <w:tcW w:w="1417" w:type="dxa"/>
            <w:vMerge/>
          </w:tcPr>
          <w:p w14:paraId="29C3410B" w14:textId="77777777" w:rsidR="00454A29" w:rsidRDefault="00454A29"/>
        </w:tc>
        <w:tc>
          <w:tcPr>
            <w:tcW w:w="2324" w:type="dxa"/>
            <w:vMerge/>
          </w:tcPr>
          <w:p w14:paraId="42A30DDA" w14:textId="77777777" w:rsidR="00454A29" w:rsidRDefault="00454A29"/>
        </w:tc>
        <w:tc>
          <w:tcPr>
            <w:tcW w:w="1701" w:type="dxa"/>
            <w:vAlign w:val="center"/>
          </w:tcPr>
          <w:p w14:paraId="04572948" w14:textId="77777777" w:rsidR="00454A29" w:rsidRDefault="00454A29">
            <w:pPr>
              <w:pStyle w:val="ConsPlusNormal"/>
            </w:pPr>
          </w:p>
        </w:tc>
        <w:tc>
          <w:tcPr>
            <w:tcW w:w="1814" w:type="dxa"/>
            <w:vAlign w:val="center"/>
          </w:tcPr>
          <w:p w14:paraId="1ED774C4" w14:textId="77777777" w:rsidR="00454A29" w:rsidRDefault="00454A29">
            <w:pPr>
              <w:pStyle w:val="ConsPlusNormal"/>
            </w:pPr>
          </w:p>
        </w:tc>
        <w:tc>
          <w:tcPr>
            <w:tcW w:w="1701" w:type="dxa"/>
            <w:vAlign w:val="center"/>
          </w:tcPr>
          <w:p w14:paraId="4AA7533A" w14:textId="77777777" w:rsidR="00454A29" w:rsidRDefault="00454A29">
            <w:pPr>
              <w:pStyle w:val="ConsPlusNormal"/>
            </w:pPr>
          </w:p>
        </w:tc>
        <w:tc>
          <w:tcPr>
            <w:tcW w:w="1701" w:type="dxa"/>
            <w:vAlign w:val="center"/>
          </w:tcPr>
          <w:p w14:paraId="1030B19D" w14:textId="77777777" w:rsidR="00454A29" w:rsidRDefault="00454A29">
            <w:pPr>
              <w:pStyle w:val="ConsPlusNormal"/>
            </w:pPr>
          </w:p>
        </w:tc>
        <w:tc>
          <w:tcPr>
            <w:tcW w:w="1814" w:type="dxa"/>
            <w:vAlign w:val="center"/>
          </w:tcPr>
          <w:p w14:paraId="371A89D6" w14:textId="77777777" w:rsidR="00454A29" w:rsidRDefault="00454A29">
            <w:pPr>
              <w:pStyle w:val="ConsPlusNormal"/>
            </w:pPr>
          </w:p>
        </w:tc>
      </w:tr>
      <w:tr w:rsidR="00454A29" w14:paraId="5E970E96" w14:textId="77777777">
        <w:tc>
          <w:tcPr>
            <w:tcW w:w="567" w:type="dxa"/>
            <w:vMerge/>
          </w:tcPr>
          <w:p w14:paraId="33F87C57" w14:textId="77777777" w:rsidR="00454A29" w:rsidRDefault="00454A29"/>
        </w:tc>
        <w:tc>
          <w:tcPr>
            <w:tcW w:w="3345" w:type="dxa"/>
            <w:vMerge/>
          </w:tcPr>
          <w:p w14:paraId="5EC6EF71" w14:textId="77777777" w:rsidR="00454A29" w:rsidRDefault="00454A29"/>
        </w:tc>
        <w:tc>
          <w:tcPr>
            <w:tcW w:w="1701" w:type="dxa"/>
            <w:vAlign w:val="center"/>
          </w:tcPr>
          <w:p w14:paraId="10DCBA17" w14:textId="77777777" w:rsidR="00454A29" w:rsidRDefault="00454A29">
            <w:pPr>
              <w:pStyle w:val="ConsPlusNormal"/>
              <w:jc w:val="center"/>
            </w:pPr>
            <w:r>
              <w:t>2023</w:t>
            </w:r>
          </w:p>
        </w:tc>
        <w:tc>
          <w:tcPr>
            <w:tcW w:w="1417" w:type="dxa"/>
            <w:vMerge/>
          </w:tcPr>
          <w:p w14:paraId="7EDBB761" w14:textId="77777777" w:rsidR="00454A29" w:rsidRDefault="00454A29"/>
        </w:tc>
        <w:tc>
          <w:tcPr>
            <w:tcW w:w="2204" w:type="dxa"/>
            <w:vMerge/>
          </w:tcPr>
          <w:p w14:paraId="4E16F8D3" w14:textId="77777777" w:rsidR="00454A29" w:rsidRDefault="00454A29"/>
        </w:tc>
        <w:tc>
          <w:tcPr>
            <w:tcW w:w="1417" w:type="dxa"/>
            <w:vMerge/>
          </w:tcPr>
          <w:p w14:paraId="6254A8C4" w14:textId="77777777" w:rsidR="00454A29" w:rsidRDefault="00454A29"/>
        </w:tc>
        <w:tc>
          <w:tcPr>
            <w:tcW w:w="2324" w:type="dxa"/>
            <w:vMerge/>
          </w:tcPr>
          <w:p w14:paraId="64DB598B" w14:textId="77777777" w:rsidR="00454A29" w:rsidRDefault="00454A29"/>
        </w:tc>
        <w:tc>
          <w:tcPr>
            <w:tcW w:w="1701" w:type="dxa"/>
            <w:vAlign w:val="center"/>
          </w:tcPr>
          <w:p w14:paraId="4E070A61" w14:textId="77777777" w:rsidR="00454A29" w:rsidRDefault="00454A29">
            <w:pPr>
              <w:pStyle w:val="ConsPlusNormal"/>
              <w:jc w:val="center"/>
            </w:pPr>
            <w:r>
              <w:t>29 301,76</w:t>
            </w:r>
          </w:p>
        </w:tc>
        <w:tc>
          <w:tcPr>
            <w:tcW w:w="1814" w:type="dxa"/>
            <w:vAlign w:val="center"/>
          </w:tcPr>
          <w:p w14:paraId="7F25FFC1" w14:textId="77777777" w:rsidR="00454A29" w:rsidRDefault="00454A29">
            <w:pPr>
              <w:pStyle w:val="ConsPlusNormal"/>
              <w:jc w:val="center"/>
            </w:pPr>
            <w:r>
              <w:t>29 301,76</w:t>
            </w:r>
          </w:p>
        </w:tc>
        <w:tc>
          <w:tcPr>
            <w:tcW w:w="1701" w:type="dxa"/>
            <w:vAlign w:val="center"/>
          </w:tcPr>
          <w:p w14:paraId="6FD18B1E" w14:textId="77777777" w:rsidR="00454A29" w:rsidRDefault="00454A29">
            <w:pPr>
              <w:pStyle w:val="ConsPlusNormal"/>
            </w:pPr>
          </w:p>
        </w:tc>
        <w:tc>
          <w:tcPr>
            <w:tcW w:w="1701" w:type="dxa"/>
            <w:vAlign w:val="center"/>
          </w:tcPr>
          <w:p w14:paraId="54D2EF6A" w14:textId="77777777" w:rsidR="00454A29" w:rsidRDefault="00454A29">
            <w:pPr>
              <w:pStyle w:val="ConsPlusNormal"/>
            </w:pPr>
          </w:p>
        </w:tc>
        <w:tc>
          <w:tcPr>
            <w:tcW w:w="1814" w:type="dxa"/>
            <w:vAlign w:val="center"/>
          </w:tcPr>
          <w:p w14:paraId="3B37968A" w14:textId="77777777" w:rsidR="00454A29" w:rsidRDefault="00454A29">
            <w:pPr>
              <w:pStyle w:val="ConsPlusNormal"/>
            </w:pPr>
          </w:p>
        </w:tc>
      </w:tr>
      <w:tr w:rsidR="00454A29" w14:paraId="553B9FB4" w14:textId="77777777">
        <w:tc>
          <w:tcPr>
            <w:tcW w:w="567" w:type="dxa"/>
            <w:vMerge/>
          </w:tcPr>
          <w:p w14:paraId="64178441" w14:textId="77777777" w:rsidR="00454A29" w:rsidRDefault="00454A29"/>
        </w:tc>
        <w:tc>
          <w:tcPr>
            <w:tcW w:w="3345" w:type="dxa"/>
            <w:vMerge/>
          </w:tcPr>
          <w:p w14:paraId="7539A3CD" w14:textId="77777777" w:rsidR="00454A29" w:rsidRDefault="00454A29"/>
        </w:tc>
        <w:tc>
          <w:tcPr>
            <w:tcW w:w="1701" w:type="dxa"/>
            <w:vAlign w:val="center"/>
          </w:tcPr>
          <w:p w14:paraId="3F4DE8C8" w14:textId="77777777" w:rsidR="00454A29" w:rsidRDefault="00454A29">
            <w:pPr>
              <w:pStyle w:val="ConsPlusNormal"/>
              <w:jc w:val="center"/>
            </w:pPr>
            <w:r>
              <w:t>2024</w:t>
            </w:r>
          </w:p>
        </w:tc>
        <w:tc>
          <w:tcPr>
            <w:tcW w:w="1417" w:type="dxa"/>
            <w:vMerge/>
          </w:tcPr>
          <w:p w14:paraId="2AE81D7E" w14:textId="77777777" w:rsidR="00454A29" w:rsidRDefault="00454A29"/>
        </w:tc>
        <w:tc>
          <w:tcPr>
            <w:tcW w:w="2204" w:type="dxa"/>
            <w:vMerge/>
          </w:tcPr>
          <w:p w14:paraId="25C046A3" w14:textId="77777777" w:rsidR="00454A29" w:rsidRDefault="00454A29"/>
        </w:tc>
        <w:tc>
          <w:tcPr>
            <w:tcW w:w="1417" w:type="dxa"/>
            <w:vMerge/>
          </w:tcPr>
          <w:p w14:paraId="5C62A937" w14:textId="77777777" w:rsidR="00454A29" w:rsidRDefault="00454A29"/>
        </w:tc>
        <w:tc>
          <w:tcPr>
            <w:tcW w:w="2324" w:type="dxa"/>
            <w:vMerge/>
          </w:tcPr>
          <w:p w14:paraId="50028031" w14:textId="77777777" w:rsidR="00454A29" w:rsidRDefault="00454A29"/>
        </w:tc>
        <w:tc>
          <w:tcPr>
            <w:tcW w:w="1701" w:type="dxa"/>
            <w:vAlign w:val="center"/>
          </w:tcPr>
          <w:p w14:paraId="0AFCB025" w14:textId="77777777" w:rsidR="00454A29" w:rsidRDefault="00454A29">
            <w:pPr>
              <w:pStyle w:val="ConsPlusNormal"/>
              <w:jc w:val="center"/>
            </w:pPr>
            <w:r>
              <w:t>39 521,93</w:t>
            </w:r>
          </w:p>
        </w:tc>
        <w:tc>
          <w:tcPr>
            <w:tcW w:w="1814" w:type="dxa"/>
            <w:vAlign w:val="center"/>
          </w:tcPr>
          <w:p w14:paraId="1AFE34D7" w14:textId="77777777" w:rsidR="00454A29" w:rsidRDefault="00454A29">
            <w:pPr>
              <w:pStyle w:val="ConsPlusNormal"/>
              <w:jc w:val="center"/>
            </w:pPr>
            <w:r>
              <w:t>39 521,93</w:t>
            </w:r>
          </w:p>
        </w:tc>
        <w:tc>
          <w:tcPr>
            <w:tcW w:w="1701" w:type="dxa"/>
            <w:vAlign w:val="center"/>
          </w:tcPr>
          <w:p w14:paraId="253DD4D4" w14:textId="77777777" w:rsidR="00454A29" w:rsidRDefault="00454A29">
            <w:pPr>
              <w:pStyle w:val="ConsPlusNormal"/>
            </w:pPr>
          </w:p>
        </w:tc>
        <w:tc>
          <w:tcPr>
            <w:tcW w:w="1701" w:type="dxa"/>
            <w:vAlign w:val="center"/>
          </w:tcPr>
          <w:p w14:paraId="501A8FBF" w14:textId="77777777" w:rsidR="00454A29" w:rsidRDefault="00454A29">
            <w:pPr>
              <w:pStyle w:val="ConsPlusNormal"/>
            </w:pPr>
          </w:p>
        </w:tc>
        <w:tc>
          <w:tcPr>
            <w:tcW w:w="1814" w:type="dxa"/>
            <w:vAlign w:val="center"/>
          </w:tcPr>
          <w:p w14:paraId="26097E36" w14:textId="77777777" w:rsidR="00454A29" w:rsidRDefault="00454A29">
            <w:pPr>
              <w:pStyle w:val="ConsPlusNormal"/>
            </w:pPr>
          </w:p>
        </w:tc>
      </w:tr>
      <w:tr w:rsidR="00454A29" w14:paraId="7A6A4CFC" w14:textId="77777777">
        <w:tc>
          <w:tcPr>
            <w:tcW w:w="567" w:type="dxa"/>
            <w:vMerge/>
          </w:tcPr>
          <w:p w14:paraId="6B6A9E2B" w14:textId="77777777" w:rsidR="00454A29" w:rsidRDefault="00454A29"/>
        </w:tc>
        <w:tc>
          <w:tcPr>
            <w:tcW w:w="3345" w:type="dxa"/>
            <w:vMerge/>
          </w:tcPr>
          <w:p w14:paraId="7442D965" w14:textId="77777777" w:rsidR="00454A29" w:rsidRDefault="00454A29"/>
        </w:tc>
        <w:tc>
          <w:tcPr>
            <w:tcW w:w="1701" w:type="dxa"/>
            <w:vAlign w:val="center"/>
          </w:tcPr>
          <w:p w14:paraId="439AE89C" w14:textId="77777777" w:rsidR="00454A29" w:rsidRDefault="00454A29">
            <w:pPr>
              <w:pStyle w:val="ConsPlusNormal"/>
              <w:jc w:val="center"/>
            </w:pPr>
            <w:r>
              <w:t>2025</w:t>
            </w:r>
          </w:p>
        </w:tc>
        <w:tc>
          <w:tcPr>
            <w:tcW w:w="1417" w:type="dxa"/>
            <w:vMerge/>
          </w:tcPr>
          <w:p w14:paraId="28DA7853" w14:textId="77777777" w:rsidR="00454A29" w:rsidRDefault="00454A29"/>
        </w:tc>
        <w:tc>
          <w:tcPr>
            <w:tcW w:w="2204" w:type="dxa"/>
            <w:vMerge/>
          </w:tcPr>
          <w:p w14:paraId="6046BED9" w14:textId="77777777" w:rsidR="00454A29" w:rsidRDefault="00454A29"/>
        </w:tc>
        <w:tc>
          <w:tcPr>
            <w:tcW w:w="1417" w:type="dxa"/>
            <w:vMerge/>
          </w:tcPr>
          <w:p w14:paraId="15147B9A" w14:textId="77777777" w:rsidR="00454A29" w:rsidRDefault="00454A29"/>
        </w:tc>
        <w:tc>
          <w:tcPr>
            <w:tcW w:w="2324" w:type="dxa"/>
            <w:vMerge/>
          </w:tcPr>
          <w:p w14:paraId="4DD68495" w14:textId="77777777" w:rsidR="00454A29" w:rsidRDefault="00454A29"/>
        </w:tc>
        <w:tc>
          <w:tcPr>
            <w:tcW w:w="1701" w:type="dxa"/>
            <w:vAlign w:val="center"/>
          </w:tcPr>
          <w:p w14:paraId="39A92677" w14:textId="77777777" w:rsidR="00454A29" w:rsidRDefault="00454A29">
            <w:pPr>
              <w:pStyle w:val="ConsPlusNormal"/>
              <w:jc w:val="center"/>
            </w:pPr>
            <w:r>
              <w:t>-</w:t>
            </w:r>
          </w:p>
        </w:tc>
        <w:tc>
          <w:tcPr>
            <w:tcW w:w="1814" w:type="dxa"/>
            <w:vAlign w:val="center"/>
          </w:tcPr>
          <w:p w14:paraId="29357102" w14:textId="77777777" w:rsidR="00454A29" w:rsidRDefault="00454A29">
            <w:pPr>
              <w:pStyle w:val="ConsPlusNormal"/>
            </w:pPr>
          </w:p>
        </w:tc>
        <w:tc>
          <w:tcPr>
            <w:tcW w:w="1701" w:type="dxa"/>
            <w:vAlign w:val="center"/>
          </w:tcPr>
          <w:p w14:paraId="023D2209" w14:textId="77777777" w:rsidR="00454A29" w:rsidRDefault="00454A29">
            <w:pPr>
              <w:pStyle w:val="ConsPlusNormal"/>
            </w:pPr>
          </w:p>
        </w:tc>
        <w:tc>
          <w:tcPr>
            <w:tcW w:w="1701" w:type="dxa"/>
            <w:vAlign w:val="center"/>
          </w:tcPr>
          <w:p w14:paraId="7E4F719B" w14:textId="77777777" w:rsidR="00454A29" w:rsidRDefault="00454A29">
            <w:pPr>
              <w:pStyle w:val="ConsPlusNormal"/>
            </w:pPr>
          </w:p>
        </w:tc>
        <w:tc>
          <w:tcPr>
            <w:tcW w:w="1814" w:type="dxa"/>
            <w:vAlign w:val="center"/>
          </w:tcPr>
          <w:p w14:paraId="48C64C4F" w14:textId="77777777" w:rsidR="00454A29" w:rsidRDefault="00454A29">
            <w:pPr>
              <w:pStyle w:val="ConsPlusNormal"/>
            </w:pPr>
          </w:p>
        </w:tc>
      </w:tr>
      <w:tr w:rsidR="00454A29" w14:paraId="5C041818" w14:textId="77777777">
        <w:tc>
          <w:tcPr>
            <w:tcW w:w="567" w:type="dxa"/>
            <w:vMerge/>
          </w:tcPr>
          <w:p w14:paraId="5B185B07" w14:textId="77777777" w:rsidR="00454A29" w:rsidRDefault="00454A29"/>
        </w:tc>
        <w:tc>
          <w:tcPr>
            <w:tcW w:w="3345" w:type="dxa"/>
            <w:vMerge/>
          </w:tcPr>
          <w:p w14:paraId="50690292" w14:textId="77777777" w:rsidR="00454A29" w:rsidRDefault="00454A29"/>
        </w:tc>
        <w:tc>
          <w:tcPr>
            <w:tcW w:w="1701" w:type="dxa"/>
            <w:vAlign w:val="center"/>
          </w:tcPr>
          <w:p w14:paraId="67946B83" w14:textId="77777777" w:rsidR="00454A29" w:rsidRDefault="00454A29">
            <w:pPr>
              <w:pStyle w:val="ConsPlusNormal"/>
              <w:jc w:val="center"/>
            </w:pPr>
            <w:r>
              <w:t>2026</w:t>
            </w:r>
          </w:p>
        </w:tc>
        <w:tc>
          <w:tcPr>
            <w:tcW w:w="1417" w:type="dxa"/>
            <w:vMerge/>
          </w:tcPr>
          <w:p w14:paraId="43ED5D93" w14:textId="77777777" w:rsidR="00454A29" w:rsidRDefault="00454A29"/>
        </w:tc>
        <w:tc>
          <w:tcPr>
            <w:tcW w:w="2204" w:type="dxa"/>
            <w:vMerge/>
          </w:tcPr>
          <w:p w14:paraId="042BBA34" w14:textId="77777777" w:rsidR="00454A29" w:rsidRDefault="00454A29"/>
        </w:tc>
        <w:tc>
          <w:tcPr>
            <w:tcW w:w="1417" w:type="dxa"/>
            <w:vMerge/>
          </w:tcPr>
          <w:p w14:paraId="1C9322A7" w14:textId="77777777" w:rsidR="00454A29" w:rsidRDefault="00454A29"/>
        </w:tc>
        <w:tc>
          <w:tcPr>
            <w:tcW w:w="2324" w:type="dxa"/>
            <w:vMerge/>
          </w:tcPr>
          <w:p w14:paraId="53A51844" w14:textId="77777777" w:rsidR="00454A29" w:rsidRDefault="00454A29"/>
        </w:tc>
        <w:tc>
          <w:tcPr>
            <w:tcW w:w="1701" w:type="dxa"/>
            <w:vAlign w:val="center"/>
          </w:tcPr>
          <w:p w14:paraId="7FA0B9FF" w14:textId="77777777" w:rsidR="00454A29" w:rsidRDefault="00454A29">
            <w:pPr>
              <w:pStyle w:val="ConsPlusNormal"/>
              <w:jc w:val="center"/>
            </w:pPr>
            <w:r>
              <w:t>-</w:t>
            </w:r>
          </w:p>
        </w:tc>
        <w:tc>
          <w:tcPr>
            <w:tcW w:w="1814" w:type="dxa"/>
            <w:vAlign w:val="center"/>
          </w:tcPr>
          <w:p w14:paraId="540C6EE9" w14:textId="77777777" w:rsidR="00454A29" w:rsidRDefault="00454A29">
            <w:pPr>
              <w:pStyle w:val="ConsPlusNormal"/>
            </w:pPr>
          </w:p>
        </w:tc>
        <w:tc>
          <w:tcPr>
            <w:tcW w:w="1701" w:type="dxa"/>
            <w:vAlign w:val="center"/>
          </w:tcPr>
          <w:p w14:paraId="7C07C379" w14:textId="77777777" w:rsidR="00454A29" w:rsidRDefault="00454A29">
            <w:pPr>
              <w:pStyle w:val="ConsPlusNormal"/>
            </w:pPr>
          </w:p>
        </w:tc>
        <w:tc>
          <w:tcPr>
            <w:tcW w:w="1701" w:type="dxa"/>
            <w:vAlign w:val="center"/>
          </w:tcPr>
          <w:p w14:paraId="50E2E933" w14:textId="77777777" w:rsidR="00454A29" w:rsidRDefault="00454A29">
            <w:pPr>
              <w:pStyle w:val="ConsPlusNormal"/>
            </w:pPr>
          </w:p>
        </w:tc>
        <w:tc>
          <w:tcPr>
            <w:tcW w:w="1814" w:type="dxa"/>
            <w:vAlign w:val="center"/>
          </w:tcPr>
          <w:p w14:paraId="2C192744" w14:textId="77777777" w:rsidR="00454A29" w:rsidRDefault="00454A29">
            <w:pPr>
              <w:pStyle w:val="ConsPlusNormal"/>
            </w:pPr>
          </w:p>
        </w:tc>
      </w:tr>
      <w:tr w:rsidR="00454A29" w14:paraId="457A4B57" w14:textId="77777777">
        <w:tc>
          <w:tcPr>
            <w:tcW w:w="567" w:type="dxa"/>
            <w:vMerge w:val="restart"/>
            <w:vAlign w:val="center"/>
          </w:tcPr>
          <w:p w14:paraId="241D39FF" w14:textId="77777777" w:rsidR="00454A29" w:rsidRDefault="00454A29">
            <w:pPr>
              <w:pStyle w:val="ConsPlusNormal"/>
              <w:jc w:val="center"/>
            </w:pPr>
            <w:r>
              <w:t>32</w:t>
            </w:r>
          </w:p>
        </w:tc>
        <w:tc>
          <w:tcPr>
            <w:tcW w:w="3345" w:type="dxa"/>
            <w:vMerge w:val="restart"/>
            <w:vAlign w:val="center"/>
          </w:tcPr>
          <w:p w14:paraId="1046A6FC" w14:textId="77777777" w:rsidR="00454A29" w:rsidRDefault="00454A29">
            <w:pPr>
              <w:pStyle w:val="ConsPlusNormal"/>
              <w:jc w:val="center"/>
            </w:pPr>
            <w:r>
              <w:t>Детский сад в с. Усть-Татта на 100 мест Таттинского улуса</w:t>
            </w:r>
          </w:p>
        </w:tc>
        <w:tc>
          <w:tcPr>
            <w:tcW w:w="1701" w:type="dxa"/>
            <w:vAlign w:val="center"/>
          </w:tcPr>
          <w:p w14:paraId="0180BFA2" w14:textId="77777777" w:rsidR="00454A29" w:rsidRDefault="00454A29">
            <w:pPr>
              <w:pStyle w:val="ConsPlusNormal"/>
              <w:jc w:val="center"/>
            </w:pPr>
            <w:r>
              <w:t>2020 - 2026 годы - всего</w:t>
            </w:r>
          </w:p>
        </w:tc>
        <w:tc>
          <w:tcPr>
            <w:tcW w:w="1417" w:type="dxa"/>
            <w:vMerge w:val="restart"/>
            <w:vAlign w:val="center"/>
          </w:tcPr>
          <w:p w14:paraId="4344522A" w14:textId="77777777" w:rsidR="00454A29" w:rsidRDefault="00454A29">
            <w:pPr>
              <w:pStyle w:val="ConsPlusNormal"/>
              <w:jc w:val="center"/>
            </w:pPr>
            <w:r>
              <w:t>167 604,18</w:t>
            </w:r>
          </w:p>
        </w:tc>
        <w:tc>
          <w:tcPr>
            <w:tcW w:w="2204" w:type="dxa"/>
            <w:vMerge w:val="restart"/>
            <w:vAlign w:val="center"/>
          </w:tcPr>
          <w:p w14:paraId="2F10E476" w14:textId="77777777" w:rsidR="00454A29" w:rsidRDefault="00454A29">
            <w:pPr>
              <w:pStyle w:val="ConsPlusNormal"/>
            </w:pPr>
          </w:p>
        </w:tc>
        <w:tc>
          <w:tcPr>
            <w:tcW w:w="1417" w:type="dxa"/>
            <w:vMerge w:val="restart"/>
            <w:vAlign w:val="center"/>
          </w:tcPr>
          <w:p w14:paraId="36194195" w14:textId="77777777" w:rsidR="00454A29" w:rsidRDefault="00454A29">
            <w:pPr>
              <w:pStyle w:val="ConsPlusNormal"/>
              <w:jc w:val="center"/>
            </w:pPr>
            <w:r>
              <w:t>100</w:t>
            </w:r>
          </w:p>
        </w:tc>
        <w:tc>
          <w:tcPr>
            <w:tcW w:w="2324" w:type="dxa"/>
            <w:vMerge w:val="restart"/>
            <w:vAlign w:val="center"/>
          </w:tcPr>
          <w:p w14:paraId="01F5CC3F"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DA93B91" w14:textId="77777777" w:rsidR="00454A29" w:rsidRDefault="00454A29">
            <w:pPr>
              <w:pStyle w:val="ConsPlusNormal"/>
              <w:jc w:val="center"/>
            </w:pPr>
            <w:r>
              <w:t>97 629,44</w:t>
            </w:r>
          </w:p>
        </w:tc>
        <w:tc>
          <w:tcPr>
            <w:tcW w:w="1814" w:type="dxa"/>
            <w:vAlign w:val="center"/>
          </w:tcPr>
          <w:p w14:paraId="705F09BC" w14:textId="77777777" w:rsidR="00454A29" w:rsidRDefault="00454A29">
            <w:pPr>
              <w:pStyle w:val="ConsPlusNormal"/>
              <w:jc w:val="center"/>
            </w:pPr>
            <w:r>
              <w:t>167 604,18</w:t>
            </w:r>
          </w:p>
        </w:tc>
        <w:tc>
          <w:tcPr>
            <w:tcW w:w="1701" w:type="dxa"/>
            <w:vAlign w:val="center"/>
          </w:tcPr>
          <w:p w14:paraId="09055CE6" w14:textId="77777777" w:rsidR="00454A29" w:rsidRDefault="00454A29">
            <w:pPr>
              <w:pStyle w:val="ConsPlusNormal"/>
              <w:jc w:val="center"/>
            </w:pPr>
            <w:r>
              <w:t>-</w:t>
            </w:r>
          </w:p>
        </w:tc>
        <w:tc>
          <w:tcPr>
            <w:tcW w:w="1701" w:type="dxa"/>
            <w:vAlign w:val="center"/>
          </w:tcPr>
          <w:p w14:paraId="2DC990BD" w14:textId="77777777" w:rsidR="00454A29" w:rsidRDefault="00454A29">
            <w:pPr>
              <w:pStyle w:val="ConsPlusNormal"/>
              <w:jc w:val="center"/>
            </w:pPr>
            <w:r>
              <w:t>-</w:t>
            </w:r>
          </w:p>
        </w:tc>
        <w:tc>
          <w:tcPr>
            <w:tcW w:w="1814" w:type="dxa"/>
            <w:vAlign w:val="center"/>
          </w:tcPr>
          <w:p w14:paraId="28C26A71" w14:textId="77777777" w:rsidR="00454A29" w:rsidRDefault="00454A29">
            <w:pPr>
              <w:pStyle w:val="ConsPlusNormal"/>
              <w:jc w:val="center"/>
            </w:pPr>
            <w:r>
              <w:t>-</w:t>
            </w:r>
          </w:p>
        </w:tc>
      </w:tr>
      <w:tr w:rsidR="00454A29" w14:paraId="23F045EF" w14:textId="77777777">
        <w:tc>
          <w:tcPr>
            <w:tcW w:w="567" w:type="dxa"/>
            <w:vMerge/>
          </w:tcPr>
          <w:p w14:paraId="7FA91DB8" w14:textId="77777777" w:rsidR="00454A29" w:rsidRDefault="00454A29"/>
        </w:tc>
        <w:tc>
          <w:tcPr>
            <w:tcW w:w="3345" w:type="dxa"/>
            <w:vMerge/>
          </w:tcPr>
          <w:p w14:paraId="15E6293D" w14:textId="77777777" w:rsidR="00454A29" w:rsidRDefault="00454A29"/>
        </w:tc>
        <w:tc>
          <w:tcPr>
            <w:tcW w:w="1701" w:type="dxa"/>
            <w:vAlign w:val="center"/>
          </w:tcPr>
          <w:p w14:paraId="39C8B358" w14:textId="77777777" w:rsidR="00454A29" w:rsidRDefault="00454A29">
            <w:pPr>
              <w:pStyle w:val="ConsPlusNormal"/>
              <w:jc w:val="center"/>
            </w:pPr>
            <w:r>
              <w:t>2020</w:t>
            </w:r>
          </w:p>
        </w:tc>
        <w:tc>
          <w:tcPr>
            <w:tcW w:w="1417" w:type="dxa"/>
            <w:vMerge/>
          </w:tcPr>
          <w:p w14:paraId="63951AEC" w14:textId="77777777" w:rsidR="00454A29" w:rsidRDefault="00454A29"/>
        </w:tc>
        <w:tc>
          <w:tcPr>
            <w:tcW w:w="2204" w:type="dxa"/>
            <w:vMerge/>
          </w:tcPr>
          <w:p w14:paraId="6A36B569" w14:textId="77777777" w:rsidR="00454A29" w:rsidRDefault="00454A29"/>
        </w:tc>
        <w:tc>
          <w:tcPr>
            <w:tcW w:w="1417" w:type="dxa"/>
            <w:vMerge/>
          </w:tcPr>
          <w:p w14:paraId="4FDA69A4" w14:textId="77777777" w:rsidR="00454A29" w:rsidRDefault="00454A29"/>
        </w:tc>
        <w:tc>
          <w:tcPr>
            <w:tcW w:w="2324" w:type="dxa"/>
            <w:vMerge/>
          </w:tcPr>
          <w:p w14:paraId="09139305" w14:textId="77777777" w:rsidR="00454A29" w:rsidRDefault="00454A29"/>
        </w:tc>
        <w:tc>
          <w:tcPr>
            <w:tcW w:w="1701" w:type="dxa"/>
            <w:vAlign w:val="center"/>
          </w:tcPr>
          <w:p w14:paraId="4EFBE382" w14:textId="77777777" w:rsidR="00454A29" w:rsidRDefault="00454A29">
            <w:pPr>
              <w:pStyle w:val="ConsPlusNormal"/>
              <w:jc w:val="center"/>
            </w:pPr>
            <w:r>
              <w:t>-</w:t>
            </w:r>
          </w:p>
        </w:tc>
        <w:tc>
          <w:tcPr>
            <w:tcW w:w="1814" w:type="dxa"/>
            <w:vAlign w:val="center"/>
          </w:tcPr>
          <w:p w14:paraId="3053D103" w14:textId="77777777" w:rsidR="00454A29" w:rsidRDefault="00454A29">
            <w:pPr>
              <w:pStyle w:val="ConsPlusNormal"/>
            </w:pPr>
          </w:p>
        </w:tc>
        <w:tc>
          <w:tcPr>
            <w:tcW w:w="1701" w:type="dxa"/>
            <w:vAlign w:val="center"/>
          </w:tcPr>
          <w:p w14:paraId="1A863151" w14:textId="77777777" w:rsidR="00454A29" w:rsidRDefault="00454A29">
            <w:pPr>
              <w:pStyle w:val="ConsPlusNormal"/>
            </w:pPr>
          </w:p>
        </w:tc>
        <w:tc>
          <w:tcPr>
            <w:tcW w:w="1701" w:type="dxa"/>
            <w:vAlign w:val="center"/>
          </w:tcPr>
          <w:p w14:paraId="291EA002" w14:textId="77777777" w:rsidR="00454A29" w:rsidRDefault="00454A29">
            <w:pPr>
              <w:pStyle w:val="ConsPlusNormal"/>
            </w:pPr>
          </w:p>
        </w:tc>
        <w:tc>
          <w:tcPr>
            <w:tcW w:w="1814" w:type="dxa"/>
            <w:vAlign w:val="center"/>
          </w:tcPr>
          <w:p w14:paraId="16ED2D51" w14:textId="77777777" w:rsidR="00454A29" w:rsidRDefault="00454A29">
            <w:pPr>
              <w:pStyle w:val="ConsPlusNormal"/>
            </w:pPr>
          </w:p>
        </w:tc>
      </w:tr>
      <w:tr w:rsidR="00454A29" w14:paraId="6E102E4F" w14:textId="77777777">
        <w:tc>
          <w:tcPr>
            <w:tcW w:w="567" w:type="dxa"/>
            <w:vMerge/>
          </w:tcPr>
          <w:p w14:paraId="53B79C91" w14:textId="77777777" w:rsidR="00454A29" w:rsidRDefault="00454A29"/>
        </w:tc>
        <w:tc>
          <w:tcPr>
            <w:tcW w:w="3345" w:type="dxa"/>
            <w:vMerge/>
          </w:tcPr>
          <w:p w14:paraId="45FE501A" w14:textId="77777777" w:rsidR="00454A29" w:rsidRDefault="00454A29"/>
        </w:tc>
        <w:tc>
          <w:tcPr>
            <w:tcW w:w="1701" w:type="dxa"/>
            <w:vAlign w:val="center"/>
          </w:tcPr>
          <w:p w14:paraId="4853BEBA" w14:textId="77777777" w:rsidR="00454A29" w:rsidRDefault="00454A29">
            <w:pPr>
              <w:pStyle w:val="ConsPlusNormal"/>
              <w:jc w:val="center"/>
            </w:pPr>
            <w:r>
              <w:t>2021</w:t>
            </w:r>
          </w:p>
        </w:tc>
        <w:tc>
          <w:tcPr>
            <w:tcW w:w="1417" w:type="dxa"/>
            <w:vMerge/>
          </w:tcPr>
          <w:p w14:paraId="4FC8B1C6" w14:textId="77777777" w:rsidR="00454A29" w:rsidRDefault="00454A29"/>
        </w:tc>
        <w:tc>
          <w:tcPr>
            <w:tcW w:w="2204" w:type="dxa"/>
            <w:vMerge/>
          </w:tcPr>
          <w:p w14:paraId="6158C85A" w14:textId="77777777" w:rsidR="00454A29" w:rsidRDefault="00454A29"/>
        </w:tc>
        <w:tc>
          <w:tcPr>
            <w:tcW w:w="1417" w:type="dxa"/>
            <w:vMerge/>
          </w:tcPr>
          <w:p w14:paraId="260B1337" w14:textId="77777777" w:rsidR="00454A29" w:rsidRDefault="00454A29"/>
        </w:tc>
        <w:tc>
          <w:tcPr>
            <w:tcW w:w="2324" w:type="dxa"/>
            <w:vMerge/>
          </w:tcPr>
          <w:p w14:paraId="11ECFBC0" w14:textId="77777777" w:rsidR="00454A29" w:rsidRDefault="00454A29"/>
        </w:tc>
        <w:tc>
          <w:tcPr>
            <w:tcW w:w="1701" w:type="dxa"/>
            <w:vAlign w:val="center"/>
          </w:tcPr>
          <w:p w14:paraId="4B82B543" w14:textId="77777777" w:rsidR="00454A29" w:rsidRDefault="00454A29">
            <w:pPr>
              <w:pStyle w:val="ConsPlusNormal"/>
              <w:jc w:val="center"/>
            </w:pPr>
            <w:r>
              <w:t>-</w:t>
            </w:r>
          </w:p>
        </w:tc>
        <w:tc>
          <w:tcPr>
            <w:tcW w:w="1814" w:type="dxa"/>
            <w:vAlign w:val="center"/>
          </w:tcPr>
          <w:p w14:paraId="7070B43D" w14:textId="77777777" w:rsidR="00454A29" w:rsidRDefault="00454A29">
            <w:pPr>
              <w:pStyle w:val="ConsPlusNormal"/>
            </w:pPr>
          </w:p>
        </w:tc>
        <w:tc>
          <w:tcPr>
            <w:tcW w:w="1701" w:type="dxa"/>
            <w:vAlign w:val="center"/>
          </w:tcPr>
          <w:p w14:paraId="2EBF6D64" w14:textId="77777777" w:rsidR="00454A29" w:rsidRDefault="00454A29">
            <w:pPr>
              <w:pStyle w:val="ConsPlusNormal"/>
            </w:pPr>
          </w:p>
        </w:tc>
        <w:tc>
          <w:tcPr>
            <w:tcW w:w="1701" w:type="dxa"/>
            <w:vAlign w:val="center"/>
          </w:tcPr>
          <w:p w14:paraId="00D45818" w14:textId="77777777" w:rsidR="00454A29" w:rsidRDefault="00454A29">
            <w:pPr>
              <w:pStyle w:val="ConsPlusNormal"/>
            </w:pPr>
          </w:p>
        </w:tc>
        <w:tc>
          <w:tcPr>
            <w:tcW w:w="1814" w:type="dxa"/>
            <w:vAlign w:val="center"/>
          </w:tcPr>
          <w:p w14:paraId="6D443E1F" w14:textId="77777777" w:rsidR="00454A29" w:rsidRDefault="00454A29">
            <w:pPr>
              <w:pStyle w:val="ConsPlusNormal"/>
            </w:pPr>
          </w:p>
        </w:tc>
      </w:tr>
      <w:tr w:rsidR="00454A29" w14:paraId="386FDBB6" w14:textId="77777777">
        <w:tc>
          <w:tcPr>
            <w:tcW w:w="567" w:type="dxa"/>
            <w:vMerge/>
          </w:tcPr>
          <w:p w14:paraId="7DCD8C99" w14:textId="77777777" w:rsidR="00454A29" w:rsidRDefault="00454A29"/>
        </w:tc>
        <w:tc>
          <w:tcPr>
            <w:tcW w:w="3345" w:type="dxa"/>
            <w:vMerge/>
          </w:tcPr>
          <w:p w14:paraId="5197CC2E" w14:textId="77777777" w:rsidR="00454A29" w:rsidRDefault="00454A29"/>
        </w:tc>
        <w:tc>
          <w:tcPr>
            <w:tcW w:w="1701" w:type="dxa"/>
            <w:vAlign w:val="center"/>
          </w:tcPr>
          <w:p w14:paraId="4780F1A1" w14:textId="77777777" w:rsidR="00454A29" w:rsidRDefault="00454A29">
            <w:pPr>
              <w:pStyle w:val="ConsPlusNormal"/>
              <w:jc w:val="center"/>
            </w:pPr>
            <w:r>
              <w:t>2022</w:t>
            </w:r>
          </w:p>
        </w:tc>
        <w:tc>
          <w:tcPr>
            <w:tcW w:w="1417" w:type="dxa"/>
            <w:vMerge/>
          </w:tcPr>
          <w:p w14:paraId="38C27D10" w14:textId="77777777" w:rsidR="00454A29" w:rsidRDefault="00454A29"/>
        </w:tc>
        <w:tc>
          <w:tcPr>
            <w:tcW w:w="2204" w:type="dxa"/>
            <w:vMerge/>
          </w:tcPr>
          <w:p w14:paraId="1844A4E8" w14:textId="77777777" w:rsidR="00454A29" w:rsidRDefault="00454A29"/>
        </w:tc>
        <w:tc>
          <w:tcPr>
            <w:tcW w:w="1417" w:type="dxa"/>
            <w:vMerge/>
          </w:tcPr>
          <w:p w14:paraId="1C7726CF" w14:textId="77777777" w:rsidR="00454A29" w:rsidRDefault="00454A29"/>
        </w:tc>
        <w:tc>
          <w:tcPr>
            <w:tcW w:w="2324" w:type="dxa"/>
            <w:vMerge/>
          </w:tcPr>
          <w:p w14:paraId="22189477" w14:textId="77777777" w:rsidR="00454A29" w:rsidRDefault="00454A29"/>
        </w:tc>
        <w:tc>
          <w:tcPr>
            <w:tcW w:w="1701" w:type="dxa"/>
            <w:vAlign w:val="center"/>
          </w:tcPr>
          <w:p w14:paraId="240454BA" w14:textId="77777777" w:rsidR="00454A29" w:rsidRDefault="00454A29">
            <w:pPr>
              <w:pStyle w:val="ConsPlusNormal"/>
              <w:jc w:val="center"/>
            </w:pPr>
            <w:r>
              <w:t>-</w:t>
            </w:r>
          </w:p>
        </w:tc>
        <w:tc>
          <w:tcPr>
            <w:tcW w:w="1814" w:type="dxa"/>
            <w:vAlign w:val="center"/>
          </w:tcPr>
          <w:p w14:paraId="55331F96" w14:textId="77777777" w:rsidR="00454A29" w:rsidRDefault="00454A29">
            <w:pPr>
              <w:pStyle w:val="ConsPlusNormal"/>
            </w:pPr>
          </w:p>
        </w:tc>
        <w:tc>
          <w:tcPr>
            <w:tcW w:w="1701" w:type="dxa"/>
            <w:vAlign w:val="center"/>
          </w:tcPr>
          <w:p w14:paraId="254FAA4A" w14:textId="77777777" w:rsidR="00454A29" w:rsidRDefault="00454A29">
            <w:pPr>
              <w:pStyle w:val="ConsPlusNormal"/>
            </w:pPr>
          </w:p>
        </w:tc>
        <w:tc>
          <w:tcPr>
            <w:tcW w:w="1701" w:type="dxa"/>
            <w:vAlign w:val="center"/>
          </w:tcPr>
          <w:p w14:paraId="7C44A8D4" w14:textId="77777777" w:rsidR="00454A29" w:rsidRDefault="00454A29">
            <w:pPr>
              <w:pStyle w:val="ConsPlusNormal"/>
            </w:pPr>
          </w:p>
        </w:tc>
        <w:tc>
          <w:tcPr>
            <w:tcW w:w="1814" w:type="dxa"/>
            <w:vAlign w:val="center"/>
          </w:tcPr>
          <w:p w14:paraId="710DC5F2" w14:textId="77777777" w:rsidR="00454A29" w:rsidRDefault="00454A29">
            <w:pPr>
              <w:pStyle w:val="ConsPlusNormal"/>
            </w:pPr>
          </w:p>
        </w:tc>
      </w:tr>
      <w:tr w:rsidR="00454A29" w14:paraId="1C069E70" w14:textId="77777777">
        <w:tc>
          <w:tcPr>
            <w:tcW w:w="567" w:type="dxa"/>
            <w:vMerge/>
          </w:tcPr>
          <w:p w14:paraId="364CA644" w14:textId="77777777" w:rsidR="00454A29" w:rsidRDefault="00454A29"/>
        </w:tc>
        <w:tc>
          <w:tcPr>
            <w:tcW w:w="3345" w:type="dxa"/>
            <w:vMerge/>
          </w:tcPr>
          <w:p w14:paraId="35934DAE" w14:textId="77777777" w:rsidR="00454A29" w:rsidRDefault="00454A29"/>
        </w:tc>
        <w:tc>
          <w:tcPr>
            <w:tcW w:w="1701" w:type="dxa"/>
            <w:vAlign w:val="center"/>
          </w:tcPr>
          <w:p w14:paraId="6F17D0EB" w14:textId="77777777" w:rsidR="00454A29" w:rsidRDefault="00454A29">
            <w:pPr>
              <w:pStyle w:val="ConsPlusNormal"/>
              <w:jc w:val="center"/>
            </w:pPr>
            <w:r>
              <w:t>2023</w:t>
            </w:r>
          </w:p>
        </w:tc>
        <w:tc>
          <w:tcPr>
            <w:tcW w:w="1417" w:type="dxa"/>
            <w:vMerge/>
          </w:tcPr>
          <w:p w14:paraId="7FB6B6DC" w14:textId="77777777" w:rsidR="00454A29" w:rsidRDefault="00454A29"/>
        </w:tc>
        <w:tc>
          <w:tcPr>
            <w:tcW w:w="2204" w:type="dxa"/>
            <w:vMerge/>
          </w:tcPr>
          <w:p w14:paraId="1F9220EB" w14:textId="77777777" w:rsidR="00454A29" w:rsidRDefault="00454A29"/>
        </w:tc>
        <w:tc>
          <w:tcPr>
            <w:tcW w:w="1417" w:type="dxa"/>
            <w:vMerge/>
          </w:tcPr>
          <w:p w14:paraId="440588C0" w14:textId="77777777" w:rsidR="00454A29" w:rsidRDefault="00454A29"/>
        </w:tc>
        <w:tc>
          <w:tcPr>
            <w:tcW w:w="2324" w:type="dxa"/>
            <w:vMerge/>
          </w:tcPr>
          <w:p w14:paraId="235BFC21" w14:textId="77777777" w:rsidR="00454A29" w:rsidRDefault="00454A29"/>
        </w:tc>
        <w:tc>
          <w:tcPr>
            <w:tcW w:w="1701" w:type="dxa"/>
            <w:vAlign w:val="center"/>
          </w:tcPr>
          <w:p w14:paraId="1AE43151" w14:textId="77777777" w:rsidR="00454A29" w:rsidRDefault="00454A29">
            <w:pPr>
              <w:pStyle w:val="ConsPlusNormal"/>
              <w:jc w:val="center"/>
            </w:pPr>
            <w:r>
              <w:t>41 565,84</w:t>
            </w:r>
          </w:p>
        </w:tc>
        <w:tc>
          <w:tcPr>
            <w:tcW w:w="1814" w:type="dxa"/>
            <w:vAlign w:val="center"/>
          </w:tcPr>
          <w:p w14:paraId="3F44B429" w14:textId="77777777" w:rsidR="00454A29" w:rsidRDefault="00454A29">
            <w:pPr>
              <w:pStyle w:val="ConsPlusNormal"/>
              <w:jc w:val="center"/>
            </w:pPr>
            <w:r>
              <w:t>41 565,84</w:t>
            </w:r>
          </w:p>
        </w:tc>
        <w:tc>
          <w:tcPr>
            <w:tcW w:w="1701" w:type="dxa"/>
            <w:vAlign w:val="center"/>
          </w:tcPr>
          <w:p w14:paraId="49C06A87" w14:textId="77777777" w:rsidR="00454A29" w:rsidRDefault="00454A29">
            <w:pPr>
              <w:pStyle w:val="ConsPlusNormal"/>
            </w:pPr>
          </w:p>
        </w:tc>
        <w:tc>
          <w:tcPr>
            <w:tcW w:w="1701" w:type="dxa"/>
            <w:vAlign w:val="center"/>
          </w:tcPr>
          <w:p w14:paraId="75C38A84" w14:textId="77777777" w:rsidR="00454A29" w:rsidRDefault="00454A29">
            <w:pPr>
              <w:pStyle w:val="ConsPlusNormal"/>
            </w:pPr>
          </w:p>
        </w:tc>
        <w:tc>
          <w:tcPr>
            <w:tcW w:w="1814" w:type="dxa"/>
            <w:vAlign w:val="center"/>
          </w:tcPr>
          <w:p w14:paraId="69A5E31C" w14:textId="77777777" w:rsidR="00454A29" w:rsidRDefault="00454A29">
            <w:pPr>
              <w:pStyle w:val="ConsPlusNormal"/>
            </w:pPr>
          </w:p>
        </w:tc>
      </w:tr>
      <w:tr w:rsidR="00454A29" w14:paraId="7DB5470B" w14:textId="77777777">
        <w:tc>
          <w:tcPr>
            <w:tcW w:w="567" w:type="dxa"/>
            <w:vMerge/>
          </w:tcPr>
          <w:p w14:paraId="44F8EC6E" w14:textId="77777777" w:rsidR="00454A29" w:rsidRDefault="00454A29"/>
        </w:tc>
        <w:tc>
          <w:tcPr>
            <w:tcW w:w="3345" w:type="dxa"/>
            <w:vMerge/>
          </w:tcPr>
          <w:p w14:paraId="1C930537" w14:textId="77777777" w:rsidR="00454A29" w:rsidRDefault="00454A29"/>
        </w:tc>
        <w:tc>
          <w:tcPr>
            <w:tcW w:w="1701" w:type="dxa"/>
            <w:vAlign w:val="center"/>
          </w:tcPr>
          <w:p w14:paraId="4F3BCCDF" w14:textId="77777777" w:rsidR="00454A29" w:rsidRDefault="00454A29">
            <w:pPr>
              <w:pStyle w:val="ConsPlusNormal"/>
              <w:jc w:val="center"/>
            </w:pPr>
            <w:r>
              <w:t>2024</w:t>
            </w:r>
          </w:p>
        </w:tc>
        <w:tc>
          <w:tcPr>
            <w:tcW w:w="1417" w:type="dxa"/>
            <w:vMerge/>
          </w:tcPr>
          <w:p w14:paraId="442F6233" w14:textId="77777777" w:rsidR="00454A29" w:rsidRDefault="00454A29"/>
        </w:tc>
        <w:tc>
          <w:tcPr>
            <w:tcW w:w="2204" w:type="dxa"/>
            <w:vMerge/>
          </w:tcPr>
          <w:p w14:paraId="68D71A8A" w14:textId="77777777" w:rsidR="00454A29" w:rsidRDefault="00454A29"/>
        </w:tc>
        <w:tc>
          <w:tcPr>
            <w:tcW w:w="1417" w:type="dxa"/>
            <w:vMerge/>
          </w:tcPr>
          <w:p w14:paraId="1F21FC12" w14:textId="77777777" w:rsidR="00454A29" w:rsidRDefault="00454A29"/>
        </w:tc>
        <w:tc>
          <w:tcPr>
            <w:tcW w:w="2324" w:type="dxa"/>
            <w:vMerge/>
          </w:tcPr>
          <w:p w14:paraId="75D01381" w14:textId="77777777" w:rsidR="00454A29" w:rsidRDefault="00454A29"/>
        </w:tc>
        <w:tc>
          <w:tcPr>
            <w:tcW w:w="1701" w:type="dxa"/>
            <w:vAlign w:val="center"/>
          </w:tcPr>
          <w:p w14:paraId="4A893B51" w14:textId="77777777" w:rsidR="00454A29" w:rsidRDefault="00454A29">
            <w:pPr>
              <w:pStyle w:val="ConsPlusNormal"/>
              <w:jc w:val="center"/>
            </w:pPr>
            <w:r>
              <w:t>56 063,60</w:t>
            </w:r>
          </w:p>
        </w:tc>
        <w:tc>
          <w:tcPr>
            <w:tcW w:w="1814" w:type="dxa"/>
            <w:vAlign w:val="center"/>
          </w:tcPr>
          <w:p w14:paraId="0DB56B38" w14:textId="77777777" w:rsidR="00454A29" w:rsidRDefault="00454A29">
            <w:pPr>
              <w:pStyle w:val="ConsPlusNormal"/>
              <w:jc w:val="center"/>
            </w:pPr>
            <w:r>
              <w:t>56 063,60</w:t>
            </w:r>
          </w:p>
        </w:tc>
        <w:tc>
          <w:tcPr>
            <w:tcW w:w="1701" w:type="dxa"/>
            <w:vAlign w:val="center"/>
          </w:tcPr>
          <w:p w14:paraId="03DF0031" w14:textId="77777777" w:rsidR="00454A29" w:rsidRDefault="00454A29">
            <w:pPr>
              <w:pStyle w:val="ConsPlusNormal"/>
            </w:pPr>
          </w:p>
        </w:tc>
        <w:tc>
          <w:tcPr>
            <w:tcW w:w="1701" w:type="dxa"/>
            <w:vAlign w:val="center"/>
          </w:tcPr>
          <w:p w14:paraId="1D16F7CC" w14:textId="77777777" w:rsidR="00454A29" w:rsidRDefault="00454A29">
            <w:pPr>
              <w:pStyle w:val="ConsPlusNormal"/>
            </w:pPr>
          </w:p>
        </w:tc>
        <w:tc>
          <w:tcPr>
            <w:tcW w:w="1814" w:type="dxa"/>
            <w:vAlign w:val="center"/>
          </w:tcPr>
          <w:p w14:paraId="152D1618" w14:textId="77777777" w:rsidR="00454A29" w:rsidRDefault="00454A29">
            <w:pPr>
              <w:pStyle w:val="ConsPlusNormal"/>
            </w:pPr>
          </w:p>
        </w:tc>
      </w:tr>
      <w:tr w:rsidR="00454A29" w14:paraId="3438587A" w14:textId="77777777">
        <w:tc>
          <w:tcPr>
            <w:tcW w:w="567" w:type="dxa"/>
            <w:vMerge/>
          </w:tcPr>
          <w:p w14:paraId="2E737745" w14:textId="77777777" w:rsidR="00454A29" w:rsidRDefault="00454A29"/>
        </w:tc>
        <w:tc>
          <w:tcPr>
            <w:tcW w:w="3345" w:type="dxa"/>
            <w:vMerge/>
          </w:tcPr>
          <w:p w14:paraId="1EB358BA" w14:textId="77777777" w:rsidR="00454A29" w:rsidRDefault="00454A29"/>
        </w:tc>
        <w:tc>
          <w:tcPr>
            <w:tcW w:w="1701" w:type="dxa"/>
            <w:vAlign w:val="center"/>
          </w:tcPr>
          <w:p w14:paraId="615F960F" w14:textId="77777777" w:rsidR="00454A29" w:rsidRDefault="00454A29">
            <w:pPr>
              <w:pStyle w:val="ConsPlusNormal"/>
              <w:jc w:val="center"/>
            </w:pPr>
            <w:r>
              <w:t>2025</w:t>
            </w:r>
          </w:p>
        </w:tc>
        <w:tc>
          <w:tcPr>
            <w:tcW w:w="1417" w:type="dxa"/>
            <w:vMerge/>
          </w:tcPr>
          <w:p w14:paraId="2B0CAA06" w14:textId="77777777" w:rsidR="00454A29" w:rsidRDefault="00454A29"/>
        </w:tc>
        <w:tc>
          <w:tcPr>
            <w:tcW w:w="2204" w:type="dxa"/>
            <w:vMerge/>
          </w:tcPr>
          <w:p w14:paraId="1FE3633A" w14:textId="77777777" w:rsidR="00454A29" w:rsidRDefault="00454A29"/>
        </w:tc>
        <w:tc>
          <w:tcPr>
            <w:tcW w:w="1417" w:type="dxa"/>
            <w:vMerge/>
          </w:tcPr>
          <w:p w14:paraId="716260A3" w14:textId="77777777" w:rsidR="00454A29" w:rsidRDefault="00454A29"/>
        </w:tc>
        <w:tc>
          <w:tcPr>
            <w:tcW w:w="2324" w:type="dxa"/>
            <w:vMerge/>
          </w:tcPr>
          <w:p w14:paraId="662252BC" w14:textId="77777777" w:rsidR="00454A29" w:rsidRDefault="00454A29"/>
        </w:tc>
        <w:tc>
          <w:tcPr>
            <w:tcW w:w="1701" w:type="dxa"/>
            <w:vAlign w:val="center"/>
          </w:tcPr>
          <w:p w14:paraId="4DCCEA83" w14:textId="77777777" w:rsidR="00454A29" w:rsidRDefault="00454A29">
            <w:pPr>
              <w:pStyle w:val="ConsPlusNormal"/>
              <w:jc w:val="center"/>
            </w:pPr>
            <w:r>
              <w:t>-</w:t>
            </w:r>
          </w:p>
        </w:tc>
        <w:tc>
          <w:tcPr>
            <w:tcW w:w="1814" w:type="dxa"/>
            <w:vAlign w:val="center"/>
          </w:tcPr>
          <w:p w14:paraId="494D72DD" w14:textId="77777777" w:rsidR="00454A29" w:rsidRDefault="00454A29">
            <w:pPr>
              <w:pStyle w:val="ConsPlusNormal"/>
            </w:pPr>
          </w:p>
        </w:tc>
        <w:tc>
          <w:tcPr>
            <w:tcW w:w="1701" w:type="dxa"/>
            <w:vAlign w:val="center"/>
          </w:tcPr>
          <w:p w14:paraId="3B3C68DE" w14:textId="77777777" w:rsidR="00454A29" w:rsidRDefault="00454A29">
            <w:pPr>
              <w:pStyle w:val="ConsPlusNormal"/>
            </w:pPr>
          </w:p>
        </w:tc>
        <w:tc>
          <w:tcPr>
            <w:tcW w:w="1701" w:type="dxa"/>
            <w:vAlign w:val="center"/>
          </w:tcPr>
          <w:p w14:paraId="178FEBA9" w14:textId="77777777" w:rsidR="00454A29" w:rsidRDefault="00454A29">
            <w:pPr>
              <w:pStyle w:val="ConsPlusNormal"/>
            </w:pPr>
          </w:p>
        </w:tc>
        <w:tc>
          <w:tcPr>
            <w:tcW w:w="1814" w:type="dxa"/>
            <w:vAlign w:val="center"/>
          </w:tcPr>
          <w:p w14:paraId="0750722A" w14:textId="77777777" w:rsidR="00454A29" w:rsidRDefault="00454A29">
            <w:pPr>
              <w:pStyle w:val="ConsPlusNormal"/>
            </w:pPr>
          </w:p>
        </w:tc>
      </w:tr>
      <w:tr w:rsidR="00454A29" w14:paraId="01EE506D" w14:textId="77777777">
        <w:tc>
          <w:tcPr>
            <w:tcW w:w="567" w:type="dxa"/>
            <w:vMerge/>
          </w:tcPr>
          <w:p w14:paraId="70A70208" w14:textId="77777777" w:rsidR="00454A29" w:rsidRDefault="00454A29"/>
        </w:tc>
        <w:tc>
          <w:tcPr>
            <w:tcW w:w="3345" w:type="dxa"/>
            <w:vMerge/>
          </w:tcPr>
          <w:p w14:paraId="5205D235" w14:textId="77777777" w:rsidR="00454A29" w:rsidRDefault="00454A29"/>
        </w:tc>
        <w:tc>
          <w:tcPr>
            <w:tcW w:w="1701" w:type="dxa"/>
            <w:vAlign w:val="center"/>
          </w:tcPr>
          <w:p w14:paraId="445E2B46" w14:textId="77777777" w:rsidR="00454A29" w:rsidRDefault="00454A29">
            <w:pPr>
              <w:pStyle w:val="ConsPlusNormal"/>
              <w:jc w:val="center"/>
            </w:pPr>
            <w:r>
              <w:t>2026</w:t>
            </w:r>
          </w:p>
        </w:tc>
        <w:tc>
          <w:tcPr>
            <w:tcW w:w="1417" w:type="dxa"/>
            <w:vMerge/>
          </w:tcPr>
          <w:p w14:paraId="6BAEE51C" w14:textId="77777777" w:rsidR="00454A29" w:rsidRDefault="00454A29"/>
        </w:tc>
        <w:tc>
          <w:tcPr>
            <w:tcW w:w="2204" w:type="dxa"/>
            <w:vMerge/>
          </w:tcPr>
          <w:p w14:paraId="2F98445B" w14:textId="77777777" w:rsidR="00454A29" w:rsidRDefault="00454A29"/>
        </w:tc>
        <w:tc>
          <w:tcPr>
            <w:tcW w:w="1417" w:type="dxa"/>
            <w:vMerge/>
          </w:tcPr>
          <w:p w14:paraId="7F832129" w14:textId="77777777" w:rsidR="00454A29" w:rsidRDefault="00454A29"/>
        </w:tc>
        <w:tc>
          <w:tcPr>
            <w:tcW w:w="2324" w:type="dxa"/>
            <w:vMerge/>
          </w:tcPr>
          <w:p w14:paraId="649C1462" w14:textId="77777777" w:rsidR="00454A29" w:rsidRDefault="00454A29"/>
        </w:tc>
        <w:tc>
          <w:tcPr>
            <w:tcW w:w="1701" w:type="dxa"/>
            <w:vAlign w:val="center"/>
          </w:tcPr>
          <w:p w14:paraId="52C6E26B" w14:textId="77777777" w:rsidR="00454A29" w:rsidRDefault="00454A29">
            <w:pPr>
              <w:pStyle w:val="ConsPlusNormal"/>
              <w:jc w:val="center"/>
            </w:pPr>
            <w:r>
              <w:t>-</w:t>
            </w:r>
          </w:p>
        </w:tc>
        <w:tc>
          <w:tcPr>
            <w:tcW w:w="1814" w:type="dxa"/>
            <w:vAlign w:val="center"/>
          </w:tcPr>
          <w:p w14:paraId="32E91583" w14:textId="77777777" w:rsidR="00454A29" w:rsidRDefault="00454A29">
            <w:pPr>
              <w:pStyle w:val="ConsPlusNormal"/>
            </w:pPr>
          </w:p>
        </w:tc>
        <w:tc>
          <w:tcPr>
            <w:tcW w:w="1701" w:type="dxa"/>
            <w:vAlign w:val="center"/>
          </w:tcPr>
          <w:p w14:paraId="32EB18FC" w14:textId="77777777" w:rsidR="00454A29" w:rsidRDefault="00454A29">
            <w:pPr>
              <w:pStyle w:val="ConsPlusNormal"/>
            </w:pPr>
          </w:p>
        </w:tc>
        <w:tc>
          <w:tcPr>
            <w:tcW w:w="1701" w:type="dxa"/>
            <w:vAlign w:val="center"/>
          </w:tcPr>
          <w:p w14:paraId="002A3F96" w14:textId="77777777" w:rsidR="00454A29" w:rsidRDefault="00454A29">
            <w:pPr>
              <w:pStyle w:val="ConsPlusNormal"/>
            </w:pPr>
          </w:p>
        </w:tc>
        <w:tc>
          <w:tcPr>
            <w:tcW w:w="1814" w:type="dxa"/>
            <w:vAlign w:val="center"/>
          </w:tcPr>
          <w:p w14:paraId="6FD60E45" w14:textId="77777777" w:rsidR="00454A29" w:rsidRDefault="00454A29">
            <w:pPr>
              <w:pStyle w:val="ConsPlusNormal"/>
            </w:pPr>
          </w:p>
        </w:tc>
      </w:tr>
      <w:tr w:rsidR="00454A29" w14:paraId="73B84843" w14:textId="77777777">
        <w:tc>
          <w:tcPr>
            <w:tcW w:w="567" w:type="dxa"/>
            <w:vMerge w:val="restart"/>
            <w:vAlign w:val="center"/>
          </w:tcPr>
          <w:p w14:paraId="2E9021EB" w14:textId="77777777" w:rsidR="00454A29" w:rsidRDefault="00454A29">
            <w:pPr>
              <w:pStyle w:val="ConsPlusNormal"/>
              <w:jc w:val="center"/>
            </w:pPr>
            <w:r>
              <w:t>33</w:t>
            </w:r>
          </w:p>
        </w:tc>
        <w:tc>
          <w:tcPr>
            <w:tcW w:w="3345" w:type="dxa"/>
            <w:vMerge w:val="restart"/>
            <w:vAlign w:val="center"/>
          </w:tcPr>
          <w:p w14:paraId="6A71F050" w14:textId="77777777" w:rsidR="00454A29" w:rsidRDefault="00454A29">
            <w:pPr>
              <w:pStyle w:val="ConsPlusNormal"/>
              <w:jc w:val="center"/>
            </w:pPr>
            <w:r>
              <w:t>Детский сад на 140 мест в п. Хандыга Томпонского района</w:t>
            </w:r>
          </w:p>
        </w:tc>
        <w:tc>
          <w:tcPr>
            <w:tcW w:w="1701" w:type="dxa"/>
            <w:vAlign w:val="center"/>
          </w:tcPr>
          <w:p w14:paraId="301D29E5" w14:textId="77777777" w:rsidR="00454A29" w:rsidRDefault="00454A29">
            <w:pPr>
              <w:pStyle w:val="ConsPlusNormal"/>
              <w:jc w:val="center"/>
            </w:pPr>
            <w:r>
              <w:t>2020 - 2026 годы - всего</w:t>
            </w:r>
          </w:p>
        </w:tc>
        <w:tc>
          <w:tcPr>
            <w:tcW w:w="1417" w:type="dxa"/>
            <w:vMerge w:val="restart"/>
            <w:vAlign w:val="center"/>
          </w:tcPr>
          <w:p w14:paraId="69DD0131" w14:textId="77777777" w:rsidR="00454A29" w:rsidRDefault="00454A29">
            <w:pPr>
              <w:pStyle w:val="ConsPlusNormal"/>
              <w:jc w:val="center"/>
            </w:pPr>
            <w:r>
              <w:t>232 187,74</w:t>
            </w:r>
          </w:p>
        </w:tc>
        <w:tc>
          <w:tcPr>
            <w:tcW w:w="2204" w:type="dxa"/>
            <w:vMerge w:val="restart"/>
            <w:vAlign w:val="center"/>
          </w:tcPr>
          <w:p w14:paraId="5E83AE2F" w14:textId="77777777" w:rsidR="00454A29" w:rsidRDefault="00454A29">
            <w:pPr>
              <w:pStyle w:val="ConsPlusNormal"/>
              <w:jc w:val="center"/>
            </w:pPr>
            <w:r>
              <w:t>имеется</w:t>
            </w:r>
          </w:p>
        </w:tc>
        <w:tc>
          <w:tcPr>
            <w:tcW w:w="1417" w:type="dxa"/>
            <w:vMerge w:val="restart"/>
            <w:vAlign w:val="center"/>
          </w:tcPr>
          <w:p w14:paraId="7CBE24CD" w14:textId="77777777" w:rsidR="00454A29" w:rsidRDefault="00454A29">
            <w:pPr>
              <w:pStyle w:val="ConsPlusNormal"/>
              <w:jc w:val="center"/>
            </w:pPr>
            <w:r>
              <w:t>140</w:t>
            </w:r>
          </w:p>
        </w:tc>
        <w:tc>
          <w:tcPr>
            <w:tcW w:w="2324" w:type="dxa"/>
            <w:vMerge w:val="restart"/>
            <w:vAlign w:val="center"/>
          </w:tcPr>
          <w:p w14:paraId="2596C39C" w14:textId="77777777" w:rsidR="00454A29" w:rsidRDefault="00454A29">
            <w:pPr>
              <w:pStyle w:val="ConsPlusNormal"/>
              <w:jc w:val="center"/>
            </w:pPr>
            <w:r>
              <w:t xml:space="preserve">Минстрой РС(Я), ГКУ "Служба государственного </w:t>
            </w:r>
            <w:r>
              <w:lastRenderedPageBreak/>
              <w:t>заказчика Республики Саха (Якутия)"</w:t>
            </w:r>
          </w:p>
        </w:tc>
        <w:tc>
          <w:tcPr>
            <w:tcW w:w="1701" w:type="dxa"/>
            <w:vAlign w:val="center"/>
          </w:tcPr>
          <w:p w14:paraId="23DB0A52" w14:textId="77777777" w:rsidR="00454A29" w:rsidRDefault="00454A29">
            <w:pPr>
              <w:pStyle w:val="ConsPlusNormal"/>
              <w:jc w:val="center"/>
            </w:pPr>
            <w:r>
              <w:lastRenderedPageBreak/>
              <w:t>135 249,36</w:t>
            </w:r>
          </w:p>
        </w:tc>
        <w:tc>
          <w:tcPr>
            <w:tcW w:w="1814" w:type="dxa"/>
            <w:vAlign w:val="center"/>
          </w:tcPr>
          <w:p w14:paraId="2527ACAE" w14:textId="77777777" w:rsidR="00454A29" w:rsidRDefault="00454A29">
            <w:pPr>
              <w:pStyle w:val="ConsPlusNormal"/>
              <w:jc w:val="center"/>
            </w:pPr>
            <w:r>
              <w:t>232 187,74</w:t>
            </w:r>
          </w:p>
        </w:tc>
        <w:tc>
          <w:tcPr>
            <w:tcW w:w="1701" w:type="dxa"/>
            <w:vAlign w:val="center"/>
          </w:tcPr>
          <w:p w14:paraId="7E184E39" w14:textId="77777777" w:rsidR="00454A29" w:rsidRDefault="00454A29">
            <w:pPr>
              <w:pStyle w:val="ConsPlusNormal"/>
              <w:jc w:val="center"/>
            </w:pPr>
            <w:r>
              <w:t>-</w:t>
            </w:r>
          </w:p>
        </w:tc>
        <w:tc>
          <w:tcPr>
            <w:tcW w:w="1701" w:type="dxa"/>
            <w:vAlign w:val="center"/>
          </w:tcPr>
          <w:p w14:paraId="057DD7B2" w14:textId="77777777" w:rsidR="00454A29" w:rsidRDefault="00454A29">
            <w:pPr>
              <w:pStyle w:val="ConsPlusNormal"/>
              <w:jc w:val="center"/>
            </w:pPr>
            <w:r>
              <w:t>-</w:t>
            </w:r>
          </w:p>
        </w:tc>
        <w:tc>
          <w:tcPr>
            <w:tcW w:w="1814" w:type="dxa"/>
            <w:vAlign w:val="center"/>
          </w:tcPr>
          <w:p w14:paraId="47C88C39" w14:textId="77777777" w:rsidR="00454A29" w:rsidRDefault="00454A29">
            <w:pPr>
              <w:pStyle w:val="ConsPlusNormal"/>
              <w:jc w:val="center"/>
            </w:pPr>
            <w:r>
              <w:t>-</w:t>
            </w:r>
          </w:p>
        </w:tc>
      </w:tr>
      <w:tr w:rsidR="00454A29" w14:paraId="56D1320E" w14:textId="77777777">
        <w:tc>
          <w:tcPr>
            <w:tcW w:w="567" w:type="dxa"/>
            <w:vMerge/>
          </w:tcPr>
          <w:p w14:paraId="7FB91F35" w14:textId="77777777" w:rsidR="00454A29" w:rsidRDefault="00454A29"/>
        </w:tc>
        <w:tc>
          <w:tcPr>
            <w:tcW w:w="3345" w:type="dxa"/>
            <w:vMerge/>
          </w:tcPr>
          <w:p w14:paraId="7BEF319B" w14:textId="77777777" w:rsidR="00454A29" w:rsidRDefault="00454A29"/>
        </w:tc>
        <w:tc>
          <w:tcPr>
            <w:tcW w:w="1701" w:type="dxa"/>
            <w:vAlign w:val="center"/>
          </w:tcPr>
          <w:p w14:paraId="224F032B" w14:textId="77777777" w:rsidR="00454A29" w:rsidRDefault="00454A29">
            <w:pPr>
              <w:pStyle w:val="ConsPlusNormal"/>
              <w:jc w:val="center"/>
            </w:pPr>
            <w:r>
              <w:t>2020</w:t>
            </w:r>
          </w:p>
        </w:tc>
        <w:tc>
          <w:tcPr>
            <w:tcW w:w="1417" w:type="dxa"/>
            <w:vMerge/>
          </w:tcPr>
          <w:p w14:paraId="4C3945D6" w14:textId="77777777" w:rsidR="00454A29" w:rsidRDefault="00454A29"/>
        </w:tc>
        <w:tc>
          <w:tcPr>
            <w:tcW w:w="2204" w:type="dxa"/>
            <w:vMerge/>
          </w:tcPr>
          <w:p w14:paraId="4C390BF1" w14:textId="77777777" w:rsidR="00454A29" w:rsidRDefault="00454A29"/>
        </w:tc>
        <w:tc>
          <w:tcPr>
            <w:tcW w:w="1417" w:type="dxa"/>
            <w:vMerge/>
          </w:tcPr>
          <w:p w14:paraId="438BF74A" w14:textId="77777777" w:rsidR="00454A29" w:rsidRDefault="00454A29"/>
        </w:tc>
        <w:tc>
          <w:tcPr>
            <w:tcW w:w="2324" w:type="dxa"/>
            <w:vMerge/>
          </w:tcPr>
          <w:p w14:paraId="6B9AAA72" w14:textId="77777777" w:rsidR="00454A29" w:rsidRDefault="00454A29"/>
        </w:tc>
        <w:tc>
          <w:tcPr>
            <w:tcW w:w="1701" w:type="dxa"/>
            <w:vAlign w:val="center"/>
          </w:tcPr>
          <w:p w14:paraId="2789CC14" w14:textId="77777777" w:rsidR="00454A29" w:rsidRDefault="00454A29">
            <w:pPr>
              <w:pStyle w:val="ConsPlusNormal"/>
              <w:jc w:val="center"/>
            </w:pPr>
            <w:r>
              <w:t>-</w:t>
            </w:r>
          </w:p>
        </w:tc>
        <w:tc>
          <w:tcPr>
            <w:tcW w:w="1814" w:type="dxa"/>
            <w:vAlign w:val="center"/>
          </w:tcPr>
          <w:p w14:paraId="6C66EE0F" w14:textId="77777777" w:rsidR="00454A29" w:rsidRDefault="00454A29">
            <w:pPr>
              <w:pStyle w:val="ConsPlusNormal"/>
            </w:pPr>
          </w:p>
        </w:tc>
        <w:tc>
          <w:tcPr>
            <w:tcW w:w="1701" w:type="dxa"/>
            <w:vAlign w:val="center"/>
          </w:tcPr>
          <w:p w14:paraId="43C7AAA3" w14:textId="77777777" w:rsidR="00454A29" w:rsidRDefault="00454A29">
            <w:pPr>
              <w:pStyle w:val="ConsPlusNormal"/>
            </w:pPr>
          </w:p>
        </w:tc>
        <w:tc>
          <w:tcPr>
            <w:tcW w:w="1701" w:type="dxa"/>
            <w:vAlign w:val="center"/>
          </w:tcPr>
          <w:p w14:paraId="5DEA0C59" w14:textId="77777777" w:rsidR="00454A29" w:rsidRDefault="00454A29">
            <w:pPr>
              <w:pStyle w:val="ConsPlusNormal"/>
            </w:pPr>
          </w:p>
        </w:tc>
        <w:tc>
          <w:tcPr>
            <w:tcW w:w="1814" w:type="dxa"/>
            <w:vAlign w:val="center"/>
          </w:tcPr>
          <w:p w14:paraId="76E8AA10" w14:textId="77777777" w:rsidR="00454A29" w:rsidRDefault="00454A29">
            <w:pPr>
              <w:pStyle w:val="ConsPlusNormal"/>
            </w:pPr>
          </w:p>
        </w:tc>
      </w:tr>
      <w:tr w:rsidR="00454A29" w14:paraId="7F5D9D4F" w14:textId="77777777">
        <w:tc>
          <w:tcPr>
            <w:tcW w:w="567" w:type="dxa"/>
            <w:vMerge/>
          </w:tcPr>
          <w:p w14:paraId="327A21DF" w14:textId="77777777" w:rsidR="00454A29" w:rsidRDefault="00454A29"/>
        </w:tc>
        <w:tc>
          <w:tcPr>
            <w:tcW w:w="3345" w:type="dxa"/>
            <w:vMerge/>
          </w:tcPr>
          <w:p w14:paraId="1272393D" w14:textId="77777777" w:rsidR="00454A29" w:rsidRDefault="00454A29"/>
        </w:tc>
        <w:tc>
          <w:tcPr>
            <w:tcW w:w="1701" w:type="dxa"/>
            <w:vAlign w:val="center"/>
          </w:tcPr>
          <w:p w14:paraId="430A88BD" w14:textId="77777777" w:rsidR="00454A29" w:rsidRDefault="00454A29">
            <w:pPr>
              <w:pStyle w:val="ConsPlusNormal"/>
              <w:jc w:val="center"/>
            </w:pPr>
            <w:r>
              <w:t>2021</w:t>
            </w:r>
          </w:p>
        </w:tc>
        <w:tc>
          <w:tcPr>
            <w:tcW w:w="1417" w:type="dxa"/>
            <w:vMerge/>
          </w:tcPr>
          <w:p w14:paraId="062CA19E" w14:textId="77777777" w:rsidR="00454A29" w:rsidRDefault="00454A29"/>
        </w:tc>
        <w:tc>
          <w:tcPr>
            <w:tcW w:w="2204" w:type="dxa"/>
            <w:vMerge/>
          </w:tcPr>
          <w:p w14:paraId="7940CD89" w14:textId="77777777" w:rsidR="00454A29" w:rsidRDefault="00454A29"/>
        </w:tc>
        <w:tc>
          <w:tcPr>
            <w:tcW w:w="1417" w:type="dxa"/>
            <w:vMerge/>
          </w:tcPr>
          <w:p w14:paraId="461A083D" w14:textId="77777777" w:rsidR="00454A29" w:rsidRDefault="00454A29"/>
        </w:tc>
        <w:tc>
          <w:tcPr>
            <w:tcW w:w="2324" w:type="dxa"/>
            <w:vMerge/>
          </w:tcPr>
          <w:p w14:paraId="6FBAF595" w14:textId="77777777" w:rsidR="00454A29" w:rsidRDefault="00454A29"/>
        </w:tc>
        <w:tc>
          <w:tcPr>
            <w:tcW w:w="1701" w:type="dxa"/>
            <w:vAlign w:val="center"/>
          </w:tcPr>
          <w:p w14:paraId="726C44C5" w14:textId="77777777" w:rsidR="00454A29" w:rsidRDefault="00454A29">
            <w:pPr>
              <w:pStyle w:val="ConsPlusNormal"/>
              <w:jc w:val="center"/>
            </w:pPr>
            <w:r>
              <w:t>-</w:t>
            </w:r>
          </w:p>
        </w:tc>
        <w:tc>
          <w:tcPr>
            <w:tcW w:w="1814" w:type="dxa"/>
            <w:vAlign w:val="center"/>
          </w:tcPr>
          <w:p w14:paraId="3E972C48" w14:textId="77777777" w:rsidR="00454A29" w:rsidRDefault="00454A29">
            <w:pPr>
              <w:pStyle w:val="ConsPlusNormal"/>
            </w:pPr>
          </w:p>
        </w:tc>
        <w:tc>
          <w:tcPr>
            <w:tcW w:w="1701" w:type="dxa"/>
            <w:vAlign w:val="center"/>
          </w:tcPr>
          <w:p w14:paraId="488AA397" w14:textId="77777777" w:rsidR="00454A29" w:rsidRDefault="00454A29">
            <w:pPr>
              <w:pStyle w:val="ConsPlusNormal"/>
            </w:pPr>
          </w:p>
        </w:tc>
        <w:tc>
          <w:tcPr>
            <w:tcW w:w="1701" w:type="dxa"/>
            <w:vAlign w:val="center"/>
          </w:tcPr>
          <w:p w14:paraId="09B2C51B" w14:textId="77777777" w:rsidR="00454A29" w:rsidRDefault="00454A29">
            <w:pPr>
              <w:pStyle w:val="ConsPlusNormal"/>
            </w:pPr>
          </w:p>
        </w:tc>
        <w:tc>
          <w:tcPr>
            <w:tcW w:w="1814" w:type="dxa"/>
            <w:vAlign w:val="center"/>
          </w:tcPr>
          <w:p w14:paraId="2A4049D8" w14:textId="77777777" w:rsidR="00454A29" w:rsidRDefault="00454A29">
            <w:pPr>
              <w:pStyle w:val="ConsPlusNormal"/>
            </w:pPr>
          </w:p>
        </w:tc>
      </w:tr>
      <w:tr w:rsidR="00454A29" w14:paraId="04BFD0AE" w14:textId="77777777">
        <w:tc>
          <w:tcPr>
            <w:tcW w:w="567" w:type="dxa"/>
            <w:vMerge/>
          </w:tcPr>
          <w:p w14:paraId="4568E898" w14:textId="77777777" w:rsidR="00454A29" w:rsidRDefault="00454A29"/>
        </w:tc>
        <w:tc>
          <w:tcPr>
            <w:tcW w:w="3345" w:type="dxa"/>
            <w:vMerge/>
          </w:tcPr>
          <w:p w14:paraId="64AFE3A9" w14:textId="77777777" w:rsidR="00454A29" w:rsidRDefault="00454A29"/>
        </w:tc>
        <w:tc>
          <w:tcPr>
            <w:tcW w:w="1701" w:type="dxa"/>
            <w:vAlign w:val="center"/>
          </w:tcPr>
          <w:p w14:paraId="4ABDBF6F" w14:textId="77777777" w:rsidR="00454A29" w:rsidRDefault="00454A29">
            <w:pPr>
              <w:pStyle w:val="ConsPlusNormal"/>
              <w:jc w:val="center"/>
            </w:pPr>
            <w:r>
              <w:t>2022</w:t>
            </w:r>
          </w:p>
        </w:tc>
        <w:tc>
          <w:tcPr>
            <w:tcW w:w="1417" w:type="dxa"/>
            <w:vMerge/>
          </w:tcPr>
          <w:p w14:paraId="6C65D485" w14:textId="77777777" w:rsidR="00454A29" w:rsidRDefault="00454A29"/>
        </w:tc>
        <w:tc>
          <w:tcPr>
            <w:tcW w:w="2204" w:type="dxa"/>
            <w:vMerge/>
          </w:tcPr>
          <w:p w14:paraId="1996F24C" w14:textId="77777777" w:rsidR="00454A29" w:rsidRDefault="00454A29"/>
        </w:tc>
        <w:tc>
          <w:tcPr>
            <w:tcW w:w="1417" w:type="dxa"/>
            <w:vMerge/>
          </w:tcPr>
          <w:p w14:paraId="4EDA0A60" w14:textId="77777777" w:rsidR="00454A29" w:rsidRDefault="00454A29"/>
        </w:tc>
        <w:tc>
          <w:tcPr>
            <w:tcW w:w="2324" w:type="dxa"/>
            <w:vMerge/>
          </w:tcPr>
          <w:p w14:paraId="1DCCEAA1" w14:textId="77777777" w:rsidR="00454A29" w:rsidRDefault="00454A29"/>
        </w:tc>
        <w:tc>
          <w:tcPr>
            <w:tcW w:w="1701" w:type="dxa"/>
            <w:vAlign w:val="center"/>
          </w:tcPr>
          <w:p w14:paraId="5951EF97" w14:textId="77777777" w:rsidR="00454A29" w:rsidRDefault="00454A29">
            <w:pPr>
              <w:pStyle w:val="ConsPlusNormal"/>
              <w:jc w:val="center"/>
            </w:pPr>
            <w:r>
              <w:t>-</w:t>
            </w:r>
          </w:p>
        </w:tc>
        <w:tc>
          <w:tcPr>
            <w:tcW w:w="1814" w:type="dxa"/>
            <w:vAlign w:val="center"/>
          </w:tcPr>
          <w:p w14:paraId="37614A2C" w14:textId="77777777" w:rsidR="00454A29" w:rsidRDefault="00454A29">
            <w:pPr>
              <w:pStyle w:val="ConsPlusNormal"/>
            </w:pPr>
          </w:p>
        </w:tc>
        <w:tc>
          <w:tcPr>
            <w:tcW w:w="1701" w:type="dxa"/>
            <w:vAlign w:val="center"/>
          </w:tcPr>
          <w:p w14:paraId="2A675D6A" w14:textId="77777777" w:rsidR="00454A29" w:rsidRDefault="00454A29">
            <w:pPr>
              <w:pStyle w:val="ConsPlusNormal"/>
            </w:pPr>
          </w:p>
        </w:tc>
        <w:tc>
          <w:tcPr>
            <w:tcW w:w="1701" w:type="dxa"/>
            <w:vAlign w:val="center"/>
          </w:tcPr>
          <w:p w14:paraId="5A7786C5" w14:textId="77777777" w:rsidR="00454A29" w:rsidRDefault="00454A29">
            <w:pPr>
              <w:pStyle w:val="ConsPlusNormal"/>
            </w:pPr>
          </w:p>
        </w:tc>
        <w:tc>
          <w:tcPr>
            <w:tcW w:w="1814" w:type="dxa"/>
            <w:vAlign w:val="center"/>
          </w:tcPr>
          <w:p w14:paraId="367A168C" w14:textId="77777777" w:rsidR="00454A29" w:rsidRDefault="00454A29">
            <w:pPr>
              <w:pStyle w:val="ConsPlusNormal"/>
            </w:pPr>
          </w:p>
        </w:tc>
      </w:tr>
      <w:tr w:rsidR="00454A29" w14:paraId="0EAA6FE5" w14:textId="77777777">
        <w:tc>
          <w:tcPr>
            <w:tcW w:w="567" w:type="dxa"/>
            <w:vMerge/>
          </w:tcPr>
          <w:p w14:paraId="4DB55231" w14:textId="77777777" w:rsidR="00454A29" w:rsidRDefault="00454A29"/>
        </w:tc>
        <w:tc>
          <w:tcPr>
            <w:tcW w:w="3345" w:type="dxa"/>
            <w:vMerge/>
          </w:tcPr>
          <w:p w14:paraId="401EF75F" w14:textId="77777777" w:rsidR="00454A29" w:rsidRDefault="00454A29"/>
        </w:tc>
        <w:tc>
          <w:tcPr>
            <w:tcW w:w="1701" w:type="dxa"/>
            <w:vAlign w:val="center"/>
          </w:tcPr>
          <w:p w14:paraId="7F04BB9E" w14:textId="77777777" w:rsidR="00454A29" w:rsidRDefault="00454A29">
            <w:pPr>
              <w:pStyle w:val="ConsPlusNormal"/>
              <w:jc w:val="center"/>
            </w:pPr>
            <w:r>
              <w:t>2023</w:t>
            </w:r>
          </w:p>
        </w:tc>
        <w:tc>
          <w:tcPr>
            <w:tcW w:w="1417" w:type="dxa"/>
            <w:vMerge/>
          </w:tcPr>
          <w:p w14:paraId="739EA0DE" w14:textId="77777777" w:rsidR="00454A29" w:rsidRDefault="00454A29"/>
        </w:tc>
        <w:tc>
          <w:tcPr>
            <w:tcW w:w="2204" w:type="dxa"/>
            <w:vMerge/>
          </w:tcPr>
          <w:p w14:paraId="278E6A3F" w14:textId="77777777" w:rsidR="00454A29" w:rsidRDefault="00454A29"/>
        </w:tc>
        <w:tc>
          <w:tcPr>
            <w:tcW w:w="1417" w:type="dxa"/>
            <w:vMerge/>
          </w:tcPr>
          <w:p w14:paraId="1D8EC7A2" w14:textId="77777777" w:rsidR="00454A29" w:rsidRDefault="00454A29"/>
        </w:tc>
        <w:tc>
          <w:tcPr>
            <w:tcW w:w="2324" w:type="dxa"/>
            <w:vMerge/>
          </w:tcPr>
          <w:p w14:paraId="098D560A" w14:textId="77777777" w:rsidR="00454A29" w:rsidRDefault="00454A29"/>
        </w:tc>
        <w:tc>
          <w:tcPr>
            <w:tcW w:w="1701" w:type="dxa"/>
            <w:vAlign w:val="center"/>
          </w:tcPr>
          <w:p w14:paraId="0E2A7C5A" w14:textId="77777777" w:rsidR="00454A29" w:rsidRDefault="00454A29">
            <w:pPr>
              <w:pStyle w:val="ConsPlusNormal"/>
              <w:jc w:val="center"/>
            </w:pPr>
            <w:r>
              <w:t>57 582,56</w:t>
            </w:r>
          </w:p>
        </w:tc>
        <w:tc>
          <w:tcPr>
            <w:tcW w:w="1814" w:type="dxa"/>
            <w:vAlign w:val="center"/>
          </w:tcPr>
          <w:p w14:paraId="0EF13D73" w14:textId="77777777" w:rsidR="00454A29" w:rsidRDefault="00454A29">
            <w:pPr>
              <w:pStyle w:val="ConsPlusNormal"/>
              <w:jc w:val="center"/>
            </w:pPr>
            <w:r>
              <w:t>57 582,56</w:t>
            </w:r>
          </w:p>
        </w:tc>
        <w:tc>
          <w:tcPr>
            <w:tcW w:w="1701" w:type="dxa"/>
            <w:vAlign w:val="center"/>
          </w:tcPr>
          <w:p w14:paraId="57CF1375" w14:textId="77777777" w:rsidR="00454A29" w:rsidRDefault="00454A29">
            <w:pPr>
              <w:pStyle w:val="ConsPlusNormal"/>
            </w:pPr>
          </w:p>
        </w:tc>
        <w:tc>
          <w:tcPr>
            <w:tcW w:w="1701" w:type="dxa"/>
            <w:vAlign w:val="center"/>
          </w:tcPr>
          <w:p w14:paraId="3E2A4F90" w14:textId="77777777" w:rsidR="00454A29" w:rsidRDefault="00454A29">
            <w:pPr>
              <w:pStyle w:val="ConsPlusNormal"/>
            </w:pPr>
          </w:p>
        </w:tc>
        <w:tc>
          <w:tcPr>
            <w:tcW w:w="1814" w:type="dxa"/>
            <w:vAlign w:val="center"/>
          </w:tcPr>
          <w:p w14:paraId="783B1BE7" w14:textId="77777777" w:rsidR="00454A29" w:rsidRDefault="00454A29">
            <w:pPr>
              <w:pStyle w:val="ConsPlusNormal"/>
            </w:pPr>
          </w:p>
        </w:tc>
      </w:tr>
      <w:tr w:rsidR="00454A29" w14:paraId="4D5D256B" w14:textId="77777777">
        <w:tc>
          <w:tcPr>
            <w:tcW w:w="567" w:type="dxa"/>
            <w:vMerge/>
          </w:tcPr>
          <w:p w14:paraId="3B936B26" w14:textId="77777777" w:rsidR="00454A29" w:rsidRDefault="00454A29"/>
        </w:tc>
        <w:tc>
          <w:tcPr>
            <w:tcW w:w="3345" w:type="dxa"/>
            <w:vMerge/>
          </w:tcPr>
          <w:p w14:paraId="21826B2C" w14:textId="77777777" w:rsidR="00454A29" w:rsidRDefault="00454A29"/>
        </w:tc>
        <w:tc>
          <w:tcPr>
            <w:tcW w:w="1701" w:type="dxa"/>
            <w:vAlign w:val="center"/>
          </w:tcPr>
          <w:p w14:paraId="23562CB6" w14:textId="77777777" w:rsidR="00454A29" w:rsidRDefault="00454A29">
            <w:pPr>
              <w:pStyle w:val="ConsPlusNormal"/>
              <w:jc w:val="center"/>
            </w:pPr>
            <w:r>
              <w:t>2024</w:t>
            </w:r>
          </w:p>
        </w:tc>
        <w:tc>
          <w:tcPr>
            <w:tcW w:w="1417" w:type="dxa"/>
            <w:vMerge/>
          </w:tcPr>
          <w:p w14:paraId="3BFDFEA9" w14:textId="77777777" w:rsidR="00454A29" w:rsidRDefault="00454A29"/>
        </w:tc>
        <w:tc>
          <w:tcPr>
            <w:tcW w:w="2204" w:type="dxa"/>
            <w:vMerge/>
          </w:tcPr>
          <w:p w14:paraId="1A1F6A3F" w14:textId="77777777" w:rsidR="00454A29" w:rsidRDefault="00454A29"/>
        </w:tc>
        <w:tc>
          <w:tcPr>
            <w:tcW w:w="1417" w:type="dxa"/>
            <w:vMerge/>
          </w:tcPr>
          <w:p w14:paraId="423BA5FD" w14:textId="77777777" w:rsidR="00454A29" w:rsidRDefault="00454A29"/>
        </w:tc>
        <w:tc>
          <w:tcPr>
            <w:tcW w:w="2324" w:type="dxa"/>
            <w:vMerge/>
          </w:tcPr>
          <w:p w14:paraId="055BB01C" w14:textId="77777777" w:rsidR="00454A29" w:rsidRDefault="00454A29"/>
        </w:tc>
        <w:tc>
          <w:tcPr>
            <w:tcW w:w="1701" w:type="dxa"/>
            <w:vAlign w:val="center"/>
          </w:tcPr>
          <w:p w14:paraId="297FC371" w14:textId="77777777" w:rsidR="00454A29" w:rsidRDefault="00454A29">
            <w:pPr>
              <w:pStyle w:val="ConsPlusNormal"/>
              <w:jc w:val="center"/>
            </w:pPr>
            <w:r>
              <w:t>77 666,80</w:t>
            </w:r>
          </w:p>
        </w:tc>
        <w:tc>
          <w:tcPr>
            <w:tcW w:w="1814" w:type="dxa"/>
            <w:vAlign w:val="center"/>
          </w:tcPr>
          <w:p w14:paraId="25799268" w14:textId="77777777" w:rsidR="00454A29" w:rsidRDefault="00454A29">
            <w:pPr>
              <w:pStyle w:val="ConsPlusNormal"/>
              <w:jc w:val="center"/>
            </w:pPr>
            <w:r>
              <w:t>77 666,80</w:t>
            </w:r>
          </w:p>
        </w:tc>
        <w:tc>
          <w:tcPr>
            <w:tcW w:w="1701" w:type="dxa"/>
            <w:vAlign w:val="center"/>
          </w:tcPr>
          <w:p w14:paraId="43F256C7" w14:textId="77777777" w:rsidR="00454A29" w:rsidRDefault="00454A29">
            <w:pPr>
              <w:pStyle w:val="ConsPlusNormal"/>
            </w:pPr>
          </w:p>
        </w:tc>
        <w:tc>
          <w:tcPr>
            <w:tcW w:w="1701" w:type="dxa"/>
            <w:vAlign w:val="center"/>
          </w:tcPr>
          <w:p w14:paraId="42F7F692" w14:textId="77777777" w:rsidR="00454A29" w:rsidRDefault="00454A29">
            <w:pPr>
              <w:pStyle w:val="ConsPlusNormal"/>
            </w:pPr>
          </w:p>
        </w:tc>
        <w:tc>
          <w:tcPr>
            <w:tcW w:w="1814" w:type="dxa"/>
            <w:vAlign w:val="center"/>
          </w:tcPr>
          <w:p w14:paraId="3DBB168E" w14:textId="77777777" w:rsidR="00454A29" w:rsidRDefault="00454A29">
            <w:pPr>
              <w:pStyle w:val="ConsPlusNormal"/>
            </w:pPr>
          </w:p>
        </w:tc>
      </w:tr>
      <w:tr w:rsidR="00454A29" w14:paraId="024D2DB0" w14:textId="77777777">
        <w:tc>
          <w:tcPr>
            <w:tcW w:w="567" w:type="dxa"/>
            <w:vMerge/>
          </w:tcPr>
          <w:p w14:paraId="09715FED" w14:textId="77777777" w:rsidR="00454A29" w:rsidRDefault="00454A29"/>
        </w:tc>
        <w:tc>
          <w:tcPr>
            <w:tcW w:w="3345" w:type="dxa"/>
            <w:vMerge/>
          </w:tcPr>
          <w:p w14:paraId="5D79C9B5" w14:textId="77777777" w:rsidR="00454A29" w:rsidRDefault="00454A29"/>
        </w:tc>
        <w:tc>
          <w:tcPr>
            <w:tcW w:w="1701" w:type="dxa"/>
            <w:vAlign w:val="center"/>
          </w:tcPr>
          <w:p w14:paraId="243C10F4" w14:textId="77777777" w:rsidR="00454A29" w:rsidRDefault="00454A29">
            <w:pPr>
              <w:pStyle w:val="ConsPlusNormal"/>
              <w:jc w:val="center"/>
            </w:pPr>
            <w:r>
              <w:t>2025</w:t>
            </w:r>
          </w:p>
        </w:tc>
        <w:tc>
          <w:tcPr>
            <w:tcW w:w="1417" w:type="dxa"/>
            <w:vMerge/>
          </w:tcPr>
          <w:p w14:paraId="2F631F35" w14:textId="77777777" w:rsidR="00454A29" w:rsidRDefault="00454A29"/>
        </w:tc>
        <w:tc>
          <w:tcPr>
            <w:tcW w:w="2204" w:type="dxa"/>
            <w:vMerge/>
          </w:tcPr>
          <w:p w14:paraId="08B1016F" w14:textId="77777777" w:rsidR="00454A29" w:rsidRDefault="00454A29"/>
        </w:tc>
        <w:tc>
          <w:tcPr>
            <w:tcW w:w="1417" w:type="dxa"/>
            <w:vMerge/>
          </w:tcPr>
          <w:p w14:paraId="0990B640" w14:textId="77777777" w:rsidR="00454A29" w:rsidRDefault="00454A29"/>
        </w:tc>
        <w:tc>
          <w:tcPr>
            <w:tcW w:w="2324" w:type="dxa"/>
            <w:vMerge/>
          </w:tcPr>
          <w:p w14:paraId="0FAC6E33" w14:textId="77777777" w:rsidR="00454A29" w:rsidRDefault="00454A29"/>
        </w:tc>
        <w:tc>
          <w:tcPr>
            <w:tcW w:w="1701" w:type="dxa"/>
            <w:vAlign w:val="center"/>
          </w:tcPr>
          <w:p w14:paraId="650C4FCD" w14:textId="77777777" w:rsidR="00454A29" w:rsidRDefault="00454A29">
            <w:pPr>
              <w:pStyle w:val="ConsPlusNormal"/>
              <w:jc w:val="center"/>
            </w:pPr>
            <w:r>
              <w:t>-</w:t>
            </w:r>
          </w:p>
        </w:tc>
        <w:tc>
          <w:tcPr>
            <w:tcW w:w="1814" w:type="dxa"/>
            <w:vAlign w:val="center"/>
          </w:tcPr>
          <w:p w14:paraId="245E4AEF" w14:textId="77777777" w:rsidR="00454A29" w:rsidRDefault="00454A29">
            <w:pPr>
              <w:pStyle w:val="ConsPlusNormal"/>
            </w:pPr>
          </w:p>
        </w:tc>
        <w:tc>
          <w:tcPr>
            <w:tcW w:w="1701" w:type="dxa"/>
            <w:vAlign w:val="center"/>
          </w:tcPr>
          <w:p w14:paraId="506D7609" w14:textId="77777777" w:rsidR="00454A29" w:rsidRDefault="00454A29">
            <w:pPr>
              <w:pStyle w:val="ConsPlusNormal"/>
            </w:pPr>
          </w:p>
        </w:tc>
        <w:tc>
          <w:tcPr>
            <w:tcW w:w="1701" w:type="dxa"/>
            <w:vAlign w:val="center"/>
          </w:tcPr>
          <w:p w14:paraId="12560E7D" w14:textId="77777777" w:rsidR="00454A29" w:rsidRDefault="00454A29">
            <w:pPr>
              <w:pStyle w:val="ConsPlusNormal"/>
            </w:pPr>
          </w:p>
        </w:tc>
        <w:tc>
          <w:tcPr>
            <w:tcW w:w="1814" w:type="dxa"/>
            <w:vAlign w:val="center"/>
          </w:tcPr>
          <w:p w14:paraId="0A769560" w14:textId="77777777" w:rsidR="00454A29" w:rsidRDefault="00454A29">
            <w:pPr>
              <w:pStyle w:val="ConsPlusNormal"/>
            </w:pPr>
          </w:p>
        </w:tc>
      </w:tr>
      <w:tr w:rsidR="00454A29" w14:paraId="7AD49323" w14:textId="77777777">
        <w:tc>
          <w:tcPr>
            <w:tcW w:w="567" w:type="dxa"/>
            <w:vMerge/>
          </w:tcPr>
          <w:p w14:paraId="65DE7A0C" w14:textId="77777777" w:rsidR="00454A29" w:rsidRDefault="00454A29"/>
        </w:tc>
        <w:tc>
          <w:tcPr>
            <w:tcW w:w="3345" w:type="dxa"/>
            <w:vMerge/>
          </w:tcPr>
          <w:p w14:paraId="22FD18A6" w14:textId="77777777" w:rsidR="00454A29" w:rsidRDefault="00454A29"/>
        </w:tc>
        <w:tc>
          <w:tcPr>
            <w:tcW w:w="1701" w:type="dxa"/>
            <w:vAlign w:val="center"/>
          </w:tcPr>
          <w:p w14:paraId="62A74D34" w14:textId="77777777" w:rsidR="00454A29" w:rsidRDefault="00454A29">
            <w:pPr>
              <w:pStyle w:val="ConsPlusNormal"/>
              <w:jc w:val="center"/>
            </w:pPr>
            <w:r>
              <w:t>2026</w:t>
            </w:r>
          </w:p>
        </w:tc>
        <w:tc>
          <w:tcPr>
            <w:tcW w:w="1417" w:type="dxa"/>
            <w:vMerge/>
          </w:tcPr>
          <w:p w14:paraId="4749A6DF" w14:textId="77777777" w:rsidR="00454A29" w:rsidRDefault="00454A29"/>
        </w:tc>
        <w:tc>
          <w:tcPr>
            <w:tcW w:w="2204" w:type="dxa"/>
            <w:vMerge/>
          </w:tcPr>
          <w:p w14:paraId="6F9390D3" w14:textId="77777777" w:rsidR="00454A29" w:rsidRDefault="00454A29"/>
        </w:tc>
        <w:tc>
          <w:tcPr>
            <w:tcW w:w="1417" w:type="dxa"/>
            <w:vMerge/>
          </w:tcPr>
          <w:p w14:paraId="0B27EA5D" w14:textId="77777777" w:rsidR="00454A29" w:rsidRDefault="00454A29"/>
        </w:tc>
        <w:tc>
          <w:tcPr>
            <w:tcW w:w="2324" w:type="dxa"/>
            <w:vMerge/>
          </w:tcPr>
          <w:p w14:paraId="1556A111" w14:textId="77777777" w:rsidR="00454A29" w:rsidRDefault="00454A29"/>
        </w:tc>
        <w:tc>
          <w:tcPr>
            <w:tcW w:w="1701" w:type="dxa"/>
            <w:vAlign w:val="center"/>
          </w:tcPr>
          <w:p w14:paraId="376DD441" w14:textId="77777777" w:rsidR="00454A29" w:rsidRDefault="00454A29">
            <w:pPr>
              <w:pStyle w:val="ConsPlusNormal"/>
              <w:jc w:val="center"/>
            </w:pPr>
            <w:r>
              <w:t>-</w:t>
            </w:r>
          </w:p>
        </w:tc>
        <w:tc>
          <w:tcPr>
            <w:tcW w:w="1814" w:type="dxa"/>
            <w:vAlign w:val="center"/>
          </w:tcPr>
          <w:p w14:paraId="0B749B9B" w14:textId="77777777" w:rsidR="00454A29" w:rsidRDefault="00454A29">
            <w:pPr>
              <w:pStyle w:val="ConsPlusNormal"/>
            </w:pPr>
          </w:p>
        </w:tc>
        <w:tc>
          <w:tcPr>
            <w:tcW w:w="1701" w:type="dxa"/>
            <w:vAlign w:val="center"/>
          </w:tcPr>
          <w:p w14:paraId="1382428F" w14:textId="77777777" w:rsidR="00454A29" w:rsidRDefault="00454A29">
            <w:pPr>
              <w:pStyle w:val="ConsPlusNormal"/>
            </w:pPr>
          </w:p>
        </w:tc>
        <w:tc>
          <w:tcPr>
            <w:tcW w:w="1701" w:type="dxa"/>
            <w:vAlign w:val="center"/>
          </w:tcPr>
          <w:p w14:paraId="074012BD" w14:textId="77777777" w:rsidR="00454A29" w:rsidRDefault="00454A29">
            <w:pPr>
              <w:pStyle w:val="ConsPlusNormal"/>
            </w:pPr>
          </w:p>
        </w:tc>
        <w:tc>
          <w:tcPr>
            <w:tcW w:w="1814" w:type="dxa"/>
            <w:vAlign w:val="center"/>
          </w:tcPr>
          <w:p w14:paraId="401B8546" w14:textId="77777777" w:rsidR="00454A29" w:rsidRDefault="00454A29">
            <w:pPr>
              <w:pStyle w:val="ConsPlusNormal"/>
            </w:pPr>
          </w:p>
        </w:tc>
      </w:tr>
      <w:tr w:rsidR="00454A29" w14:paraId="0287F896" w14:textId="77777777">
        <w:tc>
          <w:tcPr>
            <w:tcW w:w="567" w:type="dxa"/>
            <w:vMerge w:val="restart"/>
            <w:vAlign w:val="center"/>
          </w:tcPr>
          <w:p w14:paraId="481D9535" w14:textId="77777777" w:rsidR="00454A29" w:rsidRDefault="00454A29">
            <w:pPr>
              <w:pStyle w:val="ConsPlusNormal"/>
              <w:jc w:val="center"/>
            </w:pPr>
            <w:r>
              <w:t>34</w:t>
            </w:r>
          </w:p>
        </w:tc>
        <w:tc>
          <w:tcPr>
            <w:tcW w:w="3345" w:type="dxa"/>
            <w:vMerge w:val="restart"/>
            <w:vAlign w:val="center"/>
          </w:tcPr>
          <w:p w14:paraId="31F1F6E2" w14:textId="77777777" w:rsidR="00454A29" w:rsidRDefault="00454A29">
            <w:pPr>
              <w:pStyle w:val="ConsPlusNormal"/>
              <w:jc w:val="center"/>
            </w:pPr>
            <w:r>
              <w:t>Детский сад на 240 мест в пос. Усть-Мая Усть-Майского улуса</w:t>
            </w:r>
          </w:p>
        </w:tc>
        <w:tc>
          <w:tcPr>
            <w:tcW w:w="1701" w:type="dxa"/>
            <w:vAlign w:val="center"/>
          </w:tcPr>
          <w:p w14:paraId="2A9913C5" w14:textId="77777777" w:rsidR="00454A29" w:rsidRDefault="00454A29">
            <w:pPr>
              <w:pStyle w:val="ConsPlusNormal"/>
              <w:jc w:val="center"/>
            </w:pPr>
            <w:r>
              <w:t>2020 - 2026 годы - всего</w:t>
            </w:r>
          </w:p>
        </w:tc>
        <w:tc>
          <w:tcPr>
            <w:tcW w:w="1417" w:type="dxa"/>
            <w:vMerge w:val="restart"/>
            <w:vAlign w:val="center"/>
          </w:tcPr>
          <w:p w14:paraId="4D9833F9" w14:textId="77777777" w:rsidR="00454A29" w:rsidRDefault="00454A29">
            <w:pPr>
              <w:pStyle w:val="ConsPlusNormal"/>
              <w:jc w:val="center"/>
            </w:pPr>
            <w:r>
              <w:t>386 446,42</w:t>
            </w:r>
          </w:p>
        </w:tc>
        <w:tc>
          <w:tcPr>
            <w:tcW w:w="2204" w:type="dxa"/>
            <w:vMerge w:val="restart"/>
            <w:vAlign w:val="center"/>
          </w:tcPr>
          <w:p w14:paraId="630EB544" w14:textId="77777777" w:rsidR="00454A29" w:rsidRDefault="00454A29">
            <w:pPr>
              <w:pStyle w:val="ConsPlusNormal"/>
              <w:jc w:val="center"/>
            </w:pPr>
            <w:r>
              <w:t>имеется</w:t>
            </w:r>
          </w:p>
        </w:tc>
        <w:tc>
          <w:tcPr>
            <w:tcW w:w="1417" w:type="dxa"/>
            <w:vMerge w:val="restart"/>
            <w:vAlign w:val="center"/>
          </w:tcPr>
          <w:p w14:paraId="464CDB6D" w14:textId="77777777" w:rsidR="00454A29" w:rsidRDefault="00454A29">
            <w:pPr>
              <w:pStyle w:val="ConsPlusNormal"/>
              <w:jc w:val="center"/>
            </w:pPr>
            <w:r>
              <w:t>240</w:t>
            </w:r>
          </w:p>
        </w:tc>
        <w:tc>
          <w:tcPr>
            <w:tcW w:w="2324" w:type="dxa"/>
            <w:vMerge w:val="restart"/>
            <w:vAlign w:val="center"/>
          </w:tcPr>
          <w:p w14:paraId="0D8AC9C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06AACD5" w14:textId="77777777" w:rsidR="00454A29" w:rsidRDefault="00454A29">
            <w:pPr>
              <w:pStyle w:val="ConsPlusNormal"/>
              <w:jc w:val="center"/>
            </w:pPr>
            <w:r>
              <w:t>225 105,04</w:t>
            </w:r>
          </w:p>
        </w:tc>
        <w:tc>
          <w:tcPr>
            <w:tcW w:w="1814" w:type="dxa"/>
            <w:vAlign w:val="center"/>
          </w:tcPr>
          <w:p w14:paraId="3775384D" w14:textId="77777777" w:rsidR="00454A29" w:rsidRDefault="00454A29">
            <w:pPr>
              <w:pStyle w:val="ConsPlusNormal"/>
              <w:jc w:val="center"/>
            </w:pPr>
            <w:r>
              <w:t>386 446,42</w:t>
            </w:r>
          </w:p>
        </w:tc>
        <w:tc>
          <w:tcPr>
            <w:tcW w:w="1701" w:type="dxa"/>
            <w:vAlign w:val="center"/>
          </w:tcPr>
          <w:p w14:paraId="26FDC268" w14:textId="77777777" w:rsidR="00454A29" w:rsidRDefault="00454A29">
            <w:pPr>
              <w:pStyle w:val="ConsPlusNormal"/>
              <w:jc w:val="center"/>
            </w:pPr>
            <w:r>
              <w:t>-</w:t>
            </w:r>
          </w:p>
        </w:tc>
        <w:tc>
          <w:tcPr>
            <w:tcW w:w="1701" w:type="dxa"/>
            <w:vAlign w:val="center"/>
          </w:tcPr>
          <w:p w14:paraId="7017E0DA" w14:textId="77777777" w:rsidR="00454A29" w:rsidRDefault="00454A29">
            <w:pPr>
              <w:pStyle w:val="ConsPlusNormal"/>
              <w:jc w:val="center"/>
            </w:pPr>
            <w:r>
              <w:t>-</w:t>
            </w:r>
          </w:p>
        </w:tc>
        <w:tc>
          <w:tcPr>
            <w:tcW w:w="1814" w:type="dxa"/>
            <w:vAlign w:val="center"/>
          </w:tcPr>
          <w:p w14:paraId="5F19F990" w14:textId="77777777" w:rsidR="00454A29" w:rsidRDefault="00454A29">
            <w:pPr>
              <w:pStyle w:val="ConsPlusNormal"/>
              <w:jc w:val="center"/>
            </w:pPr>
            <w:r>
              <w:t>-</w:t>
            </w:r>
          </w:p>
        </w:tc>
      </w:tr>
      <w:tr w:rsidR="00454A29" w14:paraId="119D83F1" w14:textId="77777777">
        <w:tc>
          <w:tcPr>
            <w:tcW w:w="567" w:type="dxa"/>
            <w:vMerge/>
          </w:tcPr>
          <w:p w14:paraId="35583BDB" w14:textId="77777777" w:rsidR="00454A29" w:rsidRDefault="00454A29"/>
        </w:tc>
        <w:tc>
          <w:tcPr>
            <w:tcW w:w="3345" w:type="dxa"/>
            <w:vMerge/>
          </w:tcPr>
          <w:p w14:paraId="14FCFE3B" w14:textId="77777777" w:rsidR="00454A29" w:rsidRDefault="00454A29"/>
        </w:tc>
        <w:tc>
          <w:tcPr>
            <w:tcW w:w="1701" w:type="dxa"/>
            <w:vAlign w:val="center"/>
          </w:tcPr>
          <w:p w14:paraId="48B1D45B" w14:textId="77777777" w:rsidR="00454A29" w:rsidRDefault="00454A29">
            <w:pPr>
              <w:pStyle w:val="ConsPlusNormal"/>
              <w:jc w:val="center"/>
            </w:pPr>
            <w:r>
              <w:t>2020</w:t>
            </w:r>
          </w:p>
        </w:tc>
        <w:tc>
          <w:tcPr>
            <w:tcW w:w="1417" w:type="dxa"/>
            <w:vMerge/>
          </w:tcPr>
          <w:p w14:paraId="692C865D" w14:textId="77777777" w:rsidR="00454A29" w:rsidRDefault="00454A29"/>
        </w:tc>
        <w:tc>
          <w:tcPr>
            <w:tcW w:w="2204" w:type="dxa"/>
            <w:vMerge/>
          </w:tcPr>
          <w:p w14:paraId="6C2B9FC9" w14:textId="77777777" w:rsidR="00454A29" w:rsidRDefault="00454A29"/>
        </w:tc>
        <w:tc>
          <w:tcPr>
            <w:tcW w:w="1417" w:type="dxa"/>
            <w:vMerge/>
          </w:tcPr>
          <w:p w14:paraId="609DC17A" w14:textId="77777777" w:rsidR="00454A29" w:rsidRDefault="00454A29"/>
        </w:tc>
        <w:tc>
          <w:tcPr>
            <w:tcW w:w="2324" w:type="dxa"/>
            <w:vMerge/>
          </w:tcPr>
          <w:p w14:paraId="1F144F0C" w14:textId="77777777" w:rsidR="00454A29" w:rsidRDefault="00454A29"/>
        </w:tc>
        <w:tc>
          <w:tcPr>
            <w:tcW w:w="1701" w:type="dxa"/>
            <w:vAlign w:val="center"/>
          </w:tcPr>
          <w:p w14:paraId="69293E26" w14:textId="77777777" w:rsidR="00454A29" w:rsidRDefault="00454A29">
            <w:pPr>
              <w:pStyle w:val="ConsPlusNormal"/>
              <w:jc w:val="center"/>
            </w:pPr>
            <w:r>
              <w:t>-</w:t>
            </w:r>
          </w:p>
        </w:tc>
        <w:tc>
          <w:tcPr>
            <w:tcW w:w="1814" w:type="dxa"/>
            <w:vAlign w:val="center"/>
          </w:tcPr>
          <w:p w14:paraId="6E4219E2" w14:textId="77777777" w:rsidR="00454A29" w:rsidRDefault="00454A29">
            <w:pPr>
              <w:pStyle w:val="ConsPlusNormal"/>
            </w:pPr>
          </w:p>
        </w:tc>
        <w:tc>
          <w:tcPr>
            <w:tcW w:w="1701" w:type="dxa"/>
            <w:vAlign w:val="center"/>
          </w:tcPr>
          <w:p w14:paraId="78E7EA62" w14:textId="77777777" w:rsidR="00454A29" w:rsidRDefault="00454A29">
            <w:pPr>
              <w:pStyle w:val="ConsPlusNormal"/>
            </w:pPr>
          </w:p>
        </w:tc>
        <w:tc>
          <w:tcPr>
            <w:tcW w:w="1701" w:type="dxa"/>
            <w:vAlign w:val="center"/>
          </w:tcPr>
          <w:p w14:paraId="7417B865" w14:textId="77777777" w:rsidR="00454A29" w:rsidRDefault="00454A29">
            <w:pPr>
              <w:pStyle w:val="ConsPlusNormal"/>
            </w:pPr>
          </w:p>
        </w:tc>
        <w:tc>
          <w:tcPr>
            <w:tcW w:w="1814" w:type="dxa"/>
            <w:vAlign w:val="center"/>
          </w:tcPr>
          <w:p w14:paraId="4D09F234" w14:textId="77777777" w:rsidR="00454A29" w:rsidRDefault="00454A29">
            <w:pPr>
              <w:pStyle w:val="ConsPlusNormal"/>
            </w:pPr>
          </w:p>
        </w:tc>
      </w:tr>
      <w:tr w:rsidR="00454A29" w14:paraId="56D3FF6E" w14:textId="77777777">
        <w:tc>
          <w:tcPr>
            <w:tcW w:w="567" w:type="dxa"/>
            <w:vMerge/>
          </w:tcPr>
          <w:p w14:paraId="62DB803A" w14:textId="77777777" w:rsidR="00454A29" w:rsidRDefault="00454A29"/>
        </w:tc>
        <w:tc>
          <w:tcPr>
            <w:tcW w:w="3345" w:type="dxa"/>
            <w:vMerge/>
          </w:tcPr>
          <w:p w14:paraId="19D31C72" w14:textId="77777777" w:rsidR="00454A29" w:rsidRDefault="00454A29"/>
        </w:tc>
        <w:tc>
          <w:tcPr>
            <w:tcW w:w="1701" w:type="dxa"/>
            <w:vAlign w:val="center"/>
          </w:tcPr>
          <w:p w14:paraId="52F7000E" w14:textId="77777777" w:rsidR="00454A29" w:rsidRDefault="00454A29">
            <w:pPr>
              <w:pStyle w:val="ConsPlusNormal"/>
              <w:jc w:val="center"/>
            </w:pPr>
            <w:r>
              <w:t>2021</w:t>
            </w:r>
          </w:p>
        </w:tc>
        <w:tc>
          <w:tcPr>
            <w:tcW w:w="1417" w:type="dxa"/>
            <w:vMerge/>
          </w:tcPr>
          <w:p w14:paraId="68C9ED3A" w14:textId="77777777" w:rsidR="00454A29" w:rsidRDefault="00454A29"/>
        </w:tc>
        <w:tc>
          <w:tcPr>
            <w:tcW w:w="2204" w:type="dxa"/>
            <w:vMerge/>
          </w:tcPr>
          <w:p w14:paraId="259EC99A" w14:textId="77777777" w:rsidR="00454A29" w:rsidRDefault="00454A29"/>
        </w:tc>
        <w:tc>
          <w:tcPr>
            <w:tcW w:w="1417" w:type="dxa"/>
            <w:vMerge/>
          </w:tcPr>
          <w:p w14:paraId="57A8D244" w14:textId="77777777" w:rsidR="00454A29" w:rsidRDefault="00454A29"/>
        </w:tc>
        <w:tc>
          <w:tcPr>
            <w:tcW w:w="2324" w:type="dxa"/>
            <w:vMerge/>
          </w:tcPr>
          <w:p w14:paraId="029752D3" w14:textId="77777777" w:rsidR="00454A29" w:rsidRDefault="00454A29"/>
        </w:tc>
        <w:tc>
          <w:tcPr>
            <w:tcW w:w="1701" w:type="dxa"/>
            <w:vAlign w:val="center"/>
          </w:tcPr>
          <w:p w14:paraId="02510D26" w14:textId="77777777" w:rsidR="00454A29" w:rsidRDefault="00454A29">
            <w:pPr>
              <w:pStyle w:val="ConsPlusNormal"/>
              <w:jc w:val="center"/>
            </w:pPr>
            <w:r>
              <w:t>-</w:t>
            </w:r>
          </w:p>
        </w:tc>
        <w:tc>
          <w:tcPr>
            <w:tcW w:w="1814" w:type="dxa"/>
            <w:vAlign w:val="center"/>
          </w:tcPr>
          <w:p w14:paraId="7A720986" w14:textId="77777777" w:rsidR="00454A29" w:rsidRDefault="00454A29">
            <w:pPr>
              <w:pStyle w:val="ConsPlusNormal"/>
            </w:pPr>
          </w:p>
        </w:tc>
        <w:tc>
          <w:tcPr>
            <w:tcW w:w="1701" w:type="dxa"/>
            <w:vAlign w:val="center"/>
          </w:tcPr>
          <w:p w14:paraId="03E45CA7" w14:textId="77777777" w:rsidR="00454A29" w:rsidRDefault="00454A29">
            <w:pPr>
              <w:pStyle w:val="ConsPlusNormal"/>
            </w:pPr>
          </w:p>
        </w:tc>
        <w:tc>
          <w:tcPr>
            <w:tcW w:w="1701" w:type="dxa"/>
            <w:vAlign w:val="center"/>
          </w:tcPr>
          <w:p w14:paraId="6AC33221" w14:textId="77777777" w:rsidR="00454A29" w:rsidRDefault="00454A29">
            <w:pPr>
              <w:pStyle w:val="ConsPlusNormal"/>
            </w:pPr>
          </w:p>
        </w:tc>
        <w:tc>
          <w:tcPr>
            <w:tcW w:w="1814" w:type="dxa"/>
            <w:vAlign w:val="center"/>
          </w:tcPr>
          <w:p w14:paraId="5D67166B" w14:textId="77777777" w:rsidR="00454A29" w:rsidRDefault="00454A29">
            <w:pPr>
              <w:pStyle w:val="ConsPlusNormal"/>
            </w:pPr>
          </w:p>
        </w:tc>
      </w:tr>
      <w:tr w:rsidR="00454A29" w14:paraId="25BA300F" w14:textId="77777777">
        <w:tc>
          <w:tcPr>
            <w:tcW w:w="567" w:type="dxa"/>
            <w:vMerge/>
          </w:tcPr>
          <w:p w14:paraId="1DFB02C5" w14:textId="77777777" w:rsidR="00454A29" w:rsidRDefault="00454A29"/>
        </w:tc>
        <w:tc>
          <w:tcPr>
            <w:tcW w:w="3345" w:type="dxa"/>
            <w:vMerge/>
          </w:tcPr>
          <w:p w14:paraId="41A5F0F2" w14:textId="77777777" w:rsidR="00454A29" w:rsidRDefault="00454A29"/>
        </w:tc>
        <w:tc>
          <w:tcPr>
            <w:tcW w:w="1701" w:type="dxa"/>
            <w:vAlign w:val="center"/>
          </w:tcPr>
          <w:p w14:paraId="1619424B" w14:textId="77777777" w:rsidR="00454A29" w:rsidRDefault="00454A29">
            <w:pPr>
              <w:pStyle w:val="ConsPlusNormal"/>
              <w:jc w:val="center"/>
            </w:pPr>
            <w:r>
              <w:t>2022</w:t>
            </w:r>
          </w:p>
        </w:tc>
        <w:tc>
          <w:tcPr>
            <w:tcW w:w="1417" w:type="dxa"/>
            <w:vMerge/>
          </w:tcPr>
          <w:p w14:paraId="6210EA92" w14:textId="77777777" w:rsidR="00454A29" w:rsidRDefault="00454A29"/>
        </w:tc>
        <w:tc>
          <w:tcPr>
            <w:tcW w:w="2204" w:type="dxa"/>
            <w:vMerge/>
          </w:tcPr>
          <w:p w14:paraId="3E03CD23" w14:textId="77777777" w:rsidR="00454A29" w:rsidRDefault="00454A29"/>
        </w:tc>
        <w:tc>
          <w:tcPr>
            <w:tcW w:w="1417" w:type="dxa"/>
            <w:vMerge/>
          </w:tcPr>
          <w:p w14:paraId="32E19959" w14:textId="77777777" w:rsidR="00454A29" w:rsidRDefault="00454A29"/>
        </w:tc>
        <w:tc>
          <w:tcPr>
            <w:tcW w:w="2324" w:type="dxa"/>
            <w:vMerge/>
          </w:tcPr>
          <w:p w14:paraId="13C4B8D0" w14:textId="77777777" w:rsidR="00454A29" w:rsidRDefault="00454A29"/>
        </w:tc>
        <w:tc>
          <w:tcPr>
            <w:tcW w:w="1701" w:type="dxa"/>
            <w:vAlign w:val="center"/>
          </w:tcPr>
          <w:p w14:paraId="7CF2AFFE" w14:textId="77777777" w:rsidR="00454A29" w:rsidRDefault="00454A29">
            <w:pPr>
              <w:pStyle w:val="ConsPlusNormal"/>
            </w:pPr>
          </w:p>
        </w:tc>
        <w:tc>
          <w:tcPr>
            <w:tcW w:w="1814" w:type="dxa"/>
            <w:vAlign w:val="center"/>
          </w:tcPr>
          <w:p w14:paraId="05569877" w14:textId="77777777" w:rsidR="00454A29" w:rsidRDefault="00454A29">
            <w:pPr>
              <w:pStyle w:val="ConsPlusNormal"/>
            </w:pPr>
          </w:p>
        </w:tc>
        <w:tc>
          <w:tcPr>
            <w:tcW w:w="1701" w:type="dxa"/>
            <w:vAlign w:val="center"/>
          </w:tcPr>
          <w:p w14:paraId="6623C400" w14:textId="77777777" w:rsidR="00454A29" w:rsidRDefault="00454A29">
            <w:pPr>
              <w:pStyle w:val="ConsPlusNormal"/>
            </w:pPr>
          </w:p>
        </w:tc>
        <w:tc>
          <w:tcPr>
            <w:tcW w:w="1701" w:type="dxa"/>
            <w:vAlign w:val="center"/>
          </w:tcPr>
          <w:p w14:paraId="05232BBD" w14:textId="77777777" w:rsidR="00454A29" w:rsidRDefault="00454A29">
            <w:pPr>
              <w:pStyle w:val="ConsPlusNormal"/>
            </w:pPr>
          </w:p>
        </w:tc>
        <w:tc>
          <w:tcPr>
            <w:tcW w:w="1814" w:type="dxa"/>
            <w:vAlign w:val="center"/>
          </w:tcPr>
          <w:p w14:paraId="3151AF2D" w14:textId="77777777" w:rsidR="00454A29" w:rsidRDefault="00454A29">
            <w:pPr>
              <w:pStyle w:val="ConsPlusNormal"/>
            </w:pPr>
          </w:p>
        </w:tc>
      </w:tr>
      <w:tr w:rsidR="00454A29" w14:paraId="2A9BB27A" w14:textId="77777777">
        <w:tc>
          <w:tcPr>
            <w:tcW w:w="567" w:type="dxa"/>
            <w:vMerge/>
          </w:tcPr>
          <w:p w14:paraId="72D279B3" w14:textId="77777777" w:rsidR="00454A29" w:rsidRDefault="00454A29"/>
        </w:tc>
        <w:tc>
          <w:tcPr>
            <w:tcW w:w="3345" w:type="dxa"/>
            <w:vMerge/>
          </w:tcPr>
          <w:p w14:paraId="0F93C875" w14:textId="77777777" w:rsidR="00454A29" w:rsidRDefault="00454A29"/>
        </w:tc>
        <w:tc>
          <w:tcPr>
            <w:tcW w:w="1701" w:type="dxa"/>
            <w:vAlign w:val="center"/>
          </w:tcPr>
          <w:p w14:paraId="337DF0DE" w14:textId="77777777" w:rsidR="00454A29" w:rsidRDefault="00454A29">
            <w:pPr>
              <w:pStyle w:val="ConsPlusNormal"/>
              <w:jc w:val="center"/>
            </w:pPr>
            <w:r>
              <w:t>2023</w:t>
            </w:r>
          </w:p>
        </w:tc>
        <w:tc>
          <w:tcPr>
            <w:tcW w:w="1417" w:type="dxa"/>
            <w:vMerge/>
          </w:tcPr>
          <w:p w14:paraId="018E4F9E" w14:textId="77777777" w:rsidR="00454A29" w:rsidRDefault="00454A29"/>
        </w:tc>
        <w:tc>
          <w:tcPr>
            <w:tcW w:w="2204" w:type="dxa"/>
            <w:vMerge/>
          </w:tcPr>
          <w:p w14:paraId="4B910124" w14:textId="77777777" w:rsidR="00454A29" w:rsidRDefault="00454A29"/>
        </w:tc>
        <w:tc>
          <w:tcPr>
            <w:tcW w:w="1417" w:type="dxa"/>
            <w:vMerge/>
          </w:tcPr>
          <w:p w14:paraId="14E5AA62" w14:textId="77777777" w:rsidR="00454A29" w:rsidRDefault="00454A29"/>
        </w:tc>
        <w:tc>
          <w:tcPr>
            <w:tcW w:w="2324" w:type="dxa"/>
            <w:vMerge/>
          </w:tcPr>
          <w:p w14:paraId="49C62A8C" w14:textId="77777777" w:rsidR="00454A29" w:rsidRDefault="00454A29"/>
        </w:tc>
        <w:tc>
          <w:tcPr>
            <w:tcW w:w="1701" w:type="dxa"/>
            <w:vAlign w:val="center"/>
          </w:tcPr>
          <w:p w14:paraId="525B187F" w14:textId="77777777" w:rsidR="00454A29" w:rsidRDefault="00454A29">
            <w:pPr>
              <w:pStyle w:val="ConsPlusNormal"/>
              <w:jc w:val="center"/>
            </w:pPr>
            <w:r>
              <w:t>95 838,71</w:t>
            </w:r>
          </w:p>
        </w:tc>
        <w:tc>
          <w:tcPr>
            <w:tcW w:w="1814" w:type="dxa"/>
            <w:vAlign w:val="center"/>
          </w:tcPr>
          <w:p w14:paraId="0BC79F99" w14:textId="77777777" w:rsidR="00454A29" w:rsidRDefault="00454A29">
            <w:pPr>
              <w:pStyle w:val="ConsPlusNormal"/>
              <w:jc w:val="center"/>
            </w:pPr>
            <w:r>
              <w:t>95 838,71</w:t>
            </w:r>
          </w:p>
        </w:tc>
        <w:tc>
          <w:tcPr>
            <w:tcW w:w="1701" w:type="dxa"/>
            <w:vAlign w:val="center"/>
          </w:tcPr>
          <w:p w14:paraId="044273CC" w14:textId="77777777" w:rsidR="00454A29" w:rsidRDefault="00454A29">
            <w:pPr>
              <w:pStyle w:val="ConsPlusNormal"/>
            </w:pPr>
          </w:p>
        </w:tc>
        <w:tc>
          <w:tcPr>
            <w:tcW w:w="1701" w:type="dxa"/>
            <w:vAlign w:val="center"/>
          </w:tcPr>
          <w:p w14:paraId="046109F7" w14:textId="77777777" w:rsidR="00454A29" w:rsidRDefault="00454A29">
            <w:pPr>
              <w:pStyle w:val="ConsPlusNormal"/>
            </w:pPr>
          </w:p>
        </w:tc>
        <w:tc>
          <w:tcPr>
            <w:tcW w:w="1814" w:type="dxa"/>
            <w:vAlign w:val="center"/>
          </w:tcPr>
          <w:p w14:paraId="19C80CB1" w14:textId="77777777" w:rsidR="00454A29" w:rsidRDefault="00454A29">
            <w:pPr>
              <w:pStyle w:val="ConsPlusNormal"/>
            </w:pPr>
          </w:p>
        </w:tc>
      </w:tr>
      <w:tr w:rsidR="00454A29" w14:paraId="25D219D3" w14:textId="77777777">
        <w:tc>
          <w:tcPr>
            <w:tcW w:w="567" w:type="dxa"/>
            <w:vMerge/>
          </w:tcPr>
          <w:p w14:paraId="321AB36F" w14:textId="77777777" w:rsidR="00454A29" w:rsidRDefault="00454A29"/>
        </w:tc>
        <w:tc>
          <w:tcPr>
            <w:tcW w:w="3345" w:type="dxa"/>
            <w:vMerge/>
          </w:tcPr>
          <w:p w14:paraId="45627D3E" w14:textId="77777777" w:rsidR="00454A29" w:rsidRDefault="00454A29"/>
        </w:tc>
        <w:tc>
          <w:tcPr>
            <w:tcW w:w="1701" w:type="dxa"/>
            <w:vAlign w:val="center"/>
          </w:tcPr>
          <w:p w14:paraId="6E6B9E25" w14:textId="77777777" w:rsidR="00454A29" w:rsidRDefault="00454A29">
            <w:pPr>
              <w:pStyle w:val="ConsPlusNormal"/>
              <w:jc w:val="center"/>
            </w:pPr>
            <w:r>
              <w:t>2024</w:t>
            </w:r>
          </w:p>
        </w:tc>
        <w:tc>
          <w:tcPr>
            <w:tcW w:w="1417" w:type="dxa"/>
            <w:vMerge/>
          </w:tcPr>
          <w:p w14:paraId="319EDD7D" w14:textId="77777777" w:rsidR="00454A29" w:rsidRDefault="00454A29"/>
        </w:tc>
        <w:tc>
          <w:tcPr>
            <w:tcW w:w="2204" w:type="dxa"/>
            <w:vMerge/>
          </w:tcPr>
          <w:p w14:paraId="36A3DB8D" w14:textId="77777777" w:rsidR="00454A29" w:rsidRDefault="00454A29"/>
        </w:tc>
        <w:tc>
          <w:tcPr>
            <w:tcW w:w="1417" w:type="dxa"/>
            <w:vMerge/>
          </w:tcPr>
          <w:p w14:paraId="472A9394" w14:textId="77777777" w:rsidR="00454A29" w:rsidRDefault="00454A29"/>
        </w:tc>
        <w:tc>
          <w:tcPr>
            <w:tcW w:w="2324" w:type="dxa"/>
            <w:vMerge/>
          </w:tcPr>
          <w:p w14:paraId="476C690F" w14:textId="77777777" w:rsidR="00454A29" w:rsidRDefault="00454A29"/>
        </w:tc>
        <w:tc>
          <w:tcPr>
            <w:tcW w:w="1701" w:type="dxa"/>
            <w:vAlign w:val="center"/>
          </w:tcPr>
          <w:p w14:paraId="25074B8D" w14:textId="77777777" w:rsidR="00454A29" w:rsidRDefault="00454A29">
            <w:pPr>
              <w:pStyle w:val="ConsPlusNormal"/>
              <w:jc w:val="center"/>
            </w:pPr>
            <w:r>
              <w:t>129 266,33</w:t>
            </w:r>
          </w:p>
        </w:tc>
        <w:tc>
          <w:tcPr>
            <w:tcW w:w="1814" w:type="dxa"/>
            <w:vAlign w:val="center"/>
          </w:tcPr>
          <w:p w14:paraId="23EA37AA" w14:textId="77777777" w:rsidR="00454A29" w:rsidRDefault="00454A29">
            <w:pPr>
              <w:pStyle w:val="ConsPlusNormal"/>
              <w:jc w:val="center"/>
            </w:pPr>
            <w:r>
              <w:t>129 266,33</w:t>
            </w:r>
          </w:p>
        </w:tc>
        <w:tc>
          <w:tcPr>
            <w:tcW w:w="1701" w:type="dxa"/>
            <w:vAlign w:val="center"/>
          </w:tcPr>
          <w:p w14:paraId="6B664D9F" w14:textId="77777777" w:rsidR="00454A29" w:rsidRDefault="00454A29">
            <w:pPr>
              <w:pStyle w:val="ConsPlusNormal"/>
            </w:pPr>
          </w:p>
        </w:tc>
        <w:tc>
          <w:tcPr>
            <w:tcW w:w="1701" w:type="dxa"/>
            <w:vAlign w:val="center"/>
          </w:tcPr>
          <w:p w14:paraId="4EBCB6EF" w14:textId="77777777" w:rsidR="00454A29" w:rsidRDefault="00454A29">
            <w:pPr>
              <w:pStyle w:val="ConsPlusNormal"/>
            </w:pPr>
          </w:p>
        </w:tc>
        <w:tc>
          <w:tcPr>
            <w:tcW w:w="1814" w:type="dxa"/>
            <w:vAlign w:val="center"/>
          </w:tcPr>
          <w:p w14:paraId="38C2D780" w14:textId="77777777" w:rsidR="00454A29" w:rsidRDefault="00454A29">
            <w:pPr>
              <w:pStyle w:val="ConsPlusNormal"/>
            </w:pPr>
          </w:p>
        </w:tc>
      </w:tr>
      <w:tr w:rsidR="00454A29" w14:paraId="0EEC9456" w14:textId="77777777">
        <w:tc>
          <w:tcPr>
            <w:tcW w:w="567" w:type="dxa"/>
            <w:vMerge/>
          </w:tcPr>
          <w:p w14:paraId="083582B5" w14:textId="77777777" w:rsidR="00454A29" w:rsidRDefault="00454A29"/>
        </w:tc>
        <w:tc>
          <w:tcPr>
            <w:tcW w:w="3345" w:type="dxa"/>
            <w:vMerge/>
          </w:tcPr>
          <w:p w14:paraId="07E3FF12" w14:textId="77777777" w:rsidR="00454A29" w:rsidRDefault="00454A29"/>
        </w:tc>
        <w:tc>
          <w:tcPr>
            <w:tcW w:w="1701" w:type="dxa"/>
            <w:vAlign w:val="center"/>
          </w:tcPr>
          <w:p w14:paraId="50BD1A8C" w14:textId="77777777" w:rsidR="00454A29" w:rsidRDefault="00454A29">
            <w:pPr>
              <w:pStyle w:val="ConsPlusNormal"/>
              <w:jc w:val="center"/>
            </w:pPr>
            <w:r>
              <w:t>2025</w:t>
            </w:r>
          </w:p>
        </w:tc>
        <w:tc>
          <w:tcPr>
            <w:tcW w:w="1417" w:type="dxa"/>
            <w:vMerge/>
          </w:tcPr>
          <w:p w14:paraId="01B051DE" w14:textId="77777777" w:rsidR="00454A29" w:rsidRDefault="00454A29"/>
        </w:tc>
        <w:tc>
          <w:tcPr>
            <w:tcW w:w="2204" w:type="dxa"/>
            <w:vMerge/>
          </w:tcPr>
          <w:p w14:paraId="64415F6E" w14:textId="77777777" w:rsidR="00454A29" w:rsidRDefault="00454A29"/>
        </w:tc>
        <w:tc>
          <w:tcPr>
            <w:tcW w:w="1417" w:type="dxa"/>
            <w:vMerge/>
          </w:tcPr>
          <w:p w14:paraId="3AF6D821" w14:textId="77777777" w:rsidR="00454A29" w:rsidRDefault="00454A29"/>
        </w:tc>
        <w:tc>
          <w:tcPr>
            <w:tcW w:w="2324" w:type="dxa"/>
            <w:vMerge/>
          </w:tcPr>
          <w:p w14:paraId="2ACE3A50" w14:textId="77777777" w:rsidR="00454A29" w:rsidRDefault="00454A29"/>
        </w:tc>
        <w:tc>
          <w:tcPr>
            <w:tcW w:w="1701" w:type="dxa"/>
            <w:vAlign w:val="center"/>
          </w:tcPr>
          <w:p w14:paraId="449FDE1D" w14:textId="77777777" w:rsidR="00454A29" w:rsidRDefault="00454A29">
            <w:pPr>
              <w:pStyle w:val="ConsPlusNormal"/>
              <w:jc w:val="center"/>
            </w:pPr>
            <w:r>
              <w:t>-</w:t>
            </w:r>
          </w:p>
        </w:tc>
        <w:tc>
          <w:tcPr>
            <w:tcW w:w="1814" w:type="dxa"/>
            <w:vAlign w:val="center"/>
          </w:tcPr>
          <w:p w14:paraId="4418CA36" w14:textId="77777777" w:rsidR="00454A29" w:rsidRDefault="00454A29">
            <w:pPr>
              <w:pStyle w:val="ConsPlusNormal"/>
            </w:pPr>
          </w:p>
        </w:tc>
        <w:tc>
          <w:tcPr>
            <w:tcW w:w="1701" w:type="dxa"/>
            <w:vAlign w:val="center"/>
          </w:tcPr>
          <w:p w14:paraId="061264FE" w14:textId="77777777" w:rsidR="00454A29" w:rsidRDefault="00454A29">
            <w:pPr>
              <w:pStyle w:val="ConsPlusNormal"/>
            </w:pPr>
          </w:p>
        </w:tc>
        <w:tc>
          <w:tcPr>
            <w:tcW w:w="1701" w:type="dxa"/>
            <w:vAlign w:val="center"/>
          </w:tcPr>
          <w:p w14:paraId="0AB922EB" w14:textId="77777777" w:rsidR="00454A29" w:rsidRDefault="00454A29">
            <w:pPr>
              <w:pStyle w:val="ConsPlusNormal"/>
            </w:pPr>
          </w:p>
        </w:tc>
        <w:tc>
          <w:tcPr>
            <w:tcW w:w="1814" w:type="dxa"/>
            <w:vAlign w:val="center"/>
          </w:tcPr>
          <w:p w14:paraId="7B7D3F26" w14:textId="77777777" w:rsidR="00454A29" w:rsidRDefault="00454A29">
            <w:pPr>
              <w:pStyle w:val="ConsPlusNormal"/>
            </w:pPr>
          </w:p>
        </w:tc>
      </w:tr>
      <w:tr w:rsidR="00454A29" w14:paraId="71DF0B41" w14:textId="77777777">
        <w:tc>
          <w:tcPr>
            <w:tcW w:w="567" w:type="dxa"/>
            <w:vMerge/>
          </w:tcPr>
          <w:p w14:paraId="250360B7" w14:textId="77777777" w:rsidR="00454A29" w:rsidRDefault="00454A29"/>
        </w:tc>
        <w:tc>
          <w:tcPr>
            <w:tcW w:w="3345" w:type="dxa"/>
            <w:vMerge/>
          </w:tcPr>
          <w:p w14:paraId="0DA20C2C" w14:textId="77777777" w:rsidR="00454A29" w:rsidRDefault="00454A29"/>
        </w:tc>
        <w:tc>
          <w:tcPr>
            <w:tcW w:w="1701" w:type="dxa"/>
            <w:vAlign w:val="center"/>
          </w:tcPr>
          <w:p w14:paraId="1CB9B699" w14:textId="77777777" w:rsidR="00454A29" w:rsidRDefault="00454A29">
            <w:pPr>
              <w:pStyle w:val="ConsPlusNormal"/>
              <w:jc w:val="center"/>
            </w:pPr>
            <w:r>
              <w:t>2026</w:t>
            </w:r>
          </w:p>
        </w:tc>
        <w:tc>
          <w:tcPr>
            <w:tcW w:w="1417" w:type="dxa"/>
            <w:vMerge/>
          </w:tcPr>
          <w:p w14:paraId="1B9ED16B" w14:textId="77777777" w:rsidR="00454A29" w:rsidRDefault="00454A29"/>
        </w:tc>
        <w:tc>
          <w:tcPr>
            <w:tcW w:w="2204" w:type="dxa"/>
            <w:vMerge/>
          </w:tcPr>
          <w:p w14:paraId="36D4B470" w14:textId="77777777" w:rsidR="00454A29" w:rsidRDefault="00454A29"/>
        </w:tc>
        <w:tc>
          <w:tcPr>
            <w:tcW w:w="1417" w:type="dxa"/>
            <w:vMerge/>
          </w:tcPr>
          <w:p w14:paraId="191AF9DE" w14:textId="77777777" w:rsidR="00454A29" w:rsidRDefault="00454A29"/>
        </w:tc>
        <w:tc>
          <w:tcPr>
            <w:tcW w:w="2324" w:type="dxa"/>
            <w:vMerge/>
          </w:tcPr>
          <w:p w14:paraId="3AF07092" w14:textId="77777777" w:rsidR="00454A29" w:rsidRDefault="00454A29"/>
        </w:tc>
        <w:tc>
          <w:tcPr>
            <w:tcW w:w="1701" w:type="dxa"/>
            <w:vAlign w:val="center"/>
          </w:tcPr>
          <w:p w14:paraId="351B7059" w14:textId="77777777" w:rsidR="00454A29" w:rsidRDefault="00454A29">
            <w:pPr>
              <w:pStyle w:val="ConsPlusNormal"/>
              <w:jc w:val="center"/>
            </w:pPr>
            <w:r>
              <w:t>-</w:t>
            </w:r>
          </w:p>
        </w:tc>
        <w:tc>
          <w:tcPr>
            <w:tcW w:w="1814" w:type="dxa"/>
            <w:vAlign w:val="center"/>
          </w:tcPr>
          <w:p w14:paraId="78B1E1F7" w14:textId="77777777" w:rsidR="00454A29" w:rsidRDefault="00454A29">
            <w:pPr>
              <w:pStyle w:val="ConsPlusNormal"/>
            </w:pPr>
          </w:p>
        </w:tc>
        <w:tc>
          <w:tcPr>
            <w:tcW w:w="1701" w:type="dxa"/>
            <w:vAlign w:val="center"/>
          </w:tcPr>
          <w:p w14:paraId="5B36C68D" w14:textId="77777777" w:rsidR="00454A29" w:rsidRDefault="00454A29">
            <w:pPr>
              <w:pStyle w:val="ConsPlusNormal"/>
            </w:pPr>
          </w:p>
        </w:tc>
        <w:tc>
          <w:tcPr>
            <w:tcW w:w="1701" w:type="dxa"/>
            <w:vAlign w:val="center"/>
          </w:tcPr>
          <w:p w14:paraId="5F6BF8F2" w14:textId="77777777" w:rsidR="00454A29" w:rsidRDefault="00454A29">
            <w:pPr>
              <w:pStyle w:val="ConsPlusNormal"/>
            </w:pPr>
          </w:p>
        </w:tc>
        <w:tc>
          <w:tcPr>
            <w:tcW w:w="1814" w:type="dxa"/>
            <w:vAlign w:val="center"/>
          </w:tcPr>
          <w:p w14:paraId="4C3A4111" w14:textId="77777777" w:rsidR="00454A29" w:rsidRDefault="00454A29">
            <w:pPr>
              <w:pStyle w:val="ConsPlusNormal"/>
            </w:pPr>
          </w:p>
        </w:tc>
      </w:tr>
      <w:tr w:rsidR="00454A29" w14:paraId="7B8DBCDD" w14:textId="77777777">
        <w:tc>
          <w:tcPr>
            <w:tcW w:w="567" w:type="dxa"/>
            <w:vMerge w:val="restart"/>
            <w:vAlign w:val="center"/>
          </w:tcPr>
          <w:p w14:paraId="14BFB3E7" w14:textId="77777777" w:rsidR="00454A29" w:rsidRDefault="00454A29">
            <w:pPr>
              <w:pStyle w:val="ConsPlusNormal"/>
              <w:jc w:val="center"/>
            </w:pPr>
            <w:r>
              <w:t>35</w:t>
            </w:r>
          </w:p>
        </w:tc>
        <w:tc>
          <w:tcPr>
            <w:tcW w:w="3345" w:type="dxa"/>
            <w:vMerge w:val="restart"/>
            <w:vAlign w:val="center"/>
          </w:tcPr>
          <w:p w14:paraId="19655EFD" w14:textId="77777777" w:rsidR="00454A29" w:rsidRDefault="00454A29">
            <w:pPr>
              <w:pStyle w:val="ConsPlusNormal"/>
              <w:jc w:val="center"/>
            </w:pPr>
            <w:r>
              <w:t>Детский сад на 75 мест в с. Казачье Усть-Янского улуса</w:t>
            </w:r>
          </w:p>
        </w:tc>
        <w:tc>
          <w:tcPr>
            <w:tcW w:w="1701" w:type="dxa"/>
            <w:vAlign w:val="center"/>
          </w:tcPr>
          <w:p w14:paraId="60F9E0FB" w14:textId="77777777" w:rsidR="00454A29" w:rsidRDefault="00454A29">
            <w:pPr>
              <w:pStyle w:val="ConsPlusNormal"/>
              <w:jc w:val="center"/>
            </w:pPr>
            <w:r>
              <w:t>2020 - 2026 годы - всего</w:t>
            </w:r>
          </w:p>
        </w:tc>
        <w:tc>
          <w:tcPr>
            <w:tcW w:w="1417" w:type="dxa"/>
            <w:vMerge w:val="restart"/>
            <w:vAlign w:val="center"/>
          </w:tcPr>
          <w:p w14:paraId="6D38EB8D" w14:textId="77777777" w:rsidR="00454A29" w:rsidRDefault="00454A29">
            <w:pPr>
              <w:pStyle w:val="ConsPlusNormal"/>
              <w:jc w:val="center"/>
            </w:pPr>
            <w:r>
              <w:t>126 444,20</w:t>
            </w:r>
          </w:p>
        </w:tc>
        <w:tc>
          <w:tcPr>
            <w:tcW w:w="2204" w:type="dxa"/>
            <w:vMerge w:val="restart"/>
            <w:vAlign w:val="center"/>
          </w:tcPr>
          <w:p w14:paraId="3BB16F6B" w14:textId="77777777" w:rsidR="00454A29" w:rsidRDefault="00454A29">
            <w:pPr>
              <w:pStyle w:val="ConsPlusNormal"/>
              <w:jc w:val="center"/>
            </w:pPr>
            <w:r>
              <w:t>имеется</w:t>
            </w:r>
          </w:p>
        </w:tc>
        <w:tc>
          <w:tcPr>
            <w:tcW w:w="1417" w:type="dxa"/>
            <w:vMerge w:val="restart"/>
            <w:vAlign w:val="center"/>
          </w:tcPr>
          <w:p w14:paraId="210C24A1" w14:textId="77777777" w:rsidR="00454A29" w:rsidRDefault="00454A29">
            <w:pPr>
              <w:pStyle w:val="ConsPlusNormal"/>
              <w:jc w:val="center"/>
            </w:pPr>
            <w:r>
              <w:t>75</w:t>
            </w:r>
          </w:p>
        </w:tc>
        <w:tc>
          <w:tcPr>
            <w:tcW w:w="2324" w:type="dxa"/>
            <w:vMerge w:val="restart"/>
            <w:vAlign w:val="center"/>
          </w:tcPr>
          <w:p w14:paraId="69E5F64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625C7B4" w14:textId="77777777" w:rsidR="00454A29" w:rsidRDefault="00454A29">
            <w:pPr>
              <w:pStyle w:val="ConsPlusNormal"/>
              <w:jc w:val="center"/>
            </w:pPr>
            <w:r>
              <w:t>73 653,74</w:t>
            </w:r>
          </w:p>
        </w:tc>
        <w:tc>
          <w:tcPr>
            <w:tcW w:w="1814" w:type="dxa"/>
            <w:vAlign w:val="center"/>
          </w:tcPr>
          <w:p w14:paraId="626B09EC" w14:textId="77777777" w:rsidR="00454A29" w:rsidRDefault="00454A29">
            <w:pPr>
              <w:pStyle w:val="ConsPlusNormal"/>
              <w:jc w:val="center"/>
            </w:pPr>
            <w:r>
              <w:t>126 444,20</w:t>
            </w:r>
          </w:p>
        </w:tc>
        <w:tc>
          <w:tcPr>
            <w:tcW w:w="1701" w:type="dxa"/>
            <w:vAlign w:val="center"/>
          </w:tcPr>
          <w:p w14:paraId="3F689227" w14:textId="77777777" w:rsidR="00454A29" w:rsidRDefault="00454A29">
            <w:pPr>
              <w:pStyle w:val="ConsPlusNormal"/>
              <w:jc w:val="center"/>
            </w:pPr>
            <w:r>
              <w:t>-</w:t>
            </w:r>
          </w:p>
        </w:tc>
        <w:tc>
          <w:tcPr>
            <w:tcW w:w="1701" w:type="dxa"/>
            <w:vAlign w:val="center"/>
          </w:tcPr>
          <w:p w14:paraId="29BBBFD4" w14:textId="77777777" w:rsidR="00454A29" w:rsidRDefault="00454A29">
            <w:pPr>
              <w:pStyle w:val="ConsPlusNormal"/>
              <w:jc w:val="center"/>
            </w:pPr>
            <w:r>
              <w:t>-</w:t>
            </w:r>
          </w:p>
        </w:tc>
        <w:tc>
          <w:tcPr>
            <w:tcW w:w="1814" w:type="dxa"/>
            <w:vAlign w:val="center"/>
          </w:tcPr>
          <w:p w14:paraId="22BB03CE" w14:textId="77777777" w:rsidR="00454A29" w:rsidRDefault="00454A29">
            <w:pPr>
              <w:pStyle w:val="ConsPlusNormal"/>
              <w:jc w:val="center"/>
            </w:pPr>
            <w:r>
              <w:t>-</w:t>
            </w:r>
          </w:p>
        </w:tc>
      </w:tr>
      <w:tr w:rsidR="00454A29" w14:paraId="760EE726" w14:textId="77777777">
        <w:tc>
          <w:tcPr>
            <w:tcW w:w="567" w:type="dxa"/>
            <w:vMerge/>
          </w:tcPr>
          <w:p w14:paraId="079371FC" w14:textId="77777777" w:rsidR="00454A29" w:rsidRDefault="00454A29"/>
        </w:tc>
        <w:tc>
          <w:tcPr>
            <w:tcW w:w="3345" w:type="dxa"/>
            <w:vMerge/>
          </w:tcPr>
          <w:p w14:paraId="3E88823A" w14:textId="77777777" w:rsidR="00454A29" w:rsidRDefault="00454A29"/>
        </w:tc>
        <w:tc>
          <w:tcPr>
            <w:tcW w:w="1701" w:type="dxa"/>
            <w:vAlign w:val="center"/>
          </w:tcPr>
          <w:p w14:paraId="15F8AEF5" w14:textId="77777777" w:rsidR="00454A29" w:rsidRDefault="00454A29">
            <w:pPr>
              <w:pStyle w:val="ConsPlusNormal"/>
              <w:jc w:val="center"/>
            </w:pPr>
            <w:r>
              <w:t>2020</w:t>
            </w:r>
          </w:p>
        </w:tc>
        <w:tc>
          <w:tcPr>
            <w:tcW w:w="1417" w:type="dxa"/>
            <w:vMerge/>
          </w:tcPr>
          <w:p w14:paraId="005CB637" w14:textId="77777777" w:rsidR="00454A29" w:rsidRDefault="00454A29"/>
        </w:tc>
        <w:tc>
          <w:tcPr>
            <w:tcW w:w="2204" w:type="dxa"/>
            <w:vMerge/>
          </w:tcPr>
          <w:p w14:paraId="7FC6FAD9" w14:textId="77777777" w:rsidR="00454A29" w:rsidRDefault="00454A29"/>
        </w:tc>
        <w:tc>
          <w:tcPr>
            <w:tcW w:w="1417" w:type="dxa"/>
            <w:vMerge/>
          </w:tcPr>
          <w:p w14:paraId="0F9250BF" w14:textId="77777777" w:rsidR="00454A29" w:rsidRDefault="00454A29"/>
        </w:tc>
        <w:tc>
          <w:tcPr>
            <w:tcW w:w="2324" w:type="dxa"/>
            <w:vMerge/>
          </w:tcPr>
          <w:p w14:paraId="7B305F43" w14:textId="77777777" w:rsidR="00454A29" w:rsidRDefault="00454A29"/>
        </w:tc>
        <w:tc>
          <w:tcPr>
            <w:tcW w:w="1701" w:type="dxa"/>
            <w:vAlign w:val="center"/>
          </w:tcPr>
          <w:p w14:paraId="09C3902B" w14:textId="77777777" w:rsidR="00454A29" w:rsidRDefault="00454A29">
            <w:pPr>
              <w:pStyle w:val="ConsPlusNormal"/>
              <w:jc w:val="center"/>
            </w:pPr>
            <w:r>
              <w:t>-</w:t>
            </w:r>
          </w:p>
        </w:tc>
        <w:tc>
          <w:tcPr>
            <w:tcW w:w="1814" w:type="dxa"/>
            <w:vAlign w:val="center"/>
          </w:tcPr>
          <w:p w14:paraId="2E7E7ACB" w14:textId="77777777" w:rsidR="00454A29" w:rsidRDefault="00454A29">
            <w:pPr>
              <w:pStyle w:val="ConsPlusNormal"/>
            </w:pPr>
          </w:p>
        </w:tc>
        <w:tc>
          <w:tcPr>
            <w:tcW w:w="1701" w:type="dxa"/>
            <w:vAlign w:val="center"/>
          </w:tcPr>
          <w:p w14:paraId="453987ED" w14:textId="77777777" w:rsidR="00454A29" w:rsidRDefault="00454A29">
            <w:pPr>
              <w:pStyle w:val="ConsPlusNormal"/>
            </w:pPr>
          </w:p>
        </w:tc>
        <w:tc>
          <w:tcPr>
            <w:tcW w:w="1701" w:type="dxa"/>
            <w:vAlign w:val="center"/>
          </w:tcPr>
          <w:p w14:paraId="4B206231" w14:textId="77777777" w:rsidR="00454A29" w:rsidRDefault="00454A29">
            <w:pPr>
              <w:pStyle w:val="ConsPlusNormal"/>
            </w:pPr>
          </w:p>
        </w:tc>
        <w:tc>
          <w:tcPr>
            <w:tcW w:w="1814" w:type="dxa"/>
            <w:vAlign w:val="center"/>
          </w:tcPr>
          <w:p w14:paraId="3463DC80" w14:textId="77777777" w:rsidR="00454A29" w:rsidRDefault="00454A29">
            <w:pPr>
              <w:pStyle w:val="ConsPlusNormal"/>
            </w:pPr>
          </w:p>
        </w:tc>
      </w:tr>
      <w:tr w:rsidR="00454A29" w14:paraId="05549E16" w14:textId="77777777">
        <w:tc>
          <w:tcPr>
            <w:tcW w:w="567" w:type="dxa"/>
            <w:vMerge/>
          </w:tcPr>
          <w:p w14:paraId="34C6960A" w14:textId="77777777" w:rsidR="00454A29" w:rsidRDefault="00454A29"/>
        </w:tc>
        <w:tc>
          <w:tcPr>
            <w:tcW w:w="3345" w:type="dxa"/>
            <w:vMerge/>
          </w:tcPr>
          <w:p w14:paraId="4176D393" w14:textId="77777777" w:rsidR="00454A29" w:rsidRDefault="00454A29"/>
        </w:tc>
        <w:tc>
          <w:tcPr>
            <w:tcW w:w="1701" w:type="dxa"/>
            <w:vAlign w:val="center"/>
          </w:tcPr>
          <w:p w14:paraId="069F955C" w14:textId="77777777" w:rsidR="00454A29" w:rsidRDefault="00454A29">
            <w:pPr>
              <w:pStyle w:val="ConsPlusNormal"/>
              <w:jc w:val="center"/>
            </w:pPr>
            <w:r>
              <w:t>2021</w:t>
            </w:r>
          </w:p>
        </w:tc>
        <w:tc>
          <w:tcPr>
            <w:tcW w:w="1417" w:type="dxa"/>
            <w:vMerge/>
          </w:tcPr>
          <w:p w14:paraId="33318D90" w14:textId="77777777" w:rsidR="00454A29" w:rsidRDefault="00454A29"/>
        </w:tc>
        <w:tc>
          <w:tcPr>
            <w:tcW w:w="2204" w:type="dxa"/>
            <w:vMerge/>
          </w:tcPr>
          <w:p w14:paraId="0F10AE6C" w14:textId="77777777" w:rsidR="00454A29" w:rsidRDefault="00454A29"/>
        </w:tc>
        <w:tc>
          <w:tcPr>
            <w:tcW w:w="1417" w:type="dxa"/>
            <w:vMerge/>
          </w:tcPr>
          <w:p w14:paraId="0E00284C" w14:textId="77777777" w:rsidR="00454A29" w:rsidRDefault="00454A29"/>
        </w:tc>
        <w:tc>
          <w:tcPr>
            <w:tcW w:w="2324" w:type="dxa"/>
            <w:vMerge/>
          </w:tcPr>
          <w:p w14:paraId="3716B4E4" w14:textId="77777777" w:rsidR="00454A29" w:rsidRDefault="00454A29"/>
        </w:tc>
        <w:tc>
          <w:tcPr>
            <w:tcW w:w="1701" w:type="dxa"/>
            <w:vAlign w:val="center"/>
          </w:tcPr>
          <w:p w14:paraId="7D265B07" w14:textId="77777777" w:rsidR="00454A29" w:rsidRDefault="00454A29">
            <w:pPr>
              <w:pStyle w:val="ConsPlusNormal"/>
              <w:jc w:val="center"/>
            </w:pPr>
            <w:r>
              <w:t>-</w:t>
            </w:r>
          </w:p>
        </w:tc>
        <w:tc>
          <w:tcPr>
            <w:tcW w:w="1814" w:type="dxa"/>
            <w:vAlign w:val="center"/>
          </w:tcPr>
          <w:p w14:paraId="437F1155" w14:textId="77777777" w:rsidR="00454A29" w:rsidRDefault="00454A29">
            <w:pPr>
              <w:pStyle w:val="ConsPlusNormal"/>
            </w:pPr>
          </w:p>
        </w:tc>
        <w:tc>
          <w:tcPr>
            <w:tcW w:w="1701" w:type="dxa"/>
            <w:vAlign w:val="center"/>
          </w:tcPr>
          <w:p w14:paraId="7CC8B208" w14:textId="77777777" w:rsidR="00454A29" w:rsidRDefault="00454A29">
            <w:pPr>
              <w:pStyle w:val="ConsPlusNormal"/>
            </w:pPr>
          </w:p>
        </w:tc>
        <w:tc>
          <w:tcPr>
            <w:tcW w:w="1701" w:type="dxa"/>
            <w:vAlign w:val="center"/>
          </w:tcPr>
          <w:p w14:paraId="3A62DA0A" w14:textId="77777777" w:rsidR="00454A29" w:rsidRDefault="00454A29">
            <w:pPr>
              <w:pStyle w:val="ConsPlusNormal"/>
            </w:pPr>
          </w:p>
        </w:tc>
        <w:tc>
          <w:tcPr>
            <w:tcW w:w="1814" w:type="dxa"/>
            <w:vAlign w:val="center"/>
          </w:tcPr>
          <w:p w14:paraId="7D53724B" w14:textId="77777777" w:rsidR="00454A29" w:rsidRDefault="00454A29">
            <w:pPr>
              <w:pStyle w:val="ConsPlusNormal"/>
            </w:pPr>
          </w:p>
        </w:tc>
      </w:tr>
      <w:tr w:rsidR="00454A29" w14:paraId="43C7F617" w14:textId="77777777">
        <w:tc>
          <w:tcPr>
            <w:tcW w:w="567" w:type="dxa"/>
            <w:vMerge/>
          </w:tcPr>
          <w:p w14:paraId="1A4168C4" w14:textId="77777777" w:rsidR="00454A29" w:rsidRDefault="00454A29"/>
        </w:tc>
        <w:tc>
          <w:tcPr>
            <w:tcW w:w="3345" w:type="dxa"/>
            <w:vMerge/>
          </w:tcPr>
          <w:p w14:paraId="5A5CF893" w14:textId="77777777" w:rsidR="00454A29" w:rsidRDefault="00454A29"/>
        </w:tc>
        <w:tc>
          <w:tcPr>
            <w:tcW w:w="1701" w:type="dxa"/>
            <w:vAlign w:val="center"/>
          </w:tcPr>
          <w:p w14:paraId="3BB90348" w14:textId="77777777" w:rsidR="00454A29" w:rsidRDefault="00454A29">
            <w:pPr>
              <w:pStyle w:val="ConsPlusNormal"/>
              <w:jc w:val="center"/>
            </w:pPr>
            <w:r>
              <w:t>2022</w:t>
            </w:r>
          </w:p>
        </w:tc>
        <w:tc>
          <w:tcPr>
            <w:tcW w:w="1417" w:type="dxa"/>
            <w:vMerge/>
          </w:tcPr>
          <w:p w14:paraId="43BFBFDE" w14:textId="77777777" w:rsidR="00454A29" w:rsidRDefault="00454A29"/>
        </w:tc>
        <w:tc>
          <w:tcPr>
            <w:tcW w:w="2204" w:type="dxa"/>
            <w:vMerge/>
          </w:tcPr>
          <w:p w14:paraId="2E3071E7" w14:textId="77777777" w:rsidR="00454A29" w:rsidRDefault="00454A29"/>
        </w:tc>
        <w:tc>
          <w:tcPr>
            <w:tcW w:w="1417" w:type="dxa"/>
            <w:vMerge/>
          </w:tcPr>
          <w:p w14:paraId="138E84FC" w14:textId="77777777" w:rsidR="00454A29" w:rsidRDefault="00454A29"/>
        </w:tc>
        <w:tc>
          <w:tcPr>
            <w:tcW w:w="2324" w:type="dxa"/>
            <w:vMerge/>
          </w:tcPr>
          <w:p w14:paraId="5D9077C2" w14:textId="77777777" w:rsidR="00454A29" w:rsidRDefault="00454A29"/>
        </w:tc>
        <w:tc>
          <w:tcPr>
            <w:tcW w:w="1701" w:type="dxa"/>
            <w:vAlign w:val="center"/>
          </w:tcPr>
          <w:p w14:paraId="0A4F40DF" w14:textId="77777777" w:rsidR="00454A29" w:rsidRDefault="00454A29">
            <w:pPr>
              <w:pStyle w:val="ConsPlusNormal"/>
            </w:pPr>
          </w:p>
        </w:tc>
        <w:tc>
          <w:tcPr>
            <w:tcW w:w="1814" w:type="dxa"/>
            <w:vAlign w:val="center"/>
          </w:tcPr>
          <w:p w14:paraId="1D785400" w14:textId="77777777" w:rsidR="00454A29" w:rsidRDefault="00454A29">
            <w:pPr>
              <w:pStyle w:val="ConsPlusNormal"/>
            </w:pPr>
          </w:p>
        </w:tc>
        <w:tc>
          <w:tcPr>
            <w:tcW w:w="1701" w:type="dxa"/>
            <w:vAlign w:val="center"/>
          </w:tcPr>
          <w:p w14:paraId="2C3B4530" w14:textId="77777777" w:rsidR="00454A29" w:rsidRDefault="00454A29">
            <w:pPr>
              <w:pStyle w:val="ConsPlusNormal"/>
            </w:pPr>
          </w:p>
        </w:tc>
        <w:tc>
          <w:tcPr>
            <w:tcW w:w="1701" w:type="dxa"/>
            <w:vAlign w:val="center"/>
          </w:tcPr>
          <w:p w14:paraId="78DA1D53" w14:textId="77777777" w:rsidR="00454A29" w:rsidRDefault="00454A29">
            <w:pPr>
              <w:pStyle w:val="ConsPlusNormal"/>
            </w:pPr>
          </w:p>
        </w:tc>
        <w:tc>
          <w:tcPr>
            <w:tcW w:w="1814" w:type="dxa"/>
            <w:vAlign w:val="center"/>
          </w:tcPr>
          <w:p w14:paraId="62A3DFA7" w14:textId="77777777" w:rsidR="00454A29" w:rsidRDefault="00454A29">
            <w:pPr>
              <w:pStyle w:val="ConsPlusNormal"/>
            </w:pPr>
          </w:p>
        </w:tc>
      </w:tr>
      <w:tr w:rsidR="00454A29" w14:paraId="6F22B508" w14:textId="77777777">
        <w:tc>
          <w:tcPr>
            <w:tcW w:w="567" w:type="dxa"/>
            <w:vMerge/>
          </w:tcPr>
          <w:p w14:paraId="6938A3D3" w14:textId="77777777" w:rsidR="00454A29" w:rsidRDefault="00454A29"/>
        </w:tc>
        <w:tc>
          <w:tcPr>
            <w:tcW w:w="3345" w:type="dxa"/>
            <w:vMerge/>
          </w:tcPr>
          <w:p w14:paraId="3CF1BCD4" w14:textId="77777777" w:rsidR="00454A29" w:rsidRDefault="00454A29"/>
        </w:tc>
        <w:tc>
          <w:tcPr>
            <w:tcW w:w="1701" w:type="dxa"/>
            <w:vAlign w:val="center"/>
          </w:tcPr>
          <w:p w14:paraId="20E5EF6D" w14:textId="77777777" w:rsidR="00454A29" w:rsidRDefault="00454A29">
            <w:pPr>
              <w:pStyle w:val="ConsPlusNormal"/>
              <w:jc w:val="center"/>
            </w:pPr>
            <w:r>
              <w:t>2023</w:t>
            </w:r>
          </w:p>
        </w:tc>
        <w:tc>
          <w:tcPr>
            <w:tcW w:w="1417" w:type="dxa"/>
            <w:vMerge/>
          </w:tcPr>
          <w:p w14:paraId="301EFD58" w14:textId="77777777" w:rsidR="00454A29" w:rsidRDefault="00454A29"/>
        </w:tc>
        <w:tc>
          <w:tcPr>
            <w:tcW w:w="2204" w:type="dxa"/>
            <w:vMerge/>
          </w:tcPr>
          <w:p w14:paraId="2FE9DD28" w14:textId="77777777" w:rsidR="00454A29" w:rsidRDefault="00454A29"/>
        </w:tc>
        <w:tc>
          <w:tcPr>
            <w:tcW w:w="1417" w:type="dxa"/>
            <w:vMerge/>
          </w:tcPr>
          <w:p w14:paraId="39D6063F" w14:textId="77777777" w:rsidR="00454A29" w:rsidRDefault="00454A29"/>
        </w:tc>
        <w:tc>
          <w:tcPr>
            <w:tcW w:w="2324" w:type="dxa"/>
            <w:vMerge/>
          </w:tcPr>
          <w:p w14:paraId="62BA79FF" w14:textId="77777777" w:rsidR="00454A29" w:rsidRDefault="00454A29"/>
        </w:tc>
        <w:tc>
          <w:tcPr>
            <w:tcW w:w="1701" w:type="dxa"/>
            <w:vAlign w:val="center"/>
          </w:tcPr>
          <w:p w14:paraId="26E7270C" w14:textId="77777777" w:rsidR="00454A29" w:rsidRDefault="00454A29">
            <w:pPr>
              <w:pStyle w:val="ConsPlusNormal"/>
              <w:jc w:val="center"/>
            </w:pPr>
            <w:r>
              <w:t>31 358,16</w:t>
            </w:r>
          </w:p>
        </w:tc>
        <w:tc>
          <w:tcPr>
            <w:tcW w:w="1814" w:type="dxa"/>
            <w:vAlign w:val="center"/>
          </w:tcPr>
          <w:p w14:paraId="0CD1B10F" w14:textId="77777777" w:rsidR="00454A29" w:rsidRDefault="00454A29">
            <w:pPr>
              <w:pStyle w:val="ConsPlusNormal"/>
              <w:jc w:val="center"/>
            </w:pPr>
            <w:r>
              <w:t>31 358,16</w:t>
            </w:r>
          </w:p>
        </w:tc>
        <w:tc>
          <w:tcPr>
            <w:tcW w:w="1701" w:type="dxa"/>
            <w:vAlign w:val="center"/>
          </w:tcPr>
          <w:p w14:paraId="63823AAE" w14:textId="77777777" w:rsidR="00454A29" w:rsidRDefault="00454A29">
            <w:pPr>
              <w:pStyle w:val="ConsPlusNormal"/>
            </w:pPr>
          </w:p>
        </w:tc>
        <w:tc>
          <w:tcPr>
            <w:tcW w:w="1701" w:type="dxa"/>
            <w:vAlign w:val="center"/>
          </w:tcPr>
          <w:p w14:paraId="161201D3" w14:textId="77777777" w:rsidR="00454A29" w:rsidRDefault="00454A29">
            <w:pPr>
              <w:pStyle w:val="ConsPlusNormal"/>
            </w:pPr>
          </w:p>
        </w:tc>
        <w:tc>
          <w:tcPr>
            <w:tcW w:w="1814" w:type="dxa"/>
            <w:vAlign w:val="center"/>
          </w:tcPr>
          <w:p w14:paraId="4BDCC29C" w14:textId="77777777" w:rsidR="00454A29" w:rsidRDefault="00454A29">
            <w:pPr>
              <w:pStyle w:val="ConsPlusNormal"/>
            </w:pPr>
          </w:p>
        </w:tc>
      </w:tr>
      <w:tr w:rsidR="00454A29" w14:paraId="79F8694C" w14:textId="77777777">
        <w:tc>
          <w:tcPr>
            <w:tcW w:w="567" w:type="dxa"/>
            <w:vMerge/>
          </w:tcPr>
          <w:p w14:paraId="2187F65C" w14:textId="77777777" w:rsidR="00454A29" w:rsidRDefault="00454A29"/>
        </w:tc>
        <w:tc>
          <w:tcPr>
            <w:tcW w:w="3345" w:type="dxa"/>
            <w:vMerge/>
          </w:tcPr>
          <w:p w14:paraId="7802E409" w14:textId="77777777" w:rsidR="00454A29" w:rsidRDefault="00454A29"/>
        </w:tc>
        <w:tc>
          <w:tcPr>
            <w:tcW w:w="1701" w:type="dxa"/>
            <w:vAlign w:val="center"/>
          </w:tcPr>
          <w:p w14:paraId="21F32B73" w14:textId="77777777" w:rsidR="00454A29" w:rsidRDefault="00454A29">
            <w:pPr>
              <w:pStyle w:val="ConsPlusNormal"/>
              <w:jc w:val="center"/>
            </w:pPr>
            <w:r>
              <w:t>2024</w:t>
            </w:r>
          </w:p>
        </w:tc>
        <w:tc>
          <w:tcPr>
            <w:tcW w:w="1417" w:type="dxa"/>
            <w:vMerge/>
          </w:tcPr>
          <w:p w14:paraId="08D6B020" w14:textId="77777777" w:rsidR="00454A29" w:rsidRDefault="00454A29"/>
        </w:tc>
        <w:tc>
          <w:tcPr>
            <w:tcW w:w="2204" w:type="dxa"/>
            <w:vMerge/>
          </w:tcPr>
          <w:p w14:paraId="2F2F6AD5" w14:textId="77777777" w:rsidR="00454A29" w:rsidRDefault="00454A29"/>
        </w:tc>
        <w:tc>
          <w:tcPr>
            <w:tcW w:w="1417" w:type="dxa"/>
            <w:vMerge/>
          </w:tcPr>
          <w:p w14:paraId="4922317D" w14:textId="77777777" w:rsidR="00454A29" w:rsidRDefault="00454A29"/>
        </w:tc>
        <w:tc>
          <w:tcPr>
            <w:tcW w:w="2324" w:type="dxa"/>
            <w:vMerge/>
          </w:tcPr>
          <w:p w14:paraId="3FD16685" w14:textId="77777777" w:rsidR="00454A29" w:rsidRDefault="00454A29"/>
        </w:tc>
        <w:tc>
          <w:tcPr>
            <w:tcW w:w="1701" w:type="dxa"/>
            <w:vAlign w:val="center"/>
          </w:tcPr>
          <w:p w14:paraId="5F56DB8C" w14:textId="77777777" w:rsidR="00454A29" w:rsidRDefault="00454A29">
            <w:pPr>
              <w:pStyle w:val="ConsPlusNormal"/>
              <w:jc w:val="center"/>
            </w:pPr>
            <w:r>
              <w:t>42 295,58</w:t>
            </w:r>
          </w:p>
        </w:tc>
        <w:tc>
          <w:tcPr>
            <w:tcW w:w="1814" w:type="dxa"/>
            <w:vAlign w:val="center"/>
          </w:tcPr>
          <w:p w14:paraId="223184E5" w14:textId="77777777" w:rsidR="00454A29" w:rsidRDefault="00454A29">
            <w:pPr>
              <w:pStyle w:val="ConsPlusNormal"/>
              <w:jc w:val="center"/>
            </w:pPr>
            <w:r>
              <w:t>42 295,58</w:t>
            </w:r>
          </w:p>
        </w:tc>
        <w:tc>
          <w:tcPr>
            <w:tcW w:w="1701" w:type="dxa"/>
            <w:vAlign w:val="center"/>
          </w:tcPr>
          <w:p w14:paraId="60C40268" w14:textId="77777777" w:rsidR="00454A29" w:rsidRDefault="00454A29">
            <w:pPr>
              <w:pStyle w:val="ConsPlusNormal"/>
            </w:pPr>
          </w:p>
        </w:tc>
        <w:tc>
          <w:tcPr>
            <w:tcW w:w="1701" w:type="dxa"/>
            <w:vAlign w:val="center"/>
          </w:tcPr>
          <w:p w14:paraId="5A9D38FB" w14:textId="77777777" w:rsidR="00454A29" w:rsidRDefault="00454A29">
            <w:pPr>
              <w:pStyle w:val="ConsPlusNormal"/>
            </w:pPr>
          </w:p>
        </w:tc>
        <w:tc>
          <w:tcPr>
            <w:tcW w:w="1814" w:type="dxa"/>
            <w:vAlign w:val="center"/>
          </w:tcPr>
          <w:p w14:paraId="5C9FCFEC" w14:textId="77777777" w:rsidR="00454A29" w:rsidRDefault="00454A29">
            <w:pPr>
              <w:pStyle w:val="ConsPlusNormal"/>
            </w:pPr>
          </w:p>
        </w:tc>
      </w:tr>
      <w:tr w:rsidR="00454A29" w14:paraId="2B94B0E8" w14:textId="77777777">
        <w:tc>
          <w:tcPr>
            <w:tcW w:w="567" w:type="dxa"/>
            <w:vMerge/>
          </w:tcPr>
          <w:p w14:paraId="49EC7D46" w14:textId="77777777" w:rsidR="00454A29" w:rsidRDefault="00454A29"/>
        </w:tc>
        <w:tc>
          <w:tcPr>
            <w:tcW w:w="3345" w:type="dxa"/>
            <w:vMerge/>
          </w:tcPr>
          <w:p w14:paraId="108EB93B" w14:textId="77777777" w:rsidR="00454A29" w:rsidRDefault="00454A29"/>
        </w:tc>
        <w:tc>
          <w:tcPr>
            <w:tcW w:w="1701" w:type="dxa"/>
            <w:vAlign w:val="center"/>
          </w:tcPr>
          <w:p w14:paraId="4E64B4E5" w14:textId="77777777" w:rsidR="00454A29" w:rsidRDefault="00454A29">
            <w:pPr>
              <w:pStyle w:val="ConsPlusNormal"/>
              <w:jc w:val="center"/>
            </w:pPr>
            <w:r>
              <w:t>2025</w:t>
            </w:r>
          </w:p>
        </w:tc>
        <w:tc>
          <w:tcPr>
            <w:tcW w:w="1417" w:type="dxa"/>
            <w:vMerge/>
          </w:tcPr>
          <w:p w14:paraId="087C9255" w14:textId="77777777" w:rsidR="00454A29" w:rsidRDefault="00454A29"/>
        </w:tc>
        <w:tc>
          <w:tcPr>
            <w:tcW w:w="2204" w:type="dxa"/>
            <w:vMerge/>
          </w:tcPr>
          <w:p w14:paraId="2E0671E4" w14:textId="77777777" w:rsidR="00454A29" w:rsidRDefault="00454A29"/>
        </w:tc>
        <w:tc>
          <w:tcPr>
            <w:tcW w:w="1417" w:type="dxa"/>
            <w:vMerge/>
          </w:tcPr>
          <w:p w14:paraId="484BF558" w14:textId="77777777" w:rsidR="00454A29" w:rsidRDefault="00454A29"/>
        </w:tc>
        <w:tc>
          <w:tcPr>
            <w:tcW w:w="2324" w:type="dxa"/>
            <w:vMerge/>
          </w:tcPr>
          <w:p w14:paraId="25100FAE" w14:textId="77777777" w:rsidR="00454A29" w:rsidRDefault="00454A29"/>
        </w:tc>
        <w:tc>
          <w:tcPr>
            <w:tcW w:w="1701" w:type="dxa"/>
            <w:vAlign w:val="center"/>
          </w:tcPr>
          <w:p w14:paraId="74365076" w14:textId="77777777" w:rsidR="00454A29" w:rsidRDefault="00454A29">
            <w:pPr>
              <w:pStyle w:val="ConsPlusNormal"/>
              <w:jc w:val="center"/>
            </w:pPr>
            <w:r>
              <w:t>-</w:t>
            </w:r>
          </w:p>
        </w:tc>
        <w:tc>
          <w:tcPr>
            <w:tcW w:w="1814" w:type="dxa"/>
            <w:vAlign w:val="center"/>
          </w:tcPr>
          <w:p w14:paraId="62B9BF4B" w14:textId="77777777" w:rsidR="00454A29" w:rsidRDefault="00454A29">
            <w:pPr>
              <w:pStyle w:val="ConsPlusNormal"/>
            </w:pPr>
          </w:p>
        </w:tc>
        <w:tc>
          <w:tcPr>
            <w:tcW w:w="1701" w:type="dxa"/>
            <w:vAlign w:val="center"/>
          </w:tcPr>
          <w:p w14:paraId="0AEC86FA" w14:textId="77777777" w:rsidR="00454A29" w:rsidRDefault="00454A29">
            <w:pPr>
              <w:pStyle w:val="ConsPlusNormal"/>
            </w:pPr>
          </w:p>
        </w:tc>
        <w:tc>
          <w:tcPr>
            <w:tcW w:w="1701" w:type="dxa"/>
            <w:vAlign w:val="center"/>
          </w:tcPr>
          <w:p w14:paraId="2F02D96C" w14:textId="77777777" w:rsidR="00454A29" w:rsidRDefault="00454A29">
            <w:pPr>
              <w:pStyle w:val="ConsPlusNormal"/>
            </w:pPr>
          </w:p>
        </w:tc>
        <w:tc>
          <w:tcPr>
            <w:tcW w:w="1814" w:type="dxa"/>
            <w:vAlign w:val="center"/>
          </w:tcPr>
          <w:p w14:paraId="1B5BCB58" w14:textId="77777777" w:rsidR="00454A29" w:rsidRDefault="00454A29">
            <w:pPr>
              <w:pStyle w:val="ConsPlusNormal"/>
            </w:pPr>
          </w:p>
        </w:tc>
      </w:tr>
      <w:tr w:rsidR="00454A29" w14:paraId="0D9CBD24" w14:textId="77777777">
        <w:tc>
          <w:tcPr>
            <w:tcW w:w="567" w:type="dxa"/>
            <w:vMerge/>
          </w:tcPr>
          <w:p w14:paraId="02538821" w14:textId="77777777" w:rsidR="00454A29" w:rsidRDefault="00454A29"/>
        </w:tc>
        <w:tc>
          <w:tcPr>
            <w:tcW w:w="3345" w:type="dxa"/>
            <w:vMerge/>
          </w:tcPr>
          <w:p w14:paraId="599A1747" w14:textId="77777777" w:rsidR="00454A29" w:rsidRDefault="00454A29"/>
        </w:tc>
        <w:tc>
          <w:tcPr>
            <w:tcW w:w="1701" w:type="dxa"/>
            <w:vAlign w:val="center"/>
          </w:tcPr>
          <w:p w14:paraId="077BEEF7" w14:textId="77777777" w:rsidR="00454A29" w:rsidRDefault="00454A29">
            <w:pPr>
              <w:pStyle w:val="ConsPlusNormal"/>
              <w:jc w:val="center"/>
            </w:pPr>
            <w:r>
              <w:t>2026</w:t>
            </w:r>
          </w:p>
        </w:tc>
        <w:tc>
          <w:tcPr>
            <w:tcW w:w="1417" w:type="dxa"/>
            <w:vMerge/>
          </w:tcPr>
          <w:p w14:paraId="388B40FD" w14:textId="77777777" w:rsidR="00454A29" w:rsidRDefault="00454A29"/>
        </w:tc>
        <w:tc>
          <w:tcPr>
            <w:tcW w:w="2204" w:type="dxa"/>
            <w:vMerge/>
          </w:tcPr>
          <w:p w14:paraId="5148F9C8" w14:textId="77777777" w:rsidR="00454A29" w:rsidRDefault="00454A29"/>
        </w:tc>
        <w:tc>
          <w:tcPr>
            <w:tcW w:w="1417" w:type="dxa"/>
            <w:vMerge/>
          </w:tcPr>
          <w:p w14:paraId="77A35F9E" w14:textId="77777777" w:rsidR="00454A29" w:rsidRDefault="00454A29"/>
        </w:tc>
        <w:tc>
          <w:tcPr>
            <w:tcW w:w="2324" w:type="dxa"/>
            <w:vMerge/>
          </w:tcPr>
          <w:p w14:paraId="51983B2A" w14:textId="77777777" w:rsidR="00454A29" w:rsidRDefault="00454A29"/>
        </w:tc>
        <w:tc>
          <w:tcPr>
            <w:tcW w:w="1701" w:type="dxa"/>
            <w:vAlign w:val="center"/>
          </w:tcPr>
          <w:p w14:paraId="5822A362" w14:textId="77777777" w:rsidR="00454A29" w:rsidRDefault="00454A29">
            <w:pPr>
              <w:pStyle w:val="ConsPlusNormal"/>
              <w:jc w:val="center"/>
            </w:pPr>
            <w:r>
              <w:t>-</w:t>
            </w:r>
          </w:p>
        </w:tc>
        <w:tc>
          <w:tcPr>
            <w:tcW w:w="1814" w:type="dxa"/>
            <w:vAlign w:val="center"/>
          </w:tcPr>
          <w:p w14:paraId="43E2BA5F" w14:textId="77777777" w:rsidR="00454A29" w:rsidRDefault="00454A29">
            <w:pPr>
              <w:pStyle w:val="ConsPlusNormal"/>
            </w:pPr>
          </w:p>
        </w:tc>
        <w:tc>
          <w:tcPr>
            <w:tcW w:w="1701" w:type="dxa"/>
            <w:vAlign w:val="center"/>
          </w:tcPr>
          <w:p w14:paraId="6C14AB32" w14:textId="77777777" w:rsidR="00454A29" w:rsidRDefault="00454A29">
            <w:pPr>
              <w:pStyle w:val="ConsPlusNormal"/>
            </w:pPr>
          </w:p>
        </w:tc>
        <w:tc>
          <w:tcPr>
            <w:tcW w:w="1701" w:type="dxa"/>
            <w:vAlign w:val="center"/>
          </w:tcPr>
          <w:p w14:paraId="6FF89173" w14:textId="77777777" w:rsidR="00454A29" w:rsidRDefault="00454A29">
            <w:pPr>
              <w:pStyle w:val="ConsPlusNormal"/>
            </w:pPr>
          </w:p>
        </w:tc>
        <w:tc>
          <w:tcPr>
            <w:tcW w:w="1814" w:type="dxa"/>
            <w:vAlign w:val="center"/>
          </w:tcPr>
          <w:p w14:paraId="2DF0E562" w14:textId="77777777" w:rsidR="00454A29" w:rsidRDefault="00454A29">
            <w:pPr>
              <w:pStyle w:val="ConsPlusNormal"/>
            </w:pPr>
          </w:p>
        </w:tc>
      </w:tr>
      <w:tr w:rsidR="00454A29" w14:paraId="570B570D" w14:textId="77777777">
        <w:tc>
          <w:tcPr>
            <w:tcW w:w="567" w:type="dxa"/>
            <w:vMerge w:val="restart"/>
            <w:vAlign w:val="center"/>
          </w:tcPr>
          <w:p w14:paraId="5110CE11" w14:textId="77777777" w:rsidR="00454A29" w:rsidRDefault="00454A29">
            <w:pPr>
              <w:pStyle w:val="ConsPlusNormal"/>
              <w:jc w:val="center"/>
            </w:pPr>
            <w:r>
              <w:t>36</w:t>
            </w:r>
          </w:p>
        </w:tc>
        <w:tc>
          <w:tcPr>
            <w:tcW w:w="3345" w:type="dxa"/>
            <w:vMerge w:val="restart"/>
            <w:vAlign w:val="center"/>
          </w:tcPr>
          <w:p w14:paraId="0CBE40AA" w14:textId="77777777" w:rsidR="00454A29" w:rsidRDefault="00454A29">
            <w:pPr>
              <w:pStyle w:val="ConsPlusNormal"/>
              <w:jc w:val="center"/>
            </w:pPr>
            <w:r>
              <w:t>Детский сад на 98 мест в с. Булгунняхтах Хангаласского улуса</w:t>
            </w:r>
          </w:p>
        </w:tc>
        <w:tc>
          <w:tcPr>
            <w:tcW w:w="1701" w:type="dxa"/>
            <w:vAlign w:val="center"/>
          </w:tcPr>
          <w:p w14:paraId="79C36F1B" w14:textId="77777777" w:rsidR="00454A29" w:rsidRDefault="00454A29">
            <w:pPr>
              <w:pStyle w:val="ConsPlusNormal"/>
              <w:jc w:val="center"/>
            </w:pPr>
            <w:r>
              <w:t>2020 - 2026 годы - всего</w:t>
            </w:r>
          </w:p>
        </w:tc>
        <w:tc>
          <w:tcPr>
            <w:tcW w:w="1417" w:type="dxa"/>
            <w:vMerge w:val="restart"/>
            <w:vAlign w:val="center"/>
          </w:tcPr>
          <w:p w14:paraId="598A453C" w14:textId="77777777" w:rsidR="00454A29" w:rsidRDefault="00454A29">
            <w:pPr>
              <w:pStyle w:val="ConsPlusNormal"/>
              <w:jc w:val="center"/>
            </w:pPr>
            <w:r>
              <w:t>164 328,73</w:t>
            </w:r>
          </w:p>
        </w:tc>
        <w:tc>
          <w:tcPr>
            <w:tcW w:w="2204" w:type="dxa"/>
            <w:vMerge w:val="restart"/>
            <w:vAlign w:val="center"/>
          </w:tcPr>
          <w:p w14:paraId="288EF454" w14:textId="77777777" w:rsidR="00454A29" w:rsidRDefault="00454A29">
            <w:pPr>
              <w:pStyle w:val="ConsPlusNormal"/>
              <w:jc w:val="center"/>
            </w:pPr>
            <w:r>
              <w:t>имеется</w:t>
            </w:r>
          </w:p>
        </w:tc>
        <w:tc>
          <w:tcPr>
            <w:tcW w:w="1417" w:type="dxa"/>
            <w:vMerge w:val="restart"/>
            <w:vAlign w:val="center"/>
          </w:tcPr>
          <w:p w14:paraId="0F3FF2B7" w14:textId="77777777" w:rsidR="00454A29" w:rsidRDefault="00454A29">
            <w:pPr>
              <w:pStyle w:val="ConsPlusNormal"/>
              <w:jc w:val="center"/>
            </w:pPr>
            <w:r>
              <w:t>98</w:t>
            </w:r>
          </w:p>
        </w:tc>
        <w:tc>
          <w:tcPr>
            <w:tcW w:w="2324" w:type="dxa"/>
            <w:vMerge w:val="restart"/>
            <w:vAlign w:val="center"/>
          </w:tcPr>
          <w:p w14:paraId="234F12C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B90FE6B" w14:textId="77777777" w:rsidR="00454A29" w:rsidRDefault="00454A29">
            <w:pPr>
              <w:pStyle w:val="ConsPlusNormal"/>
              <w:jc w:val="center"/>
            </w:pPr>
            <w:r>
              <w:t>95 721,48</w:t>
            </w:r>
          </w:p>
        </w:tc>
        <w:tc>
          <w:tcPr>
            <w:tcW w:w="1814" w:type="dxa"/>
            <w:vAlign w:val="center"/>
          </w:tcPr>
          <w:p w14:paraId="747D0E55" w14:textId="77777777" w:rsidR="00454A29" w:rsidRDefault="00454A29">
            <w:pPr>
              <w:pStyle w:val="ConsPlusNormal"/>
              <w:jc w:val="center"/>
            </w:pPr>
            <w:r>
              <w:t>164 328,73</w:t>
            </w:r>
          </w:p>
        </w:tc>
        <w:tc>
          <w:tcPr>
            <w:tcW w:w="1701" w:type="dxa"/>
            <w:vAlign w:val="center"/>
          </w:tcPr>
          <w:p w14:paraId="7C9BCD4F" w14:textId="77777777" w:rsidR="00454A29" w:rsidRDefault="00454A29">
            <w:pPr>
              <w:pStyle w:val="ConsPlusNormal"/>
              <w:jc w:val="center"/>
            </w:pPr>
            <w:r>
              <w:t>-</w:t>
            </w:r>
          </w:p>
        </w:tc>
        <w:tc>
          <w:tcPr>
            <w:tcW w:w="1701" w:type="dxa"/>
            <w:vAlign w:val="center"/>
          </w:tcPr>
          <w:p w14:paraId="0020486A" w14:textId="77777777" w:rsidR="00454A29" w:rsidRDefault="00454A29">
            <w:pPr>
              <w:pStyle w:val="ConsPlusNormal"/>
              <w:jc w:val="center"/>
            </w:pPr>
            <w:r>
              <w:t>-</w:t>
            </w:r>
          </w:p>
        </w:tc>
        <w:tc>
          <w:tcPr>
            <w:tcW w:w="1814" w:type="dxa"/>
            <w:vAlign w:val="center"/>
          </w:tcPr>
          <w:p w14:paraId="7186AF98" w14:textId="77777777" w:rsidR="00454A29" w:rsidRDefault="00454A29">
            <w:pPr>
              <w:pStyle w:val="ConsPlusNormal"/>
              <w:jc w:val="center"/>
            </w:pPr>
            <w:r>
              <w:t>-</w:t>
            </w:r>
          </w:p>
        </w:tc>
      </w:tr>
      <w:tr w:rsidR="00454A29" w14:paraId="09A9B60D" w14:textId="77777777">
        <w:tc>
          <w:tcPr>
            <w:tcW w:w="567" w:type="dxa"/>
            <w:vMerge/>
          </w:tcPr>
          <w:p w14:paraId="6917671C" w14:textId="77777777" w:rsidR="00454A29" w:rsidRDefault="00454A29"/>
        </w:tc>
        <w:tc>
          <w:tcPr>
            <w:tcW w:w="3345" w:type="dxa"/>
            <w:vMerge/>
          </w:tcPr>
          <w:p w14:paraId="41DB91C3" w14:textId="77777777" w:rsidR="00454A29" w:rsidRDefault="00454A29"/>
        </w:tc>
        <w:tc>
          <w:tcPr>
            <w:tcW w:w="1701" w:type="dxa"/>
            <w:vAlign w:val="center"/>
          </w:tcPr>
          <w:p w14:paraId="1F73B198" w14:textId="77777777" w:rsidR="00454A29" w:rsidRDefault="00454A29">
            <w:pPr>
              <w:pStyle w:val="ConsPlusNormal"/>
              <w:jc w:val="center"/>
            </w:pPr>
            <w:r>
              <w:t>2020</w:t>
            </w:r>
          </w:p>
        </w:tc>
        <w:tc>
          <w:tcPr>
            <w:tcW w:w="1417" w:type="dxa"/>
            <w:vMerge/>
          </w:tcPr>
          <w:p w14:paraId="3470E032" w14:textId="77777777" w:rsidR="00454A29" w:rsidRDefault="00454A29"/>
        </w:tc>
        <w:tc>
          <w:tcPr>
            <w:tcW w:w="2204" w:type="dxa"/>
            <w:vMerge/>
          </w:tcPr>
          <w:p w14:paraId="6955BF0B" w14:textId="77777777" w:rsidR="00454A29" w:rsidRDefault="00454A29"/>
        </w:tc>
        <w:tc>
          <w:tcPr>
            <w:tcW w:w="1417" w:type="dxa"/>
            <w:vMerge/>
          </w:tcPr>
          <w:p w14:paraId="198F03E2" w14:textId="77777777" w:rsidR="00454A29" w:rsidRDefault="00454A29"/>
        </w:tc>
        <w:tc>
          <w:tcPr>
            <w:tcW w:w="2324" w:type="dxa"/>
            <w:vMerge/>
          </w:tcPr>
          <w:p w14:paraId="1E94A462" w14:textId="77777777" w:rsidR="00454A29" w:rsidRDefault="00454A29"/>
        </w:tc>
        <w:tc>
          <w:tcPr>
            <w:tcW w:w="1701" w:type="dxa"/>
            <w:vAlign w:val="center"/>
          </w:tcPr>
          <w:p w14:paraId="47730EAE" w14:textId="77777777" w:rsidR="00454A29" w:rsidRDefault="00454A29">
            <w:pPr>
              <w:pStyle w:val="ConsPlusNormal"/>
              <w:jc w:val="center"/>
            </w:pPr>
            <w:r>
              <w:t>-</w:t>
            </w:r>
          </w:p>
        </w:tc>
        <w:tc>
          <w:tcPr>
            <w:tcW w:w="1814" w:type="dxa"/>
            <w:vAlign w:val="center"/>
          </w:tcPr>
          <w:p w14:paraId="24070334" w14:textId="77777777" w:rsidR="00454A29" w:rsidRDefault="00454A29">
            <w:pPr>
              <w:pStyle w:val="ConsPlusNormal"/>
            </w:pPr>
          </w:p>
        </w:tc>
        <w:tc>
          <w:tcPr>
            <w:tcW w:w="1701" w:type="dxa"/>
            <w:vAlign w:val="center"/>
          </w:tcPr>
          <w:p w14:paraId="3C129B23" w14:textId="77777777" w:rsidR="00454A29" w:rsidRDefault="00454A29">
            <w:pPr>
              <w:pStyle w:val="ConsPlusNormal"/>
            </w:pPr>
          </w:p>
        </w:tc>
        <w:tc>
          <w:tcPr>
            <w:tcW w:w="1701" w:type="dxa"/>
            <w:vAlign w:val="center"/>
          </w:tcPr>
          <w:p w14:paraId="30D65EDD" w14:textId="77777777" w:rsidR="00454A29" w:rsidRDefault="00454A29">
            <w:pPr>
              <w:pStyle w:val="ConsPlusNormal"/>
            </w:pPr>
          </w:p>
        </w:tc>
        <w:tc>
          <w:tcPr>
            <w:tcW w:w="1814" w:type="dxa"/>
            <w:vAlign w:val="center"/>
          </w:tcPr>
          <w:p w14:paraId="2B021343" w14:textId="77777777" w:rsidR="00454A29" w:rsidRDefault="00454A29">
            <w:pPr>
              <w:pStyle w:val="ConsPlusNormal"/>
            </w:pPr>
          </w:p>
        </w:tc>
      </w:tr>
      <w:tr w:rsidR="00454A29" w14:paraId="75DCAF56" w14:textId="77777777">
        <w:tc>
          <w:tcPr>
            <w:tcW w:w="567" w:type="dxa"/>
            <w:vMerge/>
          </w:tcPr>
          <w:p w14:paraId="4EB9D9DA" w14:textId="77777777" w:rsidR="00454A29" w:rsidRDefault="00454A29"/>
        </w:tc>
        <w:tc>
          <w:tcPr>
            <w:tcW w:w="3345" w:type="dxa"/>
            <w:vMerge/>
          </w:tcPr>
          <w:p w14:paraId="4AE764D3" w14:textId="77777777" w:rsidR="00454A29" w:rsidRDefault="00454A29"/>
        </w:tc>
        <w:tc>
          <w:tcPr>
            <w:tcW w:w="1701" w:type="dxa"/>
            <w:vAlign w:val="center"/>
          </w:tcPr>
          <w:p w14:paraId="2A13CA52" w14:textId="77777777" w:rsidR="00454A29" w:rsidRDefault="00454A29">
            <w:pPr>
              <w:pStyle w:val="ConsPlusNormal"/>
              <w:jc w:val="center"/>
            </w:pPr>
            <w:r>
              <w:t>2021</w:t>
            </w:r>
          </w:p>
        </w:tc>
        <w:tc>
          <w:tcPr>
            <w:tcW w:w="1417" w:type="dxa"/>
            <w:vMerge/>
          </w:tcPr>
          <w:p w14:paraId="54457332" w14:textId="77777777" w:rsidR="00454A29" w:rsidRDefault="00454A29"/>
        </w:tc>
        <w:tc>
          <w:tcPr>
            <w:tcW w:w="2204" w:type="dxa"/>
            <w:vMerge/>
          </w:tcPr>
          <w:p w14:paraId="076122FA" w14:textId="77777777" w:rsidR="00454A29" w:rsidRDefault="00454A29"/>
        </w:tc>
        <w:tc>
          <w:tcPr>
            <w:tcW w:w="1417" w:type="dxa"/>
            <w:vMerge/>
          </w:tcPr>
          <w:p w14:paraId="3487942F" w14:textId="77777777" w:rsidR="00454A29" w:rsidRDefault="00454A29"/>
        </w:tc>
        <w:tc>
          <w:tcPr>
            <w:tcW w:w="2324" w:type="dxa"/>
            <w:vMerge/>
          </w:tcPr>
          <w:p w14:paraId="504C8DDD" w14:textId="77777777" w:rsidR="00454A29" w:rsidRDefault="00454A29"/>
        </w:tc>
        <w:tc>
          <w:tcPr>
            <w:tcW w:w="1701" w:type="dxa"/>
            <w:vAlign w:val="center"/>
          </w:tcPr>
          <w:p w14:paraId="23EB395E" w14:textId="77777777" w:rsidR="00454A29" w:rsidRDefault="00454A29">
            <w:pPr>
              <w:pStyle w:val="ConsPlusNormal"/>
              <w:jc w:val="center"/>
            </w:pPr>
            <w:r>
              <w:t>-</w:t>
            </w:r>
          </w:p>
        </w:tc>
        <w:tc>
          <w:tcPr>
            <w:tcW w:w="1814" w:type="dxa"/>
            <w:vAlign w:val="center"/>
          </w:tcPr>
          <w:p w14:paraId="12049C13" w14:textId="77777777" w:rsidR="00454A29" w:rsidRDefault="00454A29">
            <w:pPr>
              <w:pStyle w:val="ConsPlusNormal"/>
            </w:pPr>
          </w:p>
        </w:tc>
        <w:tc>
          <w:tcPr>
            <w:tcW w:w="1701" w:type="dxa"/>
            <w:vAlign w:val="center"/>
          </w:tcPr>
          <w:p w14:paraId="55E43EF9" w14:textId="77777777" w:rsidR="00454A29" w:rsidRDefault="00454A29">
            <w:pPr>
              <w:pStyle w:val="ConsPlusNormal"/>
            </w:pPr>
          </w:p>
        </w:tc>
        <w:tc>
          <w:tcPr>
            <w:tcW w:w="1701" w:type="dxa"/>
            <w:vAlign w:val="center"/>
          </w:tcPr>
          <w:p w14:paraId="3050A788" w14:textId="77777777" w:rsidR="00454A29" w:rsidRDefault="00454A29">
            <w:pPr>
              <w:pStyle w:val="ConsPlusNormal"/>
            </w:pPr>
          </w:p>
        </w:tc>
        <w:tc>
          <w:tcPr>
            <w:tcW w:w="1814" w:type="dxa"/>
            <w:vAlign w:val="center"/>
          </w:tcPr>
          <w:p w14:paraId="2137D46A" w14:textId="77777777" w:rsidR="00454A29" w:rsidRDefault="00454A29">
            <w:pPr>
              <w:pStyle w:val="ConsPlusNormal"/>
            </w:pPr>
          </w:p>
        </w:tc>
      </w:tr>
      <w:tr w:rsidR="00454A29" w14:paraId="08E6C6F4" w14:textId="77777777">
        <w:tc>
          <w:tcPr>
            <w:tcW w:w="567" w:type="dxa"/>
            <w:vMerge/>
          </w:tcPr>
          <w:p w14:paraId="2E3F655D" w14:textId="77777777" w:rsidR="00454A29" w:rsidRDefault="00454A29"/>
        </w:tc>
        <w:tc>
          <w:tcPr>
            <w:tcW w:w="3345" w:type="dxa"/>
            <w:vMerge/>
          </w:tcPr>
          <w:p w14:paraId="512062A5" w14:textId="77777777" w:rsidR="00454A29" w:rsidRDefault="00454A29"/>
        </w:tc>
        <w:tc>
          <w:tcPr>
            <w:tcW w:w="1701" w:type="dxa"/>
            <w:vAlign w:val="center"/>
          </w:tcPr>
          <w:p w14:paraId="6275472E" w14:textId="77777777" w:rsidR="00454A29" w:rsidRDefault="00454A29">
            <w:pPr>
              <w:pStyle w:val="ConsPlusNormal"/>
              <w:jc w:val="center"/>
            </w:pPr>
            <w:r>
              <w:t>2022</w:t>
            </w:r>
          </w:p>
        </w:tc>
        <w:tc>
          <w:tcPr>
            <w:tcW w:w="1417" w:type="dxa"/>
            <w:vMerge/>
          </w:tcPr>
          <w:p w14:paraId="4838977D" w14:textId="77777777" w:rsidR="00454A29" w:rsidRDefault="00454A29"/>
        </w:tc>
        <w:tc>
          <w:tcPr>
            <w:tcW w:w="2204" w:type="dxa"/>
            <w:vMerge/>
          </w:tcPr>
          <w:p w14:paraId="3E185FD7" w14:textId="77777777" w:rsidR="00454A29" w:rsidRDefault="00454A29"/>
        </w:tc>
        <w:tc>
          <w:tcPr>
            <w:tcW w:w="1417" w:type="dxa"/>
            <w:vMerge/>
          </w:tcPr>
          <w:p w14:paraId="4821953E" w14:textId="77777777" w:rsidR="00454A29" w:rsidRDefault="00454A29"/>
        </w:tc>
        <w:tc>
          <w:tcPr>
            <w:tcW w:w="2324" w:type="dxa"/>
            <w:vMerge/>
          </w:tcPr>
          <w:p w14:paraId="4B675911" w14:textId="77777777" w:rsidR="00454A29" w:rsidRDefault="00454A29"/>
        </w:tc>
        <w:tc>
          <w:tcPr>
            <w:tcW w:w="1701" w:type="dxa"/>
            <w:vAlign w:val="center"/>
          </w:tcPr>
          <w:p w14:paraId="56D0D071" w14:textId="77777777" w:rsidR="00454A29" w:rsidRDefault="00454A29">
            <w:pPr>
              <w:pStyle w:val="ConsPlusNormal"/>
              <w:jc w:val="center"/>
            </w:pPr>
            <w:r>
              <w:t>-</w:t>
            </w:r>
          </w:p>
        </w:tc>
        <w:tc>
          <w:tcPr>
            <w:tcW w:w="1814" w:type="dxa"/>
            <w:vAlign w:val="center"/>
          </w:tcPr>
          <w:p w14:paraId="23D97524" w14:textId="77777777" w:rsidR="00454A29" w:rsidRDefault="00454A29">
            <w:pPr>
              <w:pStyle w:val="ConsPlusNormal"/>
            </w:pPr>
          </w:p>
        </w:tc>
        <w:tc>
          <w:tcPr>
            <w:tcW w:w="1701" w:type="dxa"/>
            <w:vAlign w:val="center"/>
          </w:tcPr>
          <w:p w14:paraId="686FA3BE" w14:textId="77777777" w:rsidR="00454A29" w:rsidRDefault="00454A29">
            <w:pPr>
              <w:pStyle w:val="ConsPlusNormal"/>
            </w:pPr>
          </w:p>
        </w:tc>
        <w:tc>
          <w:tcPr>
            <w:tcW w:w="1701" w:type="dxa"/>
            <w:vAlign w:val="center"/>
          </w:tcPr>
          <w:p w14:paraId="1DE99CAC" w14:textId="77777777" w:rsidR="00454A29" w:rsidRDefault="00454A29">
            <w:pPr>
              <w:pStyle w:val="ConsPlusNormal"/>
            </w:pPr>
          </w:p>
        </w:tc>
        <w:tc>
          <w:tcPr>
            <w:tcW w:w="1814" w:type="dxa"/>
            <w:vAlign w:val="center"/>
          </w:tcPr>
          <w:p w14:paraId="262C3480" w14:textId="77777777" w:rsidR="00454A29" w:rsidRDefault="00454A29">
            <w:pPr>
              <w:pStyle w:val="ConsPlusNormal"/>
            </w:pPr>
          </w:p>
        </w:tc>
      </w:tr>
      <w:tr w:rsidR="00454A29" w14:paraId="59C373ED" w14:textId="77777777">
        <w:tc>
          <w:tcPr>
            <w:tcW w:w="567" w:type="dxa"/>
            <w:vMerge/>
          </w:tcPr>
          <w:p w14:paraId="186B37D0" w14:textId="77777777" w:rsidR="00454A29" w:rsidRDefault="00454A29"/>
        </w:tc>
        <w:tc>
          <w:tcPr>
            <w:tcW w:w="3345" w:type="dxa"/>
            <w:vMerge/>
          </w:tcPr>
          <w:p w14:paraId="6448F0BD" w14:textId="77777777" w:rsidR="00454A29" w:rsidRDefault="00454A29"/>
        </w:tc>
        <w:tc>
          <w:tcPr>
            <w:tcW w:w="1701" w:type="dxa"/>
            <w:vAlign w:val="center"/>
          </w:tcPr>
          <w:p w14:paraId="5D487C1E" w14:textId="77777777" w:rsidR="00454A29" w:rsidRDefault="00454A29">
            <w:pPr>
              <w:pStyle w:val="ConsPlusNormal"/>
              <w:jc w:val="center"/>
            </w:pPr>
            <w:r>
              <w:t>2023</w:t>
            </w:r>
          </w:p>
        </w:tc>
        <w:tc>
          <w:tcPr>
            <w:tcW w:w="1417" w:type="dxa"/>
            <w:vMerge/>
          </w:tcPr>
          <w:p w14:paraId="40CE7599" w14:textId="77777777" w:rsidR="00454A29" w:rsidRDefault="00454A29"/>
        </w:tc>
        <w:tc>
          <w:tcPr>
            <w:tcW w:w="2204" w:type="dxa"/>
            <w:vMerge/>
          </w:tcPr>
          <w:p w14:paraId="4B823B3C" w14:textId="77777777" w:rsidR="00454A29" w:rsidRDefault="00454A29"/>
        </w:tc>
        <w:tc>
          <w:tcPr>
            <w:tcW w:w="1417" w:type="dxa"/>
            <w:vMerge/>
          </w:tcPr>
          <w:p w14:paraId="5E273FAB" w14:textId="77777777" w:rsidR="00454A29" w:rsidRDefault="00454A29"/>
        </w:tc>
        <w:tc>
          <w:tcPr>
            <w:tcW w:w="2324" w:type="dxa"/>
            <w:vMerge/>
          </w:tcPr>
          <w:p w14:paraId="22C258EB" w14:textId="77777777" w:rsidR="00454A29" w:rsidRDefault="00454A29"/>
        </w:tc>
        <w:tc>
          <w:tcPr>
            <w:tcW w:w="1701" w:type="dxa"/>
            <w:vAlign w:val="center"/>
          </w:tcPr>
          <w:p w14:paraId="14D9E207" w14:textId="77777777" w:rsidR="00454A29" w:rsidRDefault="00454A29">
            <w:pPr>
              <w:pStyle w:val="ConsPlusNormal"/>
              <w:jc w:val="center"/>
            </w:pPr>
            <w:r>
              <w:t>40 753,52</w:t>
            </w:r>
          </w:p>
        </w:tc>
        <w:tc>
          <w:tcPr>
            <w:tcW w:w="1814" w:type="dxa"/>
            <w:vAlign w:val="center"/>
          </w:tcPr>
          <w:p w14:paraId="05C0D1EE" w14:textId="77777777" w:rsidR="00454A29" w:rsidRDefault="00454A29">
            <w:pPr>
              <w:pStyle w:val="ConsPlusNormal"/>
              <w:jc w:val="center"/>
            </w:pPr>
            <w:r>
              <w:t>40 753,52</w:t>
            </w:r>
          </w:p>
        </w:tc>
        <w:tc>
          <w:tcPr>
            <w:tcW w:w="1701" w:type="dxa"/>
            <w:vAlign w:val="center"/>
          </w:tcPr>
          <w:p w14:paraId="51425174" w14:textId="77777777" w:rsidR="00454A29" w:rsidRDefault="00454A29">
            <w:pPr>
              <w:pStyle w:val="ConsPlusNormal"/>
            </w:pPr>
          </w:p>
        </w:tc>
        <w:tc>
          <w:tcPr>
            <w:tcW w:w="1701" w:type="dxa"/>
            <w:vAlign w:val="center"/>
          </w:tcPr>
          <w:p w14:paraId="783BBF9B" w14:textId="77777777" w:rsidR="00454A29" w:rsidRDefault="00454A29">
            <w:pPr>
              <w:pStyle w:val="ConsPlusNormal"/>
            </w:pPr>
          </w:p>
        </w:tc>
        <w:tc>
          <w:tcPr>
            <w:tcW w:w="1814" w:type="dxa"/>
            <w:vAlign w:val="center"/>
          </w:tcPr>
          <w:p w14:paraId="27328FCD" w14:textId="77777777" w:rsidR="00454A29" w:rsidRDefault="00454A29">
            <w:pPr>
              <w:pStyle w:val="ConsPlusNormal"/>
            </w:pPr>
          </w:p>
        </w:tc>
      </w:tr>
      <w:tr w:rsidR="00454A29" w14:paraId="1FC8780E" w14:textId="77777777">
        <w:tc>
          <w:tcPr>
            <w:tcW w:w="567" w:type="dxa"/>
            <w:vMerge/>
          </w:tcPr>
          <w:p w14:paraId="3A433DBD" w14:textId="77777777" w:rsidR="00454A29" w:rsidRDefault="00454A29"/>
        </w:tc>
        <w:tc>
          <w:tcPr>
            <w:tcW w:w="3345" w:type="dxa"/>
            <w:vMerge/>
          </w:tcPr>
          <w:p w14:paraId="40A4520E" w14:textId="77777777" w:rsidR="00454A29" w:rsidRDefault="00454A29"/>
        </w:tc>
        <w:tc>
          <w:tcPr>
            <w:tcW w:w="1701" w:type="dxa"/>
            <w:vAlign w:val="center"/>
          </w:tcPr>
          <w:p w14:paraId="7AECA71E" w14:textId="77777777" w:rsidR="00454A29" w:rsidRDefault="00454A29">
            <w:pPr>
              <w:pStyle w:val="ConsPlusNormal"/>
              <w:jc w:val="center"/>
            </w:pPr>
            <w:r>
              <w:t>2024</w:t>
            </w:r>
          </w:p>
        </w:tc>
        <w:tc>
          <w:tcPr>
            <w:tcW w:w="1417" w:type="dxa"/>
            <w:vMerge/>
          </w:tcPr>
          <w:p w14:paraId="63D42767" w14:textId="77777777" w:rsidR="00454A29" w:rsidRDefault="00454A29"/>
        </w:tc>
        <w:tc>
          <w:tcPr>
            <w:tcW w:w="2204" w:type="dxa"/>
            <w:vMerge/>
          </w:tcPr>
          <w:p w14:paraId="5CF87DD9" w14:textId="77777777" w:rsidR="00454A29" w:rsidRDefault="00454A29"/>
        </w:tc>
        <w:tc>
          <w:tcPr>
            <w:tcW w:w="1417" w:type="dxa"/>
            <w:vMerge/>
          </w:tcPr>
          <w:p w14:paraId="4400C918" w14:textId="77777777" w:rsidR="00454A29" w:rsidRDefault="00454A29"/>
        </w:tc>
        <w:tc>
          <w:tcPr>
            <w:tcW w:w="2324" w:type="dxa"/>
            <w:vMerge/>
          </w:tcPr>
          <w:p w14:paraId="6D2F80B2" w14:textId="77777777" w:rsidR="00454A29" w:rsidRDefault="00454A29"/>
        </w:tc>
        <w:tc>
          <w:tcPr>
            <w:tcW w:w="1701" w:type="dxa"/>
            <w:vAlign w:val="center"/>
          </w:tcPr>
          <w:p w14:paraId="52692AD8" w14:textId="77777777" w:rsidR="00454A29" w:rsidRDefault="00454A29">
            <w:pPr>
              <w:pStyle w:val="ConsPlusNormal"/>
              <w:jc w:val="center"/>
            </w:pPr>
            <w:r>
              <w:t>54 967,96</w:t>
            </w:r>
          </w:p>
        </w:tc>
        <w:tc>
          <w:tcPr>
            <w:tcW w:w="1814" w:type="dxa"/>
            <w:vAlign w:val="center"/>
          </w:tcPr>
          <w:p w14:paraId="279D75D0" w14:textId="77777777" w:rsidR="00454A29" w:rsidRDefault="00454A29">
            <w:pPr>
              <w:pStyle w:val="ConsPlusNormal"/>
              <w:jc w:val="center"/>
            </w:pPr>
            <w:r>
              <w:t>54 967,96</w:t>
            </w:r>
          </w:p>
        </w:tc>
        <w:tc>
          <w:tcPr>
            <w:tcW w:w="1701" w:type="dxa"/>
            <w:vAlign w:val="center"/>
          </w:tcPr>
          <w:p w14:paraId="5EBD8221" w14:textId="77777777" w:rsidR="00454A29" w:rsidRDefault="00454A29">
            <w:pPr>
              <w:pStyle w:val="ConsPlusNormal"/>
            </w:pPr>
          </w:p>
        </w:tc>
        <w:tc>
          <w:tcPr>
            <w:tcW w:w="1701" w:type="dxa"/>
            <w:vAlign w:val="center"/>
          </w:tcPr>
          <w:p w14:paraId="27361677" w14:textId="77777777" w:rsidR="00454A29" w:rsidRDefault="00454A29">
            <w:pPr>
              <w:pStyle w:val="ConsPlusNormal"/>
            </w:pPr>
          </w:p>
        </w:tc>
        <w:tc>
          <w:tcPr>
            <w:tcW w:w="1814" w:type="dxa"/>
            <w:vAlign w:val="center"/>
          </w:tcPr>
          <w:p w14:paraId="61088AFA" w14:textId="77777777" w:rsidR="00454A29" w:rsidRDefault="00454A29">
            <w:pPr>
              <w:pStyle w:val="ConsPlusNormal"/>
            </w:pPr>
          </w:p>
        </w:tc>
      </w:tr>
      <w:tr w:rsidR="00454A29" w14:paraId="46F8CBDC" w14:textId="77777777">
        <w:tc>
          <w:tcPr>
            <w:tcW w:w="567" w:type="dxa"/>
            <w:vMerge/>
          </w:tcPr>
          <w:p w14:paraId="68B285C1" w14:textId="77777777" w:rsidR="00454A29" w:rsidRDefault="00454A29"/>
        </w:tc>
        <w:tc>
          <w:tcPr>
            <w:tcW w:w="3345" w:type="dxa"/>
            <w:vMerge/>
          </w:tcPr>
          <w:p w14:paraId="23C220B2" w14:textId="77777777" w:rsidR="00454A29" w:rsidRDefault="00454A29"/>
        </w:tc>
        <w:tc>
          <w:tcPr>
            <w:tcW w:w="1701" w:type="dxa"/>
            <w:vAlign w:val="center"/>
          </w:tcPr>
          <w:p w14:paraId="696D0F7F" w14:textId="77777777" w:rsidR="00454A29" w:rsidRDefault="00454A29">
            <w:pPr>
              <w:pStyle w:val="ConsPlusNormal"/>
              <w:jc w:val="center"/>
            </w:pPr>
            <w:r>
              <w:t>2025</w:t>
            </w:r>
          </w:p>
        </w:tc>
        <w:tc>
          <w:tcPr>
            <w:tcW w:w="1417" w:type="dxa"/>
            <w:vMerge/>
          </w:tcPr>
          <w:p w14:paraId="17F87C3E" w14:textId="77777777" w:rsidR="00454A29" w:rsidRDefault="00454A29"/>
        </w:tc>
        <w:tc>
          <w:tcPr>
            <w:tcW w:w="2204" w:type="dxa"/>
            <w:vMerge/>
          </w:tcPr>
          <w:p w14:paraId="32C308BA" w14:textId="77777777" w:rsidR="00454A29" w:rsidRDefault="00454A29"/>
        </w:tc>
        <w:tc>
          <w:tcPr>
            <w:tcW w:w="1417" w:type="dxa"/>
            <w:vMerge/>
          </w:tcPr>
          <w:p w14:paraId="7F3295DE" w14:textId="77777777" w:rsidR="00454A29" w:rsidRDefault="00454A29"/>
        </w:tc>
        <w:tc>
          <w:tcPr>
            <w:tcW w:w="2324" w:type="dxa"/>
            <w:vMerge/>
          </w:tcPr>
          <w:p w14:paraId="52AC5EBB" w14:textId="77777777" w:rsidR="00454A29" w:rsidRDefault="00454A29"/>
        </w:tc>
        <w:tc>
          <w:tcPr>
            <w:tcW w:w="1701" w:type="dxa"/>
            <w:vAlign w:val="center"/>
          </w:tcPr>
          <w:p w14:paraId="39BB1A27" w14:textId="77777777" w:rsidR="00454A29" w:rsidRDefault="00454A29">
            <w:pPr>
              <w:pStyle w:val="ConsPlusNormal"/>
              <w:jc w:val="center"/>
            </w:pPr>
            <w:r>
              <w:t>-</w:t>
            </w:r>
          </w:p>
        </w:tc>
        <w:tc>
          <w:tcPr>
            <w:tcW w:w="1814" w:type="dxa"/>
            <w:vAlign w:val="center"/>
          </w:tcPr>
          <w:p w14:paraId="59E72B6C" w14:textId="77777777" w:rsidR="00454A29" w:rsidRDefault="00454A29">
            <w:pPr>
              <w:pStyle w:val="ConsPlusNormal"/>
            </w:pPr>
          </w:p>
        </w:tc>
        <w:tc>
          <w:tcPr>
            <w:tcW w:w="1701" w:type="dxa"/>
            <w:vAlign w:val="center"/>
          </w:tcPr>
          <w:p w14:paraId="1479C599" w14:textId="77777777" w:rsidR="00454A29" w:rsidRDefault="00454A29">
            <w:pPr>
              <w:pStyle w:val="ConsPlusNormal"/>
            </w:pPr>
          </w:p>
        </w:tc>
        <w:tc>
          <w:tcPr>
            <w:tcW w:w="1701" w:type="dxa"/>
            <w:vAlign w:val="center"/>
          </w:tcPr>
          <w:p w14:paraId="1E9E3F9F" w14:textId="77777777" w:rsidR="00454A29" w:rsidRDefault="00454A29">
            <w:pPr>
              <w:pStyle w:val="ConsPlusNormal"/>
            </w:pPr>
          </w:p>
        </w:tc>
        <w:tc>
          <w:tcPr>
            <w:tcW w:w="1814" w:type="dxa"/>
            <w:vAlign w:val="center"/>
          </w:tcPr>
          <w:p w14:paraId="37FB83B7" w14:textId="77777777" w:rsidR="00454A29" w:rsidRDefault="00454A29">
            <w:pPr>
              <w:pStyle w:val="ConsPlusNormal"/>
            </w:pPr>
          </w:p>
        </w:tc>
      </w:tr>
      <w:tr w:rsidR="00454A29" w14:paraId="19EA941D" w14:textId="77777777">
        <w:tc>
          <w:tcPr>
            <w:tcW w:w="567" w:type="dxa"/>
            <w:vMerge/>
          </w:tcPr>
          <w:p w14:paraId="51B1A298" w14:textId="77777777" w:rsidR="00454A29" w:rsidRDefault="00454A29"/>
        </w:tc>
        <w:tc>
          <w:tcPr>
            <w:tcW w:w="3345" w:type="dxa"/>
            <w:vMerge/>
          </w:tcPr>
          <w:p w14:paraId="26B77BBC" w14:textId="77777777" w:rsidR="00454A29" w:rsidRDefault="00454A29"/>
        </w:tc>
        <w:tc>
          <w:tcPr>
            <w:tcW w:w="1701" w:type="dxa"/>
            <w:vAlign w:val="center"/>
          </w:tcPr>
          <w:p w14:paraId="68129EF4" w14:textId="77777777" w:rsidR="00454A29" w:rsidRDefault="00454A29">
            <w:pPr>
              <w:pStyle w:val="ConsPlusNormal"/>
              <w:jc w:val="center"/>
            </w:pPr>
            <w:r>
              <w:t>2026</w:t>
            </w:r>
          </w:p>
        </w:tc>
        <w:tc>
          <w:tcPr>
            <w:tcW w:w="1417" w:type="dxa"/>
            <w:vMerge/>
          </w:tcPr>
          <w:p w14:paraId="2D68F7AB" w14:textId="77777777" w:rsidR="00454A29" w:rsidRDefault="00454A29"/>
        </w:tc>
        <w:tc>
          <w:tcPr>
            <w:tcW w:w="2204" w:type="dxa"/>
            <w:vMerge/>
          </w:tcPr>
          <w:p w14:paraId="2EF22CB8" w14:textId="77777777" w:rsidR="00454A29" w:rsidRDefault="00454A29"/>
        </w:tc>
        <w:tc>
          <w:tcPr>
            <w:tcW w:w="1417" w:type="dxa"/>
            <w:vMerge/>
          </w:tcPr>
          <w:p w14:paraId="1BAA6144" w14:textId="77777777" w:rsidR="00454A29" w:rsidRDefault="00454A29"/>
        </w:tc>
        <w:tc>
          <w:tcPr>
            <w:tcW w:w="2324" w:type="dxa"/>
            <w:vMerge/>
          </w:tcPr>
          <w:p w14:paraId="7262400C" w14:textId="77777777" w:rsidR="00454A29" w:rsidRDefault="00454A29"/>
        </w:tc>
        <w:tc>
          <w:tcPr>
            <w:tcW w:w="1701" w:type="dxa"/>
            <w:vAlign w:val="center"/>
          </w:tcPr>
          <w:p w14:paraId="3E3FFE1A" w14:textId="77777777" w:rsidR="00454A29" w:rsidRDefault="00454A29">
            <w:pPr>
              <w:pStyle w:val="ConsPlusNormal"/>
              <w:jc w:val="center"/>
            </w:pPr>
            <w:r>
              <w:t>-</w:t>
            </w:r>
          </w:p>
        </w:tc>
        <w:tc>
          <w:tcPr>
            <w:tcW w:w="1814" w:type="dxa"/>
            <w:vAlign w:val="center"/>
          </w:tcPr>
          <w:p w14:paraId="3803FB18" w14:textId="77777777" w:rsidR="00454A29" w:rsidRDefault="00454A29">
            <w:pPr>
              <w:pStyle w:val="ConsPlusNormal"/>
            </w:pPr>
          </w:p>
        </w:tc>
        <w:tc>
          <w:tcPr>
            <w:tcW w:w="1701" w:type="dxa"/>
            <w:vAlign w:val="center"/>
          </w:tcPr>
          <w:p w14:paraId="0BC4A4C8" w14:textId="77777777" w:rsidR="00454A29" w:rsidRDefault="00454A29">
            <w:pPr>
              <w:pStyle w:val="ConsPlusNormal"/>
            </w:pPr>
          </w:p>
        </w:tc>
        <w:tc>
          <w:tcPr>
            <w:tcW w:w="1701" w:type="dxa"/>
            <w:vAlign w:val="center"/>
          </w:tcPr>
          <w:p w14:paraId="11F25710" w14:textId="77777777" w:rsidR="00454A29" w:rsidRDefault="00454A29">
            <w:pPr>
              <w:pStyle w:val="ConsPlusNormal"/>
            </w:pPr>
          </w:p>
        </w:tc>
        <w:tc>
          <w:tcPr>
            <w:tcW w:w="1814" w:type="dxa"/>
            <w:vAlign w:val="center"/>
          </w:tcPr>
          <w:p w14:paraId="1902C274" w14:textId="77777777" w:rsidR="00454A29" w:rsidRDefault="00454A29">
            <w:pPr>
              <w:pStyle w:val="ConsPlusNormal"/>
            </w:pPr>
          </w:p>
        </w:tc>
      </w:tr>
      <w:tr w:rsidR="00454A29" w14:paraId="74690D7E" w14:textId="77777777">
        <w:tc>
          <w:tcPr>
            <w:tcW w:w="567" w:type="dxa"/>
            <w:vMerge w:val="restart"/>
            <w:vAlign w:val="center"/>
          </w:tcPr>
          <w:p w14:paraId="5740EA4F" w14:textId="77777777" w:rsidR="00454A29" w:rsidRDefault="00454A29">
            <w:pPr>
              <w:pStyle w:val="ConsPlusNormal"/>
              <w:jc w:val="center"/>
            </w:pPr>
            <w:r>
              <w:t>37</w:t>
            </w:r>
          </w:p>
        </w:tc>
        <w:tc>
          <w:tcPr>
            <w:tcW w:w="3345" w:type="dxa"/>
            <w:vMerge w:val="restart"/>
            <w:vAlign w:val="center"/>
          </w:tcPr>
          <w:p w14:paraId="7069C75E" w14:textId="77777777" w:rsidR="00454A29" w:rsidRDefault="00454A29">
            <w:pPr>
              <w:pStyle w:val="ConsPlusNormal"/>
              <w:jc w:val="center"/>
            </w:pPr>
            <w:r>
              <w:t>Детский сад на 75 мест в с. Батагай-Алыта Тюгесирского наслега Эвено-Бытантайского национального улуса</w:t>
            </w:r>
          </w:p>
        </w:tc>
        <w:tc>
          <w:tcPr>
            <w:tcW w:w="1701" w:type="dxa"/>
            <w:vAlign w:val="center"/>
          </w:tcPr>
          <w:p w14:paraId="251245DB" w14:textId="77777777" w:rsidR="00454A29" w:rsidRDefault="00454A29">
            <w:pPr>
              <w:pStyle w:val="ConsPlusNormal"/>
              <w:jc w:val="center"/>
            </w:pPr>
            <w:r>
              <w:t>2020 - 2026 годы - всего</w:t>
            </w:r>
          </w:p>
        </w:tc>
        <w:tc>
          <w:tcPr>
            <w:tcW w:w="1417" w:type="dxa"/>
            <w:vMerge w:val="restart"/>
            <w:vAlign w:val="center"/>
          </w:tcPr>
          <w:p w14:paraId="490E9AD4" w14:textId="77777777" w:rsidR="00454A29" w:rsidRDefault="00454A29">
            <w:pPr>
              <w:pStyle w:val="ConsPlusNormal"/>
              <w:jc w:val="center"/>
            </w:pPr>
            <w:r>
              <w:t>126 444,20</w:t>
            </w:r>
          </w:p>
        </w:tc>
        <w:tc>
          <w:tcPr>
            <w:tcW w:w="2204" w:type="dxa"/>
            <w:vMerge w:val="restart"/>
            <w:vAlign w:val="center"/>
          </w:tcPr>
          <w:p w14:paraId="5056A0AA" w14:textId="77777777" w:rsidR="00454A29" w:rsidRDefault="00454A29">
            <w:pPr>
              <w:pStyle w:val="ConsPlusNormal"/>
              <w:jc w:val="center"/>
            </w:pPr>
            <w:r>
              <w:t>имеется</w:t>
            </w:r>
          </w:p>
        </w:tc>
        <w:tc>
          <w:tcPr>
            <w:tcW w:w="1417" w:type="dxa"/>
            <w:vMerge w:val="restart"/>
            <w:vAlign w:val="center"/>
          </w:tcPr>
          <w:p w14:paraId="265E77F2" w14:textId="77777777" w:rsidR="00454A29" w:rsidRDefault="00454A29">
            <w:pPr>
              <w:pStyle w:val="ConsPlusNormal"/>
              <w:jc w:val="center"/>
            </w:pPr>
            <w:r>
              <w:t>75</w:t>
            </w:r>
          </w:p>
        </w:tc>
        <w:tc>
          <w:tcPr>
            <w:tcW w:w="2324" w:type="dxa"/>
            <w:vMerge w:val="restart"/>
            <w:vAlign w:val="center"/>
          </w:tcPr>
          <w:p w14:paraId="112C3EC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97042A9" w14:textId="77777777" w:rsidR="00454A29" w:rsidRDefault="00454A29">
            <w:pPr>
              <w:pStyle w:val="ConsPlusNormal"/>
              <w:jc w:val="center"/>
            </w:pPr>
            <w:r>
              <w:t>73 653,74</w:t>
            </w:r>
          </w:p>
        </w:tc>
        <w:tc>
          <w:tcPr>
            <w:tcW w:w="1814" w:type="dxa"/>
            <w:vAlign w:val="center"/>
          </w:tcPr>
          <w:p w14:paraId="12BA315A" w14:textId="77777777" w:rsidR="00454A29" w:rsidRDefault="00454A29">
            <w:pPr>
              <w:pStyle w:val="ConsPlusNormal"/>
              <w:jc w:val="center"/>
            </w:pPr>
            <w:r>
              <w:t>126 444,20</w:t>
            </w:r>
          </w:p>
        </w:tc>
        <w:tc>
          <w:tcPr>
            <w:tcW w:w="1701" w:type="dxa"/>
            <w:vAlign w:val="center"/>
          </w:tcPr>
          <w:p w14:paraId="0C040903" w14:textId="77777777" w:rsidR="00454A29" w:rsidRDefault="00454A29">
            <w:pPr>
              <w:pStyle w:val="ConsPlusNormal"/>
              <w:jc w:val="center"/>
            </w:pPr>
            <w:r>
              <w:t>-</w:t>
            </w:r>
          </w:p>
        </w:tc>
        <w:tc>
          <w:tcPr>
            <w:tcW w:w="1701" w:type="dxa"/>
            <w:vAlign w:val="center"/>
          </w:tcPr>
          <w:p w14:paraId="11DA7E3A" w14:textId="77777777" w:rsidR="00454A29" w:rsidRDefault="00454A29">
            <w:pPr>
              <w:pStyle w:val="ConsPlusNormal"/>
              <w:jc w:val="center"/>
            </w:pPr>
            <w:r>
              <w:t>-</w:t>
            </w:r>
          </w:p>
        </w:tc>
        <w:tc>
          <w:tcPr>
            <w:tcW w:w="1814" w:type="dxa"/>
            <w:vAlign w:val="center"/>
          </w:tcPr>
          <w:p w14:paraId="06292B26" w14:textId="77777777" w:rsidR="00454A29" w:rsidRDefault="00454A29">
            <w:pPr>
              <w:pStyle w:val="ConsPlusNormal"/>
              <w:jc w:val="center"/>
            </w:pPr>
            <w:r>
              <w:t>-</w:t>
            </w:r>
          </w:p>
        </w:tc>
      </w:tr>
      <w:tr w:rsidR="00454A29" w14:paraId="6213135B" w14:textId="77777777">
        <w:tc>
          <w:tcPr>
            <w:tcW w:w="567" w:type="dxa"/>
            <w:vMerge/>
          </w:tcPr>
          <w:p w14:paraId="7D379FEB" w14:textId="77777777" w:rsidR="00454A29" w:rsidRDefault="00454A29"/>
        </w:tc>
        <w:tc>
          <w:tcPr>
            <w:tcW w:w="3345" w:type="dxa"/>
            <w:vMerge/>
          </w:tcPr>
          <w:p w14:paraId="59FEF208" w14:textId="77777777" w:rsidR="00454A29" w:rsidRDefault="00454A29"/>
        </w:tc>
        <w:tc>
          <w:tcPr>
            <w:tcW w:w="1701" w:type="dxa"/>
            <w:vAlign w:val="center"/>
          </w:tcPr>
          <w:p w14:paraId="2497F9E5" w14:textId="77777777" w:rsidR="00454A29" w:rsidRDefault="00454A29">
            <w:pPr>
              <w:pStyle w:val="ConsPlusNormal"/>
              <w:jc w:val="center"/>
            </w:pPr>
            <w:r>
              <w:t>2020</w:t>
            </w:r>
          </w:p>
        </w:tc>
        <w:tc>
          <w:tcPr>
            <w:tcW w:w="1417" w:type="dxa"/>
            <w:vMerge/>
          </w:tcPr>
          <w:p w14:paraId="755A89A0" w14:textId="77777777" w:rsidR="00454A29" w:rsidRDefault="00454A29"/>
        </w:tc>
        <w:tc>
          <w:tcPr>
            <w:tcW w:w="2204" w:type="dxa"/>
            <w:vMerge/>
          </w:tcPr>
          <w:p w14:paraId="2D5EAB3F" w14:textId="77777777" w:rsidR="00454A29" w:rsidRDefault="00454A29"/>
        </w:tc>
        <w:tc>
          <w:tcPr>
            <w:tcW w:w="1417" w:type="dxa"/>
            <w:vMerge/>
          </w:tcPr>
          <w:p w14:paraId="23DC6DEC" w14:textId="77777777" w:rsidR="00454A29" w:rsidRDefault="00454A29"/>
        </w:tc>
        <w:tc>
          <w:tcPr>
            <w:tcW w:w="2324" w:type="dxa"/>
            <w:vMerge/>
          </w:tcPr>
          <w:p w14:paraId="5A71CF00" w14:textId="77777777" w:rsidR="00454A29" w:rsidRDefault="00454A29"/>
        </w:tc>
        <w:tc>
          <w:tcPr>
            <w:tcW w:w="1701" w:type="dxa"/>
            <w:vAlign w:val="center"/>
          </w:tcPr>
          <w:p w14:paraId="5B1F0BCA" w14:textId="77777777" w:rsidR="00454A29" w:rsidRDefault="00454A29">
            <w:pPr>
              <w:pStyle w:val="ConsPlusNormal"/>
              <w:jc w:val="center"/>
            </w:pPr>
            <w:r>
              <w:t>-</w:t>
            </w:r>
          </w:p>
        </w:tc>
        <w:tc>
          <w:tcPr>
            <w:tcW w:w="1814" w:type="dxa"/>
            <w:vAlign w:val="center"/>
          </w:tcPr>
          <w:p w14:paraId="51142796" w14:textId="77777777" w:rsidR="00454A29" w:rsidRDefault="00454A29">
            <w:pPr>
              <w:pStyle w:val="ConsPlusNormal"/>
            </w:pPr>
          </w:p>
        </w:tc>
        <w:tc>
          <w:tcPr>
            <w:tcW w:w="1701" w:type="dxa"/>
            <w:vAlign w:val="center"/>
          </w:tcPr>
          <w:p w14:paraId="0D3F9237" w14:textId="77777777" w:rsidR="00454A29" w:rsidRDefault="00454A29">
            <w:pPr>
              <w:pStyle w:val="ConsPlusNormal"/>
            </w:pPr>
          </w:p>
        </w:tc>
        <w:tc>
          <w:tcPr>
            <w:tcW w:w="1701" w:type="dxa"/>
            <w:vAlign w:val="center"/>
          </w:tcPr>
          <w:p w14:paraId="5AD910F6" w14:textId="77777777" w:rsidR="00454A29" w:rsidRDefault="00454A29">
            <w:pPr>
              <w:pStyle w:val="ConsPlusNormal"/>
            </w:pPr>
          </w:p>
        </w:tc>
        <w:tc>
          <w:tcPr>
            <w:tcW w:w="1814" w:type="dxa"/>
            <w:vAlign w:val="center"/>
          </w:tcPr>
          <w:p w14:paraId="546C840F" w14:textId="77777777" w:rsidR="00454A29" w:rsidRDefault="00454A29">
            <w:pPr>
              <w:pStyle w:val="ConsPlusNormal"/>
            </w:pPr>
          </w:p>
        </w:tc>
      </w:tr>
      <w:tr w:rsidR="00454A29" w14:paraId="2359CE19" w14:textId="77777777">
        <w:tc>
          <w:tcPr>
            <w:tcW w:w="567" w:type="dxa"/>
            <w:vMerge/>
          </w:tcPr>
          <w:p w14:paraId="10DA7715" w14:textId="77777777" w:rsidR="00454A29" w:rsidRDefault="00454A29"/>
        </w:tc>
        <w:tc>
          <w:tcPr>
            <w:tcW w:w="3345" w:type="dxa"/>
            <w:vMerge/>
          </w:tcPr>
          <w:p w14:paraId="28171F1F" w14:textId="77777777" w:rsidR="00454A29" w:rsidRDefault="00454A29"/>
        </w:tc>
        <w:tc>
          <w:tcPr>
            <w:tcW w:w="1701" w:type="dxa"/>
            <w:vAlign w:val="center"/>
          </w:tcPr>
          <w:p w14:paraId="1A11AE79" w14:textId="77777777" w:rsidR="00454A29" w:rsidRDefault="00454A29">
            <w:pPr>
              <w:pStyle w:val="ConsPlusNormal"/>
              <w:jc w:val="center"/>
            </w:pPr>
            <w:r>
              <w:t>2021</w:t>
            </w:r>
          </w:p>
        </w:tc>
        <w:tc>
          <w:tcPr>
            <w:tcW w:w="1417" w:type="dxa"/>
            <w:vMerge/>
          </w:tcPr>
          <w:p w14:paraId="335F1300" w14:textId="77777777" w:rsidR="00454A29" w:rsidRDefault="00454A29"/>
        </w:tc>
        <w:tc>
          <w:tcPr>
            <w:tcW w:w="2204" w:type="dxa"/>
            <w:vMerge/>
          </w:tcPr>
          <w:p w14:paraId="6168C5EF" w14:textId="77777777" w:rsidR="00454A29" w:rsidRDefault="00454A29"/>
        </w:tc>
        <w:tc>
          <w:tcPr>
            <w:tcW w:w="1417" w:type="dxa"/>
            <w:vMerge/>
          </w:tcPr>
          <w:p w14:paraId="0B7E40FD" w14:textId="77777777" w:rsidR="00454A29" w:rsidRDefault="00454A29"/>
        </w:tc>
        <w:tc>
          <w:tcPr>
            <w:tcW w:w="2324" w:type="dxa"/>
            <w:vMerge/>
          </w:tcPr>
          <w:p w14:paraId="058FD140" w14:textId="77777777" w:rsidR="00454A29" w:rsidRDefault="00454A29"/>
        </w:tc>
        <w:tc>
          <w:tcPr>
            <w:tcW w:w="1701" w:type="dxa"/>
            <w:vAlign w:val="center"/>
          </w:tcPr>
          <w:p w14:paraId="795B4596" w14:textId="77777777" w:rsidR="00454A29" w:rsidRDefault="00454A29">
            <w:pPr>
              <w:pStyle w:val="ConsPlusNormal"/>
              <w:jc w:val="center"/>
            </w:pPr>
            <w:r>
              <w:t>-</w:t>
            </w:r>
          </w:p>
        </w:tc>
        <w:tc>
          <w:tcPr>
            <w:tcW w:w="1814" w:type="dxa"/>
            <w:vAlign w:val="center"/>
          </w:tcPr>
          <w:p w14:paraId="3D897451" w14:textId="77777777" w:rsidR="00454A29" w:rsidRDefault="00454A29">
            <w:pPr>
              <w:pStyle w:val="ConsPlusNormal"/>
            </w:pPr>
          </w:p>
        </w:tc>
        <w:tc>
          <w:tcPr>
            <w:tcW w:w="1701" w:type="dxa"/>
            <w:vAlign w:val="center"/>
          </w:tcPr>
          <w:p w14:paraId="5D4025C2" w14:textId="77777777" w:rsidR="00454A29" w:rsidRDefault="00454A29">
            <w:pPr>
              <w:pStyle w:val="ConsPlusNormal"/>
            </w:pPr>
          </w:p>
        </w:tc>
        <w:tc>
          <w:tcPr>
            <w:tcW w:w="1701" w:type="dxa"/>
            <w:vAlign w:val="center"/>
          </w:tcPr>
          <w:p w14:paraId="00F5779F" w14:textId="77777777" w:rsidR="00454A29" w:rsidRDefault="00454A29">
            <w:pPr>
              <w:pStyle w:val="ConsPlusNormal"/>
            </w:pPr>
          </w:p>
        </w:tc>
        <w:tc>
          <w:tcPr>
            <w:tcW w:w="1814" w:type="dxa"/>
            <w:vAlign w:val="center"/>
          </w:tcPr>
          <w:p w14:paraId="63FAB0B4" w14:textId="77777777" w:rsidR="00454A29" w:rsidRDefault="00454A29">
            <w:pPr>
              <w:pStyle w:val="ConsPlusNormal"/>
            </w:pPr>
          </w:p>
        </w:tc>
      </w:tr>
      <w:tr w:rsidR="00454A29" w14:paraId="2752D990" w14:textId="77777777">
        <w:tc>
          <w:tcPr>
            <w:tcW w:w="567" w:type="dxa"/>
            <w:vMerge/>
          </w:tcPr>
          <w:p w14:paraId="474458D1" w14:textId="77777777" w:rsidR="00454A29" w:rsidRDefault="00454A29"/>
        </w:tc>
        <w:tc>
          <w:tcPr>
            <w:tcW w:w="3345" w:type="dxa"/>
            <w:vMerge/>
          </w:tcPr>
          <w:p w14:paraId="24102B8F" w14:textId="77777777" w:rsidR="00454A29" w:rsidRDefault="00454A29"/>
        </w:tc>
        <w:tc>
          <w:tcPr>
            <w:tcW w:w="1701" w:type="dxa"/>
            <w:vAlign w:val="center"/>
          </w:tcPr>
          <w:p w14:paraId="1B63DA6D" w14:textId="77777777" w:rsidR="00454A29" w:rsidRDefault="00454A29">
            <w:pPr>
              <w:pStyle w:val="ConsPlusNormal"/>
              <w:jc w:val="center"/>
            </w:pPr>
            <w:r>
              <w:t>2022</w:t>
            </w:r>
          </w:p>
        </w:tc>
        <w:tc>
          <w:tcPr>
            <w:tcW w:w="1417" w:type="dxa"/>
            <w:vMerge/>
          </w:tcPr>
          <w:p w14:paraId="60BF5A64" w14:textId="77777777" w:rsidR="00454A29" w:rsidRDefault="00454A29"/>
        </w:tc>
        <w:tc>
          <w:tcPr>
            <w:tcW w:w="2204" w:type="dxa"/>
            <w:vMerge/>
          </w:tcPr>
          <w:p w14:paraId="27FBA385" w14:textId="77777777" w:rsidR="00454A29" w:rsidRDefault="00454A29"/>
        </w:tc>
        <w:tc>
          <w:tcPr>
            <w:tcW w:w="1417" w:type="dxa"/>
            <w:vMerge/>
          </w:tcPr>
          <w:p w14:paraId="7BBCDC16" w14:textId="77777777" w:rsidR="00454A29" w:rsidRDefault="00454A29"/>
        </w:tc>
        <w:tc>
          <w:tcPr>
            <w:tcW w:w="2324" w:type="dxa"/>
            <w:vMerge/>
          </w:tcPr>
          <w:p w14:paraId="17542FBB" w14:textId="77777777" w:rsidR="00454A29" w:rsidRDefault="00454A29"/>
        </w:tc>
        <w:tc>
          <w:tcPr>
            <w:tcW w:w="1701" w:type="dxa"/>
            <w:vAlign w:val="center"/>
          </w:tcPr>
          <w:p w14:paraId="13B7D69A" w14:textId="77777777" w:rsidR="00454A29" w:rsidRDefault="00454A29">
            <w:pPr>
              <w:pStyle w:val="ConsPlusNormal"/>
            </w:pPr>
          </w:p>
        </w:tc>
        <w:tc>
          <w:tcPr>
            <w:tcW w:w="1814" w:type="dxa"/>
            <w:vAlign w:val="center"/>
          </w:tcPr>
          <w:p w14:paraId="0EB0983B" w14:textId="77777777" w:rsidR="00454A29" w:rsidRDefault="00454A29">
            <w:pPr>
              <w:pStyle w:val="ConsPlusNormal"/>
            </w:pPr>
          </w:p>
        </w:tc>
        <w:tc>
          <w:tcPr>
            <w:tcW w:w="1701" w:type="dxa"/>
            <w:vAlign w:val="center"/>
          </w:tcPr>
          <w:p w14:paraId="27CCD172" w14:textId="77777777" w:rsidR="00454A29" w:rsidRDefault="00454A29">
            <w:pPr>
              <w:pStyle w:val="ConsPlusNormal"/>
            </w:pPr>
          </w:p>
        </w:tc>
        <w:tc>
          <w:tcPr>
            <w:tcW w:w="1701" w:type="dxa"/>
            <w:vAlign w:val="center"/>
          </w:tcPr>
          <w:p w14:paraId="778BDD39" w14:textId="77777777" w:rsidR="00454A29" w:rsidRDefault="00454A29">
            <w:pPr>
              <w:pStyle w:val="ConsPlusNormal"/>
            </w:pPr>
          </w:p>
        </w:tc>
        <w:tc>
          <w:tcPr>
            <w:tcW w:w="1814" w:type="dxa"/>
            <w:vAlign w:val="center"/>
          </w:tcPr>
          <w:p w14:paraId="4BB2D99A" w14:textId="77777777" w:rsidR="00454A29" w:rsidRDefault="00454A29">
            <w:pPr>
              <w:pStyle w:val="ConsPlusNormal"/>
            </w:pPr>
          </w:p>
        </w:tc>
      </w:tr>
      <w:tr w:rsidR="00454A29" w14:paraId="0E19FA1E" w14:textId="77777777">
        <w:tc>
          <w:tcPr>
            <w:tcW w:w="567" w:type="dxa"/>
            <w:vMerge/>
          </w:tcPr>
          <w:p w14:paraId="30714361" w14:textId="77777777" w:rsidR="00454A29" w:rsidRDefault="00454A29"/>
        </w:tc>
        <w:tc>
          <w:tcPr>
            <w:tcW w:w="3345" w:type="dxa"/>
            <w:vMerge/>
          </w:tcPr>
          <w:p w14:paraId="0432A075" w14:textId="77777777" w:rsidR="00454A29" w:rsidRDefault="00454A29"/>
        </w:tc>
        <w:tc>
          <w:tcPr>
            <w:tcW w:w="1701" w:type="dxa"/>
            <w:vAlign w:val="center"/>
          </w:tcPr>
          <w:p w14:paraId="25424F2B" w14:textId="77777777" w:rsidR="00454A29" w:rsidRDefault="00454A29">
            <w:pPr>
              <w:pStyle w:val="ConsPlusNormal"/>
              <w:jc w:val="center"/>
            </w:pPr>
            <w:r>
              <w:t>2023</w:t>
            </w:r>
          </w:p>
        </w:tc>
        <w:tc>
          <w:tcPr>
            <w:tcW w:w="1417" w:type="dxa"/>
            <w:vMerge/>
          </w:tcPr>
          <w:p w14:paraId="7BE3F3F8" w14:textId="77777777" w:rsidR="00454A29" w:rsidRDefault="00454A29"/>
        </w:tc>
        <w:tc>
          <w:tcPr>
            <w:tcW w:w="2204" w:type="dxa"/>
            <w:vMerge/>
          </w:tcPr>
          <w:p w14:paraId="731358A4" w14:textId="77777777" w:rsidR="00454A29" w:rsidRDefault="00454A29"/>
        </w:tc>
        <w:tc>
          <w:tcPr>
            <w:tcW w:w="1417" w:type="dxa"/>
            <w:vMerge/>
          </w:tcPr>
          <w:p w14:paraId="483C8CFB" w14:textId="77777777" w:rsidR="00454A29" w:rsidRDefault="00454A29"/>
        </w:tc>
        <w:tc>
          <w:tcPr>
            <w:tcW w:w="2324" w:type="dxa"/>
            <w:vMerge/>
          </w:tcPr>
          <w:p w14:paraId="55F94755" w14:textId="77777777" w:rsidR="00454A29" w:rsidRDefault="00454A29"/>
        </w:tc>
        <w:tc>
          <w:tcPr>
            <w:tcW w:w="1701" w:type="dxa"/>
            <w:vAlign w:val="center"/>
          </w:tcPr>
          <w:p w14:paraId="57327306" w14:textId="77777777" w:rsidR="00454A29" w:rsidRDefault="00454A29">
            <w:pPr>
              <w:pStyle w:val="ConsPlusNormal"/>
              <w:jc w:val="center"/>
            </w:pPr>
            <w:r>
              <w:t>31 358,16</w:t>
            </w:r>
          </w:p>
        </w:tc>
        <w:tc>
          <w:tcPr>
            <w:tcW w:w="1814" w:type="dxa"/>
            <w:vAlign w:val="center"/>
          </w:tcPr>
          <w:p w14:paraId="4573A3A4" w14:textId="77777777" w:rsidR="00454A29" w:rsidRDefault="00454A29">
            <w:pPr>
              <w:pStyle w:val="ConsPlusNormal"/>
              <w:jc w:val="center"/>
            </w:pPr>
            <w:r>
              <w:t>31 358,16</w:t>
            </w:r>
          </w:p>
        </w:tc>
        <w:tc>
          <w:tcPr>
            <w:tcW w:w="1701" w:type="dxa"/>
            <w:vAlign w:val="center"/>
          </w:tcPr>
          <w:p w14:paraId="0059AB17" w14:textId="77777777" w:rsidR="00454A29" w:rsidRDefault="00454A29">
            <w:pPr>
              <w:pStyle w:val="ConsPlusNormal"/>
            </w:pPr>
          </w:p>
        </w:tc>
        <w:tc>
          <w:tcPr>
            <w:tcW w:w="1701" w:type="dxa"/>
            <w:vAlign w:val="center"/>
          </w:tcPr>
          <w:p w14:paraId="0B054309" w14:textId="77777777" w:rsidR="00454A29" w:rsidRDefault="00454A29">
            <w:pPr>
              <w:pStyle w:val="ConsPlusNormal"/>
            </w:pPr>
          </w:p>
        </w:tc>
        <w:tc>
          <w:tcPr>
            <w:tcW w:w="1814" w:type="dxa"/>
            <w:vAlign w:val="center"/>
          </w:tcPr>
          <w:p w14:paraId="63E97427" w14:textId="77777777" w:rsidR="00454A29" w:rsidRDefault="00454A29">
            <w:pPr>
              <w:pStyle w:val="ConsPlusNormal"/>
            </w:pPr>
          </w:p>
        </w:tc>
      </w:tr>
      <w:tr w:rsidR="00454A29" w14:paraId="5FF91F49" w14:textId="77777777">
        <w:tc>
          <w:tcPr>
            <w:tcW w:w="567" w:type="dxa"/>
            <w:vMerge/>
          </w:tcPr>
          <w:p w14:paraId="159D020E" w14:textId="77777777" w:rsidR="00454A29" w:rsidRDefault="00454A29"/>
        </w:tc>
        <w:tc>
          <w:tcPr>
            <w:tcW w:w="3345" w:type="dxa"/>
            <w:vMerge/>
          </w:tcPr>
          <w:p w14:paraId="43648C8E" w14:textId="77777777" w:rsidR="00454A29" w:rsidRDefault="00454A29"/>
        </w:tc>
        <w:tc>
          <w:tcPr>
            <w:tcW w:w="1701" w:type="dxa"/>
            <w:vAlign w:val="center"/>
          </w:tcPr>
          <w:p w14:paraId="037109A4" w14:textId="77777777" w:rsidR="00454A29" w:rsidRDefault="00454A29">
            <w:pPr>
              <w:pStyle w:val="ConsPlusNormal"/>
              <w:jc w:val="center"/>
            </w:pPr>
            <w:r>
              <w:t>2024</w:t>
            </w:r>
          </w:p>
        </w:tc>
        <w:tc>
          <w:tcPr>
            <w:tcW w:w="1417" w:type="dxa"/>
            <w:vMerge/>
          </w:tcPr>
          <w:p w14:paraId="228B9B31" w14:textId="77777777" w:rsidR="00454A29" w:rsidRDefault="00454A29"/>
        </w:tc>
        <w:tc>
          <w:tcPr>
            <w:tcW w:w="2204" w:type="dxa"/>
            <w:vMerge/>
          </w:tcPr>
          <w:p w14:paraId="60CD6CA2" w14:textId="77777777" w:rsidR="00454A29" w:rsidRDefault="00454A29"/>
        </w:tc>
        <w:tc>
          <w:tcPr>
            <w:tcW w:w="1417" w:type="dxa"/>
            <w:vMerge/>
          </w:tcPr>
          <w:p w14:paraId="43CD67C8" w14:textId="77777777" w:rsidR="00454A29" w:rsidRDefault="00454A29"/>
        </w:tc>
        <w:tc>
          <w:tcPr>
            <w:tcW w:w="2324" w:type="dxa"/>
            <w:vMerge/>
          </w:tcPr>
          <w:p w14:paraId="3A1330D5" w14:textId="77777777" w:rsidR="00454A29" w:rsidRDefault="00454A29"/>
        </w:tc>
        <w:tc>
          <w:tcPr>
            <w:tcW w:w="1701" w:type="dxa"/>
            <w:vAlign w:val="center"/>
          </w:tcPr>
          <w:p w14:paraId="0D4538AB" w14:textId="77777777" w:rsidR="00454A29" w:rsidRDefault="00454A29">
            <w:pPr>
              <w:pStyle w:val="ConsPlusNormal"/>
              <w:jc w:val="center"/>
            </w:pPr>
            <w:r>
              <w:t>42 295,58</w:t>
            </w:r>
          </w:p>
        </w:tc>
        <w:tc>
          <w:tcPr>
            <w:tcW w:w="1814" w:type="dxa"/>
            <w:vAlign w:val="center"/>
          </w:tcPr>
          <w:p w14:paraId="339BB111" w14:textId="77777777" w:rsidR="00454A29" w:rsidRDefault="00454A29">
            <w:pPr>
              <w:pStyle w:val="ConsPlusNormal"/>
              <w:jc w:val="center"/>
            </w:pPr>
            <w:r>
              <w:t>42 295,58</w:t>
            </w:r>
          </w:p>
        </w:tc>
        <w:tc>
          <w:tcPr>
            <w:tcW w:w="1701" w:type="dxa"/>
            <w:vAlign w:val="center"/>
          </w:tcPr>
          <w:p w14:paraId="76E4B4CF" w14:textId="77777777" w:rsidR="00454A29" w:rsidRDefault="00454A29">
            <w:pPr>
              <w:pStyle w:val="ConsPlusNormal"/>
            </w:pPr>
          </w:p>
        </w:tc>
        <w:tc>
          <w:tcPr>
            <w:tcW w:w="1701" w:type="dxa"/>
            <w:vAlign w:val="center"/>
          </w:tcPr>
          <w:p w14:paraId="3EF96F06" w14:textId="77777777" w:rsidR="00454A29" w:rsidRDefault="00454A29">
            <w:pPr>
              <w:pStyle w:val="ConsPlusNormal"/>
            </w:pPr>
          </w:p>
        </w:tc>
        <w:tc>
          <w:tcPr>
            <w:tcW w:w="1814" w:type="dxa"/>
            <w:vAlign w:val="center"/>
          </w:tcPr>
          <w:p w14:paraId="0224FC8B" w14:textId="77777777" w:rsidR="00454A29" w:rsidRDefault="00454A29">
            <w:pPr>
              <w:pStyle w:val="ConsPlusNormal"/>
            </w:pPr>
          </w:p>
        </w:tc>
      </w:tr>
      <w:tr w:rsidR="00454A29" w14:paraId="7186E20D" w14:textId="77777777">
        <w:tc>
          <w:tcPr>
            <w:tcW w:w="567" w:type="dxa"/>
            <w:vMerge/>
          </w:tcPr>
          <w:p w14:paraId="7332159A" w14:textId="77777777" w:rsidR="00454A29" w:rsidRDefault="00454A29"/>
        </w:tc>
        <w:tc>
          <w:tcPr>
            <w:tcW w:w="3345" w:type="dxa"/>
            <w:vMerge/>
          </w:tcPr>
          <w:p w14:paraId="63739CDE" w14:textId="77777777" w:rsidR="00454A29" w:rsidRDefault="00454A29"/>
        </w:tc>
        <w:tc>
          <w:tcPr>
            <w:tcW w:w="1701" w:type="dxa"/>
            <w:vAlign w:val="center"/>
          </w:tcPr>
          <w:p w14:paraId="6555EE73" w14:textId="77777777" w:rsidR="00454A29" w:rsidRDefault="00454A29">
            <w:pPr>
              <w:pStyle w:val="ConsPlusNormal"/>
              <w:jc w:val="center"/>
            </w:pPr>
            <w:r>
              <w:t>2025</w:t>
            </w:r>
          </w:p>
        </w:tc>
        <w:tc>
          <w:tcPr>
            <w:tcW w:w="1417" w:type="dxa"/>
            <w:vMerge/>
          </w:tcPr>
          <w:p w14:paraId="2CA9B102" w14:textId="77777777" w:rsidR="00454A29" w:rsidRDefault="00454A29"/>
        </w:tc>
        <w:tc>
          <w:tcPr>
            <w:tcW w:w="2204" w:type="dxa"/>
            <w:vMerge/>
          </w:tcPr>
          <w:p w14:paraId="04F85D8A" w14:textId="77777777" w:rsidR="00454A29" w:rsidRDefault="00454A29"/>
        </w:tc>
        <w:tc>
          <w:tcPr>
            <w:tcW w:w="1417" w:type="dxa"/>
            <w:vMerge/>
          </w:tcPr>
          <w:p w14:paraId="4729395F" w14:textId="77777777" w:rsidR="00454A29" w:rsidRDefault="00454A29"/>
        </w:tc>
        <w:tc>
          <w:tcPr>
            <w:tcW w:w="2324" w:type="dxa"/>
            <w:vMerge/>
          </w:tcPr>
          <w:p w14:paraId="138ABADF" w14:textId="77777777" w:rsidR="00454A29" w:rsidRDefault="00454A29"/>
        </w:tc>
        <w:tc>
          <w:tcPr>
            <w:tcW w:w="1701" w:type="dxa"/>
            <w:vAlign w:val="center"/>
          </w:tcPr>
          <w:p w14:paraId="4C2FA9D2" w14:textId="77777777" w:rsidR="00454A29" w:rsidRDefault="00454A29">
            <w:pPr>
              <w:pStyle w:val="ConsPlusNormal"/>
              <w:jc w:val="center"/>
            </w:pPr>
            <w:r>
              <w:t>-</w:t>
            </w:r>
          </w:p>
        </w:tc>
        <w:tc>
          <w:tcPr>
            <w:tcW w:w="1814" w:type="dxa"/>
            <w:vAlign w:val="center"/>
          </w:tcPr>
          <w:p w14:paraId="5B92A897" w14:textId="77777777" w:rsidR="00454A29" w:rsidRDefault="00454A29">
            <w:pPr>
              <w:pStyle w:val="ConsPlusNormal"/>
            </w:pPr>
          </w:p>
        </w:tc>
        <w:tc>
          <w:tcPr>
            <w:tcW w:w="1701" w:type="dxa"/>
            <w:vAlign w:val="center"/>
          </w:tcPr>
          <w:p w14:paraId="245A97C0" w14:textId="77777777" w:rsidR="00454A29" w:rsidRDefault="00454A29">
            <w:pPr>
              <w:pStyle w:val="ConsPlusNormal"/>
            </w:pPr>
          </w:p>
        </w:tc>
        <w:tc>
          <w:tcPr>
            <w:tcW w:w="1701" w:type="dxa"/>
            <w:vAlign w:val="center"/>
          </w:tcPr>
          <w:p w14:paraId="427C73FF" w14:textId="77777777" w:rsidR="00454A29" w:rsidRDefault="00454A29">
            <w:pPr>
              <w:pStyle w:val="ConsPlusNormal"/>
            </w:pPr>
          </w:p>
        </w:tc>
        <w:tc>
          <w:tcPr>
            <w:tcW w:w="1814" w:type="dxa"/>
            <w:vAlign w:val="center"/>
          </w:tcPr>
          <w:p w14:paraId="3B7ACFE9" w14:textId="77777777" w:rsidR="00454A29" w:rsidRDefault="00454A29">
            <w:pPr>
              <w:pStyle w:val="ConsPlusNormal"/>
            </w:pPr>
          </w:p>
        </w:tc>
      </w:tr>
      <w:tr w:rsidR="00454A29" w14:paraId="599A59BB" w14:textId="77777777">
        <w:tc>
          <w:tcPr>
            <w:tcW w:w="567" w:type="dxa"/>
            <w:vMerge/>
          </w:tcPr>
          <w:p w14:paraId="5E9B06B4" w14:textId="77777777" w:rsidR="00454A29" w:rsidRDefault="00454A29"/>
        </w:tc>
        <w:tc>
          <w:tcPr>
            <w:tcW w:w="3345" w:type="dxa"/>
            <w:vMerge/>
          </w:tcPr>
          <w:p w14:paraId="7C5D1C80" w14:textId="77777777" w:rsidR="00454A29" w:rsidRDefault="00454A29"/>
        </w:tc>
        <w:tc>
          <w:tcPr>
            <w:tcW w:w="1701" w:type="dxa"/>
            <w:vAlign w:val="center"/>
          </w:tcPr>
          <w:p w14:paraId="1B1B5709" w14:textId="77777777" w:rsidR="00454A29" w:rsidRDefault="00454A29">
            <w:pPr>
              <w:pStyle w:val="ConsPlusNormal"/>
              <w:jc w:val="center"/>
            </w:pPr>
            <w:r>
              <w:t>2026</w:t>
            </w:r>
          </w:p>
        </w:tc>
        <w:tc>
          <w:tcPr>
            <w:tcW w:w="1417" w:type="dxa"/>
            <w:vMerge/>
          </w:tcPr>
          <w:p w14:paraId="02E6A38E" w14:textId="77777777" w:rsidR="00454A29" w:rsidRDefault="00454A29"/>
        </w:tc>
        <w:tc>
          <w:tcPr>
            <w:tcW w:w="2204" w:type="dxa"/>
            <w:vMerge/>
          </w:tcPr>
          <w:p w14:paraId="651D234D" w14:textId="77777777" w:rsidR="00454A29" w:rsidRDefault="00454A29"/>
        </w:tc>
        <w:tc>
          <w:tcPr>
            <w:tcW w:w="1417" w:type="dxa"/>
            <w:vMerge/>
          </w:tcPr>
          <w:p w14:paraId="29E01AF7" w14:textId="77777777" w:rsidR="00454A29" w:rsidRDefault="00454A29"/>
        </w:tc>
        <w:tc>
          <w:tcPr>
            <w:tcW w:w="2324" w:type="dxa"/>
            <w:vMerge/>
          </w:tcPr>
          <w:p w14:paraId="157745FB" w14:textId="77777777" w:rsidR="00454A29" w:rsidRDefault="00454A29"/>
        </w:tc>
        <w:tc>
          <w:tcPr>
            <w:tcW w:w="1701" w:type="dxa"/>
            <w:vAlign w:val="center"/>
          </w:tcPr>
          <w:p w14:paraId="1BC47644" w14:textId="77777777" w:rsidR="00454A29" w:rsidRDefault="00454A29">
            <w:pPr>
              <w:pStyle w:val="ConsPlusNormal"/>
              <w:jc w:val="center"/>
            </w:pPr>
            <w:r>
              <w:t>-</w:t>
            </w:r>
          </w:p>
        </w:tc>
        <w:tc>
          <w:tcPr>
            <w:tcW w:w="1814" w:type="dxa"/>
            <w:vAlign w:val="center"/>
          </w:tcPr>
          <w:p w14:paraId="5AF9DE80" w14:textId="77777777" w:rsidR="00454A29" w:rsidRDefault="00454A29">
            <w:pPr>
              <w:pStyle w:val="ConsPlusNormal"/>
            </w:pPr>
          </w:p>
        </w:tc>
        <w:tc>
          <w:tcPr>
            <w:tcW w:w="1701" w:type="dxa"/>
            <w:vAlign w:val="center"/>
          </w:tcPr>
          <w:p w14:paraId="3ED9BF7F" w14:textId="77777777" w:rsidR="00454A29" w:rsidRDefault="00454A29">
            <w:pPr>
              <w:pStyle w:val="ConsPlusNormal"/>
            </w:pPr>
          </w:p>
        </w:tc>
        <w:tc>
          <w:tcPr>
            <w:tcW w:w="1701" w:type="dxa"/>
            <w:vAlign w:val="center"/>
          </w:tcPr>
          <w:p w14:paraId="429453A9" w14:textId="77777777" w:rsidR="00454A29" w:rsidRDefault="00454A29">
            <w:pPr>
              <w:pStyle w:val="ConsPlusNormal"/>
            </w:pPr>
          </w:p>
        </w:tc>
        <w:tc>
          <w:tcPr>
            <w:tcW w:w="1814" w:type="dxa"/>
            <w:vAlign w:val="center"/>
          </w:tcPr>
          <w:p w14:paraId="4F5A6325" w14:textId="77777777" w:rsidR="00454A29" w:rsidRDefault="00454A29">
            <w:pPr>
              <w:pStyle w:val="ConsPlusNormal"/>
            </w:pPr>
          </w:p>
        </w:tc>
      </w:tr>
      <w:tr w:rsidR="00454A29" w14:paraId="5414BBA6" w14:textId="77777777">
        <w:tc>
          <w:tcPr>
            <w:tcW w:w="567" w:type="dxa"/>
            <w:vMerge w:val="restart"/>
            <w:vAlign w:val="center"/>
          </w:tcPr>
          <w:p w14:paraId="11714C3A" w14:textId="77777777" w:rsidR="00454A29" w:rsidRDefault="00454A29">
            <w:pPr>
              <w:pStyle w:val="ConsPlusNormal"/>
              <w:jc w:val="center"/>
            </w:pPr>
            <w:r>
              <w:t>38</w:t>
            </w:r>
          </w:p>
        </w:tc>
        <w:tc>
          <w:tcPr>
            <w:tcW w:w="3345" w:type="dxa"/>
            <w:vMerge w:val="restart"/>
            <w:vAlign w:val="center"/>
          </w:tcPr>
          <w:p w14:paraId="4286191F" w14:textId="77777777" w:rsidR="00454A29" w:rsidRDefault="00454A29">
            <w:pPr>
              <w:pStyle w:val="ConsPlusNormal"/>
              <w:jc w:val="center"/>
            </w:pPr>
            <w:r>
              <w:t>Детский сад на 100 мест в г. Якутске, ул. Хабарова</w:t>
            </w:r>
          </w:p>
        </w:tc>
        <w:tc>
          <w:tcPr>
            <w:tcW w:w="1701" w:type="dxa"/>
            <w:vAlign w:val="center"/>
          </w:tcPr>
          <w:p w14:paraId="2D7EA21D" w14:textId="77777777" w:rsidR="00454A29" w:rsidRDefault="00454A29">
            <w:pPr>
              <w:pStyle w:val="ConsPlusNormal"/>
              <w:jc w:val="center"/>
            </w:pPr>
            <w:r>
              <w:t>2020 - 2026 годы - всего</w:t>
            </w:r>
          </w:p>
        </w:tc>
        <w:tc>
          <w:tcPr>
            <w:tcW w:w="1417" w:type="dxa"/>
            <w:vMerge w:val="restart"/>
            <w:vAlign w:val="center"/>
          </w:tcPr>
          <w:p w14:paraId="6E1E02EE" w14:textId="77777777" w:rsidR="00454A29" w:rsidRDefault="00454A29">
            <w:pPr>
              <w:pStyle w:val="ConsPlusNormal"/>
              <w:jc w:val="center"/>
            </w:pPr>
            <w:r>
              <w:t>167 604,18</w:t>
            </w:r>
          </w:p>
        </w:tc>
        <w:tc>
          <w:tcPr>
            <w:tcW w:w="2204" w:type="dxa"/>
            <w:vMerge w:val="restart"/>
            <w:vAlign w:val="center"/>
          </w:tcPr>
          <w:p w14:paraId="106360D8" w14:textId="77777777" w:rsidR="00454A29" w:rsidRDefault="00454A29">
            <w:pPr>
              <w:pStyle w:val="ConsPlusNormal"/>
            </w:pPr>
          </w:p>
        </w:tc>
        <w:tc>
          <w:tcPr>
            <w:tcW w:w="1417" w:type="dxa"/>
            <w:vMerge w:val="restart"/>
            <w:vAlign w:val="center"/>
          </w:tcPr>
          <w:p w14:paraId="4F870606" w14:textId="77777777" w:rsidR="00454A29" w:rsidRDefault="00454A29">
            <w:pPr>
              <w:pStyle w:val="ConsPlusNormal"/>
              <w:jc w:val="center"/>
            </w:pPr>
            <w:r>
              <w:t>100</w:t>
            </w:r>
          </w:p>
        </w:tc>
        <w:tc>
          <w:tcPr>
            <w:tcW w:w="2324" w:type="dxa"/>
            <w:vMerge w:val="restart"/>
            <w:vAlign w:val="center"/>
          </w:tcPr>
          <w:p w14:paraId="09FEFFE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6AD0895" w14:textId="77777777" w:rsidR="00454A29" w:rsidRDefault="00454A29">
            <w:pPr>
              <w:pStyle w:val="ConsPlusNormal"/>
              <w:jc w:val="center"/>
            </w:pPr>
            <w:r>
              <w:t>162 073,24</w:t>
            </w:r>
          </w:p>
        </w:tc>
        <w:tc>
          <w:tcPr>
            <w:tcW w:w="1814" w:type="dxa"/>
            <w:vAlign w:val="center"/>
          </w:tcPr>
          <w:p w14:paraId="072EFBAC" w14:textId="77777777" w:rsidR="00454A29" w:rsidRDefault="00454A29">
            <w:pPr>
              <w:pStyle w:val="ConsPlusNormal"/>
              <w:jc w:val="center"/>
            </w:pPr>
            <w:r>
              <w:t>167 604,18</w:t>
            </w:r>
          </w:p>
        </w:tc>
        <w:tc>
          <w:tcPr>
            <w:tcW w:w="1701" w:type="dxa"/>
            <w:vAlign w:val="center"/>
          </w:tcPr>
          <w:p w14:paraId="3079AA29" w14:textId="77777777" w:rsidR="00454A29" w:rsidRDefault="00454A29">
            <w:pPr>
              <w:pStyle w:val="ConsPlusNormal"/>
              <w:jc w:val="center"/>
            </w:pPr>
            <w:r>
              <w:t>-</w:t>
            </w:r>
          </w:p>
        </w:tc>
        <w:tc>
          <w:tcPr>
            <w:tcW w:w="1701" w:type="dxa"/>
            <w:vAlign w:val="center"/>
          </w:tcPr>
          <w:p w14:paraId="4681B4F8" w14:textId="77777777" w:rsidR="00454A29" w:rsidRDefault="00454A29">
            <w:pPr>
              <w:pStyle w:val="ConsPlusNormal"/>
              <w:jc w:val="center"/>
            </w:pPr>
            <w:r>
              <w:t>-</w:t>
            </w:r>
          </w:p>
        </w:tc>
        <w:tc>
          <w:tcPr>
            <w:tcW w:w="1814" w:type="dxa"/>
            <w:vAlign w:val="center"/>
          </w:tcPr>
          <w:p w14:paraId="79087245" w14:textId="77777777" w:rsidR="00454A29" w:rsidRDefault="00454A29">
            <w:pPr>
              <w:pStyle w:val="ConsPlusNormal"/>
              <w:jc w:val="center"/>
            </w:pPr>
            <w:r>
              <w:t>-</w:t>
            </w:r>
          </w:p>
        </w:tc>
      </w:tr>
      <w:tr w:rsidR="00454A29" w14:paraId="688AE015" w14:textId="77777777">
        <w:tc>
          <w:tcPr>
            <w:tcW w:w="567" w:type="dxa"/>
            <w:vMerge/>
          </w:tcPr>
          <w:p w14:paraId="3A6FAF70" w14:textId="77777777" w:rsidR="00454A29" w:rsidRDefault="00454A29"/>
        </w:tc>
        <w:tc>
          <w:tcPr>
            <w:tcW w:w="3345" w:type="dxa"/>
            <w:vMerge/>
          </w:tcPr>
          <w:p w14:paraId="69AA373F" w14:textId="77777777" w:rsidR="00454A29" w:rsidRDefault="00454A29"/>
        </w:tc>
        <w:tc>
          <w:tcPr>
            <w:tcW w:w="1701" w:type="dxa"/>
            <w:vAlign w:val="center"/>
          </w:tcPr>
          <w:p w14:paraId="42166ABE" w14:textId="77777777" w:rsidR="00454A29" w:rsidRDefault="00454A29">
            <w:pPr>
              <w:pStyle w:val="ConsPlusNormal"/>
              <w:jc w:val="center"/>
            </w:pPr>
            <w:r>
              <w:t>2020</w:t>
            </w:r>
          </w:p>
        </w:tc>
        <w:tc>
          <w:tcPr>
            <w:tcW w:w="1417" w:type="dxa"/>
            <w:vMerge/>
          </w:tcPr>
          <w:p w14:paraId="7109C25A" w14:textId="77777777" w:rsidR="00454A29" w:rsidRDefault="00454A29"/>
        </w:tc>
        <w:tc>
          <w:tcPr>
            <w:tcW w:w="2204" w:type="dxa"/>
            <w:vMerge/>
          </w:tcPr>
          <w:p w14:paraId="1E71F3E7" w14:textId="77777777" w:rsidR="00454A29" w:rsidRDefault="00454A29"/>
        </w:tc>
        <w:tc>
          <w:tcPr>
            <w:tcW w:w="1417" w:type="dxa"/>
            <w:vMerge/>
          </w:tcPr>
          <w:p w14:paraId="14A6AC7A" w14:textId="77777777" w:rsidR="00454A29" w:rsidRDefault="00454A29"/>
        </w:tc>
        <w:tc>
          <w:tcPr>
            <w:tcW w:w="2324" w:type="dxa"/>
            <w:vMerge/>
          </w:tcPr>
          <w:p w14:paraId="593389B4" w14:textId="77777777" w:rsidR="00454A29" w:rsidRDefault="00454A29"/>
        </w:tc>
        <w:tc>
          <w:tcPr>
            <w:tcW w:w="1701" w:type="dxa"/>
            <w:vAlign w:val="center"/>
          </w:tcPr>
          <w:p w14:paraId="29369FE0" w14:textId="77777777" w:rsidR="00454A29" w:rsidRDefault="00454A29">
            <w:pPr>
              <w:pStyle w:val="ConsPlusNormal"/>
              <w:jc w:val="center"/>
            </w:pPr>
            <w:r>
              <w:t>-</w:t>
            </w:r>
          </w:p>
        </w:tc>
        <w:tc>
          <w:tcPr>
            <w:tcW w:w="1814" w:type="dxa"/>
            <w:vAlign w:val="center"/>
          </w:tcPr>
          <w:p w14:paraId="2FA013EA" w14:textId="77777777" w:rsidR="00454A29" w:rsidRDefault="00454A29">
            <w:pPr>
              <w:pStyle w:val="ConsPlusNormal"/>
            </w:pPr>
          </w:p>
        </w:tc>
        <w:tc>
          <w:tcPr>
            <w:tcW w:w="1701" w:type="dxa"/>
            <w:vAlign w:val="center"/>
          </w:tcPr>
          <w:p w14:paraId="2B28D30C" w14:textId="77777777" w:rsidR="00454A29" w:rsidRDefault="00454A29">
            <w:pPr>
              <w:pStyle w:val="ConsPlusNormal"/>
            </w:pPr>
          </w:p>
        </w:tc>
        <w:tc>
          <w:tcPr>
            <w:tcW w:w="1701" w:type="dxa"/>
            <w:vAlign w:val="center"/>
          </w:tcPr>
          <w:p w14:paraId="5835416F" w14:textId="77777777" w:rsidR="00454A29" w:rsidRDefault="00454A29">
            <w:pPr>
              <w:pStyle w:val="ConsPlusNormal"/>
            </w:pPr>
          </w:p>
        </w:tc>
        <w:tc>
          <w:tcPr>
            <w:tcW w:w="1814" w:type="dxa"/>
            <w:vAlign w:val="center"/>
          </w:tcPr>
          <w:p w14:paraId="0E1C2382" w14:textId="77777777" w:rsidR="00454A29" w:rsidRDefault="00454A29">
            <w:pPr>
              <w:pStyle w:val="ConsPlusNormal"/>
            </w:pPr>
          </w:p>
        </w:tc>
      </w:tr>
      <w:tr w:rsidR="00454A29" w14:paraId="5ADC4E12" w14:textId="77777777">
        <w:tc>
          <w:tcPr>
            <w:tcW w:w="567" w:type="dxa"/>
            <w:vMerge/>
          </w:tcPr>
          <w:p w14:paraId="32C365C3" w14:textId="77777777" w:rsidR="00454A29" w:rsidRDefault="00454A29"/>
        </w:tc>
        <w:tc>
          <w:tcPr>
            <w:tcW w:w="3345" w:type="dxa"/>
            <w:vMerge/>
          </w:tcPr>
          <w:p w14:paraId="0D23C568" w14:textId="77777777" w:rsidR="00454A29" w:rsidRDefault="00454A29"/>
        </w:tc>
        <w:tc>
          <w:tcPr>
            <w:tcW w:w="1701" w:type="dxa"/>
            <w:vAlign w:val="center"/>
          </w:tcPr>
          <w:p w14:paraId="3058D8E9" w14:textId="77777777" w:rsidR="00454A29" w:rsidRDefault="00454A29">
            <w:pPr>
              <w:pStyle w:val="ConsPlusNormal"/>
              <w:jc w:val="center"/>
            </w:pPr>
            <w:r>
              <w:t>2021</w:t>
            </w:r>
          </w:p>
        </w:tc>
        <w:tc>
          <w:tcPr>
            <w:tcW w:w="1417" w:type="dxa"/>
            <w:vMerge/>
          </w:tcPr>
          <w:p w14:paraId="5B8629FA" w14:textId="77777777" w:rsidR="00454A29" w:rsidRDefault="00454A29"/>
        </w:tc>
        <w:tc>
          <w:tcPr>
            <w:tcW w:w="2204" w:type="dxa"/>
            <w:vMerge/>
          </w:tcPr>
          <w:p w14:paraId="450532AA" w14:textId="77777777" w:rsidR="00454A29" w:rsidRDefault="00454A29"/>
        </w:tc>
        <w:tc>
          <w:tcPr>
            <w:tcW w:w="1417" w:type="dxa"/>
            <w:vMerge/>
          </w:tcPr>
          <w:p w14:paraId="73756B3D" w14:textId="77777777" w:rsidR="00454A29" w:rsidRDefault="00454A29"/>
        </w:tc>
        <w:tc>
          <w:tcPr>
            <w:tcW w:w="2324" w:type="dxa"/>
            <w:vMerge/>
          </w:tcPr>
          <w:p w14:paraId="7A9FE7EF" w14:textId="77777777" w:rsidR="00454A29" w:rsidRDefault="00454A29"/>
        </w:tc>
        <w:tc>
          <w:tcPr>
            <w:tcW w:w="1701" w:type="dxa"/>
            <w:vAlign w:val="center"/>
          </w:tcPr>
          <w:p w14:paraId="6391C7DD" w14:textId="77777777" w:rsidR="00454A29" w:rsidRDefault="00454A29">
            <w:pPr>
              <w:pStyle w:val="ConsPlusNormal"/>
              <w:jc w:val="center"/>
            </w:pPr>
            <w:r>
              <w:t>-</w:t>
            </w:r>
          </w:p>
        </w:tc>
        <w:tc>
          <w:tcPr>
            <w:tcW w:w="1814" w:type="dxa"/>
            <w:vAlign w:val="center"/>
          </w:tcPr>
          <w:p w14:paraId="6AAD55DB" w14:textId="77777777" w:rsidR="00454A29" w:rsidRDefault="00454A29">
            <w:pPr>
              <w:pStyle w:val="ConsPlusNormal"/>
            </w:pPr>
          </w:p>
        </w:tc>
        <w:tc>
          <w:tcPr>
            <w:tcW w:w="1701" w:type="dxa"/>
            <w:vAlign w:val="center"/>
          </w:tcPr>
          <w:p w14:paraId="16C393F8" w14:textId="77777777" w:rsidR="00454A29" w:rsidRDefault="00454A29">
            <w:pPr>
              <w:pStyle w:val="ConsPlusNormal"/>
            </w:pPr>
          </w:p>
        </w:tc>
        <w:tc>
          <w:tcPr>
            <w:tcW w:w="1701" w:type="dxa"/>
            <w:vAlign w:val="center"/>
          </w:tcPr>
          <w:p w14:paraId="681049AA" w14:textId="77777777" w:rsidR="00454A29" w:rsidRDefault="00454A29">
            <w:pPr>
              <w:pStyle w:val="ConsPlusNormal"/>
            </w:pPr>
          </w:p>
        </w:tc>
        <w:tc>
          <w:tcPr>
            <w:tcW w:w="1814" w:type="dxa"/>
            <w:vAlign w:val="center"/>
          </w:tcPr>
          <w:p w14:paraId="53E6DDEA" w14:textId="77777777" w:rsidR="00454A29" w:rsidRDefault="00454A29">
            <w:pPr>
              <w:pStyle w:val="ConsPlusNormal"/>
            </w:pPr>
          </w:p>
        </w:tc>
      </w:tr>
      <w:tr w:rsidR="00454A29" w14:paraId="663899C1" w14:textId="77777777">
        <w:tc>
          <w:tcPr>
            <w:tcW w:w="567" w:type="dxa"/>
            <w:vMerge/>
          </w:tcPr>
          <w:p w14:paraId="50ABF03D" w14:textId="77777777" w:rsidR="00454A29" w:rsidRDefault="00454A29"/>
        </w:tc>
        <w:tc>
          <w:tcPr>
            <w:tcW w:w="3345" w:type="dxa"/>
            <w:vMerge/>
          </w:tcPr>
          <w:p w14:paraId="6F2C3CFB" w14:textId="77777777" w:rsidR="00454A29" w:rsidRDefault="00454A29"/>
        </w:tc>
        <w:tc>
          <w:tcPr>
            <w:tcW w:w="1701" w:type="dxa"/>
            <w:vAlign w:val="center"/>
          </w:tcPr>
          <w:p w14:paraId="0F2C6DCF" w14:textId="77777777" w:rsidR="00454A29" w:rsidRDefault="00454A29">
            <w:pPr>
              <w:pStyle w:val="ConsPlusNormal"/>
              <w:jc w:val="center"/>
            </w:pPr>
            <w:r>
              <w:t>2022</w:t>
            </w:r>
          </w:p>
        </w:tc>
        <w:tc>
          <w:tcPr>
            <w:tcW w:w="1417" w:type="dxa"/>
            <w:vMerge/>
          </w:tcPr>
          <w:p w14:paraId="367D6528" w14:textId="77777777" w:rsidR="00454A29" w:rsidRDefault="00454A29"/>
        </w:tc>
        <w:tc>
          <w:tcPr>
            <w:tcW w:w="2204" w:type="dxa"/>
            <w:vMerge/>
          </w:tcPr>
          <w:p w14:paraId="039E89E6" w14:textId="77777777" w:rsidR="00454A29" w:rsidRDefault="00454A29"/>
        </w:tc>
        <w:tc>
          <w:tcPr>
            <w:tcW w:w="1417" w:type="dxa"/>
            <w:vMerge/>
          </w:tcPr>
          <w:p w14:paraId="741CF247" w14:textId="77777777" w:rsidR="00454A29" w:rsidRDefault="00454A29"/>
        </w:tc>
        <w:tc>
          <w:tcPr>
            <w:tcW w:w="2324" w:type="dxa"/>
            <w:vMerge/>
          </w:tcPr>
          <w:p w14:paraId="158770B4" w14:textId="77777777" w:rsidR="00454A29" w:rsidRDefault="00454A29"/>
        </w:tc>
        <w:tc>
          <w:tcPr>
            <w:tcW w:w="1701" w:type="dxa"/>
            <w:vAlign w:val="center"/>
          </w:tcPr>
          <w:p w14:paraId="07FB53E1" w14:textId="77777777" w:rsidR="00454A29" w:rsidRDefault="00454A29">
            <w:pPr>
              <w:pStyle w:val="ConsPlusNormal"/>
              <w:jc w:val="center"/>
            </w:pPr>
            <w:r>
              <w:t>-</w:t>
            </w:r>
          </w:p>
        </w:tc>
        <w:tc>
          <w:tcPr>
            <w:tcW w:w="1814" w:type="dxa"/>
            <w:vAlign w:val="center"/>
          </w:tcPr>
          <w:p w14:paraId="4FCD91D7" w14:textId="77777777" w:rsidR="00454A29" w:rsidRDefault="00454A29">
            <w:pPr>
              <w:pStyle w:val="ConsPlusNormal"/>
            </w:pPr>
          </w:p>
        </w:tc>
        <w:tc>
          <w:tcPr>
            <w:tcW w:w="1701" w:type="dxa"/>
            <w:vAlign w:val="center"/>
          </w:tcPr>
          <w:p w14:paraId="1C60BA4D" w14:textId="77777777" w:rsidR="00454A29" w:rsidRDefault="00454A29">
            <w:pPr>
              <w:pStyle w:val="ConsPlusNormal"/>
            </w:pPr>
          </w:p>
        </w:tc>
        <w:tc>
          <w:tcPr>
            <w:tcW w:w="1701" w:type="dxa"/>
            <w:vAlign w:val="center"/>
          </w:tcPr>
          <w:p w14:paraId="45D7E39B" w14:textId="77777777" w:rsidR="00454A29" w:rsidRDefault="00454A29">
            <w:pPr>
              <w:pStyle w:val="ConsPlusNormal"/>
            </w:pPr>
          </w:p>
        </w:tc>
        <w:tc>
          <w:tcPr>
            <w:tcW w:w="1814" w:type="dxa"/>
            <w:vAlign w:val="center"/>
          </w:tcPr>
          <w:p w14:paraId="06437DAA" w14:textId="77777777" w:rsidR="00454A29" w:rsidRDefault="00454A29">
            <w:pPr>
              <w:pStyle w:val="ConsPlusNormal"/>
            </w:pPr>
          </w:p>
        </w:tc>
      </w:tr>
      <w:tr w:rsidR="00454A29" w14:paraId="50BB76EF" w14:textId="77777777">
        <w:tc>
          <w:tcPr>
            <w:tcW w:w="567" w:type="dxa"/>
            <w:vMerge/>
          </w:tcPr>
          <w:p w14:paraId="246F6764" w14:textId="77777777" w:rsidR="00454A29" w:rsidRDefault="00454A29"/>
        </w:tc>
        <w:tc>
          <w:tcPr>
            <w:tcW w:w="3345" w:type="dxa"/>
            <w:vMerge/>
          </w:tcPr>
          <w:p w14:paraId="60DE3ED8" w14:textId="77777777" w:rsidR="00454A29" w:rsidRDefault="00454A29"/>
        </w:tc>
        <w:tc>
          <w:tcPr>
            <w:tcW w:w="1701" w:type="dxa"/>
            <w:vAlign w:val="center"/>
          </w:tcPr>
          <w:p w14:paraId="491DC44D" w14:textId="77777777" w:rsidR="00454A29" w:rsidRDefault="00454A29">
            <w:pPr>
              <w:pStyle w:val="ConsPlusNormal"/>
              <w:jc w:val="center"/>
            </w:pPr>
            <w:r>
              <w:t>2023</w:t>
            </w:r>
          </w:p>
        </w:tc>
        <w:tc>
          <w:tcPr>
            <w:tcW w:w="1417" w:type="dxa"/>
            <w:vMerge/>
          </w:tcPr>
          <w:p w14:paraId="1600A407" w14:textId="77777777" w:rsidR="00454A29" w:rsidRDefault="00454A29"/>
        </w:tc>
        <w:tc>
          <w:tcPr>
            <w:tcW w:w="2204" w:type="dxa"/>
            <w:vMerge/>
          </w:tcPr>
          <w:p w14:paraId="31A16328" w14:textId="77777777" w:rsidR="00454A29" w:rsidRDefault="00454A29"/>
        </w:tc>
        <w:tc>
          <w:tcPr>
            <w:tcW w:w="1417" w:type="dxa"/>
            <w:vMerge/>
          </w:tcPr>
          <w:p w14:paraId="1765BB5E" w14:textId="77777777" w:rsidR="00454A29" w:rsidRDefault="00454A29"/>
        </w:tc>
        <w:tc>
          <w:tcPr>
            <w:tcW w:w="2324" w:type="dxa"/>
            <w:vMerge/>
          </w:tcPr>
          <w:p w14:paraId="34D1C3B7" w14:textId="77777777" w:rsidR="00454A29" w:rsidRDefault="00454A29"/>
        </w:tc>
        <w:tc>
          <w:tcPr>
            <w:tcW w:w="1701" w:type="dxa"/>
            <w:vAlign w:val="center"/>
          </w:tcPr>
          <w:p w14:paraId="6E4E10A7" w14:textId="77777777" w:rsidR="00454A29" w:rsidRDefault="00454A29">
            <w:pPr>
              <w:pStyle w:val="ConsPlusNormal"/>
              <w:jc w:val="center"/>
            </w:pPr>
            <w:r>
              <w:t>-</w:t>
            </w:r>
          </w:p>
        </w:tc>
        <w:tc>
          <w:tcPr>
            <w:tcW w:w="1814" w:type="dxa"/>
            <w:vAlign w:val="center"/>
          </w:tcPr>
          <w:p w14:paraId="43E1DA51" w14:textId="77777777" w:rsidR="00454A29" w:rsidRDefault="00454A29">
            <w:pPr>
              <w:pStyle w:val="ConsPlusNormal"/>
            </w:pPr>
          </w:p>
        </w:tc>
        <w:tc>
          <w:tcPr>
            <w:tcW w:w="1701" w:type="dxa"/>
            <w:vAlign w:val="center"/>
          </w:tcPr>
          <w:p w14:paraId="4A8134CF" w14:textId="77777777" w:rsidR="00454A29" w:rsidRDefault="00454A29">
            <w:pPr>
              <w:pStyle w:val="ConsPlusNormal"/>
            </w:pPr>
          </w:p>
        </w:tc>
        <w:tc>
          <w:tcPr>
            <w:tcW w:w="1701" w:type="dxa"/>
            <w:vAlign w:val="center"/>
          </w:tcPr>
          <w:p w14:paraId="59D3CBCE" w14:textId="77777777" w:rsidR="00454A29" w:rsidRDefault="00454A29">
            <w:pPr>
              <w:pStyle w:val="ConsPlusNormal"/>
            </w:pPr>
          </w:p>
        </w:tc>
        <w:tc>
          <w:tcPr>
            <w:tcW w:w="1814" w:type="dxa"/>
            <w:vAlign w:val="center"/>
          </w:tcPr>
          <w:p w14:paraId="2D3E792D" w14:textId="77777777" w:rsidR="00454A29" w:rsidRDefault="00454A29">
            <w:pPr>
              <w:pStyle w:val="ConsPlusNormal"/>
            </w:pPr>
          </w:p>
        </w:tc>
      </w:tr>
      <w:tr w:rsidR="00454A29" w14:paraId="66EA9EDE" w14:textId="77777777">
        <w:tc>
          <w:tcPr>
            <w:tcW w:w="567" w:type="dxa"/>
            <w:vMerge/>
          </w:tcPr>
          <w:p w14:paraId="42CE8285" w14:textId="77777777" w:rsidR="00454A29" w:rsidRDefault="00454A29"/>
        </w:tc>
        <w:tc>
          <w:tcPr>
            <w:tcW w:w="3345" w:type="dxa"/>
            <w:vMerge/>
          </w:tcPr>
          <w:p w14:paraId="0771FE0A" w14:textId="77777777" w:rsidR="00454A29" w:rsidRDefault="00454A29"/>
        </w:tc>
        <w:tc>
          <w:tcPr>
            <w:tcW w:w="1701" w:type="dxa"/>
            <w:vAlign w:val="center"/>
          </w:tcPr>
          <w:p w14:paraId="3B2B7151" w14:textId="77777777" w:rsidR="00454A29" w:rsidRDefault="00454A29">
            <w:pPr>
              <w:pStyle w:val="ConsPlusNormal"/>
              <w:jc w:val="center"/>
            </w:pPr>
            <w:r>
              <w:t>2024</w:t>
            </w:r>
          </w:p>
        </w:tc>
        <w:tc>
          <w:tcPr>
            <w:tcW w:w="1417" w:type="dxa"/>
            <w:vMerge/>
          </w:tcPr>
          <w:p w14:paraId="0CA7064C" w14:textId="77777777" w:rsidR="00454A29" w:rsidRDefault="00454A29"/>
        </w:tc>
        <w:tc>
          <w:tcPr>
            <w:tcW w:w="2204" w:type="dxa"/>
            <w:vMerge/>
          </w:tcPr>
          <w:p w14:paraId="7EA94B3A" w14:textId="77777777" w:rsidR="00454A29" w:rsidRDefault="00454A29"/>
        </w:tc>
        <w:tc>
          <w:tcPr>
            <w:tcW w:w="1417" w:type="dxa"/>
            <w:vMerge/>
          </w:tcPr>
          <w:p w14:paraId="3FB7E40F" w14:textId="77777777" w:rsidR="00454A29" w:rsidRDefault="00454A29"/>
        </w:tc>
        <w:tc>
          <w:tcPr>
            <w:tcW w:w="2324" w:type="dxa"/>
            <w:vMerge/>
          </w:tcPr>
          <w:p w14:paraId="0CB4F42F" w14:textId="77777777" w:rsidR="00454A29" w:rsidRDefault="00454A29"/>
        </w:tc>
        <w:tc>
          <w:tcPr>
            <w:tcW w:w="1701" w:type="dxa"/>
            <w:vAlign w:val="center"/>
          </w:tcPr>
          <w:p w14:paraId="150875A9" w14:textId="77777777" w:rsidR="00454A29" w:rsidRDefault="00454A29">
            <w:pPr>
              <w:pStyle w:val="ConsPlusNormal"/>
              <w:jc w:val="center"/>
            </w:pPr>
            <w:r>
              <w:t>56 063,60</w:t>
            </w:r>
          </w:p>
        </w:tc>
        <w:tc>
          <w:tcPr>
            <w:tcW w:w="1814" w:type="dxa"/>
            <w:vAlign w:val="center"/>
          </w:tcPr>
          <w:p w14:paraId="00968BEC" w14:textId="77777777" w:rsidR="00454A29" w:rsidRDefault="00454A29">
            <w:pPr>
              <w:pStyle w:val="ConsPlusNormal"/>
              <w:jc w:val="center"/>
            </w:pPr>
            <w:r>
              <w:t>56 063,60</w:t>
            </w:r>
          </w:p>
        </w:tc>
        <w:tc>
          <w:tcPr>
            <w:tcW w:w="1701" w:type="dxa"/>
            <w:vAlign w:val="center"/>
          </w:tcPr>
          <w:p w14:paraId="2A8280B4" w14:textId="77777777" w:rsidR="00454A29" w:rsidRDefault="00454A29">
            <w:pPr>
              <w:pStyle w:val="ConsPlusNormal"/>
            </w:pPr>
          </w:p>
        </w:tc>
        <w:tc>
          <w:tcPr>
            <w:tcW w:w="1701" w:type="dxa"/>
            <w:vAlign w:val="center"/>
          </w:tcPr>
          <w:p w14:paraId="6B90340F" w14:textId="77777777" w:rsidR="00454A29" w:rsidRDefault="00454A29">
            <w:pPr>
              <w:pStyle w:val="ConsPlusNormal"/>
            </w:pPr>
          </w:p>
        </w:tc>
        <w:tc>
          <w:tcPr>
            <w:tcW w:w="1814" w:type="dxa"/>
            <w:vAlign w:val="center"/>
          </w:tcPr>
          <w:p w14:paraId="162A1169" w14:textId="77777777" w:rsidR="00454A29" w:rsidRDefault="00454A29">
            <w:pPr>
              <w:pStyle w:val="ConsPlusNormal"/>
            </w:pPr>
          </w:p>
        </w:tc>
      </w:tr>
      <w:tr w:rsidR="00454A29" w14:paraId="05C10E09" w14:textId="77777777">
        <w:tc>
          <w:tcPr>
            <w:tcW w:w="567" w:type="dxa"/>
            <w:vMerge/>
          </w:tcPr>
          <w:p w14:paraId="51DD8D8E" w14:textId="77777777" w:rsidR="00454A29" w:rsidRDefault="00454A29"/>
        </w:tc>
        <w:tc>
          <w:tcPr>
            <w:tcW w:w="3345" w:type="dxa"/>
            <w:vMerge/>
          </w:tcPr>
          <w:p w14:paraId="3B8C516F" w14:textId="77777777" w:rsidR="00454A29" w:rsidRDefault="00454A29"/>
        </w:tc>
        <w:tc>
          <w:tcPr>
            <w:tcW w:w="1701" w:type="dxa"/>
            <w:vAlign w:val="center"/>
          </w:tcPr>
          <w:p w14:paraId="111CE8CB" w14:textId="77777777" w:rsidR="00454A29" w:rsidRDefault="00454A29">
            <w:pPr>
              <w:pStyle w:val="ConsPlusNormal"/>
              <w:jc w:val="center"/>
            </w:pPr>
            <w:r>
              <w:t>2025</w:t>
            </w:r>
          </w:p>
        </w:tc>
        <w:tc>
          <w:tcPr>
            <w:tcW w:w="1417" w:type="dxa"/>
            <w:vMerge/>
          </w:tcPr>
          <w:p w14:paraId="1D1B6294" w14:textId="77777777" w:rsidR="00454A29" w:rsidRDefault="00454A29"/>
        </w:tc>
        <w:tc>
          <w:tcPr>
            <w:tcW w:w="2204" w:type="dxa"/>
            <w:vMerge/>
          </w:tcPr>
          <w:p w14:paraId="3EA18F66" w14:textId="77777777" w:rsidR="00454A29" w:rsidRDefault="00454A29"/>
        </w:tc>
        <w:tc>
          <w:tcPr>
            <w:tcW w:w="1417" w:type="dxa"/>
            <w:vMerge/>
          </w:tcPr>
          <w:p w14:paraId="57070868" w14:textId="77777777" w:rsidR="00454A29" w:rsidRDefault="00454A29"/>
        </w:tc>
        <w:tc>
          <w:tcPr>
            <w:tcW w:w="2324" w:type="dxa"/>
            <w:vMerge/>
          </w:tcPr>
          <w:p w14:paraId="43DA5B24" w14:textId="77777777" w:rsidR="00454A29" w:rsidRDefault="00454A29"/>
        </w:tc>
        <w:tc>
          <w:tcPr>
            <w:tcW w:w="1701" w:type="dxa"/>
            <w:vAlign w:val="center"/>
          </w:tcPr>
          <w:p w14:paraId="2AE75A5B" w14:textId="77777777" w:rsidR="00454A29" w:rsidRDefault="00454A29">
            <w:pPr>
              <w:pStyle w:val="ConsPlusNormal"/>
              <w:jc w:val="center"/>
            </w:pPr>
            <w:r>
              <w:t>106 009,64</w:t>
            </w:r>
          </w:p>
        </w:tc>
        <w:tc>
          <w:tcPr>
            <w:tcW w:w="1814" w:type="dxa"/>
            <w:vAlign w:val="center"/>
          </w:tcPr>
          <w:p w14:paraId="08822C94" w14:textId="77777777" w:rsidR="00454A29" w:rsidRDefault="00454A29">
            <w:pPr>
              <w:pStyle w:val="ConsPlusNormal"/>
              <w:jc w:val="center"/>
            </w:pPr>
            <w:r>
              <w:t>106 009,64</w:t>
            </w:r>
          </w:p>
        </w:tc>
        <w:tc>
          <w:tcPr>
            <w:tcW w:w="1701" w:type="dxa"/>
            <w:vAlign w:val="center"/>
          </w:tcPr>
          <w:p w14:paraId="04F4E33D" w14:textId="77777777" w:rsidR="00454A29" w:rsidRDefault="00454A29">
            <w:pPr>
              <w:pStyle w:val="ConsPlusNormal"/>
            </w:pPr>
          </w:p>
        </w:tc>
        <w:tc>
          <w:tcPr>
            <w:tcW w:w="1701" w:type="dxa"/>
            <w:vAlign w:val="center"/>
          </w:tcPr>
          <w:p w14:paraId="41BE5AD9" w14:textId="77777777" w:rsidR="00454A29" w:rsidRDefault="00454A29">
            <w:pPr>
              <w:pStyle w:val="ConsPlusNormal"/>
            </w:pPr>
          </w:p>
        </w:tc>
        <w:tc>
          <w:tcPr>
            <w:tcW w:w="1814" w:type="dxa"/>
            <w:vAlign w:val="center"/>
          </w:tcPr>
          <w:p w14:paraId="3EB01FCF" w14:textId="77777777" w:rsidR="00454A29" w:rsidRDefault="00454A29">
            <w:pPr>
              <w:pStyle w:val="ConsPlusNormal"/>
            </w:pPr>
          </w:p>
        </w:tc>
      </w:tr>
      <w:tr w:rsidR="00454A29" w14:paraId="7E5219EF" w14:textId="77777777">
        <w:tc>
          <w:tcPr>
            <w:tcW w:w="567" w:type="dxa"/>
            <w:vMerge/>
          </w:tcPr>
          <w:p w14:paraId="5A442DD5" w14:textId="77777777" w:rsidR="00454A29" w:rsidRDefault="00454A29"/>
        </w:tc>
        <w:tc>
          <w:tcPr>
            <w:tcW w:w="3345" w:type="dxa"/>
            <w:vMerge/>
          </w:tcPr>
          <w:p w14:paraId="049F37EC" w14:textId="77777777" w:rsidR="00454A29" w:rsidRDefault="00454A29"/>
        </w:tc>
        <w:tc>
          <w:tcPr>
            <w:tcW w:w="1701" w:type="dxa"/>
            <w:vAlign w:val="center"/>
          </w:tcPr>
          <w:p w14:paraId="6B310FA8" w14:textId="77777777" w:rsidR="00454A29" w:rsidRDefault="00454A29">
            <w:pPr>
              <w:pStyle w:val="ConsPlusNormal"/>
              <w:jc w:val="center"/>
            </w:pPr>
            <w:r>
              <w:t>2026</w:t>
            </w:r>
          </w:p>
        </w:tc>
        <w:tc>
          <w:tcPr>
            <w:tcW w:w="1417" w:type="dxa"/>
            <w:vMerge/>
          </w:tcPr>
          <w:p w14:paraId="54327F57" w14:textId="77777777" w:rsidR="00454A29" w:rsidRDefault="00454A29"/>
        </w:tc>
        <w:tc>
          <w:tcPr>
            <w:tcW w:w="2204" w:type="dxa"/>
            <w:vMerge/>
          </w:tcPr>
          <w:p w14:paraId="304C083E" w14:textId="77777777" w:rsidR="00454A29" w:rsidRDefault="00454A29"/>
        </w:tc>
        <w:tc>
          <w:tcPr>
            <w:tcW w:w="1417" w:type="dxa"/>
            <w:vMerge/>
          </w:tcPr>
          <w:p w14:paraId="6FE511FB" w14:textId="77777777" w:rsidR="00454A29" w:rsidRDefault="00454A29"/>
        </w:tc>
        <w:tc>
          <w:tcPr>
            <w:tcW w:w="2324" w:type="dxa"/>
            <w:vMerge/>
          </w:tcPr>
          <w:p w14:paraId="41EFB3C2" w14:textId="77777777" w:rsidR="00454A29" w:rsidRDefault="00454A29"/>
        </w:tc>
        <w:tc>
          <w:tcPr>
            <w:tcW w:w="1701" w:type="dxa"/>
            <w:vAlign w:val="center"/>
          </w:tcPr>
          <w:p w14:paraId="23CFF0C5" w14:textId="77777777" w:rsidR="00454A29" w:rsidRDefault="00454A29">
            <w:pPr>
              <w:pStyle w:val="ConsPlusNormal"/>
              <w:jc w:val="center"/>
            </w:pPr>
            <w:r>
              <w:t>-</w:t>
            </w:r>
          </w:p>
        </w:tc>
        <w:tc>
          <w:tcPr>
            <w:tcW w:w="1814" w:type="dxa"/>
            <w:vAlign w:val="center"/>
          </w:tcPr>
          <w:p w14:paraId="7B54807E" w14:textId="77777777" w:rsidR="00454A29" w:rsidRDefault="00454A29">
            <w:pPr>
              <w:pStyle w:val="ConsPlusNormal"/>
            </w:pPr>
          </w:p>
        </w:tc>
        <w:tc>
          <w:tcPr>
            <w:tcW w:w="1701" w:type="dxa"/>
            <w:vAlign w:val="center"/>
          </w:tcPr>
          <w:p w14:paraId="73D25430" w14:textId="77777777" w:rsidR="00454A29" w:rsidRDefault="00454A29">
            <w:pPr>
              <w:pStyle w:val="ConsPlusNormal"/>
            </w:pPr>
          </w:p>
        </w:tc>
        <w:tc>
          <w:tcPr>
            <w:tcW w:w="1701" w:type="dxa"/>
            <w:vAlign w:val="center"/>
          </w:tcPr>
          <w:p w14:paraId="66F49D5C" w14:textId="77777777" w:rsidR="00454A29" w:rsidRDefault="00454A29">
            <w:pPr>
              <w:pStyle w:val="ConsPlusNormal"/>
            </w:pPr>
          </w:p>
        </w:tc>
        <w:tc>
          <w:tcPr>
            <w:tcW w:w="1814" w:type="dxa"/>
            <w:vAlign w:val="center"/>
          </w:tcPr>
          <w:p w14:paraId="5145D03A" w14:textId="77777777" w:rsidR="00454A29" w:rsidRDefault="00454A29">
            <w:pPr>
              <w:pStyle w:val="ConsPlusNormal"/>
            </w:pPr>
          </w:p>
        </w:tc>
      </w:tr>
      <w:tr w:rsidR="00454A29" w14:paraId="24DB0736" w14:textId="77777777">
        <w:tc>
          <w:tcPr>
            <w:tcW w:w="567" w:type="dxa"/>
            <w:vMerge w:val="restart"/>
            <w:vAlign w:val="center"/>
          </w:tcPr>
          <w:p w14:paraId="2EB9D000" w14:textId="77777777" w:rsidR="00454A29" w:rsidRDefault="00454A29">
            <w:pPr>
              <w:pStyle w:val="ConsPlusNormal"/>
              <w:jc w:val="center"/>
            </w:pPr>
            <w:r>
              <w:t>39</w:t>
            </w:r>
          </w:p>
        </w:tc>
        <w:tc>
          <w:tcPr>
            <w:tcW w:w="3345" w:type="dxa"/>
            <w:vMerge w:val="restart"/>
            <w:vAlign w:val="center"/>
          </w:tcPr>
          <w:p w14:paraId="296D5250" w14:textId="77777777" w:rsidR="00454A29" w:rsidRDefault="00454A29">
            <w:pPr>
              <w:pStyle w:val="ConsPlusNormal"/>
              <w:jc w:val="center"/>
            </w:pPr>
            <w:r>
              <w:t>Детский сад в г. Якутске на 240 мест в 72 квартале</w:t>
            </w:r>
          </w:p>
        </w:tc>
        <w:tc>
          <w:tcPr>
            <w:tcW w:w="1701" w:type="dxa"/>
            <w:vAlign w:val="center"/>
          </w:tcPr>
          <w:p w14:paraId="61FB9762" w14:textId="77777777" w:rsidR="00454A29" w:rsidRDefault="00454A29">
            <w:pPr>
              <w:pStyle w:val="ConsPlusNormal"/>
              <w:jc w:val="center"/>
            </w:pPr>
            <w:r>
              <w:t>2020 - 2026 годы - всего</w:t>
            </w:r>
          </w:p>
        </w:tc>
        <w:tc>
          <w:tcPr>
            <w:tcW w:w="1417" w:type="dxa"/>
            <w:vMerge w:val="restart"/>
            <w:vAlign w:val="center"/>
          </w:tcPr>
          <w:p w14:paraId="0BEB8005" w14:textId="77777777" w:rsidR="00454A29" w:rsidRDefault="00454A29">
            <w:pPr>
              <w:pStyle w:val="ConsPlusNormal"/>
              <w:jc w:val="center"/>
            </w:pPr>
            <w:r>
              <w:t>386 446,42</w:t>
            </w:r>
          </w:p>
        </w:tc>
        <w:tc>
          <w:tcPr>
            <w:tcW w:w="2204" w:type="dxa"/>
            <w:vMerge w:val="restart"/>
            <w:vAlign w:val="center"/>
          </w:tcPr>
          <w:p w14:paraId="649AE521" w14:textId="77777777" w:rsidR="00454A29" w:rsidRDefault="00454A29">
            <w:pPr>
              <w:pStyle w:val="ConsPlusNormal"/>
              <w:jc w:val="center"/>
            </w:pPr>
            <w:r>
              <w:t>имеется</w:t>
            </w:r>
          </w:p>
        </w:tc>
        <w:tc>
          <w:tcPr>
            <w:tcW w:w="1417" w:type="dxa"/>
            <w:vMerge w:val="restart"/>
            <w:vAlign w:val="center"/>
          </w:tcPr>
          <w:p w14:paraId="25550E5D" w14:textId="77777777" w:rsidR="00454A29" w:rsidRDefault="00454A29">
            <w:pPr>
              <w:pStyle w:val="ConsPlusNormal"/>
              <w:jc w:val="center"/>
            </w:pPr>
            <w:r>
              <w:t>240</w:t>
            </w:r>
          </w:p>
        </w:tc>
        <w:tc>
          <w:tcPr>
            <w:tcW w:w="2324" w:type="dxa"/>
            <w:vMerge w:val="restart"/>
            <w:vAlign w:val="center"/>
          </w:tcPr>
          <w:p w14:paraId="4B14C46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6C05DBD" w14:textId="77777777" w:rsidR="00454A29" w:rsidRDefault="00454A29">
            <w:pPr>
              <w:pStyle w:val="ConsPlusNormal"/>
              <w:jc w:val="center"/>
            </w:pPr>
            <w:r>
              <w:t>482 478,36</w:t>
            </w:r>
          </w:p>
        </w:tc>
        <w:tc>
          <w:tcPr>
            <w:tcW w:w="1814" w:type="dxa"/>
            <w:vAlign w:val="center"/>
          </w:tcPr>
          <w:p w14:paraId="4CD91B30" w14:textId="77777777" w:rsidR="00454A29" w:rsidRDefault="00454A29">
            <w:pPr>
              <w:pStyle w:val="ConsPlusNormal"/>
              <w:jc w:val="center"/>
            </w:pPr>
            <w:r>
              <w:t>386 446,42</w:t>
            </w:r>
          </w:p>
        </w:tc>
        <w:tc>
          <w:tcPr>
            <w:tcW w:w="1701" w:type="dxa"/>
            <w:vAlign w:val="center"/>
          </w:tcPr>
          <w:p w14:paraId="3FF4E045" w14:textId="77777777" w:rsidR="00454A29" w:rsidRDefault="00454A29">
            <w:pPr>
              <w:pStyle w:val="ConsPlusNormal"/>
              <w:jc w:val="center"/>
            </w:pPr>
            <w:r>
              <w:t>-</w:t>
            </w:r>
          </w:p>
        </w:tc>
        <w:tc>
          <w:tcPr>
            <w:tcW w:w="1701" w:type="dxa"/>
            <w:vAlign w:val="center"/>
          </w:tcPr>
          <w:p w14:paraId="304C9D1F" w14:textId="77777777" w:rsidR="00454A29" w:rsidRDefault="00454A29">
            <w:pPr>
              <w:pStyle w:val="ConsPlusNormal"/>
              <w:jc w:val="center"/>
            </w:pPr>
            <w:r>
              <w:t>-</w:t>
            </w:r>
          </w:p>
        </w:tc>
        <w:tc>
          <w:tcPr>
            <w:tcW w:w="1814" w:type="dxa"/>
            <w:vAlign w:val="center"/>
          </w:tcPr>
          <w:p w14:paraId="063470E0" w14:textId="77777777" w:rsidR="00454A29" w:rsidRDefault="00454A29">
            <w:pPr>
              <w:pStyle w:val="ConsPlusNormal"/>
              <w:jc w:val="center"/>
            </w:pPr>
            <w:r>
              <w:t>-</w:t>
            </w:r>
          </w:p>
        </w:tc>
      </w:tr>
      <w:tr w:rsidR="00454A29" w14:paraId="7C4BBF80" w14:textId="77777777">
        <w:tc>
          <w:tcPr>
            <w:tcW w:w="567" w:type="dxa"/>
            <w:vMerge/>
          </w:tcPr>
          <w:p w14:paraId="01B06130" w14:textId="77777777" w:rsidR="00454A29" w:rsidRDefault="00454A29"/>
        </w:tc>
        <w:tc>
          <w:tcPr>
            <w:tcW w:w="3345" w:type="dxa"/>
            <w:vMerge/>
          </w:tcPr>
          <w:p w14:paraId="668D1540" w14:textId="77777777" w:rsidR="00454A29" w:rsidRDefault="00454A29"/>
        </w:tc>
        <w:tc>
          <w:tcPr>
            <w:tcW w:w="1701" w:type="dxa"/>
            <w:vAlign w:val="center"/>
          </w:tcPr>
          <w:p w14:paraId="4D75158A" w14:textId="77777777" w:rsidR="00454A29" w:rsidRDefault="00454A29">
            <w:pPr>
              <w:pStyle w:val="ConsPlusNormal"/>
              <w:jc w:val="center"/>
            </w:pPr>
            <w:r>
              <w:t>2020</w:t>
            </w:r>
          </w:p>
        </w:tc>
        <w:tc>
          <w:tcPr>
            <w:tcW w:w="1417" w:type="dxa"/>
            <w:vMerge/>
          </w:tcPr>
          <w:p w14:paraId="1FC81F15" w14:textId="77777777" w:rsidR="00454A29" w:rsidRDefault="00454A29"/>
        </w:tc>
        <w:tc>
          <w:tcPr>
            <w:tcW w:w="2204" w:type="dxa"/>
            <w:vMerge/>
          </w:tcPr>
          <w:p w14:paraId="5B5D3B33" w14:textId="77777777" w:rsidR="00454A29" w:rsidRDefault="00454A29"/>
        </w:tc>
        <w:tc>
          <w:tcPr>
            <w:tcW w:w="1417" w:type="dxa"/>
            <w:vMerge/>
          </w:tcPr>
          <w:p w14:paraId="22B4F3D0" w14:textId="77777777" w:rsidR="00454A29" w:rsidRDefault="00454A29"/>
        </w:tc>
        <w:tc>
          <w:tcPr>
            <w:tcW w:w="2324" w:type="dxa"/>
            <w:vMerge/>
          </w:tcPr>
          <w:p w14:paraId="12FA35B4" w14:textId="77777777" w:rsidR="00454A29" w:rsidRDefault="00454A29"/>
        </w:tc>
        <w:tc>
          <w:tcPr>
            <w:tcW w:w="1701" w:type="dxa"/>
            <w:vAlign w:val="center"/>
          </w:tcPr>
          <w:p w14:paraId="23EAE447" w14:textId="77777777" w:rsidR="00454A29" w:rsidRDefault="00454A29">
            <w:pPr>
              <w:pStyle w:val="ConsPlusNormal"/>
              <w:jc w:val="center"/>
            </w:pPr>
            <w:r>
              <w:t>-</w:t>
            </w:r>
          </w:p>
        </w:tc>
        <w:tc>
          <w:tcPr>
            <w:tcW w:w="1814" w:type="dxa"/>
            <w:vAlign w:val="center"/>
          </w:tcPr>
          <w:p w14:paraId="05443FE1" w14:textId="77777777" w:rsidR="00454A29" w:rsidRDefault="00454A29">
            <w:pPr>
              <w:pStyle w:val="ConsPlusNormal"/>
            </w:pPr>
          </w:p>
        </w:tc>
        <w:tc>
          <w:tcPr>
            <w:tcW w:w="1701" w:type="dxa"/>
            <w:vAlign w:val="center"/>
          </w:tcPr>
          <w:p w14:paraId="2653442D" w14:textId="77777777" w:rsidR="00454A29" w:rsidRDefault="00454A29">
            <w:pPr>
              <w:pStyle w:val="ConsPlusNormal"/>
            </w:pPr>
          </w:p>
        </w:tc>
        <w:tc>
          <w:tcPr>
            <w:tcW w:w="1701" w:type="dxa"/>
            <w:vAlign w:val="center"/>
          </w:tcPr>
          <w:p w14:paraId="636B36FB" w14:textId="77777777" w:rsidR="00454A29" w:rsidRDefault="00454A29">
            <w:pPr>
              <w:pStyle w:val="ConsPlusNormal"/>
            </w:pPr>
          </w:p>
        </w:tc>
        <w:tc>
          <w:tcPr>
            <w:tcW w:w="1814" w:type="dxa"/>
            <w:vAlign w:val="center"/>
          </w:tcPr>
          <w:p w14:paraId="232923B6" w14:textId="77777777" w:rsidR="00454A29" w:rsidRDefault="00454A29">
            <w:pPr>
              <w:pStyle w:val="ConsPlusNormal"/>
            </w:pPr>
          </w:p>
        </w:tc>
      </w:tr>
      <w:tr w:rsidR="00454A29" w14:paraId="03CEA576" w14:textId="77777777">
        <w:tc>
          <w:tcPr>
            <w:tcW w:w="567" w:type="dxa"/>
            <w:vMerge/>
          </w:tcPr>
          <w:p w14:paraId="00FE8F29" w14:textId="77777777" w:rsidR="00454A29" w:rsidRDefault="00454A29"/>
        </w:tc>
        <w:tc>
          <w:tcPr>
            <w:tcW w:w="3345" w:type="dxa"/>
            <w:vMerge/>
          </w:tcPr>
          <w:p w14:paraId="40C6BC89" w14:textId="77777777" w:rsidR="00454A29" w:rsidRDefault="00454A29"/>
        </w:tc>
        <w:tc>
          <w:tcPr>
            <w:tcW w:w="1701" w:type="dxa"/>
            <w:vAlign w:val="center"/>
          </w:tcPr>
          <w:p w14:paraId="233BA6CB" w14:textId="77777777" w:rsidR="00454A29" w:rsidRDefault="00454A29">
            <w:pPr>
              <w:pStyle w:val="ConsPlusNormal"/>
              <w:jc w:val="center"/>
            </w:pPr>
            <w:r>
              <w:t>2021</w:t>
            </w:r>
          </w:p>
        </w:tc>
        <w:tc>
          <w:tcPr>
            <w:tcW w:w="1417" w:type="dxa"/>
            <w:vMerge/>
          </w:tcPr>
          <w:p w14:paraId="427A8294" w14:textId="77777777" w:rsidR="00454A29" w:rsidRDefault="00454A29"/>
        </w:tc>
        <w:tc>
          <w:tcPr>
            <w:tcW w:w="2204" w:type="dxa"/>
            <w:vMerge/>
          </w:tcPr>
          <w:p w14:paraId="70F03085" w14:textId="77777777" w:rsidR="00454A29" w:rsidRDefault="00454A29"/>
        </w:tc>
        <w:tc>
          <w:tcPr>
            <w:tcW w:w="1417" w:type="dxa"/>
            <w:vMerge/>
          </w:tcPr>
          <w:p w14:paraId="49824677" w14:textId="77777777" w:rsidR="00454A29" w:rsidRDefault="00454A29"/>
        </w:tc>
        <w:tc>
          <w:tcPr>
            <w:tcW w:w="2324" w:type="dxa"/>
            <w:vMerge/>
          </w:tcPr>
          <w:p w14:paraId="25D62FA7" w14:textId="77777777" w:rsidR="00454A29" w:rsidRDefault="00454A29"/>
        </w:tc>
        <w:tc>
          <w:tcPr>
            <w:tcW w:w="1701" w:type="dxa"/>
            <w:vAlign w:val="center"/>
          </w:tcPr>
          <w:p w14:paraId="24EEED24" w14:textId="77777777" w:rsidR="00454A29" w:rsidRDefault="00454A29">
            <w:pPr>
              <w:pStyle w:val="ConsPlusNormal"/>
              <w:jc w:val="center"/>
            </w:pPr>
            <w:r>
              <w:t>-</w:t>
            </w:r>
          </w:p>
        </w:tc>
        <w:tc>
          <w:tcPr>
            <w:tcW w:w="1814" w:type="dxa"/>
            <w:vAlign w:val="center"/>
          </w:tcPr>
          <w:p w14:paraId="7D0C3EE3" w14:textId="77777777" w:rsidR="00454A29" w:rsidRDefault="00454A29">
            <w:pPr>
              <w:pStyle w:val="ConsPlusNormal"/>
            </w:pPr>
          </w:p>
        </w:tc>
        <w:tc>
          <w:tcPr>
            <w:tcW w:w="1701" w:type="dxa"/>
            <w:vAlign w:val="center"/>
          </w:tcPr>
          <w:p w14:paraId="59D58F3D" w14:textId="77777777" w:rsidR="00454A29" w:rsidRDefault="00454A29">
            <w:pPr>
              <w:pStyle w:val="ConsPlusNormal"/>
            </w:pPr>
          </w:p>
        </w:tc>
        <w:tc>
          <w:tcPr>
            <w:tcW w:w="1701" w:type="dxa"/>
            <w:vAlign w:val="center"/>
          </w:tcPr>
          <w:p w14:paraId="70E4EBE7" w14:textId="77777777" w:rsidR="00454A29" w:rsidRDefault="00454A29">
            <w:pPr>
              <w:pStyle w:val="ConsPlusNormal"/>
            </w:pPr>
          </w:p>
        </w:tc>
        <w:tc>
          <w:tcPr>
            <w:tcW w:w="1814" w:type="dxa"/>
            <w:vAlign w:val="center"/>
          </w:tcPr>
          <w:p w14:paraId="193AE778" w14:textId="77777777" w:rsidR="00454A29" w:rsidRDefault="00454A29">
            <w:pPr>
              <w:pStyle w:val="ConsPlusNormal"/>
            </w:pPr>
          </w:p>
        </w:tc>
      </w:tr>
      <w:tr w:rsidR="00454A29" w14:paraId="22FC6BE7" w14:textId="77777777">
        <w:tc>
          <w:tcPr>
            <w:tcW w:w="567" w:type="dxa"/>
            <w:vMerge/>
          </w:tcPr>
          <w:p w14:paraId="29AE628E" w14:textId="77777777" w:rsidR="00454A29" w:rsidRDefault="00454A29"/>
        </w:tc>
        <w:tc>
          <w:tcPr>
            <w:tcW w:w="3345" w:type="dxa"/>
            <w:vMerge/>
          </w:tcPr>
          <w:p w14:paraId="2207AE64" w14:textId="77777777" w:rsidR="00454A29" w:rsidRDefault="00454A29"/>
        </w:tc>
        <w:tc>
          <w:tcPr>
            <w:tcW w:w="1701" w:type="dxa"/>
            <w:vAlign w:val="center"/>
          </w:tcPr>
          <w:p w14:paraId="1BB9ECC6" w14:textId="77777777" w:rsidR="00454A29" w:rsidRDefault="00454A29">
            <w:pPr>
              <w:pStyle w:val="ConsPlusNormal"/>
              <w:jc w:val="center"/>
            </w:pPr>
            <w:r>
              <w:t>2022</w:t>
            </w:r>
          </w:p>
        </w:tc>
        <w:tc>
          <w:tcPr>
            <w:tcW w:w="1417" w:type="dxa"/>
            <w:vMerge/>
          </w:tcPr>
          <w:p w14:paraId="46BD357B" w14:textId="77777777" w:rsidR="00454A29" w:rsidRDefault="00454A29"/>
        </w:tc>
        <w:tc>
          <w:tcPr>
            <w:tcW w:w="2204" w:type="dxa"/>
            <w:vMerge/>
          </w:tcPr>
          <w:p w14:paraId="63B98972" w14:textId="77777777" w:rsidR="00454A29" w:rsidRDefault="00454A29"/>
        </w:tc>
        <w:tc>
          <w:tcPr>
            <w:tcW w:w="1417" w:type="dxa"/>
            <w:vMerge/>
          </w:tcPr>
          <w:p w14:paraId="5FDACB7B" w14:textId="77777777" w:rsidR="00454A29" w:rsidRDefault="00454A29"/>
        </w:tc>
        <w:tc>
          <w:tcPr>
            <w:tcW w:w="2324" w:type="dxa"/>
            <w:vMerge/>
          </w:tcPr>
          <w:p w14:paraId="67BD0B31" w14:textId="77777777" w:rsidR="00454A29" w:rsidRDefault="00454A29"/>
        </w:tc>
        <w:tc>
          <w:tcPr>
            <w:tcW w:w="1701" w:type="dxa"/>
            <w:vAlign w:val="center"/>
          </w:tcPr>
          <w:p w14:paraId="5A634B03" w14:textId="77777777" w:rsidR="00454A29" w:rsidRDefault="00454A29">
            <w:pPr>
              <w:pStyle w:val="ConsPlusNormal"/>
              <w:jc w:val="center"/>
            </w:pPr>
            <w:r>
              <w:t>-</w:t>
            </w:r>
          </w:p>
        </w:tc>
        <w:tc>
          <w:tcPr>
            <w:tcW w:w="1814" w:type="dxa"/>
            <w:vAlign w:val="center"/>
          </w:tcPr>
          <w:p w14:paraId="2E41A7BB" w14:textId="77777777" w:rsidR="00454A29" w:rsidRDefault="00454A29">
            <w:pPr>
              <w:pStyle w:val="ConsPlusNormal"/>
            </w:pPr>
          </w:p>
        </w:tc>
        <w:tc>
          <w:tcPr>
            <w:tcW w:w="1701" w:type="dxa"/>
            <w:vAlign w:val="center"/>
          </w:tcPr>
          <w:p w14:paraId="27CC6B28" w14:textId="77777777" w:rsidR="00454A29" w:rsidRDefault="00454A29">
            <w:pPr>
              <w:pStyle w:val="ConsPlusNormal"/>
            </w:pPr>
          </w:p>
        </w:tc>
        <w:tc>
          <w:tcPr>
            <w:tcW w:w="1701" w:type="dxa"/>
            <w:vAlign w:val="center"/>
          </w:tcPr>
          <w:p w14:paraId="6837962D" w14:textId="77777777" w:rsidR="00454A29" w:rsidRDefault="00454A29">
            <w:pPr>
              <w:pStyle w:val="ConsPlusNormal"/>
            </w:pPr>
          </w:p>
        </w:tc>
        <w:tc>
          <w:tcPr>
            <w:tcW w:w="1814" w:type="dxa"/>
            <w:vAlign w:val="center"/>
          </w:tcPr>
          <w:p w14:paraId="3789227A" w14:textId="77777777" w:rsidR="00454A29" w:rsidRDefault="00454A29">
            <w:pPr>
              <w:pStyle w:val="ConsPlusNormal"/>
            </w:pPr>
          </w:p>
        </w:tc>
      </w:tr>
      <w:tr w:rsidR="00454A29" w14:paraId="6EBD854F" w14:textId="77777777">
        <w:tc>
          <w:tcPr>
            <w:tcW w:w="567" w:type="dxa"/>
            <w:vMerge/>
          </w:tcPr>
          <w:p w14:paraId="48C43EA1" w14:textId="77777777" w:rsidR="00454A29" w:rsidRDefault="00454A29"/>
        </w:tc>
        <w:tc>
          <w:tcPr>
            <w:tcW w:w="3345" w:type="dxa"/>
            <w:vMerge/>
          </w:tcPr>
          <w:p w14:paraId="2BA38BCB" w14:textId="77777777" w:rsidR="00454A29" w:rsidRDefault="00454A29"/>
        </w:tc>
        <w:tc>
          <w:tcPr>
            <w:tcW w:w="1701" w:type="dxa"/>
            <w:vAlign w:val="center"/>
          </w:tcPr>
          <w:p w14:paraId="3C36B467" w14:textId="77777777" w:rsidR="00454A29" w:rsidRDefault="00454A29">
            <w:pPr>
              <w:pStyle w:val="ConsPlusNormal"/>
              <w:jc w:val="center"/>
            </w:pPr>
            <w:r>
              <w:t>2023</w:t>
            </w:r>
          </w:p>
        </w:tc>
        <w:tc>
          <w:tcPr>
            <w:tcW w:w="1417" w:type="dxa"/>
            <w:vMerge/>
          </w:tcPr>
          <w:p w14:paraId="19B39C1A" w14:textId="77777777" w:rsidR="00454A29" w:rsidRDefault="00454A29"/>
        </w:tc>
        <w:tc>
          <w:tcPr>
            <w:tcW w:w="2204" w:type="dxa"/>
            <w:vMerge/>
          </w:tcPr>
          <w:p w14:paraId="1A784C44" w14:textId="77777777" w:rsidR="00454A29" w:rsidRDefault="00454A29"/>
        </w:tc>
        <w:tc>
          <w:tcPr>
            <w:tcW w:w="1417" w:type="dxa"/>
            <w:vMerge/>
          </w:tcPr>
          <w:p w14:paraId="141296BC" w14:textId="77777777" w:rsidR="00454A29" w:rsidRDefault="00454A29"/>
        </w:tc>
        <w:tc>
          <w:tcPr>
            <w:tcW w:w="2324" w:type="dxa"/>
            <w:vMerge/>
          </w:tcPr>
          <w:p w14:paraId="282D6F75" w14:textId="77777777" w:rsidR="00454A29" w:rsidRDefault="00454A29"/>
        </w:tc>
        <w:tc>
          <w:tcPr>
            <w:tcW w:w="1701" w:type="dxa"/>
            <w:vAlign w:val="center"/>
          </w:tcPr>
          <w:p w14:paraId="7219A814" w14:textId="77777777" w:rsidR="00454A29" w:rsidRDefault="00454A29">
            <w:pPr>
              <w:pStyle w:val="ConsPlusNormal"/>
              <w:jc w:val="center"/>
            </w:pPr>
            <w:r>
              <w:t>-</w:t>
            </w:r>
          </w:p>
        </w:tc>
        <w:tc>
          <w:tcPr>
            <w:tcW w:w="1814" w:type="dxa"/>
            <w:vAlign w:val="center"/>
          </w:tcPr>
          <w:p w14:paraId="5D51F988" w14:textId="77777777" w:rsidR="00454A29" w:rsidRDefault="00454A29">
            <w:pPr>
              <w:pStyle w:val="ConsPlusNormal"/>
            </w:pPr>
          </w:p>
        </w:tc>
        <w:tc>
          <w:tcPr>
            <w:tcW w:w="1701" w:type="dxa"/>
            <w:vAlign w:val="center"/>
          </w:tcPr>
          <w:p w14:paraId="2CDEB066" w14:textId="77777777" w:rsidR="00454A29" w:rsidRDefault="00454A29">
            <w:pPr>
              <w:pStyle w:val="ConsPlusNormal"/>
            </w:pPr>
          </w:p>
        </w:tc>
        <w:tc>
          <w:tcPr>
            <w:tcW w:w="1701" w:type="dxa"/>
            <w:vAlign w:val="center"/>
          </w:tcPr>
          <w:p w14:paraId="7621F24C" w14:textId="77777777" w:rsidR="00454A29" w:rsidRDefault="00454A29">
            <w:pPr>
              <w:pStyle w:val="ConsPlusNormal"/>
            </w:pPr>
          </w:p>
        </w:tc>
        <w:tc>
          <w:tcPr>
            <w:tcW w:w="1814" w:type="dxa"/>
            <w:vAlign w:val="center"/>
          </w:tcPr>
          <w:p w14:paraId="0F594520" w14:textId="77777777" w:rsidR="00454A29" w:rsidRDefault="00454A29">
            <w:pPr>
              <w:pStyle w:val="ConsPlusNormal"/>
            </w:pPr>
          </w:p>
        </w:tc>
      </w:tr>
      <w:tr w:rsidR="00454A29" w14:paraId="7E05C7A7" w14:textId="77777777">
        <w:tc>
          <w:tcPr>
            <w:tcW w:w="567" w:type="dxa"/>
            <w:vMerge/>
          </w:tcPr>
          <w:p w14:paraId="77B019BD" w14:textId="77777777" w:rsidR="00454A29" w:rsidRDefault="00454A29"/>
        </w:tc>
        <w:tc>
          <w:tcPr>
            <w:tcW w:w="3345" w:type="dxa"/>
            <w:vMerge/>
          </w:tcPr>
          <w:p w14:paraId="39D8532F" w14:textId="77777777" w:rsidR="00454A29" w:rsidRDefault="00454A29"/>
        </w:tc>
        <w:tc>
          <w:tcPr>
            <w:tcW w:w="1701" w:type="dxa"/>
            <w:vAlign w:val="center"/>
          </w:tcPr>
          <w:p w14:paraId="3AFBFEBA" w14:textId="77777777" w:rsidR="00454A29" w:rsidRDefault="00454A29">
            <w:pPr>
              <w:pStyle w:val="ConsPlusNormal"/>
              <w:jc w:val="center"/>
            </w:pPr>
            <w:r>
              <w:t>2024</w:t>
            </w:r>
          </w:p>
        </w:tc>
        <w:tc>
          <w:tcPr>
            <w:tcW w:w="1417" w:type="dxa"/>
            <w:vMerge/>
          </w:tcPr>
          <w:p w14:paraId="7067F870" w14:textId="77777777" w:rsidR="00454A29" w:rsidRDefault="00454A29"/>
        </w:tc>
        <w:tc>
          <w:tcPr>
            <w:tcW w:w="2204" w:type="dxa"/>
            <w:vMerge/>
          </w:tcPr>
          <w:p w14:paraId="5FB2DCD8" w14:textId="77777777" w:rsidR="00454A29" w:rsidRDefault="00454A29"/>
        </w:tc>
        <w:tc>
          <w:tcPr>
            <w:tcW w:w="1417" w:type="dxa"/>
            <w:vMerge/>
          </w:tcPr>
          <w:p w14:paraId="6BCF238E" w14:textId="77777777" w:rsidR="00454A29" w:rsidRDefault="00454A29"/>
        </w:tc>
        <w:tc>
          <w:tcPr>
            <w:tcW w:w="2324" w:type="dxa"/>
            <w:vMerge/>
          </w:tcPr>
          <w:p w14:paraId="0493FDAB" w14:textId="77777777" w:rsidR="00454A29" w:rsidRDefault="00454A29"/>
        </w:tc>
        <w:tc>
          <w:tcPr>
            <w:tcW w:w="1701" w:type="dxa"/>
            <w:vAlign w:val="center"/>
          </w:tcPr>
          <w:p w14:paraId="3C773EFF" w14:textId="77777777" w:rsidR="00454A29" w:rsidRDefault="00454A29">
            <w:pPr>
              <w:pStyle w:val="ConsPlusNormal"/>
              <w:jc w:val="center"/>
            </w:pPr>
            <w:r>
              <w:t>-</w:t>
            </w:r>
          </w:p>
        </w:tc>
        <w:tc>
          <w:tcPr>
            <w:tcW w:w="1814" w:type="dxa"/>
            <w:vAlign w:val="center"/>
          </w:tcPr>
          <w:p w14:paraId="45B8871E" w14:textId="77777777" w:rsidR="00454A29" w:rsidRDefault="00454A29">
            <w:pPr>
              <w:pStyle w:val="ConsPlusNormal"/>
            </w:pPr>
          </w:p>
        </w:tc>
        <w:tc>
          <w:tcPr>
            <w:tcW w:w="1701" w:type="dxa"/>
            <w:vAlign w:val="center"/>
          </w:tcPr>
          <w:p w14:paraId="53245281" w14:textId="77777777" w:rsidR="00454A29" w:rsidRDefault="00454A29">
            <w:pPr>
              <w:pStyle w:val="ConsPlusNormal"/>
            </w:pPr>
          </w:p>
        </w:tc>
        <w:tc>
          <w:tcPr>
            <w:tcW w:w="1701" w:type="dxa"/>
            <w:vAlign w:val="center"/>
          </w:tcPr>
          <w:p w14:paraId="337DF914" w14:textId="77777777" w:rsidR="00454A29" w:rsidRDefault="00454A29">
            <w:pPr>
              <w:pStyle w:val="ConsPlusNormal"/>
            </w:pPr>
          </w:p>
        </w:tc>
        <w:tc>
          <w:tcPr>
            <w:tcW w:w="1814" w:type="dxa"/>
            <w:vAlign w:val="center"/>
          </w:tcPr>
          <w:p w14:paraId="02C9426B" w14:textId="77777777" w:rsidR="00454A29" w:rsidRDefault="00454A29">
            <w:pPr>
              <w:pStyle w:val="ConsPlusNormal"/>
            </w:pPr>
          </w:p>
        </w:tc>
      </w:tr>
      <w:tr w:rsidR="00454A29" w14:paraId="23A20DDF" w14:textId="77777777">
        <w:tc>
          <w:tcPr>
            <w:tcW w:w="567" w:type="dxa"/>
            <w:vMerge/>
          </w:tcPr>
          <w:p w14:paraId="3EC94822" w14:textId="77777777" w:rsidR="00454A29" w:rsidRDefault="00454A29"/>
        </w:tc>
        <w:tc>
          <w:tcPr>
            <w:tcW w:w="3345" w:type="dxa"/>
            <w:vMerge/>
          </w:tcPr>
          <w:p w14:paraId="4AE11180" w14:textId="77777777" w:rsidR="00454A29" w:rsidRDefault="00454A29"/>
        </w:tc>
        <w:tc>
          <w:tcPr>
            <w:tcW w:w="1701" w:type="dxa"/>
            <w:vAlign w:val="center"/>
          </w:tcPr>
          <w:p w14:paraId="37692A7A" w14:textId="77777777" w:rsidR="00454A29" w:rsidRDefault="00454A29">
            <w:pPr>
              <w:pStyle w:val="ConsPlusNormal"/>
              <w:jc w:val="center"/>
            </w:pPr>
            <w:r>
              <w:t>2025</w:t>
            </w:r>
          </w:p>
        </w:tc>
        <w:tc>
          <w:tcPr>
            <w:tcW w:w="1417" w:type="dxa"/>
            <w:vMerge/>
          </w:tcPr>
          <w:p w14:paraId="588F4F07" w14:textId="77777777" w:rsidR="00454A29" w:rsidRDefault="00454A29"/>
        </w:tc>
        <w:tc>
          <w:tcPr>
            <w:tcW w:w="2204" w:type="dxa"/>
            <w:vMerge/>
          </w:tcPr>
          <w:p w14:paraId="0CD7AF0A" w14:textId="77777777" w:rsidR="00454A29" w:rsidRDefault="00454A29"/>
        </w:tc>
        <w:tc>
          <w:tcPr>
            <w:tcW w:w="1417" w:type="dxa"/>
            <w:vMerge/>
          </w:tcPr>
          <w:p w14:paraId="4962D0E6" w14:textId="77777777" w:rsidR="00454A29" w:rsidRDefault="00454A29"/>
        </w:tc>
        <w:tc>
          <w:tcPr>
            <w:tcW w:w="2324" w:type="dxa"/>
            <w:vMerge/>
          </w:tcPr>
          <w:p w14:paraId="6EF4DF38" w14:textId="77777777" w:rsidR="00454A29" w:rsidRDefault="00454A29"/>
        </w:tc>
        <w:tc>
          <w:tcPr>
            <w:tcW w:w="1701" w:type="dxa"/>
            <w:vAlign w:val="center"/>
          </w:tcPr>
          <w:p w14:paraId="4324551D" w14:textId="77777777" w:rsidR="00454A29" w:rsidRDefault="00454A29">
            <w:pPr>
              <w:pStyle w:val="ConsPlusNormal"/>
              <w:jc w:val="center"/>
            </w:pPr>
            <w:r>
              <w:t>244 427,36</w:t>
            </w:r>
          </w:p>
        </w:tc>
        <w:tc>
          <w:tcPr>
            <w:tcW w:w="1814" w:type="dxa"/>
            <w:vAlign w:val="center"/>
          </w:tcPr>
          <w:p w14:paraId="63E2176B" w14:textId="77777777" w:rsidR="00454A29" w:rsidRDefault="00454A29">
            <w:pPr>
              <w:pStyle w:val="ConsPlusNormal"/>
              <w:jc w:val="center"/>
            </w:pPr>
            <w:r>
              <w:t>244 427,36</w:t>
            </w:r>
          </w:p>
        </w:tc>
        <w:tc>
          <w:tcPr>
            <w:tcW w:w="1701" w:type="dxa"/>
            <w:vAlign w:val="center"/>
          </w:tcPr>
          <w:p w14:paraId="73A9548F" w14:textId="77777777" w:rsidR="00454A29" w:rsidRDefault="00454A29">
            <w:pPr>
              <w:pStyle w:val="ConsPlusNormal"/>
            </w:pPr>
          </w:p>
        </w:tc>
        <w:tc>
          <w:tcPr>
            <w:tcW w:w="1701" w:type="dxa"/>
            <w:vAlign w:val="center"/>
          </w:tcPr>
          <w:p w14:paraId="421DF958" w14:textId="77777777" w:rsidR="00454A29" w:rsidRDefault="00454A29">
            <w:pPr>
              <w:pStyle w:val="ConsPlusNormal"/>
            </w:pPr>
          </w:p>
        </w:tc>
        <w:tc>
          <w:tcPr>
            <w:tcW w:w="1814" w:type="dxa"/>
            <w:vAlign w:val="center"/>
          </w:tcPr>
          <w:p w14:paraId="12F38781" w14:textId="77777777" w:rsidR="00454A29" w:rsidRDefault="00454A29">
            <w:pPr>
              <w:pStyle w:val="ConsPlusNormal"/>
            </w:pPr>
          </w:p>
        </w:tc>
      </w:tr>
      <w:tr w:rsidR="00454A29" w14:paraId="16B39CC8" w14:textId="77777777">
        <w:tc>
          <w:tcPr>
            <w:tcW w:w="567" w:type="dxa"/>
            <w:vMerge/>
          </w:tcPr>
          <w:p w14:paraId="1AFAEBB8" w14:textId="77777777" w:rsidR="00454A29" w:rsidRDefault="00454A29"/>
        </w:tc>
        <w:tc>
          <w:tcPr>
            <w:tcW w:w="3345" w:type="dxa"/>
            <w:vMerge/>
          </w:tcPr>
          <w:p w14:paraId="2731C52A" w14:textId="77777777" w:rsidR="00454A29" w:rsidRDefault="00454A29"/>
        </w:tc>
        <w:tc>
          <w:tcPr>
            <w:tcW w:w="1701" w:type="dxa"/>
            <w:vAlign w:val="center"/>
          </w:tcPr>
          <w:p w14:paraId="3B65B57F" w14:textId="77777777" w:rsidR="00454A29" w:rsidRDefault="00454A29">
            <w:pPr>
              <w:pStyle w:val="ConsPlusNormal"/>
              <w:jc w:val="center"/>
            </w:pPr>
            <w:r>
              <w:t>2026</w:t>
            </w:r>
          </w:p>
        </w:tc>
        <w:tc>
          <w:tcPr>
            <w:tcW w:w="1417" w:type="dxa"/>
            <w:vMerge/>
          </w:tcPr>
          <w:p w14:paraId="47F0AFCA" w14:textId="77777777" w:rsidR="00454A29" w:rsidRDefault="00454A29"/>
        </w:tc>
        <w:tc>
          <w:tcPr>
            <w:tcW w:w="2204" w:type="dxa"/>
            <w:vMerge/>
          </w:tcPr>
          <w:p w14:paraId="7794AC60" w14:textId="77777777" w:rsidR="00454A29" w:rsidRDefault="00454A29"/>
        </w:tc>
        <w:tc>
          <w:tcPr>
            <w:tcW w:w="1417" w:type="dxa"/>
            <w:vMerge/>
          </w:tcPr>
          <w:p w14:paraId="1DA5D078" w14:textId="77777777" w:rsidR="00454A29" w:rsidRDefault="00454A29"/>
        </w:tc>
        <w:tc>
          <w:tcPr>
            <w:tcW w:w="2324" w:type="dxa"/>
            <w:vMerge/>
          </w:tcPr>
          <w:p w14:paraId="7D3B4D27" w14:textId="77777777" w:rsidR="00454A29" w:rsidRDefault="00454A29"/>
        </w:tc>
        <w:tc>
          <w:tcPr>
            <w:tcW w:w="1701" w:type="dxa"/>
            <w:vAlign w:val="center"/>
          </w:tcPr>
          <w:p w14:paraId="670BCEE5" w14:textId="77777777" w:rsidR="00454A29" w:rsidRDefault="00454A29">
            <w:pPr>
              <w:pStyle w:val="ConsPlusNormal"/>
              <w:jc w:val="center"/>
            </w:pPr>
            <w:r>
              <w:t>238 051,00</w:t>
            </w:r>
          </w:p>
        </w:tc>
        <w:tc>
          <w:tcPr>
            <w:tcW w:w="1814" w:type="dxa"/>
            <w:vAlign w:val="center"/>
          </w:tcPr>
          <w:p w14:paraId="4B0D1F9A" w14:textId="77777777" w:rsidR="00454A29" w:rsidRDefault="00454A29">
            <w:pPr>
              <w:pStyle w:val="ConsPlusNormal"/>
              <w:jc w:val="center"/>
            </w:pPr>
            <w:r>
              <w:t>238 051,00</w:t>
            </w:r>
          </w:p>
        </w:tc>
        <w:tc>
          <w:tcPr>
            <w:tcW w:w="1701" w:type="dxa"/>
            <w:vAlign w:val="center"/>
          </w:tcPr>
          <w:p w14:paraId="51822CD0" w14:textId="77777777" w:rsidR="00454A29" w:rsidRDefault="00454A29">
            <w:pPr>
              <w:pStyle w:val="ConsPlusNormal"/>
            </w:pPr>
          </w:p>
        </w:tc>
        <w:tc>
          <w:tcPr>
            <w:tcW w:w="1701" w:type="dxa"/>
            <w:vAlign w:val="center"/>
          </w:tcPr>
          <w:p w14:paraId="09FE078D" w14:textId="77777777" w:rsidR="00454A29" w:rsidRDefault="00454A29">
            <w:pPr>
              <w:pStyle w:val="ConsPlusNormal"/>
            </w:pPr>
          </w:p>
        </w:tc>
        <w:tc>
          <w:tcPr>
            <w:tcW w:w="1814" w:type="dxa"/>
            <w:vAlign w:val="center"/>
          </w:tcPr>
          <w:p w14:paraId="7174537B" w14:textId="77777777" w:rsidR="00454A29" w:rsidRDefault="00454A29">
            <w:pPr>
              <w:pStyle w:val="ConsPlusNormal"/>
            </w:pPr>
          </w:p>
        </w:tc>
      </w:tr>
      <w:tr w:rsidR="00454A29" w14:paraId="6FC64460" w14:textId="77777777">
        <w:tc>
          <w:tcPr>
            <w:tcW w:w="567" w:type="dxa"/>
            <w:vMerge w:val="restart"/>
            <w:vAlign w:val="center"/>
          </w:tcPr>
          <w:p w14:paraId="03926B51" w14:textId="77777777" w:rsidR="00454A29" w:rsidRDefault="00454A29">
            <w:pPr>
              <w:pStyle w:val="ConsPlusNormal"/>
              <w:jc w:val="center"/>
            </w:pPr>
            <w:r>
              <w:lastRenderedPageBreak/>
              <w:t>40</w:t>
            </w:r>
          </w:p>
        </w:tc>
        <w:tc>
          <w:tcPr>
            <w:tcW w:w="3345" w:type="dxa"/>
            <w:vMerge w:val="restart"/>
            <w:vAlign w:val="center"/>
          </w:tcPr>
          <w:p w14:paraId="232BC0EB" w14:textId="77777777" w:rsidR="00454A29" w:rsidRDefault="00454A29">
            <w:pPr>
              <w:pStyle w:val="ConsPlusNormal"/>
              <w:jc w:val="center"/>
            </w:pPr>
            <w:r>
              <w:t>Детский сад в г. Якутске на 240 мест в 47 квартале по ул. Халтурина</w:t>
            </w:r>
          </w:p>
        </w:tc>
        <w:tc>
          <w:tcPr>
            <w:tcW w:w="1701" w:type="dxa"/>
            <w:vAlign w:val="center"/>
          </w:tcPr>
          <w:p w14:paraId="6094BD94" w14:textId="77777777" w:rsidR="00454A29" w:rsidRDefault="00454A29">
            <w:pPr>
              <w:pStyle w:val="ConsPlusNormal"/>
              <w:jc w:val="center"/>
            </w:pPr>
            <w:r>
              <w:t>2020 - 2026 годы - всего</w:t>
            </w:r>
          </w:p>
        </w:tc>
        <w:tc>
          <w:tcPr>
            <w:tcW w:w="1417" w:type="dxa"/>
            <w:vMerge w:val="restart"/>
            <w:vAlign w:val="center"/>
          </w:tcPr>
          <w:p w14:paraId="4539B82C" w14:textId="77777777" w:rsidR="00454A29" w:rsidRDefault="00454A29">
            <w:pPr>
              <w:pStyle w:val="ConsPlusNormal"/>
              <w:jc w:val="center"/>
            </w:pPr>
            <w:r>
              <w:t>386 446,42</w:t>
            </w:r>
          </w:p>
        </w:tc>
        <w:tc>
          <w:tcPr>
            <w:tcW w:w="2204" w:type="dxa"/>
            <w:vMerge w:val="restart"/>
            <w:vAlign w:val="center"/>
          </w:tcPr>
          <w:p w14:paraId="525B4EEB" w14:textId="77777777" w:rsidR="00454A29" w:rsidRDefault="00454A29">
            <w:pPr>
              <w:pStyle w:val="ConsPlusNormal"/>
              <w:jc w:val="center"/>
            </w:pPr>
            <w:r>
              <w:t>имеется</w:t>
            </w:r>
          </w:p>
        </w:tc>
        <w:tc>
          <w:tcPr>
            <w:tcW w:w="1417" w:type="dxa"/>
            <w:vMerge w:val="restart"/>
            <w:vAlign w:val="center"/>
          </w:tcPr>
          <w:p w14:paraId="13EF6C88" w14:textId="77777777" w:rsidR="00454A29" w:rsidRDefault="00454A29">
            <w:pPr>
              <w:pStyle w:val="ConsPlusNormal"/>
              <w:jc w:val="center"/>
            </w:pPr>
            <w:r>
              <w:t>240</w:t>
            </w:r>
          </w:p>
        </w:tc>
        <w:tc>
          <w:tcPr>
            <w:tcW w:w="2324" w:type="dxa"/>
            <w:vMerge w:val="restart"/>
            <w:vAlign w:val="center"/>
          </w:tcPr>
          <w:p w14:paraId="63236B1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0D0D282" w14:textId="77777777" w:rsidR="00454A29" w:rsidRDefault="00454A29">
            <w:pPr>
              <w:pStyle w:val="ConsPlusNormal"/>
              <w:jc w:val="center"/>
            </w:pPr>
            <w:r>
              <w:t>482 478,36</w:t>
            </w:r>
          </w:p>
        </w:tc>
        <w:tc>
          <w:tcPr>
            <w:tcW w:w="1814" w:type="dxa"/>
            <w:vAlign w:val="center"/>
          </w:tcPr>
          <w:p w14:paraId="4628AE0D" w14:textId="77777777" w:rsidR="00454A29" w:rsidRDefault="00454A29">
            <w:pPr>
              <w:pStyle w:val="ConsPlusNormal"/>
              <w:jc w:val="center"/>
            </w:pPr>
            <w:r>
              <w:t>386 446,42</w:t>
            </w:r>
          </w:p>
        </w:tc>
        <w:tc>
          <w:tcPr>
            <w:tcW w:w="1701" w:type="dxa"/>
            <w:vAlign w:val="center"/>
          </w:tcPr>
          <w:p w14:paraId="21AA06FC" w14:textId="77777777" w:rsidR="00454A29" w:rsidRDefault="00454A29">
            <w:pPr>
              <w:pStyle w:val="ConsPlusNormal"/>
              <w:jc w:val="center"/>
            </w:pPr>
            <w:r>
              <w:t>-</w:t>
            </w:r>
          </w:p>
        </w:tc>
        <w:tc>
          <w:tcPr>
            <w:tcW w:w="1701" w:type="dxa"/>
            <w:vAlign w:val="center"/>
          </w:tcPr>
          <w:p w14:paraId="12DAB85B" w14:textId="77777777" w:rsidR="00454A29" w:rsidRDefault="00454A29">
            <w:pPr>
              <w:pStyle w:val="ConsPlusNormal"/>
              <w:jc w:val="center"/>
            </w:pPr>
            <w:r>
              <w:t>-</w:t>
            </w:r>
          </w:p>
        </w:tc>
        <w:tc>
          <w:tcPr>
            <w:tcW w:w="1814" w:type="dxa"/>
            <w:vAlign w:val="center"/>
          </w:tcPr>
          <w:p w14:paraId="6BDF477C" w14:textId="77777777" w:rsidR="00454A29" w:rsidRDefault="00454A29">
            <w:pPr>
              <w:pStyle w:val="ConsPlusNormal"/>
              <w:jc w:val="center"/>
            </w:pPr>
            <w:r>
              <w:t>-</w:t>
            </w:r>
          </w:p>
        </w:tc>
      </w:tr>
      <w:tr w:rsidR="00454A29" w14:paraId="6F6C3E95" w14:textId="77777777">
        <w:tc>
          <w:tcPr>
            <w:tcW w:w="567" w:type="dxa"/>
            <w:vMerge/>
          </w:tcPr>
          <w:p w14:paraId="2439F91C" w14:textId="77777777" w:rsidR="00454A29" w:rsidRDefault="00454A29"/>
        </w:tc>
        <w:tc>
          <w:tcPr>
            <w:tcW w:w="3345" w:type="dxa"/>
            <w:vMerge/>
          </w:tcPr>
          <w:p w14:paraId="5F165FBE" w14:textId="77777777" w:rsidR="00454A29" w:rsidRDefault="00454A29"/>
        </w:tc>
        <w:tc>
          <w:tcPr>
            <w:tcW w:w="1701" w:type="dxa"/>
            <w:vAlign w:val="center"/>
          </w:tcPr>
          <w:p w14:paraId="7863DB2E" w14:textId="77777777" w:rsidR="00454A29" w:rsidRDefault="00454A29">
            <w:pPr>
              <w:pStyle w:val="ConsPlusNormal"/>
              <w:jc w:val="center"/>
            </w:pPr>
            <w:r>
              <w:t>2020</w:t>
            </w:r>
          </w:p>
        </w:tc>
        <w:tc>
          <w:tcPr>
            <w:tcW w:w="1417" w:type="dxa"/>
            <w:vMerge/>
          </w:tcPr>
          <w:p w14:paraId="29DC67C7" w14:textId="77777777" w:rsidR="00454A29" w:rsidRDefault="00454A29"/>
        </w:tc>
        <w:tc>
          <w:tcPr>
            <w:tcW w:w="2204" w:type="dxa"/>
            <w:vMerge/>
          </w:tcPr>
          <w:p w14:paraId="0785FEB6" w14:textId="77777777" w:rsidR="00454A29" w:rsidRDefault="00454A29"/>
        </w:tc>
        <w:tc>
          <w:tcPr>
            <w:tcW w:w="1417" w:type="dxa"/>
            <w:vMerge/>
          </w:tcPr>
          <w:p w14:paraId="3A892F2F" w14:textId="77777777" w:rsidR="00454A29" w:rsidRDefault="00454A29"/>
        </w:tc>
        <w:tc>
          <w:tcPr>
            <w:tcW w:w="2324" w:type="dxa"/>
            <w:vMerge/>
          </w:tcPr>
          <w:p w14:paraId="3BE3F837" w14:textId="77777777" w:rsidR="00454A29" w:rsidRDefault="00454A29"/>
        </w:tc>
        <w:tc>
          <w:tcPr>
            <w:tcW w:w="1701" w:type="dxa"/>
            <w:vAlign w:val="center"/>
          </w:tcPr>
          <w:p w14:paraId="33B61D2A" w14:textId="77777777" w:rsidR="00454A29" w:rsidRDefault="00454A29">
            <w:pPr>
              <w:pStyle w:val="ConsPlusNormal"/>
              <w:jc w:val="center"/>
            </w:pPr>
            <w:r>
              <w:t>-</w:t>
            </w:r>
          </w:p>
        </w:tc>
        <w:tc>
          <w:tcPr>
            <w:tcW w:w="1814" w:type="dxa"/>
            <w:vAlign w:val="center"/>
          </w:tcPr>
          <w:p w14:paraId="6C899D29" w14:textId="77777777" w:rsidR="00454A29" w:rsidRDefault="00454A29">
            <w:pPr>
              <w:pStyle w:val="ConsPlusNormal"/>
            </w:pPr>
          </w:p>
        </w:tc>
        <w:tc>
          <w:tcPr>
            <w:tcW w:w="1701" w:type="dxa"/>
            <w:vAlign w:val="center"/>
          </w:tcPr>
          <w:p w14:paraId="765F23FB" w14:textId="77777777" w:rsidR="00454A29" w:rsidRDefault="00454A29">
            <w:pPr>
              <w:pStyle w:val="ConsPlusNormal"/>
            </w:pPr>
          </w:p>
        </w:tc>
        <w:tc>
          <w:tcPr>
            <w:tcW w:w="1701" w:type="dxa"/>
            <w:vAlign w:val="center"/>
          </w:tcPr>
          <w:p w14:paraId="3AF43837" w14:textId="77777777" w:rsidR="00454A29" w:rsidRDefault="00454A29">
            <w:pPr>
              <w:pStyle w:val="ConsPlusNormal"/>
            </w:pPr>
          </w:p>
        </w:tc>
        <w:tc>
          <w:tcPr>
            <w:tcW w:w="1814" w:type="dxa"/>
            <w:vAlign w:val="center"/>
          </w:tcPr>
          <w:p w14:paraId="461D5C57" w14:textId="77777777" w:rsidR="00454A29" w:rsidRDefault="00454A29">
            <w:pPr>
              <w:pStyle w:val="ConsPlusNormal"/>
            </w:pPr>
          </w:p>
        </w:tc>
      </w:tr>
      <w:tr w:rsidR="00454A29" w14:paraId="63BC1A2F" w14:textId="77777777">
        <w:tc>
          <w:tcPr>
            <w:tcW w:w="567" w:type="dxa"/>
            <w:vMerge/>
          </w:tcPr>
          <w:p w14:paraId="26A9D730" w14:textId="77777777" w:rsidR="00454A29" w:rsidRDefault="00454A29"/>
        </w:tc>
        <w:tc>
          <w:tcPr>
            <w:tcW w:w="3345" w:type="dxa"/>
            <w:vMerge/>
          </w:tcPr>
          <w:p w14:paraId="5CB1060E" w14:textId="77777777" w:rsidR="00454A29" w:rsidRDefault="00454A29"/>
        </w:tc>
        <w:tc>
          <w:tcPr>
            <w:tcW w:w="1701" w:type="dxa"/>
            <w:vAlign w:val="center"/>
          </w:tcPr>
          <w:p w14:paraId="0E423B14" w14:textId="77777777" w:rsidR="00454A29" w:rsidRDefault="00454A29">
            <w:pPr>
              <w:pStyle w:val="ConsPlusNormal"/>
              <w:jc w:val="center"/>
            </w:pPr>
            <w:r>
              <w:t>2021</w:t>
            </w:r>
          </w:p>
        </w:tc>
        <w:tc>
          <w:tcPr>
            <w:tcW w:w="1417" w:type="dxa"/>
            <w:vMerge/>
          </w:tcPr>
          <w:p w14:paraId="1DE128A3" w14:textId="77777777" w:rsidR="00454A29" w:rsidRDefault="00454A29"/>
        </w:tc>
        <w:tc>
          <w:tcPr>
            <w:tcW w:w="2204" w:type="dxa"/>
            <w:vMerge/>
          </w:tcPr>
          <w:p w14:paraId="61E0BBCC" w14:textId="77777777" w:rsidR="00454A29" w:rsidRDefault="00454A29"/>
        </w:tc>
        <w:tc>
          <w:tcPr>
            <w:tcW w:w="1417" w:type="dxa"/>
            <w:vMerge/>
          </w:tcPr>
          <w:p w14:paraId="05915F00" w14:textId="77777777" w:rsidR="00454A29" w:rsidRDefault="00454A29"/>
        </w:tc>
        <w:tc>
          <w:tcPr>
            <w:tcW w:w="2324" w:type="dxa"/>
            <w:vMerge/>
          </w:tcPr>
          <w:p w14:paraId="34F626F7" w14:textId="77777777" w:rsidR="00454A29" w:rsidRDefault="00454A29"/>
        </w:tc>
        <w:tc>
          <w:tcPr>
            <w:tcW w:w="1701" w:type="dxa"/>
            <w:vAlign w:val="center"/>
          </w:tcPr>
          <w:p w14:paraId="6241B2C3" w14:textId="77777777" w:rsidR="00454A29" w:rsidRDefault="00454A29">
            <w:pPr>
              <w:pStyle w:val="ConsPlusNormal"/>
              <w:jc w:val="center"/>
            </w:pPr>
            <w:r>
              <w:t>-</w:t>
            </w:r>
          </w:p>
        </w:tc>
        <w:tc>
          <w:tcPr>
            <w:tcW w:w="1814" w:type="dxa"/>
            <w:vAlign w:val="center"/>
          </w:tcPr>
          <w:p w14:paraId="0D73C54D" w14:textId="77777777" w:rsidR="00454A29" w:rsidRDefault="00454A29">
            <w:pPr>
              <w:pStyle w:val="ConsPlusNormal"/>
            </w:pPr>
          </w:p>
        </w:tc>
        <w:tc>
          <w:tcPr>
            <w:tcW w:w="1701" w:type="dxa"/>
            <w:vAlign w:val="center"/>
          </w:tcPr>
          <w:p w14:paraId="2D64C203" w14:textId="77777777" w:rsidR="00454A29" w:rsidRDefault="00454A29">
            <w:pPr>
              <w:pStyle w:val="ConsPlusNormal"/>
            </w:pPr>
          </w:p>
        </w:tc>
        <w:tc>
          <w:tcPr>
            <w:tcW w:w="1701" w:type="dxa"/>
            <w:vAlign w:val="center"/>
          </w:tcPr>
          <w:p w14:paraId="0D73B8EC" w14:textId="77777777" w:rsidR="00454A29" w:rsidRDefault="00454A29">
            <w:pPr>
              <w:pStyle w:val="ConsPlusNormal"/>
            </w:pPr>
          </w:p>
        </w:tc>
        <w:tc>
          <w:tcPr>
            <w:tcW w:w="1814" w:type="dxa"/>
            <w:vAlign w:val="center"/>
          </w:tcPr>
          <w:p w14:paraId="2B89E251" w14:textId="77777777" w:rsidR="00454A29" w:rsidRDefault="00454A29">
            <w:pPr>
              <w:pStyle w:val="ConsPlusNormal"/>
            </w:pPr>
          </w:p>
        </w:tc>
      </w:tr>
      <w:tr w:rsidR="00454A29" w14:paraId="3B46D0E5" w14:textId="77777777">
        <w:tc>
          <w:tcPr>
            <w:tcW w:w="567" w:type="dxa"/>
            <w:vMerge/>
          </w:tcPr>
          <w:p w14:paraId="42457855" w14:textId="77777777" w:rsidR="00454A29" w:rsidRDefault="00454A29"/>
        </w:tc>
        <w:tc>
          <w:tcPr>
            <w:tcW w:w="3345" w:type="dxa"/>
            <w:vMerge/>
          </w:tcPr>
          <w:p w14:paraId="7E2626FF" w14:textId="77777777" w:rsidR="00454A29" w:rsidRDefault="00454A29"/>
        </w:tc>
        <w:tc>
          <w:tcPr>
            <w:tcW w:w="1701" w:type="dxa"/>
            <w:vAlign w:val="center"/>
          </w:tcPr>
          <w:p w14:paraId="18B307D7" w14:textId="77777777" w:rsidR="00454A29" w:rsidRDefault="00454A29">
            <w:pPr>
              <w:pStyle w:val="ConsPlusNormal"/>
              <w:jc w:val="center"/>
            </w:pPr>
            <w:r>
              <w:t>2022</w:t>
            </w:r>
          </w:p>
        </w:tc>
        <w:tc>
          <w:tcPr>
            <w:tcW w:w="1417" w:type="dxa"/>
            <w:vMerge/>
          </w:tcPr>
          <w:p w14:paraId="274078AE" w14:textId="77777777" w:rsidR="00454A29" w:rsidRDefault="00454A29"/>
        </w:tc>
        <w:tc>
          <w:tcPr>
            <w:tcW w:w="2204" w:type="dxa"/>
            <w:vMerge/>
          </w:tcPr>
          <w:p w14:paraId="6F62802D" w14:textId="77777777" w:rsidR="00454A29" w:rsidRDefault="00454A29"/>
        </w:tc>
        <w:tc>
          <w:tcPr>
            <w:tcW w:w="1417" w:type="dxa"/>
            <w:vMerge/>
          </w:tcPr>
          <w:p w14:paraId="30DC3DCD" w14:textId="77777777" w:rsidR="00454A29" w:rsidRDefault="00454A29"/>
        </w:tc>
        <w:tc>
          <w:tcPr>
            <w:tcW w:w="2324" w:type="dxa"/>
            <w:vMerge/>
          </w:tcPr>
          <w:p w14:paraId="0C3BBA44" w14:textId="77777777" w:rsidR="00454A29" w:rsidRDefault="00454A29"/>
        </w:tc>
        <w:tc>
          <w:tcPr>
            <w:tcW w:w="1701" w:type="dxa"/>
            <w:vAlign w:val="center"/>
          </w:tcPr>
          <w:p w14:paraId="6A657F8B" w14:textId="77777777" w:rsidR="00454A29" w:rsidRDefault="00454A29">
            <w:pPr>
              <w:pStyle w:val="ConsPlusNormal"/>
              <w:jc w:val="center"/>
            </w:pPr>
            <w:r>
              <w:t>-</w:t>
            </w:r>
          </w:p>
        </w:tc>
        <w:tc>
          <w:tcPr>
            <w:tcW w:w="1814" w:type="dxa"/>
            <w:vAlign w:val="center"/>
          </w:tcPr>
          <w:p w14:paraId="52DAE437" w14:textId="77777777" w:rsidR="00454A29" w:rsidRDefault="00454A29">
            <w:pPr>
              <w:pStyle w:val="ConsPlusNormal"/>
            </w:pPr>
          </w:p>
        </w:tc>
        <w:tc>
          <w:tcPr>
            <w:tcW w:w="1701" w:type="dxa"/>
            <w:vAlign w:val="center"/>
          </w:tcPr>
          <w:p w14:paraId="32720153" w14:textId="77777777" w:rsidR="00454A29" w:rsidRDefault="00454A29">
            <w:pPr>
              <w:pStyle w:val="ConsPlusNormal"/>
            </w:pPr>
          </w:p>
        </w:tc>
        <w:tc>
          <w:tcPr>
            <w:tcW w:w="1701" w:type="dxa"/>
            <w:vAlign w:val="center"/>
          </w:tcPr>
          <w:p w14:paraId="5AA9A3D8" w14:textId="77777777" w:rsidR="00454A29" w:rsidRDefault="00454A29">
            <w:pPr>
              <w:pStyle w:val="ConsPlusNormal"/>
            </w:pPr>
          </w:p>
        </w:tc>
        <w:tc>
          <w:tcPr>
            <w:tcW w:w="1814" w:type="dxa"/>
            <w:vAlign w:val="center"/>
          </w:tcPr>
          <w:p w14:paraId="38FF7561" w14:textId="77777777" w:rsidR="00454A29" w:rsidRDefault="00454A29">
            <w:pPr>
              <w:pStyle w:val="ConsPlusNormal"/>
            </w:pPr>
          </w:p>
        </w:tc>
      </w:tr>
      <w:tr w:rsidR="00454A29" w14:paraId="04A67486" w14:textId="77777777">
        <w:tc>
          <w:tcPr>
            <w:tcW w:w="567" w:type="dxa"/>
            <w:vMerge/>
          </w:tcPr>
          <w:p w14:paraId="26C8C60C" w14:textId="77777777" w:rsidR="00454A29" w:rsidRDefault="00454A29"/>
        </w:tc>
        <w:tc>
          <w:tcPr>
            <w:tcW w:w="3345" w:type="dxa"/>
            <w:vMerge/>
          </w:tcPr>
          <w:p w14:paraId="7F628090" w14:textId="77777777" w:rsidR="00454A29" w:rsidRDefault="00454A29"/>
        </w:tc>
        <w:tc>
          <w:tcPr>
            <w:tcW w:w="1701" w:type="dxa"/>
            <w:vAlign w:val="center"/>
          </w:tcPr>
          <w:p w14:paraId="00EB1C16" w14:textId="77777777" w:rsidR="00454A29" w:rsidRDefault="00454A29">
            <w:pPr>
              <w:pStyle w:val="ConsPlusNormal"/>
              <w:jc w:val="center"/>
            </w:pPr>
            <w:r>
              <w:t>2023</w:t>
            </w:r>
          </w:p>
        </w:tc>
        <w:tc>
          <w:tcPr>
            <w:tcW w:w="1417" w:type="dxa"/>
            <w:vMerge/>
          </w:tcPr>
          <w:p w14:paraId="56A13090" w14:textId="77777777" w:rsidR="00454A29" w:rsidRDefault="00454A29"/>
        </w:tc>
        <w:tc>
          <w:tcPr>
            <w:tcW w:w="2204" w:type="dxa"/>
            <w:vMerge/>
          </w:tcPr>
          <w:p w14:paraId="00D0E37A" w14:textId="77777777" w:rsidR="00454A29" w:rsidRDefault="00454A29"/>
        </w:tc>
        <w:tc>
          <w:tcPr>
            <w:tcW w:w="1417" w:type="dxa"/>
            <w:vMerge/>
          </w:tcPr>
          <w:p w14:paraId="68B3721F" w14:textId="77777777" w:rsidR="00454A29" w:rsidRDefault="00454A29"/>
        </w:tc>
        <w:tc>
          <w:tcPr>
            <w:tcW w:w="2324" w:type="dxa"/>
            <w:vMerge/>
          </w:tcPr>
          <w:p w14:paraId="472DEEF2" w14:textId="77777777" w:rsidR="00454A29" w:rsidRDefault="00454A29"/>
        </w:tc>
        <w:tc>
          <w:tcPr>
            <w:tcW w:w="1701" w:type="dxa"/>
            <w:vAlign w:val="center"/>
          </w:tcPr>
          <w:p w14:paraId="48349D7E" w14:textId="77777777" w:rsidR="00454A29" w:rsidRDefault="00454A29">
            <w:pPr>
              <w:pStyle w:val="ConsPlusNormal"/>
              <w:jc w:val="center"/>
            </w:pPr>
            <w:r>
              <w:t>-</w:t>
            </w:r>
          </w:p>
        </w:tc>
        <w:tc>
          <w:tcPr>
            <w:tcW w:w="1814" w:type="dxa"/>
            <w:vAlign w:val="center"/>
          </w:tcPr>
          <w:p w14:paraId="258AD3FA" w14:textId="77777777" w:rsidR="00454A29" w:rsidRDefault="00454A29">
            <w:pPr>
              <w:pStyle w:val="ConsPlusNormal"/>
            </w:pPr>
          </w:p>
        </w:tc>
        <w:tc>
          <w:tcPr>
            <w:tcW w:w="1701" w:type="dxa"/>
            <w:vAlign w:val="center"/>
          </w:tcPr>
          <w:p w14:paraId="59F2D232" w14:textId="77777777" w:rsidR="00454A29" w:rsidRDefault="00454A29">
            <w:pPr>
              <w:pStyle w:val="ConsPlusNormal"/>
            </w:pPr>
          </w:p>
        </w:tc>
        <w:tc>
          <w:tcPr>
            <w:tcW w:w="1701" w:type="dxa"/>
            <w:vAlign w:val="center"/>
          </w:tcPr>
          <w:p w14:paraId="5376A0BA" w14:textId="77777777" w:rsidR="00454A29" w:rsidRDefault="00454A29">
            <w:pPr>
              <w:pStyle w:val="ConsPlusNormal"/>
            </w:pPr>
          </w:p>
        </w:tc>
        <w:tc>
          <w:tcPr>
            <w:tcW w:w="1814" w:type="dxa"/>
            <w:vAlign w:val="center"/>
          </w:tcPr>
          <w:p w14:paraId="0900F43D" w14:textId="77777777" w:rsidR="00454A29" w:rsidRDefault="00454A29">
            <w:pPr>
              <w:pStyle w:val="ConsPlusNormal"/>
            </w:pPr>
          </w:p>
        </w:tc>
      </w:tr>
      <w:tr w:rsidR="00454A29" w14:paraId="7A778F14" w14:textId="77777777">
        <w:tc>
          <w:tcPr>
            <w:tcW w:w="567" w:type="dxa"/>
            <w:vMerge/>
          </w:tcPr>
          <w:p w14:paraId="00D0DA2D" w14:textId="77777777" w:rsidR="00454A29" w:rsidRDefault="00454A29"/>
        </w:tc>
        <w:tc>
          <w:tcPr>
            <w:tcW w:w="3345" w:type="dxa"/>
            <w:vMerge/>
          </w:tcPr>
          <w:p w14:paraId="674EAB3D" w14:textId="77777777" w:rsidR="00454A29" w:rsidRDefault="00454A29"/>
        </w:tc>
        <w:tc>
          <w:tcPr>
            <w:tcW w:w="1701" w:type="dxa"/>
            <w:vAlign w:val="center"/>
          </w:tcPr>
          <w:p w14:paraId="500C3A85" w14:textId="77777777" w:rsidR="00454A29" w:rsidRDefault="00454A29">
            <w:pPr>
              <w:pStyle w:val="ConsPlusNormal"/>
              <w:jc w:val="center"/>
            </w:pPr>
            <w:r>
              <w:t>2024</w:t>
            </w:r>
          </w:p>
        </w:tc>
        <w:tc>
          <w:tcPr>
            <w:tcW w:w="1417" w:type="dxa"/>
            <w:vMerge/>
          </w:tcPr>
          <w:p w14:paraId="002DF330" w14:textId="77777777" w:rsidR="00454A29" w:rsidRDefault="00454A29"/>
        </w:tc>
        <w:tc>
          <w:tcPr>
            <w:tcW w:w="2204" w:type="dxa"/>
            <w:vMerge/>
          </w:tcPr>
          <w:p w14:paraId="7DD71701" w14:textId="77777777" w:rsidR="00454A29" w:rsidRDefault="00454A29"/>
        </w:tc>
        <w:tc>
          <w:tcPr>
            <w:tcW w:w="1417" w:type="dxa"/>
            <w:vMerge/>
          </w:tcPr>
          <w:p w14:paraId="3F9A85C3" w14:textId="77777777" w:rsidR="00454A29" w:rsidRDefault="00454A29"/>
        </w:tc>
        <w:tc>
          <w:tcPr>
            <w:tcW w:w="2324" w:type="dxa"/>
            <w:vMerge/>
          </w:tcPr>
          <w:p w14:paraId="260A7092" w14:textId="77777777" w:rsidR="00454A29" w:rsidRDefault="00454A29"/>
        </w:tc>
        <w:tc>
          <w:tcPr>
            <w:tcW w:w="1701" w:type="dxa"/>
            <w:vAlign w:val="center"/>
          </w:tcPr>
          <w:p w14:paraId="798D45A3" w14:textId="77777777" w:rsidR="00454A29" w:rsidRDefault="00454A29">
            <w:pPr>
              <w:pStyle w:val="ConsPlusNormal"/>
              <w:jc w:val="center"/>
            </w:pPr>
            <w:r>
              <w:t>-</w:t>
            </w:r>
          </w:p>
        </w:tc>
        <w:tc>
          <w:tcPr>
            <w:tcW w:w="1814" w:type="dxa"/>
            <w:vAlign w:val="center"/>
          </w:tcPr>
          <w:p w14:paraId="3BB56BB0" w14:textId="77777777" w:rsidR="00454A29" w:rsidRDefault="00454A29">
            <w:pPr>
              <w:pStyle w:val="ConsPlusNormal"/>
            </w:pPr>
          </w:p>
        </w:tc>
        <w:tc>
          <w:tcPr>
            <w:tcW w:w="1701" w:type="dxa"/>
            <w:vAlign w:val="center"/>
          </w:tcPr>
          <w:p w14:paraId="39F100F3" w14:textId="77777777" w:rsidR="00454A29" w:rsidRDefault="00454A29">
            <w:pPr>
              <w:pStyle w:val="ConsPlusNormal"/>
            </w:pPr>
          </w:p>
        </w:tc>
        <w:tc>
          <w:tcPr>
            <w:tcW w:w="1701" w:type="dxa"/>
            <w:vAlign w:val="center"/>
          </w:tcPr>
          <w:p w14:paraId="6DBE4517" w14:textId="77777777" w:rsidR="00454A29" w:rsidRDefault="00454A29">
            <w:pPr>
              <w:pStyle w:val="ConsPlusNormal"/>
            </w:pPr>
          </w:p>
        </w:tc>
        <w:tc>
          <w:tcPr>
            <w:tcW w:w="1814" w:type="dxa"/>
            <w:vAlign w:val="center"/>
          </w:tcPr>
          <w:p w14:paraId="376D62E4" w14:textId="77777777" w:rsidR="00454A29" w:rsidRDefault="00454A29">
            <w:pPr>
              <w:pStyle w:val="ConsPlusNormal"/>
            </w:pPr>
          </w:p>
        </w:tc>
      </w:tr>
      <w:tr w:rsidR="00454A29" w14:paraId="2C48D28F" w14:textId="77777777">
        <w:tc>
          <w:tcPr>
            <w:tcW w:w="567" w:type="dxa"/>
            <w:vMerge/>
          </w:tcPr>
          <w:p w14:paraId="57B8F2B1" w14:textId="77777777" w:rsidR="00454A29" w:rsidRDefault="00454A29"/>
        </w:tc>
        <w:tc>
          <w:tcPr>
            <w:tcW w:w="3345" w:type="dxa"/>
            <w:vMerge/>
          </w:tcPr>
          <w:p w14:paraId="6D435706" w14:textId="77777777" w:rsidR="00454A29" w:rsidRDefault="00454A29"/>
        </w:tc>
        <w:tc>
          <w:tcPr>
            <w:tcW w:w="1701" w:type="dxa"/>
            <w:vAlign w:val="center"/>
          </w:tcPr>
          <w:p w14:paraId="4B6E8281" w14:textId="77777777" w:rsidR="00454A29" w:rsidRDefault="00454A29">
            <w:pPr>
              <w:pStyle w:val="ConsPlusNormal"/>
              <w:jc w:val="center"/>
            </w:pPr>
            <w:r>
              <w:t>2025</w:t>
            </w:r>
          </w:p>
        </w:tc>
        <w:tc>
          <w:tcPr>
            <w:tcW w:w="1417" w:type="dxa"/>
            <w:vMerge/>
          </w:tcPr>
          <w:p w14:paraId="69917C7B" w14:textId="77777777" w:rsidR="00454A29" w:rsidRDefault="00454A29"/>
        </w:tc>
        <w:tc>
          <w:tcPr>
            <w:tcW w:w="2204" w:type="dxa"/>
            <w:vMerge/>
          </w:tcPr>
          <w:p w14:paraId="0D6170ED" w14:textId="77777777" w:rsidR="00454A29" w:rsidRDefault="00454A29"/>
        </w:tc>
        <w:tc>
          <w:tcPr>
            <w:tcW w:w="1417" w:type="dxa"/>
            <w:vMerge/>
          </w:tcPr>
          <w:p w14:paraId="6E35D956" w14:textId="77777777" w:rsidR="00454A29" w:rsidRDefault="00454A29"/>
        </w:tc>
        <w:tc>
          <w:tcPr>
            <w:tcW w:w="2324" w:type="dxa"/>
            <w:vMerge/>
          </w:tcPr>
          <w:p w14:paraId="22DF9CA6" w14:textId="77777777" w:rsidR="00454A29" w:rsidRDefault="00454A29"/>
        </w:tc>
        <w:tc>
          <w:tcPr>
            <w:tcW w:w="1701" w:type="dxa"/>
            <w:vAlign w:val="center"/>
          </w:tcPr>
          <w:p w14:paraId="77894F10" w14:textId="77777777" w:rsidR="00454A29" w:rsidRDefault="00454A29">
            <w:pPr>
              <w:pStyle w:val="ConsPlusNormal"/>
              <w:jc w:val="center"/>
            </w:pPr>
            <w:r>
              <w:t>244 427,36</w:t>
            </w:r>
          </w:p>
        </w:tc>
        <w:tc>
          <w:tcPr>
            <w:tcW w:w="1814" w:type="dxa"/>
            <w:vAlign w:val="center"/>
          </w:tcPr>
          <w:p w14:paraId="69AB12F2" w14:textId="77777777" w:rsidR="00454A29" w:rsidRDefault="00454A29">
            <w:pPr>
              <w:pStyle w:val="ConsPlusNormal"/>
              <w:jc w:val="center"/>
            </w:pPr>
            <w:r>
              <w:t>244 427,36</w:t>
            </w:r>
          </w:p>
        </w:tc>
        <w:tc>
          <w:tcPr>
            <w:tcW w:w="1701" w:type="dxa"/>
            <w:vAlign w:val="center"/>
          </w:tcPr>
          <w:p w14:paraId="6302AAC0" w14:textId="77777777" w:rsidR="00454A29" w:rsidRDefault="00454A29">
            <w:pPr>
              <w:pStyle w:val="ConsPlusNormal"/>
            </w:pPr>
          </w:p>
        </w:tc>
        <w:tc>
          <w:tcPr>
            <w:tcW w:w="1701" w:type="dxa"/>
            <w:vAlign w:val="center"/>
          </w:tcPr>
          <w:p w14:paraId="785D639C" w14:textId="77777777" w:rsidR="00454A29" w:rsidRDefault="00454A29">
            <w:pPr>
              <w:pStyle w:val="ConsPlusNormal"/>
            </w:pPr>
          </w:p>
        </w:tc>
        <w:tc>
          <w:tcPr>
            <w:tcW w:w="1814" w:type="dxa"/>
            <w:vAlign w:val="center"/>
          </w:tcPr>
          <w:p w14:paraId="31C34C09" w14:textId="77777777" w:rsidR="00454A29" w:rsidRDefault="00454A29">
            <w:pPr>
              <w:pStyle w:val="ConsPlusNormal"/>
            </w:pPr>
          </w:p>
        </w:tc>
      </w:tr>
      <w:tr w:rsidR="00454A29" w14:paraId="0AC166CE" w14:textId="77777777">
        <w:tc>
          <w:tcPr>
            <w:tcW w:w="567" w:type="dxa"/>
            <w:vMerge/>
          </w:tcPr>
          <w:p w14:paraId="00C270E6" w14:textId="77777777" w:rsidR="00454A29" w:rsidRDefault="00454A29"/>
        </w:tc>
        <w:tc>
          <w:tcPr>
            <w:tcW w:w="3345" w:type="dxa"/>
            <w:vMerge/>
          </w:tcPr>
          <w:p w14:paraId="3E71DCD4" w14:textId="77777777" w:rsidR="00454A29" w:rsidRDefault="00454A29"/>
        </w:tc>
        <w:tc>
          <w:tcPr>
            <w:tcW w:w="1701" w:type="dxa"/>
            <w:vAlign w:val="center"/>
          </w:tcPr>
          <w:p w14:paraId="3131907A" w14:textId="77777777" w:rsidR="00454A29" w:rsidRDefault="00454A29">
            <w:pPr>
              <w:pStyle w:val="ConsPlusNormal"/>
              <w:jc w:val="center"/>
            </w:pPr>
            <w:r>
              <w:t>2026</w:t>
            </w:r>
          </w:p>
        </w:tc>
        <w:tc>
          <w:tcPr>
            <w:tcW w:w="1417" w:type="dxa"/>
            <w:vMerge/>
          </w:tcPr>
          <w:p w14:paraId="558066FE" w14:textId="77777777" w:rsidR="00454A29" w:rsidRDefault="00454A29"/>
        </w:tc>
        <w:tc>
          <w:tcPr>
            <w:tcW w:w="2204" w:type="dxa"/>
            <w:vMerge/>
          </w:tcPr>
          <w:p w14:paraId="39FC13D6" w14:textId="77777777" w:rsidR="00454A29" w:rsidRDefault="00454A29"/>
        </w:tc>
        <w:tc>
          <w:tcPr>
            <w:tcW w:w="1417" w:type="dxa"/>
            <w:vMerge/>
          </w:tcPr>
          <w:p w14:paraId="1691D25C" w14:textId="77777777" w:rsidR="00454A29" w:rsidRDefault="00454A29"/>
        </w:tc>
        <w:tc>
          <w:tcPr>
            <w:tcW w:w="2324" w:type="dxa"/>
            <w:vMerge/>
          </w:tcPr>
          <w:p w14:paraId="733FD030" w14:textId="77777777" w:rsidR="00454A29" w:rsidRDefault="00454A29"/>
        </w:tc>
        <w:tc>
          <w:tcPr>
            <w:tcW w:w="1701" w:type="dxa"/>
            <w:vAlign w:val="center"/>
          </w:tcPr>
          <w:p w14:paraId="7222A730" w14:textId="77777777" w:rsidR="00454A29" w:rsidRDefault="00454A29">
            <w:pPr>
              <w:pStyle w:val="ConsPlusNormal"/>
              <w:jc w:val="center"/>
            </w:pPr>
            <w:r>
              <w:t>238 051,00</w:t>
            </w:r>
          </w:p>
        </w:tc>
        <w:tc>
          <w:tcPr>
            <w:tcW w:w="1814" w:type="dxa"/>
            <w:vAlign w:val="center"/>
          </w:tcPr>
          <w:p w14:paraId="3674D00E" w14:textId="77777777" w:rsidR="00454A29" w:rsidRDefault="00454A29">
            <w:pPr>
              <w:pStyle w:val="ConsPlusNormal"/>
              <w:jc w:val="center"/>
            </w:pPr>
            <w:r>
              <w:t>238 051,00</w:t>
            </w:r>
          </w:p>
        </w:tc>
        <w:tc>
          <w:tcPr>
            <w:tcW w:w="1701" w:type="dxa"/>
            <w:vAlign w:val="center"/>
          </w:tcPr>
          <w:p w14:paraId="3A5E670D" w14:textId="77777777" w:rsidR="00454A29" w:rsidRDefault="00454A29">
            <w:pPr>
              <w:pStyle w:val="ConsPlusNormal"/>
            </w:pPr>
          </w:p>
        </w:tc>
        <w:tc>
          <w:tcPr>
            <w:tcW w:w="1701" w:type="dxa"/>
            <w:vAlign w:val="center"/>
          </w:tcPr>
          <w:p w14:paraId="52A43FE1" w14:textId="77777777" w:rsidR="00454A29" w:rsidRDefault="00454A29">
            <w:pPr>
              <w:pStyle w:val="ConsPlusNormal"/>
            </w:pPr>
          </w:p>
        </w:tc>
        <w:tc>
          <w:tcPr>
            <w:tcW w:w="1814" w:type="dxa"/>
            <w:vAlign w:val="center"/>
          </w:tcPr>
          <w:p w14:paraId="023372A2" w14:textId="77777777" w:rsidR="00454A29" w:rsidRDefault="00454A29">
            <w:pPr>
              <w:pStyle w:val="ConsPlusNormal"/>
            </w:pPr>
          </w:p>
        </w:tc>
      </w:tr>
      <w:tr w:rsidR="00454A29" w14:paraId="4CDCC509" w14:textId="77777777">
        <w:tc>
          <w:tcPr>
            <w:tcW w:w="567" w:type="dxa"/>
            <w:vMerge w:val="restart"/>
            <w:vAlign w:val="center"/>
          </w:tcPr>
          <w:p w14:paraId="389197EC" w14:textId="77777777" w:rsidR="00454A29" w:rsidRDefault="00454A29">
            <w:pPr>
              <w:pStyle w:val="ConsPlusNormal"/>
              <w:jc w:val="center"/>
            </w:pPr>
            <w:r>
              <w:t>41</w:t>
            </w:r>
          </w:p>
        </w:tc>
        <w:tc>
          <w:tcPr>
            <w:tcW w:w="3345" w:type="dxa"/>
            <w:vMerge w:val="restart"/>
            <w:vAlign w:val="center"/>
          </w:tcPr>
          <w:p w14:paraId="447E1436" w14:textId="77777777" w:rsidR="00454A29" w:rsidRDefault="00454A29">
            <w:pPr>
              <w:pStyle w:val="ConsPlusNormal"/>
              <w:jc w:val="center"/>
            </w:pPr>
            <w:r>
              <w:t>Детский сад на 200 мест в квартале 2В г. Якутска</w:t>
            </w:r>
          </w:p>
        </w:tc>
        <w:tc>
          <w:tcPr>
            <w:tcW w:w="1701" w:type="dxa"/>
            <w:vAlign w:val="center"/>
          </w:tcPr>
          <w:p w14:paraId="33DA4438" w14:textId="77777777" w:rsidR="00454A29" w:rsidRDefault="00454A29">
            <w:pPr>
              <w:pStyle w:val="ConsPlusNormal"/>
              <w:jc w:val="center"/>
            </w:pPr>
            <w:r>
              <w:t>2020 - 2026 годы - всего</w:t>
            </w:r>
          </w:p>
        </w:tc>
        <w:tc>
          <w:tcPr>
            <w:tcW w:w="1417" w:type="dxa"/>
            <w:vMerge w:val="restart"/>
            <w:vAlign w:val="center"/>
          </w:tcPr>
          <w:p w14:paraId="5777E1B3" w14:textId="77777777" w:rsidR="00454A29" w:rsidRDefault="00454A29">
            <w:pPr>
              <w:pStyle w:val="ConsPlusNormal"/>
              <w:jc w:val="center"/>
            </w:pPr>
            <w:r>
              <w:t>325 900,97</w:t>
            </w:r>
          </w:p>
        </w:tc>
        <w:tc>
          <w:tcPr>
            <w:tcW w:w="2204" w:type="dxa"/>
            <w:vMerge w:val="restart"/>
            <w:vAlign w:val="center"/>
          </w:tcPr>
          <w:p w14:paraId="2D1A6333" w14:textId="77777777" w:rsidR="00454A29" w:rsidRDefault="00454A29">
            <w:pPr>
              <w:pStyle w:val="ConsPlusNormal"/>
              <w:jc w:val="center"/>
            </w:pPr>
            <w:r>
              <w:t>имеется</w:t>
            </w:r>
          </w:p>
        </w:tc>
        <w:tc>
          <w:tcPr>
            <w:tcW w:w="1417" w:type="dxa"/>
            <w:vMerge w:val="restart"/>
            <w:vAlign w:val="center"/>
          </w:tcPr>
          <w:p w14:paraId="685C66D4" w14:textId="77777777" w:rsidR="00454A29" w:rsidRDefault="00454A29">
            <w:pPr>
              <w:pStyle w:val="ConsPlusNormal"/>
              <w:jc w:val="center"/>
            </w:pPr>
            <w:r>
              <w:t>200</w:t>
            </w:r>
          </w:p>
        </w:tc>
        <w:tc>
          <w:tcPr>
            <w:tcW w:w="2324" w:type="dxa"/>
            <w:vMerge w:val="restart"/>
            <w:vAlign w:val="center"/>
          </w:tcPr>
          <w:p w14:paraId="3BE1C1E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5ED8DAE3" w14:textId="77777777" w:rsidR="00454A29" w:rsidRDefault="00454A29">
            <w:pPr>
              <w:pStyle w:val="ConsPlusNormal"/>
              <w:jc w:val="center"/>
            </w:pPr>
            <w:r>
              <w:t>189 837,31</w:t>
            </w:r>
          </w:p>
        </w:tc>
        <w:tc>
          <w:tcPr>
            <w:tcW w:w="1814" w:type="dxa"/>
            <w:vAlign w:val="center"/>
          </w:tcPr>
          <w:p w14:paraId="40522F1A" w14:textId="77777777" w:rsidR="00454A29" w:rsidRDefault="00454A29">
            <w:pPr>
              <w:pStyle w:val="ConsPlusNormal"/>
              <w:jc w:val="center"/>
            </w:pPr>
            <w:r>
              <w:t>189 837,31</w:t>
            </w:r>
          </w:p>
        </w:tc>
        <w:tc>
          <w:tcPr>
            <w:tcW w:w="1701" w:type="dxa"/>
            <w:vAlign w:val="center"/>
          </w:tcPr>
          <w:p w14:paraId="2BE5BCDB" w14:textId="77777777" w:rsidR="00454A29" w:rsidRDefault="00454A29">
            <w:pPr>
              <w:pStyle w:val="ConsPlusNormal"/>
              <w:jc w:val="center"/>
            </w:pPr>
            <w:r>
              <w:t>-</w:t>
            </w:r>
          </w:p>
        </w:tc>
        <w:tc>
          <w:tcPr>
            <w:tcW w:w="1701" w:type="dxa"/>
            <w:vAlign w:val="center"/>
          </w:tcPr>
          <w:p w14:paraId="278AF12E" w14:textId="77777777" w:rsidR="00454A29" w:rsidRDefault="00454A29">
            <w:pPr>
              <w:pStyle w:val="ConsPlusNormal"/>
              <w:jc w:val="center"/>
            </w:pPr>
            <w:r>
              <w:t>-</w:t>
            </w:r>
          </w:p>
        </w:tc>
        <w:tc>
          <w:tcPr>
            <w:tcW w:w="1814" w:type="dxa"/>
            <w:vAlign w:val="center"/>
          </w:tcPr>
          <w:p w14:paraId="18534077" w14:textId="77777777" w:rsidR="00454A29" w:rsidRDefault="00454A29">
            <w:pPr>
              <w:pStyle w:val="ConsPlusNormal"/>
              <w:jc w:val="center"/>
            </w:pPr>
            <w:r>
              <w:t>-</w:t>
            </w:r>
          </w:p>
        </w:tc>
      </w:tr>
      <w:tr w:rsidR="00454A29" w14:paraId="00AB196E" w14:textId="77777777">
        <w:tc>
          <w:tcPr>
            <w:tcW w:w="567" w:type="dxa"/>
            <w:vMerge/>
          </w:tcPr>
          <w:p w14:paraId="4C7FBFC3" w14:textId="77777777" w:rsidR="00454A29" w:rsidRDefault="00454A29"/>
        </w:tc>
        <w:tc>
          <w:tcPr>
            <w:tcW w:w="3345" w:type="dxa"/>
            <w:vMerge/>
          </w:tcPr>
          <w:p w14:paraId="5BEC7F58" w14:textId="77777777" w:rsidR="00454A29" w:rsidRDefault="00454A29"/>
        </w:tc>
        <w:tc>
          <w:tcPr>
            <w:tcW w:w="1701" w:type="dxa"/>
            <w:vAlign w:val="center"/>
          </w:tcPr>
          <w:p w14:paraId="1ADE3534" w14:textId="77777777" w:rsidR="00454A29" w:rsidRDefault="00454A29">
            <w:pPr>
              <w:pStyle w:val="ConsPlusNormal"/>
              <w:jc w:val="center"/>
            </w:pPr>
            <w:r>
              <w:t>2020</w:t>
            </w:r>
          </w:p>
        </w:tc>
        <w:tc>
          <w:tcPr>
            <w:tcW w:w="1417" w:type="dxa"/>
            <w:vMerge/>
          </w:tcPr>
          <w:p w14:paraId="59ABC463" w14:textId="77777777" w:rsidR="00454A29" w:rsidRDefault="00454A29"/>
        </w:tc>
        <w:tc>
          <w:tcPr>
            <w:tcW w:w="2204" w:type="dxa"/>
            <w:vMerge/>
          </w:tcPr>
          <w:p w14:paraId="2D99E228" w14:textId="77777777" w:rsidR="00454A29" w:rsidRDefault="00454A29"/>
        </w:tc>
        <w:tc>
          <w:tcPr>
            <w:tcW w:w="1417" w:type="dxa"/>
            <w:vMerge/>
          </w:tcPr>
          <w:p w14:paraId="0385EA5B" w14:textId="77777777" w:rsidR="00454A29" w:rsidRDefault="00454A29"/>
        </w:tc>
        <w:tc>
          <w:tcPr>
            <w:tcW w:w="2324" w:type="dxa"/>
            <w:vMerge/>
          </w:tcPr>
          <w:p w14:paraId="437C6606" w14:textId="77777777" w:rsidR="00454A29" w:rsidRDefault="00454A29"/>
        </w:tc>
        <w:tc>
          <w:tcPr>
            <w:tcW w:w="1701" w:type="dxa"/>
            <w:vAlign w:val="center"/>
          </w:tcPr>
          <w:p w14:paraId="1662BA2A" w14:textId="77777777" w:rsidR="00454A29" w:rsidRDefault="00454A29">
            <w:pPr>
              <w:pStyle w:val="ConsPlusNormal"/>
              <w:jc w:val="center"/>
            </w:pPr>
            <w:r>
              <w:t>-</w:t>
            </w:r>
          </w:p>
        </w:tc>
        <w:tc>
          <w:tcPr>
            <w:tcW w:w="1814" w:type="dxa"/>
            <w:vAlign w:val="center"/>
          </w:tcPr>
          <w:p w14:paraId="648CA9C2" w14:textId="77777777" w:rsidR="00454A29" w:rsidRDefault="00454A29">
            <w:pPr>
              <w:pStyle w:val="ConsPlusNormal"/>
            </w:pPr>
          </w:p>
        </w:tc>
        <w:tc>
          <w:tcPr>
            <w:tcW w:w="1701" w:type="dxa"/>
            <w:vAlign w:val="center"/>
          </w:tcPr>
          <w:p w14:paraId="035962C7" w14:textId="77777777" w:rsidR="00454A29" w:rsidRDefault="00454A29">
            <w:pPr>
              <w:pStyle w:val="ConsPlusNormal"/>
            </w:pPr>
          </w:p>
        </w:tc>
        <w:tc>
          <w:tcPr>
            <w:tcW w:w="1701" w:type="dxa"/>
            <w:vAlign w:val="center"/>
          </w:tcPr>
          <w:p w14:paraId="172F23F8" w14:textId="77777777" w:rsidR="00454A29" w:rsidRDefault="00454A29">
            <w:pPr>
              <w:pStyle w:val="ConsPlusNormal"/>
            </w:pPr>
          </w:p>
        </w:tc>
        <w:tc>
          <w:tcPr>
            <w:tcW w:w="1814" w:type="dxa"/>
            <w:vAlign w:val="center"/>
          </w:tcPr>
          <w:p w14:paraId="06839300" w14:textId="77777777" w:rsidR="00454A29" w:rsidRDefault="00454A29">
            <w:pPr>
              <w:pStyle w:val="ConsPlusNormal"/>
            </w:pPr>
          </w:p>
        </w:tc>
      </w:tr>
      <w:tr w:rsidR="00454A29" w14:paraId="38F666B6" w14:textId="77777777">
        <w:tc>
          <w:tcPr>
            <w:tcW w:w="567" w:type="dxa"/>
            <w:vMerge/>
          </w:tcPr>
          <w:p w14:paraId="3EFB4DCE" w14:textId="77777777" w:rsidR="00454A29" w:rsidRDefault="00454A29"/>
        </w:tc>
        <w:tc>
          <w:tcPr>
            <w:tcW w:w="3345" w:type="dxa"/>
            <w:vMerge/>
          </w:tcPr>
          <w:p w14:paraId="49E49E32" w14:textId="77777777" w:rsidR="00454A29" w:rsidRDefault="00454A29"/>
        </w:tc>
        <w:tc>
          <w:tcPr>
            <w:tcW w:w="1701" w:type="dxa"/>
            <w:vAlign w:val="center"/>
          </w:tcPr>
          <w:p w14:paraId="6295B89B" w14:textId="77777777" w:rsidR="00454A29" w:rsidRDefault="00454A29">
            <w:pPr>
              <w:pStyle w:val="ConsPlusNormal"/>
              <w:jc w:val="center"/>
            </w:pPr>
            <w:r>
              <w:t>2021</w:t>
            </w:r>
          </w:p>
        </w:tc>
        <w:tc>
          <w:tcPr>
            <w:tcW w:w="1417" w:type="dxa"/>
            <w:vMerge/>
          </w:tcPr>
          <w:p w14:paraId="24D80759" w14:textId="77777777" w:rsidR="00454A29" w:rsidRDefault="00454A29"/>
        </w:tc>
        <w:tc>
          <w:tcPr>
            <w:tcW w:w="2204" w:type="dxa"/>
            <w:vMerge/>
          </w:tcPr>
          <w:p w14:paraId="0E9EB089" w14:textId="77777777" w:rsidR="00454A29" w:rsidRDefault="00454A29"/>
        </w:tc>
        <w:tc>
          <w:tcPr>
            <w:tcW w:w="1417" w:type="dxa"/>
            <w:vMerge/>
          </w:tcPr>
          <w:p w14:paraId="78E72B04" w14:textId="77777777" w:rsidR="00454A29" w:rsidRDefault="00454A29"/>
        </w:tc>
        <w:tc>
          <w:tcPr>
            <w:tcW w:w="2324" w:type="dxa"/>
            <w:vMerge/>
          </w:tcPr>
          <w:p w14:paraId="576A41F2" w14:textId="77777777" w:rsidR="00454A29" w:rsidRDefault="00454A29"/>
        </w:tc>
        <w:tc>
          <w:tcPr>
            <w:tcW w:w="1701" w:type="dxa"/>
            <w:vAlign w:val="center"/>
          </w:tcPr>
          <w:p w14:paraId="2270C6BE" w14:textId="77777777" w:rsidR="00454A29" w:rsidRDefault="00454A29">
            <w:pPr>
              <w:pStyle w:val="ConsPlusNormal"/>
              <w:jc w:val="center"/>
            </w:pPr>
            <w:r>
              <w:t>-</w:t>
            </w:r>
          </w:p>
        </w:tc>
        <w:tc>
          <w:tcPr>
            <w:tcW w:w="1814" w:type="dxa"/>
            <w:vAlign w:val="center"/>
          </w:tcPr>
          <w:p w14:paraId="5B853B17" w14:textId="77777777" w:rsidR="00454A29" w:rsidRDefault="00454A29">
            <w:pPr>
              <w:pStyle w:val="ConsPlusNormal"/>
            </w:pPr>
          </w:p>
        </w:tc>
        <w:tc>
          <w:tcPr>
            <w:tcW w:w="1701" w:type="dxa"/>
            <w:vAlign w:val="center"/>
          </w:tcPr>
          <w:p w14:paraId="2138D9EB" w14:textId="77777777" w:rsidR="00454A29" w:rsidRDefault="00454A29">
            <w:pPr>
              <w:pStyle w:val="ConsPlusNormal"/>
            </w:pPr>
          </w:p>
        </w:tc>
        <w:tc>
          <w:tcPr>
            <w:tcW w:w="1701" w:type="dxa"/>
            <w:vAlign w:val="center"/>
          </w:tcPr>
          <w:p w14:paraId="1D0CC9D1" w14:textId="77777777" w:rsidR="00454A29" w:rsidRDefault="00454A29">
            <w:pPr>
              <w:pStyle w:val="ConsPlusNormal"/>
            </w:pPr>
          </w:p>
        </w:tc>
        <w:tc>
          <w:tcPr>
            <w:tcW w:w="1814" w:type="dxa"/>
            <w:vAlign w:val="center"/>
          </w:tcPr>
          <w:p w14:paraId="0EA7084F" w14:textId="77777777" w:rsidR="00454A29" w:rsidRDefault="00454A29">
            <w:pPr>
              <w:pStyle w:val="ConsPlusNormal"/>
            </w:pPr>
          </w:p>
        </w:tc>
      </w:tr>
      <w:tr w:rsidR="00454A29" w14:paraId="3FC82E7E" w14:textId="77777777">
        <w:tc>
          <w:tcPr>
            <w:tcW w:w="567" w:type="dxa"/>
            <w:vMerge/>
          </w:tcPr>
          <w:p w14:paraId="5FCF2DCE" w14:textId="77777777" w:rsidR="00454A29" w:rsidRDefault="00454A29"/>
        </w:tc>
        <w:tc>
          <w:tcPr>
            <w:tcW w:w="3345" w:type="dxa"/>
            <w:vMerge/>
          </w:tcPr>
          <w:p w14:paraId="2A1D21F0" w14:textId="77777777" w:rsidR="00454A29" w:rsidRDefault="00454A29"/>
        </w:tc>
        <w:tc>
          <w:tcPr>
            <w:tcW w:w="1701" w:type="dxa"/>
            <w:vAlign w:val="center"/>
          </w:tcPr>
          <w:p w14:paraId="3AABAF75" w14:textId="77777777" w:rsidR="00454A29" w:rsidRDefault="00454A29">
            <w:pPr>
              <w:pStyle w:val="ConsPlusNormal"/>
              <w:jc w:val="center"/>
            </w:pPr>
            <w:r>
              <w:t>2022</w:t>
            </w:r>
          </w:p>
        </w:tc>
        <w:tc>
          <w:tcPr>
            <w:tcW w:w="1417" w:type="dxa"/>
            <w:vMerge/>
          </w:tcPr>
          <w:p w14:paraId="6776E8FA" w14:textId="77777777" w:rsidR="00454A29" w:rsidRDefault="00454A29"/>
        </w:tc>
        <w:tc>
          <w:tcPr>
            <w:tcW w:w="2204" w:type="dxa"/>
            <w:vMerge/>
          </w:tcPr>
          <w:p w14:paraId="57D4B7FA" w14:textId="77777777" w:rsidR="00454A29" w:rsidRDefault="00454A29"/>
        </w:tc>
        <w:tc>
          <w:tcPr>
            <w:tcW w:w="1417" w:type="dxa"/>
            <w:vMerge/>
          </w:tcPr>
          <w:p w14:paraId="16A2E703" w14:textId="77777777" w:rsidR="00454A29" w:rsidRDefault="00454A29"/>
        </w:tc>
        <w:tc>
          <w:tcPr>
            <w:tcW w:w="2324" w:type="dxa"/>
            <w:vMerge/>
          </w:tcPr>
          <w:p w14:paraId="028514DE" w14:textId="77777777" w:rsidR="00454A29" w:rsidRDefault="00454A29"/>
        </w:tc>
        <w:tc>
          <w:tcPr>
            <w:tcW w:w="1701" w:type="dxa"/>
            <w:vAlign w:val="center"/>
          </w:tcPr>
          <w:p w14:paraId="467E33A8" w14:textId="77777777" w:rsidR="00454A29" w:rsidRDefault="00454A29">
            <w:pPr>
              <w:pStyle w:val="ConsPlusNormal"/>
            </w:pPr>
          </w:p>
        </w:tc>
        <w:tc>
          <w:tcPr>
            <w:tcW w:w="1814" w:type="dxa"/>
            <w:vAlign w:val="center"/>
          </w:tcPr>
          <w:p w14:paraId="729097E9" w14:textId="77777777" w:rsidR="00454A29" w:rsidRDefault="00454A29">
            <w:pPr>
              <w:pStyle w:val="ConsPlusNormal"/>
            </w:pPr>
          </w:p>
        </w:tc>
        <w:tc>
          <w:tcPr>
            <w:tcW w:w="1701" w:type="dxa"/>
            <w:vAlign w:val="center"/>
          </w:tcPr>
          <w:p w14:paraId="3020BB5C" w14:textId="77777777" w:rsidR="00454A29" w:rsidRDefault="00454A29">
            <w:pPr>
              <w:pStyle w:val="ConsPlusNormal"/>
            </w:pPr>
          </w:p>
        </w:tc>
        <w:tc>
          <w:tcPr>
            <w:tcW w:w="1701" w:type="dxa"/>
            <w:vAlign w:val="center"/>
          </w:tcPr>
          <w:p w14:paraId="72C079AF" w14:textId="77777777" w:rsidR="00454A29" w:rsidRDefault="00454A29">
            <w:pPr>
              <w:pStyle w:val="ConsPlusNormal"/>
            </w:pPr>
          </w:p>
        </w:tc>
        <w:tc>
          <w:tcPr>
            <w:tcW w:w="1814" w:type="dxa"/>
            <w:vAlign w:val="center"/>
          </w:tcPr>
          <w:p w14:paraId="5D09106E" w14:textId="77777777" w:rsidR="00454A29" w:rsidRDefault="00454A29">
            <w:pPr>
              <w:pStyle w:val="ConsPlusNormal"/>
            </w:pPr>
          </w:p>
        </w:tc>
      </w:tr>
      <w:tr w:rsidR="00454A29" w14:paraId="0B09114F" w14:textId="77777777">
        <w:tc>
          <w:tcPr>
            <w:tcW w:w="567" w:type="dxa"/>
            <w:vMerge/>
          </w:tcPr>
          <w:p w14:paraId="7DAC6C24" w14:textId="77777777" w:rsidR="00454A29" w:rsidRDefault="00454A29"/>
        </w:tc>
        <w:tc>
          <w:tcPr>
            <w:tcW w:w="3345" w:type="dxa"/>
            <w:vMerge/>
          </w:tcPr>
          <w:p w14:paraId="5ABD8F26" w14:textId="77777777" w:rsidR="00454A29" w:rsidRDefault="00454A29"/>
        </w:tc>
        <w:tc>
          <w:tcPr>
            <w:tcW w:w="1701" w:type="dxa"/>
            <w:vAlign w:val="center"/>
          </w:tcPr>
          <w:p w14:paraId="35297833" w14:textId="77777777" w:rsidR="00454A29" w:rsidRDefault="00454A29">
            <w:pPr>
              <w:pStyle w:val="ConsPlusNormal"/>
              <w:jc w:val="center"/>
            </w:pPr>
            <w:r>
              <w:t>2023</w:t>
            </w:r>
          </w:p>
        </w:tc>
        <w:tc>
          <w:tcPr>
            <w:tcW w:w="1417" w:type="dxa"/>
            <w:vMerge/>
          </w:tcPr>
          <w:p w14:paraId="12F51CBD" w14:textId="77777777" w:rsidR="00454A29" w:rsidRDefault="00454A29"/>
        </w:tc>
        <w:tc>
          <w:tcPr>
            <w:tcW w:w="2204" w:type="dxa"/>
            <w:vMerge/>
          </w:tcPr>
          <w:p w14:paraId="605C3AD3" w14:textId="77777777" w:rsidR="00454A29" w:rsidRDefault="00454A29"/>
        </w:tc>
        <w:tc>
          <w:tcPr>
            <w:tcW w:w="1417" w:type="dxa"/>
            <w:vMerge/>
          </w:tcPr>
          <w:p w14:paraId="4D49AB62" w14:textId="77777777" w:rsidR="00454A29" w:rsidRDefault="00454A29"/>
        </w:tc>
        <w:tc>
          <w:tcPr>
            <w:tcW w:w="2324" w:type="dxa"/>
            <w:vMerge/>
          </w:tcPr>
          <w:p w14:paraId="1E40BCAC" w14:textId="77777777" w:rsidR="00454A29" w:rsidRDefault="00454A29"/>
        </w:tc>
        <w:tc>
          <w:tcPr>
            <w:tcW w:w="1701" w:type="dxa"/>
            <w:vAlign w:val="center"/>
          </w:tcPr>
          <w:p w14:paraId="3492E5CE" w14:textId="77777777" w:rsidR="00454A29" w:rsidRDefault="00454A29">
            <w:pPr>
              <w:pStyle w:val="ConsPlusNormal"/>
              <w:jc w:val="center"/>
            </w:pPr>
            <w:r>
              <w:t>80 823,44</w:t>
            </w:r>
          </w:p>
        </w:tc>
        <w:tc>
          <w:tcPr>
            <w:tcW w:w="1814" w:type="dxa"/>
            <w:vAlign w:val="center"/>
          </w:tcPr>
          <w:p w14:paraId="0286E914" w14:textId="77777777" w:rsidR="00454A29" w:rsidRDefault="00454A29">
            <w:pPr>
              <w:pStyle w:val="ConsPlusNormal"/>
              <w:jc w:val="center"/>
            </w:pPr>
            <w:r>
              <w:t>80 823,44</w:t>
            </w:r>
          </w:p>
        </w:tc>
        <w:tc>
          <w:tcPr>
            <w:tcW w:w="1701" w:type="dxa"/>
            <w:vAlign w:val="center"/>
          </w:tcPr>
          <w:p w14:paraId="0CA8648F" w14:textId="77777777" w:rsidR="00454A29" w:rsidRDefault="00454A29">
            <w:pPr>
              <w:pStyle w:val="ConsPlusNormal"/>
            </w:pPr>
          </w:p>
        </w:tc>
        <w:tc>
          <w:tcPr>
            <w:tcW w:w="1701" w:type="dxa"/>
            <w:vAlign w:val="center"/>
          </w:tcPr>
          <w:p w14:paraId="33266F96" w14:textId="77777777" w:rsidR="00454A29" w:rsidRDefault="00454A29">
            <w:pPr>
              <w:pStyle w:val="ConsPlusNormal"/>
            </w:pPr>
          </w:p>
        </w:tc>
        <w:tc>
          <w:tcPr>
            <w:tcW w:w="1814" w:type="dxa"/>
            <w:vAlign w:val="center"/>
          </w:tcPr>
          <w:p w14:paraId="64938959" w14:textId="77777777" w:rsidR="00454A29" w:rsidRDefault="00454A29">
            <w:pPr>
              <w:pStyle w:val="ConsPlusNormal"/>
            </w:pPr>
          </w:p>
        </w:tc>
      </w:tr>
      <w:tr w:rsidR="00454A29" w14:paraId="55FC185B" w14:textId="77777777">
        <w:tc>
          <w:tcPr>
            <w:tcW w:w="567" w:type="dxa"/>
            <w:vMerge/>
          </w:tcPr>
          <w:p w14:paraId="75E9CA21" w14:textId="77777777" w:rsidR="00454A29" w:rsidRDefault="00454A29"/>
        </w:tc>
        <w:tc>
          <w:tcPr>
            <w:tcW w:w="3345" w:type="dxa"/>
            <w:vMerge/>
          </w:tcPr>
          <w:p w14:paraId="24FC4A4D" w14:textId="77777777" w:rsidR="00454A29" w:rsidRDefault="00454A29"/>
        </w:tc>
        <w:tc>
          <w:tcPr>
            <w:tcW w:w="1701" w:type="dxa"/>
            <w:vAlign w:val="center"/>
          </w:tcPr>
          <w:p w14:paraId="7DBB3E9D" w14:textId="77777777" w:rsidR="00454A29" w:rsidRDefault="00454A29">
            <w:pPr>
              <w:pStyle w:val="ConsPlusNormal"/>
              <w:jc w:val="center"/>
            </w:pPr>
            <w:r>
              <w:t>2024</w:t>
            </w:r>
          </w:p>
        </w:tc>
        <w:tc>
          <w:tcPr>
            <w:tcW w:w="1417" w:type="dxa"/>
            <w:vMerge/>
          </w:tcPr>
          <w:p w14:paraId="135E1AA7" w14:textId="77777777" w:rsidR="00454A29" w:rsidRDefault="00454A29"/>
        </w:tc>
        <w:tc>
          <w:tcPr>
            <w:tcW w:w="2204" w:type="dxa"/>
            <w:vMerge/>
          </w:tcPr>
          <w:p w14:paraId="1C3137D6" w14:textId="77777777" w:rsidR="00454A29" w:rsidRDefault="00454A29"/>
        </w:tc>
        <w:tc>
          <w:tcPr>
            <w:tcW w:w="1417" w:type="dxa"/>
            <w:vMerge/>
          </w:tcPr>
          <w:p w14:paraId="2737C4F1" w14:textId="77777777" w:rsidR="00454A29" w:rsidRDefault="00454A29"/>
        </w:tc>
        <w:tc>
          <w:tcPr>
            <w:tcW w:w="2324" w:type="dxa"/>
            <w:vMerge/>
          </w:tcPr>
          <w:p w14:paraId="218B0DDF" w14:textId="77777777" w:rsidR="00454A29" w:rsidRDefault="00454A29"/>
        </w:tc>
        <w:tc>
          <w:tcPr>
            <w:tcW w:w="1701" w:type="dxa"/>
            <w:vAlign w:val="center"/>
          </w:tcPr>
          <w:p w14:paraId="6E9FDFF4" w14:textId="77777777" w:rsidR="00454A29" w:rsidRDefault="00454A29">
            <w:pPr>
              <w:pStyle w:val="ConsPlusNormal"/>
              <w:jc w:val="center"/>
            </w:pPr>
            <w:r>
              <w:t>109 013,87</w:t>
            </w:r>
          </w:p>
        </w:tc>
        <w:tc>
          <w:tcPr>
            <w:tcW w:w="1814" w:type="dxa"/>
            <w:vAlign w:val="center"/>
          </w:tcPr>
          <w:p w14:paraId="065F7979" w14:textId="77777777" w:rsidR="00454A29" w:rsidRDefault="00454A29">
            <w:pPr>
              <w:pStyle w:val="ConsPlusNormal"/>
              <w:jc w:val="center"/>
            </w:pPr>
            <w:r>
              <w:t>109 013,87</w:t>
            </w:r>
          </w:p>
        </w:tc>
        <w:tc>
          <w:tcPr>
            <w:tcW w:w="1701" w:type="dxa"/>
            <w:vAlign w:val="center"/>
          </w:tcPr>
          <w:p w14:paraId="17C3C4BE" w14:textId="77777777" w:rsidR="00454A29" w:rsidRDefault="00454A29">
            <w:pPr>
              <w:pStyle w:val="ConsPlusNormal"/>
            </w:pPr>
          </w:p>
        </w:tc>
        <w:tc>
          <w:tcPr>
            <w:tcW w:w="1701" w:type="dxa"/>
            <w:vAlign w:val="center"/>
          </w:tcPr>
          <w:p w14:paraId="4C5F5FD3" w14:textId="77777777" w:rsidR="00454A29" w:rsidRDefault="00454A29">
            <w:pPr>
              <w:pStyle w:val="ConsPlusNormal"/>
            </w:pPr>
          </w:p>
        </w:tc>
        <w:tc>
          <w:tcPr>
            <w:tcW w:w="1814" w:type="dxa"/>
            <w:vAlign w:val="center"/>
          </w:tcPr>
          <w:p w14:paraId="01EC0157" w14:textId="77777777" w:rsidR="00454A29" w:rsidRDefault="00454A29">
            <w:pPr>
              <w:pStyle w:val="ConsPlusNormal"/>
            </w:pPr>
          </w:p>
        </w:tc>
      </w:tr>
      <w:tr w:rsidR="00454A29" w14:paraId="50245C74" w14:textId="77777777">
        <w:tc>
          <w:tcPr>
            <w:tcW w:w="567" w:type="dxa"/>
            <w:vMerge/>
          </w:tcPr>
          <w:p w14:paraId="433F4C47" w14:textId="77777777" w:rsidR="00454A29" w:rsidRDefault="00454A29"/>
        </w:tc>
        <w:tc>
          <w:tcPr>
            <w:tcW w:w="3345" w:type="dxa"/>
            <w:vMerge/>
          </w:tcPr>
          <w:p w14:paraId="6E5E1BE1" w14:textId="77777777" w:rsidR="00454A29" w:rsidRDefault="00454A29"/>
        </w:tc>
        <w:tc>
          <w:tcPr>
            <w:tcW w:w="1701" w:type="dxa"/>
            <w:vAlign w:val="center"/>
          </w:tcPr>
          <w:p w14:paraId="2B6069A5" w14:textId="77777777" w:rsidR="00454A29" w:rsidRDefault="00454A29">
            <w:pPr>
              <w:pStyle w:val="ConsPlusNormal"/>
              <w:jc w:val="center"/>
            </w:pPr>
            <w:r>
              <w:t>2025</w:t>
            </w:r>
          </w:p>
        </w:tc>
        <w:tc>
          <w:tcPr>
            <w:tcW w:w="1417" w:type="dxa"/>
            <w:vMerge/>
          </w:tcPr>
          <w:p w14:paraId="2CC1AFCA" w14:textId="77777777" w:rsidR="00454A29" w:rsidRDefault="00454A29"/>
        </w:tc>
        <w:tc>
          <w:tcPr>
            <w:tcW w:w="2204" w:type="dxa"/>
            <w:vMerge/>
          </w:tcPr>
          <w:p w14:paraId="1D81B1DA" w14:textId="77777777" w:rsidR="00454A29" w:rsidRDefault="00454A29"/>
        </w:tc>
        <w:tc>
          <w:tcPr>
            <w:tcW w:w="1417" w:type="dxa"/>
            <w:vMerge/>
          </w:tcPr>
          <w:p w14:paraId="1390A707" w14:textId="77777777" w:rsidR="00454A29" w:rsidRDefault="00454A29"/>
        </w:tc>
        <w:tc>
          <w:tcPr>
            <w:tcW w:w="2324" w:type="dxa"/>
            <w:vMerge/>
          </w:tcPr>
          <w:p w14:paraId="2F647F2D" w14:textId="77777777" w:rsidR="00454A29" w:rsidRDefault="00454A29"/>
        </w:tc>
        <w:tc>
          <w:tcPr>
            <w:tcW w:w="1701" w:type="dxa"/>
            <w:vAlign w:val="center"/>
          </w:tcPr>
          <w:p w14:paraId="3D6FADB3" w14:textId="77777777" w:rsidR="00454A29" w:rsidRDefault="00454A29">
            <w:pPr>
              <w:pStyle w:val="ConsPlusNormal"/>
              <w:jc w:val="center"/>
            </w:pPr>
            <w:r>
              <w:t>-</w:t>
            </w:r>
          </w:p>
        </w:tc>
        <w:tc>
          <w:tcPr>
            <w:tcW w:w="1814" w:type="dxa"/>
            <w:vAlign w:val="center"/>
          </w:tcPr>
          <w:p w14:paraId="00678964" w14:textId="77777777" w:rsidR="00454A29" w:rsidRDefault="00454A29">
            <w:pPr>
              <w:pStyle w:val="ConsPlusNormal"/>
            </w:pPr>
          </w:p>
        </w:tc>
        <w:tc>
          <w:tcPr>
            <w:tcW w:w="1701" w:type="dxa"/>
            <w:vAlign w:val="center"/>
          </w:tcPr>
          <w:p w14:paraId="1F0E813F" w14:textId="77777777" w:rsidR="00454A29" w:rsidRDefault="00454A29">
            <w:pPr>
              <w:pStyle w:val="ConsPlusNormal"/>
            </w:pPr>
          </w:p>
        </w:tc>
        <w:tc>
          <w:tcPr>
            <w:tcW w:w="1701" w:type="dxa"/>
            <w:vAlign w:val="center"/>
          </w:tcPr>
          <w:p w14:paraId="0A80FF0B" w14:textId="77777777" w:rsidR="00454A29" w:rsidRDefault="00454A29">
            <w:pPr>
              <w:pStyle w:val="ConsPlusNormal"/>
            </w:pPr>
          </w:p>
        </w:tc>
        <w:tc>
          <w:tcPr>
            <w:tcW w:w="1814" w:type="dxa"/>
            <w:vAlign w:val="center"/>
          </w:tcPr>
          <w:p w14:paraId="11C510DB" w14:textId="77777777" w:rsidR="00454A29" w:rsidRDefault="00454A29">
            <w:pPr>
              <w:pStyle w:val="ConsPlusNormal"/>
            </w:pPr>
          </w:p>
        </w:tc>
      </w:tr>
      <w:tr w:rsidR="00454A29" w14:paraId="4BDB3A35" w14:textId="77777777">
        <w:tc>
          <w:tcPr>
            <w:tcW w:w="567" w:type="dxa"/>
            <w:vMerge/>
          </w:tcPr>
          <w:p w14:paraId="1DFB9F24" w14:textId="77777777" w:rsidR="00454A29" w:rsidRDefault="00454A29"/>
        </w:tc>
        <w:tc>
          <w:tcPr>
            <w:tcW w:w="3345" w:type="dxa"/>
            <w:vMerge/>
          </w:tcPr>
          <w:p w14:paraId="5914E91D" w14:textId="77777777" w:rsidR="00454A29" w:rsidRDefault="00454A29"/>
        </w:tc>
        <w:tc>
          <w:tcPr>
            <w:tcW w:w="1701" w:type="dxa"/>
            <w:vAlign w:val="center"/>
          </w:tcPr>
          <w:p w14:paraId="123FF0DA" w14:textId="77777777" w:rsidR="00454A29" w:rsidRDefault="00454A29">
            <w:pPr>
              <w:pStyle w:val="ConsPlusNormal"/>
              <w:jc w:val="center"/>
            </w:pPr>
            <w:r>
              <w:t>2026</w:t>
            </w:r>
          </w:p>
        </w:tc>
        <w:tc>
          <w:tcPr>
            <w:tcW w:w="1417" w:type="dxa"/>
            <w:vMerge/>
          </w:tcPr>
          <w:p w14:paraId="3A07A394" w14:textId="77777777" w:rsidR="00454A29" w:rsidRDefault="00454A29"/>
        </w:tc>
        <w:tc>
          <w:tcPr>
            <w:tcW w:w="2204" w:type="dxa"/>
            <w:vMerge/>
          </w:tcPr>
          <w:p w14:paraId="521B2A13" w14:textId="77777777" w:rsidR="00454A29" w:rsidRDefault="00454A29"/>
        </w:tc>
        <w:tc>
          <w:tcPr>
            <w:tcW w:w="1417" w:type="dxa"/>
            <w:vMerge/>
          </w:tcPr>
          <w:p w14:paraId="7729F56A" w14:textId="77777777" w:rsidR="00454A29" w:rsidRDefault="00454A29"/>
        </w:tc>
        <w:tc>
          <w:tcPr>
            <w:tcW w:w="2324" w:type="dxa"/>
            <w:vMerge/>
          </w:tcPr>
          <w:p w14:paraId="1FB8CD89" w14:textId="77777777" w:rsidR="00454A29" w:rsidRDefault="00454A29"/>
        </w:tc>
        <w:tc>
          <w:tcPr>
            <w:tcW w:w="1701" w:type="dxa"/>
            <w:vAlign w:val="center"/>
          </w:tcPr>
          <w:p w14:paraId="0FB1B526" w14:textId="77777777" w:rsidR="00454A29" w:rsidRDefault="00454A29">
            <w:pPr>
              <w:pStyle w:val="ConsPlusNormal"/>
              <w:jc w:val="center"/>
            </w:pPr>
            <w:r>
              <w:t>-</w:t>
            </w:r>
          </w:p>
        </w:tc>
        <w:tc>
          <w:tcPr>
            <w:tcW w:w="1814" w:type="dxa"/>
            <w:vAlign w:val="center"/>
          </w:tcPr>
          <w:p w14:paraId="2F7F2502" w14:textId="77777777" w:rsidR="00454A29" w:rsidRDefault="00454A29">
            <w:pPr>
              <w:pStyle w:val="ConsPlusNormal"/>
            </w:pPr>
          </w:p>
        </w:tc>
        <w:tc>
          <w:tcPr>
            <w:tcW w:w="1701" w:type="dxa"/>
            <w:vAlign w:val="center"/>
          </w:tcPr>
          <w:p w14:paraId="3BBB8C07" w14:textId="77777777" w:rsidR="00454A29" w:rsidRDefault="00454A29">
            <w:pPr>
              <w:pStyle w:val="ConsPlusNormal"/>
            </w:pPr>
          </w:p>
        </w:tc>
        <w:tc>
          <w:tcPr>
            <w:tcW w:w="1701" w:type="dxa"/>
            <w:vAlign w:val="center"/>
          </w:tcPr>
          <w:p w14:paraId="24F7BB44" w14:textId="77777777" w:rsidR="00454A29" w:rsidRDefault="00454A29">
            <w:pPr>
              <w:pStyle w:val="ConsPlusNormal"/>
            </w:pPr>
          </w:p>
        </w:tc>
        <w:tc>
          <w:tcPr>
            <w:tcW w:w="1814" w:type="dxa"/>
            <w:vAlign w:val="center"/>
          </w:tcPr>
          <w:p w14:paraId="4ED7E78F" w14:textId="77777777" w:rsidR="00454A29" w:rsidRDefault="00454A29">
            <w:pPr>
              <w:pStyle w:val="ConsPlusNormal"/>
            </w:pPr>
          </w:p>
        </w:tc>
      </w:tr>
      <w:tr w:rsidR="00454A29" w14:paraId="3F891B53" w14:textId="77777777">
        <w:tc>
          <w:tcPr>
            <w:tcW w:w="567" w:type="dxa"/>
            <w:vMerge w:val="restart"/>
            <w:vAlign w:val="center"/>
          </w:tcPr>
          <w:p w14:paraId="3454D441" w14:textId="77777777" w:rsidR="00454A29" w:rsidRDefault="00454A29">
            <w:pPr>
              <w:pStyle w:val="ConsPlusNormal"/>
              <w:jc w:val="center"/>
            </w:pPr>
            <w:r>
              <w:t>42</w:t>
            </w:r>
          </w:p>
        </w:tc>
        <w:tc>
          <w:tcPr>
            <w:tcW w:w="3345" w:type="dxa"/>
            <w:vMerge w:val="restart"/>
            <w:vAlign w:val="center"/>
          </w:tcPr>
          <w:p w14:paraId="355F82A7" w14:textId="77777777" w:rsidR="00454A29" w:rsidRDefault="00454A29">
            <w:pPr>
              <w:pStyle w:val="ConsPlusNormal"/>
              <w:jc w:val="center"/>
            </w:pPr>
            <w:r>
              <w:t xml:space="preserve">Строительство объекта "Детский сад на 240 мест в г. Якутск (район </w:t>
            </w:r>
            <w:r>
              <w:lastRenderedPageBreak/>
              <w:t>Сайсары)" (привязка проектной документации)</w:t>
            </w:r>
          </w:p>
        </w:tc>
        <w:tc>
          <w:tcPr>
            <w:tcW w:w="1701" w:type="dxa"/>
            <w:vAlign w:val="center"/>
          </w:tcPr>
          <w:p w14:paraId="2C240D9F" w14:textId="77777777" w:rsidR="00454A29" w:rsidRDefault="00454A29">
            <w:pPr>
              <w:pStyle w:val="ConsPlusNormal"/>
              <w:jc w:val="center"/>
            </w:pPr>
            <w:r>
              <w:lastRenderedPageBreak/>
              <w:t>2020 - 2026 годы - всего</w:t>
            </w:r>
          </w:p>
        </w:tc>
        <w:tc>
          <w:tcPr>
            <w:tcW w:w="1417" w:type="dxa"/>
            <w:vMerge w:val="restart"/>
            <w:vAlign w:val="center"/>
          </w:tcPr>
          <w:p w14:paraId="7E2B5524" w14:textId="77777777" w:rsidR="00454A29" w:rsidRDefault="00454A29">
            <w:pPr>
              <w:pStyle w:val="ConsPlusNormal"/>
              <w:jc w:val="center"/>
            </w:pPr>
            <w:r>
              <w:t>386 446,42</w:t>
            </w:r>
          </w:p>
        </w:tc>
        <w:tc>
          <w:tcPr>
            <w:tcW w:w="2204" w:type="dxa"/>
            <w:vMerge w:val="restart"/>
            <w:vAlign w:val="center"/>
          </w:tcPr>
          <w:p w14:paraId="5F6E31C0" w14:textId="77777777" w:rsidR="00454A29" w:rsidRDefault="00454A29">
            <w:pPr>
              <w:pStyle w:val="ConsPlusNormal"/>
              <w:jc w:val="center"/>
            </w:pPr>
            <w:r>
              <w:t>имеется</w:t>
            </w:r>
          </w:p>
        </w:tc>
        <w:tc>
          <w:tcPr>
            <w:tcW w:w="1417" w:type="dxa"/>
            <w:vMerge w:val="restart"/>
            <w:vAlign w:val="center"/>
          </w:tcPr>
          <w:p w14:paraId="21776D57" w14:textId="77777777" w:rsidR="00454A29" w:rsidRDefault="00454A29">
            <w:pPr>
              <w:pStyle w:val="ConsPlusNormal"/>
              <w:jc w:val="center"/>
            </w:pPr>
            <w:r>
              <w:t>240</w:t>
            </w:r>
          </w:p>
        </w:tc>
        <w:tc>
          <w:tcPr>
            <w:tcW w:w="2324" w:type="dxa"/>
            <w:vMerge w:val="restart"/>
            <w:vAlign w:val="center"/>
          </w:tcPr>
          <w:p w14:paraId="7DAA6D3B"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0E2D6D58" w14:textId="77777777" w:rsidR="00454A29" w:rsidRDefault="00454A29">
            <w:pPr>
              <w:pStyle w:val="ConsPlusNormal"/>
              <w:jc w:val="center"/>
            </w:pPr>
            <w:r>
              <w:lastRenderedPageBreak/>
              <w:t>482 478,36</w:t>
            </w:r>
          </w:p>
        </w:tc>
        <w:tc>
          <w:tcPr>
            <w:tcW w:w="1814" w:type="dxa"/>
            <w:vAlign w:val="center"/>
          </w:tcPr>
          <w:p w14:paraId="7FC874A6" w14:textId="77777777" w:rsidR="00454A29" w:rsidRDefault="00454A29">
            <w:pPr>
              <w:pStyle w:val="ConsPlusNormal"/>
              <w:jc w:val="center"/>
            </w:pPr>
            <w:r>
              <w:t>386 446,42</w:t>
            </w:r>
          </w:p>
        </w:tc>
        <w:tc>
          <w:tcPr>
            <w:tcW w:w="1701" w:type="dxa"/>
            <w:vAlign w:val="center"/>
          </w:tcPr>
          <w:p w14:paraId="48300089" w14:textId="77777777" w:rsidR="00454A29" w:rsidRDefault="00454A29">
            <w:pPr>
              <w:pStyle w:val="ConsPlusNormal"/>
              <w:jc w:val="center"/>
            </w:pPr>
            <w:r>
              <w:t>-</w:t>
            </w:r>
          </w:p>
        </w:tc>
        <w:tc>
          <w:tcPr>
            <w:tcW w:w="1701" w:type="dxa"/>
            <w:vAlign w:val="center"/>
          </w:tcPr>
          <w:p w14:paraId="749167E6" w14:textId="77777777" w:rsidR="00454A29" w:rsidRDefault="00454A29">
            <w:pPr>
              <w:pStyle w:val="ConsPlusNormal"/>
              <w:jc w:val="center"/>
            </w:pPr>
            <w:r>
              <w:t>-</w:t>
            </w:r>
          </w:p>
        </w:tc>
        <w:tc>
          <w:tcPr>
            <w:tcW w:w="1814" w:type="dxa"/>
            <w:vAlign w:val="center"/>
          </w:tcPr>
          <w:p w14:paraId="094BE47C" w14:textId="77777777" w:rsidR="00454A29" w:rsidRDefault="00454A29">
            <w:pPr>
              <w:pStyle w:val="ConsPlusNormal"/>
              <w:jc w:val="center"/>
            </w:pPr>
            <w:r>
              <w:t>-</w:t>
            </w:r>
          </w:p>
        </w:tc>
      </w:tr>
      <w:tr w:rsidR="00454A29" w14:paraId="62260A81" w14:textId="77777777">
        <w:tc>
          <w:tcPr>
            <w:tcW w:w="567" w:type="dxa"/>
            <w:vMerge/>
          </w:tcPr>
          <w:p w14:paraId="09EA146D" w14:textId="77777777" w:rsidR="00454A29" w:rsidRDefault="00454A29"/>
        </w:tc>
        <w:tc>
          <w:tcPr>
            <w:tcW w:w="3345" w:type="dxa"/>
            <w:vMerge/>
          </w:tcPr>
          <w:p w14:paraId="741E41D5" w14:textId="77777777" w:rsidR="00454A29" w:rsidRDefault="00454A29"/>
        </w:tc>
        <w:tc>
          <w:tcPr>
            <w:tcW w:w="1701" w:type="dxa"/>
            <w:vAlign w:val="center"/>
          </w:tcPr>
          <w:p w14:paraId="47D076F9" w14:textId="77777777" w:rsidR="00454A29" w:rsidRDefault="00454A29">
            <w:pPr>
              <w:pStyle w:val="ConsPlusNormal"/>
              <w:jc w:val="center"/>
            </w:pPr>
            <w:r>
              <w:t>2020</w:t>
            </w:r>
          </w:p>
        </w:tc>
        <w:tc>
          <w:tcPr>
            <w:tcW w:w="1417" w:type="dxa"/>
            <w:vMerge/>
          </w:tcPr>
          <w:p w14:paraId="23710C32" w14:textId="77777777" w:rsidR="00454A29" w:rsidRDefault="00454A29"/>
        </w:tc>
        <w:tc>
          <w:tcPr>
            <w:tcW w:w="2204" w:type="dxa"/>
            <w:vMerge/>
          </w:tcPr>
          <w:p w14:paraId="42ED968E" w14:textId="77777777" w:rsidR="00454A29" w:rsidRDefault="00454A29"/>
        </w:tc>
        <w:tc>
          <w:tcPr>
            <w:tcW w:w="1417" w:type="dxa"/>
            <w:vMerge/>
          </w:tcPr>
          <w:p w14:paraId="2FB5AEDD" w14:textId="77777777" w:rsidR="00454A29" w:rsidRDefault="00454A29"/>
        </w:tc>
        <w:tc>
          <w:tcPr>
            <w:tcW w:w="2324" w:type="dxa"/>
            <w:vMerge/>
          </w:tcPr>
          <w:p w14:paraId="68020FA0" w14:textId="77777777" w:rsidR="00454A29" w:rsidRDefault="00454A29"/>
        </w:tc>
        <w:tc>
          <w:tcPr>
            <w:tcW w:w="1701" w:type="dxa"/>
            <w:vAlign w:val="center"/>
          </w:tcPr>
          <w:p w14:paraId="321E67EF" w14:textId="77777777" w:rsidR="00454A29" w:rsidRDefault="00454A29">
            <w:pPr>
              <w:pStyle w:val="ConsPlusNormal"/>
              <w:jc w:val="center"/>
            </w:pPr>
            <w:r>
              <w:t>-</w:t>
            </w:r>
          </w:p>
        </w:tc>
        <w:tc>
          <w:tcPr>
            <w:tcW w:w="1814" w:type="dxa"/>
            <w:vAlign w:val="center"/>
          </w:tcPr>
          <w:p w14:paraId="53860A80" w14:textId="77777777" w:rsidR="00454A29" w:rsidRDefault="00454A29">
            <w:pPr>
              <w:pStyle w:val="ConsPlusNormal"/>
            </w:pPr>
          </w:p>
        </w:tc>
        <w:tc>
          <w:tcPr>
            <w:tcW w:w="1701" w:type="dxa"/>
            <w:vAlign w:val="center"/>
          </w:tcPr>
          <w:p w14:paraId="584D9FB3" w14:textId="77777777" w:rsidR="00454A29" w:rsidRDefault="00454A29">
            <w:pPr>
              <w:pStyle w:val="ConsPlusNormal"/>
            </w:pPr>
          </w:p>
        </w:tc>
        <w:tc>
          <w:tcPr>
            <w:tcW w:w="1701" w:type="dxa"/>
            <w:vAlign w:val="center"/>
          </w:tcPr>
          <w:p w14:paraId="34F46FA5" w14:textId="77777777" w:rsidR="00454A29" w:rsidRDefault="00454A29">
            <w:pPr>
              <w:pStyle w:val="ConsPlusNormal"/>
            </w:pPr>
          </w:p>
        </w:tc>
        <w:tc>
          <w:tcPr>
            <w:tcW w:w="1814" w:type="dxa"/>
            <w:vAlign w:val="center"/>
          </w:tcPr>
          <w:p w14:paraId="206BC9B6" w14:textId="77777777" w:rsidR="00454A29" w:rsidRDefault="00454A29">
            <w:pPr>
              <w:pStyle w:val="ConsPlusNormal"/>
            </w:pPr>
          </w:p>
        </w:tc>
      </w:tr>
      <w:tr w:rsidR="00454A29" w14:paraId="3EC9CC18" w14:textId="77777777">
        <w:tc>
          <w:tcPr>
            <w:tcW w:w="567" w:type="dxa"/>
            <w:vMerge/>
          </w:tcPr>
          <w:p w14:paraId="686DEA53" w14:textId="77777777" w:rsidR="00454A29" w:rsidRDefault="00454A29"/>
        </w:tc>
        <w:tc>
          <w:tcPr>
            <w:tcW w:w="3345" w:type="dxa"/>
            <w:vMerge/>
          </w:tcPr>
          <w:p w14:paraId="5BC36ED5" w14:textId="77777777" w:rsidR="00454A29" w:rsidRDefault="00454A29"/>
        </w:tc>
        <w:tc>
          <w:tcPr>
            <w:tcW w:w="1701" w:type="dxa"/>
            <w:vAlign w:val="center"/>
          </w:tcPr>
          <w:p w14:paraId="737FC4CE" w14:textId="77777777" w:rsidR="00454A29" w:rsidRDefault="00454A29">
            <w:pPr>
              <w:pStyle w:val="ConsPlusNormal"/>
              <w:jc w:val="center"/>
            </w:pPr>
            <w:r>
              <w:t>2021</w:t>
            </w:r>
          </w:p>
        </w:tc>
        <w:tc>
          <w:tcPr>
            <w:tcW w:w="1417" w:type="dxa"/>
            <w:vMerge/>
          </w:tcPr>
          <w:p w14:paraId="07AE1477" w14:textId="77777777" w:rsidR="00454A29" w:rsidRDefault="00454A29"/>
        </w:tc>
        <w:tc>
          <w:tcPr>
            <w:tcW w:w="2204" w:type="dxa"/>
            <w:vMerge/>
          </w:tcPr>
          <w:p w14:paraId="3C53D5FF" w14:textId="77777777" w:rsidR="00454A29" w:rsidRDefault="00454A29"/>
        </w:tc>
        <w:tc>
          <w:tcPr>
            <w:tcW w:w="1417" w:type="dxa"/>
            <w:vMerge/>
          </w:tcPr>
          <w:p w14:paraId="77457D63" w14:textId="77777777" w:rsidR="00454A29" w:rsidRDefault="00454A29"/>
        </w:tc>
        <w:tc>
          <w:tcPr>
            <w:tcW w:w="2324" w:type="dxa"/>
            <w:vMerge/>
          </w:tcPr>
          <w:p w14:paraId="3FE8326E" w14:textId="77777777" w:rsidR="00454A29" w:rsidRDefault="00454A29"/>
        </w:tc>
        <w:tc>
          <w:tcPr>
            <w:tcW w:w="1701" w:type="dxa"/>
            <w:vAlign w:val="center"/>
          </w:tcPr>
          <w:p w14:paraId="49E37C5A" w14:textId="77777777" w:rsidR="00454A29" w:rsidRDefault="00454A29">
            <w:pPr>
              <w:pStyle w:val="ConsPlusNormal"/>
              <w:jc w:val="center"/>
            </w:pPr>
            <w:r>
              <w:t>-</w:t>
            </w:r>
          </w:p>
        </w:tc>
        <w:tc>
          <w:tcPr>
            <w:tcW w:w="1814" w:type="dxa"/>
            <w:vAlign w:val="center"/>
          </w:tcPr>
          <w:p w14:paraId="37267318" w14:textId="77777777" w:rsidR="00454A29" w:rsidRDefault="00454A29">
            <w:pPr>
              <w:pStyle w:val="ConsPlusNormal"/>
            </w:pPr>
          </w:p>
        </w:tc>
        <w:tc>
          <w:tcPr>
            <w:tcW w:w="1701" w:type="dxa"/>
            <w:vAlign w:val="center"/>
          </w:tcPr>
          <w:p w14:paraId="591A36DC" w14:textId="77777777" w:rsidR="00454A29" w:rsidRDefault="00454A29">
            <w:pPr>
              <w:pStyle w:val="ConsPlusNormal"/>
            </w:pPr>
          </w:p>
        </w:tc>
        <w:tc>
          <w:tcPr>
            <w:tcW w:w="1701" w:type="dxa"/>
            <w:vAlign w:val="center"/>
          </w:tcPr>
          <w:p w14:paraId="5DB77946" w14:textId="77777777" w:rsidR="00454A29" w:rsidRDefault="00454A29">
            <w:pPr>
              <w:pStyle w:val="ConsPlusNormal"/>
            </w:pPr>
          </w:p>
        </w:tc>
        <w:tc>
          <w:tcPr>
            <w:tcW w:w="1814" w:type="dxa"/>
            <w:vAlign w:val="center"/>
          </w:tcPr>
          <w:p w14:paraId="62B46D16" w14:textId="77777777" w:rsidR="00454A29" w:rsidRDefault="00454A29">
            <w:pPr>
              <w:pStyle w:val="ConsPlusNormal"/>
            </w:pPr>
          </w:p>
        </w:tc>
      </w:tr>
      <w:tr w:rsidR="00454A29" w14:paraId="4E63C3B5" w14:textId="77777777">
        <w:tc>
          <w:tcPr>
            <w:tcW w:w="567" w:type="dxa"/>
            <w:vMerge/>
          </w:tcPr>
          <w:p w14:paraId="5EA78C29" w14:textId="77777777" w:rsidR="00454A29" w:rsidRDefault="00454A29"/>
        </w:tc>
        <w:tc>
          <w:tcPr>
            <w:tcW w:w="3345" w:type="dxa"/>
            <w:vMerge/>
          </w:tcPr>
          <w:p w14:paraId="5CB8D9C2" w14:textId="77777777" w:rsidR="00454A29" w:rsidRDefault="00454A29"/>
        </w:tc>
        <w:tc>
          <w:tcPr>
            <w:tcW w:w="1701" w:type="dxa"/>
            <w:vAlign w:val="center"/>
          </w:tcPr>
          <w:p w14:paraId="3A86D1A7" w14:textId="77777777" w:rsidR="00454A29" w:rsidRDefault="00454A29">
            <w:pPr>
              <w:pStyle w:val="ConsPlusNormal"/>
              <w:jc w:val="center"/>
            </w:pPr>
            <w:r>
              <w:t>2022</w:t>
            </w:r>
          </w:p>
        </w:tc>
        <w:tc>
          <w:tcPr>
            <w:tcW w:w="1417" w:type="dxa"/>
            <w:vMerge/>
          </w:tcPr>
          <w:p w14:paraId="6125B5E7" w14:textId="77777777" w:rsidR="00454A29" w:rsidRDefault="00454A29"/>
        </w:tc>
        <w:tc>
          <w:tcPr>
            <w:tcW w:w="2204" w:type="dxa"/>
            <w:vMerge/>
          </w:tcPr>
          <w:p w14:paraId="7EC04EA2" w14:textId="77777777" w:rsidR="00454A29" w:rsidRDefault="00454A29"/>
        </w:tc>
        <w:tc>
          <w:tcPr>
            <w:tcW w:w="1417" w:type="dxa"/>
            <w:vMerge/>
          </w:tcPr>
          <w:p w14:paraId="32959663" w14:textId="77777777" w:rsidR="00454A29" w:rsidRDefault="00454A29"/>
        </w:tc>
        <w:tc>
          <w:tcPr>
            <w:tcW w:w="2324" w:type="dxa"/>
            <w:vMerge/>
          </w:tcPr>
          <w:p w14:paraId="2FB71F6B" w14:textId="77777777" w:rsidR="00454A29" w:rsidRDefault="00454A29"/>
        </w:tc>
        <w:tc>
          <w:tcPr>
            <w:tcW w:w="1701" w:type="dxa"/>
            <w:vAlign w:val="center"/>
          </w:tcPr>
          <w:p w14:paraId="1F3D2257" w14:textId="77777777" w:rsidR="00454A29" w:rsidRDefault="00454A29">
            <w:pPr>
              <w:pStyle w:val="ConsPlusNormal"/>
              <w:jc w:val="center"/>
            </w:pPr>
            <w:r>
              <w:t>-</w:t>
            </w:r>
          </w:p>
        </w:tc>
        <w:tc>
          <w:tcPr>
            <w:tcW w:w="1814" w:type="dxa"/>
            <w:vAlign w:val="center"/>
          </w:tcPr>
          <w:p w14:paraId="075B2E9D" w14:textId="77777777" w:rsidR="00454A29" w:rsidRDefault="00454A29">
            <w:pPr>
              <w:pStyle w:val="ConsPlusNormal"/>
            </w:pPr>
          </w:p>
        </w:tc>
        <w:tc>
          <w:tcPr>
            <w:tcW w:w="1701" w:type="dxa"/>
            <w:vAlign w:val="center"/>
          </w:tcPr>
          <w:p w14:paraId="5017E9B1" w14:textId="77777777" w:rsidR="00454A29" w:rsidRDefault="00454A29">
            <w:pPr>
              <w:pStyle w:val="ConsPlusNormal"/>
            </w:pPr>
          </w:p>
        </w:tc>
        <w:tc>
          <w:tcPr>
            <w:tcW w:w="1701" w:type="dxa"/>
            <w:vAlign w:val="center"/>
          </w:tcPr>
          <w:p w14:paraId="406D0F08" w14:textId="77777777" w:rsidR="00454A29" w:rsidRDefault="00454A29">
            <w:pPr>
              <w:pStyle w:val="ConsPlusNormal"/>
            </w:pPr>
          </w:p>
        </w:tc>
        <w:tc>
          <w:tcPr>
            <w:tcW w:w="1814" w:type="dxa"/>
            <w:vAlign w:val="center"/>
          </w:tcPr>
          <w:p w14:paraId="32E676AE" w14:textId="77777777" w:rsidR="00454A29" w:rsidRDefault="00454A29">
            <w:pPr>
              <w:pStyle w:val="ConsPlusNormal"/>
            </w:pPr>
          </w:p>
        </w:tc>
      </w:tr>
      <w:tr w:rsidR="00454A29" w14:paraId="6530210E" w14:textId="77777777">
        <w:tc>
          <w:tcPr>
            <w:tcW w:w="567" w:type="dxa"/>
            <w:vMerge/>
          </w:tcPr>
          <w:p w14:paraId="6457D011" w14:textId="77777777" w:rsidR="00454A29" w:rsidRDefault="00454A29"/>
        </w:tc>
        <w:tc>
          <w:tcPr>
            <w:tcW w:w="3345" w:type="dxa"/>
            <w:vMerge/>
          </w:tcPr>
          <w:p w14:paraId="17D609CC" w14:textId="77777777" w:rsidR="00454A29" w:rsidRDefault="00454A29"/>
        </w:tc>
        <w:tc>
          <w:tcPr>
            <w:tcW w:w="1701" w:type="dxa"/>
            <w:vAlign w:val="center"/>
          </w:tcPr>
          <w:p w14:paraId="0942A6FD" w14:textId="77777777" w:rsidR="00454A29" w:rsidRDefault="00454A29">
            <w:pPr>
              <w:pStyle w:val="ConsPlusNormal"/>
              <w:jc w:val="center"/>
            </w:pPr>
            <w:r>
              <w:t>2023</w:t>
            </w:r>
          </w:p>
        </w:tc>
        <w:tc>
          <w:tcPr>
            <w:tcW w:w="1417" w:type="dxa"/>
            <w:vMerge/>
          </w:tcPr>
          <w:p w14:paraId="5D0CDD26" w14:textId="77777777" w:rsidR="00454A29" w:rsidRDefault="00454A29"/>
        </w:tc>
        <w:tc>
          <w:tcPr>
            <w:tcW w:w="2204" w:type="dxa"/>
            <w:vMerge/>
          </w:tcPr>
          <w:p w14:paraId="518CDF35" w14:textId="77777777" w:rsidR="00454A29" w:rsidRDefault="00454A29"/>
        </w:tc>
        <w:tc>
          <w:tcPr>
            <w:tcW w:w="1417" w:type="dxa"/>
            <w:vMerge/>
          </w:tcPr>
          <w:p w14:paraId="245BDD61" w14:textId="77777777" w:rsidR="00454A29" w:rsidRDefault="00454A29"/>
        </w:tc>
        <w:tc>
          <w:tcPr>
            <w:tcW w:w="2324" w:type="dxa"/>
            <w:vMerge/>
          </w:tcPr>
          <w:p w14:paraId="7348A601" w14:textId="77777777" w:rsidR="00454A29" w:rsidRDefault="00454A29"/>
        </w:tc>
        <w:tc>
          <w:tcPr>
            <w:tcW w:w="1701" w:type="dxa"/>
            <w:vAlign w:val="center"/>
          </w:tcPr>
          <w:p w14:paraId="4515776A" w14:textId="77777777" w:rsidR="00454A29" w:rsidRDefault="00454A29">
            <w:pPr>
              <w:pStyle w:val="ConsPlusNormal"/>
              <w:jc w:val="center"/>
            </w:pPr>
            <w:r>
              <w:t>244 427,36</w:t>
            </w:r>
          </w:p>
        </w:tc>
        <w:tc>
          <w:tcPr>
            <w:tcW w:w="1814" w:type="dxa"/>
            <w:vAlign w:val="center"/>
          </w:tcPr>
          <w:p w14:paraId="6392EB82" w14:textId="77777777" w:rsidR="00454A29" w:rsidRDefault="00454A29">
            <w:pPr>
              <w:pStyle w:val="ConsPlusNormal"/>
              <w:jc w:val="center"/>
            </w:pPr>
            <w:r>
              <w:t>244 427,36</w:t>
            </w:r>
          </w:p>
        </w:tc>
        <w:tc>
          <w:tcPr>
            <w:tcW w:w="1701" w:type="dxa"/>
            <w:vAlign w:val="center"/>
          </w:tcPr>
          <w:p w14:paraId="1661B771" w14:textId="77777777" w:rsidR="00454A29" w:rsidRDefault="00454A29">
            <w:pPr>
              <w:pStyle w:val="ConsPlusNormal"/>
            </w:pPr>
          </w:p>
        </w:tc>
        <w:tc>
          <w:tcPr>
            <w:tcW w:w="1701" w:type="dxa"/>
            <w:vAlign w:val="center"/>
          </w:tcPr>
          <w:p w14:paraId="3DC71C07" w14:textId="77777777" w:rsidR="00454A29" w:rsidRDefault="00454A29">
            <w:pPr>
              <w:pStyle w:val="ConsPlusNormal"/>
            </w:pPr>
          </w:p>
        </w:tc>
        <w:tc>
          <w:tcPr>
            <w:tcW w:w="1814" w:type="dxa"/>
            <w:vAlign w:val="center"/>
          </w:tcPr>
          <w:p w14:paraId="1A8B184E" w14:textId="77777777" w:rsidR="00454A29" w:rsidRDefault="00454A29">
            <w:pPr>
              <w:pStyle w:val="ConsPlusNormal"/>
            </w:pPr>
          </w:p>
        </w:tc>
      </w:tr>
      <w:tr w:rsidR="00454A29" w14:paraId="5EB1C9D3" w14:textId="77777777">
        <w:tc>
          <w:tcPr>
            <w:tcW w:w="567" w:type="dxa"/>
            <w:vMerge/>
          </w:tcPr>
          <w:p w14:paraId="02710330" w14:textId="77777777" w:rsidR="00454A29" w:rsidRDefault="00454A29"/>
        </w:tc>
        <w:tc>
          <w:tcPr>
            <w:tcW w:w="3345" w:type="dxa"/>
            <w:vMerge/>
          </w:tcPr>
          <w:p w14:paraId="4493E788" w14:textId="77777777" w:rsidR="00454A29" w:rsidRDefault="00454A29"/>
        </w:tc>
        <w:tc>
          <w:tcPr>
            <w:tcW w:w="1701" w:type="dxa"/>
            <w:vAlign w:val="center"/>
          </w:tcPr>
          <w:p w14:paraId="792634DB" w14:textId="77777777" w:rsidR="00454A29" w:rsidRDefault="00454A29">
            <w:pPr>
              <w:pStyle w:val="ConsPlusNormal"/>
              <w:jc w:val="center"/>
            </w:pPr>
            <w:r>
              <w:t>2024</w:t>
            </w:r>
          </w:p>
        </w:tc>
        <w:tc>
          <w:tcPr>
            <w:tcW w:w="1417" w:type="dxa"/>
            <w:vMerge/>
          </w:tcPr>
          <w:p w14:paraId="49C6AE58" w14:textId="77777777" w:rsidR="00454A29" w:rsidRDefault="00454A29"/>
        </w:tc>
        <w:tc>
          <w:tcPr>
            <w:tcW w:w="2204" w:type="dxa"/>
            <w:vMerge/>
          </w:tcPr>
          <w:p w14:paraId="661B3850" w14:textId="77777777" w:rsidR="00454A29" w:rsidRDefault="00454A29"/>
        </w:tc>
        <w:tc>
          <w:tcPr>
            <w:tcW w:w="1417" w:type="dxa"/>
            <w:vMerge/>
          </w:tcPr>
          <w:p w14:paraId="3D4C46CE" w14:textId="77777777" w:rsidR="00454A29" w:rsidRDefault="00454A29"/>
        </w:tc>
        <w:tc>
          <w:tcPr>
            <w:tcW w:w="2324" w:type="dxa"/>
            <w:vMerge/>
          </w:tcPr>
          <w:p w14:paraId="32451C56" w14:textId="77777777" w:rsidR="00454A29" w:rsidRDefault="00454A29"/>
        </w:tc>
        <w:tc>
          <w:tcPr>
            <w:tcW w:w="1701" w:type="dxa"/>
            <w:vAlign w:val="center"/>
          </w:tcPr>
          <w:p w14:paraId="205CDE5E" w14:textId="77777777" w:rsidR="00454A29" w:rsidRDefault="00454A29">
            <w:pPr>
              <w:pStyle w:val="ConsPlusNormal"/>
              <w:jc w:val="center"/>
            </w:pPr>
            <w:r>
              <w:t>238 051,00</w:t>
            </w:r>
          </w:p>
        </w:tc>
        <w:tc>
          <w:tcPr>
            <w:tcW w:w="1814" w:type="dxa"/>
            <w:vAlign w:val="center"/>
          </w:tcPr>
          <w:p w14:paraId="25CB8ECC" w14:textId="77777777" w:rsidR="00454A29" w:rsidRDefault="00454A29">
            <w:pPr>
              <w:pStyle w:val="ConsPlusNormal"/>
              <w:jc w:val="center"/>
            </w:pPr>
            <w:r>
              <w:t>238 051,00</w:t>
            </w:r>
          </w:p>
        </w:tc>
        <w:tc>
          <w:tcPr>
            <w:tcW w:w="1701" w:type="dxa"/>
            <w:vAlign w:val="center"/>
          </w:tcPr>
          <w:p w14:paraId="0D31E900" w14:textId="77777777" w:rsidR="00454A29" w:rsidRDefault="00454A29">
            <w:pPr>
              <w:pStyle w:val="ConsPlusNormal"/>
            </w:pPr>
          </w:p>
        </w:tc>
        <w:tc>
          <w:tcPr>
            <w:tcW w:w="1701" w:type="dxa"/>
            <w:vAlign w:val="center"/>
          </w:tcPr>
          <w:p w14:paraId="4EC46404" w14:textId="77777777" w:rsidR="00454A29" w:rsidRDefault="00454A29">
            <w:pPr>
              <w:pStyle w:val="ConsPlusNormal"/>
            </w:pPr>
          </w:p>
        </w:tc>
        <w:tc>
          <w:tcPr>
            <w:tcW w:w="1814" w:type="dxa"/>
            <w:vAlign w:val="center"/>
          </w:tcPr>
          <w:p w14:paraId="5F3DBE13" w14:textId="77777777" w:rsidR="00454A29" w:rsidRDefault="00454A29">
            <w:pPr>
              <w:pStyle w:val="ConsPlusNormal"/>
            </w:pPr>
          </w:p>
        </w:tc>
      </w:tr>
      <w:tr w:rsidR="00454A29" w14:paraId="18E05969" w14:textId="77777777">
        <w:tc>
          <w:tcPr>
            <w:tcW w:w="567" w:type="dxa"/>
            <w:vMerge/>
          </w:tcPr>
          <w:p w14:paraId="65988535" w14:textId="77777777" w:rsidR="00454A29" w:rsidRDefault="00454A29"/>
        </w:tc>
        <w:tc>
          <w:tcPr>
            <w:tcW w:w="3345" w:type="dxa"/>
            <w:vMerge/>
          </w:tcPr>
          <w:p w14:paraId="273B2F20" w14:textId="77777777" w:rsidR="00454A29" w:rsidRDefault="00454A29"/>
        </w:tc>
        <w:tc>
          <w:tcPr>
            <w:tcW w:w="1701" w:type="dxa"/>
            <w:vAlign w:val="center"/>
          </w:tcPr>
          <w:p w14:paraId="248BB58B" w14:textId="77777777" w:rsidR="00454A29" w:rsidRDefault="00454A29">
            <w:pPr>
              <w:pStyle w:val="ConsPlusNormal"/>
              <w:jc w:val="center"/>
            </w:pPr>
            <w:r>
              <w:t>2025</w:t>
            </w:r>
          </w:p>
        </w:tc>
        <w:tc>
          <w:tcPr>
            <w:tcW w:w="1417" w:type="dxa"/>
            <w:vMerge/>
          </w:tcPr>
          <w:p w14:paraId="1EC063F3" w14:textId="77777777" w:rsidR="00454A29" w:rsidRDefault="00454A29"/>
        </w:tc>
        <w:tc>
          <w:tcPr>
            <w:tcW w:w="2204" w:type="dxa"/>
            <w:vMerge/>
          </w:tcPr>
          <w:p w14:paraId="55C71B92" w14:textId="77777777" w:rsidR="00454A29" w:rsidRDefault="00454A29"/>
        </w:tc>
        <w:tc>
          <w:tcPr>
            <w:tcW w:w="1417" w:type="dxa"/>
            <w:vMerge/>
          </w:tcPr>
          <w:p w14:paraId="52799604" w14:textId="77777777" w:rsidR="00454A29" w:rsidRDefault="00454A29"/>
        </w:tc>
        <w:tc>
          <w:tcPr>
            <w:tcW w:w="2324" w:type="dxa"/>
            <w:vMerge/>
          </w:tcPr>
          <w:p w14:paraId="1D7CF976" w14:textId="77777777" w:rsidR="00454A29" w:rsidRDefault="00454A29"/>
        </w:tc>
        <w:tc>
          <w:tcPr>
            <w:tcW w:w="1701" w:type="dxa"/>
            <w:vAlign w:val="center"/>
          </w:tcPr>
          <w:p w14:paraId="5E7AEDD2" w14:textId="77777777" w:rsidR="00454A29" w:rsidRDefault="00454A29">
            <w:pPr>
              <w:pStyle w:val="ConsPlusNormal"/>
              <w:jc w:val="center"/>
            </w:pPr>
            <w:r>
              <w:t>-</w:t>
            </w:r>
          </w:p>
        </w:tc>
        <w:tc>
          <w:tcPr>
            <w:tcW w:w="1814" w:type="dxa"/>
            <w:vAlign w:val="center"/>
          </w:tcPr>
          <w:p w14:paraId="2D0275D8" w14:textId="77777777" w:rsidR="00454A29" w:rsidRDefault="00454A29">
            <w:pPr>
              <w:pStyle w:val="ConsPlusNormal"/>
            </w:pPr>
          </w:p>
        </w:tc>
        <w:tc>
          <w:tcPr>
            <w:tcW w:w="1701" w:type="dxa"/>
            <w:vAlign w:val="center"/>
          </w:tcPr>
          <w:p w14:paraId="526FB02A" w14:textId="77777777" w:rsidR="00454A29" w:rsidRDefault="00454A29">
            <w:pPr>
              <w:pStyle w:val="ConsPlusNormal"/>
            </w:pPr>
          </w:p>
        </w:tc>
        <w:tc>
          <w:tcPr>
            <w:tcW w:w="1701" w:type="dxa"/>
            <w:vAlign w:val="center"/>
          </w:tcPr>
          <w:p w14:paraId="21C62D27" w14:textId="77777777" w:rsidR="00454A29" w:rsidRDefault="00454A29">
            <w:pPr>
              <w:pStyle w:val="ConsPlusNormal"/>
            </w:pPr>
          </w:p>
        </w:tc>
        <w:tc>
          <w:tcPr>
            <w:tcW w:w="1814" w:type="dxa"/>
            <w:vAlign w:val="center"/>
          </w:tcPr>
          <w:p w14:paraId="4ABEE83D" w14:textId="77777777" w:rsidR="00454A29" w:rsidRDefault="00454A29">
            <w:pPr>
              <w:pStyle w:val="ConsPlusNormal"/>
            </w:pPr>
          </w:p>
        </w:tc>
      </w:tr>
      <w:tr w:rsidR="00454A29" w14:paraId="414B8042" w14:textId="77777777">
        <w:tc>
          <w:tcPr>
            <w:tcW w:w="567" w:type="dxa"/>
            <w:vMerge/>
          </w:tcPr>
          <w:p w14:paraId="71D2BE2C" w14:textId="77777777" w:rsidR="00454A29" w:rsidRDefault="00454A29"/>
        </w:tc>
        <w:tc>
          <w:tcPr>
            <w:tcW w:w="3345" w:type="dxa"/>
            <w:vMerge/>
          </w:tcPr>
          <w:p w14:paraId="3CD6A48E" w14:textId="77777777" w:rsidR="00454A29" w:rsidRDefault="00454A29"/>
        </w:tc>
        <w:tc>
          <w:tcPr>
            <w:tcW w:w="1701" w:type="dxa"/>
            <w:vAlign w:val="center"/>
          </w:tcPr>
          <w:p w14:paraId="1173BE1F" w14:textId="77777777" w:rsidR="00454A29" w:rsidRDefault="00454A29">
            <w:pPr>
              <w:pStyle w:val="ConsPlusNormal"/>
              <w:jc w:val="center"/>
            </w:pPr>
            <w:r>
              <w:t>2026</w:t>
            </w:r>
          </w:p>
        </w:tc>
        <w:tc>
          <w:tcPr>
            <w:tcW w:w="1417" w:type="dxa"/>
            <w:vMerge/>
          </w:tcPr>
          <w:p w14:paraId="20515945" w14:textId="77777777" w:rsidR="00454A29" w:rsidRDefault="00454A29"/>
        </w:tc>
        <w:tc>
          <w:tcPr>
            <w:tcW w:w="2204" w:type="dxa"/>
            <w:vMerge/>
          </w:tcPr>
          <w:p w14:paraId="6BDA73C5" w14:textId="77777777" w:rsidR="00454A29" w:rsidRDefault="00454A29"/>
        </w:tc>
        <w:tc>
          <w:tcPr>
            <w:tcW w:w="1417" w:type="dxa"/>
            <w:vMerge/>
          </w:tcPr>
          <w:p w14:paraId="36984640" w14:textId="77777777" w:rsidR="00454A29" w:rsidRDefault="00454A29"/>
        </w:tc>
        <w:tc>
          <w:tcPr>
            <w:tcW w:w="2324" w:type="dxa"/>
            <w:vMerge/>
          </w:tcPr>
          <w:p w14:paraId="0ACBDE7E" w14:textId="77777777" w:rsidR="00454A29" w:rsidRDefault="00454A29"/>
        </w:tc>
        <w:tc>
          <w:tcPr>
            <w:tcW w:w="1701" w:type="dxa"/>
            <w:vAlign w:val="center"/>
          </w:tcPr>
          <w:p w14:paraId="4A234810" w14:textId="77777777" w:rsidR="00454A29" w:rsidRDefault="00454A29">
            <w:pPr>
              <w:pStyle w:val="ConsPlusNormal"/>
              <w:jc w:val="center"/>
            </w:pPr>
            <w:r>
              <w:t>-</w:t>
            </w:r>
          </w:p>
        </w:tc>
        <w:tc>
          <w:tcPr>
            <w:tcW w:w="1814" w:type="dxa"/>
            <w:vAlign w:val="center"/>
          </w:tcPr>
          <w:p w14:paraId="469061CF" w14:textId="77777777" w:rsidR="00454A29" w:rsidRDefault="00454A29">
            <w:pPr>
              <w:pStyle w:val="ConsPlusNormal"/>
            </w:pPr>
          </w:p>
        </w:tc>
        <w:tc>
          <w:tcPr>
            <w:tcW w:w="1701" w:type="dxa"/>
            <w:vAlign w:val="center"/>
          </w:tcPr>
          <w:p w14:paraId="2C050D6E" w14:textId="77777777" w:rsidR="00454A29" w:rsidRDefault="00454A29">
            <w:pPr>
              <w:pStyle w:val="ConsPlusNormal"/>
            </w:pPr>
          </w:p>
        </w:tc>
        <w:tc>
          <w:tcPr>
            <w:tcW w:w="1701" w:type="dxa"/>
            <w:vAlign w:val="center"/>
          </w:tcPr>
          <w:p w14:paraId="58E0F686" w14:textId="77777777" w:rsidR="00454A29" w:rsidRDefault="00454A29">
            <w:pPr>
              <w:pStyle w:val="ConsPlusNormal"/>
            </w:pPr>
          </w:p>
        </w:tc>
        <w:tc>
          <w:tcPr>
            <w:tcW w:w="1814" w:type="dxa"/>
            <w:vAlign w:val="center"/>
          </w:tcPr>
          <w:p w14:paraId="495E4A0C" w14:textId="77777777" w:rsidR="00454A29" w:rsidRDefault="00454A29">
            <w:pPr>
              <w:pStyle w:val="ConsPlusNormal"/>
            </w:pPr>
          </w:p>
        </w:tc>
      </w:tr>
      <w:tr w:rsidR="00454A29" w14:paraId="77C84C81" w14:textId="77777777">
        <w:tc>
          <w:tcPr>
            <w:tcW w:w="567" w:type="dxa"/>
            <w:vMerge w:val="restart"/>
            <w:vAlign w:val="center"/>
          </w:tcPr>
          <w:p w14:paraId="08842BE9" w14:textId="77777777" w:rsidR="00454A29" w:rsidRDefault="00454A29">
            <w:pPr>
              <w:pStyle w:val="ConsPlusNormal"/>
              <w:jc w:val="center"/>
            </w:pPr>
            <w:r>
              <w:t>43</w:t>
            </w:r>
          </w:p>
        </w:tc>
        <w:tc>
          <w:tcPr>
            <w:tcW w:w="3345" w:type="dxa"/>
            <w:vMerge w:val="restart"/>
            <w:vAlign w:val="center"/>
          </w:tcPr>
          <w:p w14:paraId="51954B81" w14:textId="77777777" w:rsidR="00454A29" w:rsidRDefault="00454A29">
            <w:pPr>
              <w:pStyle w:val="ConsPlusNormal"/>
              <w:jc w:val="center"/>
            </w:pPr>
            <w:r>
              <w:t>Строительство объекта "Детский сад на 240 мест в г. Якутск (район Гимеин)" (привязка проектной документации) &lt;*&gt;</w:t>
            </w:r>
          </w:p>
        </w:tc>
        <w:tc>
          <w:tcPr>
            <w:tcW w:w="1701" w:type="dxa"/>
            <w:vAlign w:val="center"/>
          </w:tcPr>
          <w:p w14:paraId="677E871A" w14:textId="77777777" w:rsidR="00454A29" w:rsidRDefault="00454A29">
            <w:pPr>
              <w:pStyle w:val="ConsPlusNormal"/>
              <w:jc w:val="center"/>
            </w:pPr>
            <w:r>
              <w:t>2020 - 2026 годы - всего</w:t>
            </w:r>
          </w:p>
        </w:tc>
        <w:tc>
          <w:tcPr>
            <w:tcW w:w="1417" w:type="dxa"/>
            <w:vMerge w:val="restart"/>
            <w:vAlign w:val="center"/>
          </w:tcPr>
          <w:p w14:paraId="7C11D838" w14:textId="77777777" w:rsidR="00454A29" w:rsidRDefault="00454A29">
            <w:pPr>
              <w:pStyle w:val="ConsPlusNormal"/>
              <w:jc w:val="center"/>
            </w:pPr>
            <w:r>
              <w:t>386 446,42</w:t>
            </w:r>
          </w:p>
        </w:tc>
        <w:tc>
          <w:tcPr>
            <w:tcW w:w="2204" w:type="dxa"/>
            <w:vMerge w:val="restart"/>
            <w:vAlign w:val="center"/>
          </w:tcPr>
          <w:p w14:paraId="53A0CC23" w14:textId="77777777" w:rsidR="00454A29" w:rsidRDefault="00454A29">
            <w:pPr>
              <w:pStyle w:val="ConsPlusNormal"/>
              <w:jc w:val="center"/>
            </w:pPr>
            <w:r>
              <w:t>имеется</w:t>
            </w:r>
          </w:p>
        </w:tc>
        <w:tc>
          <w:tcPr>
            <w:tcW w:w="1417" w:type="dxa"/>
            <w:vMerge w:val="restart"/>
            <w:vAlign w:val="center"/>
          </w:tcPr>
          <w:p w14:paraId="5AC434DA" w14:textId="77777777" w:rsidR="00454A29" w:rsidRDefault="00454A29">
            <w:pPr>
              <w:pStyle w:val="ConsPlusNormal"/>
              <w:jc w:val="center"/>
            </w:pPr>
            <w:r>
              <w:t>240</w:t>
            </w:r>
          </w:p>
        </w:tc>
        <w:tc>
          <w:tcPr>
            <w:tcW w:w="2324" w:type="dxa"/>
            <w:vMerge w:val="restart"/>
            <w:vAlign w:val="center"/>
          </w:tcPr>
          <w:p w14:paraId="342C7CB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9BA4DEE" w14:textId="77777777" w:rsidR="00454A29" w:rsidRDefault="00454A29">
            <w:pPr>
              <w:pStyle w:val="ConsPlusNormal"/>
              <w:jc w:val="center"/>
            </w:pPr>
            <w:r>
              <w:t>373 693,69</w:t>
            </w:r>
          </w:p>
        </w:tc>
        <w:tc>
          <w:tcPr>
            <w:tcW w:w="1814" w:type="dxa"/>
            <w:vAlign w:val="center"/>
          </w:tcPr>
          <w:p w14:paraId="6B4C732F" w14:textId="77777777" w:rsidR="00454A29" w:rsidRDefault="00454A29">
            <w:pPr>
              <w:pStyle w:val="ConsPlusNormal"/>
              <w:jc w:val="center"/>
            </w:pPr>
            <w:r>
              <w:t>386 446,42</w:t>
            </w:r>
          </w:p>
        </w:tc>
        <w:tc>
          <w:tcPr>
            <w:tcW w:w="1701" w:type="dxa"/>
            <w:vAlign w:val="center"/>
          </w:tcPr>
          <w:p w14:paraId="6EEBB61A" w14:textId="77777777" w:rsidR="00454A29" w:rsidRDefault="00454A29">
            <w:pPr>
              <w:pStyle w:val="ConsPlusNormal"/>
              <w:jc w:val="center"/>
            </w:pPr>
            <w:r>
              <w:t>-</w:t>
            </w:r>
          </w:p>
        </w:tc>
        <w:tc>
          <w:tcPr>
            <w:tcW w:w="1701" w:type="dxa"/>
            <w:vAlign w:val="center"/>
          </w:tcPr>
          <w:p w14:paraId="63B5F02A" w14:textId="77777777" w:rsidR="00454A29" w:rsidRDefault="00454A29">
            <w:pPr>
              <w:pStyle w:val="ConsPlusNormal"/>
              <w:jc w:val="center"/>
            </w:pPr>
            <w:r>
              <w:t>-</w:t>
            </w:r>
          </w:p>
        </w:tc>
        <w:tc>
          <w:tcPr>
            <w:tcW w:w="1814" w:type="dxa"/>
            <w:vAlign w:val="center"/>
          </w:tcPr>
          <w:p w14:paraId="55CB6AAD" w14:textId="77777777" w:rsidR="00454A29" w:rsidRDefault="00454A29">
            <w:pPr>
              <w:pStyle w:val="ConsPlusNormal"/>
              <w:jc w:val="center"/>
            </w:pPr>
            <w:r>
              <w:t>-</w:t>
            </w:r>
          </w:p>
        </w:tc>
      </w:tr>
      <w:tr w:rsidR="00454A29" w14:paraId="68159DAB" w14:textId="77777777">
        <w:tc>
          <w:tcPr>
            <w:tcW w:w="567" w:type="dxa"/>
            <w:vMerge/>
          </w:tcPr>
          <w:p w14:paraId="5A2BF303" w14:textId="77777777" w:rsidR="00454A29" w:rsidRDefault="00454A29"/>
        </w:tc>
        <w:tc>
          <w:tcPr>
            <w:tcW w:w="3345" w:type="dxa"/>
            <w:vMerge/>
          </w:tcPr>
          <w:p w14:paraId="6316A78F" w14:textId="77777777" w:rsidR="00454A29" w:rsidRDefault="00454A29"/>
        </w:tc>
        <w:tc>
          <w:tcPr>
            <w:tcW w:w="1701" w:type="dxa"/>
            <w:vAlign w:val="center"/>
          </w:tcPr>
          <w:p w14:paraId="7727013F" w14:textId="77777777" w:rsidR="00454A29" w:rsidRDefault="00454A29">
            <w:pPr>
              <w:pStyle w:val="ConsPlusNormal"/>
              <w:jc w:val="center"/>
            </w:pPr>
            <w:r>
              <w:t>2020</w:t>
            </w:r>
          </w:p>
        </w:tc>
        <w:tc>
          <w:tcPr>
            <w:tcW w:w="1417" w:type="dxa"/>
            <w:vMerge/>
          </w:tcPr>
          <w:p w14:paraId="2E67C819" w14:textId="77777777" w:rsidR="00454A29" w:rsidRDefault="00454A29"/>
        </w:tc>
        <w:tc>
          <w:tcPr>
            <w:tcW w:w="2204" w:type="dxa"/>
            <w:vMerge/>
          </w:tcPr>
          <w:p w14:paraId="5E742472" w14:textId="77777777" w:rsidR="00454A29" w:rsidRDefault="00454A29"/>
        </w:tc>
        <w:tc>
          <w:tcPr>
            <w:tcW w:w="1417" w:type="dxa"/>
            <w:vMerge/>
          </w:tcPr>
          <w:p w14:paraId="28A7208D" w14:textId="77777777" w:rsidR="00454A29" w:rsidRDefault="00454A29"/>
        </w:tc>
        <w:tc>
          <w:tcPr>
            <w:tcW w:w="2324" w:type="dxa"/>
            <w:vMerge/>
          </w:tcPr>
          <w:p w14:paraId="2E9893B8" w14:textId="77777777" w:rsidR="00454A29" w:rsidRDefault="00454A29"/>
        </w:tc>
        <w:tc>
          <w:tcPr>
            <w:tcW w:w="1701" w:type="dxa"/>
            <w:vAlign w:val="center"/>
          </w:tcPr>
          <w:p w14:paraId="2E67D329" w14:textId="77777777" w:rsidR="00454A29" w:rsidRDefault="00454A29">
            <w:pPr>
              <w:pStyle w:val="ConsPlusNormal"/>
              <w:jc w:val="center"/>
            </w:pPr>
            <w:r>
              <w:t>-</w:t>
            </w:r>
          </w:p>
        </w:tc>
        <w:tc>
          <w:tcPr>
            <w:tcW w:w="1814" w:type="dxa"/>
            <w:vAlign w:val="center"/>
          </w:tcPr>
          <w:p w14:paraId="601C9326" w14:textId="77777777" w:rsidR="00454A29" w:rsidRDefault="00454A29">
            <w:pPr>
              <w:pStyle w:val="ConsPlusNormal"/>
            </w:pPr>
          </w:p>
        </w:tc>
        <w:tc>
          <w:tcPr>
            <w:tcW w:w="1701" w:type="dxa"/>
            <w:vAlign w:val="center"/>
          </w:tcPr>
          <w:p w14:paraId="43460F0B" w14:textId="77777777" w:rsidR="00454A29" w:rsidRDefault="00454A29">
            <w:pPr>
              <w:pStyle w:val="ConsPlusNormal"/>
            </w:pPr>
          </w:p>
        </w:tc>
        <w:tc>
          <w:tcPr>
            <w:tcW w:w="1701" w:type="dxa"/>
            <w:vAlign w:val="center"/>
          </w:tcPr>
          <w:p w14:paraId="71BBE499" w14:textId="77777777" w:rsidR="00454A29" w:rsidRDefault="00454A29">
            <w:pPr>
              <w:pStyle w:val="ConsPlusNormal"/>
            </w:pPr>
          </w:p>
        </w:tc>
        <w:tc>
          <w:tcPr>
            <w:tcW w:w="1814" w:type="dxa"/>
            <w:vAlign w:val="center"/>
          </w:tcPr>
          <w:p w14:paraId="503DA5FC" w14:textId="77777777" w:rsidR="00454A29" w:rsidRDefault="00454A29">
            <w:pPr>
              <w:pStyle w:val="ConsPlusNormal"/>
            </w:pPr>
          </w:p>
        </w:tc>
      </w:tr>
      <w:tr w:rsidR="00454A29" w14:paraId="2F853894" w14:textId="77777777">
        <w:tc>
          <w:tcPr>
            <w:tcW w:w="567" w:type="dxa"/>
            <w:vMerge/>
          </w:tcPr>
          <w:p w14:paraId="204EA342" w14:textId="77777777" w:rsidR="00454A29" w:rsidRDefault="00454A29"/>
        </w:tc>
        <w:tc>
          <w:tcPr>
            <w:tcW w:w="3345" w:type="dxa"/>
            <w:vMerge/>
          </w:tcPr>
          <w:p w14:paraId="03D9D14E" w14:textId="77777777" w:rsidR="00454A29" w:rsidRDefault="00454A29"/>
        </w:tc>
        <w:tc>
          <w:tcPr>
            <w:tcW w:w="1701" w:type="dxa"/>
            <w:vAlign w:val="center"/>
          </w:tcPr>
          <w:p w14:paraId="563F44E6" w14:textId="77777777" w:rsidR="00454A29" w:rsidRDefault="00454A29">
            <w:pPr>
              <w:pStyle w:val="ConsPlusNormal"/>
              <w:jc w:val="center"/>
            </w:pPr>
            <w:r>
              <w:t>2021</w:t>
            </w:r>
          </w:p>
        </w:tc>
        <w:tc>
          <w:tcPr>
            <w:tcW w:w="1417" w:type="dxa"/>
            <w:vMerge/>
          </w:tcPr>
          <w:p w14:paraId="544301CC" w14:textId="77777777" w:rsidR="00454A29" w:rsidRDefault="00454A29"/>
        </w:tc>
        <w:tc>
          <w:tcPr>
            <w:tcW w:w="2204" w:type="dxa"/>
            <w:vMerge/>
          </w:tcPr>
          <w:p w14:paraId="29A8CB93" w14:textId="77777777" w:rsidR="00454A29" w:rsidRDefault="00454A29"/>
        </w:tc>
        <w:tc>
          <w:tcPr>
            <w:tcW w:w="1417" w:type="dxa"/>
            <w:vMerge/>
          </w:tcPr>
          <w:p w14:paraId="4B967F6C" w14:textId="77777777" w:rsidR="00454A29" w:rsidRDefault="00454A29"/>
        </w:tc>
        <w:tc>
          <w:tcPr>
            <w:tcW w:w="2324" w:type="dxa"/>
            <w:vMerge/>
          </w:tcPr>
          <w:p w14:paraId="67A334D7" w14:textId="77777777" w:rsidR="00454A29" w:rsidRDefault="00454A29"/>
        </w:tc>
        <w:tc>
          <w:tcPr>
            <w:tcW w:w="1701" w:type="dxa"/>
            <w:vAlign w:val="center"/>
          </w:tcPr>
          <w:p w14:paraId="7B2EF771" w14:textId="77777777" w:rsidR="00454A29" w:rsidRDefault="00454A29">
            <w:pPr>
              <w:pStyle w:val="ConsPlusNormal"/>
              <w:jc w:val="center"/>
            </w:pPr>
            <w:r>
              <w:t>-</w:t>
            </w:r>
          </w:p>
        </w:tc>
        <w:tc>
          <w:tcPr>
            <w:tcW w:w="1814" w:type="dxa"/>
            <w:vAlign w:val="center"/>
          </w:tcPr>
          <w:p w14:paraId="53D79400" w14:textId="77777777" w:rsidR="00454A29" w:rsidRDefault="00454A29">
            <w:pPr>
              <w:pStyle w:val="ConsPlusNormal"/>
            </w:pPr>
          </w:p>
        </w:tc>
        <w:tc>
          <w:tcPr>
            <w:tcW w:w="1701" w:type="dxa"/>
            <w:vAlign w:val="center"/>
          </w:tcPr>
          <w:p w14:paraId="105597D9" w14:textId="77777777" w:rsidR="00454A29" w:rsidRDefault="00454A29">
            <w:pPr>
              <w:pStyle w:val="ConsPlusNormal"/>
            </w:pPr>
          </w:p>
        </w:tc>
        <w:tc>
          <w:tcPr>
            <w:tcW w:w="1701" w:type="dxa"/>
            <w:vAlign w:val="center"/>
          </w:tcPr>
          <w:p w14:paraId="3EAF1D20" w14:textId="77777777" w:rsidR="00454A29" w:rsidRDefault="00454A29">
            <w:pPr>
              <w:pStyle w:val="ConsPlusNormal"/>
            </w:pPr>
          </w:p>
        </w:tc>
        <w:tc>
          <w:tcPr>
            <w:tcW w:w="1814" w:type="dxa"/>
            <w:vAlign w:val="center"/>
          </w:tcPr>
          <w:p w14:paraId="5EFD1E6E" w14:textId="77777777" w:rsidR="00454A29" w:rsidRDefault="00454A29">
            <w:pPr>
              <w:pStyle w:val="ConsPlusNormal"/>
            </w:pPr>
          </w:p>
        </w:tc>
      </w:tr>
      <w:tr w:rsidR="00454A29" w14:paraId="61685A56" w14:textId="77777777">
        <w:tc>
          <w:tcPr>
            <w:tcW w:w="567" w:type="dxa"/>
            <w:vMerge/>
          </w:tcPr>
          <w:p w14:paraId="24D85EB5" w14:textId="77777777" w:rsidR="00454A29" w:rsidRDefault="00454A29"/>
        </w:tc>
        <w:tc>
          <w:tcPr>
            <w:tcW w:w="3345" w:type="dxa"/>
            <w:vMerge/>
          </w:tcPr>
          <w:p w14:paraId="1BB61089" w14:textId="77777777" w:rsidR="00454A29" w:rsidRDefault="00454A29"/>
        </w:tc>
        <w:tc>
          <w:tcPr>
            <w:tcW w:w="1701" w:type="dxa"/>
            <w:vAlign w:val="center"/>
          </w:tcPr>
          <w:p w14:paraId="32A515E3" w14:textId="77777777" w:rsidR="00454A29" w:rsidRDefault="00454A29">
            <w:pPr>
              <w:pStyle w:val="ConsPlusNormal"/>
              <w:jc w:val="center"/>
            </w:pPr>
            <w:r>
              <w:t>2022</w:t>
            </w:r>
          </w:p>
        </w:tc>
        <w:tc>
          <w:tcPr>
            <w:tcW w:w="1417" w:type="dxa"/>
            <w:vMerge/>
          </w:tcPr>
          <w:p w14:paraId="02456F33" w14:textId="77777777" w:rsidR="00454A29" w:rsidRDefault="00454A29"/>
        </w:tc>
        <w:tc>
          <w:tcPr>
            <w:tcW w:w="2204" w:type="dxa"/>
            <w:vMerge/>
          </w:tcPr>
          <w:p w14:paraId="3CC7A0D0" w14:textId="77777777" w:rsidR="00454A29" w:rsidRDefault="00454A29"/>
        </w:tc>
        <w:tc>
          <w:tcPr>
            <w:tcW w:w="1417" w:type="dxa"/>
            <w:vMerge/>
          </w:tcPr>
          <w:p w14:paraId="517128A0" w14:textId="77777777" w:rsidR="00454A29" w:rsidRDefault="00454A29"/>
        </w:tc>
        <w:tc>
          <w:tcPr>
            <w:tcW w:w="2324" w:type="dxa"/>
            <w:vMerge/>
          </w:tcPr>
          <w:p w14:paraId="7D306387" w14:textId="77777777" w:rsidR="00454A29" w:rsidRDefault="00454A29"/>
        </w:tc>
        <w:tc>
          <w:tcPr>
            <w:tcW w:w="1701" w:type="dxa"/>
            <w:vAlign w:val="center"/>
          </w:tcPr>
          <w:p w14:paraId="44673757" w14:textId="77777777" w:rsidR="00454A29" w:rsidRDefault="00454A29">
            <w:pPr>
              <w:pStyle w:val="ConsPlusNormal"/>
              <w:jc w:val="center"/>
            </w:pPr>
            <w:r>
              <w:t>-</w:t>
            </w:r>
          </w:p>
        </w:tc>
        <w:tc>
          <w:tcPr>
            <w:tcW w:w="1814" w:type="dxa"/>
            <w:vAlign w:val="center"/>
          </w:tcPr>
          <w:p w14:paraId="46C2E3D7" w14:textId="77777777" w:rsidR="00454A29" w:rsidRDefault="00454A29">
            <w:pPr>
              <w:pStyle w:val="ConsPlusNormal"/>
            </w:pPr>
          </w:p>
        </w:tc>
        <w:tc>
          <w:tcPr>
            <w:tcW w:w="1701" w:type="dxa"/>
            <w:vAlign w:val="center"/>
          </w:tcPr>
          <w:p w14:paraId="3DAB83C6" w14:textId="77777777" w:rsidR="00454A29" w:rsidRDefault="00454A29">
            <w:pPr>
              <w:pStyle w:val="ConsPlusNormal"/>
            </w:pPr>
          </w:p>
        </w:tc>
        <w:tc>
          <w:tcPr>
            <w:tcW w:w="1701" w:type="dxa"/>
            <w:vAlign w:val="center"/>
          </w:tcPr>
          <w:p w14:paraId="77EB2682" w14:textId="77777777" w:rsidR="00454A29" w:rsidRDefault="00454A29">
            <w:pPr>
              <w:pStyle w:val="ConsPlusNormal"/>
            </w:pPr>
          </w:p>
        </w:tc>
        <w:tc>
          <w:tcPr>
            <w:tcW w:w="1814" w:type="dxa"/>
            <w:vAlign w:val="center"/>
          </w:tcPr>
          <w:p w14:paraId="1331326E" w14:textId="77777777" w:rsidR="00454A29" w:rsidRDefault="00454A29">
            <w:pPr>
              <w:pStyle w:val="ConsPlusNormal"/>
            </w:pPr>
          </w:p>
        </w:tc>
      </w:tr>
      <w:tr w:rsidR="00454A29" w14:paraId="208A419B" w14:textId="77777777">
        <w:tc>
          <w:tcPr>
            <w:tcW w:w="567" w:type="dxa"/>
            <w:vMerge/>
          </w:tcPr>
          <w:p w14:paraId="7B5E6DCE" w14:textId="77777777" w:rsidR="00454A29" w:rsidRDefault="00454A29"/>
        </w:tc>
        <w:tc>
          <w:tcPr>
            <w:tcW w:w="3345" w:type="dxa"/>
            <w:vMerge/>
          </w:tcPr>
          <w:p w14:paraId="70A76C7F" w14:textId="77777777" w:rsidR="00454A29" w:rsidRDefault="00454A29"/>
        </w:tc>
        <w:tc>
          <w:tcPr>
            <w:tcW w:w="1701" w:type="dxa"/>
            <w:vAlign w:val="center"/>
          </w:tcPr>
          <w:p w14:paraId="61FA3D4B" w14:textId="77777777" w:rsidR="00454A29" w:rsidRDefault="00454A29">
            <w:pPr>
              <w:pStyle w:val="ConsPlusNormal"/>
              <w:jc w:val="center"/>
            </w:pPr>
            <w:r>
              <w:t>2023</w:t>
            </w:r>
          </w:p>
        </w:tc>
        <w:tc>
          <w:tcPr>
            <w:tcW w:w="1417" w:type="dxa"/>
            <w:vMerge/>
          </w:tcPr>
          <w:p w14:paraId="580E5B82" w14:textId="77777777" w:rsidR="00454A29" w:rsidRDefault="00454A29"/>
        </w:tc>
        <w:tc>
          <w:tcPr>
            <w:tcW w:w="2204" w:type="dxa"/>
            <w:vMerge/>
          </w:tcPr>
          <w:p w14:paraId="39D96E55" w14:textId="77777777" w:rsidR="00454A29" w:rsidRDefault="00454A29"/>
        </w:tc>
        <w:tc>
          <w:tcPr>
            <w:tcW w:w="1417" w:type="dxa"/>
            <w:vMerge/>
          </w:tcPr>
          <w:p w14:paraId="656A8021" w14:textId="77777777" w:rsidR="00454A29" w:rsidRDefault="00454A29"/>
        </w:tc>
        <w:tc>
          <w:tcPr>
            <w:tcW w:w="2324" w:type="dxa"/>
            <w:vMerge/>
          </w:tcPr>
          <w:p w14:paraId="41C2563E" w14:textId="77777777" w:rsidR="00454A29" w:rsidRDefault="00454A29"/>
        </w:tc>
        <w:tc>
          <w:tcPr>
            <w:tcW w:w="1701" w:type="dxa"/>
            <w:vAlign w:val="center"/>
          </w:tcPr>
          <w:p w14:paraId="577363B6" w14:textId="77777777" w:rsidR="00454A29" w:rsidRDefault="00454A29">
            <w:pPr>
              <w:pStyle w:val="ConsPlusNormal"/>
              <w:jc w:val="center"/>
            </w:pPr>
            <w:r>
              <w:t>-</w:t>
            </w:r>
          </w:p>
        </w:tc>
        <w:tc>
          <w:tcPr>
            <w:tcW w:w="1814" w:type="dxa"/>
            <w:vAlign w:val="center"/>
          </w:tcPr>
          <w:p w14:paraId="00C51922" w14:textId="77777777" w:rsidR="00454A29" w:rsidRDefault="00454A29">
            <w:pPr>
              <w:pStyle w:val="ConsPlusNormal"/>
            </w:pPr>
          </w:p>
        </w:tc>
        <w:tc>
          <w:tcPr>
            <w:tcW w:w="1701" w:type="dxa"/>
            <w:vAlign w:val="center"/>
          </w:tcPr>
          <w:p w14:paraId="2461E2ED" w14:textId="77777777" w:rsidR="00454A29" w:rsidRDefault="00454A29">
            <w:pPr>
              <w:pStyle w:val="ConsPlusNormal"/>
            </w:pPr>
          </w:p>
        </w:tc>
        <w:tc>
          <w:tcPr>
            <w:tcW w:w="1701" w:type="dxa"/>
            <w:vAlign w:val="center"/>
          </w:tcPr>
          <w:p w14:paraId="5A4B7311" w14:textId="77777777" w:rsidR="00454A29" w:rsidRDefault="00454A29">
            <w:pPr>
              <w:pStyle w:val="ConsPlusNormal"/>
            </w:pPr>
          </w:p>
        </w:tc>
        <w:tc>
          <w:tcPr>
            <w:tcW w:w="1814" w:type="dxa"/>
            <w:vAlign w:val="center"/>
          </w:tcPr>
          <w:p w14:paraId="1B8A37C5" w14:textId="77777777" w:rsidR="00454A29" w:rsidRDefault="00454A29">
            <w:pPr>
              <w:pStyle w:val="ConsPlusNormal"/>
            </w:pPr>
          </w:p>
        </w:tc>
      </w:tr>
      <w:tr w:rsidR="00454A29" w14:paraId="5FB84153" w14:textId="77777777">
        <w:tc>
          <w:tcPr>
            <w:tcW w:w="567" w:type="dxa"/>
            <w:vMerge/>
          </w:tcPr>
          <w:p w14:paraId="7303A442" w14:textId="77777777" w:rsidR="00454A29" w:rsidRDefault="00454A29"/>
        </w:tc>
        <w:tc>
          <w:tcPr>
            <w:tcW w:w="3345" w:type="dxa"/>
            <w:vMerge/>
          </w:tcPr>
          <w:p w14:paraId="6DC166B8" w14:textId="77777777" w:rsidR="00454A29" w:rsidRDefault="00454A29"/>
        </w:tc>
        <w:tc>
          <w:tcPr>
            <w:tcW w:w="1701" w:type="dxa"/>
            <w:vAlign w:val="center"/>
          </w:tcPr>
          <w:p w14:paraId="2F8E8CAB" w14:textId="77777777" w:rsidR="00454A29" w:rsidRDefault="00454A29">
            <w:pPr>
              <w:pStyle w:val="ConsPlusNormal"/>
              <w:jc w:val="center"/>
            </w:pPr>
            <w:r>
              <w:t>2024</w:t>
            </w:r>
          </w:p>
        </w:tc>
        <w:tc>
          <w:tcPr>
            <w:tcW w:w="1417" w:type="dxa"/>
            <w:vMerge/>
          </w:tcPr>
          <w:p w14:paraId="0AB73E49" w14:textId="77777777" w:rsidR="00454A29" w:rsidRDefault="00454A29"/>
        </w:tc>
        <w:tc>
          <w:tcPr>
            <w:tcW w:w="2204" w:type="dxa"/>
            <w:vMerge/>
          </w:tcPr>
          <w:p w14:paraId="32DD38E8" w14:textId="77777777" w:rsidR="00454A29" w:rsidRDefault="00454A29"/>
        </w:tc>
        <w:tc>
          <w:tcPr>
            <w:tcW w:w="1417" w:type="dxa"/>
            <w:vMerge/>
          </w:tcPr>
          <w:p w14:paraId="6BDCF392" w14:textId="77777777" w:rsidR="00454A29" w:rsidRDefault="00454A29"/>
        </w:tc>
        <w:tc>
          <w:tcPr>
            <w:tcW w:w="2324" w:type="dxa"/>
            <w:vMerge/>
          </w:tcPr>
          <w:p w14:paraId="16791955" w14:textId="77777777" w:rsidR="00454A29" w:rsidRDefault="00454A29"/>
        </w:tc>
        <w:tc>
          <w:tcPr>
            <w:tcW w:w="1701" w:type="dxa"/>
            <w:vAlign w:val="center"/>
          </w:tcPr>
          <w:p w14:paraId="3ECD9DEE" w14:textId="77777777" w:rsidR="00454A29" w:rsidRDefault="00454A29">
            <w:pPr>
              <w:pStyle w:val="ConsPlusNormal"/>
              <w:jc w:val="center"/>
            </w:pPr>
            <w:r>
              <w:t>129 266,33</w:t>
            </w:r>
          </w:p>
        </w:tc>
        <w:tc>
          <w:tcPr>
            <w:tcW w:w="1814" w:type="dxa"/>
            <w:vAlign w:val="center"/>
          </w:tcPr>
          <w:p w14:paraId="71309B4F" w14:textId="77777777" w:rsidR="00454A29" w:rsidRDefault="00454A29">
            <w:pPr>
              <w:pStyle w:val="ConsPlusNormal"/>
              <w:jc w:val="center"/>
            </w:pPr>
            <w:r>
              <w:t>129 266,33</w:t>
            </w:r>
          </w:p>
        </w:tc>
        <w:tc>
          <w:tcPr>
            <w:tcW w:w="1701" w:type="dxa"/>
            <w:vAlign w:val="center"/>
          </w:tcPr>
          <w:p w14:paraId="70C31C75" w14:textId="77777777" w:rsidR="00454A29" w:rsidRDefault="00454A29">
            <w:pPr>
              <w:pStyle w:val="ConsPlusNormal"/>
            </w:pPr>
          </w:p>
        </w:tc>
        <w:tc>
          <w:tcPr>
            <w:tcW w:w="1701" w:type="dxa"/>
            <w:vAlign w:val="center"/>
          </w:tcPr>
          <w:p w14:paraId="0827B0F7" w14:textId="77777777" w:rsidR="00454A29" w:rsidRDefault="00454A29">
            <w:pPr>
              <w:pStyle w:val="ConsPlusNormal"/>
            </w:pPr>
          </w:p>
        </w:tc>
        <w:tc>
          <w:tcPr>
            <w:tcW w:w="1814" w:type="dxa"/>
            <w:vAlign w:val="center"/>
          </w:tcPr>
          <w:p w14:paraId="75BC9BF7" w14:textId="77777777" w:rsidR="00454A29" w:rsidRDefault="00454A29">
            <w:pPr>
              <w:pStyle w:val="ConsPlusNormal"/>
            </w:pPr>
          </w:p>
        </w:tc>
      </w:tr>
      <w:tr w:rsidR="00454A29" w14:paraId="79CAE46C" w14:textId="77777777">
        <w:tc>
          <w:tcPr>
            <w:tcW w:w="567" w:type="dxa"/>
            <w:vMerge/>
          </w:tcPr>
          <w:p w14:paraId="3AAEEAE3" w14:textId="77777777" w:rsidR="00454A29" w:rsidRDefault="00454A29"/>
        </w:tc>
        <w:tc>
          <w:tcPr>
            <w:tcW w:w="3345" w:type="dxa"/>
            <w:vMerge/>
          </w:tcPr>
          <w:p w14:paraId="6375E938" w14:textId="77777777" w:rsidR="00454A29" w:rsidRDefault="00454A29"/>
        </w:tc>
        <w:tc>
          <w:tcPr>
            <w:tcW w:w="1701" w:type="dxa"/>
            <w:vAlign w:val="center"/>
          </w:tcPr>
          <w:p w14:paraId="3D80F29E" w14:textId="77777777" w:rsidR="00454A29" w:rsidRDefault="00454A29">
            <w:pPr>
              <w:pStyle w:val="ConsPlusNormal"/>
              <w:jc w:val="center"/>
            </w:pPr>
            <w:r>
              <w:t>2025</w:t>
            </w:r>
          </w:p>
        </w:tc>
        <w:tc>
          <w:tcPr>
            <w:tcW w:w="1417" w:type="dxa"/>
            <w:vMerge/>
          </w:tcPr>
          <w:p w14:paraId="16E8791C" w14:textId="77777777" w:rsidR="00454A29" w:rsidRDefault="00454A29"/>
        </w:tc>
        <w:tc>
          <w:tcPr>
            <w:tcW w:w="2204" w:type="dxa"/>
            <w:vMerge/>
          </w:tcPr>
          <w:p w14:paraId="6F7AD540" w14:textId="77777777" w:rsidR="00454A29" w:rsidRDefault="00454A29"/>
        </w:tc>
        <w:tc>
          <w:tcPr>
            <w:tcW w:w="1417" w:type="dxa"/>
            <w:vMerge/>
          </w:tcPr>
          <w:p w14:paraId="5653ED49" w14:textId="77777777" w:rsidR="00454A29" w:rsidRDefault="00454A29"/>
        </w:tc>
        <w:tc>
          <w:tcPr>
            <w:tcW w:w="2324" w:type="dxa"/>
            <w:vMerge/>
          </w:tcPr>
          <w:p w14:paraId="6CC2FF3B" w14:textId="77777777" w:rsidR="00454A29" w:rsidRDefault="00454A29"/>
        </w:tc>
        <w:tc>
          <w:tcPr>
            <w:tcW w:w="1701" w:type="dxa"/>
            <w:vAlign w:val="center"/>
          </w:tcPr>
          <w:p w14:paraId="0FC661FD" w14:textId="77777777" w:rsidR="00454A29" w:rsidRDefault="00454A29">
            <w:pPr>
              <w:pStyle w:val="ConsPlusNormal"/>
              <w:jc w:val="center"/>
            </w:pPr>
            <w:r>
              <w:t>244 427,36</w:t>
            </w:r>
          </w:p>
        </w:tc>
        <w:tc>
          <w:tcPr>
            <w:tcW w:w="1814" w:type="dxa"/>
            <w:vAlign w:val="center"/>
          </w:tcPr>
          <w:p w14:paraId="48A9DB96" w14:textId="77777777" w:rsidR="00454A29" w:rsidRDefault="00454A29">
            <w:pPr>
              <w:pStyle w:val="ConsPlusNormal"/>
              <w:jc w:val="center"/>
            </w:pPr>
            <w:r>
              <w:t>244 427,36</w:t>
            </w:r>
          </w:p>
        </w:tc>
        <w:tc>
          <w:tcPr>
            <w:tcW w:w="1701" w:type="dxa"/>
            <w:vAlign w:val="center"/>
          </w:tcPr>
          <w:p w14:paraId="3759D791" w14:textId="77777777" w:rsidR="00454A29" w:rsidRDefault="00454A29">
            <w:pPr>
              <w:pStyle w:val="ConsPlusNormal"/>
            </w:pPr>
          </w:p>
        </w:tc>
        <w:tc>
          <w:tcPr>
            <w:tcW w:w="1701" w:type="dxa"/>
            <w:vAlign w:val="center"/>
          </w:tcPr>
          <w:p w14:paraId="0CAFB9DC" w14:textId="77777777" w:rsidR="00454A29" w:rsidRDefault="00454A29">
            <w:pPr>
              <w:pStyle w:val="ConsPlusNormal"/>
            </w:pPr>
          </w:p>
        </w:tc>
        <w:tc>
          <w:tcPr>
            <w:tcW w:w="1814" w:type="dxa"/>
            <w:vAlign w:val="center"/>
          </w:tcPr>
          <w:p w14:paraId="4C79DAC7" w14:textId="77777777" w:rsidR="00454A29" w:rsidRDefault="00454A29">
            <w:pPr>
              <w:pStyle w:val="ConsPlusNormal"/>
            </w:pPr>
          </w:p>
        </w:tc>
      </w:tr>
      <w:tr w:rsidR="00454A29" w14:paraId="3C619D5C" w14:textId="77777777">
        <w:tc>
          <w:tcPr>
            <w:tcW w:w="567" w:type="dxa"/>
            <w:vMerge/>
          </w:tcPr>
          <w:p w14:paraId="77AA0528" w14:textId="77777777" w:rsidR="00454A29" w:rsidRDefault="00454A29"/>
        </w:tc>
        <w:tc>
          <w:tcPr>
            <w:tcW w:w="3345" w:type="dxa"/>
            <w:vMerge/>
          </w:tcPr>
          <w:p w14:paraId="5094CE89" w14:textId="77777777" w:rsidR="00454A29" w:rsidRDefault="00454A29"/>
        </w:tc>
        <w:tc>
          <w:tcPr>
            <w:tcW w:w="1701" w:type="dxa"/>
            <w:vAlign w:val="center"/>
          </w:tcPr>
          <w:p w14:paraId="77C4331C" w14:textId="77777777" w:rsidR="00454A29" w:rsidRDefault="00454A29">
            <w:pPr>
              <w:pStyle w:val="ConsPlusNormal"/>
              <w:jc w:val="center"/>
            </w:pPr>
            <w:r>
              <w:t>2026</w:t>
            </w:r>
          </w:p>
        </w:tc>
        <w:tc>
          <w:tcPr>
            <w:tcW w:w="1417" w:type="dxa"/>
            <w:vMerge/>
          </w:tcPr>
          <w:p w14:paraId="3CE9B51B" w14:textId="77777777" w:rsidR="00454A29" w:rsidRDefault="00454A29"/>
        </w:tc>
        <w:tc>
          <w:tcPr>
            <w:tcW w:w="2204" w:type="dxa"/>
            <w:vMerge/>
          </w:tcPr>
          <w:p w14:paraId="6CD59111" w14:textId="77777777" w:rsidR="00454A29" w:rsidRDefault="00454A29"/>
        </w:tc>
        <w:tc>
          <w:tcPr>
            <w:tcW w:w="1417" w:type="dxa"/>
            <w:vMerge/>
          </w:tcPr>
          <w:p w14:paraId="582B2539" w14:textId="77777777" w:rsidR="00454A29" w:rsidRDefault="00454A29"/>
        </w:tc>
        <w:tc>
          <w:tcPr>
            <w:tcW w:w="2324" w:type="dxa"/>
            <w:vMerge/>
          </w:tcPr>
          <w:p w14:paraId="0A3FD2DA" w14:textId="77777777" w:rsidR="00454A29" w:rsidRDefault="00454A29"/>
        </w:tc>
        <w:tc>
          <w:tcPr>
            <w:tcW w:w="1701" w:type="dxa"/>
            <w:vAlign w:val="center"/>
          </w:tcPr>
          <w:p w14:paraId="4D88B230" w14:textId="77777777" w:rsidR="00454A29" w:rsidRDefault="00454A29">
            <w:pPr>
              <w:pStyle w:val="ConsPlusNormal"/>
              <w:jc w:val="center"/>
            </w:pPr>
            <w:r>
              <w:t>-</w:t>
            </w:r>
          </w:p>
        </w:tc>
        <w:tc>
          <w:tcPr>
            <w:tcW w:w="1814" w:type="dxa"/>
            <w:vAlign w:val="center"/>
          </w:tcPr>
          <w:p w14:paraId="1028AFBC" w14:textId="77777777" w:rsidR="00454A29" w:rsidRDefault="00454A29">
            <w:pPr>
              <w:pStyle w:val="ConsPlusNormal"/>
            </w:pPr>
          </w:p>
        </w:tc>
        <w:tc>
          <w:tcPr>
            <w:tcW w:w="1701" w:type="dxa"/>
            <w:vAlign w:val="center"/>
          </w:tcPr>
          <w:p w14:paraId="03EA800A" w14:textId="77777777" w:rsidR="00454A29" w:rsidRDefault="00454A29">
            <w:pPr>
              <w:pStyle w:val="ConsPlusNormal"/>
            </w:pPr>
          </w:p>
        </w:tc>
        <w:tc>
          <w:tcPr>
            <w:tcW w:w="1701" w:type="dxa"/>
            <w:vAlign w:val="center"/>
          </w:tcPr>
          <w:p w14:paraId="563EB0B6" w14:textId="77777777" w:rsidR="00454A29" w:rsidRDefault="00454A29">
            <w:pPr>
              <w:pStyle w:val="ConsPlusNormal"/>
            </w:pPr>
          </w:p>
        </w:tc>
        <w:tc>
          <w:tcPr>
            <w:tcW w:w="1814" w:type="dxa"/>
            <w:vAlign w:val="center"/>
          </w:tcPr>
          <w:p w14:paraId="3E0E0EFC" w14:textId="77777777" w:rsidR="00454A29" w:rsidRDefault="00454A29">
            <w:pPr>
              <w:pStyle w:val="ConsPlusNormal"/>
            </w:pPr>
          </w:p>
        </w:tc>
      </w:tr>
      <w:tr w:rsidR="00454A29" w14:paraId="3E5CBDA0" w14:textId="77777777">
        <w:tc>
          <w:tcPr>
            <w:tcW w:w="567" w:type="dxa"/>
            <w:vMerge w:val="restart"/>
            <w:vAlign w:val="center"/>
          </w:tcPr>
          <w:p w14:paraId="07DE94AA" w14:textId="77777777" w:rsidR="00454A29" w:rsidRDefault="00454A29">
            <w:pPr>
              <w:pStyle w:val="ConsPlusNormal"/>
              <w:jc w:val="center"/>
            </w:pPr>
            <w:r>
              <w:t>44</w:t>
            </w:r>
          </w:p>
        </w:tc>
        <w:tc>
          <w:tcPr>
            <w:tcW w:w="3345" w:type="dxa"/>
            <w:vMerge w:val="restart"/>
            <w:vAlign w:val="center"/>
          </w:tcPr>
          <w:p w14:paraId="00F9E0C1" w14:textId="77777777" w:rsidR="00454A29" w:rsidRDefault="00454A29">
            <w:pPr>
              <w:pStyle w:val="ConsPlusNormal"/>
              <w:jc w:val="center"/>
            </w:pPr>
            <w:r>
              <w:t>Детский сад на 140 мест в 31 квартале г. Якутска</w:t>
            </w:r>
          </w:p>
        </w:tc>
        <w:tc>
          <w:tcPr>
            <w:tcW w:w="1701" w:type="dxa"/>
            <w:vAlign w:val="center"/>
          </w:tcPr>
          <w:p w14:paraId="0D2FF8ED" w14:textId="77777777" w:rsidR="00454A29" w:rsidRDefault="00454A29">
            <w:pPr>
              <w:pStyle w:val="ConsPlusNormal"/>
              <w:jc w:val="center"/>
            </w:pPr>
            <w:r>
              <w:t>2020 - 2026 годы - всего</w:t>
            </w:r>
          </w:p>
        </w:tc>
        <w:tc>
          <w:tcPr>
            <w:tcW w:w="1417" w:type="dxa"/>
            <w:vMerge w:val="restart"/>
            <w:vAlign w:val="center"/>
          </w:tcPr>
          <w:p w14:paraId="046D410B" w14:textId="77777777" w:rsidR="00454A29" w:rsidRDefault="00454A29">
            <w:pPr>
              <w:pStyle w:val="ConsPlusNormal"/>
              <w:jc w:val="center"/>
            </w:pPr>
            <w:r>
              <w:t>232 187,74</w:t>
            </w:r>
          </w:p>
        </w:tc>
        <w:tc>
          <w:tcPr>
            <w:tcW w:w="2204" w:type="dxa"/>
            <w:vMerge w:val="restart"/>
            <w:vAlign w:val="center"/>
          </w:tcPr>
          <w:p w14:paraId="6E64F0AA" w14:textId="77777777" w:rsidR="00454A29" w:rsidRDefault="00454A29">
            <w:pPr>
              <w:pStyle w:val="ConsPlusNormal"/>
            </w:pPr>
          </w:p>
        </w:tc>
        <w:tc>
          <w:tcPr>
            <w:tcW w:w="1417" w:type="dxa"/>
            <w:vMerge w:val="restart"/>
            <w:vAlign w:val="center"/>
          </w:tcPr>
          <w:p w14:paraId="31718BA7" w14:textId="77777777" w:rsidR="00454A29" w:rsidRDefault="00454A29">
            <w:pPr>
              <w:pStyle w:val="ConsPlusNormal"/>
              <w:jc w:val="center"/>
            </w:pPr>
            <w:r>
              <w:t>140</w:t>
            </w:r>
          </w:p>
        </w:tc>
        <w:tc>
          <w:tcPr>
            <w:tcW w:w="2324" w:type="dxa"/>
            <w:vMerge w:val="restart"/>
            <w:vAlign w:val="center"/>
          </w:tcPr>
          <w:p w14:paraId="6C07587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0D99C0D" w14:textId="77777777" w:rsidR="00454A29" w:rsidRDefault="00454A29">
            <w:pPr>
              <w:pStyle w:val="ConsPlusNormal"/>
              <w:jc w:val="center"/>
            </w:pPr>
            <w:r>
              <w:t>289 886,39</w:t>
            </w:r>
          </w:p>
        </w:tc>
        <w:tc>
          <w:tcPr>
            <w:tcW w:w="1814" w:type="dxa"/>
            <w:vAlign w:val="center"/>
          </w:tcPr>
          <w:p w14:paraId="6744A238" w14:textId="77777777" w:rsidR="00454A29" w:rsidRDefault="00454A29">
            <w:pPr>
              <w:pStyle w:val="ConsPlusNormal"/>
              <w:jc w:val="center"/>
            </w:pPr>
            <w:r>
              <w:t>232 187,74</w:t>
            </w:r>
          </w:p>
        </w:tc>
        <w:tc>
          <w:tcPr>
            <w:tcW w:w="1701" w:type="dxa"/>
            <w:vAlign w:val="center"/>
          </w:tcPr>
          <w:p w14:paraId="4F103627" w14:textId="77777777" w:rsidR="00454A29" w:rsidRDefault="00454A29">
            <w:pPr>
              <w:pStyle w:val="ConsPlusNormal"/>
              <w:jc w:val="center"/>
            </w:pPr>
            <w:r>
              <w:t>-</w:t>
            </w:r>
          </w:p>
        </w:tc>
        <w:tc>
          <w:tcPr>
            <w:tcW w:w="1701" w:type="dxa"/>
            <w:vAlign w:val="center"/>
          </w:tcPr>
          <w:p w14:paraId="3BFA6104" w14:textId="77777777" w:rsidR="00454A29" w:rsidRDefault="00454A29">
            <w:pPr>
              <w:pStyle w:val="ConsPlusNormal"/>
              <w:jc w:val="center"/>
            </w:pPr>
            <w:r>
              <w:t>-</w:t>
            </w:r>
          </w:p>
        </w:tc>
        <w:tc>
          <w:tcPr>
            <w:tcW w:w="1814" w:type="dxa"/>
            <w:vAlign w:val="center"/>
          </w:tcPr>
          <w:p w14:paraId="0F68B10B" w14:textId="77777777" w:rsidR="00454A29" w:rsidRDefault="00454A29">
            <w:pPr>
              <w:pStyle w:val="ConsPlusNormal"/>
              <w:jc w:val="center"/>
            </w:pPr>
            <w:r>
              <w:t>-</w:t>
            </w:r>
          </w:p>
        </w:tc>
      </w:tr>
      <w:tr w:rsidR="00454A29" w14:paraId="1B806AE0" w14:textId="77777777">
        <w:tc>
          <w:tcPr>
            <w:tcW w:w="567" w:type="dxa"/>
            <w:vMerge/>
          </w:tcPr>
          <w:p w14:paraId="06E379AC" w14:textId="77777777" w:rsidR="00454A29" w:rsidRDefault="00454A29"/>
        </w:tc>
        <w:tc>
          <w:tcPr>
            <w:tcW w:w="3345" w:type="dxa"/>
            <w:vMerge/>
          </w:tcPr>
          <w:p w14:paraId="5FBF6717" w14:textId="77777777" w:rsidR="00454A29" w:rsidRDefault="00454A29"/>
        </w:tc>
        <w:tc>
          <w:tcPr>
            <w:tcW w:w="1701" w:type="dxa"/>
            <w:vAlign w:val="center"/>
          </w:tcPr>
          <w:p w14:paraId="4CE2D29E" w14:textId="77777777" w:rsidR="00454A29" w:rsidRDefault="00454A29">
            <w:pPr>
              <w:pStyle w:val="ConsPlusNormal"/>
              <w:jc w:val="center"/>
            </w:pPr>
            <w:r>
              <w:t>2020</w:t>
            </w:r>
          </w:p>
        </w:tc>
        <w:tc>
          <w:tcPr>
            <w:tcW w:w="1417" w:type="dxa"/>
            <w:vMerge/>
          </w:tcPr>
          <w:p w14:paraId="34B6DB81" w14:textId="77777777" w:rsidR="00454A29" w:rsidRDefault="00454A29"/>
        </w:tc>
        <w:tc>
          <w:tcPr>
            <w:tcW w:w="2204" w:type="dxa"/>
            <w:vMerge/>
          </w:tcPr>
          <w:p w14:paraId="660FB11D" w14:textId="77777777" w:rsidR="00454A29" w:rsidRDefault="00454A29"/>
        </w:tc>
        <w:tc>
          <w:tcPr>
            <w:tcW w:w="1417" w:type="dxa"/>
            <w:vMerge/>
          </w:tcPr>
          <w:p w14:paraId="030A89CB" w14:textId="77777777" w:rsidR="00454A29" w:rsidRDefault="00454A29"/>
        </w:tc>
        <w:tc>
          <w:tcPr>
            <w:tcW w:w="2324" w:type="dxa"/>
            <w:vMerge/>
          </w:tcPr>
          <w:p w14:paraId="4654E592" w14:textId="77777777" w:rsidR="00454A29" w:rsidRDefault="00454A29"/>
        </w:tc>
        <w:tc>
          <w:tcPr>
            <w:tcW w:w="1701" w:type="dxa"/>
            <w:vAlign w:val="center"/>
          </w:tcPr>
          <w:p w14:paraId="41F7EE0E" w14:textId="77777777" w:rsidR="00454A29" w:rsidRDefault="00454A29">
            <w:pPr>
              <w:pStyle w:val="ConsPlusNormal"/>
              <w:jc w:val="center"/>
            </w:pPr>
            <w:r>
              <w:t>-</w:t>
            </w:r>
          </w:p>
        </w:tc>
        <w:tc>
          <w:tcPr>
            <w:tcW w:w="1814" w:type="dxa"/>
            <w:vAlign w:val="center"/>
          </w:tcPr>
          <w:p w14:paraId="5F745BA9" w14:textId="77777777" w:rsidR="00454A29" w:rsidRDefault="00454A29">
            <w:pPr>
              <w:pStyle w:val="ConsPlusNormal"/>
            </w:pPr>
          </w:p>
        </w:tc>
        <w:tc>
          <w:tcPr>
            <w:tcW w:w="1701" w:type="dxa"/>
            <w:vAlign w:val="center"/>
          </w:tcPr>
          <w:p w14:paraId="0DED54AA" w14:textId="77777777" w:rsidR="00454A29" w:rsidRDefault="00454A29">
            <w:pPr>
              <w:pStyle w:val="ConsPlusNormal"/>
            </w:pPr>
          </w:p>
        </w:tc>
        <w:tc>
          <w:tcPr>
            <w:tcW w:w="1701" w:type="dxa"/>
            <w:vAlign w:val="center"/>
          </w:tcPr>
          <w:p w14:paraId="64D5B14E" w14:textId="77777777" w:rsidR="00454A29" w:rsidRDefault="00454A29">
            <w:pPr>
              <w:pStyle w:val="ConsPlusNormal"/>
            </w:pPr>
          </w:p>
        </w:tc>
        <w:tc>
          <w:tcPr>
            <w:tcW w:w="1814" w:type="dxa"/>
            <w:vAlign w:val="center"/>
          </w:tcPr>
          <w:p w14:paraId="74FFFC56" w14:textId="77777777" w:rsidR="00454A29" w:rsidRDefault="00454A29">
            <w:pPr>
              <w:pStyle w:val="ConsPlusNormal"/>
            </w:pPr>
          </w:p>
        </w:tc>
      </w:tr>
      <w:tr w:rsidR="00454A29" w14:paraId="6C916434" w14:textId="77777777">
        <w:tc>
          <w:tcPr>
            <w:tcW w:w="567" w:type="dxa"/>
            <w:vMerge/>
          </w:tcPr>
          <w:p w14:paraId="2890E220" w14:textId="77777777" w:rsidR="00454A29" w:rsidRDefault="00454A29"/>
        </w:tc>
        <w:tc>
          <w:tcPr>
            <w:tcW w:w="3345" w:type="dxa"/>
            <w:vMerge/>
          </w:tcPr>
          <w:p w14:paraId="593FBBCB" w14:textId="77777777" w:rsidR="00454A29" w:rsidRDefault="00454A29"/>
        </w:tc>
        <w:tc>
          <w:tcPr>
            <w:tcW w:w="1701" w:type="dxa"/>
            <w:vAlign w:val="center"/>
          </w:tcPr>
          <w:p w14:paraId="7D14303C" w14:textId="77777777" w:rsidR="00454A29" w:rsidRDefault="00454A29">
            <w:pPr>
              <w:pStyle w:val="ConsPlusNormal"/>
              <w:jc w:val="center"/>
            </w:pPr>
            <w:r>
              <w:t>2021</w:t>
            </w:r>
          </w:p>
        </w:tc>
        <w:tc>
          <w:tcPr>
            <w:tcW w:w="1417" w:type="dxa"/>
            <w:vMerge/>
          </w:tcPr>
          <w:p w14:paraId="0A8B77AB" w14:textId="77777777" w:rsidR="00454A29" w:rsidRDefault="00454A29"/>
        </w:tc>
        <w:tc>
          <w:tcPr>
            <w:tcW w:w="2204" w:type="dxa"/>
            <w:vMerge/>
          </w:tcPr>
          <w:p w14:paraId="237A96FE" w14:textId="77777777" w:rsidR="00454A29" w:rsidRDefault="00454A29"/>
        </w:tc>
        <w:tc>
          <w:tcPr>
            <w:tcW w:w="1417" w:type="dxa"/>
            <w:vMerge/>
          </w:tcPr>
          <w:p w14:paraId="30FF46C5" w14:textId="77777777" w:rsidR="00454A29" w:rsidRDefault="00454A29"/>
        </w:tc>
        <w:tc>
          <w:tcPr>
            <w:tcW w:w="2324" w:type="dxa"/>
            <w:vMerge/>
          </w:tcPr>
          <w:p w14:paraId="4C4ACBC2" w14:textId="77777777" w:rsidR="00454A29" w:rsidRDefault="00454A29"/>
        </w:tc>
        <w:tc>
          <w:tcPr>
            <w:tcW w:w="1701" w:type="dxa"/>
            <w:vAlign w:val="center"/>
          </w:tcPr>
          <w:p w14:paraId="6C77A34C" w14:textId="77777777" w:rsidR="00454A29" w:rsidRDefault="00454A29">
            <w:pPr>
              <w:pStyle w:val="ConsPlusNormal"/>
              <w:jc w:val="center"/>
            </w:pPr>
            <w:r>
              <w:t>-</w:t>
            </w:r>
          </w:p>
        </w:tc>
        <w:tc>
          <w:tcPr>
            <w:tcW w:w="1814" w:type="dxa"/>
            <w:vAlign w:val="center"/>
          </w:tcPr>
          <w:p w14:paraId="44C081EF" w14:textId="77777777" w:rsidR="00454A29" w:rsidRDefault="00454A29">
            <w:pPr>
              <w:pStyle w:val="ConsPlusNormal"/>
            </w:pPr>
          </w:p>
        </w:tc>
        <w:tc>
          <w:tcPr>
            <w:tcW w:w="1701" w:type="dxa"/>
            <w:vAlign w:val="center"/>
          </w:tcPr>
          <w:p w14:paraId="28459A3F" w14:textId="77777777" w:rsidR="00454A29" w:rsidRDefault="00454A29">
            <w:pPr>
              <w:pStyle w:val="ConsPlusNormal"/>
            </w:pPr>
          </w:p>
        </w:tc>
        <w:tc>
          <w:tcPr>
            <w:tcW w:w="1701" w:type="dxa"/>
            <w:vAlign w:val="center"/>
          </w:tcPr>
          <w:p w14:paraId="113B365C" w14:textId="77777777" w:rsidR="00454A29" w:rsidRDefault="00454A29">
            <w:pPr>
              <w:pStyle w:val="ConsPlusNormal"/>
            </w:pPr>
          </w:p>
        </w:tc>
        <w:tc>
          <w:tcPr>
            <w:tcW w:w="1814" w:type="dxa"/>
            <w:vAlign w:val="center"/>
          </w:tcPr>
          <w:p w14:paraId="27A1283D" w14:textId="77777777" w:rsidR="00454A29" w:rsidRDefault="00454A29">
            <w:pPr>
              <w:pStyle w:val="ConsPlusNormal"/>
            </w:pPr>
          </w:p>
        </w:tc>
      </w:tr>
      <w:tr w:rsidR="00454A29" w14:paraId="59C23CF1" w14:textId="77777777">
        <w:tc>
          <w:tcPr>
            <w:tcW w:w="567" w:type="dxa"/>
            <w:vMerge/>
          </w:tcPr>
          <w:p w14:paraId="20BE1A00" w14:textId="77777777" w:rsidR="00454A29" w:rsidRDefault="00454A29"/>
        </w:tc>
        <w:tc>
          <w:tcPr>
            <w:tcW w:w="3345" w:type="dxa"/>
            <w:vMerge/>
          </w:tcPr>
          <w:p w14:paraId="37F83643" w14:textId="77777777" w:rsidR="00454A29" w:rsidRDefault="00454A29"/>
        </w:tc>
        <w:tc>
          <w:tcPr>
            <w:tcW w:w="1701" w:type="dxa"/>
            <w:vAlign w:val="center"/>
          </w:tcPr>
          <w:p w14:paraId="48466E06" w14:textId="77777777" w:rsidR="00454A29" w:rsidRDefault="00454A29">
            <w:pPr>
              <w:pStyle w:val="ConsPlusNormal"/>
              <w:jc w:val="center"/>
            </w:pPr>
            <w:r>
              <w:t>2022</w:t>
            </w:r>
          </w:p>
        </w:tc>
        <w:tc>
          <w:tcPr>
            <w:tcW w:w="1417" w:type="dxa"/>
            <w:vMerge/>
          </w:tcPr>
          <w:p w14:paraId="50F7B32C" w14:textId="77777777" w:rsidR="00454A29" w:rsidRDefault="00454A29"/>
        </w:tc>
        <w:tc>
          <w:tcPr>
            <w:tcW w:w="2204" w:type="dxa"/>
            <w:vMerge/>
          </w:tcPr>
          <w:p w14:paraId="49A17467" w14:textId="77777777" w:rsidR="00454A29" w:rsidRDefault="00454A29"/>
        </w:tc>
        <w:tc>
          <w:tcPr>
            <w:tcW w:w="1417" w:type="dxa"/>
            <w:vMerge/>
          </w:tcPr>
          <w:p w14:paraId="51FB6FF4" w14:textId="77777777" w:rsidR="00454A29" w:rsidRDefault="00454A29"/>
        </w:tc>
        <w:tc>
          <w:tcPr>
            <w:tcW w:w="2324" w:type="dxa"/>
            <w:vMerge/>
          </w:tcPr>
          <w:p w14:paraId="3602C9FE" w14:textId="77777777" w:rsidR="00454A29" w:rsidRDefault="00454A29"/>
        </w:tc>
        <w:tc>
          <w:tcPr>
            <w:tcW w:w="1701" w:type="dxa"/>
            <w:vAlign w:val="center"/>
          </w:tcPr>
          <w:p w14:paraId="240BF3C3" w14:textId="77777777" w:rsidR="00454A29" w:rsidRDefault="00454A29">
            <w:pPr>
              <w:pStyle w:val="ConsPlusNormal"/>
              <w:jc w:val="center"/>
            </w:pPr>
            <w:r>
              <w:t>-</w:t>
            </w:r>
          </w:p>
        </w:tc>
        <w:tc>
          <w:tcPr>
            <w:tcW w:w="1814" w:type="dxa"/>
            <w:vAlign w:val="center"/>
          </w:tcPr>
          <w:p w14:paraId="79933530" w14:textId="77777777" w:rsidR="00454A29" w:rsidRDefault="00454A29">
            <w:pPr>
              <w:pStyle w:val="ConsPlusNormal"/>
            </w:pPr>
          </w:p>
        </w:tc>
        <w:tc>
          <w:tcPr>
            <w:tcW w:w="1701" w:type="dxa"/>
            <w:vAlign w:val="center"/>
          </w:tcPr>
          <w:p w14:paraId="1F6C58DE" w14:textId="77777777" w:rsidR="00454A29" w:rsidRDefault="00454A29">
            <w:pPr>
              <w:pStyle w:val="ConsPlusNormal"/>
            </w:pPr>
          </w:p>
        </w:tc>
        <w:tc>
          <w:tcPr>
            <w:tcW w:w="1701" w:type="dxa"/>
            <w:vAlign w:val="center"/>
          </w:tcPr>
          <w:p w14:paraId="1A99FBD1" w14:textId="77777777" w:rsidR="00454A29" w:rsidRDefault="00454A29">
            <w:pPr>
              <w:pStyle w:val="ConsPlusNormal"/>
            </w:pPr>
          </w:p>
        </w:tc>
        <w:tc>
          <w:tcPr>
            <w:tcW w:w="1814" w:type="dxa"/>
            <w:vAlign w:val="center"/>
          </w:tcPr>
          <w:p w14:paraId="205E3920" w14:textId="77777777" w:rsidR="00454A29" w:rsidRDefault="00454A29">
            <w:pPr>
              <w:pStyle w:val="ConsPlusNormal"/>
            </w:pPr>
          </w:p>
        </w:tc>
      </w:tr>
      <w:tr w:rsidR="00454A29" w14:paraId="55D21EA7" w14:textId="77777777">
        <w:tc>
          <w:tcPr>
            <w:tcW w:w="567" w:type="dxa"/>
            <w:vMerge/>
          </w:tcPr>
          <w:p w14:paraId="0BA8CBDC" w14:textId="77777777" w:rsidR="00454A29" w:rsidRDefault="00454A29"/>
        </w:tc>
        <w:tc>
          <w:tcPr>
            <w:tcW w:w="3345" w:type="dxa"/>
            <w:vMerge/>
          </w:tcPr>
          <w:p w14:paraId="65A17662" w14:textId="77777777" w:rsidR="00454A29" w:rsidRDefault="00454A29"/>
        </w:tc>
        <w:tc>
          <w:tcPr>
            <w:tcW w:w="1701" w:type="dxa"/>
            <w:vAlign w:val="center"/>
          </w:tcPr>
          <w:p w14:paraId="7E478808" w14:textId="77777777" w:rsidR="00454A29" w:rsidRDefault="00454A29">
            <w:pPr>
              <w:pStyle w:val="ConsPlusNormal"/>
              <w:jc w:val="center"/>
            </w:pPr>
            <w:r>
              <w:t>2023</w:t>
            </w:r>
          </w:p>
        </w:tc>
        <w:tc>
          <w:tcPr>
            <w:tcW w:w="1417" w:type="dxa"/>
            <w:vMerge/>
          </w:tcPr>
          <w:p w14:paraId="193A9378" w14:textId="77777777" w:rsidR="00454A29" w:rsidRDefault="00454A29"/>
        </w:tc>
        <w:tc>
          <w:tcPr>
            <w:tcW w:w="2204" w:type="dxa"/>
            <w:vMerge/>
          </w:tcPr>
          <w:p w14:paraId="7738201B" w14:textId="77777777" w:rsidR="00454A29" w:rsidRDefault="00454A29"/>
        </w:tc>
        <w:tc>
          <w:tcPr>
            <w:tcW w:w="1417" w:type="dxa"/>
            <w:vMerge/>
          </w:tcPr>
          <w:p w14:paraId="3F34B0E2" w14:textId="77777777" w:rsidR="00454A29" w:rsidRDefault="00454A29"/>
        </w:tc>
        <w:tc>
          <w:tcPr>
            <w:tcW w:w="2324" w:type="dxa"/>
            <w:vMerge/>
          </w:tcPr>
          <w:p w14:paraId="6372985B" w14:textId="77777777" w:rsidR="00454A29" w:rsidRDefault="00454A29"/>
        </w:tc>
        <w:tc>
          <w:tcPr>
            <w:tcW w:w="1701" w:type="dxa"/>
            <w:vAlign w:val="center"/>
          </w:tcPr>
          <w:p w14:paraId="3E4BB51F" w14:textId="77777777" w:rsidR="00454A29" w:rsidRDefault="00454A29">
            <w:pPr>
              <w:pStyle w:val="ConsPlusNormal"/>
              <w:jc w:val="center"/>
            </w:pPr>
            <w:r>
              <w:t>-</w:t>
            </w:r>
          </w:p>
        </w:tc>
        <w:tc>
          <w:tcPr>
            <w:tcW w:w="1814" w:type="dxa"/>
            <w:vAlign w:val="center"/>
          </w:tcPr>
          <w:p w14:paraId="79704CD6" w14:textId="77777777" w:rsidR="00454A29" w:rsidRDefault="00454A29">
            <w:pPr>
              <w:pStyle w:val="ConsPlusNormal"/>
            </w:pPr>
          </w:p>
        </w:tc>
        <w:tc>
          <w:tcPr>
            <w:tcW w:w="1701" w:type="dxa"/>
            <w:vAlign w:val="center"/>
          </w:tcPr>
          <w:p w14:paraId="6440A121" w14:textId="77777777" w:rsidR="00454A29" w:rsidRDefault="00454A29">
            <w:pPr>
              <w:pStyle w:val="ConsPlusNormal"/>
            </w:pPr>
          </w:p>
        </w:tc>
        <w:tc>
          <w:tcPr>
            <w:tcW w:w="1701" w:type="dxa"/>
            <w:vAlign w:val="center"/>
          </w:tcPr>
          <w:p w14:paraId="1E7264B4" w14:textId="77777777" w:rsidR="00454A29" w:rsidRDefault="00454A29">
            <w:pPr>
              <w:pStyle w:val="ConsPlusNormal"/>
            </w:pPr>
          </w:p>
        </w:tc>
        <w:tc>
          <w:tcPr>
            <w:tcW w:w="1814" w:type="dxa"/>
            <w:vAlign w:val="center"/>
          </w:tcPr>
          <w:p w14:paraId="258E0E95" w14:textId="77777777" w:rsidR="00454A29" w:rsidRDefault="00454A29">
            <w:pPr>
              <w:pStyle w:val="ConsPlusNormal"/>
            </w:pPr>
          </w:p>
        </w:tc>
      </w:tr>
      <w:tr w:rsidR="00454A29" w14:paraId="4BCF45A3" w14:textId="77777777">
        <w:tc>
          <w:tcPr>
            <w:tcW w:w="567" w:type="dxa"/>
            <w:vMerge/>
          </w:tcPr>
          <w:p w14:paraId="78EED32B" w14:textId="77777777" w:rsidR="00454A29" w:rsidRDefault="00454A29"/>
        </w:tc>
        <w:tc>
          <w:tcPr>
            <w:tcW w:w="3345" w:type="dxa"/>
            <w:vMerge/>
          </w:tcPr>
          <w:p w14:paraId="7D28050A" w14:textId="77777777" w:rsidR="00454A29" w:rsidRDefault="00454A29"/>
        </w:tc>
        <w:tc>
          <w:tcPr>
            <w:tcW w:w="1701" w:type="dxa"/>
            <w:vAlign w:val="center"/>
          </w:tcPr>
          <w:p w14:paraId="03564A8C" w14:textId="77777777" w:rsidR="00454A29" w:rsidRDefault="00454A29">
            <w:pPr>
              <w:pStyle w:val="ConsPlusNormal"/>
              <w:jc w:val="center"/>
            </w:pPr>
            <w:r>
              <w:t>2024</w:t>
            </w:r>
          </w:p>
        </w:tc>
        <w:tc>
          <w:tcPr>
            <w:tcW w:w="1417" w:type="dxa"/>
            <w:vMerge/>
          </w:tcPr>
          <w:p w14:paraId="20767E5B" w14:textId="77777777" w:rsidR="00454A29" w:rsidRDefault="00454A29"/>
        </w:tc>
        <w:tc>
          <w:tcPr>
            <w:tcW w:w="2204" w:type="dxa"/>
            <w:vMerge/>
          </w:tcPr>
          <w:p w14:paraId="7CDA23F3" w14:textId="77777777" w:rsidR="00454A29" w:rsidRDefault="00454A29"/>
        </w:tc>
        <w:tc>
          <w:tcPr>
            <w:tcW w:w="1417" w:type="dxa"/>
            <w:vMerge/>
          </w:tcPr>
          <w:p w14:paraId="57A218A3" w14:textId="77777777" w:rsidR="00454A29" w:rsidRDefault="00454A29"/>
        </w:tc>
        <w:tc>
          <w:tcPr>
            <w:tcW w:w="2324" w:type="dxa"/>
            <w:vMerge/>
          </w:tcPr>
          <w:p w14:paraId="00980CB2" w14:textId="77777777" w:rsidR="00454A29" w:rsidRDefault="00454A29"/>
        </w:tc>
        <w:tc>
          <w:tcPr>
            <w:tcW w:w="1701" w:type="dxa"/>
            <w:vAlign w:val="center"/>
          </w:tcPr>
          <w:p w14:paraId="642BB638" w14:textId="77777777" w:rsidR="00454A29" w:rsidRDefault="00454A29">
            <w:pPr>
              <w:pStyle w:val="ConsPlusNormal"/>
              <w:jc w:val="center"/>
            </w:pPr>
            <w:r>
              <w:t>-</w:t>
            </w:r>
          </w:p>
        </w:tc>
        <w:tc>
          <w:tcPr>
            <w:tcW w:w="1814" w:type="dxa"/>
            <w:vAlign w:val="center"/>
          </w:tcPr>
          <w:p w14:paraId="7BFA6CF7" w14:textId="77777777" w:rsidR="00454A29" w:rsidRDefault="00454A29">
            <w:pPr>
              <w:pStyle w:val="ConsPlusNormal"/>
            </w:pPr>
          </w:p>
        </w:tc>
        <w:tc>
          <w:tcPr>
            <w:tcW w:w="1701" w:type="dxa"/>
            <w:vAlign w:val="center"/>
          </w:tcPr>
          <w:p w14:paraId="5133373E" w14:textId="77777777" w:rsidR="00454A29" w:rsidRDefault="00454A29">
            <w:pPr>
              <w:pStyle w:val="ConsPlusNormal"/>
            </w:pPr>
          </w:p>
        </w:tc>
        <w:tc>
          <w:tcPr>
            <w:tcW w:w="1701" w:type="dxa"/>
            <w:vAlign w:val="center"/>
          </w:tcPr>
          <w:p w14:paraId="34DB1493" w14:textId="77777777" w:rsidR="00454A29" w:rsidRDefault="00454A29">
            <w:pPr>
              <w:pStyle w:val="ConsPlusNormal"/>
            </w:pPr>
          </w:p>
        </w:tc>
        <w:tc>
          <w:tcPr>
            <w:tcW w:w="1814" w:type="dxa"/>
            <w:vAlign w:val="center"/>
          </w:tcPr>
          <w:p w14:paraId="53B11714" w14:textId="77777777" w:rsidR="00454A29" w:rsidRDefault="00454A29">
            <w:pPr>
              <w:pStyle w:val="ConsPlusNormal"/>
            </w:pPr>
          </w:p>
        </w:tc>
      </w:tr>
      <w:tr w:rsidR="00454A29" w14:paraId="7CE0606F" w14:textId="77777777">
        <w:tc>
          <w:tcPr>
            <w:tcW w:w="567" w:type="dxa"/>
            <w:vMerge/>
          </w:tcPr>
          <w:p w14:paraId="69AF6337" w14:textId="77777777" w:rsidR="00454A29" w:rsidRDefault="00454A29"/>
        </w:tc>
        <w:tc>
          <w:tcPr>
            <w:tcW w:w="3345" w:type="dxa"/>
            <w:vMerge/>
          </w:tcPr>
          <w:p w14:paraId="087E2F7E" w14:textId="77777777" w:rsidR="00454A29" w:rsidRDefault="00454A29"/>
        </w:tc>
        <w:tc>
          <w:tcPr>
            <w:tcW w:w="1701" w:type="dxa"/>
            <w:vAlign w:val="center"/>
          </w:tcPr>
          <w:p w14:paraId="6BF0A793" w14:textId="77777777" w:rsidR="00454A29" w:rsidRDefault="00454A29">
            <w:pPr>
              <w:pStyle w:val="ConsPlusNormal"/>
              <w:jc w:val="center"/>
            </w:pPr>
            <w:r>
              <w:t>2025</w:t>
            </w:r>
          </w:p>
        </w:tc>
        <w:tc>
          <w:tcPr>
            <w:tcW w:w="1417" w:type="dxa"/>
            <w:vMerge/>
          </w:tcPr>
          <w:p w14:paraId="0A599217" w14:textId="77777777" w:rsidR="00454A29" w:rsidRDefault="00454A29"/>
        </w:tc>
        <w:tc>
          <w:tcPr>
            <w:tcW w:w="2204" w:type="dxa"/>
            <w:vMerge/>
          </w:tcPr>
          <w:p w14:paraId="29462E2F" w14:textId="77777777" w:rsidR="00454A29" w:rsidRDefault="00454A29"/>
        </w:tc>
        <w:tc>
          <w:tcPr>
            <w:tcW w:w="1417" w:type="dxa"/>
            <w:vMerge/>
          </w:tcPr>
          <w:p w14:paraId="046692E6" w14:textId="77777777" w:rsidR="00454A29" w:rsidRDefault="00454A29"/>
        </w:tc>
        <w:tc>
          <w:tcPr>
            <w:tcW w:w="2324" w:type="dxa"/>
            <w:vMerge/>
          </w:tcPr>
          <w:p w14:paraId="6E1E4284" w14:textId="77777777" w:rsidR="00454A29" w:rsidRDefault="00454A29"/>
        </w:tc>
        <w:tc>
          <w:tcPr>
            <w:tcW w:w="1701" w:type="dxa"/>
            <w:vAlign w:val="center"/>
          </w:tcPr>
          <w:p w14:paraId="19EAAE4D" w14:textId="77777777" w:rsidR="00454A29" w:rsidRDefault="00454A29">
            <w:pPr>
              <w:pStyle w:val="ConsPlusNormal"/>
              <w:jc w:val="center"/>
            </w:pPr>
            <w:r>
              <w:t>146 858,74</w:t>
            </w:r>
          </w:p>
        </w:tc>
        <w:tc>
          <w:tcPr>
            <w:tcW w:w="1814" w:type="dxa"/>
            <w:vAlign w:val="center"/>
          </w:tcPr>
          <w:p w14:paraId="5B2D8C9F" w14:textId="77777777" w:rsidR="00454A29" w:rsidRDefault="00454A29">
            <w:pPr>
              <w:pStyle w:val="ConsPlusNormal"/>
              <w:jc w:val="center"/>
            </w:pPr>
            <w:r>
              <w:t>146 858,74</w:t>
            </w:r>
          </w:p>
        </w:tc>
        <w:tc>
          <w:tcPr>
            <w:tcW w:w="1701" w:type="dxa"/>
            <w:vAlign w:val="center"/>
          </w:tcPr>
          <w:p w14:paraId="7D78A8FE" w14:textId="77777777" w:rsidR="00454A29" w:rsidRDefault="00454A29">
            <w:pPr>
              <w:pStyle w:val="ConsPlusNormal"/>
            </w:pPr>
          </w:p>
        </w:tc>
        <w:tc>
          <w:tcPr>
            <w:tcW w:w="1701" w:type="dxa"/>
            <w:vAlign w:val="center"/>
          </w:tcPr>
          <w:p w14:paraId="18F8146F" w14:textId="77777777" w:rsidR="00454A29" w:rsidRDefault="00454A29">
            <w:pPr>
              <w:pStyle w:val="ConsPlusNormal"/>
            </w:pPr>
          </w:p>
        </w:tc>
        <w:tc>
          <w:tcPr>
            <w:tcW w:w="1814" w:type="dxa"/>
            <w:vAlign w:val="center"/>
          </w:tcPr>
          <w:p w14:paraId="0034990E" w14:textId="77777777" w:rsidR="00454A29" w:rsidRDefault="00454A29">
            <w:pPr>
              <w:pStyle w:val="ConsPlusNormal"/>
            </w:pPr>
          </w:p>
        </w:tc>
      </w:tr>
      <w:tr w:rsidR="00454A29" w14:paraId="3822B334" w14:textId="77777777">
        <w:tc>
          <w:tcPr>
            <w:tcW w:w="567" w:type="dxa"/>
            <w:vMerge/>
          </w:tcPr>
          <w:p w14:paraId="46E084ED" w14:textId="77777777" w:rsidR="00454A29" w:rsidRDefault="00454A29"/>
        </w:tc>
        <w:tc>
          <w:tcPr>
            <w:tcW w:w="3345" w:type="dxa"/>
            <w:vMerge/>
          </w:tcPr>
          <w:p w14:paraId="2E58510A" w14:textId="77777777" w:rsidR="00454A29" w:rsidRDefault="00454A29"/>
        </w:tc>
        <w:tc>
          <w:tcPr>
            <w:tcW w:w="1701" w:type="dxa"/>
            <w:vAlign w:val="center"/>
          </w:tcPr>
          <w:p w14:paraId="0D29B76A" w14:textId="77777777" w:rsidR="00454A29" w:rsidRDefault="00454A29">
            <w:pPr>
              <w:pStyle w:val="ConsPlusNormal"/>
              <w:jc w:val="center"/>
            </w:pPr>
            <w:r>
              <w:t>2026</w:t>
            </w:r>
          </w:p>
        </w:tc>
        <w:tc>
          <w:tcPr>
            <w:tcW w:w="1417" w:type="dxa"/>
            <w:vMerge/>
          </w:tcPr>
          <w:p w14:paraId="146E1BA0" w14:textId="77777777" w:rsidR="00454A29" w:rsidRDefault="00454A29"/>
        </w:tc>
        <w:tc>
          <w:tcPr>
            <w:tcW w:w="2204" w:type="dxa"/>
            <w:vMerge/>
          </w:tcPr>
          <w:p w14:paraId="5F2692DA" w14:textId="77777777" w:rsidR="00454A29" w:rsidRDefault="00454A29"/>
        </w:tc>
        <w:tc>
          <w:tcPr>
            <w:tcW w:w="1417" w:type="dxa"/>
            <w:vMerge/>
          </w:tcPr>
          <w:p w14:paraId="65DCAB35" w14:textId="77777777" w:rsidR="00454A29" w:rsidRDefault="00454A29"/>
        </w:tc>
        <w:tc>
          <w:tcPr>
            <w:tcW w:w="2324" w:type="dxa"/>
            <w:vMerge/>
          </w:tcPr>
          <w:p w14:paraId="5DA0ED50" w14:textId="77777777" w:rsidR="00454A29" w:rsidRDefault="00454A29"/>
        </w:tc>
        <w:tc>
          <w:tcPr>
            <w:tcW w:w="1701" w:type="dxa"/>
            <w:vAlign w:val="center"/>
          </w:tcPr>
          <w:p w14:paraId="01BD06D5" w14:textId="77777777" w:rsidR="00454A29" w:rsidRDefault="00454A29">
            <w:pPr>
              <w:pStyle w:val="ConsPlusNormal"/>
              <w:jc w:val="center"/>
            </w:pPr>
            <w:r>
              <w:t>143 027,64</w:t>
            </w:r>
          </w:p>
        </w:tc>
        <w:tc>
          <w:tcPr>
            <w:tcW w:w="1814" w:type="dxa"/>
            <w:vAlign w:val="center"/>
          </w:tcPr>
          <w:p w14:paraId="4BBBDB04" w14:textId="77777777" w:rsidR="00454A29" w:rsidRDefault="00454A29">
            <w:pPr>
              <w:pStyle w:val="ConsPlusNormal"/>
              <w:jc w:val="center"/>
            </w:pPr>
            <w:r>
              <w:t>143 027,64</w:t>
            </w:r>
          </w:p>
        </w:tc>
        <w:tc>
          <w:tcPr>
            <w:tcW w:w="1701" w:type="dxa"/>
            <w:vAlign w:val="center"/>
          </w:tcPr>
          <w:p w14:paraId="00CE06CB" w14:textId="77777777" w:rsidR="00454A29" w:rsidRDefault="00454A29">
            <w:pPr>
              <w:pStyle w:val="ConsPlusNormal"/>
            </w:pPr>
          </w:p>
        </w:tc>
        <w:tc>
          <w:tcPr>
            <w:tcW w:w="1701" w:type="dxa"/>
            <w:vAlign w:val="center"/>
          </w:tcPr>
          <w:p w14:paraId="7AE75828" w14:textId="77777777" w:rsidR="00454A29" w:rsidRDefault="00454A29">
            <w:pPr>
              <w:pStyle w:val="ConsPlusNormal"/>
            </w:pPr>
          </w:p>
        </w:tc>
        <w:tc>
          <w:tcPr>
            <w:tcW w:w="1814" w:type="dxa"/>
            <w:vAlign w:val="center"/>
          </w:tcPr>
          <w:p w14:paraId="182E0280" w14:textId="77777777" w:rsidR="00454A29" w:rsidRDefault="00454A29">
            <w:pPr>
              <w:pStyle w:val="ConsPlusNormal"/>
            </w:pPr>
          </w:p>
        </w:tc>
      </w:tr>
      <w:tr w:rsidR="00454A29" w14:paraId="22929C21" w14:textId="77777777">
        <w:tc>
          <w:tcPr>
            <w:tcW w:w="567" w:type="dxa"/>
            <w:vMerge w:val="restart"/>
            <w:vAlign w:val="center"/>
          </w:tcPr>
          <w:p w14:paraId="2641AF67" w14:textId="77777777" w:rsidR="00454A29" w:rsidRDefault="00454A29">
            <w:pPr>
              <w:pStyle w:val="ConsPlusNormal"/>
              <w:jc w:val="center"/>
            </w:pPr>
            <w:r>
              <w:t>45</w:t>
            </w:r>
          </w:p>
        </w:tc>
        <w:tc>
          <w:tcPr>
            <w:tcW w:w="3345" w:type="dxa"/>
            <w:vMerge w:val="restart"/>
            <w:vAlign w:val="center"/>
          </w:tcPr>
          <w:p w14:paraId="40F2D045" w14:textId="77777777" w:rsidR="00454A29" w:rsidRDefault="00454A29">
            <w:pPr>
              <w:pStyle w:val="ConsPlusNormal"/>
              <w:jc w:val="center"/>
            </w:pPr>
            <w:r>
              <w:t>Ясли-сад для кварталов 93 и 94 г. Якутска на 100 мест</w:t>
            </w:r>
          </w:p>
        </w:tc>
        <w:tc>
          <w:tcPr>
            <w:tcW w:w="1701" w:type="dxa"/>
            <w:vAlign w:val="center"/>
          </w:tcPr>
          <w:p w14:paraId="3E2CB657" w14:textId="77777777" w:rsidR="00454A29" w:rsidRDefault="00454A29">
            <w:pPr>
              <w:pStyle w:val="ConsPlusNormal"/>
              <w:jc w:val="center"/>
            </w:pPr>
            <w:r>
              <w:t>2020 - 2026 годы - всего</w:t>
            </w:r>
          </w:p>
        </w:tc>
        <w:tc>
          <w:tcPr>
            <w:tcW w:w="1417" w:type="dxa"/>
            <w:vMerge w:val="restart"/>
            <w:vAlign w:val="center"/>
          </w:tcPr>
          <w:p w14:paraId="545C0830" w14:textId="77777777" w:rsidR="00454A29" w:rsidRDefault="00454A29">
            <w:pPr>
              <w:pStyle w:val="ConsPlusNormal"/>
              <w:jc w:val="center"/>
            </w:pPr>
            <w:r>
              <w:t>167 604,18</w:t>
            </w:r>
          </w:p>
        </w:tc>
        <w:tc>
          <w:tcPr>
            <w:tcW w:w="2204" w:type="dxa"/>
            <w:vMerge w:val="restart"/>
            <w:vAlign w:val="center"/>
          </w:tcPr>
          <w:p w14:paraId="69B2F872" w14:textId="77777777" w:rsidR="00454A29" w:rsidRDefault="00454A29">
            <w:pPr>
              <w:pStyle w:val="ConsPlusNormal"/>
            </w:pPr>
          </w:p>
        </w:tc>
        <w:tc>
          <w:tcPr>
            <w:tcW w:w="1417" w:type="dxa"/>
            <w:vMerge w:val="restart"/>
            <w:vAlign w:val="center"/>
          </w:tcPr>
          <w:p w14:paraId="11F2138B" w14:textId="77777777" w:rsidR="00454A29" w:rsidRDefault="00454A29">
            <w:pPr>
              <w:pStyle w:val="ConsPlusNormal"/>
              <w:jc w:val="center"/>
            </w:pPr>
            <w:r>
              <w:t>100</w:t>
            </w:r>
          </w:p>
        </w:tc>
        <w:tc>
          <w:tcPr>
            <w:tcW w:w="2324" w:type="dxa"/>
            <w:vMerge w:val="restart"/>
            <w:vAlign w:val="center"/>
          </w:tcPr>
          <w:p w14:paraId="0EE4851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FD211FA" w14:textId="77777777" w:rsidR="00454A29" w:rsidRDefault="00454A29">
            <w:pPr>
              <w:pStyle w:val="ConsPlusNormal"/>
              <w:jc w:val="center"/>
            </w:pPr>
            <w:r>
              <w:t>97 629,44</w:t>
            </w:r>
          </w:p>
        </w:tc>
        <w:tc>
          <w:tcPr>
            <w:tcW w:w="1814" w:type="dxa"/>
            <w:vAlign w:val="center"/>
          </w:tcPr>
          <w:p w14:paraId="6908891F" w14:textId="77777777" w:rsidR="00454A29" w:rsidRDefault="00454A29">
            <w:pPr>
              <w:pStyle w:val="ConsPlusNormal"/>
              <w:jc w:val="center"/>
            </w:pPr>
            <w:r>
              <w:t>167 604,18</w:t>
            </w:r>
          </w:p>
        </w:tc>
        <w:tc>
          <w:tcPr>
            <w:tcW w:w="1701" w:type="dxa"/>
            <w:vAlign w:val="center"/>
          </w:tcPr>
          <w:p w14:paraId="07815A49" w14:textId="77777777" w:rsidR="00454A29" w:rsidRDefault="00454A29">
            <w:pPr>
              <w:pStyle w:val="ConsPlusNormal"/>
              <w:jc w:val="center"/>
            </w:pPr>
            <w:r>
              <w:t>-</w:t>
            </w:r>
          </w:p>
        </w:tc>
        <w:tc>
          <w:tcPr>
            <w:tcW w:w="1701" w:type="dxa"/>
            <w:vAlign w:val="center"/>
          </w:tcPr>
          <w:p w14:paraId="087144D7" w14:textId="77777777" w:rsidR="00454A29" w:rsidRDefault="00454A29">
            <w:pPr>
              <w:pStyle w:val="ConsPlusNormal"/>
              <w:jc w:val="center"/>
            </w:pPr>
            <w:r>
              <w:t>-</w:t>
            </w:r>
          </w:p>
        </w:tc>
        <w:tc>
          <w:tcPr>
            <w:tcW w:w="1814" w:type="dxa"/>
            <w:vAlign w:val="center"/>
          </w:tcPr>
          <w:p w14:paraId="7C6AA6EC" w14:textId="77777777" w:rsidR="00454A29" w:rsidRDefault="00454A29">
            <w:pPr>
              <w:pStyle w:val="ConsPlusNormal"/>
              <w:jc w:val="center"/>
            </w:pPr>
            <w:r>
              <w:t>-</w:t>
            </w:r>
          </w:p>
        </w:tc>
      </w:tr>
      <w:tr w:rsidR="00454A29" w14:paraId="4148DD0E" w14:textId="77777777">
        <w:tc>
          <w:tcPr>
            <w:tcW w:w="567" w:type="dxa"/>
            <w:vMerge/>
          </w:tcPr>
          <w:p w14:paraId="6D7C6325" w14:textId="77777777" w:rsidR="00454A29" w:rsidRDefault="00454A29"/>
        </w:tc>
        <w:tc>
          <w:tcPr>
            <w:tcW w:w="3345" w:type="dxa"/>
            <w:vMerge/>
          </w:tcPr>
          <w:p w14:paraId="57F47561" w14:textId="77777777" w:rsidR="00454A29" w:rsidRDefault="00454A29"/>
        </w:tc>
        <w:tc>
          <w:tcPr>
            <w:tcW w:w="1701" w:type="dxa"/>
            <w:vAlign w:val="center"/>
          </w:tcPr>
          <w:p w14:paraId="5847FCA7" w14:textId="77777777" w:rsidR="00454A29" w:rsidRDefault="00454A29">
            <w:pPr>
              <w:pStyle w:val="ConsPlusNormal"/>
              <w:jc w:val="center"/>
            </w:pPr>
            <w:r>
              <w:t>2020</w:t>
            </w:r>
          </w:p>
        </w:tc>
        <w:tc>
          <w:tcPr>
            <w:tcW w:w="1417" w:type="dxa"/>
            <w:vMerge/>
          </w:tcPr>
          <w:p w14:paraId="5CB47A84" w14:textId="77777777" w:rsidR="00454A29" w:rsidRDefault="00454A29"/>
        </w:tc>
        <w:tc>
          <w:tcPr>
            <w:tcW w:w="2204" w:type="dxa"/>
            <w:vMerge/>
          </w:tcPr>
          <w:p w14:paraId="12CD10B8" w14:textId="77777777" w:rsidR="00454A29" w:rsidRDefault="00454A29"/>
        </w:tc>
        <w:tc>
          <w:tcPr>
            <w:tcW w:w="1417" w:type="dxa"/>
            <w:vMerge/>
          </w:tcPr>
          <w:p w14:paraId="6007127F" w14:textId="77777777" w:rsidR="00454A29" w:rsidRDefault="00454A29"/>
        </w:tc>
        <w:tc>
          <w:tcPr>
            <w:tcW w:w="2324" w:type="dxa"/>
            <w:vMerge/>
          </w:tcPr>
          <w:p w14:paraId="0A5D800F" w14:textId="77777777" w:rsidR="00454A29" w:rsidRDefault="00454A29"/>
        </w:tc>
        <w:tc>
          <w:tcPr>
            <w:tcW w:w="1701" w:type="dxa"/>
            <w:vAlign w:val="center"/>
          </w:tcPr>
          <w:p w14:paraId="400684D5" w14:textId="77777777" w:rsidR="00454A29" w:rsidRDefault="00454A29">
            <w:pPr>
              <w:pStyle w:val="ConsPlusNormal"/>
              <w:jc w:val="center"/>
            </w:pPr>
            <w:r>
              <w:t>-</w:t>
            </w:r>
          </w:p>
        </w:tc>
        <w:tc>
          <w:tcPr>
            <w:tcW w:w="1814" w:type="dxa"/>
            <w:vAlign w:val="center"/>
          </w:tcPr>
          <w:p w14:paraId="5522C0DC" w14:textId="77777777" w:rsidR="00454A29" w:rsidRDefault="00454A29">
            <w:pPr>
              <w:pStyle w:val="ConsPlusNormal"/>
            </w:pPr>
          </w:p>
        </w:tc>
        <w:tc>
          <w:tcPr>
            <w:tcW w:w="1701" w:type="dxa"/>
            <w:vAlign w:val="center"/>
          </w:tcPr>
          <w:p w14:paraId="314D9DD3" w14:textId="77777777" w:rsidR="00454A29" w:rsidRDefault="00454A29">
            <w:pPr>
              <w:pStyle w:val="ConsPlusNormal"/>
            </w:pPr>
          </w:p>
        </w:tc>
        <w:tc>
          <w:tcPr>
            <w:tcW w:w="1701" w:type="dxa"/>
            <w:vAlign w:val="center"/>
          </w:tcPr>
          <w:p w14:paraId="09AC82B2" w14:textId="77777777" w:rsidR="00454A29" w:rsidRDefault="00454A29">
            <w:pPr>
              <w:pStyle w:val="ConsPlusNormal"/>
            </w:pPr>
          </w:p>
        </w:tc>
        <w:tc>
          <w:tcPr>
            <w:tcW w:w="1814" w:type="dxa"/>
            <w:vAlign w:val="center"/>
          </w:tcPr>
          <w:p w14:paraId="3A1E8E60" w14:textId="77777777" w:rsidR="00454A29" w:rsidRDefault="00454A29">
            <w:pPr>
              <w:pStyle w:val="ConsPlusNormal"/>
            </w:pPr>
          </w:p>
        </w:tc>
      </w:tr>
      <w:tr w:rsidR="00454A29" w14:paraId="5CCCE7DC" w14:textId="77777777">
        <w:tc>
          <w:tcPr>
            <w:tcW w:w="567" w:type="dxa"/>
            <w:vMerge/>
          </w:tcPr>
          <w:p w14:paraId="2355364F" w14:textId="77777777" w:rsidR="00454A29" w:rsidRDefault="00454A29"/>
        </w:tc>
        <w:tc>
          <w:tcPr>
            <w:tcW w:w="3345" w:type="dxa"/>
            <w:vMerge/>
          </w:tcPr>
          <w:p w14:paraId="17112E79" w14:textId="77777777" w:rsidR="00454A29" w:rsidRDefault="00454A29"/>
        </w:tc>
        <w:tc>
          <w:tcPr>
            <w:tcW w:w="1701" w:type="dxa"/>
            <w:vAlign w:val="center"/>
          </w:tcPr>
          <w:p w14:paraId="09308D29" w14:textId="77777777" w:rsidR="00454A29" w:rsidRDefault="00454A29">
            <w:pPr>
              <w:pStyle w:val="ConsPlusNormal"/>
              <w:jc w:val="center"/>
            </w:pPr>
            <w:r>
              <w:t>2021</w:t>
            </w:r>
          </w:p>
        </w:tc>
        <w:tc>
          <w:tcPr>
            <w:tcW w:w="1417" w:type="dxa"/>
            <w:vMerge/>
          </w:tcPr>
          <w:p w14:paraId="26A41006" w14:textId="77777777" w:rsidR="00454A29" w:rsidRDefault="00454A29"/>
        </w:tc>
        <w:tc>
          <w:tcPr>
            <w:tcW w:w="2204" w:type="dxa"/>
            <w:vMerge/>
          </w:tcPr>
          <w:p w14:paraId="7F077D82" w14:textId="77777777" w:rsidR="00454A29" w:rsidRDefault="00454A29"/>
        </w:tc>
        <w:tc>
          <w:tcPr>
            <w:tcW w:w="1417" w:type="dxa"/>
            <w:vMerge/>
          </w:tcPr>
          <w:p w14:paraId="5D66E16E" w14:textId="77777777" w:rsidR="00454A29" w:rsidRDefault="00454A29"/>
        </w:tc>
        <w:tc>
          <w:tcPr>
            <w:tcW w:w="2324" w:type="dxa"/>
            <w:vMerge/>
          </w:tcPr>
          <w:p w14:paraId="4EE326E1" w14:textId="77777777" w:rsidR="00454A29" w:rsidRDefault="00454A29"/>
        </w:tc>
        <w:tc>
          <w:tcPr>
            <w:tcW w:w="1701" w:type="dxa"/>
            <w:vAlign w:val="center"/>
          </w:tcPr>
          <w:p w14:paraId="7B57717B" w14:textId="77777777" w:rsidR="00454A29" w:rsidRDefault="00454A29">
            <w:pPr>
              <w:pStyle w:val="ConsPlusNormal"/>
              <w:jc w:val="center"/>
            </w:pPr>
            <w:r>
              <w:t>-</w:t>
            </w:r>
          </w:p>
        </w:tc>
        <w:tc>
          <w:tcPr>
            <w:tcW w:w="1814" w:type="dxa"/>
            <w:vAlign w:val="center"/>
          </w:tcPr>
          <w:p w14:paraId="64A98387" w14:textId="77777777" w:rsidR="00454A29" w:rsidRDefault="00454A29">
            <w:pPr>
              <w:pStyle w:val="ConsPlusNormal"/>
            </w:pPr>
          </w:p>
        </w:tc>
        <w:tc>
          <w:tcPr>
            <w:tcW w:w="1701" w:type="dxa"/>
            <w:vAlign w:val="center"/>
          </w:tcPr>
          <w:p w14:paraId="5627B805" w14:textId="77777777" w:rsidR="00454A29" w:rsidRDefault="00454A29">
            <w:pPr>
              <w:pStyle w:val="ConsPlusNormal"/>
            </w:pPr>
          </w:p>
        </w:tc>
        <w:tc>
          <w:tcPr>
            <w:tcW w:w="1701" w:type="dxa"/>
            <w:vAlign w:val="center"/>
          </w:tcPr>
          <w:p w14:paraId="4CCB79D2" w14:textId="77777777" w:rsidR="00454A29" w:rsidRDefault="00454A29">
            <w:pPr>
              <w:pStyle w:val="ConsPlusNormal"/>
            </w:pPr>
          </w:p>
        </w:tc>
        <w:tc>
          <w:tcPr>
            <w:tcW w:w="1814" w:type="dxa"/>
            <w:vAlign w:val="center"/>
          </w:tcPr>
          <w:p w14:paraId="350D5D9C" w14:textId="77777777" w:rsidR="00454A29" w:rsidRDefault="00454A29">
            <w:pPr>
              <w:pStyle w:val="ConsPlusNormal"/>
            </w:pPr>
          </w:p>
        </w:tc>
      </w:tr>
      <w:tr w:rsidR="00454A29" w14:paraId="17D31910" w14:textId="77777777">
        <w:tc>
          <w:tcPr>
            <w:tcW w:w="567" w:type="dxa"/>
            <w:vMerge/>
          </w:tcPr>
          <w:p w14:paraId="3BE7D9FC" w14:textId="77777777" w:rsidR="00454A29" w:rsidRDefault="00454A29"/>
        </w:tc>
        <w:tc>
          <w:tcPr>
            <w:tcW w:w="3345" w:type="dxa"/>
            <w:vMerge/>
          </w:tcPr>
          <w:p w14:paraId="48A26413" w14:textId="77777777" w:rsidR="00454A29" w:rsidRDefault="00454A29"/>
        </w:tc>
        <w:tc>
          <w:tcPr>
            <w:tcW w:w="1701" w:type="dxa"/>
            <w:vAlign w:val="center"/>
          </w:tcPr>
          <w:p w14:paraId="18E60A57" w14:textId="77777777" w:rsidR="00454A29" w:rsidRDefault="00454A29">
            <w:pPr>
              <w:pStyle w:val="ConsPlusNormal"/>
              <w:jc w:val="center"/>
            </w:pPr>
            <w:r>
              <w:t>2022</w:t>
            </w:r>
          </w:p>
        </w:tc>
        <w:tc>
          <w:tcPr>
            <w:tcW w:w="1417" w:type="dxa"/>
            <w:vMerge/>
          </w:tcPr>
          <w:p w14:paraId="4C27727D" w14:textId="77777777" w:rsidR="00454A29" w:rsidRDefault="00454A29"/>
        </w:tc>
        <w:tc>
          <w:tcPr>
            <w:tcW w:w="2204" w:type="dxa"/>
            <w:vMerge/>
          </w:tcPr>
          <w:p w14:paraId="205FF8CF" w14:textId="77777777" w:rsidR="00454A29" w:rsidRDefault="00454A29"/>
        </w:tc>
        <w:tc>
          <w:tcPr>
            <w:tcW w:w="1417" w:type="dxa"/>
            <w:vMerge/>
          </w:tcPr>
          <w:p w14:paraId="1CD8D70C" w14:textId="77777777" w:rsidR="00454A29" w:rsidRDefault="00454A29"/>
        </w:tc>
        <w:tc>
          <w:tcPr>
            <w:tcW w:w="2324" w:type="dxa"/>
            <w:vMerge/>
          </w:tcPr>
          <w:p w14:paraId="45BEA387" w14:textId="77777777" w:rsidR="00454A29" w:rsidRDefault="00454A29"/>
        </w:tc>
        <w:tc>
          <w:tcPr>
            <w:tcW w:w="1701" w:type="dxa"/>
            <w:vAlign w:val="center"/>
          </w:tcPr>
          <w:p w14:paraId="3D94466A" w14:textId="77777777" w:rsidR="00454A29" w:rsidRDefault="00454A29">
            <w:pPr>
              <w:pStyle w:val="ConsPlusNormal"/>
            </w:pPr>
          </w:p>
        </w:tc>
        <w:tc>
          <w:tcPr>
            <w:tcW w:w="1814" w:type="dxa"/>
            <w:vAlign w:val="center"/>
          </w:tcPr>
          <w:p w14:paraId="7C5E1836" w14:textId="77777777" w:rsidR="00454A29" w:rsidRDefault="00454A29">
            <w:pPr>
              <w:pStyle w:val="ConsPlusNormal"/>
            </w:pPr>
          </w:p>
        </w:tc>
        <w:tc>
          <w:tcPr>
            <w:tcW w:w="1701" w:type="dxa"/>
            <w:vAlign w:val="center"/>
          </w:tcPr>
          <w:p w14:paraId="40D3C94D" w14:textId="77777777" w:rsidR="00454A29" w:rsidRDefault="00454A29">
            <w:pPr>
              <w:pStyle w:val="ConsPlusNormal"/>
            </w:pPr>
          </w:p>
        </w:tc>
        <w:tc>
          <w:tcPr>
            <w:tcW w:w="1701" w:type="dxa"/>
            <w:vAlign w:val="center"/>
          </w:tcPr>
          <w:p w14:paraId="17DE6837" w14:textId="77777777" w:rsidR="00454A29" w:rsidRDefault="00454A29">
            <w:pPr>
              <w:pStyle w:val="ConsPlusNormal"/>
            </w:pPr>
          </w:p>
        </w:tc>
        <w:tc>
          <w:tcPr>
            <w:tcW w:w="1814" w:type="dxa"/>
            <w:vAlign w:val="center"/>
          </w:tcPr>
          <w:p w14:paraId="4A50C645" w14:textId="77777777" w:rsidR="00454A29" w:rsidRDefault="00454A29">
            <w:pPr>
              <w:pStyle w:val="ConsPlusNormal"/>
            </w:pPr>
          </w:p>
        </w:tc>
      </w:tr>
      <w:tr w:rsidR="00454A29" w14:paraId="17E7F0B5" w14:textId="77777777">
        <w:tc>
          <w:tcPr>
            <w:tcW w:w="567" w:type="dxa"/>
            <w:vMerge/>
          </w:tcPr>
          <w:p w14:paraId="1875460B" w14:textId="77777777" w:rsidR="00454A29" w:rsidRDefault="00454A29"/>
        </w:tc>
        <w:tc>
          <w:tcPr>
            <w:tcW w:w="3345" w:type="dxa"/>
            <w:vMerge/>
          </w:tcPr>
          <w:p w14:paraId="660CD58E" w14:textId="77777777" w:rsidR="00454A29" w:rsidRDefault="00454A29"/>
        </w:tc>
        <w:tc>
          <w:tcPr>
            <w:tcW w:w="1701" w:type="dxa"/>
            <w:vAlign w:val="center"/>
          </w:tcPr>
          <w:p w14:paraId="1569A652" w14:textId="77777777" w:rsidR="00454A29" w:rsidRDefault="00454A29">
            <w:pPr>
              <w:pStyle w:val="ConsPlusNormal"/>
              <w:jc w:val="center"/>
            </w:pPr>
            <w:r>
              <w:t>2023</w:t>
            </w:r>
          </w:p>
        </w:tc>
        <w:tc>
          <w:tcPr>
            <w:tcW w:w="1417" w:type="dxa"/>
            <w:vMerge/>
          </w:tcPr>
          <w:p w14:paraId="111E4353" w14:textId="77777777" w:rsidR="00454A29" w:rsidRDefault="00454A29"/>
        </w:tc>
        <w:tc>
          <w:tcPr>
            <w:tcW w:w="2204" w:type="dxa"/>
            <w:vMerge/>
          </w:tcPr>
          <w:p w14:paraId="51098F15" w14:textId="77777777" w:rsidR="00454A29" w:rsidRDefault="00454A29"/>
        </w:tc>
        <w:tc>
          <w:tcPr>
            <w:tcW w:w="1417" w:type="dxa"/>
            <w:vMerge/>
          </w:tcPr>
          <w:p w14:paraId="76C300DA" w14:textId="77777777" w:rsidR="00454A29" w:rsidRDefault="00454A29"/>
        </w:tc>
        <w:tc>
          <w:tcPr>
            <w:tcW w:w="2324" w:type="dxa"/>
            <w:vMerge/>
          </w:tcPr>
          <w:p w14:paraId="32049E70" w14:textId="77777777" w:rsidR="00454A29" w:rsidRDefault="00454A29"/>
        </w:tc>
        <w:tc>
          <w:tcPr>
            <w:tcW w:w="1701" w:type="dxa"/>
            <w:vAlign w:val="center"/>
          </w:tcPr>
          <w:p w14:paraId="763EF03F" w14:textId="77777777" w:rsidR="00454A29" w:rsidRDefault="00454A29">
            <w:pPr>
              <w:pStyle w:val="ConsPlusNormal"/>
              <w:jc w:val="center"/>
            </w:pPr>
            <w:r>
              <w:t>41 565,84</w:t>
            </w:r>
          </w:p>
        </w:tc>
        <w:tc>
          <w:tcPr>
            <w:tcW w:w="1814" w:type="dxa"/>
            <w:vAlign w:val="center"/>
          </w:tcPr>
          <w:p w14:paraId="67939E9D" w14:textId="77777777" w:rsidR="00454A29" w:rsidRDefault="00454A29">
            <w:pPr>
              <w:pStyle w:val="ConsPlusNormal"/>
              <w:jc w:val="center"/>
            </w:pPr>
            <w:r>
              <w:t>41 565,84</w:t>
            </w:r>
          </w:p>
        </w:tc>
        <w:tc>
          <w:tcPr>
            <w:tcW w:w="1701" w:type="dxa"/>
            <w:vAlign w:val="center"/>
          </w:tcPr>
          <w:p w14:paraId="2538E572" w14:textId="77777777" w:rsidR="00454A29" w:rsidRDefault="00454A29">
            <w:pPr>
              <w:pStyle w:val="ConsPlusNormal"/>
            </w:pPr>
          </w:p>
        </w:tc>
        <w:tc>
          <w:tcPr>
            <w:tcW w:w="1701" w:type="dxa"/>
            <w:vAlign w:val="center"/>
          </w:tcPr>
          <w:p w14:paraId="12C71C49" w14:textId="77777777" w:rsidR="00454A29" w:rsidRDefault="00454A29">
            <w:pPr>
              <w:pStyle w:val="ConsPlusNormal"/>
            </w:pPr>
          </w:p>
        </w:tc>
        <w:tc>
          <w:tcPr>
            <w:tcW w:w="1814" w:type="dxa"/>
            <w:vAlign w:val="center"/>
          </w:tcPr>
          <w:p w14:paraId="7B94D623" w14:textId="77777777" w:rsidR="00454A29" w:rsidRDefault="00454A29">
            <w:pPr>
              <w:pStyle w:val="ConsPlusNormal"/>
            </w:pPr>
          </w:p>
        </w:tc>
      </w:tr>
      <w:tr w:rsidR="00454A29" w14:paraId="01425C4A" w14:textId="77777777">
        <w:tc>
          <w:tcPr>
            <w:tcW w:w="567" w:type="dxa"/>
            <w:vMerge/>
          </w:tcPr>
          <w:p w14:paraId="380A0A20" w14:textId="77777777" w:rsidR="00454A29" w:rsidRDefault="00454A29"/>
        </w:tc>
        <w:tc>
          <w:tcPr>
            <w:tcW w:w="3345" w:type="dxa"/>
            <w:vMerge/>
          </w:tcPr>
          <w:p w14:paraId="74333434" w14:textId="77777777" w:rsidR="00454A29" w:rsidRDefault="00454A29"/>
        </w:tc>
        <w:tc>
          <w:tcPr>
            <w:tcW w:w="1701" w:type="dxa"/>
            <w:vAlign w:val="center"/>
          </w:tcPr>
          <w:p w14:paraId="6B66B323" w14:textId="77777777" w:rsidR="00454A29" w:rsidRDefault="00454A29">
            <w:pPr>
              <w:pStyle w:val="ConsPlusNormal"/>
              <w:jc w:val="center"/>
            </w:pPr>
            <w:r>
              <w:t>2024</w:t>
            </w:r>
          </w:p>
        </w:tc>
        <w:tc>
          <w:tcPr>
            <w:tcW w:w="1417" w:type="dxa"/>
            <w:vMerge/>
          </w:tcPr>
          <w:p w14:paraId="5DF3367B" w14:textId="77777777" w:rsidR="00454A29" w:rsidRDefault="00454A29"/>
        </w:tc>
        <w:tc>
          <w:tcPr>
            <w:tcW w:w="2204" w:type="dxa"/>
            <w:vMerge/>
          </w:tcPr>
          <w:p w14:paraId="567DF4C2" w14:textId="77777777" w:rsidR="00454A29" w:rsidRDefault="00454A29"/>
        </w:tc>
        <w:tc>
          <w:tcPr>
            <w:tcW w:w="1417" w:type="dxa"/>
            <w:vMerge/>
          </w:tcPr>
          <w:p w14:paraId="39239BC8" w14:textId="77777777" w:rsidR="00454A29" w:rsidRDefault="00454A29"/>
        </w:tc>
        <w:tc>
          <w:tcPr>
            <w:tcW w:w="2324" w:type="dxa"/>
            <w:vMerge/>
          </w:tcPr>
          <w:p w14:paraId="261C1150" w14:textId="77777777" w:rsidR="00454A29" w:rsidRDefault="00454A29"/>
        </w:tc>
        <w:tc>
          <w:tcPr>
            <w:tcW w:w="1701" w:type="dxa"/>
            <w:vAlign w:val="center"/>
          </w:tcPr>
          <w:p w14:paraId="1DD0F2BF" w14:textId="77777777" w:rsidR="00454A29" w:rsidRDefault="00454A29">
            <w:pPr>
              <w:pStyle w:val="ConsPlusNormal"/>
              <w:jc w:val="center"/>
            </w:pPr>
            <w:r>
              <w:t>56 063,60</w:t>
            </w:r>
          </w:p>
        </w:tc>
        <w:tc>
          <w:tcPr>
            <w:tcW w:w="1814" w:type="dxa"/>
            <w:vAlign w:val="center"/>
          </w:tcPr>
          <w:p w14:paraId="73FD4434" w14:textId="77777777" w:rsidR="00454A29" w:rsidRDefault="00454A29">
            <w:pPr>
              <w:pStyle w:val="ConsPlusNormal"/>
              <w:jc w:val="center"/>
            </w:pPr>
            <w:r>
              <w:t>56 063,60</w:t>
            </w:r>
          </w:p>
        </w:tc>
        <w:tc>
          <w:tcPr>
            <w:tcW w:w="1701" w:type="dxa"/>
            <w:vAlign w:val="center"/>
          </w:tcPr>
          <w:p w14:paraId="562E6F48" w14:textId="77777777" w:rsidR="00454A29" w:rsidRDefault="00454A29">
            <w:pPr>
              <w:pStyle w:val="ConsPlusNormal"/>
            </w:pPr>
          </w:p>
        </w:tc>
        <w:tc>
          <w:tcPr>
            <w:tcW w:w="1701" w:type="dxa"/>
            <w:vAlign w:val="center"/>
          </w:tcPr>
          <w:p w14:paraId="4E7008AE" w14:textId="77777777" w:rsidR="00454A29" w:rsidRDefault="00454A29">
            <w:pPr>
              <w:pStyle w:val="ConsPlusNormal"/>
            </w:pPr>
          </w:p>
        </w:tc>
        <w:tc>
          <w:tcPr>
            <w:tcW w:w="1814" w:type="dxa"/>
            <w:vAlign w:val="center"/>
          </w:tcPr>
          <w:p w14:paraId="3B09C7CA" w14:textId="77777777" w:rsidR="00454A29" w:rsidRDefault="00454A29">
            <w:pPr>
              <w:pStyle w:val="ConsPlusNormal"/>
            </w:pPr>
          </w:p>
        </w:tc>
      </w:tr>
      <w:tr w:rsidR="00454A29" w14:paraId="122C364A" w14:textId="77777777">
        <w:tc>
          <w:tcPr>
            <w:tcW w:w="567" w:type="dxa"/>
            <w:vMerge/>
          </w:tcPr>
          <w:p w14:paraId="69DB366E" w14:textId="77777777" w:rsidR="00454A29" w:rsidRDefault="00454A29"/>
        </w:tc>
        <w:tc>
          <w:tcPr>
            <w:tcW w:w="3345" w:type="dxa"/>
            <w:vMerge/>
          </w:tcPr>
          <w:p w14:paraId="19C418F8" w14:textId="77777777" w:rsidR="00454A29" w:rsidRDefault="00454A29"/>
        </w:tc>
        <w:tc>
          <w:tcPr>
            <w:tcW w:w="1701" w:type="dxa"/>
            <w:vAlign w:val="center"/>
          </w:tcPr>
          <w:p w14:paraId="12FE9C77" w14:textId="77777777" w:rsidR="00454A29" w:rsidRDefault="00454A29">
            <w:pPr>
              <w:pStyle w:val="ConsPlusNormal"/>
              <w:jc w:val="center"/>
            </w:pPr>
            <w:r>
              <w:t>2025</w:t>
            </w:r>
          </w:p>
        </w:tc>
        <w:tc>
          <w:tcPr>
            <w:tcW w:w="1417" w:type="dxa"/>
            <w:vMerge/>
          </w:tcPr>
          <w:p w14:paraId="4CC547D0" w14:textId="77777777" w:rsidR="00454A29" w:rsidRDefault="00454A29"/>
        </w:tc>
        <w:tc>
          <w:tcPr>
            <w:tcW w:w="2204" w:type="dxa"/>
            <w:vMerge/>
          </w:tcPr>
          <w:p w14:paraId="4760D473" w14:textId="77777777" w:rsidR="00454A29" w:rsidRDefault="00454A29"/>
        </w:tc>
        <w:tc>
          <w:tcPr>
            <w:tcW w:w="1417" w:type="dxa"/>
            <w:vMerge/>
          </w:tcPr>
          <w:p w14:paraId="68C30A1B" w14:textId="77777777" w:rsidR="00454A29" w:rsidRDefault="00454A29"/>
        </w:tc>
        <w:tc>
          <w:tcPr>
            <w:tcW w:w="2324" w:type="dxa"/>
            <w:vMerge/>
          </w:tcPr>
          <w:p w14:paraId="1D678ED8" w14:textId="77777777" w:rsidR="00454A29" w:rsidRDefault="00454A29"/>
        </w:tc>
        <w:tc>
          <w:tcPr>
            <w:tcW w:w="1701" w:type="dxa"/>
            <w:vAlign w:val="center"/>
          </w:tcPr>
          <w:p w14:paraId="28DFB090" w14:textId="77777777" w:rsidR="00454A29" w:rsidRDefault="00454A29">
            <w:pPr>
              <w:pStyle w:val="ConsPlusNormal"/>
              <w:jc w:val="center"/>
            </w:pPr>
            <w:r>
              <w:t>-</w:t>
            </w:r>
          </w:p>
        </w:tc>
        <w:tc>
          <w:tcPr>
            <w:tcW w:w="1814" w:type="dxa"/>
            <w:vAlign w:val="center"/>
          </w:tcPr>
          <w:p w14:paraId="288551B7" w14:textId="77777777" w:rsidR="00454A29" w:rsidRDefault="00454A29">
            <w:pPr>
              <w:pStyle w:val="ConsPlusNormal"/>
            </w:pPr>
          </w:p>
        </w:tc>
        <w:tc>
          <w:tcPr>
            <w:tcW w:w="1701" w:type="dxa"/>
            <w:vAlign w:val="center"/>
          </w:tcPr>
          <w:p w14:paraId="1D9CA54F" w14:textId="77777777" w:rsidR="00454A29" w:rsidRDefault="00454A29">
            <w:pPr>
              <w:pStyle w:val="ConsPlusNormal"/>
            </w:pPr>
          </w:p>
        </w:tc>
        <w:tc>
          <w:tcPr>
            <w:tcW w:w="1701" w:type="dxa"/>
            <w:vAlign w:val="center"/>
          </w:tcPr>
          <w:p w14:paraId="1D7E9AA6" w14:textId="77777777" w:rsidR="00454A29" w:rsidRDefault="00454A29">
            <w:pPr>
              <w:pStyle w:val="ConsPlusNormal"/>
            </w:pPr>
          </w:p>
        </w:tc>
        <w:tc>
          <w:tcPr>
            <w:tcW w:w="1814" w:type="dxa"/>
            <w:vAlign w:val="center"/>
          </w:tcPr>
          <w:p w14:paraId="1CFF88B5" w14:textId="77777777" w:rsidR="00454A29" w:rsidRDefault="00454A29">
            <w:pPr>
              <w:pStyle w:val="ConsPlusNormal"/>
            </w:pPr>
          </w:p>
        </w:tc>
      </w:tr>
      <w:tr w:rsidR="00454A29" w14:paraId="30D92236" w14:textId="77777777">
        <w:tc>
          <w:tcPr>
            <w:tcW w:w="567" w:type="dxa"/>
            <w:vMerge/>
          </w:tcPr>
          <w:p w14:paraId="452B60A4" w14:textId="77777777" w:rsidR="00454A29" w:rsidRDefault="00454A29"/>
        </w:tc>
        <w:tc>
          <w:tcPr>
            <w:tcW w:w="3345" w:type="dxa"/>
            <w:vMerge/>
          </w:tcPr>
          <w:p w14:paraId="2C27506A" w14:textId="77777777" w:rsidR="00454A29" w:rsidRDefault="00454A29"/>
        </w:tc>
        <w:tc>
          <w:tcPr>
            <w:tcW w:w="1701" w:type="dxa"/>
            <w:vAlign w:val="center"/>
          </w:tcPr>
          <w:p w14:paraId="7B44CE5E" w14:textId="77777777" w:rsidR="00454A29" w:rsidRDefault="00454A29">
            <w:pPr>
              <w:pStyle w:val="ConsPlusNormal"/>
              <w:jc w:val="center"/>
            </w:pPr>
            <w:r>
              <w:t>2026</w:t>
            </w:r>
          </w:p>
        </w:tc>
        <w:tc>
          <w:tcPr>
            <w:tcW w:w="1417" w:type="dxa"/>
            <w:vMerge/>
          </w:tcPr>
          <w:p w14:paraId="19ADE084" w14:textId="77777777" w:rsidR="00454A29" w:rsidRDefault="00454A29"/>
        </w:tc>
        <w:tc>
          <w:tcPr>
            <w:tcW w:w="2204" w:type="dxa"/>
            <w:vMerge/>
          </w:tcPr>
          <w:p w14:paraId="3E8ADEE0" w14:textId="77777777" w:rsidR="00454A29" w:rsidRDefault="00454A29"/>
        </w:tc>
        <w:tc>
          <w:tcPr>
            <w:tcW w:w="1417" w:type="dxa"/>
            <w:vMerge/>
          </w:tcPr>
          <w:p w14:paraId="709516AE" w14:textId="77777777" w:rsidR="00454A29" w:rsidRDefault="00454A29"/>
        </w:tc>
        <w:tc>
          <w:tcPr>
            <w:tcW w:w="2324" w:type="dxa"/>
            <w:vMerge/>
          </w:tcPr>
          <w:p w14:paraId="22941337" w14:textId="77777777" w:rsidR="00454A29" w:rsidRDefault="00454A29"/>
        </w:tc>
        <w:tc>
          <w:tcPr>
            <w:tcW w:w="1701" w:type="dxa"/>
            <w:vAlign w:val="center"/>
          </w:tcPr>
          <w:p w14:paraId="25B1DE27" w14:textId="77777777" w:rsidR="00454A29" w:rsidRDefault="00454A29">
            <w:pPr>
              <w:pStyle w:val="ConsPlusNormal"/>
              <w:jc w:val="center"/>
            </w:pPr>
            <w:r>
              <w:t>-</w:t>
            </w:r>
          </w:p>
        </w:tc>
        <w:tc>
          <w:tcPr>
            <w:tcW w:w="1814" w:type="dxa"/>
            <w:vAlign w:val="center"/>
          </w:tcPr>
          <w:p w14:paraId="33A44859" w14:textId="77777777" w:rsidR="00454A29" w:rsidRDefault="00454A29">
            <w:pPr>
              <w:pStyle w:val="ConsPlusNormal"/>
            </w:pPr>
          </w:p>
        </w:tc>
        <w:tc>
          <w:tcPr>
            <w:tcW w:w="1701" w:type="dxa"/>
            <w:vAlign w:val="center"/>
          </w:tcPr>
          <w:p w14:paraId="4078516E" w14:textId="77777777" w:rsidR="00454A29" w:rsidRDefault="00454A29">
            <w:pPr>
              <w:pStyle w:val="ConsPlusNormal"/>
            </w:pPr>
          </w:p>
        </w:tc>
        <w:tc>
          <w:tcPr>
            <w:tcW w:w="1701" w:type="dxa"/>
            <w:vAlign w:val="center"/>
          </w:tcPr>
          <w:p w14:paraId="62D8AD4B" w14:textId="77777777" w:rsidR="00454A29" w:rsidRDefault="00454A29">
            <w:pPr>
              <w:pStyle w:val="ConsPlusNormal"/>
            </w:pPr>
          </w:p>
        </w:tc>
        <w:tc>
          <w:tcPr>
            <w:tcW w:w="1814" w:type="dxa"/>
            <w:vAlign w:val="center"/>
          </w:tcPr>
          <w:p w14:paraId="2D7D0943" w14:textId="77777777" w:rsidR="00454A29" w:rsidRDefault="00454A29">
            <w:pPr>
              <w:pStyle w:val="ConsPlusNormal"/>
            </w:pPr>
          </w:p>
        </w:tc>
      </w:tr>
      <w:tr w:rsidR="00454A29" w14:paraId="19008D49" w14:textId="77777777">
        <w:tc>
          <w:tcPr>
            <w:tcW w:w="567" w:type="dxa"/>
            <w:vMerge w:val="restart"/>
            <w:vAlign w:val="center"/>
          </w:tcPr>
          <w:p w14:paraId="1502476A" w14:textId="77777777" w:rsidR="00454A29" w:rsidRDefault="00454A29">
            <w:pPr>
              <w:pStyle w:val="ConsPlusNormal"/>
              <w:jc w:val="center"/>
            </w:pPr>
            <w:r>
              <w:t>46</w:t>
            </w:r>
          </w:p>
        </w:tc>
        <w:tc>
          <w:tcPr>
            <w:tcW w:w="3345" w:type="dxa"/>
            <w:vMerge w:val="restart"/>
            <w:vAlign w:val="center"/>
          </w:tcPr>
          <w:p w14:paraId="137A602A" w14:textId="77777777" w:rsidR="00454A29" w:rsidRDefault="00454A29">
            <w:pPr>
              <w:pStyle w:val="ConsPlusNormal"/>
              <w:jc w:val="center"/>
            </w:pPr>
            <w:r>
              <w:t>Детский сад на 240 мест во 2Б квартале г. Якутска</w:t>
            </w:r>
          </w:p>
        </w:tc>
        <w:tc>
          <w:tcPr>
            <w:tcW w:w="1701" w:type="dxa"/>
            <w:vAlign w:val="center"/>
          </w:tcPr>
          <w:p w14:paraId="58C7D6A4" w14:textId="77777777" w:rsidR="00454A29" w:rsidRDefault="00454A29">
            <w:pPr>
              <w:pStyle w:val="ConsPlusNormal"/>
              <w:jc w:val="center"/>
            </w:pPr>
            <w:r>
              <w:t>2020 - 2026 годы - всего</w:t>
            </w:r>
          </w:p>
        </w:tc>
        <w:tc>
          <w:tcPr>
            <w:tcW w:w="1417" w:type="dxa"/>
            <w:vMerge w:val="restart"/>
            <w:vAlign w:val="center"/>
          </w:tcPr>
          <w:p w14:paraId="058231F1" w14:textId="77777777" w:rsidR="00454A29" w:rsidRDefault="00454A29">
            <w:pPr>
              <w:pStyle w:val="ConsPlusNormal"/>
              <w:jc w:val="center"/>
            </w:pPr>
            <w:r>
              <w:t>386 446,42</w:t>
            </w:r>
          </w:p>
        </w:tc>
        <w:tc>
          <w:tcPr>
            <w:tcW w:w="2204" w:type="dxa"/>
            <w:vMerge w:val="restart"/>
            <w:vAlign w:val="center"/>
          </w:tcPr>
          <w:p w14:paraId="6EC28E4A" w14:textId="77777777" w:rsidR="00454A29" w:rsidRDefault="00454A29">
            <w:pPr>
              <w:pStyle w:val="ConsPlusNormal"/>
            </w:pPr>
          </w:p>
        </w:tc>
        <w:tc>
          <w:tcPr>
            <w:tcW w:w="1417" w:type="dxa"/>
            <w:vMerge w:val="restart"/>
            <w:vAlign w:val="center"/>
          </w:tcPr>
          <w:p w14:paraId="38D99F60" w14:textId="77777777" w:rsidR="00454A29" w:rsidRDefault="00454A29">
            <w:pPr>
              <w:pStyle w:val="ConsPlusNormal"/>
              <w:jc w:val="center"/>
            </w:pPr>
            <w:r>
              <w:t>240</w:t>
            </w:r>
          </w:p>
        </w:tc>
        <w:tc>
          <w:tcPr>
            <w:tcW w:w="2324" w:type="dxa"/>
            <w:vMerge w:val="restart"/>
            <w:vAlign w:val="center"/>
          </w:tcPr>
          <w:p w14:paraId="0FC3EE5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A9AFF27" w14:textId="77777777" w:rsidR="00454A29" w:rsidRDefault="00454A29">
            <w:pPr>
              <w:pStyle w:val="ConsPlusNormal"/>
              <w:jc w:val="center"/>
            </w:pPr>
            <w:r>
              <w:t>225 105,04</w:t>
            </w:r>
          </w:p>
        </w:tc>
        <w:tc>
          <w:tcPr>
            <w:tcW w:w="1814" w:type="dxa"/>
            <w:vAlign w:val="center"/>
          </w:tcPr>
          <w:p w14:paraId="573B77EC" w14:textId="77777777" w:rsidR="00454A29" w:rsidRDefault="00454A29">
            <w:pPr>
              <w:pStyle w:val="ConsPlusNormal"/>
              <w:jc w:val="center"/>
            </w:pPr>
            <w:r>
              <w:t>386 446,42</w:t>
            </w:r>
          </w:p>
        </w:tc>
        <w:tc>
          <w:tcPr>
            <w:tcW w:w="1701" w:type="dxa"/>
            <w:vAlign w:val="center"/>
          </w:tcPr>
          <w:p w14:paraId="1F748323" w14:textId="77777777" w:rsidR="00454A29" w:rsidRDefault="00454A29">
            <w:pPr>
              <w:pStyle w:val="ConsPlusNormal"/>
              <w:jc w:val="center"/>
            </w:pPr>
            <w:r>
              <w:t>-</w:t>
            </w:r>
          </w:p>
        </w:tc>
        <w:tc>
          <w:tcPr>
            <w:tcW w:w="1701" w:type="dxa"/>
            <w:vAlign w:val="center"/>
          </w:tcPr>
          <w:p w14:paraId="53D7867E" w14:textId="77777777" w:rsidR="00454A29" w:rsidRDefault="00454A29">
            <w:pPr>
              <w:pStyle w:val="ConsPlusNormal"/>
              <w:jc w:val="center"/>
            </w:pPr>
            <w:r>
              <w:t>-</w:t>
            </w:r>
          </w:p>
        </w:tc>
        <w:tc>
          <w:tcPr>
            <w:tcW w:w="1814" w:type="dxa"/>
            <w:vAlign w:val="center"/>
          </w:tcPr>
          <w:p w14:paraId="0E4F7322" w14:textId="77777777" w:rsidR="00454A29" w:rsidRDefault="00454A29">
            <w:pPr>
              <w:pStyle w:val="ConsPlusNormal"/>
              <w:jc w:val="center"/>
            </w:pPr>
            <w:r>
              <w:t>-</w:t>
            </w:r>
          </w:p>
        </w:tc>
      </w:tr>
      <w:tr w:rsidR="00454A29" w14:paraId="68173F4B" w14:textId="77777777">
        <w:tc>
          <w:tcPr>
            <w:tcW w:w="567" w:type="dxa"/>
            <w:vMerge/>
          </w:tcPr>
          <w:p w14:paraId="4538EA42" w14:textId="77777777" w:rsidR="00454A29" w:rsidRDefault="00454A29"/>
        </w:tc>
        <w:tc>
          <w:tcPr>
            <w:tcW w:w="3345" w:type="dxa"/>
            <w:vMerge/>
          </w:tcPr>
          <w:p w14:paraId="337FBD6B" w14:textId="77777777" w:rsidR="00454A29" w:rsidRDefault="00454A29"/>
        </w:tc>
        <w:tc>
          <w:tcPr>
            <w:tcW w:w="1701" w:type="dxa"/>
            <w:vAlign w:val="center"/>
          </w:tcPr>
          <w:p w14:paraId="46928ABC" w14:textId="77777777" w:rsidR="00454A29" w:rsidRDefault="00454A29">
            <w:pPr>
              <w:pStyle w:val="ConsPlusNormal"/>
              <w:jc w:val="center"/>
            </w:pPr>
            <w:r>
              <w:t>2020</w:t>
            </w:r>
          </w:p>
        </w:tc>
        <w:tc>
          <w:tcPr>
            <w:tcW w:w="1417" w:type="dxa"/>
            <w:vMerge/>
          </w:tcPr>
          <w:p w14:paraId="7EE13877" w14:textId="77777777" w:rsidR="00454A29" w:rsidRDefault="00454A29"/>
        </w:tc>
        <w:tc>
          <w:tcPr>
            <w:tcW w:w="2204" w:type="dxa"/>
            <w:vMerge/>
          </w:tcPr>
          <w:p w14:paraId="21403C32" w14:textId="77777777" w:rsidR="00454A29" w:rsidRDefault="00454A29"/>
        </w:tc>
        <w:tc>
          <w:tcPr>
            <w:tcW w:w="1417" w:type="dxa"/>
            <w:vMerge/>
          </w:tcPr>
          <w:p w14:paraId="38521385" w14:textId="77777777" w:rsidR="00454A29" w:rsidRDefault="00454A29"/>
        </w:tc>
        <w:tc>
          <w:tcPr>
            <w:tcW w:w="2324" w:type="dxa"/>
            <w:vMerge/>
          </w:tcPr>
          <w:p w14:paraId="3FC3A87D" w14:textId="77777777" w:rsidR="00454A29" w:rsidRDefault="00454A29"/>
        </w:tc>
        <w:tc>
          <w:tcPr>
            <w:tcW w:w="1701" w:type="dxa"/>
            <w:vAlign w:val="center"/>
          </w:tcPr>
          <w:p w14:paraId="50238EB6" w14:textId="77777777" w:rsidR="00454A29" w:rsidRDefault="00454A29">
            <w:pPr>
              <w:pStyle w:val="ConsPlusNormal"/>
              <w:jc w:val="center"/>
            </w:pPr>
            <w:r>
              <w:t>-</w:t>
            </w:r>
          </w:p>
        </w:tc>
        <w:tc>
          <w:tcPr>
            <w:tcW w:w="1814" w:type="dxa"/>
            <w:vAlign w:val="center"/>
          </w:tcPr>
          <w:p w14:paraId="7F26CB02" w14:textId="77777777" w:rsidR="00454A29" w:rsidRDefault="00454A29">
            <w:pPr>
              <w:pStyle w:val="ConsPlusNormal"/>
            </w:pPr>
          </w:p>
        </w:tc>
        <w:tc>
          <w:tcPr>
            <w:tcW w:w="1701" w:type="dxa"/>
            <w:vAlign w:val="center"/>
          </w:tcPr>
          <w:p w14:paraId="0E470557" w14:textId="77777777" w:rsidR="00454A29" w:rsidRDefault="00454A29">
            <w:pPr>
              <w:pStyle w:val="ConsPlusNormal"/>
            </w:pPr>
          </w:p>
        </w:tc>
        <w:tc>
          <w:tcPr>
            <w:tcW w:w="1701" w:type="dxa"/>
            <w:vAlign w:val="center"/>
          </w:tcPr>
          <w:p w14:paraId="55A48696" w14:textId="77777777" w:rsidR="00454A29" w:rsidRDefault="00454A29">
            <w:pPr>
              <w:pStyle w:val="ConsPlusNormal"/>
            </w:pPr>
          </w:p>
        </w:tc>
        <w:tc>
          <w:tcPr>
            <w:tcW w:w="1814" w:type="dxa"/>
            <w:vAlign w:val="center"/>
          </w:tcPr>
          <w:p w14:paraId="23CC1A3C" w14:textId="77777777" w:rsidR="00454A29" w:rsidRDefault="00454A29">
            <w:pPr>
              <w:pStyle w:val="ConsPlusNormal"/>
            </w:pPr>
          </w:p>
        </w:tc>
      </w:tr>
      <w:tr w:rsidR="00454A29" w14:paraId="14697EFB" w14:textId="77777777">
        <w:tc>
          <w:tcPr>
            <w:tcW w:w="567" w:type="dxa"/>
            <w:vMerge/>
          </w:tcPr>
          <w:p w14:paraId="5EE415BB" w14:textId="77777777" w:rsidR="00454A29" w:rsidRDefault="00454A29"/>
        </w:tc>
        <w:tc>
          <w:tcPr>
            <w:tcW w:w="3345" w:type="dxa"/>
            <w:vMerge/>
          </w:tcPr>
          <w:p w14:paraId="6F229FF1" w14:textId="77777777" w:rsidR="00454A29" w:rsidRDefault="00454A29"/>
        </w:tc>
        <w:tc>
          <w:tcPr>
            <w:tcW w:w="1701" w:type="dxa"/>
            <w:vAlign w:val="center"/>
          </w:tcPr>
          <w:p w14:paraId="1E5EC7CE" w14:textId="77777777" w:rsidR="00454A29" w:rsidRDefault="00454A29">
            <w:pPr>
              <w:pStyle w:val="ConsPlusNormal"/>
              <w:jc w:val="center"/>
            </w:pPr>
            <w:r>
              <w:t>2021</w:t>
            </w:r>
          </w:p>
        </w:tc>
        <w:tc>
          <w:tcPr>
            <w:tcW w:w="1417" w:type="dxa"/>
            <w:vMerge/>
          </w:tcPr>
          <w:p w14:paraId="3523E900" w14:textId="77777777" w:rsidR="00454A29" w:rsidRDefault="00454A29"/>
        </w:tc>
        <w:tc>
          <w:tcPr>
            <w:tcW w:w="2204" w:type="dxa"/>
            <w:vMerge/>
          </w:tcPr>
          <w:p w14:paraId="3DAE838F" w14:textId="77777777" w:rsidR="00454A29" w:rsidRDefault="00454A29"/>
        </w:tc>
        <w:tc>
          <w:tcPr>
            <w:tcW w:w="1417" w:type="dxa"/>
            <w:vMerge/>
          </w:tcPr>
          <w:p w14:paraId="6AF9E7A1" w14:textId="77777777" w:rsidR="00454A29" w:rsidRDefault="00454A29"/>
        </w:tc>
        <w:tc>
          <w:tcPr>
            <w:tcW w:w="2324" w:type="dxa"/>
            <w:vMerge/>
          </w:tcPr>
          <w:p w14:paraId="1037EDCC" w14:textId="77777777" w:rsidR="00454A29" w:rsidRDefault="00454A29"/>
        </w:tc>
        <w:tc>
          <w:tcPr>
            <w:tcW w:w="1701" w:type="dxa"/>
            <w:vAlign w:val="center"/>
          </w:tcPr>
          <w:p w14:paraId="4CAA6A93" w14:textId="77777777" w:rsidR="00454A29" w:rsidRDefault="00454A29">
            <w:pPr>
              <w:pStyle w:val="ConsPlusNormal"/>
              <w:jc w:val="center"/>
            </w:pPr>
            <w:r>
              <w:t>-</w:t>
            </w:r>
          </w:p>
        </w:tc>
        <w:tc>
          <w:tcPr>
            <w:tcW w:w="1814" w:type="dxa"/>
            <w:vAlign w:val="center"/>
          </w:tcPr>
          <w:p w14:paraId="40C75D79" w14:textId="77777777" w:rsidR="00454A29" w:rsidRDefault="00454A29">
            <w:pPr>
              <w:pStyle w:val="ConsPlusNormal"/>
            </w:pPr>
          </w:p>
        </w:tc>
        <w:tc>
          <w:tcPr>
            <w:tcW w:w="1701" w:type="dxa"/>
            <w:vAlign w:val="center"/>
          </w:tcPr>
          <w:p w14:paraId="3B59BD27" w14:textId="77777777" w:rsidR="00454A29" w:rsidRDefault="00454A29">
            <w:pPr>
              <w:pStyle w:val="ConsPlusNormal"/>
            </w:pPr>
          </w:p>
        </w:tc>
        <w:tc>
          <w:tcPr>
            <w:tcW w:w="1701" w:type="dxa"/>
            <w:vAlign w:val="center"/>
          </w:tcPr>
          <w:p w14:paraId="7CBA64F8" w14:textId="77777777" w:rsidR="00454A29" w:rsidRDefault="00454A29">
            <w:pPr>
              <w:pStyle w:val="ConsPlusNormal"/>
            </w:pPr>
          </w:p>
        </w:tc>
        <w:tc>
          <w:tcPr>
            <w:tcW w:w="1814" w:type="dxa"/>
            <w:vAlign w:val="center"/>
          </w:tcPr>
          <w:p w14:paraId="15C07C33" w14:textId="77777777" w:rsidR="00454A29" w:rsidRDefault="00454A29">
            <w:pPr>
              <w:pStyle w:val="ConsPlusNormal"/>
            </w:pPr>
          </w:p>
        </w:tc>
      </w:tr>
      <w:tr w:rsidR="00454A29" w14:paraId="08A900AD" w14:textId="77777777">
        <w:tc>
          <w:tcPr>
            <w:tcW w:w="567" w:type="dxa"/>
            <w:vMerge/>
          </w:tcPr>
          <w:p w14:paraId="2E391D7B" w14:textId="77777777" w:rsidR="00454A29" w:rsidRDefault="00454A29"/>
        </w:tc>
        <w:tc>
          <w:tcPr>
            <w:tcW w:w="3345" w:type="dxa"/>
            <w:vMerge/>
          </w:tcPr>
          <w:p w14:paraId="602CB74C" w14:textId="77777777" w:rsidR="00454A29" w:rsidRDefault="00454A29"/>
        </w:tc>
        <w:tc>
          <w:tcPr>
            <w:tcW w:w="1701" w:type="dxa"/>
            <w:vAlign w:val="center"/>
          </w:tcPr>
          <w:p w14:paraId="2E80C09E" w14:textId="77777777" w:rsidR="00454A29" w:rsidRDefault="00454A29">
            <w:pPr>
              <w:pStyle w:val="ConsPlusNormal"/>
              <w:jc w:val="center"/>
            </w:pPr>
            <w:r>
              <w:t>2022</w:t>
            </w:r>
          </w:p>
        </w:tc>
        <w:tc>
          <w:tcPr>
            <w:tcW w:w="1417" w:type="dxa"/>
            <w:vMerge/>
          </w:tcPr>
          <w:p w14:paraId="1C6A375B" w14:textId="77777777" w:rsidR="00454A29" w:rsidRDefault="00454A29"/>
        </w:tc>
        <w:tc>
          <w:tcPr>
            <w:tcW w:w="2204" w:type="dxa"/>
            <w:vMerge/>
          </w:tcPr>
          <w:p w14:paraId="31DA5C40" w14:textId="77777777" w:rsidR="00454A29" w:rsidRDefault="00454A29"/>
        </w:tc>
        <w:tc>
          <w:tcPr>
            <w:tcW w:w="1417" w:type="dxa"/>
            <w:vMerge/>
          </w:tcPr>
          <w:p w14:paraId="2111D3F3" w14:textId="77777777" w:rsidR="00454A29" w:rsidRDefault="00454A29"/>
        </w:tc>
        <w:tc>
          <w:tcPr>
            <w:tcW w:w="2324" w:type="dxa"/>
            <w:vMerge/>
          </w:tcPr>
          <w:p w14:paraId="43FCDCCE" w14:textId="77777777" w:rsidR="00454A29" w:rsidRDefault="00454A29"/>
        </w:tc>
        <w:tc>
          <w:tcPr>
            <w:tcW w:w="1701" w:type="dxa"/>
            <w:vAlign w:val="center"/>
          </w:tcPr>
          <w:p w14:paraId="56AFA845" w14:textId="77777777" w:rsidR="00454A29" w:rsidRDefault="00454A29">
            <w:pPr>
              <w:pStyle w:val="ConsPlusNormal"/>
              <w:jc w:val="center"/>
            </w:pPr>
            <w:r>
              <w:t>-</w:t>
            </w:r>
          </w:p>
        </w:tc>
        <w:tc>
          <w:tcPr>
            <w:tcW w:w="1814" w:type="dxa"/>
            <w:vAlign w:val="center"/>
          </w:tcPr>
          <w:p w14:paraId="2BD74C50" w14:textId="77777777" w:rsidR="00454A29" w:rsidRDefault="00454A29">
            <w:pPr>
              <w:pStyle w:val="ConsPlusNormal"/>
            </w:pPr>
          </w:p>
        </w:tc>
        <w:tc>
          <w:tcPr>
            <w:tcW w:w="1701" w:type="dxa"/>
            <w:vAlign w:val="center"/>
          </w:tcPr>
          <w:p w14:paraId="7D976C74" w14:textId="77777777" w:rsidR="00454A29" w:rsidRDefault="00454A29">
            <w:pPr>
              <w:pStyle w:val="ConsPlusNormal"/>
            </w:pPr>
          </w:p>
        </w:tc>
        <w:tc>
          <w:tcPr>
            <w:tcW w:w="1701" w:type="dxa"/>
            <w:vAlign w:val="center"/>
          </w:tcPr>
          <w:p w14:paraId="3528A4B6" w14:textId="77777777" w:rsidR="00454A29" w:rsidRDefault="00454A29">
            <w:pPr>
              <w:pStyle w:val="ConsPlusNormal"/>
            </w:pPr>
          </w:p>
        </w:tc>
        <w:tc>
          <w:tcPr>
            <w:tcW w:w="1814" w:type="dxa"/>
            <w:vAlign w:val="center"/>
          </w:tcPr>
          <w:p w14:paraId="7343BCA5" w14:textId="77777777" w:rsidR="00454A29" w:rsidRDefault="00454A29">
            <w:pPr>
              <w:pStyle w:val="ConsPlusNormal"/>
            </w:pPr>
          </w:p>
        </w:tc>
      </w:tr>
      <w:tr w:rsidR="00454A29" w14:paraId="708D8C81" w14:textId="77777777">
        <w:tc>
          <w:tcPr>
            <w:tcW w:w="567" w:type="dxa"/>
            <w:vMerge/>
          </w:tcPr>
          <w:p w14:paraId="568BB4B4" w14:textId="77777777" w:rsidR="00454A29" w:rsidRDefault="00454A29"/>
        </w:tc>
        <w:tc>
          <w:tcPr>
            <w:tcW w:w="3345" w:type="dxa"/>
            <w:vMerge/>
          </w:tcPr>
          <w:p w14:paraId="48A03EA6" w14:textId="77777777" w:rsidR="00454A29" w:rsidRDefault="00454A29"/>
        </w:tc>
        <w:tc>
          <w:tcPr>
            <w:tcW w:w="1701" w:type="dxa"/>
            <w:vAlign w:val="center"/>
          </w:tcPr>
          <w:p w14:paraId="4690374D" w14:textId="77777777" w:rsidR="00454A29" w:rsidRDefault="00454A29">
            <w:pPr>
              <w:pStyle w:val="ConsPlusNormal"/>
              <w:jc w:val="center"/>
            </w:pPr>
            <w:r>
              <w:t>2023</w:t>
            </w:r>
          </w:p>
        </w:tc>
        <w:tc>
          <w:tcPr>
            <w:tcW w:w="1417" w:type="dxa"/>
            <w:vMerge/>
          </w:tcPr>
          <w:p w14:paraId="25A66C60" w14:textId="77777777" w:rsidR="00454A29" w:rsidRDefault="00454A29"/>
        </w:tc>
        <w:tc>
          <w:tcPr>
            <w:tcW w:w="2204" w:type="dxa"/>
            <w:vMerge/>
          </w:tcPr>
          <w:p w14:paraId="7C986BD3" w14:textId="77777777" w:rsidR="00454A29" w:rsidRDefault="00454A29"/>
        </w:tc>
        <w:tc>
          <w:tcPr>
            <w:tcW w:w="1417" w:type="dxa"/>
            <w:vMerge/>
          </w:tcPr>
          <w:p w14:paraId="7E6D6C65" w14:textId="77777777" w:rsidR="00454A29" w:rsidRDefault="00454A29"/>
        </w:tc>
        <w:tc>
          <w:tcPr>
            <w:tcW w:w="2324" w:type="dxa"/>
            <w:vMerge/>
          </w:tcPr>
          <w:p w14:paraId="46E44A83" w14:textId="77777777" w:rsidR="00454A29" w:rsidRDefault="00454A29"/>
        </w:tc>
        <w:tc>
          <w:tcPr>
            <w:tcW w:w="1701" w:type="dxa"/>
            <w:vAlign w:val="center"/>
          </w:tcPr>
          <w:p w14:paraId="3F0B6C1D" w14:textId="77777777" w:rsidR="00454A29" w:rsidRDefault="00454A29">
            <w:pPr>
              <w:pStyle w:val="ConsPlusNormal"/>
              <w:jc w:val="center"/>
            </w:pPr>
            <w:r>
              <w:t>95 838,71</w:t>
            </w:r>
          </w:p>
        </w:tc>
        <w:tc>
          <w:tcPr>
            <w:tcW w:w="1814" w:type="dxa"/>
            <w:vAlign w:val="center"/>
          </w:tcPr>
          <w:p w14:paraId="343F7D49" w14:textId="77777777" w:rsidR="00454A29" w:rsidRDefault="00454A29">
            <w:pPr>
              <w:pStyle w:val="ConsPlusNormal"/>
              <w:jc w:val="center"/>
            </w:pPr>
            <w:r>
              <w:t>95 838,71</w:t>
            </w:r>
          </w:p>
        </w:tc>
        <w:tc>
          <w:tcPr>
            <w:tcW w:w="1701" w:type="dxa"/>
            <w:vAlign w:val="center"/>
          </w:tcPr>
          <w:p w14:paraId="02B630D1" w14:textId="77777777" w:rsidR="00454A29" w:rsidRDefault="00454A29">
            <w:pPr>
              <w:pStyle w:val="ConsPlusNormal"/>
            </w:pPr>
          </w:p>
        </w:tc>
        <w:tc>
          <w:tcPr>
            <w:tcW w:w="1701" w:type="dxa"/>
            <w:vAlign w:val="center"/>
          </w:tcPr>
          <w:p w14:paraId="227B667E" w14:textId="77777777" w:rsidR="00454A29" w:rsidRDefault="00454A29">
            <w:pPr>
              <w:pStyle w:val="ConsPlusNormal"/>
            </w:pPr>
          </w:p>
        </w:tc>
        <w:tc>
          <w:tcPr>
            <w:tcW w:w="1814" w:type="dxa"/>
            <w:vAlign w:val="center"/>
          </w:tcPr>
          <w:p w14:paraId="7317BBD3" w14:textId="77777777" w:rsidR="00454A29" w:rsidRDefault="00454A29">
            <w:pPr>
              <w:pStyle w:val="ConsPlusNormal"/>
            </w:pPr>
          </w:p>
        </w:tc>
      </w:tr>
      <w:tr w:rsidR="00454A29" w14:paraId="0F0A0E41" w14:textId="77777777">
        <w:tc>
          <w:tcPr>
            <w:tcW w:w="567" w:type="dxa"/>
            <w:vMerge/>
          </w:tcPr>
          <w:p w14:paraId="01541EA3" w14:textId="77777777" w:rsidR="00454A29" w:rsidRDefault="00454A29"/>
        </w:tc>
        <w:tc>
          <w:tcPr>
            <w:tcW w:w="3345" w:type="dxa"/>
            <w:vMerge/>
          </w:tcPr>
          <w:p w14:paraId="13280ABD" w14:textId="77777777" w:rsidR="00454A29" w:rsidRDefault="00454A29"/>
        </w:tc>
        <w:tc>
          <w:tcPr>
            <w:tcW w:w="1701" w:type="dxa"/>
            <w:vAlign w:val="center"/>
          </w:tcPr>
          <w:p w14:paraId="0230BEFF" w14:textId="77777777" w:rsidR="00454A29" w:rsidRDefault="00454A29">
            <w:pPr>
              <w:pStyle w:val="ConsPlusNormal"/>
              <w:jc w:val="center"/>
            </w:pPr>
            <w:r>
              <w:t>2024</w:t>
            </w:r>
          </w:p>
        </w:tc>
        <w:tc>
          <w:tcPr>
            <w:tcW w:w="1417" w:type="dxa"/>
            <w:vMerge/>
          </w:tcPr>
          <w:p w14:paraId="231BDC72" w14:textId="77777777" w:rsidR="00454A29" w:rsidRDefault="00454A29"/>
        </w:tc>
        <w:tc>
          <w:tcPr>
            <w:tcW w:w="2204" w:type="dxa"/>
            <w:vMerge/>
          </w:tcPr>
          <w:p w14:paraId="7EE4CC27" w14:textId="77777777" w:rsidR="00454A29" w:rsidRDefault="00454A29"/>
        </w:tc>
        <w:tc>
          <w:tcPr>
            <w:tcW w:w="1417" w:type="dxa"/>
            <w:vMerge/>
          </w:tcPr>
          <w:p w14:paraId="2A78FF59" w14:textId="77777777" w:rsidR="00454A29" w:rsidRDefault="00454A29"/>
        </w:tc>
        <w:tc>
          <w:tcPr>
            <w:tcW w:w="2324" w:type="dxa"/>
            <w:vMerge/>
          </w:tcPr>
          <w:p w14:paraId="7EE8CF45" w14:textId="77777777" w:rsidR="00454A29" w:rsidRDefault="00454A29"/>
        </w:tc>
        <w:tc>
          <w:tcPr>
            <w:tcW w:w="1701" w:type="dxa"/>
            <w:vAlign w:val="center"/>
          </w:tcPr>
          <w:p w14:paraId="44649762" w14:textId="77777777" w:rsidR="00454A29" w:rsidRDefault="00454A29">
            <w:pPr>
              <w:pStyle w:val="ConsPlusNormal"/>
              <w:jc w:val="center"/>
            </w:pPr>
            <w:r>
              <w:t>129 266,33</w:t>
            </w:r>
          </w:p>
        </w:tc>
        <w:tc>
          <w:tcPr>
            <w:tcW w:w="1814" w:type="dxa"/>
            <w:vAlign w:val="center"/>
          </w:tcPr>
          <w:p w14:paraId="62105441" w14:textId="77777777" w:rsidR="00454A29" w:rsidRDefault="00454A29">
            <w:pPr>
              <w:pStyle w:val="ConsPlusNormal"/>
              <w:jc w:val="center"/>
            </w:pPr>
            <w:r>
              <w:t>129 266,33</w:t>
            </w:r>
          </w:p>
        </w:tc>
        <w:tc>
          <w:tcPr>
            <w:tcW w:w="1701" w:type="dxa"/>
            <w:vAlign w:val="center"/>
          </w:tcPr>
          <w:p w14:paraId="277D30A9" w14:textId="77777777" w:rsidR="00454A29" w:rsidRDefault="00454A29">
            <w:pPr>
              <w:pStyle w:val="ConsPlusNormal"/>
            </w:pPr>
          </w:p>
        </w:tc>
        <w:tc>
          <w:tcPr>
            <w:tcW w:w="1701" w:type="dxa"/>
            <w:vAlign w:val="center"/>
          </w:tcPr>
          <w:p w14:paraId="08C07E38" w14:textId="77777777" w:rsidR="00454A29" w:rsidRDefault="00454A29">
            <w:pPr>
              <w:pStyle w:val="ConsPlusNormal"/>
            </w:pPr>
          </w:p>
        </w:tc>
        <w:tc>
          <w:tcPr>
            <w:tcW w:w="1814" w:type="dxa"/>
            <w:vAlign w:val="center"/>
          </w:tcPr>
          <w:p w14:paraId="5BB6CE02" w14:textId="77777777" w:rsidR="00454A29" w:rsidRDefault="00454A29">
            <w:pPr>
              <w:pStyle w:val="ConsPlusNormal"/>
            </w:pPr>
          </w:p>
        </w:tc>
      </w:tr>
      <w:tr w:rsidR="00454A29" w14:paraId="40564686" w14:textId="77777777">
        <w:tc>
          <w:tcPr>
            <w:tcW w:w="567" w:type="dxa"/>
            <w:vMerge/>
          </w:tcPr>
          <w:p w14:paraId="0FD179D4" w14:textId="77777777" w:rsidR="00454A29" w:rsidRDefault="00454A29"/>
        </w:tc>
        <w:tc>
          <w:tcPr>
            <w:tcW w:w="3345" w:type="dxa"/>
            <w:vMerge/>
          </w:tcPr>
          <w:p w14:paraId="723B85EA" w14:textId="77777777" w:rsidR="00454A29" w:rsidRDefault="00454A29"/>
        </w:tc>
        <w:tc>
          <w:tcPr>
            <w:tcW w:w="1701" w:type="dxa"/>
            <w:vAlign w:val="center"/>
          </w:tcPr>
          <w:p w14:paraId="708D6248" w14:textId="77777777" w:rsidR="00454A29" w:rsidRDefault="00454A29">
            <w:pPr>
              <w:pStyle w:val="ConsPlusNormal"/>
              <w:jc w:val="center"/>
            </w:pPr>
            <w:r>
              <w:t>2025</w:t>
            </w:r>
          </w:p>
        </w:tc>
        <w:tc>
          <w:tcPr>
            <w:tcW w:w="1417" w:type="dxa"/>
            <w:vMerge/>
          </w:tcPr>
          <w:p w14:paraId="7B006328" w14:textId="77777777" w:rsidR="00454A29" w:rsidRDefault="00454A29"/>
        </w:tc>
        <w:tc>
          <w:tcPr>
            <w:tcW w:w="2204" w:type="dxa"/>
            <w:vMerge/>
          </w:tcPr>
          <w:p w14:paraId="58E8F13D" w14:textId="77777777" w:rsidR="00454A29" w:rsidRDefault="00454A29"/>
        </w:tc>
        <w:tc>
          <w:tcPr>
            <w:tcW w:w="1417" w:type="dxa"/>
            <w:vMerge/>
          </w:tcPr>
          <w:p w14:paraId="7B7B86CD" w14:textId="77777777" w:rsidR="00454A29" w:rsidRDefault="00454A29"/>
        </w:tc>
        <w:tc>
          <w:tcPr>
            <w:tcW w:w="2324" w:type="dxa"/>
            <w:vMerge/>
          </w:tcPr>
          <w:p w14:paraId="4CEF57EA" w14:textId="77777777" w:rsidR="00454A29" w:rsidRDefault="00454A29"/>
        </w:tc>
        <w:tc>
          <w:tcPr>
            <w:tcW w:w="1701" w:type="dxa"/>
            <w:vAlign w:val="center"/>
          </w:tcPr>
          <w:p w14:paraId="150C8626" w14:textId="77777777" w:rsidR="00454A29" w:rsidRDefault="00454A29">
            <w:pPr>
              <w:pStyle w:val="ConsPlusNormal"/>
              <w:jc w:val="center"/>
            </w:pPr>
            <w:r>
              <w:t>-</w:t>
            </w:r>
          </w:p>
        </w:tc>
        <w:tc>
          <w:tcPr>
            <w:tcW w:w="1814" w:type="dxa"/>
            <w:vAlign w:val="center"/>
          </w:tcPr>
          <w:p w14:paraId="1C8326FD" w14:textId="77777777" w:rsidR="00454A29" w:rsidRDefault="00454A29">
            <w:pPr>
              <w:pStyle w:val="ConsPlusNormal"/>
            </w:pPr>
          </w:p>
        </w:tc>
        <w:tc>
          <w:tcPr>
            <w:tcW w:w="1701" w:type="dxa"/>
            <w:vAlign w:val="center"/>
          </w:tcPr>
          <w:p w14:paraId="6E7B80D0" w14:textId="77777777" w:rsidR="00454A29" w:rsidRDefault="00454A29">
            <w:pPr>
              <w:pStyle w:val="ConsPlusNormal"/>
            </w:pPr>
          </w:p>
        </w:tc>
        <w:tc>
          <w:tcPr>
            <w:tcW w:w="1701" w:type="dxa"/>
            <w:vAlign w:val="center"/>
          </w:tcPr>
          <w:p w14:paraId="1309A1A7" w14:textId="77777777" w:rsidR="00454A29" w:rsidRDefault="00454A29">
            <w:pPr>
              <w:pStyle w:val="ConsPlusNormal"/>
            </w:pPr>
          </w:p>
        </w:tc>
        <w:tc>
          <w:tcPr>
            <w:tcW w:w="1814" w:type="dxa"/>
            <w:vAlign w:val="center"/>
          </w:tcPr>
          <w:p w14:paraId="738B4155" w14:textId="77777777" w:rsidR="00454A29" w:rsidRDefault="00454A29">
            <w:pPr>
              <w:pStyle w:val="ConsPlusNormal"/>
            </w:pPr>
          </w:p>
        </w:tc>
      </w:tr>
      <w:tr w:rsidR="00454A29" w14:paraId="09B7B171" w14:textId="77777777">
        <w:tc>
          <w:tcPr>
            <w:tcW w:w="567" w:type="dxa"/>
            <w:vMerge/>
          </w:tcPr>
          <w:p w14:paraId="48DC6B34" w14:textId="77777777" w:rsidR="00454A29" w:rsidRDefault="00454A29"/>
        </w:tc>
        <w:tc>
          <w:tcPr>
            <w:tcW w:w="3345" w:type="dxa"/>
            <w:vMerge/>
          </w:tcPr>
          <w:p w14:paraId="4B0992A4" w14:textId="77777777" w:rsidR="00454A29" w:rsidRDefault="00454A29"/>
        </w:tc>
        <w:tc>
          <w:tcPr>
            <w:tcW w:w="1701" w:type="dxa"/>
            <w:vAlign w:val="center"/>
          </w:tcPr>
          <w:p w14:paraId="494B74DF" w14:textId="77777777" w:rsidR="00454A29" w:rsidRDefault="00454A29">
            <w:pPr>
              <w:pStyle w:val="ConsPlusNormal"/>
              <w:jc w:val="center"/>
            </w:pPr>
            <w:r>
              <w:t>2026</w:t>
            </w:r>
          </w:p>
        </w:tc>
        <w:tc>
          <w:tcPr>
            <w:tcW w:w="1417" w:type="dxa"/>
            <w:vMerge/>
          </w:tcPr>
          <w:p w14:paraId="6ECF59F0" w14:textId="77777777" w:rsidR="00454A29" w:rsidRDefault="00454A29"/>
        </w:tc>
        <w:tc>
          <w:tcPr>
            <w:tcW w:w="2204" w:type="dxa"/>
            <w:vMerge/>
          </w:tcPr>
          <w:p w14:paraId="23BA3E9B" w14:textId="77777777" w:rsidR="00454A29" w:rsidRDefault="00454A29"/>
        </w:tc>
        <w:tc>
          <w:tcPr>
            <w:tcW w:w="1417" w:type="dxa"/>
            <w:vMerge/>
          </w:tcPr>
          <w:p w14:paraId="3B0081DF" w14:textId="77777777" w:rsidR="00454A29" w:rsidRDefault="00454A29"/>
        </w:tc>
        <w:tc>
          <w:tcPr>
            <w:tcW w:w="2324" w:type="dxa"/>
            <w:vMerge/>
          </w:tcPr>
          <w:p w14:paraId="1D831F61" w14:textId="77777777" w:rsidR="00454A29" w:rsidRDefault="00454A29"/>
        </w:tc>
        <w:tc>
          <w:tcPr>
            <w:tcW w:w="1701" w:type="dxa"/>
            <w:vAlign w:val="center"/>
          </w:tcPr>
          <w:p w14:paraId="4A579E22" w14:textId="77777777" w:rsidR="00454A29" w:rsidRDefault="00454A29">
            <w:pPr>
              <w:pStyle w:val="ConsPlusNormal"/>
              <w:jc w:val="center"/>
            </w:pPr>
            <w:r>
              <w:t>-</w:t>
            </w:r>
          </w:p>
        </w:tc>
        <w:tc>
          <w:tcPr>
            <w:tcW w:w="1814" w:type="dxa"/>
            <w:vAlign w:val="center"/>
          </w:tcPr>
          <w:p w14:paraId="1E5A6CA6" w14:textId="77777777" w:rsidR="00454A29" w:rsidRDefault="00454A29">
            <w:pPr>
              <w:pStyle w:val="ConsPlusNormal"/>
            </w:pPr>
          </w:p>
        </w:tc>
        <w:tc>
          <w:tcPr>
            <w:tcW w:w="1701" w:type="dxa"/>
            <w:vAlign w:val="center"/>
          </w:tcPr>
          <w:p w14:paraId="0E06DE2C" w14:textId="77777777" w:rsidR="00454A29" w:rsidRDefault="00454A29">
            <w:pPr>
              <w:pStyle w:val="ConsPlusNormal"/>
            </w:pPr>
          </w:p>
        </w:tc>
        <w:tc>
          <w:tcPr>
            <w:tcW w:w="1701" w:type="dxa"/>
            <w:vAlign w:val="center"/>
          </w:tcPr>
          <w:p w14:paraId="3885E480" w14:textId="77777777" w:rsidR="00454A29" w:rsidRDefault="00454A29">
            <w:pPr>
              <w:pStyle w:val="ConsPlusNormal"/>
            </w:pPr>
          </w:p>
        </w:tc>
        <w:tc>
          <w:tcPr>
            <w:tcW w:w="1814" w:type="dxa"/>
            <w:vAlign w:val="center"/>
          </w:tcPr>
          <w:p w14:paraId="039BC3EB" w14:textId="77777777" w:rsidR="00454A29" w:rsidRDefault="00454A29">
            <w:pPr>
              <w:pStyle w:val="ConsPlusNormal"/>
            </w:pPr>
          </w:p>
        </w:tc>
      </w:tr>
      <w:tr w:rsidR="00454A29" w14:paraId="2B7660E0" w14:textId="77777777">
        <w:tc>
          <w:tcPr>
            <w:tcW w:w="567" w:type="dxa"/>
            <w:vMerge w:val="restart"/>
            <w:vAlign w:val="center"/>
          </w:tcPr>
          <w:p w14:paraId="671EEFD3" w14:textId="77777777" w:rsidR="00454A29" w:rsidRDefault="00454A29">
            <w:pPr>
              <w:pStyle w:val="ConsPlusNormal"/>
              <w:jc w:val="center"/>
            </w:pPr>
            <w:r>
              <w:t>47</w:t>
            </w:r>
          </w:p>
        </w:tc>
        <w:tc>
          <w:tcPr>
            <w:tcW w:w="3345" w:type="dxa"/>
            <w:vMerge w:val="restart"/>
            <w:vAlign w:val="center"/>
          </w:tcPr>
          <w:p w14:paraId="28E35F33" w14:textId="77777777" w:rsidR="00454A29" w:rsidRDefault="00454A29">
            <w:pPr>
              <w:pStyle w:val="ConsPlusNormal"/>
              <w:jc w:val="center"/>
            </w:pPr>
            <w:r>
              <w:t>Детский сад в квартале 84 г. Якутска на 240 мест</w:t>
            </w:r>
          </w:p>
        </w:tc>
        <w:tc>
          <w:tcPr>
            <w:tcW w:w="1701" w:type="dxa"/>
            <w:vAlign w:val="center"/>
          </w:tcPr>
          <w:p w14:paraId="35C7F06F" w14:textId="77777777" w:rsidR="00454A29" w:rsidRDefault="00454A29">
            <w:pPr>
              <w:pStyle w:val="ConsPlusNormal"/>
              <w:jc w:val="center"/>
            </w:pPr>
            <w:r>
              <w:t>2020 - 2026 годы - всего</w:t>
            </w:r>
          </w:p>
        </w:tc>
        <w:tc>
          <w:tcPr>
            <w:tcW w:w="1417" w:type="dxa"/>
            <w:vMerge w:val="restart"/>
            <w:vAlign w:val="center"/>
          </w:tcPr>
          <w:p w14:paraId="525FA20C" w14:textId="77777777" w:rsidR="00454A29" w:rsidRDefault="00454A29">
            <w:pPr>
              <w:pStyle w:val="ConsPlusNormal"/>
              <w:jc w:val="center"/>
            </w:pPr>
            <w:r>
              <w:t>386 446,42</w:t>
            </w:r>
          </w:p>
        </w:tc>
        <w:tc>
          <w:tcPr>
            <w:tcW w:w="2204" w:type="dxa"/>
            <w:vMerge w:val="restart"/>
            <w:vAlign w:val="center"/>
          </w:tcPr>
          <w:p w14:paraId="39D88A64" w14:textId="77777777" w:rsidR="00454A29" w:rsidRDefault="00454A29">
            <w:pPr>
              <w:pStyle w:val="ConsPlusNormal"/>
            </w:pPr>
          </w:p>
        </w:tc>
        <w:tc>
          <w:tcPr>
            <w:tcW w:w="1417" w:type="dxa"/>
            <w:vMerge w:val="restart"/>
            <w:vAlign w:val="center"/>
          </w:tcPr>
          <w:p w14:paraId="4341E49C" w14:textId="77777777" w:rsidR="00454A29" w:rsidRDefault="00454A29">
            <w:pPr>
              <w:pStyle w:val="ConsPlusNormal"/>
              <w:jc w:val="center"/>
            </w:pPr>
            <w:r>
              <w:t>240</w:t>
            </w:r>
          </w:p>
        </w:tc>
        <w:tc>
          <w:tcPr>
            <w:tcW w:w="2324" w:type="dxa"/>
            <w:vMerge w:val="restart"/>
            <w:vAlign w:val="center"/>
          </w:tcPr>
          <w:p w14:paraId="51EC1D0C"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A23302C" w14:textId="77777777" w:rsidR="00454A29" w:rsidRDefault="00454A29">
            <w:pPr>
              <w:pStyle w:val="ConsPlusNormal"/>
              <w:jc w:val="center"/>
            </w:pPr>
            <w:r>
              <w:t>373 693,69</w:t>
            </w:r>
          </w:p>
        </w:tc>
        <w:tc>
          <w:tcPr>
            <w:tcW w:w="1814" w:type="dxa"/>
            <w:vAlign w:val="center"/>
          </w:tcPr>
          <w:p w14:paraId="62FBE784" w14:textId="77777777" w:rsidR="00454A29" w:rsidRDefault="00454A29">
            <w:pPr>
              <w:pStyle w:val="ConsPlusNormal"/>
              <w:jc w:val="center"/>
            </w:pPr>
            <w:r>
              <w:t>373 693,69</w:t>
            </w:r>
          </w:p>
        </w:tc>
        <w:tc>
          <w:tcPr>
            <w:tcW w:w="1701" w:type="dxa"/>
            <w:vAlign w:val="center"/>
          </w:tcPr>
          <w:p w14:paraId="74EDA37E" w14:textId="77777777" w:rsidR="00454A29" w:rsidRDefault="00454A29">
            <w:pPr>
              <w:pStyle w:val="ConsPlusNormal"/>
              <w:jc w:val="center"/>
            </w:pPr>
            <w:r>
              <w:t>-</w:t>
            </w:r>
          </w:p>
        </w:tc>
        <w:tc>
          <w:tcPr>
            <w:tcW w:w="1701" w:type="dxa"/>
            <w:vAlign w:val="center"/>
          </w:tcPr>
          <w:p w14:paraId="5BA6123B" w14:textId="77777777" w:rsidR="00454A29" w:rsidRDefault="00454A29">
            <w:pPr>
              <w:pStyle w:val="ConsPlusNormal"/>
              <w:jc w:val="center"/>
            </w:pPr>
            <w:r>
              <w:t>-</w:t>
            </w:r>
          </w:p>
        </w:tc>
        <w:tc>
          <w:tcPr>
            <w:tcW w:w="1814" w:type="dxa"/>
            <w:vAlign w:val="center"/>
          </w:tcPr>
          <w:p w14:paraId="0D164C36" w14:textId="77777777" w:rsidR="00454A29" w:rsidRDefault="00454A29">
            <w:pPr>
              <w:pStyle w:val="ConsPlusNormal"/>
              <w:jc w:val="center"/>
            </w:pPr>
            <w:r>
              <w:t>-</w:t>
            </w:r>
          </w:p>
        </w:tc>
      </w:tr>
      <w:tr w:rsidR="00454A29" w14:paraId="038374C5" w14:textId="77777777">
        <w:tc>
          <w:tcPr>
            <w:tcW w:w="567" w:type="dxa"/>
            <w:vMerge/>
          </w:tcPr>
          <w:p w14:paraId="776F401F" w14:textId="77777777" w:rsidR="00454A29" w:rsidRDefault="00454A29"/>
        </w:tc>
        <w:tc>
          <w:tcPr>
            <w:tcW w:w="3345" w:type="dxa"/>
            <w:vMerge/>
          </w:tcPr>
          <w:p w14:paraId="01FBE1CC" w14:textId="77777777" w:rsidR="00454A29" w:rsidRDefault="00454A29"/>
        </w:tc>
        <w:tc>
          <w:tcPr>
            <w:tcW w:w="1701" w:type="dxa"/>
            <w:vAlign w:val="center"/>
          </w:tcPr>
          <w:p w14:paraId="3711FE64" w14:textId="77777777" w:rsidR="00454A29" w:rsidRDefault="00454A29">
            <w:pPr>
              <w:pStyle w:val="ConsPlusNormal"/>
              <w:jc w:val="center"/>
            </w:pPr>
            <w:r>
              <w:t>2020</w:t>
            </w:r>
          </w:p>
        </w:tc>
        <w:tc>
          <w:tcPr>
            <w:tcW w:w="1417" w:type="dxa"/>
            <w:vMerge/>
          </w:tcPr>
          <w:p w14:paraId="48590D69" w14:textId="77777777" w:rsidR="00454A29" w:rsidRDefault="00454A29"/>
        </w:tc>
        <w:tc>
          <w:tcPr>
            <w:tcW w:w="2204" w:type="dxa"/>
            <w:vMerge/>
          </w:tcPr>
          <w:p w14:paraId="1B643FC7" w14:textId="77777777" w:rsidR="00454A29" w:rsidRDefault="00454A29"/>
        </w:tc>
        <w:tc>
          <w:tcPr>
            <w:tcW w:w="1417" w:type="dxa"/>
            <w:vMerge/>
          </w:tcPr>
          <w:p w14:paraId="6FEF6578" w14:textId="77777777" w:rsidR="00454A29" w:rsidRDefault="00454A29"/>
        </w:tc>
        <w:tc>
          <w:tcPr>
            <w:tcW w:w="2324" w:type="dxa"/>
            <w:vMerge/>
          </w:tcPr>
          <w:p w14:paraId="4E14A4EE" w14:textId="77777777" w:rsidR="00454A29" w:rsidRDefault="00454A29"/>
        </w:tc>
        <w:tc>
          <w:tcPr>
            <w:tcW w:w="1701" w:type="dxa"/>
            <w:vAlign w:val="center"/>
          </w:tcPr>
          <w:p w14:paraId="09080D84" w14:textId="77777777" w:rsidR="00454A29" w:rsidRDefault="00454A29">
            <w:pPr>
              <w:pStyle w:val="ConsPlusNormal"/>
              <w:jc w:val="center"/>
            </w:pPr>
            <w:r>
              <w:t>-</w:t>
            </w:r>
          </w:p>
        </w:tc>
        <w:tc>
          <w:tcPr>
            <w:tcW w:w="1814" w:type="dxa"/>
            <w:vAlign w:val="center"/>
          </w:tcPr>
          <w:p w14:paraId="14FB2645" w14:textId="77777777" w:rsidR="00454A29" w:rsidRDefault="00454A29">
            <w:pPr>
              <w:pStyle w:val="ConsPlusNormal"/>
            </w:pPr>
          </w:p>
        </w:tc>
        <w:tc>
          <w:tcPr>
            <w:tcW w:w="1701" w:type="dxa"/>
            <w:vAlign w:val="center"/>
          </w:tcPr>
          <w:p w14:paraId="01F7EA14" w14:textId="77777777" w:rsidR="00454A29" w:rsidRDefault="00454A29">
            <w:pPr>
              <w:pStyle w:val="ConsPlusNormal"/>
            </w:pPr>
          </w:p>
        </w:tc>
        <w:tc>
          <w:tcPr>
            <w:tcW w:w="1701" w:type="dxa"/>
            <w:vAlign w:val="center"/>
          </w:tcPr>
          <w:p w14:paraId="1EDBBFE8" w14:textId="77777777" w:rsidR="00454A29" w:rsidRDefault="00454A29">
            <w:pPr>
              <w:pStyle w:val="ConsPlusNormal"/>
            </w:pPr>
          </w:p>
        </w:tc>
        <w:tc>
          <w:tcPr>
            <w:tcW w:w="1814" w:type="dxa"/>
            <w:vAlign w:val="center"/>
          </w:tcPr>
          <w:p w14:paraId="6F5DFB6D" w14:textId="77777777" w:rsidR="00454A29" w:rsidRDefault="00454A29">
            <w:pPr>
              <w:pStyle w:val="ConsPlusNormal"/>
            </w:pPr>
          </w:p>
        </w:tc>
      </w:tr>
      <w:tr w:rsidR="00454A29" w14:paraId="4D646735" w14:textId="77777777">
        <w:tc>
          <w:tcPr>
            <w:tcW w:w="567" w:type="dxa"/>
            <w:vMerge/>
          </w:tcPr>
          <w:p w14:paraId="652359E5" w14:textId="77777777" w:rsidR="00454A29" w:rsidRDefault="00454A29"/>
        </w:tc>
        <w:tc>
          <w:tcPr>
            <w:tcW w:w="3345" w:type="dxa"/>
            <w:vMerge/>
          </w:tcPr>
          <w:p w14:paraId="183C861A" w14:textId="77777777" w:rsidR="00454A29" w:rsidRDefault="00454A29"/>
        </w:tc>
        <w:tc>
          <w:tcPr>
            <w:tcW w:w="1701" w:type="dxa"/>
            <w:vAlign w:val="center"/>
          </w:tcPr>
          <w:p w14:paraId="64F15A1A" w14:textId="77777777" w:rsidR="00454A29" w:rsidRDefault="00454A29">
            <w:pPr>
              <w:pStyle w:val="ConsPlusNormal"/>
              <w:jc w:val="center"/>
            </w:pPr>
            <w:r>
              <w:t>2021</w:t>
            </w:r>
          </w:p>
        </w:tc>
        <w:tc>
          <w:tcPr>
            <w:tcW w:w="1417" w:type="dxa"/>
            <w:vMerge/>
          </w:tcPr>
          <w:p w14:paraId="1A1A7C4D" w14:textId="77777777" w:rsidR="00454A29" w:rsidRDefault="00454A29"/>
        </w:tc>
        <w:tc>
          <w:tcPr>
            <w:tcW w:w="2204" w:type="dxa"/>
            <w:vMerge/>
          </w:tcPr>
          <w:p w14:paraId="051F5C2F" w14:textId="77777777" w:rsidR="00454A29" w:rsidRDefault="00454A29"/>
        </w:tc>
        <w:tc>
          <w:tcPr>
            <w:tcW w:w="1417" w:type="dxa"/>
            <w:vMerge/>
          </w:tcPr>
          <w:p w14:paraId="1F20321F" w14:textId="77777777" w:rsidR="00454A29" w:rsidRDefault="00454A29"/>
        </w:tc>
        <w:tc>
          <w:tcPr>
            <w:tcW w:w="2324" w:type="dxa"/>
            <w:vMerge/>
          </w:tcPr>
          <w:p w14:paraId="312F87D5" w14:textId="77777777" w:rsidR="00454A29" w:rsidRDefault="00454A29"/>
        </w:tc>
        <w:tc>
          <w:tcPr>
            <w:tcW w:w="1701" w:type="dxa"/>
            <w:vAlign w:val="center"/>
          </w:tcPr>
          <w:p w14:paraId="077AD58B" w14:textId="77777777" w:rsidR="00454A29" w:rsidRDefault="00454A29">
            <w:pPr>
              <w:pStyle w:val="ConsPlusNormal"/>
              <w:jc w:val="center"/>
            </w:pPr>
            <w:r>
              <w:t>-</w:t>
            </w:r>
          </w:p>
        </w:tc>
        <w:tc>
          <w:tcPr>
            <w:tcW w:w="1814" w:type="dxa"/>
            <w:vAlign w:val="center"/>
          </w:tcPr>
          <w:p w14:paraId="0E5EDCD6" w14:textId="77777777" w:rsidR="00454A29" w:rsidRDefault="00454A29">
            <w:pPr>
              <w:pStyle w:val="ConsPlusNormal"/>
            </w:pPr>
          </w:p>
        </w:tc>
        <w:tc>
          <w:tcPr>
            <w:tcW w:w="1701" w:type="dxa"/>
            <w:vAlign w:val="center"/>
          </w:tcPr>
          <w:p w14:paraId="684ABF14" w14:textId="77777777" w:rsidR="00454A29" w:rsidRDefault="00454A29">
            <w:pPr>
              <w:pStyle w:val="ConsPlusNormal"/>
            </w:pPr>
          </w:p>
        </w:tc>
        <w:tc>
          <w:tcPr>
            <w:tcW w:w="1701" w:type="dxa"/>
            <w:vAlign w:val="center"/>
          </w:tcPr>
          <w:p w14:paraId="16914B18" w14:textId="77777777" w:rsidR="00454A29" w:rsidRDefault="00454A29">
            <w:pPr>
              <w:pStyle w:val="ConsPlusNormal"/>
            </w:pPr>
          </w:p>
        </w:tc>
        <w:tc>
          <w:tcPr>
            <w:tcW w:w="1814" w:type="dxa"/>
            <w:vAlign w:val="center"/>
          </w:tcPr>
          <w:p w14:paraId="5EFA8F9D" w14:textId="77777777" w:rsidR="00454A29" w:rsidRDefault="00454A29">
            <w:pPr>
              <w:pStyle w:val="ConsPlusNormal"/>
            </w:pPr>
          </w:p>
        </w:tc>
      </w:tr>
      <w:tr w:rsidR="00454A29" w14:paraId="52D15DA5" w14:textId="77777777">
        <w:tc>
          <w:tcPr>
            <w:tcW w:w="567" w:type="dxa"/>
            <w:vMerge/>
          </w:tcPr>
          <w:p w14:paraId="1FD828AF" w14:textId="77777777" w:rsidR="00454A29" w:rsidRDefault="00454A29"/>
        </w:tc>
        <w:tc>
          <w:tcPr>
            <w:tcW w:w="3345" w:type="dxa"/>
            <w:vMerge/>
          </w:tcPr>
          <w:p w14:paraId="429D7F8A" w14:textId="77777777" w:rsidR="00454A29" w:rsidRDefault="00454A29"/>
        </w:tc>
        <w:tc>
          <w:tcPr>
            <w:tcW w:w="1701" w:type="dxa"/>
            <w:vAlign w:val="center"/>
          </w:tcPr>
          <w:p w14:paraId="2F32B34A" w14:textId="77777777" w:rsidR="00454A29" w:rsidRDefault="00454A29">
            <w:pPr>
              <w:pStyle w:val="ConsPlusNormal"/>
              <w:jc w:val="center"/>
            </w:pPr>
            <w:r>
              <w:t>2022</w:t>
            </w:r>
          </w:p>
        </w:tc>
        <w:tc>
          <w:tcPr>
            <w:tcW w:w="1417" w:type="dxa"/>
            <w:vMerge/>
          </w:tcPr>
          <w:p w14:paraId="4714F5C6" w14:textId="77777777" w:rsidR="00454A29" w:rsidRDefault="00454A29"/>
        </w:tc>
        <w:tc>
          <w:tcPr>
            <w:tcW w:w="2204" w:type="dxa"/>
            <w:vMerge/>
          </w:tcPr>
          <w:p w14:paraId="0A25893F" w14:textId="77777777" w:rsidR="00454A29" w:rsidRDefault="00454A29"/>
        </w:tc>
        <w:tc>
          <w:tcPr>
            <w:tcW w:w="1417" w:type="dxa"/>
            <w:vMerge/>
          </w:tcPr>
          <w:p w14:paraId="5D0EE0F8" w14:textId="77777777" w:rsidR="00454A29" w:rsidRDefault="00454A29"/>
        </w:tc>
        <w:tc>
          <w:tcPr>
            <w:tcW w:w="2324" w:type="dxa"/>
            <w:vMerge/>
          </w:tcPr>
          <w:p w14:paraId="1ED974F2" w14:textId="77777777" w:rsidR="00454A29" w:rsidRDefault="00454A29"/>
        </w:tc>
        <w:tc>
          <w:tcPr>
            <w:tcW w:w="1701" w:type="dxa"/>
            <w:vAlign w:val="center"/>
          </w:tcPr>
          <w:p w14:paraId="17681C24" w14:textId="77777777" w:rsidR="00454A29" w:rsidRDefault="00454A29">
            <w:pPr>
              <w:pStyle w:val="ConsPlusNormal"/>
              <w:jc w:val="center"/>
            </w:pPr>
            <w:r>
              <w:t>-</w:t>
            </w:r>
          </w:p>
        </w:tc>
        <w:tc>
          <w:tcPr>
            <w:tcW w:w="1814" w:type="dxa"/>
            <w:vAlign w:val="center"/>
          </w:tcPr>
          <w:p w14:paraId="100C5BB6" w14:textId="77777777" w:rsidR="00454A29" w:rsidRDefault="00454A29">
            <w:pPr>
              <w:pStyle w:val="ConsPlusNormal"/>
            </w:pPr>
          </w:p>
        </w:tc>
        <w:tc>
          <w:tcPr>
            <w:tcW w:w="1701" w:type="dxa"/>
            <w:vAlign w:val="center"/>
          </w:tcPr>
          <w:p w14:paraId="4527054C" w14:textId="77777777" w:rsidR="00454A29" w:rsidRDefault="00454A29">
            <w:pPr>
              <w:pStyle w:val="ConsPlusNormal"/>
            </w:pPr>
          </w:p>
        </w:tc>
        <w:tc>
          <w:tcPr>
            <w:tcW w:w="1701" w:type="dxa"/>
            <w:vAlign w:val="center"/>
          </w:tcPr>
          <w:p w14:paraId="05030696" w14:textId="77777777" w:rsidR="00454A29" w:rsidRDefault="00454A29">
            <w:pPr>
              <w:pStyle w:val="ConsPlusNormal"/>
            </w:pPr>
          </w:p>
        </w:tc>
        <w:tc>
          <w:tcPr>
            <w:tcW w:w="1814" w:type="dxa"/>
            <w:vAlign w:val="center"/>
          </w:tcPr>
          <w:p w14:paraId="60205107" w14:textId="77777777" w:rsidR="00454A29" w:rsidRDefault="00454A29">
            <w:pPr>
              <w:pStyle w:val="ConsPlusNormal"/>
            </w:pPr>
          </w:p>
        </w:tc>
      </w:tr>
      <w:tr w:rsidR="00454A29" w14:paraId="1AA7EC35" w14:textId="77777777">
        <w:tc>
          <w:tcPr>
            <w:tcW w:w="567" w:type="dxa"/>
            <w:vMerge/>
          </w:tcPr>
          <w:p w14:paraId="4502768E" w14:textId="77777777" w:rsidR="00454A29" w:rsidRDefault="00454A29"/>
        </w:tc>
        <w:tc>
          <w:tcPr>
            <w:tcW w:w="3345" w:type="dxa"/>
            <w:vMerge/>
          </w:tcPr>
          <w:p w14:paraId="0A8B09D8" w14:textId="77777777" w:rsidR="00454A29" w:rsidRDefault="00454A29"/>
        </w:tc>
        <w:tc>
          <w:tcPr>
            <w:tcW w:w="1701" w:type="dxa"/>
            <w:vAlign w:val="center"/>
          </w:tcPr>
          <w:p w14:paraId="1305584C" w14:textId="77777777" w:rsidR="00454A29" w:rsidRDefault="00454A29">
            <w:pPr>
              <w:pStyle w:val="ConsPlusNormal"/>
              <w:jc w:val="center"/>
            </w:pPr>
            <w:r>
              <w:t>2023</w:t>
            </w:r>
          </w:p>
        </w:tc>
        <w:tc>
          <w:tcPr>
            <w:tcW w:w="1417" w:type="dxa"/>
            <w:vMerge/>
          </w:tcPr>
          <w:p w14:paraId="4F191142" w14:textId="77777777" w:rsidR="00454A29" w:rsidRDefault="00454A29"/>
        </w:tc>
        <w:tc>
          <w:tcPr>
            <w:tcW w:w="2204" w:type="dxa"/>
            <w:vMerge/>
          </w:tcPr>
          <w:p w14:paraId="0FB7ECEB" w14:textId="77777777" w:rsidR="00454A29" w:rsidRDefault="00454A29"/>
        </w:tc>
        <w:tc>
          <w:tcPr>
            <w:tcW w:w="1417" w:type="dxa"/>
            <w:vMerge/>
          </w:tcPr>
          <w:p w14:paraId="1E08A1FB" w14:textId="77777777" w:rsidR="00454A29" w:rsidRDefault="00454A29"/>
        </w:tc>
        <w:tc>
          <w:tcPr>
            <w:tcW w:w="2324" w:type="dxa"/>
            <w:vMerge/>
          </w:tcPr>
          <w:p w14:paraId="4C3ACCE9" w14:textId="77777777" w:rsidR="00454A29" w:rsidRDefault="00454A29"/>
        </w:tc>
        <w:tc>
          <w:tcPr>
            <w:tcW w:w="1701" w:type="dxa"/>
            <w:vAlign w:val="center"/>
          </w:tcPr>
          <w:p w14:paraId="06D3DF5D" w14:textId="77777777" w:rsidR="00454A29" w:rsidRDefault="00454A29">
            <w:pPr>
              <w:pStyle w:val="ConsPlusNormal"/>
              <w:jc w:val="center"/>
            </w:pPr>
            <w:r>
              <w:t>-</w:t>
            </w:r>
          </w:p>
        </w:tc>
        <w:tc>
          <w:tcPr>
            <w:tcW w:w="1814" w:type="dxa"/>
            <w:vAlign w:val="center"/>
          </w:tcPr>
          <w:p w14:paraId="092CA8AA" w14:textId="77777777" w:rsidR="00454A29" w:rsidRDefault="00454A29">
            <w:pPr>
              <w:pStyle w:val="ConsPlusNormal"/>
            </w:pPr>
          </w:p>
        </w:tc>
        <w:tc>
          <w:tcPr>
            <w:tcW w:w="1701" w:type="dxa"/>
            <w:vAlign w:val="center"/>
          </w:tcPr>
          <w:p w14:paraId="114F25E0" w14:textId="77777777" w:rsidR="00454A29" w:rsidRDefault="00454A29">
            <w:pPr>
              <w:pStyle w:val="ConsPlusNormal"/>
            </w:pPr>
          </w:p>
        </w:tc>
        <w:tc>
          <w:tcPr>
            <w:tcW w:w="1701" w:type="dxa"/>
            <w:vAlign w:val="center"/>
          </w:tcPr>
          <w:p w14:paraId="246CCAFC" w14:textId="77777777" w:rsidR="00454A29" w:rsidRDefault="00454A29">
            <w:pPr>
              <w:pStyle w:val="ConsPlusNormal"/>
            </w:pPr>
          </w:p>
        </w:tc>
        <w:tc>
          <w:tcPr>
            <w:tcW w:w="1814" w:type="dxa"/>
            <w:vAlign w:val="center"/>
          </w:tcPr>
          <w:p w14:paraId="7CB3D965" w14:textId="77777777" w:rsidR="00454A29" w:rsidRDefault="00454A29">
            <w:pPr>
              <w:pStyle w:val="ConsPlusNormal"/>
            </w:pPr>
          </w:p>
        </w:tc>
      </w:tr>
      <w:tr w:rsidR="00454A29" w14:paraId="305C191E" w14:textId="77777777">
        <w:tc>
          <w:tcPr>
            <w:tcW w:w="567" w:type="dxa"/>
            <w:vMerge/>
          </w:tcPr>
          <w:p w14:paraId="371D721D" w14:textId="77777777" w:rsidR="00454A29" w:rsidRDefault="00454A29"/>
        </w:tc>
        <w:tc>
          <w:tcPr>
            <w:tcW w:w="3345" w:type="dxa"/>
            <w:vMerge/>
          </w:tcPr>
          <w:p w14:paraId="7FAF9999" w14:textId="77777777" w:rsidR="00454A29" w:rsidRDefault="00454A29"/>
        </w:tc>
        <w:tc>
          <w:tcPr>
            <w:tcW w:w="1701" w:type="dxa"/>
            <w:vAlign w:val="center"/>
          </w:tcPr>
          <w:p w14:paraId="0EA48556" w14:textId="77777777" w:rsidR="00454A29" w:rsidRDefault="00454A29">
            <w:pPr>
              <w:pStyle w:val="ConsPlusNormal"/>
              <w:jc w:val="center"/>
            </w:pPr>
            <w:r>
              <w:t>2024</w:t>
            </w:r>
          </w:p>
        </w:tc>
        <w:tc>
          <w:tcPr>
            <w:tcW w:w="1417" w:type="dxa"/>
            <w:vMerge/>
          </w:tcPr>
          <w:p w14:paraId="589BE65E" w14:textId="77777777" w:rsidR="00454A29" w:rsidRDefault="00454A29"/>
        </w:tc>
        <w:tc>
          <w:tcPr>
            <w:tcW w:w="2204" w:type="dxa"/>
            <w:vMerge/>
          </w:tcPr>
          <w:p w14:paraId="6FE191D7" w14:textId="77777777" w:rsidR="00454A29" w:rsidRDefault="00454A29"/>
        </w:tc>
        <w:tc>
          <w:tcPr>
            <w:tcW w:w="1417" w:type="dxa"/>
            <w:vMerge/>
          </w:tcPr>
          <w:p w14:paraId="3BA4E250" w14:textId="77777777" w:rsidR="00454A29" w:rsidRDefault="00454A29"/>
        </w:tc>
        <w:tc>
          <w:tcPr>
            <w:tcW w:w="2324" w:type="dxa"/>
            <w:vMerge/>
          </w:tcPr>
          <w:p w14:paraId="3F8ADE9F" w14:textId="77777777" w:rsidR="00454A29" w:rsidRDefault="00454A29"/>
        </w:tc>
        <w:tc>
          <w:tcPr>
            <w:tcW w:w="1701" w:type="dxa"/>
            <w:vAlign w:val="center"/>
          </w:tcPr>
          <w:p w14:paraId="4D8B3F25" w14:textId="77777777" w:rsidR="00454A29" w:rsidRDefault="00454A29">
            <w:pPr>
              <w:pStyle w:val="ConsPlusNormal"/>
              <w:jc w:val="center"/>
            </w:pPr>
            <w:r>
              <w:t>129 266,33</w:t>
            </w:r>
          </w:p>
        </w:tc>
        <w:tc>
          <w:tcPr>
            <w:tcW w:w="1814" w:type="dxa"/>
            <w:vAlign w:val="center"/>
          </w:tcPr>
          <w:p w14:paraId="72024FEC" w14:textId="77777777" w:rsidR="00454A29" w:rsidRDefault="00454A29">
            <w:pPr>
              <w:pStyle w:val="ConsPlusNormal"/>
              <w:jc w:val="center"/>
            </w:pPr>
            <w:r>
              <w:t>129 266,33</w:t>
            </w:r>
          </w:p>
        </w:tc>
        <w:tc>
          <w:tcPr>
            <w:tcW w:w="1701" w:type="dxa"/>
            <w:vAlign w:val="center"/>
          </w:tcPr>
          <w:p w14:paraId="5DC0F6A3" w14:textId="77777777" w:rsidR="00454A29" w:rsidRDefault="00454A29">
            <w:pPr>
              <w:pStyle w:val="ConsPlusNormal"/>
            </w:pPr>
          </w:p>
        </w:tc>
        <w:tc>
          <w:tcPr>
            <w:tcW w:w="1701" w:type="dxa"/>
            <w:vAlign w:val="center"/>
          </w:tcPr>
          <w:p w14:paraId="4EC2A641" w14:textId="77777777" w:rsidR="00454A29" w:rsidRDefault="00454A29">
            <w:pPr>
              <w:pStyle w:val="ConsPlusNormal"/>
            </w:pPr>
          </w:p>
        </w:tc>
        <w:tc>
          <w:tcPr>
            <w:tcW w:w="1814" w:type="dxa"/>
            <w:vAlign w:val="center"/>
          </w:tcPr>
          <w:p w14:paraId="1C70D9B1" w14:textId="77777777" w:rsidR="00454A29" w:rsidRDefault="00454A29">
            <w:pPr>
              <w:pStyle w:val="ConsPlusNormal"/>
            </w:pPr>
          </w:p>
        </w:tc>
      </w:tr>
      <w:tr w:rsidR="00454A29" w14:paraId="2BFB5A1E" w14:textId="77777777">
        <w:tc>
          <w:tcPr>
            <w:tcW w:w="567" w:type="dxa"/>
            <w:vMerge/>
          </w:tcPr>
          <w:p w14:paraId="583C681E" w14:textId="77777777" w:rsidR="00454A29" w:rsidRDefault="00454A29"/>
        </w:tc>
        <w:tc>
          <w:tcPr>
            <w:tcW w:w="3345" w:type="dxa"/>
            <w:vMerge/>
          </w:tcPr>
          <w:p w14:paraId="20732709" w14:textId="77777777" w:rsidR="00454A29" w:rsidRDefault="00454A29"/>
        </w:tc>
        <w:tc>
          <w:tcPr>
            <w:tcW w:w="1701" w:type="dxa"/>
            <w:vAlign w:val="center"/>
          </w:tcPr>
          <w:p w14:paraId="7CAD3977" w14:textId="77777777" w:rsidR="00454A29" w:rsidRDefault="00454A29">
            <w:pPr>
              <w:pStyle w:val="ConsPlusNormal"/>
              <w:jc w:val="center"/>
            </w:pPr>
            <w:r>
              <w:t>2025</w:t>
            </w:r>
          </w:p>
        </w:tc>
        <w:tc>
          <w:tcPr>
            <w:tcW w:w="1417" w:type="dxa"/>
            <w:vMerge/>
          </w:tcPr>
          <w:p w14:paraId="1C828916" w14:textId="77777777" w:rsidR="00454A29" w:rsidRDefault="00454A29"/>
        </w:tc>
        <w:tc>
          <w:tcPr>
            <w:tcW w:w="2204" w:type="dxa"/>
            <w:vMerge/>
          </w:tcPr>
          <w:p w14:paraId="56D1D866" w14:textId="77777777" w:rsidR="00454A29" w:rsidRDefault="00454A29"/>
        </w:tc>
        <w:tc>
          <w:tcPr>
            <w:tcW w:w="1417" w:type="dxa"/>
            <w:vMerge/>
          </w:tcPr>
          <w:p w14:paraId="4B679EDD" w14:textId="77777777" w:rsidR="00454A29" w:rsidRDefault="00454A29"/>
        </w:tc>
        <w:tc>
          <w:tcPr>
            <w:tcW w:w="2324" w:type="dxa"/>
            <w:vMerge/>
          </w:tcPr>
          <w:p w14:paraId="61466E02" w14:textId="77777777" w:rsidR="00454A29" w:rsidRDefault="00454A29"/>
        </w:tc>
        <w:tc>
          <w:tcPr>
            <w:tcW w:w="1701" w:type="dxa"/>
            <w:vAlign w:val="center"/>
          </w:tcPr>
          <w:p w14:paraId="65F727E1" w14:textId="77777777" w:rsidR="00454A29" w:rsidRDefault="00454A29">
            <w:pPr>
              <w:pStyle w:val="ConsPlusNormal"/>
              <w:jc w:val="center"/>
            </w:pPr>
            <w:r>
              <w:t>244 427,36</w:t>
            </w:r>
          </w:p>
        </w:tc>
        <w:tc>
          <w:tcPr>
            <w:tcW w:w="1814" w:type="dxa"/>
            <w:vAlign w:val="center"/>
          </w:tcPr>
          <w:p w14:paraId="55C1C4D2" w14:textId="77777777" w:rsidR="00454A29" w:rsidRDefault="00454A29">
            <w:pPr>
              <w:pStyle w:val="ConsPlusNormal"/>
              <w:jc w:val="center"/>
            </w:pPr>
            <w:r>
              <w:t>244 427,36</w:t>
            </w:r>
          </w:p>
        </w:tc>
        <w:tc>
          <w:tcPr>
            <w:tcW w:w="1701" w:type="dxa"/>
            <w:vAlign w:val="center"/>
          </w:tcPr>
          <w:p w14:paraId="05A87D37" w14:textId="77777777" w:rsidR="00454A29" w:rsidRDefault="00454A29">
            <w:pPr>
              <w:pStyle w:val="ConsPlusNormal"/>
            </w:pPr>
          </w:p>
        </w:tc>
        <w:tc>
          <w:tcPr>
            <w:tcW w:w="1701" w:type="dxa"/>
            <w:vAlign w:val="center"/>
          </w:tcPr>
          <w:p w14:paraId="2BD8610D" w14:textId="77777777" w:rsidR="00454A29" w:rsidRDefault="00454A29">
            <w:pPr>
              <w:pStyle w:val="ConsPlusNormal"/>
            </w:pPr>
          </w:p>
        </w:tc>
        <w:tc>
          <w:tcPr>
            <w:tcW w:w="1814" w:type="dxa"/>
            <w:vAlign w:val="center"/>
          </w:tcPr>
          <w:p w14:paraId="271000CC" w14:textId="77777777" w:rsidR="00454A29" w:rsidRDefault="00454A29">
            <w:pPr>
              <w:pStyle w:val="ConsPlusNormal"/>
            </w:pPr>
          </w:p>
        </w:tc>
      </w:tr>
      <w:tr w:rsidR="00454A29" w14:paraId="476C99A8" w14:textId="77777777">
        <w:tc>
          <w:tcPr>
            <w:tcW w:w="567" w:type="dxa"/>
            <w:vMerge/>
          </w:tcPr>
          <w:p w14:paraId="64BCF9BA" w14:textId="77777777" w:rsidR="00454A29" w:rsidRDefault="00454A29"/>
        </w:tc>
        <w:tc>
          <w:tcPr>
            <w:tcW w:w="3345" w:type="dxa"/>
            <w:vMerge/>
          </w:tcPr>
          <w:p w14:paraId="40C543B0" w14:textId="77777777" w:rsidR="00454A29" w:rsidRDefault="00454A29"/>
        </w:tc>
        <w:tc>
          <w:tcPr>
            <w:tcW w:w="1701" w:type="dxa"/>
            <w:vAlign w:val="center"/>
          </w:tcPr>
          <w:p w14:paraId="6AC29F16" w14:textId="77777777" w:rsidR="00454A29" w:rsidRDefault="00454A29">
            <w:pPr>
              <w:pStyle w:val="ConsPlusNormal"/>
              <w:jc w:val="center"/>
            </w:pPr>
            <w:r>
              <w:t>2026</w:t>
            </w:r>
          </w:p>
        </w:tc>
        <w:tc>
          <w:tcPr>
            <w:tcW w:w="1417" w:type="dxa"/>
            <w:vMerge/>
          </w:tcPr>
          <w:p w14:paraId="475DFB43" w14:textId="77777777" w:rsidR="00454A29" w:rsidRDefault="00454A29"/>
        </w:tc>
        <w:tc>
          <w:tcPr>
            <w:tcW w:w="2204" w:type="dxa"/>
            <w:vMerge/>
          </w:tcPr>
          <w:p w14:paraId="7B7D253C" w14:textId="77777777" w:rsidR="00454A29" w:rsidRDefault="00454A29"/>
        </w:tc>
        <w:tc>
          <w:tcPr>
            <w:tcW w:w="1417" w:type="dxa"/>
            <w:vMerge/>
          </w:tcPr>
          <w:p w14:paraId="0B0A5E38" w14:textId="77777777" w:rsidR="00454A29" w:rsidRDefault="00454A29"/>
        </w:tc>
        <w:tc>
          <w:tcPr>
            <w:tcW w:w="2324" w:type="dxa"/>
            <w:vMerge/>
          </w:tcPr>
          <w:p w14:paraId="27CD41B8" w14:textId="77777777" w:rsidR="00454A29" w:rsidRDefault="00454A29"/>
        </w:tc>
        <w:tc>
          <w:tcPr>
            <w:tcW w:w="1701" w:type="dxa"/>
            <w:vAlign w:val="center"/>
          </w:tcPr>
          <w:p w14:paraId="085EEC3D" w14:textId="77777777" w:rsidR="00454A29" w:rsidRDefault="00454A29">
            <w:pPr>
              <w:pStyle w:val="ConsPlusNormal"/>
              <w:jc w:val="center"/>
            </w:pPr>
            <w:r>
              <w:t>-</w:t>
            </w:r>
          </w:p>
        </w:tc>
        <w:tc>
          <w:tcPr>
            <w:tcW w:w="1814" w:type="dxa"/>
            <w:vAlign w:val="center"/>
          </w:tcPr>
          <w:p w14:paraId="3C99A312" w14:textId="77777777" w:rsidR="00454A29" w:rsidRDefault="00454A29">
            <w:pPr>
              <w:pStyle w:val="ConsPlusNormal"/>
            </w:pPr>
          </w:p>
        </w:tc>
        <w:tc>
          <w:tcPr>
            <w:tcW w:w="1701" w:type="dxa"/>
            <w:vAlign w:val="center"/>
          </w:tcPr>
          <w:p w14:paraId="6D11CB3E" w14:textId="77777777" w:rsidR="00454A29" w:rsidRDefault="00454A29">
            <w:pPr>
              <w:pStyle w:val="ConsPlusNormal"/>
            </w:pPr>
          </w:p>
        </w:tc>
        <w:tc>
          <w:tcPr>
            <w:tcW w:w="1701" w:type="dxa"/>
            <w:vAlign w:val="center"/>
          </w:tcPr>
          <w:p w14:paraId="5EAF0454" w14:textId="77777777" w:rsidR="00454A29" w:rsidRDefault="00454A29">
            <w:pPr>
              <w:pStyle w:val="ConsPlusNormal"/>
            </w:pPr>
          </w:p>
        </w:tc>
        <w:tc>
          <w:tcPr>
            <w:tcW w:w="1814" w:type="dxa"/>
            <w:vAlign w:val="center"/>
          </w:tcPr>
          <w:p w14:paraId="7B45FFA0" w14:textId="77777777" w:rsidR="00454A29" w:rsidRDefault="00454A29">
            <w:pPr>
              <w:pStyle w:val="ConsPlusNormal"/>
            </w:pPr>
          </w:p>
        </w:tc>
      </w:tr>
      <w:tr w:rsidR="00454A29" w14:paraId="047A92EE" w14:textId="77777777">
        <w:tc>
          <w:tcPr>
            <w:tcW w:w="21706" w:type="dxa"/>
            <w:gridSpan w:val="12"/>
            <w:vAlign w:val="center"/>
          </w:tcPr>
          <w:p w14:paraId="2C4F97AD" w14:textId="77777777" w:rsidR="00454A29" w:rsidRDefault="00454A29">
            <w:pPr>
              <w:pStyle w:val="ConsPlusNormal"/>
              <w:jc w:val="center"/>
            </w:pPr>
            <w:r>
              <w:t>Мероприятие 10.1.2.</w:t>
            </w:r>
          </w:p>
        </w:tc>
      </w:tr>
      <w:tr w:rsidR="00454A29" w14:paraId="264421A9" w14:textId="77777777">
        <w:tc>
          <w:tcPr>
            <w:tcW w:w="567" w:type="dxa"/>
            <w:vMerge w:val="restart"/>
            <w:vAlign w:val="center"/>
          </w:tcPr>
          <w:p w14:paraId="6D636816" w14:textId="77777777" w:rsidR="00454A29" w:rsidRDefault="00454A29">
            <w:pPr>
              <w:pStyle w:val="ConsPlusNormal"/>
            </w:pPr>
          </w:p>
        </w:tc>
        <w:tc>
          <w:tcPr>
            <w:tcW w:w="3345" w:type="dxa"/>
            <w:vMerge w:val="restart"/>
            <w:vAlign w:val="center"/>
          </w:tcPr>
          <w:p w14:paraId="199CF39A" w14:textId="77777777" w:rsidR="00454A29" w:rsidRDefault="00454A29">
            <w:pPr>
              <w:pStyle w:val="ConsPlusNormal"/>
              <w:jc w:val="center"/>
            </w:pPr>
            <w:r>
              <w:t>Строительство, приобретение и реконструкция зданий дошкольного образования (софинансирование)</w:t>
            </w:r>
          </w:p>
        </w:tc>
        <w:tc>
          <w:tcPr>
            <w:tcW w:w="1701" w:type="dxa"/>
            <w:vAlign w:val="center"/>
          </w:tcPr>
          <w:p w14:paraId="353A2C18" w14:textId="77777777" w:rsidR="00454A29" w:rsidRDefault="00454A29">
            <w:pPr>
              <w:pStyle w:val="ConsPlusNormal"/>
              <w:jc w:val="center"/>
            </w:pPr>
            <w:r>
              <w:t>2020 - 2026 годы - всего</w:t>
            </w:r>
          </w:p>
        </w:tc>
        <w:tc>
          <w:tcPr>
            <w:tcW w:w="1417" w:type="dxa"/>
            <w:vMerge w:val="restart"/>
            <w:vAlign w:val="center"/>
          </w:tcPr>
          <w:p w14:paraId="13BA63B2" w14:textId="77777777" w:rsidR="00454A29" w:rsidRDefault="00454A29">
            <w:pPr>
              <w:pStyle w:val="ConsPlusNormal"/>
              <w:jc w:val="center"/>
            </w:pPr>
            <w:r>
              <w:t>х</w:t>
            </w:r>
          </w:p>
        </w:tc>
        <w:tc>
          <w:tcPr>
            <w:tcW w:w="2204" w:type="dxa"/>
            <w:vMerge w:val="restart"/>
            <w:vAlign w:val="center"/>
          </w:tcPr>
          <w:p w14:paraId="708F685F" w14:textId="77777777" w:rsidR="00454A29" w:rsidRDefault="00454A29">
            <w:pPr>
              <w:pStyle w:val="ConsPlusNormal"/>
              <w:jc w:val="center"/>
            </w:pPr>
            <w:r>
              <w:t>х</w:t>
            </w:r>
          </w:p>
        </w:tc>
        <w:tc>
          <w:tcPr>
            <w:tcW w:w="1417" w:type="dxa"/>
            <w:vMerge w:val="restart"/>
            <w:vAlign w:val="center"/>
          </w:tcPr>
          <w:p w14:paraId="48A3F401" w14:textId="77777777" w:rsidR="00454A29" w:rsidRDefault="00454A29">
            <w:pPr>
              <w:pStyle w:val="ConsPlusNormal"/>
              <w:jc w:val="center"/>
            </w:pPr>
            <w:r>
              <w:t>670</w:t>
            </w:r>
          </w:p>
        </w:tc>
        <w:tc>
          <w:tcPr>
            <w:tcW w:w="2324" w:type="dxa"/>
            <w:vMerge w:val="restart"/>
            <w:vAlign w:val="center"/>
          </w:tcPr>
          <w:p w14:paraId="54D4AEFE" w14:textId="77777777" w:rsidR="00454A29" w:rsidRDefault="00454A29">
            <w:pPr>
              <w:pStyle w:val="ConsPlusNormal"/>
              <w:jc w:val="center"/>
            </w:pPr>
            <w:r>
              <w:t>х</w:t>
            </w:r>
          </w:p>
        </w:tc>
        <w:tc>
          <w:tcPr>
            <w:tcW w:w="1701" w:type="dxa"/>
            <w:vAlign w:val="center"/>
          </w:tcPr>
          <w:p w14:paraId="7E4A1DF0" w14:textId="77777777" w:rsidR="00454A29" w:rsidRDefault="00454A29">
            <w:pPr>
              <w:pStyle w:val="ConsPlusNormal"/>
              <w:jc w:val="center"/>
            </w:pPr>
            <w:r>
              <w:t>468 049,09</w:t>
            </w:r>
          </w:p>
        </w:tc>
        <w:tc>
          <w:tcPr>
            <w:tcW w:w="1814" w:type="dxa"/>
            <w:vAlign w:val="center"/>
          </w:tcPr>
          <w:p w14:paraId="7C6B6DF4" w14:textId="77777777" w:rsidR="00454A29" w:rsidRDefault="00454A29">
            <w:pPr>
              <w:pStyle w:val="ConsPlusNormal"/>
              <w:jc w:val="center"/>
            </w:pPr>
            <w:r>
              <w:t>468 049,09</w:t>
            </w:r>
          </w:p>
        </w:tc>
        <w:tc>
          <w:tcPr>
            <w:tcW w:w="1701" w:type="dxa"/>
            <w:vAlign w:val="center"/>
          </w:tcPr>
          <w:p w14:paraId="40662DE4" w14:textId="77777777" w:rsidR="00454A29" w:rsidRDefault="00454A29">
            <w:pPr>
              <w:pStyle w:val="ConsPlusNormal"/>
              <w:jc w:val="center"/>
            </w:pPr>
            <w:r>
              <w:t>-</w:t>
            </w:r>
          </w:p>
        </w:tc>
        <w:tc>
          <w:tcPr>
            <w:tcW w:w="1701" w:type="dxa"/>
            <w:vAlign w:val="center"/>
          </w:tcPr>
          <w:p w14:paraId="2AFB4E3C" w14:textId="77777777" w:rsidR="00454A29" w:rsidRDefault="00454A29">
            <w:pPr>
              <w:pStyle w:val="ConsPlusNormal"/>
              <w:jc w:val="center"/>
            </w:pPr>
            <w:r>
              <w:t>-</w:t>
            </w:r>
          </w:p>
        </w:tc>
        <w:tc>
          <w:tcPr>
            <w:tcW w:w="1814" w:type="dxa"/>
            <w:vAlign w:val="center"/>
          </w:tcPr>
          <w:p w14:paraId="05F51570" w14:textId="77777777" w:rsidR="00454A29" w:rsidRDefault="00454A29">
            <w:pPr>
              <w:pStyle w:val="ConsPlusNormal"/>
              <w:jc w:val="center"/>
            </w:pPr>
            <w:r>
              <w:t>-</w:t>
            </w:r>
          </w:p>
        </w:tc>
      </w:tr>
      <w:tr w:rsidR="00454A29" w14:paraId="4D038374" w14:textId="77777777">
        <w:tc>
          <w:tcPr>
            <w:tcW w:w="567" w:type="dxa"/>
            <w:vMerge/>
          </w:tcPr>
          <w:p w14:paraId="1ECC1E2C" w14:textId="77777777" w:rsidR="00454A29" w:rsidRDefault="00454A29"/>
        </w:tc>
        <w:tc>
          <w:tcPr>
            <w:tcW w:w="3345" w:type="dxa"/>
            <w:vMerge/>
          </w:tcPr>
          <w:p w14:paraId="17AE464B" w14:textId="77777777" w:rsidR="00454A29" w:rsidRDefault="00454A29"/>
        </w:tc>
        <w:tc>
          <w:tcPr>
            <w:tcW w:w="1701" w:type="dxa"/>
            <w:vAlign w:val="center"/>
          </w:tcPr>
          <w:p w14:paraId="13CB6997" w14:textId="77777777" w:rsidR="00454A29" w:rsidRDefault="00454A29">
            <w:pPr>
              <w:pStyle w:val="ConsPlusNormal"/>
              <w:jc w:val="center"/>
            </w:pPr>
            <w:r>
              <w:t>2020</w:t>
            </w:r>
          </w:p>
        </w:tc>
        <w:tc>
          <w:tcPr>
            <w:tcW w:w="1417" w:type="dxa"/>
            <w:vMerge/>
          </w:tcPr>
          <w:p w14:paraId="7D9E7E20" w14:textId="77777777" w:rsidR="00454A29" w:rsidRDefault="00454A29"/>
        </w:tc>
        <w:tc>
          <w:tcPr>
            <w:tcW w:w="2204" w:type="dxa"/>
            <w:vMerge/>
          </w:tcPr>
          <w:p w14:paraId="44597B46" w14:textId="77777777" w:rsidR="00454A29" w:rsidRDefault="00454A29"/>
        </w:tc>
        <w:tc>
          <w:tcPr>
            <w:tcW w:w="1417" w:type="dxa"/>
            <w:vMerge/>
          </w:tcPr>
          <w:p w14:paraId="37DB0AC4" w14:textId="77777777" w:rsidR="00454A29" w:rsidRDefault="00454A29"/>
        </w:tc>
        <w:tc>
          <w:tcPr>
            <w:tcW w:w="2324" w:type="dxa"/>
            <w:vMerge/>
          </w:tcPr>
          <w:p w14:paraId="6938CEFA" w14:textId="77777777" w:rsidR="00454A29" w:rsidRDefault="00454A29"/>
        </w:tc>
        <w:tc>
          <w:tcPr>
            <w:tcW w:w="1701" w:type="dxa"/>
            <w:vAlign w:val="center"/>
          </w:tcPr>
          <w:p w14:paraId="43693B7D" w14:textId="77777777" w:rsidR="00454A29" w:rsidRDefault="00454A29">
            <w:pPr>
              <w:pStyle w:val="ConsPlusNormal"/>
              <w:jc w:val="center"/>
            </w:pPr>
            <w:r>
              <w:t>-</w:t>
            </w:r>
          </w:p>
        </w:tc>
        <w:tc>
          <w:tcPr>
            <w:tcW w:w="1814" w:type="dxa"/>
            <w:vAlign w:val="center"/>
          </w:tcPr>
          <w:p w14:paraId="371C0F1D" w14:textId="77777777" w:rsidR="00454A29" w:rsidRDefault="00454A29">
            <w:pPr>
              <w:pStyle w:val="ConsPlusNormal"/>
              <w:jc w:val="center"/>
            </w:pPr>
            <w:r>
              <w:t>-</w:t>
            </w:r>
          </w:p>
        </w:tc>
        <w:tc>
          <w:tcPr>
            <w:tcW w:w="1701" w:type="dxa"/>
            <w:vAlign w:val="center"/>
          </w:tcPr>
          <w:p w14:paraId="4A7CAA2B" w14:textId="77777777" w:rsidR="00454A29" w:rsidRDefault="00454A29">
            <w:pPr>
              <w:pStyle w:val="ConsPlusNormal"/>
              <w:jc w:val="center"/>
            </w:pPr>
            <w:r>
              <w:t>-</w:t>
            </w:r>
          </w:p>
        </w:tc>
        <w:tc>
          <w:tcPr>
            <w:tcW w:w="1701" w:type="dxa"/>
            <w:vAlign w:val="center"/>
          </w:tcPr>
          <w:p w14:paraId="2B991D46" w14:textId="77777777" w:rsidR="00454A29" w:rsidRDefault="00454A29">
            <w:pPr>
              <w:pStyle w:val="ConsPlusNormal"/>
              <w:jc w:val="center"/>
            </w:pPr>
            <w:r>
              <w:t>-</w:t>
            </w:r>
          </w:p>
        </w:tc>
        <w:tc>
          <w:tcPr>
            <w:tcW w:w="1814" w:type="dxa"/>
            <w:vAlign w:val="center"/>
          </w:tcPr>
          <w:p w14:paraId="2C04BE41" w14:textId="77777777" w:rsidR="00454A29" w:rsidRDefault="00454A29">
            <w:pPr>
              <w:pStyle w:val="ConsPlusNormal"/>
              <w:jc w:val="center"/>
            </w:pPr>
            <w:r>
              <w:t>-</w:t>
            </w:r>
          </w:p>
        </w:tc>
      </w:tr>
      <w:tr w:rsidR="00454A29" w14:paraId="4A7C5551" w14:textId="77777777">
        <w:tc>
          <w:tcPr>
            <w:tcW w:w="567" w:type="dxa"/>
            <w:vMerge/>
          </w:tcPr>
          <w:p w14:paraId="1AD6C9B1" w14:textId="77777777" w:rsidR="00454A29" w:rsidRDefault="00454A29"/>
        </w:tc>
        <w:tc>
          <w:tcPr>
            <w:tcW w:w="3345" w:type="dxa"/>
            <w:vMerge/>
          </w:tcPr>
          <w:p w14:paraId="3D0448E4" w14:textId="77777777" w:rsidR="00454A29" w:rsidRDefault="00454A29"/>
        </w:tc>
        <w:tc>
          <w:tcPr>
            <w:tcW w:w="1701" w:type="dxa"/>
            <w:vAlign w:val="center"/>
          </w:tcPr>
          <w:p w14:paraId="686D3881" w14:textId="77777777" w:rsidR="00454A29" w:rsidRDefault="00454A29">
            <w:pPr>
              <w:pStyle w:val="ConsPlusNormal"/>
              <w:jc w:val="center"/>
            </w:pPr>
            <w:r>
              <w:t>2021</w:t>
            </w:r>
          </w:p>
        </w:tc>
        <w:tc>
          <w:tcPr>
            <w:tcW w:w="1417" w:type="dxa"/>
            <w:vMerge/>
          </w:tcPr>
          <w:p w14:paraId="411D995C" w14:textId="77777777" w:rsidR="00454A29" w:rsidRDefault="00454A29"/>
        </w:tc>
        <w:tc>
          <w:tcPr>
            <w:tcW w:w="2204" w:type="dxa"/>
            <w:vMerge/>
          </w:tcPr>
          <w:p w14:paraId="279138DD" w14:textId="77777777" w:rsidR="00454A29" w:rsidRDefault="00454A29"/>
        </w:tc>
        <w:tc>
          <w:tcPr>
            <w:tcW w:w="1417" w:type="dxa"/>
            <w:vMerge/>
          </w:tcPr>
          <w:p w14:paraId="093F32FB" w14:textId="77777777" w:rsidR="00454A29" w:rsidRDefault="00454A29"/>
        </w:tc>
        <w:tc>
          <w:tcPr>
            <w:tcW w:w="2324" w:type="dxa"/>
            <w:vMerge/>
          </w:tcPr>
          <w:p w14:paraId="58937F9A" w14:textId="77777777" w:rsidR="00454A29" w:rsidRDefault="00454A29"/>
        </w:tc>
        <w:tc>
          <w:tcPr>
            <w:tcW w:w="1701" w:type="dxa"/>
            <w:vAlign w:val="center"/>
          </w:tcPr>
          <w:p w14:paraId="2D932E88" w14:textId="77777777" w:rsidR="00454A29" w:rsidRDefault="00454A29">
            <w:pPr>
              <w:pStyle w:val="ConsPlusNormal"/>
              <w:jc w:val="center"/>
            </w:pPr>
            <w:r>
              <w:t>-</w:t>
            </w:r>
          </w:p>
        </w:tc>
        <w:tc>
          <w:tcPr>
            <w:tcW w:w="1814" w:type="dxa"/>
            <w:vAlign w:val="center"/>
          </w:tcPr>
          <w:p w14:paraId="026CED5A" w14:textId="77777777" w:rsidR="00454A29" w:rsidRDefault="00454A29">
            <w:pPr>
              <w:pStyle w:val="ConsPlusNormal"/>
              <w:jc w:val="center"/>
            </w:pPr>
            <w:r>
              <w:t>-</w:t>
            </w:r>
          </w:p>
        </w:tc>
        <w:tc>
          <w:tcPr>
            <w:tcW w:w="1701" w:type="dxa"/>
            <w:vAlign w:val="center"/>
          </w:tcPr>
          <w:p w14:paraId="27DA5649" w14:textId="77777777" w:rsidR="00454A29" w:rsidRDefault="00454A29">
            <w:pPr>
              <w:pStyle w:val="ConsPlusNormal"/>
              <w:jc w:val="center"/>
            </w:pPr>
            <w:r>
              <w:t>-</w:t>
            </w:r>
          </w:p>
        </w:tc>
        <w:tc>
          <w:tcPr>
            <w:tcW w:w="1701" w:type="dxa"/>
            <w:vAlign w:val="center"/>
          </w:tcPr>
          <w:p w14:paraId="7E2CF806" w14:textId="77777777" w:rsidR="00454A29" w:rsidRDefault="00454A29">
            <w:pPr>
              <w:pStyle w:val="ConsPlusNormal"/>
              <w:jc w:val="center"/>
            </w:pPr>
            <w:r>
              <w:t>-</w:t>
            </w:r>
          </w:p>
        </w:tc>
        <w:tc>
          <w:tcPr>
            <w:tcW w:w="1814" w:type="dxa"/>
            <w:vAlign w:val="center"/>
          </w:tcPr>
          <w:p w14:paraId="1E33F64B" w14:textId="77777777" w:rsidR="00454A29" w:rsidRDefault="00454A29">
            <w:pPr>
              <w:pStyle w:val="ConsPlusNormal"/>
              <w:jc w:val="center"/>
            </w:pPr>
            <w:r>
              <w:t>-</w:t>
            </w:r>
          </w:p>
        </w:tc>
      </w:tr>
      <w:tr w:rsidR="00454A29" w14:paraId="3B43B892" w14:textId="77777777">
        <w:tc>
          <w:tcPr>
            <w:tcW w:w="567" w:type="dxa"/>
            <w:vMerge/>
          </w:tcPr>
          <w:p w14:paraId="1EE1D580" w14:textId="77777777" w:rsidR="00454A29" w:rsidRDefault="00454A29"/>
        </w:tc>
        <w:tc>
          <w:tcPr>
            <w:tcW w:w="3345" w:type="dxa"/>
            <w:vMerge/>
          </w:tcPr>
          <w:p w14:paraId="58C85781" w14:textId="77777777" w:rsidR="00454A29" w:rsidRDefault="00454A29"/>
        </w:tc>
        <w:tc>
          <w:tcPr>
            <w:tcW w:w="1701" w:type="dxa"/>
            <w:vAlign w:val="center"/>
          </w:tcPr>
          <w:p w14:paraId="18D1DF0F" w14:textId="77777777" w:rsidR="00454A29" w:rsidRDefault="00454A29">
            <w:pPr>
              <w:pStyle w:val="ConsPlusNormal"/>
              <w:jc w:val="center"/>
            </w:pPr>
            <w:r>
              <w:t>2022</w:t>
            </w:r>
          </w:p>
        </w:tc>
        <w:tc>
          <w:tcPr>
            <w:tcW w:w="1417" w:type="dxa"/>
            <w:vMerge/>
          </w:tcPr>
          <w:p w14:paraId="46670B34" w14:textId="77777777" w:rsidR="00454A29" w:rsidRDefault="00454A29"/>
        </w:tc>
        <w:tc>
          <w:tcPr>
            <w:tcW w:w="2204" w:type="dxa"/>
            <w:vMerge/>
          </w:tcPr>
          <w:p w14:paraId="7A25B20A" w14:textId="77777777" w:rsidR="00454A29" w:rsidRDefault="00454A29"/>
        </w:tc>
        <w:tc>
          <w:tcPr>
            <w:tcW w:w="1417" w:type="dxa"/>
            <w:vMerge/>
          </w:tcPr>
          <w:p w14:paraId="132C15E8" w14:textId="77777777" w:rsidR="00454A29" w:rsidRDefault="00454A29"/>
        </w:tc>
        <w:tc>
          <w:tcPr>
            <w:tcW w:w="2324" w:type="dxa"/>
            <w:vMerge/>
          </w:tcPr>
          <w:p w14:paraId="1D512AE4" w14:textId="77777777" w:rsidR="00454A29" w:rsidRDefault="00454A29"/>
        </w:tc>
        <w:tc>
          <w:tcPr>
            <w:tcW w:w="1701" w:type="dxa"/>
            <w:vAlign w:val="center"/>
          </w:tcPr>
          <w:p w14:paraId="4DE73CDA" w14:textId="77777777" w:rsidR="00454A29" w:rsidRDefault="00454A29">
            <w:pPr>
              <w:pStyle w:val="ConsPlusNormal"/>
              <w:jc w:val="center"/>
            </w:pPr>
            <w:r>
              <w:t>-</w:t>
            </w:r>
          </w:p>
        </w:tc>
        <w:tc>
          <w:tcPr>
            <w:tcW w:w="1814" w:type="dxa"/>
            <w:vAlign w:val="center"/>
          </w:tcPr>
          <w:p w14:paraId="3B1650BC" w14:textId="77777777" w:rsidR="00454A29" w:rsidRDefault="00454A29">
            <w:pPr>
              <w:pStyle w:val="ConsPlusNormal"/>
              <w:jc w:val="center"/>
            </w:pPr>
            <w:r>
              <w:t>-</w:t>
            </w:r>
          </w:p>
        </w:tc>
        <w:tc>
          <w:tcPr>
            <w:tcW w:w="1701" w:type="dxa"/>
            <w:vAlign w:val="center"/>
          </w:tcPr>
          <w:p w14:paraId="62241875" w14:textId="77777777" w:rsidR="00454A29" w:rsidRDefault="00454A29">
            <w:pPr>
              <w:pStyle w:val="ConsPlusNormal"/>
              <w:jc w:val="center"/>
            </w:pPr>
            <w:r>
              <w:t>-</w:t>
            </w:r>
          </w:p>
        </w:tc>
        <w:tc>
          <w:tcPr>
            <w:tcW w:w="1701" w:type="dxa"/>
            <w:vAlign w:val="center"/>
          </w:tcPr>
          <w:p w14:paraId="1DCB2A61" w14:textId="77777777" w:rsidR="00454A29" w:rsidRDefault="00454A29">
            <w:pPr>
              <w:pStyle w:val="ConsPlusNormal"/>
              <w:jc w:val="center"/>
            </w:pPr>
            <w:r>
              <w:t>-</w:t>
            </w:r>
          </w:p>
        </w:tc>
        <w:tc>
          <w:tcPr>
            <w:tcW w:w="1814" w:type="dxa"/>
            <w:vAlign w:val="center"/>
          </w:tcPr>
          <w:p w14:paraId="162597F8" w14:textId="77777777" w:rsidR="00454A29" w:rsidRDefault="00454A29">
            <w:pPr>
              <w:pStyle w:val="ConsPlusNormal"/>
              <w:jc w:val="center"/>
            </w:pPr>
            <w:r>
              <w:t>-</w:t>
            </w:r>
          </w:p>
        </w:tc>
      </w:tr>
      <w:tr w:rsidR="00454A29" w14:paraId="01C472E3" w14:textId="77777777">
        <w:tc>
          <w:tcPr>
            <w:tcW w:w="567" w:type="dxa"/>
            <w:vMerge/>
          </w:tcPr>
          <w:p w14:paraId="300C8AB6" w14:textId="77777777" w:rsidR="00454A29" w:rsidRDefault="00454A29"/>
        </w:tc>
        <w:tc>
          <w:tcPr>
            <w:tcW w:w="3345" w:type="dxa"/>
            <w:vMerge/>
          </w:tcPr>
          <w:p w14:paraId="6C324181" w14:textId="77777777" w:rsidR="00454A29" w:rsidRDefault="00454A29"/>
        </w:tc>
        <w:tc>
          <w:tcPr>
            <w:tcW w:w="1701" w:type="dxa"/>
            <w:vAlign w:val="center"/>
          </w:tcPr>
          <w:p w14:paraId="5F07E673" w14:textId="77777777" w:rsidR="00454A29" w:rsidRDefault="00454A29">
            <w:pPr>
              <w:pStyle w:val="ConsPlusNormal"/>
              <w:jc w:val="center"/>
            </w:pPr>
            <w:r>
              <w:t>2023</w:t>
            </w:r>
          </w:p>
        </w:tc>
        <w:tc>
          <w:tcPr>
            <w:tcW w:w="1417" w:type="dxa"/>
            <w:vMerge/>
          </w:tcPr>
          <w:p w14:paraId="4D20BBE5" w14:textId="77777777" w:rsidR="00454A29" w:rsidRDefault="00454A29"/>
        </w:tc>
        <w:tc>
          <w:tcPr>
            <w:tcW w:w="2204" w:type="dxa"/>
            <w:vMerge/>
          </w:tcPr>
          <w:p w14:paraId="7BD50C2A" w14:textId="77777777" w:rsidR="00454A29" w:rsidRDefault="00454A29"/>
        </w:tc>
        <w:tc>
          <w:tcPr>
            <w:tcW w:w="1417" w:type="dxa"/>
            <w:vMerge/>
          </w:tcPr>
          <w:p w14:paraId="3740AE81" w14:textId="77777777" w:rsidR="00454A29" w:rsidRDefault="00454A29"/>
        </w:tc>
        <w:tc>
          <w:tcPr>
            <w:tcW w:w="2324" w:type="dxa"/>
            <w:vMerge/>
          </w:tcPr>
          <w:p w14:paraId="47735F75" w14:textId="77777777" w:rsidR="00454A29" w:rsidRDefault="00454A29"/>
        </w:tc>
        <w:tc>
          <w:tcPr>
            <w:tcW w:w="1701" w:type="dxa"/>
            <w:vAlign w:val="center"/>
          </w:tcPr>
          <w:p w14:paraId="3021E81E" w14:textId="77777777" w:rsidR="00454A29" w:rsidRDefault="00454A29">
            <w:pPr>
              <w:pStyle w:val="ConsPlusNormal"/>
              <w:jc w:val="center"/>
            </w:pPr>
            <w:r>
              <w:t>268 673,35</w:t>
            </w:r>
          </w:p>
        </w:tc>
        <w:tc>
          <w:tcPr>
            <w:tcW w:w="1814" w:type="dxa"/>
            <w:vAlign w:val="center"/>
          </w:tcPr>
          <w:p w14:paraId="1FD28DDC" w14:textId="77777777" w:rsidR="00454A29" w:rsidRDefault="00454A29">
            <w:pPr>
              <w:pStyle w:val="ConsPlusNormal"/>
              <w:jc w:val="center"/>
            </w:pPr>
            <w:r>
              <w:t>268 673,35</w:t>
            </w:r>
          </w:p>
        </w:tc>
        <w:tc>
          <w:tcPr>
            <w:tcW w:w="1701" w:type="dxa"/>
            <w:vAlign w:val="center"/>
          </w:tcPr>
          <w:p w14:paraId="6B98E4EB" w14:textId="77777777" w:rsidR="00454A29" w:rsidRDefault="00454A29">
            <w:pPr>
              <w:pStyle w:val="ConsPlusNormal"/>
              <w:jc w:val="center"/>
            </w:pPr>
            <w:r>
              <w:t>-</w:t>
            </w:r>
          </w:p>
        </w:tc>
        <w:tc>
          <w:tcPr>
            <w:tcW w:w="1701" w:type="dxa"/>
            <w:vAlign w:val="center"/>
          </w:tcPr>
          <w:p w14:paraId="63930DD2" w14:textId="77777777" w:rsidR="00454A29" w:rsidRDefault="00454A29">
            <w:pPr>
              <w:pStyle w:val="ConsPlusNormal"/>
              <w:jc w:val="center"/>
            </w:pPr>
            <w:r>
              <w:t>-</w:t>
            </w:r>
          </w:p>
        </w:tc>
        <w:tc>
          <w:tcPr>
            <w:tcW w:w="1814" w:type="dxa"/>
            <w:vAlign w:val="center"/>
          </w:tcPr>
          <w:p w14:paraId="1B861446" w14:textId="77777777" w:rsidR="00454A29" w:rsidRDefault="00454A29">
            <w:pPr>
              <w:pStyle w:val="ConsPlusNormal"/>
              <w:jc w:val="center"/>
            </w:pPr>
            <w:r>
              <w:t>-</w:t>
            </w:r>
          </w:p>
        </w:tc>
      </w:tr>
      <w:tr w:rsidR="00454A29" w14:paraId="546B598C" w14:textId="77777777">
        <w:tc>
          <w:tcPr>
            <w:tcW w:w="567" w:type="dxa"/>
            <w:vMerge/>
          </w:tcPr>
          <w:p w14:paraId="68781D71" w14:textId="77777777" w:rsidR="00454A29" w:rsidRDefault="00454A29"/>
        </w:tc>
        <w:tc>
          <w:tcPr>
            <w:tcW w:w="3345" w:type="dxa"/>
            <w:vMerge/>
          </w:tcPr>
          <w:p w14:paraId="630E73FC" w14:textId="77777777" w:rsidR="00454A29" w:rsidRDefault="00454A29"/>
        </w:tc>
        <w:tc>
          <w:tcPr>
            <w:tcW w:w="1701" w:type="dxa"/>
            <w:vAlign w:val="center"/>
          </w:tcPr>
          <w:p w14:paraId="3C8465A9" w14:textId="77777777" w:rsidR="00454A29" w:rsidRDefault="00454A29">
            <w:pPr>
              <w:pStyle w:val="ConsPlusNormal"/>
              <w:jc w:val="center"/>
            </w:pPr>
            <w:r>
              <w:t>2024</w:t>
            </w:r>
          </w:p>
        </w:tc>
        <w:tc>
          <w:tcPr>
            <w:tcW w:w="1417" w:type="dxa"/>
            <w:vMerge/>
          </w:tcPr>
          <w:p w14:paraId="3E3CD970" w14:textId="77777777" w:rsidR="00454A29" w:rsidRDefault="00454A29"/>
        </w:tc>
        <w:tc>
          <w:tcPr>
            <w:tcW w:w="2204" w:type="dxa"/>
            <w:vMerge/>
          </w:tcPr>
          <w:p w14:paraId="3F6E7DBF" w14:textId="77777777" w:rsidR="00454A29" w:rsidRDefault="00454A29"/>
        </w:tc>
        <w:tc>
          <w:tcPr>
            <w:tcW w:w="1417" w:type="dxa"/>
            <w:vMerge/>
          </w:tcPr>
          <w:p w14:paraId="0CDADCFC" w14:textId="77777777" w:rsidR="00454A29" w:rsidRDefault="00454A29"/>
        </w:tc>
        <w:tc>
          <w:tcPr>
            <w:tcW w:w="2324" w:type="dxa"/>
            <w:vMerge/>
          </w:tcPr>
          <w:p w14:paraId="435C65CC" w14:textId="77777777" w:rsidR="00454A29" w:rsidRDefault="00454A29"/>
        </w:tc>
        <w:tc>
          <w:tcPr>
            <w:tcW w:w="1701" w:type="dxa"/>
            <w:vAlign w:val="center"/>
          </w:tcPr>
          <w:p w14:paraId="4ABA0A11" w14:textId="77777777" w:rsidR="00454A29" w:rsidRDefault="00454A29">
            <w:pPr>
              <w:pStyle w:val="ConsPlusNormal"/>
              <w:jc w:val="center"/>
            </w:pPr>
            <w:r>
              <w:t>199 375,75</w:t>
            </w:r>
          </w:p>
        </w:tc>
        <w:tc>
          <w:tcPr>
            <w:tcW w:w="1814" w:type="dxa"/>
            <w:vAlign w:val="center"/>
          </w:tcPr>
          <w:p w14:paraId="5E21088A" w14:textId="77777777" w:rsidR="00454A29" w:rsidRDefault="00454A29">
            <w:pPr>
              <w:pStyle w:val="ConsPlusNormal"/>
              <w:jc w:val="center"/>
            </w:pPr>
            <w:r>
              <w:t>199 375,75</w:t>
            </w:r>
          </w:p>
        </w:tc>
        <w:tc>
          <w:tcPr>
            <w:tcW w:w="1701" w:type="dxa"/>
            <w:vAlign w:val="center"/>
          </w:tcPr>
          <w:p w14:paraId="34517239" w14:textId="77777777" w:rsidR="00454A29" w:rsidRDefault="00454A29">
            <w:pPr>
              <w:pStyle w:val="ConsPlusNormal"/>
              <w:jc w:val="center"/>
            </w:pPr>
            <w:r>
              <w:t>-</w:t>
            </w:r>
          </w:p>
        </w:tc>
        <w:tc>
          <w:tcPr>
            <w:tcW w:w="1701" w:type="dxa"/>
            <w:vAlign w:val="center"/>
          </w:tcPr>
          <w:p w14:paraId="3397B140" w14:textId="77777777" w:rsidR="00454A29" w:rsidRDefault="00454A29">
            <w:pPr>
              <w:pStyle w:val="ConsPlusNormal"/>
              <w:jc w:val="center"/>
            </w:pPr>
            <w:r>
              <w:t>-</w:t>
            </w:r>
          </w:p>
        </w:tc>
        <w:tc>
          <w:tcPr>
            <w:tcW w:w="1814" w:type="dxa"/>
            <w:vAlign w:val="center"/>
          </w:tcPr>
          <w:p w14:paraId="5D77B519" w14:textId="77777777" w:rsidR="00454A29" w:rsidRDefault="00454A29">
            <w:pPr>
              <w:pStyle w:val="ConsPlusNormal"/>
              <w:jc w:val="center"/>
            </w:pPr>
            <w:r>
              <w:t>-</w:t>
            </w:r>
          </w:p>
        </w:tc>
      </w:tr>
      <w:tr w:rsidR="00454A29" w14:paraId="3238DDEA" w14:textId="77777777">
        <w:tc>
          <w:tcPr>
            <w:tcW w:w="567" w:type="dxa"/>
            <w:vMerge/>
          </w:tcPr>
          <w:p w14:paraId="3557250E" w14:textId="77777777" w:rsidR="00454A29" w:rsidRDefault="00454A29"/>
        </w:tc>
        <w:tc>
          <w:tcPr>
            <w:tcW w:w="3345" w:type="dxa"/>
            <w:vMerge/>
          </w:tcPr>
          <w:p w14:paraId="6B3551B7" w14:textId="77777777" w:rsidR="00454A29" w:rsidRDefault="00454A29"/>
        </w:tc>
        <w:tc>
          <w:tcPr>
            <w:tcW w:w="1701" w:type="dxa"/>
            <w:vAlign w:val="center"/>
          </w:tcPr>
          <w:p w14:paraId="778CCC31" w14:textId="77777777" w:rsidR="00454A29" w:rsidRDefault="00454A29">
            <w:pPr>
              <w:pStyle w:val="ConsPlusNormal"/>
              <w:jc w:val="center"/>
            </w:pPr>
            <w:r>
              <w:t>2025</w:t>
            </w:r>
          </w:p>
        </w:tc>
        <w:tc>
          <w:tcPr>
            <w:tcW w:w="1417" w:type="dxa"/>
            <w:vMerge/>
          </w:tcPr>
          <w:p w14:paraId="6F827799" w14:textId="77777777" w:rsidR="00454A29" w:rsidRDefault="00454A29"/>
        </w:tc>
        <w:tc>
          <w:tcPr>
            <w:tcW w:w="2204" w:type="dxa"/>
            <w:vMerge/>
          </w:tcPr>
          <w:p w14:paraId="7B3315E6" w14:textId="77777777" w:rsidR="00454A29" w:rsidRDefault="00454A29"/>
        </w:tc>
        <w:tc>
          <w:tcPr>
            <w:tcW w:w="1417" w:type="dxa"/>
            <w:vMerge/>
          </w:tcPr>
          <w:p w14:paraId="71DC195B" w14:textId="77777777" w:rsidR="00454A29" w:rsidRDefault="00454A29"/>
        </w:tc>
        <w:tc>
          <w:tcPr>
            <w:tcW w:w="2324" w:type="dxa"/>
            <w:vMerge/>
          </w:tcPr>
          <w:p w14:paraId="23C59B31" w14:textId="77777777" w:rsidR="00454A29" w:rsidRDefault="00454A29"/>
        </w:tc>
        <w:tc>
          <w:tcPr>
            <w:tcW w:w="1701" w:type="dxa"/>
            <w:vAlign w:val="center"/>
          </w:tcPr>
          <w:p w14:paraId="6EDF6643" w14:textId="77777777" w:rsidR="00454A29" w:rsidRDefault="00454A29">
            <w:pPr>
              <w:pStyle w:val="ConsPlusNormal"/>
              <w:jc w:val="center"/>
            </w:pPr>
            <w:r>
              <w:t>-</w:t>
            </w:r>
          </w:p>
        </w:tc>
        <w:tc>
          <w:tcPr>
            <w:tcW w:w="1814" w:type="dxa"/>
            <w:vAlign w:val="center"/>
          </w:tcPr>
          <w:p w14:paraId="0B6312C7" w14:textId="77777777" w:rsidR="00454A29" w:rsidRDefault="00454A29">
            <w:pPr>
              <w:pStyle w:val="ConsPlusNormal"/>
              <w:jc w:val="center"/>
            </w:pPr>
            <w:r>
              <w:t>-</w:t>
            </w:r>
          </w:p>
        </w:tc>
        <w:tc>
          <w:tcPr>
            <w:tcW w:w="1701" w:type="dxa"/>
            <w:vAlign w:val="center"/>
          </w:tcPr>
          <w:p w14:paraId="72D40846" w14:textId="77777777" w:rsidR="00454A29" w:rsidRDefault="00454A29">
            <w:pPr>
              <w:pStyle w:val="ConsPlusNormal"/>
              <w:jc w:val="center"/>
            </w:pPr>
            <w:r>
              <w:t>-</w:t>
            </w:r>
          </w:p>
        </w:tc>
        <w:tc>
          <w:tcPr>
            <w:tcW w:w="1701" w:type="dxa"/>
            <w:vAlign w:val="center"/>
          </w:tcPr>
          <w:p w14:paraId="4B4E572C" w14:textId="77777777" w:rsidR="00454A29" w:rsidRDefault="00454A29">
            <w:pPr>
              <w:pStyle w:val="ConsPlusNormal"/>
              <w:jc w:val="center"/>
            </w:pPr>
            <w:r>
              <w:t>-</w:t>
            </w:r>
          </w:p>
        </w:tc>
        <w:tc>
          <w:tcPr>
            <w:tcW w:w="1814" w:type="dxa"/>
            <w:vAlign w:val="center"/>
          </w:tcPr>
          <w:p w14:paraId="177302A3" w14:textId="77777777" w:rsidR="00454A29" w:rsidRDefault="00454A29">
            <w:pPr>
              <w:pStyle w:val="ConsPlusNormal"/>
              <w:jc w:val="center"/>
            </w:pPr>
            <w:r>
              <w:t>-</w:t>
            </w:r>
          </w:p>
        </w:tc>
      </w:tr>
      <w:tr w:rsidR="00454A29" w14:paraId="5F48A1BC" w14:textId="77777777">
        <w:tc>
          <w:tcPr>
            <w:tcW w:w="567" w:type="dxa"/>
            <w:vMerge/>
          </w:tcPr>
          <w:p w14:paraId="4AA62469" w14:textId="77777777" w:rsidR="00454A29" w:rsidRDefault="00454A29"/>
        </w:tc>
        <w:tc>
          <w:tcPr>
            <w:tcW w:w="3345" w:type="dxa"/>
            <w:vMerge/>
          </w:tcPr>
          <w:p w14:paraId="62CFB825" w14:textId="77777777" w:rsidR="00454A29" w:rsidRDefault="00454A29"/>
        </w:tc>
        <w:tc>
          <w:tcPr>
            <w:tcW w:w="1701" w:type="dxa"/>
            <w:vAlign w:val="center"/>
          </w:tcPr>
          <w:p w14:paraId="55D841C6" w14:textId="77777777" w:rsidR="00454A29" w:rsidRDefault="00454A29">
            <w:pPr>
              <w:pStyle w:val="ConsPlusNormal"/>
              <w:jc w:val="center"/>
            </w:pPr>
            <w:r>
              <w:t>2026</w:t>
            </w:r>
          </w:p>
        </w:tc>
        <w:tc>
          <w:tcPr>
            <w:tcW w:w="1417" w:type="dxa"/>
            <w:vMerge/>
          </w:tcPr>
          <w:p w14:paraId="64603D11" w14:textId="77777777" w:rsidR="00454A29" w:rsidRDefault="00454A29"/>
        </w:tc>
        <w:tc>
          <w:tcPr>
            <w:tcW w:w="2204" w:type="dxa"/>
            <w:vMerge/>
          </w:tcPr>
          <w:p w14:paraId="5B13A3D8" w14:textId="77777777" w:rsidR="00454A29" w:rsidRDefault="00454A29"/>
        </w:tc>
        <w:tc>
          <w:tcPr>
            <w:tcW w:w="1417" w:type="dxa"/>
            <w:vMerge/>
          </w:tcPr>
          <w:p w14:paraId="1B817A2D" w14:textId="77777777" w:rsidR="00454A29" w:rsidRDefault="00454A29"/>
        </w:tc>
        <w:tc>
          <w:tcPr>
            <w:tcW w:w="2324" w:type="dxa"/>
            <w:vMerge/>
          </w:tcPr>
          <w:p w14:paraId="5138C89E" w14:textId="77777777" w:rsidR="00454A29" w:rsidRDefault="00454A29"/>
        </w:tc>
        <w:tc>
          <w:tcPr>
            <w:tcW w:w="1701" w:type="dxa"/>
            <w:vAlign w:val="center"/>
          </w:tcPr>
          <w:p w14:paraId="0A753F0D" w14:textId="77777777" w:rsidR="00454A29" w:rsidRDefault="00454A29">
            <w:pPr>
              <w:pStyle w:val="ConsPlusNormal"/>
              <w:jc w:val="center"/>
            </w:pPr>
            <w:r>
              <w:t>-</w:t>
            </w:r>
          </w:p>
        </w:tc>
        <w:tc>
          <w:tcPr>
            <w:tcW w:w="1814" w:type="dxa"/>
            <w:vAlign w:val="center"/>
          </w:tcPr>
          <w:p w14:paraId="4F008D8B" w14:textId="77777777" w:rsidR="00454A29" w:rsidRDefault="00454A29">
            <w:pPr>
              <w:pStyle w:val="ConsPlusNormal"/>
              <w:jc w:val="center"/>
            </w:pPr>
            <w:r>
              <w:t>-</w:t>
            </w:r>
          </w:p>
        </w:tc>
        <w:tc>
          <w:tcPr>
            <w:tcW w:w="1701" w:type="dxa"/>
            <w:vAlign w:val="center"/>
          </w:tcPr>
          <w:p w14:paraId="6342F3B2" w14:textId="77777777" w:rsidR="00454A29" w:rsidRDefault="00454A29">
            <w:pPr>
              <w:pStyle w:val="ConsPlusNormal"/>
              <w:jc w:val="center"/>
            </w:pPr>
            <w:r>
              <w:t>-</w:t>
            </w:r>
          </w:p>
        </w:tc>
        <w:tc>
          <w:tcPr>
            <w:tcW w:w="1701" w:type="dxa"/>
            <w:vAlign w:val="center"/>
          </w:tcPr>
          <w:p w14:paraId="1A8BEA94" w14:textId="77777777" w:rsidR="00454A29" w:rsidRDefault="00454A29">
            <w:pPr>
              <w:pStyle w:val="ConsPlusNormal"/>
              <w:jc w:val="center"/>
            </w:pPr>
            <w:r>
              <w:t>-</w:t>
            </w:r>
          </w:p>
        </w:tc>
        <w:tc>
          <w:tcPr>
            <w:tcW w:w="1814" w:type="dxa"/>
            <w:vAlign w:val="center"/>
          </w:tcPr>
          <w:p w14:paraId="04B2ED5C" w14:textId="77777777" w:rsidR="00454A29" w:rsidRDefault="00454A29">
            <w:pPr>
              <w:pStyle w:val="ConsPlusNormal"/>
              <w:jc w:val="center"/>
            </w:pPr>
            <w:r>
              <w:t>-</w:t>
            </w:r>
          </w:p>
        </w:tc>
      </w:tr>
      <w:tr w:rsidR="00454A29" w14:paraId="12F1EB56" w14:textId="77777777">
        <w:tc>
          <w:tcPr>
            <w:tcW w:w="567" w:type="dxa"/>
            <w:vMerge w:val="restart"/>
            <w:vAlign w:val="center"/>
          </w:tcPr>
          <w:p w14:paraId="007195CC" w14:textId="77777777" w:rsidR="00454A29" w:rsidRDefault="00454A29">
            <w:pPr>
              <w:pStyle w:val="ConsPlusNormal"/>
              <w:jc w:val="center"/>
            </w:pPr>
            <w:r>
              <w:t>48</w:t>
            </w:r>
          </w:p>
        </w:tc>
        <w:tc>
          <w:tcPr>
            <w:tcW w:w="3345" w:type="dxa"/>
            <w:vMerge w:val="restart"/>
            <w:vAlign w:val="center"/>
          </w:tcPr>
          <w:p w14:paraId="208C6730" w14:textId="77777777" w:rsidR="00454A29" w:rsidRDefault="00454A29">
            <w:pPr>
              <w:pStyle w:val="ConsPlusNormal"/>
              <w:jc w:val="center"/>
            </w:pPr>
            <w:r>
              <w:t>Детский сад на 75 мест в с. Петровка Мегино-Кангаласского улуса</w:t>
            </w:r>
          </w:p>
        </w:tc>
        <w:tc>
          <w:tcPr>
            <w:tcW w:w="1701" w:type="dxa"/>
            <w:vAlign w:val="center"/>
          </w:tcPr>
          <w:p w14:paraId="455F5921" w14:textId="77777777" w:rsidR="00454A29" w:rsidRDefault="00454A29">
            <w:pPr>
              <w:pStyle w:val="ConsPlusNormal"/>
              <w:jc w:val="center"/>
            </w:pPr>
            <w:r>
              <w:t>2020 - 2026 годы - всего</w:t>
            </w:r>
          </w:p>
        </w:tc>
        <w:tc>
          <w:tcPr>
            <w:tcW w:w="1417" w:type="dxa"/>
            <w:vMerge w:val="restart"/>
            <w:vAlign w:val="center"/>
          </w:tcPr>
          <w:p w14:paraId="75EB3145" w14:textId="77777777" w:rsidR="00454A29" w:rsidRDefault="00454A29">
            <w:pPr>
              <w:pStyle w:val="ConsPlusNormal"/>
              <w:jc w:val="center"/>
            </w:pPr>
            <w:r>
              <w:t>126 444,20</w:t>
            </w:r>
          </w:p>
        </w:tc>
        <w:tc>
          <w:tcPr>
            <w:tcW w:w="2204" w:type="dxa"/>
            <w:vMerge w:val="restart"/>
            <w:vAlign w:val="center"/>
          </w:tcPr>
          <w:p w14:paraId="5ACE2A56" w14:textId="77777777" w:rsidR="00454A29" w:rsidRDefault="00454A29">
            <w:pPr>
              <w:pStyle w:val="ConsPlusNormal"/>
            </w:pPr>
          </w:p>
        </w:tc>
        <w:tc>
          <w:tcPr>
            <w:tcW w:w="1417" w:type="dxa"/>
            <w:vMerge w:val="restart"/>
            <w:vAlign w:val="center"/>
          </w:tcPr>
          <w:p w14:paraId="323B1244" w14:textId="77777777" w:rsidR="00454A29" w:rsidRDefault="00454A29">
            <w:pPr>
              <w:pStyle w:val="ConsPlusNormal"/>
              <w:jc w:val="center"/>
            </w:pPr>
            <w:r>
              <w:t>75</w:t>
            </w:r>
          </w:p>
        </w:tc>
        <w:tc>
          <w:tcPr>
            <w:tcW w:w="2324" w:type="dxa"/>
            <w:vMerge w:val="restart"/>
            <w:vAlign w:val="center"/>
          </w:tcPr>
          <w:p w14:paraId="1F387932" w14:textId="77777777" w:rsidR="00454A29" w:rsidRDefault="00454A29">
            <w:pPr>
              <w:pStyle w:val="ConsPlusNormal"/>
              <w:jc w:val="center"/>
            </w:pPr>
            <w:r>
              <w:t>Минстрой РС(Я), МР "Мегино-Кангаласский улус"</w:t>
            </w:r>
          </w:p>
        </w:tc>
        <w:tc>
          <w:tcPr>
            <w:tcW w:w="1701" w:type="dxa"/>
            <w:vAlign w:val="center"/>
          </w:tcPr>
          <w:p w14:paraId="548E395F" w14:textId="77777777" w:rsidR="00454A29" w:rsidRDefault="00454A29">
            <w:pPr>
              <w:pStyle w:val="ConsPlusNormal"/>
              <w:jc w:val="center"/>
            </w:pPr>
            <w:r>
              <w:t>73 653,74</w:t>
            </w:r>
          </w:p>
        </w:tc>
        <w:tc>
          <w:tcPr>
            <w:tcW w:w="1814" w:type="dxa"/>
            <w:vAlign w:val="center"/>
          </w:tcPr>
          <w:p w14:paraId="6F3BD2EA" w14:textId="77777777" w:rsidR="00454A29" w:rsidRDefault="00454A29">
            <w:pPr>
              <w:pStyle w:val="ConsPlusNormal"/>
              <w:jc w:val="center"/>
            </w:pPr>
            <w:r>
              <w:t>126 444,20</w:t>
            </w:r>
          </w:p>
        </w:tc>
        <w:tc>
          <w:tcPr>
            <w:tcW w:w="1701" w:type="dxa"/>
            <w:vAlign w:val="center"/>
          </w:tcPr>
          <w:p w14:paraId="6517604E" w14:textId="77777777" w:rsidR="00454A29" w:rsidRDefault="00454A29">
            <w:pPr>
              <w:pStyle w:val="ConsPlusNormal"/>
              <w:jc w:val="center"/>
            </w:pPr>
            <w:r>
              <w:t>-</w:t>
            </w:r>
          </w:p>
        </w:tc>
        <w:tc>
          <w:tcPr>
            <w:tcW w:w="1701" w:type="dxa"/>
            <w:vAlign w:val="center"/>
          </w:tcPr>
          <w:p w14:paraId="4CD66F92" w14:textId="77777777" w:rsidR="00454A29" w:rsidRDefault="00454A29">
            <w:pPr>
              <w:pStyle w:val="ConsPlusNormal"/>
              <w:jc w:val="center"/>
            </w:pPr>
            <w:r>
              <w:t>-</w:t>
            </w:r>
          </w:p>
        </w:tc>
        <w:tc>
          <w:tcPr>
            <w:tcW w:w="1814" w:type="dxa"/>
            <w:vAlign w:val="center"/>
          </w:tcPr>
          <w:p w14:paraId="598308B5" w14:textId="77777777" w:rsidR="00454A29" w:rsidRDefault="00454A29">
            <w:pPr>
              <w:pStyle w:val="ConsPlusNormal"/>
              <w:jc w:val="center"/>
            </w:pPr>
            <w:r>
              <w:t>-</w:t>
            </w:r>
          </w:p>
        </w:tc>
      </w:tr>
      <w:tr w:rsidR="00454A29" w14:paraId="37E9F3F4" w14:textId="77777777">
        <w:tc>
          <w:tcPr>
            <w:tcW w:w="567" w:type="dxa"/>
            <w:vMerge/>
          </w:tcPr>
          <w:p w14:paraId="65DE0514" w14:textId="77777777" w:rsidR="00454A29" w:rsidRDefault="00454A29"/>
        </w:tc>
        <w:tc>
          <w:tcPr>
            <w:tcW w:w="3345" w:type="dxa"/>
            <w:vMerge/>
          </w:tcPr>
          <w:p w14:paraId="1175AB02" w14:textId="77777777" w:rsidR="00454A29" w:rsidRDefault="00454A29"/>
        </w:tc>
        <w:tc>
          <w:tcPr>
            <w:tcW w:w="1701" w:type="dxa"/>
            <w:vAlign w:val="center"/>
          </w:tcPr>
          <w:p w14:paraId="6A2E1DED" w14:textId="77777777" w:rsidR="00454A29" w:rsidRDefault="00454A29">
            <w:pPr>
              <w:pStyle w:val="ConsPlusNormal"/>
              <w:jc w:val="center"/>
            </w:pPr>
            <w:r>
              <w:t>2020</w:t>
            </w:r>
          </w:p>
        </w:tc>
        <w:tc>
          <w:tcPr>
            <w:tcW w:w="1417" w:type="dxa"/>
            <w:vMerge/>
          </w:tcPr>
          <w:p w14:paraId="063F01C4" w14:textId="77777777" w:rsidR="00454A29" w:rsidRDefault="00454A29"/>
        </w:tc>
        <w:tc>
          <w:tcPr>
            <w:tcW w:w="2204" w:type="dxa"/>
            <w:vMerge/>
          </w:tcPr>
          <w:p w14:paraId="3A336890" w14:textId="77777777" w:rsidR="00454A29" w:rsidRDefault="00454A29"/>
        </w:tc>
        <w:tc>
          <w:tcPr>
            <w:tcW w:w="1417" w:type="dxa"/>
            <w:vMerge/>
          </w:tcPr>
          <w:p w14:paraId="613F242B" w14:textId="77777777" w:rsidR="00454A29" w:rsidRDefault="00454A29"/>
        </w:tc>
        <w:tc>
          <w:tcPr>
            <w:tcW w:w="2324" w:type="dxa"/>
            <w:vMerge/>
          </w:tcPr>
          <w:p w14:paraId="4E5B66E1" w14:textId="77777777" w:rsidR="00454A29" w:rsidRDefault="00454A29"/>
        </w:tc>
        <w:tc>
          <w:tcPr>
            <w:tcW w:w="1701" w:type="dxa"/>
            <w:vAlign w:val="center"/>
          </w:tcPr>
          <w:p w14:paraId="238696BD" w14:textId="77777777" w:rsidR="00454A29" w:rsidRDefault="00454A29">
            <w:pPr>
              <w:pStyle w:val="ConsPlusNormal"/>
              <w:jc w:val="center"/>
            </w:pPr>
            <w:r>
              <w:t>-</w:t>
            </w:r>
          </w:p>
        </w:tc>
        <w:tc>
          <w:tcPr>
            <w:tcW w:w="1814" w:type="dxa"/>
            <w:vAlign w:val="center"/>
          </w:tcPr>
          <w:p w14:paraId="7D5191B2" w14:textId="77777777" w:rsidR="00454A29" w:rsidRDefault="00454A29">
            <w:pPr>
              <w:pStyle w:val="ConsPlusNormal"/>
            </w:pPr>
          </w:p>
        </w:tc>
        <w:tc>
          <w:tcPr>
            <w:tcW w:w="1701" w:type="dxa"/>
            <w:vAlign w:val="center"/>
          </w:tcPr>
          <w:p w14:paraId="3D4F4CFB" w14:textId="77777777" w:rsidR="00454A29" w:rsidRDefault="00454A29">
            <w:pPr>
              <w:pStyle w:val="ConsPlusNormal"/>
            </w:pPr>
          </w:p>
        </w:tc>
        <w:tc>
          <w:tcPr>
            <w:tcW w:w="1701" w:type="dxa"/>
            <w:vAlign w:val="center"/>
          </w:tcPr>
          <w:p w14:paraId="264901A4" w14:textId="77777777" w:rsidR="00454A29" w:rsidRDefault="00454A29">
            <w:pPr>
              <w:pStyle w:val="ConsPlusNormal"/>
            </w:pPr>
          </w:p>
        </w:tc>
        <w:tc>
          <w:tcPr>
            <w:tcW w:w="1814" w:type="dxa"/>
            <w:vAlign w:val="center"/>
          </w:tcPr>
          <w:p w14:paraId="59D0BCDB" w14:textId="77777777" w:rsidR="00454A29" w:rsidRDefault="00454A29">
            <w:pPr>
              <w:pStyle w:val="ConsPlusNormal"/>
            </w:pPr>
          </w:p>
        </w:tc>
      </w:tr>
      <w:tr w:rsidR="00454A29" w14:paraId="4B4F39D5" w14:textId="77777777">
        <w:tc>
          <w:tcPr>
            <w:tcW w:w="567" w:type="dxa"/>
            <w:vMerge/>
          </w:tcPr>
          <w:p w14:paraId="25409BAD" w14:textId="77777777" w:rsidR="00454A29" w:rsidRDefault="00454A29"/>
        </w:tc>
        <w:tc>
          <w:tcPr>
            <w:tcW w:w="3345" w:type="dxa"/>
            <w:vMerge/>
          </w:tcPr>
          <w:p w14:paraId="3AA112FD" w14:textId="77777777" w:rsidR="00454A29" w:rsidRDefault="00454A29"/>
        </w:tc>
        <w:tc>
          <w:tcPr>
            <w:tcW w:w="1701" w:type="dxa"/>
            <w:vAlign w:val="center"/>
          </w:tcPr>
          <w:p w14:paraId="50625744" w14:textId="77777777" w:rsidR="00454A29" w:rsidRDefault="00454A29">
            <w:pPr>
              <w:pStyle w:val="ConsPlusNormal"/>
              <w:jc w:val="center"/>
            </w:pPr>
            <w:r>
              <w:t>2021</w:t>
            </w:r>
          </w:p>
        </w:tc>
        <w:tc>
          <w:tcPr>
            <w:tcW w:w="1417" w:type="dxa"/>
            <w:vMerge/>
          </w:tcPr>
          <w:p w14:paraId="67BA9FFF" w14:textId="77777777" w:rsidR="00454A29" w:rsidRDefault="00454A29"/>
        </w:tc>
        <w:tc>
          <w:tcPr>
            <w:tcW w:w="2204" w:type="dxa"/>
            <w:vMerge/>
          </w:tcPr>
          <w:p w14:paraId="7D98E0BC" w14:textId="77777777" w:rsidR="00454A29" w:rsidRDefault="00454A29"/>
        </w:tc>
        <w:tc>
          <w:tcPr>
            <w:tcW w:w="1417" w:type="dxa"/>
            <w:vMerge/>
          </w:tcPr>
          <w:p w14:paraId="6CF28A19" w14:textId="77777777" w:rsidR="00454A29" w:rsidRDefault="00454A29"/>
        </w:tc>
        <w:tc>
          <w:tcPr>
            <w:tcW w:w="2324" w:type="dxa"/>
            <w:vMerge/>
          </w:tcPr>
          <w:p w14:paraId="2FA8E063" w14:textId="77777777" w:rsidR="00454A29" w:rsidRDefault="00454A29"/>
        </w:tc>
        <w:tc>
          <w:tcPr>
            <w:tcW w:w="1701" w:type="dxa"/>
            <w:vAlign w:val="center"/>
          </w:tcPr>
          <w:p w14:paraId="7CB500D1" w14:textId="77777777" w:rsidR="00454A29" w:rsidRDefault="00454A29">
            <w:pPr>
              <w:pStyle w:val="ConsPlusNormal"/>
              <w:jc w:val="center"/>
            </w:pPr>
            <w:r>
              <w:t>-</w:t>
            </w:r>
          </w:p>
        </w:tc>
        <w:tc>
          <w:tcPr>
            <w:tcW w:w="1814" w:type="dxa"/>
            <w:vAlign w:val="center"/>
          </w:tcPr>
          <w:p w14:paraId="46ED3D5F" w14:textId="77777777" w:rsidR="00454A29" w:rsidRDefault="00454A29">
            <w:pPr>
              <w:pStyle w:val="ConsPlusNormal"/>
            </w:pPr>
          </w:p>
        </w:tc>
        <w:tc>
          <w:tcPr>
            <w:tcW w:w="1701" w:type="dxa"/>
            <w:vAlign w:val="center"/>
          </w:tcPr>
          <w:p w14:paraId="165851A3" w14:textId="77777777" w:rsidR="00454A29" w:rsidRDefault="00454A29">
            <w:pPr>
              <w:pStyle w:val="ConsPlusNormal"/>
            </w:pPr>
          </w:p>
        </w:tc>
        <w:tc>
          <w:tcPr>
            <w:tcW w:w="1701" w:type="dxa"/>
            <w:vAlign w:val="center"/>
          </w:tcPr>
          <w:p w14:paraId="554091D0" w14:textId="77777777" w:rsidR="00454A29" w:rsidRDefault="00454A29">
            <w:pPr>
              <w:pStyle w:val="ConsPlusNormal"/>
            </w:pPr>
          </w:p>
        </w:tc>
        <w:tc>
          <w:tcPr>
            <w:tcW w:w="1814" w:type="dxa"/>
            <w:vAlign w:val="center"/>
          </w:tcPr>
          <w:p w14:paraId="2926A9DD" w14:textId="77777777" w:rsidR="00454A29" w:rsidRDefault="00454A29">
            <w:pPr>
              <w:pStyle w:val="ConsPlusNormal"/>
            </w:pPr>
          </w:p>
        </w:tc>
      </w:tr>
      <w:tr w:rsidR="00454A29" w14:paraId="52A645AA" w14:textId="77777777">
        <w:tc>
          <w:tcPr>
            <w:tcW w:w="567" w:type="dxa"/>
            <w:vMerge/>
          </w:tcPr>
          <w:p w14:paraId="396A8336" w14:textId="77777777" w:rsidR="00454A29" w:rsidRDefault="00454A29"/>
        </w:tc>
        <w:tc>
          <w:tcPr>
            <w:tcW w:w="3345" w:type="dxa"/>
            <w:vMerge/>
          </w:tcPr>
          <w:p w14:paraId="4638787F" w14:textId="77777777" w:rsidR="00454A29" w:rsidRDefault="00454A29"/>
        </w:tc>
        <w:tc>
          <w:tcPr>
            <w:tcW w:w="1701" w:type="dxa"/>
            <w:vAlign w:val="center"/>
          </w:tcPr>
          <w:p w14:paraId="7F737DB8" w14:textId="77777777" w:rsidR="00454A29" w:rsidRDefault="00454A29">
            <w:pPr>
              <w:pStyle w:val="ConsPlusNormal"/>
              <w:jc w:val="center"/>
            </w:pPr>
            <w:r>
              <w:t>2022</w:t>
            </w:r>
          </w:p>
        </w:tc>
        <w:tc>
          <w:tcPr>
            <w:tcW w:w="1417" w:type="dxa"/>
            <w:vMerge/>
          </w:tcPr>
          <w:p w14:paraId="0CAAF708" w14:textId="77777777" w:rsidR="00454A29" w:rsidRDefault="00454A29"/>
        </w:tc>
        <w:tc>
          <w:tcPr>
            <w:tcW w:w="2204" w:type="dxa"/>
            <w:vMerge/>
          </w:tcPr>
          <w:p w14:paraId="15D392B3" w14:textId="77777777" w:rsidR="00454A29" w:rsidRDefault="00454A29"/>
        </w:tc>
        <w:tc>
          <w:tcPr>
            <w:tcW w:w="1417" w:type="dxa"/>
            <w:vMerge/>
          </w:tcPr>
          <w:p w14:paraId="70AF979E" w14:textId="77777777" w:rsidR="00454A29" w:rsidRDefault="00454A29"/>
        </w:tc>
        <w:tc>
          <w:tcPr>
            <w:tcW w:w="2324" w:type="dxa"/>
            <w:vMerge/>
          </w:tcPr>
          <w:p w14:paraId="1B588A40" w14:textId="77777777" w:rsidR="00454A29" w:rsidRDefault="00454A29"/>
        </w:tc>
        <w:tc>
          <w:tcPr>
            <w:tcW w:w="1701" w:type="dxa"/>
            <w:vAlign w:val="center"/>
          </w:tcPr>
          <w:p w14:paraId="2EBC8AD9" w14:textId="77777777" w:rsidR="00454A29" w:rsidRDefault="00454A29">
            <w:pPr>
              <w:pStyle w:val="ConsPlusNormal"/>
            </w:pPr>
          </w:p>
        </w:tc>
        <w:tc>
          <w:tcPr>
            <w:tcW w:w="1814" w:type="dxa"/>
            <w:vAlign w:val="center"/>
          </w:tcPr>
          <w:p w14:paraId="12277942" w14:textId="77777777" w:rsidR="00454A29" w:rsidRDefault="00454A29">
            <w:pPr>
              <w:pStyle w:val="ConsPlusNormal"/>
            </w:pPr>
          </w:p>
        </w:tc>
        <w:tc>
          <w:tcPr>
            <w:tcW w:w="1701" w:type="dxa"/>
            <w:vAlign w:val="center"/>
          </w:tcPr>
          <w:p w14:paraId="0F6384F6" w14:textId="77777777" w:rsidR="00454A29" w:rsidRDefault="00454A29">
            <w:pPr>
              <w:pStyle w:val="ConsPlusNormal"/>
            </w:pPr>
          </w:p>
        </w:tc>
        <w:tc>
          <w:tcPr>
            <w:tcW w:w="1701" w:type="dxa"/>
            <w:vAlign w:val="center"/>
          </w:tcPr>
          <w:p w14:paraId="77F09CBE" w14:textId="77777777" w:rsidR="00454A29" w:rsidRDefault="00454A29">
            <w:pPr>
              <w:pStyle w:val="ConsPlusNormal"/>
            </w:pPr>
          </w:p>
        </w:tc>
        <w:tc>
          <w:tcPr>
            <w:tcW w:w="1814" w:type="dxa"/>
            <w:vAlign w:val="center"/>
          </w:tcPr>
          <w:p w14:paraId="64BA1AE2" w14:textId="77777777" w:rsidR="00454A29" w:rsidRDefault="00454A29">
            <w:pPr>
              <w:pStyle w:val="ConsPlusNormal"/>
            </w:pPr>
          </w:p>
        </w:tc>
      </w:tr>
      <w:tr w:rsidR="00454A29" w14:paraId="4797D4AA" w14:textId="77777777">
        <w:tc>
          <w:tcPr>
            <w:tcW w:w="567" w:type="dxa"/>
            <w:vMerge/>
          </w:tcPr>
          <w:p w14:paraId="4FCB645F" w14:textId="77777777" w:rsidR="00454A29" w:rsidRDefault="00454A29"/>
        </w:tc>
        <w:tc>
          <w:tcPr>
            <w:tcW w:w="3345" w:type="dxa"/>
            <w:vMerge/>
          </w:tcPr>
          <w:p w14:paraId="48D673A4" w14:textId="77777777" w:rsidR="00454A29" w:rsidRDefault="00454A29"/>
        </w:tc>
        <w:tc>
          <w:tcPr>
            <w:tcW w:w="1701" w:type="dxa"/>
            <w:vAlign w:val="center"/>
          </w:tcPr>
          <w:p w14:paraId="661F4054" w14:textId="77777777" w:rsidR="00454A29" w:rsidRDefault="00454A29">
            <w:pPr>
              <w:pStyle w:val="ConsPlusNormal"/>
              <w:jc w:val="center"/>
            </w:pPr>
            <w:r>
              <w:t>2023</w:t>
            </w:r>
          </w:p>
        </w:tc>
        <w:tc>
          <w:tcPr>
            <w:tcW w:w="1417" w:type="dxa"/>
            <w:vMerge/>
          </w:tcPr>
          <w:p w14:paraId="57F3C9FB" w14:textId="77777777" w:rsidR="00454A29" w:rsidRDefault="00454A29"/>
        </w:tc>
        <w:tc>
          <w:tcPr>
            <w:tcW w:w="2204" w:type="dxa"/>
            <w:vMerge/>
          </w:tcPr>
          <w:p w14:paraId="3E987880" w14:textId="77777777" w:rsidR="00454A29" w:rsidRDefault="00454A29"/>
        </w:tc>
        <w:tc>
          <w:tcPr>
            <w:tcW w:w="1417" w:type="dxa"/>
            <w:vMerge/>
          </w:tcPr>
          <w:p w14:paraId="7A53A9ED" w14:textId="77777777" w:rsidR="00454A29" w:rsidRDefault="00454A29"/>
        </w:tc>
        <w:tc>
          <w:tcPr>
            <w:tcW w:w="2324" w:type="dxa"/>
            <w:vMerge/>
          </w:tcPr>
          <w:p w14:paraId="76AAEAB8" w14:textId="77777777" w:rsidR="00454A29" w:rsidRDefault="00454A29"/>
        </w:tc>
        <w:tc>
          <w:tcPr>
            <w:tcW w:w="1701" w:type="dxa"/>
            <w:vAlign w:val="center"/>
          </w:tcPr>
          <w:p w14:paraId="15FB9E57" w14:textId="77777777" w:rsidR="00454A29" w:rsidRDefault="00454A29">
            <w:pPr>
              <w:pStyle w:val="ConsPlusNormal"/>
              <w:jc w:val="center"/>
            </w:pPr>
            <w:r>
              <w:t>31 358,16</w:t>
            </w:r>
          </w:p>
        </w:tc>
        <w:tc>
          <w:tcPr>
            <w:tcW w:w="1814" w:type="dxa"/>
            <w:vAlign w:val="center"/>
          </w:tcPr>
          <w:p w14:paraId="70F62F11" w14:textId="77777777" w:rsidR="00454A29" w:rsidRDefault="00454A29">
            <w:pPr>
              <w:pStyle w:val="ConsPlusNormal"/>
              <w:jc w:val="center"/>
            </w:pPr>
            <w:r>
              <w:t>31 358,16</w:t>
            </w:r>
          </w:p>
        </w:tc>
        <w:tc>
          <w:tcPr>
            <w:tcW w:w="1701" w:type="dxa"/>
            <w:vAlign w:val="center"/>
          </w:tcPr>
          <w:p w14:paraId="2F78999C" w14:textId="77777777" w:rsidR="00454A29" w:rsidRDefault="00454A29">
            <w:pPr>
              <w:pStyle w:val="ConsPlusNormal"/>
            </w:pPr>
          </w:p>
        </w:tc>
        <w:tc>
          <w:tcPr>
            <w:tcW w:w="1701" w:type="dxa"/>
            <w:vAlign w:val="center"/>
          </w:tcPr>
          <w:p w14:paraId="40A9C805" w14:textId="77777777" w:rsidR="00454A29" w:rsidRDefault="00454A29">
            <w:pPr>
              <w:pStyle w:val="ConsPlusNormal"/>
            </w:pPr>
          </w:p>
        </w:tc>
        <w:tc>
          <w:tcPr>
            <w:tcW w:w="1814" w:type="dxa"/>
            <w:vAlign w:val="center"/>
          </w:tcPr>
          <w:p w14:paraId="4C6B3332" w14:textId="77777777" w:rsidR="00454A29" w:rsidRDefault="00454A29">
            <w:pPr>
              <w:pStyle w:val="ConsPlusNormal"/>
            </w:pPr>
          </w:p>
        </w:tc>
      </w:tr>
      <w:tr w:rsidR="00454A29" w14:paraId="5BDB2F86" w14:textId="77777777">
        <w:tc>
          <w:tcPr>
            <w:tcW w:w="567" w:type="dxa"/>
            <w:vMerge/>
          </w:tcPr>
          <w:p w14:paraId="26C64CE2" w14:textId="77777777" w:rsidR="00454A29" w:rsidRDefault="00454A29"/>
        </w:tc>
        <w:tc>
          <w:tcPr>
            <w:tcW w:w="3345" w:type="dxa"/>
            <w:vMerge/>
          </w:tcPr>
          <w:p w14:paraId="20804CC0" w14:textId="77777777" w:rsidR="00454A29" w:rsidRDefault="00454A29"/>
        </w:tc>
        <w:tc>
          <w:tcPr>
            <w:tcW w:w="1701" w:type="dxa"/>
            <w:vAlign w:val="center"/>
          </w:tcPr>
          <w:p w14:paraId="750D22A3" w14:textId="77777777" w:rsidR="00454A29" w:rsidRDefault="00454A29">
            <w:pPr>
              <w:pStyle w:val="ConsPlusNormal"/>
              <w:jc w:val="center"/>
            </w:pPr>
            <w:r>
              <w:t>2024</w:t>
            </w:r>
          </w:p>
        </w:tc>
        <w:tc>
          <w:tcPr>
            <w:tcW w:w="1417" w:type="dxa"/>
            <w:vMerge/>
          </w:tcPr>
          <w:p w14:paraId="13F6AC99" w14:textId="77777777" w:rsidR="00454A29" w:rsidRDefault="00454A29"/>
        </w:tc>
        <w:tc>
          <w:tcPr>
            <w:tcW w:w="2204" w:type="dxa"/>
            <w:vMerge/>
          </w:tcPr>
          <w:p w14:paraId="794813EA" w14:textId="77777777" w:rsidR="00454A29" w:rsidRDefault="00454A29"/>
        </w:tc>
        <w:tc>
          <w:tcPr>
            <w:tcW w:w="1417" w:type="dxa"/>
            <w:vMerge/>
          </w:tcPr>
          <w:p w14:paraId="5D30E9E6" w14:textId="77777777" w:rsidR="00454A29" w:rsidRDefault="00454A29"/>
        </w:tc>
        <w:tc>
          <w:tcPr>
            <w:tcW w:w="2324" w:type="dxa"/>
            <w:vMerge/>
          </w:tcPr>
          <w:p w14:paraId="3889F9FE" w14:textId="77777777" w:rsidR="00454A29" w:rsidRDefault="00454A29"/>
        </w:tc>
        <w:tc>
          <w:tcPr>
            <w:tcW w:w="1701" w:type="dxa"/>
            <w:vAlign w:val="center"/>
          </w:tcPr>
          <w:p w14:paraId="20484C28" w14:textId="77777777" w:rsidR="00454A29" w:rsidRDefault="00454A29">
            <w:pPr>
              <w:pStyle w:val="ConsPlusNormal"/>
              <w:jc w:val="center"/>
            </w:pPr>
            <w:r>
              <w:t>42 295,58</w:t>
            </w:r>
          </w:p>
        </w:tc>
        <w:tc>
          <w:tcPr>
            <w:tcW w:w="1814" w:type="dxa"/>
            <w:vAlign w:val="center"/>
          </w:tcPr>
          <w:p w14:paraId="109E6DEE" w14:textId="77777777" w:rsidR="00454A29" w:rsidRDefault="00454A29">
            <w:pPr>
              <w:pStyle w:val="ConsPlusNormal"/>
              <w:jc w:val="center"/>
            </w:pPr>
            <w:r>
              <w:t>42 295,58</w:t>
            </w:r>
          </w:p>
        </w:tc>
        <w:tc>
          <w:tcPr>
            <w:tcW w:w="1701" w:type="dxa"/>
            <w:vAlign w:val="center"/>
          </w:tcPr>
          <w:p w14:paraId="28EBFD4F" w14:textId="77777777" w:rsidR="00454A29" w:rsidRDefault="00454A29">
            <w:pPr>
              <w:pStyle w:val="ConsPlusNormal"/>
            </w:pPr>
          </w:p>
        </w:tc>
        <w:tc>
          <w:tcPr>
            <w:tcW w:w="1701" w:type="dxa"/>
            <w:vAlign w:val="center"/>
          </w:tcPr>
          <w:p w14:paraId="00617BDF" w14:textId="77777777" w:rsidR="00454A29" w:rsidRDefault="00454A29">
            <w:pPr>
              <w:pStyle w:val="ConsPlusNormal"/>
            </w:pPr>
          </w:p>
        </w:tc>
        <w:tc>
          <w:tcPr>
            <w:tcW w:w="1814" w:type="dxa"/>
            <w:vAlign w:val="center"/>
          </w:tcPr>
          <w:p w14:paraId="36D9C805" w14:textId="77777777" w:rsidR="00454A29" w:rsidRDefault="00454A29">
            <w:pPr>
              <w:pStyle w:val="ConsPlusNormal"/>
            </w:pPr>
          </w:p>
        </w:tc>
      </w:tr>
      <w:tr w:rsidR="00454A29" w14:paraId="2716356E" w14:textId="77777777">
        <w:tc>
          <w:tcPr>
            <w:tcW w:w="567" w:type="dxa"/>
            <w:vMerge/>
          </w:tcPr>
          <w:p w14:paraId="02BB0964" w14:textId="77777777" w:rsidR="00454A29" w:rsidRDefault="00454A29"/>
        </w:tc>
        <w:tc>
          <w:tcPr>
            <w:tcW w:w="3345" w:type="dxa"/>
            <w:vMerge/>
          </w:tcPr>
          <w:p w14:paraId="5C63EF68" w14:textId="77777777" w:rsidR="00454A29" w:rsidRDefault="00454A29"/>
        </w:tc>
        <w:tc>
          <w:tcPr>
            <w:tcW w:w="1701" w:type="dxa"/>
            <w:vAlign w:val="center"/>
          </w:tcPr>
          <w:p w14:paraId="00E45DD3" w14:textId="77777777" w:rsidR="00454A29" w:rsidRDefault="00454A29">
            <w:pPr>
              <w:pStyle w:val="ConsPlusNormal"/>
              <w:jc w:val="center"/>
            </w:pPr>
            <w:r>
              <w:t>2025</w:t>
            </w:r>
          </w:p>
        </w:tc>
        <w:tc>
          <w:tcPr>
            <w:tcW w:w="1417" w:type="dxa"/>
            <w:vMerge/>
          </w:tcPr>
          <w:p w14:paraId="53F0277E" w14:textId="77777777" w:rsidR="00454A29" w:rsidRDefault="00454A29"/>
        </w:tc>
        <w:tc>
          <w:tcPr>
            <w:tcW w:w="2204" w:type="dxa"/>
            <w:vMerge/>
          </w:tcPr>
          <w:p w14:paraId="3F27DD53" w14:textId="77777777" w:rsidR="00454A29" w:rsidRDefault="00454A29"/>
        </w:tc>
        <w:tc>
          <w:tcPr>
            <w:tcW w:w="1417" w:type="dxa"/>
            <w:vMerge/>
          </w:tcPr>
          <w:p w14:paraId="77628234" w14:textId="77777777" w:rsidR="00454A29" w:rsidRDefault="00454A29"/>
        </w:tc>
        <w:tc>
          <w:tcPr>
            <w:tcW w:w="2324" w:type="dxa"/>
            <w:vMerge/>
          </w:tcPr>
          <w:p w14:paraId="192A08EB" w14:textId="77777777" w:rsidR="00454A29" w:rsidRDefault="00454A29"/>
        </w:tc>
        <w:tc>
          <w:tcPr>
            <w:tcW w:w="1701" w:type="dxa"/>
            <w:vAlign w:val="center"/>
          </w:tcPr>
          <w:p w14:paraId="7CA4D4F1" w14:textId="77777777" w:rsidR="00454A29" w:rsidRDefault="00454A29">
            <w:pPr>
              <w:pStyle w:val="ConsPlusNormal"/>
              <w:jc w:val="center"/>
            </w:pPr>
            <w:r>
              <w:t>-</w:t>
            </w:r>
          </w:p>
        </w:tc>
        <w:tc>
          <w:tcPr>
            <w:tcW w:w="1814" w:type="dxa"/>
            <w:vAlign w:val="center"/>
          </w:tcPr>
          <w:p w14:paraId="5A8A1CE2" w14:textId="77777777" w:rsidR="00454A29" w:rsidRDefault="00454A29">
            <w:pPr>
              <w:pStyle w:val="ConsPlusNormal"/>
            </w:pPr>
          </w:p>
        </w:tc>
        <w:tc>
          <w:tcPr>
            <w:tcW w:w="1701" w:type="dxa"/>
            <w:vAlign w:val="center"/>
          </w:tcPr>
          <w:p w14:paraId="7F82E356" w14:textId="77777777" w:rsidR="00454A29" w:rsidRDefault="00454A29">
            <w:pPr>
              <w:pStyle w:val="ConsPlusNormal"/>
            </w:pPr>
          </w:p>
        </w:tc>
        <w:tc>
          <w:tcPr>
            <w:tcW w:w="1701" w:type="dxa"/>
            <w:vAlign w:val="center"/>
          </w:tcPr>
          <w:p w14:paraId="5B586742" w14:textId="77777777" w:rsidR="00454A29" w:rsidRDefault="00454A29">
            <w:pPr>
              <w:pStyle w:val="ConsPlusNormal"/>
            </w:pPr>
          </w:p>
        </w:tc>
        <w:tc>
          <w:tcPr>
            <w:tcW w:w="1814" w:type="dxa"/>
            <w:vAlign w:val="center"/>
          </w:tcPr>
          <w:p w14:paraId="697E231E" w14:textId="77777777" w:rsidR="00454A29" w:rsidRDefault="00454A29">
            <w:pPr>
              <w:pStyle w:val="ConsPlusNormal"/>
            </w:pPr>
          </w:p>
        </w:tc>
      </w:tr>
      <w:tr w:rsidR="00454A29" w14:paraId="4C675EFA" w14:textId="77777777">
        <w:tc>
          <w:tcPr>
            <w:tcW w:w="567" w:type="dxa"/>
            <w:vMerge/>
          </w:tcPr>
          <w:p w14:paraId="1A0C7649" w14:textId="77777777" w:rsidR="00454A29" w:rsidRDefault="00454A29"/>
        </w:tc>
        <w:tc>
          <w:tcPr>
            <w:tcW w:w="3345" w:type="dxa"/>
            <w:vMerge/>
          </w:tcPr>
          <w:p w14:paraId="6B228045" w14:textId="77777777" w:rsidR="00454A29" w:rsidRDefault="00454A29"/>
        </w:tc>
        <w:tc>
          <w:tcPr>
            <w:tcW w:w="1701" w:type="dxa"/>
            <w:vAlign w:val="center"/>
          </w:tcPr>
          <w:p w14:paraId="259FC849" w14:textId="77777777" w:rsidR="00454A29" w:rsidRDefault="00454A29">
            <w:pPr>
              <w:pStyle w:val="ConsPlusNormal"/>
              <w:jc w:val="center"/>
            </w:pPr>
            <w:r>
              <w:t>2026</w:t>
            </w:r>
          </w:p>
        </w:tc>
        <w:tc>
          <w:tcPr>
            <w:tcW w:w="1417" w:type="dxa"/>
            <w:vMerge/>
          </w:tcPr>
          <w:p w14:paraId="7DD35DAD" w14:textId="77777777" w:rsidR="00454A29" w:rsidRDefault="00454A29"/>
        </w:tc>
        <w:tc>
          <w:tcPr>
            <w:tcW w:w="2204" w:type="dxa"/>
            <w:vMerge/>
          </w:tcPr>
          <w:p w14:paraId="30BDA8CA" w14:textId="77777777" w:rsidR="00454A29" w:rsidRDefault="00454A29"/>
        </w:tc>
        <w:tc>
          <w:tcPr>
            <w:tcW w:w="1417" w:type="dxa"/>
            <w:vMerge/>
          </w:tcPr>
          <w:p w14:paraId="7701196F" w14:textId="77777777" w:rsidR="00454A29" w:rsidRDefault="00454A29"/>
        </w:tc>
        <w:tc>
          <w:tcPr>
            <w:tcW w:w="2324" w:type="dxa"/>
            <w:vMerge/>
          </w:tcPr>
          <w:p w14:paraId="00399F2E" w14:textId="77777777" w:rsidR="00454A29" w:rsidRDefault="00454A29"/>
        </w:tc>
        <w:tc>
          <w:tcPr>
            <w:tcW w:w="1701" w:type="dxa"/>
            <w:vAlign w:val="center"/>
          </w:tcPr>
          <w:p w14:paraId="3D9C51E5" w14:textId="77777777" w:rsidR="00454A29" w:rsidRDefault="00454A29">
            <w:pPr>
              <w:pStyle w:val="ConsPlusNormal"/>
              <w:jc w:val="center"/>
            </w:pPr>
            <w:r>
              <w:t>-</w:t>
            </w:r>
          </w:p>
        </w:tc>
        <w:tc>
          <w:tcPr>
            <w:tcW w:w="1814" w:type="dxa"/>
            <w:vAlign w:val="center"/>
          </w:tcPr>
          <w:p w14:paraId="30FEA226" w14:textId="77777777" w:rsidR="00454A29" w:rsidRDefault="00454A29">
            <w:pPr>
              <w:pStyle w:val="ConsPlusNormal"/>
            </w:pPr>
          </w:p>
        </w:tc>
        <w:tc>
          <w:tcPr>
            <w:tcW w:w="1701" w:type="dxa"/>
            <w:vAlign w:val="center"/>
          </w:tcPr>
          <w:p w14:paraId="339F5982" w14:textId="77777777" w:rsidR="00454A29" w:rsidRDefault="00454A29">
            <w:pPr>
              <w:pStyle w:val="ConsPlusNormal"/>
            </w:pPr>
          </w:p>
        </w:tc>
        <w:tc>
          <w:tcPr>
            <w:tcW w:w="1701" w:type="dxa"/>
            <w:vAlign w:val="center"/>
          </w:tcPr>
          <w:p w14:paraId="03399191" w14:textId="77777777" w:rsidR="00454A29" w:rsidRDefault="00454A29">
            <w:pPr>
              <w:pStyle w:val="ConsPlusNormal"/>
            </w:pPr>
          </w:p>
        </w:tc>
        <w:tc>
          <w:tcPr>
            <w:tcW w:w="1814" w:type="dxa"/>
            <w:vAlign w:val="center"/>
          </w:tcPr>
          <w:p w14:paraId="52922A23" w14:textId="77777777" w:rsidR="00454A29" w:rsidRDefault="00454A29">
            <w:pPr>
              <w:pStyle w:val="ConsPlusNormal"/>
            </w:pPr>
          </w:p>
        </w:tc>
      </w:tr>
      <w:tr w:rsidR="00454A29" w14:paraId="6DD29BE0" w14:textId="77777777">
        <w:tc>
          <w:tcPr>
            <w:tcW w:w="567" w:type="dxa"/>
            <w:vMerge w:val="restart"/>
            <w:vAlign w:val="center"/>
          </w:tcPr>
          <w:p w14:paraId="34B37AA2" w14:textId="77777777" w:rsidR="00454A29" w:rsidRDefault="00454A29">
            <w:pPr>
              <w:pStyle w:val="ConsPlusNormal"/>
              <w:jc w:val="center"/>
            </w:pPr>
            <w:r>
              <w:t>49</w:t>
            </w:r>
          </w:p>
        </w:tc>
        <w:tc>
          <w:tcPr>
            <w:tcW w:w="3345" w:type="dxa"/>
            <w:vMerge w:val="restart"/>
            <w:vAlign w:val="center"/>
          </w:tcPr>
          <w:p w14:paraId="64745C36" w14:textId="77777777" w:rsidR="00454A29" w:rsidRDefault="00454A29">
            <w:pPr>
              <w:pStyle w:val="ConsPlusNormal"/>
              <w:jc w:val="center"/>
            </w:pPr>
            <w:r>
              <w:t>Детский сад на 50 мест в с. Колымское Нижнеколымского улуса</w:t>
            </w:r>
          </w:p>
        </w:tc>
        <w:tc>
          <w:tcPr>
            <w:tcW w:w="1701" w:type="dxa"/>
            <w:vAlign w:val="center"/>
          </w:tcPr>
          <w:p w14:paraId="5F0268C5" w14:textId="77777777" w:rsidR="00454A29" w:rsidRDefault="00454A29">
            <w:pPr>
              <w:pStyle w:val="ConsPlusNormal"/>
              <w:jc w:val="center"/>
            </w:pPr>
            <w:r>
              <w:t>2020 - 2026 годы - всего</w:t>
            </w:r>
          </w:p>
        </w:tc>
        <w:tc>
          <w:tcPr>
            <w:tcW w:w="1417" w:type="dxa"/>
            <w:vMerge w:val="restart"/>
            <w:vAlign w:val="center"/>
          </w:tcPr>
          <w:p w14:paraId="7A7A2FA5" w14:textId="77777777" w:rsidR="00454A29" w:rsidRDefault="00454A29">
            <w:pPr>
              <w:pStyle w:val="ConsPlusNormal"/>
              <w:jc w:val="center"/>
            </w:pPr>
            <w:r>
              <w:t>84 788,99</w:t>
            </w:r>
          </w:p>
        </w:tc>
        <w:tc>
          <w:tcPr>
            <w:tcW w:w="2204" w:type="dxa"/>
            <w:vMerge w:val="restart"/>
            <w:vAlign w:val="center"/>
          </w:tcPr>
          <w:p w14:paraId="3C82C43A" w14:textId="77777777" w:rsidR="00454A29" w:rsidRDefault="00454A29">
            <w:pPr>
              <w:pStyle w:val="ConsPlusNormal"/>
            </w:pPr>
          </w:p>
        </w:tc>
        <w:tc>
          <w:tcPr>
            <w:tcW w:w="1417" w:type="dxa"/>
            <w:vMerge w:val="restart"/>
            <w:vAlign w:val="center"/>
          </w:tcPr>
          <w:p w14:paraId="7FAEC580" w14:textId="77777777" w:rsidR="00454A29" w:rsidRDefault="00454A29">
            <w:pPr>
              <w:pStyle w:val="ConsPlusNormal"/>
              <w:jc w:val="center"/>
            </w:pPr>
            <w:r>
              <w:t>50</w:t>
            </w:r>
          </w:p>
        </w:tc>
        <w:tc>
          <w:tcPr>
            <w:tcW w:w="2324" w:type="dxa"/>
            <w:vMerge w:val="restart"/>
            <w:vAlign w:val="center"/>
          </w:tcPr>
          <w:p w14:paraId="6EDBB6EF" w14:textId="77777777" w:rsidR="00454A29" w:rsidRDefault="00454A29">
            <w:pPr>
              <w:pStyle w:val="ConsPlusNormal"/>
              <w:jc w:val="center"/>
            </w:pPr>
            <w:r>
              <w:t>Минстрой РС(Я), МР "Нижнеколымский улус"</w:t>
            </w:r>
          </w:p>
        </w:tc>
        <w:tc>
          <w:tcPr>
            <w:tcW w:w="1701" w:type="dxa"/>
            <w:vAlign w:val="center"/>
          </w:tcPr>
          <w:p w14:paraId="7E05DD57" w14:textId="77777777" w:rsidR="00454A29" w:rsidRDefault="00454A29">
            <w:pPr>
              <w:pStyle w:val="ConsPlusNormal"/>
              <w:jc w:val="center"/>
            </w:pPr>
            <w:r>
              <w:t>49 389,59</w:t>
            </w:r>
          </w:p>
        </w:tc>
        <w:tc>
          <w:tcPr>
            <w:tcW w:w="1814" w:type="dxa"/>
            <w:vAlign w:val="center"/>
          </w:tcPr>
          <w:p w14:paraId="42094FD0" w14:textId="77777777" w:rsidR="00454A29" w:rsidRDefault="00454A29">
            <w:pPr>
              <w:pStyle w:val="ConsPlusNormal"/>
              <w:jc w:val="center"/>
            </w:pPr>
            <w:r>
              <w:t>84 788,99</w:t>
            </w:r>
          </w:p>
        </w:tc>
        <w:tc>
          <w:tcPr>
            <w:tcW w:w="1701" w:type="dxa"/>
            <w:vAlign w:val="center"/>
          </w:tcPr>
          <w:p w14:paraId="7A47A61E" w14:textId="77777777" w:rsidR="00454A29" w:rsidRDefault="00454A29">
            <w:pPr>
              <w:pStyle w:val="ConsPlusNormal"/>
              <w:jc w:val="center"/>
            </w:pPr>
            <w:r>
              <w:t>-</w:t>
            </w:r>
          </w:p>
        </w:tc>
        <w:tc>
          <w:tcPr>
            <w:tcW w:w="1701" w:type="dxa"/>
            <w:vAlign w:val="center"/>
          </w:tcPr>
          <w:p w14:paraId="29BCB8A6" w14:textId="77777777" w:rsidR="00454A29" w:rsidRDefault="00454A29">
            <w:pPr>
              <w:pStyle w:val="ConsPlusNormal"/>
              <w:jc w:val="center"/>
            </w:pPr>
            <w:r>
              <w:t>-</w:t>
            </w:r>
          </w:p>
        </w:tc>
        <w:tc>
          <w:tcPr>
            <w:tcW w:w="1814" w:type="dxa"/>
            <w:vAlign w:val="center"/>
          </w:tcPr>
          <w:p w14:paraId="48047393" w14:textId="77777777" w:rsidR="00454A29" w:rsidRDefault="00454A29">
            <w:pPr>
              <w:pStyle w:val="ConsPlusNormal"/>
              <w:jc w:val="center"/>
            </w:pPr>
            <w:r>
              <w:t>-</w:t>
            </w:r>
          </w:p>
        </w:tc>
      </w:tr>
      <w:tr w:rsidR="00454A29" w14:paraId="097ABF68" w14:textId="77777777">
        <w:tc>
          <w:tcPr>
            <w:tcW w:w="567" w:type="dxa"/>
            <w:vMerge/>
          </w:tcPr>
          <w:p w14:paraId="43B2D989" w14:textId="77777777" w:rsidR="00454A29" w:rsidRDefault="00454A29"/>
        </w:tc>
        <w:tc>
          <w:tcPr>
            <w:tcW w:w="3345" w:type="dxa"/>
            <w:vMerge/>
          </w:tcPr>
          <w:p w14:paraId="3F502BAB" w14:textId="77777777" w:rsidR="00454A29" w:rsidRDefault="00454A29"/>
        </w:tc>
        <w:tc>
          <w:tcPr>
            <w:tcW w:w="1701" w:type="dxa"/>
            <w:vAlign w:val="center"/>
          </w:tcPr>
          <w:p w14:paraId="01A8233B" w14:textId="77777777" w:rsidR="00454A29" w:rsidRDefault="00454A29">
            <w:pPr>
              <w:pStyle w:val="ConsPlusNormal"/>
              <w:jc w:val="center"/>
            </w:pPr>
            <w:r>
              <w:t>2020</w:t>
            </w:r>
          </w:p>
        </w:tc>
        <w:tc>
          <w:tcPr>
            <w:tcW w:w="1417" w:type="dxa"/>
            <w:vMerge/>
          </w:tcPr>
          <w:p w14:paraId="2A5C3553" w14:textId="77777777" w:rsidR="00454A29" w:rsidRDefault="00454A29"/>
        </w:tc>
        <w:tc>
          <w:tcPr>
            <w:tcW w:w="2204" w:type="dxa"/>
            <w:vMerge/>
          </w:tcPr>
          <w:p w14:paraId="2E766F0C" w14:textId="77777777" w:rsidR="00454A29" w:rsidRDefault="00454A29"/>
        </w:tc>
        <w:tc>
          <w:tcPr>
            <w:tcW w:w="1417" w:type="dxa"/>
            <w:vMerge/>
          </w:tcPr>
          <w:p w14:paraId="108EDFB0" w14:textId="77777777" w:rsidR="00454A29" w:rsidRDefault="00454A29"/>
        </w:tc>
        <w:tc>
          <w:tcPr>
            <w:tcW w:w="2324" w:type="dxa"/>
            <w:vMerge/>
          </w:tcPr>
          <w:p w14:paraId="5428273C" w14:textId="77777777" w:rsidR="00454A29" w:rsidRDefault="00454A29"/>
        </w:tc>
        <w:tc>
          <w:tcPr>
            <w:tcW w:w="1701" w:type="dxa"/>
            <w:vAlign w:val="center"/>
          </w:tcPr>
          <w:p w14:paraId="23760526" w14:textId="77777777" w:rsidR="00454A29" w:rsidRDefault="00454A29">
            <w:pPr>
              <w:pStyle w:val="ConsPlusNormal"/>
              <w:jc w:val="center"/>
            </w:pPr>
            <w:r>
              <w:t>-</w:t>
            </w:r>
          </w:p>
        </w:tc>
        <w:tc>
          <w:tcPr>
            <w:tcW w:w="1814" w:type="dxa"/>
            <w:vAlign w:val="center"/>
          </w:tcPr>
          <w:p w14:paraId="01B04499" w14:textId="77777777" w:rsidR="00454A29" w:rsidRDefault="00454A29">
            <w:pPr>
              <w:pStyle w:val="ConsPlusNormal"/>
            </w:pPr>
          </w:p>
        </w:tc>
        <w:tc>
          <w:tcPr>
            <w:tcW w:w="1701" w:type="dxa"/>
            <w:vAlign w:val="center"/>
          </w:tcPr>
          <w:p w14:paraId="62444120" w14:textId="77777777" w:rsidR="00454A29" w:rsidRDefault="00454A29">
            <w:pPr>
              <w:pStyle w:val="ConsPlusNormal"/>
            </w:pPr>
          </w:p>
        </w:tc>
        <w:tc>
          <w:tcPr>
            <w:tcW w:w="1701" w:type="dxa"/>
            <w:vAlign w:val="center"/>
          </w:tcPr>
          <w:p w14:paraId="6F835486" w14:textId="77777777" w:rsidR="00454A29" w:rsidRDefault="00454A29">
            <w:pPr>
              <w:pStyle w:val="ConsPlusNormal"/>
            </w:pPr>
          </w:p>
        </w:tc>
        <w:tc>
          <w:tcPr>
            <w:tcW w:w="1814" w:type="dxa"/>
            <w:vAlign w:val="center"/>
          </w:tcPr>
          <w:p w14:paraId="1C4E78BE" w14:textId="77777777" w:rsidR="00454A29" w:rsidRDefault="00454A29">
            <w:pPr>
              <w:pStyle w:val="ConsPlusNormal"/>
            </w:pPr>
          </w:p>
        </w:tc>
      </w:tr>
      <w:tr w:rsidR="00454A29" w14:paraId="3AEE1AEF" w14:textId="77777777">
        <w:tc>
          <w:tcPr>
            <w:tcW w:w="567" w:type="dxa"/>
            <w:vMerge/>
          </w:tcPr>
          <w:p w14:paraId="450DBCF7" w14:textId="77777777" w:rsidR="00454A29" w:rsidRDefault="00454A29"/>
        </w:tc>
        <w:tc>
          <w:tcPr>
            <w:tcW w:w="3345" w:type="dxa"/>
            <w:vMerge/>
          </w:tcPr>
          <w:p w14:paraId="3B1734CF" w14:textId="77777777" w:rsidR="00454A29" w:rsidRDefault="00454A29"/>
        </w:tc>
        <w:tc>
          <w:tcPr>
            <w:tcW w:w="1701" w:type="dxa"/>
            <w:vAlign w:val="center"/>
          </w:tcPr>
          <w:p w14:paraId="0451C451" w14:textId="77777777" w:rsidR="00454A29" w:rsidRDefault="00454A29">
            <w:pPr>
              <w:pStyle w:val="ConsPlusNormal"/>
              <w:jc w:val="center"/>
            </w:pPr>
            <w:r>
              <w:t>2021</w:t>
            </w:r>
          </w:p>
        </w:tc>
        <w:tc>
          <w:tcPr>
            <w:tcW w:w="1417" w:type="dxa"/>
            <w:vMerge/>
          </w:tcPr>
          <w:p w14:paraId="4FE5061B" w14:textId="77777777" w:rsidR="00454A29" w:rsidRDefault="00454A29"/>
        </w:tc>
        <w:tc>
          <w:tcPr>
            <w:tcW w:w="2204" w:type="dxa"/>
            <w:vMerge/>
          </w:tcPr>
          <w:p w14:paraId="202819DE" w14:textId="77777777" w:rsidR="00454A29" w:rsidRDefault="00454A29"/>
        </w:tc>
        <w:tc>
          <w:tcPr>
            <w:tcW w:w="1417" w:type="dxa"/>
            <w:vMerge/>
          </w:tcPr>
          <w:p w14:paraId="3D752E3E" w14:textId="77777777" w:rsidR="00454A29" w:rsidRDefault="00454A29"/>
        </w:tc>
        <w:tc>
          <w:tcPr>
            <w:tcW w:w="2324" w:type="dxa"/>
            <w:vMerge/>
          </w:tcPr>
          <w:p w14:paraId="537BDD22" w14:textId="77777777" w:rsidR="00454A29" w:rsidRDefault="00454A29"/>
        </w:tc>
        <w:tc>
          <w:tcPr>
            <w:tcW w:w="1701" w:type="dxa"/>
            <w:vAlign w:val="center"/>
          </w:tcPr>
          <w:p w14:paraId="51DF4EAC" w14:textId="77777777" w:rsidR="00454A29" w:rsidRDefault="00454A29">
            <w:pPr>
              <w:pStyle w:val="ConsPlusNormal"/>
              <w:jc w:val="center"/>
            </w:pPr>
            <w:r>
              <w:t>-</w:t>
            </w:r>
          </w:p>
        </w:tc>
        <w:tc>
          <w:tcPr>
            <w:tcW w:w="1814" w:type="dxa"/>
            <w:vAlign w:val="center"/>
          </w:tcPr>
          <w:p w14:paraId="7ED9F6D8" w14:textId="77777777" w:rsidR="00454A29" w:rsidRDefault="00454A29">
            <w:pPr>
              <w:pStyle w:val="ConsPlusNormal"/>
            </w:pPr>
          </w:p>
        </w:tc>
        <w:tc>
          <w:tcPr>
            <w:tcW w:w="1701" w:type="dxa"/>
            <w:vAlign w:val="center"/>
          </w:tcPr>
          <w:p w14:paraId="0ADFBEEC" w14:textId="77777777" w:rsidR="00454A29" w:rsidRDefault="00454A29">
            <w:pPr>
              <w:pStyle w:val="ConsPlusNormal"/>
            </w:pPr>
          </w:p>
        </w:tc>
        <w:tc>
          <w:tcPr>
            <w:tcW w:w="1701" w:type="dxa"/>
            <w:vAlign w:val="center"/>
          </w:tcPr>
          <w:p w14:paraId="44AC205A" w14:textId="77777777" w:rsidR="00454A29" w:rsidRDefault="00454A29">
            <w:pPr>
              <w:pStyle w:val="ConsPlusNormal"/>
            </w:pPr>
          </w:p>
        </w:tc>
        <w:tc>
          <w:tcPr>
            <w:tcW w:w="1814" w:type="dxa"/>
            <w:vAlign w:val="center"/>
          </w:tcPr>
          <w:p w14:paraId="1A61F484" w14:textId="77777777" w:rsidR="00454A29" w:rsidRDefault="00454A29">
            <w:pPr>
              <w:pStyle w:val="ConsPlusNormal"/>
            </w:pPr>
          </w:p>
        </w:tc>
      </w:tr>
      <w:tr w:rsidR="00454A29" w14:paraId="28333ED9" w14:textId="77777777">
        <w:tc>
          <w:tcPr>
            <w:tcW w:w="567" w:type="dxa"/>
            <w:vMerge/>
          </w:tcPr>
          <w:p w14:paraId="5B8C1864" w14:textId="77777777" w:rsidR="00454A29" w:rsidRDefault="00454A29"/>
        </w:tc>
        <w:tc>
          <w:tcPr>
            <w:tcW w:w="3345" w:type="dxa"/>
            <w:vMerge/>
          </w:tcPr>
          <w:p w14:paraId="28909ECE" w14:textId="77777777" w:rsidR="00454A29" w:rsidRDefault="00454A29"/>
        </w:tc>
        <w:tc>
          <w:tcPr>
            <w:tcW w:w="1701" w:type="dxa"/>
            <w:vAlign w:val="center"/>
          </w:tcPr>
          <w:p w14:paraId="4F28FC95" w14:textId="77777777" w:rsidR="00454A29" w:rsidRDefault="00454A29">
            <w:pPr>
              <w:pStyle w:val="ConsPlusNormal"/>
              <w:jc w:val="center"/>
            </w:pPr>
            <w:r>
              <w:t>2022</w:t>
            </w:r>
          </w:p>
        </w:tc>
        <w:tc>
          <w:tcPr>
            <w:tcW w:w="1417" w:type="dxa"/>
            <w:vMerge/>
          </w:tcPr>
          <w:p w14:paraId="726EBF5C" w14:textId="77777777" w:rsidR="00454A29" w:rsidRDefault="00454A29"/>
        </w:tc>
        <w:tc>
          <w:tcPr>
            <w:tcW w:w="2204" w:type="dxa"/>
            <w:vMerge/>
          </w:tcPr>
          <w:p w14:paraId="1DB02775" w14:textId="77777777" w:rsidR="00454A29" w:rsidRDefault="00454A29"/>
        </w:tc>
        <w:tc>
          <w:tcPr>
            <w:tcW w:w="1417" w:type="dxa"/>
            <w:vMerge/>
          </w:tcPr>
          <w:p w14:paraId="09E670E0" w14:textId="77777777" w:rsidR="00454A29" w:rsidRDefault="00454A29"/>
        </w:tc>
        <w:tc>
          <w:tcPr>
            <w:tcW w:w="2324" w:type="dxa"/>
            <w:vMerge/>
          </w:tcPr>
          <w:p w14:paraId="6884EBC8" w14:textId="77777777" w:rsidR="00454A29" w:rsidRDefault="00454A29"/>
        </w:tc>
        <w:tc>
          <w:tcPr>
            <w:tcW w:w="1701" w:type="dxa"/>
            <w:vAlign w:val="center"/>
          </w:tcPr>
          <w:p w14:paraId="4E565084" w14:textId="77777777" w:rsidR="00454A29" w:rsidRDefault="00454A29">
            <w:pPr>
              <w:pStyle w:val="ConsPlusNormal"/>
            </w:pPr>
          </w:p>
        </w:tc>
        <w:tc>
          <w:tcPr>
            <w:tcW w:w="1814" w:type="dxa"/>
            <w:vAlign w:val="center"/>
          </w:tcPr>
          <w:p w14:paraId="605BB144" w14:textId="77777777" w:rsidR="00454A29" w:rsidRDefault="00454A29">
            <w:pPr>
              <w:pStyle w:val="ConsPlusNormal"/>
            </w:pPr>
          </w:p>
        </w:tc>
        <w:tc>
          <w:tcPr>
            <w:tcW w:w="1701" w:type="dxa"/>
            <w:vAlign w:val="center"/>
          </w:tcPr>
          <w:p w14:paraId="38AC6B53" w14:textId="77777777" w:rsidR="00454A29" w:rsidRDefault="00454A29">
            <w:pPr>
              <w:pStyle w:val="ConsPlusNormal"/>
            </w:pPr>
          </w:p>
        </w:tc>
        <w:tc>
          <w:tcPr>
            <w:tcW w:w="1701" w:type="dxa"/>
            <w:vAlign w:val="center"/>
          </w:tcPr>
          <w:p w14:paraId="499E1F07" w14:textId="77777777" w:rsidR="00454A29" w:rsidRDefault="00454A29">
            <w:pPr>
              <w:pStyle w:val="ConsPlusNormal"/>
            </w:pPr>
          </w:p>
        </w:tc>
        <w:tc>
          <w:tcPr>
            <w:tcW w:w="1814" w:type="dxa"/>
            <w:vAlign w:val="center"/>
          </w:tcPr>
          <w:p w14:paraId="52191B25" w14:textId="77777777" w:rsidR="00454A29" w:rsidRDefault="00454A29">
            <w:pPr>
              <w:pStyle w:val="ConsPlusNormal"/>
            </w:pPr>
          </w:p>
        </w:tc>
      </w:tr>
      <w:tr w:rsidR="00454A29" w14:paraId="7F969D99" w14:textId="77777777">
        <w:tc>
          <w:tcPr>
            <w:tcW w:w="567" w:type="dxa"/>
            <w:vMerge/>
          </w:tcPr>
          <w:p w14:paraId="50FECD98" w14:textId="77777777" w:rsidR="00454A29" w:rsidRDefault="00454A29"/>
        </w:tc>
        <w:tc>
          <w:tcPr>
            <w:tcW w:w="3345" w:type="dxa"/>
            <w:vMerge/>
          </w:tcPr>
          <w:p w14:paraId="5A2213FD" w14:textId="77777777" w:rsidR="00454A29" w:rsidRDefault="00454A29"/>
        </w:tc>
        <w:tc>
          <w:tcPr>
            <w:tcW w:w="1701" w:type="dxa"/>
            <w:vAlign w:val="center"/>
          </w:tcPr>
          <w:p w14:paraId="6865AD98" w14:textId="77777777" w:rsidR="00454A29" w:rsidRDefault="00454A29">
            <w:pPr>
              <w:pStyle w:val="ConsPlusNormal"/>
              <w:jc w:val="center"/>
            </w:pPr>
            <w:r>
              <w:t>2023</w:t>
            </w:r>
          </w:p>
        </w:tc>
        <w:tc>
          <w:tcPr>
            <w:tcW w:w="1417" w:type="dxa"/>
            <w:vMerge/>
          </w:tcPr>
          <w:p w14:paraId="1FC19482" w14:textId="77777777" w:rsidR="00454A29" w:rsidRDefault="00454A29"/>
        </w:tc>
        <w:tc>
          <w:tcPr>
            <w:tcW w:w="2204" w:type="dxa"/>
            <w:vMerge/>
          </w:tcPr>
          <w:p w14:paraId="606B1578" w14:textId="77777777" w:rsidR="00454A29" w:rsidRDefault="00454A29"/>
        </w:tc>
        <w:tc>
          <w:tcPr>
            <w:tcW w:w="1417" w:type="dxa"/>
            <w:vMerge/>
          </w:tcPr>
          <w:p w14:paraId="0723790F" w14:textId="77777777" w:rsidR="00454A29" w:rsidRDefault="00454A29"/>
        </w:tc>
        <w:tc>
          <w:tcPr>
            <w:tcW w:w="2324" w:type="dxa"/>
            <w:vMerge/>
          </w:tcPr>
          <w:p w14:paraId="76E7ED77" w14:textId="77777777" w:rsidR="00454A29" w:rsidRDefault="00454A29"/>
        </w:tc>
        <w:tc>
          <w:tcPr>
            <w:tcW w:w="1701" w:type="dxa"/>
            <w:vAlign w:val="center"/>
          </w:tcPr>
          <w:p w14:paraId="3A8DF733" w14:textId="77777777" w:rsidR="00454A29" w:rsidRDefault="00454A29">
            <w:pPr>
              <w:pStyle w:val="ConsPlusNormal"/>
              <w:jc w:val="center"/>
            </w:pPr>
            <w:r>
              <w:t>21 027,67</w:t>
            </w:r>
          </w:p>
        </w:tc>
        <w:tc>
          <w:tcPr>
            <w:tcW w:w="1814" w:type="dxa"/>
            <w:vAlign w:val="center"/>
          </w:tcPr>
          <w:p w14:paraId="73513ADD" w14:textId="77777777" w:rsidR="00454A29" w:rsidRDefault="00454A29">
            <w:pPr>
              <w:pStyle w:val="ConsPlusNormal"/>
              <w:jc w:val="center"/>
            </w:pPr>
            <w:r>
              <w:t>21 027,67</w:t>
            </w:r>
          </w:p>
        </w:tc>
        <w:tc>
          <w:tcPr>
            <w:tcW w:w="1701" w:type="dxa"/>
            <w:vAlign w:val="center"/>
          </w:tcPr>
          <w:p w14:paraId="0E4C1A3D" w14:textId="77777777" w:rsidR="00454A29" w:rsidRDefault="00454A29">
            <w:pPr>
              <w:pStyle w:val="ConsPlusNormal"/>
            </w:pPr>
          </w:p>
        </w:tc>
        <w:tc>
          <w:tcPr>
            <w:tcW w:w="1701" w:type="dxa"/>
            <w:vAlign w:val="center"/>
          </w:tcPr>
          <w:p w14:paraId="189743A5" w14:textId="77777777" w:rsidR="00454A29" w:rsidRDefault="00454A29">
            <w:pPr>
              <w:pStyle w:val="ConsPlusNormal"/>
            </w:pPr>
          </w:p>
        </w:tc>
        <w:tc>
          <w:tcPr>
            <w:tcW w:w="1814" w:type="dxa"/>
            <w:vAlign w:val="center"/>
          </w:tcPr>
          <w:p w14:paraId="7E0ACE3B" w14:textId="77777777" w:rsidR="00454A29" w:rsidRDefault="00454A29">
            <w:pPr>
              <w:pStyle w:val="ConsPlusNormal"/>
            </w:pPr>
          </w:p>
        </w:tc>
      </w:tr>
      <w:tr w:rsidR="00454A29" w14:paraId="409DF730" w14:textId="77777777">
        <w:tc>
          <w:tcPr>
            <w:tcW w:w="567" w:type="dxa"/>
            <w:vMerge/>
          </w:tcPr>
          <w:p w14:paraId="5028F3A3" w14:textId="77777777" w:rsidR="00454A29" w:rsidRDefault="00454A29"/>
        </w:tc>
        <w:tc>
          <w:tcPr>
            <w:tcW w:w="3345" w:type="dxa"/>
            <w:vMerge/>
          </w:tcPr>
          <w:p w14:paraId="4E179433" w14:textId="77777777" w:rsidR="00454A29" w:rsidRDefault="00454A29"/>
        </w:tc>
        <w:tc>
          <w:tcPr>
            <w:tcW w:w="1701" w:type="dxa"/>
            <w:vAlign w:val="center"/>
          </w:tcPr>
          <w:p w14:paraId="799D3626" w14:textId="77777777" w:rsidR="00454A29" w:rsidRDefault="00454A29">
            <w:pPr>
              <w:pStyle w:val="ConsPlusNormal"/>
              <w:jc w:val="center"/>
            </w:pPr>
            <w:r>
              <w:t>2024</w:t>
            </w:r>
          </w:p>
        </w:tc>
        <w:tc>
          <w:tcPr>
            <w:tcW w:w="1417" w:type="dxa"/>
            <w:vMerge/>
          </w:tcPr>
          <w:p w14:paraId="1F3356E7" w14:textId="77777777" w:rsidR="00454A29" w:rsidRDefault="00454A29"/>
        </w:tc>
        <w:tc>
          <w:tcPr>
            <w:tcW w:w="2204" w:type="dxa"/>
            <w:vMerge/>
          </w:tcPr>
          <w:p w14:paraId="0F99A294" w14:textId="77777777" w:rsidR="00454A29" w:rsidRDefault="00454A29"/>
        </w:tc>
        <w:tc>
          <w:tcPr>
            <w:tcW w:w="1417" w:type="dxa"/>
            <w:vMerge/>
          </w:tcPr>
          <w:p w14:paraId="13FEC642" w14:textId="77777777" w:rsidR="00454A29" w:rsidRDefault="00454A29"/>
        </w:tc>
        <w:tc>
          <w:tcPr>
            <w:tcW w:w="2324" w:type="dxa"/>
            <w:vMerge/>
          </w:tcPr>
          <w:p w14:paraId="30089830" w14:textId="77777777" w:rsidR="00454A29" w:rsidRDefault="00454A29"/>
        </w:tc>
        <w:tc>
          <w:tcPr>
            <w:tcW w:w="1701" w:type="dxa"/>
            <w:vAlign w:val="center"/>
          </w:tcPr>
          <w:p w14:paraId="54C3247B" w14:textId="77777777" w:rsidR="00454A29" w:rsidRDefault="00454A29">
            <w:pPr>
              <w:pStyle w:val="ConsPlusNormal"/>
              <w:jc w:val="center"/>
            </w:pPr>
            <w:r>
              <w:t>28 361,92</w:t>
            </w:r>
          </w:p>
        </w:tc>
        <w:tc>
          <w:tcPr>
            <w:tcW w:w="1814" w:type="dxa"/>
            <w:vAlign w:val="center"/>
          </w:tcPr>
          <w:p w14:paraId="5D5B619E" w14:textId="77777777" w:rsidR="00454A29" w:rsidRDefault="00454A29">
            <w:pPr>
              <w:pStyle w:val="ConsPlusNormal"/>
              <w:jc w:val="center"/>
            </w:pPr>
            <w:r>
              <w:t>28 361,92</w:t>
            </w:r>
          </w:p>
        </w:tc>
        <w:tc>
          <w:tcPr>
            <w:tcW w:w="1701" w:type="dxa"/>
            <w:vAlign w:val="center"/>
          </w:tcPr>
          <w:p w14:paraId="15BCC98F" w14:textId="77777777" w:rsidR="00454A29" w:rsidRDefault="00454A29">
            <w:pPr>
              <w:pStyle w:val="ConsPlusNormal"/>
            </w:pPr>
          </w:p>
        </w:tc>
        <w:tc>
          <w:tcPr>
            <w:tcW w:w="1701" w:type="dxa"/>
            <w:vAlign w:val="center"/>
          </w:tcPr>
          <w:p w14:paraId="068D40A7" w14:textId="77777777" w:rsidR="00454A29" w:rsidRDefault="00454A29">
            <w:pPr>
              <w:pStyle w:val="ConsPlusNormal"/>
            </w:pPr>
          </w:p>
        </w:tc>
        <w:tc>
          <w:tcPr>
            <w:tcW w:w="1814" w:type="dxa"/>
            <w:vAlign w:val="center"/>
          </w:tcPr>
          <w:p w14:paraId="73F60801" w14:textId="77777777" w:rsidR="00454A29" w:rsidRDefault="00454A29">
            <w:pPr>
              <w:pStyle w:val="ConsPlusNormal"/>
            </w:pPr>
          </w:p>
        </w:tc>
      </w:tr>
      <w:tr w:rsidR="00454A29" w14:paraId="3F203DBE" w14:textId="77777777">
        <w:tc>
          <w:tcPr>
            <w:tcW w:w="567" w:type="dxa"/>
            <w:vMerge/>
          </w:tcPr>
          <w:p w14:paraId="0720CAC7" w14:textId="77777777" w:rsidR="00454A29" w:rsidRDefault="00454A29"/>
        </w:tc>
        <w:tc>
          <w:tcPr>
            <w:tcW w:w="3345" w:type="dxa"/>
            <w:vMerge/>
          </w:tcPr>
          <w:p w14:paraId="100FDBB5" w14:textId="77777777" w:rsidR="00454A29" w:rsidRDefault="00454A29"/>
        </w:tc>
        <w:tc>
          <w:tcPr>
            <w:tcW w:w="1701" w:type="dxa"/>
            <w:vAlign w:val="center"/>
          </w:tcPr>
          <w:p w14:paraId="4B6C770F" w14:textId="77777777" w:rsidR="00454A29" w:rsidRDefault="00454A29">
            <w:pPr>
              <w:pStyle w:val="ConsPlusNormal"/>
              <w:jc w:val="center"/>
            </w:pPr>
            <w:r>
              <w:t>2025</w:t>
            </w:r>
          </w:p>
        </w:tc>
        <w:tc>
          <w:tcPr>
            <w:tcW w:w="1417" w:type="dxa"/>
            <w:vMerge/>
          </w:tcPr>
          <w:p w14:paraId="1B205F28" w14:textId="77777777" w:rsidR="00454A29" w:rsidRDefault="00454A29"/>
        </w:tc>
        <w:tc>
          <w:tcPr>
            <w:tcW w:w="2204" w:type="dxa"/>
            <w:vMerge/>
          </w:tcPr>
          <w:p w14:paraId="43EF39CD" w14:textId="77777777" w:rsidR="00454A29" w:rsidRDefault="00454A29"/>
        </w:tc>
        <w:tc>
          <w:tcPr>
            <w:tcW w:w="1417" w:type="dxa"/>
            <w:vMerge/>
          </w:tcPr>
          <w:p w14:paraId="4B89571F" w14:textId="77777777" w:rsidR="00454A29" w:rsidRDefault="00454A29"/>
        </w:tc>
        <w:tc>
          <w:tcPr>
            <w:tcW w:w="2324" w:type="dxa"/>
            <w:vMerge/>
          </w:tcPr>
          <w:p w14:paraId="6EE01E72" w14:textId="77777777" w:rsidR="00454A29" w:rsidRDefault="00454A29"/>
        </w:tc>
        <w:tc>
          <w:tcPr>
            <w:tcW w:w="1701" w:type="dxa"/>
            <w:vAlign w:val="center"/>
          </w:tcPr>
          <w:p w14:paraId="26FCE19E" w14:textId="77777777" w:rsidR="00454A29" w:rsidRDefault="00454A29">
            <w:pPr>
              <w:pStyle w:val="ConsPlusNormal"/>
              <w:jc w:val="center"/>
            </w:pPr>
            <w:r>
              <w:t>-</w:t>
            </w:r>
          </w:p>
        </w:tc>
        <w:tc>
          <w:tcPr>
            <w:tcW w:w="1814" w:type="dxa"/>
            <w:vAlign w:val="center"/>
          </w:tcPr>
          <w:p w14:paraId="4E683AF2" w14:textId="77777777" w:rsidR="00454A29" w:rsidRDefault="00454A29">
            <w:pPr>
              <w:pStyle w:val="ConsPlusNormal"/>
            </w:pPr>
          </w:p>
        </w:tc>
        <w:tc>
          <w:tcPr>
            <w:tcW w:w="1701" w:type="dxa"/>
            <w:vAlign w:val="center"/>
          </w:tcPr>
          <w:p w14:paraId="0FAA39DF" w14:textId="77777777" w:rsidR="00454A29" w:rsidRDefault="00454A29">
            <w:pPr>
              <w:pStyle w:val="ConsPlusNormal"/>
            </w:pPr>
          </w:p>
        </w:tc>
        <w:tc>
          <w:tcPr>
            <w:tcW w:w="1701" w:type="dxa"/>
            <w:vAlign w:val="center"/>
          </w:tcPr>
          <w:p w14:paraId="107ADF54" w14:textId="77777777" w:rsidR="00454A29" w:rsidRDefault="00454A29">
            <w:pPr>
              <w:pStyle w:val="ConsPlusNormal"/>
            </w:pPr>
          </w:p>
        </w:tc>
        <w:tc>
          <w:tcPr>
            <w:tcW w:w="1814" w:type="dxa"/>
            <w:vAlign w:val="center"/>
          </w:tcPr>
          <w:p w14:paraId="54D65FA6" w14:textId="77777777" w:rsidR="00454A29" w:rsidRDefault="00454A29">
            <w:pPr>
              <w:pStyle w:val="ConsPlusNormal"/>
            </w:pPr>
          </w:p>
        </w:tc>
      </w:tr>
      <w:tr w:rsidR="00454A29" w14:paraId="6B9496FD" w14:textId="77777777">
        <w:tc>
          <w:tcPr>
            <w:tcW w:w="567" w:type="dxa"/>
            <w:vMerge/>
          </w:tcPr>
          <w:p w14:paraId="52ED8514" w14:textId="77777777" w:rsidR="00454A29" w:rsidRDefault="00454A29"/>
        </w:tc>
        <w:tc>
          <w:tcPr>
            <w:tcW w:w="3345" w:type="dxa"/>
            <w:vMerge/>
          </w:tcPr>
          <w:p w14:paraId="7D172F0C" w14:textId="77777777" w:rsidR="00454A29" w:rsidRDefault="00454A29"/>
        </w:tc>
        <w:tc>
          <w:tcPr>
            <w:tcW w:w="1701" w:type="dxa"/>
            <w:vAlign w:val="center"/>
          </w:tcPr>
          <w:p w14:paraId="7D74D6F1" w14:textId="77777777" w:rsidR="00454A29" w:rsidRDefault="00454A29">
            <w:pPr>
              <w:pStyle w:val="ConsPlusNormal"/>
              <w:jc w:val="center"/>
            </w:pPr>
            <w:r>
              <w:t>2026</w:t>
            </w:r>
          </w:p>
        </w:tc>
        <w:tc>
          <w:tcPr>
            <w:tcW w:w="1417" w:type="dxa"/>
            <w:vMerge/>
          </w:tcPr>
          <w:p w14:paraId="0666D7DC" w14:textId="77777777" w:rsidR="00454A29" w:rsidRDefault="00454A29"/>
        </w:tc>
        <w:tc>
          <w:tcPr>
            <w:tcW w:w="2204" w:type="dxa"/>
            <w:vMerge/>
          </w:tcPr>
          <w:p w14:paraId="3273D396" w14:textId="77777777" w:rsidR="00454A29" w:rsidRDefault="00454A29"/>
        </w:tc>
        <w:tc>
          <w:tcPr>
            <w:tcW w:w="1417" w:type="dxa"/>
            <w:vMerge/>
          </w:tcPr>
          <w:p w14:paraId="2088F1F8" w14:textId="77777777" w:rsidR="00454A29" w:rsidRDefault="00454A29"/>
        </w:tc>
        <w:tc>
          <w:tcPr>
            <w:tcW w:w="2324" w:type="dxa"/>
            <w:vMerge/>
          </w:tcPr>
          <w:p w14:paraId="40B76DB7" w14:textId="77777777" w:rsidR="00454A29" w:rsidRDefault="00454A29"/>
        </w:tc>
        <w:tc>
          <w:tcPr>
            <w:tcW w:w="1701" w:type="dxa"/>
            <w:vAlign w:val="center"/>
          </w:tcPr>
          <w:p w14:paraId="57F8EF47" w14:textId="77777777" w:rsidR="00454A29" w:rsidRDefault="00454A29">
            <w:pPr>
              <w:pStyle w:val="ConsPlusNormal"/>
              <w:jc w:val="center"/>
            </w:pPr>
            <w:r>
              <w:t>-</w:t>
            </w:r>
          </w:p>
        </w:tc>
        <w:tc>
          <w:tcPr>
            <w:tcW w:w="1814" w:type="dxa"/>
            <w:vAlign w:val="center"/>
          </w:tcPr>
          <w:p w14:paraId="040062EB" w14:textId="77777777" w:rsidR="00454A29" w:rsidRDefault="00454A29">
            <w:pPr>
              <w:pStyle w:val="ConsPlusNormal"/>
            </w:pPr>
          </w:p>
        </w:tc>
        <w:tc>
          <w:tcPr>
            <w:tcW w:w="1701" w:type="dxa"/>
            <w:vAlign w:val="center"/>
          </w:tcPr>
          <w:p w14:paraId="1DDF88F8" w14:textId="77777777" w:rsidR="00454A29" w:rsidRDefault="00454A29">
            <w:pPr>
              <w:pStyle w:val="ConsPlusNormal"/>
            </w:pPr>
          </w:p>
        </w:tc>
        <w:tc>
          <w:tcPr>
            <w:tcW w:w="1701" w:type="dxa"/>
            <w:vAlign w:val="center"/>
          </w:tcPr>
          <w:p w14:paraId="23966365" w14:textId="77777777" w:rsidR="00454A29" w:rsidRDefault="00454A29">
            <w:pPr>
              <w:pStyle w:val="ConsPlusNormal"/>
            </w:pPr>
          </w:p>
        </w:tc>
        <w:tc>
          <w:tcPr>
            <w:tcW w:w="1814" w:type="dxa"/>
            <w:vAlign w:val="center"/>
          </w:tcPr>
          <w:p w14:paraId="5B6FD03D" w14:textId="77777777" w:rsidR="00454A29" w:rsidRDefault="00454A29">
            <w:pPr>
              <w:pStyle w:val="ConsPlusNormal"/>
            </w:pPr>
          </w:p>
        </w:tc>
      </w:tr>
      <w:tr w:rsidR="00454A29" w14:paraId="0961F024" w14:textId="77777777">
        <w:tc>
          <w:tcPr>
            <w:tcW w:w="567" w:type="dxa"/>
            <w:vMerge w:val="restart"/>
            <w:vAlign w:val="center"/>
          </w:tcPr>
          <w:p w14:paraId="3E715827" w14:textId="77777777" w:rsidR="00454A29" w:rsidRDefault="00454A29">
            <w:pPr>
              <w:pStyle w:val="ConsPlusNormal"/>
              <w:jc w:val="center"/>
            </w:pPr>
            <w:r>
              <w:lastRenderedPageBreak/>
              <w:t>50</w:t>
            </w:r>
          </w:p>
        </w:tc>
        <w:tc>
          <w:tcPr>
            <w:tcW w:w="3345" w:type="dxa"/>
            <w:vMerge w:val="restart"/>
            <w:vAlign w:val="center"/>
          </w:tcPr>
          <w:p w14:paraId="1D4FADE8" w14:textId="77777777" w:rsidR="00454A29" w:rsidRDefault="00454A29">
            <w:pPr>
              <w:pStyle w:val="ConsPlusNormal"/>
              <w:jc w:val="center"/>
            </w:pPr>
            <w:r>
              <w:t>Детский сад на 140 мест с. Тойбохой Сунтарского улуса</w:t>
            </w:r>
          </w:p>
        </w:tc>
        <w:tc>
          <w:tcPr>
            <w:tcW w:w="1701" w:type="dxa"/>
            <w:vAlign w:val="center"/>
          </w:tcPr>
          <w:p w14:paraId="14CF59AD" w14:textId="77777777" w:rsidR="00454A29" w:rsidRDefault="00454A29">
            <w:pPr>
              <w:pStyle w:val="ConsPlusNormal"/>
              <w:jc w:val="center"/>
            </w:pPr>
            <w:r>
              <w:t>2020 - 2026 годы - всего</w:t>
            </w:r>
          </w:p>
        </w:tc>
        <w:tc>
          <w:tcPr>
            <w:tcW w:w="1417" w:type="dxa"/>
            <w:vMerge w:val="restart"/>
            <w:vAlign w:val="center"/>
          </w:tcPr>
          <w:p w14:paraId="71B004C2" w14:textId="77777777" w:rsidR="00454A29" w:rsidRDefault="00454A29">
            <w:pPr>
              <w:pStyle w:val="ConsPlusNormal"/>
              <w:jc w:val="center"/>
            </w:pPr>
            <w:r>
              <w:t>135 249,36</w:t>
            </w:r>
          </w:p>
        </w:tc>
        <w:tc>
          <w:tcPr>
            <w:tcW w:w="2204" w:type="dxa"/>
            <w:vMerge w:val="restart"/>
            <w:vAlign w:val="center"/>
          </w:tcPr>
          <w:p w14:paraId="08B36830" w14:textId="77777777" w:rsidR="00454A29" w:rsidRDefault="00454A29">
            <w:pPr>
              <w:pStyle w:val="ConsPlusNormal"/>
            </w:pPr>
          </w:p>
        </w:tc>
        <w:tc>
          <w:tcPr>
            <w:tcW w:w="1417" w:type="dxa"/>
            <w:vMerge w:val="restart"/>
            <w:vAlign w:val="center"/>
          </w:tcPr>
          <w:p w14:paraId="65B0A784" w14:textId="77777777" w:rsidR="00454A29" w:rsidRDefault="00454A29">
            <w:pPr>
              <w:pStyle w:val="ConsPlusNormal"/>
              <w:jc w:val="center"/>
            </w:pPr>
            <w:r>
              <w:t>140</w:t>
            </w:r>
          </w:p>
        </w:tc>
        <w:tc>
          <w:tcPr>
            <w:tcW w:w="2324" w:type="dxa"/>
            <w:vMerge w:val="restart"/>
            <w:vAlign w:val="center"/>
          </w:tcPr>
          <w:p w14:paraId="451767FE" w14:textId="77777777" w:rsidR="00454A29" w:rsidRDefault="00454A29">
            <w:pPr>
              <w:pStyle w:val="ConsPlusNormal"/>
              <w:jc w:val="center"/>
            </w:pPr>
            <w:r>
              <w:t>Минстрой РС(Я), МР "Сунтарский улус"</w:t>
            </w:r>
          </w:p>
        </w:tc>
        <w:tc>
          <w:tcPr>
            <w:tcW w:w="1701" w:type="dxa"/>
            <w:vAlign w:val="center"/>
          </w:tcPr>
          <w:p w14:paraId="2DFD4A79" w14:textId="77777777" w:rsidR="00454A29" w:rsidRDefault="00454A29">
            <w:pPr>
              <w:pStyle w:val="ConsPlusNormal"/>
              <w:jc w:val="center"/>
            </w:pPr>
            <w:r>
              <w:t>135 249,36</w:t>
            </w:r>
          </w:p>
        </w:tc>
        <w:tc>
          <w:tcPr>
            <w:tcW w:w="1814" w:type="dxa"/>
            <w:vAlign w:val="center"/>
          </w:tcPr>
          <w:p w14:paraId="691EDD92" w14:textId="77777777" w:rsidR="00454A29" w:rsidRDefault="00454A29">
            <w:pPr>
              <w:pStyle w:val="ConsPlusNormal"/>
              <w:jc w:val="center"/>
            </w:pPr>
            <w:r>
              <w:t>232 187,74</w:t>
            </w:r>
          </w:p>
        </w:tc>
        <w:tc>
          <w:tcPr>
            <w:tcW w:w="1701" w:type="dxa"/>
            <w:vAlign w:val="center"/>
          </w:tcPr>
          <w:p w14:paraId="60270D2B" w14:textId="77777777" w:rsidR="00454A29" w:rsidRDefault="00454A29">
            <w:pPr>
              <w:pStyle w:val="ConsPlusNormal"/>
              <w:jc w:val="center"/>
            </w:pPr>
            <w:r>
              <w:t>-</w:t>
            </w:r>
          </w:p>
        </w:tc>
        <w:tc>
          <w:tcPr>
            <w:tcW w:w="1701" w:type="dxa"/>
            <w:vAlign w:val="center"/>
          </w:tcPr>
          <w:p w14:paraId="5531105F" w14:textId="77777777" w:rsidR="00454A29" w:rsidRDefault="00454A29">
            <w:pPr>
              <w:pStyle w:val="ConsPlusNormal"/>
              <w:jc w:val="center"/>
            </w:pPr>
            <w:r>
              <w:t>-</w:t>
            </w:r>
          </w:p>
        </w:tc>
        <w:tc>
          <w:tcPr>
            <w:tcW w:w="1814" w:type="dxa"/>
            <w:vAlign w:val="center"/>
          </w:tcPr>
          <w:p w14:paraId="564DFFFA" w14:textId="77777777" w:rsidR="00454A29" w:rsidRDefault="00454A29">
            <w:pPr>
              <w:pStyle w:val="ConsPlusNormal"/>
            </w:pPr>
          </w:p>
        </w:tc>
      </w:tr>
      <w:tr w:rsidR="00454A29" w14:paraId="60C629A7" w14:textId="77777777">
        <w:tc>
          <w:tcPr>
            <w:tcW w:w="567" w:type="dxa"/>
            <w:vMerge/>
          </w:tcPr>
          <w:p w14:paraId="0D465226" w14:textId="77777777" w:rsidR="00454A29" w:rsidRDefault="00454A29"/>
        </w:tc>
        <w:tc>
          <w:tcPr>
            <w:tcW w:w="3345" w:type="dxa"/>
            <w:vMerge/>
          </w:tcPr>
          <w:p w14:paraId="5DCA30B4" w14:textId="77777777" w:rsidR="00454A29" w:rsidRDefault="00454A29"/>
        </w:tc>
        <w:tc>
          <w:tcPr>
            <w:tcW w:w="1701" w:type="dxa"/>
            <w:vAlign w:val="center"/>
          </w:tcPr>
          <w:p w14:paraId="30BB4C5F" w14:textId="77777777" w:rsidR="00454A29" w:rsidRDefault="00454A29">
            <w:pPr>
              <w:pStyle w:val="ConsPlusNormal"/>
              <w:jc w:val="center"/>
            </w:pPr>
            <w:r>
              <w:t>2020</w:t>
            </w:r>
          </w:p>
        </w:tc>
        <w:tc>
          <w:tcPr>
            <w:tcW w:w="1417" w:type="dxa"/>
            <w:vMerge/>
          </w:tcPr>
          <w:p w14:paraId="1C6DB055" w14:textId="77777777" w:rsidR="00454A29" w:rsidRDefault="00454A29"/>
        </w:tc>
        <w:tc>
          <w:tcPr>
            <w:tcW w:w="2204" w:type="dxa"/>
            <w:vMerge/>
          </w:tcPr>
          <w:p w14:paraId="37125BDC" w14:textId="77777777" w:rsidR="00454A29" w:rsidRDefault="00454A29"/>
        </w:tc>
        <w:tc>
          <w:tcPr>
            <w:tcW w:w="1417" w:type="dxa"/>
            <w:vMerge/>
          </w:tcPr>
          <w:p w14:paraId="565ADC7D" w14:textId="77777777" w:rsidR="00454A29" w:rsidRDefault="00454A29"/>
        </w:tc>
        <w:tc>
          <w:tcPr>
            <w:tcW w:w="2324" w:type="dxa"/>
            <w:vMerge/>
          </w:tcPr>
          <w:p w14:paraId="76C991E1" w14:textId="77777777" w:rsidR="00454A29" w:rsidRDefault="00454A29"/>
        </w:tc>
        <w:tc>
          <w:tcPr>
            <w:tcW w:w="1701" w:type="dxa"/>
            <w:vAlign w:val="center"/>
          </w:tcPr>
          <w:p w14:paraId="2DEE6937" w14:textId="77777777" w:rsidR="00454A29" w:rsidRDefault="00454A29">
            <w:pPr>
              <w:pStyle w:val="ConsPlusNormal"/>
              <w:jc w:val="center"/>
            </w:pPr>
            <w:r>
              <w:t>-</w:t>
            </w:r>
          </w:p>
        </w:tc>
        <w:tc>
          <w:tcPr>
            <w:tcW w:w="1814" w:type="dxa"/>
            <w:vAlign w:val="center"/>
          </w:tcPr>
          <w:p w14:paraId="2E471BDA" w14:textId="77777777" w:rsidR="00454A29" w:rsidRDefault="00454A29">
            <w:pPr>
              <w:pStyle w:val="ConsPlusNormal"/>
            </w:pPr>
          </w:p>
        </w:tc>
        <w:tc>
          <w:tcPr>
            <w:tcW w:w="1701" w:type="dxa"/>
            <w:vAlign w:val="center"/>
          </w:tcPr>
          <w:p w14:paraId="79044EDC" w14:textId="77777777" w:rsidR="00454A29" w:rsidRDefault="00454A29">
            <w:pPr>
              <w:pStyle w:val="ConsPlusNormal"/>
            </w:pPr>
          </w:p>
        </w:tc>
        <w:tc>
          <w:tcPr>
            <w:tcW w:w="1701" w:type="dxa"/>
            <w:vAlign w:val="center"/>
          </w:tcPr>
          <w:p w14:paraId="355257DE" w14:textId="77777777" w:rsidR="00454A29" w:rsidRDefault="00454A29">
            <w:pPr>
              <w:pStyle w:val="ConsPlusNormal"/>
            </w:pPr>
          </w:p>
        </w:tc>
        <w:tc>
          <w:tcPr>
            <w:tcW w:w="1814" w:type="dxa"/>
            <w:vAlign w:val="center"/>
          </w:tcPr>
          <w:p w14:paraId="3301A28F" w14:textId="77777777" w:rsidR="00454A29" w:rsidRDefault="00454A29">
            <w:pPr>
              <w:pStyle w:val="ConsPlusNormal"/>
            </w:pPr>
          </w:p>
        </w:tc>
      </w:tr>
      <w:tr w:rsidR="00454A29" w14:paraId="0013D3DA" w14:textId="77777777">
        <w:tc>
          <w:tcPr>
            <w:tcW w:w="567" w:type="dxa"/>
            <w:vMerge/>
          </w:tcPr>
          <w:p w14:paraId="2D38E67A" w14:textId="77777777" w:rsidR="00454A29" w:rsidRDefault="00454A29"/>
        </w:tc>
        <w:tc>
          <w:tcPr>
            <w:tcW w:w="3345" w:type="dxa"/>
            <w:vMerge/>
          </w:tcPr>
          <w:p w14:paraId="7AEEA4FE" w14:textId="77777777" w:rsidR="00454A29" w:rsidRDefault="00454A29"/>
        </w:tc>
        <w:tc>
          <w:tcPr>
            <w:tcW w:w="1701" w:type="dxa"/>
            <w:vAlign w:val="center"/>
          </w:tcPr>
          <w:p w14:paraId="303C99D6" w14:textId="77777777" w:rsidR="00454A29" w:rsidRDefault="00454A29">
            <w:pPr>
              <w:pStyle w:val="ConsPlusNormal"/>
              <w:jc w:val="center"/>
            </w:pPr>
            <w:r>
              <w:t>2021</w:t>
            </w:r>
          </w:p>
        </w:tc>
        <w:tc>
          <w:tcPr>
            <w:tcW w:w="1417" w:type="dxa"/>
            <w:vMerge/>
          </w:tcPr>
          <w:p w14:paraId="1FE6806F" w14:textId="77777777" w:rsidR="00454A29" w:rsidRDefault="00454A29"/>
        </w:tc>
        <w:tc>
          <w:tcPr>
            <w:tcW w:w="2204" w:type="dxa"/>
            <w:vMerge/>
          </w:tcPr>
          <w:p w14:paraId="68D9E60F" w14:textId="77777777" w:rsidR="00454A29" w:rsidRDefault="00454A29"/>
        </w:tc>
        <w:tc>
          <w:tcPr>
            <w:tcW w:w="1417" w:type="dxa"/>
            <w:vMerge/>
          </w:tcPr>
          <w:p w14:paraId="0A5BAF16" w14:textId="77777777" w:rsidR="00454A29" w:rsidRDefault="00454A29"/>
        </w:tc>
        <w:tc>
          <w:tcPr>
            <w:tcW w:w="2324" w:type="dxa"/>
            <w:vMerge/>
          </w:tcPr>
          <w:p w14:paraId="7A58861A" w14:textId="77777777" w:rsidR="00454A29" w:rsidRDefault="00454A29"/>
        </w:tc>
        <w:tc>
          <w:tcPr>
            <w:tcW w:w="1701" w:type="dxa"/>
            <w:vAlign w:val="center"/>
          </w:tcPr>
          <w:p w14:paraId="311D8C9B" w14:textId="77777777" w:rsidR="00454A29" w:rsidRDefault="00454A29">
            <w:pPr>
              <w:pStyle w:val="ConsPlusNormal"/>
              <w:jc w:val="center"/>
            </w:pPr>
            <w:r>
              <w:t>-</w:t>
            </w:r>
          </w:p>
        </w:tc>
        <w:tc>
          <w:tcPr>
            <w:tcW w:w="1814" w:type="dxa"/>
            <w:vAlign w:val="center"/>
          </w:tcPr>
          <w:p w14:paraId="55A7E535" w14:textId="77777777" w:rsidR="00454A29" w:rsidRDefault="00454A29">
            <w:pPr>
              <w:pStyle w:val="ConsPlusNormal"/>
            </w:pPr>
          </w:p>
        </w:tc>
        <w:tc>
          <w:tcPr>
            <w:tcW w:w="1701" w:type="dxa"/>
            <w:vAlign w:val="center"/>
          </w:tcPr>
          <w:p w14:paraId="2511065C" w14:textId="77777777" w:rsidR="00454A29" w:rsidRDefault="00454A29">
            <w:pPr>
              <w:pStyle w:val="ConsPlusNormal"/>
            </w:pPr>
          </w:p>
        </w:tc>
        <w:tc>
          <w:tcPr>
            <w:tcW w:w="1701" w:type="dxa"/>
            <w:vAlign w:val="center"/>
          </w:tcPr>
          <w:p w14:paraId="192DC4AD" w14:textId="77777777" w:rsidR="00454A29" w:rsidRDefault="00454A29">
            <w:pPr>
              <w:pStyle w:val="ConsPlusNormal"/>
            </w:pPr>
          </w:p>
        </w:tc>
        <w:tc>
          <w:tcPr>
            <w:tcW w:w="1814" w:type="dxa"/>
            <w:vAlign w:val="center"/>
          </w:tcPr>
          <w:p w14:paraId="0BDEDEBE" w14:textId="77777777" w:rsidR="00454A29" w:rsidRDefault="00454A29">
            <w:pPr>
              <w:pStyle w:val="ConsPlusNormal"/>
            </w:pPr>
          </w:p>
        </w:tc>
      </w:tr>
      <w:tr w:rsidR="00454A29" w14:paraId="67A209E7" w14:textId="77777777">
        <w:tc>
          <w:tcPr>
            <w:tcW w:w="567" w:type="dxa"/>
            <w:vMerge/>
          </w:tcPr>
          <w:p w14:paraId="13B307D9" w14:textId="77777777" w:rsidR="00454A29" w:rsidRDefault="00454A29"/>
        </w:tc>
        <w:tc>
          <w:tcPr>
            <w:tcW w:w="3345" w:type="dxa"/>
            <w:vMerge/>
          </w:tcPr>
          <w:p w14:paraId="5640C568" w14:textId="77777777" w:rsidR="00454A29" w:rsidRDefault="00454A29"/>
        </w:tc>
        <w:tc>
          <w:tcPr>
            <w:tcW w:w="1701" w:type="dxa"/>
            <w:vAlign w:val="center"/>
          </w:tcPr>
          <w:p w14:paraId="0DE20969" w14:textId="77777777" w:rsidR="00454A29" w:rsidRDefault="00454A29">
            <w:pPr>
              <w:pStyle w:val="ConsPlusNormal"/>
              <w:jc w:val="center"/>
            </w:pPr>
            <w:r>
              <w:t>2022</w:t>
            </w:r>
          </w:p>
        </w:tc>
        <w:tc>
          <w:tcPr>
            <w:tcW w:w="1417" w:type="dxa"/>
            <w:vMerge/>
          </w:tcPr>
          <w:p w14:paraId="338FAE41" w14:textId="77777777" w:rsidR="00454A29" w:rsidRDefault="00454A29"/>
        </w:tc>
        <w:tc>
          <w:tcPr>
            <w:tcW w:w="2204" w:type="dxa"/>
            <w:vMerge/>
          </w:tcPr>
          <w:p w14:paraId="2A1CB46E" w14:textId="77777777" w:rsidR="00454A29" w:rsidRDefault="00454A29"/>
        </w:tc>
        <w:tc>
          <w:tcPr>
            <w:tcW w:w="1417" w:type="dxa"/>
            <w:vMerge/>
          </w:tcPr>
          <w:p w14:paraId="2A429802" w14:textId="77777777" w:rsidR="00454A29" w:rsidRDefault="00454A29"/>
        </w:tc>
        <w:tc>
          <w:tcPr>
            <w:tcW w:w="2324" w:type="dxa"/>
            <w:vMerge/>
          </w:tcPr>
          <w:p w14:paraId="57CE5978" w14:textId="77777777" w:rsidR="00454A29" w:rsidRDefault="00454A29"/>
        </w:tc>
        <w:tc>
          <w:tcPr>
            <w:tcW w:w="1701" w:type="dxa"/>
            <w:vAlign w:val="center"/>
          </w:tcPr>
          <w:p w14:paraId="224B3B25" w14:textId="77777777" w:rsidR="00454A29" w:rsidRDefault="00454A29">
            <w:pPr>
              <w:pStyle w:val="ConsPlusNormal"/>
            </w:pPr>
          </w:p>
        </w:tc>
        <w:tc>
          <w:tcPr>
            <w:tcW w:w="1814" w:type="dxa"/>
            <w:vAlign w:val="center"/>
          </w:tcPr>
          <w:p w14:paraId="3B28B928" w14:textId="77777777" w:rsidR="00454A29" w:rsidRDefault="00454A29">
            <w:pPr>
              <w:pStyle w:val="ConsPlusNormal"/>
            </w:pPr>
          </w:p>
        </w:tc>
        <w:tc>
          <w:tcPr>
            <w:tcW w:w="1701" w:type="dxa"/>
            <w:vAlign w:val="center"/>
          </w:tcPr>
          <w:p w14:paraId="24540EA5" w14:textId="77777777" w:rsidR="00454A29" w:rsidRDefault="00454A29">
            <w:pPr>
              <w:pStyle w:val="ConsPlusNormal"/>
            </w:pPr>
          </w:p>
        </w:tc>
        <w:tc>
          <w:tcPr>
            <w:tcW w:w="1701" w:type="dxa"/>
            <w:vAlign w:val="center"/>
          </w:tcPr>
          <w:p w14:paraId="47C2A4FC" w14:textId="77777777" w:rsidR="00454A29" w:rsidRDefault="00454A29">
            <w:pPr>
              <w:pStyle w:val="ConsPlusNormal"/>
            </w:pPr>
          </w:p>
        </w:tc>
        <w:tc>
          <w:tcPr>
            <w:tcW w:w="1814" w:type="dxa"/>
            <w:vAlign w:val="center"/>
          </w:tcPr>
          <w:p w14:paraId="1140379C" w14:textId="77777777" w:rsidR="00454A29" w:rsidRDefault="00454A29">
            <w:pPr>
              <w:pStyle w:val="ConsPlusNormal"/>
            </w:pPr>
          </w:p>
        </w:tc>
      </w:tr>
      <w:tr w:rsidR="00454A29" w14:paraId="6F3D3DEF" w14:textId="77777777">
        <w:tc>
          <w:tcPr>
            <w:tcW w:w="567" w:type="dxa"/>
            <w:vMerge/>
          </w:tcPr>
          <w:p w14:paraId="4E62BF87" w14:textId="77777777" w:rsidR="00454A29" w:rsidRDefault="00454A29"/>
        </w:tc>
        <w:tc>
          <w:tcPr>
            <w:tcW w:w="3345" w:type="dxa"/>
            <w:vMerge/>
          </w:tcPr>
          <w:p w14:paraId="3D5A8B5D" w14:textId="77777777" w:rsidR="00454A29" w:rsidRDefault="00454A29"/>
        </w:tc>
        <w:tc>
          <w:tcPr>
            <w:tcW w:w="1701" w:type="dxa"/>
            <w:vAlign w:val="center"/>
          </w:tcPr>
          <w:p w14:paraId="55A14926" w14:textId="77777777" w:rsidR="00454A29" w:rsidRDefault="00454A29">
            <w:pPr>
              <w:pStyle w:val="ConsPlusNormal"/>
              <w:jc w:val="center"/>
            </w:pPr>
            <w:r>
              <w:t>2023</w:t>
            </w:r>
          </w:p>
        </w:tc>
        <w:tc>
          <w:tcPr>
            <w:tcW w:w="1417" w:type="dxa"/>
            <w:vMerge/>
          </w:tcPr>
          <w:p w14:paraId="278012E5" w14:textId="77777777" w:rsidR="00454A29" w:rsidRDefault="00454A29"/>
        </w:tc>
        <w:tc>
          <w:tcPr>
            <w:tcW w:w="2204" w:type="dxa"/>
            <w:vMerge/>
          </w:tcPr>
          <w:p w14:paraId="776197BB" w14:textId="77777777" w:rsidR="00454A29" w:rsidRDefault="00454A29"/>
        </w:tc>
        <w:tc>
          <w:tcPr>
            <w:tcW w:w="1417" w:type="dxa"/>
            <w:vMerge/>
          </w:tcPr>
          <w:p w14:paraId="7606D824" w14:textId="77777777" w:rsidR="00454A29" w:rsidRDefault="00454A29"/>
        </w:tc>
        <w:tc>
          <w:tcPr>
            <w:tcW w:w="2324" w:type="dxa"/>
            <w:vMerge/>
          </w:tcPr>
          <w:p w14:paraId="7F9EDCFA" w14:textId="77777777" w:rsidR="00454A29" w:rsidRDefault="00454A29"/>
        </w:tc>
        <w:tc>
          <w:tcPr>
            <w:tcW w:w="1701" w:type="dxa"/>
            <w:vAlign w:val="center"/>
          </w:tcPr>
          <w:p w14:paraId="0C90656C" w14:textId="77777777" w:rsidR="00454A29" w:rsidRDefault="00454A29">
            <w:pPr>
              <w:pStyle w:val="ConsPlusNormal"/>
              <w:jc w:val="center"/>
            </w:pPr>
            <w:r>
              <w:t>57 582,56</w:t>
            </w:r>
          </w:p>
        </w:tc>
        <w:tc>
          <w:tcPr>
            <w:tcW w:w="1814" w:type="dxa"/>
            <w:vAlign w:val="center"/>
          </w:tcPr>
          <w:p w14:paraId="1A8FAACA" w14:textId="77777777" w:rsidR="00454A29" w:rsidRDefault="00454A29">
            <w:pPr>
              <w:pStyle w:val="ConsPlusNormal"/>
              <w:jc w:val="center"/>
            </w:pPr>
            <w:r>
              <w:t>57 582,56</w:t>
            </w:r>
          </w:p>
        </w:tc>
        <w:tc>
          <w:tcPr>
            <w:tcW w:w="1701" w:type="dxa"/>
            <w:vAlign w:val="center"/>
          </w:tcPr>
          <w:p w14:paraId="1497D6F6" w14:textId="77777777" w:rsidR="00454A29" w:rsidRDefault="00454A29">
            <w:pPr>
              <w:pStyle w:val="ConsPlusNormal"/>
            </w:pPr>
          </w:p>
        </w:tc>
        <w:tc>
          <w:tcPr>
            <w:tcW w:w="1701" w:type="dxa"/>
            <w:vAlign w:val="center"/>
          </w:tcPr>
          <w:p w14:paraId="201E4B19" w14:textId="77777777" w:rsidR="00454A29" w:rsidRDefault="00454A29">
            <w:pPr>
              <w:pStyle w:val="ConsPlusNormal"/>
            </w:pPr>
          </w:p>
        </w:tc>
        <w:tc>
          <w:tcPr>
            <w:tcW w:w="1814" w:type="dxa"/>
            <w:vAlign w:val="center"/>
          </w:tcPr>
          <w:p w14:paraId="4533CC9B" w14:textId="77777777" w:rsidR="00454A29" w:rsidRDefault="00454A29">
            <w:pPr>
              <w:pStyle w:val="ConsPlusNormal"/>
            </w:pPr>
          </w:p>
        </w:tc>
      </w:tr>
      <w:tr w:rsidR="00454A29" w14:paraId="5375C11B" w14:textId="77777777">
        <w:tc>
          <w:tcPr>
            <w:tcW w:w="567" w:type="dxa"/>
            <w:vMerge/>
          </w:tcPr>
          <w:p w14:paraId="1B7DDBAF" w14:textId="77777777" w:rsidR="00454A29" w:rsidRDefault="00454A29"/>
        </w:tc>
        <w:tc>
          <w:tcPr>
            <w:tcW w:w="3345" w:type="dxa"/>
            <w:vMerge/>
          </w:tcPr>
          <w:p w14:paraId="466184BE" w14:textId="77777777" w:rsidR="00454A29" w:rsidRDefault="00454A29"/>
        </w:tc>
        <w:tc>
          <w:tcPr>
            <w:tcW w:w="1701" w:type="dxa"/>
            <w:vAlign w:val="center"/>
          </w:tcPr>
          <w:p w14:paraId="262E4165" w14:textId="77777777" w:rsidR="00454A29" w:rsidRDefault="00454A29">
            <w:pPr>
              <w:pStyle w:val="ConsPlusNormal"/>
              <w:jc w:val="center"/>
            </w:pPr>
            <w:r>
              <w:t>2024</w:t>
            </w:r>
          </w:p>
        </w:tc>
        <w:tc>
          <w:tcPr>
            <w:tcW w:w="1417" w:type="dxa"/>
            <w:vMerge/>
          </w:tcPr>
          <w:p w14:paraId="578F8766" w14:textId="77777777" w:rsidR="00454A29" w:rsidRDefault="00454A29"/>
        </w:tc>
        <w:tc>
          <w:tcPr>
            <w:tcW w:w="2204" w:type="dxa"/>
            <w:vMerge/>
          </w:tcPr>
          <w:p w14:paraId="384A2760" w14:textId="77777777" w:rsidR="00454A29" w:rsidRDefault="00454A29"/>
        </w:tc>
        <w:tc>
          <w:tcPr>
            <w:tcW w:w="1417" w:type="dxa"/>
            <w:vMerge/>
          </w:tcPr>
          <w:p w14:paraId="0FD5671E" w14:textId="77777777" w:rsidR="00454A29" w:rsidRDefault="00454A29"/>
        </w:tc>
        <w:tc>
          <w:tcPr>
            <w:tcW w:w="2324" w:type="dxa"/>
            <w:vMerge/>
          </w:tcPr>
          <w:p w14:paraId="08E1AA31" w14:textId="77777777" w:rsidR="00454A29" w:rsidRDefault="00454A29"/>
        </w:tc>
        <w:tc>
          <w:tcPr>
            <w:tcW w:w="1701" w:type="dxa"/>
            <w:vAlign w:val="center"/>
          </w:tcPr>
          <w:p w14:paraId="544AC76E" w14:textId="77777777" w:rsidR="00454A29" w:rsidRDefault="00454A29">
            <w:pPr>
              <w:pStyle w:val="ConsPlusNormal"/>
              <w:jc w:val="center"/>
            </w:pPr>
            <w:r>
              <w:t>77 666,80</w:t>
            </w:r>
          </w:p>
        </w:tc>
        <w:tc>
          <w:tcPr>
            <w:tcW w:w="1814" w:type="dxa"/>
            <w:vAlign w:val="center"/>
          </w:tcPr>
          <w:p w14:paraId="53D1B88D" w14:textId="77777777" w:rsidR="00454A29" w:rsidRDefault="00454A29">
            <w:pPr>
              <w:pStyle w:val="ConsPlusNormal"/>
              <w:jc w:val="center"/>
            </w:pPr>
            <w:r>
              <w:t>77 666,80</w:t>
            </w:r>
          </w:p>
        </w:tc>
        <w:tc>
          <w:tcPr>
            <w:tcW w:w="1701" w:type="dxa"/>
            <w:vAlign w:val="center"/>
          </w:tcPr>
          <w:p w14:paraId="2FA1E126" w14:textId="77777777" w:rsidR="00454A29" w:rsidRDefault="00454A29">
            <w:pPr>
              <w:pStyle w:val="ConsPlusNormal"/>
            </w:pPr>
          </w:p>
        </w:tc>
        <w:tc>
          <w:tcPr>
            <w:tcW w:w="1701" w:type="dxa"/>
            <w:vAlign w:val="center"/>
          </w:tcPr>
          <w:p w14:paraId="7047462B" w14:textId="77777777" w:rsidR="00454A29" w:rsidRDefault="00454A29">
            <w:pPr>
              <w:pStyle w:val="ConsPlusNormal"/>
            </w:pPr>
          </w:p>
        </w:tc>
        <w:tc>
          <w:tcPr>
            <w:tcW w:w="1814" w:type="dxa"/>
            <w:vAlign w:val="center"/>
          </w:tcPr>
          <w:p w14:paraId="795BD7E1" w14:textId="77777777" w:rsidR="00454A29" w:rsidRDefault="00454A29">
            <w:pPr>
              <w:pStyle w:val="ConsPlusNormal"/>
            </w:pPr>
          </w:p>
        </w:tc>
      </w:tr>
      <w:tr w:rsidR="00454A29" w14:paraId="7D8DA4CD" w14:textId="77777777">
        <w:tc>
          <w:tcPr>
            <w:tcW w:w="567" w:type="dxa"/>
            <w:vMerge/>
          </w:tcPr>
          <w:p w14:paraId="677E1813" w14:textId="77777777" w:rsidR="00454A29" w:rsidRDefault="00454A29"/>
        </w:tc>
        <w:tc>
          <w:tcPr>
            <w:tcW w:w="3345" w:type="dxa"/>
            <w:vMerge/>
          </w:tcPr>
          <w:p w14:paraId="6B6E86FD" w14:textId="77777777" w:rsidR="00454A29" w:rsidRDefault="00454A29"/>
        </w:tc>
        <w:tc>
          <w:tcPr>
            <w:tcW w:w="1701" w:type="dxa"/>
            <w:vAlign w:val="center"/>
          </w:tcPr>
          <w:p w14:paraId="0A3D7BF1" w14:textId="77777777" w:rsidR="00454A29" w:rsidRDefault="00454A29">
            <w:pPr>
              <w:pStyle w:val="ConsPlusNormal"/>
              <w:jc w:val="center"/>
            </w:pPr>
            <w:r>
              <w:t>2025</w:t>
            </w:r>
          </w:p>
        </w:tc>
        <w:tc>
          <w:tcPr>
            <w:tcW w:w="1417" w:type="dxa"/>
            <w:vMerge/>
          </w:tcPr>
          <w:p w14:paraId="73C892E8" w14:textId="77777777" w:rsidR="00454A29" w:rsidRDefault="00454A29"/>
        </w:tc>
        <w:tc>
          <w:tcPr>
            <w:tcW w:w="2204" w:type="dxa"/>
            <w:vMerge/>
          </w:tcPr>
          <w:p w14:paraId="70B8BD9F" w14:textId="77777777" w:rsidR="00454A29" w:rsidRDefault="00454A29"/>
        </w:tc>
        <w:tc>
          <w:tcPr>
            <w:tcW w:w="1417" w:type="dxa"/>
            <w:vMerge/>
          </w:tcPr>
          <w:p w14:paraId="7A4F79F7" w14:textId="77777777" w:rsidR="00454A29" w:rsidRDefault="00454A29"/>
        </w:tc>
        <w:tc>
          <w:tcPr>
            <w:tcW w:w="2324" w:type="dxa"/>
            <w:vMerge/>
          </w:tcPr>
          <w:p w14:paraId="5606E6A6" w14:textId="77777777" w:rsidR="00454A29" w:rsidRDefault="00454A29"/>
        </w:tc>
        <w:tc>
          <w:tcPr>
            <w:tcW w:w="1701" w:type="dxa"/>
            <w:vAlign w:val="center"/>
          </w:tcPr>
          <w:p w14:paraId="61CB5A20" w14:textId="77777777" w:rsidR="00454A29" w:rsidRDefault="00454A29">
            <w:pPr>
              <w:pStyle w:val="ConsPlusNormal"/>
              <w:jc w:val="center"/>
            </w:pPr>
            <w:r>
              <w:t>-</w:t>
            </w:r>
          </w:p>
        </w:tc>
        <w:tc>
          <w:tcPr>
            <w:tcW w:w="1814" w:type="dxa"/>
            <w:vAlign w:val="center"/>
          </w:tcPr>
          <w:p w14:paraId="514D6613" w14:textId="77777777" w:rsidR="00454A29" w:rsidRDefault="00454A29">
            <w:pPr>
              <w:pStyle w:val="ConsPlusNormal"/>
            </w:pPr>
          </w:p>
        </w:tc>
        <w:tc>
          <w:tcPr>
            <w:tcW w:w="1701" w:type="dxa"/>
            <w:vAlign w:val="center"/>
          </w:tcPr>
          <w:p w14:paraId="2151C8B0" w14:textId="77777777" w:rsidR="00454A29" w:rsidRDefault="00454A29">
            <w:pPr>
              <w:pStyle w:val="ConsPlusNormal"/>
            </w:pPr>
          </w:p>
        </w:tc>
        <w:tc>
          <w:tcPr>
            <w:tcW w:w="1701" w:type="dxa"/>
            <w:vAlign w:val="center"/>
          </w:tcPr>
          <w:p w14:paraId="598CBCFC" w14:textId="77777777" w:rsidR="00454A29" w:rsidRDefault="00454A29">
            <w:pPr>
              <w:pStyle w:val="ConsPlusNormal"/>
            </w:pPr>
          </w:p>
        </w:tc>
        <w:tc>
          <w:tcPr>
            <w:tcW w:w="1814" w:type="dxa"/>
            <w:vAlign w:val="center"/>
          </w:tcPr>
          <w:p w14:paraId="073B0078" w14:textId="77777777" w:rsidR="00454A29" w:rsidRDefault="00454A29">
            <w:pPr>
              <w:pStyle w:val="ConsPlusNormal"/>
            </w:pPr>
          </w:p>
        </w:tc>
      </w:tr>
      <w:tr w:rsidR="00454A29" w14:paraId="2BBF8CC6" w14:textId="77777777">
        <w:tc>
          <w:tcPr>
            <w:tcW w:w="567" w:type="dxa"/>
            <w:vMerge/>
          </w:tcPr>
          <w:p w14:paraId="3DF848EE" w14:textId="77777777" w:rsidR="00454A29" w:rsidRDefault="00454A29"/>
        </w:tc>
        <w:tc>
          <w:tcPr>
            <w:tcW w:w="3345" w:type="dxa"/>
            <w:vMerge/>
          </w:tcPr>
          <w:p w14:paraId="7912A10F" w14:textId="77777777" w:rsidR="00454A29" w:rsidRDefault="00454A29"/>
        </w:tc>
        <w:tc>
          <w:tcPr>
            <w:tcW w:w="1701" w:type="dxa"/>
            <w:vAlign w:val="center"/>
          </w:tcPr>
          <w:p w14:paraId="5AB9AB0B" w14:textId="77777777" w:rsidR="00454A29" w:rsidRDefault="00454A29">
            <w:pPr>
              <w:pStyle w:val="ConsPlusNormal"/>
              <w:jc w:val="center"/>
            </w:pPr>
            <w:r>
              <w:t>2026</w:t>
            </w:r>
          </w:p>
        </w:tc>
        <w:tc>
          <w:tcPr>
            <w:tcW w:w="1417" w:type="dxa"/>
            <w:vMerge/>
          </w:tcPr>
          <w:p w14:paraId="1FE3A2BC" w14:textId="77777777" w:rsidR="00454A29" w:rsidRDefault="00454A29"/>
        </w:tc>
        <w:tc>
          <w:tcPr>
            <w:tcW w:w="2204" w:type="dxa"/>
            <w:vMerge/>
          </w:tcPr>
          <w:p w14:paraId="7AE6C2B0" w14:textId="77777777" w:rsidR="00454A29" w:rsidRDefault="00454A29"/>
        </w:tc>
        <w:tc>
          <w:tcPr>
            <w:tcW w:w="1417" w:type="dxa"/>
            <w:vMerge/>
          </w:tcPr>
          <w:p w14:paraId="01C7C337" w14:textId="77777777" w:rsidR="00454A29" w:rsidRDefault="00454A29"/>
        </w:tc>
        <w:tc>
          <w:tcPr>
            <w:tcW w:w="2324" w:type="dxa"/>
            <w:vMerge/>
          </w:tcPr>
          <w:p w14:paraId="6798D066" w14:textId="77777777" w:rsidR="00454A29" w:rsidRDefault="00454A29"/>
        </w:tc>
        <w:tc>
          <w:tcPr>
            <w:tcW w:w="1701" w:type="dxa"/>
            <w:vAlign w:val="center"/>
          </w:tcPr>
          <w:p w14:paraId="6C7FB478" w14:textId="77777777" w:rsidR="00454A29" w:rsidRDefault="00454A29">
            <w:pPr>
              <w:pStyle w:val="ConsPlusNormal"/>
              <w:jc w:val="center"/>
            </w:pPr>
            <w:r>
              <w:t>-</w:t>
            </w:r>
          </w:p>
        </w:tc>
        <w:tc>
          <w:tcPr>
            <w:tcW w:w="1814" w:type="dxa"/>
            <w:vAlign w:val="center"/>
          </w:tcPr>
          <w:p w14:paraId="7A3B4126" w14:textId="77777777" w:rsidR="00454A29" w:rsidRDefault="00454A29">
            <w:pPr>
              <w:pStyle w:val="ConsPlusNormal"/>
            </w:pPr>
          </w:p>
        </w:tc>
        <w:tc>
          <w:tcPr>
            <w:tcW w:w="1701" w:type="dxa"/>
            <w:vAlign w:val="center"/>
          </w:tcPr>
          <w:p w14:paraId="4E3F3BD3" w14:textId="77777777" w:rsidR="00454A29" w:rsidRDefault="00454A29">
            <w:pPr>
              <w:pStyle w:val="ConsPlusNormal"/>
            </w:pPr>
          </w:p>
        </w:tc>
        <w:tc>
          <w:tcPr>
            <w:tcW w:w="1701" w:type="dxa"/>
            <w:vAlign w:val="center"/>
          </w:tcPr>
          <w:p w14:paraId="6AE6F294" w14:textId="77777777" w:rsidR="00454A29" w:rsidRDefault="00454A29">
            <w:pPr>
              <w:pStyle w:val="ConsPlusNormal"/>
            </w:pPr>
          </w:p>
        </w:tc>
        <w:tc>
          <w:tcPr>
            <w:tcW w:w="1814" w:type="dxa"/>
            <w:vAlign w:val="center"/>
          </w:tcPr>
          <w:p w14:paraId="38F50B4E" w14:textId="77777777" w:rsidR="00454A29" w:rsidRDefault="00454A29">
            <w:pPr>
              <w:pStyle w:val="ConsPlusNormal"/>
            </w:pPr>
          </w:p>
        </w:tc>
      </w:tr>
      <w:tr w:rsidR="00454A29" w14:paraId="434D69CE" w14:textId="77777777">
        <w:tc>
          <w:tcPr>
            <w:tcW w:w="567" w:type="dxa"/>
            <w:vMerge w:val="restart"/>
            <w:vAlign w:val="center"/>
          </w:tcPr>
          <w:p w14:paraId="6E884ECF" w14:textId="77777777" w:rsidR="00454A29" w:rsidRDefault="00454A29">
            <w:pPr>
              <w:pStyle w:val="ConsPlusNormal"/>
              <w:jc w:val="center"/>
            </w:pPr>
            <w:r>
              <w:t>51</w:t>
            </w:r>
          </w:p>
        </w:tc>
        <w:tc>
          <w:tcPr>
            <w:tcW w:w="3345" w:type="dxa"/>
            <w:vMerge w:val="restart"/>
            <w:vAlign w:val="center"/>
          </w:tcPr>
          <w:p w14:paraId="7E4454F4" w14:textId="77777777" w:rsidR="00454A29" w:rsidRDefault="00454A29">
            <w:pPr>
              <w:pStyle w:val="ConsPlusNormal"/>
              <w:jc w:val="center"/>
            </w:pPr>
            <w:r>
              <w:t>Детский сад в с. Томтор (Баягинский наслег) Таттинского улуса</w:t>
            </w:r>
          </w:p>
        </w:tc>
        <w:tc>
          <w:tcPr>
            <w:tcW w:w="1701" w:type="dxa"/>
            <w:vAlign w:val="center"/>
          </w:tcPr>
          <w:p w14:paraId="1E7C1B4A" w14:textId="77777777" w:rsidR="00454A29" w:rsidRDefault="00454A29">
            <w:pPr>
              <w:pStyle w:val="ConsPlusNormal"/>
              <w:jc w:val="center"/>
            </w:pPr>
            <w:r>
              <w:t>2020 - 2026 годы - всего</w:t>
            </w:r>
          </w:p>
        </w:tc>
        <w:tc>
          <w:tcPr>
            <w:tcW w:w="1417" w:type="dxa"/>
            <w:vMerge w:val="restart"/>
            <w:vAlign w:val="center"/>
          </w:tcPr>
          <w:p w14:paraId="1A2FA919" w14:textId="77777777" w:rsidR="00454A29" w:rsidRDefault="00454A29">
            <w:pPr>
              <w:pStyle w:val="ConsPlusNormal"/>
              <w:jc w:val="center"/>
            </w:pPr>
            <w:r>
              <w:t>126 444,20</w:t>
            </w:r>
          </w:p>
        </w:tc>
        <w:tc>
          <w:tcPr>
            <w:tcW w:w="2204" w:type="dxa"/>
            <w:vMerge w:val="restart"/>
            <w:vAlign w:val="center"/>
          </w:tcPr>
          <w:p w14:paraId="3176D4F0" w14:textId="77777777" w:rsidR="00454A29" w:rsidRDefault="00454A29">
            <w:pPr>
              <w:pStyle w:val="ConsPlusNormal"/>
              <w:jc w:val="center"/>
            </w:pPr>
            <w:r>
              <w:t>имеется</w:t>
            </w:r>
          </w:p>
        </w:tc>
        <w:tc>
          <w:tcPr>
            <w:tcW w:w="1417" w:type="dxa"/>
            <w:vMerge w:val="restart"/>
            <w:vAlign w:val="center"/>
          </w:tcPr>
          <w:p w14:paraId="36D3BF26" w14:textId="77777777" w:rsidR="00454A29" w:rsidRDefault="00454A29">
            <w:pPr>
              <w:pStyle w:val="ConsPlusNormal"/>
              <w:jc w:val="center"/>
            </w:pPr>
            <w:r>
              <w:t>75</w:t>
            </w:r>
          </w:p>
        </w:tc>
        <w:tc>
          <w:tcPr>
            <w:tcW w:w="2324" w:type="dxa"/>
            <w:vMerge w:val="restart"/>
            <w:vAlign w:val="center"/>
          </w:tcPr>
          <w:p w14:paraId="7458E4FA" w14:textId="77777777" w:rsidR="00454A29" w:rsidRDefault="00454A29">
            <w:pPr>
              <w:pStyle w:val="ConsPlusNormal"/>
              <w:jc w:val="center"/>
            </w:pPr>
            <w:r>
              <w:t>Минстрой РС(Я), МР "Таттинский улус"</w:t>
            </w:r>
          </w:p>
        </w:tc>
        <w:tc>
          <w:tcPr>
            <w:tcW w:w="1701" w:type="dxa"/>
            <w:vAlign w:val="center"/>
          </w:tcPr>
          <w:p w14:paraId="1155324D" w14:textId="77777777" w:rsidR="00454A29" w:rsidRDefault="00454A29">
            <w:pPr>
              <w:pStyle w:val="ConsPlusNormal"/>
              <w:jc w:val="center"/>
            </w:pPr>
            <w:r>
              <w:t>62 716,32</w:t>
            </w:r>
          </w:p>
        </w:tc>
        <w:tc>
          <w:tcPr>
            <w:tcW w:w="1814" w:type="dxa"/>
            <w:vAlign w:val="center"/>
          </w:tcPr>
          <w:p w14:paraId="0C77619C" w14:textId="77777777" w:rsidR="00454A29" w:rsidRDefault="00454A29">
            <w:pPr>
              <w:pStyle w:val="ConsPlusNormal"/>
              <w:jc w:val="center"/>
            </w:pPr>
            <w:r>
              <w:t>126 444,20</w:t>
            </w:r>
          </w:p>
        </w:tc>
        <w:tc>
          <w:tcPr>
            <w:tcW w:w="1701" w:type="dxa"/>
            <w:vAlign w:val="center"/>
          </w:tcPr>
          <w:p w14:paraId="5AE84289" w14:textId="77777777" w:rsidR="00454A29" w:rsidRDefault="00454A29">
            <w:pPr>
              <w:pStyle w:val="ConsPlusNormal"/>
              <w:jc w:val="center"/>
            </w:pPr>
            <w:r>
              <w:t>-</w:t>
            </w:r>
          </w:p>
        </w:tc>
        <w:tc>
          <w:tcPr>
            <w:tcW w:w="1701" w:type="dxa"/>
            <w:vAlign w:val="center"/>
          </w:tcPr>
          <w:p w14:paraId="1B4D69B3" w14:textId="77777777" w:rsidR="00454A29" w:rsidRDefault="00454A29">
            <w:pPr>
              <w:pStyle w:val="ConsPlusNormal"/>
              <w:jc w:val="center"/>
            </w:pPr>
            <w:r>
              <w:t>-</w:t>
            </w:r>
          </w:p>
        </w:tc>
        <w:tc>
          <w:tcPr>
            <w:tcW w:w="1814" w:type="dxa"/>
            <w:vAlign w:val="center"/>
          </w:tcPr>
          <w:p w14:paraId="03DCA909" w14:textId="77777777" w:rsidR="00454A29" w:rsidRDefault="00454A29">
            <w:pPr>
              <w:pStyle w:val="ConsPlusNormal"/>
              <w:jc w:val="center"/>
            </w:pPr>
            <w:r>
              <w:t>-</w:t>
            </w:r>
          </w:p>
        </w:tc>
      </w:tr>
      <w:tr w:rsidR="00454A29" w14:paraId="140A1F8F" w14:textId="77777777">
        <w:tc>
          <w:tcPr>
            <w:tcW w:w="567" w:type="dxa"/>
            <w:vMerge/>
          </w:tcPr>
          <w:p w14:paraId="0BE0CBC5" w14:textId="77777777" w:rsidR="00454A29" w:rsidRDefault="00454A29"/>
        </w:tc>
        <w:tc>
          <w:tcPr>
            <w:tcW w:w="3345" w:type="dxa"/>
            <w:vMerge/>
          </w:tcPr>
          <w:p w14:paraId="49F6066E" w14:textId="77777777" w:rsidR="00454A29" w:rsidRDefault="00454A29"/>
        </w:tc>
        <w:tc>
          <w:tcPr>
            <w:tcW w:w="1701" w:type="dxa"/>
            <w:vAlign w:val="center"/>
          </w:tcPr>
          <w:p w14:paraId="7E6176D5" w14:textId="77777777" w:rsidR="00454A29" w:rsidRDefault="00454A29">
            <w:pPr>
              <w:pStyle w:val="ConsPlusNormal"/>
              <w:jc w:val="center"/>
            </w:pPr>
            <w:r>
              <w:t>2020</w:t>
            </w:r>
          </w:p>
        </w:tc>
        <w:tc>
          <w:tcPr>
            <w:tcW w:w="1417" w:type="dxa"/>
            <w:vMerge/>
          </w:tcPr>
          <w:p w14:paraId="7C18D784" w14:textId="77777777" w:rsidR="00454A29" w:rsidRDefault="00454A29"/>
        </w:tc>
        <w:tc>
          <w:tcPr>
            <w:tcW w:w="2204" w:type="dxa"/>
            <w:vMerge/>
          </w:tcPr>
          <w:p w14:paraId="6010D2D2" w14:textId="77777777" w:rsidR="00454A29" w:rsidRDefault="00454A29"/>
        </w:tc>
        <w:tc>
          <w:tcPr>
            <w:tcW w:w="1417" w:type="dxa"/>
            <w:vMerge/>
          </w:tcPr>
          <w:p w14:paraId="0074A37A" w14:textId="77777777" w:rsidR="00454A29" w:rsidRDefault="00454A29"/>
        </w:tc>
        <w:tc>
          <w:tcPr>
            <w:tcW w:w="2324" w:type="dxa"/>
            <w:vMerge/>
          </w:tcPr>
          <w:p w14:paraId="15B022FD" w14:textId="77777777" w:rsidR="00454A29" w:rsidRDefault="00454A29"/>
        </w:tc>
        <w:tc>
          <w:tcPr>
            <w:tcW w:w="1701" w:type="dxa"/>
            <w:vAlign w:val="center"/>
          </w:tcPr>
          <w:p w14:paraId="213B0913" w14:textId="77777777" w:rsidR="00454A29" w:rsidRDefault="00454A29">
            <w:pPr>
              <w:pStyle w:val="ConsPlusNormal"/>
              <w:jc w:val="center"/>
            </w:pPr>
            <w:r>
              <w:t>-</w:t>
            </w:r>
          </w:p>
        </w:tc>
        <w:tc>
          <w:tcPr>
            <w:tcW w:w="1814" w:type="dxa"/>
            <w:vAlign w:val="center"/>
          </w:tcPr>
          <w:p w14:paraId="70D7CF9D" w14:textId="77777777" w:rsidR="00454A29" w:rsidRDefault="00454A29">
            <w:pPr>
              <w:pStyle w:val="ConsPlusNormal"/>
            </w:pPr>
          </w:p>
        </w:tc>
        <w:tc>
          <w:tcPr>
            <w:tcW w:w="1701" w:type="dxa"/>
            <w:vAlign w:val="center"/>
          </w:tcPr>
          <w:p w14:paraId="2244BAF4" w14:textId="77777777" w:rsidR="00454A29" w:rsidRDefault="00454A29">
            <w:pPr>
              <w:pStyle w:val="ConsPlusNormal"/>
            </w:pPr>
          </w:p>
        </w:tc>
        <w:tc>
          <w:tcPr>
            <w:tcW w:w="1701" w:type="dxa"/>
            <w:vAlign w:val="center"/>
          </w:tcPr>
          <w:p w14:paraId="41C4D6B7" w14:textId="77777777" w:rsidR="00454A29" w:rsidRDefault="00454A29">
            <w:pPr>
              <w:pStyle w:val="ConsPlusNormal"/>
            </w:pPr>
          </w:p>
        </w:tc>
        <w:tc>
          <w:tcPr>
            <w:tcW w:w="1814" w:type="dxa"/>
            <w:vAlign w:val="center"/>
          </w:tcPr>
          <w:p w14:paraId="376E0D89" w14:textId="77777777" w:rsidR="00454A29" w:rsidRDefault="00454A29">
            <w:pPr>
              <w:pStyle w:val="ConsPlusNormal"/>
            </w:pPr>
          </w:p>
        </w:tc>
      </w:tr>
      <w:tr w:rsidR="00454A29" w14:paraId="4778D44C" w14:textId="77777777">
        <w:tc>
          <w:tcPr>
            <w:tcW w:w="567" w:type="dxa"/>
            <w:vMerge/>
          </w:tcPr>
          <w:p w14:paraId="63695BCE" w14:textId="77777777" w:rsidR="00454A29" w:rsidRDefault="00454A29"/>
        </w:tc>
        <w:tc>
          <w:tcPr>
            <w:tcW w:w="3345" w:type="dxa"/>
            <w:vMerge/>
          </w:tcPr>
          <w:p w14:paraId="5BF3EA24" w14:textId="77777777" w:rsidR="00454A29" w:rsidRDefault="00454A29"/>
        </w:tc>
        <w:tc>
          <w:tcPr>
            <w:tcW w:w="1701" w:type="dxa"/>
            <w:vAlign w:val="center"/>
          </w:tcPr>
          <w:p w14:paraId="376A4E08" w14:textId="77777777" w:rsidR="00454A29" w:rsidRDefault="00454A29">
            <w:pPr>
              <w:pStyle w:val="ConsPlusNormal"/>
              <w:jc w:val="center"/>
            </w:pPr>
            <w:r>
              <w:t>2021</w:t>
            </w:r>
          </w:p>
        </w:tc>
        <w:tc>
          <w:tcPr>
            <w:tcW w:w="1417" w:type="dxa"/>
            <w:vMerge/>
          </w:tcPr>
          <w:p w14:paraId="0440526A" w14:textId="77777777" w:rsidR="00454A29" w:rsidRDefault="00454A29"/>
        </w:tc>
        <w:tc>
          <w:tcPr>
            <w:tcW w:w="2204" w:type="dxa"/>
            <w:vMerge/>
          </w:tcPr>
          <w:p w14:paraId="32A66741" w14:textId="77777777" w:rsidR="00454A29" w:rsidRDefault="00454A29"/>
        </w:tc>
        <w:tc>
          <w:tcPr>
            <w:tcW w:w="1417" w:type="dxa"/>
            <w:vMerge/>
          </w:tcPr>
          <w:p w14:paraId="34D3EBAD" w14:textId="77777777" w:rsidR="00454A29" w:rsidRDefault="00454A29"/>
        </w:tc>
        <w:tc>
          <w:tcPr>
            <w:tcW w:w="2324" w:type="dxa"/>
            <w:vMerge/>
          </w:tcPr>
          <w:p w14:paraId="41051521" w14:textId="77777777" w:rsidR="00454A29" w:rsidRDefault="00454A29"/>
        </w:tc>
        <w:tc>
          <w:tcPr>
            <w:tcW w:w="1701" w:type="dxa"/>
            <w:vAlign w:val="center"/>
          </w:tcPr>
          <w:p w14:paraId="7B085F30" w14:textId="77777777" w:rsidR="00454A29" w:rsidRDefault="00454A29">
            <w:pPr>
              <w:pStyle w:val="ConsPlusNormal"/>
              <w:jc w:val="center"/>
            </w:pPr>
            <w:r>
              <w:t>-</w:t>
            </w:r>
          </w:p>
        </w:tc>
        <w:tc>
          <w:tcPr>
            <w:tcW w:w="1814" w:type="dxa"/>
            <w:vAlign w:val="center"/>
          </w:tcPr>
          <w:p w14:paraId="0B38AA3A" w14:textId="77777777" w:rsidR="00454A29" w:rsidRDefault="00454A29">
            <w:pPr>
              <w:pStyle w:val="ConsPlusNormal"/>
            </w:pPr>
          </w:p>
        </w:tc>
        <w:tc>
          <w:tcPr>
            <w:tcW w:w="1701" w:type="dxa"/>
            <w:vAlign w:val="center"/>
          </w:tcPr>
          <w:p w14:paraId="17E73B3B" w14:textId="77777777" w:rsidR="00454A29" w:rsidRDefault="00454A29">
            <w:pPr>
              <w:pStyle w:val="ConsPlusNormal"/>
            </w:pPr>
          </w:p>
        </w:tc>
        <w:tc>
          <w:tcPr>
            <w:tcW w:w="1701" w:type="dxa"/>
            <w:vAlign w:val="center"/>
          </w:tcPr>
          <w:p w14:paraId="1CD7F6D7" w14:textId="77777777" w:rsidR="00454A29" w:rsidRDefault="00454A29">
            <w:pPr>
              <w:pStyle w:val="ConsPlusNormal"/>
            </w:pPr>
          </w:p>
        </w:tc>
        <w:tc>
          <w:tcPr>
            <w:tcW w:w="1814" w:type="dxa"/>
            <w:vAlign w:val="center"/>
          </w:tcPr>
          <w:p w14:paraId="2425569F" w14:textId="77777777" w:rsidR="00454A29" w:rsidRDefault="00454A29">
            <w:pPr>
              <w:pStyle w:val="ConsPlusNormal"/>
            </w:pPr>
          </w:p>
        </w:tc>
      </w:tr>
      <w:tr w:rsidR="00454A29" w14:paraId="5FB957BA" w14:textId="77777777">
        <w:tc>
          <w:tcPr>
            <w:tcW w:w="567" w:type="dxa"/>
            <w:vMerge/>
          </w:tcPr>
          <w:p w14:paraId="01754CD7" w14:textId="77777777" w:rsidR="00454A29" w:rsidRDefault="00454A29"/>
        </w:tc>
        <w:tc>
          <w:tcPr>
            <w:tcW w:w="3345" w:type="dxa"/>
            <w:vMerge/>
          </w:tcPr>
          <w:p w14:paraId="0C1196CC" w14:textId="77777777" w:rsidR="00454A29" w:rsidRDefault="00454A29"/>
        </w:tc>
        <w:tc>
          <w:tcPr>
            <w:tcW w:w="1701" w:type="dxa"/>
            <w:vAlign w:val="center"/>
          </w:tcPr>
          <w:p w14:paraId="19D2B68D" w14:textId="77777777" w:rsidR="00454A29" w:rsidRDefault="00454A29">
            <w:pPr>
              <w:pStyle w:val="ConsPlusNormal"/>
              <w:jc w:val="center"/>
            </w:pPr>
            <w:r>
              <w:t>2022</w:t>
            </w:r>
          </w:p>
        </w:tc>
        <w:tc>
          <w:tcPr>
            <w:tcW w:w="1417" w:type="dxa"/>
            <w:vMerge/>
          </w:tcPr>
          <w:p w14:paraId="43B2052B" w14:textId="77777777" w:rsidR="00454A29" w:rsidRDefault="00454A29"/>
        </w:tc>
        <w:tc>
          <w:tcPr>
            <w:tcW w:w="2204" w:type="dxa"/>
            <w:vMerge/>
          </w:tcPr>
          <w:p w14:paraId="1F7D1ED3" w14:textId="77777777" w:rsidR="00454A29" w:rsidRDefault="00454A29"/>
        </w:tc>
        <w:tc>
          <w:tcPr>
            <w:tcW w:w="1417" w:type="dxa"/>
            <w:vMerge/>
          </w:tcPr>
          <w:p w14:paraId="1E143881" w14:textId="77777777" w:rsidR="00454A29" w:rsidRDefault="00454A29"/>
        </w:tc>
        <w:tc>
          <w:tcPr>
            <w:tcW w:w="2324" w:type="dxa"/>
            <w:vMerge/>
          </w:tcPr>
          <w:p w14:paraId="08C87B04" w14:textId="77777777" w:rsidR="00454A29" w:rsidRDefault="00454A29"/>
        </w:tc>
        <w:tc>
          <w:tcPr>
            <w:tcW w:w="1701" w:type="dxa"/>
            <w:vAlign w:val="center"/>
          </w:tcPr>
          <w:p w14:paraId="0E240D3E" w14:textId="77777777" w:rsidR="00454A29" w:rsidRDefault="00454A29">
            <w:pPr>
              <w:pStyle w:val="ConsPlusNormal"/>
            </w:pPr>
          </w:p>
        </w:tc>
        <w:tc>
          <w:tcPr>
            <w:tcW w:w="1814" w:type="dxa"/>
            <w:vAlign w:val="center"/>
          </w:tcPr>
          <w:p w14:paraId="181CAD43" w14:textId="77777777" w:rsidR="00454A29" w:rsidRDefault="00454A29">
            <w:pPr>
              <w:pStyle w:val="ConsPlusNormal"/>
            </w:pPr>
          </w:p>
        </w:tc>
        <w:tc>
          <w:tcPr>
            <w:tcW w:w="1701" w:type="dxa"/>
            <w:vAlign w:val="center"/>
          </w:tcPr>
          <w:p w14:paraId="1F2F9D7D" w14:textId="77777777" w:rsidR="00454A29" w:rsidRDefault="00454A29">
            <w:pPr>
              <w:pStyle w:val="ConsPlusNormal"/>
            </w:pPr>
          </w:p>
        </w:tc>
        <w:tc>
          <w:tcPr>
            <w:tcW w:w="1701" w:type="dxa"/>
            <w:vAlign w:val="center"/>
          </w:tcPr>
          <w:p w14:paraId="00B97618" w14:textId="77777777" w:rsidR="00454A29" w:rsidRDefault="00454A29">
            <w:pPr>
              <w:pStyle w:val="ConsPlusNormal"/>
            </w:pPr>
          </w:p>
        </w:tc>
        <w:tc>
          <w:tcPr>
            <w:tcW w:w="1814" w:type="dxa"/>
            <w:vAlign w:val="center"/>
          </w:tcPr>
          <w:p w14:paraId="65F4143D" w14:textId="77777777" w:rsidR="00454A29" w:rsidRDefault="00454A29">
            <w:pPr>
              <w:pStyle w:val="ConsPlusNormal"/>
            </w:pPr>
          </w:p>
        </w:tc>
      </w:tr>
      <w:tr w:rsidR="00454A29" w14:paraId="20C70A84" w14:textId="77777777">
        <w:tc>
          <w:tcPr>
            <w:tcW w:w="567" w:type="dxa"/>
            <w:vMerge/>
          </w:tcPr>
          <w:p w14:paraId="646771A1" w14:textId="77777777" w:rsidR="00454A29" w:rsidRDefault="00454A29"/>
        </w:tc>
        <w:tc>
          <w:tcPr>
            <w:tcW w:w="3345" w:type="dxa"/>
            <w:vMerge/>
          </w:tcPr>
          <w:p w14:paraId="6F7F1F60" w14:textId="77777777" w:rsidR="00454A29" w:rsidRDefault="00454A29"/>
        </w:tc>
        <w:tc>
          <w:tcPr>
            <w:tcW w:w="1701" w:type="dxa"/>
            <w:vAlign w:val="center"/>
          </w:tcPr>
          <w:p w14:paraId="7AE3A9AC" w14:textId="77777777" w:rsidR="00454A29" w:rsidRDefault="00454A29">
            <w:pPr>
              <w:pStyle w:val="ConsPlusNormal"/>
              <w:jc w:val="center"/>
            </w:pPr>
            <w:r>
              <w:t>2023</w:t>
            </w:r>
          </w:p>
        </w:tc>
        <w:tc>
          <w:tcPr>
            <w:tcW w:w="1417" w:type="dxa"/>
            <w:vMerge/>
          </w:tcPr>
          <w:p w14:paraId="0AF118CF" w14:textId="77777777" w:rsidR="00454A29" w:rsidRDefault="00454A29"/>
        </w:tc>
        <w:tc>
          <w:tcPr>
            <w:tcW w:w="2204" w:type="dxa"/>
            <w:vMerge/>
          </w:tcPr>
          <w:p w14:paraId="5E517146" w14:textId="77777777" w:rsidR="00454A29" w:rsidRDefault="00454A29"/>
        </w:tc>
        <w:tc>
          <w:tcPr>
            <w:tcW w:w="1417" w:type="dxa"/>
            <w:vMerge/>
          </w:tcPr>
          <w:p w14:paraId="75736D7B" w14:textId="77777777" w:rsidR="00454A29" w:rsidRDefault="00454A29"/>
        </w:tc>
        <w:tc>
          <w:tcPr>
            <w:tcW w:w="2324" w:type="dxa"/>
            <w:vMerge/>
          </w:tcPr>
          <w:p w14:paraId="683C0CD4" w14:textId="77777777" w:rsidR="00454A29" w:rsidRDefault="00454A29"/>
        </w:tc>
        <w:tc>
          <w:tcPr>
            <w:tcW w:w="1701" w:type="dxa"/>
            <w:vAlign w:val="center"/>
          </w:tcPr>
          <w:p w14:paraId="62C518AD" w14:textId="77777777" w:rsidR="00454A29" w:rsidRDefault="00454A29">
            <w:pPr>
              <w:pStyle w:val="ConsPlusNormal"/>
              <w:jc w:val="center"/>
            </w:pPr>
            <w:r>
              <w:t>62 716,32</w:t>
            </w:r>
          </w:p>
        </w:tc>
        <w:tc>
          <w:tcPr>
            <w:tcW w:w="1814" w:type="dxa"/>
            <w:vAlign w:val="center"/>
          </w:tcPr>
          <w:p w14:paraId="3E5081C2" w14:textId="77777777" w:rsidR="00454A29" w:rsidRDefault="00454A29">
            <w:pPr>
              <w:pStyle w:val="ConsPlusNormal"/>
              <w:jc w:val="center"/>
            </w:pPr>
            <w:r>
              <w:t>62 716,32</w:t>
            </w:r>
          </w:p>
        </w:tc>
        <w:tc>
          <w:tcPr>
            <w:tcW w:w="1701" w:type="dxa"/>
            <w:vAlign w:val="center"/>
          </w:tcPr>
          <w:p w14:paraId="318ED24F" w14:textId="77777777" w:rsidR="00454A29" w:rsidRDefault="00454A29">
            <w:pPr>
              <w:pStyle w:val="ConsPlusNormal"/>
            </w:pPr>
          </w:p>
        </w:tc>
        <w:tc>
          <w:tcPr>
            <w:tcW w:w="1701" w:type="dxa"/>
            <w:vAlign w:val="center"/>
          </w:tcPr>
          <w:p w14:paraId="4F26EA94" w14:textId="77777777" w:rsidR="00454A29" w:rsidRDefault="00454A29">
            <w:pPr>
              <w:pStyle w:val="ConsPlusNormal"/>
            </w:pPr>
          </w:p>
        </w:tc>
        <w:tc>
          <w:tcPr>
            <w:tcW w:w="1814" w:type="dxa"/>
            <w:vAlign w:val="center"/>
          </w:tcPr>
          <w:p w14:paraId="23020D5A" w14:textId="77777777" w:rsidR="00454A29" w:rsidRDefault="00454A29">
            <w:pPr>
              <w:pStyle w:val="ConsPlusNormal"/>
            </w:pPr>
          </w:p>
        </w:tc>
      </w:tr>
      <w:tr w:rsidR="00454A29" w14:paraId="7E7A1508" w14:textId="77777777">
        <w:tc>
          <w:tcPr>
            <w:tcW w:w="567" w:type="dxa"/>
            <w:vMerge/>
          </w:tcPr>
          <w:p w14:paraId="0EEB351C" w14:textId="77777777" w:rsidR="00454A29" w:rsidRDefault="00454A29"/>
        </w:tc>
        <w:tc>
          <w:tcPr>
            <w:tcW w:w="3345" w:type="dxa"/>
            <w:vMerge/>
          </w:tcPr>
          <w:p w14:paraId="70612DC3" w14:textId="77777777" w:rsidR="00454A29" w:rsidRDefault="00454A29"/>
        </w:tc>
        <w:tc>
          <w:tcPr>
            <w:tcW w:w="1701" w:type="dxa"/>
            <w:vAlign w:val="center"/>
          </w:tcPr>
          <w:p w14:paraId="5B2593B0" w14:textId="77777777" w:rsidR="00454A29" w:rsidRDefault="00454A29">
            <w:pPr>
              <w:pStyle w:val="ConsPlusNormal"/>
              <w:jc w:val="center"/>
            </w:pPr>
            <w:r>
              <w:t>2024</w:t>
            </w:r>
          </w:p>
        </w:tc>
        <w:tc>
          <w:tcPr>
            <w:tcW w:w="1417" w:type="dxa"/>
            <w:vMerge/>
          </w:tcPr>
          <w:p w14:paraId="4B9FBEE6" w14:textId="77777777" w:rsidR="00454A29" w:rsidRDefault="00454A29"/>
        </w:tc>
        <w:tc>
          <w:tcPr>
            <w:tcW w:w="2204" w:type="dxa"/>
            <w:vMerge/>
          </w:tcPr>
          <w:p w14:paraId="4A6B4FFA" w14:textId="77777777" w:rsidR="00454A29" w:rsidRDefault="00454A29"/>
        </w:tc>
        <w:tc>
          <w:tcPr>
            <w:tcW w:w="1417" w:type="dxa"/>
            <w:vMerge/>
          </w:tcPr>
          <w:p w14:paraId="11E7FC2B" w14:textId="77777777" w:rsidR="00454A29" w:rsidRDefault="00454A29"/>
        </w:tc>
        <w:tc>
          <w:tcPr>
            <w:tcW w:w="2324" w:type="dxa"/>
            <w:vMerge/>
          </w:tcPr>
          <w:p w14:paraId="0BC1C901" w14:textId="77777777" w:rsidR="00454A29" w:rsidRDefault="00454A29"/>
        </w:tc>
        <w:tc>
          <w:tcPr>
            <w:tcW w:w="1701" w:type="dxa"/>
            <w:vAlign w:val="center"/>
          </w:tcPr>
          <w:p w14:paraId="2448D480" w14:textId="77777777" w:rsidR="00454A29" w:rsidRDefault="00454A29">
            <w:pPr>
              <w:pStyle w:val="ConsPlusNormal"/>
              <w:jc w:val="center"/>
            </w:pPr>
            <w:r>
              <w:t>-</w:t>
            </w:r>
          </w:p>
        </w:tc>
        <w:tc>
          <w:tcPr>
            <w:tcW w:w="1814" w:type="dxa"/>
            <w:vAlign w:val="center"/>
          </w:tcPr>
          <w:p w14:paraId="190D01A1" w14:textId="77777777" w:rsidR="00454A29" w:rsidRDefault="00454A29">
            <w:pPr>
              <w:pStyle w:val="ConsPlusNormal"/>
            </w:pPr>
          </w:p>
        </w:tc>
        <w:tc>
          <w:tcPr>
            <w:tcW w:w="1701" w:type="dxa"/>
            <w:vAlign w:val="center"/>
          </w:tcPr>
          <w:p w14:paraId="230429C6" w14:textId="77777777" w:rsidR="00454A29" w:rsidRDefault="00454A29">
            <w:pPr>
              <w:pStyle w:val="ConsPlusNormal"/>
            </w:pPr>
          </w:p>
        </w:tc>
        <w:tc>
          <w:tcPr>
            <w:tcW w:w="1701" w:type="dxa"/>
            <w:vAlign w:val="center"/>
          </w:tcPr>
          <w:p w14:paraId="71C351D1" w14:textId="77777777" w:rsidR="00454A29" w:rsidRDefault="00454A29">
            <w:pPr>
              <w:pStyle w:val="ConsPlusNormal"/>
            </w:pPr>
          </w:p>
        </w:tc>
        <w:tc>
          <w:tcPr>
            <w:tcW w:w="1814" w:type="dxa"/>
            <w:vAlign w:val="center"/>
          </w:tcPr>
          <w:p w14:paraId="6D26A44D" w14:textId="77777777" w:rsidR="00454A29" w:rsidRDefault="00454A29">
            <w:pPr>
              <w:pStyle w:val="ConsPlusNormal"/>
            </w:pPr>
          </w:p>
        </w:tc>
      </w:tr>
      <w:tr w:rsidR="00454A29" w14:paraId="2E29E4E9" w14:textId="77777777">
        <w:tc>
          <w:tcPr>
            <w:tcW w:w="567" w:type="dxa"/>
            <w:vMerge/>
          </w:tcPr>
          <w:p w14:paraId="2C85C5E0" w14:textId="77777777" w:rsidR="00454A29" w:rsidRDefault="00454A29"/>
        </w:tc>
        <w:tc>
          <w:tcPr>
            <w:tcW w:w="3345" w:type="dxa"/>
            <w:vMerge/>
          </w:tcPr>
          <w:p w14:paraId="2304E07E" w14:textId="77777777" w:rsidR="00454A29" w:rsidRDefault="00454A29"/>
        </w:tc>
        <w:tc>
          <w:tcPr>
            <w:tcW w:w="1701" w:type="dxa"/>
            <w:vAlign w:val="center"/>
          </w:tcPr>
          <w:p w14:paraId="0D250B82" w14:textId="77777777" w:rsidR="00454A29" w:rsidRDefault="00454A29">
            <w:pPr>
              <w:pStyle w:val="ConsPlusNormal"/>
              <w:jc w:val="center"/>
            </w:pPr>
            <w:r>
              <w:t>2025</w:t>
            </w:r>
          </w:p>
        </w:tc>
        <w:tc>
          <w:tcPr>
            <w:tcW w:w="1417" w:type="dxa"/>
            <w:vMerge/>
          </w:tcPr>
          <w:p w14:paraId="61372383" w14:textId="77777777" w:rsidR="00454A29" w:rsidRDefault="00454A29"/>
        </w:tc>
        <w:tc>
          <w:tcPr>
            <w:tcW w:w="2204" w:type="dxa"/>
            <w:vMerge/>
          </w:tcPr>
          <w:p w14:paraId="1B5A35A7" w14:textId="77777777" w:rsidR="00454A29" w:rsidRDefault="00454A29"/>
        </w:tc>
        <w:tc>
          <w:tcPr>
            <w:tcW w:w="1417" w:type="dxa"/>
            <w:vMerge/>
          </w:tcPr>
          <w:p w14:paraId="6EC91212" w14:textId="77777777" w:rsidR="00454A29" w:rsidRDefault="00454A29"/>
        </w:tc>
        <w:tc>
          <w:tcPr>
            <w:tcW w:w="2324" w:type="dxa"/>
            <w:vMerge/>
          </w:tcPr>
          <w:p w14:paraId="32C7248A" w14:textId="77777777" w:rsidR="00454A29" w:rsidRDefault="00454A29"/>
        </w:tc>
        <w:tc>
          <w:tcPr>
            <w:tcW w:w="1701" w:type="dxa"/>
            <w:vAlign w:val="center"/>
          </w:tcPr>
          <w:p w14:paraId="1CD1A078" w14:textId="77777777" w:rsidR="00454A29" w:rsidRDefault="00454A29">
            <w:pPr>
              <w:pStyle w:val="ConsPlusNormal"/>
              <w:jc w:val="center"/>
            </w:pPr>
            <w:r>
              <w:t>-</w:t>
            </w:r>
          </w:p>
        </w:tc>
        <w:tc>
          <w:tcPr>
            <w:tcW w:w="1814" w:type="dxa"/>
            <w:vAlign w:val="center"/>
          </w:tcPr>
          <w:p w14:paraId="3105E95F" w14:textId="77777777" w:rsidR="00454A29" w:rsidRDefault="00454A29">
            <w:pPr>
              <w:pStyle w:val="ConsPlusNormal"/>
            </w:pPr>
          </w:p>
        </w:tc>
        <w:tc>
          <w:tcPr>
            <w:tcW w:w="1701" w:type="dxa"/>
            <w:vAlign w:val="center"/>
          </w:tcPr>
          <w:p w14:paraId="4AD6A9D1" w14:textId="77777777" w:rsidR="00454A29" w:rsidRDefault="00454A29">
            <w:pPr>
              <w:pStyle w:val="ConsPlusNormal"/>
            </w:pPr>
          </w:p>
        </w:tc>
        <w:tc>
          <w:tcPr>
            <w:tcW w:w="1701" w:type="dxa"/>
            <w:vAlign w:val="center"/>
          </w:tcPr>
          <w:p w14:paraId="283D9BA2" w14:textId="77777777" w:rsidR="00454A29" w:rsidRDefault="00454A29">
            <w:pPr>
              <w:pStyle w:val="ConsPlusNormal"/>
            </w:pPr>
          </w:p>
        </w:tc>
        <w:tc>
          <w:tcPr>
            <w:tcW w:w="1814" w:type="dxa"/>
            <w:vAlign w:val="center"/>
          </w:tcPr>
          <w:p w14:paraId="5E884E1F" w14:textId="77777777" w:rsidR="00454A29" w:rsidRDefault="00454A29">
            <w:pPr>
              <w:pStyle w:val="ConsPlusNormal"/>
            </w:pPr>
          </w:p>
        </w:tc>
      </w:tr>
      <w:tr w:rsidR="00454A29" w14:paraId="64CFD9FE" w14:textId="77777777">
        <w:tc>
          <w:tcPr>
            <w:tcW w:w="567" w:type="dxa"/>
            <w:vMerge/>
          </w:tcPr>
          <w:p w14:paraId="183F9CD5" w14:textId="77777777" w:rsidR="00454A29" w:rsidRDefault="00454A29"/>
        </w:tc>
        <w:tc>
          <w:tcPr>
            <w:tcW w:w="3345" w:type="dxa"/>
            <w:vMerge/>
          </w:tcPr>
          <w:p w14:paraId="5B705737" w14:textId="77777777" w:rsidR="00454A29" w:rsidRDefault="00454A29"/>
        </w:tc>
        <w:tc>
          <w:tcPr>
            <w:tcW w:w="1701" w:type="dxa"/>
            <w:vAlign w:val="center"/>
          </w:tcPr>
          <w:p w14:paraId="7FCECFE3" w14:textId="77777777" w:rsidR="00454A29" w:rsidRDefault="00454A29">
            <w:pPr>
              <w:pStyle w:val="ConsPlusNormal"/>
              <w:jc w:val="center"/>
            </w:pPr>
            <w:r>
              <w:t>2026</w:t>
            </w:r>
          </w:p>
        </w:tc>
        <w:tc>
          <w:tcPr>
            <w:tcW w:w="1417" w:type="dxa"/>
            <w:vMerge/>
          </w:tcPr>
          <w:p w14:paraId="3C0A41C8" w14:textId="77777777" w:rsidR="00454A29" w:rsidRDefault="00454A29"/>
        </w:tc>
        <w:tc>
          <w:tcPr>
            <w:tcW w:w="2204" w:type="dxa"/>
            <w:vMerge/>
          </w:tcPr>
          <w:p w14:paraId="708A7B7B" w14:textId="77777777" w:rsidR="00454A29" w:rsidRDefault="00454A29"/>
        </w:tc>
        <w:tc>
          <w:tcPr>
            <w:tcW w:w="1417" w:type="dxa"/>
            <w:vMerge/>
          </w:tcPr>
          <w:p w14:paraId="0BB0181F" w14:textId="77777777" w:rsidR="00454A29" w:rsidRDefault="00454A29"/>
        </w:tc>
        <w:tc>
          <w:tcPr>
            <w:tcW w:w="2324" w:type="dxa"/>
            <w:vMerge/>
          </w:tcPr>
          <w:p w14:paraId="7D9A093E" w14:textId="77777777" w:rsidR="00454A29" w:rsidRDefault="00454A29"/>
        </w:tc>
        <w:tc>
          <w:tcPr>
            <w:tcW w:w="1701" w:type="dxa"/>
            <w:vAlign w:val="center"/>
          </w:tcPr>
          <w:p w14:paraId="19618144" w14:textId="77777777" w:rsidR="00454A29" w:rsidRDefault="00454A29">
            <w:pPr>
              <w:pStyle w:val="ConsPlusNormal"/>
              <w:jc w:val="center"/>
            </w:pPr>
            <w:r>
              <w:t>-</w:t>
            </w:r>
          </w:p>
        </w:tc>
        <w:tc>
          <w:tcPr>
            <w:tcW w:w="1814" w:type="dxa"/>
            <w:vAlign w:val="center"/>
          </w:tcPr>
          <w:p w14:paraId="4CA8DD5A" w14:textId="77777777" w:rsidR="00454A29" w:rsidRDefault="00454A29">
            <w:pPr>
              <w:pStyle w:val="ConsPlusNormal"/>
            </w:pPr>
          </w:p>
        </w:tc>
        <w:tc>
          <w:tcPr>
            <w:tcW w:w="1701" w:type="dxa"/>
            <w:vAlign w:val="center"/>
          </w:tcPr>
          <w:p w14:paraId="0540A2C3" w14:textId="77777777" w:rsidR="00454A29" w:rsidRDefault="00454A29">
            <w:pPr>
              <w:pStyle w:val="ConsPlusNormal"/>
            </w:pPr>
          </w:p>
        </w:tc>
        <w:tc>
          <w:tcPr>
            <w:tcW w:w="1701" w:type="dxa"/>
            <w:vAlign w:val="center"/>
          </w:tcPr>
          <w:p w14:paraId="1BB0B6E2" w14:textId="77777777" w:rsidR="00454A29" w:rsidRDefault="00454A29">
            <w:pPr>
              <w:pStyle w:val="ConsPlusNormal"/>
            </w:pPr>
          </w:p>
        </w:tc>
        <w:tc>
          <w:tcPr>
            <w:tcW w:w="1814" w:type="dxa"/>
            <w:vAlign w:val="center"/>
          </w:tcPr>
          <w:p w14:paraId="6564BDBD" w14:textId="77777777" w:rsidR="00454A29" w:rsidRDefault="00454A29">
            <w:pPr>
              <w:pStyle w:val="ConsPlusNormal"/>
            </w:pPr>
          </w:p>
        </w:tc>
      </w:tr>
      <w:tr w:rsidR="00454A29" w14:paraId="0D8AF1C6" w14:textId="77777777">
        <w:tc>
          <w:tcPr>
            <w:tcW w:w="567" w:type="dxa"/>
            <w:vMerge w:val="restart"/>
            <w:vAlign w:val="center"/>
          </w:tcPr>
          <w:p w14:paraId="14EAD96A" w14:textId="77777777" w:rsidR="00454A29" w:rsidRDefault="00454A29">
            <w:pPr>
              <w:pStyle w:val="ConsPlusNormal"/>
              <w:jc w:val="center"/>
            </w:pPr>
            <w:r>
              <w:t>52</w:t>
            </w:r>
          </w:p>
        </w:tc>
        <w:tc>
          <w:tcPr>
            <w:tcW w:w="3345" w:type="dxa"/>
            <w:vMerge w:val="restart"/>
            <w:vAlign w:val="center"/>
          </w:tcPr>
          <w:p w14:paraId="10A37FD1" w14:textId="77777777" w:rsidR="00454A29" w:rsidRDefault="00454A29">
            <w:pPr>
              <w:pStyle w:val="ConsPlusNormal"/>
              <w:jc w:val="center"/>
            </w:pPr>
            <w:r>
              <w:t>Детский сад в с. Туора-Кюель на 50 мест Таттинского улуса</w:t>
            </w:r>
          </w:p>
        </w:tc>
        <w:tc>
          <w:tcPr>
            <w:tcW w:w="1701" w:type="dxa"/>
            <w:vAlign w:val="center"/>
          </w:tcPr>
          <w:p w14:paraId="6B6B3344" w14:textId="77777777" w:rsidR="00454A29" w:rsidRDefault="00454A29">
            <w:pPr>
              <w:pStyle w:val="ConsPlusNormal"/>
              <w:jc w:val="center"/>
            </w:pPr>
            <w:r>
              <w:t>2020 - 2026 годы - всего</w:t>
            </w:r>
          </w:p>
        </w:tc>
        <w:tc>
          <w:tcPr>
            <w:tcW w:w="1417" w:type="dxa"/>
            <w:vMerge w:val="restart"/>
            <w:vAlign w:val="center"/>
          </w:tcPr>
          <w:p w14:paraId="0A9A9657" w14:textId="77777777" w:rsidR="00454A29" w:rsidRDefault="00454A29">
            <w:pPr>
              <w:pStyle w:val="ConsPlusNormal"/>
              <w:jc w:val="center"/>
            </w:pPr>
            <w:r>
              <w:t>84 788,99</w:t>
            </w:r>
          </w:p>
        </w:tc>
        <w:tc>
          <w:tcPr>
            <w:tcW w:w="2204" w:type="dxa"/>
            <w:vMerge w:val="restart"/>
            <w:vAlign w:val="center"/>
          </w:tcPr>
          <w:p w14:paraId="67864AF7" w14:textId="77777777" w:rsidR="00454A29" w:rsidRDefault="00454A29">
            <w:pPr>
              <w:pStyle w:val="ConsPlusNormal"/>
            </w:pPr>
          </w:p>
        </w:tc>
        <w:tc>
          <w:tcPr>
            <w:tcW w:w="1417" w:type="dxa"/>
            <w:vMerge w:val="restart"/>
            <w:vAlign w:val="center"/>
          </w:tcPr>
          <w:p w14:paraId="25F6CAE3" w14:textId="77777777" w:rsidR="00454A29" w:rsidRDefault="00454A29">
            <w:pPr>
              <w:pStyle w:val="ConsPlusNormal"/>
              <w:jc w:val="center"/>
            </w:pPr>
            <w:r>
              <w:t>50</w:t>
            </w:r>
          </w:p>
        </w:tc>
        <w:tc>
          <w:tcPr>
            <w:tcW w:w="2324" w:type="dxa"/>
            <w:vMerge w:val="restart"/>
            <w:vAlign w:val="center"/>
          </w:tcPr>
          <w:p w14:paraId="07D22230" w14:textId="77777777" w:rsidR="00454A29" w:rsidRDefault="00454A29">
            <w:pPr>
              <w:pStyle w:val="ConsPlusNormal"/>
              <w:jc w:val="center"/>
            </w:pPr>
            <w:r>
              <w:t>Минстрой РС(Я), МР "Таттинский улус"</w:t>
            </w:r>
          </w:p>
        </w:tc>
        <w:tc>
          <w:tcPr>
            <w:tcW w:w="1701" w:type="dxa"/>
            <w:vAlign w:val="center"/>
          </w:tcPr>
          <w:p w14:paraId="23763600" w14:textId="77777777" w:rsidR="00454A29" w:rsidRDefault="00454A29">
            <w:pPr>
              <w:pStyle w:val="ConsPlusNormal"/>
              <w:jc w:val="center"/>
            </w:pPr>
            <w:r>
              <w:t>49 389,59</w:t>
            </w:r>
          </w:p>
        </w:tc>
        <w:tc>
          <w:tcPr>
            <w:tcW w:w="1814" w:type="dxa"/>
            <w:vAlign w:val="center"/>
          </w:tcPr>
          <w:p w14:paraId="09025813" w14:textId="77777777" w:rsidR="00454A29" w:rsidRDefault="00454A29">
            <w:pPr>
              <w:pStyle w:val="ConsPlusNormal"/>
              <w:jc w:val="center"/>
            </w:pPr>
            <w:r>
              <w:t>49 389,59</w:t>
            </w:r>
          </w:p>
        </w:tc>
        <w:tc>
          <w:tcPr>
            <w:tcW w:w="1701" w:type="dxa"/>
            <w:vAlign w:val="center"/>
          </w:tcPr>
          <w:p w14:paraId="39F97B9D" w14:textId="77777777" w:rsidR="00454A29" w:rsidRDefault="00454A29">
            <w:pPr>
              <w:pStyle w:val="ConsPlusNormal"/>
              <w:jc w:val="center"/>
            </w:pPr>
            <w:r>
              <w:t>-</w:t>
            </w:r>
          </w:p>
        </w:tc>
        <w:tc>
          <w:tcPr>
            <w:tcW w:w="1701" w:type="dxa"/>
            <w:vAlign w:val="center"/>
          </w:tcPr>
          <w:p w14:paraId="3307FE0B" w14:textId="77777777" w:rsidR="00454A29" w:rsidRDefault="00454A29">
            <w:pPr>
              <w:pStyle w:val="ConsPlusNormal"/>
              <w:jc w:val="center"/>
            </w:pPr>
            <w:r>
              <w:t>-</w:t>
            </w:r>
          </w:p>
        </w:tc>
        <w:tc>
          <w:tcPr>
            <w:tcW w:w="1814" w:type="dxa"/>
            <w:vAlign w:val="center"/>
          </w:tcPr>
          <w:p w14:paraId="54A9B4D3" w14:textId="77777777" w:rsidR="00454A29" w:rsidRDefault="00454A29">
            <w:pPr>
              <w:pStyle w:val="ConsPlusNormal"/>
              <w:jc w:val="center"/>
            </w:pPr>
            <w:r>
              <w:t>-</w:t>
            </w:r>
          </w:p>
        </w:tc>
      </w:tr>
      <w:tr w:rsidR="00454A29" w14:paraId="4356018C" w14:textId="77777777">
        <w:tc>
          <w:tcPr>
            <w:tcW w:w="567" w:type="dxa"/>
            <w:vMerge/>
          </w:tcPr>
          <w:p w14:paraId="2669FAB8" w14:textId="77777777" w:rsidR="00454A29" w:rsidRDefault="00454A29"/>
        </w:tc>
        <w:tc>
          <w:tcPr>
            <w:tcW w:w="3345" w:type="dxa"/>
            <w:vMerge/>
          </w:tcPr>
          <w:p w14:paraId="4AC42AC0" w14:textId="77777777" w:rsidR="00454A29" w:rsidRDefault="00454A29"/>
        </w:tc>
        <w:tc>
          <w:tcPr>
            <w:tcW w:w="1701" w:type="dxa"/>
            <w:vAlign w:val="center"/>
          </w:tcPr>
          <w:p w14:paraId="62A8F3A5" w14:textId="77777777" w:rsidR="00454A29" w:rsidRDefault="00454A29">
            <w:pPr>
              <w:pStyle w:val="ConsPlusNormal"/>
              <w:jc w:val="center"/>
            </w:pPr>
            <w:r>
              <w:t>2020</w:t>
            </w:r>
          </w:p>
        </w:tc>
        <w:tc>
          <w:tcPr>
            <w:tcW w:w="1417" w:type="dxa"/>
            <w:vMerge/>
          </w:tcPr>
          <w:p w14:paraId="0697F05D" w14:textId="77777777" w:rsidR="00454A29" w:rsidRDefault="00454A29"/>
        </w:tc>
        <w:tc>
          <w:tcPr>
            <w:tcW w:w="2204" w:type="dxa"/>
            <w:vMerge/>
          </w:tcPr>
          <w:p w14:paraId="0DECD716" w14:textId="77777777" w:rsidR="00454A29" w:rsidRDefault="00454A29"/>
        </w:tc>
        <w:tc>
          <w:tcPr>
            <w:tcW w:w="1417" w:type="dxa"/>
            <w:vMerge/>
          </w:tcPr>
          <w:p w14:paraId="52041C6A" w14:textId="77777777" w:rsidR="00454A29" w:rsidRDefault="00454A29"/>
        </w:tc>
        <w:tc>
          <w:tcPr>
            <w:tcW w:w="2324" w:type="dxa"/>
            <w:vMerge/>
          </w:tcPr>
          <w:p w14:paraId="02C2FBE8" w14:textId="77777777" w:rsidR="00454A29" w:rsidRDefault="00454A29"/>
        </w:tc>
        <w:tc>
          <w:tcPr>
            <w:tcW w:w="1701" w:type="dxa"/>
            <w:vAlign w:val="center"/>
          </w:tcPr>
          <w:p w14:paraId="0D46AE41" w14:textId="77777777" w:rsidR="00454A29" w:rsidRDefault="00454A29">
            <w:pPr>
              <w:pStyle w:val="ConsPlusNormal"/>
              <w:jc w:val="center"/>
            </w:pPr>
            <w:r>
              <w:t>-</w:t>
            </w:r>
          </w:p>
        </w:tc>
        <w:tc>
          <w:tcPr>
            <w:tcW w:w="1814" w:type="dxa"/>
            <w:vAlign w:val="center"/>
          </w:tcPr>
          <w:p w14:paraId="6B97A537" w14:textId="77777777" w:rsidR="00454A29" w:rsidRDefault="00454A29">
            <w:pPr>
              <w:pStyle w:val="ConsPlusNormal"/>
            </w:pPr>
          </w:p>
        </w:tc>
        <w:tc>
          <w:tcPr>
            <w:tcW w:w="1701" w:type="dxa"/>
            <w:vAlign w:val="center"/>
          </w:tcPr>
          <w:p w14:paraId="33AA2941" w14:textId="77777777" w:rsidR="00454A29" w:rsidRDefault="00454A29">
            <w:pPr>
              <w:pStyle w:val="ConsPlusNormal"/>
            </w:pPr>
          </w:p>
        </w:tc>
        <w:tc>
          <w:tcPr>
            <w:tcW w:w="1701" w:type="dxa"/>
            <w:vAlign w:val="center"/>
          </w:tcPr>
          <w:p w14:paraId="21FD7E1A" w14:textId="77777777" w:rsidR="00454A29" w:rsidRDefault="00454A29">
            <w:pPr>
              <w:pStyle w:val="ConsPlusNormal"/>
            </w:pPr>
          </w:p>
        </w:tc>
        <w:tc>
          <w:tcPr>
            <w:tcW w:w="1814" w:type="dxa"/>
            <w:vAlign w:val="center"/>
          </w:tcPr>
          <w:p w14:paraId="14DB7CF8" w14:textId="77777777" w:rsidR="00454A29" w:rsidRDefault="00454A29">
            <w:pPr>
              <w:pStyle w:val="ConsPlusNormal"/>
            </w:pPr>
          </w:p>
        </w:tc>
      </w:tr>
      <w:tr w:rsidR="00454A29" w14:paraId="09B70AB0" w14:textId="77777777">
        <w:tc>
          <w:tcPr>
            <w:tcW w:w="567" w:type="dxa"/>
            <w:vMerge/>
          </w:tcPr>
          <w:p w14:paraId="55862E53" w14:textId="77777777" w:rsidR="00454A29" w:rsidRDefault="00454A29"/>
        </w:tc>
        <w:tc>
          <w:tcPr>
            <w:tcW w:w="3345" w:type="dxa"/>
            <w:vMerge/>
          </w:tcPr>
          <w:p w14:paraId="17AC1786" w14:textId="77777777" w:rsidR="00454A29" w:rsidRDefault="00454A29"/>
        </w:tc>
        <w:tc>
          <w:tcPr>
            <w:tcW w:w="1701" w:type="dxa"/>
            <w:vAlign w:val="center"/>
          </w:tcPr>
          <w:p w14:paraId="400F1C56" w14:textId="77777777" w:rsidR="00454A29" w:rsidRDefault="00454A29">
            <w:pPr>
              <w:pStyle w:val="ConsPlusNormal"/>
              <w:jc w:val="center"/>
            </w:pPr>
            <w:r>
              <w:t>2021</w:t>
            </w:r>
          </w:p>
        </w:tc>
        <w:tc>
          <w:tcPr>
            <w:tcW w:w="1417" w:type="dxa"/>
            <w:vMerge/>
          </w:tcPr>
          <w:p w14:paraId="1EBEF2F9" w14:textId="77777777" w:rsidR="00454A29" w:rsidRDefault="00454A29"/>
        </w:tc>
        <w:tc>
          <w:tcPr>
            <w:tcW w:w="2204" w:type="dxa"/>
            <w:vMerge/>
          </w:tcPr>
          <w:p w14:paraId="1E7C0B3B" w14:textId="77777777" w:rsidR="00454A29" w:rsidRDefault="00454A29"/>
        </w:tc>
        <w:tc>
          <w:tcPr>
            <w:tcW w:w="1417" w:type="dxa"/>
            <w:vMerge/>
          </w:tcPr>
          <w:p w14:paraId="17C7A8EF" w14:textId="77777777" w:rsidR="00454A29" w:rsidRDefault="00454A29"/>
        </w:tc>
        <w:tc>
          <w:tcPr>
            <w:tcW w:w="2324" w:type="dxa"/>
            <w:vMerge/>
          </w:tcPr>
          <w:p w14:paraId="61A88BC6" w14:textId="77777777" w:rsidR="00454A29" w:rsidRDefault="00454A29"/>
        </w:tc>
        <w:tc>
          <w:tcPr>
            <w:tcW w:w="1701" w:type="dxa"/>
            <w:vAlign w:val="center"/>
          </w:tcPr>
          <w:p w14:paraId="1A07188D" w14:textId="77777777" w:rsidR="00454A29" w:rsidRDefault="00454A29">
            <w:pPr>
              <w:pStyle w:val="ConsPlusNormal"/>
              <w:jc w:val="center"/>
            </w:pPr>
            <w:r>
              <w:t>-</w:t>
            </w:r>
          </w:p>
        </w:tc>
        <w:tc>
          <w:tcPr>
            <w:tcW w:w="1814" w:type="dxa"/>
            <w:vAlign w:val="center"/>
          </w:tcPr>
          <w:p w14:paraId="1D45A919" w14:textId="77777777" w:rsidR="00454A29" w:rsidRDefault="00454A29">
            <w:pPr>
              <w:pStyle w:val="ConsPlusNormal"/>
            </w:pPr>
          </w:p>
        </w:tc>
        <w:tc>
          <w:tcPr>
            <w:tcW w:w="1701" w:type="dxa"/>
            <w:vAlign w:val="center"/>
          </w:tcPr>
          <w:p w14:paraId="1474EFB0" w14:textId="77777777" w:rsidR="00454A29" w:rsidRDefault="00454A29">
            <w:pPr>
              <w:pStyle w:val="ConsPlusNormal"/>
            </w:pPr>
          </w:p>
        </w:tc>
        <w:tc>
          <w:tcPr>
            <w:tcW w:w="1701" w:type="dxa"/>
            <w:vAlign w:val="center"/>
          </w:tcPr>
          <w:p w14:paraId="651BF0FA" w14:textId="77777777" w:rsidR="00454A29" w:rsidRDefault="00454A29">
            <w:pPr>
              <w:pStyle w:val="ConsPlusNormal"/>
            </w:pPr>
          </w:p>
        </w:tc>
        <w:tc>
          <w:tcPr>
            <w:tcW w:w="1814" w:type="dxa"/>
            <w:vAlign w:val="center"/>
          </w:tcPr>
          <w:p w14:paraId="7BF88FF1" w14:textId="77777777" w:rsidR="00454A29" w:rsidRDefault="00454A29">
            <w:pPr>
              <w:pStyle w:val="ConsPlusNormal"/>
            </w:pPr>
          </w:p>
        </w:tc>
      </w:tr>
      <w:tr w:rsidR="00454A29" w14:paraId="25DA9907" w14:textId="77777777">
        <w:tc>
          <w:tcPr>
            <w:tcW w:w="567" w:type="dxa"/>
            <w:vMerge/>
          </w:tcPr>
          <w:p w14:paraId="4E21B869" w14:textId="77777777" w:rsidR="00454A29" w:rsidRDefault="00454A29"/>
        </w:tc>
        <w:tc>
          <w:tcPr>
            <w:tcW w:w="3345" w:type="dxa"/>
            <w:vMerge/>
          </w:tcPr>
          <w:p w14:paraId="7EAC7001" w14:textId="77777777" w:rsidR="00454A29" w:rsidRDefault="00454A29"/>
        </w:tc>
        <w:tc>
          <w:tcPr>
            <w:tcW w:w="1701" w:type="dxa"/>
            <w:vAlign w:val="center"/>
          </w:tcPr>
          <w:p w14:paraId="3851CABA" w14:textId="77777777" w:rsidR="00454A29" w:rsidRDefault="00454A29">
            <w:pPr>
              <w:pStyle w:val="ConsPlusNormal"/>
              <w:jc w:val="center"/>
            </w:pPr>
            <w:r>
              <w:t>2022</w:t>
            </w:r>
          </w:p>
        </w:tc>
        <w:tc>
          <w:tcPr>
            <w:tcW w:w="1417" w:type="dxa"/>
            <w:vMerge/>
          </w:tcPr>
          <w:p w14:paraId="34DB1EDB" w14:textId="77777777" w:rsidR="00454A29" w:rsidRDefault="00454A29"/>
        </w:tc>
        <w:tc>
          <w:tcPr>
            <w:tcW w:w="2204" w:type="dxa"/>
            <w:vMerge/>
          </w:tcPr>
          <w:p w14:paraId="553B96DE" w14:textId="77777777" w:rsidR="00454A29" w:rsidRDefault="00454A29"/>
        </w:tc>
        <w:tc>
          <w:tcPr>
            <w:tcW w:w="1417" w:type="dxa"/>
            <w:vMerge/>
          </w:tcPr>
          <w:p w14:paraId="6A179E49" w14:textId="77777777" w:rsidR="00454A29" w:rsidRDefault="00454A29"/>
        </w:tc>
        <w:tc>
          <w:tcPr>
            <w:tcW w:w="2324" w:type="dxa"/>
            <w:vMerge/>
          </w:tcPr>
          <w:p w14:paraId="272035FB" w14:textId="77777777" w:rsidR="00454A29" w:rsidRDefault="00454A29"/>
        </w:tc>
        <w:tc>
          <w:tcPr>
            <w:tcW w:w="1701" w:type="dxa"/>
            <w:vAlign w:val="center"/>
          </w:tcPr>
          <w:p w14:paraId="19C3A166" w14:textId="77777777" w:rsidR="00454A29" w:rsidRDefault="00454A29">
            <w:pPr>
              <w:pStyle w:val="ConsPlusNormal"/>
            </w:pPr>
          </w:p>
        </w:tc>
        <w:tc>
          <w:tcPr>
            <w:tcW w:w="1814" w:type="dxa"/>
            <w:vAlign w:val="center"/>
          </w:tcPr>
          <w:p w14:paraId="011376E9" w14:textId="77777777" w:rsidR="00454A29" w:rsidRDefault="00454A29">
            <w:pPr>
              <w:pStyle w:val="ConsPlusNormal"/>
            </w:pPr>
          </w:p>
        </w:tc>
        <w:tc>
          <w:tcPr>
            <w:tcW w:w="1701" w:type="dxa"/>
            <w:vAlign w:val="center"/>
          </w:tcPr>
          <w:p w14:paraId="62C58C9A" w14:textId="77777777" w:rsidR="00454A29" w:rsidRDefault="00454A29">
            <w:pPr>
              <w:pStyle w:val="ConsPlusNormal"/>
            </w:pPr>
          </w:p>
        </w:tc>
        <w:tc>
          <w:tcPr>
            <w:tcW w:w="1701" w:type="dxa"/>
            <w:vAlign w:val="center"/>
          </w:tcPr>
          <w:p w14:paraId="4FAFE67B" w14:textId="77777777" w:rsidR="00454A29" w:rsidRDefault="00454A29">
            <w:pPr>
              <w:pStyle w:val="ConsPlusNormal"/>
            </w:pPr>
          </w:p>
        </w:tc>
        <w:tc>
          <w:tcPr>
            <w:tcW w:w="1814" w:type="dxa"/>
            <w:vAlign w:val="center"/>
          </w:tcPr>
          <w:p w14:paraId="2A29EFA0" w14:textId="77777777" w:rsidR="00454A29" w:rsidRDefault="00454A29">
            <w:pPr>
              <w:pStyle w:val="ConsPlusNormal"/>
            </w:pPr>
          </w:p>
        </w:tc>
      </w:tr>
      <w:tr w:rsidR="00454A29" w14:paraId="13336FA5" w14:textId="77777777">
        <w:tc>
          <w:tcPr>
            <w:tcW w:w="567" w:type="dxa"/>
            <w:vMerge/>
          </w:tcPr>
          <w:p w14:paraId="4E2D7B75" w14:textId="77777777" w:rsidR="00454A29" w:rsidRDefault="00454A29"/>
        </w:tc>
        <w:tc>
          <w:tcPr>
            <w:tcW w:w="3345" w:type="dxa"/>
            <w:vMerge/>
          </w:tcPr>
          <w:p w14:paraId="41E61025" w14:textId="77777777" w:rsidR="00454A29" w:rsidRDefault="00454A29"/>
        </w:tc>
        <w:tc>
          <w:tcPr>
            <w:tcW w:w="1701" w:type="dxa"/>
            <w:vAlign w:val="center"/>
          </w:tcPr>
          <w:p w14:paraId="320630B6" w14:textId="77777777" w:rsidR="00454A29" w:rsidRDefault="00454A29">
            <w:pPr>
              <w:pStyle w:val="ConsPlusNormal"/>
              <w:jc w:val="center"/>
            </w:pPr>
            <w:r>
              <w:t>2023</w:t>
            </w:r>
          </w:p>
        </w:tc>
        <w:tc>
          <w:tcPr>
            <w:tcW w:w="1417" w:type="dxa"/>
            <w:vMerge/>
          </w:tcPr>
          <w:p w14:paraId="328784B8" w14:textId="77777777" w:rsidR="00454A29" w:rsidRDefault="00454A29"/>
        </w:tc>
        <w:tc>
          <w:tcPr>
            <w:tcW w:w="2204" w:type="dxa"/>
            <w:vMerge/>
          </w:tcPr>
          <w:p w14:paraId="13FB4F14" w14:textId="77777777" w:rsidR="00454A29" w:rsidRDefault="00454A29"/>
        </w:tc>
        <w:tc>
          <w:tcPr>
            <w:tcW w:w="1417" w:type="dxa"/>
            <w:vMerge/>
          </w:tcPr>
          <w:p w14:paraId="2B1569A4" w14:textId="77777777" w:rsidR="00454A29" w:rsidRDefault="00454A29"/>
        </w:tc>
        <w:tc>
          <w:tcPr>
            <w:tcW w:w="2324" w:type="dxa"/>
            <w:vMerge/>
          </w:tcPr>
          <w:p w14:paraId="6F8274F8" w14:textId="77777777" w:rsidR="00454A29" w:rsidRDefault="00454A29"/>
        </w:tc>
        <w:tc>
          <w:tcPr>
            <w:tcW w:w="1701" w:type="dxa"/>
            <w:vAlign w:val="center"/>
          </w:tcPr>
          <w:p w14:paraId="7ACE375D" w14:textId="77777777" w:rsidR="00454A29" w:rsidRDefault="00454A29">
            <w:pPr>
              <w:pStyle w:val="ConsPlusNormal"/>
              <w:jc w:val="center"/>
            </w:pPr>
            <w:r>
              <w:t>21 027,67</w:t>
            </w:r>
          </w:p>
        </w:tc>
        <w:tc>
          <w:tcPr>
            <w:tcW w:w="1814" w:type="dxa"/>
            <w:vAlign w:val="center"/>
          </w:tcPr>
          <w:p w14:paraId="542EF2EE" w14:textId="77777777" w:rsidR="00454A29" w:rsidRDefault="00454A29">
            <w:pPr>
              <w:pStyle w:val="ConsPlusNormal"/>
              <w:jc w:val="center"/>
            </w:pPr>
            <w:r>
              <w:t>21 027,67</w:t>
            </w:r>
          </w:p>
        </w:tc>
        <w:tc>
          <w:tcPr>
            <w:tcW w:w="1701" w:type="dxa"/>
            <w:vAlign w:val="center"/>
          </w:tcPr>
          <w:p w14:paraId="282A6FF3" w14:textId="77777777" w:rsidR="00454A29" w:rsidRDefault="00454A29">
            <w:pPr>
              <w:pStyle w:val="ConsPlusNormal"/>
            </w:pPr>
          </w:p>
        </w:tc>
        <w:tc>
          <w:tcPr>
            <w:tcW w:w="1701" w:type="dxa"/>
            <w:vAlign w:val="center"/>
          </w:tcPr>
          <w:p w14:paraId="7F158ECC" w14:textId="77777777" w:rsidR="00454A29" w:rsidRDefault="00454A29">
            <w:pPr>
              <w:pStyle w:val="ConsPlusNormal"/>
            </w:pPr>
          </w:p>
        </w:tc>
        <w:tc>
          <w:tcPr>
            <w:tcW w:w="1814" w:type="dxa"/>
            <w:vAlign w:val="center"/>
          </w:tcPr>
          <w:p w14:paraId="791419EC" w14:textId="77777777" w:rsidR="00454A29" w:rsidRDefault="00454A29">
            <w:pPr>
              <w:pStyle w:val="ConsPlusNormal"/>
            </w:pPr>
          </w:p>
        </w:tc>
      </w:tr>
      <w:tr w:rsidR="00454A29" w14:paraId="5EBDC024" w14:textId="77777777">
        <w:tc>
          <w:tcPr>
            <w:tcW w:w="567" w:type="dxa"/>
            <w:vMerge/>
          </w:tcPr>
          <w:p w14:paraId="374EB8A0" w14:textId="77777777" w:rsidR="00454A29" w:rsidRDefault="00454A29"/>
        </w:tc>
        <w:tc>
          <w:tcPr>
            <w:tcW w:w="3345" w:type="dxa"/>
            <w:vMerge/>
          </w:tcPr>
          <w:p w14:paraId="620DA7FE" w14:textId="77777777" w:rsidR="00454A29" w:rsidRDefault="00454A29"/>
        </w:tc>
        <w:tc>
          <w:tcPr>
            <w:tcW w:w="1701" w:type="dxa"/>
            <w:vAlign w:val="center"/>
          </w:tcPr>
          <w:p w14:paraId="40F29B42" w14:textId="77777777" w:rsidR="00454A29" w:rsidRDefault="00454A29">
            <w:pPr>
              <w:pStyle w:val="ConsPlusNormal"/>
              <w:jc w:val="center"/>
            </w:pPr>
            <w:r>
              <w:t>2024</w:t>
            </w:r>
          </w:p>
        </w:tc>
        <w:tc>
          <w:tcPr>
            <w:tcW w:w="1417" w:type="dxa"/>
            <w:vMerge/>
          </w:tcPr>
          <w:p w14:paraId="363B009A" w14:textId="77777777" w:rsidR="00454A29" w:rsidRDefault="00454A29"/>
        </w:tc>
        <w:tc>
          <w:tcPr>
            <w:tcW w:w="2204" w:type="dxa"/>
            <w:vMerge/>
          </w:tcPr>
          <w:p w14:paraId="1092F4AE" w14:textId="77777777" w:rsidR="00454A29" w:rsidRDefault="00454A29"/>
        </w:tc>
        <w:tc>
          <w:tcPr>
            <w:tcW w:w="1417" w:type="dxa"/>
            <w:vMerge/>
          </w:tcPr>
          <w:p w14:paraId="70C17DCA" w14:textId="77777777" w:rsidR="00454A29" w:rsidRDefault="00454A29"/>
        </w:tc>
        <w:tc>
          <w:tcPr>
            <w:tcW w:w="2324" w:type="dxa"/>
            <w:vMerge/>
          </w:tcPr>
          <w:p w14:paraId="4A03B2A2" w14:textId="77777777" w:rsidR="00454A29" w:rsidRDefault="00454A29"/>
        </w:tc>
        <w:tc>
          <w:tcPr>
            <w:tcW w:w="1701" w:type="dxa"/>
            <w:vAlign w:val="center"/>
          </w:tcPr>
          <w:p w14:paraId="0AE8BB42" w14:textId="77777777" w:rsidR="00454A29" w:rsidRDefault="00454A29">
            <w:pPr>
              <w:pStyle w:val="ConsPlusNormal"/>
              <w:jc w:val="center"/>
            </w:pPr>
            <w:r>
              <w:t>28 361,92</w:t>
            </w:r>
          </w:p>
        </w:tc>
        <w:tc>
          <w:tcPr>
            <w:tcW w:w="1814" w:type="dxa"/>
            <w:vAlign w:val="center"/>
          </w:tcPr>
          <w:p w14:paraId="1D64949E" w14:textId="77777777" w:rsidR="00454A29" w:rsidRDefault="00454A29">
            <w:pPr>
              <w:pStyle w:val="ConsPlusNormal"/>
              <w:jc w:val="center"/>
            </w:pPr>
            <w:r>
              <w:t>28 361,92</w:t>
            </w:r>
          </w:p>
        </w:tc>
        <w:tc>
          <w:tcPr>
            <w:tcW w:w="1701" w:type="dxa"/>
            <w:vAlign w:val="center"/>
          </w:tcPr>
          <w:p w14:paraId="36A6295F" w14:textId="77777777" w:rsidR="00454A29" w:rsidRDefault="00454A29">
            <w:pPr>
              <w:pStyle w:val="ConsPlusNormal"/>
            </w:pPr>
          </w:p>
        </w:tc>
        <w:tc>
          <w:tcPr>
            <w:tcW w:w="1701" w:type="dxa"/>
            <w:vAlign w:val="center"/>
          </w:tcPr>
          <w:p w14:paraId="1F8DEF4A" w14:textId="77777777" w:rsidR="00454A29" w:rsidRDefault="00454A29">
            <w:pPr>
              <w:pStyle w:val="ConsPlusNormal"/>
            </w:pPr>
          </w:p>
        </w:tc>
        <w:tc>
          <w:tcPr>
            <w:tcW w:w="1814" w:type="dxa"/>
            <w:vAlign w:val="center"/>
          </w:tcPr>
          <w:p w14:paraId="2321B231" w14:textId="77777777" w:rsidR="00454A29" w:rsidRDefault="00454A29">
            <w:pPr>
              <w:pStyle w:val="ConsPlusNormal"/>
            </w:pPr>
          </w:p>
        </w:tc>
      </w:tr>
      <w:tr w:rsidR="00454A29" w14:paraId="05E5C8D3" w14:textId="77777777">
        <w:tc>
          <w:tcPr>
            <w:tcW w:w="567" w:type="dxa"/>
            <w:vMerge/>
          </w:tcPr>
          <w:p w14:paraId="308103B7" w14:textId="77777777" w:rsidR="00454A29" w:rsidRDefault="00454A29"/>
        </w:tc>
        <w:tc>
          <w:tcPr>
            <w:tcW w:w="3345" w:type="dxa"/>
            <w:vMerge/>
          </w:tcPr>
          <w:p w14:paraId="607846C4" w14:textId="77777777" w:rsidR="00454A29" w:rsidRDefault="00454A29"/>
        </w:tc>
        <w:tc>
          <w:tcPr>
            <w:tcW w:w="1701" w:type="dxa"/>
            <w:vAlign w:val="center"/>
          </w:tcPr>
          <w:p w14:paraId="013FAB64" w14:textId="77777777" w:rsidR="00454A29" w:rsidRDefault="00454A29">
            <w:pPr>
              <w:pStyle w:val="ConsPlusNormal"/>
              <w:jc w:val="center"/>
            </w:pPr>
            <w:r>
              <w:t>2025</w:t>
            </w:r>
          </w:p>
        </w:tc>
        <w:tc>
          <w:tcPr>
            <w:tcW w:w="1417" w:type="dxa"/>
            <w:vMerge/>
          </w:tcPr>
          <w:p w14:paraId="029EDB2C" w14:textId="77777777" w:rsidR="00454A29" w:rsidRDefault="00454A29"/>
        </w:tc>
        <w:tc>
          <w:tcPr>
            <w:tcW w:w="2204" w:type="dxa"/>
            <w:vMerge/>
          </w:tcPr>
          <w:p w14:paraId="234AD12C" w14:textId="77777777" w:rsidR="00454A29" w:rsidRDefault="00454A29"/>
        </w:tc>
        <w:tc>
          <w:tcPr>
            <w:tcW w:w="1417" w:type="dxa"/>
            <w:vMerge/>
          </w:tcPr>
          <w:p w14:paraId="08474E14" w14:textId="77777777" w:rsidR="00454A29" w:rsidRDefault="00454A29"/>
        </w:tc>
        <w:tc>
          <w:tcPr>
            <w:tcW w:w="2324" w:type="dxa"/>
            <w:vMerge/>
          </w:tcPr>
          <w:p w14:paraId="328B0C3A" w14:textId="77777777" w:rsidR="00454A29" w:rsidRDefault="00454A29"/>
        </w:tc>
        <w:tc>
          <w:tcPr>
            <w:tcW w:w="1701" w:type="dxa"/>
            <w:vAlign w:val="center"/>
          </w:tcPr>
          <w:p w14:paraId="1B60DCAF" w14:textId="77777777" w:rsidR="00454A29" w:rsidRDefault="00454A29">
            <w:pPr>
              <w:pStyle w:val="ConsPlusNormal"/>
              <w:jc w:val="center"/>
            </w:pPr>
            <w:r>
              <w:t>-</w:t>
            </w:r>
          </w:p>
        </w:tc>
        <w:tc>
          <w:tcPr>
            <w:tcW w:w="1814" w:type="dxa"/>
            <w:vAlign w:val="center"/>
          </w:tcPr>
          <w:p w14:paraId="6DFEEBF8" w14:textId="77777777" w:rsidR="00454A29" w:rsidRDefault="00454A29">
            <w:pPr>
              <w:pStyle w:val="ConsPlusNormal"/>
            </w:pPr>
          </w:p>
        </w:tc>
        <w:tc>
          <w:tcPr>
            <w:tcW w:w="1701" w:type="dxa"/>
            <w:vAlign w:val="center"/>
          </w:tcPr>
          <w:p w14:paraId="67AF68BD" w14:textId="77777777" w:rsidR="00454A29" w:rsidRDefault="00454A29">
            <w:pPr>
              <w:pStyle w:val="ConsPlusNormal"/>
            </w:pPr>
          </w:p>
        </w:tc>
        <w:tc>
          <w:tcPr>
            <w:tcW w:w="1701" w:type="dxa"/>
            <w:vAlign w:val="center"/>
          </w:tcPr>
          <w:p w14:paraId="4F520296" w14:textId="77777777" w:rsidR="00454A29" w:rsidRDefault="00454A29">
            <w:pPr>
              <w:pStyle w:val="ConsPlusNormal"/>
            </w:pPr>
          </w:p>
        </w:tc>
        <w:tc>
          <w:tcPr>
            <w:tcW w:w="1814" w:type="dxa"/>
            <w:vAlign w:val="center"/>
          </w:tcPr>
          <w:p w14:paraId="183A0BDD" w14:textId="77777777" w:rsidR="00454A29" w:rsidRDefault="00454A29">
            <w:pPr>
              <w:pStyle w:val="ConsPlusNormal"/>
            </w:pPr>
          </w:p>
        </w:tc>
      </w:tr>
      <w:tr w:rsidR="00454A29" w14:paraId="43DDC222" w14:textId="77777777">
        <w:tc>
          <w:tcPr>
            <w:tcW w:w="567" w:type="dxa"/>
            <w:vMerge/>
          </w:tcPr>
          <w:p w14:paraId="5B55E838" w14:textId="77777777" w:rsidR="00454A29" w:rsidRDefault="00454A29"/>
        </w:tc>
        <w:tc>
          <w:tcPr>
            <w:tcW w:w="3345" w:type="dxa"/>
            <w:vMerge/>
          </w:tcPr>
          <w:p w14:paraId="09BA9493" w14:textId="77777777" w:rsidR="00454A29" w:rsidRDefault="00454A29"/>
        </w:tc>
        <w:tc>
          <w:tcPr>
            <w:tcW w:w="1701" w:type="dxa"/>
            <w:vAlign w:val="center"/>
          </w:tcPr>
          <w:p w14:paraId="55E271EA" w14:textId="77777777" w:rsidR="00454A29" w:rsidRDefault="00454A29">
            <w:pPr>
              <w:pStyle w:val="ConsPlusNormal"/>
              <w:jc w:val="center"/>
            </w:pPr>
            <w:r>
              <w:t>2026</w:t>
            </w:r>
          </w:p>
        </w:tc>
        <w:tc>
          <w:tcPr>
            <w:tcW w:w="1417" w:type="dxa"/>
            <w:vMerge/>
          </w:tcPr>
          <w:p w14:paraId="6B3905C8" w14:textId="77777777" w:rsidR="00454A29" w:rsidRDefault="00454A29"/>
        </w:tc>
        <w:tc>
          <w:tcPr>
            <w:tcW w:w="2204" w:type="dxa"/>
            <w:vMerge/>
          </w:tcPr>
          <w:p w14:paraId="059FB974" w14:textId="77777777" w:rsidR="00454A29" w:rsidRDefault="00454A29"/>
        </w:tc>
        <w:tc>
          <w:tcPr>
            <w:tcW w:w="1417" w:type="dxa"/>
            <w:vMerge/>
          </w:tcPr>
          <w:p w14:paraId="5B9A4AEA" w14:textId="77777777" w:rsidR="00454A29" w:rsidRDefault="00454A29"/>
        </w:tc>
        <w:tc>
          <w:tcPr>
            <w:tcW w:w="2324" w:type="dxa"/>
            <w:vMerge/>
          </w:tcPr>
          <w:p w14:paraId="4938E08E" w14:textId="77777777" w:rsidR="00454A29" w:rsidRDefault="00454A29"/>
        </w:tc>
        <w:tc>
          <w:tcPr>
            <w:tcW w:w="1701" w:type="dxa"/>
            <w:vAlign w:val="center"/>
          </w:tcPr>
          <w:p w14:paraId="260B707E" w14:textId="77777777" w:rsidR="00454A29" w:rsidRDefault="00454A29">
            <w:pPr>
              <w:pStyle w:val="ConsPlusNormal"/>
              <w:jc w:val="center"/>
            </w:pPr>
            <w:r>
              <w:t>-</w:t>
            </w:r>
          </w:p>
        </w:tc>
        <w:tc>
          <w:tcPr>
            <w:tcW w:w="1814" w:type="dxa"/>
            <w:vAlign w:val="center"/>
          </w:tcPr>
          <w:p w14:paraId="1FE76180" w14:textId="77777777" w:rsidR="00454A29" w:rsidRDefault="00454A29">
            <w:pPr>
              <w:pStyle w:val="ConsPlusNormal"/>
            </w:pPr>
          </w:p>
        </w:tc>
        <w:tc>
          <w:tcPr>
            <w:tcW w:w="1701" w:type="dxa"/>
            <w:vAlign w:val="center"/>
          </w:tcPr>
          <w:p w14:paraId="0A94292B" w14:textId="77777777" w:rsidR="00454A29" w:rsidRDefault="00454A29">
            <w:pPr>
              <w:pStyle w:val="ConsPlusNormal"/>
            </w:pPr>
          </w:p>
        </w:tc>
        <w:tc>
          <w:tcPr>
            <w:tcW w:w="1701" w:type="dxa"/>
            <w:vAlign w:val="center"/>
          </w:tcPr>
          <w:p w14:paraId="70FC1CE7" w14:textId="77777777" w:rsidR="00454A29" w:rsidRDefault="00454A29">
            <w:pPr>
              <w:pStyle w:val="ConsPlusNormal"/>
            </w:pPr>
          </w:p>
        </w:tc>
        <w:tc>
          <w:tcPr>
            <w:tcW w:w="1814" w:type="dxa"/>
            <w:vAlign w:val="center"/>
          </w:tcPr>
          <w:p w14:paraId="12EDB24C" w14:textId="77777777" w:rsidR="00454A29" w:rsidRDefault="00454A29">
            <w:pPr>
              <w:pStyle w:val="ConsPlusNormal"/>
            </w:pPr>
          </w:p>
        </w:tc>
      </w:tr>
      <w:tr w:rsidR="00454A29" w14:paraId="340D513A" w14:textId="77777777">
        <w:tc>
          <w:tcPr>
            <w:tcW w:w="567" w:type="dxa"/>
            <w:vMerge w:val="restart"/>
            <w:vAlign w:val="center"/>
          </w:tcPr>
          <w:p w14:paraId="2D6D78DB" w14:textId="77777777" w:rsidR="00454A29" w:rsidRDefault="00454A29">
            <w:pPr>
              <w:pStyle w:val="ConsPlusNormal"/>
              <w:jc w:val="center"/>
            </w:pPr>
            <w:r>
              <w:t>53</w:t>
            </w:r>
          </w:p>
        </w:tc>
        <w:tc>
          <w:tcPr>
            <w:tcW w:w="3345" w:type="dxa"/>
            <w:vMerge w:val="restart"/>
            <w:vAlign w:val="center"/>
          </w:tcPr>
          <w:p w14:paraId="5BC22F9D" w14:textId="77777777" w:rsidR="00454A29" w:rsidRDefault="00454A29">
            <w:pPr>
              <w:pStyle w:val="ConsPlusNormal"/>
              <w:jc w:val="center"/>
            </w:pPr>
            <w:r>
              <w:t>Детский сад на 240 мест в п. Кысыл-Сыр Вилюйского улуса</w:t>
            </w:r>
          </w:p>
        </w:tc>
        <w:tc>
          <w:tcPr>
            <w:tcW w:w="1701" w:type="dxa"/>
            <w:vAlign w:val="center"/>
          </w:tcPr>
          <w:p w14:paraId="43A993DE" w14:textId="77777777" w:rsidR="00454A29" w:rsidRDefault="00454A29">
            <w:pPr>
              <w:pStyle w:val="ConsPlusNormal"/>
              <w:jc w:val="center"/>
            </w:pPr>
            <w:r>
              <w:t>2020 - 2026 годы - всего</w:t>
            </w:r>
          </w:p>
        </w:tc>
        <w:tc>
          <w:tcPr>
            <w:tcW w:w="1417" w:type="dxa"/>
            <w:vMerge w:val="restart"/>
            <w:vAlign w:val="center"/>
          </w:tcPr>
          <w:p w14:paraId="5B9A92D3" w14:textId="77777777" w:rsidR="00454A29" w:rsidRDefault="00454A29">
            <w:pPr>
              <w:pStyle w:val="ConsPlusNormal"/>
            </w:pPr>
          </w:p>
        </w:tc>
        <w:tc>
          <w:tcPr>
            <w:tcW w:w="2204" w:type="dxa"/>
            <w:vMerge w:val="restart"/>
            <w:vAlign w:val="center"/>
          </w:tcPr>
          <w:p w14:paraId="53FF8710" w14:textId="77777777" w:rsidR="00454A29" w:rsidRDefault="00454A29">
            <w:pPr>
              <w:pStyle w:val="ConsPlusNormal"/>
            </w:pPr>
          </w:p>
        </w:tc>
        <w:tc>
          <w:tcPr>
            <w:tcW w:w="1417" w:type="dxa"/>
            <w:vMerge w:val="restart"/>
            <w:vAlign w:val="center"/>
          </w:tcPr>
          <w:p w14:paraId="0CED458F" w14:textId="77777777" w:rsidR="00454A29" w:rsidRDefault="00454A29">
            <w:pPr>
              <w:pStyle w:val="ConsPlusNormal"/>
            </w:pPr>
          </w:p>
        </w:tc>
        <w:tc>
          <w:tcPr>
            <w:tcW w:w="2324" w:type="dxa"/>
            <w:vMerge w:val="restart"/>
            <w:vAlign w:val="center"/>
          </w:tcPr>
          <w:p w14:paraId="05924323" w14:textId="77777777" w:rsidR="00454A29" w:rsidRDefault="00454A29">
            <w:pPr>
              <w:pStyle w:val="ConsPlusNormal"/>
            </w:pPr>
          </w:p>
        </w:tc>
        <w:tc>
          <w:tcPr>
            <w:tcW w:w="1701" w:type="dxa"/>
            <w:vAlign w:val="center"/>
          </w:tcPr>
          <w:p w14:paraId="5726546E" w14:textId="77777777" w:rsidR="00454A29" w:rsidRDefault="00454A29">
            <w:pPr>
              <w:pStyle w:val="ConsPlusNormal"/>
              <w:jc w:val="center"/>
            </w:pPr>
            <w:r>
              <w:t>49 389,59</w:t>
            </w:r>
          </w:p>
        </w:tc>
        <w:tc>
          <w:tcPr>
            <w:tcW w:w="1814" w:type="dxa"/>
            <w:vAlign w:val="center"/>
          </w:tcPr>
          <w:p w14:paraId="7481DB12" w14:textId="77777777" w:rsidR="00454A29" w:rsidRDefault="00454A29">
            <w:pPr>
              <w:pStyle w:val="ConsPlusNormal"/>
              <w:jc w:val="center"/>
            </w:pPr>
            <w:r>
              <w:t>49 389,59</w:t>
            </w:r>
          </w:p>
        </w:tc>
        <w:tc>
          <w:tcPr>
            <w:tcW w:w="1701" w:type="dxa"/>
            <w:vAlign w:val="center"/>
          </w:tcPr>
          <w:p w14:paraId="34BE3CF2" w14:textId="77777777" w:rsidR="00454A29" w:rsidRDefault="00454A29">
            <w:pPr>
              <w:pStyle w:val="ConsPlusNormal"/>
              <w:jc w:val="center"/>
            </w:pPr>
            <w:r>
              <w:t>-</w:t>
            </w:r>
          </w:p>
        </w:tc>
        <w:tc>
          <w:tcPr>
            <w:tcW w:w="1701" w:type="dxa"/>
            <w:vAlign w:val="center"/>
          </w:tcPr>
          <w:p w14:paraId="0134F00D" w14:textId="77777777" w:rsidR="00454A29" w:rsidRDefault="00454A29">
            <w:pPr>
              <w:pStyle w:val="ConsPlusNormal"/>
              <w:jc w:val="center"/>
            </w:pPr>
            <w:r>
              <w:t>-</w:t>
            </w:r>
          </w:p>
        </w:tc>
        <w:tc>
          <w:tcPr>
            <w:tcW w:w="1814" w:type="dxa"/>
            <w:vAlign w:val="center"/>
          </w:tcPr>
          <w:p w14:paraId="66E9D7EB" w14:textId="77777777" w:rsidR="00454A29" w:rsidRDefault="00454A29">
            <w:pPr>
              <w:pStyle w:val="ConsPlusNormal"/>
              <w:jc w:val="center"/>
            </w:pPr>
            <w:r>
              <w:t>-</w:t>
            </w:r>
          </w:p>
        </w:tc>
      </w:tr>
      <w:tr w:rsidR="00454A29" w14:paraId="36DB30C8" w14:textId="77777777">
        <w:tc>
          <w:tcPr>
            <w:tcW w:w="567" w:type="dxa"/>
            <w:vMerge/>
          </w:tcPr>
          <w:p w14:paraId="7DF1F0DD" w14:textId="77777777" w:rsidR="00454A29" w:rsidRDefault="00454A29"/>
        </w:tc>
        <w:tc>
          <w:tcPr>
            <w:tcW w:w="3345" w:type="dxa"/>
            <w:vMerge/>
          </w:tcPr>
          <w:p w14:paraId="45B24379" w14:textId="77777777" w:rsidR="00454A29" w:rsidRDefault="00454A29"/>
        </w:tc>
        <w:tc>
          <w:tcPr>
            <w:tcW w:w="1701" w:type="dxa"/>
            <w:vAlign w:val="center"/>
          </w:tcPr>
          <w:p w14:paraId="62D35617" w14:textId="77777777" w:rsidR="00454A29" w:rsidRDefault="00454A29">
            <w:pPr>
              <w:pStyle w:val="ConsPlusNormal"/>
              <w:jc w:val="center"/>
            </w:pPr>
            <w:r>
              <w:t>2020</w:t>
            </w:r>
          </w:p>
        </w:tc>
        <w:tc>
          <w:tcPr>
            <w:tcW w:w="1417" w:type="dxa"/>
            <w:vMerge/>
          </w:tcPr>
          <w:p w14:paraId="609AA817" w14:textId="77777777" w:rsidR="00454A29" w:rsidRDefault="00454A29"/>
        </w:tc>
        <w:tc>
          <w:tcPr>
            <w:tcW w:w="2204" w:type="dxa"/>
            <w:vMerge/>
          </w:tcPr>
          <w:p w14:paraId="282F5E3D" w14:textId="77777777" w:rsidR="00454A29" w:rsidRDefault="00454A29"/>
        </w:tc>
        <w:tc>
          <w:tcPr>
            <w:tcW w:w="1417" w:type="dxa"/>
            <w:vMerge/>
          </w:tcPr>
          <w:p w14:paraId="3C3F0282" w14:textId="77777777" w:rsidR="00454A29" w:rsidRDefault="00454A29"/>
        </w:tc>
        <w:tc>
          <w:tcPr>
            <w:tcW w:w="2324" w:type="dxa"/>
            <w:vMerge/>
          </w:tcPr>
          <w:p w14:paraId="584FFF7B" w14:textId="77777777" w:rsidR="00454A29" w:rsidRDefault="00454A29"/>
        </w:tc>
        <w:tc>
          <w:tcPr>
            <w:tcW w:w="1701" w:type="dxa"/>
            <w:vAlign w:val="center"/>
          </w:tcPr>
          <w:p w14:paraId="1008EBC0" w14:textId="77777777" w:rsidR="00454A29" w:rsidRDefault="00454A29">
            <w:pPr>
              <w:pStyle w:val="ConsPlusNormal"/>
              <w:jc w:val="center"/>
            </w:pPr>
            <w:r>
              <w:t>-</w:t>
            </w:r>
          </w:p>
        </w:tc>
        <w:tc>
          <w:tcPr>
            <w:tcW w:w="1814" w:type="dxa"/>
            <w:vAlign w:val="center"/>
          </w:tcPr>
          <w:p w14:paraId="4148E4F7" w14:textId="77777777" w:rsidR="00454A29" w:rsidRDefault="00454A29">
            <w:pPr>
              <w:pStyle w:val="ConsPlusNormal"/>
            </w:pPr>
          </w:p>
        </w:tc>
        <w:tc>
          <w:tcPr>
            <w:tcW w:w="1701" w:type="dxa"/>
            <w:vAlign w:val="center"/>
          </w:tcPr>
          <w:p w14:paraId="2484A4C2" w14:textId="77777777" w:rsidR="00454A29" w:rsidRDefault="00454A29">
            <w:pPr>
              <w:pStyle w:val="ConsPlusNormal"/>
            </w:pPr>
          </w:p>
        </w:tc>
        <w:tc>
          <w:tcPr>
            <w:tcW w:w="1701" w:type="dxa"/>
            <w:vAlign w:val="center"/>
          </w:tcPr>
          <w:p w14:paraId="0FB175D4" w14:textId="77777777" w:rsidR="00454A29" w:rsidRDefault="00454A29">
            <w:pPr>
              <w:pStyle w:val="ConsPlusNormal"/>
            </w:pPr>
          </w:p>
        </w:tc>
        <w:tc>
          <w:tcPr>
            <w:tcW w:w="1814" w:type="dxa"/>
            <w:vAlign w:val="center"/>
          </w:tcPr>
          <w:p w14:paraId="26020735" w14:textId="77777777" w:rsidR="00454A29" w:rsidRDefault="00454A29">
            <w:pPr>
              <w:pStyle w:val="ConsPlusNormal"/>
            </w:pPr>
          </w:p>
        </w:tc>
      </w:tr>
      <w:tr w:rsidR="00454A29" w14:paraId="2F4348B7" w14:textId="77777777">
        <w:tc>
          <w:tcPr>
            <w:tcW w:w="567" w:type="dxa"/>
            <w:vMerge/>
          </w:tcPr>
          <w:p w14:paraId="11EB28CC" w14:textId="77777777" w:rsidR="00454A29" w:rsidRDefault="00454A29"/>
        </w:tc>
        <w:tc>
          <w:tcPr>
            <w:tcW w:w="3345" w:type="dxa"/>
            <w:vMerge/>
          </w:tcPr>
          <w:p w14:paraId="0588E02C" w14:textId="77777777" w:rsidR="00454A29" w:rsidRDefault="00454A29"/>
        </w:tc>
        <w:tc>
          <w:tcPr>
            <w:tcW w:w="1701" w:type="dxa"/>
            <w:vAlign w:val="center"/>
          </w:tcPr>
          <w:p w14:paraId="6F0CA517" w14:textId="77777777" w:rsidR="00454A29" w:rsidRDefault="00454A29">
            <w:pPr>
              <w:pStyle w:val="ConsPlusNormal"/>
              <w:jc w:val="center"/>
            </w:pPr>
            <w:r>
              <w:t>2021</w:t>
            </w:r>
          </w:p>
        </w:tc>
        <w:tc>
          <w:tcPr>
            <w:tcW w:w="1417" w:type="dxa"/>
            <w:vMerge/>
          </w:tcPr>
          <w:p w14:paraId="53264A88" w14:textId="77777777" w:rsidR="00454A29" w:rsidRDefault="00454A29"/>
        </w:tc>
        <w:tc>
          <w:tcPr>
            <w:tcW w:w="2204" w:type="dxa"/>
            <w:vMerge/>
          </w:tcPr>
          <w:p w14:paraId="7F0621E3" w14:textId="77777777" w:rsidR="00454A29" w:rsidRDefault="00454A29"/>
        </w:tc>
        <w:tc>
          <w:tcPr>
            <w:tcW w:w="1417" w:type="dxa"/>
            <w:vMerge/>
          </w:tcPr>
          <w:p w14:paraId="294F038B" w14:textId="77777777" w:rsidR="00454A29" w:rsidRDefault="00454A29"/>
        </w:tc>
        <w:tc>
          <w:tcPr>
            <w:tcW w:w="2324" w:type="dxa"/>
            <w:vMerge/>
          </w:tcPr>
          <w:p w14:paraId="5747AB8F" w14:textId="77777777" w:rsidR="00454A29" w:rsidRDefault="00454A29"/>
        </w:tc>
        <w:tc>
          <w:tcPr>
            <w:tcW w:w="1701" w:type="dxa"/>
            <w:vAlign w:val="center"/>
          </w:tcPr>
          <w:p w14:paraId="738D7266" w14:textId="77777777" w:rsidR="00454A29" w:rsidRDefault="00454A29">
            <w:pPr>
              <w:pStyle w:val="ConsPlusNormal"/>
              <w:jc w:val="center"/>
            </w:pPr>
            <w:r>
              <w:t>-</w:t>
            </w:r>
          </w:p>
        </w:tc>
        <w:tc>
          <w:tcPr>
            <w:tcW w:w="1814" w:type="dxa"/>
            <w:vAlign w:val="center"/>
          </w:tcPr>
          <w:p w14:paraId="146AB103" w14:textId="77777777" w:rsidR="00454A29" w:rsidRDefault="00454A29">
            <w:pPr>
              <w:pStyle w:val="ConsPlusNormal"/>
            </w:pPr>
          </w:p>
        </w:tc>
        <w:tc>
          <w:tcPr>
            <w:tcW w:w="1701" w:type="dxa"/>
            <w:vAlign w:val="center"/>
          </w:tcPr>
          <w:p w14:paraId="5C15809A" w14:textId="77777777" w:rsidR="00454A29" w:rsidRDefault="00454A29">
            <w:pPr>
              <w:pStyle w:val="ConsPlusNormal"/>
            </w:pPr>
          </w:p>
        </w:tc>
        <w:tc>
          <w:tcPr>
            <w:tcW w:w="1701" w:type="dxa"/>
            <w:vAlign w:val="center"/>
          </w:tcPr>
          <w:p w14:paraId="3FF37CD8" w14:textId="77777777" w:rsidR="00454A29" w:rsidRDefault="00454A29">
            <w:pPr>
              <w:pStyle w:val="ConsPlusNormal"/>
            </w:pPr>
          </w:p>
        </w:tc>
        <w:tc>
          <w:tcPr>
            <w:tcW w:w="1814" w:type="dxa"/>
            <w:vAlign w:val="center"/>
          </w:tcPr>
          <w:p w14:paraId="7B094FB2" w14:textId="77777777" w:rsidR="00454A29" w:rsidRDefault="00454A29">
            <w:pPr>
              <w:pStyle w:val="ConsPlusNormal"/>
            </w:pPr>
          </w:p>
        </w:tc>
      </w:tr>
      <w:tr w:rsidR="00454A29" w14:paraId="775E9DF8" w14:textId="77777777">
        <w:tc>
          <w:tcPr>
            <w:tcW w:w="567" w:type="dxa"/>
            <w:vMerge/>
          </w:tcPr>
          <w:p w14:paraId="4349616F" w14:textId="77777777" w:rsidR="00454A29" w:rsidRDefault="00454A29"/>
        </w:tc>
        <w:tc>
          <w:tcPr>
            <w:tcW w:w="3345" w:type="dxa"/>
            <w:vMerge/>
          </w:tcPr>
          <w:p w14:paraId="712BA7B4" w14:textId="77777777" w:rsidR="00454A29" w:rsidRDefault="00454A29"/>
        </w:tc>
        <w:tc>
          <w:tcPr>
            <w:tcW w:w="1701" w:type="dxa"/>
            <w:vAlign w:val="center"/>
          </w:tcPr>
          <w:p w14:paraId="32CD9010" w14:textId="77777777" w:rsidR="00454A29" w:rsidRDefault="00454A29">
            <w:pPr>
              <w:pStyle w:val="ConsPlusNormal"/>
              <w:jc w:val="center"/>
            </w:pPr>
            <w:r>
              <w:t>2022</w:t>
            </w:r>
          </w:p>
        </w:tc>
        <w:tc>
          <w:tcPr>
            <w:tcW w:w="1417" w:type="dxa"/>
            <w:vMerge/>
          </w:tcPr>
          <w:p w14:paraId="131C9067" w14:textId="77777777" w:rsidR="00454A29" w:rsidRDefault="00454A29"/>
        </w:tc>
        <w:tc>
          <w:tcPr>
            <w:tcW w:w="2204" w:type="dxa"/>
            <w:vMerge/>
          </w:tcPr>
          <w:p w14:paraId="49DC8A0C" w14:textId="77777777" w:rsidR="00454A29" w:rsidRDefault="00454A29"/>
        </w:tc>
        <w:tc>
          <w:tcPr>
            <w:tcW w:w="1417" w:type="dxa"/>
            <w:vMerge/>
          </w:tcPr>
          <w:p w14:paraId="2CA8C4E7" w14:textId="77777777" w:rsidR="00454A29" w:rsidRDefault="00454A29"/>
        </w:tc>
        <w:tc>
          <w:tcPr>
            <w:tcW w:w="2324" w:type="dxa"/>
            <w:vMerge/>
          </w:tcPr>
          <w:p w14:paraId="6196A3E3" w14:textId="77777777" w:rsidR="00454A29" w:rsidRDefault="00454A29"/>
        </w:tc>
        <w:tc>
          <w:tcPr>
            <w:tcW w:w="1701" w:type="dxa"/>
            <w:vAlign w:val="center"/>
          </w:tcPr>
          <w:p w14:paraId="6B1A30BA" w14:textId="77777777" w:rsidR="00454A29" w:rsidRDefault="00454A29">
            <w:pPr>
              <w:pStyle w:val="ConsPlusNormal"/>
            </w:pPr>
          </w:p>
        </w:tc>
        <w:tc>
          <w:tcPr>
            <w:tcW w:w="1814" w:type="dxa"/>
            <w:vAlign w:val="center"/>
          </w:tcPr>
          <w:p w14:paraId="66CC33AC" w14:textId="77777777" w:rsidR="00454A29" w:rsidRDefault="00454A29">
            <w:pPr>
              <w:pStyle w:val="ConsPlusNormal"/>
            </w:pPr>
          </w:p>
        </w:tc>
        <w:tc>
          <w:tcPr>
            <w:tcW w:w="1701" w:type="dxa"/>
            <w:vAlign w:val="center"/>
          </w:tcPr>
          <w:p w14:paraId="42E74119" w14:textId="77777777" w:rsidR="00454A29" w:rsidRDefault="00454A29">
            <w:pPr>
              <w:pStyle w:val="ConsPlusNormal"/>
            </w:pPr>
          </w:p>
        </w:tc>
        <w:tc>
          <w:tcPr>
            <w:tcW w:w="1701" w:type="dxa"/>
            <w:vAlign w:val="center"/>
          </w:tcPr>
          <w:p w14:paraId="3CB94056" w14:textId="77777777" w:rsidR="00454A29" w:rsidRDefault="00454A29">
            <w:pPr>
              <w:pStyle w:val="ConsPlusNormal"/>
            </w:pPr>
          </w:p>
        </w:tc>
        <w:tc>
          <w:tcPr>
            <w:tcW w:w="1814" w:type="dxa"/>
            <w:vAlign w:val="center"/>
          </w:tcPr>
          <w:p w14:paraId="29E5FE6E" w14:textId="77777777" w:rsidR="00454A29" w:rsidRDefault="00454A29">
            <w:pPr>
              <w:pStyle w:val="ConsPlusNormal"/>
            </w:pPr>
          </w:p>
        </w:tc>
      </w:tr>
      <w:tr w:rsidR="00454A29" w14:paraId="1839D7B2" w14:textId="77777777">
        <w:tc>
          <w:tcPr>
            <w:tcW w:w="567" w:type="dxa"/>
            <w:vMerge/>
          </w:tcPr>
          <w:p w14:paraId="03DF3566" w14:textId="77777777" w:rsidR="00454A29" w:rsidRDefault="00454A29"/>
        </w:tc>
        <w:tc>
          <w:tcPr>
            <w:tcW w:w="3345" w:type="dxa"/>
            <w:vMerge/>
          </w:tcPr>
          <w:p w14:paraId="251038BD" w14:textId="77777777" w:rsidR="00454A29" w:rsidRDefault="00454A29"/>
        </w:tc>
        <w:tc>
          <w:tcPr>
            <w:tcW w:w="1701" w:type="dxa"/>
            <w:vAlign w:val="center"/>
          </w:tcPr>
          <w:p w14:paraId="7A5D645A" w14:textId="77777777" w:rsidR="00454A29" w:rsidRDefault="00454A29">
            <w:pPr>
              <w:pStyle w:val="ConsPlusNormal"/>
              <w:jc w:val="center"/>
            </w:pPr>
            <w:r>
              <w:t>2023</w:t>
            </w:r>
          </w:p>
        </w:tc>
        <w:tc>
          <w:tcPr>
            <w:tcW w:w="1417" w:type="dxa"/>
            <w:vMerge/>
          </w:tcPr>
          <w:p w14:paraId="6BDFCBA6" w14:textId="77777777" w:rsidR="00454A29" w:rsidRDefault="00454A29"/>
        </w:tc>
        <w:tc>
          <w:tcPr>
            <w:tcW w:w="2204" w:type="dxa"/>
            <w:vMerge/>
          </w:tcPr>
          <w:p w14:paraId="0394A25C" w14:textId="77777777" w:rsidR="00454A29" w:rsidRDefault="00454A29"/>
        </w:tc>
        <w:tc>
          <w:tcPr>
            <w:tcW w:w="1417" w:type="dxa"/>
            <w:vMerge/>
          </w:tcPr>
          <w:p w14:paraId="78254B0E" w14:textId="77777777" w:rsidR="00454A29" w:rsidRDefault="00454A29"/>
        </w:tc>
        <w:tc>
          <w:tcPr>
            <w:tcW w:w="2324" w:type="dxa"/>
            <w:vMerge/>
          </w:tcPr>
          <w:p w14:paraId="49BD5BA9" w14:textId="77777777" w:rsidR="00454A29" w:rsidRDefault="00454A29"/>
        </w:tc>
        <w:tc>
          <w:tcPr>
            <w:tcW w:w="1701" w:type="dxa"/>
            <w:vAlign w:val="center"/>
          </w:tcPr>
          <w:p w14:paraId="00723ABD" w14:textId="77777777" w:rsidR="00454A29" w:rsidRDefault="00454A29">
            <w:pPr>
              <w:pStyle w:val="ConsPlusNormal"/>
              <w:jc w:val="center"/>
            </w:pPr>
            <w:r>
              <w:t>21 027,67</w:t>
            </w:r>
          </w:p>
        </w:tc>
        <w:tc>
          <w:tcPr>
            <w:tcW w:w="1814" w:type="dxa"/>
            <w:vAlign w:val="center"/>
          </w:tcPr>
          <w:p w14:paraId="39441E0E" w14:textId="77777777" w:rsidR="00454A29" w:rsidRDefault="00454A29">
            <w:pPr>
              <w:pStyle w:val="ConsPlusNormal"/>
              <w:jc w:val="center"/>
            </w:pPr>
            <w:r>
              <w:t>21 027,67</w:t>
            </w:r>
          </w:p>
        </w:tc>
        <w:tc>
          <w:tcPr>
            <w:tcW w:w="1701" w:type="dxa"/>
            <w:vAlign w:val="center"/>
          </w:tcPr>
          <w:p w14:paraId="0541DE2D" w14:textId="77777777" w:rsidR="00454A29" w:rsidRDefault="00454A29">
            <w:pPr>
              <w:pStyle w:val="ConsPlusNormal"/>
            </w:pPr>
          </w:p>
        </w:tc>
        <w:tc>
          <w:tcPr>
            <w:tcW w:w="1701" w:type="dxa"/>
            <w:vAlign w:val="center"/>
          </w:tcPr>
          <w:p w14:paraId="4AF5102E" w14:textId="77777777" w:rsidR="00454A29" w:rsidRDefault="00454A29">
            <w:pPr>
              <w:pStyle w:val="ConsPlusNormal"/>
            </w:pPr>
          </w:p>
        </w:tc>
        <w:tc>
          <w:tcPr>
            <w:tcW w:w="1814" w:type="dxa"/>
            <w:vAlign w:val="center"/>
          </w:tcPr>
          <w:p w14:paraId="367A9884" w14:textId="77777777" w:rsidR="00454A29" w:rsidRDefault="00454A29">
            <w:pPr>
              <w:pStyle w:val="ConsPlusNormal"/>
            </w:pPr>
          </w:p>
        </w:tc>
      </w:tr>
      <w:tr w:rsidR="00454A29" w14:paraId="45D1D2D0" w14:textId="77777777">
        <w:tc>
          <w:tcPr>
            <w:tcW w:w="567" w:type="dxa"/>
            <w:vMerge/>
          </w:tcPr>
          <w:p w14:paraId="7E149609" w14:textId="77777777" w:rsidR="00454A29" w:rsidRDefault="00454A29"/>
        </w:tc>
        <w:tc>
          <w:tcPr>
            <w:tcW w:w="3345" w:type="dxa"/>
            <w:vMerge/>
          </w:tcPr>
          <w:p w14:paraId="76CCD752" w14:textId="77777777" w:rsidR="00454A29" w:rsidRDefault="00454A29"/>
        </w:tc>
        <w:tc>
          <w:tcPr>
            <w:tcW w:w="1701" w:type="dxa"/>
            <w:vAlign w:val="center"/>
          </w:tcPr>
          <w:p w14:paraId="2B6D4EF7" w14:textId="77777777" w:rsidR="00454A29" w:rsidRDefault="00454A29">
            <w:pPr>
              <w:pStyle w:val="ConsPlusNormal"/>
              <w:jc w:val="center"/>
            </w:pPr>
            <w:r>
              <w:t>2024</w:t>
            </w:r>
          </w:p>
        </w:tc>
        <w:tc>
          <w:tcPr>
            <w:tcW w:w="1417" w:type="dxa"/>
            <w:vMerge/>
          </w:tcPr>
          <w:p w14:paraId="1B7B1C0B" w14:textId="77777777" w:rsidR="00454A29" w:rsidRDefault="00454A29"/>
        </w:tc>
        <w:tc>
          <w:tcPr>
            <w:tcW w:w="2204" w:type="dxa"/>
            <w:vMerge/>
          </w:tcPr>
          <w:p w14:paraId="5CEFA251" w14:textId="77777777" w:rsidR="00454A29" w:rsidRDefault="00454A29"/>
        </w:tc>
        <w:tc>
          <w:tcPr>
            <w:tcW w:w="1417" w:type="dxa"/>
            <w:vMerge/>
          </w:tcPr>
          <w:p w14:paraId="7032F2D6" w14:textId="77777777" w:rsidR="00454A29" w:rsidRDefault="00454A29"/>
        </w:tc>
        <w:tc>
          <w:tcPr>
            <w:tcW w:w="2324" w:type="dxa"/>
            <w:vMerge/>
          </w:tcPr>
          <w:p w14:paraId="6D9AEDC8" w14:textId="77777777" w:rsidR="00454A29" w:rsidRDefault="00454A29"/>
        </w:tc>
        <w:tc>
          <w:tcPr>
            <w:tcW w:w="1701" w:type="dxa"/>
            <w:vAlign w:val="center"/>
          </w:tcPr>
          <w:p w14:paraId="6BA0FD2D" w14:textId="77777777" w:rsidR="00454A29" w:rsidRDefault="00454A29">
            <w:pPr>
              <w:pStyle w:val="ConsPlusNormal"/>
              <w:jc w:val="center"/>
            </w:pPr>
            <w:r>
              <w:t>28 361,92</w:t>
            </w:r>
          </w:p>
        </w:tc>
        <w:tc>
          <w:tcPr>
            <w:tcW w:w="1814" w:type="dxa"/>
            <w:vAlign w:val="center"/>
          </w:tcPr>
          <w:p w14:paraId="1A1D9A5D" w14:textId="77777777" w:rsidR="00454A29" w:rsidRDefault="00454A29">
            <w:pPr>
              <w:pStyle w:val="ConsPlusNormal"/>
              <w:jc w:val="center"/>
            </w:pPr>
            <w:r>
              <w:t>28 361,92</w:t>
            </w:r>
          </w:p>
        </w:tc>
        <w:tc>
          <w:tcPr>
            <w:tcW w:w="1701" w:type="dxa"/>
            <w:vAlign w:val="center"/>
          </w:tcPr>
          <w:p w14:paraId="7CB7B4BA" w14:textId="77777777" w:rsidR="00454A29" w:rsidRDefault="00454A29">
            <w:pPr>
              <w:pStyle w:val="ConsPlusNormal"/>
            </w:pPr>
          </w:p>
        </w:tc>
        <w:tc>
          <w:tcPr>
            <w:tcW w:w="1701" w:type="dxa"/>
            <w:vAlign w:val="center"/>
          </w:tcPr>
          <w:p w14:paraId="2E9D46B2" w14:textId="77777777" w:rsidR="00454A29" w:rsidRDefault="00454A29">
            <w:pPr>
              <w:pStyle w:val="ConsPlusNormal"/>
            </w:pPr>
          </w:p>
        </w:tc>
        <w:tc>
          <w:tcPr>
            <w:tcW w:w="1814" w:type="dxa"/>
            <w:vAlign w:val="center"/>
          </w:tcPr>
          <w:p w14:paraId="62ADEFB5" w14:textId="77777777" w:rsidR="00454A29" w:rsidRDefault="00454A29">
            <w:pPr>
              <w:pStyle w:val="ConsPlusNormal"/>
            </w:pPr>
          </w:p>
        </w:tc>
      </w:tr>
      <w:tr w:rsidR="00454A29" w14:paraId="5C80AC6A" w14:textId="77777777">
        <w:tc>
          <w:tcPr>
            <w:tcW w:w="567" w:type="dxa"/>
            <w:vMerge/>
          </w:tcPr>
          <w:p w14:paraId="1D914A29" w14:textId="77777777" w:rsidR="00454A29" w:rsidRDefault="00454A29"/>
        </w:tc>
        <w:tc>
          <w:tcPr>
            <w:tcW w:w="3345" w:type="dxa"/>
            <w:vMerge/>
          </w:tcPr>
          <w:p w14:paraId="69D6BD24" w14:textId="77777777" w:rsidR="00454A29" w:rsidRDefault="00454A29"/>
        </w:tc>
        <w:tc>
          <w:tcPr>
            <w:tcW w:w="1701" w:type="dxa"/>
            <w:vAlign w:val="center"/>
          </w:tcPr>
          <w:p w14:paraId="6E22FB65" w14:textId="77777777" w:rsidR="00454A29" w:rsidRDefault="00454A29">
            <w:pPr>
              <w:pStyle w:val="ConsPlusNormal"/>
              <w:jc w:val="center"/>
            </w:pPr>
            <w:r>
              <w:t>2025</w:t>
            </w:r>
          </w:p>
        </w:tc>
        <w:tc>
          <w:tcPr>
            <w:tcW w:w="1417" w:type="dxa"/>
            <w:vMerge/>
          </w:tcPr>
          <w:p w14:paraId="4F13526B" w14:textId="77777777" w:rsidR="00454A29" w:rsidRDefault="00454A29"/>
        </w:tc>
        <w:tc>
          <w:tcPr>
            <w:tcW w:w="2204" w:type="dxa"/>
            <w:vMerge/>
          </w:tcPr>
          <w:p w14:paraId="334DAF1C" w14:textId="77777777" w:rsidR="00454A29" w:rsidRDefault="00454A29"/>
        </w:tc>
        <w:tc>
          <w:tcPr>
            <w:tcW w:w="1417" w:type="dxa"/>
            <w:vMerge/>
          </w:tcPr>
          <w:p w14:paraId="46438FA7" w14:textId="77777777" w:rsidR="00454A29" w:rsidRDefault="00454A29"/>
        </w:tc>
        <w:tc>
          <w:tcPr>
            <w:tcW w:w="2324" w:type="dxa"/>
            <w:vMerge/>
          </w:tcPr>
          <w:p w14:paraId="28EAC246" w14:textId="77777777" w:rsidR="00454A29" w:rsidRDefault="00454A29"/>
        </w:tc>
        <w:tc>
          <w:tcPr>
            <w:tcW w:w="1701" w:type="dxa"/>
            <w:vAlign w:val="center"/>
          </w:tcPr>
          <w:p w14:paraId="512BD1A5" w14:textId="77777777" w:rsidR="00454A29" w:rsidRDefault="00454A29">
            <w:pPr>
              <w:pStyle w:val="ConsPlusNormal"/>
              <w:jc w:val="center"/>
            </w:pPr>
            <w:r>
              <w:t>-</w:t>
            </w:r>
          </w:p>
        </w:tc>
        <w:tc>
          <w:tcPr>
            <w:tcW w:w="1814" w:type="dxa"/>
            <w:vAlign w:val="center"/>
          </w:tcPr>
          <w:p w14:paraId="19167518" w14:textId="77777777" w:rsidR="00454A29" w:rsidRDefault="00454A29">
            <w:pPr>
              <w:pStyle w:val="ConsPlusNormal"/>
            </w:pPr>
          </w:p>
        </w:tc>
        <w:tc>
          <w:tcPr>
            <w:tcW w:w="1701" w:type="dxa"/>
            <w:vAlign w:val="center"/>
          </w:tcPr>
          <w:p w14:paraId="0D96DE82" w14:textId="77777777" w:rsidR="00454A29" w:rsidRDefault="00454A29">
            <w:pPr>
              <w:pStyle w:val="ConsPlusNormal"/>
            </w:pPr>
          </w:p>
        </w:tc>
        <w:tc>
          <w:tcPr>
            <w:tcW w:w="1701" w:type="dxa"/>
            <w:vAlign w:val="center"/>
          </w:tcPr>
          <w:p w14:paraId="6FE2CAF6" w14:textId="77777777" w:rsidR="00454A29" w:rsidRDefault="00454A29">
            <w:pPr>
              <w:pStyle w:val="ConsPlusNormal"/>
            </w:pPr>
          </w:p>
        </w:tc>
        <w:tc>
          <w:tcPr>
            <w:tcW w:w="1814" w:type="dxa"/>
            <w:vAlign w:val="center"/>
          </w:tcPr>
          <w:p w14:paraId="6A911FDF" w14:textId="77777777" w:rsidR="00454A29" w:rsidRDefault="00454A29">
            <w:pPr>
              <w:pStyle w:val="ConsPlusNormal"/>
            </w:pPr>
          </w:p>
        </w:tc>
      </w:tr>
      <w:tr w:rsidR="00454A29" w14:paraId="66DFB19F" w14:textId="77777777">
        <w:tc>
          <w:tcPr>
            <w:tcW w:w="567" w:type="dxa"/>
            <w:vMerge/>
          </w:tcPr>
          <w:p w14:paraId="4F6348C1" w14:textId="77777777" w:rsidR="00454A29" w:rsidRDefault="00454A29"/>
        </w:tc>
        <w:tc>
          <w:tcPr>
            <w:tcW w:w="3345" w:type="dxa"/>
            <w:vMerge/>
          </w:tcPr>
          <w:p w14:paraId="2EEB03AF" w14:textId="77777777" w:rsidR="00454A29" w:rsidRDefault="00454A29"/>
        </w:tc>
        <w:tc>
          <w:tcPr>
            <w:tcW w:w="1701" w:type="dxa"/>
            <w:vAlign w:val="center"/>
          </w:tcPr>
          <w:p w14:paraId="08F915D0" w14:textId="77777777" w:rsidR="00454A29" w:rsidRDefault="00454A29">
            <w:pPr>
              <w:pStyle w:val="ConsPlusNormal"/>
              <w:jc w:val="center"/>
            </w:pPr>
            <w:r>
              <w:t>2026</w:t>
            </w:r>
          </w:p>
        </w:tc>
        <w:tc>
          <w:tcPr>
            <w:tcW w:w="1417" w:type="dxa"/>
            <w:vMerge/>
          </w:tcPr>
          <w:p w14:paraId="56C679BE" w14:textId="77777777" w:rsidR="00454A29" w:rsidRDefault="00454A29"/>
        </w:tc>
        <w:tc>
          <w:tcPr>
            <w:tcW w:w="2204" w:type="dxa"/>
            <w:vMerge/>
          </w:tcPr>
          <w:p w14:paraId="17395C2C" w14:textId="77777777" w:rsidR="00454A29" w:rsidRDefault="00454A29"/>
        </w:tc>
        <w:tc>
          <w:tcPr>
            <w:tcW w:w="1417" w:type="dxa"/>
            <w:vMerge/>
          </w:tcPr>
          <w:p w14:paraId="0E91B7EA" w14:textId="77777777" w:rsidR="00454A29" w:rsidRDefault="00454A29"/>
        </w:tc>
        <w:tc>
          <w:tcPr>
            <w:tcW w:w="2324" w:type="dxa"/>
            <w:vMerge/>
          </w:tcPr>
          <w:p w14:paraId="07493AC4" w14:textId="77777777" w:rsidR="00454A29" w:rsidRDefault="00454A29"/>
        </w:tc>
        <w:tc>
          <w:tcPr>
            <w:tcW w:w="1701" w:type="dxa"/>
            <w:vAlign w:val="center"/>
          </w:tcPr>
          <w:p w14:paraId="1F6031DE" w14:textId="77777777" w:rsidR="00454A29" w:rsidRDefault="00454A29">
            <w:pPr>
              <w:pStyle w:val="ConsPlusNormal"/>
              <w:jc w:val="center"/>
            </w:pPr>
            <w:r>
              <w:t>-</w:t>
            </w:r>
          </w:p>
        </w:tc>
        <w:tc>
          <w:tcPr>
            <w:tcW w:w="1814" w:type="dxa"/>
            <w:vAlign w:val="center"/>
          </w:tcPr>
          <w:p w14:paraId="4865E21F" w14:textId="77777777" w:rsidR="00454A29" w:rsidRDefault="00454A29">
            <w:pPr>
              <w:pStyle w:val="ConsPlusNormal"/>
            </w:pPr>
          </w:p>
        </w:tc>
        <w:tc>
          <w:tcPr>
            <w:tcW w:w="1701" w:type="dxa"/>
            <w:vAlign w:val="center"/>
          </w:tcPr>
          <w:p w14:paraId="07A09C40" w14:textId="77777777" w:rsidR="00454A29" w:rsidRDefault="00454A29">
            <w:pPr>
              <w:pStyle w:val="ConsPlusNormal"/>
            </w:pPr>
          </w:p>
        </w:tc>
        <w:tc>
          <w:tcPr>
            <w:tcW w:w="1701" w:type="dxa"/>
            <w:vAlign w:val="center"/>
          </w:tcPr>
          <w:p w14:paraId="379706B0" w14:textId="77777777" w:rsidR="00454A29" w:rsidRDefault="00454A29">
            <w:pPr>
              <w:pStyle w:val="ConsPlusNormal"/>
            </w:pPr>
          </w:p>
        </w:tc>
        <w:tc>
          <w:tcPr>
            <w:tcW w:w="1814" w:type="dxa"/>
            <w:vAlign w:val="center"/>
          </w:tcPr>
          <w:p w14:paraId="37E853B2" w14:textId="77777777" w:rsidR="00454A29" w:rsidRDefault="00454A29">
            <w:pPr>
              <w:pStyle w:val="ConsPlusNormal"/>
            </w:pPr>
          </w:p>
        </w:tc>
      </w:tr>
      <w:tr w:rsidR="00454A29" w14:paraId="78833A40" w14:textId="77777777">
        <w:tc>
          <w:tcPr>
            <w:tcW w:w="567" w:type="dxa"/>
            <w:vMerge w:val="restart"/>
            <w:vAlign w:val="center"/>
          </w:tcPr>
          <w:p w14:paraId="2EAE186C" w14:textId="77777777" w:rsidR="00454A29" w:rsidRDefault="00454A29">
            <w:pPr>
              <w:pStyle w:val="ConsPlusNormal"/>
              <w:jc w:val="center"/>
            </w:pPr>
            <w:r>
              <w:t>54</w:t>
            </w:r>
          </w:p>
        </w:tc>
        <w:tc>
          <w:tcPr>
            <w:tcW w:w="3345" w:type="dxa"/>
            <w:vMerge w:val="restart"/>
            <w:vAlign w:val="center"/>
          </w:tcPr>
          <w:p w14:paraId="67EBC425" w14:textId="77777777" w:rsidR="00454A29" w:rsidRDefault="00454A29">
            <w:pPr>
              <w:pStyle w:val="ConsPlusNormal"/>
              <w:jc w:val="center"/>
            </w:pPr>
            <w:r>
              <w:t>Детский сад на 40 мест в с. Хадар Чурапчинского улуса</w:t>
            </w:r>
          </w:p>
        </w:tc>
        <w:tc>
          <w:tcPr>
            <w:tcW w:w="1701" w:type="dxa"/>
            <w:vAlign w:val="center"/>
          </w:tcPr>
          <w:p w14:paraId="5AD0A245" w14:textId="77777777" w:rsidR="00454A29" w:rsidRDefault="00454A29">
            <w:pPr>
              <w:pStyle w:val="ConsPlusNormal"/>
              <w:jc w:val="center"/>
            </w:pPr>
            <w:r>
              <w:t>2020 - 2026 годы - всего</w:t>
            </w:r>
          </w:p>
        </w:tc>
        <w:tc>
          <w:tcPr>
            <w:tcW w:w="1417" w:type="dxa"/>
            <w:vMerge w:val="restart"/>
            <w:vAlign w:val="center"/>
          </w:tcPr>
          <w:p w14:paraId="10EE2150" w14:textId="77777777" w:rsidR="00454A29" w:rsidRDefault="00454A29">
            <w:pPr>
              <w:pStyle w:val="ConsPlusNormal"/>
              <w:jc w:val="center"/>
            </w:pPr>
            <w:r>
              <w:t>67 831,19</w:t>
            </w:r>
          </w:p>
        </w:tc>
        <w:tc>
          <w:tcPr>
            <w:tcW w:w="2204" w:type="dxa"/>
            <w:vMerge w:val="restart"/>
            <w:vAlign w:val="center"/>
          </w:tcPr>
          <w:p w14:paraId="1A80B14A" w14:textId="77777777" w:rsidR="00454A29" w:rsidRDefault="00454A29">
            <w:pPr>
              <w:pStyle w:val="ConsPlusNormal"/>
            </w:pPr>
          </w:p>
        </w:tc>
        <w:tc>
          <w:tcPr>
            <w:tcW w:w="1417" w:type="dxa"/>
            <w:vMerge w:val="restart"/>
            <w:vAlign w:val="center"/>
          </w:tcPr>
          <w:p w14:paraId="561E1256" w14:textId="77777777" w:rsidR="00454A29" w:rsidRDefault="00454A29">
            <w:pPr>
              <w:pStyle w:val="ConsPlusNormal"/>
              <w:jc w:val="center"/>
            </w:pPr>
            <w:r>
              <w:t>40</w:t>
            </w:r>
          </w:p>
        </w:tc>
        <w:tc>
          <w:tcPr>
            <w:tcW w:w="2324" w:type="dxa"/>
            <w:vMerge w:val="restart"/>
            <w:vAlign w:val="center"/>
          </w:tcPr>
          <w:p w14:paraId="5AB25EC2" w14:textId="77777777" w:rsidR="00454A29" w:rsidRDefault="00454A29">
            <w:pPr>
              <w:pStyle w:val="ConsPlusNormal"/>
              <w:jc w:val="center"/>
            </w:pPr>
            <w:r>
              <w:t>Минстрой РС(Я), МО "Чурапчинский улус"</w:t>
            </w:r>
          </w:p>
        </w:tc>
        <w:tc>
          <w:tcPr>
            <w:tcW w:w="1701" w:type="dxa"/>
            <w:vAlign w:val="center"/>
          </w:tcPr>
          <w:p w14:paraId="07EA1970" w14:textId="77777777" w:rsidR="00454A29" w:rsidRDefault="00454A29">
            <w:pPr>
              <w:pStyle w:val="ConsPlusNormal"/>
              <w:jc w:val="center"/>
            </w:pPr>
            <w:r>
              <w:t>39 511,67</w:t>
            </w:r>
          </w:p>
        </w:tc>
        <w:tc>
          <w:tcPr>
            <w:tcW w:w="1814" w:type="dxa"/>
            <w:vAlign w:val="center"/>
          </w:tcPr>
          <w:p w14:paraId="3ADE92D0" w14:textId="77777777" w:rsidR="00454A29" w:rsidRDefault="00454A29">
            <w:pPr>
              <w:pStyle w:val="ConsPlusNormal"/>
              <w:jc w:val="center"/>
            </w:pPr>
            <w:r>
              <w:t>67 831,19</w:t>
            </w:r>
          </w:p>
        </w:tc>
        <w:tc>
          <w:tcPr>
            <w:tcW w:w="1701" w:type="dxa"/>
            <w:vAlign w:val="center"/>
          </w:tcPr>
          <w:p w14:paraId="07B30717" w14:textId="77777777" w:rsidR="00454A29" w:rsidRDefault="00454A29">
            <w:pPr>
              <w:pStyle w:val="ConsPlusNormal"/>
              <w:jc w:val="center"/>
            </w:pPr>
            <w:r>
              <w:t>-</w:t>
            </w:r>
          </w:p>
        </w:tc>
        <w:tc>
          <w:tcPr>
            <w:tcW w:w="1701" w:type="dxa"/>
            <w:vAlign w:val="center"/>
          </w:tcPr>
          <w:p w14:paraId="7A23A271" w14:textId="77777777" w:rsidR="00454A29" w:rsidRDefault="00454A29">
            <w:pPr>
              <w:pStyle w:val="ConsPlusNormal"/>
              <w:jc w:val="center"/>
            </w:pPr>
            <w:r>
              <w:t>-</w:t>
            </w:r>
          </w:p>
        </w:tc>
        <w:tc>
          <w:tcPr>
            <w:tcW w:w="1814" w:type="dxa"/>
            <w:vAlign w:val="center"/>
          </w:tcPr>
          <w:p w14:paraId="441BC5E2" w14:textId="77777777" w:rsidR="00454A29" w:rsidRDefault="00454A29">
            <w:pPr>
              <w:pStyle w:val="ConsPlusNormal"/>
              <w:jc w:val="center"/>
            </w:pPr>
            <w:r>
              <w:t>-</w:t>
            </w:r>
          </w:p>
        </w:tc>
      </w:tr>
      <w:tr w:rsidR="00454A29" w14:paraId="2113C87D" w14:textId="77777777">
        <w:tc>
          <w:tcPr>
            <w:tcW w:w="567" w:type="dxa"/>
            <w:vMerge/>
          </w:tcPr>
          <w:p w14:paraId="5D5EB092" w14:textId="77777777" w:rsidR="00454A29" w:rsidRDefault="00454A29"/>
        </w:tc>
        <w:tc>
          <w:tcPr>
            <w:tcW w:w="3345" w:type="dxa"/>
            <w:vMerge/>
          </w:tcPr>
          <w:p w14:paraId="14A8ACAE" w14:textId="77777777" w:rsidR="00454A29" w:rsidRDefault="00454A29"/>
        </w:tc>
        <w:tc>
          <w:tcPr>
            <w:tcW w:w="1701" w:type="dxa"/>
            <w:vAlign w:val="center"/>
          </w:tcPr>
          <w:p w14:paraId="25F5484F" w14:textId="77777777" w:rsidR="00454A29" w:rsidRDefault="00454A29">
            <w:pPr>
              <w:pStyle w:val="ConsPlusNormal"/>
              <w:jc w:val="center"/>
            </w:pPr>
            <w:r>
              <w:t>2020</w:t>
            </w:r>
          </w:p>
        </w:tc>
        <w:tc>
          <w:tcPr>
            <w:tcW w:w="1417" w:type="dxa"/>
            <w:vMerge/>
          </w:tcPr>
          <w:p w14:paraId="4DE3C1E9" w14:textId="77777777" w:rsidR="00454A29" w:rsidRDefault="00454A29"/>
        </w:tc>
        <w:tc>
          <w:tcPr>
            <w:tcW w:w="2204" w:type="dxa"/>
            <w:vMerge/>
          </w:tcPr>
          <w:p w14:paraId="3592DEDD" w14:textId="77777777" w:rsidR="00454A29" w:rsidRDefault="00454A29"/>
        </w:tc>
        <w:tc>
          <w:tcPr>
            <w:tcW w:w="1417" w:type="dxa"/>
            <w:vMerge/>
          </w:tcPr>
          <w:p w14:paraId="5E7C883E" w14:textId="77777777" w:rsidR="00454A29" w:rsidRDefault="00454A29"/>
        </w:tc>
        <w:tc>
          <w:tcPr>
            <w:tcW w:w="2324" w:type="dxa"/>
            <w:vMerge/>
          </w:tcPr>
          <w:p w14:paraId="6A83A90F" w14:textId="77777777" w:rsidR="00454A29" w:rsidRDefault="00454A29"/>
        </w:tc>
        <w:tc>
          <w:tcPr>
            <w:tcW w:w="1701" w:type="dxa"/>
            <w:vAlign w:val="center"/>
          </w:tcPr>
          <w:p w14:paraId="57F98BED" w14:textId="77777777" w:rsidR="00454A29" w:rsidRDefault="00454A29">
            <w:pPr>
              <w:pStyle w:val="ConsPlusNormal"/>
              <w:jc w:val="center"/>
            </w:pPr>
            <w:r>
              <w:t>-</w:t>
            </w:r>
          </w:p>
        </w:tc>
        <w:tc>
          <w:tcPr>
            <w:tcW w:w="1814" w:type="dxa"/>
            <w:vAlign w:val="center"/>
          </w:tcPr>
          <w:p w14:paraId="1B79D705" w14:textId="77777777" w:rsidR="00454A29" w:rsidRDefault="00454A29">
            <w:pPr>
              <w:pStyle w:val="ConsPlusNormal"/>
            </w:pPr>
          </w:p>
        </w:tc>
        <w:tc>
          <w:tcPr>
            <w:tcW w:w="1701" w:type="dxa"/>
            <w:vAlign w:val="center"/>
          </w:tcPr>
          <w:p w14:paraId="2C3A9F14" w14:textId="77777777" w:rsidR="00454A29" w:rsidRDefault="00454A29">
            <w:pPr>
              <w:pStyle w:val="ConsPlusNormal"/>
            </w:pPr>
          </w:p>
        </w:tc>
        <w:tc>
          <w:tcPr>
            <w:tcW w:w="1701" w:type="dxa"/>
            <w:vAlign w:val="center"/>
          </w:tcPr>
          <w:p w14:paraId="5FF587F3" w14:textId="77777777" w:rsidR="00454A29" w:rsidRDefault="00454A29">
            <w:pPr>
              <w:pStyle w:val="ConsPlusNormal"/>
            </w:pPr>
          </w:p>
        </w:tc>
        <w:tc>
          <w:tcPr>
            <w:tcW w:w="1814" w:type="dxa"/>
            <w:vAlign w:val="center"/>
          </w:tcPr>
          <w:p w14:paraId="696D4C44" w14:textId="77777777" w:rsidR="00454A29" w:rsidRDefault="00454A29">
            <w:pPr>
              <w:pStyle w:val="ConsPlusNormal"/>
            </w:pPr>
          </w:p>
        </w:tc>
      </w:tr>
      <w:tr w:rsidR="00454A29" w14:paraId="57FD760F" w14:textId="77777777">
        <w:tc>
          <w:tcPr>
            <w:tcW w:w="567" w:type="dxa"/>
            <w:vMerge/>
          </w:tcPr>
          <w:p w14:paraId="0EFF1996" w14:textId="77777777" w:rsidR="00454A29" w:rsidRDefault="00454A29"/>
        </w:tc>
        <w:tc>
          <w:tcPr>
            <w:tcW w:w="3345" w:type="dxa"/>
            <w:vMerge/>
          </w:tcPr>
          <w:p w14:paraId="6B854F7B" w14:textId="77777777" w:rsidR="00454A29" w:rsidRDefault="00454A29"/>
        </w:tc>
        <w:tc>
          <w:tcPr>
            <w:tcW w:w="1701" w:type="dxa"/>
            <w:vAlign w:val="center"/>
          </w:tcPr>
          <w:p w14:paraId="7447002A" w14:textId="77777777" w:rsidR="00454A29" w:rsidRDefault="00454A29">
            <w:pPr>
              <w:pStyle w:val="ConsPlusNormal"/>
              <w:jc w:val="center"/>
            </w:pPr>
            <w:r>
              <w:t>2021</w:t>
            </w:r>
          </w:p>
        </w:tc>
        <w:tc>
          <w:tcPr>
            <w:tcW w:w="1417" w:type="dxa"/>
            <w:vMerge/>
          </w:tcPr>
          <w:p w14:paraId="62DE4D68" w14:textId="77777777" w:rsidR="00454A29" w:rsidRDefault="00454A29"/>
        </w:tc>
        <w:tc>
          <w:tcPr>
            <w:tcW w:w="2204" w:type="dxa"/>
            <w:vMerge/>
          </w:tcPr>
          <w:p w14:paraId="054C7C41" w14:textId="77777777" w:rsidR="00454A29" w:rsidRDefault="00454A29"/>
        </w:tc>
        <w:tc>
          <w:tcPr>
            <w:tcW w:w="1417" w:type="dxa"/>
            <w:vMerge/>
          </w:tcPr>
          <w:p w14:paraId="62478B8C" w14:textId="77777777" w:rsidR="00454A29" w:rsidRDefault="00454A29"/>
        </w:tc>
        <w:tc>
          <w:tcPr>
            <w:tcW w:w="2324" w:type="dxa"/>
            <w:vMerge/>
          </w:tcPr>
          <w:p w14:paraId="6DC17411" w14:textId="77777777" w:rsidR="00454A29" w:rsidRDefault="00454A29"/>
        </w:tc>
        <w:tc>
          <w:tcPr>
            <w:tcW w:w="1701" w:type="dxa"/>
            <w:vAlign w:val="center"/>
          </w:tcPr>
          <w:p w14:paraId="318E93D5" w14:textId="77777777" w:rsidR="00454A29" w:rsidRDefault="00454A29">
            <w:pPr>
              <w:pStyle w:val="ConsPlusNormal"/>
              <w:jc w:val="center"/>
            </w:pPr>
            <w:r>
              <w:t>-</w:t>
            </w:r>
          </w:p>
        </w:tc>
        <w:tc>
          <w:tcPr>
            <w:tcW w:w="1814" w:type="dxa"/>
            <w:vAlign w:val="center"/>
          </w:tcPr>
          <w:p w14:paraId="45CA1C55" w14:textId="77777777" w:rsidR="00454A29" w:rsidRDefault="00454A29">
            <w:pPr>
              <w:pStyle w:val="ConsPlusNormal"/>
            </w:pPr>
          </w:p>
        </w:tc>
        <w:tc>
          <w:tcPr>
            <w:tcW w:w="1701" w:type="dxa"/>
            <w:vAlign w:val="center"/>
          </w:tcPr>
          <w:p w14:paraId="75ADCD6E" w14:textId="77777777" w:rsidR="00454A29" w:rsidRDefault="00454A29">
            <w:pPr>
              <w:pStyle w:val="ConsPlusNormal"/>
            </w:pPr>
          </w:p>
        </w:tc>
        <w:tc>
          <w:tcPr>
            <w:tcW w:w="1701" w:type="dxa"/>
            <w:vAlign w:val="center"/>
          </w:tcPr>
          <w:p w14:paraId="27AEEC06" w14:textId="77777777" w:rsidR="00454A29" w:rsidRDefault="00454A29">
            <w:pPr>
              <w:pStyle w:val="ConsPlusNormal"/>
            </w:pPr>
          </w:p>
        </w:tc>
        <w:tc>
          <w:tcPr>
            <w:tcW w:w="1814" w:type="dxa"/>
            <w:vAlign w:val="center"/>
          </w:tcPr>
          <w:p w14:paraId="7CA16DC7" w14:textId="77777777" w:rsidR="00454A29" w:rsidRDefault="00454A29">
            <w:pPr>
              <w:pStyle w:val="ConsPlusNormal"/>
            </w:pPr>
          </w:p>
        </w:tc>
      </w:tr>
      <w:tr w:rsidR="00454A29" w14:paraId="605818F9" w14:textId="77777777">
        <w:tc>
          <w:tcPr>
            <w:tcW w:w="567" w:type="dxa"/>
            <w:vMerge/>
          </w:tcPr>
          <w:p w14:paraId="31A70693" w14:textId="77777777" w:rsidR="00454A29" w:rsidRDefault="00454A29"/>
        </w:tc>
        <w:tc>
          <w:tcPr>
            <w:tcW w:w="3345" w:type="dxa"/>
            <w:vMerge/>
          </w:tcPr>
          <w:p w14:paraId="6FB4092B" w14:textId="77777777" w:rsidR="00454A29" w:rsidRDefault="00454A29"/>
        </w:tc>
        <w:tc>
          <w:tcPr>
            <w:tcW w:w="1701" w:type="dxa"/>
            <w:vAlign w:val="center"/>
          </w:tcPr>
          <w:p w14:paraId="68D0B9AB" w14:textId="77777777" w:rsidR="00454A29" w:rsidRDefault="00454A29">
            <w:pPr>
              <w:pStyle w:val="ConsPlusNormal"/>
              <w:jc w:val="center"/>
            </w:pPr>
            <w:r>
              <w:t>2022</w:t>
            </w:r>
          </w:p>
        </w:tc>
        <w:tc>
          <w:tcPr>
            <w:tcW w:w="1417" w:type="dxa"/>
            <w:vMerge/>
          </w:tcPr>
          <w:p w14:paraId="2A6FC97D" w14:textId="77777777" w:rsidR="00454A29" w:rsidRDefault="00454A29"/>
        </w:tc>
        <w:tc>
          <w:tcPr>
            <w:tcW w:w="2204" w:type="dxa"/>
            <w:vMerge/>
          </w:tcPr>
          <w:p w14:paraId="1D917743" w14:textId="77777777" w:rsidR="00454A29" w:rsidRDefault="00454A29"/>
        </w:tc>
        <w:tc>
          <w:tcPr>
            <w:tcW w:w="1417" w:type="dxa"/>
            <w:vMerge/>
          </w:tcPr>
          <w:p w14:paraId="7098F750" w14:textId="77777777" w:rsidR="00454A29" w:rsidRDefault="00454A29"/>
        </w:tc>
        <w:tc>
          <w:tcPr>
            <w:tcW w:w="2324" w:type="dxa"/>
            <w:vMerge/>
          </w:tcPr>
          <w:p w14:paraId="3754BE2F" w14:textId="77777777" w:rsidR="00454A29" w:rsidRDefault="00454A29"/>
        </w:tc>
        <w:tc>
          <w:tcPr>
            <w:tcW w:w="1701" w:type="dxa"/>
            <w:vAlign w:val="center"/>
          </w:tcPr>
          <w:p w14:paraId="4910F04F" w14:textId="77777777" w:rsidR="00454A29" w:rsidRDefault="00454A29">
            <w:pPr>
              <w:pStyle w:val="ConsPlusNormal"/>
            </w:pPr>
          </w:p>
        </w:tc>
        <w:tc>
          <w:tcPr>
            <w:tcW w:w="1814" w:type="dxa"/>
            <w:vAlign w:val="center"/>
          </w:tcPr>
          <w:p w14:paraId="29DFDB5F" w14:textId="77777777" w:rsidR="00454A29" w:rsidRDefault="00454A29">
            <w:pPr>
              <w:pStyle w:val="ConsPlusNormal"/>
            </w:pPr>
          </w:p>
        </w:tc>
        <w:tc>
          <w:tcPr>
            <w:tcW w:w="1701" w:type="dxa"/>
            <w:vAlign w:val="center"/>
          </w:tcPr>
          <w:p w14:paraId="0BEF88BB" w14:textId="77777777" w:rsidR="00454A29" w:rsidRDefault="00454A29">
            <w:pPr>
              <w:pStyle w:val="ConsPlusNormal"/>
            </w:pPr>
          </w:p>
        </w:tc>
        <w:tc>
          <w:tcPr>
            <w:tcW w:w="1701" w:type="dxa"/>
            <w:vAlign w:val="center"/>
          </w:tcPr>
          <w:p w14:paraId="7F5D30C4" w14:textId="77777777" w:rsidR="00454A29" w:rsidRDefault="00454A29">
            <w:pPr>
              <w:pStyle w:val="ConsPlusNormal"/>
            </w:pPr>
          </w:p>
        </w:tc>
        <w:tc>
          <w:tcPr>
            <w:tcW w:w="1814" w:type="dxa"/>
            <w:vAlign w:val="center"/>
          </w:tcPr>
          <w:p w14:paraId="3524D04E" w14:textId="77777777" w:rsidR="00454A29" w:rsidRDefault="00454A29">
            <w:pPr>
              <w:pStyle w:val="ConsPlusNormal"/>
            </w:pPr>
          </w:p>
        </w:tc>
      </w:tr>
      <w:tr w:rsidR="00454A29" w14:paraId="5D0977F0" w14:textId="77777777">
        <w:tc>
          <w:tcPr>
            <w:tcW w:w="567" w:type="dxa"/>
            <w:vMerge/>
          </w:tcPr>
          <w:p w14:paraId="2EC30417" w14:textId="77777777" w:rsidR="00454A29" w:rsidRDefault="00454A29"/>
        </w:tc>
        <w:tc>
          <w:tcPr>
            <w:tcW w:w="3345" w:type="dxa"/>
            <w:vMerge/>
          </w:tcPr>
          <w:p w14:paraId="0A80B4F5" w14:textId="77777777" w:rsidR="00454A29" w:rsidRDefault="00454A29"/>
        </w:tc>
        <w:tc>
          <w:tcPr>
            <w:tcW w:w="1701" w:type="dxa"/>
            <w:vAlign w:val="center"/>
          </w:tcPr>
          <w:p w14:paraId="06AAE33D" w14:textId="77777777" w:rsidR="00454A29" w:rsidRDefault="00454A29">
            <w:pPr>
              <w:pStyle w:val="ConsPlusNormal"/>
              <w:jc w:val="center"/>
            </w:pPr>
            <w:r>
              <w:t>2023</w:t>
            </w:r>
          </w:p>
        </w:tc>
        <w:tc>
          <w:tcPr>
            <w:tcW w:w="1417" w:type="dxa"/>
            <w:vMerge/>
          </w:tcPr>
          <w:p w14:paraId="64DC5288" w14:textId="77777777" w:rsidR="00454A29" w:rsidRDefault="00454A29"/>
        </w:tc>
        <w:tc>
          <w:tcPr>
            <w:tcW w:w="2204" w:type="dxa"/>
            <w:vMerge/>
          </w:tcPr>
          <w:p w14:paraId="73570E29" w14:textId="77777777" w:rsidR="00454A29" w:rsidRDefault="00454A29"/>
        </w:tc>
        <w:tc>
          <w:tcPr>
            <w:tcW w:w="1417" w:type="dxa"/>
            <w:vMerge/>
          </w:tcPr>
          <w:p w14:paraId="6DC7242B" w14:textId="77777777" w:rsidR="00454A29" w:rsidRDefault="00454A29"/>
        </w:tc>
        <w:tc>
          <w:tcPr>
            <w:tcW w:w="2324" w:type="dxa"/>
            <w:vMerge/>
          </w:tcPr>
          <w:p w14:paraId="0BC36768" w14:textId="77777777" w:rsidR="00454A29" w:rsidRDefault="00454A29"/>
        </w:tc>
        <w:tc>
          <w:tcPr>
            <w:tcW w:w="1701" w:type="dxa"/>
            <w:vAlign w:val="center"/>
          </w:tcPr>
          <w:p w14:paraId="6262B5E7" w14:textId="77777777" w:rsidR="00454A29" w:rsidRDefault="00454A29">
            <w:pPr>
              <w:pStyle w:val="ConsPlusNormal"/>
              <w:jc w:val="center"/>
            </w:pPr>
            <w:r>
              <w:t>16 822,14</w:t>
            </w:r>
          </w:p>
        </w:tc>
        <w:tc>
          <w:tcPr>
            <w:tcW w:w="1814" w:type="dxa"/>
            <w:vAlign w:val="center"/>
          </w:tcPr>
          <w:p w14:paraId="7FE956CD" w14:textId="77777777" w:rsidR="00454A29" w:rsidRDefault="00454A29">
            <w:pPr>
              <w:pStyle w:val="ConsPlusNormal"/>
              <w:jc w:val="center"/>
            </w:pPr>
            <w:r>
              <w:t>16 822,14</w:t>
            </w:r>
          </w:p>
        </w:tc>
        <w:tc>
          <w:tcPr>
            <w:tcW w:w="1701" w:type="dxa"/>
            <w:vAlign w:val="center"/>
          </w:tcPr>
          <w:p w14:paraId="35B3E84A" w14:textId="77777777" w:rsidR="00454A29" w:rsidRDefault="00454A29">
            <w:pPr>
              <w:pStyle w:val="ConsPlusNormal"/>
            </w:pPr>
          </w:p>
        </w:tc>
        <w:tc>
          <w:tcPr>
            <w:tcW w:w="1701" w:type="dxa"/>
            <w:vAlign w:val="center"/>
          </w:tcPr>
          <w:p w14:paraId="51E3356D" w14:textId="77777777" w:rsidR="00454A29" w:rsidRDefault="00454A29">
            <w:pPr>
              <w:pStyle w:val="ConsPlusNormal"/>
            </w:pPr>
          </w:p>
        </w:tc>
        <w:tc>
          <w:tcPr>
            <w:tcW w:w="1814" w:type="dxa"/>
            <w:vAlign w:val="center"/>
          </w:tcPr>
          <w:p w14:paraId="14856892" w14:textId="77777777" w:rsidR="00454A29" w:rsidRDefault="00454A29">
            <w:pPr>
              <w:pStyle w:val="ConsPlusNormal"/>
            </w:pPr>
          </w:p>
        </w:tc>
      </w:tr>
      <w:tr w:rsidR="00454A29" w14:paraId="0230C43C" w14:textId="77777777">
        <w:tc>
          <w:tcPr>
            <w:tcW w:w="567" w:type="dxa"/>
            <w:vMerge/>
          </w:tcPr>
          <w:p w14:paraId="4F4B164B" w14:textId="77777777" w:rsidR="00454A29" w:rsidRDefault="00454A29"/>
        </w:tc>
        <w:tc>
          <w:tcPr>
            <w:tcW w:w="3345" w:type="dxa"/>
            <w:vMerge/>
          </w:tcPr>
          <w:p w14:paraId="0EA30880" w14:textId="77777777" w:rsidR="00454A29" w:rsidRDefault="00454A29"/>
        </w:tc>
        <w:tc>
          <w:tcPr>
            <w:tcW w:w="1701" w:type="dxa"/>
            <w:vAlign w:val="center"/>
          </w:tcPr>
          <w:p w14:paraId="1F89D465" w14:textId="77777777" w:rsidR="00454A29" w:rsidRDefault="00454A29">
            <w:pPr>
              <w:pStyle w:val="ConsPlusNormal"/>
              <w:jc w:val="center"/>
            </w:pPr>
            <w:r>
              <w:t>2024</w:t>
            </w:r>
          </w:p>
        </w:tc>
        <w:tc>
          <w:tcPr>
            <w:tcW w:w="1417" w:type="dxa"/>
            <w:vMerge/>
          </w:tcPr>
          <w:p w14:paraId="05A5DB85" w14:textId="77777777" w:rsidR="00454A29" w:rsidRDefault="00454A29"/>
        </w:tc>
        <w:tc>
          <w:tcPr>
            <w:tcW w:w="2204" w:type="dxa"/>
            <w:vMerge/>
          </w:tcPr>
          <w:p w14:paraId="46E332F7" w14:textId="77777777" w:rsidR="00454A29" w:rsidRDefault="00454A29"/>
        </w:tc>
        <w:tc>
          <w:tcPr>
            <w:tcW w:w="1417" w:type="dxa"/>
            <w:vMerge/>
          </w:tcPr>
          <w:p w14:paraId="152709AC" w14:textId="77777777" w:rsidR="00454A29" w:rsidRDefault="00454A29"/>
        </w:tc>
        <w:tc>
          <w:tcPr>
            <w:tcW w:w="2324" w:type="dxa"/>
            <w:vMerge/>
          </w:tcPr>
          <w:p w14:paraId="15AABA18" w14:textId="77777777" w:rsidR="00454A29" w:rsidRDefault="00454A29"/>
        </w:tc>
        <w:tc>
          <w:tcPr>
            <w:tcW w:w="1701" w:type="dxa"/>
            <w:vAlign w:val="center"/>
          </w:tcPr>
          <w:p w14:paraId="51B1DD72" w14:textId="77777777" w:rsidR="00454A29" w:rsidRDefault="00454A29">
            <w:pPr>
              <w:pStyle w:val="ConsPlusNormal"/>
              <w:jc w:val="center"/>
            </w:pPr>
            <w:r>
              <w:t>22 689,53</w:t>
            </w:r>
          </w:p>
        </w:tc>
        <w:tc>
          <w:tcPr>
            <w:tcW w:w="1814" w:type="dxa"/>
            <w:vAlign w:val="center"/>
          </w:tcPr>
          <w:p w14:paraId="2F893721" w14:textId="77777777" w:rsidR="00454A29" w:rsidRDefault="00454A29">
            <w:pPr>
              <w:pStyle w:val="ConsPlusNormal"/>
              <w:jc w:val="center"/>
            </w:pPr>
            <w:r>
              <w:t>22 689,53</w:t>
            </w:r>
          </w:p>
        </w:tc>
        <w:tc>
          <w:tcPr>
            <w:tcW w:w="1701" w:type="dxa"/>
            <w:vAlign w:val="center"/>
          </w:tcPr>
          <w:p w14:paraId="3E14C93A" w14:textId="77777777" w:rsidR="00454A29" w:rsidRDefault="00454A29">
            <w:pPr>
              <w:pStyle w:val="ConsPlusNormal"/>
            </w:pPr>
          </w:p>
        </w:tc>
        <w:tc>
          <w:tcPr>
            <w:tcW w:w="1701" w:type="dxa"/>
            <w:vAlign w:val="center"/>
          </w:tcPr>
          <w:p w14:paraId="3E78808D" w14:textId="77777777" w:rsidR="00454A29" w:rsidRDefault="00454A29">
            <w:pPr>
              <w:pStyle w:val="ConsPlusNormal"/>
            </w:pPr>
          </w:p>
        </w:tc>
        <w:tc>
          <w:tcPr>
            <w:tcW w:w="1814" w:type="dxa"/>
            <w:vAlign w:val="center"/>
          </w:tcPr>
          <w:p w14:paraId="2FE869D4" w14:textId="77777777" w:rsidR="00454A29" w:rsidRDefault="00454A29">
            <w:pPr>
              <w:pStyle w:val="ConsPlusNormal"/>
            </w:pPr>
          </w:p>
        </w:tc>
      </w:tr>
      <w:tr w:rsidR="00454A29" w14:paraId="6C02DDBC" w14:textId="77777777">
        <w:tc>
          <w:tcPr>
            <w:tcW w:w="567" w:type="dxa"/>
            <w:vMerge/>
          </w:tcPr>
          <w:p w14:paraId="23E4D996" w14:textId="77777777" w:rsidR="00454A29" w:rsidRDefault="00454A29"/>
        </w:tc>
        <w:tc>
          <w:tcPr>
            <w:tcW w:w="3345" w:type="dxa"/>
            <w:vMerge/>
          </w:tcPr>
          <w:p w14:paraId="1D7C1448" w14:textId="77777777" w:rsidR="00454A29" w:rsidRDefault="00454A29"/>
        </w:tc>
        <w:tc>
          <w:tcPr>
            <w:tcW w:w="1701" w:type="dxa"/>
            <w:vAlign w:val="center"/>
          </w:tcPr>
          <w:p w14:paraId="3C22CEE5" w14:textId="77777777" w:rsidR="00454A29" w:rsidRDefault="00454A29">
            <w:pPr>
              <w:pStyle w:val="ConsPlusNormal"/>
              <w:jc w:val="center"/>
            </w:pPr>
            <w:r>
              <w:t>2025</w:t>
            </w:r>
          </w:p>
        </w:tc>
        <w:tc>
          <w:tcPr>
            <w:tcW w:w="1417" w:type="dxa"/>
            <w:vMerge/>
          </w:tcPr>
          <w:p w14:paraId="1E67FEA3" w14:textId="77777777" w:rsidR="00454A29" w:rsidRDefault="00454A29"/>
        </w:tc>
        <w:tc>
          <w:tcPr>
            <w:tcW w:w="2204" w:type="dxa"/>
            <w:vMerge/>
          </w:tcPr>
          <w:p w14:paraId="16A065B8" w14:textId="77777777" w:rsidR="00454A29" w:rsidRDefault="00454A29"/>
        </w:tc>
        <w:tc>
          <w:tcPr>
            <w:tcW w:w="1417" w:type="dxa"/>
            <w:vMerge/>
          </w:tcPr>
          <w:p w14:paraId="226B07A8" w14:textId="77777777" w:rsidR="00454A29" w:rsidRDefault="00454A29"/>
        </w:tc>
        <w:tc>
          <w:tcPr>
            <w:tcW w:w="2324" w:type="dxa"/>
            <w:vMerge/>
          </w:tcPr>
          <w:p w14:paraId="7F117A44" w14:textId="77777777" w:rsidR="00454A29" w:rsidRDefault="00454A29"/>
        </w:tc>
        <w:tc>
          <w:tcPr>
            <w:tcW w:w="1701" w:type="dxa"/>
            <w:vAlign w:val="center"/>
          </w:tcPr>
          <w:p w14:paraId="5C8C726B" w14:textId="77777777" w:rsidR="00454A29" w:rsidRDefault="00454A29">
            <w:pPr>
              <w:pStyle w:val="ConsPlusNormal"/>
              <w:jc w:val="center"/>
            </w:pPr>
            <w:r>
              <w:t>-</w:t>
            </w:r>
          </w:p>
        </w:tc>
        <w:tc>
          <w:tcPr>
            <w:tcW w:w="1814" w:type="dxa"/>
            <w:vAlign w:val="center"/>
          </w:tcPr>
          <w:p w14:paraId="130E6C7C" w14:textId="77777777" w:rsidR="00454A29" w:rsidRDefault="00454A29">
            <w:pPr>
              <w:pStyle w:val="ConsPlusNormal"/>
            </w:pPr>
          </w:p>
        </w:tc>
        <w:tc>
          <w:tcPr>
            <w:tcW w:w="1701" w:type="dxa"/>
            <w:vAlign w:val="center"/>
          </w:tcPr>
          <w:p w14:paraId="2B647CF5" w14:textId="77777777" w:rsidR="00454A29" w:rsidRDefault="00454A29">
            <w:pPr>
              <w:pStyle w:val="ConsPlusNormal"/>
            </w:pPr>
          </w:p>
        </w:tc>
        <w:tc>
          <w:tcPr>
            <w:tcW w:w="1701" w:type="dxa"/>
            <w:vAlign w:val="center"/>
          </w:tcPr>
          <w:p w14:paraId="491A876A" w14:textId="77777777" w:rsidR="00454A29" w:rsidRDefault="00454A29">
            <w:pPr>
              <w:pStyle w:val="ConsPlusNormal"/>
            </w:pPr>
          </w:p>
        </w:tc>
        <w:tc>
          <w:tcPr>
            <w:tcW w:w="1814" w:type="dxa"/>
            <w:vAlign w:val="center"/>
          </w:tcPr>
          <w:p w14:paraId="19C9C121" w14:textId="77777777" w:rsidR="00454A29" w:rsidRDefault="00454A29">
            <w:pPr>
              <w:pStyle w:val="ConsPlusNormal"/>
            </w:pPr>
          </w:p>
        </w:tc>
      </w:tr>
      <w:tr w:rsidR="00454A29" w14:paraId="39BD713D" w14:textId="77777777">
        <w:tc>
          <w:tcPr>
            <w:tcW w:w="567" w:type="dxa"/>
            <w:vMerge/>
          </w:tcPr>
          <w:p w14:paraId="450171D4" w14:textId="77777777" w:rsidR="00454A29" w:rsidRDefault="00454A29"/>
        </w:tc>
        <w:tc>
          <w:tcPr>
            <w:tcW w:w="3345" w:type="dxa"/>
            <w:vMerge/>
          </w:tcPr>
          <w:p w14:paraId="6378A7A8" w14:textId="77777777" w:rsidR="00454A29" w:rsidRDefault="00454A29"/>
        </w:tc>
        <w:tc>
          <w:tcPr>
            <w:tcW w:w="1701" w:type="dxa"/>
            <w:vAlign w:val="center"/>
          </w:tcPr>
          <w:p w14:paraId="26C4C979" w14:textId="77777777" w:rsidR="00454A29" w:rsidRDefault="00454A29">
            <w:pPr>
              <w:pStyle w:val="ConsPlusNormal"/>
              <w:jc w:val="center"/>
            </w:pPr>
            <w:r>
              <w:t>2026</w:t>
            </w:r>
          </w:p>
        </w:tc>
        <w:tc>
          <w:tcPr>
            <w:tcW w:w="1417" w:type="dxa"/>
            <w:vMerge/>
          </w:tcPr>
          <w:p w14:paraId="667200F2" w14:textId="77777777" w:rsidR="00454A29" w:rsidRDefault="00454A29"/>
        </w:tc>
        <w:tc>
          <w:tcPr>
            <w:tcW w:w="2204" w:type="dxa"/>
            <w:vMerge/>
          </w:tcPr>
          <w:p w14:paraId="3E9B2386" w14:textId="77777777" w:rsidR="00454A29" w:rsidRDefault="00454A29"/>
        </w:tc>
        <w:tc>
          <w:tcPr>
            <w:tcW w:w="1417" w:type="dxa"/>
            <w:vMerge/>
          </w:tcPr>
          <w:p w14:paraId="60AE9CD3" w14:textId="77777777" w:rsidR="00454A29" w:rsidRDefault="00454A29"/>
        </w:tc>
        <w:tc>
          <w:tcPr>
            <w:tcW w:w="2324" w:type="dxa"/>
            <w:vMerge/>
          </w:tcPr>
          <w:p w14:paraId="25C33FFE" w14:textId="77777777" w:rsidR="00454A29" w:rsidRDefault="00454A29"/>
        </w:tc>
        <w:tc>
          <w:tcPr>
            <w:tcW w:w="1701" w:type="dxa"/>
            <w:vAlign w:val="center"/>
          </w:tcPr>
          <w:p w14:paraId="4E7AB7FB" w14:textId="77777777" w:rsidR="00454A29" w:rsidRDefault="00454A29">
            <w:pPr>
              <w:pStyle w:val="ConsPlusNormal"/>
              <w:jc w:val="center"/>
            </w:pPr>
            <w:r>
              <w:t>-</w:t>
            </w:r>
          </w:p>
        </w:tc>
        <w:tc>
          <w:tcPr>
            <w:tcW w:w="1814" w:type="dxa"/>
            <w:vAlign w:val="center"/>
          </w:tcPr>
          <w:p w14:paraId="54F107AD" w14:textId="77777777" w:rsidR="00454A29" w:rsidRDefault="00454A29">
            <w:pPr>
              <w:pStyle w:val="ConsPlusNormal"/>
            </w:pPr>
          </w:p>
        </w:tc>
        <w:tc>
          <w:tcPr>
            <w:tcW w:w="1701" w:type="dxa"/>
            <w:vAlign w:val="center"/>
          </w:tcPr>
          <w:p w14:paraId="3DC05C7A" w14:textId="77777777" w:rsidR="00454A29" w:rsidRDefault="00454A29">
            <w:pPr>
              <w:pStyle w:val="ConsPlusNormal"/>
            </w:pPr>
          </w:p>
        </w:tc>
        <w:tc>
          <w:tcPr>
            <w:tcW w:w="1701" w:type="dxa"/>
            <w:vAlign w:val="center"/>
          </w:tcPr>
          <w:p w14:paraId="17A88BFD" w14:textId="77777777" w:rsidR="00454A29" w:rsidRDefault="00454A29">
            <w:pPr>
              <w:pStyle w:val="ConsPlusNormal"/>
            </w:pPr>
          </w:p>
        </w:tc>
        <w:tc>
          <w:tcPr>
            <w:tcW w:w="1814" w:type="dxa"/>
            <w:vAlign w:val="center"/>
          </w:tcPr>
          <w:p w14:paraId="380F3051" w14:textId="77777777" w:rsidR="00454A29" w:rsidRDefault="00454A29">
            <w:pPr>
              <w:pStyle w:val="ConsPlusNormal"/>
            </w:pPr>
          </w:p>
        </w:tc>
      </w:tr>
      <w:tr w:rsidR="00454A29" w14:paraId="726E0437" w14:textId="77777777">
        <w:tc>
          <w:tcPr>
            <w:tcW w:w="567" w:type="dxa"/>
            <w:vMerge w:val="restart"/>
            <w:vAlign w:val="center"/>
          </w:tcPr>
          <w:p w14:paraId="33ADF486" w14:textId="77777777" w:rsidR="00454A29" w:rsidRDefault="00454A29">
            <w:pPr>
              <w:pStyle w:val="ConsPlusNormal"/>
              <w:jc w:val="center"/>
            </w:pPr>
            <w:r>
              <w:t>55</w:t>
            </w:r>
          </w:p>
        </w:tc>
        <w:tc>
          <w:tcPr>
            <w:tcW w:w="3345" w:type="dxa"/>
            <w:vMerge w:val="restart"/>
            <w:vAlign w:val="center"/>
          </w:tcPr>
          <w:p w14:paraId="338A7778" w14:textId="77777777" w:rsidR="00454A29" w:rsidRDefault="00454A29">
            <w:pPr>
              <w:pStyle w:val="ConsPlusNormal"/>
              <w:jc w:val="center"/>
            </w:pPr>
            <w:r>
              <w:t>Реконструкция детского сада в мкрн. Марха ул. Мелиаторов</w:t>
            </w:r>
          </w:p>
        </w:tc>
        <w:tc>
          <w:tcPr>
            <w:tcW w:w="1701" w:type="dxa"/>
            <w:vAlign w:val="center"/>
          </w:tcPr>
          <w:p w14:paraId="621618AC" w14:textId="77777777" w:rsidR="00454A29" w:rsidRDefault="00454A29">
            <w:pPr>
              <w:pStyle w:val="ConsPlusNormal"/>
              <w:jc w:val="center"/>
            </w:pPr>
            <w:r>
              <w:t>2020 - 2026 годы - всего</w:t>
            </w:r>
          </w:p>
        </w:tc>
        <w:tc>
          <w:tcPr>
            <w:tcW w:w="1417" w:type="dxa"/>
            <w:vMerge w:val="restart"/>
            <w:vAlign w:val="center"/>
          </w:tcPr>
          <w:p w14:paraId="04BD75C6" w14:textId="77777777" w:rsidR="00454A29" w:rsidRDefault="00454A29">
            <w:pPr>
              <w:pStyle w:val="ConsPlusNormal"/>
              <w:jc w:val="center"/>
            </w:pPr>
            <w:r>
              <w:t>58 138,83</w:t>
            </w:r>
          </w:p>
        </w:tc>
        <w:tc>
          <w:tcPr>
            <w:tcW w:w="2204" w:type="dxa"/>
            <w:vMerge w:val="restart"/>
            <w:vAlign w:val="center"/>
          </w:tcPr>
          <w:p w14:paraId="735BE6FF" w14:textId="77777777" w:rsidR="00454A29" w:rsidRDefault="00454A29">
            <w:pPr>
              <w:pStyle w:val="ConsPlusNormal"/>
              <w:jc w:val="center"/>
            </w:pPr>
            <w:r>
              <w:t>имеется</w:t>
            </w:r>
          </w:p>
        </w:tc>
        <w:tc>
          <w:tcPr>
            <w:tcW w:w="1417" w:type="dxa"/>
            <w:vMerge w:val="restart"/>
            <w:vAlign w:val="center"/>
          </w:tcPr>
          <w:p w14:paraId="27B9BC13" w14:textId="77777777" w:rsidR="00454A29" w:rsidRDefault="00454A29">
            <w:pPr>
              <w:pStyle w:val="ConsPlusNormal"/>
              <w:jc w:val="center"/>
            </w:pPr>
            <w:r>
              <w:t>240</w:t>
            </w:r>
          </w:p>
        </w:tc>
        <w:tc>
          <w:tcPr>
            <w:tcW w:w="2324" w:type="dxa"/>
            <w:vMerge w:val="restart"/>
            <w:vAlign w:val="center"/>
          </w:tcPr>
          <w:p w14:paraId="1B70ED10" w14:textId="77777777" w:rsidR="00454A29" w:rsidRDefault="00454A29">
            <w:pPr>
              <w:pStyle w:val="ConsPlusNormal"/>
              <w:jc w:val="center"/>
            </w:pPr>
            <w:r>
              <w:t>Минстрой РС(Я), ГО "город Якутск"</w:t>
            </w:r>
          </w:p>
        </w:tc>
        <w:tc>
          <w:tcPr>
            <w:tcW w:w="1701" w:type="dxa"/>
            <w:vAlign w:val="center"/>
          </w:tcPr>
          <w:p w14:paraId="56432F37" w14:textId="77777777" w:rsidR="00454A29" w:rsidRDefault="00454A29">
            <w:pPr>
              <w:pStyle w:val="ConsPlusNormal"/>
              <w:jc w:val="center"/>
            </w:pPr>
            <w:r>
              <w:t>58 138,83</w:t>
            </w:r>
          </w:p>
        </w:tc>
        <w:tc>
          <w:tcPr>
            <w:tcW w:w="1814" w:type="dxa"/>
            <w:vAlign w:val="center"/>
          </w:tcPr>
          <w:p w14:paraId="6A7737DB" w14:textId="77777777" w:rsidR="00454A29" w:rsidRDefault="00454A29">
            <w:pPr>
              <w:pStyle w:val="ConsPlusNormal"/>
              <w:jc w:val="center"/>
            </w:pPr>
            <w:r>
              <w:t>58 138,83</w:t>
            </w:r>
          </w:p>
        </w:tc>
        <w:tc>
          <w:tcPr>
            <w:tcW w:w="1701" w:type="dxa"/>
            <w:vAlign w:val="center"/>
          </w:tcPr>
          <w:p w14:paraId="7AA6B574" w14:textId="77777777" w:rsidR="00454A29" w:rsidRDefault="00454A29">
            <w:pPr>
              <w:pStyle w:val="ConsPlusNormal"/>
              <w:jc w:val="center"/>
            </w:pPr>
            <w:r>
              <w:t>-</w:t>
            </w:r>
          </w:p>
        </w:tc>
        <w:tc>
          <w:tcPr>
            <w:tcW w:w="1701" w:type="dxa"/>
            <w:vAlign w:val="center"/>
          </w:tcPr>
          <w:p w14:paraId="688C2EBB" w14:textId="77777777" w:rsidR="00454A29" w:rsidRDefault="00454A29">
            <w:pPr>
              <w:pStyle w:val="ConsPlusNormal"/>
              <w:jc w:val="center"/>
            </w:pPr>
            <w:r>
              <w:t>-</w:t>
            </w:r>
          </w:p>
        </w:tc>
        <w:tc>
          <w:tcPr>
            <w:tcW w:w="1814" w:type="dxa"/>
            <w:vAlign w:val="center"/>
          </w:tcPr>
          <w:p w14:paraId="64E9A50E" w14:textId="77777777" w:rsidR="00454A29" w:rsidRDefault="00454A29">
            <w:pPr>
              <w:pStyle w:val="ConsPlusNormal"/>
              <w:jc w:val="center"/>
            </w:pPr>
            <w:r>
              <w:t>-</w:t>
            </w:r>
          </w:p>
        </w:tc>
      </w:tr>
      <w:tr w:rsidR="00454A29" w14:paraId="5CB436AB" w14:textId="77777777">
        <w:tc>
          <w:tcPr>
            <w:tcW w:w="567" w:type="dxa"/>
            <w:vMerge/>
          </w:tcPr>
          <w:p w14:paraId="01A4B509" w14:textId="77777777" w:rsidR="00454A29" w:rsidRDefault="00454A29"/>
        </w:tc>
        <w:tc>
          <w:tcPr>
            <w:tcW w:w="3345" w:type="dxa"/>
            <w:vMerge/>
          </w:tcPr>
          <w:p w14:paraId="26C1C1E9" w14:textId="77777777" w:rsidR="00454A29" w:rsidRDefault="00454A29"/>
        </w:tc>
        <w:tc>
          <w:tcPr>
            <w:tcW w:w="1701" w:type="dxa"/>
            <w:vAlign w:val="center"/>
          </w:tcPr>
          <w:p w14:paraId="7238BE7E" w14:textId="77777777" w:rsidR="00454A29" w:rsidRDefault="00454A29">
            <w:pPr>
              <w:pStyle w:val="ConsPlusNormal"/>
              <w:jc w:val="center"/>
            </w:pPr>
            <w:r>
              <w:t>2020</w:t>
            </w:r>
          </w:p>
        </w:tc>
        <w:tc>
          <w:tcPr>
            <w:tcW w:w="1417" w:type="dxa"/>
            <w:vMerge/>
          </w:tcPr>
          <w:p w14:paraId="05F0CB9F" w14:textId="77777777" w:rsidR="00454A29" w:rsidRDefault="00454A29"/>
        </w:tc>
        <w:tc>
          <w:tcPr>
            <w:tcW w:w="2204" w:type="dxa"/>
            <w:vMerge/>
          </w:tcPr>
          <w:p w14:paraId="01C0348F" w14:textId="77777777" w:rsidR="00454A29" w:rsidRDefault="00454A29"/>
        </w:tc>
        <w:tc>
          <w:tcPr>
            <w:tcW w:w="1417" w:type="dxa"/>
            <w:vMerge/>
          </w:tcPr>
          <w:p w14:paraId="45AD025A" w14:textId="77777777" w:rsidR="00454A29" w:rsidRDefault="00454A29"/>
        </w:tc>
        <w:tc>
          <w:tcPr>
            <w:tcW w:w="2324" w:type="dxa"/>
            <w:vMerge/>
          </w:tcPr>
          <w:p w14:paraId="19401D94" w14:textId="77777777" w:rsidR="00454A29" w:rsidRDefault="00454A29"/>
        </w:tc>
        <w:tc>
          <w:tcPr>
            <w:tcW w:w="1701" w:type="dxa"/>
            <w:vAlign w:val="center"/>
          </w:tcPr>
          <w:p w14:paraId="4BBB69F1" w14:textId="77777777" w:rsidR="00454A29" w:rsidRDefault="00454A29">
            <w:pPr>
              <w:pStyle w:val="ConsPlusNormal"/>
              <w:jc w:val="center"/>
            </w:pPr>
            <w:r>
              <w:t>-</w:t>
            </w:r>
          </w:p>
        </w:tc>
        <w:tc>
          <w:tcPr>
            <w:tcW w:w="1814" w:type="dxa"/>
            <w:vAlign w:val="center"/>
          </w:tcPr>
          <w:p w14:paraId="6FDC1EB6" w14:textId="77777777" w:rsidR="00454A29" w:rsidRDefault="00454A29">
            <w:pPr>
              <w:pStyle w:val="ConsPlusNormal"/>
            </w:pPr>
          </w:p>
        </w:tc>
        <w:tc>
          <w:tcPr>
            <w:tcW w:w="1701" w:type="dxa"/>
            <w:vAlign w:val="center"/>
          </w:tcPr>
          <w:p w14:paraId="6A9315FD" w14:textId="77777777" w:rsidR="00454A29" w:rsidRDefault="00454A29">
            <w:pPr>
              <w:pStyle w:val="ConsPlusNormal"/>
            </w:pPr>
          </w:p>
        </w:tc>
        <w:tc>
          <w:tcPr>
            <w:tcW w:w="1701" w:type="dxa"/>
            <w:vAlign w:val="center"/>
          </w:tcPr>
          <w:p w14:paraId="27BF7E14" w14:textId="77777777" w:rsidR="00454A29" w:rsidRDefault="00454A29">
            <w:pPr>
              <w:pStyle w:val="ConsPlusNormal"/>
            </w:pPr>
          </w:p>
        </w:tc>
        <w:tc>
          <w:tcPr>
            <w:tcW w:w="1814" w:type="dxa"/>
            <w:vAlign w:val="center"/>
          </w:tcPr>
          <w:p w14:paraId="78547FB5" w14:textId="77777777" w:rsidR="00454A29" w:rsidRDefault="00454A29">
            <w:pPr>
              <w:pStyle w:val="ConsPlusNormal"/>
            </w:pPr>
          </w:p>
        </w:tc>
      </w:tr>
      <w:tr w:rsidR="00454A29" w14:paraId="2F948161" w14:textId="77777777">
        <w:tc>
          <w:tcPr>
            <w:tcW w:w="567" w:type="dxa"/>
            <w:vMerge/>
          </w:tcPr>
          <w:p w14:paraId="08A217F7" w14:textId="77777777" w:rsidR="00454A29" w:rsidRDefault="00454A29"/>
        </w:tc>
        <w:tc>
          <w:tcPr>
            <w:tcW w:w="3345" w:type="dxa"/>
            <w:vMerge/>
          </w:tcPr>
          <w:p w14:paraId="4D7E0A0A" w14:textId="77777777" w:rsidR="00454A29" w:rsidRDefault="00454A29"/>
        </w:tc>
        <w:tc>
          <w:tcPr>
            <w:tcW w:w="1701" w:type="dxa"/>
            <w:vAlign w:val="center"/>
          </w:tcPr>
          <w:p w14:paraId="7753FB05" w14:textId="77777777" w:rsidR="00454A29" w:rsidRDefault="00454A29">
            <w:pPr>
              <w:pStyle w:val="ConsPlusNormal"/>
              <w:jc w:val="center"/>
            </w:pPr>
            <w:r>
              <w:t>2021</w:t>
            </w:r>
          </w:p>
        </w:tc>
        <w:tc>
          <w:tcPr>
            <w:tcW w:w="1417" w:type="dxa"/>
            <w:vMerge/>
          </w:tcPr>
          <w:p w14:paraId="6BD1E367" w14:textId="77777777" w:rsidR="00454A29" w:rsidRDefault="00454A29"/>
        </w:tc>
        <w:tc>
          <w:tcPr>
            <w:tcW w:w="2204" w:type="dxa"/>
            <w:vMerge/>
          </w:tcPr>
          <w:p w14:paraId="6E0DD888" w14:textId="77777777" w:rsidR="00454A29" w:rsidRDefault="00454A29"/>
        </w:tc>
        <w:tc>
          <w:tcPr>
            <w:tcW w:w="1417" w:type="dxa"/>
            <w:vMerge/>
          </w:tcPr>
          <w:p w14:paraId="2438CBD3" w14:textId="77777777" w:rsidR="00454A29" w:rsidRDefault="00454A29"/>
        </w:tc>
        <w:tc>
          <w:tcPr>
            <w:tcW w:w="2324" w:type="dxa"/>
            <w:vMerge/>
          </w:tcPr>
          <w:p w14:paraId="31F01F37" w14:textId="77777777" w:rsidR="00454A29" w:rsidRDefault="00454A29"/>
        </w:tc>
        <w:tc>
          <w:tcPr>
            <w:tcW w:w="1701" w:type="dxa"/>
            <w:vAlign w:val="center"/>
          </w:tcPr>
          <w:p w14:paraId="63EA5858" w14:textId="77777777" w:rsidR="00454A29" w:rsidRDefault="00454A29">
            <w:pPr>
              <w:pStyle w:val="ConsPlusNormal"/>
              <w:jc w:val="center"/>
            </w:pPr>
            <w:r>
              <w:t>-</w:t>
            </w:r>
          </w:p>
        </w:tc>
        <w:tc>
          <w:tcPr>
            <w:tcW w:w="1814" w:type="dxa"/>
            <w:vAlign w:val="center"/>
          </w:tcPr>
          <w:p w14:paraId="304C203B" w14:textId="77777777" w:rsidR="00454A29" w:rsidRDefault="00454A29">
            <w:pPr>
              <w:pStyle w:val="ConsPlusNormal"/>
            </w:pPr>
          </w:p>
        </w:tc>
        <w:tc>
          <w:tcPr>
            <w:tcW w:w="1701" w:type="dxa"/>
            <w:vAlign w:val="center"/>
          </w:tcPr>
          <w:p w14:paraId="737D3F5D" w14:textId="77777777" w:rsidR="00454A29" w:rsidRDefault="00454A29">
            <w:pPr>
              <w:pStyle w:val="ConsPlusNormal"/>
            </w:pPr>
          </w:p>
        </w:tc>
        <w:tc>
          <w:tcPr>
            <w:tcW w:w="1701" w:type="dxa"/>
            <w:vAlign w:val="center"/>
          </w:tcPr>
          <w:p w14:paraId="26F4BB03" w14:textId="77777777" w:rsidR="00454A29" w:rsidRDefault="00454A29">
            <w:pPr>
              <w:pStyle w:val="ConsPlusNormal"/>
            </w:pPr>
          </w:p>
        </w:tc>
        <w:tc>
          <w:tcPr>
            <w:tcW w:w="1814" w:type="dxa"/>
            <w:vAlign w:val="center"/>
          </w:tcPr>
          <w:p w14:paraId="15B72F0B" w14:textId="77777777" w:rsidR="00454A29" w:rsidRDefault="00454A29">
            <w:pPr>
              <w:pStyle w:val="ConsPlusNormal"/>
            </w:pPr>
          </w:p>
        </w:tc>
      </w:tr>
      <w:tr w:rsidR="00454A29" w14:paraId="40D9F851" w14:textId="77777777">
        <w:tc>
          <w:tcPr>
            <w:tcW w:w="567" w:type="dxa"/>
            <w:vMerge/>
          </w:tcPr>
          <w:p w14:paraId="6F342B8B" w14:textId="77777777" w:rsidR="00454A29" w:rsidRDefault="00454A29"/>
        </w:tc>
        <w:tc>
          <w:tcPr>
            <w:tcW w:w="3345" w:type="dxa"/>
            <w:vMerge/>
          </w:tcPr>
          <w:p w14:paraId="3F777460" w14:textId="77777777" w:rsidR="00454A29" w:rsidRDefault="00454A29"/>
        </w:tc>
        <w:tc>
          <w:tcPr>
            <w:tcW w:w="1701" w:type="dxa"/>
            <w:vAlign w:val="center"/>
          </w:tcPr>
          <w:p w14:paraId="64B84A89" w14:textId="77777777" w:rsidR="00454A29" w:rsidRDefault="00454A29">
            <w:pPr>
              <w:pStyle w:val="ConsPlusNormal"/>
              <w:jc w:val="center"/>
            </w:pPr>
            <w:r>
              <w:t>2022</w:t>
            </w:r>
          </w:p>
        </w:tc>
        <w:tc>
          <w:tcPr>
            <w:tcW w:w="1417" w:type="dxa"/>
            <w:vMerge/>
          </w:tcPr>
          <w:p w14:paraId="0D104470" w14:textId="77777777" w:rsidR="00454A29" w:rsidRDefault="00454A29"/>
        </w:tc>
        <w:tc>
          <w:tcPr>
            <w:tcW w:w="2204" w:type="dxa"/>
            <w:vMerge/>
          </w:tcPr>
          <w:p w14:paraId="441E27EC" w14:textId="77777777" w:rsidR="00454A29" w:rsidRDefault="00454A29"/>
        </w:tc>
        <w:tc>
          <w:tcPr>
            <w:tcW w:w="1417" w:type="dxa"/>
            <w:vMerge/>
          </w:tcPr>
          <w:p w14:paraId="53EE5B28" w14:textId="77777777" w:rsidR="00454A29" w:rsidRDefault="00454A29"/>
        </w:tc>
        <w:tc>
          <w:tcPr>
            <w:tcW w:w="2324" w:type="dxa"/>
            <w:vMerge/>
          </w:tcPr>
          <w:p w14:paraId="7A2BDFE0" w14:textId="77777777" w:rsidR="00454A29" w:rsidRDefault="00454A29"/>
        </w:tc>
        <w:tc>
          <w:tcPr>
            <w:tcW w:w="1701" w:type="dxa"/>
            <w:vAlign w:val="center"/>
          </w:tcPr>
          <w:p w14:paraId="0038861F" w14:textId="77777777" w:rsidR="00454A29" w:rsidRDefault="00454A29">
            <w:pPr>
              <w:pStyle w:val="ConsPlusNormal"/>
            </w:pPr>
          </w:p>
        </w:tc>
        <w:tc>
          <w:tcPr>
            <w:tcW w:w="1814" w:type="dxa"/>
            <w:vAlign w:val="center"/>
          </w:tcPr>
          <w:p w14:paraId="137DFC8D" w14:textId="77777777" w:rsidR="00454A29" w:rsidRDefault="00454A29">
            <w:pPr>
              <w:pStyle w:val="ConsPlusNormal"/>
            </w:pPr>
          </w:p>
        </w:tc>
        <w:tc>
          <w:tcPr>
            <w:tcW w:w="1701" w:type="dxa"/>
            <w:vAlign w:val="center"/>
          </w:tcPr>
          <w:p w14:paraId="634E63EC" w14:textId="77777777" w:rsidR="00454A29" w:rsidRDefault="00454A29">
            <w:pPr>
              <w:pStyle w:val="ConsPlusNormal"/>
            </w:pPr>
          </w:p>
        </w:tc>
        <w:tc>
          <w:tcPr>
            <w:tcW w:w="1701" w:type="dxa"/>
            <w:vAlign w:val="center"/>
          </w:tcPr>
          <w:p w14:paraId="515C2D81" w14:textId="77777777" w:rsidR="00454A29" w:rsidRDefault="00454A29">
            <w:pPr>
              <w:pStyle w:val="ConsPlusNormal"/>
            </w:pPr>
          </w:p>
        </w:tc>
        <w:tc>
          <w:tcPr>
            <w:tcW w:w="1814" w:type="dxa"/>
            <w:vAlign w:val="center"/>
          </w:tcPr>
          <w:p w14:paraId="584A98EF" w14:textId="77777777" w:rsidR="00454A29" w:rsidRDefault="00454A29">
            <w:pPr>
              <w:pStyle w:val="ConsPlusNormal"/>
            </w:pPr>
          </w:p>
        </w:tc>
      </w:tr>
      <w:tr w:rsidR="00454A29" w14:paraId="2E5FB09C" w14:textId="77777777">
        <w:tc>
          <w:tcPr>
            <w:tcW w:w="567" w:type="dxa"/>
            <w:vMerge/>
          </w:tcPr>
          <w:p w14:paraId="0518200F" w14:textId="77777777" w:rsidR="00454A29" w:rsidRDefault="00454A29"/>
        </w:tc>
        <w:tc>
          <w:tcPr>
            <w:tcW w:w="3345" w:type="dxa"/>
            <w:vMerge/>
          </w:tcPr>
          <w:p w14:paraId="099290C1" w14:textId="77777777" w:rsidR="00454A29" w:rsidRDefault="00454A29"/>
        </w:tc>
        <w:tc>
          <w:tcPr>
            <w:tcW w:w="1701" w:type="dxa"/>
            <w:vAlign w:val="center"/>
          </w:tcPr>
          <w:p w14:paraId="56C80385" w14:textId="77777777" w:rsidR="00454A29" w:rsidRDefault="00454A29">
            <w:pPr>
              <w:pStyle w:val="ConsPlusNormal"/>
              <w:jc w:val="center"/>
            </w:pPr>
            <w:r>
              <w:t>2023</w:t>
            </w:r>
          </w:p>
        </w:tc>
        <w:tc>
          <w:tcPr>
            <w:tcW w:w="1417" w:type="dxa"/>
            <w:vMerge/>
          </w:tcPr>
          <w:p w14:paraId="523BE320" w14:textId="77777777" w:rsidR="00454A29" w:rsidRDefault="00454A29"/>
        </w:tc>
        <w:tc>
          <w:tcPr>
            <w:tcW w:w="2204" w:type="dxa"/>
            <w:vMerge/>
          </w:tcPr>
          <w:p w14:paraId="5E852C59" w14:textId="77777777" w:rsidR="00454A29" w:rsidRDefault="00454A29"/>
        </w:tc>
        <w:tc>
          <w:tcPr>
            <w:tcW w:w="1417" w:type="dxa"/>
            <w:vMerge/>
          </w:tcPr>
          <w:p w14:paraId="3603377C" w14:textId="77777777" w:rsidR="00454A29" w:rsidRDefault="00454A29"/>
        </w:tc>
        <w:tc>
          <w:tcPr>
            <w:tcW w:w="2324" w:type="dxa"/>
            <w:vMerge/>
          </w:tcPr>
          <w:p w14:paraId="34747221" w14:textId="77777777" w:rsidR="00454A29" w:rsidRDefault="00454A29"/>
        </w:tc>
        <w:tc>
          <w:tcPr>
            <w:tcW w:w="1701" w:type="dxa"/>
            <w:vAlign w:val="center"/>
          </w:tcPr>
          <w:p w14:paraId="724B2CE8" w14:textId="77777777" w:rsidR="00454A29" w:rsidRDefault="00454A29">
            <w:pPr>
              <w:pStyle w:val="ConsPlusNormal"/>
              <w:jc w:val="center"/>
            </w:pPr>
            <w:r>
              <w:t>58 138,83</w:t>
            </w:r>
          </w:p>
        </w:tc>
        <w:tc>
          <w:tcPr>
            <w:tcW w:w="1814" w:type="dxa"/>
            <w:vAlign w:val="center"/>
          </w:tcPr>
          <w:p w14:paraId="4906C714" w14:textId="77777777" w:rsidR="00454A29" w:rsidRDefault="00454A29">
            <w:pPr>
              <w:pStyle w:val="ConsPlusNormal"/>
              <w:jc w:val="center"/>
            </w:pPr>
            <w:r>
              <w:t>58 138,83</w:t>
            </w:r>
          </w:p>
        </w:tc>
        <w:tc>
          <w:tcPr>
            <w:tcW w:w="1701" w:type="dxa"/>
            <w:vAlign w:val="center"/>
          </w:tcPr>
          <w:p w14:paraId="24101B6A" w14:textId="77777777" w:rsidR="00454A29" w:rsidRDefault="00454A29">
            <w:pPr>
              <w:pStyle w:val="ConsPlusNormal"/>
            </w:pPr>
          </w:p>
        </w:tc>
        <w:tc>
          <w:tcPr>
            <w:tcW w:w="1701" w:type="dxa"/>
            <w:vAlign w:val="center"/>
          </w:tcPr>
          <w:p w14:paraId="18F8807C" w14:textId="77777777" w:rsidR="00454A29" w:rsidRDefault="00454A29">
            <w:pPr>
              <w:pStyle w:val="ConsPlusNormal"/>
            </w:pPr>
          </w:p>
        </w:tc>
        <w:tc>
          <w:tcPr>
            <w:tcW w:w="1814" w:type="dxa"/>
            <w:vAlign w:val="center"/>
          </w:tcPr>
          <w:p w14:paraId="1065D9C2" w14:textId="77777777" w:rsidR="00454A29" w:rsidRDefault="00454A29">
            <w:pPr>
              <w:pStyle w:val="ConsPlusNormal"/>
            </w:pPr>
          </w:p>
        </w:tc>
      </w:tr>
      <w:tr w:rsidR="00454A29" w14:paraId="72FCE9CE" w14:textId="77777777">
        <w:tc>
          <w:tcPr>
            <w:tcW w:w="567" w:type="dxa"/>
            <w:vMerge/>
          </w:tcPr>
          <w:p w14:paraId="28070EF0" w14:textId="77777777" w:rsidR="00454A29" w:rsidRDefault="00454A29"/>
        </w:tc>
        <w:tc>
          <w:tcPr>
            <w:tcW w:w="3345" w:type="dxa"/>
            <w:vMerge/>
          </w:tcPr>
          <w:p w14:paraId="31D4E4DB" w14:textId="77777777" w:rsidR="00454A29" w:rsidRDefault="00454A29"/>
        </w:tc>
        <w:tc>
          <w:tcPr>
            <w:tcW w:w="1701" w:type="dxa"/>
            <w:vAlign w:val="center"/>
          </w:tcPr>
          <w:p w14:paraId="4F5C6CF7" w14:textId="77777777" w:rsidR="00454A29" w:rsidRDefault="00454A29">
            <w:pPr>
              <w:pStyle w:val="ConsPlusNormal"/>
              <w:jc w:val="center"/>
            </w:pPr>
            <w:r>
              <w:t>2024</w:t>
            </w:r>
          </w:p>
        </w:tc>
        <w:tc>
          <w:tcPr>
            <w:tcW w:w="1417" w:type="dxa"/>
            <w:vMerge/>
          </w:tcPr>
          <w:p w14:paraId="27CD1D8B" w14:textId="77777777" w:rsidR="00454A29" w:rsidRDefault="00454A29"/>
        </w:tc>
        <w:tc>
          <w:tcPr>
            <w:tcW w:w="2204" w:type="dxa"/>
            <w:vMerge/>
          </w:tcPr>
          <w:p w14:paraId="02F320DC" w14:textId="77777777" w:rsidR="00454A29" w:rsidRDefault="00454A29"/>
        </w:tc>
        <w:tc>
          <w:tcPr>
            <w:tcW w:w="1417" w:type="dxa"/>
            <w:vMerge/>
          </w:tcPr>
          <w:p w14:paraId="444056B6" w14:textId="77777777" w:rsidR="00454A29" w:rsidRDefault="00454A29"/>
        </w:tc>
        <w:tc>
          <w:tcPr>
            <w:tcW w:w="2324" w:type="dxa"/>
            <w:vMerge/>
          </w:tcPr>
          <w:p w14:paraId="734B6633" w14:textId="77777777" w:rsidR="00454A29" w:rsidRDefault="00454A29"/>
        </w:tc>
        <w:tc>
          <w:tcPr>
            <w:tcW w:w="1701" w:type="dxa"/>
            <w:vAlign w:val="center"/>
          </w:tcPr>
          <w:p w14:paraId="2E9C9A74" w14:textId="77777777" w:rsidR="00454A29" w:rsidRDefault="00454A29">
            <w:pPr>
              <w:pStyle w:val="ConsPlusNormal"/>
              <w:jc w:val="center"/>
            </w:pPr>
            <w:r>
              <w:t>-</w:t>
            </w:r>
          </w:p>
        </w:tc>
        <w:tc>
          <w:tcPr>
            <w:tcW w:w="1814" w:type="dxa"/>
            <w:vAlign w:val="center"/>
          </w:tcPr>
          <w:p w14:paraId="48DE2B95" w14:textId="77777777" w:rsidR="00454A29" w:rsidRDefault="00454A29">
            <w:pPr>
              <w:pStyle w:val="ConsPlusNormal"/>
            </w:pPr>
          </w:p>
        </w:tc>
        <w:tc>
          <w:tcPr>
            <w:tcW w:w="1701" w:type="dxa"/>
            <w:vAlign w:val="center"/>
          </w:tcPr>
          <w:p w14:paraId="0E3ACBFF" w14:textId="77777777" w:rsidR="00454A29" w:rsidRDefault="00454A29">
            <w:pPr>
              <w:pStyle w:val="ConsPlusNormal"/>
            </w:pPr>
          </w:p>
        </w:tc>
        <w:tc>
          <w:tcPr>
            <w:tcW w:w="1701" w:type="dxa"/>
            <w:vAlign w:val="center"/>
          </w:tcPr>
          <w:p w14:paraId="00B0B973" w14:textId="77777777" w:rsidR="00454A29" w:rsidRDefault="00454A29">
            <w:pPr>
              <w:pStyle w:val="ConsPlusNormal"/>
            </w:pPr>
          </w:p>
        </w:tc>
        <w:tc>
          <w:tcPr>
            <w:tcW w:w="1814" w:type="dxa"/>
            <w:vAlign w:val="center"/>
          </w:tcPr>
          <w:p w14:paraId="16C73304" w14:textId="77777777" w:rsidR="00454A29" w:rsidRDefault="00454A29">
            <w:pPr>
              <w:pStyle w:val="ConsPlusNormal"/>
            </w:pPr>
          </w:p>
        </w:tc>
      </w:tr>
      <w:tr w:rsidR="00454A29" w14:paraId="52FA5CCA" w14:textId="77777777">
        <w:tc>
          <w:tcPr>
            <w:tcW w:w="567" w:type="dxa"/>
            <w:vMerge/>
          </w:tcPr>
          <w:p w14:paraId="6BA288DE" w14:textId="77777777" w:rsidR="00454A29" w:rsidRDefault="00454A29"/>
        </w:tc>
        <w:tc>
          <w:tcPr>
            <w:tcW w:w="3345" w:type="dxa"/>
            <w:vMerge/>
          </w:tcPr>
          <w:p w14:paraId="5569AD00" w14:textId="77777777" w:rsidR="00454A29" w:rsidRDefault="00454A29"/>
        </w:tc>
        <w:tc>
          <w:tcPr>
            <w:tcW w:w="1701" w:type="dxa"/>
            <w:vAlign w:val="center"/>
          </w:tcPr>
          <w:p w14:paraId="521EB8AF" w14:textId="77777777" w:rsidR="00454A29" w:rsidRDefault="00454A29">
            <w:pPr>
              <w:pStyle w:val="ConsPlusNormal"/>
              <w:jc w:val="center"/>
            </w:pPr>
            <w:r>
              <w:t>2025</w:t>
            </w:r>
          </w:p>
        </w:tc>
        <w:tc>
          <w:tcPr>
            <w:tcW w:w="1417" w:type="dxa"/>
            <w:vMerge/>
          </w:tcPr>
          <w:p w14:paraId="7F9FE9B0" w14:textId="77777777" w:rsidR="00454A29" w:rsidRDefault="00454A29"/>
        </w:tc>
        <w:tc>
          <w:tcPr>
            <w:tcW w:w="2204" w:type="dxa"/>
            <w:vMerge/>
          </w:tcPr>
          <w:p w14:paraId="34D4F628" w14:textId="77777777" w:rsidR="00454A29" w:rsidRDefault="00454A29"/>
        </w:tc>
        <w:tc>
          <w:tcPr>
            <w:tcW w:w="1417" w:type="dxa"/>
            <w:vMerge/>
          </w:tcPr>
          <w:p w14:paraId="68F421B0" w14:textId="77777777" w:rsidR="00454A29" w:rsidRDefault="00454A29"/>
        </w:tc>
        <w:tc>
          <w:tcPr>
            <w:tcW w:w="2324" w:type="dxa"/>
            <w:vMerge/>
          </w:tcPr>
          <w:p w14:paraId="78BD4FE0" w14:textId="77777777" w:rsidR="00454A29" w:rsidRDefault="00454A29"/>
        </w:tc>
        <w:tc>
          <w:tcPr>
            <w:tcW w:w="1701" w:type="dxa"/>
            <w:vAlign w:val="center"/>
          </w:tcPr>
          <w:p w14:paraId="11AE36A5" w14:textId="77777777" w:rsidR="00454A29" w:rsidRDefault="00454A29">
            <w:pPr>
              <w:pStyle w:val="ConsPlusNormal"/>
              <w:jc w:val="center"/>
            </w:pPr>
            <w:r>
              <w:t>-</w:t>
            </w:r>
          </w:p>
        </w:tc>
        <w:tc>
          <w:tcPr>
            <w:tcW w:w="1814" w:type="dxa"/>
            <w:vAlign w:val="center"/>
          </w:tcPr>
          <w:p w14:paraId="63730B91" w14:textId="77777777" w:rsidR="00454A29" w:rsidRDefault="00454A29">
            <w:pPr>
              <w:pStyle w:val="ConsPlusNormal"/>
            </w:pPr>
          </w:p>
        </w:tc>
        <w:tc>
          <w:tcPr>
            <w:tcW w:w="1701" w:type="dxa"/>
            <w:vAlign w:val="center"/>
          </w:tcPr>
          <w:p w14:paraId="4F8F9949" w14:textId="77777777" w:rsidR="00454A29" w:rsidRDefault="00454A29">
            <w:pPr>
              <w:pStyle w:val="ConsPlusNormal"/>
            </w:pPr>
          </w:p>
        </w:tc>
        <w:tc>
          <w:tcPr>
            <w:tcW w:w="1701" w:type="dxa"/>
            <w:vAlign w:val="center"/>
          </w:tcPr>
          <w:p w14:paraId="52F856AB" w14:textId="77777777" w:rsidR="00454A29" w:rsidRDefault="00454A29">
            <w:pPr>
              <w:pStyle w:val="ConsPlusNormal"/>
            </w:pPr>
          </w:p>
        </w:tc>
        <w:tc>
          <w:tcPr>
            <w:tcW w:w="1814" w:type="dxa"/>
            <w:vAlign w:val="center"/>
          </w:tcPr>
          <w:p w14:paraId="1C21AD19" w14:textId="77777777" w:rsidR="00454A29" w:rsidRDefault="00454A29">
            <w:pPr>
              <w:pStyle w:val="ConsPlusNormal"/>
            </w:pPr>
          </w:p>
        </w:tc>
      </w:tr>
      <w:tr w:rsidR="00454A29" w14:paraId="34A534EE" w14:textId="77777777">
        <w:tc>
          <w:tcPr>
            <w:tcW w:w="567" w:type="dxa"/>
            <w:vMerge/>
          </w:tcPr>
          <w:p w14:paraId="69C6A0E0" w14:textId="77777777" w:rsidR="00454A29" w:rsidRDefault="00454A29"/>
        </w:tc>
        <w:tc>
          <w:tcPr>
            <w:tcW w:w="3345" w:type="dxa"/>
            <w:vMerge/>
          </w:tcPr>
          <w:p w14:paraId="04169602" w14:textId="77777777" w:rsidR="00454A29" w:rsidRDefault="00454A29"/>
        </w:tc>
        <w:tc>
          <w:tcPr>
            <w:tcW w:w="1701" w:type="dxa"/>
            <w:vAlign w:val="center"/>
          </w:tcPr>
          <w:p w14:paraId="71857C07" w14:textId="77777777" w:rsidR="00454A29" w:rsidRDefault="00454A29">
            <w:pPr>
              <w:pStyle w:val="ConsPlusNormal"/>
              <w:jc w:val="center"/>
            </w:pPr>
            <w:r>
              <w:t>2026</w:t>
            </w:r>
          </w:p>
        </w:tc>
        <w:tc>
          <w:tcPr>
            <w:tcW w:w="1417" w:type="dxa"/>
            <w:vMerge/>
          </w:tcPr>
          <w:p w14:paraId="28F40651" w14:textId="77777777" w:rsidR="00454A29" w:rsidRDefault="00454A29"/>
        </w:tc>
        <w:tc>
          <w:tcPr>
            <w:tcW w:w="2204" w:type="dxa"/>
            <w:vMerge/>
          </w:tcPr>
          <w:p w14:paraId="34A308F3" w14:textId="77777777" w:rsidR="00454A29" w:rsidRDefault="00454A29"/>
        </w:tc>
        <w:tc>
          <w:tcPr>
            <w:tcW w:w="1417" w:type="dxa"/>
            <w:vMerge/>
          </w:tcPr>
          <w:p w14:paraId="6D9B1C9B" w14:textId="77777777" w:rsidR="00454A29" w:rsidRDefault="00454A29"/>
        </w:tc>
        <w:tc>
          <w:tcPr>
            <w:tcW w:w="2324" w:type="dxa"/>
            <w:vMerge/>
          </w:tcPr>
          <w:p w14:paraId="72A54757" w14:textId="77777777" w:rsidR="00454A29" w:rsidRDefault="00454A29"/>
        </w:tc>
        <w:tc>
          <w:tcPr>
            <w:tcW w:w="1701" w:type="dxa"/>
            <w:vAlign w:val="center"/>
          </w:tcPr>
          <w:p w14:paraId="49AEB723" w14:textId="77777777" w:rsidR="00454A29" w:rsidRDefault="00454A29">
            <w:pPr>
              <w:pStyle w:val="ConsPlusNormal"/>
              <w:jc w:val="center"/>
            </w:pPr>
            <w:r>
              <w:t>-</w:t>
            </w:r>
          </w:p>
        </w:tc>
        <w:tc>
          <w:tcPr>
            <w:tcW w:w="1814" w:type="dxa"/>
            <w:vAlign w:val="center"/>
          </w:tcPr>
          <w:p w14:paraId="4EB48E29" w14:textId="77777777" w:rsidR="00454A29" w:rsidRDefault="00454A29">
            <w:pPr>
              <w:pStyle w:val="ConsPlusNormal"/>
            </w:pPr>
          </w:p>
        </w:tc>
        <w:tc>
          <w:tcPr>
            <w:tcW w:w="1701" w:type="dxa"/>
            <w:vAlign w:val="center"/>
          </w:tcPr>
          <w:p w14:paraId="7FBE8991" w14:textId="77777777" w:rsidR="00454A29" w:rsidRDefault="00454A29">
            <w:pPr>
              <w:pStyle w:val="ConsPlusNormal"/>
            </w:pPr>
          </w:p>
        </w:tc>
        <w:tc>
          <w:tcPr>
            <w:tcW w:w="1701" w:type="dxa"/>
            <w:vAlign w:val="center"/>
          </w:tcPr>
          <w:p w14:paraId="4BB0753D" w14:textId="77777777" w:rsidR="00454A29" w:rsidRDefault="00454A29">
            <w:pPr>
              <w:pStyle w:val="ConsPlusNormal"/>
            </w:pPr>
          </w:p>
        </w:tc>
        <w:tc>
          <w:tcPr>
            <w:tcW w:w="1814" w:type="dxa"/>
            <w:vAlign w:val="center"/>
          </w:tcPr>
          <w:p w14:paraId="4B8E7ED9" w14:textId="77777777" w:rsidR="00454A29" w:rsidRDefault="00454A29">
            <w:pPr>
              <w:pStyle w:val="ConsPlusNormal"/>
            </w:pPr>
          </w:p>
        </w:tc>
      </w:tr>
      <w:tr w:rsidR="00454A29" w14:paraId="49951632" w14:textId="77777777">
        <w:tc>
          <w:tcPr>
            <w:tcW w:w="21706" w:type="dxa"/>
            <w:gridSpan w:val="12"/>
            <w:vAlign w:val="center"/>
          </w:tcPr>
          <w:p w14:paraId="40EC7018" w14:textId="77777777" w:rsidR="00454A29" w:rsidRDefault="00454A29">
            <w:pPr>
              <w:pStyle w:val="ConsPlusNormal"/>
              <w:jc w:val="center"/>
            </w:pPr>
            <w:r>
              <w:t>Мероприятие 10.1.3.</w:t>
            </w:r>
          </w:p>
        </w:tc>
      </w:tr>
      <w:tr w:rsidR="00454A29" w14:paraId="6AEE964B" w14:textId="77777777">
        <w:tc>
          <w:tcPr>
            <w:tcW w:w="567" w:type="dxa"/>
            <w:vMerge w:val="restart"/>
            <w:vAlign w:val="center"/>
          </w:tcPr>
          <w:p w14:paraId="77814EF5" w14:textId="77777777" w:rsidR="00454A29" w:rsidRDefault="00454A29">
            <w:pPr>
              <w:pStyle w:val="ConsPlusNormal"/>
            </w:pPr>
          </w:p>
        </w:tc>
        <w:tc>
          <w:tcPr>
            <w:tcW w:w="3345" w:type="dxa"/>
            <w:vMerge w:val="restart"/>
            <w:vAlign w:val="center"/>
          </w:tcPr>
          <w:p w14:paraId="36BF0231" w14:textId="77777777" w:rsidR="00454A29" w:rsidRDefault="00454A29">
            <w:pPr>
              <w:pStyle w:val="ConsPlusNormal"/>
              <w:jc w:val="center"/>
            </w:pPr>
            <w:r>
              <w:t>Строительство и (или) реконструкция объектов дошкольного образования Республики Саха (Якутия) в рамках государственно-частного партнерства</w:t>
            </w:r>
          </w:p>
        </w:tc>
        <w:tc>
          <w:tcPr>
            <w:tcW w:w="1701" w:type="dxa"/>
            <w:vAlign w:val="center"/>
          </w:tcPr>
          <w:p w14:paraId="58C3EEEF" w14:textId="77777777" w:rsidR="00454A29" w:rsidRDefault="00454A29">
            <w:pPr>
              <w:pStyle w:val="ConsPlusNormal"/>
              <w:jc w:val="center"/>
            </w:pPr>
            <w:r>
              <w:t>2016 - 2025 годы - всего</w:t>
            </w:r>
          </w:p>
        </w:tc>
        <w:tc>
          <w:tcPr>
            <w:tcW w:w="1417" w:type="dxa"/>
            <w:vMerge w:val="restart"/>
            <w:vAlign w:val="center"/>
          </w:tcPr>
          <w:p w14:paraId="6FB23E8F" w14:textId="77777777" w:rsidR="00454A29" w:rsidRDefault="00454A29">
            <w:pPr>
              <w:pStyle w:val="ConsPlusNormal"/>
              <w:jc w:val="center"/>
            </w:pPr>
            <w:r>
              <w:t>х</w:t>
            </w:r>
          </w:p>
        </w:tc>
        <w:tc>
          <w:tcPr>
            <w:tcW w:w="2204" w:type="dxa"/>
            <w:vMerge w:val="restart"/>
            <w:vAlign w:val="center"/>
          </w:tcPr>
          <w:p w14:paraId="2416D7D5" w14:textId="77777777" w:rsidR="00454A29" w:rsidRDefault="00454A29">
            <w:pPr>
              <w:pStyle w:val="ConsPlusNormal"/>
              <w:jc w:val="center"/>
            </w:pPr>
            <w:r>
              <w:t>х</w:t>
            </w:r>
          </w:p>
        </w:tc>
        <w:tc>
          <w:tcPr>
            <w:tcW w:w="1417" w:type="dxa"/>
            <w:vMerge w:val="restart"/>
            <w:vAlign w:val="center"/>
          </w:tcPr>
          <w:p w14:paraId="1B62BECD" w14:textId="77777777" w:rsidR="00454A29" w:rsidRDefault="00454A29">
            <w:pPr>
              <w:pStyle w:val="ConsPlusNormal"/>
              <w:jc w:val="center"/>
            </w:pPr>
            <w:r>
              <w:t>2871</w:t>
            </w:r>
          </w:p>
        </w:tc>
        <w:tc>
          <w:tcPr>
            <w:tcW w:w="2324" w:type="dxa"/>
            <w:vMerge w:val="restart"/>
            <w:vAlign w:val="center"/>
          </w:tcPr>
          <w:p w14:paraId="363E8FB2" w14:textId="77777777" w:rsidR="00454A29" w:rsidRDefault="00454A29">
            <w:pPr>
              <w:pStyle w:val="ConsPlusNormal"/>
              <w:jc w:val="center"/>
            </w:pPr>
            <w:r>
              <w:t>х</w:t>
            </w:r>
          </w:p>
        </w:tc>
        <w:tc>
          <w:tcPr>
            <w:tcW w:w="1701" w:type="dxa"/>
            <w:vAlign w:val="center"/>
          </w:tcPr>
          <w:p w14:paraId="191B759C" w14:textId="77777777" w:rsidR="00454A29" w:rsidRDefault="00454A29">
            <w:pPr>
              <w:pStyle w:val="ConsPlusNormal"/>
              <w:jc w:val="center"/>
            </w:pPr>
            <w:r>
              <w:t>13 457 490,45</w:t>
            </w:r>
          </w:p>
        </w:tc>
        <w:tc>
          <w:tcPr>
            <w:tcW w:w="1814" w:type="dxa"/>
            <w:vAlign w:val="center"/>
          </w:tcPr>
          <w:p w14:paraId="4D7BA242" w14:textId="77777777" w:rsidR="00454A29" w:rsidRDefault="00454A29">
            <w:pPr>
              <w:pStyle w:val="ConsPlusNormal"/>
              <w:jc w:val="center"/>
            </w:pPr>
            <w:r>
              <w:t>7 177 528,41</w:t>
            </w:r>
          </w:p>
        </w:tc>
        <w:tc>
          <w:tcPr>
            <w:tcW w:w="1701" w:type="dxa"/>
            <w:vAlign w:val="center"/>
          </w:tcPr>
          <w:p w14:paraId="1B0CADD9" w14:textId="77777777" w:rsidR="00454A29" w:rsidRDefault="00454A29">
            <w:pPr>
              <w:pStyle w:val="ConsPlusNormal"/>
              <w:jc w:val="center"/>
            </w:pPr>
            <w:r>
              <w:t>-</w:t>
            </w:r>
          </w:p>
        </w:tc>
        <w:tc>
          <w:tcPr>
            <w:tcW w:w="1701" w:type="dxa"/>
            <w:vAlign w:val="center"/>
          </w:tcPr>
          <w:p w14:paraId="50761893" w14:textId="77777777" w:rsidR="00454A29" w:rsidRDefault="00454A29">
            <w:pPr>
              <w:pStyle w:val="ConsPlusNormal"/>
              <w:jc w:val="center"/>
            </w:pPr>
            <w:r>
              <w:t>2 299 834,31</w:t>
            </w:r>
          </w:p>
        </w:tc>
        <w:tc>
          <w:tcPr>
            <w:tcW w:w="1814" w:type="dxa"/>
            <w:vAlign w:val="center"/>
          </w:tcPr>
          <w:p w14:paraId="5D99A8D3" w14:textId="77777777" w:rsidR="00454A29" w:rsidRDefault="00454A29">
            <w:pPr>
              <w:pStyle w:val="ConsPlusNormal"/>
              <w:jc w:val="center"/>
            </w:pPr>
            <w:r>
              <w:t>3 980 127,73</w:t>
            </w:r>
          </w:p>
        </w:tc>
      </w:tr>
      <w:tr w:rsidR="00454A29" w14:paraId="4D4FB71D" w14:textId="77777777">
        <w:tc>
          <w:tcPr>
            <w:tcW w:w="567" w:type="dxa"/>
            <w:vMerge/>
          </w:tcPr>
          <w:p w14:paraId="5E08ADCF" w14:textId="77777777" w:rsidR="00454A29" w:rsidRDefault="00454A29"/>
        </w:tc>
        <w:tc>
          <w:tcPr>
            <w:tcW w:w="3345" w:type="dxa"/>
            <w:vMerge/>
          </w:tcPr>
          <w:p w14:paraId="0E00D411" w14:textId="77777777" w:rsidR="00454A29" w:rsidRDefault="00454A29"/>
        </w:tc>
        <w:tc>
          <w:tcPr>
            <w:tcW w:w="1701" w:type="dxa"/>
            <w:vAlign w:val="center"/>
          </w:tcPr>
          <w:p w14:paraId="50D438F0" w14:textId="77777777" w:rsidR="00454A29" w:rsidRDefault="00454A29">
            <w:pPr>
              <w:pStyle w:val="ConsPlusNormal"/>
              <w:jc w:val="center"/>
            </w:pPr>
            <w:r>
              <w:t>2016</w:t>
            </w:r>
          </w:p>
        </w:tc>
        <w:tc>
          <w:tcPr>
            <w:tcW w:w="1417" w:type="dxa"/>
            <w:vMerge/>
          </w:tcPr>
          <w:p w14:paraId="789921D5" w14:textId="77777777" w:rsidR="00454A29" w:rsidRDefault="00454A29"/>
        </w:tc>
        <w:tc>
          <w:tcPr>
            <w:tcW w:w="2204" w:type="dxa"/>
            <w:vMerge/>
          </w:tcPr>
          <w:p w14:paraId="25B3CFA2" w14:textId="77777777" w:rsidR="00454A29" w:rsidRDefault="00454A29"/>
        </w:tc>
        <w:tc>
          <w:tcPr>
            <w:tcW w:w="1417" w:type="dxa"/>
            <w:vMerge/>
          </w:tcPr>
          <w:p w14:paraId="7E313903" w14:textId="77777777" w:rsidR="00454A29" w:rsidRDefault="00454A29"/>
        </w:tc>
        <w:tc>
          <w:tcPr>
            <w:tcW w:w="2324" w:type="dxa"/>
            <w:vMerge/>
          </w:tcPr>
          <w:p w14:paraId="41652D03" w14:textId="77777777" w:rsidR="00454A29" w:rsidRDefault="00454A29"/>
        </w:tc>
        <w:tc>
          <w:tcPr>
            <w:tcW w:w="1701" w:type="dxa"/>
            <w:vAlign w:val="center"/>
          </w:tcPr>
          <w:p w14:paraId="617CAEEB" w14:textId="77777777" w:rsidR="00454A29" w:rsidRDefault="00454A29">
            <w:pPr>
              <w:pStyle w:val="ConsPlusNormal"/>
              <w:jc w:val="center"/>
            </w:pPr>
            <w:r>
              <w:t>2 377 074,16</w:t>
            </w:r>
          </w:p>
        </w:tc>
        <w:tc>
          <w:tcPr>
            <w:tcW w:w="1814" w:type="dxa"/>
            <w:vAlign w:val="center"/>
          </w:tcPr>
          <w:p w14:paraId="074F5D9E" w14:textId="77777777" w:rsidR="00454A29" w:rsidRDefault="00454A29">
            <w:pPr>
              <w:pStyle w:val="ConsPlusNormal"/>
              <w:jc w:val="center"/>
            </w:pPr>
            <w:r>
              <w:t>115 794,50</w:t>
            </w:r>
          </w:p>
        </w:tc>
        <w:tc>
          <w:tcPr>
            <w:tcW w:w="1701" w:type="dxa"/>
            <w:vAlign w:val="center"/>
          </w:tcPr>
          <w:p w14:paraId="0AC72DA0" w14:textId="77777777" w:rsidR="00454A29" w:rsidRDefault="00454A29">
            <w:pPr>
              <w:pStyle w:val="ConsPlusNormal"/>
              <w:jc w:val="center"/>
            </w:pPr>
            <w:r>
              <w:t>-</w:t>
            </w:r>
          </w:p>
        </w:tc>
        <w:tc>
          <w:tcPr>
            <w:tcW w:w="1701" w:type="dxa"/>
            <w:vAlign w:val="center"/>
          </w:tcPr>
          <w:p w14:paraId="162E0195" w14:textId="77777777" w:rsidR="00454A29" w:rsidRDefault="00454A29">
            <w:pPr>
              <w:pStyle w:val="ConsPlusNormal"/>
              <w:jc w:val="center"/>
            </w:pPr>
            <w:r>
              <w:t>-</w:t>
            </w:r>
          </w:p>
        </w:tc>
        <w:tc>
          <w:tcPr>
            <w:tcW w:w="1814" w:type="dxa"/>
            <w:vAlign w:val="center"/>
          </w:tcPr>
          <w:p w14:paraId="7DFF7C47" w14:textId="77777777" w:rsidR="00454A29" w:rsidRDefault="00454A29">
            <w:pPr>
              <w:pStyle w:val="ConsPlusNormal"/>
              <w:jc w:val="center"/>
            </w:pPr>
            <w:r>
              <w:t>2 261 279,66</w:t>
            </w:r>
          </w:p>
        </w:tc>
      </w:tr>
      <w:tr w:rsidR="00454A29" w14:paraId="5AC6E1D8" w14:textId="77777777">
        <w:tc>
          <w:tcPr>
            <w:tcW w:w="567" w:type="dxa"/>
            <w:vMerge/>
          </w:tcPr>
          <w:p w14:paraId="0630AF2D" w14:textId="77777777" w:rsidR="00454A29" w:rsidRDefault="00454A29"/>
        </w:tc>
        <w:tc>
          <w:tcPr>
            <w:tcW w:w="3345" w:type="dxa"/>
            <w:vMerge/>
          </w:tcPr>
          <w:p w14:paraId="14BD0A72" w14:textId="77777777" w:rsidR="00454A29" w:rsidRDefault="00454A29"/>
        </w:tc>
        <w:tc>
          <w:tcPr>
            <w:tcW w:w="1701" w:type="dxa"/>
            <w:vAlign w:val="center"/>
          </w:tcPr>
          <w:p w14:paraId="33467AA0" w14:textId="77777777" w:rsidR="00454A29" w:rsidRDefault="00454A29">
            <w:pPr>
              <w:pStyle w:val="ConsPlusNormal"/>
              <w:jc w:val="center"/>
            </w:pPr>
            <w:r>
              <w:t>2017</w:t>
            </w:r>
          </w:p>
        </w:tc>
        <w:tc>
          <w:tcPr>
            <w:tcW w:w="1417" w:type="dxa"/>
            <w:vMerge/>
          </w:tcPr>
          <w:p w14:paraId="31DB2358" w14:textId="77777777" w:rsidR="00454A29" w:rsidRDefault="00454A29"/>
        </w:tc>
        <w:tc>
          <w:tcPr>
            <w:tcW w:w="2204" w:type="dxa"/>
            <w:vMerge/>
          </w:tcPr>
          <w:p w14:paraId="3EE7AAEE" w14:textId="77777777" w:rsidR="00454A29" w:rsidRDefault="00454A29"/>
        </w:tc>
        <w:tc>
          <w:tcPr>
            <w:tcW w:w="1417" w:type="dxa"/>
            <w:vMerge/>
          </w:tcPr>
          <w:p w14:paraId="58953CA2" w14:textId="77777777" w:rsidR="00454A29" w:rsidRDefault="00454A29"/>
        </w:tc>
        <w:tc>
          <w:tcPr>
            <w:tcW w:w="2324" w:type="dxa"/>
            <w:vMerge/>
          </w:tcPr>
          <w:p w14:paraId="7043FA53" w14:textId="77777777" w:rsidR="00454A29" w:rsidRDefault="00454A29"/>
        </w:tc>
        <w:tc>
          <w:tcPr>
            <w:tcW w:w="1701" w:type="dxa"/>
            <w:vAlign w:val="center"/>
          </w:tcPr>
          <w:p w14:paraId="7AE73C6F" w14:textId="77777777" w:rsidR="00454A29" w:rsidRDefault="00454A29">
            <w:pPr>
              <w:pStyle w:val="ConsPlusNormal"/>
              <w:jc w:val="center"/>
            </w:pPr>
            <w:r>
              <w:t>2 131 195,20</w:t>
            </w:r>
          </w:p>
        </w:tc>
        <w:tc>
          <w:tcPr>
            <w:tcW w:w="1814" w:type="dxa"/>
            <w:vAlign w:val="center"/>
          </w:tcPr>
          <w:p w14:paraId="140658F3" w14:textId="77777777" w:rsidR="00454A29" w:rsidRDefault="00454A29">
            <w:pPr>
              <w:pStyle w:val="ConsPlusNormal"/>
              <w:jc w:val="center"/>
            </w:pPr>
            <w:r>
              <w:t>563 544,80</w:t>
            </w:r>
          </w:p>
        </w:tc>
        <w:tc>
          <w:tcPr>
            <w:tcW w:w="1701" w:type="dxa"/>
            <w:vAlign w:val="center"/>
          </w:tcPr>
          <w:p w14:paraId="528F2809" w14:textId="77777777" w:rsidR="00454A29" w:rsidRDefault="00454A29">
            <w:pPr>
              <w:pStyle w:val="ConsPlusNormal"/>
              <w:jc w:val="center"/>
            </w:pPr>
            <w:r>
              <w:t>-</w:t>
            </w:r>
          </w:p>
        </w:tc>
        <w:tc>
          <w:tcPr>
            <w:tcW w:w="1701" w:type="dxa"/>
            <w:vAlign w:val="center"/>
          </w:tcPr>
          <w:p w14:paraId="58FFBF3A" w14:textId="77777777" w:rsidR="00454A29" w:rsidRDefault="00454A29">
            <w:pPr>
              <w:pStyle w:val="ConsPlusNormal"/>
              <w:jc w:val="center"/>
            </w:pPr>
            <w:r>
              <w:t>62 604,35</w:t>
            </w:r>
          </w:p>
        </w:tc>
        <w:tc>
          <w:tcPr>
            <w:tcW w:w="1814" w:type="dxa"/>
            <w:vAlign w:val="center"/>
          </w:tcPr>
          <w:p w14:paraId="66580BBB" w14:textId="77777777" w:rsidR="00454A29" w:rsidRDefault="00454A29">
            <w:pPr>
              <w:pStyle w:val="ConsPlusNormal"/>
              <w:jc w:val="center"/>
            </w:pPr>
            <w:r>
              <w:t>1 505 046,04</w:t>
            </w:r>
          </w:p>
        </w:tc>
      </w:tr>
      <w:tr w:rsidR="00454A29" w14:paraId="4D53C5B5" w14:textId="77777777">
        <w:tc>
          <w:tcPr>
            <w:tcW w:w="567" w:type="dxa"/>
            <w:vMerge/>
          </w:tcPr>
          <w:p w14:paraId="1AD2FE4D" w14:textId="77777777" w:rsidR="00454A29" w:rsidRDefault="00454A29"/>
        </w:tc>
        <w:tc>
          <w:tcPr>
            <w:tcW w:w="3345" w:type="dxa"/>
            <w:vMerge/>
          </w:tcPr>
          <w:p w14:paraId="2B7299DB" w14:textId="77777777" w:rsidR="00454A29" w:rsidRDefault="00454A29"/>
        </w:tc>
        <w:tc>
          <w:tcPr>
            <w:tcW w:w="1701" w:type="dxa"/>
            <w:vAlign w:val="center"/>
          </w:tcPr>
          <w:p w14:paraId="66851DC7" w14:textId="77777777" w:rsidR="00454A29" w:rsidRDefault="00454A29">
            <w:pPr>
              <w:pStyle w:val="ConsPlusNormal"/>
              <w:jc w:val="center"/>
            </w:pPr>
            <w:r>
              <w:t>2018</w:t>
            </w:r>
          </w:p>
        </w:tc>
        <w:tc>
          <w:tcPr>
            <w:tcW w:w="1417" w:type="dxa"/>
            <w:vMerge/>
          </w:tcPr>
          <w:p w14:paraId="1BD4567A" w14:textId="77777777" w:rsidR="00454A29" w:rsidRDefault="00454A29"/>
        </w:tc>
        <w:tc>
          <w:tcPr>
            <w:tcW w:w="2204" w:type="dxa"/>
            <w:vMerge/>
          </w:tcPr>
          <w:p w14:paraId="3C065179" w14:textId="77777777" w:rsidR="00454A29" w:rsidRDefault="00454A29"/>
        </w:tc>
        <w:tc>
          <w:tcPr>
            <w:tcW w:w="1417" w:type="dxa"/>
            <w:vMerge/>
          </w:tcPr>
          <w:p w14:paraId="59706FEA" w14:textId="77777777" w:rsidR="00454A29" w:rsidRDefault="00454A29"/>
        </w:tc>
        <w:tc>
          <w:tcPr>
            <w:tcW w:w="2324" w:type="dxa"/>
            <w:vMerge/>
          </w:tcPr>
          <w:p w14:paraId="49823F7F" w14:textId="77777777" w:rsidR="00454A29" w:rsidRDefault="00454A29"/>
        </w:tc>
        <w:tc>
          <w:tcPr>
            <w:tcW w:w="1701" w:type="dxa"/>
            <w:vAlign w:val="center"/>
          </w:tcPr>
          <w:p w14:paraId="24CABCA9" w14:textId="77777777" w:rsidR="00454A29" w:rsidRDefault="00454A29">
            <w:pPr>
              <w:pStyle w:val="ConsPlusNormal"/>
              <w:jc w:val="center"/>
            </w:pPr>
            <w:r>
              <w:t>1 156 022,52</w:t>
            </w:r>
          </w:p>
        </w:tc>
        <w:tc>
          <w:tcPr>
            <w:tcW w:w="1814" w:type="dxa"/>
            <w:vAlign w:val="center"/>
          </w:tcPr>
          <w:p w14:paraId="10B46ADA" w14:textId="77777777" w:rsidR="00454A29" w:rsidRDefault="00454A29">
            <w:pPr>
              <w:pStyle w:val="ConsPlusNormal"/>
              <w:jc w:val="center"/>
            </w:pPr>
            <w:r>
              <w:t>693 718,81</w:t>
            </w:r>
          </w:p>
        </w:tc>
        <w:tc>
          <w:tcPr>
            <w:tcW w:w="1701" w:type="dxa"/>
            <w:vAlign w:val="center"/>
          </w:tcPr>
          <w:p w14:paraId="7473DD4C" w14:textId="77777777" w:rsidR="00454A29" w:rsidRDefault="00454A29">
            <w:pPr>
              <w:pStyle w:val="ConsPlusNormal"/>
              <w:jc w:val="center"/>
            </w:pPr>
            <w:r>
              <w:t>-</w:t>
            </w:r>
          </w:p>
        </w:tc>
        <w:tc>
          <w:tcPr>
            <w:tcW w:w="1701" w:type="dxa"/>
            <w:vAlign w:val="center"/>
          </w:tcPr>
          <w:p w14:paraId="1BFD9DFA" w14:textId="77777777" w:rsidR="00454A29" w:rsidRDefault="00454A29">
            <w:pPr>
              <w:pStyle w:val="ConsPlusNormal"/>
              <w:jc w:val="center"/>
            </w:pPr>
            <w:r>
              <w:t>248 501,67</w:t>
            </w:r>
          </w:p>
        </w:tc>
        <w:tc>
          <w:tcPr>
            <w:tcW w:w="1814" w:type="dxa"/>
            <w:vAlign w:val="center"/>
          </w:tcPr>
          <w:p w14:paraId="6BA252EA" w14:textId="77777777" w:rsidR="00454A29" w:rsidRDefault="00454A29">
            <w:pPr>
              <w:pStyle w:val="ConsPlusNormal"/>
              <w:jc w:val="center"/>
            </w:pPr>
            <w:r>
              <w:t>213 802,03</w:t>
            </w:r>
          </w:p>
        </w:tc>
      </w:tr>
      <w:tr w:rsidR="00454A29" w14:paraId="1DBCC10B" w14:textId="77777777">
        <w:tc>
          <w:tcPr>
            <w:tcW w:w="567" w:type="dxa"/>
            <w:vMerge/>
          </w:tcPr>
          <w:p w14:paraId="21D47D68" w14:textId="77777777" w:rsidR="00454A29" w:rsidRDefault="00454A29"/>
        </w:tc>
        <w:tc>
          <w:tcPr>
            <w:tcW w:w="3345" w:type="dxa"/>
            <w:vMerge/>
          </w:tcPr>
          <w:p w14:paraId="6FDBD1A6" w14:textId="77777777" w:rsidR="00454A29" w:rsidRDefault="00454A29"/>
        </w:tc>
        <w:tc>
          <w:tcPr>
            <w:tcW w:w="1701" w:type="dxa"/>
            <w:vAlign w:val="center"/>
          </w:tcPr>
          <w:p w14:paraId="5F06C976" w14:textId="77777777" w:rsidR="00454A29" w:rsidRDefault="00454A29">
            <w:pPr>
              <w:pStyle w:val="ConsPlusNormal"/>
              <w:jc w:val="center"/>
            </w:pPr>
            <w:r>
              <w:t>2019</w:t>
            </w:r>
          </w:p>
        </w:tc>
        <w:tc>
          <w:tcPr>
            <w:tcW w:w="1417" w:type="dxa"/>
            <w:vMerge/>
          </w:tcPr>
          <w:p w14:paraId="226B8CF6" w14:textId="77777777" w:rsidR="00454A29" w:rsidRDefault="00454A29"/>
        </w:tc>
        <w:tc>
          <w:tcPr>
            <w:tcW w:w="2204" w:type="dxa"/>
            <w:vMerge/>
          </w:tcPr>
          <w:p w14:paraId="130B6BB9" w14:textId="77777777" w:rsidR="00454A29" w:rsidRDefault="00454A29"/>
        </w:tc>
        <w:tc>
          <w:tcPr>
            <w:tcW w:w="1417" w:type="dxa"/>
            <w:vMerge/>
          </w:tcPr>
          <w:p w14:paraId="38304E15" w14:textId="77777777" w:rsidR="00454A29" w:rsidRDefault="00454A29"/>
        </w:tc>
        <w:tc>
          <w:tcPr>
            <w:tcW w:w="2324" w:type="dxa"/>
            <w:vMerge/>
          </w:tcPr>
          <w:p w14:paraId="3030461C" w14:textId="77777777" w:rsidR="00454A29" w:rsidRDefault="00454A29"/>
        </w:tc>
        <w:tc>
          <w:tcPr>
            <w:tcW w:w="1701" w:type="dxa"/>
            <w:vAlign w:val="center"/>
          </w:tcPr>
          <w:p w14:paraId="46FE68C7" w14:textId="77777777" w:rsidR="00454A29" w:rsidRDefault="00454A29">
            <w:pPr>
              <w:pStyle w:val="ConsPlusNormal"/>
              <w:jc w:val="center"/>
            </w:pPr>
            <w:r>
              <w:t>953 847,03</w:t>
            </w:r>
          </w:p>
        </w:tc>
        <w:tc>
          <w:tcPr>
            <w:tcW w:w="1814" w:type="dxa"/>
            <w:vAlign w:val="center"/>
          </w:tcPr>
          <w:p w14:paraId="29067482" w14:textId="77777777" w:rsidR="00454A29" w:rsidRDefault="00454A29">
            <w:pPr>
              <w:pStyle w:val="ConsPlusNormal"/>
              <w:jc w:val="center"/>
            </w:pPr>
            <w:r>
              <w:t>679 694,79</w:t>
            </w:r>
          </w:p>
        </w:tc>
        <w:tc>
          <w:tcPr>
            <w:tcW w:w="1701" w:type="dxa"/>
            <w:vAlign w:val="center"/>
          </w:tcPr>
          <w:p w14:paraId="77B06D60" w14:textId="77777777" w:rsidR="00454A29" w:rsidRDefault="00454A29">
            <w:pPr>
              <w:pStyle w:val="ConsPlusNormal"/>
              <w:jc w:val="center"/>
            </w:pPr>
            <w:r>
              <w:t>-</w:t>
            </w:r>
          </w:p>
        </w:tc>
        <w:tc>
          <w:tcPr>
            <w:tcW w:w="1701" w:type="dxa"/>
            <w:vAlign w:val="center"/>
          </w:tcPr>
          <w:p w14:paraId="4660E706" w14:textId="77777777" w:rsidR="00454A29" w:rsidRDefault="00454A29">
            <w:pPr>
              <w:pStyle w:val="ConsPlusNormal"/>
              <w:jc w:val="center"/>
            </w:pPr>
            <w:r>
              <w:t>274 152,24</w:t>
            </w:r>
          </w:p>
        </w:tc>
        <w:tc>
          <w:tcPr>
            <w:tcW w:w="1814" w:type="dxa"/>
            <w:vAlign w:val="center"/>
          </w:tcPr>
          <w:p w14:paraId="0E8BA16E" w14:textId="77777777" w:rsidR="00454A29" w:rsidRDefault="00454A29">
            <w:pPr>
              <w:pStyle w:val="ConsPlusNormal"/>
              <w:jc w:val="center"/>
            </w:pPr>
            <w:r>
              <w:t>-</w:t>
            </w:r>
          </w:p>
        </w:tc>
      </w:tr>
      <w:tr w:rsidR="00454A29" w14:paraId="766D5306" w14:textId="77777777">
        <w:tc>
          <w:tcPr>
            <w:tcW w:w="567" w:type="dxa"/>
            <w:vMerge/>
          </w:tcPr>
          <w:p w14:paraId="6D4692CB" w14:textId="77777777" w:rsidR="00454A29" w:rsidRDefault="00454A29"/>
        </w:tc>
        <w:tc>
          <w:tcPr>
            <w:tcW w:w="3345" w:type="dxa"/>
            <w:vMerge/>
          </w:tcPr>
          <w:p w14:paraId="477A60BE" w14:textId="77777777" w:rsidR="00454A29" w:rsidRDefault="00454A29"/>
        </w:tc>
        <w:tc>
          <w:tcPr>
            <w:tcW w:w="1701" w:type="dxa"/>
            <w:vAlign w:val="center"/>
          </w:tcPr>
          <w:p w14:paraId="3CDE418D" w14:textId="77777777" w:rsidR="00454A29" w:rsidRDefault="00454A29">
            <w:pPr>
              <w:pStyle w:val="ConsPlusNormal"/>
              <w:jc w:val="center"/>
            </w:pPr>
            <w:r>
              <w:t>2020</w:t>
            </w:r>
          </w:p>
        </w:tc>
        <w:tc>
          <w:tcPr>
            <w:tcW w:w="1417" w:type="dxa"/>
            <w:vMerge/>
          </w:tcPr>
          <w:p w14:paraId="3585809C" w14:textId="77777777" w:rsidR="00454A29" w:rsidRDefault="00454A29"/>
        </w:tc>
        <w:tc>
          <w:tcPr>
            <w:tcW w:w="2204" w:type="dxa"/>
            <w:vMerge/>
          </w:tcPr>
          <w:p w14:paraId="5DA3B7F6" w14:textId="77777777" w:rsidR="00454A29" w:rsidRDefault="00454A29"/>
        </w:tc>
        <w:tc>
          <w:tcPr>
            <w:tcW w:w="1417" w:type="dxa"/>
            <w:vMerge/>
          </w:tcPr>
          <w:p w14:paraId="6CD549A8" w14:textId="77777777" w:rsidR="00454A29" w:rsidRDefault="00454A29"/>
        </w:tc>
        <w:tc>
          <w:tcPr>
            <w:tcW w:w="2324" w:type="dxa"/>
            <w:vMerge/>
          </w:tcPr>
          <w:p w14:paraId="4D77A472" w14:textId="77777777" w:rsidR="00454A29" w:rsidRDefault="00454A29"/>
        </w:tc>
        <w:tc>
          <w:tcPr>
            <w:tcW w:w="1701" w:type="dxa"/>
            <w:vAlign w:val="center"/>
          </w:tcPr>
          <w:p w14:paraId="01EC9158" w14:textId="77777777" w:rsidR="00454A29" w:rsidRDefault="00454A29">
            <w:pPr>
              <w:pStyle w:val="ConsPlusNormal"/>
              <w:jc w:val="center"/>
            </w:pPr>
            <w:r>
              <w:t>1 106 200,48</w:t>
            </w:r>
          </w:p>
        </w:tc>
        <w:tc>
          <w:tcPr>
            <w:tcW w:w="1814" w:type="dxa"/>
            <w:vAlign w:val="center"/>
          </w:tcPr>
          <w:p w14:paraId="6B908DF8" w14:textId="77777777" w:rsidR="00454A29" w:rsidRDefault="00454A29">
            <w:pPr>
              <w:pStyle w:val="ConsPlusNormal"/>
              <w:jc w:val="center"/>
            </w:pPr>
            <w:r>
              <w:t>820 351,65</w:t>
            </w:r>
          </w:p>
        </w:tc>
        <w:tc>
          <w:tcPr>
            <w:tcW w:w="1701" w:type="dxa"/>
            <w:vAlign w:val="center"/>
          </w:tcPr>
          <w:p w14:paraId="23A35B5C" w14:textId="77777777" w:rsidR="00454A29" w:rsidRDefault="00454A29">
            <w:pPr>
              <w:pStyle w:val="ConsPlusNormal"/>
              <w:jc w:val="center"/>
            </w:pPr>
            <w:r>
              <w:t>-</w:t>
            </w:r>
          </w:p>
        </w:tc>
        <w:tc>
          <w:tcPr>
            <w:tcW w:w="1701" w:type="dxa"/>
            <w:vAlign w:val="center"/>
          </w:tcPr>
          <w:p w14:paraId="4CF490FE" w14:textId="77777777" w:rsidR="00454A29" w:rsidRDefault="00454A29">
            <w:pPr>
              <w:pStyle w:val="ConsPlusNormal"/>
              <w:jc w:val="center"/>
            </w:pPr>
            <w:r>
              <w:t>285 848,83</w:t>
            </w:r>
          </w:p>
        </w:tc>
        <w:tc>
          <w:tcPr>
            <w:tcW w:w="1814" w:type="dxa"/>
            <w:vAlign w:val="center"/>
          </w:tcPr>
          <w:p w14:paraId="5D6B3F6E" w14:textId="77777777" w:rsidR="00454A29" w:rsidRDefault="00454A29">
            <w:pPr>
              <w:pStyle w:val="ConsPlusNormal"/>
              <w:jc w:val="center"/>
            </w:pPr>
            <w:r>
              <w:t>-</w:t>
            </w:r>
          </w:p>
        </w:tc>
      </w:tr>
      <w:tr w:rsidR="00454A29" w14:paraId="5A7B94EF" w14:textId="77777777">
        <w:tc>
          <w:tcPr>
            <w:tcW w:w="567" w:type="dxa"/>
            <w:vMerge/>
          </w:tcPr>
          <w:p w14:paraId="5B16F4E1" w14:textId="77777777" w:rsidR="00454A29" w:rsidRDefault="00454A29"/>
        </w:tc>
        <w:tc>
          <w:tcPr>
            <w:tcW w:w="3345" w:type="dxa"/>
            <w:vMerge/>
          </w:tcPr>
          <w:p w14:paraId="1ABD4491" w14:textId="77777777" w:rsidR="00454A29" w:rsidRDefault="00454A29"/>
        </w:tc>
        <w:tc>
          <w:tcPr>
            <w:tcW w:w="1701" w:type="dxa"/>
            <w:vAlign w:val="center"/>
          </w:tcPr>
          <w:p w14:paraId="69FC2692" w14:textId="77777777" w:rsidR="00454A29" w:rsidRDefault="00454A29">
            <w:pPr>
              <w:pStyle w:val="ConsPlusNormal"/>
              <w:jc w:val="center"/>
            </w:pPr>
            <w:r>
              <w:t>2021</w:t>
            </w:r>
          </w:p>
        </w:tc>
        <w:tc>
          <w:tcPr>
            <w:tcW w:w="1417" w:type="dxa"/>
            <w:vMerge/>
          </w:tcPr>
          <w:p w14:paraId="09609C37" w14:textId="77777777" w:rsidR="00454A29" w:rsidRDefault="00454A29"/>
        </w:tc>
        <w:tc>
          <w:tcPr>
            <w:tcW w:w="2204" w:type="dxa"/>
            <w:vMerge/>
          </w:tcPr>
          <w:p w14:paraId="5A55900B" w14:textId="77777777" w:rsidR="00454A29" w:rsidRDefault="00454A29"/>
        </w:tc>
        <w:tc>
          <w:tcPr>
            <w:tcW w:w="1417" w:type="dxa"/>
            <w:vMerge/>
          </w:tcPr>
          <w:p w14:paraId="1F83DA54" w14:textId="77777777" w:rsidR="00454A29" w:rsidRDefault="00454A29"/>
        </w:tc>
        <w:tc>
          <w:tcPr>
            <w:tcW w:w="2324" w:type="dxa"/>
            <w:vMerge/>
          </w:tcPr>
          <w:p w14:paraId="205B8450" w14:textId="77777777" w:rsidR="00454A29" w:rsidRDefault="00454A29"/>
        </w:tc>
        <w:tc>
          <w:tcPr>
            <w:tcW w:w="1701" w:type="dxa"/>
            <w:vAlign w:val="center"/>
          </w:tcPr>
          <w:p w14:paraId="71EFA296" w14:textId="77777777" w:rsidR="00454A29" w:rsidRDefault="00454A29">
            <w:pPr>
              <w:pStyle w:val="ConsPlusNormal"/>
              <w:jc w:val="center"/>
            </w:pPr>
            <w:r>
              <w:t>1 089 461,10</w:t>
            </w:r>
          </w:p>
        </w:tc>
        <w:tc>
          <w:tcPr>
            <w:tcW w:w="1814" w:type="dxa"/>
            <w:vAlign w:val="center"/>
          </w:tcPr>
          <w:p w14:paraId="113D572C" w14:textId="77777777" w:rsidR="00454A29" w:rsidRDefault="00454A29">
            <w:pPr>
              <w:pStyle w:val="ConsPlusNormal"/>
              <w:jc w:val="center"/>
            </w:pPr>
            <w:r>
              <w:t>792 746,51</w:t>
            </w:r>
          </w:p>
        </w:tc>
        <w:tc>
          <w:tcPr>
            <w:tcW w:w="1701" w:type="dxa"/>
            <w:vAlign w:val="center"/>
          </w:tcPr>
          <w:p w14:paraId="7945DE11" w14:textId="77777777" w:rsidR="00454A29" w:rsidRDefault="00454A29">
            <w:pPr>
              <w:pStyle w:val="ConsPlusNormal"/>
              <w:jc w:val="center"/>
            </w:pPr>
            <w:r>
              <w:t>-</w:t>
            </w:r>
          </w:p>
        </w:tc>
        <w:tc>
          <w:tcPr>
            <w:tcW w:w="1701" w:type="dxa"/>
            <w:vAlign w:val="center"/>
          </w:tcPr>
          <w:p w14:paraId="08651D07" w14:textId="77777777" w:rsidR="00454A29" w:rsidRDefault="00454A29">
            <w:pPr>
              <w:pStyle w:val="ConsPlusNormal"/>
              <w:jc w:val="center"/>
            </w:pPr>
            <w:r>
              <w:t>296 714,59</w:t>
            </w:r>
          </w:p>
        </w:tc>
        <w:tc>
          <w:tcPr>
            <w:tcW w:w="1814" w:type="dxa"/>
            <w:vAlign w:val="center"/>
          </w:tcPr>
          <w:p w14:paraId="2A1749EB" w14:textId="77777777" w:rsidR="00454A29" w:rsidRDefault="00454A29">
            <w:pPr>
              <w:pStyle w:val="ConsPlusNormal"/>
              <w:jc w:val="center"/>
            </w:pPr>
            <w:r>
              <w:t>-</w:t>
            </w:r>
          </w:p>
        </w:tc>
      </w:tr>
      <w:tr w:rsidR="00454A29" w14:paraId="38997DF0" w14:textId="77777777">
        <w:tc>
          <w:tcPr>
            <w:tcW w:w="567" w:type="dxa"/>
            <w:vMerge/>
          </w:tcPr>
          <w:p w14:paraId="520D897D" w14:textId="77777777" w:rsidR="00454A29" w:rsidRDefault="00454A29"/>
        </w:tc>
        <w:tc>
          <w:tcPr>
            <w:tcW w:w="3345" w:type="dxa"/>
            <w:vMerge/>
          </w:tcPr>
          <w:p w14:paraId="6C605321" w14:textId="77777777" w:rsidR="00454A29" w:rsidRDefault="00454A29"/>
        </w:tc>
        <w:tc>
          <w:tcPr>
            <w:tcW w:w="1701" w:type="dxa"/>
            <w:vAlign w:val="center"/>
          </w:tcPr>
          <w:p w14:paraId="46620735" w14:textId="77777777" w:rsidR="00454A29" w:rsidRDefault="00454A29">
            <w:pPr>
              <w:pStyle w:val="ConsPlusNormal"/>
              <w:jc w:val="center"/>
            </w:pPr>
            <w:r>
              <w:t>2022</w:t>
            </w:r>
          </w:p>
        </w:tc>
        <w:tc>
          <w:tcPr>
            <w:tcW w:w="1417" w:type="dxa"/>
            <w:vMerge/>
          </w:tcPr>
          <w:p w14:paraId="39BB5D96" w14:textId="77777777" w:rsidR="00454A29" w:rsidRDefault="00454A29"/>
        </w:tc>
        <w:tc>
          <w:tcPr>
            <w:tcW w:w="2204" w:type="dxa"/>
            <w:vMerge/>
          </w:tcPr>
          <w:p w14:paraId="64021B75" w14:textId="77777777" w:rsidR="00454A29" w:rsidRDefault="00454A29"/>
        </w:tc>
        <w:tc>
          <w:tcPr>
            <w:tcW w:w="1417" w:type="dxa"/>
            <w:vMerge/>
          </w:tcPr>
          <w:p w14:paraId="3FE43AC9" w14:textId="77777777" w:rsidR="00454A29" w:rsidRDefault="00454A29"/>
        </w:tc>
        <w:tc>
          <w:tcPr>
            <w:tcW w:w="2324" w:type="dxa"/>
            <w:vMerge/>
          </w:tcPr>
          <w:p w14:paraId="31AFFE59" w14:textId="77777777" w:rsidR="00454A29" w:rsidRDefault="00454A29"/>
        </w:tc>
        <w:tc>
          <w:tcPr>
            <w:tcW w:w="1701" w:type="dxa"/>
            <w:vAlign w:val="center"/>
          </w:tcPr>
          <w:p w14:paraId="47BD6131" w14:textId="77777777" w:rsidR="00454A29" w:rsidRDefault="00454A29">
            <w:pPr>
              <w:pStyle w:val="ConsPlusNormal"/>
              <w:jc w:val="center"/>
            </w:pPr>
            <w:r>
              <w:t>1 168 260,91</w:t>
            </w:r>
          </w:p>
        </w:tc>
        <w:tc>
          <w:tcPr>
            <w:tcW w:w="1814" w:type="dxa"/>
            <w:vAlign w:val="center"/>
          </w:tcPr>
          <w:p w14:paraId="47466BDE" w14:textId="77777777" w:rsidR="00454A29" w:rsidRDefault="00454A29">
            <w:pPr>
              <w:pStyle w:val="ConsPlusNormal"/>
              <w:jc w:val="center"/>
            </w:pPr>
            <w:r>
              <w:t>861 375,06</w:t>
            </w:r>
          </w:p>
        </w:tc>
        <w:tc>
          <w:tcPr>
            <w:tcW w:w="1701" w:type="dxa"/>
            <w:vAlign w:val="center"/>
          </w:tcPr>
          <w:p w14:paraId="73A50008" w14:textId="77777777" w:rsidR="00454A29" w:rsidRDefault="00454A29">
            <w:pPr>
              <w:pStyle w:val="ConsPlusNormal"/>
              <w:jc w:val="center"/>
            </w:pPr>
            <w:r>
              <w:t>-</w:t>
            </w:r>
          </w:p>
        </w:tc>
        <w:tc>
          <w:tcPr>
            <w:tcW w:w="1701" w:type="dxa"/>
            <w:vAlign w:val="center"/>
          </w:tcPr>
          <w:p w14:paraId="1BFF31B0" w14:textId="77777777" w:rsidR="00454A29" w:rsidRDefault="00454A29">
            <w:pPr>
              <w:pStyle w:val="ConsPlusNormal"/>
              <w:jc w:val="center"/>
            </w:pPr>
            <w:r>
              <w:t>306 885,85</w:t>
            </w:r>
          </w:p>
        </w:tc>
        <w:tc>
          <w:tcPr>
            <w:tcW w:w="1814" w:type="dxa"/>
            <w:vAlign w:val="center"/>
          </w:tcPr>
          <w:p w14:paraId="2821ED4D" w14:textId="77777777" w:rsidR="00454A29" w:rsidRDefault="00454A29">
            <w:pPr>
              <w:pStyle w:val="ConsPlusNormal"/>
              <w:jc w:val="center"/>
            </w:pPr>
            <w:r>
              <w:t>-</w:t>
            </w:r>
          </w:p>
        </w:tc>
      </w:tr>
      <w:tr w:rsidR="00454A29" w14:paraId="403F0542" w14:textId="77777777">
        <w:tc>
          <w:tcPr>
            <w:tcW w:w="567" w:type="dxa"/>
            <w:vMerge/>
          </w:tcPr>
          <w:p w14:paraId="7381274B" w14:textId="77777777" w:rsidR="00454A29" w:rsidRDefault="00454A29"/>
        </w:tc>
        <w:tc>
          <w:tcPr>
            <w:tcW w:w="3345" w:type="dxa"/>
            <w:vMerge/>
          </w:tcPr>
          <w:p w14:paraId="3CCD508C" w14:textId="77777777" w:rsidR="00454A29" w:rsidRDefault="00454A29"/>
        </w:tc>
        <w:tc>
          <w:tcPr>
            <w:tcW w:w="1701" w:type="dxa"/>
            <w:vAlign w:val="center"/>
          </w:tcPr>
          <w:p w14:paraId="2B97DEB5" w14:textId="77777777" w:rsidR="00454A29" w:rsidRDefault="00454A29">
            <w:pPr>
              <w:pStyle w:val="ConsPlusNormal"/>
              <w:jc w:val="center"/>
            </w:pPr>
            <w:r>
              <w:t>2023</w:t>
            </w:r>
          </w:p>
        </w:tc>
        <w:tc>
          <w:tcPr>
            <w:tcW w:w="1417" w:type="dxa"/>
            <w:vMerge/>
          </w:tcPr>
          <w:p w14:paraId="7C47830B" w14:textId="77777777" w:rsidR="00454A29" w:rsidRDefault="00454A29"/>
        </w:tc>
        <w:tc>
          <w:tcPr>
            <w:tcW w:w="2204" w:type="dxa"/>
            <w:vMerge/>
          </w:tcPr>
          <w:p w14:paraId="5E7B2D2A" w14:textId="77777777" w:rsidR="00454A29" w:rsidRDefault="00454A29"/>
        </w:tc>
        <w:tc>
          <w:tcPr>
            <w:tcW w:w="1417" w:type="dxa"/>
            <w:vMerge/>
          </w:tcPr>
          <w:p w14:paraId="36807AF3" w14:textId="77777777" w:rsidR="00454A29" w:rsidRDefault="00454A29"/>
        </w:tc>
        <w:tc>
          <w:tcPr>
            <w:tcW w:w="2324" w:type="dxa"/>
            <w:vMerge/>
          </w:tcPr>
          <w:p w14:paraId="79F99C2F" w14:textId="77777777" w:rsidR="00454A29" w:rsidRDefault="00454A29"/>
        </w:tc>
        <w:tc>
          <w:tcPr>
            <w:tcW w:w="1701" w:type="dxa"/>
            <w:vAlign w:val="center"/>
          </w:tcPr>
          <w:p w14:paraId="77E9A418" w14:textId="77777777" w:rsidR="00454A29" w:rsidRDefault="00454A29">
            <w:pPr>
              <w:pStyle w:val="ConsPlusNormal"/>
              <w:jc w:val="center"/>
            </w:pPr>
            <w:r>
              <w:t>1 178 210,31</w:t>
            </w:r>
          </w:p>
        </w:tc>
        <w:tc>
          <w:tcPr>
            <w:tcW w:w="1814" w:type="dxa"/>
            <w:vAlign w:val="center"/>
          </w:tcPr>
          <w:p w14:paraId="594911A5" w14:textId="77777777" w:rsidR="00454A29" w:rsidRDefault="00454A29">
            <w:pPr>
              <w:pStyle w:val="ConsPlusNormal"/>
              <w:jc w:val="center"/>
            </w:pPr>
            <w:r>
              <w:t>861 375,06</w:t>
            </w:r>
          </w:p>
        </w:tc>
        <w:tc>
          <w:tcPr>
            <w:tcW w:w="1701" w:type="dxa"/>
            <w:vAlign w:val="center"/>
          </w:tcPr>
          <w:p w14:paraId="6336DA8E" w14:textId="77777777" w:rsidR="00454A29" w:rsidRDefault="00454A29">
            <w:pPr>
              <w:pStyle w:val="ConsPlusNormal"/>
              <w:jc w:val="center"/>
            </w:pPr>
            <w:r>
              <w:t>-</w:t>
            </w:r>
          </w:p>
        </w:tc>
        <w:tc>
          <w:tcPr>
            <w:tcW w:w="1701" w:type="dxa"/>
            <w:vAlign w:val="center"/>
          </w:tcPr>
          <w:p w14:paraId="4A6B5DD7" w14:textId="77777777" w:rsidR="00454A29" w:rsidRDefault="00454A29">
            <w:pPr>
              <w:pStyle w:val="ConsPlusNormal"/>
              <w:jc w:val="center"/>
            </w:pPr>
            <w:r>
              <w:t>316 835,25</w:t>
            </w:r>
          </w:p>
        </w:tc>
        <w:tc>
          <w:tcPr>
            <w:tcW w:w="1814" w:type="dxa"/>
            <w:vAlign w:val="center"/>
          </w:tcPr>
          <w:p w14:paraId="13FBDC4C" w14:textId="77777777" w:rsidR="00454A29" w:rsidRDefault="00454A29">
            <w:pPr>
              <w:pStyle w:val="ConsPlusNormal"/>
              <w:jc w:val="center"/>
            </w:pPr>
            <w:r>
              <w:t>-</w:t>
            </w:r>
          </w:p>
        </w:tc>
      </w:tr>
      <w:tr w:rsidR="00454A29" w14:paraId="59F4B698" w14:textId="77777777">
        <w:tc>
          <w:tcPr>
            <w:tcW w:w="567" w:type="dxa"/>
            <w:vMerge/>
          </w:tcPr>
          <w:p w14:paraId="4CB990EA" w14:textId="77777777" w:rsidR="00454A29" w:rsidRDefault="00454A29"/>
        </w:tc>
        <w:tc>
          <w:tcPr>
            <w:tcW w:w="3345" w:type="dxa"/>
            <w:vMerge/>
          </w:tcPr>
          <w:p w14:paraId="05F935FB" w14:textId="77777777" w:rsidR="00454A29" w:rsidRDefault="00454A29"/>
        </w:tc>
        <w:tc>
          <w:tcPr>
            <w:tcW w:w="1701" w:type="dxa"/>
            <w:vAlign w:val="center"/>
          </w:tcPr>
          <w:p w14:paraId="449890E9" w14:textId="77777777" w:rsidR="00454A29" w:rsidRDefault="00454A29">
            <w:pPr>
              <w:pStyle w:val="ConsPlusNormal"/>
              <w:jc w:val="center"/>
            </w:pPr>
            <w:r>
              <w:t>2024</w:t>
            </w:r>
          </w:p>
        </w:tc>
        <w:tc>
          <w:tcPr>
            <w:tcW w:w="1417" w:type="dxa"/>
            <w:vMerge/>
          </w:tcPr>
          <w:p w14:paraId="2BFC135C" w14:textId="77777777" w:rsidR="00454A29" w:rsidRDefault="00454A29"/>
        </w:tc>
        <w:tc>
          <w:tcPr>
            <w:tcW w:w="2204" w:type="dxa"/>
            <w:vMerge/>
          </w:tcPr>
          <w:p w14:paraId="007F8CAA" w14:textId="77777777" w:rsidR="00454A29" w:rsidRDefault="00454A29"/>
        </w:tc>
        <w:tc>
          <w:tcPr>
            <w:tcW w:w="1417" w:type="dxa"/>
            <w:vMerge/>
          </w:tcPr>
          <w:p w14:paraId="3843F9E0" w14:textId="77777777" w:rsidR="00454A29" w:rsidRDefault="00454A29"/>
        </w:tc>
        <w:tc>
          <w:tcPr>
            <w:tcW w:w="2324" w:type="dxa"/>
            <w:vMerge/>
          </w:tcPr>
          <w:p w14:paraId="22D5CEFC" w14:textId="77777777" w:rsidR="00454A29" w:rsidRDefault="00454A29"/>
        </w:tc>
        <w:tc>
          <w:tcPr>
            <w:tcW w:w="1701" w:type="dxa"/>
            <w:vAlign w:val="center"/>
          </w:tcPr>
          <w:p w14:paraId="7F7258DC" w14:textId="77777777" w:rsidR="00454A29" w:rsidRDefault="00454A29">
            <w:pPr>
              <w:pStyle w:val="ConsPlusNormal"/>
              <w:jc w:val="center"/>
            </w:pPr>
            <w:r>
              <w:t>1 187 674,37</w:t>
            </w:r>
          </w:p>
        </w:tc>
        <w:tc>
          <w:tcPr>
            <w:tcW w:w="1814" w:type="dxa"/>
            <w:vAlign w:val="center"/>
          </w:tcPr>
          <w:p w14:paraId="60C7DC6B" w14:textId="77777777" w:rsidR="00454A29" w:rsidRDefault="00454A29">
            <w:pPr>
              <w:pStyle w:val="ConsPlusNormal"/>
              <w:jc w:val="center"/>
            </w:pPr>
            <w:r>
              <w:t>861 375,06</w:t>
            </w:r>
          </w:p>
        </w:tc>
        <w:tc>
          <w:tcPr>
            <w:tcW w:w="1701" w:type="dxa"/>
            <w:vAlign w:val="center"/>
          </w:tcPr>
          <w:p w14:paraId="6E5FCF4F" w14:textId="77777777" w:rsidR="00454A29" w:rsidRDefault="00454A29">
            <w:pPr>
              <w:pStyle w:val="ConsPlusNormal"/>
              <w:jc w:val="center"/>
            </w:pPr>
            <w:r>
              <w:t>-</w:t>
            </w:r>
          </w:p>
        </w:tc>
        <w:tc>
          <w:tcPr>
            <w:tcW w:w="1701" w:type="dxa"/>
            <w:vAlign w:val="center"/>
          </w:tcPr>
          <w:p w14:paraId="6CA0ECC1" w14:textId="77777777" w:rsidR="00454A29" w:rsidRDefault="00454A29">
            <w:pPr>
              <w:pStyle w:val="ConsPlusNormal"/>
              <w:jc w:val="center"/>
            </w:pPr>
            <w:r>
              <w:t>326 299,31</w:t>
            </w:r>
          </w:p>
        </w:tc>
        <w:tc>
          <w:tcPr>
            <w:tcW w:w="1814" w:type="dxa"/>
            <w:vAlign w:val="center"/>
          </w:tcPr>
          <w:p w14:paraId="74A7870B" w14:textId="77777777" w:rsidR="00454A29" w:rsidRDefault="00454A29">
            <w:pPr>
              <w:pStyle w:val="ConsPlusNormal"/>
              <w:jc w:val="center"/>
            </w:pPr>
            <w:r>
              <w:t>-</w:t>
            </w:r>
          </w:p>
        </w:tc>
      </w:tr>
      <w:tr w:rsidR="00454A29" w14:paraId="452242BA" w14:textId="77777777">
        <w:tc>
          <w:tcPr>
            <w:tcW w:w="567" w:type="dxa"/>
            <w:vMerge/>
          </w:tcPr>
          <w:p w14:paraId="1C0DB9F7" w14:textId="77777777" w:rsidR="00454A29" w:rsidRDefault="00454A29"/>
        </w:tc>
        <w:tc>
          <w:tcPr>
            <w:tcW w:w="3345" w:type="dxa"/>
            <w:vMerge/>
          </w:tcPr>
          <w:p w14:paraId="55A3FCEA" w14:textId="77777777" w:rsidR="00454A29" w:rsidRDefault="00454A29"/>
        </w:tc>
        <w:tc>
          <w:tcPr>
            <w:tcW w:w="1701" w:type="dxa"/>
            <w:vAlign w:val="center"/>
          </w:tcPr>
          <w:p w14:paraId="0F2A8217" w14:textId="77777777" w:rsidR="00454A29" w:rsidRDefault="00454A29">
            <w:pPr>
              <w:pStyle w:val="ConsPlusNormal"/>
              <w:jc w:val="center"/>
            </w:pPr>
            <w:r>
              <w:t>2025</w:t>
            </w:r>
          </w:p>
        </w:tc>
        <w:tc>
          <w:tcPr>
            <w:tcW w:w="1417" w:type="dxa"/>
            <w:vMerge/>
          </w:tcPr>
          <w:p w14:paraId="6CCD611A" w14:textId="77777777" w:rsidR="00454A29" w:rsidRDefault="00454A29"/>
        </w:tc>
        <w:tc>
          <w:tcPr>
            <w:tcW w:w="2204" w:type="dxa"/>
            <w:vMerge/>
          </w:tcPr>
          <w:p w14:paraId="1E131DDB" w14:textId="77777777" w:rsidR="00454A29" w:rsidRDefault="00454A29"/>
        </w:tc>
        <w:tc>
          <w:tcPr>
            <w:tcW w:w="1417" w:type="dxa"/>
            <w:vMerge/>
          </w:tcPr>
          <w:p w14:paraId="5E6D1454" w14:textId="77777777" w:rsidR="00454A29" w:rsidRDefault="00454A29"/>
        </w:tc>
        <w:tc>
          <w:tcPr>
            <w:tcW w:w="2324" w:type="dxa"/>
            <w:vMerge/>
          </w:tcPr>
          <w:p w14:paraId="19B1B615" w14:textId="77777777" w:rsidR="00454A29" w:rsidRDefault="00454A29"/>
        </w:tc>
        <w:tc>
          <w:tcPr>
            <w:tcW w:w="1701" w:type="dxa"/>
            <w:vAlign w:val="center"/>
          </w:tcPr>
          <w:p w14:paraId="51A2F5C1" w14:textId="77777777" w:rsidR="00454A29" w:rsidRDefault="00454A29">
            <w:pPr>
              <w:pStyle w:val="ConsPlusNormal"/>
              <w:jc w:val="center"/>
            </w:pPr>
            <w:r>
              <w:t>1 019 352,43</w:t>
            </w:r>
          </w:p>
        </w:tc>
        <w:tc>
          <w:tcPr>
            <w:tcW w:w="1814" w:type="dxa"/>
            <w:vAlign w:val="center"/>
          </w:tcPr>
          <w:p w14:paraId="73BADACE" w14:textId="77777777" w:rsidR="00454A29" w:rsidRDefault="00454A29">
            <w:pPr>
              <w:pStyle w:val="ConsPlusNormal"/>
              <w:jc w:val="center"/>
            </w:pPr>
            <w:r>
              <w:t>861 375,06</w:t>
            </w:r>
          </w:p>
        </w:tc>
        <w:tc>
          <w:tcPr>
            <w:tcW w:w="1701" w:type="dxa"/>
            <w:vAlign w:val="center"/>
          </w:tcPr>
          <w:p w14:paraId="62690E0A" w14:textId="77777777" w:rsidR="00454A29" w:rsidRDefault="00454A29">
            <w:pPr>
              <w:pStyle w:val="ConsPlusNormal"/>
              <w:jc w:val="center"/>
            </w:pPr>
            <w:r>
              <w:t>-</w:t>
            </w:r>
          </w:p>
        </w:tc>
        <w:tc>
          <w:tcPr>
            <w:tcW w:w="1701" w:type="dxa"/>
            <w:vAlign w:val="center"/>
          </w:tcPr>
          <w:p w14:paraId="734C838D" w14:textId="77777777" w:rsidR="00454A29" w:rsidRDefault="00454A29">
            <w:pPr>
              <w:pStyle w:val="ConsPlusNormal"/>
              <w:jc w:val="center"/>
            </w:pPr>
            <w:r>
              <w:t>157 977,37</w:t>
            </w:r>
          </w:p>
        </w:tc>
        <w:tc>
          <w:tcPr>
            <w:tcW w:w="1814" w:type="dxa"/>
            <w:vAlign w:val="center"/>
          </w:tcPr>
          <w:p w14:paraId="595FA3F8" w14:textId="77777777" w:rsidR="00454A29" w:rsidRDefault="00454A29">
            <w:pPr>
              <w:pStyle w:val="ConsPlusNormal"/>
              <w:jc w:val="center"/>
            </w:pPr>
            <w:r>
              <w:t>-</w:t>
            </w:r>
          </w:p>
        </w:tc>
      </w:tr>
      <w:tr w:rsidR="00454A29" w14:paraId="1BA3CCE7" w14:textId="77777777">
        <w:tc>
          <w:tcPr>
            <w:tcW w:w="567" w:type="dxa"/>
            <w:vMerge/>
          </w:tcPr>
          <w:p w14:paraId="4E66A70C" w14:textId="77777777" w:rsidR="00454A29" w:rsidRDefault="00454A29"/>
        </w:tc>
        <w:tc>
          <w:tcPr>
            <w:tcW w:w="3345" w:type="dxa"/>
            <w:vMerge/>
          </w:tcPr>
          <w:p w14:paraId="53234A27" w14:textId="77777777" w:rsidR="00454A29" w:rsidRDefault="00454A29"/>
        </w:tc>
        <w:tc>
          <w:tcPr>
            <w:tcW w:w="1701" w:type="dxa"/>
            <w:vAlign w:val="center"/>
          </w:tcPr>
          <w:p w14:paraId="0BE0AF5C" w14:textId="77777777" w:rsidR="00454A29" w:rsidRDefault="00454A29">
            <w:pPr>
              <w:pStyle w:val="ConsPlusNormal"/>
              <w:jc w:val="center"/>
            </w:pPr>
            <w:r>
              <w:t>2026</w:t>
            </w:r>
          </w:p>
        </w:tc>
        <w:tc>
          <w:tcPr>
            <w:tcW w:w="1417" w:type="dxa"/>
            <w:vMerge/>
          </w:tcPr>
          <w:p w14:paraId="45B41332" w14:textId="77777777" w:rsidR="00454A29" w:rsidRDefault="00454A29"/>
        </w:tc>
        <w:tc>
          <w:tcPr>
            <w:tcW w:w="2204" w:type="dxa"/>
            <w:vMerge/>
          </w:tcPr>
          <w:p w14:paraId="2851368A" w14:textId="77777777" w:rsidR="00454A29" w:rsidRDefault="00454A29"/>
        </w:tc>
        <w:tc>
          <w:tcPr>
            <w:tcW w:w="1417" w:type="dxa"/>
            <w:vMerge/>
          </w:tcPr>
          <w:p w14:paraId="4EA609A6" w14:textId="77777777" w:rsidR="00454A29" w:rsidRDefault="00454A29"/>
        </w:tc>
        <w:tc>
          <w:tcPr>
            <w:tcW w:w="2324" w:type="dxa"/>
            <w:vMerge/>
          </w:tcPr>
          <w:p w14:paraId="52CD0403" w14:textId="77777777" w:rsidR="00454A29" w:rsidRDefault="00454A29"/>
        </w:tc>
        <w:tc>
          <w:tcPr>
            <w:tcW w:w="1701" w:type="dxa"/>
            <w:vAlign w:val="center"/>
          </w:tcPr>
          <w:p w14:paraId="1E1FD7B6" w14:textId="77777777" w:rsidR="00454A29" w:rsidRDefault="00454A29">
            <w:pPr>
              <w:pStyle w:val="ConsPlusNormal"/>
              <w:jc w:val="center"/>
            </w:pPr>
            <w:r>
              <w:t>90 191,95</w:t>
            </w:r>
          </w:p>
        </w:tc>
        <w:tc>
          <w:tcPr>
            <w:tcW w:w="1814" w:type="dxa"/>
            <w:vAlign w:val="center"/>
          </w:tcPr>
          <w:p w14:paraId="46A314D1" w14:textId="77777777" w:rsidR="00454A29" w:rsidRDefault="00454A29">
            <w:pPr>
              <w:pStyle w:val="ConsPlusNormal"/>
              <w:jc w:val="center"/>
            </w:pPr>
            <w:r>
              <w:t>66 177,10</w:t>
            </w:r>
          </w:p>
        </w:tc>
        <w:tc>
          <w:tcPr>
            <w:tcW w:w="1701" w:type="dxa"/>
            <w:vAlign w:val="center"/>
          </w:tcPr>
          <w:p w14:paraId="79627C80" w14:textId="77777777" w:rsidR="00454A29" w:rsidRDefault="00454A29">
            <w:pPr>
              <w:pStyle w:val="ConsPlusNormal"/>
              <w:jc w:val="center"/>
            </w:pPr>
            <w:r>
              <w:t>-</w:t>
            </w:r>
          </w:p>
        </w:tc>
        <w:tc>
          <w:tcPr>
            <w:tcW w:w="1701" w:type="dxa"/>
            <w:vAlign w:val="center"/>
          </w:tcPr>
          <w:p w14:paraId="524F2DE4" w14:textId="77777777" w:rsidR="00454A29" w:rsidRDefault="00454A29">
            <w:pPr>
              <w:pStyle w:val="ConsPlusNormal"/>
              <w:jc w:val="center"/>
            </w:pPr>
            <w:r>
              <w:t>24 014,85</w:t>
            </w:r>
          </w:p>
        </w:tc>
        <w:tc>
          <w:tcPr>
            <w:tcW w:w="1814" w:type="dxa"/>
            <w:vAlign w:val="center"/>
          </w:tcPr>
          <w:p w14:paraId="42A0532D" w14:textId="77777777" w:rsidR="00454A29" w:rsidRDefault="00454A29">
            <w:pPr>
              <w:pStyle w:val="ConsPlusNormal"/>
              <w:jc w:val="center"/>
            </w:pPr>
            <w:r>
              <w:t>-</w:t>
            </w:r>
          </w:p>
        </w:tc>
      </w:tr>
      <w:tr w:rsidR="00454A29" w14:paraId="7CF8CAA9" w14:textId="77777777">
        <w:tc>
          <w:tcPr>
            <w:tcW w:w="567" w:type="dxa"/>
            <w:vMerge w:val="restart"/>
            <w:vAlign w:val="center"/>
          </w:tcPr>
          <w:p w14:paraId="75F86E71" w14:textId="77777777" w:rsidR="00454A29" w:rsidRDefault="00454A29">
            <w:pPr>
              <w:pStyle w:val="ConsPlusNormal"/>
              <w:jc w:val="center"/>
            </w:pPr>
            <w:r>
              <w:t>56</w:t>
            </w:r>
          </w:p>
        </w:tc>
        <w:tc>
          <w:tcPr>
            <w:tcW w:w="3345" w:type="dxa"/>
            <w:vMerge w:val="restart"/>
            <w:vAlign w:val="center"/>
          </w:tcPr>
          <w:p w14:paraId="56B1CB8D" w14:textId="77777777" w:rsidR="00454A29" w:rsidRDefault="00454A29">
            <w:pPr>
              <w:pStyle w:val="ConsPlusNormal"/>
              <w:jc w:val="center"/>
            </w:pPr>
            <w:r>
              <w:t>Детский сад на 98 мест в с. Хатыстыр Беллетского наслега Алданского района</w:t>
            </w:r>
          </w:p>
        </w:tc>
        <w:tc>
          <w:tcPr>
            <w:tcW w:w="1701" w:type="dxa"/>
            <w:vAlign w:val="center"/>
          </w:tcPr>
          <w:p w14:paraId="7DDACCA4" w14:textId="77777777" w:rsidR="00454A29" w:rsidRDefault="00454A29">
            <w:pPr>
              <w:pStyle w:val="ConsPlusNormal"/>
              <w:jc w:val="center"/>
            </w:pPr>
            <w:r>
              <w:t>2016 - 2025 годы - всего</w:t>
            </w:r>
          </w:p>
        </w:tc>
        <w:tc>
          <w:tcPr>
            <w:tcW w:w="1417" w:type="dxa"/>
            <w:vMerge w:val="restart"/>
            <w:vAlign w:val="center"/>
          </w:tcPr>
          <w:p w14:paraId="4DE9A969" w14:textId="77777777" w:rsidR="00454A29" w:rsidRDefault="00454A29">
            <w:pPr>
              <w:pStyle w:val="ConsPlusNormal"/>
              <w:jc w:val="center"/>
            </w:pPr>
            <w:r>
              <w:t>141 574,17</w:t>
            </w:r>
          </w:p>
        </w:tc>
        <w:tc>
          <w:tcPr>
            <w:tcW w:w="2204" w:type="dxa"/>
            <w:vMerge w:val="restart"/>
            <w:vAlign w:val="center"/>
          </w:tcPr>
          <w:p w14:paraId="18150879" w14:textId="77777777" w:rsidR="00454A29" w:rsidRDefault="00454A29">
            <w:pPr>
              <w:pStyle w:val="ConsPlusNormal"/>
              <w:jc w:val="center"/>
            </w:pPr>
            <w:r>
              <w:t>имеется</w:t>
            </w:r>
          </w:p>
        </w:tc>
        <w:tc>
          <w:tcPr>
            <w:tcW w:w="1417" w:type="dxa"/>
            <w:vMerge w:val="restart"/>
            <w:vAlign w:val="center"/>
          </w:tcPr>
          <w:p w14:paraId="79F2CFF0" w14:textId="77777777" w:rsidR="00454A29" w:rsidRDefault="00454A29">
            <w:pPr>
              <w:pStyle w:val="ConsPlusNormal"/>
              <w:jc w:val="center"/>
            </w:pPr>
            <w:r>
              <w:t>98</w:t>
            </w:r>
          </w:p>
        </w:tc>
        <w:tc>
          <w:tcPr>
            <w:tcW w:w="2324" w:type="dxa"/>
            <w:vMerge w:val="restart"/>
            <w:vAlign w:val="center"/>
          </w:tcPr>
          <w:p w14:paraId="73201D0D" w14:textId="77777777" w:rsidR="00454A29" w:rsidRDefault="00454A29">
            <w:pPr>
              <w:pStyle w:val="ConsPlusNormal"/>
              <w:jc w:val="center"/>
            </w:pPr>
            <w:r>
              <w:t>Минэкономики РС(Я)</w:t>
            </w:r>
          </w:p>
        </w:tc>
        <w:tc>
          <w:tcPr>
            <w:tcW w:w="1701" w:type="dxa"/>
            <w:vAlign w:val="center"/>
          </w:tcPr>
          <w:p w14:paraId="32076719" w14:textId="77777777" w:rsidR="00454A29" w:rsidRDefault="00454A29">
            <w:pPr>
              <w:pStyle w:val="ConsPlusNormal"/>
              <w:jc w:val="center"/>
            </w:pPr>
            <w:r>
              <w:t>499 422,21</w:t>
            </w:r>
          </w:p>
        </w:tc>
        <w:tc>
          <w:tcPr>
            <w:tcW w:w="1814" w:type="dxa"/>
            <w:vAlign w:val="center"/>
          </w:tcPr>
          <w:p w14:paraId="610AE8CC" w14:textId="77777777" w:rsidR="00454A29" w:rsidRDefault="00454A29">
            <w:pPr>
              <w:pStyle w:val="ConsPlusNormal"/>
              <w:jc w:val="center"/>
            </w:pPr>
            <w:r>
              <w:t>251 475,00</w:t>
            </w:r>
          </w:p>
        </w:tc>
        <w:tc>
          <w:tcPr>
            <w:tcW w:w="1701" w:type="dxa"/>
            <w:vAlign w:val="center"/>
          </w:tcPr>
          <w:p w14:paraId="7A91B538" w14:textId="77777777" w:rsidR="00454A29" w:rsidRDefault="00454A29">
            <w:pPr>
              <w:pStyle w:val="ConsPlusNormal"/>
              <w:jc w:val="center"/>
            </w:pPr>
            <w:r>
              <w:t>-</w:t>
            </w:r>
          </w:p>
        </w:tc>
        <w:tc>
          <w:tcPr>
            <w:tcW w:w="1701" w:type="dxa"/>
            <w:vAlign w:val="center"/>
          </w:tcPr>
          <w:p w14:paraId="42E220C0" w14:textId="77777777" w:rsidR="00454A29" w:rsidRDefault="00454A29">
            <w:pPr>
              <w:pStyle w:val="ConsPlusNormal"/>
              <w:jc w:val="center"/>
            </w:pPr>
            <w:r>
              <w:t>106 373,04</w:t>
            </w:r>
          </w:p>
        </w:tc>
        <w:tc>
          <w:tcPr>
            <w:tcW w:w="1814" w:type="dxa"/>
            <w:vAlign w:val="center"/>
          </w:tcPr>
          <w:p w14:paraId="780F45E1" w14:textId="77777777" w:rsidR="00454A29" w:rsidRDefault="00454A29">
            <w:pPr>
              <w:pStyle w:val="ConsPlusNormal"/>
              <w:jc w:val="center"/>
            </w:pPr>
            <w:r>
              <w:t>141 574,17</w:t>
            </w:r>
          </w:p>
        </w:tc>
      </w:tr>
      <w:tr w:rsidR="00454A29" w14:paraId="717B1FE9" w14:textId="77777777">
        <w:tc>
          <w:tcPr>
            <w:tcW w:w="567" w:type="dxa"/>
            <w:vMerge/>
          </w:tcPr>
          <w:p w14:paraId="6F83B465" w14:textId="77777777" w:rsidR="00454A29" w:rsidRDefault="00454A29"/>
        </w:tc>
        <w:tc>
          <w:tcPr>
            <w:tcW w:w="3345" w:type="dxa"/>
            <w:vMerge/>
          </w:tcPr>
          <w:p w14:paraId="2AAC8266" w14:textId="77777777" w:rsidR="00454A29" w:rsidRDefault="00454A29"/>
        </w:tc>
        <w:tc>
          <w:tcPr>
            <w:tcW w:w="1701" w:type="dxa"/>
            <w:vAlign w:val="center"/>
          </w:tcPr>
          <w:p w14:paraId="371358B3" w14:textId="77777777" w:rsidR="00454A29" w:rsidRDefault="00454A29">
            <w:pPr>
              <w:pStyle w:val="ConsPlusNormal"/>
              <w:jc w:val="center"/>
            </w:pPr>
            <w:r>
              <w:t>2016</w:t>
            </w:r>
          </w:p>
        </w:tc>
        <w:tc>
          <w:tcPr>
            <w:tcW w:w="1417" w:type="dxa"/>
            <w:vMerge/>
          </w:tcPr>
          <w:p w14:paraId="7C3E961A" w14:textId="77777777" w:rsidR="00454A29" w:rsidRDefault="00454A29"/>
        </w:tc>
        <w:tc>
          <w:tcPr>
            <w:tcW w:w="2204" w:type="dxa"/>
            <w:vMerge/>
          </w:tcPr>
          <w:p w14:paraId="081163CD" w14:textId="77777777" w:rsidR="00454A29" w:rsidRDefault="00454A29"/>
        </w:tc>
        <w:tc>
          <w:tcPr>
            <w:tcW w:w="1417" w:type="dxa"/>
            <w:vMerge/>
          </w:tcPr>
          <w:p w14:paraId="1E2E68CC" w14:textId="77777777" w:rsidR="00454A29" w:rsidRDefault="00454A29"/>
        </w:tc>
        <w:tc>
          <w:tcPr>
            <w:tcW w:w="2324" w:type="dxa"/>
            <w:vMerge/>
          </w:tcPr>
          <w:p w14:paraId="75770BDC" w14:textId="77777777" w:rsidR="00454A29" w:rsidRDefault="00454A29"/>
        </w:tc>
        <w:tc>
          <w:tcPr>
            <w:tcW w:w="1701" w:type="dxa"/>
            <w:vAlign w:val="center"/>
          </w:tcPr>
          <w:p w14:paraId="730EE823" w14:textId="77777777" w:rsidR="00454A29" w:rsidRDefault="00454A29">
            <w:pPr>
              <w:pStyle w:val="ConsPlusNormal"/>
              <w:jc w:val="center"/>
            </w:pPr>
            <w:r>
              <w:t>93 444,87</w:t>
            </w:r>
          </w:p>
        </w:tc>
        <w:tc>
          <w:tcPr>
            <w:tcW w:w="1814" w:type="dxa"/>
            <w:vAlign w:val="center"/>
          </w:tcPr>
          <w:p w14:paraId="1DEC723D" w14:textId="77777777" w:rsidR="00454A29" w:rsidRDefault="00454A29">
            <w:pPr>
              <w:pStyle w:val="ConsPlusNormal"/>
              <w:jc w:val="center"/>
            </w:pPr>
            <w:r>
              <w:t>5 751,10</w:t>
            </w:r>
          </w:p>
        </w:tc>
        <w:tc>
          <w:tcPr>
            <w:tcW w:w="1701" w:type="dxa"/>
            <w:vAlign w:val="center"/>
          </w:tcPr>
          <w:p w14:paraId="12E75AD1" w14:textId="77777777" w:rsidR="00454A29" w:rsidRDefault="00454A29">
            <w:pPr>
              <w:pStyle w:val="ConsPlusNormal"/>
            </w:pPr>
          </w:p>
        </w:tc>
        <w:tc>
          <w:tcPr>
            <w:tcW w:w="1701" w:type="dxa"/>
            <w:vAlign w:val="center"/>
          </w:tcPr>
          <w:p w14:paraId="5093B06F" w14:textId="77777777" w:rsidR="00454A29" w:rsidRDefault="00454A29">
            <w:pPr>
              <w:pStyle w:val="ConsPlusNormal"/>
              <w:jc w:val="center"/>
            </w:pPr>
            <w:r>
              <w:t>-</w:t>
            </w:r>
          </w:p>
        </w:tc>
        <w:tc>
          <w:tcPr>
            <w:tcW w:w="1814" w:type="dxa"/>
            <w:vAlign w:val="center"/>
          </w:tcPr>
          <w:p w14:paraId="4CE4681E" w14:textId="77777777" w:rsidR="00454A29" w:rsidRDefault="00454A29">
            <w:pPr>
              <w:pStyle w:val="ConsPlusNormal"/>
              <w:jc w:val="center"/>
            </w:pPr>
            <w:r>
              <w:t>87 693,77</w:t>
            </w:r>
          </w:p>
        </w:tc>
      </w:tr>
      <w:tr w:rsidR="00454A29" w14:paraId="78C37A55" w14:textId="77777777">
        <w:tc>
          <w:tcPr>
            <w:tcW w:w="567" w:type="dxa"/>
            <w:vMerge/>
          </w:tcPr>
          <w:p w14:paraId="1B8425C2" w14:textId="77777777" w:rsidR="00454A29" w:rsidRDefault="00454A29"/>
        </w:tc>
        <w:tc>
          <w:tcPr>
            <w:tcW w:w="3345" w:type="dxa"/>
            <w:vMerge/>
          </w:tcPr>
          <w:p w14:paraId="37A93D8C" w14:textId="77777777" w:rsidR="00454A29" w:rsidRDefault="00454A29"/>
        </w:tc>
        <w:tc>
          <w:tcPr>
            <w:tcW w:w="1701" w:type="dxa"/>
            <w:vAlign w:val="center"/>
          </w:tcPr>
          <w:p w14:paraId="72AAF4EE" w14:textId="77777777" w:rsidR="00454A29" w:rsidRDefault="00454A29">
            <w:pPr>
              <w:pStyle w:val="ConsPlusNormal"/>
              <w:jc w:val="center"/>
            </w:pPr>
            <w:r>
              <w:t>2017</w:t>
            </w:r>
          </w:p>
        </w:tc>
        <w:tc>
          <w:tcPr>
            <w:tcW w:w="1417" w:type="dxa"/>
            <w:vMerge/>
          </w:tcPr>
          <w:p w14:paraId="23833CD5" w14:textId="77777777" w:rsidR="00454A29" w:rsidRDefault="00454A29"/>
        </w:tc>
        <w:tc>
          <w:tcPr>
            <w:tcW w:w="2204" w:type="dxa"/>
            <w:vMerge/>
          </w:tcPr>
          <w:p w14:paraId="7CC18048" w14:textId="77777777" w:rsidR="00454A29" w:rsidRDefault="00454A29"/>
        </w:tc>
        <w:tc>
          <w:tcPr>
            <w:tcW w:w="1417" w:type="dxa"/>
            <w:vMerge/>
          </w:tcPr>
          <w:p w14:paraId="2663403F" w14:textId="77777777" w:rsidR="00454A29" w:rsidRDefault="00454A29"/>
        </w:tc>
        <w:tc>
          <w:tcPr>
            <w:tcW w:w="2324" w:type="dxa"/>
            <w:vMerge/>
          </w:tcPr>
          <w:p w14:paraId="48A46E8D" w14:textId="77777777" w:rsidR="00454A29" w:rsidRDefault="00454A29"/>
        </w:tc>
        <w:tc>
          <w:tcPr>
            <w:tcW w:w="1701" w:type="dxa"/>
            <w:vAlign w:val="center"/>
          </w:tcPr>
          <w:p w14:paraId="673203DE" w14:textId="77777777" w:rsidR="00454A29" w:rsidRDefault="00454A29">
            <w:pPr>
              <w:pStyle w:val="ConsPlusNormal"/>
              <w:jc w:val="center"/>
            </w:pPr>
            <w:r>
              <w:t>76 482,21</w:t>
            </w:r>
          </w:p>
        </w:tc>
        <w:tc>
          <w:tcPr>
            <w:tcW w:w="1814" w:type="dxa"/>
            <w:vAlign w:val="center"/>
          </w:tcPr>
          <w:p w14:paraId="04CB4407" w14:textId="77777777" w:rsidR="00454A29" w:rsidRDefault="00454A29">
            <w:pPr>
              <w:pStyle w:val="ConsPlusNormal"/>
              <w:jc w:val="center"/>
            </w:pPr>
            <w:r>
              <w:t>22 601,80</w:t>
            </w:r>
          </w:p>
        </w:tc>
        <w:tc>
          <w:tcPr>
            <w:tcW w:w="1701" w:type="dxa"/>
            <w:vAlign w:val="center"/>
          </w:tcPr>
          <w:p w14:paraId="04FD74FF" w14:textId="77777777" w:rsidR="00454A29" w:rsidRDefault="00454A29">
            <w:pPr>
              <w:pStyle w:val="ConsPlusNormal"/>
            </w:pPr>
          </w:p>
        </w:tc>
        <w:tc>
          <w:tcPr>
            <w:tcW w:w="1701" w:type="dxa"/>
            <w:vAlign w:val="center"/>
          </w:tcPr>
          <w:p w14:paraId="0A7E13D0" w14:textId="77777777" w:rsidR="00454A29" w:rsidRDefault="00454A29">
            <w:pPr>
              <w:pStyle w:val="ConsPlusNormal"/>
              <w:jc w:val="center"/>
            </w:pPr>
            <w:r>
              <w:t>-</w:t>
            </w:r>
          </w:p>
        </w:tc>
        <w:tc>
          <w:tcPr>
            <w:tcW w:w="1814" w:type="dxa"/>
            <w:vAlign w:val="center"/>
          </w:tcPr>
          <w:p w14:paraId="21CAB661" w14:textId="77777777" w:rsidR="00454A29" w:rsidRDefault="00454A29">
            <w:pPr>
              <w:pStyle w:val="ConsPlusNormal"/>
              <w:jc w:val="center"/>
            </w:pPr>
            <w:r>
              <w:t>53 880,40</w:t>
            </w:r>
          </w:p>
        </w:tc>
      </w:tr>
      <w:tr w:rsidR="00454A29" w14:paraId="307BBBC4" w14:textId="77777777">
        <w:tc>
          <w:tcPr>
            <w:tcW w:w="567" w:type="dxa"/>
            <w:vMerge/>
          </w:tcPr>
          <w:p w14:paraId="7E38F993" w14:textId="77777777" w:rsidR="00454A29" w:rsidRDefault="00454A29"/>
        </w:tc>
        <w:tc>
          <w:tcPr>
            <w:tcW w:w="3345" w:type="dxa"/>
            <w:vMerge/>
          </w:tcPr>
          <w:p w14:paraId="6ACB6F6A" w14:textId="77777777" w:rsidR="00454A29" w:rsidRDefault="00454A29"/>
        </w:tc>
        <w:tc>
          <w:tcPr>
            <w:tcW w:w="1701" w:type="dxa"/>
            <w:vAlign w:val="center"/>
          </w:tcPr>
          <w:p w14:paraId="197E2ED2" w14:textId="77777777" w:rsidR="00454A29" w:rsidRDefault="00454A29">
            <w:pPr>
              <w:pStyle w:val="ConsPlusNormal"/>
              <w:jc w:val="center"/>
            </w:pPr>
            <w:r>
              <w:t>2018</w:t>
            </w:r>
          </w:p>
        </w:tc>
        <w:tc>
          <w:tcPr>
            <w:tcW w:w="1417" w:type="dxa"/>
            <w:vMerge/>
          </w:tcPr>
          <w:p w14:paraId="18D6E4C4" w14:textId="77777777" w:rsidR="00454A29" w:rsidRDefault="00454A29"/>
        </w:tc>
        <w:tc>
          <w:tcPr>
            <w:tcW w:w="2204" w:type="dxa"/>
            <w:vMerge/>
          </w:tcPr>
          <w:p w14:paraId="0712E8B5" w14:textId="77777777" w:rsidR="00454A29" w:rsidRDefault="00454A29"/>
        </w:tc>
        <w:tc>
          <w:tcPr>
            <w:tcW w:w="1417" w:type="dxa"/>
            <w:vMerge/>
          </w:tcPr>
          <w:p w14:paraId="7B760F63" w14:textId="77777777" w:rsidR="00454A29" w:rsidRDefault="00454A29"/>
        </w:tc>
        <w:tc>
          <w:tcPr>
            <w:tcW w:w="2324" w:type="dxa"/>
            <w:vMerge/>
          </w:tcPr>
          <w:p w14:paraId="7B394C89" w14:textId="77777777" w:rsidR="00454A29" w:rsidRDefault="00454A29"/>
        </w:tc>
        <w:tc>
          <w:tcPr>
            <w:tcW w:w="1701" w:type="dxa"/>
            <w:vAlign w:val="center"/>
          </w:tcPr>
          <w:p w14:paraId="603A2279" w14:textId="77777777" w:rsidR="00454A29" w:rsidRDefault="00454A29">
            <w:pPr>
              <w:pStyle w:val="ConsPlusNormal"/>
              <w:jc w:val="center"/>
            </w:pPr>
            <w:r>
              <w:t>39 732,67</w:t>
            </w:r>
          </w:p>
        </w:tc>
        <w:tc>
          <w:tcPr>
            <w:tcW w:w="1814" w:type="dxa"/>
            <w:vAlign w:val="center"/>
          </w:tcPr>
          <w:p w14:paraId="31495BCB" w14:textId="77777777" w:rsidR="00454A29" w:rsidRDefault="00454A29">
            <w:pPr>
              <w:pStyle w:val="ConsPlusNormal"/>
              <w:jc w:val="center"/>
            </w:pPr>
            <w:r>
              <w:t>26 180,75</w:t>
            </w:r>
          </w:p>
        </w:tc>
        <w:tc>
          <w:tcPr>
            <w:tcW w:w="1701" w:type="dxa"/>
            <w:vAlign w:val="center"/>
          </w:tcPr>
          <w:p w14:paraId="66533A6F" w14:textId="77777777" w:rsidR="00454A29" w:rsidRDefault="00454A29">
            <w:pPr>
              <w:pStyle w:val="ConsPlusNormal"/>
            </w:pPr>
          </w:p>
        </w:tc>
        <w:tc>
          <w:tcPr>
            <w:tcW w:w="1701" w:type="dxa"/>
            <w:vAlign w:val="center"/>
          </w:tcPr>
          <w:p w14:paraId="21F59D4D" w14:textId="77777777" w:rsidR="00454A29" w:rsidRDefault="00454A29">
            <w:pPr>
              <w:pStyle w:val="ConsPlusNormal"/>
              <w:jc w:val="center"/>
            </w:pPr>
            <w:r>
              <w:t>13 551,93</w:t>
            </w:r>
          </w:p>
        </w:tc>
        <w:tc>
          <w:tcPr>
            <w:tcW w:w="1814" w:type="dxa"/>
            <w:vAlign w:val="center"/>
          </w:tcPr>
          <w:p w14:paraId="66A058CE" w14:textId="77777777" w:rsidR="00454A29" w:rsidRDefault="00454A29">
            <w:pPr>
              <w:pStyle w:val="ConsPlusNormal"/>
            </w:pPr>
          </w:p>
        </w:tc>
      </w:tr>
      <w:tr w:rsidR="00454A29" w14:paraId="535B1172" w14:textId="77777777">
        <w:tc>
          <w:tcPr>
            <w:tcW w:w="567" w:type="dxa"/>
            <w:vMerge/>
          </w:tcPr>
          <w:p w14:paraId="15DF1B62" w14:textId="77777777" w:rsidR="00454A29" w:rsidRDefault="00454A29"/>
        </w:tc>
        <w:tc>
          <w:tcPr>
            <w:tcW w:w="3345" w:type="dxa"/>
            <w:vMerge/>
          </w:tcPr>
          <w:p w14:paraId="2B2A3587" w14:textId="77777777" w:rsidR="00454A29" w:rsidRDefault="00454A29"/>
        </w:tc>
        <w:tc>
          <w:tcPr>
            <w:tcW w:w="1701" w:type="dxa"/>
            <w:vAlign w:val="center"/>
          </w:tcPr>
          <w:p w14:paraId="0D5434FE" w14:textId="77777777" w:rsidR="00454A29" w:rsidRDefault="00454A29">
            <w:pPr>
              <w:pStyle w:val="ConsPlusNormal"/>
              <w:jc w:val="center"/>
            </w:pPr>
            <w:r>
              <w:t>2019</w:t>
            </w:r>
          </w:p>
        </w:tc>
        <w:tc>
          <w:tcPr>
            <w:tcW w:w="1417" w:type="dxa"/>
            <w:vMerge/>
          </w:tcPr>
          <w:p w14:paraId="7281A98B" w14:textId="77777777" w:rsidR="00454A29" w:rsidRDefault="00454A29"/>
        </w:tc>
        <w:tc>
          <w:tcPr>
            <w:tcW w:w="2204" w:type="dxa"/>
            <w:vMerge/>
          </w:tcPr>
          <w:p w14:paraId="73523F51" w14:textId="77777777" w:rsidR="00454A29" w:rsidRDefault="00454A29"/>
        </w:tc>
        <w:tc>
          <w:tcPr>
            <w:tcW w:w="1417" w:type="dxa"/>
            <w:vMerge/>
          </w:tcPr>
          <w:p w14:paraId="3553F027" w14:textId="77777777" w:rsidR="00454A29" w:rsidRDefault="00454A29"/>
        </w:tc>
        <w:tc>
          <w:tcPr>
            <w:tcW w:w="2324" w:type="dxa"/>
            <w:vMerge/>
          </w:tcPr>
          <w:p w14:paraId="7030C708" w14:textId="77777777" w:rsidR="00454A29" w:rsidRDefault="00454A29"/>
        </w:tc>
        <w:tc>
          <w:tcPr>
            <w:tcW w:w="1701" w:type="dxa"/>
            <w:vAlign w:val="center"/>
          </w:tcPr>
          <w:p w14:paraId="1A5066F5" w14:textId="77777777" w:rsidR="00454A29" w:rsidRDefault="00454A29">
            <w:pPr>
              <w:pStyle w:val="ConsPlusNormal"/>
              <w:jc w:val="center"/>
            </w:pPr>
            <w:r>
              <w:t>39 437,21</w:t>
            </w:r>
          </w:p>
        </w:tc>
        <w:tc>
          <w:tcPr>
            <w:tcW w:w="1814" w:type="dxa"/>
            <w:vAlign w:val="center"/>
          </w:tcPr>
          <w:p w14:paraId="198A91F5" w14:textId="77777777" w:rsidR="00454A29" w:rsidRDefault="00454A29">
            <w:pPr>
              <w:pStyle w:val="ConsPlusNormal"/>
              <w:jc w:val="center"/>
            </w:pPr>
            <w:r>
              <w:t>25 275,45</w:t>
            </w:r>
          </w:p>
        </w:tc>
        <w:tc>
          <w:tcPr>
            <w:tcW w:w="1701" w:type="dxa"/>
            <w:vAlign w:val="center"/>
          </w:tcPr>
          <w:p w14:paraId="740E2C62" w14:textId="77777777" w:rsidR="00454A29" w:rsidRDefault="00454A29">
            <w:pPr>
              <w:pStyle w:val="ConsPlusNormal"/>
            </w:pPr>
          </w:p>
        </w:tc>
        <w:tc>
          <w:tcPr>
            <w:tcW w:w="1701" w:type="dxa"/>
            <w:vAlign w:val="center"/>
          </w:tcPr>
          <w:p w14:paraId="5EC99746" w14:textId="77777777" w:rsidR="00454A29" w:rsidRDefault="00454A29">
            <w:pPr>
              <w:pStyle w:val="ConsPlusNormal"/>
              <w:jc w:val="center"/>
            </w:pPr>
            <w:r>
              <w:t>14 161,76</w:t>
            </w:r>
          </w:p>
        </w:tc>
        <w:tc>
          <w:tcPr>
            <w:tcW w:w="1814" w:type="dxa"/>
            <w:vAlign w:val="center"/>
          </w:tcPr>
          <w:p w14:paraId="76BD3304" w14:textId="77777777" w:rsidR="00454A29" w:rsidRDefault="00454A29">
            <w:pPr>
              <w:pStyle w:val="ConsPlusNormal"/>
            </w:pPr>
          </w:p>
        </w:tc>
      </w:tr>
      <w:tr w:rsidR="00454A29" w14:paraId="4B8D2820" w14:textId="77777777">
        <w:tc>
          <w:tcPr>
            <w:tcW w:w="567" w:type="dxa"/>
            <w:vMerge/>
          </w:tcPr>
          <w:p w14:paraId="67B918F4" w14:textId="77777777" w:rsidR="00454A29" w:rsidRDefault="00454A29"/>
        </w:tc>
        <w:tc>
          <w:tcPr>
            <w:tcW w:w="3345" w:type="dxa"/>
            <w:vMerge/>
          </w:tcPr>
          <w:p w14:paraId="42FF40FA" w14:textId="77777777" w:rsidR="00454A29" w:rsidRDefault="00454A29"/>
        </w:tc>
        <w:tc>
          <w:tcPr>
            <w:tcW w:w="1701" w:type="dxa"/>
            <w:vAlign w:val="center"/>
          </w:tcPr>
          <w:p w14:paraId="556C85B8" w14:textId="77777777" w:rsidR="00454A29" w:rsidRDefault="00454A29">
            <w:pPr>
              <w:pStyle w:val="ConsPlusNormal"/>
              <w:jc w:val="center"/>
            </w:pPr>
            <w:r>
              <w:t>2020</w:t>
            </w:r>
          </w:p>
        </w:tc>
        <w:tc>
          <w:tcPr>
            <w:tcW w:w="1417" w:type="dxa"/>
            <w:vMerge/>
          </w:tcPr>
          <w:p w14:paraId="3F52C7F3" w14:textId="77777777" w:rsidR="00454A29" w:rsidRDefault="00454A29"/>
        </w:tc>
        <w:tc>
          <w:tcPr>
            <w:tcW w:w="2204" w:type="dxa"/>
            <w:vMerge/>
          </w:tcPr>
          <w:p w14:paraId="65CD8287" w14:textId="77777777" w:rsidR="00454A29" w:rsidRDefault="00454A29"/>
        </w:tc>
        <w:tc>
          <w:tcPr>
            <w:tcW w:w="1417" w:type="dxa"/>
            <w:vMerge/>
          </w:tcPr>
          <w:p w14:paraId="1815594D" w14:textId="77777777" w:rsidR="00454A29" w:rsidRDefault="00454A29"/>
        </w:tc>
        <w:tc>
          <w:tcPr>
            <w:tcW w:w="2324" w:type="dxa"/>
            <w:vMerge/>
          </w:tcPr>
          <w:p w14:paraId="060F93CD" w14:textId="77777777" w:rsidR="00454A29" w:rsidRDefault="00454A29"/>
        </w:tc>
        <w:tc>
          <w:tcPr>
            <w:tcW w:w="1701" w:type="dxa"/>
            <w:vAlign w:val="center"/>
          </w:tcPr>
          <w:p w14:paraId="1EA5D520" w14:textId="77777777" w:rsidR="00454A29" w:rsidRDefault="00454A29">
            <w:pPr>
              <w:pStyle w:val="ConsPlusNormal"/>
              <w:jc w:val="center"/>
            </w:pPr>
            <w:r>
              <w:t>44 199,23</w:t>
            </w:r>
          </w:p>
        </w:tc>
        <w:tc>
          <w:tcPr>
            <w:tcW w:w="1814" w:type="dxa"/>
            <w:vAlign w:val="center"/>
          </w:tcPr>
          <w:p w14:paraId="5AEDE233" w14:textId="77777777" w:rsidR="00454A29" w:rsidRDefault="00454A29">
            <w:pPr>
              <w:pStyle w:val="ConsPlusNormal"/>
              <w:jc w:val="center"/>
            </w:pPr>
            <w:r>
              <w:t>29 471,00</w:t>
            </w:r>
          </w:p>
        </w:tc>
        <w:tc>
          <w:tcPr>
            <w:tcW w:w="1701" w:type="dxa"/>
            <w:vAlign w:val="center"/>
          </w:tcPr>
          <w:p w14:paraId="730B937E" w14:textId="77777777" w:rsidR="00454A29" w:rsidRDefault="00454A29">
            <w:pPr>
              <w:pStyle w:val="ConsPlusNormal"/>
            </w:pPr>
          </w:p>
        </w:tc>
        <w:tc>
          <w:tcPr>
            <w:tcW w:w="1701" w:type="dxa"/>
            <w:vAlign w:val="center"/>
          </w:tcPr>
          <w:p w14:paraId="1E26483B" w14:textId="77777777" w:rsidR="00454A29" w:rsidRDefault="00454A29">
            <w:pPr>
              <w:pStyle w:val="ConsPlusNormal"/>
              <w:jc w:val="center"/>
            </w:pPr>
            <w:r>
              <w:t>14 728,23</w:t>
            </w:r>
          </w:p>
        </w:tc>
        <w:tc>
          <w:tcPr>
            <w:tcW w:w="1814" w:type="dxa"/>
            <w:vAlign w:val="center"/>
          </w:tcPr>
          <w:p w14:paraId="3DADB1DC" w14:textId="77777777" w:rsidR="00454A29" w:rsidRDefault="00454A29">
            <w:pPr>
              <w:pStyle w:val="ConsPlusNormal"/>
            </w:pPr>
          </w:p>
        </w:tc>
      </w:tr>
      <w:tr w:rsidR="00454A29" w14:paraId="4299A317" w14:textId="77777777">
        <w:tc>
          <w:tcPr>
            <w:tcW w:w="567" w:type="dxa"/>
            <w:vMerge/>
          </w:tcPr>
          <w:p w14:paraId="0149405A" w14:textId="77777777" w:rsidR="00454A29" w:rsidRDefault="00454A29"/>
        </w:tc>
        <w:tc>
          <w:tcPr>
            <w:tcW w:w="3345" w:type="dxa"/>
            <w:vMerge/>
          </w:tcPr>
          <w:p w14:paraId="72365F4F" w14:textId="77777777" w:rsidR="00454A29" w:rsidRDefault="00454A29"/>
        </w:tc>
        <w:tc>
          <w:tcPr>
            <w:tcW w:w="1701" w:type="dxa"/>
            <w:vAlign w:val="center"/>
          </w:tcPr>
          <w:p w14:paraId="2AF356C2" w14:textId="77777777" w:rsidR="00454A29" w:rsidRDefault="00454A29">
            <w:pPr>
              <w:pStyle w:val="ConsPlusNormal"/>
              <w:jc w:val="center"/>
            </w:pPr>
            <w:r>
              <w:t>2021</w:t>
            </w:r>
          </w:p>
        </w:tc>
        <w:tc>
          <w:tcPr>
            <w:tcW w:w="1417" w:type="dxa"/>
            <w:vMerge/>
          </w:tcPr>
          <w:p w14:paraId="545415A2" w14:textId="77777777" w:rsidR="00454A29" w:rsidRDefault="00454A29"/>
        </w:tc>
        <w:tc>
          <w:tcPr>
            <w:tcW w:w="2204" w:type="dxa"/>
            <w:vMerge/>
          </w:tcPr>
          <w:p w14:paraId="38CEDACB" w14:textId="77777777" w:rsidR="00454A29" w:rsidRDefault="00454A29"/>
        </w:tc>
        <w:tc>
          <w:tcPr>
            <w:tcW w:w="1417" w:type="dxa"/>
            <w:vMerge/>
          </w:tcPr>
          <w:p w14:paraId="72AC69A5" w14:textId="77777777" w:rsidR="00454A29" w:rsidRDefault="00454A29"/>
        </w:tc>
        <w:tc>
          <w:tcPr>
            <w:tcW w:w="2324" w:type="dxa"/>
            <w:vMerge/>
          </w:tcPr>
          <w:p w14:paraId="5B5DDF38" w14:textId="77777777" w:rsidR="00454A29" w:rsidRDefault="00454A29"/>
        </w:tc>
        <w:tc>
          <w:tcPr>
            <w:tcW w:w="1701" w:type="dxa"/>
            <w:vAlign w:val="center"/>
          </w:tcPr>
          <w:p w14:paraId="3B493FFC" w14:textId="77777777" w:rsidR="00454A29" w:rsidRDefault="00454A29">
            <w:pPr>
              <w:pStyle w:val="ConsPlusNormal"/>
              <w:jc w:val="center"/>
            </w:pPr>
            <w:r>
              <w:t>33 120,42</w:t>
            </w:r>
          </w:p>
        </w:tc>
        <w:tc>
          <w:tcPr>
            <w:tcW w:w="1814" w:type="dxa"/>
            <w:vAlign w:val="center"/>
          </w:tcPr>
          <w:p w14:paraId="04287BD2" w14:textId="77777777" w:rsidR="00454A29" w:rsidRDefault="00454A29">
            <w:pPr>
              <w:pStyle w:val="ConsPlusNormal"/>
              <w:jc w:val="center"/>
            </w:pPr>
            <w:r>
              <w:t>17 876,70</w:t>
            </w:r>
          </w:p>
        </w:tc>
        <w:tc>
          <w:tcPr>
            <w:tcW w:w="1701" w:type="dxa"/>
            <w:vAlign w:val="center"/>
          </w:tcPr>
          <w:p w14:paraId="2022CF87" w14:textId="77777777" w:rsidR="00454A29" w:rsidRDefault="00454A29">
            <w:pPr>
              <w:pStyle w:val="ConsPlusNormal"/>
            </w:pPr>
          </w:p>
        </w:tc>
        <w:tc>
          <w:tcPr>
            <w:tcW w:w="1701" w:type="dxa"/>
            <w:vAlign w:val="center"/>
          </w:tcPr>
          <w:p w14:paraId="72803645" w14:textId="77777777" w:rsidR="00454A29" w:rsidRDefault="00454A29">
            <w:pPr>
              <w:pStyle w:val="ConsPlusNormal"/>
              <w:jc w:val="center"/>
            </w:pPr>
            <w:r>
              <w:t>15 243,72</w:t>
            </w:r>
          </w:p>
        </w:tc>
        <w:tc>
          <w:tcPr>
            <w:tcW w:w="1814" w:type="dxa"/>
            <w:vAlign w:val="center"/>
          </w:tcPr>
          <w:p w14:paraId="3BAEF92A" w14:textId="77777777" w:rsidR="00454A29" w:rsidRDefault="00454A29">
            <w:pPr>
              <w:pStyle w:val="ConsPlusNormal"/>
            </w:pPr>
          </w:p>
        </w:tc>
      </w:tr>
      <w:tr w:rsidR="00454A29" w14:paraId="0DE49D63" w14:textId="77777777">
        <w:tc>
          <w:tcPr>
            <w:tcW w:w="567" w:type="dxa"/>
            <w:vMerge/>
          </w:tcPr>
          <w:p w14:paraId="1B12733D" w14:textId="77777777" w:rsidR="00454A29" w:rsidRDefault="00454A29"/>
        </w:tc>
        <w:tc>
          <w:tcPr>
            <w:tcW w:w="3345" w:type="dxa"/>
            <w:vMerge/>
          </w:tcPr>
          <w:p w14:paraId="2DDBA262" w14:textId="77777777" w:rsidR="00454A29" w:rsidRDefault="00454A29"/>
        </w:tc>
        <w:tc>
          <w:tcPr>
            <w:tcW w:w="1701" w:type="dxa"/>
            <w:vAlign w:val="center"/>
          </w:tcPr>
          <w:p w14:paraId="5DF15E6B" w14:textId="77777777" w:rsidR="00454A29" w:rsidRDefault="00454A29">
            <w:pPr>
              <w:pStyle w:val="ConsPlusNormal"/>
              <w:jc w:val="center"/>
            </w:pPr>
            <w:r>
              <w:t>2022</w:t>
            </w:r>
          </w:p>
        </w:tc>
        <w:tc>
          <w:tcPr>
            <w:tcW w:w="1417" w:type="dxa"/>
            <w:vMerge/>
          </w:tcPr>
          <w:p w14:paraId="0FC02064" w14:textId="77777777" w:rsidR="00454A29" w:rsidRDefault="00454A29"/>
        </w:tc>
        <w:tc>
          <w:tcPr>
            <w:tcW w:w="2204" w:type="dxa"/>
            <w:vMerge/>
          </w:tcPr>
          <w:p w14:paraId="58A756EC" w14:textId="77777777" w:rsidR="00454A29" w:rsidRDefault="00454A29"/>
        </w:tc>
        <w:tc>
          <w:tcPr>
            <w:tcW w:w="1417" w:type="dxa"/>
            <w:vMerge/>
          </w:tcPr>
          <w:p w14:paraId="26BE7739" w14:textId="77777777" w:rsidR="00454A29" w:rsidRDefault="00454A29"/>
        </w:tc>
        <w:tc>
          <w:tcPr>
            <w:tcW w:w="2324" w:type="dxa"/>
            <w:vMerge/>
          </w:tcPr>
          <w:p w14:paraId="73F0973A" w14:textId="77777777" w:rsidR="00454A29" w:rsidRDefault="00454A29"/>
        </w:tc>
        <w:tc>
          <w:tcPr>
            <w:tcW w:w="1701" w:type="dxa"/>
            <w:vAlign w:val="center"/>
          </w:tcPr>
          <w:p w14:paraId="6FE67DE2" w14:textId="77777777" w:rsidR="00454A29" w:rsidRDefault="00454A29">
            <w:pPr>
              <w:pStyle w:val="ConsPlusNormal"/>
              <w:jc w:val="center"/>
            </w:pPr>
            <w:r>
              <w:t>46 826,31</w:t>
            </w:r>
          </w:p>
        </w:tc>
        <w:tc>
          <w:tcPr>
            <w:tcW w:w="1814" w:type="dxa"/>
            <w:vAlign w:val="center"/>
          </w:tcPr>
          <w:p w14:paraId="78784401" w14:textId="77777777" w:rsidR="00454A29" w:rsidRDefault="00454A29">
            <w:pPr>
              <w:pStyle w:val="ConsPlusNormal"/>
              <w:jc w:val="center"/>
            </w:pPr>
            <w:r>
              <w:t>31 079,55</w:t>
            </w:r>
          </w:p>
        </w:tc>
        <w:tc>
          <w:tcPr>
            <w:tcW w:w="1701" w:type="dxa"/>
            <w:vAlign w:val="center"/>
          </w:tcPr>
          <w:p w14:paraId="38D5D2C6" w14:textId="77777777" w:rsidR="00454A29" w:rsidRDefault="00454A29">
            <w:pPr>
              <w:pStyle w:val="ConsPlusNormal"/>
            </w:pPr>
          </w:p>
        </w:tc>
        <w:tc>
          <w:tcPr>
            <w:tcW w:w="1701" w:type="dxa"/>
            <w:vAlign w:val="center"/>
          </w:tcPr>
          <w:p w14:paraId="7E03CBDE" w14:textId="77777777" w:rsidR="00454A29" w:rsidRDefault="00454A29">
            <w:pPr>
              <w:pStyle w:val="ConsPlusNormal"/>
              <w:jc w:val="center"/>
            </w:pPr>
            <w:r>
              <w:t>15 746,76</w:t>
            </w:r>
          </w:p>
        </w:tc>
        <w:tc>
          <w:tcPr>
            <w:tcW w:w="1814" w:type="dxa"/>
            <w:vAlign w:val="center"/>
          </w:tcPr>
          <w:p w14:paraId="72B110F6" w14:textId="77777777" w:rsidR="00454A29" w:rsidRDefault="00454A29">
            <w:pPr>
              <w:pStyle w:val="ConsPlusNormal"/>
            </w:pPr>
          </w:p>
        </w:tc>
      </w:tr>
      <w:tr w:rsidR="00454A29" w14:paraId="28A3B83E" w14:textId="77777777">
        <w:tc>
          <w:tcPr>
            <w:tcW w:w="567" w:type="dxa"/>
            <w:vMerge/>
          </w:tcPr>
          <w:p w14:paraId="1676A7B9" w14:textId="77777777" w:rsidR="00454A29" w:rsidRDefault="00454A29"/>
        </w:tc>
        <w:tc>
          <w:tcPr>
            <w:tcW w:w="3345" w:type="dxa"/>
            <w:vMerge/>
          </w:tcPr>
          <w:p w14:paraId="610D25FE" w14:textId="77777777" w:rsidR="00454A29" w:rsidRDefault="00454A29"/>
        </w:tc>
        <w:tc>
          <w:tcPr>
            <w:tcW w:w="1701" w:type="dxa"/>
            <w:vAlign w:val="center"/>
          </w:tcPr>
          <w:p w14:paraId="50776D8B" w14:textId="77777777" w:rsidR="00454A29" w:rsidRDefault="00454A29">
            <w:pPr>
              <w:pStyle w:val="ConsPlusNormal"/>
              <w:jc w:val="center"/>
            </w:pPr>
            <w:r>
              <w:t>2023</w:t>
            </w:r>
          </w:p>
        </w:tc>
        <w:tc>
          <w:tcPr>
            <w:tcW w:w="1417" w:type="dxa"/>
            <w:vMerge/>
          </w:tcPr>
          <w:p w14:paraId="10B25965" w14:textId="77777777" w:rsidR="00454A29" w:rsidRDefault="00454A29"/>
        </w:tc>
        <w:tc>
          <w:tcPr>
            <w:tcW w:w="2204" w:type="dxa"/>
            <w:vMerge/>
          </w:tcPr>
          <w:p w14:paraId="251C40C0" w14:textId="77777777" w:rsidR="00454A29" w:rsidRDefault="00454A29"/>
        </w:tc>
        <w:tc>
          <w:tcPr>
            <w:tcW w:w="1417" w:type="dxa"/>
            <w:vMerge/>
          </w:tcPr>
          <w:p w14:paraId="47ECBD0C" w14:textId="77777777" w:rsidR="00454A29" w:rsidRDefault="00454A29"/>
        </w:tc>
        <w:tc>
          <w:tcPr>
            <w:tcW w:w="2324" w:type="dxa"/>
            <w:vMerge/>
          </w:tcPr>
          <w:p w14:paraId="601D5125" w14:textId="77777777" w:rsidR="00454A29" w:rsidRDefault="00454A29"/>
        </w:tc>
        <w:tc>
          <w:tcPr>
            <w:tcW w:w="1701" w:type="dxa"/>
            <w:vAlign w:val="center"/>
          </w:tcPr>
          <w:p w14:paraId="5FBEE5D6" w14:textId="77777777" w:rsidR="00454A29" w:rsidRDefault="00454A29">
            <w:pPr>
              <w:pStyle w:val="ConsPlusNormal"/>
              <w:jc w:val="center"/>
            </w:pPr>
            <w:r>
              <w:t>47 314,46</w:t>
            </w:r>
          </w:p>
        </w:tc>
        <w:tc>
          <w:tcPr>
            <w:tcW w:w="1814" w:type="dxa"/>
            <w:vAlign w:val="center"/>
          </w:tcPr>
          <w:p w14:paraId="39842413" w14:textId="77777777" w:rsidR="00454A29" w:rsidRDefault="00454A29">
            <w:pPr>
              <w:pStyle w:val="ConsPlusNormal"/>
              <w:jc w:val="center"/>
            </w:pPr>
            <w:r>
              <w:t>31 079,55</w:t>
            </w:r>
          </w:p>
        </w:tc>
        <w:tc>
          <w:tcPr>
            <w:tcW w:w="1701" w:type="dxa"/>
            <w:vAlign w:val="center"/>
          </w:tcPr>
          <w:p w14:paraId="1D68C4DF" w14:textId="77777777" w:rsidR="00454A29" w:rsidRDefault="00454A29">
            <w:pPr>
              <w:pStyle w:val="ConsPlusNormal"/>
            </w:pPr>
          </w:p>
        </w:tc>
        <w:tc>
          <w:tcPr>
            <w:tcW w:w="1701" w:type="dxa"/>
            <w:vAlign w:val="center"/>
          </w:tcPr>
          <w:p w14:paraId="57555BED" w14:textId="77777777" w:rsidR="00454A29" w:rsidRDefault="00454A29">
            <w:pPr>
              <w:pStyle w:val="ConsPlusNormal"/>
              <w:jc w:val="center"/>
            </w:pPr>
            <w:r>
              <w:t>16 234,91</w:t>
            </w:r>
          </w:p>
        </w:tc>
        <w:tc>
          <w:tcPr>
            <w:tcW w:w="1814" w:type="dxa"/>
            <w:vAlign w:val="center"/>
          </w:tcPr>
          <w:p w14:paraId="00B486CB" w14:textId="77777777" w:rsidR="00454A29" w:rsidRDefault="00454A29">
            <w:pPr>
              <w:pStyle w:val="ConsPlusNormal"/>
            </w:pPr>
          </w:p>
        </w:tc>
      </w:tr>
      <w:tr w:rsidR="00454A29" w14:paraId="2F9896D4" w14:textId="77777777">
        <w:tc>
          <w:tcPr>
            <w:tcW w:w="567" w:type="dxa"/>
            <w:vMerge/>
          </w:tcPr>
          <w:p w14:paraId="2BDFF998" w14:textId="77777777" w:rsidR="00454A29" w:rsidRDefault="00454A29"/>
        </w:tc>
        <w:tc>
          <w:tcPr>
            <w:tcW w:w="3345" w:type="dxa"/>
            <w:vMerge/>
          </w:tcPr>
          <w:p w14:paraId="4A76FDBE" w14:textId="77777777" w:rsidR="00454A29" w:rsidRDefault="00454A29"/>
        </w:tc>
        <w:tc>
          <w:tcPr>
            <w:tcW w:w="1701" w:type="dxa"/>
            <w:vAlign w:val="center"/>
          </w:tcPr>
          <w:p w14:paraId="51F14916" w14:textId="77777777" w:rsidR="00454A29" w:rsidRDefault="00454A29">
            <w:pPr>
              <w:pStyle w:val="ConsPlusNormal"/>
              <w:jc w:val="center"/>
            </w:pPr>
            <w:r>
              <w:t>2024</w:t>
            </w:r>
          </w:p>
        </w:tc>
        <w:tc>
          <w:tcPr>
            <w:tcW w:w="1417" w:type="dxa"/>
            <w:vMerge/>
          </w:tcPr>
          <w:p w14:paraId="308DB818" w14:textId="77777777" w:rsidR="00454A29" w:rsidRDefault="00454A29"/>
        </w:tc>
        <w:tc>
          <w:tcPr>
            <w:tcW w:w="2204" w:type="dxa"/>
            <w:vMerge/>
          </w:tcPr>
          <w:p w14:paraId="47DC4829" w14:textId="77777777" w:rsidR="00454A29" w:rsidRDefault="00454A29"/>
        </w:tc>
        <w:tc>
          <w:tcPr>
            <w:tcW w:w="1417" w:type="dxa"/>
            <w:vMerge/>
          </w:tcPr>
          <w:p w14:paraId="68C925C2" w14:textId="77777777" w:rsidR="00454A29" w:rsidRDefault="00454A29"/>
        </w:tc>
        <w:tc>
          <w:tcPr>
            <w:tcW w:w="2324" w:type="dxa"/>
            <w:vMerge/>
          </w:tcPr>
          <w:p w14:paraId="07BA6DA7" w14:textId="77777777" w:rsidR="00454A29" w:rsidRDefault="00454A29"/>
        </w:tc>
        <w:tc>
          <w:tcPr>
            <w:tcW w:w="1701" w:type="dxa"/>
            <w:vAlign w:val="center"/>
          </w:tcPr>
          <w:p w14:paraId="160D61E8" w14:textId="77777777" w:rsidR="00454A29" w:rsidRDefault="00454A29">
            <w:pPr>
              <w:pStyle w:val="ConsPlusNormal"/>
              <w:jc w:val="center"/>
            </w:pPr>
            <w:r>
              <w:t>47 785,27</w:t>
            </w:r>
          </w:p>
        </w:tc>
        <w:tc>
          <w:tcPr>
            <w:tcW w:w="1814" w:type="dxa"/>
            <w:vAlign w:val="center"/>
          </w:tcPr>
          <w:p w14:paraId="1A71CAA3" w14:textId="77777777" w:rsidR="00454A29" w:rsidRDefault="00454A29">
            <w:pPr>
              <w:pStyle w:val="ConsPlusNormal"/>
              <w:jc w:val="center"/>
            </w:pPr>
            <w:r>
              <w:t>31 079,55</w:t>
            </w:r>
          </w:p>
        </w:tc>
        <w:tc>
          <w:tcPr>
            <w:tcW w:w="1701" w:type="dxa"/>
            <w:vAlign w:val="center"/>
          </w:tcPr>
          <w:p w14:paraId="1A77A263" w14:textId="77777777" w:rsidR="00454A29" w:rsidRDefault="00454A29">
            <w:pPr>
              <w:pStyle w:val="ConsPlusNormal"/>
            </w:pPr>
          </w:p>
        </w:tc>
        <w:tc>
          <w:tcPr>
            <w:tcW w:w="1701" w:type="dxa"/>
            <w:vAlign w:val="center"/>
          </w:tcPr>
          <w:p w14:paraId="7A9D7B44" w14:textId="77777777" w:rsidR="00454A29" w:rsidRDefault="00454A29">
            <w:pPr>
              <w:pStyle w:val="ConsPlusNormal"/>
              <w:jc w:val="center"/>
            </w:pPr>
            <w:r>
              <w:t>16 705,73</w:t>
            </w:r>
          </w:p>
        </w:tc>
        <w:tc>
          <w:tcPr>
            <w:tcW w:w="1814" w:type="dxa"/>
            <w:vAlign w:val="center"/>
          </w:tcPr>
          <w:p w14:paraId="068ECE9A" w14:textId="77777777" w:rsidR="00454A29" w:rsidRDefault="00454A29">
            <w:pPr>
              <w:pStyle w:val="ConsPlusNormal"/>
            </w:pPr>
          </w:p>
        </w:tc>
      </w:tr>
      <w:tr w:rsidR="00454A29" w14:paraId="3B9EB55A" w14:textId="77777777">
        <w:tc>
          <w:tcPr>
            <w:tcW w:w="567" w:type="dxa"/>
            <w:vMerge/>
          </w:tcPr>
          <w:p w14:paraId="0BDF154A" w14:textId="77777777" w:rsidR="00454A29" w:rsidRDefault="00454A29"/>
        </w:tc>
        <w:tc>
          <w:tcPr>
            <w:tcW w:w="3345" w:type="dxa"/>
            <w:vMerge/>
          </w:tcPr>
          <w:p w14:paraId="08407C4C" w14:textId="77777777" w:rsidR="00454A29" w:rsidRDefault="00454A29"/>
        </w:tc>
        <w:tc>
          <w:tcPr>
            <w:tcW w:w="1701" w:type="dxa"/>
            <w:vAlign w:val="center"/>
          </w:tcPr>
          <w:p w14:paraId="2CED1CDE" w14:textId="77777777" w:rsidR="00454A29" w:rsidRDefault="00454A29">
            <w:pPr>
              <w:pStyle w:val="ConsPlusNormal"/>
              <w:jc w:val="center"/>
            </w:pPr>
            <w:r>
              <w:t>2025</w:t>
            </w:r>
          </w:p>
        </w:tc>
        <w:tc>
          <w:tcPr>
            <w:tcW w:w="1417" w:type="dxa"/>
            <w:vMerge/>
          </w:tcPr>
          <w:p w14:paraId="1F793F66" w14:textId="77777777" w:rsidR="00454A29" w:rsidRDefault="00454A29"/>
        </w:tc>
        <w:tc>
          <w:tcPr>
            <w:tcW w:w="2204" w:type="dxa"/>
            <w:vMerge/>
          </w:tcPr>
          <w:p w14:paraId="0982023A" w14:textId="77777777" w:rsidR="00454A29" w:rsidRDefault="00454A29"/>
        </w:tc>
        <w:tc>
          <w:tcPr>
            <w:tcW w:w="1417" w:type="dxa"/>
            <w:vMerge/>
          </w:tcPr>
          <w:p w14:paraId="5B9C1A33" w14:textId="77777777" w:rsidR="00454A29" w:rsidRDefault="00454A29"/>
        </w:tc>
        <w:tc>
          <w:tcPr>
            <w:tcW w:w="2324" w:type="dxa"/>
            <w:vMerge/>
          </w:tcPr>
          <w:p w14:paraId="0EA5FA09" w14:textId="77777777" w:rsidR="00454A29" w:rsidRDefault="00454A29"/>
        </w:tc>
        <w:tc>
          <w:tcPr>
            <w:tcW w:w="1701" w:type="dxa"/>
            <w:vAlign w:val="center"/>
          </w:tcPr>
          <w:p w14:paraId="1075E724" w14:textId="77777777" w:rsidR="00454A29" w:rsidRDefault="00454A29">
            <w:pPr>
              <w:pStyle w:val="ConsPlusNormal"/>
              <w:jc w:val="center"/>
            </w:pPr>
            <w:r>
              <w:t>31 079,55</w:t>
            </w:r>
          </w:p>
        </w:tc>
        <w:tc>
          <w:tcPr>
            <w:tcW w:w="1814" w:type="dxa"/>
            <w:vAlign w:val="center"/>
          </w:tcPr>
          <w:p w14:paraId="16310894" w14:textId="77777777" w:rsidR="00454A29" w:rsidRDefault="00454A29">
            <w:pPr>
              <w:pStyle w:val="ConsPlusNormal"/>
              <w:jc w:val="center"/>
            </w:pPr>
            <w:r>
              <w:t>31 079,55</w:t>
            </w:r>
          </w:p>
        </w:tc>
        <w:tc>
          <w:tcPr>
            <w:tcW w:w="1701" w:type="dxa"/>
            <w:vAlign w:val="center"/>
          </w:tcPr>
          <w:p w14:paraId="7222C797" w14:textId="77777777" w:rsidR="00454A29" w:rsidRDefault="00454A29">
            <w:pPr>
              <w:pStyle w:val="ConsPlusNormal"/>
            </w:pPr>
          </w:p>
        </w:tc>
        <w:tc>
          <w:tcPr>
            <w:tcW w:w="1701" w:type="dxa"/>
            <w:vAlign w:val="center"/>
          </w:tcPr>
          <w:p w14:paraId="3B4FE40B" w14:textId="77777777" w:rsidR="00454A29" w:rsidRDefault="00454A29">
            <w:pPr>
              <w:pStyle w:val="ConsPlusNormal"/>
            </w:pPr>
          </w:p>
        </w:tc>
        <w:tc>
          <w:tcPr>
            <w:tcW w:w="1814" w:type="dxa"/>
            <w:vAlign w:val="center"/>
          </w:tcPr>
          <w:p w14:paraId="02EC3AF7" w14:textId="77777777" w:rsidR="00454A29" w:rsidRDefault="00454A29">
            <w:pPr>
              <w:pStyle w:val="ConsPlusNormal"/>
            </w:pPr>
          </w:p>
        </w:tc>
      </w:tr>
      <w:tr w:rsidR="00454A29" w14:paraId="50C2FBA4" w14:textId="77777777">
        <w:tblPrEx>
          <w:tblBorders>
            <w:insideH w:val="nil"/>
          </w:tblBorders>
        </w:tblPrEx>
        <w:tc>
          <w:tcPr>
            <w:tcW w:w="21706" w:type="dxa"/>
            <w:gridSpan w:val="12"/>
            <w:tcBorders>
              <w:bottom w:val="nil"/>
            </w:tcBorders>
          </w:tcPr>
          <w:p w14:paraId="52A00A33" w14:textId="77777777" w:rsidR="00454A29" w:rsidRDefault="00454A29">
            <w:pPr>
              <w:pStyle w:val="ConsPlusNormal"/>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1522"/>
            </w:tblGrid>
            <w:tr w:rsidR="00454A29" w14:paraId="4AFCF19E" w14:textId="77777777">
              <w:trPr>
                <w:jc w:val="center"/>
              </w:trPr>
              <w:tc>
                <w:tcPr>
                  <w:tcW w:w="9294" w:type="dxa"/>
                  <w:tcBorders>
                    <w:top w:val="nil"/>
                    <w:left w:val="single" w:sz="24" w:space="0" w:color="CED3F1"/>
                    <w:bottom w:val="nil"/>
                    <w:right w:val="single" w:sz="24" w:space="0" w:color="F4F3F8"/>
                  </w:tcBorders>
                  <w:shd w:val="clear" w:color="auto" w:fill="F4F3F8"/>
                </w:tcPr>
                <w:p w14:paraId="60B42276" w14:textId="77777777" w:rsidR="00454A29" w:rsidRDefault="00454A29">
                  <w:pPr>
                    <w:pStyle w:val="ConsPlusNormal"/>
                    <w:jc w:val="both"/>
                  </w:pPr>
                  <w:r>
                    <w:rPr>
                      <w:color w:val="392C69"/>
                    </w:rPr>
                    <w:t>КонсультантПлюс: примечание.</w:t>
                  </w:r>
                </w:p>
                <w:p w14:paraId="799B0432" w14:textId="77777777" w:rsidR="00454A29" w:rsidRDefault="00454A29">
                  <w:pPr>
                    <w:pStyle w:val="ConsPlusNormal"/>
                    <w:jc w:val="both"/>
                  </w:pPr>
                  <w:r>
                    <w:rPr>
                      <w:color w:val="392C69"/>
                    </w:rPr>
                    <w:t>Нумерация пунктов дана в соответствии с официальным текстом документа.</w:t>
                  </w:r>
                </w:p>
              </w:tc>
            </w:tr>
          </w:tbl>
          <w:p w14:paraId="64CE1330" w14:textId="77777777" w:rsidR="00454A29" w:rsidRDefault="00454A29"/>
        </w:tc>
      </w:tr>
      <w:tr w:rsidR="00454A29" w14:paraId="15FD79F0" w14:textId="77777777">
        <w:tblPrEx>
          <w:tblBorders>
            <w:insideH w:val="nil"/>
          </w:tblBorders>
        </w:tblPrEx>
        <w:tc>
          <w:tcPr>
            <w:tcW w:w="567" w:type="dxa"/>
            <w:vMerge w:val="restart"/>
            <w:tcBorders>
              <w:top w:val="nil"/>
            </w:tcBorders>
            <w:vAlign w:val="center"/>
          </w:tcPr>
          <w:p w14:paraId="633CAF4C" w14:textId="77777777" w:rsidR="00454A29" w:rsidRDefault="00454A29">
            <w:pPr>
              <w:pStyle w:val="ConsPlusNormal"/>
              <w:jc w:val="center"/>
            </w:pPr>
            <w:r>
              <w:t>56</w:t>
            </w:r>
          </w:p>
        </w:tc>
        <w:tc>
          <w:tcPr>
            <w:tcW w:w="3345" w:type="dxa"/>
            <w:vMerge w:val="restart"/>
            <w:tcBorders>
              <w:top w:val="nil"/>
            </w:tcBorders>
            <w:vAlign w:val="center"/>
          </w:tcPr>
          <w:p w14:paraId="2A1DE5F4" w14:textId="77777777" w:rsidR="00454A29" w:rsidRDefault="00454A29">
            <w:pPr>
              <w:pStyle w:val="ConsPlusNormal"/>
              <w:jc w:val="center"/>
            </w:pPr>
            <w:r>
              <w:t>Детский сад на 75 мест в с. Болугур Амгинского улуса</w:t>
            </w:r>
          </w:p>
        </w:tc>
        <w:tc>
          <w:tcPr>
            <w:tcW w:w="1701" w:type="dxa"/>
            <w:tcBorders>
              <w:top w:val="nil"/>
            </w:tcBorders>
            <w:vAlign w:val="center"/>
          </w:tcPr>
          <w:p w14:paraId="580B9855" w14:textId="77777777" w:rsidR="00454A29" w:rsidRDefault="00454A29">
            <w:pPr>
              <w:pStyle w:val="ConsPlusNormal"/>
              <w:jc w:val="center"/>
            </w:pPr>
            <w:r>
              <w:t>2016 - 2025 годы - всего</w:t>
            </w:r>
          </w:p>
        </w:tc>
        <w:tc>
          <w:tcPr>
            <w:tcW w:w="1417" w:type="dxa"/>
            <w:vMerge w:val="restart"/>
            <w:tcBorders>
              <w:top w:val="nil"/>
            </w:tcBorders>
            <w:vAlign w:val="center"/>
          </w:tcPr>
          <w:p w14:paraId="4FDFD4C9" w14:textId="77777777" w:rsidR="00454A29" w:rsidRDefault="00454A29">
            <w:pPr>
              <w:pStyle w:val="ConsPlusNormal"/>
              <w:jc w:val="center"/>
            </w:pPr>
            <w:r>
              <w:t>104 405,49</w:t>
            </w:r>
          </w:p>
        </w:tc>
        <w:tc>
          <w:tcPr>
            <w:tcW w:w="2204" w:type="dxa"/>
            <w:vMerge w:val="restart"/>
            <w:tcBorders>
              <w:top w:val="nil"/>
            </w:tcBorders>
            <w:vAlign w:val="center"/>
          </w:tcPr>
          <w:p w14:paraId="58F3100A" w14:textId="77777777" w:rsidR="00454A29" w:rsidRDefault="00454A29">
            <w:pPr>
              <w:pStyle w:val="ConsPlusNormal"/>
              <w:jc w:val="center"/>
            </w:pPr>
            <w:r>
              <w:t>имеется</w:t>
            </w:r>
          </w:p>
        </w:tc>
        <w:tc>
          <w:tcPr>
            <w:tcW w:w="1417" w:type="dxa"/>
            <w:vMerge w:val="restart"/>
            <w:tcBorders>
              <w:top w:val="nil"/>
            </w:tcBorders>
            <w:vAlign w:val="center"/>
          </w:tcPr>
          <w:p w14:paraId="7FBB347C" w14:textId="77777777" w:rsidR="00454A29" w:rsidRDefault="00454A29">
            <w:pPr>
              <w:pStyle w:val="ConsPlusNormal"/>
              <w:jc w:val="center"/>
            </w:pPr>
            <w:r>
              <w:t>75</w:t>
            </w:r>
          </w:p>
        </w:tc>
        <w:tc>
          <w:tcPr>
            <w:tcW w:w="2324" w:type="dxa"/>
            <w:vMerge w:val="restart"/>
            <w:tcBorders>
              <w:top w:val="nil"/>
            </w:tcBorders>
            <w:vAlign w:val="center"/>
          </w:tcPr>
          <w:p w14:paraId="4BD9659E" w14:textId="77777777" w:rsidR="00454A29" w:rsidRDefault="00454A29">
            <w:pPr>
              <w:pStyle w:val="ConsPlusNormal"/>
              <w:jc w:val="center"/>
            </w:pPr>
            <w:r>
              <w:t>Минэкономики РС(Я)</w:t>
            </w:r>
          </w:p>
        </w:tc>
        <w:tc>
          <w:tcPr>
            <w:tcW w:w="1701" w:type="dxa"/>
            <w:tcBorders>
              <w:top w:val="nil"/>
            </w:tcBorders>
            <w:vAlign w:val="center"/>
          </w:tcPr>
          <w:p w14:paraId="6E1C3FE1" w14:textId="77777777" w:rsidR="00454A29" w:rsidRDefault="00454A29">
            <w:pPr>
              <w:pStyle w:val="ConsPlusNormal"/>
              <w:jc w:val="center"/>
            </w:pPr>
            <w:r>
              <w:t>430 556,79</w:t>
            </w:r>
          </w:p>
        </w:tc>
        <w:tc>
          <w:tcPr>
            <w:tcW w:w="1814" w:type="dxa"/>
            <w:tcBorders>
              <w:top w:val="nil"/>
            </w:tcBorders>
            <w:vAlign w:val="center"/>
          </w:tcPr>
          <w:p w14:paraId="4CCB80A4" w14:textId="77777777" w:rsidR="00454A29" w:rsidRDefault="00454A29">
            <w:pPr>
              <w:pStyle w:val="ConsPlusNormal"/>
              <w:jc w:val="center"/>
            </w:pPr>
            <w:r>
              <w:t>213 927,85</w:t>
            </w:r>
          </w:p>
        </w:tc>
        <w:tc>
          <w:tcPr>
            <w:tcW w:w="1701" w:type="dxa"/>
            <w:tcBorders>
              <w:top w:val="nil"/>
            </w:tcBorders>
            <w:vAlign w:val="center"/>
          </w:tcPr>
          <w:p w14:paraId="3612EE9E" w14:textId="77777777" w:rsidR="00454A29" w:rsidRDefault="00454A29">
            <w:pPr>
              <w:pStyle w:val="ConsPlusNormal"/>
              <w:jc w:val="center"/>
            </w:pPr>
            <w:r>
              <w:t>-</w:t>
            </w:r>
          </w:p>
        </w:tc>
        <w:tc>
          <w:tcPr>
            <w:tcW w:w="1701" w:type="dxa"/>
            <w:tcBorders>
              <w:top w:val="nil"/>
            </w:tcBorders>
            <w:vAlign w:val="center"/>
          </w:tcPr>
          <w:p w14:paraId="0F58F17A" w14:textId="77777777" w:rsidR="00454A29" w:rsidRDefault="00454A29">
            <w:pPr>
              <w:pStyle w:val="ConsPlusNormal"/>
              <w:jc w:val="center"/>
            </w:pPr>
            <w:r>
              <w:t>112 223,45</w:t>
            </w:r>
          </w:p>
        </w:tc>
        <w:tc>
          <w:tcPr>
            <w:tcW w:w="1814" w:type="dxa"/>
            <w:tcBorders>
              <w:top w:val="nil"/>
            </w:tcBorders>
            <w:vAlign w:val="center"/>
          </w:tcPr>
          <w:p w14:paraId="62349322" w14:textId="77777777" w:rsidR="00454A29" w:rsidRDefault="00454A29">
            <w:pPr>
              <w:pStyle w:val="ConsPlusNormal"/>
              <w:jc w:val="center"/>
            </w:pPr>
            <w:r>
              <w:t>104 405,49</w:t>
            </w:r>
          </w:p>
        </w:tc>
      </w:tr>
      <w:tr w:rsidR="00454A29" w14:paraId="1156AE2E" w14:textId="77777777">
        <w:tc>
          <w:tcPr>
            <w:tcW w:w="567" w:type="dxa"/>
            <w:vMerge/>
            <w:tcBorders>
              <w:top w:val="nil"/>
            </w:tcBorders>
          </w:tcPr>
          <w:p w14:paraId="383BA5F5" w14:textId="77777777" w:rsidR="00454A29" w:rsidRDefault="00454A29"/>
        </w:tc>
        <w:tc>
          <w:tcPr>
            <w:tcW w:w="3345" w:type="dxa"/>
            <w:vMerge/>
            <w:tcBorders>
              <w:top w:val="nil"/>
            </w:tcBorders>
          </w:tcPr>
          <w:p w14:paraId="635A8390" w14:textId="77777777" w:rsidR="00454A29" w:rsidRDefault="00454A29"/>
        </w:tc>
        <w:tc>
          <w:tcPr>
            <w:tcW w:w="1701" w:type="dxa"/>
            <w:vAlign w:val="center"/>
          </w:tcPr>
          <w:p w14:paraId="22762A2B" w14:textId="77777777" w:rsidR="00454A29" w:rsidRDefault="00454A29">
            <w:pPr>
              <w:pStyle w:val="ConsPlusNormal"/>
              <w:jc w:val="center"/>
            </w:pPr>
            <w:r>
              <w:t>2016</w:t>
            </w:r>
          </w:p>
        </w:tc>
        <w:tc>
          <w:tcPr>
            <w:tcW w:w="1417" w:type="dxa"/>
            <w:vMerge/>
            <w:tcBorders>
              <w:top w:val="nil"/>
            </w:tcBorders>
          </w:tcPr>
          <w:p w14:paraId="2A3C7AF4" w14:textId="77777777" w:rsidR="00454A29" w:rsidRDefault="00454A29"/>
        </w:tc>
        <w:tc>
          <w:tcPr>
            <w:tcW w:w="2204" w:type="dxa"/>
            <w:vMerge/>
            <w:tcBorders>
              <w:top w:val="nil"/>
            </w:tcBorders>
          </w:tcPr>
          <w:p w14:paraId="6D45B97B" w14:textId="77777777" w:rsidR="00454A29" w:rsidRDefault="00454A29"/>
        </w:tc>
        <w:tc>
          <w:tcPr>
            <w:tcW w:w="1417" w:type="dxa"/>
            <w:vMerge/>
            <w:tcBorders>
              <w:top w:val="nil"/>
            </w:tcBorders>
          </w:tcPr>
          <w:p w14:paraId="26E99188" w14:textId="77777777" w:rsidR="00454A29" w:rsidRDefault="00454A29"/>
        </w:tc>
        <w:tc>
          <w:tcPr>
            <w:tcW w:w="2324" w:type="dxa"/>
            <w:vMerge/>
            <w:tcBorders>
              <w:top w:val="nil"/>
            </w:tcBorders>
          </w:tcPr>
          <w:p w14:paraId="6980CCF8" w14:textId="77777777" w:rsidR="00454A29" w:rsidRDefault="00454A29"/>
        </w:tc>
        <w:tc>
          <w:tcPr>
            <w:tcW w:w="1701" w:type="dxa"/>
            <w:vAlign w:val="center"/>
          </w:tcPr>
          <w:p w14:paraId="0D4439A3" w14:textId="77777777" w:rsidR="00454A29" w:rsidRDefault="00454A29">
            <w:pPr>
              <w:pStyle w:val="ConsPlusNormal"/>
              <w:jc w:val="center"/>
            </w:pPr>
            <w:r>
              <w:t>74 856,68</w:t>
            </w:r>
          </w:p>
        </w:tc>
        <w:tc>
          <w:tcPr>
            <w:tcW w:w="1814" w:type="dxa"/>
            <w:vAlign w:val="center"/>
          </w:tcPr>
          <w:p w14:paraId="0D63D924" w14:textId="77777777" w:rsidR="00454A29" w:rsidRDefault="00454A29">
            <w:pPr>
              <w:pStyle w:val="ConsPlusNormal"/>
              <w:jc w:val="center"/>
            </w:pPr>
            <w:r>
              <w:t>3 455,60</w:t>
            </w:r>
          </w:p>
        </w:tc>
        <w:tc>
          <w:tcPr>
            <w:tcW w:w="1701" w:type="dxa"/>
            <w:vAlign w:val="center"/>
          </w:tcPr>
          <w:p w14:paraId="4A8DF306" w14:textId="77777777" w:rsidR="00454A29" w:rsidRDefault="00454A29">
            <w:pPr>
              <w:pStyle w:val="ConsPlusNormal"/>
            </w:pPr>
          </w:p>
        </w:tc>
        <w:tc>
          <w:tcPr>
            <w:tcW w:w="1701" w:type="dxa"/>
            <w:vAlign w:val="center"/>
          </w:tcPr>
          <w:p w14:paraId="42B108D1" w14:textId="77777777" w:rsidR="00454A29" w:rsidRDefault="00454A29">
            <w:pPr>
              <w:pStyle w:val="ConsPlusNormal"/>
              <w:jc w:val="center"/>
            </w:pPr>
            <w:r>
              <w:t>-</w:t>
            </w:r>
          </w:p>
        </w:tc>
        <w:tc>
          <w:tcPr>
            <w:tcW w:w="1814" w:type="dxa"/>
            <w:vAlign w:val="center"/>
          </w:tcPr>
          <w:p w14:paraId="1CAC1963" w14:textId="77777777" w:rsidR="00454A29" w:rsidRDefault="00454A29">
            <w:pPr>
              <w:pStyle w:val="ConsPlusNormal"/>
              <w:jc w:val="center"/>
            </w:pPr>
            <w:r>
              <w:t>71 401,08</w:t>
            </w:r>
          </w:p>
        </w:tc>
      </w:tr>
      <w:tr w:rsidR="00454A29" w14:paraId="3A997675" w14:textId="77777777">
        <w:tc>
          <w:tcPr>
            <w:tcW w:w="567" w:type="dxa"/>
            <w:vMerge/>
            <w:tcBorders>
              <w:top w:val="nil"/>
            </w:tcBorders>
          </w:tcPr>
          <w:p w14:paraId="4564CB90" w14:textId="77777777" w:rsidR="00454A29" w:rsidRDefault="00454A29"/>
        </w:tc>
        <w:tc>
          <w:tcPr>
            <w:tcW w:w="3345" w:type="dxa"/>
            <w:vMerge/>
            <w:tcBorders>
              <w:top w:val="nil"/>
            </w:tcBorders>
          </w:tcPr>
          <w:p w14:paraId="46E23DA3" w14:textId="77777777" w:rsidR="00454A29" w:rsidRDefault="00454A29"/>
        </w:tc>
        <w:tc>
          <w:tcPr>
            <w:tcW w:w="1701" w:type="dxa"/>
            <w:vAlign w:val="center"/>
          </w:tcPr>
          <w:p w14:paraId="70636663" w14:textId="77777777" w:rsidR="00454A29" w:rsidRDefault="00454A29">
            <w:pPr>
              <w:pStyle w:val="ConsPlusNormal"/>
              <w:jc w:val="center"/>
            </w:pPr>
            <w:r>
              <w:t>2017</w:t>
            </w:r>
          </w:p>
        </w:tc>
        <w:tc>
          <w:tcPr>
            <w:tcW w:w="1417" w:type="dxa"/>
            <w:vMerge/>
            <w:tcBorders>
              <w:top w:val="nil"/>
            </w:tcBorders>
          </w:tcPr>
          <w:p w14:paraId="305BCB71" w14:textId="77777777" w:rsidR="00454A29" w:rsidRDefault="00454A29"/>
        </w:tc>
        <w:tc>
          <w:tcPr>
            <w:tcW w:w="2204" w:type="dxa"/>
            <w:vMerge/>
            <w:tcBorders>
              <w:top w:val="nil"/>
            </w:tcBorders>
          </w:tcPr>
          <w:p w14:paraId="4C98820C" w14:textId="77777777" w:rsidR="00454A29" w:rsidRDefault="00454A29"/>
        </w:tc>
        <w:tc>
          <w:tcPr>
            <w:tcW w:w="1417" w:type="dxa"/>
            <w:vMerge/>
            <w:tcBorders>
              <w:top w:val="nil"/>
            </w:tcBorders>
          </w:tcPr>
          <w:p w14:paraId="11C1D197" w14:textId="77777777" w:rsidR="00454A29" w:rsidRDefault="00454A29"/>
        </w:tc>
        <w:tc>
          <w:tcPr>
            <w:tcW w:w="2324" w:type="dxa"/>
            <w:vMerge/>
            <w:tcBorders>
              <w:top w:val="nil"/>
            </w:tcBorders>
          </w:tcPr>
          <w:p w14:paraId="53924F6B" w14:textId="77777777" w:rsidR="00454A29" w:rsidRDefault="00454A29"/>
        </w:tc>
        <w:tc>
          <w:tcPr>
            <w:tcW w:w="1701" w:type="dxa"/>
            <w:vAlign w:val="center"/>
          </w:tcPr>
          <w:p w14:paraId="2EFD933D" w14:textId="77777777" w:rsidR="00454A29" w:rsidRDefault="00454A29">
            <w:pPr>
              <w:pStyle w:val="ConsPlusNormal"/>
              <w:jc w:val="center"/>
            </w:pPr>
            <w:r>
              <w:t>53 515,64</w:t>
            </w:r>
          </w:p>
        </w:tc>
        <w:tc>
          <w:tcPr>
            <w:tcW w:w="1814" w:type="dxa"/>
            <w:vAlign w:val="center"/>
          </w:tcPr>
          <w:p w14:paraId="51065D0E" w14:textId="77777777" w:rsidR="00454A29" w:rsidRDefault="00454A29">
            <w:pPr>
              <w:pStyle w:val="ConsPlusNormal"/>
              <w:jc w:val="center"/>
            </w:pPr>
            <w:r>
              <w:t>17 557,86</w:t>
            </w:r>
          </w:p>
        </w:tc>
        <w:tc>
          <w:tcPr>
            <w:tcW w:w="1701" w:type="dxa"/>
            <w:vAlign w:val="center"/>
          </w:tcPr>
          <w:p w14:paraId="7C2CD061" w14:textId="77777777" w:rsidR="00454A29" w:rsidRDefault="00454A29">
            <w:pPr>
              <w:pStyle w:val="ConsPlusNormal"/>
            </w:pPr>
          </w:p>
        </w:tc>
        <w:tc>
          <w:tcPr>
            <w:tcW w:w="1701" w:type="dxa"/>
            <w:vAlign w:val="center"/>
          </w:tcPr>
          <w:p w14:paraId="5E430176" w14:textId="77777777" w:rsidR="00454A29" w:rsidRDefault="00454A29">
            <w:pPr>
              <w:pStyle w:val="ConsPlusNormal"/>
              <w:jc w:val="center"/>
            </w:pPr>
            <w:r>
              <w:t>2 953,37</w:t>
            </w:r>
          </w:p>
        </w:tc>
        <w:tc>
          <w:tcPr>
            <w:tcW w:w="1814" w:type="dxa"/>
            <w:vAlign w:val="center"/>
          </w:tcPr>
          <w:p w14:paraId="4B9BFF2E" w14:textId="77777777" w:rsidR="00454A29" w:rsidRDefault="00454A29">
            <w:pPr>
              <w:pStyle w:val="ConsPlusNormal"/>
              <w:jc w:val="center"/>
            </w:pPr>
            <w:r>
              <w:t>33 004,41</w:t>
            </w:r>
          </w:p>
        </w:tc>
      </w:tr>
      <w:tr w:rsidR="00454A29" w14:paraId="6CDDC709" w14:textId="77777777">
        <w:tc>
          <w:tcPr>
            <w:tcW w:w="567" w:type="dxa"/>
            <w:vMerge/>
            <w:tcBorders>
              <w:top w:val="nil"/>
            </w:tcBorders>
          </w:tcPr>
          <w:p w14:paraId="2C622BD0" w14:textId="77777777" w:rsidR="00454A29" w:rsidRDefault="00454A29"/>
        </w:tc>
        <w:tc>
          <w:tcPr>
            <w:tcW w:w="3345" w:type="dxa"/>
            <w:vMerge/>
            <w:tcBorders>
              <w:top w:val="nil"/>
            </w:tcBorders>
          </w:tcPr>
          <w:p w14:paraId="4D37A513" w14:textId="77777777" w:rsidR="00454A29" w:rsidRDefault="00454A29"/>
        </w:tc>
        <w:tc>
          <w:tcPr>
            <w:tcW w:w="1701" w:type="dxa"/>
            <w:vAlign w:val="center"/>
          </w:tcPr>
          <w:p w14:paraId="6AC4B3EC" w14:textId="77777777" w:rsidR="00454A29" w:rsidRDefault="00454A29">
            <w:pPr>
              <w:pStyle w:val="ConsPlusNormal"/>
              <w:jc w:val="center"/>
            </w:pPr>
            <w:r>
              <w:t>2018</w:t>
            </w:r>
          </w:p>
        </w:tc>
        <w:tc>
          <w:tcPr>
            <w:tcW w:w="1417" w:type="dxa"/>
            <w:vMerge/>
            <w:tcBorders>
              <w:top w:val="nil"/>
            </w:tcBorders>
          </w:tcPr>
          <w:p w14:paraId="173765C4" w14:textId="77777777" w:rsidR="00454A29" w:rsidRDefault="00454A29"/>
        </w:tc>
        <w:tc>
          <w:tcPr>
            <w:tcW w:w="2204" w:type="dxa"/>
            <w:vMerge/>
            <w:tcBorders>
              <w:top w:val="nil"/>
            </w:tcBorders>
          </w:tcPr>
          <w:p w14:paraId="4347BB70" w14:textId="77777777" w:rsidR="00454A29" w:rsidRDefault="00454A29"/>
        </w:tc>
        <w:tc>
          <w:tcPr>
            <w:tcW w:w="1417" w:type="dxa"/>
            <w:vMerge/>
            <w:tcBorders>
              <w:top w:val="nil"/>
            </w:tcBorders>
          </w:tcPr>
          <w:p w14:paraId="31EE8A1C" w14:textId="77777777" w:rsidR="00454A29" w:rsidRDefault="00454A29"/>
        </w:tc>
        <w:tc>
          <w:tcPr>
            <w:tcW w:w="2324" w:type="dxa"/>
            <w:vMerge/>
            <w:tcBorders>
              <w:top w:val="nil"/>
            </w:tcBorders>
          </w:tcPr>
          <w:p w14:paraId="27352685" w14:textId="77777777" w:rsidR="00454A29" w:rsidRDefault="00454A29"/>
        </w:tc>
        <w:tc>
          <w:tcPr>
            <w:tcW w:w="1701" w:type="dxa"/>
            <w:vAlign w:val="center"/>
          </w:tcPr>
          <w:p w14:paraId="3D1387B2" w14:textId="77777777" w:rsidR="00454A29" w:rsidRDefault="00454A29">
            <w:pPr>
              <w:pStyle w:val="ConsPlusNormal"/>
              <w:jc w:val="center"/>
            </w:pPr>
            <w:r>
              <w:t>30 261,08</w:t>
            </w:r>
          </w:p>
        </w:tc>
        <w:tc>
          <w:tcPr>
            <w:tcW w:w="1814" w:type="dxa"/>
            <w:vAlign w:val="center"/>
          </w:tcPr>
          <w:p w14:paraId="3149872A" w14:textId="77777777" w:rsidR="00454A29" w:rsidRDefault="00454A29">
            <w:pPr>
              <w:pStyle w:val="ConsPlusNormal"/>
              <w:jc w:val="center"/>
            </w:pPr>
            <w:r>
              <w:t>18 447,60</w:t>
            </w:r>
          </w:p>
        </w:tc>
        <w:tc>
          <w:tcPr>
            <w:tcW w:w="1701" w:type="dxa"/>
            <w:vAlign w:val="center"/>
          </w:tcPr>
          <w:p w14:paraId="6CD32561" w14:textId="77777777" w:rsidR="00454A29" w:rsidRDefault="00454A29">
            <w:pPr>
              <w:pStyle w:val="ConsPlusNormal"/>
            </w:pPr>
          </w:p>
        </w:tc>
        <w:tc>
          <w:tcPr>
            <w:tcW w:w="1701" w:type="dxa"/>
            <w:vAlign w:val="center"/>
          </w:tcPr>
          <w:p w14:paraId="7B4DF33F" w14:textId="77777777" w:rsidR="00454A29" w:rsidRDefault="00454A29">
            <w:pPr>
              <w:pStyle w:val="ConsPlusNormal"/>
              <w:jc w:val="center"/>
            </w:pPr>
            <w:r>
              <w:t>11 813,48</w:t>
            </w:r>
          </w:p>
        </w:tc>
        <w:tc>
          <w:tcPr>
            <w:tcW w:w="1814" w:type="dxa"/>
            <w:vAlign w:val="center"/>
          </w:tcPr>
          <w:p w14:paraId="78799F36" w14:textId="77777777" w:rsidR="00454A29" w:rsidRDefault="00454A29">
            <w:pPr>
              <w:pStyle w:val="ConsPlusNormal"/>
            </w:pPr>
          </w:p>
        </w:tc>
      </w:tr>
      <w:tr w:rsidR="00454A29" w14:paraId="15C1C62E" w14:textId="77777777">
        <w:tc>
          <w:tcPr>
            <w:tcW w:w="567" w:type="dxa"/>
            <w:vMerge/>
            <w:tcBorders>
              <w:top w:val="nil"/>
            </w:tcBorders>
          </w:tcPr>
          <w:p w14:paraId="13299E2E" w14:textId="77777777" w:rsidR="00454A29" w:rsidRDefault="00454A29"/>
        </w:tc>
        <w:tc>
          <w:tcPr>
            <w:tcW w:w="3345" w:type="dxa"/>
            <w:vMerge/>
            <w:tcBorders>
              <w:top w:val="nil"/>
            </w:tcBorders>
          </w:tcPr>
          <w:p w14:paraId="3EA61291" w14:textId="77777777" w:rsidR="00454A29" w:rsidRDefault="00454A29"/>
        </w:tc>
        <w:tc>
          <w:tcPr>
            <w:tcW w:w="1701" w:type="dxa"/>
            <w:vAlign w:val="center"/>
          </w:tcPr>
          <w:p w14:paraId="042325F0" w14:textId="77777777" w:rsidR="00454A29" w:rsidRDefault="00454A29">
            <w:pPr>
              <w:pStyle w:val="ConsPlusNormal"/>
              <w:jc w:val="center"/>
            </w:pPr>
            <w:r>
              <w:t>2019</w:t>
            </w:r>
          </w:p>
        </w:tc>
        <w:tc>
          <w:tcPr>
            <w:tcW w:w="1417" w:type="dxa"/>
            <w:vMerge/>
            <w:tcBorders>
              <w:top w:val="nil"/>
            </w:tcBorders>
          </w:tcPr>
          <w:p w14:paraId="537312D2" w14:textId="77777777" w:rsidR="00454A29" w:rsidRDefault="00454A29"/>
        </w:tc>
        <w:tc>
          <w:tcPr>
            <w:tcW w:w="2204" w:type="dxa"/>
            <w:vMerge/>
            <w:tcBorders>
              <w:top w:val="nil"/>
            </w:tcBorders>
          </w:tcPr>
          <w:p w14:paraId="00A5E9B2" w14:textId="77777777" w:rsidR="00454A29" w:rsidRDefault="00454A29"/>
        </w:tc>
        <w:tc>
          <w:tcPr>
            <w:tcW w:w="1417" w:type="dxa"/>
            <w:vMerge/>
            <w:tcBorders>
              <w:top w:val="nil"/>
            </w:tcBorders>
          </w:tcPr>
          <w:p w14:paraId="7802F840" w14:textId="77777777" w:rsidR="00454A29" w:rsidRDefault="00454A29"/>
        </w:tc>
        <w:tc>
          <w:tcPr>
            <w:tcW w:w="2324" w:type="dxa"/>
            <w:vMerge/>
            <w:tcBorders>
              <w:top w:val="nil"/>
            </w:tcBorders>
          </w:tcPr>
          <w:p w14:paraId="24FA9DFF" w14:textId="77777777" w:rsidR="00454A29" w:rsidRDefault="00454A29"/>
        </w:tc>
        <w:tc>
          <w:tcPr>
            <w:tcW w:w="1701" w:type="dxa"/>
            <w:vAlign w:val="center"/>
          </w:tcPr>
          <w:p w14:paraId="3D8C107C" w14:textId="77777777" w:rsidR="00454A29" w:rsidRDefault="00454A29">
            <w:pPr>
              <w:pStyle w:val="ConsPlusNormal"/>
              <w:jc w:val="center"/>
            </w:pPr>
            <w:r>
              <w:t>29 958,27</w:t>
            </w:r>
          </w:p>
        </w:tc>
        <w:tc>
          <w:tcPr>
            <w:tcW w:w="1814" w:type="dxa"/>
            <w:vAlign w:val="center"/>
          </w:tcPr>
          <w:p w14:paraId="41613E83" w14:textId="77777777" w:rsidR="00454A29" w:rsidRDefault="00454A29">
            <w:pPr>
              <w:pStyle w:val="ConsPlusNormal"/>
              <w:jc w:val="center"/>
            </w:pPr>
            <w:r>
              <w:t>17 542,30</w:t>
            </w:r>
          </w:p>
        </w:tc>
        <w:tc>
          <w:tcPr>
            <w:tcW w:w="1701" w:type="dxa"/>
            <w:vAlign w:val="center"/>
          </w:tcPr>
          <w:p w14:paraId="4AA7FCC8" w14:textId="77777777" w:rsidR="00454A29" w:rsidRDefault="00454A29">
            <w:pPr>
              <w:pStyle w:val="ConsPlusNormal"/>
            </w:pPr>
          </w:p>
        </w:tc>
        <w:tc>
          <w:tcPr>
            <w:tcW w:w="1701" w:type="dxa"/>
            <w:vAlign w:val="center"/>
          </w:tcPr>
          <w:p w14:paraId="299972A7" w14:textId="77777777" w:rsidR="00454A29" w:rsidRDefault="00454A29">
            <w:pPr>
              <w:pStyle w:val="ConsPlusNormal"/>
              <w:jc w:val="center"/>
            </w:pPr>
            <w:r>
              <w:t>12 415,97</w:t>
            </w:r>
          </w:p>
        </w:tc>
        <w:tc>
          <w:tcPr>
            <w:tcW w:w="1814" w:type="dxa"/>
            <w:vAlign w:val="center"/>
          </w:tcPr>
          <w:p w14:paraId="7ED03D04" w14:textId="77777777" w:rsidR="00454A29" w:rsidRDefault="00454A29">
            <w:pPr>
              <w:pStyle w:val="ConsPlusNormal"/>
            </w:pPr>
          </w:p>
        </w:tc>
      </w:tr>
      <w:tr w:rsidR="00454A29" w14:paraId="412292EC" w14:textId="77777777">
        <w:tc>
          <w:tcPr>
            <w:tcW w:w="567" w:type="dxa"/>
            <w:vMerge/>
            <w:tcBorders>
              <w:top w:val="nil"/>
            </w:tcBorders>
          </w:tcPr>
          <w:p w14:paraId="45DC92C6" w14:textId="77777777" w:rsidR="00454A29" w:rsidRDefault="00454A29"/>
        </w:tc>
        <w:tc>
          <w:tcPr>
            <w:tcW w:w="3345" w:type="dxa"/>
            <w:vMerge/>
            <w:tcBorders>
              <w:top w:val="nil"/>
            </w:tcBorders>
          </w:tcPr>
          <w:p w14:paraId="39F79B62" w14:textId="77777777" w:rsidR="00454A29" w:rsidRDefault="00454A29"/>
        </w:tc>
        <w:tc>
          <w:tcPr>
            <w:tcW w:w="1701" w:type="dxa"/>
            <w:vAlign w:val="center"/>
          </w:tcPr>
          <w:p w14:paraId="6B10D631" w14:textId="77777777" w:rsidR="00454A29" w:rsidRDefault="00454A29">
            <w:pPr>
              <w:pStyle w:val="ConsPlusNormal"/>
              <w:jc w:val="center"/>
            </w:pPr>
            <w:r>
              <w:t>2020</w:t>
            </w:r>
          </w:p>
        </w:tc>
        <w:tc>
          <w:tcPr>
            <w:tcW w:w="1417" w:type="dxa"/>
            <w:vMerge/>
            <w:tcBorders>
              <w:top w:val="nil"/>
            </w:tcBorders>
          </w:tcPr>
          <w:p w14:paraId="7FF5FC99" w14:textId="77777777" w:rsidR="00454A29" w:rsidRDefault="00454A29"/>
        </w:tc>
        <w:tc>
          <w:tcPr>
            <w:tcW w:w="2204" w:type="dxa"/>
            <w:vMerge/>
            <w:tcBorders>
              <w:top w:val="nil"/>
            </w:tcBorders>
          </w:tcPr>
          <w:p w14:paraId="1AE881E1" w14:textId="77777777" w:rsidR="00454A29" w:rsidRDefault="00454A29"/>
        </w:tc>
        <w:tc>
          <w:tcPr>
            <w:tcW w:w="1417" w:type="dxa"/>
            <w:vMerge/>
            <w:tcBorders>
              <w:top w:val="nil"/>
            </w:tcBorders>
          </w:tcPr>
          <w:p w14:paraId="64CB57CC" w14:textId="77777777" w:rsidR="00454A29" w:rsidRDefault="00454A29"/>
        </w:tc>
        <w:tc>
          <w:tcPr>
            <w:tcW w:w="2324" w:type="dxa"/>
            <w:vMerge/>
            <w:tcBorders>
              <w:top w:val="nil"/>
            </w:tcBorders>
          </w:tcPr>
          <w:p w14:paraId="67F41CC0" w14:textId="77777777" w:rsidR="00454A29" w:rsidRDefault="00454A29"/>
        </w:tc>
        <w:tc>
          <w:tcPr>
            <w:tcW w:w="1701" w:type="dxa"/>
            <w:vAlign w:val="center"/>
          </w:tcPr>
          <w:p w14:paraId="1AFFE451" w14:textId="77777777" w:rsidR="00454A29" w:rsidRDefault="00454A29">
            <w:pPr>
              <w:pStyle w:val="ConsPlusNormal"/>
              <w:jc w:val="center"/>
            </w:pPr>
            <w:r>
              <w:t>58 763,45</w:t>
            </w:r>
          </w:p>
        </w:tc>
        <w:tc>
          <w:tcPr>
            <w:tcW w:w="1814" w:type="dxa"/>
            <w:vAlign w:val="center"/>
          </w:tcPr>
          <w:p w14:paraId="65E6C6D9" w14:textId="77777777" w:rsidR="00454A29" w:rsidRDefault="00454A29">
            <w:pPr>
              <w:pStyle w:val="ConsPlusNormal"/>
              <w:jc w:val="center"/>
            </w:pPr>
            <w:r>
              <w:t>45 788,76</w:t>
            </w:r>
          </w:p>
        </w:tc>
        <w:tc>
          <w:tcPr>
            <w:tcW w:w="1701" w:type="dxa"/>
            <w:vAlign w:val="center"/>
          </w:tcPr>
          <w:p w14:paraId="61676159" w14:textId="77777777" w:rsidR="00454A29" w:rsidRDefault="00454A29">
            <w:pPr>
              <w:pStyle w:val="ConsPlusNormal"/>
            </w:pPr>
          </w:p>
        </w:tc>
        <w:tc>
          <w:tcPr>
            <w:tcW w:w="1701" w:type="dxa"/>
            <w:vAlign w:val="center"/>
          </w:tcPr>
          <w:p w14:paraId="560E9076" w14:textId="77777777" w:rsidR="00454A29" w:rsidRDefault="00454A29">
            <w:pPr>
              <w:pStyle w:val="ConsPlusNormal"/>
              <w:jc w:val="center"/>
            </w:pPr>
            <w:r>
              <w:t>12 974,69</w:t>
            </w:r>
          </w:p>
        </w:tc>
        <w:tc>
          <w:tcPr>
            <w:tcW w:w="1814" w:type="dxa"/>
            <w:vAlign w:val="center"/>
          </w:tcPr>
          <w:p w14:paraId="07C8E5BF" w14:textId="77777777" w:rsidR="00454A29" w:rsidRDefault="00454A29">
            <w:pPr>
              <w:pStyle w:val="ConsPlusNormal"/>
            </w:pPr>
          </w:p>
        </w:tc>
      </w:tr>
      <w:tr w:rsidR="00454A29" w14:paraId="5AD0B46A" w14:textId="77777777">
        <w:tc>
          <w:tcPr>
            <w:tcW w:w="567" w:type="dxa"/>
            <w:vMerge/>
            <w:tcBorders>
              <w:top w:val="nil"/>
            </w:tcBorders>
          </w:tcPr>
          <w:p w14:paraId="666B4CF6" w14:textId="77777777" w:rsidR="00454A29" w:rsidRDefault="00454A29"/>
        </w:tc>
        <w:tc>
          <w:tcPr>
            <w:tcW w:w="3345" w:type="dxa"/>
            <w:vMerge/>
            <w:tcBorders>
              <w:top w:val="nil"/>
            </w:tcBorders>
          </w:tcPr>
          <w:p w14:paraId="3D74626B" w14:textId="77777777" w:rsidR="00454A29" w:rsidRDefault="00454A29"/>
        </w:tc>
        <w:tc>
          <w:tcPr>
            <w:tcW w:w="1701" w:type="dxa"/>
            <w:vAlign w:val="center"/>
          </w:tcPr>
          <w:p w14:paraId="34F06FAC" w14:textId="77777777" w:rsidR="00454A29" w:rsidRDefault="00454A29">
            <w:pPr>
              <w:pStyle w:val="ConsPlusNormal"/>
              <w:jc w:val="center"/>
            </w:pPr>
            <w:r>
              <w:t>2021</w:t>
            </w:r>
          </w:p>
        </w:tc>
        <w:tc>
          <w:tcPr>
            <w:tcW w:w="1417" w:type="dxa"/>
            <w:vMerge/>
            <w:tcBorders>
              <w:top w:val="nil"/>
            </w:tcBorders>
          </w:tcPr>
          <w:p w14:paraId="06F8FA4C" w14:textId="77777777" w:rsidR="00454A29" w:rsidRDefault="00454A29"/>
        </w:tc>
        <w:tc>
          <w:tcPr>
            <w:tcW w:w="2204" w:type="dxa"/>
            <w:vMerge/>
            <w:tcBorders>
              <w:top w:val="nil"/>
            </w:tcBorders>
          </w:tcPr>
          <w:p w14:paraId="18A6DCCD" w14:textId="77777777" w:rsidR="00454A29" w:rsidRDefault="00454A29"/>
        </w:tc>
        <w:tc>
          <w:tcPr>
            <w:tcW w:w="1417" w:type="dxa"/>
            <w:vMerge/>
            <w:tcBorders>
              <w:top w:val="nil"/>
            </w:tcBorders>
          </w:tcPr>
          <w:p w14:paraId="547157DF" w14:textId="77777777" w:rsidR="00454A29" w:rsidRDefault="00454A29"/>
        </w:tc>
        <w:tc>
          <w:tcPr>
            <w:tcW w:w="2324" w:type="dxa"/>
            <w:vMerge/>
            <w:tcBorders>
              <w:top w:val="nil"/>
            </w:tcBorders>
          </w:tcPr>
          <w:p w14:paraId="1B44F715" w14:textId="77777777" w:rsidR="00454A29" w:rsidRDefault="00454A29"/>
        </w:tc>
        <w:tc>
          <w:tcPr>
            <w:tcW w:w="1701" w:type="dxa"/>
            <w:vAlign w:val="center"/>
          </w:tcPr>
          <w:p w14:paraId="3FC797C7" w14:textId="77777777" w:rsidR="00454A29" w:rsidRDefault="00454A29">
            <w:pPr>
              <w:pStyle w:val="ConsPlusNormal"/>
              <w:jc w:val="center"/>
            </w:pPr>
            <w:r>
              <w:t>32 949,54</w:t>
            </w:r>
          </w:p>
        </w:tc>
        <w:tc>
          <w:tcPr>
            <w:tcW w:w="1814" w:type="dxa"/>
            <w:vAlign w:val="center"/>
          </w:tcPr>
          <w:p w14:paraId="67167B24" w14:textId="77777777" w:rsidR="00454A29" w:rsidRDefault="00454A29">
            <w:pPr>
              <w:pStyle w:val="ConsPlusNormal"/>
              <w:jc w:val="center"/>
            </w:pPr>
            <w:r>
              <w:t>19 455,86</w:t>
            </w:r>
          </w:p>
        </w:tc>
        <w:tc>
          <w:tcPr>
            <w:tcW w:w="1701" w:type="dxa"/>
            <w:vAlign w:val="center"/>
          </w:tcPr>
          <w:p w14:paraId="647F09B7" w14:textId="77777777" w:rsidR="00454A29" w:rsidRDefault="00454A29">
            <w:pPr>
              <w:pStyle w:val="ConsPlusNormal"/>
            </w:pPr>
          </w:p>
        </w:tc>
        <w:tc>
          <w:tcPr>
            <w:tcW w:w="1701" w:type="dxa"/>
            <w:vAlign w:val="center"/>
          </w:tcPr>
          <w:p w14:paraId="78A4920F" w14:textId="77777777" w:rsidR="00454A29" w:rsidRDefault="00454A29">
            <w:pPr>
              <w:pStyle w:val="ConsPlusNormal"/>
              <w:jc w:val="center"/>
            </w:pPr>
            <w:r>
              <w:t>13 493,68</w:t>
            </w:r>
          </w:p>
        </w:tc>
        <w:tc>
          <w:tcPr>
            <w:tcW w:w="1814" w:type="dxa"/>
            <w:vAlign w:val="center"/>
          </w:tcPr>
          <w:p w14:paraId="5C844ED2" w14:textId="77777777" w:rsidR="00454A29" w:rsidRDefault="00454A29">
            <w:pPr>
              <w:pStyle w:val="ConsPlusNormal"/>
            </w:pPr>
          </w:p>
        </w:tc>
      </w:tr>
      <w:tr w:rsidR="00454A29" w14:paraId="33EC7D78" w14:textId="77777777">
        <w:tc>
          <w:tcPr>
            <w:tcW w:w="567" w:type="dxa"/>
            <w:vMerge/>
            <w:tcBorders>
              <w:top w:val="nil"/>
            </w:tcBorders>
          </w:tcPr>
          <w:p w14:paraId="13A63674" w14:textId="77777777" w:rsidR="00454A29" w:rsidRDefault="00454A29"/>
        </w:tc>
        <w:tc>
          <w:tcPr>
            <w:tcW w:w="3345" w:type="dxa"/>
            <w:vMerge/>
            <w:tcBorders>
              <w:top w:val="nil"/>
            </w:tcBorders>
          </w:tcPr>
          <w:p w14:paraId="6A83C1DA" w14:textId="77777777" w:rsidR="00454A29" w:rsidRDefault="00454A29"/>
        </w:tc>
        <w:tc>
          <w:tcPr>
            <w:tcW w:w="1701" w:type="dxa"/>
            <w:vAlign w:val="center"/>
          </w:tcPr>
          <w:p w14:paraId="5BB0AD7F" w14:textId="77777777" w:rsidR="00454A29" w:rsidRDefault="00454A29">
            <w:pPr>
              <w:pStyle w:val="ConsPlusNormal"/>
              <w:jc w:val="center"/>
            </w:pPr>
            <w:r>
              <w:t>2022</w:t>
            </w:r>
          </w:p>
        </w:tc>
        <w:tc>
          <w:tcPr>
            <w:tcW w:w="1417" w:type="dxa"/>
            <w:vMerge/>
            <w:tcBorders>
              <w:top w:val="nil"/>
            </w:tcBorders>
          </w:tcPr>
          <w:p w14:paraId="23FCD128" w14:textId="77777777" w:rsidR="00454A29" w:rsidRDefault="00454A29"/>
        </w:tc>
        <w:tc>
          <w:tcPr>
            <w:tcW w:w="2204" w:type="dxa"/>
            <w:vMerge/>
            <w:tcBorders>
              <w:top w:val="nil"/>
            </w:tcBorders>
          </w:tcPr>
          <w:p w14:paraId="34F0B436" w14:textId="77777777" w:rsidR="00454A29" w:rsidRDefault="00454A29"/>
        </w:tc>
        <w:tc>
          <w:tcPr>
            <w:tcW w:w="1417" w:type="dxa"/>
            <w:vMerge/>
            <w:tcBorders>
              <w:top w:val="nil"/>
            </w:tcBorders>
          </w:tcPr>
          <w:p w14:paraId="113E5CCD" w14:textId="77777777" w:rsidR="00454A29" w:rsidRDefault="00454A29"/>
        </w:tc>
        <w:tc>
          <w:tcPr>
            <w:tcW w:w="2324" w:type="dxa"/>
            <w:vMerge/>
            <w:tcBorders>
              <w:top w:val="nil"/>
            </w:tcBorders>
          </w:tcPr>
          <w:p w14:paraId="207AEE81" w14:textId="77777777" w:rsidR="00454A29" w:rsidRDefault="00454A29"/>
        </w:tc>
        <w:tc>
          <w:tcPr>
            <w:tcW w:w="1701" w:type="dxa"/>
            <w:vAlign w:val="center"/>
          </w:tcPr>
          <w:p w14:paraId="271C9006" w14:textId="77777777" w:rsidR="00454A29" w:rsidRDefault="00454A29">
            <w:pPr>
              <w:pStyle w:val="ConsPlusNormal"/>
              <w:jc w:val="center"/>
            </w:pPr>
            <w:r>
              <w:t>36 885,92</w:t>
            </w:r>
          </w:p>
        </w:tc>
        <w:tc>
          <w:tcPr>
            <w:tcW w:w="1814" w:type="dxa"/>
            <w:vAlign w:val="center"/>
          </w:tcPr>
          <w:p w14:paraId="0DCE02C3" w14:textId="77777777" w:rsidR="00454A29" w:rsidRDefault="00454A29">
            <w:pPr>
              <w:pStyle w:val="ConsPlusNormal"/>
              <w:jc w:val="center"/>
            </w:pPr>
            <w:r>
              <w:t>22 919,97</w:t>
            </w:r>
          </w:p>
        </w:tc>
        <w:tc>
          <w:tcPr>
            <w:tcW w:w="1701" w:type="dxa"/>
            <w:vAlign w:val="center"/>
          </w:tcPr>
          <w:p w14:paraId="334C9861" w14:textId="77777777" w:rsidR="00454A29" w:rsidRDefault="00454A29">
            <w:pPr>
              <w:pStyle w:val="ConsPlusNormal"/>
            </w:pPr>
          </w:p>
        </w:tc>
        <w:tc>
          <w:tcPr>
            <w:tcW w:w="1701" w:type="dxa"/>
            <w:vAlign w:val="center"/>
          </w:tcPr>
          <w:p w14:paraId="1C7E9B28" w14:textId="77777777" w:rsidR="00454A29" w:rsidRDefault="00454A29">
            <w:pPr>
              <w:pStyle w:val="ConsPlusNormal"/>
              <w:jc w:val="center"/>
            </w:pPr>
            <w:r>
              <w:t>13 965,95</w:t>
            </w:r>
          </w:p>
        </w:tc>
        <w:tc>
          <w:tcPr>
            <w:tcW w:w="1814" w:type="dxa"/>
            <w:vAlign w:val="center"/>
          </w:tcPr>
          <w:p w14:paraId="4012FFCF" w14:textId="77777777" w:rsidR="00454A29" w:rsidRDefault="00454A29">
            <w:pPr>
              <w:pStyle w:val="ConsPlusNormal"/>
            </w:pPr>
          </w:p>
        </w:tc>
      </w:tr>
      <w:tr w:rsidR="00454A29" w14:paraId="350D7789" w14:textId="77777777">
        <w:tc>
          <w:tcPr>
            <w:tcW w:w="567" w:type="dxa"/>
            <w:vMerge/>
            <w:tcBorders>
              <w:top w:val="nil"/>
            </w:tcBorders>
          </w:tcPr>
          <w:p w14:paraId="12963332" w14:textId="77777777" w:rsidR="00454A29" w:rsidRDefault="00454A29"/>
        </w:tc>
        <w:tc>
          <w:tcPr>
            <w:tcW w:w="3345" w:type="dxa"/>
            <w:vMerge/>
            <w:tcBorders>
              <w:top w:val="nil"/>
            </w:tcBorders>
          </w:tcPr>
          <w:p w14:paraId="2736CD66" w14:textId="77777777" w:rsidR="00454A29" w:rsidRDefault="00454A29"/>
        </w:tc>
        <w:tc>
          <w:tcPr>
            <w:tcW w:w="1701" w:type="dxa"/>
            <w:vAlign w:val="center"/>
          </w:tcPr>
          <w:p w14:paraId="7C72796C" w14:textId="77777777" w:rsidR="00454A29" w:rsidRDefault="00454A29">
            <w:pPr>
              <w:pStyle w:val="ConsPlusNormal"/>
              <w:jc w:val="center"/>
            </w:pPr>
            <w:r>
              <w:t>2023</w:t>
            </w:r>
          </w:p>
        </w:tc>
        <w:tc>
          <w:tcPr>
            <w:tcW w:w="1417" w:type="dxa"/>
            <w:vMerge/>
            <w:tcBorders>
              <w:top w:val="nil"/>
            </w:tcBorders>
          </w:tcPr>
          <w:p w14:paraId="4EA92D5A" w14:textId="77777777" w:rsidR="00454A29" w:rsidRDefault="00454A29"/>
        </w:tc>
        <w:tc>
          <w:tcPr>
            <w:tcW w:w="2204" w:type="dxa"/>
            <w:vMerge/>
            <w:tcBorders>
              <w:top w:val="nil"/>
            </w:tcBorders>
          </w:tcPr>
          <w:p w14:paraId="4B3DBF1E" w14:textId="77777777" w:rsidR="00454A29" w:rsidRDefault="00454A29"/>
        </w:tc>
        <w:tc>
          <w:tcPr>
            <w:tcW w:w="1417" w:type="dxa"/>
            <w:vMerge/>
            <w:tcBorders>
              <w:top w:val="nil"/>
            </w:tcBorders>
          </w:tcPr>
          <w:p w14:paraId="1AD9D18B" w14:textId="77777777" w:rsidR="00454A29" w:rsidRDefault="00454A29"/>
        </w:tc>
        <w:tc>
          <w:tcPr>
            <w:tcW w:w="2324" w:type="dxa"/>
            <w:vMerge/>
            <w:tcBorders>
              <w:top w:val="nil"/>
            </w:tcBorders>
          </w:tcPr>
          <w:p w14:paraId="31488DB3" w14:textId="77777777" w:rsidR="00454A29" w:rsidRDefault="00454A29"/>
        </w:tc>
        <w:tc>
          <w:tcPr>
            <w:tcW w:w="1701" w:type="dxa"/>
            <w:vAlign w:val="center"/>
          </w:tcPr>
          <w:p w14:paraId="4770DB74" w14:textId="77777777" w:rsidR="00454A29" w:rsidRDefault="00454A29">
            <w:pPr>
              <w:pStyle w:val="ConsPlusNormal"/>
              <w:jc w:val="center"/>
            </w:pPr>
            <w:r>
              <w:t>37 346,80</w:t>
            </w:r>
          </w:p>
        </w:tc>
        <w:tc>
          <w:tcPr>
            <w:tcW w:w="1814" w:type="dxa"/>
            <w:vAlign w:val="center"/>
          </w:tcPr>
          <w:p w14:paraId="4F9FB94C" w14:textId="77777777" w:rsidR="00454A29" w:rsidRDefault="00454A29">
            <w:pPr>
              <w:pStyle w:val="ConsPlusNormal"/>
              <w:jc w:val="center"/>
            </w:pPr>
            <w:r>
              <w:t>22 919,97</w:t>
            </w:r>
          </w:p>
        </w:tc>
        <w:tc>
          <w:tcPr>
            <w:tcW w:w="1701" w:type="dxa"/>
            <w:vAlign w:val="center"/>
          </w:tcPr>
          <w:p w14:paraId="3D946F60" w14:textId="77777777" w:rsidR="00454A29" w:rsidRDefault="00454A29">
            <w:pPr>
              <w:pStyle w:val="ConsPlusNormal"/>
            </w:pPr>
          </w:p>
        </w:tc>
        <w:tc>
          <w:tcPr>
            <w:tcW w:w="1701" w:type="dxa"/>
            <w:vAlign w:val="center"/>
          </w:tcPr>
          <w:p w14:paraId="02819CC1" w14:textId="77777777" w:rsidR="00454A29" w:rsidRDefault="00454A29">
            <w:pPr>
              <w:pStyle w:val="ConsPlusNormal"/>
              <w:jc w:val="center"/>
            </w:pPr>
            <w:r>
              <w:t>14 426,83</w:t>
            </w:r>
          </w:p>
        </w:tc>
        <w:tc>
          <w:tcPr>
            <w:tcW w:w="1814" w:type="dxa"/>
            <w:vAlign w:val="center"/>
          </w:tcPr>
          <w:p w14:paraId="41675AA6" w14:textId="77777777" w:rsidR="00454A29" w:rsidRDefault="00454A29">
            <w:pPr>
              <w:pStyle w:val="ConsPlusNormal"/>
            </w:pPr>
          </w:p>
        </w:tc>
      </w:tr>
      <w:tr w:rsidR="00454A29" w14:paraId="25FBE784" w14:textId="77777777">
        <w:tc>
          <w:tcPr>
            <w:tcW w:w="567" w:type="dxa"/>
            <w:vMerge/>
            <w:tcBorders>
              <w:top w:val="nil"/>
            </w:tcBorders>
          </w:tcPr>
          <w:p w14:paraId="60AF9C75" w14:textId="77777777" w:rsidR="00454A29" w:rsidRDefault="00454A29"/>
        </w:tc>
        <w:tc>
          <w:tcPr>
            <w:tcW w:w="3345" w:type="dxa"/>
            <w:vMerge/>
            <w:tcBorders>
              <w:top w:val="nil"/>
            </w:tcBorders>
          </w:tcPr>
          <w:p w14:paraId="4C121E9A" w14:textId="77777777" w:rsidR="00454A29" w:rsidRDefault="00454A29"/>
        </w:tc>
        <w:tc>
          <w:tcPr>
            <w:tcW w:w="1701" w:type="dxa"/>
            <w:vAlign w:val="center"/>
          </w:tcPr>
          <w:p w14:paraId="6E2CDB93" w14:textId="77777777" w:rsidR="00454A29" w:rsidRDefault="00454A29">
            <w:pPr>
              <w:pStyle w:val="ConsPlusNormal"/>
              <w:jc w:val="center"/>
            </w:pPr>
            <w:r>
              <w:t>2024</w:t>
            </w:r>
          </w:p>
        </w:tc>
        <w:tc>
          <w:tcPr>
            <w:tcW w:w="1417" w:type="dxa"/>
            <w:vMerge/>
            <w:tcBorders>
              <w:top w:val="nil"/>
            </w:tcBorders>
          </w:tcPr>
          <w:p w14:paraId="49F08A3E" w14:textId="77777777" w:rsidR="00454A29" w:rsidRDefault="00454A29"/>
        </w:tc>
        <w:tc>
          <w:tcPr>
            <w:tcW w:w="2204" w:type="dxa"/>
            <w:vMerge/>
            <w:tcBorders>
              <w:top w:val="nil"/>
            </w:tcBorders>
          </w:tcPr>
          <w:p w14:paraId="2BF43F78" w14:textId="77777777" w:rsidR="00454A29" w:rsidRDefault="00454A29"/>
        </w:tc>
        <w:tc>
          <w:tcPr>
            <w:tcW w:w="1417" w:type="dxa"/>
            <w:vMerge/>
            <w:tcBorders>
              <w:top w:val="nil"/>
            </w:tcBorders>
          </w:tcPr>
          <w:p w14:paraId="5433BB5B" w14:textId="77777777" w:rsidR="00454A29" w:rsidRDefault="00454A29"/>
        </w:tc>
        <w:tc>
          <w:tcPr>
            <w:tcW w:w="2324" w:type="dxa"/>
            <w:vMerge/>
            <w:tcBorders>
              <w:top w:val="nil"/>
            </w:tcBorders>
          </w:tcPr>
          <w:p w14:paraId="5FA766F3" w14:textId="77777777" w:rsidR="00454A29" w:rsidRDefault="00454A29"/>
        </w:tc>
        <w:tc>
          <w:tcPr>
            <w:tcW w:w="1701" w:type="dxa"/>
            <w:vAlign w:val="center"/>
          </w:tcPr>
          <w:p w14:paraId="342570C3" w14:textId="77777777" w:rsidR="00454A29" w:rsidRDefault="00454A29">
            <w:pPr>
              <w:pStyle w:val="ConsPlusNormal"/>
              <w:jc w:val="center"/>
            </w:pPr>
            <w:r>
              <w:t>37 794,03</w:t>
            </w:r>
          </w:p>
        </w:tc>
        <w:tc>
          <w:tcPr>
            <w:tcW w:w="1814" w:type="dxa"/>
            <w:vAlign w:val="center"/>
          </w:tcPr>
          <w:p w14:paraId="1B63C5AE" w14:textId="77777777" w:rsidR="00454A29" w:rsidRDefault="00454A29">
            <w:pPr>
              <w:pStyle w:val="ConsPlusNormal"/>
              <w:jc w:val="center"/>
            </w:pPr>
            <w:r>
              <w:t>22 919,97</w:t>
            </w:r>
          </w:p>
        </w:tc>
        <w:tc>
          <w:tcPr>
            <w:tcW w:w="1701" w:type="dxa"/>
            <w:vAlign w:val="center"/>
          </w:tcPr>
          <w:p w14:paraId="5DA359B5" w14:textId="77777777" w:rsidR="00454A29" w:rsidRDefault="00454A29">
            <w:pPr>
              <w:pStyle w:val="ConsPlusNormal"/>
            </w:pPr>
          </w:p>
        </w:tc>
        <w:tc>
          <w:tcPr>
            <w:tcW w:w="1701" w:type="dxa"/>
            <w:vAlign w:val="center"/>
          </w:tcPr>
          <w:p w14:paraId="5EB5691E" w14:textId="77777777" w:rsidR="00454A29" w:rsidRDefault="00454A29">
            <w:pPr>
              <w:pStyle w:val="ConsPlusNormal"/>
              <w:jc w:val="center"/>
            </w:pPr>
            <w:r>
              <w:t>14 874,06</w:t>
            </w:r>
          </w:p>
        </w:tc>
        <w:tc>
          <w:tcPr>
            <w:tcW w:w="1814" w:type="dxa"/>
            <w:vAlign w:val="center"/>
          </w:tcPr>
          <w:p w14:paraId="708E811B" w14:textId="77777777" w:rsidR="00454A29" w:rsidRDefault="00454A29">
            <w:pPr>
              <w:pStyle w:val="ConsPlusNormal"/>
            </w:pPr>
          </w:p>
        </w:tc>
      </w:tr>
      <w:tr w:rsidR="00454A29" w14:paraId="02125B4B" w14:textId="77777777">
        <w:tc>
          <w:tcPr>
            <w:tcW w:w="567" w:type="dxa"/>
            <w:vMerge/>
            <w:tcBorders>
              <w:top w:val="nil"/>
            </w:tcBorders>
          </w:tcPr>
          <w:p w14:paraId="4BED6C6C" w14:textId="77777777" w:rsidR="00454A29" w:rsidRDefault="00454A29"/>
        </w:tc>
        <w:tc>
          <w:tcPr>
            <w:tcW w:w="3345" w:type="dxa"/>
            <w:vMerge/>
            <w:tcBorders>
              <w:top w:val="nil"/>
            </w:tcBorders>
          </w:tcPr>
          <w:p w14:paraId="6E655149" w14:textId="77777777" w:rsidR="00454A29" w:rsidRDefault="00454A29"/>
        </w:tc>
        <w:tc>
          <w:tcPr>
            <w:tcW w:w="1701" w:type="dxa"/>
            <w:vAlign w:val="center"/>
          </w:tcPr>
          <w:p w14:paraId="3FEC467F" w14:textId="77777777" w:rsidR="00454A29" w:rsidRDefault="00454A29">
            <w:pPr>
              <w:pStyle w:val="ConsPlusNormal"/>
              <w:jc w:val="center"/>
            </w:pPr>
            <w:r>
              <w:t>2025</w:t>
            </w:r>
          </w:p>
        </w:tc>
        <w:tc>
          <w:tcPr>
            <w:tcW w:w="1417" w:type="dxa"/>
            <w:vMerge/>
            <w:tcBorders>
              <w:top w:val="nil"/>
            </w:tcBorders>
          </w:tcPr>
          <w:p w14:paraId="66593C0B" w14:textId="77777777" w:rsidR="00454A29" w:rsidRDefault="00454A29"/>
        </w:tc>
        <w:tc>
          <w:tcPr>
            <w:tcW w:w="2204" w:type="dxa"/>
            <w:vMerge/>
            <w:tcBorders>
              <w:top w:val="nil"/>
            </w:tcBorders>
          </w:tcPr>
          <w:p w14:paraId="08615DE6" w14:textId="77777777" w:rsidR="00454A29" w:rsidRDefault="00454A29"/>
        </w:tc>
        <w:tc>
          <w:tcPr>
            <w:tcW w:w="1417" w:type="dxa"/>
            <w:vMerge/>
            <w:tcBorders>
              <w:top w:val="nil"/>
            </w:tcBorders>
          </w:tcPr>
          <w:p w14:paraId="1A5BE340" w14:textId="77777777" w:rsidR="00454A29" w:rsidRDefault="00454A29"/>
        </w:tc>
        <w:tc>
          <w:tcPr>
            <w:tcW w:w="2324" w:type="dxa"/>
            <w:vMerge/>
            <w:tcBorders>
              <w:top w:val="nil"/>
            </w:tcBorders>
          </w:tcPr>
          <w:p w14:paraId="5229C58C" w14:textId="77777777" w:rsidR="00454A29" w:rsidRDefault="00454A29"/>
        </w:tc>
        <w:tc>
          <w:tcPr>
            <w:tcW w:w="1701" w:type="dxa"/>
            <w:vAlign w:val="center"/>
          </w:tcPr>
          <w:p w14:paraId="278C67A6" w14:textId="77777777" w:rsidR="00454A29" w:rsidRDefault="00454A29">
            <w:pPr>
              <w:pStyle w:val="ConsPlusNormal"/>
              <w:jc w:val="center"/>
            </w:pPr>
            <w:r>
              <w:t>38 225,38</w:t>
            </w:r>
          </w:p>
        </w:tc>
        <w:tc>
          <w:tcPr>
            <w:tcW w:w="1814" w:type="dxa"/>
            <w:vAlign w:val="center"/>
          </w:tcPr>
          <w:p w14:paraId="50711256" w14:textId="77777777" w:rsidR="00454A29" w:rsidRDefault="00454A29">
            <w:pPr>
              <w:pStyle w:val="ConsPlusNormal"/>
              <w:jc w:val="center"/>
            </w:pPr>
            <w:r>
              <w:t>22 919,97</w:t>
            </w:r>
          </w:p>
        </w:tc>
        <w:tc>
          <w:tcPr>
            <w:tcW w:w="1701" w:type="dxa"/>
            <w:vAlign w:val="center"/>
          </w:tcPr>
          <w:p w14:paraId="1CD94E94" w14:textId="77777777" w:rsidR="00454A29" w:rsidRDefault="00454A29">
            <w:pPr>
              <w:pStyle w:val="ConsPlusNormal"/>
            </w:pPr>
          </w:p>
        </w:tc>
        <w:tc>
          <w:tcPr>
            <w:tcW w:w="1701" w:type="dxa"/>
            <w:vAlign w:val="center"/>
          </w:tcPr>
          <w:p w14:paraId="57A8355E" w14:textId="77777777" w:rsidR="00454A29" w:rsidRDefault="00454A29">
            <w:pPr>
              <w:pStyle w:val="ConsPlusNormal"/>
              <w:jc w:val="center"/>
            </w:pPr>
            <w:r>
              <w:t>15 305,41</w:t>
            </w:r>
          </w:p>
        </w:tc>
        <w:tc>
          <w:tcPr>
            <w:tcW w:w="1814" w:type="dxa"/>
            <w:vAlign w:val="center"/>
          </w:tcPr>
          <w:p w14:paraId="6B143A6D" w14:textId="77777777" w:rsidR="00454A29" w:rsidRDefault="00454A29">
            <w:pPr>
              <w:pStyle w:val="ConsPlusNormal"/>
            </w:pPr>
          </w:p>
        </w:tc>
      </w:tr>
      <w:tr w:rsidR="00454A29" w14:paraId="5805DA01" w14:textId="77777777">
        <w:tc>
          <w:tcPr>
            <w:tcW w:w="567" w:type="dxa"/>
            <w:vMerge w:val="restart"/>
            <w:vAlign w:val="center"/>
          </w:tcPr>
          <w:p w14:paraId="1544EABF" w14:textId="77777777" w:rsidR="00454A29" w:rsidRDefault="00454A29">
            <w:pPr>
              <w:pStyle w:val="ConsPlusNormal"/>
              <w:jc w:val="center"/>
            </w:pPr>
            <w:r>
              <w:t>57</w:t>
            </w:r>
          </w:p>
        </w:tc>
        <w:tc>
          <w:tcPr>
            <w:tcW w:w="3345" w:type="dxa"/>
            <w:vMerge w:val="restart"/>
            <w:vAlign w:val="center"/>
          </w:tcPr>
          <w:p w14:paraId="0FEE5219" w14:textId="77777777" w:rsidR="00454A29" w:rsidRDefault="00454A29">
            <w:pPr>
              <w:pStyle w:val="ConsPlusNormal"/>
              <w:jc w:val="center"/>
            </w:pPr>
            <w:r>
              <w:t>Детский сад на 98 мест в с. Саскылах Анабарского улуса</w:t>
            </w:r>
          </w:p>
        </w:tc>
        <w:tc>
          <w:tcPr>
            <w:tcW w:w="1701" w:type="dxa"/>
            <w:vAlign w:val="center"/>
          </w:tcPr>
          <w:p w14:paraId="44D02FBF" w14:textId="77777777" w:rsidR="00454A29" w:rsidRDefault="00454A29">
            <w:pPr>
              <w:pStyle w:val="ConsPlusNormal"/>
              <w:jc w:val="center"/>
            </w:pPr>
            <w:r>
              <w:t>2016 - 2025 годы - всего</w:t>
            </w:r>
          </w:p>
        </w:tc>
        <w:tc>
          <w:tcPr>
            <w:tcW w:w="1417" w:type="dxa"/>
            <w:vMerge w:val="restart"/>
            <w:vAlign w:val="center"/>
          </w:tcPr>
          <w:p w14:paraId="01C481BD" w14:textId="77777777" w:rsidR="00454A29" w:rsidRDefault="00454A29">
            <w:pPr>
              <w:pStyle w:val="ConsPlusNormal"/>
              <w:jc w:val="center"/>
            </w:pPr>
            <w:r>
              <w:t>286 733,55</w:t>
            </w:r>
          </w:p>
        </w:tc>
        <w:tc>
          <w:tcPr>
            <w:tcW w:w="2204" w:type="dxa"/>
            <w:vMerge w:val="restart"/>
            <w:vAlign w:val="center"/>
          </w:tcPr>
          <w:p w14:paraId="6AB1F0D8" w14:textId="77777777" w:rsidR="00454A29" w:rsidRDefault="00454A29">
            <w:pPr>
              <w:pStyle w:val="ConsPlusNormal"/>
              <w:jc w:val="center"/>
            </w:pPr>
            <w:r>
              <w:t>имеется</w:t>
            </w:r>
          </w:p>
        </w:tc>
        <w:tc>
          <w:tcPr>
            <w:tcW w:w="1417" w:type="dxa"/>
            <w:vMerge w:val="restart"/>
            <w:vAlign w:val="center"/>
          </w:tcPr>
          <w:p w14:paraId="47718FB9" w14:textId="77777777" w:rsidR="00454A29" w:rsidRDefault="00454A29">
            <w:pPr>
              <w:pStyle w:val="ConsPlusNormal"/>
              <w:jc w:val="center"/>
            </w:pPr>
            <w:r>
              <w:t>98</w:t>
            </w:r>
          </w:p>
        </w:tc>
        <w:tc>
          <w:tcPr>
            <w:tcW w:w="2324" w:type="dxa"/>
            <w:vMerge w:val="restart"/>
            <w:vAlign w:val="center"/>
          </w:tcPr>
          <w:p w14:paraId="6AA38359" w14:textId="77777777" w:rsidR="00454A29" w:rsidRDefault="00454A29">
            <w:pPr>
              <w:pStyle w:val="ConsPlusNormal"/>
              <w:jc w:val="center"/>
            </w:pPr>
            <w:r>
              <w:t>Минэкономики РС(Я)</w:t>
            </w:r>
          </w:p>
        </w:tc>
        <w:tc>
          <w:tcPr>
            <w:tcW w:w="1701" w:type="dxa"/>
            <w:vAlign w:val="center"/>
          </w:tcPr>
          <w:p w14:paraId="1DF2D0B0" w14:textId="77777777" w:rsidR="00454A29" w:rsidRDefault="00454A29">
            <w:pPr>
              <w:pStyle w:val="ConsPlusNormal"/>
              <w:jc w:val="center"/>
            </w:pPr>
            <w:r>
              <w:t>955 053,67</w:t>
            </w:r>
          </w:p>
        </w:tc>
        <w:tc>
          <w:tcPr>
            <w:tcW w:w="1814" w:type="dxa"/>
            <w:vAlign w:val="center"/>
          </w:tcPr>
          <w:p w14:paraId="073CC43C" w14:textId="77777777" w:rsidR="00454A29" w:rsidRDefault="00454A29">
            <w:pPr>
              <w:pStyle w:val="ConsPlusNormal"/>
              <w:jc w:val="center"/>
            </w:pPr>
            <w:r>
              <w:t>535 937,41</w:t>
            </w:r>
          </w:p>
        </w:tc>
        <w:tc>
          <w:tcPr>
            <w:tcW w:w="1701" w:type="dxa"/>
            <w:vAlign w:val="center"/>
          </w:tcPr>
          <w:p w14:paraId="4140F289" w14:textId="77777777" w:rsidR="00454A29" w:rsidRDefault="00454A29">
            <w:pPr>
              <w:pStyle w:val="ConsPlusNormal"/>
              <w:jc w:val="center"/>
            </w:pPr>
            <w:r>
              <w:t>-</w:t>
            </w:r>
          </w:p>
        </w:tc>
        <w:tc>
          <w:tcPr>
            <w:tcW w:w="1701" w:type="dxa"/>
            <w:vAlign w:val="center"/>
          </w:tcPr>
          <w:p w14:paraId="73A54935" w14:textId="77777777" w:rsidR="00454A29" w:rsidRDefault="00454A29">
            <w:pPr>
              <w:pStyle w:val="ConsPlusNormal"/>
              <w:jc w:val="center"/>
            </w:pPr>
            <w:r>
              <w:t>132 382,71</w:t>
            </w:r>
          </w:p>
        </w:tc>
        <w:tc>
          <w:tcPr>
            <w:tcW w:w="1814" w:type="dxa"/>
            <w:vAlign w:val="center"/>
          </w:tcPr>
          <w:p w14:paraId="26F6757C" w14:textId="77777777" w:rsidR="00454A29" w:rsidRDefault="00454A29">
            <w:pPr>
              <w:pStyle w:val="ConsPlusNormal"/>
              <w:jc w:val="center"/>
            </w:pPr>
            <w:r>
              <w:t>286 733,55</w:t>
            </w:r>
          </w:p>
        </w:tc>
      </w:tr>
      <w:tr w:rsidR="00454A29" w14:paraId="610BA93F" w14:textId="77777777">
        <w:tc>
          <w:tcPr>
            <w:tcW w:w="567" w:type="dxa"/>
            <w:vMerge/>
          </w:tcPr>
          <w:p w14:paraId="73894EE6" w14:textId="77777777" w:rsidR="00454A29" w:rsidRDefault="00454A29"/>
        </w:tc>
        <w:tc>
          <w:tcPr>
            <w:tcW w:w="3345" w:type="dxa"/>
            <w:vMerge/>
          </w:tcPr>
          <w:p w14:paraId="75A4B507" w14:textId="77777777" w:rsidR="00454A29" w:rsidRDefault="00454A29"/>
        </w:tc>
        <w:tc>
          <w:tcPr>
            <w:tcW w:w="1701" w:type="dxa"/>
            <w:vAlign w:val="center"/>
          </w:tcPr>
          <w:p w14:paraId="4AC1C7E7" w14:textId="77777777" w:rsidR="00454A29" w:rsidRDefault="00454A29">
            <w:pPr>
              <w:pStyle w:val="ConsPlusNormal"/>
              <w:jc w:val="center"/>
            </w:pPr>
            <w:r>
              <w:t>2016</w:t>
            </w:r>
          </w:p>
        </w:tc>
        <w:tc>
          <w:tcPr>
            <w:tcW w:w="1417" w:type="dxa"/>
            <w:vMerge/>
          </w:tcPr>
          <w:p w14:paraId="071EB43A" w14:textId="77777777" w:rsidR="00454A29" w:rsidRDefault="00454A29"/>
        </w:tc>
        <w:tc>
          <w:tcPr>
            <w:tcW w:w="2204" w:type="dxa"/>
            <w:vMerge/>
          </w:tcPr>
          <w:p w14:paraId="3FF4B73D" w14:textId="77777777" w:rsidR="00454A29" w:rsidRDefault="00454A29"/>
        </w:tc>
        <w:tc>
          <w:tcPr>
            <w:tcW w:w="1417" w:type="dxa"/>
            <w:vMerge/>
          </w:tcPr>
          <w:p w14:paraId="2A267268" w14:textId="77777777" w:rsidR="00454A29" w:rsidRDefault="00454A29"/>
        </w:tc>
        <w:tc>
          <w:tcPr>
            <w:tcW w:w="2324" w:type="dxa"/>
            <w:vMerge/>
          </w:tcPr>
          <w:p w14:paraId="1FFFD20E" w14:textId="77777777" w:rsidR="00454A29" w:rsidRDefault="00454A29"/>
        </w:tc>
        <w:tc>
          <w:tcPr>
            <w:tcW w:w="1701" w:type="dxa"/>
            <w:vAlign w:val="center"/>
          </w:tcPr>
          <w:p w14:paraId="342A277F" w14:textId="77777777" w:rsidR="00454A29" w:rsidRDefault="00454A29">
            <w:pPr>
              <w:pStyle w:val="ConsPlusNormal"/>
              <w:jc w:val="center"/>
            </w:pPr>
            <w:r>
              <w:t>213 691,38</w:t>
            </w:r>
          </w:p>
        </w:tc>
        <w:tc>
          <w:tcPr>
            <w:tcW w:w="1814" w:type="dxa"/>
            <w:vAlign w:val="center"/>
          </w:tcPr>
          <w:p w14:paraId="503A06C2" w14:textId="77777777" w:rsidR="00454A29" w:rsidRDefault="00454A29">
            <w:pPr>
              <w:pStyle w:val="ConsPlusNormal"/>
              <w:jc w:val="center"/>
            </w:pPr>
            <w:r>
              <w:t>7 147,40</w:t>
            </w:r>
          </w:p>
        </w:tc>
        <w:tc>
          <w:tcPr>
            <w:tcW w:w="1701" w:type="dxa"/>
            <w:vAlign w:val="center"/>
          </w:tcPr>
          <w:p w14:paraId="5D220F3A" w14:textId="77777777" w:rsidR="00454A29" w:rsidRDefault="00454A29">
            <w:pPr>
              <w:pStyle w:val="ConsPlusNormal"/>
            </w:pPr>
          </w:p>
        </w:tc>
        <w:tc>
          <w:tcPr>
            <w:tcW w:w="1701" w:type="dxa"/>
            <w:vAlign w:val="center"/>
          </w:tcPr>
          <w:p w14:paraId="7EAEFA3C" w14:textId="77777777" w:rsidR="00454A29" w:rsidRDefault="00454A29">
            <w:pPr>
              <w:pStyle w:val="ConsPlusNormal"/>
              <w:jc w:val="center"/>
            </w:pPr>
            <w:r>
              <w:t>-</w:t>
            </w:r>
          </w:p>
        </w:tc>
        <w:tc>
          <w:tcPr>
            <w:tcW w:w="1814" w:type="dxa"/>
            <w:vAlign w:val="center"/>
          </w:tcPr>
          <w:p w14:paraId="19C2CBA8" w14:textId="77777777" w:rsidR="00454A29" w:rsidRDefault="00454A29">
            <w:pPr>
              <w:pStyle w:val="ConsPlusNormal"/>
              <w:jc w:val="center"/>
            </w:pPr>
            <w:r>
              <w:t>206 543,98</w:t>
            </w:r>
          </w:p>
        </w:tc>
      </w:tr>
      <w:tr w:rsidR="00454A29" w14:paraId="16EDA91A" w14:textId="77777777">
        <w:tc>
          <w:tcPr>
            <w:tcW w:w="567" w:type="dxa"/>
            <w:vMerge/>
          </w:tcPr>
          <w:p w14:paraId="1768BF17" w14:textId="77777777" w:rsidR="00454A29" w:rsidRDefault="00454A29"/>
        </w:tc>
        <w:tc>
          <w:tcPr>
            <w:tcW w:w="3345" w:type="dxa"/>
            <w:vMerge/>
          </w:tcPr>
          <w:p w14:paraId="287789BB" w14:textId="77777777" w:rsidR="00454A29" w:rsidRDefault="00454A29"/>
        </w:tc>
        <w:tc>
          <w:tcPr>
            <w:tcW w:w="1701" w:type="dxa"/>
            <w:vAlign w:val="center"/>
          </w:tcPr>
          <w:p w14:paraId="0CEBA381" w14:textId="77777777" w:rsidR="00454A29" w:rsidRDefault="00454A29">
            <w:pPr>
              <w:pStyle w:val="ConsPlusNormal"/>
              <w:jc w:val="center"/>
            </w:pPr>
            <w:r>
              <w:t>2017</w:t>
            </w:r>
          </w:p>
        </w:tc>
        <w:tc>
          <w:tcPr>
            <w:tcW w:w="1417" w:type="dxa"/>
            <w:vMerge/>
          </w:tcPr>
          <w:p w14:paraId="46EC33CD" w14:textId="77777777" w:rsidR="00454A29" w:rsidRDefault="00454A29"/>
        </w:tc>
        <w:tc>
          <w:tcPr>
            <w:tcW w:w="2204" w:type="dxa"/>
            <w:vMerge/>
          </w:tcPr>
          <w:p w14:paraId="6E8C1231" w14:textId="77777777" w:rsidR="00454A29" w:rsidRDefault="00454A29"/>
        </w:tc>
        <w:tc>
          <w:tcPr>
            <w:tcW w:w="1417" w:type="dxa"/>
            <w:vMerge/>
          </w:tcPr>
          <w:p w14:paraId="0EA2D006" w14:textId="77777777" w:rsidR="00454A29" w:rsidRDefault="00454A29"/>
        </w:tc>
        <w:tc>
          <w:tcPr>
            <w:tcW w:w="2324" w:type="dxa"/>
            <w:vMerge/>
          </w:tcPr>
          <w:p w14:paraId="17133127" w14:textId="77777777" w:rsidR="00454A29" w:rsidRDefault="00454A29"/>
        </w:tc>
        <w:tc>
          <w:tcPr>
            <w:tcW w:w="1701" w:type="dxa"/>
            <w:vAlign w:val="center"/>
          </w:tcPr>
          <w:p w14:paraId="565156C5" w14:textId="77777777" w:rsidR="00454A29" w:rsidRDefault="00454A29">
            <w:pPr>
              <w:pStyle w:val="ConsPlusNormal"/>
              <w:jc w:val="center"/>
            </w:pPr>
            <w:r>
              <w:t>131 326,01</w:t>
            </w:r>
          </w:p>
        </w:tc>
        <w:tc>
          <w:tcPr>
            <w:tcW w:w="1814" w:type="dxa"/>
            <w:vAlign w:val="center"/>
          </w:tcPr>
          <w:p w14:paraId="097AA6DA" w14:textId="77777777" w:rsidR="00454A29" w:rsidRDefault="00454A29">
            <w:pPr>
              <w:pStyle w:val="ConsPlusNormal"/>
              <w:jc w:val="center"/>
            </w:pPr>
            <w:r>
              <w:t>47 242,66</w:t>
            </w:r>
          </w:p>
        </w:tc>
        <w:tc>
          <w:tcPr>
            <w:tcW w:w="1701" w:type="dxa"/>
            <w:vAlign w:val="center"/>
          </w:tcPr>
          <w:p w14:paraId="415FA029" w14:textId="77777777" w:rsidR="00454A29" w:rsidRDefault="00454A29">
            <w:pPr>
              <w:pStyle w:val="ConsPlusNormal"/>
            </w:pPr>
          </w:p>
        </w:tc>
        <w:tc>
          <w:tcPr>
            <w:tcW w:w="1701" w:type="dxa"/>
            <w:vAlign w:val="center"/>
          </w:tcPr>
          <w:p w14:paraId="0C9009C2" w14:textId="77777777" w:rsidR="00454A29" w:rsidRDefault="00454A29">
            <w:pPr>
              <w:pStyle w:val="ConsPlusNormal"/>
              <w:jc w:val="center"/>
            </w:pPr>
            <w:r>
              <w:t>3 893,79</w:t>
            </w:r>
          </w:p>
        </w:tc>
        <w:tc>
          <w:tcPr>
            <w:tcW w:w="1814" w:type="dxa"/>
            <w:vAlign w:val="center"/>
          </w:tcPr>
          <w:p w14:paraId="0CD3082F" w14:textId="77777777" w:rsidR="00454A29" w:rsidRDefault="00454A29">
            <w:pPr>
              <w:pStyle w:val="ConsPlusNormal"/>
              <w:jc w:val="center"/>
            </w:pPr>
            <w:r>
              <w:t>80 189,57</w:t>
            </w:r>
          </w:p>
        </w:tc>
      </w:tr>
      <w:tr w:rsidR="00454A29" w14:paraId="5669B95F" w14:textId="77777777">
        <w:tc>
          <w:tcPr>
            <w:tcW w:w="567" w:type="dxa"/>
            <w:vMerge/>
          </w:tcPr>
          <w:p w14:paraId="367CFC80" w14:textId="77777777" w:rsidR="00454A29" w:rsidRDefault="00454A29"/>
        </w:tc>
        <w:tc>
          <w:tcPr>
            <w:tcW w:w="3345" w:type="dxa"/>
            <w:vMerge/>
          </w:tcPr>
          <w:p w14:paraId="73EF7ADC" w14:textId="77777777" w:rsidR="00454A29" w:rsidRDefault="00454A29"/>
        </w:tc>
        <w:tc>
          <w:tcPr>
            <w:tcW w:w="1701" w:type="dxa"/>
            <w:vAlign w:val="center"/>
          </w:tcPr>
          <w:p w14:paraId="45494B40" w14:textId="77777777" w:rsidR="00454A29" w:rsidRDefault="00454A29">
            <w:pPr>
              <w:pStyle w:val="ConsPlusNormal"/>
              <w:jc w:val="center"/>
            </w:pPr>
            <w:r>
              <w:t>2018</w:t>
            </w:r>
          </w:p>
        </w:tc>
        <w:tc>
          <w:tcPr>
            <w:tcW w:w="1417" w:type="dxa"/>
            <w:vMerge/>
          </w:tcPr>
          <w:p w14:paraId="27D89D82" w14:textId="77777777" w:rsidR="00454A29" w:rsidRDefault="00454A29"/>
        </w:tc>
        <w:tc>
          <w:tcPr>
            <w:tcW w:w="2204" w:type="dxa"/>
            <w:vMerge/>
          </w:tcPr>
          <w:p w14:paraId="3C1F541A" w14:textId="77777777" w:rsidR="00454A29" w:rsidRDefault="00454A29"/>
        </w:tc>
        <w:tc>
          <w:tcPr>
            <w:tcW w:w="1417" w:type="dxa"/>
            <w:vMerge/>
          </w:tcPr>
          <w:p w14:paraId="18EA350D" w14:textId="77777777" w:rsidR="00454A29" w:rsidRDefault="00454A29"/>
        </w:tc>
        <w:tc>
          <w:tcPr>
            <w:tcW w:w="2324" w:type="dxa"/>
            <w:vMerge/>
          </w:tcPr>
          <w:p w14:paraId="6C01F1C3" w14:textId="77777777" w:rsidR="00454A29" w:rsidRDefault="00454A29"/>
        </w:tc>
        <w:tc>
          <w:tcPr>
            <w:tcW w:w="1701" w:type="dxa"/>
            <w:vAlign w:val="center"/>
          </w:tcPr>
          <w:p w14:paraId="21A4AEF7" w14:textId="77777777" w:rsidR="00454A29" w:rsidRDefault="00454A29">
            <w:pPr>
              <w:pStyle w:val="ConsPlusNormal"/>
              <w:jc w:val="center"/>
            </w:pPr>
            <w:r>
              <w:t>71 293,68</w:t>
            </w:r>
          </w:p>
        </w:tc>
        <w:tc>
          <w:tcPr>
            <w:tcW w:w="1814" w:type="dxa"/>
            <w:vAlign w:val="center"/>
          </w:tcPr>
          <w:p w14:paraId="45D90D93" w14:textId="77777777" w:rsidR="00454A29" w:rsidRDefault="00454A29">
            <w:pPr>
              <w:pStyle w:val="ConsPlusNormal"/>
              <w:jc w:val="center"/>
            </w:pPr>
            <w:r>
              <w:t>54 924,19</w:t>
            </w:r>
          </w:p>
        </w:tc>
        <w:tc>
          <w:tcPr>
            <w:tcW w:w="1701" w:type="dxa"/>
            <w:vAlign w:val="center"/>
          </w:tcPr>
          <w:p w14:paraId="32EAA40F" w14:textId="77777777" w:rsidR="00454A29" w:rsidRDefault="00454A29">
            <w:pPr>
              <w:pStyle w:val="ConsPlusNormal"/>
            </w:pPr>
          </w:p>
        </w:tc>
        <w:tc>
          <w:tcPr>
            <w:tcW w:w="1701" w:type="dxa"/>
            <w:vAlign w:val="center"/>
          </w:tcPr>
          <w:p w14:paraId="6EA49D40" w14:textId="77777777" w:rsidR="00454A29" w:rsidRDefault="00454A29">
            <w:pPr>
              <w:pStyle w:val="ConsPlusNormal"/>
              <w:jc w:val="center"/>
            </w:pPr>
            <w:r>
              <w:t>16 369,49</w:t>
            </w:r>
          </w:p>
        </w:tc>
        <w:tc>
          <w:tcPr>
            <w:tcW w:w="1814" w:type="dxa"/>
            <w:vAlign w:val="center"/>
          </w:tcPr>
          <w:p w14:paraId="3C319D3B" w14:textId="77777777" w:rsidR="00454A29" w:rsidRDefault="00454A29">
            <w:pPr>
              <w:pStyle w:val="ConsPlusNormal"/>
            </w:pPr>
          </w:p>
        </w:tc>
      </w:tr>
      <w:tr w:rsidR="00454A29" w14:paraId="34104938" w14:textId="77777777">
        <w:tc>
          <w:tcPr>
            <w:tcW w:w="567" w:type="dxa"/>
            <w:vMerge/>
          </w:tcPr>
          <w:p w14:paraId="30F962A8" w14:textId="77777777" w:rsidR="00454A29" w:rsidRDefault="00454A29"/>
        </w:tc>
        <w:tc>
          <w:tcPr>
            <w:tcW w:w="3345" w:type="dxa"/>
            <w:vMerge/>
          </w:tcPr>
          <w:p w14:paraId="6A4A8525" w14:textId="77777777" w:rsidR="00454A29" w:rsidRDefault="00454A29"/>
        </w:tc>
        <w:tc>
          <w:tcPr>
            <w:tcW w:w="1701" w:type="dxa"/>
            <w:vAlign w:val="center"/>
          </w:tcPr>
          <w:p w14:paraId="47E2CC89" w14:textId="77777777" w:rsidR="00454A29" w:rsidRDefault="00454A29">
            <w:pPr>
              <w:pStyle w:val="ConsPlusNormal"/>
              <w:jc w:val="center"/>
            </w:pPr>
            <w:r>
              <w:t>2019</w:t>
            </w:r>
          </w:p>
        </w:tc>
        <w:tc>
          <w:tcPr>
            <w:tcW w:w="1417" w:type="dxa"/>
            <w:vMerge/>
          </w:tcPr>
          <w:p w14:paraId="62CD736B" w14:textId="77777777" w:rsidR="00454A29" w:rsidRDefault="00454A29"/>
        </w:tc>
        <w:tc>
          <w:tcPr>
            <w:tcW w:w="2204" w:type="dxa"/>
            <w:vMerge/>
          </w:tcPr>
          <w:p w14:paraId="7ED1ACEE" w14:textId="77777777" w:rsidR="00454A29" w:rsidRDefault="00454A29"/>
        </w:tc>
        <w:tc>
          <w:tcPr>
            <w:tcW w:w="1417" w:type="dxa"/>
            <w:vMerge/>
          </w:tcPr>
          <w:p w14:paraId="4CE4173A" w14:textId="77777777" w:rsidR="00454A29" w:rsidRDefault="00454A29"/>
        </w:tc>
        <w:tc>
          <w:tcPr>
            <w:tcW w:w="2324" w:type="dxa"/>
            <w:vMerge/>
          </w:tcPr>
          <w:p w14:paraId="655BF425" w14:textId="77777777" w:rsidR="00454A29" w:rsidRDefault="00454A29"/>
        </w:tc>
        <w:tc>
          <w:tcPr>
            <w:tcW w:w="1701" w:type="dxa"/>
            <w:vAlign w:val="center"/>
          </w:tcPr>
          <w:p w14:paraId="13B214BF" w14:textId="77777777" w:rsidR="00454A29" w:rsidRDefault="00454A29">
            <w:pPr>
              <w:pStyle w:val="ConsPlusNormal"/>
              <w:jc w:val="center"/>
            </w:pPr>
            <w:r>
              <w:t>71 125,02</w:t>
            </w:r>
          </w:p>
        </w:tc>
        <w:tc>
          <w:tcPr>
            <w:tcW w:w="1814" w:type="dxa"/>
            <w:vAlign w:val="center"/>
          </w:tcPr>
          <w:p w14:paraId="31D2AD0B" w14:textId="77777777" w:rsidR="00454A29" w:rsidRDefault="00454A29">
            <w:pPr>
              <w:pStyle w:val="ConsPlusNormal"/>
              <w:jc w:val="center"/>
            </w:pPr>
            <w:r>
              <w:t>54 018,90</w:t>
            </w:r>
          </w:p>
        </w:tc>
        <w:tc>
          <w:tcPr>
            <w:tcW w:w="1701" w:type="dxa"/>
            <w:vAlign w:val="center"/>
          </w:tcPr>
          <w:p w14:paraId="7A4547AC" w14:textId="77777777" w:rsidR="00454A29" w:rsidRDefault="00454A29">
            <w:pPr>
              <w:pStyle w:val="ConsPlusNormal"/>
            </w:pPr>
          </w:p>
        </w:tc>
        <w:tc>
          <w:tcPr>
            <w:tcW w:w="1701" w:type="dxa"/>
            <w:vAlign w:val="center"/>
          </w:tcPr>
          <w:p w14:paraId="4EDB9907" w14:textId="77777777" w:rsidR="00454A29" w:rsidRDefault="00454A29">
            <w:pPr>
              <w:pStyle w:val="ConsPlusNormal"/>
              <w:jc w:val="center"/>
            </w:pPr>
            <w:r>
              <w:t>17 106,12</w:t>
            </w:r>
          </w:p>
        </w:tc>
        <w:tc>
          <w:tcPr>
            <w:tcW w:w="1814" w:type="dxa"/>
            <w:vAlign w:val="center"/>
          </w:tcPr>
          <w:p w14:paraId="598A9202" w14:textId="77777777" w:rsidR="00454A29" w:rsidRDefault="00454A29">
            <w:pPr>
              <w:pStyle w:val="ConsPlusNormal"/>
            </w:pPr>
          </w:p>
        </w:tc>
      </w:tr>
      <w:tr w:rsidR="00454A29" w14:paraId="6E0DC9F9" w14:textId="77777777">
        <w:tc>
          <w:tcPr>
            <w:tcW w:w="567" w:type="dxa"/>
            <w:vMerge/>
          </w:tcPr>
          <w:p w14:paraId="6FD5B1CC" w14:textId="77777777" w:rsidR="00454A29" w:rsidRDefault="00454A29"/>
        </w:tc>
        <w:tc>
          <w:tcPr>
            <w:tcW w:w="3345" w:type="dxa"/>
            <w:vMerge/>
          </w:tcPr>
          <w:p w14:paraId="7412D1BF" w14:textId="77777777" w:rsidR="00454A29" w:rsidRDefault="00454A29"/>
        </w:tc>
        <w:tc>
          <w:tcPr>
            <w:tcW w:w="1701" w:type="dxa"/>
            <w:vAlign w:val="center"/>
          </w:tcPr>
          <w:p w14:paraId="1105894C" w14:textId="77777777" w:rsidR="00454A29" w:rsidRDefault="00454A29">
            <w:pPr>
              <w:pStyle w:val="ConsPlusNormal"/>
              <w:jc w:val="center"/>
            </w:pPr>
            <w:r>
              <w:t>2020</w:t>
            </w:r>
          </w:p>
        </w:tc>
        <w:tc>
          <w:tcPr>
            <w:tcW w:w="1417" w:type="dxa"/>
            <w:vMerge/>
          </w:tcPr>
          <w:p w14:paraId="1C70D44C" w14:textId="77777777" w:rsidR="00454A29" w:rsidRDefault="00454A29"/>
        </w:tc>
        <w:tc>
          <w:tcPr>
            <w:tcW w:w="2204" w:type="dxa"/>
            <w:vMerge/>
          </w:tcPr>
          <w:p w14:paraId="2F8D171E" w14:textId="77777777" w:rsidR="00454A29" w:rsidRDefault="00454A29"/>
        </w:tc>
        <w:tc>
          <w:tcPr>
            <w:tcW w:w="1417" w:type="dxa"/>
            <w:vMerge/>
          </w:tcPr>
          <w:p w14:paraId="52BC9384" w14:textId="77777777" w:rsidR="00454A29" w:rsidRDefault="00454A29"/>
        </w:tc>
        <w:tc>
          <w:tcPr>
            <w:tcW w:w="2324" w:type="dxa"/>
            <w:vMerge/>
          </w:tcPr>
          <w:p w14:paraId="277422F2" w14:textId="77777777" w:rsidR="00454A29" w:rsidRDefault="00454A29"/>
        </w:tc>
        <w:tc>
          <w:tcPr>
            <w:tcW w:w="1701" w:type="dxa"/>
            <w:vAlign w:val="center"/>
          </w:tcPr>
          <w:p w14:paraId="2D6D5849" w14:textId="77777777" w:rsidR="00454A29" w:rsidRDefault="00454A29">
            <w:pPr>
              <w:pStyle w:val="ConsPlusNormal"/>
              <w:jc w:val="center"/>
            </w:pPr>
            <w:r>
              <w:t>79 127,96</w:t>
            </w:r>
          </w:p>
        </w:tc>
        <w:tc>
          <w:tcPr>
            <w:tcW w:w="1814" w:type="dxa"/>
            <w:vAlign w:val="center"/>
          </w:tcPr>
          <w:p w14:paraId="56E0AF1A" w14:textId="77777777" w:rsidR="00454A29" w:rsidRDefault="00454A29">
            <w:pPr>
              <w:pStyle w:val="ConsPlusNormal"/>
              <w:jc w:val="center"/>
            </w:pPr>
            <w:r>
              <w:t>61 337,60</w:t>
            </w:r>
          </w:p>
        </w:tc>
        <w:tc>
          <w:tcPr>
            <w:tcW w:w="1701" w:type="dxa"/>
            <w:vAlign w:val="center"/>
          </w:tcPr>
          <w:p w14:paraId="04AA5656" w14:textId="77777777" w:rsidR="00454A29" w:rsidRDefault="00454A29">
            <w:pPr>
              <w:pStyle w:val="ConsPlusNormal"/>
            </w:pPr>
          </w:p>
        </w:tc>
        <w:tc>
          <w:tcPr>
            <w:tcW w:w="1701" w:type="dxa"/>
            <w:vAlign w:val="center"/>
          </w:tcPr>
          <w:p w14:paraId="15BEC536" w14:textId="77777777" w:rsidR="00454A29" w:rsidRDefault="00454A29">
            <w:pPr>
              <w:pStyle w:val="ConsPlusNormal"/>
              <w:jc w:val="center"/>
            </w:pPr>
            <w:r>
              <w:t>17 790,36</w:t>
            </w:r>
          </w:p>
        </w:tc>
        <w:tc>
          <w:tcPr>
            <w:tcW w:w="1814" w:type="dxa"/>
            <w:vAlign w:val="center"/>
          </w:tcPr>
          <w:p w14:paraId="52A06349" w14:textId="77777777" w:rsidR="00454A29" w:rsidRDefault="00454A29">
            <w:pPr>
              <w:pStyle w:val="ConsPlusNormal"/>
            </w:pPr>
          </w:p>
        </w:tc>
      </w:tr>
      <w:tr w:rsidR="00454A29" w14:paraId="1CD8A393" w14:textId="77777777">
        <w:tc>
          <w:tcPr>
            <w:tcW w:w="567" w:type="dxa"/>
            <w:vMerge/>
          </w:tcPr>
          <w:p w14:paraId="220A4939" w14:textId="77777777" w:rsidR="00454A29" w:rsidRDefault="00454A29"/>
        </w:tc>
        <w:tc>
          <w:tcPr>
            <w:tcW w:w="3345" w:type="dxa"/>
            <w:vMerge/>
          </w:tcPr>
          <w:p w14:paraId="7FA7DB9B" w14:textId="77777777" w:rsidR="00454A29" w:rsidRDefault="00454A29"/>
        </w:tc>
        <w:tc>
          <w:tcPr>
            <w:tcW w:w="1701" w:type="dxa"/>
            <w:vAlign w:val="center"/>
          </w:tcPr>
          <w:p w14:paraId="65A0C995" w14:textId="77777777" w:rsidR="00454A29" w:rsidRDefault="00454A29">
            <w:pPr>
              <w:pStyle w:val="ConsPlusNormal"/>
              <w:jc w:val="center"/>
            </w:pPr>
            <w:r>
              <w:t>2021</w:t>
            </w:r>
          </w:p>
        </w:tc>
        <w:tc>
          <w:tcPr>
            <w:tcW w:w="1417" w:type="dxa"/>
            <w:vMerge/>
          </w:tcPr>
          <w:p w14:paraId="64625821" w14:textId="77777777" w:rsidR="00454A29" w:rsidRDefault="00454A29"/>
        </w:tc>
        <w:tc>
          <w:tcPr>
            <w:tcW w:w="2204" w:type="dxa"/>
            <w:vMerge/>
          </w:tcPr>
          <w:p w14:paraId="2BDBE59F" w14:textId="77777777" w:rsidR="00454A29" w:rsidRDefault="00454A29"/>
        </w:tc>
        <w:tc>
          <w:tcPr>
            <w:tcW w:w="1417" w:type="dxa"/>
            <w:vMerge/>
          </w:tcPr>
          <w:p w14:paraId="2E04D35D" w14:textId="77777777" w:rsidR="00454A29" w:rsidRDefault="00454A29"/>
        </w:tc>
        <w:tc>
          <w:tcPr>
            <w:tcW w:w="2324" w:type="dxa"/>
            <w:vMerge/>
          </w:tcPr>
          <w:p w14:paraId="0A2D5F05" w14:textId="77777777" w:rsidR="00454A29" w:rsidRDefault="00454A29"/>
        </w:tc>
        <w:tc>
          <w:tcPr>
            <w:tcW w:w="1701" w:type="dxa"/>
            <w:vAlign w:val="center"/>
          </w:tcPr>
          <w:p w14:paraId="09A2FA31" w14:textId="77777777" w:rsidR="00454A29" w:rsidRDefault="00454A29">
            <w:pPr>
              <w:pStyle w:val="ConsPlusNormal"/>
              <w:jc w:val="center"/>
            </w:pPr>
            <w:r>
              <w:t>77 895,07</w:t>
            </w:r>
          </w:p>
        </w:tc>
        <w:tc>
          <w:tcPr>
            <w:tcW w:w="1814" w:type="dxa"/>
            <w:vAlign w:val="center"/>
          </w:tcPr>
          <w:p w14:paraId="4C64E631" w14:textId="77777777" w:rsidR="00454A29" w:rsidRDefault="00454A29">
            <w:pPr>
              <w:pStyle w:val="ConsPlusNormal"/>
              <w:jc w:val="center"/>
            </w:pPr>
            <w:r>
              <w:t>59 482,05</w:t>
            </w:r>
          </w:p>
        </w:tc>
        <w:tc>
          <w:tcPr>
            <w:tcW w:w="1701" w:type="dxa"/>
            <w:vAlign w:val="center"/>
          </w:tcPr>
          <w:p w14:paraId="55DFCF13" w14:textId="77777777" w:rsidR="00454A29" w:rsidRDefault="00454A29">
            <w:pPr>
              <w:pStyle w:val="ConsPlusNormal"/>
            </w:pPr>
          </w:p>
        </w:tc>
        <w:tc>
          <w:tcPr>
            <w:tcW w:w="1701" w:type="dxa"/>
            <w:vAlign w:val="center"/>
          </w:tcPr>
          <w:p w14:paraId="0617ED9D" w14:textId="77777777" w:rsidR="00454A29" w:rsidRDefault="00454A29">
            <w:pPr>
              <w:pStyle w:val="ConsPlusNormal"/>
              <w:jc w:val="center"/>
            </w:pPr>
            <w:r>
              <w:t>18 413,02</w:t>
            </w:r>
          </w:p>
        </w:tc>
        <w:tc>
          <w:tcPr>
            <w:tcW w:w="1814" w:type="dxa"/>
            <w:vAlign w:val="center"/>
          </w:tcPr>
          <w:p w14:paraId="5F034E1D" w14:textId="77777777" w:rsidR="00454A29" w:rsidRDefault="00454A29">
            <w:pPr>
              <w:pStyle w:val="ConsPlusNormal"/>
            </w:pPr>
          </w:p>
        </w:tc>
      </w:tr>
      <w:tr w:rsidR="00454A29" w14:paraId="2B764260" w14:textId="77777777">
        <w:tc>
          <w:tcPr>
            <w:tcW w:w="567" w:type="dxa"/>
            <w:vMerge/>
          </w:tcPr>
          <w:p w14:paraId="3E080D9A" w14:textId="77777777" w:rsidR="00454A29" w:rsidRDefault="00454A29"/>
        </w:tc>
        <w:tc>
          <w:tcPr>
            <w:tcW w:w="3345" w:type="dxa"/>
            <w:vMerge/>
          </w:tcPr>
          <w:p w14:paraId="55FEA68F" w14:textId="77777777" w:rsidR="00454A29" w:rsidRDefault="00454A29"/>
        </w:tc>
        <w:tc>
          <w:tcPr>
            <w:tcW w:w="1701" w:type="dxa"/>
            <w:vAlign w:val="center"/>
          </w:tcPr>
          <w:p w14:paraId="25489F15" w14:textId="77777777" w:rsidR="00454A29" w:rsidRDefault="00454A29">
            <w:pPr>
              <w:pStyle w:val="ConsPlusNormal"/>
              <w:jc w:val="center"/>
            </w:pPr>
            <w:r>
              <w:t>2022</w:t>
            </w:r>
          </w:p>
        </w:tc>
        <w:tc>
          <w:tcPr>
            <w:tcW w:w="1417" w:type="dxa"/>
            <w:vMerge/>
          </w:tcPr>
          <w:p w14:paraId="6E0BA804" w14:textId="77777777" w:rsidR="00454A29" w:rsidRDefault="00454A29"/>
        </w:tc>
        <w:tc>
          <w:tcPr>
            <w:tcW w:w="2204" w:type="dxa"/>
            <w:vMerge/>
          </w:tcPr>
          <w:p w14:paraId="503994EB" w14:textId="77777777" w:rsidR="00454A29" w:rsidRDefault="00454A29"/>
        </w:tc>
        <w:tc>
          <w:tcPr>
            <w:tcW w:w="1417" w:type="dxa"/>
            <w:vMerge/>
          </w:tcPr>
          <w:p w14:paraId="4C12D1C3" w14:textId="77777777" w:rsidR="00454A29" w:rsidRDefault="00454A29"/>
        </w:tc>
        <w:tc>
          <w:tcPr>
            <w:tcW w:w="2324" w:type="dxa"/>
            <w:vMerge/>
          </w:tcPr>
          <w:p w14:paraId="0906103E" w14:textId="77777777" w:rsidR="00454A29" w:rsidRDefault="00454A29"/>
        </w:tc>
        <w:tc>
          <w:tcPr>
            <w:tcW w:w="1701" w:type="dxa"/>
            <w:vAlign w:val="center"/>
          </w:tcPr>
          <w:p w14:paraId="48A9CB4D" w14:textId="77777777" w:rsidR="00454A29" w:rsidRDefault="00454A29">
            <w:pPr>
              <w:pStyle w:val="ConsPlusNormal"/>
              <w:jc w:val="center"/>
            </w:pPr>
            <w:r>
              <w:t>81 966,80</w:t>
            </w:r>
          </w:p>
        </w:tc>
        <w:tc>
          <w:tcPr>
            <w:tcW w:w="1814" w:type="dxa"/>
            <w:vAlign w:val="center"/>
          </w:tcPr>
          <w:p w14:paraId="34E92C54" w14:textId="77777777" w:rsidR="00454A29" w:rsidRDefault="00454A29">
            <w:pPr>
              <w:pStyle w:val="ConsPlusNormal"/>
              <w:jc w:val="center"/>
            </w:pPr>
            <w:r>
              <w:t>62 946,15</w:t>
            </w:r>
          </w:p>
        </w:tc>
        <w:tc>
          <w:tcPr>
            <w:tcW w:w="1701" w:type="dxa"/>
            <w:vAlign w:val="center"/>
          </w:tcPr>
          <w:p w14:paraId="705666CF" w14:textId="77777777" w:rsidR="00454A29" w:rsidRDefault="00454A29">
            <w:pPr>
              <w:pStyle w:val="ConsPlusNormal"/>
            </w:pPr>
          </w:p>
        </w:tc>
        <w:tc>
          <w:tcPr>
            <w:tcW w:w="1701" w:type="dxa"/>
            <w:vAlign w:val="center"/>
          </w:tcPr>
          <w:p w14:paraId="3DB2FA4D" w14:textId="77777777" w:rsidR="00454A29" w:rsidRDefault="00454A29">
            <w:pPr>
              <w:pStyle w:val="ConsPlusNormal"/>
              <w:jc w:val="center"/>
            </w:pPr>
            <w:r>
              <w:t>19 020,65</w:t>
            </w:r>
          </w:p>
        </w:tc>
        <w:tc>
          <w:tcPr>
            <w:tcW w:w="1814" w:type="dxa"/>
            <w:vAlign w:val="center"/>
          </w:tcPr>
          <w:p w14:paraId="1639336B" w14:textId="77777777" w:rsidR="00454A29" w:rsidRDefault="00454A29">
            <w:pPr>
              <w:pStyle w:val="ConsPlusNormal"/>
            </w:pPr>
          </w:p>
        </w:tc>
      </w:tr>
      <w:tr w:rsidR="00454A29" w14:paraId="0DBF18C9" w14:textId="77777777">
        <w:tc>
          <w:tcPr>
            <w:tcW w:w="567" w:type="dxa"/>
            <w:vMerge/>
          </w:tcPr>
          <w:p w14:paraId="72DD20AF" w14:textId="77777777" w:rsidR="00454A29" w:rsidRDefault="00454A29"/>
        </w:tc>
        <w:tc>
          <w:tcPr>
            <w:tcW w:w="3345" w:type="dxa"/>
            <w:vMerge/>
          </w:tcPr>
          <w:p w14:paraId="283BC22D" w14:textId="77777777" w:rsidR="00454A29" w:rsidRDefault="00454A29"/>
        </w:tc>
        <w:tc>
          <w:tcPr>
            <w:tcW w:w="1701" w:type="dxa"/>
            <w:vAlign w:val="center"/>
          </w:tcPr>
          <w:p w14:paraId="179501B5" w14:textId="77777777" w:rsidR="00454A29" w:rsidRDefault="00454A29">
            <w:pPr>
              <w:pStyle w:val="ConsPlusNormal"/>
              <w:jc w:val="center"/>
            </w:pPr>
            <w:r>
              <w:t>2023</w:t>
            </w:r>
          </w:p>
        </w:tc>
        <w:tc>
          <w:tcPr>
            <w:tcW w:w="1417" w:type="dxa"/>
            <w:vMerge/>
          </w:tcPr>
          <w:p w14:paraId="4A6F2990" w14:textId="77777777" w:rsidR="00454A29" w:rsidRDefault="00454A29"/>
        </w:tc>
        <w:tc>
          <w:tcPr>
            <w:tcW w:w="2204" w:type="dxa"/>
            <w:vMerge/>
          </w:tcPr>
          <w:p w14:paraId="259A449E" w14:textId="77777777" w:rsidR="00454A29" w:rsidRDefault="00454A29"/>
        </w:tc>
        <w:tc>
          <w:tcPr>
            <w:tcW w:w="1417" w:type="dxa"/>
            <w:vMerge/>
          </w:tcPr>
          <w:p w14:paraId="2A4729EE" w14:textId="77777777" w:rsidR="00454A29" w:rsidRDefault="00454A29"/>
        </w:tc>
        <w:tc>
          <w:tcPr>
            <w:tcW w:w="2324" w:type="dxa"/>
            <w:vMerge/>
          </w:tcPr>
          <w:p w14:paraId="072062B6" w14:textId="77777777" w:rsidR="00454A29" w:rsidRDefault="00454A29"/>
        </w:tc>
        <w:tc>
          <w:tcPr>
            <w:tcW w:w="1701" w:type="dxa"/>
            <w:vAlign w:val="center"/>
          </w:tcPr>
          <w:p w14:paraId="00778C08" w14:textId="77777777" w:rsidR="00454A29" w:rsidRDefault="00454A29">
            <w:pPr>
              <w:pStyle w:val="ConsPlusNormal"/>
              <w:jc w:val="center"/>
            </w:pPr>
            <w:r>
              <w:t>82 556,45</w:t>
            </w:r>
          </w:p>
        </w:tc>
        <w:tc>
          <w:tcPr>
            <w:tcW w:w="1814" w:type="dxa"/>
            <w:vAlign w:val="center"/>
          </w:tcPr>
          <w:p w14:paraId="0543ACF5" w14:textId="77777777" w:rsidR="00454A29" w:rsidRDefault="00454A29">
            <w:pPr>
              <w:pStyle w:val="ConsPlusNormal"/>
              <w:jc w:val="center"/>
            </w:pPr>
            <w:r>
              <w:t>62 946,15</w:t>
            </w:r>
          </w:p>
        </w:tc>
        <w:tc>
          <w:tcPr>
            <w:tcW w:w="1701" w:type="dxa"/>
            <w:vAlign w:val="center"/>
          </w:tcPr>
          <w:p w14:paraId="104EE044" w14:textId="77777777" w:rsidR="00454A29" w:rsidRDefault="00454A29">
            <w:pPr>
              <w:pStyle w:val="ConsPlusNormal"/>
            </w:pPr>
          </w:p>
        </w:tc>
        <w:tc>
          <w:tcPr>
            <w:tcW w:w="1701" w:type="dxa"/>
            <w:vAlign w:val="center"/>
          </w:tcPr>
          <w:p w14:paraId="3CFE4496" w14:textId="77777777" w:rsidR="00454A29" w:rsidRDefault="00454A29">
            <w:pPr>
              <w:pStyle w:val="ConsPlusNormal"/>
              <w:jc w:val="center"/>
            </w:pPr>
            <w:r>
              <w:t>19 610,29</w:t>
            </w:r>
          </w:p>
        </w:tc>
        <w:tc>
          <w:tcPr>
            <w:tcW w:w="1814" w:type="dxa"/>
            <w:vAlign w:val="center"/>
          </w:tcPr>
          <w:p w14:paraId="019A0BB0" w14:textId="77777777" w:rsidR="00454A29" w:rsidRDefault="00454A29">
            <w:pPr>
              <w:pStyle w:val="ConsPlusNormal"/>
            </w:pPr>
          </w:p>
        </w:tc>
      </w:tr>
      <w:tr w:rsidR="00454A29" w14:paraId="1876498B" w14:textId="77777777">
        <w:tc>
          <w:tcPr>
            <w:tcW w:w="567" w:type="dxa"/>
            <w:vMerge/>
          </w:tcPr>
          <w:p w14:paraId="7726932F" w14:textId="77777777" w:rsidR="00454A29" w:rsidRDefault="00454A29"/>
        </w:tc>
        <w:tc>
          <w:tcPr>
            <w:tcW w:w="3345" w:type="dxa"/>
            <w:vMerge/>
          </w:tcPr>
          <w:p w14:paraId="1DE97850" w14:textId="77777777" w:rsidR="00454A29" w:rsidRDefault="00454A29"/>
        </w:tc>
        <w:tc>
          <w:tcPr>
            <w:tcW w:w="1701" w:type="dxa"/>
            <w:vAlign w:val="center"/>
          </w:tcPr>
          <w:p w14:paraId="20B94518" w14:textId="77777777" w:rsidR="00454A29" w:rsidRDefault="00454A29">
            <w:pPr>
              <w:pStyle w:val="ConsPlusNormal"/>
              <w:jc w:val="center"/>
            </w:pPr>
            <w:r>
              <w:t>2024</w:t>
            </w:r>
          </w:p>
        </w:tc>
        <w:tc>
          <w:tcPr>
            <w:tcW w:w="1417" w:type="dxa"/>
            <w:vMerge/>
          </w:tcPr>
          <w:p w14:paraId="7E9C6DC0" w14:textId="77777777" w:rsidR="00454A29" w:rsidRDefault="00454A29"/>
        </w:tc>
        <w:tc>
          <w:tcPr>
            <w:tcW w:w="2204" w:type="dxa"/>
            <w:vMerge/>
          </w:tcPr>
          <w:p w14:paraId="522B5C41" w14:textId="77777777" w:rsidR="00454A29" w:rsidRDefault="00454A29"/>
        </w:tc>
        <w:tc>
          <w:tcPr>
            <w:tcW w:w="1417" w:type="dxa"/>
            <w:vMerge/>
          </w:tcPr>
          <w:p w14:paraId="647F0D0B" w14:textId="77777777" w:rsidR="00454A29" w:rsidRDefault="00454A29"/>
        </w:tc>
        <w:tc>
          <w:tcPr>
            <w:tcW w:w="2324" w:type="dxa"/>
            <w:vMerge/>
          </w:tcPr>
          <w:p w14:paraId="79243A41" w14:textId="77777777" w:rsidR="00454A29" w:rsidRDefault="00454A29"/>
        </w:tc>
        <w:tc>
          <w:tcPr>
            <w:tcW w:w="1701" w:type="dxa"/>
            <w:vAlign w:val="center"/>
          </w:tcPr>
          <w:p w14:paraId="7DDBD8F4" w14:textId="77777777" w:rsidR="00454A29" w:rsidRDefault="00454A29">
            <w:pPr>
              <w:pStyle w:val="ConsPlusNormal"/>
              <w:jc w:val="center"/>
            </w:pPr>
            <w:r>
              <w:t>83 125,14</w:t>
            </w:r>
          </w:p>
        </w:tc>
        <w:tc>
          <w:tcPr>
            <w:tcW w:w="1814" w:type="dxa"/>
            <w:vAlign w:val="center"/>
          </w:tcPr>
          <w:p w14:paraId="761F06E4" w14:textId="77777777" w:rsidR="00454A29" w:rsidRDefault="00454A29">
            <w:pPr>
              <w:pStyle w:val="ConsPlusNormal"/>
              <w:jc w:val="center"/>
            </w:pPr>
            <w:r>
              <w:t>62 946,15</w:t>
            </w:r>
          </w:p>
        </w:tc>
        <w:tc>
          <w:tcPr>
            <w:tcW w:w="1701" w:type="dxa"/>
            <w:vAlign w:val="center"/>
          </w:tcPr>
          <w:p w14:paraId="1F585B95" w14:textId="77777777" w:rsidR="00454A29" w:rsidRDefault="00454A29">
            <w:pPr>
              <w:pStyle w:val="ConsPlusNormal"/>
            </w:pPr>
          </w:p>
        </w:tc>
        <w:tc>
          <w:tcPr>
            <w:tcW w:w="1701" w:type="dxa"/>
            <w:vAlign w:val="center"/>
          </w:tcPr>
          <w:p w14:paraId="1BBE1542" w14:textId="77777777" w:rsidR="00454A29" w:rsidRDefault="00454A29">
            <w:pPr>
              <w:pStyle w:val="ConsPlusNormal"/>
              <w:jc w:val="center"/>
            </w:pPr>
            <w:r>
              <w:t>20 178,99</w:t>
            </w:r>
          </w:p>
        </w:tc>
        <w:tc>
          <w:tcPr>
            <w:tcW w:w="1814" w:type="dxa"/>
            <w:vAlign w:val="center"/>
          </w:tcPr>
          <w:p w14:paraId="66424C4E" w14:textId="77777777" w:rsidR="00454A29" w:rsidRDefault="00454A29">
            <w:pPr>
              <w:pStyle w:val="ConsPlusNormal"/>
            </w:pPr>
          </w:p>
        </w:tc>
      </w:tr>
      <w:tr w:rsidR="00454A29" w14:paraId="3F58881C" w14:textId="77777777">
        <w:tc>
          <w:tcPr>
            <w:tcW w:w="567" w:type="dxa"/>
            <w:vMerge/>
          </w:tcPr>
          <w:p w14:paraId="0CF020FB" w14:textId="77777777" w:rsidR="00454A29" w:rsidRDefault="00454A29"/>
        </w:tc>
        <w:tc>
          <w:tcPr>
            <w:tcW w:w="3345" w:type="dxa"/>
            <w:vMerge/>
          </w:tcPr>
          <w:p w14:paraId="732DFB99" w14:textId="77777777" w:rsidR="00454A29" w:rsidRDefault="00454A29"/>
        </w:tc>
        <w:tc>
          <w:tcPr>
            <w:tcW w:w="1701" w:type="dxa"/>
            <w:vAlign w:val="center"/>
          </w:tcPr>
          <w:p w14:paraId="461A022F" w14:textId="77777777" w:rsidR="00454A29" w:rsidRDefault="00454A29">
            <w:pPr>
              <w:pStyle w:val="ConsPlusNormal"/>
              <w:jc w:val="center"/>
            </w:pPr>
            <w:r>
              <w:t>2025</w:t>
            </w:r>
          </w:p>
        </w:tc>
        <w:tc>
          <w:tcPr>
            <w:tcW w:w="1417" w:type="dxa"/>
            <w:vMerge/>
          </w:tcPr>
          <w:p w14:paraId="6ED2AA99" w14:textId="77777777" w:rsidR="00454A29" w:rsidRDefault="00454A29"/>
        </w:tc>
        <w:tc>
          <w:tcPr>
            <w:tcW w:w="2204" w:type="dxa"/>
            <w:vMerge/>
          </w:tcPr>
          <w:p w14:paraId="22E7B482" w14:textId="77777777" w:rsidR="00454A29" w:rsidRDefault="00454A29"/>
        </w:tc>
        <w:tc>
          <w:tcPr>
            <w:tcW w:w="1417" w:type="dxa"/>
            <w:vMerge/>
          </w:tcPr>
          <w:p w14:paraId="2E049BB2" w14:textId="77777777" w:rsidR="00454A29" w:rsidRDefault="00454A29"/>
        </w:tc>
        <w:tc>
          <w:tcPr>
            <w:tcW w:w="2324" w:type="dxa"/>
            <w:vMerge/>
          </w:tcPr>
          <w:p w14:paraId="01D5C58C" w14:textId="77777777" w:rsidR="00454A29" w:rsidRDefault="00454A29"/>
        </w:tc>
        <w:tc>
          <w:tcPr>
            <w:tcW w:w="1701" w:type="dxa"/>
            <w:vAlign w:val="center"/>
          </w:tcPr>
          <w:p w14:paraId="01084316" w14:textId="77777777" w:rsidR="00454A29" w:rsidRDefault="00454A29">
            <w:pPr>
              <w:pStyle w:val="ConsPlusNormal"/>
              <w:jc w:val="center"/>
            </w:pPr>
            <w:r>
              <w:t>62 946,15</w:t>
            </w:r>
          </w:p>
        </w:tc>
        <w:tc>
          <w:tcPr>
            <w:tcW w:w="1814" w:type="dxa"/>
            <w:vAlign w:val="center"/>
          </w:tcPr>
          <w:p w14:paraId="35025173" w14:textId="77777777" w:rsidR="00454A29" w:rsidRDefault="00454A29">
            <w:pPr>
              <w:pStyle w:val="ConsPlusNormal"/>
              <w:jc w:val="center"/>
            </w:pPr>
            <w:r>
              <w:t>62 946,15</w:t>
            </w:r>
          </w:p>
        </w:tc>
        <w:tc>
          <w:tcPr>
            <w:tcW w:w="1701" w:type="dxa"/>
            <w:vAlign w:val="center"/>
          </w:tcPr>
          <w:p w14:paraId="34FB8AEE" w14:textId="77777777" w:rsidR="00454A29" w:rsidRDefault="00454A29">
            <w:pPr>
              <w:pStyle w:val="ConsPlusNormal"/>
            </w:pPr>
          </w:p>
        </w:tc>
        <w:tc>
          <w:tcPr>
            <w:tcW w:w="1701" w:type="dxa"/>
            <w:vAlign w:val="center"/>
          </w:tcPr>
          <w:p w14:paraId="310D9135" w14:textId="77777777" w:rsidR="00454A29" w:rsidRDefault="00454A29">
            <w:pPr>
              <w:pStyle w:val="ConsPlusNormal"/>
            </w:pPr>
          </w:p>
        </w:tc>
        <w:tc>
          <w:tcPr>
            <w:tcW w:w="1814" w:type="dxa"/>
            <w:vAlign w:val="center"/>
          </w:tcPr>
          <w:p w14:paraId="70887E0C" w14:textId="77777777" w:rsidR="00454A29" w:rsidRDefault="00454A29">
            <w:pPr>
              <w:pStyle w:val="ConsPlusNormal"/>
            </w:pPr>
          </w:p>
        </w:tc>
      </w:tr>
      <w:tr w:rsidR="00454A29" w14:paraId="5CF5D48D" w14:textId="77777777">
        <w:tc>
          <w:tcPr>
            <w:tcW w:w="567" w:type="dxa"/>
            <w:vMerge w:val="restart"/>
            <w:vAlign w:val="center"/>
          </w:tcPr>
          <w:p w14:paraId="426A7210" w14:textId="77777777" w:rsidR="00454A29" w:rsidRDefault="00454A29">
            <w:pPr>
              <w:pStyle w:val="ConsPlusNormal"/>
              <w:jc w:val="center"/>
            </w:pPr>
            <w:r>
              <w:t>58</w:t>
            </w:r>
          </w:p>
        </w:tc>
        <w:tc>
          <w:tcPr>
            <w:tcW w:w="3345" w:type="dxa"/>
            <w:vMerge w:val="restart"/>
            <w:vAlign w:val="center"/>
          </w:tcPr>
          <w:p w14:paraId="08A6AC21" w14:textId="77777777" w:rsidR="00454A29" w:rsidRDefault="00454A29">
            <w:pPr>
              <w:pStyle w:val="ConsPlusNormal"/>
              <w:jc w:val="center"/>
            </w:pPr>
            <w:r>
              <w:t>Детский сад на 240 мест в с. Верхневилюйск Верхневилюйского улуса</w:t>
            </w:r>
          </w:p>
        </w:tc>
        <w:tc>
          <w:tcPr>
            <w:tcW w:w="1701" w:type="dxa"/>
            <w:vAlign w:val="center"/>
          </w:tcPr>
          <w:p w14:paraId="7D261912" w14:textId="77777777" w:rsidR="00454A29" w:rsidRDefault="00454A29">
            <w:pPr>
              <w:pStyle w:val="ConsPlusNormal"/>
              <w:jc w:val="center"/>
            </w:pPr>
            <w:r>
              <w:t>2016 - 2025 годы - всего</w:t>
            </w:r>
          </w:p>
        </w:tc>
        <w:tc>
          <w:tcPr>
            <w:tcW w:w="1417" w:type="dxa"/>
            <w:vMerge w:val="restart"/>
            <w:vAlign w:val="center"/>
          </w:tcPr>
          <w:p w14:paraId="399CB263" w14:textId="77777777" w:rsidR="00454A29" w:rsidRDefault="00454A29">
            <w:pPr>
              <w:pStyle w:val="ConsPlusNormal"/>
              <w:jc w:val="center"/>
            </w:pPr>
            <w:r>
              <w:t>315 033,11</w:t>
            </w:r>
          </w:p>
        </w:tc>
        <w:tc>
          <w:tcPr>
            <w:tcW w:w="2204" w:type="dxa"/>
            <w:vMerge w:val="restart"/>
            <w:vAlign w:val="center"/>
          </w:tcPr>
          <w:p w14:paraId="4B745AB4" w14:textId="77777777" w:rsidR="00454A29" w:rsidRDefault="00454A29">
            <w:pPr>
              <w:pStyle w:val="ConsPlusNormal"/>
              <w:jc w:val="center"/>
            </w:pPr>
            <w:r>
              <w:t>имеется</w:t>
            </w:r>
          </w:p>
        </w:tc>
        <w:tc>
          <w:tcPr>
            <w:tcW w:w="1417" w:type="dxa"/>
            <w:vMerge w:val="restart"/>
            <w:vAlign w:val="center"/>
          </w:tcPr>
          <w:p w14:paraId="49C883F5" w14:textId="77777777" w:rsidR="00454A29" w:rsidRDefault="00454A29">
            <w:pPr>
              <w:pStyle w:val="ConsPlusNormal"/>
              <w:jc w:val="center"/>
            </w:pPr>
            <w:r>
              <w:t>240</w:t>
            </w:r>
          </w:p>
        </w:tc>
        <w:tc>
          <w:tcPr>
            <w:tcW w:w="2324" w:type="dxa"/>
            <w:vMerge w:val="restart"/>
            <w:vAlign w:val="center"/>
          </w:tcPr>
          <w:p w14:paraId="2C7B1C4E" w14:textId="77777777" w:rsidR="00454A29" w:rsidRDefault="00454A29">
            <w:pPr>
              <w:pStyle w:val="ConsPlusNormal"/>
              <w:jc w:val="center"/>
            </w:pPr>
            <w:r>
              <w:t>Минэкономики РС(Я)</w:t>
            </w:r>
          </w:p>
        </w:tc>
        <w:tc>
          <w:tcPr>
            <w:tcW w:w="1701" w:type="dxa"/>
            <w:vAlign w:val="center"/>
          </w:tcPr>
          <w:p w14:paraId="09F9AF0F" w14:textId="77777777" w:rsidR="00454A29" w:rsidRDefault="00454A29">
            <w:pPr>
              <w:pStyle w:val="ConsPlusNormal"/>
              <w:jc w:val="center"/>
            </w:pPr>
            <w:r>
              <w:t>1 090 998,90</w:t>
            </w:r>
          </w:p>
        </w:tc>
        <w:tc>
          <w:tcPr>
            <w:tcW w:w="1814" w:type="dxa"/>
            <w:vAlign w:val="center"/>
          </w:tcPr>
          <w:p w14:paraId="4ABD9A4E" w14:textId="77777777" w:rsidR="00454A29" w:rsidRDefault="00454A29">
            <w:pPr>
              <w:pStyle w:val="ConsPlusNormal"/>
              <w:jc w:val="center"/>
            </w:pPr>
            <w:r>
              <w:t>604 139,42</w:t>
            </w:r>
          </w:p>
        </w:tc>
        <w:tc>
          <w:tcPr>
            <w:tcW w:w="1701" w:type="dxa"/>
            <w:vAlign w:val="center"/>
          </w:tcPr>
          <w:p w14:paraId="66D58397" w14:textId="77777777" w:rsidR="00454A29" w:rsidRDefault="00454A29">
            <w:pPr>
              <w:pStyle w:val="ConsPlusNormal"/>
              <w:jc w:val="center"/>
            </w:pPr>
            <w:r>
              <w:t>-</w:t>
            </w:r>
          </w:p>
        </w:tc>
        <w:tc>
          <w:tcPr>
            <w:tcW w:w="1701" w:type="dxa"/>
            <w:vAlign w:val="center"/>
          </w:tcPr>
          <w:p w14:paraId="28262F38" w14:textId="77777777" w:rsidR="00454A29" w:rsidRDefault="00454A29">
            <w:pPr>
              <w:pStyle w:val="ConsPlusNormal"/>
              <w:jc w:val="center"/>
            </w:pPr>
            <w:r>
              <w:t>171 826,38</w:t>
            </w:r>
          </w:p>
        </w:tc>
        <w:tc>
          <w:tcPr>
            <w:tcW w:w="1814" w:type="dxa"/>
            <w:vAlign w:val="center"/>
          </w:tcPr>
          <w:p w14:paraId="5BEE3861" w14:textId="77777777" w:rsidR="00454A29" w:rsidRDefault="00454A29">
            <w:pPr>
              <w:pStyle w:val="ConsPlusNormal"/>
              <w:jc w:val="center"/>
            </w:pPr>
            <w:r>
              <w:t>315 033,11</w:t>
            </w:r>
          </w:p>
        </w:tc>
      </w:tr>
      <w:tr w:rsidR="00454A29" w14:paraId="76801D43" w14:textId="77777777">
        <w:tc>
          <w:tcPr>
            <w:tcW w:w="567" w:type="dxa"/>
            <w:vMerge/>
          </w:tcPr>
          <w:p w14:paraId="5DE813F7" w14:textId="77777777" w:rsidR="00454A29" w:rsidRDefault="00454A29"/>
        </w:tc>
        <w:tc>
          <w:tcPr>
            <w:tcW w:w="3345" w:type="dxa"/>
            <w:vMerge/>
          </w:tcPr>
          <w:p w14:paraId="2B52D667" w14:textId="77777777" w:rsidR="00454A29" w:rsidRDefault="00454A29"/>
        </w:tc>
        <w:tc>
          <w:tcPr>
            <w:tcW w:w="1701" w:type="dxa"/>
            <w:vAlign w:val="center"/>
          </w:tcPr>
          <w:p w14:paraId="23F807EF" w14:textId="77777777" w:rsidR="00454A29" w:rsidRDefault="00454A29">
            <w:pPr>
              <w:pStyle w:val="ConsPlusNormal"/>
              <w:jc w:val="center"/>
            </w:pPr>
            <w:r>
              <w:t>2016</w:t>
            </w:r>
          </w:p>
        </w:tc>
        <w:tc>
          <w:tcPr>
            <w:tcW w:w="1417" w:type="dxa"/>
            <w:vMerge/>
          </w:tcPr>
          <w:p w14:paraId="7D551F7B" w14:textId="77777777" w:rsidR="00454A29" w:rsidRDefault="00454A29"/>
        </w:tc>
        <w:tc>
          <w:tcPr>
            <w:tcW w:w="2204" w:type="dxa"/>
            <w:vMerge/>
          </w:tcPr>
          <w:p w14:paraId="45A5B2B6" w14:textId="77777777" w:rsidR="00454A29" w:rsidRDefault="00454A29"/>
        </w:tc>
        <w:tc>
          <w:tcPr>
            <w:tcW w:w="1417" w:type="dxa"/>
            <w:vMerge/>
          </w:tcPr>
          <w:p w14:paraId="00C5C1DE" w14:textId="77777777" w:rsidR="00454A29" w:rsidRDefault="00454A29"/>
        </w:tc>
        <w:tc>
          <w:tcPr>
            <w:tcW w:w="2324" w:type="dxa"/>
            <w:vMerge/>
          </w:tcPr>
          <w:p w14:paraId="3DAB1BA5" w14:textId="77777777" w:rsidR="00454A29" w:rsidRDefault="00454A29"/>
        </w:tc>
        <w:tc>
          <w:tcPr>
            <w:tcW w:w="1701" w:type="dxa"/>
            <w:vAlign w:val="center"/>
          </w:tcPr>
          <w:p w14:paraId="6850530B" w14:textId="77777777" w:rsidR="00454A29" w:rsidRDefault="00454A29">
            <w:pPr>
              <w:pStyle w:val="ConsPlusNormal"/>
              <w:jc w:val="center"/>
            </w:pPr>
            <w:r>
              <w:t>253 681,83</w:t>
            </w:r>
          </w:p>
        </w:tc>
        <w:tc>
          <w:tcPr>
            <w:tcW w:w="1814" w:type="dxa"/>
            <w:vAlign w:val="center"/>
          </w:tcPr>
          <w:p w14:paraId="6C8ECAF3" w14:textId="77777777" w:rsidR="00454A29" w:rsidRDefault="00454A29">
            <w:pPr>
              <w:pStyle w:val="ConsPlusNormal"/>
              <w:jc w:val="center"/>
            </w:pPr>
            <w:r>
              <w:t>17 407,00</w:t>
            </w:r>
          </w:p>
        </w:tc>
        <w:tc>
          <w:tcPr>
            <w:tcW w:w="1701" w:type="dxa"/>
            <w:vAlign w:val="center"/>
          </w:tcPr>
          <w:p w14:paraId="3D0CB314" w14:textId="77777777" w:rsidR="00454A29" w:rsidRDefault="00454A29">
            <w:pPr>
              <w:pStyle w:val="ConsPlusNormal"/>
            </w:pPr>
          </w:p>
        </w:tc>
        <w:tc>
          <w:tcPr>
            <w:tcW w:w="1701" w:type="dxa"/>
            <w:vAlign w:val="center"/>
          </w:tcPr>
          <w:p w14:paraId="2B3EE833" w14:textId="77777777" w:rsidR="00454A29" w:rsidRDefault="00454A29">
            <w:pPr>
              <w:pStyle w:val="ConsPlusNormal"/>
              <w:jc w:val="center"/>
            </w:pPr>
            <w:r>
              <w:t>-</w:t>
            </w:r>
          </w:p>
        </w:tc>
        <w:tc>
          <w:tcPr>
            <w:tcW w:w="1814" w:type="dxa"/>
            <w:vAlign w:val="center"/>
          </w:tcPr>
          <w:p w14:paraId="275EAF84" w14:textId="77777777" w:rsidR="00454A29" w:rsidRDefault="00454A29">
            <w:pPr>
              <w:pStyle w:val="ConsPlusNormal"/>
              <w:jc w:val="center"/>
            </w:pPr>
            <w:r>
              <w:t>236 274,83</w:t>
            </w:r>
          </w:p>
        </w:tc>
      </w:tr>
      <w:tr w:rsidR="00454A29" w14:paraId="66634932" w14:textId="77777777">
        <w:tc>
          <w:tcPr>
            <w:tcW w:w="567" w:type="dxa"/>
            <w:vMerge/>
          </w:tcPr>
          <w:p w14:paraId="2BEF8A07" w14:textId="77777777" w:rsidR="00454A29" w:rsidRDefault="00454A29"/>
        </w:tc>
        <w:tc>
          <w:tcPr>
            <w:tcW w:w="3345" w:type="dxa"/>
            <w:vMerge/>
          </w:tcPr>
          <w:p w14:paraId="1F8EFD98" w14:textId="77777777" w:rsidR="00454A29" w:rsidRDefault="00454A29"/>
        </w:tc>
        <w:tc>
          <w:tcPr>
            <w:tcW w:w="1701" w:type="dxa"/>
            <w:vAlign w:val="center"/>
          </w:tcPr>
          <w:p w14:paraId="4BA37BE5" w14:textId="77777777" w:rsidR="00454A29" w:rsidRDefault="00454A29">
            <w:pPr>
              <w:pStyle w:val="ConsPlusNormal"/>
              <w:jc w:val="center"/>
            </w:pPr>
            <w:r>
              <w:t>2017</w:t>
            </w:r>
          </w:p>
        </w:tc>
        <w:tc>
          <w:tcPr>
            <w:tcW w:w="1417" w:type="dxa"/>
            <w:vMerge/>
          </w:tcPr>
          <w:p w14:paraId="59D4EB90" w14:textId="77777777" w:rsidR="00454A29" w:rsidRDefault="00454A29"/>
        </w:tc>
        <w:tc>
          <w:tcPr>
            <w:tcW w:w="2204" w:type="dxa"/>
            <w:vMerge/>
          </w:tcPr>
          <w:p w14:paraId="585DD851" w14:textId="77777777" w:rsidR="00454A29" w:rsidRDefault="00454A29"/>
        </w:tc>
        <w:tc>
          <w:tcPr>
            <w:tcW w:w="1417" w:type="dxa"/>
            <w:vMerge/>
          </w:tcPr>
          <w:p w14:paraId="23406F93" w14:textId="77777777" w:rsidR="00454A29" w:rsidRDefault="00454A29"/>
        </w:tc>
        <w:tc>
          <w:tcPr>
            <w:tcW w:w="2324" w:type="dxa"/>
            <w:vMerge/>
          </w:tcPr>
          <w:p w14:paraId="7A050D33" w14:textId="77777777" w:rsidR="00454A29" w:rsidRDefault="00454A29"/>
        </w:tc>
        <w:tc>
          <w:tcPr>
            <w:tcW w:w="1701" w:type="dxa"/>
            <w:vAlign w:val="center"/>
          </w:tcPr>
          <w:p w14:paraId="2ED86393" w14:textId="77777777" w:rsidR="00454A29" w:rsidRDefault="00454A29">
            <w:pPr>
              <w:pStyle w:val="ConsPlusNormal"/>
              <w:jc w:val="center"/>
            </w:pPr>
            <w:r>
              <w:t>131 976,72</w:t>
            </w:r>
          </w:p>
        </w:tc>
        <w:tc>
          <w:tcPr>
            <w:tcW w:w="1814" w:type="dxa"/>
            <w:vAlign w:val="center"/>
          </w:tcPr>
          <w:p w14:paraId="3E70D698" w14:textId="77777777" w:rsidR="00454A29" w:rsidRDefault="00454A29">
            <w:pPr>
              <w:pStyle w:val="ConsPlusNormal"/>
              <w:jc w:val="center"/>
            </w:pPr>
            <w:r>
              <w:t>53 218,45</w:t>
            </w:r>
          </w:p>
        </w:tc>
        <w:tc>
          <w:tcPr>
            <w:tcW w:w="1701" w:type="dxa"/>
            <w:vAlign w:val="center"/>
          </w:tcPr>
          <w:p w14:paraId="09E5570B" w14:textId="77777777" w:rsidR="00454A29" w:rsidRDefault="00454A29">
            <w:pPr>
              <w:pStyle w:val="ConsPlusNormal"/>
            </w:pPr>
          </w:p>
        </w:tc>
        <w:tc>
          <w:tcPr>
            <w:tcW w:w="1701" w:type="dxa"/>
            <w:vAlign w:val="center"/>
          </w:tcPr>
          <w:p w14:paraId="3E4901F6" w14:textId="77777777" w:rsidR="00454A29" w:rsidRDefault="00454A29">
            <w:pPr>
              <w:pStyle w:val="ConsPlusNormal"/>
              <w:jc w:val="center"/>
            </w:pPr>
            <w:r>
              <w:t>-</w:t>
            </w:r>
          </w:p>
        </w:tc>
        <w:tc>
          <w:tcPr>
            <w:tcW w:w="1814" w:type="dxa"/>
            <w:vAlign w:val="center"/>
          </w:tcPr>
          <w:p w14:paraId="11DD005A" w14:textId="77777777" w:rsidR="00454A29" w:rsidRDefault="00454A29">
            <w:pPr>
              <w:pStyle w:val="ConsPlusNormal"/>
              <w:jc w:val="center"/>
            </w:pPr>
            <w:r>
              <w:t>78 758,28</w:t>
            </w:r>
          </w:p>
        </w:tc>
      </w:tr>
      <w:tr w:rsidR="00454A29" w14:paraId="120E7E30" w14:textId="77777777">
        <w:tc>
          <w:tcPr>
            <w:tcW w:w="567" w:type="dxa"/>
            <w:vMerge/>
          </w:tcPr>
          <w:p w14:paraId="09FBEE77" w14:textId="77777777" w:rsidR="00454A29" w:rsidRDefault="00454A29"/>
        </w:tc>
        <w:tc>
          <w:tcPr>
            <w:tcW w:w="3345" w:type="dxa"/>
            <w:vMerge/>
          </w:tcPr>
          <w:p w14:paraId="20F802E8" w14:textId="77777777" w:rsidR="00454A29" w:rsidRDefault="00454A29"/>
        </w:tc>
        <w:tc>
          <w:tcPr>
            <w:tcW w:w="1701" w:type="dxa"/>
            <w:vAlign w:val="center"/>
          </w:tcPr>
          <w:p w14:paraId="6594302E" w14:textId="77777777" w:rsidR="00454A29" w:rsidRDefault="00454A29">
            <w:pPr>
              <w:pStyle w:val="ConsPlusNormal"/>
              <w:jc w:val="center"/>
            </w:pPr>
            <w:r>
              <w:t>2018</w:t>
            </w:r>
          </w:p>
        </w:tc>
        <w:tc>
          <w:tcPr>
            <w:tcW w:w="1417" w:type="dxa"/>
            <w:vMerge/>
          </w:tcPr>
          <w:p w14:paraId="010953DE" w14:textId="77777777" w:rsidR="00454A29" w:rsidRDefault="00454A29"/>
        </w:tc>
        <w:tc>
          <w:tcPr>
            <w:tcW w:w="2204" w:type="dxa"/>
            <w:vMerge/>
          </w:tcPr>
          <w:p w14:paraId="5DE3287D" w14:textId="77777777" w:rsidR="00454A29" w:rsidRDefault="00454A29"/>
        </w:tc>
        <w:tc>
          <w:tcPr>
            <w:tcW w:w="1417" w:type="dxa"/>
            <w:vMerge/>
          </w:tcPr>
          <w:p w14:paraId="6E953021" w14:textId="77777777" w:rsidR="00454A29" w:rsidRDefault="00454A29"/>
        </w:tc>
        <w:tc>
          <w:tcPr>
            <w:tcW w:w="2324" w:type="dxa"/>
            <w:vMerge/>
          </w:tcPr>
          <w:p w14:paraId="6C645CCB" w14:textId="77777777" w:rsidR="00454A29" w:rsidRDefault="00454A29"/>
        </w:tc>
        <w:tc>
          <w:tcPr>
            <w:tcW w:w="1701" w:type="dxa"/>
            <w:vAlign w:val="center"/>
          </w:tcPr>
          <w:p w14:paraId="6148CCDB" w14:textId="77777777" w:rsidR="00454A29" w:rsidRDefault="00454A29">
            <w:pPr>
              <w:pStyle w:val="ConsPlusNormal"/>
              <w:jc w:val="center"/>
            </w:pPr>
            <w:r>
              <w:t>80 846,45</w:t>
            </w:r>
          </w:p>
        </w:tc>
        <w:tc>
          <w:tcPr>
            <w:tcW w:w="1814" w:type="dxa"/>
            <w:vAlign w:val="center"/>
          </w:tcPr>
          <w:p w14:paraId="40E7EA2A" w14:textId="77777777" w:rsidR="00454A29" w:rsidRDefault="00454A29">
            <w:pPr>
              <w:pStyle w:val="ConsPlusNormal"/>
              <w:jc w:val="center"/>
            </w:pPr>
            <w:r>
              <w:t>62 269,83</w:t>
            </w:r>
          </w:p>
        </w:tc>
        <w:tc>
          <w:tcPr>
            <w:tcW w:w="1701" w:type="dxa"/>
            <w:vAlign w:val="center"/>
          </w:tcPr>
          <w:p w14:paraId="1C0F29B9" w14:textId="77777777" w:rsidR="00454A29" w:rsidRDefault="00454A29">
            <w:pPr>
              <w:pStyle w:val="ConsPlusNormal"/>
            </w:pPr>
          </w:p>
        </w:tc>
        <w:tc>
          <w:tcPr>
            <w:tcW w:w="1701" w:type="dxa"/>
            <w:vAlign w:val="center"/>
          </w:tcPr>
          <w:p w14:paraId="0CC0573B" w14:textId="77777777" w:rsidR="00454A29" w:rsidRDefault="00454A29">
            <w:pPr>
              <w:pStyle w:val="ConsPlusNormal"/>
              <w:jc w:val="center"/>
            </w:pPr>
            <w:r>
              <w:t>18 576,61</w:t>
            </w:r>
          </w:p>
        </w:tc>
        <w:tc>
          <w:tcPr>
            <w:tcW w:w="1814" w:type="dxa"/>
            <w:vAlign w:val="center"/>
          </w:tcPr>
          <w:p w14:paraId="49DF2EAD" w14:textId="77777777" w:rsidR="00454A29" w:rsidRDefault="00454A29">
            <w:pPr>
              <w:pStyle w:val="ConsPlusNormal"/>
            </w:pPr>
          </w:p>
        </w:tc>
      </w:tr>
      <w:tr w:rsidR="00454A29" w14:paraId="4B05EBD1" w14:textId="77777777">
        <w:tc>
          <w:tcPr>
            <w:tcW w:w="567" w:type="dxa"/>
            <w:vMerge/>
          </w:tcPr>
          <w:p w14:paraId="510BBB06" w14:textId="77777777" w:rsidR="00454A29" w:rsidRDefault="00454A29"/>
        </w:tc>
        <w:tc>
          <w:tcPr>
            <w:tcW w:w="3345" w:type="dxa"/>
            <w:vMerge/>
          </w:tcPr>
          <w:p w14:paraId="4A12A8E0" w14:textId="77777777" w:rsidR="00454A29" w:rsidRDefault="00454A29"/>
        </w:tc>
        <w:tc>
          <w:tcPr>
            <w:tcW w:w="1701" w:type="dxa"/>
            <w:vAlign w:val="center"/>
          </w:tcPr>
          <w:p w14:paraId="48E56F18" w14:textId="77777777" w:rsidR="00454A29" w:rsidRDefault="00454A29">
            <w:pPr>
              <w:pStyle w:val="ConsPlusNormal"/>
              <w:jc w:val="center"/>
            </w:pPr>
            <w:r>
              <w:t>2019</w:t>
            </w:r>
          </w:p>
        </w:tc>
        <w:tc>
          <w:tcPr>
            <w:tcW w:w="1417" w:type="dxa"/>
            <w:vMerge/>
          </w:tcPr>
          <w:p w14:paraId="24E3BDC4" w14:textId="77777777" w:rsidR="00454A29" w:rsidRDefault="00454A29"/>
        </w:tc>
        <w:tc>
          <w:tcPr>
            <w:tcW w:w="2204" w:type="dxa"/>
            <w:vMerge/>
          </w:tcPr>
          <w:p w14:paraId="4FF3DE12" w14:textId="77777777" w:rsidR="00454A29" w:rsidRDefault="00454A29"/>
        </w:tc>
        <w:tc>
          <w:tcPr>
            <w:tcW w:w="1417" w:type="dxa"/>
            <w:vMerge/>
          </w:tcPr>
          <w:p w14:paraId="599B3885" w14:textId="77777777" w:rsidR="00454A29" w:rsidRDefault="00454A29"/>
        </w:tc>
        <w:tc>
          <w:tcPr>
            <w:tcW w:w="2324" w:type="dxa"/>
            <w:vMerge/>
          </w:tcPr>
          <w:p w14:paraId="32D43A4E" w14:textId="77777777" w:rsidR="00454A29" w:rsidRDefault="00454A29"/>
        </w:tc>
        <w:tc>
          <w:tcPr>
            <w:tcW w:w="1701" w:type="dxa"/>
            <w:vAlign w:val="center"/>
          </w:tcPr>
          <w:p w14:paraId="12CDA312" w14:textId="77777777" w:rsidR="00454A29" w:rsidRDefault="00454A29">
            <w:pPr>
              <w:pStyle w:val="ConsPlusNormal"/>
              <w:jc w:val="center"/>
            </w:pPr>
            <w:r>
              <w:t>80 888,56</w:t>
            </w:r>
          </w:p>
        </w:tc>
        <w:tc>
          <w:tcPr>
            <w:tcW w:w="1814" w:type="dxa"/>
            <w:vAlign w:val="center"/>
          </w:tcPr>
          <w:p w14:paraId="75F5B01E" w14:textId="77777777" w:rsidR="00454A29" w:rsidRDefault="00454A29">
            <w:pPr>
              <w:pStyle w:val="ConsPlusNormal"/>
              <w:jc w:val="center"/>
            </w:pPr>
            <w:r>
              <w:t>61 364,54</w:t>
            </w:r>
          </w:p>
        </w:tc>
        <w:tc>
          <w:tcPr>
            <w:tcW w:w="1701" w:type="dxa"/>
            <w:vAlign w:val="center"/>
          </w:tcPr>
          <w:p w14:paraId="6D727325" w14:textId="77777777" w:rsidR="00454A29" w:rsidRDefault="00454A29">
            <w:pPr>
              <w:pStyle w:val="ConsPlusNormal"/>
            </w:pPr>
          </w:p>
        </w:tc>
        <w:tc>
          <w:tcPr>
            <w:tcW w:w="1701" w:type="dxa"/>
            <w:vAlign w:val="center"/>
          </w:tcPr>
          <w:p w14:paraId="5AB84335" w14:textId="77777777" w:rsidR="00454A29" w:rsidRDefault="00454A29">
            <w:pPr>
              <w:pStyle w:val="ConsPlusNormal"/>
              <w:jc w:val="center"/>
            </w:pPr>
            <w:r>
              <w:t>19 524,02</w:t>
            </w:r>
          </w:p>
        </w:tc>
        <w:tc>
          <w:tcPr>
            <w:tcW w:w="1814" w:type="dxa"/>
            <w:vAlign w:val="center"/>
          </w:tcPr>
          <w:p w14:paraId="69F73054" w14:textId="77777777" w:rsidR="00454A29" w:rsidRDefault="00454A29">
            <w:pPr>
              <w:pStyle w:val="ConsPlusNormal"/>
            </w:pPr>
          </w:p>
        </w:tc>
      </w:tr>
      <w:tr w:rsidR="00454A29" w14:paraId="106331B9" w14:textId="77777777">
        <w:tc>
          <w:tcPr>
            <w:tcW w:w="567" w:type="dxa"/>
            <w:vMerge/>
          </w:tcPr>
          <w:p w14:paraId="3D34A0F2" w14:textId="77777777" w:rsidR="00454A29" w:rsidRDefault="00454A29"/>
        </w:tc>
        <w:tc>
          <w:tcPr>
            <w:tcW w:w="3345" w:type="dxa"/>
            <w:vMerge/>
          </w:tcPr>
          <w:p w14:paraId="270F2C99" w14:textId="77777777" w:rsidR="00454A29" w:rsidRDefault="00454A29"/>
        </w:tc>
        <w:tc>
          <w:tcPr>
            <w:tcW w:w="1701" w:type="dxa"/>
            <w:vAlign w:val="center"/>
          </w:tcPr>
          <w:p w14:paraId="0C2EA467" w14:textId="77777777" w:rsidR="00454A29" w:rsidRDefault="00454A29">
            <w:pPr>
              <w:pStyle w:val="ConsPlusNormal"/>
              <w:jc w:val="center"/>
            </w:pPr>
            <w:r>
              <w:t>2020</w:t>
            </w:r>
          </w:p>
        </w:tc>
        <w:tc>
          <w:tcPr>
            <w:tcW w:w="1417" w:type="dxa"/>
            <w:vMerge/>
          </w:tcPr>
          <w:p w14:paraId="7465CD72" w14:textId="77777777" w:rsidR="00454A29" w:rsidRDefault="00454A29"/>
        </w:tc>
        <w:tc>
          <w:tcPr>
            <w:tcW w:w="2204" w:type="dxa"/>
            <w:vMerge/>
          </w:tcPr>
          <w:p w14:paraId="008779F1" w14:textId="77777777" w:rsidR="00454A29" w:rsidRDefault="00454A29"/>
        </w:tc>
        <w:tc>
          <w:tcPr>
            <w:tcW w:w="1417" w:type="dxa"/>
            <w:vMerge/>
          </w:tcPr>
          <w:p w14:paraId="685DB8D6" w14:textId="77777777" w:rsidR="00454A29" w:rsidRDefault="00454A29"/>
        </w:tc>
        <w:tc>
          <w:tcPr>
            <w:tcW w:w="2324" w:type="dxa"/>
            <w:vMerge/>
          </w:tcPr>
          <w:p w14:paraId="6E88E2FA" w14:textId="77777777" w:rsidR="00454A29" w:rsidRDefault="00454A29"/>
        </w:tc>
        <w:tc>
          <w:tcPr>
            <w:tcW w:w="1701" w:type="dxa"/>
            <w:vAlign w:val="center"/>
          </w:tcPr>
          <w:p w14:paraId="14787215" w14:textId="77777777" w:rsidR="00454A29" w:rsidRDefault="00454A29">
            <w:pPr>
              <w:pStyle w:val="ConsPlusNormal"/>
              <w:jc w:val="center"/>
            </w:pPr>
            <w:r>
              <w:t>87 952,76</w:t>
            </w:r>
          </w:p>
        </w:tc>
        <w:tc>
          <w:tcPr>
            <w:tcW w:w="1814" w:type="dxa"/>
            <w:vAlign w:val="center"/>
          </w:tcPr>
          <w:p w14:paraId="6BBD3A69" w14:textId="77777777" w:rsidR="00454A29" w:rsidRDefault="00454A29">
            <w:pPr>
              <w:pStyle w:val="ConsPlusNormal"/>
              <w:jc w:val="center"/>
            </w:pPr>
            <w:r>
              <w:t>67 550,16</w:t>
            </w:r>
          </w:p>
        </w:tc>
        <w:tc>
          <w:tcPr>
            <w:tcW w:w="1701" w:type="dxa"/>
            <w:vAlign w:val="center"/>
          </w:tcPr>
          <w:p w14:paraId="5576C37B" w14:textId="77777777" w:rsidR="00454A29" w:rsidRDefault="00454A29">
            <w:pPr>
              <w:pStyle w:val="ConsPlusNormal"/>
            </w:pPr>
          </w:p>
        </w:tc>
        <w:tc>
          <w:tcPr>
            <w:tcW w:w="1701" w:type="dxa"/>
            <w:vAlign w:val="center"/>
          </w:tcPr>
          <w:p w14:paraId="483630E8" w14:textId="77777777" w:rsidR="00454A29" w:rsidRDefault="00454A29">
            <w:pPr>
              <w:pStyle w:val="ConsPlusNormal"/>
              <w:jc w:val="center"/>
            </w:pPr>
            <w:r>
              <w:t>20 402,60</w:t>
            </w:r>
          </w:p>
        </w:tc>
        <w:tc>
          <w:tcPr>
            <w:tcW w:w="1814" w:type="dxa"/>
            <w:vAlign w:val="center"/>
          </w:tcPr>
          <w:p w14:paraId="61FF0B59" w14:textId="77777777" w:rsidR="00454A29" w:rsidRDefault="00454A29">
            <w:pPr>
              <w:pStyle w:val="ConsPlusNormal"/>
            </w:pPr>
          </w:p>
        </w:tc>
      </w:tr>
      <w:tr w:rsidR="00454A29" w14:paraId="323D1021" w14:textId="77777777">
        <w:tc>
          <w:tcPr>
            <w:tcW w:w="567" w:type="dxa"/>
            <w:vMerge/>
          </w:tcPr>
          <w:p w14:paraId="48773842" w14:textId="77777777" w:rsidR="00454A29" w:rsidRDefault="00454A29"/>
        </w:tc>
        <w:tc>
          <w:tcPr>
            <w:tcW w:w="3345" w:type="dxa"/>
            <w:vMerge/>
          </w:tcPr>
          <w:p w14:paraId="20B622B5" w14:textId="77777777" w:rsidR="00454A29" w:rsidRDefault="00454A29"/>
        </w:tc>
        <w:tc>
          <w:tcPr>
            <w:tcW w:w="1701" w:type="dxa"/>
            <w:vAlign w:val="center"/>
          </w:tcPr>
          <w:p w14:paraId="065E2E5B" w14:textId="77777777" w:rsidR="00454A29" w:rsidRDefault="00454A29">
            <w:pPr>
              <w:pStyle w:val="ConsPlusNormal"/>
              <w:jc w:val="center"/>
            </w:pPr>
            <w:r>
              <w:t>2021</w:t>
            </w:r>
          </w:p>
        </w:tc>
        <w:tc>
          <w:tcPr>
            <w:tcW w:w="1417" w:type="dxa"/>
            <w:vMerge/>
          </w:tcPr>
          <w:p w14:paraId="6625202A" w14:textId="77777777" w:rsidR="00454A29" w:rsidRDefault="00454A29"/>
        </w:tc>
        <w:tc>
          <w:tcPr>
            <w:tcW w:w="2204" w:type="dxa"/>
            <w:vMerge/>
          </w:tcPr>
          <w:p w14:paraId="394FD38F" w14:textId="77777777" w:rsidR="00454A29" w:rsidRDefault="00454A29"/>
        </w:tc>
        <w:tc>
          <w:tcPr>
            <w:tcW w:w="1417" w:type="dxa"/>
            <w:vMerge/>
          </w:tcPr>
          <w:p w14:paraId="4673E8CB" w14:textId="77777777" w:rsidR="00454A29" w:rsidRDefault="00454A29"/>
        </w:tc>
        <w:tc>
          <w:tcPr>
            <w:tcW w:w="2324" w:type="dxa"/>
            <w:vMerge/>
          </w:tcPr>
          <w:p w14:paraId="67B69766" w14:textId="77777777" w:rsidR="00454A29" w:rsidRDefault="00454A29"/>
        </w:tc>
        <w:tc>
          <w:tcPr>
            <w:tcW w:w="1701" w:type="dxa"/>
            <w:vAlign w:val="center"/>
          </w:tcPr>
          <w:p w14:paraId="62DB1438" w14:textId="77777777" w:rsidR="00454A29" w:rsidRDefault="00454A29">
            <w:pPr>
              <w:pStyle w:val="ConsPlusNormal"/>
              <w:jc w:val="center"/>
            </w:pPr>
            <w:r>
              <w:t>86 913,31</w:t>
            </w:r>
          </w:p>
        </w:tc>
        <w:tc>
          <w:tcPr>
            <w:tcW w:w="1814" w:type="dxa"/>
            <w:vAlign w:val="center"/>
          </w:tcPr>
          <w:p w14:paraId="09A3A554" w14:textId="77777777" w:rsidR="00454A29" w:rsidRDefault="00454A29">
            <w:pPr>
              <w:pStyle w:val="ConsPlusNormal"/>
              <w:jc w:val="center"/>
            </w:pPr>
            <w:r>
              <w:t>65 694,60</w:t>
            </w:r>
          </w:p>
        </w:tc>
        <w:tc>
          <w:tcPr>
            <w:tcW w:w="1701" w:type="dxa"/>
            <w:vAlign w:val="center"/>
          </w:tcPr>
          <w:p w14:paraId="660A3A17" w14:textId="77777777" w:rsidR="00454A29" w:rsidRDefault="00454A29">
            <w:pPr>
              <w:pStyle w:val="ConsPlusNormal"/>
            </w:pPr>
          </w:p>
        </w:tc>
        <w:tc>
          <w:tcPr>
            <w:tcW w:w="1701" w:type="dxa"/>
            <w:vAlign w:val="center"/>
          </w:tcPr>
          <w:p w14:paraId="31637580" w14:textId="77777777" w:rsidR="00454A29" w:rsidRDefault="00454A29">
            <w:pPr>
              <w:pStyle w:val="ConsPlusNormal"/>
              <w:jc w:val="center"/>
            </w:pPr>
            <w:r>
              <w:t>21 218,71</w:t>
            </w:r>
          </w:p>
        </w:tc>
        <w:tc>
          <w:tcPr>
            <w:tcW w:w="1814" w:type="dxa"/>
            <w:vAlign w:val="center"/>
          </w:tcPr>
          <w:p w14:paraId="4F9F6D9D" w14:textId="77777777" w:rsidR="00454A29" w:rsidRDefault="00454A29">
            <w:pPr>
              <w:pStyle w:val="ConsPlusNormal"/>
            </w:pPr>
          </w:p>
        </w:tc>
      </w:tr>
      <w:tr w:rsidR="00454A29" w14:paraId="1EAF5E08" w14:textId="77777777">
        <w:tc>
          <w:tcPr>
            <w:tcW w:w="567" w:type="dxa"/>
            <w:vMerge/>
          </w:tcPr>
          <w:p w14:paraId="6BA091A2" w14:textId="77777777" w:rsidR="00454A29" w:rsidRDefault="00454A29"/>
        </w:tc>
        <w:tc>
          <w:tcPr>
            <w:tcW w:w="3345" w:type="dxa"/>
            <w:vMerge/>
          </w:tcPr>
          <w:p w14:paraId="09FFF748" w14:textId="77777777" w:rsidR="00454A29" w:rsidRDefault="00454A29"/>
        </w:tc>
        <w:tc>
          <w:tcPr>
            <w:tcW w:w="1701" w:type="dxa"/>
            <w:vAlign w:val="center"/>
          </w:tcPr>
          <w:p w14:paraId="3BBE2959" w14:textId="77777777" w:rsidR="00454A29" w:rsidRDefault="00454A29">
            <w:pPr>
              <w:pStyle w:val="ConsPlusNormal"/>
              <w:jc w:val="center"/>
            </w:pPr>
            <w:r>
              <w:t>2022</w:t>
            </w:r>
          </w:p>
        </w:tc>
        <w:tc>
          <w:tcPr>
            <w:tcW w:w="1417" w:type="dxa"/>
            <w:vMerge/>
          </w:tcPr>
          <w:p w14:paraId="09450AE9" w14:textId="77777777" w:rsidR="00454A29" w:rsidRDefault="00454A29"/>
        </w:tc>
        <w:tc>
          <w:tcPr>
            <w:tcW w:w="2204" w:type="dxa"/>
            <w:vMerge/>
          </w:tcPr>
          <w:p w14:paraId="38C03C60" w14:textId="77777777" w:rsidR="00454A29" w:rsidRDefault="00454A29"/>
        </w:tc>
        <w:tc>
          <w:tcPr>
            <w:tcW w:w="1417" w:type="dxa"/>
            <w:vMerge/>
          </w:tcPr>
          <w:p w14:paraId="41D8FD66" w14:textId="77777777" w:rsidR="00454A29" w:rsidRDefault="00454A29"/>
        </w:tc>
        <w:tc>
          <w:tcPr>
            <w:tcW w:w="2324" w:type="dxa"/>
            <w:vMerge/>
          </w:tcPr>
          <w:p w14:paraId="3C7E19AE" w14:textId="77777777" w:rsidR="00454A29" w:rsidRDefault="00454A29"/>
        </w:tc>
        <w:tc>
          <w:tcPr>
            <w:tcW w:w="1701" w:type="dxa"/>
            <w:vAlign w:val="center"/>
          </w:tcPr>
          <w:p w14:paraId="4CAC0A11" w14:textId="77777777" w:rsidR="00454A29" w:rsidRDefault="00454A29">
            <w:pPr>
              <w:pStyle w:val="ConsPlusNormal"/>
              <w:jc w:val="center"/>
            </w:pPr>
            <w:r>
              <w:t>91 120,07</w:t>
            </w:r>
          </w:p>
        </w:tc>
        <w:tc>
          <w:tcPr>
            <w:tcW w:w="1814" w:type="dxa"/>
            <w:vAlign w:val="center"/>
          </w:tcPr>
          <w:p w14:paraId="7F0B108E" w14:textId="77777777" w:rsidR="00454A29" w:rsidRDefault="00454A29">
            <w:pPr>
              <w:pStyle w:val="ConsPlusNormal"/>
              <w:jc w:val="center"/>
            </w:pPr>
            <w:r>
              <w:t>69 158,71</w:t>
            </w:r>
          </w:p>
        </w:tc>
        <w:tc>
          <w:tcPr>
            <w:tcW w:w="1701" w:type="dxa"/>
            <w:vAlign w:val="center"/>
          </w:tcPr>
          <w:p w14:paraId="66870461" w14:textId="77777777" w:rsidR="00454A29" w:rsidRDefault="00454A29">
            <w:pPr>
              <w:pStyle w:val="ConsPlusNormal"/>
            </w:pPr>
          </w:p>
        </w:tc>
        <w:tc>
          <w:tcPr>
            <w:tcW w:w="1701" w:type="dxa"/>
            <w:vAlign w:val="center"/>
          </w:tcPr>
          <w:p w14:paraId="64BFF38C" w14:textId="77777777" w:rsidR="00454A29" w:rsidRDefault="00454A29">
            <w:pPr>
              <w:pStyle w:val="ConsPlusNormal"/>
              <w:jc w:val="center"/>
            </w:pPr>
            <w:r>
              <w:t>21 961,36</w:t>
            </w:r>
          </w:p>
        </w:tc>
        <w:tc>
          <w:tcPr>
            <w:tcW w:w="1814" w:type="dxa"/>
            <w:vAlign w:val="center"/>
          </w:tcPr>
          <w:p w14:paraId="32EF3ACB" w14:textId="77777777" w:rsidR="00454A29" w:rsidRDefault="00454A29">
            <w:pPr>
              <w:pStyle w:val="ConsPlusNormal"/>
            </w:pPr>
          </w:p>
        </w:tc>
      </w:tr>
      <w:tr w:rsidR="00454A29" w14:paraId="6C3A7112" w14:textId="77777777">
        <w:tc>
          <w:tcPr>
            <w:tcW w:w="567" w:type="dxa"/>
            <w:vMerge/>
          </w:tcPr>
          <w:p w14:paraId="48B71C0B" w14:textId="77777777" w:rsidR="00454A29" w:rsidRDefault="00454A29"/>
        </w:tc>
        <w:tc>
          <w:tcPr>
            <w:tcW w:w="3345" w:type="dxa"/>
            <w:vMerge/>
          </w:tcPr>
          <w:p w14:paraId="33BBA23F" w14:textId="77777777" w:rsidR="00454A29" w:rsidRDefault="00454A29"/>
        </w:tc>
        <w:tc>
          <w:tcPr>
            <w:tcW w:w="1701" w:type="dxa"/>
            <w:vAlign w:val="center"/>
          </w:tcPr>
          <w:p w14:paraId="404C12F8" w14:textId="77777777" w:rsidR="00454A29" w:rsidRDefault="00454A29">
            <w:pPr>
              <w:pStyle w:val="ConsPlusNormal"/>
              <w:jc w:val="center"/>
            </w:pPr>
            <w:r>
              <w:t>2023</w:t>
            </w:r>
          </w:p>
        </w:tc>
        <w:tc>
          <w:tcPr>
            <w:tcW w:w="1417" w:type="dxa"/>
            <w:vMerge/>
          </w:tcPr>
          <w:p w14:paraId="418083E5" w14:textId="77777777" w:rsidR="00454A29" w:rsidRDefault="00454A29"/>
        </w:tc>
        <w:tc>
          <w:tcPr>
            <w:tcW w:w="2204" w:type="dxa"/>
            <w:vMerge/>
          </w:tcPr>
          <w:p w14:paraId="7A50ACD3" w14:textId="77777777" w:rsidR="00454A29" w:rsidRDefault="00454A29"/>
        </w:tc>
        <w:tc>
          <w:tcPr>
            <w:tcW w:w="1417" w:type="dxa"/>
            <w:vMerge/>
          </w:tcPr>
          <w:p w14:paraId="0403032E" w14:textId="77777777" w:rsidR="00454A29" w:rsidRDefault="00454A29"/>
        </w:tc>
        <w:tc>
          <w:tcPr>
            <w:tcW w:w="2324" w:type="dxa"/>
            <w:vMerge/>
          </w:tcPr>
          <w:p w14:paraId="029DBE2D" w14:textId="77777777" w:rsidR="00454A29" w:rsidRDefault="00454A29"/>
        </w:tc>
        <w:tc>
          <w:tcPr>
            <w:tcW w:w="1701" w:type="dxa"/>
            <w:vAlign w:val="center"/>
          </w:tcPr>
          <w:p w14:paraId="78957C3E" w14:textId="77777777" w:rsidR="00454A29" w:rsidRDefault="00454A29">
            <w:pPr>
              <w:pStyle w:val="ConsPlusNormal"/>
              <w:jc w:val="center"/>
            </w:pPr>
            <w:r>
              <w:t>91 844,79</w:t>
            </w:r>
          </w:p>
        </w:tc>
        <w:tc>
          <w:tcPr>
            <w:tcW w:w="1814" w:type="dxa"/>
            <w:vAlign w:val="center"/>
          </w:tcPr>
          <w:p w14:paraId="19CC43B3" w14:textId="77777777" w:rsidR="00454A29" w:rsidRDefault="00454A29">
            <w:pPr>
              <w:pStyle w:val="ConsPlusNormal"/>
              <w:jc w:val="center"/>
            </w:pPr>
            <w:r>
              <w:t>69 158,71</w:t>
            </w:r>
          </w:p>
        </w:tc>
        <w:tc>
          <w:tcPr>
            <w:tcW w:w="1701" w:type="dxa"/>
            <w:vAlign w:val="center"/>
          </w:tcPr>
          <w:p w14:paraId="4C4DE718" w14:textId="77777777" w:rsidR="00454A29" w:rsidRDefault="00454A29">
            <w:pPr>
              <w:pStyle w:val="ConsPlusNormal"/>
            </w:pPr>
          </w:p>
        </w:tc>
        <w:tc>
          <w:tcPr>
            <w:tcW w:w="1701" w:type="dxa"/>
            <w:vAlign w:val="center"/>
          </w:tcPr>
          <w:p w14:paraId="63A75EFB" w14:textId="77777777" w:rsidR="00454A29" w:rsidRDefault="00454A29">
            <w:pPr>
              <w:pStyle w:val="ConsPlusNormal"/>
              <w:jc w:val="center"/>
            </w:pPr>
            <w:r>
              <w:t>22 686,08</w:t>
            </w:r>
          </w:p>
        </w:tc>
        <w:tc>
          <w:tcPr>
            <w:tcW w:w="1814" w:type="dxa"/>
            <w:vAlign w:val="center"/>
          </w:tcPr>
          <w:p w14:paraId="26F3A62A" w14:textId="77777777" w:rsidR="00454A29" w:rsidRDefault="00454A29">
            <w:pPr>
              <w:pStyle w:val="ConsPlusNormal"/>
            </w:pPr>
          </w:p>
        </w:tc>
      </w:tr>
      <w:tr w:rsidR="00454A29" w14:paraId="4C7141CA" w14:textId="77777777">
        <w:tc>
          <w:tcPr>
            <w:tcW w:w="567" w:type="dxa"/>
            <w:vMerge/>
          </w:tcPr>
          <w:p w14:paraId="1910BB40" w14:textId="77777777" w:rsidR="00454A29" w:rsidRDefault="00454A29"/>
        </w:tc>
        <w:tc>
          <w:tcPr>
            <w:tcW w:w="3345" w:type="dxa"/>
            <w:vMerge/>
          </w:tcPr>
          <w:p w14:paraId="31EC3588" w14:textId="77777777" w:rsidR="00454A29" w:rsidRDefault="00454A29"/>
        </w:tc>
        <w:tc>
          <w:tcPr>
            <w:tcW w:w="1701" w:type="dxa"/>
            <w:vAlign w:val="center"/>
          </w:tcPr>
          <w:p w14:paraId="4DCE6D7C" w14:textId="77777777" w:rsidR="00454A29" w:rsidRDefault="00454A29">
            <w:pPr>
              <w:pStyle w:val="ConsPlusNormal"/>
              <w:jc w:val="center"/>
            </w:pPr>
            <w:r>
              <w:t>2024</w:t>
            </w:r>
          </w:p>
        </w:tc>
        <w:tc>
          <w:tcPr>
            <w:tcW w:w="1417" w:type="dxa"/>
            <w:vMerge/>
          </w:tcPr>
          <w:p w14:paraId="034B080A" w14:textId="77777777" w:rsidR="00454A29" w:rsidRDefault="00454A29"/>
        </w:tc>
        <w:tc>
          <w:tcPr>
            <w:tcW w:w="2204" w:type="dxa"/>
            <w:vMerge/>
          </w:tcPr>
          <w:p w14:paraId="708020E0" w14:textId="77777777" w:rsidR="00454A29" w:rsidRDefault="00454A29"/>
        </w:tc>
        <w:tc>
          <w:tcPr>
            <w:tcW w:w="1417" w:type="dxa"/>
            <w:vMerge/>
          </w:tcPr>
          <w:p w14:paraId="7E7A28E2" w14:textId="77777777" w:rsidR="00454A29" w:rsidRDefault="00454A29"/>
        </w:tc>
        <w:tc>
          <w:tcPr>
            <w:tcW w:w="2324" w:type="dxa"/>
            <w:vMerge/>
          </w:tcPr>
          <w:p w14:paraId="2F7F7272" w14:textId="77777777" w:rsidR="00454A29" w:rsidRDefault="00454A29"/>
        </w:tc>
        <w:tc>
          <w:tcPr>
            <w:tcW w:w="1701" w:type="dxa"/>
            <w:vAlign w:val="center"/>
          </w:tcPr>
          <w:p w14:paraId="47563B22" w14:textId="77777777" w:rsidR="00454A29" w:rsidRDefault="00454A29">
            <w:pPr>
              <w:pStyle w:val="ConsPlusNormal"/>
              <w:jc w:val="center"/>
            </w:pPr>
            <w:r>
              <w:t>92 548,06</w:t>
            </w:r>
          </w:p>
        </w:tc>
        <w:tc>
          <w:tcPr>
            <w:tcW w:w="1814" w:type="dxa"/>
            <w:vAlign w:val="center"/>
          </w:tcPr>
          <w:p w14:paraId="52275846" w14:textId="77777777" w:rsidR="00454A29" w:rsidRDefault="00454A29">
            <w:pPr>
              <w:pStyle w:val="ConsPlusNormal"/>
              <w:jc w:val="center"/>
            </w:pPr>
            <w:r>
              <w:t>69 158,71</w:t>
            </w:r>
          </w:p>
        </w:tc>
        <w:tc>
          <w:tcPr>
            <w:tcW w:w="1701" w:type="dxa"/>
            <w:vAlign w:val="center"/>
          </w:tcPr>
          <w:p w14:paraId="4A7255DD" w14:textId="77777777" w:rsidR="00454A29" w:rsidRDefault="00454A29">
            <w:pPr>
              <w:pStyle w:val="ConsPlusNormal"/>
            </w:pPr>
          </w:p>
        </w:tc>
        <w:tc>
          <w:tcPr>
            <w:tcW w:w="1701" w:type="dxa"/>
            <w:vAlign w:val="center"/>
          </w:tcPr>
          <w:p w14:paraId="1F54D05C" w14:textId="77777777" w:rsidR="00454A29" w:rsidRDefault="00454A29">
            <w:pPr>
              <w:pStyle w:val="ConsPlusNormal"/>
              <w:jc w:val="center"/>
            </w:pPr>
            <w:r>
              <w:t>23 389,35</w:t>
            </w:r>
          </w:p>
        </w:tc>
        <w:tc>
          <w:tcPr>
            <w:tcW w:w="1814" w:type="dxa"/>
            <w:vAlign w:val="center"/>
          </w:tcPr>
          <w:p w14:paraId="13CA216E" w14:textId="77777777" w:rsidR="00454A29" w:rsidRDefault="00454A29">
            <w:pPr>
              <w:pStyle w:val="ConsPlusNormal"/>
            </w:pPr>
          </w:p>
        </w:tc>
      </w:tr>
      <w:tr w:rsidR="00454A29" w14:paraId="45557CBD" w14:textId="77777777">
        <w:tc>
          <w:tcPr>
            <w:tcW w:w="567" w:type="dxa"/>
            <w:vMerge/>
          </w:tcPr>
          <w:p w14:paraId="2FF5D181" w14:textId="77777777" w:rsidR="00454A29" w:rsidRDefault="00454A29"/>
        </w:tc>
        <w:tc>
          <w:tcPr>
            <w:tcW w:w="3345" w:type="dxa"/>
            <w:vMerge/>
          </w:tcPr>
          <w:p w14:paraId="047303A7" w14:textId="77777777" w:rsidR="00454A29" w:rsidRDefault="00454A29"/>
        </w:tc>
        <w:tc>
          <w:tcPr>
            <w:tcW w:w="1701" w:type="dxa"/>
            <w:vAlign w:val="center"/>
          </w:tcPr>
          <w:p w14:paraId="4B5FE393" w14:textId="77777777" w:rsidR="00454A29" w:rsidRDefault="00454A29">
            <w:pPr>
              <w:pStyle w:val="ConsPlusNormal"/>
              <w:jc w:val="center"/>
            </w:pPr>
            <w:r>
              <w:t>2025</w:t>
            </w:r>
          </w:p>
        </w:tc>
        <w:tc>
          <w:tcPr>
            <w:tcW w:w="1417" w:type="dxa"/>
            <w:vMerge/>
          </w:tcPr>
          <w:p w14:paraId="38AA6A4D" w14:textId="77777777" w:rsidR="00454A29" w:rsidRDefault="00454A29"/>
        </w:tc>
        <w:tc>
          <w:tcPr>
            <w:tcW w:w="2204" w:type="dxa"/>
            <w:vMerge/>
          </w:tcPr>
          <w:p w14:paraId="7CBCD506" w14:textId="77777777" w:rsidR="00454A29" w:rsidRDefault="00454A29"/>
        </w:tc>
        <w:tc>
          <w:tcPr>
            <w:tcW w:w="1417" w:type="dxa"/>
            <w:vMerge/>
          </w:tcPr>
          <w:p w14:paraId="73454B33" w14:textId="77777777" w:rsidR="00454A29" w:rsidRDefault="00454A29"/>
        </w:tc>
        <w:tc>
          <w:tcPr>
            <w:tcW w:w="2324" w:type="dxa"/>
            <w:vMerge/>
          </w:tcPr>
          <w:p w14:paraId="4462E5D4" w14:textId="77777777" w:rsidR="00454A29" w:rsidRDefault="00454A29"/>
        </w:tc>
        <w:tc>
          <w:tcPr>
            <w:tcW w:w="1701" w:type="dxa"/>
            <w:vAlign w:val="center"/>
          </w:tcPr>
          <w:p w14:paraId="2117CB10" w14:textId="77777777" w:rsidR="00454A29" w:rsidRDefault="00454A29">
            <w:pPr>
              <w:pStyle w:val="ConsPlusNormal"/>
              <w:jc w:val="center"/>
            </w:pPr>
            <w:r>
              <w:t>93 226,35</w:t>
            </w:r>
          </w:p>
        </w:tc>
        <w:tc>
          <w:tcPr>
            <w:tcW w:w="1814" w:type="dxa"/>
            <w:vAlign w:val="center"/>
          </w:tcPr>
          <w:p w14:paraId="28D5DE82" w14:textId="77777777" w:rsidR="00454A29" w:rsidRDefault="00454A29">
            <w:pPr>
              <w:pStyle w:val="ConsPlusNormal"/>
              <w:jc w:val="center"/>
            </w:pPr>
            <w:r>
              <w:t>69 158,71</w:t>
            </w:r>
          </w:p>
        </w:tc>
        <w:tc>
          <w:tcPr>
            <w:tcW w:w="1701" w:type="dxa"/>
            <w:vAlign w:val="center"/>
          </w:tcPr>
          <w:p w14:paraId="2FC5F5D2" w14:textId="77777777" w:rsidR="00454A29" w:rsidRDefault="00454A29">
            <w:pPr>
              <w:pStyle w:val="ConsPlusNormal"/>
            </w:pPr>
          </w:p>
        </w:tc>
        <w:tc>
          <w:tcPr>
            <w:tcW w:w="1701" w:type="dxa"/>
            <w:vAlign w:val="center"/>
          </w:tcPr>
          <w:p w14:paraId="587455E6" w14:textId="77777777" w:rsidR="00454A29" w:rsidRDefault="00454A29">
            <w:pPr>
              <w:pStyle w:val="ConsPlusNormal"/>
              <w:jc w:val="center"/>
            </w:pPr>
            <w:r>
              <w:t>24 067,64</w:t>
            </w:r>
          </w:p>
        </w:tc>
        <w:tc>
          <w:tcPr>
            <w:tcW w:w="1814" w:type="dxa"/>
            <w:vAlign w:val="center"/>
          </w:tcPr>
          <w:p w14:paraId="021045E1" w14:textId="77777777" w:rsidR="00454A29" w:rsidRDefault="00454A29">
            <w:pPr>
              <w:pStyle w:val="ConsPlusNormal"/>
            </w:pPr>
          </w:p>
        </w:tc>
      </w:tr>
      <w:tr w:rsidR="00454A29" w14:paraId="444A65E7" w14:textId="77777777">
        <w:tc>
          <w:tcPr>
            <w:tcW w:w="567" w:type="dxa"/>
            <w:vMerge w:val="restart"/>
            <w:vAlign w:val="center"/>
          </w:tcPr>
          <w:p w14:paraId="7B9F3ABF" w14:textId="77777777" w:rsidR="00454A29" w:rsidRDefault="00454A29">
            <w:pPr>
              <w:pStyle w:val="ConsPlusNormal"/>
              <w:jc w:val="center"/>
            </w:pPr>
            <w:r>
              <w:t>59</w:t>
            </w:r>
          </w:p>
        </w:tc>
        <w:tc>
          <w:tcPr>
            <w:tcW w:w="3345" w:type="dxa"/>
            <w:vMerge w:val="restart"/>
            <w:vAlign w:val="center"/>
          </w:tcPr>
          <w:p w14:paraId="269DAB4C" w14:textId="77777777" w:rsidR="00454A29" w:rsidRDefault="00454A29">
            <w:pPr>
              <w:pStyle w:val="ConsPlusNormal"/>
              <w:jc w:val="center"/>
            </w:pPr>
            <w:r>
              <w:t>Детский сад на 140 мест в п. Батагай Верхоянского улуса</w:t>
            </w:r>
          </w:p>
        </w:tc>
        <w:tc>
          <w:tcPr>
            <w:tcW w:w="1701" w:type="dxa"/>
            <w:vAlign w:val="center"/>
          </w:tcPr>
          <w:p w14:paraId="09C14A78" w14:textId="77777777" w:rsidR="00454A29" w:rsidRDefault="00454A29">
            <w:pPr>
              <w:pStyle w:val="ConsPlusNormal"/>
              <w:jc w:val="center"/>
            </w:pPr>
            <w:r>
              <w:t>2016 - 2025 годы - всего</w:t>
            </w:r>
          </w:p>
        </w:tc>
        <w:tc>
          <w:tcPr>
            <w:tcW w:w="1417" w:type="dxa"/>
            <w:vMerge w:val="restart"/>
            <w:vAlign w:val="center"/>
          </w:tcPr>
          <w:p w14:paraId="5752987C" w14:textId="77777777" w:rsidR="00454A29" w:rsidRDefault="00454A29">
            <w:pPr>
              <w:pStyle w:val="ConsPlusNormal"/>
              <w:jc w:val="center"/>
            </w:pPr>
            <w:r>
              <w:t>250 888,00</w:t>
            </w:r>
          </w:p>
        </w:tc>
        <w:tc>
          <w:tcPr>
            <w:tcW w:w="2204" w:type="dxa"/>
            <w:vMerge w:val="restart"/>
            <w:vAlign w:val="center"/>
          </w:tcPr>
          <w:p w14:paraId="16B0C469" w14:textId="77777777" w:rsidR="00454A29" w:rsidRDefault="00454A29">
            <w:pPr>
              <w:pStyle w:val="ConsPlusNormal"/>
              <w:jc w:val="center"/>
            </w:pPr>
            <w:r>
              <w:t>имеется</w:t>
            </w:r>
          </w:p>
        </w:tc>
        <w:tc>
          <w:tcPr>
            <w:tcW w:w="1417" w:type="dxa"/>
            <w:vMerge w:val="restart"/>
            <w:vAlign w:val="center"/>
          </w:tcPr>
          <w:p w14:paraId="166BB12F" w14:textId="77777777" w:rsidR="00454A29" w:rsidRDefault="00454A29">
            <w:pPr>
              <w:pStyle w:val="ConsPlusNormal"/>
              <w:jc w:val="center"/>
            </w:pPr>
            <w:r>
              <w:t>140</w:t>
            </w:r>
          </w:p>
        </w:tc>
        <w:tc>
          <w:tcPr>
            <w:tcW w:w="2324" w:type="dxa"/>
            <w:vMerge w:val="restart"/>
            <w:vAlign w:val="center"/>
          </w:tcPr>
          <w:p w14:paraId="3C792507" w14:textId="77777777" w:rsidR="00454A29" w:rsidRDefault="00454A29">
            <w:pPr>
              <w:pStyle w:val="ConsPlusNormal"/>
              <w:jc w:val="center"/>
            </w:pPr>
            <w:r>
              <w:t>Минэкономики РС(Я)</w:t>
            </w:r>
          </w:p>
        </w:tc>
        <w:tc>
          <w:tcPr>
            <w:tcW w:w="1701" w:type="dxa"/>
            <w:vAlign w:val="center"/>
          </w:tcPr>
          <w:p w14:paraId="0E8E45ED" w14:textId="77777777" w:rsidR="00454A29" w:rsidRDefault="00454A29">
            <w:pPr>
              <w:pStyle w:val="ConsPlusNormal"/>
              <w:jc w:val="center"/>
            </w:pPr>
            <w:r>
              <w:t>780 846,72</w:t>
            </w:r>
          </w:p>
        </w:tc>
        <w:tc>
          <w:tcPr>
            <w:tcW w:w="1814" w:type="dxa"/>
            <w:vAlign w:val="center"/>
          </w:tcPr>
          <w:p w14:paraId="031D5A69" w14:textId="77777777" w:rsidR="00454A29" w:rsidRDefault="00454A29">
            <w:pPr>
              <w:pStyle w:val="ConsPlusNormal"/>
              <w:jc w:val="center"/>
            </w:pPr>
            <w:r>
              <w:t>413 151,34</w:t>
            </w:r>
          </w:p>
        </w:tc>
        <w:tc>
          <w:tcPr>
            <w:tcW w:w="1701" w:type="dxa"/>
            <w:vAlign w:val="center"/>
          </w:tcPr>
          <w:p w14:paraId="1822224C" w14:textId="77777777" w:rsidR="00454A29" w:rsidRDefault="00454A29">
            <w:pPr>
              <w:pStyle w:val="ConsPlusNormal"/>
              <w:jc w:val="center"/>
            </w:pPr>
            <w:r>
              <w:t>-</w:t>
            </w:r>
          </w:p>
        </w:tc>
        <w:tc>
          <w:tcPr>
            <w:tcW w:w="1701" w:type="dxa"/>
            <w:vAlign w:val="center"/>
          </w:tcPr>
          <w:p w14:paraId="708A8145" w14:textId="77777777" w:rsidR="00454A29" w:rsidRDefault="00454A29">
            <w:pPr>
              <w:pStyle w:val="ConsPlusNormal"/>
              <w:jc w:val="center"/>
            </w:pPr>
            <w:r>
              <w:t>116 857,34</w:t>
            </w:r>
          </w:p>
        </w:tc>
        <w:tc>
          <w:tcPr>
            <w:tcW w:w="1814" w:type="dxa"/>
            <w:vAlign w:val="center"/>
          </w:tcPr>
          <w:p w14:paraId="0C8E25BC" w14:textId="77777777" w:rsidR="00454A29" w:rsidRDefault="00454A29">
            <w:pPr>
              <w:pStyle w:val="ConsPlusNormal"/>
              <w:jc w:val="center"/>
            </w:pPr>
            <w:r>
              <w:t>250 838,04</w:t>
            </w:r>
          </w:p>
        </w:tc>
      </w:tr>
      <w:tr w:rsidR="00454A29" w14:paraId="6EFE187E" w14:textId="77777777">
        <w:tc>
          <w:tcPr>
            <w:tcW w:w="567" w:type="dxa"/>
            <w:vMerge/>
          </w:tcPr>
          <w:p w14:paraId="75342921" w14:textId="77777777" w:rsidR="00454A29" w:rsidRDefault="00454A29"/>
        </w:tc>
        <w:tc>
          <w:tcPr>
            <w:tcW w:w="3345" w:type="dxa"/>
            <w:vMerge/>
          </w:tcPr>
          <w:p w14:paraId="6D1ACB80" w14:textId="77777777" w:rsidR="00454A29" w:rsidRDefault="00454A29"/>
        </w:tc>
        <w:tc>
          <w:tcPr>
            <w:tcW w:w="1701" w:type="dxa"/>
            <w:vAlign w:val="center"/>
          </w:tcPr>
          <w:p w14:paraId="37FDD8B9" w14:textId="77777777" w:rsidR="00454A29" w:rsidRDefault="00454A29">
            <w:pPr>
              <w:pStyle w:val="ConsPlusNormal"/>
              <w:jc w:val="center"/>
            </w:pPr>
            <w:r>
              <w:t>2016</w:t>
            </w:r>
          </w:p>
        </w:tc>
        <w:tc>
          <w:tcPr>
            <w:tcW w:w="1417" w:type="dxa"/>
            <w:vMerge/>
          </w:tcPr>
          <w:p w14:paraId="2070085A" w14:textId="77777777" w:rsidR="00454A29" w:rsidRDefault="00454A29"/>
        </w:tc>
        <w:tc>
          <w:tcPr>
            <w:tcW w:w="2204" w:type="dxa"/>
            <w:vMerge/>
          </w:tcPr>
          <w:p w14:paraId="04FD21B1" w14:textId="77777777" w:rsidR="00454A29" w:rsidRDefault="00454A29"/>
        </w:tc>
        <w:tc>
          <w:tcPr>
            <w:tcW w:w="1417" w:type="dxa"/>
            <w:vMerge/>
          </w:tcPr>
          <w:p w14:paraId="7E02313A" w14:textId="77777777" w:rsidR="00454A29" w:rsidRDefault="00454A29"/>
        </w:tc>
        <w:tc>
          <w:tcPr>
            <w:tcW w:w="2324" w:type="dxa"/>
            <w:vMerge/>
          </w:tcPr>
          <w:p w14:paraId="35278B89" w14:textId="77777777" w:rsidR="00454A29" w:rsidRDefault="00454A29"/>
        </w:tc>
        <w:tc>
          <w:tcPr>
            <w:tcW w:w="1701" w:type="dxa"/>
            <w:vAlign w:val="center"/>
          </w:tcPr>
          <w:p w14:paraId="4920DE36" w14:textId="77777777" w:rsidR="00454A29" w:rsidRDefault="00454A29">
            <w:pPr>
              <w:pStyle w:val="ConsPlusNormal"/>
              <w:jc w:val="center"/>
            </w:pPr>
            <w:r>
              <w:t>134 761,03</w:t>
            </w:r>
          </w:p>
        </w:tc>
        <w:tc>
          <w:tcPr>
            <w:tcW w:w="1814" w:type="dxa"/>
            <w:vAlign w:val="center"/>
          </w:tcPr>
          <w:p w14:paraId="0CF9967C" w14:textId="77777777" w:rsidR="00454A29" w:rsidRDefault="00454A29">
            <w:pPr>
              <w:pStyle w:val="ConsPlusNormal"/>
              <w:jc w:val="center"/>
            </w:pPr>
            <w:r>
              <w:t>6 512,80</w:t>
            </w:r>
          </w:p>
        </w:tc>
        <w:tc>
          <w:tcPr>
            <w:tcW w:w="1701" w:type="dxa"/>
            <w:vAlign w:val="center"/>
          </w:tcPr>
          <w:p w14:paraId="5E0ED6DB" w14:textId="77777777" w:rsidR="00454A29" w:rsidRDefault="00454A29">
            <w:pPr>
              <w:pStyle w:val="ConsPlusNormal"/>
            </w:pPr>
          </w:p>
        </w:tc>
        <w:tc>
          <w:tcPr>
            <w:tcW w:w="1701" w:type="dxa"/>
            <w:vAlign w:val="center"/>
          </w:tcPr>
          <w:p w14:paraId="7A557828" w14:textId="77777777" w:rsidR="00454A29" w:rsidRDefault="00454A29">
            <w:pPr>
              <w:pStyle w:val="ConsPlusNormal"/>
              <w:jc w:val="center"/>
            </w:pPr>
            <w:r>
              <w:t>-</w:t>
            </w:r>
          </w:p>
        </w:tc>
        <w:tc>
          <w:tcPr>
            <w:tcW w:w="1814" w:type="dxa"/>
            <w:vAlign w:val="center"/>
          </w:tcPr>
          <w:p w14:paraId="3BEF8640" w14:textId="77777777" w:rsidR="00454A29" w:rsidRDefault="00454A29">
            <w:pPr>
              <w:pStyle w:val="ConsPlusNormal"/>
              <w:jc w:val="center"/>
            </w:pPr>
            <w:r>
              <w:t>128 248,23</w:t>
            </w:r>
          </w:p>
        </w:tc>
      </w:tr>
      <w:tr w:rsidR="00454A29" w14:paraId="3C8BB0AB" w14:textId="77777777">
        <w:tc>
          <w:tcPr>
            <w:tcW w:w="567" w:type="dxa"/>
            <w:vMerge/>
          </w:tcPr>
          <w:p w14:paraId="24FE9269" w14:textId="77777777" w:rsidR="00454A29" w:rsidRDefault="00454A29"/>
        </w:tc>
        <w:tc>
          <w:tcPr>
            <w:tcW w:w="3345" w:type="dxa"/>
            <w:vMerge/>
          </w:tcPr>
          <w:p w14:paraId="55438AB4" w14:textId="77777777" w:rsidR="00454A29" w:rsidRDefault="00454A29"/>
        </w:tc>
        <w:tc>
          <w:tcPr>
            <w:tcW w:w="1701" w:type="dxa"/>
            <w:vAlign w:val="center"/>
          </w:tcPr>
          <w:p w14:paraId="1B2CFCF3" w14:textId="77777777" w:rsidR="00454A29" w:rsidRDefault="00454A29">
            <w:pPr>
              <w:pStyle w:val="ConsPlusNormal"/>
              <w:jc w:val="center"/>
            </w:pPr>
            <w:r>
              <w:t>2017</w:t>
            </w:r>
          </w:p>
        </w:tc>
        <w:tc>
          <w:tcPr>
            <w:tcW w:w="1417" w:type="dxa"/>
            <w:vMerge/>
          </w:tcPr>
          <w:p w14:paraId="27F0BCC9" w14:textId="77777777" w:rsidR="00454A29" w:rsidRDefault="00454A29"/>
        </w:tc>
        <w:tc>
          <w:tcPr>
            <w:tcW w:w="2204" w:type="dxa"/>
            <w:vMerge/>
          </w:tcPr>
          <w:p w14:paraId="598741EF" w14:textId="77777777" w:rsidR="00454A29" w:rsidRDefault="00454A29"/>
        </w:tc>
        <w:tc>
          <w:tcPr>
            <w:tcW w:w="1417" w:type="dxa"/>
            <w:vMerge/>
          </w:tcPr>
          <w:p w14:paraId="34F962A3" w14:textId="77777777" w:rsidR="00454A29" w:rsidRDefault="00454A29"/>
        </w:tc>
        <w:tc>
          <w:tcPr>
            <w:tcW w:w="2324" w:type="dxa"/>
            <w:vMerge/>
          </w:tcPr>
          <w:p w14:paraId="5E49E7DF" w14:textId="77777777" w:rsidR="00454A29" w:rsidRDefault="00454A29"/>
        </w:tc>
        <w:tc>
          <w:tcPr>
            <w:tcW w:w="1701" w:type="dxa"/>
            <w:vAlign w:val="center"/>
          </w:tcPr>
          <w:p w14:paraId="54513BFD" w14:textId="77777777" w:rsidR="00454A29" w:rsidRDefault="00454A29">
            <w:pPr>
              <w:pStyle w:val="ConsPlusNormal"/>
              <w:jc w:val="center"/>
            </w:pPr>
            <w:r>
              <w:t>161 219,38</w:t>
            </w:r>
          </w:p>
        </w:tc>
        <w:tc>
          <w:tcPr>
            <w:tcW w:w="1814" w:type="dxa"/>
            <w:vAlign w:val="center"/>
          </w:tcPr>
          <w:p w14:paraId="4B773AEA" w14:textId="77777777" w:rsidR="00454A29" w:rsidRDefault="00454A29">
            <w:pPr>
              <w:pStyle w:val="ConsPlusNormal"/>
              <w:jc w:val="center"/>
            </w:pPr>
            <w:r>
              <w:t>38 629,57</w:t>
            </w:r>
          </w:p>
        </w:tc>
        <w:tc>
          <w:tcPr>
            <w:tcW w:w="1701" w:type="dxa"/>
            <w:vAlign w:val="center"/>
          </w:tcPr>
          <w:p w14:paraId="381C1353" w14:textId="77777777" w:rsidR="00454A29" w:rsidRDefault="00454A29">
            <w:pPr>
              <w:pStyle w:val="ConsPlusNormal"/>
            </w:pPr>
          </w:p>
        </w:tc>
        <w:tc>
          <w:tcPr>
            <w:tcW w:w="1701" w:type="dxa"/>
            <w:vAlign w:val="center"/>
          </w:tcPr>
          <w:p w14:paraId="281E3BB5" w14:textId="77777777" w:rsidR="00454A29" w:rsidRDefault="00454A29">
            <w:pPr>
              <w:pStyle w:val="ConsPlusNormal"/>
              <w:jc w:val="center"/>
            </w:pPr>
            <w:r>
              <w:t>-</w:t>
            </w:r>
          </w:p>
        </w:tc>
        <w:tc>
          <w:tcPr>
            <w:tcW w:w="1814" w:type="dxa"/>
            <w:vAlign w:val="center"/>
          </w:tcPr>
          <w:p w14:paraId="2AE55F74" w14:textId="77777777" w:rsidR="00454A29" w:rsidRDefault="00454A29">
            <w:pPr>
              <w:pStyle w:val="ConsPlusNormal"/>
              <w:jc w:val="center"/>
            </w:pPr>
            <w:r>
              <w:t>122 589,81</w:t>
            </w:r>
          </w:p>
        </w:tc>
      </w:tr>
      <w:tr w:rsidR="00454A29" w14:paraId="5323F126" w14:textId="77777777">
        <w:tc>
          <w:tcPr>
            <w:tcW w:w="567" w:type="dxa"/>
            <w:vMerge/>
          </w:tcPr>
          <w:p w14:paraId="56056D8E" w14:textId="77777777" w:rsidR="00454A29" w:rsidRDefault="00454A29"/>
        </w:tc>
        <w:tc>
          <w:tcPr>
            <w:tcW w:w="3345" w:type="dxa"/>
            <w:vMerge/>
          </w:tcPr>
          <w:p w14:paraId="2948CDD5" w14:textId="77777777" w:rsidR="00454A29" w:rsidRDefault="00454A29"/>
        </w:tc>
        <w:tc>
          <w:tcPr>
            <w:tcW w:w="1701" w:type="dxa"/>
            <w:vAlign w:val="center"/>
          </w:tcPr>
          <w:p w14:paraId="690D37C6" w14:textId="77777777" w:rsidR="00454A29" w:rsidRDefault="00454A29">
            <w:pPr>
              <w:pStyle w:val="ConsPlusNormal"/>
              <w:jc w:val="center"/>
            </w:pPr>
            <w:r>
              <w:t>2018</w:t>
            </w:r>
          </w:p>
        </w:tc>
        <w:tc>
          <w:tcPr>
            <w:tcW w:w="1417" w:type="dxa"/>
            <w:vMerge/>
          </w:tcPr>
          <w:p w14:paraId="3B218723" w14:textId="77777777" w:rsidR="00454A29" w:rsidRDefault="00454A29"/>
        </w:tc>
        <w:tc>
          <w:tcPr>
            <w:tcW w:w="2204" w:type="dxa"/>
            <w:vMerge/>
          </w:tcPr>
          <w:p w14:paraId="104A2C40" w14:textId="77777777" w:rsidR="00454A29" w:rsidRDefault="00454A29"/>
        </w:tc>
        <w:tc>
          <w:tcPr>
            <w:tcW w:w="1417" w:type="dxa"/>
            <w:vMerge/>
          </w:tcPr>
          <w:p w14:paraId="08904142" w14:textId="77777777" w:rsidR="00454A29" w:rsidRDefault="00454A29"/>
        </w:tc>
        <w:tc>
          <w:tcPr>
            <w:tcW w:w="2324" w:type="dxa"/>
            <w:vMerge/>
          </w:tcPr>
          <w:p w14:paraId="212448AF" w14:textId="77777777" w:rsidR="00454A29" w:rsidRDefault="00454A29"/>
        </w:tc>
        <w:tc>
          <w:tcPr>
            <w:tcW w:w="1701" w:type="dxa"/>
            <w:vAlign w:val="center"/>
          </w:tcPr>
          <w:p w14:paraId="080534E6" w14:textId="77777777" w:rsidR="00454A29" w:rsidRDefault="00454A29">
            <w:pPr>
              <w:pStyle w:val="ConsPlusNormal"/>
              <w:jc w:val="center"/>
            </w:pPr>
            <w:r>
              <w:t>63 801,32</w:t>
            </w:r>
          </w:p>
        </w:tc>
        <w:tc>
          <w:tcPr>
            <w:tcW w:w="1814" w:type="dxa"/>
            <w:vAlign w:val="center"/>
          </w:tcPr>
          <w:p w14:paraId="4ACB0E6E" w14:textId="77777777" w:rsidR="00454A29" w:rsidRDefault="00454A29">
            <w:pPr>
              <w:pStyle w:val="ConsPlusNormal"/>
              <w:jc w:val="center"/>
            </w:pPr>
            <w:r>
              <w:t>48 913,70</w:t>
            </w:r>
          </w:p>
        </w:tc>
        <w:tc>
          <w:tcPr>
            <w:tcW w:w="1701" w:type="dxa"/>
            <w:vAlign w:val="center"/>
          </w:tcPr>
          <w:p w14:paraId="6AF5789C" w14:textId="77777777" w:rsidR="00454A29" w:rsidRDefault="00454A29">
            <w:pPr>
              <w:pStyle w:val="ConsPlusNormal"/>
            </w:pPr>
          </w:p>
        </w:tc>
        <w:tc>
          <w:tcPr>
            <w:tcW w:w="1701" w:type="dxa"/>
            <w:vAlign w:val="center"/>
          </w:tcPr>
          <w:p w14:paraId="6620F307" w14:textId="77777777" w:rsidR="00454A29" w:rsidRDefault="00454A29">
            <w:pPr>
              <w:pStyle w:val="ConsPlusNormal"/>
              <w:jc w:val="center"/>
            </w:pPr>
            <w:r>
              <w:t>14 887,63</w:t>
            </w:r>
          </w:p>
        </w:tc>
        <w:tc>
          <w:tcPr>
            <w:tcW w:w="1814" w:type="dxa"/>
            <w:vAlign w:val="center"/>
          </w:tcPr>
          <w:p w14:paraId="19184536" w14:textId="77777777" w:rsidR="00454A29" w:rsidRDefault="00454A29">
            <w:pPr>
              <w:pStyle w:val="ConsPlusNormal"/>
            </w:pPr>
          </w:p>
        </w:tc>
      </w:tr>
      <w:tr w:rsidR="00454A29" w14:paraId="3D82F41A" w14:textId="77777777">
        <w:tc>
          <w:tcPr>
            <w:tcW w:w="567" w:type="dxa"/>
            <w:vMerge/>
          </w:tcPr>
          <w:p w14:paraId="24E7120D" w14:textId="77777777" w:rsidR="00454A29" w:rsidRDefault="00454A29"/>
        </w:tc>
        <w:tc>
          <w:tcPr>
            <w:tcW w:w="3345" w:type="dxa"/>
            <w:vMerge/>
          </w:tcPr>
          <w:p w14:paraId="4FAC4EFE" w14:textId="77777777" w:rsidR="00454A29" w:rsidRDefault="00454A29"/>
        </w:tc>
        <w:tc>
          <w:tcPr>
            <w:tcW w:w="1701" w:type="dxa"/>
            <w:vAlign w:val="center"/>
          </w:tcPr>
          <w:p w14:paraId="205F510C" w14:textId="77777777" w:rsidR="00454A29" w:rsidRDefault="00454A29">
            <w:pPr>
              <w:pStyle w:val="ConsPlusNormal"/>
              <w:jc w:val="center"/>
            </w:pPr>
            <w:r>
              <w:t>2019</w:t>
            </w:r>
          </w:p>
        </w:tc>
        <w:tc>
          <w:tcPr>
            <w:tcW w:w="1417" w:type="dxa"/>
            <w:vMerge/>
          </w:tcPr>
          <w:p w14:paraId="03B50CFC" w14:textId="77777777" w:rsidR="00454A29" w:rsidRDefault="00454A29"/>
        </w:tc>
        <w:tc>
          <w:tcPr>
            <w:tcW w:w="2204" w:type="dxa"/>
            <w:vMerge/>
          </w:tcPr>
          <w:p w14:paraId="53BFC7EF" w14:textId="77777777" w:rsidR="00454A29" w:rsidRDefault="00454A29"/>
        </w:tc>
        <w:tc>
          <w:tcPr>
            <w:tcW w:w="1417" w:type="dxa"/>
            <w:vMerge/>
          </w:tcPr>
          <w:p w14:paraId="7F65F1FD" w14:textId="77777777" w:rsidR="00454A29" w:rsidRDefault="00454A29"/>
        </w:tc>
        <w:tc>
          <w:tcPr>
            <w:tcW w:w="2324" w:type="dxa"/>
            <w:vMerge/>
          </w:tcPr>
          <w:p w14:paraId="050172C5" w14:textId="77777777" w:rsidR="00454A29" w:rsidRDefault="00454A29"/>
        </w:tc>
        <w:tc>
          <w:tcPr>
            <w:tcW w:w="1701" w:type="dxa"/>
            <w:vAlign w:val="center"/>
          </w:tcPr>
          <w:p w14:paraId="239CACC9" w14:textId="77777777" w:rsidR="00454A29" w:rsidRDefault="00454A29">
            <w:pPr>
              <w:pStyle w:val="ConsPlusNormal"/>
              <w:jc w:val="center"/>
            </w:pPr>
            <w:r>
              <w:t>33 806,42</w:t>
            </w:r>
          </w:p>
        </w:tc>
        <w:tc>
          <w:tcPr>
            <w:tcW w:w="1814" w:type="dxa"/>
            <w:vAlign w:val="center"/>
          </w:tcPr>
          <w:p w14:paraId="4C9D5DDB" w14:textId="77777777" w:rsidR="00454A29" w:rsidRDefault="00454A29">
            <w:pPr>
              <w:pStyle w:val="ConsPlusNormal"/>
              <w:jc w:val="center"/>
            </w:pPr>
            <w:r>
              <w:t>18 248,85</w:t>
            </w:r>
          </w:p>
        </w:tc>
        <w:tc>
          <w:tcPr>
            <w:tcW w:w="1701" w:type="dxa"/>
            <w:vAlign w:val="center"/>
          </w:tcPr>
          <w:p w14:paraId="4C26754C" w14:textId="77777777" w:rsidR="00454A29" w:rsidRDefault="00454A29">
            <w:pPr>
              <w:pStyle w:val="ConsPlusNormal"/>
            </w:pPr>
          </w:p>
        </w:tc>
        <w:tc>
          <w:tcPr>
            <w:tcW w:w="1701" w:type="dxa"/>
            <w:vAlign w:val="center"/>
          </w:tcPr>
          <w:p w14:paraId="7A6EBD2C" w14:textId="77777777" w:rsidR="00454A29" w:rsidRDefault="00454A29">
            <w:pPr>
              <w:pStyle w:val="ConsPlusNormal"/>
              <w:jc w:val="center"/>
            </w:pPr>
            <w:r>
              <w:t>15 557,57</w:t>
            </w:r>
          </w:p>
        </w:tc>
        <w:tc>
          <w:tcPr>
            <w:tcW w:w="1814" w:type="dxa"/>
            <w:vAlign w:val="center"/>
          </w:tcPr>
          <w:p w14:paraId="055C35A7" w14:textId="77777777" w:rsidR="00454A29" w:rsidRDefault="00454A29">
            <w:pPr>
              <w:pStyle w:val="ConsPlusNormal"/>
            </w:pPr>
          </w:p>
        </w:tc>
      </w:tr>
      <w:tr w:rsidR="00454A29" w14:paraId="42A84412" w14:textId="77777777">
        <w:tc>
          <w:tcPr>
            <w:tcW w:w="567" w:type="dxa"/>
            <w:vMerge/>
          </w:tcPr>
          <w:p w14:paraId="63DB5845" w14:textId="77777777" w:rsidR="00454A29" w:rsidRDefault="00454A29"/>
        </w:tc>
        <w:tc>
          <w:tcPr>
            <w:tcW w:w="3345" w:type="dxa"/>
            <w:vMerge/>
          </w:tcPr>
          <w:p w14:paraId="70D62C33" w14:textId="77777777" w:rsidR="00454A29" w:rsidRDefault="00454A29"/>
        </w:tc>
        <w:tc>
          <w:tcPr>
            <w:tcW w:w="1701" w:type="dxa"/>
            <w:vAlign w:val="center"/>
          </w:tcPr>
          <w:p w14:paraId="636A9843" w14:textId="77777777" w:rsidR="00454A29" w:rsidRDefault="00454A29">
            <w:pPr>
              <w:pStyle w:val="ConsPlusNormal"/>
              <w:jc w:val="center"/>
            </w:pPr>
            <w:r>
              <w:t>2020</w:t>
            </w:r>
          </w:p>
        </w:tc>
        <w:tc>
          <w:tcPr>
            <w:tcW w:w="1417" w:type="dxa"/>
            <w:vMerge/>
          </w:tcPr>
          <w:p w14:paraId="0B60265F" w14:textId="77777777" w:rsidR="00454A29" w:rsidRDefault="00454A29"/>
        </w:tc>
        <w:tc>
          <w:tcPr>
            <w:tcW w:w="2204" w:type="dxa"/>
            <w:vMerge/>
          </w:tcPr>
          <w:p w14:paraId="02ACD0CC" w14:textId="77777777" w:rsidR="00454A29" w:rsidRDefault="00454A29"/>
        </w:tc>
        <w:tc>
          <w:tcPr>
            <w:tcW w:w="1417" w:type="dxa"/>
            <w:vMerge/>
          </w:tcPr>
          <w:p w14:paraId="3AD2E41F" w14:textId="77777777" w:rsidR="00454A29" w:rsidRDefault="00454A29"/>
        </w:tc>
        <w:tc>
          <w:tcPr>
            <w:tcW w:w="2324" w:type="dxa"/>
            <w:vMerge/>
          </w:tcPr>
          <w:p w14:paraId="47865414" w14:textId="77777777" w:rsidR="00454A29" w:rsidRDefault="00454A29"/>
        </w:tc>
        <w:tc>
          <w:tcPr>
            <w:tcW w:w="1701" w:type="dxa"/>
            <w:vAlign w:val="center"/>
          </w:tcPr>
          <w:p w14:paraId="07545371" w14:textId="77777777" w:rsidR="00454A29" w:rsidRDefault="00454A29">
            <w:pPr>
              <w:pStyle w:val="ConsPlusNormal"/>
              <w:jc w:val="center"/>
            </w:pPr>
            <w:r>
              <w:t>45 160,05</w:t>
            </w:r>
          </w:p>
        </w:tc>
        <w:tc>
          <w:tcPr>
            <w:tcW w:w="1814" w:type="dxa"/>
            <w:vAlign w:val="center"/>
          </w:tcPr>
          <w:p w14:paraId="4911D72A" w14:textId="77777777" w:rsidR="00454A29" w:rsidRDefault="00454A29">
            <w:pPr>
              <w:pStyle w:val="ConsPlusNormal"/>
              <w:jc w:val="center"/>
            </w:pPr>
            <w:r>
              <w:t>28 980,18</w:t>
            </w:r>
          </w:p>
        </w:tc>
        <w:tc>
          <w:tcPr>
            <w:tcW w:w="1701" w:type="dxa"/>
            <w:vAlign w:val="center"/>
          </w:tcPr>
          <w:p w14:paraId="4C783A2D" w14:textId="77777777" w:rsidR="00454A29" w:rsidRDefault="00454A29">
            <w:pPr>
              <w:pStyle w:val="ConsPlusNormal"/>
            </w:pPr>
          </w:p>
        </w:tc>
        <w:tc>
          <w:tcPr>
            <w:tcW w:w="1701" w:type="dxa"/>
            <w:vAlign w:val="center"/>
          </w:tcPr>
          <w:p w14:paraId="3B5CBAF9" w14:textId="77777777" w:rsidR="00454A29" w:rsidRDefault="00454A29">
            <w:pPr>
              <w:pStyle w:val="ConsPlusNormal"/>
              <w:jc w:val="center"/>
            </w:pPr>
            <w:r>
              <w:t>16 179,87</w:t>
            </w:r>
          </w:p>
        </w:tc>
        <w:tc>
          <w:tcPr>
            <w:tcW w:w="1814" w:type="dxa"/>
            <w:vAlign w:val="center"/>
          </w:tcPr>
          <w:p w14:paraId="6F7DA823" w14:textId="77777777" w:rsidR="00454A29" w:rsidRDefault="00454A29">
            <w:pPr>
              <w:pStyle w:val="ConsPlusNormal"/>
            </w:pPr>
          </w:p>
        </w:tc>
      </w:tr>
      <w:tr w:rsidR="00454A29" w14:paraId="2EF79DE3" w14:textId="77777777">
        <w:tc>
          <w:tcPr>
            <w:tcW w:w="567" w:type="dxa"/>
            <w:vMerge/>
          </w:tcPr>
          <w:p w14:paraId="4C483C08" w14:textId="77777777" w:rsidR="00454A29" w:rsidRDefault="00454A29"/>
        </w:tc>
        <w:tc>
          <w:tcPr>
            <w:tcW w:w="3345" w:type="dxa"/>
            <w:vMerge/>
          </w:tcPr>
          <w:p w14:paraId="0A33E26A" w14:textId="77777777" w:rsidR="00454A29" w:rsidRDefault="00454A29"/>
        </w:tc>
        <w:tc>
          <w:tcPr>
            <w:tcW w:w="1701" w:type="dxa"/>
            <w:vAlign w:val="center"/>
          </w:tcPr>
          <w:p w14:paraId="0381B861" w14:textId="77777777" w:rsidR="00454A29" w:rsidRDefault="00454A29">
            <w:pPr>
              <w:pStyle w:val="ConsPlusNormal"/>
              <w:jc w:val="center"/>
            </w:pPr>
            <w:r>
              <w:t>2021</w:t>
            </w:r>
          </w:p>
        </w:tc>
        <w:tc>
          <w:tcPr>
            <w:tcW w:w="1417" w:type="dxa"/>
            <w:vMerge/>
          </w:tcPr>
          <w:p w14:paraId="228B19BD" w14:textId="77777777" w:rsidR="00454A29" w:rsidRDefault="00454A29"/>
        </w:tc>
        <w:tc>
          <w:tcPr>
            <w:tcW w:w="2204" w:type="dxa"/>
            <w:vMerge/>
          </w:tcPr>
          <w:p w14:paraId="4D67197D" w14:textId="77777777" w:rsidR="00454A29" w:rsidRDefault="00454A29"/>
        </w:tc>
        <w:tc>
          <w:tcPr>
            <w:tcW w:w="1417" w:type="dxa"/>
            <w:vMerge/>
          </w:tcPr>
          <w:p w14:paraId="0749A23C" w14:textId="77777777" w:rsidR="00454A29" w:rsidRDefault="00454A29"/>
        </w:tc>
        <w:tc>
          <w:tcPr>
            <w:tcW w:w="2324" w:type="dxa"/>
            <w:vMerge/>
          </w:tcPr>
          <w:p w14:paraId="2EE198C3" w14:textId="77777777" w:rsidR="00454A29" w:rsidRDefault="00454A29"/>
        </w:tc>
        <w:tc>
          <w:tcPr>
            <w:tcW w:w="1701" w:type="dxa"/>
            <w:vAlign w:val="center"/>
          </w:tcPr>
          <w:p w14:paraId="1FAE36D3" w14:textId="77777777" w:rsidR="00454A29" w:rsidRDefault="00454A29">
            <w:pPr>
              <w:pStyle w:val="ConsPlusNormal"/>
              <w:jc w:val="center"/>
            </w:pPr>
            <w:r>
              <w:t>68 348,13</w:t>
            </w:r>
          </w:p>
        </w:tc>
        <w:tc>
          <w:tcPr>
            <w:tcW w:w="1814" w:type="dxa"/>
            <w:vAlign w:val="center"/>
          </w:tcPr>
          <w:p w14:paraId="797A0927" w14:textId="77777777" w:rsidR="00454A29" w:rsidRDefault="00454A29">
            <w:pPr>
              <w:pStyle w:val="ConsPlusNormal"/>
              <w:jc w:val="center"/>
            </w:pPr>
            <w:r>
              <w:t>51 601,96</w:t>
            </w:r>
          </w:p>
        </w:tc>
        <w:tc>
          <w:tcPr>
            <w:tcW w:w="1701" w:type="dxa"/>
            <w:vAlign w:val="center"/>
          </w:tcPr>
          <w:p w14:paraId="59BE0877" w14:textId="77777777" w:rsidR="00454A29" w:rsidRDefault="00454A29">
            <w:pPr>
              <w:pStyle w:val="ConsPlusNormal"/>
            </w:pPr>
          </w:p>
        </w:tc>
        <w:tc>
          <w:tcPr>
            <w:tcW w:w="1701" w:type="dxa"/>
            <w:vAlign w:val="center"/>
          </w:tcPr>
          <w:p w14:paraId="6A579B43" w14:textId="77777777" w:rsidR="00454A29" w:rsidRDefault="00454A29">
            <w:pPr>
              <w:pStyle w:val="ConsPlusNormal"/>
              <w:jc w:val="center"/>
            </w:pPr>
            <w:r>
              <w:t>16 746,17</w:t>
            </w:r>
          </w:p>
        </w:tc>
        <w:tc>
          <w:tcPr>
            <w:tcW w:w="1814" w:type="dxa"/>
            <w:vAlign w:val="center"/>
          </w:tcPr>
          <w:p w14:paraId="3DEC57F8" w14:textId="77777777" w:rsidR="00454A29" w:rsidRDefault="00454A29">
            <w:pPr>
              <w:pStyle w:val="ConsPlusNormal"/>
            </w:pPr>
          </w:p>
        </w:tc>
      </w:tr>
      <w:tr w:rsidR="00454A29" w14:paraId="29832F25" w14:textId="77777777">
        <w:tc>
          <w:tcPr>
            <w:tcW w:w="567" w:type="dxa"/>
            <w:vMerge/>
          </w:tcPr>
          <w:p w14:paraId="6C70CA4E" w14:textId="77777777" w:rsidR="00454A29" w:rsidRDefault="00454A29"/>
        </w:tc>
        <w:tc>
          <w:tcPr>
            <w:tcW w:w="3345" w:type="dxa"/>
            <w:vMerge/>
          </w:tcPr>
          <w:p w14:paraId="3E0DFF0F" w14:textId="77777777" w:rsidR="00454A29" w:rsidRDefault="00454A29"/>
        </w:tc>
        <w:tc>
          <w:tcPr>
            <w:tcW w:w="1701" w:type="dxa"/>
            <w:vAlign w:val="center"/>
          </w:tcPr>
          <w:p w14:paraId="39FEAB81" w14:textId="77777777" w:rsidR="00454A29" w:rsidRDefault="00454A29">
            <w:pPr>
              <w:pStyle w:val="ConsPlusNormal"/>
              <w:jc w:val="center"/>
            </w:pPr>
            <w:r>
              <w:t>2022</w:t>
            </w:r>
          </w:p>
        </w:tc>
        <w:tc>
          <w:tcPr>
            <w:tcW w:w="1417" w:type="dxa"/>
            <w:vMerge/>
          </w:tcPr>
          <w:p w14:paraId="7A065185" w14:textId="77777777" w:rsidR="00454A29" w:rsidRDefault="00454A29"/>
        </w:tc>
        <w:tc>
          <w:tcPr>
            <w:tcW w:w="2204" w:type="dxa"/>
            <w:vMerge/>
          </w:tcPr>
          <w:p w14:paraId="5F725D77" w14:textId="77777777" w:rsidR="00454A29" w:rsidRDefault="00454A29"/>
        </w:tc>
        <w:tc>
          <w:tcPr>
            <w:tcW w:w="1417" w:type="dxa"/>
            <w:vMerge/>
          </w:tcPr>
          <w:p w14:paraId="41788BB3" w14:textId="77777777" w:rsidR="00454A29" w:rsidRDefault="00454A29"/>
        </w:tc>
        <w:tc>
          <w:tcPr>
            <w:tcW w:w="2324" w:type="dxa"/>
            <w:vMerge/>
          </w:tcPr>
          <w:p w14:paraId="48943A54" w14:textId="77777777" w:rsidR="00454A29" w:rsidRDefault="00454A29"/>
        </w:tc>
        <w:tc>
          <w:tcPr>
            <w:tcW w:w="1701" w:type="dxa"/>
            <w:vAlign w:val="center"/>
          </w:tcPr>
          <w:p w14:paraId="798E7C5B" w14:textId="77777777" w:rsidR="00454A29" w:rsidRDefault="00454A29">
            <w:pPr>
              <w:pStyle w:val="ConsPlusNormal"/>
              <w:jc w:val="center"/>
            </w:pPr>
            <w:r>
              <w:t>72 364,86</w:t>
            </w:r>
          </w:p>
        </w:tc>
        <w:tc>
          <w:tcPr>
            <w:tcW w:w="1814" w:type="dxa"/>
            <w:vAlign w:val="center"/>
          </w:tcPr>
          <w:p w14:paraId="6A45B913" w14:textId="77777777" w:rsidR="00454A29" w:rsidRDefault="00454A29">
            <w:pPr>
              <w:pStyle w:val="ConsPlusNormal"/>
              <w:jc w:val="center"/>
            </w:pPr>
            <w:r>
              <w:t>55 066,07</w:t>
            </w:r>
          </w:p>
        </w:tc>
        <w:tc>
          <w:tcPr>
            <w:tcW w:w="1701" w:type="dxa"/>
            <w:vAlign w:val="center"/>
          </w:tcPr>
          <w:p w14:paraId="0FD9FE39" w14:textId="77777777" w:rsidR="00454A29" w:rsidRDefault="00454A29">
            <w:pPr>
              <w:pStyle w:val="ConsPlusNormal"/>
            </w:pPr>
          </w:p>
        </w:tc>
        <w:tc>
          <w:tcPr>
            <w:tcW w:w="1701" w:type="dxa"/>
            <w:vAlign w:val="center"/>
          </w:tcPr>
          <w:p w14:paraId="38FA8EE6" w14:textId="77777777" w:rsidR="00454A29" w:rsidRDefault="00454A29">
            <w:pPr>
              <w:pStyle w:val="ConsPlusNormal"/>
              <w:jc w:val="center"/>
            </w:pPr>
            <w:r>
              <w:t>17 298,79</w:t>
            </w:r>
          </w:p>
        </w:tc>
        <w:tc>
          <w:tcPr>
            <w:tcW w:w="1814" w:type="dxa"/>
            <w:vAlign w:val="center"/>
          </w:tcPr>
          <w:p w14:paraId="7F48DE40" w14:textId="77777777" w:rsidR="00454A29" w:rsidRDefault="00454A29">
            <w:pPr>
              <w:pStyle w:val="ConsPlusNormal"/>
            </w:pPr>
          </w:p>
        </w:tc>
      </w:tr>
      <w:tr w:rsidR="00454A29" w14:paraId="65E0FCA3" w14:textId="77777777">
        <w:tc>
          <w:tcPr>
            <w:tcW w:w="567" w:type="dxa"/>
            <w:vMerge/>
          </w:tcPr>
          <w:p w14:paraId="28B45584" w14:textId="77777777" w:rsidR="00454A29" w:rsidRDefault="00454A29"/>
        </w:tc>
        <w:tc>
          <w:tcPr>
            <w:tcW w:w="3345" w:type="dxa"/>
            <w:vMerge/>
          </w:tcPr>
          <w:p w14:paraId="29416FD6" w14:textId="77777777" w:rsidR="00454A29" w:rsidRDefault="00454A29"/>
        </w:tc>
        <w:tc>
          <w:tcPr>
            <w:tcW w:w="1701" w:type="dxa"/>
            <w:vAlign w:val="center"/>
          </w:tcPr>
          <w:p w14:paraId="4E6C3823" w14:textId="77777777" w:rsidR="00454A29" w:rsidRDefault="00454A29">
            <w:pPr>
              <w:pStyle w:val="ConsPlusNormal"/>
              <w:jc w:val="center"/>
            </w:pPr>
            <w:r>
              <w:t>2023</w:t>
            </w:r>
          </w:p>
        </w:tc>
        <w:tc>
          <w:tcPr>
            <w:tcW w:w="1417" w:type="dxa"/>
            <w:vMerge/>
          </w:tcPr>
          <w:p w14:paraId="28B276ED" w14:textId="77777777" w:rsidR="00454A29" w:rsidRDefault="00454A29"/>
        </w:tc>
        <w:tc>
          <w:tcPr>
            <w:tcW w:w="2204" w:type="dxa"/>
            <w:vMerge/>
          </w:tcPr>
          <w:p w14:paraId="61891E43" w14:textId="77777777" w:rsidR="00454A29" w:rsidRDefault="00454A29"/>
        </w:tc>
        <w:tc>
          <w:tcPr>
            <w:tcW w:w="1417" w:type="dxa"/>
            <w:vMerge/>
          </w:tcPr>
          <w:p w14:paraId="645AEB12" w14:textId="77777777" w:rsidR="00454A29" w:rsidRDefault="00454A29"/>
        </w:tc>
        <w:tc>
          <w:tcPr>
            <w:tcW w:w="2324" w:type="dxa"/>
            <w:vMerge/>
          </w:tcPr>
          <w:p w14:paraId="0EF8FF9D" w14:textId="77777777" w:rsidR="00454A29" w:rsidRDefault="00454A29"/>
        </w:tc>
        <w:tc>
          <w:tcPr>
            <w:tcW w:w="1701" w:type="dxa"/>
            <w:vAlign w:val="center"/>
          </w:tcPr>
          <w:p w14:paraId="0172D6FF" w14:textId="77777777" w:rsidR="00454A29" w:rsidRDefault="00454A29">
            <w:pPr>
              <w:pStyle w:val="ConsPlusNormal"/>
              <w:jc w:val="center"/>
            </w:pPr>
            <w:r>
              <w:t>72 901,12</w:t>
            </w:r>
          </w:p>
        </w:tc>
        <w:tc>
          <w:tcPr>
            <w:tcW w:w="1814" w:type="dxa"/>
            <w:vAlign w:val="center"/>
          </w:tcPr>
          <w:p w14:paraId="2DAEA784" w14:textId="77777777" w:rsidR="00454A29" w:rsidRDefault="00454A29">
            <w:pPr>
              <w:pStyle w:val="ConsPlusNormal"/>
              <w:jc w:val="center"/>
            </w:pPr>
            <w:r>
              <w:t>55 066,07</w:t>
            </w:r>
          </w:p>
        </w:tc>
        <w:tc>
          <w:tcPr>
            <w:tcW w:w="1701" w:type="dxa"/>
            <w:vAlign w:val="center"/>
          </w:tcPr>
          <w:p w14:paraId="205D333F" w14:textId="77777777" w:rsidR="00454A29" w:rsidRDefault="00454A29">
            <w:pPr>
              <w:pStyle w:val="ConsPlusNormal"/>
            </w:pPr>
          </w:p>
        </w:tc>
        <w:tc>
          <w:tcPr>
            <w:tcW w:w="1701" w:type="dxa"/>
            <w:vAlign w:val="center"/>
          </w:tcPr>
          <w:p w14:paraId="3283B105" w14:textId="77777777" w:rsidR="00454A29" w:rsidRDefault="00454A29">
            <w:pPr>
              <w:pStyle w:val="ConsPlusNormal"/>
              <w:jc w:val="center"/>
            </w:pPr>
            <w:r>
              <w:t>17 835,05</w:t>
            </w:r>
          </w:p>
        </w:tc>
        <w:tc>
          <w:tcPr>
            <w:tcW w:w="1814" w:type="dxa"/>
            <w:vAlign w:val="center"/>
          </w:tcPr>
          <w:p w14:paraId="012AE6B2" w14:textId="77777777" w:rsidR="00454A29" w:rsidRDefault="00454A29">
            <w:pPr>
              <w:pStyle w:val="ConsPlusNormal"/>
            </w:pPr>
          </w:p>
        </w:tc>
      </w:tr>
      <w:tr w:rsidR="00454A29" w14:paraId="3DD1D4DF" w14:textId="77777777">
        <w:tc>
          <w:tcPr>
            <w:tcW w:w="567" w:type="dxa"/>
            <w:vMerge/>
          </w:tcPr>
          <w:p w14:paraId="0348E3BB" w14:textId="77777777" w:rsidR="00454A29" w:rsidRDefault="00454A29"/>
        </w:tc>
        <w:tc>
          <w:tcPr>
            <w:tcW w:w="3345" w:type="dxa"/>
            <w:vMerge/>
          </w:tcPr>
          <w:p w14:paraId="1E55307D" w14:textId="77777777" w:rsidR="00454A29" w:rsidRDefault="00454A29"/>
        </w:tc>
        <w:tc>
          <w:tcPr>
            <w:tcW w:w="1701" w:type="dxa"/>
            <w:vAlign w:val="center"/>
          </w:tcPr>
          <w:p w14:paraId="4531DDB0" w14:textId="77777777" w:rsidR="00454A29" w:rsidRDefault="00454A29">
            <w:pPr>
              <w:pStyle w:val="ConsPlusNormal"/>
              <w:jc w:val="center"/>
            </w:pPr>
            <w:r>
              <w:t>2024</w:t>
            </w:r>
          </w:p>
        </w:tc>
        <w:tc>
          <w:tcPr>
            <w:tcW w:w="1417" w:type="dxa"/>
            <w:vMerge/>
          </w:tcPr>
          <w:p w14:paraId="25129536" w14:textId="77777777" w:rsidR="00454A29" w:rsidRDefault="00454A29"/>
        </w:tc>
        <w:tc>
          <w:tcPr>
            <w:tcW w:w="2204" w:type="dxa"/>
            <w:vMerge/>
          </w:tcPr>
          <w:p w14:paraId="54F2FE26" w14:textId="77777777" w:rsidR="00454A29" w:rsidRDefault="00454A29"/>
        </w:tc>
        <w:tc>
          <w:tcPr>
            <w:tcW w:w="1417" w:type="dxa"/>
            <w:vMerge/>
          </w:tcPr>
          <w:p w14:paraId="090CE73A" w14:textId="77777777" w:rsidR="00454A29" w:rsidRDefault="00454A29"/>
        </w:tc>
        <w:tc>
          <w:tcPr>
            <w:tcW w:w="2324" w:type="dxa"/>
            <w:vMerge/>
          </w:tcPr>
          <w:p w14:paraId="4F0F535E" w14:textId="77777777" w:rsidR="00454A29" w:rsidRDefault="00454A29"/>
        </w:tc>
        <w:tc>
          <w:tcPr>
            <w:tcW w:w="1701" w:type="dxa"/>
            <w:vAlign w:val="center"/>
          </w:tcPr>
          <w:p w14:paraId="19FE18F0" w14:textId="77777777" w:rsidR="00454A29" w:rsidRDefault="00454A29">
            <w:pPr>
              <w:pStyle w:val="ConsPlusNormal"/>
              <w:jc w:val="center"/>
            </w:pPr>
            <w:r>
              <w:t>73 418,34</w:t>
            </w:r>
          </w:p>
        </w:tc>
        <w:tc>
          <w:tcPr>
            <w:tcW w:w="1814" w:type="dxa"/>
            <w:vAlign w:val="center"/>
          </w:tcPr>
          <w:p w14:paraId="440F7638" w14:textId="77777777" w:rsidR="00454A29" w:rsidRDefault="00454A29">
            <w:pPr>
              <w:pStyle w:val="ConsPlusNormal"/>
              <w:jc w:val="center"/>
            </w:pPr>
            <w:r>
              <w:t>55 066,07</w:t>
            </w:r>
          </w:p>
        </w:tc>
        <w:tc>
          <w:tcPr>
            <w:tcW w:w="1701" w:type="dxa"/>
            <w:vAlign w:val="center"/>
          </w:tcPr>
          <w:p w14:paraId="203723AE" w14:textId="77777777" w:rsidR="00454A29" w:rsidRDefault="00454A29">
            <w:pPr>
              <w:pStyle w:val="ConsPlusNormal"/>
            </w:pPr>
          </w:p>
        </w:tc>
        <w:tc>
          <w:tcPr>
            <w:tcW w:w="1701" w:type="dxa"/>
            <w:vAlign w:val="center"/>
          </w:tcPr>
          <w:p w14:paraId="7E607BCF" w14:textId="77777777" w:rsidR="00454A29" w:rsidRDefault="00454A29">
            <w:pPr>
              <w:pStyle w:val="ConsPlusNormal"/>
              <w:jc w:val="center"/>
            </w:pPr>
            <w:r>
              <w:t>18 352,27</w:t>
            </w:r>
          </w:p>
        </w:tc>
        <w:tc>
          <w:tcPr>
            <w:tcW w:w="1814" w:type="dxa"/>
            <w:vAlign w:val="center"/>
          </w:tcPr>
          <w:p w14:paraId="567ABDD7" w14:textId="77777777" w:rsidR="00454A29" w:rsidRDefault="00454A29">
            <w:pPr>
              <w:pStyle w:val="ConsPlusNormal"/>
            </w:pPr>
          </w:p>
        </w:tc>
      </w:tr>
      <w:tr w:rsidR="00454A29" w14:paraId="36292161" w14:textId="77777777">
        <w:tc>
          <w:tcPr>
            <w:tcW w:w="567" w:type="dxa"/>
            <w:vMerge/>
          </w:tcPr>
          <w:p w14:paraId="35E03AD7" w14:textId="77777777" w:rsidR="00454A29" w:rsidRDefault="00454A29"/>
        </w:tc>
        <w:tc>
          <w:tcPr>
            <w:tcW w:w="3345" w:type="dxa"/>
            <w:vMerge/>
          </w:tcPr>
          <w:p w14:paraId="763E1D0C" w14:textId="77777777" w:rsidR="00454A29" w:rsidRDefault="00454A29"/>
        </w:tc>
        <w:tc>
          <w:tcPr>
            <w:tcW w:w="1701" w:type="dxa"/>
            <w:vAlign w:val="center"/>
          </w:tcPr>
          <w:p w14:paraId="47ED587C" w14:textId="77777777" w:rsidR="00454A29" w:rsidRDefault="00454A29">
            <w:pPr>
              <w:pStyle w:val="ConsPlusNormal"/>
              <w:jc w:val="center"/>
            </w:pPr>
            <w:r>
              <w:t>2025</w:t>
            </w:r>
          </w:p>
        </w:tc>
        <w:tc>
          <w:tcPr>
            <w:tcW w:w="1417" w:type="dxa"/>
            <w:vMerge/>
          </w:tcPr>
          <w:p w14:paraId="77686216" w14:textId="77777777" w:rsidR="00454A29" w:rsidRDefault="00454A29"/>
        </w:tc>
        <w:tc>
          <w:tcPr>
            <w:tcW w:w="2204" w:type="dxa"/>
            <w:vMerge/>
          </w:tcPr>
          <w:p w14:paraId="7A87EC69" w14:textId="77777777" w:rsidR="00454A29" w:rsidRDefault="00454A29"/>
        </w:tc>
        <w:tc>
          <w:tcPr>
            <w:tcW w:w="1417" w:type="dxa"/>
            <w:vMerge/>
          </w:tcPr>
          <w:p w14:paraId="4B857340" w14:textId="77777777" w:rsidR="00454A29" w:rsidRDefault="00454A29"/>
        </w:tc>
        <w:tc>
          <w:tcPr>
            <w:tcW w:w="2324" w:type="dxa"/>
            <w:vMerge/>
          </w:tcPr>
          <w:p w14:paraId="59A348DF" w14:textId="77777777" w:rsidR="00454A29" w:rsidRDefault="00454A29"/>
        </w:tc>
        <w:tc>
          <w:tcPr>
            <w:tcW w:w="1701" w:type="dxa"/>
            <w:vAlign w:val="center"/>
          </w:tcPr>
          <w:p w14:paraId="682F7F0E" w14:textId="77777777" w:rsidR="00454A29" w:rsidRDefault="00454A29">
            <w:pPr>
              <w:pStyle w:val="ConsPlusNormal"/>
              <w:jc w:val="center"/>
            </w:pPr>
            <w:r>
              <w:t>55 066,07</w:t>
            </w:r>
          </w:p>
        </w:tc>
        <w:tc>
          <w:tcPr>
            <w:tcW w:w="1814" w:type="dxa"/>
            <w:vAlign w:val="center"/>
          </w:tcPr>
          <w:p w14:paraId="012A3972" w14:textId="77777777" w:rsidR="00454A29" w:rsidRDefault="00454A29">
            <w:pPr>
              <w:pStyle w:val="ConsPlusNormal"/>
              <w:jc w:val="center"/>
            </w:pPr>
            <w:r>
              <w:t>55 066,07</w:t>
            </w:r>
          </w:p>
        </w:tc>
        <w:tc>
          <w:tcPr>
            <w:tcW w:w="1701" w:type="dxa"/>
            <w:vAlign w:val="center"/>
          </w:tcPr>
          <w:p w14:paraId="4BEA7978" w14:textId="77777777" w:rsidR="00454A29" w:rsidRDefault="00454A29">
            <w:pPr>
              <w:pStyle w:val="ConsPlusNormal"/>
            </w:pPr>
          </w:p>
        </w:tc>
        <w:tc>
          <w:tcPr>
            <w:tcW w:w="1701" w:type="dxa"/>
            <w:vAlign w:val="center"/>
          </w:tcPr>
          <w:p w14:paraId="7D42CD21" w14:textId="77777777" w:rsidR="00454A29" w:rsidRDefault="00454A29">
            <w:pPr>
              <w:pStyle w:val="ConsPlusNormal"/>
            </w:pPr>
          </w:p>
        </w:tc>
        <w:tc>
          <w:tcPr>
            <w:tcW w:w="1814" w:type="dxa"/>
            <w:vAlign w:val="center"/>
          </w:tcPr>
          <w:p w14:paraId="06C45CCF" w14:textId="77777777" w:rsidR="00454A29" w:rsidRDefault="00454A29">
            <w:pPr>
              <w:pStyle w:val="ConsPlusNormal"/>
            </w:pPr>
          </w:p>
        </w:tc>
      </w:tr>
      <w:tr w:rsidR="00454A29" w14:paraId="5A4279D4" w14:textId="77777777">
        <w:tc>
          <w:tcPr>
            <w:tcW w:w="567" w:type="dxa"/>
            <w:vMerge w:val="restart"/>
            <w:vAlign w:val="center"/>
          </w:tcPr>
          <w:p w14:paraId="62F25835" w14:textId="77777777" w:rsidR="00454A29" w:rsidRDefault="00454A29">
            <w:pPr>
              <w:pStyle w:val="ConsPlusNormal"/>
              <w:jc w:val="center"/>
            </w:pPr>
            <w:r>
              <w:t>60</w:t>
            </w:r>
          </w:p>
        </w:tc>
        <w:tc>
          <w:tcPr>
            <w:tcW w:w="3345" w:type="dxa"/>
            <w:vMerge w:val="restart"/>
            <w:vAlign w:val="center"/>
          </w:tcPr>
          <w:p w14:paraId="062EDE85" w14:textId="77777777" w:rsidR="00454A29" w:rsidRDefault="00454A29">
            <w:pPr>
              <w:pStyle w:val="ConsPlusNormal"/>
              <w:jc w:val="center"/>
            </w:pPr>
            <w:r>
              <w:t>Детский сад на 200 мест в г. Вилюйск Вилюйского улуса</w:t>
            </w:r>
          </w:p>
        </w:tc>
        <w:tc>
          <w:tcPr>
            <w:tcW w:w="1701" w:type="dxa"/>
            <w:vAlign w:val="center"/>
          </w:tcPr>
          <w:p w14:paraId="4F1B520F" w14:textId="77777777" w:rsidR="00454A29" w:rsidRDefault="00454A29">
            <w:pPr>
              <w:pStyle w:val="ConsPlusNormal"/>
              <w:jc w:val="center"/>
            </w:pPr>
            <w:r>
              <w:t>2016 - 2025 годы - всего</w:t>
            </w:r>
          </w:p>
        </w:tc>
        <w:tc>
          <w:tcPr>
            <w:tcW w:w="1417" w:type="dxa"/>
            <w:vMerge w:val="restart"/>
            <w:vAlign w:val="center"/>
          </w:tcPr>
          <w:p w14:paraId="6627D6B3" w14:textId="77777777" w:rsidR="00454A29" w:rsidRDefault="00454A29">
            <w:pPr>
              <w:pStyle w:val="ConsPlusNormal"/>
              <w:jc w:val="center"/>
            </w:pPr>
            <w:r>
              <w:t>253 707,55</w:t>
            </w:r>
          </w:p>
        </w:tc>
        <w:tc>
          <w:tcPr>
            <w:tcW w:w="2204" w:type="dxa"/>
            <w:vMerge w:val="restart"/>
            <w:vAlign w:val="center"/>
          </w:tcPr>
          <w:p w14:paraId="21647549" w14:textId="77777777" w:rsidR="00454A29" w:rsidRDefault="00454A29">
            <w:pPr>
              <w:pStyle w:val="ConsPlusNormal"/>
              <w:jc w:val="center"/>
            </w:pPr>
            <w:r>
              <w:t>имеется</w:t>
            </w:r>
          </w:p>
        </w:tc>
        <w:tc>
          <w:tcPr>
            <w:tcW w:w="1417" w:type="dxa"/>
            <w:vMerge w:val="restart"/>
            <w:vAlign w:val="center"/>
          </w:tcPr>
          <w:p w14:paraId="25F42659" w14:textId="77777777" w:rsidR="00454A29" w:rsidRDefault="00454A29">
            <w:pPr>
              <w:pStyle w:val="ConsPlusNormal"/>
              <w:jc w:val="center"/>
            </w:pPr>
            <w:r>
              <w:t>200</w:t>
            </w:r>
          </w:p>
        </w:tc>
        <w:tc>
          <w:tcPr>
            <w:tcW w:w="2324" w:type="dxa"/>
            <w:vMerge w:val="restart"/>
            <w:vAlign w:val="center"/>
          </w:tcPr>
          <w:p w14:paraId="226FD9FC" w14:textId="77777777" w:rsidR="00454A29" w:rsidRDefault="00454A29">
            <w:pPr>
              <w:pStyle w:val="ConsPlusNormal"/>
              <w:jc w:val="center"/>
            </w:pPr>
            <w:r>
              <w:t>Минэкономики РС(Я)</w:t>
            </w:r>
          </w:p>
        </w:tc>
        <w:tc>
          <w:tcPr>
            <w:tcW w:w="1701" w:type="dxa"/>
            <w:vAlign w:val="center"/>
          </w:tcPr>
          <w:p w14:paraId="380A4E1F" w14:textId="77777777" w:rsidR="00454A29" w:rsidRDefault="00454A29">
            <w:pPr>
              <w:pStyle w:val="ConsPlusNormal"/>
              <w:jc w:val="center"/>
            </w:pPr>
            <w:r>
              <w:t>877 179,77</w:t>
            </w:r>
          </w:p>
        </w:tc>
        <w:tc>
          <w:tcPr>
            <w:tcW w:w="1814" w:type="dxa"/>
            <w:vAlign w:val="center"/>
          </w:tcPr>
          <w:p w14:paraId="7E63D03A" w14:textId="77777777" w:rsidR="00454A29" w:rsidRDefault="00454A29">
            <w:pPr>
              <w:pStyle w:val="ConsPlusNormal"/>
              <w:jc w:val="center"/>
            </w:pPr>
            <w:r>
              <w:t>478 888,49</w:t>
            </w:r>
          </w:p>
        </w:tc>
        <w:tc>
          <w:tcPr>
            <w:tcW w:w="1701" w:type="dxa"/>
            <w:vAlign w:val="center"/>
          </w:tcPr>
          <w:p w14:paraId="56384086" w14:textId="77777777" w:rsidR="00454A29" w:rsidRDefault="00454A29">
            <w:pPr>
              <w:pStyle w:val="ConsPlusNormal"/>
              <w:jc w:val="center"/>
            </w:pPr>
            <w:r>
              <w:t>-</w:t>
            </w:r>
          </w:p>
        </w:tc>
        <w:tc>
          <w:tcPr>
            <w:tcW w:w="1701" w:type="dxa"/>
            <w:vAlign w:val="center"/>
          </w:tcPr>
          <w:p w14:paraId="47102D78" w14:textId="77777777" w:rsidR="00454A29" w:rsidRDefault="00454A29">
            <w:pPr>
              <w:pStyle w:val="ConsPlusNormal"/>
              <w:jc w:val="center"/>
            </w:pPr>
            <w:r>
              <w:t>144 583,68</w:t>
            </w:r>
          </w:p>
        </w:tc>
        <w:tc>
          <w:tcPr>
            <w:tcW w:w="1814" w:type="dxa"/>
            <w:vAlign w:val="center"/>
          </w:tcPr>
          <w:p w14:paraId="52AD37CC" w14:textId="77777777" w:rsidR="00454A29" w:rsidRDefault="00454A29">
            <w:pPr>
              <w:pStyle w:val="ConsPlusNormal"/>
              <w:jc w:val="center"/>
            </w:pPr>
            <w:r>
              <w:t>253 707,60</w:t>
            </w:r>
          </w:p>
        </w:tc>
      </w:tr>
      <w:tr w:rsidR="00454A29" w14:paraId="70282CB5" w14:textId="77777777">
        <w:tc>
          <w:tcPr>
            <w:tcW w:w="567" w:type="dxa"/>
            <w:vMerge/>
          </w:tcPr>
          <w:p w14:paraId="4348A95C" w14:textId="77777777" w:rsidR="00454A29" w:rsidRDefault="00454A29"/>
        </w:tc>
        <w:tc>
          <w:tcPr>
            <w:tcW w:w="3345" w:type="dxa"/>
            <w:vMerge/>
          </w:tcPr>
          <w:p w14:paraId="5596051D" w14:textId="77777777" w:rsidR="00454A29" w:rsidRDefault="00454A29"/>
        </w:tc>
        <w:tc>
          <w:tcPr>
            <w:tcW w:w="1701" w:type="dxa"/>
            <w:vAlign w:val="center"/>
          </w:tcPr>
          <w:p w14:paraId="774F0971" w14:textId="77777777" w:rsidR="00454A29" w:rsidRDefault="00454A29">
            <w:pPr>
              <w:pStyle w:val="ConsPlusNormal"/>
              <w:jc w:val="center"/>
            </w:pPr>
            <w:r>
              <w:t>2016</w:t>
            </w:r>
          </w:p>
        </w:tc>
        <w:tc>
          <w:tcPr>
            <w:tcW w:w="1417" w:type="dxa"/>
            <w:vMerge/>
          </w:tcPr>
          <w:p w14:paraId="2E2A2113" w14:textId="77777777" w:rsidR="00454A29" w:rsidRDefault="00454A29"/>
        </w:tc>
        <w:tc>
          <w:tcPr>
            <w:tcW w:w="2204" w:type="dxa"/>
            <w:vMerge/>
          </w:tcPr>
          <w:p w14:paraId="21439478" w14:textId="77777777" w:rsidR="00454A29" w:rsidRDefault="00454A29"/>
        </w:tc>
        <w:tc>
          <w:tcPr>
            <w:tcW w:w="1417" w:type="dxa"/>
            <w:vMerge/>
          </w:tcPr>
          <w:p w14:paraId="38A38CC5" w14:textId="77777777" w:rsidR="00454A29" w:rsidRDefault="00454A29"/>
        </w:tc>
        <w:tc>
          <w:tcPr>
            <w:tcW w:w="2324" w:type="dxa"/>
            <w:vMerge/>
          </w:tcPr>
          <w:p w14:paraId="755C3ED9" w14:textId="77777777" w:rsidR="00454A29" w:rsidRDefault="00454A29"/>
        </w:tc>
        <w:tc>
          <w:tcPr>
            <w:tcW w:w="1701" w:type="dxa"/>
            <w:vAlign w:val="center"/>
          </w:tcPr>
          <w:p w14:paraId="6EE41080" w14:textId="77777777" w:rsidR="00454A29" w:rsidRDefault="00454A29">
            <w:pPr>
              <w:pStyle w:val="ConsPlusNormal"/>
              <w:jc w:val="center"/>
            </w:pPr>
            <w:r>
              <w:t>215 212,24</w:t>
            </w:r>
          </w:p>
        </w:tc>
        <w:tc>
          <w:tcPr>
            <w:tcW w:w="1814" w:type="dxa"/>
            <w:vAlign w:val="center"/>
          </w:tcPr>
          <w:p w14:paraId="3E5A0080" w14:textId="77777777" w:rsidR="00454A29" w:rsidRDefault="00454A29">
            <w:pPr>
              <w:pStyle w:val="ConsPlusNormal"/>
              <w:jc w:val="center"/>
            </w:pPr>
            <w:r>
              <w:t>13 290,70</w:t>
            </w:r>
          </w:p>
        </w:tc>
        <w:tc>
          <w:tcPr>
            <w:tcW w:w="1701" w:type="dxa"/>
            <w:vAlign w:val="center"/>
          </w:tcPr>
          <w:p w14:paraId="1DD20E09" w14:textId="77777777" w:rsidR="00454A29" w:rsidRDefault="00454A29">
            <w:pPr>
              <w:pStyle w:val="ConsPlusNormal"/>
            </w:pPr>
          </w:p>
        </w:tc>
        <w:tc>
          <w:tcPr>
            <w:tcW w:w="1701" w:type="dxa"/>
            <w:vAlign w:val="center"/>
          </w:tcPr>
          <w:p w14:paraId="1E713973" w14:textId="77777777" w:rsidR="00454A29" w:rsidRDefault="00454A29">
            <w:pPr>
              <w:pStyle w:val="ConsPlusNormal"/>
              <w:jc w:val="center"/>
            </w:pPr>
            <w:r>
              <w:t>-</w:t>
            </w:r>
          </w:p>
        </w:tc>
        <w:tc>
          <w:tcPr>
            <w:tcW w:w="1814" w:type="dxa"/>
            <w:vAlign w:val="center"/>
          </w:tcPr>
          <w:p w14:paraId="78B5C3DF" w14:textId="77777777" w:rsidR="00454A29" w:rsidRDefault="00454A29">
            <w:pPr>
              <w:pStyle w:val="ConsPlusNormal"/>
              <w:jc w:val="center"/>
            </w:pPr>
            <w:r>
              <w:t>201 921,54</w:t>
            </w:r>
          </w:p>
        </w:tc>
      </w:tr>
      <w:tr w:rsidR="00454A29" w14:paraId="79A732FD" w14:textId="77777777">
        <w:tc>
          <w:tcPr>
            <w:tcW w:w="567" w:type="dxa"/>
            <w:vMerge/>
          </w:tcPr>
          <w:p w14:paraId="50480EC5" w14:textId="77777777" w:rsidR="00454A29" w:rsidRDefault="00454A29"/>
        </w:tc>
        <w:tc>
          <w:tcPr>
            <w:tcW w:w="3345" w:type="dxa"/>
            <w:vMerge/>
          </w:tcPr>
          <w:p w14:paraId="776B6E82" w14:textId="77777777" w:rsidR="00454A29" w:rsidRDefault="00454A29"/>
        </w:tc>
        <w:tc>
          <w:tcPr>
            <w:tcW w:w="1701" w:type="dxa"/>
            <w:vAlign w:val="center"/>
          </w:tcPr>
          <w:p w14:paraId="6F7B7459" w14:textId="77777777" w:rsidR="00454A29" w:rsidRDefault="00454A29">
            <w:pPr>
              <w:pStyle w:val="ConsPlusNormal"/>
              <w:jc w:val="center"/>
            </w:pPr>
            <w:r>
              <w:t>2017</w:t>
            </w:r>
          </w:p>
        </w:tc>
        <w:tc>
          <w:tcPr>
            <w:tcW w:w="1417" w:type="dxa"/>
            <w:vMerge/>
          </w:tcPr>
          <w:p w14:paraId="6E2B75BD" w14:textId="77777777" w:rsidR="00454A29" w:rsidRDefault="00454A29"/>
        </w:tc>
        <w:tc>
          <w:tcPr>
            <w:tcW w:w="2204" w:type="dxa"/>
            <w:vMerge/>
          </w:tcPr>
          <w:p w14:paraId="1450B3CC" w14:textId="77777777" w:rsidR="00454A29" w:rsidRDefault="00454A29"/>
        </w:tc>
        <w:tc>
          <w:tcPr>
            <w:tcW w:w="1417" w:type="dxa"/>
            <w:vMerge/>
          </w:tcPr>
          <w:p w14:paraId="770E4E61" w14:textId="77777777" w:rsidR="00454A29" w:rsidRDefault="00454A29"/>
        </w:tc>
        <w:tc>
          <w:tcPr>
            <w:tcW w:w="2324" w:type="dxa"/>
            <w:vMerge/>
          </w:tcPr>
          <w:p w14:paraId="7AE1E50F" w14:textId="77777777" w:rsidR="00454A29" w:rsidRDefault="00454A29"/>
        </w:tc>
        <w:tc>
          <w:tcPr>
            <w:tcW w:w="1701" w:type="dxa"/>
            <w:vAlign w:val="center"/>
          </w:tcPr>
          <w:p w14:paraId="471D5A2C" w14:textId="77777777" w:rsidR="00454A29" w:rsidRDefault="00454A29">
            <w:pPr>
              <w:pStyle w:val="ConsPlusNormal"/>
              <w:jc w:val="center"/>
            </w:pPr>
            <w:r>
              <w:t>95 671,21</w:t>
            </w:r>
          </w:p>
        </w:tc>
        <w:tc>
          <w:tcPr>
            <w:tcW w:w="1814" w:type="dxa"/>
            <w:vAlign w:val="center"/>
          </w:tcPr>
          <w:p w14:paraId="4C192F36" w14:textId="77777777" w:rsidR="00454A29" w:rsidRDefault="00454A29">
            <w:pPr>
              <w:pStyle w:val="ConsPlusNormal"/>
              <w:jc w:val="center"/>
            </w:pPr>
            <w:r>
              <w:t>43 885,15</w:t>
            </w:r>
          </w:p>
        </w:tc>
        <w:tc>
          <w:tcPr>
            <w:tcW w:w="1701" w:type="dxa"/>
            <w:vAlign w:val="center"/>
          </w:tcPr>
          <w:p w14:paraId="7D3513AA" w14:textId="77777777" w:rsidR="00454A29" w:rsidRDefault="00454A29">
            <w:pPr>
              <w:pStyle w:val="ConsPlusNormal"/>
            </w:pPr>
          </w:p>
        </w:tc>
        <w:tc>
          <w:tcPr>
            <w:tcW w:w="1701" w:type="dxa"/>
            <w:vAlign w:val="center"/>
          </w:tcPr>
          <w:p w14:paraId="784053EB" w14:textId="77777777" w:rsidR="00454A29" w:rsidRDefault="00454A29">
            <w:pPr>
              <w:pStyle w:val="ConsPlusNormal"/>
              <w:jc w:val="center"/>
            </w:pPr>
            <w:r>
              <w:t>-</w:t>
            </w:r>
          </w:p>
        </w:tc>
        <w:tc>
          <w:tcPr>
            <w:tcW w:w="1814" w:type="dxa"/>
            <w:vAlign w:val="center"/>
          </w:tcPr>
          <w:p w14:paraId="56E0659E" w14:textId="77777777" w:rsidR="00454A29" w:rsidRDefault="00454A29">
            <w:pPr>
              <w:pStyle w:val="ConsPlusNormal"/>
              <w:jc w:val="center"/>
            </w:pPr>
            <w:r>
              <w:t>51 786,06</w:t>
            </w:r>
          </w:p>
        </w:tc>
      </w:tr>
      <w:tr w:rsidR="00454A29" w14:paraId="4E8E88AC" w14:textId="77777777">
        <w:tc>
          <w:tcPr>
            <w:tcW w:w="567" w:type="dxa"/>
            <w:vMerge/>
          </w:tcPr>
          <w:p w14:paraId="1E5C16E3" w14:textId="77777777" w:rsidR="00454A29" w:rsidRDefault="00454A29"/>
        </w:tc>
        <w:tc>
          <w:tcPr>
            <w:tcW w:w="3345" w:type="dxa"/>
            <w:vMerge/>
          </w:tcPr>
          <w:p w14:paraId="4DE6C96C" w14:textId="77777777" w:rsidR="00454A29" w:rsidRDefault="00454A29"/>
        </w:tc>
        <w:tc>
          <w:tcPr>
            <w:tcW w:w="1701" w:type="dxa"/>
            <w:vAlign w:val="center"/>
          </w:tcPr>
          <w:p w14:paraId="29CA0E99" w14:textId="77777777" w:rsidR="00454A29" w:rsidRDefault="00454A29">
            <w:pPr>
              <w:pStyle w:val="ConsPlusNormal"/>
              <w:jc w:val="center"/>
            </w:pPr>
            <w:r>
              <w:t>2018</w:t>
            </w:r>
          </w:p>
        </w:tc>
        <w:tc>
          <w:tcPr>
            <w:tcW w:w="1417" w:type="dxa"/>
            <w:vMerge/>
          </w:tcPr>
          <w:p w14:paraId="479EDFAB" w14:textId="77777777" w:rsidR="00454A29" w:rsidRDefault="00454A29"/>
        </w:tc>
        <w:tc>
          <w:tcPr>
            <w:tcW w:w="2204" w:type="dxa"/>
            <w:vMerge/>
          </w:tcPr>
          <w:p w14:paraId="34F78607" w14:textId="77777777" w:rsidR="00454A29" w:rsidRDefault="00454A29"/>
        </w:tc>
        <w:tc>
          <w:tcPr>
            <w:tcW w:w="1417" w:type="dxa"/>
            <w:vMerge/>
          </w:tcPr>
          <w:p w14:paraId="16DD8B65" w14:textId="77777777" w:rsidR="00454A29" w:rsidRDefault="00454A29"/>
        </w:tc>
        <w:tc>
          <w:tcPr>
            <w:tcW w:w="2324" w:type="dxa"/>
            <w:vMerge/>
          </w:tcPr>
          <w:p w14:paraId="4C3954CB" w14:textId="77777777" w:rsidR="00454A29" w:rsidRDefault="00454A29"/>
        </w:tc>
        <w:tc>
          <w:tcPr>
            <w:tcW w:w="1701" w:type="dxa"/>
            <w:vAlign w:val="center"/>
          </w:tcPr>
          <w:p w14:paraId="4E76C4F0" w14:textId="77777777" w:rsidR="00454A29" w:rsidRDefault="00454A29">
            <w:pPr>
              <w:pStyle w:val="ConsPlusNormal"/>
              <w:jc w:val="center"/>
            </w:pPr>
            <w:r>
              <w:t>62 388,57</w:t>
            </w:r>
          </w:p>
        </w:tc>
        <w:tc>
          <w:tcPr>
            <w:tcW w:w="1814" w:type="dxa"/>
            <w:vAlign w:val="center"/>
          </w:tcPr>
          <w:p w14:paraId="3D6E192F" w14:textId="77777777" w:rsidR="00454A29" w:rsidRDefault="00454A29">
            <w:pPr>
              <w:pStyle w:val="ConsPlusNormal"/>
              <w:jc w:val="center"/>
            </w:pPr>
            <w:r>
              <w:t>46 757,24</w:t>
            </w:r>
          </w:p>
        </w:tc>
        <w:tc>
          <w:tcPr>
            <w:tcW w:w="1701" w:type="dxa"/>
            <w:vAlign w:val="center"/>
          </w:tcPr>
          <w:p w14:paraId="43C8EC6D" w14:textId="77777777" w:rsidR="00454A29" w:rsidRDefault="00454A29">
            <w:pPr>
              <w:pStyle w:val="ConsPlusNormal"/>
            </w:pPr>
          </w:p>
        </w:tc>
        <w:tc>
          <w:tcPr>
            <w:tcW w:w="1701" w:type="dxa"/>
            <w:vAlign w:val="center"/>
          </w:tcPr>
          <w:p w14:paraId="0E22EEF6" w14:textId="77777777" w:rsidR="00454A29" w:rsidRDefault="00454A29">
            <w:pPr>
              <w:pStyle w:val="ConsPlusNormal"/>
              <w:jc w:val="center"/>
            </w:pPr>
            <w:r>
              <w:t>15 631,33</w:t>
            </w:r>
          </w:p>
        </w:tc>
        <w:tc>
          <w:tcPr>
            <w:tcW w:w="1814" w:type="dxa"/>
            <w:vAlign w:val="center"/>
          </w:tcPr>
          <w:p w14:paraId="6D361347" w14:textId="77777777" w:rsidR="00454A29" w:rsidRDefault="00454A29">
            <w:pPr>
              <w:pStyle w:val="ConsPlusNormal"/>
            </w:pPr>
          </w:p>
        </w:tc>
      </w:tr>
      <w:tr w:rsidR="00454A29" w14:paraId="728DCEC3" w14:textId="77777777">
        <w:tc>
          <w:tcPr>
            <w:tcW w:w="567" w:type="dxa"/>
            <w:vMerge/>
          </w:tcPr>
          <w:p w14:paraId="4D1E0E51" w14:textId="77777777" w:rsidR="00454A29" w:rsidRDefault="00454A29"/>
        </w:tc>
        <w:tc>
          <w:tcPr>
            <w:tcW w:w="3345" w:type="dxa"/>
            <w:vMerge/>
          </w:tcPr>
          <w:p w14:paraId="15181F7B" w14:textId="77777777" w:rsidR="00454A29" w:rsidRDefault="00454A29"/>
        </w:tc>
        <w:tc>
          <w:tcPr>
            <w:tcW w:w="1701" w:type="dxa"/>
            <w:vAlign w:val="center"/>
          </w:tcPr>
          <w:p w14:paraId="597C744B" w14:textId="77777777" w:rsidR="00454A29" w:rsidRDefault="00454A29">
            <w:pPr>
              <w:pStyle w:val="ConsPlusNormal"/>
              <w:jc w:val="center"/>
            </w:pPr>
            <w:r>
              <w:t>2019</w:t>
            </w:r>
          </w:p>
        </w:tc>
        <w:tc>
          <w:tcPr>
            <w:tcW w:w="1417" w:type="dxa"/>
            <w:vMerge/>
          </w:tcPr>
          <w:p w14:paraId="16864D72" w14:textId="77777777" w:rsidR="00454A29" w:rsidRDefault="00454A29"/>
        </w:tc>
        <w:tc>
          <w:tcPr>
            <w:tcW w:w="2204" w:type="dxa"/>
            <w:vMerge/>
          </w:tcPr>
          <w:p w14:paraId="3955CCFB" w14:textId="77777777" w:rsidR="00454A29" w:rsidRDefault="00454A29"/>
        </w:tc>
        <w:tc>
          <w:tcPr>
            <w:tcW w:w="1417" w:type="dxa"/>
            <w:vMerge/>
          </w:tcPr>
          <w:p w14:paraId="2BA5865C" w14:textId="77777777" w:rsidR="00454A29" w:rsidRDefault="00454A29"/>
        </w:tc>
        <w:tc>
          <w:tcPr>
            <w:tcW w:w="2324" w:type="dxa"/>
            <w:vMerge/>
          </w:tcPr>
          <w:p w14:paraId="082054B6" w14:textId="77777777" w:rsidR="00454A29" w:rsidRDefault="00454A29"/>
        </w:tc>
        <w:tc>
          <w:tcPr>
            <w:tcW w:w="1701" w:type="dxa"/>
            <w:vAlign w:val="center"/>
          </w:tcPr>
          <w:p w14:paraId="5B5E8310" w14:textId="77777777" w:rsidR="00454A29" w:rsidRDefault="00454A29">
            <w:pPr>
              <w:pStyle w:val="ConsPlusNormal"/>
              <w:jc w:val="center"/>
            </w:pPr>
            <w:r>
              <w:t>62 280,47</w:t>
            </w:r>
          </w:p>
        </w:tc>
        <w:tc>
          <w:tcPr>
            <w:tcW w:w="1814" w:type="dxa"/>
            <w:vAlign w:val="center"/>
          </w:tcPr>
          <w:p w14:paraId="53D6D873" w14:textId="77777777" w:rsidR="00454A29" w:rsidRDefault="00454A29">
            <w:pPr>
              <w:pStyle w:val="ConsPlusNormal"/>
              <w:jc w:val="center"/>
            </w:pPr>
            <w:r>
              <w:t>45 851,94</w:t>
            </w:r>
          </w:p>
        </w:tc>
        <w:tc>
          <w:tcPr>
            <w:tcW w:w="1701" w:type="dxa"/>
            <w:vAlign w:val="center"/>
          </w:tcPr>
          <w:p w14:paraId="743A933C" w14:textId="77777777" w:rsidR="00454A29" w:rsidRDefault="00454A29">
            <w:pPr>
              <w:pStyle w:val="ConsPlusNormal"/>
            </w:pPr>
          </w:p>
        </w:tc>
        <w:tc>
          <w:tcPr>
            <w:tcW w:w="1701" w:type="dxa"/>
            <w:vAlign w:val="center"/>
          </w:tcPr>
          <w:p w14:paraId="062F4E60" w14:textId="77777777" w:rsidR="00454A29" w:rsidRDefault="00454A29">
            <w:pPr>
              <w:pStyle w:val="ConsPlusNormal"/>
              <w:jc w:val="center"/>
            </w:pPr>
            <w:r>
              <w:t>16 428,53</w:t>
            </w:r>
          </w:p>
        </w:tc>
        <w:tc>
          <w:tcPr>
            <w:tcW w:w="1814" w:type="dxa"/>
            <w:vAlign w:val="center"/>
          </w:tcPr>
          <w:p w14:paraId="5FDE69CD" w14:textId="77777777" w:rsidR="00454A29" w:rsidRDefault="00454A29">
            <w:pPr>
              <w:pStyle w:val="ConsPlusNormal"/>
            </w:pPr>
          </w:p>
        </w:tc>
      </w:tr>
      <w:tr w:rsidR="00454A29" w14:paraId="7B12E547" w14:textId="77777777">
        <w:tc>
          <w:tcPr>
            <w:tcW w:w="567" w:type="dxa"/>
            <w:vMerge/>
          </w:tcPr>
          <w:p w14:paraId="45420141" w14:textId="77777777" w:rsidR="00454A29" w:rsidRDefault="00454A29"/>
        </w:tc>
        <w:tc>
          <w:tcPr>
            <w:tcW w:w="3345" w:type="dxa"/>
            <w:vMerge/>
          </w:tcPr>
          <w:p w14:paraId="1037028B" w14:textId="77777777" w:rsidR="00454A29" w:rsidRDefault="00454A29"/>
        </w:tc>
        <w:tc>
          <w:tcPr>
            <w:tcW w:w="1701" w:type="dxa"/>
            <w:vAlign w:val="center"/>
          </w:tcPr>
          <w:p w14:paraId="29693F80" w14:textId="77777777" w:rsidR="00454A29" w:rsidRDefault="00454A29">
            <w:pPr>
              <w:pStyle w:val="ConsPlusNormal"/>
              <w:jc w:val="center"/>
            </w:pPr>
            <w:r>
              <w:t>2020</w:t>
            </w:r>
          </w:p>
        </w:tc>
        <w:tc>
          <w:tcPr>
            <w:tcW w:w="1417" w:type="dxa"/>
            <w:vMerge/>
          </w:tcPr>
          <w:p w14:paraId="45B5E366" w14:textId="77777777" w:rsidR="00454A29" w:rsidRDefault="00454A29"/>
        </w:tc>
        <w:tc>
          <w:tcPr>
            <w:tcW w:w="2204" w:type="dxa"/>
            <w:vMerge/>
          </w:tcPr>
          <w:p w14:paraId="6DE187FC" w14:textId="77777777" w:rsidR="00454A29" w:rsidRDefault="00454A29"/>
        </w:tc>
        <w:tc>
          <w:tcPr>
            <w:tcW w:w="1417" w:type="dxa"/>
            <w:vMerge/>
          </w:tcPr>
          <w:p w14:paraId="002AB6C7" w14:textId="77777777" w:rsidR="00454A29" w:rsidRDefault="00454A29"/>
        </w:tc>
        <w:tc>
          <w:tcPr>
            <w:tcW w:w="2324" w:type="dxa"/>
            <w:vMerge/>
          </w:tcPr>
          <w:p w14:paraId="01B296E3" w14:textId="77777777" w:rsidR="00454A29" w:rsidRDefault="00454A29"/>
        </w:tc>
        <w:tc>
          <w:tcPr>
            <w:tcW w:w="1701" w:type="dxa"/>
            <w:vAlign w:val="center"/>
          </w:tcPr>
          <w:p w14:paraId="3B53247C" w14:textId="77777777" w:rsidR="00454A29" w:rsidRDefault="00454A29">
            <w:pPr>
              <w:pStyle w:val="ConsPlusNormal"/>
              <w:jc w:val="center"/>
            </w:pPr>
            <w:r>
              <w:t>71 255,28</w:t>
            </w:r>
          </w:p>
        </w:tc>
        <w:tc>
          <w:tcPr>
            <w:tcW w:w="1814" w:type="dxa"/>
            <w:vAlign w:val="center"/>
          </w:tcPr>
          <w:p w14:paraId="7FAB7CBA" w14:textId="77777777" w:rsidR="00454A29" w:rsidRDefault="00454A29">
            <w:pPr>
              <w:pStyle w:val="ConsPlusNormal"/>
              <w:jc w:val="center"/>
            </w:pPr>
            <w:r>
              <w:t>54 087,47</w:t>
            </w:r>
          </w:p>
        </w:tc>
        <w:tc>
          <w:tcPr>
            <w:tcW w:w="1701" w:type="dxa"/>
            <w:vAlign w:val="center"/>
          </w:tcPr>
          <w:p w14:paraId="70DCE7B9" w14:textId="77777777" w:rsidR="00454A29" w:rsidRDefault="00454A29">
            <w:pPr>
              <w:pStyle w:val="ConsPlusNormal"/>
            </w:pPr>
          </w:p>
        </w:tc>
        <w:tc>
          <w:tcPr>
            <w:tcW w:w="1701" w:type="dxa"/>
            <w:vAlign w:val="center"/>
          </w:tcPr>
          <w:p w14:paraId="65B2A3A8" w14:textId="77777777" w:rsidR="00454A29" w:rsidRDefault="00454A29">
            <w:pPr>
              <w:pStyle w:val="ConsPlusNormal"/>
              <w:jc w:val="center"/>
            </w:pPr>
            <w:r>
              <w:t>17 167,81</w:t>
            </w:r>
          </w:p>
        </w:tc>
        <w:tc>
          <w:tcPr>
            <w:tcW w:w="1814" w:type="dxa"/>
            <w:vAlign w:val="center"/>
          </w:tcPr>
          <w:p w14:paraId="113D6330" w14:textId="77777777" w:rsidR="00454A29" w:rsidRDefault="00454A29">
            <w:pPr>
              <w:pStyle w:val="ConsPlusNormal"/>
            </w:pPr>
          </w:p>
        </w:tc>
      </w:tr>
      <w:tr w:rsidR="00454A29" w14:paraId="55A7A09F" w14:textId="77777777">
        <w:tc>
          <w:tcPr>
            <w:tcW w:w="567" w:type="dxa"/>
            <w:vMerge/>
          </w:tcPr>
          <w:p w14:paraId="1EF2C184" w14:textId="77777777" w:rsidR="00454A29" w:rsidRDefault="00454A29"/>
        </w:tc>
        <w:tc>
          <w:tcPr>
            <w:tcW w:w="3345" w:type="dxa"/>
            <w:vMerge/>
          </w:tcPr>
          <w:p w14:paraId="61F6AE02" w14:textId="77777777" w:rsidR="00454A29" w:rsidRDefault="00454A29"/>
        </w:tc>
        <w:tc>
          <w:tcPr>
            <w:tcW w:w="1701" w:type="dxa"/>
            <w:vAlign w:val="center"/>
          </w:tcPr>
          <w:p w14:paraId="4F7E6063" w14:textId="77777777" w:rsidR="00454A29" w:rsidRDefault="00454A29">
            <w:pPr>
              <w:pStyle w:val="ConsPlusNormal"/>
              <w:jc w:val="center"/>
            </w:pPr>
            <w:r>
              <w:t>2021</w:t>
            </w:r>
          </w:p>
        </w:tc>
        <w:tc>
          <w:tcPr>
            <w:tcW w:w="1417" w:type="dxa"/>
            <w:vMerge/>
          </w:tcPr>
          <w:p w14:paraId="3E4491C1" w14:textId="77777777" w:rsidR="00454A29" w:rsidRDefault="00454A29"/>
        </w:tc>
        <w:tc>
          <w:tcPr>
            <w:tcW w:w="2204" w:type="dxa"/>
            <w:vMerge/>
          </w:tcPr>
          <w:p w14:paraId="67986025" w14:textId="77777777" w:rsidR="00454A29" w:rsidRDefault="00454A29"/>
        </w:tc>
        <w:tc>
          <w:tcPr>
            <w:tcW w:w="1417" w:type="dxa"/>
            <w:vMerge/>
          </w:tcPr>
          <w:p w14:paraId="5BAD4CC6" w14:textId="77777777" w:rsidR="00454A29" w:rsidRDefault="00454A29"/>
        </w:tc>
        <w:tc>
          <w:tcPr>
            <w:tcW w:w="2324" w:type="dxa"/>
            <w:vMerge/>
          </w:tcPr>
          <w:p w14:paraId="22671FE6" w14:textId="77777777" w:rsidR="00454A29" w:rsidRDefault="00454A29"/>
        </w:tc>
        <w:tc>
          <w:tcPr>
            <w:tcW w:w="1701" w:type="dxa"/>
            <w:vAlign w:val="center"/>
          </w:tcPr>
          <w:p w14:paraId="693F7778" w14:textId="77777777" w:rsidR="00454A29" w:rsidRDefault="00454A29">
            <w:pPr>
              <w:pStyle w:val="ConsPlusNormal"/>
              <w:jc w:val="center"/>
            </w:pPr>
            <w:r>
              <w:t>70 086,44</w:t>
            </w:r>
          </w:p>
        </w:tc>
        <w:tc>
          <w:tcPr>
            <w:tcW w:w="1814" w:type="dxa"/>
            <w:vAlign w:val="center"/>
          </w:tcPr>
          <w:p w14:paraId="42D72A48" w14:textId="77777777" w:rsidR="00454A29" w:rsidRDefault="00454A29">
            <w:pPr>
              <w:pStyle w:val="ConsPlusNormal"/>
              <w:jc w:val="center"/>
            </w:pPr>
            <w:r>
              <w:t>52 231,91</w:t>
            </w:r>
          </w:p>
        </w:tc>
        <w:tc>
          <w:tcPr>
            <w:tcW w:w="1701" w:type="dxa"/>
            <w:vAlign w:val="center"/>
          </w:tcPr>
          <w:p w14:paraId="537DF761" w14:textId="77777777" w:rsidR="00454A29" w:rsidRDefault="00454A29">
            <w:pPr>
              <w:pStyle w:val="ConsPlusNormal"/>
            </w:pPr>
          </w:p>
        </w:tc>
        <w:tc>
          <w:tcPr>
            <w:tcW w:w="1701" w:type="dxa"/>
            <w:vAlign w:val="center"/>
          </w:tcPr>
          <w:p w14:paraId="22881B4F" w14:textId="77777777" w:rsidR="00454A29" w:rsidRDefault="00454A29">
            <w:pPr>
              <w:pStyle w:val="ConsPlusNormal"/>
              <w:jc w:val="center"/>
            </w:pPr>
            <w:r>
              <w:t>17 854,53</w:t>
            </w:r>
          </w:p>
        </w:tc>
        <w:tc>
          <w:tcPr>
            <w:tcW w:w="1814" w:type="dxa"/>
            <w:vAlign w:val="center"/>
          </w:tcPr>
          <w:p w14:paraId="5A8C5BB9" w14:textId="77777777" w:rsidR="00454A29" w:rsidRDefault="00454A29">
            <w:pPr>
              <w:pStyle w:val="ConsPlusNormal"/>
            </w:pPr>
          </w:p>
        </w:tc>
      </w:tr>
      <w:tr w:rsidR="00454A29" w14:paraId="0456C33C" w14:textId="77777777">
        <w:tc>
          <w:tcPr>
            <w:tcW w:w="567" w:type="dxa"/>
            <w:vMerge/>
          </w:tcPr>
          <w:p w14:paraId="1AC9DA7E" w14:textId="77777777" w:rsidR="00454A29" w:rsidRDefault="00454A29"/>
        </w:tc>
        <w:tc>
          <w:tcPr>
            <w:tcW w:w="3345" w:type="dxa"/>
            <w:vMerge/>
          </w:tcPr>
          <w:p w14:paraId="4CCFC85F" w14:textId="77777777" w:rsidR="00454A29" w:rsidRDefault="00454A29"/>
        </w:tc>
        <w:tc>
          <w:tcPr>
            <w:tcW w:w="1701" w:type="dxa"/>
            <w:vAlign w:val="center"/>
          </w:tcPr>
          <w:p w14:paraId="5A46D1FB" w14:textId="77777777" w:rsidR="00454A29" w:rsidRDefault="00454A29">
            <w:pPr>
              <w:pStyle w:val="ConsPlusNormal"/>
              <w:jc w:val="center"/>
            </w:pPr>
            <w:r>
              <w:t>2022</w:t>
            </w:r>
          </w:p>
        </w:tc>
        <w:tc>
          <w:tcPr>
            <w:tcW w:w="1417" w:type="dxa"/>
            <w:vMerge/>
          </w:tcPr>
          <w:p w14:paraId="69F2727B" w14:textId="77777777" w:rsidR="00454A29" w:rsidRDefault="00454A29"/>
        </w:tc>
        <w:tc>
          <w:tcPr>
            <w:tcW w:w="2204" w:type="dxa"/>
            <w:vMerge/>
          </w:tcPr>
          <w:p w14:paraId="151ED2E5" w14:textId="77777777" w:rsidR="00454A29" w:rsidRDefault="00454A29"/>
        </w:tc>
        <w:tc>
          <w:tcPr>
            <w:tcW w:w="1417" w:type="dxa"/>
            <w:vMerge/>
          </w:tcPr>
          <w:p w14:paraId="5A8D587B" w14:textId="77777777" w:rsidR="00454A29" w:rsidRDefault="00454A29"/>
        </w:tc>
        <w:tc>
          <w:tcPr>
            <w:tcW w:w="2324" w:type="dxa"/>
            <w:vMerge/>
          </w:tcPr>
          <w:p w14:paraId="7B8856D9" w14:textId="77777777" w:rsidR="00454A29" w:rsidRDefault="00454A29"/>
        </w:tc>
        <w:tc>
          <w:tcPr>
            <w:tcW w:w="1701" w:type="dxa"/>
            <w:vAlign w:val="center"/>
          </w:tcPr>
          <w:p w14:paraId="3878BFD0" w14:textId="77777777" w:rsidR="00454A29" w:rsidRDefault="00454A29">
            <w:pPr>
              <w:pStyle w:val="ConsPlusNormal"/>
              <w:jc w:val="center"/>
            </w:pPr>
            <w:r>
              <w:t>74 175,45</w:t>
            </w:r>
          </w:p>
        </w:tc>
        <w:tc>
          <w:tcPr>
            <w:tcW w:w="1814" w:type="dxa"/>
            <w:vAlign w:val="center"/>
          </w:tcPr>
          <w:p w14:paraId="0B636782" w14:textId="77777777" w:rsidR="00454A29" w:rsidRDefault="00454A29">
            <w:pPr>
              <w:pStyle w:val="ConsPlusNormal"/>
              <w:jc w:val="center"/>
            </w:pPr>
            <w:r>
              <w:t>55 696,02</w:t>
            </w:r>
          </w:p>
        </w:tc>
        <w:tc>
          <w:tcPr>
            <w:tcW w:w="1701" w:type="dxa"/>
            <w:vAlign w:val="center"/>
          </w:tcPr>
          <w:p w14:paraId="7F868AA3" w14:textId="77777777" w:rsidR="00454A29" w:rsidRDefault="00454A29">
            <w:pPr>
              <w:pStyle w:val="ConsPlusNormal"/>
            </w:pPr>
          </w:p>
        </w:tc>
        <w:tc>
          <w:tcPr>
            <w:tcW w:w="1701" w:type="dxa"/>
            <w:vAlign w:val="center"/>
          </w:tcPr>
          <w:p w14:paraId="67819A0E" w14:textId="77777777" w:rsidR="00454A29" w:rsidRDefault="00454A29">
            <w:pPr>
              <w:pStyle w:val="ConsPlusNormal"/>
              <w:jc w:val="center"/>
            </w:pPr>
            <w:r>
              <w:t>18 479,43</w:t>
            </w:r>
          </w:p>
        </w:tc>
        <w:tc>
          <w:tcPr>
            <w:tcW w:w="1814" w:type="dxa"/>
            <w:vAlign w:val="center"/>
          </w:tcPr>
          <w:p w14:paraId="71FFFB40" w14:textId="77777777" w:rsidR="00454A29" w:rsidRDefault="00454A29">
            <w:pPr>
              <w:pStyle w:val="ConsPlusNormal"/>
            </w:pPr>
          </w:p>
        </w:tc>
      </w:tr>
      <w:tr w:rsidR="00454A29" w14:paraId="6289E9D3" w14:textId="77777777">
        <w:tc>
          <w:tcPr>
            <w:tcW w:w="567" w:type="dxa"/>
            <w:vMerge/>
          </w:tcPr>
          <w:p w14:paraId="0F8C8760" w14:textId="77777777" w:rsidR="00454A29" w:rsidRDefault="00454A29"/>
        </w:tc>
        <w:tc>
          <w:tcPr>
            <w:tcW w:w="3345" w:type="dxa"/>
            <w:vMerge/>
          </w:tcPr>
          <w:p w14:paraId="1D3238A8" w14:textId="77777777" w:rsidR="00454A29" w:rsidRDefault="00454A29"/>
        </w:tc>
        <w:tc>
          <w:tcPr>
            <w:tcW w:w="1701" w:type="dxa"/>
            <w:vAlign w:val="center"/>
          </w:tcPr>
          <w:p w14:paraId="2AB44326" w14:textId="77777777" w:rsidR="00454A29" w:rsidRDefault="00454A29">
            <w:pPr>
              <w:pStyle w:val="ConsPlusNormal"/>
              <w:jc w:val="center"/>
            </w:pPr>
            <w:r>
              <w:t>2023</w:t>
            </w:r>
          </w:p>
        </w:tc>
        <w:tc>
          <w:tcPr>
            <w:tcW w:w="1417" w:type="dxa"/>
            <w:vMerge/>
          </w:tcPr>
          <w:p w14:paraId="6080D288" w14:textId="77777777" w:rsidR="00454A29" w:rsidRDefault="00454A29"/>
        </w:tc>
        <w:tc>
          <w:tcPr>
            <w:tcW w:w="2204" w:type="dxa"/>
            <w:vMerge/>
          </w:tcPr>
          <w:p w14:paraId="4919A16B" w14:textId="77777777" w:rsidR="00454A29" w:rsidRDefault="00454A29"/>
        </w:tc>
        <w:tc>
          <w:tcPr>
            <w:tcW w:w="1417" w:type="dxa"/>
            <w:vMerge/>
          </w:tcPr>
          <w:p w14:paraId="775262EE" w14:textId="77777777" w:rsidR="00454A29" w:rsidRDefault="00454A29"/>
        </w:tc>
        <w:tc>
          <w:tcPr>
            <w:tcW w:w="2324" w:type="dxa"/>
            <w:vMerge/>
          </w:tcPr>
          <w:p w14:paraId="2EAA353B" w14:textId="77777777" w:rsidR="00454A29" w:rsidRDefault="00454A29"/>
        </w:tc>
        <w:tc>
          <w:tcPr>
            <w:tcW w:w="1701" w:type="dxa"/>
            <w:vAlign w:val="center"/>
          </w:tcPr>
          <w:p w14:paraId="52C8DA25" w14:textId="77777777" w:rsidR="00454A29" w:rsidRDefault="00454A29">
            <w:pPr>
              <w:pStyle w:val="ConsPlusNormal"/>
              <w:jc w:val="center"/>
            </w:pPr>
            <w:r>
              <w:t>74 785,27</w:t>
            </w:r>
          </w:p>
        </w:tc>
        <w:tc>
          <w:tcPr>
            <w:tcW w:w="1814" w:type="dxa"/>
            <w:vAlign w:val="center"/>
          </w:tcPr>
          <w:p w14:paraId="7E65A2BE" w14:textId="77777777" w:rsidR="00454A29" w:rsidRDefault="00454A29">
            <w:pPr>
              <w:pStyle w:val="ConsPlusNormal"/>
              <w:jc w:val="center"/>
            </w:pPr>
            <w:r>
              <w:t>55 696,02</w:t>
            </w:r>
          </w:p>
        </w:tc>
        <w:tc>
          <w:tcPr>
            <w:tcW w:w="1701" w:type="dxa"/>
            <w:vAlign w:val="center"/>
          </w:tcPr>
          <w:p w14:paraId="1C21430B" w14:textId="77777777" w:rsidR="00454A29" w:rsidRDefault="00454A29">
            <w:pPr>
              <w:pStyle w:val="ConsPlusNormal"/>
            </w:pPr>
          </w:p>
        </w:tc>
        <w:tc>
          <w:tcPr>
            <w:tcW w:w="1701" w:type="dxa"/>
            <w:vAlign w:val="center"/>
          </w:tcPr>
          <w:p w14:paraId="4315C5C0" w14:textId="77777777" w:rsidR="00454A29" w:rsidRDefault="00454A29">
            <w:pPr>
              <w:pStyle w:val="ConsPlusNormal"/>
              <w:jc w:val="center"/>
            </w:pPr>
            <w:r>
              <w:t>19 089,26</w:t>
            </w:r>
          </w:p>
        </w:tc>
        <w:tc>
          <w:tcPr>
            <w:tcW w:w="1814" w:type="dxa"/>
            <w:vAlign w:val="center"/>
          </w:tcPr>
          <w:p w14:paraId="35503EE7" w14:textId="77777777" w:rsidR="00454A29" w:rsidRDefault="00454A29">
            <w:pPr>
              <w:pStyle w:val="ConsPlusNormal"/>
            </w:pPr>
          </w:p>
        </w:tc>
      </w:tr>
      <w:tr w:rsidR="00454A29" w14:paraId="2EA0BF07" w14:textId="77777777">
        <w:tc>
          <w:tcPr>
            <w:tcW w:w="567" w:type="dxa"/>
            <w:vMerge/>
          </w:tcPr>
          <w:p w14:paraId="5FDC2F8C" w14:textId="77777777" w:rsidR="00454A29" w:rsidRDefault="00454A29"/>
        </w:tc>
        <w:tc>
          <w:tcPr>
            <w:tcW w:w="3345" w:type="dxa"/>
            <w:vMerge/>
          </w:tcPr>
          <w:p w14:paraId="1D18FD48" w14:textId="77777777" w:rsidR="00454A29" w:rsidRDefault="00454A29"/>
        </w:tc>
        <w:tc>
          <w:tcPr>
            <w:tcW w:w="1701" w:type="dxa"/>
            <w:vAlign w:val="center"/>
          </w:tcPr>
          <w:p w14:paraId="62B96A74" w14:textId="77777777" w:rsidR="00454A29" w:rsidRDefault="00454A29">
            <w:pPr>
              <w:pStyle w:val="ConsPlusNormal"/>
              <w:jc w:val="center"/>
            </w:pPr>
            <w:r>
              <w:t>2024</w:t>
            </w:r>
          </w:p>
        </w:tc>
        <w:tc>
          <w:tcPr>
            <w:tcW w:w="1417" w:type="dxa"/>
            <w:vMerge/>
          </w:tcPr>
          <w:p w14:paraId="7E35BFED" w14:textId="77777777" w:rsidR="00454A29" w:rsidRDefault="00454A29"/>
        </w:tc>
        <w:tc>
          <w:tcPr>
            <w:tcW w:w="2204" w:type="dxa"/>
            <w:vMerge/>
          </w:tcPr>
          <w:p w14:paraId="6F10D47E" w14:textId="77777777" w:rsidR="00454A29" w:rsidRDefault="00454A29"/>
        </w:tc>
        <w:tc>
          <w:tcPr>
            <w:tcW w:w="1417" w:type="dxa"/>
            <w:vMerge/>
          </w:tcPr>
          <w:p w14:paraId="73B4C71A" w14:textId="77777777" w:rsidR="00454A29" w:rsidRDefault="00454A29"/>
        </w:tc>
        <w:tc>
          <w:tcPr>
            <w:tcW w:w="2324" w:type="dxa"/>
            <w:vMerge/>
          </w:tcPr>
          <w:p w14:paraId="79472ED9" w14:textId="77777777" w:rsidR="00454A29" w:rsidRDefault="00454A29"/>
        </w:tc>
        <w:tc>
          <w:tcPr>
            <w:tcW w:w="1701" w:type="dxa"/>
            <w:vAlign w:val="center"/>
          </w:tcPr>
          <w:p w14:paraId="3ADD2528" w14:textId="77777777" w:rsidR="00454A29" w:rsidRDefault="00454A29">
            <w:pPr>
              <w:pStyle w:val="ConsPlusNormal"/>
              <w:jc w:val="center"/>
            </w:pPr>
            <w:r>
              <w:t>75 377,04</w:t>
            </w:r>
          </w:p>
        </w:tc>
        <w:tc>
          <w:tcPr>
            <w:tcW w:w="1814" w:type="dxa"/>
            <w:vAlign w:val="center"/>
          </w:tcPr>
          <w:p w14:paraId="50E73FC7" w14:textId="77777777" w:rsidR="00454A29" w:rsidRDefault="00454A29">
            <w:pPr>
              <w:pStyle w:val="ConsPlusNormal"/>
              <w:jc w:val="center"/>
            </w:pPr>
            <w:r>
              <w:t>55 696,02</w:t>
            </w:r>
          </w:p>
        </w:tc>
        <w:tc>
          <w:tcPr>
            <w:tcW w:w="1701" w:type="dxa"/>
            <w:vAlign w:val="center"/>
          </w:tcPr>
          <w:p w14:paraId="5286A3BD" w14:textId="77777777" w:rsidR="00454A29" w:rsidRDefault="00454A29">
            <w:pPr>
              <w:pStyle w:val="ConsPlusNormal"/>
            </w:pPr>
          </w:p>
        </w:tc>
        <w:tc>
          <w:tcPr>
            <w:tcW w:w="1701" w:type="dxa"/>
            <w:vAlign w:val="center"/>
          </w:tcPr>
          <w:p w14:paraId="12445976" w14:textId="77777777" w:rsidR="00454A29" w:rsidRDefault="00454A29">
            <w:pPr>
              <w:pStyle w:val="ConsPlusNormal"/>
              <w:jc w:val="center"/>
            </w:pPr>
            <w:r>
              <w:t>19 681,02</w:t>
            </w:r>
          </w:p>
        </w:tc>
        <w:tc>
          <w:tcPr>
            <w:tcW w:w="1814" w:type="dxa"/>
            <w:vAlign w:val="center"/>
          </w:tcPr>
          <w:p w14:paraId="6328C880" w14:textId="77777777" w:rsidR="00454A29" w:rsidRDefault="00454A29">
            <w:pPr>
              <w:pStyle w:val="ConsPlusNormal"/>
            </w:pPr>
          </w:p>
        </w:tc>
      </w:tr>
      <w:tr w:rsidR="00454A29" w14:paraId="01BC2DC6" w14:textId="77777777">
        <w:tc>
          <w:tcPr>
            <w:tcW w:w="567" w:type="dxa"/>
            <w:vMerge/>
          </w:tcPr>
          <w:p w14:paraId="67CD31ED" w14:textId="77777777" w:rsidR="00454A29" w:rsidRDefault="00454A29"/>
        </w:tc>
        <w:tc>
          <w:tcPr>
            <w:tcW w:w="3345" w:type="dxa"/>
            <w:vMerge/>
          </w:tcPr>
          <w:p w14:paraId="46014EC1" w14:textId="77777777" w:rsidR="00454A29" w:rsidRDefault="00454A29"/>
        </w:tc>
        <w:tc>
          <w:tcPr>
            <w:tcW w:w="1701" w:type="dxa"/>
            <w:vAlign w:val="center"/>
          </w:tcPr>
          <w:p w14:paraId="3B370D0B" w14:textId="77777777" w:rsidR="00454A29" w:rsidRDefault="00454A29">
            <w:pPr>
              <w:pStyle w:val="ConsPlusNormal"/>
              <w:jc w:val="center"/>
            </w:pPr>
            <w:r>
              <w:t>2025</w:t>
            </w:r>
          </w:p>
        </w:tc>
        <w:tc>
          <w:tcPr>
            <w:tcW w:w="1417" w:type="dxa"/>
            <w:vMerge/>
          </w:tcPr>
          <w:p w14:paraId="49FC2B0C" w14:textId="77777777" w:rsidR="00454A29" w:rsidRDefault="00454A29"/>
        </w:tc>
        <w:tc>
          <w:tcPr>
            <w:tcW w:w="2204" w:type="dxa"/>
            <w:vMerge/>
          </w:tcPr>
          <w:p w14:paraId="6A0C5335" w14:textId="77777777" w:rsidR="00454A29" w:rsidRDefault="00454A29"/>
        </w:tc>
        <w:tc>
          <w:tcPr>
            <w:tcW w:w="1417" w:type="dxa"/>
            <w:vMerge/>
          </w:tcPr>
          <w:p w14:paraId="75E10F03" w14:textId="77777777" w:rsidR="00454A29" w:rsidRDefault="00454A29"/>
        </w:tc>
        <w:tc>
          <w:tcPr>
            <w:tcW w:w="2324" w:type="dxa"/>
            <w:vMerge/>
          </w:tcPr>
          <w:p w14:paraId="5609E278" w14:textId="77777777" w:rsidR="00454A29" w:rsidRDefault="00454A29"/>
        </w:tc>
        <w:tc>
          <w:tcPr>
            <w:tcW w:w="1701" w:type="dxa"/>
            <w:vAlign w:val="center"/>
          </w:tcPr>
          <w:p w14:paraId="54420383" w14:textId="77777777" w:rsidR="00454A29" w:rsidRDefault="00454A29">
            <w:pPr>
              <w:pStyle w:val="ConsPlusNormal"/>
              <w:jc w:val="center"/>
            </w:pPr>
            <w:r>
              <w:t>75 947,79</w:t>
            </w:r>
          </w:p>
        </w:tc>
        <w:tc>
          <w:tcPr>
            <w:tcW w:w="1814" w:type="dxa"/>
            <w:vAlign w:val="center"/>
          </w:tcPr>
          <w:p w14:paraId="038DA457" w14:textId="77777777" w:rsidR="00454A29" w:rsidRDefault="00454A29">
            <w:pPr>
              <w:pStyle w:val="ConsPlusNormal"/>
              <w:jc w:val="center"/>
            </w:pPr>
            <w:r>
              <w:t>55 696,02</w:t>
            </w:r>
          </w:p>
        </w:tc>
        <w:tc>
          <w:tcPr>
            <w:tcW w:w="1701" w:type="dxa"/>
            <w:vAlign w:val="center"/>
          </w:tcPr>
          <w:p w14:paraId="6BE658B9" w14:textId="77777777" w:rsidR="00454A29" w:rsidRDefault="00454A29">
            <w:pPr>
              <w:pStyle w:val="ConsPlusNormal"/>
            </w:pPr>
          </w:p>
        </w:tc>
        <w:tc>
          <w:tcPr>
            <w:tcW w:w="1701" w:type="dxa"/>
            <w:vAlign w:val="center"/>
          </w:tcPr>
          <w:p w14:paraId="7EE6971B" w14:textId="77777777" w:rsidR="00454A29" w:rsidRDefault="00454A29">
            <w:pPr>
              <w:pStyle w:val="ConsPlusNormal"/>
              <w:jc w:val="center"/>
            </w:pPr>
            <w:r>
              <w:t>20 251,77</w:t>
            </w:r>
          </w:p>
        </w:tc>
        <w:tc>
          <w:tcPr>
            <w:tcW w:w="1814" w:type="dxa"/>
            <w:vAlign w:val="center"/>
          </w:tcPr>
          <w:p w14:paraId="6F3FE835" w14:textId="77777777" w:rsidR="00454A29" w:rsidRDefault="00454A29">
            <w:pPr>
              <w:pStyle w:val="ConsPlusNormal"/>
            </w:pPr>
          </w:p>
        </w:tc>
      </w:tr>
      <w:tr w:rsidR="00454A29" w14:paraId="7C10ADAE" w14:textId="77777777">
        <w:tc>
          <w:tcPr>
            <w:tcW w:w="567" w:type="dxa"/>
            <w:vMerge w:val="restart"/>
            <w:vAlign w:val="center"/>
          </w:tcPr>
          <w:p w14:paraId="2B34A36D" w14:textId="77777777" w:rsidR="00454A29" w:rsidRDefault="00454A29">
            <w:pPr>
              <w:pStyle w:val="ConsPlusNormal"/>
              <w:jc w:val="center"/>
            </w:pPr>
            <w:r>
              <w:t>61</w:t>
            </w:r>
          </w:p>
        </w:tc>
        <w:tc>
          <w:tcPr>
            <w:tcW w:w="3345" w:type="dxa"/>
            <w:vMerge w:val="restart"/>
            <w:vAlign w:val="center"/>
          </w:tcPr>
          <w:p w14:paraId="1D6E63AB" w14:textId="77777777" w:rsidR="00454A29" w:rsidRDefault="00454A29">
            <w:pPr>
              <w:pStyle w:val="ConsPlusNormal"/>
              <w:jc w:val="center"/>
            </w:pPr>
            <w:r>
              <w:t>Детский сад на 315 мест в г. Ленск Ленского улуса</w:t>
            </w:r>
          </w:p>
        </w:tc>
        <w:tc>
          <w:tcPr>
            <w:tcW w:w="1701" w:type="dxa"/>
            <w:vAlign w:val="center"/>
          </w:tcPr>
          <w:p w14:paraId="2EF26426" w14:textId="77777777" w:rsidR="00454A29" w:rsidRDefault="00454A29">
            <w:pPr>
              <w:pStyle w:val="ConsPlusNormal"/>
              <w:jc w:val="center"/>
            </w:pPr>
            <w:r>
              <w:t>2016 - 2025 годы - всего</w:t>
            </w:r>
          </w:p>
        </w:tc>
        <w:tc>
          <w:tcPr>
            <w:tcW w:w="1417" w:type="dxa"/>
            <w:vMerge w:val="restart"/>
            <w:vAlign w:val="center"/>
          </w:tcPr>
          <w:p w14:paraId="23F8D528" w14:textId="77777777" w:rsidR="00454A29" w:rsidRDefault="00454A29">
            <w:pPr>
              <w:pStyle w:val="ConsPlusNormal"/>
              <w:jc w:val="center"/>
            </w:pPr>
            <w:r>
              <w:t>391 476,58</w:t>
            </w:r>
          </w:p>
        </w:tc>
        <w:tc>
          <w:tcPr>
            <w:tcW w:w="2204" w:type="dxa"/>
            <w:vMerge w:val="restart"/>
            <w:vAlign w:val="center"/>
          </w:tcPr>
          <w:p w14:paraId="1C1620B9" w14:textId="77777777" w:rsidR="00454A29" w:rsidRDefault="00454A29">
            <w:pPr>
              <w:pStyle w:val="ConsPlusNormal"/>
              <w:jc w:val="center"/>
            </w:pPr>
            <w:r>
              <w:t>имеется</w:t>
            </w:r>
          </w:p>
        </w:tc>
        <w:tc>
          <w:tcPr>
            <w:tcW w:w="1417" w:type="dxa"/>
            <w:vMerge w:val="restart"/>
            <w:vAlign w:val="center"/>
          </w:tcPr>
          <w:p w14:paraId="17F20DBC" w14:textId="77777777" w:rsidR="00454A29" w:rsidRDefault="00454A29">
            <w:pPr>
              <w:pStyle w:val="ConsPlusNormal"/>
              <w:jc w:val="center"/>
            </w:pPr>
            <w:r>
              <w:t>315</w:t>
            </w:r>
          </w:p>
        </w:tc>
        <w:tc>
          <w:tcPr>
            <w:tcW w:w="2324" w:type="dxa"/>
            <w:vMerge w:val="restart"/>
            <w:vAlign w:val="center"/>
          </w:tcPr>
          <w:p w14:paraId="3C05A570" w14:textId="77777777" w:rsidR="00454A29" w:rsidRDefault="00454A29">
            <w:pPr>
              <w:pStyle w:val="ConsPlusNormal"/>
              <w:jc w:val="center"/>
            </w:pPr>
            <w:r>
              <w:t>Минэкономики РС(Я)</w:t>
            </w:r>
          </w:p>
        </w:tc>
        <w:tc>
          <w:tcPr>
            <w:tcW w:w="1701" w:type="dxa"/>
            <w:vAlign w:val="center"/>
          </w:tcPr>
          <w:p w14:paraId="3FA87FBF" w14:textId="77777777" w:rsidR="00454A29" w:rsidRDefault="00454A29">
            <w:pPr>
              <w:pStyle w:val="ConsPlusNormal"/>
              <w:jc w:val="center"/>
            </w:pPr>
            <w:r>
              <w:t>1 268 797,12</w:t>
            </w:r>
          </w:p>
        </w:tc>
        <w:tc>
          <w:tcPr>
            <w:tcW w:w="1814" w:type="dxa"/>
            <w:vAlign w:val="center"/>
          </w:tcPr>
          <w:p w14:paraId="3E3995DB" w14:textId="77777777" w:rsidR="00454A29" w:rsidRDefault="00454A29">
            <w:pPr>
              <w:pStyle w:val="ConsPlusNormal"/>
              <w:jc w:val="center"/>
            </w:pPr>
            <w:r>
              <w:t>708 952,47</w:t>
            </w:r>
          </w:p>
        </w:tc>
        <w:tc>
          <w:tcPr>
            <w:tcW w:w="1701" w:type="dxa"/>
            <w:vAlign w:val="center"/>
          </w:tcPr>
          <w:p w14:paraId="4236D9BC" w14:textId="77777777" w:rsidR="00454A29" w:rsidRDefault="00454A29">
            <w:pPr>
              <w:pStyle w:val="ConsPlusNormal"/>
              <w:jc w:val="center"/>
            </w:pPr>
            <w:r>
              <w:t>-</w:t>
            </w:r>
          </w:p>
        </w:tc>
        <w:tc>
          <w:tcPr>
            <w:tcW w:w="1701" w:type="dxa"/>
            <w:vAlign w:val="center"/>
          </w:tcPr>
          <w:p w14:paraId="4D4BDFB5" w14:textId="77777777" w:rsidR="00454A29" w:rsidRDefault="00454A29">
            <w:pPr>
              <w:pStyle w:val="ConsPlusNormal"/>
              <w:jc w:val="center"/>
            </w:pPr>
            <w:r>
              <w:t>168 368,07</w:t>
            </w:r>
          </w:p>
        </w:tc>
        <w:tc>
          <w:tcPr>
            <w:tcW w:w="1814" w:type="dxa"/>
            <w:vAlign w:val="center"/>
          </w:tcPr>
          <w:p w14:paraId="72D1F77F" w14:textId="77777777" w:rsidR="00454A29" w:rsidRDefault="00454A29">
            <w:pPr>
              <w:pStyle w:val="ConsPlusNormal"/>
              <w:jc w:val="center"/>
            </w:pPr>
            <w:r>
              <w:t>391 476,58</w:t>
            </w:r>
          </w:p>
        </w:tc>
      </w:tr>
      <w:tr w:rsidR="00454A29" w14:paraId="34E50666" w14:textId="77777777">
        <w:tc>
          <w:tcPr>
            <w:tcW w:w="567" w:type="dxa"/>
            <w:vMerge/>
          </w:tcPr>
          <w:p w14:paraId="26E3F7CE" w14:textId="77777777" w:rsidR="00454A29" w:rsidRDefault="00454A29"/>
        </w:tc>
        <w:tc>
          <w:tcPr>
            <w:tcW w:w="3345" w:type="dxa"/>
            <w:vMerge/>
          </w:tcPr>
          <w:p w14:paraId="12A65C9A" w14:textId="77777777" w:rsidR="00454A29" w:rsidRDefault="00454A29"/>
        </w:tc>
        <w:tc>
          <w:tcPr>
            <w:tcW w:w="1701" w:type="dxa"/>
            <w:vAlign w:val="center"/>
          </w:tcPr>
          <w:p w14:paraId="133B2D5B" w14:textId="77777777" w:rsidR="00454A29" w:rsidRDefault="00454A29">
            <w:pPr>
              <w:pStyle w:val="ConsPlusNormal"/>
              <w:jc w:val="center"/>
            </w:pPr>
            <w:r>
              <w:t>2016</w:t>
            </w:r>
          </w:p>
        </w:tc>
        <w:tc>
          <w:tcPr>
            <w:tcW w:w="1417" w:type="dxa"/>
            <w:vMerge/>
          </w:tcPr>
          <w:p w14:paraId="6047B261" w14:textId="77777777" w:rsidR="00454A29" w:rsidRDefault="00454A29"/>
        </w:tc>
        <w:tc>
          <w:tcPr>
            <w:tcW w:w="2204" w:type="dxa"/>
            <w:vMerge/>
          </w:tcPr>
          <w:p w14:paraId="39932787" w14:textId="77777777" w:rsidR="00454A29" w:rsidRDefault="00454A29"/>
        </w:tc>
        <w:tc>
          <w:tcPr>
            <w:tcW w:w="1417" w:type="dxa"/>
            <w:vMerge/>
          </w:tcPr>
          <w:p w14:paraId="5D603C49" w14:textId="77777777" w:rsidR="00454A29" w:rsidRDefault="00454A29"/>
        </w:tc>
        <w:tc>
          <w:tcPr>
            <w:tcW w:w="2324" w:type="dxa"/>
            <w:vMerge/>
          </w:tcPr>
          <w:p w14:paraId="4FF598FB" w14:textId="77777777" w:rsidR="00454A29" w:rsidRDefault="00454A29"/>
        </w:tc>
        <w:tc>
          <w:tcPr>
            <w:tcW w:w="1701" w:type="dxa"/>
            <w:vAlign w:val="center"/>
          </w:tcPr>
          <w:p w14:paraId="1BFAB492" w14:textId="77777777" w:rsidR="00454A29" w:rsidRDefault="00454A29">
            <w:pPr>
              <w:pStyle w:val="ConsPlusNormal"/>
              <w:jc w:val="center"/>
            </w:pPr>
            <w:r>
              <w:t>233 908,48</w:t>
            </w:r>
          </w:p>
        </w:tc>
        <w:tc>
          <w:tcPr>
            <w:tcW w:w="1814" w:type="dxa"/>
            <w:vAlign w:val="center"/>
          </w:tcPr>
          <w:p w14:paraId="7BEE0147" w14:textId="77777777" w:rsidR="00454A29" w:rsidRDefault="00454A29">
            <w:pPr>
              <w:pStyle w:val="ConsPlusNormal"/>
              <w:jc w:val="center"/>
            </w:pPr>
            <w:r>
              <w:t>8 821,00</w:t>
            </w:r>
          </w:p>
        </w:tc>
        <w:tc>
          <w:tcPr>
            <w:tcW w:w="1701" w:type="dxa"/>
            <w:vAlign w:val="center"/>
          </w:tcPr>
          <w:p w14:paraId="74B4027E" w14:textId="77777777" w:rsidR="00454A29" w:rsidRDefault="00454A29">
            <w:pPr>
              <w:pStyle w:val="ConsPlusNormal"/>
            </w:pPr>
          </w:p>
        </w:tc>
        <w:tc>
          <w:tcPr>
            <w:tcW w:w="1701" w:type="dxa"/>
            <w:vAlign w:val="center"/>
          </w:tcPr>
          <w:p w14:paraId="38D085CC" w14:textId="77777777" w:rsidR="00454A29" w:rsidRDefault="00454A29">
            <w:pPr>
              <w:pStyle w:val="ConsPlusNormal"/>
              <w:jc w:val="center"/>
            </w:pPr>
            <w:r>
              <w:t>-</w:t>
            </w:r>
          </w:p>
        </w:tc>
        <w:tc>
          <w:tcPr>
            <w:tcW w:w="1814" w:type="dxa"/>
            <w:vAlign w:val="center"/>
          </w:tcPr>
          <w:p w14:paraId="32A9BDD9" w14:textId="77777777" w:rsidR="00454A29" w:rsidRDefault="00454A29">
            <w:pPr>
              <w:pStyle w:val="ConsPlusNormal"/>
              <w:jc w:val="center"/>
            </w:pPr>
            <w:r>
              <w:t>225 087,48</w:t>
            </w:r>
          </w:p>
        </w:tc>
      </w:tr>
      <w:tr w:rsidR="00454A29" w14:paraId="2E9352B7" w14:textId="77777777">
        <w:tc>
          <w:tcPr>
            <w:tcW w:w="567" w:type="dxa"/>
            <w:vMerge/>
          </w:tcPr>
          <w:p w14:paraId="5133455B" w14:textId="77777777" w:rsidR="00454A29" w:rsidRDefault="00454A29"/>
        </w:tc>
        <w:tc>
          <w:tcPr>
            <w:tcW w:w="3345" w:type="dxa"/>
            <w:vMerge/>
          </w:tcPr>
          <w:p w14:paraId="36F886C8" w14:textId="77777777" w:rsidR="00454A29" w:rsidRDefault="00454A29"/>
        </w:tc>
        <w:tc>
          <w:tcPr>
            <w:tcW w:w="1701" w:type="dxa"/>
            <w:vAlign w:val="center"/>
          </w:tcPr>
          <w:p w14:paraId="77576E82" w14:textId="77777777" w:rsidR="00454A29" w:rsidRDefault="00454A29">
            <w:pPr>
              <w:pStyle w:val="ConsPlusNormal"/>
              <w:jc w:val="center"/>
            </w:pPr>
            <w:r>
              <w:t>2017</w:t>
            </w:r>
          </w:p>
        </w:tc>
        <w:tc>
          <w:tcPr>
            <w:tcW w:w="1417" w:type="dxa"/>
            <w:vMerge/>
          </w:tcPr>
          <w:p w14:paraId="703778D8" w14:textId="77777777" w:rsidR="00454A29" w:rsidRDefault="00454A29"/>
        </w:tc>
        <w:tc>
          <w:tcPr>
            <w:tcW w:w="2204" w:type="dxa"/>
            <w:vMerge/>
          </w:tcPr>
          <w:p w14:paraId="1B23EDFB" w14:textId="77777777" w:rsidR="00454A29" w:rsidRDefault="00454A29"/>
        </w:tc>
        <w:tc>
          <w:tcPr>
            <w:tcW w:w="1417" w:type="dxa"/>
            <w:vMerge/>
          </w:tcPr>
          <w:p w14:paraId="4C6D853C" w14:textId="77777777" w:rsidR="00454A29" w:rsidRDefault="00454A29"/>
        </w:tc>
        <w:tc>
          <w:tcPr>
            <w:tcW w:w="2324" w:type="dxa"/>
            <w:vMerge/>
          </w:tcPr>
          <w:p w14:paraId="209D1A7A" w14:textId="77777777" w:rsidR="00454A29" w:rsidRDefault="00454A29"/>
        </w:tc>
        <w:tc>
          <w:tcPr>
            <w:tcW w:w="1701" w:type="dxa"/>
            <w:vAlign w:val="center"/>
          </w:tcPr>
          <w:p w14:paraId="460D7F54" w14:textId="77777777" w:rsidR="00454A29" w:rsidRDefault="00454A29">
            <w:pPr>
              <w:pStyle w:val="ConsPlusNormal"/>
              <w:jc w:val="center"/>
            </w:pPr>
            <w:r>
              <w:t>224 985,89</w:t>
            </w:r>
          </w:p>
        </w:tc>
        <w:tc>
          <w:tcPr>
            <w:tcW w:w="1814" w:type="dxa"/>
            <w:vAlign w:val="center"/>
          </w:tcPr>
          <w:p w14:paraId="0EDA9E86" w14:textId="77777777" w:rsidR="00454A29" w:rsidRDefault="00454A29">
            <w:pPr>
              <w:pStyle w:val="ConsPlusNormal"/>
              <w:jc w:val="center"/>
            </w:pPr>
            <w:r>
              <w:t>58 596,79</w:t>
            </w:r>
          </w:p>
        </w:tc>
        <w:tc>
          <w:tcPr>
            <w:tcW w:w="1701" w:type="dxa"/>
            <w:vAlign w:val="center"/>
          </w:tcPr>
          <w:p w14:paraId="74002875" w14:textId="77777777" w:rsidR="00454A29" w:rsidRDefault="00454A29">
            <w:pPr>
              <w:pStyle w:val="ConsPlusNormal"/>
            </w:pPr>
          </w:p>
        </w:tc>
        <w:tc>
          <w:tcPr>
            <w:tcW w:w="1701" w:type="dxa"/>
            <w:vAlign w:val="center"/>
          </w:tcPr>
          <w:p w14:paraId="451D1008" w14:textId="77777777" w:rsidR="00454A29" w:rsidRDefault="00454A29">
            <w:pPr>
              <w:pStyle w:val="ConsPlusNormal"/>
              <w:jc w:val="center"/>
            </w:pPr>
            <w:r>
              <w:t>-</w:t>
            </w:r>
          </w:p>
        </w:tc>
        <w:tc>
          <w:tcPr>
            <w:tcW w:w="1814" w:type="dxa"/>
            <w:vAlign w:val="center"/>
          </w:tcPr>
          <w:p w14:paraId="06FCE2BE" w14:textId="77777777" w:rsidR="00454A29" w:rsidRDefault="00454A29">
            <w:pPr>
              <w:pStyle w:val="ConsPlusNormal"/>
              <w:jc w:val="center"/>
            </w:pPr>
            <w:r>
              <w:t>166 389,10</w:t>
            </w:r>
          </w:p>
        </w:tc>
      </w:tr>
      <w:tr w:rsidR="00454A29" w14:paraId="6B8AAB2D" w14:textId="77777777">
        <w:tc>
          <w:tcPr>
            <w:tcW w:w="567" w:type="dxa"/>
            <w:vMerge/>
          </w:tcPr>
          <w:p w14:paraId="64D8F917" w14:textId="77777777" w:rsidR="00454A29" w:rsidRDefault="00454A29"/>
        </w:tc>
        <w:tc>
          <w:tcPr>
            <w:tcW w:w="3345" w:type="dxa"/>
            <w:vMerge/>
          </w:tcPr>
          <w:p w14:paraId="72D8D38D" w14:textId="77777777" w:rsidR="00454A29" w:rsidRDefault="00454A29"/>
        </w:tc>
        <w:tc>
          <w:tcPr>
            <w:tcW w:w="1701" w:type="dxa"/>
            <w:vAlign w:val="center"/>
          </w:tcPr>
          <w:p w14:paraId="0338AD28" w14:textId="77777777" w:rsidR="00454A29" w:rsidRDefault="00454A29">
            <w:pPr>
              <w:pStyle w:val="ConsPlusNormal"/>
              <w:jc w:val="center"/>
            </w:pPr>
            <w:r>
              <w:t>2018</w:t>
            </w:r>
          </w:p>
        </w:tc>
        <w:tc>
          <w:tcPr>
            <w:tcW w:w="1417" w:type="dxa"/>
            <w:vMerge/>
          </w:tcPr>
          <w:p w14:paraId="30577E6C" w14:textId="77777777" w:rsidR="00454A29" w:rsidRDefault="00454A29"/>
        </w:tc>
        <w:tc>
          <w:tcPr>
            <w:tcW w:w="2204" w:type="dxa"/>
            <w:vMerge/>
          </w:tcPr>
          <w:p w14:paraId="2799B321" w14:textId="77777777" w:rsidR="00454A29" w:rsidRDefault="00454A29"/>
        </w:tc>
        <w:tc>
          <w:tcPr>
            <w:tcW w:w="1417" w:type="dxa"/>
            <w:vMerge/>
          </w:tcPr>
          <w:p w14:paraId="4E79C4D1" w14:textId="77777777" w:rsidR="00454A29" w:rsidRDefault="00454A29"/>
        </w:tc>
        <w:tc>
          <w:tcPr>
            <w:tcW w:w="2324" w:type="dxa"/>
            <w:vMerge/>
          </w:tcPr>
          <w:p w14:paraId="308058DF" w14:textId="77777777" w:rsidR="00454A29" w:rsidRDefault="00454A29"/>
        </w:tc>
        <w:tc>
          <w:tcPr>
            <w:tcW w:w="1701" w:type="dxa"/>
            <w:vAlign w:val="center"/>
          </w:tcPr>
          <w:p w14:paraId="46DE3FC6" w14:textId="77777777" w:rsidR="00454A29" w:rsidRDefault="00454A29">
            <w:pPr>
              <w:pStyle w:val="ConsPlusNormal"/>
              <w:jc w:val="center"/>
            </w:pPr>
            <w:r>
              <w:t>99 624,41</w:t>
            </w:r>
          </w:p>
        </w:tc>
        <w:tc>
          <w:tcPr>
            <w:tcW w:w="1814" w:type="dxa"/>
            <w:vAlign w:val="center"/>
          </w:tcPr>
          <w:p w14:paraId="574163D3" w14:textId="77777777" w:rsidR="00454A29" w:rsidRDefault="00454A29">
            <w:pPr>
              <w:pStyle w:val="ConsPlusNormal"/>
              <w:jc w:val="center"/>
            </w:pPr>
            <w:r>
              <w:t>78 174,32</w:t>
            </w:r>
          </w:p>
        </w:tc>
        <w:tc>
          <w:tcPr>
            <w:tcW w:w="1701" w:type="dxa"/>
            <w:vAlign w:val="center"/>
          </w:tcPr>
          <w:p w14:paraId="029F67C7" w14:textId="77777777" w:rsidR="00454A29" w:rsidRDefault="00454A29">
            <w:pPr>
              <w:pStyle w:val="ConsPlusNormal"/>
            </w:pPr>
          </w:p>
        </w:tc>
        <w:tc>
          <w:tcPr>
            <w:tcW w:w="1701" w:type="dxa"/>
            <w:vAlign w:val="center"/>
          </w:tcPr>
          <w:p w14:paraId="385CF3C4" w14:textId="77777777" w:rsidR="00454A29" w:rsidRDefault="00454A29">
            <w:pPr>
              <w:pStyle w:val="ConsPlusNormal"/>
              <w:jc w:val="center"/>
            </w:pPr>
            <w:r>
              <w:t>21 450,09</w:t>
            </w:r>
          </w:p>
        </w:tc>
        <w:tc>
          <w:tcPr>
            <w:tcW w:w="1814" w:type="dxa"/>
            <w:vAlign w:val="center"/>
          </w:tcPr>
          <w:p w14:paraId="61008211" w14:textId="77777777" w:rsidR="00454A29" w:rsidRDefault="00454A29">
            <w:pPr>
              <w:pStyle w:val="ConsPlusNormal"/>
            </w:pPr>
          </w:p>
        </w:tc>
      </w:tr>
      <w:tr w:rsidR="00454A29" w14:paraId="3DCE9172" w14:textId="77777777">
        <w:tc>
          <w:tcPr>
            <w:tcW w:w="567" w:type="dxa"/>
            <w:vMerge/>
          </w:tcPr>
          <w:p w14:paraId="41D5D7DB" w14:textId="77777777" w:rsidR="00454A29" w:rsidRDefault="00454A29"/>
        </w:tc>
        <w:tc>
          <w:tcPr>
            <w:tcW w:w="3345" w:type="dxa"/>
            <w:vMerge/>
          </w:tcPr>
          <w:p w14:paraId="43C6C5CC" w14:textId="77777777" w:rsidR="00454A29" w:rsidRDefault="00454A29"/>
        </w:tc>
        <w:tc>
          <w:tcPr>
            <w:tcW w:w="1701" w:type="dxa"/>
            <w:vAlign w:val="center"/>
          </w:tcPr>
          <w:p w14:paraId="3B9F09C3" w14:textId="77777777" w:rsidR="00454A29" w:rsidRDefault="00454A29">
            <w:pPr>
              <w:pStyle w:val="ConsPlusNormal"/>
              <w:jc w:val="center"/>
            </w:pPr>
            <w:r>
              <w:t>2019</w:t>
            </w:r>
          </w:p>
        </w:tc>
        <w:tc>
          <w:tcPr>
            <w:tcW w:w="1417" w:type="dxa"/>
            <w:vMerge/>
          </w:tcPr>
          <w:p w14:paraId="5F4651D5" w14:textId="77777777" w:rsidR="00454A29" w:rsidRDefault="00454A29"/>
        </w:tc>
        <w:tc>
          <w:tcPr>
            <w:tcW w:w="2204" w:type="dxa"/>
            <w:vMerge/>
          </w:tcPr>
          <w:p w14:paraId="27BE49F9" w14:textId="77777777" w:rsidR="00454A29" w:rsidRDefault="00454A29"/>
        </w:tc>
        <w:tc>
          <w:tcPr>
            <w:tcW w:w="1417" w:type="dxa"/>
            <w:vMerge/>
          </w:tcPr>
          <w:p w14:paraId="4A289705" w14:textId="77777777" w:rsidR="00454A29" w:rsidRDefault="00454A29"/>
        </w:tc>
        <w:tc>
          <w:tcPr>
            <w:tcW w:w="2324" w:type="dxa"/>
            <w:vMerge/>
          </w:tcPr>
          <w:p w14:paraId="12367230" w14:textId="77777777" w:rsidR="00454A29" w:rsidRDefault="00454A29"/>
        </w:tc>
        <w:tc>
          <w:tcPr>
            <w:tcW w:w="1701" w:type="dxa"/>
            <w:vAlign w:val="center"/>
          </w:tcPr>
          <w:p w14:paraId="4DC746F8" w14:textId="77777777" w:rsidR="00454A29" w:rsidRDefault="00454A29">
            <w:pPr>
              <w:pStyle w:val="ConsPlusNormal"/>
              <w:jc w:val="center"/>
            </w:pPr>
            <w:r>
              <w:t>99 684,37</w:t>
            </w:r>
          </w:p>
        </w:tc>
        <w:tc>
          <w:tcPr>
            <w:tcW w:w="1814" w:type="dxa"/>
            <w:vAlign w:val="center"/>
          </w:tcPr>
          <w:p w14:paraId="70FA8663" w14:textId="77777777" w:rsidR="00454A29" w:rsidRDefault="00454A29">
            <w:pPr>
              <w:pStyle w:val="ConsPlusNormal"/>
              <w:jc w:val="center"/>
            </w:pPr>
            <w:r>
              <w:t>77 269,02</w:t>
            </w:r>
          </w:p>
        </w:tc>
        <w:tc>
          <w:tcPr>
            <w:tcW w:w="1701" w:type="dxa"/>
            <w:vAlign w:val="center"/>
          </w:tcPr>
          <w:p w14:paraId="56026C30" w14:textId="77777777" w:rsidR="00454A29" w:rsidRDefault="00454A29">
            <w:pPr>
              <w:pStyle w:val="ConsPlusNormal"/>
            </w:pPr>
          </w:p>
        </w:tc>
        <w:tc>
          <w:tcPr>
            <w:tcW w:w="1701" w:type="dxa"/>
            <w:vAlign w:val="center"/>
          </w:tcPr>
          <w:p w14:paraId="35FD60C1" w14:textId="77777777" w:rsidR="00454A29" w:rsidRDefault="00454A29">
            <w:pPr>
              <w:pStyle w:val="ConsPlusNormal"/>
              <w:jc w:val="center"/>
            </w:pPr>
            <w:r>
              <w:t>22 415,35</w:t>
            </w:r>
          </w:p>
        </w:tc>
        <w:tc>
          <w:tcPr>
            <w:tcW w:w="1814" w:type="dxa"/>
            <w:vAlign w:val="center"/>
          </w:tcPr>
          <w:p w14:paraId="5475947E" w14:textId="77777777" w:rsidR="00454A29" w:rsidRDefault="00454A29">
            <w:pPr>
              <w:pStyle w:val="ConsPlusNormal"/>
            </w:pPr>
          </w:p>
        </w:tc>
      </w:tr>
      <w:tr w:rsidR="00454A29" w14:paraId="1E8F7550" w14:textId="77777777">
        <w:tc>
          <w:tcPr>
            <w:tcW w:w="567" w:type="dxa"/>
            <w:vMerge/>
          </w:tcPr>
          <w:p w14:paraId="38AE9CEE" w14:textId="77777777" w:rsidR="00454A29" w:rsidRDefault="00454A29"/>
        </w:tc>
        <w:tc>
          <w:tcPr>
            <w:tcW w:w="3345" w:type="dxa"/>
            <w:vMerge/>
          </w:tcPr>
          <w:p w14:paraId="1DC71A20" w14:textId="77777777" w:rsidR="00454A29" w:rsidRDefault="00454A29"/>
        </w:tc>
        <w:tc>
          <w:tcPr>
            <w:tcW w:w="1701" w:type="dxa"/>
            <w:vAlign w:val="center"/>
          </w:tcPr>
          <w:p w14:paraId="7A41F1EC" w14:textId="77777777" w:rsidR="00454A29" w:rsidRDefault="00454A29">
            <w:pPr>
              <w:pStyle w:val="ConsPlusNormal"/>
              <w:jc w:val="center"/>
            </w:pPr>
            <w:r>
              <w:t>2020</w:t>
            </w:r>
          </w:p>
        </w:tc>
        <w:tc>
          <w:tcPr>
            <w:tcW w:w="1417" w:type="dxa"/>
            <w:vMerge/>
          </w:tcPr>
          <w:p w14:paraId="4EEAE2B2" w14:textId="77777777" w:rsidR="00454A29" w:rsidRDefault="00454A29"/>
        </w:tc>
        <w:tc>
          <w:tcPr>
            <w:tcW w:w="2204" w:type="dxa"/>
            <w:vMerge/>
          </w:tcPr>
          <w:p w14:paraId="2407992A" w14:textId="77777777" w:rsidR="00454A29" w:rsidRDefault="00454A29"/>
        </w:tc>
        <w:tc>
          <w:tcPr>
            <w:tcW w:w="1417" w:type="dxa"/>
            <w:vMerge/>
          </w:tcPr>
          <w:p w14:paraId="528B9335" w14:textId="77777777" w:rsidR="00454A29" w:rsidRDefault="00454A29"/>
        </w:tc>
        <w:tc>
          <w:tcPr>
            <w:tcW w:w="2324" w:type="dxa"/>
            <w:vMerge/>
          </w:tcPr>
          <w:p w14:paraId="4F9B45E0" w14:textId="77777777" w:rsidR="00454A29" w:rsidRDefault="00454A29"/>
        </w:tc>
        <w:tc>
          <w:tcPr>
            <w:tcW w:w="1701" w:type="dxa"/>
            <w:vAlign w:val="center"/>
          </w:tcPr>
          <w:p w14:paraId="12D47240" w14:textId="77777777" w:rsidR="00454A29" w:rsidRDefault="00454A29">
            <w:pPr>
              <w:pStyle w:val="ConsPlusNormal"/>
              <w:jc w:val="center"/>
            </w:pPr>
            <w:r>
              <w:t>83 166,29</w:t>
            </w:r>
          </w:p>
        </w:tc>
        <w:tc>
          <w:tcPr>
            <w:tcW w:w="1814" w:type="dxa"/>
            <w:vAlign w:val="center"/>
          </w:tcPr>
          <w:p w14:paraId="7B2FCCD9" w14:textId="77777777" w:rsidR="00454A29" w:rsidRDefault="00454A29">
            <w:pPr>
              <w:pStyle w:val="ConsPlusNormal"/>
              <w:jc w:val="center"/>
            </w:pPr>
            <w:r>
              <w:t>59 854,33</w:t>
            </w:r>
          </w:p>
        </w:tc>
        <w:tc>
          <w:tcPr>
            <w:tcW w:w="1701" w:type="dxa"/>
            <w:vAlign w:val="center"/>
          </w:tcPr>
          <w:p w14:paraId="73D2AB99" w14:textId="77777777" w:rsidR="00454A29" w:rsidRDefault="00454A29">
            <w:pPr>
              <w:pStyle w:val="ConsPlusNormal"/>
            </w:pPr>
          </w:p>
        </w:tc>
        <w:tc>
          <w:tcPr>
            <w:tcW w:w="1701" w:type="dxa"/>
            <w:vAlign w:val="center"/>
          </w:tcPr>
          <w:p w14:paraId="740DF5B4" w14:textId="77777777" w:rsidR="00454A29" w:rsidRDefault="00454A29">
            <w:pPr>
              <w:pStyle w:val="ConsPlusNormal"/>
              <w:jc w:val="center"/>
            </w:pPr>
            <w:r>
              <w:t>23 311,96</w:t>
            </w:r>
          </w:p>
        </w:tc>
        <w:tc>
          <w:tcPr>
            <w:tcW w:w="1814" w:type="dxa"/>
            <w:vAlign w:val="center"/>
          </w:tcPr>
          <w:p w14:paraId="5697F499" w14:textId="77777777" w:rsidR="00454A29" w:rsidRDefault="00454A29">
            <w:pPr>
              <w:pStyle w:val="ConsPlusNormal"/>
            </w:pPr>
          </w:p>
        </w:tc>
      </w:tr>
      <w:tr w:rsidR="00454A29" w14:paraId="538FD344" w14:textId="77777777">
        <w:tc>
          <w:tcPr>
            <w:tcW w:w="567" w:type="dxa"/>
            <w:vMerge/>
          </w:tcPr>
          <w:p w14:paraId="00944ED7" w14:textId="77777777" w:rsidR="00454A29" w:rsidRDefault="00454A29"/>
        </w:tc>
        <w:tc>
          <w:tcPr>
            <w:tcW w:w="3345" w:type="dxa"/>
            <w:vMerge/>
          </w:tcPr>
          <w:p w14:paraId="54A13A3D" w14:textId="77777777" w:rsidR="00454A29" w:rsidRDefault="00454A29"/>
        </w:tc>
        <w:tc>
          <w:tcPr>
            <w:tcW w:w="1701" w:type="dxa"/>
            <w:vAlign w:val="center"/>
          </w:tcPr>
          <w:p w14:paraId="48440F7A" w14:textId="77777777" w:rsidR="00454A29" w:rsidRDefault="00454A29">
            <w:pPr>
              <w:pStyle w:val="ConsPlusNormal"/>
              <w:jc w:val="center"/>
            </w:pPr>
            <w:r>
              <w:t>2021</w:t>
            </w:r>
          </w:p>
        </w:tc>
        <w:tc>
          <w:tcPr>
            <w:tcW w:w="1417" w:type="dxa"/>
            <w:vMerge/>
          </w:tcPr>
          <w:p w14:paraId="76128E0A" w14:textId="77777777" w:rsidR="00454A29" w:rsidRDefault="00454A29"/>
        </w:tc>
        <w:tc>
          <w:tcPr>
            <w:tcW w:w="2204" w:type="dxa"/>
            <w:vMerge/>
          </w:tcPr>
          <w:p w14:paraId="40E003DA" w14:textId="77777777" w:rsidR="00454A29" w:rsidRDefault="00454A29"/>
        </w:tc>
        <w:tc>
          <w:tcPr>
            <w:tcW w:w="1417" w:type="dxa"/>
            <w:vMerge/>
          </w:tcPr>
          <w:p w14:paraId="6D00A386" w14:textId="77777777" w:rsidR="00454A29" w:rsidRDefault="00454A29"/>
        </w:tc>
        <w:tc>
          <w:tcPr>
            <w:tcW w:w="2324" w:type="dxa"/>
            <w:vMerge/>
          </w:tcPr>
          <w:p w14:paraId="4C8E4A02" w14:textId="77777777" w:rsidR="00454A29" w:rsidRDefault="00454A29"/>
        </w:tc>
        <w:tc>
          <w:tcPr>
            <w:tcW w:w="1701" w:type="dxa"/>
            <w:vAlign w:val="center"/>
          </w:tcPr>
          <w:p w14:paraId="09BA1229" w14:textId="77777777" w:rsidR="00454A29" w:rsidRDefault="00454A29">
            <w:pPr>
              <w:pStyle w:val="ConsPlusNormal"/>
              <w:jc w:val="center"/>
            </w:pPr>
            <w:r>
              <w:t>106 604,00</w:t>
            </w:r>
          </w:p>
        </w:tc>
        <w:tc>
          <w:tcPr>
            <w:tcW w:w="1814" w:type="dxa"/>
            <w:vAlign w:val="center"/>
          </w:tcPr>
          <w:p w14:paraId="425763CB" w14:textId="77777777" w:rsidR="00454A29" w:rsidRDefault="00454A29">
            <w:pPr>
              <w:pStyle w:val="ConsPlusNormal"/>
              <w:jc w:val="center"/>
            </w:pPr>
            <w:r>
              <w:t>82 476,12</w:t>
            </w:r>
          </w:p>
        </w:tc>
        <w:tc>
          <w:tcPr>
            <w:tcW w:w="1701" w:type="dxa"/>
            <w:vAlign w:val="center"/>
          </w:tcPr>
          <w:p w14:paraId="2D9C45BA" w14:textId="77777777" w:rsidR="00454A29" w:rsidRDefault="00454A29">
            <w:pPr>
              <w:pStyle w:val="ConsPlusNormal"/>
            </w:pPr>
          </w:p>
        </w:tc>
        <w:tc>
          <w:tcPr>
            <w:tcW w:w="1701" w:type="dxa"/>
            <w:vAlign w:val="center"/>
          </w:tcPr>
          <w:p w14:paraId="5F2BC862" w14:textId="77777777" w:rsidR="00454A29" w:rsidRDefault="00454A29">
            <w:pPr>
              <w:pStyle w:val="ConsPlusNormal"/>
              <w:jc w:val="center"/>
            </w:pPr>
            <w:r>
              <w:t>24 127,88</w:t>
            </w:r>
          </w:p>
        </w:tc>
        <w:tc>
          <w:tcPr>
            <w:tcW w:w="1814" w:type="dxa"/>
            <w:vAlign w:val="center"/>
          </w:tcPr>
          <w:p w14:paraId="2DB3534F" w14:textId="77777777" w:rsidR="00454A29" w:rsidRDefault="00454A29">
            <w:pPr>
              <w:pStyle w:val="ConsPlusNormal"/>
            </w:pPr>
          </w:p>
        </w:tc>
      </w:tr>
      <w:tr w:rsidR="00454A29" w14:paraId="7B0F5F85" w14:textId="77777777">
        <w:tc>
          <w:tcPr>
            <w:tcW w:w="567" w:type="dxa"/>
            <w:vMerge/>
          </w:tcPr>
          <w:p w14:paraId="4FA8C22D" w14:textId="77777777" w:rsidR="00454A29" w:rsidRDefault="00454A29"/>
        </w:tc>
        <w:tc>
          <w:tcPr>
            <w:tcW w:w="3345" w:type="dxa"/>
            <w:vMerge/>
          </w:tcPr>
          <w:p w14:paraId="182E1676" w14:textId="77777777" w:rsidR="00454A29" w:rsidRDefault="00454A29"/>
        </w:tc>
        <w:tc>
          <w:tcPr>
            <w:tcW w:w="1701" w:type="dxa"/>
            <w:vAlign w:val="center"/>
          </w:tcPr>
          <w:p w14:paraId="3B2065BD" w14:textId="77777777" w:rsidR="00454A29" w:rsidRDefault="00454A29">
            <w:pPr>
              <w:pStyle w:val="ConsPlusNormal"/>
              <w:jc w:val="center"/>
            </w:pPr>
            <w:r>
              <w:t>2022</w:t>
            </w:r>
          </w:p>
        </w:tc>
        <w:tc>
          <w:tcPr>
            <w:tcW w:w="1417" w:type="dxa"/>
            <w:vMerge/>
          </w:tcPr>
          <w:p w14:paraId="64EBD854" w14:textId="77777777" w:rsidR="00454A29" w:rsidRDefault="00454A29"/>
        </w:tc>
        <w:tc>
          <w:tcPr>
            <w:tcW w:w="2204" w:type="dxa"/>
            <w:vMerge/>
          </w:tcPr>
          <w:p w14:paraId="46D6F218" w14:textId="77777777" w:rsidR="00454A29" w:rsidRDefault="00454A29"/>
        </w:tc>
        <w:tc>
          <w:tcPr>
            <w:tcW w:w="1417" w:type="dxa"/>
            <w:vMerge/>
          </w:tcPr>
          <w:p w14:paraId="3F126BEB" w14:textId="77777777" w:rsidR="00454A29" w:rsidRDefault="00454A29"/>
        </w:tc>
        <w:tc>
          <w:tcPr>
            <w:tcW w:w="2324" w:type="dxa"/>
            <w:vMerge/>
          </w:tcPr>
          <w:p w14:paraId="40C2F11C" w14:textId="77777777" w:rsidR="00454A29" w:rsidRDefault="00454A29"/>
        </w:tc>
        <w:tc>
          <w:tcPr>
            <w:tcW w:w="1701" w:type="dxa"/>
            <w:vAlign w:val="center"/>
          </w:tcPr>
          <w:p w14:paraId="11A897BE" w14:textId="77777777" w:rsidR="00454A29" w:rsidRDefault="00454A29">
            <w:pPr>
              <w:pStyle w:val="ConsPlusNormal"/>
              <w:jc w:val="center"/>
            </w:pPr>
            <w:r>
              <w:t>110 864,32</w:t>
            </w:r>
          </w:p>
        </w:tc>
        <w:tc>
          <w:tcPr>
            <w:tcW w:w="1814" w:type="dxa"/>
            <w:vAlign w:val="center"/>
          </w:tcPr>
          <w:p w14:paraId="0BD1FBF7" w14:textId="77777777" w:rsidR="00454A29" w:rsidRDefault="00454A29">
            <w:pPr>
              <w:pStyle w:val="ConsPlusNormal"/>
              <w:jc w:val="center"/>
            </w:pPr>
            <w:r>
              <w:t>85 940,22</w:t>
            </w:r>
          </w:p>
        </w:tc>
        <w:tc>
          <w:tcPr>
            <w:tcW w:w="1701" w:type="dxa"/>
            <w:vAlign w:val="center"/>
          </w:tcPr>
          <w:p w14:paraId="11BBDF17" w14:textId="77777777" w:rsidR="00454A29" w:rsidRDefault="00454A29">
            <w:pPr>
              <w:pStyle w:val="ConsPlusNormal"/>
            </w:pPr>
          </w:p>
        </w:tc>
        <w:tc>
          <w:tcPr>
            <w:tcW w:w="1701" w:type="dxa"/>
            <w:vAlign w:val="center"/>
          </w:tcPr>
          <w:p w14:paraId="6F6A3D36" w14:textId="77777777" w:rsidR="00454A29" w:rsidRDefault="00454A29">
            <w:pPr>
              <w:pStyle w:val="ConsPlusNormal"/>
              <w:jc w:val="center"/>
            </w:pPr>
            <w:r>
              <w:t>24 924,10</w:t>
            </w:r>
          </w:p>
        </w:tc>
        <w:tc>
          <w:tcPr>
            <w:tcW w:w="1814" w:type="dxa"/>
            <w:vAlign w:val="center"/>
          </w:tcPr>
          <w:p w14:paraId="59BB21DF" w14:textId="77777777" w:rsidR="00454A29" w:rsidRDefault="00454A29">
            <w:pPr>
              <w:pStyle w:val="ConsPlusNormal"/>
            </w:pPr>
          </w:p>
        </w:tc>
      </w:tr>
      <w:tr w:rsidR="00454A29" w14:paraId="6D1B098E" w14:textId="77777777">
        <w:tc>
          <w:tcPr>
            <w:tcW w:w="567" w:type="dxa"/>
            <w:vMerge/>
          </w:tcPr>
          <w:p w14:paraId="17D066A8" w14:textId="77777777" w:rsidR="00454A29" w:rsidRDefault="00454A29"/>
        </w:tc>
        <w:tc>
          <w:tcPr>
            <w:tcW w:w="3345" w:type="dxa"/>
            <w:vMerge/>
          </w:tcPr>
          <w:p w14:paraId="30FEFFE4" w14:textId="77777777" w:rsidR="00454A29" w:rsidRDefault="00454A29"/>
        </w:tc>
        <w:tc>
          <w:tcPr>
            <w:tcW w:w="1701" w:type="dxa"/>
            <w:vAlign w:val="center"/>
          </w:tcPr>
          <w:p w14:paraId="41ABA4E5" w14:textId="77777777" w:rsidR="00454A29" w:rsidRDefault="00454A29">
            <w:pPr>
              <w:pStyle w:val="ConsPlusNormal"/>
              <w:jc w:val="center"/>
            </w:pPr>
            <w:r>
              <w:t>2023</w:t>
            </w:r>
          </w:p>
        </w:tc>
        <w:tc>
          <w:tcPr>
            <w:tcW w:w="1417" w:type="dxa"/>
            <w:vMerge/>
          </w:tcPr>
          <w:p w14:paraId="70E1C193" w14:textId="77777777" w:rsidR="00454A29" w:rsidRDefault="00454A29"/>
        </w:tc>
        <w:tc>
          <w:tcPr>
            <w:tcW w:w="2204" w:type="dxa"/>
            <w:vMerge/>
          </w:tcPr>
          <w:p w14:paraId="1FCC232F" w14:textId="77777777" w:rsidR="00454A29" w:rsidRDefault="00454A29"/>
        </w:tc>
        <w:tc>
          <w:tcPr>
            <w:tcW w:w="1417" w:type="dxa"/>
            <w:vMerge/>
          </w:tcPr>
          <w:p w14:paraId="756E826F" w14:textId="77777777" w:rsidR="00454A29" w:rsidRDefault="00454A29"/>
        </w:tc>
        <w:tc>
          <w:tcPr>
            <w:tcW w:w="2324" w:type="dxa"/>
            <w:vMerge/>
          </w:tcPr>
          <w:p w14:paraId="2B8EDDA7" w14:textId="77777777" w:rsidR="00454A29" w:rsidRDefault="00454A29"/>
        </w:tc>
        <w:tc>
          <w:tcPr>
            <w:tcW w:w="1701" w:type="dxa"/>
            <w:vAlign w:val="center"/>
          </w:tcPr>
          <w:p w14:paraId="22DA16ED" w14:textId="77777777" w:rsidR="00454A29" w:rsidRDefault="00454A29">
            <w:pPr>
              <w:pStyle w:val="ConsPlusNormal"/>
              <w:jc w:val="center"/>
            </w:pPr>
            <w:r>
              <w:t>111 636,97</w:t>
            </w:r>
          </w:p>
        </w:tc>
        <w:tc>
          <w:tcPr>
            <w:tcW w:w="1814" w:type="dxa"/>
            <w:vAlign w:val="center"/>
          </w:tcPr>
          <w:p w14:paraId="23AE51F9" w14:textId="77777777" w:rsidR="00454A29" w:rsidRDefault="00454A29">
            <w:pPr>
              <w:pStyle w:val="ConsPlusNormal"/>
              <w:jc w:val="center"/>
            </w:pPr>
            <w:r>
              <w:t>85 940,22</w:t>
            </w:r>
          </w:p>
        </w:tc>
        <w:tc>
          <w:tcPr>
            <w:tcW w:w="1701" w:type="dxa"/>
            <w:vAlign w:val="center"/>
          </w:tcPr>
          <w:p w14:paraId="718B890F" w14:textId="77777777" w:rsidR="00454A29" w:rsidRDefault="00454A29">
            <w:pPr>
              <w:pStyle w:val="ConsPlusNormal"/>
            </w:pPr>
          </w:p>
        </w:tc>
        <w:tc>
          <w:tcPr>
            <w:tcW w:w="1701" w:type="dxa"/>
            <w:vAlign w:val="center"/>
          </w:tcPr>
          <w:p w14:paraId="1115E8DB" w14:textId="77777777" w:rsidR="00454A29" w:rsidRDefault="00454A29">
            <w:pPr>
              <w:pStyle w:val="ConsPlusNormal"/>
              <w:jc w:val="center"/>
            </w:pPr>
            <w:r>
              <w:t>25 696,75</w:t>
            </w:r>
          </w:p>
        </w:tc>
        <w:tc>
          <w:tcPr>
            <w:tcW w:w="1814" w:type="dxa"/>
            <w:vAlign w:val="center"/>
          </w:tcPr>
          <w:p w14:paraId="1092DC53" w14:textId="77777777" w:rsidR="00454A29" w:rsidRDefault="00454A29">
            <w:pPr>
              <w:pStyle w:val="ConsPlusNormal"/>
            </w:pPr>
          </w:p>
        </w:tc>
      </w:tr>
      <w:tr w:rsidR="00454A29" w14:paraId="1D73970C" w14:textId="77777777">
        <w:tc>
          <w:tcPr>
            <w:tcW w:w="567" w:type="dxa"/>
            <w:vMerge/>
          </w:tcPr>
          <w:p w14:paraId="414A8FA3" w14:textId="77777777" w:rsidR="00454A29" w:rsidRDefault="00454A29"/>
        </w:tc>
        <w:tc>
          <w:tcPr>
            <w:tcW w:w="3345" w:type="dxa"/>
            <w:vMerge/>
          </w:tcPr>
          <w:p w14:paraId="64752E37" w14:textId="77777777" w:rsidR="00454A29" w:rsidRDefault="00454A29"/>
        </w:tc>
        <w:tc>
          <w:tcPr>
            <w:tcW w:w="1701" w:type="dxa"/>
            <w:vAlign w:val="center"/>
          </w:tcPr>
          <w:p w14:paraId="7E7AD130" w14:textId="77777777" w:rsidR="00454A29" w:rsidRDefault="00454A29">
            <w:pPr>
              <w:pStyle w:val="ConsPlusNormal"/>
              <w:jc w:val="center"/>
            </w:pPr>
            <w:r>
              <w:t>2024</w:t>
            </w:r>
          </w:p>
        </w:tc>
        <w:tc>
          <w:tcPr>
            <w:tcW w:w="1417" w:type="dxa"/>
            <w:vMerge/>
          </w:tcPr>
          <w:p w14:paraId="48B81D24" w14:textId="77777777" w:rsidR="00454A29" w:rsidRDefault="00454A29"/>
        </w:tc>
        <w:tc>
          <w:tcPr>
            <w:tcW w:w="2204" w:type="dxa"/>
            <w:vMerge/>
          </w:tcPr>
          <w:p w14:paraId="5A42CDE9" w14:textId="77777777" w:rsidR="00454A29" w:rsidRDefault="00454A29"/>
        </w:tc>
        <w:tc>
          <w:tcPr>
            <w:tcW w:w="1417" w:type="dxa"/>
            <w:vMerge/>
          </w:tcPr>
          <w:p w14:paraId="4FE249B2" w14:textId="77777777" w:rsidR="00454A29" w:rsidRDefault="00454A29"/>
        </w:tc>
        <w:tc>
          <w:tcPr>
            <w:tcW w:w="2324" w:type="dxa"/>
            <w:vMerge/>
          </w:tcPr>
          <w:p w14:paraId="37321AA4" w14:textId="77777777" w:rsidR="00454A29" w:rsidRDefault="00454A29"/>
        </w:tc>
        <w:tc>
          <w:tcPr>
            <w:tcW w:w="1701" w:type="dxa"/>
            <w:vAlign w:val="center"/>
          </w:tcPr>
          <w:p w14:paraId="1834CB6A" w14:textId="77777777" w:rsidR="00454A29" w:rsidRDefault="00454A29">
            <w:pPr>
              <w:pStyle w:val="ConsPlusNormal"/>
              <w:jc w:val="center"/>
            </w:pPr>
            <w:r>
              <w:t>112 382,17</w:t>
            </w:r>
          </w:p>
        </w:tc>
        <w:tc>
          <w:tcPr>
            <w:tcW w:w="1814" w:type="dxa"/>
            <w:vAlign w:val="center"/>
          </w:tcPr>
          <w:p w14:paraId="3C6C6013" w14:textId="77777777" w:rsidR="00454A29" w:rsidRDefault="00454A29">
            <w:pPr>
              <w:pStyle w:val="ConsPlusNormal"/>
              <w:jc w:val="center"/>
            </w:pPr>
            <w:r>
              <w:t>85 940,22</w:t>
            </w:r>
          </w:p>
        </w:tc>
        <w:tc>
          <w:tcPr>
            <w:tcW w:w="1701" w:type="dxa"/>
            <w:vAlign w:val="center"/>
          </w:tcPr>
          <w:p w14:paraId="24AE8615" w14:textId="77777777" w:rsidR="00454A29" w:rsidRDefault="00454A29">
            <w:pPr>
              <w:pStyle w:val="ConsPlusNormal"/>
            </w:pPr>
          </w:p>
        </w:tc>
        <w:tc>
          <w:tcPr>
            <w:tcW w:w="1701" w:type="dxa"/>
            <w:vAlign w:val="center"/>
          </w:tcPr>
          <w:p w14:paraId="565A8A8D" w14:textId="77777777" w:rsidR="00454A29" w:rsidRDefault="00454A29">
            <w:pPr>
              <w:pStyle w:val="ConsPlusNormal"/>
              <w:jc w:val="center"/>
            </w:pPr>
            <w:r>
              <w:t>26 441,95</w:t>
            </w:r>
          </w:p>
        </w:tc>
        <w:tc>
          <w:tcPr>
            <w:tcW w:w="1814" w:type="dxa"/>
            <w:vAlign w:val="center"/>
          </w:tcPr>
          <w:p w14:paraId="6A822287" w14:textId="77777777" w:rsidR="00454A29" w:rsidRDefault="00454A29">
            <w:pPr>
              <w:pStyle w:val="ConsPlusNormal"/>
            </w:pPr>
          </w:p>
        </w:tc>
      </w:tr>
      <w:tr w:rsidR="00454A29" w14:paraId="7D5E7412" w14:textId="77777777">
        <w:tc>
          <w:tcPr>
            <w:tcW w:w="567" w:type="dxa"/>
            <w:vMerge/>
          </w:tcPr>
          <w:p w14:paraId="76766074" w14:textId="77777777" w:rsidR="00454A29" w:rsidRDefault="00454A29"/>
        </w:tc>
        <w:tc>
          <w:tcPr>
            <w:tcW w:w="3345" w:type="dxa"/>
            <w:vMerge/>
          </w:tcPr>
          <w:p w14:paraId="365F2BB7" w14:textId="77777777" w:rsidR="00454A29" w:rsidRDefault="00454A29"/>
        </w:tc>
        <w:tc>
          <w:tcPr>
            <w:tcW w:w="1701" w:type="dxa"/>
            <w:vAlign w:val="center"/>
          </w:tcPr>
          <w:p w14:paraId="7C1CE2C5" w14:textId="77777777" w:rsidR="00454A29" w:rsidRDefault="00454A29">
            <w:pPr>
              <w:pStyle w:val="ConsPlusNormal"/>
              <w:jc w:val="center"/>
            </w:pPr>
            <w:r>
              <w:t>2025</w:t>
            </w:r>
          </w:p>
        </w:tc>
        <w:tc>
          <w:tcPr>
            <w:tcW w:w="1417" w:type="dxa"/>
            <w:vMerge/>
          </w:tcPr>
          <w:p w14:paraId="7B3490DB" w14:textId="77777777" w:rsidR="00454A29" w:rsidRDefault="00454A29"/>
        </w:tc>
        <w:tc>
          <w:tcPr>
            <w:tcW w:w="2204" w:type="dxa"/>
            <w:vMerge/>
          </w:tcPr>
          <w:p w14:paraId="2AA613FA" w14:textId="77777777" w:rsidR="00454A29" w:rsidRDefault="00454A29"/>
        </w:tc>
        <w:tc>
          <w:tcPr>
            <w:tcW w:w="1417" w:type="dxa"/>
            <w:vMerge/>
          </w:tcPr>
          <w:p w14:paraId="40591F62" w14:textId="77777777" w:rsidR="00454A29" w:rsidRDefault="00454A29"/>
        </w:tc>
        <w:tc>
          <w:tcPr>
            <w:tcW w:w="2324" w:type="dxa"/>
            <w:vMerge/>
          </w:tcPr>
          <w:p w14:paraId="3615C9F8" w14:textId="77777777" w:rsidR="00454A29" w:rsidRDefault="00454A29"/>
        </w:tc>
        <w:tc>
          <w:tcPr>
            <w:tcW w:w="1701" w:type="dxa"/>
            <w:vAlign w:val="center"/>
          </w:tcPr>
          <w:p w14:paraId="7CF200FD" w14:textId="77777777" w:rsidR="00454A29" w:rsidRDefault="00454A29">
            <w:pPr>
              <w:pStyle w:val="ConsPlusNormal"/>
              <w:jc w:val="center"/>
            </w:pPr>
            <w:r>
              <w:t>85 940,22</w:t>
            </w:r>
          </w:p>
        </w:tc>
        <w:tc>
          <w:tcPr>
            <w:tcW w:w="1814" w:type="dxa"/>
            <w:vAlign w:val="center"/>
          </w:tcPr>
          <w:p w14:paraId="6B1CD834" w14:textId="77777777" w:rsidR="00454A29" w:rsidRDefault="00454A29">
            <w:pPr>
              <w:pStyle w:val="ConsPlusNormal"/>
              <w:jc w:val="center"/>
            </w:pPr>
            <w:r>
              <w:t>85 940,22</w:t>
            </w:r>
          </w:p>
        </w:tc>
        <w:tc>
          <w:tcPr>
            <w:tcW w:w="1701" w:type="dxa"/>
            <w:vAlign w:val="center"/>
          </w:tcPr>
          <w:p w14:paraId="4C9F2B1E" w14:textId="77777777" w:rsidR="00454A29" w:rsidRDefault="00454A29">
            <w:pPr>
              <w:pStyle w:val="ConsPlusNormal"/>
            </w:pPr>
          </w:p>
        </w:tc>
        <w:tc>
          <w:tcPr>
            <w:tcW w:w="1701" w:type="dxa"/>
            <w:vAlign w:val="center"/>
          </w:tcPr>
          <w:p w14:paraId="1145EADA" w14:textId="77777777" w:rsidR="00454A29" w:rsidRDefault="00454A29">
            <w:pPr>
              <w:pStyle w:val="ConsPlusNormal"/>
            </w:pPr>
          </w:p>
        </w:tc>
        <w:tc>
          <w:tcPr>
            <w:tcW w:w="1814" w:type="dxa"/>
            <w:vAlign w:val="center"/>
          </w:tcPr>
          <w:p w14:paraId="424F7594" w14:textId="77777777" w:rsidR="00454A29" w:rsidRDefault="00454A29">
            <w:pPr>
              <w:pStyle w:val="ConsPlusNormal"/>
            </w:pPr>
          </w:p>
        </w:tc>
      </w:tr>
      <w:tr w:rsidR="00454A29" w14:paraId="49D4197E" w14:textId="77777777">
        <w:tc>
          <w:tcPr>
            <w:tcW w:w="567" w:type="dxa"/>
            <w:vMerge w:val="restart"/>
            <w:vAlign w:val="center"/>
          </w:tcPr>
          <w:p w14:paraId="2B97D76B" w14:textId="77777777" w:rsidR="00454A29" w:rsidRDefault="00454A29">
            <w:pPr>
              <w:pStyle w:val="ConsPlusNormal"/>
              <w:jc w:val="center"/>
            </w:pPr>
            <w:r>
              <w:t>62</w:t>
            </w:r>
          </w:p>
        </w:tc>
        <w:tc>
          <w:tcPr>
            <w:tcW w:w="3345" w:type="dxa"/>
            <w:vMerge w:val="restart"/>
            <w:vAlign w:val="center"/>
          </w:tcPr>
          <w:p w14:paraId="7B2FE787" w14:textId="77777777" w:rsidR="00454A29" w:rsidRDefault="00454A29">
            <w:pPr>
              <w:pStyle w:val="ConsPlusNormal"/>
              <w:jc w:val="center"/>
            </w:pPr>
            <w:r>
              <w:t>Детский сад на 240 мест в с. Майя Мегино-Кангаласского улуса</w:t>
            </w:r>
          </w:p>
        </w:tc>
        <w:tc>
          <w:tcPr>
            <w:tcW w:w="1701" w:type="dxa"/>
            <w:vAlign w:val="center"/>
          </w:tcPr>
          <w:p w14:paraId="77D22711" w14:textId="77777777" w:rsidR="00454A29" w:rsidRDefault="00454A29">
            <w:pPr>
              <w:pStyle w:val="ConsPlusNormal"/>
              <w:jc w:val="center"/>
            </w:pPr>
            <w:r>
              <w:t>2016 - 2025 годы - всего</w:t>
            </w:r>
          </w:p>
        </w:tc>
        <w:tc>
          <w:tcPr>
            <w:tcW w:w="1417" w:type="dxa"/>
            <w:vMerge w:val="restart"/>
            <w:vAlign w:val="center"/>
          </w:tcPr>
          <w:p w14:paraId="5431AF49" w14:textId="77777777" w:rsidR="00454A29" w:rsidRDefault="00454A29">
            <w:pPr>
              <w:pStyle w:val="ConsPlusNormal"/>
              <w:jc w:val="center"/>
            </w:pPr>
            <w:r>
              <w:t>279 865,31</w:t>
            </w:r>
          </w:p>
        </w:tc>
        <w:tc>
          <w:tcPr>
            <w:tcW w:w="2204" w:type="dxa"/>
            <w:vMerge w:val="restart"/>
            <w:vAlign w:val="center"/>
          </w:tcPr>
          <w:p w14:paraId="111E63F5" w14:textId="77777777" w:rsidR="00454A29" w:rsidRDefault="00454A29">
            <w:pPr>
              <w:pStyle w:val="ConsPlusNormal"/>
              <w:jc w:val="center"/>
            </w:pPr>
            <w:r>
              <w:t>имеется</w:t>
            </w:r>
          </w:p>
        </w:tc>
        <w:tc>
          <w:tcPr>
            <w:tcW w:w="1417" w:type="dxa"/>
            <w:vMerge w:val="restart"/>
            <w:vAlign w:val="center"/>
          </w:tcPr>
          <w:p w14:paraId="55ED58B6" w14:textId="77777777" w:rsidR="00454A29" w:rsidRDefault="00454A29">
            <w:pPr>
              <w:pStyle w:val="ConsPlusNormal"/>
              <w:jc w:val="center"/>
            </w:pPr>
            <w:r>
              <w:t>240</w:t>
            </w:r>
          </w:p>
        </w:tc>
        <w:tc>
          <w:tcPr>
            <w:tcW w:w="2324" w:type="dxa"/>
            <w:vMerge w:val="restart"/>
            <w:vAlign w:val="center"/>
          </w:tcPr>
          <w:p w14:paraId="0D712C7D" w14:textId="77777777" w:rsidR="00454A29" w:rsidRDefault="00454A29">
            <w:pPr>
              <w:pStyle w:val="ConsPlusNormal"/>
              <w:jc w:val="center"/>
            </w:pPr>
            <w:r>
              <w:t>Минэкономики РС(Я)</w:t>
            </w:r>
          </w:p>
        </w:tc>
        <w:tc>
          <w:tcPr>
            <w:tcW w:w="1701" w:type="dxa"/>
            <w:vAlign w:val="center"/>
          </w:tcPr>
          <w:p w14:paraId="49C4803D" w14:textId="77777777" w:rsidR="00454A29" w:rsidRDefault="00454A29">
            <w:pPr>
              <w:pStyle w:val="ConsPlusNormal"/>
              <w:jc w:val="center"/>
            </w:pPr>
            <w:r>
              <w:t>974 434,70</w:t>
            </w:r>
          </w:p>
        </w:tc>
        <w:tc>
          <w:tcPr>
            <w:tcW w:w="1814" w:type="dxa"/>
            <w:vAlign w:val="center"/>
          </w:tcPr>
          <w:p w14:paraId="12789348" w14:textId="77777777" w:rsidR="00454A29" w:rsidRDefault="00454A29">
            <w:pPr>
              <w:pStyle w:val="ConsPlusNormal"/>
              <w:jc w:val="center"/>
            </w:pPr>
            <w:r>
              <w:t>536 674,10</w:t>
            </w:r>
          </w:p>
        </w:tc>
        <w:tc>
          <w:tcPr>
            <w:tcW w:w="1701" w:type="dxa"/>
            <w:vAlign w:val="center"/>
          </w:tcPr>
          <w:p w14:paraId="36B6F2F2" w14:textId="77777777" w:rsidR="00454A29" w:rsidRDefault="00454A29">
            <w:pPr>
              <w:pStyle w:val="ConsPlusNormal"/>
              <w:jc w:val="center"/>
            </w:pPr>
            <w:r>
              <w:t>-</w:t>
            </w:r>
          </w:p>
        </w:tc>
        <w:tc>
          <w:tcPr>
            <w:tcW w:w="1701" w:type="dxa"/>
            <w:vAlign w:val="center"/>
          </w:tcPr>
          <w:p w14:paraId="2392F3D3" w14:textId="77777777" w:rsidR="00454A29" w:rsidRDefault="00454A29">
            <w:pPr>
              <w:pStyle w:val="ConsPlusNormal"/>
              <w:jc w:val="center"/>
            </w:pPr>
            <w:r>
              <w:t>152 760,60</w:t>
            </w:r>
          </w:p>
        </w:tc>
        <w:tc>
          <w:tcPr>
            <w:tcW w:w="1814" w:type="dxa"/>
            <w:vAlign w:val="center"/>
          </w:tcPr>
          <w:p w14:paraId="57A0AB2F" w14:textId="77777777" w:rsidR="00454A29" w:rsidRDefault="00454A29">
            <w:pPr>
              <w:pStyle w:val="ConsPlusNormal"/>
              <w:jc w:val="center"/>
            </w:pPr>
            <w:r>
              <w:t>285 000,00</w:t>
            </w:r>
          </w:p>
        </w:tc>
      </w:tr>
      <w:tr w:rsidR="00454A29" w14:paraId="3C4359D3" w14:textId="77777777">
        <w:tc>
          <w:tcPr>
            <w:tcW w:w="567" w:type="dxa"/>
            <w:vMerge/>
          </w:tcPr>
          <w:p w14:paraId="68E2D46E" w14:textId="77777777" w:rsidR="00454A29" w:rsidRDefault="00454A29"/>
        </w:tc>
        <w:tc>
          <w:tcPr>
            <w:tcW w:w="3345" w:type="dxa"/>
            <w:vMerge/>
          </w:tcPr>
          <w:p w14:paraId="60FC821C" w14:textId="77777777" w:rsidR="00454A29" w:rsidRDefault="00454A29"/>
        </w:tc>
        <w:tc>
          <w:tcPr>
            <w:tcW w:w="1701" w:type="dxa"/>
            <w:vAlign w:val="center"/>
          </w:tcPr>
          <w:p w14:paraId="52185991" w14:textId="77777777" w:rsidR="00454A29" w:rsidRDefault="00454A29">
            <w:pPr>
              <w:pStyle w:val="ConsPlusNormal"/>
              <w:jc w:val="center"/>
            </w:pPr>
            <w:r>
              <w:t>2016</w:t>
            </w:r>
          </w:p>
        </w:tc>
        <w:tc>
          <w:tcPr>
            <w:tcW w:w="1417" w:type="dxa"/>
            <w:vMerge/>
          </w:tcPr>
          <w:p w14:paraId="0B30F103" w14:textId="77777777" w:rsidR="00454A29" w:rsidRDefault="00454A29"/>
        </w:tc>
        <w:tc>
          <w:tcPr>
            <w:tcW w:w="2204" w:type="dxa"/>
            <w:vMerge/>
          </w:tcPr>
          <w:p w14:paraId="6F9AB1B1" w14:textId="77777777" w:rsidR="00454A29" w:rsidRDefault="00454A29"/>
        </w:tc>
        <w:tc>
          <w:tcPr>
            <w:tcW w:w="1417" w:type="dxa"/>
            <w:vMerge/>
          </w:tcPr>
          <w:p w14:paraId="1C9FB695" w14:textId="77777777" w:rsidR="00454A29" w:rsidRDefault="00454A29"/>
        </w:tc>
        <w:tc>
          <w:tcPr>
            <w:tcW w:w="2324" w:type="dxa"/>
            <w:vMerge/>
          </w:tcPr>
          <w:p w14:paraId="362C3F88" w14:textId="77777777" w:rsidR="00454A29" w:rsidRDefault="00454A29"/>
        </w:tc>
        <w:tc>
          <w:tcPr>
            <w:tcW w:w="1701" w:type="dxa"/>
            <w:vAlign w:val="center"/>
          </w:tcPr>
          <w:p w14:paraId="5A8E103B" w14:textId="77777777" w:rsidR="00454A29" w:rsidRDefault="00454A29">
            <w:pPr>
              <w:pStyle w:val="ConsPlusNormal"/>
              <w:jc w:val="center"/>
            </w:pPr>
            <w:r>
              <w:t>166 582,20</w:t>
            </w:r>
          </w:p>
        </w:tc>
        <w:tc>
          <w:tcPr>
            <w:tcW w:w="1814" w:type="dxa"/>
            <w:vAlign w:val="center"/>
          </w:tcPr>
          <w:p w14:paraId="1711A0BF" w14:textId="77777777" w:rsidR="00454A29" w:rsidRDefault="00454A29">
            <w:pPr>
              <w:pStyle w:val="ConsPlusNormal"/>
              <w:jc w:val="center"/>
            </w:pPr>
            <w:r>
              <w:t>10 462,80</w:t>
            </w:r>
          </w:p>
        </w:tc>
        <w:tc>
          <w:tcPr>
            <w:tcW w:w="1701" w:type="dxa"/>
            <w:vAlign w:val="center"/>
          </w:tcPr>
          <w:p w14:paraId="1A5075CA" w14:textId="77777777" w:rsidR="00454A29" w:rsidRDefault="00454A29">
            <w:pPr>
              <w:pStyle w:val="ConsPlusNormal"/>
            </w:pPr>
          </w:p>
        </w:tc>
        <w:tc>
          <w:tcPr>
            <w:tcW w:w="1701" w:type="dxa"/>
            <w:vAlign w:val="center"/>
          </w:tcPr>
          <w:p w14:paraId="1BC374EA" w14:textId="77777777" w:rsidR="00454A29" w:rsidRDefault="00454A29">
            <w:pPr>
              <w:pStyle w:val="ConsPlusNormal"/>
              <w:jc w:val="center"/>
            </w:pPr>
            <w:r>
              <w:t>-</w:t>
            </w:r>
          </w:p>
        </w:tc>
        <w:tc>
          <w:tcPr>
            <w:tcW w:w="1814" w:type="dxa"/>
            <w:vAlign w:val="center"/>
          </w:tcPr>
          <w:p w14:paraId="34690721" w14:textId="77777777" w:rsidR="00454A29" w:rsidRDefault="00454A29">
            <w:pPr>
              <w:pStyle w:val="ConsPlusNormal"/>
              <w:jc w:val="center"/>
            </w:pPr>
            <w:r>
              <w:t>156 119,40</w:t>
            </w:r>
          </w:p>
        </w:tc>
      </w:tr>
      <w:tr w:rsidR="00454A29" w14:paraId="55D39E91" w14:textId="77777777">
        <w:tc>
          <w:tcPr>
            <w:tcW w:w="567" w:type="dxa"/>
            <w:vMerge/>
          </w:tcPr>
          <w:p w14:paraId="7ED9CF83" w14:textId="77777777" w:rsidR="00454A29" w:rsidRDefault="00454A29"/>
        </w:tc>
        <w:tc>
          <w:tcPr>
            <w:tcW w:w="3345" w:type="dxa"/>
            <w:vMerge/>
          </w:tcPr>
          <w:p w14:paraId="04FAC8F5" w14:textId="77777777" w:rsidR="00454A29" w:rsidRDefault="00454A29"/>
        </w:tc>
        <w:tc>
          <w:tcPr>
            <w:tcW w:w="1701" w:type="dxa"/>
            <w:vAlign w:val="center"/>
          </w:tcPr>
          <w:p w14:paraId="23FC15EE" w14:textId="77777777" w:rsidR="00454A29" w:rsidRDefault="00454A29">
            <w:pPr>
              <w:pStyle w:val="ConsPlusNormal"/>
              <w:jc w:val="center"/>
            </w:pPr>
            <w:r>
              <w:t>2017</w:t>
            </w:r>
          </w:p>
        </w:tc>
        <w:tc>
          <w:tcPr>
            <w:tcW w:w="1417" w:type="dxa"/>
            <w:vMerge/>
          </w:tcPr>
          <w:p w14:paraId="18E20469" w14:textId="77777777" w:rsidR="00454A29" w:rsidRDefault="00454A29"/>
        </w:tc>
        <w:tc>
          <w:tcPr>
            <w:tcW w:w="2204" w:type="dxa"/>
            <w:vMerge/>
          </w:tcPr>
          <w:p w14:paraId="31CFE56B" w14:textId="77777777" w:rsidR="00454A29" w:rsidRDefault="00454A29"/>
        </w:tc>
        <w:tc>
          <w:tcPr>
            <w:tcW w:w="1417" w:type="dxa"/>
            <w:vMerge/>
          </w:tcPr>
          <w:p w14:paraId="0FA11955" w14:textId="77777777" w:rsidR="00454A29" w:rsidRDefault="00454A29"/>
        </w:tc>
        <w:tc>
          <w:tcPr>
            <w:tcW w:w="2324" w:type="dxa"/>
            <w:vMerge/>
          </w:tcPr>
          <w:p w14:paraId="32559517" w14:textId="77777777" w:rsidR="00454A29" w:rsidRDefault="00454A29"/>
        </w:tc>
        <w:tc>
          <w:tcPr>
            <w:tcW w:w="1701" w:type="dxa"/>
            <w:vAlign w:val="center"/>
          </w:tcPr>
          <w:p w14:paraId="18456A93" w14:textId="77777777" w:rsidR="00454A29" w:rsidRDefault="00454A29">
            <w:pPr>
              <w:pStyle w:val="ConsPlusNormal"/>
              <w:jc w:val="center"/>
            </w:pPr>
            <w:r>
              <w:t>174 997,89</w:t>
            </w:r>
          </w:p>
        </w:tc>
        <w:tc>
          <w:tcPr>
            <w:tcW w:w="1814" w:type="dxa"/>
            <w:vAlign w:val="center"/>
          </w:tcPr>
          <w:p w14:paraId="3A164D5D" w14:textId="77777777" w:rsidR="00454A29" w:rsidRDefault="00454A29">
            <w:pPr>
              <w:pStyle w:val="ConsPlusNormal"/>
              <w:jc w:val="center"/>
            </w:pPr>
            <w:r>
              <w:t>44 753,30</w:t>
            </w:r>
          </w:p>
        </w:tc>
        <w:tc>
          <w:tcPr>
            <w:tcW w:w="1701" w:type="dxa"/>
            <w:vAlign w:val="center"/>
          </w:tcPr>
          <w:p w14:paraId="04A2B8F6" w14:textId="77777777" w:rsidR="00454A29" w:rsidRDefault="00454A29">
            <w:pPr>
              <w:pStyle w:val="ConsPlusNormal"/>
            </w:pPr>
          </w:p>
        </w:tc>
        <w:tc>
          <w:tcPr>
            <w:tcW w:w="1701" w:type="dxa"/>
            <w:vAlign w:val="center"/>
          </w:tcPr>
          <w:p w14:paraId="719E767A" w14:textId="77777777" w:rsidR="00454A29" w:rsidRDefault="00454A29">
            <w:pPr>
              <w:pStyle w:val="ConsPlusNormal"/>
              <w:jc w:val="center"/>
            </w:pPr>
            <w:r>
              <w:t>1 363,99</w:t>
            </w:r>
          </w:p>
        </w:tc>
        <w:tc>
          <w:tcPr>
            <w:tcW w:w="1814" w:type="dxa"/>
            <w:vAlign w:val="center"/>
          </w:tcPr>
          <w:p w14:paraId="6734209A" w14:textId="77777777" w:rsidR="00454A29" w:rsidRDefault="00454A29">
            <w:pPr>
              <w:pStyle w:val="ConsPlusNormal"/>
              <w:jc w:val="center"/>
            </w:pPr>
            <w:r>
              <w:t>128 880,60</w:t>
            </w:r>
          </w:p>
        </w:tc>
      </w:tr>
      <w:tr w:rsidR="00454A29" w14:paraId="2E969B0B" w14:textId="77777777">
        <w:tc>
          <w:tcPr>
            <w:tcW w:w="567" w:type="dxa"/>
            <w:vMerge/>
          </w:tcPr>
          <w:p w14:paraId="32770CB9" w14:textId="77777777" w:rsidR="00454A29" w:rsidRDefault="00454A29"/>
        </w:tc>
        <w:tc>
          <w:tcPr>
            <w:tcW w:w="3345" w:type="dxa"/>
            <w:vMerge/>
          </w:tcPr>
          <w:p w14:paraId="1C2FEC34" w14:textId="77777777" w:rsidR="00454A29" w:rsidRDefault="00454A29"/>
        </w:tc>
        <w:tc>
          <w:tcPr>
            <w:tcW w:w="1701" w:type="dxa"/>
            <w:vAlign w:val="center"/>
          </w:tcPr>
          <w:p w14:paraId="758535F1" w14:textId="77777777" w:rsidR="00454A29" w:rsidRDefault="00454A29">
            <w:pPr>
              <w:pStyle w:val="ConsPlusNormal"/>
              <w:jc w:val="center"/>
            </w:pPr>
            <w:r>
              <w:t>2018</w:t>
            </w:r>
          </w:p>
        </w:tc>
        <w:tc>
          <w:tcPr>
            <w:tcW w:w="1417" w:type="dxa"/>
            <w:vMerge/>
          </w:tcPr>
          <w:p w14:paraId="12736174" w14:textId="77777777" w:rsidR="00454A29" w:rsidRDefault="00454A29"/>
        </w:tc>
        <w:tc>
          <w:tcPr>
            <w:tcW w:w="2204" w:type="dxa"/>
            <w:vMerge/>
          </w:tcPr>
          <w:p w14:paraId="6F6E5F34" w14:textId="77777777" w:rsidR="00454A29" w:rsidRDefault="00454A29"/>
        </w:tc>
        <w:tc>
          <w:tcPr>
            <w:tcW w:w="1417" w:type="dxa"/>
            <w:vMerge/>
          </w:tcPr>
          <w:p w14:paraId="78473357" w14:textId="77777777" w:rsidR="00454A29" w:rsidRDefault="00454A29"/>
        </w:tc>
        <w:tc>
          <w:tcPr>
            <w:tcW w:w="2324" w:type="dxa"/>
            <w:vMerge/>
          </w:tcPr>
          <w:p w14:paraId="5E898EB5" w14:textId="77777777" w:rsidR="00454A29" w:rsidRDefault="00454A29"/>
        </w:tc>
        <w:tc>
          <w:tcPr>
            <w:tcW w:w="1701" w:type="dxa"/>
            <w:vAlign w:val="center"/>
          </w:tcPr>
          <w:p w14:paraId="5E34AA91" w14:textId="77777777" w:rsidR="00454A29" w:rsidRDefault="00454A29">
            <w:pPr>
              <w:pStyle w:val="ConsPlusNormal"/>
              <w:jc w:val="center"/>
            </w:pPr>
            <w:r>
              <w:t>72 389,18</w:t>
            </w:r>
          </w:p>
        </w:tc>
        <w:tc>
          <w:tcPr>
            <w:tcW w:w="1814" w:type="dxa"/>
            <w:vAlign w:val="center"/>
          </w:tcPr>
          <w:p w14:paraId="25805D56" w14:textId="77777777" w:rsidR="00454A29" w:rsidRDefault="00454A29">
            <w:pPr>
              <w:pStyle w:val="ConsPlusNormal"/>
              <w:jc w:val="center"/>
            </w:pPr>
            <w:r>
              <w:t>56 021,28</w:t>
            </w:r>
          </w:p>
        </w:tc>
        <w:tc>
          <w:tcPr>
            <w:tcW w:w="1701" w:type="dxa"/>
            <w:vAlign w:val="center"/>
          </w:tcPr>
          <w:p w14:paraId="48896BDB" w14:textId="77777777" w:rsidR="00454A29" w:rsidRDefault="00454A29">
            <w:pPr>
              <w:pStyle w:val="ConsPlusNormal"/>
            </w:pPr>
          </w:p>
        </w:tc>
        <w:tc>
          <w:tcPr>
            <w:tcW w:w="1701" w:type="dxa"/>
            <w:vAlign w:val="center"/>
          </w:tcPr>
          <w:p w14:paraId="5AFB9290" w14:textId="77777777" w:rsidR="00454A29" w:rsidRDefault="00454A29">
            <w:pPr>
              <w:pStyle w:val="ConsPlusNormal"/>
              <w:jc w:val="center"/>
            </w:pPr>
            <w:r>
              <w:t>16 367,90</w:t>
            </w:r>
          </w:p>
        </w:tc>
        <w:tc>
          <w:tcPr>
            <w:tcW w:w="1814" w:type="dxa"/>
            <w:vAlign w:val="center"/>
          </w:tcPr>
          <w:p w14:paraId="00328EA2" w14:textId="77777777" w:rsidR="00454A29" w:rsidRDefault="00454A29">
            <w:pPr>
              <w:pStyle w:val="ConsPlusNormal"/>
            </w:pPr>
          </w:p>
        </w:tc>
      </w:tr>
      <w:tr w:rsidR="00454A29" w14:paraId="6237F128" w14:textId="77777777">
        <w:tc>
          <w:tcPr>
            <w:tcW w:w="567" w:type="dxa"/>
            <w:vMerge/>
          </w:tcPr>
          <w:p w14:paraId="62C6C5B2" w14:textId="77777777" w:rsidR="00454A29" w:rsidRDefault="00454A29"/>
        </w:tc>
        <w:tc>
          <w:tcPr>
            <w:tcW w:w="3345" w:type="dxa"/>
            <w:vMerge/>
          </w:tcPr>
          <w:p w14:paraId="7E9B1793" w14:textId="77777777" w:rsidR="00454A29" w:rsidRDefault="00454A29"/>
        </w:tc>
        <w:tc>
          <w:tcPr>
            <w:tcW w:w="1701" w:type="dxa"/>
            <w:vAlign w:val="center"/>
          </w:tcPr>
          <w:p w14:paraId="1EE46168" w14:textId="77777777" w:rsidR="00454A29" w:rsidRDefault="00454A29">
            <w:pPr>
              <w:pStyle w:val="ConsPlusNormal"/>
              <w:jc w:val="center"/>
            </w:pPr>
            <w:r>
              <w:t>2019</w:t>
            </w:r>
          </w:p>
        </w:tc>
        <w:tc>
          <w:tcPr>
            <w:tcW w:w="1417" w:type="dxa"/>
            <w:vMerge/>
          </w:tcPr>
          <w:p w14:paraId="3A79A820" w14:textId="77777777" w:rsidR="00454A29" w:rsidRDefault="00454A29"/>
        </w:tc>
        <w:tc>
          <w:tcPr>
            <w:tcW w:w="2204" w:type="dxa"/>
            <w:vMerge/>
          </w:tcPr>
          <w:p w14:paraId="6833A931" w14:textId="77777777" w:rsidR="00454A29" w:rsidRDefault="00454A29"/>
        </w:tc>
        <w:tc>
          <w:tcPr>
            <w:tcW w:w="1417" w:type="dxa"/>
            <w:vMerge/>
          </w:tcPr>
          <w:p w14:paraId="20EEA747" w14:textId="77777777" w:rsidR="00454A29" w:rsidRDefault="00454A29"/>
        </w:tc>
        <w:tc>
          <w:tcPr>
            <w:tcW w:w="2324" w:type="dxa"/>
            <w:vMerge/>
          </w:tcPr>
          <w:p w14:paraId="7E940689" w14:textId="77777777" w:rsidR="00454A29" w:rsidRDefault="00454A29"/>
        </w:tc>
        <w:tc>
          <w:tcPr>
            <w:tcW w:w="1701" w:type="dxa"/>
            <w:vAlign w:val="center"/>
          </w:tcPr>
          <w:p w14:paraId="0FCBBB5F" w14:textId="77777777" w:rsidR="00454A29" w:rsidRDefault="00454A29">
            <w:pPr>
              <w:pStyle w:val="ConsPlusNormal"/>
              <w:jc w:val="center"/>
            </w:pPr>
            <w:r>
              <w:t>72 318,64</w:t>
            </w:r>
          </w:p>
        </w:tc>
        <w:tc>
          <w:tcPr>
            <w:tcW w:w="1814" w:type="dxa"/>
            <w:vAlign w:val="center"/>
          </w:tcPr>
          <w:p w14:paraId="15DFD9E5" w14:textId="77777777" w:rsidR="00454A29" w:rsidRDefault="00454A29">
            <w:pPr>
              <w:pStyle w:val="ConsPlusNormal"/>
              <w:jc w:val="center"/>
            </w:pPr>
            <w:r>
              <w:t>55 115,98</w:t>
            </w:r>
          </w:p>
        </w:tc>
        <w:tc>
          <w:tcPr>
            <w:tcW w:w="1701" w:type="dxa"/>
            <w:vAlign w:val="center"/>
          </w:tcPr>
          <w:p w14:paraId="47B6EA60" w14:textId="77777777" w:rsidR="00454A29" w:rsidRDefault="00454A29">
            <w:pPr>
              <w:pStyle w:val="ConsPlusNormal"/>
            </w:pPr>
          </w:p>
        </w:tc>
        <w:tc>
          <w:tcPr>
            <w:tcW w:w="1701" w:type="dxa"/>
            <w:vAlign w:val="center"/>
          </w:tcPr>
          <w:p w14:paraId="4F4A49F4" w14:textId="77777777" w:rsidR="00454A29" w:rsidRDefault="00454A29">
            <w:pPr>
              <w:pStyle w:val="ConsPlusNormal"/>
              <w:jc w:val="center"/>
            </w:pPr>
            <w:r>
              <w:t>17 202,66</w:t>
            </w:r>
          </w:p>
        </w:tc>
        <w:tc>
          <w:tcPr>
            <w:tcW w:w="1814" w:type="dxa"/>
            <w:vAlign w:val="center"/>
          </w:tcPr>
          <w:p w14:paraId="7003F0C0" w14:textId="77777777" w:rsidR="00454A29" w:rsidRDefault="00454A29">
            <w:pPr>
              <w:pStyle w:val="ConsPlusNormal"/>
            </w:pPr>
          </w:p>
        </w:tc>
      </w:tr>
      <w:tr w:rsidR="00454A29" w14:paraId="635C3821" w14:textId="77777777">
        <w:tc>
          <w:tcPr>
            <w:tcW w:w="567" w:type="dxa"/>
            <w:vMerge/>
          </w:tcPr>
          <w:p w14:paraId="172B6BAB" w14:textId="77777777" w:rsidR="00454A29" w:rsidRDefault="00454A29"/>
        </w:tc>
        <w:tc>
          <w:tcPr>
            <w:tcW w:w="3345" w:type="dxa"/>
            <w:vMerge/>
          </w:tcPr>
          <w:p w14:paraId="77CE3451" w14:textId="77777777" w:rsidR="00454A29" w:rsidRDefault="00454A29"/>
        </w:tc>
        <w:tc>
          <w:tcPr>
            <w:tcW w:w="1701" w:type="dxa"/>
            <w:vAlign w:val="center"/>
          </w:tcPr>
          <w:p w14:paraId="3CBA0648" w14:textId="77777777" w:rsidR="00454A29" w:rsidRDefault="00454A29">
            <w:pPr>
              <w:pStyle w:val="ConsPlusNormal"/>
              <w:jc w:val="center"/>
            </w:pPr>
            <w:r>
              <w:t>2020</w:t>
            </w:r>
          </w:p>
        </w:tc>
        <w:tc>
          <w:tcPr>
            <w:tcW w:w="1417" w:type="dxa"/>
            <w:vMerge/>
          </w:tcPr>
          <w:p w14:paraId="478FBF90" w14:textId="77777777" w:rsidR="00454A29" w:rsidRDefault="00454A29"/>
        </w:tc>
        <w:tc>
          <w:tcPr>
            <w:tcW w:w="2204" w:type="dxa"/>
            <w:vMerge/>
          </w:tcPr>
          <w:p w14:paraId="70B4D51F" w14:textId="77777777" w:rsidR="00454A29" w:rsidRDefault="00454A29"/>
        </w:tc>
        <w:tc>
          <w:tcPr>
            <w:tcW w:w="1417" w:type="dxa"/>
            <w:vMerge/>
          </w:tcPr>
          <w:p w14:paraId="6460EFFC" w14:textId="77777777" w:rsidR="00454A29" w:rsidRDefault="00454A29"/>
        </w:tc>
        <w:tc>
          <w:tcPr>
            <w:tcW w:w="2324" w:type="dxa"/>
            <w:vMerge/>
          </w:tcPr>
          <w:p w14:paraId="75E37BC6" w14:textId="77777777" w:rsidR="00454A29" w:rsidRDefault="00454A29"/>
        </w:tc>
        <w:tc>
          <w:tcPr>
            <w:tcW w:w="1701" w:type="dxa"/>
            <w:vAlign w:val="center"/>
          </w:tcPr>
          <w:p w14:paraId="331043FB" w14:textId="77777777" w:rsidR="00454A29" w:rsidRDefault="00454A29">
            <w:pPr>
              <w:pStyle w:val="ConsPlusNormal"/>
              <w:jc w:val="center"/>
            </w:pPr>
            <w:r>
              <w:t>78 933,79</w:t>
            </w:r>
          </w:p>
        </w:tc>
        <w:tc>
          <w:tcPr>
            <w:tcW w:w="1814" w:type="dxa"/>
            <w:vAlign w:val="center"/>
          </w:tcPr>
          <w:p w14:paraId="120CC123" w14:textId="77777777" w:rsidR="00454A29" w:rsidRDefault="00454A29">
            <w:pPr>
              <w:pStyle w:val="ConsPlusNormal"/>
              <w:jc w:val="center"/>
            </w:pPr>
            <w:r>
              <w:t>60 957,01</w:t>
            </w:r>
          </w:p>
        </w:tc>
        <w:tc>
          <w:tcPr>
            <w:tcW w:w="1701" w:type="dxa"/>
            <w:vAlign w:val="center"/>
          </w:tcPr>
          <w:p w14:paraId="0E5A2419" w14:textId="77777777" w:rsidR="00454A29" w:rsidRDefault="00454A29">
            <w:pPr>
              <w:pStyle w:val="ConsPlusNormal"/>
            </w:pPr>
          </w:p>
        </w:tc>
        <w:tc>
          <w:tcPr>
            <w:tcW w:w="1701" w:type="dxa"/>
            <w:vAlign w:val="center"/>
          </w:tcPr>
          <w:p w14:paraId="33279864" w14:textId="77777777" w:rsidR="00454A29" w:rsidRDefault="00454A29">
            <w:pPr>
              <w:pStyle w:val="ConsPlusNormal"/>
              <w:jc w:val="center"/>
            </w:pPr>
            <w:r>
              <w:t>17 976,78</w:t>
            </w:r>
          </w:p>
        </w:tc>
        <w:tc>
          <w:tcPr>
            <w:tcW w:w="1814" w:type="dxa"/>
            <w:vAlign w:val="center"/>
          </w:tcPr>
          <w:p w14:paraId="110E0ED8" w14:textId="77777777" w:rsidR="00454A29" w:rsidRDefault="00454A29">
            <w:pPr>
              <w:pStyle w:val="ConsPlusNormal"/>
            </w:pPr>
          </w:p>
        </w:tc>
      </w:tr>
      <w:tr w:rsidR="00454A29" w14:paraId="52477E8A" w14:textId="77777777">
        <w:tc>
          <w:tcPr>
            <w:tcW w:w="567" w:type="dxa"/>
            <w:vMerge/>
          </w:tcPr>
          <w:p w14:paraId="63E224A6" w14:textId="77777777" w:rsidR="00454A29" w:rsidRDefault="00454A29"/>
        </w:tc>
        <w:tc>
          <w:tcPr>
            <w:tcW w:w="3345" w:type="dxa"/>
            <w:vMerge/>
          </w:tcPr>
          <w:p w14:paraId="75A4EC43" w14:textId="77777777" w:rsidR="00454A29" w:rsidRDefault="00454A29"/>
        </w:tc>
        <w:tc>
          <w:tcPr>
            <w:tcW w:w="1701" w:type="dxa"/>
            <w:vAlign w:val="center"/>
          </w:tcPr>
          <w:p w14:paraId="5308BF20" w14:textId="77777777" w:rsidR="00454A29" w:rsidRDefault="00454A29">
            <w:pPr>
              <w:pStyle w:val="ConsPlusNormal"/>
              <w:jc w:val="center"/>
            </w:pPr>
            <w:r>
              <w:t>2021</w:t>
            </w:r>
          </w:p>
        </w:tc>
        <w:tc>
          <w:tcPr>
            <w:tcW w:w="1417" w:type="dxa"/>
            <w:vMerge/>
          </w:tcPr>
          <w:p w14:paraId="119900F9" w14:textId="77777777" w:rsidR="00454A29" w:rsidRDefault="00454A29"/>
        </w:tc>
        <w:tc>
          <w:tcPr>
            <w:tcW w:w="2204" w:type="dxa"/>
            <w:vMerge/>
          </w:tcPr>
          <w:p w14:paraId="35C71BD6" w14:textId="77777777" w:rsidR="00454A29" w:rsidRDefault="00454A29"/>
        </w:tc>
        <w:tc>
          <w:tcPr>
            <w:tcW w:w="1417" w:type="dxa"/>
            <w:vMerge/>
          </w:tcPr>
          <w:p w14:paraId="3283B03E" w14:textId="77777777" w:rsidR="00454A29" w:rsidRDefault="00454A29"/>
        </w:tc>
        <w:tc>
          <w:tcPr>
            <w:tcW w:w="2324" w:type="dxa"/>
            <w:vMerge/>
          </w:tcPr>
          <w:p w14:paraId="010D09A7" w14:textId="77777777" w:rsidR="00454A29" w:rsidRDefault="00454A29"/>
        </w:tc>
        <w:tc>
          <w:tcPr>
            <w:tcW w:w="1701" w:type="dxa"/>
            <w:vAlign w:val="center"/>
          </w:tcPr>
          <w:p w14:paraId="6C37F7F3" w14:textId="77777777" w:rsidR="00454A29" w:rsidRDefault="00454A29">
            <w:pPr>
              <w:pStyle w:val="ConsPlusNormal"/>
              <w:jc w:val="center"/>
            </w:pPr>
            <w:r>
              <w:t>77 797,31</w:t>
            </w:r>
          </w:p>
        </w:tc>
        <w:tc>
          <w:tcPr>
            <w:tcW w:w="1814" w:type="dxa"/>
            <w:vAlign w:val="center"/>
          </w:tcPr>
          <w:p w14:paraId="3A300C88" w14:textId="77777777" w:rsidR="00454A29" w:rsidRDefault="00454A29">
            <w:pPr>
              <w:pStyle w:val="ConsPlusNormal"/>
              <w:jc w:val="center"/>
            </w:pPr>
            <w:r>
              <w:t>59 101,46</w:t>
            </w:r>
          </w:p>
        </w:tc>
        <w:tc>
          <w:tcPr>
            <w:tcW w:w="1701" w:type="dxa"/>
            <w:vAlign w:val="center"/>
          </w:tcPr>
          <w:p w14:paraId="605D87F5" w14:textId="77777777" w:rsidR="00454A29" w:rsidRDefault="00454A29">
            <w:pPr>
              <w:pStyle w:val="ConsPlusNormal"/>
            </w:pPr>
          </w:p>
        </w:tc>
        <w:tc>
          <w:tcPr>
            <w:tcW w:w="1701" w:type="dxa"/>
            <w:vAlign w:val="center"/>
          </w:tcPr>
          <w:p w14:paraId="7F35B7F0" w14:textId="77777777" w:rsidR="00454A29" w:rsidRDefault="00454A29">
            <w:pPr>
              <w:pStyle w:val="ConsPlusNormal"/>
              <w:jc w:val="center"/>
            </w:pPr>
            <w:r>
              <w:t>18 695,85</w:t>
            </w:r>
          </w:p>
        </w:tc>
        <w:tc>
          <w:tcPr>
            <w:tcW w:w="1814" w:type="dxa"/>
            <w:vAlign w:val="center"/>
          </w:tcPr>
          <w:p w14:paraId="4ADE6EA5" w14:textId="77777777" w:rsidR="00454A29" w:rsidRDefault="00454A29">
            <w:pPr>
              <w:pStyle w:val="ConsPlusNormal"/>
            </w:pPr>
          </w:p>
        </w:tc>
      </w:tr>
      <w:tr w:rsidR="00454A29" w14:paraId="68AAA106" w14:textId="77777777">
        <w:tc>
          <w:tcPr>
            <w:tcW w:w="567" w:type="dxa"/>
            <w:vMerge/>
          </w:tcPr>
          <w:p w14:paraId="1BCE62BB" w14:textId="77777777" w:rsidR="00454A29" w:rsidRDefault="00454A29"/>
        </w:tc>
        <w:tc>
          <w:tcPr>
            <w:tcW w:w="3345" w:type="dxa"/>
            <w:vMerge/>
          </w:tcPr>
          <w:p w14:paraId="57AE574E" w14:textId="77777777" w:rsidR="00454A29" w:rsidRDefault="00454A29"/>
        </w:tc>
        <w:tc>
          <w:tcPr>
            <w:tcW w:w="1701" w:type="dxa"/>
            <w:vAlign w:val="center"/>
          </w:tcPr>
          <w:p w14:paraId="56582E17" w14:textId="77777777" w:rsidR="00454A29" w:rsidRDefault="00454A29">
            <w:pPr>
              <w:pStyle w:val="ConsPlusNormal"/>
              <w:jc w:val="center"/>
            </w:pPr>
            <w:r>
              <w:t>2022</w:t>
            </w:r>
          </w:p>
        </w:tc>
        <w:tc>
          <w:tcPr>
            <w:tcW w:w="1417" w:type="dxa"/>
            <w:vMerge/>
          </w:tcPr>
          <w:p w14:paraId="0FED11A2" w14:textId="77777777" w:rsidR="00454A29" w:rsidRDefault="00454A29"/>
        </w:tc>
        <w:tc>
          <w:tcPr>
            <w:tcW w:w="2204" w:type="dxa"/>
            <w:vMerge/>
          </w:tcPr>
          <w:p w14:paraId="14CA2F33" w14:textId="77777777" w:rsidR="00454A29" w:rsidRDefault="00454A29"/>
        </w:tc>
        <w:tc>
          <w:tcPr>
            <w:tcW w:w="1417" w:type="dxa"/>
            <w:vMerge/>
          </w:tcPr>
          <w:p w14:paraId="2B81659C" w14:textId="77777777" w:rsidR="00454A29" w:rsidRDefault="00454A29"/>
        </w:tc>
        <w:tc>
          <w:tcPr>
            <w:tcW w:w="2324" w:type="dxa"/>
            <w:vMerge/>
          </w:tcPr>
          <w:p w14:paraId="1E23E059" w14:textId="77777777" w:rsidR="00454A29" w:rsidRDefault="00454A29"/>
        </w:tc>
        <w:tc>
          <w:tcPr>
            <w:tcW w:w="1701" w:type="dxa"/>
            <w:vAlign w:val="center"/>
          </w:tcPr>
          <w:p w14:paraId="61628588" w14:textId="77777777" w:rsidR="00454A29" w:rsidRDefault="00454A29">
            <w:pPr>
              <w:pStyle w:val="ConsPlusNormal"/>
              <w:jc w:val="center"/>
            </w:pPr>
            <w:r>
              <w:t>81 915,77</w:t>
            </w:r>
          </w:p>
        </w:tc>
        <w:tc>
          <w:tcPr>
            <w:tcW w:w="1814" w:type="dxa"/>
            <w:vAlign w:val="center"/>
          </w:tcPr>
          <w:p w14:paraId="1BA98C06" w14:textId="77777777" w:rsidR="00454A29" w:rsidRDefault="00454A29">
            <w:pPr>
              <w:pStyle w:val="ConsPlusNormal"/>
              <w:jc w:val="center"/>
            </w:pPr>
            <w:r>
              <w:t>62 565,57</w:t>
            </w:r>
          </w:p>
        </w:tc>
        <w:tc>
          <w:tcPr>
            <w:tcW w:w="1701" w:type="dxa"/>
            <w:vAlign w:val="center"/>
          </w:tcPr>
          <w:p w14:paraId="526D7EF2" w14:textId="77777777" w:rsidR="00454A29" w:rsidRDefault="00454A29">
            <w:pPr>
              <w:pStyle w:val="ConsPlusNormal"/>
            </w:pPr>
          </w:p>
        </w:tc>
        <w:tc>
          <w:tcPr>
            <w:tcW w:w="1701" w:type="dxa"/>
            <w:vAlign w:val="center"/>
          </w:tcPr>
          <w:p w14:paraId="4DABEFAB" w14:textId="77777777" w:rsidR="00454A29" w:rsidRDefault="00454A29">
            <w:pPr>
              <w:pStyle w:val="ConsPlusNormal"/>
              <w:jc w:val="center"/>
            </w:pPr>
            <w:r>
              <w:t>19 350,20</w:t>
            </w:r>
          </w:p>
        </w:tc>
        <w:tc>
          <w:tcPr>
            <w:tcW w:w="1814" w:type="dxa"/>
            <w:vAlign w:val="center"/>
          </w:tcPr>
          <w:p w14:paraId="58164039" w14:textId="77777777" w:rsidR="00454A29" w:rsidRDefault="00454A29">
            <w:pPr>
              <w:pStyle w:val="ConsPlusNormal"/>
            </w:pPr>
          </w:p>
        </w:tc>
      </w:tr>
      <w:tr w:rsidR="00454A29" w14:paraId="345E3F65" w14:textId="77777777">
        <w:tc>
          <w:tcPr>
            <w:tcW w:w="567" w:type="dxa"/>
            <w:vMerge/>
          </w:tcPr>
          <w:p w14:paraId="74F0469B" w14:textId="77777777" w:rsidR="00454A29" w:rsidRDefault="00454A29"/>
        </w:tc>
        <w:tc>
          <w:tcPr>
            <w:tcW w:w="3345" w:type="dxa"/>
            <w:vMerge/>
          </w:tcPr>
          <w:p w14:paraId="40D1A9EF" w14:textId="77777777" w:rsidR="00454A29" w:rsidRDefault="00454A29"/>
        </w:tc>
        <w:tc>
          <w:tcPr>
            <w:tcW w:w="1701" w:type="dxa"/>
            <w:vAlign w:val="center"/>
          </w:tcPr>
          <w:p w14:paraId="467118F4" w14:textId="77777777" w:rsidR="00454A29" w:rsidRDefault="00454A29">
            <w:pPr>
              <w:pStyle w:val="ConsPlusNormal"/>
              <w:jc w:val="center"/>
            </w:pPr>
            <w:r>
              <w:t>2023</w:t>
            </w:r>
          </w:p>
        </w:tc>
        <w:tc>
          <w:tcPr>
            <w:tcW w:w="1417" w:type="dxa"/>
            <w:vMerge/>
          </w:tcPr>
          <w:p w14:paraId="7BD72E64" w14:textId="77777777" w:rsidR="00454A29" w:rsidRDefault="00454A29"/>
        </w:tc>
        <w:tc>
          <w:tcPr>
            <w:tcW w:w="2204" w:type="dxa"/>
            <w:vMerge/>
          </w:tcPr>
          <w:p w14:paraId="091BA5CC" w14:textId="77777777" w:rsidR="00454A29" w:rsidRDefault="00454A29"/>
        </w:tc>
        <w:tc>
          <w:tcPr>
            <w:tcW w:w="1417" w:type="dxa"/>
            <w:vMerge/>
          </w:tcPr>
          <w:p w14:paraId="04B43324" w14:textId="77777777" w:rsidR="00454A29" w:rsidRDefault="00454A29"/>
        </w:tc>
        <w:tc>
          <w:tcPr>
            <w:tcW w:w="2324" w:type="dxa"/>
            <w:vMerge/>
          </w:tcPr>
          <w:p w14:paraId="101AB01E" w14:textId="77777777" w:rsidR="00454A29" w:rsidRDefault="00454A29"/>
        </w:tc>
        <w:tc>
          <w:tcPr>
            <w:tcW w:w="1701" w:type="dxa"/>
            <w:vAlign w:val="center"/>
          </w:tcPr>
          <w:p w14:paraId="6AE31FAD" w14:textId="77777777" w:rsidR="00454A29" w:rsidRDefault="00454A29">
            <w:pPr>
              <w:pStyle w:val="ConsPlusNormal"/>
              <w:jc w:val="center"/>
            </w:pPr>
            <w:r>
              <w:t>82 554,33</w:t>
            </w:r>
          </w:p>
        </w:tc>
        <w:tc>
          <w:tcPr>
            <w:tcW w:w="1814" w:type="dxa"/>
            <w:vAlign w:val="center"/>
          </w:tcPr>
          <w:p w14:paraId="26431334" w14:textId="77777777" w:rsidR="00454A29" w:rsidRDefault="00454A29">
            <w:pPr>
              <w:pStyle w:val="ConsPlusNormal"/>
              <w:jc w:val="center"/>
            </w:pPr>
            <w:r>
              <w:t>62 565,57</w:t>
            </w:r>
          </w:p>
        </w:tc>
        <w:tc>
          <w:tcPr>
            <w:tcW w:w="1701" w:type="dxa"/>
            <w:vAlign w:val="center"/>
          </w:tcPr>
          <w:p w14:paraId="76448655" w14:textId="77777777" w:rsidR="00454A29" w:rsidRDefault="00454A29">
            <w:pPr>
              <w:pStyle w:val="ConsPlusNormal"/>
            </w:pPr>
          </w:p>
        </w:tc>
        <w:tc>
          <w:tcPr>
            <w:tcW w:w="1701" w:type="dxa"/>
            <w:vAlign w:val="center"/>
          </w:tcPr>
          <w:p w14:paraId="3DE25FEB" w14:textId="77777777" w:rsidR="00454A29" w:rsidRDefault="00454A29">
            <w:pPr>
              <w:pStyle w:val="ConsPlusNormal"/>
              <w:jc w:val="center"/>
            </w:pPr>
            <w:r>
              <w:t>19 988,76</w:t>
            </w:r>
          </w:p>
        </w:tc>
        <w:tc>
          <w:tcPr>
            <w:tcW w:w="1814" w:type="dxa"/>
            <w:vAlign w:val="center"/>
          </w:tcPr>
          <w:p w14:paraId="308689B9" w14:textId="77777777" w:rsidR="00454A29" w:rsidRDefault="00454A29">
            <w:pPr>
              <w:pStyle w:val="ConsPlusNormal"/>
            </w:pPr>
          </w:p>
        </w:tc>
      </w:tr>
      <w:tr w:rsidR="00454A29" w14:paraId="2442A4EB" w14:textId="77777777">
        <w:tc>
          <w:tcPr>
            <w:tcW w:w="567" w:type="dxa"/>
            <w:vMerge/>
          </w:tcPr>
          <w:p w14:paraId="1EB2E095" w14:textId="77777777" w:rsidR="00454A29" w:rsidRDefault="00454A29"/>
        </w:tc>
        <w:tc>
          <w:tcPr>
            <w:tcW w:w="3345" w:type="dxa"/>
            <w:vMerge/>
          </w:tcPr>
          <w:p w14:paraId="4F5E7444" w14:textId="77777777" w:rsidR="00454A29" w:rsidRDefault="00454A29"/>
        </w:tc>
        <w:tc>
          <w:tcPr>
            <w:tcW w:w="1701" w:type="dxa"/>
            <w:vAlign w:val="center"/>
          </w:tcPr>
          <w:p w14:paraId="759F411F" w14:textId="77777777" w:rsidR="00454A29" w:rsidRDefault="00454A29">
            <w:pPr>
              <w:pStyle w:val="ConsPlusNormal"/>
              <w:jc w:val="center"/>
            </w:pPr>
            <w:r>
              <w:t>2024</w:t>
            </w:r>
          </w:p>
        </w:tc>
        <w:tc>
          <w:tcPr>
            <w:tcW w:w="1417" w:type="dxa"/>
            <w:vMerge/>
          </w:tcPr>
          <w:p w14:paraId="79923C18" w14:textId="77777777" w:rsidR="00454A29" w:rsidRDefault="00454A29"/>
        </w:tc>
        <w:tc>
          <w:tcPr>
            <w:tcW w:w="2204" w:type="dxa"/>
            <w:vMerge/>
          </w:tcPr>
          <w:p w14:paraId="7A184C0B" w14:textId="77777777" w:rsidR="00454A29" w:rsidRDefault="00454A29"/>
        </w:tc>
        <w:tc>
          <w:tcPr>
            <w:tcW w:w="1417" w:type="dxa"/>
            <w:vMerge/>
          </w:tcPr>
          <w:p w14:paraId="112A2E6C" w14:textId="77777777" w:rsidR="00454A29" w:rsidRDefault="00454A29"/>
        </w:tc>
        <w:tc>
          <w:tcPr>
            <w:tcW w:w="2324" w:type="dxa"/>
            <w:vMerge/>
          </w:tcPr>
          <w:p w14:paraId="1A43926B" w14:textId="77777777" w:rsidR="00454A29" w:rsidRDefault="00454A29"/>
        </w:tc>
        <w:tc>
          <w:tcPr>
            <w:tcW w:w="1701" w:type="dxa"/>
            <w:vAlign w:val="center"/>
          </w:tcPr>
          <w:p w14:paraId="2D54DAA7" w14:textId="77777777" w:rsidR="00454A29" w:rsidRDefault="00454A29">
            <w:pPr>
              <w:pStyle w:val="ConsPlusNormal"/>
              <w:jc w:val="center"/>
            </w:pPr>
            <w:r>
              <w:t>83 173,98</w:t>
            </w:r>
          </w:p>
        </w:tc>
        <w:tc>
          <w:tcPr>
            <w:tcW w:w="1814" w:type="dxa"/>
            <w:vAlign w:val="center"/>
          </w:tcPr>
          <w:p w14:paraId="2B5512F5" w14:textId="77777777" w:rsidR="00454A29" w:rsidRDefault="00454A29">
            <w:pPr>
              <w:pStyle w:val="ConsPlusNormal"/>
              <w:jc w:val="center"/>
            </w:pPr>
            <w:r>
              <w:t>62 565,57</w:t>
            </w:r>
          </w:p>
        </w:tc>
        <w:tc>
          <w:tcPr>
            <w:tcW w:w="1701" w:type="dxa"/>
            <w:vAlign w:val="center"/>
          </w:tcPr>
          <w:p w14:paraId="79C5161F" w14:textId="77777777" w:rsidR="00454A29" w:rsidRDefault="00454A29">
            <w:pPr>
              <w:pStyle w:val="ConsPlusNormal"/>
            </w:pPr>
          </w:p>
        </w:tc>
        <w:tc>
          <w:tcPr>
            <w:tcW w:w="1701" w:type="dxa"/>
            <w:vAlign w:val="center"/>
          </w:tcPr>
          <w:p w14:paraId="18EE8A4A" w14:textId="77777777" w:rsidR="00454A29" w:rsidRDefault="00454A29">
            <w:pPr>
              <w:pStyle w:val="ConsPlusNormal"/>
              <w:jc w:val="center"/>
            </w:pPr>
            <w:r>
              <w:t>20 608,41</w:t>
            </w:r>
          </w:p>
        </w:tc>
        <w:tc>
          <w:tcPr>
            <w:tcW w:w="1814" w:type="dxa"/>
            <w:vAlign w:val="center"/>
          </w:tcPr>
          <w:p w14:paraId="123C096F" w14:textId="77777777" w:rsidR="00454A29" w:rsidRDefault="00454A29">
            <w:pPr>
              <w:pStyle w:val="ConsPlusNormal"/>
            </w:pPr>
          </w:p>
        </w:tc>
      </w:tr>
      <w:tr w:rsidR="00454A29" w14:paraId="4F9ECE98" w14:textId="77777777">
        <w:tc>
          <w:tcPr>
            <w:tcW w:w="567" w:type="dxa"/>
            <w:vMerge/>
          </w:tcPr>
          <w:p w14:paraId="2BBD8AB0" w14:textId="77777777" w:rsidR="00454A29" w:rsidRDefault="00454A29"/>
        </w:tc>
        <w:tc>
          <w:tcPr>
            <w:tcW w:w="3345" w:type="dxa"/>
            <w:vMerge/>
          </w:tcPr>
          <w:p w14:paraId="217E4813" w14:textId="77777777" w:rsidR="00454A29" w:rsidRDefault="00454A29"/>
        </w:tc>
        <w:tc>
          <w:tcPr>
            <w:tcW w:w="1701" w:type="dxa"/>
            <w:vAlign w:val="center"/>
          </w:tcPr>
          <w:p w14:paraId="049FB4FB" w14:textId="77777777" w:rsidR="00454A29" w:rsidRDefault="00454A29">
            <w:pPr>
              <w:pStyle w:val="ConsPlusNormal"/>
              <w:jc w:val="center"/>
            </w:pPr>
            <w:r>
              <w:t>2025</w:t>
            </w:r>
          </w:p>
        </w:tc>
        <w:tc>
          <w:tcPr>
            <w:tcW w:w="1417" w:type="dxa"/>
            <w:vMerge/>
          </w:tcPr>
          <w:p w14:paraId="7DEEBDDF" w14:textId="77777777" w:rsidR="00454A29" w:rsidRDefault="00454A29"/>
        </w:tc>
        <w:tc>
          <w:tcPr>
            <w:tcW w:w="2204" w:type="dxa"/>
            <w:vMerge/>
          </w:tcPr>
          <w:p w14:paraId="4AF71929" w14:textId="77777777" w:rsidR="00454A29" w:rsidRDefault="00454A29"/>
        </w:tc>
        <w:tc>
          <w:tcPr>
            <w:tcW w:w="1417" w:type="dxa"/>
            <w:vMerge/>
          </w:tcPr>
          <w:p w14:paraId="048D0B32" w14:textId="77777777" w:rsidR="00454A29" w:rsidRDefault="00454A29"/>
        </w:tc>
        <w:tc>
          <w:tcPr>
            <w:tcW w:w="2324" w:type="dxa"/>
            <w:vMerge/>
          </w:tcPr>
          <w:p w14:paraId="31F333B7" w14:textId="77777777" w:rsidR="00454A29" w:rsidRDefault="00454A29"/>
        </w:tc>
        <w:tc>
          <w:tcPr>
            <w:tcW w:w="1701" w:type="dxa"/>
            <w:vAlign w:val="center"/>
          </w:tcPr>
          <w:p w14:paraId="5A13AFF2" w14:textId="77777777" w:rsidR="00454A29" w:rsidRDefault="00454A29">
            <w:pPr>
              <w:pStyle w:val="ConsPlusNormal"/>
              <w:jc w:val="center"/>
            </w:pPr>
            <w:r>
              <w:t>83 771,62</w:t>
            </w:r>
          </w:p>
        </w:tc>
        <w:tc>
          <w:tcPr>
            <w:tcW w:w="1814" w:type="dxa"/>
            <w:vAlign w:val="center"/>
          </w:tcPr>
          <w:p w14:paraId="4051C728" w14:textId="77777777" w:rsidR="00454A29" w:rsidRDefault="00454A29">
            <w:pPr>
              <w:pStyle w:val="ConsPlusNormal"/>
              <w:jc w:val="center"/>
            </w:pPr>
            <w:r>
              <w:t>62 565,57</w:t>
            </w:r>
          </w:p>
        </w:tc>
        <w:tc>
          <w:tcPr>
            <w:tcW w:w="1701" w:type="dxa"/>
            <w:vAlign w:val="center"/>
          </w:tcPr>
          <w:p w14:paraId="1C52271F" w14:textId="77777777" w:rsidR="00454A29" w:rsidRDefault="00454A29">
            <w:pPr>
              <w:pStyle w:val="ConsPlusNormal"/>
            </w:pPr>
          </w:p>
        </w:tc>
        <w:tc>
          <w:tcPr>
            <w:tcW w:w="1701" w:type="dxa"/>
            <w:vAlign w:val="center"/>
          </w:tcPr>
          <w:p w14:paraId="16B37EB8" w14:textId="77777777" w:rsidR="00454A29" w:rsidRDefault="00454A29">
            <w:pPr>
              <w:pStyle w:val="ConsPlusNormal"/>
              <w:jc w:val="center"/>
            </w:pPr>
            <w:r>
              <w:t>21 206,06</w:t>
            </w:r>
          </w:p>
        </w:tc>
        <w:tc>
          <w:tcPr>
            <w:tcW w:w="1814" w:type="dxa"/>
            <w:vAlign w:val="center"/>
          </w:tcPr>
          <w:p w14:paraId="7F1123FE" w14:textId="77777777" w:rsidR="00454A29" w:rsidRDefault="00454A29">
            <w:pPr>
              <w:pStyle w:val="ConsPlusNormal"/>
            </w:pPr>
          </w:p>
        </w:tc>
      </w:tr>
      <w:tr w:rsidR="00454A29" w14:paraId="2FF955E4" w14:textId="77777777">
        <w:tc>
          <w:tcPr>
            <w:tcW w:w="567" w:type="dxa"/>
            <w:vMerge w:val="restart"/>
            <w:vAlign w:val="center"/>
          </w:tcPr>
          <w:p w14:paraId="1A6878DC" w14:textId="77777777" w:rsidR="00454A29" w:rsidRDefault="00454A29">
            <w:pPr>
              <w:pStyle w:val="ConsPlusNormal"/>
              <w:jc w:val="center"/>
            </w:pPr>
            <w:r>
              <w:t>63</w:t>
            </w:r>
          </w:p>
        </w:tc>
        <w:tc>
          <w:tcPr>
            <w:tcW w:w="3345" w:type="dxa"/>
            <w:vMerge w:val="restart"/>
            <w:vAlign w:val="center"/>
          </w:tcPr>
          <w:p w14:paraId="34F14905" w14:textId="77777777" w:rsidR="00454A29" w:rsidRDefault="00454A29">
            <w:pPr>
              <w:pStyle w:val="ConsPlusNormal"/>
              <w:jc w:val="center"/>
            </w:pPr>
            <w:r>
              <w:t>Детский сад на 140 мест в с. Тюнгюлю Мегино-Кангаласского улуса</w:t>
            </w:r>
          </w:p>
        </w:tc>
        <w:tc>
          <w:tcPr>
            <w:tcW w:w="1701" w:type="dxa"/>
            <w:vAlign w:val="center"/>
          </w:tcPr>
          <w:p w14:paraId="278B0807" w14:textId="77777777" w:rsidR="00454A29" w:rsidRDefault="00454A29">
            <w:pPr>
              <w:pStyle w:val="ConsPlusNormal"/>
              <w:jc w:val="center"/>
            </w:pPr>
            <w:r>
              <w:t>2016 - 2025 годы - всего</w:t>
            </w:r>
          </w:p>
        </w:tc>
        <w:tc>
          <w:tcPr>
            <w:tcW w:w="1417" w:type="dxa"/>
            <w:vMerge w:val="restart"/>
            <w:vAlign w:val="center"/>
          </w:tcPr>
          <w:p w14:paraId="1BBFCBC3" w14:textId="77777777" w:rsidR="00454A29" w:rsidRDefault="00454A29">
            <w:pPr>
              <w:pStyle w:val="ConsPlusNormal"/>
              <w:jc w:val="center"/>
            </w:pPr>
            <w:r>
              <w:t>189 621,36</w:t>
            </w:r>
          </w:p>
        </w:tc>
        <w:tc>
          <w:tcPr>
            <w:tcW w:w="2204" w:type="dxa"/>
            <w:vMerge w:val="restart"/>
            <w:vAlign w:val="center"/>
          </w:tcPr>
          <w:p w14:paraId="27F8BBCD" w14:textId="77777777" w:rsidR="00454A29" w:rsidRDefault="00454A29">
            <w:pPr>
              <w:pStyle w:val="ConsPlusNormal"/>
              <w:jc w:val="center"/>
            </w:pPr>
            <w:r>
              <w:t>имеется</w:t>
            </w:r>
          </w:p>
        </w:tc>
        <w:tc>
          <w:tcPr>
            <w:tcW w:w="1417" w:type="dxa"/>
            <w:vMerge w:val="restart"/>
            <w:vAlign w:val="center"/>
          </w:tcPr>
          <w:p w14:paraId="0C4977A6" w14:textId="77777777" w:rsidR="00454A29" w:rsidRDefault="00454A29">
            <w:pPr>
              <w:pStyle w:val="ConsPlusNormal"/>
              <w:jc w:val="center"/>
            </w:pPr>
            <w:r>
              <w:t>140</w:t>
            </w:r>
          </w:p>
        </w:tc>
        <w:tc>
          <w:tcPr>
            <w:tcW w:w="2324" w:type="dxa"/>
            <w:vMerge w:val="restart"/>
            <w:vAlign w:val="center"/>
          </w:tcPr>
          <w:p w14:paraId="797FDC6A" w14:textId="77777777" w:rsidR="00454A29" w:rsidRDefault="00454A29">
            <w:pPr>
              <w:pStyle w:val="ConsPlusNormal"/>
              <w:jc w:val="center"/>
            </w:pPr>
            <w:r>
              <w:t>Минэкономики РС(Я)</w:t>
            </w:r>
          </w:p>
        </w:tc>
        <w:tc>
          <w:tcPr>
            <w:tcW w:w="1701" w:type="dxa"/>
            <w:vAlign w:val="center"/>
          </w:tcPr>
          <w:p w14:paraId="3937C8CB" w14:textId="77777777" w:rsidR="00454A29" w:rsidRDefault="00454A29">
            <w:pPr>
              <w:pStyle w:val="ConsPlusNormal"/>
              <w:jc w:val="center"/>
            </w:pPr>
            <w:r>
              <w:t>668 391,08</w:t>
            </w:r>
          </w:p>
        </w:tc>
        <w:tc>
          <w:tcPr>
            <w:tcW w:w="1814" w:type="dxa"/>
            <w:vAlign w:val="center"/>
          </w:tcPr>
          <w:p w14:paraId="2C1ED802" w14:textId="77777777" w:rsidR="00454A29" w:rsidRDefault="00454A29">
            <w:pPr>
              <w:pStyle w:val="ConsPlusNormal"/>
              <w:jc w:val="center"/>
            </w:pPr>
            <w:r>
              <w:t>349 692,07</w:t>
            </w:r>
          </w:p>
        </w:tc>
        <w:tc>
          <w:tcPr>
            <w:tcW w:w="1701" w:type="dxa"/>
            <w:vAlign w:val="center"/>
          </w:tcPr>
          <w:p w14:paraId="36518A69" w14:textId="77777777" w:rsidR="00454A29" w:rsidRDefault="00454A29">
            <w:pPr>
              <w:pStyle w:val="ConsPlusNormal"/>
              <w:jc w:val="center"/>
            </w:pPr>
            <w:r>
              <w:t>-</w:t>
            </w:r>
          </w:p>
        </w:tc>
        <w:tc>
          <w:tcPr>
            <w:tcW w:w="1701" w:type="dxa"/>
            <w:vAlign w:val="center"/>
          </w:tcPr>
          <w:p w14:paraId="7137B522" w14:textId="77777777" w:rsidR="00454A29" w:rsidRDefault="00454A29">
            <w:pPr>
              <w:pStyle w:val="ConsPlusNormal"/>
              <w:jc w:val="center"/>
            </w:pPr>
            <w:r>
              <w:t>127 999,01</w:t>
            </w:r>
          </w:p>
        </w:tc>
        <w:tc>
          <w:tcPr>
            <w:tcW w:w="1814" w:type="dxa"/>
            <w:vAlign w:val="center"/>
          </w:tcPr>
          <w:p w14:paraId="012CD523" w14:textId="77777777" w:rsidR="00454A29" w:rsidRDefault="00454A29">
            <w:pPr>
              <w:pStyle w:val="ConsPlusNormal"/>
              <w:jc w:val="center"/>
            </w:pPr>
            <w:r>
              <w:t>190 700,00</w:t>
            </w:r>
          </w:p>
        </w:tc>
      </w:tr>
      <w:tr w:rsidR="00454A29" w14:paraId="2C8A5473" w14:textId="77777777">
        <w:tc>
          <w:tcPr>
            <w:tcW w:w="567" w:type="dxa"/>
            <w:vMerge/>
          </w:tcPr>
          <w:p w14:paraId="0B60CBD2" w14:textId="77777777" w:rsidR="00454A29" w:rsidRDefault="00454A29"/>
        </w:tc>
        <w:tc>
          <w:tcPr>
            <w:tcW w:w="3345" w:type="dxa"/>
            <w:vMerge/>
          </w:tcPr>
          <w:p w14:paraId="1B77FAEA" w14:textId="77777777" w:rsidR="00454A29" w:rsidRDefault="00454A29"/>
        </w:tc>
        <w:tc>
          <w:tcPr>
            <w:tcW w:w="1701" w:type="dxa"/>
            <w:vAlign w:val="center"/>
          </w:tcPr>
          <w:p w14:paraId="64E1A701" w14:textId="77777777" w:rsidR="00454A29" w:rsidRDefault="00454A29">
            <w:pPr>
              <w:pStyle w:val="ConsPlusNormal"/>
              <w:jc w:val="center"/>
            </w:pPr>
            <w:r>
              <w:t>2016</w:t>
            </w:r>
          </w:p>
        </w:tc>
        <w:tc>
          <w:tcPr>
            <w:tcW w:w="1417" w:type="dxa"/>
            <w:vMerge/>
          </w:tcPr>
          <w:p w14:paraId="3FD0B834" w14:textId="77777777" w:rsidR="00454A29" w:rsidRDefault="00454A29"/>
        </w:tc>
        <w:tc>
          <w:tcPr>
            <w:tcW w:w="2204" w:type="dxa"/>
            <w:vMerge/>
          </w:tcPr>
          <w:p w14:paraId="45377529" w14:textId="77777777" w:rsidR="00454A29" w:rsidRDefault="00454A29"/>
        </w:tc>
        <w:tc>
          <w:tcPr>
            <w:tcW w:w="1417" w:type="dxa"/>
            <w:vMerge/>
          </w:tcPr>
          <w:p w14:paraId="7B9690AA" w14:textId="77777777" w:rsidR="00454A29" w:rsidRDefault="00454A29"/>
        </w:tc>
        <w:tc>
          <w:tcPr>
            <w:tcW w:w="2324" w:type="dxa"/>
            <w:vMerge/>
          </w:tcPr>
          <w:p w14:paraId="5A38C3BD" w14:textId="77777777" w:rsidR="00454A29" w:rsidRDefault="00454A29"/>
        </w:tc>
        <w:tc>
          <w:tcPr>
            <w:tcW w:w="1701" w:type="dxa"/>
            <w:vAlign w:val="center"/>
          </w:tcPr>
          <w:p w14:paraId="4EBA1EC6" w14:textId="77777777" w:rsidR="00454A29" w:rsidRDefault="00454A29">
            <w:pPr>
              <w:pStyle w:val="ConsPlusNormal"/>
              <w:jc w:val="center"/>
            </w:pPr>
            <w:r>
              <w:t>85 764,54</w:t>
            </w:r>
          </w:p>
        </w:tc>
        <w:tc>
          <w:tcPr>
            <w:tcW w:w="1814" w:type="dxa"/>
            <w:vAlign w:val="center"/>
          </w:tcPr>
          <w:p w14:paraId="553B6819" w14:textId="77777777" w:rsidR="00454A29" w:rsidRDefault="00454A29">
            <w:pPr>
              <w:pStyle w:val="ConsPlusNormal"/>
              <w:jc w:val="center"/>
            </w:pPr>
            <w:r>
              <w:t>5 157,40</w:t>
            </w:r>
          </w:p>
        </w:tc>
        <w:tc>
          <w:tcPr>
            <w:tcW w:w="1701" w:type="dxa"/>
            <w:vAlign w:val="center"/>
          </w:tcPr>
          <w:p w14:paraId="63155C93" w14:textId="77777777" w:rsidR="00454A29" w:rsidRDefault="00454A29">
            <w:pPr>
              <w:pStyle w:val="ConsPlusNormal"/>
            </w:pPr>
          </w:p>
        </w:tc>
        <w:tc>
          <w:tcPr>
            <w:tcW w:w="1701" w:type="dxa"/>
            <w:vAlign w:val="center"/>
          </w:tcPr>
          <w:p w14:paraId="458D56E8" w14:textId="77777777" w:rsidR="00454A29" w:rsidRDefault="00454A29">
            <w:pPr>
              <w:pStyle w:val="ConsPlusNormal"/>
              <w:jc w:val="center"/>
            </w:pPr>
            <w:r>
              <w:t>-</w:t>
            </w:r>
          </w:p>
        </w:tc>
        <w:tc>
          <w:tcPr>
            <w:tcW w:w="1814" w:type="dxa"/>
            <w:vAlign w:val="center"/>
          </w:tcPr>
          <w:p w14:paraId="5A4BE483" w14:textId="77777777" w:rsidR="00454A29" w:rsidRDefault="00454A29">
            <w:pPr>
              <w:pStyle w:val="ConsPlusNormal"/>
              <w:jc w:val="center"/>
            </w:pPr>
            <w:r>
              <w:t>80 607,14</w:t>
            </w:r>
          </w:p>
        </w:tc>
      </w:tr>
      <w:tr w:rsidR="00454A29" w14:paraId="25E66C3A" w14:textId="77777777">
        <w:tc>
          <w:tcPr>
            <w:tcW w:w="567" w:type="dxa"/>
            <w:vMerge/>
          </w:tcPr>
          <w:p w14:paraId="51D697F8" w14:textId="77777777" w:rsidR="00454A29" w:rsidRDefault="00454A29"/>
        </w:tc>
        <w:tc>
          <w:tcPr>
            <w:tcW w:w="3345" w:type="dxa"/>
            <w:vMerge/>
          </w:tcPr>
          <w:p w14:paraId="3090D6EB" w14:textId="77777777" w:rsidR="00454A29" w:rsidRDefault="00454A29"/>
        </w:tc>
        <w:tc>
          <w:tcPr>
            <w:tcW w:w="1701" w:type="dxa"/>
            <w:vAlign w:val="center"/>
          </w:tcPr>
          <w:p w14:paraId="3F91B656" w14:textId="77777777" w:rsidR="00454A29" w:rsidRDefault="00454A29">
            <w:pPr>
              <w:pStyle w:val="ConsPlusNormal"/>
              <w:jc w:val="center"/>
            </w:pPr>
            <w:r>
              <w:t>2017</w:t>
            </w:r>
          </w:p>
        </w:tc>
        <w:tc>
          <w:tcPr>
            <w:tcW w:w="1417" w:type="dxa"/>
            <w:vMerge/>
          </w:tcPr>
          <w:p w14:paraId="540CC739" w14:textId="77777777" w:rsidR="00454A29" w:rsidRDefault="00454A29"/>
        </w:tc>
        <w:tc>
          <w:tcPr>
            <w:tcW w:w="2204" w:type="dxa"/>
            <w:vMerge/>
          </w:tcPr>
          <w:p w14:paraId="0943C893" w14:textId="77777777" w:rsidR="00454A29" w:rsidRDefault="00454A29"/>
        </w:tc>
        <w:tc>
          <w:tcPr>
            <w:tcW w:w="1417" w:type="dxa"/>
            <w:vMerge/>
          </w:tcPr>
          <w:p w14:paraId="08727457" w14:textId="77777777" w:rsidR="00454A29" w:rsidRDefault="00454A29"/>
        </w:tc>
        <w:tc>
          <w:tcPr>
            <w:tcW w:w="2324" w:type="dxa"/>
            <w:vMerge/>
          </w:tcPr>
          <w:p w14:paraId="29E5E547" w14:textId="77777777" w:rsidR="00454A29" w:rsidRDefault="00454A29"/>
        </w:tc>
        <w:tc>
          <w:tcPr>
            <w:tcW w:w="1701" w:type="dxa"/>
            <w:vAlign w:val="center"/>
          </w:tcPr>
          <w:p w14:paraId="7399AD0E" w14:textId="77777777" w:rsidR="00454A29" w:rsidRDefault="00454A29">
            <w:pPr>
              <w:pStyle w:val="ConsPlusNormal"/>
              <w:jc w:val="center"/>
            </w:pPr>
            <w:r>
              <w:t>136 617,81</w:t>
            </w:r>
          </w:p>
        </w:tc>
        <w:tc>
          <w:tcPr>
            <w:tcW w:w="1814" w:type="dxa"/>
            <w:vAlign w:val="center"/>
          </w:tcPr>
          <w:p w14:paraId="6990F13D" w14:textId="77777777" w:rsidR="00454A29" w:rsidRDefault="00454A29">
            <w:pPr>
              <w:pStyle w:val="ConsPlusNormal"/>
              <w:jc w:val="center"/>
            </w:pPr>
            <w:r>
              <w:t>26 524,95</w:t>
            </w:r>
          </w:p>
        </w:tc>
        <w:tc>
          <w:tcPr>
            <w:tcW w:w="1701" w:type="dxa"/>
            <w:vAlign w:val="center"/>
          </w:tcPr>
          <w:p w14:paraId="78839470" w14:textId="77777777" w:rsidR="00454A29" w:rsidRDefault="00454A29">
            <w:pPr>
              <w:pStyle w:val="ConsPlusNormal"/>
            </w:pPr>
          </w:p>
        </w:tc>
        <w:tc>
          <w:tcPr>
            <w:tcW w:w="1701" w:type="dxa"/>
            <w:vAlign w:val="center"/>
          </w:tcPr>
          <w:p w14:paraId="6AE28060" w14:textId="77777777" w:rsidR="00454A29" w:rsidRDefault="00454A29">
            <w:pPr>
              <w:pStyle w:val="ConsPlusNormal"/>
              <w:jc w:val="center"/>
            </w:pPr>
            <w:r>
              <w:t>-</w:t>
            </w:r>
          </w:p>
        </w:tc>
        <w:tc>
          <w:tcPr>
            <w:tcW w:w="1814" w:type="dxa"/>
            <w:vAlign w:val="center"/>
          </w:tcPr>
          <w:p w14:paraId="0E63CE1A" w14:textId="77777777" w:rsidR="00454A29" w:rsidRDefault="00454A29">
            <w:pPr>
              <w:pStyle w:val="ConsPlusNormal"/>
              <w:jc w:val="center"/>
            </w:pPr>
            <w:r>
              <w:t>110 092,86</w:t>
            </w:r>
          </w:p>
        </w:tc>
      </w:tr>
      <w:tr w:rsidR="00454A29" w14:paraId="1C576DE7" w14:textId="77777777">
        <w:tc>
          <w:tcPr>
            <w:tcW w:w="567" w:type="dxa"/>
            <w:vMerge/>
          </w:tcPr>
          <w:p w14:paraId="13D2AA11" w14:textId="77777777" w:rsidR="00454A29" w:rsidRDefault="00454A29"/>
        </w:tc>
        <w:tc>
          <w:tcPr>
            <w:tcW w:w="3345" w:type="dxa"/>
            <w:vMerge/>
          </w:tcPr>
          <w:p w14:paraId="13D2FC1C" w14:textId="77777777" w:rsidR="00454A29" w:rsidRDefault="00454A29"/>
        </w:tc>
        <w:tc>
          <w:tcPr>
            <w:tcW w:w="1701" w:type="dxa"/>
            <w:vAlign w:val="center"/>
          </w:tcPr>
          <w:p w14:paraId="201E7EEA" w14:textId="77777777" w:rsidR="00454A29" w:rsidRDefault="00454A29">
            <w:pPr>
              <w:pStyle w:val="ConsPlusNormal"/>
              <w:jc w:val="center"/>
            </w:pPr>
            <w:r>
              <w:t>2018</w:t>
            </w:r>
          </w:p>
        </w:tc>
        <w:tc>
          <w:tcPr>
            <w:tcW w:w="1417" w:type="dxa"/>
            <w:vMerge/>
          </w:tcPr>
          <w:p w14:paraId="4CF78816" w14:textId="77777777" w:rsidR="00454A29" w:rsidRDefault="00454A29"/>
        </w:tc>
        <w:tc>
          <w:tcPr>
            <w:tcW w:w="2204" w:type="dxa"/>
            <w:vMerge/>
          </w:tcPr>
          <w:p w14:paraId="4F2C8CDB" w14:textId="77777777" w:rsidR="00454A29" w:rsidRDefault="00454A29"/>
        </w:tc>
        <w:tc>
          <w:tcPr>
            <w:tcW w:w="1417" w:type="dxa"/>
            <w:vMerge/>
          </w:tcPr>
          <w:p w14:paraId="7B2497BB" w14:textId="77777777" w:rsidR="00454A29" w:rsidRDefault="00454A29"/>
        </w:tc>
        <w:tc>
          <w:tcPr>
            <w:tcW w:w="2324" w:type="dxa"/>
            <w:vMerge/>
          </w:tcPr>
          <w:p w14:paraId="45DDC989" w14:textId="77777777" w:rsidR="00454A29" w:rsidRDefault="00454A29"/>
        </w:tc>
        <w:tc>
          <w:tcPr>
            <w:tcW w:w="1701" w:type="dxa"/>
            <w:vAlign w:val="center"/>
          </w:tcPr>
          <w:p w14:paraId="6889561F" w14:textId="77777777" w:rsidR="00454A29" w:rsidRDefault="00454A29">
            <w:pPr>
              <w:pStyle w:val="ConsPlusNormal"/>
              <w:jc w:val="center"/>
            </w:pPr>
            <w:r>
              <w:t>50 239,96</w:t>
            </w:r>
          </w:p>
        </w:tc>
        <w:tc>
          <w:tcPr>
            <w:tcW w:w="1814" w:type="dxa"/>
            <w:vAlign w:val="center"/>
          </w:tcPr>
          <w:p w14:paraId="77B9DCCB" w14:textId="77777777" w:rsidR="00454A29" w:rsidRDefault="00454A29">
            <w:pPr>
              <w:pStyle w:val="ConsPlusNormal"/>
              <w:jc w:val="center"/>
            </w:pPr>
            <w:r>
              <w:t>36 401,65</w:t>
            </w:r>
          </w:p>
        </w:tc>
        <w:tc>
          <w:tcPr>
            <w:tcW w:w="1701" w:type="dxa"/>
            <w:vAlign w:val="center"/>
          </w:tcPr>
          <w:p w14:paraId="3058496A" w14:textId="77777777" w:rsidR="00454A29" w:rsidRDefault="00454A29">
            <w:pPr>
              <w:pStyle w:val="ConsPlusNormal"/>
            </w:pPr>
          </w:p>
        </w:tc>
        <w:tc>
          <w:tcPr>
            <w:tcW w:w="1701" w:type="dxa"/>
            <w:vAlign w:val="center"/>
          </w:tcPr>
          <w:p w14:paraId="4605301D" w14:textId="77777777" w:rsidR="00454A29" w:rsidRDefault="00454A29">
            <w:pPr>
              <w:pStyle w:val="ConsPlusNormal"/>
              <w:jc w:val="center"/>
            </w:pPr>
            <w:r>
              <w:t>13 838,32</w:t>
            </w:r>
          </w:p>
        </w:tc>
        <w:tc>
          <w:tcPr>
            <w:tcW w:w="1814" w:type="dxa"/>
            <w:vAlign w:val="center"/>
          </w:tcPr>
          <w:p w14:paraId="5013A2C0" w14:textId="77777777" w:rsidR="00454A29" w:rsidRDefault="00454A29">
            <w:pPr>
              <w:pStyle w:val="ConsPlusNormal"/>
            </w:pPr>
          </w:p>
        </w:tc>
      </w:tr>
      <w:tr w:rsidR="00454A29" w14:paraId="010E5212" w14:textId="77777777">
        <w:tc>
          <w:tcPr>
            <w:tcW w:w="567" w:type="dxa"/>
            <w:vMerge/>
          </w:tcPr>
          <w:p w14:paraId="611FFBB3" w14:textId="77777777" w:rsidR="00454A29" w:rsidRDefault="00454A29"/>
        </w:tc>
        <w:tc>
          <w:tcPr>
            <w:tcW w:w="3345" w:type="dxa"/>
            <w:vMerge/>
          </w:tcPr>
          <w:p w14:paraId="2307F87E" w14:textId="77777777" w:rsidR="00454A29" w:rsidRDefault="00454A29"/>
        </w:tc>
        <w:tc>
          <w:tcPr>
            <w:tcW w:w="1701" w:type="dxa"/>
            <w:vAlign w:val="center"/>
          </w:tcPr>
          <w:p w14:paraId="03D4B3EC" w14:textId="77777777" w:rsidR="00454A29" w:rsidRDefault="00454A29">
            <w:pPr>
              <w:pStyle w:val="ConsPlusNormal"/>
              <w:jc w:val="center"/>
            </w:pPr>
            <w:r>
              <w:t>2019</w:t>
            </w:r>
          </w:p>
        </w:tc>
        <w:tc>
          <w:tcPr>
            <w:tcW w:w="1417" w:type="dxa"/>
            <w:vMerge/>
          </w:tcPr>
          <w:p w14:paraId="1207166A" w14:textId="77777777" w:rsidR="00454A29" w:rsidRDefault="00454A29"/>
        </w:tc>
        <w:tc>
          <w:tcPr>
            <w:tcW w:w="2204" w:type="dxa"/>
            <w:vMerge/>
          </w:tcPr>
          <w:p w14:paraId="34F3A465" w14:textId="77777777" w:rsidR="00454A29" w:rsidRDefault="00454A29"/>
        </w:tc>
        <w:tc>
          <w:tcPr>
            <w:tcW w:w="1417" w:type="dxa"/>
            <w:vMerge/>
          </w:tcPr>
          <w:p w14:paraId="01F67FE7" w14:textId="77777777" w:rsidR="00454A29" w:rsidRDefault="00454A29"/>
        </w:tc>
        <w:tc>
          <w:tcPr>
            <w:tcW w:w="2324" w:type="dxa"/>
            <w:vMerge/>
          </w:tcPr>
          <w:p w14:paraId="68955FC9" w14:textId="77777777" w:rsidR="00454A29" w:rsidRDefault="00454A29"/>
        </w:tc>
        <w:tc>
          <w:tcPr>
            <w:tcW w:w="1701" w:type="dxa"/>
            <w:vAlign w:val="center"/>
          </w:tcPr>
          <w:p w14:paraId="45889BEE" w14:textId="77777777" w:rsidR="00454A29" w:rsidRDefault="00454A29">
            <w:pPr>
              <w:pStyle w:val="ConsPlusNormal"/>
              <w:jc w:val="center"/>
            </w:pPr>
            <w:r>
              <w:t>50 040,42</w:t>
            </w:r>
          </w:p>
        </w:tc>
        <w:tc>
          <w:tcPr>
            <w:tcW w:w="1814" w:type="dxa"/>
            <w:vAlign w:val="center"/>
          </w:tcPr>
          <w:p w14:paraId="24D2D83F" w14:textId="77777777" w:rsidR="00454A29" w:rsidRDefault="00454A29">
            <w:pPr>
              <w:pStyle w:val="ConsPlusNormal"/>
              <w:jc w:val="center"/>
            </w:pPr>
            <w:r>
              <w:t>35 496,35</w:t>
            </w:r>
          </w:p>
        </w:tc>
        <w:tc>
          <w:tcPr>
            <w:tcW w:w="1701" w:type="dxa"/>
            <w:vAlign w:val="center"/>
          </w:tcPr>
          <w:p w14:paraId="47BEBA1C" w14:textId="77777777" w:rsidR="00454A29" w:rsidRDefault="00454A29">
            <w:pPr>
              <w:pStyle w:val="ConsPlusNormal"/>
            </w:pPr>
          </w:p>
        </w:tc>
        <w:tc>
          <w:tcPr>
            <w:tcW w:w="1701" w:type="dxa"/>
            <w:vAlign w:val="center"/>
          </w:tcPr>
          <w:p w14:paraId="7AF69A1D" w14:textId="77777777" w:rsidR="00454A29" w:rsidRDefault="00454A29">
            <w:pPr>
              <w:pStyle w:val="ConsPlusNormal"/>
              <w:jc w:val="center"/>
            </w:pPr>
            <w:r>
              <w:t>14 544,07</w:t>
            </w:r>
          </w:p>
        </w:tc>
        <w:tc>
          <w:tcPr>
            <w:tcW w:w="1814" w:type="dxa"/>
            <w:vAlign w:val="center"/>
          </w:tcPr>
          <w:p w14:paraId="6183317C" w14:textId="77777777" w:rsidR="00454A29" w:rsidRDefault="00454A29">
            <w:pPr>
              <w:pStyle w:val="ConsPlusNormal"/>
            </w:pPr>
          </w:p>
        </w:tc>
      </w:tr>
      <w:tr w:rsidR="00454A29" w14:paraId="5184F2AB" w14:textId="77777777">
        <w:tc>
          <w:tcPr>
            <w:tcW w:w="567" w:type="dxa"/>
            <w:vMerge/>
          </w:tcPr>
          <w:p w14:paraId="1D6F1EDC" w14:textId="77777777" w:rsidR="00454A29" w:rsidRDefault="00454A29"/>
        </w:tc>
        <w:tc>
          <w:tcPr>
            <w:tcW w:w="3345" w:type="dxa"/>
            <w:vMerge/>
          </w:tcPr>
          <w:p w14:paraId="4AFF98BE" w14:textId="77777777" w:rsidR="00454A29" w:rsidRDefault="00454A29"/>
        </w:tc>
        <w:tc>
          <w:tcPr>
            <w:tcW w:w="1701" w:type="dxa"/>
            <w:vAlign w:val="center"/>
          </w:tcPr>
          <w:p w14:paraId="4A93868E" w14:textId="77777777" w:rsidR="00454A29" w:rsidRDefault="00454A29">
            <w:pPr>
              <w:pStyle w:val="ConsPlusNormal"/>
              <w:jc w:val="center"/>
            </w:pPr>
            <w:r>
              <w:t>2020</w:t>
            </w:r>
          </w:p>
        </w:tc>
        <w:tc>
          <w:tcPr>
            <w:tcW w:w="1417" w:type="dxa"/>
            <w:vMerge/>
          </w:tcPr>
          <w:p w14:paraId="189DC95C" w14:textId="77777777" w:rsidR="00454A29" w:rsidRDefault="00454A29"/>
        </w:tc>
        <w:tc>
          <w:tcPr>
            <w:tcW w:w="2204" w:type="dxa"/>
            <w:vMerge/>
          </w:tcPr>
          <w:p w14:paraId="784284BE" w14:textId="77777777" w:rsidR="00454A29" w:rsidRDefault="00454A29"/>
        </w:tc>
        <w:tc>
          <w:tcPr>
            <w:tcW w:w="1417" w:type="dxa"/>
            <w:vMerge/>
          </w:tcPr>
          <w:p w14:paraId="2AEB6150" w14:textId="77777777" w:rsidR="00454A29" w:rsidRDefault="00454A29"/>
        </w:tc>
        <w:tc>
          <w:tcPr>
            <w:tcW w:w="2324" w:type="dxa"/>
            <w:vMerge/>
          </w:tcPr>
          <w:p w14:paraId="2301104F" w14:textId="77777777" w:rsidR="00454A29" w:rsidRDefault="00454A29"/>
        </w:tc>
        <w:tc>
          <w:tcPr>
            <w:tcW w:w="1701" w:type="dxa"/>
            <w:vAlign w:val="center"/>
          </w:tcPr>
          <w:p w14:paraId="7ADB5CCB" w14:textId="77777777" w:rsidR="00454A29" w:rsidRDefault="00454A29">
            <w:pPr>
              <w:pStyle w:val="ConsPlusNormal"/>
              <w:jc w:val="center"/>
            </w:pPr>
            <w:r>
              <w:t>55 454,06</w:t>
            </w:r>
          </w:p>
        </w:tc>
        <w:tc>
          <w:tcPr>
            <w:tcW w:w="1814" w:type="dxa"/>
            <w:vAlign w:val="center"/>
          </w:tcPr>
          <w:p w14:paraId="4C83DD7E" w14:textId="77777777" w:rsidR="00454A29" w:rsidRDefault="00454A29">
            <w:pPr>
              <w:pStyle w:val="ConsPlusNormal"/>
              <w:jc w:val="center"/>
            </w:pPr>
            <w:r>
              <w:t>40 255,51</w:t>
            </w:r>
          </w:p>
        </w:tc>
        <w:tc>
          <w:tcPr>
            <w:tcW w:w="1701" w:type="dxa"/>
            <w:vAlign w:val="center"/>
          </w:tcPr>
          <w:p w14:paraId="79D50D73" w14:textId="77777777" w:rsidR="00454A29" w:rsidRDefault="00454A29">
            <w:pPr>
              <w:pStyle w:val="ConsPlusNormal"/>
            </w:pPr>
          </w:p>
        </w:tc>
        <w:tc>
          <w:tcPr>
            <w:tcW w:w="1701" w:type="dxa"/>
            <w:vAlign w:val="center"/>
          </w:tcPr>
          <w:p w14:paraId="7D71FD71" w14:textId="77777777" w:rsidR="00454A29" w:rsidRDefault="00454A29">
            <w:pPr>
              <w:pStyle w:val="ConsPlusNormal"/>
              <w:jc w:val="center"/>
            </w:pPr>
            <w:r>
              <w:t>15 198,55</w:t>
            </w:r>
          </w:p>
        </w:tc>
        <w:tc>
          <w:tcPr>
            <w:tcW w:w="1814" w:type="dxa"/>
            <w:vAlign w:val="center"/>
          </w:tcPr>
          <w:p w14:paraId="1914E43F" w14:textId="77777777" w:rsidR="00454A29" w:rsidRDefault="00454A29">
            <w:pPr>
              <w:pStyle w:val="ConsPlusNormal"/>
            </w:pPr>
          </w:p>
        </w:tc>
      </w:tr>
      <w:tr w:rsidR="00454A29" w14:paraId="1AD44D2F" w14:textId="77777777">
        <w:tc>
          <w:tcPr>
            <w:tcW w:w="567" w:type="dxa"/>
            <w:vMerge/>
          </w:tcPr>
          <w:p w14:paraId="745E6348" w14:textId="77777777" w:rsidR="00454A29" w:rsidRDefault="00454A29"/>
        </w:tc>
        <w:tc>
          <w:tcPr>
            <w:tcW w:w="3345" w:type="dxa"/>
            <w:vMerge/>
          </w:tcPr>
          <w:p w14:paraId="6413C733" w14:textId="77777777" w:rsidR="00454A29" w:rsidRDefault="00454A29"/>
        </w:tc>
        <w:tc>
          <w:tcPr>
            <w:tcW w:w="1701" w:type="dxa"/>
            <w:vAlign w:val="center"/>
          </w:tcPr>
          <w:p w14:paraId="65CDEE14" w14:textId="77777777" w:rsidR="00454A29" w:rsidRDefault="00454A29">
            <w:pPr>
              <w:pStyle w:val="ConsPlusNormal"/>
              <w:jc w:val="center"/>
            </w:pPr>
            <w:r>
              <w:t>2021</w:t>
            </w:r>
          </w:p>
        </w:tc>
        <w:tc>
          <w:tcPr>
            <w:tcW w:w="1417" w:type="dxa"/>
            <w:vMerge/>
          </w:tcPr>
          <w:p w14:paraId="28336D74" w14:textId="77777777" w:rsidR="00454A29" w:rsidRDefault="00454A29"/>
        </w:tc>
        <w:tc>
          <w:tcPr>
            <w:tcW w:w="2204" w:type="dxa"/>
            <w:vMerge/>
          </w:tcPr>
          <w:p w14:paraId="57FABC1A" w14:textId="77777777" w:rsidR="00454A29" w:rsidRDefault="00454A29"/>
        </w:tc>
        <w:tc>
          <w:tcPr>
            <w:tcW w:w="1417" w:type="dxa"/>
            <w:vMerge/>
          </w:tcPr>
          <w:p w14:paraId="490F1DCB" w14:textId="77777777" w:rsidR="00454A29" w:rsidRDefault="00454A29"/>
        </w:tc>
        <w:tc>
          <w:tcPr>
            <w:tcW w:w="2324" w:type="dxa"/>
            <w:vMerge/>
          </w:tcPr>
          <w:p w14:paraId="63F6C13F" w14:textId="77777777" w:rsidR="00454A29" w:rsidRDefault="00454A29"/>
        </w:tc>
        <w:tc>
          <w:tcPr>
            <w:tcW w:w="1701" w:type="dxa"/>
            <w:vAlign w:val="center"/>
          </w:tcPr>
          <w:p w14:paraId="0C607930" w14:textId="77777777" w:rsidR="00454A29" w:rsidRDefault="00454A29">
            <w:pPr>
              <w:pStyle w:val="ConsPlusNormal"/>
              <w:jc w:val="center"/>
            </w:pPr>
            <w:r>
              <w:t>54 206,46</w:t>
            </w:r>
          </w:p>
        </w:tc>
        <w:tc>
          <w:tcPr>
            <w:tcW w:w="1814" w:type="dxa"/>
            <w:vAlign w:val="center"/>
          </w:tcPr>
          <w:p w14:paraId="6C15DE1B" w14:textId="77777777" w:rsidR="00454A29" w:rsidRDefault="00454A29">
            <w:pPr>
              <w:pStyle w:val="ConsPlusNormal"/>
              <w:jc w:val="center"/>
            </w:pPr>
            <w:r>
              <w:t>38 399,96</w:t>
            </w:r>
          </w:p>
        </w:tc>
        <w:tc>
          <w:tcPr>
            <w:tcW w:w="1701" w:type="dxa"/>
            <w:vAlign w:val="center"/>
          </w:tcPr>
          <w:p w14:paraId="1DF6B071" w14:textId="77777777" w:rsidR="00454A29" w:rsidRDefault="00454A29">
            <w:pPr>
              <w:pStyle w:val="ConsPlusNormal"/>
            </w:pPr>
          </w:p>
        </w:tc>
        <w:tc>
          <w:tcPr>
            <w:tcW w:w="1701" w:type="dxa"/>
            <w:vAlign w:val="center"/>
          </w:tcPr>
          <w:p w14:paraId="1BDB91A1" w14:textId="77777777" w:rsidR="00454A29" w:rsidRDefault="00454A29">
            <w:pPr>
              <w:pStyle w:val="ConsPlusNormal"/>
              <w:jc w:val="center"/>
            </w:pPr>
            <w:r>
              <w:t>15 806,50</w:t>
            </w:r>
          </w:p>
        </w:tc>
        <w:tc>
          <w:tcPr>
            <w:tcW w:w="1814" w:type="dxa"/>
            <w:vAlign w:val="center"/>
          </w:tcPr>
          <w:p w14:paraId="516E9844" w14:textId="77777777" w:rsidR="00454A29" w:rsidRDefault="00454A29">
            <w:pPr>
              <w:pStyle w:val="ConsPlusNormal"/>
            </w:pPr>
          </w:p>
        </w:tc>
      </w:tr>
      <w:tr w:rsidR="00454A29" w14:paraId="62B694F2" w14:textId="77777777">
        <w:tc>
          <w:tcPr>
            <w:tcW w:w="567" w:type="dxa"/>
            <w:vMerge/>
          </w:tcPr>
          <w:p w14:paraId="5DA1CDCD" w14:textId="77777777" w:rsidR="00454A29" w:rsidRDefault="00454A29"/>
        </w:tc>
        <w:tc>
          <w:tcPr>
            <w:tcW w:w="3345" w:type="dxa"/>
            <w:vMerge/>
          </w:tcPr>
          <w:p w14:paraId="2361277D" w14:textId="77777777" w:rsidR="00454A29" w:rsidRDefault="00454A29"/>
        </w:tc>
        <w:tc>
          <w:tcPr>
            <w:tcW w:w="1701" w:type="dxa"/>
            <w:vAlign w:val="center"/>
          </w:tcPr>
          <w:p w14:paraId="61349D1B" w14:textId="77777777" w:rsidR="00454A29" w:rsidRDefault="00454A29">
            <w:pPr>
              <w:pStyle w:val="ConsPlusNormal"/>
              <w:jc w:val="center"/>
            </w:pPr>
            <w:r>
              <w:t>2022</w:t>
            </w:r>
          </w:p>
        </w:tc>
        <w:tc>
          <w:tcPr>
            <w:tcW w:w="1417" w:type="dxa"/>
            <w:vMerge/>
          </w:tcPr>
          <w:p w14:paraId="3A7C0594" w14:textId="77777777" w:rsidR="00454A29" w:rsidRDefault="00454A29"/>
        </w:tc>
        <w:tc>
          <w:tcPr>
            <w:tcW w:w="2204" w:type="dxa"/>
            <w:vMerge/>
          </w:tcPr>
          <w:p w14:paraId="42EEC067" w14:textId="77777777" w:rsidR="00454A29" w:rsidRDefault="00454A29"/>
        </w:tc>
        <w:tc>
          <w:tcPr>
            <w:tcW w:w="1417" w:type="dxa"/>
            <w:vMerge/>
          </w:tcPr>
          <w:p w14:paraId="5C580DC0" w14:textId="77777777" w:rsidR="00454A29" w:rsidRDefault="00454A29"/>
        </w:tc>
        <w:tc>
          <w:tcPr>
            <w:tcW w:w="2324" w:type="dxa"/>
            <w:vMerge/>
          </w:tcPr>
          <w:p w14:paraId="391472E4" w14:textId="77777777" w:rsidR="00454A29" w:rsidRDefault="00454A29"/>
        </w:tc>
        <w:tc>
          <w:tcPr>
            <w:tcW w:w="1701" w:type="dxa"/>
            <w:vAlign w:val="center"/>
          </w:tcPr>
          <w:p w14:paraId="60885D22" w14:textId="77777777" w:rsidR="00454A29" w:rsidRDefault="00454A29">
            <w:pPr>
              <w:pStyle w:val="ConsPlusNormal"/>
              <w:jc w:val="center"/>
            </w:pPr>
            <w:r>
              <w:t>58 223,79</w:t>
            </w:r>
          </w:p>
        </w:tc>
        <w:tc>
          <w:tcPr>
            <w:tcW w:w="1814" w:type="dxa"/>
            <w:vAlign w:val="center"/>
          </w:tcPr>
          <w:p w14:paraId="6A69C60E" w14:textId="77777777" w:rsidR="00454A29" w:rsidRDefault="00454A29">
            <w:pPr>
              <w:pStyle w:val="ConsPlusNormal"/>
              <w:jc w:val="center"/>
            </w:pPr>
            <w:r>
              <w:t>41 864,06</w:t>
            </w:r>
          </w:p>
        </w:tc>
        <w:tc>
          <w:tcPr>
            <w:tcW w:w="1701" w:type="dxa"/>
            <w:vAlign w:val="center"/>
          </w:tcPr>
          <w:p w14:paraId="76DFE5B8" w14:textId="77777777" w:rsidR="00454A29" w:rsidRDefault="00454A29">
            <w:pPr>
              <w:pStyle w:val="ConsPlusNormal"/>
            </w:pPr>
          </w:p>
        </w:tc>
        <w:tc>
          <w:tcPr>
            <w:tcW w:w="1701" w:type="dxa"/>
            <w:vAlign w:val="center"/>
          </w:tcPr>
          <w:p w14:paraId="067CAD7F" w14:textId="77777777" w:rsidR="00454A29" w:rsidRDefault="00454A29">
            <w:pPr>
              <w:pStyle w:val="ConsPlusNormal"/>
              <w:jc w:val="center"/>
            </w:pPr>
            <w:r>
              <w:t>16 359,72</w:t>
            </w:r>
          </w:p>
        </w:tc>
        <w:tc>
          <w:tcPr>
            <w:tcW w:w="1814" w:type="dxa"/>
            <w:vAlign w:val="center"/>
          </w:tcPr>
          <w:p w14:paraId="7818991B" w14:textId="77777777" w:rsidR="00454A29" w:rsidRDefault="00454A29">
            <w:pPr>
              <w:pStyle w:val="ConsPlusNormal"/>
            </w:pPr>
          </w:p>
        </w:tc>
      </w:tr>
      <w:tr w:rsidR="00454A29" w14:paraId="3A8AA481" w14:textId="77777777">
        <w:tc>
          <w:tcPr>
            <w:tcW w:w="567" w:type="dxa"/>
            <w:vMerge/>
          </w:tcPr>
          <w:p w14:paraId="117CF6BC" w14:textId="77777777" w:rsidR="00454A29" w:rsidRDefault="00454A29"/>
        </w:tc>
        <w:tc>
          <w:tcPr>
            <w:tcW w:w="3345" w:type="dxa"/>
            <w:vMerge/>
          </w:tcPr>
          <w:p w14:paraId="02125694" w14:textId="77777777" w:rsidR="00454A29" w:rsidRDefault="00454A29"/>
        </w:tc>
        <w:tc>
          <w:tcPr>
            <w:tcW w:w="1701" w:type="dxa"/>
            <w:vAlign w:val="center"/>
          </w:tcPr>
          <w:p w14:paraId="14901BCC" w14:textId="77777777" w:rsidR="00454A29" w:rsidRDefault="00454A29">
            <w:pPr>
              <w:pStyle w:val="ConsPlusNormal"/>
              <w:jc w:val="center"/>
            </w:pPr>
            <w:r>
              <w:t>2023</w:t>
            </w:r>
          </w:p>
        </w:tc>
        <w:tc>
          <w:tcPr>
            <w:tcW w:w="1417" w:type="dxa"/>
            <w:vMerge/>
          </w:tcPr>
          <w:p w14:paraId="77872525" w14:textId="77777777" w:rsidR="00454A29" w:rsidRDefault="00454A29"/>
        </w:tc>
        <w:tc>
          <w:tcPr>
            <w:tcW w:w="2204" w:type="dxa"/>
            <w:vMerge/>
          </w:tcPr>
          <w:p w14:paraId="16A8EA97" w14:textId="77777777" w:rsidR="00454A29" w:rsidRDefault="00454A29"/>
        </w:tc>
        <w:tc>
          <w:tcPr>
            <w:tcW w:w="1417" w:type="dxa"/>
            <w:vMerge/>
          </w:tcPr>
          <w:p w14:paraId="693C56EE" w14:textId="77777777" w:rsidR="00454A29" w:rsidRDefault="00454A29"/>
        </w:tc>
        <w:tc>
          <w:tcPr>
            <w:tcW w:w="2324" w:type="dxa"/>
            <w:vMerge/>
          </w:tcPr>
          <w:p w14:paraId="4ADFCB84" w14:textId="77777777" w:rsidR="00454A29" w:rsidRDefault="00454A29"/>
        </w:tc>
        <w:tc>
          <w:tcPr>
            <w:tcW w:w="1701" w:type="dxa"/>
            <w:vAlign w:val="center"/>
          </w:tcPr>
          <w:p w14:paraId="068F65BE" w14:textId="77777777" w:rsidR="00454A29" w:rsidRDefault="00454A29">
            <w:pPr>
              <w:pStyle w:val="ConsPlusNormal"/>
              <w:jc w:val="center"/>
            </w:pPr>
            <w:r>
              <w:t>58 763,66</w:t>
            </w:r>
          </w:p>
        </w:tc>
        <w:tc>
          <w:tcPr>
            <w:tcW w:w="1814" w:type="dxa"/>
            <w:vAlign w:val="center"/>
          </w:tcPr>
          <w:p w14:paraId="463ED4E2" w14:textId="77777777" w:rsidR="00454A29" w:rsidRDefault="00454A29">
            <w:pPr>
              <w:pStyle w:val="ConsPlusNormal"/>
              <w:jc w:val="center"/>
            </w:pPr>
            <w:r>
              <w:t>41 864,06</w:t>
            </w:r>
          </w:p>
        </w:tc>
        <w:tc>
          <w:tcPr>
            <w:tcW w:w="1701" w:type="dxa"/>
            <w:vAlign w:val="center"/>
          </w:tcPr>
          <w:p w14:paraId="7379B80B" w14:textId="77777777" w:rsidR="00454A29" w:rsidRDefault="00454A29">
            <w:pPr>
              <w:pStyle w:val="ConsPlusNormal"/>
            </w:pPr>
          </w:p>
        </w:tc>
        <w:tc>
          <w:tcPr>
            <w:tcW w:w="1701" w:type="dxa"/>
            <w:vAlign w:val="center"/>
          </w:tcPr>
          <w:p w14:paraId="1F9664F3" w14:textId="77777777" w:rsidR="00454A29" w:rsidRDefault="00454A29">
            <w:pPr>
              <w:pStyle w:val="ConsPlusNormal"/>
              <w:jc w:val="center"/>
            </w:pPr>
            <w:r>
              <w:t>16 899,60</w:t>
            </w:r>
          </w:p>
        </w:tc>
        <w:tc>
          <w:tcPr>
            <w:tcW w:w="1814" w:type="dxa"/>
            <w:vAlign w:val="center"/>
          </w:tcPr>
          <w:p w14:paraId="67AB87EE" w14:textId="77777777" w:rsidR="00454A29" w:rsidRDefault="00454A29">
            <w:pPr>
              <w:pStyle w:val="ConsPlusNormal"/>
            </w:pPr>
          </w:p>
        </w:tc>
      </w:tr>
      <w:tr w:rsidR="00454A29" w14:paraId="4E70A241" w14:textId="77777777">
        <w:tc>
          <w:tcPr>
            <w:tcW w:w="567" w:type="dxa"/>
            <w:vMerge/>
          </w:tcPr>
          <w:p w14:paraId="73D5CA0B" w14:textId="77777777" w:rsidR="00454A29" w:rsidRDefault="00454A29"/>
        </w:tc>
        <w:tc>
          <w:tcPr>
            <w:tcW w:w="3345" w:type="dxa"/>
            <w:vMerge/>
          </w:tcPr>
          <w:p w14:paraId="6BB4F863" w14:textId="77777777" w:rsidR="00454A29" w:rsidRDefault="00454A29"/>
        </w:tc>
        <w:tc>
          <w:tcPr>
            <w:tcW w:w="1701" w:type="dxa"/>
            <w:vAlign w:val="center"/>
          </w:tcPr>
          <w:p w14:paraId="18A9D97D" w14:textId="77777777" w:rsidR="00454A29" w:rsidRDefault="00454A29">
            <w:pPr>
              <w:pStyle w:val="ConsPlusNormal"/>
              <w:jc w:val="center"/>
            </w:pPr>
            <w:r>
              <w:t>2024</w:t>
            </w:r>
          </w:p>
        </w:tc>
        <w:tc>
          <w:tcPr>
            <w:tcW w:w="1417" w:type="dxa"/>
            <w:vMerge/>
          </w:tcPr>
          <w:p w14:paraId="47095D10" w14:textId="77777777" w:rsidR="00454A29" w:rsidRDefault="00454A29"/>
        </w:tc>
        <w:tc>
          <w:tcPr>
            <w:tcW w:w="2204" w:type="dxa"/>
            <w:vMerge/>
          </w:tcPr>
          <w:p w14:paraId="4D4401AF" w14:textId="77777777" w:rsidR="00454A29" w:rsidRDefault="00454A29"/>
        </w:tc>
        <w:tc>
          <w:tcPr>
            <w:tcW w:w="1417" w:type="dxa"/>
            <w:vMerge/>
          </w:tcPr>
          <w:p w14:paraId="45016C5E" w14:textId="77777777" w:rsidR="00454A29" w:rsidRDefault="00454A29"/>
        </w:tc>
        <w:tc>
          <w:tcPr>
            <w:tcW w:w="2324" w:type="dxa"/>
            <w:vMerge/>
          </w:tcPr>
          <w:p w14:paraId="62A72B29" w14:textId="77777777" w:rsidR="00454A29" w:rsidRDefault="00454A29"/>
        </w:tc>
        <w:tc>
          <w:tcPr>
            <w:tcW w:w="1701" w:type="dxa"/>
            <w:vAlign w:val="center"/>
          </w:tcPr>
          <w:p w14:paraId="422FBC01" w14:textId="77777777" w:rsidR="00454A29" w:rsidRDefault="00454A29">
            <w:pPr>
              <w:pStyle w:val="ConsPlusNormal"/>
              <w:jc w:val="center"/>
            </w:pPr>
            <w:r>
              <w:t>59 287,55</w:t>
            </w:r>
          </w:p>
        </w:tc>
        <w:tc>
          <w:tcPr>
            <w:tcW w:w="1814" w:type="dxa"/>
            <w:vAlign w:val="center"/>
          </w:tcPr>
          <w:p w14:paraId="3C4C52B9" w14:textId="77777777" w:rsidR="00454A29" w:rsidRDefault="00454A29">
            <w:pPr>
              <w:pStyle w:val="ConsPlusNormal"/>
              <w:jc w:val="center"/>
            </w:pPr>
            <w:r>
              <w:t>41 864,06</w:t>
            </w:r>
          </w:p>
        </w:tc>
        <w:tc>
          <w:tcPr>
            <w:tcW w:w="1701" w:type="dxa"/>
            <w:vAlign w:val="center"/>
          </w:tcPr>
          <w:p w14:paraId="570E4D4F" w14:textId="77777777" w:rsidR="00454A29" w:rsidRDefault="00454A29">
            <w:pPr>
              <w:pStyle w:val="ConsPlusNormal"/>
            </w:pPr>
          </w:p>
        </w:tc>
        <w:tc>
          <w:tcPr>
            <w:tcW w:w="1701" w:type="dxa"/>
            <w:vAlign w:val="center"/>
          </w:tcPr>
          <w:p w14:paraId="5AB8C230" w14:textId="77777777" w:rsidR="00454A29" w:rsidRDefault="00454A29">
            <w:pPr>
              <w:pStyle w:val="ConsPlusNormal"/>
              <w:jc w:val="center"/>
            </w:pPr>
            <w:r>
              <w:t>17 423,48</w:t>
            </w:r>
          </w:p>
        </w:tc>
        <w:tc>
          <w:tcPr>
            <w:tcW w:w="1814" w:type="dxa"/>
            <w:vAlign w:val="center"/>
          </w:tcPr>
          <w:p w14:paraId="7CFE9A41" w14:textId="77777777" w:rsidR="00454A29" w:rsidRDefault="00454A29">
            <w:pPr>
              <w:pStyle w:val="ConsPlusNormal"/>
            </w:pPr>
          </w:p>
        </w:tc>
      </w:tr>
      <w:tr w:rsidR="00454A29" w14:paraId="2A7429C5" w14:textId="77777777">
        <w:tc>
          <w:tcPr>
            <w:tcW w:w="567" w:type="dxa"/>
            <w:vMerge/>
          </w:tcPr>
          <w:p w14:paraId="520D6E28" w14:textId="77777777" w:rsidR="00454A29" w:rsidRDefault="00454A29"/>
        </w:tc>
        <w:tc>
          <w:tcPr>
            <w:tcW w:w="3345" w:type="dxa"/>
            <w:vMerge/>
          </w:tcPr>
          <w:p w14:paraId="6847C680" w14:textId="77777777" w:rsidR="00454A29" w:rsidRDefault="00454A29"/>
        </w:tc>
        <w:tc>
          <w:tcPr>
            <w:tcW w:w="1701" w:type="dxa"/>
            <w:vAlign w:val="center"/>
          </w:tcPr>
          <w:p w14:paraId="249711C4" w14:textId="77777777" w:rsidR="00454A29" w:rsidRDefault="00454A29">
            <w:pPr>
              <w:pStyle w:val="ConsPlusNormal"/>
              <w:jc w:val="center"/>
            </w:pPr>
            <w:r>
              <w:t>2025</w:t>
            </w:r>
          </w:p>
        </w:tc>
        <w:tc>
          <w:tcPr>
            <w:tcW w:w="1417" w:type="dxa"/>
            <w:vMerge/>
          </w:tcPr>
          <w:p w14:paraId="529149F1" w14:textId="77777777" w:rsidR="00454A29" w:rsidRDefault="00454A29"/>
        </w:tc>
        <w:tc>
          <w:tcPr>
            <w:tcW w:w="2204" w:type="dxa"/>
            <w:vMerge/>
          </w:tcPr>
          <w:p w14:paraId="2ACE962B" w14:textId="77777777" w:rsidR="00454A29" w:rsidRDefault="00454A29"/>
        </w:tc>
        <w:tc>
          <w:tcPr>
            <w:tcW w:w="1417" w:type="dxa"/>
            <w:vMerge/>
          </w:tcPr>
          <w:p w14:paraId="5263AD83" w14:textId="77777777" w:rsidR="00454A29" w:rsidRDefault="00454A29"/>
        </w:tc>
        <w:tc>
          <w:tcPr>
            <w:tcW w:w="2324" w:type="dxa"/>
            <w:vMerge/>
          </w:tcPr>
          <w:p w14:paraId="550455C7" w14:textId="77777777" w:rsidR="00454A29" w:rsidRDefault="00454A29"/>
        </w:tc>
        <w:tc>
          <w:tcPr>
            <w:tcW w:w="1701" w:type="dxa"/>
            <w:vAlign w:val="center"/>
          </w:tcPr>
          <w:p w14:paraId="225B8F4F" w14:textId="77777777" w:rsidR="00454A29" w:rsidRDefault="00454A29">
            <w:pPr>
              <w:pStyle w:val="ConsPlusNormal"/>
              <w:jc w:val="center"/>
            </w:pPr>
            <w:r>
              <w:t>59 792,83</w:t>
            </w:r>
          </w:p>
        </w:tc>
        <w:tc>
          <w:tcPr>
            <w:tcW w:w="1814" w:type="dxa"/>
            <w:vAlign w:val="center"/>
          </w:tcPr>
          <w:p w14:paraId="2D957F46" w14:textId="77777777" w:rsidR="00454A29" w:rsidRDefault="00454A29">
            <w:pPr>
              <w:pStyle w:val="ConsPlusNormal"/>
              <w:jc w:val="center"/>
            </w:pPr>
            <w:r>
              <w:t>41 864,06</w:t>
            </w:r>
          </w:p>
        </w:tc>
        <w:tc>
          <w:tcPr>
            <w:tcW w:w="1701" w:type="dxa"/>
            <w:vAlign w:val="center"/>
          </w:tcPr>
          <w:p w14:paraId="5B407566" w14:textId="77777777" w:rsidR="00454A29" w:rsidRDefault="00454A29">
            <w:pPr>
              <w:pStyle w:val="ConsPlusNormal"/>
            </w:pPr>
          </w:p>
        </w:tc>
        <w:tc>
          <w:tcPr>
            <w:tcW w:w="1701" w:type="dxa"/>
            <w:vAlign w:val="center"/>
          </w:tcPr>
          <w:p w14:paraId="52E4A325" w14:textId="77777777" w:rsidR="00454A29" w:rsidRDefault="00454A29">
            <w:pPr>
              <w:pStyle w:val="ConsPlusNormal"/>
              <w:jc w:val="center"/>
            </w:pPr>
            <w:r>
              <w:t>17 928,76</w:t>
            </w:r>
          </w:p>
        </w:tc>
        <w:tc>
          <w:tcPr>
            <w:tcW w:w="1814" w:type="dxa"/>
            <w:vAlign w:val="center"/>
          </w:tcPr>
          <w:p w14:paraId="28539B29" w14:textId="77777777" w:rsidR="00454A29" w:rsidRDefault="00454A29">
            <w:pPr>
              <w:pStyle w:val="ConsPlusNormal"/>
            </w:pPr>
          </w:p>
        </w:tc>
      </w:tr>
      <w:tr w:rsidR="00454A29" w14:paraId="26F61F1F" w14:textId="77777777">
        <w:tc>
          <w:tcPr>
            <w:tcW w:w="567" w:type="dxa"/>
            <w:vMerge w:val="restart"/>
            <w:vAlign w:val="center"/>
          </w:tcPr>
          <w:p w14:paraId="4573350C" w14:textId="77777777" w:rsidR="00454A29" w:rsidRDefault="00454A29">
            <w:pPr>
              <w:pStyle w:val="ConsPlusNormal"/>
              <w:jc w:val="center"/>
            </w:pPr>
            <w:r>
              <w:t>64</w:t>
            </w:r>
          </w:p>
        </w:tc>
        <w:tc>
          <w:tcPr>
            <w:tcW w:w="3345" w:type="dxa"/>
            <w:vMerge w:val="restart"/>
            <w:vAlign w:val="center"/>
          </w:tcPr>
          <w:p w14:paraId="6FC6D5F6" w14:textId="77777777" w:rsidR="00454A29" w:rsidRDefault="00454A29">
            <w:pPr>
              <w:pStyle w:val="ConsPlusNormal"/>
              <w:jc w:val="center"/>
            </w:pPr>
            <w:r>
              <w:t>Детский сад на 240 мест в п. Нижний Бестях Мегино-Кангаласского улуса</w:t>
            </w:r>
          </w:p>
        </w:tc>
        <w:tc>
          <w:tcPr>
            <w:tcW w:w="1701" w:type="dxa"/>
            <w:vAlign w:val="center"/>
          </w:tcPr>
          <w:p w14:paraId="3A0B3EF2" w14:textId="77777777" w:rsidR="00454A29" w:rsidRDefault="00454A29">
            <w:pPr>
              <w:pStyle w:val="ConsPlusNormal"/>
              <w:jc w:val="center"/>
            </w:pPr>
            <w:r>
              <w:t>2016 - 2025 годы - всего</w:t>
            </w:r>
          </w:p>
        </w:tc>
        <w:tc>
          <w:tcPr>
            <w:tcW w:w="1417" w:type="dxa"/>
            <w:vMerge w:val="restart"/>
            <w:vAlign w:val="center"/>
          </w:tcPr>
          <w:p w14:paraId="5C7A9810" w14:textId="77777777" w:rsidR="00454A29" w:rsidRDefault="00454A29">
            <w:pPr>
              <w:pStyle w:val="ConsPlusNormal"/>
              <w:jc w:val="center"/>
            </w:pPr>
            <w:r>
              <w:t>240 157,34</w:t>
            </w:r>
          </w:p>
        </w:tc>
        <w:tc>
          <w:tcPr>
            <w:tcW w:w="2204" w:type="dxa"/>
            <w:vMerge w:val="restart"/>
            <w:vAlign w:val="center"/>
          </w:tcPr>
          <w:p w14:paraId="662888F5" w14:textId="77777777" w:rsidR="00454A29" w:rsidRDefault="00454A29">
            <w:pPr>
              <w:pStyle w:val="ConsPlusNormal"/>
              <w:jc w:val="center"/>
            </w:pPr>
            <w:r>
              <w:t>имеется</w:t>
            </w:r>
          </w:p>
        </w:tc>
        <w:tc>
          <w:tcPr>
            <w:tcW w:w="1417" w:type="dxa"/>
            <w:vMerge w:val="restart"/>
            <w:vAlign w:val="center"/>
          </w:tcPr>
          <w:p w14:paraId="3C1B1577" w14:textId="77777777" w:rsidR="00454A29" w:rsidRDefault="00454A29">
            <w:pPr>
              <w:pStyle w:val="ConsPlusNormal"/>
              <w:jc w:val="center"/>
            </w:pPr>
            <w:r>
              <w:t>240</w:t>
            </w:r>
          </w:p>
        </w:tc>
        <w:tc>
          <w:tcPr>
            <w:tcW w:w="2324" w:type="dxa"/>
            <w:vMerge w:val="restart"/>
            <w:vAlign w:val="center"/>
          </w:tcPr>
          <w:p w14:paraId="761356BC" w14:textId="77777777" w:rsidR="00454A29" w:rsidRDefault="00454A29">
            <w:pPr>
              <w:pStyle w:val="ConsPlusNormal"/>
              <w:jc w:val="center"/>
            </w:pPr>
            <w:r>
              <w:t>Минэкономики РС(Я)</w:t>
            </w:r>
          </w:p>
        </w:tc>
        <w:tc>
          <w:tcPr>
            <w:tcW w:w="1701" w:type="dxa"/>
            <w:vAlign w:val="center"/>
          </w:tcPr>
          <w:p w14:paraId="5EF368B3" w14:textId="77777777" w:rsidR="00454A29" w:rsidRDefault="00454A29">
            <w:pPr>
              <w:pStyle w:val="ConsPlusNormal"/>
              <w:jc w:val="center"/>
            </w:pPr>
            <w:r>
              <w:t>821 658,60</w:t>
            </w:r>
          </w:p>
        </w:tc>
        <w:tc>
          <w:tcPr>
            <w:tcW w:w="1814" w:type="dxa"/>
            <w:vAlign w:val="center"/>
          </w:tcPr>
          <w:p w14:paraId="3B04855A" w14:textId="77777777" w:rsidR="00454A29" w:rsidRDefault="00454A29">
            <w:pPr>
              <w:pStyle w:val="ConsPlusNormal"/>
              <w:jc w:val="center"/>
            </w:pPr>
            <w:r>
              <w:t>454 312,37</w:t>
            </w:r>
          </w:p>
        </w:tc>
        <w:tc>
          <w:tcPr>
            <w:tcW w:w="1701" w:type="dxa"/>
            <w:vAlign w:val="center"/>
          </w:tcPr>
          <w:p w14:paraId="377C9DDF" w14:textId="77777777" w:rsidR="00454A29" w:rsidRDefault="00454A29">
            <w:pPr>
              <w:pStyle w:val="ConsPlusNormal"/>
              <w:jc w:val="center"/>
            </w:pPr>
            <w:r>
              <w:t>-</w:t>
            </w:r>
          </w:p>
        </w:tc>
        <w:tc>
          <w:tcPr>
            <w:tcW w:w="1701" w:type="dxa"/>
            <w:vAlign w:val="center"/>
          </w:tcPr>
          <w:p w14:paraId="42C13520" w14:textId="77777777" w:rsidR="00454A29" w:rsidRDefault="00454A29">
            <w:pPr>
              <w:pStyle w:val="ConsPlusNormal"/>
              <w:jc w:val="center"/>
            </w:pPr>
            <w:r>
              <w:t>123 346,23</w:t>
            </w:r>
          </w:p>
        </w:tc>
        <w:tc>
          <w:tcPr>
            <w:tcW w:w="1814" w:type="dxa"/>
            <w:vAlign w:val="center"/>
          </w:tcPr>
          <w:p w14:paraId="091FE08C" w14:textId="77777777" w:rsidR="00454A29" w:rsidRDefault="00454A29">
            <w:pPr>
              <w:pStyle w:val="ConsPlusNormal"/>
              <w:jc w:val="center"/>
            </w:pPr>
            <w:r>
              <w:t>244 000,00</w:t>
            </w:r>
          </w:p>
        </w:tc>
      </w:tr>
      <w:tr w:rsidR="00454A29" w14:paraId="01D62E32" w14:textId="77777777">
        <w:tc>
          <w:tcPr>
            <w:tcW w:w="567" w:type="dxa"/>
            <w:vMerge/>
          </w:tcPr>
          <w:p w14:paraId="4B14ADF2" w14:textId="77777777" w:rsidR="00454A29" w:rsidRDefault="00454A29"/>
        </w:tc>
        <w:tc>
          <w:tcPr>
            <w:tcW w:w="3345" w:type="dxa"/>
            <w:vMerge/>
          </w:tcPr>
          <w:p w14:paraId="7361F3E7" w14:textId="77777777" w:rsidR="00454A29" w:rsidRDefault="00454A29"/>
        </w:tc>
        <w:tc>
          <w:tcPr>
            <w:tcW w:w="1701" w:type="dxa"/>
            <w:vAlign w:val="center"/>
          </w:tcPr>
          <w:p w14:paraId="0FD6E0B4" w14:textId="77777777" w:rsidR="00454A29" w:rsidRDefault="00454A29">
            <w:pPr>
              <w:pStyle w:val="ConsPlusNormal"/>
              <w:jc w:val="center"/>
            </w:pPr>
            <w:r>
              <w:t>2016</w:t>
            </w:r>
          </w:p>
        </w:tc>
        <w:tc>
          <w:tcPr>
            <w:tcW w:w="1417" w:type="dxa"/>
            <w:vMerge/>
          </w:tcPr>
          <w:p w14:paraId="41770F90" w14:textId="77777777" w:rsidR="00454A29" w:rsidRDefault="00454A29"/>
        </w:tc>
        <w:tc>
          <w:tcPr>
            <w:tcW w:w="2204" w:type="dxa"/>
            <w:vMerge/>
          </w:tcPr>
          <w:p w14:paraId="0F9CEDAB" w14:textId="77777777" w:rsidR="00454A29" w:rsidRDefault="00454A29"/>
        </w:tc>
        <w:tc>
          <w:tcPr>
            <w:tcW w:w="1417" w:type="dxa"/>
            <w:vMerge/>
          </w:tcPr>
          <w:p w14:paraId="1256713F" w14:textId="77777777" w:rsidR="00454A29" w:rsidRDefault="00454A29"/>
        </w:tc>
        <w:tc>
          <w:tcPr>
            <w:tcW w:w="2324" w:type="dxa"/>
            <w:vMerge/>
          </w:tcPr>
          <w:p w14:paraId="1943333D" w14:textId="77777777" w:rsidR="00454A29" w:rsidRDefault="00454A29"/>
        </w:tc>
        <w:tc>
          <w:tcPr>
            <w:tcW w:w="1701" w:type="dxa"/>
            <w:vAlign w:val="center"/>
          </w:tcPr>
          <w:p w14:paraId="42116B39" w14:textId="77777777" w:rsidR="00454A29" w:rsidRDefault="00454A29">
            <w:pPr>
              <w:pStyle w:val="ConsPlusNormal"/>
              <w:jc w:val="center"/>
            </w:pPr>
            <w:r>
              <w:t>153 364,49</w:t>
            </w:r>
          </w:p>
        </w:tc>
        <w:tc>
          <w:tcPr>
            <w:tcW w:w="1814" w:type="dxa"/>
            <w:vAlign w:val="center"/>
          </w:tcPr>
          <w:p w14:paraId="314B4F29" w14:textId="77777777" w:rsidR="00454A29" w:rsidRDefault="00454A29">
            <w:pPr>
              <w:pStyle w:val="ConsPlusNormal"/>
              <w:jc w:val="center"/>
            </w:pPr>
            <w:r>
              <w:t>6 772,50</w:t>
            </w:r>
          </w:p>
        </w:tc>
        <w:tc>
          <w:tcPr>
            <w:tcW w:w="1701" w:type="dxa"/>
            <w:vAlign w:val="center"/>
          </w:tcPr>
          <w:p w14:paraId="3128AF7D" w14:textId="77777777" w:rsidR="00454A29" w:rsidRDefault="00454A29">
            <w:pPr>
              <w:pStyle w:val="ConsPlusNormal"/>
            </w:pPr>
          </w:p>
        </w:tc>
        <w:tc>
          <w:tcPr>
            <w:tcW w:w="1701" w:type="dxa"/>
            <w:vAlign w:val="center"/>
          </w:tcPr>
          <w:p w14:paraId="00E10EDA" w14:textId="77777777" w:rsidR="00454A29" w:rsidRDefault="00454A29">
            <w:pPr>
              <w:pStyle w:val="ConsPlusNormal"/>
              <w:jc w:val="center"/>
            </w:pPr>
            <w:r>
              <w:t>-</w:t>
            </w:r>
          </w:p>
        </w:tc>
        <w:tc>
          <w:tcPr>
            <w:tcW w:w="1814" w:type="dxa"/>
            <w:vAlign w:val="center"/>
          </w:tcPr>
          <w:p w14:paraId="55037CC3" w14:textId="77777777" w:rsidR="00454A29" w:rsidRDefault="00454A29">
            <w:pPr>
              <w:pStyle w:val="ConsPlusNormal"/>
              <w:jc w:val="center"/>
            </w:pPr>
            <w:r>
              <w:t>146 591,99</w:t>
            </w:r>
          </w:p>
        </w:tc>
      </w:tr>
      <w:tr w:rsidR="00454A29" w14:paraId="178FD3EB" w14:textId="77777777">
        <w:tc>
          <w:tcPr>
            <w:tcW w:w="567" w:type="dxa"/>
            <w:vMerge/>
          </w:tcPr>
          <w:p w14:paraId="10B6DB94" w14:textId="77777777" w:rsidR="00454A29" w:rsidRDefault="00454A29"/>
        </w:tc>
        <w:tc>
          <w:tcPr>
            <w:tcW w:w="3345" w:type="dxa"/>
            <w:vMerge/>
          </w:tcPr>
          <w:p w14:paraId="52128513" w14:textId="77777777" w:rsidR="00454A29" w:rsidRDefault="00454A29"/>
        </w:tc>
        <w:tc>
          <w:tcPr>
            <w:tcW w:w="1701" w:type="dxa"/>
            <w:vAlign w:val="center"/>
          </w:tcPr>
          <w:p w14:paraId="2B87FF3F" w14:textId="77777777" w:rsidR="00454A29" w:rsidRDefault="00454A29">
            <w:pPr>
              <w:pStyle w:val="ConsPlusNormal"/>
              <w:jc w:val="center"/>
            </w:pPr>
            <w:r>
              <w:t>2017</w:t>
            </w:r>
          </w:p>
        </w:tc>
        <w:tc>
          <w:tcPr>
            <w:tcW w:w="1417" w:type="dxa"/>
            <w:vMerge/>
          </w:tcPr>
          <w:p w14:paraId="1B57E975" w14:textId="77777777" w:rsidR="00454A29" w:rsidRDefault="00454A29"/>
        </w:tc>
        <w:tc>
          <w:tcPr>
            <w:tcW w:w="2204" w:type="dxa"/>
            <w:vMerge/>
          </w:tcPr>
          <w:p w14:paraId="16A3F19E" w14:textId="77777777" w:rsidR="00454A29" w:rsidRDefault="00454A29"/>
        </w:tc>
        <w:tc>
          <w:tcPr>
            <w:tcW w:w="1417" w:type="dxa"/>
            <w:vMerge/>
          </w:tcPr>
          <w:p w14:paraId="2A78F226" w14:textId="77777777" w:rsidR="00454A29" w:rsidRDefault="00454A29"/>
        </w:tc>
        <w:tc>
          <w:tcPr>
            <w:tcW w:w="2324" w:type="dxa"/>
            <w:vMerge/>
          </w:tcPr>
          <w:p w14:paraId="7CEE54AC" w14:textId="77777777" w:rsidR="00454A29" w:rsidRDefault="00454A29"/>
        </w:tc>
        <w:tc>
          <w:tcPr>
            <w:tcW w:w="1701" w:type="dxa"/>
            <w:vAlign w:val="center"/>
          </w:tcPr>
          <w:p w14:paraId="5E334584" w14:textId="77777777" w:rsidR="00454A29" w:rsidRDefault="00454A29">
            <w:pPr>
              <w:pStyle w:val="ConsPlusNormal"/>
              <w:jc w:val="center"/>
            </w:pPr>
            <w:r>
              <w:t>134 554,27</w:t>
            </w:r>
          </w:p>
        </w:tc>
        <w:tc>
          <w:tcPr>
            <w:tcW w:w="1814" w:type="dxa"/>
            <w:vAlign w:val="center"/>
          </w:tcPr>
          <w:p w14:paraId="6FFEBCAE" w14:textId="77777777" w:rsidR="00454A29" w:rsidRDefault="00454A29">
            <w:pPr>
              <w:pStyle w:val="ConsPlusNormal"/>
              <w:jc w:val="center"/>
            </w:pPr>
            <w:r>
              <w:t>37 146,26</w:t>
            </w:r>
          </w:p>
        </w:tc>
        <w:tc>
          <w:tcPr>
            <w:tcW w:w="1701" w:type="dxa"/>
            <w:vAlign w:val="center"/>
          </w:tcPr>
          <w:p w14:paraId="1A995659" w14:textId="77777777" w:rsidR="00454A29" w:rsidRDefault="00454A29">
            <w:pPr>
              <w:pStyle w:val="ConsPlusNormal"/>
            </w:pPr>
          </w:p>
        </w:tc>
        <w:tc>
          <w:tcPr>
            <w:tcW w:w="1701" w:type="dxa"/>
            <w:vAlign w:val="center"/>
          </w:tcPr>
          <w:p w14:paraId="079266FB" w14:textId="77777777" w:rsidR="00454A29" w:rsidRDefault="00454A29">
            <w:pPr>
              <w:pStyle w:val="ConsPlusNormal"/>
              <w:jc w:val="center"/>
            </w:pPr>
            <w:r>
              <w:t>-</w:t>
            </w:r>
          </w:p>
        </w:tc>
        <w:tc>
          <w:tcPr>
            <w:tcW w:w="1814" w:type="dxa"/>
            <w:vAlign w:val="center"/>
          </w:tcPr>
          <w:p w14:paraId="16856C13" w14:textId="77777777" w:rsidR="00454A29" w:rsidRDefault="00454A29">
            <w:pPr>
              <w:pStyle w:val="ConsPlusNormal"/>
              <w:jc w:val="center"/>
            </w:pPr>
            <w:r>
              <w:t>97 408,01</w:t>
            </w:r>
          </w:p>
        </w:tc>
      </w:tr>
      <w:tr w:rsidR="00454A29" w14:paraId="66AE3AF4" w14:textId="77777777">
        <w:tc>
          <w:tcPr>
            <w:tcW w:w="567" w:type="dxa"/>
            <w:vMerge/>
          </w:tcPr>
          <w:p w14:paraId="03C1AEFF" w14:textId="77777777" w:rsidR="00454A29" w:rsidRDefault="00454A29"/>
        </w:tc>
        <w:tc>
          <w:tcPr>
            <w:tcW w:w="3345" w:type="dxa"/>
            <w:vMerge/>
          </w:tcPr>
          <w:p w14:paraId="38633132" w14:textId="77777777" w:rsidR="00454A29" w:rsidRDefault="00454A29"/>
        </w:tc>
        <w:tc>
          <w:tcPr>
            <w:tcW w:w="1701" w:type="dxa"/>
            <w:vAlign w:val="center"/>
          </w:tcPr>
          <w:p w14:paraId="50632CB8" w14:textId="77777777" w:rsidR="00454A29" w:rsidRDefault="00454A29">
            <w:pPr>
              <w:pStyle w:val="ConsPlusNormal"/>
              <w:jc w:val="center"/>
            </w:pPr>
            <w:r>
              <w:t>2018</w:t>
            </w:r>
          </w:p>
        </w:tc>
        <w:tc>
          <w:tcPr>
            <w:tcW w:w="1417" w:type="dxa"/>
            <w:vMerge/>
          </w:tcPr>
          <w:p w14:paraId="07B77BB8" w14:textId="77777777" w:rsidR="00454A29" w:rsidRDefault="00454A29"/>
        </w:tc>
        <w:tc>
          <w:tcPr>
            <w:tcW w:w="2204" w:type="dxa"/>
            <w:vMerge/>
          </w:tcPr>
          <w:p w14:paraId="2511F266" w14:textId="77777777" w:rsidR="00454A29" w:rsidRDefault="00454A29"/>
        </w:tc>
        <w:tc>
          <w:tcPr>
            <w:tcW w:w="1417" w:type="dxa"/>
            <w:vMerge/>
          </w:tcPr>
          <w:p w14:paraId="3C8D0181" w14:textId="77777777" w:rsidR="00454A29" w:rsidRDefault="00454A29"/>
        </w:tc>
        <w:tc>
          <w:tcPr>
            <w:tcW w:w="2324" w:type="dxa"/>
            <w:vMerge/>
          </w:tcPr>
          <w:p w14:paraId="087F9286" w14:textId="77777777" w:rsidR="00454A29" w:rsidRDefault="00454A29"/>
        </w:tc>
        <w:tc>
          <w:tcPr>
            <w:tcW w:w="1701" w:type="dxa"/>
            <w:vAlign w:val="center"/>
          </w:tcPr>
          <w:p w14:paraId="2124DE4C" w14:textId="77777777" w:rsidR="00454A29" w:rsidRDefault="00454A29">
            <w:pPr>
              <w:pStyle w:val="ConsPlusNormal"/>
              <w:jc w:val="center"/>
            </w:pPr>
            <w:r>
              <w:t>63 205,32</w:t>
            </w:r>
          </w:p>
        </w:tc>
        <w:tc>
          <w:tcPr>
            <w:tcW w:w="1814" w:type="dxa"/>
            <w:vAlign w:val="center"/>
          </w:tcPr>
          <w:p w14:paraId="1E70C541" w14:textId="77777777" w:rsidR="00454A29" w:rsidRDefault="00454A29">
            <w:pPr>
              <w:pStyle w:val="ConsPlusNormal"/>
              <w:jc w:val="center"/>
            </w:pPr>
            <w:r>
              <w:t>47 491,01</w:t>
            </w:r>
          </w:p>
        </w:tc>
        <w:tc>
          <w:tcPr>
            <w:tcW w:w="1701" w:type="dxa"/>
            <w:vAlign w:val="center"/>
          </w:tcPr>
          <w:p w14:paraId="674C1891" w14:textId="77777777" w:rsidR="00454A29" w:rsidRDefault="00454A29">
            <w:pPr>
              <w:pStyle w:val="ConsPlusNormal"/>
            </w:pPr>
          </w:p>
        </w:tc>
        <w:tc>
          <w:tcPr>
            <w:tcW w:w="1701" w:type="dxa"/>
            <w:vAlign w:val="center"/>
          </w:tcPr>
          <w:p w14:paraId="6D57573A" w14:textId="77777777" w:rsidR="00454A29" w:rsidRDefault="00454A29">
            <w:pPr>
              <w:pStyle w:val="ConsPlusNormal"/>
              <w:jc w:val="center"/>
            </w:pPr>
            <w:r>
              <w:t>15 714,31</w:t>
            </w:r>
          </w:p>
        </w:tc>
        <w:tc>
          <w:tcPr>
            <w:tcW w:w="1814" w:type="dxa"/>
            <w:vAlign w:val="center"/>
          </w:tcPr>
          <w:p w14:paraId="4ABA4322" w14:textId="77777777" w:rsidR="00454A29" w:rsidRDefault="00454A29">
            <w:pPr>
              <w:pStyle w:val="ConsPlusNormal"/>
            </w:pPr>
          </w:p>
        </w:tc>
      </w:tr>
      <w:tr w:rsidR="00454A29" w14:paraId="2EB03301" w14:textId="77777777">
        <w:tc>
          <w:tcPr>
            <w:tcW w:w="567" w:type="dxa"/>
            <w:vMerge/>
          </w:tcPr>
          <w:p w14:paraId="4518870B" w14:textId="77777777" w:rsidR="00454A29" w:rsidRDefault="00454A29"/>
        </w:tc>
        <w:tc>
          <w:tcPr>
            <w:tcW w:w="3345" w:type="dxa"/>
            <w:vMerge/>
          </w:tcPr>
          <w:p w14:paraId="59019A1F" w14:textId="77777777" w:rsidR="00454A29" w:rsidRDefault="00454A29"/>
        </w:tc>
        <w:tc>
          <w:tcPr>
            <w:tcW w:w="1701" w:type="dxa"/>
            <w:vAlign w:val="center"/>
          </w:tcPr>
          <w:p w14:paraId="2D826B08" w14:textId="77777777" w:rsidR="00454A29" w:rsidRDefault="00454A29">
            <w:pPr>
              <w:pStyle w:val="ConsPlusNormal"/>
              <w:jc w:val="center"/>
            </w:pPr>
            <w:r>
              <w:t>2019</w:t>
            </w:r>
          </w:p>
        </w:tc>
        <w:tc>
          <w:tcPr>
            <w:tcW w:w="1417" w:type="dxa"/>
            <w:vMerge/>
          </w:tcPr>
          <w:p w14:paraId="7F50EE97" w14:textId="77777777" w:rsidR="00454A29" w:rsidRDefault="00454A29"/>
        </w:tc>
        <w:tc>
          <w:tcPr>
            <w:tcW w:w="2204" w:type="dxa"/>
            <w:vMerge/>
          </w:tcPr>
          <w:p w14:paraId="5EDE0B25" w14:textId="77777777" w:rsidR="00454A29" w:rsidRDefault="00454A29"/>
        </w:tc>
        <w:tc>
          <w:tcPr>
            <w:tcW w:w="1417" w:type="dxa"/>
            <w:vMerge/>
          </w:tcPr>
          <w:p w14:paraId="075E60B0" w14:textId="77777777" w:rsidR="00454A29" w:rsidRDefault="00454A29"/>
        </w:tc>
        <w:tc>
          <w:tcPr>
            <w:tcW w:w="2324" w:type="dxa"/>
            <w:vMerge/>
          </w:tcPr>
          <w:p w14:paraId="4AAFF609" w14:textId="77777777" w:rsidR="00454A29" w:rsidRDefault="00454A29"/>
        </w:tc>
        <w:tc>
          <w:tcPr>
            <w:tcW w:w="1701" w:type="dxa"/>
            <w:vAlign w:val="center"/>
          </w:tcPr>
          <w:p w14:paraId="5B7E96A7" w14:textId="77777777" w:rsidR="00454A29" w:rsidRDefault="00454A29">
            <w:pPr>
              <w:pStyle w:val="ConsPlusNormal"/>
              <w:jc w:val="center"/>
            </w:pPr>
            <w:r>
              <w:t>63 007,16</w:t>
            </w:r>
          </w:p>
        </w:tc>
        <w:tc>
          <w:tcPr>
            <w:tcW w:w="1814" w:type="dxa"/>
            <w:vAlign w:val="center"/>
          </w:tcPr>
          <w:p w14:paraId="22666747" w14:textId="77777777" w:rsidR="00454A29" w:rsidRDefault="00454A29">
            <w:pPr>
              <w:pStyle w:val="ConsPlusNormal"/>
              <w:jc w:val="center"/>
            </w:pPr>
            <w:r>
              <w:t>46 585,71</w:t>
            </w:r>
          </w:p>
        </w:tc>
        <w:tc>
          <w:tcPr>
            <w:tcW w:w="1701" w:type="dxa"/>
            <w:vAlign w:val="center"/>
          </w:tcPr>
          <w:p w14:paraId="4D94C3C4" w14:textId="77777777" w:rsidR="00454A29" w:rsidRDefault="00454A29">
            <w:pPr>
              <w:pStyle w:val="ConsPlusNormal"/>
            </w:pPr>
          </w:p>
        </w:tc>
        <w:tc>
          <w:tcPr>
            <w:tcW w:w="1701" w:type="dxa"/>
            <w:vAlign w:val="center"/>
          </w:tcPr>
          <w:p w14:paraId="5F272026" w14:textId="77777777" w:rsidR="00454A29" w:rsidRDefault="00454A29">
            <w:pPr>
              <w:pStyle w:val="ConsPlusNormal"/>
              <w:jc w:val="center"/>
            </w:pPr>
            <w:r>
              <w:t>16 421,45</w:t>
            </w:r>
          </w:p>
        </w:tc>
        <w:tc>
          <w:tcPr>
            <w:tcW w:w="1814" w:type="dxa"/>
            <w:vAlign w:val="center"/>
          </w:tcPr>
          <w:p w14:paraId="7B094BDC" w14:textId="77777777" w:rsidR="00454A29" w:rsidRDefault="00454A29">
            <w:pPr>
              <w:pStyle w:val="ConsPlusNormal"/>
            </w:pPr>
          </w:p>
        </w:tc>
      </w:tr>
      <w:tr w:rsidR="00454A29" w14:paraId="47614DE7" w14:textId="77777777">
        <w:tc>
          <w:tcPr>
            <w:tcW w:w="567" w:type="dxa"/>
            <w:vMerge/>
          </w:tcPr>
          <w:p w14:paraId="38A17F69" w14:textId="77777777" w:rsidR="00454A29" w:rsidRDefault="00454A29"/>
        </w:tc>
        <w:tc>
          <w:tcPr>
            <w:tcW w:w="3345" w:type="dxa"/>
            <w:vMerge/>
          </w:tcPr>
          <w:p w14:paraId="26A1B504" w14:textId="77777777" w:rsidR="00454A29" w:rsidRDefault="00454A29"/>
        </w:tc>
        <w:tc>
          <w:tcPr>
            <w:tcW w:w="1701" w:type="dxa"/>
            <w:vAlign w:val="center"/>
          </w:tcPr>
          <w:p w14:paraId="24AA1413" w14:textId="77777777" w:rsidR="00454A29" w:rsidRDefault="00454A29">
            <w:pPr>
              <w:pStyle w:val="ConsPlusNormal"/>
              <w:jc w:val="center"/>
            </w:pPr>
            <w:r>
              <w:t>2020</w:t>
            </w:r>
          </w:p>
        </w:tc>
        <w:tc>
          <w:tcPr>
            <w:tcW w:w="1417" w:type="dxa"/>
            <w:vMerge/>
          </w:tcPr>
          <w:p w14:paraId="2BD0EA88" w14:textId="77777777" w:rsidR="00454A29" w:rsidRDefault="00454A29"/>
        </w:tc>
        <w:tc>
          <w:tcPr>
            <w:tcW w:w="2204" w:type="dxa"/>
            <w:vMerge/>
          </w:tcPr>
          <w:p w14:paraId="08C21DC7" w14:textId="77777777" w:rsidR="00454A29" w:rsidRDefault="00454A29"/>
        </w:tc>
        <w:tc>
          <w:tcPr>
            <w:tcW w:w="1417" w:type="dxa"/>
            <w:vMerge/>
          </w:tcPr>
          <w:p w14:paraId="19FD21E1" w14:textId="77777777" w:rsidR="00454A29" w:rsidRDefault="00454A29"/>
        </w:tc>
        <w:tc>
          <w:tcPr>
            <w:tcW w:w="2324" w:type="dxa"/>
            <w:vMerge/>
          </w:tcPr>
          <w:p w14:paraId="1F096C43" w14:textId="77777777" w:rsidR="00454A29" w:rsidRDefault="00454A29"/>
        </w:tc>
        <w:tc>
          <w:tcPr>
            <w:tcW w:w="1701" w:type="dxa"/>
            <w:vAlign w:val="center"/>
          </w:tcPr>
          <w:p w14:paraId="478B10AB" w14:textId="77777777" w:rsidR="00454A29" w:rsidRDefault="00454A29">
            <w:pPr>
              <w:pStyle w:val="ConsPlusNormal"/>
              <w:jc w:val="center"/>
            </w:pPr>
            <w:r>
              <w:t>69 034,68</w:t>
            </w:r>
          </w:p>
        </w:tc>
        <w:tc>
          <w:tcPr>
            <w:tcW w:w="1814" w:type="dxa"/>
            <w:vAlign w:val="center"/>
          </w:tcPr>
          <w:p w14:paraId="3D0B5127" w14:textId="77777777" w:rsidR="00454A29" w:rsidRDefault="00454A29">
            <w:pPr>
              <w:pStyle w:val="ConsPlusNormal"/>
              <w:jc w:val="center"/>
            </w:pPr>
            <w:r>
              <w:t>51 956,37</w:t>
            </w:r>
          </w:p>
        </w:tc>
        <w:tc>
          <w:tcPr>
            <w:tcW w:w="1701" w:type="dxa"/>
            <w:vAlign w:val="center"/>
          </w:tcPr>
          <w:p w14:paraId="7635279F" w14:textId="77777777" w:rsidR="00454A29" w:rsidRDefault="00454A29">
            <w:pPr>
              <w:pStyle w:val="ConsPlusNormal"/>
            </w:pPr>
          </w:p>
        </w:tc>
        <w:tc>
          <w:tcPr>
            <w:tcW w:w="1701" w:type="dxa"/>
            <w:vAlign w:val="center"/>
          </w:tcPr>
          <w:p w14:paraId="703DF286" w14:textId="77777777" w:rsidR="00454A29" w:rsidRDefault="00454A29">
            <w:pPr>
              <w:pStyle w:val="ConsPlusNormal"/>
              <w:jc w:val="center"/>
            </w:pPr>
            <w:r>
              <w:t>17 078,31</w:t>
            </w:r>
          </w:p>
        </w:tc>
        <w:tc>
          <w:tcPr>
            <w:tcW w:w="1814" w:type="dxa"/>
            <w:vAlign w:val="center"/>
          </w:tcPr>
          <w:p w14:paraId="138DF0F3" w14:textId="77777777" w:rsidR="00454A29" w:rsidRDefault="00454A29">
            <w:pPr>
              <w:pStyle w:val="ConsPlusNormal"/>
            </w:pPr>
          </w:p>
        </w:tc>
      </w:tr>
      <w:tr w:rsidR="00454A29" w14:paraId="5BE91437" w14:textId="77777777">
        <w:tc>
          <w:tcPr>
            <w:tcW w:w="567" w:type="dxa"/>
            <w:vMerge/>
          </w:tcPr>
          <w:p w14:paraId="7AF67686" w14:textId="77777777" w:rsidR="00454A29" w:rsidRDefault="00454A29"/>
        </w:tc>
        <w:tc>
          <w:tcPr>
            <w:tcW w:w="3345" w:type="dxa"/>
            <w:vMerge/>
          </w:tcPr>
          <w:p w14:paraId="5C2DEA30" w14:textId="77777777" w:rsidR="00454A29" w:rsidRDefault="00454A29"/>
        </w:tc>
        <w:tc>
          <w:tcPr>
            <w:tcW w:w="1701" w:type="dxa"/>
            <w:vAlign w:val="center"/>
          </w:tcPr>
          <w:p w14:paraId="687E28D9" w14:textId="77777777" w:rsidR="00454A29" w:rsidRDefault="00454A29">
            <w:pPr>
              <w:pStyle w:val="ConsPlusNormal"/>
              <w:jc w:val="center"/>
            </w:pPr>
            <w:r>
              <w:t>2021</w:t>
            </w:r>
          </w:p>
        </w:tc>
        <w:tc>
          <w:tcPr>
            <w:tcW w:w="1417" w:type="dxa"/>
            <w:vMerge/>
          </w:tcPr>
          <w:p w14:paraId="4AF1FEDF" w14:textId="77777777" w:rsidR="00454A29" w:rsidRDefault="00454A29"/>
        </w:tc>
        <w:tc>
          <w:tcPr>
            <w:tcW w:w="2204" w:type="dxa"/>
            <w:vMerge/>
          </w:tcPr>
          <w:p w14:paraId="40CB9C62" w14:textId="77777777" w:rsidR="00454A29" w:rsidRDefault="00454A29"/>
        </w:tc>
        <w:tc>
          <w:tcPr>
            <w:tcW w:w="1417" w:type="dxa"/>
            <w:vMerge/>
          </w:tcPr>
          <w:p w14:paraId="5E3B409A" w14:textId="77777777" w:rsidR="00454A29" w:rsidRDefault="00454A29"/>
        </w:tc>
        <w:tc>
          <w:tcPr>
            <w:tcW w:w="2324" w:type="dxa"/>
            <w:vMerge/>
          </w:tcPr>
          <w:p w14:paraId="222A4E75" w14:textId="77777777" w:rsidR="00454A29" w:rsidRDefault="00454A29"/>
        </w:tc>
        <w:tc>
          <w:tcPr>
            <w:tcW w:w="1701" w:type="dxa"/>
            <w:vAlign w:val="center"/>
          </w:tcPr>
          <w:p w14:paraId="4C10914E" w14:textId="77777777" w:rsidR="00454A29" w:rsidRDefault="00454A29">
            <w:pPr>
              <w:pStyle w:val="ConsPlusNormal"/>
              <w:jc w:val="center"/>
            </w:pPr>
            <w:r>
              <w:t>67 776,87</w:t>
            </w:r>
          </w:p>
        </w:tc>
        <w:tc>
          <w:tcPr>
            <w:tcW w:w="1814" w:type="dxa"/>
            <w:vAlign w:val="center"/>
          </w:tcPr>
          <w:p w14:paraId="32A33D05" w14:textId="77777777" w:rsidR="00454A29" w:rsidRDefault="00454A29">
            <w:pPr>
              <w:pStyle w:val="ConsPlusNormal"/>
              <w:jc w:val="center"/>
            </w:pPr>
            <w:r>
              <w:t>50 100,82</w:t>
            </w:r>
          </w:p>
        </w:tc>
        <w:tc>
          <w:tcPr>
            <w:tcW w:w="1701" w:type="dxa"/>
            <w:vAlign w:val="center"/>
          </w:tcPr>
          <w:p w14:paraId="3B68C0EF" w14:textId="77777777" w:rsidR="00454A29" w:rsidRDefault="00454A29">
            <w:pPr>
              <w:pStyle w:val="ConsPlusNormal"/>
            </w:pPr>
          </w:p>
        </w:tc>
        <w:tc>
          <w:tcPr>
            <w:tcW w:w="1701" w:type="dxa"/>
            <w:vAlign w:val="center"/>
          </w:tcPr>
          <w:p w14:paraId="3CBE5BAE" w14:textId="77777777" w:rsidR="00454A29" w:rsidRDefault="00454A29">
            <w:pPr>
              <w:pStyle w:val="ConsPlusNormal"/>
              <w:jc w:val="center"/>
            </w:pPr>
            <w:r>
              <w:t>17 676,05</w:t>
            </w:r>
          </w:p>
        </w:tc>
        <w:tc>
          <w:tcPr>
            <w:tcW w:w="1814" w:type="dxa"/>
            <w:vAlign w:val="center"/>
          </w:tcPr>
          <w:p w14:paraId="6DCFE74B" w14:textId="77777777" w:rsidR="00454A29" w:rsidRDefault="00454A29">
            <w:pPr>
              <w:pStyle w:val="ConsPlusNormal"/>
            </w:pPr>
          </w:p>
        </w:tc>
      </w:tr>
      <w:tr w:rsidR="00454A29" w14:paraId="0CF85D18" w14:textId="77777777">
        <w:tc>
          <w:tcPr>
            <w:tcW w:w="567" w:type="dxa"/>
            <w:vMerge/>
          </w:tcPr>
          <w:p w14:paraId="17B97872" w14:textId="77777777" w:rsidR="00454A29" w:rsidRDefault="00454A29"/>
        </w:tc>
        <w:tc>
          <w:tcPr>
            <w:tcW w:w="3345" w:type="dxa"/>
            <w:vMerge/>
          </w:tcPr>
          <w:p w14:paraId="414E678F" w14:textId="77777777" w:rsidR="00454A29" w:rsidRDefault="00454A29"/>
        </w:tc>
        <w:tc>
          <w:tcPr>
            <w:tcW w:w="1701" w:type="dxa"/>
            <w:vAlign w:val="center"/>
          </w:tcPr>
          <w:p w14:paraId="77E7B0FD" w14:textId="77777777" w:rsidR="00454A29" w:rsidRDefault="00454A29">
            <w:pPr>
              <w:pStyle w:val="ConsPlusNormal"/>
              <w:jc w:val="center"/>
            </w:pPr>
            <w:r>
              <w:t>2022</w:t>
            </w:r>
          </w:p>
        </w:tc>
        <w:tc>
          <w:tcPr>
            <w:tcW w:w="1417" w:type="dxa"/>
            <w:vMerge/>
          </w:tcPr>
          <w:p w14:paraId="0E7DC429" w14:textId="77777777" w:rsidR="00454A29" w:rsidRDefault="00454A29"/>
        </w:tc>
        <w:tc>
          <w:tcPr>
            <w:tcW w:w="2204" w:type="dxa"/>
            <w:vMerge/>
          </w:tcPr>
          <w:p w14:paraId="09DB2241" w14:textId="77777777" w:rsidR="00454A29" w:rsidRDefault="00454A29"/>
        </w:tc>
        <w:tc>
          <w:tcPr>
            <w:tcW w:w="1417" w:type="dxa"/>
            <w:vMerge/>
          </w:tcPr>
          <w:p w14:paraId="36BDC46C" w14:textId="77777777" w:rsidR="00454A29" w:rsidRDefault="00454A29"/>
        </w:tc>
        <w:tc>
          <w:tcPr>
            <w:tcW w:w="2324" w:type="dxa"/>
            <w:vMerge/>
          </w:tcPr>
          <w:p w14:paraId="29252E8A" w14:textId="77777777" w:rsidR="00454A29" w:rsidRDefault="00454A29"/>
        </w:tc>
        <w:tc>
          <w:tcPr>
            <w:tcW w:w="1701" w:type="dxa"/>
            <w:vAlign w:val="center"/>
          </w:tcPr>
          <w:p w14:paraId="12772CAB" w14:textId="77777777" w:rsidR="00454A29" w:rsidRDefault="00454A29">
            <w:pPr>
              <w:pStyle w:val="ConsPlusNormal"/>
              <w:jc w:val="center"/>
            </w:pPr>
            <w:r>
              <w:t>71 824,29</w:t>
            </w:r>
          </w:p>
        </w:tc>
        <w:tc>
          <w:tcPr>
            <w:tcW w:w="1814" w:type="dxa"/>
            <w:vAlign w:val="center"/>
          </w:tcPr>
          <w:p w14:paraId="00F94902" w14:textId="77777777" w:rsidR="00454A29" w:rsidRDefault="00454A29">
            <w:pPr>
              <w:pStyle w:val="ConsPlusNormal"/>
              <w:jc w:val="center"/>
            </w:pPr>
            <w:r>
              <w:t>53 564,93</w:t>
            </w:r>
          </w:p>
        </w:tc>
        <w:tc>
          <w:tcPr>
            <w:tcW w:w="1701" w:type="dxa"/>
            <w:vAlign w:val="center"/>
          </w:tcPr>
          <w:p w14:paraId="76727DA2" w14:textId="77777777" w:rsidR="00454A29" w:rsidRDefault="00454A29">
            <w:pPr>
              <w:pStyle w:val="ConsPlusNormal"/>
            </w:pPr>
          </w:p>
        </w:tc>
        <w:tc>
          <w:tcPr>
            <w:tcW w:w="1701" w:type="dxa"/>
            <w:vAlign w:val="center"/>
          </w:tcPr>
          <w:p w14:paraId="214A9AA1" w14:textId="77777777" w:rsidR="00454A29" w:rsidRDefault="00454A29">
            <w:pPr>
              <w:pStyle w:val="ConsPlusNormal"/>
              <w:jc w:val="center"/>
            </w:pPr>
            <w:r>
              <w:t>18 259,36</w:t>
            </w:r>
          </w:p>
        </w:tc>
        <w:tc>
          <w:tcPr>
            <w:tcW w:w="1814" w:type="dxa"/>
            <w:vAlign w:val="center"/>
          </w:tcPr>
          <w:p w14:paraId="461ACB5C" w14:textId="77777777" w:rsidR="00454A29" w:rsidRDefault="00454A29">
            <w:pPr>
              <w:pStyle w:val="ConsPlusNormal"/>
            </w:pPr>
          </w:p>
        </w:tc>
      </w:tr>
      <w:tr w:rsidR="00454A29" w14:paraId="4BC617F6" w14:textId="77777777">
        <w:tc>
          <w:tcPr>
            <w:tcW w:w="567" w:type="dxa"/>
            <w:vMerge/>
          </w:tcPr>
          <w:p w14:paraId="2F181EF0" w14:textId="77777777" w:rsidR="00454A29" w:rsidRDefault="00454A29"/>
        </w:tc>
        <w:tc>
          <w:tcPr>
            <w:tcW w:w="3345" w:type="dxa"/>
            <w:vMerge/>
          </w:tcPr>
          <w:p w14:paraId="4B67A006" w14:textId="77777777" w:rsidR="00454A29" w:rsidRDefault="00454A29"/>
        </w:tc>
        <w:tc>
          <w:tcPr>
            <w:tcW w:w="1701" w:type="dxa"/>
            <w:vAlign w:val="center"/>
          </w:tcPr>
          <w:p w14:paraId="6172E0EB" w14:textId="77777777" w:rsidR="00454A29" w:rsidRDefault="00454A29">
            <w:pPr>
              <w:pStyle w:val="ConsPlusNormal"/>
              <w:jc w:val="center"/>
            </w:pPr>
            <w:r>
              <w:t>2023</w:t>
            </w:r>
          </w:p>
        </w:tc>
        <w:tc>
          <w:tcPr>
            <w:tcW w:w="1417" w:type="dxa"/>
            <w:vMerge/>
          </w:tcPr>
          <w:p w14:paraId="0F2B6FF1" w14:textId="77777777" w:rsidR="00454A29" w:rsidRDefault="00454A29"/>
        </w:tc>
        <w:tc>
          <w:tcPr>
            <w:tcW w:w="2204" w:type="dxa"/>
            <w:vMerge/>
          </w:tcPr>
          <w:p w14:paraId="1072187E" w14:textId="77777777" w:rsidR="00454A29" w:rsidRDefault="00454A29"/>
        </w:tc>
        <w:tc>
          <w:tcPr>
            <w:tcW w:w="1417" w:type="dxa"/>
            <w:vMerge/>
          </w:tcPr>
          <w:p w14:paraId="04224623" w14:textId="77777777" w:rsidR="00454A29" w:rsidRDefault="00454A29"/>
        </w:tc>
        <w:tc>
          <w:tcPr>
            <w:tcW w:w="2324" w:type="dxa"/>
            <w:vMerge/>
          </w:tcPr>
          <w:p w14:paraId="31E94E35" w14:textId="77777777" w:rsidR="00454A29" w:rsidRDefault="00454A29"/>
        </w:tc>
        <w:tc>
          <w:tcPr>
            <w:tcW w:w="1701" w:type="dxa"/>
            <w:vAlign w:val="center"/>
          </w:tcPr>
          <w:p w14:paraId="5E6A2882" w14:textId="77777777" w:rsidR="00454A29" w:rsidRDefault="00454A29">
            <w:pPr>
              <w:pStyle w:val="ConsPlusNormal"/>
              <w:jc w:val="center"/>
            </w:pPr>
            <w:r>
              <w:t>72 390,33</w:t>
            </w:r>
          </w:p>
        </w:tc>
        <w:tc>
          <w:tcPr>
            <w:tcW w:w="1814" w:type="dxa"/>
            <w:vAlign w:val="center"/>
          </w:tcPr>
          <w:p w14:paraId="29A0FA97" w14:textId="77777777" w:rsidR="00454A29" w:rsidRDefault="00454A29">
            <w:pPr>
              <w:pStyle w:val="ConsPlusNormal"/>
              <w:jc w:val="center"/>
            </w:pPr>
            <w:r>
              <w:t>53 564,93</w:t>
            </w:r>
          </w:p>
        </w:tc>
        <w:tc>
          <w:tcPr>
            <w:tcW w:w="1701" w:type="dxa"/>
            <w:vAlign w:val="center"/>
          </w:tcPr>
          <w:p w14:paraId="1FBA33E5" w14:textId="77777777" w:rsidR="00454A29" w:rsidRDefault="00454A29">
            <w:pPr>
              <w:pStyle w:val="ConsPlusNormal"/>
            </w:pPr>
          </w:p>
        </w:tc>
        <w:tc>
          <w:tcPr>
            <w:tcW w:w="1701" w:type="dxa"/>
            <w:vAlign w:val="center"/>
          </w:tcPr>
          <w:p w14:paraId="4565A525" w14:textId="77777777" w:rsidR="00454A29" w:rsidRDefault="00454A29">
            <w:pPr>
              <w:pStyle w:val="ConsPlusNormal"/>
              <w:jc w:val="center"/>
            </w:pPr>
            <w:r>
              <w:t>18 825,40</w:t>
            </w:r>
          </w:p>
        </w:tc>
        <w:tc>
          <w:tcPr>
            <w:tcW w:w="1814" w:type="dxa"/>
            <w:vAlign w:val="center"/>
          </w:tcPr>
          <w:p w14:paraId="677D44D2" w14:textId="77777777" w:rsidR="00454A29" w:rsidRDefault="00454A29">
            <w:pPr>
              <w:pStyle w:val="ConsPlusNormal"/>
            </w:pPr>
          </w:p>
        </w:tc>
      </w:tr>
      <w:tr w:rsidR="00454A29" w14:paraId="11A32846" w14:textId="77777777">
        <w:tc>
          <w:tcPr>
            <w:tcW w:w="567" w:type="dxa"/>
            <w:vMerge/>
          </w:tcPr>
          <w:p w14:paraId="099212E2" w14:textId="77777777" w:rsidR="00454A29" w:rsidRDefault="00454A29"/>
        </w:tc>
        <w:tc>
          <w:tcPr>
            <w:tcW w:w="3345" w:type="dxa"/>
            <w:vMerge/>
          </w:tcPr>
          <w:p w14:paraId="43EB2BC3" w14:textId="77777777" w:rsidR="00454A29" w:rsidRDefault="00454A29"/>
        </w:tc>
        <w:tc>
          <w:tcPr>
            <w:tcW w:w="1701" w:type="dxa"/>
            <w:vAlign w:val="center"/>
          </w:tcPr>
          <w:p w14:paraId="2FFAB281" w14:textId="77777777" w:rsidR="00454A29" w:rsidRDefault="00454A29">
            <w:pPr>
              <w:pStyle w:val="ConsPlusNormal"/>
              <w:jc w:val="center"/>
            </w:pPr>
            <w:r>
              <w:t>2024</w:t>
            </w:r>
          </w:p>
        </w:tc>
        <w:tc>
          <w:tcPr>
            <w:tcW w:w="1417" w:type="dxa"/>
            <w:vMerge/>
          </w:tcPr>
          <w:p w14:paraId="3F9ED076" w14:textId="77777777" w:rsidR="00454A29" w:rsidRDefault="00454A29"/>
        </w:tc>
        <w:tc>
          <w:tcPr>
            <w:tcW w:w="2204" w:type="dxa"/>
            <w:vMerge/>
          </w:tcPr>
          <w:p w14:paraId="4AB0114A" w14:textId="77777777" w:rsidR="00454A29" w:rsidRDefault="00454A29"/>
        </w:tc>
        <w:tc>
          <w:tcPr>
            <w:tcW w:w="1417" w:type="dxa"/>
            <w:vMerge/>
          </w:tcPr>
          <w:p w14:paraId="5F94163A" w14:textId="77777777" w:rsidR="00454A29" w:rsidRDefault="00454A29"/>
        </w:tc>
        <w:tc>
          <w:tcPr>
            <w:tcW w:w="2324" w:type="dxa"/>
            <w:vMerge/>
          </w:tcPr>
          <w:p w14:paraId="4F25A0D0" w14:textId="77777777" w:rsidR="00454A29" w:rsidRDefault="00454A29"/>
        </w:tc>
        <w:tc>
          <w:tcPr>
            <w:tcW w:w="1701" w:type="dxa"/>
            <w:vAlign w:val="center"/>
          </w:tcPr>
          <w:p w14:paraId="71971B0F" w14:textId="77777777" w:rsidR="00454A29" w:rsidRDefault="00454A29">
            <w:pPr>
              <w:pStyle w:val="ConsPlusNormal"/>
              <w:jc w:val="center"/>
            </w:pPr>
            <w:r>
              <w:t>72 936,27</w:t>
            </w:r>
          </w:p>
        </w:tc>
        <w:tc>
          <w:tcPr>
            <w:tcW w:w="1814" w:type="dxa"/>
            <w:vAlign w:val="center"/>
          </w:tcPr>
          <w:p w14:paraId="4CF603F0" w14:textId="77777777" w:rsidR="00454A29" w:rsidRDefault="00454A29">
            <w:pPr>
              <w:pStyle w:val="ConsPlusNormal"/>
              <w:jc w:val="center"/>
            </w:pPr>
            <w:r>
              <w:t>53 564,93</w:t>
            </w:r>
          </w:p>
        </w:tc>
        <w:tc>
          <w:tcPr>
            <w:tcW w:w="1701" w:type="dxa"/>
            <w:vAlign w:val="center"/>
          </w:tcPr>
          <w:p w14:paraId="1501E0D6" w14:textId="77777777" w:rsidR="00454A29" w:rsidRDefault="00454A29">
            <w:pPr>
              <w:pStyle w:val="ConsPlusNormal"/>
            </w:pPr>
          </w:p>
        </w:tc>
        <w:tc>
          <w:tcPr>
            <w:tcW w:w="1701" w:type="dxa"/>
            <w:vAlign w:val="center"/>
          </w:tcPr>
          <w:p w14:paraId="041B32A2" w14:textId="77777777" w:rsidR="00454A29" w:rsidRDefault="00454A29">
            <w:pPr>
              <w:pStyle w:val="ConsPlusNormal"/>
              <w:jc w:val="center"/>
            </w:pPr>
            <w:r>
              <w:t>19 371,34</w:t>
            </w:r>
          </w:p>
        </w:tc>
        <w:tc>
          <w:tcPr>
            <w:tcW w:w="1814" w:type="dxa"/>
            <w:vAlign w:val="center"/>
          </w:tcPr>
          <w:p w14:paraId="22722FDE" w14:textId="77777777" w:rsidR="00454A29" w:rsidRDefault="00454A29">
            <w:pPr>
              <w:pStyle w:val="ConsPlusNormal"/>
            </w:pPr>
          </w:p>
        </w:tc>
      </w:tr>
      <w:tr w:rsidR="00454A29" w14:paraId="74D88EC7" w14:textId="77777777">
        <w:tc>
          <w:tcPr>
            <w:tcW w:w="567" w:type="dxa"/>
            <w:vMerge/>
          </w:tcPr>
          <w:p w14:paraId="3B4CC9FD" w14:textId="77777777" w:rsidR="00454A29" w:rsidRDefault="00454A29"/>
        </w:tc>
        <w:tc>
          <w:tcPr>
            <w:tcW w:w="3345" w:type="dxa"/>
            <w:vMerge/>
          </w:tcPr>
          <w:p w14:paraId="0BEDD078" w14:textId="77777777" w:rsidR="00454A29" w:rsidRDefault="00454A29"/>
        </w:tc>
        <w:tc>
          <w:tcPr>
            <w:tcW w:w="1701" w:type="dxa"/>
            <w:vAlign w:val="center"/>
          </w:tcPr>
          <w:p w14:paraId="3D63521A" w14:textId="77777777" w:rsidR="00454A29" w:rsidRDefault="00454A29">
            <w:pPr>
              <w:pStyle w:val="ConsPlusNormal"/>
              <w:jc w:val="center"/>
            </w:pPr>
            <w:r>
              <w:t>2025</w:t>
            </w:r>
          </w:p>
        </w:tc>
        <w:tc>
          <w:tcPr>
            <w:tcW w:w="1417" w:type="dxa"/>
            <w:vMerge/>
          </w:tcPr>
          <w:p w14:paraId="2651865D" w14:textId="77777777" w:rsidR="00454A29" w:rsidRDefault="00454A29"/>
        </w:tc>
        <w:tc>
          <w:tcPr>
            <w:tcW w:w="2204" w:type="dxa"/>
            <w:vMerge/>
          </w:tcPr>
          <w:p w14:paraId="209C6C3D" w14:textId="77777777" w:rsidR="00454A29" w:rsidRDefault="00454A29"/>
        </w:tc>
        <w:tc>
          <w:tcPr>
            <w:tcW w:w="1417" w:type="dxa"/>
            <w:vMerge/>
          </w:tcPr>
          <w:p w14:paraId="2BF11A75" w14:textId="77777777" w:rsidR="00454A29" w:rsidRDefault="00454A29"/>
        </w:tc>
        <w:tc>
          <w:tcPr>
            <w:tcW w:w="2324" w:type="dxa"/>
            <w:vMerge/>
          </w:tcPr>
          <w:p w14:paraId="5B90BA1E" w14:textId="77777777" w:rsidR="00454A29" w:rsidRDefault="00454A29"/>
        </w:tc>
        <w:tc>
          <w:tcPr>
            <w:tcW w:w="1701" w:type="dxa"/>
            <w:vAlign w:val="center"/>
          </w:tcPr>
          <w:p w14:paraId="5A40F2E7" w14:textId="77777777" w:rsidR="00454A29" w:rsidRDefault="00454A29">
            <w:pPr>
              <w:pStyle w:val="ConsPlusNormal"/>
              <w:jc w:val="center"/>
            </w:pPr>
            <w:r>
              <w:t>53 564,93</w:t>
            </w:r>
          </w:p>
        </w:tc>
        <w:tc>
          <w:tcPr>
            <w:tcW w:w="1814" w:type="dxa"/>
            <w:vAlign w:val="center"/>
          </w:tcPr>
          <w:p w14:paraId="08B3783D" w14:textId="77777777" w:rsidR="00454A29" w:rsidRDefault="00454A29">
            <w:pPr>
              <w:pStyle w:val="ConsPlusNormal"/>
              <w:jc w:val="center"/>
            </w:pPr>
            <w:r>
              <w:t>53 564,93</w:t>
            </w:r>
          </w:p>
        </w:tc>
        <w:tc>
          <w:tcPr>
            <w:tcW w:w="1701" w:type="dxa"/>
            <w:vAlign w:val="center"/>
          </w:tcPr>
          <w:p w14:paraId="68187A59" w14:textId="77777777" w:rsidR="00454A29" w:rsidRDefault="00454A29">
            <w:pPr>
              <w:pStyle w:val="ConsPlusNormal"/>
            </w:pPr>
          </w:p>
        </w:tc>
        <w:tc>
          <w:tcPr>
            <w:tcW w:w="1701" w:type="dxa"/>
            <w:vAlign w:val="center"/>
          </w:tcPr>
          <w:p w14:paraId="0E1A9F65" w14:textId="77777777" w:rsidR="00454A29" w:rsidRDefault="00454A29">
            <w:pPr>
              <w:pStyle w:val="ConsPlusNormal"/>
            </w:pPr>
          </w:p>
        </w:tc>
        <w:tc>
          <w:tcPr>
            <w:tcW w:w="1814" w:type="dxa"/>
            <w:vAlign w:val="center"/>
          </w:tcPr>
          <w:p w14:paraId="2E61B138" w14:textId="77777777" w:rsidR="00454A29" w:rsidRDefault="00454A29">
            <w:pPr>
              <w:pStyle w:val="ConsPlusNormal"/>
            </w:pPr>
          </w:p>
        </w:tc>
      </w:tr>
      <w:tr w:rsidR="00454A29" w14:paraId="13D9A595" w14:textId="77777777">
        <w:tc>
          <w:tcPr>
            <w:tcW w:w="567" w:type="dxa"/>
            <w:vMerge w:val="restart"/>
            <w:vAlign w:val="center"/>
          </w:tcPr>
          <w:p w14:paraId="32EA558A" w14:textId="77777777" w:rsidR="00454A29" w:rsidRDefault="00454A29">
            <w:pPr>
              <w:pStyle w:val="ConsPlusNormal"/>
              <w:jc w:val="center"/>
            </w:pPr>
            <w:r>
              <w:t>65</w:t>
            </w:r>
          </w:p>
        </w:tc>
        <w:tc>
          <w:tcPr>
            <w:tcW w:w="3345" w:type="dxa"/>
            <w:vMerge w:val="restart"/>
            <w:vAlign w:val="center"/>
          </w:tcPr>
          <w:p w14:paraId="62E062AD" w14:textId="77777777" w:rsidR="00454A29" w:rsidRDefault="00454A29">
            <w:pPr>
              <w:pStyle w:val="ConsPlusNormal"/>
              <w:jc w:val="center"/>
            </w:pPr>
            <w:r>
              <w:t>Детский сад на 75 мест в п. Черский Нижнеколымского улуса</w:t>
            </w:r>
          </w:p>
        </w:tc>
        <w:tc>
          <w:tcPr>
            <w:tcW w:w="1701" w:type="dxa"/>
            <w:vAlign w:val="center"/>
          </w:tcPr>
          <w:p w14:paraId="553674FE" w14:textId="77777777" w:rsidR="00454A29" w:rsidRDefault="00454A29">
            <w:pPr>
              <w:pStyle w:val="ConsPlusNormal"/>
              <w:jc w:val="center"/>
            </w:pPr>
            <w:r>
              <w:t>2016 - 2025 годы - всего</w:t>
            </w:r>
          </w:p>
        </w:tc>
        <w:tc>
          <w:tcPr>
            <w:tcW w:w="1417" w:type="dxa"/>
            <w:vMerge w:val="restart"/>
            <w:vAlign w:val="center"/>
          </w:tcPr>
          <w:p w14:paraId="25330E90" w14:textId="77777777" w:rsidR="00454A29" w:rsidRDefault="00454A29">
            <w:pPr>
              <w:pStyle w:val="ConsPlusNormal"/>
              <w:jc w:val="center"/>
            </w:pPr>
            <w:r>
              <w:t>180 319,89</w:t>
            </w:r>
          </w:p>
        </w:tc>
        <w:tc>
          <w:tcPr>
            <w:tcW w:w="2204" w:type="dxa"/>
            <w:vMerge w:val="restart"/>
            <w:vAlign w:val="center"/>
          </w:tcPr>
          <w:p w14:paraId="32C27F6F" w14:textId="77777777" w:rsidR="00454A29" w:rsidRDefault="00454A29">
            <w:pPr>
              <w:pStyle w:val="ConsPlusNormal"/>
              <w:jc w:val="center"/>
            </w:pPr>
            <w:r>
              <w:t>имеется</w:t>
            </w:r>
          </w:p>
        </w:tc>
        <w:tc>
          <w:tcPr>
            <w:tcW w:w="1417" w:type="dxa"/>
            <w:vMerge w:val="restart"/>
            <w:vAlign w:val="center"/>
          </w:tcPr>
          <w:p w14:paraId="6A9F85FC" w14:textId="77777777" w:rsidR="00454A29" w:rsidRDefault="00454A29">
            <w:pPr>
              <w:pStyle w:val="ConsPlusNormal"/>
              <w:jc w:val="center"/>
            </w:pPr>
            <w:r>
              <w:t>75</w:t>
            </w:r>
          </w:p>
        </w:tc>
        <w:tc>
          <w:tcPr>
            <w:tcW w:w="2324" w:type="dxa"/>
            <w:vMerge w:val="restart"/>
            <w:vAlign w:val="center"/>
          </w:tcPr>
          <w:p w14:paraId="04E40B63" w14:textId="77777777" w:rsidR="00454A29" w:rsidRDefault="00454A29">
            <w:pPr>
              <w:pStyle w:val="ConsPlusNormal"/>
              <w:jc w:val="center"/>
            </w:pPr>
            <w:r>
              <w:t>Минэкономики РС(Я)</w:t>
            </w:r>
          </w:p>
        </w:tc>
        <w:tc>
          <w:tcPr>
            <w:tcW w:w="1701" w:type="dxa"/>
            <w:vAlign w:val="center"/>
          </w:tcPr>
          <w:p w14:paraId="3B958B97" w14:textId="77777777" w:rsidR="00454A29" w:rsidRDefault="00454A29">
            <w:pPr>
              <w:pStyle w:val="ConsPlusNormal"/>
              <w:jc w:val="center"/>
            </w:pPr>
            <w:r>
              <w:t>621 989,97</w:t>
            </w:r>
          </w:p>
        </w:tc>
        <w:tc>
          <w:tcPr>
            <w:tcW w:w="1814" w:type="dxa"/>
            <w:vAlign w:val="center"/>
          </w:tcPr>
          <w:p w14:paraId="7318E34A" w14:textId="77777777" w:rsidR="00454A29" w:rsidRDefault="00454A29">
            <w:pPr>
              <w:pStyle w:val="ConsPlusNormal"/>
              <w:jc w:val="center"/>
            </w:pPr>
            <w:r>
              <w:t>332 404,52</w:t>
            </w:r>
          </w:p>
        </w:tc>
        <w:tc>
          <w:tcPr>
            <w:tcW w:w="1701" w:type="dxa"/>
            <w:vAlign w:val="center"/>
          </w:tcPr>
          <w:p w14:paraId="1CD47A02" w14:textId="77777777" w:rsidR="00454A29" w:rsidRDefault="00454A29">
            <w:pPr>
              <w:pStyle w:val="ConsPlusNormal"/>
              <w:jc w:val="center"/>
            </w:pPr>
            <w:r>
              <w:t>-</w:t>
            </w:r>
          </w:p>
        </w:tc>
        <w:tc>
          <w:tcPr>
            <w:tcW w:w="1701" w:type="dxa"/>
            <w:vAlign w:val="center"/>
          </w:tcPr>
          <w:p w14:paraId="1E595667" w14:textId="77777777" w:rsidR="00454A29" w:rsidRDefault="00454A29">
            <w:pPr>
              <w:pStyle w:val="ConsPlusNormal"/>
              <w:jc w:val="center"/>
            </w:pPr>
            <w:r>
              <w:t>109 265,57</w:t>
            </w:r>
          </w:p>
        </w:tc>
        <w:tc>
          <w:tcPr>
            <w:tcW w:w="1814" w:type="dxa"/>
            <w:vAlign w:val="center"/>
          </w:tcPr>
          <w:p w14:paraId="64545F51" w14:textId="77777777" w:rsidR="00454A29" w:rsidRDefault="00454A29">
            <w:pPr>
              <w:pStyle w:val="ConsPlusNormal"/>
              <w:jc w:val="center"/>
            </w:pPr>
            <w:r>
              <w:t>180 319,89</w:t>
            </w:r>
          </w:p>
        </w:tc>
      </w:tr>
      <w:tr w:rsidR="00454A29" w14:paraId="409B94A5" w14:textId="77777777">
        <w:tc>
          <w:tcPr>
            <w:tcW w:w="567" w:type="dxa"/>
            <w:vMerge/>
          </w:tcPr>
          <w:p w14:paraId="1FB201F9" w14:textId="77777777" w:rsidR="00454A29" w:rsidRDefault="00454A29"/>
        </w:tc>
        <w:tc>
          <w:tcPr>
            <w:tcW w:w="3345" w:type="dxa"/>
            <w:vMerge/>
          </w:tcPr>
          <w:p w14:paraId="0B0273D1" w14:textId="77777777" w:rsidR="00454A29" w:rsidRDefault="00454A29"/>
        </w:tc>
        <w:tc>
          <w:tcPr>
            <w:tcW w:w="1701" w:type="dxa"/>
            <w:vAlign w:val="center"/>
          </w:tcPr>
          <w:p w14:paraId="7821E1E7" w14:textId="77777777" w:rsidR="00454A29" w:rsidRDefault="00454A29">
            <w:pPr>
              <w:pStyle w:val="ConsPlusNormal"/>
              <w:jc w:val="center"/>
            </w:pPr>
            <w:r>
              <w:t>2016</w:t>
            </w:r>
          </w:p>
        </w:tc>
        <w:tc>
          <w:tcPr>
            <w:tcW w:w="1417" w:type="dxa"/>
            <w:vMerge/>
          </w:tcPr>
          <w:p w14:paraId="46E457F9" w14:textId="77777777" w:rsidR="00454A29" w:rsidRDefault="00454A29"/>
        </w:tc>
        <w:tc>
          <w:tcPr>
            <w:tcW w:w="2204" w:type="dxa"/>
            <w:vMerge/>
          </w:tcPr>
          <w:p w14:paraId="410FCB71" w14:textId="77777777" w:rsidR="00454A29" w:rsidRDefault="00454A29"/>
        </w:tc>
        <w:tc>
          <w:tcPr>
            <w:tcW w:w="1417" w:type="dxa"/>
            <w:vMerge/>
          </w:tcPr>
          <w:p w14:paraId="15FC7BAE" w14:textId="77777777" w:rsidR="00454A29" w:rsidRDefault="00454A29"/>
        </w:tc>
        <w:tc>
          <w:tcPr>
            <w:tcW w:w="2324" w:type="dxa"/>
            <w:vMerge/>
          </w:tcPr>
          <w:p w14:paraId="12217C95" w14:textId="77777777" w:rsidR="00454A29" w:rsidRDefault="00454A29"/>
        </w:tc>
        <w:tc>
          <w:tcPr>
            <w:tcW w:w="1701" w:type="dxa"/>
            <w:vAlign w:val="center"/>
          </w:tcPr>
          <w:p w14:paraId="29B526B7" w14:textId="77777777" w:rsidR="00454A29" w:rsidRDefault="00454A29">
            <w:pPr>
              <w:pStyle w:val="ConsPlusNormal"/>
              <w:jc w:val="center"/>
            </w:pPr>
            <w:r>
              <w:t>124 589,25</w:t>
            </w:r>
          </w:p>
        </w:tc>
        <w:tc>
          <w:tcPr>
            <w:tcW w:w="1814" w:type="dxa"/>
            <w:vAlign w:val="center"/>
          </w:tcPr>
          <w:p w14:paraId="259AF201" w14:textId="77777777" w:rsidR="00454A29" w:rsidRDefault="00454A29">
            <w:pPr>
              <w:pStyle w:val="ConsPlusNormal"/>
              <w:jc w:val="center"/>
            </w:pPr>
            <w:r>
              <w:t>4 679,80</w:t>
            </w:r>
          </w:p>
        </w:tc>
        <w:tc>
          <w:tcPr>
            <w:tcW w:w="1701" w:type="dxa"/>
            <w:vAlign w:val="center"/>
          </w:tcPr>
          <w:p w14:paraId="4442DAB1" w14:textId="77777777" w:rsidR="00454A29" w:rsidRDefault="00454A29">
            <w:pPr>
              <w:pStyle w:val="ConsPlusNormal"/>
            </w:pPr>
          </w:p>
        </w:tc>
        <w:tc>
          <w:tcPr>
            <w:tcW w:w="1701" w:type="dxa"/>
            <w:vAlign w:val="center"/>
          </w:tcPr>
          <w:p w14:paraId="53CC9955" w14:textId="77777777" w:rsidR="00454A29" w:rsidRDefault="00454A29">
            <w:pPr>
              <w:pStyle w:val="ConsPlusNormal"/>
              <w:jc w:val="center"/>
            </w:pPr>
            <w:r>
              <w:t>-</w:t>
            </w:r>
          </w:p>
        </w:tc>
        <w:tc>
          <w:tcPr>
            <w:tcW w:w="1814" w:type="dxa"/>
            <w:vAlign w:val="center"/>
          </w:tcPr>
          <w:p w14:paraId="6B233455" w14:textId="77777777" w:rsidR="00454A29" w:rsidRDefault="00454A29">
            <w:pPr>
              <w:pStyle w:val="ConsPlusNormal"/>
              <w:jc w:val="center"/>
            </w:pPr>
            <w:r>
              <w:t>119 909,45</w:t>
            </w:r>
          </w:p>
        </w:tc>
      </w:tr>
      <w:tr w:rsidR="00454A29" w14:paraId="194F8E09" w14:textId="77777777">
        <w:tc>
          <w:tcPr>
            <w:tcW w:w="567" w:type="dxa"/>
            <w:vMerge/>
          </w:tcPr>
          <w:p w14:paraId="2BA249D8" w14:textId="77777777" w:rsidR="00454A29" w:rsidRDefault="00454A29"/>
        </w:tc>
        <w:tc>
          <w:tcPr>
            <w:tcW w:w="3345" w:type="dxa"/>
            <w:vMerge/>
          </w:tcPr>
          <w:p w14:paraId="0BF7BD63" w14:textId="77777777" w:rsidR="00454A29" w:rsidRDefault="00454A29"/>
        </w:tc>
        <w:tc>
          <w:tcPr>
            <w:tcW w:w="1701" w:type="dxa"/>
            <w:vAlign w:val="center"/>
          </w:tcPr>
          <w:p w14:paraId="3A29313E" w14:textId="77777777" w:rsidR="00454A29" w:rsidRDefault="00454A29">
            <w:pPr>
              <w:pStyle w:val="ConsPlusNormal"/>
              <w:jc w:val="center"/>
            </w:pPr>
            <w:r>
              <w:t>2017</w:t>
            </w:r>
          </w:p>
        </w:tc>
        <w:tc>
          <w:tcPr>
            <w:tcW w:w="1417" w:type="dxa"/>
            <w:vMerge/>
          </w:tcPr>
          <w:p w14:paraId="5952ECCA" w14:textId="77777777" w:rsidR="00454A29" w:rsidRDefault="00454A29"/>
        </w:tc>
        <w:tc>
          <w:tcPr>
            <w:tcW w:w="2204" w:type="dxa"/>
            <w:vMerge/>
          </w:tcPr>
          <w:p w14:paraId="5D52F658" w14:textId="77777777" w:rsidR="00454A29" w:rsidRDefault="00454A29"/>
        </w:tc>
        <w:tc>
          <w:tcPr>
            <w:tcW w:w="1417" w:type="dxa"/>
            <w:vMerge/>
          </w:tcPr>
          <w:p w14:paraId="52C17C90" w14:textId="77777777" w:rsidR="00454A29" w:rsidRDefault="00454A29"/>
        </w:tc>
        <w:tc>
          <w:tcPr>
            <w:tcW w:w="2324" w:type="dxa"/>
            <w:vMerge/>
          </w:tcPr>
          <w:p w14:paraId="63D47E0C" w14:textId="77777777" w:rsidR="00454A29" w:rsidRDefault="00454A29"/>
        </w:tc>
        <w:tc>
          <w:tcPr>
            <w:tcW w:w="1701" w:type="dxa"/>
            <w:vAlign w:val="center"/>
          </w:tcPr>
          <w:p w14:paraId="69F4751D" w14:textId="77777777" w:rsidR="00454A29" w:rsidRDefault="00454A29">
            <w:pPr>
              <w:pStyle w:val="ConsPlusNormal"/>
              <w:jc w:val="center"/>
            </w:pPr>
            <w:r>
              <w:t>88 117,01</w:t>
            </w:r>
          </w:p>
        </w:tc>
        <w:tc>
          <w:tcPr>
            <w:tcW w:w="1814" w:type="dxa"/>
            <w:vAlign w:val="center"/>
          </w:tcPr>
          <w:p w14:paraId="623DC2CF" w14:textId="77777777" w:rsidR="00454A29" w:rsidRDefault="00454A29">
            <w:pPr>
              <w:pStyle w:val="ConsPlusNormal"/>
              <w:jc w:val="center"/>
            </w:pPr>
            <w:r>
              <w:t>27 706,57</w:t>
            </w:r>
          </w:p>
        </w:tc>
        <w:tc>
          <w:tcPr>
            <w:tcW w:w="1701" w:type="dxa"/>
            <w:vAlign w:val="center"/>
          </w:tcPr>
          <w:p w14:paraId="766760E7" w14:textId="77777777" w:rsidR="00454A29" w:rsidRDefault="00454A29">
            <w:pPr>
              <w:pStyle w:val="ConsPlusNormal"/>
            </w:pPr>
          </w:p>
        </w:tc>
        <w:tc>
          <w:tcPr>
            <w:tcW w:w="1701" w:type="dxa"/>
            <w:vAlign w:val="center"/>
          </w:tcPr>
          <w:p w14:paraId="76FD78B9" w14:textId="77777777" w:rsidR="00454A29" w:rsidRDefault="00454A29">
            <w:pPr>
              <w:pStyle w:val="ConsPlusNormal"/>
              <w:jc w:val="center"/>
            </w:pPr>
            <w:r>
              <w:t>-</w:t>
            </w:r>
          </w:p>
        </w:tc>
        <w:tc>
          <w:tcPr>
            <w:tcW w:w="1814" w:type="dxa"/>
            <w:vAlign w:val="center"/>
          </w:tcPr>
          <w:p w14:paraId="750D4651" w14:textId="77777777" w:rsidR="00454A29" w:rsidRDefault="00454A29">
            <w:pPr>
              <w:pStyle w:val="ConsPlusNormal"/>
              <w:jc w:val="center"/>
            </w:pPr>
            <w:r>
              <w:t>60 410,44</w:t>
            </w:r>
          </w:p>
        </w:tc>
      </w:tr>
      <w:tr w:rsidR="00454A29" w14:paraId="7077438F" w14:textId="77777777">
        <w:tc>
          <w:tcPr>
            <w:tcW w:w="567" w:type="dxa"/>
            <w:vMerge/>
          </w:tcPr>
          <w:p w14:paraId="1C08A572" w14:textId="77777777" w:rsidR="00454A29" w:rsidRDefault="00454A29"/>
        </w:tc>
        <w:tc>
          <w:tcPr>
            <w:tcW w:w="3345" w:type="dxa"/>
            <w:vMerge/>
          </w:tcPr>
          <w:p w14:paraId="12BFC668" w14:textId="77777777" w:rsidR="00454A29" w:rsidRDefault="00454A29"/>
        </w:tc>
        <w:tc>
          <w:tcPr>
            <w:tcW w:w="1701" w:type="dxa"/>
            <w:vAlign w:val="center"/>
          </w:tcPr>
          <w:p w14:paraId="622B3BE7" w14:textId="77777777" w:rsidR="00454A29" w:rsidRDefault="00454A29">
            <w:pPr>
              <w:pStyle w:val="ConsPlusNormal"/>
              <w:jc w:val="center"/>
            </w:pPr>
            <w:r>
              <w:t>2018</w:t>
            </w:r>
          </w:p>
        </w:tc>
        <w:tc>
          <w:tcPr>
            <w:tcW w:w="1417" w:type="dxa"/>
            <w:vMerge/>
          </w:tcPr>
          <w:p w14:paraId="2FA5E8A2" w14:textId="77777777" w:rsidR="00454A29" w:rsidRDefault="00454A29"/>
        </w:tc>
        <w:tc>
          <w:tcPr>
            <w:tcW w:w="2204" w:type="dxa"/>
            <w:vMerge/>
          </w:tcPr>
          <w:p w14:paraId="0ADA4EEB" w14:textId="77777777" w:rsidR="00454A29" w:rsidRDefault="00454A29"/>
        </w:tc>
        <w:tc>
          <w:tcPr>
            <w:tcW w:w="1417" w:type="dxa"/>
            <w:vMerge/>
          </w:tcPr>
          <w:p w14:paraId="74124C75" w14:textId="77777777" w:rsidR="00454A29" w:rsidRDefault="00454A29"/>
        </w:tc>
        <w:tc>
          <w:tcPr>
            <w:tcW w:w="2324" w:type="dxa"/>
            <w:vMerge/>
          </w:tcPr>
          <w:p w14:paraId="7D0C2274" w14:textId="77777777" w:rsidR="00454A29" w:rsidRDefault="00454A29"/>
        </w:tc>
        <w:tc>
          <w:tcPr>
            <w:tcW w:w="1701" w:type="dxa"/>
            <w:vAlign w:val="center"/>
          </w:tcPr>
          <w:p w14:paraId="5592C961" w14:textId="77777777" w:rsidR="00454A29" w:rsidRDefault="00454A29">
            <w:pPr>
              <w:pStyle w:val="ConsPlusNormal"/>
              <w:jc w:val="center"/>
            </w:pPr>
            <w:r>
              <w:t>48 162,53</w:t>
            </w:r>
          </w:p>
        </w:tc>
        <w:tc>
          <w:tcPr>
            <w:tcW w:w="1814" w:type="dxa"/>
            <w:vAlign w:val="center"/>
          </w:tcPr>
          <w:p w14:paraId="7B447736" w14:textId="77777777" w:rsidR="00454A29" w:rsidRDefault="00454A29">
            <w:pPr>
              <w:pStyle w:val="ConsPlusNormal"/>
              <w:jc w:val="center"/>
            </w:pPr>
            <w:r>
              <w:t>34 242,10</w:t>
            </w:r>
          </w:p>
        </w:tc>
        <w:tc>
          <w:tcPr>
            <w:tcW w:w="1701" w:type="dxa"/>
            <w:vAlign w:val="center"/>
          </w:tcPr>
          <w:p w14:paraId="0C9E3ED1" w14:textId="77777777" w:rsidR="00454A29" w:rsidRDefault="00454A29">
            <w:pPr>
              <w:pStyle w:val="ConsPlusNormal"/>
            </w:pPr>
          </w:p>
        </w:tc>
        <w:tc>
          <w:tcPr>
            <w:tcW w:w="1701" w:type="dxa"/>
            <w:vAlign w:val="center"/>
          </w:tcPr>
          <w:p w14:paraId="2DDC967E" w14:textId="77777777" w:rsidR="00454A29" w:rsidRDefault="00454A29">
            <w:pPr>
              <w:pStyle w:val="ConsPlusNormal"/>
              <w:jc w:val="center"/>
            </w:pPr>
            <w:r>
              <w:t>13 920,43</w:t>
            </w:r>
          </w:p>
        </w:tc>
        <w:tc>
          <w:tcPr>
            <w:tcW w:w="1814" w:type="dxa"/>
            <w:vAlign w:val="center"/>
          </w:tcPr>
          <w:p w14:paraId="02862CF4" w14:textId="77777777" w:rsidR="00454A29" w:rsidRDefault="00454A29">
            <w:pPr>
              <w:pStyle w:val="ConsPlusNormal"/>
            </w:pPr>
          </w:p>
        </w:tc>
      </w:tr>
      <w:tr w:rsidR="00454A29" w14:paraId="5B98F0E4" w14:textId="77777777">
        <w:tc>
          <w:tcPr>
            <w:tcW w:w="567" w:type="dxa"/>
            <w:vMerge/>
          </w:tcPr>
          <w:p w14:paraId="2A67CAA0" w14:textId="77777777" w:rsidR="00454A29" w:rsidRDefault="00454A29"/>
        </w:tc>
        <w:tc>
          <w:tcPr>
            <w:tcW w:w="3345" w:type="dxa"/>
            <w:vMerge/>
          </w:tcPr>
          <w:p w14:paraId="6AD5287A" w14:textId="77777777" w:rsidR="00454A29" w:rsidRDefault="00454A29"/>
        </w:tc>
        <w:tc>
          <w:tcPr>
            <w:tcW w:w="1701" w:type="dxa"/>
            <w:vAlign w:val="center"/>
          </w:tcPr>
          <w:p w14:paraId="0E7EADAF" w14:textId="77777777" w:rsidR="00454A29" w:rsidRDefault="00454A29">
            <w:pPr>
              <w:pStyle w:val="ConsPlusNormal"/>
              <w:jc w:val="center"/>
            </w:pPr>
            <w:r>
              <w:t>2019</w:t>
            </w:r>
          </w:p>
        </w:tc>
        <w:tc>
          <w:tcPr>
            <w:tcW w:w="1417" w:type="dxa"/>
            <w:vMerge/>
          </w:tcPr>
          <w:p w14:paraId="2CD9D2A4" w14:textId="77777777" w:rsidR="00454A29" w:rsidRDefault="00454A29"/>
        </w:tc>
        <w:tc>
          <w:tcPr>
            <w:tcW w:w="2204" w:type="dxa"/>
            <w:vMerge/>
          </w:tcPr>
          <w:p w14:paraId="3B729CAB" w14:textId="77777777" w:rsidR="00454A29" w:rsidRDefault="00454A29"/>
        </w:tc>
        <w:tc>
          <w:tcPr>
            <w:tcW w:w="1417" w:type="dxa"/>
            <w:vMerge/>
          </w:tcPr>
          <w:p w14:paraId="36F123B7" w14:textId="77777777" w:rsidR="00454A29" w:rsidRDefault="00454A29"/>
        </w:tc>
        <w:tc>
          <w:tcPr>
            <w:tcW w:w="2324" w:type="dxa"/>
            <w:vMerge/>
          </w:tcPr>
          <w:p w14:paraId="5BF3E3EB" w14:textId="77777777" w:rsidR="00454A29" w:rsidRDefault="00454A29"/>
        </w:tc>
        <w:tc>
          <w:tcPr>
            <w:tcW w:w="1701" w:type="dxa"/>
            <w:vAlign w:val="center"/>
          </w:tcPr>
          <w:p w14:paraId="367B904E" w14:textId="77777777" w:rsidR="00454A29" w:rsidRDefault="00454A29">
            <w:pPr>
              <w:pStyle w:val="ConsPlusNormal"/>
              <w:jc w:val="center"/>
            </w:pPr>
            <w:r>
              <w:t>47 883,56</w:t>
            </w:r>
          </w:p>
        </w:tc>
        <w:tc>
          <w:tcPr>
            <w:tcW w:w="1814" w:type="dxa"/>
            <w:vAlign w:val="center"/>
          </w:tcPr>
          <w:p w14:paraId="3D5BC353" w14:textId="77777777" w:rsidR="00454A29" w:rsidRDefault="00454A29">
            <w:pPr>
              <w:pStyle w:val="ConsPlusNormal"/>
              <w:jc w:val="center"/>
            </w:pPr>
            <w:r>
              <w:t>33 336,71</w:t>
            </w:r>
          </w:p>
        </w:tc>
        <w:tc>
          <w:tcPr>
            <w:tcW w:w="1701" w:type="dxa"/>
            <w:vAlign w:val="center"/>
          </w:tcPr>
          <w:p w14:paraId="04610978" w14:textId="77777777" w:rsidR="00454A29" w:rsidRDefault="00454A29">
            <w:pPr>
              <w:pStyle w:val="ConsPlusNormal"/>
            </w:pPr>
          </w:p>
        </w:tc>
        <w:tc>
          <w:tcPr>
            <w:tcW w:w="1701" w:type="dxa"/>
            <w:vAlign w:val="center"/>
          </w:tcPr>
          <w:p w14:paraId="19B4EA8E" w14:textId="77777777" w:rsidR="00454A29" w:rsidRDefault="00454A29">
            <w:pPr>
              <w:pStyle w:val="ConsPlusNormal"/>
              <w:jc w:val="center"/>
            </w:pPr>
            <w:r>
              <w:t>14 546,85</w:t>
            </w:r>
          </w:p>
        </w:tc>
        <w:tc>
          <w:tcPr>
            <w:tcW w:w="1814" w:type="dxa"/>
            <w:vAlign w:val="center"/>
          </w:tcPr>
          <w:p w14:paraId="4C9718A3" w14:textId="77777777" w:rsidR="00454A29" w:rsidRDefault="00454A29">
            <w:pPr>
              <w:pStyle w:val="ConsPlusNormal"/>
            </w:pPr>
          </w:p>
        </w:tc>
      </w:tr>
      <w:tr w:rsidR="00454A29" w14:paraId="33D95662" w14:textId="77777777">
        <w:tc>
          <w:tcPr>
            <w:tcW w:w="567" w:type="dxa"/>
            <w:vMerge/>
          </w:tcPr>
          <w:p w14:paraId="155E4634" w14:textId="77777777" w:rsidR="00454A29" w:rsidRDefault="00454A29"/>
        </w:tc>
        <w:tc>
          <w:tcPr>
            <w:tcW w:w="3345" w:type="dxa"/>
            <w:vMerge/>
          </w:tcPr>
          <w:p w14:paraId="5CB7F787" w14:textId="77777777" w:rsidR="00454A29" w:rsidRDefault="00454A29"/>
        </w:tc>
        <w:tc>
          <w:tcPr>
            <w:tcW w:w="1701" w:type="dxa"/>
            <w:vAlign w:val="center"/>
          </w:tcPr>
          <w:p w14:paraId="189FF08E" w14:textId="77777777" w:rsidR="00454A29" w:rsidRDefault="00454A29">
            <w:pPr>
              <w:pStyle w:val="ConsPlusNormal"/>
              <w:jc w:val="center"/>
            </w:pPr>
            <w:r>
              <w:t>2020</w:t>
            </w:r>
          </w:p>
        </w:tc>
        <w:tc>
          <w:tcPr>
            <w:tcW w:w="1417" w:type="dxa"/>
            <w:vMerge/>
          </w:tcPr>
          <w:p w14:paraId="4ADC2A63" w14:textId="77777777" w:rsidR="00454A29" w:rsidRDefault="00454A29"/>
        </w:tc>
        <w:tc>
          <w:tcPr>
            <w:tcW w:w="2204" w:type="dxa"/>
            <w:vMerge/>
          </w:tcPr>
          <w:p w14:paraId="7B52F7A5" w14:textId="77777777" w:rsidR="00454A29" w:rsidRDefault="00454A29"/>
        </w:tc>
        <w:tc>
          <w:tcPr>
            <w:tcW w:w="1417" w:type="dxa"/>
            <w:vMerge/>
          </w:tcPr>
          <w:p w14:paraId="38F3736C" w14:textId="77777777" w:rsidR="00454A29" w:rsidRDefault="00454A29"/>
        </w:tc>
        <w:tc>
          <w:tcPr>
            <w:tcW w:w="2324" w:type="dxa"/>
            <w:vMerge/>
          </w:tcPr>
          <w:p w14:paraId="6E9FC116" w14:textId="77777777" w:rsidR="00454A29" w:rsidRDefault="00454A29"/>
        </w:tc>
        <w:tc>
          <w:tcPr>
            <w:tcW w:w="1701" w:type="dxa"/>
            <w:vAlign w:val="center"/>
          </w:tcPr>
          <w:p w14:paraId="01BF5472" w14:textId="77777777" w:rsidR="00454A29" w:rsidRDefault="00454A29">
            <w:pPr>
              <w:pStyle w:val="ConsPlusNormal"/>
              <w:jc w:val="center"/>
            </w:pPr>
            <w:r>
              <w:t>53 105,51</w:t>
            </w:r>
          </w:p>
        </w:tc>
        <w:tc>
          <w:tcPr>
            <w:tcW w:w="1814" w:type="dxa"/>
            <w:vAlign w:val="center"/>
          </w:tcPr>
          <w:p w14:paraId="241738D0" w14:textId="77777777" w:rsidR="00454A29" w:rsidRDefault="00454A29">
            <w:pPr>
              <w:pStyle w:val="ConsPlusNormal"/>
              <w:jc w:val="center"/>
            </w:pPr>
            <w:r>
              <w:t>37 976,78</w:t>
            </w:r>
          </w:p>
        </w:tc>
        <w:tc>
          <w:tcPr>
            <w:tcW w:w="1701" w:type="dxa"/>
            <w:vAlign w:val="center"/>
          </w:tcPr>
          <w:p w14:paraId="29EB3B2A" w14:textId="77777777" w:rsidR="00454A29" w:rsidRDefault="00454A29">
            <w:pPr>
              <w:pStyle w:val="ConsPlusNormal"/>
            </w:pPr>
          </w:p>
        </w:tc>
        <w:tc>
          <w:tcPr>
            <w:tcW w:w="1701" w:type="dxa"/>
            <w:vAlign w:val="center"/>
          </w:tcPr>
          <w:p w14:paraId="40497C32" w14:textId="77777777" w:rsidR="00454A29" w:rsidRDefault="00454A29">
            <w:pPr>
              <w:pStyle w:val="ConsPlusNormal"/>
              <w:jc w:val="center"/>
            </w:pPr>
            <w:r>
              <w:t>15 128,73</w:t>
            </w:r>
          </w:p>
        </w:tc>
        <w:tc>
          <w:tcPr>
            <w:tcW w:w="1814" w:type="dxa"/>
            <w:vAlign w:val="center"/>
          </w:tcPr>
          <w:p w14:paraId="5E2E5E02" w14:textId="77777777" w:rsidR="00454A29" w:rsidRDefault="00454A29">
            <w:pPr>
              <w:pStyle w:val="ConsPlusNormal"/>
            </w:pPr>
          </w:p>
        </w:tc>
      </w:tr>
      <w:tr w:rsidR="00454A29" w14:paraId="457E30B0" w14:textId="77777777">
        <w:tc>
          <w:tcPr>
            <w:tcW w:w="567" w:type="dxa"/>
            <w:vMerge/>
          </w:tcPr>
          <w:p w14:paraId="33D3B768" w14:textId="77777777" w:rsidR="00454A29" w:rsidRDefault="00454A29"/>
        </w:tc>
        <w:tc>
          <w:tcPr>
            <w:tcW w:w="3345" w:type="dxa"/>
            <w:vMerge/>
          </w:tcPr>
          <w:p w14:paraId="5C2FE766" w14:textId="77777777" w:rsidR="00454A29" w:rsidRDefault="00454A29"/>
        </w:tc>
        <w:tc>
          <w:tcPr>
            <w:tcW w:w="1701" w:type="dxa"/>
            <w:vAlign w:val="center"/>
          </w:tcPr>
          <w:p w14:paraId="34CD0CFF" w14:textId="77777777" w:rsidR="00454A29" w:rsidRDefault="00454A29">
            <w:pPr>
              <w:pStyle w:val="ConsPlusNormal"/>
              <w:jc w:val="center"/>
            </w:pPr>
            <w:r>
              <w:t>2021</w:t>
            </w:r>
          </w:p>
        </w:tc>
        <w:tc>
          <w:tcPr>
            <w:tcW w:w="1417" w:type="dxa"/>
            <w:vMerge/>
          </w:tcPr>
          <w:p w14:paraId="39785D6A" w14:textId="77777777" w:rsidR="00454A29" w:rsidRDefault="00454A29"/>
        </w:tc>
        <w:tc>
          <w:tcPr>
            <w:tcW w:w="2204" w:type="dxa"/>
            <w:vMerge/>
          </w:tcPr>
          <w:p w14:paraId="59A48FFC" w14:textId="77777777" w:rsidR="00454A29" w:rsidRDefault="00454A29"/>
        </w:tc>
        <w:tc>
          <w:tcPr>
            <w:tcW w:w="1417" w:type="dxa"/>
            <w:vMerge/>
          </w:tcPr>
          <w:p w14:paraId="1934A6A4" w14:textId="77777777" w:rsidR="00454A29" w:rsidRDefault="00454A29"/>
        </w:tc>
        <w:tc>
          <w:tcPr>
            <w:tcW w:w="2324" w:type="dxa"/>
            <w:vMerge/>
          </w:tcPr>
          <w:p w14:paraId="13E9B13B" w14:textId="77777777" w:rsidR="00454A29" w:rsidRDefault="00454A29"/>
        </w:tc>
        <w:tc>
          <w:tcPr>
            <w:tcW w:w="1701" w:type="dxa"/>
            <w:vAlign w:val="center"/>
          </w:tcPr>
          <w:p w14:paraId="0740DB23" w14:textId="77777777" w:rsidR="00454A29" w:rsidRDefault="00454A29">
            <w:pPr>
              <w:pStyle w:val="ConsPlusNormal"/>
              <w:jc w:val="center"/>
            </w:pPr>
            <w:r>
              <w:t>51 779,46</w:t>
            </w:r>
          </w:p>
        </w:tc>
        <w:tc>
          <w:tcPr>
            <w:tcW w:w="1814" w:type="dxa"/>
            <w:vAlign w:val="center"/>
          </w:tcPr>
          <w:p w14:paraId="5E2371C1" w14:textId="77777777" w:rsidR="00454A29" w:rsidRDefault="00454A29">
            <w:pPr>
              <w:pStyle w:val="ConsPlusNormal"/>
              <w:jc w:val="center"/>
            </w:pPr>
            <w:r>
              <w:t>36 121,23</w:t>
            </w:r>
          </w:p>
        </w:tc>
        <w:tc>
          <w:tcPr>
            <w:tcW w:w="1701" w:type="dxa"/>
            <w:vAlign w:val="center"/>
          </w:tcPr>
          <w:p w14:paraId="10CFE11E" w14:textId="77777777" w:rsidR="00454A29" w:rsidRDefault="00454A29">
            <w:pPr>
              <w:pStyle w:val="ConsPlusNormal"/>
            </w:pPr>
          </w:p>
        </w:tc>
        <w:tc>
          <w:tcPr>
            <w:tcW w:w="1701" w:type="dxa"/>
            <w:vAlign w:val="center"/>
          </w:tcPr>
          <w:p w14:paraId="11FBF3DF" w14:textId="77777777" w:rsidR="00454A29" w:rsidRDefault="00454A29">
            <w:pPr>
              <w:pStyle w:val="ConsPlusNormal"/>
              <w:jc w:val="center"/>
            </w:pPr>
            <w:r>
              <w:t>15 658,23</w:t>
            </w:r>
          </w:p>
        </w:tc>
        <w:tc>
          <w:tcPr>
            <w:tcW w:w="1814" w:type="dxa"/>
            <w:vAlign w:val="center"/>
          </w:tcPr>
          <w:p w14:paraId="09C77FCA" w14:textId="77777777" w:rsidR="00454A29" w:rsidRDefault="00454A29">
            <w:pPr>
              <w:pStyle w:val="ConsPlusNormal"/>
            </w:pPr>
          </w:p>
        </w:tc>
      </w:tr>
      <w:tr w:rsidR="00454A29" w14:paraId="74265934" w14:textId="77777777">
        <w:tc>
          <w:tcPr>
            <w:tcW w:w="567" w:type="dxa"/>
            <w:vMerge/>
          </w:tcPr>
          <w:p w14:paraId="151EB4A5" w14:textId="77777777" w:rsidR="00454A29" w:rsidRDefault="00454A29"/>
        </w:tc>
        <w:tc>
          <w:tcPr>
            <w:tcW w:w="3345" w:type="dxa"/>
            <w:vMerge/>
          </w:tcPr>
          <w:p w14:paraId="5604D636" w14:textId="77777777" w:rsidR="00454A29" w:rsidRDefault="00454A29"/>
        </w:tc>
        <w:tc>
          <w:tcPr>
            <w:tcW w:w="1701" w:type="dxa"/>
            <w:vAlign w:val="center"/>
          </w:tcPr>
          <w:p w14:paraId="129ABF45" w14:textId="77777777" w:rsidR="00454A29" w:rsidRDefault="00454A29">
            <w:pPr>
              <w:pStyle w:val="ConsPlusNormal"/>
              <w:jc w:val="center"/>
            </w:pPr>
            <w:r>
              <w:t>2022</w:t>
            </w:r>
          </w:p>
        </w:tc>
        <w:tc>
          <w:tcPr>
            <w:tcW w:w="1417" w:type="dxa"/>
            <w:vMerge/>
          </w:tcPr>
          <w:p w14:paraId="55A871E3" w14:textId="77777777" w:rsidR="00454A29" w:rsidRDefault="00454A29"/>
        </w:tc>
        <w:tc>
          <w:tcPr>
            <w:tcW w:w="2204" w:type="dxa"/>
            <w:vMerge/>
          </w:tcPr>
          <w:p w14:paraId="3A25F7AB" w14:textId="77777777" w:rsidR="00454A29" w:rsidRDefault="00454A29"/>
        </w:tc>
        <w:tc>
          <w:tcPr>
            <w:tcW w:w="1417" w:type="dxa"/>
            <w:vMerge/>
          </w:tcPr>
          <w:p w14:paraId="5D9B2BAB" w14:textId="77777777" w:rsidR="00454A29" w:rsidRDefault="00454A29"/>
        </w:tc>
        <w:tc>
          <w:tcPr>
            <w:tcW w:w="2324" w:type="dxa"/>
            <w:vMerge/>
          </w:tcPr>
          <w:p w14:paraId="24E72314" w14:textId="77777777" w:rsidR="00454A29" w:rsidRDefault="00454A29"/>
        </w:tc>
        <w:tc>
          <w:tcPr>
            <w:tcW w:w="1701" w:type="dxa"/>
            <w:vAlign w:val="center"/>
          </w:tcPr>
          <w:p w14:paraId="52397594" w14:textId="77777777" w:rsidR="00454A29" w:rsidRDefault="00454A29">
            <w:pPr>
              <w:pStyle w:val="ConsPlusNormal"/>
              <w:jc w:val="center"/>
            </w:pPr>
            <w:r>
              <w:t>55 760,29</w:t>
            </w:r>
          </w:p>
        </w:tc>
        <w:tc>
          <w:tcPr>
            <w:tcW w:w="1814" w:type="dxa"/>
            <w:vAlign w:val="center"/>
          </w:tcPr>
          <w:p w14:paraId="01609B44" w14:textId="77777777" w:rsidR="00454A29" w:rsidRDefault="00454A29">
            <w:pPr>
              <w:pStyle w:val="ConsPlusNormal"/>
              <w:jc w:val="center"/>
            </w:pPr>
            <w:r>
              <w:t>39 585,33</w:t>
            </w:r>
          </w:p>
        </w:tc>
        <w:tc>
          <w:tcPr>
            <w:tcW w:w="1701" w:type="dxa"/>
            <w:vAlign w:val="center"/>
          </w:tcPr>
          <w:p w14:paraId="723133C7" w14:textId="77777777" w:rsidR="00454A29" w:rsidRDefault="00454A29">
            <w:pPr>
              <w:pStyle w:val="ConsPlusNormal"/>
            </w:pPr>
          </w:p>
        </w:tc>
        <w:tc>
          <w:tcPr>
            <w:tcW w:w="1701" w:type="dxa"/>
            <w:vAlign w:val="center"/>
          </w:tcPr>
          <w:p w14:paraId="649C3C59" w14:textId="77777777" w:rsidR="00454A29" w:rsidRDefault="00454A29">
            <w:pPr>
              <w:pStyle w:val="ConsPlusNormal"/>
              <w:jc w:val="center"/>
            </w:pPr>
            <w:r>
              <w:t>16 174,95</w:t>
            </w:r>
          </w:p>
        </w:tc>
        <w:tc>
          <w:tcPr>
            <w:tcW w:w="1814" w:type="dxa"/>
            <w:vAlign w:val="center"/>
          </w:tcPr>
          <w:p w14:paraId="58C40CA7" w14:textId="77777777" w:rsidR="00454A29" w:rsidRDefault="00454A29">
            <w:pPr>
              <w:pStyle w:val="ConsPlusNormal"/>
            </w:pPr>
          </w:p>
        </w:tc>
      </w:tr>
      <w:tr w:rsidR="00454A29" w14:paraId="22406FA7" w14:textId="77777777">
        <w:tc>
          <w:tcPr>
            <w:tcW w:w="567" w:type="dxa"/>
            <w:vMerge/>
          </w:tcPr>
          <w:p w14:paraId="7E39075D" w14:textId="77777777" w:rsidR="00454A29" w:rsidRDefault="00454A29"/>
        </w:tc>
        <w:tc>
          <w:tcPr>
            <w:tcW w:w="3345" w:type="dxa"/>
            <w:vMerge/>
          </w:tcPr>
          <w:p w14:paraId="6CDC7524" w14:textId="77777777" w:rsidR="00454A29" w:rsidRDefault="00454A29"/>
        </w:tc>
        <w:tc>
          <w:tcPr>
            <w:tcW w:w="1701" w:type="dxa"/>
            <w:vAlign w:val="center"/>
          </w:tcPr>
          <w:p w14:paraId="6086D7BE" w14:textId="77777777" w:rsidR="00454A29" w:rsidRDefault="00454A29">
            <w:pPr>
              <w:pStyle w:val="ConsPlusNormal"/>
              <w:jc w:val="center"/>
            </w:pPr>
            <w:r>
              <w:t>2023</w:t>
            </w:r>
          </w:p>
        </w:tc>
        <w:tc>
          <w:tcPr>
            <w:tcW w:w="1417" w:type="dxa"/>
            <w:vMerge/>
          </w:tcPr>
          <w:p w14:paraId="300F82FE" w14:textId="77777777" w:rsidR="00454A29" w:rsidRDefault="00454A29"/>
        </w:tc>
        <w:tc>
          <w:tcPr>
            <w:tcW w:w="2204" w:type="dxa"/>
            <w:vMerge/>
          </w:tcPr>
          <w:p w14:paraId="5E21247C" w14:textId="77777777" w:rsidR="00454A29" w:rsidRDefault="00454A29"/>
        </w:tc>
        <w:tc>
          <w:tcPr>
            <w:tcW w:w="1417" w:type="dxa"/>
            <w:vMerge/>
          </w:tcPr>
          <w:p w14:paraId="38819D90" w14:textId="77777777" w:rsidR="00454A29" w:rsidRDefault="00454A29"/>
        </w:tc>
        <w:tc>
          <w:tcPr>
            <w:tcW w:w="2324" w:type="dxa"/>
            <w:vMerge/>
          </w:tcPr>
          <w:p w14:paraId="5F866218" w14:textId="77777777" w:rsidR="00454A29" w:rsidRDefault="00454A29"/>
        </w:tc>
        <w:tc>
          <w:tcPr>
            <w:tcW w:w="1701" w:type="dxa"/>
            <w:vAlign w:val="center"/>
          </w:tcPr>
          <w:p w14:paraId="416E292E" w14:textId="77777777" w:rsidR="00454A29" w:rsidRDefault="00454A29">
            <w:pPr>
              <w:pStyle w:val="ConsPlusNormal"/>
              <w:jc w:val="center"/>
            </w:pPr>
            <w:r>
              <w:t>56 261,71</w:t>
            </w:r>
          </w:p>
        </w:tc>
        <w:tc>
          <w:tcPr>
            <w:tcW w:w="1814" w:type="dxa"/>
            <w:vAlign w:val="center"/>
          </w:tcPr>
          <w:p w14:paraId="3A2EAA38" w14:textId="77777777" w:rsidR="00454A29" w:rsidRDefault="00454A29">
            <w:pPr>
              <w:pStyle w:val="ConsPlusNormal"/>
              <w:jc w:val="center"/>
            </w:pPr>
            <w:r>
              <w:t>39 585,33</w:t>
            </w:r>
          </w:p>
        </w:tc>
        <w:tc>
          <w:tcPr>
            <w:tcW w:w="1701" w:type="dxa"/>
            <w:vAlign w:val="center"/>
          </w:tcPr>
          <w:p w14:paraId="2B44FE63" w14:textId="77777777" w:rsidR="00454A29" w:rsidRDefault="00454A29">
            <w:pPr>
              <w:pStyle w:val="ConsPlusNormal"/>
            </w:pPr>
          </w:p>
        </w:tc>
        <w:tc>
          <w:tcPr>
            <w:tcW w:w="1701" w:type="dxa"/>
            <w:vAlign w:val="center"/>
          </w:tcPr>
          <w:p w14:paraId="10DFDFDA" w14:textId="77777777" w:rsidR="00454A29" w:rsidRDefault="00454A29">
            <w:pPr>
              <w:pStyle w:val="ConsPlusNormal"/>
              <w:jc w:val="center"/>
            </w:pPr>
            <w:r>
              <w:t>16 676,38</w:t>
            </w:r>
          </w:p>
        </w:tc>
        <w:tc>
          <w:tcPr>
            <w:tcW w:w="1814" w:type="dxa"/>
            <w:vAlign w:val="center"/>
          </w:tcPr>
          <w:p w14:paraId="779B7766" w14:textId="77777777" w:rsidR="00454A29" w:rsidRDefault="00454A29">
            <w:pPr>
              <w:pStyle w:val="ConsPlusNormal"/>
            </w:pPr>
          </w:p>
        </w:tc>
      </w:tr>
      <w:tr w:rsidR="00454A29" w14:paraId="6F52CA3D" w14:textId="77777777">
        <w:tc>
          <w:tcPr>
            <w:tcW w:w="567" w:type="dxa"/>
            <w:vMerge/>
          </w:tcPr>
          <w:p w14:paraId="1D082D37" w14:textId="77777777" w:rsidR="00454A29" w:rsidRDefault="00454A29"/>
        </w:tc>
        <w:tc>
          <w:tcPr>
            <w:tcW w:w="3345" w:type="dxa"/>
            <w:vMerge/>
          </w:tcPr>
          <w:p w14:paraId="5DBB5EC3" w14:textId="77777777" w:rsidR="00454A29" w:rsidRDefault="00454A29"/>
        </w:tc>
        <w:tc>
          <w:tcPr>
            <w:tcW w:w="1701" w:type="dxa"/>
            <w:vAlign w:val="center"/>
          </w:tcPr>
          <w:p w14:paraId="782F3920" w14:textId="77777777" w:rsidR="00454A29" w:rsidRDefault="00454A29">
            <w:pPr>
              <w:pStyle w:val="ConsPlusNormal"/>
              <w:jc w:val="center"/>
            </w:pPr>
            <w:r>
              <w:t>2024</w:t>
            </w:r>
          </w:p>
        </w:tc>
        <w:tc>
          <w:tcPr>
            <w:tcW w:w="1417" w:type="dxa"/>
            <w:vMerge/>
          </w:tcPr>
          <w:p w14:paraId="46AF7C1B" w14:textId="77777777" w:rsidR="00454A29" w:rsidRDefault="00454A29"/>
        </w:tc>
        <w:tc>
          <w:tcPr>
            <w:tcW w:w="2204" w:type="dxa"/>
            <w:vMerge/>
          </w:tcPr>
          <w:p w14:paraId="5538FED6" w14:textId="77777777" w:rsidR="00454A29" w:rsidRDefault="00454A29"/>
        </w:tc>
        <w:tc>
          <w:tcPr>
            <w:tcW w:w="1417" w:type="dxa"/>
            <w:vMerge/>
          </w:tcPr>
          <w:p w14:paraId="06952838" w14:textId="77777777" w:rsidR="00454A29" w:rsidRDefault="00454A29"/>
        </w:tc>
        <w:tc>
          <w:tcPr>
            <w:tcW w:w="2324" w:type="dxa"/>
            <w:vMerge/>
          </w:tcPr>
          <w:p w14:paraId="2334A2F8" w14:textId="77777777" w:rsidR="00454A29" w:rsidRDefault="00454A29"/>
        </w:tc>
        <w:tc>
          <w:tcPr>
            <w:tcW w:w="1701" w:type="dxa"/>
            <w:vAlign w:val="center"/>
          </w:tcPr>
          <w:p w14:paraId="355CC788" w14:textId="77777777" w:rsidR="00454A29" w:rsidRDefault="00454A29">
            <w:pPr>
              <w:pStyle w:val="ConsPlusNormal"/>
              <w:jc w:val="center"/>
            </w:pPr>
            <w:r>
              <w:t>56 745,32</w:t>
            </w:r>
          </w:p>
        </w:tc>
        <w:tc>
          <w:tcPr>
            <w:tcW w:w="1814" w:type="dxa"/>
            <w:vAlign w:val="center"/>
          </w:tcPr>
          <w:p w14:paraId="435F722A" w14:textId="77777777" w:rsidR="00454A29" w:rsidRDefault="00454A29">
            <w:pPr>
              <w:pStyle w:val="ConsPlusNormal"/>
              <w:jc w:val="center"/>
            </w:pPr>
            <w:r>
              <w:t>39 585,33</w:t>
            </w:r>
          </w:p>
        </w:tc>
        <w:tc>
          <w:tcPr>
            <w:tcW w:w="1701" w:type="dxa"/>
            <w:vAlign w:val="center"/>
          </w:tcPr>
          <w:p w14:paraId="3FAB9338" w14:textId="77777777" w:rsidR="00454A29" w:rsidRDefault="00454A29">
            <w:pPr>
              <w:pStyle w:val="ConsPlusNormal"/>
            </w:pPr>
          </w:p>
        </w:tc>
        <w:tc>
          <w:tcPr>
            <w:tcW w:w="1701" w:type="dxa"/>
            <w:vAlign w:val="center"/>
          </w:tcPr>
          <w:p w14:paraId="343B9CA4" w14:textId="77777777" w:rsidR="00454A29" w:rsidRDefault="00454A29">
            <w:pPr>
              <w:pStyle w:val="ConsPlusNormal"/>
              <w:jc w:val="center"/>
            </w:pPr>
            <w:r>
              <w:t>17 159,99</w:t>
            </w:r>
          </w:p>
        </w:tc>
        <w:tc>
          <w:tcPr>
            <w:tcW w:w="1814" w:type="dxa"/>
            <w:vAlign w:val="center"/>
          </w:tcPr>
          <w:p w14:paraId="6DF51C7D" w14:textId="77777777" w:rsidR="00454A29" w:rsidRDefault="00454A29">
            <w:pPr>
              <w:pStyle w:val="ConsPlusNormal"/>
            </w:pPr>
          </w:p>
        </w:tc>
      </w:tr>
      <w:tr w:rsidR="00454A29" w14:paraId="54642AAD" w14:textId="77777777">
        <w:tc>
          <w:tcPr>
            <w:tcW w:w="567" w:type="dxa"/>
            <w:vMerge/>
          </w:tcPr>
          <w:p w14:paraId="5625767A" w14:textId="77777777" w:rsidR="00454A29" w:rsidRDefault="00454A29"/>
        </w:tc>
        <w:tc>
          <w:tcPr>
            <w:tcW w:w="3345" w:type="dxa"/>
            <w:vMerge/>
          </w:tcPr>
          <w:p w14:paraId="763F0AF2" w14:textId="77777777" w:rsidR="00454A29" w:rsidRDefault="00454A29"/>
        </w:tc>
        <w:tc>
          <w:tcPr>
            <w:tcW w:w="1701" w:type="dxa"/>
            <w:vAlign w:val="center"/>
          </w:tcPr>
          <w:p w14:paraId="6B93E3F1" w14:textId="77777777" w:rsidR="00454A29" w:rsidRDefault="00454A29">
            <w:pPr>
              <w:pStyle w:val="ConsPlusNormal"/>
              <w:jc w:val="center"/>
            </w:pPr>
            <w:r>
              <w:t>2025</w:t>
            </w:r>
          </w:p>
        </w:tc>
        <w:tc>
          <w:tcPr>
            <w:tcW w:w="1417" w:type="dxa"/>
            <w:vMerge/>
          </w:tcPr>
          <w:p w14:paraId="239C8279" w14:textId="77777777" w:rsidR="00454A29" w:rsidRDefault="00454A29"/>
        </w:tc>
        <w:tc>
          <w:tcPr>
            <w:tcW w:w="2204" w:type="dxa"/>
            <w:vMerge/>
          </w:tcPr>
          <w:p w14:paraId="4646216A" w14:textId="77777777" w:rsidR="00454A29" w:rsidRDefault="00454A29"/>
        </w:tc>
        <w:tc>
          <w:tcPr>
            <w:tcW w:w="1417" w:type="dxa"/>
            <w:vMerge/>
          </w:tcPr>
          <w:p w14:paraId="0B7CC7F6" w14:textId="77777777" w:rsidR="00454A29" w:rsidRDefault="00454A29"/>
        </w:tc>
        <w:tc>
          <w:tcPr>
            <w:tcW w:w="2324" w:type="dxa"/>
            <w:vMerge/>
          </w:tcPr>
          <w:p w14:paraId="4D0FE3C9" w14:textId="77777777" w:rsidR="00454A29" w:rsidRDefault="00454A29"/>
        </w:tc>
        <w:tc>
          <w:tcPr>
            <w:tcW w:w="1701" w:type="dxa"/>
            <w:vAlign w:val="center"/>
          </w:tcPr>
          <w:p w14:paraId="75A2716E" w14:textId="77777777" w:rsidR="00454A29" w:rsidRDefault="00454A29">
            <w:pPr>
              <w:pStyle w:val="ConsPlusNormal"/>
              <w:jc w:val="center"/>
            </w:pPr>
            <w:r>
              <w:t>39 585,33</w:t>
            </w:r>
          </w:p>
        </w:tc>
        <w:tc>
          <w:tcPr>
            <w:tcW w:w="1814" w:type="dxa"/>
            <w:vAlign w:val="center"/>
          </w:tcPr>
          <w:p w14:paraId="73E679E0" w14:textId="77777777" w:rsidR="00454A29" w:rsidRDefault="00454A29">
            <w:pPr>
              <w:pStyle w:val="ConsPlusNormal"/>
              <w:jc w:val="center"/>
            </w:pPr>
            <w:r>
              <w:t>39 585,33</w:t>
            </w:r>
          </w:p>
        </w:tc>
        <w:tc>
          <w:tcPr>
            <w:tcW w:w="1701" w:type="dxa"/>
            <w:vAlign w:val="center"/>
          </w:tcPr>
          <w:p w14:paraId="6BDE7C62" w14:textId="77777777" w:rsidR="00454A29" w:rsidRDefault="00454A29">
            <w:pPr>
              <w:pStyle w:val="ConsPlusNormal"/>
            </w:pPr>
          </w:p>
        </w:tc>
        <w:tc>
          <w:tcPr>
            <w:tcW w:w="1701" w:type="dxa"/>
            <w:vAlign w:val="center"/>
          </w:tcPr>
          <w:p w14:paraId="5156BF1A" w14:textId="77777777" w:rsidR="00454A29" w:rsidRDefault="00454A29">
            <w:pPr>
              <w:pStyle w:val="ConsPlusNormal"/>
            </w:pPr>
          </w:p>
        </w:tc>
        <w:tc>
          <w:tcPr>
            <w:tcW w:w="1814" w:type="dxa"/>
            <w:vAlign w:val="center"/>
          </w:tcPr>
          <w:p w14:paraId="07EE19E5" w14:textId="77777777" w:rsidR="00454A29" w:rsidRDefault="00454A29">
            <w:pPr>
              <w:pStyle w:val="ConsPlusNormal"/>
            </w:pPr>
          </w:p>
        </w:tc>
      </w:tr>
      <w:tr w:rsidR="00454A29" w14:paraId="26F9BDBC" w14:textId="77777777">
        <w:tc>
          <w:tcPr>
            <w:tcW w:w="567" w:type="dxa"/>
            <w:vMerge w:val="restart"/>
            <w:vAlign w:val="center"/>
          </w:tcPr>
          <w:p w14:paraId="21C60970" w14:textId="77777777" w:rsidR="00454A29" w:rsidRDefault="00454A29">
            <w:pPr>
              <w:pStyle w:val="ConsPlusNormal"/>
              <w:jc w:val="center"/>
            </w:pPr>
            <w:r>
              <w:t>66</w:t>
            </w:r>
          </w:p>
        </w:tc>
        <w:tc>
          <w:tcPr>
            <w:tcW w:w="3345" w:type="dxa"/>
            <w:vMerge w:val="restart"/>
            <w:vAlign w:val="center"/>
          </w:tcPr>
          <w:p w14:paraId="4564D851" w14:textId="77777777" w:rsidR="00454A29" w:rsidRDefault="00454A29">
            <w:pPr>
              <w:pStyle w:val="ConsPlusNormal"/>
              <w:jc w:val="center"/>
            </w:pPr>
            <w:r>
              <w:t>Детский сад на 75 мест в г. Среднеколымск Среднеколымского района</w:t>
            </w:r>
          </w:p>
        </w:tc>
        <w:tc>
          <w:tcPr>
            <w:tcW w:w="1701" w:type="dxa"/>
            <w:vAlign w:val="center"/>
          </w:tcPr>
          <w:p w14:paraId="48CB71F8" w14:textId="77777777" w:rsidR="00454A29" w:rsidRDefault="00454A29">
            <w:pPr>
              <w:pStyle w:val="ConsPlusNormal"/>
              <w:jc w:val="center"/>
            </w:pPr>
            <w:r>
              <w:t>2016 - 2025 годы - всего</w:t>
            </w:r>
          </w:p>
        </w:tc>
        <w:tc>
          <w:tcPr>
            <w:tcW w:w="1417" w:type="dxa"/>
            <w:vMerge w:val="restart"/>
            <w:vAlign w:val="center"/>
          </w:tcPr>
          <w:p w14:paraId="3FE00911" w14:textId="77777777" w:rsidR="00454A29" w:rsidRDefault="00454A29">
            <w:pPr>
              <w:pStyle w:val="ConsPlusNormal"/>
              <w:jc w:val="center"/>
            </w:pPr>
            <w:r>
              <w:t>177 720,73</w:t>
            </w:r>
          </w:p>
        </w:tc>
        <w:tc>
          <w:tcPr>
            <w:tcW w:w="2204" w:type="dxa"/>
            <w:vMerge w:val="restart"/>
            <w:vAlign w:val="center"/>
          </w:tcPr>
          <w:p w14:paraId="10C8A014" w14:textId="77777777" w:rsidR="00454A29" w:rsidRDefault="00454A29">
            <w:pPr>
              <w:pStyle w:val="ConsPlusNormal"/>
              <w:jc w:val="center"/>
            </w:pPr>
            <w:r>
              <w:t>имеется</w:t>
            </w:r>
          </w:p>
        </w:tc>
        <w:tc>
          <w:tcPr>
            <w:tcW w:w="1417" w:type="dxa"/>
            <w:vMerge w:val="restart"/>
            <w:vAlign w:val="center"/>
          </w:tcPr>
          <w:p w14:paraId="7BB1DD01" w14:textId="77777777" w:rsidR="00454A29" w:rsidRDefault="00454A29">
            <w:pPr>
              <w:pStyle w:val="ConsPlusNormal"/>
              <w:jc w:val="center"/>
            </w:pPr>
            <w:r>
              <w:t>75</w:t>
            </w:r>
          </w:p>
        </w:tc>
        <w:tc>
          <w:tcPr>
            <w:tcW w:w="2324" w:type="dxa"/>
            <w:vMerge w:val="restart"/>
            <w:vAlign w:val="center"/>
          </w:tcPr>
          <w:p w14:paraId="717862FA" w14:textId="77777777" w:rsidR="00454A29" w:rsidRDefault="00454A29">
            <w:pPr>
              <w:pStyle w:val="ConsPlusNormal"/>
              <w:jc w:val="center"/>
            </w:pPr>
            <w:r>
              <w:t>Минэкономики РС(Я)</w:t>
            </w:r>
          </w:p>
        </w:tc>
        <w:tc>
          <w:tcPr>
            <w:tcW w:w="1701" w:type="dxa"/>
            <w:vAlign w:val="center"/>
          </w:tcPr>
          <w:p w14:paraId="3279F527" w14:textId="77777777" w:rsidR="00454A29" w:rsidRDefault="00454A29">
            <w:pPr>
              <w:pStyle w:val="ConsPlusNormal"/>
              <w:jc w:val="center"/>
            </w:pPr>
            <w:r>
              <w:t>621 517,01</w:t>
            </w:r>
          </w:p>
        </w:tc>
        <w:tc>
          <w:tcPr>
            <w:tcW w:w="1814" w:type="dxa"/>
            <w:vAlign w:val="center"/>
          </w:tcPr>
          <w:p w14:paraId="0BBE950A" w14:textId="77777777" w:rsidR="00454A29" w:rsidRDefault="00454A29">
            <w:pPr>
              <w:pStyle w:val="ConsPlusNormal"/>
              <w:jc w:val="center"/>
            </w:pPr>
            <w:r>
              <w:t>329 776,95</w:t>
            </w:r>
          </w:p>
        </w:tc>
        <w:tc>
          <w:tcPr>
            <w:tcW w:w="1701" w:type="dxa"/>
            <w:vAlign w:val="center"/>
          </w:tcPr>
          <w:p w14:paraId="29685921" w14:textId="77777777" w:rsidR="00454A29" w:rsidRDefault="00454A29">
            <w:pPr>
              <w:pStyle w:val="ConsPlusNormal"/>
              <w:jc w:val="center"/>
            </w:pPr>
            <w:r>
              <w:t>-</w:t>
            </w:r>
          </w:p>
        </w:tc>
        <w:tc>
          <w:tcPr>
            <w:tcW w:w="1701" w:type="dxa"/>
            <w:vAlign w:val="center"/>
          </w:tcPr>
          <w:p w14:paraId="23301F2E" w14:textId="77777777" w:rsidR="00454A29" w:rsidRDefault="00454A29">
            <w:pPr>
              <w:pStyle w:val="ConsPlusNormal"/>
              <w:jc w:val="center"/>
            </w:pPr>
            <w:r>
              <w:t>114 019,33</w:t>
            </w:r>
          </w:p>
        </w:tc>
        <w:tc>
          <w:tcPr>
            <w:tcW w:w="1814" w:type="dxa"/>
            <w:vAlign w:val="center"/>
          </w:tcPr>
          <w:p w14:paraId="0828F989" w14:textId="77777777" w:rsidR="00454A29" w:rsidRDefault="00454A29">
            <w:pPr>
              <w:pStyle w:val="ConsPlusNormal"/>
              <w:jc w:val="center"/>
            </w:pPr>
            <w:r>
              <w:t>177 720,73</w:t>
            </w:r>
          </w:p>
        </w:tc>
      </w:tr>
      <w:tr w:rsidR="00454A29" w14:paraId="59FD2129" w14:textId="77777777">
        <w:tc>
          <w:tcPr>
            <w:tcW w:w="567" w:type="dxa"/>
            <w:vMerge/>
          </w:tcPr>
          <w:p w14:paraId="55F09B47" w14:textId="77777777" w:rsidR="00454A29" w:rsidRDefault="00454A29"/>
        </w:tc>
        <w:tc>
          <w:tcPr>
            <w:tcW w:w="3345" w:type="dxa"/>
            <w:vMerge/>
          </w:tcPr>
          <w:p w14:paraId="0A81E5A9" w14:textId="77777777" w:rsidR="00454A29" w:rsidRDefault="00454A29"/>
        </w:tc>
        <w:tc>
          <w:tcPr>
            <w:tcW w:w="1701" w:type="dxa"/>
            <w:vAlign w:val="center"/>
          </w:tcPr>
          <w:p w14:paraId="34544954" w14:textId="77777777" w:rsidR="00454A29" w:rsidRDefault="00454A29">
            <w:pPr>
              <w:pStyle w:val="ConsPlusNormal"/>
              <w:jc w:val="center"/>
            </w:pPr>
            <w:r>
              <w:t>2016</w:t>
            </w:r>
          </w:p>
        </w:tc>
        <w:tc>
          <w:tcPr>
            <w:tcW w:w="1417" w:type="dxa"/>
            <w:vMerge/>
          </w:tcPr>
          <w:p w14:paraId="208DF98E" w14:textId="77777777" w:rsidR="00454A29" w:rsidRDefault="00454A29"/>
        </w:tc>
        <w:tc>
          <w:tcPr>
            <w:tcW w:w="2204" w:type="dxa"/>
            <w:vMerge/>
          </w:tcPr>
          <w:p w14:paraId="01AB6E7E" w14:textId="77777777" w:rsidR="00454A29" w:rsidRDefault="00454A29"/>
        </w:tc>
        <w:tc>
          <w:tcPr>
            <w:tcW w:w="1417" w:type="dxa"/>
            <w:vMerge/>
          </w:tcPr>
          <w:p w14:paraId="28BA8A34" w14:textId="77777777" w:rsidR="00454A29" w:rsidRDefault="00454A29"/>
        </w:tc>
        <w:tc>
          <w:tcPr>
            <w:tcW w:w="2324" w:type="dxa"/>
            <w:vMerge/>
          </w:tcPr>
          <w:p w14:paraId="1754A9BD" w14:textId="77777777" w:rsidR="00454A29" w:rsidRDefault="00454A29"/>
        </w:tc>
        <w:tc>
          <w:tcPr>
            <w:tcW w:w="1701" w:type="dxa"/>
            <w:vAlign w:val="center"/>
          </w:tcPr>
          <w:p w14:paraId="26006EA9" w14:textId="77777777" w:rsidR="00454A29" w:rsidRDefault="00454A29">
            <w:pPr>
              <w:pStyle w:val="ConsPlusNormal"/>
              <w:jc w:val="center"/>
            </w:pPr>
            <w:r>
              <w:t>131 377,70</w:t>
            </w:r>
          </w:p>
        </w:tc>
        <w:tc>
          <w:tcPr>
            <w:tcW w:w="1814" w:type="dxa"/>
            <w:vAlign w:val="center"/>
          </w:tcPr>
          <w:p w14:paraId="79A2094E" w14:textId="77777777" w:rsidR="00454A29" w:rsidRDefault="00454A29">
            <w:pPr>
              <w:pStyle w:val="ConsPlusNormal"/>
              <w:jc w:val="center"/>
            </w:pPr>
            <w:r>
              <w:t>5 363,40</w:t>
            </w:r>
          </w:p>
        </w:tc>
        <w:tc>
          <w:tcPr>
            <w:tcW w:w="1701" w:type="dxa"/>
            <w:vAlign w:val="center"/>
          </w:tcPr>
          <w:p w14:paraId="584BF337" w14:textId="77777777" w:rsidR="00454A29" w:rsidRDefault="00454A29">
            <w:pPr>
              <w:pStyle w:val="ConsPlusNormal"/>
            </w:pPr>
          </w:p>
        </w:tc>
        <w:tc>
          <w:tcPr>
            <w:tcW w:w="1701" w:type="dxa"/>
            <w:vAlign w:val="center"/>
          </w:tcPr>
          <w:p w14:paraId="74BE64D0" w14:textId="77777777" w:rsidR="00454A29" w:rsidRDefault="00454A29">
            <w:pPr>
              <w:pStyle w:val="ConsPlusNormal"/>
              <w:jc w:val="center"/>
            </w:pPr>
            <w:r>
              <w:t>-</w:t>
            </w:r>
          </w:p>
        </w:tc>
        <w:tc>
          <w:tcPr>
            <w:tcW w:w="1814" w:type="dxa"/>
            <w:vAlign w:val="center"/>
          </w:tcPr>
          <w:p w14:paraId="472E659D" w14:textId="77777777" w:rsidR="00454A29" w:rsidRDefault="00454A29">
            <w:pPr>
              <w:pStyle w:val="ConsPlusNormal"/>
              <w:jc w:val="center"/>
            </w:pPr>
            <w:r>
              <w:t>126 014,30</w:t>
            </w:r>
          </w:p>
        </w:tc>
      </w:tr>
      <w:tr w:rsidR="00454A29" w14:paraId="4CB6CDD8" w14:textId="77777777">
        <w:tc>
          <w:tcPr>
            <w:tcW w:w="567" w:type="dxa"/>
            <w:vMerge/>
          </w:tcPr>
          <w:p w14:paraId="5EEDF5AA" w14:textId="77777777" w:rsidR="00454A29" w:rsidRDefault="00454A29"/>
        </w:tc>
        <w:tc>
          <w:tcPr>
            <w:tcW w:w="3345" w:type="dxa"/>
            <w:vMerge/>
          </w:tcPr>
          <w:p w14:paraId="69F65771" w14:textId="77777777" w:rsidR="00454A29" w:rsidRDefault="00454A29"/>
        </w:tc>
        <w:tc>
          <w:tcPr>
            <w:tcW w:w="1701" w:type="dxa"/>
            <w:vAlign w:val="center"/>
          </w:tcPr>
          <w:p w14:paraId="2A857E57" w14:textId="77777777" w:rsidR="00454A29" w:rsidRDefault="00454A29">
            <w:pPr>
              <w:pStyle w:val="ConsPlusNormal"/>
              <w:jc w:val="center"/>
            </w:pPr>
            <w:r>
              <w:t>2017</w:t>
            </w:r>
          </w:p>
        </w:tc>
        <w:tc>
          <w:tcPr>
            <w:tcW w:w="1417" w:type="dxa"/>
            <w:vMerge/>
          </w:tcPr>
          <w:p w14:paraId="5E4CA5D9" w14:textId="77777777" w:rsidR="00454A29" w:rsidRDefault="00454A29"/>
        </w:tc>
        <w:tc>
          <w:tcPr>
            <w:tcW w:w="2204" w:type="dxa"/>
            <w:vMerge/>
          </w:tcPr>
          <w:p w14:paraId="3D83524B" w14:textId="77777777" w:rsidR="00454A29" w:rsidRDefault="00454A29"/>
        </w:tc>
        <w:tc>
          <w:tcPr>
            <w:tcW w:w="1417" w:type="dxa"/>
            <w:vMerge/>
          </w:tcPr>
          <w:p w14:paraId="71F8E6A1" w14:textId="77777777" w:rsidR="00454A29" w:rsidRDefault="00454A29"/>
        </w:tc>
        <w:tc>
          <w:tcPr>
            <w:tcW w:w="2324" w:type="dxa"/>
            <w:vMerge/>
          </w:tcPr>
          <w:p w14:paraId="74B49117" w14:textId="77777777" w:rsidR="00454A29" w:rsidRDefault="00454A29"/>
        </w:tc>
        <w:tc>
          <w:tcPr>
            <w:tcW w:w="1701" w:type="dxa"/>
            <w:vAlign w:val="center"/>
          </w:tcPr>
          <w:p w14:paraId="4E2F210E" w14:textId="77777777" w:rsidR="00454A29" w:rsidRDefault="00454A29">
            <w:pPr>
              <w:pStyle w:val="ConsPlusNormal"/>
              <w:jc w:val="center"/>
            </w:pPr>
            <w:r>
              <w:t>85 251,76</w:t>
            </w:r>
          </w:p>
        </w:tc>
        <w:tc>
          <w:tcPr>
            <w:tcW w:w="1814" w:type="dxa"/>
            <w:vAlign w:val="center"/>
          </w:tcPr>
          <w:p w14:paraId="0114001D" w14:textId="77777777" w:rsidR="00454A29" w:rsidRDefault="00454A29">
            <w:pPr>
              <w:pStyle w:val="ConsPlusNormal"/>
              <w:jc w:val="center"/>
            </w:pPr>
            <w:r>
              <w:t>28 900,56</w:t>
            </w:r>
          </w:p>
        </w:tc>
        <w:tc>
          <w:tcPr>
            <w:tcW w:w="1701" w:type="dxa"/>
            <w:vAlign w:val="center"/>
          </w:tcPr>
          <w:p w14:paraId="77550CD5" w14:textId="77777777" w:rsidR="00454A29" w:rsidRDefault="00454A29">
            <w:pPr>
              <w:pStyle w:val="ConsPlusNormal"/>
            </w:pPr>
          </w:p>
        </w:tc>
        <w:tc>
          <w:tcPr>
            <w:tcW w:w="1701" w:type="dxa"/>
            <w:vAlign w:val="center"/>
          </w:tcPr>
          <w:p w14:paraId="14DA3F58" w14:textId="77777777" w:rsidR="00454A29" w:rsidRDefault="00454A29">
            <w:pPr>
              <w:pStyle w:val="ConsPlusNormal"/>
              <w:jc w:val="center"/>
            </w:pPr>
            <w:r>
              <w:t>4 644,77</w:t>
            </w:r>
          </w:p>
        </w:tc>
        <w:tc>
          <w:tcPr>
            <w:tcW w:w="1814" w:type="dxa"/>
            <w:vAlign w:val="center"/>
          </w:tcPr>
          <w:p w14:paraId="13BCCAA5" w14:textId="77777777" w:rsidR="00454A29" w:rsidRDefault="00454A29">
            <w:pPr>
              <w:pStyle w:val="ConsPlusNormal"/>
              <w:jc w:val="center"/>
            </w:pPr>
            <w:r>
              <w:t>51 706,43</w:t>
            </w:r>
          </w:p>
        </w:tc>
      </w:tr>
      <w:tr w:rsidR="00454A29" w14:paraId="2C28A78C" w14:textId="77777777">
        <w:tc>
          <w:tcPr>
            <w:tcW w:w="567" w:type="dxa"/>
            <w:vMerge/>
          </w:tcPr>
          <w:p w14:paraId="1C03B043" w14:textId="77777777" w:rsidR="00454A29" w:rsidRDefault="00454A29"/>
        </w:tc>
        <w:tc>
          <w:tcPr>
            <w:tcW w:w="3345" w:type="dxa"/>
            <w:vMerge/>
          </w:tcPr>
          <w:p w14:paraId="548DB72E" w14:textId="77777777" w:rsidR="00454A29" w:rsidRDefault="00454A29"/>
        </w:tc>
        <w:tc>
          <w:tcPr>
            <w:tcW w:w="1701" w:type="dxa"/>
            <w:vAlign w:val="center"/>
          </w:tcPr>
          <w:p w14:paraId="5BB94C6E" w14:textId="77777777" w:rsidR="00454A29" w:rsidRDefault="00454A29">
            <w:pPr>
              <w:pStyle w:val="ConsPlusNormal"/>
              <w:jc w:val="center"/>
            </w:pPr>
            <w:r>
              <w:t>2018</w:t>
            </w:r>
          </w:p>
        </w:tc>
        <w:tc>
          <w:tcPr>
            <w:tcW w:w="1417" w:type="dxa"/>
            <w:vMerge/>
          </w:tcPr>
          <w:p w14:paraId="6EB6074D" w14:textId="77777777" w:rsidR="00454A29" w:rsidRDefault="00454A29"/>
        </w:tc>
        <w:tc>
          <w:tcPr>
            <w:tcW w:w="2204" w:type="dxa"/>
            <w:vMerge/>
          </w:tcPr>
          <w:p w14:paraId="58431207" w14:textId="77777777" w:rsidR="00454A29" w:rsidRDefault="00454A29"/>
        </w:tc>
        <w:tc>
          <w:tcPr>
            <w:tcW w:w="1417" w:type="dxa"/>
            <w:vMerge/>
          </w:tcPr>
          <w:p w14:paraId="20177687" w14:textId="77777777" w:rsidR="00454A29" w:rsidRDefault="00454A29"/>
        </w:tc>
        <w:tc>
          <w:tcPr>
            <w:tcW w:w="2324" w:type="dxa"/>
            <w:vMerge/>
          </w:tcPr>
          <w:p w14:paraId="3F2AE6AB" w14:textId="77777777" w:rsidR="00454A29" w:rsidRDefault="00454A29"/>
        </w:tc>
        <w:tc>
          <w:tcPr>
            <w:tcW w:w="1701" w:type="dxa"/>
            <w:vAlign w:val="center"/>
          </w:tcPr>
          <w:p w14:paraId="6BE00EDA" w14:textId="77777777" w:rsidR="00454A29" w:rsidRDefault="00454A29">
            <w:pPr>
              <w:pStyle w:val="ConsPlusNormal"/>
              <w:jc w:val="center"/>
            </w:pPr>
            <w:r>
              <w:t>47 635,56</w:t>
            </w:r>
          </w:p>
        </w:tc>
        <w:tc>
          <w:tcPr>
            <w:tcW w:w="1814" w:type="dxa"/>
            <w:vAlign w:val="center"/>
          </w:tcPr>
          <w:p w14:paraId="0DA6AE25" w14:textId="77777777" w:rsidR="00454A29" w:rsidRDefault="00454A29">
            <w:pPr>
              <w:pStyle w:val="ConsPlusNormal"/>
              <w:jc w:val="center"/>
            </w:pPr>
            <w:r>
              <w:t>33 701,24</w:t>
            </w:r>
          </w:p>
        </w:tc>
        <w:tc>
          <w:tcPr>
            <w:tcW w:w="1701" w:type="dxa"/>
            <w:vAlign w:val="center"/>
          </w:tcPr>
          <w:p w14:paraId="4E73791D" w14:textId="77777777" w:rsidR="00454A29" w:rsidRDefault="00454A29">
            <w:pPr>
              <w:pStyle w:val="ConsPlusNormal"/>
            </w:pPr>
          </w:p>
        </w:tc>
        <w:tc>
          <w:tcPr>
            <w:tcW w:w="1701" w:type="dxa"/>
            <w:vAlign w:val="center"/>
          </w:tcPr>
          <w:p w14:paraId="3EFA25CD" w14:textId="77777777" w:rsidR="00454A29" w:rsidRDefault="00454A29">
            <w:pPr>
              <w:pStyle w:val="ConsPlusNormal"/>
              <w:jc w:val="center"/>
            </w:pPr>
            <w:r>
              <w:t>13 934,32</w:t>
            </w:r>
          </w:p>
        </w:tc>
        <w:tc>
          <w:tcPr>
            <w:tcW w:w="1814" w:type="dxa"/>
            <w:vAlign w:val="center"/>
          </w:tcPr>
          <w:p w14:paraId="1D890244" w14:textId="77777777" w:rsidR="00454A29" w:rsidRDefault="00454A29">
            <w:pPr>
              <w:pStyle w:val="ConsPlusNormal"/>
            </w:pPr>
          </w:p>
        </w:tc>
      </w:tr>
      <w:tr w:rsidR="00454A29" w14:paraId="754C837E" w14:textId="77777777">
        <w:tc>
          <w:tcPr>
            <w:tcW w:w="567" w:type="dxa"/>
            <w:vMerge/>
          </w:tcPr>
          <w:p w14:paraId="2EB06C38" w14:textId="77777777" w:rsidR="00454A29" w:rsidRDefault="00454A29"/>
        </w:tc>
        <w:tc>
          <w:tcPr>
            <w:tcW w:w="3345" w:type="dxa"/>
            <w:vMerge/>
          </w:tcPr>
          <w:p w14:paraId="41346953" w14:textId="77777777" w:rsidR="00454A29" w:rsidRDefault="00454A29"/>
        </w:tc>
        <w:tc>
          <w:tcPr>
            <w:tcW w:w="1701" w:type="dxa"/>
            <w:vAlign w:val="center"/>
          </w:tcPr>
          <w:p w14:paraId="12B96BD9" w14:textId="77777777" w:rsidR="00454A29" w:rsidRDefault="00454A29">
            <w:pPr>
              <w:pStyle w:val="ConsPlusNormal"/>
              <w:jc w:val="center"/>
            </w:pPr>
            <w:r>
              <w:t>2019</w:t>
            </w:r>
          </w:p>
        </w:tc>
        <w:tc>
          <w:tcPr>
            <w:tcW w:w="1417" w:type="dxa"/>
            <w:vMerge/>
          </w:tcPr>
          <w:p w14:paraId="6E6B1D60" w14:textId="77777777" w:rsidR="00454A29" w:rsidRDefault="00454A29"/>
        </w:tc>
        <w:tc>
          <w:tcPr>
            <w:tcW w:w="2204" w:type="dxa"/>
            <w:vMerge/>
          </w:tcPr>
          <w:p w14:paraId="1E52D8E6" w14:textId="77777777" w:rsidR="00454A29" w:rsidRDefault="00454A29"/>
        </w:tc>
        <w:tc>
          <w:tcPr>
            <w:tcW w:w="1417" w:type="dxa"/>
            <w:vMerge/>
          </w:tcPr>
          <w:p w14:paraId="6B57AE1E" w14:textId="77777777" w:rsidR="00454A29" w:rsidRDefault="00454A29"/>
        </w:tc>
        <w:tc>
          <w:tcPr>
            <w:tcW w:w="2324" w:type="dxa"/>
            <w:vMerge/>
          </w:tcPr>
          <w:p w14:paraId="1DBFA871" w14:textId="77777777" w:rsidR="00454A29" w:rsidRDefault="00454A29"/>
        </w:tc>
        <w:tc>
          <w:tcPr>
            <w:tcW w:w="1701" w:type="dxa"/>
            <w:vAlign w:val="center"/>
          </w:tcPr>
          <w:p w14:paraId="5CADAE1F" w14:textId="77777777" w:rsidR="00454A29" w:rsidRDefault="00454A29">
            <w:pPr>
              <w:pStyle w:val="ConsPlusNormal"/>
              <w:jc w:val="center"/>
            </w:pPr>
            <w:r>
              <w:t>47 357,30</w:t>
            </w:r>
          </w:p>
        </w:tc>
        <w:tc>
          <w:tcPr>
            <w:tcW w:w="1814" w:type="dxa"/>
            <w:vAlign w:val="center"/>
          </w:tcPr>
          <w:p w14:paraId="0DFDC883" w14:textId="77777777" w:rsidR="00454A29" w:rsidRDefault="00454A29">
            <w:pPr>
              <w:pStyle w:val="ConsPlusNormal"/>
              <w:jc w:val="center"/>
            </w:pPr>
            <w:r>
              <w:t>32 795,94</w:t>
            </w:r>
          </w:p>
        </w:tc>
        <w:tc>
          <w:tcPr>
            <w:tcW w:w="1701" w:type="dxa"/>
            <w:vAlign w:val="center"/>
          </w:tcPr>
          <w:p w14:paraId="5C01F69F" w14:textId="77777777" w:rsidR="00454A29" w:rsidRDefault="00454A29">
            <w:pPr>
              <w:pStyle w:val="ConsPlusNormal"/>
            </w:pPr>
          </w:p>
        </w:tc>
        <w:tc>
          <w:tcPr>
            <w:tcW w:w="1701" w:type="dxa"/>
            <w:vAlign w:val="center"/>
          </w:tcPr>
          <w:p w14:paraId="525F11F8" w14:textId="77777777" w:rsidR="00454A29" w:rsidRDefault="00454A29">
            <w:pPr>
              <w:pStyle w:val="ConsPlusNormal"/>
              <w:jc w:val="center"/>
            </w:pPr>
            <w:r>
              <w:t>14 561,36</w:t>
            </w:r>
          </w:p>
        </w:tc>
        <w:tc>
          <w:tcPr>
            <w:tcW w:w="1814" w:type="dxa"/>
            <w:vAlign w:val="center"/>
          </w:tcPr>
          <w:p w14:paraId="244139A0" w14:textId="77777777" w:rsidR="00454A29" w:rsidRDefault="00454A29">
            <w:pPr>
              <w:pStyle w:val="ConsPlusNormal"/>
            </w:pPr>
          </w:p>
        </w:tc>
      </w:tr>
      <w:tr w:rsidR="00454A29" w14:paraId="2140E826" w14:textId="77777777">
        <w:tc>
          <w:tcPr>
            <w:tcW w:w="567" w:type="dxa"/>
            <w:vMerge/>
          </w:tcPr>
          <w:p w14:paraId="135D66D9" w14:textId="77777777" w:rsidR="00454A29" w:rsidRDefault="00454A29"/>
        </w:tc>
        <w:tc>
          <w:tcPr>
            <w:tcW w:w="3345" w:type="dxa"/>
            <w:vMerge/>
          </w:tcPr>
          <w:p w14:paraId="013F3FDE" w14:textId="77777777" w:rsidR="00454A29" w:rsidRDefault="00454A29"/>
        </w:tc>
        <w:tc>
          <w:tcPr>
            <w:tcW w:w="1701" w:type="dxa"/>
            <w:vAlign w:val="center"/>
          </w:tcPr>
          <w:p w14:paraId="7281E17E" w14:textId="77777777" w:rsidR="00454A29" w:rsidRDefault="00454A29">
            <w:pPr>
              <w:pStyle w:val="ConsPlusNormal"/>
              <w:jc w:val="center"/>
            </w:pPr>
            <w:r>
              <w:t>2020</w:t>
            </w:r>
          </w:p>
        </w:tc>
        <w:tc>
          <w:tcPr>
            <w:tcW w:w="1417" w:type="dxa"/>
            <w:vMerge/>
          </w:tcPr>
          <w:p w14:paraId="7BB4814D" w14:textId="77777777" w:rsidR="00454A29" w:rsidRDefault="00454A29"/>
        </w:tc>
        <w:tc>
          <w:tcPr>
            <w:tcW w:w="2204" w:type="dxa"/>
            <w:vMerge/>
          </w:tcPr>
          <w:p w14:paraId="56D16D51" w14:textId="77777777" w:rsidR="00454A29" w:rsidRDefault="00454A29"/>
        </w:tc>
        <w:tc>
          <w:tcPr>
            <w:tcW w:w="1417" w:type="dxa"/>
            <w:vMerge/>
          </w:tcPr>
          <w:p w14:paraId="3B5BB07E" w14:textId="77777777" w:rsidR="00454A29" w:rsidRDefault="00454A29"/>
        </w:tc>
        <w:tc>
          <w:tcPr>
            <w:tcW w:w="2324" w:type="dxa"/>
            <w:vMerge/>
          </w:tcPr>
          <w:p w14:paraId="478E931C" w14:textId="77777777" w:rsidR="00454A29" w:rsidRDefault="00454A29"/>
        </w:tc>
        <w:tc>
          <w:tcPr>
            <w:tcW w:w="1701" w:type="dxa"/>
            <w:vAlign w:val="center"/>
          </w:tcPr>
          <w:p w14:paraId="43AE81FF" w14:textId="77777777" w:rsidR="00454A29" w:rsidRDefault="00454A29">
            <w:pPr>
              <w:pStyle w:val="ConsPlusNormal"/>
              <w:jc w:val="center"/>
            </w:pPr>
            <w:r>
              <w:t>52 550,01</w:t>
            </w:r>
          </w:p>
        </w:tc>
        <w:tc>
          <w:tcPr>
            <w:tcW w:w="1814" w:type="dxa"/>
            <w:vAlign w:val="center"/>
          </w:tcPr>
          <w:p w14:paraId="18BDF1E6" w14:textId="77777777" w:rsidR="00454A29" w:rsidRDefault="00454A29">
            <w:pPr>
              <w:pStyle w:val="ConsPlusNormal"/>
              <w:jc w:val="center"/>
            </w:pPr>
            <w:r>
              <w:t>37 406,19</w:t>
            </w:r>
          </w:p>
        </w:tc>
        <w:tc>
          <w:tcPr>
            <w:tcW w:w="1701" w:type="dxa"/>
            <w:vAlign w:val="center"/>
          </w:tcPr>
          <w:p w14:paraId="49F5CB5D" w14:textId="77777777" w:rsidR="00454A29" w:rsidRDefault="00454A29">
            <w:pPr>
              <w:pStyle w:val="ConsPlusNormal"/>
            </w:pPr>
          </w:p>
        </w:tc>
        <w:tc>
          <w:tcPr>
            <w:tcW w:w="1701" w:type="dxa"/>
            <w:vAlign w:val="center"/>
          </w:tcPr>
          <w:p w14:paraId="75877B36" w14:textId="77777777" w:rsidR="00454A29" w:rsidRDefault="00454A29">
            <w:pPr>
              <w:pStyle w:val="ConsPlusNormal"/>
              <w:jc w:val="center"/>
            </w:pPr>
            <w:r>
              <w:t>15 143,82</w:t>
            </w:r>
          </w:p>
        </w:tc>
        <w:tc>
          <w:tcPr>
            <w:tcW w:w="1814" w:type="dxa"/>
            <w:vAlign w:val="center"/>
          </w:tcPr>
          <w:p w14:paraId="698EAAF2" w14:textId="77777777" w:rsidR="00454A29" w:rsidRDefault="00454A29">
            <w:pPr>
              <w:pStyle w:val="ConsPlusNormal"/>
            </w:pPr>
          </w:p>
        </w:tc>
      </w:tr>
      <w:tr w:rsidR="00454A29" w14:paraId="3B6AC56F" w14:textId="77777777">
        <w:tc>
          <w:tcPr>
            <w:tcW w:w="567" w:type="dxa"/>
            <w:vMerge/>
          </w:tcPr>
          <w:p w14:paraId="5216B24D" w14:textId="77777777" w:rsidR="00454A29" w:rsidRDefault="00454A29"/>
        </w:tc>
        <w:tc>
          <w:tcPr>
            <w:tcW w:w="3345" w:type="dxa"/>
            <w:vMerge/>
          </w:tcPr>
          <w:p w14:paraId="4BC30C2A" w14:textId="77777777" w:rsidR="00454A29" w:rsidRDefault="00454A29"/>
        </w:tc>
        <w:tc>
          <w:tcPr>
            <w:tcW w:w="1701" w:type="dxa"/>
            <w:vAlign w:val="center"/>
          </w:tcPr>
          <w:p w14:paraId="14B67915" w14:textId="77777777" w:rsidR="00454A29" w:rsidRDefault="00454A29">
            <w:pPr>
              <w:pStyle w:val="ConsPlusNormal"/>
              <w:jc w:val="center"/>
            </w:pPr>
            <w:r>
              <w:t>2021</w:t>
            </w:r>
          </w:p>
        </w:tc>
        <w:tc>
          <w:tcPr>
            <w:tcW w:w="1417" w:type="dxa"/>
            <w:vMerge/>
          </w:tcPr>
          <w:p w14:paraId="374FDB98" w14:textId="77777777" w:rsidR="00454A29" w:rsidRDefault="00454A29"/>
        </w:tc>
        <w:tc>
          <w:tcPr>
            <w:tcW w:w="2204" w:type="dxa"/>
            <w:vMerge/>
          </w:tcPr>
          <w:p w14:paraId="0DA81C35" w14:textId="77777777" w:rsidR="00454A29" w:rsidRDefault="00454A29"/>
        </w:tc>
        <w:tc>
          <w:tcPr>
            <w:tcW w:w="1417" w:type="dxa"/>
            <w:vMerge/>
          </w:tcPr>
          <w:p w14:paraId="054EC365" w14:textId="77777777" w:rsidR="00454A29" w:rsidRDefault="00454A29"/>
        </w:tc>
        <w:tc>
          <w:tcPr>
            <w:tcW w:w="2324" w:type="dxa"/>
            <w:vMerge/>
          </w:tcPr>
          <w:p w14:paraId="39AABEA0" w14:textId="77777777" w:rsidR="00454A29" w:rsidRDefault="00454A29"/>
        </w:tc>
        <w:tc>
          <w:tcPr>
            <w:tcW w:w="1701" w:type="dxa"/>
            <w:vAlign w:val="center"/>
          </w:tcPr>
          <w:p w14:paraId="665FDE28" w14:textId="77777777" w:rsidR="00454A29" w:rsidRDefault="00454A29">
            <w:pPr>
              <w:pStyle w:val="ConsPlusNormal"/>
              <w:jc w:val="center"/>
            </w:pPr>
            <w:r>
              <w:t>51 224,49</w:t>
            </w:r>
          </w:p>
        </w:tc>
        <w:tc>
          <w:tcPr>
            <w:tcW w:w="1814" w:type="dxa"/>
            <w:vAlign w:val="center"/>
          </w:tcPr>
          <w:p w14:paraId="06DAA32A" w14:textId="77777777" w:rsidR="00454A29" w:rsidRDefault="00454A29">
            <w:pPr>
              <w:pStyle w:val="ConsPlusNormal"/>
              <w:jc w:val="center"/>
            </w:pPr>
            <w:r>
              <w:t>35 550,64</w:t>
            </w:r>
          </w:p>
        </w:tc>
        <w:tc>
          <w:tcPr>
            <w:tcW w:w="1701" w:type="dxa"/>
            <w:vAlign w:val="center"/>
          </w:tcPr>
          <w:p w14:paraId="0CB234B0" w14:textId="77777777" w:rsidR="00454A29" w:rsidRDefault="00454A29">
            <w:pPr>
              <w:pStyle w:val="ConsPlusNormal"/>
            </w:pPr>
          </w:p>
        </w:tc>
        <w:tc>
          <w:tcPr>
            <w:tcW w:w="1701" w:type="dxa"/>
            <w:vAlign w:val="center"/>
          </w:tcPr>
          <w:p w14:paraId="2B9C00C8" w14:textId="77777777" w:rsidR="00454A29" w:rsidRDefault="00454A29">
            <w:pPr>
              <w:pStyle w:val="ConsPlusNormal"/>
              <w:jc w:val="center"/>
            </w:pPr>
            <w:r>
              <w:t>15 673,85</w:t>
            </w:r>
          </w:p>
        </w:tc>
        <w:tc>
          <w:tcPr>
            <w:tcW w:w="1814" w:type="dxa"/>
            <w:vAlign w:val="center"/>
          </w:tcPr>
          <w:p w14:paraId="1AD6BF04" w14:textId="77777777" w:rsidR="00454A29" w:rsidRDefault="00454A29">
            <w:pPr>
              <w:pStyle w:val="ConsPlusNormal"/>
            </w:pPr>
          </w:p>
        </w:tc>
      </w:tr>
      <w:tr w:rsidR="00454A29" w14:paraId="3DB4C2E4" w14:textId="77777777">
        <w:tc>
          <w:tcPr>
            <w:tcW w:w="567" w:type="dxa"/>
            <w:vMerge/>
          </w:tcPr>
          <w:p w14:paraId="0A250A05" w14:textId="77777777" w:rsidR="00454A29" w:rsidRDefault="00454A29"/>
        </w:tc>
        <w:tc>
          <w:tcPr>
            <w:tcW w:w="3345" w:type="dxa"/>
            <w:vMerge/>
          </w:tcPr>
          <w:p w14:paraId="49FE1B5C" w14:textId="77777777" w:rsidR="00454A29" w:rsidRDefault="00454A29"/>
        </w:tc>
        <w:tc>
          <w:tcPr>
            <w:tcW w:w="1701" w:type="dxa"/>
            <w:vAlign w:val="center"/>
          </w:tcPr>
          <w:p w14:paraId="346C8572" w14:textId="77777777" w:rsidR="00454A29" w:rsidRDefault="00454A29">
            <w:pPr>
              <w:pStyle w:val="ConsPlusNormal"/>
              <w:jc w:val="center"/>
            </w:pPr>
            <w:r>
              <w:t>2022</w:t>
            </w:r>
          </w:p>
        </w:tc>
        <w:tc>
          <w:tcPr>
            <w:tcW w:w="1417" w:type="dxa"/>
            <w:vMerge/>
          </w:tcPr>
          <w:p w14:paraId="424824E8" w14:textId="77777777" w:rsidR="00454A29" w:rsidRDefault="00454A29"/>
        </w:tc>
        <w:tc>
          <w:tcPr>
            <w:tcW w:w="2204" w:type="dxa"/>
            <w:vMerge/>
          </w:tcPr>
          <w:p w14:paraId="64BC9E7D" w14:textId="77777777" w:rsidR="00454A29" w:rsidRDefault="00454A29"/>
        </w:tc>
        <w:tc>
          <w:tcPr>
            <w:tcW w:w="1417" w:type="dxa"/>
            <w:vMerge/>
          </w:tcPr>
          <w:p w14:paraId="331902D1" w14:textId="77777777" w:rsidR="00454A29" w:rsidRDefault="00454A29"/>
        </w:tc>
        <w:tc>
          <w:tcPr>
            <w:tcW w:w="2324" w:type="dxa"/>
            <w:vMerge/>
          </w:tcPr>
          <w:p w14:paraId="618DEADC" w14:textId="77777777" w:rsidR="00454A29" w:rsidRDefault="00454A29"/>
        </w:tc>
        <w:tc>
          <w:tcPr>
            <w:tcW w:w="1701" w:type="dxa"/>
            <w:vAlign w:val="center"/>
          </w:tcPr>
          <w:p w14:paraId="1C77D915" w14:textId="77777777" w:rsidR="00454A29" w:rsidRDefault="00454A29">
            <w:pPr>
              <w:pStyle w:val="ConsPlusNormal"/>
              <w:jc w:val="center"/>
            </w:pPr>
            <w:r>
              <w:t>55 205,83</w:t>
            </w:r>
          </w:p>
        </w:tc>
        <w:tc>
          <w:tcPr>
            <w:tcW w:w="1814" w:type="dxa"/>
            <w:vAlign w:val="center"/>
          </w:tcPr>
          <w:p w14:paraId="3CCFC854" w14:textId="77777777" w:rsidR="00454A29" w:rsidRDefault="00454A29">
            <w:pPr>
              <w:pStyle w:val="ConsPlusNormal"/>
              <w:jc w:val="center"/>
            </w:pPr>
            <w:r>
              <w:t>39 014,75</w:t>
            </w:r>
          </w:p>
        </w:tc>
        <w:tc>
          <w:tcPr>
            <w:tcW w:w="1701" w:type="dxa"/>
            <w:vAlign w:val="center"/>
          </w:tcPr>
          <w:p w14:paraId="0A452638" w14:textId="77777777" w:rsidR="00454A29" w:rsidRDefault="00454A29">
            <w:pPr>
              <w:pStyle w:val="ConsPlusNormal"/>
            </w:pPr>
          </w:p>
        </w:tc>
        <w:tc>
          <w:tcPr>
            <w:tcW w:w="1701" w:type="dxa"/>
            <w:vAlign w:val="center"/>
          </w:tcPr>
          <w:p w14:paraId="19D7F4CF" w14:textId="77777777" w:rsidR="00454A29" w:rsidRDefault="00454A29">
            <w:pPr>
              <w:pStyle w:val="ConsPlusNormal"/>
              <w:jc w:val="center"/>
            </w:pPr>
            <w:r>
              <w:t>16 191,09</w:t>
            </w:r>
          </w:p>
        </w:tc>
        <w:tc>
          <w:tcPr>
            <w:tcW w:w="1814" w:type="dxa"/>
            <w:vAlign w:val="center"/>
          </w:tcPr>
          <w:p w14:paraId="0CD76119" w14:textId="77777777" w:rsidR="00454A29" w:rsidRDefault="00454A29">
            <w:pPr>
              <w:pStyle w:val="ConsPlusNormal"/>
            </w:pPr>
          </w:p>
        </w:tc>
      </w:tr>
      <w:tr w:rsidR="00454A29" w14:paraId="6CC1991E" w14:textId="77777777">
        <w:tc>
          <w:tcPr>
            <w:tcW w:w="567" w:type="dxa"/>
            <w:vMerge/>
          </w:tcPr>
          <w:p w14:paraId="5AA57141" w14:textId="77777777" w:rsidR="00454A29" w:rsidRDefault="00454A29"/>
        </w:tc>
        <w:tc>
          <w:tcPr>
            <w:tcW w:w="3345" w:type="dxa"/>
            <w:vMerge/>
          </w:tcPr>
          <w:p w14:paraId="17F6AEF2" w14:textId="77777777" w:rsidR="00454A29" w:rsidRDefault="00454A29"/>
        </w:tc>
        <w:tc>
          <w:tcPr>
            <w:tcW w:w="1701" w:type="dxa"/>
            <w:vAlign w:val="center"/>
          </w:tcPr>
          <w:p w14:paraId="6DA235B4" w14:textId="77777777" w:rsidR="00454A29" w:rsidRDefault="00454A29">
            <w:pPr>
              <w:pStyle w:val="ConsPlusNormal"/>
              <w:jc w:val="center"/>
            </w:pPr>
            <w:r>
              <w:t>2023</w:t>
            </w:r>
          </w:p>
        </w:tc>
        <w:tc>
          <w:tcPr>
            <w:tcW w:w="1417" w:type="dxa"/>
            <w:vMerge/>
          </w:tcPr>
          <w:p w14:paraId="02F338A6" w14:textId="77777777" w:rsidR="00454A29" w:rsidRDefault="00454A29"/>
        </w:tc>
        <w:tc>
          <w:tcPr>
            <w:tcW w:w="2204" w:type="dxa"/>
            <w:vMerge/>
          </w:tcPr>
          <w:p w14:paraId="47D0EE54" w14:textId="77777777" w:rsidR="00454A29" w:rsidRDefault="00454A29"/>
        </w:tc>
        <w:tc>
          <w:tcPr>
            <w:tcW w:w="1417" w:type="dxa"/>
            <w:vMerge/>
          </w:tcPr>
          <w:p w14:paraId="3553E4EF" w14:textId="77777777" w:rsidR="00454A29" w:rsidRDefault="00454A29"/>
        </w:tc>
        <w:tc>
          <w:tcPr>
            <w:tcW w:w="2324" w:type="dxa"/>
            <w:vMerge/>
          </w:tcPr>
          <w:p w14:paraId="6E827C30" w14:textId="77777777" w:rsidR="00454A29" w:rsidRDefault="00454A29"/>
        </w:tc>
        <w:tc>
          <w:tcPr>
            <w:tcW w:w="1701" w:type="dxa"/>
            <w:vAlign w:val="center"/>
          </w:tcPr>
          <w:p w14:paraId="1EE335B3" w14:textId="77777777" w:rsidR="00454A29" w:rsidRDefault="00454A29">
            <w:pPr>
              <w:pStyle w:val="ConsPlusNormal"/>
              <w:jc w:val="center"/>
            </w:pPr>
            <w:r>
              <w:t>55 707,76</w:t>
            </w:r>
          </w:p>
        </w:tc>
        <w:tc>
          <w:tcPr>
            <w:tcW w:w="1814" w:type="dxa"/>
            <w:vAlign w:val="center"/>
          </w:tcPr>
          <w:p w14:paraId="0D8FDC09" w14:textId="77777777" w:rsidR="00454A29" w:rsidRDefault="00454A29">
            <w:pPr>
              <w:pStyle w:val="ConsPlusNormal"/>
              <w:jc w:val="center"/>
            </w:pPr>
            <w:r>
              <w:t>39 014,75</w:t>
            </w:r>
          </w:p>
        </w:tc>
        <w:tc>
          <w:tcPr>
            <w:tcW w:w="1701" w:type="dxa"/>
            <w:vAlign w:val="center"/>
          </w:tcPr>
          <w:p w14:paraId="62F90E19" w14:textId="77777777" w:rsidR="00454A29" w:rsidRDefault="00454A29">
            <w:pPr>
              <w:pStyle w:val="ConsPlusNormal"/>
            </w:pPr>
          </w:p>
        </w:tc>
        <w:tc>
          <w:tcPr>
            <w:tcW w:w="1701" w:type="dxa"/>
            <w:vAlign w:val="center"/>
          </w:tcPr>
          <w:p w14:paraId="079EC434" w14:textId="77777777" w:rsidR="00454A29" w:rsidRDefault="00454A29">
            <w:pPr>
              <w:pStyle w:val="ConsPlusNormal"/>
              <w:jc w:val="center"/>
            </w:pPr>
            <w:r>
              <w:t>16 693,01</w:t>
            </w:r>
          </w:p>
        </w:tc>
        <w:tc>
          <w:tcPr>
            <w:tcW w:w="1814" w:type="dxa"/>
            <w:vAlign w:val="center"/>
          </w:tcPr>
          <w:p w14:paraId="70D9C0AD" w14:textId="77777777" w:rsidR="00454A29" w:rsidRDefault="00454A29">
            <w:pPr>
              <w:pStyle w:val="ConsPlusNormal"/>
            </w:pPr>
          </w:p>
        </w:tc>
      </w:tr>
      <w:tr w:rsidR="00454A29" w14:paraId="49F353D5" w14:textId="77777777">
        <w:tc>
          <w:tcPr>
            <w:tcW w:w="567" w:type="dxa"/>
            <w:vMerge/>
          </w:tcPr>
          <w:p w14:paraId="5A1BFFDE" w14:textId="77777777" w:rsidR="00454A29" w:rsidRDefault="00454A29"/>
        </w:tc>
        <w:tc>
          <w:tcPr>
            <w:tcW w:w="3345" w:type="dxa"/>
            <w:vMerge/>
          </w:tcPr>
          <w:p w14:paraId="7F33DE1B" w14:textId="77777777" w:rsidR="00454A29" w:rsidRDefault="00454A29"/>
        </w:tc>
        <w:tc>
          <w:tcPr>
            <w:tcW w:w="1701" w:type="dxa"/>
            <w:vAlign w:val="center"/>
          </w:tcPr>
          <w:p w14:paraId="03DCB8AF" w14:textId="77777777" w:rsidR="00454A29" w:rsidRDefault="00454A29">
            <w:pPr>
              <w:pStyle w:val="ConsPlusNormal"/>
              <w:jc w:val="center"/>
            </w:pPr>
            <w:r>
              <w:t>2024</w:t>
            </w:r>
          </w:p>
        </w:tc>
        <w:tc>
          <w:tcPr>
            <w:tcW w:w="1417" w:type="dxa"/>
            <w:vMerge/>
          </w:tcPr>
          <w:p w14:paraId="45A5C340" w14:textId="77777777" w:rsidR="00454A29" w:rsidRDefault="00454A29"/>
        </w:tc>
        <w:tc>
          <w:tcPr>
            <w:tcW w:w="2204" w:type="dxa"/>
            <w:vMerge/>
          </w:tcPr>
          <w:p w14:paraId="03405881" w14:textId="77777777" w:rsidR="00454A29" w:rsidRDefault="00454A29"/>
        </w:tc>
        <w:tc>
          <w:tcPr>
            <w:tcW w:w="1417" w:type="dxa"/>
            <w:vMerge/>
          </w:tcPr>
          <w:p w14:paraId="568FEFB4" w14:textId="77777777" w:rsidR="00454A29" w:rsidRDefault="00454A29"/>
        </w:tc>
        <w:tc>
          <w:tcPr>
            <w:tcW w:w="2324" w:type="dxa"/>
            <w:vMerge/>
          </w:tcPr>
          <w:p w14:paraId="6AEBB7FD" w14:textId="77777777" w:rsidR="00454A29" w:rsidRDefault="00454A29"/>
        </w:tc>
        <w:tc>
          <w:tcPr>
            <w:tcW w:w="1701" w:type="dxa"/>
            <w:vAlign w:val="center"/>
          </w:tcPr>
          <w:p w14:paraId="6FFE4F75" w14:textId="77777777" w:rsidR="00454A29" w:rsidRDefault="00454A29">
            <w:pPr>
              <w:pStyle w:val="ConsPlusNormal"/>
              <w:jc w:val="center"/>
            </w:pPr>
            <w:r>
              <w:t>56 191,85</w:t>
            </w:r>
          </w:p>
        </w:tc>
        <w:tc>
          <w:tcPr>
            <w:tcW w:w="1814" w:type="dxa"/>
            <w:vAlign w:val="center"/>
          </w:tcPr>
          <w:p w14:paraId="0A3B20BC" w14:textId="77777777" w:rsidR="00454A29" w:rsidRDefault="00454A29">
            <w:pPr>
              <w:pStyle w:val="ConsPlusNormal"/>
              <w:jc w:val="center"/>
            </w:pPr>
            <w:r>
              <w:t>39 014,75</w:t>
            </w:r>
          </w:p>
        </w:tc>
        <w:tc>
          <w:tcPr>
            <w:tcW w:w="1701" w:type="dxa"/>
            <w:vAlign w:val="center"/>
          </w:tcPr>
          <w:p w14:paraId="19638F10" w14:textId="77777777" w:rsidR="00454A29" w:rsidRDefault="00454A29">
            <w:pPr>
              <w:pStyle w:val="ConsPlusNormal"/>
            </w:pPr>
          </w:p>
        </w:tc>
        <w:tc>
          <w:tcPr>
            <w:tcW w:w="1701" w:type="dxa"/>
            <w:vAlign w:val="center"/>
          </w:tcPr>
          <w:p w14:paraId="1B740639" w14:textId="77777777" w:rsidR="00454A29" w:rsidRDefault="00454A29">
            <w:pPr>
              <w:pStyle w:val="ConsPlusNormal"/>
              <w:jc w:val="center"/>
            </w:pPr>
            <w:r>
              <w:t>17 177,11</w:t>
            </w:r>
          </w:p>
        </w:tc>
        <w:tc>
          <w:tcPr>
            <w:tcW w:w="1814" w:type="dxa"/>
            <w:vAlign w:val="center"/>
          </w:tcPr>
          <w:p w14:paraId="4D1F6F08" w14:textId="77777777" w:rsidR="00454A29" w:rsidRDefault="00454A29">
            <w:pPr>
              <w:pStyle w:val="ConsPlusNormal"/>
            </w:pPr>
          </w:p>
        </w:tc>
      </w:tr>
      <w:tr w:rsidR="00454A29" w14:paraId="1D25D27F" w14:textId="77777777">
        <w:tc>
          <w:tcPr>
            <w:tcW w:w="567" w:type="dxa"/>
            <w:vMerge/>
          </w:tcPr>
          <w:p w14:paraId="16E3E8A0" w14:textId="77777777" w:rsidR="00454A29" w:rsidRDefault="00454A29"/>
        </w:tc>
        <w:tc>
          <w:tcPr>
            <w:tcW w:w="3345" w:type="dxa"/>
            <w:vMerge/>
          </w:tcPr>
          <w:p w14:paraId="405FF839" w14:textId="77777777" w:rsidR="00454A29" w:rsidRDefault="00454A29"/>
        </w:tc>
        <w:tc>
          <w:tcPr>
            <w:tcW w:w="1701" w:type="dxa"/>
            <w:vAlign w:val="center"/>
          </w:tcPr>
          <w:p w14:paraId="3CC28217" w14:textId="77777777" w:rsidR="00454A29" w:rsidRDefault="00454A29">
            <w:pPr>
              <w:pStyle w:val="ConsPlusNormal"/>
              <w:jc w:val="center"/>
            </w:pPr>
            <w:r>
              <w:t>2025</w:t>
            </w:r>
          </w:p>
        </w:tc>
        <w:tc>
          <w:tcPr>
            <w:tcW w:w="1417" w:type="dxa"/>
            <w:vMerge/>
          </w:tcPr>
          <w:p w14:paraId="0D058EF7" w14:textId="77777777" w:rsidR="00454A29" w:rsidRDefault="00454A29"/>
        </w:tc>
        <w:tc>
          <w:tcPr>
            <w:tcW w:w="2204" w:type="dxa"/>
            <w:vMerge/>
          </w:tcPr>
          <w:p w14:paraId="294A4EB5" w14:textId="77777777" w:rsidR="00454A29" w:rsidRDefault="00454A29"/>
        </w:tc>
        <w:tc>
          <w:tcPr>
            <w:tcW w:w="1417" w:type="dxa"/>
            <w:vMerge/>
          </w:tcPr>
          <w:p w14:paraId="22BA3957" w14:textId="77777777" w:rsidR="00454A29" w:rsidRDefault="00454A29"/>
        </w:tc>
        <w:tc>
          <w:tcPr>
            <w:tcW w:w="2324" w:type="dxa"/>
            <w:vMerge/>
          </w:tcPr>
          <w:p w14:paraId="5D36924D" w14:textId="77777777" w:rsidR="00454A29" w:rsidRDefault="00454A29"/>
        </w:tc>
        <w:tc>
          <w:tcPr>
            <w:tcW w:w="1701" w:type="dxa"/>
            <w:vAlign w:val="center"/>
          </w:tcPr>
          <w:p w14:paraId="119769B2" w14:textId="77777777" w:rsidR="00454A29" w:rsidRDefault="00454A29">
            <w:pPr>
              <w:pStyle w:val="ConsPlusNormal"/>
              <w:jc w:val="center"/>
            </w:pPr>
            <w:r>
              <w:t>39 014,75</w:t>
            </w:r>
          </w:p>
        </w:tc>
        <w:tc>
          <w:tcPr>
            <w:tcW w:w="1814" w:type="dxa"/>
            <w:vAlign w:val="center"/>
          </w:tcPr>
          <w:p w14:paraId="78BE7D58" w14:textId="77777777" w:rsidR="00454A29" w:rsidRDefault="00454A29">
            <w:pPr>
              <w:pStyle w:val="ConsPlusNormal"/>
              <w:jc w:val="center"/>
            </w:pPr>
            <w:r>
              <w:t>39 014,75</w:t>
            </w:r>
          </w:p>
        </w:tc>
        <w:tc>
          <w:tcPr>
            <w:tcW w:w="1701" w:type="dxa"/>
            <w:vAlign w:val="center"/>
          </w:tcPr>
          <w:p w14:paraId="3EDB9533" w14:textId="77777777" w:rsidR="00454A29" w:rsidRDefault="00454A29">
            <w:pPr>
              <w:pStyle w:val="ConsPlusNormal"/>
            </w:pPr>
          </w:p>
        </w:tc>
        <w:tc>
          <w:tcPr>
            <w:tcW w:w="1701" w:type="dxa"/>
            <w:vAlign w:val="center"/>
          </w:tcPr>
          <w:p w14:paraId="08F7A5AA" w14:textId="77777777" w:rsidR="00454A29" w:rsidRDefault="00454A29">
            <w:pPr>
              <w:pStyle w:val="ConsPlusNormal"/>
            </w:pPr>
          </w:p>
        </w:tc>
        <w:tc>
          <w:tcPr>
            <w:tcW w:w="1814" w:type="dxa"/>
            <w:vAlign w:val="center"/>
          </w:tcPr>
          <w:p w14:paraId="1F9B1FF6" w14:textId="77777777" w:rsidR="00454A29" w:rsidRDefault="00454A29">
            <w:pPr>
              <w:pStyle w:val="ConsPlusNormal"/>
            </w:pPr>
          </w:p>
        </w:tc>
      </w:tr>
      <w:tr w:rsidR="00454A29" w14:paraId="75351372" w14:textId="77777777">
        <w:tc>
          <w:tcPr>
            <w:tcW w:w="567" w:type="dxa"/>
            <w:vMerge w:val="restart"/>
            <w:vAlign w:val="center"/>
          </w:tcPr>
          <w:p w14:paraId="4F091978" w14:textId="77777777" w:rsidR="00454A29" w:rsidRDefault="00454A29">
            <w:pPr>
              <w:pStyle w:val="ConsPlusNormal"/>
              <w:jc w:val="center"/>
            </w:pPr>
            <w:r>
              <w:t>67</w:t>
            </w:r>
          </w:p>
        </w:tc>
        <w:tc>
          <w:tcPr>
            <w:tcW w:w="3345" w:type="dxa"/>
            <w:vMerge w:val="restart"/>
            <w:vAlign w:val="center"/>
          </w:tcPr>
          <w:p w14:paraId="2B22E770" w14:textId="77777777" w:rsidR="00454A29" w:rsidRDefault="00454A29">
            <w:pPr>
              <w:pStyle w:val="ConsPlusNormal"/>
              <w:jc w:val="center"/>
            </w:pPr>
            <w:r>
              <w:t>Детский сад на 240 мест в с. Сунтар Сунтарского улуса</w:t>
            </w:r>
          </w:p>
        </w:tc>
        <w:tc>
          <w:tcPr>
            <w:tcW w:w="1701" w:type="dxa"/>
            <w:vAlign w:val="center"/>
          </w:tcPr>
          <w:p w14:paraId="75157B2B" w14:textId="77777777" w:rsidR="00454A29" w:rsidRDefault="00454A29">
            <w:pPr>
              <w:pStyle w:val="ConsPlusNormal"/>
              <w:jc w:val="center"/>
            </w:pPr>
            <w:r>
              <w:t>2016 - 2025 годы - всего</w:t>
            </w:r>
          </w:p>
        </w:tc>
        <w:tc>
          <w:tcPr>
            <w:tcW w:w="1417" w:type="dxa"/>
            <w:vMerge w:val="restart"/>
            <w:vAlign w:val="center"/>
          </w:tcPr>
          <w:p w14:paraId="54230566" w14:textId="77777777" w:rsidR="00454A29" w:rsidRDefault="00454A29">
            <w:pPr>
              <w:pStyle w:val="ConsPlusNormal"/>
              <w:jc w:val="center"/>
            </w:pPr>
            <w:r>
              <w:t>272 470,97</w:t>
            </w:r>
          </w:p>
        </w:tc>
        <w:tc>
          <w:tcPr>
            <w:tcW w:w="2204" w:type="dxa"/>
            <w:vMerge w:val="restart"/>
            <w:vAlign w:val="center"/>
          </w:tcPr>
          <w:p w14:paraId="5E92FFBB" w14:textId="77777777" w:rsidR="00454A29" w:rsidRDefault="00454A29">
            <w:pPr>
              <w:pStyle w:val="ConsPlusNormal"/>
              <w:jc w:val="center"/>
            </w:pPr>
            <w:r>
              <w:t>имеется</w:t>
            </w:r>
          </w:p>
        </w:tc>
        <w:tc>
          <w:tcPr>
            <w:tcW w:w="1417" w:type="dxa"/>
            <w:vMerge w:val="restart"/>
            <w:vAlign w:val="center"/>
          </w:tcPr>
          <w:p w14:paraId="4869956E" w14:textId="77777777" w:rsidR="00454A29" w:rsidRDefault="00454A29">
            <w:pPr>
              <w:pStyle w:val="ConsPlusNormal"/>
              <w:jc w:val="center"/>
            </w:pPr>
            <w:r>
              <w:t>240</w:t>
            </w:r>
          </w:p>
        </w:tc>
        <w:tc>
          <w:tcPr>
            <w:tcW w:w="2324" w:type="dxa"/>
            <w:vMerge w:val="restart"/>
            <w:vAlign w:val="center"/>
          </w:tcPr>
          <w:p w14:paraId="15967767" w14:textId="77777777" w:rsidR="00454A29" w:rsidRDefault="00454A29">
            <w:pPr>
              <w:pStyle w:val="ConsPlusNormal"/>
              <w:jc w:val="center"/>
            </w:pPr>
            <w:r>
              <w:t>Минэкономики РС(Я)</w:t>
            </w:r>
          </w:p>
        </w:tc>
        <w:tc>
          <w:tcPr>
            <w:tcW w:w="1701" w:type="dxa"/>
            <w:vAlign w:val="center"/>
          </w:tcPr>
          <w:p w14:paraId="486F671C" w14:textId="77777777" w:rsidR="00454A29" w:rsidRDefault="00454A29">
            <w:pPr>
              <w:pStyle w:val="ConsPlusNormal"/>
              <w:jc w:val="center"/>
            </w:pPr>
            <w:r>
              <w:t>866 786,47</w:t>
            </w:r>
          </w:p>
        </w:tc>
        <w:tc>
          <w:tcPr>
            <w:tcW w:w="1814" w:type="dxa"/>
            <w:vAlign w:val="center"/>
          </w:tcPr>
          <w:p w14:paraId="74D37BF4" w14:textId="77777777" w:rsidR="00454A29" w:rsidRDefault="00454A29">
            <w:pPr>
              <w:pStyle w:val="ConsPlusNormal"/>
              <w:jc w:val="center"/>
            </w:pPr>
            <w:r>
              <w:t>426 041,47</w:t>
            </w:r>
          </w:p>
        </w:tc>
        <w:tc>
          <w:tcPr>
            <w:tcW w:w="1701" w:type="dxa"/>
            <w:vAlign w:val="center"/>
          </w:tcPr>
          <w:p w14:paraId="70473739" w14:textId="77777777" w:rsidR="00454A29" w:rsidRDefault="00454A29">
            <w:pPr>
              <w:pStyle w:val="ConsPlusNormal"/>
              <w:jc w:val="center"/>
            </w:pPr>
            <w:r>
              <w:t>-</w:t>
            </w:r>
          </w:p>
        </w:tc>
        <w:tc>
          <w:tcPr>
            <w:tcW w:w="1701" w:type="dxa"/>
            <w:vAlign w:val="center"/>
          </w:tcPr>
          <w:p w14:paraId="771E8203" w14:textId="77777777" w:rsidR="00454A29" w:rsidRDefault="00454A29">
            <w:pPr>
              <w:pStyle w:val="ConsPlusNormal"/>
              <w:jc w:val="center"/>
            </w:pPr>
            <w:r>
              <w:t>168 324,02</w:t>
            </w:r>
          </w:p>
        </w:tc>
        <w:tc>
          <w:tcPr>
            <w:tcW w:w="1814" w:type="dxa"/>
            <w:vAlign w:val="center"/>
          </w:tcPr>
          <w:p w14:paraId="686E941D" w14:textId="77777777" w:rsidR="00454A29" w:rsidRDefault="00454A29">
            <w:pPr>
              <w:pStyle w:val="ConsPlusNormal"/>
              <w:jc w:val="center"/>
            </w:pPr>
            <w:r>
              <w:t>272 420,97</w:t>
            </w:r>
          </w:p>
        </w:tc>
      </w:tr>
      <w:tr w:rsidR="00454A29" w14:paraId="35FE2CAE" w14:textId="77777777">
        <w:tc>
          <w:tcPr>
            <w:tcW w:w="567" w:type="dxa"/>
            <w:vMerge/>
          </w:tcPr>
          <w:p w14:paraId="1037E05F" w14:textId="77777777" w:rsidR="00454A29" w:rsidRDefault="00454A29"/>
        </w:tc>
        <w:tc>
          <w:tcPr>
            <w:tcW w:w="3345" w:type="dxa"/>
            <w:vMerge/>
          </w:tcPr>
          <w:p w14:paraId="4AA75BFA" w14:textId="77777777" w:rsidR="00454A29" w:rsidRDefault="00454A29"/>
        </w:tc>
        <w:tc>
          <w:tcPr>
            <w:tcW w:w="1701" w:type="dxa"/>
            <w:vAlign w:val="center"/>
          </w:tcPr>
          <w:p w14:paraId="118059E5" w14:textId="77777777" w:rsidR="00454A29" w:rsidRDefault="00454A29">
            <w:pPr>
              <w:pStyle w:val="ConsPlusNormal"/>
              <w:jc w:val="center"/>
            </w:pPr>
            <w:r>
              <w:t>2016</w:t>
            </w:r>
          </w:p>
        </w:tc>
        <w:tc>
          <w:tcPr>
            <w:tcW w:w="1417" w:type="dxa"/>
            <w:vMerge/>
          </w:tcPr>
          <w:p w14:paraId="04055207" w14:textId="77777777" w:rsidR="00454A29" w:rsidRDefault="00454A29"/>
        </w:tc>
        <w:tc>
          <w:tcPr>
            <w:tcW w:w="2204" w:type="dxa"/>
            <w:vMerge/>
          </w:tcPr>
          <w:p w14:paraId="5B2893FC" w14:textId="77777777" w:rsidR="00454A29" w:rsidRDefault="00454A29"/>
        </w:tc>
        <w:tc>
          <w:tcPr>
            <w:tcW w:w="1417" w:type="dxa"/>
            <w:vMerge/>
          </w:tcPr>
          <w:p w14:paraId="3EC2024A" w14:textId="77777777" w:rsidR="00454A29" w:rsidRDefault="00454A29"/>
        </w:tc>
        <w:tc>
          <w:tcPr>
            <w:tcW w:w="2324" w:type="dxa"/>
            <w:vMerge/>
          </w:tcPr>
          <w:p w14:paraId="33DE9F42" w14:textId="77777777" w:rsidR="00454A29" w:rsidRDefault="00454A29"/>
        </w:tc>
        <w:tc>
          <w:tcPr>
            <w:tcW w:w="1701" w:type="dxa"/>
            <w:vAlign w:val="center"/>
          </w:tcPr>
          <w:p w14:paraId="7E9080AA" w14:textId="77777777" w:rsidR="00454A29" w:rsidRDefault="00454A29">
            <w:pPr>
              <w:pStyle w:val="ConsPlusNormal"/>
              <w:jc w:val="center"/>
            </w:pPr>
            <w:r>
              <w:t>159 273,01</w:t>
            </w:r>
          </w:p>
        </w:tc>
        <w:tc>
          <w:tcPr>
            <w:tcW w:w="1814" w:type="dxa"/>
            <w:vAlign w:val="center"/>
          </w:tcPr>
          <w:p w14:paraId="08A4E3DC" w14:textId="77777777" w:rsidR="00454A29" w:rsidRDefault="00454A29">
            <w:pPr>
              <w:pStyle w:val="ConsPlusNormal"/>
              <w:jc w:val="center"/>
            </w:pPr>
            <w:r>
              <w:t>5 201,40</w:t>
            </w:r>
          </w:p>
        </w:tc>
        <w:tc>
          <w:tcPr>
            <w:tcW w:w="1701" w:type="dxa"/>
            <w:vAlign w:val="center"/>
          </w:tcPr>
          <w:p w14:paraId="38C62A31" w14:textId="77777777" w:rsidR="00454A29" w:rsidRDefault="00454A29">
            <w:pPr>
              <w:pStyle w:val="ConsPlusNormal"/>
            </w:pPr>
          </w:p>
        </w:tc>
        <w:tc>
          <w:tcPr>
            <w:tcW w:w="1701" w:type="dxa"/>
            <w:vAlign w:val="center"/>
          </w:tcPr>
          <w:p w14:paraId="254D6747" w14:textId="77777777" w:rsidR="00454A29" w:rsidRDefault="00454A29">
            <w:pPr>
              <w:pStyle w:val="ConsPlusNormal"/>
              <w:jc w:val="center"/>
            </w:pPr>
            <w:r>
              <w:t>-</w:t>
            </w:r>
          </w:p>
        </w:tc>
        <w:tc>
          <w:tcPr>
            <w:tcW w:w="1814" w:type="dxa"/>
            <w:vAlign w:val="center"/>
          </w:tcPr>
          <w:p w14:paraId="257FE197" w14:textId="77777777" w:rsidR="00454A29" w:rsidRDefault="00454A29">
            <w:pPr>
              <w:pStyle w:val="ConsPlusNormal"/>
              <w:jc w:val="center"/>
            </w:pPr>
            <w:r>
              <w:t>154 071,61</w:t>
            </w:r>
          </w:p>
        </w:tc>
      </w:tr>
      <w:tr w:rsidR="00454A29" w14:paraId="4A8A06DF" w14:textId="77777777">
        <w:tc>
          <w:tcPr>
            <w:tcW w:w="567" w:type="dxa"/>
            <w:vMerge/>
          </w:tcPr>
          <w:p w14:paraId="7304EC58" w14:textId="77777777" w:rsidR="00454A29" w:rsidRDefault="00454A29"/>
        </w:tc>
        <w:tc>
          <w:tcPr>
            <w:tcW w:w="3345" w:type="dxa"/>
            <w:vMerge/>
          </w:tcPr>
          <w:p w14:paraId="1EEBE3B5" w14:textId="77777777" w:rsidR="00454A29" w:rsidRDefault="00454A29"/>
        </w:tc>
        <w:tc>
          <w:tcPr>
            <w:tcW w:w="1701" w:type="dxa"/>
            <w:vAlign w:val="center"/>
          </w:tcPr>
          <w:p w14:paraId="5A8B546B" w14:textId="77777777" w:rsidR="00454A29" w:rsidRDefault="00454A29">
            <w:pPr>
              <w:pStyle w:val="ConsPlusNormal"/>
              <w:jc w:val="center"/>
            </w:pPr>
            <w:r>
              <w:t>2017</w:t>
            </w:r>
          </w:p>
        </w:tc>
        <w:tc>
          <w:tcPr>
            <w:tcW w:w="1417" w:type="dxa"/>
            <w:vMerge/>
          </w:tcPr>
          <w:p w14:paraId="2E327985" w14:textId="77777777" w:rsidR="00454A29" w:rsidRDefault="00454A29"/>
        </w:tc>
        <w:tc>
          <w:tcPr>
            <w:tcW w:w="2204" w:type="dxa"/>
            <w:vMerge/>
          </w:tcPr>
          <w:p w14:paraId="616CA554" w14:textId="77777777" w:rsidR="00454A29" w:rsidRDefault="00454A29"/>
        </w:tc>
        <w:tc>
          <w:tcPr>
            <w:tcW w:w="1417" w:type="dxa"/>
            <w:vMerge/>
          </w:tcPr>
          <w:p w14:paraId="200F6255" w14:textId="77777777" w:rsidR="00454A29" w:rsidRDefault="00454A29"/>
        </w:tc>
        <w:tc>
          <w:tcPr>
            <w:tcW w:w="2324" w:type="dxa"/>
            <w:vMerge/>
          </w:tcPr>
          <w:p w14:paraId="093C100E" w14:textId="77777777" w:rsidR="00454A29" w:rsidRDefault="00454A29"/>
        </w:tc>
        <w:tc>
          <w:tcPr>
            <w:tcW w:w="1701" w:type="dxa"/>
            <w:vAlign w:val="center"/>
          </w:tcPr>
          <w:p w14:paraId="60408CE6" w14:textId="77777777" w:rsidR="00454A29" w:rsidRDefault="00454A29">
            <w:pPr>
              <w:pStyle w:val="ConsPlusNormal"/>
              <w:jc w:val="center"/>
            </w:pPr>
            <w:r>
              <w:t>192 321,87</w:t>
            </w:r>
          </w:p>
        </w:tc>
        <w:tc>
          <w:tcPr>
            <w:tcW w:w="1814" w:type="dxa"/>
            <w:vAlign w:val="center"/>
          </w:tcPr>
          <w:p w14:paraId="276A4D04" w14:textId="77777777" w:rsidR="00454A29" w:rsidRDefault="00454A29">
            <w:pPr>
              <w:pStyle w:val="ConsPlusNormal"/>
              <w:jc w:val="center"/>
            </w:pPr>
            <w:r>
              <w:t>28 978,26</w:t>
            </w:r>
          </w:p>
        </w:tc>
        <w:tc>
          <w:tcPr>
            <w:tcW w:w="1701" w:type="dxa"/>
            <w:vAlign w:val="center"/>
          </w:tcPr>
          <w:p w14:paraId="341956CA" w14:textId="77777777" w:rsidR="00454A29" w:rsidRDefault="00454A29">
            <w:pPr>
              <w:pStyle w:val="ConsPlusNormal"/>
            </w:pPr>
          </w:p>
        </w:tc>
        <w:tc>
          <w:tcPr>
            <w:tcW w:w="1701" w:type="dxa"/>
            <w:vAlign w:val="center"/>
          </w:tcPr>
          <w:p w14:paraId="4B235009" w14:textId="77777777" w:rsidR="00454A29" w:rsidRDefault="00454A29">
            <w:pPr>
              <w:pStyle w:val="ConsPlusNormal"/>
              <w:jc w:val="center"/>
            </w:pPr>
            <w:r>
              <w:t>44 994,25</w:t>
            </w:r>
          </w:p>
        </w:tc>
        <w:tc>
          <w:tcPr>
            <w:tcW w:w="1814" w:type="dxa"/>
            <w:vAlign w:val="center"/>
          </w:tcPr>
          <w:p w14:paraId="24C23C24" w14:textId="77777777" w:rsidR="00454A29" w:rsidRDefault="00454A29">
            <w:pPr>
              <w:pStyle w:val="ConsPlusNormal"/>
              <w:jc w:val="center"/>
            </w:pPr>
            <w:r>
              <w:t>118 349,36</w:t>
            </w:r>
          </w:p>
        </w:tc>
      </w:tr>
      <w:tr w:rsidR="00454A29" w14:paraId="0EBD25BC" w14:textId="77777777">
        <w:tc>
          <w:tcPr>
            <w:tcW w:w="567" w:type="dxa"/>
            <w:vMerge/>
          </w:tcPr>
          <w:p w14:paraId="2C367207" w14:textId="77777777" w:rsidR="00454A29" w:rsidRDefault="00454A29"/>
        </w:tc>
        <w:tc>
          <w:tcPr>
            <w:tcW w:w="3345" w:type="dxa"/>
            <w:vMerge/>
          </w:tcPr>
          <w:p w14:paraId="3FC1484A" w14:textId="77777777" w:rsidR="00454A29" w:rsidRDefault="00454A29"/>
        </w:tc>
        <w:tc>
          <w:tcPr>
            <w:tcW w:w="1701" w:type="dxa"/>
            <w:vAlign w:val="center"/>
          </w:tcPr>
          <w:p w14:paraId="74FF1F3D" w14:textId="77777777" w:rsidR="00454A29" w:rsidRDefault="00454A29">
            <w:pPr>
              <w:pStyle w:val="ConsPlusNormal"/>
              <w:jc w:val="center"/>
            </w:pPr>
            <w:r>
              <w:t>2018</w:t>
            </w:r>
          </w:p>
        </w:tc>
        <w:tc>
          <w:tcPr>
            <w:tcW w:w="1417" w:type="dxa"/>
            <w:vMerge/>
          </w:tcPr>
          <w:p w14:paraId="7A5E57A0" w14:textId="77777777" w:rsidR="00454A29" w:rsidRDefault="00454A29"/>
        </w:tc>
        <w:tc>
          <w:tcPr>
            <w:tcW w:w="2204" w:type="dxa"/>
            <w:vMerge/>
          </w:tcPr>
          <w:p w14:paraId="105487B2" w14:textId="77777777" w:rsidR="00454A29" w:rsidRDefault="00454A29"/>
        </w:tc>
        <w:tc>
          <w:tcPr>
            <w:tcW w:w="1417" w:type="dxa"/>
            <w:vMerge/>
          </w:tcPr>
          <w:p w14:paraId="15E660CD" w14:textId="77777777" w:rsidR="00454A29" w:rsidRDefault="00454A29"/>
        </w:tc>
        <w:tc>
          <w:tcPr>
            <w:tcW w:w="2324" w:type="dxa"/>
            <w:vMerge/>
          </w:tcPr>
          <w:p w14:paraId="421C6799" w14:textId="77777777" w:rsidR="00454A29" w:rsidRDefault="00454A29"/>
        </w:tc>
        <w:tc>
          <w:tcPr>
            <w:tcW w:w="1701" w:type="dxa"/>
            <w:vAlign w:val="center"/>
          </w:tcPr>
          <w:p w14:paraId="56BF2B3A" w14:textId="77777777" w:rsidR="00454A29" w:rsidRDefault="00454A29">
            <w:pPr>
              <w:pStyle w:val="ConsPlusNormal"/>
              <w:jc w:val="center"/>
            </w:pPr>
            <w:r>
              <w:t>64 158,19</w:t>
            </w:r>
          </w:p>
        </w:tc>
        <w:tc>
          <w:tcPr>
            <w:tcW w:w="1814" w:type="dxa"/>
            <w:vAlign w:val="center"/>
          </w:tcPr>
          <w:p w14:paraId="7EEA3751" w14:textId="77777777" w:rsidR="00454A29" w:rsidRDefault="00454A29">
            <w:pPr>
              <w:pStyle w:val="ConsPlusNormal"/>
              <w:jc w:val="center"/>
            </w:pPr>
            <w:r>
              <w:t>48 445,98</w:t>
            </w:r>
          </w:p>
        </w:tc>
        <w:tc>
          <w:tcPr>
            <w:tcW w:w="1701" w:type="dxa"/>
            <w:vAlign w:val="center"/>
          </w:tcPr>
          <w:p w14:paraId="7A592A2A" w14:textId="77777777" w:rsidR="00454A29" w:rsidRDefault="00454A29">
            <w:pPr>
              <w:pStyle w:val="ConsPlusNormal"/>
            </w:pPr>
          </w:p>
        </w:tc>
        <w:tc>
          <w:tcPr>
            <w:tcW w:w="1701" w:type="dxa"/>
            <w:vAlign w:val="center"/>
          </w:tcPr>
          <w:p w14:paraId="49B38452" w14:textId="77777777" w:rsidR="00454A29" w:rsidRDefault="00454A29">
            <w:pPr>
              <w:pStyle w:val="ConsPlusNormal"/>
              <w:jc w:val="center"/>
            </w:pPr>
            <w:r>
              <w:t>15 712,21</w:t>
            </w:r>
          </w:p>
        </w:tc>
        <w:tc>
          <w:tcPr>
            <w:tcW w:w="1814" w:type="dxa"/>
            <w:vAlign w:val="center"/>
          </w:tcPr>
          <w:p w14:paraId="06E80965" w14:textId="77777777" w:rsidR="00454A29" w:rsidRDefault="00454A29">
            <w:pPr>
              <w:pStyle w:val="ConsPlusNormal"/>
            </w:pPr>
          </w:p>
        </w:tc>
      </w:tr>
      <w:tr w:rsidR="00454A29" w14:paraId="06AC0142" w14:textId="77777777">
        <w:tc>
          <w:tcPr>
            <w:tcW w:w="567" w:type="dxa"/>
            <w:vMerge/>
          </w:tcPr>
          <w:p w14:paraId="095D6010" w14:textId="77777777" w:rsidR="00454A29" w:rsidRDefault="00454A29"/>
        </w:tc>
        <w:tc>
          <w:tcPr>
            <w:tcW w:w="3345" w:type="dxa"/>
            <w:vMerge/>
          </w:tcPr>
          <w:p w14:paraId="5E3AF338" w14:textId="77777777" w:rsidR="00454A29" w:rsidRDefault="00454A29"/>
        </w:tc>
        <w:tc>
          <w:tcPr>
            <w:tcW w:w="1701" w:type="dxa"/>
            <w:vAlign w:val="center"/>
          </w:tcPr>
          <w:p w14:paraId="16918808" w14:textId="77777777" w:rsidR="00454A29" w:rsidRDefault="00454A29">
            <w:pPr>
              <w:pStyle w:val="ConsPlusNormal"/>
              <w:jc w:val="center"/>
            </w:pPr>
            <w:r>
              <w:t>2019</w:t>
            </w:r>
          </w:p>
        </w:tc>
        <w:tc>
          <w:tcPr>
            <w:tcW w:w="1417" w:type="dxa"/>
            <w:vMerge/>
          </w:tcPr>
          <w:p w14:paraId="681C68D4" w14:textId="77777777" w:rsidR="00454A29" w:rsidRDefault="00454A29"/>
        </w:tc>
        <w:tc>
          <w:tcPr>
            <w:tcW w:w="2204" w:type="dxa"/>
            <w:vMerge/>
          </w:tcPr>
          <w:p w14:paraId="24EE89A0" w14:textId="77777777" w:rsidR="00454A29" w:rsidRDefault="00454A29"/>
        </w:tc>
        <w:tc>
          <w:tcPr>
            <w:tcW w:w="1417" w:type="dxa"/>
            <w:vMerge/>
          </w:tcPr>
          <w:p w14:paraId="6E227539" w14:textId="77777777" w:rsidR="00454A29" w:rsidRDefault="00454A29"/>
        </w:tc>
        <w:tc>
          <w:tcPr>
            <w:tcW w:w="2324" w:type="dxa"/>
            <w:vMerge/>
          </w:tcPr>
          <w:p w14:paraId="3AF7EB17" w14:textId="77777777" w:rsidR="00454A29" w:rsidRDefault="00454A29"/>
        </w:tc>
        <w:tc>
          <w:tcPr>
            <w:tcW w:w="1701" w:type="dxa"/>
            <w:vAlign w:val="center"/>
          </w:tcPr>
          <w:p w14:paraId="5402B409" w14:textId="77777777" w:rsidR="00454A29" w:rsidRDefault="00454A29">
            <w:pPr>
              <w:pStyle w:val="ConsPlusNormal"/>
              <w:jc w:val="center"/>
            </w:pPr>
            <w:r>
              <w:t>62 620,61</w:t>
            </w:r>
          </w:p>
        </w:tc>
        <w:tc>
          <w:tcPr>
            <w:tcW w:w="1814" w:type="dxa"/>
            <w:vAlign w:val="center"/>
          </w:tcPr>
          <w:p w14:paraId="06C19F94" w14:textId="77777777" w:rsidR="00454A29" w:rsidRDefault="00454A29">
            <w:pPr>
              <w:pStyle w:val="ConsPlusNormal"/>
              <w:jc w:val="center"/>
            </w:pPr>
            <w:r>
              <w:t>46 201,35</w:t>
            </w:r>
          </w:p>
        </w:tc>
        <w:tc>
          <w:tcPr>
            <w:tcW w:w="1701" w:type="dxa"/>
            <w:vAlign w:val="center"/>
          </w:tcPr>
          <w:p w14:paraId="4D13B03B" w14:textId="77777777" w:rsidR="00454A29" w:rsidRDefault="00454A29">
            <w:pPr>
              <w:pStyle w:val="ConsPlusNormal"/>
            </w:pPr>
          </w:p>
        </w:tc>
        <w:tc>
          <w:tcPr>
            <w:tcW w:w="1701" w:type="dxa"/>
            <w:vAlign w:val="center"/>
          </w:tcPr>
          <w:p w14:paraId="075C9B82" w14:textId="77777777" w:rsidR="00454A29" w:rsidRDefault="00454A29">
            <w:pPr>
              <w:pStyle w:val="ConsPlusNormal"/>
              <w:jc w:val="center"/>
            </w:pPr>
            <w:r>
              <w:t>16 419,26</w:t>
            </w:r>
          </w:p>
        </w:tc>
        <w:tc>
          <w:tcPr>
            <w:tcW w:w="1814" w:type="dxa"/>
            <w:vAlign w:val="center"/>
          </w:tcPr>
          <w:p w14:paraId="06C67610" w14:textId="77777777" w:rsidR="00454A29" w:rsidRDefault="00454A29">
            <w:pPr>
              <w:pStyle w:val="ConsPlusNormal"/>
            </w:pPr>
          </w:p>
        </w:tc>
      </w:tr>
      <w:tr w:rsidR="00454A29" w14:paraId="2213A554" w14:textId="77777777">
        <w:tc>
          <w:tcPr>
            <w:tcW w:w="567" w:type="dxa"/>
            <w:vMerge/>
          </w:tcPr>
          <w:p w14:paraId="0FB8F25C" w14:textId="77777777" w:rsidR="00454A29" w:rsidRDefault="00454A29"/>
        </w:tc>
        <w:tc>
          <w:tcPr>
            <w:tcW w:w="3345" w:type="dxa"/>
            <w:vMerge/>
          </w:tcPr>
          <w:p w14:paraId="45365B6F" w14:textId="77777777" w:rsidR="00454A29" w:rsidRDefault="00454A29"/>
        </w:tc>
        <w:tc>
          <w:tcPr>
            <w:tcW w:w="1701" w:type="dxa"/>
            <w:vAlign w:val="center"/>
          </w:tcPr>
          <w:p w14:paraId="515E8B03" w14:textId="77777777" w:rsidR="00454A29" w:rsidRDefault="00454A29">
            <w:pPr>
              <w:pStyle w:val="ConsPlusNormal"/>
              <w:jc w:val="center"/>
            </w:pPr>
            <w:r>
              <w:t>2020</w:t>
            </w:r>
          </w:p>
        </w:tc>
        <w:tc>
          <w:tcPr>
            <w:tcW w:w="1417" w:type="dxa"/>
            <w:vMerge/>
          </w:tcPr>
          <w:p w14:paraId="3307DC30" w14:textId="77777777" w:rsidR="00454A29" w:rsidRDefault="00454A29"/>
        </w:tc>
        <w:tc>
          <w:tcPr>
            <w:tcW w:w="2204" w:type="dxa"/>
            <w:vMerge/>
          </w:tcPr>
          <w:p w14:paraId="4F96FF12" w14:textId="77777777" w:rsidR="00454A29" w:rsidRDefault="00454A29"/>
        </w:tc>
        <w:tc>
          <w:tcPr>
            <w:tcW w:w="1417" w:type="dxa"/>
            <w:vMerge/>
          </w:tcPr>
          <w:p w14:paraId="6EC42303" w14:textId="77777777" w:rsidR="00454A29" w:rsidRDefault="00454A29"/>
        </w:tc>
        <w:tc>
          <w:tcPr>
            <w:tcW w:w="2324" w:type="dxa"/>
            <w:vMerge/>
          </w:tcPr>
          <w:p w14:paraId="7580233F" w14:textId="77777777" w:rsidR="00454A29" w:rsidRDefault="00454A29"/>
        </w:tc>
        <w:tc>
          <w:tcPr>
            <w:tcW w:w="1701" w:type="dxa"/>
            <w:vAlign w:val="center"/>
          </w:tcPr>
          <w:p w14:paraId="4FD51D26" w14:textId="77777777" w:rsidR="00454A29" w:rsidRDefault="00454A29">
            <w:pPr>
              <w:pStyle w:val="ConsPlusNormal"/>
              <w:jc w:val="center"/>
            </w:pPr>
            <w:r>
              <w:t>65 848,67</w:t>
            </w:r>
          </w:p>
        </w:tc>
        <w:tc>
          <w:tcPr>
            <w:tcW w:w="1814" w:type="dxa"/>
            <w:vAlign w:val="center"/>
          </w:tcPr>
          <w:p w14:paraId="3DCC1EFC" w14:textId="77777777" w:rsidR="00454A29" w:rsidRDefault="00454A29">
            <w:pPr>
              <w:pStyle w:val="ConsPlusNormal"/>
              <w:jc w:val="center"/>
            </w:pPr>
            <w:r>
              <w:t>48 772,64</w:t>
            </w:r>
          </w:p>
        </w:tc>
        <w:tc>
          <w:tcPr>
            <w:tcW w:w="1701" w:type="dxa"/>
            <w:vAlign w:val="center"/>
          </w:tcPr>
          <w:p w14:paraId="5ACD7DC4" w14:textId="77777777" w:rsidR="00454A29" w:rsidRDefault="00454A29">
            <w:pPr>
              <w:pStyle w:val="ConsPlusNormal"/>
            </w:pPr>
          </w:p>
        </w:tc>
        <w:tc>
          <w:tcPr>
            <w:tcW w:w="1701" w:type="dxa"/>
            <w:vAlign w:val="center"/>
          </w:tcPr>
          <w:p w14:paraId="185EA857" w14:textId="77777777" w:rsidR="00454A29" w:rsidRDefault="00454A29">
            <w:pPr>
              <w:pStyle w:val="ConsPlusNormal"/>
              <w:jc w:val="center"/>
            </w:pPr>
            <w:r>
              <w:t>17 076,03</w:t>
            </w:r>
          </w:p>
        </w:tc>
        <w:tc>
          <w:tcPr>
            <w:tcW w:w="1814" w:type="dxa"/>
            <w:vAlign w:val="center"/>
          </w:tcPr>
          <w:p w14:paraId="026CC6CF" w14:textId="77777777" w:rsidR="00454A29" w:rsidRDefault="00454A29">
            <w:pPr>
              <w:pStyle w:val="ConsPlusNormal"/>
            </w:pPr>
          </w:p>
        </w:tc>
      </w:tr>
      <w:tr w:rsidR="00454A29" w14:paraId="3B960461" w14:textId="77777777">
        <w:tc>
          <w:tcPr>
            <w:tcW w:w="567" w:type="dxa"/>
            <w:vMerge/>
          </w:tcPr>
          <w:p w14:paraId="66BA4ED9" w14:textId="77777777" w:rsidR="00454A29" w:rsidRDefault="00454A29"/>
        </w:tc>
        <w:tc>
          <w:tcPr>
            <w:tcW w:w="3345" w:type="dxa"/>
            <w:vMerge/>
          </w:tcPr>
          <w:p w14:paraId="146FC8AE" w14:textId="77777777" w:rsidR="00454A29" w:rsidRDefault="00454A29"/>
        </w:tc>
        <w:tc>
          <w:tcPr>
            <w:tcW w:w="1701" w:type="dxa"/>
            <w:vAlign w:val="center"/>
          </w:tcPr>
          <w:p w14:paraId="1F7279A1" w14:textId="77777777" w:rsidR="00454A29" w:rsidRDefault="00454A29">
            <w:pPr>
              <w:pStyle w:val="ConsPlusNormal"/>
              <w:jc w:val="center"/>
            </w:pPr>
            <w:r>
              <w:t>2021</w:t>
            </w:r>
          </w:p>
        </w:tc>
        <w:tc>
          <w:tcPr>
            <w:tcW w:w="1417" w:type="dxa"/>
            <w:vMerge/>
          </w:tcPr>
          <w:p w14:paraId="05B0D4BB" w14:textId="77777777" w:rsidR="00454A29" w:rsidRDefault="00454A29"/>
        </w:tc>
        <w:tc>
          <w:tcPr>
            <w:tcW w:w="2204" w:type="dxa"/>
            <w:vMerge/>
          </w:tcPr>
          <w:p w14:paraId="6BDDC919" w14:textId="77777777" w:rsidR="00454A29" w:rsidRDefault="00454A29"/>
        </w:tc>
        <w:tc>
          <w:tcPr>
            <w:tcW w:w="1417" w:type="dxa"/>
            <w:vMerge/>
          </w:tcPr>
          <w:p w14:paraId="3678A2A4" w14:textId="77777777" w:rsidR="00454A29" w:rsidRDefault="00454A29"/>
        </w:tc>
        <w:tc>
          <w:tcPr>
            <w:tcW w:w="2324" w:type="dxa"/>
            <w:vMerge/>
          </w:tcPr>
          <w:p w14:paraId="4D045068" w14:textId="77777777" w:rsidR="00454A29" w:rsidRDefault="00454A29"/>
        </w:tc>
        <w:tc>
          <w:tcPr>
            <w:tcW w:w="1701" w:type="dxa"/>
            <w:vAlign w:val="center"/>
          </w:tcPr>
          <w:p w14:paraId="398D9606" w14:textId="77777777" w:rsidR="00454A29" w:rsidRDefault="00454A29">
            <w:pPr>
              <w:pStyle w:val="ConsPlusNormal"/>
              <w:jc w:val="center"/>
            </w:pPr>
            <w:r>
              <w:t>64 590,77</w:t>
            </w:r>
          </w:p>
        </w:tc>
        <w:tc>
          <w:tcPr>
            <w:tcW w:w="1814" w:type="dxa"/>
            <w:vAlign w:val="center"/>
          </w:tcPr>
          <w:p w14:paraId="07C141C5" w14:textId="77777777" w:rsidR="00454A29" w:rsidRDefault="00454A29">
            <w:pPr>
              <w:pStyle w:val="ConsPlusNormal"/>
              <w:jc w:val="center"/>
            </w:pPr>
            <w:r>
              <w:t>46 917,08</w:t>
            </w:r>
          </w:p>
        </w:tc>
        <w:tc>
          <w:tcPr>
            <w:tcW w:w="1701" w:type="dxa"/>
            <w:vAlign w:val="center"/>
          </w:tcPr>
          <w:p w14:paraId="1C04D106" w14:textId="77777777" w:rsidR="00454A29" w:rsidRDefault="00454A29">
            <w:pPr>
              <w:pStyle w:val="ConsPlusNormal"/>
            </w:pPr>
          </w:p>
        </w:tc>
        <w:tc>
          <w:tcPr>
            <w:tcW w:w="1701" w:type="dxa"/>
            <w:vAlign w:val="center"/>
          </w:tcPr>
          <w:p w14:paraId="7FD39E54" w14:textId="77777777" w:rsidR="00454A29" w:rsidRDefault="00454A29">
            <w:pPr>
              <w:pStyle w:val="ConsPlusNormal"/>
              <w:jc w:val="center"/>
            </w:pPr>
            <w:r>
              <w:t>17 673,69</w:t>
            </w:r>
          </w:p>
        </w:tc>
        <w:tc>
          <w:tcPr>
            <w:tcW w:w="1814" w:type="dxa"/>
            <w:vAlign w:val="center"/>
          </w:tcPr>
          <w:p w14:paraId="746E03D5" w14:textId="77777777" w:rsidR="00454A29" w:rsidRDefault="00454A29">
            <w:pPr>
              <w:pStyle w:val="ConsPlusNormal"/>
            </w:pPr>
          </w:p>
        </w:tc>
      </w:tr>
      <w:tr w:rsidR="00454A29" w14:paraId="523F40B7" w14:textId="77777777">
        <w:tc>
          <w:tcPr>
            <w:tcW w:w="567" w:type="dxa"/>
            <w:vMerge/>
          </w:tcPr>
          <w:p w14:paraId="0532DCC7" w14:textId="77777777" w:rsidR="00454A29" w:rsidRDefault="00454A29"/>
        </w:tc>
        <w:tc>
          <w:tcPr>
            <w:tcW w:w="3345" w:type="dxa"/>
            <w:vMerge/>
          </w:tcPr>
          <w:p w14:paraId="0B4C621D" w14:textId="77777777" w:rsidR="00454A29" w:rsidRDefault="00454A29"/>
        </w:tc>
        <w:tc>
          <w:tcPr>
            <w:tcW w:w="1701" w:type="dxa"/>
            <w:vAlign w:val="center"/>
          </w:tcPr>
          <w:p w14:paraId="0C5C9F45" w14:textId="77777777" w:rsidR="00454A29" w:rsidRDefault="00454A29">
            <w:pPr>
              <w:pStyle w:val="ConsPlusNormal"/>
              <w:jc w:val="center"/>
            </w:pPr>
            <w:r>
              <w:t>2022</w:t>
            </w:r>
          </w:p>
        </w:tc>
        <w:tc>
          <w:tcPr>
            <w:tcW w:w="1417" w:type="dxa"/>
            <w:vMerge/>
          </w:tcPr>
          <w:p w14:paraId="5856DE66" w14:textId="77777777" w:rsidR="00454A29" w:rsidRDefault="00454A29"/>
        </w:tc>
        <w:tc>
          <w:tcPr>
            <w:tcW w:w="2204" w:type="dxa"/>
            <w:vMerge/>
          </w:tcPr>
          <w:p w14:paraId="179EE213" w14:textId="77777777" w:rsidR="00454A29" w:rsidRDefault="00454A29"/>
        </w:tc>
        <w:tc>
          <w:tcPr>
            <w:tcW w:w="1417" w:type="dxa"/>
            <w:vMerge/>
          </w:tcPr>
          <w:p w14:paraId="45539F69" w14:textId="77777777" w:rsidR="00454A29" w:rsidRDefault="00454A29"/>
        </w:tc>
        <w:tc>
          <w:tcPr>
            <w:tcW w:w="2324" w:type="dxa"/>
            <w:vMerge/>
          </w:tcPr>
          <w:p w14:paraId="341754F0" w14:textId="77777777" w:rsidR="00454A29" w:rsidRDefault="00454A29"/>
        </w:tc>
        <w:tc>
          <w:tcPr>
            <w:tcW w:w="1701" w:type="dxa"/>
            <w:vAlign w:val="center"/>
          </w:tcPr>
          <w:p w14:paraId="7E225433" w14:textId="77777777" w:rsidR="00454A29" w:rsidRDefault="00454A29">
            <w:pPr>
              <w:pStyle w:val="ConsPlusNormal"/>
              <w:jc w:val="center"/>
            </w:pPr>
            <w:r>
              <w:t>68 638,12</w:t>
            </w:r>
          </w:p>
        </w:tc>
        <w:tc>
          <w:tcPr>
            <w:tcW w:w="1814" w:type="dxa"/>
            <w:vAlign w:val="center"/>
          </w:tcPr>
          <w:p w14:paraId="060520A4" w14:textId="77777777" w:rsidR="00454A29" w:rsidRDefault="00454A29">
            <w:pPr>
              <w:pStyle w:val="ConsPlusNormal"/>
              <w:jc w:val="center"/>
            </w:pPr>
            <w:r>
              <w:t>50 381,19</w:t>
            </w:r>
          </w:p>
        </w:tc>
        <w:tc>
          <w:tcPr>
            <w:tcW w:w="1701" w:type="dxa"/>
            <w:vAlign w:val="center"/>
          </w:tcPr>
          <w:p w14:paraId="0DC1EDA7" w14:textId="77777777" w:rsidR="00454A29" w:rsidRDefault="00454A29">
            <w:pPr>
              <w:pStyle w:val="ConsPlusNormal"/>
            </w:pPr>
          </w:p>
        </w:tc>
        <w:tc>
          <w:tcPr>
            <w:tcW w:w="1701" w:type="dxa"/>
            <w:vAlign w:val="center"/>
          </w:tcPr>
          <w:p w14:paraId="63C6CA60" w14:textId="77777777" w:rsidR="00454A29" w:rsidRDefault="00454A29">
            <w:pPr>
              <w:pStyle w:val="ConsPlusNormal"/>
              <w:jc w:val="center"/>
            </w:pPr>
            <w:r>
              <w:t>18 256,93</w:t>
            </w:r>
          </w:p>
        </w:tc>
        <w:tc>
          <w:tcPr>
            <w:tcW w:w="1814" w:type="dxa"/>
            <w:vAlign w:val="center"/>
          </w:tcPr>
          <w:p w14:paraId="5C4EB33E" w14:textId="77777777" w:rsidR="00454A29" w:rsidRDefault="00454A29">
            <w:pPr>
              <w:pStyle w:val="ConsPlusNormal"/>
            </w:pPr>
          </w:p>
        </w:tc>
      </w:tr>
      <w:tr w:rsidR="00454A29" w14:paraId="281C8D0A" w14:textId="77777777">
        <w:tc>
          <w:tcPr>
            <w:tcW w:w="567" w:type="dxa"/>
            <w:vMerge/>
          </w:tcPr>
          <w:p w14:paraId="5FA29B99" w14:textId="77777777" w:rsidR="00454A29" w:rsidRDefault="00454A29"/>
        </w:tc>
        <w:tc>
          <w:tcPr>
            <w:tcW w:w="3345" w:type="dxa"/>
            <w:vMerge/>
          </w:tcPr>
          <w:p w14:paraId="7C3824BB" w14:textId="77777777" w:rsidR="00454A29" w:rsidRDefault="00454A29"/>
        </w:tc>
        <w:tc>
          <w:tcPr>
            <w:tcW w:w="1701" w:type="dxa"/>
            <w:vAlign w:val="center"/>
          </w:tcPr>
          <w:p w14:paraId="10E60635" w14:textId="77777777" w:rsidR="00454A29" w:rsidRDefault="00454A29">
            <w:pPr>
              <w:pStyle w:val="ConsPlusNormal"/>
              <w:jc w:val="center"/>
            </w:pPr>
            <w:r>
              <w:t>2023</w:t>
            </w:r>
          </w:p>
        </w:tc>
        <w:tc>
          <w:tcPr>
            <w:tcW w:w="1417" w:type="dxa"/>
            <w:vMerge/>
          </w:tcPr>
          <w:p w14:paraId="6388E4DC" w14:textId="77777777" w:rsidR="00454A29" w:rsidRDefault="00454A29"/>
        </w:tc>
        <w:tc>
          <w:tcPr>
            <w:tcW w:w="2204" w:type="dxa"/>
            <w:vMerge/>
          </w:tcPr>
          <w:p w14:paraId="15C0C250" w14:textId="77777777" w:rsidR="00454A29" w:rsidRDefault="00454A29"/>
        </w:tc>
        <w:tc>
          <w:tcPr>
            <w:tcW w:w="1417" w:type="dxa"/>
            <w:vMerge/>
          </w:tcPr>
          <w:p w14:paraId="1EEB2A3E" w14:textId="77777777" w:rsidR="00454A29" w:rsidRDefault="00454A29"/>
        </w:tc>
        <w:tc>
          <w:tcPr>
            <w:tcW w:w="2324" w:type="dxa"/>
            <w:vMerge/>
          </w:tcPr>
          <w:p w14:paraId="3EC04253" w14:textId="77777777" w:rsidR="00454A29" w:rsidRDefault="00454A29"/>
        </w:tc>
        <w:tc>
          <w:tcPr>
            <w:tcW w:w="1701" w:type="dxa"/>
            <w:vAlign w:val="center"/>
          </w:tcPr>
          <w:p w14:paraId="70BD2DA9" w14:textId="77777777" w:rsidR="00454A29" w:rsidRDefault="00454A29">
            <w:pPr>
              <w:pStyle w:val="ConsPlusNormal"/>
              <w:jc w:val="center"/>
            </w:pPr>
            <w:r>
              <w:t>69 204,08</w:t>
            </w:r>
          </w:p>
        </w:tc>
        <w:tc>
          <w:tcPr>
            <w:tcW w:w="1814" w:type="dxa"/>
            <w:vAlign w:val="center"/>
          </w:tcPr>
          <w:p w14:paraId="248D9F7D" w14:textId="77777777" w:rsidR="00454A29" w:rsidRDefault="00454A29">
            <w:pPr>
              <w:pStyle w:val="ConsPlusNormal"/>
              <w:jc w:val="center"/>
            </w:pPr>
            <w:r>
              <w:t>50 381,19</w:t>
            </w:r>
          </w:p>
        </w:tc>
        <w:tc>
          <w:tcPr>
            <w:tcW w:w="1701" w:type="dxa"/>
            <w:vAlign w:val="center"/>
          </w:tcPr>
          <w:p w14:paraId="682C31E2" w14:textId="77777777" w:rsidR="00454A29" w:rsidRDefault="00454A29">
            <w:pPr>
              <w:pStyle w:val="ConsPlusNormal"/>
            </w:pPr>
          </w:p>
        </w:tc>
        <w:tc>
          <w:tcPr>
            <w:tcW w:w="1701" w:type="dxa"/>
            <w:vAlign w:val="center"/>
          </w:tcPr>
          <w:p w14:paraId="0282A324" w14:textId="77777777" w:rsidR="00454A29" w:rsidRDefault="00454A29">
            <w:pPr>
              <w:pStyle w:val="ConsPlusNormal"/>
              <w:jc w:val="center"/>
            </w:pPr>
            <w:r>
              <w:t>18 822,89</w:t>
            </w:r>
          </w:p>
        </w:tc>
        <w:tc>
          <w:tcPr>
            <w:tcW w:w="1814" w:type="dxa"/>
            <w:vAlign w:val="center"/>
          </w:tcPr>
          <w:p w14:paraId="68B94F1A" w14:textId="77777777" w:rsidR="00454A29" w:rsidRDefault="00454A29">
            <w:pPr>
              <w:pStyle w:val="ConsPlusNormal"/>
            </w:pPr>
          </w:p>
        </w:tc>
      </w:tr>
      <w:tr w:rsidR="00454A29" w14:paraId="29E5376F" w14:textId="77777777">
        <w:tc>
          <w:tcPr>
            <w:tcW w:w="567" w:type="dxa"/>
            <w:vMerge/>
          </w:tcPr>
          <w:p w14:paraId="6A5B7506" w14:textId="77777777" w:rsidR="00454A29" w:rsidRDefault="00454A29"/>
        </w:tc>
        <w:tc>
          <w:tcPr>
            <w:tcW w:w="3345" w:type="dxa"/>
            <w:vMerge/>
          </w:tcPr>
          <w:p w14:paraId="51A55074" w14:textId="77777777" w:rsidR="00454A29" w:rsidRDefault="00454A29"/>
        </w:tc>
        <w:tc>
          <w:tcPr>
            <w:tcW w:w="1701" w:type="dxa"/>
            <w:vAlign w:val="center"/>
          </w:tcPr>
          <w:p w14:paraId="4E0C53D9" w14:textId="77777777" w:rsidR="00454A29" w:rsidRDefault="00454A29">
            <w:pPr>
              <w:pStyle w:val="ConsPlusNormal"/>
              <w:jc w:val="center"/>
            </w:pPr>
            <w:r>
              <w:t>2024</w:t>
            </w:r>
          </w:p>
        </w:tc>
        <w:tc>
          <w:tcPr>
            <w:tcW w:w="1417" w:type="dxa"/>
            <w:vMerge/>
          </w:tcPr>
          <w:p w14:paraId="49F98047" w14:textId="77777777" w:rsidR="00454A29" w:rsidRDefault="00454A29"/>
        </w:tc>
        <w:tc>
          <w:tcPr>
            <w:tcW w:w="2204" w:type="dxa"/>
            <w:vMerge/>
          </w:tcPr>
          <w:p w14:paraId="03BAF279" w14:textId="77777777" w:rsidR="00454A29" w:rsidRDefault="00454A29"/>
        </w:tc>
        <w:tc>
          <w:tcPr>
            <w:tcW w:w="1417" w:type="dxa"/>
            <w:vMerge/>
          </w:tcPr>
          <w:p w14:paraId="35F4B4CB" w14:textId="77777777" w:rsidR="00454A29" w:rsidRDefault="00454A29"/>
        </w:tc>
        <w:tc>
          <w:tcPr>
            <w:tcW w:w="2324" w:type="dxa"/>
            <w:vMerge/>
          </w:tcPr>
          <w:p w14:paraId="07C8A95D" w14:textId="77777777" w:rsidR="00454A29" w:rsidRDefault="00454A29"/>
        </w:tc>
        <w:tc>
          <w:tcPr>
            <w:tcW w:w="1701" w:type="dxa"/>
            <w:vAlign w:val="center"/>
          </w:tcPr>
          <w:p w14:paraId="3816118E" w14:textId="77777777" w:rsidR="00454A29" w:rsidRDefault="00454A29">
            <w:pPr>
              <w:pStyle w:val="ConsPlusNormal"/>
              <w:jc w:val="center"/>
            </w:pPr>
            <w:r>
              <w:t>69 749,94</w:t>
            </w:r>
          </w:p>
        </w:tc>
        <w:tc>
          <w:tcPr>
            <w:tcW w:w="1814" w:type="dxa"/>
            <w:vAlign w:val="center"/>
          </w:tcPr>
          <w:p w14:paraId="41AC33FA" w14:textId="77777777" w:rsidR="00454A29" w:rsidRDefault="00454A29">
            <w:pPr>
              <w:pStyle w:val="ConsPlusNormal"/>
              <w:jc w:val="center"/>
            </w:pPr>
            <w:r>
              <w:t>50 381,19</w:t>
            </w:r>
          </w:p>
        </w:tc>
        <w:tc>
          <w:tcPr>
            <w:tcW w:w="1701" w:type="dxa"/>
            <w:vAlign w:val="center"/>
          </w:tcPr>
          <w:p w14:paraId="0652CAED" w14:textId="77777777" w:rsidR="00454A29" w:rsidRDefault="00454A29">
            <w:pPr>
              <w:pStyle w:val="ConsPlusNormal"/>
            </w:pPr>
          </w:p>
        </w:tc>
        <w:tc>
          <w:tcPr>
            <w:tcW w:w="1701" w:type="dxa"/>
            <w:vAlign w:val="center"/>
          </w:tcPr>
          <w:p w14:paraId="313F960E" w14:textId="77777777" w:rsidR="00454A29" w:rsidRDefault="00454A29">
            <w:pPr>
              <w:pStyle w:val="ConsPlusNormal"/>
              <w:jc w:val="center"/>
            </w:pPr>
            <w:r>
              <w:t>19 368,75</w:t>
            </w:r>
          </w:p>
        </w:tc>
        <w:tc>
          <w:tcPr>
            <w:tcW w:w="1814" w:type="dxa"/>
            <w:vAlign w:val="center"/>
          </w:tcPr>
          <w:p w14:paraId="6F6C5426" w14:textId="77777777" w:rsidR="00454A29" w:rsidRDefault="00454A29">
            <w:pPr>
              <w:pStyle w:val="ConsPlusNormal"/>
            </w:pPr>
          </w:p>
        </w:tc>
      </w:tr>
      <w:tr w:rsidR="00454A29" w14:paraId="501E89B7" w14:textId="77777777">
        <w:tc>
          <w:tcPr>
            <w:tcW w:w="567" w:type="dxa"/>
            <w:vMerge/>
          </w:tcPr>
          <w:p w14:paraId="598C5A17" w14:textId="77777777" w:rsidR="00454A29" w:rsidRDefault="00454A29"/>
        </w:tc>
        <w:tc>
          <w:tcPr>
            <w:tcW w:w="3345" w:type="dxa"/>
            <w:vMerge/>
          </w:tcPr>
          <w:p w14:paraId="78690A1B" w14:textId="77777777" w:rsidR="00454A29" w:rsidRDefault="00454A29"/>
        </w:tc>
        <w:tc>
          <w:tcPr>
            <w:tcW w:w="1701" w:type="dxa"/>
            <w:vAlign w:val="center"/>
          </w:tcPr>
          <w:p w14:paraId="70B5A145" w14:textId="77777777" w:rsidR="00454A29" w:rsidRDefault="00454A29">
            <w:pPr>
              <w:pStyle w:val="ConsPlusNormal"/>
              <w:jc w:val="center"/>
            </w:pPr>
            <w:r>
              <w:t>2025</w:t>
            </w:r>
          </w:p>
        </w:tc>
        <w:tc>
          <w:tcPr>
            <w:tcW w:w="1417" w:type="dxa"/>
            <w:vMerge/>
          </w:tcPr>
          <w:p w14:paraId="02F8D0D3" w14:textId="77777777" w:rsidR="00454A29" w:rsidRDefault="00454A29"/>
        </w:tc>
        <w:tc>
          <w:tcPr>
            <w:tcW w:w="2204" w:type="dxa"/>
            <w:vMerge/>
          </w:tcPr>
          <w:p w14:paraId="1E6FF2C4" w14:textId="77777777" w:rsidR="00454A29" w:rsidRDefault="00454A29"/>
        </w:tc>
        <w:tc>
          <w:tcPr>
            <w:tcW w:w="1417" w:type="dxa"/>
            <w:vMerge/>
          </w:tcPr>
          <w:p w14:paraId="47C100F4" w14:textId="77777777" w:rsidR="00454A29" w:rsidRDefault="00454A29"/>
        </w:tc>
        <w:tc>
          <w:tcPr>
            <w:tcW w:w="2324" w:type="dxa"/>
            <w:vMerge/>
          </w:tcPr>
          <w:p w14:paraId="524E6083" w14:textId="77777777" w:rsidR="00454A29" w:rsidRDefault="00454A29"/>
        </w:tc>
        <w:tc>
          <w:tcPr>
            <w:tcW w:w="1701" w:type="dxa"/>
            <w:vAlign w:val="center"/>
          </w:tcPr>
          <w:p w14:paraId="23D9738F" w14:textId="77777777" w:rsidR="00454A29" w:rsidRDefault="00454A29">
            <w:pPr>
              <w:pStyle w:val="ConsPlusNormal"/>
              <w:jc w:val="center"/>
            </w:pPr>
            <w:r>
              <w:t>50 381,19</w:t>
            </w:r>
          </w:p>
        </w:tc>
        <w:tc>
          <w:tcPr>
            <w:tcW w:w="1814" w:type="dxa"/>
            <w:vAlign w:val="center"/>
          </w:tcPr>
          <w:p w14:paraId="6832F2FD" w14:textId="77777777" w:rsidR="00454A29" w:rsidRDefault="00454A29">
            <w:pPr>
              <w:pStyle w:val="ConsPlusNormal"/>
              <w:jc w:val="center"/>
            </w:pPr>
            <w:r>
              <w:t>50 381,19</w:t>
            </w:r>
          </w:p>
        </w:tc>
        <w:tc>
          <w:tcPr>
            <w:tcW w:w="1701" w:type="dxa"/>
            <w:vAlign w:val="center"/>
          </w:tcPr>
          <w:p w14:paraId="05A0BD0A" w14:textId="77777777" w:rsidR="00454A29" w:rsidRDefault="00454A29">
            <w:pPr>
              <w:pStyle w:val="ConsPlusNormal"/>
            </w:pPr>
          </w:p>
        </w:tc>
        <w:tc>
          <w:tcPr>
            <w:tcW w:w="1701" w:type="dxa"/>
            <w:vAlign w:val="center"/>
          </w:tcPr>
          <w:p w14:paraId="0280D60B" w14:textId="77777777" w:rsidR="00454A29" w:rsidRDefault="00454A29">
            <w:pPr>
              <w:pStyle w:val="ConsPlusNormal"/>
            </w:pPr>
          </w:p>
        </w:tc>
        <w:tc>
          <w:tcPr>
            <w:tcW w:w="1814" w:type="dxa"/>
            <w:vAlign w:val="center"/>
          </w:tcPr>
          <w:p w14:paraId="23A01A52" w14:textId="77777777" w:rsidR="00454A29" w:rsidRDefault="00454A29">
            <w:pPr>
              <w:pStyle w:val="ConsPlusNormal"/>
            </w:pPr>
          </w:p>
        </w:tc>
      </w:tr>
      <w:tr w:rsidR="00454A29" w14:paraId="16FD1E9D" w14:textId="77777777">
        <w:tc>
          <w:tcPr>
            <w:tcW w:w="567" w:type="dxa"/>
            <w:vMerge w:val="restart"/>
            <w:vAlign w:val="center"/>
          </w:tcPr>
          <w:p w14:paraId="3E961EBA" w14:textId="77777777" w:rsidR="00454A29" w:rsidRDefault="00454A29">
            <w:pPr>
              <w:pStyle w:val="ConsPlusNormal"/>
              <w:jc w:val="center"/>
            </w:pPr>
            <w:r>
              <w:t>68</w:t>
            </w:r>
          </w:p>
        </w:tc>
        <w:tc>
          <w:tcPr>
            <w:tcW w:w="3345" w:type="dxa"/>
            <w:vMerge w:val="restart"/>
            <w:vAlign w:val="center"/>
          </w:tcPr>
          <w:p w14:paraId="202598F8" w14:textId="77777777" w:rsidR="00454A29" w:rsidRDefault="00454A29">
            <w:pPr>
              <w:pStyle w:val="ConsPlusNormal"/>
              <w:jc w:val="center"/>
            </w:pPr>
            <w:r>
              <w:t>Детский сад на 140 мест в с. Ытык-Кюель Таттинского района</w:t>
            </w:r>
          </w:p>
        </w:tc>
        <w:tc>
          <w:tcPr>
            <w:tcW w:w="1701" w:type="dxa"/>
            <w:vAlign w:val="center"/>
          </w:tcPr>
          <w:p w14:paraId="5D6A1BF0" w14:textId="77777777" w:rsidR="00454A29" w:rsidRDefault="00454A29">
            <w:pPr>
              <w:pStyle w:val="ConsPlusNormal"/>
              <w:jc w:val="center"/>
            </w:pPr>
            <w:r>
              <w:t>2016 - 2025 годы - всего</w:t>
            </w:r>
          </w:p>
        </w:tc>
        <w:tc>
          <w:tcPr>
            <w:tcW w:w="1417" w:type="dxa"/>
            <w:vMerge w:val="restart"/>
            <w:vAlign w:val="center"/>
          </w:tcPr>
          <w:p w14:paraId="4ABEA8B8" w14:textId="77777777" w:rsidR="00454A29" w:rsidRDefault="00454A29">
            <w:pPr>
              <w:pStyle w:val="ConsPlusNormal"/>
              <w:jc w:val="center"/>
            </w:pPr>
            <w:r>
              <w:t>192 226,08</w:t>
            </w:r>
          </w:p>
        </w:tc>
        <w:tc>
          <w:tcPr>
            <w:tcW w:w="2204" w:type="dxa"/>
            <w:vMerge w:val="restart"/>
            <w:vAlign w:val="center"/>
          </w:tcPr>
          <w:p w14:paraId="0F5B6F37" w14:textId="77777777" w:rsidR="00454A29" w:rsidRDefault="00454A29">
            <w:pPr>
              <w:pStyle w:val="ConsPlusNormal"/>
              <w:jc w:val="center"/>
            </w:pPr>
            <w:r>
              <w:t>имеется</w:t>
            </w:r>
          </w:p>
        </w:tc>
        <w:tc>
          <w:tcPr>
            <w:tcW w:w="1417" w:type="dxa"/>
            <w:vMerge w:val="restart"/>
            <w:vAlign w:val="center"/>
          </w:tcPr>
          <w:p w14:paraId="41C658B0" w14:textId="77777777" w:rsidR="00454A29" w:rsidRDefault="00454A29">
            <w:pPr>
              <w:pStyle w:val="ConsPlusNormal"/>
              <w:jc w:val="center"/>
            </w:pPr>
            <w:r>
              <w:t>140</w:t>
            </w:r>
          </w:p>
        </w:tc>
        <w:tc>
          <w:tcPr>
            <w:tcW w:w="2324" w:type="dxa"/>
            <w:vMerge w:val="restart"/>
            <w:vAlign w:val="center"/>
          </w:tcPr>
          <w:p w14:paraId="71452B41" w14:textId="77777777" w:rsidR="00454A29" w:rsidRDefault="00454A29">
            <w:pPr>
              <w:pStyle w:val="ConsPlusNormal"/>
              <w:jc w:val="center"/>
            </w:pPr>
            <w:r>
              <w:t>Минэкономики РС(Я)</w:t>
            </w:r>
          </w:p>
        </w:tc>
        <w:tc>
          <w:tcPr>
            <w:tcW w:w="1701" w:type="dxa"/>
            <w:vAlign w:val="center"/>
          </w:tcPr>
          <w:p w14:paraId="05995C38" w14:textId="77777777" w:rsidR="00454A29" w:rsidRDefault="00454A29">
            <w:pPr>
              <w:pStyle w:val="ConsPlusNormal"/>
              <w:jc w:val="center"/>
            </w:pPr>
            <w:r>
              <w:t>656 974,08</w:t>
            </w:r>
          </w:p>
        </w:tc>
        <w:tc>
          <w:tcPr>
            <w:tcW w:w="1814" w:type="dxa"/>
            <w:vAlign w:val="center"/>
          </w:tcPr>
          <w:p w14:paraId="677390B4" w14:textId="77777777" w:rsidR="00454A29" w:rsidRDefault="00454A29">
            <w:pPr>
              <w:pStyle w:val="ConsPlusNormal"/>
              <w:jc w:val="center"/>
            </w:pPr>
            <w:r>
              <w:t>349 878,76</w:t>
            </w:r>
          </w:p>
        </w:tc>
        <w:tc>
          <w:tcPr>
            <w:tcW w:w="1701" w:type="dxa"/>
            <w:vAlign w:val="center"/>
          </w:tcPr>
          <w:p w14:paraId="57834AB7" w14:textId="77777777" w:rsidR="00454A29" w:rsidRDefault="00454A29">
            <w:pPr>
              <w:pStyle w:val="ConsPlusNormal"/>
              <w:jc w:val="center"/>
            </w:pPr>
            <w:r>
              <w:t>-</w:t>
            </w:r>
          </w:p>
        </w:tc>
        <w:tc>
          <w:tcPr>
            <w:tcW w:w="1701" w:type="dxa"/>
            <w:vAlign w:val="center"/>
          </w:tcPr>
          <w:p w14:paraId="62D63BF3" w14:textId="77777777" w:rsidR="00454A29" w:rsidRDefault="00454A29">
            <w:pPr>
              <w:pStyle w:val="ConsPlusNormal"/>
              <w:jc w:val="center"/>
            </w:pPr>
            <w:r>
              <w:t>114 869,24</w:t>
            </w:r>
          </w:p>
        </w:tc>
        <w:tc>
          <w:tcPr>
            <w:tcW w:w="1814" w:type="dxa"/>
            <w:vAlign w:val="center"/>
          </w:tcPr>
          <w:p w14:paraId="4FC6C194" w14:textId="77777777" w:rsidR="00454A29" w:rsidRDefault="00454A29">
            <w:pPr>
              <w:pStyle w:val="ConsPlusNormal"/>
              <w:jc w:val="center"/>
            </w:pPr>
            <w:r>
              <w:t>192 226,08</w:t>
            </w:r>
          </w:p>
        </w:tc>
      </w:tr>
      <w:tr w:rsidR="00454A29" w14:paraId="2A571768" w14:textId="77777777">
        <w:tc>
          <w:tcPr>
            <w:tcW w:w="567" w:type="dxa"/>
            <w:vMerge/>
          </w:tcPr>
          <w:p w14:paraId="078C2A55" w14:textId="77777777" w:rsidR="00454A29" w:rsidRDefault="00454A29"/>
        </w:tc>
        <w:tc>
          <w:tcPr>
            <w:tcW w:w="3345" w:type="dxa"/>
            <w:vMerge/>
          </w:tcPr>
          <w:p w14:paraId="2740A252" w14:textId="77777777" w:rsidR="00454A29" w:rsidRDefault="00454A29"/>
        </w:tc>
        <w:tc>
          <w:tcPr>
            <w:tcW w:w="1701" w:type="dxa"/>
            <w:vAlign w:val="center"/>
          </w:tcPr>
          <w:p w14:paraId="759FFA67" w14:textId="77777777" w:rsidR="00454A29" w:rsidRDefault="00454A29">
            <w:pPr>
              <w:pStyle w:val="ConsPlusNormal"/>
              <w:jc w:val="center"/>
            </w:pPr>
            <w:r>
              <w:t>2016</w:t>
            </w:r>
          </w:p>
        </w:tc>
        <w:tc>
          <w:tcPr>
            <w:tcW w:w="1417" w:type="dxa"/>
            <w:vMerge/>
          </w:tcPr>
          <w:p w14:paraId="155640B9" w14:textId="77777777" w:rsidR="00454A29" w:rsidRDefault="00454A29"/>
        </w:tc>
        <w:tc>
          <w:tcPr>
            <w:tcW w:w="2204" w:type="dxa"/>
            <w:vMerge/>
          </w:tcPr>
          <w:p w14:paraId="28FDC410" w14:textId="77777777" w:rsidR="00454A29" w:rsidRDefault="00454A29"/>
        </w:tc>
        <w:tc>
          <w:tcPr>
            <w:tcW w:w="1417" w:type="dxa"/>
            <w:vMerge/>
          </w:tcPr>
          <w:p w14:paraId="2A575EE6" w14:textId="77777777" w:rsidR="00454A29" w:rsidRDefault="00454A29"/>
        </w:tc>
        <w:tc>
          <w:tcPr>
            <w:tcW w:w="2324" w:type="dxa"/>
            <w:vMerge/>
          </w:tcPr>
          <w:p w14:paraId="74E06329" w14:textId="77777777" w:rsidR="00454A29" w:rsidRDefault="00454A29"/>
        </w:tc>
        <w:tc>
          <w:tcPr>
            <w:tcW w:w="1701" w:type="dxa"/>
            <w:vAlign w:val="center"/>
          </w:tcPr>
          <w:p w14:paraId="5F491248" w14:textId="77777777" w:rsidR="00454A29" w:rsidRDefault="00454A29">
            <w:pPr>
              <w:pStyle w:val="ConsPlusNormal"/>
              <w:jc w:val="center"/>
            </w:pPr>
            <w:r>
              <w:t>85 121,63</w:t>
            </w:r>
          </w:p>
        </w:tc>
        <w:tc>
          <w:tcPr>
            <w:tcW w:w="1814" w:type="dxa"/>
            <w:vAlign w:val="center"/>
          </w:tcPr>
          <w:p w14:paraId="114F2DB3" w14:textId="77777777" w:rsidR="00454A29" w:rsidRDefault="00454A29">
            <w:pPr>
              <w:pStyle w:val="ConsPlusNormal"/>
              <w:jc w:val="center"/>
            </w:pPr>
            <w:r>
              <w:t>3 709,60</w:t>
            </w:r>
          </w:p>
        </w:tc>
        <w:tc>
          <w:tcPr>
            <w:tcW w:w="1701" w:type="dxa"/>
            <w:vAlign w:val="center"/>
          </w:tcPr>
          <w:p w14:paraId="2598E1D4" w14:textId="77777777" w:rsidR="00454A29" w:rsidRDefault="00454A29">
            <w:pPr>
              <w:pStyle w:val="ConsPlusNormal"/>
            </w:pPr>
          </w:p>
        </w:tc>
        <w:tc>
          <w:tcPr>
            <w:tcW w:w="1701" w:type="dxa"/>
            <w:vAlign w:val="center"/>
          </w:tcPr>
          <w:p w14:paraId="751C4586" w14:textId="77777777" w:rsidR="00454A29" w:rsidRDefault="00454A29">
            <w:pPr>
              <w:pStyle w:val="ConsPlusNormal"/>
              <w:jc w:val="center"/>
            </w:pPr>
            <w:r>
              <w:t>-</w:t>
            </w:r>
          </w:p>
        </w:tc>
        <w:tc>
          <w:tcPr>
            <w:tcW w:w="1814" w:type="dxa"/>
            <w:vAlign w:val="center"/>
          </w:tcPr>
          <w:p w14:paraId="58A418C5" w14:textId="77777777" w:rsidR="00454A29" w:rsidRDefault="00454A29">
            <w:pPr>
              <w:pStyle w:val="ConsPlusNormal"/>
              <w:jc w:val="center"/>
            </w:pPr>
            <w:r>
              <w:t>81 412,03</w:t>
            </w:r>
          </w:p>
        </w:tc>
      </w:tr>
      <w:tr w:rsidR="00454A29" w14:paraId="5C14A9B9" w14:textId="77777777">
        <w:tc>
          <w:tcPr>
            <w:tcW w:w="567" w:type="dxa"/>
            <w:vMerge/>
          </w:tcPr>
          <w:p w14:paraId="6A29C273" w14:textId="77777777" w:rsidR="00454A29" w:rsidRDefault="00454A29"/>
        </w:tc>
        <w:tc>
          <w:tcPr>
            <w:tcW w:w="3345" w:type="dxa"/>
            <w:vMerge/>
          </w:tcPr>
          <w:p w14:paraId="5F15B587" w14:textId="77777777" w:rsidR="00454A29" w:rsidRDefault="00454A29"/>
        </w:tc>
        <w:tc>
          <w:tcPr>
            <w:tcW w:w="1701" w:type="dxa"/>
            <w:vAlign w:val="center"/>
          </w:tcPr>
          <w:p w14:paraId="5EE1F0A1" w14:textId="77777777" w:rsidR="00454A29" w:rsidRDefault="00454A29">
            <w:pPr>
              <w:pStyle w:val="ConsPlusNormal"/>
              <w:jc w:val="center"/>
            </w:pPr>
            <w:r>
              <w:t>2017</w:t>
            </w:r>
          </w:p>
        </w:tc>
        <w:tc>
          <w:tcPr>
            <w:tcW w:w="1417" w:type="dxa"/>
            <w:vMerge/>
          </w:tcPr>
          <w:p w14:paraId="1CD9429B" w14:textId="77777777" w:rsidR="00454A29" w:rsidRDefault="00454A29"/>
        </w:tc>
        <w:tc>
          <w:tcPr>
            <w:tcW w:w="2204" w:type="dxa"/>
            <w:vMerge/>
          </w:tcPr>
          <w:p w14:paraId="55DD0049" w14:textId="77777777" w:rsidR="00454A29" w:rsidRDefault="00454A29"/>
        </w:tc>
        <w:tc>
          <w:tcPr>
            <w:tcW w:w="1417" w:type="dxa"/>
            <w:vMerge/>
          </w:tcPr>
          <w:p w14:paraId="1A60D168" w14:textId="77777777" w:rsidR="00454A29" w:rsidRDefault="00454A29"/>
        </w:tc>
        <w:tc>
          <w:tcPr>
            <w:tcW w:w="2324" w:type="dxa"/>
            <w:vMerge/>
          </w:tcPr>
          <w:p w14:paraId="0F4E30F1" w14:textId="77777777" w:rsidR="00454A29" w:rsidRDefault="00454A29"/>
        </w:tc>
        <w:tc>
          <w:tcPr>
            <w:tcW w:w="1701" w:type="dxa"/>
            <w:vAlign w:val="center"/>
          </w:tcPr>
          <w:p w14:paraId="45B83CD5" w14:textId="77777777" w:rsidR="00454A29" w:rsidRDefault="00454A29">
            <w:pPr>
              <w:pStyle w:val="ConsPlusNormal"/>
              <w:jc w:val="center"/>
            </w:pPr>
            <w:r>
              <w:t>136 328,37</w:t>
            </w:r>
          </w:p>
        </w:tc>
        <w:tc>
          <w:tcPr>
            <w:tcW w:w="1814" w:type="dxa"/>
            <w:vAlign w:val="center"/>
          </w:tcPr>
          <w:p w14:paraId="48028275" w14:textId="77777777" w:rsidR="00454A29" w:rsidRDefault="00454A29">
            <w:pPr>
              <w:pStyle w:val="ConsPlusNormal"/>
              <w:jc w:val="center"/>
            </w:pPr>
            <w:r>
              <w:t>25 514,33</w:t>
            </w:r>
          </w:p>
        </w:tc>
        <w:tc>
          <w:tcPr>
            <w:tcW w:w="1701" w:type="dxa"/>
            <w:vAlign w:val="center"/>
          </w:tcPr>
          <w:p w14:paraId="23539C7F" w14:textId="77777777" w:rsidR="00454A29" w:rsidRDefault="00454A29">
            <w:pPr>
              <w:pStyle w:val="ConsPlusNormal"/>
            </w:pPr>
          </w:p>
        </w:tc>
        <w:tc>
          <w:tcPr>
            <w:tcW w:w="1701" w:type="dxa"/>
            <w:vAlign w:val="center"/>
          </w:tcPr>
          <w:p w14:paraId="59A76D61" w14:textId="77777777" w:rsidR="00454A29" w:rsidRDefault="00454A29">
            <w:pPr>
              <w:pStyle w:val="ConsPlusNormal"/>
              <w:jc w:val="center"/>
            </w:pPr>
            <w:r>
              <w:t>-</w:t>
            </w:r>
          </w:p>
        </w:tc>
        <w:tc>
          <w:tcPr>
            <w:tcW w:w="1814" w:type="dxa"/>
            <w:vAlign w:val="center"/>
          </w:tcPr>
          <w:p w14:paraId="071C19C1" w14:textId="77777777" w:rsidR="00454A29" w:rsidRDefault="00454A29">
            <w:pPr>
              <w:pStyle w:val="ConsPlusNormal"/>
              <w:jc w:val="center"/>
            </w:pPr>
            <w:r>
              <w:t>110 814,05</w:t>
            </w:r>
          </w:p>
        </w:tc>
      </w:tr>
      <w:tr w:rsidR="00454A29" w14:paraId="5F409440" w14:textId="77777777">
        <w:tc>
          <w:tcPr>
            <w:tcW w:w="567" w:type="dxa"/>
            <w:vMerge/>
          </w:tcPr>
          <w:p w14:paraId="1FC00948" w14:textId="77777777" w:rsidR="00454A29" w:rsidRDefault="00454A29"/>
        </w:tc>
        <w:tc>
          <w:tcPr>
            <w:tcW w:w="3345" w:type="dxa"/>
            <w:vMerge/>
          </w:tcPr>
          <w:p w14:paraId="2530D84A" w14:textId="77777777" w:rsidR="00454A29" w:rsidRDefault="00454A29"/>
        </w:tc>
        <w:tc>
          <w:tcPr>
            <w:tcW w:w="1701" w:type="dxa"/>
            <w:vAlign w:val="center"/>
          </w:tcPr>
          <w:p w14:paraId="5DE64D26" w14:textId="77777777" w:rsidR="00454A29" w:rsidRDefault="00454A29">
            <w:pPr>
              <w:pStyle w:val="ConsPlusNormal"/>
              <w:jc w:val="center"/>
            </w:pPr>
            <w:r>
              <w:t>2018</w:t>
            </w:r>
          </w:p>
        </w:tc>
        <w:tc>
          <w:tcPr>
            <w:tcW w:w="1417" w:type="dxa"/>
            <w:vMerge/>
          </w:tcPr>
          <w:p w14:paraId="672A8278" w14:textId="77777777" w:rsidR="00454A29" w:rsidRDefault="00454A29"/>
        </w:tc>
        <w:tc>
          <w:tcPr>
            <w:tcW w:w="2204" w:type="dxa"/>
            <w:vMerge/>
          </w:tcPr>
          <w:p w14:paraId="64DC235D" w14:textId="77777777" w:rsidR="00454A29" w:rsidRDefault="00454A29"/>
        </w:tc>
        <w:tc>
          <w:tcPr>
            <w:tcW w:w="1417" w:type="dxa"/>
            <w:vMerge/>
          </w:tcPr>
          <w:p w14:paraId="6C458498" w14:textId="77777777" w:rsidR="00454A29" w:rsidRDefault="00454A29"/>
        </w:tc>
        <w:tc>
          <w:tcPr>
            <w:tcW w:w="2324" w:type="dxa"/>
            <w:vMerge/>
          </w:tcPr>
          <w:p w14:paraId="41FCA4F1" w14:textId="77777777" w:rsidR="00454A29" w:rsidRDefault="00454A29"/>
        </w:tc>
        <w:tc>
          <w:tcPr>
            <w:tcW w:w="1701" w:type="dxa"/>
            <w:vAlign w:val="center"/>
          </w:tcPr>
          <w:p w14:paraId="145096C8" w14:textId="77777777" w:rsidR="00454A29" w:rsidRDefault="00454A29">
            <w:pPr>
              <w:pStyle w:val="ConsPlusNormal"/>
              <w:jc w:val="center"/>
            </w:pPr>
            <w:r>
              <w:t>51 353,50</w:t>
            </w:r>
          </w:p>
        </w:tc>
        <w:tc>
          <w:tcPr>
            <w:tcW w:w="1814" w:type="dxa"/>
            <w:vAlign w:val="center"/>
          </w:tcPr>
          <w:p w14:paraId="72B53957" w14:textId="77777777" w:rsidR="00454A29" w:rsidRDefault="00454A29">
            <w:pPr>
              <w:pStyle w:val="ConsPlusNormal"/>
              <w:jc w:val="center"/>
            </w:pPr>
            <w:r>
              <w:t>36 719,16</w:t>
            </w:r>
          </w:p>
        </w:tc>
        <w:tc>
          <w:tcPr>
            <w:tcW w:w="1701" w:type="dxa"/>
            <w:vAlign w:val="center"/>
          </w:tcPr>
          <w:p w14:paraId="2D65B1C6" w14:textId="77777777" w:rsidR="00454A29" w:rsidRDefault="00454A29">
            <w:pPr>
              <w:pStyle w:val="ConsPlusNormal"/>
            </w:pPr>
          </w:p>
        </w:tc>
        <w:tc>
          <w:tcPr>
            <w:tcW w:w="1701" w:type="dxa"/>
            <w:vAlign w:val="center"/>
          </w:tcPr>
          <w:p w14:paraId="3161B373" w14:textId="77777777" w:rsidR="00454A29" w:rsidRDefault="00454A29">
            <w:pPr>
              <w:pStyle w:val="ConsPlusNormal"/>
              <w:jc w:val="center"/>
            </w:pPr>
            <w:r>
              <w:t>14 634,34</w:t>
            </w:r>
          </w:p>
        </w:tc>
        <w:tc>
          <w:tcPr>
            <w:tcW w:w="1814" w:type="dxa"/>
            <w:vAlign w:val="center"/>
          </w:tcPr>
          <w:p w14:paraId="0C2E174D" w14:textId="77777777" w:rsidR="00454A29" w:rsidRDefault="00454A29">
            <w:pPr>
              <w:pStyle w:val="ConsPlusNormal"/>
            </w:pPr>
          </w:p>
        </w:tc>
      </w:tr>
      <w:tr w:rsidR="00454A29" w14:paraId="510E2610" w14:textId="77777777">
        <w:tc>
          <w:tcPr>
            <w:tcW w:w="567" w:type="dxa"/>
            <w:vMerge/>
          </w:tcPr>
          <w:p w14:paraId="4B844CB1" w14:textId="77777777" w:rsidR="00454A29" w:rsidRDefault="00454A29"/>
        </w:tc>
        <w:tc>
          <w:tcPr>
            <w:tcW w:w="3345" w:type="dxa"/>
            <w:vMerge/>
          </w:tcPr>
          <w:p w14:paraId="2D7EFC4B" w14:textId="77777777" w:rsidR="00454A29" w:rsidRDefault="00454A29"/>
        </w:tc>
        <w:tc>
          <w:tcPr>
            <w:tcW w:w="1701" w:type="dxa"/>
            <w:vAlign w:val="center"/>
          </w:tcPr>
          <w:p w14:paraId="7BA1827D" w14:textId="77777777" w:rsidR="00454A29" w:rsidRDefault="00454A29">
            <w:pPr>
              <w:pStyle w:val="ConsPlusNormal"/>
              <w:jc w:val="center"/>
            </w:pPr>
            <w:r>
              <w:t>2019</w:t>
            </w:r>
          </w:p>
        </w:tc>
        <w:tc>
          <w:tcPr>
            <w:tcW w:w="1417" w:type="dxa"/>
            <w:vMerge/>
          </w:tcPr>
          <w:p w14:paraId="7E17ECEB" w14:textId="77777777" w:rsidR="00454A29" w:rsidRDefault="00454A29"/>
        </w:tc>
        <w:tc>
          <w:tcPr>
            <w:tcW w:w="2204" w:type="dxa"/>
            <w:vMerge/>
          </w:tcPr>
          <w:p w14:paraId="76E8E8C8" w14:textId="77777777" w:rsidR="00454A29" w:rsidRDefault="00454A29"/>
        </w:tc>
        <w:tc>
          <w:tcPr>
            <w:tcW w:w="1417" w:type="dxa"/>
            <w:vMerge/>
          </w:tcPr>
          <w:p w14:paraId="603732C5" w14:textId="77777777" w:rsidR="00454A29" w:rsidRDefault="00454A29"/>
        </w:tc>
        <w:tc>
          <w:tcPr>
            <w:tcW w:w="2324" w:type="dxa"/>
            <w:vMerge/>
          </w:tcPr>
          <w:p w14:paraId="40A3A1FB" w14:textId="77777777" w:rsidR="00454A29" w:rsidRDefault="00454A29"/>
        </w:tc>
        <w:tc>
          <w:tcPr>
            <w:tcW w:w="1701" w:type="dxa"/>
            <w:vAlign w:val="center"/>
          </w:tcPr>
          <w:p w14:paraId="608A0208" w14:textId="77777777" w:rsidR="00454A29" w:rsidRDefault="00454A29">
            <w:pPr>
              <w:pStyle w:val="ConsPlusNormal"/>
              <w:jc w:val="center"/>
            </w:pPr>
            <w:r>
              <w:t>51 106,75</w:t>
            </w:r>
          </w:p>
        </w:tc>
        <w:tc>
          <w:tcPr>
            <w:tcW w:w="1814" w:type="dxa"/>
            <w:vAlign w:val="center"/>
          </w:tcPr>
          <w:p w14:paraId="297CE3AB" w14:textId="77777777" w:rsidR="00454A29" w:rsidRDefault="00454A29">
            <w:pPr>
              <w:pStyle w:val="ConsPlusNormal"/>
              <w:jc w:val="center"/>
            </w:pPr>
            <w:r>
              <w:t>35 813,86</w:t>
            </w:r>
          </w:p>
        </w:tc>
        <w:tc>
          <w:tcPr>
            <w:tcW w:w="1701" w:type="dxa"/>
            <w:vAlign w:val="center"/>
          </w:tcPr>
          <w:p w14:paraId="3736ED24" w14:textId="77777777" w:rsidR="00454A29" w:rsidRDefault="00454A29">
            <w:pPr>
              <w:pStyle w:val="ConsPlusNormal"/>
            </w:pPr>
          </w:p>
        </w:tc>
        <w:tc>
          <w:tcPr>
            <w:tcW w:w="1701" w:type="dxa"/>
            <w:vAlign w:val="center"/>
          </w:tcPr>
          <w:p w14:paraId="513445A2" w14:textId="77777777" w:rsidR="00454A29" w:rsidRDefault="00454A29">
            <w:pPr>
              <w:pStyle w:val="ConsPlusNormal"/>
              <w:jc w:val="center"/>
            </w:pPr>
            <w:r>
              <w:t>15 292,89</w:t>
            </w:r>
          </w:p>
        </w:tc>
        <w:tc>
          <w:tcPr>
            <w:tcW w:w="1814" w:type="dxa"/>
            <w:vAlign w:val="center"/>
          </w:tcPr>
          <w:p w14:paraId="5D604399" w14:textId="77777777" w:rsidR="00454A29" w:rsidRDefault="00454A29">
            <w:pPr>
              <w:pStyle w:val="ConsPlusNormal"/>
            </w:pPr>
          </w:p>
        </w:tc>
      </w:tr>
      <w:tr w:rsidR="00454A29" w14:paraId="698D9717" w14:textId="77777777">
        <w:tc>
          <w:tcPr>
            <w:tcW w:w="567" w:type="dxa"/>
            <w:vMerge/>
          </w:tcPr>
          <w:p w14:paraId="26D719B8" w14:textId="77777777" w:rsidR="00454A29" w:rsidRDefault="00454A29"/>
        </w:tc>
        <w:tc>
          <w:tcPr>
            <w:tcW w:w="3345" w:type="dxa"/>
            <w:vMerge/>
          </w:tcPr>
          <w:p w14:paraId="25025C85" w14:textId="77777777" w:rsidR="00454A29" w:rsidRDefault="00454A29"/>
        </w:tc>
        <w:tc>
          <w:tcPr>
            <w:tcW w:w="1701" w:type="dxa"/>
            <w:vAlign w:val="center"/>
          </w:tcPr>
          <w:p w14:paraId="66A42864" w14:textId="77777777" w:rsidR="00454A29" w:rsidRDefault="00454A29">
            <w:pPr>
              <w:pStyle w:val="ConsPlusNormal"/>
              <w:jc w:val="center"/>
            </w:pPr>
            <w:r>
              <w:t>2020</w:t>
            </w:r>
          </w:p>
        </w:tc>
        <w:tc>
          <w:tcPr>
            <w:tcW w:w="1417" w:type="dxa"/>
            <w:vMerge/>
          </w:tcPr>
          <w:p w14:paraId="42AE6882" w14:textId="77777777" w:rsidR="00454A29" w:rsidRDefault="00454A29"/>
        </w:tc>
        <w:tc>
          <w:tcPr>
            <w:tcW w:w="2204" w:type="dxa"/>
            <w:vMerge/>
          </w:tcPr>
          <w:p w14:paraId="37EC1772" w14:textId="77777777" w:rsidR="00454A29" w:rsidRDefault="00454A29"/>
        </w:tc>
        <w:tc>
          <w:tcPr>
            <w:tcW w:w="1417" w:type="dxa"/>
            <w:vMerge/>
          </w:tcPr>
          <w:p w14:paraId="774C508B" w14:textId="77777777" w:rsidR="00454A29" w:rsidRDefault="00454A29"/>
        </w:tc>
        <w:tc>
          <w:tcPr>
            <w:tcW w:w="2324" w:type="dxa"/>
            <w:vMerge/>
          </w:tcPr>
          <w:p w14:paraId="45BAE66C" w14:textId="77777777" w:rsidR="00454A29" w:rsidRDefault="00454A29"/>
        </w:tc>
        <w:tc>
          <w:tcPr>
            <w:tcW w:w="1701" w:type="dxa"/>
            <w:vAlign w:val="center"/>
          </w:tcPr>
          <w:p w14:paraId="2E2695E0" w14:textId="77777777" w:rsidR="00454A29" w:rsidRDefault="00454A29">
            <w:pPr>
              <w:pStyle w:val="ConsPlusNormal"/>
              <w:jc w:val="center"/>
            </w:pPr>
            <w:r>
              <w:t>56 495,13</w:t>
            </w:r>
          </w:p>
        </w:tc>
        <w:tc>
          <w:tcPr>
            <w:tcW w:w="1814" w:type="dxa"/>
            <w:vAlign w:val="center"/>
          </w:tcPr>
          <w:p w14:paraId="195087A5" w14:textId="77777777" w:rsidR="00454A29" w:rsidRDefault="00454A29">
            <w:pPr>
              <w:pStyle w:val="ConsPlusNormal"/>
              <w:jc w:val="center"/>
            </w:pPr>
            <w:r>
              <w:t>40 590,53</w:t>
            </w:r>
          </w:p>
        </w:tc>
        <w:tc>
          <w:tcPr>
            <w:tcW w:w="1701" w:type="dxa"/>
            <w:vAlign w:val="center"/>
          </w:tcPr>
          <w:p w14:paraId="4170938B" w14:textId="77777777" w:rsidR="00454A29" w:rsidRDefault="00454A29">
            <w:pPr>
              <w:pStyle w:val="ConsPlusNormal"/>
            </w:pPr>
          </w:p>
        </w:tc>
        <w:tc>
          <w:tcPr>
            <w:tcW w:w="1701" w:type="dxa"/>
            <w:vAlign w:val="center"/>
          </w:tcPr>
          <w:p w14:paraId="16D903BB" w14:textId="77777777" w:rsidR="00454A29" w:rsidRDefault="00454A29">
            <w:pPr>
              <w:pStyle w:val="ConsPlusNormal"/>
              <w:jc w:val="center"/>
            </w:pPr>
            <w:r>
              <w:t>15 904,60</w:t>
            </w:r>
          </w:p>
        </w:tc>
        <w:tc>
          <w:tcPr>
            <w:tcW w:w="1814" w:type="dxa"/>
            <w:vAlign w:val="center"/>
          </w:tcPr>
          <w:p w14:paraId="1E70D44F" w14:textId="77777777" w:rsidR="00454A29" w:rsidRDefault="00454A29">
            <w:pPr>
              <w:pStyle w:val="ConsPlusNormal"/>
            </w:pPr>
          </w:p>
        </w:tc>
      </w:tr>
      <w:tr w:rsidR="00454A29" w14:paraId="61534493" w14:textId="77777777">
        <w:tc>
          <w:tcPr>
            <w:tcW w:w="567" w:type="dxa"/>
            <w:vMerge/>
          </w:tcPr>
          <w:p w14:paraId="77EA36A0" w14:textId="77777777" w:rsidR="00454A29" w:rsidRDefault="00454A29"/>
        </w:tc>
        <w:tc>
          <w:tcPr>
            <w:tcW w:w="3345" w:type="dxa"/>
            <w:vMerge/>
          </w:tcPr>
          <w:p w14:paraId="6F3EA031" w14:textId="77777777" w:rsidR="00454A29" w:rsidRDefault="00454A29"/>
        </w:tc>
        <w:tc>
          <w:tcPr>
            <w:tcW w:w="1701" w:type="dxa"/>
            <w:vAlign w:val="center"/>
          </w:tcPr>
          <w:p w14:paraId="5094729C" w14:textId="77777777" w:rsidR="00454A29" w:rsidRDefault="00454A29">
            <w:pPr>
              <w:pStyle w:val="ConsPlusNormal"/>
              <w:jc w:val="center"/>
            </w:pPr>
            <w:r>
              <w:t>2021</w:t>
            </w:r>
          </w:p>
        </w:tc>
        <w:tc>
          <w:tcPr>
            <w:tcW w:w="1417" w:type="dxa"/>
            <w:vMerge/>
          </w:tcPr>
          <w:p w14:paraId="69FD996B" w14:textId="77777777" w:rsidR="00454A29" w:rsidRDefault="00454A29"/>
        </w:tc>
        <w:tc>
          <w:tcPr>
            <w:tcW w:w="2204" w:type="dxa"/>
            <w:vMerge/>
          </w:tcPr>
          <w:p w14:paraId="40F39A67" w14:textId="77777777" w:rsidR="00454A29" w:rsidRDefault="00454A29"/>
        </w:tc>
        <w:tc>
          <w:tcPr>
            <w:tcW w:w="1417" w:type="dxa"/>
            <w:vMerge/>
          </w:tcPr>
          <w:p w14:paraId="5C7736E9" w14:textId="77777777" w:rsidR="00454A29" w:rsidRDefault="00454A29"/>
        </w:tc>
        <w:tc>
          <w:tcPr>
            <w:tcW w:w="2324" w:type="dxa"/>
            <w:vMerge/>
          </w:tcPr>
          <w:p w14:paraId="64826C26" w14:textId="77777777" w:rsidR="00454A29" w:rsidRDefault="00454A29"/>
        </w:tc>
        <w:tc>
          <w:tcPr>
            <w:tcW w:w="1701" w:type="dxa"/>
            <w:vAlign w:val="center"/>
          </w:tcPr>
          <w:p w14:paraId="7A7BD008" w14:textId="77777777" w:rsidR="00454A29" w:rsidRDefault="00454A29">
            <w:pPr>
              <w:pStyle w:val="ConsPlusNormal"/>
              <w:jc w:val="center"/>
            </w:pPr>
            <w:r>
              <w:t>55 196,23</w:t>
            </w:r>
          </w:p>
        </w:tc>
        <w:tc>
          <w:tcPr>
            <w:tcW w:w="1814" w:type="dxa"/>
            <w:vAlign w:val="center"/>
          </w:tcPr>
          <w:p w14:paraId="7AE8C820" w14:textId="77777777" w:rsidR="00454A29" w:rsidRDefault="00454A29">
            <w:pPr>
              <w:pStyle w:val="ConsPlusNormal"/>
              <w:jc w:val="center"/>
            </w:pPr>
            <w:r>
              <w:t>38 734,97</w:t>
            </w:r>
          </w:p>
        </w:tc>
        <w:tc>
          <w:tcPr>
            <w:tcW w:w="1701" w:type="dxa"/>
            <w:vAlign w:val="center"/>
          </w:tcPr>
          <w:p w14:paraId="4F527254" w14:textId="77777777" w:rsidR="00454A29" w:rsidRDefault="00454A29">
            <w:pPr>
              <w:pStyle w:val="ConsPlusNormal"/>
            </w:pPr>
          </w:p>
        </w:tc>
        <w:tc>
          <w:tcPr>
            <w:tcW w:w="1701" w:type="dxa"/>
            <w:vAlign w:val="center"/>
          </w:tcPr>
          <w:p w14:paraId="28F8E05A" w14:textId="77777777" w:rsidR="00454A29" w:rsidRDefault="00454A29">
            <w:pPr>
              <w:pStyle w:val="ConsPlusNormal"/>
              <w:jc w:val="center"/>
            </w:pPr>
            <w:r>
              <w:t>16 461,26</w:t>
            </w:r>
          </w:p>
        </w:tc>
        <w:tc>
          <w:tcPr>
            <w:tcW w:w="1814" w:type="dxa"/>
            <w:vAlign w:val="center"/>
          </w:tcPr>
          <w:p w14:paraId="6EC39C62" w14:textId="77777777" w:rsidR="00454A29" w:rsidRDefault="00454A29">
            <w:pPr>
              <w:pStyle w:val="ConsPlusNormal"/>
            </w:pPr>
          </w:p>
        </w:tc>
      </w:tr>
      <w:tr w:rsidR="00454A29" w14:paraId="5474BFB7" w14:textId="77777777">
        <w:tc>
          <w:tcPr>
            <w:tcW w:w="567" w:type="dxa"/>
            <w:vMerge/>
          </w:tcPr>
          <w:p w14:paraId="527AA7AC" w14:textId="77777777" w:rsidR="00454A29" w:rsidRDefault="00454A29"/>
        </w:tc>
        <w:tc>
          <w:tcPr>
            <w:tcW w:w="3345" w:type="dxa"/>
            <w:vMerge/>
          </w:tcPr>
          <w:p w14:paraId="467F5D62" w14:textId="77777777" w:rsidR="00454A29" w:rsidRDefault="00454A29"/>
        </w:tc>
        <w:tc>
          <w:tcPr>
            <w:tcW w:w="1701" w:type="dxa"/>
            <w:vAlign w:val="center"/>
          </w:tcPr>
          <w:p w14:paraId="1F2E41A9" w14:textId="77777777" w:rsidR="00454A29" w:rsidRDefault="00454A29">
            <w:pPr>
              <w:pStyle w:val="ConsPlusNormal"/>
              <w:jc w:val="center"/>
            </w:pPr>
            <w:r>
              <w:t>2022</w:t>
            </w:r>
          </w:p>
        </w:tc>
        <w:tc>
          <w:tcPr>
            <w:tcW w:w="1417" w:type="dxa"/>
            <w:vMerge/>
          </w:tcPr>
          <w:p w14:paraId="4C99A7B1" w14:textId="77777777" w:rsidR="00454A29" w:rsidRDefault="00454A29"/>
        </w:tc>
        <w:tc>
          <w:tcPr>
            <w:tcW w:w="2204" w:type="dxa"/>
            <w:vMerge/>
          </w:tcPr>
          <w:p w14:paraId="3DC30D17" w14:textId="77777777" w:rsidR="00454A29" w:rsidRDefault="00454A29"/>
        </w:tc>
        <w:tc>
          <w:tcPr>
            <w:tcW w:w="1417" w:type="dxa"/>
            <w:vMerge/>
          </w:tcPr>
          <w:p w14:paraId="7ED9F262" w14:textId="77777777" w:rsidR="00454A29" w:rsidRDefault="00454A29"/>
        </w:tc>
        <w:tc>
          <w:tcPr>
            <w:tcW w:w="2324" w:type="dxa"/>
            <w:vMerge/>
          </w:tcPr>
          <w:p w14:paraId="0A34A14D" w14:textId="77777777" w:rsidR="00454A29" w:rsidRDefault="00454A29"/>
        </w:tc>
        <w:tc>
          <w:tcPr>
            <w:tcW w:w="1701" w:type="dxa"/>
            <w:vAlign w:val="center"/>
          </w:tcPr>
          <w:p w14:paraId="201CB8A7" w14:textId="77777777" w:rsidR="00454A29" w:rsidRDefault="00454A29">
            <w:pPr>
              <w:pStyle w:val="ConsPlusNormal"/>
              <w:jc w:val="center"/>
            </w:pPr>
            <w:r>
              <w:t>59 203,56</w:t>
            </w:r>
          </w:p>
        </w:tc>
        <w:tc>
          <w:tcPr>
            <w:tcW w:w="1814" w:type="dxa"/>
            <w:vAlign w:val="center"/>
          </w:tcPr>
          <w:p w14:paraId="08E4A28F" w14:textId="77777777" w:rsidR="00454A29" w:rsidRDefault="00454A29">
            <w:pPr>
              <w:pStyle w:val="ConsPlusNormal"/>
              <w:jc w:val="center"/>
            </w:pPr>
            <w:r>
              <w:t>42 199,08</w:t>
            </w:r>
          </w:p>
        </w:tc>
        <w:tc>
          <w:tcPr>
            <w:tcW w:w="1701" w:type="dxa"/>
            <w:vAlign w:val="center"/>
          </w:tcPr>
          <w:p w14:paraId="463CEACA" w14:textId="77777777" w:rsidR="00454A29" w:rsidRDefault="00454A29">
            <w:pPr>
              <w:pStyle w:val="ConsPlusNormal"/>
            </w:pPr>
          </w:p>
        </w:tc>
        <w:tc>
          <w:tcPr>
            <w:tcW w:w="1701" w:type="dxa"/>
            <w:vAlign w:val="center"/>
          </w:tcPr>
          <w:p w14:paraId="2A0832FB" w14:textId="77777777" w:rsidR="00454A29" w:rsidRDefault="00454A29">
            <w:pPr>
              <w:pStyle w:val="ConsPlusNormal"/>
              <w:jc w:val="center"/>
            </w:pPr>
            <w:r>
              <w:t>17 004,48</w:t>
            </w:r>
          </w:p>
        </w:tc>
        <w:tc>
          <w:tcPr>
            <w:tcW w:w="1814" w:type="dxa"/>
            <w:vAlign w:val="center"/>
          </w:tcPr>
          <w:p w14:paraId="17989ABB" w14:textId="77777777" w:rsidR="00454A29" w:rsidRDefault="00454A29">
            <w:pPr>
              <w:pStyle w:val="ConsPlusNormal"/>
            </w:pPr>
          </w:p>
        </w:tc>
      </w:tr>
      <w:tr w:rsidR="00454A29" w14:paraId="2878ED35" w14:textId="77777777">
        <w:tc>
          <w:tcPr>
            <w:tcW w:w="567" w:type="dxa"/>
            <w:vMerge/>
          </w:tcPr>
          <w:p w14:paraId="1DEBA9C5" w14:textId="77777777" w:rsidR="00454A29" w:rsidRDefault="00454A29"/>
        </w:tc>
        <w:tc>
          <w:tcPr>
            <w:tcW w:w="3345" w:type="dxa"/>
            <w:vMerge/>
          </w:tcPr>
          <w:p w14:paraId="74DCBFAF" w14:textId="77777777" w:rsidR="00454A29" w:rsidRDefault="00454A29"/>
        </w:tc>
        <w:tc>
          <w:tcPr>
            <w:tcW w:w="1701" w:type="dxa"/>
            <w:vAlign w:val="center"/>
          </w:tcPr>
          <w:p w14:paraId="53B2839A" w14:textId="77777777" w:rsidR="00454A29" w:rsidRDefault="00454A29">
            <w:pPr>
              <w:pStyle w:val="ConsPlusNormal"/>
              <w:jc w:val="center"/>
            </w:pPr>
            <w:r>
              <w:t>2023</w:t>
            </w:r>
          </w:p>
        </w:tc>
        <w:tc>
          <w:tcPr>
            <w:tcW w:w="1417" w:type="dxa"/>
            <w:vMerge/>
          </w:tcPr>
          <w:p w14:paraId="026F7B7F" w14:textId="77777777" w:rsidR="00454A29" w:rsidRDefault="00454A29"/>
        </w:tc>
        <w:tc>
          <w:tcPr>
            <w:tcW w:w="2204" w:type="dxa"/>
            <w:vMerge/>
          </w:tcPr>
          <w:p w14:paraId="09E174BB" w14:textId="77777777" w:rsidR="00454A29" w:rsidRDefault="00454A29"/>
        </w:tc>
        <w:tc>
          <w:tcPr>
            <w:tcW w:w="1417" w:type="dxa"/>
            <w:vMerge/>
          </w:tcPr>
          <w:p w14:paraId="2947E941" w14:textId="77777777" w:rsidR="00454A29" w:rsidRDefault="00454A29"/>
        </w:tc>
        <w:tc>
          <w:tcPr>
            <w:tcW w:w="2324" w:type="dxa"/>
            <w:vMerge/>
          </w:tcPr>
          <w:p w14:paraId="46CC1960" w14:textId="77777777" w:rsidR="00454A29" w:rsidRDefault="00454A29"/>
        </w:tc>
        <w:tc>
          <w:tcPr>
            <w:tcW w:w="1701" w:type="dxa"/>
            <w:vAlign w:val="center"/>
          </w:tcPr>
          <w:p w14:paraId="1EF6605D" w14:textId="77777777" w:rsidR="00454A29" w:rsidRDefault="00454A29">
            <w:pPr>
              <w:pStyle w:val="ConsPlusNormal"/>
              <w:jc w:val="center"/>
            </w:pPr>
            <w:r>
              <w:t>59 730,70</w:t>
            </w:r>
          </w:p>
        </w:tc>
        <w:tc>
          <w:tcPr>
            <w:tcW w:w="1814" w:type="dxa"/>
            <w:vAlign w:val="center"/>
          </w:tcPr>
          <w:p w14:paraId="6CDBA1E7" w14:textId="77777777" w:rsidR="00454A29" w:rsidRDefault="00454A29">
            <w:pPr>
              <w:pStyle w:val="ConsPlusNormal"/>
              <w:jc w:val="center"/>
            </w:pPr>
            <w:r>
              <w:t>42 199,08</w:t>
            </w:r>
          </w:p>
        </w:tc>
        <w:tc>
          <w:tcPr>
            <w:tcW w:w="1701" w:type="dxa"/>
            <w:vAlign w:val="center"/>
          </w:tcPr>
          <w:p w14:paraId="40DF1E1E" w14:textId="77777777" w:rsidR="00454A29" w:rsidRDefault="00454A29">
            <w:pPr>
              <w:pStyle w:val="ConsPlusNormal"/>
            </w:pPr>
          </w:p>
        </w:tc>
        <w:tc>
          <w:tcPr>
            <w:tcW w:w="1701" w:type="dxa"/>
            <w:vAlign w:val="center"/>
          </w:tcPr>
          <w:p w14:paraId="4A9340D6" w14:textId="77777777" w:rsidR="00454A29" w:rsidRDefault="00454A29">
            <w:pPr>
              <w:pStyle w:val="ConsPlusNormal"/>
              <w:jc w:val="center"/>
            </w:pPr>
            <w:r>
              <w:t>17 531,62</w:t>
            </w:r>
          </w:p>
        </w:tc>
        <w:tc>
          <w:tcPr>
            <w:tcW w:w="1814" w:type="dxa"/>
            <w:vAlign w:val="center"/>
          </w:tcPr>
          <w:p w14:paraId="0E2B26B7" w14:textId="77777777" w:rsidR="00454A29" w:rsidRDefault="00454A29">
            <w:pPr>
              <w:pStyle w:val="ConsPlusNormal"/>
            </w:pPr>
          </w:p>
        </w:tc>
      </w:tr>
      <w:tr w:rsidR="00454A29" w14:paraId="5105AF53" w14:textId="77777777">
        <w:tc>
          <w:tcPr>
            <w:tcW w:w="567" w:type="dxa"/>
            <w:vMerge/>
          </w:tcPr>
          <w:p w14:paraId="4230E2F8" w14:textId="77777777" w:rsidR="00454A29" w:rsidRDefault="00454A29"/>
        </w:tc>
        <w:tc>
          <w:tcPr>
            <w:tcW w:w="3345" w:type="dxa"/>
            <w:vMerge/>
          </w:tcPr>
          <w:p w14:paraId="68802054" w14:textId="77777777" w:rsidR="00454A29" w:rsidRDefault="00454A29"/>
        </w:tc>
        <w:tc>
          <w:tcPr>
            <w:tcW w:w="1701" w:type="dxa"/>
            <w:vAlign w:val="center"/>
          </w:tcPr>
          <w:p w14:paraId="1665275C" w14:textId="77777777" w:rsidR="00454A29" w:rsidRDefault="00454A29">
            <w:pPr>
              <w:pStyle w:val="ConsPlusNormal"/>
              <w:jc w:val="center"/>
            </w:pPr>
            <w:r>
              <w:t>2024</w:t>
            </w:r>
          </w:p>
        </w:tc>
        <w:tc>
          <w:tcPr>
            <w:tcW w:w="1417" w:type="dxa"/>
            <w:vMerge/>
          </w:tcPr>
          <w:p w14:paraId="41A3BD07" w14:textId="77777777" w:rsidR="00454A29" w:rsidRDefault="00454A29"/>
        </w:tc>
        <w:tc>
          <w:tcPr>
            <w:tcW w:w="2204" w:type="dxa"/>
            <w:vMerge/>
          </w:tcPr>
          <w:p w14:paraId="41978FC2" w14:textId="77777777" w:rsidR="00454A29" w:rsidRDefault="00454A29"/>
        </w:tc>
        <w:tc>
          <w:tcPr>
            <w:tcW w:w="1417" w:type="dxa"/>
            <w:vMerge/>
          </w:tcPr>
          <w:p w14:paraId="6E72D3A0" w14:textId="77777777" w:rsidR="00454A29" w:rsidRDefault="00454A29"/>
        </w:tc>
        <w:tc>
          <w:tcPr>
            <w:tcW w:w="2324" w:type="dxa"/>
            <w:vMerge/>
          </w:tcPr>
          <w:p w14:paraId="462D8C46" w14:textId="77777777" w:rsidR="00454A29" w:rsidRDefault="00454A29"/>
        </w:tc>
        <w:tc>
          <w:tcPr>
            <w:tcW w:w="1701" w:type="dxa"/>
            <w:vAlign w:val="center"/>
          </w:tcPr>
          <w:p w14:paraId="5C6B29AD" w14:textId="77777777" w:rsidR="00454A29" w:rsidRDefault="00454A29">
            <w:pPr>
              <w:pStyle w:val="ConsPlusNormal"/>
              <w:jc w:val="center"/>
            </w:pPr>
            <w:r>
              <w:t>60 239,12</w:t>
            </w:r>
          </w:p>
        </w:tc>
        <w:tc>
          <w:tcPr>
            <w:tcW w:w="1814" w:type="dxa"/>
            <w:vAlign w:val="center"/>
          </w:tcPr>
          <w:p w14:paraId="162AC04B" w14:textId="77777777" w:rsidR="00454A29" w:rsidRDefault="00454A29">
            <w:pPr>
              <w:pStyle w:val="ConsPlusNormal"/>
              <w:jc w:val="center"/>
            </w:pPr>
            <w:r>
              <w:t>42 199,08</w:t>
            </w:r>
          </w:p>
        </w:tc>
        <w:tc>
          <w:tcPr>
            <w:tcW w:w="1701" w:type="dxa"/>
            <w:vAlign w:val="center"/>
          </w:tcPr>
          <w:p w14:paraId="011FCD0D" w14:textId="77777777" w:rsidR="00454A29" w:rsidRDefault="00454A29">
            <w:pPr>
              <w:pStyle w:val="ConsPlusNormal"/>
            </w:pPr>
          </w:p>
        </w:tc>
        <w:tc>
          <w:tcPr>
            <w:tcW w:w="1701" w:type="dxa"/>
            <w:vAlign w:val="center"/>
          </w:tcPr>
          <w:p w14:paraId="3C0A09FF" w14:textId="77777777" w:rsidR="00454A29" w:rsidRDefault="00454A29">
            <w:pPr>
              <w:pStyle w:val="ConsPlusNormal"/>
              <w:jc w:val="center"/>
            </w:pPr>
            <w:r>
              <w:t>18 040,04</w:t>
            </w:r>
          </w:p>
        </w:tc>
        <w:tc>
          <w:tcPr>
            <w:tcW w:w="1814" w:type="dxa"/>
            <w:vAlign w:val="center"/>
          </w:tcPr>
          <w:p w14:paraId="682E3DCC" w14:textId="77777777" w:rsidR="00454A29" w:rsidRDefault="00454A29">
            <w:pPr>
              <w:pStyle w:val="ConsPlusNormal"/>
            </w:pPr>
          </w:p>
        </w:tc>
      </w:tr>
      <w:tr w:rsidR="00454A29" w14:paraId="120DDC77" w14:textId="77777777">
        <w:tc>
          <w:tcPr>
            <w:tcW w:w="567" w:type="dxa"/>
            <w:vMerge/>
          </w:tcPr>
          <w:p w14:paraId="6223D26D" w14:textId="77777777" w:rsidR="00454A29" w:rsidRDefault="00454A29"/>
        </w:tc>
        <w:tc>
          <w:tcPr>
            <w:tcW w:w="3345" w:type="dxa"/>
            <w:vMerge/>
          </w:tcPr>
          <w:p w14:paraId="134C802F" w14:textId="77777777" w:rsidR="00454A29" w:rsidRDefault="00454A29"/>
        </w:tc>
        <w:tc>
          <w:tcPr>
            <w:tcW w:w="1701" w:type="dxa"/>
            <w:vAlign w:val="center"/>
          </w:tcPr>
          <w:p w14:paraId="78DE43B8" w14:textId="77777777" w:rsidR="00454A29" w:rsidRDefault="00454A29">
            <w:pPr>
              <w:pStyle w:val="ConsPlusNormal"/>
              <w:jc w:val="center"/>
            </w:pPr>
            <w:r>
              <w:t>2025</w:t>
            </w:r>
          </w:p>
        </w:tc>
        <w:tc>
          <w:tcPr>
            <w:tcW w:w="1417" w:type="dxa"/>
            <w:vMerge/>
          </w:tcPr>
          <w:p w14:paraId="01D8CFFA" w14:textId="77777777" w:rsidR="00454A29" w:rsidRDefault="00454A29"/>
        </w:tc>
        <w:tc>
          <w:tcPr>
            <w:tcW w:w="2204" w:type="dxa"/>
            <w:vMerge/>
          </w:tcPr>
          <w:p w14:paraId="75AF4D1C" w14:textId="77777777" w:rsidR="00454A29" w:rsidRDefault="00454A29"/>
        </w:tc>
        <w:tc>
          <w:tcPr>
            <w:tcW w:w="1417" w:type="dxa"/>
            <w:vMerge/>
          </w:tcPr>
          <w:p w14:paraId="612E1A37" w14:textId="77777777" w:rsidR="00454A29" w:rsidRDefault="00454A29"/>
        </w:tc>
        <w:tc>
          <w:tcPr>
            <w:tcW w:w="2324" w:type="dxa"/>
            <w:vMerge/>
          </w:tcPr>
          <w:p w14:paraId="40B0A83E" w14:textId="77777777" w:rsidR="00454A29" w:rsidRDefault="00454A29"/>
        </w:tc>
        <w:tc>
          <w:tcPr>
            <w:tcW w:w="1701" w:type="dxa"/>
            <w:vAlign w:val="center"/>
          </w:tcPr>
          <w:p w14:paraId="54331A74" w14:textId="77777777" w:rsidR="00454A29" w:rsidRDefault="00454A29">
            <w:pPr>
              <w:pStyle w:val="ConsPlusNormal"/>
              <w:jc w:val="center"/>
            </w:pPr>
            <w:r>
              <w:t>42 199,08</w:t>
            </w:r>
          </w:p>
        </w:tc>
        <w:tc>
          <w:tcPr>
            <w:tcW w:w="1814" w:type="dxa"/>
            <w:vAlign w:val="center"/>
          </w:tcPr>
          <w:p w14:paraId="478ABC5E" w14:textId="77777777" w:rsidR="00454A29" w:rsidRDefault="00454A29">
            <w:pPr>
              <w:pStyle w:val="ConsPlusNormal"/>
              <w:jc w:val="center"/>
            </w:pPr>
            <w:r>
              <w:t>42 199,08</w:t>
            </w:r>
          </w:p>
        </w:tc>
        <w:tc>
          <w:tcPr>
            <w:tcW w:w="1701" w:type="dxa"/>
            <w:vAlign w:val="center"/>
          </w:tcPr>
          <w:p w14:paraId="30692F07" w14:textId="77777777" w:rsidR="00454A29" w:rsidRDefault="00454A29">
            <w:pPr>
              <w:pStyle w:val="ConsPlusNormal"/>
            </w:pPr>
          </w:p>
        </w:tc>
        <w:tc>
          <w:tcPr>
            <w:tcW w:w="1701" w:type="dxa"/>
            <w:vAlign w:val="center"/>
          </w:tcPr>
          <w:p w14:paraId="4E3DE0F4" w14:textId="77777777" w:rsidR="00454A29" w:rsidRDefault="00454A29">
            <w:pPr>
              <w:pStyle w:val="ConsPlusNormal"/>
            </w:pPr>
          </w:p>
        </w:tc>
        <w:tc>
          <w:tcPr>
            <w:tcW w:w="1814" w:type="dxa"/>
            <w:vAlign w:val="center"/>
          </w:tcPr>
          <w:p w14:paraId="36EBE06F" w14:textId="77777777" w:rsidR="00454A29" w:rsidRDefault="00454A29">
            <w:pPr>
              <w:pStyle w:val="ConsPlusNormal"/>
            </w:pPr>
          </w:p>
        </w:tc>
      </w:tr>
      <w:tr w:rsidR="00454A29" w14:paraId="68F30E76" w14:textId="77777777">
        <w:tc>
          <w:tcPr>
            <w:tcW w:w="567" w:type="dxa"/>
            <w:vMerge w:val="restart"/>
            <w:vAlign w:val="center"/>
          </w:tcPr>
          <w:p w14:paraId="38CF886A" w14:textId="77777777" w:rsidR="00454A29" w:rsidRDefault="00454A29">
            <w:pPr>
              <w:pStyle w:val="ConsPlusNormal"/>
              <w:jc w:val="center"/>
            </w:pPr>
            <w:r>
              <w:t>69</w:t>
            </w:r>
          </w:p>
        </w:tc>
        <w:tc>
          <w:tcPr>
            <w:tcW w:w="3345" w:type="dxa"/>
            <w:vMerge w:val="restart"/>
            <w:vAlign w:val="center"/>
          </w:tcPr>
          <w:p w14:paraId="0CB1136B" w14:textId="77777777" w:rsidR="00454A29" w:rsidRDefault="00454A29">
            <w:pPr>
              <w:pStyle w:val="ConsPlusNormal"/>
              <w:jc w:val="center"/>
            </w:pPr>
            <w:r>
              <w:t>Детский сад на 240 мест в с. Борогонцы Усть-Алданского улуса</w:t>
            </w:r>
          </w:p>
        </w:tc>
        <w:tc>
          <w:tcPr>
            <w:tcW w:w="1701" w:type="dxa"/>
            <w:vAlign w:val="center"/>
          </w:tcPr>
          <w:p w14:paraId="0042993C" w14:textId="77777777" w:rsidR="00454A29" w:rsidRDefault="00454A29">
            <w:pPr>
              <w:pStyle w:val="ConsPlusNormal"/>
              <w:jc w:val="center"/>
            </w:pPr>
            <w:r>
              <w:t>2016 - 2025 годы - всего</w:t>
            </w:r>
          </w:p>
        </w:tc>
        <w:tc>
          <w:tcPr>
            <w:tcW w:w="1417" w:type="dxa"/>
            <w:vMerge w:val="restart"/>
            <w:vAlign w:val="center"/>
          </w:tcPr>
          <w:p w14:paraId="15FD5077" w14:textId="77777777" w:rsidR="00454A29" w:rsidRDefault="00454A29">
            <w:pPr>
              <w:pStyle w:val="ConsPlusNormal"/>
              <w:jc w:val="center"/>
            </w:pPr>
            <w:r>
              <w:t>290 164,14</w:t>
            </w:r>
          </w:p>
        </w:tc>
        <w:tc>
          <w:tcPr>
            <w:tcW w:w="2204" w:type="dxa"/>
            <w:vMerge w:val="restart"/>
            <w:vAlign w:val="center"/>
          </w:tcPr>
          <w:p w14:paraId="3204AB84" w14:textId="77777777" w:rsidR="00454A29" w:rsidRDefault="00454A29">
            <w:pPr>
              <w:pStyle w:val="ConsPlusNormal"/>
              <w:jc w:val="center"/>
            </w:pPr>
            <w:r>
              <w:t>имеется</w:t>
            </w:r>
          </w:p>
        </w:tc>
        <w:tc>
          <w:tcPr>
            <w:tcW w:w="1417" w:type="dxa"/>
            <w:vMerge w:val="restart"/>
            <w:vAlign w:val="center"/>
          </w:tcPr>
          <w:p w14:paraId="7834B754" w14:textId="77777777" w:rsidR="00454A29" w:rsidRDefault="00454A29">
            <w:pPr>
              <w:pStyle w:val="ConsPlusNormal"/>
              <w:jc w:val="center"/>
            </w:pPr>
            <w:r>
              <w:t>240</w:t>
            </w:r>
          </w:p>
        </w:tc>
        <w:tc>
          <w:tcPr>
            <w:tcW w:w="2324" w:type="dxa"/>
            <w:vMerge w:val="restart"/>
            <w:vAlign w:val="center"/>
          </w:tcPr>
          <w:p w14:paraId="196A15C4" w14:textId="77777777" w:rsidR="00454A29" w:rsidRDefault="00454A29">
            <w:pPr>
              <w:pStyle w:val="ConsPlusNormal"/>
              <w:jc w:val="center"/>
            </w:pPr>
            <w:r>
              <w:t>Минэкономики РС(Я)</w:t>
            </w:r>
          </w:p>
        </w:tc>
        <w:tc>
          <w:tcPr>
            <w:tcW w:w="1701" w:type="dxa"/>
            <w:vAlign w:val="center"/>
          </w:tcPr>
          <w:p w14:paraId="15D1CA9C" w14:textId="77777777" w:rsidR="00454A29" w:rsidRDefault="00454A29">
            <w:pPr>
              <w:pStyle w:val="ConsPlusNormal"/>
              <w:jc w:val="center"/>
            </w:pPr>
            <w:r>
              <w:t>985 974,89</w:t>
            </w:r>
          </w:p>
        </w:tc>
        <w:tc>
          <w:tcPr>
            <w:tcW w:w="1814" w:type="dxa"/>
            <w:vAlign w:val="center"/>
          </w:tcPr>
          <w:p w14:paraId="2C568450" w14:textId="77777777" w:rsidR="00454A29" w:rsidRDefault="00454A29">
            <w:pPr>
              <w:pStyle w:val="ConsPlusNormal"/>
              <w:jc w:val="center"/>
            </w:pPr>
            <w:r>
              <w:t>544 450,59</w:t>
            </w:r>
          </w:p>
        </w:tc>
        <w:tc>
          <w:tcPr>
            <w:tcW w:w="1701" w:type="dxa"/>
            <w:vAlign w:val="center"/>
          </w:tcPr>
          <w:p w14:paraId="0E1EA90A" w14:textId="77777777" w:rsidR="00454A29" w:rsidRDefault="00454A29">
            <w:pPr>
              <w:pStyle w:val="ConsPlusNormal"/>
              <w:jc w:val="center"/>
            </w:pPr>
            <w:r>
              <w:t>-</w:t>
            </w:r>
          </w:p>
        </w:tc>
        <w:tc>
          <w:tcPr>
            <w:tcW w:w="1701" w:type="dxa"/>
            <w:vAlign w:val="center"/>
          </w:tcPr>
          <w:p w14:paraId="49478C0B" w14:textId="77777777" w:rsidR="00454A29" w:rsidRDefault="00454A29">
            <w:pPr>
              <w:pStyle w:val="ConsPlusNormal"/>
              <w:jc w:val="center"/>
            </w:pPr>
            <w:r>
              <w:t>150 396,85</w:t>
            </w:r>
          </w:p>
        </w:tc>
        <w:tc>
          <w:tcPr>
            <w:tcW w:w="1814" w:type="dxa"/>
            <w:vAlign w:val="center"/>
          </w:tcPr>
          <w:p w14:paraId="58D470AA" w14:textId="77777777" w:rsidR="00454A29" w:rsidRDefault="00454A29">
            <w:pPr>
              <w:pStyle w:val="ConsPlusNormal"/>
              <w:jc w:val="center"/>
            </w:pPr>
            <w:r>
              <w:t>291 127,45</w:t>
            </w:r>
          </w:p>
        </w:tc>
      </w:tr>
      <w:tr w:rsidR="00454A29" w14:paraId="65B3DCAE" w14:textId="77777777">
        <w:tc>
          <w:tcPr>
            <w:tcW w:w="567" w:type="dxa"/>
            <w:vMerge/>
          </w:tcPr>
          <w:p w14:paraId="4F7EA380" w14:textId="77777777" w:rsidR="00454A29" w:rsidRDefault="00454A29"/>
        </w:tc>
        <w:tc>
          <w:tcPr>
            <w:tcW w:w="3345" w:type="dxa"/>
            <w:vMerge/>
          </w:tcPr>
          <w:p w14:paraId="48534F26" w14:textId="77777777" w:rsidR="00454A29" w:rsidRDefault="00454A29"/>
        </w:tc>
        <w:tc>
          <w:tcPr>
            <w:tcW w:w="1701" w:type="dxa"/>
            <w:vAlign w:val="center"/>
          </w:tcPr>
          <w:p w14:paraId="3F1042FD" w14:textId="77777777" w:rsidR="00454A29" w:rsidRDefault="00454A29">
            <w:pPr>
              <w:pStyle w:val="ConsPlusNormal"/>
              <w:jc w:val="center"/>
            </w:pPr>
            <w:r>
              <w:t>2016</w:t>
            </w:r>
          </w:p>
        </w:tc>
        <w:tc>
          <w:tcPr>
            <w:tcW w:w="1417" w:type="dxa"/>
            <w:vMerge/>
          </w:tcPr>
          <w:p w14:paraId="6DE6CA1C" w14:textId="77777777" w:rsidR="00454A29" w:rsidRDefault="00454A29"/>
        </w:tc>
        <w:tc>
          <w:tcPr>
            <w:tcW w:w="2204" w:type="dxa"/>
            <w:vMerge/>
          </w:tcPr>
          <w:p w14:paraId="49E48B15" w14:textId="77777777" w:rsidR="00454A29" w:rsidRDefault="00454A29"/>
        </w:tc>
        <w:tc>
          <w:tcPr>
            <w:tcW w:w="1417" w:type="dxa"/>
            <w:vMerge/>
          </w:tcPr>
          <w:p w14:paraId="5FB888A8" w14:textId="77777777" w:rsidR="00454A29" w:rsidRDefault="00454A29"/>
        </w:tc>
        <w:tc>
          <w:tcPr>
            <w:tcW w:w="2324" w:type="dxa"/>
            <w:vMerge/>
          </w:tcPr>
          <w:p w14:paraId="455F81AD" w14:textId="77777777" w:rsidR="00454A29" w:rsidRDefault="00454A29"/>
        </w:tc>
        <w:tc>
          <w:tcPr>
            <w:tcW w:w="1701" w:type="dxa"/>
            <w:vAlign w:val="center"/>
          </w:tcPr>
          <w:p w14:paraId="7BFEB238" w14:textId="77777777" w:rsidR="00454A29" w:rsidRDefault="00454A29">
            <w:pPr>
              <w:pStyle w:val="ConsPlusNormal"/>
              <w:jc w:val="center"/>
            </w:pPr>
            <w:r>
              <w:t>174 400,84</w:t>
            </w:r>
          </w:p>
        </w:tc>
        <w:tc>
          <w:tcPr>
            <w:tcW w:w="1814" w:type="dxa"/>
            <w:vAlign w:val="center"/>
          </w:tcPr>
          <w:p w14:paraId="75080F84" w14:textId="77777777" w:rsidR="00454A29" w:rsidRDefault="00454A29">
            <w:pPr>
              <w:pStyle w:val="ConsPlusNormal"/>
              <w:jc w:val="center"/>
            </w:pPr>
            <w:r>
              <w:t>8 031,50</w:t>
            </w:r>
          </w:p>
        </w:tc>
        <w:tc>
          <w:tcPr>
            <w:tcW w:w="1701" w:type="dxa"/>
            <w:vAlign w:val="center"/>
          </w:tcPr>
          <w:p w14:paraId="514840D9" w14:textId="77777777" w:rsidR="00454A29" w:rsidRDefault="00454A29">
            <w:pPr>
              <w:pStyle w:val="ConsPlusNormal"/>
            </w:pPr>
          </w:p>
        </w:tc>
        <w:tc>
          <w:tcPr>
            <w:tcW w:w="1701" w:type="dxa"/>
            <w:vAlign w:val="center"/>
          </w:tcPr>
          <w:p w14:paraId="5BECB573" w14:textId="77777777" w:rsidR="00454A29" w:rsidRDefault="00454A29">
            <w:pPr>
              <w:pStyle w:val="ConsPlusNormal"/>
              <w:jc w:val="center"/>
            </w:pPr>
            <w:r>
              <w:t>-</w:t>
            </w:r>
          </w:p>
        </w:tc>
        <w:tc>
          <w:tcPr>
            <w:tcW w:w="1814" w:type="dxa"/>
            <w:vAlign w:val="center"/>
          </w:tcPr>
          <w:p w14:paraId="22F9D6D8" w14:textId="77777777" w:rsidR="00454A29" w:rsidRDefault="00454A29">
            <w:pPr>
              <w:pStyle w:val="ConsPlusNormal"/>
              <w:jc w:val="center"/>
            </w:pPr>
            <w:r>
              <w:t>166 369,34</w:t>
            </w:r>
          </w:p>
        </w:tc>
      </w:tr>
      <w:tr w:rsidR="00454A29" w14:paraId="6D04A623" w14:textId="77777777">
        <w:tc>
          <w:tcPr>
            <w:tcW w:w="567" w:type="dxa"/>
            <w:vMerge/>
          </w:tcPr>
          <w:p w14:paraId="4025F29A" w14:textId="77777777" w:rsidR="00454A29" w:rsidRDefault="00454A29"/>
        </w:tc>
        <w:tc>
          <w:tcPr>
            <w:tcW w:w="3345" w:type="dxa"/>
            <w:vMerge/>
          </w:tcPr>
          <w:p w14:paraId="0AD8CD4C" w14:textId="77777777" w:rsidR="00454A29" w:rsidRDefault="00454A29"/>
        </w:tc>
        <w:tc>
          <w:tcPr>
            <w:tcW w:w="1701" w:type="dxa"/>
            <w:vAlign w:val="center"/>
          </w:tcPr>
          <w:p w14:paraId="3A489DCC" w14:textId="77777777" w:rsidR="00454A29" w:rsidRDefault="00454A29">
            <w:pPr>
              <w:pStyle w:val="ConsPlusNormal"/>
              <w:jc w:val="center"/>
            </w:pPr>
            <w:r>
              <w:t>2017</w:t>
            </w:r>
          </w:p>
        </w:tc>
        <w:tc>
          <w:tcPr>
            <w:tcW w:w="1417" w:type="dxa"/>
            <w:vMerge/>
          </w:tcPr>
          <w:p w14:paraId="0EDA7600" w14:textId="77777777" w:rsidR="00454A29" w:rsidRDefault="00454A29"/>
        </w:tc>
        <w:tc>
          <w:tcPr>
            <w:tcW w:w="2204" w:type="dxa"/>
            <w:vMerge/>
          </w:tcPr>
          <w:p w14:paraId="6DED9E23" w14:textId="77777777" w:rsidR="00454A29" w:rsidRDefault="00454A29"/>
        </w:tc>
        <w:tc>
          <w:tcPr>
            <w:tcW w:w="1417" w:type="dxa"/>
            <w:vMerge/>
          </w:tcPr>
          <w:p w14:paraId="4FD89123" w14:textId="77777777" w:rsidR="00454A29" w:rsidRDefault="00454A29"/>
        </w:tc>
        <w:tc>
          <w:tcPr>
            <w:tcW w:w="2324" w:type="dxa"/>
            <w:vMerge/>
          </w:tcPr>
          <w:p w14:paraId="4244BF43" w14:textId="77777777" w:rsidR="00454A29" w:rsidRDefault="00454A29"/>
        </w:tc>
        <w:tc>
          <w:tcPr>
            <w:tcW w:w="1701" w:type="dxa"/>
            <w:vAlign w:val="center"/>
          </w:tcPr>
          <w:p w14:paraId="626A351F" w14:textId="77777777" w:rsidR="00454A29" w:rsidRDefault="00454A29">
            <w:pPr>
              <w:pStyle w:val="ConsPlusNormal"/>
              <w:jc w:val="center"/>
            </w:pPr>
            <w:r>
              <w:t>171 935,86</w:t>
            </w:r>
          </w:p>
        </w:tc>
        <w:tc>
          <w:tcPr>
            <w:tcW w:w="1814" w:type="dxa"/>
            <w:vAlign w:val="center"/>
          </w:tcPr>
          <w:p w14:paraId="1F84C08D" w14:textId="77777777" w:rsidR="00454A29" w:rsidRDefault="00454A29">
            <w:pPr>
              <w:pStyle w:val="ConsPlusNormal"/>
              <w:jc w:val="center"/>
            </w:pPr>
            <w:r>
              <w:t>44 382,51</w:t>
            </w:r>
          </w:p>
        </w:tc>
        <w:tc>
          <w:tcPr>
            <w:tcW w:w="1701" w:type="dxa"/>
            <w:vAlign w:val="center"/>
          </w:tcPr>
          <w:p w14:paraId="42DBB657" w14:textId="77777777" w:rsidR="00454A29" w:rsidRDefault="00454A29">
            <w:pPr>
              <w:pStyle w:val="ConsPlusNormal"/>
            </w:pPr>
          </w:p>
        </w:tc>
        <w:tc>
          <w:tcPr>
            <w:tcW w:w="1701" w:type="dxa"/>
            <w:vAlign w:val="center"/>
          </w:tcPr>
          <w:p w14:paraId="01EF0EA3" w14:textId="77777777" w:rsidR="00454A29" w:rsidRDefault="00454A29">
            <w:pPr>
              <w:pStyle w:val="ConsPlusNormal"/>
              <w:jc w:val="center"/>
            </w:pPr>
            <w:r>
              <w:t>2 795,24</w:t>
            </w:r>
          </w:p>
        </w:tc>
        <w:tc>
          <w:tcPr>
            <w:tcW w:w="1814" w:type="dxa"/>
            <w:vAlign w:val="center"/>
          </w:tcPr>
          <w:p w14:paraId="4B112D53" w14:textId="77777777" w:rsidR="00454A29" w:rsidRDefault="00454A29">
            <w:pPr>
              <w:pStyle w:val="ConsPlusNormal"/>
              <w:jc w:val="center"/>
            </w:pPr>
            <w:r>
              <w:t>124 758,11</w:t>
            </w:r>
          </w:p>
        </w:tc>
      </w:tr>
      <w:tr w:rsidR="00454A29" w14:paraId="7C0E3707" w14:textId="77777777">
        <w:tc>
          <w:tcPr>
            <w:tcW w:w="567" w:type="dxa"/>
            <w:vMerge/>
          </w:tcPr>
          <w:p w14:paraId="66668D84" w14:textId="77777777" w:rsidR="00454A29" w:rsidRDefault="00454A29"/>
        </w:tc>
        <w:tc>
          <w:tcPr>
            <w:tcW w:w="3345" w:type="dxa"/>
            <w:vMerge/>
          </w:tcPr>
          <w:p w14:paraId="074FE416" w14:textId="77777777" w:rsidR="00454A29" w:rsidRDefault="00454A29"/>
        </w:tc>
        <w:tc>
          <w:tcPr>
            <w:tcW w:w="1701" w:type="dxa"/>
            <w:vAlign w:val="center"/>
          </w:tcPr>
          <w:p w14:paraId="1EEDDF62" w14:textId="77777777" w:rsidR="00454A29" w:rsidRDefault="00454A29">
            <w:pPr>
              <w:pStyle w:val="ConsPlusNormal"/>
              <w:jc w:val="center"/>
            </w:pPr>
            <w:r>
              <w:t>2018</w:t>
            </w:r>
          </w:p>
        </w:tc>
        <w:tc>
          <w:tcPr>
            <w:tcW w:w="1417" w:type="dxa"/>
            <w:vMerge/>
          </w:tcPr>
          <w:p w14:paraId="269F7FB4" w14:textId="77777777" w:rsidR="00454A29" w:rsidRDefault="00454A29"/>
        </w:tc>
        <w:tc>
          <w:tcPr>
            <w:tcW w:w="2204" w:type="dxa"/>
            <w:vMerge/>
          </w:tcPr>
          <w:p w14:paraId="4FF2F2B5" w14:textId="77777777" w:rsidR="00454A29" w:rsidRDefault="00454A29"/>
        </w:tc>
        <w:tc>
          <w:tcPr>
            <w:tcW w:w="1417" w:type="dxa"/>
            <w:vMerge/>
          </w:tcPr>
          <w:p w14:paraId="3655ED2F" w14:textId="77777777" w:rsidR="00454A29" w:rsidRDefault="00454A29"/>
        </w:tc>
        <w:tc>
          <w:tcPr>
            <w:tcW w:w="2324" w:type="dxa"/>
            <w:vMerge/>
          </w:tcPr>
          <w:p w14:paraId="1978FF57" w14:textId="77777777" w:rsidR="00454A29" w:rsidRDefault="00454A29"/>
        </w:tc>
        <w:tc>
          <w:tcPr>
            <w:tcW w:w="1701" w:type="dxa"/>
            <w:vAlign w:val="center"/>
          </w:tcPr>
          <w:p w14:paraId="51E86939" w14:textId="77777777" w:rsidR="00454A29" w:rsidRDefault="00454A29">
            <w:pPr>
              <w:pStyle w:val="ConsPlusNormal"/>
              <w:jc w:val="center"/>
            </w:pPr>
            <w:r>
              <w:t>73 089,18</w:t>
            </w:r>
          </w:p>
        </w:tc>
        <w:tc>
          <w:tcPr>
            <w:tcW w:w="1814" w:type="dxa"/>
            <w:vAlign w:val="center"/>
          </w:tcPr>
          <w:p w14:paraId="5C198786" w14:textId="77777777" w:rsidR="00454A29" w:rsidRDefault="00454A29">
            <w:pPr>
              <w:pStyle w:val="ConsPlusNormal"/>
              <w:jc w:val="center"/>
            </w:pPr>
            <w:r>
              <w:t>57 131,58</w:t>
            </w:r>
          </w:p>
        </w:tc>
        <w:tc>
          <w:tcPr>
            <w:tcW w:w="1701" w:type="dxa"/>
            <w:vAlign w:val="center"/>
          </w:tcPr>
          <w:p w14:paraId="5A70F506" w14:textId="77777777" w:rsidR="00454A29" w:rsidRDefault="00454A29">
            <w:pPr>
              <w:pStyle w:val="ConsPlusNormal"/>
            </w:pPr>
          </w:p>
        </w:tc>
        <w:tc>
          <w:tcPr>
            <w:tcW w:w="1701" w:type="dxa"/>
            <w:vAlign w:val="center"/>
          </w:tcPr>
          <w:p w14:paraId="3A74BCC0" w14:textId="77777777" w:rsidR="00454A29" w:rsidRDefault="00454A29">
            <w:pPr>
              <w:pStyle w:val="ConsPlusNormal"/>
              <w:jc w:val="center"/>
            </w:pPr>
            <w:r>
              <w:t>15 957,61</w:t>
            </w:r>
          </w:p>
        </w:tc>
        <w:tc>
          <w:tcPr>
            <w:tcW w:w="1814" w:type="dxa"/>
            <w:vAlign w:val="center"/>
          </w:tcPr>
          <w:p w14:paraId="2B79D5DD" w14:textId="77777777" w:rsidR="00454A29" w:rsidRDefault="00454A29">
            <w:pPr>
              <w:pStyle w:val="ConsPlusNormal"/>
            </w:pPr>
          </w:p>
        </w:tc>
      </w:tr>
      <w:tr w:rsidR="00454A29" w14:paraId="579F68C4" w14:textId="77777777">
        <w:tc>
          <w:tcPr>
            <w:tcW w:w="567" w:type="dxa"/>
            <w:vMerge/>
          </w:tcPr>
          <w:p w14:paraId="48620D24" w14:textId="77777777" w:rsidR="00454A29" w:rsidRDefault="00454A29"/>
        </w:tc>
        <w:tc>
          <w:tcPr>
            <w:tcW w:w="3345" w:type="dxa"/>
            <w:vMerge/>
          </w:tcPr>
          <w:p w14:paraId="749EF2D2" w14:textId="77777777" w:rsidR="00454A29" w:rsidRDefault="00454A29"/>
        </w:tc>
        <w:tc>
          <w:tcPr>
            <w:tcW w:w="1701" w:type="dxa"/>
            <w:vAlign w:val="center"/>
          </w:tcPr>
          <w:p w14:paraId="10D64CD7" w14:textId="77777777" w:rsidR="00454A29" w:rsidRDefault="00454A29">
            <w:pPr>
              <w:pStyle w:val="ConsPlusNormal"/>
              <w:jc w:val="center"/>
            </w:pPr>
            <w:r>
              <w:t>2019</w:t>
            </w:r>
          </w:p>
        </w:tc>
        <w:tc>
          <w:tcPr>
            <w:tcW w:w="1417" w:type="dxa"/>
            <w:vMerge/>
          </w:tcPr>
          <w:p w14:paraId="084E92F9" w14:textId="77777777" w:rsidR="00454A29" w:rsidRDefault="00454A29"/>
        </w:tc>
        <w:tc>
          <w:tcPr>
            <w:tcW w:w="2204" w:type="dxa"/>
            <w:vMerge/>
          </w:tcPr>
          <w:p w14:paraId="49691D25" w14:textId="77777777" w:rsidR="00454A29" w:rsidRDefault="00454A29"/>
        </w:tc>
        <w:tc>
          <w:tcPr>
            <w:tcW w:w="1417" w:type="dxa"/>
            <w:vMerge/>
          </w:tcPr>
          <w:p w14:paraId="608FE13E" w14:textId="77777777" w:rsidR="00454A29" w:rsidRDefault="00454A29"/>
        </w:tc>
        <w:tc>
          <w:tcPr>
            <w:tcW w:w="2324" w:type="dxa"/>
            <w:vMerge/>
          </w:tcPr>
          <w:p w14:paraId="0AC0E856" w14:textId="77777777" w:rsidR="00454A29" w:rsidRDefault="00454A29"/>
        </w:tc>
        <w:tc>
          <w:tcPr>
            <w:tcW w:w="1701" w:type="dxa"/>
            <w:vAlign w:val="center"/>
          </w:tcPr>
          <w:p w14:paraId="259DD26E" w14:textId="77777777" w:rsidR="00454A29" w:rsidRDefault="00454A29">
            <w:pPr>
              <w:pStyle w:val="ConsPlusNormal"/>
              <w:jc w:val="center"/>
            </w:pPr>
            <w:r>
              <w:t>72 997,73</w:t>
            </w:r>
          </w:p>
        </w:tc>
        <w:tc>
          <w:tcPr>
            <w:tcW w:w="1814" w:type="dxa"/>
            <w:vAlign w:val="center"/>
          </w:tcPr>
          <w:p w14:paraId="329E9FBA" w14:textId="77777777" w:rsidR="00454A29" w:rsidRDefault="00454A29">
            <w:pPr>
              <w:pStyle w:val="ConsPlusNormal"/>
              <w:jc w:val="center"/>
            </w:pPr>
            <w:r>
              <w:t>56 226,28</w:t>
            </w:r>
          </w:p>
        </w:tc>
        <w:tc>
          <w:tcPr>
            <w:tcW w:w="1701" w:type="dxa"/>
            <w:vAlign w:val="center"/>
          </w:tcPr>
          <w:p w14:paraId="0A626D47" w14:textId="77777777" w:rsidR="00454A29" w:rsidRDefault="00454A29">
            <w:pPr>
              <w:pStyle w:val="ConsPlusNormal"/>
            </w:pPr>
          </w:p>
        </w:tc>
        <w:tc>
          <w:tcPr>
            <w:tcW w:w="1701" w:type="dxa"/>
            <w:vAlign w:val="center"/>
          </w:tcPr>
          <w:p w14:paraId="7D06F3F0" w14:textId="77777777" w:rsidR="00454A29" w:rsidRDefault="00454A29">
            <w:pPr>
              <w:pStyle w:val="ConsPlusNormal"/>
              <w:jc w:val="center"/>
            </w:pPr>
            <w:r>
              <w:t>16 771,45</w:t>
            </w:r>
          </w:p>
        </w:tc>
        <w:tc>
          <w:tcPr>
            <w:tcW w:w="1814" w:type="dxa"/>
            <w:vAlign w:val="center"/>
          </w:tcPr>
          <w:p w14:paraId="0EC93268" w14:textId="77777777" w:rsidR="00454A29" w:rsidRDefault="00454A29">
            <w:pPr>
              <w:pStyle w:val="ConsPlusNormal"/>
            </w:pPr>
          </w:p>
        </w:tc>
      </w:tr>
      <w:tr w:rsidR="00454A29" w14:paraId="67516C0E" w14:textId="77777777">
        <w:tc>
          <w:tcPr>
            <w:tcW w:w="567" w:type="dxa"/>
            <w:vMerge/>
          </w:tcPr>
          <w:p w14:paraId="19830EC2" w14:textId="77777777" w:rsidR="00454A29" w:rsidRDefault="00454A29"/>
        </w:tc>
        <w:tc>
          <w:tcPr>
            <w:tcW w:w="3345" w:type="dxa"/>
            <w:vMerge/>
          </w:tcPr>
          <w:p w14:paraId="53D9DD00" w14:textId="77777777" w:rsidR="00454A29" w:rsidRDefault="00454A29"/>
        </w:tc>
        <w:tc>
          <w:tcPr>
            <w:tcW w:w="1701" w:type="dxa"/>
            <w:vAlign w:val="center"/>
          </w:tcPr>
          <w:p w14:paraId="68002F80" w14:textId="77777777" w:rsidR="00454A29" w:rsidRDefault="00454A29">
            <w:pPr>
              <w:pStyle w:val="ConsPlusNormal"/>
              <w:jc w:val="center"/>
            </w:pPr>
            <w:r>
              <w:t>2020</w:t>
            </w:r>
          </w:p>
        </w:tc>
        <w:tc>
          <w:tcPr>
            <w:tcW w:w="1417" w:type="dxa"/>
            <w:vMerge/>
          </w:tcPr>
          <w:p w14:paraId="6A2B2DEB" w14:textId="77777777" w:rsidR="00454A29" w:rsidRDefault="00454A29"/>
        </w:tc>
        <w:tc>
          <w:tcPr>
            <w:tcW w:w="2204" w:type="dxa"/>
            <w:vMerge/>
          </w:tcPr>
          <w:p w14:paraId="158D8A35" w14:textId="77777777" w:rsidR="00454A29" w:rsidRDefault="00454A29"/>
        </w:tc>
        <w:tc>
          <w:tcPr>
            <w:tcW w:w="1417" w:type="dxa"/>
            <w:vMerge/>
          </w:tcPr>
          <w:p w14:paraId="71FBD410" w14:textId="77777777" w:rsidR="00454A29" w:rsidRDefault="00454A29"/>
        </w:tc>
        <w:tc>
          <w:tcPr>
            <w:tcW w:w="2324" w:type="dxa"/>
            <w:vMerge/>
          </w:tcPr>
          <w:p w14:paraId="65036E95" w14:textId="77777777" w:rsidR="00454A29" w:rsidRDefault="00454A29"/>
        </w:tc>
        <w:tc>
          <w:tcPr>
            <w:tcW w:w="1701" w:type="dxa"/>
            <w:vAlign w:val="center"/>
          </w:tcPr>
          <w:p w14:paraId="4FB6453C" w14:textId="77777777" w:rsidR="00454A29" w:rsidRDefault="00454A29">
            <w:pPr>
              <w:pStyle w:val="ConsPlusNormal"/>
              <w:jc w:val="center"/>
            </w:pPr>
            <w:r>
              <w:t>79 876,17</w:t>
            </w:r>
          </w:p>
        </w:tc>
        <w:tc>
          <w:tcPr>
            <w:tcW w:w="1814" w:type="dxa"/>
            <w:vAlign w:val="center"/>
          </w:tcPr>
          <w:p w14:paraId="1E8AF959" w14:textId="77777777" w:rsidR="00454A29" w:rsidRDefault="00454A29">
            <w:pPr>
              <w:pStyle w:val="ConsPlusNormal"/>
              <w:jc w:val="center"/>
            </w:pPr>
            <w:r>
              <w:t>62 350,01</w:t>
            </w:r>
          </w:p>
        </w:tc>
        <w:tc>
          <w:tcPr>
            <w:tcW w:w="1701" w:type="dxa"/>
            <w:vAlign w:val="center"/>
          </w:tcPr>
          <w:p w14:paraId="548C8A0C" w14:textId="77777777" w:rsidR="00454A29" w:rsidRDefault="00454A29">
            <w:pPr>
              <w:pStyle w:val="ConsPlusNormal"/>
            </w:pPr>
          </w:p>
        </w:tc>
        <w:tc>
          <w:tcPr>
            <w:tcW w:w="1701" w:type="dxa"/>
            <w:vAlign w:val="center"/>
          </w:tcPr>
          <w:p w14:paraId="2E98C979" w14:textId="77777777" w:rsidR="00454A29" w:rsidRDefault="00454A29">
            <w:pPr>
              <w:pStyle w:val="ConsPlusNormal"/>
              <w:jc w:val="center"/>
            </w:pPr>
            <w:r>
              <w:t>17 526,16</w:t>
            </w:r>
          </w:p>
        </w:tc>
        <w:tc>
          <w:tcPr>
            <w:tcW w:w="1814" w:type="dxa"/>
            <w:vAlign w:val="center"/>
          </w:tcPr>
          <w:p w14:paraId="3675FC00" w14:textId="77777777" w:rsidR="00454A29" w:rsidRDefault="00454A29">
            <w:pPr>
              <w:pStyle w:val="ConsPlusNormal"/>
            </w:pPr>
          </w:p>
        </w:tc>
      </w:tr>
      <w:tr w:rsidR="00454A29" w14:paraId="3CDDF6CB" w14:textId="77777777">
        <w:tc>
          <w:tcPr>
            <w:tcW w:w="567" w:type="dxa"/>
            <w:vMerge/>
          </w:tcPr>
          <w:p w14:paraId="39AB500B" w14:textId="77777777" w:rsidR="00454A29" w:rsidRDefault="00454A29"/>
        </w:tc>
        <w:tc>
          <w:tcPr>
            <w:tcW w:w="3345" w:type="dxa"/>
            <w:vMerge/>
          </w:tcPr>
          <w:p w14:paraId="7C2A929B" w14:textId="77777777" w:rsidR="00454A29" w:rsidRDefault="00454A29"/>
        </w:tc>
        <w:tc>
          <w:tcPr>
            <w:tcW w:w="1701" w:type="dxa"/>
            <w:vAlign w:val="center"/>
          </w:tcPr>
          <w:p w14:paraId="084731A2" w14:textId="77777777" w:rsidR="00454A29" w:rsidRDefault="00454A29">
            <w:pPr>
              <w:pStyle w:val="ConsPlusNormal"/>
              <w:jc w:val="center"/>
            </w:pPr>
            <w:r>
              <w:t>2021</w:t>
            </w:r>
          </w:p>
        </w:tc>
        <w:tc>
          <w:tcPr>
            <w:tcW w:w="1417" w:type="dxa"/>
            <w:vMerge/>
          </w:tcPr>
          <w:p w14:paraId="2E47C7EE" w14:textId="77777777" w:rsidR="00454A29" w:rsidRDefault="00454A29"/>
        </w:tc>
        <w:tc>
          <w:tcPr>
            <w:tcW w:w="2204" w:type="dxa"/>
            <w:vMerge/>
          </w:tcPr>
          <w:p w14:paraId="12CDB228" w14:textId="77777777" w:rsidR="00454A29" w:rsidRDefault="00454A29"/>
        </w:tc>
        <w:tc>
          <w:tcPr>
            <w:tcW w:w="1417" w:type="dxa"/>
            <w:vMerge/>
          </w:tcPr>
          <w:p w14:paraId="783860F3" w14:textId="77777777" w:rsidR="00454A29" w:rsidRDefault="00454A29"/>
        </w:tc>
        <w:tc>
          <w:tcPr>
            <w:tcW w:w="2324" w:type="dxa"/>
            <w:vMerge/>
          </w:tcPr>
          <w:p w14:paraId="25EC41DD" w14:textId="77777777" w:rsidR="00454A29" w:rsidRDefault="00454A29"/>
        </w:tc>
        <w:tc>
          <w:tcPr>
            <w:tcW w:w="1701" w:type="dxa"/>
            <w:vAlign w:val="center"/>
          </w:tcPr>
          <w:p w14:paraId="73A7913A" w14:textId="77777777" w:rsidR="00454A29" w:rsidRDefault="00454A29">
            <w:pPr>
              <w:pStyle w:val="ConsPlusNormal"/>
              <w:jc w:val="center"/>
            </w:pPr>
            <w:r>
              <w:t>78 721,67</w:t>
            </w:r>
          </w:p>
        </w:tc>
        <w:tc>
          <w:tcPr>
            <w:tcW w:w="1814" w:type="dxa"/>
            <w:vAlign w:val="center"/>
          </w:tcPr>
          <w:p w14:paraId="7E7B4505" w14:textId="77777777" w:rsidR="00454A29" w:rsidRDefault="00454A29">
            <w:pPr>
              <w:pStyle w:val="ConsPlusNormal"/>
              <w:jc w:val="center"/>
            </w:pPr>
            <w:r>
              <w:t>60 494,46</w:t>
            </w:r>
          </w:p>
        </w:tc>
        <w:tc>
          <w:tcPr>
            <w:tcW w:w="1701" w:type="dxa"/>
            <w:vAlign w:val="center"/>
          </w:tcPr>
          <w:p w14:paraId="5A13C0D5" w14:textId="77777777" w:rsidR="00454A29" w:rsidRDefault="00454A29">
            <w:pPr>
              <w:pStyle w:val="ConsPlusNormal"/>
            </w:pPr>
          </w:p>
        </w:tc>
        <w:tc>
          <w:tcPr>
            <w:tcW w:w="1701" w:type="dxa"/>
            <w:vAlign w:val="center"/>
          </w:tcPr>
          <w:p w14:paraId="42D99A7F" w14:textId="77777777" w:rsidR="00454A29" w:rsidRDefault="00454A29">
            <w:pPr>
              <w:pStyle w:val="ConsPlusNormal"/>
              <w:jc w:val="center"/>
            </w:pPr>
            <w:r>
              <w:t>18 227,21</w:t>
            </w:r>
          </w:p>
        </w:tc>
        <w:tc>
          <w:tcPr>
            <w:tcW w:w="1814" w:type="dxa"/>
            <w:vAlign w:val="center"/>
          </w:tcPr>
          <w:p w14:paraId="3108E24A" w14:textId="77777777" w:rsidR="00454A29" w:rsidRDefault="00454A29">
            <w:pPr>
              <w:pStyle w:val="ConsPlusNormal"/>
            </w:pPr>
          </w:p>
        </w:tc>
      </w:tr>
      <w:tr w:rsidR="00454A29" w14:paraId="58C43BE1" w14:textId="77777777">
        <w:tc>
          <w:tcPr>
            <w:tcW w:w="567" w:type="dxa"/>
            <w:vMerge/>
          </w:tcPr>
          <w:p w14:paraId="2A518F48" w14:textId="77777777" w:rsidR="00454A29" w:rsidRDefault="00454A29"/>
        </w:tc>
        <w:tc>
          <w:tcPr>
            <w:tcW w:w="3345" w:type="dxa"/>
            <w:vMerge/>
          </w:tcPr>
          <w:p w14:paraId="15F28637" w14:textId="77777777" w:rsidR="00454A29" w:rsidRDefault="00454A29"/>
        </w:tc>
        <w:tc>
          <w:tcPr>
            <w:tcW w:w="1701" w:type="dxa"/>
            <w:vAlign w:val="center"/>
          </w:tcPr>
          <w:p w14:paraId="1413A348" w14:textId="77777777" w:rsidR="00454A29" w:rsidRDefault="00454A29">
            <w:pPr>
              <w:pStyle w:val="ConsPlusNormal"/>
              <w:jc w:val="center"/>
            </w:pPr>
            <w:r>
              <w:t>2022</w:t>
            </w:r>
          </w:p>
        </w:tc>
        <w:tc>
          <w:tcPr>
            <w:tcW w:w="1417" w:type="dxa"/>
            <w:vMerge/>
          </w:tcPr>
          <w:p w14:paraId="506BB694" w14:textId="77777777" w:rsidR="00454A29" w:rsidRDefault="00454A29"/>
        </w:tc>
        <w:tc>
          <w:tcPr>
            <w:tcW w:w="2204" w:type="dxa"/>
            <w:vMerge/>
          </w:tcPr>
          <w:p w14:paraId="4F483929" w14:textId="77777777" w:rsidR="00454A29" w:rsidRDefault="00454A29"/>
        </w:tc>
        <w:tc>
          <w:tcPr>
            <w:tcW w:w="1417" w:type="dxa"/>
            <w:vMerge/>
          </w:tcPr>
          <w:p w14:paraId="20C5BB3B" w14:textId="77777777" w:rsidR="00454A29" w:rsidRDefault="00454A29"/>
        </w:tc>
        <w:tc>
          <w:tcPr>
            <w:tcW w:w="2324" w:type="dxa"/>
            <w:vMerge/>
          </w:tcPr>
          <w:p w14:paraId="5CAC7809" w14:textId="77777777" w:rsidR="00454A29" w:rsidRDefault="00454A29"/>
        </w:tc>
        <w:tc>
          <w:tcPr>
            <w:tcW w:w="1701" w:type="dxa"/>
            <w:vAlign w:val="center"/>
          </w:tcPr>
          <w:p w14:paraId="5F85D48C" w14:textId="77777777" w:rsidR="00454A29" w:rsidRDefault="00454A29">
            <w:pPr>
              <w:pStyle w:val="ConsPlusNormal"/>
              <w:jc w:val="center"/>
            </w:pPr>
            <w:r>
              <w:t>82 823,72</w:t>
            </w:r>
          </w:p>
        </w:tc>
        <w:tc>
          <w:tcPr>
            <w:tcW w:w="1814" w:type="dxa"/>
            <w:vAlign w:val="center"/>
          </w:tcPr>
          <w:p w14:paraId="2C37F28D" w14:textId="77777777" w:rsidR="00454A29" w:rsidRDefault="00454A29">
            <w:pPr>
              <w:pStyle w:val="ConsPlusNormal"/>
              <w:jc w:val="center"/>
            </w:pPr>
            <w:r>
              <w:t>63 958,56</w:t>
            </w:r>
          </w:p>
        </w:tc>
        <w:tc>
          <w:tcPr>
            <w:tcW w:w="1701" w:type="dxa"/>
            <w:vAlign w:val="center"/>
          </w:tcPr>
          <w:p w14:paraId="7960D014" w14:textId="77777777" w:rsidR="00454A29" w:rsidRDefault="00454A29">
            <w:pPr>
              <w:pStyle w:val="ConsPlusNormal"/>
            </w:pPr>
          </w:p>
        </w:tc>
        <w:tc>
          <w:tcPr>
            <w:tcW w:w="1701" w:type="dxa"/>
            <w:vAlign w:val="center"/>
          </w:tcPr>
          <w:p w14:paraId="121B8CB3" w14:textId="77777777" w:rsidR="00454A29" w:rsidRDefault="00454A29">
            <w:pPr>
              <w:pStyle w:val="ConsPlusNormal"/>
              <w:jc w:val="center"/>
            </w:pPr>
            <w:r>
              <w:t>18 865,16</w:t>
            </w:r>
          </w:p>
        </w:tc>
        <w:tc>
          <w:tcPr>
            <w:tcW w:w="1814" w:type="dxa"/>
            <w:vAlign w:val="center"/>
          </w:tcPr>
          <w:p w14:paraId="45F16533" w14:textId="77777777" w:rsidR="00454A29" w:rsidRDefault="00454A29">
            <w:pPr>
              <w:pStyle w:val="ConsPlusNormal"/>
            </w:pPr>
          </w:p>
        </w:tc>
      </w:tr>
      <w:tr w:rsidR="00454A29" w14:paraId="37205AB3" w14:textId="77777777">
        <w:tc>
          <w:tcPr>
            <w:tcW w:w="567" w:type="dxa"/>
            <w:vMerge/>
          </w:tcPr>
          <w:p w14:paraId="7B3A0538" w14:textId="77777777" w:rsidR="00454A29" w:rsidRDefault="00454A29"/>
        </w:tc>
        <w:tc>
          <w:tcPr>
            <w:tcW w:w="3345" w:type="dxa"/>
            <w:vMerge/>
          </w:tcPr>
          <w:p w14:paraId="7BE7376A" w14:textId="77777777" w:rsidR="00454A29" w:rsidRDefault="00454A29"/>
        </w:tc>
        <w:tc>
          <w:tcPr>
            <w:tcW w:w="1701" w:type="dxa"/>
            <w:vAlign w:val="center"/>
          </w:tcPr>
          <w:p w14:paraId="7045EA4C" w14:textId="77777777" w:rsidR="00454A29" w:rsidRDefault="00454A29">
            <w:pPr>
              <w:pStyle w:val="ConsPlusNormal"/>
              <w:jc w:val="center"/>
            </w:pPr>
            <w:r>
              <w:t>2023</w:t>
            </w:r>
          </w:p>
        </w:tc>
        <w:tc>
          <w:tcPr>
            <w:tcW w:w="1417" w:type="dxa"/>
            <w:vMerge/>
          </w:tcPr>
          <w:p w14:paraId="453A4B23" w14:textId="77777777" w:rsidR="00454A29" w:rsidRDefault="00454A29"/>
        </w:tc>
        <w:tc>
          <w:tcPr>
            <w:tcW w:w="2204" w:type="dxa"/>
            <w:vMerge/>
          </w:tcPr>
          <w:p w14:paraId="68615C59" w14:textId="77777777" w:rsidR="00454A29" w:rsidRDefault="00454A29"/>
        </w:tc>
        <w:tc>
          <w:tcPr>
            <w:tcW w:w="1417" w:type="dxa"/>
            <w:vMerge/>
          </w:tcPr>
          <w:p w14:paraId="7A20ABFA" w14:textId="77777777" w:rsidR="00454A29" w:rsidRDefault="00454A29"/>
        </w:tc>
        <w:tc>
          <w:tcPr>
            <w:tcW w:w="2324" w:type="dxa"/>
            <w:vMerge/>
          </w:tcPr>
          <w:p w14:paraId="52729A5E" w14:textId="77777777" w:rsidR="00454A29" w:rsidRDefault="00454A29"/>
        </w:tc>
        <w:tc>
          <w:tcPr>
            <w:tcW w:w="1701" w:type="dxa"/>
            <w:vAlign w:val="center"/>
          </w:tcPr>
          <w:p w14:paraId="1198EE6E" w14:textId="77777777" w:rsidR="00454A29" w:rsidRDefault="00454A29">
            <w:pPr>
              <w:pStyle w:val="ConsPlusNormal"/>
              <w:jc w:val="center"/>
            </w:pPr>
            <w:r>
              <w:t>83 446,27</w:t>
            </w:r>
          </w:p>
        </w:tc>
        <w:tc>
          <w:tcPr>
            <w:tcW w:w="1814" w:type="dxa"/>
            <w:vAlign w:val="center"/>
          </w:tcPr>
          <w:p w14:paraId="32FFA31D" w14:textId="77777777" w:rsidR="00454A29" w:rsidRDefault="00454A29">
            <w:pPr>
              <w:pStyle w:val="ConsPlusNormal"/>
              <w:jc w:val="center"/>
            </w:pPr>
            <w:r>
              <w:t>63 958,56</w:t>
            </w:r>
          </w:p>
        </w:tc>
        <w:tc>
          <w:tcPr>
            <w:tcW w:w="1701" w:type="dxa"/>
            <w:vAlign w:val="center"/>
          </w:tcPr>
          <w:p w14:paraId="14216F5F" w14:textId="77777777" w:rsidR="00454A29" w:rsidRDefault="00454A29">
            <w:pPr>
              <w:pStyle w:val="ConsPlusNormal"/>
            </w:pPr>
          </w:p>
        </w:tc>
        <w:tc>
          <w:tcPr>
            <w:tcW w:w="1701" w:type="dxa"/>
            <w:vAlign w:val="center"/>
          </w:tcPr>
          <w:p w14:paraId="61BA4F33" w14:textId="77777777" w:rsidR="00454A29" w:rsidRDefault="00454A29">
            <w:pPr>
              <w:pStyle w:val="ConsPlusNormal"/>
              <w:jc w:val="center"/>
            </w:pPr>
            <w:r>
              <w:t>19 487,71</w:t>
            </w:r>
          </w:p>
        </w:tc>
        <w:tc>
          <w:tcPr>
            <w:tcW w:w="1814" w:type="dxa"/>
            <w:vAlign w:val="center"/>
          </w:tcPr>
          <w:p w14:paraId="437D4081" w14:textId="77777777" w:rsidR="00454A29" w:rsidRDefault="00454A29">
            <w:pPr>
              <w:pStyle w:val="ConsPlusNormal"/>
            </w:pPr>
          </w:p>
        </w:tc>
      </w:tr>
      <w:tr w:rsidR="00454A29" w14:paraId="36A77974" w14:textId="77777777">
        <w:tc>
          <w:tcPr>
            <w:tcW w:w="567" w:type="dxa"/>
            <w:vMerge/>
          </w:tcPr>
          <w:p w14:paraId="6F444397" w14:textId="77777777" w:rsidR="00454A29" w:rsidRDefault="00454A29"/>
        </w:tc>
        <w:tc>
          <w:tcPr>
            <w:tcW w:w="3345" w:type="dxa"/>
            <w:vMerge/>
          </w:tcPr>
          <w:p w14:paraId="28E1EB66" w14:textId="77777777" w:rsidR="00454A29" w:rsidRDefault="00454A29"/>
        </w:tc>
        <w:tc>
          <w:tcPr>
            <w:tcW w:w="1701" w:type="dxa"/>
            <w:vAlign w:val="center"/>
          </w:tcPr>
          <w:p w14:paraId="7E105F20" w14:textId="77777777" w:rsidR="00454A29" w:rsidRDefault="00454A29">
            <w:pPr>
              <w:pStyle w:val="ConsPlusNormal"/>
              <w:jc w:val="center"/>
            </w:pPr>
            <w:r>
              <w:t>2024</w:t>
            </w:r>
          </w:p>
        </w:tc>
        <w:tc>
          <w:tcPr>
            <w:tcW w:w="1417" w:type="dxa"/>
            <w:vMerge/>
          </w:tcPr>
          <w:p w14:paraId="551E3BDF" w14:textId="77777777" w:rsidR="00454A29" w:rsidRDefault="00454A29"/>
        </w:tc>
        <w:tc>
          <w:tcPr>
            <w:tcW w:w="2204" w:type="dxa"/>
            <w:vMerge/>
          </w:tcPr>
          <w:p w14:paraId="03EBAD90" w14:textId="77777777" w:rsidR="00454A29" w:rsidRDefault="00454A29"/>
        </w:tc>
        <w:tc>
          <w:tcPr>
            <w:tcW w:w="1417" w:type="dxa"/>
            <w:vMerge/>
          </w:tcPr>
          <w:p w14:paraId="036E0EBC" w14:textId="77777777" w:rsidR="00454A29" w:rsidRDefault="00454A29"/>
        </w:tc>
        <w:tc>
          <w:tcPr>
            <w:tcW w:w="2324" w:type="dxa"/>
            <w:vMerge/>
          </w:tcPr>
          <w:p w14:paraId="3037F639" w14:textId="77777777" w:rsidR="00454A29" w:rsidRDefault="00454A29"/>
        </w:tc>
        <w:tc>
          <w:tcPr>
            <w:tcW w:w="1701" w:type="dxa"/>
            <w:vAlign w:val="center"/>
          </w:tcPr>
          <w:p w14:paraId="6DEDBDD3" w14:textId="77777777" w:rsidR="00454A29" w:rsidRDefault="00454A29">
            <w:pPr>
              <w:pStyle w:val="ConsPlusNormal"/>
              <w:jc w:val="center"/>
            </w:pPr>
            <w:r>
              <w:t>84 050,39</w:t>
            </w:r>
          </w:p>
        </w:tc>
        <w:tc>
          <w:tcPr>
            <w:tcW w:w="1814" w:type="dxa"/>
            <w:vAlign w:val="center"/>
          </w:tcPr>
          <w:p w14:paraId="54982EAE" w14:textId="77777777" w:rsidR="00454A29" w:rsidRDefault="00454A29">
            <w:pPr>
              <w:pStyle w:val="ConsPlusNormal"/>
              <w:jc w:val="center"/>
            </w:pPr>
            <w:r>
              <w:t>63 958,56</w:t>
            </w:r>
          </w:p>
        </w:tc>
        <w:tc>
          <w:tcPr>
            <w:tcW w:w="1701" w:type="dxa"/>
            <w:vAlign w:val="center"/>
          </w:tcPr>
          <w:p w14:paraId="6D4399C2" w14:textId="77777777" w:rsidR="00454A29" w:rsidRDefault="00454A29">
            <w:pPr>
              <w:pStyle w:val="ConsPlusNormal"/>
            </w:pPr>
          </w:p>
        </w:tc>
        <w:tc>
          <w:tcPr>
            <w:tcW w:w="1701" w:type="dxa"/>
            <w:vAlign w:val="center"/>
          </w:tcPr>
          <w:p w14:paraId="556E8B6E" w14:textId="77777777" w:rsidR="00454A29" w:rsidRDefault="00454A29">
            <w:pPr>
              <w:pStyle w:val="ConsPlusNormal"/>
              <w:jc w:val="center"/>
            </w:pPr>
            <w:r>
              <w:t>20 091,83</w:t>
            </w:r>
          </w:p>
        </w:tc>
        <w:tc>
          <w:tcPr>
            <w:tcW w:w="1814" w:type="dxa"/>
            <w:vAlign w:val="center"/>
          </w:tcPr>
          <w:p w14:paraId="0CE7E0CB" w14:textId="77777777" w:rsidR="00454A29" w:rsidRDefault="00454A29">
            <w:pPr>
              <w:pStyle w:val="ConsPlusNormal"/>
            </w:pPr>
          </w:p>
        </w:tc>
      </w:tr>
      <w:tr w:rsidR="00454A29" w14:paraId="49C3AE98" w14:textId="77777777">
        <w:tc>
          <w:tcPr>
            <w:tcW w:w="567" w:type="dxa"/>
            <w:vMerge/>
          </w:tcPr>
          <w:p w14:paraId="51EB2956" w14:textId="77777777" w:rsidR="00454A29" w:rsidRDefault="00454A29"/>
        </w:tc>
        <w:tc>
          <w:tcPr>
            <w:tcW w:w="3345" w:type="dxa"/>
            <w:vMerge/>
          </w:tcPr>
          <w:p w14:paraId="459DAC0C" w14:textId="77777777" w:rsidR="00454A29" w:rsidRDefault="00454A29"/>
        </w:tc>
        <w:tc>
          <w:tcPr>
            <w:tcW w:w="1701" w:type="dxa"/>
            <w:vAlign w:val="center"/>
          </w:tcPr>
          <w:p w14:paraId="4CDE201A" w14:textId="77777777" w:rsidR="00454A29" w:rsidRDefault="00454A29">
            <w:pPr>
              <w:pStyle w:val="ConsPlusNormal"/>
              <w:jc w:val="center"/>
            </w:pPr>
            <w:r>
              <w:t>2025</w:t>
            </w:r>
          </w:p>
        </w:tc>
        <w:tc>
          <w:tcPr>
            <w:tcW w:w="1417" w:type="dxa"/>
            <w:vMerge/>
          </w:tcPr>
          <w:p w14:paraId="008253D3" w14:textId="77777777" w:rsidR="00454A29" w:rsidRDefault="00454A29"/>
        </w:tc>
        <w:tc>
          <w:tcPr>
            <w:tcW w:w="2204" w:type="dxa"/>
            <w:vMerge/>
          </w:tcPr>
          <w:p w14:paraId="22D678FB" w14:textId="77777777" w:rsidR="00454A29" w:rsidRDefault="00454A29"/>
        </w:tc>
        <w:tc>
          <w:tcPr>
            <w:tcW w:w="1417" w:type="dxa"/>
            <w:vMerge/>
          </w:tcPr>
          <w:p w14:paraId="18EBF8EC" w14:textId="77777777" w:rsidR="00454A29" w:rsidRDefault="00454A29"/>
        </w:tc>
        <w:tc>
          <w:tcPr>
            <w:tcW w:w="2324" w:type="dxa"/>
            <w:vMerge/>
          </w:tcPr>
          <w:p w14:paraId="2FB93C81" w14:textId="77777777" w:rsidR="00454A29" w:rsidRDefault="00454A29"/>
        </w:tc>
        <w:tc>
          <w:tcPr>
            <w:tcW w:w="1701" w:type="dxa"/>
            <w:vAlign w:val="center"/>
          </w:tcPr>
          <w:p w14:paraId="7052FCFC" w14:textId="77777777" w:rsidR="00454A29" w:rsidRDefault="00454A29">
            <w:pPr>
              <w:pStyle w:val="ConsPlusNormal"/>
              <w:jc w:val="center"/>
            </w:pPr>
            <w:r>
              <w:t>84 633,05</w:t>
            </w:r>
          </w:p>
        </w:tc>
        <w:tc>
          <w:tcPr>
            <w:tcW w:w="1814" w:type="dxa"/>
            <w:vAlign w:val="center"/>
          </w:tcPr>
          <w:p w14:paraId="3AC0491E" w14:textId="77777777" w:rsidR="00454A29" w:rsidRDefault="00454A29">
            <w:pPr>
              <w:pStyle w:val="ConsPlusNormal"/>
              <w:jc w:val="center"/>
            </w:pPr>
            <w:r>
              <w:t>63 958,56</w:t>
            </w:r>
          </w:p>
        </w:tc>
        <w:tc>
          <w:tcPr>
            <w:tcW w:w="1701" w:type="dxa"/>
            <w:vAlign w:val="center"/>
          </w:tcPr>
          <w:p w14:paraId="7DC1E5FA" w14:textId="77777777" w:rsidR="00454A29" w:rsidRDefault="00454A29">
            <w:pPr>
              <w:pStyle w:val="ConsPlusNormal"/>
            </w:pPr>
          </w:p>
        </w:tc>
        <w:tc>
          <w:tcPr>
            <w:tcW w:w="1701" w:type="dxa"/>
            <w:vAlign w:val="center"/>
          </w:tcPr>
          <w:p w14:paraId="12A09F1C" w14:textId="77777777" w:rsidR="00454A29" w:rsidRDefault="00454A29">
            <w:pPr>
              <w:pStyle w:val="ConsPlusNormal"/>
              <w:jc w:val="center"/>
            </w:pPr>
            <w:r>
              <w:t>20 674,49</w:t>
            </w:r>
          </w:p>
        </w:tc>
        <w:tc>
          <w:tcPr>
            <w:tcW w:w="1814" w:type="dxa"/>
            <w:vAlign w:val="center"/>
          </w:tcPr>
          <w:p w14:paraId="3704AF3E" w14:textId="77777777" w:rsidR="00454A29" w:rsidRDefault="00454A29">
            <w:pPr>
              <w:pStyle w:val="ConsPlusNormal"/>
            </w:pPr>
          </w:p>
        </w:tc>
      </w:tr>
      <w:tr w:rsidR="00454A29" w14:paraId="2B0E5189" w14:textId="77777777">
        <w:tc>
          <w:tcPr>
            <w:tcW w:w="567" w:type="dxa"/>
            <w:vMerge w:val="restart"/>
            <w:vAlign w:val="center"/>
          </w:tcPr>
          <w:p w14:paraId="730DEB96" w14:textId="77777777" w:rsidR="00454A29" w:rsidRDefault="00454A29">
            <w:pPr>
              <w:pStyle w:val="ConsPlusNormal"/>
              <w:jc w:val="center"/>
            </w:pPr>
            <w:r>
              <w:t>70</w:t>
            </w:r>
          </w:p>
        </w:tc>
        <w:tc>
          <w:tcPr>
            <w:tcW w:w="3345" w:type="dxa"/>
            <w:vMerge w:val="restart"/>
            <w:vAlign w:val="center"/>
          </w:tcPr>
          <w:p w14:paraId="7813C8AF" w14:textId="77777777" w:rsidR="00454A29" w:rsidRDefault="00454A29">
            <w:pPr>
              <w:pStyle w:val="ConsPlusNormal"/>
              <w:jc w:val="center"/>
            </w:pPr>
            <w:r>
              <w:t>Детский сад на 75 мест в с. Огородтах Усть-Алданского улуса</w:t>
            </w:r>
          </w:p>
        </w:tc>
        <w:tc>
          <w:tcPr>
            <w:tcW w:w="1701" w:type="dxa"/>
            <w:vAlign w:val="center"/>
          </w:tcPr>
          <w:p w14:paraId="2A06D0B2" w14:textId="77777777" w:rsidR="00454A29" w:rsidRDefault="00454A29">
            <w:pPr>
              <w:pStyle w:val="ConsPlusNormal"/>
              <w:jc w:val="center"/>
            </w:pPr>
            <w:r>
              <w:t>2016 - 2025 годы - всего</w:t>
            </w:r>
          </w:p>
        </w:tc>
        <w:tc>
          <w:tcPr>
            <w:tcW w:w="1417" w:type="dxa"/>
            <w:vMerge w:val="restart"/>
            <w:vAlign w:val="center"/>
          </w:tcPr>
          <w:p w14:paraId="6280FE86" w14:textId="77777777" w:rsidR="00454A29" w:rsidRDefault="00454A29">
            <w:pPr>
              <w:pStyle w:val="ConsPlusNormal"/>
              <w:jc w:val="center"/>
            </w:pPr>
            <w:r>
              <w:t>103 374,24</w:t>
            </w:r>
          </w:p>
        </w:tc>
        <w:tc>
          <w:tcPr>
            <w:tcW w:w="2204" w:type="dxa"/>
            <w:vMerge w:val="restart"/>
            <w:vAlign w:val="center"/>
          </w:tcPr>
          <w:p w14:paraId="09B14DEC" w14:textId="77777777" w:rsidR="00454A29" w:rsidRDefault="00454A29">
            <w:pPr>
              <w:pStyle w:val="ConsPlusNormal"/>
              <w:jc w:val="center"/>
            </w:pPr>
            <w:r>
              <w:t>имеется</w:t>
            </w:r>
          </w:p>
        </w:tc>
        <w:tc>
          <w:tcPr>
            <w:tcW w:w="1417" w:type="dxa"/>
            <w:vMerge w:val="restart"/>
            <w:vAlign w:val="center"/>
          </w:tcPr>
          <w:p w14:paraId="72071825" w14:textId="77777777" w:rsidR="00454A29" w:rsidRDefault="00454A29">
            <w:pPr>
              <w:pStyle w:val="ConsPlusNormal"/>
              <w:jc w:val="center"/>
            </w:pPr>
            <w:r>
              <w:t>75</w:t>
            </w:r>
          </w:p>
        </w:tc>
        <w:tc>
          <w:tcPr>
            <w:tcW w:w="2324" w:type="dxa"/>
            <w:vMerge w:val="restart"/>
            <w:vAlign w:val="center"/>
          </w:tcPr>
          <w:p w14:paraId="1536333D" w14:textId="77777777" w:rsidR="00454A29" w:rsidRDefault="00454A29">
            <w:pPr>
              <w:pStyle w:val="ConsPlusNormal"/>
              <w:jc w:val="center"/>
            </w:pPr>
            <w:r>
              <w:t>Минэкономики РС(Я)</w:t>
            </w:r>
          </w:p>
        </w:tc>
        <w:tc>
          <w:tcPr>
            <w:tcW w:w="1701" w:type="dxa"/>
            <w:vAlign w:val="center"/>
          </w:tcPr>
          <w:p w14:paraId="5B585EEF" w14:textId="77777777" w:rsidR="00454A29" w:rsidRDefault="00454A29">
            <w:pPr>
              <w:pStyle w:val="ConsPlusNormal"/>
              <w:jc w:val="center"/>
            </w:pPr>
            <w:r>
              <w:t>426 272,11</w:t>
            </w:r>
          </w:p>
        </w:tc>
        <w:tc>
          <w:tcPr>
            <w:tcW w:w="1814" w:type="dxa"/>
            <w:vAlign w:val="center"/>
          </w:tcPr>
          <w:p w14:paraId="683EE45E" w14:textId="77777777" w:rsidR="00454A29" w:rsidRDefault="00454A29">
            <w:pPr>
              <w:pStyle w:val="ConsPlusNormal"/>
              <w:jc w:val="center"/>
            </w:pPr>
            <w:r>
              <w:t>212 222,64</w:t>
            </w:r>
          </w:p>
        </w:tc>
        <w:tc>
          <w:tcPr>
            <w:tcW w:w="1701" w:type="dxa"/>
            <w:vAlign w:val="center"/>
          </w:tcPr>
          <w:p w14:paraId="4FCBD96B" w14:textId="77777777" w:rsidR="00454A29" w:rsidRDefault="00454A29">
            <w:pPr>
              <w:pStyle w:val="ConsPlusNormal"/>
              <w:jc w:val="center"/>
            </w:pPr>
            <w:r>
              <w:t>-</w:t>
            </w:r>
          </w:p>
        </w:tc>
        <w:tc>
          <w:tcPr>
            <w:tcW w:w="1701" w:type="dxa"/>
            <w:vAlign w:val="center"/>
          </w:tcPr>
          <w:p w14:paraId="5A60AD98" w14:textId="77777777" w:rsidR="00454A29" w:rsidRDefault="00454A29">
            <w:pPr>
              <w:pStyle w:val="ConsPlusNormal"/>
              <w:jc w:val="center"/>
            </w:pPr>
            <w:r>
              <w:t>110 675,24</w:t>
            </w:r>
          </w:p>
        </w:tc>
        <w:tc>
          <w:tcPr>
            <w:tcW w:w="1814" w:type="dxa"/>
            <w:vAlign w:val="center"/>
          </w:tcPr>
          <w:p w14:paraId="49F0843F" w14:textId="77777777" w:rsidR="00454A29" w:rsidRDefault="00454A29">
            <w:pPr>
              <w:pStyle w:val="ConsPlusNormal"/>
              <w:jc w:val="center"/>
            </w:pPr>
            <w:r>
              <w:t>103 374,24</w:t>
            </w:r>
          </w:p>
        </w:tc>
      </w:tr>
      <w:tr w:rsidR="00454A29" w14:paraId="3E078255" w14:textId="77777777">
        <w:tc>
          <w:tcPr>
            <w:tcW w:w="567" w:type="dxa"/>
            <w:vMerge/>
          </w:tcPr>
          <w:p w14:paraId="5F5AB6C8" w14:textId="77777777" w:rsidR="00454A29" w:rsidRDefault="00454A29"/>
        </w:tc>
        <w:tc>
          <w:tcPr>
            <w:tcW w:w="3345" w:type="dxa"/>
            <w:vMerge/>
          </w:tcPr>
          <w:p w14:paraId="3622F178" w14:textId="77777777" w:rsidR="00454A29" w:rsidRDefault="00454A29"/>
        </w:tc>
        <w:tc>
          <w:tcPr>
            <w:tcW w:w="1701" w:type="dxa"/>
            <w:vAlign w:val="center"/>
          </w:tcPr>
          <w:p w14:paraId="75966820" w14:textId="77777777" w:rsidR="00454A29" w:rsidRDefault="00454A29">
            <w:pPr>
              <w:pStyle w:val="ConsPlusNormal"/>
              <w:jc w:val="center"/>
            </w:pPr>
            <w:r>
              <w:t>2016</w:t>
            </w:r>
          </w:p>
        </w:tc>
        <w:tc>
          <w:tcPr>
            <w:tcW w:w="1417" w:type="dxa"/>
            <w:vMerge/>
          </w:tcPr>
          <w:p w14:paraId="2625842B" w14:textId="77777777" w:rsidR="00454A29" w:rsidRDefault="00454A29"/>
        </w:tc>
        <w:tc>
          <w:tcPr>
            <w:tcW w:w="2204" w:type="dxa"/>
            <w:vMerge/>
          </w:tcPr>
          <w:p w14:paraId="084C38DF" w14:textId="77777777" w:rsidR="00454A29" w:rsidRDefault="00454A29"/>
        </w:tc>
        <w:tc>
          <w:tcPr>
            <w:tcW w:w="1417" w:type="dxa"/>
            <w:vMerge/>
          </w:tcPr>
          <w:p w14:paraId="6F2E6EEB" w14:textId="77777777" w:rsidR="00454A29" w:rsidRDefault="00454A29"/>
        </w:tc>
        <w:tc>
          <w:tcPr>
            <w:tcW w:w="2324" w:type="dxa"/>
            <w:vMerge/>
          </w:tcPr>
          <w:p w14:paraId="63621824" w14:textId="77777777" w:rsidR="00454A29" w:rsidRDefault="00454A29"/>
        </w:tc>
        <w:tc>
          <w:tcPr>
            <w:tcW w:w="1701" w:type="dxa"/>
            <w:vAlign w:val="center"/>
          </w:tcPr>
          <w:p w14:paraId="45451723" w14:textId="77777777" w:rsidR="00454A29" w:rsidRDefault="00454A29">
            <w:pPr>
              <w:pStyle w:val="ConsPlusNormal"/>
              <w:jc w:val="center"/>
            </w:pPr>
            <w:r>
              <w:t>77 043,99</w:t>
            </w:r>
          </w:p>
        </w:tc>
        <w:tc>
          <w:tcPr>
            <w:tcW w:w="1814" w:type="dxa"/>
            <w:vAlign w:val="center"/>
          </w:tcPr>
          <w:p w14:paraId="06956F70" w14:textId="77777777" w:rsidR="00454A29" w:rsidRDefault="00454A29">
            <w:pPr>
              <w:pStyle w:val="ConsPlusNormal"/>
              <w:jc w:val="center"/>
            </w:pPr>
            <w:r>
              <w:t>4 030,50</w:t>
            </w:r>
          </w:p>
        </w:tc>
        <w:tc>
          <w:tcPr>
            <w:tcW w:w="1701" w:type="dxa"/>
            <w:vAlign w:val="center"/>
          </w:tcPr>
          <w:p w14:paraId="2DE0C75F" w14:textId="77777777" w:rsidR="00454A29" w:rsidRDefault="00454A29">
            <w:pPr>
              <w:pStyle w:val="ConsPlusNormal"/>
            </w:pPr>
          </w:p>
        </w:tc>
        <w:tc>
          <w:tcPr>
            <w:tcW w:w="1701" w:type="dxa"/>
            <w:vAlign w:val="center"/>
          </w:tcPr>
          <w:p w14:paraId="234D5D62" w14:textId="77777777" w:rsidR="00454A29" w:rsidRDefault="00454A29">
            <w:pPr>
              <w:pStyle w:val="ConsPlusNormal"/>
              <w:jc w:val="center"/>
            </w:pPr>
            <w:r>
              <w:t>-</w:t>
            </w:r>
          </w:p>
        </w:tc>
        <w:tc>
          <w:tcPr>
            <w:tcW w:w="1814" w:type="dxa"/>
            <w:vAlign w:val="center"/>
          </w:tcPr>
          <w:p w14:paraId="6A043238" w14:textId="77777777" w:rsidR="00454A29" w:rsidRDefault="00454A29">
            <w:pPr>
              <w:pStyle w:val="ConsPlusNormal"/>
              <w:jc w:val="center"/>
            </w:pPr>
            <w:r>
              <w:t>73 013,49</w:t>
            </w:r>
          </w:p>
        </w:tc>
      </w:tr>
      <w:tr w:rsidR="00454A29" w14:paraId="512844AA" w14:textId="77777777">
        <w:tc>
          <w:tcPr>
            <w:tcW w:w="567" w:type="dxa"/>
            <w:vMerge/>
          </w:tcPr>
          <w:p w14:paraId="411FD79D" w14:textId="77777777" w:rsidR="00454A29" w:rsidRDefault="00454A29"/>
        </w:tc>
        <w:tc>
          <w:tcPr>
            <w:tcW w:w="3345" w:type="dxa"/>
            <w:vMerge/>
          </w:tcPr>
          <w:p w14:paraId="7D9F689D" w14:textId="77777777" w:rsidR="00454A29" w:rsidRDefault="00454A29"/>
        </w:tc>
        <w:tc>
          <w:tcPr>
            <w:tcW w:w="1701" w:type="dxa"/>
            <w:vAlign w:val="center"/>
          </w:tcPr>
          <w:p w14:paraId="677D5348" w14:textId="77777777" w:rsidR="00454A29" w:rsidRDefault="00454A29">
            <w:pPr>
              <w:pStyle w:val="ConsPlusNormal"/>
              <w:jc w:val="center"/>
            </w:pPr>
            <w:r>
              <w:t>2017</w:t>
            </w:r>
          </w:p>
        </w:tc>
        <w:tc>
          <w:tcPr>
            <w:tcW w:w="1417" w:type="dxa"/>
            <w:vMerge/>
          </w:tcPr>
          <w:p w14:paraId="4DF0E1EC" w14:textId="77777777" w:rsidR="00454A29" w:rsidRDefault="00454A29"/>
        </w:tc>
        <w:tc>
          <w:tcPr>
            <w:tcW w:w="2204" w:type="dxa"/>
            <w:vMerge/>
          </w:tcPr>
          <w:p w14:paraId="2D1802BC" w14:textId="77777777" w:rsidR="00454A29" w:rsidRDefault="00454A29"/>
        </w:tc>
        <w:tc>
          <w:tcPr>
            <w:tcW w:w="1417" w:type="dxa"/>
            <w:vMerge/>
          </w:tcPr>
          <w:p w14:paraId="0D2DC4A3" w14:textId="77777777" w:rsidR="00454A29" w:rsidRDefault="00454A29"/>
        </w:tc>
        <w:tc>
          <w:tcPr>
            <w:tcW w:w="2324" w:type="dxa"/>
            <w:vMerge/>
          </w:tcPr>
          <w:p w14:paraId="2FDD48A1" w14:textId="77777777" w:rsidR="00454A29" w:rsidRDefault="00454A29"/>
        </w:tc>
        <w:tc>
          <w:tcPr>
            <w:tcW w:w="1701" w:type="dxa"/>
            <w:vAlign w:val="center"/>
          </w:tcPr>
          <w:p w14:paraId="573810CB" w14:textId="77777777" w:rsidR="00454A29" w:rsidRDefault="00454A29">
            <w:pPr>
              <w:pStyle w:val="ConsPlusNormal"/>
              <w:jc w:val="center"/>
            </w:pPr>
            <w:r>
              <w:t>49 384,88</w:t>
            </w:r>
          </w:p>
        </w:tc>
        <w:tc>
          <w:tcPr>
            <w:tcW w:w="1814" w:type="dxa"/>
            <w:vAlign w:val="center"/>
          </w:tcPr>
          <w:p w14:paraId="1CE92074" w14:textId="77777777" w:rsidR="00454A29" w:rsidRDefault="00454A29">
            <w:pPr>
              <w:pStyle w:val="ConsPlusNormal"/>
              <w:jc w:val="center"/>
            </w:pPr>
            <w:r>
              <w:t>17 065,20</w:t>
            </w:r>
          </w:p>
        </w:tc>
        <w:tc>
          <w:tcPr>
            <w:tcW w:w="1701" w:type="dxa"/>
            <w:vAlign w:val="center"/>
          </w:tcPr>
          <w:p w14:paraId="368EBA6A" w14:textId="77777777" w:rsidR="00454A29" w:rsidRDefault="00454A29">
            <w:pPr>
              <w:pStyle w:val="ConsPlusNormal"/>
            </w:pPr>
          </w:p>
        </w:tc>
        <w:tc>
          <w:tcPr>
            <w:tcW w:w="1701" w:type="dxa"/>
            <w:vAlign w:val="center"/>
          </w:tcPr>
          <w:p w14:paraId="1C9237CC" w14:textId="77777777" w:rsidR="00454A29" w:rsidRDefault="00454A29">
            <w:pPr>
              <w:pStyle w:val="ConsPlusNormal"/>
              <w:jc w:val="center"/>
            </w:pPr>
            <w:r>
              <w:t>1 958,94</w:t>
            </w:r>
          </w:p>
        </w:tc>
        <w:tc>
          <w:tcPr>
            <w:tcW w:w="1814" w:type="dxa"/>
            <w:vAlign w:val="center"/>
          </w:tcPr>
          <w:p w14:paraId="307344EF" w14:textId="77777777" w:rsidR="00454A29" w:rsidRDefault="00454A29">
            <w:pPr>
              <w:pStyle w:val="ConsPlusNormal"/>
              <w:jc w:val="center"/>
            </w:pPr>
            <w:r>
              <w:t>30 360,75</w:t>
            </w:r>
          </w:p>
        </w:tc>
      </w:tr>
      <w:tr w:rsidR="00454A29" w14:paraId="182990DE" w14:textId="77777777">
        <w:tc>
          <w:tcPr>
            <w:tcW w:w="567" w:type="dxa"/>
            <w:vMerge/>
          </w:tcPr>
          <w:p w14:paraId="10DEFE4F" w14:textId="77777777" w:rsidR="00454A29" w:rsidRDefault="00454A29"/>
        </w:tc>
        <w:tc>
          <w:tcPr>
            <w:tcW w:w="3345" w:type="dxa"/>
            <w:vMerge/>
          </w:tcPr>
          <w:p w14:paraId="55CEDA4A" w14:textId="77777777" w:rsidR="00454A29" w:rsidRDefault="00454A29"/>
        </w:tc>
        <w:tc>
          <w:tcPr>
            <w:tcW w:w="1701" w:type="dxa"/>
            <w:vAlign w:val="center"/>
          </w:tcPr>
          <w:p w14:paraId="7B992E8F" w14:textId="77777777" w:rsidR="00454A29" w:rsidRDefault="00454A29">
            <w:pPr>
              <w:pStyle w:val="ConsPlusNormal"/>
              <w:jc w:val="center"/>
            </w:pPr>
            <w:r>
              <w:t>2018</w:t>
            </w:r>
          </w:p>
        </w:tc>
        <w:tc>
          <w:tcPr>
            <w:tcW w:w="1417" w:type="dxa"/>
            <w:vMerge/>
          </w:tcPr>
          <w:p w14:paraId="3E9C1072" w14:textId="77777777" w:rsidR="00454A29" w:rsidRDefault="00454A29"/>
        </w:tc>
        <w:tc>
          <w:tcPr>
            <w:tcW w:w="2204" w:type="dxa"/>
            <w:vMerge/>
          </w:tcPr>
          <w:p w14:paraId="042FBFDB" w14:textId="77777777" w:rsidR="00454A29" w:rsidRDefault="00454A29"/>
        </w:tc>
        <w:tc>
          <w:tcPr>
            <w:tcW w:w="1417" w:type="dxa"/>
            <w:vMerge/>
          </w:tcPr>
          <w:p w14:paraId="36DFF140" w14:textId="77777777" w:rsidR="00454A29" w:rsidRDefault="00454A29"/>
        </w:tc>
        <w:tc>
          <w:tcPr>
            <w:tcW w:w="2324" w:type="dxa"/>
            <w:vMerge/>
          </w:tcPr>
          <w:p w14:paraId="48370309" w14:textId="77777777" w:rsidR="00454A29" w:rsidRDefault="00454A29"/>
        </w:tc>
        <w:tc>
          <w:tcPr>
            <w:tcW w:w="1701" w:type="dxa"/>
            <w:vAlign w:val="center"/>
          </w:tcPr>
          <w:p w14:paraId="017C417F" w14:textId="77777777" w:rsidR="00454A29" w:rsidRDefault="00454A29">
            <w:pPr>
              <w:pStyle w:val="ConsPlusNormal"/>
              <w:jc w:val="center"/>
            </w:pPr>
            <w:r>
              <w:t>29 986,65</w:t>
            </w:r>
          </w:p>
        </w:tc>
        <w:tc>
          <w:tcPr>
            <w:tcW w:w="1814" w:type="dxa"/>
            <w:vAlign w:val="center"/>
          </w:tcPr>
          <w:p w14:paraId="16E954B8" w14:textId="77777777" w:rsidR="00454A29" w:rsidRDefault="00454A29">
            <w:pPr>
              <w:pStyle w:val="ConsPlusNormal"/>
              <w:jc w:val="center"/>
            </w:pPr>
            <w:r>
              <w:t>18 233,04</w:t>
            </w:r>
          </w:p>
        </w:tc>
        <w:tc>
          <w:tcPr>
            <w:tcW w:w="1701" w:type="dxa"/>
            <w:vAlign w:val="center"/>
          </w:tcPr>
          <w:p w14:paraId="1063D770" w14:textId="77777777" w:rsidR="00454A29" w:rsidRDefault="00454A29">
            <w:pPr>
              <w:pStyle w:val="ConsPlusNormal"/>
            </w:pPr>
          </w:p>
        </w:tc>
        <w:tc>
          <w:tcPr>
            <w:tcW w:w="1701" w:type="dxa"/>
            <w:vAlign w:val="center"/>
          </w:tcPr>
          <w:p w14:paraId="614C9254" w14:textId="77777777" w:rsidR="00454A29" w:rsidRDefault="00454A29">
            <w:pPr>
              <w:pStyle w:val="ConsPlusNormal"/>
              <w:jc w:val="center"/>
            </w:pPr>
            <w:r>
              <w:t>11 753,61</w:t>
            </w:r>
          </w:p>
        </w:tc>
        <w:tc>
          <w:tcPr>
            <w:tcW w:w="1814" w:type="dxa"/>
            <w:vAlign w:val="center"/>
          </w:tcPr>
          <w:p w14:paraId="51969045" w14:textId="77777777" w:rsidR="00454A29" w:rsidRDefault="00454A29">
            <w:pPr>
              <w:pStyle w:val="ConsPlusNormal"/>
            </w:pPr>
          </w:p>
        </w:tc>
      </w:tr>
      <w:tr w:rsidR="00454A29" w14:paraId="3D21907B" w14:textId="77777777">
        <w:tc>
          <w:tcPr>
            <w:tcW w:w="567" w:type="dxa"/>
            <w:vMerge/>
          </w:tcPr>
          <w:p w14:paraId="0DA75A69" w14:textId="77777777" w:rsidR="00454A29" w:rsidRDefault="00454A29"/>
        </w:tc>
        <w:tc>
          <w:tcPr>
            <w:tcW w:w="3345" w:type="dxa"/>
            <w:vMerge/>
          </w:tcPr>
          <w:p w14:paraId="684425BD" w14:textId="77777777" w:rsidR="00454A29" w:rsidRDefault="00454A29"/>
        </w:tc>
        <w:tc>
          <w:tcPr>
            <w:tcW w:w="1701" w:type="dxa"/>
            <w:vAlign w:val="center"/>
          </w:tcPr>
          <w:p w14:paraId="1968BB53" w14:textId="77777777" w:rsidR="00454A29" w:rsidRDefault="00454A29">
            <w:pPr>
              <w:pStyle w:val="ConsPlusNormal"/>
              <w:jc w:val="center"/>
            </w:pPr>
            <w:r>
              <w:t>2019</w:t>
            </w:r>
          </w:p>
        </w:tc>
        <w:tc>
          <w:tcPr>
            <w:tcW w:w="1417" w:type="dxa"/>
            <w:vMerge/>
          </w:tcPr>
          <w:p w14:paraId="61E715B3" w14:textId="77777777" w:rsidR="00454A29" w:rsidRDefault="00454A29"/>
        </w:tc>
        <w:tc>
          <w:tcPr>
            <w:tcW w:w="2204" w:type="dxa"/>
            <w:vMerge/>
          </w:tcPr>
          <w:p w14:paraId="793856DB" w14:textId="77777777" w:rsidR="00454A29" w:rsidRDefault="00454A29"/>
        </w:tc>
        <w:tc>
          <w:tcPr>
            <w:tcW w:w="1417" w:type="dxa"/>
            <w:vMerge/>
          </w:tcPr>
          <w:p w14:paraId="0168FFCE" w14:textId="77777777" w:rsidR="00454A29" w:rsidRDefault="00454A29"/>
        </w:tc>
        <w:tc>
          <w:tcPr>
            <w:tcW w:w="2324" w:type="dxa"/>
            <w:vMerge/>
          </w:tcPr>
          <w:p w14:paraId="342A3936" w14:textId="77777777" w:rsidR="00454A29" w:rsidRDefault="00454A29"/>
        </w:tc>
        <w:tc>
          <w:tcPr>
            <w:tcW w:w="1701" w:type="dxa"/>
            <w:vAlign w:val="center"/>
          </w:tcPr>
          <w:p w14:paraId="52E18902" w14:textId="77777777" w:rsidR="00454A29" w:rsidRDefault="00454A29">
            <w:pPr>
              <w:pStyle w:val="ConsPlusNormal"/>
              <w:jc w:val="center"/>
            </w:pPr>
            <w:r>
              <w:t>29 680,79</w:t>
            </w:r>
          </w:p>
        </w:tc>
        <w:tc>
          <w:tcPr>
            <w:tcW w:w="1814" w:type="dxa"/>
            <w:vAlign w:val="center"/>
          </w:tcPr>
          <w:p w14:paraId="31520681" w14:textId="77777777" w:rsidR="00454A29" w:rsidRDefault="00454A29">
            <w:pPr>
              <w:pStyle w:val="ConsPlusNormal"/>
              <w:jc w:val="center"/>
            </w:pPr>
            <w:r>
              <w:t>17 327,74</w:t>
            </w:r>
          </w:p>
        </w:tc>
        <w:tc>
          <w:tcPr>
            <w:tcW w:w="1701" w:type="dxa"/>
            <w:vAlign w:val="center"/>
          </w:tcPr>
          <w:p w14:paraId="32D04CE5" w14:textId="77777777" w:rsidR="00454A29" w:rsidRDefault="00454A29">
            <w:pPr>
              <w:pStyle w:val="ConsPlusNormal"/>
            </w:pPr>
          </w:p>
        </w:tc>
        <w:tc>
          <w:tcPr>
            <w:tcW w:w="1701" w:type="dxa"/>
            <w:vAlign w:val="center"/>
          </w:tcPr>
          <w:p w14:paraId="7C22B259" w14:textId="77777777" w:rsidR="00454A29" w:rsidRDefault="00454A29">
            <w:pPr>
              <w:pStyle w:val="ConsPlusNormal"/>
              <w:jc w:val="center"/>
            </w:pPr>
            <w:r>
              <w:t>12 353,05</w:t>
            </w:r>
          </w:p>
        </w:tc>
        <w:tc>
          <w:tcPr>
            <w:tcW w:w="1814" w:type="dxa"/>
            <w:vAlign w:val="center"/>
          </w:tcPr>
          <w:p w14:paraId="5A20F345" w14:textId="77777777" w:rsidR="00454A29" w:rsidRDefault="00454A29">
            <w:pPr>
              <w:pStyle w:val="ConsPlusNormal"/>
            </w:pPr>
          </w:p>
        </w:tc>
      </w:tr>
      <w:tr w:rsidR="00454A29" w14:paraId="65863A3C" w14:textId="77777777">
        <w:tc>
          <w:tcPr>
            <w:tcW w:w="567" w:type="dxa"/>
            <w:vMerge/>
          </w:tcPr>
          <w:p w14:paraId="4BB0A689" w14:textId="77777777" w:rsidR="00454A29" w:rsidRDefault="00454A29"/>
        </w:tc>
        <w:tc>
          <w:tcPr>
            <w:tcW w:w="3345" w:type="dxa"/>
            <w:vMerge/>
          </w:tcPr>
          <w:p w14:paraId="52F1A62B" w14:textId="77777777" w:rsidR="00454A29" w:rsidRDefault="00454A29"/>
        </w:tc>
        <w:tc>
          <w:tcPr>
            <w:tcW w:w="1701" w:type="dxa"/>
            <w:vAlign w:val="center"/>
          </w:tcPr>
          <w:p w14:paraId="1B8095A4" w14:textId="77777777" w:rsidR="00454A29" w:rsidRDefault="00454A29">
            <w:pPr>
              <w:pStyle w:val="ConsPlusNormal"/>
              <w:jc w:val="center"/>
            </w:pPr>
            <w:r>
              <w:t>2020</w:t>
            </w:r>
          </w:p>
        </w:tc>
        <w:tc>
          <w:tcPr>
            <w:tcW w:w="1417" w:type="dxa"/>
            <w:vMerge/>
          </w:tcPr>
          <w:p w14:paraId="2EF97C23" w14:textId="77777777" w:rsidR="00454A29" w:rsidRDefault="00454A29"/>
        </w:tc>
        <w:tc>
          <w:tcPr>
            <w:tcW w:w="2204" w:type="dxa"/>
            <w:vMerge/>
          </w:tcPr>
          <w:p w14:paraId="341C1019" w14:textId="77777777" w:rsidR="00454A29" w:rsidRDefault="00454A29"/>
        </w:tc>
        <w:tc>
          <w:tcPr>
            <w:tcW w:w="1417" w:type="dxa"/>
            <w:vMerge/>
          </w:tcPr>
          <w:p w14:paraId="33A27091" w14:textId="77777777" w:rsidR="00454A29" w:rsidRDefault="00454A29"/>
        </w:tc>
        <w:tc>
          <w:tcPr>
            <w:tcW w:w="2324" w:type="dxa"/>
            <w:vMerge/>
          </w:tcPr>
          <w:p w14:paraId="79C52A36" w14:textId="77777777" w:rsidR="00454A29" w:rsidRDefault="00454A29"/>
        </w:tc>
        <w:tc>
          <w:tcPr>
            <w:tcW w:w="1701" w:type="dxa"/>
            <w:vAlign w:val="center"/>
          </w:tcPr>
          <w:p w14:paraId="1BF15B05" w14:textId="77777777" w:rsidR="00454A29" w:rsidRDefault="00454A29">
            <w:pPr>
              <w:pStyle w:val="ConsPlusNormal"/>
              <w:jc w:val="center"/>
            </w:pPr>
            <w:r>
              <w:t>58 471,30</w:t>
            </w:r>
          </w:p>
        </w:tc>
        <w:tc>
          <w:tcPr>
            <w:tcW w:w="1814" w:type="dxa"/>
            <w:vAlign w:val="center"/>
          </w:tcPr>
          <w:p w14:paraId="153D9CF8" w14:textId="77777777" w:rsidR="00454A29" w:rsidRDefault="00454A29">
            <w:pPr>
              <w:pStyle w:val="ConsPlusNormal"/>
              <w:jc w:val="center"/>
            </w:pPr>
            <w:r>
              <w:t>45 562,37</w:t>
            </w:r>
          </w:p>
        </w:tc>
        <w:tc>
          <w:tcPr>
            <w:tcW w:w="1701" w:type="dxa"/>
            <w:vAlign w:val="center"/>
          </w:tcPr>
          <w:p w14:paraId="77BB9AE0" w14:textId="77777777" w:rsidR="00454A29" w:rsidRDefault="00454A29">
            <w:pPr>
              <w:pStyle w:val="ConsPlusNormal"/>
            </w:pPr>
          </w:p>
        </w:tc>
        <w:tc>
          <w:tcPr>
            <w:tcW w:w="1701" w:type="dxa"/>
            <w:vAlign w:val="center"/>
          </w:tcPr>
          <w:p w14:paraId="733179D5" w14:textId="77777777" w:rsidR="00454A29" w:rsidRDefault="00454A29">
            <w:pPr>
              <w:pStyle w:val="ConsPlusNormal"/>
              <w:jc w:val="center"/>
            </w:pPr>
            <w:r>
              <w:t>12 908,93</w:t>
            </w:r>
          </w:p>
        </w:tc>
        <w:tc>
          <w:tcPr>
            <w:tcW w:w="1814" w:type="dxa"/>
            <w:vAlign w:val="center"/>
          </w:tcPr>
          <w:p w14:paraId="4C1BE753" w14:textId="77777777" w:rsidR="00454A29" w:rsidRDefault="00454A29">
            <w:pPr>
              <w:pStyle w:val="ConsPlusNormal"/>
            </w:pPr>
          </w:p>
        </w:tc>
      </w:tr>
      <w:tr w:rsidR="00454A29" w14:paraId="770DF935" w14:textId="77777777">
        <w:tc>
          <w:tcPr>
            <w:tcW w:w="567" w:type="dxa"/>
            <w:vMerge/>
          </w:tcPr>
          <w:p w14:paraId="6974FCE4" w14:textId="77777777" w:rsidR="00454A29" w:rsidRDefault="00454A29"/>
        </w:tc>
        <w:tc>
          <w:tcPr>
            <w:tcW w:w="3345" w:type="dxa"/>
            <w:vMerge/>
          </w:tcPr>
          <w:p w14:paraId="4816A2A6" w14:textId="77777777" w:rsidR="00454A29" w:rsidRDefault="00454A29"/>
        </w:tc>
        <w:tc>
          <w:tcPr>
            <w:tcW w:w="1701" w:type="dxa"/>
            <w:vAlign w:val="center"/>
          </w:tcPr>
          <w:p w14:paraId="276AA2C2" w14:textId="77777777" w:rsidR="00454A29" w:rsidRDefault="00454A29">
            <w:pPr>
              <w:pStyle w:val="ConsPlusNormal"/>
              <w:jc w:val="center"/>
            </w:pPr>
            <w:r>
              <w:t>2021</w:t>
            </w:r>
          </w:p>
        </w:tc>
        <w:tc>
          <w:tcPr>
            <w:tcW w:w="1417" w:type="dxa"/>
            <w:vMerge/>
          </w:tcPr>
          <w:p w14:paraId="40F2A7E5" w14:textId="77777777" w:rsidR="00454A29" w:rsidRDefault="00454A29"/>
        </w:tc>
        <w:tc>
          <w:tcPr>
            <w:tcW w:w="2204" w:type="dxa"/>
            <w:vMerge/>
          </w:tcPr>
          <w:p w14:paraId="381FD79B" w14:textId="77777777" w:rsidR="00454A29" w:rsidRDefault="00454A29"/>
        </w:tc>
        <w:tc>
          <w:tcPr>
            <w:tcW w:w="1417" w:type="dxa"/>
            <w:vMerge/>
          </w:tcPr>
          <w:p w14:paraId="389F1FDD" w14:textId="77777777" w:rsidR="00454A29" w:rsidRDefault="00454A29"/>
        </w:tc>
        <w:tc>
          <w:tcPr>
            <w:tcW w:w="2324" w:type="dxa"/>
            <w:vMerge/>
          </w:tcPr>
          <w:p w14:paraId="4B9630DC" w14:textId="77777777" w:rsidR="00454A29" w:rsidRDefault="00454A29"/>
        </w:tc>
        <w:tc>
          <w:tcPr>
            <w:tcW w:w="1701" w:type="dxa"/>
            <w:vAlign w:val="center"/>
          </w:tcPr>
          <w:p w14:paraId="5BDD3E03" w14:textId="77777777" w:rsidR="00454A29" w:rsidRDefault="00454A29">
            <w:pPr>
              <w:pStyle w:val="ConsPlusNormal"/>
              <w:jc w:val="center"/>
            </w:pPr>
            <w:r>
              <w:t>32 654,76</w:t>
            </w:r>
          </w:p>
        </w:tc>
        <w:tc>
          <w:tcPr>
            <w:tcW w:w="1814" w:type="dxa"/>
            <w:vAlign w:val="center"/>
          </w:tcPr>
          <w:p w14:paraId="51A0EDFA" w14:textId="77777777" w:rsidR="00454A29" w:rsidRDefault="00454A29">
            <w:pPr>
              <w:pStyle w:val="ConsPlusNormal"/>
              <w:jc w:val="center"/>
            </w:pPr>
            <w:r>
              <w:t>19 229,47</w:t>
            </w:r>
          </w:p>
        </w:tc>
        <w:tc>
          <w:tcPr>
            <w:tcW w:w="1701" w:type="dxa"/>
            <w:vAlign w:val="center"/>
          </w:tcPr>
          <w:p w14:paraId="25D67773" w14:textId="77777777" w:rsidR="00454A29" w:rsidRDefault="00454A29">
            <w:pPr>
              <w:pStyle w:val="ConsPlusNormal"/>
            </w:pPr>
          </w:p>
        </w:tc>
        <w:tc>
          <w:tcPr>
            <w:tcW w:w="1701" w:type="dxa"/>
            <w:vAlign w:val="center"/>
          </w:tcPr>
          <w:p w14:paraId="2FB13246" w14:textId="77777777" w:rsidR="00454A29" w:rsidRDefault="00454A29">
            <w:pPr>
              <w:pStyle w:val="ConsPlusNormal"/>
              <w:jc w:val="center"/>
            </w:pPr>
            <w:r>
              <w:t>13 425,29</w:t>
            </w:r>
          </w:p>
        </w:tc>
        <w:tc>
          <w:tcPr>
            <w:tcW w:w="1814" w:type="dxa"/>
            <w:vAlign w:val="center"/>
          </w:tcPr>
          <w:p w14:paraId="3BE26373" w14:textId="77777777" w:rsidR="00454A29" w:rsidRDefault="00454A29">
            <w:pPr>
              <w:pStyle w:val="ConsPlusNormal"/>
            </w:pPr>
          </w:p>
        </w:tc>
      </w:tr>
      <w:tr w:rsidR="00454A29" w14:paraId="19FCFBB8" w14:textId="77777777">
        <w:tc>
          <w:tcPr>
            <w:tcW w:w="567" w:type="dxa"/>
            <w:vMerge/>
          </w:tcPr>
          <w:p w14:paraId="6E1E5C90" w14:textId="77777777" w:rsidR="00454A29" w:rsidRDefault="00454A29"/>
        </w:tc>
        <w:tc>
          <w:tcPr>
            <w:tcW w:w="3345" w:type="dxa"/>
            <w:vMerge/>
          </w:tcPr>
          <w:p w14:paraId="1DD1F953" w14:textId="77777777" w:rsidR="00454A29" w:rsidRDefault="00454A29"/>
        </w:tc>
        <w:tc>
          <w:tcPr>
            <w:tcW w:w="1701" w:type="dxa"/>
            <w:vAlign w:val="center"/>
          </w:tcPr>
          <w:p w14:paraId="1B56A61E" w14:textId="77777777" w:rsidR="00454A29" w:rsidRDefault="00454A29">
            <w:pPr>
              <w:pStyle w:val="ConsPlusNormal"/>
              <w:jc w:val="center"/>
            </w:pPr>
            <w:r>
              <w:t>2022</w:t>
            </w:r>
          </w:p>
        </w:tc>
        <w:tc>
          <w:tcPr>
            <w:tcW w:w="1417" w:type="dxa"/>
            <w:vMerge/>
          </w:tcPr>
          <w:p w14:paraId="662F92E1" w14:textId="77777777" w:rsidR="00454A29" w:rsidRDefault="00454A29"/>
        </w:tc>
        <w:tc>
          <w:tcPr>
            <w:tcW w:w="2204" w:type="dxa"/>
            <w:vMerge/>
          </w:tcPr>
          <w:p w14:paraId="4A22B49A" w14:textId="77777777" w:rsidR="00454A29" w:rsidRDefault="00454A29"/>
        </w:tc>
        <w:tc>
          <w:tcPr>
            <w:tcW w:w="1417" w:type="dxa"/>
            <w:vMerge/>
          </w:tcPr>
          <w:p w14:paraId="3077633E" w14:textId="77777777" w:rsidR="00454A29" w:rsidRDefault="00454A29"/>
        </w:tc>
        <w:tc>
          <w:tcPr>
            <w:tcW w:w="2324" w:type="dxa"/>
            <w:vMerge/>
          </w:tcPr>
          <w:p w14:paraId="6F271F8E" w14:textId="77777777" w:rsidR="00454A29" w:rsidRDefault="00454A29"/>
        </w:tc>
        <w:tc>
          <w:tcPr>
            <w:tcW w:w="1701" w:type="dxa"/>
            <w:vAlign w:val="center"/>
          </w:tcPr>
          <w:p w14:paraId="4AF28937" w14:textId="77777777" w:rsidR="00454A29" w:rsidRDefault="00454A29">
            <w:pPr>
              <w:pStyle w:val="ConsPlusNormal"/>
              <w:jc w:val="center"/>
            </w:pPr>
            <w:r>
              <w:t>36 588,76</w:t>
            </w:r>
          </w:p>
        </w:tc>
        <w:tc>
          <w:tcPr>
            <w:tcW w:w="1814" w:type="dxa"/>
            <w:vAlign w:val="center"/>
          </w:tcPr>
          <w:p w14:paraId="5586DBEB" w14:textId="77777777" w:rsidR="00454A29" w:rsidRDefault="00454A29">
            <w:pPr>
              <w:pStyle w:val="ConsPlusNormal"/>
              <w:jc w:val="center"/>
            </w:pPr>
            <w:r>
              <w:t>22 693,58</w:t>
            </w:r>
          </w:p>
        </w:tc>
        <w:tc>
          <w:tcPr>
            <w:tcW w:w="1701" w:type="dxa"/>
            <w:vAlign w:val="center"/>
          </w:tcPr>
          <w:p w14:paraId="31AFB784" w14:textId="77777777" w:rsidR="00454A29" w:rsidRDefault="00454A29">
            <w:pPr>
              <w:pStyle w:val="ConsPlusNormal"/>
            </w:pPr>
          </w:p>
        </w:tc>
        <w:tc>
          <w:tcPr>
            <w:tcW w:w="1701" w:type="dxa"/>
            <w:vAlign w:val="center"/>
          </w:tcPr>
          <w:p w14:paraId="3D200112" w14:textId="77777777" w:rsidR="00454A29" w:rsidRDefault="00454A29">
            <w:pPr>
              <w:pStyle w:val="ConsPlusNormal"/>
              <w:jc w:val="center"/>
            </w:pPr>
            <w:r>
              <w:t>13 895,18</w:t>
            </w:r>
          </w:p>
        </w:tc>
        <w:tc>
          <w:tcPr>
            <w:tcW w:w="1814" w:type="dxa"/>
            <w:vAlign w:val="center"/>
          </w:tcPr>
          <w:p w14:paraId="0FD5D946" w14:textId="77777777" w:rsidR="00454A29" w:rsidRDefault="00454A29">
            <w:pPr>
              <w:pStyle w:val="ConsPlusNormal"/>
            </w:pPr>
          </w:p>
        </w:tc>
      </w:tr>
      <w:tr w:rsidR="00454A29" w14:paraId="40976FD1" w14:textId="77777777">
        <w:tc>
          <w:tcPr>
            <w:tcW w:w="567" w:type="dxa"/>
            <w:vMerge/>
          </w:tcPr>
          <w:p w14:paraId="1951788B" w14:textId="77777777" w:rsidR="00454A29" w:rsidRDefault="00454A29"/>
        </w:tc>
        <w:tc>
          <w:tcPr>
            <w:tcW w:w="3345" w:type="dxa"/>
            <w:vMerge/>
          </w:tcPr>
          <w:p w14:paraId="658A36E6" w14:textId="77777777" w:rsidR="00454A29" w:rsidRDefault="00454A29"/>
        </w:tc>
        <w:tc>
          <w:tcPr>
            <w:tcW w:w="1701" w:type="dxa"/>
            <w:vAlign w:val="center"/>
          </w:tcPr>
          <w:p w14:paraId="0268FD8F" w14:textId="77777777" w:rsidR="00454A29" w:rsidRDefault="00454A29">
            <w:pPr>
              <w:pStyle w:val="ConsPlusNormal"/>
              <w:jc w:val="center"/>
            </w:pPr>
            <w:r>
              <w:t>2023</w:t>
            </w:r>
          </w:p>
        </w:tc>
        <w:tc>
          <w:tcPr>
            <w:tcW w:w="1417" w:type="dxa"/>
            <w:vMerge/>
          </w:tcPr>
          <w:p w14:paraId="10D40EED" w14:textId="77777777" w:rsidR="00454A29" w:rsidRDefault="00454A29"/>
        </w:tc>
        <w:tc>
          <w:tcPr>
            <w:tcW w:w="2204" w:type="dxa"/>
            <w:vMerge/>
          </w:tcPr>
          <w:p w14:paraId="324D4183" w14:textId="77777777" w:rsidR="00454A29" w:rsidRDefault="00454A29"/>
        </w:tc>
        <w:tc>
          <w:tcPr>
            <w:tcW w:w="1417" w:type="dxa"/>
            <w:vMerge/>
          </w:tcPr>
          <w:p w14:paraId="58D71DE6" w14:textId="77777777" w:rsidR="00454A29" w:rsidRDefault="00454A29"/>
        </w:tc>
        <w:tc>
          <w:tcPr>
            <w:tcW w:w="2324" w:type="dxa"/>
            <w:vMerge/>
          </w:tcPr>
          <w:p w14:paraId="4FA2DC31" w14:textId="77777777" w:rsidR="00454A29" w:rsidRDefault="00454A29"/>
        </w:tc>
        <w:tc>
          <w:tcPr>
            <w:tcW w:w="1701" w:type="dxa"/>
            <w:vAlign w:val="center"/>
          </w:tcPr>
          <w:p w14:paraId="35E62343" w14:textId="77777777" w:rsidR="00454A29" w:rsidRDefault="00454A29">
            <w:pPr>
              <w:pStyle w:val="ConsPlusNormal"/>
              <w:jc w:val="center"/>
            </w:pPr>
            <w:r>
              <w:t>37 047,30</w:t>
            </w:r>
          </w:p>
        </w:tc>
        <w:tc>
          <w:tcPr>
            <w:tcW w:w="1814" w:type="dxa"/>
            <w:vAlign w:val="center"/>
          </w:tcPr>
          <w:p w14:paraId="58E3848D" w14:textId="77777777" w:rsidR="00454A29" w:rsidRDefault="00454A29">
            <w:pPr>
              <w:pStyle w:val="ConsPlusNormal"/>
              <w:jc w:val="center"/>
            </w:pPr>
            <w:r>
              <w:t>22 693,58</w:t>
            </w:r>
          </w:p>
        </w:tc>
        <w:tc>
          <w:tcPr>
            <w:tcW w:w="1701" w:type="dxa"/>
            <w:vAlign w:val="center"/>
          </w:tcPr>
          <w:p w14:paraId="2B60EC71" w14:textId="77777777" w:rsidR="00454A29" w:rsidRDefault="00454A29">
            <w:pPr>
              <w:pStyle w:val="ConsPlusNormal"/>
            </w:pPr>
          </w:p>
        </w:tc>
        <w:tc>
          <w:tcPr>
            <w:tcW w:w="1701" w:type="dxa"/>
            <w:vAlign w:val="center"/>
          </w:tcPr>
          <w:p w14:paraId="405B6F03" w14:textId="77777777" w:rsidR="00454A29" w:rsidRDefault="00454A29">
            <w:pPr>
              <w:pStyle w:val="ConsPlusNormal"/>
              <w:jc w:val="center"/>
            </w:pPr>
            <w:r>
              <w:t>14 353,72</w:t>
            </w:r>
          </w:p>
        </w:tc>
        <w:tc>
          <w:tcPr>
            <w:tcW w:w="1814" w:type="dxa"/>
            <w:vAlign w:val="center"/>
          </w:tcPr>
          <w:p w14:paraId="0EBE9644" w14:textId="77777777" w:rsidR="00454A29" w:rsidRDefault="00454A29">
            <w:pPr>
              <w:pStyle w:val="ConsPlusNormal"/>
            </w:pPr>
          </w:p>
        </w:tc>
      </w:tr>
      <w:tr w:rsidR="00454A29" w14:paraId="1C3802D7" w14:textId="77777777">
        <w:tc>
          <w:tcPr>
            <w:tcW w:w="567" w:type="dxa"/>
            <w:vMerge/>
          </w:tcPr>
          <w:p w14:paraId="0CA978D9" w14:textId="77777777" w:rsidR="00454A29" w:rsidRDefault="00454A29"/>
        </w:tc>
        <w:tc>
          <w:tcPr>
            <w:tcW w:w="3345" w:type="dxa"/>
            <w:vMerge/>
          </w:tcPr>
          <w:p w14:paraId="5C8DE117" w14:textId="77777777" w:rsidR="00454A29" w:rsidRDefault="00454A29"/>
        </w:tc>
        <w:tc>
          <w:tcPr>
            <w:tcW w:w="1701" w:type="dxa"/>
            <w:vAlign w:val="center"/>
          </w:tcPr>
          <w:p w14:paraId="4A011B67" w14:textId="77777777" w:rsidR="00454A29" w:rsidRDefault="00454A29">
            <w:pPr>
              <w:pStyle w:val="ConsPlusNormal"/>
              <w:jc w:val="center"/>
            </w:pPr>
            <w:r>
              <w:t>2024</w:t>
            </w:r>
          </w:p>
        </w:tc>
        <w:tc>
          <w:tcPr>
            <w:tcW w:w="1417" w:type="dxa"/>
            <w:vMerge/>
          </w:tcPr>
          <w:p w14:paraId="27851569" w14:textId="77777777" w:rsidR="00454A29" w:rsidRDefault="00454A29"/>
        </w:tc>
        <w:tc>
          <w:tcPr>
            <w:tcW w:w="2204" w:type="dxa"/>
            <w:vMerge/>
          </w:tcPr>
          <w:p w14:paraId="37933290" w14:textId="77777777" w:rsidR="00454A29" w:rsidRDefault="00454A29"/>
        </w:tc>
        <w:tc>
          <w:tcPr>
            <w:tcW w:w="1417" w:type="dxa"/>
            <w:vMerge/>
          </w:tcPr>
          <w:p w14:paraId="25079ADA" w14:textId="77777777" w:rsidR="00454A29" w:rsidRDefault="00454A29"/>
        </w:tc>
        <w:tc>
          <w:tcPr>
            <w:tcW w:w="2324" w:type="dxa"/>
            <w:vMerge/>
          </w:tcPr>
          <w:p w14:paraId="2FCC5D2F" w14:textId="77777777" w:rsidR="00454A29" w:rsidRDefault="00454A29"/>
        </w:tc>
        <w:tc>
          <w:tcPr>
            <w:tcW w:w="1701" w:type="dxa"/>
            <w:vAlign w:val="center"/>
          </w:tcPr>
          <w:p w14:paraId="4E1FB28F" w14:textId="77777777" w:rsidR="00454A29" w:rsidRDefault="00454A29">
            <w:pPr>
              <w:pStyle w:val="ConsPlusNormal"/>
              <w:jc w:val="center"/>
            </w:pPr>
            <w:r>
              <w:t>37 492,26</w:t>
            </w:r>
          </w:p>
        </w:tc>
        <w:tc>
          <w:tcPr>
            <w:tcW w:w="1814" w:type="dxa"/>
            <w:vAlign w:val="center"/>
          </w:tcPr>
          <w:p w14:paraId="3111F3AA" w14:textId="77777777" w:rsidR="00454A29" w:rsidRDefault="00454A29">
            <w:pPr>
              <w:pStyle w:val="ConsPlusNormal"/>
              <w:jc w:val="center"/>
            </w:pPr>
            <w:r>
              <w:t>22 693,58</w:t>
            </w:r>
          </w:p>
        </w:tc>
        <w:tc>
          <w:tcPr>
            <w:tcW w:w="1701" w:type="dxa"/>
            <w:vAlign w:val="center"/>
          </w:tcPr>
          <w:p w14:paraId="18BD80D3" w14:textId="77777777" w:rsidR="00454A29" w:rsidRDefault="00454A29">
            <w:pPr>
              <w:pStyle w:val="ConsPlusNormal"/>
            </w:pPr>
          </w:p>
        </w:tc>
        <w:tc>
          <w:tcPr>
            <w:tcW w:w="1701" w:type="dxa"/>
            <w:vAlign w:val="center"/>
          </w:tcPr>
          <w:p w14:paraId="3903DDBE" w14:textId="77777777" w:rsidR="00454A29" w:rsidRDefault="00454A29">
            <w:pPr>
              <w:pStyle w:val="ConsPlusNormal"/>
              <w:jc w:val="center"/>
            </w:pPr>
            <w:r>
              <w:t>14 798,68</w:t>
            </w:r>
          </w:p>
        </w:tc>
        <w:tc>
          <w:tcPr>
            <w:tcW w:w="1814" w:type="dxa"/>
            <w:vAlign w:val="center"/>
          </w:tcPr>
          <w:p w14:paraId="645E999D" w14:textId="77777777" w:rsidR="00454A29" w:rsidRDefault="00454A29">
            <w:pPr>
              <w:pStyle w:val="ConsPlusNormal"/>
            </w:pPr>
          </w:p>
        </w:tc>
      </w:tr>
      <w:tr w:rsidR="00454A29" w14:paraId="52E1FA47" w14:textId="77777777">
        <w:tc>
          <w:tcPr>
            <w:tcW w:w="567" w:type="dxa"/>
            <w:vMerge/>
          </w:tcPr>
          <w:p w14:paraId="2BD1ADAD" w14:textId="77777777" w:rsidR="00454A29" w:rsidRDefault="00454A29"/>
        </w:tc>
        <w:tc>
          <w:tcPr>
            <w:tcW w:w="3345" w:type="dxa"/>
            <w:vMerge/>
          </w:tcPr>
          <w:p w14:paraId="260088D6" w14:textId="77777777" w:rsidR="00454A29" w:rsidRDefault="00454A29"/>
        </w:tc>
        <w:tc>
          <w:tcPr>
            <w:tcW w:w="1701" w:type="dxa"/>
            <w:vAlign w:val="center"/>
          </w:tcPr>
          <w:p w14:paraId="7D8E3C0D" w14:textId="77777777" w:rsidR="00454A29" w:rsidRDefault="00454A29">
            <w:pPr>
              <w:pStyle w:val="ConsPlusNormal"/>
              <w:jc w:val="center"/>
            </w:pPr>
            <w:r>
              <w:t>2025</w:t>
            </w:r>
          </w:p>
        </w:tc>
        <w:tc>
          <w:tcPr>
            <w:tcW w:w="1417" w:type="dxa"/>
            <w:vMerge/>
          </w:tcPr>
          <w:p w14:paraId="54A2B568" w14:textId="77777777" w:rsidR="00454A29" w:rsidRDefault="00454A29"/>
        </w:tc>
        <w:tc>
          <w:tcPr>
            <w:tcW w:w="2204" w:type="dxa"/>
            <w:vMerge/>
          </w:tcPr>
          <w:p w14:paraId="01164C33" w14:textId="77777777" w:rsidR="00454A29" w:rsidRDefault="00454A29"/>
        </w:tc>
        <w:tc>
          <w:tcPr>
            <w:tcW w:w="1417" w:type="dxa"/>
            <w:vMerge/>
          </w:tcPr>
          <w:p w14:paraId="4F75E5D7" w14:textId="77777777" w:rsidR="00454A29" w:rsidRDefault="00454A29"/>
        </w:tc>
        <w:tc>
          <w:tcPr>
            <w:tcW w:w="2324" w:type="dxa"/>
            <w:vMerge/>
          </w:tcPr>
          <w:p w14:paraId="78FF547A" w14:textId="77777777" w:rsidR="00454A29" w:rsidRDefault="00454A29"/>
        </w:tc>
        <w:tc>
          <w:tcPr>
            <w:tcW w:w="1701" w:type="dxa"/>
            <w:vAlign w:val="center"/>
          </w:tcPr>
          <w:p w14:paraId="7658BCC9" w14:textId="77777777" w:rsidR="00454A29" w:rsidRDefault="00454A29">
            <w:pPr>
              <w:pStyle w:val="ConsPlusNormal"/>
              <w:jc w:val="center"/>
            </w:pPr>
            <w:r>
              <w:t>37 921,42</w:t>
            </w:r>
          </w:p>
        </w:tc>
        <w:tc>
          <w:tcPr>
            <w:tcW w:w="1814" w:type="dxa"/>
            <w:vAlign w:val="center"/>
          </w:tcPr>
          <w:p w14:paraId="454F5D96" w14:textId="77777777" w:rsidR="00454A29" w:rsidRDefault="00454A29">
            <w:pPr>
              <w:pStyle w:val="ConsPlusNormal"/>
              <w:jc w:val="center"/>
            </w:pPr>
            <w:r>
              <w:t>22 693,58</w:t>
            </w:r>
          </w:p>
        </w:tc>
        <w:tc>
          <w:tcPr>
            <w:tcW w:w="1701" w:type="dxa"/>
            <w:vAlign w:val="center"/>
          </w:tcPr>
          <w:p w14:paraId="10C612FF" w14:textId="77777777" w:rsidR="00454A29" w:rsidRDefault="00454A29">
            <w:pPr>
              <w:pStyle w:val="ConsPlusNormal"/>
            </w:pPr>
          </w:p>
        </w:tc>
        <w:tc>
          <w:tcPr>
            <w:tcW w:w="1701" w:type="dxa"/>
            <w:vAlign w:val="center"/>
          </w:tcPr>
          <w:p w14:paraId="19D36966" w14:textId="77777777" w:rsidR="00454A29" w:rsidRDefault="00454A29">
            <w:pPr>
              <w:pStyle w:val="ConsPlusNormal"/>
              <w:jc w:val="center"/>
            </w:pPr>
            <w:r>
              <w:t>15 227,84</w:t>
            </w:r>
          </w:p>
        </w:tc>
        <w:tc>
          <w:tcPr>
            <w:tcW w:w="1814" w:type="dxa"/>
            <w:vAlign w:val="center"/>
          </w:tcPr>
          <w:p w14:paraId="5E7F40B3" w14:textId="77777777" w:rsidR="00454A29" w:rsidRDefault="00454A29">
            <w:pPr>
              <w:pStyle w:val="ConsPlusNormal"/>
            </w:pPr>
          </w:p>
        </w:tc>
      </w:tr>
      <w:tr w:rsidR="00454A29" w14:paraId="48066906" w14:textId="77777777">
        <w:tc>
          <w:tcPr>
            <w:tcW w:w="567" w:type="dxa"/>
            <w:vMerge w:val="restart"/>
            <w:vAlign w:val="center"/>
          </w:tcPr>
          <w:p w14:paraId="424B5B2C" w14:textId="77777777" w:rsidR="00454A29" w:rsidRDefault="00454A29">
            <w:pPr>
              <w:pStyle w:val="ConsPlusNormal"/>
              <w:jc w:val="center"/>
            </w:pPr>
            <w:r>
              <w:t>71</w:t>
            </w:r>
          </w:p>
        </w:tc>
        <w:tc>
          <w:tcPr>
            <w:tcW w:w="3345" w:type="dxa"/>
            <w:vMerge w:val="restart"/>
            <w:vAlign w:val="center"/>
          </w:tcPr>
          <w:p w14:paraId="5FF5779B" w14:textId="77777777" w:rsidR="00454A29" w:rsidRDefault="00454A29">
            <w:pPr>
              <w:pStyle w:val="ConsPlusNormal"/>
              <w:jc w:val="center"/>
            </w:pPr>
            <w:r>
              <w:t>Детский сад на 240 мест в с. Чурапча Чурапчинского улуса</w:t>
            </w:r>
          </w:p>
        </w:tc>
        <w:tc>
          <w:tcPr>
            <w:tcW w:w="1701" w:type="dxa"/>
            <w:vAlign w:val="center"/>
          </w:tcPr>
          <w:p w14:paraId="66FA603B" w14:textId="77777777" w:rsidR="00454A29" w:rsidRDefault="00454A29">
            <w:pPr>
              <w:pStyle w:val="ConsPlusNormal"/>
              <w:jc w:val="center"/>
            </w:pPr>
            <w:r>
              <w:t>2016 - 2026 годы - всего</w:t>
            </w:r>
          </w:p>
        </w:tc>
        <w:tc>
          <w:tcPr>
            <w:tcW w:w="1417" w:type="dxa"/>
            <w:vMerge w:val="restart"/>
            <w:vAlign w:val="center"/>
          </w:tcPr>
          <w:p w14:paraId="2E4A98FE" w14:textId="77777777" w:rsidR="00454A29" w:rsidRDefault="00454A29">
            <w:pPr>
              <w:pStyle w:val="ConsPlusNormal"/>
              <w:jc w:val="center"/>
            </w:pPr>
            <w:r>
              <w:t>299 469,84</w:t>
            </w:r>
          </w:p>
        </w:tc>
        <w:tc>
          <w:tcPr>
            <w:tcW w:w="2204" w:type="dxa"/>
            <w:vMerge w:val="restart"/>
            <w:vAlign w:val="center"/>
          </w:tcPr>
          <w:p w14:paraId="7EDC0EC7" w14:textId="77777777" w:rsidR="00454A29" w:rsidRDefault="00454A29">
            <w:pPr>
              <w:pStyle w:val="ConsPlusNormal"/>
              <w:jc w:val="center"/>
            </w:pPr>
            <w:r>
              <w:t>имеется</w:t>
            </w:r>
          </w:p>
        </w:tc>
        <w:tc>
          <w:tcPr>
            <w:tcW w:w="1417" w:type="dxa"/>
            <w:vMerge w:val="restart"/>
            <w:vAlign w:val="center"/>
          </w:tcPr>
          <w:p w14:paraId="5B2FE592" w14:textId="77777777" w:rsidR="00454A29" w:rsidRDefault="00454A29">
            <w:pPr>
              <w:pStyle w:val="ConsPlusNormal"/>
              <w:jc w:val="center"/>
            </w:pPr>
            <w:r>
              <w:t>240</w:t>
            </w:r>
          </w:p>
        </w:tc>
        <w:tc>
          <w:tcPr>
            <w:tcW w:w="2324" w:type="dxa"/>
            <w:vMerge w:val="restart"/>
            <w:vAlign w:val="center"/>
          </w:tcPr>
          <w:p w14:paraId="578706DA" w14:textId="77777777" w:rsidR="00454A29" w:rsidRDefault="00454A29">
            <w:pPr>
              <w:pStyle w:val="ConsPlusNormal"/>
              <w:jc w:val="center"/>
            </w:pPr>
            <w:r>
              <w:t>Минэкономики РС(Я)</w:t>
            </w:r>
          </w:p>
        </w:tc>
        <w:tc>
          <w:tcPr>
            <w:tcW w:w="1701" w:type="dxa"/>
            <w:vAlign w:val="center"/>
          </w:tcPr>
          <w:p w14:paraId="721EB9DA" w14:textId="77777777" w:rsidR="00454A29" w:rsidRDefault="00454A29">
            <w:pPr>
              <w:pStyle w:val="ConsPlusNormal"/>
              <w:jc w:val="center"/>
            </w:pPr>
            <w:r>
              <w:t>920 972,21</w:t>
            </w:r>
          </w:p>
        </w:tc>
        <w:tc>
          <w:tcPr>
            <w:tcW w:w="1814" w:type="dxa"/>
            <w:vAlign w:val="center"/>
          </w:tcPr>
          <w:p w14:paraId="1FCCC62D" w14:textId="77777777" w:rsidR="00454A29" w:rsidRDefault="00454A29">
            <w:pPr>
              <w:pStyle w:val="ConsPlusNormal"/>
              <w:jc w:val="center"/>
            </w:pPr>
            <w:r>
              <w:t>445 938,84</w:t>
            </w:r>
          </w:p>
        </w:tc>
        <w:tc>
          <w:tcPr>
            <w:tcW w:w="1701" w:type="dxa"/>
            <w:vAlign w:val="center"/>
          </w:tcPr>
          <w:p w14:paraId="0DDB6812" w14:textId="77777777" w:rsidR="00454A29" w:rsidRDefault="00454A29">
            <w:pPr>
              <w:pStyle w:val="ConsPlusNormal"/>
              <w:jc w:val="center"/>
            </w:pPr>
            <w:r>
              <w:t>-</w:t>
            </w:r>
          </w:p>
        </w:tc>
        <w:tc>
          <w:tcPr>
            <w:tcW w:w="1701" w:type="dxa"/>
            <w:vAlign w:val="center"/>
          </w:tcPr>
          <w:p w14:paraId="35342519" w14:textId="77777777" w:rsidR="00454A29" w:rsidRDefault="00454A29">
            <w:pPr>
              <w:pStyle w:val="ConsPlusNormal"/>
              <w:jc w:val="center"/>
            </w:pPr>
            <w:r>
              <w:t>175 563,54</w:t>
            </w:r>
          </w:p>
        </w:tc>
        <w:tc>
          <w:tcPr>
            <w:tcW w:w="1814" w:type="dxa"/>
            <w:vAlign w:val="center"/>
          </w:tcPr>
          <w:p w14:paraId="2C801084" w14:textId="77777777" w:rsidR="00454A29" w:rsidRDefault="00454A29">
            <w:pPr>
              <w:pStyle w:val="ConsPlusNormal"/>
              <w:jc w:val="center"/>
            </w:pPr>
            <w:r>
              <w:t>299 469,84</w:t>
            </w:r>
          </w:p>
        </w:tc>
      </w:tr>
      <w:tr w:rsidR="00454A29" w14:paraId="0D045AA6" w14:textId="77777777">
        <w:tc>
          <w:tcPr>
            <w:tcW w:w="567" w:type="dxa"/>
            <w:vMerge/>
          </w:tcPr>
          <w:p w14:paraId="38F7F98D" w14:textId="77777777" w:rsidR="00454A29" w:rsidRDefault="00454A29"/>
        </w:tc>
        <w:tc>
          <w:tcPr>
            <w:tcW w:w="3345" w:type="dxa"/>
            <w:vMerge/>
          </w:tcPr>
          <w:p w14:paraId="1C2D5F0E" w14:textId="77777777" w:rsidR="00454A29" w:rsidRDefault="00454A29"/>
        </w:tc>
        <w:tc>
          <w:tcPr>
            <w:tcW w:w="1701" w:type="dxa"/>
            <w:vAlign w:val="center"/>
          </w:tcPr>
          <w:p w14:paraId="13A464D8" w14:textId="77777777" w:rsidR="00454A29" w:rsidRDefault="00454A29">
            <w:pPr>
              <w:pStyle w:val="ConsPlusNormal"/>
              <w:jc w:val="center"/>
            </w:pPr>
            <w:r>
              <w:t>2016</w:t>
            </w:r>
          </w:p>
        </w:tc>
        <w:tc>
          <w:tcPr>
            <w:tcW w:w="1417" w:type="dxa"/>
            <w:vMerge/>
          </w:tcPr>
          <w:p w14:paraId="24BD7442" w14:textId="77777777" w:rsidR="00454A29" w:rsidRDefault="00454A29"/>
        </w:tc>
        <w:tc>
          <w:tcPr>
            <w:tcW w:w="2204" w:type="dxa"/>
            <w:vMerge/>
          </w:tcPr>
          <w:p w14:paraId="1321CDE3" w14:textId="77777777" w:rsidR="00454A29" w:rsidRDefault="00454A29"/>
        </w:tc>
        <w:tc>
          <w:tcPr>
            <w:tcW w:w="1417" w:type="dxa"/>
            <w:vMerge/>
          </w:tcPr>
          <w:p w14:paraId="12E44300" w14:textId="77777777" w:rsidR="00454A29" w:rsidRDefault="00454A29"/>
        </w:tc>
        <w:tc>
          <w:tcPr>
            <w:tcW w:w="2324" w:type="dxa"/>
            <w:vMerge/>
          </w:tcPr>
          <w:p w14:paraId="59EB200E" w14:textId="77777777" w:rsidR="00454A29" w:rsidRDefault="00454A29"/>
        </w:tc>
        <w:tc>
          <w:tcPr>
            <w:tcW w:w="1701" w:type="dxa"/>
            <w:vAlign w:val="center"/>
          </w:tcPr>
          <w:p w14:paraId="2C3996BF" w14:textId="77777777" w:rsidR="00454A29" w:rsidRDefault="00454A29">
            <w:pPr>
              <w:pStyle w:val="ConsPlusNormal"/>
              <w:jc w:val="center"/>
            </w:pPr>
            <w:r>
              <w:t>-</w:t>
            </w:r>
          </w:p>
        </w:tc>
        <w:tc>
          <w:tcPr>
            <w:tcW w:w="1814" w:type="dxa"/>
            <w:vAlign w:val="center"/>
          </w:tcPr>
          <w:p w14:paraId="3858F92D" w14:textId="77777777" w:rsidR="00454A29" w:rsidRDefault="00454A29">
            <w:pPr>
              <w:pStyle w:val="ConsPlusNormal"/>
              <w:jc w:val="center"/>
            </w:pPr>
            <w:r>
              <w:t>-</w:t>
            </w:r>
          </w:p>
        </w:tc>
        <w:tc>
          <w:tcPr>
            <w:tcW w:w="1701" w:type="dxa"/>
            <w:vAlign w:val="center"/>
          </w:tcPr>
          <w:p w14:paraId="485BFA61" w14:textId="77777777" w:rsidR="00454A29" w:rsidRDefault="00454A29">
            <w:pPr>
              <w:pStyle w:val="ConsPlusNormal"/>
            </w:pPr>
          </w:p>
        </w:tc>
        <w:tc>
          <w:tcPr>
            <w:tcW w:w="1701" w:type="dxa"/>
            <w:vAlign w:val="center"/>
          </w:tcPr>
          <w:p w14:paraId="0BA13C93" w14:textId="77777777" w:rsidR="00454A29" w:rsidRDefault="00454A29">
            <w:pPr>
              <w:pStyle w:val="ConsPlusNormal"/>
              <w:jc w:val="center"/>
            </w:pPr>
            <w:r>
              <w:t>-</w:t>
            </w:r>
          </w:p>
        </w:tc>
        <w:tc>
          <w:tcPr>
            <w:tcW w:w="1814" w:type="dxa"/>
            <w:vAlign w:val="center"/>
          </w:tcPr>
          <w:p w14:paraId="439D8501" w14:textId="77777777" w:rsidR="00454A29" w:rsidRDefault="00454A29">
            <w:pPr>
              <w:pStyle w:val="ConsPlusNormal"/>
              <w:jc w:val="center"/>
            </w:pPr>
            <w:r>
              <w:t>-</w:t>
            </w:r>
          </w:p>
        </w:tc>
      </w:tr>
      <w:tr w:rsidR="00454A29" w14:paraId="51B327E6" w14:textId="77777777">
        <w:tc>
          <w:tcPr>
            <w:tcW w:w="567" w:type="dxa"/>
            <w:vMerge/>
          </w:tcPr>
          <w:p w14:paraId="7B163944" w14:textId="77777777" w:rsidR="00454A29" w:rsidRDefault="00454A29"/>
        </w:tc>
        <w:tc>
          <w:tcPr>
            <w:tcW w:w="3345" w:type="dxa"/>
            <w:vMerge/>
          </w:tcPr>
          <w:p w14:paraId="1E9FD0EE" w14:textId="77777777" w:rsidR="00454A29" w:rsidRDefault="00454A29"/>
        </w:tc>
        <w:tc>
          <w:tcPr>
            <w:tcW w:w="1701" w:type="dxa"/>
            <w:vAlign w:val="center"/>
          </w:tcPr>
          <w:p w14:paraId="741EEB3D" w14:textId="77777777" w:rsidR="00454A29" w:rsidRDefault="00454A29">
            <w:pPr>
              <w:pStyle w:val="ConsPlusNormal"/>
              <w:jc w:val="center"/>
            </w:pPr>
            <w:r>
              <w:t>2017</w:t>
            </w:r>
          </w:p>
        </w:tc>
        <w:tc>
          <w:tcPr>
            <w:tcW w:w="1417" w:type="dxa"/>
            <w:vMerge/>
          </w:tcPr>
          <w:p w14:paraId="61336683" w14:textId="77777777" w:rsidR="00454A29" w:rsidRDefault="00454A29"/>
        </w:tc>
        <w:tc>
          <w:tcPr>
            <w:tcW w:w="2204" w:type="dxa"/>
            <w:vMerge/>
          </w:tcPr>
          <w:p w14:paraId="0BF0AA67" w14:textId="77777777" w:rsidR="00454A29" w:rsidRDefault="00454A29"/>
        </w:tc>
        <w:tc>
          <w:tcPr>
            <w:tcW w:w="1417" w:type="dxa"/>
            <w:vMerge/>
          </w:tcPr>
          <w:p w14:paraId="2AC5D9BB" w14:textId="77777777" w:rsidR="00454A29" w:rsidRDefault="00454A29"/>
        </w:tc>
        <w:tc>
          <w:tcPr>
            <w:tcW w:w="2324" w:type="dxa"/>
            <w:vMerge/>
          </w:tcPr>
          <w:p w14:paraId="033EAA23" w14:textId="77777777" w:rsidR="00454A29" w:rsidRDefault="00454A29"/>
        </w:tc>
        <w:tc>
          <w:tcPr>
            <w:tcW w:w="1701" w:type="dxa"/>
            <w:vAlign w:val="center"/>
          </w:tcPr>
          <w:p w14:paraId="1611B3F8" w14:textId="77777777" w:rsidR="00454A29" w:rsidRDefault="00454A29">
            <w:pPr>
              <w:pStyle w:val="ConsPlusNormal"/>
              <w:jc w:val="center"/>
            </w:pPr>
            <w:r>
              <w:t>86 508,39</w:t>
            </w:r>
          </w:p>
        </w:tc>
        <w:tc>
          <w:tcPr>
            <w:tcW w:w="1814" w:type="dxa"/>
            <w:vAlign w:val="center"/>
          </w:tcPr>
          <w:p w14:paraId="4031EDDD" w14:textId="77777777" w:rsidR="00454A29" w:rsidRDefault="00454A29">
            <w:pPr>
              <w:pStyle w:val="ConsPlusNormal"/>
              <w:jc w:val="center"/>
            </w:pPr>
            <w:r>
              <w:t>840,58</w:t>
            </w:r>
          </w:p>
        </w:tc>
        <w:tc>
          <w:tcPr>
            <w:tcW w:w="1701" w:type="dxa"/>
            <w:vAlign w:val="center"/>
          </w:tcPr>
          <w:p w14:paraId="567F0DAD" w14:textId="77777777" w:rsidR="00454A29" w:rsidRDefault="00454A29">
            <w:pPr>
              <w:pStyle w:val="ConsPlusNormal"/>
            </w:pPr>
          </w:p>
        </w:tc>
        <w:tc>
          <w:tcPr>
            <w:tcW w:w="1701" w:type="dxa"/>
            <w:vAlign w:val="center"/>
          </w:tcPr>
          <w:p w14:paraId="633C903E" w14:textId="77777777" w:rsidR="00454A29" w:rsidRDefault="00454A29">
            <w:pPr>
              <w:pStyle w:val="ConsPlusNormal"/>
              <w:jc w:val="center"/>
            </w:pPr>
            <w:r>
              <w:t>-</w:t>
            </w:r>
          </w:p>
        </w:tc>
        <w:tc>
          <w:tcPr>
            <w:tcW w:w="1814" w:type="dxa"/>
            <w:vAlign w:val="center"/>
          </w:tcPr>
          <w:p w14:paraId="25769808" w14:textId="77777777" w:rsidR="00454A29" w:rsidRDefault="00454A29">
            <w:pPr>
              <w:pStyle w:val="ConsPlusNormal"/>
              <w:jc w:val="center"/>
            </w:pPr>
            <w:r>
              <w:t>85 667,81</w:t>
            </w:r>
          </w:p>
        </w:tc>
      </w:tr>
      <w:tr w:rsidR="00454A29" w14:paraId="643135AA" w14:textId="77777777">
        <w:tc>
          <w:tcPr>
            <w:tcW w:w="567" w:type="dxa"/>
            <w:vMerge/>
          </w:tcPr>
          <w:p w14:paraId="610E76D9" w14:textId="77777777" w:rsidR="00454A29" w:rsidRDefault="00454A29"/>
        </w:tc>
        <w:tc>
          <w:tcPr>
            <w:tcW w:w="3345" w:type="dxa"/>
            <w:vMerge/>
          </w:tcPr>
          <w:p w14:paraId="02F249F0" w14:textId="77777777" w:rsidR="00454A29" w:rsidRDefault="00454A29"/>
        </w:tc>
        <w:tc>
          <w:tcPr>
            <w:tcW w:w="1701" w:type="dxa"/>
            <w:vAlign w:val="center"/>
          </w:tcPr>
          <w:p w14:paraId="240B2D44" w14:textId="77777777" w:rsidR="00454A29" w:rsidRDefault="00454A29">
            <w:pPr>
              <w:pStyle w:val="ConsPlusNormal"/>
              <w:jc w:val="center"/>
            </w:pPr>
            <w:r>
              <w:t>2018</w:t>
            </w:r>
          </w:p>
        </w:tc>
        <w:tc>
          <w:tcPr>
            <w:tcW w:w="1417" w:type="dxa"/>
            <w:vMerge/>
          </w:tcPr>
          <w:p w14:paraId="5BD46292" w14:textId="77777777" w:rsidR="00454A29" w:rsidRDefault="00454A29"/>
        </w:tc>
        <w:tc>
          <w:tcPr>
            <w:tcW w:w="2204" w:type="dxa"/>
            <w:vMerge/>
          </w:tcPr>
          <w:p w14:paraId="7DD655D9" w14:textId="77777777" w:rsidR="00454A29" w:rsidRDefault="00454A29"/>
        </w:tc>
        <w:tc>
          <w:tcPr>
            <w:tcW w:w="1417" w:type="dxa"/>
            <w:vMerge/>
          </w:tcPr>
          <w:p w14:paraId="22A86BBB" w14:textId="77777777" w:rsidR="00454A29" w:rsidRDefault="00454A29"/>
        </w:tc>
        <w:tc>
          <w:tcPr>
            <w:tcW w:w="2324" w:type="dxa"/>
            <w:vMerge/>
          </w:tcPr>
          <w:p w14:paraId="3239AF30" w14:textId="77777777" w:rsidR="00454A29" w:rsidRDefault="00454A29"/>
        </w:tc>
        <w:tc>
          <w:tcPr>
            <w:tcW w:w="1701" w:type="dxa"/>
            <w:vAlign w:val="center"/>
          </w:tcPr>
          <w:p w14:paraId="6A029E80" w14:textId="77777777" w:rsidR="00454A29" w:rsidRDefault="00454A29">
            <w:pPr>
              <w:pStyle w:val="ConsPlusNormal"/>
              <w:jc w:val="center"/>
            </w:pPr>
            <w:r>
              <w:t>218 190,10</w:t>
            </w:r>
          </w:p>
        </w:tc>
        <w:tc>
          <w:tcPr>
            <w:tcW w:w="1814" w:type="dxa"/>
            <w:vAlign w:val="center"/>
          </w:tcPr>
          <w:p w14:paraId="01877B15" w14:textId="77777777" w:rsidR="00454A29" w:rsidRDefault="00454A29">
            <w:pPr>
              <w:pStyle w:val="ConsPlusNormal"/>
              <w:jc w:val="center"/>
            </w:pPr>
            <w:r>
              <w:t>-</w:t>
            </w:r>
          </w:p>
        </w:tc>
        <w:tc>
          <w:tcPr>
            <w:tcW w:w="1701" w:type="dxa"/>
            <w:vAlign w:val="center"/>
          </w:tcPr>
          <w:p w14:paraId="45897B4B" w14:textId="77777777" w:rsidR="00454A29" w:rsidRDefault="00454A29">
            <w:pPr>
              <w:pStyle w:val="ConsPlusNormal"/>
            </w:pPr>
          </w:p>
        </w:tc>
        <w:tc>
          <w:tcPr>
            <w:tcW w:w="1701" w:type="dxa"/>
            <w:vAlign w:val="center"/>
          </w:tcPr>
          <w:p w14:paraId="464BBB99" w14:textId="77777777" w:rsidR="00454A29" w:rsidRDefault="00454A29">
            <w:pPr>
              <w:pStyle w:val="ConsPlusNormal"/>
              <w:jc w:val="center"/>
            </w:pPr>
            <w:r>
              <w:t>4 388,07</w:t>
            </w:r>
          </w:p>
        </w:tc>
        <w:tc>
          <w:tcPr>
            <w:tcW w:w="1814" w:type="dxa"/>
            <w:vAlign w:val="center"/>
          </w:tcPr>
          <w:p w14:paraId="6268A93B" w14:textId="77777777" w:rsidR="00454A29" w:rsidRDefault="00454A29">
            <w:pPr>
              <w:pStyle w:val="ConsPlusNormal"/>
              <w:jc w:val="center"/>
            </w:pPr>
            <w:r>
              <w:t>213 802,03</w:t>
            </w:r>
          </w:p>
        </w:tc>
      </w:tr>
      <w:tr w:rsidR="00454A29" w14:paraId="4E335AD2" w14:textId="77777777">
        <w:tc>
          <w:tcPr>
            <w:tcW w:w="567" w:type="dxa"/>
            <w:vMerge/>
          </w:tcPr>
          <w:p w14:paraId="4EE4B6EA" w14:textId="77777777" w:rsidR="00454A29" w:rsidRDefault="00454A29"/>
        </w:tc>
        <w:tc>
          <w:tcPr>
            <w:tcW w:w="3345" w:type="dxa"/>
            <w:vMerge/>
          </w:tcPr>
          <w:p w14:paraId="374A0806" w14:textId="77777777" w:rsidR="00454A29" w:rsidRDefault="00454A29"/>
        </w:tc>
        <w:tc>
          <w:tcPr>
            <w:tcW w:w="1701" w:type="dxa"/>
            <w:vAlign w:val="center"/>
          </w:tcPr>
          <w:p w14:paraId="2E229FEE" w14:textId="77777777" w:rsidR="00454A29" w:rsidRDefault="00454A29">
            <w:pPr>
              <w:pStyle w:val="ConsPlusNormal"/>
              <w:jc w:val="center"/>
            </w:pPr>
            <w:r>
              <w:t>2019</w:t>
            </w:r>
          </w:p>
        </w:tc>
        <w:tc>
          <w:tcPr>
            <w:tcW w:w="1417" w:type="dxa"/>
            <w:vMerge/>
          </w:tcPr>
          <w:p w14:paraId="015E2776" w14:textId="77777777" w:rsidR="00454A29" w:rsidRDefault="00454A29"/>
        </w:tc>
        <w:tc>
          <w:tcPr>
            <w:tcW w:w="2204" w:type="dxa"/>
            <w:vMerge/>
          </w:tcPr>
          <w:p w14:paraId="141C7D9C" w14:textId="77777777" w:rsidR="00454A29" w:rsidRDefault="00454A29"/>
        </w:tc>
        <w:tc>
          <w:tcPr>
            <w:tcW w:w="1417" w:type="dxa"/>
            <w:vMerge/>
          </w:tcPr>
          <w:p w14:paraId="240B95CD" w14:textId="77777777" w:rsidR="00454A29" w:rsidRDefault="00454A29"/>
        </w:tc>
        <w:tc>
          <w:tcPr>
            <w:tcW w:w="2324" w:type="dxa"/>
            <w:vMerge/>
          </w:tcPr>
          <w:p w14:paraId="6B7EAD6D" w14:textId="77777777" w:rsidR="00454A29" w:rsidRDefault="00454A29"/>
        </w:tc>
        <w:tc>
          <w:tcPr>
            <w:tcW w:w="1701" w:type="dxa"/>
            <w:vAlign w:val="center"/>
          </w:tcPr>
          <w:p w14:paraId="75D02FE2" w14:textId="77777777" w:rsidR="00454A29" w:rsidRDefault="00454A29">
            <w:pPr>
              <w:pStyle w:val="ConsPlusNormal"/>
              <w:jc w:val="center"/>
            </w:pPr>
            <w:r>
              <w:t>39 653,77</w:t>
            </w:r>
          </w:p>
        </w:tc>
        <w:tc>
          <w:tcPr>
            <w:tcW w:w="1814" w:type="dxa"/>
            <w:vAlign w:val="center"/>
          </w:tcPr>
          <w:p w14:paraId="4EC9EE4E" w14:textId="77777777" w:rsidR="00454A29" w:rsidRDefault="00454A29">
            <w:pPr>
              <w:pStyle w:val="ConsPlusNormal"/>
              <w:jc w:val="center"/>
            </w:pPr>
            <w:r>
              <w:t>21 223,88</w:t>
            </w:r>
          </w:p>
        </w:tc>
        <w:tc>
          <w:tcPr>
            <w:tcW w:w="1701" w:type="dxa"/>
            <w:vAlign w:val="center"/>
          </w:tcPr>
          <w:p w14:paraId="33C81442" w14:textId="77777777" w:rsidR="00454A29" w:rsidRDefault="00454A29">
            <w:pPr>
              <w:pStyle w:val="ConsPlusNormal"/>
            </w:pPr>
          </w:p>
        </w:tc>
        <w:tc>
          <w:tcPr>
            <w:tcW w:w="1701" w:type="dxa"/>
            <w:vAlign w:val="center"/>
          </w:tcPr>
          <w:p w14:paraId="1DBDED5D" w14:textId="77777777" w:rsidR="00454A29" w:rsidRDefault="00454A29">
            <w:pPr>
              <w:pStyle w:val="ConsPlusNormal"/>
              <w:jc w:val="center"/>
            </w:pPr>
            <w:r>
              <w:t>18 429,89</w:t>
            </w:r>
          </w:p>
        </w:tc>
        <w:tc>
          <w:tcPr>
            <w:tcW w:w="1814" w:type="dxa"/>
            <w:vAlign w:val="center"/>
          </w:tcPr>
          <w:p w14:paraId="1A47C3E8" w14:textId="77777777" w:rsidR="00454A29" w:rsidRDefault="00454A29">
            <w:pPr>
              <w:pStyle w:val="ConsPlusNormal"/>
            </w:pPr>
          </w:p>
        </w:tc>
      </w:tr>
      <w:tr w:rsidR="00454A29" w14:paraId="393937B1" w14:textId="77777777">
        <w:tc>
          <w:tcPr>
            <w:tcW w:w="567" w:type="dxa"/>
            <w:vMerge/>
          </w:tcPr>
          <w:p w14:paraId="23300554" w14:textId="77777777" w:rsidR="00454A29" w:rsidRDefault="00454A29"/>
        </w:tc>
        <w:tc>
          <w:tcPr>
            <w:tcW w:w="3345" w:type="dxa"/>
            <w:vMerge/>
          </w:tcPr>
          <w:p w14:paraId="04493598" w14:textId="77777777" w:rsidR="00454A29" w:rsidRDefault="00454A29"/>
        </w:tc>
        <w:tc>
          <w:tcPr>
            <w:tcW w:w="1701" w:type="dxa"/>
            <w:vAlign w:val="center"/>
          </w:tcPr>
          <w:p w14:paraId="0799C60A" w14:textId="77777777" w:rsidR="00454A29" w:rsidRDefault="00454A29">
            <w:pPr>
              <w:pStyle w:val="ConsPlusNormal"/>
              <w:jc w:val="center"/>
            </w:pPr>
            <w:r>
              <w:t>2020</w:t>
            </w:r>
          </w:p>
        </w:tc>
        <w:tc>
          <w:tcPr>
            <w:tcW w:w="1417" w:type="dxa"/>
            <w:vMerge/>
          </w:tcPr>
          <w:p w14:paraId="314F1B7D" w14:textId="77777777" w:rsidR="00454A29" w:rsidRDefault="00454A29"/>
        </w:tc>
        <w:tc>
          <w:tcPr>
            <w:tcW w:w="2204" w:type="dxa"/>
            <w:vMerge/>
          </w:tcPr>
          <w:p w14:paraId="42DE6A8B" w14:textId="77777777" w:rsidR="00454A29" w:rsidRDefault="00454A29"/>
        </w:tc>
        <w:tc>
          <w:tcPr>
            <w:tcW w:w="1417" w:type="dxa"/>
            <w:vMerge/>
          </w:tcPr>
          <w:p w14:paraId="69AA320E" w14:textId="77777777" w:rsidR="00454A29" w:rsidRDefault="00454A29"/>
        </w:tc>
        <w:tc>
          <w:tcPr>
            <w:tcW w:w="2324" w:type="dxa"/>
            <w:vMerge/>
          </w:tcPr>
          <w:p w14:paraId="414F41F1" w14:textId="77777777" w:rsidR="00454A29" w:rsidRDefault="00454A29"/>
        </w:tc>
        <w:tc>
          <w:tcPr>
            <w:tcW w:w="1701" w:type="dxa"/>
            <w:vAlign w:val="center"/>
          </w:tcPr>
          <w:p w14:paraId="18A181E3" w14:textId="77777777" w:rsidR="00454A29" w:rsidRDefault="00454A29">
            <w:pPr>
              <w:pStyle w:val="ConsPlusNormal"/>
              <w:jc w:val="center"/>
            </w:pPr>
            <w:r>
              <w:t>66 806,15</w:t>
            </w:r>
          </w:p>
        </w:tc>
        <w:tc>
          <w:tcPr>
            <w:tcW w:w="1814" w:type="dxa"/>
            <w:vAlign w:val="center"/>
          </w:tcPr>
          <w:p w14:paraId="070091F2" w14:textId="77777777" w:rsidR="00454A29" w:rsidRDefault="00454A29">
            <w:pPr>
              <w:pStyle w:val="ConsPlusNormal"/>
              <w:jc w:val="center"/>
            </w:pPr>
            <w:r>
              <w:t>47 454,76</w:t>
            </w:r>
          </w:p>
        </w:tc>
        <w:tc>
          <w:tcPr>
            <w:tcW w:w="1701" w:type="dxa"/>
            <w:vAlign w:val="center"/>
          </w:tcPr>
          <w:p w14:paraId="3BEBB865" w14:textId="77777777" w:rsidR="00454A29" w:rsidRDefault="00454A29">
            <w:pPr>
              <w:pStyle w:val="ConsPlusNormal"/>
            </w:pPr>
          </w:p>
        </w:tc>
        <w:tc>
          <w:tcPr>
            <w:tcW w:w="1701" w:type="dxa"/>
            <w:vAlign w:val="center"/>
          </w:tcPr>
          <w:p w14:paraId="5D0DDF78" w14:textId="77777777" w:rsidR="00454A29" w:rsidRDefault="00454A29">
            <w:pPr>
              <w:pStyle w:val="ConsPlusNormal"/>
              <w:jc w:val="center"/>
            </w:pPr>
            <w:r>
              <w:t>19 351,39</w:t>
            </w:r>
          </w:p>
        </w:tc>
        <w:tc>
          <w:tcPr>
            <w:tcW w:w="1814" w:type="dxa"/>
            <w:vAlign w:val="center"/>
          </w:tcPr>
          <w:p w14:paraId="7842E432" w14:textId="77777777" w:rsidR="00454A29" w:rsidRDefault="00454A29">
            <w:pPr>
              <w:pStyle w:val="ConsPlusNormal"/>
            </w:pPr>
          </w:p>
        </w:tc>
      </w:tr>
      <w:tr w:rsidR="00454A29" w14:paraId="482D9D9B" w14:textId="77777777">
        <w:tc>
          <w:tcPr>
            <w:tcW w:w="567" w:type="dxa"/>
            <w:vMerge/>
          </w:tcPr>
          <w:p w14:paraId="631A5FEF" w14:textId="77777777" w:rsidR="00454A29" w:rsidRDefault="00454A29"/>
        </w:tc>
        <w:tc>
          <w:tcPr>
            <w:tcW w:w="3345" w:type="dxa"/>
            <w:vMerge/>
          </w:tcPr>
          <w:p w14:paraId="05DF3D7A" w14:textId="77777777" w:rsidR="00454A29" w:rsidRDefault="00454A29"/>
        </w:tc>
        <w:tc>
          <w:tcPr>
            <w:tcW w:w="1701" w:type="dxa"/>
            <w:vAlign w:val="center"/>
          </w:tcPr>
          <w:p w14:paraId="60462924" w14:textId="77777777" w:rsidR="00454A29" w:rsidRDefault="00454A29">
            <w:pPr>
              <w:pStyle w:val="ConsPlusNormal"/>
              <w:jc w:val="center"/>
            </w:pPr>
            <w:r>
              <w:t>2021</w:t>
            </w:r>
          </w:p>
        </w:tc>
        <w:tc>
          <w:tcPr>
            <w:tcW w:w="1417" w:type="dxa"/>
            <w:vMerge/>
          </w:tcPr>
          <w:p w14:paraId="7EA53047" w14:textId="77777777" w:rsidR="00454A29" w:rsidRDefault="00454A29"/>
        </w:tc>
        <w:tc>
          <w:tcPr>
            <w:tcW w:w="2204" w:type="dxa"/>
            <w:vMerge/>
          </w:tcPr>
          <w:p w14:paraId="223A0AB5" w14:textId="77777777" w:rsidR="00454A29" w:rsidRDefault="00454A29"/>
        </w:tc>
        <w:tc>
          <w:tcPr>
            <w:tcW w:w="1417" w:type="dxa"/>
            <w:vMerge/>
          </w:tcPr>
          <w:p w14:paraId="27B97F6C" w14:textId="77777777" w:rsidR="00454A29" w:rsidRDefault="00454A29"/>
        </w:tc>
        <w:tc>
          <w:tcPr>
            <w:tcW w:w="2324" w:type="dxa"/>
            <w:vMerge/>
          </w:tcPr>
          <w:p w14:paraId="125A1885" w14:textId="77777777" w:rsidR="00454A29" w:rsidRDefault="00454A29"/>
        </w:tc>
        <w:tc>
          <w:tcPr>
            <w:tcW w:w="1701" w:type="dxa"/>
            <w:vAlign w:val="center"/>
          </w:tcPr>
          <w:p w14:paraId="256B6855" w14:textId="77777777" w:rsidR="00454A29" w:rsidRDefault="00454A29">
            <w:pPr>
              <w:pStyle w:val="ConsPlusNormal"/>
              <w:jc w:val="center"/>
            </w:pPr>
            <w:r>
              <w:t>79 596,18</w:t>
            </w:r>
          </w:p>
        </w:tc>
        <w:tc>
          <w:tcPr>
            <w:tcW w:w="1814" w:type="dxa"/>
            <w:vAlign w:val="center"/>
          </w:tcPr>
          <w:p w14:paraId="248E3955" w14:textId="77777777" w:rsidR="00454A29" w:rsidRDefault="00454A29">
            <w:pPr>
              <w:pStyle w:val="ConsPlusNormal"/>
              <w:jc w:val="center"/>
            </w:pPr>
            <w:r>
              <w:t>59 277,22</w:t>
            </w:r>
          </w:p>
        </w:tc>
        <w:tc>
          <w:tcPr>
            <w:tcW w:w="1701" w:type="dxa"/>
            <w:vAlign w:val="center"/>
          </w:tcPr>
          <w:p w14:paraId="7F3A2B0C" w14:textId="77777777" w:rsidR="00454A29" w:rsidRDefault="00454A29">
            <w:pPr>
              <w:pStyle w:val="ConsPlusNormal"/>
            </w:pPr>
          </w:p>
        </w:tc>
        <w:tc>
          <w:tcPr>
            <w:tcW w:w="1701" w:type="dxa"/>
            <w:vAlign w:val="center"/>
          </w:tcPr>
          <w:p w14:paraId="75925BE6" w14:textId="77777777" w:rsidR="00454A29" w:rsidRDefault="00454A29">
            <w:pPr>
              <w:pStyle w:val="ConsPlusNormal"/>
              <w:jc w:val="center"/>
            </w:pPr>
            <w:r>
              <w:t>20 318,96</w:t>
            </w:r>
          </w:p>
        </w:tc>
        <w:tc>
          <w:tcPr>
            <w:tcW w:w="1814" w:type="dxa"/>
            <w:vAlign w:val="center"/>
          </w:tcPr>
          <w:p w14:paraId="0ADC802B" w14:textId="77777777" w:rsidR="00454A29" w:rsidRDefault="00454A29">
            <w:pPr>
              <w:pStyle w:val="ConsPlusNormal"/>
            </w:pPr>
          </w:p>
        </w:tc>
      </w:tr>
      <w:tr w:rsidR="00454A29" w14:paraId="7228C76E" w14:textId="77777777">
        <w:tc>
          <w:tcPr>
            <w:tcW w:w="567" w:type="dxa"/>
            <w:vMerge/>
          </w:tcPr>
          <w:p w14:paraId="19040EB0" w14:textId="77777777" w:rsidR="00454A29" w:rsidRDefault="00454A29"/>
        </w:tc>
        <w:tc>
          <w:tcPr>
            <w:tcW w:w="3345" w:type="dxa"/>
            <w:vMerge/>
          </w:tcPr>
          <w:p w14:paraId="4BB44570" w14:textId="77777777" w:rsidR="00454A29" w:rsidRDefault="00454A29"/>
        </w:tc>
        <w:tc>
          <w:tcPr>
            <w:tcW w:w="1701" w:type="dxa"/>
            <w:vAlign w:val="center"/>
          </w:tcPr>
          <w:p w14:paraId="5DD8A8CF" w14:textId="77777777" w:rsidR="00454A29" w:rsidRDefault="00454A29">
            <w:pPr>
              <w:pStyle w:val="ConsPlusNormal"/>
              <w:jc w:val="center"/>
            </w:pPr>
            <w:r>
              <w:t>2022</w:t>
            </w:r>
          </w:p>
        </w:tc>
        <w:tc>
          <w:tcPr>
            <w:tcW w:w="1417" w:type="dxa"/>
            <w:vMerge/>
          </w:tcPr>
          <w:p w14:paraId="5BD10635" w14:textId="77777777" w:rsidR="00454A29" w:rsidRDefault="00454A29"/>
        </w:tc>
        <w:tc>
          <w:tcPr>
            <w:tcW w:w="2204" w:type="dxa"/>
            <w:vMerge/>
          </w:tcPr>
          <w:p w14:paraId="7CE80680" w14:textId="77777777" w:rsidR="00454A29" w:rsidRDefault="00454A29"/>
        </w:tc>
        <w:tc>
          <w:tcPr>
            <w:tcW w:w="1417" w:type="dxa"/>
            <w:vMerge/>
          </w:tcPr>
          <w:p w14:paraId="6C4E683D" w14:textId="77777777" w:rsidR="00454A29" w:rsidRDefault="00454A29"/>
        </w:tc>
        <w:tc>
          <w:tcPr>
            <w:tcW w:w="2324" w:type="dxa"/>
            <w:vMerge/>
          </w:tcPr>
          <w:p w14:paraId="1701E339" w14:textId="77777777" w:rsidR="00454A29" w:rsidRDefault="00454A29"/>
        </w:tc>
        <w:tc>
          <w:tcPr>
            <w:tcW w:w="1701" w:type="dxa"/>
            <w:vAlign w:val="center"/>
          </w:tcPr>
          <w:p w14:paraId="3E76CD4F" w14:textId="77777777" w:rsidR="00454A29" w:rsidRDefault="00454A29">
            <w:pPr>
              <w:pStyle w:val="ConsPlusNormal"/>
              <w:jc w:val="center"/>
            </w:pPr>
            <w:r>
              <w:t>83 873,04</w:t>
            </w:r>
          </w:p>
        </w:tc>
        <w:tc>
          <w:tcPr>
            <w:tcW w:w="1814" w:type="dxa"/>
            <w:vAlign w:val="center"/>
          </w:tcPr>
          <w:p w14:paraId="6EAF341A" w14:textId="77777777" w:rsidR="00454A29" w:rsidRDefault="00454A29">
            <w:pPr>
              <w:pStyle w:val="ConsPlusNormal"/>
              <w:jc w:val="center"/>
            </w:pPr>
            <w:r>
              <w:t>62 741,32</w:t>
            </w:r>
          </w:p>
        </w:tc>
        <w:tc>
          <w:tcPr>
            <w:tcW w:w="1701" w:type="dxa"/>
            <w:vAlign w:val="center"/>
          </w:tcPr>
          <w:p w14:paraId="526EB292" w14:textId="77777777" w:rsidR="00454A29" w:rsidRDefault="00454A29">
            <w:pPr>
              <w:pStyle w:val="ConsPlusNormal"/>
            </w:pPr>
          </w:p>
        </w:tc>
        <w:tc>
          <w:tcPr>
            <w:tcW w:w="1701" w:type="dxa"/>
            <w:vAlign w:val="center"/>
          </w:tcPr>
          <w:p w14:paraId="7BC55EE1" w14:textId="77777777" w:rsidR="00454A29" w:rsidRDefault="00454A29">
            <w:pPr>
              <w:pStyle w:val="ConsPlusNormal"/>
              <w:jc w:val="center"/>
            </w:pPr>
            <w:r>
              <w:t>21 131,72</w:t>
            </w:r>
          </w:p>
        </w:tc>
        <w:tc>
          <w:tcPr>
            <w:tcW w:w="1814" w:type="dxa"/>
            <w:vAlign w:val="center"/>
          </w:tcPr>
          <w:p w14:paraId="5DD5E7C1" w14:textId="77777777" w:rsidR="00454A29" w:rsidRDefault="00454A29">
            <w:pPr>
              <w:pStyle w:val="ConsPlusNormal"/>
            </w:pPr>
          </w:p>
        </w:tc>
      </w:tr>
      <w:tr w:rsidR="00454A29" w14:paraId="60365302" w14:textId="77777777">
        <w:tc>
          <w:tcPr>
            <w:tcW w:w="567" w:type="dxa"/>
            <w:vMerge/>
          </w:tcPr>
          <w:p w14:paraId="2177AB84" w14:textId="77777777" w:rsidR="00454A29" w:rsidRDefault="00454A29"/>
        </w:tc>
        <w:tc>
          <w:tcPr>
            <w:tcW w:w="3345" w:type="dxa"/>
            <w:vMerge/>
          </w:tcPr>
          <w:p w14:paraId="06FBB7CE" w14:textId="77777777" w:rsidR="00454A29" w:rsidRDefault="00454A29"/>
        </w:tc>
        <w:tc>
          <w:tcPr>
            <w:tcW w:w="1701" w:type="dxa"/>
            <w:vAlign w:val="center"/>
          </w:tcPr>
          <w:p w14:paraId="01C70CF1" w14:textId="77777777" w:rsidR="00454A29" w:rsidRDefault="00454A29">
            <w:pPr>
              <w:pStyle w:val="ConsPlusNormal"/>
              <w:jc w:val="center"/>
            </w:pPr>
            <w:r>
              <w:t>2023</w:t>
            </w:r>
          </w:p>
        </w:tc>
        <w:tc>
          <w:tcPr>
            <w:tcW w:w="1417" w:type="dxa"/>
            <w:vMerge/>
          </w:tcPr>
          <w:p w14:paraId="4C482861" w14:textId="77777777" w:rsidR="00454A29" w:rsidRDefault="00454A29"/>
        </w:tc>
        <w:tc>
          <w:tcPr>
            <w:tcW w:w="2204" w:type="dxa"/>
            <w:vMerge/>
          </w:tcPr>
          <w:p w14:paraId="0741FF3D" w14:textId="77777777" w:rsidR="00454A29" w:rsidRDefault="00454A29"/>
        </w:tc>
        <w:tc>
          <w:tcPr>
            <w:tcW w:w="1417" w:type="dxa"/>
            <w:vMerge/>
          </w:tcPr>
          <w:p w14:paraId="09E98428" w14:textId="77777777" w:rsidR="00454A29" w:rsidRDefault="00454A29"/>
        </w:tc>
        <w:tc>
          <w:tcPr>
            <w:tcW w:w="2324" w:type="dxa"/>
            <w:vMerge/>
          </w:tcPr>
          <w:p w14:paraId="5E7FA076" w14:textId="77777777" w:rsidR="00454A29" w:rsidRDefault="00454A29"/>
        </w:tc>
        <w:tc>
          <w:tcPr>
            <w:tcW w:w="1701" w:type="dxa"/>
            <w:vAlign w:val="center"/>
          </w:tcPr>
          <w:p w14:paraId="613BB5F8" w14:textId="77777777" w:rsidR="00454A29" w:rsidRDefault="00454A29">
            <w:pPr>
              <w:pStyle w:val="ConsPlusNormal"/>
              <w:jc w:val="center"/>
            </w:pPr>
            <w:r>
              <w:t>84 718,31</w:t>
            </w:r>
          </w:p>
        </w:tc>
        <w:tc>
          <w:tcPr>
            <w:tcW w:w="1814" w:type="dxa"/>
            <w:vAlign w:val="center"/>
          </w:tcPr>
          <w:p w14:paraId="4AC0C289" w14:textId="77777777" w:rsidR="00454A29" w:rsidRDefault="00454A29">
            <w:pPr>
              <w:pStyle w:val="ConsPlusNormal"/>
              <w:jc w:val="center"/>
            </w:pPr>
            <w:r>
              <w:t>62 741,32</w:t>
            </w:r>
          </w:p>
        </w:tc>
        <w:tc>
          <w:tcPr>
            <w:tcW w:w="1701" w:type="dxa"/>
            <w:vAlign w:val="center"/>
          </w:tcPr>
          <w:p w14:paraId="5FF3DAA2" w14:textId="77777777" w:rsidR="00454A29" w:rsidRDefault="00454A29">
            <w:pPr>
              <w:pStyle w:val="ConsPlusNormal"/>
            </w:pPr>
          </w:p>
        </w:tc>
        <w:tc>
          <w:tcPr>
            <w:tcW w:w="1701" w:type="dxa"/>
            <w:vAlign w:val="center"/>
          </w:tcPr>
          <w:p w14:paraId="29176307" w14:textId="77777777" w:rsidR="00454A29" w:rsidRDefault="00454A29">
            <w:pPr>
              <w:pStyle w:val="ConsPlusNormal"/>
              <w:jc w:val="center"/>
            </w:pPr>
            <w:r>
              <w:t>21 976,99</w:t>
            </w:r>
          </w:p>
        </w:tc>
        <w:tc>
          <w:tcPr>
            <w:tcW w:w="1814" w:type="dxa"/>
            <w:vAlign w:val="center"/>
          </w:tcPr>
          <w:p w14:paraId="013EC5C9" w14:textId="77777777" w:rsidR="00454A29" w:rsidRDefault="00454A29">
            <w:pPr>
              <w:pStyle w:val="ConsPlusNormal"/>
            </w:pPr>
          </w:p>
        </w:tc>
      </w:tr>
      <w:tr w:rsidR="00454A29" w14:paraId="3597B23F" w14:textId="77777777">
        <w:tc>
          <w:tcPr>
            <w:tcW w:w="567" w:type="dxa"/>
            <w:vMerge/>
          </w:tcPr>
          <w:p w14:paraId="1F1B6D44" w14:textId="77777777" w:rsidR="00454A29" w:rsidRDefault="00454A29"/>
        </w:tc>
        <w:tc>
          <w:tcPr>
            <w:tcW w:w="3345" w:type="dxa"/>
            <w:vMerge/>
          </w:tcPr>
          <w:p w14:paraId="7A3B7A1B" w14:textId="77777777" w:rsidR="00454A29" w:rsidRDefault="00454A29"/>
        </w:tc>
        <w:tc>
          <w:tcPr>
            <w:tcW w:w="1701" w:type="dxa"/>
            <w:vAlign w:val="center"/>
          </w:tcPr>
          <w:p w14:paraId="56C844AF" w14:textId="77777777" w:rsidR="00454A29" w:rsidRDefault="00454A29">
            <w:pPr>
              <w:pStyle w:val="ConsPlusNormal"/>
              <w:jc w:val="center"/>
            </w:pPr>
            <w:r>
              <w:t>2024</w:t>
            </w:r>
          </w:p>
        </w:tc>
        <w:tc>
          <w:tcPr>
            <w:tcW w:w="1417" w:type="dxa"/>
            <w:vMerge/>
          </w:tcPr>
          <w:p w14:paraId="5BFFD68C" w14:textId="77777777" w:rsidR="00454A29" w:rsidRDefault="00454A29"/>
        </w:tc>
        <w:tc>
          <w:tcPr>
            <w:tcW w:w="2204" w:type="dxa"/>
            <w:vMerge/>
          </w:tcPr>
          <w:p w14:paraId="00D6A50F" w14:textId="77777777" w:rsidR="00454A29" w:rsidRDefault="00454A29"/>
        </w:tc>
        <w:tc>
          <w:tcPr>
            <w:tcW w:w="1417" w:type="dxa"/>
            <w:vMerge/>
          </w:tcPr>
          <w:p w14:paraId="4586EF04" w14:textId="77777777" w:rsidR="00454A29" w:rsidRDefault="00454A29"/>
        </w:tc>
        <w:tc>
          <w:tcPr>
            <w:tcW w:w="2324" w:type="dxa"/>
            <w:vMerge/>
          </w:tcPr>
          <w:p w14:paraId="648C39A1" w14:textId="77777777" w:rsidR="00454A29" w:rsidRDefault="00454A29"/>
        </w:tc>
        <w:tc>
          <w:tcPr>
            <w:tcW w:w="1701" w:type="dxa"/>
            <w:vAlign w:val="center"/>
          </w:tcPr>
          <w:p w14:paraId="728BBE3C" w14:textId="77777777" w:rsidR="00454A29" w:rsidRDefault="00454A29">
            <w:pPr>
              <w:pStyle w:val="ConsPlusNormal"/>
              <w:jc w:val="center"/>
            </w:pPr>
            <w:r>
              <w:t>85 377,62</w:t>
            </w:r>
          </w:p>
        </w:tc>
        <w:tc>
          <w:tcPr>
            <w:tcW w:w="1814" w:type="dxa"/>
            <w:vAlign w:val="center"/>
          </w:tcPr>
          <w:p w14:paraId="760E0173" w14:textId="77777777" w:rsidR="00454A29" w:rsidRDefault="00454A29">
            <w:pPr>
              <w:pStyle w:val="ConsPlusNormal"/>
              <w:jc w:val="center"/>
            </w:pPr>
            <w:r>
              <w:t>62 741,32</w:t>
            </w:r>
          </w:p>
        </w:tc>
        <w:tc>
          <w:tcPr>
            <w:tcW w:w="1701" w:type="dxa"/>
            <w:vAlign w:val="center"/>
          </w:tcPr>
          <w:p w14:paraId="125A8A26" w14:textId="77777777" w:rsidR="00454A29" w:rsidRDefault="00454A29">
            <w:pPr>
              <w:pStyle w:val="ConsPlusNormal"/>
            </w:pPr>
          </w:p>
        </w:tc>
        <w:tc>
          <w:tcPr>
            <w:tcW w:w="1701" w:type="dxa"/>
            <w:vAlign w:val="center"/>
          </w:tcPr>
          <w:p w14:paraId="3672808A" w14:textId="77777777" w:rsidR="00454A29" w:rsidRDefault="00454A29">
            <w:pPr>
              <w:pStyle w:val="ConsPlusNormal"/>
              <w:jc w:val="center"/>
            </w:pPr>
            <w:r>
              <w:t>22 636,29</w:t>
            </w:r>
          </w:p>
        </w:tc>
        <w:tc>
          <w:tcPr>
            <w:tcW w:w="1814" w:type="dxa"/>
            <w:vAlign w:val="center"/>
          </w:tcPr>
          <w:p w14:paraId="61B9F277" w14:textId="77777777" w:rsidR="00454A29" w:rsidRDefault="00454A29">
            <w:pPr>
              <w:pStyle w:val="ConsPlusNormal"/>
            </w:pPr>
          </w:p>
        </w:tc>
      </w:tr>
      <w:tr w:rsidR="00454A29" w14:paraId="20D1F813" w14:textId="77777777">
        <w:tc>
          <w:tcPr>
            <w:tcW w:w="567" w:type="dxa"/>
            <w:vMerge/>
          </w:tcPr>
          <w:p w14:paraId="179DEDC3" w14:textId="77777777" w:rsidR="00454A29" w:rsidRDefault="00454A29"/>
        </w:tc>
        <w:tc>
          <w:tcPr>
            <w:tcW w:w="3345" w:type="dxa"/>
            <w:vMerge/>
          </w:tcPr>
          <w:p w14:paraId="20B70146" w14:textId="77777777" w:rsidR="00454A29" w:rsidRDefault="00454A29"/>
        </w:tc>
        <w:tc>
          <w:tcPr>
            <w:tcW w:w="1701" w:type="dxa"/>
            <w:vAlign w:val="center"/>
          </w:tcPr>
          <w:p w14:paraId="27B88D15" w14:textId="77777777" w:rsidR="00454A29" w:rsidRDefault="00454A29">
            <w:pPr>
              <w:pStyle w:val="ConsPlusNormal"/>
              <w:jc w:val="center"/>
            </w:pPr>
            <w:r>
              <w:t>2025</w:t>
            </w:r>
          </w:p>
        </w:tc>
        <w:tc>
          <w:tcPr>
            <w:tcW w:w="1417" w:type="dxa"/>
            <w:vMerge/>
          </w:tcPr>
          <w:p w14:paraId="6E093060" w14:textId="77777777" w:rsidR="00454A29" w:rsidRDefault="00454A29"/>
        </w:tc>
        <w:tc>
          <w:tcPr>
            <w:tcW w:w="2204" w:type="dxa"/>
            <w:vMerge/>
          </w:tcPr>
          <w:p w14:paraId="7191B33B" w14:textId="77777777" w:rsidR="00454A29" w:rsidRDefault="00454A29"/>
        </w:tc>
        <w:tc>
          <w:tcPr>
            <w:tcW w:w="1417" w:type="dxa"/>
            <w:vMerge/>
          </w:tcPr>
          <w:p w14:paraId="7D95CF0C" w14:textId="77777777" w:rsidR="00454A29" w:rsidRDefault="00454A29"/>
        </w:tc>
        <w:tc>
          <w:tcPr>
            <w:tcW w:w="2324" w:type="dxa"/>
            <w:vMerge/>
          </w:tcPr>
          <w:p w14:paraId="7734FFDC" w14:textId="77777777" w:rsidR="00454A29" w:rsidRDefault="00454A29"/>
        </w:tc>
        <w:tc>
          <w:tcPr>
            <w:tcW w:w="1701" w:type="dxa"/>
            <w:vAlign w:val="center"/>
          </w:tcPr>
          <w:p w14:paraId="4748888B" w14:textId="77777777" w:rsidR="00454A29" w:rsidRDefault="00454A29">
            <w:pPr>
              <w:pStyle w:val="ConsPlusNormal"/>
              <w:jc w:val="center"/>
            </w:pPr>
            <w:r>
              <w:t>86 056,71</w:t>
            </w:r>
          </w:p>
        </w:tc>
        <w:tc>
          <w:tcPr>
            <w:tcW w:w="1814" w:type="dxa"/>
            <w:vAlign w:val="center"/>
          </w:tcPr>
          <w:p w14:paraId="44AB0C72" w14:textId="77777777" w:rsidR="00454A29" w:rsidRDefault="00454A29">
            <w:pPr>
              <w:pStyle w:val="ConsPlusNormal"/>
              <w:jc w:val="center"/>
            </w:pPr>
            <w:r>
              <w:t>62 741,32</w:t>
            </w:r>
          </w:p>
        </w:tc>
        <w:tc>
          <w:tcPr>
            <w:tcW w:w="1701" w:type="dxa"/>
            <w:vAlign w:val="center"/>
          </w:tcPr>
          <w:p w14:paraId="710943FB" w14:textId="77777777" w:rsidR="00454A29" w:rsidRDefault="00454A29">
            <w:pPr>
              <w:pStyle w:val="ConsPlusNormal"/>
            </w:pPr>
          </w:p>
        </w:tc>
        <w:tc>
          <w:tcPr>
            <w:tcW w:w="1701" w:type="dxa"/>
            <w:vAlign w:val="center"/>
          </w:tcPr>
          <w:p w14:paraId="0B81FAD5" w14:textId="77777777" w:rsidR="00454A29" w:rsidRDefault="00454A29">
            <w:pPr>
              <w:pStyle w:val="ConsPlusNormal"/>
              <w:jc w:val="center"/>
            </w:pPr>
            <w:r>
              <w:t>23 315,38</w:t>
            </w:r>
          </w:p>
        </w:tc>
        <w:tc>
          <w:tcPr>
            <w:tcW w:w="1814" w:type="dxa"/>
            <w:vAlign w:val="center"/>
          </w:tcPr>
          <w:p w14:paraId="14808098" w14:textId="77777777" w:rsidR="00454A29" w:rsidRDefault="00454A29">
            <w:pPr>
              <w:pStyle w:val="ConsPlusNormal"/>
            </w:pPr>
          </w:p>
        </w:tc>
      </w:tr>
      <w:tr w:rsidR="00454A29" w14:paraId="7A9F4A0B" w14:textId="77777777">
        <w:tc>
          <w:tcPr>
            <w:tcW w:w="567" w:type="dxa"/>
            <w:vMerge/>
          </w:tcPr>
          <w:p w14:paraId="3226B4DD" w14:textId="77777777" w:rsidR="00454A29" w:rsidRDefault="00454A29"/>
        </w:tc>
        <w:tc>
          <w:tcPr>
            <w:tcW w:w="3345" w:type="dxa"/>
            <w:vMerge/>
          </w:tcPr>
          <w:p w14:paraId="11F55276" w14:textId="77777777" w:rsidR="00454A29" w:rsidRDefault="00454A29"/>
        </w:tc>
        <w:tc>
          <w:tcPr>
            <w:tcW w:w="1701" w:type="dxa"/>
            <w:vAlign w:val="center"/>
          </w:tcPr>
          <w:p w14:paraId="0B6939FC" w14:textId="77777777" w:rsidR="00454A29" w:rsidRDefault="00454A29">
            <w:pPr>
              <w:pStyle w:val="ConsPlusNormal"/>
              <w:jc w:val="center"/>
            </w:pPr>
            <w:r>
              <w:t>2026</w:t>
            </w:r>
          </w:p>
        </w:tc>
        <w:tc>
          <w:tcPr>
            <w:tcW w:w="1417" w:type="dxa"/>
            <w:vMerge/>
          </w:tcPr>
          <w:p w14:paraId="5EE2261A" w14:textId="77777777" w:rsidR="00454A29" w:rsidRDefault="00454A29"/>
        </w:tc>
        <w:tc>
          <w:tcPr>
            <w:tcW w:w="2204" w:type="dxa"/>
            <w:vMerge/>
          </w:tcPr>
          <w:p w14:paraId="24DC9E12" w14:textId="77777777" w:rsidR="00454A29" w:rsidRDefault="00454A29"/>
        </w:tc>
        <w:tc>
          <w:tcPr>
            <w:tcW w:w="1417" w:type="dxa"/>
            <w:vMerge/>
          </w:tcPr>
          <w:p w14:paraId="3EA8DE39" w14:textId="77777777" w:rsidR="00454A29" w:rsidRDefault="00454A29"/>
        </w:tc>
        <w:tc>
          <w:tcPr>
            <w:tcW w:w="2324" w:type="dxa"/>
            <w:vMerge/>
          </w:tcPr>
          <w:p w14:paraId="6F6207B2" w14:textId="77777777" w:rsidR="00454A29" w:rsidRDefault="00454A29"/>
        </w:tc>
        <w:tc>
          <w:tcPr>
            <w:tcW w:w="1701" w:type="dxa"/>
            <w:vAlign w:val="center"/>
          </w:tcPr>
          <w:p w14:paraId="1ECE3373" w14:textId="77777777" w:rsidR="00454A29" w:rsidRDefault="00454A29">
            <w:pPr>
              <w:pStyle w:val="ConsPlusNormal"/>
              <w:jc w:val="center"/>
            </w:pPr>
            <w:r>
              <w:t>90 191,95</w:t>
            </w:r>
          </w:p>
        </w:tc>
        <w:tc>
          <w:tcPr>
            <w:tcW w:w="1814" w:type="dxa"/>
            <w:vAlign w:val="center"/>
          </w:tcPr>
          <w:p w14:paraId="679878F3" w14:textId="77777777" w:rsidR="00454A29" w:rsidRDefault="00454A29">
            <w:pPr>
              <w:pStyle w:val="ConsPlusNormal"/>
              <w:jc w:val="center"/>
            </w:pPr>
            <w:r>
              <w:t>66 177,10</w:t>
            </w:r>
          </w:p>
        </w:tc>
        <w:tc>
          <w:tcPr>
            <w:tcW w:w="1701" w:type="dxa"/>
            <w:vAlign w:val="center"/>
          </w:tcPr>
          <w:p w14:paraId="5F64E8A1" w14:textId="77777777" w:rsidR="00454A29" w:rsidRDefault="00454A29">
            <w:pPr>
              <w:pStyle w:val="ConsPlusNormal"/>
            </w:pPr>
          </w:p>
        </w:tc>
        <w:tc>
          <w:tcPr>
            <w:tcW w:w="1701" w:type="dxa"/>
            <w:vAlign w:val="center"/>
          </w:tcPr>
          <w:p w14:paraId="3D3D46F9" w14:textId="77777777" w:rsidR="00454A29" w:rsidRDefault="00454A29">
            <w:pPr>
              <w:pStyle w:val="ConsPlusNormal"/>
              <w:jc w:val="center"/>
            </w:pPr>
            <w:r>
              <w:t>24 014,85</w:t>
            </w:r>
          </w:p>
        </w:tc>
        <w:tc>
          <w:tcPr>
            <w:tcW w:w="1814" w:type="dxa"/>
            <w:vAlign w:val="center"/>
          </w:tcPr>
          <w:p w14:paraId="72D89A2B" w14:textId="77777777" w:rsidR="00454A29" w:rsidRDefault="00454A29">
            <w:pPr>
              <w:pStyle w:val="ConsPlusNormal"/>
            </w:pPr>
          </w:p>
        </w:tc>
      </w:tr>
      <w:tr w:rsidR="00454A29" w14:paraId="347E4A1A" w14:textId="77777777">
        <w:tc>
          <w:tcPr>
            <w:tcW w:w="21706" w:type="dxa"/>
            <w:gridSpan w:val="12"/>
            <w:vAlign w:val="center"/>
          </w:tcPr>
          <w:p w14:paraId="4BE893E3" w14:textId="77777777" w:rsidR="00454A29" w:rsidRDefault="00454A29">
            <w:pPr>
              <w:pStyle w:val="ConsPlusNormal"/>
              <w:jc w:val="center"/>
            </w:pPr>
            <w:r>
              <w:t>Мероприятие 10.1.4.</w:t>
            </w:r>
          </w:p>
        </w:tc>
      </w:tr>
      <w:tr w:rsidR="00454A29" w14:paraId="5D42AC60" w14:textId="77777777">
        <w:tc>
          <w:tcPr>
            <w:tcW w:w="567" w:type="dxa"/>
            <w:vMerge w:val="restart"/>
            <w:vAlign w:val="center"/>
          </w:tcPr>
          <w:p w14:paraId="6BED8ABB" w14:textId="77777777" w:rsidR="00454A29" w:rsidRDefault="00454A29">
            <w:pPr>
              <w:pStyle w:val="ConsPlusNormal"/>
            </w:pPr>
          </w:p>
        </w:tc>
        <w:tc>
          <w:tcPr>
            <w:tcW w:w="3345" w:type="dxa"/>
            <w:vMerge w:val="restart"/>
            <w:vAlign w:val="center"/>
          </w:tcPr>
          <w:p w14:paraId="12F0061F" w14:textId="77777777" w:rsidR="00454A29" w:rsidRDefault="00454A29">
            <w:pPr>
              <w:pStyle w:val="ConsPlusNormal"/>
              <w:jc w:val="center"/>
            </w:pPr>
            <w:r>
              <w:t>Строительство и (или) реконструкция объектов дошкольного образования г. Якутск в рамках государственно-частного партнерства</w:t>
            </w:r>
          </w:p>
        </w:tc>
        <w:tc>
          <w:tcPr>
            <w:tcW w:w="1701" w:type="dxa"/>
            <w:vAlign w:val="center"/>
          </w:tcPr>
          <w:p w14:paraId="1D27932E" w14:textId="77777777" w:rsidR="00454A29" w:rsidRDefault="00454A29">
            <w:pPr>
              <w:pStyle w:val="ConsPlusNormal"/>
              <w:jc w:val="center"/>
            </w:pPr>
            <w:r>
              <w:t>2016 - 2026 годы - всего</w:t>
            </w:r>
          </w:p>
        </w:tc>
        <w:tc>
          <w:tcPr>
            <w:tcW w:w="1417" w:type="dxa"/>
            <w:vMerge w:val="restart"/>
            <w:vAlign w:val="center"/>
          </w:tcPr>
          <w:p w14:paraId="1245FCDE" w14:textId="77777777" w:rsidR="00454A29" w:rsidRDefault="00454A29">
            <w:pPr>
              <w:pStyle w:val="ConsPlusNormal"/>
              <w:jc w:val="center"/>
            </w:pPr>
            <w:r>
              <w:t>х</w:t>
            </w:r>
          </w:p>
        </w:tc>
        <w:tc>
          <w:tcPr>
            <w:tcW w:w="2204" w:type="dxa"/>
            <w:vMerge w:val="restart"/>
            <w:vAlign w:val="center"/>
          </w:tcPr>
          <w:p w14:paraId="22028A1F" w14:textId="77777777" w:rsidR="00454A29" w:rsidRDefault="00454A29">
            <w:pPr>
              <w:pStyle w:val="ConsPlusNormal"/>
              <w:jc w:val="center"/>
            </w:pPr>
            <w:r>
              <w:t>х</w:t>
            </w:r>
          </w:p>
        </w:tc>
        <w:tc>
          <w:tcPr>
            <w:tcW w:w="1417" w:type="dxa"/>
            <w:vMerge w:val="restart"/>
            <w:vAlign w:val="center"/>
          </w:tcPr>
          <w:p w14:paraId="567986F3" w14:textId="77777777" w:rsidR="00454A29" w:rsidRDefault="00454A29">
            <w:pPr>
              <w:pStyle w:val="ConsPlusNormal"/>
              <w:jc w:val="center"/>
            </w:pPr>
            <w:r>
              <w:t>1310</w:t>
            </w:r>
          </w:p>
        </w:tc>
        <w:tc>
          <w:tcPr>
            <w:tcW w:w="2324" w:type="dxa"/>
            <w:vMerge w:val="restart"/>
            <w:vAlign w:val="center"/>
          </w:tcPr>
          <w:p w14:paraId="0F3B0141" w14:textId="77777777" w:rsidR="00454A29" w:rsidRDefault="00454A29">
            <w:pPr>
              <w:pStyle w:val="ConsPlusNormal"/>
              <w:jc w:val="center"/>
            </w:pPr>
            <w:r>
              <w:t>х</w:t>
            </w:r>
          </w:p>
        </w:tc>
        <w:tc>
          <w:tcPr>
            <w:tcW w:w="1701" w:type="dxa"/>
            <w:vAlign w:val="center"/>
          </w:tcPr>
          <w:p w14:paraId="65ABE072" w14:textId="77777777" w:rsidR="00454A29" w:rsidRDefault="00454A29">
            <w:pPr>
              <w:pStyle w:val="ConsPlusNormal"/>
              <w:jc w:val="center"/>
            </w:pPr>
            <w:r>
              <w:t>6 424 546,77</w:t>
            </w:r>
          </w:p>
        </w:tc>
        <w:tc>
          <w:tcPr>
            <w:tcW w:w="1814" w:type="dxa"/>
            <w:vAlign w:val="center"/>
          </w:tcPr>
          <w:p w14:paraId="0DCE5A59" w14:textId="77777777" w:rsidR="00454A29" w:rsidRDefault="00454A29">
            <w:pPr>
              <w:pStyle w:val="ConsPlusNormal"/>
              <w:jc w:val="center"/>
            </w:pPr>
            <w:r>
              <w:t>3 482 012,78</w:t>
            </w:r>
          </w:p>
        </w:tc>
        <w:tc>
          <w:tcPr>
            <w:tcW w:w="1701" w:type="dxa"/>
            <w:vAlign w:val="center"/>
          </w:tcPr>
          <w:p w14:paraId="406CAF25" w14:textId="77777777" w:rsidR="00454A29" w:rsidRDefault="00454A29">
            <w:pPr>
              <w:pStyle w:val="ConsPlusNormal"/>
              <w:jc w:val="center"/>
            </w:pPr>
            <w:r>
              <w:t>-</w:t>
            </w:r>
          </w:p>
        </w:tc>
        <w:tc>
          <w:tcPr>
            <w:tcW w:w="1701" w:type="dxa"/>
            <w:vAlign w:val="center"/>
          </w:tcPr>
          <w:p w14:paraId="2487FBBB" w14:textId="77777777" w:rsidR="00454A29" w:rsidRDefault="00454A29">
            <w:pPr>
              <w:pStyle w:val="ConsPlusNormal"/>
              <w:jc w:val="center"/>
            </w:pPr>
            <w:r>
              <w:t>767 024,93</w:t>
            </w:r>
          </w:p>
        </w:tc>
        <w:tc>
          <w:tcPr>
            <w:tcW w:w="1814" w:type="dxa"/>
            <w:vAlign w:val="center"/>
          </w:tcPr>
          <w:p w14:paraId="0FD0EDE2" w14:textId="77777777" w:rsidR="00454A29" w:rsidRDefault="00454A29">
            <w:pPr>
              <w:pStyle w:val="ConsPlusNormal"/>
              <w:jc w:val="center"/>
            </w:pPr>
            <w:r>
              <w:t>2 175 509,06</w:t>
            </w:r>
          </w:p>
        </w:tc>
      </w:tr>
      <w:tr w:rsidR="00454A29" w14:paraId="77F296B9" w14:textId="77777777">
        <w:tc>
          <w:tcPr>
            <w:tcW w:w="567" w:type="dxa"/>
            <w:vMerge/>
          </w:tcPr>
          <w:p w14:paraId="61DBBE55" w14:textId="77777777" w:rsidR="00454A29" w:rsidRDefault="00454A29"/>
        </w:tc>
        <w:tc>
          <w:tcPr>
            <w:tcW w:w="3345" w:type="dxa"/>
            <w:vMerge/>
          </w:tcPr>
          <w:p w14:paraId="4621AC74" w14:textId="77777777" w:rsidR="00454A29" w:rsidRDefault="00454A29"/>
        </w:tc>
        <w:tc>
          <w:tcPr>
            <w:tcW w:w="1701" w:type="dxa"/>
            <w:vAlign w:val="center"/>
          </w:tcPr>
          <w:p w14:paraId="14E1B55C" w14:textId="77777777" w:rsidR="00454A29" w:rsidRDefault="00454A29">
            <w:pPr>
              <w:pStyle w:val="ConsPlusNormal"/>
              <w:jc w:val="center"/>
            </w:pPr>
            <w:r>
              <w:t>2016</w:t>
            </w:r>
          </w:p>
        </w:tc>
        <w:tc>
          <w:tcPr>
            <w:tcW w:w="1417" w:type="dxa"/>
            <w:vMerge/>
          </w:tcPr>
          <w:p w14:paraId="31F74E62" w14:textId="77777777" w:rsidR="00454A29" w:rsidRDefault="00454A29"/>
        </w:tc>
        <w:tc>
          <w:tcPr>
            <w:tcW w:w="2204" w:type="dxa"/>
            <w:vMerge/>
          </w:tcPr>
          <w:p w14:paraId="7786D5C6" w14:textId="77777777" w:rsidR="00454A29" w:rsidRDefault="00454A29"/>
        </w:tc>
        <w:tc>
          <w:tcPr>
            <w:tcW w:w="1417" w:type="dxa"/>
            <w:vMerge/>
          </w:tcPr>
          <w:p w14:paraId="0AC3F469" w14:textId="77777777" w:rsidR="00454A29" w:rsidRDefault="00454A29"/>
        </w:tc>
        <w:tc>
          <w:tcPr>
            <w:tcW w:w="2324" w:type="dxa"/>
            <w:vMerge/>
          </w:tcPr>
          <w:p w14:paraId="1A840DC7" w14:textId="77777777" w:rsidR="00454A29" w:rsidRDefault="00454A29"/>
        </w:tc>
        <w:tc>
          <w:tcPr>
            <w:tcW w:w="1701" w:type="dxa"/>
            <w:vAlign w:val="center"/>
          </w:tcPr>
          <w:p w14:paraId="57115685" w14:textId="77777777" w:rsidR="00454A29" w:rsidRDefault="00454A29">
            <w:pPr>
              <w:pStyle w:val="ConsPlusNormal"/>
              <w:jc w:val="center"/>
            </w:pPr>
            <w:r>
              <w:t>1 396 510,39</w:t>
            </w:r>
          </w:p>
        </w:tc>
        <w:tc>
          <w:tcPr>
            <w:tcW w:w="1814" w:type="dxa"/>
            <w:vAlign w:val="center"/>
          </w:tcPr>
          <w:p w14:paraId="4F31143E" w14:textId="77777777" w:rsidR="00454A29" w:rsidRDefault="00454A29">
            <w:pPr>
              <w:pStyle w:val="ConsPlusNormal"/>
              <w:jc w:val="center"/>
            </w:pPr>
            <w:r>
              <w:t>64 091,93</w:t>
            </w:r>
          </w:p>
        </w:tc>
        <w:tc>
          <w:tcPr>
            <w:tcW w:w="1701" w:type="dxa"/>
            <w:vAlign w:val="center"/>
          </w:tcPr>
          <w:p w14:paraId="28E265E4" w14:textId="77777777" w:rsidR="00454A29" w:rsidRDefault="00454A29">
            <w:pPr>
              <w:pStyle w:val="ConsPlusNormal"/>
              <w:jc w:val="center"/>
            </w:pPr>
            <w:r>
              <w:t>-</w:t>
            </w:r>
          </w:p>
        </w:tc>
        <w:tc>
          <w:tcPr>
            <w:tcW w:w="1701" w:type="dxa"/>
            <w:vAlign w:val="center"/>
          </w:tcPr>
          <w:p w14:paraId="106BADBA" w14:textId="77777777" w:rsidR="00454A29" w:rsidRDefault="00454A29">
            <w:pPr>
              <w:pStyle w:val="ConsPlusNormal"/>
              <w:jc w:val="center"/>
            </w:pPr>
            <w:r>
              <w:t>12 084,99</w:t>
            </w:r>
          </w:p>
        </w:tc>
        <w:tc>
          <w:tcPr>
            <w:tcW w:w="1814" w:type="dxa"/>
            <w:vAlign w:val="center"/>
          </w:tcPr>
          <w:p w14:paraId="0DF48081" w14:textId="77777777" w:rsidR="00454A29" w:rsidRDefault="00454A29">
            <w:pPr>
              <w:pStyle w:val="ConsPlusNormal"/>
              <w:jc w:val="center"/>
            </w:pPr>
            <w:r>
              <w:t>1 320 333,47</w:t>
            </w:r>
          </w:p>
        </w:tc>
      </w:tr>
      <w:tr w:rsidR="00454A29" w14:paraId="26D5C993" w14:textId="77777777">
        <w:tc>
          <w:tcPr>
            <w:tcW w:w="567" w:type="dxa"/>
            <w:vMerge/>
          </w:tcPr>
          <w:p w14:paraId="308D2A73" w14:textId="77777777" w:rsidR="00454A29" w:rsidRDefault="00454A29"/>
        </w:tc>
        <w:tc>
          <w:tcPr>
            <w:tcW w:w="3345" w:type="dxa"/>
            <w:vMerge/>
          </w:tcPr>
          <w:p w14:paraId="32A23F57" w14:textId="77777777" w:rsidR="00454A29" w:rsidRDefault="00454A29"/>
        </w:tc>
        <w:tc>
          <w:tcPr>
            <w:tcW w:w="1701" w:type="dxa"/>
            <w:vAlign w:val="center"/>
          </w:tcPr>
          <w:p w14:paraId="1564C3FA" w14:textId="77777777" w:rsidR="00454A29" w:rsidRDefault="00454A29">
            <w:pPr>
              <w:pStyle w:val="ConsPlusNormal"/>
              <w:jc w:val="center"/>
            </w:pPr>
            <w:r>
              <w:t>2017</w:t>
            </w:r>
          </w:p>
        </w:tc>
        <w:tc>
          <w:tcPr>
            <w:tcW w:w="1417" w:type="dxa"/>
            <w:vMerge/>
          </w:tcPr>
          <w:p w14:paraId="55BEF95A" w14:textId="77777777" w:rsidR="00454A29" w:rsidRDefault="00454A29"/>
        </w:tc>
        <w:tc>
          <w:tcPr>
            <w:tcW w:w="2204" w:type="dxa"/>
            <w:vMerge/>
          </w:tcPr>
          <w:p w14:paraId="1A70DFFE" w14:textId="77777777" w:rsidR="00454A29" w:rsidRDefault="00454A29"/>
        </w:tc>
        <w:tc>
          <w:tcPr>
            <w:tcW w:w="1417" w:type="dxa"/>
            <w:vMerge/>
          </w:tcPr>
          <w:p w14:paraId="774DD522" w14:textId="77777777" w:rsidR="00454A29" w:rsidRDefault="00454A29"/>
        </w:tc>
        <w:tc>
          <w:tcPr>
            <w:tcW w:w="2324" w:type="dxa"/>
            <w:vMerge/>
          </w:tcPr>
          <w:p w14:paraId="7FF66C96" w14:textId="77777777" w:rsidR="00454A29" w:rsidRDefault="00454A29"/>
        </w:tc>
        <w:tc>
          <w:tcPr>
            <w:tcW w:w="1701" w:type="dxa"/>
            <w:vAlign w:val="center"/>
          </w:tcPr>
          <w:p w14:paraId="2BB0C4C8" w14:textId="77777777" w:rsidR="00454A29" w:rsidRDefault="00454A29">
            <w:pPr>
              <w:pStyle w:val="ConsPlusNormal"/>
              <w:jc w:val="center"/>
            </w:pPr>
            <w:r>
              <w:t>987 728,14</w:t>
            </w:r>
          </w:p>
        </w:tc>
        <w:tc>
          <w:tcPr>
            <w:tcW w:w="1814" w:type="dxa"/>
            <w:vAlign w:val="center"/>
          </w:tcPr>
          <w:p w14:paraId="377A0419" w14:textId="77777777" w:rsidR="00454A29" w:rsidRDefault="00454A29">
            <w:pPr>
              <w:pStyle w:val="ConsPlusNormal"/>
              <w:jc w:val="center"/>
            </w:pPr>
            <w:r>
              <w:t>225 228,73</w:t>
            </w:r>
          </w:p>
        </w:tc>
        <w:tc>
          <w:tcPr>
            <w:tcW w:w="1701" w:type="dxa"/>
            <w:vAlign w:val="center"/>
          </w:tcPr>
          <w:p w14:paraId="5EFC0BF2" w14:textId="77777777" w:rsidR="00454A29" w:rsidRDefault="00454A29">
            <w:pPr>
              <w:pStyle w:val="ConsPlusNormal"/>
              <w:jc w:val="center"/>
            </w:pPr>
            <w:r>
              <w:t>-</w:t>
            </w:r>
          </w:p>
        </w:tc>
        <w:tc>
          <w:tcPr>
            <w:tcW w:w="1701" w:type="dxa"/>
            <w:vAlign w:val="center"/>
          </w:tcPr>
          <w:p w14:paraId="06632D17" w14:textId="77777777" w:rsidR="00454A29" w:rsidRDefault="00454A29">
            <w:pPr>
              <w:pStyle w:val="ConsPlusNormal"/>
              <w:jc w:val="center"/>
            </w:pPr>
            <w:r>
              <w:t>42 468,46</w:t>
            </w:r>
          </w:p>
        </w:tc>
        <w:tc>
          <w:tcPr>
            <w:tcW w:w="1814" w:type="dxa"/>
            <w:vAlign w:val="center"/>
          </w:tcPr>
          <w:p w14:paraId="25C58D98" w14:textId="77777777" w:rsidR="00454A29" w:rsidRDefault="00454A29">
            <w:pPr>
              <w:pStyle w:val="ConsPlusNormal"/>
              <w:jc w:val="center"/>
            </w:pPr>
            <w:r>
              <w:t>720 030,95</w:t>
            </w:r>
          </w:p>
        </w:tc>
      </w:tr>
      <w:tr w:rsidR="00454A29" w14:paraId="600F679C" w14:textId="77777777">
        <w:tc>
          <w:tcPr>
            <w:tcW w:w="567" w:type="dxa"/>
            <w:vMerge/>
          </w:tcPr>
          <w:p w14:paraId="72A2DF92" w14:textId="77777777" w:rsidR="00454A29" w:rsidRDefault="00454A29"/>
        </w:tc>
        <w:tc>
          <w:tcPr>
            <w:tcW w:w="3345" w:type="dxa"/>
            <w:vMerge/>
          </w:tcPr>
          <w:p w14:paraId="6D67D5B4" w14:textId="77777777" w:rsidR="00454A29" w:rsidRDefault="00454A29"/>
        </w:tc>
        <w:tc>
          <w:tcPr>
            <w:tcW w:w="1701" w:type="dxa"/>
            <w:vAlign w:val="center"/>
          </w:tcPr>
          <w:p w14:paraId="437E495C" w14:textId="77777777" w:rsidR="00454A29" w:rsidRDefault="00454A29">
            <w:pPr>
              <w:pStyle w:val="ConsPlusNormal"/>
              <w:jc w:val="center"/>
            </w:pPr>
            <w:r>
              <w:t>2018</w:t>
            </w:r>
          </w:p>
        </w:tc>
        <w:tc>
          <w:tcPr>
            <w:tcW w:w="1417" w:type="dxa"/>
            <w:vMerge/>
          </w:tcPr>
          <w:p w14:paraId="5ED128B5" w14:textId="77777777" w:rsidR="00454A29" w:rsidRDefault="00454A29"/>
        </w:tc>
        <w:tc>
          <w:tcPr>
            <w:tcW w:w="2204" w:type="dxa"/>
            <w:vMerge/>
          </w:tcPr>
          <w:p w14:paraId="1913A33D" w14:textId="77777777" w:rsidR="00454A29" w:rsidRDefault="00454A29"/>
        </w:tc>
        <w:tc>
          <w:tcPr>
            <w:tcW w:w="1417" w:type="dxa"/>
            <w:vMerge/>
          </w:tcPr>
          <w:p w14:paraId="216A1BD3" w14:textId="77777777" w:rsidR="00454A29" w:rsidRDefault="00454A29"/>
        </w:tc>
        <w:tc>
          <w:tcPr>
            <w:tcW w:w="2324" w:type="dxa"/>
            <w:vMerge/>
          </w:tcPr>
          <w:p w14:paraId="7EBA3E1F" w14:textId="77777777" w:rsidR="00454A29" w:rsidRDefault="00454A29"/>
        </w:tc>
        <w:tc>
          <w:tcPr>
            <w:tcW w:w="1701" w:type="dxa"/>
            <w:vAlign w:val="center"/>
          </w:tcPr>
          <w:p w14:paraId="49EE2E9C" w14:textId="77777777" w:rsidR="00454A29" w:rsidRDefault="00454A29">
            <w:pPr>
              <w:pStyle w:val="ConsPlusNormal"/>
              <w:jc w:val="center"/>
            </w:pPr>
            <w:r>
              <w:t>812 621,05</w:t>
            </w:r>
          </w:p>
        </w:tc>
        <w:tc>
          <w:tcPr>
            <w:tcW w:w="1814" w:type="dxa"/>
            <w:vAlign w:val="center"/>
          </w:tcPr>
          <w:p w14:paraId="517F008B" w14:textId="77777777" w:rsidR="00454A29" w:rsidRDefault="00454A29">
            <w:pPr>
              <w:pStyle w:val="ConsPlusNormal"/>
              <w:jc w:val="center"/>
            </w:pPr>
            <w:r>
              <w:t>597 213,88</w:t>
            </w:r>
          </w:p>
        </w:tc>
        <w:tc>
          <w:tcPr>
            <w:tcW w:w="1701" w:type="dxa"/>
            <w:vAlign w:val="center"/>
          </w:tcPr>
          <w:p w14:paraId="1044C797" w14:textId="77777777" w:rsidR="00454A29" w:rsidRDefault="00454A29">
            <w:pPr>
              <w:pStyle w:val="ConsPlusNormal"/>
              <w:jc w:val="center"/>
            </w:pPr>
            <w:r>
              <w:t>-</w:t>
            </w:r>
          </w:p>
        </w:tc>
        <w:tc>
          <w:tcPr>
            <w:tcW w:w="1701" w:type="dxa"/>
            <w:vAlign w:val="center"/>
          </w:tcPr>
          <w:p w14:paraId="39A99F55" w14:textId="77777777" w:rsidR="00454A29" w:rsidRDefault="00454A29">
            <w:pPr>
              <w:pStyle w:val="ConsPlusNormal"/>
              <w:jc w:val="center"/>
            </w:pPr>
            <w:r>
              <w:t>80 262,54</w:t>
            </w:r>
          </w:p>
        </w:tc>
        <w:tc>
          <w:tcPr>
            <w:tcW w:w="1814" w:type="dxa"/>
            <w:vAlign w:val="center"/>
          </w:tcPr>
          <w:p w14:paraId="3B52518D" w14:textId="77777777" w:rsidR="00454A29" w:rsidRDefault="00454A29">
            <w:pPr>
              <w:pStyle w:val="ConsPlusNormal"/>
              <w:jc w:val="center"/>
            </w:pPr>
            <w:r>
              <w:t>135 144,63</w:t>
            </w:r>
          </w:p>
        </w:tc>
      </w:tr>
      <w:tr w:rsidR="00454A29" w14:paraId="2F2405D7" w14:textId="77777777">
        <w:tc>
          <w:tcPr>
            <w:tcW w:w="567" w:type="dxa"/>
            <w:vMerge/>
          </w:tcPr>
          <w:p w14:paraId="4A06C043" w14:textId="77777777" w:rsidR="00454A29" w:rsidRDefault="00454A29"/>
        </w:tc>
        <w:tc>
          <w:tcPr>
            <w:tcW w:w="3345" w:type="dxa"/>
            <w:vMerge/>
          </w:tcPr>
          <w:p w14:paraId="000A9619" w14:textId="77777777" w:rsidR="00454A29" w:rsidRDefault="00454A29"/>
        </w:tc>
        <w:tc>
          <w:tcPr>
            <w:tcW w:w="1701" w:type="dxa"/>
            <w:vAlign w:val="center"/>
          </w:tcPr>
          <w:p w14:paraId="312CE2B3" w14:textId="77777777" w:rsidR="00454A29" w:rsidRDefault="00454A29">
            <w:pPr>
              <w:pStyle w:val="ConsPlusNormal"/>
              <w:jc w:val="center"/>
            </w:pPr>
            <w:r>
              <w:t>2019</w:t>
            </w:r>
          </w:p>
        </w:tc>
        <w:tc>
          <w:tcPr>
            <w:tcW w:w="1417" w:type="dxa"/>
            <w:vMerge/>
          </w:tcPr>
          <w:p w14:paraId="2201A78D" w14:textId="77777777" w:rsidR="00454A29" w:rsidRDefault="00454A29"/>
        </w:tc>
        <w:tc>
          <w:tcPr>
            <w:tcW w:w="2204" w:type="dxa"/>
            <w:vMerge/>
          </w:tcPr>
          <w:p w14:paraId="34858804" w14:textId="77777777" w:rsidR="00454A29" w:rsidRDefault="00454A29"/>
        </w:tc>
        <w:tc>
          <w:tcPr>
            <w:tcW w:w="1417" w:type="dxa"/>
            <w:vMerge/>
          </w:tcPr>
          <w:p w14:paraId="01BFD959" w14:textId="77777777" w:rsidR="00454A29" w:rsidRDefault="00454A29"/>
        </w:tc>
        <w:tc>
          <w:tcPr>
            <w:tcW w:w="2324" w:type="dxa"/>
            <w:vMerge/>
          </w:tcPr>
          <w:p w14:paraId="3801E148" w14:textId="77777777" w:rsidR="00454A29" w:rsidRDefault="00454A29"/>
        </w:tc>
        <w:tc>
          <w:tcPr>
            <w:tcW w:w="1701" w:type="dxa"/>
            <w:vAlign w:val="center"/>
          </w:tcPr>
          <w:p w14:paraId="3B2C589B" w14:textId="77777777" w:rsidR="00454A29" w:rsidRDefault="00454A29">
            <w:pPr>
              <w:pStyle w:val="ConsPlusNormal"/>
              <w:jc w:val="center"/>
            </w:pPr>
            <w:r>
              <w:t>399 949,27</w:t>
            </w:r>
          </w:p>
        </w:tc>
        <w:tc>
          <w:tcPr>
            <w:tcW w:w="1814" w:type="dxa"/>
            <w:vAlign w:val="center"/>
          </w:tcPr>
          <w:p w14:paraId="2F500DCC" w14:textId="77777777" w:rsidR="00454A29" w:rsidRDefault="00454A29">
            <w:pPr>
              <w:pStyle w:val="ConsPlusNormal"/>
              <w:jc w:val="center"/>
            </w:pPr>
            <w:r>
              <w:t>337 939,62</w:t>
            </w:r>
          </w:p>
        </w:tc>
        <w:tc>
          <w:tcPr>
            <w:tcW w:w="1701" w:type="dxa"/>
            <w:vAlign w:val="center"/>
          </w:tcPr>
          <w:p w14:paraId="2D2E1CA2" w14:textId="77777777" w:rsidR="00454A29" w:rsidRDefault="00454A29">
            <w:pPr>
              <w:pStyle w:val="ConsPlusNormal"/>
              <w:jc w:val="center"/>
            </w:pPr>
            <w:r>
              <w:t>-</w:t>
            </w:r>
          </w:p>
        </w:tc>
        <w:tc>
          <w:tcPr>
            <w:tcW w:w="1701" w:type="dxa"/>
            <w:vAlign w:val="center"/>
          </w:tcPr>
          <w:p w14:paraId="5D0D3E4E" w14:textId="77777777" w:rsidR="00454A29" w:rsidRDefault="00454A29">
            <w:pPr>
              <w:pStyle w:val="ConsPlusNormal"/>
              <w:jc w:val="center"/>
            </w:pPr>
            <w:r>
              <w:t>62 009,65</w:t>
            </w:r>
          </w:p>
        </w:tc>
        <w:tc>
          <w:tcPr>
            <w:tcW w:w="1814" w:type="dxa"/>
            <w:vAlign w:val="center"/>
          </w:tcPr>
          <w:p w14:paraId="601C0CCD" w14:textId="77777777" w:rsidR="00454A29" w:rsidRDefault="00454A29">
            <w:pPr>
              <w:pStyle w:val="ConsPlusNormal"/>
              <w:jc w:val="center"/>
            </w:pPr>
            <w:r>
              <w:t>-</w:t>
            </w:r>
          </w:p>
        </w:tc>
      </w:tr>
      <w:tr w:rsidR="00454A29" w14:paraId="2A0D9163" w14:textId="77777777">
        <w:tc>
          <w:tcPr>
            <w:tcW w:w="567" w:type="dxa"/>
            <w:vMerge/>
          </w:tcPr>
          <w:p w14:paraId="1400DC21" w14:textId="77777777" w:rsidR="00454A29" w:rsidRDefault="00454A29"/>
        </w:tc>
        <w:tc>
          <w:tcPr>
            <w:tcW w:w="3345" w:type="dxa"/>
            <w:vMerge/>
          </w:tcPr>
          <w:p w14:paraId="00099B5C" w14:textId="77777777" w:rsidR="00454A29" w:rsidRDefault="00454A29"/>
        </w:tc>
        <w:tc>
          <w:tcPr>
            <w:tcW w:w="1701" w:type="dxa"/>
            <w:vAlign w:val="center"/>
          </w:tcPr>
          <w:p w14:paraId="0B99C2D6" w14:textId="77777777" w:rsidR="00454A29" w:rsidRDefault="00454A29">
            <w:pPr>
              <w:pStyle w:val="ConsPlusNormal"/>
              <w:jc w:val="center"/>
            </w:pPr>
            <w:r>
              <w:t>2020</w:t>
            </w:r>
          </w:p>
        </w:tc>
        <w:tc>
          <w:tcPr>
            <w:tcW w:w="1417" w:type="dxa"/>
            <w:vMerge/>
          </w:tcPr>
          <w:p w14:paraId="24D437E1" w14:textId="77777777" w:rsidR="00454A29" w:rsidRDefault="00454A29"/>
        </w:tc>
        <w:tc>
          <w:tcPr>
            <w:tcW w:w="2204" w:type="dxa"/>
            <w:vMerge/>
          </w:tcPr>
          <w:p w14:paraId="7C707358" w14:textId="77777777" w:rsidR="00454A29" w:rsidRDefault="00454A29"/>
        </w:tc>
        <w:tc>
          <w:tcPr>
            <w:tcW w:w="1417" w:type="dxa"/>
            <w:vMerge/>
          </w:tcPr>
          <w:p w14:paraId="0105DEF9" w14:textId="77777777" w:rsidR="00454A29" w:rsidRDefault="00454A29"/>
        </w:tc>
        <w:tc>
          <w:tcPr>
            <w:tcW w:w="2324" w:type="dxa"/>
            <w:vMerge/>
          </w:tcPr>
          <w:p w14:paraId="5947AE6D" w14:textId="77777777" w:rsidR="00454A29" w:rsidRDefault="00454A29"/>
        </w:tc>
        <w:tc>
          <w:tcPr>
            <w:tcW w:w="1701" w:type="dxa"/>
            <w:vAlign w:val="center"/>
          </w:tcPr>
          <w:p w14:paraId="2DFB7FBD" w14:textId="77777777" w:rsidR="00454A29" w:rsidRDefault="00454A29">
            <w:pPr>
              <w:pStyle w:val="ConsPlusNormal"/>
              <w:jc w:val="center"/>
            </w:pPr>
            <w:r>
              <w:t>548 778,76</w:t>
            </w:r>
          </w:p>
        </w:tc>
        <w:tc>
          <w:tcPr>
            <w:tcW w:w="1814" w:type="dxa"/>
            <w:vAlign w:val="center"/>
          </w:tcPr>
          <w:p w14:paraId="2460496F" w14:textId="77777777" w:rsidR="00454A29" w:rsidRDefault="00454A29">
            <w:pPr>
              <w:pStyle w:val="ConsPlusNormal"/>
              <w:jc w:val="center"/>
            </w:pPr>
            <w:r>
              <w:t>484 914,80</w:t>
            </w:r>
          </w:p>
        </w:tc>
        <w:tc>
          <w:tcPr>
            <w:tcW w:w="1701" w:type="dxa"/>
            <w:vAlign w:val="center"/>
          </w:tcPr>
          <w:p w14:paraId="1CEDDDA6" w14:textId="77777777" w:rsidR="00454A29" w:rsidRDefault="00454A29">
            <w:pPr>
              <w:pStyle w:val="ConsPlusNormal"/>
              <w:jc w:val="center"/>
            </w:pPr>
            <w:r>
              <w:t>-</w:t>
            </w:r>
          </w:p>
        </w:tc>
        <w:tc>
          <w:tcPr>
            <w:tcW w:w="1701" w:type="dxa"/>
            <w:vAlign w:val="center"/>
          </w:tcPr>
          <w:p w14:paraId="6C5CF73A" w14:textId="77777777" w:rsidR="00454A29" w:rsidRDefault="00454A29">
            <w:pPr>
              <w:pStyle w:val="ConsPlusNormal"/>
              <w:jc w:val="center"/>
            </w:pPr>
            <w:r>
              <w:t>63 863,96</w:t>
            </w:r>
          </w:p>
        </w:tc>
        <w:tc>
          <w:tcPr>
            <w:tcW w:w="1814" w:type="dxa"/>
            <w:vAlign w:val="center"/>
          </w:tcPr>
          <w:p w14:paraId="458568AD" w14:textId="77777777" w:rsidR="00454A29" w:rsidRDefault="00454A29">
            <w:pPr>
              <w:pStyle w:val="ConsPlusNormal"/>
              <w:jc w:val="center"/>
            </w:pPr>
            <w:r>
              <w:t>-</w:t>
            </w:r>
          </w:p>
        </w:tc>
      </w:tr>
      <w:tr w:rsidR="00454A29" w14:paraId="4B0DFBCC" w14:textId="77777777">
        <w:tc>
          <w:tcPr>
            <w:tcW w:w="567" w:type="dxa"/>
            <w:vMerge/>
          </w:tcPr>
          <w:p w14:paraId="658F42F4" w14:textId="77777777" w:rsidR="00454A29" w:rsidRDefault="00454A29"/>
        </w:tc>
        <w:tc>
          <w:tcPr>
            <w:tcW w:w="3345" w:type="dxa"/>
            <w:vMerge/>
          </w:tcPr>
          <w:p w14:paraId="44086920" w14:textId="77777777" w:rsidR="00454A29" w:rsidRDefault="00454A29"/>
        </w:tc>
        <w:tc>
          <w:tcPr>
            <w:tcW w:w="1701" w:type="dxa"/>
            <w:vAlign w:val="center"/>
          </w:tcPr>
          <w:p w14:paraId="11B5CC57" w14:textId="77777777" w:rsidR="00454A29" w:rsidRDefault="00454A29">
            <w:pPr>
              <w:pStyle w:val="ConsPlusNormal"/>
              <w:jc w:val="center"/>
            </w:pPr>
            <w:r>
              <w:t>2021</w:t>
            </w:r>
          </w:p>
        </w:tc>
        <w:tc>
          <w:tcPr>
            <w:tcW w:w="1417" w:type="dxa"/>
            <w:vMerge/>
          </w:tcPr>
          <w:p w14:paraId="066CE5AC" w14:textId="77777777" w:rsidR="00454A29" w:rsidRDefault="00454A29"/>
        </w:tc>
        <w:tc>
          <w:tcPr>
            <w:tcW w:w="2204" w:type="dxa"/>
            <w:vMerge/>
          </w:tcPr>
          <w:p w14:paraId="1AB3B694" w14:textId="77777777" w:rsidR="00454A29" w:rsidRDefault="00454A29"/>
        </w:tc>
        <w:tc>
          <w:tcPr>
            <w:tcW w:w="1417" w:type="dxa"/>
            <w:vMerge/>
          </w:tcPr>
          <w:p w14:paraId="7B6FFCFD" w14:textId="77777777" w:rsidR="00454A29" w:rsidRDefault="00454A29"/>
        </w:tc>
        <w:tc>
          <w:tcPr>
            <w:tcW w:w="2324" w:type="dxa"/>
            <w:vMerge/>
          </w:tcPr>
          <w:p w14:paraId="12498314" w14:textId="77777777" w:rsidR="00454A29" w:rsidRDefault="00454A29"/>
        </w:tc>
        <w:tc>
          <w:tcPr>
            <w:tcW w:w="1701" w:type="dxa"/>
            <w:vAlign w:val="center"/>
          </w:tcPr>
          <w:p w14:paraId="293651D6" w14:textId="77777777" w:rsidR="00454A29" w:rsidRDefault="00454A29">
            <w:pPr>
              <w:pStyle w:val="ConsPlusNormal"/>
              <w:jc w:val="center"/>
            </w:pPr>
            <w:r>
              <w:t>557 715,15</w:t>
            </w:r>
          </w:p>
        </w:tc>
        <w:tc>
          <w:tcPr>
            <w:tcW w:w="1814" w:type="dxa"/>
            <w:vAlign w:val="center"/>
          </w:tcPr>
          <w:p w14:paraId="23EE41BB" w14:textId="77777777" w:rsidR="00454A29" w:rsidRDefault="00454A29">
            <w:pPr>
              <w:pStyle w:val="ConsPlusNormal"/>
              <w:jc w:val="center"/>
            </w:pPr>
            <w:r>
              <w:t>485 764,92</w:t>
            </w:r>
          </w:p>
        </w:tc>
        <w:tc>
          <w:tcPr>
            <w:tcW w:w="1701" w:type="dxa"/>
            <w:vAlign w:val="center"/>
          </w:tcPr>
          <w:p w14:paraId="065C6540" w14:textId="77777777" w:rsidR="00454A29" w:rsidRDefault="00454A29">
            <w:pPr>
              <w:pStyle w:val="ConsPlusNormal"/>
              <w:jc w:val="center"/>
            </w:pPr>
            <w:r>
              <w:t>-</w:t>
            </w:r>
          </w:p>
        </w:tc>
        <w:tc>
          <w:tcPr>
            <w:tcW w:w="1701" w:type="dxa"/>
            <w:vAlign w:val="center"/>
          </w:tcPr>
          <w:p w14:paraId="21A4F236" w14:textId="77777777" w:rsidR="00454A29" w:rsidRDefault="00454A29">
            <w:pPr>
              <w:pStyle w:val="ConsPlusNormal"/>
              <w:jc w:val="center"/>
            </w:pPr>
            <w:r>
              <w:t>71 950,23</w:t>
            </w:r>
          </w:p>
        </w:tc>
        <w:tc>
          <w:tcPr>
            <w:tcW w:w="1814" w:type="dxa"/>
            <w:vAlign w:val="center"/>
          </w:tcPr>
          <w:p w14:paraId="4FECD0AA" w14:textId="77777777" w:rsidR="00454A29" w:rsidRDefault="00454A29">
            <w:pPr>
              <w:pStyle w:val="ConsPlusNormal"/>
              <w:jc w:val="center"/>
            </w:pPr>
            <w:r>
              <w:t>-</w:t>
            </w:r>
          </w:p>
        </w:tc>
      </w:tr>
      <w:tr w:rsidR="00454A29" w14:paraId="4E204777" w14:textId="77777777">
        <w:tc>
          <w:tcPr>
            <w:tcW w:w="567" w:type="dxa"/>
            <w:vMerge/>
          </w:tcPr>
          <w:p w14:paraId="7281AC7B" w14:textId="77777777" w:rsidR="00454A29" w:rsidRDefault="00454A29"/>
        </w:tc>
        <w:tc>
          <w:tcPr>
            <w:tcW w:w="3345" w:type="dxa"/>
            <w:vMerge/>
          </w:tcPr>
          <w:p w14:paraId="73C2CFAF" w14:textId="77777777" w:rsidR="00454A29" w:rsidRDefault="00454A29"/>
        </w:tc>
        <w:tc>
          <w:tcPr>
            <w:tcW w:w="1701" w:type="dxa"/>
            <w:vAlign w:val="center"/>
          </w:tcPr>
          <w:p w14:paraId="13A66716" w14:textId="77777777" w:rsidR="00454A29" w:rsidRDefault="00454A29">
            <w:pPr>
              <w:pStyle w:val="ConsPlusNormal"/>
              <w:jc w:val="center"/>
            </w:pPr>
            <w:r>
              <w:t>2022</w:t>
            </w:r>
          </w:p>
        </w:tc>
        <w:tc>
          <w:tcPr>
            <w:tcW w:w="1417" w:type="dxa"/>
            <w:vMerge/>
          </w:tcPr>
          <w:p w14:paraId="71CD69DE" w14:textId="77777777" w:rsidR="00454A29" w:rsidRDefault="00454A29"/>
        </w:tc>
        <w:tc>
          <w:tcPr>
            <w:tcW w:w="2204" w:type="dxa"/>
            <w:vMerge/>
          </w:tcPr>
          <w:p w14:paraId="7063504C" w14:textId="77777777" w:rsidR="00454A29" w:rsidRDefault="00454A29"/>
        </w:tc>
        <w:tc>
          <w:tcPr>
            <w:tcW w:w="1417" w:type="dxa"/>
            <w:vMerge/>
          </w:tcPr>
          <w:p w14:paraId="2D0C6E1E" w14:textId="77777777" w:rsidR="00454A29" w:rsidRDefault="00454A29"/>
        </w:tc>
        <w:tc>
          <w:tcPr>
            <w:tcW w:w="2324" w:type="dxa"/>
            <w:vMerge/>
          </w:tcPr>
          <w:p w14:paraId="50E94E23" w14:textId="77777777" w:rsidR="00454A29" w:rsidRDefault="00454A29"/>
        </w:tc>
        <w:tc>
          <w:tcPr>
            <w:tcW w:w="1701" w:type="dxa"/>
            <w:vAlign w:val="center"/>
          </w:tcPr>
          <w:p w14:paraId="21677B5E" w14:textId="77777777" w:rsidR="00454A29" w:rsidRDefault="00454A29">
            <w:pPr>
              <w:pStyle w:val="ConsPlusNormal"/>
              <w:jc w:val="center"/>
            </w:pPr>
            <w:r>
              <w:t>563 498,67</w:t>
            </w:r>
          </w:p>
        </w:tc>
        <w:tc>
          <w:tcPr>
            <w:tcW w:w="1814" w:type="dxa"/>
            <w:vAlign w:val="center"/>
          </w:tcPr>
          <w:p w14:paraId="19F49925" w14:textId="77777777" w:rsidR="00454A29" w:rsidRDefault="00454A29">
            <w:pPr>
              <w:pStyle w:val="ConsPlusNormal"/>
              <w:jc w:val="center"/>
            </w:pPr>
            <w:r>
              <w:t>487 069,52</w:t>
            </w:r>
          </w:p>
        </w:tc>
        <w:tc>
          <w:tcPr>
            <w:tcW w:w="1701" w:type="dxa"/>
            <w:vAlign w:val="center"/>
          </w:tcPr>
          <w:p w14:paraId="57A3EBAB" w14:textId="77777777" w:rsidR="00454A29" w:rsidRDefault="00454A29">
            <w:pPr>
              <w:pStyle w:val="ConsPlusNormal"/>
              <w:jc w:val="center"/>
            </w:pPr>
            <w:r>
              <w:t>-</w:t>
            </w:r>
          </w:p>
        </w:tc>
        <w:tc>
          <w:tcPr>
            <w:tcW w:w="1701" w:type="dxa"/>
            <w:vAlign w:val="center"/>
          </w:tcPr>
          <w:p w14:paraId="4694E70C" w14:textId="77777777" w:rsidR="00454A29" w:rsidRDefault="00454A29">
            <w:pPr>
              <w:pStyle w:val="ConsPlusNormal"/>
              <w:jc w:val="center"/>
            </w:pPr>
            <w:r>
              <w:t>76 429,15</w:t>
            </w:r>
          </w:p>
        </w:tc>
        <w:tc>
          <w:tcPr>
            <w:tcW w:w="1814" w:type="dxa"/>
            <w:vAlign w:val="center"/>
          </w:tcPr>
          <w:p w14:paraId="59708EB9" w14:textId="77777777" w:rsidR="00454A29" w:rsidRDefault="00454A29">
            <w:pPr>
              <w:pStyle w:val="ConsPlusNormal"/>
              <w:jc w:val="center"/>
            </w:pPr>
            <w:r>
              <w:t>-</w:t>
            </w:r>
          </w:p>
        </w:tc>
      </w:tr>
      <w:tr w:rsidR="00454A29" w14:paraId="0A7EFECA" w14:textId="77777777">
        <w:tc>
          <w:tcPr>
            <w:tcW w:w="567" w:type="dxa"/>
            <w:vMerge/>
          </w:tcPr>
          <w:p w14:paraId="47628E86" w14:textId="77777777" w:rsidR="00454A29" w:rsidRDefault="00454A29"/>
        </w:tc>
        <w:tc>
          <w:tcPr>
            <w:tcW w:w="3345" w:type="dxa"/>
            <w:vMerge/>
          </w:tcPr>
          <w:p w14:paraId="2B0292E8" w14:textId="77777777" w:rsidR="00454A29" w:rsidRDefault="00454A29"/>
        </w:tc>
        <w:tc>
          <w:tcPr>
            <w:tcW w:w="1701" w:type="dxa"/>
            <w:vAlign w:val="center"/>
          </w:tcPr>
          <w:p w14:paraId="1CCA9B29" w14:textId="77777777" w:rsidR="00454A29" w:rsidRDefault="00454A29">
            <w:pPr>
              <w:pStyle w:val="ConsPlusNormal"/>
              <w:jc w:val="center"/>
            </w:pPr>
            <w:r>
              <w:t>2023</w:t>
            </w:r>
          </w:p>
        </w:tc>
        <w:tc>
          <w:tcPr>
            <w:tcW w:w="1417" w:type="dxa"/>
            <w:vMerge/>
          </w:tcPr>
          <w:p w14:paraId="23AF354F" w14:textId="77777777" w:rsidR="00454A29" w:rsidRDefault="00454A29"/>
        </w:tc>
        <w:tc>
          <w:tcPr>
            <w:tcW w:w="2204" w:type="dxa"/>
            <w:vMerge/>
          </w:tcPr>
          <w:p w14:paraId="139CE122" w14:textId="77777777" w:rsidR="00454A29" w:rsidRDefault="00454A29"/>
        </w:tc>
        <w:tc>
          <w:tcPr>
            <w:tcW w:w="1417" w:type="dxa"/>
            <w:vMerge/>
          </w:tcPr>
          <w:p w14:paraId="04758922" w14:textId="77777777" w:rsidR="00454A29" w:rsidRDefault="00454A29"/>
        </w:tc>
        <w:tc>
          <w:tcPr>
            <w:tcW w:w="2324" w:type="dxa"/>
            <w:vMerge/>
          </w:tcPr>
          <w:p w14:paraId="2C1A7E2C" w14:textId="77777777" w:rsidR="00454A29" w:rsidRDefault="00454A29"/>
        </w:tc>
        <w:tc>
          <w:tcPr>
            <w:tcW w:w="1701" w:type="dxa"/>
            <w:vAlign w:val="center"/>
          </w:tcPr>
          <w:p w14:paraId="0F6726E5" w14:textId="77777777" w:rsidR="00454A29" w:rsidRDefault="00454A29">
            <w:pPr>
              <w:pStyle w:val="ConsPlusNormal"/>
              <w:jc w:val="center"/>
            </w:pPr>
            <w:r>
              <w:t>162 419,41</w:t>
            </w:r>
          </w:p>
        </w:tc>
        <w:tc>
          <w:tcPr>
            <w:tcW w:w="1814" w:type="dxa"/>
            <w:vAlign w:val="center"/>
          </w:tcPr>
          <w:p w14:paraId="034BC88E" w14:textId="77777777" w:rsidR="00454A29" w:rsidRDefault="00454A29">
            <w:pPr>
              <w:pStyle w:val="ConsPlusNormal"/>
              <w:jc w:val="center"/>
            </w:pPr>
            <w:r>
              <w:t>81 166,73</w:t>
            </w:r>
          </w:p>
        </w:tc>
        <w:tc>
          <w:tcPr>
            <w:tcW w:w="1701" w:type="dxa"/>
            <w:vAlign w:val="center"/>
          </w:tcPr>
          <w:p w14:paraId="0D59AD41" w14:textId="77777777" w:rsidR="00454A29" w:rsidRDefault="00454A29">
            <w:pPr>
              <w:pStyle w:val="ConsPlusNormal"/>
              <w:jc w:val="center"/>
            </w:pPr>
            <w:r>
              <w:t>-</w:t>
            </w:r>
          </w:p>
        </w:tc>
        <w:tc>
          <w:tcPr>
            <w:tcW w:w="1701" w:type="dxa"/>
            <w:vAlign w:val="center"/>
          </w:tcPr>
          <w:p w14:paraId="44585CE6" w14:textId="77777777" w:rsidR="00454A29" w:rsidRDefault="00454A29">
            <w:pPr>
              <w:pStyle w:val="ConsPlusNormal"/>
              <w:jc w:val="center"/>
            </w:pPr>
            <w:r>
              <w:t>81 252,69</w:t>
            </w:r>
          </w:p>
        </w:tc>
        <w:tc>
          <w:tcPr>
            <w:tcW w:w="1814" w:type="dxa"/>
            <w:vAlign w:val="center"/>
          </w:tcPr>
          <w:p w14:paraId="0CF0BC93" w14:textId="77777777" w:rsidR="00454A29" w:rsidRDefault="00454A29">
            <w:pPr>
              <w:pStyle w:val="ConsPlusNormal"/>
              <w:jc w:val="center"/>
            </w:pPr>
            <w:r>
              <w:t>-</w:t>
            </w:r>
          </w:p>
        </w:tc>
      </w:tr>
      <w:tr w:rsidR="00454A29" w14:paraId="57F9A19D" w14:textId="77777777">
        <w:tc>
          <w:tcPr>
            <w:tcW w:w="567" w:type="dxa"/>
            <w:vMerge/>
          </w:tcPr>
          <w:p w14:paraId="45014561" w14:textId="77777777" w:rsidR="00454A29" w:rsidRDefault="00454A29"/>
        </w:tc>
        <w:tc>
          <w:tcPr>
            <w:tcW w:w="3345" w:type="dxa"/>
            <w:vMerge/>
          </w:tcPr>
          <w:p w14:paraId="5CCF6457" w14:textId="77777777" w:rsidR="00454A29" w:rsidRDefault="00454A29"/>
        </w:tc>
        <w:tc>
          <w:tcPr>
            <w:tcW w:w="1701" w:type="dxa"/>
            <w:vAlign w:val="center"/>
          </w:tcPr>
          <w:p w14:paraId="1B495019" w14:textId="77777777" w:rsidR="00454A29" w:rsidRDefault="00454A29">
            <w:pPr>
              <w:pStyle w:val="ConsPlusNormal"/>
              <w:jc w:val="center"/>
            </w:pPr>
            <w:r>
              <w:t>2024</w:t>
            </w:r>
          </w:p>
        </w:tc>
        <w:tc>
          <w:tcPr>
            <w:tcW w:w="1417" w:type="dxa"/>
            <w:vMerge/>
          </w:tcPr>
          <w:p w14:paraId="66929789" w14:textId="77777777" w:rsidR="00454A29" w:rsidRDefault="00454A29"/>
        </w:tc>
        <w:tc>
          <w:tcPr>
            <w:tcW w:w="2204" w:type="dxa"/>
            <w:vMerge/>
          </w:tcPr>
          <w:p w14:paraId="20CC5569" w14:textId="77777777" w:rsidR="00454A29" w:rsidRDefault="00454A29"/>
        </w:tc>
        <w:tc>
          <w:tcPr>
            <w:tcW w:w="1417" w:type="dxa"/>
            <w:vMerge/>
          </w:tcPr>
          <w:p w14:paraId="59F57389" w14:textId="77777777" w:rsidR="00454A29" w:rsidRDefault="00454A29"/>
        </w:tc>
        <w:tc>
          <w:tcPr>
            <w:tcW w:w="2324" w:type="dxa"/>
            <w:vMerge/>
          </w:tcPr>
          <w:p w14:paraId="385E392B" w14:textId="77777777" w:rsidR="00454A29" w:rsidRDefault="00454A29"/>
        </w:tc>
        <w:tc>
          <w:tcPr>
            <w:tcW w:w="1701" w:type="dxa"/>
            <w:vAlign w:val="center"/>
          </w:tcPr>
          <w:p w14:paraId="11C3FDC4" w14:textId="77777777" w:rsidR="00454A29" w:rsidRDefault="00454A29">
            <w:pPr>
              <w:pStyle w:val="ConsPlusNormal"/>
              <w:jc w:val="center"/>
            </w:pPr>
            <w:r>
              <w:t>213 323,76</w:t>
            </w:r>
          </w:p>
        </w:tc>
        <w:tc>
          <w:tcPr>
            <w:tcW w:w="1814" w:type="dxa"/>
            <w:vAlign w:val="center"/>
          </w:tcPr>
          <w:p w14:paraId="26EB0532" w14:textId="77777777" w:rsidR="00454A29" w:rsidRDefault="00454A29">
            <w:pPr>
              <w:pStyle w:val="ConsPlusNormal"/>
              <w:jc w:val="center"/>
            </w:pPr>
            <w:r>
              <w:t>126 867,61</w:t>
            </w:r>
          </w:p>
        </w:tc>
        <w:tc>
          <w:tcPr>
            <w:tcW w:w="1701" w:type="dxa"/>
            <w:vAlign w:val="center"/>
          </w:tcPr>
          <w:p w14:paraId="21332376" w14:textId="77777777" w:rsidR="00454A29" w:rsidRDefault="00454A29">
            <w:pPr>
              <w:pStyle w:val="ConsPlusNormal"/>
              <w:jc w:val="center"/>
            </w:pPr>
            <w:r>
              <w:t>-</w:t>
            </w:r>
          </w:p>
        </w:tc>
        <w:tc>
          <w:tcPr>
            <w:tcW w:w="1701" w:type="dxa"/>
            <w:vAlign w:val="center"/>
          </w:tcPr>
          <w:p w14:paraId="41E4269B" w14:textId="77777777" w:rsidR="00454A29" w:rsidRDefault="00454A29">
            <w:pPr>
              <w:pStyle w:val="ConsPlusNormal"/>
              <w:jc w:val="center"/>
            </w:pPr>
            <w:r>
              <w:t>86 456,15</w:t>
            </w:r>
          </w:p>
        </w:tc>
        <w:tc>
          <w:tcPr>
            <w:tcW w:w="1814" w:type="dxa"/>
            <w:vAlign w:val="center"/>
          </w:tcPr>
          <w:p w14:paraId="68A9DFBF" w14:textId="77777777" w:rsidR="00454A29" w:rsidRDefault="00454A29">
            <w:pPr>
              <w:pStyle w:val="ConsPlusNormal"/>
              <w:jc w:val="center"/>
            </w:pPr>
            <w:r>
              <w:t>-</w:t>
            </w:r>
          </w:p>
        </w:tc>
      </w:tr>
      <w:tr w:rsidR="00454A29" w14:paraId="161AB08F" w14:textId="77777777">
        <w:tc>
          <w:tcPr>
            <w:tcW w:w="567" w:type="dxa"/>
            <w:vMerge/>
          </w:tcPr>
          <w:p w14:paraId="1EB9EE36" w14:textId="77777777" w:rsidR="00454A29" w:rsidRDefault="00454A29"/>
        </w:tc>
        <w:tc>
          <w:tcPr>
            <w:tcW w:w="3345" w:type="dxa"/>
            <w:vMerge/>
          </w:tcPr>
          <w:p w14:paraId="5DF44FDA" w14:textId="77777777" w:rsidR="00454A29" w:rsidRDefault="00454A29"/>
        </w:tc>
        <w:tc>
          <w:tcPr>
            <w:tcW w:w="1701" w:type="dxa"/>
            <w:vAlign w:val="center"/>
          </w:tcPr>
          <w:p w14:paraId="00A84DEB" w14:textId="77777777" w:rsidR="00454A29" w:rsidRDefault="00454A29">
            <w:pPr>
              <w:pStyle w:val="ConsPlusNormal"/>
              <w:jc w:val="center"/>
            </w:pPr>
            <w:r>
              <w:t>2025</w:t>
            </w:r>
          </w:p>
        </w:tc>
        <w:tc>
          <w:tcPr>
            <w:tcW w:w="1417" w:type="dxa"/>
            <w:vMerge/>
          </w:tcPr>
          <w:p w14:paraId="53C1DD2D" w14:textId="77777777" w:rsidR="00454A29" w:rsidRDefault="00454A29"/>
        </w:tc>
        <w:tc>
          <w:tcPr>
            <w:tcW w:w="2204" w:type="dxa"/>
            <w:vMerge/>
          </w:tcPr>
          <w:p w14:paraId="4F4EF904" w14:textId="77777777" w:rsidR="00454A29" w:rsidRDefault="00454A29"/>
        </w:tc>
        <w:tc>
          <w:tcPr>
            <w:tcW w:w="1417" w:type="dxa"/>
            <w:vMerge/>
          </w:tcPr>
          <w:p w14:paraId="23B3E273" w14:textId="77777777" w:rsidR="00454A29" w:rsidRDefault="00454A29"/>
        </w:tc>
        <w:tc>
          <w:tcPr>
            <w:tcW w:w="2324" w:type="dxa"/>
            <w:vMerge/>
          </w:tcPr>
          <w:p w14:paraId="47032101" w14:textId="77777777" w:rsidR="00454A29" w:rsidRDefault="00454A29"/>
        </w:tc>
        <w:tc>
          <w:tcPr>
            <w:tcW w:w="1701" w:type="dxa"/>
            <w:vAlign w:val="center"/>
          </w:tcPr>
          <w:p w14:paraId="5E160B4A" w14:textId="77777777" w:rsidR="00454A29" w:rsidRDefault="00454A29">
            <w:pPr>
              <w:pStyle w:val="ConsPlusNormal"/>
              <w:jc w:val="center"/>
            </w:pPr>
            <w:r>
              <w:t>370 078,57</w:t>
            </w:r>
          </w:p>
        </w:tc>
        <w:tc>
          <w:tcPr>
            <w:tcW w:w="1814" w:type="dxa"/>
            <w:vAlign w:val="center"/>
          </w:tcPr>
          <w:p w14:paraId="0EBBED41" w14:textId="77777777" w:rsidR="00454A29" w:rsidRDefault="00454A29">
            <w:pPr>
              <w:pStyle w:val="ConsPlusNormal"/>
              <w:jc w:val="center"/>
            </w:pPr>
            <w:r>
              <w:t>277 999,13</w:t>
            </w:r>
          </w:p>
        </w:tc>
        <w:tc>
          <w:tcPr>
            <w:tcW w:w="1701" w:type="dxa"/>
            <w:vAlign w:val="center"/>
          </w:tcPr>
          <w:p w14:paraId="5A898225" w14:textId="77777777" w:rsidR="00454A29" w:rsidRDefault="00454A29">
            <w:pPr>
              <w:pStyle w:val="ConsPlusNormal"/>
              <w:jc w:val="center"/>
            </w:pPr>
            <w:r>
              <w:t>-</w:t>
            </w:r>
          </w:p>
        </w:tc>
        <w:tc>
          <w:tcPr>
            <w:tcW w:w="1701" w:type="dxa"/>
            <w:vAlign w:val="center"/>
          </w:tcPr>
          <w:p w14:paraId="6852B3BC" w14:textId="77777777" w:rsidR="00454A29" w:rsidRDefault="00454A29">
            <w:pPr>
              <w:pStyle w:val="ConsPlusNormal"/>
              <w:jc w:val="center"/>
            </w:pPr>
            <w:r>
              <w:t>92 079,44</w:t>
            </w:r>
          </w:p>
        </w:tc>
        <w:tc>
          <w:tcPr>
            <w:tcW w:w="1814" w:type="dxa"/>
            <w:vAlign w:val="center"/>
          </w:tcPr>
          <w:p w14:paraId="47C61B86" w14:textId="77777777" w:rsidR="00454A29" w:rsidRDefault="00454A29">
            <w:pPr>
              <w:pStyle w:val="ConsPlusNormal"/>
              <w:jc w:val="center"/>
            </w:pPr>
            <w:r>
              <w:t>-</w:t>
            </w:r>
          </w:p>
        </w:tc>
      </w:tr>
      <w:tr w:rsidR="00454A29" w14:paraId="5B178632" w14:textId="77777777">
        <w:tc>
          <w:tcPr>
            <w:tcW w:w="567" w:type="dxa"/>
            <w:vMerge/>
          </w:tcPr>
          <w:p w14:paraId="18F41F5D" w14:textId="77777777" w:rsidR="00454A29" w:rsidRDefault="00454A29"/>
        </w:tc>
        <w:tc>
          <w:tcPr>
            <w:tcW w:w="3345" w:type="dxa"/>
            <w:vMerge/>
          </w:tcPr>
          <w:p w14:paraId="6863FC36" w14:textId="77777777" w:rsidR="00454A29" w:rsidRDefault="00454A29"/>
        </w:tc>
        <w:tc>
          <w:tcPr>
            <w:tcW w:w="1701" w:type="dxa"/>
            <w:vAlign w:val="center"/>
          </w:tcPr>
          <w:p w14:paraId="5ECFA41E" w14:textId="77777777" w:rsidR="00454A29" w:rsidRDefault="00454A29">
            <w:pPr>
              <w:pStyle w:val="ConsPlusNormal"/>
              <w:jc w:val="center"/>
            </w:pPr>
            <w:r>
              <w:t>2026</w:t>
            </w:r>
          </w:p>
        </w:tc>
        <w:tc>
          <w:tcPr>
            <w:tcW w:w="1417" w:type="dxa"/>
            <w:vMerge/>
          </w:tcPr>
          <w:p w14:paraId="5ED80071" w14:textId="77777777" w:rsidR="00454A29" w:rsidRDefault="00454A29"/>
        </w:tc>
        <w:tc>
          <w:tcPr>
            <w:tcW w:w="2204" w:type="dxa"/>
            <w:vMerge/>
          </w:tcPr>
          <w:p w14:paraId="1F95DE52" w14:textId="77777777" w:rsidR="00454A29" w:rsidRDefault="00454A29"/>
        </w:tc>
        <w:tc>
          <w:tcPr>
            <w:tcW w:w="1417" w:type="dxa"/>
            <w:vMerge/>
          </w:tcPr>
          <w:p w14:paraId="537EBF83" w14:textId="77777777" w:rsidR="00454A29" w:rsidRDefault="00454A29"/>
        </w:tc>
        <w:tc>
          <w:tcPr>
            <w:tcW w:w="2324" w:type="dxa"/>
            <w:vMerge/>
          </w:tcPr>
          <w:p w14:paraId="4085E89F" w14:textId="77777777" w:rsidR="00454A29" w:rsidRDefault="00454A29"/>
        </w:tc>
        <w:tc>
          <w:tcPr>
            <w:tcW w:w="1701" w:type="dxa"/>
            <w:vAlign w:val="center"/>
          </w:tcPr>
          <w:p w14:paraId="6C39E20B" w14:textId="77777777" w:rsidR="00454A29" w:rsidRDefault="00454A29">
            <w:pPr>
              <w:pStyle w:val="ConsPlusNormal"/>
              <w:jc w:val="center"/>
            </w:pPr>
            <w:r>
              <w:t>411 923,59</w:t>
            </w:r>
          </w:p>
        </w:tc>
        <w:tc>
          <w:tcPr>
            <w:tcW w:w="1814" w:type="dxa"/>
            <w:vAlign w:val="center"/>
          </w:tcPr>
          <w:p w14:paraId="03A1A860" w14:textId="77777777" w:rsidR="00454A29" w:rsidRDefault="00454A29">
            <w:pPr>
              <w:pStyle w:val="ConsPlusNormal"/>
              <w:jc w:val="center"/>
            </w:pPr>
            <w:r>
              <w:t>313 755,90</w:t>
            </w:r>
          </w:p>
        </w:tc>
        <w:tc>
          <w:tcPr>
            <w:tcW w:w="1701" w:type="dxa"/>
            <w:vAlign w:val="center"/>
          </w:tcPr>
          <w:p w14:paraId="6BC51F66" w14:textId="77777777" w:rsidR="00454A29" w:rsidRDefault="00454A29">
            <w:pPr>
              <w:pStyle w:val="ConsPlusNormal"/>
              <w:jc w:val="center"/>
            </w:pPr>
            <w:r>
              <w:t>-</w:t>
            </w:r>
          </w:p>
        </w:tc>
        <w:tc>
          <w:tcPr>
            <w:tcW w:w="1701" w:type="dxa"/>
            <w:vAlign w:val="center"/>
          </w:tcPr>
          <w:p w14:paraId="04527290" w14:textId="77777777" w:rsidR="00454A29" w:rsidRDefault="00454A29">
            <w:pPr>
              <w:pStyle w:val="ConsPlusNormal"/>
              <w:jc w:val="center"/>
            </w:pPr>
            <w:r>
              <w:t>98 167,69</w:t>
            </w:r>
          </w:p>
        </w:tc>
        <w:tc>
          <w:tcPr>
            <w:tcW w:w="1814" w:type="dxa"/>
            <w:vAlign w:val="center"/>
          </w:tcPr>
          <w:p w14:paraId="6A019E01" w14:textId="77777777" w:rsidR="00454A29" w:rsidRDefault="00454A29">
            <w:pPr>
              <w:pStyle w:val="ConsPlusNormal"/>
              <w:jc w:val="center"/>
            </w:pPr>
            <w:r>
              <w:t>-</w:t>
            </w:r>
          </w:p>
        </w:tc>
      </w:tr>
      <w:tr w:rsidR="00454A29" w14:paraId="5FD7C646" w14:textId="77777777">
        <w:tc>
          <w:tcPr>
            <w:tcW w:w="567" w:type="dxa"/>
            <w:vMerge w:val="restart"/>
            <w:vAlign w:val="center"/>
          </w:tcPr>
          <w:p w14:paraId="30841357" w14:textId="77777777" w:rsidR="00454A29" w:rsidRDefault="00454A29">
            <w:pPr>
              <w:pStyle w:val="ConsPlusNormal"/>
              <w:jc w:val="center"/>
            </w:pPr>
            <w:r>
              <w:t>72</w:t>
            </w:r>
          </w:p>
        </w:tc>
        <w:tc>
          <w:tcPr>
            <w:tcW w:w="3345" w:type="dxa"/>
            <w:vMerge w:val="restart"/>
            <w:vAlign w:val="center"/>
          </w:tcPr>
          <w:p w14:paraId="55E6CF04" w14:textId="77777777" w:rsidR="00454A29" w:rsidRDefault="00454A29">
            <w:pPr>
              <w:pStyle w:val="ConsPlusNormal"/>
              <w:jc w:val="center"/>
            </w:pPr>
            <w:r>
              <w:t>Детский сад в 203 мкр. (Д-1) города Якутска</w:t>
            </w:r>
          </w:p>
        </w:tc>
        <w:tc>
          <w:tcPr>
            <w:tcW w:w="1701" w:type="dxa"/>
            <w:vAlign w:val="center"/>
          </w:tcPr>
          <w:p w14:paraId="12A0A133" w14:textId="77777777" w:rsidR="00454A29" w:rsidRDefault="00454A29">
            <w:pPr>
              <w:pStyle w:val="ConsPlusNormal"/>
              <w:jc w:val="center"/>
            </w:pPr>
            <w:r>
              <w:t>2016 - 2025 годы - всего</w:t>
            </w:r>
          </w:p>
        </w:tc>
        <w:tc>
          <w:tcPr>
            <w:tcW w:w="1417" w:type="dxa"/>
            <w:vMerge w:val="restart"/>
            <w:vAlign w:val="center"/>
          </w:tcPr>
          <w:p w14:paraId="3754E5B7" w14:textId="77777777" w:rsidR="00454A29" w:rsidRDefault="00454A29">
            <w:pPr>
              <w:pStyle w:val="ConsPlusNormal"/>
              <w:jc w:val="center"/>
            </w:pPr>
            <w:r>
              <w:t>615 511,28</w:t>
            </w:r>
          </w:p>
        </w:tc>
        <w:tc>
          <w:tcPr>
            <w:tcW w:w="2204" w:type="dxa"/>
            <w:vMerge w:val="restart"/>
            <w:vAlign w:val="center"/>
          </w:tcPr>
          <w:p w14:paraId="4EFD5C32" w14:textId="77777777" w:rsidR="00454A29" w:rsidRDefault="00454A29">
            <w:pPr>
              <w:pStyle w:val="ConsPlusNormal"/>
              <w:jc w:val="center"/>
            </w:pPr>
            <w:r>
              <w:t>имеется</w:t>
            </w:r>
          </w:p>
        </w:tc>
        <w:tc>
          <w:tcPr>
            <w:tcW w:w="1417" w:type="dxa"/>
            <w:vMerge w:val="restart"/>
            <w:vAlign w:val="center"/>
          </w:tcPr>
          <w:p w14:paraId="68C6C546" w14:textId="77777777" w:rsidR="00454A29" w:rsidRDefault="00454A29">
            <w:pPr>
              <w:pStyle w:val="ConsPlusNormal"/>
              <w:jc w:val="center"/>
            </w:pPr>
            <w:r>
              <w:t>315</w:t>
            </w:r>
          </w:p>
        </w:tc>
        <w:tc>
          <w:tcPr>
            <w:tcW w:w="2324" w:type="dxa"/>
            <w:vMerge w:val="restart"/>
            <w:vAlign w:val="center"/>
          </w:tcPr>
          <w:p w14:paraId="2C8B09D7" w14:textId="77777777" w:rsidR="00454A29" w:rsidRDefault="00454A29">
            <w:pPr>
              <w:pStyle w:val="ConsPlusNormal"/>
              <w:jc w:val="center"/>
            </w:pPr>
            <w:r>
              <w:t>Минэкономики РС(Я), ГО "город Якутск"</w:t>
            </w:r>
          </w:p>
        </w:tc>
        <w:tc>
          <w:tcPr>
            <w:tcW w:w="1701" w:type="dxa"/>
            <w:vAlign w:val="center"/>
          </w:tcPr>
          <w:p w14:paraId="6D0536CC" w14:textId="77777777" w:rsidR="00454A29" w:rsidRDefault="00454A29">
            <w:pPr>
              <w:pStyle w:val="ConsPlusNormal"/>
              <w:jc w:val="center"/>
            </w:pPr>
            <w:r>
              <w:t>1 068 832,65</w:t>
            </w:r>
          </w:p>
        </w:tc>
        <w:tc>
          <w:tcPr>
            <w:tcW w:w="1814" w:type="dxa"/>
            <w:vAlign w:val="center"/>
          </w:tcPr>
          <w:p w14:paraId="7C142B10" w14:textId="77777777" w:rsidR="00454A29" w:rsidRDefault="00454A29">
            <w:pPr>
              <w:pStyle w:val="ConsPlusNormal"/>
              <w:jc w:val="center"/>
            </w:pPr>
            <w:r>
              <w:t>435 084,95</w:t>
            </w:r>
          </w:p>
        </w:tc>
        <w:tc>
          <w:tcPr>
            <w:tcW w:w="1701" w:type="dxa"/>
            <w:vAlign w:val="center"/>
          </w:tcPr>
          <w:p w14:paraId="2CC507DD" w14:textId="77777777" w:rsidR="00454A29" w:rsidRDefault="00454A29">
            <w:pPr>
              <w:pStyle w:val="ConsPlusNormal"/>
              <w:jc w:val="center"/>
            </w:pPr>
            <w:r>
              <w:t>-</w:t>
            </w:r>
          </w:p>
        </w:tc>
        <w:tc>
          <w:tcPr>
            <w:tcW w:w="1701" w:type="dxa"/>
            <w:vAlign w:val="center"/>
          </w:tcPr>
          <w:p w14:paraId="1DCB774A" w14:textId="77777777" w:rsidR="00454A29" w:rsidRDefault="00454A29">
            <w:pPr>
              <w:pStyle w:val="ConsPlusNormal"/>
              <w:jc w:val="center"/>
            </w:pPr>
            <w:r>
              <w:t>191 261,92</w:t>
            </w:r>
          </w:p>
        </w:tc>
        <w:tc>
          <w:tcPr>
            <w:tcW w:w="1814" w:type="dxa"/>
            <w:vAlign w:val="center"/>
          </w:tcPr>
          <w:p w14:paraId="21AC08BC" w14:textId="77777777" w:rsidR="00454A29" w:rsidRDefault="00454A29">
            <w:pPr>
              <w:pStyle w:val="ConsPlusNormal"/>
              <w:jc w:val="center"/>
            </w:pPr>
            <w:r>
              <w:t>442 485,79</w:t>
            </w:r>
          </w:p>
        </w:tc>
      </w:tr>
      <w:tr w:rsidR="00454A29" w14:paraId="193E79D4" w14:textId="77777777">
        <w:tc>
          <w:tcPr>
            <w:tcW w:w="567" w:type="dxa"/>
            <w:vMerge/>
          </w:tcPr>
          <w:p w14:paraId="73DE4B2F" w14:textId="77777777" w:rsidR="00454A29" w:rsidRDefault="00454A29"/>
        </w:tc>
        <w:tc>
          <w:tcPr>
            <w:tcW w:w="3345" w:type="dxa"/>
            <w:vMerge/>
          </w:tcPr>
          <w:p w14:paraId="31F74F86" w14:textId="77777777" w:rsidR="00454A29" w:rsidRDefault="00454A29"/>
        </w:tc>
        <w:tc>
          <w:tcPr>
            <w:tcW w:w="1701" w:type="dxa"/>
            <w:vAlign w:val="center"/>
          </w:tcPr>
          <w:p w14:paraId="77B28E7C" w14:textId="77777777" w:rsidR="00454A29" w:rsidRDefault="00454A29">
            <w:pPr>
              <w:pStyle w:val="ConsPlusNormal"/>
              <w:jc w:val="center"/>
            </w:pPr>
            <w:r>
              <w:t>2016</w:t>
            </w:r>
          </w:p>
        </w:tc>
        <w:tc>
          <w:tcPr>
            <w:tcW w:w="1417" w:type="dxa"/>
            <w:vMerge/>
          </w:tcPr>
          <w:p w14:paraId="18111DD7" w14:textId="77777777" w:rsidR="00454A29" w:rsidRDefault="00454A29"/>
        </w:tc>
        <w:tc>
          <w:tcPr>
            <w:tcW w:w="2204" w:type="dxa"/>
            <w:vMerge/>
          </w:tcPr>
          <w:p w14:paraId="63B27F12" w14:textId="77777777" w:rsidR="00454A29" w:rsidRDefault="00454A29"/>
        </w:tc>
        <w:tc>
          <w:tcPr>
            <w:tcW w:w="1417" w:type="dxa"/>
            <w:vMerge/>
          </w:tcPr>
          <w:p w14:paraId="51C1B7B2" w14:textId="77777777" w:rsidR="00454A29" w:rsidRDefault="00454A29"/>
        </w:tc>
        <w:tc>
          <w:tcPr>
            <w:tcW w:w="2324" w:type="dxa"/>
            <w:vMerge/>
          </w:tcPr>
          <w:p w14:paraId="0FB0FF8F" w14:textId="77777777" w:rsidR="00454A29" w:rsidRDefault="00454A29"/>
        </w:tc>
        <w:tc>
          <w:tcPr>
            <w:tcW w:w="1701" w:type="dxa"/>
            <w:vAlign w:val="center"/>
          </w:tcPr>
          <w:p w14:paraId="1448C6E7" w14:textId="77777777" w:rsidR="00454A29" w:rsidRDefault="00454A29">
            <w:pPr>
              <w:pStyle w:val="ConsPlusNormal"/>
              <w:jc w:val="center"/>
            </w:pPr>
            <w:r>
              <w:t>350 777,49</w:t>
            </w:r>
          </w:p>
        </w:tc>
        <w:tc>
          <w:tcPr>
            <w:tcW w:w="1814" w:type="dxa"/>
            <w:vAlign w:val="center"/>
          </w:tcPr>
          <w:p w14:paraId="47033700" w14:textId="77777777" w:rsidR="00454A29" w:rsidRDefault="00454A29">
            <w:pPr>
              <w:pStyle w:val="ConsPlusNormal"/>
              <w:jc w:val="center"/>
            </w:pPr>
            <w:r>
              <w:t>13 088,73</w:t>
            </w:r>
          </w:p>
        </w:tc>
        <w:tc>
          <w:tcPr>
            <w:tcW w:w="1701" w:type="dxa"/>
            <w:vAlign w:val="center"/>
          </w:tcPr>
          <w:p w14:paraId="6161E5D9" w14:textId="77777777" w:rsidR="00454A29" w:rsidRDefault="00454A29">
            <w:pPr>
              <w:pStyle w:val="ConsPlusNormal"/>
            </w:pPr>
          </w:p>
        </w:tc>
        <w:tc>
          <w:tcPr>
            <w:tcW w:w="1701" w:type="dxa"/>
            <w:vAlign w:val="center"/>
          </w:tcPr>
          <w:p w14:paraId="03BB906D" w14:textId="77777777" w:rsidR="00454A29" w:rsidRDefault="00454A29">
            <w:pPr>
              <w:pStyle w:val="ConsPlusNormal"/>
              <w:jc w:val="center"/>
            </w:pPr>
            <w:r>
              <w:t>2 417,00</w:t>
            </w:r>
          </w:p>
        </w:tc>
        <w:tc>
          <w:tcPr>
            <w:tcW w:w="1814" w:type="dxa"/>
            <w:vAlign w:val="center"/>
          </w:tcPr>
          <w:p w14:paraId="4DA049DD" w14:textId="77777777" w:rsidR="00454A29" w:rsidRDefault="00454A29">
            <w:pPr>
              <w:pStyle w:val="ConsPlusNormal"/>
              <w:jc w:val="center"/>
            </w:pPr>
            <w:r>
              <w:t>335 271,76</w:t>
            </w:r>
          </w:p>
        </w:tc>
      </w:tr>
      <w:tr w:rsidR="00454A29" w14:paraId="67C709FE" w14:textId="77777777">
        <w:tc>
          <w:tcPr>
            <w:tcW w:w="567" w:type="dxa"/>
            <w:vMerge/>
          </w:tcPr>
          <w:p w14:paraId="0CD48BFE" w14:textId="77777777" w:rsidR="00454A29" w:rsidRDefault="00454A29"/>
        </w:tc>
        <w:tc>
          <w:tcPr>
            <w:tcW w:w="3345" w:type="dxa"/>
            <w:vMerge/>
          </w:tcPr>
          <w:p w14:paraId="510B37CF" w14:textId="77777777" w:rsidR="00454A29" w:rsidRDefault="00454A29"/>
        </w:tc>
        <w:tc>
          <w:tcPr>
            <w:tcW w:w="1701" w:type="dxa"/>
            <w:vAlign w:val="center"/>
          </w:tcPr>
          <w:p w14:paraId="3668E44E" w14:textId="77777777" w:rsidR="00454A29" w:rsidRDefault="00454A29">
            <w:pPr>
              <w:pStyle w:val="ConsPlusNormal"/>
              <w:jc w:val="center"/>
            </w:pPr>
            <w:r>
              <w:t>2017</w:t>
            </w:r>
          </w:p>
        </w:tc>
        <w:tc>
          <w:tcPr>
            <w:tcW w:w="1417" w:type="dxa"/>
            <w:vMerge/>
          </w:tcPr>
          <w:p w14:paraId="710B5196" w14:textId="77777777" w:rsidR="00454A29" w:rsidRDefault="00454A29"/>
        </w:tc>
        <w:tc>
          <w:tcPr>
            <w:tcW w:w="2204" w:type="dxa"/>
            <w:vMerge/>
          </w:tcPr>
          <w:p w14:paraId="5A45CBBF" w14:textId="77777777" w:rsidR="00454A29" w:rsidRDefault="00454A29"/>
        </w:tc>
        <w:tc>
          <w:tcPr>
            <w:tcW w:w="1417" w:type="dxa"/>
            <w:vMerge/>
          </w:tcPr>
          <w:p w14:paraId="42A639B9" w14:textId="77777777" w:rsidR="00454A29" w:rsidRDefault="00454A29"/>
        </w:tc>
        <w:tc>
          <w:tcPr>
            <w:tcW w:w="2324" w:type="dxa"/>
            <w:vMerge/>
          </w:tcPr>
          <w:p w14:paraId="7E015827" w14:textId="77777777" w:rsidR="00454A29" w:rsidRDefault="00454A29"/>
        </w:tc>
        <w:tc>
          <w:tcPr>
            <w:tcW w:w="1701" w:type="dxa"/>
            <w:vAlign w:val="center"/>
          </w:tcPr>
          <w:p w14:paraId="149FCA3B" w14:textId="77777777" w:rsidR="00454A29" w:rsidRDefault="00454A29">
            <w:pPr>
              <w:pStyle w:val="ConsPlusNormal"/>
              <w:jc w:val="center"/>
            </w:pPr>
            <w:r>
              <w:t>161 703,51</w:t>
            </w:r>
          </w:p>
        </w:tc>
        <w:tc>
          <w:tcPr>
            <w:tcW w:w="1814" w:type="dxa"/>
            <w:vAlign w:val="center"/>
          </w:tcPr>
          <w:p w14:paraId="511DE8DD" w14:textId="77777777" w:rsidR="00454A29" w:rsidRDefault="00454A29">
            <w:pPr>
              <w:pStyle w:val="ConsPlusNormal"/>
              <w:jc w:val="center"/>
            </w:pPr>
            <w:r>
              <w:t>45 995,79</w:t>
            </w:r>
          </w:p>
        </w:tc>
        <w:tc>
          <w:tcPr>
            <w:tcW w:w="1701" w:type="dxa"/>
            <w:vAlign w:val="center"/>
          </w:tcPr>
          <w:p w14:paraId="037B3F4E" w14:textId="77777777" w:rsidR="00454A29" w:rsidRDefault="00454A29">
            <w:pPr>
              <w:pStyle w:val="ConsPlusNormal"/>
            </w:pPr>
          </w:p>
        </w:tc>
        <w:tc>
          <w:tcPr>
            <w:tcW w:w="1701" w:type="dxa"/>
            <w:vAlign w:val="center"/>
          </w:tcPr>
          <w:p w14:paraId="2A383EB9" w14:textId="77777777" w:rsidR="00454A29" w:rsidRDefault="00454A29">
            <w:pPr>
              <w:pStyle w:val="ConsPlusNormal"/>
              <w:jc w:val="center"/>
            </w:pPr>
            <w:r>
              <w:t>8 493,69</w:t>
            </w:r>
          </w:p>
        </w:tc>
        <w:tc>
          <w:tcPr>
            <w:tcW w:w="1814" w:type="dxa"/>
            <w:vAlign w:val="center"/>
          </w:tcPr>
          <w:p w14:paraId="4ACAF934" w14:textId="77777777" w:rsidR="00454A29" w:rsidRDefault="00454A29">
            <w:pPr>
              <w:pStyle w:val="ConsPlusNormal"/>
              <w:jc w:val="center"/>
            </w:pPr>
            <w:r>
              <w:t>107 214,03</w:t>
            </w:r>
          </w:p>
        </w:tc>
      </w:tr>
      <w:tr w:rsidR="00454A29" w14:paraId="2FDB5E26" w14:textId="77777777">
        <w:tc>
          <w:tcPr>
            <w:tcW w:w="567" w:type="dxa"/>
            <w:vMerge/>
          </w:tcPr>
          <w:p w14:paraId="59D747C3" w14:textId="77777777" w:rsidR="00454A29" w:rsidRDefault="00454A29"/>
        </w:tc>
        <w:tc>
          <w:tcPr>
            <w:tcW w:w="3345" w:type="dxa"/>
            <w:vMerge/>
          </w:tcPr>
          <w:p w14:paraId="32E8F2A9" w14:textId="77777777" w:rsidR="00454A29" w:rsidRDefault="00454A29"/>
        </w:tc>
        <w:tc>
          <w:tcPr>
            <w:tcW w:w="1701" w:type="dxa"/>
            <w:vAlign w:val="center"/>
          </w:tcPr>
          <w:p w14:paraId="2DB209AC" w14:textId="77777777" w:rsidR="00454A29" w:rsidRDefault="00454A29">
            <w:pPr>
              <w:pStyle w:val="ConsPlusNormal"/>
              <w:jc w:val="center"/>
            </w:pPr>
            <w:r>
              <w:t>2018</w:t>
            </w:r>
          </w:p>
        </w:tc>
        <w:tc>
          <w:tcPr>
            <w:tcW w:w="1417" w:type="dxa"/>
            <w:vMerge/>
          </w:tcPr>
          <w:p w14:paraId="2229E1E1" w14:textId="77777777" w:rsidR="00454A29" w:rsidRDefault="00454A29"/>
        </w:tc>
        <w:tc>
          <w:tcPr>
            <w:tcW w:w="2204" w:type="dxa"/>
            <w:vMerge/>
          </w:tcPr>
          <w:p w14:paraId="3BCB38C6" w14:textId="77777777" w:rsidR="00454A29" w:rsidRDefault="00454A29"/>
        </w:tc>
        <w:tc>
          <w:tcPr>
            <w:tcW w:w="1417" w:type="dxa"/>
            <w:vMerge/>
          </w:tcPr>
          <w:p w14:paraId="7E4DDB11" w14:textId="77777777" w:rsidR="00454A29" w:rsidRDefault="00454A29"/>
        </w:tc>
        <w:tc>
          <w:tcPr>
            <w:tcW w:w="2324" w:type="dxa"/>
            <w:vMerge/>
          </w:tcPr>
          <w:p w14:paraId="0BDA24E6" w14:textId="77777777" w:rsidR="00454A29" w:rsidRDefault="00454A29"/>
        </w:tc>
        <w:tc>
          <w:tcPr>
            <w:tcW w:w="1701" w:type="dxa"/>
            <w:vAlign w:val="center"/>
          </w:tcPr>
          <w:p w14:paraId="4AC639A3" w14:textId="77777777" w:rsidR="00454A29" w:rsidRDefault="00454A29">
            <w:pPr>
              <w:pStyle w:val="ConsPlusNormal"/>
              <w:jc w:val="center"/>
            </w:pPr>
            <w:r>
              <w:t>137 290,80</w:t>
            </w:r>
          </w:p>
        </w:tc>
        <w:tc>
          <w:tcPr>
            <w:tcW w:w="1814" w:type="dxa"/>
            <w:vAlign w:val="center"/>
          </w:tcPr>
          <w:p w14:paraId="319DF0E4" w14:textId="77777777" w:rsidR="00454A29" w:rsidRDefault="00454A29">
            <w:pPr>
              <w:pStyle w:val="ConsPlusNormal"/>
              <w:jc w:val="center"/>
            </w:pPr>
            <w:r>
              <w:t>121 238,29</w:t>
            </w:r>
          </w:p>
        </w:tc>
        <w:tc>
          <w:tcPr>
            <w:tcW w:w="1701" w:type="dxa"/>
            <w:vAlign w:val="center"/>
          </w:tcPr>
          <w:p w14:paraId="132F2A08" w14:textId="77777777" w:rsidR="00454A29" w:rsidRDefault="00454A29">
            <w:pPr>
              <w:pStyle w:val="ConsPlusNormal"/>
            </w:pPr>
          </w:p>
        </w:tc>
        <w:tc>
          <w:tcPr>
            <w:tcW w:w="1701" w:type="dxa"/>
            <w:vAlign w:val="center"/>
          </w:tcPr>
          <w:p w14:paraId="136C2829" w14:textId="77777777" w:rsidR="00454A29" w:rsidRDefault="00454A29">
            <w:pPr>
              <w:pStyle w:val="ConsPlusNormal"/>
              <w:jc w:val="center"/>
            </w:pPr>
            <w:r>
              <w:t>16 052,51</w:t>
            </w:r>
          </w:p>
        </w:tc>
        <w:tc>
          <w:tcPr>
            <w:tcW w:w="1814" w:type="dxa"/>
            <w:vAlign w:val="center"/>
          </w:tcPr>
          <w:p w14:paraId="374D69AA" w14:textId="77777777" w:rsidR="00454A29" w:rsidRDefault="00454A29">
            <w:pPr>
              <w:pStyle w:val="ConsPlusNormal"/>
            </w:pPr>
          </w:p>
        </w:tc>
      </w:tr>
      <w:tr w:rsidR="00454A29" w14:paraId="46EEC0EB" w14:textId="77777777">
        <w:tc>
          <w:tcPr>
            <w:tcW w:w="567" w:type="dxa"/>
            <w:vMerge/>
          </w:tcPr>
          <w:p w14:paraId="0DB7A4E9" w14:textId="77777777" w:rsidR="00454A29" w:rsidRDefault="00454A29"/>
        </w:tc>
        <w:tc>
          <w:tcPr>
            <w:tcW w:w="3345" w:type="dxa"/>
            <w:vMerge/>
          </w:tcPr>
          <w:p w14:paraId="593E2E99" w14:textId="77777777" w:rsidR="00454A29" w:rsidRDefault="00454A29"/>
        </w:tc>
        <w:tc>
          <w:tcPr>
            <w:tcW w:w="1701" w:type="dxa"/>
            <w:vAlign w:val="center"/>
          </w:tcPr>
          <w:p w14:paraId="418E8703" w14:textId="77777777" w:rsidR="00454A29" w:rsidRDefault="00454A29">
            <w:pPr>
              <w:pStyle w:val="ConsPlusNormal"/>
              <w:jc w:val="center"/>
            </w:pPr>
            <w:r>
              <w:t>2019</w:t>
            </w:r>
          </w:p>
        </w:tc>
        <w:tc>
          <w:tcPr>
            <w:tcW w:w="1417" w:type="dxa"/>
            <w:vMerge/>
          </w:tcPr>
          <w:p w14:paraId="13DE595B" w14:textId="77777777" w:rsidR="00454A29" w:rsidRDefault="00454A29"/>
        </w:tc>
        <w:tc>
          <w:tcPr>
            <w:tcW w:w="2204" w:type="dxa"/>
            <w:vMerge/>
          </w:tcPr>
          <w:p w14:paraId="5416B4AD" w14:textId="77777777" w:rsidR="00454A29" w:rsidRDefault="00454A29"/>
        </w:tc>
        <w:tc>
          <w:tcPr>
            <w:tcW w:w="1417" w:type="dxa"/>
            <w:vMerge/>
          </w:tcPr>
          <w:p w14:paraId="061E28AB" w14:textId="77777777" w:rsidR="00454A29" w:rsidRDefault="00454A29"/>
        </w:tc>
        <w:tc>
          <w:tcPr>
            <w:tcW w:w="2324" w:type="dxa"/>
            <w:vMerge/>
          </w:tcPr>
          <w:p w14:paraId="4E0AD71A" w14:textId="77777777" w:rsidR="00454A29" w:rsidRDefault="00454A29"/>
        </w:tc>
        <w:tc>
          <w:tcPr>
            <w:tcW w:w="1701" w:type="dxa"/>
            <w:vAlign w:val="center"/>
          </w:tcPr>
          <w:p w14:paraId="10EAD604" w14:textId="77777777" w:rsidR="00454A29" w:rsidRDefault="00454A29">
            <w:pPr>
              <w:pStyle w:val="ConsPlusNormal"/>
              <w:jc w:val="center"/>
            </w:pPr>
            <w:r>
              <w:t>-</w:t>
            </w:r>
          </w:p>
        </w:tc>
        <w:tc>
          <w:tcPr>
            <w:tcW w:w="1814" w:type="dxa"/>
            <w:vAlign w:val="center"/>
          </w:tcPr>
          <w:p w14:paraId="1C211B91" w14:textId="77777777" w:rsidR="00454A29" w:rsidRDefault="00454A29">
            <w:pPr>
              <w:pStyle w:val="ConsPlusNormal"/>
              <w:jc w:val="center"/>
            </w:pPr>
            <w:r>
              <w:t>-</w:t>
            </w:r>
          </w:p>
        </w:tc>
        <w:tc>
          <w:tcPr>
            <w:tcW w:w="1701" w:type="dxa"/>
            <w:vAlign w:val="center"/>
          </w:tcPr>
          <w:p w14:paraId="3D2B416C" w14:textId="77777777" w:rsidR="00454A29" w:rsidRDefault="00454A29">
            <w:pPr>
              <w:pStyle w:val="ConsPlusNormal"/>
            </w:pPr>
          </w:p>
        </w:tc>
        <w:tc>
          <w:tcPr>
            <w:tcW w:w="1701" w:type="dxa"/>
            <w:vAlign w:val="center"/>
          </w:tcPr>
          <w:p w14:paraId="3F79AB78" w14:textId="77777777" w:rsidR="00454A29" w:rsidRDefault="00454A29">
            <w:pPr>
              <w:pStyle w:val="ConsPlusNormal"/>
              <w:jc w:val="center"/>
            </w:pPr>
            <w:r>
              <w:t>-</w:t>
            </w:r>
          </w:p>
        </w:tc>
        <w:tc>
          <w:tcPr>
            <w:tcW w:w="1814" w:type="dxa"/>
            <w:vAlign w:val="center"/>
          </w:tcPr>
          <w:p w14:paraId="39B3EF43" w14:textId="77777777" w:rsidR="00454A29" w:rsidRDefault="00454A29">
            <w:pPr>
              <w:pStyle w:val="ConsPlusNormal"/>
            </w:pPr>
          </w:p>
        </w:tc>
      </w:tr>
      <w:tr w:rsidR="00454A29" w14:paraId="47E328AD" w14:textId="77777777">
        <w:tc>
          <w:tcPr>
            <w:tcW w:w="567" w:type="dxa"/>
            <w:vMerge/>
          </w:tcPr>
          <w:p w14:paraId="506BE092" w14:textId="77777777" w:rsidR="00454A29" w:rsidRDefault="00454A29"/>
        </w:tc>
        <w:tc>
          <w:tcPr>
            <w:tcW w:w="3345" w:type="dxa"/>
            <w:vMerge/>
          </w:tcPr>
          <w:p w14:paraId="55931BC7" w14:textId="77777777" w:rsidR="00454A29" w:rsidRDefault="00454A29"/>
        </w:tc>
        <w:tc>
          <w:tcPr>
            <w:tcW w:w="1701" w:type="dxa"/>
            <w:vAlign w:val="center"/>
          </w:tcPr>
          <w:p w14:paraId="079D79DD" w14:textId="77777777" w:rsidR="00454A29" w:rsidRDefault="00454A29">
            <w:pPr>
              <w:pStyle w:val="ConsPlusNormal"/>
              <w:jc w:val="center"/>
            </w:pPr>
            <w:r>
              <w:t>2020</w:t>
            </w:r>
          </w:p>
        </w:tc>
        <w:tc>
          <w:tcPr>
            <w:tcW w:w="1417" w:type="dxa"/>
            <w:vMerge/>
          </w:tcPr>
          <w:p w14:paraId="3F58BB39" w14:textId="77777777" w:rsidR="00454A29" w:rsidRDefault="00454A29"/>
        </w:tc>
        <w:tc>
          <w:tcPr>
            <w:tcW w:w="2204" w:type="dxa"/>
            <w:vMerge/>
          </w:tcPr>
          <w:p w14:paraId="4A134C6D" w14:textId="77777777" w:rsidR="00454A29" w:rsidRDefault="00454A29"/>
        </w:tc>
        <w:tc>
          <w:tcPr>
            <w:tcW w:w="1417" w:type="dxa"/>
            <w:vMerge/>
          </w:tcPr>
          <w:p w14:paraId="6167DFD1" w14:textId="77777777" w:rsidR="00454A29" w:rsidRDefault="00454A29"/>
        </w:tc>
        <w:tc>
          <w:tcPr>
            <w:tcW w:w="2324" w:type="dxa"/>
            <w:vMerge/>
          </w:tcPr>
          <w:p w14:paraId="6902362E" w14:textId="77777777" w:rsidR="00454A29" w:rsidRDefault="00454A29"/>
        </w:tc>
        <w:tc>
          <w:tcPr>
            <w:tcW w:w="1701" w:type="dxa"/>
            <w:vAlign w:val="center"/>
          </w:tcPr>
          <w:p w14:paraId="14E57A13" w14:textId="77777777" w:rsidR="00454A29" w:rsidRDefault="00454A29">
            <w:pPr>
              <w:pStyle w:val="ConsPlusNormal"/>
              <w:jc w:val="center"/>
            </w:pPr>
            <w:r>
              <w:t>40 475,34</w:t>
            </w:r>
          </w:p>
        </w:tc>
        <w:tc>
          <w:tcPr>
            <w:tcW w:w="1814" w:type="dxa"/>
            <w:vAlign w:val="center"/>
          </w:tcPr>
          <w:p w14:paraId="4288EBF1" w14:textId="77777777" w:rsidR="00454A29" w:rsidRDefault="00454A29">
            <w:pPr>
              <w:pStyle w:val="ConsPlusNormal"/>
              <w:jc w:val="center"/>
            </w:pPr>
            <w:r>
              <w:t>22 399,62</w:t>
            </w:r>
          </w:p>
        </w:tc>
        <w:tc>
          <w:tcPr>
            <w:tcW w:w="1701" w:type="dxa"/>
            <w:vAlign w:val="center"/>
          </w:tcPr>
          <w:p w14:paraId="19D04981" w14:textId="77777777" w:rsidR="00454A29" w:rsidRDefault="00454A29">
            <w:pPr>
              <w:pStyle w:val="ConsPlusNormal"/>
            </w:pPr>
          </w:p>
        </w:tc>
        <w:tc>
          <w:tcPr>
            <w:tcW w:w="1701" w:type="dxa"/>
            <w:vAlign w:val="center"/>
          </w:tcPr>
          <w:p w14:paraId="66A0A23E" w14:textId="77777777" w:rsidR="00454A29" w:rsidRDefault="00454A29">
            <w:pPr>
              <w:pStyle w:val="ConsPlusNormal"/>
              <w:jc w:val="center"/>
            </w:pPr>
            <w:r>
              <w:t>18 075,71</w:t>
            </w:r>
          </w:p>
        </w:tc>
        <w:tc>
          <w:tcPr>
            <w:tcW w:w="1814" w:type="dxa"/>
            <w:vAlign w:val="center"/>
          </w:tcPr>
          <w:p w14:paraId="3B7D1032" w14:textId="77777777" w:rsidR="00454A29" w:rsidRDefault="00454A29">
            <w:pPr>
              <w:pStyle w:val="ConsPlusNormal"/>
            </w:pPr>
          </w:p>
        </w:tc>
      </w:tr>
      <w:tr w:rsidR="00454A29" w14:paraId="23FAC35D" w14:textId="77777777">
        <w:tc>
          <w:tcPr>
            <w:tcW w:w="567" w:type="dxa"/>
            <w:vMerge/>
          </w:tcPr>
          <w:p w14:paraId="709C5EDE" w14:textId="77777777" w:rsidR="00454A29" w:rsidRDefault="00454A29"/>
        </w:tc>
        <w:tc>
          <w:tcPr>
            <w:tcW w:w="3345" w:type="dxa"/>
            <w:vMerge/>
          </w:tcPr>
          <w:p w14:paraId="39F06BAD" w14:textId="77777777" w:rsidR="00454A29" w:rsidRDefault="00454A29"/>
        </w:tc>
        <w:tc>
          <w:tcPr>
            <w:tcW w:w="1701" w:type="dxa"/>
            <w:vAlign w:val="center"/>
          </w:tcPr>
          <w:p w14:paraId="575F9D98" w14:textId="77777777" w:rsidR="00454A29" w:rsidRDefault="00454A29">
            <w:pPr>
              <w:pStyle w:val="ConsPlusNormal"/>
              <w:jc w:val="center"/>
            </w:pPr>
            <w:r>
              <w:t>2021</w:t>
            </w:r>
          </w:p>
        </w:tc>
        <w:tc>
          <w:tcPr>
            <w:tcW w:w="1417" w:type="dxa"/>
            <w:vMerge/>
          </w:tcPr>
          <w:p w14:paraId="0A2DB095" w14:textId="77777777" w:rsidR="00454A29" w:rsidRDefault="00454A29"/>
        </w:tc>
        <w:tc>
          <w:tcPr>
            <w:tcW w:w="2204" w:type="dxa"/>
            <w:vMerge/>
          </w:tcPr>
          <w:p w14:paraId="15DBE7DF" w14:textId="77777777" w:rsidR="00454A29" w:rsidRDefault="00454A29"/>
        </w:tc>
        <w:tc>
          <w:tcPr>
            <w:tcW w:w="1417" w:type="dxa"/>
            <w:vMerge/>
          </w:tcPr>
          <w:p w14:paraId="305B2224" w14:textId="77777777" w:rsidR="00454A29" w:rsidRDefault="00454A29"/>
        </w:tc>
        <w:tc>
          <w:tcPr>
            <w:tcW w:w="2324" w:type="dxa"/>
            <w:vMerge/>
          </w:tcPr>
          <w:p w14:paraId="33398789" w14:textId="77777777" w:rsidR="00454A29" w:rsidRDefault="00454A29"/>
        </w:tc>
        <w:tc>
          <w:tcPr>
            <w:tcW w:w="1701" w:type="dxa"/>
            <w:vAlign w:val="center"/>
          </w:tcPr>
          <w:p w14:paraId="41115F0C" w14:textId="77777777" w:rsidR="00454A29" w:rsidRDefault="00454A29">
            <w:pPr>
              <w:pStyle w:val="ConsPlusNormal"/>
              <w:jc w:val="center"/>
            </w:pPr>
            <w:r>
              <w:t>45 527,98</w:t>
            </w:r>
          </w:p>
        </w:tc>
        <w:tc>
          <w:tcPr>
            <w:tcW w:w="1814" w:type="dxa"/>
            <w:vAlign w:val="center"/>
          </w:tcPr>
          <w:p w14:paraId="527825C0" w14:textId="77777777" w:rsidR="00454A29" w:rsidRDefault="00454A29">
            <w:pPr>
              <w:pStyle w:val="ConsPlusNormal"/>
              <w:jc w:val="center"/>
            </w:pPr>
            <w:r>
              <w:t>25 957,87</w:t>
            </w:r>
          </w:p>
        </w:tc>
        <w:tc>
          <w:tcPr>
            <w:tcW w:w="1701" w:type="dxa"/>
            <w:vAlign w:val="center"/>
          </w:tcPr>
          <w:p w14:paraId="664D2125" w14:textId="77777777" w:rsidR="00454A29" w:rsidRDefault="00454A29">
            <w:pPr>
              <w:pStyle w:val="ConsPlusNormal"/>
            </w:pPr>
          </w:p>
        </w:tc>
        <w:tc>
          <w:tcPr>
            <w:tcW w:w="1701" w:type="dxa"/>
            <w:vAlign w:val="center"/>
          </w:tcPr>
          <w:p w14:paraId="37FD85F2" w14:textId="77777777" w:rsidR="00454A29" w:rsidRDefault="00454A29">
            <w:pPr>
              <w:pStyle w:val="ConsPlusNormal"/>
              <w:jc w:val="center"/>
            </w:pPr>
            <w:r>
              <w:t>19 570,12</w:t>
            </w:r>
          </w:p>
        </w:tc>
        <w:tc>
          <w:tcPr>
            <w:tcW w:w="1814" w:type="dxa"/>
            <w:vAlign w:val="center"/>
          </w:tcPr>
          <w:p w14:paraId="14087846" w14:textId="77777777" w:rsidR="00454A29" w:rsidRDefault="00454A29">
            <w:pPr>
              <w:pStyle w:val="ConsPlusNormal"/>
            </w:pPr>
          </w:p>
        </w:tc>
      </w:tr>
      <w:tr w:rsidR="00454A29" w14:paraId="652C2E37" w14:textId="77777777">
        <w:tc>
          <w:tcPr>
            <w:tcW w:w="567" w:type="dxa"/>
            <w:vMerge/>
          </w:tcPr>
          <w:p w14:paraId="66258785" w14:textId="77777777" w:rsidR="00454A29" w:rsidRDefault="00454A29"/>
        </w:tc>
        <w:tc>
          <w:tcPr>
            <w:tcW w:w="3345" w:type="dxa"/>
            <w:vMerge/>
          </w:tcPr>
          <w:p w14:paraId="48CCF71F" w14:textId="77777777" w:rsidR="00454A29" w:rsidRDefault="00454A29"/>
        </w:tc>
        <w:tc>
          <w:tcPr>
            <w:tcW w:w="1701" w:type="dxa"/>
            <w:vAlign w:val="center"/>
          </w:tcPr>
          <w:p w14:paraId="7A313920" w14:textId="77777777" w:rsidR="00454A29" w:rsidRDefault="00454A29">
            <w:pPr>
              <w:pStyle w:val="ConsPlusNormal"/>
              <w:jc w:val="center"/>
            </w:pPr>
            <w:r>
              <w:t>2022</w:t>
            </w:r>
          </w:p>
        </w:tc>
        <w:tc>
          <w:tcPr>
            <w:tcW w:w="1417" w:type="dxa"/>
            <w:vMerge/>
          </w:tcPr>
          <w:p w14:paraId="4D696ACC" w14:textId="77777777" w:rsidR="00454A29" w:rsidRDefault="00454A29"/>
        </w:tc>
        <w:tc>
          <w:tcPr>
            <w:tcW w:w="2204" w:type="dxa"/>
            <w:vMerge/>
          </w:tcPr>
          <w:p w14:paraId="6032FCC8" w14:textId="77777777" w:rsidR="00454A29" w:rsidRDefault="00454A29"/>
        </w:tc>
        <w:tc>
          <w:tcPr>
            <w:tcW w:w="1417" w:type="dxa"/>
            <w:vMerge/>
          </w:tcPr>
          <w:p w14:paraId="1F187B58" w14:textId="77777777" w:rsidR="00454A29" w:rsidRDefault="00454A29"/>
        </w:tc>
        <w:tc>
          <w:tcPr>
            <w:tcW w:w="2324" w:type="dxa"/>
            <w:vMerge/>
          </w:tcPr>
          <w:p w14:paraId="0940AE06" w14:textId="77777777" w:rsidR="00454A29" w:rsidRDefault="00454A29"/>
        </w:tc>
        <w:tc>
          <w:tcPr>
            <w:tcW w:w="1701" w:type="dxa"/>
            <w:vAlign w:val="center"/>
          </w:tcPr>
          <w:p w14:paraId="1160C17F" w14:textId="77777777" w:rsidR="00454A29" w:rsidRDefault="00454A29">
            <w:pPr>
              <w:pStyle w:val="ConsPlusNormal"/>
              <w:jc w:val="center"/>
            </w:pPr>
            <w:r>
              <w:t>51 301,43</w:t>
            </w:r>
          </w:p>
        </w:tc>
        <w:tc>
          <w:tcPr>
            <w:tcW w:w="1814" w:type="dxa"/>
            <w:vAlign w:val="center"/>
          </w:tcPr>
          <w:p w14:paraId="47EBEA25" w14:textId="77777777" w:rsidR="00454A29" w:rsidRDefault="00454A29">
            <w:pPr>
              <w:pStyle w:val="ConsPlusNormal"/>
              <w:jc w:val="center"/>
            </w:pPr>
            <w:r>
              <w:t>30 081,35</w:t>
            </w:r>
          </w:p>
        </w:tc>
        <w:tc>
          <w:tcPr>
            <w:tcW w:w="1701" w:type="dxa"/>
            <w:vAlign w:val="center"/>
          </w:tcPr>
          <w:p w14:paraId="40827272" w14:textId="77777777" w:rsidR="00454A29" w:rsidRDefault="00454A29">
            <w:pPr>
              <w:pStyle w:val="ConsPlusNormal"/>
            </w:pPr>
          </w:p>
        </w:tc>
        <w:tc>
          <w:tcPr>
            <w:tcW w:w="1701" w:type="dxa"/>
            <w:vAlign w:val="center"/>
          </w:tcPr>
          <w:p w14:paraId="676D538E" w14:textId="77777777" w:rsidR="00454A29" w:rsidRDefault="00454A29">
            <w:pPr>
              <w:pStyle w:val="ConsPlusNormal"/>
              <w:jc w:val="center"/>
            </w:pPr>
            <w:r>
              <w:t>21 220,08</w:t>
            </w:r>
          </w:p>
        </w:tc>
        <w:tc>
          <w:tcPr>
            <w:tcW w:w="1814" w:type="dxa"/>
            <w:vAlign w:val="center"/>
          </w:tcPr>
          <w:p w14:paraId="682B6E1D" w14:textId="77777777" w:rsidR="00454A29" w:rsidRDefault="00454A29">
            <w:pPr>
              <w:pStyle w:val="ConsPlusNormal"/>
            </w:pPr>
          </w:p>
        </w:tc>
      </w:tr>
      <w:tr w:rsidR="00454A29" w14:paraId="2E02248A" w14:textId="77777777">
        <w:tc>
          <w:tcPr>
            <w:tcW w:w="567" w:type="dxa"/>
            <w:vMerge/>
          </w:tcPr>
          <w:p w14:paraId="6AF5F275" w14:textId="77777777" w:rsidR="00454A29" w:rsidRDefault="00454A29"/>
        </w:tc>
        <w:tc>
          <w:tcPr>
            <w:tcW w:w="3345" w:type="dxa"/>
            <w:vMerge/>
          </w:tcPr>
          <w:p w14:paraId="786363B8" w14:textId="77777777" w:rsidR="00454A29" w:rsidRDefault="00454A29"/>
        </w:tc>
        <w:tc>
          <w:tcPr>
            <w:tcW w:w="1701" w:type="dxa"/>
            <w:vAlign w:val="center"/>
          </w:tcPr>
          <w:p w14:paraId="17F5755E" w14:textId="77777777" w:rsidR="00454A29" w:rsidRDefault="00454A29">
            <w:pPr>
              <w:pStyle w:val="ConsPlusNormal"/>
              <w:jc w:val="center"/>
            </w:pPr>
            <w:r>
              <w:t>2023</w:t>
            </w:r>
          </w:p>
        </w:tc>
        <w:tc>
          <w:tcPr>
            <w:tcW w:w="1417" w:type="dxa"/>
            <w:vMerge/>
          </w:tcPr>
          <w:p w14:paraId="3EA463CD" w14:textId="77777777" w:rsidR="00454A29" w:rsidRDefault="00454A29"/>
        </w:tc>
        <w:tc>
          <w:tcPr>
            <w:tcW w:w="2204" w:type="dxa"/>
            <w:vMerge/>
          </w:tcPr>
          <w:p w14:paraId="43958258" w14:textId="77777777" w:rsidR="00454A29" w:rsidRDefault="00454A29"/>
        </w:tc>
        <w:tc>
          <w:tcPr>
            <w:tcW w:w="1417" w:type="dxa"/>
            <w:vMerge/>
          </w:tcPr>
          <w:p w14:paraId="59B63FC3" w14:textId="77777777" w:rsidR="00454A29" w:rsidRDefault="00454A29"/>
        </w:tc>
        <w:tc>
          <w:tcPr>
            <w:tcW w:w="2324" w:type="dxa"/>
            <w:vMerge/>
          </w:tcPr>
          <w:p w14:paraId="3FB8F4DB" w14:textId="77777777" w:rsidR="00454A29" w:rsidRDefault="00454A29"/>
        </w:tc>
        <w:tc>
          <w:tcPr>
            <w:tcW w:w="1701" w:type="dxa"/>
            <w:vAlign w:val="center"/>
          </w:tcPr>
          <w:p w14:paraId="3596474E" w14:textId="77777777" w:rsidR="00454A29" w:rsidRDefault="00454A29">
            <w:pPr>
              <w:pStyle w:val="ConsPlusNormal"/>
              <w:jc w:val="center"/>
            </w:pPr>
            <w:r>
              <w:t>57 912,83</w:t>
            </w:r>
          </w:p>
        </w:tc>
        <w:tc>
          <w:tcPr>
            <w:tcW w:w="1814" w:type="dxa"/>
            <w:vAlign w:val="center"/>
          </w:tcPr>
          <w:p w14:paraId="613A5BB1" w14:textId="77777777" w:rsidR="00454A29" w:rsidRDefault="00454A29">
            <w:pPr>
              <w:pStyle w:val="ConsPlusNormal"/>
              <w:jc w:val="center"/>
            </w:pPr>
            <w:r>
              <w:t>34 859,85</w:t>
            </w:r>
          </w:p>
        </w:tc>
        <w:tc>
          <w:tcPr>
            <w:tcW w:w="1701" w:type="dxa"/>
            <w:vAlign w:val="center"/>
          </w:tcPr>
          <w:p w14:paraId="16DC85C5" w14:textId="77777777" w:rsidR="00454A29" w:rsidRDefault="00454A29">
            <w:pPr>
              <w:pStyle w:val="ConsPlusNormal"/>
            </w:pPr>
          </w:p>
        </w:tc>
        <w:tc>
          <w:tcPr>
            <w:tcW w:w="1701" w:type="dxa"/>
            <w:vAlign w:val="center"/>
          </w:tcPr>
          <w:p w14:paraId="2504A2B2" w14:textId="77777777" w:rsidR="00454A29" w:rsidRDefault="00454A29">
            <w:pPr>
              <w:pStyle w:val="ConsPlusNormal"/>
              <w:jc w:val="center"/>
            </w:pPr>
            <w:r>
              <w:t>23 052,98</w:t>
            </w:r>
          </w:p>
        </w:tc>
        <w:tc>
          <w:tcPr>
            <w:tcW w:w="1814" w:type="dxa"/>
            <w:vAlign w:val="center"/>
          </w:tcPr>
          <w:p w14:paraId="3DE24F1F" w14:textId="77777777" w:rsidR="00454A29" w:rsidRDefault="00454A29">
            <w:pPr>
              <w:pStyle w:val="ConsPlusNormal"/>
            </w:pPr>
          </w:p>
        </w:tc>
      </w:tr>
      <w:tr w:rsidR="00454A29" w14:paraId="3528BFE0" w14:textId="77777777">
        <w:tc>
          <w:tcPr>
            <w:tcW w:w="567" w:type="dxa"/>
            <w:vMerge/>
          </w:tcPr>
          <w:p w14:paraId="23409887" w14:textId="77777777" w:rsidR="00454A29" w:rsidRDefault="00454A29"/>
        </w:tc>
        <w:tc>
          <w:tcPr>
            <w:tcW w:w="3345" w:type="dxa"/>
            <w:vMerge/>
          </w:tcPr>
          <w:p w14:paraId="00283715" w14:textId="77777777" w:rsidR="00454A29" w:rsidRDefault="00454A29"/>
        </w:tc>
        <w:tc>
          <w:tcPr>
            <w:tcW w:w="1701" w:type="dxa"/>
            <w:vAlign w:val="center"/>
          </w:tcPr>
          <w:p w14:paraId="21D5D169" w14:textId="77777777" w:rsidR="00454A29" w:rsidRDefault="00454A29">
            <w:pPr>
              <w:pStyle w:val="ConsPlusNormal"/>
              <w:jc w:val="center"/>
            </w:pPr>
            <w:r>
              <w:t>2024</w:t>
            </w:r>
          </w:p>
        </w:tc>
        <w:tc>
          <w:tcPr>
            <w:tcW w:w="1417" w:type="dxa"/>
            <w:vMerge/>
          </w:tcPr>
          <w:p w14:paraId="22CF6624" w14:textId="77777777" w:rsidR="00454A29" w:rsidRDefault="00454A29"/>
        </w:tc>
        <w:tc>
          <w:tcPr>
            <w:tcW w:w="2204" w:type="dxa"/>
            <w:vMerge/>
          </w:tcPr>
          <w:p w14:paraId="098E2F66" w14:textId="77777777" w:rsidR="00454A29" w:rsidRDefault="00454A29"/>
        </w:tc>
        <w:tc>
          <w:tcPr>
            <w:tcW w:w="1417" w:type="dxa"/>
            <w:vMerge/>
          </w:tcPr>
          <w:p w14:paraId="2EBD1800" w14:textId="77777777" w:rsidR="00454A29" w:rsidRDefault="00454A29"/>
        </w:tc>
        <w:tc>
          <w:tcPr>
            <w:tcW w:w="2324" w:type="dxa"/>
            <w:vMerge/>
          </w:tcPr>
          <w:p w14:paraId="274E7777" w14:textId="77777777" w:rsidR="00454A29" w:rsidRDefault="00454A29"/>
        </w:tc>
        <w:tc>
          <w:tcPr>
            <w:tcW w:w="1701" w:type="dxa"/>
            <w:vAlign w:val="center"/>
          </w:tcPr>
          <w:p w14:paraId="0849E44E" w14:textId="77777777" w:rsidR="00454A29" w:rsidRDefault="00454A29">
            <w:pPr>
              <w:pStyle w:val="ConsPlusNormal"/>
              <w:jc w:val="center"/>
            </w:pPr>
            <w:r>
              <w:t>65 491,00</w:t>
            </w:r>
          </w:p>
        </w:tc>
        <w:tc>
          <w:tcPr>
            <w:tcW w:w="1814" w:type="dxa"/>
            <w:vAlign w:val="center"/>
          </w:tcPr>
          <w:p w14:paraId="15C8302C" w14:textId="77777777" w:rsidR="00454A29" w:rsidRDefault="00454A29">
            <w:pPr>
              <w:pStyle w:val="ConsPlusNormal"/>
              <w:jc w:val="center"/>
            </w:pPr>
            <w:r>
              <w:t>40 397,44</w:t>
            </w:r>
          </w:p>
        </w:tc>
        <w:tc>
          <w:tcPr>
            <w:tcW w:w="1701" w:type="dxa"/>
            <w:vAlign w:val="center"/>
          </w:tcPr>
          <w:p w14:paraId="3BECC56D" w14:textId="77777777" w:rsidR="00454A29" w:rsidRDefault="00454A29">
            <w:pPr>
              <w:pStyle w:val="ConsPlusNormal"/>
            </w:pPr>
          </w:p>
        </w:tc>
        <w:tc>
          <w:tcPr>
            <w:tcW w:w="1701" w:type="dxa"/>
            <w:vAlign w:val="center"/>
          </w:tcPr>
          <w:p w14:paraId="055EBE58" w14:textId="77777777" w:rsidR="00454A29" w:rsidRDefault="00454A29">
            <w:pPr>
              <w:pStyle w:val="ConsPlusNormal"/>
              <w:jc w:val="center"/>
            </w:pPr>
            <w:r>
              <w:t>25 093,57</w:t>
            </w:r>
          </w:p>
        </w:tc>
        <w:tc>
          <w:tcPr>
            <w:tcW w:w="1814" w:type="dxa"/>
            <w:vAlign w:val="center"/>
          </w:tcPr>
          <w:p w14:paraId="1EB8DDFC" w14:textId="77777777" w:rsidR="00454A29" w:rsidRDefault="00454A29">
            <w:pPr>
              <w:pStyle w:val="ConsPlusNormal"/>
            </w:pPr>
          </w:p>
        </w:tc>
      </w:tr>
      <w:tr w:rsidR="00454A29" w14:paraId="2FB7DFB6" w14:textId="77777777">
        <w:tc>
          <w:tcPr>
            <w:tcW w:w="567" w:type="dxa"/>
            <w:vMerge/>
          </w:tcPr>
          <w:p w14:paraId="7755B81B" w14:textId="77777777" w:rsidR="00454A29" w:rsidRDefault="00454A29"/>
        </w:tc>
        <w:tc>
          <w:tcPr>
            <w:tcW w:w="3345" w:type="dxa"/>
            <w:vMerge/>
          </w:tcPr>
          <w:p w14:paraId="2E84EBCE" w14:textId="77777777" w:rsidR="00454A29" w:rsidRDefault="00454A29"/>
        </w:tc>
        <w:tc>
          <w:tcPr>
            <w:tcW w:w="1701" w:type="dxa"/>
            <w:vAlign w:val="center"/>
          </w:tcPr>
          <w:p w14:paraId="3C570B63" w14:textId="77777777" w:rsidR="00454A29" w:rsidRDefault="00454A29">
            <w:pPr>
              <w:pStyle w:val="ConsPlusNormal"/>
              <w:jc w:val="center"/>
            </w:pPr>
            <w:r>
              <w:t>2025</w:t>
            </w:r>
          </w:p>
        </w:tc>
        <w:tc>
          <w:tcPr>
            <w:tcW w:w="1417" w:type="dxa"/>
            <w:vMerge/>
          </w:tcPr>
          <w:p w14:paraId="725CAEBA" w14:textId="77777777" w:rsidR="00454A29" w:rsidRDefault="00454A29"/>
        </w:tc>
        <w:tc>
          <w:tcPr>
            <w:tcW w:w="2204" w:type="dxa"/>
            <w:vMerge/>
          </w:tcPr>
          <w:p w14:paraId="68A806A3" w14:textId="77777777" w:rsidR="00454A29" w:rsidRDefault="00454A29"/>
        </w:tc>
        <w:tc>
          <w:tcPr>
            <w:tcW w:w="1417" w:type="dxa"/>
            <w:vMerge/>
          </w:tcPr>
          <w:p w14:paraId="111378CE" w14:textId="77777777" w:rsidR="00454A29" w:rsidRDefault="00454A29"/>
        </w:tc>
        <w:tc>
          <w:tcPr>
            <w:tcW w:w="2324" w:type="dxa"/>
            <w:vMerge/>
          </w:tcPr>
          <w:p w14:paraId="330E254B" w14:textId="77777777" w:rsidR="00454A29" w:rsidRDefault="00454A29"/>
        </w:tc>
        <w:tc>
          <w:tcPr>
            <w:tcW w:w="1701" w:type="dxa"/>
            <w:vAlign w:val="center"/>
          </w:tcPr>
          <w:p w14:paraId="40B97966" w14:textId="77777777" w:rsidR="00454A29" w:rsidRDefault="00454A29">
            <w:pPr>
              <w:pStyle w:val="ConsPlusNormal"/>
              <w:jc w:val="center"/>
            </w:pPr>
            <w:r>
              <w:t>74 185,00</w:t>
            </w:r>
          </w:p>
        </w:tc>
        <w:tc>
          <w:tcPr>
            <w:tcW w:w="1814" w:type="dxa"/>
            <w:vAlign w:val="center"/>
          </w:tcPr>
          <w:p w14:paraId="26731F04" w14:textId="77777777" w:rsidR="00454A29" w:rsidRDefault="00454A29">
            <w:pPr>
              <w:pStyle w:val="ConsPlusNormal"/>
              <w:jc w:val="center"/>
            </w:pPr>
            <w:r>
              <w:t>46 814,68</w:t>
            </w:r>
          </w:p>
        </w:tc>
        <w:tc>
          <w:tcPr>
            <w:tcW w:w="1701" w:type="dxa"/>
            <w:vAlign w:val="center"/>
          </w:tcPr>
          <w:p w14:paraId="29799194" w14:textId="77777777" w:rsidR="00454A29" w:rsidRDefault="00454A29">
            <w:pPr>
              <w:pStyle w:val="ConsPlusNormal"/>
            </w:pPr>
          </w:p>
        </w:tc>
        <w:tc>
          <w:tcPr>
            <w:tcW w:w="1701" w:type="dxa"/>
            <w:vAlign w:val="center"/>
          </w:tcPr>
          <w:p w14:paraId="37D2AC4A" w14:textId="77777777" w:rsidR="00454A29" w:rsidRDefault="00454A29">
            <w:pPr>
              <w:pStyle w:val="ConsPlusNormal"/>
              <w:jc w:val="center"/>
            </w:pPr>
            <w:r>
              <w:t>27 370,31</w:t>
            </w:r>
          </w:p>
        </w:tc>
        <w:tc>
          <w:tcPr>
            <w:tcW w:w="1814" w:type="dxa"/>
            <w:vAlign w:val="center"/>
          </w:tcPr>
          <w:p w14:paraId="28285E56" w14:textId="77777777" w:rsidR="00454A29" w:rsidRDefault="00454A29">
            <w:pPr>
              <w:pStyle w:val="ConsPlusNormal"/>
            </w:pPr>
          </w:p>
        </w:tc>
      </w:tr>
      <w:tr w:rsidR="00454A29" w14:paraId="4487964A" w14:textId="77777777">
        <w:tc>
          <w:tcPr>
            <w:tcW w:w="567" w:type="dxa"/>
            <w:vMerge/>
          </w:tcPr>
          <w:p w14:paraId="3C0E141F" w14:textId="77777777" w:rsidR="00454A29" w:rsidRDefault="00454A29"/>
        </w:tc>
        <w:tc>
          <w:tcPr>
            <w:tcW w:w="3345" w:type="dxa"/>
            <w:vMerge/>
          </w:tcPr>
          <w:p w14:paraId="0326BC49" w14:textId="77777777" w:rsidR="00454A29" w:rsidRDefault="00454A29"/>
        </w:tc>
        <w:tc>
          <w:tcPr>
            <w:tcW w:w="1701" w:type="dxa"/>
            <w:vAlign w:val="center"/>
          </w:tcPr>
          <w:p w14:paraId="0011F9E4" w14:textId="77777777" w:rsidR="00454A29" w:rsidRDefault="00454A29">
            <w:pPr>
              <w:pStyle w:val="ConsPlusNormal"/>
              <w:jc w:val="center"/>
            </w:pPr>
            <w:r>
              <w:t>2026</w:t>
            </w:r>
          </w:p>
        </w:tc>
        <w:tc>
          <w:tcPr>
            <w:tcW w:w="1417" w:type="dxa"/>
            <w:vMerge/>
          </w:tcPr>
          <w:p w14:paraId="4CAC4A3D" w14:textId="77777777" w:rsidR="00454A29" w:rsidRDefault="00454A29"/>
        </w:tc>
        <w:tc>
          <w:tcPr>
            <w:tcW w:w="2204" w:type="dxa"/>
            <w:vMerge/>
          </w:tcPr>
          <w:p w14:paraId="08A8EFA8" w14:textId="77777777" w:rsidR="00454A29" w:rsidRDefault="00454A29"/>
        </w:tc>
        <w:tc>
          <w:tcPr>
            <w:tcW w:w="1417" w:type="dxa"/>
            <w:vMerge/>
          </w:tcPr>
          <w:p w14:paraId="53FEBF58" w14:textId="77777777" w:rsidR="00454A29" w:rsidRDefault="00454A29"/>
        </w:tc>
        <w:tc>
          <w:tcPr>
            <w:tcW w:w="2324" w:type="dxa"/>
            <w:vMerge/>
          </w:tcPr>
          <w:p w14:paraId="6EFF7F76" w14:textId="77777777" w:rsidR="00454A29" w:rsidRDefault="00454A29"/>
        </w:tc>
        <w:tc>
          <w:tcPr>
            <w:tcW w:w="1701" w:type="dxa"/>
            <w:vAlign w:val="center"/>
          </w:tcPr>
          <w:p w14:paraId="5AC9D2AB" w14:textId="77777777" w:rsidR="00454A29" w:rsidRDefault="00454A29">
            <w:pPr>
              <w:pStyle w:val="ConsPlusNormal"/>
              <w:jc w:val="center"/>
            </w:pPr>
            <w:r>
              <w:t>84 167,28</w:t>
            </w:r>
          </w:p>
        </w:tc>
        <w:tc>
          <w:tcPr>
            <w:tcW w:w="1814" w:type="dxa"/>
            <w:vAlign w:val="center"/>
          </w:tcPr>
          <w:p w14:paraId="0BA3CD41" w14:textId="77777777" w:rsidR="00454A29" w:rsidRDefault="00454A29">
            <w:pPr>
              <w:pStyle w:val="ConsPlusNormal"/>
              <w:jc w:val="center"/>
            </w:pPr>
            <w:r>
              <w:t>54 251,33</w:t>
            </w:r>
          </w:p>
        </w:tc>
        <w:tc>
          <w:tcPr>
            <w:tcW w:w="1701" w:type="dxa"/>
            <w:vAlign w:val="center"/>
          </w:tcPr>
          <w:p w14:paraId="2605F601" w14:textId="77777777" w:rsidR="00454A29" w:rsidRDefault="00454A29">
            <w:pPr>
              <w:pStyle w:val="ConsPlusNormal"/>
            </w:pPr>
          </w:p>
        </w:tc>
        <w:tc>
          <w:tcPr>
            <w:tcW w:w="1701" w:type="dxa"/>
            <w:vAlign w:val="center"/>
          </w:tcPr>
          <w:p w14:paraId="4DBB5177" w14:textId="77777777" w:rsidR="00454A29" w:rsidRDefault="00454A29">
            <w:pPr>
              <w:pStyle w:val="ConsPlusNormal"/>
              <w:jc w:val="center"/>
            </w:pPr>
            <w:r>
              <w:t>29 915,96</w:t>
            </w:r>
          </w:p>
        </w:tc>
        <w:tc>
          <w:tcPr>
            <w:tcW w:w="1814" w:type="dxa"/>
            <w:vAlign w:val="center"/>
          </w:tcPr>
          <w:p w14:paraId="2631188D" w14:textId="77777777" w:rsidR="00454A29" w:rsidRDefault="00454A29">
            <w:pPr>
              <w:pStyle w:val="ConsPlusNormal"/>
            </w:pPr>
          </w:p>
        </w:tc>
      </w:tr>
      <w:tr w:rsidR="00454A29" w14:paraId="529F695B" w14:textId="77777777">
        <w:tc>
          <w:tcPr>
            <w:tcW w:w="567" w:type="dxa"/>
            <w:vMerge w:val="restart"/>
            <w:vAlign w:val="center"/>
          </w:tcPr>
          <w:p w14:paraId="209D7026" w14:textId="77777777" w:rsidR="00454A29" w:rsidRDefault="00454A29">
            <w:pPr>
              <w:pStyle w:val="ConsPlusNormal"/>
              <w:jc w:val="center"/>
            </w:pPr>
            <w:r>
              <w:t>73</w:t>
            </w:r>
          </w:p>
        </w:tc>
        <w:tc>
          <w:tcPr>
            <w:tcW w:w="3345" w:type="dxa"/>
            <w:vMerge w:val="restart"/>
            <w:vAlign w:val="center"/>
          </w:tcPr>
          <w:p w14:paraId="52E41E6C" w14:textId="77777777" w:rsidR="00454A29" w:rsidRDefault="00454A29">
            <w:pPr>
              <w:pStyle w:val="ConsPlusNormal"/>
              <w:jc w:val="center"/>
            </w:pPr>
            <w:r>
              <w:t>Детский сад в 203 мкр. (Д-3) города Якутска</w:t>
            </w:r>
          </w:p>
        </w:tc>
        <w:tc>
          <w:tcPr>
            <w:tcW w:w="1701" w:type="dxa"/>
            <w:vAlign w:val="center"/>
          </w:tcPr>
          <w:p w14:paraId="146FED0E" w14:textId="77777777" w:rsidR="00454A29" w:rsidRDefault="00454A29">
            <w:pPr>
              <w:pStyle w:val="ConsPlusNormal"/>
              <w:jc w:val="center"/>
            </w:pPr>
            <w:r>
              <w:t>Всего:</w:t>
            </w:r>
          </w:p>
        </w:tc>
        <w:tc>
          <w:tcPr>
            <w:tcW w:w="1417" w:type="dxa"/>
            <w:vMerge w:val="restart"/>
            <w:vAlign w:val="center"/>
          </w:tcPr>
          <w:p w14:paraId="24E5E111" w14:textId="77777777" w:rsidR="00454A29" w:rsidRDefault="00454A29">
            <w:pPr>
              <w:pStyle w:val="ConsPlusNormal"/>
              <w:jc w:val="center"/>
            </w:pPr>
            <w:r>
              <w:t>666 938,15</w:t>
            </w:r>
          </w:p>
        </w:tc>
        <w:tc>
          <w:tcPr>
            <w:tcW w:w="2204" w:type="dxa"/>
            <w:vMerge w:val="restart"/>
            <w:vAlign w:val="center"/>
          </w:tcPr>
          <w:p w14:paraId="21F81EBF" w14:textId="77777777" w:rsidR="00454A29" w:rsidRDefault="00454A29">
            <w:pPr>
              <w:pStyle w:val="ConsPlusNormal"/>
              <w:jc w:val="center"/>
            </w:pPr>
            <w:r>
              <w:t>имеется</w:t>
            </w:r>
          </w:p>
        </w:tc>
        <w:tc>
          <w:tcPr>
            <w:tcW w:w="1417" w:type="dxa"/>
            <w:vMerge w:val="restart"/>
            <w:vAlign w:val="center"/>
          </w:tcPr>
          <w:p w14:paraId="46C0497F" w14:textId="77777777" w:rsidR="00454A29" w:rsidRDefault="00454A29">
            <w:pPr>
              <w:pStyle w:val="ConsPlusNormal"/>
              <w:jc w:val="center"/>
            </w:pPr>
            <w:r>
              <w:t>315</w:t>
            </w:r>
          </w:p>
        </w:tc>
        <w:tc>
          <w:tcPr>
            <w:tcW w:w="2324" w:type="dxa"/>
            <w:vMerge w:val="restart"/>
            <w:vAlign w:val="center"/>
          </w:tcPr>
          <w:p w14:paraId="59D06B3F" w14:textId="77777777" w:rsidR="00454A29" w:rsidRDefault="00454A29">
            <w:pPr>
              <w:pStyle w:val="ConsPlusNormal"/>
              <w:jc w:val="center"/>
            </w:pPr>
            <w:r>
              <w:t>Минэкономики РС(Я), ГО "город Якутск"</w:t>
            </w:r>
          </w:p>
        </w:tc>
        <w:tc>
          <w:tcPr>
            <w:tcW w:w="1701" w:type="dxa"/>
            <w:vAlign w:val="center"/>
          </w:tcPr>
          <w:p w14:paraId="2BAF2F1F" w14:textId="77777777" w:rsidR="00454A29" w:rsidRDefault="00454A29">
            <w:pPr>
              <w:pStyle w:val="ConsPlusNormal"/>
              <w:jc w:val="center"/>
            </w:pPr>
            <w:r>
              <w:t>1 329 789,18</w:t>
            </w:r>
          </w:p>
        </w:tc>
        <w:tc>
          <w:tcPr>
            <w:tcW w:w="1814" w:type="dxa"/>
            <w:vAlign w:val="center"/>
          </w:tcPr>
          <w:p w14:paraId="7AAF8CED" w14:textId="77777777" w:rsidR="00454A29" w:rsidRDefault="00454A29">
            <w:pPr>
              <w:pStyle w:val="ConsPlusNormal"/>
              <w:jc w:val="center"/>
            </w:pPr>
            <w:r>
              <w:t>653 614,42</w:t>
            </w:r>
          </w:p>
        </w:tc>
        <w:tc>
          <w:tcPr>
            <w:tcW w:w="1701" w:type="dxa"/>
            <w:vAlign w:val="center"/>
          </w:tcPr>
          <w:p w14:paraId="3BBE6A0B" w14:textId="77777777" w:rsidR="00454A29" w:rsidRDefault="00454A29">
            <w:pPr>
              <w:pStyle w:val="ConsPlusNormal"/>
              <w:jc w:val="center"/>
            </w:pPr>
            <w:r>
              <w:t>-</w:t>
            </w:r>
          </w:p>
        </w:tc>
        <w:tc>
          <w:tcPr>
            <w:tcW w:w="1701" w:type="dxa"/>
            <w:vAlign w:val="center"/>
          </w:tcPr>
          <w:p w14:paraId="12F6EAE9" w14:textId="77777777" w:rsidR="00454A29" w:rsidRDefault="00454A29">
            <w:pPr>
              <w:pStyle w:val="ConsPlusNormal"/>
              <w:jc w:val="center"/>
            </w:pPr>
            <w:r>
              <w:t>164 015,70</w:t>
            </w:r>
          </w:p>
        </w:tc>
        <w:tc>
          <w:tcPr>
            <w:tcW w:w="1814" w:type="dxa"/>
            <w:vAlign w:val="center"/>
          </w:tcPr>
          <w:p w14:paraId="259EA7FD" w14:textId="77777777" w:rsidR="00454A29" w:rsidRDefault="00454A29">
            <w:pPr>
              <w:pStyle w:val="ConsPlusNormal"/>
              <w:jc w:val="center"/>
            </w:pPr>
            <w:r>
              <w:t>512 159,07</w:t>
            </w:r>
          </w:p>
        </w:tc>
      </w:tr>
      <w:tr w:rsidR="00454A29" w14:paraId="43A1BA5B" w14:textId="77777777">
        <w:tc>
          <w:tcPr>
            <w:tcW w:w="567" w:type="dxa"/>
            <w:vMerge/>
          </w:tcPr>
          <w:p w14:paraId="489996BC" w14:textId="77777777" w:rsidR="00454A29" w:rsidRDefault="00454A29"/>
        </w:tc>
        <w:tc>
          <w:tcPr>
            <w:tcW w:w="3345" w:type="dxa"/>
            <w:vMerge/>
          </w:tcPr>
          <w:p w14:paraId="4738797F" w14:textId="77777777" w:rsidR="00454A29" w:rsidRDefault="00454A29"/>
        </w:tc>
        <w:tc>
          <w:tcPr>
            <w:tcW w:w="1701" w:type="dxa"/>
            <w:vAlign w:val="center"/>
          </w:tcPr>
          <w:p w14:paraId="5C99D6C0" w14:textId="77777777" w:rsidR="00454A29" w:rsidRDefault="00454A29">
            <w:pPr>
              <w:pStyle w:val="ConsPlusNormal"/>
              <w:jc w:val="center"/>
            </w:pPr>
            <w:r>
              <w:t>2016</w:t>
            </w:r>
          </w:p>
        </w:tc>
        <w:tc>
          <w:tcPr>
            <w:tcW w:w="1417" w:type="dxa"/>
            <w:vMerge/>
          </w:tcPr>
          <w:p w14:paraId="14D066E2" w14:textId="77777777" w:rsidR="00454A29" w:rsidRDefault="00454A29"/>
        </w:tc>
        <w:tc>
          <w:tcPr>
            <w:tcW w:w="2204" w:type="dxa"/>
            <w:vMerge/>
          </w:tcPr>
          <w:p w14:paraId="1A07AB7E" w14:textId="77777777" w:rsidR="00454A29" w:rsidRDefault="00454A29"/>
        </w:tc>
        <w:tc>
          <w:tcPr>
            <w:tcW w:w="1417" w:type="dxa"/>
            <w:vMerge/>
          </w:tcPr>
          <w:p w14:paraId="334ACDE0" w14:textId="77777777" w:rsidR="00454A29" w:rsidRDefault="00454A29"/>
        </w:tc>
        <w:tc>
          <w:tcPr>
            <w:tcW w:w="2324" w:type="dxa"/>
            <w:vMerge/>
          </w:tcPr>
          <w:p w14:paraId="57C8E0B1" w14:textId="77777777" w:rsidR="00454A29" w:rsidRDefault="00454A29"/>
        </w:tc>
        <w:tc>
          <w:tcPr>
            <w:tcW w:w="1701" w:type="dxa"/>
            <w:vAlign w:val="center"/>
          </w:tcPr>
          <w:p w14:paraId="5060C9BB" w14:textId="77777777" w:rsidR="00454A29" w:rsidRDefault="00454A29">
            <w:pPr>
              <w:pStyle w:val="ConsPlusNormal"/>
              <w:jc w:val="center"/>
            </w:pPr>
            <w:r>
              <w:t>413 971,62</w:t>
            </w:r>
          </w:p>
        </w:tc>
        <w:tc>
          <w:tcPr>
            <w:tcW w:w="1814" w:type="dxa"/>
            <w:vAlign w:val="center"/>
          </w:tcPr>
          <w:p w14:paraId="2C27E633" w14:textId="77777777" w:rsidR="00454A29" w:rsidRDefault="00454A29">
            <w:pPr>
              <w:pStyle w:val="ConsPlusNormal"/>
              <w:jc w:val="center"/>
            </w:pPr>
            <w:r>
              <w:t>15 896,37</w:t>
            </w:r>
          </w:p>
        </w:tc>
        <w:tc>
          <w:tcPr>
            <w:tcW w:w="1701" w:type="dxa"/>
            <w:vAlign w:val="center"/>
          </w:tcPr>
          <w:p w14:paraId="11B6EF26" w14:textId="77777777" w:rsidR="00454A29" w:rsidRDefault="00454A29">
            <w:pPr>
              <w:pStyle w:val="ConsPlusNormal"/>
            </w:pPr>
          </w:p>
        </w:tc>
        <w:tc>
          <w:tcPr>
            <w:tcW w:w="1701" w:type="dxa"/>
            <w:vAlign w:val="center"/>
          </w:tcPr>
          <w:p w14:paraId="32013642" w14:textId="77777777" w:rsidR="00454A29" w:rsidRDefault="00454A29">
            <w:pPr>
              <w:pStyle w:val="ConsPlusNormal"/>
              <w:jc w:val="center"/>
            </w:pPr>
            <w:r>
              <w:t>2 417,00</w:t>
            </w:r>
          </w:p>
        </w:tc>
        <w:tc>
          <w:tcPr>
            <w:tcW w:w="1814" w:type="dxa"/>
            <w:vAlign w:val="center"/>
          </w:tcPr>
          <w:p w14:paraId="738B5751" w14:textId="77777777" w:rsidR="00454A29" w:rsidRDefault="00454A29">
            <w:pPr>
              <w:pStyle w:val="ConsPlusNormal"/>
              <w:jc w:val="center"/>
            </w:pPr>
            <w:r>
              <w:t>395 658,26</w:t>
            </w:r>
          </w:p>
        </w:tc>
      </w:tr>
      <w:tr w:rsidR="00454A29" w14:paraId="66FF900D" w14:textId="77777777">
        <w:tc>
          <w:tcPr>
            <w:tcW w:w="567" w:type="dxa"/>
            <w:vMerge/>
          </w:tcPr>
          <w:p w14:paraId="2E771FAF" w14:textId="77777777" w:rsidR="00454A29" w:rsidRDefault="00454A29"/>
        </w:tc>
        <w:tc>
          <w:tcPr>
            <w:tcW w:w="3345" w:type="dxa"/>
            <w:vMerge/>
          </w:tcPr>
          <w:p w14:paraId="2B074242" w14:textId="77777777" w:rsidR="00454A29" w:rsidRDefault="00454A29"/>
        </w:tc>
        <w:tc>
          <w:tcPr>
            <w:tcW w:w="1701" w:type="dxa"/>
            <w:vAlign w:val="center"/>
          </w:tcPr>
          <w:p w14:paraId="5085B4F8" w14:textId="77777777" w:rsidR="00454A29" w:rsidRDefault="00454A29">
            <w:pPr>
              <w:pStyle w:val="ConsPlusNormal"/>
              <w:jc w:val="center"/>
            </w:pPr>
            <w:r>
              <w:t>2017</w:t>
            </w:r>
          </w:p>
        </w:tc>
        <w:tc>
          <w:tcPr>
            <w:tcW w:w="1417" w:type="dxa"/>
            <w:vMerge/>
          </w:tcPr>
          <w:p w14:paraId="347C6383" w14:textId="77777777" w:rsidR="00454A29" w:rsidRDefault="00454A29"/>
        </w:tc>
        <w:tc>
          <w:tcPr>
            <w:tcW w:w="2204" w:type="dxa"/>
            <w:vMerge/>
          </w:tcPr>
          <w:p w14:paraId="23027521" w14:textId="77777777" w:rsidR="00454A29" w:rsidRDefault="00454A29"/>
        </w:tc>
        <w:tc>
          <w:tcPr>
            <w:tcW w:w="1417" w:type="dxa"/>
            <w:vMerge/>
          </w:tcPr>
          <w:p w14:paraId="305432FA" w14:textId="77777777" w:rsidR="00454A29" w:rsidRDefault="00454A29"/>
        </w:tc>
        <w:tc>
          <w:tcPr>
            <w:tcW w:w="2324" w:type="dxa"/>
            <w:vMerge/>
          </w:tcPr>
          <w:p w14:paraId="29347F4E" w14:textId="77777777" w:rsidR="00454A29" w:rsidRDefault="00454A29"/>
        </w:tc>
        <w:tc>
          <w:tcPr>
            <w:tcW w:w="1701" w:type="dxa"/>
            <w:vAlign w:val="center"/>
          </w:tcPr>
          <w:p w14:paraId="5E04AF0C" w14:textId="77777777" w:rsidR="00454A29" w:rsidRDefault="00454A29">
            <w:pPr>
              <w:pStyle w:val="ConsPlusNormal"/>
              <w:jc w:val="center"/>
            </w:pPr>
            <w:r>
              <w:t>180 856,74</w:t>
            </w:r>
          </w:p>
        </w:tc>
        <w:tc>
          <w:tcPr>
            <w:tcW w:w="1814" w:type="dxa"/>
            <w:vAlign w:val="center"/>
          </w:tcPr>
          <w:p w14:paraId="74BC45C9" w14:textId="77777777" w:rsidR="00454A29" w:rsidRDefault="00454A29">
            <w:pPr>
              <w:pStyle w:val="ConsPlusNormal"/>
              <w:jc w:val="center"/>
            </w:pPr>
            <w:r>
              <w:t>55 862,24</w:t>
            </w:r>
          </w:p>
        </w:tc>
        <w:tc>
          <w:tcPr>
            <w:tcW w:w="1701" w:type="dxa"/>
            <w:vAlign w:val="center"/>
          </w:tcPr>
          <w:p w14:paraId="75CE1578" w14:textId="77777777" w:rsidR="00454A29" w:rsidRDefault="00454A29">
            <w:pPr>
              <w:pStyle w:val="ConsPlusNormal"/>
            </w:pPr>
          </w:p>
        </w:tc>
        <w:tc>
          <w:tcPr>
            <w:tcW w:w="1701" w:type="dxa"/>
            <w:vAlign w:val="center"/>
          </w:tcPr>
          <w:p w14:paraId="7E1A9AB2" w14:textId="77777777" w:rsidR="00454A29" w:rsidRDefault="00454A29">
            <w:pPr>
              <w:pStyle w:val="ConsPlusNormal"/>
              <w:jc w:val="center"/>
            </w:pPr>
            <w:r>
              <w:t>8 493,69</w:t>
            </w:r>
          </w:p>
        </w:tc>
        <w:tc>
          <w:tcPr>
            <w:tcW w:w="1814" w:type="dxa"/>
            <w:vAlign w:val="center"/>
          </w:tcPr>
          <w:p w14:paraId="5DAD937A" w14:textId="77777777" w:rsidR="00454A29" w:rsidRDefault="00454A29">
            <w:pPr>
              <w:pStyle w:val="ConsPlusNormal"/>
              <w:jc w:val="center"/>
            </w:pPr>
            <w:r>
              <w:t>116 500,81</w:t>
            </w:r>
          </w:p>
        </w:tc>
      </w:tr>
      <w:tr w:rsidR="00454A29" w14:paraId="239DD254" w14:textId="77777777">
        <w:tc>
          <w:tcPr>
            <w:tcW w:w="567" w:type="dxa"/>
            <w:vMerge/>
          </w:tcPr>
          <w:p w14:paraId="75462FAA" w14:textId="77777777" w:rsidR="00454A29" w:rsidRDefault="00454A29"/>
        </w:tc>
        <w:tc>
          <w:tcPr>
            <w:tcW w:w="3345" w:type="dxa"/>
            <w:vMerge/>
          </w:tcPr>
          <w:p w14:paraId="209F9102" w14:textId="77777777" w:rsidR="00454A29" w:rsidRDefault="00454A29"/>
        </w:tc>
        <w:tc>
          <w:tcPr>
            <w:tcW w:w="1701" w:type="dxa"/>
            <w:vAlign w:val="center"/>
          </w:tcPr>
          <w:p w14:paraId="248AC422" w14:textId="77777777" w:rsidR="00454A29" w:rsidRDefault="00454A29">
            <w:pPr>
              <w:pStyle w:val="ConsPlusNormal"/>
              <w:jc w:val="center"/>
            </w:pPr>
            <w:r>
              <w:t>2018</w:t>
            </w:r>
          </w:p>
        </w:tc>
        <w:tc>
          <w:tcPr>
            <w:tcW w:w="1417" w:type="dxa"/>
            <w:vMerge/>
          </w:tcPr>
          <w:p w14:paraId="7A930DFC" w14:textId="77777777" w:rsidR="00454A29" w:rsidRDefault="00454A29"/>
        </w:tc>
        <w:tc>
          <w:tcPr>
            <w:tcW w:w="2204" w:type="dxa"/>
            <w:vMerge/>
          </w:tcPr>
          <w:p w14:paraId="768C813E" w14:textId="77777777" w:rsidR="00454A29" w:rsidRDefault="00454A29"/>
        </w:tc>
        <w:tc>
          <w:tcPr>
            <w:tcW w:w="1417" w:type="dxa"/>
            <w:vMerge/>
          </w:tcPr>
          <w:p w14:paraId="07471BBE" w14:textId="77777777" w:rsidR="00454A29" w:rsidRDefault="00454A29"/>
        </w:tc>
        <w:tc>
          <w:tcPr>
            <w:tcW w:w="2324" w:type="dxa"/>
            <w:vMerge/>
          </w:tcPr>
          <w:p w14:paraId="4DFFF102" w14:textId="77777777" w:rsidR="00454A29" w:rsidRDefault="00454A29"/>
        </w:tc>
        <w:tc>
          <w:tcPr>
            <w:tcW w:w="1701" w:type="dxa"/>
            <w:vAlign w:val="center"/>
          </w:tcPr>
          <w:p w14:paraId="6ECDC146" w14:textId="77777777" w:rsidR="00454A29" w:rsidRDefault="00454A29">
            <w:pPr>
              <w:pStyle w:val="ConsPlusNormal"/>
              <w:jc w:val="center"/>
            </w:pPr>
            <w:r>
              <w:t>155 937,72</w:t>
            </w:r>
          </w:p>
        </w:tc>
        <w:tc>
          <w:tcPr>
            <w:tcW w:w="1814" w:type="dxa"/>
            <w:vAlign w:val="center"/>
          </w:tcPr>
          <w:p w14:paraId="667C9BAE" w14:textId="77777777" w:rsidR="00454A29" w:rsidRDefault="00454A29">
            <w:pPr>
              <w:pStyle w:val="ConsPlusNormal"/>
              <w:jc w:val="center"/>
            </w:pPr>
            <w:r>
              <w:t>139 885,21</w:t>
            </w:r>
          </w:p>
        </w:tc>
        <w:tc>
          <w:tcPr>
            <w:tcW w:w="1701" w:type="dxa"/>
            <w:vAlign w:val="center"/>
          </w:tcPr>
          <w:p w14:paraId="556D48C9" w14:textId="77777777" w:rsidR="00454A29" w:rsidRDefault="00454A29">
            <w:pPr>
              <w:pStyle w:val="ConsPlusNormal"/>
            </w:pPr>
          </w:p>
        </w:tc>
        <w:tc>
          <w:tcPr>
            <w:tcW w:w="1701" w:type="dxa"/>
            <w:vAlign w:val="center"/>
          </w:tcPr>
          <w:p w14:paraId="5C8E3A68" w14:textId="77777777" w:rsidR="00454A29" w:rsidRDefault="00454A29">
            <w:pPr>
              <w:pStyle w:val="ConsPlusNormal"/>
              <w:jc w:val="center"/>
            </w:pPr>
            <w:r>
              <w:t>16 052,51</w:t>
            </w:r>
          </w:p>
        </w:tc>
        <w:tc>
          <w:tcPr>
            <w:tcW w:w="1814" w:type="dxa"/>
            <w:vAlign w:val="center"/>
          </w:tcPr>
          <w:p w14:paraId="57639D7E" w14:textId="77777777" w:rsidR="00454A29" w:rsidRDefault="00454A29">
            <w:pPr>
              <w:pStyle w:val="ConsPlusNormal"/>
            </w:pPr>
          </w:p>
        </w:tc>
      </w:tr>
      <w:tr w:rsidR="00454A29" w14:paraId="2686E076" w14:textId="77777777">
        <w:tc>
          <w:tcPr>
            <w:tcW w:w="567" w:type="dxa"/>
            <w:vMerge/>
          </w:tcPr>
          <w:p w14:paraId="789A950A" w14:textId="77777777" w:rsidR="00454A29" w:rsidRDefault="00454A29"/>
        </w:tc>
        <w:tc>
          <w:tcPr>
            <w:tcW w:w="3345" w:type="dxa"/>
            <w:vMerge/>
          </w:tcPr>
          <w:p w14:paraId="5D548722" w14:textId="77777777" w:rsidR="00454A29" w:rsidRDefault="00454A29"/>
        </w:tc>
        <w:tc>
          <w:tcPr>
            <w:tcW w:w="1701" w:type="dxa"/>
            <w:vAlign w:val="center"/>
          </w:tcPr>
          <w:p w14:paraId="0ED10FC7" w14:textId="77777777" w:rsidR="00454A29" w:rsidRDefault="00454A29">
            <w:pPr>
              <w:pStyle w:val="ConsPlusNormal"/>
              <w:jc w:val="center"/>
            </w:pPr>
            <w:r>
              <w:t>2019</w:t>
            </w:r>
          </w:p>
        </w:tc>
        <w:tc>
          <w:tcPr>
            <w:tcW w:w="1417" w:type="dxa"/>
            <w:vMerge/>
          </w:tcPr>
          <w:p w14:paraId="0556F267" w14:textId="77777777" w:rsidR="00454A29" w:rsidRDefault="00454A29"/>
        </w:tc>
        <w:tc>
          <w:tcPr>
            <w:tcW w:w="2204" w:type="dxa"/>
            <w:vMerge/>
          </w:tcPr>
          <w:p w14:paraId="739E1A3A" w14:textId="77777777" w:rsidR="00454A29" w:rsidRDefault="00454A29"/>
        </w:tc>
        <w:tc>
          <w:tcPr>
            <w:tcW w:w="1417" w:type="dxa"/>
            <w:vMerge/>
          </w:tcPr>
          <w:p w14:paraId="136127D9" w14:textId="77777777" w:rsidR="00454A29" w:rsidRDefault="00454A29"/>
        </w:tc>
        <w:tc>
          <w:tcPr>
            <w:tcW w:w="2324" w:type="dxa"/>
            <w:vMerge/>
          </w:tcPr>
          <w:p w14:paraId="11425E37" w14:textId="77777777" w:rsidR="00454A29" w:rsidRDefault="00454A29"/>
        </w:tc>
        <w:tc>
          <w:tcPr>
            <w:tcW w:w="1701" w:type="dxa"/>
            <w:vAlign w:val="center"/>
          </w:tcPr>
          <w:p w14:paraId="3A25282A" w14:textId="77777777" w:rsidR="00454A29" w:rsidRDefault="00454A29">
            <w:pPr>
              <w:pStyle w:val="ConsPlusNormal"/>
              <w:jc w:val="center"/>
            </w:pPr>
            <w:r>
              <w:t>156 613,82</w:t>
            </w:r>
          </w:p>
        </w:tc>
        <w:tc>
          <w:tcPr>
            <w:tcW w:w="1814" w:type="dxa"/>
            <w:vAlign w:val="center"/>
          </w:tcPr>
          <w:p w14:paraId="3E82B856" w14:textId="77777777" w:rsidR="00454A29" w:rsidRDefault="00454A29">
            <w:pPr>
              <w:pStyle w:val="ConsPlusNormal"/>
              <w:jc w:val="center"/>
            </w:pPr>
            <w:r>
              <w:t>135 943,93</w:t>
            </w:r>
          </w:p>
        </w:tc>
        <w:tc>
          <w:tcPr>
            <w:tcW w:w="1701" w:type="dxa"/>
            <w:vAlign w:val="center"/>
          </w:tcPr>
          <w:p w14:paraId="37E6965B" w14:textId="77777777" w:rsidR="00454A29" w:rsidRDefault="00454A29">
            <w:pPr>
              <w:pStyle w:val="ConsPlusNormal"/>
            </w:pPr>
          </w:p>
        </w:tc>
        <w:tc>
          <w:tcPr>
            <w:tcW w:w="1701" w:type="dxa"/>
            <w:vAlign w:val="center"/>
          </w:tcPr>
          <w:p w14:paraId="2422F61B" w14:textId="77777777" w:rsidR="00454A29" w:rsidRDefault="00454A29">
            <w:pPr>
              <w:pStyle w:val="ConsPlusNormal"/>
              <w:jc w:val="center"/>
            </w:pPr>
            <w:r>
              <w:t>20 669,88</w:t>
            </w:r>
          </w:p>
        </w:tc>
        <w:tc>
          <w:tcPr>
            <w:tcW w:w="1814" w:type="dxa"/>
            <w:vAlign w:val="center"/>
          </w:tcPr>
          <w:p w14:paraId="6C482380" w14:textId="77777777" w:rsidR="00454A29" w:rsidRDefault="00454A29">
            <w:pPr>
              <w:pStyle w:val="ConsPlusNormal"/>
            </w:pPr>
          </w:p>
        </w:tc>
      </w:tr>
      <w:tr w:rsidR="00454A29" w14:paraId="676EC5ED" w14:textId="77777777">
        <w:tc>
          <w:tcPr>
            <w:tcW w:w="567" w:type="dxa"/>
            <w:vMerge/>
          </w:tcPr>
          <w:p w14:paraId="1F5DC531" w14:textId="77777777" w:rsidR="00454A29" w:rsidRDefault="00454A29"/>
        </w:tc>
        <w:tc>
          <w:tcPr>
            <w:tcW w:w="3345" w:type="dxa"/>
            <w:vMerge/>
          </w:tcPr>
          <w:p w14:paraId="6B62B6B9" w14:textId="77777777" w:rsidR="00454A29" w:rsidRDefault="00454A29"/>
        </w:tc>
        <w:tc>
          <w:tcPr>
            <w:tcW w:w="1701" w:type="dxa"/>
            <w:vAlign w:val="center"/>
          </w:tcPr>
          <w:p w14:paraId="4508D3D0" w14:textId="77777777" w:rsidR="00454A29" w:rsidRDefault="00454A29">
            <w:pPr>
              <w:pStyle w:val="ConsPlusNormal"/>
              <w:jc w:val="center"/>
            </w:pPr>
            <w:r>
              <w:t>2020</w:t>
            </w:r>
          </w:p>
        </w:tc>
        <w:tc>
          <w:tcPr>
            <w:tcW w:w="1417" w:type="dxa"/>
            <w:vMerge/>
          </w:tcPr>
          <w:p w14:paraId="7EB2AF18" w14:textId="77777777" w:rsidR="00454A29" w:rsidRDefault="00454A29"/>
        </w:tc>
        <w:tc>
          <w:tcPr>
            <w:tcW w:w="2204" w:type="dxa"/>
            <w:vMerge/>
          </w:tcPr>
          <w:p w14:paraId="27F43870" w14:textId="77777777" w:rsidR="00454A29" w:rsidRDefault="00454A29"/>
        </w:tc>
        <w:tc>
          <w:tcPr>
            <w:tcW w:w="1417" w:type="dxa"/>
            <w:vMerge/>
          </w:tcPr>
          <w:p w14:paraId="5F25D8F5" w14:textId="77777777" w:rsidR="00454A29" w:rsidRDefault="00454A29"/>
        </w:tc>
        <w:tc>
          <w:tcPr>
            <w:tcW w:w="2324" w:type="dxa"/>
            <w:vMerge/>
          </w:tcPr>
          <w:p w14:paraId="4A0118A7" w14:textId="77777777" w:rsidR="00454A29" w:rsidRDefault="00454A29"/>
        </w:tc>
        <w:tc>
          <w:tcPr>
            <w:tcW w:w="1701" w:type="dxa"/>
            <w:vAlign w:val="center"/>
          </w:tcPr>
          <w:p w14:paraId="271B9CDB" w14:textId="77777777" w:rsidR="00454A29" w:rsidRDefault="00454A29">
            <w:pPr>
              <w:pStyle w:val="ConsPlusNormal"/>
              <w:jc w:val="center"/>
            </w:pPr>
            <w:r>
              <w:t>41 011,00</w:t>
            </w:r>
          </w:p>
        </w:tc>
        <w:tc>
          <w:tcPr>
            <w:tcW w:w="1814" w:type="dxa"/>
            <w:vAlign w:val="center"/>
          </w:tcPr>
          <w:p w14:paraId="695D3D65" w14:textId="77777777" w:rsidR="00454A29" w:rsidRDefault="00454A29">
            <w:pPr>
              <w:pStyle w:val="ConsPlusNormal"/>
              <w:jc w:val="center"/>
            </w:pPr>
            <w:r>
              <w:t>26 906,99</w:t>
            </w:r>
          </w:p>
        </w:tc>
        <w:tc>
          <w:tcPr>
            <w:tcW w:w="1701" w:type="dxa"/>
            <w:vAlign w:val="center"/>
          </w:tcPr>
          <w:p w14:paraId="3909429A" w14:textId="77777777" w:rsidR="00454A29" w:rsidRDefault="00454A29">
            <w:pPr>
              <w:pStyle w:val="ConsPlusNormal"/>
            </w:pPr>
          </w:p>
        </w:tc>
        <w:tc>
          <w:tcPr>
            <w:tcW w:w="1701" w:type="dxa"/>
            <w:vAlign w:val="center"/>
          </w:tcPr>
          <w:p w14:paraId="334CF1E7" w14:textId="77777777" w:rsidR="00454A29" w:rsidRDefault="00454A29">
            <w:pPr>
              <w:pStyle w:val="ConsPlusNormal"/>
              <w:jc w:val="center"/>
            </w:pPr>
            <w:r>
              <w:t>14 104,02</w:t>
            </w:r>
          </w:p>
        </w:tc>
        <w:tc>
          <w:tcPr>
            <w:tcW w:w="1814" w:type="dxa"/>
            <w:vAlign w:val="center"/>
          </w:tcPr>
          <w:p w14:paraId="29E8EA3C" w14:textId="77777777" w:rsidR="00454A29" w:rsidRDefault="00454A29">
            <w:pPr>
              <w:pStyle w:val="ConsPlusNormal"/>
            </w:pPr>
          </w:p>
        </w:tc>
      </w:tr>
      <w:tr w:rsidR="00454A29" w14:paraId="105D6BAC" w14:textId="77777777">
        <w:tc>
          <w:tcPr>
            <w:tcW w:w="567" w:type="dxa"/>
            <w:vMerge/>
          </w:tcPr>
          <w:p w14:paraId="1FAC15E7" w14:textId="77777777" w:rsidR="00454A29" w:rsidRDefault="00454A29"/>
        </w:tc>
        <w:tc>
          <w:tcPr>
            <w:tcW w:w="3345" w:type="dxa"/>
            <w:vMerge/>
          </w:tcPr>
          <w:p w14:paraId="27D0FB9D" w14:textId="77777777" w:rsidR="00454A29" w:rsidRDefault="00454A29"/>
        </w:tc>
        <w:tc>
          <w:tcPr>
            <w:tcW w:w="1701" w:type="dxa"/>
            <w:vAlign w:val="center"/>
          </w:tcPr>
          <w:p w14:paraId="17516E75" w14:textId="77777777" w:rsidR="00454A29" w:rsidRDefault="00454A29">
            <w:pPr>
              <w:pStyle w:val="ConsPlusNormal"/>
              <w:jc w:val="center"/>
            </w:pPr>
            <w:r>
              <w:t>2021</w:t>
            </w:r>
          </w:p>
        </w:tc>
        <w:tc>
          <w:tcPr>
            <w:tcW w:w="1417" w:type="dxa"/>
            <w:vMerge/>
          </w:tcPr>
          <w:p w14:paraId="2A074FBA" w14:textId="77777777" w:rsidR="00454A29" w:rsidRDefault="00454A29"/>
        </w:tc>
        <w:tc>
          <w:tcPr>
            <w:tcW w:w="2204" w:type="dxa"/>
            <w:vMerge/>
          </w:tcPr>
          <w:p w14:paraId="758A6883" w14:textId="77777777" w:rsidR="00454A29" w:rsidRDefault="00454A29"/>
        </w:tc>
        <w:tc>
          <w:tcPr>
            <w:tcW w:w="1417" w:type="dxa"/>
            <w:vMerge/>
          </w:tcPr>
          <w:p w14:paraId="59D8508A" w14:textId="77777777" w:rsidR="00454A29" w:rsidRDefault="00454A29"/>
        </w:tc>
        <w:tc>
          <w:tcPr>
            <w:tcW w:w="2324" w:type="dxa"/>
            <w:vMerge/>
          </w:tcPr>
          <w:p w14:paraId="5A96AE26" w14:textId="77777777" w:rsidR="00454A29" w:rsidRDefault="00454A29"/>
        </w:tc>
        <w:tc>
          <w:tcPr>
            <w:tcW w:w="1701" w:type="dxa"/>
            <w:vAlign w:val="center"/>
          </w:tcPr>
          <w:p w14:paraId="61A3D6D9" w14:textId="77777777" w:rsidR="00454A29" w:rsidRDefault="00454A29">
            <w:pPr>
              <w:pStyle w:val="ConsPlusNormal"/>
              <w:jc w:val="center"/>
            </w:pPr>
            <w:r>
              <w:t>46 057,22</w:t>
            </w:r>
          </w:p>
        </w:tc>
        <w:tc>
          <w:tcPr>
            <w:tcW w:w="1814" w:type="dxa"/>
            <w:vAlign w:val="center"/>
          </w:tcPr>
          <w:p w14:paraId="65762403" w14:textId="77777777" w:rsidR="00454A29" w:rsidRDefault="00454A29">
            <w:pPr>
              <w:pStyle w:val="ConsPlusNormal"/>
              <w:jc w:val="center"/>
            </w:pPr>
            <w:r>
              <w:t>31 181,24</w:t>
            </w:r>
          </w:p>
        </w:tc>
        <w:tc>
          <w:tcPr>
            <w:tcW w:w="1701" w:type="dxa"/>
            <w:vAlign w:val="center"/>
          </w:tcPr>
          <w:p w14:paraId="0050777D" w14:textId="77777777" w:rsidR="00454A29" w:rsidRDefault="00454A29">
            <w:pPr>
              <w:pStyle w:val="ConsPlusNormal"/>
            </w:pPr>
          </w:p>
        </w:tc>
        <w:tc>
          <w:tcPr>
            <w:tcW w:w="1701" w:type="dxa"/>
            <w:vAlign w:val="center"/>
          </w:tcPr>
          <w:p w14:paraId="2A049535" w14:textId="77777777" w:rsidR="00454A29" w:rsidRDefault="00454A29">
            <w:pPr>
              <w:pStyle w:val="ConsPlusNormal"/>
              <w:jc w:val="center"/>
            </w:pPr>
            <w:r>
              <w:t>14 875,98</w:t>
            </w:r>
          </w:p>
        </w:tc>
        <w:tc>
          <w:tcPr>
            <w:tcW w:w="1814" w:type="dxa"/>
            <w:vAlign w:val="center"/>
          </w:tcPr>
          <w:p w14:paraId="0CDCDED6" w14:textId="77777777" w:rsidR="00454A29" w:rsidRDefault="00454A29">
            <w:pPr>
              <w:pStyle w:val="ConsPlusNormal"/>
            </w:pPr>
          </w:p>
        </w:tc>
      </w:tr>
      <w:tr w:rsidR="00454A29" w14:paraId="0544F504" w14:textId="77777777">
        <w:tc>
          <w:tcPr>
            <w:tcW w:w="567" w:type="dxa"/>
            <w:vMerge/>
          </w:tcPr>
          <w:p w14:paraId="6AF8543D" w14:textId="77777777" w:rsidR="00454A29" w:rsidRDefault="00454A29"/>
        </w:tc>
        <w:tc>
          <w:tcPr>
            <w:tcW w:w="3345" w:type="dxa"/>
            <w:vMerge/>
          </w:tcPr>
          <w:p w14:paraId="53C48F30" w14:textId="77777777" w:rsidR="00454A29" w:rsidRDefault="00454A29"/>
        </w:tc>
        <w:tc>
          <w:tcPr>
            <w:tcW w:w="1701" w:type="dxa"/>
            <w:vAlign w:val="center"/>
          </w:tcPr>
          <w:p w14:paraId="36B5F4FC" w14:textId="77777777" w:rsidR="00454A29" w:rsidRDefault="00454A29">
            <w:pPr>
              <w:pStyle w:val="ConsPlusNormal"/>
              <w:jc w:val="center"/>
            </w:pPr>
            <w:r>
              <w:t>2022</w:t>
            </w:r>
          </w:p>
        </w:tc>
        <w:tc>
          <w:tcPr>
            <w:tcW w:w="1417" w:type="dxa"/>
            <w:vMerge/>
          </w:tcPr>
          <w:p w14:paraId="7D844B7F" w14:textId="77777777" w:rsidR="00454A29" w:rsidRDefault="00454A29"/>
        </w:tc>
        <w:tc>
          <w:tcPr>
            <w:tcW w:w="2204" w:type="dxa"/>
            <w:vMerge/>
          </w:tcPr>
          <w:p w14:paraId="5751532D" w14:textId="77777777" w:rsidR="00454A29" w:rsidRDefault="00454A29"/>
        </w:tc>
        <w:tc>
          <w:tcPr>
            <w:tcW w:w="1417" w:type="dxa"/>
            <w:vMerge/>
          </w:tcPr>
          <w:p w14:paraId="65F0D1EB" w14:textId="77777777" w:rsidR="00454A29" w:rsidRDefault="00454A29"/>
        </w:tc>
        <w:tc>
          <w:tcPr>
            <w:tcW w:w="2324" w:type="dxa"/>
            <w:vMerge/>
          </w:tcPr>
          <w:p w14:paraId="62B205C7" w14:textId="77777777" w:rsidR="00454A29" w:rsidRDefault="00454A29"/>
        </w:tc>
        <w:tc>
          <w:tcPr>
            <w:tcW w:w="1701" w:type="dxa"/>
            <w:vAlign w:val="center"/>
          </w:tcPr>
          <w:p w14:paraId="6294823A" w14:textId="77777777" w:rsidR="00454A29" w:rsidRDefault="00454A29">
            <w:pPr>
              <w:pStyle w:val="ConsPlusNormal"/>
              <w:jc w:val="center"/>
            </w:pPr>
            <w:r>
              <w:t>51 817,78</w:t>
            </w:r>
          </w:p>
        </w:tc>
        <w:tc>
          <w:tcPr>
            <w:tcW w:w="1814" w:type="dxa"/>
            <w:vAlign w:val="center"/>
          </w:tcPr>
          <w:p w14:paraId="7654CA3A" w14:textId="77777777" w:rsidR="00454A29" w:rsidRDefault="00454A29">
            <w:pPr>
              <w:pStyle w:val="ConsPlusNormal"/>
              <w:jc w:val="center"/>
            </w:pPr>
            <w:r>
              <w:t>36 134,47</w:t>
            </w:r>
          </w:p>
        </w:tc>
        <w:tc>
          <w:tcPr>
            <w:tcW w:w="1701" w:type="dxa"/>
            <w:vAlign w:val="center"/>
          </w:tcPr>
          <w:p w14:paraId="2DDF0723" w14:textId="77777777" w:rsidR="00454A29" w:rsidRDefault="00454A29">
            <w:pPr>
              <w:pStyle w:val="ConsPlusNormal"/>
            </w:pPr>
          </w:p>
        </w:tc>
        <w:tc>
          <w:tcPr>
            <w:tcW w:w="1701" w:type="dxa"/>
            <w:vAlign w:val="center"/>
          </w:tcPr>
          <w:p w14:paraId="60218B20" w14:textId="77777777" w:rsidR="00454A29" w:rsidRDefault="00454A29">
            <w:pPr>
              <w:pStyle w:val="ConsPlusNormal"/>
              <w:jc w:val="center"/>
            </w:pPr>
            <w:r>
              <w:t>15 683,31</w:t>
            </w:r>
          </w:p>
        </w:tc>
        <w:tc>
          <w:tcPr>
            <w:tcW w:w="1814" w:type="dxa"/>
            <w:vAlign w:val="center"/>
          </w:tcPr>
          <w:p w14:paraId="01E33A6C" w14:textId="77777777" w:rsidR="00454A29" w:rsidRDefault="00454A29">
            <w:pPr>
              <w:pStyle w:val="ConsPlusNormal"/>
            </w:pPr>
          </w:p>
        </w:tc>
      </w:tr>
      <w:tr w:rsidR="00454A29" w14:paraId="3E64684B" w14:textId="77777777">
        <w:tc>
          <w:tcPr>
            <w:tcW w:w="567" w:type="dxa"/>
            <w:vMerge/>
          </w:tcPr>
          <w:p w14:paraId="41783B46" w14:textId="77777777" w:rsidR="00454A29" w:rsidRDefault="00454A29"/>
        </w:tc>
        <w:tc>
          <w:tcPr>
            <w:tcW w:w="3345" w:type="dxa"/>
            <w:vMerge/>
          </w:tcPr>
          <w:p w14:paraId="3C86CC54" w14:textId="77777777" w:rsidR="00454A29" w:rsidRDefault="00454A29"/>
        </w:tc>
        <w:tc>
          <w:tcPr>
            <w:tcW w:w="1701" w:type="dxa"/>
            <w:vAlign w:val="center"/>
          </w:tcPr>
          <w:p w14:paraId="1A599041" w14:textId="77777777" w:rsidR="00454A29" w:rsidRDefault="00454A29">
            <w:pPr>
              <w:pStyle w:val="ConsPlusNormal"/>
              <w:jc w:val="center"/>
            </w:pPr>
            <w:r>
              <w:t>2023</w:t>
            </w:r>
          </w:p>
        </w:tc>
        <w:tc>
          <w:tcPr>
            <w:tcW w:w="1417" w:type="dxa"/>
            <w:vMerge/>
          </w:tcPr>
          <w:p w14:paraId="78FFCA01" w14:textId="77777777" w:rsidR="00454A29" w:rsidRDefault="00454A29"/>
        </w:tc>
        <w:tc>
          <w:tcPr>
            <w:tcW w:w="2204" w:type="dxa"/>
            <w:vMerge/>
          </w:tcPr>
          <w:p w14:paraId="07F571A4" w14:textId="77777777" w:rsidR="00454A29" w:rsidRDefault="00454A29"/>
        </w:tc>
        <w:tc>
          <w:tcPr>
            <w:tcW w:w="1417" w:type="dxa"/>
            <w:vMerge/>
          </w:tcPr>
          <w:p w14:paraId="6E155BFE" w14:textId="77777777" w:rsidR="00454A29" w:rsidRDefault="00454A29"/>
        </w:tc>
        <w:tc>
          <w:tcPr>
            <w:tcW w:w="2324" w:type="dxa"/>
            <w:vMerge/>
          </w:tcPr>
          <w:p w14:paraId="4477210D" w14:textId="77777777" w:rsidR="00454A29" w:rsidRDefault="00454A29"/>
        </w:tc>
        <w:tc>
          <w:tcPr>
            <w:tcW w:w="1701" w:type="dxa"/>
            <w:vAlign w:val="center"/>
          </w:tcPr>
          <w:p w14:paraId="293BBA47" w14:textId="77777777" w:rsidR="00454A29" w:rsidRDefault="00454A29">
            <w:pPr>
              <w:pStyle w:val="ConsPlusNormal"/>
              <w:jc w:val="center"/>
            </w:pPr>
            <w:r>
              <w:t>58 408,99</w:t>
            </w:r>
          </w:p>
        </w:tc>
        <w:tc>
          <w:tcPr>
            <w:tcW w:w="1814" w:type="dxa"/>
            <w:vAlign w:val="center"/>
          </w:tcPr>
          <w:p w14:paraId="7366055D" w14:textId="77777777" w:rsidR="00454A29" w:rsidRDefault="00454A29">
            <w:pPr>
              <w:pStyle w:val="ConsPlusNormal"/>
              <w:jc w:val="center"/>
            </w:pPr>
            <w:r>
              <w:t>41 874,53</w:t>
            </w:r>
          </w:p>
        </w:tc>
        <w:tc>
          <w:tcPr>
            <w:tcW w:w="1701" w:type="dxa"/>
            <w:vAlign w:val="center"/>
          </w:tcPr>
          <w:p w14:paraId="2BE8BD3E" w14:textId="77777777" w:rsidR="00454A29" w:rsidRDefault="00454A29">
            <w:pPr>
              <w:pStyle w:val="ConsPlusNormal"/>
            </w:pPr>
          </w:p>
        </w:tc>
        <w:tc>
          <w:tcPr>
            <w:tcW w:w="1701" w:type="dxa"/>
            <w:vAlign w:val="center"/>
          </w:tcPr>
          <w:p w14:paraId="1AB0C220" w14:textId="77777777" w:rsidR="00454A29" w:rsidRDefault="00454A29">
            <w:pPr>
              <w:pStyle w:val="ConsPlusNormal"/>
              <w:jc w:val="center"/>
            </w:pPr>
            <w:r>
              <w:t>16 534,46</w:t>
            </w:r>
          </w:p>
        </w:tc>
        <w:tc>
          <w:tcPr>
            <w:tcW w:w="1814" w:type="dxa"/>
            <w:vAlign w:val="center"/>
          </w:tcPr>
          <w:p w14:paraId="0A140DDC" w14:textId="77777777" w:rsidR="00454A29" w:rsidRDefault="00454A29">
            <w:pPr>
              <w:pStyle w:val="ConsPlusNormal"/>
            </w:pPr>
          </w:p>
        </w:tc>
      </w:tr>
      <w:tr w:rsidR="00454A29" w14:paraId="4D542BC8" w14:textId="77777777">
        <w:tc>
          <w:tcPr>
            <w:tcW w:w="567" w:type="dxa"/>
            <w:vMerge/>
          </w:tcPr>
          <w:p w14:paraId="2D01E801" w14:textId="77777777" w:rsidR="00454A29" w:rsidRDefault="00454A29"/>
        </w:tc>
        <w:tc>
          <w:tcPr>
            <w:tcW w:w="3345" w:type="dxa"/>
            <w:vMerge/>
          </w:tcPr>
          <w:p w14:paraId="3D2E3146" w14:textId="77777777" w:rsidR="00454A29" w:rsidRDefault="00454A29"/>
        </w:tc>
        <w:tc>
          <w:tcPr>
            <w:tcW w:w="1701" w:type="dxa"/>
            <w:vAlign w:val="center"/>
          </w:tcPr>
          <w:p w14:paraId="30252C23" w14:textId="77777777" w:rsidR="00454A29" w:rsidRDefault="00454A29">
            <w:pPr>
              <w:pStyle w:val="ConsPlusNormal"/>
              <w:jc w:val="center"/>
            </w:pPr>
            <w:r>
              <w:t>2024</w:t>
            </w:r>
          </w:p>
        </w:tc>
        <w:tc>
          <w:tcPr>
            <w:tcW w:w="1417" w:type="dxa"/>
            <w:vMerge/>
          </w:tcPr>
          <w:p w14:paraId="1D1B0F29" w14:textId="77777777" w:rsidR="00454A29" w:rsidRDefault="00454A29"/>
        </w:tc>
        <w:tc>
          <w:tcPr>
            <w:tcW w:w="2204" w:type="dxa"/>
            <w:vMerge/>
          </w:tcPr>
          <w:p w14:paraId="32216692" w14:textId="77777777" w:rsidR="00454A29" w:rsidRDefault="00454A29"/>
        </w:tc>
        <w:tc>
          <w:tcPr>
            <w:tcW w:w="1417" w:type="dxa"/>
            <w:vMerge/>
          </w:tcPr>
          <w:p w14:paraId="4668BE3D" w14:textId="77777777" w:rsidR="00454A29" w:rsidRDefault="00454A29"/>
        </w:tc>
        <w:tc>
          <w:tcPr>
            <w:tcW w:w="2324" w:type="dxa"/>
            <w:vMerge/>
          </w:tcPr>
          <w:p w14:paraId="3B5703C6" w14:textId="77777777" w:rsidR="00454A29" w:rsidRDefault="00454A29"/>
        </w:tc>
        <w:tc>
          <w:tcPr>
            <w:tcW w:w="1701" w:type="dxa"/>
            <w:vAlign w:val="center"/>
          </w:tcPr>
          <w:p w14:paraId="1438A610" w14:textId="77777777" w:rsidR="00454A29" w:rsidRDefault="00454A29">
            <w:pPr>
              <w:pStyle w:val="ConsPlusNormal"/>
              <w:jc w:val="center"/>
            </w:pPr>
            <w:r>
              <w:t>65 958,21</w:t>
            </w:r>
          </w:p>
        </w:tc>
        <w:tc>
          <w:tcPr>
            <w:tcW w:w="1814" w:type="dxa"/>
            <w:vAlign w:val="center"/>
          </w:tcPr>
          <w:p w14:paraId="5C477333" w14:textId="77777777" w:rsidR="00454A29" w:rsidRDefault="00454A29">
            <w:pPr>
              <w:pStyle w:val="ConsPlusNormal"/>
              <w:jc w:val="center"/>
            </w:pPr>
            <w:r>
              <w:t>48 526,41</w:t>
            </w:r>
          </w:p>
        </w:tc>
        <w:tc>
          <w:tcPr>
            <w:tcW w:w="1701" w:type="dxa"/>
            <w:vAlign w:val="center"/>
          </w:tcPr>
          <w:p w14:paraId="3C1B5EFE" w14:textId="77777777" w:rsidR="00454A29" w:rsidRDefault="00454A29">
            <w:pPr>
              <w:pStyle w:val="ConsPlusNormal"/>
            </w:pPr>
          </w:p>
        </w:tc>
        <w:tc>
          <w:tcPr>
            <w:tcW w:w="1701" w:type="dxa"/>
            <w:vAlign w:val="center"/>
          </w:tcPr>
          <w:p w14:paraId="01180C98" w14:textId="77777777" w:rsidR="00454A29" w:rsidRDefault="00454A29">
            <w:pPr>
              <w:pStyle w:val="ConsPlusNormal"/>
              <w:jc w:val="center"/>
            </w:pPr>
            <w:r>
              <w:t>17 431,80</w:t>
            </w:r>
          </w:p>
        </w:tc>
        <w:tc>
          <w:tcPr>
            <w:tcW w:w="1814" w:type="dxa"/>
            <w:vAlign w:val="center"/>
          </w:tcPr>
          <w:p w14:paraId="12A7E04A" w14:textId="77777777" w:rsidR="00454A29" w:rsidRDefault="00454A29">
            <w:pPr>
              <w:pStyle w:val="ConsPlusNormal"/>
            </w:pPr>
          </w:p>
        </w:tc>
      </w:tr>
      <w:tr w:rsidR="00454A29" w14:paraId="6CF06166" w14:textId="77777777">
        <w:tc>
          <w:tcPr>
            <w:tcW w:w="567" w:type="dxa"/>
            <w:vMerge/>
          </w:tcPr>
          <w:p w14:paraId="31208624" w14:textId="77777777" w:rsidR="00454A29" w:rsidRDefault="00454A29"/>
        </w:tc>
        <w:tc>
          <w:tcPr>
            <w:tcW w:w="3345" w:type="dxa"/>
            <w:vMerge/>
          </w:tcPr>
          <w:p w14:paraId="47C6D337" w14:textId="77777777" w:rsidR="00454A29" w:rsidRDefault="00454A29"/>
        </w:tc>
        <w:tc>
          <w:tcPr>
            <w:tcW w:w="1701" w:type="dxa"/>
            <w:vAlign w:val="center"/>
          </w:tcPr>
          <w:p w14:paraId="31A1D167" w14:textId="77777777" w:rsidR="00454A29" w:rsidRDefault="00454A29">
            <w:pPr>
              <w:pStyle w:val="ConsPlusNormal"/>
              <w:jc w:val="center"/>
            </w:pPr>
            <w:r>
              <w:t>2025</w:t>
            </w:r>
          </w:p>
        </w:tc>
        <w:tc>
          <w:tcPr>
            <w:tcW w:w="1417" w:type="dxa"/>
            <w:vMerge/>
          </w:tcPr>
          <w:p w14:paraId="27EB2FE4" w14:textId="77777777" w:rsidR="00454A29" w:rsidRDefault="00454A29"/>
        </w:tc>
        <w:tc>
          <w:tcPr>
            <w:tcW w:w="2204" w:type="dxa"/>
            <w:vMerge/>
          </w:tcPr>
          <w:p w14:paraId="0498FEA5" w14:textId="77777777" w:rsidR="00454A29" w:rsidRDefault="00454A29"/>
        </w:tc>
        <w:tc>
          <w:tcPr>
            <w:tcW w:w="1417" w:type="dxa"/>
            <w:vMerge/>
          </w:tcPr>
          <w:p w14:paraId="7C6DB7FC" w14:textId="77777777" w:rsidR="00454A29" w:rsidRDefault="00454A29"/>
        </w:tc>
        <w:tc>
          <w:tcPr>
            <w:tcW w:w="2324" w:type="dxa"/>
            <w:vMerge/>
          </w:tcPr>
          <w:p w14:paraId="183839A8" w14:textId="77777777" w:rsidR="00454A29" w:rsidRDefault="00454A29"/>
        </w:tc>
        <w:tc>
          <w:tcPr>
            <w:tcW w:w="1701" w:type="dxa"/>
            <w:vAlign w:val="center"/>
          </w:tcPr>
          <w:p w14:paraId="4008A64B" w14:textId="77777777" w:rsidR="00454A29" w:rsidRDefault="00454A29">
            <w:pPr>
              <w:pStyle w:val="ConsPlusNormal"/>
              <w:jc w:val="center"/>
            </w:pPr>
            <w:r>
              <w:t>74 612,81</w:t>
            </w:r>
          </w:p>
        </w:tc>
        <w:tc>
          <w:tcPr>
            <w:tcW w:w="1814" w:type="dxa"/>
            <w:vAlign w:val="center"/>
          </w:tcPr>
          <w:p w14:paraId="26E050EE" w14:textId="77777777" w:rsidR="00454A29" w:rsidRDefault="00454A29">
            <w:pPr>
              <w:pStyle w:val="ConsPlusNormal"/>
              <w:jc w:val="center"/>
            </w:pPr>
            <w:r>
              <w:t>56 234,97</w:t>
            </w:r>
          </w:p>
        </w:tc>
        <w:tc>
          <w:tcPr>
            <w:tcW w:w="1701" w:type="dxa"/>
            <w:vAlign w:val="center"/>
          </w:tcPr>
          <w:p w14:paraId="068D9175" w14:textId="77777777" w:rsidR="00454A29" w:rsidRDefault="00454A29">
            <w:pPr>
              <w:pStyle w:val="ConsPlusNormal"/>
            </w:pPr>
          </w:p>
        </w:tc>
        <w:tc>
          <w:tcPr>
            <w:tcW w:w="1701" w:type="dxa"/>
            <w:vAlign w:val="center"/>
          </w:tcPr>
          <w:p w14:paraId="0011E490" w14:textId="77777777" w:rsidR="00454A29" w:rsidRDefault="00454A29">
            <w:pPr>
              <w:pStyle w:val="ConsPlusNormal"/>
              <w:jc w:val="center"/>
            </w:pPr>
            <w:r>
              <w:t>18 377,84</w:t>
            </w:r>
          </w:p>
        </w:tc>
        <w:tc>
          <w:tcPr>
            <w:tcW w:w="1814" w:type="dxa"/>
            <w:vAlign w:val="center"/>
          </w:tcPr>
          <w:p w14:paraId="497A1E7C" w14:textId="77777777" w:rsidR="00454A29" w:rsidRDefault="00454A29">
            <w:pPr>
              <w:pStyle w:val="ConsPlusNormal"/>
            </w:pPr>
          </w:p>
        </w:tc>
      </w:tr>
      <w:tr w:rsidR="00454A29" w14:paraId="1094CDA4" w14:textId="77777777">
        <w:tc>
          <w:tcPr>
            <w:tcW w:w="567" w:type="dxa"/>
            <w:vMerge/>
          </w:tcPr>
          <w:p w14:paraId="5CD5722D" w14:textId="77777777" w:rsidR="00454A29" w:rsidRDefault="00454A29"/>
        </w:tc>
        <w:tc>
          <w:tcPr>
            <w:tcW w:w="3345" w:type="dxa"/>
            <w:vMerge/>
          </w:tcPr>
          <w:p w14:paraId="038A0663" w14:textId="77777777" w:rsidR="00454A29" w:rsidRDefault="00454A29"/>
        </w:tc>
        <w:tc>
          <w:tcPr>
            <w:tcW w:w="1701" w:type="dxa"/>
            <w:vAlign w:val="center"/>
          </w:tcPr>
          <w:p w14:paraId="6123B5DE" w14:textId="77777777" w:rsidR="00454A29" w:rsidRDefault="00454A29">
            <w:pPr>
              <w:pStyle w:val="ConsPlusNormal"/>
              <w:jc w:val="center"/>
            </w:pPr>
            <w:r>
              <w:t>2026</w:t>
            </w:r>
          </w:p>
        </w:tc>
        <w:tc>
          <w:tcPr>
            <w:tcW w:w="1417" w:type="dxa"/>
            <w:vMerge/>
          </w:tcPr>
          <w:p w14:paraId="3204DE71" w14:textId="77777777" w:rsidR="00454A29" w:rsidRDefault="00454A29"/>
        </w:tc>
        <w:tc>
          <w:tcPr>
            <w:tcW w:w="2204" w:type="dxa"/>
            <w:vMerge/>
          </w:tcPr>
          <w:p w14:paraId="7FD651E4" w14:textId="77777777" w:rsidR="00454A29" w:rsidRDefault="00454A29"/>
        </w:tc>
        <w:tc>
          <w:tcPr>
            <w:tcW w:w="1417" w:type="dxa"/>
            <w:vMerge/>
          </w:tcPr>
          <w:p w14:paraId="5C10848C" w14:textId="77777777" w:rsidR="00454A29" w:rsidRDefault="00454A29"/>
        </w:tc>
        <w:tc>
          <w:tcPr>
            <w:tcW w:w="2324" w:type="dxa"/>
            <w:vMerge/>
          </w:tcPr>
          <w:p w14:paraId="00B9DE48" w14:textId="77777777" w:rsidR="00454A29" w:rsidRDefault="00454A29"/>
        </w:tc>
        <w:tc>
          <w:tcPr>
            <w:tcW w:w="1701" w:type="dxa"/>
            <w:vAlign w:val="center"/>
          </w:tcPr>
          <w:p w14:paraId="75912773" w14:textId="77777777" w:rsidR="00454A29" w:rsidRDefault="00454A29">
            <w:pPr>
              <w:pStyle w:val="ConsPlusNormal"/>
              <w:jc w:val="center"/>
            </w:pPr>
            <w:r>
              <w:t>84 543,27</w:t>
            </w:r>
          </w:p>
        </w:tc>
        <w:tc>
          <w:tcPr>
            <w:tcW w:w="1814" w:type="dxa"/>
            <w:vAlign w:val="center"/>
          </w:tcPr>
          <w:p w14:paraId="5CA368ED" w14:textId="77777777" w:rsidR="00454A29" w:rsidRDefault="00454A29">
            <w:pPr>
              <w:pStyle w:val="ConsPlusNormal"/>
              <w:jc w:val="center"/>
            </w:pPr>
            <w:r>
              <w:t>65 168,06</w:t>
            </w:r>
          </w:p>
        </w:tc>
        <w:tc>
          <w:tcPr>
            <w:tcW w:w="1701" w:type="dxa"/>
            <w:vAlign w:val="center"/>
          </w:tcPr>
          <w:p w14:paraId="03FD451C" w14:textId="77777777" w:rsidR="00454A29" w:rsidRDefault="00454A29">
            <w:pPr>
              <w:pStyle w:val="ConsPlusNormal"/>
            </w:pPr>
          </w:p>
        </w:tc>
        <w:tc>
          <w:tcPr>
            <w:tcW w:w="1701" w:type="dxa"/>
            <w:vAlign w:val="center"/>
          </w:tcPr>
          <w:p w14:paraId="26510410" w14:textId="77777777" w:rsidR="00454A29" w:rsidRDefault="00454A29">
            <w:pPr>
              <w:pStyle w:val="ConsPlusNormal"/>
              <w:jc w:val="center"/>
            </w:pPr>
            <w:r>
              <w:t>19 375,21</w:t>
            </w:r>
          </w:p>
        </w:tc>
        <w:tc>
          <w:tcPr>
            <w:tcW w:w="1814" w:type="dxa"/>
            <w:vAlign w:val="center"/>
          </w:tcPr>
          <w:p w14:paraId="0D1598D5" w14:textId="77777777" w:rsidR="00454A29" w:rsidRDefault="00454A29">
            <w:pPr>
              <w:pStyle w:val="ConsPlusNormal"/>
            </w:pPr>
          </w:p>
        </w:tc>
      </w:tr>
      <w:tr w:rsidR="00454A29" w14:paraId="5D3F12C1" w14:textId="77777777">
        <w:tc>
          <w:tcPr>
            <w:tcW w:w="567" w:type="dxa"/>
            <w:vMerge w:val="restart"/>
            <w:vAlign w:val="center"/>
          </w:tcPr>
          <w:p w14:paraId="37A1D123" w14:textId="77777777" w:rsidR="00454A29" w:rsidRDefault="00454A29">
            <w:pPr>
              <w:pStyle w:val="ConsPlusNormal"/>
              <w:jc w:val="center"/>
            </w:pPr>
            <w:r>
              <w:t>74</w:t>
            </w:r>
          </w:p>
        </w:tc>
        <w:tc>
          <w:tcPr>
            <w:tcW w:w="3345" w:type="dxa"/>
            <w:vMerge w:val="restart"/>
            <w:vAlign w:val="center"/>
          </w:tcPr>
          <w:p w14:paraId="55E10D45" w14:textId="77777777" w:rsidR="00454A29" w:rsidRDefault="00454A29">
            <w:pPr>
              <w:pStyle w:val="ConsPlusNormal"/>
              <w:jc w:val="center"/>
            </w:pPr>
            <w:r>
              <w:t>Детский сад N 30 по ул. Пионерская в квартале 2 "в" города Якутска</w:t>
            </w:r>
          </w:p>
        </w:tc>
        <w:tc>
          <w:tcPr>
            <w:tcW w:w="1701" w:type="dxa"/>
            <w:vAlign w:val="center"/>
          </w:tcPr>
          <w:p w14:paraId="35C6FCF0" w14:textId="77777777" w:rsidR="00454A29" w:rsidRDefault="00454A29">
            <w:pPr>
              <w:pStyle w:val="ConsPlusNormal"/>
              <w:jc w:val="center"/>
            </w:pPr>
            <w:r>
              <w:t>Всего:</w:t>
            </w:r>
          </w:p>
        </w:tc>
        <w:tc>
          <w:tcPr>
            <w:tcW w:w="1417" w:type="dxa"/>
            <w:vMerge w:val="restart"/>
            <w:vAlign w:val="center"/>
          </w:tcPr>
          <w:p w14:paraId="2DE25A1B" w14:textId="77777777" w:rsidR="00454A29" w:rsidRDefault="00454A29">
            <w:pPr>
              <w:pStyle w:val="ConsPlusNormal"/>
              <w:jc w:val="center"/>
            </w:pPr>
            <w:r>
              <w:t>473 500,92</w:t>
            </w:r>
          </w:p>
        </w:tc>
        <w:tc>
          <w:tcPr>
            <w:tcW w:w="2204" w:type="dxa"/>
            <w:vMerge w:val="restart"/>
            <w:vAlign w:val="center"/>
          </w:tcPr>
          <w:p w14:paraId="5FA78C42" w14:textId="77777777" w:rsidR="00454A29" w:rsidRDefault="00454A29">
            <w:pPr>
              <w:pStyle w:val="ConsPlusNormal"/>
              <w:jc w:val="center"/>
            </w:pPr>
            <w:r>
              <w:t>имеется</w:t>
            </w:r>
          </w:p>
        </w:tc>
        <w:tc>
          <w:tcPr>
            <w:tcW w:w="1417" w:type="dxa"/>
            <w:vMerge w:val="restart"/>
            <w:vAlign w:val="center"/>
          </w:tcPr>
          <w:p w14:paraId="39BCA0A3" w14:textId="77777777" w:rsidR="00454A29" w:rsidRDefault="00454A29">
            <w:pPr>
              <w:pStyle w:val="ConsPlusNormal"/>
              <w:jc w:val="center"/>
            </w:pPr>
            <w:r>
              <w:t>200</w:t>
            </w:r>
          </w:p>
        </w:tc>
        <w:tc>
          <w:tcPr>
            <w:tcW w:w="2324" w:type="dxa"/>
            <w:vMerge w:val="restart"/>
            <w:vAlign w:val="center"/>
          </w:tcPr>
          <w:p w14:paraId="146B4CD5" w14:textId="77777777" w:rsidR="00454A29" w:rsidRDefault="00454A29">
            <w:pPr>
              <w:pStyle w:val="ConsPlusNormal"/>
              <w:jc w:val="center"/>
            </w:pPr>
            <w:r>
              <w:t>Минэкономики РС(Я), ГО "город Якутск"</w:t>
            </w:r>
          </w:p>
        </w:tc>
        <w:tc>
          <w:tcPr>
            <w:tcW w:w="1701" w:type="dxa"/>
            <w:vAlign w:val="center"/>
          </w:tcPr>
          <w:p w14:paraId="736F4305" w14:textId="77777777" w:rsidR="00454A29" w:rsidRDefault="00454A29">
            <w:pPr>
              <w:pStyle w:val="ConsPlusNormal"/>
              <w:jc w:val="center"/>
            </w:pPr>
            <w:r>
              <w:t>912 779,52</w:t>
            </w:r>
          </w:p>
        </w:tc>
        <w:tc>
          <w:tcPr>
            <w:tcW w:w="1814" w:type="dxa"/>
            <w:vAlign w:val="center"/>
          </w:tcPr>
          <w:p w14:paraId="0E6B0723" w14:textId="77777777" w:rsidR="00454A29" w:rsidRDefault="00454A29">
            <w:pPr>
              <w:pStyle w:val="ConsPlusNormal"/>
              <w:jc w:val="center"/>
            </w:pPr>
            <w:r>
              <w:t>361 943,23</w:t>
            </w:r>
          </w:p>
        </w:tc>
        <w:tc>
          <w:tcPr>
            <w:tcW w:w="1701" w:type="dxa"/>
            <w:vAlign w:val="center"/>
          </w:tcPr>
          <w:p w14:paraId="3AFD87FB" w14:textId="77777777" w:rsidR="00454A29" w:rsidRDefault="00454A29">
            <w:pPr>
              <w:pStyle w:val="ConsPlusNormal"/>
              <w:jc w:val="center"/>
            </w:pPr>
            <w:r>
              <w:t>-</w:t>
            </w:r>
          </w:p>
        </w:tc>
        <w:tc>
          <w:tcPr>
            <w:tcW w:w="1701" w:type="dxa"/>
            <w:vAlign w:val="center"/>
          </w:tcPr>
          <w:p w14:paraId="2B567FDA" w14:textId="77777777" w:rsidR="00454A29" w:rsidRDefault="00454A29">
            <w:pPr>
              <w:pStyle w:val="ConsPlusNormal"/>
              <w:jc w:val="center"/>
            </w:pPr>
            <w:r>
              <w:t>124 347,16</w:t>
            </w:r>
          </w:p>
        </w:tc>
        <w:tc>
          <w:tcPr>
            <w:tcW w:w="1814" w:type="dxa"/>
            <w:vAlign w:val="center"/>
          </w:tcPr>
          <w:p w14:paraId="3073959A" w14:textId="77777777" w:rsidR="00454A29" w:rsidRDefault="00454A29">
            <w:pPr>
              <w:pStyle w:val="ConsPlusNormal"/>
              <w:jc w:val="center"/>
            </w:pPr>
            <w:r>
              <w:t>426 489,12</w:t>
            </w:r>
          </w:p>
        </w:tc>
      </w:tr>
      <w:tr w:rsidR="00454A29" w14:paraId="599D44CB" w14:textId="77777777">
        <w:tc>
          <w:tcPr>
            <w:tcW w:w="567" w:type="dxa"/>
            <w:vMerge/>
          </w:tcPr>
          <w:p w14:paraId="57BF5FD6" w14:textId="77777777" w:rsidR="00454A29" w:rsidRDefault="00454A29"/>
        </w:tc>
        <w:tc>
          <w:tcPr>
            <w:tcW w:w="3345" w:type="dxa"/>
            <w:vMerge/>
          </w:tcPr>
          <w:p w14:paraId="63CC79E5" w14:textId="77777777" w:rsidR="00454A29" w:rsidRDefault="00454A29"/>
        </w:tc>
        <w:tc>
          <w:tcPr>
            <w:tcW w:w="1701" w:type="dxa"/>
            <w:vAlign w:val="center"/>
          </w:tcPr>
          <w:p w14:paraId="366D2846" w14:textId="77777777" w:rsidR="00454A29" w:rsidRDefault="00454A29">
            <w:pPr>
              <w:pStyle w:val="ConsPlusNormal"/>
              <w:jc w:val="center"/>
            </w:pPr>
            <w:r>
              <w:t>2016</w:t>
            </w:r>
          </w:p>
        </w:tc>
        <w:tc>
          <w:tcPr>
            <w:tcW w:w="1417" w:type="dxa"/>
            <w:vMerge/>
          </w:tcPr>
          <w:p w14:paraId="14AED65B" w14:textId="77777777" w:rsidR="00454A29" w:rsidRDefault="00454A29"/>
        </w:tc>
        <w:tc>
          <w:tcPr>
            <w:tcW w:w="2204" w:type="dxa"/>
            <w:vMerge/>
          </w:tcPr>
          <w:p w14:paraId="12621B22" w14:textId="77777777" w:rsidR="00454A29" w:rsidRDefault="00454A29"/>
        </w:tc>
        <w:tc>
          <w:tcPr>
            <w:tcW w:w="1417" w:type="dxa"/>
            <w:vMerge/>
          </w:tcPr>
          <w:p w14:paraId="58B7920F" w14:textId="77777777" w:rsidR="00454A29" w:rsidRDefault="00454A29"/>
        </w:tc>
        <w:tc>
          <w:tcPr>
            <w:tcW w:w="2324" w:type="dxa"/>
            <w:vMerge/>
          </w:tcPr>
          <w:p w14:paraId="156B37D2" w14:textId="77777777" w:rsidR="00454A29" w:rsidRDefault="00454A29"/>
        </w:tc>
        <w:tc>
          <w:tcPr>
            <w:tcW w:w="1701" w:type="dxa"/>
            <w:vAlign w:val="center"/>
          </w:tcPr>
          <w:p w14:paraId="4D493C1E" w14:textId="77777777" w:rsidR="00454A29" w:rsidRDefault="00454A29">
            <w:pPr>
              <w:pStyle w:val="ConsPlusNormal"/>
              <w:jc w:val="center"/>
            </w:pPr>
            <w:r>
              <w:t>24 763,01</w:t>
            </w:r>
          </w:p>
        </w:tc>
        <w:tc>
          <w:tcPr>
            <w:tcW w:w="1814" w:type="dxa"/>
            <w:vAlign w:val="center"/>
          </w:tcPr>
          <w:p w14:paraId="0D943A05" w14:textId="77777777" w:rsidR="00454A29" w:rsidRDefault="00454A29">
            <w:pPr>
              <w:pStyle w:val="ConsPlusNormal"/>
              <w:jc w:val="center"/>
            </w:pPr>
            <w:r>
              <w:t>11 486,82</w:t>
            </w:r>
          </w:p>
        </w:tc>
        <w:tc>
          <w:tcPr>
            <w:tcW w:w="1701" w:type="dxa"/>
            <w:vAlign w:val="center"/>
          </w:tcPr>
          <w:p w14:paraId="0A82939B" w14:textId="77777777" w:rsidR="00454A29" w:rsidRDefault="00454A29">
            <w:pPr>
              <w:pStyle w:val="ConsPlusNormal"/>
            </w:pPr>
          </w:p>
        </w:tc>
        <w:tc>
          <w:tcPr>
            <w:tcW w:w="1701" w:type="dxa"/>
            <w:vAlign w:val="center"/>
          </w:tcPr>
          <w:p w14:paraId="4E656737" w14:textId="77777777" w:rsidR="00454A29" w:rsidRDefault="00454A29">
            <w:pPr>
              <w:pStyle w:val="ConsPlusNormal"/>
              <w:jc w:val="center"/>
            </w:pPr>
            <w:r>
              <w:t>2 417,00</w:t>
            </w:r>
          </w:p>
        </w:tc>
        <w:tc>
          <w:tcPr>
            <w:tcW w:w="1814" w:type="dxa"/>
            <w:vAlign w:val="center"/>
          </w:tcPr>
          <w:p w14:paraId="233594E1" w14:textId="77777777" w:rsidR="00454A29" w:rsidRDefault="00454A29">
            <w:pPr>
              <w:pStyle w:val="ConsPlusNormal"/>
              <w:jc w:val="center"/>
            </w:pPr>
            <w:r>
              <w:t>10 859,20</w:t>
            </w:r>
          </w:p>
        </w:tc>
      </w:tr>
      <w:tr w:rsidR="00454A29" w14:paraId="30BE2686" w14:textId="77777777">
        <w:tc>
          <w:tcPr>
            <w:tcW w:w="567" w:type="dxa"/>
            <w:vMerge/>
          </w:tcPr>
          <w:p w14:paraId="0164FD69" w14:textId="77777777" w:rsidR="00454A29" w:rsidRDefault="00454A29"/>
        </w:tc>
        <w:tc>
          <w:tcPr>
            <w:tcW w:w="3345" w:type="dxa"/>
            <w:vMerge/>
          </w:tcPr>
          <w:p w14:paraId="1A5A5A92" w14:textId="77777777" w:rsidR="00454A29" w:rsidRDefault="00454A29"/>
        </w:tc>
        <w:tc>
          <w:tcPr>
            <w:tcW w:w="1701" w:type="dxa"/>
            <w:vAlign w:val="center"/>
          </w:tcPr>
          <w:p w14:paraId="17515A13" w14:textId="77777777" w:rsidR="00454A29" w:rsidRDefault="00454A29">
            <w:pPr>
              <w:pStyle w:val="ConsPlusNormal"/>
              <w:jc w:val="center"/>
            </w:pPr>
            <w:r>
              <w:t>2017</w:t>
            </w:r>
          </w:p>
        </w:tc>
        <w:tc>
          <w:tcPr>
            <w:tcW w:w="1417" w:type="dxa"/>
            <w:vMerge/>
          </w:tcPr>
          <w:p w14:paraId="26F95160" w14:textId="77777777" w:rsidR="00454A29" w:rsidRDefault="00454A29"/>
        </w:tc>
        <w:tc>
          <w:tcPr>
            <w:tcW w:w="2204" w:type="dxa"/>
            <w:vMerge/>
          </w:tcPr>
          <w:p w14:paraId="45B39020" w14:textId="77777777" w:rsidR="00454A29" w:rsidRDefault="00454A29"/>
        </w:tc>
        <w:tc>
          <w:tcPr>
            <w:tcW w:w="1417" w:type="dxa"/>
            <w:vMerge/>
          </w:tcPr>
          <w:p w14:paraId="14ACFF52" w14:textId="77777777" w:rsidR="00454A29" w:rsidRDefault="00454A29"/>
        </w:tc>
        <w:tc>
          <w:tcPr>
            <w:tcW w:w="2324" w:type="dxa"/>
            <w:vMerge/>
          </w:tcPr>
          <w:p w14:paraId="4BCBA6EF" w14:textId="77777777" w:rsidR="00454A29" w:rsidRDefault="00454A29"/>
        </w:tc>
        <w:tc>
          <w:tcPr>
            <w:tcW w:w="1701" w:type="dxa"/>
            <w:vAlign w:val="center"/>
          </w:tcPr>
          <w:p w14:paraId="5ECFF6DD" w14:textId="77777777" w:rsidR="00454A29" w:rsidRDefault="00454A29">
            <w:pPr>
              <w:pStyle w:val="ConsPlusNormal"/>
              <w:jc w:val="center"/>
            </w:pPr>
            <w:r>
              <w:t>329 345,39</w:t>
            </w:r>
          </w:p>
        </w:tc>
        <w:tc>
          <w:tcPr>
            <w:tcW w:w="1814" w:type="dxa"/>
            <w:vAlign w:val="center"/>
          </w:tcPr>
          <w:p w14:paraId="6B3E6688" w14:textId="77777777" w:rsidR="00454A29" w:rsidRDefault="00454A29">
            <w:pPr>
              <w:pStyle w:val="ConsPlusNormal"/>
              <w:jc w:val="center"/>
            </w:pPr>
            <w:r>
              <w:t>40 366,40</w:t>
            </w:r>
          </w:p>
        </w:tc>
        <w:tc>
          <w:tcPr>
            <w:tcW w:w="1701" w:type="dxa"/>
            <w:vAlign w:val="center"/>
          </w:tcPr>
          <w:p w14:paraId="53F05EF9" w14:textId="77777777" w:rsidR="00454A29" w:rsidRDefault="00454A29">
            <w:pPr>
              <w:pStyle w:val="ConsPlusNormal"/>
            </w:pPr>
          </w:p>
        </w:tc>
        <w:tc>
          <w:tcPr>
            <w:tcW w:w="1701" w:type="dxa"/>
            <w:vAlign w:val="center"/>
          </w:tcPr>
          <w:p w14:paraId="47786221" w14:textId="77777777" w:rsidR="00454A29" w:rsidRDefault="00454A29">
            <w:pPr>
              <w:pStyle w:val="ConsPlusNormal"/>
              <w:jc w:val="center"/>
            </w:pPr>
            <w:r>
              <w:t>8 493,69</w:t>
            </w:r>
          </w:p>
        </w:tc>
        <w:tc>
          <w:tcPr>
            <w:tcW w:w="1814" w:type="dxa"/>
            <w:vAlign w:val="center"/>
          </w:tcPr>
          <w:p w14:paraId="70596680" w14:textId="77777777" w:rsidR="00454A29" w:rsidRDefault="00454A29">
            <w:pPr>
              <w:pStyle w:val="ConsPlusNormal"/>
              <w:jc w:val="center"/>
            </w:pPr>
            <w:r>
              <w:t>280 485,29</w:t>
            </w:r>
          </w:p>
        </w:tc>
      </w:tr>
      <w:tr w:rsidR="00454A29" w14:paraId="1C9B1AD9" w14:textId="77777777">
        <w:tc>
          <w:tcPr>
            <w:tcW w:w="567" w:type="dxa"/>
            <w:vMerge/>
          </w:tcPr>
          <w:p w14:paraId="09D8BD6C" w14:textId="77777777" w:rsidR="00454A29" w:rsidRDefault="00454A29"/>
        </w:tc>
        <w:tc>
          <w:tcPr>
            <w:tcW w:w="3345" w:type="dxa"/>
            <w:vMerge/>
          </w:tcPr>
          <w:p w14:paraId="5AE78A6F" w14:textId="77777777" w:rsidR="00454A29" w:rsidRDefault="00454A29"/>
        </w:tc>
        <w:tc>
          <w:tcPr>
            <w:tcW w:w="1701" w:type="dxa"/>
            <w:vAlign w:val="center"/>
          </w:tcPr>
          <w:p w14:paraId="7FB6B8FC" w14:textId="77777777" w:rsidR="00454A29" w:rsidRDefault="00454A29">
            <w:pPr>
              <w:pStyle w:val="ConsPlusNormal"/>
              <w:jc w:val="center"/>
            </w:pPr>
            <w:r>
              <w:t>2018</w:t>
            </w:r>
          </w:p>
        </w:tc>
        <w:tc>
          <w:tcPr>
            <w:tcW w:w="1417" w:type="dxa"/>
            <w:vMerge/>
          </w:tcPr>
          <w:p w14:paraId="1FE394A2" w14:textId="77777777" w:rsidR="00454A29" w:rsidRDefault="00454A29"/>
        </w:tc>
        <w:tc>
          <w:tcPr>
            <w:tcW w:w="2204" w:type="dxa"/>
            <w:vMerge/>
          </w:tcPr>
          <w:p w14:paraId="78C9D2B4" w14:textId="77777777" w:rsidR="00454A29" w:rsidRDefault="00454A29"/>
        </w:tc>
        <w:tc>
          <w:tcPr>
            <w:tcW w:w="1417" w:type="dxa"/>
            <w:vMerge/>
          </w:tcPr>
          <w:p w14:paraId="71A54B02" w14:textId="77777777" w:rsidR="00454A29" w:rsidRDefault="00454A29"/>
        </w:tc>
        <w:tc>
          <w:tcPr>
            <w:tcW w:w="2324" w:type="dxa"/>
            <w:vMerge/>
          </w:tcPr>
          <w:p w14:paraId="6D3B833C" w14:textId="77777777" w:rsidR="00454A29" w:rsidRDefault="00454A29"/>
        </w:tc>
        <w:tc>
          <w:tcPr>
            <w:tcW w:w="1701" w:type="dxa"/>
            <w:vAlign w:val="center"/>
          </w:tcPr>
          <w:p w14:paraId="1F268A36" w14:textId="77777777" w:rsidR="00454A29" w:rsidRDefault="00454A29">
            <w:pPr>
              <w:pStyle w:val="ConsPlusNormal"/>
              <w:jc w:val="center"/>
            </w:pPr>
            <w:r>
              <w:t>261 796,27</w:t>
            </w:r>
          </w:p>
        </w:tc>
        <w:tc>
          <w:tcPr>
            <w:tcW w:w="1814" w:type="dxa"/>
            <w:vAlign w:val="center"/>
          </w:tcPr>
          <w:p w14:paraId="2491055F" w14:textId="77777777" w:rsidR="00454A29" w:rsidRDefault="00454A29">
            <w:pPr>
              <w:pStyle w:val="ConsPlusNormal"/>
              <w:jc w:val="center"/>
            </w:pPr>
            <w:r>
              <w:t>110 599,13</w:t>
            </w:r>
          </w:p>
        </w:tc>
        <w:tc>
          <w:tcPr>
            <w:tcW w:w="1701" w:type="dxa"/>
            <w:vAlign w:val="center"/>
          </w:tcPr>
          <w:p w14:paraId="6A87D97D" w14:textId="77777777" w:rsidR="00454A29" w:rsidRDefault="00454A29">
            <w:pPr>
              <w:pStyle w:val="ConsPlusNormal"/>
            </w:pPr>
          </w:p>
        </w:tc>
        <w:tc>
          <w:tcPr>
            <w:tcW w:w="1701" w:type="dxa"/>
            <w:vAlign w:val="center"/>
          </w:tcPr>
          <w:p w14:paraId="78AF714A" w14:textId="77777777" w:rsidR="00454A29" w:rsidRDefault="00454A29">
            <w:pPr>
              <w:pStyle w:val="ConsPlusNormal"/>
              <w:jc w:val="center"/>
            </w:pPr>
            <w:r>
              <w:t>16 052,51</w:t>
            </w:r>
          </w:p>
        </w:tc>
        <w:tc>
          <w:tcPr>
            <w:tcW w:w="1814" w:type="dxa"/>
            <w:vAlign w:val="center"/>
          </w:tcPr>
          <w:p w14:paraId="7D9A1EC3" w14:textId="77777777" w:rsidR="00454A29" w:rsidRDefault="00454A29">
            <w:pPr>
              <w:pStyle w:val="ConsPlusNormal"/>
              <w:jc w:val="center"/>
            </w:pPr>
            <w:r>
              <w:t>135 144,63</w:t>
            </w:r>
          </w:p>
        </w:tc>
      </w:tr>
      <w:tr w:rsidR="00454A29" w14:paraId="3AFAD9CD" w14:textId="77777777">
        <w:tc>
          <w:tcPr>
            <w:tcW w:w="567" w:type="dxa"/>
            <w:vMerge/>
          </w:tcPr>
          <w:p w14:paraId="0561C1FD" w14:textId="77777777" w:rsidR="00454A29" w:rsidRDefault="00454A29"/>
        </w:tc>
        <w:tc>
          <w:tcPr>
            <w:tcW w:w="3345" w:type="dxa"/>
            <w:vMerge/>
          </w:tcPr>
          <w:p w14:paraId="125BC182" w14:textId="77777777" w:rsidR="00454A29" w:rsidRDefault="00454A29"/>
        </w:tc>
        <w:tc>
          <w:tcPr>
            <w:tcW w:w="1701" w:type="dxa"/>
            <w:vAlign w:val="center"/>
          </w:tcPr>
          <w:p w14:paraId="651B4D59" w14:textId="77777777" w:rsidR="00454A29" w:rsidRDefault="00454A29">
            <w:pPr>
              <w:pStyle w:val="ConsPlusNormal"/>
              <w:jc w:val="center"/>
            </w:pPr>
            <w:r>
              <w:t>2019</w:t>
            </w:r>
          </w:p>
        </w:tc>
        <w:tc>
          <w:tcPr>
            <w:tcW w:w="1417" w:type="dxa"/>
            <w:vMerge/>
          </w:tcPr>
          <w:p w14:paraId="63734737" w14:textId="77777777" w:rsidR="00454A29" w:rsidRDefault="00454A29"/>
        </w:tc>
        <w:tc>
          <w:tcPr>
            <w:tcW w:w="2204" w:type="dxa"/>
            <w:vMerge/>
          </w:tcPr>
          <w:p w14:paraId="587FFACC" w14:textId="77777777" w:rsidR="00454A29" w:rsidRDefault="00454A29"/>
        </w:tc>
        <w:tc>
          <w:tcPr>
            <w:tcW w:w="1417" w:type="dxa"/>
            <w:vMerge/>
          </w:tcPr>
          <w:p w14:paraId="40C53A94" w14:textId="77777777" w:rsidR="00454A29" w:rsidRDefault="00454A29"/>
        </w:tc>
        <w:tc>
          <w:tcPr>
            <w:tcW w:w="2324" w:type="dxa"/>
            <w:vMerge/>
          </w:tcPr>
          <w:p w14:paraId="69650AC4" w14:textId="77777777" w:rsidR="00454A29" w:rsidRDefault="00454A29"/>
        </w:tc>
        <w:tc>
          <w:tcPr>
            <w:tcW w:w="1701" w:type="dxa"/>
            <w:vAlign w:val="center"/>
          </w:tcPr>
          <w:p w14:paraId="645AFA96" w14:textId="77777777" w:rsidR="00454A29" w:rsidRDefault="00454A29">
            <w:pPr>
              <w:pStyle w:val="ConsPlusNormal"/>
              <w:jc w:val="center"/>
            </w:pPr>
            <w:r>
              <w:t>-</w:t>
            </w:r>
          </w:p>
        </w:tc>
        <w:tc>
          <w:tcPr>
            <w:tcW w:w="1814" w:type="dxa"/>
            <w:vAlign w:val="center"/>
          </w:tcPr>
          <w:p w14:paraId="114C303A" w14:textId="77777777" w:rsidR="00454A29" w:rsidRDefault="00454A29">
            <w:pPr>
              <w:pStyle w:val="ConsPlusNormal"/>
              <w:jc w:val="center"/>
            </w:pPr>
            <w:r>
              <w:t>-</w:t>
            </w:r>
          </w:p>
        </w:tc>
        <w:tc>
          <w:tcPr>
            <w:tcW w:w="1701" w:type="dxa"/>
            <w:vAlign w:val="center"/>
          </w:tcPr>
          <w:p w14:paraId="32E2CB7B" w14:textId="77777777" w:rsidR="00454A29" w:rsidRDefault="00454A29">
            <w:pPr>
              <w:pStyle w:val="ConsPlusNormal"/>
            </w:pPr>
          </w:p>
        </w:tc>
        <w:tc>
          <w:tcPr>
            <w:tcW w:w="1701" w:type="dxa"/>
            <w:vAlign w:val="center"/>
          </w:tcPr>
          <w:p w14:paraId="41A5002E" w14:textId="77777777" w:rsidR="00454A29" w:rsidRDefault="00454A29">
            <w:pPr>
              <w:pStyle w:val="ConsPlusNormal"/>
              <w:jc w:val="center"/>
            </w:pPr>
            <w:r>
              <w:t>-</w:t>
            </w:r>
          </w:p>
        </w:tc>
        <w:tc>
          <w:tcPr>
            <w:tcW w:w="1814" w:type="dxa"/>
            <w:vAlign w:val="center"/>
          </w:tcPr>
          <w:p w14:paraId="7204BE06" w14:textId="77777777" w:rsidR="00454A29" w:rsidRDefault="00454A29">
            <w:pPr>
              <w:pStyle w:val="ConsPlusNormal"/>
            </w:pPr>
          </w:p>
        </w:tc>
      </w:tr>
      <w:tr w:rsidR="00454A29" w14:paraId="0CBBA987" w14:textId="77777777">
        <w:tc>
          <w:tcPr>
            <w:tcW w:w="567" w:type="dxa"/>
            <w:vMerge/>
          </w:tcPr>
          <w:p w14:paraId="44825D6C" w14:textId="77777777" w:rsidR="00454A29" w:rsidRDefault="00454A29"/>
        </w:tc>
        <w:tc>
          <w:tcPr>
            <w:tcW w:w="3345" w:type="dxa"/>
            <w:vMerge/>
          </w:tcPr>
          <w:p w14:paraId="5846CACE" w14:textId="77777777" w:rsidR="00454A29" w:rsidRDefault="00454A29"/>
        </w:tc>
        <w:tc>
          <w:tcPr>
            <w:tcW w:w="1701" w:type="dxa"/>
            <w:vAlign w:val="center"/>
          </w:tcPr>
          <w:p w14:paraId="2EDF211F" w14:textId="77777777" w:rsidR="00454A29" w:rsidRDefault="00454A29">
            <w:pPr>
              <w:pStyle w:val="ConsPlusNormal"/>
              <w:jc w:val="center"/>
            </w:pPr>
            <w:r>
              <w:t>2020</w:t>
            </w:r>
          </w:p>
        </w:tc>
        <w:tc>
          <w:tcPr>
            <w:tcW w:w="1417" w:type="dxa"/>
            <w:vMerge/>
          </w:tcPr>
          <w:p w14:paraId="41066566" w14:textId="77777777" w:rsidR="00454A29" w:rsidRDefault="00454A29"/>
        </w:tc>
        <w:tc>
          <w:tcPr>
            <w:tcW w:w="2204" w:type="dxa"/>
            <w:vMerge/>
          </w:tcPr>
          <w:p w14:paraId="2D6CCA4E" w14:textId="77777777" w:rsidR="00454A29" w:rsidRDefault="00454A29"/>
        </w:tc>
        <w:tc>
          <w:tcPr>
            <w:tcW w:w="1417" w:type="dxa"/>
            <w:vMerge/>
          </w:tcPr>
          <w:p w14:paraId="4199DA6B" w14:textId="77777777" w:rsidR="00454A29" w:rsidRDefault="00454A29"/>
        </w:tc>
        <w:tc>
          <w:tcPr>
            <w:tcW w:w="2324" w:type="dxa"/>
            <w:vMerge/>
          </w:tcPr>
          <w:p w14:paraId="465D0AAB" w14:textId="77777777" w:rsidR="00454A29" w:rsidRDefault="00454A29"/>
        </w:tc>
        <w:tc>
          <w:tcPr>
            <w:tcW w:w="1701" w:type="dxa"/>
            <w:vAlign w:val="center"/>
          </w:tcPr>
          <w:p w14:paraId="7A6F2D1E" w14:textId="77777777" w:rsidR="00454A29" w:rsidRDefault="00454A29">
            <w:pPr>
              <w:pStyle w:val="ConsPlusNormal"/>
              <w:jc w:val="center"/>
            </w:pPr>
            <w:r>
              <w:t>29 341,61</w:t>
            </w:r>
          </w:p>
        </w:tc>
        <w:tc>
          <w:tcPr>
            <w:tcW w:w="1814" w:type="dxa"/>
            <w:vAlign w:val="center"/>
          </w:tcPr>
          <w:p w14:paraId="1622C06D" w14:textId="77777777" w:rsidR="00454A29" w:rsidRDefault="00454A29">
            <w:pPr>
              <w:pStyle w:val="ConsPlusNormal"/>
              <w:jc w:val="center"/>
            </w:pPr>
            <w:r>
              <w:t>17 539,97</w:t>
            </w:r>
          </w:p>
        </w:tc>
        <w:tc>
          <w:tcPr>
            <w:tcW w:w="1701" w:type="dxa"/>
            <w:vAlign w:val="center"/>
          </w:tcPr>
          <w:p w14:paraId="4E3CD80F" w14:textId="77777777" w:rsidR="00454A29" w:rsidRDefault="00454A29">
            <w:pPr>
              <w:pStyle w:val="ConsPlusNormal"/>
            </w:pPr>
          </w:p>
        </w:tc>
        <w:tc>
          <w:tcPr>
            <w:tcW w:w="1701" w:type="dxa"/>
            <w:vAlign w:val="center"/>
          </w:tcPr>
          <w:p w14:paraId="0F3995B6" w14:textId="77777777" w:rsidR="00454A29" w:rsidRDefault="00454A29">
            <w:pPr>
              <w:pStyle w:val="ConsPlusNormal"/>
              <w:jc w:val="center"/>
            </w:pPr>
            <w:r>
              <w:t>11 801,63</w:t>
            </w:r>
          </w:p>
        </w:tc>
        <w:tc>
          <w:tcPr>
            <w:tcW w:w="1814" w:type="dxa"/>
            <w:vAlign w:val="center"/>
          </w:tcPr>
          <w:p w14:paraId="2F312DED" w14:textId="77777777" w:rsidR="00454A29" w:rsidRDefault="00454A29">
            <w:pPr>
              <w:pStyle w:val="ConsPlusNormal"/>
            </w:pPr>
          </w:p>
        </w:tc>
      </w:tr>
      <w:tr w:rsidR="00454A29" w14:paraId="69969C00" w14:textId="77777777">
        <w:tc>
          <w:tcPr>
            <w:tcW w:w="567" w:type="dxa"/>
            <w:vMerge/>
          </w:tcPr>
          <w:p w14:paraId="16635E03" w14:textId="77777777" w:rsidR="00454A29" w:rsidRDefault="00454A29"/>
        </w:tc>
        <w:tc>
          <w:tcPr>
            <w:tcW w:w="3345" w:type="dxa"/>
            <w:vMerge/>
          </w:tcPr>
          <w:p w14:paraId="7D1A54E1" w14:textId="77777777" w:rsidR="00454A29" w:rsidRDefault="00454A29"/>
        </w:tc>
        <w:tc>
          <w:tcPr>
            <w:tcW w:w="1701" w:type="dxa"/>
            <w:vAlign w:val="center"/>
          </w:tcPr>
          <w:p w14:paraId="763739FD" w14:textId="77777777" w:rsidR="00454A29" w:rsidRDefault="00454A29">
            <w:pPr>
              <w:pStyle w:val="ConsPlusNormal"/>
              <w:jc w:val="center"/>
            </w:pPr>
            <w:r>
              <w:t>2021</w:t>
            </w:r>
          </w:p>
        </w:tc>
        <w:tc>
          <w:tcPr>
            <w:tcW w:w="1417" w:type="dxa"/>
            <w:vMerge/>
          </w:tcPr>
          <w:p w14:paraId="3FB8A1A9" w14:textId="77777777" w:rsidR="00454A29" w:rsidRDefault="00454A29"/>
        </w:tc>
        <w:tc>
          <w:tcPr>
            <w:tcW w:w="2204" w:type="dxa"/>
            <w:vMerge/>
          </w:tcPr>
          <w:p w14:paraId="291EA8E3" w14:textId="77777777" w:rsidR="00454A29" w:rsidRDefault="00454A29"/>
        </w:tc>
        <w:tc>
          <w:tcPr>
            <w:tcW w:w="1417" w:type="dxa"/>
            <w:vMerge/>
          </w:tcPr>
          <w:p w14:paraId="1841D3CD" w14:textId="77777777" w:rsidR="00454A29" w:rsidRDefault="00454A29"/>
        </w:tc>
        <w:tc>
          <w:tcPr>
            <w:tcW w:w="2324" w:type="dxa"/>
            <w:vMerge/>
          </w:tcPr>
          <w:p w14:paraId="30670FF4" w14:textId="77777777" w:rsidR="00454A29" w:rsidRDefault="00454A29"/>
        </w:tc>
        <w:tc>
          <w:tcPr>
            <w:tcW w:w="1701" w:type="dxa"/>
            <w:vAlign w:val="center"/>
          </w:tcPr>
          <w:p w14:paraId="7CDBCB1E" w14:textId="77777777" w:rsidR="00454A29" w:rsidRDefault="00454A29">
            <w:pPr>
              <w:pStyle w:val="ConsPlusNormal"/>
              <w:jc w:val="center"/>
            </w:pPr>
            <w:r>
              <w:t>32 773,83</w:t>
            </w:r>
          </w:p>
        </w:tc>
        <w:tc>
          <w:tcPr>
            <w:tcW w:w="1814" w:type="dxa"/>
            <w:vAlign w:val="center"/>
          </w:tcPr>
          <w:p w14:paraId="170C490B" w14:textId="77777777" w:rsidR="00454A29" w:rsidRDefault="00454A29">
            <w:pPr>
              <w:pStyle w:val="ConsPlusNormal"/>
              <w:jc w:val="center"/>
            </w:pPr>
            <w:r>
              <w:t>20 326,24</w:t>
            </w:r>
          </w:p>
        </w:tc>
        <w:tc>
          <w:tcPr>
            <w:tcW w:w="1701" w:type="dxa"/>
            <w:vAlign w:val="center"/>
          </w:tcPr>
          <w:p w14:paraId="4D5AEA4F" w14:textId="77777777" w:rsidR="00454A29" w:rsidRDefault="00454A29">
            <w:pPr>
              <w:pStyle w:val="ConsPlusNormal"/>
            </w:pPr>
          </w:p>
        </w:tc>
        <w:tc>
          <w:tcPr>
            <w:tcW w:w="1701" w:type="dxa"/>
            <w:vAlign w:val="center"/>
          </w:tcPr>
          <w:p w14:paraId="33DBC532" w14:textId="77777777" w:rsidR="00454A29" w:rsidRDefault="00454A29">
            <w:pPr>
              <w:pStyle w:val="ConsPlusNormal"/>
              <w:jc w:val="center"/>
            </w:pPr>
            <w:r>
              <w:t>12 447,58</w:t>
            </w:r>
          </w:p>
        </w:tc>
        <w:tc>
          <w:tcPr>
            <w:tcW w:w="1814" w:type="dxa"/>
            <w:vAlign w:val="center"/>
          </w:tcPr>
          <w:p w14:paraId="1128E99B" w14:textId="77777777" w:rsidR="00454A29" w:rsidRDefault="00454A29">
            <w:pPr>
              <w:pStyle w:val="ConsPlusNormal"/>
            </w:pPr>
          </w:p>
        </w:tc>
      </w:tr>
      <w:tr w:rsidR="00454A29" w14:paraId="74A351DD" w14:textId="77777777">
        <w:tc>
          <w:tcPr>
            <w:tcW w:w="567" w:type="dxa"/>
            <w:vMerge/>
          </w:tcPr>
          <w:p w14:paraId="51EB8AC9" w14:textId="77777777" w:rsidR="00454A29" w:rsidRDefault="00454A29"/>
        </w:tc>
        <w:tc>
          <w:tcPr>
            <w:tcW w:w="3345" w:type="dxa"/>
            <w:vMerge/>
          </w:tcPr>
          <w:p w14:paraId="5438123E" w14:textId="77777777" w:rsidR="00454A29" w:rsidRDefault="00454A29"/>
        </w:tc>
        <w:tc>
          <w:tcPr>
            <w:tcW w:w="1701" w:type="dxa"/>
            <w:vAlign w:val="center"/>
          </w:tcPr>
          <w:p w14:paraId="0620AA78" w14:textId="77777777" w:rsidR="00454A29" w:rsidRDefault="00454A29">
            <w:pPr>
              <w:pStyle w:val="ConsPlusNormal"/>
              <w:jc w:val="center"/>
            </w:pPr>
            <w:r>
              <w:t>2022</w:t>
            </w:r>
          </w:p>
        </w:tc>
        <w:tc>
          <w:tcPr>
            <w:tcW w:w="1417" w:type="dxa"/>
            <w:vMerge/>
          </w:tcPr>
          <w:p w14:paraId="2E387E2F" w14:textId="77777777" w:rsidR="00454A29" w:rsidRDefault="00454A29"/>
        </w:tc>
        <w:tc>
          <w:tcPr>
            <w:tcW w:w="2204" w:type="dxa"/>
            <w:vMerge/>
          </w:tcPr>
          <w:p w14:paraId="484D9A94" w14:textId="77777777" w:rsidR="00454A29" w:rsidRDefault="00454A29"/>
        </w:tc>
        <w:tc>
          <w:tcPr>
            <w:tcW w:w="1417" w:type="dxa"/>
            <w:vMerge/>
          </w:tcPr>
          <w:p w14:paraId="643000DF" w14:textId="77777777" w:rsidR="00454A29" w:rsidRDefault="00454A29"/>
        </w:tc>
        <w:tc>
          <w:tcPr>
            <w:tcW w:w="2324" w:type="dxa"/>
            <w:vMerge/>
          </w:tcPr>
          <w:p w14:paraId="209E5470" w14:textId="77777777" w:rsidR="00454A29" w:rsidRDefault="00454A29"/>
        </w:tc>
        <w:tc>
          <w:tcPr>
            <w:tcW w:w="1701" w:type="dxa"/>
            <w:vAlign w:val="center"/>
          </w:tcPr>
          <w:p w14:paraId="751A15F7" w14:textId="77777777" w:rsidR="00454A29" w:rsidRDefault="00454A29">
            <w:pPr>
              <w:pStyle w:val="ConsPlusNormal"/>
              <w:jc w:val="center"/>
            </w:pPr>
            <w:r>
              <w:t>36 678,25</w:t>
            </w:r>
          </w:p>
        </w:tc>
        <w:tc>
          <w:tcPr>
            <w:tcW w:w="1814" w:type="dxa"/>
            <w:vAlign w:val="center"/>
          </w:tcPr>
          <w:p w14:paraId="04C9974D" w14:textId="77777777" w:rsidR="00454A29" w:rsidRDefault="00454A29">
            <w:pPr>
              <w:pStyle w:val="ConsPlusNormal"/>
              <w:jc w:val="center"/>
            </w:pPr>
            <w:r>
              <w:t>23 555,13</w:t>
            </w:r>
          </w:p>
        </w:tc>
        <w:tc>
          <w:tcPr>
            <w:tcW w:w="1701" w:type="dxa"/>
            <w:vAlign w:val="center"/>
          </w:tcPr>
          <w:p w14:paraId="44BE0E1C" w14:textId="77777777" w:rsidR="00454A29" w:rsidRDefault="00454A29">
            <w:pPr>
              <w:pStyle w:val="ConsPlusNormal"/>
            </w:pPr>
          </w:p>
        </w:tc>
        <w:tc>
          <w:tcPr>
            <w:tcW w:w="1701" w:type="dxa"/>
            <w:vAlign w:val="center"/>
          </w:tcPr>
          <w:p w14:paraId="4A30174C" w14:textId="77777777" w:rsidR="00454A29" w:rsidRDefault="00454A29">
            <w:pPr>
              <w:pStyle w:val="ConsPlusNormal"/>
              <w:jc w:val="center"/>
            </w:pPr>
            <w:r>
              <w:t>13 123,12</w:t>
            </w:r>
          </w:p>
        </w:tc>
        <w:tc>
          <w:tcPr>
            <w:tcW w:w="1814" w:type="dxa"/>
            <w:vAlign w:val="center"/>
          </w:tcPr>
          <w:p w14:paraId="31FA9142" w14:textId="77777777" w:rsidR="00454A29" w:rsidRDefault="00454A29">
            <w:pPr>
              <w:pStyle w:val="ConsPlusNormal"/>
            </w:pPr>
          </w:p>
        </w:tc>
      </w:tr>
      <w:tr w:rsidR="00454A29" w14:paraId="5EE3E2C1" w14:textId="77777777">
        <w:tc>
          <w:tcPr>
            <w:tcW w:w="567" w:type="dxa"/>
            <w:vMerge/>
          </w:tcPr>
          <w:p w14:paraId="388870AA" w14:textId="77777777" w:rsidR="00454A29" w:rsidRDefault="00454A29"/>
        </w:tc>
        <w:tc>
          <w:tcPr>
            <w:tcW w:w="3345" w:type="dxa"/>
            <w:vMerge/>
          </w:tcPr>
          <w:p w14:paraId="6556FA74" w14:textId="77777777" w:rsidR="00454A29" w:rsidRDefault="00454A29"/>
        </w:tc>
        <w:tc>
          <w:tcPr>
            <w:tcW w:w="1701" w:type="dxa"/>
            <w:vAlign w:val="center"/>
          </w:tcPr>
          <w:p w14:paraId="54D32608" w14:textId="77777777" w:rsidR="00454A29" w:rsidRDefault="00454A29">
            <w:pPr>
              <w:pStyle w:val="ConsPlusNormal"/>
              <w:jc w:val="center"/>
            </w:pPr>
            <w:r>
              <w:t>2023</w:t>
            </w:r>
          </w:p>
        </w:tc>
        <w:tc>
          <w:tcPr>
            <w:tcW w:w="1417" w:type="dxa"/>
            <w:vMerge/>
          </w:tcPr>
          <w:p w14:paraId="4366DE58" w14:textId="77777777" w:rsidR="00454A29" w:rsidRDefault="00454A29"/>
        </w:tc>
        <w:tc>
          <w:tcPr>
            <w:tcW w:w="2204" w:type="dxa"/>
            <w:vMerge/>
          </w:tcPr>
          <w:p w14:paraId="5C6C9CD9" w14:textId="77777777" w:rsidR="00454A29" w:rsidRDefault="00454A29"/>
        </w:tc>
        <w:tc>
          <w:tcPr>
            <w:tcW w:w="1417" w:type="dxa"/>
            <w:vMerge/>
          </w:tcPr>
          <w:p w14:paraId="4DCA2A97" w14:textId="77777777" w:rsidR="00454A29" w:rsidRDefault="00454A29"/>
        </w:tc>
        <w:tc>
          <w:tcPr>
            <w:tcW w:w="2324" w:type="dxa"/>
            <w:vMerge/>
          </w:tcPr>
          <w:p w14:paraId="5FD0C310" w14:textId="77777777" w:rsidR="00454A29" w:rsidRDefault="00454A29"/>
        </w:tc>
        <w:tc>
          <w:tcPr>
            <w:tcW w:w="1701" w:type="dxa"/>
            <w:vAlign w:val="center"/>
          </w:tcPr>
          <w:p w14:paraId="66D81F57" w14:textId="77777777" w:rsidR="00454A29" w:rsidRDefault="00454A29">
            <w:pPr>
              <w:pStyle w:val="ConsPlusNormal"/>
              <w:jc w:val="center"/>
            </w:pPr>
            <w:r>
              <w:t>41 132,25</w:t>
            </w:r>
          </w:p>
        </w:tc>
        <w:tc>
          <w:tcPr>
            <w:tcW w:w="1814" w:type="dxa"/>
            <w:vAlign w:val="center"/>
          </w:tcPr>
          <w:p w14:paraId="0C374757" w14:textId="77777777" w:rsidR="00454A29" w:rsidRDefault="00454A29">
            <w:pPr>
              <w:pStyle w:val="ConsPlusNormal"/>
              <w:jc w:val="center"/>
            </w:pPr>
            <w:r>
              <w:t>27 296,92</w:t>
            </w:r>
          </w:p>
        </w:tc>
        <w:tc>
          <w:tcPr>
            <w:tcW w:w="1701" w:type="dxa"/>
            <w:vAlign w:val="center"/>
          </w:tcPr>
          <w:p w14:paraId="3FB89C50" w14:textId="77777777" w:rsidR="00454A29" w:rsidRDefault="00454A29">
            <w:pPr>
              <w:pStyle w:val="ConsPlusNormal"/>
            </w:pPr>
          </w:p>
        </w:tc>
        <w:tc>
          <w:tcPr>
            <w:tcW w:w="1701" w:type="dxa"/>
            <w:vAlign w:val="center"/>
          </w:tcPr>
          <w:p w14:paraId="28517C62" w14:textId="77777777" w:rsidR="00454A29" w:rsidRDefault="00454A29">
            <w:pPr>
              <w:pStyle w:val="ConsPlusNormal"/>
              <w:jc w:val="center"/>
            </w:pPr>
            <w:r>
              <w:t>13 835,32</w:t>
            </w:r>
          </w:p>
        </w:tc>
        <w:tc>
          <w:tcPr>
            <w:tcW w:w="1814" w:type="dxa"/>
            <w:vAlign w:val="center"/>
          </w:tcPr>
          <w:p w14:paraId="591D94D7" w14:textId="77777777" w:rsidR="00454A29" w:rsidRDefault="00454A29">
            <w:pPr>
              <w:pStyle w:val="ConsPlusNormal"/>
            </w:pPr>
          </w:p>
        </w:tc>
      </w:tr>
      <w:tr w:rsidR="00454A29" w14:paraId="7409EAF7" w14:textId="77777777">
        <w:tc>
          <w:tcPr>
            <w:tcW w:w="567" w:type="dxa"/>
            <w:vMerge/>
          </w:tcPr>
          <w:p w14:paraId="677F0078" w14:textId="77777777" w:rsidR="00454A29" w:rsidRDefault="00454A29"/>
        </w:tc>
        <w:tc>
          <w:tcPr>
            <w:tcW w:w="3345" w:type="dxa"/>
            <w:vMerge/>
          </w:tcPr>
          <w:p w14:paraId="0E41ED30" w14:textId="77777777" w:rsidR="00454A29" w:rsidRDefault="00454A29"/>
        </w:tc>
        <w:tc>
          <w:tcPr>
            <w:tcW w:w="1701" w:type="dxa"/>
            <w:vAlign w:val="center"/>
          </w:tcPr>
          <w:p w14:paraId="12350C01" w14:textId="77777777" w:rsidR="00454A29" w:rsidRDefault="00454A29">
            <w:pPr>
              <w:pStyle w:val="ConsPlusNormal"/>
              <w:jc w:val="center"/>
            </w:pPr>
            <w:r>
              <w:t>2024</w:t>
            </w:r>
          </w:p>
        </w:tc>
        <w:tc>
          <w:tcPr>
            <w:tcW w:w="1417" w:type="dxa"/>
            <w:vMerge/>
          </w:tcPr>
          <w:p w14:paraId="181A335F" w14:textId="77777777" w:rsidR="00454A29" w:rsidRDefault="00454A29"/>
        </w:tc>
        <w:tc>
          <w:tcPr>
            <w:tcW w:w="2204" w:type="dxa"/>
            <w:vMerge/>
          </w:tcPr>
          <w:p w14:paraId="40316F0C" w14:textId="77777777" w:rsidR="00454A29" w:rsidRDefault="00454A29"/>
        </w:tc>
        <w:tc>
          <w:tcPr>
            <w:tcW w:w="1417" w:type="dxa"/>
            <w:vMerge/>
          </w:tcPr>
          <w:p w14:paraId="437DE74A" w14:textId="77777777" w:rsidR="00454A29" w:rsidRDefault="00454A29"/>
        </w:tc>
        <w:tc>
          <w:tcPr>
            <w:tcW w:w="2324" w:type="dxa"/>
            <w:vMerge/>
          </w:tcPr>
          <w:p w14:paraId="501EEA1B" w14:textId="77777777" w:rsidR="00454A29" w:rsidRDefault="00454A29"/>
        </w:tc>
        <w:tc>
          <w:tcPr>
            <w:tcW w:w="1701" w:type="dxa"/>
            <w:vAlign w:val="center"/>
          </w:tcPr>
          <w:p w14:paraId="4D08010C" w14:textId="77777777" w:rsidR="00454A29" w:rsidRDefault="00454A29">
            <w:pPr>
              <w:pStyle w:val="ConsPlusNormal"/>
              <w:jc w:val="center"/>
            </w:pPr>
            <w:r>
              <w:t>46 219,30</w:t>
            </w:r>
          </w:p>
        </w:tc>
        <w:tc>
          <w:tcPr>
            <w:tcW w:w="1814" w:type="dxa"/>
            <w:vAlign w:val="center"/>
          </w:tcPr>
          <w:p w14:paraId="471D1123" w14:textId="77777777" w:rsidR="00454A29" w:rsidRDefault="00454A29">
            <w:pPr>
              <w:pStyle w:val="ConsPlusNormal"/>
              <w:jc w:val="center"/>
            </w:pPr>
            <w:r>
              <w:t>31 633,12</w:t>
            </w:r>
          </w:p>
        </w:tc>
        <w:tc>
          <w:tcPr>
            <w:tcW w:w="1701" w:type="dxa"/>
            <w:vAlign w:val="center"/>
          </w:tcPr>
          <w:p w14:paraId="41273525" w14:textId="77777777" w:rsidR="00454A29" w:rsidRDefault="00454A29">
            <w:pPr>
              <w:pStyle w:val="ConsPlusNormal"/>
            </w:pPr>
          </w:p>
        </w:tc>
        <w:tc>
          <w:tcPr>
            <w:tcW w:w="1701" w:type="dxa"/>
            <w:vAlign w:val="center"/>
          </w:tcPr>
          <w:p w14:paraId="182EA695" w14:textId="77777777" w:rsidR="00454A29" w:rsidRDefault="00454A29">
            <w:pPr>
              <w:pStyle w:val="ConsPlusNormal"/>
              <w:jc w:val="center"/>
            </w:pPr>
            <w:r>
              <w:t>14 586,18</w:t>
            </w:r>
          </w:p>
        </w:tc>
        <w:tc>
          <w:tcPr>
            <w:tcW w:w="1814" w:type="dxa"/>
            <w:vAlign w:val="center"/>
          </w:tcPr>
          <w:p w14:paraId="50B9694F" w14:textId="77777777" w:rsidR="00454A29" w:rsidRDefault="00454A29">
            <w:pPr>
              <w:pStyle w:val="ConsPlusNormal"/>
            </w:pPr>
          </w:p>
        </w:tc>
      </w:tr>
      <w:tr w:rsidR="00454A29" w14:paraId="5A9A3FC7" w14:textId="77777777">
        <w:tc>
          <w:tcPr>
            <w:tcW w:w="567" w:type="dxa"/>
            <w:vMerge/>
          </w:tcPr>
          <w:p w14:paraId="3B87FBD1" w14:textId="77777777" w:rsidR="00454A29" w:rsidRDefault="00454A29"/>
        </w:tc>
        <w:tc>
          <w:tcPr>
            <w:tcW w:w="3345" w:type="dxa"/>
            <w:vMerge/>
          </w:tcPr>
          <w:p w14:paraId="6AD464F4" w14:textId="77777777" w:rsidR="00454A29" w:rsidRDefault="00454A29"/>
        </w:tc>
        <w:tc>
          <w:tcPr>
            <w:tcW w:w="1701" w:type="dxa"/>
            <w:vAlign w:val="center"/>
          </w:tcPr>
          <w:p w14:paraId="7131D149" w14:textId="77777777" w:rsidR="00454A29" w:rsidRDefault="00454A29">
            <w:pPr>
              <w:pStyle w:val="ConsPlusNormal"/>
              <w:jc w:val="center"/>
            </w:pPr>
            <w:r>
              <w:t>2025</w:t>
            </w:r>
          </w:p>
        </w:tc>
        <w:tc>
          <w:tcPr>
            <w:tcW w:w="1417" w:type="dxa"/>
            <w:vMerge/>
          </w:tcPr>
          <w:p w14:paraId="1F36C60C" w14:textId="77777777" w:rsidR="00454A29" w:rsidRDefault="00454A29"/>
        </w:tc>
        <w:tc>
          <w:tcPr>
            <w:tcW w:w="2204" w:type="dxa"/>
            <w:vMerge/>
          </w:tcPr>
          <w:p w14:paraId="13587CD3" w14:textId="77777777" w:rsidR="00454A29" w:rsidRDefault="00454A29"/>
        </w:tc>
        <w:tc>
          <w:tcPr>
            <w:tcW w:w="1417" w:type="dxa"/>
            <w:vMerge/>
          </w:tcPr>
          <w:p w14:paraId="44B9628D" w14:textId="77777777" w:rsidR="00454A29" w:rsidRDefault="00454A29"/>
        </w:tc>
        <w:tc>
          <w:tcPr>
            <w:tcW w:w="2324" w:type="dxa"/>
            <w:vMerge/>
          </w:tcPr>
          <w:p w14:paraId="17068208" w14:textId="77777777" w:rsidR="00454A29" w:rsidRDefault="00454A29"/>
        </w:tc>
        <w:tc>
          <w:tcPr>
            <w:tcW w:w="1701" w:type="dxa"/>
            <w:vAlign w:val="center"/>
          </w:tcPr>
          <w:p w14:paraId="6FB73955" w14:textId="77777777" w:rsidR="00454A29" w:rsidRDefault="00454A29">
            <w:pPr>
              <w:pStyle w:val="ConsPlusNormal"/>
              <w:jc w:val="center"/>
            </w:pPr>
            <w:r>
              <w:t>52 035,91</w:t>
            </w:r>
          </w:p>
        </w:tc>
        <w:tc>
          <w:tcPr>
            <w:tcW w:w="1814" w:type="dxa"/>
            <w:vAlign w:val="center"/>
          </w:tcPr>
          <w:p w14:paraId="631F5635" w14:textId="77777777" w:rsidR="00454A29" w:rsidRDefault="00454A29">
            <w:pPr>
              <w:pStyle w:val="ConsPlusNormal"/>
              <w:jc w:val="center"/>
            </w:pPr>
            <w:r>
              <w:t>36 658,13</w:t>
            </w:r>
          </w:p>
        </w:tc>
        <w:tc>
          <w:tcPr>
            <w:tcW w:w="1701" w:type="dxa"/>
            <w:vAlign w:val="center"/>
          </w:tcPr>
          <w:p w14:paraId="443B117C" w14:textId="77777777" w:rsidR="00454A29" w:rsidRDefault="00454A29">
            <w:pPr>
              <w:pStyle w:val="ConsPlusNormal"/>
            </w:pPr>
          </w:p>
        </w:tc>
        <w:tc>
          <w:tcPr>
            <w:tcW w:w="1701" w:type="dxa"/>
            <w:vAlign w:val="center"/>
          </w:tcPr>
          <w:p w14:paraId="291AA0E8" w14:textId="77777777" w:rsidR="00454A29" w:rsidRDefault="00454A29">
            <w:pPr>
              <w:pStyle w:val="ConsPlusNormal"/>
              <w:jc w:val="center"/>
            </w:pPr>
            <w:r>
              <w:t>15 377,78</w:t>
            </w:r>
          </w:p>
        </w:tc>
        <w:tc>
          <w:tcPr>
            <w:tcW w:w="1814" w:type="dxa"/>
            <w:vAlign w:val="center"/>
          </w:tcPr>
          <w:p w14:paraId="7D9BBC78" w14:textId="77777777" w:rsidR="00454A29" w:rsidRDefault="00454A29">
            <w:pPr>
              <w:pStyle w:val="ConsPlusNormal"/>
            </w:pPr>
          </w:p>
        </w:tc>
      </w:tr>
      <w:tr w:rsidR="00454A29" w14:paraId="26C32789" w14:textId="77777777">
        <w:tc>
          <w:tcPr>
            <w:tcW w:w="567" w:type="dxa"/>
            <w:vMerge/>
          </w:tcPr>
          <w:p w14:paraId="6A8D9C9E" w14:textId="77777777" w:rsidR="00454A29" w:rsidRDefault="00454A29"/>
        </w:tc>
        <w:tc>
          <w:tcPr>
            <w:tcW w:w="3345" w:type="dxa"/>
            <w:vMerge/>
          </w:tcPr>
          <w:p w14:paraId="55BE45BE" w14:textId="77777777" w:rsidR="00454A29" w:rsidRDefault="00454A29"/>
        </w:tc>
        <w:tc>
          <w:tcPr>
            <w:tcW w:w="1701" w:type="dxa"/>
            <w:vAlign w:val="center"/>
          </w:tcPr>
          <w:p w14:paraId="7F867CE3" w14:textId="77777777" w:rsidR="00454A29" w:rsidRDefault="00454A29">
            <w:pPr>
              <w:pStyle w:val="ConsPlusNormal"/>
              <w:jc w:val="center"/>
            </w:pPr>
            <w:r>
              <w:t>2026</w:t>
            </w:r>
          </w:p>
        </w:tc>
        <w:tc>
          <w:tcPr>
            <w:tcW w:w="1417" w:type="dxa"/>
            <w:vMerge/>
          </w:tcPr>
          <w:p w14:paraId="6571FBC3" w14:textId="77777777" w:rsidR="00454A29" w:rsidRDefault="00454A29"/>
        </w:tc>
        <w:tc>
          <w:tcPr>
            <w:tcW w:w="2204" w:type="dxa"/>
            <w:vMerge/>
          </w:tcPr>
          <w:p w14:paraId="60D445E0" w14:textId="77777777" w:rsidR="00454A29" w:rsidRDefault="00454A29"/>
        </w:tc>
        <w:tc>
          <w:tcPr>
            <w:tcW w:w="1417" w:type="dxa"/>
            <w:vMerge/>
          </w:tcPr>
          <w:p w14:paraId="4A897AA4" w14:textId="77777777" w:rsidR="00454A29" w:rsidRDefault="00454A29"/>
        </w:tc>
        <w:tc>
          <w:tcPr>
            <w:tcW w:w="2324" w:type="dxa"/>
            <w:vMerge/>
          </w:tcPr>
          <w:p w14:paraId="1732BE5F" w14:textId="77777777" w:rsidR="00454A29" w:rsidRDefault="00454A29"/>
        </w:tc>
        <w:tc>
          <w:tcPr>
            <w:tcW w:w="1701" w:type="dxa"/>
            <w:vAlign w:val="center"/>
          </w:tcPr>
          <w:p w14:paraId="10BDFF5B" w14:textId="77777777" w:rsidR="00454A29" w:rsidRDefault="00454A29">
            <w:pPr>
              <w:pStyle w:val="ConsPlusNormal"/>
              <w:jc w:val="center"/>
            </w:pPr>
            <w:r>
              <w:t>58 693,72</w:t>
            </w:r>
          </w:p>
        </w:tc>
        <w:tc>
          <w:tcPr>
            <w:tcW w:w="1814" w:type="dxa"/>
            <w:vAlign w:val="center"/>
          </w:tcPr>
          <w:p w14:paraId="63FA0C6A" w14:textId="77777777" w:rsidR="00454A29" w:rsidRDefault="00454A29">
            <w:pPr>
              <w:pStyle w:val="ConsPlusNormal"/>
              <w:jc w:val="center"/>
            </w:pPr>
            <w:r>
              <w:t>42 481,37</w:t>
            </w:r>
          </w:p>
        </w:tc>
        <w:tc>
          <w:tcPr>
            <w:tcW w:w="1701" w:type="dxa"/>
            <w:vAlign w:val="center"/>
          </w:tcPr>
          <w:p w14:paraId="0ABB2DDB" w14:textId="77777777" w:rsidR="00454A29" w:rsidRDefault="00454A29">
            <w:pPr>
              <w:pStyle w:val="ConsPlusNormal"/>
            </w:pPr>
          </w:p>
        </w:tc>
        <w:tc>
          <w:tcPr>
            <w:tcW w:w="1701" w:type="dxa"/>
            <w:vAlign w:val="center"/>
          </w:tcPr>
          <w:p w14:paraId="49DADAE3" w14:textId="77777777" w:rsidR="00454A29" w:rsidRDefault="00454A29">
            <w:pPr>
              <w:pStyle w:val="ConsPlusNormal"/>
              <w:jc w:val="center"/>
            </w:pPr>
            <w:r>
              <w:t>16 212,35</w:t>
            </w:r>
          </w:p>
        </w:tc>
        <w:tc>
          <w:tcPr>
            <w:tcW w:w="1814" w:type="dxa"/>
            <w:vAlign w:val="center"/>
          </w:tcPr>
          <w:p w14:paraId="6C0C165F" w14:textId="77777777" w:rsidR="00454A29" w:rsidRDefault="00454A29">
            <w:pPr>
              <w:pStyle w:val="ConsPlusNormal"/>
            </w:pPr>
          </w:p>
        </w:tc>
      </w:tr>
      <w:tr w:rsidR="00454A29" w14:paraId="7A438D1A" w14:textId="77777777">
        <w:tc>
          <w:tcPr>
            <w:tcW w:w="567" w:type="dxa"/>
            <w:vMerge w:val="restart"/>
            <w:vAlign w:val="center"/>
          </w:tcPr>
          <w:p w14:paraId="27D07156" w14:textId="77777777" w:rsidR="00454A29" w:rsidRDefault="00454A29">
            <w:pPr>
              <w:pStyle w:val="ConsPlusNormal"/>
              <w:jc w:val="center"/>
            </w:pPr>
            <w:r>
              <w:t>75</w:t>
            </w:r>
          </w:p>
        </w:tc>
        <w:tc>
          <w:tcPr>
            <w:tcW w:w="3345" w:type="dxa"/>
            <w:vMerge w:val="restart"/>
            <w:vAlign w:val="center"/>
          </w:tcPr>
          <w:p w14:paraId="0298BD6C" w14:textId="77777777" w:rsidR="00454A29" w:rsidRDefault="00454A29">
            <w:pPr>
              <w:pStyle w:val="ConsPlusNormal"/>
              <w:jc w:val="center"/>
            </w:pPr>
            <w:r>
              <w:t>Детский сад N 75 "Ивушка" по ул. Ильменская в квартале 75 города Якутска</w:t>
            </w:r>
          </w:p>
        </w:tc>
        <w:tc>
          <w:tcPr>
            <w:tcW w:w="1701" w:type="dxa"/>
            <w:vAlign w:val="center"/>
          </w:tcPr>
          <w:p w14:paraId="38A78F28" w14:textId="77777777" w:rsidR="00454A29" w:rsidRDefault="00454A29">
            <w:pPr>
              <w:pStyle w:val="ConsPlusNormal"/>
              <w:jc w:val="center"/>
            </w:pPr>
            <w:r>
              <w:t>Всего:</w:t>
            </w:r>
          </w:p>
        </w:tc>
        <w:tc>
          <w:tcPr>
            <w:tcW w:w="1417" w:type="dxa"/>
            <w:vMerge w:val="restart"/>
            <w:vAlign w:val="center"/>
          </w:tcPr>
          <w:p w14:paraId="0F2BD0D8" w14:textId="77777777" w:rsidR="00454A29" w:rsidRDefault="00454A29">
            <w:pPr>
              <w:pStyle w:val="ConsPlusNormal"/>
              <w:jc w:val="center"/>
            </w:pPr>
            <w:r>
              <w:t>498 426,80</w:t>
            </w:r>
          </w:p>
        </w:tc>
        <w:tc>
          <w:tcPr>
            <w:tcW w:w="2204" w:type="dxa"/>
            <w:vMerge w:val="restart"/>
            <w:vAlign w:val="center"/>
          </w:tcPr>
          <w:p w14:paraId="1EF7BAC0" w14:textId="77777777" w:rsidR="00454A29" w:rsidRDefault="00454A29">
            <w:pPr>
              <w:pStyle w:val="ConsPlusNormal"/>
              <w:jc w:val="center"/>
            </w:pPr>
            <w:r>
              <w:t>имеется</w:t>
            </w:r>
          </w:p>
        </w:tc>
        <w:tc>
          <w:tcPr>
            <w:tcW w:w="1417" w:type="dxa"/>
            <w:vMerge w:val="restart"/>
            <w:vAlign w:val="center"/>
          </w:tcPr>
          <w:p w14:paraId="20C407C8" w14:textId="77777777" w:rsidR="00454A29" w:rsidRDefault="00454A29">
            <w:pPr>
              <w:pStyle w:val="ConsPlusNormal"/>
              <w:jc w:val="center"/>
            </w:pPr>
            <w:r>
              <w:t>240</w:t>
            </w:r>
          </w:p>
        </w:tc>
        <w:tc>
          <w:tcPr>
            <w:tcW w:w="2324" w:type="dxa"/>
            <w:vMerge w:val="restart"/>
            <w:vAlign w:val="center"/>
          </w:tcPr>
          <w:p w14:paraId="1B6B47B2" w14:textId="77777777" w:rsidR="00454A29" w:rsidRDefault="00454A29">
            <w:pPr>
              <w:pStyle w:val="ConsPlusNormal"/>
              <w:jc w:val="center"/>
            </w:pPr>
            <w:r>
              <w:t>Минэкономики РС(Я), ГО "город Якутск"</w:t>
            </w:r>
          </w:p>
        </w:tc>
        <w:tc>
          <w:tcPr>
            <w:tcW w:w="1701" w:type="dxa"/>
            <w:vAlign w:val="center"/>
          </w:tcPr>
          <w:p w14:paraId="7DAA2870" w14:textId="77777777" w:rsidR="00454A29" w:rsidRDefault="00454A29">
            <w:pPr>
              <w:pStyle w:val="ConsPlusNormal"/>
              <w:jc w:val="center"/>
            </w:pPr>
            <w:r>
              <w:t>1 043 536,69</w:t>
            </w:r>
          </w:p>
        </w:tc>
        <w:tc>
          <w:tcPr>
            <w:tcW w:w="1814" w:type="dxa"/>
            <w:vAlign w:val="center"/>
          </w:tcPr>
          <w:p w14:paraId="03DE5A69" w14:textId="77777777" w:rsidR="00454A29" w:rsidRDefault="00454A29">
            <w:pPr>
              <w:pStyle w:val="ConsPlusNormal"/>
              <w:jc w:val="center"/>
            </w:pPr>
            <w:r>
              <w:t>485 103,07</w:t>
            </w:r>
          </w:p>
        </w:tc>
        <w:tc>
          <w:tcPr>
            <w:tcW w:w="1701" w:type="dxa"/>
            <w:vAlign w:val="center"/>
          </w:tcPr>
          <w:p w14:paraId="043F1C3B" w14:textId="77777777" w:rsidR="00454A29" w:rsidRDefault="00454A29">
            <w:pPr>
              <w:pStyle w:val="ConsPlusNormal"/>
              <w:jc w:val="center"/>
            </w:pPr>
            <w:r>
              <w:t>-</w:t>
            </w:r>
          </w:p>
        </w:tc>
        <w:tc>
          <w:tcPr>
            <w:tcW w:w="1701" w:type="dxa"/>
            <w:vAlign w:val="center"/>
          </w:tcPr>
          <w:p w14:paraId="042AABC0" w14:textId="77777777" w:rsidR="00454A29" w:rsidRDefault="00454A29">
            <w:pPr>
              <w:pStyle w:val="ConsPlusNormal"/>
              <w:jc w:val="center"/>
            </w:pPr>
            <w:r>
              <w:t>138 862,19</w:t>
            </w:r>
          </w:p>
        </w:tc>
        <w:tc>
          <w:tcPr>
            <w:tcW w:w="1814" w:type="dxa"/>
            <w:vAlign w:val="center"/>
          </w:tcPr>
          <w:p w14:paraId="740B8D95" w14:textId="77777777" w:rsidR="00454A29" w:rsidRDefault="00454A29">
            <w:pPr>
              <w:pStyle w:val="ConsPlusNormal"/>
              <w:jc w:val="center"/>
            </w:pPr>
            <w:r>
              <w:t>419 571,44</w:t>
            </w:r>
          </w:p>
        </w:tc>
      </w:tr>
      <w:tr w:rsidR="00454A29" w14:paraId="48365E20" w14:textId="77777777">
        <w:tc>
          <w:tcPr>
            <w:tcW w:w="567" w:type="dxa"/>
            <w:vMerge/>
          </w:tcPr>
          <w:p w14:paraId="0C8927F1" w14:textId="77777777" w:rsidR="00454A29" w:rsidRDefault="00454A29"/>
        </w:tc>
        <w:tc>
          <w:tcPr>
            <w:tcW w:w="3345" w:type="dxa"/>
            <w:vMerge/>
          </w:tcPr>
          <w:p w14:paraId="04CE0805" w14:textId="77777777" w:rsidR="00454A29" w:rsidRDefault="00454A29"/>
        </w:tc>
        <w:tc>
          <w:tcPr>
            <w:tcW w:w="1701" w:type="dxa"/>
            <w:vAlign w:val="center"/>
          </w:tcPr>
          <w:p w14:paraId="6F165585" w14:textId="77777777" w:rsidR="00454A29" w:rsidRDefault="00454A29">
            <w:pPr>
              <w:pStyle w:val="ConsPlusNormal"/>
              <w:jc w:val="center"/>
            </w:pPr>
            <w:r>
              <w:t>2016</w:t>
            </w:r>
          </w:p>
        </w:tc>
        <w:tc>
          <w:tcPr>
            <w:tcW w:w="1417" w:type="dxa"/>
            <w:vMerge/>
          </w:tcPr>
          <w:p w14:paraId="46DBC7E0" w14:textId="77777777" w:rsidR="00454A29" w:rsidRDefault="00454A29"/>
        </w:tc>
        <w:tc>
          <w:tcPr>
            <w:tcW w:w="2204" w:type="dxa"/>
            <w:vMerge/>
          </w:tcPr>
          <w:p w14:paraId="788FC040" w14:textId="77777777" w:rsidR="00454A29" w:rsidRDefault="00454A29"/>
        </w:tc>
        <w:tc>
          <w:tcPr>
            <w:tcW w:w="1417" w:type="dxa"/>
            <w:vMerge/>
          </w:tcPr>
          <w:p w14:paraId="3DCF5C53" w14:textId="77777777" w:rsidR="00454A29" w:rsidRDefault="00454A29"/>
        </w:tc>
        <w:tc>
          <w:tcPr>
            <w:tcW w:w="2324" w:type="dxa"/>
            <w:vMerge/>
          </w:tcPr>
          <w:p w14:paraId="5715A668" w14:textId="77777777" w:rsidR="00454A29" w:rsidRDefault="00454A29"/>
        </w:tc>
        <w:tc>
          <w:tcPr>
            <w:tcW w:w="1701" w:type="dxa"/>
            <w:vAlign w:val="center"/>
          </w:tcPr>
          <w:p w14:paraId="749DBDD8" w14:textId="77777777" w:rsidR="00454A29" w:rsidRDefault="00454A29">
            <w:pPr>
              <w:pStyle w:val="ConsPlusNormal"/>
              <w:jc w:val="center"/>
            </w:pPr>
            <w:r>
              <w:t>319 612,38</w:t>
            </w:r>
          </w:p>
        </w:tc>
        <w:tc>
          <w:tcPr>
            <w:tcW w:w="1814" w:type="dxa"/>
            <w:vAlign w:val="center"/>
          </w:tcPr>
          <w:p w14:paraId="6288EE0B" w14:textId="77777777" w:rsidR="00454A29" w:rsidRDefault="00454A29">
            <w:pPr>
              <w:pStyle w:val="ConsPlusNormal"/>
              <w:jc w:val="center"/>
            </w:pPr>
            <w:r>
              <w:t>12 123,24</w:t>
            </w:r>
          </w:p>
        </w:tc>
        <w:tc>
          <w:tcPr>
            <w:tcW w:w="1701" w:type="dxa"/>
            <w:vAlign w:val="center"/>
          </w:tcPr>
          <w:p w14:paraId="3A210F76" w14:textId="77777777" w:rsidR="00454A29" w:rsidRDefault="00454A29">
            <w:pPr>
              <w:pStyle w:val="ConsPlusNormal"/>
            </w:pPr>
          </w:p>
        </w:tc>
        <w:tc>
          <w:tcPr>
            <w:tcW w:w="1701" w:type="dxa"/>
            <w:vAlign w:val="center"/>
          </w:tcPr>
          <w:p w14:paraId="215AF830" w14:textId="77777777" w:rsidR="00454A29" w:rsidRDefault="00454A29">
            <w:pPr>
              <w:pStyle w:val="ConsPlusNormal"/>
              <w:jc w:val="center"/>
            </w:pPr>
            <w:r>
              <w:t>2 417,00</w:t>
            </w:r>
          </w:p>
        </w:tc>
        <w:tc>
          <w:tcPr>
            <w:tcW w:w="1814" w:type="dxa"/>
            <w:vAlign w:val="center"/>
          </w:tcPr>
          <w:p w14:paraId="39F00681" w14:textId="77777777" w:rsidR="00454A29" w:rsidRDefault="00454A29">
            <w:pPr>
              <w:pStyle w:val="ConsPlusNormal"/>
              <w:jc w:val="center"/>
            </w:pPr>
            <w:r>
              <w:t>305 072,14</w:t>
            </w:r>
          </w:p>
        </w:tc>
      </w:tr>
      <w:tr w:rsidR="00454A29" w14:paraId="4A766F47" w14:textId="77777777">
        <w:tc>
          <w:tcPr>
            <w:tcW w:w="567" w:type="dxa"/>
            <w:vMerge/>
          </w:tcPr>
          <w:p w14:paraId="68C5D49A" w14:textId="77777777" w:rsidR="00454A29" w:rsidRDefault="00454A29"/>
        </w:tc>
        <w:tc>
          <w:tcPr>
            <w:tcW w:w="3345" w:type="dxa"/>
            <w:vMerge/>
          </w:tcPr>
          <w:p w14:paraId="087A1621" w14:textId="77777777" w:rsidR="00454A29" w:rsidRDefault="00454A29"/>
        </w:tc>
        <w:tc>
          <w:tcPr>
            <w:tcW w:w="1701" w:type="dxa"/>
            <w:vAlign w:val="center"/>
          </w:tcPr>
          <w:p w14:paraId="4EAF9EF8" w14:textId="77777777" w:rsidR="00454A29" w:rsidRDefault="00454A29">
            <w:pPr>
              <w:pStyle w:val="ConsPlusNormal"/>
              <w:jc w:val="center"/>
            </w:pPr>
            <w:r>
              <w:t>2017</w:t>
            </w:r>
          </w:p>
        </w:tc>
        <w:tc>
          <w:tcPr>
            <w:tcW w:w="1417" w:type="dxa"/>
            <w:vMerge/>
          </w:tcPr>
          <w:p w14:paraId="427265A9" w14:textId="77777777" w:rsidR="00454A29" w:rsidRDefault="00454A29"/>
        </w:tc>
        <w:tc>
          <w:tcPr>
            <w:tcW w:w="2204" w:type="dxa"/>
            <w:vMerge/>
          </w:tcPr>
          <w:p w14:paraId="39B2EEDE" w14:textId="77777777" w:rsidR="00454A29" w:rsidRDefault="00454A29"/>
        </w:tc>
        <w:tc>
          <w:tcPr>
            <w:tcW w:w="1417" w:type="dxa"/>
            <w:vMerge/>
          </w:tcPr>
          <w:p w14:paraId="208298C3" w14:textId="77777777" w:rsidR="00454A29" w:rsidRDefault="00454A29"/>
        </w:tc>
        <w:tc>
          <w:tcPr>
            <w:tcW w:w="2324" w:type="dxa"/>
            <w:vMerge/>
          </w:tcPr>
          <w:p w14:paraId="4D2B29B6" w14:textId="77777777" w:rsidR="00454A29" w:rsidRDefault="00454A29"/>
        </w:tc>
        <w:tc>
          <w:tcPr>
            <w:tcW w:w="1701" w:type="dxa"/>
            <w:vAlign w:val="center"/>
          </w:tcPr>
          <w:p w14:paraId="0BEBFFCA" w14:textId="77777777" w:rsidR="00454A29" w:rsidRDefault="00454A29">
            <w:pPr>
              <w:pStyle w:val="ConsPlusNormal"/>
              <w:jc w:val="center"/>
            </w:pPr>
            <w:r>
              <w:t>165 595,90</w:t>
            </w:r>
          </w:p>
        </w:tc>
        <w:tc>
          <w:tcPr>
            <w:tcW w:w="1814" w:type="dxa"/>
            <w:vAlign w:val="center"/>
          </w:tcPr>
          <w:p w14:paraId="77C0A599" w14:textId="77777777" w:rsidR="00454A29" w:rsidRDefault="00454A29">
            <w:pPr>
              <w:pStyle w:val="ConsPlusNormal"/>
              <w:jc w:val="center"/>
            </w:pPr>
            <w:r>
              <w:t>42 602,91</w:t>
            </w:r>
          </w:p>
        </w:tc>
        <w:tc>
          <w:tcPr>
            <w:tcW w:w="1701" w:type="dxa"/>
            <w:vAlign w:val="center"/>
          </w:tcPr>
          <w:p w14:paraId="349DC7C8" w14:textId="77777777" w:rsidR="00454A29" w:rsidRDefault="00454A29">
            <w:pPr>
              <w:pStyle w:val="ConsPlusNormal"/>
            </w:pPr>
          </w:p>
        </w:tc>
        <w:tc>
          <w:tcPr>
            <w:tcW w:w="1701" w:type="dxa"/>
            <w:vAlign w:val="center"/>
          </w:tcPr>
          <w:p w14:paraId="24061E65" w14:textId="77777777" w:rsidR="00454A29" w:rsidRDefault="00454A29">
            <w:pPr>
              <w:pStyle w:val="ConsPlusNormal"/>
              <w:jc w:val="center"/>
            </w:pPr>
            <w:r>
              <w:t>8 493,69</w:t>
            </w:r>
          </w:p>
        </w:tc>
        <w:tc>
          <w:tcPr>
            <w:tcW w:w="1814" w:type="dxa"/>
            <w:vAlign w:val="center"/>
          </w:tcPr>
          <w:p w14:paraId="19C8E142" w14:textId="77777777" w:rsidR="00454A29" w:rsidRDefault="00454A29">
            <w:pPr>
              <w:pStyle w:val="ConsPlusNormal"/>
              <w:jc w:val="center"/>
            </w:pPr>
            <w:r>
              <w:t>114 499,30</w:t>
            </w:r>
          </w:p>
        </w:tc>
      </w:tr>
      <w:tr w:rsidR="00454A29" w14:paraId="1CB713A0" w14:textId="77777777">
        <w:tc>
          <w:tcPr>
            <w:tcW w:w="567" w:type="dxa"/>
            <w:vMerge/>
          </w:tcPr>
          <w:p w14:paraId="3C97C984" w14:textId="77777777" w:rsidR="00454A29" w:rsidRDefault="00454A29"/>
        </w:tc>
        <w:tc>
          <w:tcPr>
            <w:tcW w:w="3345" w:type="dxa"/>
            <w:vMerge/>
          </w:tcPr>
          <w:p w14:paraId="261A94D0" w14:textId="77777777" w:rsidR="00454A29" w:rsidRDefault="00454A29"/>
        </w:tc>
        <w:tc>
          <w:tcPr>
            <w:tcW w:w="1701" w:type="dxa"/>
            <w:vAlign w:val="center"/>
          </w:tcPr>
          <w:p w14:paraId="64CBAA74" w14:textId="77777777" w:rsidR="00454A29" w:rsidRDefault="00454A29">
            <w:pPr>
              <w:pStyle w:val="ConsPlusNormal"/>
              <w:jc w:val="center"/>
            </w:pPr>
            <w:r>
              <w:t>2018</w:t>
            </w:r>
          </w:p>
        </w:tc>
        <w:tc>
          <w:tcPr>
            <w:tcW w:w="1417" w:type="dxa"/>
            <w:vMerge/>
          </w:tcPr>
          <w:p w14:paraId="74571B80" w14:textId="77777777" w:rsidR="00454A29" w:rsidRDefault="00454A29"/>
        </w:tc>
        <w:tc>
          <w:tcPr>
            <w:tcW w:w="2204" w:type="dxa"/>
            <w:vMerge/>
          </w:tcPr>
          <w:p w14:paraId="4CC6E4E7" w14:textId="77777777" w:rsidR="00454A29" w:rsidRDefault="00454A29"/>
        </w:tc>
        <w:tc>
          <w:tcPr>
            <w:tcW w:w="1417" w:type="dxa"/>
            <w:vMerge/>
          </w:tcPr>
          <w:p w14:paraId="05483EE0" w14:textId="77777777" w:rsidR="00454A29" w:rsidRDefault="00454A29"/>
        </w:tc>
        <w:tc>
          <w:tcPr>
            <w:tcW w:w="2324" w:type="dxa"/>
            <w:vMerge/>
          </w:tcPr>
          <w:p w14:paraId="3FA0B965" w14:textId="77777777" w:rsidR="00454A29" w:rsidRDefault="00454A29"/>
        </w:tc>
        <w:tc>
          <w:tcPr>
            <w:tcW w:w="1701" w:type="dxa"/>
            <w:vAlign w:val="center"/>
          </w:tcPr>
          <w:p w14:paraId="13F51D01" w14:textId="77777777" w:rsidR="00454A29" w:rsidRDefault="00454A29">
            <w:pPr>
              <w:pStyle w:val="ConsPlusNormal"/>
              <w:jc w:val="center"/>
            </w:pPr>
            <w:r>
              <w:t>130 878,48</w:t>
            </w:r>
          </w:p>
        </w:tc>
        <w:tc>
          <w:tcPr>
            <w:tcW w:w="1814" w:type="dxa"/>
            <w:vAlign w:val="center"/>
          </w:tcPr>
          <w:p w14:paraId="3D666384" w14:textId="77777777" w:rsidR="00454A29" w:rsidRDefault="00454A29">
            <w:pPr>
              <w:pStyle w:val="ConsPlusNormal"/>
              <w:jc w:val="center"/>
            </w:pPr>
            <w:r>
              <w:t>114 825,97</w:t>
            </w:r>
          </w:p>
        </w:tc>
        <w:tc>
          <w:tcPr>
            <w:tcW w:w="1701" w:type="dxa"/>
            <w:vAlign w:val="center"/>
          </w:tcPr>
          <w:p w14:paraId="1C04829E" w14:textId="77777777" w:rsidR="00454A29" w:rsidRDefault="00454A29">
            <w:pPr>
              <w:pStyle w:val="ConsPlusNormal"/>
            </w:pPr>
          </w:p>
        </w:tc>
        <w:tc>
          <w:tcPr>
            <w:tcW w:w="1701" w:type="dxa"/>
            <w:vAlign w:val="center"/>
          </w:tcPr>
          <w:p w14:paraId="74139BB2" w14:textId="77777777" w:rsidR="00454A29" w:rsidRDefault="00454A29">
            <w:pPr>
              <w:pStyle w:val="ConsPlusNormal"/>
              <w:jc w:val="center"/>
            </w:pPr>
            <w:r>
              <w:t>16 052,51</w:t>
            </w:r>
          </w:p>
        </w:tc>
        <w:tc>
          <w:tcPr>
            <w:tcW w:w="1814" w:type="dxa"/>
            <w:vAlign w:val="center"/>
          </w:tcPr>
          <w:p w14:paraId="2F48F3A0" w14:textId="77777777" w:rsidR="00454A29" w:rsidRDefault="00454A29">
            <w:pPr>
              <w:pStyle w:val="ConsPlusNormal"/>
            </w:pPr>
          </w:p>
        </w:tc>
      </w:tr>
      <w:tr w:rsidR="00454A29" w14:paraId="440362D9" w14:textId="77777777">
        <w:tc>
          <w:tcPr>
            <w:tcW w:w="567" w:type="dxa"/>
            <w:vMerge/>
          </w:tcPr>
          <w:p w14:paraId="36789414" w14:textId="77777777" w:rsidR="00454A29" w:rsidRDefault="00454A29"/>
        </w:tc>
        <w:tc>
          <w:tcPr>
            <w:tcW w:w="3345" w:type="dxa"/>
            <w:vMerge/>
          </w:tcPr>
          <w:p w14:paraId="4AD58A86" w14:textId="77777777" w:rsidR="00454A29" w:rsidRDefault="00454A29"/>
        </w:tc>
        <w:tc>
          <w:tcPr>
            <w:tcW w:w="1701" w:type="dxa"/>
            <w:vAlign w:val="center"/>
          </w:tcPr>
          <w:p w14:paraId="7D30068D" w14:textId="77777777" w:rsidR="00454A29" w:rsidRDefault="00454A29">
            <w:pPr>
              <w:pStyle w:val="ConsPlusNormal"/>
              <w:jc w:val="center"/>
            </w:pPr>
            <w:r>
              <w:t>2019</w:t>
            </w:r>
          </w:p>
        </w:tc>
        <w:tc>
          <w:tcPr>
            <w:tcW w:w="1417" w:type="dxa"/>
            <w:vMerge/>
          </w:tcPr>
          <w:p w14:paraId="36784131" w14:textId="77777777" w:rsidR="00454A29" w:rsidRDefault="00454A29"/>
        </w:tc>
        <w:tc>
          <w:tcPr>
            <w:tcW w:w="2204" w:type="dxa"/>
            <w:vMerge/>
          </w:tcPr>
          <w:p w14:paraId="3E69B2EB" w14:textId="77777777" w:rsidR="00454A29" w:rsidRDefault="00454A29"/>
        </w:tc>
        <w:tc>
          <w:tcPr>
            <w:tcW w:w="1417" w:type="dxa"/>
            <w:vMerge/>
          </w:tcPr>
          <w:p w14:paraId="7801AB19" w14:textId="77777777" w:rsidR="00454A29" w:rsidRDefault="00454A29"/>
        </w:tc>
        <w:tc>
          <w:tcPr>
            <w:tcW w:w="2324" w:type="dxa"/>
            <w:vMerge/>
          </w:tcPr>
          <w:p w14:paraId="730DD417" w14:textId="77777777" w:rsidR="00454A29" w:rsidRDefault="00454A29"/>
        </w:tc>
        <w:tc>
          <w:tcPr>
            <w:tcW w:w="1701" w:type="dxa"/>
            <w:vAlign w:val="center"/>
          </w:tcPr>
          <w:p w14:paraId="748E79DA" w14:textId="77777777" w:rsidR="00454A29" w:rsidRDefault="00454A29">
            <w:pPr>
              <w:pStyle w:val="ConsPlusNormal"/>
              <w:jc w:val="center"/>
            </w:pPr>
            <w:r>
              <w:t>124 346,48</w:t>
            </w:r>
          </w:p>
        </w:tc>
        <w:tc>
          <w:tcPr>
            <w:tcW w:w="1814" w:type="dxa"/>
            <w:vAlign w:val="center"/>
          </w:tcPr>
          <w:p w14:paraId="18E59802" w14:textId="77777777" w:rsidR="00454A29" w:rsidRDefault="00454A29">
            <w:pPr>
              <w:pStyle w:val="ConsPlusNormal"/>
              <w:jc w:val="center"/>
            </w:pPr>
            <w:r>
              <w:t>103 676,60</w:t>
            </w:r>
          </w:p>
        </w:tc>
        <w:tc>
          <w:tcPr>
            <w:tcW w:w="1701" w:type="dxa"/>
            <w:vAlign w:val="center"/>
          </w:tcPr>
          <w:p w14:paraId="3B054949" w14:textId="77777777" w:rsidR="00454A29" w:rsidRDefault="00454A29">
            <w:pPr>
              <w:pStyle w:val="ConsPlusNormal"/>
            </w:pPr>
          </w:p>
        </w:tc>
        <w:tc>
          <w:tcPr>
            <w:tcW w:w="1701" w:type="dxa"/>
            <w:vAlign w:val="center"/>
          </w:tcPr>
          <w:p w14:paraId="54D95713" w14:textId="77777777" w:rsidR="00454A29" w:rsidRDefault="00454A29">
            <w:pPr>
              <w:pStyle w:val="ConsPlusNormal"/>
              <w:jc w:val="center"/>
            </w:pPr>
            <w:r>
              <w:t>20 669,88</w:t>
            </w:r>
          </w:p>
        </w:tc>
        <w:tc>
          <w:tcPr>
            <w:tcW w:w="1814" w:type="dxa"/>
            <w:vAlign w:val="center"/>
          </w:tcPr>
          <w:p w14:paraId="30EE60C6" w14:textId="77777777" w:rsidR="00454A29" w:rsidRDefault="00454A29">
            <w:pPr>
              <w:pStyle w:val="ConsPlusNormal"/>
            </w:pPr>
          </w:p>
        </w:tc>
      </w:tr>
      <w:tr w:rsidR="00454A29" w14:paraId="69F2F81F" w14:textId="77777777">
        <w:tc>
          <w:tcPr>
            <w:tcW w:w="567" w:type="dxa"/>
            <w:vMerge/>
          </w:tcPr>
          <w:p w14:paraId="50F3ED48" w14:textId="77777777" w:rsidR="00454A29" w:rsidRDefault="00454A29"/>
        </w:tc>
        <w:tc>
          <w:tcPr>
            <w:tcW w:w="3345" w:type="dxa"/>
            <w:vMerge/>
          </w:tcPr>
          <w:p w14:paraId="38E2C3D1" w14:textId="77777777" w:rsidR="00454A29" w:rsidRDefault="00454A29"/>
        </w:tc>
        <w:tc>
          <w:tcPr>
            <w:tcW w:w="1701" w:type="dxa"/>
            <w:vAlign w:val="center"/>
          </w:tcPr>
          <w:p w14:paraId="6E7EE88A" w14:textId="77777777" w:rsidR="00454A29" w:rsidRDefault="00454A29">
            <w:pPr>
              <w:pStyle w:val="ConsPlusNormal"/>
              <w:jc w:val="center"/>
            </w:pPr>
            <w:r>
              <w:t>2020</w:t>
            </w:r>
          </w:p>
        </w:tc>
        <w:tc>
          <w:tcPr>
            <w:tcW w:w="1417" w:type="dxa"/>
            <w:vMerge/>
          </w:tcPr>
          <w:p w14:paraId="15ABD824" w14:textId="77777777" w:rsidR="00454A29" w:rsidRDefault="00454A29"/>
        </w:tc>
        <w:tc>
          <w:tcPr>
            <w:tcW w:w="2204" w:type="dxa"/>
            <w:vMerge/>
          </w:tcPr>
          <w:p w14:paraId="7C8FA707" w14:textId="77777777" w:rsidR="00454A29" w:rsidRDefault="00454A29"/>
        </w:tc>
        <w:tc>
          <w:tcPr>
            <w:tcW w:w="1417" w:type="dxa"/>
            <w:vMerge/>
          </w:tcPr>
          <w:p w14:paraId="2E07C276" w14:textId="77777777" w:rsidR="00454A29" w:rsidRDefault="00454A29"/>
        </w:tc>
        <w:tc>
          <w:tcPr>
            <w:tcW w:w="2324" w:type="dxa"/>
            <w:vMerge/>
          </w:tcPr>
          <w:p w14:paraId="7ABBF9B6" w14:textId="77777777" w:rsidR="00454A29" w:rsidRDefault="00454A29"/>
        </w:tc>
        <w:tc>
          <w:tcPr>
            <w:tcW w:w="1701" w:type="dxa"/>
            <w:vAlign w:val="center"/>
          </w:tcPr>
          <w:p w14:paraId="1867BAF3" w14:textId="77777777" w:rsidR="00454A29" w:rsidRDefault="00454A29">
            <w:pPr>
              <w:pStyle w:val="ConsPlusNormal"/>
              <w:jc w:val="center"/>
            </w:pPr>
            <w:r>
              <w:t>29 953,26</w:t>
            </w:r>
          </w:p>
        </w:tc>
        <w:tc>
          <w:tcPr>
            <w:tcW w:w="1814" w:type="dxa"/>
            <w:vAlign w:val="center"/>
          </w:tcPr>
          <w:p w14:paraId="5E7BAB41" w14:textId="77777777" w:rsidR="00454A29" w:rsidRDefault="00454A29">
            <w:pPr>
              <w:pStyle w:val="ConsPlusNormal"/>
              <w:jc w:val="center"/>
            </w:pPr>
            <w:r>
              <w:t>18 628,77</w:t>
            </w:r>
          </w:p>
        </w:tc>
        <w:tc>
          <w:tcPr>
            <w:tcW w:w="1701" w:type="dxa"/>
            <w:vAlign w:val="center"/>
          </w:tcPr>
          <w:p w14:paraId="4965D88B" w14:textId="77777777" w:rsidR="00454A29" w:rsidRDefault="00454A29">
            <w:pPr>
              <w:pStyle w:val="ConsPlusNormal"/>
            </w:pPr>
          </w:p>
        </w:tc>
        <w:tc>
          <w:tcPr>
            <w:tcW w:w="1701" w:type="dxa"/>
            <w:vAlign w:val="center"/>
          </w:tcPr>
          <w:p w14:paraId="633136F8" w14:textId="77777777" w:rsidR="00454A29" w:rsidRDefault="00454A29">
            <w:pPr>
              <w:pStyle w:val="ConsPlusNormal"/>
              <w:jc w:val="center"/>
            </w:pPr>
            <w:r>
              <w:t>11 324,49</w:t>
            </w:r>
          </w:p>
        </w:tc>
        <w:tc>
          <w:tcPr>
            <w:tcW w:w="1814" w:type="dxa"/>
            <w:vAlign w:val="center"/>
          </w:tcPr>
          <w:p w14:paraId="7216A633" w14:textId="77777777" w:rsidR="00454A29" w:rsidRDefault="00454A29">
            <w:pPr>
              <w:pStyle w:val="ConsPlusNormal"/>
            </w:pPr>
          </w:p>
        </w:tc>
      </w:tr>
      <w:tr w:rsidR="00454A29" w14:paraId="033B25B5" w14:textId="77777777">
        <w:tc>
          <w:tcPr>
            <w:tcW w:w="567" w:type="dxa"/>
            <w:vMerge/>
          </w:tcPr>
          <w:p w14:paraId="2925B85F" w14:textId="77777777" w:rsidR="00454A29" w:rsidRDefault="00454A29"/>
        </w:tc>
        <w:tc>
          <w:tcPr>
            <w:tcW w:w="3345" w:type="dxa"/>
            <w:vMerge/>
          </w:tcPr>
          <w:p w14:paraId="271ED8B3" w14:textId="77777777" w:rsidR="00454A29" w:rsidRDefault="00454A29"/>
        </w:tc>
        <w:tc>
          <w:tcPr>
            <w:tcW w:w="1701" w:type="dxa"/>
            <w:vAlign w:val="center"/>
          </w:tcPr>
          <w:p w14:paraId="656C09BE" w14:textId="77777777" w:rsidR="00454A29" w:rsidRDefault="00454A29">
            <w:pPr>
              <w:pStyle w:val="ConsPlusNormal"/>
              <w:jc w:val="center"/>
            </w:pPr>
            <w:r>
              <w:t>2021</w:t>
            </w:r>
          </w:p>
        </w:tc>
        <w:tc>
          <w:tcPr>
            <w:tcW w:w="1417" w:type="dxa"/>
            <w:vMerge/>
          </w:tcPr>
          <w:p w14:paraId="7CBE9922" w14:textId="77777777" w:rsidR="00454A29" w:rsidRDefault="00454A29"/>
        </w:tc>
        <w:tc>
          <w:tcPr>
            <w:tcW w:w="2204" w:type="dxa"/>
            <w:vMerge/>
          </w:tcPr>
          <w:p w14:paraId="3705A8C2" w14:textId="77777777" w:rsidR="00454A29" w:rsidRDefault="00454A29"/>
        </w:tc>
        <w:tc>
          <w:tcPr>
            <w:tcW w:w="1417" w:type="dxa"/>
            <w:vMerge/>
          </w:tcPr>
          <w:p w14:paraId="6F27FA9B" w14:textId="77777777" w:rsidR="00454A29" w:rsidRDefault="00454A29"/>
        </w:tc>
        <w:tc>
          <w:tcPr>
            <w:tcW w:w="2324" w:type="dxa"/>
            <w:vMerge/>
          </w:tcPr>
          <w:p w14:paraId="6BC60E3B" w14:textId="77777777" w:rsidR="00454A29" w:rsidRDefault="00454A29"/>
        </w:tc>
        <w:tc>
          <w:tcPr>
            <w:tcW w:w="1701" w:type="dxa"/>
            <w:vAlign w:val="center"/>
          </w:tcPr>
          <w:p w14:paraId="281CEC70" w14:textId="77777777" w:rsidR="00454A29" w:rsidRDefault="00454A29">
            <w:pPr>
              <w:pStyle w:val="ConsPlusNormal"/>
              <w:jc w:val="center"/>
            </w:pPr>
            <w:r>
              <w:t>33 439,13</w:t>
            </w:r>
          </w:p>
        </w:tc>
        <w:tc>
          <w:tcPr>
            <w:tcW w:w="1814" w:type="dxa"/>
            <w:vAlign w:val="center"/>
          </w:tcPr>
          <w:p w14:paraId="78A75A07" w14:textId="77777777" w:rsidR="00454A29" w:rsidRDefault="00454A29">
            <w:pPr>
              <w:pStyle w:val="ConsPlusNormal"/>
              <w:jc w:val="center"/>
            </w:pPr>
            <w:r>
              <w:t>21 588,00</w:t>
            </w:r>
          </w:p>
        </w:tc>
        <w:tc>
          <w:tcPr>
            <w:tcW w:w="1701" w:type="dxa"/>
            <w:vAlign w:val="center"/>
          </w:tcPr>
          <w:p w14:paraId="4735BA79" w14:textId="77777777" w:rsidR="00454A29" w:rsidRDefault="00454A29">
            <w:pPr>
              <w:pStyle w:val="ConsPlusNormal"/>
            </w:pPr>
          </w:p>
        </w:tc>
        <w:tc>
          <w:tcPr>
            <w:tcW w:w="1701" w:type="dxa"/>
            <w:vAlign w:val="center"/>
          </w:tcPr>
          <w:p w14:paraId="733F9E94" w14:textId="77777777" w:rsidR="00454A29" w:rsidRDefault="00454A29">
            <w:pPr>
              <w:pStyle w:val="ConsPlusNormal"/>
              <w:jc w:val="center"/>
            </w:pPr>
            <w:r>
              <w:t>11 851,13</w:t>
            </w:r>
          </w:p>
        </w:tc>
        <w:tc>
          <w:tcPr>
            <w:tcW w:w="1814" w:type="dxa"/>
            <w:vAlign w:val="center"/>
          </w:tcPr>
          <w:p w14:paraId="6AB37FCF" w14:textId="77777777" w:rsidR="00454A29" w:rsidRDefault="00454A29">
            <w:pPr>
              <w:pStyle w:val="ConsPlusNormal"/>
            </w:pPr>
          </w:p>
        </w:tc>
      </w:tr>
      <w:tr w:rsidR="00454A29" w14:paraId="23E34DC0" w14:textId="77777777">
        <w:tc>
          <w:tcPr>
            <w:tcW w:w="567" w:type="dxa"/>
            <w:vMerge/>
          </w:tcPr>
          <w:p w14:paraId="0F224DC0" w14:textId="77777777" w:rsidR="00454A29" w:rsidRDefault="00454A29"/>
        </w:tc>
        <w:tc>
          <w:tcPr>
            <w:tcW w:w="3345" w:type="dxa"/>
            <w:vMerge/>
          </w:tcPr>
          <w:p w14:paraId="320D6CAF" w14:textId="77777777" w:rsidR="00454A29" w:rsidRDefault="00454A29"/>
        </w:tc>
        <w:tc>
          <w:tcPr>
            <w:tcW w:w="1701" w:type="dxa"/>
            <w:vAlign w:val="center"/>
          </w:tcPr>
          <w:p w14:paraId="480F4D51" w14:textId="77777777" w:rsidR="00454A29" w:rsidRDefault="00454A29">
            <w:pPr>
              <w:pStyle w:val="ConsPlusNormal"/>
              <w:jc w:val="center"/>
            </w:pPr>
            <w:r>
              <w:t>2022</w:t>
            </w:r>
          </w:p>
        </w:tc>
        <w:tc>
          <w:tcPr>
            <w:tcW w:w="1417" w:type="dxa"/>
            <w:vMerge/>
          </w:tcPr>
          <w:p w14:paraId="0E15EACE" w14:textId="77777777" w:rsidR="00454A29" w:rsidRDefault="00454A29"/>
        </w:tc>
        <w:tc>
          <w:tcPr>
            <w:tcW w:w="2204" w:type="dxa"/>
            <w:vMerge/>
          </w:tcPr>
          <w:p w14:paraId="79DD9429" w14:textId="77777777" w:rsidR="00454A29" w:rsidRDefault="00454A29"/>
        </w:tc>
        <w:tc>
          <w:tcPr>
            <w:tcW w:w="1417" w:type="dxa"/>
            <w:vMerge/>
          </w:tcPr>
          <w:p w14:paraId="4489D2FE" w14:textId="77777777" w:rsidR="00454A29" w:rsidRDefault="00454A29"/>
        </w:tc>
        <w:tc>
          <w:tcPr>
            <w:tcW w:w="2324" w:type="dxa"/>
            <w:vMerge/>
          </w:tcPr>
          <w:p w14:paraId="76703BE7" w14:textId="77777777" w:rsidR="00454A29" w:rsidRDefault="00454A29"/>
        </w:tc>
        <w:tc>
          <w:tcPr>
            <w:tcW w:w="1701" w:type="dxa"/>
            <w:vAlign w:val="center"/>
          </w:tcPr>
          <w:p w14:paraId="4AB700C2" w14:textId="77777777" w:rsidR="00454A29" w:rsidRDefault="00454A29">
            <w:pPr>
              <w:pStyle w:val="ConsPlusNormal"/>
              <w:jc w:val="center"/>
            </w:pPr>
            <w:r>
              <w:t>37 419,58</w:t>
            </w:r>
          </w:p>
        </w:tc>
        <w:tc>
          <w:tcPr>
            <w:tcW w:w="1814" w:type="dxa"/>
            <w:vAlign w:val="center"/>
          </w:tcPr>
          <w:p w14:paraId="69A4E56C" w14:textId="77777777" w:rsidR="00454A29" w:rsidRDefault="00454A29">
            <w:pPr>
              <w:pStyle w:val="ConsPlusNormal"/>
              <w:jc w:val="center"/>
            </w:pPr>
            <w:r>
              <w:t>25 017,32</w:t>
            </w:r>
          </w:p>
        </w:tc>
        <w:tc>
          <w:tcPr>
            <w:tcW w:w="1701" w:type="dxa"/>
            <w:vAlign w:val="center"/>
          </w:tcPr>
          <w:p w14:paraId="76023CFE" w14:textId="77777777" w:rsidR="00454A29" w:rsidRDefault="00454A29">
            <w:pPr>
              <w:pStyle w:val="ConsPlusNormal"/>
            </w:pPr>
          </w:p>
        </w:tc>
        <w:tc>
          <w:tcPr>
            <w:tcW w:w="1701" w:type="dxa"/>
            <w:vAlign w:val="center"/>
          </w:tcPr>
          <w:p w14:paraId="4EEAD788" w14:textId="77777777" w:rsidR="00454A29" w:rsidRDefault="00454A29">
            <w:pPr>
              <w:pStyle w:val="ConsPlusNormal"/>
              <w:jc w:val="center"/>
            </w:pPr>
            <w:r>
              <w:t>12 402,26</w:t>
            </w:r>
          </w:p>
        </w:tc>
        <w:tc>
          <w:tcPr>
            <w:tcW w:w="1814" w:type="dxa"/>
            <w:vAlign w:val="center"/>
          </w:tcPr>
          <w:p w14:paraId="225B4E9B" w14:textId="77777777" w:rsidR="00454A29" w:rsidRDefault="00454A29">
            <w:pPr>
              <w:pStyle w:val="ConsPlusNormal"/>
            </w:pPr>
          </w:p>
        </w:tc>
      </w:tr>
      <w:tr w:rsidR="00454A29" w14:paraId="733E52BF" w14:textId="77777777">
        <w:tc>
          <w:tcPr>
            <w:tcW w:w="567" w:type="dxa"/>
            <w:vMerge/>
          </w:tcPr>
          <w:p w14:paraId="622A967D" w14:textId="77777777" w:rsidR="00454A29" w:rsidRDefault="00454A29"/>
        </w:tc>
        <w:tc>
          <w:tcPr>
            <w:tcW w:w="3345" w:type="dxa"/>
            <w:vMerge/>
          </w:tcPr>
          <w:p w14:paraId="16DC2E27" w14:textId="77777777" w:rsidR="00454A29" w:rsidRDefault="00454A29"/>
        </w:tc>
        <w:tc>
          <w:tcPr>
            <w:tcW w:w="1701" w:type="dxa"/>
            <w:vAlign w:val="center"/>
          </w:tcPr>
          <w:p w14:paraId="17E3417F" w14:textId="77777777" w:rsidR="00454A29" w:rsidRDefault="00454A29">
            <w:pPr>
              <w:pStyle w:val="ConsPlusNormal"/>
              <w:jc w:val="center"/>
            </w:pPr>
            <w:r>
              <w:t>2023</w:t>
            </w:r>
          </w:p>
        </w:tc>
        <w:tc>
          <w:tcPr>
            <w:tcW w:w="1417" w:type="dxa"/>
            <w:vMerge/>
          </w:tcPr>
          <w:p w14:paraId="045468E0" w14:textId="77777777" w:rsidR="00454A29" w:rsidRDefault="00454A29"/>
        </w:tc>
        <w:tc>
          <w:tcPr>
            <w:tcW w:w="2204" w:type="dxa"/>
            <w:vMerge/>
          </w:tcPr>
          <w:p w14:paraId="354814A5" w14:textId="77777777" w:rsidR="00454A29" w:rsidRDefault="00454A29"/>
        </w:tc>
        <w:tc>
          <w:tcPr>
            <w:tcW w:w="1417" w:type="dxa"/>
            <w:vMerge/>
          </w:tcPr>
          <w:p w14:paraId="294CCB6B" w14:textId="77777777" w:rsidR="00454A29" w:rsidRDefault="00454A29"/>
        </w:tc>
        <w:tc>
          <w:tcPr>
            <w:tcW w:w="2324" w:type="dxa"/>
            <w:vMerge/>
          </w:tcPr>
          <w:p w14:paraId="02249AAC" w14:textId="77777777" w:rsidR="00454A29" w:rsidRDefault="00454A29"/>
        </w:tc>
        <w:tc>
          <w:tcPr>
            <w:tcW w:w="1701" w:type="dxa"/>
            <w:vAlign w:val="center"/>
          </w:tcPr>
          <w:p w14:paraId="514E60F2" w14:textId="77777777" w:rsidR="00454A29" w:rsidRDefault="00454A29">
            <w:pPr>
              <w:pStyle w:val="ConsPlusNormal"/>
              <w:jc w:val="center"/>
            </w:pPr>
            <w:r>
              <w:t>41 970,42</w:t>
            </w:r>
          </w:p>
        </w:tc>
        <w:tc>
          <w:tcPr>
            <w:tcW w:w="1814" w:type="dxa"/>
            <w:vAlign w:val="center"/>
          </w:tcPr>
          <w:p w14:paraId="46EA010D" w14:textId="77777777" w:rsidR="00454A29" w:rsidRDefault="00454A29">
            <w:pPr>
              <w:pStyle w:val="ConsPlusNormal"/>
              <w:jc w:val="center"/>
            </w:pPr>
            <w:r>
              <w:t>28 991,39</w:t>
            </w:r>
          </w:p>
        </w:tc>
        <w:tc>
          <w:tcPr>
            <w:tcW w:w="1701" w:type="dxa"/>
            <w:vAlign w:val="center"/>
          </w:tcPr>
          <w:p w14:paraId="1A37381A" w14:textId="77777777" w:rsidR="00454A29" w:rsidRDefault="00454A29">
            <w:pPr>
              <w:pStyle w:val="ConsPlusNormal"/>
            </w:pPr>
          </w:p>
        </w:tc>
        <w:tc>
          <w:tcPr>
            <w:tcW w:w="1701" w:type="dxa"/>
            <w:vAlign w:val="center"/>
          </w:tcPr>
          <w:p w14:paraId="536FF1E5" w14:textId="77777777" w:rsidR="00454A29" w:rsidRDefault="00454A29">
            <w:pPr>
              <w:pStyle w:val="ConsPlusNormal"/>
              <w:jc w:val="center"/>
            </w:pPr>
            <w:r>
              <w:t>12 979,03</w:t>
            </w:r>
          </w:p>
        </w:tc>
        <w:tc>
          <w:tcPr>
            <w:tcW w:w="1814" w:type="dxa"/>
            <w:vAlign w:val="center"/>
          </w:tcPr>
          <w:p w14:paraId="089FBDBB" w14:textId="77777777" w:rsidR="00454A29" w:rsidRDefault="00454A29">
            <w:pPr>
              <w:pStyle w:val="ConsPlusNormal"/>
            </w:pPr>
          </w:p>
        </w:tc>
      </w:tr>
      <w:tr w:rsidR="00454A29" w14:paraId="7996B94E" w14:textId="77777777">
        <w:tc>
          <w:tcPr>
            <w:tcW w:w="567" w:type="dxa"/>
            <w:vMerge/>
          </w:tcPr>
          <w:p w14:paraId="38F962D9" w14:textId="77777777" w:rsidR="00454A29" w:rsidRDefault="00454A29"/>
        </w:tc>
        <w:tc>
          <w:tcPr>
            <w:tcW w:w="3345" w:type="dxa"/>
            <w:vMerge/>
          </w:tcPr>
          <w:p w14:paraId="5251E33E" w14:textId="77777777" w:rsidR="00454A29" w:rsidRDefault="00454A29"/>
        </w:tc>
        <w:tc>
          <w:tcPr>
            <w:tcW w:w="1701" w:type="dxa"/>
            <w:vAlign w:val="center"/>
          </w:tcPr>
          <w:p w14:paraId="2A879525" w14:textId="77777777" w:rsidR="00454A29" w:rsidRDefault="00454A29">
            <w:pPr>
              <w:pStyle w:val="ConsPlusNormal"/>
              <w:jc w:val="center"/>
            </w:pPr>
            <w:r>
              <w:t>2024</w:t>
            </w:r>
          </w:p>
        </w:tc>
        <w:tc>
          <w:tcPr>
            <w:tcW w:w="1417" w:type="dxa"/>
            <w:vMerge/>
          </w:tcPr>
          <w:p w14:paraId="2E717B31" w14:textId="77777777" w:rsidR="00454A29" w:rsidRDefault="00454A29"/>
        </w:tc>
        <w:tc>
          <w:tcPr>
            <w:tcW w:w="2204" w:type="dxa"/>
            <w:vMerge/>
          </w:tcPr>
          <w:p w14:paraId="528FDCF8" w14:textId="77777777" w:rsidR="00454A29" w:rsidRDefault="00454A29"/>
        </w:tc>
        <w:tc>
          <w:tcPr>
            <w:tcW w:w="1417" w:type="dxa"/>
            <w:vMerge/>
          </w:tcPr>
          <w:p w14:paraId="741CEB96" w14:textId="77777777" w:rsidR="00454A29" w:rsidRDefault="00454A29"/>
        </w:tc>
        <w:tc>
          <w:tcPr>
            <w:tcW w:w="2324" w:type="dxa"/>
            <w:vMerge/>
          </w:tcPr>
          <w:p w14:paraId="1486BD00" w14:textId="77777777" w:rsidR="00454A29" w:rsidRDefault="00454A29"/>
        </w:tc>
        <w:tc>
          <w:tcPr>
            <w:tcW w:w="1701" w:type="dxa"/>
            <w:vAlign w:val="center"/>
          </w:tcPr>
          <w:p w14:paraId="100D64DF" w14:textId="77777777" w:rsidR="00454A29" w:rsidRDefault="00454A29">
            <w:pPr>
              <w:pStyle w:val="ConsPlusNormal"/>
              <w:jc w:val="center"/>
            </w:pPr>
            <w:r>
              <w:t>47 179,37</w:t>
            </w:r>
          </w:p>
        </w:tc>
        <w:tc>
          <w:tcPr>
            <w:tcW w:w="1814" w:type="dxa"/>
            <w:vAlign w:val="center"/>
          </w:tcPr>
          <w:p w14:paraId="6CE37781" w14:textId="77777777" w:rsidR="00454A29" w:rsidRDefault="00454A29">
            <w:pPr>
              <w:pStyle w:val="ConsPlusNormal"/>
              <w:jc w:val="center"/>
            </w:pPr>
            <w:r>
              <w:t>33 596,75</w:t>
            </w:r>
          </w:p>
        </w:tc>
        <w:tc>
          <w:tcPr>
            <w:tcW w:w="1701" w:type="dxa"/>
            <w:vAlign w:val="center"/>
          </w:tcPr>
          <w:p w14:paraId="6D6C8E6A" w14:textId="77777777" w:rsidR="00454A29" w:rsidRDefault="00454A29">
            <w:pPr>
              <w:pStyle w:val="ConsPlusNormal"/>
            </w:pPr>
          </w:p>
        </w:tc>
        <w:tc>
          <w:tcPr>
            <w:tcW w:w="1701" w:type="dxa"/>
            <w:vAlign w:val="center"/>
          </w:tcPr>
          <w:p w14:paraId="78A070C4" w14:textId="77777777" w:rsidR="00454A29" w:rsidRDefault="00454A29">
            <w:pPr>
              <w:pStyle w:val="ConsPlusNormal"/>
              <w:jc w:val="center"/>
            </w:pPr>
            <w:r>
              <w:t>13 582,62</w:t>
            </w:r>
          </w:p>
        </w:tc>
        <w:tc>
          <w:tcPr>
            <w:tcW w:w="1814" w:type="dxa"/>
            <w:vAlign w:val="center"/>
          </w:tcPr>
          <w:p w14:paraId="3E12FD93" w14:textId="77777777" w:rsidR="00454A29" w:rsidRDefault="00454A29">
            <w:pPr>
              <w:pStyle w:val="ConsPlusNormal"/>
            </w:pPr>
          </w:p>
        </w:tc>
      </w:tr>
      <w:tr w:rsidR="00454A29" w14:paraId="7EEA4A99" w14:textId="77777777">
        <w:tc>
          <w:tcPr>
            <w:tcW w:w="567" w:type="dxa"/>
            <w:vMerge/>
          </w:tcPr>
          <w:p w14:paraId="264FDB6D" w14:textId="77777777" w:rsidR="00454A29" w:rsidRDefault="00454A29"/>
        </w:tc>
        <w:tc>
          <w:tcPr>
            <w:tcW w:w="3345" w:type="dxa"/>
            <w:vMerge/>
          </w:tcPr>
          <w:p w14:paraId="60A1A243" w14:textId="77777777" w:rsidR="00454A29" w:rsidRDefault="00454A29"/>
        </w:tc>
        <w:tc>
          <w:tcPr>
            <w:tcW w:w="1701" w:type="dxa"/>
            <w:vAlign w:val="center"/>
          </w:tcPr>
          <w:p w14:paraId="33DAD0FD" w14:textId="77777777" w:rsidR="00454A29" w:rsidRDefault="00454A29">
            <w:pPr>
              <w:pStyle w:val="ConsPlusNormal"/>
              <w:jc w:val="center"/>
            </w:pPr>
            <w:r>
              <w:t>2025</w:t>
            </w:r>
          </w:p>
        </w:tc>
        <w:tc>
          <w:tcPr>
            <w:tcW w:w="1417" w:type="dxa"/>
            <w:vMerge/>
          </w:tcPr>
          <w:p w14:paraId="6C903BEB" w14:textId="77777777" w:rsidR="00454A29" w:rsidRDefault="00454A29"/>
        </w:tc>
        <w:tc>
          <w:tcPr>
            <w:tcW w:w="2204" w:type="dxa"/>
            <w:vMerge/>
          </w:tcPr>
          <w:p w14:paraId="7457A78B" w14:textId="77777777" w:rsidR="00454A29" w:rsidRDefault="00454A29"/>
        </w:tc>
        <w:tc>
          <w:tcPr>
            <w:tcW w:w="1417" w:type="dxa"/>
            <w:vMerge/>
          </w:tcPr>
          <w:p w14:paraId="61C38564" w14:textId="77777777" w:rsidR="00454A29" w:rsidRDefault="00454A29"/>
        </w:tc>
        <w:tc>
          <w:tcPr>
            <w:tcW w:w="2324" w:type="dxa"/>
            <w:vMerge/>
          </w:tcPr>
          <w:p w14:paraId="24E13DF3" w14:textId="77777777" w:rsidR="00454A29" w:rsidRDefault="00454A29"/>
        </w:tc>
        <w:tc>
          <w:tcPr>
            <w:tcW w:w="1701" w:type="dxa"/>
            <w:vAlign w:val="center"/>
          </w:tcPr>
          <w:p w14:paraId="701246FA" w14:textId="77777777" w:rsidR="00454A29" w:rsidRDefault="00454A29">
            <w:pPr>
              <w:pStyle w:val="ConsPlusNormal"/>
              <w:jc w:val="center"/>
            </w:pPr>
            <w:r>
              <w:t>53 147,97</w:t>
            </w:r>
          </w:p>
        </w:tc>
        <w:tc>
          <w:tcPr>
            <w:tcW w:w="1814" w:type="dxa"/>
            <w:vAlign w:val="center"/>
          </w:tcPr>
          <w:p w14:paraId="0839CB67" w14:textId="77777777" w:rsidR="00454A29" w:rsidRDefault="00454A29">
            <w:pPr>
              <w:pStyle w:val="ConsPlusNormal"/>
              <w:jc w:val="center"/>
            </w:pPr>
            <w:r>
              <w:t>38 933,69</w:t>
            </w:r>
          </w:p>
        </w:tc>
        <w:tc>
          <w:tcPr>
            <w:tcW w:w="1701" w:type="dxa"/>
            <w:vAlign w:val="center"/>
          </w:tcPr>
          <w:p w14:paraId="2C3CD528" w14:textId="77777777" w:rsidR="00454A29" w:rsidRDefault="00454A29">
            <w:pPr>
              <w:pStyle w:val="ConsPlusNormal"/>
            </w:pPr>
          </w:p>
        </w:tc>
        <w:tc>
          <w:tcPr>
            <w:tcW w:w="1701" w:type="dxa"/>
            <w:vAlign w:val="center"/>
          </w:tcPr>
          <w:p w14:paraId="34CA35DA" w14:textId="77777777" w:rsidR="00454A29" w:rsidRDefault="00454A29">
            <w:pPr>
              <w:pStyle w:val="ConsPlusNormal"/>
              <w:jc w:val="center"/>
            </w:pPr>
            <w:r>
              <w:t>14 214,28</w:t>
            </w:r>
          </w:p>
        </w:tc>
        <w:tc>
          <w:tcPr>
            <w:tcW w:w="1814" w:type="dxa"/>
            <w:vAlign w:val="center"/>
          </w:tcPr>
          <w:p w14:paraId="4C80A943" w14:textId="77777777" w:rsidR="00454A29" w:rsidRDefault="00454A29">
            <w:pPr>
              <w:pStyle w:val="ConsPlusNormal"/>
            </w:pPr>
          </w:p>
        </w:tc>
      </w:tr>
      <w:tr w:rsidR="00454A29" w14:paraId="5A091C7B" w14:textId="77777777">
        <w:tc>
          <w:tcPr>
            <w:tcW w:w="567" w:type="dxa"/>
            <w:vMerge/>
          </w:tcPr>
          <w:p w14:paraId="7D3CD8EC" w14:textId="77777777" w:rsidR="00454A29" w:rsidRDefault="00454A29"/>
        </w:tc>
        <w:tc>
          <w:tcPr>
            <w:tcW w:w="3345" w:type="dxa"/>
            <w:vMerge/>
          </w:tcPr>
          <w:p w14:paraId="225AD3FE" w14:textId="77777777" w:rsidR="00454A29" w:rsidRDefault="00454A29"/>
        </w:tc>
        <w:tc>
          <w:tcPr>
            <w:tcW w:w="1701" w:type="dxa"/>
            <w:vAlign w:val="center"/>
          </w:tcPr>
          <w:p w14:paraId="11836D4D" w14:textId="77777777" w:rsidR="00454A29" w:rsidRDefault="00454A29">
            <w:pPr>
              <w:pStyle w:val="ConsPlusNormal"/>
              <w:jc w:val="center"/>
            </w:pPr>
            <w:r>
              <w:t>2026</w:t>
            </w:r>
          </w:p>
        </w:tc>
        <w:tc>
          <w:tcPr>
            <w:tcW w:w="1417" w:type="dxa"/>
            <w:vMerge/>
          </w:tcPr>
          <w:p w14:paraId="7A04D506" w14:textId="77777777" w:rsidR="00454A29" w:rsidRDefault="00454A29"/>
        </w:tc>
        <w:tc>
          <w:tcPr>
            <w:tcW w:w="2204" w:type="dxa"/>
            <w:vMerge/>
          </w:tcPr>
          <w:p w14:paraId="266D2DE9" w14:textId="77777777" w:rsidR="00454A29" w:rsidRDefault="00454A29"/>
        </w:tc>
        <w:tc>
          <w:tcPr>
            <w:tcW w:w="1417" w:type="dxa"/>
            <w:vMerge/>
          </w:tcPr>
          <w:p w14:paraId="4586F852" w14:textId="77777777" w:rsidR="00454A29" w:rsidRDefault="00454A29"/>
        </w:tc>
        <w:tc>
          <w:tcPr>
            <w:tcW w:w="2324" w:type="dxa"/>
            <w:vMerge/>
          </w:tcPr>
          <w:p w14:paraId="65F12FDD" w14:textId="77777777" w:rsidR="00454A29" w:rsidRDefault="00454A29"/>
        </w:tc>
        <w:tc>
          <w:tcPr>
            <w:tcW w:w="1701" w:type="dxa"/>
            <w:vAlign w:val="center"/>
          </w:tcPr>
          <w:p w14:paraId="70C61576" w14:textId="77777777" w:rsidR="00454A29" w:rsidRDefault="00454A29">
            <w:pPr>
              <w:pStyle w:val="ConsPlusNormal"/>
              <w:jc w:val="center"/>
            </w:pPr>
            <w:r>
              <w:t>59 993,73</w:t>
            </w:r>
          </w:p>
        </w:tc>
        <w:tc>
          <w:tcPr>
            <w:tcW w:w="1814" w:type="dxa"/>
            <w:vAlign w:val="center"/>
          </w:tcPr>
          <w:p w14:paraId="7A324A72" w14:textId="77777777" w:rsidR="00454A29" w:rsidRDefault="00454A29">
            <w:pPr>
              <w:pStyle w:val="ConsPlusNormal"/>
              <w:jc w:val="center"/>
            </w:pPr>
            <w:r>
              <w:t>45 118,42</w:t>
            </w:r>
          </w:p>
        </w:tc>
        <w:tc>
          <w:tcPr>
            <w:tcW w:w="1701" w:type="dxa"/>
            <w:vAlign w:val="center"/>
          </w:tcPr>
          <w:p w14:paraId="765EFDE8" w14:textId="77777777" w:rsidR="00454A29" w:rsidRDefault="00454A29">
            <w:pPr>
              <w:pStyle w:val="ConsPlusNormal"/>
            </w:pPr>
          </w:p>
        </w:tc>
        <w:tc>
          <w:tcPr>
            <w:tcW w:w="1701" w:type="dxa"/>
            <w:vAlign w:val="center"/>
          </w:tcPr>
          <w:p w14:paraId="353FAF48" w14:textId="77777777" w:rsidR="00454A29" w:rsidRDefault="00454A29">
            <w:pPr>
              <w:pStyle w:val="ConsPlusNormal"/>
              <w:jc w:val="center"/>
            </w:pPr>
            <w:r>
              <w:t>14 875,31</w:t>
            </w:r>
          </w:p>
        </w:tc>
        <w:tc>
          <w:tcPr>
            <w:tcW w:w="1814" w:type="dxa"/>
            <w:vAlign w:val="center"/>
          </w:tcPr>
          <w:p w14:paraId="67343CB0" w14:textId="77777777" w:rsidR="00454A29" w:rsidRDefault="00454A29">
            <w:pPr>
              <w:pStyle w:val="ConsPlusNormal"/>
            </w:pPr>
          </w:p>
        </w:tc>
      </w:tr>
      <w:tr w:rsidR="00454A29" w14:paraId="3E6DCF85" w14:textId="77777777">
        <w:tc>
          <w:tcPr>
            <w:tcW w:w="567" w:type="dxa"/>
            <w:vMerge w:val="restart"/>
            <w:vAlign w:val="center"/>
          </w:tcPr>
          <w:p w14:paraId="2A966DC8" w14:textId="77777777" w:rsidR="00454A29" w:rsidRDefault="00454A29">
            <w:pPr>
              <w:pStyle w:val="ConsPlusNormal"/>
              <w:jc w:val="center"/>
            </w:pPr>
            <w:r>
              <w:t>76</w:t>
            </w:r>
          </w:p>
        </w:tc>
        <w:tc>
          <w:tcPr>
            <w:tcW w:w="3345" w:type="dxa"/>
            <w:vMerge w:val="restart"/>
            <w:vAlign w:val="center"/>
          </w:tcPr>
          <w:p w14:paraId="67FE55FD" w14:textId="77777777" w:rsidR="00454A29" w:rsidRDefault="00454A29">
            <w:pPr>
              <w:pStyle w:val="ConsPlusNormal"/>
              <w:jc w:val="center"/>
            </w:pPr>
            <w:r>
              <w:t>Детский сад в с. Сырдах городского округа "город Якутск"</w:t>
            </w:r>
          </w:p>
        </w:tc>
        <w:tc>
          <w:tcPr>
            <w:tcW w:w="1701" w:type="dxa"/>
            <w:vAlign w:val="center"/>
          </w:tcPr>
          <w:p w14:paraId="2335BDED" w14:textId="77777777" w:rsidR="00454A29" w:rsidRDefault="00454A29">
            <w:pPr>
              <w:pStyle w:val="ConsPlusNormal"/>
              <w:jc w:val="center"/>
            </w:pPr>
            <w:r>
              <w:t>Всего:</w:t>
            </w:r>
          </w:p>
        </w:tc>
        <w:tc>
          <w:tcPr>
            <w:tcW w:w="1417" w:type="dxa"/>
            <w:vMerge w:val="restart"/>
            <w:vAlign w:val="center"/>
          </w:tcPr>
          <w:p w14:paraId="5FC3FFF7" w14:textId="77777777" w:rsidR="00454A29" w:rsidRDefault="00454A29">
            <w:pPr>
              <w:pStyle w:val="ConsPlusNormal"/>
              <w:jc w:val="center"/>
            </w:pPr>
            <w:r>
              <w:t>505 328,24</w:t>
            </w:r>
          </w:p>
        </w:tc>
        <w:tc>
          <w:tcPr>
            <w:tcW w:w="2204" w:type="dxa"/>
            <w:vMerge w:val="restart"/>
            <w:vAlign w:val="center"/>
          </w:tcPr>
          <w:p w14:paraId="7D3FA2E2" w14:textId="77777777" w:rsidR="00454A29" w:rsidRDefault="00454A29">
            <w:pPr>
              <w:pStyle w:val="ConsPlusNormal"/>
              <w:jc w:val="center"/>
            </w:pPr>
            <w:r>
              <w:t>имеется</w:t>
            </w:r>
          </w:p>
        </w:tc>
        <w:tc>
          <w:tcPr>
            <w:tcW w:w="1417" w:type="dxa"/>
            <w:vMerge w:val="restart"/>
            <w:vAlign w:val="center"/>
          </w:tcPr>
          <w:p w14:paraId="0D58B77C" w14:textId="77777777" w:rsidR="00454A29" w:rsidRDefault="00454A29">
            <w:pPr>
              <w:pStyle w:val="ConsPlusNormal"/>
              <w:jc w:val="center"/>
            </w:pPr>
            <w:r>
              <w:t>240</w:t>
            </w:r>
          </w:p>
        </w:tc>
        <w:tc>
          <w:tcPr>
            <w:tcW w:w="2324" w:type="dxa"/>
            <w:vMerge w:val="restart"/>
            <w:vAlign w:val="center"/>
          </w:tcPr>
          <w:p w14:paraId="1F83BB6F" w14:textId="77777777" w:rsidR="00454A29" w:rsidRDefault="00454A29">
            <w:pPr>
              <w:pStyle w:val="ConsPlusNormal"/>
              <w:jc w:val="center"/>
            </w:pPr>
            <w:r>
              <w:t>Минэкономики РС(Я), ГО "город Якутск"</w:t>
            </w:r>
          </w:p>
        </w:tc>
        <w:tc>
          <w:tcPr>
            <w:tcW w:w="1701" w:type="dxa"/>
            <w:vAlign w:val="center"/>
          </w:tcPr>
          <w:p w14:paraId="1BBA4B52" w14:textId="77777777" w:rsidR="00454A29" w:rsidRDefault="00454A29">
            <w:pPr>
              <w:pStyle w:val="ConsPlusNormal"/>
              <w:jc w:val="center"/>
            </w:pPr>
            <w:r>
              <w:t>1 007 999,93</w:t>
            </w:r>
          </w:p>
        </w:tc>
        <w:tc>
          <w:tcPr>
            <w:tcW w:w="1814" w:type="dxa"/>
            <w:vAlign w:val="center"/>
          </w:tcPr>
          <w:p w14:paraId="54E852E4" w14:textId="77777777" w:rsidR="00454A29" w:rsidRDefault="00454A29">
            <w:pPr>
              <w:pStyle w:val="ConsPlusNormal"/>
              <w:jc w:val="center"/>
            </w:pPr>
            <w:r>
              <w:t>484 658,34</w:t>
            </w:r>
          </w:p>
        </w:tc>
        <w:tc>
          <w:tcPr>
            <w:tcW w:w="1701" w:type="dxa"/>
            <w:vAlign w:val="center"/>
          </w:tcPr>
          <w:p w14:paraId="6FC0E751" w14:textId="77777777" w:rsidR="00454A29" w:rsidRDefault="00454A29">
            <w:pPr>
              <w:pStyle w:val="ConsPlusNormal"/>
              <w:jc w:val="center"/>
            </w:pPr>
            <w:r>
              <w:t>-</w:t>
            </w:r>
          </w:p>
        </w:tc>
        <w:tc>
          <w:tcPr>
            <w:tcW w:w="1701" w:type="dxa"/>
            <w:vAlign w:val="center"/>
          </w:tcPr>
          <w:p w14:paraId="5676FD3E" w14:textId="77777777" w:rsidR="00454A29" w:rsidRDefault="00454A29">
            <w:pPr>
              <w:pStyle w:val="ConsPlusNormal"/>
              <w:jc w:val="center"/>
            </w:pPr>
            <w:r>
              <w:t>148 537,96</w:t>
            </w:r>
          </w:p>
        </w:tc>
        <w:tc>
          <w:tcPr>
            <w:tcW w:w="1814" w:type="dxa"/>
            <w:vAlign w:val="center"/>
          </w:tcPr>
          <w:p w14:paraId="2DDE263D" w14:textId="77777777" w:rsidR="00454A29" w:rsidRDefault="00454A29">
            <w:pPr>
              <w:pStyle w:val="ConsPlusNormal"/>
              <w:jc w:val="center"/>
            </w:pPr>
            <w:r>
              <w:t>374 803,63</w:t>
            </w:r>
          </w:p>
        </w:tc>
      </w:tr>
      <w:tr w:rsidR="00454A29" w14:paraId="42ED72AE" w14:textId="77777777">
        <w:tc>
          <w:tcPr>
            <w:tcW w:w="567" w:type="dxa"/>
            <w:vMerge/>
          </w:tcPr>
          <w:p w14:paraId="15BF0799" w14:textId="77777777" w:rsidR="00454A29" w:rsidRDefault="00454A29"/>
        </w:tc>
        <w:tc>
          <w:tcPr>
            <w:tcW w:w="3345" w:type="dxa"/>
            <w:vMerge/>
          </w:tcPr>
          <w:p w14:paraId="5C9329BC" w14:textId="77777777" w:rsidR="00454A29" w:rsidRDefault="00454A29"/>
        </w:tc>
        <w:tc>
          <w:tcPr>
            <w:tcW w:w="1701" w:type="dxa"/>
            <w:vAlign w:val="center"/>
          </w:tcPr>
          <w:p w14:paraId="14B4F122" w14:textId="77777777" w:rsidR="00454A29" w:rsidRDefault="00454A29">
            <w:pPr>
              <w:pStyle w:val="ConsPlusNormal"/>
              <w:jc w:val="center"/>
            </w:pPr>
            <w:r>
              <w:t>2016</w:t>
            </w:r>
          </w:p>
        </w:tc>
        <w:tc>
          <w:tcPr>
            <w:tcW w:w="1417" w:type="dxa"/>
            <w:vMerge/>
          </w:tcPr>
          <w:p w14:paraId="7C93650A" w14:textId="77777777" w:rsidR="00454A29" w:rsidRDefault="00454A29"/>
        </w:tc>
        <w:tc>
          <w:tcPr>
            <w:tcW w:w="2204" w:type="dxa"/>
            <w:vMerge/>
          </w:tcPr>
          <w:p w14:paraId="3D98199C" w14:textId="77777777" w:rsidR="00454A29" w:rsidRDefault="00454A29"/>
        </w:tc>
        <w:tc>
          <w:tcPr>
            <w:tcW w:w="1417" w:type="dxa"/>
            <w:vMerge/>
          </w:tcPr>
          <w:p w14:paraId="0F1B3B95" w14:textId="77777777" w:rsidR="00454A29" w:rsidRDefault="00454A29"/>
        </w:tc>
        <w:tc>
          <w:tcPr>
            <w:tcW w:w="2324" w:type="dxa"/>
            <w:vMerge/>
          </w:tcPr>
          <w:p w14:paraId="22C988AA" w14:textId="77777777" w:rsidR="00454A29" w:rsidRDefault="00454A29"/>
        </w:tc>
        <w:tc>
          <w:tcPr>
            <w:tcW w:w="1701" w:type="dxa"/>
            <w:vAlign w:val="center"/>
          </w:tcPr>
          <w:p w14:paraId="288CAAD1" w14:textId="77777777" w:rsidR="00454A29" w:rsidRDefault="00454A29">
            <w:pPr>
              <w:pStyle w:val="ConsPlusNormal"/>
              <w:jc w:val="center"/>
            </w:pPr>
            <w:r>
              <w:t>287 385,89</w:t>
            </w:r>
          </w:p>
        </w:tc>
        <w:tc>
          <w:tcPr>
            <w:tcW w:w="1814" w:type="dxa"/>
            <w:vAlign w:val="center"/>
          </w:tcPr>
          <w:p w14:paraId="3781CB39" w14:textId="77777777" w:rsidR="00454A29" w:rsidRDefault="00454A29">
            <w:pPr>
              <w:pStyle w:val="ConsPlusNormal"/>
              <w:jc w:val="center"/>
            </w:pPr>
            <w:r>
              <w:t>11 496,77</w:t>
            </w:r>
          </w:p>
        </w:tc>
        <w:tc>
          <w:tcPr>
            <w:tcW w:w="1701" w:type="dxa"/>
            <w:vAlign w:val="center"/>
          </w:tcPr>
          <w:p w14:paraId="095E257F" w14:textId="77777777" w:rsidR="00454A29" w:rsidRDefault="00454A29">
            <w:pPr>
              <w:pStyle w:val="ConsPlusNormal"/>
            </w:pPr>
          </w:p>
        </w:tc>
        <w:tc>
          <w:tcPr>
            <w:tcW w:w="1701" w:type="dxa"/>
            <w:vAlign w:val="center"/>
          </w:tcPr>
          <w:p w14:paraId="7BD1402A" w14:textId="77777777" w:rsidR="00454A29" w:rsidRDefault="00454A29">
            <w:pPr>
              <w:pStyle w:val="ConsPlusNormal"/>
              <w:jc w:val="center"/>
            </w:pPr>
            <w:r>
              <w:t>2 417,00</w:t>
            </w:r>
          </w:p>
        </w:tc>
        <w:tc>
          <w:tcPr>
            <w:tcW w:w="1814" w:type="dxa"/>
            <w:vAlign w:val="center"/>
          </w:tcPr>
          <w:p w14:paraId="259792F4" w14:textId="77777777" w:rsidR="00454A29" w:rsidRDefault="00454A29">
            <w:pPr>
              <w:pStyle w:val="ConsPlusNormal"/>
              <w:jc w:val="center"/>
            </w:pPr>
            <w:r>
              <w:t>273 472,12</w:t>
            </w:r>
          </w:p>
        </w:tc>
      </w:tr>
      <w:tr w:rsidR="00454A29" w14:paraId="59ADC77B" w14:textId="77777777">
        <w:tc>
          <w:tcPr>
            <w:tcW w:w="567" w:type="dxa"/>
            <w:vMerge/>
          </w:tcPr>
          <w:p w14:paraId="2A556776" w14:textId="77777777" w:rsidR="00454A29" w:rsidRDefault="00454A29"/>
        </w:tc>
        <w:tc>
          <w:tcPr>
            <w:tcW w:w="3345" w:type="dxa"/>
            <w:vMerge/>
          </w:tcPr>
          <w:p w14:paraId="296EE313" w14:textId="77777777" w:rsidR="00454A29" w:rsidRDefault="00454A29"/>
        </w:tc>
        <w:tc>
          <w:tcPr>
            <w:tcW w:w="1701" w:type="dxa"/>
            <w:vAlign w:val="center"/>
          </w:tcPr>
          <w:p w14:paraId="1E0A1523" w14:textId="77777777" w:rsidR="00454A29" w:rsidRDefault="00454A29">
            <w:pPr>
              <w:pStyle w:val="ConsPlusNormal"/>
              <w:jc w:val="center"/>
            </w:pPr>
            <w:r>
              <w:t>2017</w:t>
            </w:r>
          </w:p>
        </w:tc>
        <w:tc>
          <w:tcPr>
            <w:tcW w:w="1417" w:type="dxa"/>
            <w:vMerge/>
          </w:tcPr>
          <w:p w14:paraId="03D9B344" w14:textId="77777777" w:rsidR="00454A29" w:rsidRDefault="00454A29"/>
        </w:tc>
        <w:tc>
          <w:tcPr>
            <w:tcW w:w="2204" w:type="dxa"/>
            <w:vMerge/>
          </w:tcPr>
          <w:p w14:paraId="51BED91F" w14:textId="77777777" w:rsidR="00454A29" w:rsidRDefault="00454A29"/>
        </w:tc>
        <w:tc>
          <w:tcPr>
            <w:tcW w:w="1417" w:type="dxa"/>
            <w:vMerge/>
          </w:tcPr>
          <w:p w14:paraId="219C548D" w14:textId="77777777" w:rsidR="00454A29" w:rsidRDefault="00454A29"/>
        </w:tc>
        <w:tc>
          <w:tcPr>
            <w:tcW w:w="2324" w:type="dxa"/>
            <w:vMerge/>
          </w:tcPr>
          <w:p w14:paraId="05647A58" w14:textId="77777777" w:rsidR="00454A29" w:rsidRDefault="00454A29"/>
        </w:tc>
        <w:tc>
          <w:tcPr>
            <w:tcW w:w="1701" w:type="dxa"/>
            <w:vAlign w:val="center"/>
          </w:tcPr>
          <w:p w14:paraId="7AB642A1" w14:textId="77777777" w:rsidR="00454A29" w:rsidRDefault="00454A29">
            <w:pPr>
              <w:pStyle w:val="ConsPlusNormal"/>
              <w:jc w:val="center"/>
            </w:pPr>
            <w:r>
              <w:t>150 226,59</w:t>
            </w:r>
          </w:p>
        </w:tc>
        <w:tc>
          <w:tcPr>
            <w:tcW w:w="1814" w:type="dxa"/>
            <w:vAlign w:val="center"/>
          </w:tcPr>
          <w:p w14:paraId="3D271153" w14:textId="77777777" w:rsidR="00454A29" w:rsidRDefault="00454A29">
            <w:pPr>
              <w:pStyle w:val="ConsPlusNormal"/>
              <w:jc w:val="center"/>
            </w:pPr>
            <w:r>
              <w:t>40 401,39</w:t>
            </w:r>
          </w:p>
        </w:tc>
        <w:tc>
          <w:tcPr>
            <w:tcW w:w="1701" w:type="dxa"/>
            <w:vAlign w:val="center"/>
          </w:tcPr>
          <w:p w14:paraId="1ED07A4A" w14:textId="77777777" w:rsidR="00454A29" w:rsidRDefault="00454A29">
            <w:pPr>
              <w:pStyle w:val="ConsPlusNormal"/>
            </w:pPr>
          </w:p>
        </w:tc>
        <w:tc>
          <w:tcPr>
            <w:tcW w:w="1701" w:type="dxa"/>
            <w:vAlign w:val="center"/>
          </w:tcPr>
          <w:p w14:paraId="3EF03A41" w14:textId="77777777" w:rsidR="00454A29" w:rsidRDefault="00454A29">
            <w:pPr>
              <w:pStyle w:val="ConsPlusNormal"/>
              <w:jc w:val="center"/>
            </w:pPr>
            <w:r>
              <w:t>8 493,69</w:t>
            </w:r>
          </w:p>
        </w:tc>
        <w:tc>
          <w:tcPr>
            <w:tcW w:w="1814" w:type="dxa"/>
            <w:vAlign w:val="center"/>
          </w:tcPr>
          <w:p w14:paraId="20F7B37F" w14:textId="77777777" w:rsidR="00454A29" w:rsidRDefault="00454A29">
            <w:pPr>
              <w:pStyle w:val="ConsPlusNormal"/>
              <w:jc w:val="center"/>
            </w:pPr>
            <w:r>
              <w:t>101 331,51</w:t>
            </w:r>
          </w:p>
        </w:tc>
      </w:tr>
      <w:tr w:rsidR="00454A29" w14:paraId="1691CBD9" w14:textId="77777777">
        <w:tc>
          <w:tcPr>
            <w:tcW w:w="567" w:type="dxa"/>
            <w:vMerge/>
          </w:tcPr>
          <w:p w14:paraId="7ACAAA4C" w14:textId="77777777" w:rsidR="00454A29" w:rsidRDefault="00454A29"/>
        </w:tc>
        <w:tc>
          <w:tcPr>
            <w:tcW w:w="3345" w:type="dxa"/>
            <w:vMerge/>
          </w:tcPr>
          <w:p w14:paraId="4BF42609" w14:textId="77777777" w:rsidR="00454A29" w:rsidRDefault="00454A29"/>
        </w:tc>
        <w:tc>
          <w:tcPr>
            <w:tcW w:w="1701" w:type="dxa"/>
            <w:vAlign w:val="center"/>
          </w:tcPr>
          <w:p w14:paraId="70640DFE" w14:textId="77777777" w:rsidR="00454A29" w:rsidRDefault="00454A29">
            <w:pPr>
              <w:pStyle w:val="ConsPlusNormal"/>
              <w:jc w:val="center"/>
            </w:pPr>
            <w:r>
              <w:t>2018</w:t>
            </w:r>
          </w:p>
        </w:tc>
        <w:tc>
          <w:tcPr>
            <w:tcW w:w="1417" w:type="dxa"/>
            <w:vMerge/>
          </w:tcPr>
          <w:p w14:paraId="4979CA99" w14:textId="77777777" w:rsidR="00454A29" w:rsidRDefault="00454A29"/>
        </w:tc>
        <w:tc>
          <w:tcPr>
            <w:tcW w:w="2204" w:type="dxa"/>
            <w:vMerge/>
          </w:tcPr>
          <w:p w14:paraId="605E3D33" w14:textId="77777777" w:rsidR="00454A29" w:rsidRDefault="00454A29"/>
        </w:tc>
        <w:tc>
          <w:tcPr>
            <w:tcW w:w="1417" w:type="dxa"/>
            <w:vMerge/>
          </w:tcPr>
          <w:p w14:paraId="1A5EC3C4" w14:textId="77777777" w:rsidR="00454A29" w:rsidRDefault="00454A29"/>
        </w:tc>
        <w:tc>
          <w:tcPr>
            <w:tcW w:w="2324" w:type="dxa"/>
            <w:vMerge/>
          </w:tcPr>
          <w:p w14:paraId="408901CE" w14:textId="77777777" w:rsidR="00454A29" w:rsidRDefault="00454A29"/>
        </w:tc>
        <w:tc>
          <w:tcPr>
            <w:tcW w:w="1701" w:type="dxa"/>
            <w:vAlign w:val="center"/>
          </w:tcPr>
          <w:p w14:paraId="6317203D" w14:textId="77777777" w:rsidR="00454A29" w:rsidRDefault="00454A29">
            <w:pPr>
              <w:pStyle w:val="ConsPlusNormal"/>
              <w:jc w:val="center"/>
            </w:pPr>
            <w:r>
              <w:t>126 717,79</w:t>
            </w:r>
          </w:p>
        </w:tc>
        <w:tc>
          <w:tcPr>
            <w:tcW w:w="1814" w:type="dxa"/>
            <w:vAlign w:val="center"/>
          </w:tcPr>
          <w:p w14:paraId="093CAD4A" w14:textId="77777777" w:rsidR="00454A29" w:rsidRDefault="00454A29">
            <w:pPr>
              <w:pStyle w:val="ConsPlusNormal"/>
              <w:jc w:val="center"/>
            </w:pPr>
            <w:r>
              <w:t>110 665,28</w:t>
            </w:r>
          </w:p>
        </w:tc>
        <w:tc>
          <w:tcPr>
            <w:tcW w:w="1701" w:type="dxa"/>
            <w:vAlign w:val="center"/>
          </w:tcPr>
          <w:p w14:paraId="77D09D49" w14:textId="77777777" w:rsidR="00454A29" w:rsidRDefault="00454A29">
            <w:pPr>
              <w:pStyle w:val="ConsPlusNormal"/>
            </w:pPr>
          </w:p>
        </w:tc>
        <w:tc>
          <w:tcPr>
            <w:tcW w:w="1701" w:type="dxa"/>
            <w:vAlign w:val="center"/>
          </w:tcPr>
          <w:p w14:paraId="192EFC92" w14:textId="77777777" w:rsidR="00454A29" w:rsidRDefault="00454A29">
            <w:pPr>
              <w:pStyle w:val="ConsPlusNormal"/>
              <w:jc w:val="center"/>
            </w:pPr>
            <w:r>
              <w:t>16 052,51</w:t>
            </w:r>
          </w:p>
        </w:tc>
        <w:tc>
          <w:tcPr>
            <w:tcW w:w="1814" w:type="dxa"/>
            <w:vAlign w:val="center"/>
          </w:tcPr>
          <w:p w14:paraId="3A9C3B0A" w14:textId="77777777" w:rsidR="00454A29" w:rsidRDefault="00454A29">
            <w:pPr>
              <w:pStyle w:val="ConsPlusNormal"/>
            </w:pPr>
          </w:p>
        </w:tc>
      </w:tr>
      <w:tr w:rsidR="00454A29" w14:paraId="3020B62E" w14:textId="77777777">
        <w:tc>
          <w:tcPr>
            <w:tcW w:w="567" w:type="dxa"/>
            <w:vMerge/>
          </w:tcPr>
          <w:p w14:paraId="7245F5CE" w14:textId="77777777" w:rsidR="00454A29" w:rsidRDefault="00454A29"/>
        </w:tc>
        <w:tc>
          <w:tcPr>
            <w:tcW w:w="3345" w:type="dxa"/>
            <w:vMerge/>
          </w:tcPr>
          <w:p w14:paraId="00F3E5F6" w14:textId="77777777" w:rsidR="00454A29" w:rsidRDefault="00454A29"/>
        </w:tc>
        <w:tc>
          <w:tcPr>
            <w:tcW w:w="1701" w:type="dxa"/>
            <w:vAlign w:val="center"/>
          </w:tcPr>
          <w:p w14:paraId="27C9C73D" w14:textId="77777777" w:rsidR="00454A29" w:rsidRDefault="00454A29">
            <w:pPr>
              <w:pStyle w:val="ConsPlusNormal"/>
              <w:jc w:val="center"/>
            </w:pPr>
            <w:r>
              <w:t>2019</w:t>
            </w:r>
          </w:p>
        </w:tc>
        <w:tc>
          <w:tcPr>
            <w:tcW w:w="1417" w:type="dxa"/>
            <w:vMerge/>
          </w:tcPr>
          <w:p w14:paraId="02ED43D6" w14:textId="77777777" w:rsidR="00454A29" w:rsidRDefault="00454A29"/>
        </w:tc>
        <w:tc>
          <w:tcPr>
            <w:tcW w:w="2204" w:type="dxa"/>
            <w:vMerge/>
          </w:tcPr>
          <w:p w14:paraId="63500B18" w14:textId="77777777" w:rsidR="00454A29" w:rsidRDefault="00454A29"/>
        </w:tc>
        <w:tc>
          <w:tcPr>
            <w:tcW w:w="1417" w:type="dxa"/>
            <w:vMerge/>
          </w:tcPr>
          <w:p w14:paraId="10C68F92" w14:textId="77777777" w:rsidR="00454A29" w:rsidRDefault="00454A29"/>
        </w:tc>
        <w:tc>
          <w:tcPr>
            <w:tcW w:w="2324" w:type="dxa"/>
            <w:vMerge/>
          </w:tcPr>
          <w:p w14:paraId="2C7E9FCB" w14:textId="77777777" w:rsidR="00454A29" w:rsidRDefault="00454A29"/>
        </w:tc>
        <w:tc>
          <w:tcPr>
            <w:tcW w:w="1701" w:type="dxa"/>
            <w:vAlign w:val="center"/>
          </w:tcPr>
          <w:p w14:paraId="10C4FABA" w14:textId="77777777" w:rsidR="00454A29" w:rsidRDefault="00454A29">
            <w:pPr>
              <w:pStyle w:val="ConsPlusNormal"/>
              <w:jc w:val="center"/>
            </w:pPr>
            <w:r>
              <w:t>118 988,97</w:t>
            </w:r>
          </w:p>
        </w:tc>
        <w:tc>
          <w:tcPr>
            <w:tcW w:w="1814" w:type="dxa"/>
            <w:vAlign w:val="center"/>
          </w:tcPr>
          <w:p w14:paraId="6FD36C16" w14:textId="77777777" w:rsidR="00454A29" w:rsidRDefault="00454A29">
            <w:pPr>
              <w:pStyle w:val="ConsPlusNormal"/>
              <w:jc w:val="center"/>
            </w:pPr>
            <w:r>
              <w:t>98 319,09</w:t>
            </w:r>
          </w:p>
        </w:tc>
        <w:tc>
          <w:tcPr>
            <w:tcW w:w="1701" w:type="dxa"/>
            <w:vAlign w:val="center"/>
          </w:tcPr>
          <w:p w14:paraId="1CE682E1" w14:textId="77777777" w:rsidR="00454A29" w:rsidRDefault="00454A29">
            <w:pPr>
              <w:pStyle w:val="ConsPlusNormal"/>
            </w:pPr>
          </w:p>
        </w:tc>
        <w:tc>
          <w:tcPr>
            <w:tcW w:w="1701" w:type="dxa"/>
            <w:vAlign w:val="center"/>
          </w:tcPr>
          <w:p w14:paraId="5237A104" w14:textId="77777777" w:rsidR="00454A29" w:rsidRDefault="00454A29">
            <w:pPr>
              <w:pStyle w:val="ConsPlusNormal"/>
              <w:jc w:val="center"/>
            </w:pPr>
            <w:r>
              <w:t>20 669,88</w:t>
            </w:r>
          </w:p>
        </w:tc>
        <w:tc>
          <w:tcPr>
            <w:tcW w:w="1814" w:type="dxa"/>
            <w:vAlign w:val="center"/>
          </w:tcPr>
          <w:p w14:paraId="3B2907E5" w14:textId="77777777" w:rsidR="00454A29" w:rsidRDefault="00454A29">
            <w:pPr>
              <w:pStyle w:val="ConsPlusNormal"/>
            </w:pPr>
          </w:p>
        </w:tc>
      </w:tr>
      <w:tr w:rsidR="00454A29" w14:paraId="28981ED3" w14:textId="77777777">
        <w:tc>
          <w:tcPr>
            <w:tcW w:w="567" w:type="dxa"/>
            <w:vMerge/>
          </w:tcPr>
          <w:p w14:paraId="71F9E251" w14:textId="77777777" w:rsidR="00454A29" w:rsidRDefault="00454A29"/>
        </w:tc>
        <w:tc>
          <w:tcPr>
            <w:tcW w:w="3345" w:type="dxa"/>
            <w:vMerge/>
          </w:tcPr>
          <w:p w14:paraId="1A6C34F0" w14:textId="77777777" w:rsidR="00454A29" w:rsidRDefault="00454A29"/>
        </w:tc>
        <w:tc>
          <w:tcPr>
            <w:tcW w:w="1701" w:type="dxa"/>
            <w:vAlign w:val="center"/>
          </w:tcPr>
          <w:p w14:paraId="4437AA3D" w14:textId="77777777" w:rsidR="00454A29" w:rsidRDefault="00454A29">
            <w:pPr>
              <w:pStyle w:val="ConsPlusNormal"/>
              <w:jc w:val="center"/>
            </w:pPr>
            <w:r>
              <w:t>2020</w:t>
            </w:r>
          </w:p>
        </w:tc>
        <w:tc>
          <w:tcPr>
            <w:tcW w:w="1417" w:type="dxa"/>
            <w:vMerge/>
          </w:tcPr>
          <w:p w14:paraId="268AB1D7" w14:textId="77777777" w:rsidR="00454A29" w:rsidRDefault="00454A29"/>
        </w:tc>
        <w:tc>
          <w:tcPr>
            <w:tcW w:w="2204" w:type="dxa"/>
            <w:vMerge/>
          </w:tcPr>
          <w:p w14:paraId="31D54A1E" w14:textId="77777777" w:rsidR="00454A29" w:rsidRDefault="00454A29"/>
        </w:tc>
        <w:tc>
          <w:tcPr>
            <w:tcW w:w="1417" w:type="dxa"/>
            <w:vMerge/>
          </w:tcPr>
          <w:p w14:paraId="5E891F89" w14:textId="77777777" w:rsidR="00454A29" w:rsidRDefault="00454A29"/>
        </w:tc>
        <w:tc>
          <w:tcPr>
            <w:tcW w:w="2324" w:type="dxa"/>
            <w:vMerge/>
          </w:tcPr>
          <w:p w14:paraId="4D8BC547" w14:textId="77777777" w:rsidR="00454A29" w:rsidRDefault="00454A29"/>
        </w:tc>
        <w:tc>
          <w:tcPr>
            <w:tcW w:w="1701" w:type="dxa"/>
            <w:vAlign w:val="center"/>
          </w:tcPr>
          <w:p w14:paraId="061C0DF6" w14:textId="77777777" w:rsidR="00454A29" w:rsidRDefault="00454A29">
            <w:pPr>
              <w:pStyle w:val="ConsPlusNormal"/>
              <w:jc w:val="center"/>
            </w:pPr>
            <w:r>
              <w:t>28 233,30</w:t>
            </w:r>
          </w:p>
        </w:tc>
        <w:tc>
          <w:tcPr>
            <w:tcW w:w="1814" w:type="dxa"/>
            <w:vAlign w:val="center"/>
          </w:tcPr>
          <w:p w14:paraId="7D504FAF" w14:textId="77777777" w:rsidR="00454A29" w:rsidRDefault="00454A29">
            <w:pPr>
              <w:pStyle w:val="ConsPlusNormal"/>
              <w:jc w:val="center"/>
            </w:pPr>
            <w:r>
              <w:t>19 675,19</w:t>
            </w:r>
          </w:p>
        </w:tc>
        <w:tc>
          <w:tcPr>
            <w:tcW w:w="1701" w:type="dxa"/>
            <w:vAlign w:val="center"/>
          </w:tcPr>
          <w:p w14:paraId="0D0DEB0E" w14:textId="77777777" w:rsidR="00454A29" w:rsidRDefault="00454A29">
            <w:pPr>
              <w:pStyle w:val="ConsPlusNormal"/>
            </w:pPr>
          </w:p>
        </w:tc>
        <w:tc>
          <w:tcPr>
            <w:tcW w:w="1701" w:type="dxa"/>
            <w:vAlign w:val="center"/>
          </w:tcPr>
          <w:p w14:paraId="69FF42F0" w14:textId="77777777" w:rsidR="00454A29" w:rsidRDefault="00454A29">
            <w:pPr>
              <w:pStyle w:val="ConsPlusNormal"/>
              <w:jc w:val="center"/>
            </w:pPr>
            <w:r>
              <w:t>8 558,11</w:t>
            </w:r>
          </w:p>
        </w:tc>
        <w:tc>
          <w:tcPr>
            <w:tcW w:w="1814" w:type="dxa"/>
            <w:vAlign w:val="center"/>
          </w:tcPr>
          <w:p w14:paraId="00B7DCA4" w14:textId="77777777" w:rsidR="00454A29" w:rsidRDefault="00454A29">
            <w:pPr>
              <w:pStyle w:val="ConsPlusNormal"/>
            </w:pPr>
          </w:p>
        </w:tc>
      </w:tr>
      <w:tr w:rsidR="00454A29" w14:paraId="527B113A" w14:textId="77777777">
        <w:tc>
          <w:tcPr>
            <w:tcW w:w="567" w:type="dxa"/>
            <w:vMerge/>
          </w:tcPr>
          <w:p w14:paraId="6EE354AD" w14:textId="77777777" w:rsidR="00454A29" w:rsidRDefault="00454A29"/>
        </w:tc>
        <w:tc>
          <w:tcPr>
            <w:tcW w:w="3345" w:type="dxa"/>
            <w:vMerge/>
          </w:tcPr>
          <w:p w14:paraId="223455E4" w14:textId="77777777" w:rsidR="00454A29" w:rsidRDefault="00454A29"/>
        </w:tc>
        <w:tc>
          <w:tcPr>
            <w:tcW w:w="1701" w:type="dxa"/>
            <w:vAlign w:val="center"/>
          </w:tcPr>
          <w:p w14:paraId="4CCFD063" w14:textId="77777777" w:rsidR="00454A29" w:rsidRDefault="00454A29">
            <w:pPr>
              <w:pStyle w:val="ConsPlusNormal"/>
              <w:jc w:val="center"/>
            </w:pPr>
            <w:r>
              <w:t>2021</w:t>
            </w:r>
          </w:p>
        </w:tc>
        <w:tc>
          <w:tcPr>
            <w:tcW w:w="1417" w:type="dxa"/>
            <w:vMerge/>
          </w:tcPr>
          <w:p w14:paraId="5B7A4785" w14:textId="77777777" w:rsidR="00454A29" w:rsidRDefault="00454A29"/>
        </w:tc>
        <w:tc>
          <w:tcPr>
            <w:tcW w:w="2204" w:type="dxa"/>
            <w:vMerge/>
          </w:tcPr>
          <w:p w14:paraId="7D16A62F" w14:textId="77777777" w:rsidR="00454A29" w:rsidRDefault="00454A29"/>
        </w:tc>
        <w:tc>
          <w:tcPr>
            <w:tcW w:w="1417" w:type="dxa"/>
            <w:vMerge/>
          </w:tcPr>
          <w:p w14:paraId="68F2565A" w14:textId="77777777" w:rsidR="00454A29" w:rsidRDefault="00454A29"/>
        </w:tc>
        <w:tc>
          <w:tcPr>
            <w:tcW w:w="2324" w:type="dxa"/>
            <w:vMerge/>
          </w:tcPr>
          <w:p w14:paraId="33E7AF82" w14:textId="77777777" w:rsidR="00454A29" w:rsidRDefault="00454A29"/>
        </w:tc>
        <w:tc>
          <w:tcPr>
            <w:tcW w:w="1701" w:type="dxa"/>
            <w:vAlign w:val="center"/>
          </w:tcPr>
          <w:p w14:paraId="5A44EEE2" w14:textId="77777777" w:rsidR="00454A29" w:rsidRDefault="00454A29">
            <w:pPr>
              <w:pStyle w:val="ConsPlusNormal"/>
              <w:jc w:val="center"/>
            </w:pPr>
            <w:r>
              <w:t>36 006,07</w:t>
            </w:r>
          </w:p>
        </w:tc>
        <w:tc>
          <w:tcPr>
            <w:tcW w:w="1814" w:type="dxa"/>
            <w:vAlign w:val="center"/>
          </w:tcPr>
          <w:p w14:paraId="218D3A15" w14:textId="77777777" w:rsidR="00454A29" w:rsidRDefault="00454A29">
            <w:pPr>
              <w:pStyle w:val="ConsPlusNormal"/>
              <w:jc w:val="center"/>
            </w:pPr>
            <w:r>
              <w:t>22 800,65</w:t>
            </w:r>
          </w:p>
        </w:tc>
        <w:tc>
          <w:tcPr>
            <w:tcW w:w="1701" w:type="dxa"/>
            <w:vAlign w:val="center"/>
          </w:tcPr>
          <w:p w14:paraId="41F9F346" w14:textId="77777777" w:rsidR="00454A29" w:rsidRDefault="00454A29">
            <w:pPr>
              <w:pStyle w:val="ConsPlusNormal"/>
            </w:pPr>
          </w:p>
        </w:tc>
        <w:tc>
          <w:tcPr>
            <w:tcW w:w="1701" w:type="dxa"/>
            <w:vAlign w:val="center"/>
          </w:tcPr>
          <w:p w14:paraId="2CF68E63" w14:textId="77777777" w:rsidR="00454A29" w:rsidRDefault="00454A29">
            <w:pPr>
              <w:pStyle w:val="ConsPlusNormal"/>
              <w:jc w:val="center"/>
            </w:pPr>
            <w:r>
              <w:t>13 205,42</w:t>
            </w:r>
          </w:p>
        </w:tc>
        <w:tc>
          <w:tcPr>
            <w:tcW w:w="1814" w:type="dxa"/>
            <w:vAlign w:val="center"/>
          </w:tcPr>
          <w:p w14:paraId="09C12A29" w14:textId="77777777" w:rsidR="00454A29" w:rsidRDefault="00454A29">
            <w:pPr>
              <w:pStyle w:val="ConsPlusNormal"/>
            </w:pPr>
          </w:p>
        </w:tc>
      </w:tr>
      <w:tr w:rsidR="00454A29" w14:paraId="6F962430" w14:textId="77777777">
        <w:tc>
          <w:tcPr>
            <w:tcW w:w="567" w:type="dxa"/>
            <w:vMerge/>
          </w:tcPr>
          <w:p w14:paraId="5650CFF6" w14:textId="77777777" w:rsidR="00454A29" w:rsidRDefault="00454A29"/>
        </w:tc>
        <w:tc>
          <w:tcPr>
            <w:tcW w:w="3345" w:type="dxa"/>
            <w:vMerge/>
          </w:tcPr>
          <w:p w14:paraId="7546EDCD" w14:textId="77777777" w:rsidR="00454A29" w:rsidRDefault="00454A29"/>
        </w:tc>
        <w:tc>
          <w:tcPr>
            <w:tcW w:w="1701" w:type="dxa"/>
            <w:vAlign w:val="center"/>
          </w:tcPr>
          <w:p w14:paraId="3D1DBEB8" w14:textId="77777777" w:rsidR="00454A29" w:rsidRDefault="00454A29">
            <w:pPr>
              <w:pStyle w:val="ConsPlusNormal"/>
              <w:jc w:val="center"/>
            </w:pPr>
            <w:r>
              <w:t>2022</w:t>
            </w:r>
          </w:p>
        </w:tc>
        <w:tc>
          <w:tcPr>
            <w:tcW w:w="1417" w:type="dxa"/>
            <w:vMerge/>
          </w:tcPr>
          <w:p w14:paraId="392A6C64" w14:textId="77777777" w:rsidR="00454A29" w:rsidRDefault="00454A29"/>
        </w:tc>
        <w:tc>
          <w:tcPr>
            <w:tcW w:w="2204" w:type="dxa"/>
            <w:vMerge/>
          </w:tcPr>
          <w:p w14:paraId="2B8D001C" w14:textId="77777777" w:rsidR="00454A29" w:rsidRDefault="00454A29"/>
        </w:tc>
        <w:tc>
          <w:tcPr>
            <w:tcW w:w="1417" w:type="dxa"/>
            <w:vMerge/>
          </w:tcPr>
          <w:p w14:paraId="5B4A0C76" w14:textId="77777777" w:rsidR="00454A29" w:rsidRDefault="00454A29"/>
        </w:tc>
        <w:tc>
          <w:tcPr>
            <w:tcW w:w="2324" w:type="dxa"/>
            <w:vMerge/>
          </w:tcPr>
          <w:p w14:paraId="42CCDFFC" w14:textId="77777777" w:rsidR="00454A29" w:rsidRDefault="00454A29"/>
        </w:tc>
        <w:tc>
          <w:tcPr>
            <w:tcW w:w="1701" w:type="dxa"/>
            <w:vAlign w:val="center"/>
          </w:tcPr>
          <w:p w14:paraId="48B9AD93" w14:textId="77777777" w:rsidR="00454A29" w:rsidRDefault="00454A29">
            <w:pPr>
              <w:pStyle w:val="ConsPlusNormal"/>
              <w:jc w:val="center"/>
            </w:pPr>
            <w:r>
              <w:t>40 422,97</w:t>
            </w:r>
          </w:p>
        </w:tc>
        <w:tc>
          <w:tcPr>
            <w:tcW w:w="1814" w:type="dxa"/>
            <w:vAlign w:val="center"/>
          </w:tcPr>
          <w:p w14:paraId="1644B0E1" w14:textId="77777777" w:rsidR="00454A29" w:rsidRDefault="00454A29">
            <w:pPr>
              <w:pStyle w:val="ConsPlusNormal"/>
              <w:jc w:val="center"/>
            </w:pPr>
            <w:r>
              <w:t>26 422,60</w:t>
            </w:r>
          </w:p>
        </w:tc>
        <w:tc>
          <w:tcPr>
            <w:tcW w:w="1701" w:type="dxa"/>
            <w:vAlign w:val="center"/>
          </w:tcPr>
          <w:p w14:paraId="64425E5C" w14:textId="77777777" w:rsidR="00454A29" w:rsidRDefault="00454A29">
            <w:pPr>
              <w:pStyle w:val="ConsPlusNormal"/>
            </w:pPr>
          </w:p>
        </w:tc>
        <w:tc>
          <w:tcPr>
            <w:tcW w:w="1701" w:type="dxa"/>
            <w:vAlign w:val="center"/>
          </w:tcPr>
          <w:p w14:paraId="612AD938" w14:textId="77777777" w:rsidR="00454A29" w:rsidRDefault="00454A29">
            <w:pPr>
              <w:pStyle w:val="ConsPlusNormal"/>
              <w:jc w:val="center"/>
            </w:pPr>
            <w:r>
              <w:t>14 000,37</w:t>
            </w:r>
          </w:p>
        </w:tc>
        <w:tc>
          <w:tcPr>
            <w:tcW w:w="1814" w:type="dxa"/>
            <w:vAlign w:val="center"/>
          </w:tcPr>
          <w:p w14:paraId="43DC2577" w14:textId="77777777" w:rsidR="00454A29" w:rsidRDefault="00454A29">
            <w:pPr>
              <w:pStyle w:val="ConsPlusNormal"/>
            </w:pPr>
          </w:p>
        </w:tc>
      </w:tr>
      <w:tr w:rsidR="00454A29" w14:paraId="730CCECA" w14:textId="77777777">
        <w:tc>
          <w:tcPr>
            <w:tcW w:w="567" w:type="dxa"/>
            <w:vMerge/>
          </w:tcPr>
          <w:p w14:paraId="6DF73D18" w14:textId="77777777" w:rsidR="00454A29" w:rsidRDefault="00454A29"/>
        </w:tc>
        <w:tc>
          <w:tcPr>
            <w:tcW w:w="3345" w:type="dxa"/>
            <w:vMerge/>
          </w:tcPr>
          <w:p w14:paraId="40EFC511" w14:textId="77777777" w:rsidR="00454A29" w:rsidRDefault="00454A29"/>
        </w:tc>
        <w:tc>
          <w:tcPr>
            <w:tcW w:w="1701" w:type="dxa"/>
            <w:vAlign w:val="center"/>
          </w:tcPr>
          <w:p w14:paraId="4968070D" w14:textId="77777777" w:rsidR="00454A29" w:rsidRDefault="00454A29">
            <w:pPr>
              <w:pStyle w:val="ConsPlusNormal"/>
              <w:jc w:val="center"/>
            </w:pPr>
            <w:r>
              <w:t>2023</w:t>
            </w:r>
          </w:p>
        </w:tc>
        <w:tc>
          <w:tcPr>
            <w:tcW w:w="1417" w:type="dxa"/>
            <w:vMerge/>
          </w:tcPr>
          <w:p w14:paraId="36E34A73" w14:textId="77777777" w:rsidR="00454A29" w:rsidRDefault="00454A29"/>
        </w:tc>
        <w:tc>
          <w:tcPr>
            <w:tcW w:w="2204" w:type="dxa"/>
            <w:vMerge/>
          </w:tcPr>
          <w:p w14:paraId="48ABF79E" w14:textId="77777777" w:rsidR="00454A29" w:rsidRDefault="00454A29"/>
        </w:tc>
        <w:tc>
          <w:tcPr>
            <w:tcW w:w="1417" w:type="dxa"/>
            <w:vMerge/>
          </w:tcPr>
          <w:p w14:paraId="08473A13" w14:textId="77777777" w:rsidR="00454A29" w:rsidRDefault="00454A29"/>
        </w:tc>
        <w:tc>
          <w:tcPr>
            <w:tcW w:w="2324" w:type="dxa"/>
            <w:vMerge/>
          </w:tcPr>
          <w:p w14:paraId="2F8B9DEE" w14:textId="77777777" w:rsidR="00454A29" w:rsidRDefault="00454A29"/>
        </w:tc>
        <w:tc>
          <w:tcPr>
            <w:tcW w:w="1701" w:type="dxa"/>
            <w:vAlign w:val="center"/>
          </w:tcPr>
          <w:p w14:paraId="1A3681B0" w14:textId="77777777" w:rsidR="00454A29" w:rsidRDefault="00454A29">
            <w:pPr>
              <w:pStyle w:val="ConsPlusNormal"/>
              <w:jc w:val="center"/>
            </w:pPr>
            <w:r>
              <w:t>45 470,80</w:t>
            </w:r>
          </w:p>
        </w:tc>
        <w:tc>
          <w:tcPr>
            <w:tcW w:w="1814" w:type="dxa"/>
            <w:vAlign w:val="center"/>
          </w:tcPr>
          <w:p w14:paraId="381A08B1" w14:textId="77777777" w:rsidR="00454A29" w:rsidRDefault="00454A29">
            <w:pPr>
              <w:pStyle w:val="ConsPlusNormal"/>
              <w:jc w:val="center"/>
            </w:pPr>
            <w:r>
              <w:t>30 619,90</w:t>
            </w:r>
          </w:p>
        </w:tc>
        <w:tc>
          <w:tcPr>
            <w:tcW w:w="1701" w:type="dxa"/>
            <w:vAlign w:val="center"/>
          </w:tcPr>
          <w:p w14:paraId="59CC3A47" w14:textId="77777777" w:rsidR="00454A29" w:rsidRDefault="00454A29">
            <w:pPr>
              <w:pStyle w:val="ConsPlusNormal"/>
            </w:pPr>
          </w:p>
        </w:tc>
        <w:tc>
          <w:tcPr>
            <w:tcW w:w="1701" w:type="dxa"/>
            <w:vAlign w:val="center"/>
          </w:tcPr>
          <w:p w14:paraId="0AE496AE" w14:textId="77777777" w:rsidR="00454A29" w:rsidRDefault="00454A29">
            <w:pPr>
              <w:pStyle w:val="ConsPlusNormal"/>
              <w:jc w:val="center"/>
            </w:pPr>
            <w:r>
              <w:t>14 850,90</w:t>
            </w:r>
          </w:p>
        </w:tc>
        <w:tc>
          <w:tcPr>
            <w:tcW w:w="1814" w:type="dxa"/>
            <w:vAlign w:val="center"/>
          </w:tcPr>
          <w:p w14:paraId="7E753F5D" w14:textId="77777777" w:rsidR="00454A29" w:rsidRDefault="00454A29">
            <w:pPr>
              <w:pStyle w:val="ConsPlusNormal"/>
            </w:pPr>
          </w:p>
        </w:tc>
      </w:tr>
      <w:tr w:rsidR="00454A29" w14:paraId="0B061639" w14:textId="77777777">
        <w:tc>
          <w:tcPr>
            <w:tcW w:w="567" w:type="dxa"/>
            <w:vMerge/>
          </w:tcPr>
          <w:p w14:paraId="4D660CE6" w14:textId="77777777" w:rsidR="00454A29" w:rsidRDefault="00454A29"/>
        </w:tc>
        <w:tc>
          <w:tcPr>
            <w:tcW w:w="3345" w:type="dxa"/>
            <w:vMerge/>
          </w:tcPr>
          <w:p w14:paraId="5F09B496" w14:textId="77777777" w:rsidR="00454A29" w:rsidRDefault="00454A29"/>
        </w:tc>
        <w:tc>
          <w:tcPr>
            <w:tcW w:w="1701" w:type="dxa"/>
            <w:vAlign w:val="center"/>
          </w:tcPr>
          <w:p w14:paraId="1261C0F3" w14:textId="77777777" w:rsidR="00454A29" w:rsidRDefault="00454A29">
            <w:pPr>
              <w:pStyle w:val="ConsPlusNormal"/>
              <w:jc w:val="center"/>
            </w:pPr>
            <w:r>
              <w:t>2024</w:t>
            </w:r>
          </w:p>
        </w:tc>
        <w:tc>
          <w:tcPr>
            <w:tcW w:w="1417" w:type="dxa"/>
            <w:vMerge/>
          </w:tcPr>
          <w:p w14:paraId="4B33F7AE" w14:textId="77777777" w:rsidR="00454A29" w:rsidRDefault="00454A29"/>
        </w:tc>
        <w:tc>
          <w:tcPr>
            <w:tcW w:w="2204" w:type="dxa"/>
            <w:vMerge/>
          </w:tcPr>
          <w:p w14:paraId="23B19A0A" w14:textId="77777777" w:rsidR="00454A29" w:rsidRDefault="00454A29"/>
        </w:tc>
        <w:tc>
          <w:tcPr>
            <w:tcW w:w="1417" w:type="dxa"/>
            <w:vMerge/>
          </w:tcPr>
          <w:p w14:paraId="6F6F4493" w14:textId="77777777" w:rsidR="00454A29" w:rsidRDefault="00454A29"/>
        </w:tc>
        <w:tc>
          <w:tcPr>
            <w:tcW w:w="2324" w:type="dxa"/>
            <w:vMerge/>
          </w:tcPr>
          <w:p w14:paraId="1AA6BE88" w14:textId="77777777" w:rsidR="00454A29" w:rsidRDefault="00454A29"/>
        </w:tc>
        <w:tc>
          <w:tcPr>
            <w:tcW w:w="1701" w:type="dxa"/>
            <w:vAlign w:val="center"/>
          </w:tcPr>
          <w:p w14:paraId="09E81617" w14:textId="77777777" w:rsidR="00454A29" w:rsidRDefault="00454A29">
            <w:pPr>
              <w:pStyle w:val="ConsPlusNormal"/>
              <w:jc w:val="center"/>
            </w:pPr>
            <w:r>
              <w:t>51 245,95</w:t>
            </w:r>
          </w:p>
        </w:tc>
        <w:tc>
          <w:tcPr>
            <w:tcW w:w="1814" w:type="dxa"/>
            <w:vAlign w:val="center"/>
          </w:tcPr>
          <w:p w14:paraId="27A42A0D" w14:textId="77777777" w:rsidR="00454A29" w:rsidRDefault="00454A29">
            <w:pPr>
              <w:pStyle w:val="ConsPlusNormal"/>
              <w:jc w:val="center"/>
            </w:pPr>
            <w:r>
              <w:t>35 483,96</w:t>
            </w:r>
          </w:p>
        </w:tc>
        <w:tc>
          <w:tcPr>
            <w:tcW w:w="1701" w:type="dxa"/>
            <w:vAlign w:val="center"/>
          </w:tcPr>
          <w:p w14:paraId="5FEE0951" w14:textId="77777777" w:rsidR="00454A29" w:rsidRDefault="00454A29">
            <w:pPr>
              <w:pStyle w:val="ConsPlusNormal"/>
            </w:pPr>
          </w:p>
        </w:tc>
        <w:tc>
          <w:tcPr>
            <w:tcW w:w="1701" w:type="dxa"/>
            <w:vAlign w:val="center"/>
          </w:tcPr>
          <w:p w14:paraId="49E84509" w14:textId="77777777" w:rsidR="00454A29" w:rsidRDefault="00454A29">
            <w:pPr>
              <w:pStyle w:val="ConsPlusNormal"/>
              <w:jc w:val="center"/>
            </w:pPr>
            <w:r>
              <w:t>15 761,99</w:t>
            </w:r>
          </w:p>
        </w:tc>
        <w:tc>
          <w:tcPr>
            <w:tcW w:w="1814" w:type="dxa"/>
            <w:vAlign w:val="center"/>
          </w:tcPr>
          <w:p w14:paraId="6EAD5796" w14:textId="77777777" w:rsidR="00454A29" w:rsidRDefault="00454A29">
            <w:pPr>
              <w:pStyle w:val="ConsPlusNormal"/>
            </w:pPr>
          </w:p>
        </w:tc>
      </w:tr>
      <w:tr w:rsidR="00454A29" w14:paraId="7CD18B74" w14:textId="77777777">
        <w:tc>
          <w:tcPr>
            <w:tcW w:w="567" w:type="dxa"/>
            <w:vMerge/>
          </w:tcPr>
          <w:p w14:paraId="038F3E96" w14:textId="77777777" w:rsidR="00454A29" w:rsidRDefault="00454A29"/>
        </w:tc>
        <w:tc>
          <w:tcPr>
            <w:tcW w:w="3345" w:type="dxa"/>
            <w:vMerge/>
          </w:tcPr>
          <w:p w14:paraId="2960A49C" w14:textId="77777777" w:rsidR="00454A29" w:rsidRDefault="00454A29"/>
        </w:tc>
        <w:tc>
          <w:tcPr>
            <w:tcW w:w="1701" w:type="dxa"/>
            <w:vAlign w:val="center"/>
          </w:tcPr>
          <w:p w14:paraId="7B97BD46" w14:textId="77777777" w:rsidR="00454A29" w:rsidRDefault="00454A29">
            <w:pPr>
              <w:pStyle w:val="ConsPlusNormal"/>
              <w:jc w:val="center"/>
            </w:pPr>
            <w:r>
              <w:t>2025</w:t>
            </w:r>
          </w:p>
        </w:tc>
        <w:tc>
          <w:tcPr>
            <w:tcW w:w="1417" w:type="dxa"/>
            <w:vMerge/>
          </w:tcPr>
          <w:p w14:paraId="07452703" w14:textId="77777777" w:rsidR="00454A29" w:rsidRDefault="00454A29"/>
        </w:tc>
        <w:tc>
          <w:tcPr>
            <w:tcW w:w="2204" w:type="dxa"/>
            <w:vMerge/>
          </w:tcPr>
          <w:p w14:paraId="02F645E1" w14:textId="77777777" w:rsidR="00454A29" w:rsidRDefault="00454A29"/>
        </w:tc>
        <w:tc>
          <w:tcPr>
            <w:tcW w:w="1417" w:type="dxa"/>
            <w:vMerge/>
          </w:tcPr>
          <w:p w14:paraId="3CE38D86" w14:textId="77777777" w:rsidR="00454A29" w:rsidRDefault="00454A29"/>
        </w:tc>
        <w:tc>
          <w:tcPr>
            <w:tcW w:w="2324" w:type="dxa"/>
            <w:vMerge/>
          </w:tcPr>
          <w:p w14:paraId="00B91DC9" w14:textId="77777777" w:rsidR="00454A29" w:rsidRDefault="00454A29"/>
        </w:tc>
        <w:tc>
          <w:tcPr>
            <w:tcW w:w="1701" w:type="dxa"/>
            <w:vAlign w:val="center"/>
          </w:tcPr>
          <w:p w14:paraId="58B852CD" w14:textId="77777777" w:rsidR="00454A29" w:rsidRDefault="00454A29">
            <w:pPr>
              <w:pStyle w:val="ConsPlusNormal"/>
              <w:jc w:val="center"/>
            </w:pPr>
            <w:r>
              <w:t>57 859,92</w:t>
            </w:r>
          </w:p>
        </w:tc>
        <w:tc>
          <w:tcPr>
            <w:tcW w:w="1814" w:type="dxa"/>
            <w:vAlign w:val="center"/>
          </w:tcPr>
          <w:p w14:paraId="324D77D0" w14:textId="77777777" w:rsidR="00454A29" w:rsidRDefault="00454A29">
            <w:pPr>
              <w:pStyle w:val="ConsPlusNormal"/>
              <w:jc w:val="center"/>
            </w:pPr>
            <w:r>
              <w:t>41 120,69</w:t>
            </w:r>
          </w:p>
        </w:tc>
        <w:tc>
          <w:tcPr>
            <w:tcW w:w="1701" w:type="dxa"/>
            <w:vAlign w:val="center"/>
          </w:tcPr>
          <w:p w14:paraId="60FA36BC" w14:textId="77777777" w:rsidR="00454A29" w:rsidRDefault="00454A29">
            <w:pPr>
              <w:pStyle w:val="ConsPlusNormal"/>
            </w:pPr>
          </w:p>
        </w:tc>
        <w:tc>
          <w:tcPr>
            <w:tcW w:w="1701" w:type="dxa"/>
            <w:vAlign w:val="center"/>
          </w:tcPr>
          <w:p w14:paraId="7A12B1C5" w14:textId="77777777" w:rsidR="00454A29" w:rsidRDefault="00454A29">
            <w:pPr>
              <w:pStyle w:val="ConsPlusNormal"/>
              <w:jc w:val="center"/>
            </w:pPr>
            <w:r>
              <w:t>16 739,23</w:t>
            </w:r>
          </w:p>
        </w:tc>
        <w:tc>
          <w:tcPr>
            <w:tcW w:w="1814" w:type="dxa"/>
            <w:vAlign w:val="center"/>
          </w:tcPr>
          <w:p w14:paraId="3A3ACCDA" w14:textId="77777777" w:rsidR="00454A29" w:rsidRDefault="00454A29">
            <w:pPr>
              <w:pStyle w:val="ConsPlusNormal"/>
            </w:pPr>
          </w:p>
        </w:tc>
      </w:tr>
      <w:tr w:rsidR="00454A29" w14:paraId="4CE48D31" w14:textId="77777777">
        <w:tc>
          <w:tcPr>
            <w:tcW w:w="567" w:type="dxa"/>
            <w:vMerge/>
          </w:tcPr>
          <w:p w14:paraId="0DDFCD31" w14:textId="77777777" w:rsidR="00454A29" w:rsidRDefault="00454A29"/>
        </w:tc>
        <w:tc>
          <w:tcPr>
            <w:tcW w:w="3345" w:type="dxa"/>
            <w:vMerge/>
          </w:tcPr>
          <w:p w14:paraId="5DCF8194" w14:textId="77777777" w:rsidR="00454A29" w:rsidRDefault="00454A29"/>
        </w:tc>
        <w:tc>
          <w:tcPr>
            <w:tcW w:w="1701" w:type="dxa"/>
            <w:vAlign w:val="center"/>
          </w:tcPr>
          <w:p w14:paraId="7CAAEE1E" w14:textId="77777777" w:rsidR="00454A29" w:rsidRDefault="00454A29">
            <w:pPr>
              <w:pStyle w:val="ConsPlusNormal"/>
              <w:jc w:val="center"/>
            </w:pPr>
            <w:r>
              <w:t>2026</w:t>
            </w:r>
          </w:p>
        </w:tc>
        <w:tc>
          <w:tcPr>
            <w:tcW w:w="1417" w:type="dxa"/>
            <w:vMerge/>
          </w:tcPr>
          <w:p w14:paraId="447DEF8E" w14:textId="77777777" w:rsidR="00454A29" w:rsidRDefault="00454A29"/>
        </w:tc>
        <w:tc>
          <w:tcPr>
            <w:tcW w:w="2204" w:type="dxa"/>
            <w:vMerge/>
          </w:tcPr>
          <w:p w14:paraId="2E5C01C3" w14:textId="77777777" w:rsidR="00454A29" w:rsidRDefault="00454A29"/>
        </w:tc>
        <w:tc>
          <w:tcPr>
            <w:tcW w:w="1417" w:type="dxa"/>
            <w:vMerge/>
          </w:tcPr>
          <w:p w14:paraId="1ABC7441" w14:textId="77777777" w:rsidR="00454A29" w:rsidRDefault="00454A29"/>
        </w:tc>
        <w:tc>
          <w:tcPr>
            <w:tcW w:w="2324" w:type="dxa"/>
            <w:vMerge/>
          </w:tcPr>
          <w:p w14:paraId="4AC48FFE" w14:textId="77777777" w:rsidR="00454A29" w:rsidRDefault="00454A29"/>
        </w:tc>
        <w:tc>
          <w:tcPr>
            <w:tcW w:w="1701" w:type="dxa"/>
            <w:vAlign w:val="center"/>
          </w:tcPr>
          <w:p w14:paraId="71D4EDD2" w14:textId="77777777" w:rsidR="00454A29" w:rsidRDefault="00454A29">
            <w:pPr>
              <w:pStyle w:val="ConsPlusNormal"/>
              <w:jc w:val="center"/>
            </w:pPr>
            <w:r>
              <w:t>65 441,69</w:t>
            </w:r>
          </w:p>
        </w:tc>
        <w:tc>
          <w:tcPr>
            <w:tcW w:w="1814" w:type="dxa"/>
            <w:vAlign w:val="center"/>
          </w:tcPr>
          <w:p w14:paraId="10B4765F" w14:textId="77777777" w:rsidR="00454A29" w:rsidRDefault="00454A29">
            <w:pPr>
              <w:pStyle w:val="ConsPlusNormal"/>
              <w:jc w:val="center"/>
            </w:pPr>
            <w:r>
              <w:t>47 652,82</w:t>
            </w:r>
          </w:p>
        </w:tc>
        <w:tc>
          <w:tcPr>
            <w:tcW w:w="1701" w:type="dxa"/>
            <w:vAlign w:val="center"/>
          </w:tcPr>
          <w:p w14:paraId="762DCF55" w14:textId="77777777" w:rsidR="00454A29" w:rsidRDefault="00454A29">
            <w:pPr>
              <w:pStyle w:val="ConsPlusNormal"/>
            </w:pPr>
          </w:p>
        </w:tc>
        <w:tc>
          <w:tcPr>
            <w:tcW w:w="1701" w:type="dxa"/>
            <w:vAlign w:val="center"/>
          </w:tcPr>
          <w:p w14:paraId="5677F241" w14:textId="77777777" w:rsidR="00454A29" w:rsidRDefault="00454A29">
            <w:pPr>
              <w:pStyle w:val="ConsPlusNormal"/>
              <w:jc w:val="center"/>
            </w:pPr>
            <w:r>
              <w:t>17 788,86</w:t>
            </w:r>
          </w:p>
        </w:tc>
        <w:tc>
          <w:tcPr>
            <w:tcW w:w="1814" w:type="dxa"/>
            <w:vAlign w:val="center"/>
          </w:tcPr>
          <w:p w14:paraId="5295838D" w14:textId="77777777" w:rsidR="00454A29" w:rsidRDefault="00454A29">
            <w:pPr>
              <w:pStyle w:val="ConsPlusNormal"/>
            </w:pPr>
          </w:p>
        </w:tc>
      </w:tr>
      <w:tr w:rsidR="00454A29" w14:paraId="3F30288B" w14:textId="77777777">
        <w:tc>
          <w:tcPr>
            <w:tcW w:w="21706" w:type="dxa"/>
            <w:gridSpan w:val="12"/>
            <w:vAlign w:val="center"/>
          </w:tcPr>
          <w:p w14:paraId="770969E3" w14:textId="77777777" w:rsidR="00454A29" w:rsidRDefault="00454A29">
            <w:pPr>
              <w:pStyle w:val="ConsPlusNormal"/>
              <w:jc w:val="center"/>
            </w:pPr>
            <w:r>
              <w:t>Основное мероприятие 10.2.</w:t>
            </w:r>
          </w:p>
        </w:tc>
      </w:tr>
      <w:tr w:rsidR="00454A29" w14:paraId="2A9EAFBD" w14:textId="77777777">
        <w:tc>
          <w:tcPr>
            <w:tcW w:w="567" w:type="dxa"/>
            <w:vMerge w:val="restart"/>
            <w:vAlign w:val="center"/>
          </w:tcPr>
          <w:p w14:paraId="359038BC" w14:textId="77777777" w:rsidR="00454A29" w:rsidRDefault="00454A29">
            <w:pPr>
              <w:pStyle w:val="ConsPlusNormal"/>
            </w:pPr>
          </w:p>
        </w:tc>
        <w:tc>
          <w:tcPr>
            <w:tcW w:w="3345" w:type="dxa"/>
            <w:vMerge w:val="restart"/>
            <w:vAlign w:val="center"/>
          </w:tcPr>
          <w:p w14:paraId="78DD4EC6" w14:textId="77777777" w:rsidR="00454A29" w:rsidRDefault="00454A29">
            <w:pPr>
              <w:pStyle w:val="ConsPlusNormal"/>
              <w:jc w:val="center"/>
            </w:pPr>
            <w:r>
              <w:t>Модернизация объектов общего образования</w:t>
            </w:r>
          </w:p>
        </w:tc>
        <w:tc>
          <w:tcPr>
            <w:tcW w:w="1701" w:type="dxa"/>
            <w:vAlign w:val="center"/>
          </w:tcPr>
          <w:p w14:paraId="5D23F0E6" w14:textId="77777777" w:rsidR="00454A29" w:rsidRDefault="00454A29">
            <w:pPr>
              <w:pStyle w:val="ConsPlusNormal"/>
              <w:jc w:val="center"/>
            </w:pPr>
            <w:r>
              <w:t>Всего:</w:t>
            </w:r>
          </w:p>
        </w:tc>
        <w:tc>
          <w:tcPr>
            <w:tcW w:w="1417" w:type="dxa"/>
            <w:vMerge w:val="restart"/>
            <w:vAlign w:val="center"/>
          </w:tcPr>
          <w:p w14:paraId="46DD81D8" w14:textId="77777777" w:rsidR="00454A29" w:rsidRDefault="00454A29">
            <w:pPr>
              <w:pStyle w:val="ConsPlusNormal"/>
              <w:jc w:val="center"/>
            </w:pPr>
            <w:r>
              <w:t>х</w:t>
            </w:r>
          </w:p>
        </w:tc>
        <w:tc>
          <w:tcPr>
            <w:tcW w:w="2204" w:type="dxa"/>
            <w:vMerge w:val="restart"/>
            <w:vAlign w:val="center"/>
          </w:tcPr>
          <w:p w14:paraId="3ACB1097" w14:textId="77777777" w:rsidR="00454A29" w:rsidRDefault="00454A29">
            <w:pPr>
              <w:pStyle w:val="ConsPlusNormal"/>
              <w:jc w:val="center"/>
            </w:pPr>
            <w:r>
              <w:t>х</w:t>
            </w:r>
          </w:p>
        </w:tc>
        <w:tc>
          <w:tcPr>
            <w:tcW w:w="1417" w:type="dxa"/>
            <w:vMerge w:val="restart"/>
            <w:vAlign w:val="center"/>
          </w:tcPr>
          <w:p w14:paraId="1B483185" w14:textId="77777777" w:rsidR="00454A29" w:rsidRDefault="00454A29">
            <w:pPr>
              <w:pStyle w:val="ConsPlusNormal"/>
              <w:jc w:val="center"/>
            </w:pPr>
            <w:r>
              <w:t>320</w:t>
            </w:r>
          </w:p>
        </w:tc>
        <w:tc>
          <w:tcPr>
            <w:tcW w:w="2324" w:type="dxa"/>
            <w:vMerge w:val="restart"/>
            <w:vAlign w:val="center"/>
          </w:tcPr>
          <w:p w14:paraId="3BA08BCA" w14:textId="77777777" w:rsidR="00454A29" w:rsidRDefault="00454A29">
            <w:pPr>
              <w:pStyle w:val="ConsPlusNormal"/>
              <w:jc w:val="center"/>
            </w:pPr>
            <w:r>
              <w:t>х</w:t>
            </w:r>
          </w:p>
        </w:tc>
        <w:tc>
          <w:tcPr>
            <w:tcW w:w="1701" w:type="dxa"/>
            <w:vAlign w:val="center"/>
          </w:tcPr>
          <w:p w14:paraId="191FA15F" w14:textId="77777777" w:rsidR="00454A29" w:rsidRDefault="00454A29">
            <w:pPr>
              <w:pStyle w:val="ConsPlusNormal"/>
              <w:jc w:val="center"/>
            </w:pPr>
            <w:r>
              <w:t>531 284,94</w:t>
            </w:r>
          </w:p>
        </w:tc>
        <w:tc>
          <w:tcPr>
            <w:tcW w:w="1814" w:type="dxa"/>
            <w:vAlign w:val="center"/>
          </w:tcPr>
          <w:p w14:paraId="6D7E7CF2" w14:textId="77777777" w:rsidR="00454A29" w:rsidRDefault="00454A29">
            <w:pPr>
              <w:pStyle w:val="ConsPlusNormal"/>
              <w:jc w:val="center"/>
            </w:pPr>
            <w:r>
              <w:t>531 284,94</w:t>
            </w:r>
          </w:p>
        </w:tc>
        <w:tc>
          <w:tcPr>
            <w:tcW w:w="1701" w:type="dxa"/>
            <w:vAlign w:val="center"/>
          </w:tcPr>
          <w:p w14:paraId="288C3C0A" w14:textId="77777777" w:rsidR="00454A29" w:rsidRDefault="00454A29">
            <w:pPr>
              <w:pStyle w:val="ConsPlusNormal"/>
              <w:jc w:val="center"/>
            </w:pPr>
            <w:r>
              <w:t>-</w:t>
            </w:r>
          </w:p>
        </w:tc>
        <w:tc>
          <w:tcPr>
            <w:tcW w:w="1701" w:type="dxa"/>
            <w:vAlign w:val="center"/>
          </w:tcPr>
          <w:p w14:paraId="26E8034E" w14:textId="77777777" w:rsidR="00454A29" w:rsidRDefault="00454A29">
            <w:pPr>
              <w:pStyle w:val="ConsPlusNormal"/>
              <w:jc w:val="center"/>
            </w:pPr>
            <w:r>
              <w:t>-</w:t>
            </w:r>
          </w:p>
        </w:tc>
        <w:tc>
          <w:tcPr>
            <w:tcW w:w="1814" w:type="dxa"/>
            <w:vAlign w:val="center"/>
          </w:tcPr>
          <w:p w14:paraId="2DD39F9A" w14:textId="77777777" w:rsidR="00454A29" w:rsidRDefault="00454A29">
            <w:pPr>
              <w:pStyle w:val="ConsPlusNormal"/>
              <w:jc w:val="center"/>
            </w:pPr>
            <w:r>
              <w:t>-</w:t>
            </w:r>
          </w:p>
        </w:tc>
      </w:tr>
      <w:tr w:rsidR="00454A29" w14:paraId="62E75AB1" w14:textId="77777777">
        <w:tc>
          <w:tcPr>
            <w:tcW w:w="567" w:type="dxa"/>
            <w:vMerge/>
          </w:tcPr>
          <w:p w14:paraId="24C8A281" w14:textId="77777777" w:rsidR="00454A29" w:rsidRDefault="00454A29"/>
        </w:tc>
        <w:tc>
          <w:tcPr>
            <w:tcW w:w="3345" w:type="dxa"/>
            <w:vMerge/>
          </w:tcPr>
          <w:p w14:paraId="400EF539" w14:textId="77777777" w:rsidR="00454A29" w:rsidRDefault="00454A29"/>
        </w:tc>
        <w:tc>
          <w:tcPr>
            <w:tcW w:w="1701" w:type="dxa"/>
            <w:vAlign w:val="center"/>
          </w:tcPr>
          <w:p w14:paraId="18E254B1" w14:textId="77777777" w:rsidR="00454A29" w:rsidRDefault="00454A29">
            <w:pPr>
              <w:pStyle w:val="ConsPlusNormal"/>
              <w:jc w:val="center"/>
            </w:pPr>
            <w:r>
              <w:t>2020</w:t>
            </w:r>
          </w:p>
        </w:tc>
        <w:tc>
          <w:tcPr>
            <w:tcW w:w="1417" w:type="dxa"/>
            <w:vMerge/>
          </w:tcPr>
          <w:p w14:paraId="3DD7BAA1" w14:textId="77777777" w:rsidR="00454A29" w:rsidRDefault="00454A29"/>
        </w:tc>
        <w:tc>
          <w:tcPr>
            <w:tcW w:w="2204" w:type="dxa"/>
            <w:vMerge/>
          </w:tcPr>
          <w:p w14:paraId="181F9266" w14:textId="77777777" w:rsidR="00454A29" w:rsidRDefault="00454A29"/>
        </w:tc>
        <w:tc>
          <w:tcPr>
            <w:tcW w:w="1417" w:type="dxa"/>
            <w:vMerge/>
          </w:tcPr>
          <w:p w14:paraId="0E4019B7" w14:textId="77777777" w:rsidR="00454A29" w:rsidRDefault="00454A29"/>
        </w:tc>
        <w:tc>
          <w:tcPr>
            <w:tcW w:w="2324" w:type="dxa"/>
            <w:vMerge/>
          </w:tcPr>
          <w:p w14:paraId="4C273FF8" w14:textId="77777777" w:rsidR="00454A29" w:rsidRDefault="00454A29"/>
        </w:tc>
        <w:tc>
          <w:tcPr>
            <w:tcW w:w="1701" w:type="dxa"/>
            <w:vAlign w:val="center"/>
          </w:tcPr>
          <w:p w14:paraId="18CDF9AB" w14:textId="77777777" w:rsidR="00454A29" w:rsidRDefault="00454A29">
            <w:pPr>
              <w:pStyle w:val="ConsPlusNormal"/>
              <w:jc w:val="center"/>
            </w:pPr>
            <w:r>
              <w:t>-</w:t>
            </w:r>
          </w:p>
        </w:tc>
        <w:tc>
          <w:tcPr>
            <w:tcW w:w="1814" w:type="dxa"/>
            <w:vAlign w:val="center"/>
          </w:tcPr>
          <w:p w14:paraId="30EFD02A" w14:textId="77777777" w:rsidR="00454A29" w:rsidRDefault="00454A29">
            <w:pPr>
              <w:pStyle w:val="ConsPlusNormal"/>
              <w:jc w:val="center"/>
            </w:pPr>
            <w:r>
              <w:t>-</w:t>
            </w:r>
          </w:p>
        </w:tc>
        <w:tc>
          <w:tcPr>
            <w:tcW w:w="1701" w:type="dxa"/>
            <w:vAlign w:val="center"/>
          </w:tcPr>
          <w:p w14:paraId="7B11BA30" w14:textId="77777777" w:rsidR="00454A29" w:rsidRDefault="00454A29">
            <w:pPr>
              <w:pStyle w:val="ConsPlusNormal"/>
            </w:pPr>
          </w:p>
        </w:tc>
        <w:tc>
          <w:tcPr>
            <w:tcW w:w="1701" w:type="dxa"/>
            <w:vAlign w:val="center"/>
          </w:tcPr>
          <w:p w14:paraId="7220C8F5" w14:textId="77777777" w:rsidR="00454A29" w:rsidRDefault="00454A29">
            <w:pPr>
              <w:pStyle w:val="ConsPlusNormal"/>
            </w:pPr>
          </w:p>
        </w:tc>
        <w:tc>
          <w:tcPr>
            <w:tcW w:w="1814" w:type="dxa"/>
            <w:vAlign w:val="center"/>
          </w:tcPr>
          <w:p w14:paraId="6ECA5337" w14:textId="77777777" w:rsidR="00454A29" w:rsidRDefault="00454A29">
            <w:pPr>
              <w:pStyle w:val="ConsPlusNormal"/>
            </w:pPr>
          </w:p>
        </w:tc>
      </w:tr>
      <w:tr w:rsidR="00454A29" w14:paraId="3847A746" w14:textId="77777777">
        <w:tc>
          <w:tcPr>
            <w:tcW w:w="567" w:type="dxa"/>
            <w:vMerge/>
          </w:tcPr>
          <w:p w14:paraId="608F1FED" w14:textId="77777777" w:rsidR="00454A29" w:rsidRDefault="00454A29"/>
        </w:tc>
        <w:tc>
          <w:tcPr>
            <w:tcW w:w="3345" w:type="dxa"/>
            <w:vMerge/>
          </w:tcPr>
          <w:p w14:paraId="6DC8A8F4" w14:textId="77777777" w:rsidR="00454A29" w:rsidRDefault="00454A29"/>
        </w:tc>
        <w:tc>
          <w:tcPr>
            <w:tcW w:w="1701" w:type="dxa"/>
            <w:vAlign w:val="center"/>
          </w:tcPr>
          <w:p w14:paraId="46067B05" w14:textId="77777777" w:rsidR="00454A29" w:rsidRDefault="00454A29">
            <w:pPr>
              <w:pStyle w:val="ConsPlusNormal"/>
              <w:jc w:val="center"/>
            </w:pPr>
            <w:r>
              <w:t>2021</w:t>
            </w:r>
          </w:p>
        </w:tc>
        <w:tc>
          <w:tcPr>
            <w:tcW w:w="1417" w:type="dxa"/>
            <w:vMerge/>
          </w:tcPr>
          <w:p w14:paraId="01AA5BB1" w14:textId="77777777" w:rsidR="00454A29" w:rsidRDefault="00454A29"/>
        </w:tc>
        <w:tc>
          <w:tcPr>
            <w:tcW w:w="2204" w:type="dxa"/>
            <w:vMerge/>
          </w:tcPr>
          <w:p w14:paraId="7F8C45DA" w14:textId="77777777" w:rsidR="00454A29" w:rsidRDefault="00454A29"/>
        </w:tc>
        <w:tc>
          <w:tcPr>
            <w:tcW w:w="1417" w:type="dxa"/>
            <w:vMerge/>
          </w:tcPr>
          <w:p w14:paraId="4360B103" w14:textId="77777777" w:rsidR="00454A29" w:rsidRDefault="00454A29"/>
        </w:tc>
        <w:tc>
          <w:tcPr>
            <w:tcW w:w="2324" w:type="dxa"/>
            <w:vMerge/>
          </w:tcPr>
          <w:p w14:paraId="6F7385FF" w14:textId="77777777" w:rsidR="00454A29" w:rsidRDefault="00454A29"/>
        </w:tc>
        <w:tc>
          <w:tcPr>
            <w:tcW w:w="1701" w:type="dxa"/>
            <w:vAlign w:val="center"/>
          </w:tcPr>
          <w:p w14:paraId="3DE87389" w14:textId="77777777" w:rsidR="00454A29" w:rsidRDefault="00454A29">
            <w:pPr>
              <w:pStyle w:val="ConsPlusNormal"/>
              <w:jc w:val="center"/>
            </w:pPr>
            <w:r>
              <w:t>-</w:t>
            </w:r>
          </w:p>
        </w:tc>
        <w:tc>
          <w:tcPr>
            <w:tcW w:w="1814" w:type="dxa"/>
            <w:vAlign w:val="center"/>
          </w:tcPr>
          <w:p w14:paraId="19A517D4" w14:textId="77777777" w:rsidR="00454A29" w:rsidRDefault="00454A29">
            <w:pPr>
              <w:pStyle w:val="ConsPlusNormal"/>
              <w:jc w:val="center"/>
            </w:pPr>
            <w:r>
              <w:t>-</w:t>
            </w:r>
          </w:p>
        </w:tc>
        <w:tc>
          <w:tcPr>
            <w:tcW w:w="1701" w:type="dxa"/>
            <w:vAlign w:val="center"/>
          </w:tcPr>
          <w:p w14:paraId="6D8FD74F" w14:textId="77777777" w:rsidR="00454A29" w:rsidRDefault="00454A29">
            <w:pPr>
              <w:pStyle w:val="ConsPlusNormal"/>
            </w:pPr>
          </w:p>
        </w:tc>
        <w:tc>
          <w:tcPr>
            <w:tcW w:w="1701" w:type="dxa"/>
            <w:vAlign w:val="center"/>
          </w:tcPr>
          <w:p w14:paraId="4243F3DA" w14:textId="77777777" w:rsidR="00454A29" w:rsidRDefault="00454A29">
            <w:pPr>
              <w:pStyle w:val="ConsPlusNormal"/>
            </w:pPr>
          </w:p>
        </w:tc>
        <w:tc>
          <w:tcPr>
            <w:tcW w:w="1814" w:type="dxa"/>
            <w:vAlign w:val="center"/>
          </w:tcPr>
          <w:p w14:paraId="43EEB94D" w14:textId="77777777" w:rsidR="00454A29" w:rsidRDefault="00454A29">
            <w:pPr>
              <w:pStyle w:val="ConsPlusNormal"/>
            </w:pPr>
          </w:p>
        </w:tc>
      </w:tr>
      <w:tr w:rsidR="00454A29" w14:paraId="6E8AD7E2" w14:textId="77777777">
        <w:tc>
          <w:tcPr>
            <w:tcW w:w="567" w:type="dxa"/>
            <w:vMerge/>
          </w:tcPr>
          <w:p w14:paraId="2FE8FC47" w14:textId="77777777" w:rsidR="00454A29" w:rsidRDefault="00454A29"/>
        </w:tc>
        <w:tc>
          <w:tcPr>
            <w:tcW w:w="3345" w:type="dxa"/>
            <w:vMerge/>
          </w:tcPr>
          <w:p w14:paraId="1822ED16" w14:textId="77777777" w:rsidR="00454A29" w:rsidRDefault="00454A29"/>
        </w:tc>
        <w:tc>
          <w:tcPr>
            <w:tcW w:w="1701" w:type="dxa"/>
            <w:vAlign w:val="center"/>
          </w:tcPr>
          <w:p w14:paraId="0EEE2ECD" w14:textId="77777777" w:rsidR="00454A29" w:rsidRDefault="00454A29">
            <w:pPr>
              <w:pStyle w:val="ConsPlusNormal"/>
              <w:jc w:val="center"/>
            </w:pPr>
            <w:r>
              <w:t>2022</w:t>
            </w:r>
          </w:p>
        </w:tc>
        <w:tc>
          <w:tcPr>
            <w:tcW w:w="1417" w:type="dxa"/>
            <w:vMerge/>
          </w:tcPr>
          <w:p w14:paraId="62861EBA" w14:textId="77777777" w:rsidR="00454A29" w:rsidRDefault="00454A29"/>
        </w:tc>
        <w:tc>
          <w:tcPr>
            <w:tcW w:w="2204" w:type="dxa"/>
            <w:vMerge/>
          </w:tcPr>
          <w:p w14:paraId="4E559E82" w14:textId="77777777" w:rsidR="00454A29" w:rsidRDefault="00454A29"/>
        </w:tc>
        <w:tc>
          <w:tcPr>
            <w:tcW w:w="1417" w:type="dxa"/>
            <w:vMerge/>
          </w:tcPr>
          <w:p w14:paraId="45AED25E" w14:textId="77777777" w:rsidR="00454A29" w:rsidRDefault="00454A29"/>
        </w:tc>
        <w:tc>
          <w:tcPr>
            <w:tcW w:w="2324" w:type="dxa"/>
            <w:vMerge/>
          </w:tcPr>
          <w:p w14:paraId="5EC944A0" w14:textId="77777777" w:rsidR="00454A29" w:rsidRDefault="00454A29"/>
        </w:tc>
        <w:tc>
          <w:tcPr>
            <w:tcW w:w="1701" w:type="dxa"/>
            <w:vAlign w:val="center"/>
          </w:tcPr>
          <w:p w14:paraId="6A5A9E37" w14:textId="77777777" w:rsidR="00454A29" w:rsidRDefault="00454A29">
            <w:pPr>
              <w:pStyle w:val="ConsPlusNormal"/>
              <w:jc w:val="center"/>
            </w:pPr>
            <w:r>
              <w:t>-</w:t>
            </w:r>
          </w:p>
        </w:tc>
        <w:tc>
          <w:tcPr>
            <w:tcW w:w="1814" w:type="dxa"/>
            <w:vAlign w:val="center"/>
          </w:tcPr>
          <w:p w14:paraId="317499FE" w14:textId="77777777" w:rsidR="00454A29" w:rsidRDefault="00454A29">
            <w:pPr>
              <w:pStyle w:val="ConsPlusNormal"/>
              <w:jc w:val="center"/>
            </w:pPr>
            <w:r>
              <w:t>-</w:t>
            </w:r>
          </w:p>
        </w:tc>
        <w:tc>
          <w:tcPr>
            <w:tcW w:w="1701" w:type="dxa"/>
            <w:vAlign w:val="center"/>
          </w:tcPr>
          <w:p w14:paraId="61448255" w14:textId="77777777" w:rsidR="00454A29" w:rsidRDefault="00454A29">
            <w:pPr>
              <w:pStyle w:val="ConsPlusNormal"/>
            </w:pPr>
          </w:p>
        </w:tc>
        <w:tc>
          <w:tcPr>
            <w:tcW w:w="1701" w:type="dxa"/>
            <w:vAlign w:val="center"/>
          </w:tcPr>
          <w:p w14:paraId="1C48E7A6" w14:textId="77777777" w:rsidR="00454A29" w:rsidRDefault="00454A29">
            <w:pPr>
              <w:pStyle w:val="ConsPlusNormal"/>
            </w:pPr>
          </w:p>
        </w:tc>
        <w:tc>
          <w:tcPr>
            <w:tcW w:w="1814" w:type="dxa"/>
            <w:vAlign w:val="center"/>
          </w:tcPr>
          <w:p w14:paraId="33EB8CF1" w14:textId="77777777" w:rsidR="00454A29" w:rsidRDefault="00454A29">
            <w:pPr>
              <w:pStyle w:val="ConsPlusNormal"/>
            </w:pPr>
          </w:p>
        </w:tc>
      </w:tr>
      <w:tr w:rsidR="00454A29" w14:paraId="13AA813B" w14:textId="77777777">
        <w:tc>
          <w:tcPr>
            <w:tcW w:w="567" w:type="dxa"/>
            <w:vMerge/>
          </w:tcPr>
          <w:p w14:paraId="5F88ED3D" w14:textId="77777777" w:rsidR="00454A29" w:rsidRDefault="00454A29"/>
        </w:tc>
        <w:tc>
          <w:tcPr>
            <w:tcW w:w="3345" w:type="dxa"/>
            <w:vMerge/>
          </w:tcPr>
          <w:p w14:paraId="23022BFB" w14:textId="77777777" w:rsidR="00454A29" w:rsidRDefault="00454A29"/>
        </w:tc>
        <w:tc>
          <w:tcPr>
            <w:tcW w:w="1701" w:type="dxa"/>
            <w:vAlign w:val="center"/>
          </w:tcPr>
          <w:p w14:paraId="255E0876" w14:textId="77777777" w:rsidR="00454A29" w:rsidRDefault="00454A29">
            <w:pPr>
              <w:pStyle w:val="ConsPlusNormal"/>
              <w:jc w:val="center"/>
            </w:pPr>
            <w:r>
              <w:t>2023</w:t>
            </w:r>
          </w:p>
        </w:tc>
        <w:tc>
          <w:tcPr>
            <w:tcW w:w="1417" w:type="dxa"/>
            <w:vMerge/>
          </w:tcPr>
          <w:p w14:paraId="23776D43" w14:textId="77777777" w:rsidR="00454A29" w:rsidRDefault="00454A29"/>
        </w:tc>
        <w:tc>
          <w:tcPr>
            <w:tcW w:w="2204" w:type="dxa"/>
            <w:vMerge/>
          </w:tcPr>
          <w:p w14:paraId="37A76760" w14:textId="77777777" w:rsidR="00454A29" w:rsidRDefault="00454A29"/>
        </w:tc>
        <w:tc>
          <w:tcPr>
            <w:tcW w:w="1417" w:type="dxa"/>
            <w:vMerge/>
          </w:tcPr>
          <w:p w14:paraId="2C35A505" w14:textId="77777777" w:rsidR="00454A29" w:rsidRDefault="00454A29"/>
        </w:tc>
        <w:tc>
          <w:tcPr>
            <w:tcW w:w="2324" w:type="dxa"/>
            <w:vMerge/>
          </w:tcPr>
          <w:p w14:paraId="21086DCF" w14:textId="77777777" w:rsidR="00454A29" w:rsidRDefault="00454A29"/>
        </w:tc>
        <w:tc>
          <w:tcPr>
            <w:tcW w:w="1701" w:type="dxa"/>
            <w:vAlign w:val="center"/>
          </w:tcPr>
          <w:p w14:paraId="5B69727E" w14:textId="77777777" w:rsidR="00454A29" w:rsidRDefault="00454A29">
            <w:pPr>
              <w:pStyle w:val="ConsPlusNormal"/>
              <w:jc w:val="center"/>
            </w:pPr>
            <w:r>
              <w:t>112 928,81</w:t>
            </w:r>
          </w:p>
        </w:tc>
        <w:tc>
          <w:tcPr>
            <w:tcW w:w="1814" w:type="dxa"/>
            <w:vAlign w:val="center"/>
          </w:tcPr>
          <w:p w14:paraId="775A32DF" w14:textId="77777777" w:rsidR="00454A29" w:rsidRDefault="00454A29">
            <w:pPr>
              <w:pStyle w:val="ConsPlusNormal"/>
              <w:jc w:val="center"/>
            </w:pPr>
            <w:r>
              <w:t>112 928,81</w:t>
            </w:r>
          </w:p>
        </w:tc>
        <w:tc>
          <w:tcPr>
            <w:tcW w:w="1701" w:type="dxa"/>
            <w:vAlign w:val="center"/>
          </w:tcPr>
          <w:p w14:paraId="5A5E92D1" w14:textId="77777777" w:rsidR="00454A29" w:rsidRDefault="00454A29">
            <w:pPr>
              <w:pStyle w:val="ConsPlusNormal"/>
            </w:pPr>
          </w:p>
        </w:tc>
        <w:tc>
          <w:tcPr>
            <w:tcW w:w="1701" w:type="dxa"/>
            <w:vAlign w:val="center"/>
          </w:tcPr>
          <w:p w14:paraId="793334DD" w14:textId="77777777" w:rsidR="00454A29" w:rsidRDefault="00454A29">
            <w:pPr>
              <w:pStyle w:val="ConsPlusNormal"/>
            </w:pPr>
          </w:p>
        </w:tc>
        <w:tc>
          <w:tcPr>
            <w:tcW w:w="1814" w:type="dxa"/>
            <w:vAlign w:val="center"/>
          </w:tcPr>
          <w:p w14:paraId="3C7FF36D" w14:textId="77777777" w:rsidR="00454A29" w:rsidRDefault="00454A29">
            <w:pPr>
              <w:pStyle w:val="ConsPlusNormal"/>
            </w:pPr>
          </w:p>
        </w:tc>
      </w:tr>
      <w:tr w:rsidR="00454A29" w14:paraId="282E46BD" w14:textId="77777777">
        <w:tc>
          <w:tcPr>
            <w:tcW w:w="567" w:type="dxa"/>
            <w:vMerge/>
          </w:tcPr>
          <w:p w14:paraId="0F2C65BD" w14:textId="77777777" w:rsidR="00454A29" w:rsidRDefault="00454A29"/>
        </w:tc>
        <w:tc>
          <w:tcPr>
            <w:tcW w:w="3345" w:type="dxa"/>
            <w:vMerge/>
          </w:tcPr>
          <w:p w14:paraId="3547CB11" w14:textId="77777777" w:rsidR="00454A29" w:rsidRDefault="00454A29"/>
        </w:tc>
        <w:tc>
          <w:tcPr>
            <w:tcW w:w="1701" w:type="dxa"/>
            <w:vAlign w:val="center"/>
          </w:tcPr>
          <w:p w14:paraId="1E4628FD" w14:textId="77777777" w:rsidR="00454A29" w:rsidRDefault="00454A29">
            <w:pPr>
              <w:pStyle w:val="ConsPlusNormal"/>
              <w:jc w:val="center"/>
            </w:pPr>
            <w:r>
              <w:t>2024</w:t>
            </w:r>
          </w:p>
        </w:tc>
        <w:tc>
          <w:tcPr>
            <w:tcW w:w="1417" w:type="dxa"/>
            <w:vMerge/>
          </w:tcPr>
          <w:p w14:paraId="049F3546" w14:textId="77777777" w:rsidR="00454A29" w:rsidRDefault="00454A29"/>
        </w:tc>
        <w:tc>
          <w:tcPr>
            <w:tcW w:w="2204" w:type="dxa"/>
            <w:vMerge/>
          </w:tcPr>
          <w:p w14:paraId="6ACB7D38" w14:textId="77777777" w:rsidR="00454A29" w:rsidRDefault="00454A29"/>
        </w:tc>
        <w:tc>
          <w:tcPr>
            <w:tcW w:w="1417" w:type="dxa"/>
            <w:vMerge/>
          </w:tcPr>
          <w:p w14:paraId="1B8FAF6D" w14:textId="77777777" w:rsidR="00454A29" w:rsidRDefault="00454A29"/>
        </w:tc>
        <w:tc>
          <w:tcPr>
            <w:tcW w:w="2324" w:type="dxa"/>
            <w:vMerge/>
          </w:tcPr>
          <w:p w14:paraId="7249B998" w14:textId="77777777" w:rsidR="00454A29" w:rsidRDefault="00454A29"/>
        </w:tc>
        <w:tc>
          <w:tcPr>
            <w:tcW w:w="1701" w:type="dxa"/>
            <w:vAlign w:val="center"/>
          </w:tcPr>
          <w:p w14:paraId="1161E39F" w14:textId="77777777" w:rsidR="00454A29" w:rsidRDefault="00454A29">
            <w:pPr>
              <w:pStyle w:val="ConsPlusNormal"/>
              <w:jc w:val="center"/>
            </w:pPr>
            <w:r>
              <w:t>190 375,36</w:t>
            </w:r>
          </w:p>
        </w:tc>
        <w:tc>
          <w:tcPr>
            <w:tcW w:w="1814" w:type="dxa"/>
            <w:vAlign w:val="center"/>
          </w:tcPr>
          <w:p w14:paraId="736617B6" w14:textId="77777777" w:rsidR="00454A29" w:rsidRDefault="00454A29">
            <w:pPr>
              <w:pStyle w:val="ConsPlusNormal"/>
              <w:jc w:val="center"/>
            </w:pPr>
            <w:r>
              <w:t>190 375,36</w:t>
            </w:r>
          </w:p>
        </w:tc>
        <w:tc>
          <w:tcPr>
            <w:tcW w:w="1701" w:type="dxa"/>
            <w:vAlign w:val="center"/>
          </w:tcPr>
          <w:p w14:paraId="2EA88FDD" w14:textId="77777777" w:rsidR="00454A29" w:rsidRDefault="00454A29">
            <w:pPr>
              <w:pStyle w:val="ConsPlusNormal"/>
            </w:pPr>
          </w:p>
        </w:tc>
        <w:tc>
          <w:tcPr>
            <w:tcW w:w="1701" w:type="dxa"/>
            <w:vAlign w:val="center"/>
          </w:tcPr>
          <w:p w14:paraId="13A3D6BF" w14:textId="77777777" w:rsidR="00454A29" w:rsidRDefault="00454A29">
            <w:pPr>
              <w:pStyle w:val="ConsPlusNormal"/>
            </w:pPr>
          </w:p>
        </w:tc>
        <w:tc>
          <w:tcPr>
            <w:tcW w:w="1814" w:type="dxa"/>
            <w:vAlign w:val="center"/>
          </w:tcPr>
          <w:p w14:paraId="0F721F7A" w14:textId="77777777" w:rsidR="00454A29" w:rsidRDefault="00454A29">
            <w:pPr>
              <w:pStyle w:val="ConsPlusNormal"/>
            </w:pPr>
          </w:p>
        </w:tc>
      </w:tr>
      <w:tr w:rsidR="00454A29" w14:paraId="269B86A0" w14:textId="77777777">
        <w:tc>
          <w:tcPr>
            <w:tcW w:w="567" w:type="dxa"/>
            <w:vMerge/>
          </w:tcPr>
          <w:p w14:paraId="125C9C13" w14:textId="77777777" w:rsidR="00454A29" w:rsidRDefault="00454A29"/>
        </w:tc>
        <w:tc>
          <w:tcPr>
            <w:tcW w:w="3345" w:type="dxa"/>
            <w:vMerge/>
          </w:tcPr>
          <w:p w14:paraId="05DC4F76" w14:textId="77777777" w:rsidR="00454A29" w:rsidRDefault="00454A29"/>
        </w:tc>
        <w:tc>
          <w:tcPr>
            <w:tcW w:w="1701" w:type="dxa"/>
            <w:vAlign w:val="center"/>
          </w:tcPr>
          <w:p w14:paraId="6FE10B13" w14:textId="77777777" w:rsidR="00454A29" w:rsidRDefault="00454A29">
            <w:pPr>
              <w:pStyle w:val="ConsPlusNormal"/>
              <w:jc w:val="center"/>
            </w:pPr>
            <w:r>
              <w:t>2025</w:t>
            </w:r>
          </w:p>
        </w:tc>
        <w:tc>
          <w:tcPr>
            <w:tcW w:w="1417" w:type="dxa"/>
            <w:vMerge/>
          </w:tcPr>
          <w:p w14:paraId="2772D45C" w14:textId="77777777" w:rsidR="00454A29" w:rsidRDefault="00454A29"/>
        </w:tc>
        <w:tc>
          <w:tcPr>
            <w:tcW w:w="2204" w:type="dxa"/>
            <w:vMerge/>
          </w:tcPr>
          <w:p w14:paraId="7B499C05" w14:textId="77777777" w:rsidR="00454A29" w:rsidRDefault="00454A29"/>
        </w:tc>
        <w:tc>
          <w:tcPr>
            <w:tcW w:w="1417" w:type="dxa"/>
            <w:vMerge/>
          </w:tcPr>
          <w:p w14:paraId="51F35A69" w14:textId="77777777" w:rsidR="00454A29" w:rsidRDefault="00454A29"/>
        </w:tc>
        <w:tc>
          <w:tcPr>
            <w:tcW w:w="2324" w:type="dxa"/>
            <w:vMerge/>
          </w:tcPr>
          <w:p w14:paraId="7FE04BE0" w14:textId="77777777" w:rsidR="00454A29" w:rsidRDefault="00454A29"/>
        </w:tc>
        <w:tc>
          <w:tcPr>
            <w:tcW w:w="1701" w:type="dxa"/>
            <w:vAlign w:val="center"/>
          </w:tcPr>
          <w:p w14:paraId="5ACBD97E" w14:textId="77777777" w:rsidR="00454A29" w:rsidRDefault="00454A29">
            <w:pPr>
              <w:pStyle w:val="ConsPlusNormal"/>
              <w:jc w:val="center"/>
            </w:pPr>
            <w:r>
              <w:t>227 980,78</w:t>
            </w:r>
          </w:p>
        </w:tc>
        <w:tc>
          <w:tcPr>
            <w:tcW w:w="1814" w:type="dxa"/>
            <w:vAlign w:val="center"/>
          </w:tcPr>
          <w:p w14:paraId="5963A032" w14:textId="77777777" w:rsidR="00454A29" w:rsidRDefault="00454A29">
            <w:pPr>
              <w:pStyle w:val="ConsPlusNormal"/>
              <w:jc w:val="center"/>
            </w:pPr>
            <w:r>
              <w:t>227 980,78</w:t>
            </w:r>
          </w:p>
        </w:tc>
        <w:tc>
          <w:tcPr>
            <w:tcW w:w="1701" w:type="dxa"/>
            <w:vAlign w:val="center"/>
          </w:tcPr>
          <w:p w14:paraId="5E058DCE" w14:textId="77777777" w:rsidR="00454A29" w:rsidRDefault="00454A29">
            <w:pPr>
              <w:pStyle w:val="ConsPlusNormal"/>
            </w:pPr>
          </w:p>
        </w:tc>
        <w:tc>
          <w:tcPr>
            <w:tcW w:w="1701" w:type="dxa"/>
            <w:vAlign w:val="center"/>
          </w:tcPr>
          <w:p w14:paraId="161E0A67" w14:textId="77777777" w:rsidR="00454A29" w:rsidRDefault="00454A29">
            <w:pPr>
              <w:pStyle w:val="ConsPlusNormal"/>
            </w:pPr>
          </w:p>
        </w:tc>
        <w:tc>
          <w:tcPr>
            <w:tcW w:w="1814" w:type="dxa"/>
            <w:vAlign w:val="center"/>
          </w:tcPr>
          <w:p w14:paraId="1981E0D8" w14:textId="77777777" w:rsidR="00454A29" w:rsidRDefault="00454A29">
            <w:pPr>
              <w:pStyle w:val="ConsPlusNormal"/>
            </w:pPr>
          </w:p>
        </w:tc>
      </w:tr>
      <w:tr w:rsidR="00454A29" w14:paraId="18CEE446" w14:textId="77777777">
        <w:tc>
          <w:tcPr>
            <w:tcW w:w="567" w:type="dxa"/>
            <w:vMerge/>
          </w:tcPr>
          <w:p w14:paraId="37887EE5" w14:textId="77777777" w:rsidR="00454A29" w:rsidRDefault="00454A29"/>
        </w:tc>
        <w:tc>
          <w:tcPr>
            <w:tcW w:w="3345" w:type="dxa"/>
            <w:vMerge/>
          </w:tcPr>
          <w:p w14:paraId="0A78D7B5" w14:textId="77777777" w:rsidR="00454A29" w:rsidRDefault="00454A29"/>
        </w:tc>
        <w:tc>
          <w:tcPr>
            <w:tcW w:w="1701" w:type="dxa"/>
            <w:vAlign w:val="center"/>
          </w:tcPr>
          <w:p w14:paraId="58F7FD4A" w14:textId="77777777" w:rsidR="00454A29" w:rsidRDefault="00454A29">
            <w:pPr>
              <w:pStyle w:val="ConsPlusNormal"/>
              <w:jc w:val="center"/>
            </w:pPr>
            <w:r>
              <w:t>2026</w:t>
            </w:r>
          </w:p>
        </w:tc>
        <w:tc>
          <w:tcPr>
            <w:tcW w:w="1417" w:type="dxa"/>
            <w:vMerge/>
          </w:tcPr>
          <w:p w14:paraId="3CBCE51D" w14:textId="77777777" w:rsidR="00454A29" w:rsidRDefault="00454A29"/>
        </w:tc>
        <w:tc>
          <w:tcPr>
            <w:tcW w:w="2204" w:type="dxa"/>
            <w:vMerge/>
          </w:tcPr>
          <w:p w14:paraId="35AE4C39" w14:textId="77777777" w:rsidR="00454A29" w:rsidRDefault="00454A29"/>
        </w:tc>
        <w:tc>
          <w:tcPr>
            <w:tcW w:w="1417" w:type="dxa"/>
            <w:vMerge/>
          </w:tcPr>
          <w:p w14:paraId="7AAEF381" w14:textId="77777777" w:rsidR="00454A29" w:rsidRDefault="00454A29"/>
        </w:tc>
        <w:tc>
          <w:tcPr>
            <w:tcW w:w="2324" w:type="dxa"/>
            <w:vMerge/>
          </w:tcPr>
          <w:p w14:paraId="24C0A309" w14:textId="77777777" w:rsidR="00454A29" w:rsidRDefault="00454A29"/>
        </w:tc>
        <w:tc>
          <w:tcPr>
            <w:tcW w:w="1701" w:type="dxa"/>
            <w:vAlign w:val="center"/>
          </w:tcPr>
          <w:p w14:paraId="0D3B5DD3" w14:textId="77777777" w:rsidR="00454A29" w:rsidRDefault="00454A29">
            <w:pPr>
              <w:pStyle w:val="ConsPlusNormal"/>
              <w:jc w:val="center"/>
            </w:pPr>
            <w:r>
              <w:t>-</w:t>
            </w:r>
          </w:p>
        </w:tc>
        <w:tc>
          <w:tcPr>
            <w:tcW w:w="1814" w:type="dxa"/>
            <w:vAlign w:val="center"/>
          </w:tcPr>
          <w:p w14:paraId="398B1B0E" w14:textId="77777777" w:rsidR="00454A29" w:rsidRDefault="00454A29">
            <w:pPr>
              <w:pStyle w:val="ConsPlusNormal"/>
              <w:jc w:val="center"/>
            </w:pPr>
            <w:r>
              <w:t>-</w:t>
            </w:r>
          </w:p>
        </w:tc>
        <w:tc>
          <w:tcPr>
            <w:tcW w:w="1701" w:type="dxa"/>
            <w:vAlign w:val="center"/>
          </w:tcPr>
          <w:p w14:paraId="2899B2CB" w14:textId="77777777" w:rsidR="00454A29" w:rsidRDefault="00454A29">
            <w:pPr>
              <w:pStyle w:val="ConsPlusNormal"/>
            </w:pPr>
          </w:p>
        </w:tc>
        <w:tc>
          <w:tcPr>
            <w:tcW w:w="1701" w:type="dxa"/>
            <w:vAlign w:val="center"/>
          </w:tcPr>
          <w:p w14:paraId="2B6CCCE5" w14:textId="77777777" w:rsidR="00454A29" w:rsidRDefault="00454A29">
            <w:pPr>
              <w:pStyle w:val="ConsPlusNormal"/>
            </w:pPr>
          </w:p>
        </w:tc>
        <w:tc>
          <w:tcPr>
            <w:tcW w:w="1814" w:type="dxa"/>
            <w:vAlign w:val="center"/>
          </w:tcPr>
          <w:p w14:paraId="07FD3B0C" w14:textId="77777777" w:rsidR="00454A29" w:rsidRDefault="00454A29">
            <w:pPr>
              <w:pStyle w:val="ConsPlusNormal"/>
            </w:pPr>
          </w:p>
        </w:tc>
      </w:tr>
      <w:tr w:rsidR="00454A29" w14:paraId="3983BE51" w14:textId="77777777">
        <w:tc>
          <w:tcPr>
            <w:tcW w:w="21706" w:type="dxa"/>
            <w:gridSpan w:val="12"/>
            <w:vAlign w:val="center"/>
          </w:tcPr>
          <w:p w14:paraId="54180BA6" w14:textId="77777777" w:rsidR="00454A29" w:rsidRDefault="00454A29">
            <w:pPr>
              <w:pStyle w:val="ConsPlusNormal"/>
              <w:jc w:val="center"/>
            </w:pPr>
            <w:r>
              <w:t>Мероприятие 10.2.1</w:t>
            </w:r>
          </w:p>
        </w:tc>
      </w:tr>
      <w:tr w:rsidR="00454A29" w14:paraId="5FB67713" w14:textId="77777777">
        <w:tc>
          <w:tcPr>
            <w:tcW w:w="567" w:type="dxa"/>
            <w:vMerge w:val="restart"/>
            <w:vAlign w:val="center"/>
          </w:tcPr>
          <w:p w14:paraId="0E28E931" w14:textId="77777777" w:rsidR="00454A29" w:rsidRDefault="00454A29">
            <w:pPr>
              <w:pStyle w:val="ConsPlusNormal"/>
            </w:pPr>
          </w:p>
        </w:tc>
        <w:tc>
          <w:tcPr>
            <w:tcW w:w="3345" w:type="dxa"/>
            <w:vMerge w:val="restart"/>
            <w:vAlign w:val="center"/>
          </w:tcPr>
          <w:p w14:paraId="5286C661" w14:textId="77777777" w:rsidR="00454A29" w:rsidRDefault="00454A29">
            <w:pPr>
              <w:pStyle w:val="ConsPlusNormal"/>
              <w:jc w:val="center"/>
            </w:pPr>
            <w:r>
              <w:t>Строительство, приобретение и реконструкция зданий общего образования</w:t>
            </w:r>
          </w:p>
        </w:tc>
        <w:tc>
          <w:tcPr>
            <w:tcW w:w="1701" w:type="dxa"/>
            <w:vAlign w:val="center"/>
          </w:tcPr>
          <w:p w14:paraId="17755F51" w14:textId="77777777" w:rsidR="00454A29" w:rsidRDefault="00454A29">
            <w:pPr>
              <w:pStyle w:val="ConsPlusNormal"/>
              <w:jc w:val="center"/>
            </w:pPr>
            <w:r>
              <w:t>Всего:</w:t>
            </w:r>
          </w:p>
        </w:tc>
        <w:tc>
          <w:tcPr>
            <w:tcW w:w="1417" w:type="dxa"/>
            <w:vMerge w:val="restart"/>
            <w:vAlign w:val="center"/>
          </w:tcPr>
          <w:p w14:paraId="0CD6655E" w14:textId="77777777" w:rsidR="00454A29" w:rsidRDefault="00454A29">
            <w:pPr>
              <w:pStyle w:val="ConsPlusNormal"/>
              <w:jc w:val="center"/>
            </w:pPr>
            <w:r>
              <w:t>х</w:t>
            </w:r>
          </w:p>
        </w:tc>
        <w:tc>
          <w:tcPr>
            <w:tcW w:w="2204" w:type="dxa"/>
            <w:vMerge w:val="restart"/>
            <w:vAlign w:val="center"/>
          </w:tcPr>
          <w:p w14:paraId="17FB90CE" w14:textId="77777777" w:rsidR="00454A29" w:rsidRDefault="00454A29">
            <w:pPr>
              <w:pStyle w:val="ConsPlusNormal"/>
              <w:jc w:val="center"/>
            </w:pPr>
            <w:r>
              <w:t>х</w:t>
            </w:r>
          </w:p>
        </w:tc>
        <w:tc>
          <w:tcPr>
            <w:tcW w:w="1417" w:type="dxa"/>
            <w:vMerge w:val="restart"/>
            <w:vAlign w:val="center"/>
          </w:tcPr>
          <w:p w14:paraId="28EEF785" w14:textId="77777777" w:rsidR="00454A29" w:rsidRDefault="00454A29">
            <w:pPr>
              <w:pStyle w:val="ConsPlusNormal"/>
              <w:jc w:val="center"/>
            </w:pPr>
            <w:r>
              <w:t>320</w:t>
            </w:r>
          </w:p>
        </w:tc>
        <w:tc>
          <w:tcPr>
            <w:tcW w:w="2324" w:type="dxa"/>
            <w:vMerge w:val="restart"/>
            <w:vAlign w:val="center"/>
          </w:tcPr>
          <w:p w14:paraId="729A6422" w14:textId="77777777" w:rsidR="00454A29" w:rsidRDefault="00454A29">
            <w:pPr>
              <w:pStyle w:val="ConsPlusNormal"/>
              <w:jc w:val="center"/>
            </w:pPr>
            <w:r>
              <w:t>х</w:t>
            </w:r>
          </w:p>
        </w:tc>
        <w:tc>
          <w:tcPr>
            <w:tcW w:w="1701" w:type="dxa"/>
            <w:vAlign w:val="center"/>
          </w:tcPr>
          <w:p w14:paraId="28005CBF" w14:textId="77777777" w:rsidR="00454A29" w:rsidRDefault="00454A29">
            <w:pPr>
              <w:pStyle w:val="ConsPlusNormal"/>
              <w:jc w:val="center"/>
            </w:pPr>
            <w:r>
              <w:t>531 284,94</w:t>
            </w:r>
          </w:p>
        </w:tc>
        <w:tc>
          <w:tcPr>
            <w:tcW w:w="1814" w:type="dxa"/>
            <w:vAlign w:val="center"/>
          </w:tcPr>
          <w:p w14:paraId="30F2D08C" w14:textId="77777777" w:rsidR="00454A29" w:rsidRDefault="00454A29">
            <w:pPr>
              <w:pStyle w:val="ConsPlusNormal"/>
              <w:jc w:val="center"/>
            </w:pPr>
            <w:r>
              <w:t>531 284,94</w:t>
            </w:r>
          </w:p>
        </w:tc>
        <w:tc>
          <w:tcPr>
            <w:tcW w:w="1701" w:type="dxa"/>
            <w:vAlign w:val="center"/>
          </w:tcPr>
          <w:p w14:paraId="6E37576F" w14:textId="77777777" w:rsidR="00454A29" w:rsidRDefault="00454A29">
            <w:pPr>
              <w:pStyle w:val="ConsPlusNormal"/>
              <w:jc w:val="center"/>
            </w:pPr>
            <w:r>
              <w:t>-</w:t>
            </w:r>
          </w:p>
        </w:tc>
        <w:tc>
          <w:tcPr>
            <w:tcW w:w="1701" w:type="dxa"/>
            <w:vAlign w:val="center"/>
          </w:tcPr>
          <w:p w14:paraId="5C222F97" w14:textId="77777777" w:rsidR="00454A29" w:rsidRDefault="00454A29">
            <w:pPr>
              <w:pStyle w:val="ConsPlusNormal"/>
              <w:jc w:val="center"/>
            </w:pPr>
            <w:r>
              <w:t>-</w:t>
            </w:r>
          </w:p>
        </w:tc>
        <w:tc>
          <w:tcPr>
            <w:tcW w:w="1814" w:type="dxa"/>
            <w:vAlign w:val="center"/>
          </w:tcPr>
          <w:p w14:paraId="26888DD9" w14:textId="77777777" w:rsidR="00454A29" w:rsidRDefault="00454A29">
            <w:pPr>
              <w:pStyle w:val="ConsPlusNormal"/>
              <w:jc w:val="center"/>
            </w:pPr>
            <w:r>
              <w:t>-</w:t>
            </w:r>
          </w:p>
        </w:tc>
      </w:tr>
      <w:tr w:rsidR="00454A29" w14:paraId="09B74946" w14:textId="77777777">
        <w:tc>
          <w:tcPr>
            <w:tcW w:w="567" w:type="dxa"/>
            <w:vMerge/>
          </w:tcPr>
          <w:p w14:paraId="76030B69" w14:textId="77777777" w:rsidR="00454A29" w:rsidRDefault="00454A29"/>
        </w:tc>
        <w:tc>
          <w:tcPr>
            <w:tcW w:w="3345" w:type="dxa"/>
            <w:vMerge/>
          </w:tcPr>
          <w:p w14:paraId="6DD9B07B" w14:textId="77777777" w:rsidR="00454A29" w:rsidRDefault="00454A29"/>
        </w:tc>
        <w:tc>
          <w:tcPr>
            <w:tcW w:w="1701" w:type="dxa"/>
            <w:vAlign w:val="center"/>
          </w:tcPr>
          <w:p w14:paraId="535449E8" w14:textId="77777777" w:rsidR="00454A29" w:rsidRDefault="00454A29">
            <w:pPr>
              <w:pStyle w:val="ConsPlusNormal"/>
              <w:jc w:val="center"/>
            </w:pPr>
            <w:r>
              <w:t>2020</w:t>
            </w:r>
          </w:p>
        </w:tc>
        <w:tc>
          <w:tcPr>
            <w:tcW w:w="1417" w:type="dxa"/>
            <w:vMerge/>
          </w:tcPr>
          <w:p w14:paraId="63A4206C" w14:textId="77777777" w:rsidR="00454A29" w:rsidRDefault="00454A29"/>
        </w:tc>
        <w:tc>
          <w:tcPr>
            <w:tcW w:w="2204" w:type="dxa"/>
            <w:vMerge/>
          </w:tcPr>
          <w:p w14:paraId="2A7CB297" w14:textId="77777777" w:rsidR="00454A29" w:rsidRDefault="00454A29"/>
        </w:tc>
        <w:tc>
          <w:tcPr>
            <w:tcW w:w="1417" w:type="dxa"/>
            <w:vMerge/>
          </w:tcPr>
          <w:p w14:paraId="0CDC1F27" w14:textId="77777777" w:rsidR="00454A29" w:rsidRDefault="00454A29"/>
        </w:tc>
        <w:tc>
          <w:tcPr>
            <w:tcW w:w="2324" w:type="dxa"/>
            <w:vMerge/>
          </w:tcPr>
          <w:p w14:paraId="73A3DBE7" w14:textId="77777777" w:rsidR="00454A29" w:rsidRDefault="00454A29"/>
        </w:tc>
        <w:tc>
          <w:tcPr>
            <w:tcW w:w="1701" w:type="dxa"/>
            <w:vAlign w:val="center"/>
          </w:tcPr>
          <w:p w14:paraId="70382AB8" w14:textId="77777777" w:rsidR="00454A29" w:rsidRDefault="00454A29">
            <w:pPr>
              <w:pStyle w:val="ConsPlusNormal"/>
              <w:jc w:val="center"/>
            </w:pPr>
            <w:r>
              <w:t>-</w:t>
            </w:r>
          </w:p>
        </w:tc>
        <w:tc>
          <w:tcPr>
            <w:tcW w:w="1814" w:type="dxa"/>
            <w:vAlign w:val="center"/>
          </w:tcPr>
          <w:p w14:paraId="35CBD426" w14:textId="77777777" w:rsidR="00454A29" w:rsidRDefault="00454A29">
            <w:pPr>
              <w:pStyle w:val="ConsPlusNormal"/>
              <w:jc w:val="center"/>
            </w:pPr>
            <w:r>
              <w:t>-</w:t>
            </w:r>
          </w:p>
        </w:tc>
        <w:tc>
          <w:tcPr>
            <w:tcW w:w="1701" w:type="dxa"/>
            <w:vAlign w:val="center"/>
          </w:tcPr>
          <w:p w14:paraId="679680A8" w14:textId="77777777" w:rsidR="00454A29" w:rsidRDefault="00454A29">
            <w:pPr>
              <w:pStyle w:val="ConsPlusNormal"/>
              <w:jc w:val="center"/>
            </w:pPr>
            <w:r>
              <w:t>-</w:t>
            </w:r>
          </w:p>
        </w:tc>
        <w:tc>
          <w:tcPr>
            <w:tcW w:w="1701" w:type="dxa"/>
            <w:vAlign w:val="center"/>
          </w:tcPr>
          <w:p w14:paraId="13D2987B" w14:textId="77777777" w:rsidR="00454A29" w:rsidRDefault="00454A29">
            <w:pPr>
              <w:pStyle w:val="ConsPlusNormal"/>
              <w:jc w:val="center"/>
            </w:pPr>
            <w:r>
              <w:t>-</w:t>
            </w:r>
          </w:p>
        </w:tc>
        <w:tc>
          <w:tcPr>
            <w:tcW w:w="1814" w:type="dxa"/>
            <w:vAlign w:val="center"/>
          </w:tcPr>
          <w:p w14:paraId="11306C4C" w14:textId="77777777" w:rsidR="00454A29" w:rsidRDefault="00454A29">
            <w:pPr>
              <w:pStyle w:val="ConsPlusNormal"/>
              <w:jc w:val="center"/>
            </w:pPr>
            <w:r>
              <w:t>-</w:t>
            </w:r>
          </w:p>
        </w:tc>
      </w:tr>
      <w:tr w:rsidR="00454A29" w14:paraId="648F19C1" w14:textId="77777777">
        <w:tc>
          <w:tcPr>
            <w:tcW w:w="567" w:type="dxa"/>
            <w:vMerge/>
          </w:tcPr>
          <w:p w14:paraId="5782B59B" w14:textId="77777777" w:rsidR="00454A29" w:rsidRDefault="00454A29"/>
        </w:tc>
        <w:tc>
          <w:tcPr>
            <w:tcW w:w="3345" w:type="dxa"/>
            <w:vMerge/>
          </w:tcPr>
          <w:p w14:paraId="4C7DD778" w14:textId="77777777" w:rsidR="00454A29" w:rsidRDefault="00454A29"/>
        </w:tc>
        <w:tc>
          <w:tcPr>
            <w:tcW w:w="1701" w:type="dxa"/>
            <w:vAlign w:val="center"/>
          </w:tcPr>
          <w:p w14:paraId="12C00078" w14:textId="77777777" w:rsidR="00454A29" w:rsidRDefault="00454A29">
            <w:pPr>
              <w:pStyle w:val="ConsPlusNormal"/>
              <w:jc w:val="center"/>
            </w:pPr>
            <w:r>
              <w:t>2021</w:t>
            </w:r>
          </w:p>
        </w:tc>
        <w:tc>
          <w:tcPr>
            <w:tcW w:w="1417" w:type="dxa"/>
            <w:vMerge/>
          </w:tcPr>
          <w:p w14:paraId="6ADEC851" w14:textId="77777777" w:rsidR="00454A29" w:rsidRDefault="00454A29"/>
        </w:tc>
        <w:tc>
          <w:tcPr>
            <w:tcW w:w="2204" w:type="dxa"/>
            <w:vMerge/>
          </w:tcPr>
          <w:p w14:paraId="7FB7CBA0" w14:textId="77777777" w:rsidR="00454A29" w:rsidRDefault="00454A29"/>
        </w:tc>
        <w:tc>
          <w:tcPr>
            <w:tcW w:w="1417" w:type="dxa"/>
            <w:vMerge/>
          </w:tcPr>
          <w:p w14:paraId="490BB13C" w14:textId="77777777" w:rsidR="00454A29" w:rsidRDefault="00454A29"/>
        </w:tc>
        <w:tc>
          <w:tcPr>
            <w:tcW w:w="2324" w:type="dxa"/>
            <w:vMerge/>
          </w:tcPr>
          <w:p w14:paraId="609B2B3A" w14:textId="77777777" w:rsidR="00454A29" w:rsidRDefault="00454A29"/>
        </w:tc>
        <w:tc>
          <w:tcPr>
            <w:tcW w:w="1701" w:type="dxa"/>
            <w:vAlign w:val="center"/>
          </w:tcPr>
          <w:p w14:paraId="3BD64782" w14:textId="77777777" w:rsidR="00454A29" w:rsidRDefault="00454A29">
            <w:pPr>
              <w:pStyle w:val="ConsPlusNormal"/>
              <w:jc w:val="center"/>
            </w:pPr>
            <w:r>
              <w:t>-</w:t>
            </w:r>
          </w:p>
        </w:tc>
        <w:tc>
          <w:tcPr>
            <w:tcW w:w="1814" w:type="dxa"/>
            <w:vAlign w:val="center"/>
          </w:tcPr>
          <w:p w14:paraId="26820E3C" w14:textId="77777777" w:rsidR="00454A29" w:rsidRDefault="00454A29">
            <w:pPr>
              <w:pStyle w:val="ConsPlusNormal"/>
              <w:jc w:val="center"/>
            </w:pPr>
            <w:r>
              <w:t>-</w:t>
            </w:r>
          </w:p>
        </w:tc>
        <w:tc>
          <w:tcPr>
            <w:tcW w:w="1701" w:type="dxa"/>
            <w:vAlign w:val="center"/>
          </w:tcPr>
          <w:p w14:paraId="6668DCA0" w14:textId="77777777" w:rsidR="00454A29" w:rsidRDefault="00454A29">
            <w:pPr>
              <w:pStyle w:val="ConsPlusNormal"/>
              <w:jc w:val="center"/>
            </w:pPr>
            <w:r>
              <w:t>-</w:t>
            </w:r>
          </w:p>
        </w:tc>
        <w:tc>
          <w:tcPr>
            <w:tcW w:w="1701" w:type="dxa"/>
            <w:vAlign w:val="center"/>
          </w:tcPr>
          <w:p w14:paraId="5FE4D53E" w14:textId="77777777" w:rsidR="00454A29" w:rsidRDefault="00454A29">
            <w:pPr>
              <w:pStyle w:val="ConsPlusNormal"/>
              <w:jc w:val="center"/>
            </w:pPr>
            <w:r>
              <w:t>-</w:t>
            </w:r>
          </w:p>
        </w:tc>
        <w:tc>
          <w:tcPr>
            <w:tcW w:w="1814" w:type="dxa"/>
            <w:vAlign w:val="center"/>
          </w:tcPr>
          <w:p w14:paraId="68D593AC" w14:textId="77777777" w:rsidR="00454A29" w:rsidRDefault="00454A29">
            <w:pPr>
              <w:pStyle w:val="ConsPlusNormal"/>
              <w:jc w:val="center"/>
            </w:pPr>
            <w:r>
              <w:t>-</w:t>
            </w:r>
          </w:p>
        </w:tc>
      </w:tr>
      <w:tr w:rsidR="00454A29" w14:paraId="64CF247A" w14:textId="77777777">
        <w:tc>
          <w:tcPr>
            <w:tcW w:w="567" w:type="dxa"/>
            <w:vMerge/>
          </w:tcPr>
          <w:p w14:paraId="60DBED02" w14:textId="77777777" w:rsidR="00454A29" w:rsidRDefault="00454A29"/>
        </w:tc>
        <w:tc>
          <w:tcPr>
            <w:tcW w:w="3345" w:type="dxa"/>
            <w:vMerge/>
          </w:tcPr>
          <w:p w14:paraId="70205524" w14:textId="77777777" w:rsidR="00454A29" w:rsidRDefault="00454A29"/>
        </w:tc>
        <w:tc>
          <w:tcPr>
            <w:tcW w:w="1701" w:type="dxa"/>
            <w:vAlign w:val="center"/>
          </w:tcPr>
          <w:p w14:paraId="236F4A1B" w14:textId="77777777" w:rsidR="00454A29" w:rsidRDefault="00454A29">
            <w:pPr>
              <w:pStyle w:val="ConsPlusNormal"/>
              <w:jc w:val="center"/>
            </w:pPr>
            <w:r>
              <w:t>2022</w:t>
            </w:r>
          </w:p>
        </w:tc>
        <w:tc>
          <w:tcPr>
            <w:tcW w:w="1417" w:type="dxa"/>
            <w:vMerge/>
          </w:tcPr>
          <w:p w14:paraId="7F7AA361" w14:textId="77777777" w:rsidR="00454A29" w:rsidRDefault="00454A29"/>
        </w:tc>
        <w:tc>
          <w:tcPr>
            <w:tcW w:w="2204" w:type="dxa"/>
            <w:vMerge/>
          </w:tcPr>
          <w:p w14:paraId="1EDABB93" w14:textId="77777777" w:rsidR="00454A29" w:rsidRDefault="00454A29"/>
        </w:tc>
        <w:tc>
          <w:tcPr>
            <w:tcW w:w="1417" w:type="dxa"/>
            <w:vMerge/>
          </w:tcPr>
          <w:p w14:paraId="485AA947" w14:textId="77777777" w:rsidR="00454A29" w:rsidRDefault="00454A29"/>
        </w:tc>
        <w:tc>
          <w:tcPr>
            <w:tcW w:w="2324" w:type="dxa"/>
            <w:vMerge/>
          </w:tcPr>
          <w:p w14:paraId="591CEF72" w14:textId="77777777" w:rsidR="00454A29" w:rsidRDefault="00454A29"/>
        </w:tc>
        <w:tc>
          <w:tcPr>
            <w:tcW w:w="1701" w:type="dxa"/>
            <w:vAlign w:val="center"/>
          </w:tcPr>
          <w:p w14:paraId="461ABC69" w14:textId="77777777" w:rsidR="00454A29" w:rsidRDefault="00454A29">
            <w:pPr>
              <w:pStyle w:val="ConsPlusNormal"/>
              <w:jc w:val="center"/>
            </w:pPr>
            <w:r>
              <w:t>-</w:t>
            </w:r>
          </w:p>
        </w:tc>
        <w:tc>
          <w:tcPr>
            <w:tcW w:w="1814" w:type="dxa"/>
            <w:vAlign w:val="center"/>
          </w:tcPr>
          <w:p w14:paraId="0ABAD360" w14:textId="77777777" w:rsidR="00454A29" w:rsidRDefault="00454A29">
            <w:pPr>
              <w:pStyle w:val="ConsPlusNormal"/>
              <w:jc w:val="center"/>
            </w:pPr>
            <w:r>
              <w:t>-</w:t>
            </w:r>
          </w:p>
        </w:tc>
        <w:tc>
          <w:tcPr>
            <w:tcW w:w="1701" w:type="dxa"/>
            <w:vAlign w:val="center"/>
          </w:tcPr>
          <w:p w14:paraId="3C4BCB70" w14:textId="77777777" w:rsidR="00454A29" w:rsidRDefault="00454A29">
            <w:pPr>
              <w:pStyle w:val="ConsPlusNormal"/>
              <w:jc w:val="center"/>
            </w:pPr>
            <w:r>
              <w:t>-</w:t>
            </w:r>
          </w:p>
        </w:tc>
        <w:tc>
          <w:tcPr>
            <w:tcW w:w="1701" w:type="dxa"/>
            <w:vAlign w:val="center"/>
          </w:tcPr>
          <w:p w14:paraId="42C85F0E" w14:textId="77777777" w:rsidR="00454A29" w:rsidRDefault="00454A29">
            <w:pPr>
              <w:pStyle w:val="ConsPlusNormal"/>
              <w:jc w:val="center"/>
            </w:pPr>
            <w:r>
              <w:t>-</w:t>
            </w:r>
          </w:p>
        </w:tc>
        <w:tc>
          <w:tcPr>
            <w:tcW w:w="1814" w:type="dxa"/>
            <w:vAlign w:val="center"/>
          </w:tcPr>
          <w:p w14:paraId="1BF36DFC" w14:textId="77777777" w:rsidR="00454A29" w:rsidRDefault="00454A29">
            <w:pPr>
              <w:pStyle w:val="ConsPlusNormal"/>
              <w:jc w:val="center"/>
            </w:pPr>
            <w:r>
              <w:t>-</w:t>
            </w:r>
          </w:p>
        </w:tc>
      </w:tr>
      <w:tr w:rsidR="00454A29" w14:paraId="4EEE0C37" w14:textId="77777777">
        <w:tc>
          <w:tcPr>
            <w:tcW w:w="567" w:type="dxa"/>
            <w:vMerge/>
          </w:tcPr>
          <w:p w14:paraId="79B7448B" w14:textId="77777777" w:rsidR="00454A29" w:rsidRDefault="00454A29"/>
        </w:tc>
        <w:tc>
          <w:tcPr>
            <w:tcW w:w="3345" w:type="dxa"/>
            <w:vMerge/>
          </w:tcPr>
          <w:p w14:paraId="06CD7BBD" w14:textId="77777777" w:rsidR="00454A29" w:rsidRDefault="00454A29"/>
        </w:tc>
        <w:tc>
          <w:tcPr>
            <w:tcW w:w="1701" w:type="dxa"/>
            <w:vAlign w:val="center"/>
          </w:tcPr>
          <w:p w14:paraId="1410C33A" w14:textId="77777777" w:rsidR="00454A29" w:rsidRDefault="00454A29">
            <w:pPr>
              <w:pStyle w:val="ConsPlusNormal"/>
              <w:jc w:val="center"/>
            </w:pPr>
            <w:r>
              <w:t>2023</w:t>
            </w:r>
          </w:p>
        </w:tc>
        <w:tc>
          <w:tcPr>
            <w:tcW w:w="1417" w:type="dxa"/>
            <w:vMerge/>
          </w:tcPr>
          <w:p w14:paraId="621E3912" w14:textId="77777777" w:rsidR="00454A29" w:rsidRDefault="00454A29"/>
        </w:tc>
        <w:tc>
          <w:tcPr>
            <w:tcW w:w="2204" w:type="dxa"/>
            <w:vMerge/>
          </w:tcPr>
          <w:p w14:paraId="3C805FCD" w14:textId="77777777" w:rsidR="00454A29" w:rsidRDefault="00454A29"/>
        </w:tc>
        <w:tc>
          <w:tcPr>
            <w:tcW w:w="1417" w:type="dxa"/>
            <w:vMerge/>
          </w:tcPr>
          <w:p w14:paraId="23E80368" w14:textId="77777777" w:rsidR="00454A29" w:rsidRDefault="00454A29"/>
        </w:tc>
        <w:tc>
          <w:tcPr>
            <w:tcW w:w="2324" w:type="dxa"/>
            <w:vMerge/>
          </w:tcPr>
          <w:p w14:paraId="16D76EA5" w14:textId="77777777" w:rsidR="00454A29" w:rsidRDefault="00454A29"/>
        </w:tc>
        <w:tc>
          <w:tcPr>
            <w:tcW w:w="1701" w:type="dxa"/>
            <w:vAlign w:val="center"/>
          </w:tcPr>
          <w:p w14:paraId="61BC7CD1" w14:textId="77777777" w:rsidR="00454A29" w:rsidRDefault="00454A29">
            <w:pPr>
              <w:pStyle w:val="ConsPlusNormal"/>
              <w:jc w:val="center"/>
            </w:pPr>
            <w:r>
              <w:t>112 928,81</w:t>
            </w:r>
          </w:p>
        </w:tc>
        <w:tc>
          <w:tcPr>
            <w:tcW w:w="1814" w:type="dxa"/>
            <w:vAlign w:val="center"/>
          </w:tcPr>
          <w:p w14:paraId="170D45B4" w14:textId="77777777" w:rsidR="00454A29" w:rsidRDefault="00454A29">
            <w:pPr>
              <w:pStyle w:val="ConsPlusNormal"/>
              <w:jc w:val="center"/>
            </w:pPr>
            <w:r>
              <w:t>112 928,81</w:t>
            </w:r>
          </w:p>
        </w:tc>
        <w:tc>
          <w:tcPr>
            <w:tcW w:w="1701" w:type="dxa"/>
            <w:vAlign w:val="center"/>
          </w:tcPr>
          <w:p w14:paraId="7337D3D1" w14:textId="77777777" w:rsidR="00454A29" w:rsidRDefault="00454A29">
            <w:pPr>
              <w:pStyle w:val="ConsPlusNormal"/>
              <w:jc w:val="center"/>
            </w:pPr>
            <w:r>
              <w:t>-</w:t>
            </w:r>
          </w:p>
        </w:tc>
        <w:tc>
          <w:tcPr>
            <w:tcW w:w="1701" w:type="dxa"/>
            <w:vAlign w:val="center"/>
          </w:tcPr>
          <w:p w14:paraId="3FC5F96E" w14:textId="77777777" w:rsidR="00454A29" w:rsidRDefault="00454A29">
            <w:pPr>
              <w:pStyle w:val="ConsPlusNormal"/>
              <w:jc w:val="center"/>
            </w:pPr>
            <w:r>
              <w:t>-</w:t>
            </w:r>
          </w:p>
        </w:tc>
        <w:tc>
          <w:tcPr>
            <w:tcW w:w="1814" w:type="dxa"/>
            <w:vAlign w:val="center"/>
          </w:tcPr>
          <w:p w14:paraId="28FEB838" w14:textId="77777777" w:rsidR="00454A29" w:rsidRDefault="00454A29">
            <w:pPr>
              <w:pStyle w:val="ConsPlusNormal"/>
              <w:jc w:val="center"/>
            </w:pPr>
            <w:r>
              <w:t>-</w:t>
            </w:r>
          </w:p>
        </w:tc>
      </w:tr>
      <w:tr w:rsidR="00454A29" w14:paraId="1D76EF18" w14:textId="77777777">
        <w:tc>
          <w:tcPr>
            <w:tcW w:w="567" w:type="dxa"/>
            <w:vMerge/>
          </w:tcPr>
          <w:p w14:paraId="1D578BF3" w14:textId="77777777" w:rsidR="00454A29" w:rsidRDefault="00454A29"/>
        </w:tc>
        <w:tc>
          <w:tcPr>
            <w:tcW w:w="3345" w:type="dxa"/>
            <w:vMerge/>
          </w:tcPr>
          <w:p w14:paraId="42A0A751" w14:textId="77777777" w:rsidR="00454A29" w:rsidRDefault="00454A29"/>
        </w:tc>
        <w:tc>
          <w:tcPr>
            <w:tcW w:w="1701" w:type="dxa"/>
            <w:vAlign w:val="center"/>
          </w:tcPr>
          <w:p w14:paraId="283FB78D" w14:textId="77777777" w:rsidR="00454A29" w:rsidRDefault="00454A29">
            <w:pPr>
              <w:pStyle w:val="ConsPlusNormal"/>
              <w:jc w:val="center"/>
            </w:pPr>
            <w:r>
              <w:t>2024</w:t>
            </w:r>
          </w:p>
        </w:tc>
        <w:tc>
          <w:tcPr>
            <w:tcW w:w="1417" w:type="dxa"/>
            <w:vMerge/>
          </w:tcPr>
          <w:p w14:paraId="2F716FFE" w14:textId="77777777" w:rsidR="00454A29" w:rsidRDefault="00454A29"/>
        </w:tc>
        <w:tc>
          <w:tcPr>
            <w:tcW w:w="2204" w:type="dxa"/>
            <w:vMerge/>
          </w:tcPr>
          <w:p w14:paraId="2DE23FF6" w14:textId="77777777" w:rsidR="00454A29" w:rsidRDefault="00454A29"/>
        </w:tc>
        <w:tc>
          <w:tcPr>
            <w:tcW w:w="1417" w:type="dxa"/>
            <w:vMerge/>
          </w:tcPr>
          <w:p w14:paraId="5BBC8E4B" w14:textId="77777777" w:rsidR="00454A29" w:rsidRDefault="00454A29"/>
        </w:tc>
        <w:tc>
          <w:tcPr>
            <w:tcW w:w="2324" w:type="dxa"/>
            <w:vMerge/>
          </w:tcPr>
          <w:p w14:paraId="6BABA97C" w14:textId="77777777" w:rsidR="00454A29" w:rsidRDefault="00454A29"/>
        </w:tc>
        <w:tc>
          <w:tcPr>
            <w:tcW w:w="1701" w:type="dxa"/>
            <w:vAlign w:val="center"/>
          </w:tcPr>
          <w:p w14:paraId="3391FCDF" w14:textId="77777777" w:rsidR="00454A29" w:rsidRDefault="00454A29">
            <w:pPr>
              <w:pStyle w:val="ConsPlusNormal"/>
              <w:jc w:val="center"/>
            </w:pPr>
            <w:r>
              <w:t>190 375,36</w:t>
            </w:r>
          </w:p>
        </w:tc>
        <w:tc>
          <w:tcPr>
            <w:tcW w:w="1814" w:type="dxa"/>
            <w:vAlign w:val="center"/>
          </w:tcPr>
          <w:p w14:paraId="029ED68D" w14:textId="77777777" w:rsidR="00454A29" w:rsidRDefault="00454A29">
            <w:pPr>
              <w:pStyle w:val="ConsPlusNormal"/>
              <w:jc w:val="center"/>
            </w:pPr>
            <w:r>
              <w:t>190 375,36</w:t>
            </w:r>
          </w:p>
        </w:tc>
        <w:tc>
          <w:tcPr>
            <w:tcW w:w="1701" w:type="dxa"/>
            <w:vAlign w:val="center"/>
          </w:tcPr>
          <w:p w14:paraId="2299830A" w14:textId="77777777" w:rsidR="00454A29" w:rsidRDefault="00454A29">
            <w:pPr>
              <w:pStyle w:val="ConsPlusNormal"/>
              <w:jc w:val="center"/>
            </w:pPr>
            <w:r>
              <w:t>-</w:t>
            </w:r>
          </w:p>
        </w:tc>
        <w:tc>
          <w:tcPr>
            <w:tcW w:w="1701" w:type="dxa"/>
            <w:vAlign w:val="center"/>
          </w:tcPr>
          <w:p w14:paraId="7644E9BA" w14:textId="77777777" w:rsidR="00454A29" w:rsidRDefault="00454A29">
            <w:pPr>
              <w:pStyle w:val="ConsPlusNormal"/>
              <w:jc w:val="center"/>
            </w:pPr>
            <w:r>
              <w:t>-</w:t>
            </w:r>
          </w:p>
        </w:tc>
        <w:tc>
          <w:tcPr>
            <w:tcW w:w="1814" w:type="dxa"/>
            <w:vAlign w:val="center"/>
          </w:tcPr>
          <w:p w14:paraId="4CC78645" w14:textId="77777777" w:rsidR="00454A29" w:rsidRDefault="00454A29">
            <w:pPr>
              <w:pStyle w:val="ConsPlusNormal"/>
              <w:jc w:val="center"/>
            </w:pPr>
            <w:r>
              <w:t>-</w:t>
            </w:r>
          </w:p>
        </w:tc>
      </w:tr>
      <w:tr w:rsidR="00454A29" w14:paraId="34AB08BD" w14:textId="77777777">
        <w:tc>
          <w:tcPr>
            <w:tcW w:w="567" w:type="dxa"/>
            <w:vMerge/>
          </w:tcPr>
          <w:p w14:paraId="76BF2004" w14:textId="77777777" w:rsidR="00454A29" w:rsidRDefault="00454A29"/>
        </w:tc>
        <w:tc>
          <w:tcPr>
            <w:tcW w:w="3345" w:type="dxa"/>
            <w:vMerge/>
          </w:tcPr>
          <w:p w14:paraId="1D3C316A" w14:textId="77777777" w:rsidR="00454A29" w:rsidRDefault="00454A29"/>
        </w:tc>
        <w:tc>
          <w:tcPr>
            <w:tcW w:w="1701" w:type="dxa"/>
            <w:vAlign w:val="center"/>
          </w:tcPr>
          <w:p w14:paraId="29408201" w14:textId="77777777" w:rsidR="00454A29" w:rsidRDefault="00454A29">
            <w:pPr>
              <w:pStyle w:val="ConsPlusNormal"/>
              <w:jc w:val="center"/>
            </w:pPr>
            <w:r>
              <w:t>2025</w:t>
            </w:r>
          </w:p>
        </w:tc>
        <w:tc>
          <w:tcPr>
            <w:tcW w:w="1417" w:type="dxa"/>
            <w:vMerge/>
          </w:tcPr>
          <w:p w14:paraId="2AC839AE" w14:textId="77777777" w:rsidR="00454A29" w:rsidRDefault="00454A29"/>
        </w:tc>
        <w:tc>
          <w:tcPr>
            <w:tcW w:w="2204" w:type="dxa"/>
            <w:vMerge/>
          </w:tcPr>
          <w:p w14:paraId="5E598F77" w14:textId="77777777" w:rsidR="00454A29" w:rsidRDefault="00454A29"/>
        </w:tc>
        <w:tc>
          <w:tcPr>
            <w:tcW w:w="1417" w:type="dxa"/>
            <w:vMerge/>
          </w:tcPr>
          <w:p w14:paraId="2CE1BE78" w14:textId="77777777" w:rsidR="00454A29" w:rsidRDefault="00454A29"/>
        </w:tc>
        <w:tc>
          <w:tcPr>
            <w:tcW w:w="2324" w:type="dxa"/>
            <w:vMerge/>
          </w:tcPr>
          <w:p w14:paraId="6B54CD32" w14:textId="77777777" w:rsidR="00454A29" w:rsidRDefault="00454A29"/>
        </w:tc>
        <w:tc>
          <w:tcPr>
            <w:tcW w:w="1701" w:type="dxa"/>
            <w:vAlign w:val="center"/>
          </w:tcPr>
          <w:p w14:paraId="2F50DB92" w14:textId="77777777" w:rsidR="00454A29" w:rsidRDefault="00454A29">
            <w:pPr>
              <w:pStyle w:val="ConsPlusNormal"/>
              <w:jc w:val="center"/>
            </w:pPr>
            <w:r>
              <w:t>227 980,78</w:t>
            </w:r>
          </w:p>
        </w:tc>
        <w:tc>
          <w:tcPr>
            <w:tcW w:w="1814" w:type="dxa"/>
            <w:vAlign w:val="center"/>
          </w:tcPr>
          <w:p w14:paraId="4C0432CD" w14:textId="77777777" w:rsidR="00454A29" w:rsidRDefault="00454A29">
            <w:pPr>
              <w:pStyle w:val="ConsPlusNormal"/>
              <w:jc w:val="center"/>
            </w:pPr>
            <w:r>
              <w:t>227 980,78</w:t>
            </w:r>
          </w:p>
        </w:tc>
        <w:tc>
          <w:tcPr>
            <w:tcW w:w="1701" w:type="dxa"/>
            <w:vAlign w:val="center"/>
          </w:tcPr>
          <w:p w14:paraId="581DB63E" w14:textId="77777777" w:rsidR="00454A29" w:rsidRDefault="00454A29">
            <w:pPr>
              <w:pStyle w:val="ConsPlusNormal"/>
              <w:jc w:val="center"/>
            </w:pPr>
            <w:r>
              <w:t>-</w:t>
            </w:r>
          </w:p>
        </w:tc>
        <w:tc>
          <w:tcPr>
            <w:tcW w:w="1701" w:type="dxa"/>
            <w:vAlign w:val="center"/>
          </w:tcPr>
          <w:p w14:paraId="06E54537" w14:textId="77777777" w:rsidR="00454A29" w:rsidRDefault="00454A29">
            <w:pPr>
              <w:pStyle w:val="ConsPlusNormal"/>
              <w:jc w:val="center"/>
            </w:pPr>
            <w:r>
              <w:t>-</w:t>
            </w:r>
          </w:p>
        </w:tc>
        <w:tc>
          <w:tcPr>
            <w:tcW w:w="1814" w:type="dxa"/>
            <w:vAlign w:val="center"/>
          </w:tcPr>
          <w:p w14:paraId="249CF68B" w14:textId="77777777" w:rsidR="00454A29" w:rsidRDefault="00454A29">
            <w:pPr>
              <w:pStyle w:val="ConsPlusNormal"/>
              <w:jc w:val="center"/>
            </w:pPr>
            <w:r>
              <w:t>-</w:t>
            </w:r>
          </w:p>
        </w:tc>
      </w:tr>
      <w:tr w:rsidR="00454A29" w14:paraId="10A20270" w14:textId="77777777">
        <w:tc>
          <w:tcPr>
            <w:tcW w:w="567" w:type="dxa"/>
            <w:vMerge/>
          </w:tcPr>
          <w:p w14:paraId="207B1720" w14:textId="77777777" w:rsidR="00454A29" w:rsidRDefault="00454A29"/>
        </w:tc>
        <w:tc>
          <w:tcPr>
            <w:tcW w:w="3345" w:type="dxa"/>
            <w:vMerge/>
          </w:tcPr>
          <w:p w14:paraId="2D32DFA6" w14:textId="77777777" w:rsidR="00454A29" w:rsidRDefault="00454A29"/>
        </w:tc>
        <w:tc>
          <w:tcPr>
            <w:tcW w:w="1701" w:type="dxa"/>
            <w:vAlign w:val="center"/>
          </w:tcPr>
          <w:p w14:paraId="13BA9F8D" w14:textId="77777777" w:rsidR="00454A29" w:rsidRDefault="00454A29">
            <w:pPr>
              <w:pStyle w:val="ConsPlusNormal"/>
              <w:jc w:val="center"/>
            </w:pPr>
            <w:r>
              <w:t>2026</w:t>
            </w:r>
          </w:p>
        </w:tc>
        <w:tc>
          <w:tcPr>
            <w:tcW w:w="1417" w:type="dxa"/>
            <w:vMerge/>
          </w:tcPr>
          <w:p w14:paraId="79879932" w14:textId="77777777" w:rsidR="00454A29" w:rsidRDefault="00454A29"/>
        </w:tc>
        <w:tc>
          <w:tcPr>
            <w:tcW w:w="2204" w:type="dxa"/>
            <w:vMerge/>
          </w:tcPr>
          <w:p w14:paraId="620CFD1C" w14:textId="77777777" w:rsidR="00454A29" w:rsidRDefault="00454A29"/>
        </w:tc>
        <w:tc>
          <w:tcPr>
            <w:tcW w:w="1417" w:type="dxa"/>
            <w:vMerge/>
          </w:tcPr>
          <w:p w14:paraId="27571562" w14:textId="77777777" w:rsidR="00454A29" w:rsidRDefault="00454A29"/>
        </w:tc>
        <w:tc>
          <w:tcPr>
            <w:tcW w:w="2324" w:type="dxa"/>
            <w:vMerge/>
          </w:tcPr>
          <w:p w14:paraId="52DC0DE4" w14:textId="77777777" w:rsidR="00454A29" w:rsidRDefault="00454A29"/>
        </w:tc>
        <w:tc>
          <w:tcPr>
            <w:tcW w:w="1701" w:type="dxa"/>
            <w:vAlign w:val="center"/>
          </w:tcPr>
          <w:p w14:paraId="5F0DD3FF" w14:textId="77777777" w:rsidR="00454A29" w:rsidRDefault="00454A29">
            <w:pPr>
              <w:pStyle w:val="ConsPlusNormal"/>
              <w:jc w:val="center"/>
            </w:pPr>
            <w:r>
              <w:t>-</w:t>
            </w:r>
          </w:p>
        </w:tc>
        <w:tc>
          <w:tcPr>
            <w:tcW w:w="1814" w:type="dxa"/>
            <w:vAlign w:val="center"/>
          </w:tcPr>
          <w:p w14:paraId="308AB441" w14:textId="77777777" w:rsidR="00454A29" w:rsidRDefault="00454A29">
            <w:pPr>
              <w:pStyle w:val="ConsPlusNormal"/>
              <w:jc w:val="center"/>
            </w:pPr>
            <w:r>
              <w:t>-</w:t>
            </w:r>
          </w:p>
        </w:tc>
        <w:tc>
          <w:tcPr>
            <w:tcW w:w="1701" w:type="dxa"/>
            <w:vAlign w:val="center"/>
          </w:tcPr>
          <w:p w14:paraId="5431FA8D" w14:textId="77777777" w:rsidR="00454A29" w:rsidRDefault="00454A29">
            <w:pPr>
              <w:pStyle w:val="ConsPlusNormal"/>
              <w:jc w:val="center"/>
            </w:pPr>
            <w:r>
              <w:t>-</w:t>
            </w:r>
          </w:p>
        </w:tc>
        <w:tc>
          <w:tcPr>
            <w:tcW w:w="1701" w:type="dxa"/>
            <w:vAlign w:val="center"/>
          </w:tcPr>
          <w:p w14:paraId="1C65E45E" w14:textId="77777777" w:rsidR="00454A29" w:rsidRDefault="00454A29">
            <w:pPr>
              <w:pStyle w:val="ConsPlusNormal"/>
              <w:jc w:val="center"/>
            </w:pPr>
            <w:r>
              <w:t>-</w:t>
            </w:r>
          </w:p>
        </w:tc>
        <w:tc>
          <w:tcPr>
            <w:tcW w:w="1814" w:type="dxa"/>
            <w:vAlign w:val="center"/>
          </w:tcPr>
          <w:p w14:paraId="0BF6A844" w14:textId="77777777" w:rsidR="00454A29" w:rsidRDefault="00454A29">
            <w:pPr>
              <w:pStyle w:val="ConsPlusNormal"/>
              <w:jc w:val="center"/>
            </w:pPr>
            <w:r>
              <w:t>-</w:t>
            </w:r>
          </w:p>
        </w:tc>
      </w:tr>
      <w:tr w:rsidR="00454A29" w14:paraId="12D72AAD" w14:textId="77777777">
        <w:tc>
          <w:tcPr>
            <w:tcW w:w="567" w:type="dxa"/>
            <w:vMerge w:val="restart"/>
            <w:vAlign w:val="center"/>
          </w:tcPr>
          <w:p w14:paraId="32442BF9" w14:textId="77777777" w:rsidR="00454A29" w:rsidRDefault="00454A29">
            <w:pPr>
              <w:pStyle w:val="ConsPlusNormal"/>
              <w:jc w:val="center"/>
            </w:pPr>
            <w:r>
              <w:t>77</w:t>
            </w:r>
          </w:p>
        </w:tc>
        <w:tc>
          <w:tcPr>
            <w:tcW w:w="3345" w:type="dxa"/>
            <w:vMerge w:val="restart"/>
            <w:vAlign w:val="center"/>
          </w:tcPr>
          <w:p w14:paraId="7C57CC84" w14:textId="77777777" w:rsidR="00454A29" w:rsidRDefault="00454A29">
            <w:pPr>
              <w:pStyle w:val="ConsPlusNormal"/>
              <w:jc w:val="center"/>
            </w:pPr>
            <w:r>
              <w:t xml:space="preserve">Учебно-лабораторный корпус на 120 мест "Экспериментальная </w:t>
            </w:r>
            <w:r>
              <w:lastRenderedPageBreak/>
              <w:t>школа-интернат "Арктика" в г. Нерюнгри</w:t>
            </w:r>
          </w:p>
        </w:tc>
        <w:tc>
          <w:tcPr>
            <w:tcW w:w="1701" w:type="dxa"/>
            <w:vAlign w:val="center"/>
          </w:tcPr>
          <w:p w14:paraId="4F4DD4B8" w14:textId="77777777" w:rsidR="00454A29" w:rsidRDefault="00454A29">
            <w:pPr>
              <w:pStyle w:val="ConsPlusNormal"/>
              <w:jc w:val="center"/>
            </w:pPr>
            <w:r>
              <w:lastRenderedPageBreak/>
              <w:t>Всего:</w:t>
            </w:r>
          </w:p>
        </w:tc>
        <w:tc>
          <w:tcPr>
            <w:tcW w:w="1417" w:type="dxa"/>
            <w:vMerge w:val="restart"/>
            <w:vAlign w:val="center"/>
          </w:tcPr>
          <w:p w14:paraId="77E67EEB" w14:textId="77777777" w:rsidR="00454A29" w:rsidRDefault="00454A29">
            <w:pPr>
              <w:pStyle w:val="ConsPlusNormal"/>
              <w:jc w:val="center"/>
            </w:pPr>
            <w:r>
              <w:t>216 888,00</w:t>
            </w:r>
          </w:p>
        </w:tc>
        <w:tc>
          <w:tcPr>
            <w:tcW w:w="2204" w:type="dxa"/>
            <w:vMerge w:val="restart"/>
            <w:vAlign w:val="center"/>
          </w:tcPr>
          <w:p w14:paraId="609FE2AC" w14:textId="77777777" w:rsidR="00454A29" w:rsidRDefault="00454A29">
            <w:pPr>
              <w:pStyle w:val="ConsPlusNormal"/>
            </w:pPr>
          </w:p>
        </w:tc>
        <w:tc>
          <w:tcPr>
            <w:tcW w:w="1417" w:type="dxa"/>
            <w:vMerge w:val="restart"/>
            <w:vAlign w:val="center"/>
          </w:tcPr>
          <w:p w14:paraId="70C7D080" w14:textId="77777777" w:rsidR="00454A29" w:rsidRDefault="00454A29">
            <w:pPr>
              <w:pStyle w:val="ConsPlusNormal"/>
              <w:jc w:val="center"/>
            </w:pPr>
            <w:r>
              <w:t>120</w:t>
            </w:r>
          </w:p>
        </w:tc>
        <w:tc>
          <w:tcPr>
            <w:tcW w:w="2324" w:type="dxa"/>
            <w:vMerge w:val="restart"/>
            <w:vAlign w:val="center"/>
          </w:tcPr>
          <w:p w14:paraId="3C96AD8B"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7B8C8ED3" w14:textId="77777777" w:rsidR="00454A29" w:rsidRDefault="00454A29">
            <w:pPr>
              <w:pStyle w:val="ConsPlusNormal"/>
              <w:jc w:val="center"/>
            </w:pPr>
            <w:r>
              <w:lastRenderedPageBreak/>
              <w:t>132 988,07</w:t>
            </w:r>
          </w:p>
        </w:tc>
        <w:tc>
          <w:tcPr>
            <w:tcW w:w="1814" w:type="dxa"/>
            <w:vAlign w:val="center"/>
          </w:tcPr>
          <w:p w14:paraId="5A5032FB" w14:textId="77777777" w:rsidR="00454A29" w:rsidRDefault="00454A29">
            <w:pPr>
              <w:pStyle w:val="ConsPlusNormal"/>
              <w:jc w:val="center"/>
            </w:pPr>
            <w:r>
              <w:t>132 988,07</w:t>
            </w:r>
          </w:p>
        </w:tc>
        <w:tc>
          <w:tcPr>
            <w:tcW w:w="1701" w:type="dxa"/>
            <w:vAlign w:val="center"/>
          </w:tcPr>
          <w:p w14:paraId="51C0AA9D" w14:textId="77777777" w:rsidR="00454A29" w:rsidRDefault="00454A29">
            <w:pPr>
              <w:pStyle w:val="ConsPlusNormal"/>
              <w:jc w:val="center"/>
            </w:pPr>
            <w:r>
              <w:t>-</w:t>
            </w:r>
          </w:p>
        </w:tc>
        <w:tc>
          <w:tcPr>
            <w:tcW w:w="1701" w:type="dxa"/>
            <w:vAlign w:val="center"/>
          </w:tcPr>
          <w:p w14:paraId="675E244C" w14:textId="77777777" w:rsidR="00454A29" w:rsidRDefault="00454A29">
            <w:pPr>
              <w:pStyle w:val="ConsPlusNormal"/>
              <w:jc w:val="center"/>
            </w:pPr>
            <w:r>
              <w:t>-</w:t>
            </w:r>
          </w:p>
        </w:tc>
        <w:tc>
          <w:tcPr>
            <w:tcW w:w="1814" w:type="dxa"/>
            <w:vAlign w:val="center"/>
          </w:tcPr>
          <w:p w14:paraId="21A35A98" w14:textId="77777777" w:rsidR="00454A29" w:rsidRDefault="00454A29">
            <w:pPr>
              <w:pStyle w:val="ConsPlusNormal"/>
              <w:jc w:val="center"/>
            </w:pPr>
            <w:r>
              <w:t>-</w:t>
            </w:r>
          </w:p>
        </w:tc>
      </w:tr>
      <w:tr w:rsidR="00454A29" w14:paraId="0AF5E971" w14:textId="77777777">
        <w:tc>
          <w:tcPr>
            <w:tcW w:w="567" w:type="dxa"/>
            <w:vMerge/>
          </w:tcPr>
          <w:p w14:paraId="638CDDD3" w14:textId="77777777" w:rsidR="00454A29" w:rsidRDefault="00454A29"/>
        </w:tc>
        <w:tc>
          <w:tcPr>
            <w:tcW w:w="3345" w:type="dxa"/>
            <w:vMerge/>
          </w:tcPr>
          <w:p w14:paraId="2E26E396" w14:textId="77777777" w:rsidR="00454A29" w:rsidRDefault="00454A29"/>
        </w:tc>
        <w:tc>
          <w:tcPr>
            <w:tcW w:w="1701" w:type="dxa"/>
            <w:vAlign w:val="center"/>
          </w:tcPr>
          <w:p w14:paraId="24F5B59B" w14:textId="77777777" w:rsidR="00454A29" w:rsidRDefault="00454A29">
            <w:pPr>
              <w:pStyle w:val="ConsPlusNormal"/>
              <w:jc w:val="center"/>
            </w:pPr>
            <w:r>
              <w:t>2020</w:t>
            </w:r>
          </w:p>
        </w:tc>
        <w:tc>
          <w:tcPr>
            <w:tcW w:w="1417" w:type="dxa"/>
            <w:vMerge/>
          </w:tcPr>
          <w:p w14:paraId="0144B30F" w14:textId="77777777" w:rsidR="00454A29" w:rsidRDefault="00454A29"/>
        </w:tc>
        <w:tc>
          <w:tcPr>
            <w:tcW w:w="2204" w:type="dxa"/>
            <w:vMerge/>
          </w:tcPr>
          <w:p w14:paraId="4395FF52" w14:textId="77777777" w:rsidR="00454A29" w:rsidRDefault="00454A29"/>
        </w:tc>
        <w:tc>
          <w:tcPr>
            <w:tcW w:w="1417" w:type="dxa"/>
            <w:vMerge/>
          </w:tcPr>
          <w:p w14:paraId="6C70C175" w14:textId="77777777" w:rsidR="00454A29" w:rsidRDefault="00454A29"/>
        </w:tc>
        <w:tc>
          <w:tcPr>
            <w:tcW w:w="2324" w:type="dxa"/>
            <w:vMerge/>
          </w:tcPr>
          <w:p w14:paraId="3CBA948C" w14:textId="77777777" w:rsidR="00454A29" w:rsidRDefault="00454A29"/>
        </w:tc>
        <w:tc>
          <w:tcPr>
            <w:tcW w:w="1701" w:type="dxa"/>
            <w:vAlign w:val="center"/>
          </w:tcPr>
          <w:p w14:paraId="5CE1A031" w14:textId="77777777" w:rsidR="00454A29" w:rsidRDefault="00454A29">
            <w:pPr>
              <w:pStyle w:val="ConsPlusNormal"/>
              <w:jc w:val="center"/>
            </w:pPr>
            <w:r>
              <w:t>-</w:t>
            </w:r>
          </w:p>
        </w:tc>
        <w:tc>
          <w:tcPr>
            <w:tcW w:w="1814" w:type="dxa"/>
            <w:vAlign w:val="center"/>
          </w:tcPr>
          <w:p w14:paraId="56CB4FC4" w14:textId="77777777" w:rsidR="00454A29" w:rsidRDefault="00454A29">
            <w:pPr>
              <w:pStyle w:val="ConsPlusNormal"/>
            </w:pPr>
          </w:p>
        </w:tc>
        <w:tc>
          <w:tcPr>
            <w:tcW w:w="1701" w:type="dxa"/>
            <w:vAlign w:val="center"/>
          </w:tcPr>
          <w:p w14:paraId="50BFF57B" w14:textId="77777777" w:rsidR="00454A29" w:rsidRDefault="00454A29">
            <w:pPr>
              <w:pStyle w:val="ConsPlusNormal"/>
            </w:pPr>
          </w:p>
        </w:tc>
        <w:tc>
          <w:tcPr>
            <w:tcW w:w="1701" w:type="dxa"/>
            <w:vAlign w:val="center"/>
          </w:tcPr>
          <w:p w14:paraId="6F39635F" w14:textId="77777777" w:rsidR="00454A29" w:rsidRDefault="00454A29">
            <w:pPr>
              <w:pStyle w:val="ConsPlusNormal"/>
            </w:pPr>
          </w:p>
        </w:tc>
        <w:tc>
          <w:tcPr>
            <w:tcW w:w="1814" w:type="dxa"/>
            <w:vAlign w:val="center"/>
          </w:tcPr>
          <w:p w14:paraId="07A61EBD" w14:textId="77777777" w:rsidR="00454A29" w:rsidRDefault="00454A29">
            <w:pPr>
              <w:pStyle w:val="ConsPlusNormal"/>
            </w:pPr>
          </w:p>
        </w:tc>
      </w:tr>
      <w:tr w:rsidR="00454A29" w14:paraId="189E2187" w14:textId="77777777">
        <w:tc>
          <w:tcPr>
            <w:tcW w:w="567" w:type="dxa"/>
            <w:vMerge/>
          </w:tcPr>
          <w:p w14:paraId="1709510C" w14:textId="77777777" w:rsidR="00454A29" w:rsidRDefault="00454A29"/>
        </w:tc>
        <w:tc>
          <w:tcPr>
            <w:tcW w:w="3345" w:type="dxa"/>
            <w:vMerge/>
          </w:tcPr>
          <w:p w14:paraId="5B76E74A" w14:textId="77777777" w:rsidR="00454A29" w:rsidRDefault="00454A29"/>
        </w:tc>
        <w:tc>
          <w:tcPr>
            <w:tcW w:w="1701" w:type="dxa"/>
            <w:vAlign w:val="center"/>
          </w:tcPr>
          <w:p w14:paraId="7B93E8FB" w14:textId="77777777" w:rsidR="00454A29" w:rsidRDefault="00454A29">
            <w:pPr>
              <w:pStyle w:val="ConsPlusNormal"/>
              <w:jc w:val="center"/>
            </w:pPr>
            <w:r>
              <w:t>2021</w:t>
            </w:r>
          </w:p>
        </w:tc>
        <w:tc>
          <w:tcPr>
            <w:tcW w:w="1417" w:type="dxa"/>
            <w:vMerge/>
          </w:tcPr>
          <w:p w14:paraId="745DE2FC" w14:textId="77777777" w:rsidR="00454A29" w:rsidRDefault="00454A29"/>
        </w:tc>
        <w:tc>
          <w:tcPr>
            <w:tcW w:w="2204" w:type="dxa"/>
            <w:vMerge/>
          </w:tcPr>
          <w:p w14:paraId="50D9DCD9" w14:textId="77777777" w:rsidR="00454A29" w:rsidRDefault="00454A29"/>
        </w:tc>
        <w:tc>
          <w:tcPr>
            <w:tcW w:w="1417" w:type="dxa"/>
            <w:vMerge/>
          </w:tcPr>
          <w:p w14:paraId="50FA620C" w14:textId="77777777" w:rsidR="00454A29" w:rsidRDefault="00454A29"/>
        </w:tc>
        <w:tc>
          <w:tcPr>
            <w:tcW w:w="2324" w:type="dxa"/>
            <w:vMerge/>
          </w:tcPr>
          <w:p w14:paraId="309051CF" w14:textId="77777777" w:rsidR="00454A29" w:rsidRDefault="00454A29"/>
        </w:tc>
        <w:tc>
          <w:tcPr>
            <w:tcW w:w="1701" w:type="dxa"/>
            <w:vAlign w:val="center"/>
          </w:tcPr>
          <w:p w14:paraId="2B9F37CF" w14:textId="77777777" w:rsidR="00454A29" w:rsidRDefault="00454A29">
            <w:pPr>
              <w:pStyle w:val="ConsPlusNormal"/>
              <w:jc w:val="center"/>
            </w:pPr>
            <w:r>
              <w:t>-</w:t>
            </w:r>
          </w:p>
        </w:tc>
        <w:tc>
          <w:tcPr>
            <w:tcW w:w="1814" w:type="dxa"/>
            <w:vAlign w:val="center"/>
          </w:tcPr>
          <w:p w14:paraId="162CD03A" w14:textId="77777777" w:rsidR="00454A29" w:rsidRDefault="00454A29">
            <w:pPr>
              <w:pStyle w:val="ConsPlusNormal"/>
            </w:pPr>
          </w:p>
        </w:tc>
        <w:tc>
          <w:tcPr>
            <w:tcW w:w="1701" w:type="dxa"/>
            <w:vAlign w:val="center"/>
          </w:tcPr>
          <w:p w14:paraId="503CF43F" w14:textId="77777777" w:rsidR="00454A29" w:rsidRDefault="00454A29">
            <w:pPr>
              <w:pStyle w:val="ConsPlusNormal"/>
            </w:pPr>
          </w:p>
        </w:tc>
        <w:tc>
          <w:tcPr>
            <w:tcW w:w="1701" w:type="dxa"/>
            <w:vAlign w:val="center"/>
          </w:tcPr>
          <w:p w14:paraId="4D72F10C" w14:textId="77777777" w:rsidR="00454A29" w:rsidRDefault="00454A29">
            <w:pPr>
              <w:pStyle w:val="ConsPlusNormal"/>
            </w:pPr>
          </w:p>
        </w:tc>
        <w:tc>
          <w:tcPr>
            <w:tcW w:w="1814" w:type="dxa"/>
            <w:vAlign w:val="center"/>
          </w:tcPr>
          <w:p w14:paraId="4D96433C" w14:textId="77777777" w:rsidR="00454A29" w:rsidRDefault="00454A29">
            <w:pPr>
              <w:pStyle w:val="ConsPlusNormal"/>
            </w:pPr>
          </w:p>
        </w:tc>
      </w:tr>
      <w:tr w:rsidR="00454A29" w14:paraId="041F148E" w14:textId="77777777">
        <w:tc>
          <w:tcPr>
            <w:tcW w:w="567" w:type="dxa"/>
            <w:vMerge/>
          </w:tcPr>
          <w:p w14:paraId="0578EB86" w14:textId="77777777" w:rsidR="00454A29" w:rsidRDefault="00454A29"/>
        </w:tc>
        <w:tc>
          <w:tcPr>
            <w:tcW w:w="3345" w:type="dxa"/>
            <w:vMerge/>
          </w:tcPr>
          <w:p w14:paraId="0AF01EFE" w14:textId="77777777" w:rsidR="00454A29" w:rsidRDefault="00454A29"/>
        </w:tc>
        <w:tc>
          <w:tcPr>
            <w:tcW w:w="1701" w:type="dxa"/>
            <w:vAlign w:val="center"/>
          </w:tcPr>
          <w:p w14:paraId="38E1A94D" w14:textId="77777777" w:rsidR="00454A29" w:rsidRDefault="00454A29">
            <w:pPr>
              <w:pStyle w:val="ConsPlusNormal"/>
              <w:jc w:val="center"/>
            </w:pPr>
            <w:r>
              <w:t>2022</w:t>
            </w:r>
          </w:p>
        </w:tc>
        <w:tc>
          <w:tcPr>
            <w:tcW w:w="1417" w:type="dxa"/>
            <w:vMerge/>
          </w:tcPr>
          <w:p w14:paraId="4428BD33" w14:textId="77777777" w:rsidR="00454A29" w:rsidRDefault="00454A29"/>
        </w:tc>
        <w:tc>
          <w:tcPr>
            <w:tcW w:w="2204" w:type="dxa"/>
            <w:vMerge/>
          </w:tcPr>
          <w:p w14:paraId="69EF1947" w14:textId="77777777" w:rsidR="00454A29" w:rsidRDefault="00454A29"/>
        </w:tc>
        <w:tc>
          <w:tcPr>
            <w:tcW w:w="1417" w:type="dxa"/>
            <w:vMerge/>
          </w:tcPr>
          <w:p w14:paraId="14A9AB23" w14:textId="77777777" w:rsidR="00454A29" w:rsidRDefault="00454A29"/>
        </w:tc>
        <w:tc>
          <w:tcPr>
            <w:tcW w:w="2324" w:type="dxa"/>
            <w:vMerge/>
          </w:tcPr>
          <w:p w14:paraId="4C17183C" w14:textId="77777777" w:rsidR="00454A29" w:rsidRDefault="00454A29"/>
        </w:tc>
        <w:tc>
          <w:tcPr>
            <w:tcW w:w="1701" w:type="dxa"/>
            <w:vAlign w:val="center"/>
          </w:tcPr>
          <w:p w14:paraId="2D098A51" w14:textId="77777777" w:rsidR="00454A29" w:rsidRDefault="00454A29">
            <w:pPr>
              <w:pStyle w:val="ConsPlusNormal"/>
            </w:pPr>
          </w:p>
        </w:tc>
        <w:tc>
          <w:tcPr>
            <w:tcW w:w="1814" w:type="dxa"/>
            <w:vAlign w:val="center"/>
          </w:tcPr>
          <w:p w14:paraId="620C1B11" w14:textId="77777777" w:rsidR="00454A29" w:rsidRDefault="00454A29">
            <w:pPr>
              <w:pStyle w:val="ConsPlusNormal"/>
            </w:pPr>
          </w:p>
        </w:tc>
        <w:tc>
          <w:tcPr>
            <w:tcW w:w="1701" w:type="dxa"/>
            <w:vAlign w:val="center"/>
          </w:tcPr>
          <w:p w14:paraId="05774C9F" w14:textId="77777777" w:rsidR="00454A29" w:rsidRDefault="00454A29">
            <w:pPr>
              <w:pStyle w:val="ConsPlusNormal"/>
            </w:pPr>
          </w:p>
        </w:tc>
        <w:tc>
          <w:tcPr>
            <w:tcW w:w="1701" w:type="dxa"/>
            <w:vAlign w:val="center"/>
          </w:tcPr>
          <w:p w14:paraId="4CC32363" w14:textId="77777777" w:rsidR="00454A29" w:rsidRDefault="00454A29">
            <w:pPr>
              <w:pStyle w:val="ConsPlusNormal"/>
            </w:pPr>
          </w:p>
        </w:tc>
        <w:tc>
          <w:tcPr>
            <w:tcW w:w="1814" w:type="dxa"/>
            <w:vAlign w:val="center"/>
          </w:tcPr>
          <w:p w14:paraId="75316C92" w14:textId="77777777" w:rsidR="00454A29" w:rsidRDefault="00454A29">
            <w:pPr>
              <w:pStyle w:val="ConsPlusNormal"/>
            </w:pPr>
          </w:p>
        </w:tc>
      </w:tr>
      <w:tr w:rsidR="00454A29" w14:paraId="5A88696A" w14:textId="77777777">
        <w:tc>
          <w:tcPr>
            <w:tcW w:w="567" w:type="dxa"/>
            <w:vMerge/>
          </w:tcPr>
          <w:p w14:paraId="37643446" w14:textId="77777777" w:rsidR="00454A29" w:rsidRDefault="00454A29"/>
        </w:tc>
        <w:tc>
          <w:tcPr>
            <w:tcW w:w="3345" w:type="dxa"/>
            <w:vMerge/>
          </w:tcPr>
          <w:p w14:paraId="1A362D1C" w14:textId="77777777" w:rsidR="00454A29" w:rsidRDefault="00454A29"/>
        </w:tc>
        <w:tc>
          <w:tcPr>
            <w:tcW w:w="1701" w:type="dxa"/>
            <w:vAlign w:val="center"/>
          </w:tcPr>
          <w:p w14:paraId="2B6D502F" w14:textId="77777777" w:rsidR="00454A29" w:rsidRDefault="00454A29">
            <w:pPr>
              <w:pStyle w:val="ConsPlusNormal"/>
              <w:jc w:val="center"/>
            </w:pPr>
            <w:r>
              <w:t>2023</w:t>
            </w:r>
          </w:p>
        </w:tc>
        <w:tc>
          <w:tcPr>
            <w:tcW w:w="1417" w:type="dxa"/>
            <w:vMerge/>
          </w:tcPr>
          <w:p w14:paraId="1BA9D9B8" w14:textId="77777777" w:rsidR="00454A29" w:rsidRDefault="00454A29"/>
        </w:tc>
        <w:tc>
          <w:tcPr>
            <w:tcW w:w="2204" w:type="dxa"/>
            <w:vMerge/>
          </w:tcPr>
          <w:p w14:paraId="5E1215A0" w14:textId="77777777" w:rsidR="00454A29" w:rsidRDefault="00454A29"/>
        </w:tc>
        <w:tc>
          <w:tcPr>
            <w:tcW w:w="1417" w:type="dxa"/>
            <w:vMerge/>
          </w:tcPr>
          <w:p w14:paraId="76D47449" w14:textId="77777777" w:rsidR="00454A29" w:rsidRDefault="00454A29"/>
        </w:tc>
        <w:tc>
          <w:tcPr>
            <w:tcW w:w="2324" w:type="dxa"/>
            <w:vMerge/>
          </w:tcPr>
          <w:p w14:paraId="4F7E1A91" w14:textId="77777777" w:rsidR="00454A29" w:rsidRDefault="00454A29"/>
        </w:tc>
        <w:tc>
          <w:tcPr>
            <w:tcW w:w="1701" w:type="dxa"/>
            <w:vAlign w:val="center"/>
          </w:tcPr>
          <w:p w14:paraId="33CE04DE" w14:textId="77777777" w:rsidR="00454A29" w:rsidRDefault="00454A29">
            <w:pPr>
              <w:pStyle w:val="ConsPlusNormal"/>
              <w:jc w:val="center"/>
            </w:pPr>
            <w:r>
              <w:t>34 720,00</w:t>
            </w:r>
          </w:p>
        </w:tc>
        <w:tc>
          <w:tcPr>
            <w:tcW w:w="1814" w:type="dxa"/>
            <w:vAlign w:val="center"/>
          </w:tcPr>
          <w:p w14:paraId="019D8A79" w14:textId="77777777" w:rsidR="00454A29" w:rsidRDefault="00454A29">
            <w:pPr>
              <w:pStyle w:val="ConsPlusNormal"/>
              <w:jc w:val="center"/>
            </w:pPr>
            <w:r>
              <w:t>34 720,00</w:t>
            </w:r>
          </w:p>
        </w:tc>
        <w:tc>
          <w:tcPr>
            <w:tcW w:w="1701" w:type="dxa"/>
            <w:vAlign w:val="center"/>
          </w:tcPr>
          <w:p w14:paraId="13D604EC" w14:textId="77777777" w:rsidR="00454A29" w:rsidRDefault="00454A29">
            <w:pPr>
              <w:pStyle w:val="ConsPlusNormal"/>
            </w:pPr>
          </w:p>
        </w:tc>
        <w:tc>
          <w:tcPr>
            <w:tcW w:w="1701" w:type="dxa"/>
            <w:vAlign w:val="center"/>
          </w:tcPr>
          <w:p w14:paraId="148797B9" w14:textId="77777777" w:rsidR="00454A29" w:rsidRDefault="00454A29">
            <w:pPr>
              <w:pStyle w:val="ConsPlusNormal"/>
            </w:pPr>
          </w:p>
        </w:tc>
        <w:tc>
          <w:tcPr>
            <w:tcW w:w="1814" w:type="dxa"/>
            <w:vAlign w:val="center"/>
          </w:tcPr>
          <w:p w14:paraId="30D445D9" w14:textId="77777777" w:rsidR="00454A29" w:rsidRDefault="00454A29">
            <w:pPr>
              <w:pStyle w:val="ConsPlusNormal"/>
            </w:pPr>
          </w:p>
        </w:tc>
      </w:tr>
      <w:tr w:rsidR="00454A29" w14:paraId="45A472E4" w14:textId="77777777">
        <w:tc>
          <w:tcPr>
            <w:tcW w:w="567" w:type="dxa"/>
            <w:vMerge/>
          </w:tcPr>
          <w:p w14:paraId="3E40E5F5" w14:textId="77777777" w:rsidR="00454A29" w:rsidRDefault="00454A29"/>
        </w:tc>
        <w:tc>
          <w:tcPr>
            <w:tcW w:w="3345" w:type="dxa"/>
            <w:vMerge/>
          </w:tcPr>
          <w:p w14:paraId="5AC2AD16" w14:textId="77777777" w:rsidR="00454A29" w:rsidRDefault="00454A29"/>
        </w:tc>
        <w:tc>
          <w:tcPr>
            <w:tcW w:w="1701" w:type="dxa"/>
            <w:vAlign w:val="center"/>
          </w:tcPr>
          <w:p w14:paraId="797710F6" w14:textId="77777777" w:rsidR="00454A29" w:rsidRDefault="00454A29">
            <w:pPr>
              <w:pStyle w:val="ConsPlusNormal"/>
              <w:jc w:val="center"/>
            </w:pPr>
            <w:r>
              <w:t>2024</w:t>
            </w:r>
          </w:p>
        </w:tc>
        <w:tc>
          <w:tcPr>
            <w:tcW w:w="1417" w:type="dxa"/>
            <w:vMerge/>
          </w:tcPr>
          <w:p w14:paraId="67D2A3C0" w14:textId="77777777" w:rsidR="00454A29" w:rsidRDefault="00454A29"/>
        </w:tc>
        <w:tc>
          <w:tcPr>
            <w:tcW w:w="2204" w:type="dxa"/>
            <w:vMerge/>
          </w:tcPr>
          <w:p w14:paraId="16E0FCA8" w14:textId="77777777" w:rsidR="00454A29" w:rsidRDefault="00454A29"/>
        </w:tc>
        <w:tc>
          <w:tcPr>
            <w:tcW w:w="1417" w:type="dxa"/>
            <w:vMerge/>
          </w:tcPr>
          <w:p w14:paraId="50496ED4" w14:textId="77777777" w:rsidR="00454A29" w:rsidRDefault="00454A29"/>
        </w:tc>
        <w:tc>
          <w:tcPr>
            <w:tcW w:w="2324" w:type="dxa"/>
            <w:vMerge/>
          </w:tcPr>
          <w:p w14:paraId="2C2DA4E4" w14:textId="77777777" w:rsidR="00454A29" w:rsidRDefault="00454A29"/>
        </w:tc>
        <w:tc>
          <w:tcPr>
            <w:tcW w:w="1701" w:type="dxa"/>
            <w:vAlign w:val="center"/>
          </w:tcPr>
          <w:p w14:paraId="6E1B8B8D" w14:textId="77777777" w:rsidR="00454A29" w:rsidRDefault="00454A29">
            <w:pPr>
              <w:pStyle w:val="ConsPlusNormal"/>
              <w:jc w:val="center"/>
            </w:pPr>
            <w:r>
              <w:t>98 268,07</w:t>
            </w:r>
          </w:p>
        </w:tc>
        <w:tc>
          <w:tcPr>
            <w:tcW w:w="1814" w:type="dxa"/>
            <w:vAlign w:val="center"/>
          </w:tcPr>
          <w:p w14:paraId="31C5A06D" w14:textId="77777777" w:rsidR="00454A29" w:rsidRDefault="00454A29">
            <w:pPr>
              <w:pStyle w:val="ConsPlusNormal"/>
              <w:jc w:val="center"/>
            </w:pPr>
            <w:r>
              <w:t>98 268,07</w:t>
            </w:r>
          </w:p>
        </w:tc>
        <w:tc>
          <w:tcPr>
            <w:tcW w:w="1701" w:type="dxa"/>
            <w:vAlign w:val="center"/>
          </w:tcPr>
          <w:p w14:paraId="05A84759" w14:textId="77777777" w:rsidR="00454A29" w:rsidRDefault="00454A29">
            <w:pPr>
              <w:pStyle w:val="ConsPlusNormal"/>
            </w:pPr>
          </w:p>
        </w:tc>
        <w:tc>
          <w:tcPr>
            <w:tcW w:w="1701" w:type="dxa"/>
            <w:vAlign w:val="center"/>
          </w:tcPr>
          <w:p w14:paraId="23C5DB54" w14:textId="77777777" w:rsidR="00454A29" w:rsidRDefault="00454A29">
            <w:pPr>
              <w:pStyle w:val="ConsPlusNormal"/>
            </w:pPr>
          </w:p>
        </w:tc>
        <w:tc>
          <w:tcPr>
            <w:tcW w:w="1814" w:type="dxa"/>
            <w:vAlign w:val="center"/>
          </w:tcPr>
          <w:p w14:paraId="787BEF9E" w14:textId="77777777" w:rsidR="00454A29" w:rsidRDefault="00454A29">
            <w:pPr>
              <w:pStyle w:val="ConsPlusNormal"/>
            </w:pPr>
          </w:p>
        </w:tc>
      </w:tr>
      <w:tr w:rsidR="00454A29" w14:paraId="4A8B0F30" w14:textId="77777777">
        <w:tc>
          <w:tcPr>
            <w:tcW w:w="567" w:type="dxa"/>
            <w:vMerge/>
          </w:tcPr>
          <w:p w14:paraId="50D85D48" w14:textId="77777777" w:rsidR="00454A29" w:rsidRDefault="00454A29"/>
        </w:tc>
        <w:tc>
          <w:tcPr>
            <w:tcW w:w="3345" w:type="dxa"/>
            <w:vMerge/>
          </w:tcPr>
          <w:p w14:paraId="177F85CD" w14:textId="77777777" w:rsidR="00454A29" w:rsidRDefault="00454A29"/>
        </w:tc>
        <w:tc>
          <w:tcPr>
            <w:tcW w:w="1701" w:type="dxa"/>
            <w:vAlign w:val="center"/>
          </w:tcPr>
          <w:p w14:paraId="123CB981" w14:textId="77777777" w:rsidR="00454A29" w:rsidRDefault="00454A29">
            <w:pPr>
              <w:pStyle w:val="ConsPlusNormal"/>
              <w:jc w:val="center"/>
            </w:pPr>
            <w:r>
              <w:t>2025</w:t>
            </w:r>
          </w:p>
        </w:tc>
        <w:tc>
          <w:tcPr>
            <w:tcW w:w="1417" w:type="dxa"/>
            <w:vMerge/>
          </w:tcPr>
          <w:p w14:paraId="3EA54DE6" w14:textId="77777777" w:rsidR="00454A29" w:rsidRDefault="00454A29"/>
        </w:tc>
        <w:tc>
          <w:tcPr>
            <w:tcW w:w="2204" w:type="dxa"/>
            <w:vMerge/>
          </w:tcPr>
          <w:p w14:paraId="66AA47B2" w14:textId="77777777" w:rsidR="00454A29" w:rsidRDefault="00454A29"/>
        </w:tc>
        <w:tc>
          <w:tcPr>
            <w:tcW w:w="1417" w:type="dxa"/>
            <w:vMerge/>
          </w:tcPr>
          <w:p w14:paraId="2D8D5B05" w14:textId="77777777" w:rsidR="00454A29" w:rsidRDefault="00454A29"/>
        </w:tc>
        <w:tc>
          <w:tcPr>
            <w:tcW w:w="2324" w:type="dxa"/>
            <w:vMerge/>
          </w:tcPr>
          <w:p w14:paraId="22E9A31D" w14:textId="77777777" w:rsidR="00454A29" w:rsidRDefault="00454A29"/>
        </w:tc>
        <w:tc>
          <w:tcPr>
            <w:tcW w:w="1701" w:type="dxa"/>
            <w:vAlign w:val="center"/>
          </w:tcPr>
          <w:p w14:paraId="78235045" w14:textId="77777777" w:rsidR="00454A29" w:rsidRDefault="00454A29">
            <w:pPr>
              <w:pStyle w:val="ConsPlusNormal"/>
              <w:jc w:val="center"/>
            </w:pPr>
            <w:r>
              <w:t>-</w:t>
            </w:r>
          </w:p>
        </w:tc>
        <w:tc>
          <w:tcPr>
            <w:tcW w:w="1814" w:type="dxa"/>
            <w:vAlign w:val="center"/>
          </w:tcPr>
          <w:p w14:paraId="7DCB64DE" w14:textId="77777777" w:rsidR="00454A29" w:rsidRDefault="00454A29">
            <w:pPr>
              <w:pStyle w:val="ConsPlusNormal"/>
            </w:pPr>
          </w:p>
        </w:tc>
        <w:tc>
          <w:tcPr>
            <w:tcW w:w="1701" w:type="dxa"/>
            <w:vAlign w:val="center"/>
          </w:tcPr>
          <w:p w14:paraId="7EE997F3" w14:textId="77777777" w:rsidR="00454A29" w:rsidRDefault="00454A29">
            <w:pPr>
              <w:pStyle w:val="ConsPlusNormal"/>
            </w:pPr>
          </w:p>
        </w:tc>
        <w:tc>
          <w:tcPr>
            <w:tcW w:w="1701" w:type="dxa"/>
            <w:vAlign w:val="center"/>
          </w:tcPr>
          <w:p w14:paraId="6277367E" w14:textId="77777777" w:rsidR="00454A29" w:rsidRDefault="00454A29">
            <w:pPr>
              <w:pStyle w:val="ConsPlusNormal"/>
            </w:pPr>
          </w:p>
        </w:tc>
        <w:tc>
          <w:tcPr>
            <w:tcW w:w="1814" w:type="dxa"/>
            <w:vAlign w:val="center"/>
          </w:tcPr>
          <w:p w14:paraId="12726B4C" w14:textId="77777777" w:rsidR="00454A29" w:rsidRDefault="00454A29">
            <w:pPr>
              <w:pStyle w:val="ConsPlusNormal"/>
            </w:pPr>
          </w:p>
        </w:tc>
      </w:tr>
      <w:tr w:rsidR="00454A29" w14:paraId="7BD7C291" w14:textId="77777777">
        <w:tc>
          <w:tcPr>
            <w:tcW w:w="567" w:type="dxa"/>
            <w:vMerge/>
          </w:tcPr>
          <w:p w14:paraId="53D27057" w14:textId="77777777" w:rsidR="00454A29" w:rsidRDefault="00454A29"/>
        </w:tc>
        <w:tc>
          <w:tcPr>
            <w:tcW w:w="3345" w:type="dxa"/>
            <w:vMerge/>
          </w:tcPr>
          <w:p w14:paraId="4B2C9385" w14:textId="77777777" w:rsidR="00454A29" w:rsidRDefault="00454A29"/>
        </w:tc>
        <w:tc>
          <w:tcPr>
            <w:tcW w:w="1701" w:type="dxa"/>
            <w:vAlign w:val="center"/>
          </w:tcPr>
          <w:p w14:paraId="08242DF6" w14:textId="77777777" w:rsidR="00454A29" w:rsidRDefault="00454A29">
            <w:pPr>
              <w:pStyle w:val="ConsPlusNormal"/>
              <w:jc w:val="center"/>
            </w:pPr>
            <w:r>
              <w:t>2026</w:t>
            </w:r>
          </w:p>
        </w:tc>
        <w:tc>
          <w:tcPr>
            <w:tcW w:w="1417" w:type="dxa"/>
            <w:vMerge/>
          </w:tcPr>
          <w:p w14:paraId="6F03E545" w14:textId="77777777" w:rsidR="00454A29" w:rsidRDefault="00454A29"/>
        </w:tc>
        <w:tc>
          <w:tcPr>
            <w:tcW w:w="2204" w:type="dxa"/>
            <w:vMerge/>
          </w:tcPr>
          <w:p w14:paraId="037F7D09" w14:textId="77777777" w:rsidR="00454A29" w:rsidRDefault="00454A29"/>
        </w:tc>
        <w:tc>
          <w:tcPr>
            <w:tcW w:w="1417" w:type="dxa"/>
            <w:vMerge/>
          </w:tcPr>
          <w:p w14:paraId="4CEC6436" w14:textId="77777777" w:rsidR="00454A29" w:rsidRDefault="00454A29"/>
        </w:tc>
        <w:tc>
          <w:tcPr>
            <w:tcW w:w="2324" w:type="dxa"/>
            <w:vMerge/>
          </w:tcPr>
          <w:p w14:paraId="23CD5053" w14:textId="77777777" w:rsidR="00454A29" w:rsidRDefault="00454A29"/>
        </w:tc>
        <w:tc>
          <w:tcPr>
            <w:tcW w:w="1701" w:type="dxa"/>
            <w:vAlign w:val="center"/>
          </w:tcPr>
          <w:p w14:paraId="168F386D" w14:textId="77777777" w:rsidR="00454A29" w:rsidRDefault="00454A29">
            <w:pPr>
              <w:pStyle w:val="ConsPlusNormal"/>
              <w:jc w:val="center"/>
            </w:pPr>
            <w:r>
              <w:t>-</w:t>
            </w:r>
          </w:p>
        </w:tc>
        <w:tc>
          <w:tcPr>
            <w:tcW w:w="1814" w:type="dxa"/>
            <w:vAlign w:val="center"/>
          </w:tcPr>
          <w:p w14:paraId="0F7470E3" w14:textId="77777777" w:rsidR="00454A29" w:rsidRDefault="00454A29">
            <w:pPr>
              <w:pStyle w:val="ConsPlusNormal"/>
            </w:pPr>
          </w:p>
        </w:tc>
        <w:tc>
          <w:tcPr>
            <w:tcW w:w="1701" w:type="dxa"/>
            <w:vAlign w:val="center"/>
          </w:tcPr>
          <w:p w14:paraId="011B6C4A" w14:textId="77777777" w:rsidR="00454A29" w:rsidRDefault="00454A29">
            <w:pPr>
              <w:pStyle w:val="ConsPlusNormal"/>
            </w:pPr>
          </w:p>
        </w:tc>
        <w:tc>
          <w:tcPr>
            <w:tcW w:w="1701" w:type="dxa"/>
            <w:vAlign w:val="center"/>
          </w:tcPr>
          <w:p w14:paraId="141612BA" w14:textId="77777777" w:rsidR="00454A29" w:rsidRDefault="00454A29">
            <w:pPr>
              <w:pStyle w:val="ConsPlusNormal"/>
            </w:pPr>
          </w:p>
        </w:tc>
        <w:tc>
          <w:tcPr>
            <w:tcW w:w="1814" w:type="dxa"/>
            <w:vAlign w:val="center"/>
          </w:tcPr>
          <w:p w14:paraId="2DD913C2" w14:textId="77777777" w:rsidR="00454A29" w:rsidRDefault="00454A29">
            <w:pPr>
              <w:pStyle w:val="ConsPlusNormal"/>
            </w:pPr>
          </w:p>
        </w:tc>
      </w:tr>
      <w:tr w:rsidR="00454A29" w14:paraId="0C473EA6" w14:textId="77777777">
        <w:tc>
          <w:tcPr>
            <w:tcW w:w="567" w:type="dxa"/>
            <w:vMerge w:val="restart"/>
            <w:vAlign w:val="center"/>
          </w:tcPr>
          <w:p w14:paraId="1F502901" w14:textId="77777777" w:rsidR="00454A29" w:rsidRDefault="00454A29">
            <w:pPr>
              <w:pStyle w:val="ConsPlusNormal"/>
              <w:jc w:val="center"/>
            </w:pPr>
            <w:r>
              <w:t>78</w:t>
            </w:r>
          </w:p>
        </w:tc>
        <w:tc>
          <w:tcPr>
            <w:tcW w:w="3345" w:type="dxa"/>
            <w:vMerge w:val="restart"/>
            <w:vAlign w:val="center"/>
          </w:tcPr>
          <w:p w14:paraId="6141D205" w14:textId="77777777" w:rsidR="00454A29" w:rsidRDefault="00454A29">
            <w:pPr>
              <w:pStyle w:val="ConsPlusNormal"/>
              <w:jc w:val="center"/>
            </w:pPr>
            <w:r>
              <w:t>Строительство спортзала для ГБПОУ РС(Я) "Вилюйский педагогический колледж имени Н.Г. Чернышевского"</w:t>
            </w:r>
          </w:p>
        </w:tc>
        <w:tc>
          <w:tcPr>
            <w:tcW w:w="1701" w:type="dxa"/>
            <w:vAlign w:val="center"/>
          </w:tcPr>
          <w:p w14:paraId="3522EEAC" w14:textId="77777777" w:rsidR="00454A29" w:rsidRDefault="00454A29">
            <w:pPr>
              <w:pStyle w:val="ConsPlusNormal"/>
              <w:jc w:val="center"/>
            </w:pPr>
            <w:r>
              <w:t>Всего:</w:t>
            </w:r>
          </w:p>
        </w:tc>
        <w:tc>
          <w:tcPr>
            <w:tcW w:w="1417" w:type="dxa"/>
            <w:vMerge w:val="restart"/>
            <w:vAlign w:val="center"/>
          </w:tcPr>
          <w:p w14:paraId="182B02B2" w14:textId="77777777" w:rsidR="00454A29" w:rsidRDefault="00454A29">
            <w:pPr>
              <w:pStyle w:val="ConsPlusNormal"/>
              <w:jc w:val="center"/>
            </w:pPr>
            <w:r>
              <w:t>38 452,70</w:t>
            </w:r>
          </w:p>
        </w:tc>
        <w:tc>
          <w:tcPr>
            <w:tcW w:w="2204" w:type="dxa"/>
            <w:vMerge w:val="restart"/>
            <w:vAlign w:val="center"/>
          </w:tcPr>
          <w:p w14:paraId="451321B5" w14:textId="77777777" w:rsidR="00454A29" w:rsidRDefault="00454A29">
            <w:pPr>
              <w:pStyle w:val="ConsPlusNormal"/>
              <w:jc w:val="center"/>
            </w:pPr>
            <w:r>
              <w:t>имеется</w:t>
            </w:r>
          </w:p>
        </w:tc>
        <w:tc>
          <w:tcPr>
            <w:tcW w:w="1417" w:type="dxa"/>
            <w:vMerge w:val="restart"/>
            <w:vAlign w:val="center"/>
          </w:tcPr>
          <w:p w14:paraId="0A00FBB1" w14:textId="77777777" w:rsidR="00454A29" w:rsidRDefault="00454A29">
            <w:pPr>
              <w:pStyle w:val="ConsPlusNormal"/>
              <w:jc w:val="center"/>
            </w:pPr>
            <w:r>
              <w:t>-</w:t>
            </w:r>
          </w:p>
        </w:tc>
        <w:tc>
          <w:tcPr>
            <w:tcW w:w="2324" w:type="dxa"/>
            <w:vMerge w:val="restart"/>
            <w:vAlign w:val="center"/>
          </w:tcPr>
          <w:p w14:paraId="62C46E1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4C082C9" w14:textId="77777777" w:rsidR="00454A29" w:rsidRDefault="00454A29">
            <w:pPr>
              <w:pStyle w:val="ConsPlusNormal"/>
              <w:jc w:val="center"/>
            </w:pPr>
            <w:r>
              <w:t>22 398,70</w:t>
            </w:r>
          </w:p>
        </w:tc>
        <w:tc>
          <w:tcPr>
            <w:tcW w:w="1814" w:type="dxa"/>
            <w:vAlign w:val="center"/>
          </w:tcPr>
          <w:p w14:paraId="08661A5C" w14:textId="77777777" w:rsidR="00454A29" w:rsidRDefault="00454A29">
            <w:pPr>
              <w:pStyle w:val="ConsPlusNormal"/>
              <w:jc w:val="center"/>
            </w:pPr>
            <w:r>
              <w:t>22 398,70</w:t>
            </w:r>
          </w:p>
        </w:tc>
        <w:tc>
          <w:tcPr>
            <w:tcW w:w="1701" w:type="dxa"/>
            <w:vAlign w:val="center"/>
          </w:tcPr>
          <w:p w14:paraId="500DFDE2" w14:textId="77777777" w:rsidR="00454A29" w:rsidRDefault="00454A29">
            <w:pPr>
              <w:pStyle w:val="ConsPlusNormal"/>
              <w:jc w:val="center"/>
            </w:pPr>
            <w:r>
              <w:t>-</w:t>
            </w:r>
          </w:p>
        </w:tc>
        <w:tc>
          <w:tcPr>
            <w:tcW w:w="1701" w:type="dxa"/>
            <w:vAlign w:val="center"/>
          </w:tcPr>
          <w:p w14:paraId="43D1A55D" w14:textId="77777777" w:rsidR="00454A29" w:rsidRDefault="00454A29">
            <w:pPr>
              <w:pStyle w:val="ConsPlusNormal"/>
              <w:jc w:val="center"/>
            </w:pPr>
            <w:r>
              <w:t>-</w:t>
            </w:r>
          </w:p>
        </w:tc>
        <w:tc>
          <w:tcPr>
            <w:tcW w:w="1814" w:type="dxa"/>
            <w:vAlign w:val="center"/>
          </w:tcPr>
          <w:p w14:paraId="5CC1A797" w14:textId="77777777" w:rsidR="00454A29" w:rsidRDefault="00454A29">
            <w:pPr>
              <w:pStyle w:val="ConsPlusNormal"/>
              <w:jc w:val="center"/>
            </w:pPr>
            <w:r>
              <w:t>-</w:t>
            </w:r>
          </w:p>
        </w:tc>
      </w:tr>
      <w:tr w:rsidR="00454A29" w14:paraId="0DD60369" w14:textId="77777777">
        <w:tc>
          <w:tcPr>
            <w:tcW w:w="567" w:type="dxa"/>
            <w:vMerge/>
          </w:tcPr>
          <w:p w14:paraId="243B2446" w14:textId="77777777" w:rsidR="00454A29" w:rsidRDefault="00454A29"/>
        </w:tc>
        <w:tc>
          <w:tcPr>
            <w:tcW w:w="3345" w:type="dxa"/>
            <w:vMerge/>
          </w:tcPr>
          <w:p w14:paraId="0BEB4D3A" w14:textId="77777777" w:rsidR="00454A29" w:rsidRDefault="00454A29"/>
        </w:tc>
        <w:tc>
          <w:tcPr>
            <w:tcW w:w="1701" w:type="dxa"/>
            <w:vAlign w:val="center"/>
          </w:tcPr>
          <w:p w14:paraId="5CFE5B99" w14:textId="77777777" w:rsidR="00454A29" w:rsidRDefault="00454A29">
            <w:pPr>
              <w:pStyle w:val="ConsPlusNormal"/>
              <w:jc w:val="center"/>
            </w:pPr>
            <w:r>
              <w:t>2020</w:t>
            </w:r>
          </w:p>
        </w:tc>
        <w:tc>
          <w:tcPr>
            <w:tcW w:w="1417" w:type="dxa"/>
            <w:vMerge/>
          </w:tcPr>
          <w:p w14:paraId="250CD8E5" w14:textId="77777777" w:rsidR="00454A29" w:rsidRDefault="00454A29"/>
        </w:tc>
        <w:tc>
          <w:tcPr>
            <w:tcW w:w="2204" w:type="dxa"/>
            <w:vMerge/>
          </w:tcPr>
          <w:p w14:paraId="78E99AA3" w14:textId="77777777" w:rsidR="00454A29" w:rsidRDefault="00454A29"/>
        </w:tc>
        <w:tc>
          <w:tcPr>
            <w:tcW w:w="1417" w:type="dxa"/>
            <w:vMerge/>
          </w:tcPr>
          <w:p w14:paraId="34DE4A10" w14:textId="77777777" w:rsidR="00454A29" w:rsidRDefault="00454A29"/>
        </w:tc>
        <w:tc>
          <w:tcPr>
            <w:tcW w:w="2324" w:type="dxa"/>
            <w:vMerge/>
          </w:tcPr>
          <w:p w14:paraId="4ECC228D" w14:textId="77777777" w:rsidR="00454A29" w:rsidRDefault="00454A29"/>
        </w:tc>
        <w:tc>
          <w:tcPr>
            <w:tcW w:w="1701" w:type="dxa"/>
            <w:vAlign w:val="center"/>
          </w:tcPr>
          <w:p w14:paraId="085653CB" w14:textId="77777777" w:rsidR="00454A29" w:rsidRDefault="00454A29">
            <w:pPr>
              <w:pStyle w:val="ConsPlusNormal"/>
              <w:jc w:val="center"/>
            </w:pPr>
            <w:r>
              <w:t>-</w:t>
            </w:r>
          </w:p>
        </w:tc>
        <w:tc>
          <w:tcPr>
            <w:tcW w:w="1814" w:type="dxa"/>
            <w:vAlign w:val="center"/>
          </w:tcPr>
          <w:p w14:paraId="72D93AAE" w14:textId="77777777" w:rsidR="00454A29" w:rsidRDefault="00454A29">
            <w:pPr>
              <w:pStyle w:val="ConsPlusNormal"/>
            </w:pPr>
          </w:p>
        </w:tc>
        <w:tc>
          <w:tcPr>
            <w:tcW w:w="1701" w:type="dxa"/>
            <w:vAlign w:val="center"/>
          </w:tcPr>
          <w:p w14:paraId="12AD1E4C" w14:textId="77777777" w:rsidR="00454A29" w:rsidRDefault="00454A29">
            <w:pPr>
              <w:pStyle w:val="ConsPlusNormal"/>
            </w:pPr>
          </w:p>
        </w:tc>
        <w:tc>
          <w:tcPr>
            <w:tcW w:w="1701" w:type="dxa"/>
            <w:vAlign w:val="center"/>
          </w:tcPr>
          <w:p w14:paraId="16701178" w14:textId="77777777" w:rsidR="00454A29" w:rsidRDefault="00454A29">
            <w:pPr>
              <w:pStyle w:val="ConsPlusNormal"/>
            </w:pPr>
          </w:p>
        </w:tc>
        <w:tc>
          <w:tcPr>
            <w:tcW w:w="1814" w:type="dxa"/>
            <w:vAlign w:val="center"/>
          </w:tcPr>
          <w:p w14:paraId="645AE37C" w14:textId="77777777" w:rsidR="00454A29" w:rsidRDefault="00454A29">
            <w:pPr>
              <w:pStyle w:val="ConsPlusNormal"/>
            </w:pPr>
          </w:p>
        </w:tc>
      </w:tr>
      <w:tr w:rsidR="00454A29" w14:paraId="7D0CC27D" w14:textId="77777777">
        <w:tc>
          <w:tcPr>
            <w:tcW w:w="567" w:type="dxa"/>
            <w:vMerge/>
          </w:tcPr>
          <w:p w14:paraId="664D942E" w14:textId="77777777" w:rsidR="00454A29" w:rsidRDefault="00454A29"/>
        </w:tc>
        <w:tc>
          <w:tcPr>
            <w:tcW w:w="3345" w:type="dxa"/>
            <w:vMerge/>
          </w:tcPr>
          <w:p w14:paraId="493A9C06" w14:textId="77777777" w:rsidR="00454A29" w:rsidRDefault="00454A29"/>
        </w:tc>
        <w:tc>
          <w:tcPr>
            <w:tcW w:w="1701" w:type="dxa"/>
            <w:vAlign w:val="center"/>
          </w:tcPr>
          <w:p w14:paraId="688080EC" w14:textId="77777777" w:rsidR="00454A29" w:rsidRDefault="00454A29">
            <w:pPr>
              <w:pStyle w:val="ConsPlusNormal"/>
              <w:jc w:val="center"/>
            </w:pPr>
            <w:r>
              <w:t>2021</w:t>
            </w:r>
          </w:p>
        </w:tc>
        <w:tc>
          <w:tcPr>
            <w:tcW w:w="1417" w:type="dxa"/>
            <w:vMerge/>
          </w:tcPr>
          <w:p w14:paraId="24DEC969" w14:textId="77777777" w:rsidR="00454A29" w:rsidRDefault="00454A29"/>
        </w:tc>
        <w:tc>
          <w:tcPr>
            <w:tcW w:w="2204" w:type="dxa"/>
            <w:vMerge/>
          </w:tcPr>
          <w:p w14:paraId="11E1754C" w14:textId="77777777" w:rsidR="00454A29" w:rsidRDefault="00454A29"/>
        </w:tc>
        <w:tc>
          <w:tcPr>
            <w:tcW w:w="1417" w:type="dxa"/>
            <w:vMerge/>
          </w:tcPr>
          <w:p w14:paraId="115DA846" w14:textId="77777777" w:rsidR="00454A29" w:rsidRDefault="00454A29"/>
        </w:tc>
        <w:tc>
          <w:tcPr>
            <w:tcW w:w="2324" w:type="dxa"/>
            <w:vMerge/>
          </w:tcPr>
          <w:p w14:paraId="510D39BB" w14:textId="77777777" w:rsidR="00454A29" w:rsidRDefault="00454A29"/>
        </w:tc>
        <w:tc>
          <w:tcPr>
            <w:tcW w:w="1701" w:type="dxa"/>
            <w:vAlign w:val="center"/>
          </w:tcPr>
          <w:p w14:paraId="036C8C89" w14:textId="77777777" w:rsidR="00454A29" w:rsidRDefault="00454A29">
            <w:pPr>
              <w:pStyle w:val="ConsPlusNormal"/>
              <w:jc w:val="center"/>
            </w:pPr>
            <w:r>
              <w:t>-</w:t>
            </w:r>
          </w:p>
        </w:tc>
        <w:tc>
          <w:tcPr>
            <w:tcW w:w="1814" w:type="dxa"/>
            <w:vAlign w:val="center"/>
          </w:tcPr>
          <w:p w14:paraId="76580FD3" w14:textId="77777777" w:rsidR="00454A29" w:rsidRDefault="00454A29">
            <w:pPr>
              <w:pStyle w:val="ConsPlusNormal"/>
            </w:pPr>
          </w:p>
        </w:tc>
        <w:tc>
          <w:tcPr>
            <w:tcW w:w="1701" w:type="dxa"/>
            <w:vAlign w:val="center"/>
          </w:tcPr>
          <w:p w14:paraId="2B640A5D" w14:textId="77777777" w:rsidR="00454A29" w:rsidRDefault="00454A29">
            <w:pPr>
              <w:pStyle w:val="ConsPlusNormal"/>
            </w:pPr>
          </w:p>
        </w:tc>
        <w:tc>
          <w:tcPr>
            <w:tcW w:w="1701" w:type="dxa"/>
            <w:vAlign w:val="center"/>
          </w:tcPr>
          <w:p w14:paraId="37EE5D3D" w14:textId="77777777" w:rsidR="00454A29" w:rsidRDefault="00454A29">
            <w:pPr>
              <w:pStyle w:val="ConsPlusNormal"/>
            </w:pPr>
          </w:p>
        </w:tc>
        <w:tc>
          <w:tcPr>
            <w:tcW w:w="1814" w:type="dxa"/>
            <w:vAlign w:val="center"/>
          </w:tcPr>
          <w:p w14:paraId="4E7BC3A0" w14:textId="77777777" w:rsidR="00454A29" w:rsidRDefault="00454A29">
            <w:pPr>
              <w:pStyle w:val="ConsPlusNormal"/>
            </w:pPr>
          </w:p>
        </w:tc>
      </w:tr>
      <w:tr w:rsidR="00454A29" w14:paraId="46968C97" w14:textId="77777777">
        <w:tc>
          <w:tcPr>
            <w:tcW w:w="567" w:type="dxa"/>
            <w:vMerge/>
          </w:tcPr>
          <w:p w14:paraId="6D8E2ECB" w14:textId="77777777" w:rsidR="00454A29" w:rsidRDefault="00454A29"/>
        </w:tc>
        <w:tc>
          <w:tcPr>
            <w:tcW w:w="3345" w:type="dxa"/>
            <w:vMerge/>
          </w:tcPr>
          <w:p w14:paraId="02A6057B" w14:textId="77777777" w:rsidR="00454A29" w:rsidRDefault="00454A29"/>
        </w:tc>
        <w:tc>
          <w:tcPr>
            <w:tcW w:w="1701" w:type="dxa"/>
            <w:vAlign w:val="center"/>
          </w:tcPr>
          <w:p w14:paraId="362CEA2B" w14:textId="77777777" w:rsidR="00454A29" w:rsidRDefault="00454A29">
            <w:pPr>
              <w:pStyle w:val="ConsPlusNormal"/>
              <w:jc w:val="center"/>
            </w:pPr>
            <w:r>
              <w:t>2022</w:t>
            </w:r>
          </w:p>
        </w:tc>
        <w:tc>
          <w:tcPr>
            <w:tcW w:w="1417" w:type="dxa"/>
            <w:vMerge/>
          </w:tcPr>
          <w:p w14:paraId="74204D16" w14:textId="77777777" w:rsidR="00454A29" w:rsidRDefault="00454A29"/>
        </w:tc>
        <w:tc>
          <w:tcPr>
            <w:tcW w:w="2204" w:type="dxa"/>
            <w:vMerge/>
          </w:tcPr>
          <w:p w14:paraId="163A3131" w14:textId="77777777" w:rsidR="00454A29" w:rsidRDefault="00454A29"/>
        </w:tc>
        <w:tc>
          <w:tcPr>
            <w:tcW w:w="1417" w:type="dxa"/>
            <w:vMerge/>
          </w:tcPr>
          <w:p w14:paraId="517DE35D" w14:textId="77777777" w:rsidR="00454A29" w:rsidRDefault="00454A29"/>
        </w:tc>
        <w:tc>
          <w:tcPr>
            <w:tcW w:w="2324" w:type="dxa"/>
            <w:vMerge/>
          </w:tcPr>
          <w:p w14:paraId="65885A53" w14:textId="77777777" w:rsidR="00454A29" w:rsidRDefault="00454A29"/>
        </w:tc>
        <w:tc>
          <w:tcPr>
            <w:tcW w:w="1701" w:type="dxa"/>
            <w:vAlign w:val="center"/>
          </w:tcPr>
          <w:p w14:paraId="3AFDFF70" w14:textId="77777777" w:rsidR="00454A29" w:rsidRDefault="00454A29">
            <w:pPr>
              <w:pStyle w:val="ConsPlusNormal"/>
            </w:pPr>
          </w:p>
        </w:tc>
        <w:tc>
          <w:tcPr>
            <w:tcW w:w="1814" w:type="dxa"/>
            <w:vAlign w:val="center"/>
          </w:tcPr>
          <w:p w14:paraId="3D3D4AFF" w14:textId="77777777" w:rsidR="00454A29" w:rsidRDefault="00454A29">
            <w:pPr>
              <w:pStyle w:val="ConsPlusNormal"/>
            </w:pPr>
          </w:p>
        </w:tc>
        <w:tc>
          <w:tcPr>
            <w:tcW w:w="1701" w:type="dxa"/>
            <w:vAlign w:val="center"/>
          </w:tcPr>
          <w:p w14:paraId="7372F445" w14:textId="77777777" w:rsidR="00454A29" w:rsidRDefault="00454A29">
            <w:pPr>
              <w:pStyle w:val="ConsPlusNormal"/>
            </w:pPr>
          </w:p>
        </w:tc>
        <w:tc>
          <w:tcPr>
            <w:tcW w:w="1701" w:type="dxa"/>
            <w:vAlign w:val="center"/>
          </w:tcPr>
          <w:p w14:paraId="1C1200E4" w14:textId="77777777" w:rsidR="00454A29" w:rsidRDefault="00454A29">
            <w:pPr>
              <w:pStyle w:val="ConsPlusNormal"/>
            </w:pPr>
          </w:p>
        </w:tc>
        <w:tc>
          <w:tcPr>
            <w:tcW w:w="1814" w:type="dxa"/>
            <w:vAlign w:val="center"/>
          </w:tcPr>
          <w:p w14:paraId="79B8EE2F" w14:textId="77777777" w:rsidR="00454A29" w:rsidRDefault="00454A29">
            <w:pPr>
              <w:pStyle w:val="ConsPlusNormal"/>
            </w:pPr>
          </w:p>
        </w:tc>
      </w:tr>
      <w:tr w:rsidR="00454A29" w14:paraId="027CC166" w14:textId="77777777">
        <w:tc>
          <w:tcPr>
            <w:tcW w:w="567" w:type="dxa"/>
            <w:vMerge/>
          </w:tcPr>
          <w:p w14:paraId="189C5F17" w14:textId="77777777" w:rsidR="00454A29" w:rsidRDefault="00454A29"/>
        </w:tc>
        <w:tc>
          <w:tcPr>
            <w:tcW w:w="3345" w:type="dxa"/>
            <w:vMerge/>
          </w:tcPr>
          <w:p w14:paraId="41F8ADDA" w14:textId="77777777" w:rsidR="00454A29" w:rsidRDefault="00454A29"/>
        </w:tc>
        <w:tc>
          <w:tcPr>
            <w:tcW w:w="1701" w:type="dxa"/>
            <w:vAlign w:val="center"/>
          </w:tcPr>
          <w:p w14:paraId="7C325C62" w14:textId="77777777" w:rsidR="00454A29" w:rsidRDefault="00454A29">
            <w:pPr>
              <w:pStyle w:val="ConsPlusNormal"/>
              <w:jc w:val="center"/>
            </w:pPr>
            <w:r>
              <w:t>2023</w:t>
            </w:r>
          </w:p>
        </w:tc>
        <w:tc>
          <w:tcPr>
            <w:tcW w:w="1417" w:type="dxa"/>
            <w:vMerge/>
          </w:tcPr>
          <w:p w14:paraId="330F13CA" w14:textId="77777777" w:rsidR="00454A29" w:rsidRDefault="00454A29"/>
        </w:tc>
        <w:tc>
          <w:tcPr>
            <w:tcW w:w="2204" w:type="dxa"/>
            <w:vMerge/>
          </w:tcPr>
          <w:p w14:paraId="6476ED58" w14:textId="77777777" w:rsidR="00454A29" w:rsidRDefault="00454A29"/>
        </w:tc>
        <w:tc>
          <w:tcPr>
            <w:tcW w:w="1417" w:type="dxa"/>
            <w:vMerge/>
          </w:tcPr>
          <w:p w14:paraId="417C3551" w14:textId="77777777" w:rsidR="00454A29" w:rsidRDefault="00454A29"/>
        </w:tc>
        <w:tc>
          <w:tcPr>
            <w:tcW w:w="2324" w:type="dxa"/>
            <w:vMerge/>
          </w:tcPr>
          <w:p w14:paraId="551630ED" w14:textId="77777777" w:rsidR="00454A29" w:rsidRDefault="00454A29"/>
        </w:tc>
        <w:tc>
          <w:tcPr>
            <w:tcW w:w="1701" w:type="dxa"/>
            <w:vAlign w:val="center"/>
          </w:tcPr>
          <w:p w14:paraId="4F5FDF65" w14:textId="77777777" w:rsidR="00454A29" w:rsidRDefault="00454A29">
            <w:pPr>
              <w:pStyle w:val="ConsPlusNormal"/>
              <w:jc w:val="center"/>
            </w:pPr>
            <w:r>
              <w:t>9 536,27</w:t>
            </w:r>
          </w:p>
        </w:tc>
        <w:tc>
          <w:tcPr>
            <w:tcW w:w="1814" w:type="dxa"/>
            <w:vAlign w:val="center"/>
          </w:tcPr>
          <w:p w14:paraId="2C0A03BA" w14:textId="77777777" w:rsidR="00454A29" w:rsidRDefault="00454A29">
            <w:pPr>
              <w:pStyle w:val="ConsPlusNormal"/>
              <w:jc w:val="center"/>
            </w:pPr>
            <w:r>
              <w:t>9 536,27</w:t>
            </w:r>
          </w:p>
        </w:tc>
        <w:tc>
          <w:tcPr>
            <w:tcW w:w="1701" w:type="dxa"/>
            <w:vAlign w:val="center"/>
          </w:tcPr>
          <w:p w14:paraId="173DCED7" w14:textId="77777777" w:rsidR="00454A29" w:rsidRDefault="00454A29">
            <w:pPr>
              <w:pStyle w:val="ConsPlusNormal"/>
            </w:pPr>
          </w:p>
        </w:tc>
        <w:tc>
          <w:tcPr>
            <w:tcW w:w="1701" w:type="dxa"/>
            <w:vAlign w:val="center"/>
          </w:tcPr>
          <w:p w14:paraId="3934C088" w14:textId="77777777" w:rsidR="00454A29" w:rsidRDefault="00454A29">
            <w:pPr>
              <w:pStyle w:val="ConsPlusNormal"/>
            </w:pPr>
          </w:p>
        </w:tc>
        <w:tc>
          <w:tcPr>
            <w:tcW w:w="1814" w:type="dxa"/>
            <w:vAlign w:val="center"/>
          </w:tcPr>
          <w:p w14:paraId="37CB049D" w14:textId="77777777" w:rsidR="00454A29" w:rsidRDefault="00454A29">
            <w:pPr>
              <w:pStyle w:val="ConsPlusNormal"/>
            </w:pPr>
          </w:p>
        </w:tc>
      </w:tr>
      <w:tr w:rsidR="00454A29" w14:paraId="78D87DBF" w14:textId="77777777">
        <w:tc>
          <w:tcPr>
            <w:tcW w:w="567" w:type="dxa"/>
            <w:vMerge/>
          </w:tcPr>
          <w:p w14:paraId="071408AD" w14:textId="77777777" w:rsidR="00454A29" w:rsidRDefault="00454A29"/>
        </w:tc>
        <w:tc>
          <w:tcPr>
            <w:tcW w:w="3345" w:type="dxa"/>
            <w:vMerge/>
          </w:tcPr>
          <w:p w14:paraId="269D852E" w14:textId="77777777" w:rsidR="00454A29" w:rsidRDefault="00454A29"/>
        </w:tc>
        <w:tc>
          <w:tcPr>
            <w:tcW w:w="1701" w:type="dxa"/>
            <w:vAlign w:val="center"/>
          </w:tcPr>
          <w:p w14:paraId="040B0641" w14:textId="77777777" w:rsidR="00454A29" w:rsidRDefault="00454A29">
            <w:pPr>
              <w:pStyle w:val="ConsPlusNormal"/>
              <w:jc w:val="center"/>
            </w:pPr>
            <w:r>
              <w:t>2024</w:t>
            </w:r>
          </w:p>
        </w:tc>
        <w:tc>
          <w:tcPr>
            <w:tcW w:w="1417" w:type="dxa"/>
            <w:vMerge/>
          </w:tcPr>
          <w:p w14:paraId="35FB99F5" w14:textId="77777777" w:rsidR="00454A29" w:rsidRDefault="00454A29"/>
        </w:tc>
        <w:tc>
          <w:tcPr>
            <w:tcW w:w="2204" w:type="dxa"/>
            <w:vMerge/>
          </w:tcPr>
          <w:p w14:paraId="104E1FE4" w14:textId="77777777" w:rsidR="00454A29" w:rsidRDefault="00454A29"/>
        </w:tc>
        <w:tc>
          <w:tcPr>
            <w:tcW w:w="1417" w:type="dxa"/>
            <w:vMerge/>
          </w:tcPr>
          <w:p w14:paraId="202A1B63" w14:textId="77777777" w:rsidR="00454A29" w:rsidRDefault="00454A29"/>
        </w:tc>
        <w:tc>
          <w:tcPr>
            <w:tcW w:w="2324" w:type="dxa"/>
            <w:vMerge/>
          </w:tcPr>
          <w:p w14:paraId="0A69693A" w14:textId="77777777" w:rsidR="00454A29" w:rsidRDefault="00454A29"/>
        </w:tc>
        <w:tc>
          <w:tcPr>
            <w:tcW w:w="1701" w:type="dxa"/>
            <w:vAlign w:val="center"/>
          </w:tcPr>
          <w:p w14:paraId="08F69BC2" w14:textId="77777777" w:rsidR="00454A29" w:rsidRDefault="00454A29">
            <w:pPr>
              <w:pStyle w:val="ConsPlusNormal"/>
              <w:jc w:val="center"/>
            </w:pPr>
            <w:r>
              <w:t>12 862,43</w:t>
            </w:r>
          </w:p>
        </w:tc>
        <w:tc>
          <w:tcPr>
            <w:tcW w:w="1814" w:type="dxa"/>
            <w:vAlign w:val="center"/>
          </w:tcPr>
          <w:p w14:paraId="77C2121A" w14:textId="77777777" w:rsidR="00454A29" w:rsidRDefault="00454A29">
            <w:pPr>
              <w:pStyle w:val="ConsPlusNormal"/>
              <w:jc w:val="center"/>
            </w:pPr>
            <w:r>
              <w:t>12 862,43</w:t>
            </w:r>
          </w:p>
        </w:tc>
        <w:tc>
          <w:tcPr>
            <w:tcW w:w="1701" w:type="dxa"/>
            <w:vAlign w:val="center"/>
          </w:tcPr>
          <w:p w14:paraId="6B3D6B39" w14:textId="77777777" w:rsidR="00454A29" w:rsidRDefault="00454A29">
            <w:pPr>
              <w:pStyle w:val="ConsPlusNormal"/>
            </w:pPr>
          </w:p>
        </w:tc>
        <w:tc>
          <w:tcPr>
            <w:tcW w:w="1701" w:type="dxa"/>
            <w:vAlign w:val="center"/>
          </w:tcPr>
          <w:p w14:paraId="2E476C9C" w14:textId="77777777" w:rsidR="00454A29" w:rsidRDefault="00454A29">
            <w:pPr>
              <w:pStyle w:val="ConsPlusNormal"/>
            </w:pPr>
          </w:p>
        </w:tc>
        <w:tc>
          <w:tcPr>
            <w:tcW w:w="1814" w:type="dxa"/>
            <w:vAlign w:val="center"/>
          </w:tcPr>
          <w:p w14:paraId="051E5CBD" w14:textId="77777777" w:rsidR="00454A29" w:rsidRDefault="00454A29">
            <w:pPr>
              <w:pStyle w:val="ConsPlusNormal"/>
            </w:pPr>
          </w:p>
        </w:tc>
      </w:tr>
      <w:tr w:rsidR="00454A29" w14:paraId="394BDB62" w14:textId="77777777">
        <w:tc>
          <w:tcPr>
            <w:tcW w:w="567" w:type="dxa"/>
            <w:vMerge/>
          </w:tcPr>
          <w:p w14:paraId="245D0658" w14:textId="77777777" w:rsidR="00454A29" w:rsidRDefault="00454A29"/>
        </w:tc>
        <w:tc>
          <w:tcPr>
            <w:tcW w:w="3345" w:type="dxa"/>
            <w:vMerge/>
          </w:tcPr>
          <w:p w14:paraId="1FC91E7C" w14:textId="77777777" w:rsidR="00454A29" w:rsidRDefault="00454A29"/>
        </w:tc>
        <w:tc>
          <w:tcPr>
            <w:tcW w:w="1701" w:type="dxa"/>
            <w:vAlign w:val="center"/>
          </w:tcPr>
          <w:p w14:paraId="01A33D96" w14:textId="77777777" w:rsidR="00454A29" w:rsidRDefault="00454A29">
            <w:pPr>
              <w:pStyle w:val="ConsPlusNormal"/>
              <w:jc w:val="center"/>
            </w:pPr>
            <w:r>
              <w:t>2025</w:t>
            </w:r>
          </w:p>
        </w:tc>
        <w:tc>
          <w:tcPr>
            <w:tcW w:w="1417" w:type="dxa"/>
            <w:vMerge/>
          </w:tcPr>
          <w:p w14:paraId="6E7E625B" w14:textId="77777777" w:rsidR="00454A29" w:rsidRDefault="00454A29"/>
        </w:tc>
        <w:tc>
          <w:tcPr>
            <w:tcW w:w="2204" w:type="dxa"/>
            <w:vMerge/>
          </w:tcPr>
          <w:p w14:paraId="0190261D" w14:textId="77777777" w:rsidR="00454A29" w:rsidRDefault="00454A29"/>
        </w:tc>
        <w:tc>
          <w:tcPr>
            <w:tcW w:w="1417" w:type="dxa"/>
            <w:vMerge/>
          </w:tcPr>
          <w:p w14:paraId="1212D884" w14:textId="77777777" w:rsidR="00454A29" w:rsidRDefault="00454A29"/>
        </w:tc>
        <w:tc>
          <w:tcPr>
            <w:tcW w:w="2324" w:type="dxa"/>
            <w:vMerge/>
          </w:tcPr>
          <w:p w14:paraId="7808F959" w14:textId="77777777" w:rsidR="00454A29" w:rsidRDefault="00454A29"/>
        </w:tc>
        <w:tc>
          <w:tcPr>
            <w:tcW w:w="1701" w:type="dxa"/>
            <w:vAlign w:val="center"/>
          </w:tcPr>
          <w:p w14:paraId="0B52B5EC" w14:textId="77777777" w:rsidR="00454A29" w:rsidRDefault="00454A29">
            <w:pPr>
              <w:pStyle w:val="ConsPlusNormal"/>
              <w:jc w:val="center"/>
            </w:pPr>
            <w:r>
              <w:t>-</w:t>
            </w:r>
          </w:p>
        </w:tc>
        <w:tc>
          <w:tcPr>
            <w:tcW w:w="1814" w:type="dxa"/>
            <w:vAlign w:val="center"/>
          </w:tcPr>
          <w:p w14:paraId="7F19CDDC" w14:textId="77777777" w:rsidR="00454A29" w:rsidRDefault="00454A29">
            <w:pPr>
              <w:pStyle w:val="ConsPlusNormal"/>
            </w:pPr>
          </w:p>
        </w:tc>
        <w:tc>
          <w:tcPr>
            <w:tcW w:w="1701" w:type="dxa"/>
            <w:vAlign w:val="center"/>
          </w:tcPr>
          <w:p w14:paraId="1BFB7ACB" w14:textId="77777777" w:rsidR="00454A29" w:rsidRDefault="00454A29">
            <w:pPr>
              <w:pStyle w:val="ConsPlusNormal"/>
            </w:pPr>
          </w:p>
        </w:tc>
        <w:tc>
          <w:tcPr>
            <w:tcW w:w="1701" w:type="dxa"/>
            <w:vAlign w:val="center"/>
          </w:tcPr>
          <w:p w14:paraId="19A2799E" w14:textId="77777777" w:rsidR="00454A29" w:rsidRDefault="00454A29">
            <w:pPr>
              <w:pStyle w:val="ConsPlusNormal"/>
            </w:pPr>
          </w:p>
        </w:tc>
        <w:tc>
          <w:tcPr>
            <w:tcW w:w="1814" w:type="dxa"/>
            <w:vAlign w:val="center"/>
          </w:tcPr>
          <w:p w14:paraId="09205AE6" w14:textId="77777777" w:rsidR="00454A29" w:rsidRDefault="00454A29">
            <w:pPr>
              <w:pStyle w:val="ConsPlusNormal"/>
            </w:pPr>
          </w:p>
        </w:tc>
      </w:tr>
      <w:tr w:rsidR="00454A29" w14:paraId="327017F4" w14:textId="77777777">
        <w:tc>
          <w:tcPr>
            <w:tcW w:w="567" w:type="dxa"/>
            <w:vMerge/>
          </w:tcPr>
          <w:p w14:paraId="2E2C106D" w14:textId="77777777" w:rsidR="00454A29" w:rsidRDefault="00454A29"/>
        </w:tc>
        <w:tc>
          <w:tcPr>
            <w:tcW w:w="3345" w:type="dxa"/>
            <w:vMerge/>
          </w:tcPr>
          <w:p w14:paraId="6B7EE68F" w14:textId="77777777" w:rsidR="00454A29" w:rsidRDefault="00454A29"/>
        </w:tc>
        <w:tc>
          <w:tcPr>
            <w:tcW w:w="1701" w:type="dxa"/>
            <w:vAlign w:val="center"/>
          </w:tcPr>
          <w:p w14:paraId="7E5FE84B" w14:textId="77777777" w:rsidR="00454A29" w:rsidRDefault="00454A29">
            <w:pPr>
              <w:pStyle w:val="ConsPlusNormal"/>
              <w:jc w:val="center"/>
            </w:pPr>
            <w:r>
              <w:t>2026</w:t>
            </w:r>
          </w:p>
        </w:tc>
        <w:tc>
          <w:tcPr>
            <w:tcW w:w="1417" w:type="dxa"/>
            <w:vMerge/>
          </w:tcPr>
          <w:p w14:paraId="405F7843" w14:textId="77777777" w:rsidR="00454A29" w:rsidRDefault="00454A29"/>
        </w:tc>
        <w:tc>
          <w:tcPr>
            <w:tcW w:w="2204" w:type="dxa"/>
            <w:vMerge/>
          </w:tcPr>
          <w:p w14:paraId="2995754A" w14:textId="77777777" w:rsidR="00454A29" w:rsidRDefault="00454A29"/>
        </w:tc>
        <w:tc>
          <w:tcPr>
            <w:tcW w:w="1417" w:type="dxa"/>
            <w:vMerge/>
          </w:tcPr>
          <w:p w14:paraId="65C14E47" w14:textId="77777777" w:rsidR="00454A29" w:rsidRDefault="00454A29"/>
        </w:tc>
        <w:tc>
          <w:tcPr>
            <w:tcW w:w="2324" w:type="dxa"/>
            <w:vMerge/>
          </w:tcPr>
          <w:p w14:paraId="43E4F50D" w14:textId="77777777" w:rsidR="00454A29" w:rsidRDefault="00454A29"/>
        </w:tc>
        <w:tc>
          <w:tcPr>
            <w:tcW w:w="1701" w:type="dxa"/>
            <w:vAlign w:val="center"/>
          </w:tcPr>
          <w:p w14:paraId="4199C5D8" w14:textId="77777777" w:rsidR="00454A29" w:rsidRDefault="00454A29">
            <w:pPr>
              <w:pStyle w:val="ConsPlusNormal"/>
              <w:jc w:val="center"/>
            </w:pPr>
            <w:r>
              <w:t>-</w:t>
            </w:r>
          </w:p>
        </w:tc>
        <w:tc>
          <w:tcPr>
            <w:tcW w:w="1814" w:type="dxa"/>
            <w:vAlign w:val="center"/>
          </w:tcPr>
          <w:p w14:paraId="4347CC4E" w14:textId="77777777" w:rsidR="00454A29" w:rsidRDefault="00454A29">
            <w:pPr>
              <w:pStyle w:val="ConsPlusNormal"/>
            </w:pPr>
          </w:p>
        </w:tc>
        <w:tc>
          <w:tcPr>
            <w:tcW w:w="1701" w:type="dxa"/>
            <w:vAlign w:val="center"/>
          </w:tcPr>
          <w:p w14:paraId="3475A833" w14:textId="77777777" w:rsidR="00454A29" w:rsidRDefault="00454A29">
            <w:pPr>
              <w:pStyle w:val="ConsPlusNormal"/>
            </w:pPr>
          </w:p>
        </w:tc>
        <w:tc>
          <w:tcPr>
            <w:tcW w:w="1701" w:type="dxa"/>
            <w:vAlign w:val="center"/>
          </w:tcPr>
          <w:p w14:paraId="20C27A88" w14:textId="77777777" w:rsidR="00454A29" w:rsidRDefault="00454A29">
            <w:pPr>
              <w:pStyle w:val="ConsPlusNormal"/>
            </w:pPr>
          </w:p>
        </w:tc>
        <w:tc>
          <w:tcPr>
            <w:tcW w:w="1814" w:type="dxa"/>
            <w:vAlign w:val="center"/>
          </w:tcPr>
          <w:p w14:paraId="5FE36A41" w14:textId="77777777" w:rsidR="00454A29" w:rsidRDefault="00454A29">
            <w:pPr>
              <w:pStyle w:val="ConsPlusNormal"/>
            </w:pPr>
          </w:p>
        </w:tc>
      </w:tr>
      <w:tr w:rsidR="00454A29" w14:paraId="45BE1D1C" w14:textId="77777777">
        <w:tc>
          <w:tcPr>
            <w:tcW w:w="567" w:type="dxa"/>
            <w:vMerge w:val="restart"/>
            <w:vAlign w:val="center"/>
          </w:tcPr>
          <w:p w14:paraId="1153CB67" w14:textId="77777777" w:rsidR="00454A29" w:rsidRDefault="00454A29">
            <w:pPr>
              <w:pStyle w:val="ConsPlusNormal"/>
              <w:jc w:val="center"/>
            </w:pPr>
            <w:r>
              <w:t>79</w:t>
            </w:r>
          </w:p>
        </w:tc>
        <w:tc>
          <w:tcPr>
            <w:tcW w:w="3345" w:type="dxa"/>
            <w:vMerge w:val="restart"/>
            <w:vAlign w:val="center"/>
          </w:tcPr>
          <w:p w14:paraId="56AEE723" w14:textId="77777777" w:rsidR="00454A29" w:rsidRDefault="00454A29">
            <w:pPr>
              <w:pStyle w:val="ConsPlusNormal"/>
              <w:jc w:val="center"/>
            </w:pPr>
            <w:r>
              <w:t>Строительство спортзала для ГКОУ РС(Я) Республиканская специальная (коррекционная) общеобразовательная школа интернат 1 вида, по адресу ул. Кузьмина, 36.</w:t>
            </w:r>
          </w:p>
        </w:tc>
        <w:tc>
          <w:tcPr>
            <w:tcW w:w="1701" w:type="dxa"/>
            <w:vAlign w:val="center"/>
          </w:tcPr>
          <w:p w14:paraId="0EE616D0" w14:textId="77777777" w:rsidR="00454A29" w:rsidRDefault="00454A29">
            <w:pPr>
              <w:pStyle w:val="ConsPlusNormal"/>
              <w:jc w:val="center"/>
            </w:pPr>
            <w:r>
              <w:t>Всего:</w:t>
            </w:r>
          </w:p>
        </w:tc>
        <w:tc>
          <w:tcPr>
            <w:tcW w:w="1417" w:type="dxa"/>
            <w:vMerge w:val="restart"/>
            <w:vAlign w:val="center"/>
          </w:tcPr>
          <w:p w14:paraId="2C05EF06" w14:textId="77777777" w:rsidR="00454A29" w:rsidRDefault="00454A29">
            <w:pPr>
              <w:pStyle w:val="ConsPlusNormal"/>
              <w:jc w:val="center"/>
            </w:pPr>
            <w:r>
              <w:t>38 452,70</w:t>
            </w:r>
          </w:p>
        </w:tc>
        <w:tc>
          <w:tcPr>
            <w:tcW w:w="2204" w:type="dxa"/>
            <w:vMerge w:val="restart"/>
            <w:vAlign w:val="center"/>
          </w:tcPr>
          <w:p w14:paraId="7AAF7B43" w14:textId="77777777" w:rsidR="00454A29" w:rsidRDefault="00454A29">
            <w:pPr>
              <w:pStyle w:val="ConsPlusNormal"/>
              <w:jc w:val="center"/>
            </w:pPr>
            <w:r>
              <w:t>имеется</w:t>
            </w:r>
          </w:p>
        </w:tc>
        <w:tc>
          <w:tcPr>
            <w:tcW w:w="1417" w:type="dxa"/>
            <w:vMerge w:val="restart"/>
            <w:vAlign w:val="center"/>
          </w:tcPr>
          <w:p w14:paraId="3918C17C" w14:textId="77777777" w:rsidR="00454A29" w:rsidRDefault="00454A29">
            <w:pPr>
              <w:pStyle w:val="ConsPlusNormal"/>
              <w:jc w:val="center"/>
            </w:pPr>
            <w:r>
              <w:t>-</w:t>
            </w:r>
          </w:p>
        </w:tc>
        <w:tc>
          <w:tcPr>
            <w:tcW w:w="2324" w:type="dxa"/>
            <w:vMerge w:val="restart"/>
            <w:vAlign w:val="center"/>
          </w:tcPr>
          <w:p w14:paraId="05C38D8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A19924B" w14:textId="77777777" w:rsidR="00454A29" w:rsidRDefault="00454A29">
            <w:pPr>
              <w:pStyle w:val="ConsPlusNormal"/>
              <w:jc w:val="center"/>
            </w:pPr>
            <w:r>
              <w:t>22 398,70</w:t>
            </w:r>
          </w:p>
        </w:tc>
        <w:tc>
          <w:tcPr>
            <w:tcW w:w="1814" w:type="dxa"/>
            <w:vAlign w:val="center"/>
          </w:tcPr>
          <w:p w14:paraId="020E12B4" w14:textId="77777777" w:rsidR="00454A29" w:rsidRDefault="00454A29">
            <w:pPr>
              <w:pStyle w:val="ConsPlusNormal"/>
              <w:jc w:val="center"/>
            </w:pPr>
            <w:r>
              <w:t>22 398,70</w:t>
            </w:r>
          </w:p>
        </w:tc>
        <w:tc>
          <w:tcPr>
            <w:tcW w:w="1701" w:type="dxa"/>
            <w:vAlign w:val="center"/>
          </w:tcPr>
          <w:p w14:paraId="70F0337E" w14:textId="77777777" w:rsidR="00454A29" w:rsidRDefault="00454A29">
            <w:pPr>
              <w:pStyle w:val="ConsPlusNormal"/>
              <w:jc w:val="center"/>
            </w:pPr>
            <w:r>
              <w:t>-</w:t>
            </w:r>
          </w:p>
        </w:tc>
        <w:tc>
          <w:tcPr>
            <w:tcW w:w="1701" w:type="dxa"/>
            <w:vAlign w:val="center"/>
          </w:tcPr>
          <w:p w14:paraId="49F45A24" w14:textId="77777777" w:rsidR="00454A29" w:rsidRDefault="00454A29">
            <w:pPr>
              <w:pStyle w:val="ConsPlusNormal"/>
              <w:jc w:val="center"/>
            </w:pPr>
            <w:r>
              <w:t>-</w:t>
            </w:r>
          </w:p>
        </w:tc>
        <w:tc>
          <w:tcPr>
            <w:tcW w:w="1814" w:type="dxa"/>
            <w:vAlign w:val="center"/>
          </w:tcPr>
          <w:p w14:paraId="3E33011A" w14:textId="77777777" w:rsidR="00454A29" w:rsidRDefault="00454A29">
            <w:pPr>
              <w:pStyle w:val="ConsPlusNormal"/>
              <w:jc w:val="center"/>
            </w:pPr>
            <w:r>
              <w:t>-</w:t>
            </w:r>
          </w:p>
        </w:tc>
      </w:tr>
      <w:tr w:rsidR="00454A29" w14:paraId="447ABF2D" w14:textId="77777777">
        <w:tc>
          <w:tcPr>
            <w:tcW w:w="567" w:type="dxa"/>
            <w:vMerge/>
          </w:tcPr>
          <w:p w14:paraId="296F8CC5" w14:textId="77777777" w:rsidR="00454A29" w:rsidRDefault="00454A29"/>
        </w:tc>
        <w:tc>
          <w:tcPr>
            <w:tcW w:w="3345" w:type="dxa"/>
            <w:vMerge/>
          </w:tcPr>
          <w:p w14:paraId="377833FD" w14:textId="77777777" w:rsidR="00454A29" w:rsidRDefault="00454A29"/>
        </w:tc>
        <w:tc>
          <w:tcPr>
            <w:tcW w:w="1701" w:type="dxa"/>
            <w:vAlign w:val="center"/>
          </w:tcPr>
          <w:p w14:paraId="196F4342" w14:textId="77777777" w:rsidR="00454A29" w:rsidRDefault="00454A29">
            <w:pPr>
              <w:pStyle w:val="ConsPlusNormal"/>
              <w:jc w:val="center"/>
            </w:pPr>
            <w:r>
              <w:t>2020</w:t>
            </w:r>
          </w:p>
        </w:tc>
        <w:tc>
          <w:tcPr>
            <w:tcW w:w="1417" w:type="dxa"/>
            <w:vMerge/>
          </w:tcPr>
          <w:p w14:paraId="5C74065A" w14:textId="77777777" w:rsidR="00454A29" w:rsidRDefault="00454A29"/>
        </w:tc>
        <w:tc>
          <w:tcPr>
            <w:tcW w:w="2204" w:type="dxa"/>
            <w:vMerge/>
          </w:tcPr>
          <w:p w14:paraId="6A24A08E" w14:textId="77777777" w:rsidR="00454A29" w:rsidRDefault="00454A29"/>
        </w:tc>
        <w:tc>
          <w:tcPr>
            <w:tcW w:w="1417" w:type="dxa"/>
            <w:vMerge/>
          </w:tcPr>
          <w:p w14:paraId="1A305D13" w14:textId="77777777" w:rsidR="00454A29" w:rsidRDefault="00454A29"/>
        </w:tc>
        <w:tc>
          <w:tcPr>
            <w:tcW w:w="2324" w:type="dxa"/>
            <w:vMerge/>
          </w:tcPr>
          <w:p w14:paraId="4C6F748C" w14:textId="77777777" w:rsidR="00454A29" w:rsidRDefault="00454A29"/>
        </w:tc>
        <w:tc>
          <w:tcPr>
            <w:tcW w:w="1701" w:type="dxa"/>
            <w:vAlign w:val="center"/>
          </w:tcPr>
          <w:p w14:paraId="6AD7061C" w14:textId="77777777" w:rsidR="00454A29" w:rsidRDefault="00454A29">
            <w:pPr>
              <w:pStyle w:val="ConsPlusNormal"/>
              <w:jc w:val="center"/>
            </w:pPr>
            <w:r>
              <w:t>-</w:t>
            </w:r>
          </w:p>
        </w:tc>
        <w:tc>
          <w:tcPr>
            <w:tcW w:w="1814" w:type="dxa"/>
            <w:vAlign w:val="center"/>
          </w:tcPr>
          <w:p w14:paraId="5612458D" w14:textId="77777777" w:rsidR="00454A29" w:rsidRDefault="00454A29">
            <w:pPr>
              <w:pStyle w:val="ConsPlusNormal"/>
            </w:pPr>
          </w:p>
        </w:tc>
        <w:tc>
          <w:tcPr>
            <w:tcW w:w="1701" w:type="dxa"/>
            <w:vAlign w:val="center"/>
          </w:tcPr>
          <w:p w14:paraId="160302EC" w14:textId="77777777" w:rsidR="00454A29" w:rsidRDefault="00454A29">
            <w:pPr>
              <w:pStyle w:val="ConsPlusNormal"/>
            </w:pPr>
          </w:p>
        </w:tc>
        <w:tc>
          <w:tcPr>
            <w:tcW w:w="1701" w:type="dxa"/>
            <w:vAlign w:val="center"/>
          </w:tcPr>
          <w:p w14:paraId="0C93E344" w14:textId="77777777" w:rsidR="00454A29" w:rsidRDefault="00454A29">
            <w:pPr>
              <w:pStyle w:val="ConsPlusNormal"/>
            </w:pPr>
          </w:p>
        </w:tc>
        <w:tc>
          <w:tcPr>
            <w:tcW w:w="1814" w:type="dxa"/>
            <w:vAlign w:val="center"/>
          </w:tcPr>
          <w:p w14:paraId="20825EC7" w14:textId="77777777" w:rsidR="00454A29" w:rsidRDefault="00454A29">
            <w:pPr>
              <w:pStyle w:val="ConsPlusNormal"/>
            </w:pPr>
          </w:p>
        </w:tc>
      </w:tr>
      <w:tr w:rsidR="00454A29" w14:paraId="354F0542" w14:textId="77777777">
        <w:tc>
          <w:tcPr>
            <w:tcW w:w="567" w:type="dxa"/>
            <w:vMerge/>
          </w:tcPr>
          <w:p w14:paraId="3404F4BE" w14:textId="77777777" w:rsidR="00454A29" w:rsidRDefault="00454A29"/>
        </w:tc>
        <w:tc>
          <w:tcPr>
            <w:tcW w:w="3345" w:type="dxa"/>
            <w:vMerge/>
          </w:tcPr>
          <w:p w14:paraId="3D2DFD3B" w14:textId="77777777" w:rsidR="00454A29" w:rsidRDefault="00454A29"/>
        </w:tc>
        <w:tc>
          <w:tcPr>
            <w:tcW w:w="1701" w:type="dxa"/>
            <w:vAlign w:val="center"/>
          </w:tcPr>
          <w:p w14:paraId="2858A2F7" w14:textId="77777777" w:rsidR="00454A29" w:rsidRDefault="00454A29">
            <w:pPr>
              <w:pStyle w:val="ConsPlusNormal"/>
              <w:jc w:val="center"/>
            </w:pPr>
            <w:r>
              <w:t>2021</w:t>
            </w:r>
          </w:p>
        </w:tc>
        <w:tc>
          <w:tcPr>
            <w:tcW w:w="1417" w:type="dxa"/>
            <w:vMerge/>
          </w:tcPr>
          <w:p w14:paraId="6B70B219" w14:textId="77777777" w:rsidR="00454A29" w:rsidRDefault="00454A29"/>
        </w:tc>
        <w:tc>
          <w:tcPr>
            <w:tcW w:w="2204" w:type="dxa"/>
            <w:vMerge/>
          </w:tcPr>
          <w:p w14:paraId="5D6D5726" w14:textId="77777777" w:rsidR="00454A29" w:rsidRDefault="00454A29"/>
        </w:tc>
        <w:tc>
          <w:tcPr>
            <w:tcW w:w="1417" w:type="dxa"/>
            <w:vMerge/>
          </w:tcPr>
          <w:p w14:paraId="46B54690" w14:textId="77777777" w:rsidR="00454A29" w:rsidRDefault="00454A29"/>
        </w:tc>
        <w:tc>
          <w:tcPr>
            <w:tcW w:w="2324" w:type="dxa"/>
            <w:vMerge/>
          </w:tcPr>
          <w:p w14:paraId="3360E286" w14:textId="77777777" w:rsidR="00454A29" w:rsidRDefault="00454A29"/>
        </w:tc>
        <w:tc>
          <w:tcPr>
            <w:tcW w:w="1701" w:type="dxa"/>
            <w:vAlign w:val="center"/>
          </w:tcPr>
          <w:p w14:paraId="26DEEAD9" w14:textId="77777777" w:rsidR="00454A29" w:rsidRDefault="00454A29">
            <w:pPr>
              <w:pStyle w:val="ConsPlusNormal"/>
              <w:jc w:val="center"/>
            </w:pPr>
            <w:r>
              <w:t>-</w:t>
            </w:r>
          </w:p>
        </w:tc>
        <w:tc>
          <w:tcPr>
            <w:tcW w:w="1814" w:type="dxa"/>
            <w:vAlign w:val="center"/>
          </w:tcPr>
          <w:p w14:paraId="50E45B33" w14:textId="77777777" w:rsidR="00454A29" w:rsidRDefault="00454A29">
            <w:pPr>
              <w:pStyle w:val="ConsPlusNormal"/>
            </w:pPr>
          </w:p>
        </w:tc>
        <w:tc>
          <w:tcPr>
            <w:tcW w:w="1701" w:type="dxa"/>
            <w:vAlign w:val="center"/>
          </w:tcPr>
          <w:p w14:paraId="638BA198" w14:textId="77777777" w:rsidR="00454A29" w:rsidRDefault="00454A29">
            <w:pPr>
              <w:pStyle w:val="ConsPlusNormal"/>
            </w:pPr>
          </w:p>
        </w:tc>
        <w:tc>
          <w:tcPr>
            <w:tcW w:w="1701" w:type="dxa"/>
            <w:vAlign w:val="center"/>
          </w:tcPr>
          <w:p w14:paraId="7EC33DE6" w14:textId="77777777" w:rsidR="00454A29" w:rsidRDefault="00454A29">
            <w:pPr>
              <w:pStyle w:val="ConsPlusNormal"/>
            </w:pPr>
          </w:p>
        </w:tc>
        <w:tc>
          <w:tcPr>
            <w:tcW w:w="1814" w:type="dxa"/>
            <w:vAlign w:val="center"/>
          </w:tcPr>
          <w:p w14:paraId="232AA029" w14:textId="77777777" w:rsidR="00454A29" w:rsidRDefault="00454A29">
            <w:pPr>
              <w:pStyle w:val="ConsPlusNormal"/>
            </w:pPr>
          </w:p>
        </w:tc>
      </w:tr>
      <w:tr w:rsidR="00454A29" w14:paraId="28124BC8" w14:textId="77777777">
        <w:tc>
          <w:tcPr>
            <w:tcW w:w="567" w:type="dxa"/>
            <w:vMerge/>
          </w:tcPr>
          <w:p w14:paraId="33898FF1" w14:textId="77777777" w:rsidR="00454A29" w:rsidRDefault="00454A29"/>
        </w:tc>
        <w:tc>
          <w:tcPr>
            <w:tcW w:w="3345" w:type="dxa"/>
            <w:vMerge/>
          </w:tcPr>
          <w:p w14:paraId="3F63D7A8" w14:textId="77777777" w:rsidR="00454A29" w:rsidRDefault="00454A29"/>
        </w:tc>
        <w:tc>
          <w:tcPr>
            <w:tcW w:w="1701" w:type="dxa"/>
            <w:vAlign w:val="center"/>
          </w:tcPr>
          <w:p w14:paraId="74553054" w14:textId="77777777" w:rsidR="00454A29" w:rsidRDefault="00454A29">
            <w:pPr>
              <w:pStyle w:val="ConsPlusNormal"/>
              <w:jc w:val="center"/>
            </w:pPr>
            <w:r>
              <w:t>2022</w:t>
            </w:r>
          </w:p>
        </w:tc>
        <w:tc>
          <w:tcPr>
            <w:tcW w:w="1417" w:type="dxa"/>
            <w:vMerge/>
          </w:tcPr>
          <w:p w14:paraId="032C00BA" w14:textId="77777777" w:rsidR="00454A29" w:rsidRDefault="00454A29"/>
        </w:tc>
        <w:tc>
          <w:tcPr>
            <w:tcW w:w="2204" w:type="dxa"/>
            <w:vMerge/>
          </w:tcPr>
          <w:p w14:paraId="4A249CF0" w14:textId="77777777" w:rsidR="00454A29" w:rsidRDefault="00454A29"/>
        </w:tc>
        <w:tc>
          <w:tcPr>
            <w:tcW w:w="1417" w:type="dxa"/>
            <w:vMerge/>
          </w:tcPr>
          <w:p w14:paraId="79A573F6" w14:textId="77777777" w:rsidR="00454A29" w:rsidRDefault="00454A29"/>
        </w:tc>
        <w:tc>
          <w:tcPr>
            <w:tcW w:w="2324" w:type="dxa"/>
            <w:vMerge/>
          </w:tcPr>
          <w:p w14:paraId="5B5E8DDD" w14:textId="77777777" w:rsidR="00454A29" w:rsidRDefault="00454A29"/>
        </w:tc>
        <w:tc>
          <w:tcPr>
            <w:tcW w:w="1701" w:type="dxa"/>
            <w:vAlign w:val="center"/>
          </w:tcPr>
          <w:p w14:paraId="55754DE5" w14:textId="77777777" w:rsidR="00454A29" w:rsidRDefault="00454A29">
            <w:pPr>
              <w:pStyle w:val="ConsPlusNormal"/>
            </w:pPr>
          </w:p>
        </w:tc>
        <w:tc>
          <w:tcPr>
            <w:tcW w:w="1814" w:type="dxa"/>
            <w:vAlign w:val="center"/>
          </w:tcPr>
          <w:p w14:paraId="103A38A4" w14:textId="77777777" w:rsidR="00454A29" w:rsidRDefault="00454A29">
            <w:pPr>
              <w:pStyle w:val="ConsPlusNormal"/>
            </w:pPr>
          </w:p>
        </w:tc>
        <w:tc>
          <w:tcPr>
            <w:tcW w:w="1701" w:type="dxa"/>
            <w:vAlign w:val="center"/>
          </w:tcPr>
          <w:p w14:paraId="249B9504" w14:textId="77777777" w:rsidR="00454A29" w:rsidRDefault="00454A29">
            <w:pPr>
              <w:pStyle w:val="ConsPlusNormal"/>
            </w:pPr>
          </w:p>
        </w:tc>
        <w:tc>
          <w:tcPr>
            <w:tcW w:w="1701" w:type="dxa"/>
            <w:vAlign w:val="center"/>
          </w:tcPr>
          <w:p w14:paraId="7FB07F15" w14:textId="77777777" w:rsidR="00454A29" w:rsidRDefault="00454A29">
            <w:pPr>
              <w:pStyle w:val="ConsPlusNormal"/>
            </w:pPr>
          </w:p>
        </w:tc>
        <w:tc>
          <w:tcPr>
            <w:tcW w:w="1814" w:type="dxa"/>
            <w:vAlign w:val="center"/>
          </w:tcPr>
          <w:p w14:paraId="31085785" w14:textId="77777777" w:rsidR="00454A29" w:rsidRDefault="00454A29">
            <w:pPr>
              <w:pStyle w:val="ConsPlusNormal"/>
            </w:pPr>
          </w:p>
        </w:tc>
      </w:tr>
      <w:tr w:rsidR="00454A29" w14:paraId="6A138947" w14:textId="77777777">
        <w:tc>
          <w:tcPr>
            <w:tcW w:w="567" w:type="dxa"/>
            <w:vMerge/>
          </w:tcPr>
          <w:p w14:paraId="60F1EF8D" w14:textId="77777777" w:rsidR="00454A29" w:rsidRDefault="00454A29"/>
        </w:tc>
        <w:tc>
          <w:tcPr>
            <w:tcW w:w="3345" w:type="dxa"/>
            <w:vMerge/>
          </w:tcPr>
          <w:p w14:paraId="3C7FE165" w14:textId="77777777" w:rsidR="00454A29" w:rsidRDefault="00454A29"/>
        </w:tc>
        <w:tc>
          <w:tcPr>
            <w:tcW w:w="1701" w:type="dxa"/>
            <w:vAlign w:val="center"/>
          </w:tcPr>
          <w:p w14:paraId="10F6AC1F" w14:textId="77777777" w:rsidR="00454A29" w:rsidRDefault="00454A29">
            <w:pPr>
              <w:pStyle w:val="ConsPlusNormal"/>
              <w:jc w:val="center"/>
            </w:pPr>
            <w:r>
              <w:t>2023</w:t>
            </w:r>
          </w:p>
        </w:tc>
        <w:tc>
          <w:tcPr>
            <w:tcW w:w="1417" w:type="dxa"/>
            <w:vMerge/>
          </w:tcPr>
          <w:p w14:paraId="6235DF3A" w14:textId="77777777" w:rsidR="00454A29" w:rsidRDefault="00454A29"/>
        </w:tc>
        <w:tc>
          <w:tcPr>
            <w:tcW w:w="2204" w:type="dxa"/>
            <w:vMerge/>
          </w:tcPr>
          <w:p w14:paraId="47C1963A" w14:textId="77777777" w:rsidR="00454A29" w:rsidRDefault="00454A29"/>
        </w:tc>
        <w:tc>
          <w:tcPr>
            <w:tcW w:w="1417" w:type="dxa"/>
            <w:vMerge/>
          </w:tcPr>
          <w:p w14:paraId="68AD06F6" w14:textId="77777777" w:rsidR="00454A29" w:rsidRDefault="00454A29"/>
        </w:tc>
        <w:tc>
          <w:tcPr>
            <w:tcW w:w="2324" w:type="dxa"/>
            <w:vMerge/>
          </w:tcPr>
          <w:p w14:paraId="50F0E7AE" w14:textId="77777777" w:rsidR="00454A29" w:rsidRDefault="00454A29"/>
        </w:tc>
        <w:tc>
          <w:tcPr>
            <w:tcW w:w="1701" w:type="dxa"/>
            <w:vAlign w:val="center"/>
          </w:tcPr>
          <w:p w14:paraId="44F4CFA8" w14:textId="77777777" w:rsidR="00454A29" w:rsidRDefault="00454A29">
            <w:pPr>
              <w:pStyle w:val="ConsPlusNormal"/>
              <w:jc w:val="center"/>
            </w:pPr>
            <w:r>
              <w:t>9 536,27</w:t>
            </w:r>
          </w:p>
        </w:tc>
        <w:tc>
          <w:tcPr>
            <w:tcW w:w="1814" w:type="dxa"/>
            <w:vAlign w:val="center"/>
          </w:tcPr>
          <w:p w14:paraId="7ECF4AE0" w14:textId="77777777" w:rsidR="00454A29" w:rsidRDefault="00454A29">
            <w:pPr>
              <w:pStyle w:val="ConsPlusNormal"/>
              <w:jc w:val="center"/>
            </w:pPr>
            <w:r>
              <w:t>9 536,27</w:t>
            </w:r>
          </w:p>
        </w:tc>
        <w:tc>
          <w:tcPr>
            <w:tcW w:w="1701" w:type="dxa"/>
            <w:vAlign w:val="center"/>
          </w:tcPr>
          <w:p w14:paraId="71787453" w14:textId="77777777" w:rsidR="00454A29" w:rsidRDefault="00454A29">
            <w:pPr>
              <w:pStyle w:val="ConsPlusNormal"/>
            </w:pPr>
          </w:p>
        </w:tc>
        <w:tc>
          <w:tcPr>
            <w:tcW w:w="1701" w:type="dxa"/>
            <w:vAlign w:val="center"/>
          </w:tcPr>
          <w:p w14:paraId="35138538" w14:textId="77777777" w:rsidR="00454A29" w:rsidRDefault="00454A29">
            <w:pPr>
              <w:pStyle w:val="ConsPlusNormal"/>
            </w:pPr>
          </w:p>
        </w:tc>
        <w:tc>
          <w:tcPr>
            <w:tcW w:w="1814" w:type="dxa"/>
            <w:vAlign w:val="center"/>
          </w:tcPr>
          <w:p w14:paraId="48EA92EE" w14:textId="77777777" w:rsidR="00454A29" w:rsidRDefault="00454A29">
            <w:pPr>
              <w:pStyle w:val="ConsPlusNormal"/>
            </w:pPr>
          </w:p>
        </w:tc>
      </w:tr>
      <w:tr w:rsidR="00454A29" w14:paraId="5393B6B6" w14:textId="77777777">
        <w:tc>
          <w:tcPr>
            <w:tcW w:w="567" w:type="dxa"/>
            <w:vMerge/>
          </w:tcPr>
          <w:p w14:paraId="0A865A50" w14:textId="77777777" w:rsidR="00454A29" w:rsidRDefault="00454A29"/>
        </w:tc>
        <w:tc>
          <w:tcPr>
            <w:tcW w:w="3345" w:type="dxa"/>
            <w:vMerge/>
          </w:tcPr>
          <w:p w14:paraId="5F4369A8" w14:textId="77777777" w:rsidR="00454A29" w:rsidRDefault="00454A29"/>
        </w:tc>
        <w:tc>
          <w:tcPr>
            <w:tcW w:w="1701" w:type="dxa"/>
            <w:vAlign w:val="center"/>
          </w:tcPr>
          <w:p w14:paraId="38392D85" w14:textId="77777777" w:rsidR="00454A29" w:rsidRDefault="00454A29">
            <w:pPr>
              <w:pStyle w:val="ConsPlusNormal"/>
              <w:jc w:val="center"/>
            </w:pPr>
            <w:r>
              <w:t>2024</w:t>
            </w:r>
          </w:p>
        </w:tc>
        <w:tc>
          <w:tcPr>
            <w:tcW w:w="1417" w:type="dxa"/>
            <w:vMerge/>
          </w:tcPr>
          <w:p w14:paraId="049418D8" w14:textId="77777777" w:rsidR="00454A29" w:rsidRDefault="00454A29"/>
        </w:tc>
        <w:tc>
          <w:tcPr>
            <w:tcW w:w="2204" w:type="dxa"/>
            <w:vMerge/>
          </w:tcPr>
          <w:p w14:paraId="4089BB8F" w14:textId="77777777" w:rsidR="00454A29" w:rsidRDefault="00454A29"/>
        </w:tc>
        <w:tc>
          <w:tcPr>
            <w:tcW w:w="1417" w:type="dxa"/>
            <w:vMerge/>
          </w:tcPr>
          <w:p w14:paraId="7EED336A" w14:textId="77777777" w:rsidR="00454A29" w:rsidRDefault="00454A29"/>
        </w:tc>
        <w:tc>
          <w:tcPr>
            <w:tcW w:w="2324" w:type="dxa"/>
            <w:vMerge/>
          </w:tcPr>
          <w:p w14:paraId="6CDA5ADF" w14:textId="77777777" w:rsidR="00454A29" w:rsidRDefault="00454A29"/>
        </w:tc>
        <w:tc>
          <w:tcPr>
            <w:tcW w:w="1701" w:type="dxa"/>
            <w:vAlign w:val="center"/>
          </w:tcPr>
          <w:p w14:paraId="0FDD1679" w14:textId="77777777" w:rsidR="00454A29" w:rsidRDefault="00454A29">
            <w:pPr>
              <w:pStyle w:val="ConsPlusNormal"/>
              <w:jc w:val="center"/>
            </w:pPr>
            <w:r>
              <w:t>12 862,43</w:t>
            </w:r>
          </w:p>
        </w:tc>
        <w:tc>
          <w:tcPr>
            <w:tcW w:w="1814" w:type="dxa"/>
            <w:vAlign w:val="center"/>
          </w:tcPr>
          <w:p w14:paraId="2FB3E45E" w14:textId="77777777" w:rsidR="00454A29" w:rsidRDefault="00454A29">
            <w:pPr>
              <w:pStyle w:val="ConsPlusNormal"/>
              <w:jc w:val="center"/>
            </w:pPr>
            <w:r>
              <w:t>12 862,43</w:t>
            </w:r>
          </w:p>
        </w:tc>
        <w:tc>
          <w:tcPr>
            <w:tcW w:w="1701" w:type="dxa"/>
            <w:vAlign w:val="center"/>
          </w:tcPr>
          <w:p w14:paraId="234CBDC5" w14:textId="77777777" w:rsidR="00454A29" w:rsidRDefault="00454A29">
            <w:pPr>
              <w:pStyle w:val="ConsPlusNormal"/>
            </w:pPr>
          </w:p>
        </w:tc>
        <w:tc>
          <w:tcPr>
            <w:tcW w:w="1701" w:type="dxa"/>
            <w:vAlign w:val="center"/>
          </w:tcPr>
          <w:p w14:paraId="5218FD51" w14:textId="77777777" w:rsidR="00454A29" w:rsidRDefault="00454A29">
            <w:pPr>
              <w:pStyle w:val="ConsPlusNormal"/>
            </w:pPr>
          </w:p>
        </w:tc>
        <w:tc>
          <w:tcPr>
            <w:tcW w:w="1814" w:type="dxa"/>
            <w:vAlign w:val="center"/>
          </w:tcPr>
          <w:p w14:paraId="23BAE298" w14:textId="77777777" w:rsidR="00454A29" w:rsidRDefault="00454A29">
            <w:pPr>
              <w:pStyle w:val="ConsPlusNormal"/>
            </w:pPr>
          </w:p>
        </w:tc>
      </w:tr>
      <w:tr w:rsidR="00454A29" w14:paraId="72E6A324" w14:textId="77777777">
        <w:tc>
          <w:tcPr>
            <w:tcW w:w="567" w:type="dxa"/>
            <w:vMerge/>
          </w:tcPr>
          <w:p w14:paraId="64D5479F" w14:textId="77777777" w:rsidR="00454A29" w:rsidRDefault="00454A29"/>
        </w:tc>
        <w:tc>
          <w:tcPr>
            <w:tcW w:w="3345" w:type="dxa"/>
            <w:vMerge/>
          </w:tcPr>
          <w:p w14:paraId="652980FE" w14:textId="77777777" w:rsidR="00454A29" w:rsidRDefault="00454A29"/>
        </w:tc>
        <w:tc>
          <w:tcPr>
            <w:tcW w:w="1701" w:type="dxa"/>
            <w:vAlign w:val="center"/>
          </w:tcPr>
          <w:p w14:paraId="04466F23" w14:textId="77777777" w:rsidR="00454A29" w:rsidRDefault="00454A29">
            <w:pPr>
              <w:pStyle w:val="ConsPlusNormal"/>
              <w:jc w:val="center"/>
            </w:pPr>
            <w:r>
              <w:t>2025</w:t>
            </w:r>
          </w:p>
        </w:tc>
        <w:tc>
          <w:tcPr>
            <w:tcW w:w="1417" w:type="dxa"/>
            <w:vMerge/>
          </w:tcPr>
          <w:p w14:paraId="1D22438B" w14:textId="77777777" w:rsidR="00454A29" w:rsidRDefault="00454A29"/>
        </w:tc>
        <w:tc>
          <w:tcPr>
            <w:tcW w:w="2204" w:type="dxa"/>
            <w:vMerge/>
          </w:tcPr>
          <w:p w14:paraId="4685FD51" w14:textId="77777777" w:rsidR="00454A29" w:rsidRDefault="00454A29"/>
        </w:tc>
        <w:tc>
          <w:tcPr>
            <w:tcW w:w="1417" w:type="dxa"/>
            <w:vMerge/>
          </w:tcPr>
          <w:p w14:paraId="1D53F3C1" w14:textId="77777777" w:rsidR="00454A29" w:rsidRDefault="00454A29"/>
        </w:tc>
        <w:tc>
          <w:tcPr>
            <w:tcW w:w="2324" w:type="dxa"/>
            <w:vMerge/>
          </w:tcPr>
          <w:p w14:paraId="38BAF919" w14:textId="77777777" w:rsidR="00454A29" w:rsidRDefault="00454A29"/>
        </w:tc>
        <w:tc>
          <w:tcPr>
            <w:tcW w:w="1701" w:type="dxa"/>
            <w:vAlign w:val="center"/>
          </w:tcPr>
          <w:p w14:paraId="77F30095" w14:textId="77777777" w:rsidR="00454A29" w:rsidRDefault="00454A29">
            <w:pPr>
              <w:pStyle w:val="ConsPlusNormal"/>
              <w:jc w:val="center"/>
            </w:pPr>
            <w:r>
              <w:t>-</w:t>
            </w:r>
          </w:p>
        </w:tc>
        <w:tc>
          <w:tcPr>
            <w:tcW w:w="1814" w:type="dxa"/>
            <w:vAlign w:val="center"/>
          </w:tcPr>
          <w:p w14:paraId="406A3F6D" w14:textId="77777777" w:rsidR="00454A29" w:rsidRDefault="00454A29">
            <w:pPr>
              <w:pStyle w:val="ConsPlusNormal"/>
            </w:pPr>
          </w:p>
        </w:tc>
        <w:tc>
          <w:tcPr>
            <w:tcW w:w="1701" w:type="dxa"/>
            <w:vAlign w:val="center"/>
          </w:tcPr>
          <w:p w14:paraId="471016A2" w14:textId="77777777" w:rsidR="00454A29" w:rsidRDefault="00454A29">
            <w:pPr>
              <w:pStyle w:val="ConsPlusNormal"/>
            </w:pPr>
          </w:p>
        </w:tc>
        <w:tc>
          <w:tcPr>
            <w:tcW w:w="1701" w:type="dxa"/>
            <w:vAlign w:val="center"/>
          </w:tcPr>
          <w:p w14:paraId="4F411D1E" w14:textId="77777777" w:rsidR="00454A29" w:rsidRDefault="00454A29">
            <w:pPr>
              <w:pStyle w:val="ConsPlusNormal"/>
            </w:pPr>
          </w:p>
        </w:tc>
        <w:tc>
          <w:tcPr>
            <w:tcW w:w="1814" w:type="dxa"/>
            <w:vAlign w:val="center"/>
          </w:tcPr>
          <w:p w14:paraId="1006E0B1" w14:textId="77777777" w:rsidR="00454A29" w:rsidRDefault="00454A29">
            <w:pPr>
              <w:pStyle w:val="ConsPlusNormal"/>
            </w:pPr>
          </w:p>
        </w:tc>
      </w:tr>
      <w:tr w:rsidR="00454A29" w14:paraId="4CA78F97" w14:textId="77777777">
        <w:tc>
          <w:tcPr>
            <w:tcW w:w="567" w:type="dxa"/>
            <w:vMerge/>
          </w:tcPr>
          <w:p w14:paraId="150D88CD" w14:textId="77777777" w:rsidR="00454A29" w:rsidRDefault="00454A29"/>
        </w:tc>
        <w:tc>
          <w:tcPr>
            <w:tcW w:w="3345" w:type="dxa"/>
            <w:vMerge/>
          </w:tcPr>
          <w:p w14:paraId="4345E987" w14:textId="77777777" w:rsidR="00454A29" w:rsidRDefault="00454A29"/>
        </w:tc>
        <w:tc>
          <w:tcPr>
            <w:tcW w:w="1701" w:type="dxa"/>
            <w:vAlign w:val="center"/>
          </w:tcPr>
          <w:p w14:paraId="6C1CBDB3" w14:textId="77777777" w:rsidR="00454A29" w:rsidRDefault="00454A29">
            <w:pPr>
              <w:pStyle w:val="ConsPlusNormal"/>
              <w:jc w:val="center"/>
            </w:pPr>
            <w:r>
              <w:t>2026</w:t>
            </w:r>
          </w:p>
        </w:tc>
        <w:tc>
          <w:tcPr>
            <w:tcW w:w="1417" w:type="dxa"/>
            <w:vMerge/>
          </w:tcPr>
          <w:p w14:paraId="25A67E2E" w14:textId="77777777" w:rsidR="00454A29" w:rsidRDefault="00454A29"/>
        </w:tc>
        <w:tc>
          <w:tcPr>
            <w:tcW w:w="2204" w:type="dxa"/>
            <w:vMerge/>
          </w:tcPr>
          <w:p w14:paraId="7F4371D0" w14:textId="77777777" w:rsidR="00454A29" w:rsidRDefault="00454A29"/>
        </w:tc>
        <w:tc>
          <w:tcPr>
            <w:tcW w:w="1417" w:type="dxa"/>
            <w:vMerge/>
          </w:tcPr>
          <w:p w14:paraId="5972473A" w14:textId="77777777" w:rsidR="00454A29" w:rsidRDefault="00454A29"/>
        </w:tc>
        <w:tc>
          <w:tcPr>
            <w:tcW w:w="2324" w:type="dxa"/>
            <w:vMerge/>
          </w:tcPr>
          <w:p w14:paraId="10234FEB" w14:textId="77777777" w:rsidR="00454A29" w:rsidRDefault="00454A29"/>
        </w:tc>
        <w:tc>
          <w:tcPr>
            <w:tcW w:w="1701" w:type="dxa"/>
            <w:vAlign w:val="center"/>
          </w:tcPr>
          <w:p w14:paraId="35BDA7AA" w14:textId="77777777" w:rsidR="00454A29" w:rsidRDefault="00454A29">
            <w:pPr>
              <w:pStyle w:val="ConsPlusNormal"/>
              <w:jc w:val="center"/>
            </w:pPr>
            <w:r>
              <w:t>-</w:t>
            </w:r>
          </w:p>
        </w:tc>
        <w:tc>
          <w:tcPr>
            <w:tcW w:w="1814" w:type="dxa"/>
            <w:vAlign w:val="center"/>
          </w:tcPr>
          <w:p w14:paraId="47D5EE90" w14:textId="77777777" w:rsidR="00454A29" w:rsidRDefault="00454A29">
            <w:pPr>
              <w:pStyle w:val="ConsPlusNormal"/>
            </w:pPr>
          </w:p>
        </w:tc>
        <w:tc>
          <w:tcPr>
            <w:tcW w:w="1701" w:type="dxa"/>
            <w:vAlign w:val="center"/>
          </w:tcPr>
          <w:p w14:paraId="752DE0ED" w14:textId="77777777" w:rsidR="00454A29" w:rsidRDefault="00454A29">
            <w:pPr>
              <w:pStyle w:val="ConsPlusNormal"/>
            </w:pPr>
          </w:p>
        </w:tc>
        <w:tc>
          <w:tcPr>
            <w:tcW w:w="1701" w:type="dxa"/>
            <w:vAlign w:val="center"/>
          </w:tcPr>
          <w:p w14:paraId="7C1AE366" w14:textId="77777777" w:rsidR="00454A29" w:rsidRDefault="00454A29">
            <w:pPr>
              <w:pStyle w:val="ConsPlusNormal"/>
            </w:pPr>
          </w:p>
        </w:tc>
        <w:tc>
          <w:tcPr>
            <w:tcW w:w="1814" w:type="dxa"/>
            <w:vAlign w:val="center"/>
          </w:tcPr>
          <w:p w14:paraId="2E92B146" w14:textId="77777777" w:rsidR="00454A29" w:rsidRDefault="00454A29">
            <w:pPr>
              <w:pStyle w:val="ConsPlusNormal"/>
            </w:pPr>
          </w:p>
        </w:tc>
      </w:tr>
      <w:tr w:rsidR="00454A29" w14:paraId="0DD10E6A" w14:textId="77777777">
        <w:tc>
          <w:tcPr>
            <w:tcW w:w="567" w:type="dxa"/>
            <w:vMerge w:val="restart"/>
            <w:vAlign w:val="center"/>
          </w:tcPr>
          <w:p w14:paraId="533C606E" w14:textId="77777777" w:rsidR="00454A29" w:rsidRDefault="00454A29">
            <w:pPr>
              <w:pStyle w:val="ConsPlusNormal"/>
              <w:jc w:val="center"/>
            </w:pPr>
            <w:r>
              <w:t>80</w:t>
            </w:r>
          </w:p>
        </w:tc>
        <w:tc>
          <w:tcPr>
            <w:tcW w:w="3345" w:type="dxa"/>
            <w:vMerge w:val="restart"/>
            <w:vAlign w:val="center"/>
          </w:tcPr>
          <w:p w14:paraId="4E4C4E3A" w14:textId="77777777" w:rsidR="00454A29" w:rsidRDefault="00454A29">
            <w:pPr>
              <w:pStyle w:val="ConsPlusNormal"/>
              <w:jc w:val="center"/>
            </w:pPr>
            <w:r>
              <w:t>Строительство спортзала для ГБОУ РС(Я) "Экспериментальная школа-интернат "Арктика с углубленным изучением предметов гуманитарно-культурологического профиля" г. Нерюнгри, п. Плановый 1.</w:t>
            </w:r>
          </w:p>
        </w:tc>
        <w:tc>
          <w:tcPr>
            <w:tcW w:w="1701" w:type="dxa"/>
            <w:vAlign w:val="center"/>
          </w:tcPr>
          <w:p w14:paraId="6061E0FC" w14:textId="77777777" w:rsidR="00454A29" w:rsidRDefault="00454A29">
            <w:pPr>
              <w:pStyle w:val="ConsPlusNormal"/>
              <w:jc w:val="center"/>
            </w:pPr>
            <w:r>
              <w:t>Всего:</w:t>
            </w:r>
          </w:p>
        </w:tc>
        <w:tc>
          <w:tcPr>
            <w:tcW w:w="1417" w:type="dxa"/>
            <w:vMerge w:val="restart"/>
            <w:vAlign w:val="center"/>
          </w:tcPr>
          <w:p w14:paraId="2600FC30" w14:textId="77777777" w:rsidR="00454A29" w:rsidRDefault="00454A29">
            <w:pPr>
              <w:pStyle w:val="ConsPlusNormal"/>
              <w:jc w:val="center"/>
            </w:pPr>
            <w:r>
              <w:t>38 452,70</w:t>
            </w:r>
          </w:p>
        </w:tc>
        <w:tc>
          <w:tcPr>
            <w:tcW w:w="2204" w:type="dxa"/>
            <w:vMerge w:val="restart"/>
            <w:vAlign w:val="center"/>
          </w:tcPr>
          <w:p w14:paraId="0ED792B6" w14:textId="77777777" w:rsidR="00454A29" w:rsidRDefault="00454A29">
            <w:pPr>
              <w:pStyle w:val="ConsPlusNormal"/>
              <w:jc w:val="center"/>
            </w:pPr>
            <w:r>
              <w:t>имеется</w:t>
            </w:r>
          </w:p>
        </w:tc>
        <w:tc>
          <w:tcPr>
            <w:tcW w:w="1417" w:type="dxa"/>
            <w:vMerge w:val="restart"/>
            <w:vAlign w:val="center"/>
          </w:tcPr>
          <w:p w14:paraId="7F23F85A" w14:textId="77777777" w:rsidR="00454A29" w:rsidRDefault="00454A29">
            <w:pPr>
              <w:pStyle w:val="ConsPlusNormal"/>
              <w:jc w:val="center"/>
            </w:pPr>
            <w:r>
              <w:t>-</w:t>
            </w:r>
          </w:p>
        </w:tc>
        <w:tc>
          <w:tcPr>
            <w:tcW w:w="2324" w:type="dxa"/>
            <w:vMerge w:val="restart"/>
            <w:vAlign w:val="center"/>
          </w:tcPr>
          <w:p w14:paraId="21FB834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8E88B9E" w14:textId="77777777" w:rsidR="00454A29" w:rsidRDefault="00454A29">
            <w:pPr>
              <w:pStyle w:val="ConsPlusNormal"/>
              <w:jc w:val="center"/>
            </w:pPr>
            <w:r>
              <w:t>22 398,70</w:t>
            </w:r>
          </w:p>
        </w:tc>
        <w:tc>
          <w:tcPr>
            <w:tcW w:w="1814" w:type="dxa"/>
            <w:vAlign w:val="center"/>
          </w:tcPr>
          <w:p w14:paraId="1C410F28" w14:textId="77777777" w:rsidR="00454A29" w:rsidRDefault="00454A29">
            <w:pPr>
              <w:pStyle w:val="ConsPlusNormal"/>
              <w:jc w:val="center"/>
            </w:pPr>
            <w:r>
              <w:t>22 398,70</w:t>
            </w:r>
          </w:p>
        </w:tc>
        <w:tc>
          <w:tcPr>
            <w:tcW w:w="1701" w:type="dxa"/>
            <w:vAlign w:val="center"/>
          </w:tcPr>
          <w:p w14:paraId="06EF3472" w14:textId="77777777" w:rsidR="00454A29" w:rsidRDefault="00454A29">
            <w:pPr>
              <w:pStyle w:val="ConsPlusNormal"/>
              <w:jc w:val="center"/>
            </w:pPr>
            <w:r>
              <w:t>-</w:t>
            </w:r>
          </w:p>
        </w:tc>
        <w:tc>
          <w:tcPr>
            <w:tcW w:w="1701" w:type="dxa"/>
            <w:vAlign w:val="center"/>
          </w:tcPr>
          <w:p w14:paraId="21BBB4C2" w14:textId="77777777" w:rsidR="00454A29" w:rsidRDefault="00454A29">
            <w:pPr>
              <w:pStyle w:val="ConsPlusNormal"/>
              <w:jc w:val="center"/>
            </w:pPr>
            <w:r>
              <w:t>-</w:t>
            </w:r>
          </w:p>
        </w:tc>
        <w:tc>
          <w:tcPr>
            <w:tcW w:w="1814" w:type="dxa"/>
            <w:vAlign w:val="center"/>
          </w:tcPr>
          <w:p w14:paraId="39124AEC" w14:textId="77777777" w:rsidR="00454A29" w:rsidRDefault="00454A29">
            <w:pPr>
              <w:pStyle w:val="ConsPlusNormal"/>
              <w:jc w:val="center"/>
            </w:pPr>
            <w:r>
              <w:t>-</w:t>
            </w:r>
          </w:p>
        </w:tc>
      </w:tr>
      <w:tr w:rsidR="00454A29" w14:paraId="428A1563" w14:textId="77777777">
        <w:tc>
          <w:tcPr>
            <w:tcW w:w="567" w:type="dxa"/>
            <w:vMerge/>
          </w:tcPr>
          <w:p w14:paraId="2822A158" w14:textId="77777777" w:rsidR="00454A29" w:rsidRDefault="00454A29"/>
        </w:tc>
        <w:tc>
          <w:tcPr>
            <w:tcW w:w="3345" w:type="dxa"/>
            <w:vMerge/>
          </w:tcPr>
          <w:p w14:paraId="53948695" w14:textId="77777777" w:rsidR="00454A29" w:rsidRDefault="00454A29"/>
        </w:tc>
        <w:tc>
          <w:tcPr>
            <w:tcW w:w="1701" w:type="dxa"/>
            <w:vAlign w:val="center"/>
          </w:tcPr>
          <w:p w14:paraId="03FBE543" w14:textId="77777777" w:rsidR="00454A29" w:rsidRDefault="00454A29">
            <w:pPr>
              <w:pStyle w:val="ConsPlusNormal"/>
              <w:jc w:val="center"/>
            </w:pPr>
            <w:r>
              <w:t>2020</w:t>
            </w:r>
          </w:p>
        </w:tc>
        <w:tc>
          <w:tcPr>
            <w:tcW w:w="1417" w:type="dxa"/>
            <w:vMerge/>
          </w:tcPr>
          <w:p w14:paraId="7196FABA" w14:textId="77777777" w:rsidR="00454A29" w:rsidRDefault="00454A29"/>
        </w:tc>
        <w:tc>
          <w:tcPr>
            <w:tcW w:w="2204" w:type="dxa"/>
            <w:vMerge/>
          </w:tcPr>
          <w:p w14:paraId="481DA509" w14:textId="77777777" w:rsidR="00454A29" w:rsidRDefault="00454A29"/>
        </w:tc>
        <w:tc>
          <w:tcPr>
            <w:tcW w:w="1417" w:type="dxa"/>
            <w:vMerge/>
          </w:tcPr>
          <w:p w14:paraId="345120AA" w14:textId="77777777" w:rsidR="00454A29" w:rsidRDefault="00454A29"/>
        </w:tc>
        <w:tc>
          <w:tcPr>
            <w:tcW w:w="2324" w:type="dxa"/>
            <w:vMerge/>
          </w:tcPr>
          <w:p w14:paraId="275EDDCB" w14:textId="77777777" w:rsidR="00454A29" w:rsidRDefault="00454A29"/>
        </w:tc>
        <w:tc>
          <w:tcPr>
            <w:tcW w:w="1701" w:type="dxa"/>
            <w:vAlign w:val="center"/>
          </w:tcPr>
          <w:p w14:paraId="7D6F8BE2" w14:textId="77777777" w:rsidR="00454A29" w:rsidRDefault="00454A29">
            <w:pPr>
              <w:pStyle w:val="ConsPlusNormal"/>
              <w:jc w:val="center"/>
            </w:pPr>
            <w:r>
              <w:t>-</w:t>
            </w:r>
          </w:p>
        </w:tc>
        <w:tc>
          <w:tcPr>
            <w:tcW w:w="1814" w:type="dxa"/>
            <w:vAlign w:val="center"/>
          </w:tcPr>
          <w:p w14:paraId="3B5666D2" w14:textId="77777777" w:rsidR="00454A29" w:rsidRDefault="00454A29">
            <w:pPr>
              <w:pStyle w:val="ConsPlusNormal"/>
            </w:pPr>
          </w:p>
        </w:tc>
        <w:tc>
          <w:tcPr>
            <w:tcW w:w="1701" w:type="dxa"/>
            <w:vAlign w:val="center"/>
          </w:tcPr>
          <w:p w14:paraId="7CB35ABB" w14:textId="77777777" w:rsidR="00454A29" w:rsidRDefault="00454A29">
            <w:pPr>
              <w:pStyle w:val="ConsPlusNormal"/>
            </w:pPr>
          </w:p>
        </w:tc>
        <w:tc>
          <w:tcPr>
            <w:tcW w:w="1701" w:type="dxa"/>
            <w:vAlign w:val="center"/>
          </w:tcPr>
          <w:p w14:paraId="07ACACFA" w14:textId="77777777" w:rsidR="00454A29" w:rsidRDefault="00454A29">
            <w:pPr>
              <w:pStyle w:val="ConsPlusNormal"/>
            </w:pPr>
          </w:p>
        </w:tc>
        <w:tc>
          <w:tcPr>
            <w:tcW w:w="1814" w:type="dxa"/>
            <w:vAlign w:val="center"/>
          </w:tcPr>
          <w:p w14:paraId="06749BCF" w14:textId="77777777" w:rsidR="00454A29" w:rsidRDefault="00454A29">
            <w:pPr>
              <w:pStyle w:val="ConsPlusNormal"/>
            </w:pPr>
          </w:p>
        </w:tc>
      </w:tr>
      <w:tr w:rsidR="00454A29" w14:paraId="2B19A4BF" w14:textId="77777777">
        <w:tc>
          <w:tcPr>
            <w:tcW w:w="567" w:type="dxa"/>
            <w:vMerge/>
          </w:tcPr>
          <w:p w14:paraId="466351DA" w14:textId="77777777" w:rsidR="00454A29" w:rsidRDefault="00454A29"/>
        </w:tc>
        <w:tc>
          <w:tcPr>
            <w:tcW w:w="3345" w:type="dxa"/>
            <w:vMerge/>
          </w:tcPr>
          <w:p w14:paraId="6B47FEB2" w14:textId="77777777" w:rsidR="00454A29" w:rsidRDefault="00454A29"/>
        </w:tc>
        <w:tc>
          <w:tcPr>
            <w:tcW w:w="1701" w:type="dxa"/>
            <w:vAlign w:val="center"/>
          </w:tcPr>
          <w:p w14:paraId="4402DF16" w14:textId="77777777" w:rsidR="00454A29" w:rsidRDefault="00454A29">
            <w:pPr>
              <w:pStyle w:val="ConsPlusNormal"/>
              <w:jc w:val="center"/>
            </w:pPr>
            <w:r>
              <w:t>2021</w:t>
            </w:r>
          </w:p>
        </w:tc>
        <w:tc>
          <w:tcPr>
            <w:tcW w:w="1417" w:type="dxa"/>
            <w:vMerge/>
          </w:tcPr>
          <w:p w14:paraId="3D35228A" w14:textId="77777777" w:rsidR="00454A29" w:rsidRDefault="00454A29"/>
        </w:tc>
        <w:tc>
          <w:tcPr>
            <w:tcW w:w="2204" w:type="dxa"/>
            <w:vMerge/>
          </w:tcPr>
          <w:p w14:paraId="3A7ACFEA" w14:textId="77777777" w:rsidR="00454A29" w:rsidRDefault="00454A29"/>
        </w:tc>
        <w:tc>
          <w:tcPr>
            <w:tcW w:w="1417" w:type="dxa"/>
            <w:vMerge/>
          </w:tcPr>
          <w:p w14:paraId="14871E4D" w14:textId="77777777" w:rsidR="00454A29" w:rsidRDefault="00454A29"/>
        </w:tc>
        <w:tc>
          <w:tcPr>
            <w:tcW w:w="2324" w:type="dxa"/>
            <w:vMerge/>
          </w:tcPr>
          <w:p w14:paraId="1EA21EBB" w14:textId="77777777" w:rsidR="00454A29" w:rsidRDefault="00454A29"/>
        </w:tc>
        <w:tc>
          <w:tcPr>
            <w:tcW w:w="1701" w:type="dxa"/>
            <w:vAlign w:val="center"/>
          </w:tcPr>
          <w:p w14:paraId="4C81AC99" w14:textId="77777777" w:rsidR="00454A29" w:rsidRDefault="00454A29">
            <w:pPr>
              <w:pStyle w:val="ConsPlusNormal"/>
              <w:jc w:val="center"/>
            </w:pPr>
            <w:r>
              <w:t>-</w:t>
            </w:r>
          </w:p>
        </w:tc>
        <w:tc>
          <w:tcPr>
            <w:tcW w:w="1814" w:type="dxa"/>
            <w:vAlign w:val="center"/>
          </w:tcPr>
          <w:p w14:paraId="25C73A0F" w14:textId="77777777" w:rsidR="00454A29" w:rsidRDefault="00454A29">
            <w:pPr>
              <w:pStyle w:val="ConsPlusNormal"/>
            </w:pPr>
          </w:p>
        </w:tc>
        <w:tc>
          <w:tcPr>
            <w:tcW w:w="1701" w:type="dxa"/>
            <w:vAlign w:val="center"/>
          </w:tcPr>
          <w:p w14:paraId="670B0812" w14:textId="77777777" w:rsidR="00454A29" w:rsidRDefault="00454A29">
            <w:pPr>
              <w:pStyle w:val="ConsPlusNormal"/>
            </w:pPr>
          </w:p>
        </w:tc>
        <w:tc>
          <w:tcPr>
            <w:tcW w:w="1701" w:type="dxa"/>
            <w:vAlign w:val="center"/>
          </w:tcPr>
          <w:p w14:paraId="2D418457" w14:textId="77777777" w:rsidR="00454A29" w:rsidRDefault="00454A29">
            <w:pPr>
              <w:pStyle w:val="ConsPlusNormal"/>
            </w:pPr>
          </w:p>
        </w:tc>
        <w:tc>
          <w:tcPr>
            <w:tcW w:w="1814" w:type="dxa"/>
            <w:vAlign w:val="center"/>
          </w:tcPr>
          <w:p w14:paraId="457EC35D" w14:textId="77777777" w:rsidR="00454A29" w:rsidRDefault="00454A29">
            <w:pPr>
              <w:pStyle w:val="ConsPlusNormal"/>
            </w:pPr>
          </w:p>
        </w:tc>
      </w:tr>
      <w:tr w:rsidR="00454A29" w14:paraId="0EEB56C3" w14:textId="77777777">
        <w:tc>
          <w:tcPr>
            <w:tcW w:w="567" w:type="dxa"/>
            <w:vMerge/>
          </w:tcPr>
          <w:p w14:paraId="11D204B0" w14:textId="77777777" w:rsidR="00454A29" w:rsidRDefault="00454A29"/>
        </w:tc>
        <w:tc>
          <w:tcPr>
            <w:tcW w:w="3345" w:type="dxa"/>
            <w:vMerge/>
          </w:tcPr>
          <w:p w14:paraId="410A8A7C" w14:textId="77777777" w:rsidR="00454A29" w:rsidRDefault="00454A29"/>
        </w:tc>
        <w:tc>
          <w:tcPr>
            <w:tcW w:w="1701" w:type="dxa"/>
            <w:vAlign w:val="center"/>
          </w:tcPr>
          <w:p w14:paraId="4C6F99E0" w14:textId="77777777" w:rsidR="00454A29" w:rsidRDefault="00454A29">
            <w:pPr>
              <w:pStyle w:val="ConsPlusNormal"/>
              <w:jc w:val="center"/>
            </w:pPr>
            <w:r>
              <w:t>2022</w:t>
            </w:r>
          </w:p>
        </w:tc>
        <w:tc>
          <w:tcPr>
            <w:tcW w:w="1417" w:type="dxa"/>
            <w:vMerge/>
          </w:tcPr>
          <w:p w14:paraId="706F169D" w14:textId="77777777" w:rsidR="00454A29" w:rsidRDefault="00454A29"/>
        </w:tc>
        <w:tc>
          <w:tcPr>
            <w:tcW w:w="2204" w:type="dxa"/>
            <w:vMerge/>
          </w:tcPr>
          <w:p w14:paraId="70C388FB" w14:textId="77777777" w:rsidR="00454A29" w:rsidRDefault="00454A29"/>
        </w:tc>
        <w:tc>
          <w:tcPr>
            <w:tcW w:w="1417" w:type="dxa"/>
            <w:vMerge/>
          </w:tcPr>
          <w:p w14:paraId="186B0072" w14:textId="77777777" w:rsidR="00454A29" w:rsidRDefault="00454A29"/>
        </w:tc>
        <w:tc>
          <w:tcPr>
            <w:tcW w:w="2324" w:type="dxa"/>
            <w:vMerge/>
          </w:tcPr>
          <w:p w14:paraId="5BFCC13F" w14:textId="77777777" w:rsidR="00454A29" w:rsidRDefault="00454A29"/>
        </w:tc>
        <w:tc>
          <w:tcPr>
            <w:tcW w:w="1701" w:type="dxa"/>
            <w:vAlign w:val="center"/>
          </w:tcPr>
          <w:p w14:paraId="0A8E71B2" w14:textId="77777777" w:rsidR="00454A29" w:rsidRDefault="00454A29">
            <w:pPr>
              <w:pStyle w:val="ConsPlusNormal"/>
              <w:jc w:val="center"/>
            </w:pPr>
            <w:r>
              <w:t>-</w:t>
            </w:r>
          </w:p>
        </w:tc>
        <w:tc>
          <w:tcPr>
            <w:tcW w:w="1814" w:type="dxa"/>
            <w:vAlign w:val="center"/>
          </w:tcPr>
          <w:p w14:paraId="15AC6B0B" w14:textId="77777777" w:rsidR="00454A29" w:rsidRDefault="00454A29">
            <w:pPr>
              <w:pStyle w:val="ConsPlusNormal"/>
            </w:pPr>
          </w:p>
        </w:tc>
        <w:tc>
          <w:tcPr>
            <w:tcW w:w="1701" w:type="dxa"/>
            <w:vAlign w:val="center"/>
          </w:tcPr>
          <w:p w14:paraId="12935360" w14:textId="77777777" w:rsidR="00454A29" w:rsidRDefault="00454A29">
            <w:pPr>
              <w:pStyle w:val="ConsPlusNormal"/>
            </w:pPr>
          </w:p>
        </w:tc>
        <w:tc>
          <w:tcPr>
            <w:tcW w:w="1701" w:type="dxa"/>
            <w:vAlign w:val="center"/>
          </w:tcPr>
          <w:p w14:paraId="38F23D34" w14:textId="77777777" w:rsidR="00454A29" w:rsidRDefault="00454A29">
            <w:pPr>
              <w:pStyle w:val="ConsPlusNormal"/>
            </w:pPr>
          </w:p>
        </w:tc>
        <w:tc>
          <w:tcPr>
            <w:tcW w:w="1814" w:type="dxa"/>
            <w:vAlign w:val="center"/>
          </w:tcPr>
          <w:p w14:paraId="4022B7A0" w14:textId="77777777" w:rsidR="00454A29" w:rsidRDefault="00454A29">
            <w:pPr>
              <w:pStyle w:val="ConsPlusNormal"/>
            </w:pPr>
          </w:p>
        </w:tc>
      </w:tr>
      <w:tr w:rsidR="00454A29" w14:paraId="344F8951" w14:textId="77777777">
        <w:tc>
          <w:tcPr>
            <w:tcW w:w="567" w:type="dxa"/>
            <w:vMerge/>
          </w:tcPr>
          <w:p w14:paraId="756C1DF3" w14:textId="77777777" w:rsidR="00454A29" w:rsidRDefault="00454A29"/>
        </w:tc>
        <w:tc>
          <w:tcPr>
            <w:tcW w:w="3345" w:type="dxa"/>
            <w:vMerge/>
          </w:tcPr>
          <w:p w14:paraId="4FC5EC70" w14:textId="77777777" w:rsidR="00454A29" w:rsidRDefault="00454A29"/>
        </w:tc>
        <w:tc>
          <w:tcPr>
            <w:tcW w:w="1701" w:type="dxa"/>
            <w:vAlign w:val="center"/>
          </w:tcPr>
          <w:p w14:paraId="770C5395" w14:textId="77777777" w:rsidR="00454A29" w:rsidRDefault="00454A29">
            <w:pPr>
              <w:pStyle w:val="ConsPlusNormal"/>
              <w:jc w:val="center"/>
            </w:pPr>
            <w:r>
              <w:t>2023</w:t>
            </w:r>
          </w:p>
        </w:tc>
        <w:tc>
          <w:tcPr>
            <w:tcW w:w="1417" w:type="dxa"/>
            <w:vMerge/>
          </w:tcPr>
          <w:p w14:paraId="2EEF8599" w14:textId="77777777" w:rsidR="00454A29" w:rsidRDefault="00454A29"/>
        </w:tc>
        <w:tc>
          <w:tcPr>
            <w:tcW w:w="2204" w:type="dxa"/>
            <w:vMerge/>
          </w:tcPr>
          <w:p w14:paraId="35E50BD6" w14:textId="77777777" w:rsidR="00454A29" w:rsidRDefault="00454A29"/>
        </w:tc>
        <w:tc>
          <w:tcPr>
            <w:tcW w:w="1417" w:type="dxa"/>
            <w:vMerge/>
          </w:tcPr>
          <w:p w14:paraId="2F03CEA2" w14:textId="77777777" w:rsidR="00454A29" w:rsidRDefault="00454A29"/>
        </w:tc>
        <w:tc>
          <w:tcPr>
            <w:tcW w:w="2324" w:type="dxa"/>
            <w:vMerge/>
          </w:tcPr>
          <w:p w14:paraId="401AF80A" w14:textId="77777777" w:rsidR="00454A29" w:rsidRDefault="00454A29"/>
        </w:tc>
        <w:tc>
          <w:tcPr>
            <w:tcW w:w="1701" w:type="dxa"/>
            <w:vAlign w:val="center"/>
          </w:tcPr>
          <w:p w14:paraId="65AA73A5" w14:textId="77777777" w:rsidR="00454A29" w:rsidRDefault="00454A29">
            <w:pPr>
              <w:pStyle w:val="ConsPlusNormal"/>
              <w:jc w:val="center"/>
            </w:pPr>
            <w:r>
              <w:t>9 536,27</w:t>
            </w:r>
          </w:p>
        </w:tc>
        <w:tc>
          <w:tcPr>
            <w:tcW w:w="1814" w:type="dxa"/>
            <w:vAlign w:val="center"/>
          </w:tcPr>
          <w:p w14:paraId="57235CE1" w14:textId="77777777" w:rsidR="00454A29" w:rsidRDefault="00454A29">
            <w:pPr>
              <w:pStyle w:val="ConsPlusNormal"/>
              <w:jc w:val="center"/>
            </w:pPr>
            <w:r>
              <w:t>9 536,27</w:t>
            </w:r>
          </w:p>
        </w:tc>
        <w:tc>
          <w:tcPr>
            <w:tcW w:w="1701" w:type="dxa"/>
            <w:vAlign w:val="center"/>
          </w:tcPr>
          <w:p w14:paraId="02AEF8B6" w14:textId="77777777" w:rsidR="00454A29" w:rsidRDefault="00454A29">
            <w:pPr>
              <w:pStyle w:val="ConsPlusNormal"/>
            </w:pPr>
          </w:p>
        </w:tc>
        <w:tc>
          <w:tcPr>
            <w:tcW w:w="1701" w:type="dxa"/>
            <w:vAlign w:val="center"/>
          </w:tcPr>
          <w:p w14:paraId="0D8810D9" w14:textId="77777777" w:rsidR="00454A29" w:rsidRDefault="00454A29">
            <w:pPr>
              <w:pStyle w:val="ConsPlusNormal"/>
            </w:pPr>
          </w:p>
        </w:tc>
        <w:tc>
          <w:tcPr>
            <w:tcW w:w="1814" w:type="dxa"/>
            <w:vAlign w:val="center"/>
          </w:tcPr>
          <w:p w14:paraId="37FB0730" w14:textId="77777777" w:rsidR="00454A29" w:rsidRDefault="00454A29">
            <w:pPr>
              <w:pStyle w:val="ConsPlusNormal"/>
            </w:pPr>
          </w:p>
        </w:tc>
      </w:tr>
      <w:tr w:rsidR="00454A29" w14:paraId="7A11056C" w14:textId="77777777">
        <w:tc>
          <w:tcPr>
            <w:tcW w:w="567" w:type="dxa"/>
            <w:vMerge/>
          </w:tcPr>
          <w:p w14:paraId="6A53A9D6" w14:textId="77777777" w:rsidR="00454A29" w:rsidRDefault="00454A29"/>
        </w:tc>
        <w:tc>
          <w:tcPr>
            <w:tcW w:w="3345" w:type="dxa"/>
            <w:vMerge/>
          </w:tcPr>
          <w:p w14:paraId="26A76689" w14:textId="77777777" w:rsidR="00454A29" w:rsidRDefault="00454A29"/>
        </w:tc>
        <w:tc>
          <w:tcPr>
            <w:tcW w:w="1701" w:type="dxa"/>
            <w:vAlign w:val="center"/>
          </w:tcPr>
          <w:p w14:paraId="7F156FE8" w14:textId="77777777" w:rsidR="00454A29" w:rsidRDefault="00454A29">
            <w:pPr>
              <w:pStyle w:val="ConsPlusNormal"/>
              <w:jc w:val="center"/>
            </w:pPr>
            <w:r>
              <w:t>2024</w:t>
            </w:r>
          </w:p>
        </w:tc>
        <w:tc>
          <w:tcPr>
            <w:tcW w:w="1417" w:type="dxa"/>
            <w:vMerge/>
          </w:tcPr>
          <w:p w14:paraId="747304D3" w14:textId="77777777" w:rsidR="00454A29" w:rsidRDefault="00454A29"/>
        </w:tc>
        <w:tc>
          <w:tcPr>
            <w:tcW w:w="2204" w:type="dxa"/>
            <w:vMerge/>
          </w:tcPr>
          <w:p w14:paraId="7B8D0211" w14:textId="77777777" w:rsidR="00454A29" w:rsidRDefault="00454A29"/>
        </w:tc>
        <w:tc>
          <w:tcPr>
            <w:tcW w:w="1417" w:type="dxa"/>
            <w:vMerge/>
          </w:tcPr>
          <w:p w14:paraId="6B954A46" w14:textId="77777777" w:rsidR="00454A29" w:rsidRDefault="00454A29"/>
        </w:tc>
        <w:tc>
          <w:tcPr>
            <w:tcW w:w="2324" w:type="dxa"/>
            <w:vMerge/>
          </w:tcPr>
          <w:p w14:paraId="594F4242" w14:textId="77777777" w:rsidR="00454A29" w:rsidRDefault="00454A29"/>
        </w:tc>
        <w:tc>
          <w:tcPr>
            <w:tcW w:w="1701" w:type="dxa"/>
            <w:vAlign w:val="center"/>
          </w:tcPr>
          <w:p w14:paraId="50ADCE4B" w14:textId="77777777" w:rsidR="00454A29" w:rsidRDefault="00454A29">
            <w:pPr>
              <w:pStyle w:val="ConsPlusNormal"/>
              <w:jc w:val="center"/>
            </w:pPr>
            <w:r>
              <w:t>12 862,43</w:t>
            </w:r>
          </w:p>
        </w:tc>
        <w:tc>
          <w:tcPr>
            <w:tcW w:w="1814" w:type="dxa"/>
            <w:vAlign w:val="center"/>
          </w:tcPr>
          <w:p w14:paraId="36CFF7CD" w14:textId="77777777" w:rsidR="00454A29" w:rsidRDefault="00454A29">
            <w:pPr>
              <w:pStyle w:val="ConsPlusNormal"/>
              <w:jc w:val="center"/>
            </w:pPr>
            <w:r>
              <w:t>12 862,43</w:t>
            </w:r>
          </w:p>
        </w:tc>
        <w:tc>
          <w:tcPr>
            <w:tcW w:w="1701" w:type="dxa"/>
            <w:vAlign w:val="center"/>
          </w:tcPr>
          <w:p w14:paraId="6362442B" w14:textId="77777777" w:rsidR="00454A29" w:rsidRDefault="00454A29">
            <w:pPr>
              <w:pStyle w:val="ConsPlusNormal"/>
            </w:pPr>
          </w:p>
        </w:tc>
        <w:tc>
          <w:tcPr>
            <w:tcW w:w="1701" w:type="dxa"/>
            <w:vAlign w:val="center"/>
          </w:tcPr>
          <w:p w14:paraId="4BDE1783" w14:textId="77777777" w:rsidR="00454A29" w:rsidRDefault="00454A29">
            <w:pPr>
              <w:pStyle w:val="ConsPlusNormal"/>
            </w:pPr>
          </w:p>
        </w:tc>
        <w:tc>
          <w:tcPr>
            <w:tcW w:w="1814" w:type="dxa"/>
            <w:vAlign w:val="center"/>
          </w:tcPr>
          <w:p w14:paraId="2238DA07" w14:textId="77777777" w:rsidR="00454A29" w:rsidRDefault="00454A29">
            <w:pPr>
              <w:pStyle w:val="ConsPlusNormal"/>
            </w:pPr>
          </w:p>
        </w:tc>
      </w:tr>
      <w:tr w:rsidR="00454A29" w14:paraId="6911EC9F" w14:textId="77777777">
        <w:tc>
          <w:tcPr>
            <w:tcW w:w="567" w:type="dxa"/>
            <w:vMerge/>
          </w:tcPr>
          <w:p w14:paraId="7A09F9FD" w14:textId="77777777" w:rsidR="00454A29" w:rsidRDefault="00454A29"/>
        </w:tc>
        <w:tc>
          <w:tcPr>
            <w:tcW w:w="3345" w:type="dxa"/>
            <w:vMerge/>
          </w:tcPr>
          <w:p w14:paraId="6BC8658E" w14:textId="77777777" w:rsidR="00454A29" w:rsidRDefault="00454A29"/>
        </w:tc>
        <w:tc>
          <w:tcPr>
            <w:tcW w:w="1701" w:type="dxa"/>
            <w:vAlign w:val="center"/>
          </w:tcPr>
          <w:p w14:paraId="01ECE22A" w14:textId="77777777" w:rsidR="00454A29" w:rsidRDefault="00454A29">
            <w:pPr>
              <w:pStyle w:val="ConsPlusNormal"/>
              <w:jc w:val="center"/>
            </w:pPr>
            <w:r>
              <w:t>2025</w:t>
            </w:r>
          </w:p>
        </w:tc>
        <w:tc>
          <w:tcPr>
            <w:tcW w:w="1417" w:type="dxa"/>
            <w:vMerge/>
          </w:tcPr>
          <w:p w14:paraId="77AD162F" w14:textId="77777777" w:rsidR="00454A29" w:rsidRDefault="00454A29"/>
        </w:tc>
        <w:tc>
          <w:tcPr>
            <w:tcW w:w="2204" w:type="dxa"/>
            <w:vMerge/>
          </w:tcPr>
          <w:p w14:paraId="4638FA5E" w14:textId="77777777" w:rsidR="00454A29" w:rsidRDefault="00454A29"/>
        </w:tc>
        <w:tc>
          <w:tcPr>
            <w:tcW w:w="1417" w:type="dxa"/>
            <w:vMerge/>
          </w:tcPr>
          <w:p w14:paraId="12E9CB48" w14:textId="77777777" w:rsidR="00454A29" w:rsidRDefault="00454A29"/>
        </w:tc>
        <w:tc>
          <w:tcPr>
            <w:tcW w:w="2324" w:type="dxa"/>
            <w:vMerge/>
          </w:tcPr>
          <w:p w14:paraId="2E28488C" w14:textId="77777777" w:rsidR="00454A29" w:rsidRDefault="00454A29"/>
        </w:tc>
        <w:tc>
          <w:tcPr>
            <w:tcW w:w="1701" w:type="dxa"/>
            <w:vAlign w:val="center"/>
          </w:tcPr>
          <w:p w14:paraId="5A73EFF6" w14:textId="77777777" w:rsidR="00454A29" w:rsidRDefault="00454A29">
            <w:pPr>
              <w:pStyle w:val="ConsPlusNormal"/>
              <w:jc w:val="center"/>
            </w:pPr>
            <w:r>
              <w:t>-</w:t>
            </w:r>
          </w:p>
        </w:tc>
        <w:tc>
          <w:tcPr>
            <w:tcW w:w="1814" w:type="dxa"/>
            <w:vAlign w:val="center"/>
          </w:tcPr>
          <w:p w14:paraId="2CC986B0" w14:textId="77777777" w:rsidR="00454A29" w:rsidRDefault="00454A29">
            <w:pPr>
              <w:pStyle w:val="ConsPlusNormal"/>
            </w:pPr>
          </w:p>
        </w:tc>
        <w:tc>
          <w:tcPr>
            <w:tcW w:w="1701" w:type="dxa"/>
            <w:vAlign w:val="center"/>
          </w:tcPr>
          <w:p w14:paraId="4A40CB01" w14:textId="77777777" w:rsidR="00454A29" w:rsidRDefault="00454A29">
            <w:pPr>
              <w:pStyle w:val="ConsPlusNormal"/>
            </w:pPr>
          </w:p>
        </w:tc>
        <w:tc>
          <w:tcPr>
            <w:tcW w:w="1701" w:type="dxa"/>
            <w:vAlign w:val="center"/>
          </w:tcPr>
          <w:p w14:paraId="32B8C0A1" w14:textId="77777777" w:rsidR="00454A29" w:rsidRDefault="00454A29">
            <w:pPr>
              <w:pStyle w:val="ConsPlusNormal"/>
            </w:pPr>
          </w:p>
        </w:tc>
        <w:tc>
          <w:tcPr>
            <w:tcW w:w="1814" w:type="dxa"/>
            <w:vAlign w:val="center"/>
          </w:tcPr>
          <w:p w14:paraId="74C29D1A" w14:textId="77777777" w:rsidR="00454A29" w:rsidRDefault="00454A29">
            <w:pPr>
              <w:pStyle w:val="ConsPlusNormal"/>
            </w:pPr>
          </w:p>
        </w:tc>
      </w:tr>
      <w:tr w:rsidR="00454A29" w14:paraId="6594239E" w14:textId="77777777">
        <w:tc>
          <w:tcPr>
            <w:tcW w:w="567" w:type="dxa"/>
            <w:vMerge/>
          </w:tcPr>
          <w:p w14:paraId="6FAF8B77" w14:textId="77777777" w:rsidR="00454A29" w:rsidRDefault="00454A29"/>
        </w:tc>
        <w:tc>
          <w:tcPr>
            <w:tcW w:w="3345" w:type="dxa"/>
            <w:vMerge/>
          </w:tcPr>
          <w:p w14:paraId="3C86502A" w14:textId="77777777" w:rsidR="00454A29" w:rsidRDefault="00454A29"/>
        </w:tc>
        <w:tc>
          <w:tcPr>
            <w:tcW w:w="1701" w:type="dxa"/>
            <w:vAlign w:val="center"/>
          </w:tcPr>
          <w:p w14:paraId="07BE1F85" w14:textId="77777777" w:rsidR="00454A29" w:rsidRDefault="00454A29">
            <w:pPr>
              <w:pStyle w:val="ConsPlusNormal"/>
              <w:jc w:val="center"/>
            </w:pPr>
            <w:r>
              <w:t>2026</w:t>
            </w:r>
          </w:p>
        </w:tc>
        <w:tc>
          <w:tcPr>
            <w:tcW w:w="1417" w:type="dxa"/>
            <w:vMerge/>
          </w:tcPr>
          <w:p w14:paraId="23CBF700" w14:textId="77777777" w:rsidR="00454A29" w:rsidRDefault="00454A29"/>
        </w:tc>
        <w:tc>
          <w:tcPr>
            <w:tcW w:w="2204" w:type="dxa"/>
            <w:vMerge/>
          </w:tcPr>
          <w:p w14:paraId="62CF91FD" w14:textId="77777777" w:rsidR="00454A29" w:rsidRDefault="00454A29"/>
        </w:tc>
        <w:tc>
          <w:tcPr>
            <w:tcW w:w="1417" w:type="dxa"/>
            <w:vMerge/>
          </w:tcPr>
          <w:p w14:paraId="502092B1" w14:textId="77777777" w:rsidR="00454A29" w:rsidRDefault="00454A29"/>
        </w:tc>
        <w:tc>
          <w:tcPr>
            <w:tcW w:w="2324" w:type="dxa"/>
            <w:vMerge/>
          </w:tcPr>
          <w:p w14:paraId="0CA86CD7" w14:textId="77777777" w:rsidR="00454A29" w:rsidRDefault="00454A29"/>
        </w:tc>
        <w:tc>
          <w:tcPr>
            <w:tcW w:w="1701" w:type="dxa"/>
            <w:vAlign w:val="center"/>
          </w:tcPr>
          <w:p w14:paraId="34643418" w14:textId="77777777" w:rsidR="00454A29" w:rsidRDefault="00454A29">
            <w:pPr>
              <w:pStyle w:val="ConsPlusNormal"/>
              <w:jc w:val="center"/>
            </w:pPr>
            <w:r>
              <w:t>-</w:t>
            </w:r>
          </w:p>
        </w:tc>
        <w:tc>
          <w:tcPr>
            <w:tcW w:w="1814" w:type="dxa"/>
            <w:vAlign w:val="center"/>
          </w:tcPr>
          <w:p w14:paraId="032F5B35" w14:textId="77777777" w:rsidR="00454A29" w:rsidRDefault="00454A29">
            <w:pPr>
              <w:pStyle w:val="ConsPlusNormal"/>
            </w:pPr>
          </w:p>
        </w:tc>
        <w:tc>
          <w:tcPr>
            <w:tcW w:w="1701" w:type="dxa"/>
            <w:vAlign w:val="center"/>
          </w:tcPr>
          <w:p w14:paraId="4ACAB59A" w14:textId="77777777" w:rsidR="00454A29" w:rsidRDefault="00454A29">
            <w:pPr>
              <w:pStyle w:val="ConsPlusNormal"/>
            </w:pPr>
          </w:p>
        </w:tc>
        <w:tc>
          <w:tcPr>
            <w:tcW w:w="1701" w:type="dxa"/>
            <w:vAlign w:val="center"/>
          </w:tcPr>
          <w:p w14:paraId="5DA5BB60" w14:textId="77777777" w:rsidR="00454A29" w:rsidRDefault="00454A29">
            <w:pPr>
              <w:pStyle w:val="ConsPlusNormal"/>
            </w:pPr>
          </w:p>
        </w:tc>
        <w:tc>
          <w:tcPr>
            <w:tcW w:w="1814" w:type="dxa"/>
            <w:vAlign w:val="center"/>
          </w:tcPr>
          <w:p w14:paraId="3A1227F8" w14:textId="77777777" w:rsidR="00454A29" w:rsidRDefault="00454A29">
            <w:pPr>
              <w:pStyle w:val="ConsPlusNormal"/>
            </w:pPr>
          </w:p>
        </w:tc>
      </w:tr>
      <w:tr w:rsidR="00454A29" w14:paraId="6ADD7C58" w14:textId="77777777">
        <w:tc>
          <w:tcPr>
            <w:tcW w:w="567" w:type="dxa"/>
            <w:vMerge w:val="restart"/>
            <w:vAlign w:val="center"/>
          </w:tcPr>
          <w:p w14:paraId="7F274C05" w14:textId="77777777" w:rsidR="00454A29" w:rsidRDefault="00454A29">
            <w:pPr>
              <w:pStyle w:val="ConsPlusNormal"/>
              <w:jc w:val="center"/>
            </w:pPr>
            <w:r>
              <w:t>81</w:t>
            </w:r>
          </w:p>
        </w:tc>
        <w:tc>
          <w:tcPr>
            <w:tcW w:w="3345" w:type="dxa"/>
            <w:vMerge w:val="restart"/>
            <w:vAlign w:val="center"/>
          </w:tcPr>
          <w:p w14:paraId="219C640A" w14:textId="77777777" w:rsidR="00454A29" w:rsidRDefault="00454A29">
            <w:pPr>
              <w:pStyle w:val="ConsPlusNormal"/>
              <w:jc w:val="center"/>
            </w:pPr>
            <w:r>
              <w:t>Республиканский лицей-интернат на 350 учащихся с интернатом на 200 мест в г. Якутске (интернат)</w:t>
            </w:r>
          </w:p>
        </w:tc>
        <w:tc>
          <w:tcPr>
            <w:tcW w:w="1701" w:type="dxa"/>
            <w:vAlign w:val="center"/>
          </w:tcPr>
          <w:p w14:paraId="07B68FCE" w14:textId="77777777" w:rsidR="00454A29" w:rsidRDefault="00454A29">
            <w:pPr>
              <w:pStyle w:val="ConsPlusNormal"/>
              <w:jc w:val="center"/>
            </w:pPr>
            <w:r>
              <w:t>Всего:</w:t>
            </w:r>
          </w:p>
        </w:tc>
        <w:tc>
          <w:tcPr>
            <w:tcW w:w="1417" w:type="dxa"/>
            <w:vMerge w:val="restart"/>
            <w:vAlign w:val="center"/>
          </w:tcPr>
          <w:p w14:paraId="01B77FD9" w14:textId="77777777" w:rsidR="00454A29" w:rsidRDefault="00454A29">
            <w:pPr>
              <w:pStyle w:val="ConsPlusNormal"/>
              <w:jc w:val="center"/>
            </w:pPr>
            <w:r>
              <w:t>360 221,96</w:t>
            </w:r>
          </w:p>
        </w:tc>
        <w:tc>
          <w:tcPr>
            <w:tcW w:w="2204" w:type="dxa"/>
            <w:vMerge w:val="restart"/>
            <w:vAlign w:val="center"/>
          </w:tcPr>
          <w:p w14:paraId="77B0492C" w14:textId="77777777" w:rsidR="00454A29" w:rsidRDefault="00454A29">
            <w:pPr>
              <w:pStyle w:val="ConsPlusNormal"/>
              <w:jc w:val="center"/>
            </w:pPr>
            <w:r>
              <w:t>имеется</w:t>
            </w:r>
          </w:p>
        </w:tc>
        <w:tc>
          <w:tcPr>
            <w:tcW w:w="1417" w:type="dxa"/>
            <w:vMerge w:val="restart"/>
            <w:vAlign w:val="center"/>
          </w:tcPr>
          <w:p w14:paraId="40F416AC" w14:textId="77777777" w:rsidR="00454A29" w:rsidRDefault="00454A29">
            <w:pPr>
              <w:pStyle w:val="ConsPlusNormal"/>
              <w:jc w:val="center"/>
            </w:pPr>
            <w:r>
              <w:t>200</w:t>
            </w:r>
          </w:p>
        </w:tc>
        <w:tc>
          <w:tcPr>
            <w:tcW w:w="2324" w:type="dxa"/>
            <w:vMerge w:val="restart"/>
            <w:vAlign w:val="center"/>
          </w:tcPr>
          <w:p w14:paraId="6F168E70"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F63433E" w14:textId="77777777" w:rsidR="00454A29" w:rsidRDefault="00454A29">
            <w:pPr>
              <w:pStyle w:val="ConsPlusNormal"/>
              <w:jc w:val="center"/>
            </w:pPr>
            <w:r>
              <w:t>331 100,78</w:t>
            </w:r>
          </w:p>
        </w:tc>
        <w:tc>
          <w:tcPr>
            <w:tcW w:w="1814" w:type="dxa"/>
            <w:vAlign w:val="center"/>
          </w:tcPr>
          <w:p w14:paraId="2E17725F" w14:textId="77777777" w:rsidR="00454A29" w:rsidRDefault="00454A29">
            <w:pPr>
              <w:pStyle w:val="ConsPlusNormal"/>
              <w:jc w:val="center"/>
            </w:pPr>
            <w:r>
              <w:t>331 100,78</w:t>
            </w:r>
          </w:p>
        </w:tc>
        <w:tc>
          <w:tcPr>
            <w:tcW w:w="1701" w:type="dxa"/>
            <w:vAlign w:val="center"/>
          </w:tcPr>
          <w:p w14:paraId="548B7FFA" w14:textId="77777777" w:rsidR="00454A29" w:rsidRDefault="00454A29">
            <w:pPr>
              <w:pStyle w:val="ConsPlusNormal"/>
              <w:jc w:val="center"/>
            </w:pPr>
            <w:r>
              <w:t>-</w:t>
            </w:r>
          </w:p>
        </w:tc>
        <w:tc>
          <w:tcPr>
            <w:tcW w:w="1701" w:type="dxa"/>
            <w:vAlign w:val="center"/>
          </w:tcPr>
          <w:p w14:paraId="06B96F05" w14:textId="77777777" w:rsidR="00454A29" w:rsidRDefault="00454A29">
            <w:pPr>
              <w:pStyle w:val="ConsPlusNormal"/>
              <w:jc w:val="center"/>
            </w:pPr>
            <w:r>
              <w:t>-</w:t>
            </w:r>
          </w:p>
        </w:tc>
        <w:tc>
          <w:tcPr>
            <w:tcW w:w="1814" w:type="dxa"/>
            <w:vAlign w:val="center"/>
          </w:tcPr>
          <w:p w14:paraId="12E4B416" w14:textId="77777777" w:rsidR="00454A29" w:rsidRDefault="00454A29">
            <w:pPr>
              <w:pStyle w:val="ConsPlusNormal"/>
              <w:jc w:val="center"/>
            </w:pPr>
            <w:r>
              <w:t>-</w:t>
            </w:r>
          </w:p>
        </w:tc>
      </w:tr>
      <w:tr w:rsidR="00454A29" w14:paraId="448E7782" w14:textId="77777777">
        <w:tc>
          <w:tcPr>
            <w:tcW w:w="567" w:type="dxa"/>
            <w:vMerge/>
          </w:tcPr>
          <w:p w14:paraId="4DF81954" w14:textId="77777777" w:rsidR="00454A29" w:rsidRDefault="00454A29"/>
        </w:tc>
        <w:tc>
          <w:tcPr>
            <w:tcW w:w="3345" w:type="dxa"/>
            <w:vMerge/>
          </w:tcPr>
          <w:p w14:paraId="41F091F1" w14:textId="77777777" w:rsidR="00454A29" w:rsidRDefault="00454A29"/>
        </w:tc>
        <w:tc>
          <w:tcPr>
            <w:tcW w:w="1701" w:type="dxa"/>
            <w:vAlign w:val="center"/>
          </w:tcPr>
          <w:p w14:paraId="451BB001" w14:textId="77777777" w:rsidR="00454A29" w:rsidRDefault="00454A29">
            <w:pPr>
              <w:pStyle w:val="ConsPlusNormal"/>
              <w:jc w:val="center"/>
            </w:pPr>
            <w:r>
              <w:t>2020</w:t>
            </w:r>
          </w:p>
        </w:tc>
        <w:tc>
          <w:tcPr>
            <w:tcW w:w="1417" w:type="dxa"/>
            <w:vMerge/>
          </w:tcPr>
          <w:p w14:paraId="523BEDF4" w14:textId="77777777" w:rsidR="00454A29" w:rsidRDefault="00454A29"/>
        </w:tc>
        <w:tc>
          <w:tcPr>
            <w:tcW w:w="2204" w:type="dxa"/>
            <w:vMerge/>
          </w:tcPr>
          <w:p w14:paraId="60249071" w14:textId="77777777" w:rsidR="00454A29" w:rsidRDefault="00454A29"/>
        </w:tc>
        <w:tc>
          <w:tcPr>
            <w:tcW w:w="1417" w:type="dxa"/>
            <w:vMerge/>
          </w:tcPr>
          <w:p w14:paraId="75C620FB" w14:textId="77777777" w:rsidR="00454A29" w:rsidRDefault="00454A29"/>
        </w:tc>
        <w:tc>
          <w:tcPr>
            <w:tcW w:w="2324" w:type="dxa"/>
            <w:vMerge/>
          </w:tcPr>
          <w:p w14:paraId="4CEC2688" w14:textId="77777777" w:rsidR="00454A29" w:rsidRDefault="00454A29"/>
        </w:tc>
        <w:tc>
          <w:tcPr>
            <w:tcW w:w="1701" w:type="dxa"/>
            <w:vAlign w:val="center"/>
          </w:tcPr>
          <w:p w14:paraId="1A8F183C" w14:textId="77777777" w:rsidR="00454A29" w:rsidRDefault="00454A29">
            <w:pPr>
              <w:pStyle w:val="ConsPlusNormal"/>
              <w:jc w:val="center"/>
            </w:pPr>
            <w:r>
              <w:t>-</w:t>
            </w:r>
          </w:p>
        </w:tc>
        <w:tc>
          <w:tcPr>
            <w:tcW w:w="1814" w:type="dxa"/>
            <w:vAlign w:val="center"/>
          </w:tcPr>
          <w:p w14:paraId="7EA16DB1" w14:textId="77777777" w:rsidR="00454A29" w:rsidRDefault="00454A29">
            <w:pPr>
              <w:pStyle w:val="ConsPlusNormal"/>
            </w:pPr>
          </w:p>
        </w:tc>
        <w:tc>
          <w:tcPr>
            <w:tcW w:w="1701" w:type="dxa"/>
            <w:vAlign w:val="center"/>
          </w:tcPr>
          <w:p w14:paraId="11FA0C79" w14:textId="77777777" w:rsidR="00454A29" w:rsidRDefault="00454A29">
            <w:pPr>
              <w:pStyle w:val="ConsPlusNormal"/>
            </w:pPr>
          </w:p>
        </w:tc>
        <w:tc>
          <w:tcPr>
            <w:tcW w:w="1701" w:type="dxa"/>
            <w:vAlign w:val="center"/>
          </w:tcPr>
          <w:p w14:paraId="40BD4A76" w14:textId="77777777" w:rsidR="00454A29" w:rsidRDefault="00454A29">
            <w:pPr>
              <w:pStyle w:val="ConsPlusNormal"/>
            </w:pPr>
          </w:p>
        </w:tc>
        <w:tc>
          <w:tcPr>
            <w:tcW w:w="1814" w:type="dxa"/>
            <w:vAlign w:val="center"/>
          </w:tcPr>
          <w:p w14:paraId="38DE55CD" w14:textId="77777777" w:rsidR="00454A29" w:rsidRDefault="00454A29">
            <w:pPr>
              <w:pStyle w:val="ConsPlusNormal"/>
            </w:pPr>
          </w:p>
        </w:tc>
      </w:tr>
      <w:tr w:rsidR="00454A29" w14:paraId="2746D67A" w14:textId="77777777">
        <w:tc>
          <w:tcPr>
            <w:tcW w:w="567" w:type="dxa"/>
            <w:vMerge/>
          </w:tcPr>
          <w:p w14:paraId="288B8E7E" w14:textId="77777777" w:rsidR="00454A29" w:rsidRDefault="00454A29"/>
        </w:tc>
        <w:tc>
          <w:tcPr>
            <w:tcW w:w="3345" w:type="dxa"/>
            <w:vMerge/>
          </w:tcPr>
          <w:p w14:paraId="0CE65091" w14:textId="77777777" w:rsidR="00454A29" w:rsidRDefault="00454A29"/>
        </w:tc>
        <w:tc>
          <w:tcPr>
            <w:tcW w:w="1701" w:type="dxa"/>
            <w:vAlign w:val="center"/>
          </w:tcPr>
          <w:p w14:paraId="7AAD8784" w14:textId="77777777" w:rsidR="00454A29" w:rsidRDefault="00454A29">
            <w:pPr>
              <w:pStyle w:val="ConsPlusNormal"/>
              <w:jc w:val="center"/>
            </w:pPr>
            <w:r>
              <w:t>2021</w:t>
            </w:r>
          </w:p>
        </w:tc>
        <w:tc>
          <w:tcPr>
            <w:tcW w:w="1417" w:type="dxa"/>
            <w:vMerge/>
          </w:tcPr>
          <w:p w14:paraId="6E34BFAC" w14:textId="77777777" w:rsidR="00454A29" w:rsidRDefault="00454A29"/>
        </w:tc>
        <w:tc>
          <w:tcPr>
            <w:tcW w:w="2204" w:type="dxa"/>
            <w:vMerge/>
          </w:tcPr>
          <w:p w14:paraId="78AA18E6" w14:textId="77777777" w:rsidR="00454A29" w:rsidRDefault="00454A29"/>
        </w:tc>
        <w:tc>
          <w:tcPr>
            <w:tcW w:w="1417" w:type="dxa"/>
            <w:vMerge/>
          </w:tcPr>
          <w:p w14:paraId="308A33A8" w14:textId="77777777" w:rsidR="00454A29" w:rsidRDefault="00454A29"/>
        </w:tc>
        <w:tc>
          <w:tcPr>
            <w:tcW w:w="2324" w:type="dxa"/>
            <w:vMerge/>
          </w:tcPr>
          <w:p w14:paraId="40EC7080" w14:textId="77777777" w:rsidR="00454A29" w:rsidRDefault="00454A29"/>
        </w:tc>
        <w:tc>
          <w:tcPr>
            <w:tcW w:w="1701" w:type="dxa"/>
            <w:vAlign w:val="center"/>
          </w:tcPr>
          <w:p w14:paraId="49A4A861" w14:textId="77777777" w:rsidR="00454A29" w:rsidRDefault="00454A29">
            <w:pPr>
              <w:pStyle w:val="ConsPlusNormal"/>
              <w:jc w:val="center"/>
            </w:pPr>
            <w:r>
              <w:t>-</w:t>
            </w:r>
          </w:p>
        </w:tc>
        <w:tc>
          <w:tcPr>
            <w:tcW w:w="1814" w:type="dxa"/>
            <w:vAlign w:val="center"/>
          </w:tcPr>
          <w:p w14:paraId="4CDC6ED3" w14:textId="77777777" w:rsidR="00454A29" w:rsidRDefault="00454A29">
            <w:pPr>
              <w:pStyle w:val="ConsPlusNormal"/>
            </w:pPr>
          </w:p>
        </w:tc>
        <w:tc>
          <w:tcPr>
            <w:tcW w:w="1701" w:type="dxa"/>
            <w:vAlign w:val="center"/>
          </w:tcPr>
          <w:p w14:paraId="3F946979" w14:textId="77777777" w:rsidR="00454A29" w:rsidRDefault="00454A29">
            <w:pPr>
              <w:pStyle w:val="ConsPlusNormal"/>
            </w:pPr>
          </w:p>
        </w:tc>
        <w:tc>
          <w:tcPr>
            <w:tcW w:w="1701" w:type="dxa"/>
            <w:vAlign w:val="center"/>
          </w:tcPr>
          <w:p w14:paraId="3B9F121C" w14:textId="77777777" w:rsidR="00454A29" w:rsidRDefault="00454A29">
            <w:pPr>
              <w:pStyle w:val="ConsPlusNormal"/>
            </w:pPr>
          </w:p>
        </w:tc>
        <w:tc>
          <w:tcPr>
            <w:tcW w:w="1814" w:type="dxa"/>
            <w:vAlign w:val="center"/>
          </w:tcPr>
          <w:p w14:paraId="60869D21" w14:textId="77777777" w:rsidR="00454A29" w:rsidRDefault="00454A29">
            <w:pPr>
              <w:pStyle w:val="ConsPlusNormal"/>
            </w:pPr>
          </w:p>
        </w:tc>
      </w:tr>
      <w:tr w:rsidR="00454A29" w14:paraId="75AD9C64" w14:textId="77777777">
        <w:tc>
          <w:tcPr>
            <w:tcW w:w="567" w:type="dxa"/>
            <w:vMerge/>
          </w:tcPr>
          <w:p w14:paraId="639ED7D7" w14:textId="77777777" w:rsidR="00454A29" w:rsidRDefault="00454A29"/>
        </w:tc>
        <w:tc>
          <w:tcPr>
            <w:tcW w:w="3345" w:type="dxa"/>
            <w:vMerge/>
          </w:tcPr>
          <w:p w14:paraId="5FCB44EC" w14:textId="77777777" w:rsidR="00454A29" w:rsidRDefault="00454A29"/>
        </w:tc>
        <w:tc>
          <w:tcPr>
            <w:tcW w:w="1701" w:type="dxa"/>
            <w:vAlign w:val="center"/>
          </w:tcPr>
          <w:p w14:paraId="141FE834" w14:textId="77777777" w:rsidR="00454A29" w:rsidRDefault="00454A29">
            <w:pPr>
              <w:pStyle w:val="ConsPlusNormal"/>
              <w:jc w:val="center"/>
            </w:pPr>
            <w:r>
              <w:t>2022</w:t>
            </w:r>
          </w:p>
        </w:tc>
        <w:tc>
          <w:tcPr>
            <w:tcW w:w="1417" w:type="dxa"/>
            <w:vMerge/>
          </w:tcPr>
          <w:p w14:paraId="271BDDE5" w14:textId="77777777" w:rsidR="00454A29" w:rsidRDefault="00454A29"/>
        </w:tc>
        <w:tc>
          <w:tcPr>
            <w:tcW w:w="2204" w:type="dxa"/>
            <w:vMerge/>
          </w:tcPr>
          <w:p w14:paraId="731C6D36" w14:textId="77777777" w:rsidR="00454A29" w:rsidRDefault="00454A29"/>
        </w:tc>
        <w:tc>
          <w:tcPr>
            <w:tcW w:w="1417" w:type="dxa"/>
            <w:vMerge/>
          </w:tcPr>
          <w:p w14:paraId="24969459" w14:textId="77777777" w:rsidR="00454A29" w:rsidRDefault="00454A29"/>
        </w:tc>
        <w:tc>
          <w:tcPr>
            <w:tcW w:w="2324" w:type="dxa"/>
            <w:vMerge/>
          </w:tcPr>
          <w:p w14:paraId="3FC5EB2E" w14:textId="77777777" w:rsidR="00454A29" w:rsidRDefault="00454A29"/>
        </w:tc>
        <w:tc>
          <w:tcPr>
            <w:tcW w:w="1701" w:type="dxa"/>
            <w:vAlign w:val="center"/>
          </w:tcPr>
          <w:p w14:paraId="26DC1D2D" w14:textId="77777777" w:rsidR="00454A29" w:rsidRDefault="00454A29">
            <w:pPr>
              <w:pStyle w:val="ConsPlusNormal"/>
            </w:pPr>
          </w:p>
        </w:tc>
        <w:tc>
          <w:tcPr>
            <w:tcW w:w="1814" w:type="dxa"/>
            <w:vAlign w:val="center"/>
          </w:tcPr>
          <w:p w14:paraId="65581C8A" w14:textId="77777777" w:rsidR="00454A29" w:rsidRDefault="00454A29">
            <w:pPr>
              <w:pStyle w:val="ConsPlusNormal"/>
            </w:pPr>
          </w:p>
        </w:tc>
        <w:tc>
          <w:tcPr>
            <w:tcW w:w="1701" w:type="dxa"/>
            <w:vAlign w:val="center"/>
          </w:tcPr>
          <w:p w14:paraId="004BC822" w14:textId="77777777" w:rsidR="00454A29" w:rsidRDefault="00454A29">
            <w:pPr>
              <w:pStyle w:val="ConsPlusNormal"/>
            </w:pPr>
          </w:p>
        </w:tc>
        <w:tc>
          <w:tcPr>
            <w:tcW w:w="1701" w:type="dxa"/>
            <w:vAlign w:val="center"/>
          </w:tcPr>
          <w:p w14:paraId="76496656" w14:textId="77777777" w:rsidR="00454A29" w:rsidRDefault="00454A29">
            <w:pPr>
              <w:pStyle w:val="ConsPlusNormal"/>
            </w:pPr>
          </w:p>
        </w:tc>
        <w:tc>
          <w:tcPr>
            <w:tcW w:w="1814" w:type="dxa"/>
            <w:vAlign w:val="center"/>
          </w:tcPr>
          <w:p w14:paraId="78E7F4F7" w14:textId="77777777" w:rsidR="00454A29" w:rsidRDefault="00454A29">
            <w:pPr>
              <w:pStyle w:val="ConsPlusNormal"/>
            </w:pPr>
          </w:p>
        </w:tc>
      </w:tr>
      <w:tr w:rsidR="00454A29" w14:paraId="54CA016E" w14:textId="77777777">
        <w:tc>
          <w:tcPr>
            <w:tcW w:w="567" w:type="dxa"/>
            <w:vMerge/>
          </w:tcPr>
          <w:p w14:paraId="2055A17D" w14:textId="77777777" w:rsidR="00454A29" w:rsidRDefault="00454A29"/>
        </w:tc>
        <w:tc>
          <w:tcPr>
            <w:tcW w:w="3345" w:type="dxa"/>
            <w:vMerge/>
          </w:tcPr>
          <w:p w14:paraId="10210750" w14:textId="77777777" w:rsidR="00454A29" w:rsidRDefault="00454A29"/>
        </w:tc>
        <w:tc>
          <w:tcPr>
            <w:tcW w:w="1701" w:type="dxa"/>
            <w:vAlign w:val="center"/>
          </w:tcPr>
          <w:p w14:paraId="5E2245CD" w14:textId="77777777" w:rsidR="00454A29" w:rsidRDefault="00454A29">
            <w:pPr>
              <w:pStyle w:val="ConsPlusNormal"/>
              <w:jc w:val="center"/>
            </w:pPr>
            <w:r>
              <w:t>2023</w:t>
            </w:r>
          </w:p>
        </w:tc>
        <w:tc>
          <w:tcPr>
            <w:tcW w:w="1417" w:type="dxa"/>
            <w:vMerge/>
          </w:tcPr>
          <w:p w14:paraId="63DCBD16" w14:textId="77777777" w:rsidR="00454A29" w:rsidRDefault="00454A29"/>
        </w:tc>
        <w:tc>
          <w:tcPr>
            <w:tcW w:w="2204" w:type="dxa"/>
            <w:vMerge/>
          </w:tcPr>
          <w:p w14:paraId="264ED940" w14:textId="77777777" w:rsidR="00454A29" w:rsidRDefault="00454A29"/>
        </w:tc>
        <w:tc>
          <w:tcPr>
            <w:tcW w:w="1417" w:type="dxa"/>
            <w:vMerge/>
          </w:tcPr>
          <w:p w14:paraId="39F12113" w14:textId="77777777" w:rsidR="00454A29" w:rsidRDefault="00454A29"/>
        </w:tc>
        <w:tc>
          <w:tcPr>
            <w:tcW w:w="2324" w:type="dxa"/>
            <w:vMerge/>
          </w:tcPr>
          <w:p w14:paraId="728EB1E9" w14:textId="77777777" w:rsidR="00454A29" w:rsidRDefault="00454A29"/>
        </w:tc>
        <w:tc>
          <w:tcPr>
            <w:tcW w:w="1701" w:type="dxa"/>
            <w:vAlign w:val="center"/>
          </w:tcPr>
          <w:p w14:paraId="674C39F1" w14:textId="77777777" w:rsidR="00454A29" w:rsidRDefault="00454A29">
            <w:pPr>
              <w:pStyle w:val="ConsPlusNormal"/>
              <w:jc w:val="center"/>
            </w:pPr>
            <w:r>
              <w:t>49 600,00</w:t>
            </w:r>
          </w:p>
        </w:tc>
        <w:tc>
          <w:tcPr>
            <w:tcW w:w="1814" w:type="dxa"/>
            <w:vAlign w:val="center"/>
          </w:tcPr>
          <w:p w14:paraId="7257CDF4" w14:textId="77777777" w:rsidR="00454A29" w:rsidRDefault="00454A29">
            <w:pPr>
              <w:pStyle w:val="ConsPlusNormal"/>
              <w:jc w:val="center"/>
            </w:pPr>
            <w:r>
              <w:t>49 600,00</w:t>
            </w:r>
          </w:p>
        </w:tc>
        <w:tc>
          <w:tcPr>
            <w:tcW w:w="1701" w:type="dxa"/>
            <w:vAlign w:val="center"/>
          </w:tcPr>
          <w:p w14:paraId="2D851010" w14:textId="77777777" w:rsidR="00454A29" w:rsidRDefault="00454A29">
            <w:pPr>
              <w:pStyle w:val="ConsPlusNormal"/>
            </w:pPr>
          </w:p>
        </w:tc>
        <w:tc>
          <w:tcPr>
            <w:tcW w:w="1701" w:type="dxa"/>
            <w:vAlign w:val="center"/>
          </w:tcPr>
          <w:p w14:paraId="64C60A8E" w14:textId="77777777" w:rsidR="00454A29" w:rsidRDefault="00454A29">
            <w:pPr>
              <w:pStyle w:val="ConsPlusNormal"/>
            </w:pPr>
          </w:p>
        </w:tc>
        <w:tc>
          <w:tcPr>
            <w:tcW w:w="1814" w:type="dxa"/>
            <w:vAlign w:val="center"/>
          </w:tcPr>
          <w:p w14:paraId="1C8FD423" w14:textId="77777777" w:rsidR="00454A29" w:rsidRDefault="00454A29">
            <w:pPr>
              <w:pStyle w:val="ConsPlusNormal"/>
            </w:pPr>
          </w:p>
        </w:tc>
      </w:tr>
      <w:tr w:rsidR="00454A29" w14:paraId="77A96C98" w14:textId="77777777">
        <w:tc>
          <w:tcPr>
            <w:tcW w:w="567" w:type="dxa"/>
            <w:vMerge/>
          </w:tcPr>
          <w:p w14:paraId="64A5B412" w14:textId="77777777" w:rsidR="00454A29" w:rsidRDefault="00454A29"/>
        </w:tc>
        <w:tc>
          <w:tcPr>
            <w:tcW w:w="3345" w:type="dxa"/>
            <w:vMerge/>
          </w:tcPr>
          <w:p w14:paraId="43FA11F2" w14:textId="77777777" w:rsidR="00454A29" w:rsidRDefault="00454A29"/>
        </w:tc>
        <w:tc>
          <w:tcPr>
            <w:tcW w:w="1701" w:type="dxa"/>
            <w:vAlign w:val="center"/>
          </w:tcPr>
          <w:p w14:paraId="6B8F50F8" w14:textId="77777777" w:rsidR="00454A29" w:rsidRDefault="00454A29">
            <w:pPr>
              <w:pStyle w:val="ConsPlusNormal"/>
              <w:jc w:val="center"/>
            </w:pPr>
            <w:r>
              <w:t>2024</w:t>
            </w:r>
          </w:p>
        </w:tc>
        <w:tc>
          <w:tcPr>
            <w:tcW w:w="1417" w:type="dxa"/>
            <w:vMerge/>
          </w:tcPr>
          <w:p w14:paraId="7422350C" w14:textId="77777777" w:rsidR="00454A29" w:rsidRDefault="00454A29"/>
        </w:tc>
        <w:tc>
          <w:tcPr>
            <w:tcW w:w="2204" w:type="dxa"/>
            <w:vMerge/>
          </w:tcPr>
          <w:p w14:paraId="5F5A1068" w14:textId="77777777" w:rsidR="00454A29" w:rsidRDefault="00454A29"/>
        </w:tc>
        <w:tc>
          <w:tcPr>
            <w:tcW w:w="1417" w:type="dxa"/>
            <w:vMerge/>
          </w:tcPr>
          <w:p w14:paraId="1D345A26" w14:textId="77777777" w:rsidR="00454A29" w:rsidRDefault="00454A29"/>
        </w:tc>
        <w:tc>
          <w:tcPr>
            <w:tcW w:w="2324" w:type="dxa"/>
            <w:vMerge/>
          </w:tcPr>
          <w:p w14:paraId="7C731AA6" w14:textId="77777777" w:rsidR="00454A29" w:rsidRDefault="00454A29"/>
        </w:tc>
        <w:tc>
          <w:tcPr>
            <w:tcW w:w="1701" w:type="dxa"/>
            <w:vAlign w:val="center"/>
          </w:tcPr>
          <w:p w14:paraId="66D25102" w14:textId="77777777" w:rsidR="00454A29" w:rsidRDefault="00454A29">
            <w:pPr>
              <w:pStyle w:val="ConsPlusNormal"/>
              <w:jc w:val="center"/>
            </w:pPr>
            <w:r>
              <w:t>53 520,00</w:t>
            </w:r>
          </w:p>
        </w:tc>
        <w:tc>
          <w:tcPr>
            <w:tcW w:w="1814" w:type="dxa"/>
            <w:vAlign w:val="center"/>
          </w:tcPr>
          <w:p w14:paraId="2D7A9990" w14:textId="77777777" w:rsidR="00454A29" w:rsidRDefault="00454A29">
            <w:pPr>
              <w:pStyle w:val="ConsPlusNormal"/>
              <w:jc w:val="center"/>
            </w:pPr>
            <w:r>
              <w:t>53 520,00</w:t>
            </w:r>
          </w:p>
        </w:tc>
        <w:tc>
          <w:tcPr>
            <w:tcW w:w="1701" w:type="dxa"/>
            <w:vAlign w:val="center"/>
          </w:tcPr>
          <w:p w14:paraId="5361E900" w14:textId="77777777" w:rsidR="00454A29" w:rsidRDefault="00454A29">
            <w:pPr>
              <w:pStyle w:val="ConsPlusNormal"/>
            </w:pPr>
          </w:p>
        </w:tc>
        <w:tc>
          <w:tcPr>
            <w:tcW w:w="1701" w:type="dxa"/>
            <w:vAlign w:val="center"/>
          </w:tcPr>
          <w:p w14:paraId="6E348DF9" w14:textId="77777777" w:rsidR="00454A29" w:rsidRDefault="00454A29">
            <w:pPr>
              <w:pStyle w:val="ConsPlusNormal"/>
            </w:pPr>
          </w:p>
        </w:tc>
        <w:tc>
          <w:tcPr>
            <w:tcW w:w="1814" w:type="dxa"/>
            <w:vAlign w:val="center"/>
          </w:tcPr>
          <w:p w14:paraId="713775A7" w14:textId="77777777" w:rsidR="00454A29" w:rsidRDefault="00454A29">
            <w:pPr>
              <w:pStyle w:val="ConsPlusNormal"/>
            </w:pPr>
          </w:p>
        </w:tc>
      </w:tr>
      <w:tr w:rsidR="00454A29" w14:paraId="3D43CA9B" w14:textId="77777777">
        <w:tc>
          <w:tcPr>
            <w:tcW w:w="567" w:type="dxa"/>
            <w:vMerge/>
          </w:tcPr>
          <w:p w14:paraId="39B7F6D5" w14:textId="77777777" w:rsidR="00454A29" w:rsidRDefault="00454A29"/>
        </w:tc>
        <w:tc>
          <w:tcPr>
            <w:tcW w:w="3345" w:type="dxa"/>
            <w:vMerge/>
          </w:tcPr>
          <w:p w14:paraId="61852DB5" w14:textId="77777777" w:rsidR="00454A29" w:rsidRDefault="00454A29"/>
        </w:tc>
        <w:tc>
          <w:tcPr>
            <w:tcW w:w="1701" w:type="dxa"/>
            <w:vAlign w:val="center"/>
          </w:tcPr>
          <w:p w14:paraId="4D375AE9" w14:textId="77777777" w:rsidR="00454A29" w:rsidRDefault="00454A29">
            <w:pPr>
              <w:pStyle w:val="ConsPlusNormal"/>
              <w:jc w:val="center"/>
            </w:pPr>
            <w:r>
              <w:t>2025</w:t>
            </w:r>
          </w:p>
        </w:tc>
        <w:tc>
          <w:tcPr>
            <w:tcW w:w="1417" w:type="dxa"/>
            <w:vMerge/>
          </w:tcPr>
          <w:p w14:paraId="5FA77489" w14:textId="77777777" w:rsidR="00454A29" w:rsidRDefault="00454A29"/>
        </w:tc>
        <w:tc>
          <w:tcPr>
            <w:tcW w:w="2204" w:type="dxa"/>
            <w:vMerge/>
          </w:tcPr>
          <w:p w14:paraId="362E8815" w14:textId="77777777" w:rsidR="00454A29" w:rsidRDefault="00454A29"/>
        </w:tc>
        <w:tc>
          <w:tcPr>
            <w:tcW w:w="1417" w:type="dxa"/>
            <w:vMerge/>
          </w:tcPr>
          <w:p w14:paraId="32275F14" w14:textId="77777777" w:rsidR="00454A29" w:rsidRDefault="00454A29"/>
        </w:tc>
        <w:tc>
          <w:tcPr>
            <w:tcW w:w="2324" w:type="dxa"/>
            <w:vMerge/>
          </w:tcPr>
          <w:p w14:paraId="2B7746C0" w14:textId="77777777" w:rsidR="00454A29" w:rsidRDefault="00454A29"/>
        </w:tc>
        <w:tc>
          <w:tcPr>
            <w:tcW w:w="1701" w:type="dxa"/>
            <w:vAlign w:val="center"/>
          </w:tcPr>
          <w:p w14:paraId="19E20E57" w14:textId="77777777" w:rsidR="00454A29" w:rsidRDefault="00454A29">
            <w:pPr>
              <w:pStyle w:val="ConsPlusNormal"/>
              <w:jc w:val="center"/>
            </w:pPr>
            <w:r>
              <w:t>227 980,78</w:t>
            </w:r>
          </w:p>
        </w:tc>
        <w:tc>
          <w:tcPr>
            <w:tcW w:w="1814" w:type="dxa"/>
            <w:vAlign w:val="center"/>
          </w:tcPr>
          <w:p w14:paraId="104CEA3D" w14:textId="77777777" w:rsidR="00454A29" w:rsidRDefault="00454A29">
            <w:pPr>
              <w:pStyle w:val="ConsPlusNormal"/>
              <w:jc w:val="center"/>
            </w:pPr>
            <w:r>
              <w:t>227 980,78</w:t>
            </w:r>
          </w:p>
        </w:tc>
        <w:tc>
          <w:tcPr>
            <w:tcW w:w="1701" w:type="dxa"/>
            <w:vAlign w:val="center"/>
          </w:tcPr>
          <w:p w14:paraId="71C2D656" w14:textId="77777777" w:rsidR="00454A29" w:rsidRDefault="00454A29">
            <w:pPr>
              <w:pStyle w:val="ConsPlusNormal"/>
            </w:pPr>
          </w:p>
        </w:tc>
        <w:tc>
          <w:tcPr>
            <w:tcW w:w="1701" w:type="dxa"/>
            <w:vAlign w:val="center"/>
          </w:tcPr>
          <w:p w14:paraId="5AA59993" w14:textId="77777777" w:rsidR="00454A29" w:rsidRDefault="00454A29">
            <w:pPr>
              <w:pStyle w:val="ConsPlusNormal"/>
            </w:pPr>
          </w:p>
        </w:tc>
        <w:tc>
          <w:tcPr>
            <w:tcW w:w="1814" w:type="dxa"/>
            <w:vAlign w:val="center"/>
          </w:tcPr>
          <w:p w14:paraId="1E0191D1" w14:textId="77777777" w:rsidR="00454A29" w:rsidRDefault="00454A29">
            <w:pPr>
              <w:pStyle w:val="ConsPlusNormal"/>
            </w:pPr>
          </w:p>
        </w:tc>
      </w:tr>
      <w:tr w:rsidR="00454A29" w14:paraId="20E03ED5" w14:textId="77777777">
        <w:tc>
          <w:tcPr>
            <w:tcW w:w="567" w:type="dxa"/>
            <w:vMerge/>
          </w:tcPr>
          <w:p w14:paraId="6CC06151" w14:textId="77777777" w:rsidR="00454A29" w:rsidRDefault="00454A29"/>
        </w:tc>
        <w:tc>
          <w:tcPr>
            <w:tcW w:w="3345" w:type="dxa"/>
            <w:vMerge/>
          </w:tcPr>
          <w:p w14:paraId="2B62456E" w14:textId="77777777" w:rsidR="00454A29" w:rsidRDefault="00454A29"/>
        </w:tc>
        <w:tc>
          <w:tcPr>
            <w:tcW w:w="1701" w:type="dxa"/>
            <w:vAlign w:val="center"/>
          </w:tcPr>
          <w:p w14:paraId="740E611A" w14:textId="77777777" w:rsidR="00454A29" w:rsidRDefault="00454A29">
            <w:pPr>
              <w:pStyle w:val="ConsPlusNormal"/>
              <w:jc w:val="center"/>
            </w:pPr>
            <w:r>
              <w:t>2026</w:t>
            </w:r>
          </w:p>
        </w:tc>
        <w:tc>
          <w:tcPr>
            <w:tcW w:w="1417" w:type="dxa"/>
            <w:vMerge/>
          </w:tcPr>
          <w:p w14:paraId="66B021F9" w14:textId="77777777" w:rsidR="00454A29" w:rsidRDefault="00454A29"/>
        </w:tc>
        <w:tc>
          <w:tcPr>
            <w:tcW w:w="2204" w:type="dxa"/>
            <w:vMerge/>
          </w:tcPr>
          <w:p w14:paraId="0E142D4B" w14:textId="77777777" w:rsidR="00454A29" w:rsidRDefault="00454A29"/>
        </w:tc>
        <w:tc>
          <w:tcPr>
            <w:tcW w:w="1417" w:type="dxa"/>
            <w:vMerge/>
          </w:tcPr>
          <w:p w14:paraId="371A55F0" w14:textId="77777777" w:rsidR="00454A29" w:rsidRDefault="00454A29"/>
        </w:tc>
        <w:tc>
          <w:tcPr>
            <w:tcW w:w="2324" w:type="dxa"/>
            <w:vMerge/>
          </w:tcPr>
          <w:p w14:paraId="085F9ACD" w14:textId="77777777" w:rsidR="00454A29" w:rsidRDefault="00454A29"/>
        </w:tc>
        <w:tc>
          <w:tcPr>
            <w:tcW w:w="1701" w:type="dxa"/>
            <w:vAlign w:val="center"/>
          </w:tcPr>
          <w:p w14:paraId="56C2704E" w14:textId="77777777" w:rsidR="00454A29" w:rsidRDefault="00454A29">
            <w:pPr>
              <w:pStyle w:val="ConsPlusNormal"/>
              <w:jc w:val="center"/>
            </w:pPr>
            <w:r>
              <w:t>-</w:t>
            </w:r>
          </w:p>
        </w:tc>
        <w:tc>
          <w:tcPr>
            <w:tcW w:w="1814" w:type="dxa"/>
            <w:vAlign w:val="center"/>
          </w:tcPr>
          <w:p w14:paraId="7C5B4543" w14:textId="77777777" w:rsidR="00454A29" w:rsidRDefault="00454A29">
            <w:pPr>
              <w:pStyle w:val="ConsPlusNormal"/>
            </w:pPr>
          </w:p>
        </w:tc>
        <w:tc>
          <w:tcPr>
            <w:tcW w:w="1701" w:type="dxa"/>
            <w:vAlign w:val="center"/>
          </w:tcPr>
          <w:p w14:paraId="547D0EE1" w14:textId="77777777" w:rsidR="00454A29" w:rsidRDefault="00454A29">
            <w:pPr>
              <w:pStyle w:val="ConsPlusNormal"/>
            </w:pPr>
          </w:p>
        </w:tc>
        <w:tc>
          <w:tcPr>
            <w:tcW w:w="1701" w:type="dxa"/>
            <w:vAlign w:val="center"/>
          </w:tcPr>
          <w:p w14:paraId="5CB0AB2C" w14:textId="77777777" w:rsidR="00454A29" w:rsidRDefault="00454A29">
            <w:pPr>
              <w:pStyle w:val="ConsPlusNormal"/>
            </w:pPr>
          </w:p>
        </w:tc>
        <w:tc>
          <w:tcPr>
            <w:tcW w:w="1814" w:type="dxa"/>
            <w:vAlign w:val="center"/>
          </w:tcPr>
          <w:p w14:paraId="00A3A43C" w14:textId="77777777" w:rsidR="00454A29" w:rsidRDefault="00454A29">
            <w:pPr>
              <w:pStyle w:val="ConsPlusNormal"/>
            </w:pPr>
          </w:p>
        </w:tc>
      </w:tr>
      <w:tr w:rsidR="00454A29" w14:paraId="3AA217BD" w14:textId="77777777">
        <w:tc>
          <w:tcPr>
            <w:tcW w:w="21706" w:type="dxa"/>
            <w:gridSpan w:val="12"/>
            <w:vAlign w:val="center"/>
          </w:tcPr>
          <w:p w14:paraId="55D72B39" w14:textId="77777777" w:rsidR="00454A29" w:rsidRDefault="00454A29">
            <w:pPr>
              <w:pStyle w:val="ConsPlusNormal"/>
              <w:jc w:val="center"/>
            </w:pPr>
            <w:r>
              <w:lastRenderedPageBreak/>
              <w:t>Мероприятие 10.2.2.</w:t>
            </w:r>
          </w:p>
        </w:tc>
      </w:tr>
      <w:tr w:rsidR="00454A29" w14:paraId="0AB4056D" w14:textId="77777777">
        <w:tc>
          <w:tcPr>
            <w:tcW w:w="567" w:type="dxa"/>
            <w:vMerge w:val="restart"/>
            <w:vAlign w:val="center"/>
          </w:tcPr>
          <w:p w14:paraId="777590B6" w14:textId="77777777" w:rsidR="00454A29" w:rsidRDefault="00454A29">
            <w:pPr>
              <w:pStyle w:val="ConsPlusNormal"/>
            </w:pPr>
          </w:p>
        </w:tc>
        <w:tc>
          <w:tcPr>
            <w:tcW w:w="3345" w:type="dxa"/>
            <w:vMerge w:val="restart"/>
            <w:vAlign w:val="center"/>
          </w:tcPr>
          <w:p w14:paraId="743D9B43" w14:textId="77777777" w:rsidR="00454A29" w:rsidRDefault="00454A29">
            <w:pPr>
              <w:pStyle w:val="ConsPlusNormal"/>
              <w:jc w:val="center"/>
            </w:pPr>
            <w:r>
              <w:t>Строительство, приобретение и реконструкция зданий дошкольного образования (софинансирование)</w:t>
            </w:r>
          </w:p>
        </w:tc>
        <w:tc>
          <w:tcPr>
            <w:tcW w:w="1701" w:type="dxa"/>
            <w:vAlign w:val="center"/>
          </w:tcPr>
          <w:p w14:paraId="7A7A50FF" w14:textId="77777777" w:rsidR="00454A29" w:rsidRDefault="00454A29">
            <w:pPr>
              <w:pStyle w:val="ConsPlusNormal"/>
              <w:jc w:val="center"/>
            </w:pPr>
            <w:r>
              <w:t>Всего:</w:t>
            </w:r>
          </w:p>
        </w:tc>
        <w:tc>
          <w:tcPr>
            <w:tcW w:w="1417" w:type="dxa"/>
            <w:vMerge w:val="restart"/>
            <w:vAlign w:val="center"/>
          </w:tcPr>
          <w:p w14:paraId="418249FC" w14:textId="77777777" w:rsidR="00454A29" w:rsidRDefault="00454A29">
            <w:pPr>
              <w:pStyle w:val="ConsPlusNormal"/>
              <w:jc w:val="center"/>
            </w:pPr>
            <w:r>
              <w:t>х</w:t>
            </w:r>
          </w:p>
        </w:tc>
        <w:tc>
          <w:tcPr>
            <w:tcW w:w="2204" w:type="dxa"/>
            <w:vMerge w:val="restart"/>
            <w:vAlign w:val="center"/>
          </w:tcPr>
          <w:p w14:paraId="3E5D326C" w14:textId="77777777" w:rsidR="00454A29" w:rsidRDefault="00454A29">
            <w:pPr>
              <w:pStyle w:val="ConsPlusNormal"/>
              <w:jc w:val="center"/>
            </w:pPr>
            <w:r>
              <w:t>х</w:t>
            </w:r>
          </w:p>
        </w:tc>
        <w:tc>
          <w:tcPr>
            <w:tcW w:w="1417" w:type="dxa"/>
            <w:vMerge w:val="restart"/>
            <w:vAlign w:val="center"/>
          </w:tcPr>
          <w:p w14:paraId="186425F7" w14:textId="77777777" w:rsidR="00454A29" w:rsidRDefault="00454A29">
            <w:pPr>
              <w:pStyle w:val="ConsPlusNormal"/>
              <w:jc w:val="center"/>
            </w:pPr>
            <w:r>
              <w:t>0</w:t>
            </w:r>
          </w:p>
        </w:tc>
        <w:tc>
          <w:tcPr>
            <w:tcW w:w="2324" w:type="dxa"/>
            <w:vMerge w:val="restart"/>
            <w:vAlign w:val="center"/>
          </w:tcPr>
          <w:p w14:paraId="55112835" w14:textId="77777777" w:rsidR="00454A29" w:rsidRDefault="00454A29">
            <w:pPr>
              <w:pStyle w:val="ConsPlusNormal"/>
              <w:jc w:val="center"/>
            </w:pPr>
            <w:r>
              <w:t>х</w:t>
            </w:r>
          </w:p>
        </w:tc>
        <w:tc>
          <w:tcPr>
            <w:tcW w:w="1701" w:type="dxa"/>
            <w:vAlign w:val="center"/>
          </w:tcPr>
          <w:p w14:paraId="0E404AEE" w14:textId="77777777" w:rsidR="00454A29" w:rsidRDefault="00454A29">
            <w:pPr>
              <w:pStyle w:val="ConsPlusNormal"/>
              <w:jc w:val="center"/>
            </w:pPr>
            <w:r>
              <w:t>-</w:t>
            </w:r>
          </w:p>
        </w:tc>
        <w:tc>
          <w:tcPr>
            <w:tcW w:w="1814" w:type="dxa"/>
            <w:vAlign w:val="center"/>
          </w:tcPr>
          <w:p w14:paraId="53873F7C" w14:textId="77777777" w:rsidR="00454A29" w:rsidRDefault="00454A29">
            <w:pPr>
              <w:pStyle w:val="ConsPlusNormal"/>
              <w:jc w:val="center"/>
            </w:pPr>
            <w:r>
              <w:t>-</w:t>
            </w:r>
          </w:p>
        </w:tc>
        <w:tc>
          <w:tcPr>
            <w:tcW w:w="1701" w:type="dxa"/>
            <w:vAlign w:val="center"/>
          </w:tcPr>
          <w:p w14:paraId="069B6CA4" w14:textId="77777777" w:rsidR="00454A29" w:rsidRDefault="00454A29">
            <w:pPr>
              <w:pStyle w:val="ConsPlusNormal"/>
              <w:jc w:val="center"/>
            </w:pPr>
            <w:r>
              <w:t>-</w:t>
            </w:r>
          </w:p>
        </w:tc>
        <w:tc>
          <w:tcPr>
            <w:tcW w:w="1701" w:type="dxa"/>
            <w:vAlign w:val="center"/>
          </w:tcPr>
          <w:p w14:paraId="13A374F8" w14:textId="77777777" w:rsidR="00454A29" w:rsidRDefault="00454A29">
            <w:pPr>
              <w:pStyle w:val="ConsPlusNormal"/>
              <w:jc w:val="center"/>
            </w:pPr>
            <w:r>
              <w:t>-</w:t>
            </w:r>
          </w:p>
        </w:tc>
        <w:tc>
          <w:tcPr>
            <w:tcW w:w="1814" w:type="dxa"/>
            <w:vAlign w:val="center"/>
          </w:tcPr>
          <w:p w14:paraId="00CB1A13" w14:textId="77777777" w:rsidR="00454A29" w:rsidRDefault="00454A29">
            <w:pPr>
              <w:pStyle w:val="ConsPlusNormal"/>
              <w:jc w:val="center"/>
            </w:pPr>
            <w:r>
              <w:t>-</w:t>
            </w:r>
          </w:p>
        </w:tc>
      </w:tr>
      <w:tr w:rsidR="00454A29" w14:paraId="5BE2A0D4" w14:textId="77777777">
        <w:tc>
          <w:tcPr>
            <w:tcW w:w="567" w:type="dxa"/>
            <w:vMerge/>
          </w:tcPr>
          <w:p w14:paraId="3740D4C1" w14:textId="77777777" w:rsidR="00454A29" w:rsidRDefault="00454A29"/>
        </w:tc>
        <w:tc>
          <w:tcPr>
            <w:tcW w:w="3345" w:type="dxa"/>
            <w:vMerge/>
          </w:tcPr>
          <w:p w14:paraId="4D2ED142" w14:textId="77777777" w:rsidR="00454A29" w:rsidRDefault="00454A29"/>
        </w:tc>
        <w:tc>
          <w:tcPr>
            <w:tcW w:w="1701" w:type="dxa"/>
            <w:vAlign w:val="center"/>
          </w:tcPr>
          <w:p w14:paraId="181EAABE" w14:textId="77777777" w:rsidR="00454A29" w:rsidRDefault="00454A29">
            <w:pPr>
              <w:pStyle w:val="ConsPlusNormal"/>
              <w:jc w:val="center"/>
            </w:pPr>
            <w:r>
              <w:t>2020</w:t>
            </w:r>
          </w:p>
        </w:tc>
        <w:tc>
          <w:tcPr>
            <w:tcW w:w="1417" w:type="dxa"/>
            <w:vMerge/>
          </w:tcPr>
          <w:p w14:paraId="6B8905BA" w14:textId="77777777" w:rsidR="00454A29" w:rsidRDefault="00454A29"/>
        </w:tc>
        <w:tc>
          <w:tcPr>
            <w:tcW w:w="2204" w:type="dxa"/>
            <w:vMerge/>
          </w:tcPr>
          <w:p w14:paraId="02AD8E16" w14:textId="77777777" w:rsidR="00454A29" w:rsidRDefault="00454A29"/>
        </w:tc>
        <w:tc>
          <w:tcPr>
            <w:tcW w:w="1417" w:type="dxa"/>
            <w:vMerge/>
          </w:tcPr>
          <w:p w14:paraId="5730897A" w14:textId="77777777" w:rsidR="00454A29" w:rsidRDefault="00454A29"/>
        </w:tc>
        <w:tc>
          <w:tcPr>
            <w:tcW w:w="2324" w:type="dxa"/>
            <w:vMerge/>
          </w:tcPr>
          <w:p w14:paraId="7C1702F5" w14:textId="77777777" w:rsidR="00454A29" w:rsidRDefault="00454A29"/>
        </w:tc>
        <w:tc>
          <w:tcPr>
            <w:tcW w:w="1701" w:type="dxa"/>
            <w:vAlign w:val="center"/>
          </w:tcPr>
          <w:p w14:paraId="19D96898" w14:textId="77777777" w:rsidR="00454A29" w:rsidRDefault="00454A29">
            <w:pPr>
              <w:pStyle w:val="ConsPlusNormal"/>
              <w:jc w:val="center"/>
            </w:pPr>
            <w:r>
              <w:t>-</w:t>
            </w:r>
          </w:p>
        </w:tc>
        <w:tc>
          <w:tcPr>
            <w:tcW w:w="1814" w:type="dxa"/>
            <w:vAlign w:val="center"/>
          </w:tcPr>
          <w:p w14:paraId="448E3ECC" w14:textId="77777777" w:rsidR="00454A29" w:rsidRDefault="00454A29">
            <w:pPr>
              <w:pStyle w:val="ConsPlusNormal"/>
            </w:pPr>
          </w:p>
        </w:tc>
        <w:tc>
          <w:tcPr>
            <w:tcW w:w="1701" w:type="dxa"/>
            <w:vAlign w:val="center"/>
          </w:tcPr>
          <w:p w14:paraId="200BFF10" w14:textId="77777777" w:rsidR="00454A29" w:rsidRDefault="00454A29">
            <w:pPr>
              <w:pStyle w:val="ConsPlusNormal"/>
            </w:pPr>
          </w:p>
        </w:tc>
        <w:tc>
          <w:tcPr>
            <w:tcW w:w="1701" w:type="dxa"/>
            <w:vAlign w:val="center"/>
          </w:tcPr>
          <w:p w14:paraId="0744D252" w14:textId="77777777" w:rsidR="00454A29" w:rsidRDefault="00454A29">
            <w:pPr>
              <w:pStyle w:val="ConsPlusNormal"/>
            </w:pPr>
          </w:p>
        </w:tc>
        <w:tc>
          <w:tcPr>
            <w:tcW w:w="1814" w:type="dxa"/>
            <w:vAlign w:val="center"/>
          </w:tcPr>
          <w:p w14:paraId="76454E88" w14:textId="77777777" w:rsidR="00454A29" w:rsidRDefault="00454A29">
            <w:pPr>
              <w:pStyle w:val="ConsPlusNormal"/>
            </w:pPr>
          </w:p>
        </w:tc>
      </w:tr>
      <w:tr w:rsidR="00454A29" w14:paraId="6A0BD204" w14:textId="77777777">
        <w:tc>
          <w:tcPr>
            <w:tcW w:w="567" w:type="dxa"/>
            <w:vMerge/>
          </w:tcPr>
          <w:p w14:paraId="2040D4BC" w14:textId="77777777" w:rsidR="00454A29" w:rsidRDefault="00454A29"/>
        </w:tc>
        <w:tc>
          <w:tcPr>
            <w:tcW w:w="3345" w:type="dxa"/>
            <w:vMerge/>
          </w:tcPr>
          <w:p w14:paraId="722E0377" w14:textId="77777777" w:rsidR="00454A29" w:rsidRDefault="00454A29"/>
        </w:tc>
        <w:tc>
          <w:tcPr>
            <w:tcW w:w="1701" w:type="dxa"/>
            <w:vAlign w:val="center"/>
          </w:tcPr>
          <w:p w14:paraId="6A47DDE5" w14:textId="77777777" w:rsidR="00454A29" w:rsidRDefault="00454A29">
            <w:pPr>
              <w:pStyle w:val="ConsPlusNormal"/>
              <w:jc w:val="center"/>
            </w:pPr>
            <w:r>
              <w:t>2021</w:t>
            </w:r>
          </w:p>
        </w:tc>
        <w:tc>
          <w:tcPr>
            <w:tcW w:w="1417" w:type="dxa"/>
            <w:vMerge/>
          </w:tcPr>
          <w:p w14:paraId="62188929" w14:textId="77777777" w:rsidR="00454A29" w:rsidRDefault="00454A29"/>
        </w:tc>
        <w:tc>
          <w:tcPr>
            <w:tcW w:w="2204" w:type="dxa"/>
            <w:vMerge/>
          </w:tcPr>
          <w:p w14:paraId="6252C41B" w14:textId="77777777" w:rsidR="00454A29" w:rsidRDefault="00454A29"/>
        </w:tc>
        <w:tc>
          <w:tcPr>
            <w:tcW w:w="1417" w:type="dxa"/>
            <w:vMerge/>
          </w:tcPr>
          <w:p w14:paraId="1C3A3453" w14:textId="77777777" w:rsidR="00454A29" w:rsidRDefault="00454A29"/>
        </w:tc>
        <w:tc>
          <w:tcPr>
            <w:tcW w:w="2324" w:type="dxa"/>
            <w:vMerge/>
          </w:tcPr>
          <w:p w14:paraId="7FF618EF" w14:textId="77777777" w:rsidR="00454A29" w:rsidRDefault="00454A29"/>
        </w:tc>
        <w:tc>
          <w:tcPr>
            <w:tcW w:w="1701" w:type="dxa"/>
            <w:vAlign w:val="center"/>
          </w:tcPr>
          <w:p w14:paraId="1F277F4A" w14:textId="77777777" w:rsidR="00454A29" w:rsidRDefault="00454A29">
            <w:pPr>
              <w:pStyle w:val="ConsPlusNormal"/>
              <w:jc w:val="center"/>
            </w:pPr>
            <w:r>
              <w:t>-</w:t>
            </w:r>
          </w:p>
        </w:tc>
        <w:tc>
          <w:tcPr>
            <w:tcW w:w="1814" w:type="dxa"/>
            <w:vAlign w:val="center"/>
          </w:tcPr>
          <w:p w14:paraId="494AF41A" w14:textId="77777777" w:rsidR="00454A29" w:rsidRDefault="00454A29">
            <w:pPr>
              <w:pStyle w:val="ConsPlusNormal"/>
            </w:pPr>
          </w:p>
        </w:tc>
        <w:tc>
          <w:tcPr>
            <w:tcW w:w="1701" w:type="dxa"/>
            <w:vAlign w:val="center"/>
          </w:tcPr>
          <w:p w14:paraId="5B836874" w14:textId="77777777" w:rsidR="00454A29" w:rsidRDefault="00454A29">
            <w:pPr>
              <w:pStyle w:val="ConsPlusNormal"/>
            </w:pPr>
          </w:p>
        </w:tc>
        <w:tc>
          <w:tcPr>
            <w:tcW w:w="1701" w:type="dxa"/>
            <w:vAlign w:val="center"/>
          </w:tcPr>
          <w:p w14:paraId="5B4B1044" w14:textId="77777777" w:rsidR="00454A29" w:rsidRDefault="00454A29">
            <w:pPr>
              <w:pStyle w:val="ConsPlusNormal"/>
            </w:pPr>
          </w:p>
        </w:tc>
        <w:tc>
          <w:tcPr>
            <w:tcW w:w="1814" w:type="dxa"/>
            <w:vAlign w:val="center"/>
          </w:tcPr>
          <w:p w14:paraId="69BBF0A5" w14:textId="77777777" w:rsidR="00454A29" w:rsidRDefault="00454A29">
            <w:pPr>
              <w:pStyle w:val="ConsPlusNormal"/>
            </w:pPr>
          </w:p>
        </w:tc>
      </w:tr>
      <w:tr w:rsidR="00454A29" w14:paraId="38DA9987" w14:textId="77777777">
        <w:tc>
          <w:tcPr>
            <w:tcW w:w="567" w:type="dxa"/>
            <w:vMerge/>
          </w:tcPr>
          <w:p w14:paraId="6284C8C1" w14:textId="77777777" w:rsidR="00454A29" w:rsidRDefault="00454A29"/>
        </w:tc>
        <w:tc>
          <w:tcPr>
            <w:tcW w:w="3345" w:type="dxa"/>
            <w:vMerge/>
          </w:tcPr>
          <w:p w14:paraId="1B168422" w14:textId="77777777" w:rsidR="00454A29" w:rsidRDefault="00454A29"/>
        </w:tc>
        <w:tc>
          <w:tcPr>
            <w:tcW w:w="1701" w:type="dxa"/>
            <w:vAlign w:val="center"/>
          </w:tcPr>
          <w:p w14:paraId="49D7D508" w14:textId="77777777" w:rsidR="00454A29" w:rsidRDefault="00454A29">
            <w:pPr>
              <w:pStyle w:val="ConsPlusNormal"/>
              <w:jc w:val="center"/>
            </w:pPr>
            <w:r>
              <w:t>2022</w:t>
            </w:r>
          </w:p>
        </w:tc>
        <w:tc>
          <w:tcPr>
            <w:tcW w:w="1417" w:type="dxa"/>
            <w:vMerge/>
          </w:tcPr>
          <w:p w14:paraId="78147516" w14:textId="77777777" w:rsidR="00454A29" w:rsidRDefault="00454A29"/>
        </w:tc>
        <w:tc>
          <w:tcPr>
            <w:tcW w:w="2204" w:type="dxa"/>
            <w:vMerge/>
          </w:tcPr>
          <w:p w14:paraId="43DCBD62" w14:textId="77777777" w:rsidR="00454A29" w:rsidRDefault="00454A29"/>
        </w:tc>
        <w:tc>
          <w:tcPr>
            <w:tcW w:w="1417" w:type="dxa"/>
            <w:vMerge/>
          </w:tcPr>
          <w:p w14:paraId="065A4421" w14:textId="77777777" w:rsidR="00454A29" w:rsidRDefault="00454A29"/>
        </w:tc>
        <w:tc>
          <w:tcPr>
            <w:tcW w:w="2324" w:type="dxa"/>
            <w:vMerge/>
          </w:tcPr>
          <w:p w14:paraId="4FF44C33" w14:textId="77777777" w:rsidR="00454A29" w:rsidRDefault="00454A29"/>
        </w:tc>
        <w:tc>
          <w:tcPr>
            <w:tcW w:w="1701" w:type="dxa"/>
            <w:vAlign w:val="center"/>
          </w:tcPr>
          <w:p w14:paraId="6A1C32CA" w14:textId="77777777" w:rsidR="00454A29" w:rsidRDefault="00454A29">
            <w:pPr>
              <w:pStyle w:val="ConsPlusNormal"/>
              <w:jc w:val="center"/>
            </w:pPr>
            <w:r>
              <w:t>-</w:t>
            </w:r>
          </w:p>
        </w:tc>
        <w:tc>
          <w:tcPr>
            <w:tcW w:w="1814" w:type="dxa"/>
            <w:vAlign w:val="center"/>
          </w:tcPr>
          <w:p w14:paraId="56D56FA9" w14:textId="77777777" w:rsidR="00454A29" w:rsidRDefault="00454A29">
            <w:pPr>
              <w:pStyle w:val="ConsPlusNormal"/>
            </w:pPr>
          </w:p>
        </w:tc>
        <w:tc>
          <w:tcPr>
            <w:tcW w:w="1701" w:type="dxa"/>
            <w:vAlign w:val="center"/>
          </w:tcPr>
          <w:p w14:paraId="55297F09" w14:textId="77777777" w:rsidR="00454A29" w:rsidRDefault="00454A29">
            <w:pPr>
              <w:pStyle w:val="ConsPlusNormal"/>
            </w:pPr>
          </w:p>
        </w:tc>
        <w:tc>
          <w:tcPr>
            <w:tcW w:w="1701" w:type="dxa"/>
            <w:vAlign w:val="center"/>
          </w:tcPr>
          <w:p w14:paraId="33FB518A" w14:textId="77777777" w:rsidR="00454A29" w:rsidRDefault="00454A29">
            <w:pPr>
              <w:pStyle w:val="ConsPlusNormal"/>
            </w:pPr>
          </w:p>
        </w:tc>
        <w:tc>
          <w:tcPr>
            <w:tcW w:w="1814" w:type="dxa"/>
            <w:vAlign w:val="center"/>
          </w:tcPr>
          <w:p w14:paraId="4B73E9BB" w14:textId="77777777" w:rsidR="00454A29" w:rsidRDefault="00454A29">
            <w:pPr>
              <w:pStyle w:val="ConsPlusNormal"/>
            </w:pPr>
          </w:p>
        </w:tc>
      </w:tr>
      <w:tr w:rsidR="00454A29" w14:paraId="3C530405" w14:textId="77777777">
        <w:tc>
          <w:tcPr>
            <w:tcW w:w="567" w:type="dxa"/>
            <w:vMerge/>
          </w:tcPr>
          <w:p w14:paraId="3540ADC7" w14:textId="77777777" w:rsidR="00454A29" w:rsidRDefault="00454A29"/>
        </w:tc>
        <w:tc>
          <w:tcPr>
            <w:tcW w:w="3345" w:type="dxa"/>
            <w:vMerge/>
          </w:tcPr>
          <w:p w14:paraId="0D578E0D" w14:textId="77777777" w:rsidR="00454A29" w:rsidRDefault="00454A29"/>
        </w:tc>
        <w:tc>
          <w:tcPr>
            <w:tcW w:w="1701" w:type="dxa"/>
            <w:vAlign w:val="center"/>
          </w:tcPr>
          <w:p w14:paraId="72F14BA1" w14:textId="77777777" w:rsidR="00454A29" w:rsidRDefault="00454A29">
            <w:pPr>
              <w:pStyle w:val="ConsPlusNormal"/>
              <w:jc w:val="center"/>
            </w:pPr>
            <w:r>
              <w:t>2023</w:t>
            </w:r>
          </w:p>
        </w:tc>
        <w:tc>
          <w:tcPr>
            <w:tcW w:w="1417" w:type="dxa"/>
            <w:vMerge/>
          </w:tcPr>
          <w:p w14:paraId="2DEF678F" w14:textId="77777777" w:rsidR="00454A29" w:rsidRDefault="00454A29"/>
        </w:tc>
        <w:tc>
          <w:tcPr>
            <w:tcW w:w="2204" w:type="dxa"/>
            <w:vMerge/>
          </w:tcPr>
          <w:p w14:paraId="5464AD64" w14:textId="77777777" w:rsidR="00454A29" w:rsidRDefault="00454A29"/>
        </w:tc>
        <w:tc>
          <w:tcPr>
            <w:tcW w:w="1417" w:type="dxa"/>
            <w:vMerge/>
          </w:tcPr>
          <w:p w14:paraId="355CCA5E" w14:textId="77777777" w:rsidR="00454A29" w:rsidRDefault="00454A29"/>
        </w:tc>
        <w:tc>
          <w:tcPr>
            <w:tcW w:w="2324" w:type="dxa"/>
            <w:vMerge/>
          </w:tcPr>
          <w:p w14:paraId="43CC4759" w14:textId="77777777" w:rsidR="00454A29" w:rsidRDefault="00454A29"/>
        </w:tc>
        <w:tc>
          <w:tcPr>
            <w:tcW w:w="1701" w:type="dxa"/>
            <w:vAlign w:val="center"/>
          </w:tcPr>
          <w:p w14:paraId="0ED9FAF3" w14:textId="77777777" w:rsidR="00454A29" w:rsidRDefault="00454A29">
            <w:pPr>
              <w:pStyle w:val="ConsPlusNormal"/>
              <w:jc w:val="center"/>
            </w:pPr>
            <w:r>
              <w:t>-</w:t>
            </w:r>
          </w:p>
        </w:tc>
        <w:tc>
          <w:tcPr>
            <w:tcW w:w="1814" w:type="dxa"/>
            <w:vAlign w:val="center"/>
          </w:tcPr>
          <w:p w14:paraId="5B7CF90B" w14:textId="77777777" w:rsidR="00454A29" w:rsidRDefault="00454A29">
            <w:pPr>
              <w:pStyle w:val="ConsPlusNormal"/>
            </w:pPr>
          </w:p>
        </w:tc>
        <w:tc>
          <w:tcPr>
            <w:tcW w:w="1701" w:type="dxa"/>
            <w:vAlign w:val="center"/>
          </w:tcPr>
          <w:p w14:paraId="646B00BF" w14:textId="77777777" w:rsidR="00454A29" w:rsidRDefault="00454A29">
            <w:pPr>
              <w:pStyle w:val="ConsPlusNormal"/>
            </w:pPr>
          </w:p>
        </w:tc>
        <w:tc>
          <w:tcPr>
            <w:tcW w:w="1701" w:type="dxa"/>
            <w:vAlign w:val="center"/>
          </w:tcPr>
          <w:p w14:paraId="780892D9" w14:textId="77777777" w:rsidR="00454A29" w:rsidRDefault="00454A29">
            <w:pPr>
              <w:pStyle w:val="ConsPlusNormal"/>
            </w:pPr>
          </w:p>
        </w:tc>
        <w:tc>
          <w:tcPr>
            <w:tcW w:w="1814" w:type="dxa"/>
            <w:vAlign w:val="center"/>
          </w:tcPr>
          <w:p w14:paraId="7BF68B82" w14:textId="77777777" w:rsidR="00454A29" w:rsidRDefault="00454A29">
            <w:pPr>
              <w:pStyle w:val="ConsPlusNormal"/>
            </w:pPr>
          </w:p>
        </w:tc>
      </w:tr>
      <w:tr w:rsidR="00454A29" w14:paraId="2145AA85" w14:textId="77777777">
        <w:tc>
          <w:tcPr>
            <w:tcW w:w="567" w:type="dxa"/>
            <w:vMerge/>
          </w:tcPr>
          <w:p w14:paraId="57CE0F27" w14:textId="77777777" w:rsidR="00454A29" w:rsidRDefault="00454A29"/>
        </w:tc>
        <w:tc>
          <w:tcPr>
            <w:tcW w:w="3345" w:type="dxa"/>
            <w:vMerge/>
          </w:tcPr>
          <w:p w14:paraId="1728351F" w14:textId="77777777" w:rsidR="00454A29" w:rsidRDefault="00454A29"/>
        </w:tc>
        <w:tc>
          <w:tcPr>
            <w:tcW w:w="1701" w:type="dxa"/>
            <w:vAlign w:val="center"/>
          </w:tcPr>
          <w:p w14:paraId="7C8A9397" w14:textId="77777777" w:rsidR="00454A29" w:rsidRDefault="00454A29">
            <w:pPr>
              <w:pStyle w:val="ConsPlusNormal"/>
              <w:jc w:val="center"/>
            </w:pPr>
            <w:r>
              <w:t>2024</w:t>
            </w:r>
          </w:p>
        </w:tc>
        <w:tc>
          <w:tcPr>
            <w:tcW w:w="1417" w:type="dxa"/>
            <w:vMerge/>
          </w:tcPr>
          <w:p w14:paraId="6B4D03EF" w14:textId="77777777" w:rsidR="00454A29" w:rsidRDefault="00454A29"/>
        </w:tc>
        <w:tc>
          <w:tcPr>
            <w:tcW w:w="2204" w:type="dxa"/>
            <w:vMerge/>
          </w:tcPr>
          <w:p w14:paraId="049CE03D" w14:textId="77777777" w:rsidR="00454A29" w:rsidRDefault="00454A29"/>
        </w:tc>
        <w:tc>
          <w:tcPr>
            <w:tcW w:w="1417" w:type="dxa"/>
            <w:vMerge/>
          </w:tcPr>
          <w:p w14:paraId="115333BE" w14:textId="77777777" w:rsidR="00454A29" w:rsidRDefault="00454A29"/>
        </w:tc>
        <w:tc>
          <w:tcPr>
            <w:tcW w:w="2324" w:type="dxa"/>
            <w:vMerge/>
          </w:tcPr>
          <w:p w14:paraId="3FF4C09D" w14:textId="77777777" w:rsidR="00454A29" w:rsidRDefault="00454A29"/>
        </w:tc>
        <w:tc>
          <w:tcPr>
            <w:tcW w:w="1701" w:type="dxa"/>
            <w:vAlign w:val="center"/>
          </w:tcPr>
          <w:p w14:paraId="2B8E108B" w14:textId="77777777" w:rsidR="00454A29" w:rsidRDefault="00454A29">
            <w:pPr>
              <w:pStyle w:val="ConsPlusNormal"/>
              <w:jc w:val="center"/>
            </w:pPr>
            <w:r>
              <w:t>-</w:t>
            </w:r>
          </w:p>
        </w:tc>
        <w:tc>
          <w:tcPr>
            <w:tcW w:w="1814" w:type="dxa"/>
            <w:vAlign w:val="center"/>
          </w:tcPr>
          <w:p w14:paraId="041D5F3E" w14:textId="77777777" w:rsidR="00454A29" w:rsidRDefault="00454A29">
            <w:pPr>
              <w:pStyle w:val="ConsPlusNormal"/>
            </w:pPr>
          </w:p>
        </w:tc>
        <w:tc>
          <w:tcPr>
            <w:tcW w:w="1701" w:type="dxa"/>
            <w:vAlign w:val="center"/>
          </w:tcPr>
          <w:p w14:paraId="75DB9095" w14:textId="77777777" w:rsidR="00454A29" w:rsidRDefault="00454A29">
            <w:pPr>
              <w:pStyle w:val="ConsPlusNormal"/>
            </w:pPr>
          </w:p>
        </w:tc>
        <w:tc>
          <w:tcPr>
            <w:tcW w:w="1701" w:type="dxa"/>
            <w:vAlign w:val="center"/>
          </w:tcPr>
          <w:p w14:paraId="034693C7" w14:textId="77777777" w:rsidR="00454A29" w:rsidRDefault="00454A29">
            <w:pPr>
              <w:pStyle w:val="ConsPlusNormal"/>
            </w:pPr>
          </w:p>
        </w:tc>
        <w:tc>
          <w:tcPr>
            <w:tcW w:w="1814" w:type="dxa"/>
            <w:vAlign w:val="center"/>
          </w:tcPr>
          <w:p w14:paraId="459FDF48" w14:textId="77777777" w:rsidR="00454A29" w:rsidRDefault="00454A29">
            <w:pPr>
              <w:pStyle w:val="ConsPlusNormal"/>
            </w:pPr>
          </w:p>
        </w:tc>
      </w:tr>
      <w:tr w:rsidR="00454A29" w14:paraId="361635AF" w14:textId="77777777">
        <w:tc>
          <w:tcPr>
            <w:tcW w:w="567" w:type="dxa"/>
            <w:vMerge/>
          </w:tcPr>
          <w:p w14:paraId="08AB873D" w14:textId="77777777" w:rsidR="00454A29" w:rsidRDefault="00454A29"/>
        </w:tc>
        <w:tc>
          <w:tcPr>
            <w:tcW w:w="3345" w:type="dxa"/>
            <w:vMerge/>
          </w:tcPr>
          <w:p w14:paraId="376FD73F" w14:textId="77777777" w:rsidR="00454A29" w:rsidRDefault="00454A29"/>
        </w:tc>
        <w:tc>
          <w:tcPr>
            <w:tcW w:w="1701" w:type="dxa"/>
            <w:vAlign w:val="center"/>
          </w:tcPr>
          <w:p w14:paraId="58A16C8B" w14:textId="77777777" w:rsidR="00454A29" w:rsidRDefault="00454A29">
            <w:pPr>
              <w:pStyle w:val="ConsPlusNormal"/>
              <w:jc w:val="center"/>
            </w:pPr>
            <w:r>
              <w:t>2025</w:t>
            </w:r>
          </w:p>
        </w:tc>
        <w:tc>
          <w:tcPr>
            <w:tcW w:w="1417" w:type="dxa"/>
            <w:vMerge/>
          </w:tcPr>
          <w:p w14:paraId="43CDF679" w14:textId="77777777" w:rsidR="00454A29" w:rsidRDefault="00454A29"/>
        </w:tc>
        <w:tc>
          <w:tcPr>
            <w:tcW w:w="2204" w:type="dxa"/>
            <w:vMerge/>
          </w:tcPr>
          <w:p w14:paraId="4F7561F6" w14:textId="77777777" w:rsidR="00454A29" w:rsidRDefault="00454A29"/>
        </w:tc>
        <w:tc>
          <w:tcPr>
            <w:tcW w:w="1417" w:type="dxa"/>
            <w:vMerge/>
          </w:tcPr>
          <w:p w14:paraId="653C0AAF" w14:textId="77777777" w:rsidR="00454A29" w:rsidRDefault="00454A29"/>
        </w:tc>
        <w:tc>
          <w:tcPr>
            <w:tcW w:w="2324" w:type="dxa"/>
            <w:vMerge/>
          </w:tcPr>
          <w:p w14:paraId="4B72C021" w14:textId="77777777" w:rsidR="00454A29" w:rsidRDefault="00454A29"/>
        </w:tc>
        <w:tc>
          <w:tcPr>
            <w:tcW w:w="1701" w:type="dxa"/>
            <w:vAlign w:val="center"/>
          </w:tcPr>
          <w:p w14:paraId="0C4182B1" w14:textId="77777777" w:rsidR="00454A29" w:rsidRDefault="00454A29">
            <w:pPr>
              <w:pStyle w:val="ConsPlusNormal"/>
              <w:jc w:val="center"/>
            </w:pPr>
            <w:r>
              <w:t>-</w:t>
            </w:r>
          </w:p>
        </w:tc>
        <w:tc>
          <w:tcPr>
            <w:tcW w:w="1814" w:type="dxa"/>
            <w:vAlign w:val="center"/>
          </w:tcPr>
          <w:p w14:paraId="483F6577" w14:textId="77777777" w:rsidR="00454A29" w:rsidRDefault="00454A29">
            <w:pPr>
              <w:pStyle w:val="ConsPlusNormal"/>
            </w:pPr>
          </w:p>
        </w:tc>
        <w:tc>
          <w:tcPr>
            <w:tcW w:w="1701" w:type="dxa"/>
            <w:vAlign w:val="center"/>
          </w:tcPr>
          <w:p w14:paraId="432463AB" w14:textId="77777777" w:rsidR="00454A29" w:rsidRDefault="00454A29">
            <w:pPr>
              <w:pStyle w:val="ConsPlusNormal"/>
            </w:pPr>
          </w:p>
        </w:tc>
        <w:tc>
          <w:tcPr>
            <w:tcW w:w="1701" w:type="dxa"/>
            <w:vAlign w:val="center"/>
          </w:tcPr>
          <w:p w14:paraId="66105E00" w14:textId="77777777" w:rsidR="00454A29" w:rsidRDefault="00454A29">
            <w:pPr>
              <w:pStyle w:val="ConsPlusNormal"/>
            </w:pPr>
          </w:p>
        </w:tc>
        <w:tc>
          <w:tcPr>
            <w:tcW w:w="1814" w:type="dxa"/>
            <w:vAlign w:val="center"/>
          </w:tcPr>
          <w:p w14:paraId="1CF31FC3" w14:textId="77777777" w:rsidR="00454A29" w:rsidRDefault="00454A29">
            <w:pPr>
              <w:pStyle w:val="ConsPlusNormal"/>
            </w:pPr>
          </w:p>
        </w:tc>
      </w:tr>
      <w:tr w:rsidR="00454A29" w14:paraId="369452D5" w14:textId="77777777">
        <w:tc>
          <w:tcPr>
            <w:tcW w:w="567" w:type="dxa"/>
            <w:vMerge/>
          </w:tcPr>
          <w:p w14:paraId="0D165D1C" w14:textId="77777777" w:rsidR="00454A29" w:rsidRDefault="00454A29"/>
        </w:tc>
        <w:tc>
          <w:tcPr>
            <w:tcW w:w="3345" w:type="dxa"/>
            <w:vMerge/>
          </w:tcPr>
          <w:p w14:paraId="2DFEA92E" w14:textId="77777777" w:rsidR="00454A29" w:rsidRDefault="00454A29"/>
        </w:tc>
        <w:tc>
          <w:tcPr>
            <w:tcW w:w="1701" w:type="dxa"/>
            <w:vAlign w:val="center"/>
          </w:tcPr>
          <w:p w14:paraId="1DAD116B" w14:textId="77777777" w:rsidR="00454A29" w:rsidRDefault="00454A29">
            <w:pPr>
              <w:pStyle w:val="ConsPlusNormal"/>
              <w:jc w:val="center"/>
            </w:pPr>
            <w:r>
              <w:t>2026</w:t>
            </w:r>
          </w:p>
        </w:tc>
        <w:tc>
          <w:tcPr>
            <w:tcW w:w="1417" w:type="dxa"/>
            <w:vMerge/>
          </w:tcPr>
          <w:p w14:paraId="13820932" w14:textId="77777777" w:rsidR="00454A29" w:rsidRDefault="00454A29"/>
        </w:tc>
        <w:tc>
          <w:tcPr>
            <w:tcW w:w="2204" w:type="dxa"/>
            <w:vMerge/>
          </w:tcPr>
          <w:p w14:paraId="7EA77609" w14:textId="77777777" w:rsidR="00454A29" w:rsidRDefault="00454A29"/>
        </w:tc>
        <w:tc>
          <w:tcPr>
            <w:tcW w:w="1417" w:type="dxa"/>
            <w:vMerge/>
          </w:tcPr>
          <w:p w14:paraId="79684448" w14:textId="77777777" w:rsidR="00454A29" w:rsidRDefault="00454A29"/>
        </w:tc>
        <w:tc>
          <w:tcPr>
            <w:tcW w:w="2324" w:type="dxa"/>
            <w:vMerge/>
          </w:tcPr>
          <w:p w14:paraId="301078AA" w14:textId="77777777" w:rsidR="00454A29" w:rsidRDefault="00454A29"/>
        </w:tc>
        <w:tc>
          <w:tcPr>
            <w:tcW w:w="1701" w:type="dxa"/>
            <w:vAlign w:val="center"/>
          </w:tcPr>
          <w:p w14:paraId="02F1EB00" w14:textId="77777777" w:rsidR="00454A29" w:rsidRDefault="00454A29">
            <w:pPr>
              <w:pStyle w:val="ConsPlusNormal"/>
              <w:jc w:val="center"/>
            </w:pPr>
            <w:r>
              <w:t>-</w:t>
            </w:r>
          </w:p>
        </w:tc>
        <w:tc>
          <w:tcPr>
            <w:tcW w:w="1814" w:type="dxa"/>
            <w:vAlign w:val="center"/>
          </w:tcPr>
          <w:p w14:paraId="15D11F4B" w14:textId="77777777" w:rsidR="00454A29" w:rsidRDefault="00454A29">
            <w:pPr>
              <w:pStyle w:val="ConsPlusNormal"/>
            </w:pPr>
          </w:p>
        </w:tc>
        <w:tc>
          <w:tcPr>
            <w:tcW w:w="1701" w:type="dxa"/>
            <w:vAlign w:val="center"/>
          </w:tcPr>
          <w:p w14:paraId="12AA2DE2" w14:textId="77777777" w:rsidR="00454A29" w:rsidRDefault="00454A29">
            <w:pPr>
              <w:pStyle w:val="ConsPlusNormal"/>
            </w:pPr>
          </w:p>
        </w:tc>
        <w:tc>
          <w:tcPr>
            <w:tcW w:w="1701" w:type="dxa"/>
            <w:vAlign w:val="center"/>
          </w:tcPr>
          <w:p w14:paraId="25AEF2F9" w14:textId="77777777" w:rsidR="00454A29" w:rsidRDefault="00454A29">
            <w:pPr>
              <w:pStyle w:val="ConsPlusNormal"/>
            </w:pPr>
          </w:p>
        </w:tc>
        <w:tc>
          <w:tcPr>
            <w:tcW w:w="1814" w:type="dxa"/>
            <w:vAlign w:val="center"/>
          </w:tcPr>
          <w:p w14:paraId="43ABF2F4" w14:textId="77777777" w:rsidR="00454A29" w:rsidRDefault="00454A29">
            <w:pPr>
              <w:pStyle w:val="ConsPlusNormal"/>
            </w:pPr>
          </w:p>
        </w:tc>
      </w:tr>
      <w:tr w:rsidR="00454A29" w14:paraId="276196DB" w14:textId="77777777">
        <w:tc>
          <w:tcPr>
            <w:tcW w:w="21706" w:type="dxa"/>
            <w:gridSpan w:val="12"/>
            <w:vAlign w:val="center"/>
          </w:tcPr>
          <w:p w14:paraId="733A8733" w14:textId="77777777" w:rsidR="00454A29" w:rsidRDefault="00454A29">
            <w:pPr>
              <w:pStyle w:val="ConsPlusNormal"/>
              <w:jc w:val="center"/>
            </w:pPr>
            <w:r>
              <w:t>Основное мероприятие 10.3.</w:t>
            </w:r>
          </w:p>
        </w:tc>
      </w:tr>
      <w:tr w:rsidR="00454A29" w14:paraId="7225EEFA" w14:textId="77777777">
        <w:tc>
          <w:tcPr>
            <w:tcW w:w="567" w:type="dxa"/>
            <w:vMerge w:val="restart"/>
            <w:vAlign w:val="center"/>
          </w:tcPr>
          <w:p w14:paraId="65E5159D" w14:textId="77777777" w:rsidR="00454A29" w:rsidRDefault="00454A29">
            <w:pPr>
              <w:pStyle w:val="ConsPlusNormal"/>
            </w:pPr>
          </w:p>
        </w:tc>
        <w:tc>
          <w:tcPr>
            <w:tcW w:w="3345" w:type="dxa"/>
            <w:vMerge w:val="restart"/>
            <w:vAlign w:val="center"/>
          </w:tcPr>
          <w:p w14:paraId="207B21DF" w14:textId="77777777" w:rsidR="00454A29" w:rsidRDefault="00454A29">
            <w:pPr>
              <w:pStyle w:val="ConsPlusNormal"/>
              <w:jc w:val="center"/>
            </w:pPr>
            <w:r>
              <w:t>Модернизация объектов дополнительного образования</w:t>
            </w:r>
          </w:p>
        </w:tc>
        <w:tc>
          <w:tcPr>
            <w:tcW w:w="1701" w:type="dxa"/>
            <w:vAlign w:val="center"/>
          </w:tcPr>
          <w:p w14:paraId="2ECF28D3" w14:textId="77777777" w:rsidR="00454A29" w:rsidRDefault="00454A29">
            <w:pPr>
              <w:pStyle w:val="ConsPlusNormal"/>
              <w:jc w:val="center"/>
            </w:pPr>
            <w:r>
              <w:t>Всего:</w:t>
            </w:r>
          </w:p>
        </w:tc>
        <w:tc>
          <w:tcPr>
            <w:tcW w:w="1417" w:type="dxa"/>
            <w:vMerge w:val="restart"/>
            <w:vAlign w:val="center"/>
          </w:tcPr>
          <w:p w14:paraId="5C5E0510" w14:textId="77777777" w:rsidR="00454A29" w:rsidRDefault="00454A29">
            <w:pPr>
              <w:pStyle w:val="ConsPlusNormal"/>
              <w:jc w:val="center"/>
            </w:pPr>
            <w:r>
              <w:t>х</w:t>
            </w:r>
          </w:p>
        </w:tc>
        <w:tc>
          <w:tcPr>
            <w:tcW w:w="2204" w:type="dxa"/>
            <w:vMerge w:val="restart"/>
            <w:vAlign w:val="center"/>
          </w:tcPr>
          <w:p w14:paraId="1DF50B8F" w14:textId="77777777" w:rsidR="00454A29" w:rsidRDefault="00454A29">
            <w:pPr>
              <w:pStyle w:val="ConsPlusNormal"/>
              <w:jc w:val="center"/>
            </w:pPr>
            <w:r>
              <w:t>х</w:t>
            </w:r>
          </w:p>
        </w:tc>
        <w:tc>
          <w:tcPr>
            <w:tcW w:w="1417" w:type="dxa"/>
            <w:vMerge w:val="restart"/>
            <w:vAlign w:val="center"/>
          </w:tcPr>
          <w:p w14:paraId="5CC93122" w14:textId="77777777" w:rsidR="00454A29" w:rsidRDefault="00454A29">
            <w:pPr>
              <w:pStyle w:val="ConsPlusNormal"/>
              <w:jc w:val="center"/>
            </w:pPr>
            <w:r>
              <w:t>400</w:t>
            </w:r>
          </w:p>
        </w:tc>
        <w:tc>
          <w:tcPr>
            <w:tcW w:w="2324" w:type="dxa"/>
            <w:vMerge w:val="restart"/>
            <w:vAlign w:val="center"/>
          </w:tcPr>
          <w:p w14:paraId="2D6ECA6E" w14:textId="77777777" w:rsidR="00454A29" w:rsidRDefault="00454A29">
            <w:pPr>
              <w:pStyle w:val="ConsPlusNormal"/>
              <w:jc w:val="center"/>
            </w:pPr>
            <w:r>
              <w:t>х</w:t>
            </w:r>
          </w:p>
        </w:tc>
        <w:tc>
          <w:tcPr>
            <w:tcW w:w="1701" w:type="dxa"/>
            <w:vAlign w:val="center"/>
          </w:tcPr>
          <w:p w14:paraId="0E58B914" w14:textId="77777777" w:rsidR="00454A29" w:rsidRDefault="00454A29">
            <w:pPr>
              <w:pStyle w:val="ConsPlusNormal"/>
              <w:jc w:val="center"/>
            </w:pPr>
            <w:r>
              <w:t>2 302 856,84</w:t>
            </w:r>
          </w:p>
        </w:tc>
        <w:tc>
          <w:tcPr>
            <w:tcW w:w="1814" w:type="dxa"/>
            <w:vAlign w:val="center"/>
          </w:tcPr>
          <w:p w14:paraId="7CC0E2F1" w14:textId="77777777" w:rsidR="00454A29" w:rsidRDefault="00454A29">
            <w:pPr>
              <w:pStyle w:val="ConsPlusNormal"/>
              <w:jc w:val="center"/>
            </w:pPr>
            <w:r>
              <w:t>40 000,00</w:t>
            </w:r>
          </w:p>
        </w:tc>
        <w:tc>
          <w:tcPr>
            <w:tcW w:w="1701" w:type="dxa"/>
            <w:vAlign w:val="center"/>
          </w:tcPr>
          <w:p w14:paraId="0ECF3DFA" w14:textId="77777777" w:rsidR="00454A29" w:rsidRDefault="00454A29">
            <w:pPr>
              <w:pStyle w:val="ConsPlusNormal"/>
              <w:jc w:val="center"/>
            </w:pPr>
            <w:r>
              <w:t>320 000,00</w:t>
            </w:r>
          </w:p>
        </w:tc>
        <w:tc>
          <w:tcPr>
            <w:tcW w:w="1701" w:type="dxa"/>
            <w:vAlign w:val="center"/>
          </w:tcPr>
          <w:p w14:paraId="3F894E34" w14:textId="77777777" w:rsidR="00454A29" w:rsidRDefault="00454A29">
            <w:pPr>
              <w:pStyle w:val="ConsPlusNormal"/>
              <w:jc w:val="center"/>
            </w:pPr>
            <w:r>
              <w:t>699 631,63</w:t>
            </w:r>
          </w:p>
        </w:tc>
        <w:tc>
          <w:tcPr>
            <w:tcW w:w="1814" w:type="dxa"/>
            <w:vAlign w:val="center"/>
          </w:tcPr>
          <w:p w14:paraId="1189E514" w14:textId="77777777" w:rsidR="00454A29" w:rsidRDefault="00454A29">
            <w:pPr>
              <w:pStyle w:val="ConsPlusNormal"/>
              <w:jc w:val="center"/>
            </w:pPr>
            <w:r>
              <w:t>1 243 225,21</w:t>
            </w:r>
          </w:p>
        </w:tc>
      </w:tr>
      <w:tr w:rsidR="00454A29" w14:paraId="1B144D8F" w14:textId="77777777">
        <w:tc>
          <w:tcPr>
            <w:tcW w:w="567" w:type="dxa"/>
            <w:vMerge/>
          </w:tcPr>
          <w:p w14:paraId="344DEE4C" w14:textId="77777777" w:rsidR="00454A29" w:rsidRDefault="00454A29"/>
        </w:tc>
        <w:tc>
          <w:tcPr>
            <w:tcW w:w="3345" w:type="dxa"/>
            <w:vMerge/>
          </w:tcPr>
          <w:p w14:paraId="2CBBAEA8" w14:textId="77777777" w:rsidR="00454A29" w:rsidRDefault="00454A29"/>
        </w:tc>
        <w:tc>
          <w:tcPr>
            <w:tcW w:w="1701" w:type="dxa"/>
            <w:vAlign w:val="center"/>
          </w:tcPr>
          <w:p w14:paraId="37281CBA" w14:textId="77777777" w:rsidR="00454A29" w:rsidRDefault="00454A29">
            <w:pPr>
              <w:pStyle w:val="ConsPlusNormal"/>
              <w:jc w:val="center"/>
            </w:pPr>
            <w:r>
              <w:t>2020</w:t>
            </w:r>
          </w:p>
        </w:tc>
        <w:tc>
          <w:tcPr>
            <w:tcW w:w="1417" w:type="dxa"/>
            <w:vMerge/>
          </w:tcPr>
          <w:p w14:paraId="18E2E02B" w14:textId="77777777" w:rsidR="00454A29" w:rsidRDefault="00454A29"/>
        </w:tc>
        <w:tc>
          <w:tcPr>
            <w:tcW w:w="2204" w:type="dxa"/>
            <w:vMerge/>
          </w:tcPr>
          <w:p w14:paraId="52BE87DE" w14:textId="77777777" w:rsidR="00454A29" w:rsidRDefault="00454A29"/>
        </w:tc>
        <w:tc>
          <w:tcPr>
            <w:tcW w:w="1417" w:type="dxa"/>
            <w:vMerge/>
          </w:tcPr>
          <w:p w14:paraId="726F3CF7" w14:textId="77777777" w:rsidR="00454A29" w:rsidRDefault="00454A29"/>
        </w:tc>
        <w:tc>
          <w:tcPr>
            <w:tcW w:w="2324" w:type="dxa"/>
            <w:vMerge/>
          </w:tcPr>
          <w:p w14:paraId="3082D075" w14:textId="77777777" w:rsidR="00454A29" w:rsidRDefault="00454A29"/>
        </w:tc>
        <w:tc>
          <w:tcPr>
            <w:tcW w:w="1701" w:type="dxa"/>
            <w:vAlign w:val="center"/>
          </w:tcPr>
          <w:p w14:paraId="2583F4BE" w14:textId="77777777" w:rsidR="00454A29" w:rsidRDefault="00454A29">
            <w:pPr>
              <w:pStyle w:val="ConsPlusNormal"/>
              <w:jc w:val="center"/>
            </w:pPr>
            <w:r>
              <w:t>936 541,87</w:t>
            </w:r>
          </w:p>
        </w:tc>
        <w:tc>
          <w:tcPr>
            <w:tcW w:w="1814" w:type="dxa"/>
            <w:vAlign w:val="center"/>
          </w:tcPr>
          <w:p w14:paraId="5250E780" w14:textId="77777777" w:rsidR="00454A29" w:rsidRDefault="00454A29">
            <w:pPr>
              <w:pStyle w:val="ConsPlusNormal"/>
              <w:jc w:val="center"/>
            </w:pPr>
            <w:r>
              <w:t>20 000,00</w:t>
            </w:r>
          </w:p>
        </w:tc>
        <w:tc>
          <w:tcPr>
            <w:tcW w:w="1701" w:type="dxa"/>
            <w:vAlign w:val="center"/>
          </w:tcPr>
          <w:p w14:paraId="04CE0879" w14:textId="77777777" w:rsidR="00454A29" w:rsidRDefault="00454A29">
            <w:pPr>
              <w:pStyle w:val="ConsPlusNormal"/>
              <w:jc w:val="center"/>
            </w:pPr>
            <w:r>
              <w:t>160 000,00</w:t>
            </w:r>
          </w:p>
        </w:tc>
        <w:tc>
          <w:tcPr>
            <w:tcW w:w="1701" w:type="dxa"/>
            <w:vAlign w:val="center"/>
          </w:tcPr>
          <w:p w14:paraId="6F27BDCE" w14:textId="77777777" w:rsidR="00454A29" w:rsidRDefault="00454A29">
            <w:pPr>
              <w:pStyle w:val="ConsPlusNormal"/>
              <w:jc w:val="center"/>
            </w:pPr>
            <w:r>
              <w:t>61 514,18</w:t>
            </w:r>
          </w:p>
        </w:tc>
        <w:tc>
          <w:tcPr>
            <w:tcW w:w="1814" w:type="dxa"/>
            <w:vAlign w:val="center"/>
          </w:tcPr>
          <w:p w14:paraId="62A97C59" w14:textId="77777777" w:rsidR="00454A29" w:rsidRDefault="00454A29">
            <w:pPr>
              <w:pStyle w:val="ConsPlusNormal"/>
              <w:jc w:val="center"/>
            </w:pPr>
            <w:r>
              <w:t>695 027,69</w:t>
            </w:r>
          </w:p>
        </w:tc>
      </w:tr>
      <w:tr w:rsidR="00454A29" w14:paraId="39FC3E3E" w14:textId="77777777">
        <w:tc>
          <w:tcPr>
            <w:tcW w:w="567" w:type="dxa"/>
            <w:vMerge/>
          </w:tcPr>
          <w:p w14:paraId="74F017A6" w14:textId="77777777" w:rsidR="00454A29" w:rsidRDefault="00454A29"/>
        </w:tc>
        <w:tc>
          <w:tcPr>
            <w:tcW w:w="3345" w:type="dxa"/>
            <w:vMerge/>
          </w:tcPr>
          <w:p w14:paraId="39C83E0E" w14:textId="77777777" w:rsidR="00454A29" w:rsidRDefault="00454A29"/>
        </w:tc>
        <w:tc>
          <w:tcPr>
            <w:tcW w:w="1701" w:type="dxa"/>
            <w:vAlign w:val="center"/>
          </w:tcPr>
          <w:p w14:paraId="52017793" w14:textId="77777777" w:rsidR="00454A29" w:rsidRDefault="00454A29">
            <w:pPr>
              <w:pStyle w:val="ConsPlusNormal"/>
              <w:jc w:val="center"/>
            </w:pPr>
            <w:r>
              <w:t>2021</w:t>
            </w:r>
          </w:p>
        </w:tc>
        <w:tc>
          <w:tcPr>
            <w:tcW w:w="1417" w:type="dxa"/>
            <w:vMerge/>
          </w:tcPr>
          <w:p w14:paraId="1D55301A" w14:textId="77777777" w:rsidR="00454A29" w:rsidRDefault="00454A29"/>
        </w:tc>
        <w:tc>
          <w:tcPr>
            <w:tcW w:w="2204" w:type="dxa"/>
            <w:vMerge/>
          </w:tcPr>
          <w:p w14:paraId="682305EC" w14:textId="77777777" w:rsidR="00454A29" w:rsidRDefault="00454A29"/>
        </w:tc>
        <w:tc>
          <w:tcPr>
            <w:tcW w:w="1417" w:type="dxa"/>
            <w:vMerge/>
          </w:tcPr>
          <w:p w14:paraId="22A71C95" w14:textId="77777777" w:rsidR="00454A29" w:rsidRDefault="00454A29"/>
        </w:tc>
        <w:tc>
          <w:tcPr>
            <w:tcW w:w="2324" w:type="dxa"/>
            <w:vMerge/>
          </w:tcPr>
          <w:p w14:paraId="00003E8C" w14:textId="77777777" w:rsidR="00454A29" w:rsidRDefault="00454A29"/>
        </w:tc>
        <w:tc>
          <w:tcPr>
            <w:tcW w:w="1701" w:type="dxa"/>
            <w:vAlign w:val="center"/>
          </w:tcPr>
          <w:p w14:paraId="246C401A" w14:textId="77777777" w:rsidR="00454A29" w:rsidRDefault="00454A29">
            <w:pPr>
              <w:pStyle w:val="ConsPlusNormal"/>
              <w:jc w:val="center"/>
            </w:pPr>
            <w:r>
              <w:t>799 483,40</w:t>
            </w:r>
          </w:p>
        </w:tc>
        <w:tc>
          <w:tcPr>
            <w:tcW w:w="1814" w:type="dxa"/>
            <w:vAlign w:val="center"/>
          </w:tcPr>
          <w:p w14:paraId="67E3E49C" w14:textId="77777777" w:rsidR="00454A29" w:rsidRDefault="00454A29">
            <w:pPr>
              <w:pStyle w:val="ConsPlusNormal"/>
              <w:jc w:val="center"/>
            </w:pPr>
            <w:r>
              <w:t>20 000,00</w:t>
            </w:r>
          </w:p>
        </w:tc>
        <w:tc>
          <w:tcPr>
            <w:tcW w:w="1701" w:type="dxa"/>
            <w:vAlign w:val="center"/>
          </w:tcPr>
          <w:p w14:paraId="2CC62105" w14:textId="77777777" w:rsidR="00454A29" w:rsidRDefault="00454A29">
            <w:pPr>
              <w:pStyle w:val="ConsPlusNormal"/>
              <w:jc w:val="center"/>
            </w:pPr>
            <w:r>
              <w:t>160 000,00</w:t>
            </w:r>
          </w:p>
        </w:tc>
        <w:tc>
          <w:tcPr>
            <w:tcW w:w="1701" w:type="dxa"/>
            <w:vAlign w:val="center"/>
          </w:tcPr>
          <w:p w14:paraId="47ED8951" w14:textId="77777777" w:rsidR="00454A29" w:rsidRDefault="00454A29">
            <w:pPr>
              <w:pStyle w:val="ConsPlusNormal"/>
              <w:jc w:val="center"/>
            </w:pPr>
            <w:r>
              <w:t>71 285,88</w:t>
            </w:r>
          </w:p>
        </w:tc>
        <w:tc>
          <w:tcPr>
            <w:tcW w:w="1814" w:type="dxa"/>
            <w:vAlign w:val="center"/>
          </w:tcPr>
          <w:p w14:paraId="7EB9D3B8" w14:textId="77777777" w:rsidR="00454A29" w:rsidRDefault="00454A29">
            <w:pPr>
              <w:pStyle w:val="ConsPlusNormal"/>
              <w:jc w:val="center"/>
            </w:pPr>
            <w:r>
              <w:t>548 197,52</w:t>
            </w:r>
          </w:p>
        </w:tc>
      </w:tr>
      <w:tr w:rsidR="00454A29" w14:paraId="3FBA6051" w14:textId="77777777">
        <w:tc>
          <w:tcPr>
            <w:tcW w:w="567" w:type="dxa"/>
            <w:vMerge/>
          </w:tcPr>
          <w:p w14:paraId="1CECA8DE" w14:textId="77777777" w:rsidR="00454A29" w:rsidRDefault="00454A29"/>
        </w:tc>
        <w:tc>
          <w:tcPr>
            <w:tcW w:w="3345" w:type="dxa"/>
            <w:vMerge/>
          </w:tcPr>
          <w:p w14:paraId="3E17060B" w14:textId="77777777" w:rsidR="00454A29" w:rsidRDefault="00454A29"/>
        </w:tc>
        <w:tc>
          <w:tcPr>
            <w:tcW w:w="1701" w:type="dxa"/>
            <w:vAlign w:val="center"/>
          </w:tcPr>
          <w:p w14:paraId="144FB315" w14:textId="77777777" w:rsidR="00454A29" w:rsidRDefault="00454A29">
            <w:pPr>
              <w:pStyle w:val="ConsPlusNormal"/>
              <w:jc w:val="center"/>
            </w:pPr>
            <w:r>
              <w:t>2022</w:t>
            </w:r>
          </w:p>
        </w:tc>
        <w:tc>
          <w:tcPr>
            <w:tcW w:w="1417" w:type="dxa"/>
            <w:vMerge/>
          </w:tcPr>
          <w:p w14:paraId="5095F35C" w14:textId="77777777" w:rsidR="00454A29" w:rsidRDefault="00454A29"/>
        </w:tc>
        <w:tc>
          <w:tcPr>
            <w:tcW w:w="2204" w:type="dxa"/>
            <w:vMerge/>
          </w:tcPr>
          <w:p w14:paraId="23A5FC3F" w14:textId="77777777" w:rsidR="00454A29" w:rsidRDefault="00454A29"/>
        </w:tc>
        <w:tc>
          <w:tcPr>
            <w:tcW w:w="1417" w:type="dxa"/>
            <w:vMerge/>
          </w:tcPr>
          <w:p w14:paraId="31CABEFA" w14:textId="77777777" w:rsidR="00454A29" w:rsidRDefault="00454A29"/>
        </w:tc>
        <w:tc>
          <w:tcPr>
            <w:tcW w:w="2324" w:type="dxa"/>
            <w:vMerge/>
          </w:tcPr>
          <w:p w14:paraId="4A0D383D" w14:textId="77777777" w:rsidR="00454A29" w:rsidRDefault="00454A29"/>
        </w:tc>
        <w:tc>
          <w:tcPr>
            <w:tcW w:w="1701" w:type="dxa"/>
            <w:vAlign w:val="center"/>
          </w:tcPr>
          <w:p w14:paraId="78335792" w14:textId="77777777" w:rsidR="00454A29" w:rsidRDefault="00454A29">
            <w:pPr>
              <w:pStyle w:val="ConsPlusNormal"/>
              <w:jc w:val="center"/>
            </w:pPr>
            <w:r>
              <w:t>82 609,85</w:t>
            </w:r>
          </w:p>
        </w:tc>
        <w:tc>
          <w:tcPr>
            <w:tcW w:w="1814" w:type="dxa"/>
            <w:vAlign w:val="center"/>
          </w:tcPr>
          <w:p w14:paraId="64B36CF4" w14:textId="77777777" w:rsidR="00454A29" w:rsidRDefault="00454A29">
            <w:pPr>
              <w:pStyle w:val="ConsPlusNormal"/>
              <w:jc w:val="center"/>
            </w:pPr>
            <w:r>
              <w:t>-</w:t>
            </w:r>
          </w:p>
        </w:tc>
        <w:tc>
          <w:tcPr>
            <w:tcW w:w="1701" w:type="dxa"/>
            <w:vAlign w:val="center"/>
          </w:tcPr>
          <w:p w14:paraId="5267C2A7" w14:textId="77777777" w:rsidR="00454A29" w:rsidRDefault="00454A29">
            <w:pPr>
              <w:pStyle w:val="ConsPlusNormal"/>
              <w:jc w:val="center"/>
            </w:pPr>
            <w:r>
              <w:t>-</w:t>
            </w:r>
          </w:p>
        </w:tc>
        <w:tc>
          <w:tcPr>
            <w:tcW w:w="1701" w:type="dxa"/>
            <w:vAlign w:val="center"/>
          </w:tcPr>
          <w:p w14:paraId="71A35DBA" w14:textId="77777777" w:rsidR="00454A29" w:rsidRDefault="00454A29">
            <w:pPr>
              <w:pStyle w:val="ConsPlusNormal"/>
              <w:jc w:val="center"/>
            </w:pPr>
            <w:r>
              <w:t>82 609,85</w:t>
            </w:r>
          </w:p>
        </w:tc>
        <w:tc>
          <w:tcPr>
            <w:tcW w:w="1814" w:type="dxa"/>
            <w:vAlign w:val="center"/>
          </w:tcPr>
          <w:p w14:paraId="234F9957" w14:textId="77777777" w:rsidR="00454A29" w:rsidRDefault="00454A29">
            <w:pPr>
              <w:pStyle w:val="ConsPlusNormal"/>
              <w:jc w:val="center"/>
            </w:pPr>
            <w:r>
              <w:t>-</w:t>
            </w:r>
          </w:p>
        </w:tc>
      </w:tr>
      <w:tr w:rsidR="00454A29" w14:paraId="5382BABE" w14:textId="77777777">
        <w:tc>
          <w:tcPr>
            <w:tcW w:w="567" w:type="dxa"/>
            <w:vMerge/>
          </w:tcPr>
          <w:p w14:paraId="6C0DE8BA" w14:textId="77777777" w:rsidR="00454A29" w:rsidRDefault="00454A29"/>
        </w:tc>
        <w:tc>
          <w:tcPr>
            <w:tcW w:w="3345" w:type="dxa"/>
            <w:vMerge/>
          </w:tcPr>
          <w:p w14:paraId="6CA61796" w14:textId="77777777" w:rsidR="00454A29" w:rsidRDefault="00454A29"/>
        </w:tc>
        <w:tc>
          <w:tcPr>
            <w:tcW w:w="1701" w:type="dxa"/>
            <w:vAlign w:val="center"/>
          </w:tcPr>
          <w:p w14:paraId="3AE3C49D" w14:textId="77777777" w:rsidR="00454A29" w:rsidRDefault="00454A29">
            <w:pPr>
              <w:pStyle w:val="ConsPlusNormal"/>
              <w:jc w:val="center"/>
            </w:pPr>
            <w:r>
              <w:t>2023</w:t>
            </w:r>
          </w:p>
        </w:tc>
        <w:tc>
          <w:tcPr>
            <w:tcW w:w="1417" w:type="dxa"/>
            <w:vMerge/>
          </w:tcPr>
          <w:p w14:paraId="4EFA7CE6" w14:textId="77777777" w:rsidR="00454A29" w:rsidRDefault="00454A29"/>
        </w:tc>
        <w:tc>
          <w:tcPr>
            <w:tcW w:w="2204" w:type="dxa"/>
            <w:vMerge/>
          </w:tcPr>
          <w:p w14:paraId="7A96506E" w14:textId="77777777" w:rsidR="00454A29" w:rsidRDefault="00454A29"/>
        </w:tc>
        <w:tc>
          <w:tcPr>
            <w:tcW w:w="1417" w:type="dxa"/>
            <w:vMerge/>
          </w:tcPr>
          <w:p w14:paraId="739873BC" w14:textId="77777777" w:rsidR="00454A29" w:rsidRDefault="00454A29"/>
        </w:tc>
        <w:tc>
          <w:tcPr>
            <w:tcW w:w="2324" w:type="dxa"/>
            <w:vMerge/>
          </w:tcPr>
          <w:p w14:paraId="3A9CE32A" w14:textId="77777777" w:rsidR="00454A29" w:rsidRDefault="00454A29"/>
        </w:tc>
        <w:tc>
          <w:tcPr>
            <w:tcW w:w="1701" w:type="dxa"/>
            <w:vAlign w:val="center"/>
          </w:tcPr>
          <w:p w14:paraId="2FC3A371" w14:textId="77777777" w:rsidR="00454A29" w:rsidRDefault="00454A29">
            <w:pPr>
              <w:pStyle w:val="ConsPlusNormal"/>
              <w:jc w:val="center"/>
            </w:pPr>
            <w:r>
              <w:t>95 732,65</w:t>
            </w:r>
          </w:p>
        </w:tc>
        <w:tc>
          <w:tcPr>
            <w:tcW w:w="1814" w:type="dxa"/>
            <w:vAlign w:val="center"/>
          </w:tcPr>
          <w:p w14:paraId="7F61F014" w14:textId="77777777" w:rsidR="00454A29" w:rsidRDefault="00454A29">
            <w:pPr>
              <w:pStyle w:val="ConsPlusNormal"/>
              <w:jc w:val="center"/>
            </w:pPr>
            <w:r>
              <w:t>-</w:t>
            </w:r>
          </w:p>
        </w:tc>
        <w:tc>
          <w:tcPr>
            <w:tcW w:w="1701" w:type="dxa"/>
            <w:vAlign w:val="center"/>
          </w:tcPr>
          <w:p w14:paraId="6B441AC9" w14:textId="77777777" w:rsidR="00454A29" w:rsidRDefault="00454A29">
            <w:pPr>
              <w:pStyle w:val="ConsPlusNormal"/>
              <w:jc w:val="center"/>
            </w:pPr>
            <w:r>
              <w:t>-</w:t>
            </w:r>
          </w:p>
        </w:tc>
        <w:tc>
          <w:tcPr>
            <w:tcW w:w="1701" w:type="dxa"/>
            <w:vAlign w:val="center"/>
          </w:tcPr>
          <w:p w14:paraId="2EC48409" w14:textId="77777777" w:rsidR="00454A29" w:rsidRDefault="00454A29">
            <w:pPr>
              <w:pStyle w:val="ConsPlusNormal"/>
              <w:jc w:val="center"/>
            </w:pPr>
            <w:r>
              <w:t>95 732,65</w:t>
            </w:r>
          </w:p>
        </w:tc>
        <w:tc>
          <w:tcPr>
            <w:tcW w:w="1814" w:type="dxa"/>
            <w:vAlign w:val="center"/>
          </w:tcPr>
          <w:p w14:paraId="440A2037" w14:textId="77777777" w:rsidR="00454A29" w:rsidRDefault="00454A29">
            <w:pPr>
              <w:pStyle w:val="ConsPlusNormal"/>
              <w:jc w:val="center"/>
            </w:pPr>
            <w:r>
              <w:t>-</w:t>
            </w:r>
          </w:p>
        </w:tc>
      </w:tr>
      <w:tr w:rsidR="00454A29" w14:paraId="0148B792" w14:textId="77777777">
        <w:tc>
          <w:tcPr>
            <w:tcW w:w="567" w:type="dxa"/>
            <w:vMerge/>
          </w:tcPr>
          <w:p w14:paraId="5942DFEA" w14:textId="77777777" w:rsidR="00454A29" w:rsidRDefault="00454A29"/>
        </w:tc>
        <w:tc>
          <w:tcPr>
            <w:tcW w:w="3345" w:type="dxa"/>
            <w:vMerge/>
          </w:tcPr>
          <w:p w14:paraId="75950C7D" w14:textId="77777777" w:rsidR="00454A29" w:rsidRDefault="00454A29"/>
        </w:tc>
        <w:tc>
          <w:tcPr>
            <w:tcW w:w="1701" w:type="dxa"/>
            <w:vAlign w:val="center"/>
          </w:tcPr>
          <w:p w14:paraId="720D1A9B" w14:textId="77777777" w:rsidR="00454A29" w:rsidRDefault="00454A29">
            <w:pPr>
              <w:pStyle w:val="ConsPlusNormal"/>
              <w:jc w:val="center"/>
            </w:pPr>
            <w:r>
              <w:t>2024</w:t>
            </w:r>
          </w:p>
        </w:tc>
        <w:tc>
          <w:tcPr>
            <w:tcW w:w="1417" w:type="dxa"/>
            <w:vMerge/>
          </w:tcPr>
          <w:p w14:paraId="7BC2AE9B" w14:textId="77777777" w:rsidR="00454A29" w:rsidRDefault="00454A29"/>
        </w:tc>
        <w:tc>
          <w:tcPr>
            <w:tcW w:w="2204" w:type="dxa"/>
            <w:vMerge/>
          </w:tcPr>
          <w:p w14:paraId="76B16BB6" w14:textId="77777777" w:rsidR="00454A29" w:rsidRDefault="00454A29"/>
        </w:tc>
        <w:tc>
          <w:tcPr>
            <w:tcW w:w="1417" w:type="dxa"/>
            <w:vMerge/>
          </w:tcPr>
          <w:p w14:paraId="0F7E2B9E" w14:textId="77777777" w:rsidR="00454A29" w:rsidRDefault="00454A29"/>
        </w:tc>
        <w:tc>
          <w:tcPr>
            <w:tcW w:w="2324" w:type="dxa"/>
            <w:vMerge/>
          </w:tcPr>
          <w:p w14:paraId="765C01AB" w14:textId="77777777" w:rsidR="00454A29" w:rsidRDefault="00454A29"/>
        </w:tc>
        <w:tc>
          <w:tcPr>
            <w:tcW w:w="1701" w:type="dxa"/>
            <w:vAlign w:val="center"/>
          </w:tcPr>
          <w:p w14:paraId="42B902F1" w14:textId="77777777" w:rsidR="00454A29" w:rsidRDefault="00454A29">
            <w:pPr>
              <w:pStyle w:val="ConsPlusNormal"/>
              <w:jc w:val="center"/>
            </w:pPr>
            <w:r>
              <w:t>110 940,05</w:t>
            </w:r>
          </w:p>
        </w:tc>
        <w:tc>
          <w:tcPr>
            <w:tcW w:w="1814" w:type="dxa"/>
            <w:vAlign w:val="center"/>
          </w:tcPr>
          <w:p w14:paraId="4EB2C146" w14:textId="77777777" w:rsidR="00454A29" w:rsidRDefault="00454A29">
            <w:pPr>
              <w:pStyle w:val="ConsPlusNormal"/>
              <w:jc w:val="center"/>
            </w:pPr>
            <w:r>
              <w:t>-</w:t>
            </w:r>
          </w:p>
        </w:tc>
        <w:tc>
          <w:tcPr>
            <w:tcW w:w="1701" w:type="dxa"/>
            <w:vAlign w:val="center"/>
          </w:tcPr>
          <w:p w14:paraId="3AAD7F95" w14:textId="77777777" w:rsidR="00454A29" w:rsidRDefault="00454A29">
            <w:pPr>
              <w:pStyle w:val="ConsPlusNormal"/>
              <w:jc w:val="center"/>
            </w:pPr>
            <w:r>
              <w:t>-</w:t>
            </w:r>
          </w:p>
        </w:tc>
        <w:tc>
          <w:tcPr>
            <w:tcW w:w="1701" w:type="dxa"/>
            <w:vAlign w:val="center"/>
          </w:tcPr>
          <w:p w14:paraId="2D045936" w14:textId="77777777" w:rsidR="00454A29" w:rsidRDefault="00454A29">
            <w:pPr>
              <w:pStyle w:val="ConsPlusNormal"/>
              <w:jc w:val="center"/>
            </w:pPr>
            <w:r>
              <w:t>110 940,05</w:t>
            </w:r>
          </w:p>
        </w:tc>
        <w:tc>
          <w:tcPr>
            <w:tcW w:w="1814" w:type="dxa"/>
            <w:vAlign w:val="center"/>
          </w:tcPr>
          <w:p w14:paraId="1ADF3D8B" w14:textId="77777777" w:rsidR="00454A29" w:rsidRDefault="00454A29">
            <w:pPr>
              <w:pStyle w:val="ConsPlusNormal"/>
              <w:jc w:val="center"/>
            </w:pPr>
            <w:r>
              <w:t>-</w:t>
            </w:r>
          </w:p>
        </w:tc>
      </w:tr>
      <w:tr w:rsidR="00454A29" w14:paraId="6FB35659" w14:textId="77777777">
        <w:tc>
          <w:tcPr>
            <w:tcW w:w="567" w:type="dxa"/>
            <w:vMerge/>
          </w:tcPr>
          <w:p w14:paraId="5DB706BF" w14:textId="77777777" w:rsidR="00454A29" w:rsidRDefault="00454A29"/>
        </w:tc>
        <w:tc>
          <w:tcPr>
            <w:tcW w:w="3345" w:type="dxa"/>
            <w:vMerge/>
          </w:tcPr>
          <w:p w14:paraId="518ABBC2" w14:textId="77777777" w:rsidR="00454A29" w:rsidRDefault="00454A29"/>
        </w:tc>
        <w:tc>
          <w:tcPr>
            <w:tcW w:w="1701" w:type="dxa"/>
            <w:vAlign w:val="center"/>
          </w:tcPr>
          <w:p w14:paraId="5251D5C5" w14:textId="77777777" w:rsidR="00454A29" w:rsidRDefault="00454A29">
            <w:pPr>
              <w:pStyle w:val="ConsPlusNormal"/>
              <w:jc w:val="center"/>
            </w:pPr>
            <w:r>
              <w:t>2025</w:t>
            </w:r>
          </w:p>
        </w:tc>
        <w:tc>
          <w:tcPr>
            <w:tcW w:w="1417" w:type="dxa"/>
            <w:vMerge/>
          </w:tcPr>
          <w:p w14:paraId="2882CDAB" w14:textId="77777777" w:rsidR="00454A29" w:rsidRDefault="00454A29"/>
        </w:tc>
        <w:tc>
          <w:tcPr>
            <w:tcW w:w="2204" w:type="dxa"/>
            <w:vMerge/>
          </w:tcPr>
          <w:p w14:paraId="3D18F090" w14:textId="77777777" w:rsidR="00454A29" w:rsidRDefault="00454A29"/>
        </w:tc>
        <w:tc>
          <w:tcPr>
            <w:tcW w:w="1417" w:type="dxa"/>
            <w:vMerge/>
          </w:tcPr>
          <w:p w14:paraId="00D19D2E" w14:textId="77777777" w:rsidR="00454A29" w:rsidRDefault="00454A29"/>
        </w:tc>
        <w:tc>
          <w:tcPr>
            <w:tcW w:w="2324" w:type="dxa"/>
            <w:vMerge/>
          </w:tcPr>
          <w:p w14:paraId="0487B186" w14:textId="77777777" w:rsidR="00454A29" w:rsidRDefault="00454A29"/>
        </w:tc>
        <w:tc>
          <w:tcPr>
            <w:tcW w:w="1701" w:type="dxa"/>
            <w:vAlign w:val="center"/>
          </w:tcPr>
          <w:p w14:paraId="64B223EA" w14:textId="77777777" w:rsidR="00454A29" w:rsidRDefault="00454A29">
            <w:pPr>
              <w:pStyle w:val="ConsPlusNormal"/>
              <w:jc w:val="center"/>
            </w:pPr>
            <w:r>
              <w:t>128 563,19</w:t>
            </w:r>
          </w:p>
        </w:tc>
        <w:tc>
          <w:tcPr>
            <w:tcW w:w="1814" w:type="dxa"/>
            <w:vAlign w:val="center"/>
          </w:tcPr>
          <w:p w14:paraId="2118C33A" w14:textId="77777777" w:rsidR="00454A29" w:rsidRDefault="00454A29">
            <w:pPr>
              <w:pStyle w:val="ConsPlusNormal"/>
              <w:jc w:val="center"/>
            </w:pPr>
            <w:r>
              <w:t>-</w:t>
            </w:r>
          </w:p>
        </w:tc>
        <w:tc>
          <w:tcPr>
            <w:tcW w:w="1701" w:type="dxa"/>
            <w:vAlign w:val="center"/>
          </w:tcPr>
          <w:p w14:paraId="4E063BEC" w14:textId="77777777" w:rsidR="00454A29" w:rsidRDefault="00454A29">
            <w:pPr>
              <w:pStyle w:val="ConsPlusNormal"/>
              <w:jc w:val="center"/>
            </w:pPr>
            <w:r>
              <w:t>-</w:t>
            </w:r>
          </w:p>
        </w:tc>
        <w:tc>
          <w:tcPr>
            <w:tcW w:w="1701" w:type="dxa"/>
            <w:vAlign w:val="center"/>
          </w:tcPr>
          <w:p w14:paraId="60359AE2" w14:textId="77777777" w:rsidR="00454A29" w:rsidRDefault="00454A29">
            <w:pPr>
              <w:pStyle w:val="ConsPlusNormal"/>
              <w:jc w:val="center"/>
            </w:pPr>
            <w:r>
              <w:t>128 563,19</w:t>
            </w:r>
          </w:p>
        </w:tc>
        <w:tc>
          <w:tcPr>
            <w:tcW w:w="1814" w:type="dxa"/>
            <w:vAlign w:val="center"/>
          </w:tcPr>
          <w:p w14:paraId="0383BB41" w14:textId="77777777" w:rsidR="00454A29" w:rsidRDefault="00454A29">
            <w:pPr>
              <w:pStyle w:val="ConsPlusNormal"/>
              <w:jc w:val="center"/>
            </w:pPr>
            <w:r>
              <w:t>-</w:t>
            </w:r>
          </w:p>
        </w:tc>
      </w:tr>
      <w:tr w:rsidR="00454A29" w14:paraId="55B2AD3B" w14:textId="77777777">
        <w:tc>
          <w:tcPr>
            <w:tcW w:w="567" w:type="dxa"/>
            <w:vMerge/>
          </w:tcPr>
          <w:p w14:paraId="4E0474D7" w14:textId="77777777" w:rsidR="00454A29" w:rsidRDefault="00454A29"/>
        </w:tc>
        <w:tc>
          <w:tcPr>
            <w:tcW w:w="3345" w:type="dxa"/>
            <w:vMerge/>
          </w:tcPr>
          <w:p w14:paraId="1C033426" w14:textId="77777777" w:rsidR="00454A29" w:rsidRDefault="00454A29"/>
        </w:tc>
        <w:tc>
          <w:tcPr>
            <w:tcW w:w="1701" w:type="dxa"/>
            <w:vAlign w:val="center"/>
          </w:tcPr>
          <w:p w14:paraId="41F459B1" w14:textId="77777777" w:rsidR="00454A29" w:rsidRDefault="00454A29">
            <w:pPr>
              <w:pStyle w:val="ConsPlusNormal"/>
              <w:jc w:val="center"/>
            </w:pPr>
            <w:r>
              <w:t>2026</w:t>
            </w:r>
          </w:p>
        </w:tc>
        <w:tc>
          <w:tcPr>
            <w:tcW w:w="1417" w:type="dxa"/>
            <w:vMerge/>
          </w:tcPr>
          <w:p w14:paraId="5621A481" w14:textId="77777777" w:rsidR="00454A29" w:rsidRDefault="00454A29"/>
        </w:tc>
        <w:tc>
          <w:tcPr>
            <w:tcW w:w="2204" w:type="dxa"/>
            <w:vMerge/>
          </w:tcPr>
          <w:p w14:paraId="63B0D475" w14:textId="77777777" w:rsidR="00454A29" w:rsidRDefault="00454A29"/>
        </w:tc>
        <w:tc>
          <w:tcPr>
            <w:tcW w:w="1417" w:type="dxa"/>
            <w:vMerge/>
          </w:tcPr>
          <w:p w14:paraId="11D3866A" w14:textId="77777777" w:rsidR="00454A29" w:rsidRDefault="00454A29"/>
        </w:tc>
        <w:tc>
          <w:tcPr>
            <w:tcW w:w="2324" w:type="dxa"/>
            <w:vMerge/>
          </w:tcPr>
          <w:p w14:paraId="7AD85849" w14:textId="77777777" w:rsidR="00454A29" w:rsidRDefault="00454A29"/>
        </w:tc>
        <w:tc>
          <w:tcPr>
            <w:tcW w:w="1701" w:type="dxa"/>
            <w:vAlign w:val="center"/>
          </w:tcPr>
          <w:p w14:paraId="58BFE92C" w14:textId="77777777" w:rsidR="00454A29" w:rsidRDefault="00454A29">
            <w:pPr>
              <w:pStyle w:val="ConsPlusNormal"/>
              <w:jc w:val="center"/>
            </w:pPr>
            <w:r>
              <w:t>148 985,82</w:t>
            </w:r>
          </w:p>
        </w:tc>
        <w:tc>
          <w:tcPr>
            <w:tcW w:w="1814" w:type="dxa"/>
            <w:vAlign w:val="center"/>
          </w:tcPr>
          <w:p w14:paraId="5561122D" w14:textId="77777777" w:rsidR="00454A29" w:rsidRDefault="00454A29">
            <w:pPr>
              <w:pStyle w:val="ConsPlusNormal"/>
              <w:jc w:val="center"/>
            </w:pPr>
            <w:r>
              <w:t>-</w:t>
            </w:r>
          </w:p>
        </w:tc>
        <w:tc>
          <w:tcPr>
            <w:tcW w:w="1701" w:type="dxa"/>
            <w:vAlign w:val="center"/>
          </w:tcPr>
          <w:p w14:paraId="08033659" w14:textId="77777777" w:rsidR="00454A29" w:rsidRDefault="00454A29">
            <w:pPr>
              <w:pStyle w:val="ConsPlusNormal"/>
              <w:jc w:val="center"/>
            </w:pPr>
            <w:r>
              <w:t>-</w:t>
            </w:r>
          </w:p>
        </w:tc>
        <w:tc>
          <w:tcPr>
            <w:tcW w:w="1701" w:type="dxa"/>
            <w:vAlign w:val="center"/>
          </w:tcPr>
          <w:p w14:paraId="7E489A51" w14:textId="77777777" w:rsidR="00454A29" w:rsidRDefault="00454A29">
            <w:pPr>
              <w:pStyle w:val="ConsPlusNormal"/>
              <w:jc w:val="center"/>
            </w:pPr>
            <w:r>
              <w:t>148 985,82</w:t>
            </w:r>
          </w:p>
        </w:tc>
        <w:tc>
          <w:tcPr>
            <w:tcW w:w="1814" w:type="dxa"/>
            <w:vAlign w:val="center"/>
          </w:tcPr>
          <w:p w14:paraId="42551926" w14:textId="77777777" w:rsidR="00454A29" w:rsidRDefault="00454A29">
            <w:pPr>
              <w:pStyle w:val="ConsPlusNormal"/>
              <w:jc w:val="center"/>
            </w:pPr>
            <w:r>
              <w:t>-</w:t>
            </w:r>
          </w:p>
        </w:tc>
      </w:tr>
      <w:tr w:rsidR="00454A29" w14:paraId="71FEFD0E" w14:textId="77777777">
        <w:tc>
          <w:tcPr>
            <w:tcW w:w="21706" w:type="dxa"/>
            <w:gridSpan w:val="12"/>
            <w:vAlign w:val="center"/>
          </w:tcPr>
          <w:p w14:paraId="42AC95E3" w14:textId="77777777" w:rsidR="00454A29" w:rsidRDefault="00454A29">
            <w:pPr>
              <w:pStyle w:val="ConsPlusNormal"/>
              <w:jc w:val="center"/>
            </w:pPr>
            <w:r>
              <w:t>Мероприятие 10.3.1.</w:t>
            </w:r>
          </w:p>
        </w:tc>
      </w:tr>
      <w:tr w:rsidR="00454A29" w14:paraId="712A76B4" w14:textId="77777777">
        <w:tc>
          <w:tcPr>
            <w:tcW w:w="567" w:type="dxa"/>
            <w:vMerge w:val="restart"/>
            <w:vAlign w:val="center"/>
          </w:tcPr>
          <w:p w14:paraId="5E3EE8E3" w14:textId="77777777" w:rsidR="00454A29" w:rsidRDefault="00454A29">
            <w:pPr>
              <w:pStyle w:val="ConsPlusNormal"/>
            </w:pPr>
          </w:p>
        </w:tc>
        <w:tc>
          <w:tcPr>
            <w:tcW w:w="3345" w:type="dxa"/>
            <w:vMerge w:val="restart"/>
            <w:vAlign w:val="center"/>
          </w:tcPr>
          <w:p w14:paraId="2E792E66" w14:textId="77777777" w:rsidR="00454A29" w:rsidRDefault="00454A29">
            <w:pPr>
              <w:pStyle w:val="ConsPlusNormal"/>
              <w:jc w:val="center"/>
            </w:pPr>
            <w:r>
              <w:t>Строительство, приобретение и реконструкция зданий дополнительного образования</w:t>
            </w:r>
          </w:p>
        </w:tc>
        <w:tc>
          <w:tcPr>
            <w:tcW w:w="1701" w:type="dxa"/>
            <w:vAlign w:val="center"/>
          </w:tcPr>
          <w:p w14:paraId="79F5C20A" w14:textId="77777777" w:rsidR="00454A29" w:rsidRDefault="00454A29">
            <w:pPr>
              <w:pStyle w:val="ConsPlusNormal"/>
              <w:jc w:val="center"/>
            </w:pPr>
            <w:r>
              <w:t>Всего:</w:t>
            </w:r>
          </w:p>
        </w:tc>
        <w:tc>
          <w:tcPr>
            <w:tcW w:w="1417" w:type="dxa"/>
            <w:vMerge w:val="restart"/>
            <w:vAlign w:val="center"/>
          </w:tcPr>
          <w:p w14:paraId="6421E24E" w14:textId="77777777" w:rsidR="00454A29" w:rsidRDefault="00454A29">
            <w:pPr>
              <w:pStyle w:val="ConsPlusNormal"/>
              <w:jc w:val="center"/>
            </w:pPr>
            <w:r>
              <w:t>х</w:t>
            </w:r>
          </w:p>
        </w:tc>
        <w:tc>
          <w:tcPr>
            <w:tcW w:w="2204" w:type="dxa"/>
            <w:vMerge w:val="restart"/>
            <w:vAlign w:val="center"/>
          </w:tcPr>
          <w:p w14:paraId="02F3C11A" w14:textId="77777777" w:rsidR="00454A29" w:rsidRDefault="00454A29">
            <w:pPr>
              <w:pStyle w:val="ConsPlusNormal"/>
              <w:jc w:val="center"/>
            </w:pPr>
            <w:r>
              <w:t>х</w:t>
            </w:r>
          </w:p>
        </w:tc>
        <w:tc>
          <w:tcPr>
            <w:tcW w:w="1417" w:type="dxa"/>
            <w:vMerge w:val="restart"/>
            <w:vAlign w:val="center"/>
          </w:tcPr>
          <w:p w14:paraId="5C43B219" w14:textId="77777777" w:rsidR="00454A29" w:rsidRDefault="00454A29">
            <w:pPr>
              <w:pStyle w:val="ConsPlusNormal"/>
              <w:jc w:val="center"/>
            </w:pPr>
            <w:r>
              <w:t>400</w:t>
            </w:r>
          </w:p>
        </w:tc>
        <w:tc>
          <w:tcPr>
            <w:tcW w:w="2324" w:type="dxa"/>
            <w:vMerge w:val="restart"/>
            <w:vAlign w:val="center"/>
          </w:tcPr>
          <w:p w14:paraId="2C145701" w14:textId="77777777" w:rsidR="00454A29" w:rsidRDefault="00454A29">
            <w:pPr>
              <w:pStyle w:val="ConsPlusNormal"/>
              <w:jc w:val="center"/>
            </w:pPr>
            <w:r>
              <w:t>х</w:t>
            </w:r>
          </w:p>
        </w:tc>
        <w:tc>
          <w:tcPr>
            <w:tcW w:w="1701" w:type="dxa"/>
            <w:vAlign w:val="center"/>
          </w:tcPr>
          <w:p w14:paraId="235A9DC0" w14:textId="77777777" w:rsidR="00454A29" w:rsidRDefault="00454A29">
            <w:pPr>
              <w:pStyle w:val="ConsPlusNormal"/>
              <w:jc w:val="center"/>
            </w:pPr>
            <w:r>
              <w:t>1 603 225,21</w:t>
            </w:r>
          </w:p>
        </w:tc>
        <w:tc>
          <w:tcPr>
            <w:tcW w:w="1814" w:type="dxa"/>
            <w:vAlign w:val="center"/>
          </w:tcPr>
          <w:p w14:paraId="6662A72A" w14:textId="77777777" w:rsidR="00454A29" w:rsidRDefault="00454A29">
            <w:pPr>
              <w:pStyle w:val="ConsPlusNormal"/>
              <w:jc w:val="center"/>
            </w:pPr>
            <w:r>
              <w:t>40 000,00</w:t>
            </w:r>
          </w:p>
        </w:tc>
        <w:tc>
          <w:tcPr>
            <w:tcW w:w="1701" w:type="dxa"/>
            <w:vAlign w:val="center"/>
          </w:tcPr>
          <w:p w14:paraId="71B3DCFB" w14:textId="77777777" w:rsidR="00454A29" w:rsidRDefault="00454A29">
            <w:pPr>
              <w:pStyle w:val="ConsPlusNormal"/>
              <w:jc w:val="center"/>
            </w:pPr>
            <w:r>
              <w:t>320 000,00</w:t>
            </w:r>
          </w:p>
        </w:tc>
        <w:tc>
          <w:tcPr>
            <w:tcW w:w="1701" w:type="dxa"/>
            <w:vAlign w:val="center"/>
          </w:tcPr>
          <w:p w14:paraId="1C318A83" w14:textId="77777777" w:rsidR="00454A29" w:rsidRDefault="00454A29">
            <w:pPr>
              <w:pStyle w:val="ConsPlusNormal"/>
              <w:jc w:val="center"/>
            </w:pPr>
            <w:r>
              <w:t>-</w:t>
            </w:r>
          </w:p>
        </w:tc>
        <w:tc>
          <w:tcPr>
            <w:tcW w:w="1814" w:type="dxa"/>
            <w:vAlign w:val="center"/>
          </w:tcPr>
          <w:p w14:paraId="339B8AD9" w14:textId="77777777" w:rsidR="00454A29" w:rsidRDefault="00454A29">
            <w:pPr>
              <w:pStyle w:val="ConsPlusNormal"/>
              <w:jc w:val="center"/>
            </w:pPr>
            <w:r>
              <w:t>695 027,69</w:t>
            </w:r>
          </w:p>
        </w:tc>
      </w:tr>
      <w:tr w:rsidR="00454A29" w14:paraId="605BBE03" w14:textId="77777777">
        <w:tc>
          <w:tcPr>
            <w:tcW w:w="567" w:type="dxa"/>
            <w:vMerge/>
          </w:tcPr>
          <w:p w14:paraId="0518C95C" w14:textId="77777777" w:rsidR="00454A29" w:rsidRDefault="00454A29"/>
        </w:tc>
        <w:tc>
          <w:tcPr>
            <w:tcW w:w="3345" w:type="dxa"/>
            <w:vMerge/>
          </w:tcPr>
          <w:p w14:paraId="22F18C8A" w14:textId="77777777" w:rsidR="00454A29" w:rsidRDefault="00454A29"/>
        </w:tc>
        <w:tc>
          <w:tcPr>
            <w:tcW w:w="1701" w:type="dxa"/>
            <w:vAlign w:val="center"/>
          </w:tcPr>
          <w:p w14:paraId="27A953DD" w14:textId="77777777" w:rsidR="00454A29" w:rsidRDefault="00454A29">
            <w:pPr>
              <w:pStyle w:val="ConsPlusNormal"/>
              <w:jc w:val="center"/>
            </w:pPr>
            <w:r>
              <w:t>2020</w:t>
            </w:r>
          </w:p>
        </w:tc>
        <w:tc>
          <w:tcPr>
            <w:tcW w:w="1417" w:type="dxa"/>
            <w:vMerge/>
          </w:tcPr>
          <w:p w14:paraId="260314F0" w14:textId="77777777" w:rsidR="00454A29" w:rsidRDefault="00454A29"/>
        </w:tc>
        <w:tc>
          <w:tcPr>
            <w:tcW w:w="2204" w:type="dxa"/>
            <w:vMerge/>
          </w:tcPr>
          <w:p w14:paraId="5F46F1E2" w14:textId="77777777" w:rsidR="00454A29" w:rsidRDefault="00454A29"/>
        </w:tc>
        <w:tc>
          <w:tcPr>
            <w:tcW w:w="1417" w:type="dxa"/>
            <w:vMerge/>
          </w:tcPr>
          <w:p w14:paraId="3FBA5BDE" w14:textId="77777777" w:rsidR="00454A29" w:rsidRDefault="00454A29"/>
        </w:tc>
        <w:tc>
          <w:tcPr>
            <w:tcW w:w="2324" w:type="dxa"/>
            <w:vMerge/>
          </w:tcPr>
          <w:p w14:paraId="6B633BA6" w14:textId="77777777" w:rsidR="00454A29" w:rsidRDefault="00454A29"/>
        </w:tc>
        <w:tc>
          <w:tcPr>
            <w:tcW w:w="1701" w:type="dxa"/>
            <w:vAlign w:val="center"/>
          </w:tcPr>
          <w:p w14:paraId="58F42DA3" w14:textId="77777777" w:rsidR="00454A29" w:rsidRDefault="00454A29">
            <w:pPr>
              <w:pStyle w:val="ConsPlusNormal"/>
              <w:jc w:val="center"/>
            </w:pPr>
            <w:r>
              <w:t>875 027,69</w:t>
            </w:r>
          </w:p>
        </w:tc>
        <w:tc>
          <w:tcPr>
            <w:tcW w:w="1814" w:type="dxa"/>
            <w:vAlign w:val="center"/>
          </w:tcPr>
          <w:p w14:paraId="2A87BA6E" w14:textId="77777777" w:rsidR="00454A29" w:rsidRDefault="00454A29">
            <w:pPr>
              <w:pStyle w:val="ConsPlusNormal"/>
              <w:jc w:val="center"/>
            </w:pPr>
            <w:r>
              <w:t>20 000,00</w:t>
            </w:r>
          </w:p>
        </w:tc>
        <w:tc>
          <w:tcPr>
            <w:tcW w:w="1701" w:type="dxa"/>
            <w:vAlign w:val="center"/>
          </w:tcPr>
          <w:p w14:paraId="3407DD3C" w14:textId="77777777" w:rsidR="00454A29" w:rsidRDefault="00454A29">
            <w:pPr>
              <w:pStyle w:val="ConsPlusNormal"/>
              <w:jc w:val="center"/>
            </w:pPr>
            <w:r>
              <w:t>160 000,00</w:t>
            </w:r>
          </w:p>
        </w:tc>
        <w:tc>
          <w:tcPr>
            <w:tcW w:w="1701" w:type="dxa"/>
            <w:vAlign w:val="center"/>
          </w:tcPr>
          <w:p w14:paraId="2CBF2762" w14:textId="77777777" w:rsidR="00454A29" w:rsidRDefault="00454A29">
            <w:pPr>
              <w:pStyle w:val="ConsPlusNormal"/>
              <w:jc w:val="center"/>
            </w:pPr>
            <w:r>
              <w:t>-</w:t>
            </w:r>
          </w:p>
        </w:tc>
        <w:tc>
          <w:tcPr>
            <w:tcW w:w="1814" w:type="dxa"/>
            <w:vAlign w:val="center"/>
          </w:tcPr>
          <w:p w14:paraId="3C56933F" w14:textId="77777777" w:rsidR="00454A29" w:rsidRDefault="00454A29">
            <w:pPr>
              <w:pStyle w:val="ConsPlusNormal"/>
              <w:jc w:val="center"/>
            </w:pPr>
            <w:r>
              <w:t>695 027,69</w:t>
            </w:r>
          </w:p>
        </w:tc>
      </w:tr>
      <w:tr w:rsidR="00454A29" w14:paraId="7739FAE5" w14:textId="77777777">
        <w:tc>
          <w:tcPr>
            <w:tcW w:w="567" w:type="dxa"/>
            <w:vMerge/>
          </w:tcPr>
          <w:p w14:paraId="3A956909" w14:textId="77777777" w:rsidR="00454A29" w:rsidRDefault="00454A29"/>
        </w:tc>
        <w:tc>
          <w:tcPr>
            <w:tcW w:w="3345" w:type="dxa"/>
            <w:vMerge/>
          </w:tcPr>
          <w:p w14:paraId="10EB3FFC" w14:textId="77777777" w:rsidR="00454A29" w:rsidRDefault="00454A29"/>
        </w:tc>
        <w:tc>
          <w:tcPr>
            <w:tcW w:w="1701" w:type="dxa"/>
            <w:vAlign w:val="center"/>
          </w:tcPr>
          <w:p w14:paraId="2C02657D" w14:textId="77777777" w:rsidR="00454A29" w:rsidRDefault="00454A29">
            <w:pPr>
              <w:pStyle w:val="ConsPlusNormal"/>
              <w:jc w:val="center"/>
            </w:pPr>
            <w:r>
              <w:t>2021</w:t>
            </w:r>
          </w:p>
        </w:tc>
        <w:tc>
          <w:tcPr>
            <w:tcW w:w="1417" w:type="dxa"/>
            <w:vMerge/>
          </w:tcPr>
          <w:p w14:paraId="72FC3610" w14:textId="77777777" w:rsidR="00454A29" w:rsidRDefault="00454A29"/>
        </w:tc>
        <w:tc>
          <w:tcPr>
            <w:tcW w:w="2204" w:type="dxa"/>
            <w:vMerge/>
          </w:tcPr>
          <w:p w14:paraId="50B2F2DB" w14:textId="77777777" w:rsidR="00454A29" w:rsidRDefault="00454A29"/>
        </w:tc>
        <w:tc>
          <w:tcPr>
            <w:tcW w:w="1417" w:type="dxa"/>
            <w:vMerge/>
          </w:tcPr>
          <w:p w14:paraId="7C1B9CE3" w14:textId="77777777" w:rsidR="00454A29" w:rsidRDefault="00454A29"/>
        </w:tc>
        <w:tc>
          <w:tcPr>
            <w:tcW w:w="2324" w:type="dxa"/>
            <w:vMerge/>
          </w:tcPr>
          <w:p w14:paraId="4A5EAECB" w14:textId="77777777" w:rsidR="00454A29" w:rsidRDefault="00454A29"/>
        </w:tc>
        <w:tc>
          <w:tcPr>
            <w:tcW w:w="1701" w:type="dxa"/>
            <w:vAlign w:val="center"/>
          </w:tcPr>
          <w:p w14:paraId="2D64852D" w14:textId="77777777" w:rsidR="00454A29" w:rsidRDefault="00454A29">
            <w:pPr>
              <w:pStyle w:val="ConsPlusNormal"/>
              <w:jc w:val="center"/>
            </w:pPr>
            <w:r>
              <w:t>728 197,52</w:t>
            </w:r>
          </w:p>
        </w:tc>
        <w:tc>
          <w:tcPr>
            <w:tcW w:w="1814" w:type="dxa"/>
            <w:vAlign w:val="center"/>
          </w:tcPr>
          <w:p w14:paraId="0455EA9D" w14:textId="77777777" w:rsidR="00454A29" w:rsidRDefault="00454A29">
            <w:pPr>
              <w:pStyle w:val="ConsPlusNormal"/>
              <w:jc w:val="center"/>
            </w:pPr>
            <w:r>
              <w:t>20 000,00</w:t>
            </w:r>
          </w:p>
        </w:tc>
        <w:tc>
          <w:tcPr>
            <w:tcW w:w="1701" w:type="dxa"/>
            <w:vAlign w:val="center"/>
          </w:tcPr>
          <w:p w14:paraId="6F1645A6" w14:textId="77777777" w:rsidR="00454A29" w:rsidRDefault="00454A29">
            <w:pPr>
              <w:pStyle w:val="ConsPlusNormal"/>
              <w:jc w:val="center"/>
            </w:pPr>
            <w:r>
              <w:t>160 000,00</w:t>
            </w:r>
          </w:p>
        </w:tc>
        <w:tc>
          <w:tcPr>
            <w:tcW w:w="1701" w:type="dxa"/>
            <w:vAlign w:val="center"/>
          </w:tcPr>
          <w:p w14:paraId="447AEF7C" w14:textId="77777777" w:rsidR="00454A29" w:rsidRDefault="00454A29">
            <w:pPr>
              <w:pStyle w:val="ConsPlusNormal"/>
              <w:jc w:val="center"/>
            </w:pPr>
            <w:r>
              <w:t>-</w:t>
            </w:r>
          </w:p>
        </w:tc>
        <w:tc>
          <w:tcPr>
            <w:tcW w:w="1814" w:type="dxa"/>
            <w:vAlign w:val="center"/>
          </w:tcPr>
          <w:p w14:paraId="3B423D64" w14:textId="77777777" w:rsidR="00454A29" w:rsidRDefault="00454A29">
            <w:pPr>
              <w:pStyle w:val="ConsPlusNormal"/>
              <w:jc w:val="center"/>
            </w:pPr>
            <w:r>
              <w:t>548 197,52</w:t>
            </w:r>
          </w:p>
        </w:tc>
      </w:tr>
      <w:tr w:rsidR="00454A29" w14:paraId="25FF5CF1" w14:textId="77777777">
        <w:tc>
          <w:tcPr>
            <w:tcW w:w="567" w:type="dxa"/>
            <w:vMerge/>
          </w:tcPr>
          <w:p w14:paraId="065B0DAB" w14:textId="77777777" w:rsidR="00454A29" w:rsidRDefault="00454A29"/>
        </w:tc>
        <w:tc>
          <w:tcPr>
            <w:tcW w:w="3345" w:type="dxa"/>
            <w:vMerge/>
          </w:tcPr>
          <w:p w14:paraId="6E2810F1" w14:textId="77777777" w:rsidR="00454A29" w:rsidRDefault="00454A29"/>
        </w:tc>
        <w:tc>
          <w:tcPr>
            <w:tcW w:w="1701" w:type="dxa"/>
            <w:vAlign w:val="center"/>
          </w:tcPr>
          <w:p w14:paraId="121ED3C2" w14:textId="77777777" w:rsidR="00454A29" w:rsidRDefault="00454A29">
            <w:pPr>
              <w:pStyle w:val="ConsPlusNormal"/>
              <w:jc w:val="center"/>
            </w:pPr>
            <w:r>
              <w:t>2022</w:t>
            </w:r>
          </w:p>
        </w:tc>
        <w:tc>
          <w:tcPr>
            <w:tcW w:w="1417" w:type="dxa"/>
            <w:vMerge/>
          </w:tcPr>
          <w:p w14:paraId="43AE63A9" w14:textId="77777777" w:rsidR="00454A29" w:rsidRDefault="00454A29"/>
        </w:tc>
        <w:tc>
          <w:tcPr>
            <w:tcW w:w="2204" w:type="dxa"/>
            <w:vMerge/>
          </w:tcPr>
          <w:p w14:paraId="14322E5A" w14:textId="77777777" w:rsidR="00454A29" w:rsidRDefault="00454A29"/>
        </w:tc>
        <w:tc>
          <w:tcPr>
            <w:tcW w:w="1417" w:type="dxa"/>
            <w:vMerge/>
          </w:tcPr>
          <w:p w14:paraId="6428F202" w14:textId="77777777" w:rsidR="00454A29" w:rsidRDefault="00454A29"/>
        </w:tc>
        <w:tc>
          <w:tcPr>
            <w:tcW w:w="2324" w:type="dxa"/>
            <w:vMerge/>
          </w:tcPr>
          <w:p w14:paraId="11D9233A" w14:textId="77777777" w:rsidR="00454A29" w:rsidRDefault="00454A29"/>
        </w:tc>
        <w:tc>
          <w:tcPr>
            <w:tcW w:w="1701" w:type="dxa"/>
            <w:vAlign w:val="center"/>
          </w:tcPr>
          <w:p w14:paraId="52291C25" w14:textId="77777777" w:rsidR="00454A29" w:rsidRDefault="00454A29">
            <w:pPr>
              <w:pStyle w:val="ConsPlusNormal"/>
              <w:jc w:val="center"/>
            </w:pPr>
            <w:r>
              <w:t>-</w:t>
            </w:r>
          </w:p>
        </w:tc>
        <w:tc>
          <w:tcPr>
            <w:tcW w:w="1814" w:type="dxa"/>
            <w:vAlign w:val="center"/>
          </w:tcPr>
          <w:p w14:paraId="0E299A80" w14:textId="77777777" w:rsidR="00454A29" w:rsidRDefault="00454A29">
            <w:pPr>
              <w:pStyle w:val="ConsPlusNormal"/>
              <w:jc w:val="center"/>
            </w:pPr>
            <w:r>
              <w:t>-</w:t>
            </w:r>
          </w:p>
        </w:tc>
        <w:tc>
          <w:tcPr>
            <w:tcW w:w="1701" w:type="dxa"/>
            <w:vAlign w:val="center"/>
          </w:tcPr>
          <w:p w14:paraId="6D18D8EB" w14:textId="77777777" w:rsidR="00454A29" w:rsidRDefault="00454A29">
            <w:pPr>
              <w:pStyle w:val="ConsPlusNormal"/>
              <w:jc w:val="center"/>
            </w:pPr>
            <w:r>
              <w:t>-</w:t>
            </w:r>
          </w:p>
        </w:tc>
        <w:tc>
          <w:tcPr>
            <w:tcW w:w="1701" w:type="dxa"/>
            <w:vAlign w:val="center"/>
          </w:tcPr>
          <w:p w14:paraId="6D46A6F4" w14:textId="77777777" w:rsidR="00454A29" w:rsidRDefault="00454A29">
            <w:pPr>
              <w:pStyle w:val="ConsPlusNormal"/>
              <w:jc w:val="center"/>
            </w:pPr>
            <w:r>
              <w:t>-</w:t>
            </w:r>
          </w:p>
        </w:tc>
        <w:tc>
          <w:tcPr>
            <w:tcW w:w="1814" w:type="dxa"/>
            <w:vAlign w:val="center"/>
          </w:tcPr>
          <w:p w14:paraId="4A7FDAF2" w14:textId="77777777" w:rsidR="00454A29" w:rsidRDefault="00454A29">
            <w:pPr>
              <w:pStyle w:val="ConsPlusNormal"/>
              <w:jc w:val="center"/>
            </w:pPr>
            <w:r>
              <w:t>-</w:t>
            </w:r>
          </w:p>
        </w:tc>
      </w:tr>
      <w:tr w:rsidR="00454A29" w14:paraId="6BF43465" w14:textId="77777777">
        <w:tc>
          <w:tcPr>
            <w:tcW w:w="567" w:type="dxa"/>
            <w:vMerge/>
          </w:tcPr>
          <w:p w14:paraId="509D5A06" w14:textId="77777777" w:rsidR="00454A29" w:rsidRDefault="00454A29"/>
        </w:tc>
        <w:tc>
          <w:tcPr>
            <w:tcW w:w="3345" w:type="dxa"/>
            <w:vMerge/>
          </w:tcPr>
          <w:p w14:paraId="3F93752B" w14:textId="77777777" w:rsidR="00454A29" w:rsidRDefault="00454A29"/>
        </w:tc>
        <w:tc>
          <w:tcPr>
            <w:tcW w:w="1701" w:type="dxa"/>
            <w:vAlign w:val="center"/>
          </w:tcPr>
          <w:p w14:paraId="1702B60F" w14:textId="77777777" w:rsidR="00454A29" w:rsidRDefault="00454A29">
            <w:pPr>
              <w:pStyle w:val="ConsPlusNormal"/>
              <w:jc w:val="center"/>
            </w:pPr>
            <w:r>
              <w:t>2023</w:t>
            </w:r>
          </w:p>
        </w:tc>
        <w:tc>
          <w:tcPr>
            <w:tcW w:w="1417" w:type="dxa"/>
            <w:vMerge/>
          </w:tcPr>
          <w:p w14:paraId="5E0F2335" w14:textId="77777777" w:rsidR="00454A29" w:rsidRDefault="00454A29"/>
        </w:tc>
        <w:tc>
          <w:tcPr>
            <w:tcW w:w="2204" w:type="dxa"/>
            <w:vMerge/>
          </w:tcPr>
          <w:p w14:paraId="05C68638" w14:textId="77777777" w:rsidR="00454A29" w:rsidRDefault="00454A29"/>
        </w:tc>
        <w:tc>
          <w:tcPr>
            <w:tcW w:w="1417" w:type="dxa"/>
            <w:vMerge/>
          </w:tcPr>
          <w:p w14:paraId="2C17BD47" w14:textId="77777777" w:rsidR="00454A29" w:rsidRDefault="00454A29"/>
        </w:tc>
        <w:tc>
          <w:tcPr>
            <w:tcW w:w="2324" w:type="dxa"/>
            <w:vMerge/>
          </w:tcPr>
          <w:p w14:paraId="25C529B5" w14:textId="77777777" w:rsidR="00454A29" w:rsidRDefault="00454A29"/>
        </w:tc>
        <w:tc>
          <w:tcPr>
            <w:tcW w:w="1701" w:type="dxa"/>
            <w:vAlign w:val="center"/>
          </w:tcPr>
          <w:p w14:paraId="17DDC139" w14:textId="77777777" w:rsidR="00454A29" w:rsidRDefault="00454A29">
            <w:pPr>
              <w:pStyle w:val="ConsPlusNormal"/>
              <w:jc w:val="center"/>
            </w:pPr>
            <w:r>
              <w:t>-</w:t>
            </w:r>
          </w:p>
        </w:tc>
        <w:tc>
          <w:tcPr>
            <w:tcW w:w="1814" w:type="dxa"/>
            <w:vAlign w:val="center"/>
          </w:tcPr>
          <w:p w14:paraId="314A7196" w14:textId="77777777" w:rsidR="00454A29" w:rsidRDefault="00454A29">
            <w:pPr>
              <w:pStyle w:val="ConsPlusNormal"/>
              <w:jc w:val="center"/>
            </w:pPr>
            <w:r>
              <w:t>-</w:t>
            </w:r>
          </w:p>
        </w:tc>
        <w:tc>
          <w:tcPr>
            <w:tcW w:w="1701" w:type="dxa"/>
            <w:vAlign w:val="center"/>
          </w:tcPr>
          <w:p w14:paraId="0FF46515" w14:textId="77777777" w:rsidR="00454A29" w:rsidRDefault="00454A29">
            <w:pPr>
              <w:pStyle w:val="ConsPlusNormal"/>
              <w:jc w:val="center"/>
            </w:pPr>
            <w:r>
              <w:t>-</w:t>
            </w:r>
          </w:p>
        </w:tc>
        <w:tc>
          <w:tcPr>
            <w:tcW w:w="1701" w:type="dxa"/>
            <w:vAlign w:val="center"/>
          </w:tcPr>
          <w:p w14:paraId="2DD68516" w14:textId="77777777" w:rsidR="00454A29" w:rsidRDefault="00454A29">
            <w:pPr>
              <w:pStyle w:val="ConsPlusNormal"/>
              <w:jc w:val="center"/>
            </w:pPr>
            <w:r>
              <w:t>-</w:t>
            </w:r>
          </w:p>
        </w:tc>
        <w:tc>
          <w:tcPr>
            <w:tcW w:w="1814" w:type="dxa"/>
            <w:vAlign w:val="center"/>
          </w:tcPr>
          <w:p w14:paraId="19BC6826" w14:textId="77777777" w:rsidR="00454A29" w:rsidRDefault="00454A29">
            <w:pPr>
              <w:pStyle w:val="ConsPlusNormal"/>
              <w:jc w:val="center"/>
            </w:pPr>
            <w:r>
              <w:t>-</w:t>
            </w:r>
          </w:p>
        </w:tc>
      </w:tr>
      <w:tr w:rsidR="00454A29" w14:paraId="23D2C27E" w14:textId="77777777">
        <w:tc>
          <w:tcPr>
            <w:tcW w:w="567" w:type="dxa"/>
            <w:vMerge/>
          </w:tcPr>
          <w:p w14:paraId="128B088C" w14:textId="77777777" w:rsidR="00454A29" w:rsidRDefault="00454A29"/>
        </w:tc>
        <w:tc>
          <w:tcPr>
            <w:tcW w:w="3345" w:type="dxa"/>
            <w:vMerge/>
          </w:tcPr>
          <w:p w14:paraId="7AD38E17" w14:textId="77777777" w:rsidR="00454A29" w:rsidRDefault="00454A29"/>
        </w:tc>
        <w:tc>
          <w:tcPr>
            <w:tcW w:w="1701" w:type="dxa"/>
            <w:vAlign w:val="center"/>
          </w:tcPr>
          <w:p w14:paraId="20FF0124" w14:textId="77777777" w:rsidR="00454A29" w:rsidRDefault="00454A29">
            <w:pPr>
              <w:pStyle w:val="ConsPlusNormal"/>
              <w:jc w:val="center"/>
            </w:pPr>
            <w:r>
              <w:t>2024</w:t>
            </w:r>
          </w:p>
        </w:tc>
        <w:tc>
          <w:tcPr>
            <w:tcW w:w="1417" w:type="dxa"/>
            <w:vMerge/>
          </w:tcPr>
          <w:p w14:paraId="71DB946C" w14:textId="77777777" w:rsidR="00454A29" w:rsidRDefault="00454A29"/>
        </w:tc>
        <w:tc>
          <w:tcPr>
            <w:tcW w:w="2204" w:type="dxa"/>
            <w:vMerge/>
          </w:tcPr>
          <w:p w14:paraId="0FD9E4FB" w14:textId="77777777" w:rsidR="00454A29" w:rsidRDefault="00454A29"/>
        </w:tc>
        <w:tc>
          <w:tcPr>
            <w:tcW w:w="1417" w:type="dxa"/>
            <w:vMerge/>
          </w:tcPr>
          <w:p w14:paraId="35321A78" w14:textId="77777777" w:rsidR="00454A29" w:rsidRDefault="00454A29"/>
        </w:tc>
        <w:tc>
          <w:tcPr>
            <w:tcW w:w="2324" w:type="dxa"/>
            <w:vMerge/>
          </w:tcPr>
          <w:p w14:paraId="5E2E4AA7" w14:textId="77777777" w:rsidR="00454A29" w:rsidRDefault="00454A29"/>
        </w:tc>
        <w:tc>
          <w:tcPr>
            <w:tcW w:w="1701" w:type="dxa"/>
            <w:vAlign w:val="center"/>
          </w:tcPr>
          <w:p w14:paraId="30F2D970" w14:textId="77777777" w:rsidR="00454A29" w:rsidRDefault="00454A29">
            <w:pPr>
              <w:pStyle w:val="ConsPlusNormal"/>
              <w:jc w:val="center"/>
            </w:pPr>
            <w:r>
              <w:t>-</w:t>
            </w:r>
          </w:p>
        </w:tc>
        <w:tc>
          <w:tcPr>
            <w:tcW w:w="1814" w:type="dxa"/>
            <w:vAlign w:val="center"/>
          </w:tcPr>
          <w:p w14:paraId="6F8C5F52" w14:textId="77777777" w:rsidR="00454A29" w:rsidRDefault="00454A29">
            <w:pPr>
              <w:pStyle w:val="ConsPlusNormal"/>
              <w:jc w:val="center"/>
            </w:pPr>
            <w:r>
              <w:t>-</w:t>
            </w:r>
          </w:p>
        </w:tc>
        <w:tc>
          <w:tcPr>
            <w:tcW w:w="1701" w:type="dxa"/>
            <w:vAlign w:val="center"/>
          </w:tcPr>
          <w:p w14:paraId="7731D17C" w14:textId="77777777" w:rsidR="00454A29" w:rsidRDefault="00454A29">
            <w:pPr>
              <w:pStyle w:val="ConsPlusNormal"/>
              <w:jc w:val="center"/>
            </w:pPr>
            <w:r>
              <w:t>-</w:t>
            </w:r>
          </w:p>
        </w:tc>
        <w:tc>
          <w:tcPr>
            <w:tcW w:w="1701" w:type="dxa"/>
            <w:vAlign w:val="center"/>
          </w:tcPr>
          <w:p w14:paraId="4D3E7643" w14:textId="77777777" w:rsidR="00454A29" w:rsidRDefault="00454A29">
            <w:pPr>
              <w:pStyle w:val="ConsPlusNormal"/>
              <w:jc w:val="center"/>
            </w:pPr>
            <w:r>
              <w:t>-</w:t>
            </w:r>
          </w:p>
        </w:tc>
        <w:tc>
          <w:tcPr>
            <w:tcW w:w="1814" w:type="dxa"/>
            <w:vAlign w:val="center"/>
          </w:tcPr>
          <w:p w14:paraId="704BB7B0" w14:textId="77777777" w:rsidR="00454A29" w:rsidRDefault="00454A29">
            <w:pPr>
              <w:pStyle w:val="ConsPlusNormal"/>
              <w:jc w:val="center"/>
            </w:pPr>
            <w:r>
              <w:t>-</w:t>
            </w:r>
          </w:p>
        </w:tc>
      </w:tr>
      <w:tr w:rsidR="00454A29" w14:paraId="131E1E8F" w14:textId="77777777">
        <w:tc>
          <w:tcPr>
            <w:tcW w:w="567" w:type="dxa"/>
            <w:vMerge/>
          </w:tcPr>
          <w:p w14:paraId="677C1072" w14:textId="77777777" w:rsidR="00454A29" w:rsidRDefault="00454A29"/>
        </w:tc>
        <w:tc>
          <w:tcPr>
            <w:tcW w:w="3345" w:type="dxa"/>
            <w:vMerge/>
          </w:tcPr>
          <w:p w14:paraId="1D8FD9DB" w14:textId="77777777" w:rsidR="00454A29" w:rsidRDefault="00454A29"/>
        </w:tc>
        <w:tc>
          <w:tcPr>
            <w:tcW w:w="1701" w:type="dxa"/>
            <w:vAlign w:val="center"/>
          </w:tcPr>
          <w:p w14:paraId="32A56460" w14:textId="77777777" w:rsidR="00454A29" w:rsidRDefault="00454A29">
            <w:pPr>
              <w:pStyle w:val="ConsPlusNormal"/>
              <w:jc w:val="center"/>
            </w:pPr>
            <w:r>
              <w:t>2025</w:t>
            </w:r>
          </w:p>
        </w:tc>
        <w:tc>
          <w:tcPr>
            <w:tcW w:w="1417" w:type="dxa"/>
            <w:vMerge/>
          </w:tcPr>
          <w:p w14:paraId="0E088B19" w14:textId="77777777" w:rsidR="00454A29" w:rsidRDefault="00454A29"/>
        </w:tc>
        <w:tc>
          <w:tcPr>
            <w:tcW w:w="2204" w:type="dxa"/>
            <w:vMerge/>
          </w:tcPr>
          <w:p w14:paraId="78CCF7D9" w14:textId="77777777" w:rsidR="00454A29" w:rsidRDefault="00454A29"/>
        </w:tc>
        <w:tc>
          <w:tcPr>
            <w:tcW w:w="1417" w:type="dxa"/>
            <w:vMerge/>
          </w:tcPr>
          <w:p w14:paraId="6A4D41C1" w14:textId="77777777" w:rsidR="00454A29" w:rsidRDefault="00454A29"/>
        </w:tc>
        <w:tc>
          <w:tcPr>
            <w:tcW w:w="2324" w:type="dxa"/>
            <w:vMerge/>
          </w:tcPr>
          <w:p w14:paraId="30E0881E" w14:textId="77777777" w:rsidR="00454A29" w:rsidRDefault="00454A29"/>
        </w:tc>
        <w:tc>
          <w:tcPr>
            <w:tcW w:w="1701" w:type="dxa"/>
            <w:vAlign w:val="center"/>
          </w:tcPr>
          <w:p w14:paraId="30D2BC2B" w14:textId="77777777" w:rsidR="00454A29" w:rsidRDefault="00454A29">
            <w:pPr>
              <w:pStyle w:val="ConsPlusNormal"/>
              <w:jc w:val="center"/>
            </w:pPr>
            <w:r>
              <w:t>-</w:t>
            </w:r>
          </w:p>
        </w:tc>
        <w:tc>
          <w:tcPr>
            <w:tcW w:w="1814" w:type="dxa"/>
            <w:vAlign w:val="center"/>
          </w:tcPr>
          <w:p w14:paraId="1F898C39" w14:textId="77777777" w:rsidR="00454A29" w:rsidRDefault="00454A29">
            <w:pPr>
              <w:pStyle w:val="ConsPlusNormal"/>
              <w:jc w:val="center"/>
            </w:pPr>
            <w:r>
              <w:t>-</w:t>
            </w:r>
          </w:p>
        </w:tc>
        <w:tc>
          <w:tcPr>
            <w:tcW w:w="1701" w:type="dxa"/>
            <w:vAlign w:val="center"/>
          </w:tcPr>
          <w:p w14:paraId="7AD52EEF" w14:textId="77777777" w:rsidR="00454A29" w:rsidRDefault="00454A29">
            <w:pPr>
              <w:pStyle w:val="ConsPlusNormal"/>
              <w:jc w:val="center"/>
            </w:pPr>
            <w:r>
              <w:t>-</w:t>
            </w:r>
          </w:p>
        </w:tc>
        <w:tc>
          <w:tcPr>
            <w:tcW w:w="1701" w:type="dxa"/>
            <w:vAlign w:val="center"/>
          </w:tcPr>
          <w:p w14:paraId="5F768AEC" w14:textId="77777777" w:rsidR="00454A29" w:rsidRDefault="00454A29">
            <w:pPr>
              <w:pStyle w:val="ConsPlusNormal"/>
              <w:jc w:val="center"/>
            </w:pPr>
            <w:r>
              <w:t>-</w:t>
            </w:r>
          </w:p>
        </w:tc>
        <w:tc>
          <w:tcPr>
            <w:tcW w:w="1814" w:type="dxa"/>
            <w:vAlign w:val="center"/>
          </w:tcPr>
          <w:p w14:paraId="61BC6290" w14:textId="77777777" w:rsidR="00454A29" w:rsidRDefault="00454A29">
            <w:pPr>
              <w:pStyle w:val="ConsPlusNormal"/>
              <w:jc w:val="center"/>
            </w:pPr>
            <w:r>
              <w:t>-</w:t>
            </w:r>
          </w:p>
        </w:tc>
      </w:tr>
      <w:tr w:rsidR="00454A29" w14:paraId="5ACCD8DF" w14:textId="77777777">
        <w:tc>
          <w:tcPr>
            <w:tcW w:w="567" w:type="dxa"/>
            <w:vMerge/>
          </w:tcPr>
          <w:p w14:paraId="05870B2D" w14:textId="77777777" w:rsidR="00454A29" w:rsidRDefault="00454A29"/>
        </w:tc>
        <w:tc>
          <w:tcPr>
            <w:tcW w:w="3345" w:type="dxa"/>
            <w:vMerge/>
          </w:tcPr>
          <w:p w14:paraId="28C46BCE" w14:textId="77777777" w:rsidR="00454A29" w:rsidRDefault="00454A29"/>
        </w:tc>
        <w:tc>
          <w:tcPr>
            <w:tcW w:w="1701" w:type="dxa"/>
            <w:vAlign w:val="center"/>
          </w:tcPr>
          <w:p w14:paraId="126888FE" w14:textId="77777777" w:rsidR="00454A29" w:rsidRDefault="00454A29">
            <w:pPr>
              <w:pStyle w:val="ConsPlusNormal"/>
              <w:jc w:val="center"/>
            </w:pPr>
            <w:r>
              <w:t>2026</w:t>
            </w:r>
          </w:p>
        </w:tc>
        <w:tc>
          <w:tcPr>
            <w:tcW w:w="1417" w:type="dxa"/>
            <w:vMerge/>
          </w:tcPr>
          <w:p w14:paraId="4F5C32DE" w14:textId="77777777" w:rsidR="00454A29" w:rsidRDefault="00454A29"/>
        </w:tc>
        <w:tc>
          <w:tcPr>
            <w:tcW w:w="2204" w:type="dxa"/>
            <w:vMerge/>
          </w:tcPr>
          <w:p w14:paraId="1F184A23" w14:textId="77777777" w:rsidR="00454A29" w:rsidRDefault="00454A29"/>
        </w:tc>
        <w:tc>
          <w:tcPr>
            <w:tcW w:w="1417" w:type="dxa"/>
            <w:vMerge/>
          </w:tcPr>
          <w:p w14:paraId="01E0F23E" w14:textId="77777777" w:rsidR="00454A29" w:rsidRDefault="00454A29"/>
        </w:tc>
        <w:tc>
          <w:tcPr>
            <w:tcW w:w="2324" w:type="dxa"/>
            <w:vMerge/>
          </w:tcPr>
          <w:p w14:paraId="2DB9D99D" w14:textId="77777777" w:rsidR="00454A29" w:rsidRDefault="00454A29"/>
        </w:tc>
        <w:tc>
          <w:tcPr>
            <w:tcW w:w="1701" w:type="dxa"/>
            <w:vAlign w:val="center"/>
          </w:tcPr>
          <w:p w14:paraId="4DDE3281" w14:textId="77777777" w:rsidR="00454A29" w:rsidRDefault="00454A29">
            <w:pPr>
              <w:pStyle w:val="ConsPlusNormal"/>
              <w:jc w:val="center"/>
            </w:pPr>
            <w:r>
              <w:t>-</w:t>
            </w:r>
          </w:p>
        </w:tc>
        <w:tc>
          <w:tcPr>
            <w:tcW w:w="1814" w:type="dxa"/>
            <w:vAlign w:val="center"/>
          </w:tcPr>
          <w:p w14:paraId="604460DE" w14:textId="77777777" w:rsidR="00454A29" w:rsidRDefault="00454A29">
            <w:pPr>
              <w:pStyle w:val="ConsPlusNormal"/>
              <w:jc w:val="center"/>
            </w:pPr>
            <w:r>
              <w:t>-</w:t>
            </w:r>
          </w:p>
        </w:tc>
        <w:tc>
          <w:tcPr>
            <w:tcW w:w="1701" w:type="dxa"/>
            <w:vAlign w:val="center"/>
          </w:tcPr>
          <w:p w14:paraId="3A4514F7" w14:textId="77777777" w:rsidR="00454A29" w:rsidRDefault="00454A29">
            <w:pPr>
              <w:pStyle w:val="ConsPlusNormal"/>
              <w:jc w:val="center"/>
            </w:pPr>
            <w:r>
              <w:t>-</w:t>
            </w:r>
          </w:p>
        </w:tc>
        <w:tc>
          <w:tcPr>
            <w:tcW w:w="1701" w:type="dxa"/>
            <w:vAlign w:val="center"/>
          </w:tcPr>
          <w:p w14:paraId="07422C4A" w14:textId="77777777" w:rsidR="00454A29" w:rsidRDefault="00454A29">
            <w:pPr>
              <w:pStyle w:val="ConsPlusNormal"/>
              <w:jc w:val="center"/>
            </w:pPr>
            <w:r>
              <w:t>-</w:t>
            </w:r>
          </w:p>
        </w:tc>
        <w:tc>
          <w:tcPr>
            <w:tcW w:w="1814" w:type="dxa"/>
            <w:vAlign w:val="center"/>
          </w:tcPr>
          <w:p w14:paraId="10A9BD38" w14:textId="77777777" w:rsidR="00454A29" w:rsidRDefault="00454A29">
            <w:pPr>
              <w:pStyle w:val="ConsPlusNormal"/>
              <w:jc w:val="center"/>
            </w:pPr>
            <w:r>
              <w:t>-</w:t>
            </w:r>
          </w:p>
        </w:tc>
      </w:tr>
      <w:tr w:rsidR="00454A29" w14:paraId="1C156D87" w14:textId="77777777">
        <w:tc>
          <w:tcPr>
            <w:tcW w:w="567" w:type="dxa"/>
            <w:vMerge w:val="restart"/>
            <w:vAlign w:val="center"/>
          </w:tcPr>
          <w:p w14:paraId="7FA8C072" w14:textId="77777777" w:rsidR="00454A29" w:rsidRDefault="00454A29">
            <w:pPr>
              <w:pStyle w:val="ConsPlusNormal"/>
              <w:jc w:val="center"/>
            </w:pPr>
            <w:r>
              <w:t>82</w:t>
            </w:r>
          </w:p>
        </w:tc>
        <w:tc>
          <w:tcPr>
            <w:tcW w:w="3345" w:type="dxa"/>
            <w:vMerge w:val="restart"/>
            <w:vAlign w:val="center"/>
          </w:tcPr>
          <w:p w14:paraId="07EBC2AA" w14:textId="77777777" w:rsidR="00454A29" w:rsidRDefault="00454A29">
            <w:pPr>
              <w:pStyle w:val="ConsPlusNormal"/>
              <w:jc w:val="center"/>
            </w:pPr>
            <w:r>
              <w:t>Образовательный комплекс Международный центр "Дети Арктики" (на 250 учащихся) в г. Якутске</w:t>
            </w:r>
          </w:p>
        </w:tc>
        <w:tc>
          <w:tcPr>
            <w:tcW w:w="1701" w:type="dxa"/>
            <w:vAlign w:val="center"/>
          </w:tcPr>
          <w:p w14:paraId="7A97A0F0" w14:textId="77777777" w:rsidR="00454A29" w:rsidRDefault="00454A29">
            <w:pPr>
              <w:pStyle w:val="ConsPlusNormal"/>
              <w:jc w:val="center"/>
            </w:pPr>
            <w:r>
              <w:t>Всего:</w:t>
            </w:r>
          </w:p>
        </w:tc>
        <w:tc>
          <w:tcPr>
            <w:tcW w:w="1417" w:type="dxa"/>
            <w:vMerge w:val="restart"/>
            <w:vAlign w:val="center"/>
          </w:tcPr>
          <w:p w14:paraId="26060556" w14:textId="77777777" w:rsidR="00454A29" w:rsidRDefault="00454A29">
            <w:pPr>
              <w:pStyle w:val="ConsPlusNormal"/>
            </w:pPr>
          </w:p>
        </w:tc>
        <w:tc>
          <w:tcPr>
            <w:tcW w:w="2204" w:type="dxa"/>
            <w:vMerge w:val="restart"/>
            <w:vAlign w:val="center"/>
          </w:tcPr>
          <w:p w14:paraId="50076851" w14:textId="77777777" w:rsidR="00454A29" w:rsidRDefault="00454A29">
            <w:pPr>
              <w:pStyle w:val="ConsPlusNormal"/>
              <w:jc w:val="center"/>
            </w:pPr>
            <w:r>
              <w:t>имеется</w:t>
            </w:r>
          </w:p>
        </w:tc>
        <w:tc>
          <w:tcPr>
            <w:tcW w:w="1417" w:type="dxa"/>
            <w:vMerge w:val="restart"/>
            <w:vAlign w:val="center"/>
          </w:tcPr>
          <w:p w14:paraId="4739CE7B" w14:textId="77777777" w:rsidR="00454A29" w:rsidRDefault="00454A29">
            <w:pPr>
              <w:pStyle w:val="ConsPlusNormal"/>
              <w:jc w:val="center"/>
            </w:pPr>
            <w:r>
              <w:t>250</w:t>
            </w:r>
          </w:p>
        </w:tc>
        <w:tc>
          <w:tcPr>
            <w:tcW w:w="2324" w:type="dxa"/>
            <w:vMerge w:val="restart"/>
            <w:vAlign w:val="center"/>
          </w:tcPr>
          <w:p w14:paraId="0FB32379" w14:textId="77777777" w:rsidR="00454A29" w:rsidRDefault="00454A29">
            <w:pPr>
              <w:pStyle w:val="ConsPlusNormal"/>
              <w:jc w:val="center"/>
            </w:pPr>
            <w:r>
              <w:t>Минстрой РС(Я)</w:t>
            </w:r>
          </w:p>
        </w:tc>
        <w:tc>
          <w:tcPr>
            <w:tcW w:w="1701" w:type="dxa"/>
            <w:vAlign w:val="center"/>
          </w:tcPr>
          <w:p w14:paraId="666483D0" w14:textId="77777777" w:rsidR="00454A29" w:rsidRDefault="00454A29">
            <w:pPr>
              <w:pStyle w:val="ConsPlusNormal"/>
              <w:jc w:val="center"/>
            </w:pPr>
            <w:r>
              <w:t>-</w:t>
            </w:r>
          </w:p>
        </w:tc>
        <w:tc>
          <w:tcPr>
            <w:tcW w:w="1814" w:type="dxa"/>
            <w:vAlign w:val="center"/>
          </w:tcPr>
          <w:p w14:paraId="3921BEDF" w14:textId="77777777" w:rsidR="00454A29" w:rsidRDefault="00454A29">
            <w:pPr>
              <w:pStyle w:val="ConsPlusNormal"/>
              <w:jc w:val="center"/>
            </w:pPr>
            <w:r>
              <w:t>-</w:t>
            </w:r>
          </w:p>
        </w:tc>
        <w:tc>
          <w:tcPr>
            <w:tcW w:w="1701" w:type="dxa"/>
            <w:vAlign w:val="center"/>
          </w:tcPr>
          <w:p w14:paraId="5EA43199" w14:textId="77777777" w:rsidR="00454A29" w:rsidRDefault="00454A29">
            <w:pPr>
              <w:pStyle w:val="ConsPlusNormal"/>
              <w:jc w:val="center"/>
            </w:pPr>
            <w:r>
              <w:t>-</w:t>
            </w:r>
          </w:p>
        </w:tc>
        <w:tc>
          <w:tcPr>
            <w:tcW w:w="1701" w:type="dxa"/>
            <w:vAlign w:val="center"/>
          </w:tcPr>
          <w:p w14:paraId="5C0FAA73" w14:textId="77777777" w:rsidR="00454A29" w:rsidRDefault="00454A29">
            <w:pPr>
              <w:pStyle w:val="ConsPlusNormal"/>
              <w:jc w:val="center"/>
            </w:pPr>
            <w:r>
              <w:t>-</w:t>
            </w:r>
          </w:p>
        </w:tc>
        <w:tc>
          <w:tcPr>
            <w:tcW w:w="1814" w:type="dxa"/>
            <w:vAlign w:val="center"/>
          </w:tcPr>
          <w:p w14:paraId="600ADEE2" w14:textId="77777777" w:rsidR="00454A29" w:rsidRDefault="00454A29">
            <w:pPr>
              <w:pStyle w:val="ConsPlusNormal"/>
              <w:jc w:val="center"/>
            </w:pPr>
            <w:r>
              <w:t>-</w:t>
            </w:r>
          </w:p>
        </w:tc>
      </w:tr>
      <w:tr w:rsidR="00454A29" w14:paraId="0110D554" w14:textId="77777777">
        <w:tc>
          <w:tcPr>
            <w:tcW w:w="567" w:type="dxa"/>
            <w:vMerge/>
          </w:tcPr>
          <w:p w14:paraId="7D179D52" w14:textId="77777777" w:rsidR="00454A29" w:rsidRDefault="00454A29"/>
        </w:tc>
        <w:tc>
          <w:tcPr>
            <w:tcW w:w="3345" w:type="dxa"/>
            <w:vMerge/>
          </w:tcPr>
          <w:p w14:paraId="0DFB455C" w14:textId="77777777" w:rsidR="00454A29" w:rsidRDefault="00454A29"/>
        </w:tc>
        <w:tc>
          <w:tcPr>
            <w:tcW w:w="1701" w:type="dxa"/>
            <w:vAlign w:val="center"/>
          </w:tcPr>
          <w:p w14:paraId="7BA0838E" w14:textId="77777777" w:rsidR="00454A29" w:rsidRDefault="00454A29">
            <w:pPr>
              <w:pStyle w:val="ConsPlusNormal"/>
              <w:jc w:val="center"/>
            </w:pPr>
            <w:r>
              <w:t>2016</w:t>
            </w:r>
          </w:p>
        </w:tc>
        <w:tc>
          <w:tcPr>
            <w:tcW w:w="1417" w:type="dxa"/>
            <w:vMerge/>
          </w:tcPr>
          <w:p w14:paraId="57E3D413" w14:textId="77777777" w:rsidR="00454A29" w:rsidRDefault="00454A29"/>
        </w:tc>
        <w:tc>
          <w:tcPr>
            <w:tcW w:w="2204" w:type="dxa"/>
            <w:vMerge/>
          </w:tcPr>
          <w:p w14:paraId="5A4BAF8C" w14:textId="77777777" w:rsidR="00454A29" w:rsidRDefault="00454A29"/>
        </w:tc>
        <w:tc>
          <w:tcPr>
            <w:tcW w:w="1417" w:type="dxa"/>
            <w:vMerge/>
          </w:tcPr>
          <w:p w14:paraId="249A751D" w14:textId="77777777" w:rsidR="00454A29" w:rsidRDefault="00454A29"/>
        </w:tc>
        <w:tc>
          <w:tcPr>
            <w:tcW w:w="2324" w:type="dxa"/>
            <w:vMerge/>
          </w:tcPr>
          <w:p w14:paraId="548B988D" w14:textId="77777777" w:rsidR="00454A29" w:rsidRDefault="00454A29"/>
        </w:tc>
        <w:tc>
          <w:tcPr>
            <w:tcW w:w="1701" w:type="dxa"/>
            <w:vAlign w:val="center"/>
          </w:tcPr>
          <w:p w14:paraId="0A6829D9" w14:textId="77777777" w:rsidR="00454A29" w:rsidRDefault="00454A29">
            <w:pPr>
              <w:pStyle w:val="ConsPlusNormal"/>
              <w:jc w:val="center"/>
            </w:pPr>
            <w:r>
              <w:t>-</w:t>
            </w:r>
          </w:p>
        </w:tc>
        <w:tc>
          <w:tcPr>
            <w:tcW w:w="1814" w:type="dxa"/>
            <w:vAlign w:val="center"/>
          </w:tcPr>
          <w:p w14:paraId="591A2E64" w14:textId="77777777" w:rsidR="00454A29" w:rsidRDefault="00454A29">
            <w:pPr>
              <w:pStyle w:val="ConsPlusNormal"/>
            </w:pPr>
          </w:p>
        </w:tc>
        <w:tc>
          <w:tcPr>
            <w:tcW w:w="1701" w:type="dxa"/>
            <w:vAlign w:val="center"/>
          </w:tcPr>
          <w:p w14:paraId="5C7293E2" w14:textId="77777777" w:rsidR="00454A29" w:rsidRDefault="00454A29">
            <w:pPr>
              <w:pStyle w:val="ConsPlusNormal"/>
            </w:pPr>
          </w:p>
        </w:tc>
        <w:tc>
          <w:tcPr>
            <w:tcW w:w="1701" w:type="dxa"/>
            <w:vAlign w:val="center"/>
          </w:tcPr>
          <w:p w14:paraId="32A031F9" w14:textId="77777777" w:rsidR="00454A29" w:rsidRDefault="00454A29">
            <w:pPr>
              <w:pStyle w:val="ConsPlusNormal"/>
            </w:pPr>
          </w:p>
        </w:tc>
        <w:tc>
          <w:tcPr>
            <w:tcW w:w="1814" w:type="dxa"/>
            <w:vAlign w:val="center"/>
          </w:tcPr>
          <w:p w14:paraId="46A9F460" w14:textId="77777777" w:rsidR="00454A29" w:rsidRDefault="00454A29">
            <w:pPr>
              <w:pStyle w:val="ConsPlusNormal"/>
            </w:pPr>
          </w:p>
        </w:tc>
      </w:tr>
      <w:tr w:rsidR="00454A29" w14:paraId="783C7579" w14:textId="77777777">
        <w:tc>
          <w:tcPr>
            <w:tcW w:w="567" w:type="dxa"/>
            <w:vMerge/>
          </w:tcPr>
          <w:p w14:paraId="7DD4B1CE" w14:textId="77777777" w:rsidR="00454A29" w:rsidRDefault="00454A29"/>
        </w:tc>
        <w:tc>
          <w:tcPr>
            <w:tcW w:w="3345" w:type="dxa"/>
            <w:vMerge/>
          </w:tcPr>
          <w:p w14:paraId="63B6382D" w14:textId="77777777" w:rsidR="00454A29" w:rsidRDefault="00454A29"/>
        </w:tc>
        <w:tc>
          <w:tcPr>
            <w:tcW w:w="1701" w:type="dxa"/>
            <w:vAlign w:val="center"/>
          </w:tcPr>
          <w:p w14:paraId="609603F7" w14:textId="77777777" w:rsidR="00454A29" w:rsidRDefault="00454A29">
            <w:pPr>
              <w:pStyle w:val="ConsPlusNormal"/>
              <w:jc w:val="center"/>
            </w:pPr>
            <w:r>
              <w:t>2017</w:t>
            </w:r>
          </w:p>
        </w:tc>
        <w:tc>
          <w:tcPr>
            <w:tcW w:w="1417" w:type="dxa"/>
            <w:vMerge/>
          </w:tcPr>
          <w:p w14:paraId="762310F7" w14:textId="77777777" w:rsidR="00454A29" w:rsidRDefault="00454A29"/>
        </w:tc>
        <w:tc>
          <w:tcPr>
            <w:tcW w:w="2204" w:type="dxa"/>
            <w:vMerge/>
          </w:tcPr>
          <w:p w14:paraId="3A4EC5B2" w14:textId="77777777" w:rsidR="00454A29" w:rsidRDefault="00454A29"/>
        </w:tc>
        <w:tc>
          <w:tcPr>
            <w:tcW w:w="1417" w:type="dxa"/>
            <w:vMerge/>
          </w:tcPr>
          <w:p w14:paraId="7B032224" w14:textId="77777777" w:rsidR="00454A29" w:rsidRDefault="00454A29"/>
        </w:tc>
        <w:tc>
          <w:tcPr>
            <w:tcW w:w="2324" w:type="dxa"/>
            <w:vMerge/>
          </w:tcPr>
          <w:p w14:paraId="4241AF2C" w14:textId="77777777" w:rsidR="00454A29" w:rsidRDefault="00454A29"/>
        </w:tc>
        <w:tc>
          <w:tcPr>
            <w:tcW w:w="1701" w:type="dxa"/>
            <w:vAlign w:val="center"/>
          </w:tcPr>
          <w:p w14:paraId="6CE9FAA1" w14:textId="77777777" w:rsidR="00454A29" w:rsidRDefault="00454A29">
            <w:pPr>
              <w:pStyle w:val="ConsPlusNormal"/>
              <w:jc w:val="center"/>
            </w:pPr>
            <w:r>
              <w:t>-</w:t>
            </w:r>
          </w:p>
        </w:tc>
        <w:tc>
          <w:tcPr>
            <w:tcW w:w="1814" w:type="dxa"/>
            <w:vAlign w:val="center"/>
          </w:tcPr>
          <w:p w14:paraId="6740F5E9" w14:textId="77777777" w:rsidR="00454A29" w:rsidRDefault="00454A29">
            <w:pPr>
              <w:pStyle w:val="ConsPlusNormal"/>
            </w:pPr>
          </w:p>
        </w:tc>
        <w:tc>
          <w:tcPr>
            <w:tcW w:w="1701" w:type="dxa"/>
            <w:vAlign w:val="center"/>
          </w:tcPr>
          <w:p w14:paraId="4226DC90" w14:textId="77777777" w:rsidR="00454A29" w:rsidRDefault="00454A29">
            <w:pPr>
              <w:pStyle w:val="ConsPlusNormal"/>
            </w:pPr>
          </w:p>
        </w:tc>
        <w:tc>
          <w:tcPr>
            <w:tcW w:w="1701" w:type="dxa"/>
            <w:vAlign w:val="center"/>
          </w:tcPr>
          <w:p w14:paraId="67E84FE2" w14:textId="77777777" w:rsidR="00454A29" w:rsidRDefault="00454A29">
            <w:pPr>
              <w:pStyle w:val="ConsPlusNormal"/>
            </w:pPr>
          </w:p>
        </w:tc>
        <w:tc>
          <w:tcPr>
            <w:tcW w:w="1814" w:type="dxa"/>
            <w:vAlign w:val="center"/>
          </w:tcPr>
          <w:p w14:paraId="564D8D8E" w14:textId="77777777" w:rsidR="00454A29" w:rsidRDefault="00454A29">
            <w:pPr>
              <w:pStyle w:val="ConsPlusNormal"/>
            </w:pPr>
          </w:p>
        </w:tc>
      </w:tr>
      <w:tr w:rsidR="00454A29" w14:paraId="0F5D5847" w14:textId="77777777">
        <w:tc>
          <w:tcPr>
            <w:tcW w:w="567" w:type="dxa"/>
            <w:vMerge/>
          </w:tcPr>
          <w:p w14:paraId="42738A95" w14:textId="77777777" w:rsidR="00454A29" w:rsidRDefault="00454A29"/>
        </w:tc>
        <w:tc>
          <w:tcPr>
            <w:tcW w:w="3345" w:type="dxa"/>
            <w:vMerge/>
          </w:tcPr>
          <w:p w14:paraId="6598580F" w14:textId="77777777" w:rsidR="00454A29" w:rsidRDefault="00454A29"/>
        </w:tc>
        <w:tc>
          <w:tcPr>
            <w:tcW w:w="1701" w:type="dxa"/>
            <w:vAlign w:val="center"/>
          </w:tcPr>
          <w:p w14:paraId="207720CD" w14:textId="77777777" w:rsidR="00454A29" w:rsidRDefault="00454A29">
            <w:pPr>
              <w:pStyle w:val="ConsPlusNormal"/>
              <w:jc w:val="center"/>
            </w:pPr>
            <w:r>
              <w:t>2018</w:t>
            </w:r>
          </w:p>
        </w:tc>
        <w:tc>
          <w:tcPr>
            <w:tcW w:w="1417" w:type="dxa"/>
            <w:vMerge/>
          </w:tcPr>
          <w:p w14:paraId="15321ACA" w14:textId="77777777" w:rsidR="00454A29" w:rsidRDefault="00454A29"/>
        </w:tc>
        <w:tc>
          <w:tcPr>
            <w:tcW w:w="2204" w:type="dxa"/>
            <w:vMerge/>
          </w:tcPr>
          <w:p w14:paraId="3E3A6158" w14:textId="77777777" w:rsidR="00454A29" w:rsidRDefault="00454A29"/>
        </w:tc>
        <w:tc>
          <w:tcPr>
            <w:tcW w:w="1417" w:type="dxa"/>
            <w:vMerge/>
          </w:tcPr>
          <w:p w14:paraId="60B53C04" w14:textId="77777777" w:rsidR="00454A29" w:rsidRDefault="00454A29"/>
        </w:tc>
        <w:tc>
          <w:tcPr>
            <w:tcW w:w="2324" w:type="dxa"/>
            <w:vMerge/>
          </w:tcPr>
          <w:p w14:paraId="23CC577F" w14:textId="77777777" w:rsidR="00454A29" w:rsidRDefault="00454A29"/>
        </w:tc>
        <w:tc>
          <w:tcPr>
            <w:tcW w:w="1701" w:type="dxa"/>
            <w:vAlign w:val="center"/>
          </w:tcPr>
          <w:p w14:paraId="71456825" w14:textId="77777777" w:rsidR="00454A29" w:rsidRDefault="00454A29">
            <w:pPr>
              <w:pStyle w:val="ConsPlusNormal"/>
              <w:jc w:val="center"/>
            </w:pPr>
            <w:r>
              <w:t>-</w:t>
            </w:r>
          </w:p>
        </w:tc>
        <w:tc>
          <w:tcPr>
            <w:tcW w:w="1814" w:type="dxa"/>
            <w:vAlign w:val="center"/>
          </w:tcPr>
          <w:p w14:paraId="0EB93873" w14:textId="77777777" w:rsidR="00454A29" w:rsidRDefault="00454A29">
            <w:pPr>
              <w:pStyle w:val="ConsPlusNormal"/>
            </w:pPr>
          </w:p>
        </w:tc>
        <w:tc>
          <w:tcPr>
            <w:tcW w:w="1701" w:type="dxa"/>
            <w:vAlign w:val="center"/>
          </w:tcPr>
          <w:p w14:paraId="72B7418E" w14:textId="77777777" w:rsidR="00454A29" w:rsidRDefault="00454A29">
            <w:pPr>
              <w:pStyle w:val="ConsPlusNormal"/>
            </w:pPr>
          </w:p>
        </w:tc>
        <w:tc>
          <w:tcPr>
            <w:tcW w:w="1701" w:type="dxa"/>
            <w:vAlign w:val="center"/>
          </w:tcPr>
          <w:p w14:paraId="7B5AE41C" w14:textId="77777777" w:rsidR="00454A29" w:rsidRDefault="00454A29">
            <w:pPr>
              <w:pStyle w:val="ConsPlusNormal"/>
            </w:pPr>
          </w:p>
        </w:tc>
        <w:tc>
          <w:tcPr>
            <w:tcW w:w="1814" w:type="dxa"/>
            <w:vAlign w:val="center"/>
          </w:tcPr>
          <w:p w14:paraId="68EE0C5E" w14:textId="77777777" w:rsidR="00454A29" w:rsidRDefault="00454A29">
            <w:pPr>
              <w:pStyle w:val="ConsPlusNormal"/>
            </w:pPr>
          </w:p>
        </w:tc>
      </w:tr>
      <w:tr w:rsidR="00454A29" w14:paraId="36BCCAF1" w14:textId="77777777">
        <w:tc>
          <w:tcPr>
            <w:tcW w:w="567" w:type="dxa"/>
            <w:vMerge/>
          </w:tcPr>
          <w:p w14:paraId="0B106560" w14:textId="77777777" w:rsidR="00454A29" w:rsidRDefault="00454A29"/>
        </w:tc>
        <w:tc>
          <w:tcPr>
            <w:tcW w:w="3345" w:type="dxa"/>
            <w:vMerge/>
          </w:tcPr>
          <w:p w14:paraId="0F0DD597" w14:textId="77777777" w:rsidR="00454A29" w:rsidRDefault="00454A29"/>
        </w:tc>
        <w:tc>
          <w:tcPr>
            <w:tcW w:w="1701" w:type="dxa"/>
            <w:vAlign w:val="center"/>
          </w:tcPr>
          <w:p w14:paraId="20C7C0CC" w14:textId="77777777" w:rsidR="00454A29" w:rsidRDefault="00454A29">
            <w:pPr>
              <w:pStyle w:val="ConsPlusNormal"/>
              <w:jc w:val="center"/>
            </w:pPr>
            <w:r>
              <w:t>2019</w:t>
            </w:r>
          </w:p>
        </w:tc>
        <w:tc>
          <w:tcPr>
            <w:tcW w:w="1417" w:type="dxa"/>
            <w:vMerge/>
          </w:tcPr>
          <w:p w14:paraId="2A3C1BC4" w14:textId="77777777" w:rsidR="00454A29" w:rsidRDefault="00454A29"/>
        </w:tc>
        <w:tc>
          <w:tcPr>
            <w:tcW w:w="2204" w:type="dxa"/>
            <w:vMerge/>
          </w:tcPr>
          <w:p w14:paraId="5F01F6E2" w14:textId="77777777" w:rsidR="00454A29" w:rsidRDefault="00454A29"/>
        </w:tc>
        <w:tc>
          <w:tcPr>
            <w:tcW w:w="1417" w:type="dxa"/>
            <w:vMerge/>
          </w:tcPr>
          <w:p w14:paraId="69691D48" w14:textId="77777777" w:rsidR="00454A29" w:rsidRDefault="00454A29"/>
        </w:tc>
        <w:tc>
          <w:tcPr>
            <w:tcW w:w="2324" w:type="dxa"/>
            <w:vMerge/>
          </w:tcPr>
          <w:p w14:paraId="0095438E" w14:textId="77777777" w:rsidR="00454A29" w:rsidRDefault="00454A29"/>
        </w:tc>
        <w:tc>
          <w:tcPr>
            <w:tcW w:w="1701" w:type="dxa"/>
            <w:vAlign w:val="center"/>
          </w:tcPr>
          <w:p w14:paraId="794D3D61" w14:textId="77777777" w:rsidR="00454A29" w:rsidRDefault="00454A29">
            <w:pPr>
              <w:pStyle w:val="ConsPlusNormal"/>
              <w:jc w:val="center"/>
            </w:pPr>
            <w:r>
              <w:t>-</w:t>
            </w:r>
          </w:p>
        </w:tc>
        <w:tc>
          <w:tcPr>
            <w:tcW w:w="1814" w:type="dxa"/>
            <w:vAlign w:val="center"/>
          </w:tcPr>
          <w:p w14:paraId="2338A52E" w14:textId="77777777" w:rsidR="00454A29" w:rsidRDefault="00454A29">
            <w:pPr>
              <w:pStyle w:val="ConsPlusNormal"/>
            </w:pPr>
          </w:p>
        </w:tc>
        <w:tc>
          <w:tcPr>
            <w:tcW w:w="1701" w:type="dxa"/>
            <w:vAlign w:val="center"/>
          </w:tcPr>
          <w:p w14:paraId="4F25AD27" w14:textId="77777777" w:rsidR="00454A29" w:rsidRDefault="00454A29">
            <w:pPr>
              <w:pStyle w:val="ConsPlusNormal"/>
            </w:pPr>
          </w:p>
        </w:tc>
        <w:tc>
          <w:tcPr>
            <w:tcW w:w="1701" w:type="dxa"/>
            <w:vAlign w:val="center"/>
          </w:tcPr>
          <w:p w14:paraId="73708A08" w14:textId="77777777" w:rsidR="00454A29" w:rsidRDefault="00454A29">
            <w:pPr>
              <w:pStyle w:val="ConsPlusNormal"/>
            </w:pPr>
          </w:p>
        </w:tc>
        <w:tc>
          <w:tcPr>
            <w:tcW w:w="1814" w:type="dxa"/>
            <w:vAlign w:val="center"/>
          </w:tcPr>
          <w:p w14:paraId="3F6C3F14" w14:textId="77777777" w:rsidR="00454A29" w:rsidRDefault="00454A29">
            <w:pPr>
              <w:pStyle w:val="ConsPlusNormal"/>
            </w:pPr>
          </w:p>
        </w:tc>
      </w:tr>
      <w:tr w:rsidR="00454A29" w14:paraId="4ED118B0" w14:textId="77777777">
        <w:tc>
          <w:tcPr>
            <w:tcW w:w="567" w:type="dxa"/>
            <w:vMerge/>
          </w:tcPr>
          <w:p w14:paraId="03C24FE1" w14:textId="77777777" w:rsidR="00454A29" w:rsidRDefault="00454A29"/>
        </w:tc>
        <w:tc>
          <w:tcPr>
            <w:tcW w:w="3345" w:type="dxa"/>
            <w:vMerge/>
          </w:tcPr>
          <w:p w14:paraId="507F136C" w14:textId="77777777" w:rsidR="00454A29" w:rsidRDefault="00454A29"/>
        </w:tc>
        <w:tc>
          <w:tcPr>
            <w:tcW w:w="1701" w:type="dxa"/>
            <w:vAlign w:val="center"/>
          </w:tcPr>
          <w:p w14:paraId="36190847" w14:textId="77777777" w:rsidR="00454A29" w:rsidRDefault="00454A29">
            <w:pPr>
              <w:pStyle w:val="ConsPlusNormal"/>
              <w:jc w:val="center"/>
            </w:pPr>
            <w:r>
              <w:t>2020</w:t>
            </w:r>
          </w:p>
        </w:tc>
        <w:tc>
          <w:tcPr>
            <w:tcW w:w="1417" w:type="dxa"/>
            <w:vMerge/>
          </w:tcPr>
          <w:p w14:paraId="795F50CC" w14:textId="77777777" w:rsidR="00454A29" w:rsidRDefault="00454A29"/>
        </w:tc>
        <w:tc>
          <w:tcPr>
            <w:tcW w:w="2204" w:type="dxa"/>
            <w:vMerge/>
          </w:tcPr>
          <w:p w14:paraId="58ABAD7A" w14:textId="77777777" w:rsidR="00454A29" w:rsidRDefault="00454A29"/>
        </w:tc>
        <w:tc>
          <w:tcPr>
            <w:tcW w:w="1417" w:type="dxa"/>
            <w:vMerge/>
          </w:tcPr>
          <w:p w14:paraId="4D2AF577" w14:textId="77777777" w:rsidR="00454A29" w:rsidRDefault="00454A29"/>
        </w:tc>
        <w:tc>
          <w:tcPr>
            <w:tcW w:w="2324" w:type="dxa"/>
            <w:vMerge/>
          </w:tcPr>
          <w:p w14:paraId="0417AF66" w14:textId="77777777" w:rsidR="00454A29" w:rsidRDefault="00454A29"/>
        </w:tc>
        <w:tc>
          <w:tcPr>
            <w:tcW w:w="1701" w:type="dxa"/>
            <w:vAlign w:val="center"/>
          </w:tcPr>
          <w:p w14:paraId="1BB09561" w14:textId="77777777" w:rsidR="00454A29" w:rsidRDefault="00454A29">
            <w:pPr>
              <w:pStyle w:val="ConsPlusNormal"/>
              <w:jc w:val="center"/>
            </w:pPr>
            <w:r>
              <w:t>-</w:t>
            </w:r>
          </w:p>
        </w:tc>
        <w:tc>
          <w:tcPr>
            <w:tcW w:w="1814" w:type="dxa"/>
            <w:vAlign w:val="center"/>
          </w:tcPr>
          <w:p w14:paraId="605F5BFD" w14:textId="77777777" w:rsidR="00454A29" w:rsidRDefault="00454A29">
            <w:pPr>
              <w:pStyle w:val="ConsPlusNormal"/>
            </w:pPr>
          </w:p>
        </w:tc>
        <w:tc>
          <w:tcPr>
            <w:tcW w:w="1701" w:type="dxa"/>
            <w:vAlign w:val="center"/>
          </w:tcPr>
          <w:p w14:paraId="4558EA20" w14:textId="77777777" w:rsidR="00454A29" w:rsidRDefault="00454A29">
            <w:pPr>
              <w:pStyle w:val="ConsPlusNormal"/>
            </w:pPr>
          </w:p>
        </w:tc>
        <w:tc>
          <w:tcPr>
            <w:tcW w:w="1701" w:type="dxa"/>
            <w:vAlign w:val="center"/>
          </w:tcPr>
          <w:p w14:paraId="7F1AB912" w14:textId="77777777" w:rsidR="00454A29" w:rsidRDefault="00454A29">
            <w:pPr>
              <w:pStyle w:val="ConsPlusNormal"/>
            </w:pPr>
          </w:p>
        </w:tc>
        <w:tc>
          <w:tcPr>
            <w:tcW w:w="1814" w:type="dxa"/>
            <w:vAlign w:val="center"/>
          </w:tcPr>
          <w:p w14:paraId="3F3AD383" w14:textId="77777777" w:rsidR="00454A29" w:rsidRDefault="00454A29">
            <w:pPr>
              <w:pStyle w:val="ConsPlusNormal"/>
            </w:pPr>
          </w:p>
        </w:tc>
      </w:tr>
      <w:tr w:rsidR="00454A29" w14:paraId="1CB11655" w14:textId="77777777">
        <w:tc>
          <w:tcPr>
            <w:tcW w:w="567" w:type="dxa"/>
            <w:vMerge/>
          </w:tcPr>
          <w:p w14:paraId="46ACF872" w14:textId="77777777" w:rsidR="00454A29" w:rsidRDefault="00454A29"/>
        </w:tc>
        <w:tc>
          <w:tcPr>
            <w:tcW w:w="3345" w:type="dxa"/>
            <w:vMerge/>
          </w:tcPr>
          <w:p w14:paraId="74C40574" w14:textId="77777777" w:rsidR="00454A29" w:rsidRDefault="00454A29"/>
        </w:tc>
        <w:tc>
          <w:tcPr>
            <w:tcW w:w="1701" w:type="dxa"/>
            <w:vAlign w:val="center"/>
          </w:tcPr>
          <w:p w14:paraId="1F121D64" w14:textId="77777777" w:rsidR="00454A29" w:rsidRDefault="00454A29">
            <w:pPr>
              <w:pStyle w:val="ConsPlusNormal"/>
              <w:jc w:val="center"/>
            </w:pPr>
            <w:r>
              <w:t>2021</w:t>
            </w:r>
          </w:p>
        </w:tc>
        <w:tc>
          <w:tcPr>
            <w:tcW w:w="1417" w:type="dxa"/>
            <w:vMerge/>
          </w:tcPr>
          <w:p w14:paraId="14FE4EB0" w14:textId="77777777" w:rsidR="00454A29" w:rsidRDefault="00454A29"/>
        </w:tc>
        <w:tc>
          <w:tcPr>
            <w:tcW w:w="2204" w:type="dxa"/>
            <w:vMerge/>
          </w:tcPr>
          <w:p w14:paraId="7B1D62BE" w14:textId="77777777" w:rsidR="00454A29" w:rsidRDefault="00454A29"/>
        </w:tc>
        <w:tc>
          <w:tcPr>
            <w:tcW w:w="1417" w:type="dxa"/>
            <w:vMerge/>
          </w:tcPr>
          <w:p w14:paraId="316204B1" w14:textId="77777777" w:rsidR="00454A29" w:rsidRDefault="00454A29"/>
        </w:tc>
        <w:tc>
          <w:tcPr>
            <w:tcW w:w="2324" w:type="dxa"/>
            <w:vMerge/>
          </w:tcPr>
          <w:p w14:paraId="185AC2E9" w14:textId="77777777" w:rsidR="00454A29" w:rsidRDefault="00454A29"/>
        </w:tc>
        <w:tc>
          <w:tcPr>
            <w:tcW w:w="1701" w:type="dxa"/>
            <w:vAlign w:val="center"/>
          </w:tcPr>
          <w:p w14:paraId="6CF4187E" w14:textId="77777777" w:rsidR="00454A29" w:rsidRDefault="00454A29">
            <w:pPr>
              <w:pStyle w:val="ConsPlusNormal"/>
              <w:jc w:val="center"/>
            </w:pPr>
            <w:r>
              <w:t>-</w:t>
            </w:r>
          </w:p>
        </w:tc>
        <w:tc>
          <w:tcPr>
            <w:tcW w:w="1814" w:type="dxa"/>
            <w:vAlign w:val="center"/>
          </w:tcPr>
          <w:p w14:paraId="6B5C8E49" w14:textId="77777777" w:rsidR="00454A29" w:rsidRDefault="00454A29">
            <w:pPr>
              <w:pStyle w:val="ConsPlusNormal"/>
            </w:pPr>
          </w:p>
        </w:tc>
        <w:tc>
          <w:tcPr>
            <w:tcW w:w="1701" w:type="dxa"/>
            <w:vAlign w:val="center"/>
          </w:tcPr>
          <w:p w14:paraId="58CB71BE" w14:textId="77777777" w:rsidR="00454A29" w:rsidRDefault="00454A29">
            <w:pPr>
              <w:pStyle w:val="ConsPlusNormal"/>
            </w:pPr>
          </w:p>
        </w:tc>
        <w:tc>
          <w:tcPr>
            <w:tcW w:w="1701" w:type="dxa"/>
            <w:vAlign w:val="center"/>
          </w:tcPr>
          <w:p w14:paraId="0FD75D2B" w14:textId="77777777" w:rsidR="00454A29" w:rsidRDefault="00454A29">
            <w:pPr>
              <w:pStyle w:val="ConsPlusNormal"/>
            </w:pPr>
          </w:p>
        </w:tc>
        <w:tc>
          <w:tcPr>
            <w:tcW w:w="1814" w:type="dxa"/>
            <w:vAlign w:val="center"/>
          </w:tcPr>
          <w:p w14:paraId="541DF79D" w14:textId="77777777" w:rsidR="00454A29" w:rsidRDefault="00454A29">
            <w:pPr>
              <w:pStyle w:val="ConsPlusNormal"/>
            </w:pPr>
          </w:p>
        </w:tc>
      </w:tr>
      <w:tr w:rsidR="00454A29" w14:paraId="014F0E8A" w14:textId="77777777">
        <w:tc>
          <w:tcPr>
            <w:tcW w:w="567" w:type="dxa"/>
            <w:vMerge/>
          </w:tcPr>
          <w:p w14:paraId="50B27B9E" w14:textId="77777777" w:rsidR="00454A29" w:rsidRDefault="00454A29"/>
        </w:tc>
        <w:tc>
          <w:tcPr>
            <w:tcW w:w="3345" w:type="dxa"/>
            <w:vMerge/>
          </w:tcPr>
          <w:p w14:paraId="6A3D33D6" w14:textId="77777777" w:rsidR="00454A29" w:rsidRDefault="00454A29"/>
        </w:tc>
        <w:tc>
          <w:tcPr>
            <w:tcW w:w="1701" w:type="dxa"/>
            <w:vAlign w:val="center"/>
          </w:tcPr>
          <w:p w14:paraId="48FA97F8" w14:textId="77777777" w:rsidR="00454A29" w:rsidRDefault="00454A29">
            <w:pPr>
              <w:pStyle w:val="ConsPlusNormal"/>
              <w:jc w:val="center"/>
            </w:pPr>
            <w:r>
              <w:t>2022</w:t>
            </w:r>
          </w:p>
        </w:tc>
        <w:tc>
          <w:tcPr>
            <w:tcW w:w="1417" w:type="dxa"/>
            <w:vMerge/>
          </w:tcPr>
          <w:p w14:paraId="50A4EF44" w14:textId="77777777" w:rsidR="00454A29" w:rsidRDefault="00454A29"/>
        </w:tc>
        <w:tc>
          <w:tcPr>
            <w:tcW w:w="2204" w:type="dxa"/>
            <w:vMerge/>
          </w:tcPr>
          <w:p w14:paraId="627BEC4D" w14:textId="77777777" w:rsidR="00454A29" w:rsidRDefault="00454A29"/>
        </w:tc>
        <w:tc>
          <w:tcPr>
            <w:tcW w:w="1417" w:type="dxa"/>
            <w:vMerge/>
          </w:tcPr>
          <w:p w14:paraId="472535B1" w14:textId="77777777" w:rsidR="00454A29" w:rsidRDefault="00454A29"/>
        </w:tc>
        <w:tc>
          <w:tcPr>
            <w:tcW w:w="2324" w:type="dxa"/>
            <w:vMerge/>
          </w:tcPr>
          <w:p w14:paraId="79899A78" w14:textId="77777777" w:rsidR="00454A29" w:rsidRDefault="00454A29"/>
        </w:tc>
        <w:tc>
          <w:tcPr>
            <w:tcW w:w="1701" w:type="dxa"/>
            <w:vAlign w:val="center"/>
          </w:tcPr>
          <w:p w14:paraId="2EF7DF43" w14:textId="77777777" w:rsidR="00454A29" w:rsidRDefault="00454A29">
            <w:pPr>
              <w:pStyle w:val="ConsPlusNormal"/>
              <w:jc w:val="center"/>
            </w:pPr>
            <w:r>
              <w:t>-</w:t>
            </w:r>
          </w:p>
        </w:tc>
        <w:tc>
          <w:tcPr>
            <w:tcW w:w="1814" w:type="dxa"/>
            <w:vAlign w:val="center"/>
          </w:tcPr>
          <w:p w14:paraId="763CD5F1" w14:textId="77777777" w:rsidR="00454A29" w:rsidRDefault="00454A29">
            <w:pPr>
              <w:pStyle w:val="ConsPlusNormal"/>
            </w:pPr>
          </w:p>
        </w:tc>
        <w:tc>
          <w:tcPr>
            <w:tcW w:w="1701" w:type="dxa"/>
            <w:vAlign w:val="center"/>
          </w:tcPr>
          <w:p w14:paraId="16E87F21" w14:textId="77777777" w:rsidR="00454A29" w:rsidRDefault="00454A29">
            <w:pPr>
              <w:pStyle w:val="ConsPlusNormal"/>
            </w:pPr>
          </w:p>
        </w:tc>
        <w:tc>
          <w:tcPr>
            <w:tcW w:w="1701" w:type="dxa"/>
            <w:vAlign w:val="center"/>
          </w:tcPr>
          <w:p w14:paraId="7061E323" w14:textId="77777777" w:rsidR="00454A29" w:rsidRDefault="00454A29">
            <w:pPr>
              <w:pStyle w:val="ConsPlusNormal"/>
            </w:pPr>
          </w:p>
        </w:tc>
        <w:tc>
          <w:tcPr>
            <w:tcW w:w="1814" w:type="dxa"/>
            <w:vAlign w:val="center"/>
          </w:tcPr>
          <w:p w14:paraId="7653A0DC" w14:textId="77777777" w:rsidR="00454A29" w:rsidRDefault="00454A29">
            <w:pPr>
              <w:pStyle w:val="ConsPlusNormal"/>
            </w:pPr>
          </w:p>
        </w:tc>
      </w:tr>
      <w:tr w:rsidR="00454A29" w14:paraId="60FA8F56" w14:textId="77777777">
        <w:tc>
          <w:tcPr>
            <w:tcW w:w="567" w:type="dxa"/>
            <w:vMerge/>
          </w:tcPr>
          <w:p w14:paraId="50ED65ED" w14:textId="77777777" w:rsidR="00454A29" w:rsidRDefault="00454A29"/>
        </w:tc>
        <w:tc>
          <w:tcPr>
            <w:tcW w:w="3345" w:type="dxa"/>
            <w:vMerge/>
          </w:tcPr>
          <w:p w14:paraId="3E6C0BDE" w14:textId="77777777" w:rsidR="00454A29" w:rsidRDefault="00454A29"/>
        </w:tc>
        <w:tc>
          <w:tcPr>
            <w:tcW w:w="1701" w:type="dxa"/>
            <w:vAlign w:val="center"/>
          </w:tcPr>
          <w:p w14:paraId="52100FA0" w14:textId="77777777" w:rsidR="00454A29" w:rsidRDefault="00454A29">
            <w:pPr>
              <w:pStyle w:val="ConsPlusNormal"/>
              <w:jc w:val="center"/>
            </w:pPr>
            <w:r>
              <w:t>2023</w:t>
            </w:r>
          </w:p>
        </w:tc>
        <w:tc>
          <w:tcPr>
            <w:tcW w:w="1417" w:type="dxa"/>
            <w:vMerge/>
          </w:tcPr>
          <w:p w14:paraId="4D344E02" w14:textId="77777777" w:rsidR="00454A29" w:rsidRDefault="00454A29"/>
        </w:tc>
        <w:tc>
          <w:tcPr>
            <w:tcW w:w="2204" w:type="dxa"/>
            <w:vMerge/>
          </w:tcPr>
          <w:p w14:paraId="6AA1773E" w14:textId="77777777" w:rsidR="00454A29" w:rsidRDefault="00454A29"/>
        </w:tc>
        <w:tc>
          <w:tcPr>
            <w:tcW w:w="1417" w:type="dxa"/>
            <w:vMerge/>
          </w:tcPr>
          <w:p w14:paraId="4F688187" w14:textId="77777777" w:rsidR="00454A29" w:rsidRDefault="00454A29"/>
        </w:tc>
        <w:tc>
          <w:tcPr>
            <w:tcW w:w="2324" w:type="dxa"/>
            <w:vMerge/>
          </w:tcPr>
          <w:p w14:paraId="773E097B" w14:textId="77777777" w:rsidR="00454A29" w:rsidRDefault="00454A29"/>
        </w:tc>
        <w:tc>
          <w:tcPr>
            <w:tcW w:w="1701" w:type="dxa"/>
            <w:vAlign w:val="center"/>
          </w:tcPr>
          <w:p w14:paraId="21FEB40A" w14:textId="77777777" w:rsidR="00454A29" w:rsidRDefault="00454A29">
            <w:pPr>
              <w:pStyle w:val="ConsPlusNormal"/>
              <w:jc w:val="center"/>
            </w:pPr>
            <w:r>
              <w:t>-</w:t>
            </w:r>
          </w:p>
        </w:tc>
        <w:tc>
          <w:tcPr>
            <w:tcW w:w="1814" w:type="dxa"/>
            <w:vAlign w:val="center"/>
          </w:tcPr>
          <w:p w14:paraId="434D9CF4" w14:textId="77777777" w:rsidR="00454A29" w:rsidRDefault="00454A29">
            <w:pPr>
              <w:pStyle w:val="ConsPlusNormal"/>
            </w:pPr>
          </w:p>
        </w:tc>
        <w:tc>
          <w:tcPr>
            <w:tcW w:w="1701" w:type="dxa"/>
            <w:vAlign w:val="center"/>
          </w:tcPr>
          <w:p w14:paraId="138B14C2" w14:textId="77777777" w:rsidR="00454A29" w:rsidRDefault="00454A29">
            <w:pPr>
              <w:pStyle w:val="ConsPlusNormal"/>
            </w:pPr>
          </w:p>
        </w:tc>
        <w:tc>
          <w:tcPr>
            <w:tcW w:w="1701" w:type="dxa"/>
            <w:vAlign w:val="center"/>
          </w:tcPr>
          <w:p w14:paraId="59A82154" w14:textId="77777777" w:rsidR="00454A29" w:rsidRDefault="00454A29">
            <w:pPr>
              <w:pStyle w:val="ConsPlusNormal"/>
            </w:pPr>
          </w:p>
        </w:tc>
        <w:tc>
          <w:tcPr>
            <w:tcW w:w="1814" w:type="dxa"/>
            <w:vAlign w:val="center"/>
          </w:tcPr>
          <w:p w14:paraId="22137EF7" w14:textId="77777777" w:rsidR="00454A29" w:rsidRDefault="00454A29">
            <w:pPr>
              <w:pStyle w:val="ConsPlusNormal"/>
            </w:pPr>
          </w:p>
        </w:tc>
      </w:tr>
      <w:tr w:rsidR="00454A29" w14:paraId="176EC43A" w14:textId="77777777">
        <w:tc>
          <w:tcPr>
            <w:tcW w:w="567" w:type="dxa"/>
            <w:vMerge/>
          </w:tcPr>
          <w:p w14:paraId="0759CCA2" w14:textId="77777777" w:rsidR="00454A29" w:rsidRDefault="00454A29"/>
        </w:tc>
        <w:tc>
          <w:tcPr>
            <w:tcW w:w="3345" w:type="dxa"/>
            <w:vMerge/>
          </w:tcPr>
          <w:p w14:paraId="1B0C1608" w14:textId="77777777" w:rsidR="00454A29" w:rsidRDefault="00454A29"/>
        </w:tc>
        <w:tc>
          <w:tcPr>
            <w:tcW w:w="1701" w:type="dxa"/>
            <w:vAlign w:val="center"/>
          </w:tcPr>
          <w:p w14:paraId="39B5E6B5" w14:textId="77777777" w:rsidR="00454A29" w:rsidRDefault="00454A29">
            <w:pPr>
              <w:pStyle w:val="ConsPlusNormal"/>
              <w:jc w:val="center"/>
            </w:pPr>
            <w:r>
              <w:t>2024</w:t>
            </w:r>
          </w:p>
        </w:tc>
        <w:tc>
          <w:tcPr>
            <w:tcW w:w="1417" w:type="dxa"/>
            <w:vMerge/>
          </w:tcPr>
          <w:p w14:paraId="12607144" w14:textId="77777777" w:rsidR="00454A29" w:rsidRDefault="00454A29"/>
        </w:tc>
        <w:tc>
          <w:tcPr>
            <w:tcW w:w="2204" w:type="dxa"/>
            <w:vMerge/>
          </w:tcPr>
          <w:p w14:paraId="18E60A6F" w14:textId="77777777" w:rsidR="00454A29" w:rsidRDefault="00454A29"/>
        </w:tc>
        <w:tc>
          <w:tcPr>
            <w:tcW w:w="1417" w:type="dxa"/>
            <w:vMerge/>
          </w:tcPr>
          <w:p w14:paraId="4C2AF7CD" w14:textId="77777777" w:rsidR="00454A29" w:rsidRDefault="00454A29"/>
        </w:tc>
        <w:tc>
          <w:tcPr>
            <w:tcW w:w="2324" w:type="dxa"/>
            <w:vMerge/>
          </w:tcPr>
          <w:p w14:paraId="27714525" w14:textId="77777777" w:rsidR="00454A29" w:rsidRDefault="00454A29"/>
        </w:tc>
        <w:tc>
          <w:tcPr>
            <w:tcW w:w="1701" w:type="dxa"/>
            <w:vAlign w:val="center"/>
          </w:tcPr>
          <w:p w14:paraId="3F7675D5" w14:textId="77777777" w:rsidR="00454A29" w:rsidRDefault="00454A29">
            <w:pPr>
              <w:pStyle w:val="ConsPlusNormal"/>
              <w:jc w:val="center"/>
            </w:pPr>
            <w:r>
              <w:t>-</w:t>
            </w:r>
          </w:p>
        </w:tc>
        <w:tc>
          <w:tcPr>
            <w:tcW w:w="1814" w:type="dxa"/>
            <w:vAlign w:val="center"/>
          </w:tcPr>
          <w:p w14:paraId="3E933A9B" w14:textId="77777777" w:rsidR="00454A29" w:rsidRDefault="00454A29">
            <w:pPr>
              <w:pStyle w:val="ConsPlusNormal"/>
            </w:pPr>
          </w:p>
        </w:tc>
        <w:tc>
          <w:tcPr>
            <w:tcW w:w="1701" w:type="dxa"/>
            <w:vAlign w:val="center"/>
          </w:tcPr>
          <w:p w14:paraId="313C1810" w14:textId="77777777" w:rsidR="00454A29" w:rsidRDefault="00454A29">
            <w:pPr>
              <w:pStyle w:val="ConsPlusNormal"/>
            </w:pPr>
          </w:p>
        </w:tc>
        <w:tc>
          <w:tcPr>
            <w:tcW w:w="1701" w:type="dxa"/>
            <w:vAlign w:val="center"/>
          </w:tcPr>
          <w:p w14:paraId="6973E9CA" w14:textId="77777777" w:rsidR="00454A29" w:rsidRDefault="00454A29">
            <w:pPr>
              <w:pStyle w:val="ConsPlusNormal"/>
            </w:pPr>
          </w:p>
        </w:tc>
        <w:tc>
          <w:tcPr>
            <w:tcW w:w="1814" w:type="dxa"/>
            <w:vAlign w:val="center"/>
          </w:tcPr>
          <w:p w14:paraId="1EDCCB44" w14:textId="77777777" w:rsidR="00454A29" w:rsidRDefault="00454A29">
            <w:pPr>
              <w:pStyle w:val="ConsPlusNormal"/>
            </w:pPr>
          </w:p>
        </w:tc>
      </w:tr>
      <w:tr w:rsidR="00454A29" w14:paraId="36D11D93" w14:textId="77777777">
        <w:tc>
          <w:tcPr>
            <w:tcW w:w="567" w:type="dxa"/>
            <w:vMerge/>
          </w:tcPr>
          <w:p w14:paraId="0F6A945A" w14:textId="77777777" w:rsidR="00454A29" w:rsidRDefault="00454A29"/>
        </w:tc>
        <w:tc>
          <w:tcPr>
            <w:tcW w:w="3345" w:type="dxa"/>
            <w:vMerge/>
          </w:tcPr>
          <w:p w14:paraId="06CA0BC7" w14:textId="77777777" w:rsidR="00454A29" w:rsidRDefault="00454A29"/>
        </w:tc>
        <w:tc>
          <w:tcPr>
            <w:tcW w:w="1701" w:type="dxa"/>
            <w:vAlign w:val="center"/>
          </w:tcPr>
          <w:p w14:paraId="103284EC" w14:textId="77777777" w:rsidR="00454A29" w:rsidRDefault="00454A29">
            <w:pPr>
              <w:pStyle w:val="ConsPlusNormal"/>
              <w:jc w:val="center"/>
            </w:pPr>
            <w:r>
              <w:t>2025</w:t>
            </w:r>
          </w:p>
        </w:tc>
        <w:tc>
          <w:tcPr>
            <w:tcW w:w="1417" w:type="dxa"/>
            <w:vMerge/>
          </w:tcPr>
          <w:p w14:paraId="7D220AFA" w14:textId="77777777" w:rsidR="00454A29" w:rsidRDefault="00454A29"/>
        </w:tc>
        <w:tc>
          <w:tcPr>
            <w:tcW w:w="2204" w:type="dxa"/>
            <w:vMerge/>
          </w:tcPr>
          <w:p w14:paraId="1E0C1055" w14:textId="77777777" w:rsidR="00454A29" w:rsidRDefault="00454A29"/>
        </w:tc>
        <w:tc>
          <w:tcPr>
            <w:tcW w:w="1417" w:type="dxa"/>
            <w:vMerge/>
          </w:tcPr>
          <w:p w14:paraId="4FDB5BED" w14:textId="77777777" w:rsidR="00454A29" w:rsidRDefault="00454A29"/>
        </w:tc>
        <w:tc>
          <w:tcPr>
            <w:tcW w:w="2324" w:type="dxa"/>
            <w:vMerge/>
          </w:tcPr>
          <w:p w14:paraId="2D628524" w14:textId="77777777" w:rsidR="00454A29" w:rsidRDefault="00454A29"/>
        </w:tc>
        <w:tc>
          <w:tcPr>
            <w:tcW w:w="1701" w:type="dxa"/>
            <w:vAlign w:val="center"/>
          </w:tcPr>
          <w:p w14:paraId="379A7B17" w14:textId="77777777" w:rsidR="00454A29" w:rsidRDefault="00454A29">
            <w:pPr>
              <w:pStyle w:val="ConsPlusNormal"/>
              <w:jc w:val="center"/>
            </w:pPr>
            <w:r>
              <w:t>-</w:t>
            </w:r>
          </w:p>
        </w:tc>
        <w:tc>
          <w:tcPr>
            <w:tcW w:w="1814" w:type="dxa"/>
            <w:vAlign w:val="center"/>
          </w:tcPr>
          <w:p w14:paraId="3C70DFFF" w14:textId="77777777" w:rsidR="00454A29" w:rsidRDefault="00454A29">
            <w:pPr>
              <w:pStyle w:val="ConsPlusNormal"/>
            </w:pPr>
          </w:p>
        </w:tc>
        <w:tc>
          <w:tcPr>
            <w:tcW w:w="1701" w:type="dxa"/>
            <w:vAlign w:val="center"/>
          </w:tcPr>
          <w:p w14:paraId="514E0DC8" w14:textId="77777777" w:rsidR="00454A29" w:rsidRDefault="00454A29">
            <w:pPr>
              <w:pStyle w:val="ConsPlusNormal"/>
            </w:pPr>
          </w:p>
        </w:tc>
        <w:tc>
          <w:tcPr>
            <w:tcW w:w="1701" w:type="dxa"/>
            <w:vAlign w:val="center"/>
          </w:tcPr>
          <w:p w14:paraId="3A738AD2" w14:textId="77777777" w:rsidR="00454A29" w:rsidRDefault="00454A29">
            <w:pPr>
              <w:pStyle w:val="ConsPlusNormal"/>
            </w:pPr>
          </w:p>
        </w:tc>
        <w:tc>
          <w:tcPr>
            <w:tcW w:w="1814" w:type="dxa"/>
            <w:vAlign w:val="center"/>
          </w:tcPr>
          <w:p w14:paraId="7DA179F8" w14:textId="77777777" w:rsidR="00454A29" w:rsidRDefault="00454A29">
            <w:pPr>
              <w:pStyle w:val="ConsPlusNormal"/>
            </w:pPr>
          </w:p>
        </w:tc>
      </w:tr>
      <w:tr w:rsidR="00454A29" w14:paraId="6037A3AC" w14:textId="77777777">
        <w:tc>
          <w:tcPr>
            <w:tcW w:w="567" w:type="dxa"/>
            <w:vMerge/>
          </w:tcPr>
          <w:p w14:paraId="0F685B42" w14:textId="77777777" w:rsidR="00454A29" w:rsidRDefault="00454A29"/>
        </w:tc>
        <w:tc>
          <w:tcPr>
            <w:tcW w:w="3345" w:type="dxa"/>
            <w:vMerge/>
          </w:tcPr>
          <w:p w14:paraId="3181B810" w14:textId="77777777" w:rsidR="00454A29" w:rsidRDefault="00454A29"/>
        </w:tc>
        <w:tc>
          <w:tcPr>
            <w:tcW w:w="1701" w:type="dxa"/>
            <w:vAlign w:val="center"/>
          </w:tcPr>
          <w:p w14:paraId="587F036B" w14:textId="77777777" w:rsidR="00454A29" w:rsidRDefault="00454A29">
            <w:pPr>
              <w:pStyle w:val="ConsPlusNormal"/>
              <w:jc w:val="center"/>
            </w:pPr>
            <w:r>
              <w:t>2026</w:t>
            </w:r>
          </w:p>
        </w:tc>
        <w:tc>
          <w:tcPr>
            <w:tcW w:w="1417" w:type="dxa"/>
            <w:vMerge/>
          </w:tcPr>
          <w:p w14:paraId="1BB31643" w14:textId="77777777" w:rsidR="00454A29" w:rsidRDefault="00454A29"/>
        </w:tc>
        <w:tc>
          <w:tcPr>
            <w:tcW w:w="2204" w:type="dxa"/>
            <w:vMerge/>
          </w:tcPr>
          <w:p w14:paraId="4069BB84" w14:textId="77777777" w:rsidR="00454A29" w:rsidRDefault="00454A29"/>
        </w:tc>
        <w:tc>
          <w:tcPr>
            <w:tcW w:w="1417" w:type="dxa"/>
            <w:vMerge/>
          </w:tcPr>
          <w:p w14:paraId="334B931E" w14:textId="77777777" w:rsidR="00454A29" w:rsidRDefault="00454A29"/>
        </w:tc>
        <w:tc>
          <w:tcPr>
            <w:tcW w:w="2324" w:type="dxa"/>
            <w:vMerge/>
          </w:tcPr>
          <w:p w14:paraId="7557A968" w14:textId="77777777" w:rsidR="00454A29" w:rsidRDefault="00454A29"/>
        </w:tc>
        <w:tc>
          <w:tcPr>
            <w:tcW w:w="1701" w:type="dxa"/>
            <w:vAlign w:val="center"/>
          </w:tcPr>
          <w:p w14:paraId="3F0AEDDF" w14:textId="77777777" w:rsidR="00454A29" w:rsidRDefault="00454A29">
            <w:pPr>
              <w:pStyle w:val="ConsPlusNormal"/>
              <w:jc w:val="center"/>
            </w:pPr>
            <w:r>
              <w:t>-</w:t>
            </w:r>
          </w:p>
        </w:tc>
        <w:tc>
          <w:tcPr>
            <w:tcW w:w="1814" w:type="dxa"/>
            <w:vAlign w:val="center"/>
          </w:tcPr>
          <w:p w14:paraId="21545DDA" w14:textId="77777777" w:rsidR="00454A29" w:rsidRDefault="00454A29">
            <w:pPr>
              <w:pStyle w:val="ConsPlusNormal"/>
            </w:pPr>
          </w:p>
        </w:tc>
        <w:tc>
          <w:tcPr>
            <w:tcW w:w="1701" w:type="dxa"/>
            <w:vAlign w:val="center"/>
          </w:tcPr>
          <w:p w14:paraId="3CA145DE" w14:textId="77777777" w:rsidR="00454A29" w:rsidRDefault="00454A29">
            <w:pPr>
              <w:pStyle w:val="ConsPlusNormal"/>
            </w:pPr>
          </w:p>
        </w:tc>
        <w:tc>
          <w:tcPr>
            <w:tcW w:w="1701" w:type="dxa"/>
            <w:vAlign w:val="center"/>
          </w:tcPr>
          <w:p w14:paraId="12022F0B" w14:textId="77777777" w:rsidR="00454A29" w:rsidRDefault="00454A29">
            <w:pPr>
              <w:pStyle w:val="ConsPlusNormal"/>
            </w:pPr>
          </w:p>
        </w:tc>
        <w:tc>
          <w:tcPr>
            <w:tcW w:w="1814" w:type="dxa"/>
            <w:vAlign w:val="center"/>
          </w:tcPr>
          <w:p w14:paraId="78D360DB" w14:textId="77777777" w:rsidR="00454A29" w:rsidRDefault="00454A29">
            <w:pPr>
              <w:pStyle w:val="ConsPlusNormal"/>
            </w:pPr>
          </w:p>
        </w:tc>
      </w:tr>
      <w:tr w:rsidR="00454A29" w14:paraId="7C8FF77E" w14:textId="77777777">
        <w:tc>
          <w:tcPr>
            <w:tcW w:w="567" w:type="dxa"/>
            <w:vMerge w:val="restart"/>
            <w:vAlign w:val="center"/>
          </w:tcPr>
          <w:p w14:paraId="518EEFE6" w14:textId="77777777" w:rsidR="00454A29" w:rsidRDefault="00454A29">
            <w:pPr>
              <w:pStyle w:val="ConsPlusNormal"/>
              <w:jc w:val="center"/>
            </w:pPr>
            <w:r>
              <w:t>83</w:t>
            </w:r>
          </w:p>
        </w:tc>
        <w:tc>
          <w:tcPr>
            <w:tcW w:w="3345" w:type="dxa"/>
            <w:vMerge w:val="restart"/>
            <w:vAlign w:val="center"/>
          </w:tcPr>
          <w:p w14:paraId="73963267" w14:textId="77777777" w:rsidR="00454A29" w:rsidRDefault="00454A29">
            <w:pPr>
              <w:pStyle w:val="ConsPlusNormal"/>
              <w:jc w:val="center"/>
            </w:pPr>
            <w:r>
              <w:t>Учебный корпус на 150 мест с интернатом на 100 мест ГАУ ДО "Малая академия наук Республики Саха (Якутия)" в с. Чапаево</w:t>
            </w:r>
          </w:p>
        </w:tc>
        <w:tc>
          <w:tcPr>
            <w:tcW w:w="1701" w:type="dxa"/>
            <w:vAlign w:val="center"/>
          </w:tcPr>
          <w:p w14:paraId="6418902D" w14:textId="77777777" w:rsidR="00454A29" w:rsidRDefault="00454A29">
            <w:pPr>
              <w:pStyle w:val="ConsPlusNormal"/>
              <w:jc w:val="center"/>
            </w:pPr>
            <w:r>
              <w:t>2016 - 2025 годы - всего</w:t>
            </w:r>
          </w:p>
        </w:tc>
        <w:tc>
          <w:tcPr>
            <w:tcW w:w="1417" w:type="dxa"/>
            <w:vMerge w:val="restart"/>
            <w:vAlign w:val="center"/>
          </w:tcPr>
          <w:p w14:paraId="1D600ACE" w14:textId="77777777" w:rsidR="00454A29" w:rsidRDefault="00454A29">
            <w:pPr>
              <w:pStyle w:val="ConsPlusNormal"/>
              <w:jc w:val="center"/>
            </w:pPr>
            <w:r>
              <w:t>176 434,53</w:t>
            </w:r>
          </w:p>
        </w:tc>
        <w:tc>
          <w:tcPr>
            <w:tcW w:w="2204" w:type="dxa"/>
            <w:vMerge w:val="restart"/>
            <w:vAlign w:val="center"/>
          </w:tcPr>
          <w:p w14:paraId="088B4F5D" w14:textId="77777777" w:rsidR="00454A29" w:rsidRDefault="00454A29">
            <w:pPr>
              <w:pStyle w:val="ConsPlusNormal"/>
            </w:pPr>
          </w:p>
        </w:tc>
        <w:tc>
          <w:tcPr>
            <w:tcW w:w="1417" w:type="dxa"/>
            <w:vMerge w:val="restart"/>
            <w:vAlign w:val="center"/>
          </w:tcPr>
          <w:p w14:paraId="6370640C" w14:textId="77777777" w:rsidR="00454A29" w:rsidRDefault="00454A29">
            <w:pPr>
              <w:pStyle w:val="ConsPlusNormal"/>
              <w:jc w:val="center"/>
            </w:pPr>
            <w:r>
              <w:t>150</w:t>
            </w:r>
          </w:p>
        </w:tc>
        <w:tc>
          <w:tcPr>
            <w:tcW w:w="2324" w:type="dxa"/>
            <w:vMerge w:val="restart"/>
            <w:vAlign w:val="center"/>
          </w:tcPr>
          <w:p w14:paraId="69BB0237" w14:textId="77777777" w:rsidR="00454A29" w:rsidRDefault="00454A29">
            <w:pPr>
              <w:pStyle w:val="ConsPlusNormal"/>
              <w:jc w:val="center"/>
            </w:pPr>
            <w:r>
              <w:t>Минстрой РС(Я),</w:t>
            </w:r>
          </w:p>
        </w:tc>
        <w:tc>
          <w:tcPr>
            <w:tcW w:w="1701" w:type="dxa"/>
            <w:vAlign w:val="center"/>
          </w:tcPr>
          <w:p w14:paraId="4650DA5C" w14:textId="77777777" w:rsidR="00454A29" w:rsidRDefault="00454A29">
            <w:pPr>
              <w:pStyle w:val="ConsPlusNormal"/>
              <w:jc w:val="center"/>
            </w:pPr>
            <w:r>
              <w:t>176 434,53</w:t>
            </w:r>
          </w:p>
        </w:tc>
        <w:tc>
          <w:tcPr>
            <w:tcW w:w="1814" w:type="dxa"/>
            <w:vAlign w:val="center"/>
          </w:tcPr>
          <w:p w14:paraId="26D5E838" w14:textId="77777777" w:rsidR="00454A29" w:rsidRDefault="00454A29">
            <w:pPr>
              <w:pStyle w:val="ConsPlusNormal"/>
              <w:jc w:val="center"/>
            </w:pPr>
            <w:r>
              <w:t>-</w:t>
            </w:r>
          </w:p>
        </w:tc>
        <w:tc>
          <w:tcPr>
            <w:tcW w:w="1701" w:type="dxa"/>
            <w:vAlign w:val="center"/>
          </w:tcPr>
          <w:p w14:paraId="773A7C4A" w14:textId="77777777" w:rsidR="00454A29" w:rsidRDefault="00454A29">
            <w:pPr>
              <w:pStyle w:val="ConsPlusNormal"/>
              <w:jc w:val="center"/>
            </w:pPr>
            <w:r>
              <w:t>-</w:t>
            </w:r>
          </w:p>
        </w:tc>
        <w:tc>
          <w:tcPr>
            <w:tcW w:w="1701" w:type="dxa"/>
            <w:vAlign w:val="center"/>
          </w:tcPr>
          <w:p w14:paraId="19BF1BD2" w14:textId="77777777" w:rsidR="00454A29" w:rsidRDefault="00454A29">
            <w:pPr>
              <w:pStyle w:val="ConsPlusNormal"/>
              <w:jc w:val="center"/>
            </w:pPr>
            <w:r>
              <w:t>-</w:t>
            </w:r>
          </w:p>
        </w:tc>
        <w:tc>
          <w:tcPr>
            <w:tcW w:w="1814" w:type="dxa"/>
            <w:vAlign w:val="center"/>
          </w:tcPr>
          <w:p w14:paraId="539B015C" w14:textId="77777777" w:rsidR="00454A29" w:rsidRDefault="00454A29">
            <w:pPr>
              <w:pStyle w:val="ConsPlusNormal"/>
              <w:jc w:val="center"/>
            </w:pPr>
            <w:r>
              <w:t>176 434,53</w:t>
            </w:r>
          </w:p>
        </w:tc>
      </w:tr>
      <w:tr w:rsidR="00454A29" w14:paraId="1EB2600F" w14:textId="77777777">
        <w:tc>
          <w:tcPr>
            <w:tcW w:w="567" w:type="dxa"/>
            <w:vMerge/>
          </w:tcPr>
          <w:p w14:paraId="3A168B25" w14:textId="77777777" w:rsidR="00454A29" w:rsidRDefault="00454A29"/>
        </w:tc>
        <w:tc>
          <w:tcPr>
            <w:tcW w:w="3345" w:type="dxa"/>
            <w:vMerge/>
          </w:tcPr>
          <w:p w14:paraId="0DE4D35A" w14:textId="77777777" w:rsidR="00454A29" w:rsidRDefault="00454A29"/>
        </w:tc>
        <w:tc>
          <w:tcPr>
            <w:tcW w:w="1701" w:type="dxa"/>
            <w:vAlign w:val="center"/>
          </w:tcPr>
          <w:p w14:paraId="1E8CCD0F" w14:textId="77777777" w:rsidR="00454A29" w:rsidRDefault="00454A29">
            <w:pPr>
              <w:pStyle w:val="ConsPlusNormal"/>
              <w:jc w:val="center"/>
            </w:pPr>
            <w:r>
              <w:t>2020</w:t>
            </w:r>
          </w:p>
        </w:tc>
        <w:tc>
          <w:tcPr>
            <w:tcW w:w="1417" w:type="dxa"/>
            <w:vMerge/>
          </w:tcPr>
          <w:p w14:paraId="1AA3761E" w14:textId="77777777" w:rsidR="00454A29" w:rsidRDefault="00454A29"/>
        </w:tc>
        <w:tc>
          <w:tcPr>
            <w:tcW w:w="2204" w:type="dxa"/>
            <w:vMerge/>
          </w:tcPr>
          <w:p w14:paraId="0BF7232F" w14:textId="77777777" w:rsidR="00454A29" w:rsidRDefault="00454A29"/>
        </w:tc>
        <w:tc>
          <w:tcPr>
            <w:tcW w:w="1417" w:type="dxa"/>
            <w:vMerge/>
          </w:tcPr>
          <w:p w14:paraId="230D8417" w14:textId="77777777" w:rsidR="00454A29" w:rsidRDefault="00454A29"/>
        </w:tc>
        <w:tc>
          <w:tcPr>
            <w:tcW w:w="2324" w:type="dxa"/>
            <w:vMerge/>
          </w:tcPr>
          <w:p w14:paraId="58911ACE" w14:textId="77777777" w:rsidR="00454A29" w:rsidRDefault="00454A29"/>
        </w:tc>
        <w:tc>
          <w:tcPr>
            <w:tcW w:w="1701" w:type="dxa"/>
            <w:vAlign w:val="center"/>
          </w:tcPr>
          <w:p w14:paraId="51BE305E" w14:textId="77777777" w:rsidR="00454A29" w:rsidRDefault="00454A29">
            <w:pPr>
              <w:pStyle w:val="ConsPlusNormal"/>
              <w:jc w:val="center"/>
            </w:pPr>
            <w:r>
              <w:t>176 434,53</w:t>
            </w:r>
          </w:p>
        </w:tc>
        <w:tc>
          <w:tcPr>
            <w:tcW w:w="1814" w:type="dxa"/>
            <w:vAlign w:val="center"/>
          </w:tcPr>
          <w:p w14:paraId="085276B2" w14:textId="77777777" w:rsidR="00454A29" w:rsidRDefault="00454A29">
            <w:pPr>
              <w:pStyle w:val="ConsPlusNormal"/>
            </w:pPr>
          </w:p>
        </w:tc>
        <w:tc>
          <w:tcPr>
            <w:tcW w:w="1701" w:type="dxa"/>
            <w:vAlign w:val="center"/>
          </w:tcPr>
          <w:p w14:paraId="5EA03765" w14:textId="77777777" w:rsidR="00454A29" w:rsidRDefault="00454A29">
            <w:pPr>
              <w:pStyle w:val="ConsPlusNormal"/>
            </w:pPr>
          </w:p>
        </w:tc>
        <w:tc>
          <w:tcPr>
            <w:tcW w:w="1701" w:type="dxa"/>
            <w:vAlign w:val="center"/>
          </w:tcPr>
          <w:p w14:paraId="437A0864" w14:textId="77777777" w:rsidR="00454A29" w:rsidRDefault="00454A29">
            <w:pPr>
              <w:pStyle w:val="ConsPlusNormal"/>
            </w:pPr>
          </w:p>
        </w:tc>
        <w:tc>
          <w:tcPr>
            <w:tcW w:w="1814" w:type="dxa"/>
            <w:vAlign w:val="center"/>
          </w:tcPr>
          <w:p w14:paraId="3BA0B0FB" w14:textId="77777777" w:rsidR="00454A29" w:rsidRDefault="00454A29">
            <w:pPr>
              <w:pStyle w:val="ConsPlusNormal"/>
              <w:jc w:val="center"/>
            </w:pPr>
            <w:r>
              <w:t>176 434,53</w:t>
            </w:r>
          </w:p>
        </w:tc>
      </w:tr>
      <w:tr w:rsidR="00454A29" w14:paraId="784E8760" w14:textId="77777777">
        <w:tc>
          <w:tcPr>
            <w:tcW w:w="567" w:type="dxa"/>
            <w:vMerge/>
          </w:tcPr>
          <w:p w14:paraId="3C1BCEE1" w14:textId="77777777" w:rsidR="00454A29" w:rsidRDefault="00454A29"/>
        </w:tc>
        <w:tc>
          <w:tcPr>
            <w:tcW w:w="3345" w:type="dxa"/>
            <w:vMerge/>
          </w:tcPr>
          <w:p w14:paraId="11DC66C2" w14:textId="77777777" w:rsidR="00454A29" w:rsidRDefault="00454A29"/>
        </w:tc>
        <w:tc>
          <w:tcPr>
            <w:tcW w:w="1701" w:type="dxa"/>
            <w:vAlign w:val="center"/>
          </w:tcPr>
          <w:p w14:paraId="4F5ECBDC" w14:textId="77777777" w:rsidR="00454A29" w:rsidRDefault="00454A29">
            <w:pPr>
              <w:pStyle w:val="ConsPlusNormal"/>
              <w:jc w:val="center"/>
            </w:pPr>
            <w:r>
              <w:t>2021</w:t>
            </w:r>
          </w:p>
        </w:tc>
        <w:tc>
          <w:tcPr>
            <w:tcW w:w="1417" w:type="dxa"/>
            <w:vMerge/>
          </w:tcPr>
          <w:p w14:paraId="02BF9749" w14:textId="77777777" w:rsidR="00454A29" w:rsidRDefault="00454A29"/>
        </w:tc>
        <w:tc>
          <w:tcPr>
            <w:tcW w:w="2204" w:type="dxa"/>
            <w:vMerge/>
          </w:tcPr>
          <w:p w14:paraId="0B1B6F44" w14:textId="77777777" w:rsidR="00454A29" w:rsidRDefault="00454A29"/>
        </w:tc>
        <w:tc>
          <w:tcPr>
            <w:tcW w:w="1417" w:type="dxa"/>
            <w:vMerge/>
          </w:tcPr>
          <w:p w14:paraId="36882978" w14:textId="77777777" w:rsidR="00454A29" w:rsidRDefault="00454A29"/>
        </w:tc>
        <w:tc>
          <w:tcPr>
            <w:tcW w:w="2324" w:type="dxa"/>
            <w:vMerge/>
          </w:tcPr>
          <w:p w14:paraId="20ABC00C" w14:textId="77777777" w:rsidR="00454A29" w:rsidRDefault="00454A29"/>
        </w:tc>
        <w:tc>
          <w:tcPr>
            <w:tcW w:w="1701" w:type="dxa"/>
            <w:vAlign w:val="center"/>
          </w:tcPr>
          <w:p w14:paraId="77F34048" w14:textId="77777777" w:rsidR="00454A29" w:rsidRDefault="00454A29">
            <w:pPr>
              <w:pStyle w:val="ConsPlusNormal"/>
              <w:jc w:val="center"/>
            </w:pPr>
            <w:r>
              <w:t>-</w:t>
            </w:r>
          </w:p>
        </w:tc>
        <w:tc>
          <w:tcPr>
            <w:tcW w:w="1814" w:type="dxa"/>
            <w:vAlign w:val="center"/>
          </w:tcPr>
          <w:p w14:paraId="49F605A3" w14:textId="77777777" w:rsidR="00454A29" w:rsidRDefault="00454A29">
            <w:pPr>
              <w:pStyle w:val="ConsPlusNormal"/>
            </w:pPr>
          </w:p>
        </w:tc>
        <w:tc>
          <w:tcPr>
            <w:tcW w:w="1701" w:type="dxa"/>
            <w:vAlign w:val="center"/>
          </w:tcPr>
          <w:p w14:paraId="7E43253D" w14:textId="77777777" w:rsidR="00454A29" w:rsidRDefault="00454A29">
            <w:pPr>
              <w:pStyle w:val="ConsPlusNormal"/>
            </w:pPr>
          </w:p>
        </w:tc>
        <w:tc>
          <w:tcPr>
            <w:tcW w:w="1701" w:type="dxa"/>
            <w:vAlign w:val="center"/>
          </w:tcPr>
          <w:p w14:paraId="70F88BFE" w14:textId="77777777" w:rsidR="00454A29" w:rsidRDefault="00454A29">
            <w:pPr>
              <w:pStyle w:val="ConsPlusNormal"/>
            </w:pPr>
          </w:p>
        </w:tc>
        <w:tc>
          <w:tcPr>
            <w:tcW w:w="1814" w:type="dxa"/>
            <w:vAlign w:val="center"/>
          </w:tcPr>
          <w:p w14:paraId="0A1F92C7" w14:textId="77777777" w:rsidR="00454A29" w:rsidRDefault="00454A29">
            <w:pPr>
              <w:pStyle w:val="ConsPlusNormal"/>
            </w:pPr>
          </w:p>
        </w:tc>
      </w:tr>
      <w:tr w:rsidR="00454A29" w14:paraId="00C238E8" w14:textId="77777777">
        <w:tc>
          <w:tcPr>
            <w:tcW w:w="567" w:type="dxa"/>
            <w:vMerge/>
          </w:tcPr>
          <w:p w14:paraId="77AC58B8" w14:textId="77777777" w:rsidR="00454A29" w:rsidRDefault="00454A29"/>
        </w:tc>
        <w:tc>
          <w:tcPr>
            <w:tcW w:w="3345" w:type="dxa"/>
            <w:vMerge/>
          </w:tcPr>
          <w:p w14:paraId="29D48BF2" w14:textId="77777777" w:rsidR="00454A29" w:rsidRDefault="00454A29"/>
        </w:tc>
        <w:tc>
          <w:tcPr>
            <w:tcW w:w="1701" w:type="dxa"/>
            <w:vAlign w:val="center"/>
          </w:tcPr>
          <w:p w14:paraId="5A099B8E" w14:textId="77777777" w:rsidR="00454A29" w:rsidRDefault="00454A29">
            <w:pPr>
              <w:pStyle w:val="ConsPlusNormal"/>
              <w:jc w:val="center"/>
            </w:pPr>
            <w:r>
              <w:t>2022</w:t>
            </w:r>
          </w:p>
        </w:tc>
        <w:tc>
          <w:tcPr>
            <w:tcW w:w="1417" w:type="dxa"/>
            <w:vMerge/>
          </w:tcPr>
          <w:p w14:paraId="3DA16BDB" w14:textId="77777777" w:rsidR="00454A29" w:rsidRDefault="00454A29"/>
        </w:tc>
        <w:tc>
          <w:tcPr>
            <w:tcW w:w="2204" w:type="dxa"/>
            <w:vMerge/>
          </w:tcPr>
          <w:p w14:paraId="74B37F28" w14:textId="77777777" w:rsidR="00454A29" w:rsidRDefault="00454A29"/>
        </w:tc>
        <w:tc>
          <w:tcPr>
            <w:tcW w:w="1417" w:type="dxa"/>
            <w:vMerge/>
          </w:tcPr>
          <w:p w14:paraId="25221021" w14:textId="77777777" w:rsidR="00454A29" w:rsidRDefault="00454A29"/>
        </w:tc>
        <w:tc>
          <w:tcPr>
            <w:tcW w:w="2324" w:type="dxa"/>
            <w:vMerge/>
          </w:tcPr>
          <w:p w14:paraId="26D1795D" w14:textId="77777777" w:rsidR="00454A29" w:rsidRDefault="00454A29"/>
        </w:tc>
        <w:tc>
          <w:tcPr>
            <w:tcW w:w="1701" w:type="dxa"/>
            <w:vAlign w:val="center"/>
          </w:tcPr>
          <w:p w14:paraId="4D29A12D" w14:textId="77777777" w:rsidR="00454A29" w:rsidRDefault="00454A29">
            <w:pPr>
              <w:pStyle w:val="ConsPlusNormal"/>
              <w:jc w:val="center"/>
            </w:pPr>
            <w:r>
              <w:t>-</w:t>
            </w:r>
          </w:p>
        </w:tc>
        <w:tc>
          <w:tcPr>
            <w:tcW w:w="1814" w:type="dxa"/>
            <w:vAlign w:val="center"/>
          </w:tcPr>
          <w:p w14:paraId="5119249F" w14:textId="77777777" w:rsidR="00454A29" w:rsidRDefault="00454A29">
            <w:pPr>
              <w:pStyle w:val="ConsPlusNormal"/>
            </w:pPr>
          </w:p>
        </w:tc>
        <w:tc>
          <w:tcPr>
            <w:tcW w:w="1701" w:type="dxa"/>
            <w:vAlign w:val="center"/>
          </w:tcPr>
          <w:p w14:paraId="4C9EC978" w14:textId="77777777" w:rsidR="00454A29" w:rsidRDefault="00454A29">
            <w:pPr>
              <w:pStyle w:val="ConsPlusNormal"/>
            </w:pPr>
          </w:p>
        </w:tc>
        <w:tc>
          <w:tcPr>
            <w:tcW w:w="1701" w:type="dxa"/>
            <w:vAlign w:val="center"/>
          </w:tcPr>
          <w:p w14:paraId="02A3D50B" w14:textId="77777777" w:rsidR="00454A29" w:rsidRDefault="00454A29">
            <w:pPr>
              <w:pStyle w:val="ConsPlusNormal"/>
            </w:pPr>
          </w:p>
        </w:tc>
        <w:tc>
          <w:tcPr>
            <w:tcW w:w="1814" w:type="dxa"/>
            <w:vAlign w:val="center"/>
          </w:tcPr>
          <w:p w14:paraId="6230AF4E" w14:textId="77777777" w:rsidR="00454A29" w:rsidRDefault="00454A29">
            <w:pPr>
              <w:pStyle w:val="ConsPlusNormal"/>
            </w:pPr>
          </w:p>
        </w:tc>
      </w:tr>
      <w:tr w:rsidR="00454A29" w14:paraId="6E36257A" w14:textId="77777777">
        <w:tc>
          <w:tcPr>
            <w:tcW w:w="567" w:type="dxa"/>
            <w:vMerge/>
          </w:tcPr>
          <w:p w14:paraId="360DC02C" w14:textId="77777777" w:rsidR="00454A29" w:rsidRDefault="00454A29"/>
        </w:tc>
        <w:tc>
          <w:tcPr>
            <w:tcW w:w="3345" w:type="dxa"/>
            <w:vMerge/>
          </w:tcPr>
          <w:p w14:paraId="4892320D" w14:textId="77777777" w:rsidR="00454A29" w:rsidRDefault="00454A29"/>
        </w:tc>
        <w:tc>
          <w:tcPr>
            <w:tcW w:w="1701" w:type="dxa"/>
            <w:vAlign w:val="center"/>
          </w:tcPr>
          <w:p w14:paraId="2B96E867" w14:textId="77777777" w:rsidR="00454A29" w:rsidRDefault="00454A29">
            <w:pPr>
              <w:pStyle w:val="ConsPlusNormal"/>
              <w:jc w:val="center"/>
            </w:pPr>
            <w:r>
              <w:t>2023</w:t>
            </w:r>
          </w:p>
        </w:tc>
        <w:tc>
          <w:tcPr>
            <w:tcW w:w="1417" w:type="dxa"/>
            <w:vMerge/>
          </w:tcPr>
          <w:p w14:paraId="575E7C6D" w14:textId="77777777" w:rsidR="00454A29" w:rsidRDefault="00454A29"/>
        </w:tc>
        <w:tc>
          <w:tcPr>
            <w:tcW w:w="2204" w:type="dxa"/>
            <w:vMerge/>
          </w:tcPr>
          <w:p w14:paraId="5ED84699" w14:textId="77777777" w:rsidR="00454A29" w:rsidRDefault="00454A29"/>
        </w:tc>
        <w:tc>
          <w:tcPr>
            <w:tcW w:w="1417" w:type="dxa"/>
            <w:vMerge/>
          </w:tcPr>
          <w:p w14:paraId="2A195617" w14:textId="77777777" w:rsidR="00454A29" w:rsidRDefault="00454A29"/>
        </w:tc>
        <w:tc>
          <w:tcPr>
            <w:tcW w:w="2324" w:type="dxa"/>
            <w:vMerge/>
          </w:tcPr>
          <w:p w14:paraId="29088986" w14:textId="77777777" w:rsidR="00454A29" w:rsidRDefault="00454A29"/>
        </w:tc>
        <w:tc>
          <w:tcPr>
            <w:tcW w:w="1701" w:type="dxa"/>
            <w:vAlign w:val="center"/>
          </w:tcPr>
          <w:p w14:paraId="47909300" w14:textId="77777777" w:rsidR="00454A29" w:rsidRDefault="00454A29">
            <w:pPr>
              <w:pStyle w:val="ConsPlusNormal"/>
              <w:jc w:val="center"/>
            </w:pPr>
            <w:r>
              <w:t>-</w:t>
            </w:r>
          </w:p>
        </w:tc>
        <w:tc>
          <w:tcPr>
            <w:tcW w:w="1814" w:type="dxa"/>
            <w:vAlign w:val="center"/>
          </w:tcPr>
          <w:p w14:paraId="10643F1E" w14:textId="77777777" w:rsidR="00454A29" w:rsidRDefault="00454A29">
            <w:pPr>
              <w:pStyle w:val="ConsPlusNormal"/>
            </w:pPr>
          </w:p>
        </w:tc>
        <w:tc>
          <w:tcPr>
            <w:tcW w:w="1701" w:type="dxa"/>
            <w:vAlign w:val="center"/>
          </w:tcPr>
          <w:p w14:paraId="70D62CC0" w14:textId="77777777" w:rsidR="00454A29" w:rsidRDefault="00454A29">
            <w:pPr>
              <w:pStyle w:val="ConsPlusNormal"/>
            </w:pPr>
          </w:p>
        </w:tc>
        <w:tc>
          <w:tcPr>
            <w:tcW w:w="1701" w:type="dxa"/>
            <w:vAlign w:val="center"/>
          </w:tcPr>
          <w:p w14:paraId="637FAD32" w14:textId="77777777" w:rsidR="00454A29" w:rsidRDefault="00454A29">
            <w:pPr>
              <w:pStyle w:val="ConsPlusNormal"/>
            </w:pPr>
          </w:p>
        </w:tc>
        <w:tc>
          <w:tcPr>
            <w:tcW w:w="1814" w:type="dxa"/>
            <w:vAlign w:val="center"/>
          </w:tcPr>
          <w:p w14:paraId="34244349" w14:textId="77777777" w:rsidR="00454A29" w:rsidRDefault="00454A29">
            <w:pPr>
              <w:pStyle w:val="ConsPlusNormal"/>
            </w:pPr>
          </w:p>
        </w:tc>
      </w:tr>
      <w:tr w:rsidR="00454A29" w14:paraId="3BC777EA" w14:textId="77777777">
        <w:tc>
          <w:tcPr>
            <w:tcW w:w="567" w:type="dxa"/>
            <w:vMerge/>
          </w:tcPr>
          <w:p w14:paraId="2E48B0FB" w14:textId="77777777" w:rsidR="00454A29" w:rsidRDefault="00454A29"/>
        </w:tc>
        <w:tc>
          <w:tcPr>
            <w:tcW w:w="3345" w:type="dxa"/>
            <w:vMerge/>
          </w:tcPr>
          <w:p w14:paraId="35BA6A2C" w14:textId="77777777" w:rsidR="00454A29" w:rsidRDefault="00454A29"/>
        </w:tc>
        <w:tc>
          <w:tcPr>
            <w:tcW w:w="1701" w:type="dxa"/>
            <w:vAlign w:val="center"/>
          </w:tcPr>
          <w:p w14:paraId="4B87DD6B" w14:textId="77777777" w:rsidR="00454A29" w:rsidRDefault="00454A29">
            <w:pPr>
              <w:pStyle w:val="ConsPlusNormal"/>
              <w:jc w:val="center"/>
            </w:pPr>
            <w:r>
              <w:t>2024</w:t>
            </w:r>
          </w:p>
        </w:tc>
        <w:tc>
          <w:tcPr>
            <w:tcW w:w="1417" w:type="dxa"/>
            <w:vMerge/>
          </w:tcPr>
          <w:p w14:paraId="36463DFE" w14:textId="77777777" w:rsidR="00454A29" w:rsidRDefault="00454A29"/>
        </w:tc>
        <w:tc>
          <w:tcPr>
            <w:tcW w:w="2204" w:type="dxa"/>
            <w:vMerge/>
          </w:tcPr>
          <w:p w14:paraId="3FC5173C" w14:textId="77777777" w:rsidR="00454A29" w:rsidRDefault="00454A29"/>
        </w:tc>
        <w:tc>
          <w:tcPr>
            <w:tcW w:w="1417" w:type="dxa"/>
            <w:vMerge/>
          </w:tcPr>
          <w:p w14:paraId="07192A19" w14:textId="77777777" w:rsidR="00454A29" w:rsidRDefault="00454A29"/>
        </w:tc>
        <w:tc>
          <w:tcPr>
            <w:tcW w:w="2324" w:type="dxa"/>
            <w:vMerge/>
          </w:tcPr>
          <w:p w14:paraId="6B70B7A1" w14:textId="77777777" w:rsidR="00454A29" w:rsidRDefault="00454A29"/>
        </w:tc>
        <w:tc>
          <w:tcPr>
            <w:tcW w:w="1701" w:type="dxa"/>
            <w:vAlign w:val="center"/>
          </w:tcPr>
          <w:p w14:paraId="5E417E51" w14:textId="77777777" w:rsidR="00454A29" w:rsidRDefault="00454A29">
            <w:pPr>
              <w:pStyle w:val="ConsPlusNormal"/>
              <w:jc w:val="center"/>
            </w:pPr>
            <w:r>
              <w:t>-</w:t>
            </w:r>
          </w:p>
        </w:tc>
        <w:tc>
          <w:tcPr>
            <w:tcW w:w="1814" w:type="dxa"/>
            <w:vAlign w:val="center"/>
          </w:tcPr>
          <w:p w14:paraId="1197D9BF" w14:textId="77777777" w:rsidR="00454A29" w:rsidRDefault="00454A29">
            <w:pPr>
              <w:pStyle w:val="ConsPlusNormal"/>
            </w:pPr>
          </w:p>
        </w:tc>
        <w:tc>
          <w:tcPr>
            <w:tcW w:w="1701" w:type="dxa"/>
            <w:vAlign w:val="center"/>
          </w:tcPr>
          <w:p w14:paraId="09893295" w14:textId="77777777" w:rsidR="00454A29" w:rsidRDefault="00454A29">
            <w:pPr>
              <w:pStyle w:val="ConsPlusNormal"/>
            </w:pPr>
          </w:p>
        </w:tc>
        <w:tc>
          <w:tcPr>
            <w:tcW w:w="1701" w:type="dxa"/>
            <w:vAlign w:val="center"/>
          </w:tcPr>
          <w:p w14:paraId="6F662876" w14:textId="77777777" w:rsidR="00454A29" w:rsidRDefault="00454A29">
            <w:pPr>
              <w:pStyle w:val="ConsPlusNormal"/>
            </w:pPr>
          </w:p>
        </w:tc>
        <w:tc>
          <w:tcPr>
            <w:tcW w:w="1814" w:type="dxa"/>
            <w:vAlign w:val="center"/>
          </w:tcPr>
          <w:p w14:paraId="3D2B28C2" w14:textId="77777777" w:rsidR="00454A29" w:rsidRDefault="00454A29">
            <w:pPr>
              <w:pStyle w:val="ConsPlusNormal"/>
            </w:pPr>
          </w:p>
        </w:tc>
      </w:tr>
      <w:tr w:rsidR="00454A29" w14:paraId="10BAFACA" w14:textId="77777777">
        <w:tc>
          <w:tcPr>
            <w:tcW w:w="567" w:type="dxa"/>
            <w:vMerge/>
          </w:tcPr>
          <w:p w14:paraId="6E5012E3" w14:textId="77777777" w:rsidR="00454A29" w:rsidRDefault="00454A29"/>
        </w:tc>
        <w:tc>
          <w:tcPr>
            <w:tcW w:w="3345" w:type="dxa"/>
            <w:vMerge/>
          </w:tcPr>
          <w:p w14:paraId="10F1883A" w14:textId="77777777" w:rsidR="00454A29" w:rsidRDefault="00454A29"/>
        </w:tc>
        <w:tc>
          <w:tcPr>
            <w:tcW w:w="1701" w:type="dxa"/>
            <w:vAlign w:val="center"/>
          </w:tcPr>
          <w:p w14:paraId="1D03D2FE" w14:textId="77777777" w:rsidR="00454A29" w:rsidRDefault="00454A29">
            <w:pPr>
              <w:pStyle w:val="ConsPlusNormal"/>
              <w:jc w:val="center"/>
            </w:pPr>
            <w:r>
              <w:t>2025</w:t>
            </w:r>
          </w:p>
        </w:tc>
        <w:tc>
          <w:tcPr>
            <w:tcW w:w="1417" w:type="dxa"/>
            <w:vMerge/>
          </w:tcPr>
          <w:p w14:paraId="36C21D69" w14:textId="77777777" w:rsidR="00454A29" w:rsidRDefault="00454A29"/>
        </w:tc>
        <w:tc>
          <w:tcPr>
            <w:tcW w:w="2204" w:type="dxa"/>
            <w:vMerge/>
          </w:tcPr>
          <w:p w14:paraId="4FEF1564" w14:textId="77777777" w:rsidR="00454A29" w:rsidRDefault="00454A29"/>
        </w:tc>
        <w:tc>
          <w:tcPr>
            <w:tcW w:w="1417" w:type="dxa"/>
            <w:vMerge/>
          </w:tcPr>
          <w:p w14:paraId="22148BC6" w14:textId="77777777" w:rsidR="00454A29" w:rsidRDefault="00454A29"/>
        </w:tc>
        <w:tc>
          <w:tcPr>
            <w:tcW w:w="2324" w:type="dxa"/>
            <w:vMerge/>
          </w:tcPr>
          <w:p w14:paraId="0942FABB" w14:textId="77777777" w:rsidR="00454A29" w:rsidRDefault="00454A29"/>
        </w:tc>
        <w:tc>
          <w:tcPr>
            <w:tcW w:w="1701" w:type="dxa"/>
            <w:vAlign w:val="center"/>
          </w:tcPr>
          <w:p w14:paraId="69999C91" w14:textId="77777777" w:rsidR="00454A29" w:rsidRDefault="00454A29">
            <w:pPr>
              <w:pStyle w:val="ConsPlusNormal"/>
              <w:jc w:val="center"/>
            </w:pPr>
            <w:r>
              <w:t>-</w:t>
            </w:r>
          </w:p>
        </w:tc>
        <w:tc>
          <w:tcPr>
            <w:tcW w:w="1814" w:type="dxa"/>
            <w:vAlign w:val="center"/>
          </w:tcPr>
          <w:p w14:paraId="45184F33" w14:textId="77777777" w:rsidR="00454A29" w:rsidRDefault="00454A29">
            <w:pPr>
              <w:pStyle w:val="ConsPlusNormal"/>
            </w:pPr>
          </w:p>
        </w:tc>
        <w:tc>
          <w:tcPr>
            <w:tcW w:w="1701" w:type="dxa"/>
            <w:vAlign w:val="center"/>
          </w:tcPr>
          <w:p w14:paraId="50A34047" w14:textId="77777777" w:rsidR="00454A29" w:rsidRDefault="00454A29">
            <w:pPr>
              <w:pStyle w:val="ConsPlusNormal"/>
            </w:pPr>
          </w:p>
        </w:tc>
        <w:tc>
          <w:tcPr>
            <w:tcW w:w="1701" w:type="dxa"/>
            <w:vAlign w:val="center"/>
          </w:tcPr>
          <w:p w14:paraId="21E5BB16" w14:textId="77777777" w:rsidR="00454A29" w:rsidRDefault="00454A29">
            <w:pPr>
              <w:pStyle w:val="ConsPlusNormal"/>
            </w:pPr>
          </w:p>
        </w:tc>
        <w:tc>
          <w:tcPr>
            <w:tcW w:w="1814" w:type="dxa"/>
            <w:vAlign w:val="center"/>
          </w:tcPr>
          <w:p w14:paraId="054705ED" w14:textId="77777777" w:rsidR="00454A29" w:rsidRDefault="00454A29">
            <w:pPr>
              <w:pStyle w:val="ConsPlusNormal"/>
            </w:pPr>
          </w:p>
        </w:tc>
      </w:tr>
      <w:tr w:rsidR="00454A29" w14:paraId="2B457FE4" w14:textId="77777777">
        <w:tc>
          <w:tcPr>
            <w:tcW w:w="567" w:type="dxa"/>
            <w:vMerge w:val="restart"/>
            <w:vAlign w:val="center"/>
          </w:tcPr>
          <w:p w14:paraId="7033D8DE" w14:textId="77777777" w:rsidR="00454A29" w:rsidRDefault="00454A29">
            <w:pPr>
              <w:pStyle w:val="ConsPlusNormal"/>
              <w:jc w:val="center"/>
            </w:pPr>
            <w:r>
              <w:t>84</w:t>
            </w:r>
          </w:p>
        </w:tc>
        <w:tc>
          <w:tcPr>
            <w:tcW w:w="3345" w:type="dxa"/>
            <w:vMerge w:val="restart"/>
            <w:vAlign w:val="center"/>
          </w:tcPr>
          <w:p w14:paraId="1013B36A" w14:textId="77777777" w:rsidR="00454A29" w:rsidRDefault="00454A29">
            <w:pPr>
              <w:pStyle w:val="ConsPlusNormal"/>
              <w:jc w:val="center"/>
            </w:pPr>
            <w:r>
              <w:t>Круглогодичный детский центр отдыха и оздоровления "Полярная звезда" в Республике Саха (Якутия)</w:t>
            </w:r>
          </w:p>
        </w:tc>
        <w:tc>
          <w:tcPr>
            <w:tcW w:w="1701" w:type="dxa"/>
            <w:vAlign w:val="center"/>
          </w:tcPr>
          <w:p w14:paraId="5ED6993C" w14:textId="77777777" w:rsidR="00454A29" w:rsidRDefault="00454A29">
            <w:pPr>
              <w:pStyle w:val="ConsPlusNormal"/>
              <w:jc w:val="center"/>
            </w:pPr>
            <w:r>
              <w:t>Всего:</w:t>
            </w:r>
          </w:p>
        </w:tc>
        <w:tc>
          <w:tcPr>
            <w:tcW w:w="1417" w:type="dxa"/>
            <w:vMerge w:val="restart"/>
            <w:vAlign w:val="center"/>
          </w:tcPr>
          <w:p w14:paraId="69C187AF" w14:textId="77777777" w:rsidR="00454A29" w:rsidRDefault="00454A29">
            <w:pPr>
              <w:pStyle w:val="ConsPlusNormal"/>
              <w:jc w:val="center"/>
            </w:pPr>
            <w:r>
              <w:t>1 473 651,00</w:t>
            </w:r>
          </w:p>
        </w:tc>
        <w:tc>
          <w:tcPr>
            <w:tcW w:w="2204" w:type="dxa"/>
            <w:vMerge w:val="restart"/>
            <w:vAlign w:val="center"/>
          </w:tcPr>
          <w:p w14:paraId="407F2C33" w14:textId="77777777" w:rsidR="00454A29" w:rsidRDefault="00454A29">
            <w:pPr>
              <w:pStyle w:val="ConsPlusNormal"/>
              <w:jc w:val="center"/>
            </w:pPr>
            <w:r>
              <w:t>имеется</w:t>
            </w:r>
          </w:p>
        </w:tc>
        <w:tc>
          <w:tcPr>
            <w:tcW w:w="1417" w:type="dxa"/>
            <w:vMerge w:val="restart"/>
            <w:vAlign w:val="center"/>
          </w:tcPr>
          <w:p w14:paraId="69CF8262" w14:textId="77777777" w:rsidR="00454A29" w:rsidRDefault="00454A29">
            <w:pPr>
              <w:pStyle w:val="ConsPlusNormal"/>
              <w:jc w:val="center"/>
            </w:pPr>
            <w:r>
              <w:t>350</w:t>
            </w:r>
          </w:p>
        </w:tc>
        <w:tc>
          <w:tcPr>
            <w:tcW w:w="2324" w:type="dxa"/>
            <w:vMerge w:val="restart"/>
            <w:vAlign w:val="center"/>
          </w:tcPr>
          <w:p w14:paraId="58C9CBFB" w14:textId="77777777" w:rsidR="00454A29" w:rsidRDefault="00454A29">
            <w:pPr>
              <w:pStyle w:val="ConsPlusNormal"/>
              <w:jc w:val="center"/>
            </w:pPr>
            <w:r>
              <w:t>Минэкономики РС(Я)</w:t>
            </w:r>
          </w:p>
        </w:tc>
        <w:tc>
          <w:tcPr>
            <w:tcW w:w="1701" w:type="dxa"/>
            <w:vAlign w:val="center"/>
          </w:tcPr>
          <w:p w14:paraId="50A348FB" w14:textId="77777777" w:rsidR="00454A29" w:rsidRDefault="00454A29">
            <w:pPr>
              <w:pStyle w:val="ConsPlusNormal"/>
              <w:jc w:val="center"/>
            </w:pPr>
            <w:r>
              <w:t>1 426 790,68</w:t>
            </w:r>
          </w:p>
        </w:tc>
        <w:tc>
          <w:tcPr>
            <w:tcW w:w="1814" w:type="dxa"/>
            <w:vAlign w:val="center"/>
          </w:tcPr>
          <w:p w14:paraId="23339522" w14:textId="77777777" w:rsidR="00454A29" w:rsidRDefault="00454A29">
            <w:pPr>
              <w:pStyle w:val="ConsPlusNormal"/>
              <w:jc w:val="center"/>
            </w:pPr>
            <w:r>
              <w:t>40 000,00</w:t>
            </w:r>
          </w:p>
        </w:tc>
        <w:tc>
          <w:tcPr>
            <w:tcW w:w="1701" w:type="dxa"/>
            <w:vAlign w:val="center"/>
          </w:tcPr>
          <w:p w14:paraId="0CED0BED" w14:textId="77777777" w:rsidR="00454A29" w:rsidRDefault="00454A29">
            <w:pPr>
              <w:pStyle w:val="ConsPlusNormal"/>
              <w:jc w:val="center"/>
            </w:pPr>
            <w:r>
              <w:t>320 000,00</w:t>
            </w:r>
          </w:p>
        </w:tc>
        <w:tc>
          <w:tcPr>
            <w:tcW w:w="1701" w:type="dxa"/>
            <w:vAlign w:val="center"/>
          </w:tcPr>
          <w:p w14:paraId="7CEF3D04" w14:textId="77777777" w:rsidR="00454A29" w:rsidRDefault="00454A29">
            <w:pPr>
              <w:pStyle w:val="ConsPlusNormal"/>
              <w:jc w:val="center"/>
            </w:pPr>
            <w:r>
              <w:t>-</w:t>
            </w:r>
          </w:p>
        </w:tc>
        <w:tc>
          <w:tcPr>
            <w:tcW w:w="1814" w:type="dxa"/>
            <w:vAlign w:val="center"/>
          </w:tcPr>
          <w:p w14:paraId="0104ABF5" w14:textId="77777777" w:rsidR="00454A29" w:rsidRDefault="00454A29">
            <w:pPr>
              <w:pStyle w:val="ConsPlusNormal"/>
              <w:jc w:val="center"/>
            </w:pPr>
            <w:r>
              <w:t>1 066 790,68</w:t>
            </w:r>
          </w:p>
        </w:tc>
      </w:tr>
      <w:tr w:rsidR="00454A29" w14:paraId="61DAFCCA" w14:textId="77777777">
        <w:tc>
          <w:tcPr>
            <w:tcW w:w="567" w:type="dxa"/>
            <w:vMerge/>
          </w:tcPr>
          <w:p w14:paraId="244815EA" w14:textId="77777777" w:rsidR="00454A29" w:rsidRDefault="00454A29"/>
        </w:tc>
        <w:tc>
          <w:tcPr>
            <w:tcW w:w="3345" w:type="dxa"/>
            <w:vMerge/>
          </w:tcPr>
          <w:p w14:paraId="7C7D66F1" w14:textId="77777777" w:rsidR="00454A29" w:rsidRDefault="00454A29"/>
        </w:tc>
        <w:tc>
          <w:tcPr>
            <w:tcW w:w="1701" w:type="dxa"/>
            <w:vAlign w:val="center"/>
          </w:tcPr>
          <w:p w14:paraId="71E32532" w14:textId="77777777" w:rsidR="00454A29" w:rsidRDefault="00454A29">
            <w:pPr>
              <w:pStyle w:val="ConsPlusNormal"/>
              <w:jc w:val="center"/>
            </w:pPr>
            <w:r>
              <w:t>2020</w:t>
            </w:r>
          </w:p>
        </w:tc>
        <w:tc>
          <w:tcPr>
            <w:tcW w:w="1417" w:type="dxa"/>
            <w:vMerge/>
          </w:tcPr>
          <w:p w14:paraId="3216D824" w14:textId="77777777" w:rsidR="00454A29" w:rsidRDefault="00454A29"/>
        </w:tc>
        <w:tc>
          <w:tcPr>
            <w:tcW w:w="2204" w:type="dxa"/>
            <w:vMerge/>
          </w:tcPr>
          <w:p w14:paraId="316EA2FD" w14:textId="77777777" w:rsidR="00454A29" w:rsidRDefault="00454A29"/>
        </w:tc>
        <w:tc>
          <w:tcPr>
            <w:tcW w:w="1417" w:type="dxa"/>
            <w:vMerge/>
          </w:tcPr>
          <w:p w14:paraId="7C6F8971" w14:textId="77777777" w:rsidR="00454A29" w:rsidRDefault="00454A29"/>
        </w:tc>
        <w:tc>
          <w:tcPr>
            <w:tcW w:w="2324" w:type="dxa"/>
            <w:vMerge/>
          </w:tcPr>
          <w:p w14:paraId="5DF8A378" w14:textId="77777777" w:rsidR="00454A29" w:rsidRDefault="00454A29"/>
        </w:tc>
        <w:tc>
          <w:tcPr>
            <w:tcW w:w="1701" w:type="dxa"/>
            <w:vAlign w:val="center"/>
          </w:tcPr>
          <w:p w14:paraId="26A41055" w14:textId="77777777" w:rsidR="00454A29" w:rsidRDefault="00454A29">
            <w:pPr>
              <w:pStyle w:val="ConsPlusNormal"/>
              <w:jc w:val="center"/>
            </w:pPr>
            <w:r>
              <w:t>698 593,16</w:t>
            </w:r>
          </w:p>
        </w:tc>
        <w:tc>
          <w:tcPr>
            <w:tcW w:w="1814" w:type="dxa"/>
            <w:vAlign w:val="center"/>
          </w:tcPr>
          <w:p w14:paraId="7F134945" w14:textId="77777777" w:rsidR="00454A29" w:rsidRDefault="00454A29">
            <w:pPr>
              <w:pStyle w:val="ConsPlusNormal"/>
              <w:jc w:val="center"/>
            </w:pPr>
            <w:r>
              <w:t>20 000,00</w:t>
            </w:r>
          </w:p>
        </w:tc>
        <w:tc>
          <w:tcPr>
            <w:tcW w:w="1701" w:type="dxa"/>
            <w:vAlign w:val="center"/>
          </w:tcPr>
          <w:p w14:paraId="21EEC558" w14:textId="77777777" w:rsidR="00454A29" w:rsidRDefault="00454A29">
            <w:pPr>
              <w:pStyle w:val="ConsPlusNormal"/>
              <w:jc w:val="center"/>
            </w:pPr>
            <w:r>
              <w:t>160 000,00</w:t>
            </w:r>
          </w:p>
        </w:tc>
        <w:tc>
          <w:tcPr>
            <w:tcW w:w="1701" w:type="dxa"/>
            <w:vAlign w:val="center"/>
          </w:tcPr>
          <w:p w14:paraId="60157C63" w14:textId="77777777" w:rsidR="00454A29" w:rsidRDefault="00454A29">
            <w:pPr>
              <w:pStyle w:val="ConsPlusNormal"/>
            </w:pPr>
          </w:p>
        </w:tc>
        <w:tc>
          <w:tcPr>
            <w:tcW w:w="1814" w:type="dxa"/>
            <w:vAlign w:val="center"/>
          </w:tcPr>
          <w:p w14:paraId="3351BD61" w14:textId="77777777" w:rsidR="00454A29" w:rsidRDefault="00454A29">
            <w:pPr>
              <w:pStyle w:val="ConsPlusNormal"/>
              <w:jc w:val="center"/>
            </w:pPr>
            <w:r>
              <w:t>518 593,16</w:t>
            </w:r>
          </w:p>
        </w:tc>
      </w:tr>
      <w:tr w:rsidR="00454A29" w14:paraId="46785C0E" w14:textId="77777777">
        <w:tc>
          <w:tcPr>
            <w:tcW w:w="567" w:type="dxa"/>
            <w:vMerge/>
          </w:tcPr>
          <w:p w14:paraId="2920C752" w14:textId="77777777" w:rsidR="00454A29" w:rsidRDefault="00454A29"/>
        </w:tc>
        <w:tc>
          <w:tcPr>
            <w:tcW w:w="3345" w:type="dxa"/>
            <w:vMerge/>
          </w:tcPr>
          <w:p w14:paraId="698B6AE1" w14:textId="77777777" w:rsidR="00454A29" w:rsidRDefault="00454A29"/>
        </w:tc>
        <w:tc>
          <w:tcPr>
            <w:tcW w:w="1701" w:type="dxa"/>
            <w:vAlign w:val="center"/>
          </w:tcPr>
          <w:p w14:paraId="24902EA1" w14:textId="77777777" w:rsidR="00454A29" w:rsidRDefault="00454A29">
            <w:pPr>
              <w:pStyle w:val="ConsPlusNormal"/>
              <w:jc w:val="center"/>
            </w:pPr>
            <w:r>
              <w:t>2021</w:t>
            </w:r>
          </w:p>
        </w:tc>
        <w:tc>
          <w:tcPr>
            <w:tcW w:w="1417" w:type="dxa"/>
            <w:vMerge/>
          </w:tcPr>
          <w:p w14:paraId="4A5997C0" w14:textId="77777777" w:rsidR="00454A29" w:rsidRDefault="00454A29"/>
        </w:tc>
        <w:tc>
          <w:tcPr>
            <w:tcW w:w="2204" w:type="dxa"/>
            <w:vMerge/>
          </w:tcPr>
          <w:p w14:paraId="6A1F829B" w14:textId="77777777" w:rsidR="00454A29" w:rsidRDefault="00454A29"/>
        </w:tc>
        <w:tc>
          <w:tcPr>
            <w:tcW w:w="1417" w:type="dxa"/>
            <w:vMerge/>
          </w:tcPr>
          <w:p w14:paraId="55E256B0" w14:textId="77777777" w:rsidR="00454A29" w:rsidRDefault="00454A29"/>
        </w:tc>
        <w:tc>
          <w:tcPr>
            <w:tcW w:w="2324" w:type="dxa"/>
            <w:vMerge/>
          </w:tcPr>
          <w:p w14:paraId="67248ABB" w14:textId="77777777" w:rsidR="00454A29" w:rsidRDefault="00454A29"/>
        </w:tc>
        <w:tc>
          <w:tcPr>
            <w:tcW w:w="1701" w:type="dxa"/>
            <w:vAlign w:val="center"/>
          </w:tcPr>
          <w:p w14:paraId="7FEB1E3E" w14:textId="77777777" w:rsidR="00454A29" w:rsidRDefault="00454A29">
            <w:pPr>
              <w:pStyle w:val="ConsPlusNormal"/>
              <w:jc w:val="center"/>
            </w:pPr>
            <w:r>
              <w:t>728 197,52</w:t>
            </w:r>
          </w:p>
        </w:tc>
        <w:tc>
          <w:tcPr>
            <w:tcW w:w="1814" w:type="dxa"/>
            <w:vAlign w:val="center"/>
          </w:tcPr>
          <w:p w14:paraId="79F42974" w14:textId="77777777" w:rsidR="00454A29" w:rsidRDefault="00454A29">
            <w:pPr>
              <w:pStyle w:val="ConsPlusNormal"/>
              <w:jc w:val="center"/>
            </w:pPr>
            <w:r>
              <w:t>20 000,00</w:t>
            </w:r>
          </w:p>
        </w:tc>
        <w:tc>
          <w:tcPr>
            <w:tcW w:w="1701" w:type="dxa"/>
            <w:vAlign w:val="center"/>
          </w:tcPr>
          <w:p w14:paraId="26E74DF0" w14:textId="77777777" w:rsidR="00454A29" w:rsidRDefault="00454A29">
            <w:pPr>
              <w:pStyle w:val="ConsPlusNormal"/>
              <w:jc w:val="center"/>
            </w:pPr>
            <w:r>
              <w:t>160 000,00</w:t>
            </w:r>
          </w:p>
        </w:tc>
        <w:tc>
          <w:tcPr>
            <w:tcW w:w="1701" w:type="dxa"/>
            <w:vAlign w:val="center"/>
          </w:tcPr>
          <w:p w14:paraId="12A5C157" w14:textId="77777777" w:rsidR="00454A29" w:rsidRDefault="00454A29">
            <w:pPr>
              <w:pStyle w:val="ConsPlusNormal"/>
            </w:pPr>
          </w:p>
        </w:tc>
        <w:tc>
          <w:tcPr>
            <w:tcW w:w="1814" w:type="dxa"/>
            <w:vAlign w:val="center"/>
          </w:tcPr>
          <w:p w14:paraId="7BF6CF37" w14:textId="77777777" w:rsidR="00454A29" w:rsidRDefault="00454A29">
            <w:pPr>
              <w:pStyle w:val="ConsPlusNormal"/>
              <w:jc w:val="center"/>
            </w:pPr>
            <w:r>
              <w:t>548 197,52</w:t>
            </w:r>
          </w:p>
        </w:tc>
      </w:tr>
      <w:tr w:rsidR="00454A29" w14:paraId="0C6DE59B" w14:textId="77777777">
        <w:tc>
          <w:tcPr>
            <w:tcW w:w="567" w:type="dxa"/>
            <w:vMerge/>
          </w:tcPr>
          <w:p w14:paraId="12704E4B" w14:textId="77777777" w:rsidR="00454A29" w:rsidRDefault="00454A29"/>
        </w:tc>
        <w:tc>
          <w:tcPr>
            <w:tcW w:w="3345" w:type="dxa"/>
            <w:vMerge/>
          </w:tcPr>
          <w:p w14:paraId="7978587A" w14:textId="77777777" w:rsidR="00454A29" w:rsidRDefault="00454A29"/>
        </w:tc>
        <w:tc>
          <w:tcPr>
            <w:tcW w:w="1701" w:type="dxa"/>
            <w:vAlign w:val="center"/>
          </w:tcPr>
          <w:p w14:paraId="18E73A3B" w14:textId="77777777" w:rsidR="00454A29" w:rsidRDefault="00454A29">
            <w:pPr>
              <w:pStyle w:val="ConsPlusNormal"/>
              <w:jc w:val="center"/>
            </w:pPr>
            <w:r>
              <w:t>2022</w:t>
            </w:r>
          </w:p>
        </w:tc>
        <w:tc>
          <w:tcPr>
            <w:tcW w:w="1417" w:type="dxa"/>
            <w:vMerge/>
          </w:tcPr>
          <w:p w14:paraId="79B1B149" w14:textId="77777777" w:rsidR="00454A29" w:rsidRDefault="00454A29"/>
        </w:tc>
        <w:tc>
          <w:tcPr>
            <w:tcW w:w="2204" w:type="dxa"/>
            <w:vMerge/>
          </w:tcPr>
          <w:p w14:paraId="30EB4524" w14:textId="77777777" w:rsidR="00454A29" w:rsidRDefault="00454A29"/>
        </w:tc>
        <w:tc>
          <w:tcPr>
            <w:tcW w:w="1417" w:type="dxa"/>
            <w:vMerge/>
          </w:tcPr>
          <w:p w14:paraId="4CC8473A" w14:textId="77777777" w:rsidR="00454A29" w:rsidRDefault="00454A29"/>
        </w:tc>
        <w:tc>
          <w:tcPr>
            <w:tcW w:w="2324" w:type="dxa"/>
            <w:vMerge/>
          </w:tcPr>
          <w:p w14:paraId="3A614B0C" w14:textId="77777777" w:rsidR="00454A29" w:rsidRDefault="00454A29"/>
        </w:tc>
        <w:tc>
          <w:tcPr>
            <w:tcW w:w="1701" w:type="dxa"/>
            <w:vAlign w:val="center"/>
          </w:tcPr>
          <w:p w14:paraId="4188D012" w14:textId="77777777" w:rsidR="00454A29" w:rsidRDefault="00454A29">
            <w:pPr>
              <w:pStyle w:val="ConsPlusNormal"/>
              <w:jc w:val="center"/>
            </w:pPr>
            <w:r>
              <w:t>-</w:t>
            </w:r>
          </w:p>
        </w:tc>
        <w:tc>
          <w:tcPr>
            <w:tcW w:w="1814" w:type="dxa"/>
            <w:vAlign w:val="center"/>
          </w:tcPr>
          <w:p w14:paraId="38A30BAB" w14:textId="77777777" w:rsidR="00454A29" w:rsidRDefault="00454A29">
            <w:pPr>
              <w:pStyle w:val="ConsPlusNormal"/>
            </w:pPr>
          </w:p>
        </w:tc>
        <w:tc>
          <w:tcPr>
            <w:tcW w:w="1701" w:type="dxa"/>
            <w:vAlign w:val="center"/>
          </w:tcPr>
          <w:p w14:paraId="620383BF" w14:textId="77777777" w:rsidR="00454A29" w:rsidRDefault="00454A29">
            <w:pPr>
              <w:pStyle w:val="ConsPlusNormal"/>
            </w:pPr>
          </w:p>
        </w:tc>
        <w:tc>
          <w:tcPr>
            <w:tcW w:w="1701" w:type="dxa"/>
            <w:vAlign w:val="center"/>
          </w:tcPr>
          <w:p w14:paraId="3BE2346B" w14:textId="77777777" w:rsidR="00454A29" w:rsidRDefault="00454A29">
            <w:pPr>
              <w:pStyle w:val="ConsPlusNormal"/>
            </w:pPr>
          </w:p>
        </w:tc>
        <w:tc>
          <w:tcPr>
            <w:tcW w:w="1814" w:type="dxa"/>
            <w:vAlign w:val="center"/>
          </w:tcPr>
          <w:p w14:paraId="7001B446" w14:textId="77777777" w:rsidR="00454A29" w:rsidRDefault="00454A29">
            <w:pPr>
              <w:pStyle w:val="ConsPlusNormal"/>
            </w:pPr>
          </w:p>
        </w:tc>
      </w:tr>
      <w:tr w:rsidR="00454A29" w14:paraId="28604FCF" w14:textId="77777777">
        <w:tc>
          <w:tcPr>
            <w:tcW w:w="567" w:type="dxa"/>
            <w:vMerge/>
          </w:tcPr>
          <w:p w14:paraId="6F0E2EAB" w14:textId="77777777" w:rsidR="00454A29" w:rsidRDefault="00454A29"/>
        </w:tc>
        <w:tc>
          <w:tcPr>
            <w:tcW w:w="3345" w:type="dxa"/>
            <w:vMerge/>
          </w:tcPr>
          <w:p w14:paraId="0E213B47" w14:textId="77777777" w:rsidR="00454A29" w:rsidRDefault="00454A29"/>
        </w:tc>
        <w:tc>
          <w:tcPr>
            <w:tcW w:w="1701" w:type="dxa"/>
            <w:vAlign w:val="center"/>
          </w:tcPr>
          <w:p w14:paraId="2BEBCEAA" w14:textId="77777777" w:rsidR="00454A29" w:rsidRDefault="00454A29">
            <w:pPr>
              <w:pStyle w:val="ConsPlusNormal"/>
              <w:jc w:val="center"/>
            </w:pPr>
            <w:r>
              <w:t>2023</w:t>
            </w:r>
          </w:p>
        </w:tc>
        <w:tc>
          <w:tcPr>
            <w:tcW w:w="1417" w:type="dxa"/>
            <w:vMerge/>
          </w:tcPr>
          <w:p w14:paraId="10640842" w14:textId="77777777" w:rsidR="00454A29" w:rsidRDefault="00454A29"/>
        </w:tc>
        <w:tc>
          <w:tcPr>
            <w:tcW w:w="2204" w:type="dxa"/>
            <w:vMerge/>
          </w:tcPr>
          <w:p w14:paraId="689D7DCD" w14:textId="77777777" w:rsidR="00454A29" w:rsidRDefault="00454A29"/>
        </w:tc>
        <w:tc>
          <w:tcPr>
            <w:tcW w:w="1417" w:type="dxa"/>
            <w:vMerge/>
          </w:tcPr>
          <w:p w14:paraId="7CF019A7" w14:textId="77777777" w:rsidR="00454A29" w:rsidRDefault="00454A29"/>
        </w:tc>
        <w:tc>
          <w:tcPr>
            <w:tcW w:w="2324" w:type="dxa"/>
            <w:vMerge/>
          </w:tcPr>
          <w:p w14:paraId="2215295C" w14:textId="77777777" w:rsidR="00454A29" w:rsidRDefault="00454A29"/>
        </w:tc>
        <w:tc>
          <w:tcPr>
            <w:tcW w:w="1701" w:type="dxa"/>
            <w:vAlign w:val="center"/>
          </w:tcPr>
          <w:p w14:paraId="20E0747B" w14:textId="77777777" w:rsidR="00454A29" w:rsidRDefault="00454A29">
            <w:pPr>
              <w:pStyle w:val="ConsPlusNormal"/>
              <w:jc w:val="center"/>
            </w:pPr>
            <w:r>
              <w:t>-</w:t>
            </w:r>
          </w:p>
        </w:tc>
        <w:tc>
          <w:tcPr>
            <w:tcW w:w="1814" w:type="dxa"/>
            <w:vAlign w:val="center"/>
          </w:tcPr>
          <w:p w14:paraId="5DE16627" w14:textId="77777777" w:rsidR="00454A29" w:rsidRDefault="00454A29">
            <w:pPr>
              <w:pStyle w:val="ConsPlusNormal"/>
            </w:pPr>
          </w:p>
        </w:tc>
        <w:tc>
          <w:tcPr>
            <w:tcW w:w="1701" w:type="dxa"/>
            <w:vAlign w:val="center"/>
          </w:tcPr>
          <w:p w14:paraId="2B18CD59" w14:textId="77777777" w:rsidR="00454A29" w:rsidRDefault="00454A29">
            <w:pPr>
              <w:pStyle w:val="ConsPlusNormal"/>
            </w:pPr>
          </w:p>
        </w:tc>
        <w:tc>
          <w:tcPr>
            <w:tcW w:w="1701" w:type="dxa"/>
            <w:vAlign w:val="center"/>
          </w:tcPr>
          <w:p w14:paraId="718A8760" w14:textId="77777777" w:rsidR="00454A29" w:rsidRDefault="00454A29">
            <w:pPr>
              <w:pStyle w:val="ConsPlusNormal"/>
            </w:pPr>
          </w:p>
        </w:tc>
        <w:tc>
          <w:tcPr>
            <w:tcW w:w="1814" w:type="dxa"/>
            <w:vAlign w:val="center"/>
          </w:tcPr>
          <w:p w14:paraId="6A7868FB" w14:textId="77777777" w:rsidR="00454A29" w:rsidRDefault="00454A29">
            <w:pPr>
              <w:pStyle w:val="ConsPlusNormal"/>
            </w:pPr>
          </w:p>
        </w:tc>
      </w:tr>
      <w:tr w:rsidR="00454A29" w14:paraId="09CE0D21" w14:textId="77777777">
        <w:tc>
          <w:tcPr>
            <w:tcW w:w="567" w:type="dxa"/>
            <w:vMerge/>
          </w:tcPr>
          <w:p w14:paraId="11E27DE3" w14:textId="77777777" w:rsidR="00454A29" w:rsidRDefault="00454A29"/>
        </w:tc>
        <w:tc>
          <w:tcPr>
            <w:tcW w:w="3345" w:type="dxa"/>
            <w:vMerge/>
          </w:tcPr>
          <w:p w14:paraId="39041E18" w14:textId="77777777" w:rsidR="00454A29" w:rsidRDefault="00454A29"/>
        </w:tc>
        <w:tc>
          <w:tcPr>
            <w:tcW w:w="1701" w:type="dxa"/>
            <w:vAlign w:val="center"/>
          </w:tcPr>
          <w:p w14:paraId="6E035422" w14:textId="77777777" w:rsidR="00454A29" w:rsidRDefault="00454A29">
            <w:pPr>
              <w:pStyle w:val="ConsPlusNormal"/>
              <w:jc w:val="center"/>
            </w:pPr>
            <w:r>
              <w:t>2024</w:t>
            </w:r>
          </w:p>
        </w:tc>
        <w:tc>
          <w:tcPr>
            <w:tcW w:w="1417" w:type="dxa"/>
            <w:vMerge/>
          </w:tcPr>
          <w:p w14:paraId="10BF9F41" w14:textId="77777777" w:rsidR="00454A29" w:rsidRDefault="00454A29"/>
        </w:tc>
        <w:tc>
          <w:tcPr>
            <w:tcW w:w="2204" w:type="dxa"/>
            <w:vMerge/>
          </w:tcPr>
          <w:p w14:paraId="224D40AE" w14:textId="77777777" w:rsidR="00454A29" w:rsidRDefault="00454A29"/>
        </w:tc>
        <w:tc>
          <w:tcPr>
            <w:tcW w:w="1417" w:type="dxa"/>
            <w:vMerge/>
          </w:tcPr>
          <w:p w14:paraId="08B7124E" w14:textId="77777777" w:rsidR="00454A29" w:rsidRDefault="00454A29"/>
        </w:tc>
        <w:tc>
          <w:tcPr>
            <w:tcW w:w="2324" w:type="dxa"/>
            <w:vMerge/>
          </w:tcPr>
          <w:p w14:paraId="7245EB90" w14:textId="77777777" w:rsidR="00454A29" w:rsidRDefault="00454A29"/>
        </w:tc>
        <w:tc>
          <w:tcPr>
            <w:tcW w:w="1701" w:type="dxa"/>
            <w:vAlign w:val="center"/>
          </w:tcPr>
          <w:p w14:paraId="7F6ADA1C" w14:textId="77777777" w:rsidR="00454A29" w:rsidRDefault="00454A29">
            <w:pPr>
              <w:pStyle w:val="ConsPlusNormal"/>
              <w:jc w:val="center"/>
            </w:pPr>
            <w:r>
              <w:t>-</w:t>
            </w:r>
          </w:p>
        </w:tc>
        <w:tc>
          <w:tcPr>
            <w:tcW w:w="1814" w:type="dxa"/>
            <w:vAlign w:val="center"/>
          </w:tcPr>
          <w:p w14:paraId="413E6C77" w14:textId="77777777" w:rsidR="00454A29" w:rsidRDefault="00454A29">
            <w:pPr>
              <w:pStyle w:val="ConsPlusNormal"/>
            </w:pPr>
          </w:p>
        </w:tc>
        <w:tc>
          <w:tcPr>
            <w:tcW w:w="1701" w:type="dxa"/>
            <w:vAlign w:val="center"/>
          </w:tcPr>
          <w:p w14:paraId="12D3FAA8" w14:textId="77777777" w:rsidR="00454A29" w:rsidRDefault="00454A29">
            <w:pPr>
              <w:pStyle w:val="ConsPlusNormal"/>
            </w:pPr>
          </w:p>
        </w:tc>
        <w:tc>
          <w:tcPr>
            <w:tcW w:w="1701" w:type="dxa"/>
            <w:vAlign w:val="center"/>
          </w:tcPr>
          <w:p w14:paraId="6943C84F" w14:textId="77777777" w:rsidR="00454A29" w:rsidRDefault="00454A29">
            <w:pPr>
              <w:pStyle w:val="ConsPlusNormal"/>
            </w:pPr>
          </w:p>
        </w:tc>
        <w:tc>
          <w:tcPr>
            <w:tcW w:w="1814" w:type="dxa"/>
            <w:vAlign w:val="center"/>
          </w:tcPr>
          <w:p w14:paraId="68687143" w14:textId="77777777" w:rsidR="00454A29" w:rsidRDefault="00454A29">
            <w:pPr>
              <w:pStyle w:val="ConsPlusNormal"/>
            </w:pPr>
          </w:p>
        </w:tc>
      </w:tr>
      <w:tr w:rsidR="00454A29" w14:paraId="5CA69F87" w14:textId="77777777">
        <w:tc>
          <w:tcPr>
            <w:tcW w:w="567" w:type="dxa"/>
            <w:vMerge/>
          </w:tcPr>
          <w:p w14:paraId="40DA7325" w14:textId="77777777" w:rsidR="00454A29" w:rsidRDefault="00454A29"/>
        </w:tc>
        <w:tc>
          <w:tcPr>
            <w:tcW w:w="3345" w:type="dxa"/>
            <w:vMerge/>
          </w:tcPr>
          <w:p w14:paraId="17802936" w14:textId="77777777" w:rsidR="00454A29" w:rsidRDefault="00454A29"/>
        </w:tc>
        <w:tc>
          <w:tcPr>
            <w:tcW w:w="1701" w:type="dxa"/>
            <w:vAlign w:val="center"/>
          </w:tcPr>
          <w:p w14:paraId="2AB9BD22" w14:textId="77777777" w:rsidR="00454A29" w:rsidRDefault="00454A29">
            <w:pPr>
              <w:pStyle w:val="ConsPlusNormal"/>
              <w:jc w:val="center"/>
            </w:pPr>
            <w:r>
              <w:t>2025</w:t>
            </w:r>
          </w:p>
        </w:tc>
        <w:tc>
          <w:tcPr>
            <w:tcW w:w="1417" w:type="dxa"/>
            <w:vMerge/>
          </w:tcPr>
          <w:p w14:paraId="329983E4" w14:textId="77777777" w:rsidR="00454A29" w:rsidRDefault="00454A29"/>
        </w:tc>
        <w:tc>
          <w:tcPr>
            <w:tcW w:w="2204" w:type="dxa"/>
            <w:vMerge/>
          </w:tcPr>
          <w:p w14:paraId="466580B1" w14:textId="77777777" w:rsidR="00454A29" w:rsidRDefault="00454A29"/>
        </w:tc>
        <w:tc>
          <w:tcPr>
            <w:tcW w:w="1417" w:type="dxa"/>
            <w:vMerge/>
          </w:tcPr>
          <w:p w14:paraId="3F06EF5A" w14:textId="77777777" w:rsidR="00454A29" w:rsidRDefault="00454A29"/>
        </w:tc>
        <w:tc>
          <w:tcPr>
            <w:tcW w:w="2324" w:type="dxa"/>
            <w:vMerge/>
          </w:tcPr>
          <w:p w14:paraId="08191C80" w14:textId="77777777" w:rsidR="00454A29" w:rsidRDefault="00454A29"/>
        </w:tc>
        <w:tc>
          <w:tcPr>
            <w:tcW w:w="1701" w:type="dxa"/>
            <w:vAlign w:val="center"/>
          </w:tcPr>
          <w:p w14:paraId="466714F2" w14:textId="77777777" w:rsidR="00454A29" w:rsidRDefault="00454A29">
            <w:pPr>
              <w:pStyle w:val="ConsPlusNormal"/>
              <w:jc w:val="center"/>
            </w:pPr>
            <w:r>
              <w:t>-</w:t>
            </w:r>
          </w:p>
        </w:tc>
        <w:tc>
          <w:tcPr>
            <w:tcW w:w="1814" w:type="dxa"/>
            <w:vAlign w:val="center"/>
          </w:tcPr>
          <w:p w14:paraId="7B9B5576" w14:textId="77777777" w:rsidR="00454A29" w:rsidRDefault="00454A29">
            <w:pPr>
              <w:pStyle w:val="ConsPlusNormal"/>
            </w:pPr>
          </w:p>
        </w:tc>
        <w:tc>
          <w:tcPr>
            <w:tcW w:w="1701" w:type="dxa"/>
            <w:vAlign w:val="center"/>
          </w:tcPr>
          <w:p w14:paraId="112A8FFF" w14:textId="77777777" w:rsidR="00454A29" w:rsidRDefault="00454A29">
            <w:pPr>
              <w:pStyle w:val="ConsPlusNormal"/>
            </w:pPr>
          </w:p>
        </w:tc>
        <w:tc>
          <w:tcPr>
            <w:tcW w:w="1701" w:type="dxa"/>
            <w:vAlign w:val="center"/>
          </w:tcPr>
          <w:p w14:paraId="28E2F47E" w14:textId="77777777" w:rsidR="00454A29" w:rsidRDefault="00454A29">
            <w:pPr>
              <w:pStyle w:val="ConsPlusNormal"/>
            </w:pPr>
          </w:p>
        </w:tc>
        <w:tc>
          <w:tcPr>
            <w:tcW w:w="1814" w:type="dxa"/>
            <w:vAlign w:val="center"/>
          </w:tcPr>
          <w:p w14:paraId="25CA4ADC" w14:textId="77777777" w:rsidR="00454A29" w:rsidRDefault="00454A29">
            <w:pPr>
              <w:pStyle w:val="ConsPlusNormal"/>
            </w:pPr>
          </w:p>
        </w:tc>
      </w:tr>
      <w:tr w:rsidR="00454A29" w14:paraId="46A7F980" w14:textId="77777777">
        <w:tc>
          <w:tcPr>
            <w:tcW w:w="21706" w:type="dxa"/>
            <w:gridSpan w:val="12"/>
            <w:vAlign w:val="center"/>
          </w:tcPr>
          <w:p w14:paraId="7F42F46D" w14:textId="77777777" w:rsidR="00454A29" w:rsidRDefault="00454A29">
            <w:pPr>
              <w:pStyle w:val="ConsPlusNormal"/>
              <w:jc w:val="center"/>
            </w:pPr>
            <w:r>
              <w:t>Мероприятие 10.3.2.</w:t>
            </w:r>
          </w:p>
        </w:tc>
      </w:tr>
      <w:tr w:rsidR="00454A29" w14:paraId="53F62EFD" w14:textId="77777777">
        <w:tc>
          <w:tcPr>
            <w:tcW w:w="567" w:type="dxa"/>
            <w:vMerge w:val="restart"/>
            <w:vAlign w:val="center"/>
          </w:tcPr>
          <w:p w14:paraId="351B7FBD" w14:textId="77777777" w:rsidR="00454A29" w:rsidRDefault="00454A29">
            <w:pPr>
              <w:pStyle w:val="ConsPlusNormal"/>
            </w:pPr>
          </w:p>
        </w:tc>
        <w:tc>
          <w:tcPr>
            <w:tcW w:w="3345" w:type="dxa"/>
            <w:vMerge w:val="restart"/>
            <w:vAlign w:val="center"/>
          </w:tcPr>
          <w:p w14:paraId="7B004023" w14:textId="77777777" w:rsidR="00454A29" w:rsidRDefault="00454A29">
            <w:pPr>
              <w:pStyle w:val="ConsPlusNormal"/>
              <w:jc w:val="center"/>
            </w:pPr>
            <w:r>
              <w:t xml:space="preserve">Строительство, приобретение и реконструкция зданий </w:t>
            </w:r>
            <w:r>
              <w:lastRenderedPageBreak/>
              <w:t>дополнительного образования (софинансирование)</w:t>
            </w:r>
          </w:p>
        </w:tc>
        <w:tc>
          <w:tcPr>
            <w:tcW w:w="1701" w:type="dxa"/>
            <w:vAlign w:val="center"/>
          </w:tcPr>
          <w:p w14:paraId="53A96DAF" w14:textId="77777777" w:rsidR="00454A29" w:rsidRDefault="00454A29">
            <w:pPr>
              <w:pStyle w:val="ConsPlusNormal"/>
              <w:jc w:val="center"/>
            </w:pPr>
            <w:r>
              <w:lastRenderedPageBreak/>
              <w:t>Всего:</w:t>
            </w:r>
          </w:p>
        </w:tc>
        <w:tc>
          <w:tcPr>
            <w:tcW w:w="1417" w:type="dxa"/>
            <w:vMerge w:val="restart"/>
            <w:vAlign w:val="center"/>
          </w:tcPr>
          <w:p w14:paraId="25E1ACDD" w14:textId="77777777" w:rsidR="00454A29" w:rsidRDefault="00454A29">
            <w:pPr>
              <w:pStyle w:val="ConsPlusNormal"/>
              <w:jc w:val="center"/>
            </w:pPr>
            <w:r>
              <w:t>х</w:t>
            </w:r>
          </w:p>
        </w:tc>
        <w:tc>
          <w:tcPr>
            <w:tcW w:w="2204" w:type="dxa"/>
            <w:vMerge w:val="restart"/>
            <w:vAlign w:val="center"/>
          </w:tcPr>
          <w:p w14:paraId="5DB16F67" w14:textId="77777777" w:rsidR="00454A29" w:rsidRDefault="00454A29">
            <w:pPr>
              <w:pStyle w:val="ConsPlusNormal"/>
              <w:jc w:val="center"/>
            </w:pPr>
            <w:r>
              <w:t>х</w:t>
            </w:r>
          </w:p>
        </w:tc>
        <w:tc>
          <w:tcPr>
            <w:tcW w:w="1417" w:type="dxa"/>
            <w:vMerge w:val="restart"/>
            <w:vAlign w:val="center"/>
          </w:tcPr>
          <w:p w14:paraId="7B0BA971" w14:textId="77777777" w:rsidR="00454A29" w:rsidRDefault="00454A29">
            <w:pPr>
              <w:pStyle w:val="ConsPlusNormal"/>
              <w:jc w:val="center"/>
            </w:pPr>
            <w:r>
              <w:t>0</w:t>
            </w:r>
          </w:p>
        </w:tc>
        <w:tc>
          <w:tcPr>
            <w:tcW w:w="2324" w:type="dxa"/>
            <w:vMerge w:val="restart"/>
            <w:vAlign w:val="center"/>
          </w:tcPr>
          <w:p w14:paraId="09704AE4" w14:textId="77777777" w:rsidR="00454A29" w:rsidRDefault="00454A29">
            <w:pPr>
              <w:pStyle w:val="ConsPlusNormal"/>
              <w:jc w:val="center"/>
            </w:pPr>
            <w:r>
              <w:t>х</w:t>
            </w:r>
          </w:p>
        </w:tc>
        <w:tc>
          <w:tcPr>
            <w:tcW w:w="1701" w:type="dxa"/>
            <w:vAlign w:val="center"/>
          </w:tcPr>
          <w:p w14:paraId="33F5C39A" w14:textId="77777777" w:rsidR="00454A29" w:rsidRDefault="00454A29">
            <w:pPr>
              <w:pStyle w:val="ConsPlusNormal"/>
            </w:pPr>
          </w:p>
        </w:tc>
        <w:tc>
          <w:tcPr>
            <w:tcW w:w="1814" w:type="dxa"/>
            <w:vAlign w:val="center"/>
          </w:tcPr>
          <w:p w14:paraId="765DBC50" w14:textId="77777777" w:rsidR="00454A29" w:rsidRDefault="00454A29">
            <w:pPr>
              <w:pStyle w:val="ConsPlusNormal"/>
              <w:jc w:val="center"/>
            </w:pPr>
            <w:r>
              <w:t>-</w:t>
            </w:r>
          </w:p>
        </w:tc>
        <w:tc>
          <w:tcPr>
            <w:tcW w:w="1701" w:type="dxa"/>
            <w:vAlign w:val="center"/>
          </w:tcPr>
          <w:p w14:paraId="050E534F" w14:textId="77777777" w:rsidR="00454A29" w:rsidRDefault="00454A29">
            <w:pPr>
              <w:pStyle w:val="ConsPlusNormal"/>
              <w:jc w:val="center"/>
            </w:pPr>
            <w:r>
              <w:t>-</w:t>
            </w:r>
          </w:p>
        </w:tc>
        <w:tc>
          <w:tcPr>
            <w:tcW w:w="1701" w:type="dxa"/>
            <w:vAlign w:val="center"/>
          </w:tcPr>
          <w:p w14:paraId="119EB620" w14:textId="77777777" w:rsidR="00454A29" w:rsidRDefault="00454A29">
            <w:pPr>
              <w:pStyle w:val="ConsPlusNormal"/>
              <w:jc w:val="center"/>
            </w:pPr>
            <w:r>
              <w:t>-</w:t>
            </w:r>
          </w:p>
        </w:tc>
        <w:tc>
          <w:tcPr>
            <w:tcW w:w="1814" w:type="dxa"/>
            <w:vAlign w:val="center"/>
          </w:tcPr>
          <w:p w14:paraId="10BD947D" w14:textId="77777777" w:rsidR="00454A29" w:rsidRDefault="00454A29">
            <w:pPr>
              <w:pStyle w:val="ConsPlusNormal"/>
              <w:jc w:val="center"/>
            </w:pPr>
            <w:r>
              <w:t>-</w:t>
            </w:r>
          </w:p>
        </w:tc>
      </w:tr>
      <w:tr w:rsidR="00454A29" w14:paraId="51AC3A8C" w14:textId="77777777">
        <w:tc>
          <w:tcPr>
            <w:tcW w:w="567" w:type="dxa"/>
            <w:vMerge/>
          </w:tcPr>
          <w:p w14:paraId="267586DD" w14:textId="77777777" w:rsidR="00454A29" w:rsidRDefault="00454A29"/>
        </w:tc>
        <w:tc>
          <w:tcPr>
            <w:tcW w:w="3345" w:type="dxa"/>
            <w:vMerge/>
          </w:tcPr>
          <w:p w14:paraId="05C395CB" w14:textId="77777777" w:rsidR="00454A29" w:rsidRDefault="00454A29"/>
        </w:tc>
        <w:tc>
          <w:tcPr>
            <w:tcW w:w="1701" w:type="dxa"/>
            <w:vAlign w:val="center"/>
          </w:tcPr>
          <w:p w14:paraId="3B56477E" w14:textId="77777777" w:rsidR="00454A29" w:rsidRDefault="00454A29">
            <w:pPr>
              <w:pStyle w:val="ConsPlusNormal"/>
              <w:jc w:val="center"/>
            </w:pPr>
            <w:r>
              <w:t>2018</w:t>
            </w:r>
          </w:p>
        </w:tc>
        <w:tc>
          <w:tcPr>
            <w:tcW w:w="1417" w:type="dxa"/>
            <w:vMerge/>
          </w:tcPr>
          <w:p w14:paraId="78016FD5" w14:textId="77777777" w:rsidR="00454A29" w:rsidRDefault="00454A29"/>
        </w:tc>
        <w:tc>
          <w:tcPr>
            <w:tcW w:w="2204" w:type="dxa"/>
            <w:vMerge/>
          </w:tcPr>
          <w:p w14:paraId="6A2C2E05" w14:textId="77777777" w:rsidR="00454A29" w:rsidRDefault="00454A29"/>
        </w:tc>
        <w:tc>
          <w:tcPr>
            <w:tcW w:w="1417" w:type="dxa"/>
            <w:vMerge/>
          </w:tcPr>
          <w:p w14:paraId="3BEE6888" w14:textId="77777777" w:rsidR="00454A29" w:rsidRDefault="00454A29"/>
        </w:tc>
        <w:tc>
          <w:tcPr>
            <w:tcW w:w="2324" w:type="dxa"/>
            <w:vMerge/>
          </w:tcPr>
          <w:p w14:paraId="442D06C4" w14:textId="77777777" w:rsidR="00454A29" w:rsidRDefault="00454A29"/>
        </w:tc>
        <w:tc>
          <w:tcPr>
            <w:tcW w:w="1701" w:type="dxa"/>
            <w:vAlign w:val="center"/>
          </w:tcPr>
          <w:p w14:paraId="0E69737C" w14:textId="77777777" w:rsidR="00454A29" w:rsidRDefault="00454A29">
            <w:pPr>
              <w:pStyle w:val="ConsPlusNormal"/>
            </w:pPr>
          </w:p>
        </w:tc>
        <w:tc>
          <w:tcPr>
            <w:tcW w:w="1814" w:type="dxa"/>
            <w:vAlign w:val="center"/>
          </w:tcPr>
          <w:p w14:paraId="7E800D32" w14:textId="77777777" w:rsidR="00454A29" w:rsidRDefault="00454A29">
            <w:pPr>
              <w:pStyle w:val="ConsPlusNormal"/>
            </w:pPr>
          </w:p>
        </w:tc>
        <w:tc>
          <w:tcPr>
            <w:tcW w:w="1701" w:type="dxa"/>
            <w:vAlign w:val="center"/>
          </w:tcPr>
          <w:p w14:paraId="11873D5D" w14:textId="77777777" w:rsidR="00454A29" w:rsidRDefault="00454A29">
            <w:pPr>
              <w:pStyle w:val="ConsPlusNormal"/>
            </w:pPr>
          </w:p>
        </w:tc>
        <w:tc>
          <w:tcPr>
            <w:tcW w:w="1701" w:type="dxa"/>
            <w:vAlign w:val="center"/>
          </w:tcPr>
          <w:p w14:paraId="0C49D88D" w14:textId="77777777" w:rsidR="00454A29" w:rsidRDefault="00454A29">
            <w:pPr>
              <w:pStyle w:val="ConsPlusNormal"/>
            </w:pPr>
          </w:p>
        </w:tc>
        <w:tc>
          <w:tcPr>
            <w:tcW w:w="1814" w:type="dxa"/>
            <w:vAlign w:val="center"/>
          </w:tcPr>
          <w:p w14:paraId="080562CE" w14:textId="77777777" w:rsidR="00454A29" w:rsidRDefault="00454A29">
            <w:pPr>
              <w:pStyle w:val="ConsPlusNormal"/>
            </w:pPr>
          </w:p>
        </w:tc>
      </w:tr>
      <w:tr w:rsidR="00454A29" w14:paraId="2C1AB083" w14:textId="77777777">
        <w:tc>
          <w:tcPr>
            <w:tcW w:w="567" w:type="dxa"/>
            <w:vMerge/>
          </w:tcPr>
          <w:p w14:paraId="574EF229" w14:textId="77777777" w:rsidR="00454A29" w:rsidRDefault="00454A29"/>
        </w:tc>
        <w:tc>
          <w:tcPr>
            <w:tcW w:w="3345" w:type="dxa"/>
            <w:vMerge/>
          </w:tcPr>
          <w:p w14:paraId="0AACFEEA" w14:textId="77777777" w:rsidR="00454A29" w:rsidRDefault="00454A29"/>
        </w:tc>
        <w:tc>
          <w:tcPr>
            <w:tcW w:w="1701" w:type="dxa"/>
            <w:vAlign w:val="center"/>
          </w:tcPr>
          <w:p w14:paraId="29BC1FB1" w14:textId="77777777" w:rsidR="00454A29" w:rsidRDefault="00454A29">
            <w:pPr>
              <w:pStyle w:val="ConsPlusNormal"/>
              <w:jc w:val="center"/>
            </w:pPr>
            <w:r>
              <w:t>2019</w:t>
            </w:r>
          </w:p>
        </w:tc>
        <w:tc>
          <w:tcPr>
            <w:tcW w:w="1417" w:type="dxa"/>
            <w:vMerge/>
          </w:tcPr>
          <w:p w14:paraId="3118841F" w14:textId="77777777" w:rsidR="00454A29" w:rsidRDefault="00454A29"/>
        </w:tc>
        <w:tc>
          <w:tcPr>
            <w:tcW w:w="2204" w:type="dxa"/>
            <w:vMerge/>
          </w:tcPr>
          <w:p w14:paraId="1491634B" w14:textId="77777777" w:rsidR="00454A29" w:rsidRDefault="00454A29"/>
        </w:tc>
        <w:tc>
          <w:tcPr>
            <w:tcW w:w="1417" w:type="dxa"/>
            <w:vMerge/>
          </w:tcPr>
          <w:p w14:paraId="289AF968" w14:textId="77777777" w:rsidR="00454A29" w:rsidRDefault="00454A29"/>
        </w:tc>
        <w:tc>
          <w:tcPr>
            <w:tcW w:w="2324" w:type="dxa"/>
            <w:vMerge/>
          </w:tcPr>
          <w:p w14:paraId="5C5ED75B" w14:textId="77777777" w:rsidR="00454A29" w:rsidRDefault="00454A29"/>
        </w:tc>
        <w:tc>
          <w:tcPr>
            <w:tcW w:w="1701" w:type="dxa"/>
            <w:vAlign w:val="center"/>
          </w:tcPr>
          <w:p w14:paraId="3D78B053" w14:textId="77777777" w:rsidR="00454A29" w:rsidRDefault="00454A29">
            <w:pPr>
              <w:pStyle w:val="ConsPlusNormal"/>
            </w:pPr>
          </w:p>
        </w:tc>
        <w:tc>
          <w:tcPr>
            <w:tcW w:w="1814" w:type="dxa"/>
            <w:vAlign w:val="center"/>
          </w:tcPr>
          <w:p w14:paraId="5A113A11" w14:textId="77777777" w:rsidR="00454A29" w:rsidRDefault="00454A29">
            <w:pPr>
              <w:pStyle w:val="ConsPlusNormal"/>
            </w:pPr>
          </w:p>
        </w:tc>
        <w:tc>
          <w:tcPr>
            <w:tcW w:w="1701" w:type="dxa"/>
            <w:vAlign w:val="center"/>
          </w:tcPr>
          <w:p w14:paraId="61ED76D0" w14:textId="77777777" w:rsidR="00454A29" w:rsidRDefault="00454A29">
            <w:pPr>
              <w:pStyle w:val="ConsPlusNormal"/>
            </w:pPr>
          </w:p>
        </w:tc>
        <w:tc>
          <w:tcPr>
            <w:tcW w:w="1701" w:type="dxa"/>
            <w:vAlign w:val="center"/>
          </w:tcPr>
          <w:p w14:paraId="6DF40531" w14:textId="77777777" w:rsidR="00454A29" w:rsidRDefault="00454A29">
            <w:pPr>
              <w:pStyle w:val="ConsPlusNormal"/>
            </w:pPr>
          </w:p>
        </w:tc>
        <w:tc>
          <w:tcPr>
            <w:tcW w:w="1814" w:type="dxa"/>
            <w:vAlign w:val="center"/>
          </w:tcPr>
          <w:p w14:paraId="45781DC4" w14:textId="77777777" w:rsidR="00454A29" w:rsidRDefault="00454A29">
            <w:pPr>
              <w:pStyle w:val="ConsPlusNormal"/>
            </w:pPr>
          </w:p>
        </w:tc>
      </w:tr>
      <w:tr w:rsidR="00454A29" w14:paraId="56EC0CC9" w14:textId="77777777">
        <w:tc>
          <w:tcPr>
            <w:tcW w:w="567" w:type="dxa"/>
            <w:vMerge/>
          </w:tcPr>
          <w:p w14:paraId="16F24FEF" w14:textId="77777777" w:rsidR="00454A29" w:rsidRDefault="00454A29"/>
        </w:tc>
        <w:tc>
          <w:tcPr>
            <w:tcW w:w="3345" w:type="dxa"/>
            <w:vMerge/>
          </w:tcPr>
          <w:p w14:paraId="68F13C18" w14:textId="77777777" w:rsidR="00454A29" w:rsidRDefault="00454A29"/>
        </w:tc>
        <w:tc>
          <w:tcPr>
            <w:tcW w:w="1701" w:type="dxa"/>
            <w:vAlign w:val="center"/>
          </w:tcPr>
          <w:p w14:paraId="099B4E5F" w14:textId="77777777" w:rsidR="00454A29" w:rsidRDefault="00454A29">
            <w:pPr>
              <w:pStyle w:val="ConsPlusNormal"/>
              <w:jc w:val="center"/>
            </w:pPr>
            <w:r>
              <w:t>2020</w:t>
            </w:r>
          </w:p>
        </w:tc>
        <w:tc>
          <w:tcPr>
            <w:tcW w:w="1417" w:type="dxa"/>
            <w:vMerge/>
          </w:tcPr>
          <w:p w14:paraId="261A4A56" w14:textId="77777777" w:rsidR="00454A29" w:rsidRDefault="00454A29"/>
        </w:tc>
        <w:tc>
          <w:tcPr>
            <w:tcW w:w="2204" w:type="dxa"/>
            <w:vMerge/>
          </w:tcPr>
          <w:p w14:paraId="59A28514" w14:textId="77777777" w:rsidR="00454A29" w:rsidRDefault="00454A29"/>
        </w:tc>
        <w:tc>
          <w:tcPr>
            <w:tcW w:w="1417" w:type="dxa"/>
            <w:vMerge/>
          </w:tcPr>
          <w:p w14:paraId="4AD8472D" w14:textId="77777777" w:rsidR="00454A29" w:rsidRDefault="00454A29"/>
        </w:tc>
        <w:tc>
          <w:tcPr>
            <w:tcW w:w="2324" w:type="dxa"/>
            <w:vMerge/>
          </w:tcPr>
          <w:p w14:paraId="662F6D4D" w14:textId="77777777" w:rsidR="00454A29" w:rsidRDefault="00454A29"/>
        </w:tc>
        <w:tc>
          <w:tcPr>
            <w:tcW w:w="1701" w:type="dxa"/>
            <w:vAlign w:val="center"/>
          </w:tcPr>
          <w:p w14:paraId="448108A7" w14:textId="77777777" w:rsidR="00454A29" w:rsidRDefault="00454A29">
            <w:pPr>
              <w:pStyle w:val="ConsPlusNormal"/>
            </w:pPr>
          </w:p>
        </w:tc>
        <w:tc>
          <w:tcPr>
            <w:tcW w:w="1814" w:type="dxa"/>
            <w:vAlign w:val="center"/>
          </w:tcPr>
          <w:p w14:paraId="2535B4CE" w14:textId="77777777" w:rsidR="00454A29" w:rsidRDefault="00454A29">
            <w:pPr>
              <w:pStyle w:val="ConsPlusNormal"/>
            </w:pPr>
          </w:p>
        </w:tc>
        <w:tc>
          <w:tcPr>
            <w:tcW w:w="1701" w:type="dxa"/>
            <w:vAlign w:val="center"/>
          </w:tcPr>
          <w:p w14:paraId="1865F6EA" w14:textId="77777777" w:rsidR="00454A29" w:rsidRDefault="00454A29">
            <w:pPr>
              <w:pStyle w:val="ConsPlusNormal"/>
            </w:pPr>
          </w:p>
        </w:tc>
        <w:tc>
          <w:tcPr>
            <w:tcW w:w="1701" w:type="dxa"/>
            <w:vAlign w:val="center"/>
          </w:tcPr>
          <w:p w14:paraId="1ABE2BB4" w14:textId="77777777" w:rsidR="00454A29" w:rsidRDefault="00454A29">
            <w:pPr>
              <w:pStyle w:val="ConsPlusNormal"/>
            </w:pPr>
          </w:p>
        </w:tc>
        <w:tc>
          <w:tcPr>
            <w:tcW w:w="1814" w:type="dxa"/>
            <w:vAlign w:val="center"/>
          </w:tcPr>
          <w:p w14:paraId="0C9F50D1" w14:textId="77777777" w:rsidR="00454A29" w:rsidRDefault="00454A29">
            <w:pPr>
              <w:pStyle w:val="ConsPlusNormal"/>
            </w:pPr>
          </w:p>
        </w:tc>
      </w:tr>
      <w:tr w:rsidR="00454A29" w14:paraId="1EE69389" w14:textId="77777777">
        <w:tc>
          <w:tcPr>
            <w:tcW w:w="567" w:type="dxa"/>
            <w:vMerge/>
          </w:tcPr>
          <w:p w14:paraId="38B350F7" w14:textId="77777777" w:rsidR="00454A29" w:rsidRDefault="00454A29"/>
        </w:tc>
        <w:tc>
          <w:tcPr>
            <w:tcW w:w="3345" w:type="dxa"/>
            <w:vMerge/>
          </w:tcPr>
          <w:p w14:paraId="5235D451" w14:textId="77777777" w:rsidR="00454A29" w:rsidRDefault="00454A29"/>
        </w:tc>
        <w:tc>
          <w:tcPr>
            <w:tcW w:w="1701" w:type="dxa"/>
            <w:vAlign w:val="center"/>
          </w:tcPr>
          <w:p w14:paraId="761F174A" w14:textId="77777777" w:rsidR="00454A29" w:rsidRDefault="00454A29">
            <w:pPr>
              <w:pStyle w:val="ConsPlusNormal"/>
              <w:jc w:val="center"/>
            </w:pPr>
            <w:r>
              <w:t>2021</w:t>
            </w:r>
          </w:p>
        </w:tc>
        <w:tc>
          <w:tcPr>
            <w:tcW w:w="1417" w:type="dxa"/>
            <w:vMerge/>
          </w:tcPr>
          <w:p w14:paraId="21CD795B" w14:textId="77777777" w:rsidR="00454A29" w:rsidRDefault="00454A29"/>
        </w:tc>
        <w:tc>
          <w:tcPr>
            <w:tcW w:w="2204" w:type="dxa"/>
            <w:vMerge/>
          </w:tcPr>
          <w:p w14:paraId="62B55B1E" w14:textId="77777777" w:rsidR="00454A29" w:rsidRDefault="00454A29"/>
        </w:tc>
        <w:tc>
          <w:tcPr>
            <w:tcW w:w="1417" w:type="dxa"/>
            <w:vMerge/>
          </w:tcPr>
          <w:p w14:paraId="62757D8A" w14:textId="77777777" w:rsidR="00454A29" w:rsidRDefault="00454A29"/>
        </w:tc>
        <w:tc>
          <w:tcPr>
            <w:tcW w:w="2324" w:type="dxa"/>
            <w:vMerge/>
          </w:tcPr>
          <w:p w14:paraId="505E09B3" w14:textId="77777777" w:rsidR="00454A29" w:rsidRDefault="00454A29"/>
        </w:tc>
        <w:tc>
          <w:tcPr>
            <w:tcW w:w="1701" w:type="dxa"/>
            <w:vAlign w:val="center"/>
          </w:tcPr>
          <w:p w14:paraId="42A6E774" w14:textId="77777777" w:rsidR="00454A29" w:rsidRDefault="00454A29">
            <w:pPr>
              <w:pStyle w:val="ConsPlusNormal"/>
            </w:pPr>
          </w:p>
        </w:tc>
        <w:tc>
          <w:tcPr>
            <w:tcW w:w="1814" w:type="dxa"/>
            <w:vAlign w:val="center"/>
          </w:tcPr>
          <w:p w14:paraId="180A154D" w14:textId="77777777" w:rsidR="00454A29" w:rsidRDefault="00454A29">
            <w:pPr>
              <w:pStyle w:val="ConsPlusNormal"/>
            </w:pPr>
          </w:p>
        </w:tc>
        <w:tc>
          <w:tcPr>
            <w:tcW w:w="1701" w:type="dxa"/>
            <w:vAlign w:val="center"/>
          </w:tcPr>
          <w:p w14:paraId="55DFDB60" w14:textId="77777777" w:rsidR="00454A29" w:rsidRDefault="00454A29">
            <w:pPr>
              <w:pStyle w:val="ConsPlusNormal"/>
            </w:pPr>
          </w:p>
        </w:tc>
        <w:tc>
          <w:tcPr>
            <w:tcW w:w="1701" w:type="dxa"/>
            <w:vAlign w:val="center"/>
          </w:tcPr>
          <w:p w14:paraId="07EFD8C1" w14:textId="77777777" w:rsidR="00454A29" w:rsidRDefault="00454A29">
            <w:pPr>
              <w:pStyle w:val="ConsPlusNormal"/>
            </w:pPr>
          </w:p>
        </w:tc>
        <w:tc>
          <w:tcPr>
            <w:tcW w:w="1814" w:type="dxa"/>
            <w:vAlign w:val="center"/>
          </w:tcPr>
          <w:p w14:paraId="175B26A7" w14:textId="77777777" w:rsidR="00454A29" w:rsidRDefault="00454A29">
            <w:pPr>
              <w:pStyle w:val="ConsPlusNormal"/>
            </w:pPr>
          </w:p>
        </w:tc>
      </w:tr>
      <w:tr w:rsidR="00454A29" w14:paraId="4DA053A9" w14:textId="77777777">
        <w:tc>
          <w:tcPr>
            <w:tcW w:w="567" w:type="dxa"/>
            <w:vMerge/>
          </w:tcPr>
          <w:p w14:paraId="0EB6B176" w14:textId="77777777" w:rsidR="00454A29" w:rsidRDefault="00454A29"/>
        </w:tc>
        <w:tc>
          <w:tcPr>
            <w:tcW w:w="3345" w:type="dxa"/>
            <w:vMerge/>
          </w:tcPr>
          <w:p w14:paraId="11C2A24F" w14:textId="77777777" w:rsidR="00454A29" w:rsidRDefault="00454A29"/>
        </w:tc>
        <w:tc>
          <w:tcPr>
            <w:tcW w:w="1701" w:type="dxa"/>
            <w:vAlign w:val="center"/>
          </w:tcPr>
          <w:p w14:paraId="72D96B24" w14:textId="77777777" w:rsidR="00454A29" w:rsidRDefault="00454A29">
            <w:pPr>
              <w:pStyle w:val="ConsPlusNormal"/>
              <w:jc w:val="center"/>
            </w:pPr>
            <w:r>
              <w:t>2022</w:t>
            </w:r>
          </w:p>
        </w:tc>
        <w:tc>
          <w:tcPr>
            <w:tcW w:w="1417" w:type="dxa"/>
            <w:vMerge/>
          </w:tcPr>
          <w:p w14:paraId="19F037FF" w14:textId="77777777" w:rsidR="00454A29" w:rsidRDefault="00454A29"/>
        </w:tc>
        <w:tc>
          <w:tcPr>
            <w:tcW w:w="2204" w:type="dxa"/>
            <w:vMerge/>
          </w:tcPr>
          <w:p w14:paraId="2FA0E51D" w14:textId="77777777" w:rsidR="00454A29" w:rsidRDefault="00454A29"/>
        </w:tc>
        <w:tc>
          <w:tcPr>
            <w:tcW w:w="1417" w:type="dxa"/>
            <w:vMerge/>
          </w:tcPr>
          <w:p w14:paraId="4A825B35" w14:textId="77777777" w:rsidR="00454A29" w:rsidRDefault="00454A29"/>
        </w:tc>
        <w:tc>
          <w:tcPr>
            <w:tcW w:w="2324" w:type="dxa"/>
            <w:vMerge/>
          </w:tcPr>
          <w:p w14:paraId="05F1D9A6" w14:textId="77777777" w:rsidR="00454A29" w:rsidRDefault="00454A29"/>
        </w:tc>
        <w:tc>
          <w:tcPr>
            <w:tcW w:w="1701" w:type="dxa"/>
            <w:vAlign w:val="center"/>
          </w:tcPr>
          <w:p w14:paraId="2A375D2B" w14:textId="77777777" w:rsidR="00454A29" w:rsidRDefault="00454A29">
            <w:pPr>
              <w:pStyle w:val="ConsPlusNormal"/>
            </w:pPr>
          </w:p>
        </w:tc>
        <w:tc>
          <w:tcPr>
            <w:tcW w:w="1814" w:type="dxa"/>
            <w:vAlign w:val="center"/>
          </w:tcPr>
          <w:p w14:paraId="28FE0660" w14:textId="77777777" w:rsidR="00454A29" w:rsidRDefault="00454A29">
            <w:pPr>
              <w:pStyle w:val="ConsPlusNormal"/>
            </w:pPr>
          </w:p>
        </w:tc>
        <w:tc>
          <w:tcPr>
            <w:tcW w:w="1701" w:type="dxa"/>
            <w:vAlign w:val="center"/>
          </w:tcPr>
          <w:p w14:paraId="34475CDA" w14:textId="77777777" w:rsidR="00454A29" w:rsidRDefault="00454A29">
            <w:pPr>
              <w:pStyle w:val="ConsPlusNormal"/>
            </w:pPr>
          </w:p>
        </w:tc>
        <w:tc>
          <w:tcPr>
            <w:tcW w:w="1701" w:type="dxa"/>
            <w:vAlign w:val="center"/>
          </w:tcPr>
          <w:p w14:paraId="30C1F814" w14:textId="77777777" w:rsidR="00454A29" w:rsidRDefault="00454A29">
            <w:pPr>
              <w:pStyle w:val="ConsPlusNormal"/>
            </w:pPr>
          </w:p>
        </w:tc>
        <w:tc>
          <w:tcPr>
            <w:tcW w:w="1814" w:type="dxa"/>
            <w:vAlign w:val="center"/>
          </w:tcPr>
          <w:p w14:paraId="1C56EBCA" w14:textId="77777777" w:rsidR="00454A29" w:rsidRDefault="00454A29">
            <w:pPr>
              <w:pStyle w:val="ConsPlusNormal"/>
            </w:pPr>
          </w:p>
        </w:tc>
      </w:tr>
      <w:tr w:rsidR="00454A29" w14:paraId="4FECD3E4" w14:textId="77777777">
        <w:tc>
          <w:tcPr>
            <w:tcW w:w="567" w:type="dxa"/>
            <w:vMerge/>
          </w:tcPr>
          <w:p w14:paraId="1AB66BD7" w14:textId="77777777" w:rsidR="00454A29" w:rsidRDefault="00454A29"/>
        </w:tc>
        <w:tc>
          <w:tcPr>
            <w:tcW w:w="3345" w:type="dxa"/>
            <w:vMerge/>
          </w:tcPr>
          <w:p w14:paraId="6353CABB" w14:textId="77777777" w:rsidR="00454A29" w:rsidRDefault="00454A29"/>
        </w:tc>
        <w:tc>
          <w:tcPr>
            <w:tcW w:w="1701" w:type="dxa"/>
            <w:vAlign w:val="center"/>
          </w:tcPr>
          <w:p w14:paraId="2095478B" w14:textId="77777777" w:rsidR="00454A29" w:rsidRDefault="00454A29">
            <w:pPr>
              <w:pStyle w:val="ConsPlusNormal"/>
              <w:jc w:val="center"/>
            </w:pPr>
            <w:r>
              <w:t>2023</w:t>
            </w:r>
          </w:p>
        </w:tc>
        <w:tc>
          <w:tcPr>
            <w:tcW w:w="1417" w:type="dxa"/>
            <w:vMerge/>
          </w:tcPr>
          <w:p w14:paraId="19E670A5" w14:textId="77777777" w:rsidR="00454A29" w:rsidRDefault="00454A29"/>
        </w:tc>
        <w:tc>
          <w:tcPr>
            <w:tcW w:w="2204" w:type="dxa"/>
            <w:vMerge/>
          </w:tcPr>
          <w:p w14:paraId="387C38EB" w14:textId="77777777" w:rsidR="00454A29" w:rsidRDefault="00454A29"/>
        </w:tc>
        <w:tc>
          <w:tcPr>
            <w:tcW w:w="1417" w:type="dxa"/>
            <w:vMerge/>
          </w:tcPr>
          <w:p w14:paraId="10A05415" w14:textId="77777777" w:rsidR="00454A29" w:rsidRDefault="00454A29"/>
        </w:tc>
        <w:tc>
          <w:tcPr>
            <w:tcW w:w="2324" w:type="dxa"/>
            <w:vMerge/>
          </w:tcPr>
          <w:p w14:paraId="71C672C2" w14:textId="77777777" w:rsidR="00454A29" w:rsidRDefault="00454A29"/>
        </w:tc>
        <w:tc>
          <w:tcPr>
            <w:tcW w:w="1701" w:type="dxa"/>
            <w:vAlign w:val="center"/>
          </w:tcPr>
          <w:p w14:paraId="652D611A" w14:textId="77777777" w:rsidR="00454A29" w:rsidRDefault="00454A29">
            <w:pPr>
              <w:pStyle w:val="ConsPlusNormal"/>
            </w:pPr>
          </w:p>
        </w:tc>
        <w:tc>
          <w:tcPr>
            <w:tcW w:w="1814" w:type="dxa"/>
            <w:vAlign w:val="center"/>
          </w:tcPr>
          <w:p w14:paraId="18F3208D" w14:textId="77777777" w:rsidR="00454A29" w:rsidRDefault="00454A29">
            <w:pPr>
              <w:pStyle w:val="ConsPlusNormal"/>
            </w:pPr>
          </w:p>
        </w:tc>
        <w:tc>
          <w:tcPr>
            <w:tcW w:w="1701" w:type="dxa"/>
            <w:vAlign w:val="center"/>
          </w:tcPr>
          <w:p w14:paraId="42348F99" w14:textId="77777777" w:rsidR="00454A29" w:rsidRDefault="00454A29">
            <w:pPr>
              <w:pStyle w:val="ConsPlusNormal"/>
            </w:pPr>
          </w:p>
        </w:tc>
        <w:tc>
          <w:tcPr>
            <w:tcW w:w="1701" w:type="dxa"/>
            <w:vAlign w:val="center"/>
          </w:tcPr>
          <w:p w14:paraId="7575BA45" w14:textId="77777777" w:rsidR="00454A29" w:rsidRDefault="00454A29">
            <w:pPr>
              <w:pStyle w:val="ConsPlusNormal"/>
            </w:pPr>
          </w:p>
        </w:tc>
        <w:tc>
          <w:tcPr>
            <w:tcW w:w="1814" w:type="dxa"/>
            <w:vAlign w:val="center"/>
          </w:tcPr>
          <w:p w14:paraId="4077D32A" w14:textId="77777777" w:rsidR="00454A29" w:rsidRDefault="00454A29">
            <w:pPr>
              <w:pStyle w:val="ConsPlusNormal"/>
            </w:pPr>
          </w:p>
        </w:tc>
      </w:tr>
      <w:tr w:rsidR="00454A29" w14:paraId="27F1261C" w14:textId="77777777">
        <w:tc>
          <w:tcPr>
            <w:tcW w:w="567" w:type="dxa"/>
            <w:vMerge/>
          </w:tcPr>
          <w:p w14:paraId="4B899F4E" w14:textId="77777777" w:rsidR="00454A29" w:rsidRDefault="00454A29"/>
        </w:tc>
        <w:tc>
          <w:tcPr>
            <w:tcW w:w="3345" w:type="dxa"/>
            <w:vMerge/>
          </w:tcPr>
          <w:p w14:paraId="79B14621" w14:textId="77777777" w:rsidR="00454A29" w:rsidRDefault="00454A29"/>
        </w:tc>
        <w:tc>
          <w:tcPr>
            <w:tcW w:w="1701" w:type="dxa"/>
            <w:vAlign w:val="center"/>
          </w:tcPr>
          <w:p w14:paraId="20DC552E" w14:textId="77777777" w:rsidR="00454A29" w:rsidRDefault="00454A29">
            <w:pPr>
              <w:pStyle w:val="ConsPlusNormal"/>
              <w:jc w:val="center"/>
            </w:pPr>
            <w:r>
              <w:t>2024</w:t>
            </w:r>
          </w:p>
        </w:tc>
        <w:tc>
          <w:tcPr>
            <w:tcW w:w="1417" w:type="dxa"/>
            <w:vMerge/>
          </w:tcPr>
          <w:p w14:paraId="3FBC7C7C" w14:textId="77777777" w:rsidR="00454A29" w:rsidRDefault="00454A29"/>
        </w:tc>
        <w:tc>
          <w:tcPr>
            <w:tcW w:w="2204" w:type="dxa"/>
            <w:vMerge/>
          </w:tcPr>
          <w:p w14:paraId="3D00726B" w14:textId="77777777" w:rsidR="00454A29" w:rsidRDefault="00454A29"/>
        </w:tc>
        <w:tc>
          <w:tcPr>
            <w:tcW w:w="1417" w:type="dxa"/>
            <w:vMerge/>
          </w:tcPr>
          <w:p w14:paraId="553256C0" w14:textId="77777777" w:rsidR="00454A29" w:rsidRDefault="00454A29"/>
        </w:tc>
        <w:tc>
          <w:tcPr>
            <w:tcW w:w="2324" w:type="dxa"/>
            <w:vMerge/>
          </w:tcPr>
          <w:p w14:paraId="0736E277" w14:textId="77777777" w:rsidR="00454A29" w:rsidRDefault="00454A29"/>
        </w:tc>
        <w:tc>
          <w:tcPr>
            <w:tcW w:w="1701" w:type="dxa"/>
            <w:vAlign w:val="center"/>
          </w:tcPr>
          <w:p w14:paraId="5F9A931F" w14:textId="77777777" w:rsidR="00454A29" w:rsidRDefault="00454A29">
            <w:pPr>
              <w:pStyle w:val="ConsPlusNormal"/>
            </w:pPr>
          </w:p>
        </w:tc>
        <w:tc>
          <w:tcPr>
            <w:tcW w:w="1814" w:type="dxa"/>
            <w:vAlign w:val="center"/>
          </w:tcPr>
          <w:p w14:paraId="480AE653" w14:textId="77777777" w:rsidR="00454A29" w:rsidRDefault="00454A29">
            <w:pPr>
              <w:pStyle w:val="ConsPlusNormal"/>
            </w:pPr>
          </w:p>
        </w:tc>
        <w:tc>
          <w:tcPr>
            <w:tcW w:w="1701" w:type="dxa"/>
            <w:vAlign w:val="center"/>
          </w:tcPr>
          <w:p w14:paraId="6532E4BA" w14:textId="77777777" w:rsidR="00454A29" w:rsidRDefault="00454A29">
            <w:pPr>
              <w:pStyle w:val="ConsPlusNormal"/>
            </w:pPr>
          </w:p>
        </w:tc>
        <w:tc>
          <w:tcPr>
            <w:tcW w:w="1701" w:type="dxa"/>
            <w:vAlign w:val="center"/>
          </w:tcPr>
          <w:p w14:paraId="6C7DA6F5" w14:textId="77777777" w:rsidR="00454A29" w:rsidRDefault="00454A29">
            <w:pPr>
              <w:pStyle w:val="ConsPlusNormal"/>
            </w:pPr>
          </w:p>
        </w:tc>
        <w:tc>
          <w:tcPr>
            <w:tcW w:w="1814" w:type="dxa"/>
            <w:vAlign w:val="center"/>
          </w:tcPr>
          <w:p w14:paraId="2B7AFAB8" w14:textId="77777777" w:rsidR="00454A29" w:rsidRDefault="00454A29">
            <w:pPr>
              <w:pStyle w:val="ConsPlusNormal"/>
            </w:pPr>
          </w:p>
        </w:tc>
      </w:tr>
      <w:tr w:rsidR="00454A29" w14:paraId="1693F4B6" w14:textId="77777777">
        <w:tc>
          <w:tcPr>
            <w:tcW w:w="567" w:type="dxa"/>
            <w:vMerge/>
          </w:tcPr>
          <w:p w14:paraId="694FBBAA" w14:textId="77777777" w:rsidR="00454A29" w:rsidRDefault="00454A29"/>
        </w:tc>
        <w:tc>
          <w:tcPr>
            <w:tcW w:w="3345" w:type="dxa"/>
            <w:vMerge/>
          </w:tcPr>
          <w:p w14:paraId="32DF4B24" w14:textId="77777777" w:rsidR="00454A29" w:rsidRDefault="00454A29"/>
        </w:tc>
        <w:tc>
          <w:tcPr>
            <w:tcW w:w="1701" w:type="dxa"/>
            <w:vAlign w:val="center"/>
          </w:tcPr>
          <w:p w14:paraId="3B526A83" w14:textId="77777777" w:rsidR="00454A29" w:rsidRDefault="00454A29">
            <w:pPr>
              <w:pStyle w:val="ConsPlusNormal"/>
              <w:jc w:val="center"/>
            </w:pPr>
            <w:r>
              <w:t>2025</w:t>
            </w:r>
          </w:p>
        </w:tc>
        <w:tc>
          <w:tcPr>
            <w:tcW w:w="1417" w:type="dxa"/>
            <w:vMerge/>
          </w:tcPr>
          <w:p w14:paraId="63CCF389" w14:textId="77777777" w:rsidR="00454A29" w:rsidRDefault="00454A29"/>
        </w:tc>
        <w:tc>
          <w:tcPr>
            <w:tcW w:w="2204" w:type="dxa"/>
            <w:vMerge/>
          </w:tcPr>
          <w:p w14:paraId="48A7C7B4" w14:textId="77777777" w:rsidR="00454A29" w:rsidRDefault="00454A29"/>
        </w:tc>
        <w:tc>
          <w:tcPr>
            <w:tcW w:w="1417" w:type="dxa"/>
            <w:vMerge/>
          </w:tcPr>
          <w:p w14:paraId="67A524AC" w14:textId="77777777" w:rsidR="00454A29" w:rsidRDefault="00454A29"/>
        </w:tc>
        <w:tc>
          <w:tcPr>
            <w:tcW w:w="2324" w:type="dxa"/>
            <w:vMerge/>
          </w:tcPr>
          <w:p w14:paraId="457CC3FC" w14:textId="77777777" w:rsidR="00454A29" w:rsidRDefault="00454A29"/>
        </w:tc>
        <w:tc>
          <w:tcPr>
            <w:tcW w:w="1701" w:type="dxa"/>
            <w:vAlign w:val="center"/>
          </w:tcPr>
          <w:p w14:paraId="5E776ACB" w14:textId="77777777" w:rsidR="00454A29" w:rsidRDefault="00454A29">
            <w:pPr>
              <w:pStyle w:val="ConsPlusNormal"/>
            </w:pPr>
          </w:p>
        </w:tc>
        <w:tc>
          <w:tcPr>
            <w:tcW w:w="1814" w:type="dxa"/>
            <w:vAlign w:val="center"/>
          </w:tcPr>
          <w:p w14:paraId="2648DC31" w14:textId="77777777" w:rsidR="00454A29" w:rsidRDefault="00454A29">
            <w:pPr>
              <w:pStyle w:val="ConsPlusNormal"/>
            </w:pPr>
          </w:p>
        </w:tc>
        <w:tc>
          <w:tcPr>
            <w:tcW w:w="1701" w:type="dxa"/>
            <w:vAlign w:val="center"/>
          </w:tcPr>
          <w:p w14:paraId="54341399" w14:textId="77777777" w:rsidR="00454A29" w:rsidRDefault="00454A29">
            <w:pPr>
              <w:pStyle w:val="ConsPlusNormal"/>
            </w:pPr>
          </w:p>
        </w:tc>
        <w:tc>
          <w:tcPr>
            <w:tcW w:w="1701" w:type="dxa"/>
            <w:vAlign w:val="center"/>
          </w:tcPr>
          <w:p w14:paraId="6CE0BF94" w14:textId="77777777" w:rsidR="00454A29" w:rsidRDefault="00454A29">
            <w:pPr>
              <w:pStyle w:val="ConsPlusNormal"/>
            </w:pPr>
          </w:p>
        </w:tc>
        <w:tc>
          <w:tcPr>
            <w:tcW w:w="1814" w:type="dxa"/>
            <w:vAlign w:val="center"/>
          </w:tcPr>
          <w:p w14:paraId="0522794B" w14:textId="77777777" w:rsidR="00454A29" w:rsidRDefault="00454A29">
            <w:pPr>
              <w:pStyle w:val="ConsPlusNormal"/>
            </w:pPr>
          </w:p>
        </w:tc>
      </w:tr>
      <w:tr w:rsidR="00454A29" w14:paraId="0B3188FA" w14:textId="77777777">
        <w:tc>
          <w:tcPr>
            <w:tcW w:w="567" w:type="dxa"/>
            <w:vMerge/>
          </w:tcPr>
          <w:p w14:paraId="451FA204" w14:textId="77777777" w:rsidR="00454A29" w:rsidRDefault="00454A29"/>
        </w:tc>
        <w:tc>
          <w:tcPr>
            <w:tcW w:w="3345" w:type="dxa"/>
            <w:vMerge/>
          </w:tcPr>
          <w:p w14:paraId="69973A42" w14:textId="77777777" w:rsidR="00454A29" w:rsidRDefault="00454A29"/>
        </w:tc>
        <w:tc>
          <w:tcPr>
            <w:tcW w:w="1701" w:type="dxa"/>
            <w:vAlign w:val="center"/>
          </w:tcPr>
          <w:p w14:paraId="69A2E8C4" w14:textId="77777777" w:rsidR="00454A29" w:rsidRDefault="00454A29">
            <w:pPr>
              <w:pStyle w:val="ConsPlusNormal"/>
              <w:jc w:val="center"/>
            </w:pPr>
            <w:r>
              <w:t>2026</w:t>
            </w:r>
          </w:p>
        </w:tc>
        <w:tc>
          <w:tcPr>
            <w:tcW w:w="1417" w:type="dxa"/>
            <w:vMerge/>
          </w:tcPr>
          <w:p w14:paraId="29C88B89" w14:textId="77777777" w:rsidR="00454A29" w:rsidRDefault="00454A29"/>
        </w:tc>
        <w:tc>
          <w:tcPr>
            <w:tcW w:w="2204" w:type="dxa"/>
            <w:vMerge/>
          </w:tcPr>
          <w:p w14:paraId="0D9DC291" w14:textId="77777777" w:rsidR="00454A29" w:rsidRDefault="00454A29"/>
        </w:tc>
        <w:tc>
          <w:tcPr>
            <w:tcW w:w="1417" w:type="dxa"/>
            <w:vMerge/>
          </w:tcPr>
          <w:p w14:paraId="783DE633" w14:textId="77777777" w:rsidR="00454A29" w:rsidRDefault="00454A29"/>
        </w:tc>
        <w:tc>
          <w:tcPr>
            <w:tcW w:w="2324" w:type="dxa"/>
            <w:vMerge/>
          </w:tcPr>
          <w:p w14:paraId="79B53533" w14:textId="77777777" w:rsidR="00454A29" w:rsidRDefault="00454A29"/>
        </w:tc>
        <w:tc>
          <w:tcPr>
            <w:tcW w:w="1701" w:type="dxa"/>
            <w:vAlign w:val="center"/>
          </w:tcPr>
          <w:p w14:paraId="37C6DD57" w14:textId="77777777" w:rsidR="00454A29" w:rsidRDefault="00454A29">
            <w:pPr>
              <w:pStyle w:val="ConsPlusNormal"/>
            </w:pPr>
          </w:p>
        </w:tc>
        <w:tc>
          <w:tcPr>
            <w:tcW w:w="1814" w:type="dxa"/>
            <w:vAlign w:val="center"/>
          </w:tcPr>
          <w:p w14:paraId="6326172A" w14:textId="77777777" w:rsidR="00454A29" w:rsidRDefault="00454A29">
            <w:pPr>
              <w:pStyle w:val="ConsPlusNormal"/>
            </w:pPr>
          </w:p>
        </w:tc>
        <w:tc>
          <w:tcPr>
            <w:tcW w:w="1701" w:type="dxa"/>
            <w:vAlign w:val="center"/>
          </w:tcPr>
          <w:p w14:paraId="475387D0" w14:textId="77777777" w:rsidR="00454A29" w:rsidRDefault="00454A29">
            <w:pPr>
              <w:pStyle w:val="ConsPlusNormal"/>
            </w:pPr>
          </w:p>
        </w:tc>
        <w:tc>
          <w:tcPr>
            <w:tcW w:w="1701" w:type="dxa"/>
            <w:vAlign w:val="center"/>
          </w:tcPr>
          <w:p w14:paraId="6A8E236E" w14:textId="77777777" w:rsidR="00454A29" w:rsidRDefault="00454A29">
            <w:pPr>
              <w:pStyle w:val="ConsPlusNormal"/>
            </w:pPr>
          </w:p>
        </w:tc>
        <w:tc>
          <w:tcPr>
            <w:tcW w:w="1814" w:type="dxa"/>
            <w:vAlign w:val="center"/>
          </w:tcPr>
          <w:p w14:paraId="69F2303D" w14:textId="77777777" w:rsidR="00454A29" w:rsidRDefault="00454A29">
            <w:pPr>
              <w:pStyle w:val="ConsPlusNormal"/>
            </w:pPr>
          </w:p>
        </w:tc>
      </w:tr>
      <w:tr w:rsidR="00454A29" w14:paraId="42DED383" w14:textId="77777777">
        <w:tc>
          <w:tcPr>
            <w:tcW w:w="21706" w:type="dxa"/>
            <w:gridSpan w:val="12"/>
            <w:vAlign w:val="center"/>
          </w:tcPr>
          <w:p w14:paraId="0660991E" w14:textId="77777777" w:rsidR="00454A29" w:rsidRDefault="00454A29">
            <w:pPr>
              <w:pStyle w:val="ConsPlusNormal"/>
              <w:jc w:val="center"/>
            </w:pPr>
            <w:r>
              <w:t>Мероприятие 10.3.3.</w:t>
            </w:r>
          </w:p>
        </w:tc>
      </w:tr>
      <w:tr w:rsidR="00454A29" w14:paraId="48A9B20F" w14:textId="77777777">
        <w:tc>
          <w:tcPr>
            <w:tcW w:w="567" w:type="dxa"/>
            <w:vMerge w:val="restart"/>
            <w:vAlign w:val="center"/>
          </w:tcPr>
          <w:p w14:paraId="79652A98" w14:textId="77777777" w:rsidR="00454A29" w:rsidRDefault="00454A29">
            <w:pPr>
              <w:pStyle w:val="ConsPlusNormal"/>
            </w:pPr>
          </w:p>
        </w:tc>
        <w:tc>
          <w:tcPr>
            <w:tcW w:w="3345" w:type="dxa"/>
            <w:vMerge w:val="restart"/>
            <w:vAlign w:val="center"/>
          </w:tcPr>
          <w:p w14:paraId="391FF989" w14:textId="77777777" w:rsidR="00454A29" w:rsidRDefault="00454A29">
            <w:pPr>
              <w:pStyle w:val="ConsPlusNormal"/>
              <w:jc w:val="center"/>
            </w:pPr>
            <w:r>
              <w:t>Строительство и (или) реконструкция объектов дополнительного образования в г. Якутске в рамках государственно-частного партнерства</w:t>
            </w:r>
          </w:p>
        </w:tc>
        <w:tc>
          <w:tcPr>
            <w:tcW w:w="1701" w:type="dxa"/>
            <w:vAlign w:val="center"/>
          </w:tcPr>
          <w:p w14:paraId="1AB4E167" w14:textId="77777777" w:rsidR="00454A29" w:rsidRDefault="00454A29">
            <w:pPr>
              <w:pStyle w:val="ConsPlusNormal"/>
              <w:jc w:val="center"/>
            </w:pPr>
            <w:r>
              <w:t>Всего:</w:t>
            </w:r>
          </w:p>
        </w:tc>
        <w:tc>
          <w:tcPr>
            <w:tcW w:w="1417" w:type="dxa"/>
            <w:vMerge w:val="restart"/>
            <w:vAlign w:val="center"/>
          </w:tcPr>
          <w:p w14:paraId="2837DDB9" w14:textId="77777777" w:rsidR="00454A29" w:rsidRDefault="00454A29">
            <w:pPr>
              <w:pStyle w:val="ConsPlusNormal"/>
              <w:jc w:val="center"/>
            </w:pPr>
            <w:r>
              <w:t>х</w:t>
            </w:r>
          </w:p>
        </w:tc>
        <w:tc>
          <w:tcPr>
            <w:tcW w:w="2204" w:type="dxa"/>
            <w:vMerge w:val="restart"/>
            <w:vAlign w:val="center"/>
          </w:tcPr>
          <w:p w14:paraId="0241C99E" w14:textId="77777777" w:rsidR="00454A29" w:rsidRDefault="00454A29">
            <w:pPr>
              <w:pStyle w:val="ConsPlusNormal"/>
              <w:jc w:val="center"/>
            </w:pPr>
            <w:r>
              <w:t>х</w:t>
            </w:r>
          </w:p>
        </w:tc>
        <w:tc>
          <w:tcPr>
            <w:tcW w:w="1417" w:type="dxa"/>
            <w:vMerge w:val="restart"/>
            <w:vAlign w:val="center"/>
          </w:tcPr>
          <w:p w14:paraId="30E069D9" w14:textId="77777777" w:rsidR="00454A29" w:rsidRDefault="00454A29">
            <w:pPr>
              <w:pStyle w:val="ConsPlusNormal"/>
              <w:jc w:val="center"/>
            </w:pPr>
            <w:r>
              <w:t>0</w:t>
            </w:r>
          </w:p>
        </w:tc>
        <w:tc>
          <w:tcPr>
            <w:tcW w:w="2324" w:type="dxa"/>
            <w:vMerge w:val="restart"/>
            <w:vAlign w:val="center"/>
          </w:tcPr>
          <w:p w14:paraId="2C496D32" w14:textId="77777777" w:rsidR="00454A29" w:rsidRDefault="00454A29">
            <w:pPr>
              <w:pStyle w:val="ConsPlusNormal"/>
              <w:jc w:val="center"/>
            </w:pPr>
            <w:r>
              <w:t>х</w:t>
            </w:r>
          </w:p>
        </w:tc>
        <w:tc>
          <w:tcPr>
            <w:tcW w:w="1701" w:type="dxa"/>
            <w:vAlign w:val="center"/>
          </w:tcPr>
          <w:p w14:paraId="17EEECF6" w14:textId="77777777" w:rsidR="00454A29" w:rsidRDefault="00454A29">
            <w:pPr>
              <w:pStyle w:val="ConsPlusNormal"/>
              <w:jc w:val="center"/>
            </w:pPr>
            <w:r>
              <w:t>2 176 535,07</w:t>
            </w:r>
          </w:p>
        </w:tc>
        <w:tc>
          <w:tcPr>
            <w:tcW w:w="1814" w:type="dxa"/>
            <w:vAlign w:val="center"/>
          </w:tcPr>
          <w:p w14:paraId="44054C05" w14:textId="77777777" w:rsidR="00454A29" w:rsidRDefault="00454A29">
            <w:pPr>
              <w:pStyle w:val="ConsPlusNormal"/>
              <w:jc w:val="center"/>
            </w:pPr>
            <w:r>
              <w:t>-</w:t>
            </w:r>
          </w:p>
        </w:tc>
        <w:tc>
          <w:tcPr>
            <w:tcW w:w="1701" w:type="dxa"/>
            <w:vAlign w:val="center"/>
          </w:tcPr>
          <w:p w14:paraId="1A422D91" w14:textId="77777777" w:rsidR="00454A29" w:rsidRDefault="00454A29">
            <w:pPr>
              <w:pStyle w:val="ConsPlusNormal"/>
              <w:jc w:val="center"/>
            </w:pPr>
            <w:r>
              <w:t>-</w:t>
            </w:r>
          </w:p>
        </w:tc>
        <w:tc>
          <w:tcPr>
            <w:tcW w:w="1701" w:type="dxa"/>
            <w:vAlign w:val="center"/>
          </w:tcPr>
          <w:p w14:paraId="77DACDAB" w14:textId="77777777" w:rsidR="00454A29" w:rsidRDefault="00454A29">
            <w:pPr>
              <w:pStyle w:val="ConsPlusNormal"/>
              <w:jc w:val="center"/>
            </w:pPr>
            <w:r>
              <w:t>1 394 259,77</w:t>
            </w:r>
          </w:p>
        </w:tc>
        <w:tc>
          <w:tcPr>
            <w:tcW w:w="1814" w:type="dxa"/>
            <w:vAlign w:val="center"/>
          </w:tcPr>
          <w:p w14:paraId="20110997" w14:textId="77777777" w:rsidR="00454A29" w:rsidRDefault="00454A29">
            <w:pPr>
              <w:pStyle w:val="ConsPlusNormal"/>
              <w:jc w:val="center"/>
            </w:pPr>
            <w:r>
              <w:t>782 275,30</w:t>
            </w:r>
          </w:p>
        </w:tc>
      </w:tr>
      <w:tr w:rsidR="00454A29" w14:paraId="2654F82B" w14:textId="77777777">
        <w:tc>
          <w:tcPr>
            <w:tcW w:w="567" w:type="dxa"/>
            <w:vMerge/>
          </w:tcPr>
          <w:p w14:paraId="3120B8E0" w14:textId="77777777" w:rsidR="00454A29" w:rsidRDefault="00454A29"/>
        </w:tc>
        <w:tc>
          <w:tcPr>
            <w:tcW w:w="3345" w:type="dxa"/>
            <w:vMerge/>
          </w:tcPr>
          <w:p w14:paraId="4F613188" w14:textId="77777777" w:rsidR="00454A29" w:rsidRDefault="00454A29"/>
        </w:tc>
        <w:tc>
          <w:tcPr>
            <w:tcW w:w="1701" w:type="dxa"/>
            <w:vAlign w:val="center"/>
          </w:tcPr>
          <w:p w14:paraId="5EB6052C" w14:textId="77777777" w:rsidR="00454A29" w:rsidRDefault="00454A29">
            <w:pPr>
              <w:pStyle w:val="ConsPlusNormal"/>
              <w:jc w:val="center"/>
            </w:pPr>
            <w:r>
              <w:t>2016</w:t>
            </w:r>
          </w:p>
        </w:tc>
        <w:tc>
          <w:tcPr>
            <w:tcW w:w="1417" w:type="dxa"/>
            <w:vMerge/>
          </w:tcPr>
          <w:p w14:paraId="07F14FDD" w14:textId="77777777" w:rsidR="00454A29" w:rsidRDefault="00454A29"/>
        </w:tc>
        <w:tc>
          <w:tcPr>
            <w:tcW w:w="2204" w:type="dxa"/>
            <w:vMerge/>
          </w:tcPr>
          <w:p w14:paraId="4F9193D2" w14:textId="77777777" w:rsidR="00454A29" w:rsidRDefault="00454A29"/>
        </w:tc>
        <w:tc>
          <w:tcPr>
            <w:tcW w:w="1417" w:type="dxa"/>
            <w:vMerge/>
          </w:tcPr>
          <w:p w14:paraId="1EE0C485" w14:textId="77777777" w:rsidR="00454A29" w:rsidRDefault="00454A29"/>
        </w:tc>
        <w:tc>
          <w:tcPr>
            <w:tcW w:w="2324" w:type="dxa"/>
            <w:vMerge/>
          </w:tcPr>
          <w:p w14:paraId="2FDFE501" w14:textId="77777777" w:rsidR="00454A29" w:rsidRDefault="00454A29"/>
        </w:tc>
        <w:tc>
          <w:tcPr>
            <w:tcW w:w="1701" w:type="dxa"/>
            <w:vAlign w:val="center"/>
          </w:tcPr>
          <w:p w14:paraId="3B61242A" w14:textId="77777777" w:rsidR="00454A29" w:rsidRDefault="00454A29">
            <w:pPr>
              <w:pStyle w:val="ConsPlusNormal"/>
              <w:jc w:val="center"/>
            </w:pPr>
            <w:r>
              <w:t>697 736,31</w:t>
            </w:r>
          </w:p>
        </w:tc>
        <w:tc>
          <w:tcPr>
            <w:tcW w:w="1814" w:type="dxa"/>
            <w:vAlign w:val="center"/>
          </w:tcPr>
          <w:p w14:paraId="18B54011" w14:textId="77777777" w:rsidR="00454A29" w:rsidRDefault="00454A29">
            <w:pPr>
              <w:pStyle w:val="ConsPlusNormal"/>
              <w:jc w:val="center"/>
            </w:pPr>
            <w:r>
              <w:t>-</w:t>
            </w:r>
          </w:p>
        </w:tc>
        <w:tc>
          <w:tcPr>
            <w:tcW w:w="1701" w:type="dxa"/>
            <w:vAlign w:val="center"/>
          </w:tcPr>
          <w:p w14:paraId="7C6799B9" w14:textId="77777777" w:rsidR="00454A29" w:rsidRDefault="00454A29">
            <w:pPr>
              <w:pStyle w:val="ConsPlusNormal"/>
              <w:jc w:val="center"/>
            </w:pPr>
            <w:r>
              <w:t>-</w:t>
            </w:r>
          </w:p>
        </w:tc>
        <w:tc>
          <w:tcPr>
            <w:tcW w:w="1701" w:type="dxa"/>
            <w:vAlign w:val="center"/>
          </w:tcPr>
          <w:p w14:paraId="2D814E56" w14:textId="77777777" w:rsidR="00454A29" w:rsidRDefault="00454A29">
            <w:pPr>
              <w:pStyle w:val="ConsPlusNormal"/>
              <w:jc w:val="center"/>
            </w:pPr>
            <w:r>
              <w:t>35 246,81</w:t>
            </w:r>
          </w:p>
        </w:tc>
        <w:tc>
          <w:tcPr>
            <w:tcW w:w="1814" w:type="dxa"/>
            <w:vAlign w:val="center"/>
          </w:tcPr>
          <w:p w14:paraId="54A70418" w14:textId="77777777" w:rsidR="00454A29" w:rsidRDefault="00454A29">
            <w:pPr>
              <w:pStyle w:val="ConsPlusNormal"/>
              <w:jc w:val="center"/>
            </w:pPr>
            <w:r>
              <w:t>662 489,50</w:t>
            </w:r>
          </w:p>
        </w:tc>
      </w:tr>
      <w:tr w:rsidR="00454A29" w14:paraId="15BEC358" w14:textId="77777777">
        <w:tc>
          <w:tcPr>
            <w:tcW w:w="567" w:type="dxa"/>
            <w:vMerge/>
          </w:tcPr>
          <w:p w14:paraId="24C14F3B" w14:textId="77777777" w:rsidR="00454A29" w:rsidRDefault="00454A29"/>
        </w:tc>
        <w:tc>
          <w:tcPr>
            <w:tcW w:w="3345" w:type="dxa"/>
            <w:vMerge/>
          </w:tcPr>
          <w:p w14:paraId="27095A75" w14:textId="77777777" w:rsidR="00454A29" w:rsidRDefault="00454A29"/>
        </w:tc>
        <w:tc>
          <w:tcPr>
            <w:tcW w:w="1701" w:type="dxa"/>
            <w:vAlign w:val="center"/>
          </w:tcPr>
          <w:p w14:paraId="2CE0140B" w14:textId="77777777" w:rsidR="00454A29" w:rsidRDefault="00454A29">
            <w:pPr>
              <w:pStyle w:val="ConsPlusNormal"/>
              <w:jc w:val="center"/>
            </w:pPr>
            <w:r>
              <w:t>2017</w:t>
            </w:r>
          </w:p>
        </w:tc>
        <w:tc>
          <w:tcPr>
            <w:tcW w:w="1417" w:type="dxa"/>
            <w:vMerge/>
          </w:tcPr>
          <w:p w14:paraId="2B6DC629" w14:textId="77777777" w:rsidR="00454A29" w:rsidRDefault="00454A29"/>
        </w:tc>
        <w:tc>
          <w:tcPr>
            <w:tcW w:w="2204" w:type="dxa"/>
            <w:vMerge/>
          </w:tcPr>
          <w:p w14:paraId="2D57D668" w14:textId="77777777" w:rsidR="00454A29" w:rsidRDefault="00454A29"/>
        </w:tc>
        <w:tc>
          <w:tcPr>
            <w:tcW w:w="1417" w:type="dxa"/>
            <w:vMerge/>
          </w:tcPr>
          <w:p w14:paraId="1DC92083" w14:textId="77777777" w:rsidR="00454A29" w:rsidRDefault="00454A29"/>
        </w:tc>
        <w:tc>
          <w:tcPr>
            <w:tcW w:w="2324" w:type="dxa"/>
            <w:vMerge/>
          </w:tcPr>
          <w:p w14:paraId="47F0F511" w14:textId="77777777" w:rsidR="00454A29" w:rsidRDefault="00454A29"/>
        </w:tc>
        <w:tc>
          <w:tcPr>
            <w:tcW w:w="1701" w:type="dxa"/>
            <w:vAlign w:val="center"/>
          </w:tcPr>
          <w:p w14:paraId="01F65EDA" w14:textId="77777777" w:rsidR="00454A29" w:rsidRDefault="00454A29">
            <w:pPr>
              <w:pStyle w:val="ConsPlusNormal"/>
              <w:jc w:val="center"/>
            </w:pPr>
            <w:r>
              <w:t>243 648,41</w:t>
            </w:r>
          </w:p>
        </w:tc>
        <w:tc>
          <w:tcPr>
            <w:tcW w:w="1814" w:type="dxa"/>
            <w:vAlign w:val="center"/>
          </w:tcPr>
          <w:p w14:paraId="63A18438" w14:textId="77777777" w:rsidR="00454A29" w:rsidRDefault="00454A29">
            <w:pPr>
              <w:pStyle w:val="ConsPlusNormal"/>
              <w:jc w:val="center"/>
            </w:pPr>
            <w:r>
              <w:t>-</w:t>
            </w:r>
          </w:p>
        </w:tc>
        <w:tc>
          <w:tcPr>
            <w:tcW w:w="1701" w:type="dxa"/>
            <w:vAlign w:val="center"/>
          </w:tcPr>
          <w:p w14:paraId="465A4CEF" w14:textId="77777777" w:rsidR="00454A29" w:rsidRDefault="00454A29">
            <w:pPr>
              <w:pStyle w:val="ConsPlusNormal"/>
              <w:jc w:val="center"/>
            </w:pPr>
            <w:r>
              <w:t>-</w:t>
            </w:r>
          </w:p>
        </w:tc>
        <w:tc>
          <w:tcPr>
            <w:tcW w:w="1701" w:type="dxa"/>
            <w:vAlign w:val="center"/>
          </w:tcPr>
          <w:p w14:paraId="11464F95" w14:textId="77777777" w:rsidR="00454A29" w:rsidRDefault="00454A29">
            <w:pPr>
              <w:pStyle w:val="ConsPlusNormal"/>
              <w:jc w:val="center"/>
            </w:pPr>
            <w:r>
              <w:t>123 862,61</w:t>
            </w:r>
          </w:p>
        </w:tc>
        <w:tc>
          <w:tcPr>
            <w:tcW w:w="1814" w:type="dxa"/>
            <w:vAlign w:val="center"/>
          </w:tcPr>
          <w:p w14:paraId="5167CA0A" w14:textId="77777777" w:rsidR="00454A29" w:rsidRDefault="00454A29">
            <w:pPr>
              <w:pStyle w:val="ConsPlusNormal"/>
              <w:jc w:val="center"/>
            </w:pPr>
            <w:r>
              <w:t>119 785,80</w:t>
            </w:r>
          </w:p>
        </w:tc>
      </w:tr>
      <w:tr w:rsidR="00454A29" w14:paraId="29E064E4" w14:textId="77777777">
        <w:tc>
          <w:tcPr>
            <w:tcW w:w="567" w:type="dxa"/>
            <w:vMerge/>
          </w:tcPr>
          <w:p w14:paraId="5258B50D" w14:textId="77777777" w:rsidR="00454A29" w:rsidRDefault="00454A29"/>
        </w:tc>
        <w:tc>
          <w:tcPr>
            <w:tcW w:w="3345" w:type="dxa"/>
            <w:vMerge/>
          </w:tcPr>
          <w:p w14:paraId="30268266" w14:textId="77777777" w:rsidR="00454A29" w:rsidRDefault="00454A29"/>
        </w:tc>
        <w:tc>
          <w:tcPr>
            <w:tcW w:w="1701" w:type="dxa"/>
            <w:vAlign w:val="center"/>
          </w:tcPr>
          <w:p w14:paraId="50655241" w14:textId="77777777" w:rsidR="00454A29" w:rsidRDefault="00454A29">
            <w:pPr>
              <w:pStyle w:val="ConsPlusNormal"/>
              <w:jc w:val="center"/>
            </w:pPr>
            <w:r>
              <w:t>2018</w:t>
            </w:r>
          </w:p>
        </w:tc>
        <w:tc>
          <w:tcPr>
            <w:tcW w:w="1417" w:type="dxa"/>
            <w:vMerge/>
          </w:tcPr>
          <w:p w14:paraId="5A11613A" w14:textId="77777777" w:rsidR="00454A29" w:rsidRDefault="00454A29"/>
        </w:tc>
        <w:tc>
          <w:tcPr>
            <w:tcW w:w="2204" w:type="dxa"/>
            <w:vMerge/>
          </w:tcPr>
          <w:p w14:paraId="67CBD133" w14:textId="77777777" w:rsidR="00454A29" w:rsidRDefault="00454A29"/>
        </w:tc>
        <w:tc>
          <w:tcPr>
            <w:tcW w:w="1417" w:type="dxa"/>
            <w:vMerge/>
          </w:tcPr>
          <w:p w14:paraId="11257748" w14:textId="77777777" w:rsidR="00454A29" w:rsidRDefault="00454A29"/>
        </w:tc>
        <w:tc>
          <w:tcPr>
            <w:tcW w:w="2324" w:type="dxa"/>
            <w:vMerge/>
          </w:tcPr>
          <w:p w14:paraId="655DD241" w14:textId="77777777" w:rsidR="00454A29" w:rsidRDefault="00454A29"/>
        </w:tc>
        <w:tc>
          <w:tcPr>
            <w:tcW w:w="1701" w:type="dxa"/>
            <w:vAlign w:val="center"/>
          </w:tcPr>
          <w:p w14:paraId="5B58044B" w14:textId="77777777" w:rsidR="00454A29" w:rsidRDefault="00454A29">
            <w:pPr>
              <w:pStyle w:val="ConsPlusNormal"/>
              <w:jc w:val="center"/>
            </w:pPr>
            <w:r>
              <w:t>234 092,01</w:t>
            </w:r>
          </w:p>
        </w:tc>
        <w:tc>
          <w:tcPr>
            <w:tcW w:w="1814" w:type="dxa"/>
            <w:vAlign w:val="center"/>
          </w:tcPr>
          <w:p w14:paraId="5AA994AD" w14:textId="77777777" w:rsidR="00454A29" w:rsidRDefault="00454A29">
            <w:pPr>
              <w:pStyle w:val="ConsPlusNormal"/>
              <w:jc w:val="center"/>
            </w:pPr>
            <w:r>
              <w:t>-</w:t>
            </w:r>
          </w:p>
        </w:tc>
        <w:tc>
          <w:tcPr>
            <w:tcW w:w="1701" w:type="dxa"/>
            <w:vAlign w:val="center"/>
          </w:tcPr>
          <w:p w14:paraId="36B98C1C" w14:textId="77777777" w:rsidR="00454A29" w:rsidRDefault="00454A29">
            <w:pPr>
              <w:pStyle w:val="ConsPlusNormal"/>
              <w:jc w:val="center"/>
            </w:pPr>
            <w:r>
              <w:t>-</w:t>
            </w:r>
          </w:p>
        </w:tc>
        <w:tc>
          <w:tcPr>
            <w:tcW w:w="1701" w:type="dxa"/>
            <w:vAlign w:val="center"/>
          </w:tcPr>
          <w:p w14:paraId="0740F128" w14:textId="77777777" w:rsidR="00454A29" w:rsidRDefault="00454A29">
            <w:pPr>
              <w:pStyle w:val="ConsPlusNormal"/>
              <w:jc w:val="center"/>
            </w:pPr>
            <w:r>
              <w:t>234 092,01</w:t>
            </w:r>
          </w:p>
        </w:tc>
        <w:tc>
          <w:tcPr>
            <w:tcW w:w="1814" w:type="dxa"/>
            <w:vAlign w:val="center"/>
          </w:tcPr>
          <w:p w14:paraId="61703CFB" w14:textId="77777777" w:rsidR="00454A29" w:rsidRDefault="00454A29">
            <w:pPr>
              <w:pStyle w:val="ConsPlusNormal"/>
              <w:jc w:val="center"/>
            </w:pPr>
            <w:r>
              <w:t>-</w:t>
            </w:r>
          </w:p>
        </w:tc>
      </w:tr>
      <w:tr w:rsidR="00454A29" w14:paraId="4478DACF" w14:textId="77777777">
        <w:tc>
          <w:tcPr>
            <w:tcW w:w="567" w:type="dxa"/>
            <w:vMerge/>
          </w:tcPr>
          <w:p w14:paraId="208B5466" w14:textId="77777777" w:rsidR="00454A29" w:rsidRDefault="00454A29"/>
        </w:tc>
        <w:tc>
          <w:tcPr>
            <w:tcW w:w="3345" w:type="dxa"/>
            <w:vMerge/>
          </w:tcPr>
          <w:p w14:paraId="1C31912B" w14:textId="77777777" w:rsidR="00454A29" w:rsidRDefault="00454A29"/>
        </w:tc>
        <w:tc>
          <w:tcPr>
            <w:tcW w:w="1701" w:type="dxa"/>
            <w:vAlign w:val="center"/>
          </w:tcPr>
          <w:p w14:paraId="349AD65E" w14:textId="77777777" w:rsidR="00454A29" w:rsidRDefault="00454A29">
            <w:pPr>
              <w:pStyle w:val="ConsPlusNormal"/>
              <w:jc w:val="center"/>
            </w:pPr>
            <w:r>
              <w:t>2019</w:t>
            </w:r>
          </w:p>
        </w:tc>
        <w:tc>
          <w:tcPr>
            <w:tcW w:w="1417" w:type="dxa"/>
            <w:vMerge/>
          </w:tcPr>
          <w:p w14:paraId="331EB362" w14:textId="77777777" w:rsidR="00454A29" w:rsidRDefault="00454A29"/>
        </w:tc>
        <w:tc>
          <w:tcPr>
            <w:tcW w:w="2204" w:type="dxa"/>
            <w:vMerge/>
          </w:tcPr>
          <w:p w14:paraId="3BD48B45" w14:textId="77777777" w:rsidR="00454A29" w:rsidRDefault="00454A29"/>
        </w:tc>
        <w:tc>
          <w:tcPr>
            <w:tcW w:w="1417" w:type="dxa"/>
            <w:vMerge/>
          </w:tcPr>
          <w:p w14:paraId="63EFB9A5" w14:textId="77777777" w:rsidR="00454A29" w:rsidRDefault="00454A29"/>
        </w:tc>
        <w:tc>
          <w:tcPr>
            <w:tcW w:w="2324" w:type="dxa"/>
            <w:vMerge/>
          </w:tcPr>
          <w:p w14:paraId="7EB1D823" w14:textId="77777777" w:rsidR="00454A29" w:rsidRDefault="00454A29"/>
        </w:tc>
        <w:tc>
          <w:tcPr>
            <w:tcW w:w="1701" w:type="dxa"/>
            <w:vAlign w:val="center"/>
          </w:tcPr>
          <w:p w14:paraId="07BDB7D2" w14:textId="77777777" w:rsidR="00454A29" w:rsidRDefault="00454A29">
            <w:pPr>
              <w:pStyle w:val="ConsPlusNormal"/>
              <w:jc w:val="center"/>
            </w:pPr>
            <w:r>
              <w:t>301 426,71</w:t>
            </w:r>
          </w:p>
        </w:tc>
        <w:tc>
          <w:tcPr>
            <w:tcW w:w="1814" w:type="dxa"/>
            <w:vAlign w:val="center"/>
          </w:tcPr>
          <w:p w14:paraId="1441A592" w14:textId="77777777" w:rsidR="00454A29" w:rsidRDefault="00454A29">
            <w:pPr>
              <w:pStyle w:val="ConsPlusNormal"/>
              <w:jc w:val="center"/>
            </w:pPr>
            <w:r>
              <w:t>-</w:t>
            </w:r>
          </w:p>
        </w:tc>
        <w:tc>
          <w:tcPr>
            <w:tcW w:w="1701" w:type="dxa"/>
            <w:vAlign w:val="center"/>
          </w:tcPr>
          <w:p w14:paraId="357980F2" w14:textId="77777777" w:rsidR="00454A29" w:rsidRDefault="00454A29">
            <w:pPr>
              <w:pStyle w:val="ConsPlusNormal"/>
              <w:jc w:val="center"/>
            </w:pPr>
            <w:r>
              <w:t>-</w:t>
            </w:r>
          </w:p>
        </w:tc>
        <w:tc>
          <w:tcPr>
            <w:tcW w:w="1701" w:type="dxa"/>
            <w:vAlign w:val="center"/>
          </w:tcPr>
          <w:p w14:paraId="11549284" w14:textId="77777777" w:rsidR="00454A29" w:rsidRDefault="00454A29">
            <w:pPr>
              <w:pStyle w:val="ConsPlusNormal"/>
              <w:jc w:val="center"/>
            </w:pPr>
            <w:r>
              <w:t>301 426,71</w:t>
            </w:r>
          </w:p>
        </w:tc>
        <w:tc>
          <w:tcPr>
            <w:tcW w:w="1814" w:type="dxa"/>
            <w:vAlign w:val="center"/>
          </w:tcPr>
          <w:p w14:paraId="74859A2E" w14:textId="77777777" w:rsidR="00454A29" w:rsidRDefault="00454A29">
            <w:pPr>
              <w:pStyle w:val="ConsPlusNormal"/>
              <w:jc w:val="center"/>
            </w:pPr>
            <w:r>
              <w:t>-</w:t>
            </w:r>
          </w:p>
        </w:tc>
      </w:tr>
      <w:tr w:rsidR="00454A29" w14:paraId="110945AB" w14:textId="77777777">
        <w:tc>
          <w:tcPr>
            <w:tcW w:w="567" w:type="dxa"/>
            <w:vMerge/>
          </w:tcPr>
          <w:p w14:paraId="6B6F1A07" w14:textId="77777777" w:rsidR="00454A29" w:rsidRDefault="00454A29"/>
        </w:tc>
        <w:tc>
          <w:tcPr>
            <w:tcW w:w="3345" w:type="dxa"/>
            <w:vMerge/>
          </w:tcPr>
          <w:p w14:paraId="20466ECA" w14:textId="77777777" w:rsidR="00454A29" w:rsidRDefault="00454A29"/>
        </w:tc>
        <w:tc>
          <w:tcPr>
            <w:tcW w:w="1701" w:type="dxa"/>
            <w:vAlign w:val="center"/>
          </w:tcPr>
          <w:p w14:paraId="4914F2C1" w14:textId="77777777" w:rsidR="00454A29" w:rsidRDefault="00454A29">
            <w:pPr>
              <w:pStyle w:val="ConsPlusNormal"/>
              <w:jc w:val="center"/>
            </w:pPr>
            <w:r>
              <w:t>2020</w:t>
            </w:r>
          </w:p>
        </w:tc>
        <w:tc>
          <w:tcPr>
            <w:tcW w:w="1417" w:type="dxa"/>
            <w:vMerge/>
          </w:tcPr>
          <w:p w14:paraId="43B1B8DE" w14:textId="77777777" w:rsidR="00454A29" w:rsidRDefault="00454A29"/>
        </w:tc>
        <w:tc>
          <w:tcPr>
            <w:tcW w:w="2204" w:type="dxa"/>
            <w:vMerge/>
          </w:tcPr>
          <w:p w14:paraId="140E05ED" w14:textId="77777777" w:rsidR="00454A29" w:rsidRDefault="00454A29"/>
        </w:tc>
        <w:tc>
          <w:tcPr>
            <w:tcW w:w="1417" w:type="dxa"/>
            <w:vMerge/>
          </w:tcPr>
          <w:p w14:paraId="79061070" w14:textId="77777777" w:rsidR="00454A29" w:rsidRDefault="00454A29"/>
        </w:tc>
        <w:tc>
          <w:tcPr>
            <w:tcW w:w="2324" w:type="dxa"/>
            <w:vMerge/>
          </w:tcPr>
          <w:p w14:paraId="78B1937E" w14:textId="77777777" w:rsidR="00454A29" w:rsidRDefault="00454A29"/>
        </w:tc>
        <w:tc>
          <w:tcPr>
            <w:tcW w:w="1701" w:type="dxa"/>
            <w:vAlign w:val="center"/>
          </w:tcPr>
          <w:p w14:paraId="4F743DE3" w14:textId="77777777" w:rsidR="00454A29" w:rsidRDefault="00454A29">
            <w:pPr>
              <w:pStyle w:val="ConsPlusNormal"/>
              <w:jc w:val="center"/>
            </w:pPr>
            <w:r>
              <w:t>61 514,18</w:t>
            </w:r>
          </w:p>
        </w:tc>
        <w:tc>
          <w:tcPr>
            <w:tcW w:w="1814" w:type="dxa"/>
            <w:vAlign w:val="center"/>
          </w:tcPr>
          <w:p w14:paraId="397703B5" w14:textId="77777777" w:rsidR="00454A29" w:rsidRDefault="00454A29">
            <w:pPr>
              <w:pStyle w:val="ConsPlusNormal"/>
              <w:jc w:val="center"/>
            </w:pPr>
            <w:r>
              <w:t>-</w:t>
            </w:r>
          </w:p>
        </w:tc>
        <w:tc>
          <w:tcPr>
            <w:tcW w:w="1701" w:type="dxa"/>
            <w:vAlign w:val="center"/>
          </w:tcPr>
          <w:p w14:paraId="25D61338" w14:textId="77777777" w:rsidR="00454A29" w:rsidRDefault="00454A29">
            <w:pPr>
              <w:pStyle w:val="ConsPlusNormal"/>
              <w:jc w:val="center"/>
            </w:pPr>
            <w:r>
              <w:t>-</w:t>
            </w:r>
          </w:p>
        </w:tc>
        <w:tc>
          <w:tcPr>
            <w:tcW w:w="1701" w:type="dxa"/>
            <w:vAlign w:val="center"/>
          </w:tcPr>
          <w:p w14:paraId="20AC045E" w14:textId="77777777" w:rsidR="00454A29" w:rsidRDefault="00454A29">
            <w:pPr>
              <w:pStyle w:val="ConsPlusNormal"/>
              <w:jc w:val="center"/>
            </w:pPr>
            <w:r>
              <w:t>61 514,18</w:t>
            </w:r>
          </w:p>
        </w:tc>
        <w:tc>
          <w:tcPr>
            <w:tcW w:w="1814" w:type="dxa"/>
            <w:vAlign w:val="center"/>
          </w:tcPr>
          <w:p w14:paraId="02304665" w14:textId="77777777" w:rsidR="00454A29" w:rsidRDefault="00454A29">
            <w:pPr>
              <w:pStyle w:val="ConsPlusNormal"/>
              <w:jc w:val="center"/>
            </w:pPr>
            <w:r>
              <w:t>-</w:t>
            </w:r>
          </w:p>
        </w:tc>
      </w:tr>
      <w:tr w:rsidR="00454A29" w14:paraId="64D89AB4" w14:textId="77777777">
        <w:tc>
          <w:tcPr>
            <w:tcW w:w="567" w:type="dxa"/>
            <w:vMerge/>
          </w:tcPr>
          <w:p w14:paraId="2BC274B6" w14:textId="77777777" w:rsidR="00454A29" w:rsidRDefault="00454A29"/>
        </w:tc>
        <w:tc>
          <w:tcPr>
            <w:tcW w:w="3345" w:type="dxa"/>
            <w:vMerge/>
          </w:tcPr>
          <w:p w14:paraId="5E042E73" w14:textId="77777777" w:rsidR="00454A29" w:rsidRDefault="00454A29"/>
        </w:tc>
        <w:tc>
          <w:tcPr>
            <w:tcW w:w="1701" w:type="dxa"/>
            <w:vAlign w:val="center"/>
          </w:tcPr>
          <w:p w14:paraId="6176E4CA" w14:textId="77777777" w:rsidR="00454A29" w:rsidRDefault="00454A29">
            <w:pPr>
              <w:pStyle w:val="ConsPlusNormal"/>
              <w:jc w:val="center"/>
            </w:pPr>
            <w:r>
              <w:t>2021</w:t>
            </w:r>
          </w:p>
        </w:tc>
        <w:tc>
          <w:tcPr>
            <w:tcW w:w="1417" w:type="dxa"/>
            <w:vMerge/>
          </w:tcPr>
          <w:p w14:paraId="2934129E" w14:textId="77777777" w:rsidR="00454A29" w:rsidRDefault="00454A29"/>
        </w:tc>
        <w:tc>
          <w:tcPr>
            <w:tcW w:w="2204" w:type="dxa"/>
            <w:vMerge/>
          </w:tcPr>
          <w:p w14:paraId="4DBB0D31" w14:textId="77777777" w:rsidR="00454A29" w:rsidRDefault="00454A29"/>
        </w:tc>
        <w:tc>
          <w:tcPr>
            <w:tcW w:w="1417" w:type="dxa"/>
            <w:vMerge/>
          </w:tcPr>
          <w:p w14:paraId="1BF5E9D1" w14:textId="77777777" w:rsidR="00454A29" w:rsidRDefault="00454A29"/>
        </w:tc>
        <w:tc>
          <w:tcPr>
            <w:tcW w:w="2324" w:type="dxa"/>
            <w:vMerge/>
          </w:tcPr>
          <w:p w14:paraId="4417C8AC" w14:textId="77777777" w:rsidR="00454A29" w:rsidRDefault="00454A29"/>
        </w:tc>
        <w:tc>
          <w:tcPr>
            <w:tcW w:w="1701" w:type="dxa"/>
            <w:vAlign w:val="center"/>
          </w:tcPr>
          <w:p w14:paraId="5F7A4ED7" w14:textId="77777777" w:rsidR="00454A29" w:rsidRDefault="00454A29">
            <w:pPr>
              <w:pStyle w:val="ConsPlusNormal"/>
              <w:jc w:val="center"/>
            </w:pPr>
            <w:r>
              <w:t>71 285,88</w:t>
            </w:r>
          </w:p>
        </w:tc>
        <w:tc>
          <w:tcPr>
            <w:tcW w:w="1814" w:type="dxa"/>
            <w:vAlign w:val="center"/>
          </w:tcPr>
          <w:p w14:paraId="722F7E92" w14:textId="77777777" w:rsidR="00454A29" w:rsidRDefault="00454A29">
            <w:pPr>
              <w:pStyle w:val="ConsPlusNormal"/>
              <w:jc w:val="center"/>
            </w:pPr>
            <w:r>
              <w:t>-</w:t>
            </w:r>
          </w:p>
        </w:tc>
        <w:tc>
          <w:tcPr>
            <w:tcW w:w="1701" w:type="dxa"/>
            <w:vAlign w:val="center"/>
          </w:tcPr>
          <w:p w14:paraId="23179988" w14:textId="77777777" w:rsidR="00454A29" w:rsidRDefault="00454A29">
            <w:pPr>
              <w:pStyle w:val="ConsPlusNormal"/>
              <w:jc w:val="center"/>
            </w:pPr>
            <w:r>
              <w:t>-</w:t>
            </w:r>
          </w:p>
        </w:tc>
        <w:tc>
          <w:tcPr>
            <w:tcW w:w="1701" w:type="dxa"/>
            <w:vAlign w:val="center"/>
          </w:tcPr>
          <w:p w14:paraId="5B69BEDC" w14:textId="77777777" w:rsidR="00454A29" w:rsidRDefault="00454A29">
            <w:pPr>
              <w:pStyle w:val="ConsPlusNormal"/>
              <w:jc w:val="center"/>
            </w:pPr>
            <w:r>
              <w:t>71 285,88</w:t>
            </w:r>
          </w:p>
        </w:tc>
        <w:tc>
          <w:tcPr>
            <w:tcW w:w="1814" w:type="dxa"/>
            <w:vAlign w:val="center"/>
          </w:tcPr>
          <w:p w14:paraId="02CBF091" w14:textId="77777777" w:rsidR="00454A29" w:rsidRDefault="00454A29">
            <w:pPr>
              <w:pStyle w:val="ConsPlusNormal"/>
              <w:jc w:val="center"/>
            </w:pPr>
            <w:r>
              <w:t>-</w:t>
            </w:r>
          </w:p>
        </w:tc>
      </w:tr>
      <w:tr w:rsidR="00454A29" w14:paraId="326DDB92" w14:textId="77777777">
        <w:tc>
          <w:tcPr>
            <w:tcW w:w="567" w:type="dxa"/>
            <w:vMerge/>
          </w:tcPr>
          <w:p w14:paraId="64B3D5CA" w14:textId="77777777" w:rsidR="00454A29" w:rsidRDefault="00454A29"/>
        </w:tc>
        <w:tc>
          <w:tcPr>
            <w:tcW w:w="3345" w:type="dxa"/>
            <w:vMerge/>
          </w:tcPr>
          <w:p w14:paraId="621D9487" w14:textId="77777777" w:rsidR="00454A29" w:rsidRDefault="00454A29"/>
        </w:tc>
        <w:tc>
          <w:tcPr>
            <w:tcW w:w="1701" w:type="dxa"/>
            <w:vAlign w:val="center"/>
          </w:tcPr>
          <w:p w14:paraId="23D7D955" w14:textId="77777777" w:rsidR="00454A29" w:rsidRDefault="00454A29">
            <w:pPr>
              <w:pStyle w:val="ConsPlusNormal"/>
              <w:jc w:val="center"/>
            </w:pPr>
            <w:r>
              <w:t>2022</w:t>
            </w:r>
          </w:p>
        </w:tc>
        <w:tc>
          <w:tcPr>
            <w:tcW w:w="1417" w:type="dxa"/>
            <w:vMerge/>
          </w:tcPr>
          <w:p w14:paraId="2AB96700" w14:textId="77777777" w:rsidR="00454A29" w:rsidRDefault="00454A29"/>
        </w:tc>
        <w:tc>
          <w:tcPr>
            <w:tcW w:w="2204" w:type="dxa"/>
            <w:vMerge/>
          </w:tcPr>
          <w:p w14:paraId="25B12BAA" w14:textId="77777777" w:rsidR="00454A29" w:rsidRDefault="00454A29"/>
        </w:tc>
        <w:tc>
          <w:tcPr>
            <w:tcW w:w="1417" w:type="dxa"/>
            <w:vMerge/>
          </w:tcPr>
          <w:p w14:paraId="18E4E93C" w14:textId="77777777" w:rsidR="00454A29" w:rsidRDefault="00454A29"/>
        </w:tc>
        <w:tc>
          <w:tcPr>
            <w:tcW w:w="2324" w:type="dxa"/>
            <w:vMerge/>
          </w:tcPr>
          <w:p w14:paraId="20D4596C" w14:textId="77777777" w:rsidR="00454A29" w:rsidRDefault="00454A29"/>
        </w:tc>
        <w:tc>
          <w:tcPr>
            <w:tcW w:w="1701" w:type="dxa"/>
            <w:vAlign w:val="center"/>
          </w:tcPr>
          <w:p w14:paraId="0D7747AC" w14:textId="77777777" w:rsidR="00454A29" w:rsidRDefault="00454A29">
            <w:pPr>
              <w:pStyle w:val="ConsPlusNormal"/>
              <w:jc w:val="center"/>
            </w:pPr>
            <w:r>
              <w:t>82 609,85</w:t>
            </w:r>
          </w:p>
        </w:tc>
        <w:tc>
          <w:tcPr>
            <w:tcW w:w="1814" w:type="dxa"/>
            <w:vAlign w:val="center"/>
          </w:tcPr>
          <w:p w14:paraId="3405573E" w14:textId="77777777" w:rsidR="00454A29" w:rsidRDefault="00454A29">
            <w:pPr>
              <w:pStyle w:val="ConsPlusNormal"/>
              <w:jc w:val="center"/>
            </w:pPr>
            <w:r>
              <w:t>-</w:t>
            </w:r>
          </w:p>
        </w:tc>
        <w:tc>
          <w:tcPr>
            <w:tcW w:w="1701" w:type="dxa"/>
            <w:vAlign w:val="center"/>
          </w:tcPr>
          <w:p w14:paraId="4BF0C37C" w14:textId="77777777" w:rsidR="00454A29" w:rsidRDefault="00454A29">
            <w:pPr>
              <w:pStyle w:val="ConsPlusNormal"/>
              <w:jc w:val="center"/>
            </w:pPr>
            <w:r>
              <w:t>-</w:t>
            </w:r>
          </w:p>
        </w:tc>
        <w:tc>
          <w:tcPr>
            <w:tcW w:w="1701" w:type="dxa"/>
            <w:vAlign w:val="center"/>
          </w:tcPr>
          <w:p w14:paraId="6E883D57" w14:textId="77777777" w:rsidR="00454A29" w:rsidRDefault="00454A29">
            <w:pPr>
              <w:pStyle w:val="ConsPlusNormal"/>
              <w:jc w:val="center"/>
            </w:pPr>
            <w:r>
              <w:t>82 609,85</w:t>
            </w:r>
          </w:p>
        </w:tc>
        <w:tc>
          <w:tcPr>
            <w:tcW w:w="1814" w:type="dxa"/>
            <w:vAlign w:val="center"/>
          </w:tcPr>
          <w:p w14:paraId="7BA635E0" w14:textId="77777777" w:rsidR="00454A29" w:rsidRDefault="00454A29">
            <w:pPr>
              <w:pStyle w:val="ConsPlusNormal"/>
              <w:jc w:val="center"/>
            </w:pPr>
            <w:r>
              <w:t>-</w:t>
            </w:r>
          </w:p>
        </w:tc>
      </w:tr>
      <w:tr w:rsidR="00454A29" w14:paraId="75EB55E9" w14:textId="77777777">
        <w:tc>
          <w:tcPr>
            <w:tcW w:w="567" w:type="dxa"/>
            <w:vMerge/>
          </w:tcPr>
          <w:p w14:paraId="3B8D39FE" w14:textId="77777777" w:rsidR="00454A29" w:rsidRDefault="00454A29"/>
        </w:tc>
        <w:tc>
          <w:tcPr>
            <w:tcW w:w="3345" w:type="dxa"/>
            <w:vMerge/>
          </w:tcPr>
          <w:p w14:paraId="33F6A9D4" w14:textId="77777777" w:rsidR="00454A29" w:rsidRDefault="00454A29"/>
        </w:tc>
        <w:tc>
          <w:tcPr>
            <w:tcW w:w="1701" w:type="dxa"/>
            <w:vAlign w:val="center"/>
          </w:tcPr>
          <w:p w14:paraId="18DDFAB7" w14:textId="77777777" w:rsidR="00454A29" w:rsidRDefault="00454A29">
            <w:pPr>
              <w:pStyle w:val="ConsPlusNormal"/>
              <w:jc w:val="center"/>
            </w:pPr>
            <w:r>
              <w:t>2023</w:t>
            </w:r>
          </w:p>
        </w:tc>
        <w:tc>
          <w:tcPr>
            <w:tcW w:w="1417" w:type="dxa"/>
            <w:vMerge/>
          </w:tcPr>
          <w:p w14:paraId="16E80A03" w14:textId="77777777" w:rsidR="00454A29" w:rsidRDefault="00454A29"/>
        </w:tc>
        <w:tc>
          <w:tcPr>
            <w:tcW w:w="2204" w:type="dxa"/>
            <w:vMerge/>
          </w:tcPr>
          <w:p w14:paraId="5ED4CC29" w14:textId="77777777" w:rsidR="00454A29" w:rsidRDefault="00454A29"/>
        </w:tc>
        <w:tc>
          <w:tcPr>
            <w:tcW w:w="1417" w:type="dxa"/>
            <w:vMerge/>
          </w:tcPr>
          <w:p w14:paraId="24A92E24" w14:textId="77777777" w:rsidR="00454A29" w:rsidRDefault="00454A29"/>
        </w:tc>
        <w:tc>
          <w:tcPr>
            <w:tcW w:w="2324" w:type="dxa"/>
            <w:vMerge/>
          </w:tcPr>
          <w:p w14:paraId="095BEE7A" w14:textId="77777777" w:rsidR="00454A29" w:rsidRDefault="00454A29"/>
        </w:tc>
        <w:tc>
          <w:tcPr>
            <w:tcW w:w="1701" w:type="dxa"/>
            <w:vAlign w:val="center"/>
          </w:tcPr>
          <w:p w14:paraId="26D8782B" w14:textId="77777777" w:rsidR="00454A29" w:rsidRDefault="00454A29">
            <w:pPr>
              <w:pStyle w:val="ConsPlusNormal"/>
              <w:jc w:val="center"/>
            </w:pPr>
            <w:r>
              <w:t>95 732,65</w:t>
            </w:r>
          </w:p>
        </w:tc>
        <w:tc>
          <w:tcPr>
            <w:tcW w:w="1814" w:type="dxa"/>
            <w:vAlign w:val="center"/>
          </w:tcPr>
          <w:p w14:paraId="5986C5CA" w14:textId="77777777" w:rsidR="00454A29" w:rsidRDefault="00454A29">
            <w:pPr>
              <w:pStyle w:val="ConsPlusNormal"/>
              <w:jc w:val="center"/>
            </w:pPr>
            <w:r>
              <w:t>-</w:t>
            </w:r>
          </w:p>
        </w:tc>
        <w:tc>
          <w:tcPr>
            <w:tcW w:w="1701" w:type="dxa"/>
            <w:vAlign w:val="center"/>
          </w:tcPr>
          <w:p w14:paraId="225EAAC1" w14:textId="77777777" w:rsidR="00454A29" w:rsidRDefault="00454A29">
            <w:pPr>
              <w:pStyle w:val="ConsPlusNormal"/>
              <w:jc w:val="center"/>
            </w:pPr>
            <w:r>
              <w:t>-</w:t>
            </w:r>
          </w:p>
        </w:tc>
        <w:tc>
          <w:tcPr>
            <w:tcW w:w="1701" w:type="dxa"/>
            <w:vAlign w:val="center"/>
          </w:tcPr>
          <w:p w14:paraId="24C975D2" w14:textId="77777777" w:rsidR="00454A29" w:rsidRDefault="00454A29">
            <w:pPr>
              <w:pStyle w:val="ConsPlusNormal"/>
              <w:jc w:val="center"/>
            </w:pPr>
            <w:r>
              <w:t>95 732,65</w:t>
            </w:r>
          </w:p>
        </w:tc>
        <w:tc>
          <w:tcPr>
            <w:tcW w:w="1814" w:type="dxa"/>
            <w:vAlign w:val="center"/>
          </w:tcPr>
          <w:p w14:paraId="5FB9CC9C" w14:textId="77777777" w:rsidR="00454A29" w:rsidRDefault="00454A29">
            <w:pPr>
              <w:pStyle w:val="ConsPlusNormal"/>
              <w:jc w:val="center"/>
            </w:pPr>
            <w:r>
              <w:t>-</w:t>
            </w:r>
          </w:p>
        </w:tc>
      </w:tr>
      <w:tr w:rsidR="00454A29" w14:paraId="49BD01AC" w14:textId="77777777">
        <w:tc>
          <w:tcPr>
            <w:tcW w:w="567" w:type="dxa"/>
            <w:vMerge/>
          </w:tcPr>
          <w:p w14:paraId="604BB24B" w14:textId="77777777" w:rsidR="00454A29" w:rsidRDefault="00454A29"/>
        </w:tc>
        <w:tc>
          <w:tcPr>
            <w:tcW w:w="3345" w:type="dxa"/>
            <w:vMerge/>
          </w:tcPr>
          <w:p w14:paraId="5303E1C1" w14:textId="77777777" w:rsidR="00454A29" w:rsidRDefault="00454A29"/>
        </w:tc>
        <w:tc>
          <w:tcPr>
            <w:tcW w:w="1701" w:type="dxa"/>
            <w:vAlign w:val="center"/>
          </w:tcPr>
          <w:p w14:paraId="56F88247" w14:textId="77777777" w:rsidR="00454A29" w:rsidRDefault="00454A29">
            <w:pPr>
              <w:pStyle w:val="ConsPlusNormal"/>
              <w:jc w:val="center"/>
            </w:pPr>
            <w:r>
              <w:t>2024</w:t>
            </w:r>
          </w:p>
        </w:tc>
        <w:tc>
          <w:tcPr>
            <w:tcW w:w="1417" w:type="dxa"/>
            <w:vMerge/>
          </w:tcPr>
          <w:p w14:paraId="16AABD7B" w14:textId="77777777" w:rsidR="00454A29" w:rsidRDefault="00454A29"/>
        </w:tc>
        <w:tc>
          <w:tcPr>
            <w:tcW w:w="2204" w:type="dxa"/>
            <w:vMerge/>
          </w:tcPr>
          <w:p w14:paraId="2F33C970" w14:textId="77777777" w:rsidR="00454A29" w:rsidRDefault="00454A29"/>
        </w:tc>
        <w:tc>
          <w:tcPr>
            <w:tcW w:w="1417" w:type="dxa"/>
            <w:vMerge/>
          </w:tcPr>
          <w:p w14:paraId="70C3988A" w14:textId="77777777" w:rsidR="00454A29" w:rsidRDefault="00454A29"/>
        </w:tc>
        <w:tc>
          <w:tcPr>
            <w:tcW w:w="2324" w:type="dxa"/>
            <w:vMerge/>
          </w:tcPr>
          <w:p w14:paraId="1ABFD195" w14:textId="77777777" w:rsidR="00454A29" w:rsidRDefault="00454A29"/>
        </w:tc>
        <w:tc>
          <w:tcPr>
            <w:tcW w:w="1701" w:type="dxa"/>
            <w:vAlign w:val="center"/>
          </w:tcPr>
          <w:p w14:paraId="4BD806E3" w14:textId="77777777" w:rsidR="00454A29" w:rsidRDefault="00454A29">
            <w:pPr>
              <w:pStyle w:val="ConsPlusNormal"/>
              <w:jc w:val="center"/>
            </w:pPr>
            <w:r>
              <w:t>110 940,05</w:t>
            </w:r>
          </w:p>
        </w:tc>
        <w:tc>
          <w:tcPr>
            <w:tcW w:w="1814" w:type="dxa"/>
            <w:vAlign w:val="center"/>
          </w:tcPr>
          <w:p w14:paraId="398D106D" w14:textId="77777777" w:rsidR="00454A29" w:rsidRDefault="00454A29">
            <w:pPr>
              <w:pStyle w:val="ConsPlusNormal"/>
              <w:jc w:val="center"/>
            </w:pPr>
            <w:r>
              <w:t>-</w:t>
            </w:r>
          </w:p>
        </w:tc>
        <w:tc>
          <w:tcPr>
            <w:tcW w:w="1701" w:type="dxa"/>
            <w:vAlign w:val="center"/>
          </w:tcPr>
          <w:p w14:paraId="73BBF6E4" w14:textId="77777777" w:rsidR="00454A29" w:rsidRDefault="00454A29">
            <w:pPr>
              <w:pStyle w:val="ConsPlusNormal"/>
              <w:jc w:val="center"/>
            </w:pPr>
            <w:r>
              <w:t>-</w:t>
            </w:r>
          </w:p>
        </w:tc>
        <w:tc>
          <w:tcPr>
            <w:tcW w:w="1701" w:type="dxa"/>
            <w:vAlign w:val="center"/>
          </w:tcPr>
          <w:p w14:paraId="0CFB8C1B" w14:textId="77777777" w:rsidR="00454A29" w:rsidRDefault="00454A29">
            <w:pPr>
              <w:pStyle w:val="ConsPlusNormal"/>
              <w:jc w:val="center"/>
            </w:pPr>
            <w:r>
              <w:t>110 940,05</w:t>
            </w:r>
          </w:p>
        </w:tc>
        <w:tc>
          <w:tcPr>
            <w:tcW w:w="1814" w:type="dxa"/>
            <w:vAlign w:val="center"/>
          </w:tcPr>
          <w:p w14:paraId="293AA447" w14:textId="77777777" w:rsidR="00454A29" w:rsidRDefault="00454A29">
            <w:pPr>
              <w:pStyle w:val="ConsPlusNormal"/>
              <w:jc w:val="center"/>
            </w:pPr>
            <w:r>
              <w:t>-</w:t>
            </w:r>
          </w:p>
        </w:tc>
      </w:tr>
      <w:tr w:rsidR="00454A29" w14:paraId="180CA91E" w14:textId="77777777">
        <w:tc>
          <w:tcPr>
            <w:tcW w:w="567" w:type="dxa"/>
            <w:vMerge/>
          </w:tcPr>
          <w:p w14:paraId="72F60111" w14:textId="77777777" w:rsidR="00454A29" w:rsidRDefault="00454A29"/>
        </w:tc>
        <w:tc>
          <w:tcPr>
            <w:tcW w:w="3345" w:type="dxa"/>
            <w:vMerge/>
          </w:tcPr>
          <w:p w14:paraId="6293E45B" w14:textId="77777777" w:rsidR="00454A29" w:rsidRDefault="00454A29"/>
        </w:tc>
        <w:tc>
          <w:tcPr>
            <w:tcW w:w="1701" w:type="dxa"/>
            <w:vAlign w:val="center"/>
          </w:tcPr>
          <w:p w14:paraId="5EAC6893" w14:textId="77777777" w:rsidR="00454A29" w:rsidRDefault="00454A29">
            <w:pPr>
              <w:pStyle w:val="ConsPlusNormal"/>
              <w:jc w:val="center"/>
            </w:pPr>
            <w:r>
              <w:t>2025</w:t>
            </w:r>
          </w:p>
        </w:tc>
        <w:tc>
          <w:tcPr>
            <w:tcW w:w="1417" w:type="dxa"/>
            <w:vMerge/>
          </w:tcPr>
          <w:p w14:paraId="1734B05D" w14:textId="77777777" w:rsidR="00454A29" w:rsidRDefault="00454A29"/>
        </w:tc>
        <w:tc>
          <w:tcPr>
            <w:tcW w:w="2204" w:type="dxa"/>
            <w:vMerge/>
          </w:tcPr>
          <w:p w14:paraId="5B5E94E8" w14:textId="77777777" w:rsidR="00454A29" w:rsidRDefault="00454A29"/>
        </w:tc>
        <w:tc>
          <w:tcPr>
            <w:tcW w:w="1417" w:type="dxa"/>
            <w:vMerge/>
          </w:tcPr>
          <w:p w14:paraId="5683802A" w14:textId="77777777" w:rsidR="00454A29" w:rsidRDefault="00454A29"/>
        </w:tc>
        <w:tc>
          <w:tcPr>
            <w:tcW w:w="2324" w:type="dxa"/>
            <w:vMerge/>
          </w:tcPr>
          <w:p w14:paraId="0DD8BD14" w14:textId="77777777" w:rsidR="00454A29" w:rsidRDefault="00454A29"/>
        </w:tc>
        <w:tc>
          <w:tcPr>
            <w:tcW w:w="1701" w:type="dxa"/>
            <w:vAlign w:val="center"/>
          </w:tcPr>
          <w:p w14:paraId="4EDA585E" w14:textId="77777777" w:rsidR="00454A29" w:rsidRDefault="00454A29">
            <w:pPr>
              <w:pStyle w:val="ConsPlusNormal"/>
              <w:jc w:val="center"/>
            </w:pPr>
            <w:r>
              <w:t>128 563,19</w:t>
            </w:r>
          </w:p>
        </w:tc>
        <w:tc>
          <w:tcPr>
            <w:tcW w:w="1814" w:type="dxa"/>
            <w:vAlign w:val="center"/>
          </w:tcPr>
          <w:p w14:paraId="297CFF84" w14:textId="77777777" w:rsidR="00454A29" w:rsidRDefault="00454A29">
            <w:pPr>
              <w:pStyle w:val="ConsPlusNormal"/>
              <w:jc w:val="center"/>
            </w:pPr>
            <w:r>
              <w:t>-</w:t>
            </w:r>
          </w:p>
        </w:tc>
        <w:tc>
          <w:tcPr>
            <w:tcW w:w="1701" w:type="dxa"/>
            <w:vAlign w:val="center"/>
          </w:tcPr>
          <w:p w14:paraId="3B633DF9" w14:textId="77777777" w:rsidR="00454A29" w:rsidRDefault="00454A29">
            <w:pPr>
              <w:pStyle w:val="ConsPlusNormal"/>
              <w:jc w:val="center"/>
            </w:pPr>
            <w:r>
              <w:t>-</w:t>
            </w:r>
          </w:p>
        </w:tc>
        <w:tc>
          <w:tcPr>
            <w:tcW w:w="1701" w:type="dxa"/>
            <w:vAlign w:val="center"/>
          </w:tcPr>
          <w:p w14:paraId="694D5D2F" w14:textId="77777777" w:rsidR="00454A29" w:rsidRDefault="00454A29">
            <w:pPr>
              <w:pStyle w:val="ConsPlusNormal"/>
              <w:jc w:val="center"/>
            </w:pPr>
            <w:r>
              <w:t>128 563,19</w:t>
            </w:r>
          </w:p>
        </w:tc>
        <w:tc>
          <w:tcPr>
            <w:tcW w:w="1814" w:type="dxa"/>
            <w:vAlign w:val="center"/>
          </w:tcPr>
          <w:p w14:paraId="57FCCB36" w14:textId="77777777" w:rsidR="00454A29" w:rsidRDefault="00454A29">
            <w:pPr>
              <w:pStyle w:val="ConsPlusNormal"/>
              <w:jc w:val="center"/>
            </w:pPr>
            <w:r>
              <w:t>-</w:t>
            </w:r>
          </w:p>
        </w:tc>
      </w:tr>
      <w:tr w:rsidR="00454A29" w14:paraId="7716BF8A" w14:textId="77777777">
        <w:tc>
          <w:tcPr>
            <w:tcW w:w="567" w:type="dxa"/>
            <w:vMerge/>
          </w:tcPr>
          <w:p w14:paraId="38C096DA" w14:textId="77777777" w:rsidR="00454A29" w:rsidRDefault="00454A29"/>
        </w:tc>
        <w:tc>
          <w:tcPr>
            <w:tcW w:w="3345" w:type="dxa"/>
            <w:vMerge/>
          </w:tcPr>
          <w:p w14:paraId="4F67F074" w14:textId="77777777" w:rsidR="00454A29" w:rsidRDefault="00454A29"/>
        </w:tc>
        <w:tc>
          <w:tcPr>
            <w:tcW w:w="1701" w:type="dxa"/>
            <w:vAlign w:val="center"/>
          </w:tcPr>
          <w:p w14:paraId="61806203" w14:textId="77777777" w:rsidR="00454A29" w:rsidRDefault="00454A29">
            <w:pPr>
              <w:pStyle w:val="ConsPlusNormal"/>
              <w:jc w:val="center"/>
            </w:pPr>
            <w:r>
              <w:t>2026</w:t>
            </w:r>
          </w:p>
        </w:tc>
        <w:tc>
          <w:tcPr>
            <w:tcW w:w="1417" w:type="dxa"/>
            <w:vMerge/>
          </w:tcPr>
          <w:p w14:paraId="153CFF0F" w14:textId="77777777" w:rsidR="00454A29" w:rsidRDefault="00454A29"/>
        </w:tc>
        <w:tc>
          <w:tcPr>
            <w:tcW w:w="2204" w:type="dxa"/>
            <w:vMerge/>
          </w:tcPr>
          <w:p w14:paraId="6011A07D" w14:textId="77777777" w:rsidR="00454A29" w:rsidRDefault="00454A29"/>
        </w:tc>
        <w:tc>
          <w:tcPr>
            <w:tcW w:w="1417" w:type="dxa"/>
            <w:vMerge/>
          </w:tcPr>
          <w:p w14:paraId="1F46C489" w14:textId="77777777" w:rsidR="00454A29" w:rsidRDefault="00454A29"/>
        </w:tc>
        <w:tc>
          <w:tcPr>
            <w:tcW w:w="2324" w:type="dxa"/>
            <w:vMerge/>
          </w:tcPr>
          <w:p w14:paraId="78EE8F89" w14:textId="77777777" w:rsidR="00454A29" w:rsidRDefault="00454A29"/>
        </w:tc>
        <w:tc>
          <w:tcPr>
            <w:tcW w:w="1701" w:type="dxa"/>
            <w:vAlign w:val="center"/>
          </w:tcPr>
          <w:p w14:paraId="73057DD1" w14:textId="77777777" w:rsidR="00454A29" w:rsidRDefault="00454A29">
            <w:pPr>
              <w:pStyle w:val="ConsPlusNormal"/>
              <w:jc w:val="center"/>
            </w:pPr>
            <w:r>
              <w:t>148 985,82</w:t>
            </w:r>
          </w:p>
        </w:tc>
        <w:tc>
          <w:tcPr>
            <w:tcW w:w="1814" w:type="dxa"/>
            <w:vAlign w:val="center"/>
          </w:tcPr>
          <w:p w14:paraId="34B8AF4A" w14:textId="77777777" w:rsidR="00454A29" w:rsidRDefault="00454A29">
            <w:pPr>
              <w:pStyle w:val="ConsPlusNormal"/>
              <w:jc w:val="center"/>
            </w:pPr>
            <w:r>
              <w:t>-</w:t>
            </w:r>
          </w:p>
        </w:tc>
        <w:tc>
          <w:tcPr>
            <w:tcW w:w="1701" w:type="dxa"/>
            <w:vAlign w:val="center"/>
          </w:tcPr>
          <w:p w14:paraId="2C29872C" w14:textId="77777777" w:rsidR="00454A29" w:rsidRDefault="00454A29">
            <w:pPr>
              <w:pStyle w:val="ConsPlusNormal"/>
              <w:jc w:val="center"/>
            </w:pPr>
            <w:r>
              <w:t>-</w:t>
            </w:r>
          </w:p>
        </w:tc>
        <w:tc>
          <w:tcPr>
            <w:tcW w:w="1701" w:type="dxa"/>
            <w:vAlign w:val="center"/>
          </w:tcPr>
          <w:p w14:paraId="50335BEE" w14:textId="77777777" w:rsidR="00454A29" w:rsidRDefault="00454A29">
            <w:pPr>
              <w:pStyle w:val="ConsPlusNormal"/>
              <w:jc w:val="center"/>
            </w:pPr>
            <w:r>
              <w:t>148 985,82</w:t>
            </w:r>
          </w:p>
        </w:tc>
        <w:tc>
          <w:tcPr>
            <w:tcW w:w="1814" w:type="dxa"/>
            <w:vAlign w:val="center"/>
          </w:tcPr>
          <w:p w14:paraId="5D5A9519" w14:textId="77777777" w:rsidR="00454A29" w:rsidRDefault="00454A29">
            <w:pPr>
              <w:pStyle w:val="ConsPlusNormal"/>
              <w:jc w:val="center"/>
            </w:pPr>
            <w:r>
              <w:t>-</w:t>
            </w:r>
          </w:p>
        </w:tc>
      </w:tr>
      <w:tr w:rsidR="00454A29" w14:paraId="22BF9672" w14:textId="77777777">
        <w:tc>
          <w:tcPr>
            <w:tcW w:w="567" w:type="dxa"/>
            <w:vMerge w:val="restart"/>
            <w:vAlign w:val="center"/>
          </w:tcPr>
          <w:p w14:paraId="3EBEFAB5" w14:textId="77777777" w:rsidR="00454A29" w:rsidRDefault="00454A29">
            <w:pPr>
              <w:pStyle w:val="ConsPlusNormal"/>
              <w:jc w:val="center"/>
            </w:pPr>
            <w:r>
              <w:t>85</w:t>
            </w:r>
          </w:p>
        </w:tc>
        <w:tc>
          <w:tcPr>
            <w:tcW w:w="3345" w:type="dxa"/>
            <w:vMerge w:val="restart"/>
            <w:vAlign w:val="center"/>
          </w:tcPr>
          <w:p w14:paraId="3FA4C90C" w14:textId="77777777" w:rsidR="00454A29" w:rsidRDefault="00454A29">
            <w:pPr>
              <w:pStyle w:val="ConsPlusNormal"/>
              <w:jc w:val="center"/>
            </w:pPr>
            <w:r>
              <w:t>УДО Центр детского творчества Детская школа искусств с концертным залом в 203 мкр. в г. Якутске</w:t>
            </w:r>
          </w:p>
        </w:tc>
        <w:tc>
          <w:tcPr>
            <w:tcW w:w="1701" w:type="dxa"/>
            <w:vAlign w:val="center"/>
          </w:tcPr>
          <w:p w14:paraId="2FC19C4A" w14:textId="77777777" w:rsidR="00454A29" w:rsidRDefault="00454A29">
            <w:pPr>
              <w:pStyle w:val="ConsPlusNormal"/>
              <w:jc w:val="center"/>
            </w:pPr>
            <w:r>
              <w:t>Всего:</w:t>
            </w:r>
          </w:p>
        </w:tc>
        <w:tc>
          <w:tcPr>
            <w:tcW w:w="1417" w:type="dxa"/>
            <w:vMerge w:val="restart"/>
            <w:vAlign w:val="center"/>
          </w:tcPr>
          <w:p w14:paraId="31958EF0" w14:textId="77777777" w:rsidR="00454A29" w:rsidRDefault="00454A29">
            <w:pPr>
              <w:pStyle w:val="ConsPlusNormal"/>
              <w:jc w:val="center"/>
            </w:pPr>
            <w:r>
              <w:t>379 934,67</w:t>
            </w:r>
          </w:p>
        </w:tc>
        <w:tc>
          <w:tcPr>
            <w:tcW w:w="2204" w:type="dxa"/>
            <w:vMerge w:val="restart"/>
            <w:vAlign w:val="center"/>
          </w:tcPr>
          <w:p w14:paraId="51994EAD" w14:textId="77777777" w:rsidR="00454A29" w:rsidRDefault="00454A29">
            <w:pPr>
              <w:pStyle w:val="ConsPlusNormal"/>
              <w:jc w:val="center"/>
            </w:pPr>
            <w:r>
              <w:t>имеется</w:t>
            </w:r>
          </w:p>
        </w:tc>
        <w:tc>
          <w:tcPr>
            <w:tcW w:w="1417" w:type="dxa"/>
            <w:vMerge w:val="restart"/>
            <w:vAlign w:val="center"/>
          </w:tcPr>
          <w:p w14:paraId="016C1340" w14:textId="77777777" w:rsidR="00454A29" w:rsidRDefault="00454A29">
            <w:pPr>
              <w:pStyle w:val="ConsPlusNormal"/>
            </w:pPr>
          </w:p>
        </w:tc>
        <w:tc>
          <w:tcPr>
            <w:tcW w:w="2324" w:type="dxa"/>
            <w:vMerge w:val="restart"/>
            <w:vAlign w:val="center"/>
          </w:tcPr>
          <w:p w14:paraId="2A2B2DE8" w14:textId="77777777" w:rsidR="00454A29" w:rsidRDefault="00454A29">
            <w:pPr>
              <w:pStyle w:val="ConsPlusNormal"/>
              <w:jc w:val="center"/>
            </w:pPr>
            <w:r>
              <w:t>Минэкономики РС(Я), ГО "город Якутск"</w:t>
            </w:r>
          </w:p>
        </w:tc>
        <w:tc>
          <w:tcPr>
            <w:tcW w:w="1701" w:type="dxa"/>
            <w:vAlign w:val="center"/>
          </w:tcPr>
          <w:p w14:paraId="558CE4D7" w14:textId="77777777" w:rsidR="00454A29" w:rsidRDefault="00454A29">
            <w:pPr>
              <w:pStyle w:val="ConsPlusNormal"/>
              <w:jc w:val="center"/>
            </w:pPr>
            <w:r>
              <w:t>1 162 235,26</w:t>
            </w:r>
          </w:p>
        </w:tc>
        <w:tc>
          <w:tcPr>
            <w:tcW w:w="1814" w:type="dxa"/>
            <w:vAlign w:val="center"/>
          </w:tcPr>
          <w:p w14:paraId="1933DCFE" w14:textId="77777777" w:rsidR="00454A29" w:rsidRDefault="00454A29">
            <w:pPr>
              <w:pStyle w:val="ConsPlusNormal"/>
              <w:jc w:val="center"/>
            </w:pPr>
            <w:r>
              <w:t>-</w:t>
            </w:r>
          </w:p>
        </w:tc>
        <w:tc>
          <w:tcPr>
            <w:tcW w:w="1701" w:type="dxa"/>
            <w:vAlign w:val="center"/>
          </w:tcPr>
          <w:p w14:paraId="75B1C600" w14:textId="77777777" w:rsidR="00454A29" w:rsidRDefault="00454A29">
            <w:pPr>
              <w:pStyle w:val="ConsPlusNormal"/>
              <w:jc w:val="center"/>
            </w:pPr>
            <w:r>
              <w:t>-</w:t>
            </w:r>
          </w:p>
        </w:tc>
        <w:tc>
          <w:tcPr>
            <w:tcW w:w="1701" w:type="dxa"/>
            <w:vAlign w:val="center"/>
          </w:tcPr>
          <w:p w14:paraId="4005E403" w14:textId="77777777" w:rsidR="00454A29" w:rsidRDefault="00454A29">
            <w:pPr>
              <w:pStyle w:val="ConsPlusNormal"/>
              <w:jc w:val="center"/>
            </w:pPr>
            <w:r>
              <w:t>782 300,59</w:t>
            </w:r>
          </w:p>
        </w:tc>
        <w:tc>
          <w:tcPr>
            <w:tcW w:w="1814" w:type="dxa"/>
            <w:vAlign w:val="center"/>
          </w:tcPr>
          <w:p w14:paraId="3D09243A" w14:textId="77777777" w:rsidR="00454A29" w:rsidRDefault="00454A29">
            <w:pPr>
              <w:pStyle w:val="ConsPlusNormal"/>
              <w:jc w:val="center"/>
            </w:pPr>
            <w:r>
              <w:t>379 934,67</w:t>
            </w:r>
          </w:p>
        </w:tc>
      </w:tr>
      <w:tr w:rsidR="00454A29" w14:paraId="4A3391C5" w14:textId="77777777">
        <w:tc>
          <w:tcPr>
            <w:tcW w:w="567" w:type="dxa"/>
            <w:vMerge/>
          </w:tcPr>
          <w:p w14:paraId="2AFB50EF" w14:textId="77777777" w:rsidR="00454A29" w:rsidRDefault="00454A29"/>
        </w:tc>
        <w:tc>
          <w:tcPr>
            <w:tcW w:w="3345" w:type="dxa"/>
            <w:vMerge/>
          </w:tcPr>
          <w:p w14:paraId="065C992D" w14:textId="77777777" w:rsidR="00454A29" w:rsidRDefault="00454A29"/>
        </w:tc>
        <w:tc>
          <w:tcPr>
            <w:tcW w:w="1701" w:type="dxa"/>
            <w:vAlign w:val="center"/>
          </w:tcPr>
          <w:p w14:paraId="296CF73D" w14:textId="77777777" w:rsidR="00454A29" w:rsidRDefault="00454A29">
            <w:pPr>
              <w:pStyle w:val="ConsPlusNormal"/>
              <w:jc w:val="center"/>
            </w:pPr>
            <w:r>
              <w:t>2016</w:t>
            </w:r>
          </w:p>
        </w:tc>
        <w:tc>
          <w:tcPr>
            <w:tcW w:w="1417" w:type="dxa"/>
            <w:vMerge/>
          </w:tcPr>
          <w:p w14:paraId="5455B939" w14:textId="77777777" w:rsidR="00454A29" w:rsidRDefault="00454A29"/>
        </w:tc>
        <w:tc>
          <w:tcPr>
            <w:tcW w:w="2204" w:type="dxa"/>
            <w:vMerge/>
          </w:tcPr>
          <w:p w14:paraId="77AFA648" w14:textId="77777777" w:rsidR="00454A29" w:rsidRDefault="00454A29"/>
        </w:tc>
        <w:tc>
          <w:tcPr>
            <w:tcW w:w="1417" w:type="dxa"/>
            <w:vMerge/>
          </w:tcPr>
          <w:p w14:paraId="288B0B8C" w14:textId="77777777" w:rsidR="00454A29" w:rsidRDefault="00454A29"/>
        </w:tc>
        <w:tc>
          <w:tcPr>
            <w:tcW w:w="2324" w:type="dxa"/>
            <w:vMerge/>
          </w:tcPr>
          <w:p w14:paraId="7946C935" w14:textId="77777777" w:rsidR="00454A29" w:rsidRDefault="00454A29"/>
        </w:tc>
        <w:tc>
          <w:tcPr>
            <w:tcW w:w="1701" w:type="dxa"/>
            <w:vAlign w:val="center"/>
          </w:tcPr>
          <w:p w14:paraId="2BA1DDCE" w14:textId="77777777" w:rsidR="00454A29" w:rsidRDefault="00454A29">
            <w:pPr>
              <w:pStyle w:val="ConsPlusNormal"/>
              <w:jc w:val="center"/>
            </w:pPr>
            <w:r>
              <w:t>397 164,47</w:t>
            </w:r>
          </w:p>
        </w:tc>
        <w:tc>
          <w:tcPr>
            <w:tcW w:w="1814" w:type="dxa"/>
            <w:vAlign w:val="center"/>
          </w:tcPr>
          <w:p w14:paraId="7BC702DF" w14:textId="77777777" w:rsidR="00454A29" w:rsidRDefault="00454A29">
            <w:pPr>
              <w:pStyle w:val="ConsPlusNormal"/>
            </w:pPr>
          </w:p>
        </w:tc>
        <w:tc>
          <w:tcPr>
            <w:tcW w:w="1701" w:type="dxa"/>
            <w:vAlign w:val="center"/>
          </w:tcPr>
          <w:p w14:paraId="1CC61974" w14:textId="77777777" w:rsidR="00454A29" w:rsidRDefault="00454A29">
            <w:pPr>
              <w:pStyle w:val="ConsPlusNormal"/>
            </w:pPr>
          </w:p>
        </w:tc>
        <w:tc>
          <w:tcPr>
            <w:tcW w:w="1701" w:type="dxa"/>
            <w:vAlign w:val="center"/>
          </w:tcPr>
          <w:p w14:paraId="76CB351A" w14:textId="77777777" w:rsidR="00454A29" w:rsidRDefault="00454A29">
            <w:pPr>
              <w:pStyle w:val="ConsPlusNormal"/>
              <w:jc w:val="center"/>
            </w:pPr>
            <w:r>
              <w:t>18 337,03</w:t>
            </w:r>
          </w:p>
        </w:tc>
        <w:tc>
          <w:tcPr>
            <w:tcW w:w="1814" w:type="dxa"/>
            <w:vAlign w:val="center"/>
          </w:tcPr>
          <w:p w14:paraId="6CC12EF6" w14:textId="77777777" w:rsidR="00454A29" w:rsidRDefault="00454A29">
            <w:pPr>
              <w:pStyle w:val="ConsPlusNormal"/>
              <w:jc w:val="center"/>
            </w:pPr>
            <w:r>
              <w:t>378 827,44</w:t>
            </w:r>
          </w:p>
        </w:tc>
      </w:tr>
      <w:tr w:rsidR="00454A29" w14:paraId="2804A324" w14:textId="77777777">
        <w:tc>
          <w:tcPr>
            <w:tcW w:w="567" w:type="dxa"/>
            <w:vMerge/>
          </w:tcPr>
          <w:p w14:paraId="376C1CE4" w14:textId="77777777" w:rsidR="00454A29" w:rsidRDefault="00454A29"/>
        </w:tc>
        <w:tc>
          <w:tcPr>
            <w:tcW w:w="3345" w:type="dxa"/>
            <w:vMerge/>
          </w:tcPr>
          <w:p w14:paraId="499D2700" w14:textId="77777777" w:rsidR="00454A29" w:rsidRDefault="00454A29"/>
        </w:tc>
        <w:tc>
          <w:tcPr>
            <w:tcW w:w="1701" w:type="dxa"/>
            <w:vAlign w:val="center"/>
          </w:tcPr>
          <w:p w14:paraId="2CEE127A" w14:textId="77777777" w:rsidR="00454A29" w:rsidRDefault="00454A29">
            <w:pPr>
              <w:pStyle w:val="ConsPlusNormal"/>
              <w:jc w:val="center"/>
            </w:pPr>
            <w:r>
              <w:t>2017</w:t>
            </w:r>
          </w:p>
        </w:tc>
        <w:tc>
          <w:tcPr>
            <w:tcW w:w="1417" w:type="dxa"/>
            <w:vMerge/>
          </w:tcPr>
          <w:p w14:paraId="4447A63D" w14:textId="77777777" w:rsidR="00454A29" w:rsidRDefault="00454A29"/>
        </w:tc>
        <w:tc>
          <w:tcPr>
            <w:tcW w:w="2204" w:type="dxa"/>
            <w:vMerge/>
          </w:tcPr>
          <w:p w14:paraId="0BC15CC9" w14:textId="77777777" w:rsidR="00454A29" w:rsidRDefault="00454A29"/>
        </w:tc>
        <w:tc>
          <w:tcPr>
            <w:tcW w:w="1417" w:type="dxa"/>
            <w:vMerge/>
          </w:tcPr>
          <w:p w14:paraId="141150B5" w14:textId="77777777" w:rsidR="00454A29" w:rsidRDefault="00454A29"/>
        </w:tc>
        <w:tc>
          <w:tcPr>
            <w:tcW w:w="2324" w:type="dxa"/>
            <w:vMerge/>
          </w:tcPr>
          <w:p w14:paraId="7751E061" w14:textId="77777777" w:rsidR="00454A29" w:rsidRDefault="00454A29"/>
        </w:tc>
        <w:tc>
          <w:tcPr>
            <w:tcW w:w="1701" w:type="dxa"/>
            <w:vAlign w:val="center"/>
          </w:tcPr>
          <w:p w14:paraId="1B19E506" w14:textId="77777777" w:rsidR="00454A29" w:rsidRDefault="00454A29">
            <w:pPr>
              <w:pStyle w:val="ConsPlusNormal"/>
              <w:jc w:val="center"/>
            </w:pPr>
            <w:r>
              <w:t>65 546,32</w:t>
            </w:r>
          </w:p>
        </w:tc>
        <w:tc>
          <w:tcPr>
            <w:tcW w:w="1814" w:type="dxa"/>
            <w:vAlign w:val="center"/>
          </w:tcPr>
          <w:p w14:paraId="4B73CD5A" w14:textId="77777777" w:rsidR="00454A29" w:rsidRDefault="00454A29">
            <w:pPr>
              <w:pStyle w:val="ConsPlusNormal"/>
            </w:pPr>
          </w:p>
        </w:tc>
        <w:tc>
          <w:tcPr>
            <w:tcW w:w="1701" w:type="dxa"/>
            <w:vAlign w:val="center"/>
          </w:tcPr>
          <w:p w14:paraId="3499DC0C" w14:textId="77777777" w:rsidR="00454A29" w:rsidRDefault="00454A29">
            <w:pPr>
              <w:pStyle w:val="ConsPlusNormal"/>
            </w:pPr>
          </w:p>
        </w:tc>
        <w:tc>
          <w:tcPr>
            <w:tcW w:w="1701" w:type="dxa"/>
            <w:vAlign w:val="center"/>
          </w:tcPr>
          <w:p w14:paraId="0D9B96D9" w14:textId="77777777" w:rsidR="00454A29" w:rsidRDefault="00454A29">
            <w:pPr>
              <w:pStyle w:val="ConsPlusNormal"/>
              <w:jc w:val="center"/>
            </w:pPr>
            <w:r>
              <w:t>64 439,09</w:t>
            </w:r>
          </w:p>
        </w:tc>
        <w:tc>
          <w:tcPr>
            <w:tcW w:w="1814" w:type="dxa"/>
            <w:vAlign w:val="center"/>
          </w:tcPr>
          <w:p w14:paraId="24F6B82F" w14:textId="77777777" w:rsidR="00454A29" w:rsidRDefault="00454A29">
            <w:pPr>
              <w:pStyle w:val="ConsPlusNormal"/>
              <w:jc w:val="center"/>
            </w:pPr>
            <w:r>
              <w:t>1 107,23</w:t>
            </w:r>
          </w:p>
        </w:tc>
      </w:tr>
      <w:tr w:rsidR="00454A29" w14:paraId="4D52010B" w14:textId="77777777">
        <w:tc>
          <w:tcPr>
            <w:tcW w:w="567" w:type="dxa"/>
            <w:vMerge/>
          </w:tcPr>
          <w:p w14:paraId="54F35B2B" w14:textId="77777777" w:rsidR="00454A29" w:rsidRDefault="00454A29"/>
        </w:tc>
        <w:tc>
          <w:tcPr>
            <w:tcW w:w="3345" w:type="dxa"/>
            <w:vMerge/>
          </w:tcPr>
          <w:p w14:paraId="16FD5837" w14:textId="77777777" w:rsidR="00454A29" w:rsidRDefault="00454A29"/>
        </w:tc>
        <w:tc>
          <w:tcPr>
            <w:tcW w:w="1701" w:type="dxa"/>
            <w:vAlign w:val="center"/>
          </w:tcPr>
          <w:p w14:paraId="102DF66C" w14:textId="77777777" w:rsidR="00454A29" w:rsidRDefault="00454A29">
            <w:pPr>
              <w:pStyle w:val="ConsPlusNormal"/>
              <w:jc w:val="center"/>
            </w:pPr>
            <w:r>
              <w:t>2018</w:t>
            </w:r>
          </w:p>
        </w:tc>
        <w:tc>
          <w:tcPr>
            <w:tcW w:w="1417" w:type="dxa"/>
            <w:vMerge/>
          </w:tcPr>
          <w:p w14:paraId="4E5348CD" w14:textId="77777777" w:rsidR="00454A29" w:rsidRDefault="00454A29"/>
        </w:tc>
        <w:tc>
          <w:tcPr>
            <w:tcW w:w="2204" w:type="dxa"/>
            <w:vMerge/>
          </w:tcPr>
          <w:p w14:paraId="6C1CC9D2" w14:textId="77777777" w:rsidR="00454A29" w:rsidRDefault="00454A29"/>
        </w:tc>
        <w:tc>
          <w:tcPr>
            <w:tcW w:w="1417" w:type="dxa"/>
            <w:vMerge/>
          </w:tcPr>
          <w:p w14:paraId="277765F7" w14:textId="77777777" w:rsidR="00454A29" w:rsidRDefault="00454A29"/>
        </w:tc>
        <w:tc>
          <w:tcPr>
            <w:tcW w:w="2324" w:type="dxa"/>
            <w:vMerge/>
          </w:tcPr>
          <w:p w14:paraId="2A8F8521" w14:textId="77777777" w:rsidR="00454A29" w:rsidRDefault="00454A29"/>
        </w:tc>
        <w:tc>
          <w:tcPr>
            <w:tcW w:w="1701" w:type="dxa"/>
            <w:vAlign w:val="center"/>
          </w:tcPr>
          <w:p w14:paraId="5EF31901" w14:textId="77777777" w:rsidR="00454A29" w:rsidRDefault="00454A29">
            <w:pPr>
              <w:pStyle w:val="ConsPlusNormal"/>
              <w:jc w:val="center"/>
            </w:pPr>
            <w:r>
              <w:t>121 785,55</w:t>
            </w:r>
          </w:p>
        </w:tc>
        <w:tc>
          <w:tcPr>
            <w:tcW w:w="1814" w:type="dxa"/>
            <w:vAlign w:val="center"/>
          </w:tcPr>
          <w:p w14:paraId="2F132949" w14:textId="77777777" w:rsidR="00454A29" w:rsidRDefault="00454A29">
            <w:pPr>
              <w:pStyle w:val="ConsPlusNormal"/>
            </w:pPr>
          </w:p>
        </w:tc>
        <w:tc>
          <w:tcPr>
            <w:tcW w:w="1701" w:type="dxa"/>
            <w:vAlign w:val="center"/>
          </w:tcPr>
          <w:p w14:paraId="0D239AE8" w14:textId="77777777" w:rsidR="00454A29" w:rsidRDefault="00454A29">
            <w:pPr>
              <w:pStyle w:val="ConsPlusNormal"/>
            </w:pPr>
          </w:p>
        </w:tc>
        <w:tc>
          <w:tcPr>
            <w:tcW w:w="1701" w:type="dxa"/>
            <w:vAlign w:val="center"/>
          </w:tcPr>
          <w:p w14:paraId="29FA7167" w14:textId="77777777" w:rsidR="00454A29" w:rsidRDefault="00454A29">
            <w:pPr>
              <w:pStyle w:val="ConsPlusNormal"/>
              <w:jc w:val="center"/>
            </w:pPr>
            <w:r>
              <w:t>121 785,55</w:t>
            </w:r>
          </w:p>
        </w:tc>
        <w:tc>
          <w:tcPr>
            <w:tcW w:w="1814" w:type="dxa"/>
            <w:vAlign w:val="center"/>
          </w:tcPr>
          <w:p w14:paraId="07DD3BF6" w14:textId="77777777" w:rsidR="00454A29" w:rsidRDefault="00454A29">
            <w:pPr>
              <w:pStyle w:val="ConsPlusNormal"/>
            </w:pPr>
          </w:p>
        </w:tc>
      </w:tr>
      <w:tr w:rsidR="00454A29" w14:paraId="6312974E" w14:textId="77777777">
        <w:tc>
          <w:tcPr>
            <w:tcW w:w="567" w:type="dxa"/>
            <w:vMerge/>
          </w:tcPr>
          <w:p w14:paraId="5DFED112" w14:textId="77777777" w:rsidR="00454A29" w:rsidRDefault="00454A29"/>
        </w:tc>
        <w:tc>
          <w:tcPr>
            <w:tcW w:w="3345" w:type="dxa"/>
            <w:vMerge/>
          </w:tcPr>
          <w:p w14:paraId="13A783B9" w14:textId="77777777" w:rsidR="00454A29" w:rsidRDefault="00454A29"/>
        </w:tc>
        <w:tc>
          <w:tcPr>
            <w:tcW w:w="1701" w:type="dxa"/>
            <w:vAlign w:val="center"/>
          </w:tcPr>
          <w:p w14:paraId="1C74FE11" w14:textId="77777777" w:rsidR="00454A29" w:rsidRDefault="00454A29">
            <w:pPr>
              <w:pStyle w:val="ConsPlusNormal"/>
              <w:jc w:val="center"/>
            </w:pPr>
            <w:r>
              <w:t>2019</w:t>
            </w:r>
          </w:p>
        </w:tc>
        <w:tc>
          <w:tcPr>
            <w:tcW w:w="1417" w:type="dxa"/>
            <w:vMerge/>
          </w:tcPr>
          <w:p w14:paraId="4F438BF2" w14:textId="77777777" w:rsidR="00454A29" w:rsidRDefault="00454A29"/>
        </w:tc>
        <w:tc>
          <w:tcPr>
            <w:tcW w:w="2204" w:type="dxa"/>
            <w:vMerge/>
          </w:tcPr>
          <w:p w14:paraId="6D5C9E79" w14:textId="77777777" w:rsidR="00454A29" w:rsidRDefault="00454A29"/>
        </w:tc>
        <w:tc>
          <w:tcPr>
            <w:tcW w:w="1417" w:type="dxa"/>
            <w:vMerge/>
          </w:tcPr>
          <w:p w14:paraId="153886D0" w14:textId="77777777" w:rsidR="00454A29" w:rsidRDefault="00454A29"/>
        </w:tc>
        <w:tc>
          <w:tcPr>
            <w:tcW w:w="2324" w:type="dxa"/>
            <w:vMerge/>
          </w:tcPr>
          <w:p w14:paraId="3498A0F8" w14:textId="77777777" w:rsidR="00454A29" w:rsidRDefault="00454A29"/>
        </w:tc>
        <w:tc>
          <w:tcPr>
            <w:tcW w:w="1701" w:type="dxa"/>
            <w:vAlign w:val="center"/>
          </w:tcPr>
          <w:p w14:paraId="5E6427E7" w14:textId="77777777" w:rsidR="00454A29" w:rsidRDefault="00454A29">
            <w:pPr>
              <w:pStyle w:val="ConsPlusNormal"/>
              <w:jc w:val="center"/>
            </w:pPr>
            <w:r>
              <w:t>156 816,20</w:t>
            </w:r>
          </w:p>
        </w:tc>
        <w:tc>
          <w:tcPr>
            <w:tcW w:w="1814" w:type="dxa"/>
            <w:vAlign w:val="center"/>
          </w:tcPr>
          <w:p w14:paraId="435BB2A4" w14:textId="77777777" w:rsidR="00454A29" w:rsidRDefault="00454A29">
            <w:pPr>
              <w:pStyle w:val="ConsPlusNormal"/>
            </w:pPr>
          </w:p>
        </w:tc>
        <w:tc>
          <w:tcPr>
            <w:tcW w:w="1701" w:type="dxa"/>
            <w:vAlign w:val="center"/>
          </w:tcPr>
          <w:p w14:paraId="2FE122BC" w14:textId="77777777" w:rsidR="00454A29" w:rsidRDefault="00454A29">
            <w:pPr>
              <w:pStyle w:val="ConsPlusNormal"/>
            </w:pPr>
          </w:p>
        </w:tc>
        <w:tc>
          <w:tcPr>
            <w:tcW w:w="1701" w:type="dxa"/>
            <w:vAlign w:val="center"/>
          </w:tcPr>
          <w:p w14:paraId="6AFE4203" w14:textId="77777777" w:rsidR="00454A29" w:rsidRDefault="00454A29">
            <w:pPr>
              <w:pStyle w:val="ConsPlusNormal"/>
              <w:jc w:val="center"/>
            </w:pPr>
            <w:r>
              <w:t>156 816,20</w:t>
            </w:r>
          </w:p>
        </w:tc>
        <w:tc>
          <w:tcPr>
            <w:tcW w:w="1814" w:type="dxa"/>
            <w:vAlign w:val="center"/>
          </w:tcPr>
          <w:p w14:paraId="37376460" w14:textId="77777777" w:rsidR="00454A29" w:rsidRDefault="00454A29">
            <w:pPr>
              <w:pStyle w:val="ConsPlusNormal"/>
            </w:pPr>
          </w:p>
        </w:tc>
      </w:tr>
      <w:tr w:rsidR="00454A29" w14:paraId="57538078" w14:textId="77777777">
        <w:tc>
          <w:tcPr>
            <w:tcW w:w="567" w:type="dxa"/>
            <w:vMerge/>
          </w:tcPr>
          <w:p w14:paraId="5B4382C5" w14:textId="77777777" w:rsidR="00454A29" w:rsidRDefault="00454A29"/>
        </w:tc>
        <w:tc>
          <w:tcPr>
            <w:tcW w:w="3345" w:type="dxa"/>
            <w:vMerge/>
          </w:tcPr>
          <w:p w14:paraId="47FCADF0" w14:textId="77777777" w:rsidR="00454A29" w:rsidRDefault="00454A29"/>
        </w:tc>
        <w:tc>
          <w:tcPr>
            <w:tcW w:w="1701" w:type="dxa"/>
            <w:vAlign w:val="center"/>
          </w:tcPr>
          <w:p w14:paraId="43A99905" w14:textId="77777777" w:rsidR="00454A29" w:rsidRDefault="00454A29">
            <w:pPr>
              <w:pStyle w:val="ConsPlusNormal"/>
              <w:jc w:val="center"/>
            </w:pPr>
            <w:r>
              <w:t>2020</w:t>
            </w:r>
          </w:p>
        </w:tc>
        <w:tc>
          <w:tcPr>
            <w:tcW w:w="1417" w:type="dxa"/>
            <w:vMerge/>
          </w:tcPr>
          <w:p w14:paraId="5C601D92" w14:textId="77777777" w:rsidR="00454A29" w:rsidRDefault="00454A29"/>
        </w:tc>
        <w:tc>
          <w:tcPr>
            <w:tcW w:w="2204" w:type="dxa"/>
            <w:vMerge/>
          </w:tcPr>
          <w:p w14:paraId="6E5B5230" w14:textId="77777777" w:rsidR="00454A29" w:rsidRDefault="00454A29"/>
        </w:tc>
        <w:tc>
          <w:tcPr>
            <w:tcW w:w="1417" w:type="dxa"/>
            <w:vMerge/>
          </w:tcPr>
          <w:p w14:paraId="406CE7B6" w14:textId="77777777" w:rsidR="00454A29" w:rsidRDefault="00454A29"/>
        </w:tc>
        <w:tc>
          <w:tcPr>
            <w:tcW w:w="2324" w:type="dxa"/>
            <w:vMerge/>
          </w:tcPr>
          <w:p w14:paraId="2D01F6BA" w14:textId="77777777" w:rsidR="00454A29" w:rsidRDefault="00454A29"/>
        </w:tc>
        <w:tc>
          <w:tcPr>
            <w:tcW w:w="1701" w:type="dxa"/>
            <w:vAlign w:val="center"/>
          </w:tcPr>
          <w:p w14:paraId="3F630D98" w14:textId="77777777" w:rsidR="00454A29" w:rsidRDefault="00454A29">
            <w:pPr>
              <w:pStyle w:val="ConsPlusNormal"/>
              <w:jc w:val="center"/>
            </w:pPr>
            <w:r>
              <w:t>37 009,07</w:t>
            </w:r>
          </w:p>
        </w:tc>
        <w:tc>
          <w:tcPr>
            <w:tcW w:w="1814" w:type="dxa"/>
            <w:vAlign w:val="center"/>
          </w:tcPr>
          <w:p w14:paraId="560D59C2" w14:textId="77777777" w:rsidR="00454A29" w:rsidRDefault="00454A29">
            <w:pPr>
              <w:pStyle w:val="ConsPlusNormal"/>
            </w:pPr>
          </w:p>
        </w:tc>
        <w:tc>
          <w:tcPr>
            <w:tcW w:w="1701" w:type="dxa"/>
            <w:vAlign w:val="center"/>
          </w:tcPr>
          <w:p w14:paraId="593943A3" w14:textId="77777777" w:rsidR="00454A29" w:rsidRDefault="00454A29">
            <w:pPr>
              <w:pStyle w:val="ConsPlusNormal"/>
            </w:pPr>
          </w:p>
        </w:tc>
        <w:tc>
          <w:tcPr>
            <w:tcW w:w="1701" w:type="dxa"/>
            <w:vAlign w:val="center"/>
          </w:tcPr>
          <w:p w14:paraId="04E4AE18" w14:textId="77777777" w:rsidR="00454A29" w:rsidRDefault="00454A29">
            <w:pPr>
              <w:pStyle w:val="ConsPlusNormal"/>
              <w:jc w:val="center"/>
            </w:pPr>
            <w:r>
              <w:t>37 009,07</w:t>
            </w:r>
          </w:p>
        </w:tc>
        <w:tc>
          <w:tcPr>
            <w:tcW w:w="1814" w:type="dxa"/>
            <w:vAlign w:val="center"/>
          </w:tcPr>
          <w:p w14:paraId="53F77515" w14:textId="77777777" w:rsidR="00454A29" w:rsidRDefault="00454A29">
            <w:pPr>
              <w:pStyle w:val="ConsPlusNormal"/>
            </w:pPr>
          </w:p>
        </w:tc>
      </w:tr>
      <w:tr w:rsidR="00454A29" w14:paraId="5C52A778" w14:textId="77777777">
        <w:tc>
          <w:tcPr>
            <w:tcW w:w="567" w:type="dxa"/>
            <w:vMerge/>
          </w:tcPr>
          <w:p w14:paraId="39744D44" w14:textId="77777777" w:rsidR="00454A29" w:rsidRDefault="00454A29"/>
        </w:tc>
        <w:tc>
          <w:tcPr>
            <w:tcW w:w="3345" w:type="dxa"/>
            <w:vMerge/>
          </w:tcPr>
          <w:p w14:paraId="3DC50318" w14:textId="77777777" w:rsidR="00454A29" w:rsidRDefault="00454A29"/>
        </w:tc>
        <w:tc>
          <w:tcPr>
            <w:tcW w:w="1701" w:type="dxa"/>
            <w:vAlign w:val="center"/>
          </w:tcPr>
          <w:p w14:paraId="4A147DF2" w14:textId="77777777" w:rsidR="00454A29" w:rsidRDefault="00454A29">
            <w:pPr>
              <w:pStyle w:val="ConsPlusNormal"/>
              <w:jc w:val="center"/>
            </w:pPr>
            <w:r>
              <w:t>2021</w:t>
            </w:r>
          </w:p>
        </w:tc>
        <w:tc>
          <w:tcPr>
            <w:tcW w:w="1417" w:type="dxa"/>
            <w:vMerge/>
          </w:tcPr>
          <w:p w14:paraId="0F3078AB" w14:textId="77777777" w:rsidR="00454A29" w:rsidRDefault="00454A29"/>
        </w:tc>
        <w:tc>
          <w:tcPr>
            <w:tcW w:w="2204" w:type="dxa"/>
            <w:vMerge/>
          </w:tcPr>
          <w:p w14:paraId="51920419" w14:textId="77777777" w:rsidR="00454A29" w:rsidRDefault="00454A29"/>
        </w:tc>
        <w:tc>
          <w:tcPr>
            <w:tcW w:w="1417" w:type="dxa"/>
            <w:vMerge/>
          </w:tcPr>
          <w:p w14:paraId="69B413F6" w14:textId="77777777" w:rsidR="00454A29" w:rsidRDefault="00454A29"/>
        </w:tc>
        <w:tc>
          <w:tcPr>
            <w:tcW w:w="2324" w:type="dxa"/>
            <w:vMerge/>
          </w:tcPr>
          <w:p w14:paraId="3C6EBF40" w14:textId="77777777" w:rsidR="00454A29" w:rsidRDefault="00454A29"/>
        </w:tc>
        <w:tc>
          <w:tcPr>
            <w:tcW w:w="1701" w:type="dxa"/>
            <w:vAlign w:val="center"/>
          </w:tcPr>
          <w:p w14:paraId="7FABCFE4" w14:textId="77777777" w:rsidR="00454A29" w:rsidRDefault="00454A29">
            <w:pPr>
              <w:pStyle w:val="ConsPlusNormal"/>
              <w:jc w:val="center"/>
            </w:pPr>
            <w:r>
              <w:t>42 888,07</w:t>
            </w:r>
          </w:p>
        </w:tc>
        <w:tc>
          <w:tcPr>
            <w:tcW w:w="1814" w:type="dxa"/>
            <w:vAlign w:val="center"/>
          </w:tcPr>
          <w:p w14:paraId="7D534F44" w14:textId="77777777" w:rsidR="00454A29" w:rsidRDefault="00454A29">
            <w:pPr>
              <w:pStyle w:val="ConsPlusNormal"/>
            </w:pPr>
          </w:p>
        </w:tc>
        <w:tc>
          <w:tcPr>
            <w:tcW w:w="1701" w:type="dxa"/>
            <w:vAlign w:val="center"/>
          </w:tcPr>
          <w:p w14:paraId="0014E436" w14:textId="77777777" w:rsidR="00454A29" w:rsidRDefault="00454A29">
            <w:pPr>
              <w:pStyle w:val="ConsPlusNormal"/>
            </w:pPr>
          </w:p>
        </w:tc>
        <w:tc>
          <w:tcPr>
            <w:tcW w:w="1701" w:type="dxa"/>
            <w:vAlign w:val="center"/>
          </w:tcPr>
          <w:p w14:paraId="3C838C83" w14:textId="77777777" w:rsidR="00454A29" w:rsidRDefault="00454A29">
            <w:pPr>
              <w:pStyle w:val="ConsPlusNormal"/>
              <w:jc w:val="center"/>
            </w:pPr>
            <w:r>
              <w:t>42 888,07</w:t>
            </w:r>
          </w:p>
        </w:tc>
        <w:tc>
          <w:tcPr>
            <w:tcW w:w="1814" w:type="dxa"/>
            <w:vAlign w:val="center"/>
          </w:tcPr>
          <w:p w14:paraId="1DB24D78" w14:textId="77777777" w:rsidR="00454A29" w:rsidRDefault="00454A29">
            <w:pPr>
              <w:pStyle w:val="ConsPlusNormal"/>
            </w:pPr>
          </w:p>
        </w:tc>
      </w:tr>
      <w:tr w:rsidR="00454A29" w14:paraId="1EB9AA49" w14:textId="77777777">
        <w:tc>
          <w:tcPr>
            <w:tcW w:w="567" w:type="dxa"/>
            <w:vMerge/>
          </w:tcPr>
          <w:p w14:paraId="69EF8D3E" w14:textId="77777777" w:rsidR="00454A29" w:rsidRDefault="00454A29"/>
        </w:tc>
        <w:tc>
          <w:tcPr>
            <w:tcW w:w="3345" w:type="dxa"/>
            <w:vMerge/>
          </w:tcPr>
          <w:p w14:paraId="260A7DE2" w14:textId="77777777" w:rsidR="00454A29" w:rsidRDefault="00454A29"/>
        </w:tc>
        <w:tc>
          <w:tcPr>
            <w:tcW w:w="1701" w:type="dxa"/>
            <w:vAlign w:val="center"/>
          </w:tcPr>
          <w:p w14:paraId="7B8C1254" w14:textId="77777777" w:rsidR="00454A29" w:rsidRDefault="00454A29">
            <w:pPr>
              <w:pStyle w:val="ConsPlusNormal"/>
              <w:jc w:val="center"/>
            </w:pPr>
            <w:r>
              <w:t>2022</w:t>
            </w:r>
          </w:p>
        </w:tc>
        <w:tc>
          <w:tcPr>
            <w:tcW w:w="1417" w:type="dxa"/>
            <w:vMerge/>
          </w:tcPr>
          <w:p w14:paraId="47A80871" w14:textId="77777777" w:rsidR="00454A29" w:rsidRDefault="00454A29"/>
        </w:tc>
        <w:tc>
          <w:tcPr>
            <w:tcW w:w="2204" w:type="dxa"/>
            <w:vMerge/>
          </w:tcPr>
          <w:p w14:paraId="1458AE7F" w14:textId="77777777" w:rsidR="00454A29" w:rsidRDefault="00454A29"/>
        </w:tc>
        <w:tc>
          <w:tcPr>
            <w:tcW w:w="1417" w:type="dxa"/>
            <w:vMerge/>
          </w:tcPr>
          <w:p w14:paraId="292AF0A4" w14:textId="77777777" w:rsidR="00454A29" w:rsidRDefault="00454A29"/>
        </w:tc>
        <w:tc>
          <w:tcPr>
            <w:tcW w:w="2324" w:type="dxa"/>
            <w:vMerge/>
          </w:tcPr>
          <w:p w14:paraId="6F5E8763" w14:textId="77777777" w:rsidR="00454A29" w:rsidRDefault="00454A29"/>
        </w:tc>
        <w:tc>
          <w:tcPr>
            <w:tcW w:w="1701" w:type="dxa"/>
            <w:vAlign w:val="center"/>
          </w:tcPr>
          <w:p w14:paraId="187CC991" w14:textId="77777777" w:rsidR="00454A29" w:rsidRDefault="00454A29">
            <w:pPr>
              <w:pStyle w:val="ConsPlusNormal"/>
              <w:jc w:val="center"/>
            </w:pPr>
            <w:r>
              <w:t>49 700,96</w:t>
            </w:r>
          </w:p>
        </w:tc>
        <w:tc>
          <w:tcPr>
            <w:tcW w:w="1814" w:type="dxa"/>
            <w:vAlign w:val="center"/>
          </w:tcPr>
          <w:p w14:paraId="064D8909" w14:textId="77777777" w:rsidR="00454A29" w:rsidRDefault="00454A29">
            <w:pPr>
              <w:pStyle w:val="ConsPlusNormal"/>
            </w:pPr>
          </w:p>
        </w:tc>
        <w:tc>
          <w:tcPr>
            <w:tcW w:w="1701" w:type="dxa"/>
            <w:vAlign w:val="center"/>
          </w:tcPr>
          <w:p w14:paraId="678ECB13" w14:textId="77777777" w:rsidR="00454A29" w:rsidRDefault="00454A29">
            <w:pPr>
              <w:pStyle w:val="ConsPlusNormal"/>
            </w:pPr>
          </w:p>
        </w:tc>
        <w:tc>
          <w:tcPr>
            <w:tcW w:w="1701" w:type="dxa"/>
            <w:vAlign w:val="center"/>
          </w:tcPr>
          <w:p w14:paraId="6C118991" w14:textId="77777777" w:rsidR="00454A29" w:rsidRDefault="00454A29">
            <w:pPr>
              <w:pStyle w:val="ConsPlusNormal"/>
              <w:jc w:val="center"/>
            </w:pPr>
            <w:r>
              <w:t>49 700,96</w:t>
            </w:r>
          </w:p>
        </w:tc>
        <w:tc>
          <w:tcPr>
            <w:tcW w:w="1814" w:type="dxa"/>
            <w:vAlign w:val="center"/>
          </w:tcPr>
          <w:p w14:paraId="77D76E91" w14:textId="77777777" w:rsidR="00454A29" w:rsidRDefault="00454A29">
            <w:pPr>
              <w:pStyle w:val="ConsPlusNormal"/>
            </w:pPr>
          </w:p>
        </w:tc>
      </w:tr>
      <w:tr w:rsidR="00454A29" w14:paraId="5262746A" w14:textId="77777777">
        <w:tc>
          <w:tcPr>
            <w:tcW w:w="567" w:type="dxa"/>
            <w:vMerge/>
          </w:tcPr>
          <w:p w14:paraId="53C684DD" w14:textId="77777777" w:rsidR="00454A29" w:rsidRDefault="00454A29"/>
        </w:tc>
        <w:tc>
          <w:tcPr>
            <w:tcW w:w="3345" w:type="dxa"/>
            <w:vMerge/>
          </w:tcPr>
          <w:p w14:paraId="01E40408" w14:textId="77777777" w:rsidR="00454A29" w:rsidRDefault="00454A29"/>
        </w:tc>
        <w:tc>
          <w:tcPr>
            <w:tcW w:w="1701" w:type="dxa"/>
            <w:vAlign w:val="center"/>
          </w:tcPr>
          <w:p w14:paraId="237B500B" w14:textId="77777777" w:rsidR="00454A29" w:rsidRDefault="00454A29">
            <w:pPr>
              <w:pStyle w:val="ConsPlusNormal"/>
              <w:jc w:val="center"/>
            </w:pPr>
            <w:r>
              <w:t>2023</w:t>
            </w:r>
          </w:p>
        </w:tc>
        <w:tc>
          <w:tcPr>
            <w:tcW w:w="1417" w:type="dxa"/>
            <w:vMerge/>
          </w:tcPr>
          <w:p w14:paraId="4CBA851F" w14:textId="77777777" w:rsidR="00454A29" w:rsidRDefault="00454A29"/>
        </w:tc>
        <w:tc>
          <w:tcPr>
            <w:tcW w:w="2204" w:type="dxa"/>
            <w:vMerge/>
          </w:tcPr>
          <w:p w14:paraId="2A91DFEA" w14:textId="77777777" w:rsidR="00454A29" w:rsidRDefault="00454A29"/>
        </w:tc>
        <w:tc>
          <w:tcPr>
            <w:tcW w:w="1417" w:type="dxa"/>
            <w:vMerge/>
          </w:tcPr>
          <w:p w14:paraId="3947CBD5" w14:textId="77777777" w:rsidR="00454A29" w:rsidRDefault="00454A29"/>
        </w:tc>
        <w:tc>
          <w:tcPr>
            <w:tcW w:w="2324" w:type="dxa"/>
            <w:vMerge/>
          </w:tcPr>
          <w:p w14:paraId="12636A39" w14:textId="77777777" w:rsidR="00454A29" w:rsidRDefault="00454A29"/>
        </w:tc>
        <w:tc>
          <w:tcPr>
            <w:tcW w:w="1701" w:type="dxa"/>
            <w:vAlign w:val="center"/>
          </w:tcPr>
          <w:p w14:paraId="0AEEB6E5" w14:textId="77777777" w:rsidR="00454A29" w:rsidRDefault="00454A29">
            <w:pPr>
              <w:pStyle w:val="ConsPlusNormal"/>
              <w:jc w:val="center"/>
            </w:pPr>
            <w:r>
              <w:t>57 596,09</w:t>
            </w:r>
          </w:p>
        </w:tc>
        <w:tc>
          <w:tcPr>
            <w:tcW w:w="1814" w:type="dxa"/>
            <w:vAlign w:val="center"/>
          </w:tcPr>
          <w:p w14:paraId="02EB2CC9" w14:textId="77777777" w:rsidR="00454A29" w:rsidRDefault="00454A29">
            <w:pPr>
              <w:pStyle w:val="ConsPlusNormal"/>
            </w:pPr>
          </w:p>
        </w:tc>
        <w:tc>
          <w:tcPr>
            <w:tcW w:w="1701" w:type="dxa"/>
            <w:vAlign w:val="center"/>
          </w:tcPr>
          <w:p w14:paraId="1321DA56" w14:textId="77777777" w:rsidR="00454A29" w:rsidRDefault="00454A29">
            <w:pPr>
              <w:pStyle w:val="ConsPlusNormal"/>
            </w:pPr>
          </w:p>
        </w:tc>
        <w:tc>
          <w:tcPr>
            <w:tcW w:w="1701" w:type="dxa"/>
            <w:vAlign w:val="center"/>
          </w:tcPr>
          <w:p w14:paraId="14C1DB61" w14:textId="77777777" w:rsidR="00454A29" w:rsidRDefault="00454A29">
            <w:pPr>
              <w:pStyle w:val="ConsPlusNormal"/>
              <w:jc w:val="center"/>
            </w:pPr>
            <w:r>
              <w:t>57 596,09</w:t>
            </w:r>
          </w:p>
        </w:tc>
        <w:tc>
          <w:tcPr>
            <w:tcW w:w="1814" w:type="dxa"/>
            <w:vAlign w:val="center"/>
          </w:tcPr>
          <w:p w14:paraId="6C09E350" w14:textId="77777777" w:rsidR="00454A29" w:rsidRDefault="00454A29">
            <w:pPr>
              <w:pStyle w:val="ConsPlusNormal"/>
            </w:pPr>
          </w:p>
        </w:tc>
      </w:tr>
      <w:tr w:rsidR="00454A29" w14:paraId="4BF0B3F6" w14:textId="77777777">
        <w:tc>
          <w:tcPr>
            <w:tcW w:w="567" w:type="dxa"/>
            <w:vMerge/>
          </w:tcPr>
          <w:p w14:paraId="2618E631" w14:textId="77777777" w:rsidR="00454A29" w:rsidRDefault="00454A29"/>
        </w:tc>
        <w:tc>
          <w:tcPr>
            <w:tcW w:w="3345" w:type="dxa"/>
            <w:vMerge/>
          </w:tcPr>
          <w:p w14:paraId="2443BDEB" w14:textId="77777777" w:rsidR="00454A29" w:rsidRDefault="00454A29"/>
        </w:tc>
        <w:tc>
          <w:tcPr>
            <w:tcW w:w="1701" w:type="dxa"/>
            <w:vAlign w:val="center"/>
          </w:tcPr>
          <w:p w14:paraId="55D9AB39" w14:textId="77777777" w:rsidR="00454A29" w:rsidRDefault="00454A29">
            <w:pPr>
              <w:pStyle w:val="ConsPlusNormal"/>
              <w:jc w:val="center"/>
            </w:pPr>
            <w:r>
              <w:t>2024</w:t>
            </w:r>
          </w:p>
        </w:tc>
        <w:tc>
          <w:tcPr>
            <w:tcW w:w="1417" w:type="dxa"/>
            <w:vMerge/>
          </w:tcPr>
          <w:p w14:paraId="1A8A9528" w14:textId="77777777" w:rsidR="00454A29" w:rsidRDefault="00454A29"/>
        </w:tc>
        <w:tc>
          <w:tcPr>
            <w:tcW w:w="2204" w:type="dxa"/>
            <w:vMerge/>
          </w:tcPr>
          <w:p w14:paraId="5188E524" w14:textId="77777777" w:rsidR="00454A29" w:rsidRDefault="00454A29"/>
        </w:tc>
        <w:tc>
          <w:tcPr>
            <w:tcW w:w="1417" w:type="dxa"/>
            <w:vMerge/>
          </w:tcPr>
          <w:p w14:paraId="0BCB661B" w14:textId="77777777" w:rsidR="00454A29" w:rsidRDefault="00454A29"/>
        </w:tc>
        <w:tc>
          <w:tcPr>
            <w:tcW w:w="2324" w:type="dxa"/>
            <w:vMerge/>
          </w:tcPr>
          <w:p w14:paraId="1518CCFD" w14:textId="77777777" w:rsidR="00454A29" w:rsidRDefault="00454A29"/>
        </w:tc>
        <w:tc>
          <w:tcPr>
            <w:tcW w:w="1701" w:type="dxa"/>
            <w:vAlign w:val="center"/>
          </w:tcPr>
          <w:p w14:paraId="737CBBB5" w14:textId="77777777" w:rsidR="00454A29" w:rsidRDefault="00454A29">
            <w:pPr>
              <w:pStyle w:val="ConsPlusNormal"/>
              <w:jc w:val="center"/>
            </w:pPr>
            <w:r>
              <w:t>66 745,40</w:t>
            </w:r>
          </w:p>
        </w:tc>
        <w:tc>
          <w:tcPr>
            <w:tcW w:w="1814" w:type="dxa"/>
            <w:vAlign w:val="center"/>
          </w:tcPr>
          <w:p w14:paraId="1339F8A1" w14:textId="77777777" w:rsidR="00454A29" w:rsidRDefault="00454A29">
            <w:pPr>
              <w:pStyle w:val="ConsPlusNormal"/>
            </w:pPr>
          </w:p>
        </w:tc>
        <w:tc>
          <w:tcPr>
            <w:tcW w:w="1701" w:type="dxa"/>
            <w:vAlign w:val="center"/>
          </w:tcPr>
          <w:p w14:paraId="3204054A" w14:textId="77777777" w:rsidR="00454A29" w:rsidRDefault="00454A29">
            <w:pPr>
              <w:pStyle w:val="ConsPlusNormal"/>
            </w:pPr>
          </w:p>
        </w:tc>
        <w:tc>
          <w:tcPr>
            <w:tcW w:w="1701" w:type="dxa"/>
            <w:vAlign w:val="center"/>
          </w:tcPr>
          <w:p w14:paraId="5F4BC8B0" w14:textId="77777777" w:rsidR="00454A29" w:rsidRDefault="00454A29">
            <w:pPr>
              <w:pStyle w:val="ConsPlusNormal"/>
              <w:jc w:val="center"/>
            </w:pPr>
            <w:r>
              <w:t>66 745,40</w:t>
            </w:r>
          </w:p>
        </w:tc>
        <w:tc>
          <w:tcPr>
            <w:tcW w:w="1814" w:type="dxa"/>
            <w:vAlign w:val="center"/>
          </w:tcPr>
          <w:p w14:paraId="795EFBD9" w14:textId="77777777" w:rsidR="00454A29" w:rsidRDefault="00454A29">
            <w:pPr>
              <w:pStyle w:val="ConsPlusNormal"/>
            </w:pPr>
          </w:p>
        </w:tc>
      </w:tr>
      <w:tr w:rsidR="00454A29" w14:paraId="3C6F4062" w14:textId="77777777">
        <w:tc>
          <w:tcPr>
            <w:tcW w:w="567" w:type="dxa"/>
            <w:vMerge/>
          </w:tcPr>
          <w:p w14:paraId="6C34AF38" w14:textId="77777777" w:rsidR="00454A29" w:rsidRDefault="00454A29"/>
        </w:tc>
        <w:tc>
          <w:tcPr>
            <w:tcW w:w="3345" w:type="dxa"/>
            <w:vMerge/>
          </w:tcPr>
          <w:p w14:paraId="3C32E2CB" w14:textId="77777777" w:rsidR="00454A29" w:rsidRDefault="00454A29"/>
        </w:tc>
        <w:tc>
          <w:tcPr>
            <w:tcW w:w="1701" w:type="dxa"/>
            <w:vAlign w:val="center"/>
          </w:tcPr>
          <w:p w14:paraId="07334B82" w14:textId="77777777" w:rsidR="00454A29" w:rsidRDefault="00454A29">
            <w:pPr>
              <w:pStyle w:val="ConsPlusNormal"/>
              <w:jc w:val="center"/>
            </w:pPr>
            <w:r>
              <w:t>2025</w:t>
            </w:r>
          </w:p>
        </w:tc>
        <w:tc>
          <w:tcPr>
            <w:tcW w:w="1417" w:type="dxa"/>
            <w:vMerge/>
          </w:tcPr>
          <w:p w14:paraId="55E471D3" w14:textId="77777777" w:rsidR="00454A29" w:rsidRDefault="00454A29"/>
        </w:tc>
        <w:tc>
          <w:tcPr>
            <w:tcW w:w="2204" w:type="dxa"/>
            <w:vMerge/>
          </w:tcPr>
          <w:p w14:paraId="37EF7CF3" w14:textId="77777777" w:rsidR="00454A29" w:rsidRDefault="00454A29"/>
        </w:tc>
        <w:tc>
          <w:tcPr>
            <w:tcW w:w="1417" w:type="dxa"/>
            <w:vMerge/>
          </w:tcPr>
          <w:p w14:paraId="7999532F" w14:textId="77777777" w:rsidR="00454A29" w:rsidRDefault="00454A29"/>
        </w:tc>
        <w:tc>
          <w:tcPr>
            <w:tcW w:w="2324" w:type="dxa"/>
            <w:vMerge/>
          </w:tcPr>
          <w:p w14:paraId="0A193B46" w14:textId="77777777" w:rsidR="00454A29" w:rsidRDefault="00454A29"/>
        </w:tc>
        <w:tc>
          <w:tcPr>
            <w:tcW w:w="1701" w:type="dxa"/>
            <w:vAlign w:val="center"/>
          </w:tcPr>
          <w:p w14:paraId="05039006" w14:textId="77777777" w:rsidR="00454A29" w:rsidRDefault="00454A29">
            <w:pPr>
              <w:pStyle w:val="ConsPlusNormal"/>
              <w:jc w:val="center"/>
            </w:pPr>
            <w:r>
              <w:t>77 348,09</w:t>
            </w:r>
          </w:p>
        </w:tc>
        <w:tc>
          <w:tcPr>
            <w:tcW w:w="1814" w:type="dxa"/>
            <w:vAlign w:val="center"/>
          </w:tcPr>
          <w:p w14:paraId="74B8F45E" w14:textId="77777777" w:rsidR="00454A29" w:rsidRDefault="00454A29">
            <w:pPr>
              <w:pStyle w:val="ConsPlusNormal"/>
            </w:pPr>
          </w:p>
        </w:tc>
        <w:tc>
          <w:tcPr>
            <w:tcW w:w="1701" w:type="dxa"/>
            <w:vAlign w:val="center"/>
          </w:tcPr>
          <w:p w14:paraId="7683B135" w14:textId="77777777" w:rsidR="00454A29" w:rsidRDefault="00454A29">
            <w:pPr>
              <w:pStyle w:val="ConsPlusNormal"/>
            </w:pPr>
          </w:p>
        </w:tc>
        <w:tc>
          <w:tcPr>
            <w:tcW w:w="1701" w:type="dxa"/>
            <w:vAlign w:val="center"/>
          </w:tcPr>
          <w:p w14:paraId="35323039" w14:textId="77777777" w:rsidR="00454A29" w:rsidRDefault="00454A29">
            <w:pPr>
              <w:pStyle w:val="ConsPlusNormal"/>
              <w:jc w:val="center"/>
            </w:pPr>
            <w:r>
              <w:t>77 348,09</w:t>
            </w:r>
          </w:p>
        </w:tc>
        <w:tc>
          <w:tcPr>
            <w:tcW w:w="1814" w:type="dxa"/>
            <w:vAlign w:val="center"/>
          </w:tcPr>
          <w:p w14:paraId="6170B8D2" w14:textId="77777777" w:rsidR="00454A29" w:rsidRDefault="00454A29">
            <w:pPr>
              <w:pStyle w:val="ConsPlusNormal"/>
            </w:pPr>
          </w:p>
        </w:tc>
      </w:tr>
      <w:tr w:rsidR="00454A29" w14:paraId="6ED2A8A0" w14:textId="77777777">
        <w:tc>
          <w:tcPr>
            <w:tcW w:w="567" w:type="dxa"/>
            <w:vMerge/>
          </w:tcPr>
          <w:p w14:paraId="1305BF41" w14:textId="77777777" w:rsidR="00454A29" w:rsidRDefault="00454A29"/>
        </w:tc>
        <w:tc>
          <w:tcPr>
            <w:tcW w:w="3345" w:type="dxa"/>
            <w:vMerge/>
          </w:tcPr>
          <w:p w14:paraId="5E86D74F" w14:textId="77777777" w:rsidR="00454A29" w:rsidRDefault="00454A29"/>
        </w:tc>
        <w:tc>
          <w:tcPr>
            <w:tcW w:w="1701" w:type="dxa"/>
            <w:vAlign w:val="center"/>
          </w:tcPr>
          <w:p w14:paraId="75FEE277" w14:textId="77777777" w:rsidR="00454A29" w:rsidRDefault="00454A29">
            <w:pPr>
              <w:pStyle w:val="ConsPlusNormal"/>
              <w:jc w:val="center"/>
            </w:pPr>
            <w:r>
              <w:t>2026</w:t>
            </w:r>
          </w:p>
        </w:tc>
        <w:tc>
          <w:tcPr>
            <w:tcW w:w="1417" w:type="dxa"/>
            <w:vMerge/>
          </w:tcPr>
          <w:p w14:paraId="4E42D73B" w14:textId="77777777" w:rsidR="00454A29" w:rsidRDefault="00454A29"/>
        </w:tc>
        <w:tc>
          <w:tcPr>
            <w:tcW w:w="2204" w:type="dxa"/>
            <w:vMerge/>
          </w:tcPr>
          <w:p w14:paraId="7547D0C4" w14:textId="77777777" w:rsidR="00454A29" w:rsidRDefault="00454A29"/>
        </w:tc>
        <w:tc>
          <w:tcPr>
            <w:tcW w:w="1417" w:type="dxa"/>
            <w:vMerge/>
          </w:tcPr>
          <w:p w14:paraId="5F20E357" w14:textId="77777777" w:rsidR="00454A29" w:rsidRDefault="00454A29"/>
        </w:tc>
        <w:tc>
          <w:tcPr>
            <w:tcW w:w="2324" w:type="dxa"/>
            <w:vMerge/>
          </w:tcPr>
          <w:p w14:paraId="0BBE6F6E" w14:textId="77777777" w:rsidR="00454A29" w:rsidRDefault="00454A29"/>
        </w:tc>
        <w:tc>
          <w:tcPr>
            <w:tcW w:w="1701" w:type="dxa"/>
            <w:vAlign w:val="center"/>
          </w:tcPr>
          <w:p w14:paraId="23C574E0" w14:textId="77777777" w:rsidR="00454A29" w:rsidRDefault="00454A29">
            <w:pPr>
              <w:pStyle w:val="ConsPlusNormal"/>
              <w:jc w:val="center"/>
            </w:pPr>
            <w:r>
              <w:t>89 635,05</w:t>
            </w:r>
          </w:p>
        </w:tc>
        <w:tc>
          <w:tcPr>
            <w:tcW w:w="1814" w:type="dxa"/>
            <w:vAlign w:val="center"/>
          </w:tcPr>
          <w:p w14:paraId="69218BC4" w14:textId="77777777" w:rsidR="00454A29" w:rsidRDefault="00454A29">
            <w:pPr>
              <w:pStyle w:val="ConsPlusNormal"/>
            </w:pPr>
          </w:p>
        </w:tc>
        <w:tc>
          <w:tcPr>
            <w:tcW w:w="1701" w:type="dxa"/>
            <w:vAlign w:val="center"/>
          </w:tcPr>
          <w:p w14:paraId="46FBC89A" w14:textId="77777777" w:rsidR="00454A29" w:rsidRDefault="00454A29">
            <w:pPr>
              <w:pStyle w:val="ConsPlusNormal"/>
            </w:pPr>
          </w:p>
        </w:tc>
        <w:tc>
          <w:tcPr>
            <w:tcW w:w="1701" w:type="dxa"/>
            <w:vAlign w:val="center"/>
          </w:tcPr>
          <w:p w14:paraId="444B9316" w14:textId="77777777" w:rsidR="00454A29" w:rsidRDefault="00454A29">
            <w:pPr>
              <w:pStyle w:val="ConsPlusNormal"/>
              <w:jc w:val="center"/>
            </w:pPr>
            <w:r>
              <w:t>89 635,05</w:t>
            </w:r>
          </w:p>
        </w:tc>
        <w:tc>
          <w:tcPr>
            <w:tcW w:w="1814" w:type="dxa"/>
            <w:vAlign w:val="center"/>
          </w:tcPr>
          <w:p w14:paraId="22569659" w14:textId="77777777" w:rsidR="00454A29" w:rsidRDefault="00454A29">
            <w:pPr>
              <w:pStyle w:val="ConsPlusNormal"/>
            </w:pPr>
          </w:p>
        </w:tc>
      </w:tr>
      <w:tr w:rsidR="00454A29" w14:paraId="4B12BAC4" w14:textId="77777777">
        <w:tc>
          <w:tcPr>
            <w:tcW w:w="567" w:type="dxa"/>
            <w:vMerge w:val="restart"/>
            <w:vAlign w:val="center"/>
          </w:tcPr>
          <w:p w14:paraId="229BE93A" w14:textId="77777777" w:rsidR="00454A29" w:rsidRDefault="00454A29">
            <w:pPr>
              <w:pStyle w:val="ConsPlusNormal"/>
              <w:jc w:val="center"/>
            </w:pPr>
            <w:r>
              <w:t>86</w:t>
            </w:r>
          </w:p>
        </w:tc>
        <w:tc>
          <w:tcPr>
            <w:tcW w:w="3345" w:type="dxa"/>
            <w:vMerge w:val="restart"/>
            <w:vAlign w:val="center"/>
          </w:tcPr>
          <w:p w14:paraId="524F2D83" w14:textId="77777777" w:rsidR="00454A29" w:rsidRDefault="00454A29">
            <w:pPr>
              <w:pStyle w:val="ConsPlusNormal"/>
              <w:jc w:val="center"/>
            </w:pPr>
            <w:r>
              <w:t>УДО Центр детского творчества Библиотека в 203 мкр. в г. Якутске</w:t>
            </w:r>
          </w:p>
        </w:tc>
        <w:tc>
          <w:tcPr>
            <w:tcW w:w="1701" w:type="dxa"/>
            <w:vAlign w:val="center"/>
          </w:tcPr>
          <w:p w14:paraId="4291D374" w14:textId="77777777" w:rsidR="00454A29" w:rsidRDefault="00454A29">
            <w:pPr>
              <w:pStyle w:val="ConsPlusNormal"/>
              <w:jc w:val="center"/>
            </w:pPr>
            <w:r>
              <w:t>Всего:</w:t>
            </w:r>
          </w:p>
        </w:tc>
        <w:tc>
          <w:tcPr>
            <w:tcW w:w="1417" w:type="dxa"/>
            <w:vMerge w:val="restart"/>
            <w:vAlign w:val="center"/>
          </w:tcPr>
          <w:p w14:paraId="6F69F350" w14:textId="77777777" w:rsidR="00454A29" w:rsidRDefault="00454A29">
            <w:pPr>
              <w:pStyle w:val="ConsPlusNormal"/>
              <w:jc w:val="center"/>
            </w:pPr>
            <w:r>
              <w:t>402 340,63</w:t>
            </w:r>
          </w:p>
        </w:tc>
        <w:tc>
          <w:tcPr>
            <w:tcW w:w="2204" w:type="dxa"/>
            <w:vMerge w:val="restart"/>
            <w:vAlign w:val="center"/>
          </w:tcPr>
          <w:p w14:paraId="4EA82CA9" w14:textId="77777777" w:rsidR="00454A29" w:rsidRDefault="00454A29">
            <w:pPr>
              <w:pStyle w:val="ConsPlusNormal"/>
              <w:jc w:val="center"/>
            </w:pPr>
            <w:r>
              <w:t>имеется</w:t>
            </w:r>
          </w:p>
        </w:tc>
        <w:tc>
          <w:tcPr>
            <w:tcW w:w="1417" w:type="dxa"/>
            <w:vMerge w:val="restart"/>
            <w:vAlign w:val="center"/>
          </w:tcPr>
          <w:p w14:paraId="24C63F1D" w14:textId="77777777" w:rsidR="00454A29" w:rsidRDefault="00454A29">
            <w:pPr>
              <w:pStyle w:val="ConsPlusNormal"/>
            </w:pPr>
          </w:p>
        </w:tc>
        <w:tc>
          <w:tcPr>
            <w:tcW w:w="2324" w:type="dxa"/>
            <w:vMerge w:val="restart"/>
            <w:vAlign w:val="center"/>
          </w:tcPr>
          <w:p w14:paraId="64700EB4" w14:textId="77777777" w:rsidR="00454A29" w:rsidRDefault="00454A29">
            <w:pPr>
              <w:pStyle w:val="ConsPlusNormal"/>
              <w:jc w:val="center"/>
            </w:pPr>
            <w:r>
              <w:t>Минэкономики РС(Я), ГО "город Якутск"</w:t>
            </w:r>
          </w:p>
        </w:tc>
        <w:tc>
          <w:tcPr>
            <w:tcW w:w="1701" w:type="dxa"/>
            <w:vAlign w:val="center"/>
          </w:tcPr>
          <w:p w14:paraId="39F1010F" w14:textId="77777777" w:rsidR="00454A29" w:rsidRDefault="00454A29">
            <w:pPr>
              <w:pStyle w:val="ConsPlusNormal"/>
              <w:jc w:val="center"/>
            </w:pPr>
            <w:r>
              <w:t>1 014 299,81</w:t>
            </w:r>
          </w:p>
        </w:tc>
        <w:tc>
          <w:tcPr>
            <w:tcW w:w="1814" w:type="dxa"/>
            <w:vAlign w:val="center"/>
          </w:tcPr>
          <w:p w14:paraId="6DC264FA" w14:textId="77777777" w:rsidR="00454A29" w:rsidRDefault="00454A29">
            <w:pPr>
              <w:pStyle w:val="ConsPlusNormal"/>
              <w:jc w:val="center"/>
            </w:pPr>
            <w:r>
              <w:t>-</w:t>
            </w:r>
          </w:p>
        </w:tc>
        <w:tc>
          <w:tcPr>
            <w:tcW w:w="1701" w:type="dxa"/>
            <w:vAlign w:val="center"/>
          </w:tcPr>
          <w:p w14:paraId="55A8C46E" w14:textId="77777777" w:rsidR="00454A29" w:rsidRDefault="00454A29">
            <w:pPr>
              <w:pStyle w:val="ConsPlusNormal"/>
              <w:jc w:val="center"/>
            </w:pPr>
            <w:r>
              <w:t>-</w:t>
            </w:r>
          </w:p>
        </w:tc>
        <w:tc>
          <w:tcPr>
            <w:tcW w:w="1701" w:type="dxa"/>
            <w:vAlign w:val="center"/>
          </w:tcPr>
          <w:p w14:paraId="4684824F" w14:textId="77777777" w:rsidR="00454A29" w:rsidRDefault="00454A29">
            <w:pPr>
              <w:pStyle w:val="ConsPlusNormal"/>
              <w:jc w:val="center"/>
            </w:pPr>
            <w:r>
              <w:t>611 959,18</w:t>
            </w:r>
          </w:p>
        </w:tc>
        <w:tc>
          <w:tcPr>
            <w:tcW w:w="1814" w:type="dxa"/>
            <w:vAlign w:val="center"/>
          </w:tcPr>
          <w:p w14:paraId="6487DC13" w14:textId="77777777" w:rsidR="00454A29" w:rsidRDefault="00454A29">
            <w:pPr>
              <w:pStyle w:val="ConsPlusNormal"/>
              <w:jc w:val="center"/>
            </w:pPr>
            <w:r>
              <w:t>402 340,63</w:t>
            </w:r>
          </w:p>
        </w:tc>
      </w:tr>
      <w:tr w:rsidR="00454A29" w14:paraId="28752334" w14:textId="77777777">
        <w:tc>
          <w:tcPr>
            <w:tcW w:w="567" w:type="dxa"/>
            <w:vMerge/>
          </w:tcPr>
          <w:p w14:paraId="2893C054" w14:textId="77777777" w:rsidR="00454A29" w:rsidRDefault="00454A29"/>
        </w:tc>
        <w:tc>
          <w:tcPr>
            <w:tcW w:w="3345" w:type="dxa"/>
            <w:vMerge/>
          </w:tcPr>
          <w:p w14:paraId="47462929" w14:textId="77777777" w:rsidR="00454A29" w:rsidRDefault="00454A29"/>
        </w:tc>
        <w:tc>
          <w:tcPr>
            <w:tcW w:w="1701" w:type="dxa"/>
            <w:vAlign w:val="center"/>
          </w:tcPr>
          <w:p w14:paraId="69A5F125" w14:textId="77777777" w:rsidR="00454A29" w:rsidRDefault="00454A29">
            <w:pPr>
              <w:pStyle w:val="ConsPlusNormal"/>
              <w:jc w:val="center"/>
            </w:pPr>
            <w:r>
              <w:t>2016</w:t>
            </w:r>
          </w:p>
        </w:tc>
        <w:tc>
          <w:tcPr>
            <w:tcW w:w="1417" w:type="dxa"/>
            <w:vMerge/>
          </w:tcPr>
          <w:p w14:paraId="1E20FDD2" w14:textId="77777777" w:rsidR="00454A29" w:rsidRDefault="00454A29"/>
        </w:tc>
        <w:tc>
          <w:tcPr>
            <w:tcW w:w="2204" w:type="dxa"/>
            <w:vMerge/>
          </w:tcPr>
          <w:p w14:paraId="72B631E9" w14:textId="77777777" w:rsidR="00454A29" w:rsidRDefault="00454A29"/>
        </w:tc>
        <w:tc>
          <w:tcPr>
            <w:tcW w:w="1417" w:type="dxa"/>
            <w:vMerge/>
          </w:tcPr>
          <w:p w14:paraId="52A5A291" w14:textId="77777777" w:rsidR="00454A29" w:rsidRDefault="00454A29"/>
        </w:tc>
        <w:tc>
          <w:tcPr>
            <w:tcW w:w="2324" w:type="dxa"/>
            <w:vMerge/>
          </w:tcPr>
          <w:p w14:paraId="375A764F" w14:textId="77777777" w:rsidR="00454A29" w:rsidRDefault="00454A29"/>
        </w:tc>
        <w:tc>
          <w:tcPr>
            <w:tcW w:w="1701" w:type="dxa"/>
            <w:vAlign w:val="center"/>
          </w:tcPr>
          <w:p w14:paraId="2479822D" w14:textId="77777777" w:rsidR="00454A29" w:rsidRDefault="00454A29">
            <w:pPr>
              <w:pStyle w:val="ConsPlusNormal"/>
              <w:jc w:val="center"/>
            </w:pPr>
            <w:r>
              <w:t>300 571,84</w:t>
            </w:r>
          </w:p>
        </w:tc>
        <w:tc>
          <w:tcPr>
            <w:tcW w:w="1814" w:type="dxa"/>
            <w:vAlign w:val="center"/>
          </w:tcPr>
          <w:p w14:paraId="6483CB24" w14:textId="77777777" w:rsidR="00454A29" w:rsidRDefault="00454A29">
            <w:pPr>
              <w:pStyle w:val="ConsPlusNormal"/>
            </w:pPr>
          </w:p>
        </w:tc>
        <w:tc>
          <w:tcPr>
            <w:tcW w:w="1701" w:type="dxa"/>
            <w:vAlign w:val="center"/>
          </w:tcPr>
          <w:p w14:paraId="2F151944" w14:textId="77777777" w:rsidR="00454A29" w:rsidRDefault="00454A29">
            <w:pPr>
              <w:pStyle w:val="ConsPlusNormal"/>
            </w:pPr>
          </w:p>
        </w:tc>
        <w:tc>
          <w:tcPr>
            <w:tcW w:w="1701" w:type="dxa"/>
            <w:vAlign w:val="center"/>
          </w:tcPr>
          <w:p w14:paraId="577722D6" w14:textId="77777777" w:rsidR="00454A29" w:rsidRDefault="00454A29">
            <w:pPr>
              <w:pStyle w:val="ConsPlusNormal"/>
              <w:jc w:val="center"/>
            </w:pPr>
            <w:r>
              <w:t>16 909,78</w:t>
            </w:r>
          </w:p>
        </w:tc>
        <w:tc>
          <w:tcPr>
            <w:tcW w:w="1814" w:type="dxa"/>
            <w:vAlign w:val="center"/>
          </w:tcPr>
          <w:p w14:paraId="1080637B" w14:textId="77777777" w:rsidR="00454A29" w:rsidRDefault="00454A29">
            <w:pPr>
              <w:pStyle w:val="ConsPlusNormal"/>
              <w:jc w:val="center"/>
            </w:pPr>
            <w:r>
              <w:t>283 662,06</w:t>
            </w:r>
          </w:p>
        </w:tc>
      </w:tr>
      <w:tr w:rsidR="00454A29" w14:paraId="42C13A10" w14:textId="77777777">
        <w:tc>
          <w:tcPr>
            <w:tcW w:w="567" w:type="dxa"/>
            <w:vMerge/>
          </w:tcPr>
          <w:p w14:paraId="30D43A3D" w14:textId="77777777" w:rsidR="00454A29" w:rsidRDefault="00454A29"/>
        </w:tc>
        <w:tc>
          <w:tcPr>
            <w:tcW w:w="3345" w:type="dxa"/>
            <w:vMerge/>
          </w:tcPr>
          <w:p w14:paraId="58CB006A" w14:textId="77777777" w:rsidR="00454A29" w:rsidRDefault="00454A29"/>
        </w:tc>
        <w:tc>
          <w:tcPr>
            <w:tcW w:w="1701" w:type="dxa"/>
            <w:vAlign w:val="center"/>
          </w:tcPr>
          <w:p w14:paraId="7EDBBC91" w14:textId="77777777" w:rsidR="00454A29" w:rsidRDefault="00454A29">
            <w:pPr>
              <w:pStyle w:val="ConsPlusNormal"/>
              <w:jc w:val="center"/>
            </w:pPr>
            <w:r>
              <w:t>2017</w:t>
            </w:r>
          </w:p>
        </w:tc>
        <w:tc>
          <w:tcPr>
            <w:tcW w:w="1417" w:type="dxa"/>
            <w:vMerge/>
          </w:tcPr>
          <w:p w14:paraId="4EDE139E" w14:textId="77777777" w:rsidR="00454A29" w:rsidRDefault="00454A29"/>
        </w:tc>
        <w:tc>
          <w:tcPr>
            <w:tcW w:w="2204" w:type="dxa"/>
            <w:vMerge/>
          </w:tcPr>
          <w:p w14:paraId="38A36180" w14:textId="77777777" w:rsidR="00454A29" w:rsidRDefault="00454A29"/>
        </w:tc>
        <w:tc>
          <w:tcPr>
            <w:tcW w:w="1417" w:type="dxa"/>
            <w:vMerge/>
          </w:tcPr>
          <w:p w14:paraId="6EE041D1" w14:textId="77777777" w:rsidR="00454A29" w:rsidRDefault="00454A29"/>
        </w:tc>
        <w:tc>
          <w:tcPr>
            <w:tcW w:w="2324" w:type="dxa"/>
            <w:vMerge/>
          </w:tcPr>
          <w:p w14:paraId="2C49D25B" w14:textId="77777777" w:rsidR="00454A29" w:rsidRDefault="00454A29"/>
        </w:tc>
        <w:tc>
          <w:tcPr>
            <w:tcW w:w="1701" w:type="dxa"/>
            <w:vAlign w:val="center"/>
          </w:tcPr>
          <w:p w14:paraId="2717C866" w14:textId="77777777" w:rsidR="00454A29" w:rsidRDefault="00454A29">
            <w:pPr>
              <w:pStyle w:val="ConsPlusNormal"/>
              <w:jc w:val="center"/>
            </w:pPr>
            <w:r>
              <w:t>178 102,09</w:t>
            </w:r>
          </w:p>
        </w:tc>
        <w:tc>
          <w:tcPr>
            <w:tcW w:w="1814" w:type="dxa"/>
            <w:vAlign w:val="center"/>
          </w:tcPr>
          <w:p w14:paraId="566FB4A4" w14:textId="77777777" w:rsidR="00454A29" w:rsidRDefault="00454A29">
            <w:pPr>
              <w:pStyle w:val="ConsPlusNormal"/>
            </w:pPr>
          </w:p>
        </w:tc>
        <w:tc>
          <w:tcPr>
            <w:tcW w:w="1701" w:type="dxa"/>
            <w:vAlign w:val="center"/>
          </w:tcPr>
          <w:p w14:paraId="1671CB47" w14:textId="77777777" w:rsidR="00454A29" w:rsidRDefault="00454A29">
            <w:pPr>
              <w:pStyle w:val="ConsPlusNormal"/>
            </w:pPr>
          </w:p>
        </w:tc>
        <w:tc>
          <w:tcPr>
            <w:tcW w:w="1701" w:type="dxa"/>
            <w:vAlign w:val="center"/>
          </w:tcPr>
          <w:p w14:paraId="26901226" w14:textId="77777777" w:rsidR="00454A29" w:rsidRDefault="00454A29">
            <w:pPr>
              <w:pStyle w:val="ConsPlusNormal"/>
              <w:jc w:val="center"/>
            </w:pPr>
            <w:r>
              <w:t>59 423,52</w:t>
            </w:r>
          </w:p>
        </w:tc>
        <w:tc>
          <w:tcPr>
            <w:tcW w:w="1814" w:type="dxa"/>
            <w:vAlign w:val="center"/>
          </w:tcPr>
          <w:p w14:paraId="00150DDB" w14:textId="77777777" w:rsidR="00454A29" w:rsidRDefault="00454A29">
            <w:pPr>
              <w:pStyle w:val="ConsPlusNormal"/>
              <w:jc w:val="center"/>
            </w:pPr>
            <w:r>
              <w:t>118 678,57</w:t>
            </w:r>
          </w:p>
        </w:tc>
      </w:tr>
      <w:tr w:rsidR="00454A29" w14:paraId="2E2E7680" w14:textId="77777777">
        <w:tc>
          <w:tcPr>
            <w:tcW w:w="567" w:type="dxa"/>
            <w:vMerge/>
          </w:tcPr>
          <w:p w14:paraId="09DD57CD" w14:textId="77777777" w:rsidR="00454A29" w:rsidRDefault="00454A29"/>
        </w:tc>
        <w:tc>
          <w:tcPr>
            <w:tcW w:w="3345" w:type="dxa"/>
            <w:vMerge/>
          </w:tcPr>
          <w:p w14:paraId="0B7E0860" w14:textId="77777777" w:rsidR="00454A29" w:rsidRDefault="00454A29"/>
        </w:tc>
        <w:tc>
          <w:tcPr>
            <w:tcW w:w="1701" w:type="dxa"/>
            <w:vAlign w:val="center"/>
          </w:tcPr>
          <w:p w14:paraId="7D14077D" w14:textId="77777777" w:rsidR="00454A29" w:rsidRDefault="00454A29">
            <w:pPr>
              <w:pStyle w:val="ConsPlusNormal"/>
              <w:jc w:val="center"/>
            </w:pPr>
            <w:r>
              <w:t>2018</w:t>
            </w:r>
          </w:p>
        </w:tc>
        <w:tc>
          <w:tcPr>
            <w:tcW w:w="1417" w:type="dxa"/>
            <w:vMerge/>
          </w:tcPr>
          <w:p w14:paraId="04704498" w14:textId="77777777" w:rsidR="00454A29" w:rsidRDefault="00454A29"/>
        </w:tc>
        <w:tc>
          <w:tcPr>
            <w:tcW w:w="2204" w:type="dxa"/>
            <w:vMerge/>
          </w:tcPr>
          <w:p w14:paraId="62042A32" w14:textId="77777777" w:rsidR="00454A29" w:rsidRDefault="00454A29"/>
        </w:tc>
        <w:tc>
          <w:tcPr>
            <w:tcW w:w="1417" w:type="dxa"/>
            <w:vMerge/>
          </w:tcPr>
          <w:p w14:paraId="54D3BC18" w14:textId="77777777" w:rsidR="00454A29" w:rsidRDefault="00454A29"/>
        </w:tc>
        <w:tc>
          <w:tcPr>
            <w:tcW w:w="2324" w:type="dxa"/>
            <w:vMerge/>
          </w:tcPr>
          <w:p w14:paraId="59E3CF31" w14:textId="77777777" w:rsidR="00454A29" w:rsidRDefault="00454A29"/>
        </w:tc>
        <w:tc>
          <w:tcPr>
            <w:tcW w:w="1701" w:type="dxa"/>
            <w:vAlign w:val="center"/>
          </w:tcPr>
          <w:p w14:paraId="139068EA" w14:textId="77777777" w:rsidR="00454A29" w:rsidRDefault="00454A29">
            <w:pPr>
              <w:pStyle w:val="ConsPlusNormal"/>
              <w:jc w:val="center"/>
            </w:pPr>
            <w:r>
              <w:t>112 306,46</w:t>
            </w:r>
          </w:p>
        </w:tc>
        <w:tc>
          <w:tcPr>
            <w:tcW w:w="1814" w:type="dxa"/>
            <w:vAlign w:val="center"/>
          </w:tcPr>
          <w:p w14:paraId="261591E1" w14:textId="77777777" w:rsidR="00454A29" w:rsidRDefault="00454A29">
            <w:pPr>
              <w:pStyle w:val="ConsPlusNormal"/>
            </w:pPr>
          </w:p>
        </w:tc>
        <w:tc>
          <w:tcPr>
            <w:tcW w:w="1701" w:type="dxa"/>
            <w:vAlign w:val="center"/>
          </w:tcPr>
          <w:p w14:paraId="248A3969" w14:textId="77777777" w:rsidR="00454A29" w:rsidRDefault="00454A29">
            <w:pPr>
              <w:pStyle w:val="ConsPlusNormal"/>
            </w:pPr>
          </w:p>
        </w:tc>
        <w:tc>
          <w:tcPr>
            <w:tcW w:w="1701" w:type="dxa"/>
            <w:vAlign w:val="center"/>
          </w:tcPr>
          <w:p w14:paraId="65C92E5C" w14:textId="77777777" w:rsidR="00454A29" w:rsidRDefault="00454A29">
            <w:pPr>
              <w:pStyle w:val="ConsPlusNormal"/>
              <w:jc w:val="center"/>
            </w:pPr>
            <w:r>
              <w:t>112 306,46</w:t>
            </w:r>
          </w:p>
        </w:tc>
        <w:tc>
          <w:tcPr>
            <w:tcW w:w="1814" w:type="dxa"/>
            <w:vAlign w:val="center"/>
          </w:tcPr>
          <w:p w14:paraId="7204689E" w14:textId="77777777" w:rsidR="00454A29" w:rsidRDefault="00454A29">
            <w:pPr>
              <w:pStyle w:val="ConsPlusNormal"/>
            </w:pPr>
          </w:p>
        </w:tc>
      </w:tr>
      <w:tr w:rsidR="00454A29" w14:paraId="750820F6" w14:textId="77777777">
        <w:tc>
          <w:tcPr>
            <w:tcW w:w="567" w:type="dxa"/>
            <w:vMerge/>
          </w:tcPr>
          <w:p w14:paraId="4784E524" w14:textId="77777777" w:rsidR="00454A29" w:rsidRDefault="00454A29"/>
        </w:tc>
        <w:tc>
          <w:tcPr>
            <w:tcW w:w="3345" w:type="dxa"/>
            <w:vMerge/>
          </w:tcPr>
          <w:p w14:paraId="50576B59" w14:textId="77777777" w:rsidR="00454A29" w:rsidRDefault="00454A29"/>
        </w:tc>
        <w:tc>
          <w:tcPr>
            <w:tcW w:w="1701" w:type="dxa"/>
            <w:vAlign w:val="center"/>
          </w:tcPr>
          <w:p w14:paraId="44BE03EF" w14:textId="77777777" w:rsidR="00454A29" w:rsidRDefault="00454A29">
            <w:pPr>
              <w:pStyle w:val="ConsPlusNormal"/>
              <w:jc w:val="center"/>
            </w:pPr>
            <w:r>
              <w:t>2019</w:t>
            </w:r>
          </w:p>
        </w:tc>
        <w:tc>
          <w:tcPr>
            <w:tcW w:w="1417" w:type="dxa"/>
            <w:vMerge/>
          </w:tcPr>
          <w:p w14:paraId="48A9B00E" w14:textId="77777777" w:rsidR="00454A29" w:rsidRDefault="00454A29"/>
        </w:tc>
        <w:tc>
          <w:tcPr>
            <w:tcW w:w="2204" w:type="dxa"/>
            <w:vMerge/>
          </w:tcPr>
          <w:p w14:paraId="30D3E6D3" w14:textId="77777777" w:rsidR="00454A29" w:rsidRDefault="00454A29"/>
        </w:tc>
        <w:tc>
          <w:tcPr>
            <w:tcW w:w="1417" w:type="dxa"/>
            <w:vMerge/>
          </w:tcPr>
          <w:p w14:paraId="4C4AE90B" w14:textId="77777777" w:rsidR="00454A29" w:rsidRDefault="00454A29"/>
        </w:tc>
        <w:tc>
          <w:tcPr>
            <w:tcW w:w="2324" w:type="dxa"/>
            <w:vMerge/>
          </w:tcPr>
          <w:p w14:paraId="70DB3445" w14:textId="77777777" w:rsidR="00454A29" w:rsidRDefault="00454A29"/>
        </w:tc>
        <w:tc>
          <w:tcPr>
            <w:tcW w:w="1701" w:type="dxa"/>
            <w:vAlign w:val="center"/>
          </w:tcPr>
          <w:p w14:paraId="24711CC6" w14:textId="77777777" w:rsidR="00454A29" w:rsidRDefault="00454A29">
            <w:pPr>
              <w:pStyle w:val="ConsPlusNormal"/>
              <w:jc w:val="center"/>
            </w:pPr>
            <w:r>
              <w:t>144 610,52</w:t>
            </w:r>
          </w:p>
        </w:tc>
        <w:tc>
          <w:tcPr>
            <w:tcW w:w="1814" w:type="dxa"/>
            <w:vAlign w:val="center"/>
          </w:tcPr>
          <w:p w14:paraId="2269AC60" w14:textId="77777777" w:rsidR="00454A29" w:rsidRDefault="00454A29">
            <w:pPr>
              <w:pStyle w:val="ConsPlusNormal"/>
            </w:pPr>
          </w:p>
        </w:tc>
        <w:tc>
          <w:tcPr>
            <w:tcW w:w="1701" w:type="dxa"/>
            <w:vAlign w:val="center"/>
          </w:tcPr>
          <w:p w14:paraId="4B06AD8D" w14:textId="77777777" w:rsidR="00454A29" w:rsidRDefault="00454A29">
            <w:pPr>
              <w:pStyle w:val="ConsPlusNormal"/>
            </w:pPr>
          </w:p>
        </w:tc>
        <w:tc>
          <w:tcPr>
            <w:tcW w:w="1701" w:type="dxa"/>
            <w:vAlign w:val="center"/>
          </w:tcPr>
          <w:p w14:paraId="5A3CC96C" w14:textId="77777777" w:rsidR="00454A29" w:rsidRDefault="00454A29">
            <w:pPr>
              <w:pStyle w:val="ConsPlusNormal"/>
              <w:jc w:val="center"/>
            </w:pPr>
            <w:r>
              <w:t>144 610,52</w:t>
            </w:r>
          </w:p>
        </w:tc>
        <w:tc>
          <w:tcPr>
            <w:tcW w:w="1814" w:type="dxa"/>
            <w:vAlign w:val="center"/>
          </w:tcPr>
          <w:p w14:paraId="69080DD9" w14:textId="77777777" w:rsidR="00454A29" w:rsidRDefault="00454A29">
            <w:pPr>
              <w:pStyle w:val="ConsPlusNormal"/>
            </w:pPr>
          </w:p>
        </w:tc>
      </w:tr>
      <w:tr w:rsidR="00454A29" w14:paraId="11B7F1F5" w14:textId="77777777">
        <w:tc>
          <w:tcPr>
            <w:tcW w:w="567" w:type="dxa"/>
            <w:vMerge/>
          </w:tcPr>
          <w:p w14:paraId="53E5631E" w14:textId="77777777" w:rsidR="00454A29" w:rsidRDefault="00454A29"/>
        </w:tc>
        <w:tc>
          <w:tcPr>
            <w:tcW w:w="3345" w:type="dxa"/>
            <w:vMerge/>
          </w:tcPr>
          <w:p w14:paraId="22186984" w14:textId="77777777" w:rsidR="00454A29" w:rsidRDefault="00454A29"/>
        </w:tc>
        <w:tc>
          <w:tcPr>
            <w:tcW w:w="1701" w:type="dxa"/>
            <w:vAlign w:val="center"/>
          </w:tcPr>
          <w:p w14:paraId="1D94AAD9" w14:textId="77777777" w:rsidR="00454A29" w:rsidRDefault="00454A29">
            <w:pPr>
              <w:pStyle w:val="ConsPlusNormal"/>
              <w:jc w:val="center"/>
            </w:pPr>
            <w:r>
              <w:t>2020</w:t>
            </w:r>
          </w:p>
        </w:tc>
        <w:tc>
          <w:tcPr>
            <w:tcW w:w="1417" w:type="dxa"/>
            <w:vMerge/>
          </w:tcPr>
          <w:p w14:paraId="6B6AFBA7" w14:textId="77777777" w:rsidR="00454A29" w:rsidRDefault="00454A29"/>
        </w:tc>
        <w:tc>
          <w:tcPr>
            <w:tcW w:w="2204" w:type="dxa"/>
            <w:vMerge/>
          </w:tcPr>
          <w:p w14:paraId="0245380C" w14:textId="77777777" w:rsidR="00454A29" w:rsidRDefault="00454A29"/>
        </w:tc>
        <w:tc>
          <w:tcPr>
            <w:tcW w:w="1417" w:type="dxa"/>
            <w:vMerge/>
          </w:tcPr>
          <w:p w14:paraId="3483D9EF" w14:textId="77777777" w:rsidR="00454A29" w:rsidRDefault="00454A29"/>
        </w:tc>
        <w:tc>
          <w:tcPr>
            <w:tcW w:w="2324" w:type="dxa"/>
            <w:vMerge/>
          </w:tcPr>
          <w:p w14:paraId="414C7ACC" w14:textId="77777777" w:rsidR="00454A29" w:rsidRDefault="00454A29"/>
        </w:tc>
        <w:tc>
          <w:tcPr>
            <w:tcW w:w="1701" w:type="dxa"/>
            <w:vAlign w:val="center"/>
          </w:tcPr>
          <w:p w14:paraId="2E0FADD7" w14:textId="77777777" w:rsidR="00454A29" w:rsidRDefault="00454A29">
            <w:pPr>
              <w:pStyle w:val="ConsPlusNormal"/>
              <w:jc w:val="center"/>
            </w:pPr>
            <w:r>
              <w:t>24 505,11</w:t>
            </w:r>
          </w:p>
        </w:tc>
        <w:tc>
          <w:tcPr>
            <w:tcW w:w="1814" w:type="dxa"/>
            <w:vAlign w:val="center"/>
          </w:tcPr>
          <w:p w14:paraId="2A8CE0C2" w14:textId="77777777" w:rsidR="00454A29" w:rsidRDefault="00454A29">
            <w:pPr>
              <w:pStyle w:val="ConsPlusNormal"/>
            </w:pPr>
          </w:p>
        </w:tc>
        <w:tc>
          <w:tcPr>
            <w:tcW w:w="1701" w:type="dxa"/>
            <w:vAlign w:val="center"/>
          </w:tcPr>
          <w:p w14:paraId="7997292C" w14:textId="77777777" w:rsidR="00454A29" w:rsidRDefault="00454A29">
            <w:pPr>
              <w:pStyle w:val="ConsPlusNormal"/>
            </w:pPr>
          </w:p>
        </w:tc>
        <w:tc>
          <w:tcPr>
            <w:tcW w:w="1701" w:type="dxa"/>
            <w:vAlign w:val="center"/>
          </w:tcPr>
          <w:p w14:paraId="37136DC1" w14:textId="77777777" w:rsidR="00454A29" w:rsidRDefault="00454A29">
            <w:pPr>
              <w:pStyle w:val="ConsPlusNormal"/>
              <w:jc w:val="center"/>
            </w:pPr>
            <w:r>
              <w:t>24 505,11</w:t>
            </w:r>
          </w:p>
        </w:tc>
        <w:tc>
          <w:tcPr>
            <w:tcW w:w="1814" w:type="dxa"/>
            <w:vAlign w:val="center"/>
          </w:tcPr>
          <w:p w14:paraId="7F6646D2" w14:textId="77777777" w:rsidR="00454A29" w:rsidRDefault="00454A29">
            <w:pPr>
              <w:pStyle w:val="ConsPlusNormal"/>
            </w:pPr>
          </w:p>
        </w:tc>
      </w:tr>
      <w:tr w:rsidR="00454A29" w14:paraId="6F75D05E" w14:textId="77777777">
        <w:tc>
          <w:tcPr>
            <w:tcW w:w="567" w:type="dxa"/>
            <w:vMerge/>
          </w:tcPr>
          <w:p w14:paraId="58CA0DA8" w14:textId="77777777" w:rsidR="00454A29" w:rsidRDefault="00454A29"/>
        </w:tc>
        <w:tc>
          <w:tcPr>
            <w:tcW w:w="3345" w:type="dxa"/>
            <w:vMerge/>
          </w:tcPr>
          <w:p w14:paraId="5A7AD513" w14:textId="77777777" w:rsidR="00454A29" w:rsidRDefault="00454A29"/>
        </w:tc>
        <w:tc>
          <w:tcPr>
            <w:tcW w:w="1701" w:type="dxa"/>
            <w:vAlign w:val="center"/>
          </w:tcPr>
          <w:p w14:paraId="354D1B16" w14:textId="77777777" w:rsidR="00454A29" w:rsidRDefault="00454A29">
            <w:pPr>
              <w:pStyle w:val="ConsPlusNormal"/>
              <w:jc w:val="center"/>
            </w:pPr>
            <w:r>
              <w:t>2021</w:t>
            </w:r>
          </w:p>
        </w:tc>
        <w:tc>
          <w:tcPr>
            <w:tcW w:w="1417" w:type="dxa"/>
            <w:vMerge/>
          </w:tcPr>
          <w:p w14:paraId="6A14E505" w14:textId="77777777" w:rsidR="00454A29" w:rsidRDefault="00454A29"/>
        </w:tc>
        <w:tc>
          <w:tcPr>
            <w:tcW w:w="2204" w:type="dxa"/>
            <w:vMerge/>
          </w:tcPr>
          <w:p w14:paraId="3EA2DC57" w14:textId="77777777" w:rsidR="00454A29" w:rsidRDefault="00454A29"/>
        </w:tc>
        <w:tc>
          <w:tcPr>
            <w:tcW w:w="1417" w:type="dxa"/>
            <w:vMerge/>
          </w:tcPr>
          <w:p w14:paraId="08EBC230" w14:textId="77777777" w:rsidR="00454A29" w:rsidRDefault="00454A29"/>
        </w:tc>
        <w:tc>
          <w:tcPr>
            <w:tcW w:w="2324" w:type="dxa"/>
            <w:vMerge/>
          </w:tcPr>
          <w:p w14:paraId="578550FA" w14:textId="77777777" w:rsidR="00454A29" w:rsidRDefault="00454A29"/>
        </w:tc>
        <w:tc>
          <w:tcPr>
            <w:tcW w:w="1701" w:type="dxa"/>
            <w:vAlign w:val="center"/>
          </w:tcPr>
          <w:p w14:paraId="308060BC" w14:textId="77777777" w:rsidR="00454A29" w:rsidRDefault="00454A29">
            <w:pPr>
              <w:pStyle w:val="ConsPlusNormal"/>
              <w:jc w:val="center"/>
            </w:pPr>
            <w:r>
              <w:t>28 397,82</w:t>
            </w:r>
          </w:p>
        </w:tc>
        <w:tc>
          <w:tcPr>
            <w:tcW w:w="1814" w:type="dxa"/>
            <w:vAlign w:val="center"/>
          </w:tcPr>
          <w:p w14:paraId="480BE4F0" w14:textId="77777777" w:rsidR="00454A29" w:rsidRDefault="00454A29">
            <w:pPr>
              <w:pStyle w:val="ConsPlusNormal"/>
            </w:pPr>
          </w:p>
        </w:tc>
        <w:tc>
          <w:tcPr>
            <w:tcW w:w="1701" w:type="dxa"/>
            <w:vAlign w:val="center"/>
          </w:tcPr>
          <w:p w14:paraId="0B5AA076" w14:textId="77777777" w:rsidR="00454A29" w:rsidRDefault="00454A29">
            <w:pPr>
              <w:pStyle w:val="ConsPlusNormal"/>
            </w:pPr>
          </w:p>
        </w:tc>
        <w:tc>
          <w:tcPr>
            <w:tcW w:w="1701" w:type="dxa"/>
            <w:vAlign w:val="center"/>
          </w:tcPr>
          <w:p w14:paraId="2ECA771B" w14:textId="77777777" w:rsidR="00454A29" w:rsidRDefault="00454A29">
            <w:pPr>
              <w:pStyle w:val="ConsPlusNormal"/>
              <w:jc w:val="center"/>
            </w:pPr>
            <w:r>
              <w:t>28 397,82</w:t>
            </w:r>
          </w:p>
        </w:tc>
        <w:tc>
          <w:tcPr>
            <w:tcW w:w="1814" w:type="dxa"/>
            <w:vAlign w:val="center"/>
          </w:tcPr>
          <w:p w14:paraId="28480F0B" w14:textId="77777777" w:rsidR="00454A29" w:rsidRDefault="00454A29">
            <w:pPr>
              <w:pStyle w:val="ConsPlusNormal"/>
            </w:pPr>
          </w:p>
        </w:tc>
      </w:tr>
      <w:tr w:rsidR="00454A29" w14:paraId="238CEF56" w14:textId="77777777">
        <w:tc>
          <w:tcPr>
            <w:tcW w:w="567" w:type="dxa"/>
            <w:vMerge/>
          </w:tcPr>
          <w:p w14:paraId="15C788E8" w14:textId="77777777" w:rsidR="00454A29" w:rsidRDefault="00454A29"/>
        </w:tc>
        <w:tc>
          <w:tcPr>
            <w:tcW w:w="3345" w:type="dxa"/>
            <w:vMerge/>
          </w:tcPr>
          <w:p w14:paraId="22DBEF58" w14:textId="77777777" w:rsidR="00454A29" w:rsidRDefault="00454A29"/>
        </w:tc>
        <w:tc>
          <w:tcPr>
            <w:tcW w:w="1701" w:type="dxa"/>
            <w:vAlign w:val="center"/>
          </w:tcPr>
          <w:p w14:paraId="6A79CC3F" w14:textId="77777777" w:rsidR="00454A29" w:rsidRDefault="00454A29">
            <w:pPr>
              <w:pStyle w:val="ConsPlusNormal"/>
              <w:jc w:val="center"/>
            </w:pPr>
            <w:r>
              <w:t>2022</w:t>
            </w:r>
          </w:p>
        </w:tc>
        <w:tc>
          <w:tcPr>
            <w:tcW w:w="1417" w:type="dxa"/>
            <w:vMerge/>
          </w:tcPr>
          <w:p w14:paraId="5D9D7F73" w14:textId="77777777" w:rsidR="00454A29" w:rsidRDefault="00454A29"/>
        </w:tc>
        <w:tc>
          <w:tcPr>
            <w:tcW w:w="2204" w:type="dxa"/>
            <w:vMerge/>
          </w:tcPr>
          <w:p w14:paraId="7E2F5490" w14:textId="77777777" w:rsidR="00454A29" w:rsidRDefault="00454A29"/>
        </w:tc>
        <w:tc>
          <w:tcPr>
            <w:tcW w:w="1417" w:type="dxa"/>
            <w:vMerge/>
          </w:tcPr>
          <w:p w14:paraId="78CC06D4" w14:textId="77777777" w:rsidR="00454A29" w:rsidRDefault="00454A29"/>
        </w:tc>
        <w:tc>
          <w:tcPr>
            <w:tcW w:w="2324" w:type="dxa"/>
            <w:vMerge/>
          </w:tcPr>
          <w:p w14:paraId="462EF039" w14:textId="77777777" w:rsidR="00454A29" w:rsidRDefault="00454A29"/>
        </w:tc>
        <w:tc>
          <w:tcPr>
            <w:tcW w:w="1701" w:type="dxa"/>
            <w:vAlign w:val="center"/>
          </w:tcPr>
          <w:p w14:paraId="11C28244" w14:textId="77777777" w:rsidR="00454A29" w:rsidRDefault="00454A29">
            <w:pPr>
              <w:pStyle w:val="ConsPlusNormal"/>
              <w:jc w:val="center"/>
            </w:pPr>
            <w:r>
              <w:t>32 908,89</w:t>
            </w:r>
          </w:p>
        </w:tc>
        <w:tc>
          <w:tcPr>
            <w:tcW w:w="1814" w:type="dxa"/>
            <w:vAlign w:val="center"/>
          </w:tcPr>
          <w:p w14:paraId="6E0C3016" w14:textId="77777777" w:rsidR="00454A29" w:rsidRDefault="00454A29">
            <w:pPr>
              <w:pStyle w:val="ConsPlusNormal"/>
            </w:pPr>
          </w:p>
        </w:tc>
        <w:tc>
          <w:tcPr>
            <w:tcW w:w="1701" w:type="dxa"/>
            <w:vAlign w:val="center"/>
          </w:tcPr>
          <w:p w14:paraId="649D9D79" w14:textId="77777777" w:rsidR="00454A29" w:rsidRDefault="00454A29">
            <w:pPr>
              <w:pStyle w:val="ConsPlusNormal"/>
            </w:pPr>
          </w:p>
        </w:tc>
        <w:tc>
          <w:tcPr>
            <w:tcW w:w="1701" w:type="dxa"/>
            <w:vAlign w:val="center"/>
          </w:tcPr>
          <w:p w14:paraId="0DAF10F0" w14:textId="77777777" w:rsidR="00454A29" w:rsidRDefault="00454A29">
            <w:pPr>
              <w:pStyle w:val="ConsPlusNormal"/>
              <w:jc w:val="center"/>
            </w:pPr>
            <w:r>
              <w:t>32 908,89</w:t>
            </w:r>
          </w:p>
        </w:tc>
        <w:tc>
          <w:tcPr>
            <w:tcW w:w="1814" w:type="dxa"/>
            <w:vAlign w:val="center"/>
          </w:tcPr>
          <w:p w14:paraId="102982D5" w14:textId="77777777" w:rsidR="00454A29" w:rsidRDefault="00454A29">
            <w:pPr>
              <w:pStyle w:val="ConsPlusNormal"/>
            </w:pPr>
          </w:p>
        </w:tc>
      </w:tr>
      <w:tr w:rsidR="00454A29" w14:paraId="680F564F" w14:textId="77777777">
        <w:tc>
          <w:tcPr>
            <w:tcW w:w="567" w:type="dxa"/>
            <w:vMerge/>
          </w:tcPr>
          <w:p w14:paraId="70C6746E" w14:textId="77777777" w:rsidR="00454A29" w:rsidRDefault="00454A29"/>
        </w:tc>
        <w:tc>
          <w:tcPr>
            <w:tcW w:w="3345" w:type="dxa"/>
            <w:vMerge/>
          </w:tcPr>
          <w:p w14:paraId="086D9707" w14:textId="77777777" w:rsidR="00454A29" w:rsidRDefault="00454A29"/>
        </w:tc>
        <w:tc>
          <w:tcPr>
            <w:tcW w:w="1701" w:type="dxa"/>
            <w:vAlign w:val="center"/>
          </w:tcPr>
          <w:p w14:paraId="6F478CC8" w14:textId="77777777" w:rsidR="00454A29" w:rsidRDefault="00454A29">
            <w:pPr>
              <w:pStyle w:val="ConsPlusNormal"/>
              <w:jc w:val="center"/>
            </w:pPr>
            <w:r>
              <w:t>2023</w:t>
            </w:r>
          </w:p>
        </w:tc>
        <w:tc>
          <w:tcPr>
            <w:tcW w:w="1417" w:type="dxa"/>
            <w:vMerge/>
          </w:tcPr>
          <w:p w14:paraId="26F0B910" w14:textId="77777777" w:rsidR="00454A29" w:rsidRDefault="00454A29"/>
        </w:tc>
        <w:tc>
          <w:tcPr>
            <w:tcW w:w="2204" w:type="dxa"/>
            <w:vMerge/>
          </w:tcPr>
          <w:p w14:paraId="7BF85D92" w14:textId="77777777" w:rsidR="00454A29" w:rsidRDefault="00454A29"/>
        </w:tc>
        <w:tc>
          <w:tcPr>
            <w:tcW w:w="1417" w:type="dxa"/>
            <w:vMerge/>
          </w:tcPr>
          <w:p w14:paraId="022AA42D" w14:textId="77777777" w:rsidR="00454A29" w:rsidRDefault="00454A29"/>
        </w:tc>
        <w:tc>
          <w:tcPr>
            <w:tcW w:w="2324" w:type="dxa"/>
            <w:vMerge/>
          </w:tcPr>
          <w:p w14:paraId="38E908D2" w14:textId="77777777" w:rsidR="00454A29" w:rsidRDefault="00454A29"/>
        </w:tc>
        <w:tc>
          <w:tcPr>
            <w:tcW w:w="1701" w:type="dxa"/>
            <w:vAlign w:val="center"/>
          </w:tcPr>
          <w:p w14:paraId="5F043C27" w14:textId="77777777" w:rsidR="00454A29" w:rsidRDefault="00454A29">
            <w:pPr>
              <w:pStyle w:val="ConsPlusNormal"/>
              <w:jc w:val="center"/>
            </w:pPr>
            <w:r>
              <w:t>38 136,56</w:t>
            </w:r>
          </w:p>
        </w:tc>
        <w:tc>
          <w:tcPr>
            <w:tcW w:w="1814" w:type="dxa"/>
            <w:vAlign w:val="center"/>
          </w:tcPr>
          <w:p w14:paraId="4084892C" w14:textId="77777777" w:rsidR="00454A29" w:rsidRDefault="00454A29">
            <w:pPr>
              <w:pStyle w:val="ConsPlusNormal"/>
            </w:pPr>
          </w:p>
        </w:tc>
        <w:tc>
          <w:tcPr>
            <w:tcW w:w="1701" w:type="dxa"/>
            <w:vAlign w:val="center"/>
          </w:tcPr>
          <w:p w14:paraId="378F3121" w14:textId="77777777" w:rsidR="00454A29" w:rsidRDefault="00454A29">
            <w:pPr>
              <w:pStyle w:val="ConsPlusNormal"/>
            </w:pPr>
          </w:p>
        </w:tc>
        <w:tc>
          <w:tcPr>
            <w:tcW w:w="1701" w:type="dxa"/>
            <w:vAlign w:val="center"/>
          </w:tcPr>
          <w:p w14:paraId="0B5C9828" w14:textId="77777777" w:rsidR="00454A29" w:rsidRDefault="00454A29">
            <w:pPr>
              <w:pStyle w:val="ConsPlusNormal"/>
              <w:jc w:val="center"/>
            </w:pPr>
            <w:r>
              <w:t>38 136,56</w:t>
            </w:r>
          </w:p>
        </w:tc>
        <w:tc>
          <w:tcPr>
            <w:tcW w:w="1814" w:type="dxa"/>
            <w:vAlign w:val="center"/>
          </w:tcPr>
          <w:p w14:paraId="7A45EFD9" w14:textId="77777777" w:rsidR="00454A29" w:rsidRDefault="00454A29">
            <w:pPr>
              <w:pStyle w:val="ConsPlusNormal"/>
            </w:pPr>
          </w:p>
        </w:tc>
      </w:tr>
      <w:tr w:rsidR="00454A29" w14:paraId="5899EA45" w14:textId="77777777">
        <w:tc>
          <w:tcPr>
            <w:tcW w:w="567" w:type="dxa"/>
            <w:vMerge/>
          </w:tcPr>
          <w:p w14:paraId="2F6F05EB" w14:textId="77777777" w:rsidR="00454A29" w:rsidRDefault="00454A29"/>
        </w:tc>
        <w:tc>
          <w:tcPr>
            <w:tcW w:w="3345" w:type="dxa"/>
            <w:vMerge/>
          </w:tcPr>
          <w:p w14:paraId="5142CD74" w14:textId="77777777" w:rsidR="00454A29" w:rsidRDefault="00454A29"/>
        </w:tc>
        <w:tc>
          <w:tcPr>
            <w:tcW w:w="1701" w:type="dxa"/>
            <w:vAlign w:val="center"/>
          </w:tcPr>
          <w:p w14:paraId="0AD0C71E" w14:textId="77777777" w:rsidR="00454A29" w:rsidRDefault="00454A29">
            <w:pPr>
              <w:pStyle w:val="ConsPlusNormal"/>
              <w:jc w:val="center"/>
            </w:pPr>
            <w:r>
              <w:t>2024</w:t>
            </w:r>
          </w:p>
        </w:tc>
        <w:tc>
          <w:tcPr>
            <w:tcW w:w="1417" w:type="dxa"/>
            <w:vMerge/>
          </w:tcPr>
          <w:p w14:paraId="06737390" w14:textId="77777777" w:rsidR="00454A29" w:rsidRDefault="00454A29"/>
        </w:tc>
        <w:tc>
          <w:tcPr>
            <w:tcW w:w="2204" w:type="dxa"/>
            <w:vMerge/>
          </w:tcPr>
          <w:p w14:paraId="16250E7E" w14:textId="77777777" w:rsidR="00454A29" w:rsidRDefault="00454A29"/>
        </w:tc>
        <w:tc>
          <w:tcPr>
            <w:tcW w:w="1417" w:type="dxa"/>
            <w:vMerge/>
          </w:tcPr>
          <w:p w14:paraId="26A9AD93" w14:textId="77777777" w:rsidR="00454A29" w:rsidRDefault="00454A29"/>
        </w:tc>
        <w:tc>
          <w:tcPr>
            <w:tcW w:w="2324" w:type="dxa"/>
            <w:vMerge/>
          </w:tcPr>
          <w:p w14:paraId="5674A3E9" w14:textId="77777777" w:rsidR="00454A29" w:rsidRDefault="00454A29"/>
        </w:tc>
        <w:tc>
          <w:tcPr>
            <w:tcW w:w="1701" w:type="dxa"/>
            <w:vAlign w:val="center"/>
          </w:tcPr>
          <w:p w14:paraId="53C114BC" w14:textId="77777777" w:rsidR="00454A29" w:rsidRDefault="00454A29">
            <w:pPr>
              <w:pStyle w:val="ConsPlusNormal"/>
              <w:jc w:val="center"/>
            </w:pPr>
            <w:r>
              <w:t>44 194,66</w:t>
            </w:r>
          </w:p>
        </w:tc>
        <w:tc>
          <w:tcPr>
            <w:tcW w:w="1814" w:type="dxa"/>
            <w:vAlign w:val="center"/>
          </w:tcPr>
          <w:p w14:paraId="31454A23" w14:textId="77777777" w:rsidR="00454A29" w:rsidRDefault="00454A29">
            <w:pPr>
              <w:pStyle w:val="ConsPlusNormal"/>
            </w:pPr>
          </w:p>
        </w:tc>
        <w:tc>
          <w:tcPr>
            <w:tcW w:w="1701" w:type="dxa"/>
            <w:vAlign w:val="center"/>
          </w:tcPr>
          <w:p w14:paraId="4A39F263" w14:textId="77777777" w:rsidR="00454A29" w:rsidRDefault="00454A29">
            <w:pPr>
              <w:pStyle w:val="ConsPlusNormal"/>
            </w:pPr>
          </w:p>
        </w:tc>
        <w:tc>
          <w:tcPr>
            <w:tcW w:w="1701" w:type="dxa"/>
            <w:vAlign w:val="center"/>
          </w:tcPr>
          <w:p w14:paraId="2C14995B" w14:textId="77777777" w:rsidR="00454A29" w:rsidRDefault="00454A29">
            <w:pPr>
              <w:pStyle w:val="ConsPlusNormal"/>
              <w:jc w:val="center"/>
            </w:pPr>
            <w:r>
              <w:t>44 194,66</w:t>
            </w:r>
          </w:p>
        </w:tc>
        <w:tc>
          <w:tcPr>
            <w:tcW w:w="1814" w:type="dxa"/>
            <w:vAlign w:val="center"/>
          </w:tcPr>
          <w:p w14:paraId="2D4C0649" w14:textId="77777777" w:rsidR="00454A29" w:rsidRDefault="00454A29">
            <w:pPr>
              <w:pStyle w:val="ConsPlusNormal"/>
            </w:pPr>
          </w:p>
        </w:tc>
      </w:tr>
      <w:tr w:rsidR="00454A29" w14:paraId="6459AF42" w14:textId="77777777">
        <w:tc>
          <w:tcPr>
            <w:tcW w:w="567" w:type="dxa"/>
            <w:vMerge/>
          </w:tcPr>
          <w:p w14:paraId="23BD4B69" w14:textId="77777777" w:rsidR="00454A29" w:rsidRDefault="00454A29"/>
        </w:tc>
        <w:tc>
          <w:tcPr>
            <w:tcW w:w="3345" w:type="dxa"/>
            <w:vMerge/>
          </w:tcPr>
          <w:p w14:paraId="3002B5AA" w14:textId="77777777" w:rsidR="00454A29" w:rsidRDefault="00454A29"/>
        </w:tc>
        <w:tc>
          <w:tcPr>
            <w:tcW w:w="1701" w:type="dxa"/>
            <w:vAlign w:val="center"/>
          </w:tcPr>
          <w:p w14:paraId="73000F46" w14:textId="77777777" w:rsidR="00454A29" w:rsidRDefault="00454A29">
            <w:pPr>
              <w:pStyle w:val="ConsPlusNormal"/>
              <w:jc w:val="center"/>
            </w:pPr>
            <w:r>
              <w:t>2025</w:t>
            </w:r>
          </w:p>
        </w:tc>
        <w:tc>
          <w:tcPr>
            <w:tcW w:w="1417" w:type="dxa"/>
            <w:vMerge/>
          </w:tcPr>
          <w:p w14:paraId="6456EC6F" w14:textId="77777777" w:rsidR="00454A29" w:rsidRDefault="00454A29"/>
        </w:tc>
        <w:tc>
          <w:tcPr>
            <w:tcW w:w="2204" w:type="dxa"/>
            <w:vMerge/>
          </w:tcPr>
          <w:p w14:paraId="75B94FD6" w14:textId="77777777" w:rsidR="00454A29" w:rsidRDefault="00454A29"/>
        </w:tc>
        <w:tc>
          <w:tcPr>
            <w:tcW w:w="1417" w:type="dxa"/>
            <w:vMerge/>
          </w:tcPr>
          <w:p w14:paraId="6138CC10" w14:textId="77777777" w:rsidR="00454A29" w:rsidRDefault="00454A29"/>
        </w:tc>
        <w:tc>
          <w:tcPr>
            <w:tcW w:w="2324" w:type="dxa"/>
            <w:vMerge/>
          </w:tcPr>
          <w:p w14:paraId="5AF95D73" w14:textId="77777777" w:rsidR="00454A29" w:rsidRDefault="00454A29"/>
        </w:tc>
        <w:tc>
          <w:tcPr>
            <w:tcW w:w="1701" w:type="dxa"/>
            <w:vAlign w:val="center"/>
          </w:tcPr>
          <w:p w14:paraId="2B82E43D" w14:textId="77777777" w:rsidR="00454A29" w:rsidRDefault="00454A29">
            <w:pPr>
              <w:pStyle w:val="ConsPlusNormal"/>
              <w:jc w:val="center"/>
            </w:pPr>
            <w:r>
              <w:t>51 215,10</w:t>
            </w:r>
          </w:p>
        </w:tc>
        <w:tc>
          <w:tcPr>
            <w:tcW w:w="1814" w:type="dxa"/>
            <w:vAlign w:val="center"/>
          </w:tcPr>
          <w:p w14:paraId="577ABB5F" w14:textId="77777777" w:rsidR="00454A29" w:rsidRDefault="00454A29">
            <w:pPr>
              <w:pStyle w:val="ConsPlusNormal"/>
            </w:pPr>
          </w:p>
        </w:tc>
        <w:tc>
          <w:tcPr>
            <w:tcW w:w="1701" w:type="dxa"/>
            <w:vAlign w:val="center"/>
          </w:tcPr>
          <w:p w14:paraId="1A7302BB" w14:textId="77777777" w:rsidR="00454A29" w:rsidRDefault="00454A29">
            <w:pPr>
              <w:pStyle w:val="ConsPlusNormal"/>
            </w:pPr>
          </w:p>
        </w:tc>
        <w:tc>
          <w:tcPr>
            <w:tcW w:w="1701" w:type="dxa"/>
            <w:vAlign w:val="center"/>
          </w:tcPr>
          <w:p w14:paraId="493C83E5" w14:textId="77777777" w:rsidR="00454A29" w:rsidRDefault="00454A29">
            <w:pPr>
              <w:pStyle w:val="ConsPlusNormal"/>
              <w:jc w:val="center"/>
            </w:pPr>
            <w:r>
              <w:t>51 215,10</w:t>
            </w:r>
          </w:p>
        </w:tc>
        <w:tc>
          <w:tcPr>
            <w:tcW w:w="1814" w:type="dxa"/>
            <w:vAlign w:val="center"/>
          </w:tcPr>
          <w:p w14:paraId="319CB85E" w14:textId="77777777" w:rsidR="00454A29" w:rsidRDefault="00454A29">
            <w:pPr>
              <w:pStyle w:val="ConsPlusNormal"/>
            </w:pPr>
          </w:p>
        </w:tc>
      </w:tr>
      <w:tr w:rsidR="00454A29" w14:paraId="1CB7BDA1" w14:textId="77777777">
        <w:tc>
          <w:tcPr>
            <w:tcW w:w="567" w:type="dxa"/>
            <w:vMerge/>
          </w:tcPr>
          <w:p w14:paraId="5FA57142" w14:textId="77777777" w:rsidR="00454A29" w:rsidRDefault="00454A29"/>
        </w:tc>
        <w:tc>
          <w:tcPr>
            <w:tcW w:w="3345" w:type="dxa"/>
            <w:vMerge/>
          </w:tcPr>
          <w:p w14:paraId="68F6DB99" w14:textId="77777777" w:rsidR="00454A29" w:rsidRDefault="00454A29"/>
        </w:tc>
        <w:tc>
          <w:tcPr>
            <w:tcW w:w="1701" w:type="dxa"/>
            <w:vAlign w:val="center"/>
          </w:tcPr>
          <w:p w14:paraId="615368A0" w14:textId="77777777" w:rsidR="00454A29" w:rsidRDefault="00454A29">
            <w:pPr>
              <w:pStyle w:val="ConsPlusNormal"/>
              <w:jc w:val="center"/>
            </w:pPr>
            <w:r>
              <w:t>2026</w:t>
            </w:r>
          </w:p>
        </w:tc>
        <w:tc>
          <w:tcPr>
            <w:tcW w:w="1417" w:type="dxa"/>
            <w:vMerge/>
          </w:tcPr>
          <w:p w14:paraId="57E1BF7B" w14:textId="77777777" w:rsidR="00454A29" w:rsidRDefault="00454A29"/>
        </w:tc>
        <w:tc>
          <w:tcPr>
            <w:tcW w:w="2204" w:type="dxa"/>
            <w:vMerge/>
          </w:tcPr>
          <w:p w14:paraId="0A7BA71B" w14:textId="77777777" w:rsidR="00454A29" w:rsidRDefault="00454A29"/>
        </w:tc>
        <w:tc>
          <w:tcPr>
            <w:tcW w:w="1417" w:type="dxa"/>
            <w:vMerge/>
          </w:tcPr>
          <w:p w14:paraId="44C66CFB" w14:textId="77777777" w:rsidR="00454A29" w:rsidRDefault="00454A29"/>
        </w:tc>
        <w:tc>
          <w:tcPr>
            <w:tcW w:w="2324" w:type="dxa"/>
            <w:vMerge/>
          </w:tcPr>
          <w:p w14:paraId="0B4FBF8A" w14:textId="77777777" w:rsidR="00454A29" w:rsidRDefault="00454A29"/>
        </w:tc>
        <w:tc>
          <w:tcPr>
            <w:tcW w:w="1701" w:type="dxa"/>
            <w:vAlign w:val="center"/>
          </w:tcPr>
          <w:p w14:paraId="0D73C942" w14:textId="77777777" w:rsidR="00454A29" w:rsidRDefault="00454A29">
            <w:pPr>
              <w:pStyle w:val="ConsPlusNormal"/>
              <w:jc w:val="center"/>
            </w:pPr>
            <w:r>
              <w:t>59 350,77</w:t>
            </w:r>
          </w:p>
        </w:tc>
        <w:tc>
          <w:tcPr>
            <w:tcW w:w="1814" w:type="dxa"/>
            <w:vAlign w:val="center"/>
          </w:tcPr>
          <w:p w14:paraId="2DFC9E54" w14:textId="77777777" w:rsidR="00454A29" w:rsidRDefault="00454A29">
            <w:pPr>
              <w:pStyle w:val="ConsPlusNormal"/>
            </w:pPr>
          </w:p>
        </w:tc>
        <w:tc>
          <w:tcPr>
            <w:tcW w:w="1701" w:type="dxa"/>
            <w:vAlign w:val="center"/>
          </w:tcPr>
          <w:p w14:paraId="4F52BC94" w14:textId="77777777" w:rsidR="00454A29" w:rsidRDefault="00454A29">
            <w:pPr>
              <w:pStyle w:val="ConsPlusNormal"/>
            </w:pPr>
          </w:p>
        </w:tc>
        <w:tc>
          <w:tcPr>
            <w:tcW w:w="1701" w:type="dxa"/>
            <w:vAlign w:val="center"/>
          </w:tcPr>
          <w:p w14:paraId="34195F38" w14:textId="77777777" w:rsidR="00454A29" w:rsidRDefault="00454A29">
            <w:pPr>
              <w:pStyle w:val="ConsPlusNormal"/>
              <w:jc w:val="center"/>
            </w:pPr>
            <w:r>
              <w:t>59 350,77</w:t>
            </w:r>
          </w:p>
        </w:tc>
        <w:tc>
          <w:tcPr>
            <w:tcW w:w="1814" w:type="dxa"/>
            <w:vAlign w:val="center"/>
          </w:tcPr>
          <w:p w14:paraId="4C66BEEF" w14:textId="77777777" w:rsidR="00454A29" w:rsidRDefault="00454A29">
            <w:pPr>
              <w:pStyle w:val="ConsPlusNormal"/>
            </w:pPr>
          </w:p>
        </w:tc>
      </w:tr>
      <w:tr w:rsidR="00454A29" w14:paraId="25E75370" w14:textId="77777777">
        <w:tc>
          <w:tcPr>
            <w:tcW w:w="21706" w:type="dxa"/>
            <w:gridSpan w:val="12"/>
            <w:vAlign w:val="center"/>
          </w:tcPr>
          <w:p w14:paraId="4FF2850E" w14:textId="77777777" w:rsidR="00454A29" w:rsidRDefault="00454A29">
            <w:pPr>
              <w:pStyle w:val="ConsPlusNormal"/>
              <w:jc w:val="center"/>
            </w:pPr>
            <w:r>
              <w:t>Основное мероприятие 10.4.</w:t>
            </w:r>
          </w:p>
        </w:tc>
      </w:tr>
      <w:tr w:rsidR="00454A29" w14:paraId="7D686967" w14:textId="77777777">
        <w:tc>
          <w:tcPr>
            <w:tcW w:w="567" w:type="dxa"/>
            <w:vMerge w:val="restart"/>
            <w:vAlign w:val="center"/>
          </w:tcPr>
          <w:p w14:paraId="3678B200" w14:textId="77777777" w:rsidR="00454A29" w:rsidRDefault="00454A29">
            <w:pPr>
              <w:pStyle w:val="ConsPlusNormal"/>
            </w:pPr>
          </w:p>
        </w:tc>
        <w:tc>
          <w:tcPr>
            <w:tcW w:w="3345" w:type="dxa"/>
            <w:vMerge w:val="restart"/>
            <w:vAlign w:val="center"/>
          </w:tcPr>
          <w:p w14:paraId="4F517A53" w14:textId="77777777" w:rsidR="00454A29" w:rsidRDefault="00454A29">
            <w:pPr>
              <w:pStyle w:val="ConsPlusNormal"/>
              <w:jc w:val="center"/>
            </w:pPr>
            <w:r>
              <w:t>Модернизация объектов профессионального образования</w:t>
            </w:r>
          </w:p>
        </w:tc>
        <w:tc>
          <w:tcPr>
            <w:tcW w:w="1701" w:type="dxa"/>
            <w:vAlign w:val="center"/>
          </w:tcPr>
          <w:p w14:paraId="03CE9135" w14:textId="77777777" w:rsidR="00454A29" w:rsidRDefault="00454A29">
            <w:pPr>
              <w:pStyle w:val="ConsPlusNormal"/>
              <w:jc w:val="center"/>
            </w:pPr>
            <w:r>
              <w:t>Всего:</w:t>
            </w:r>
          </w:p>
        </w:tc>
        <w:tc>
          <w:tcPr>
            <w:tcW w:w="1417" w:type="dxa"/>
            <w:vMerge w:val="restart"/>
            <w:vAlign w:val="center"/>
          </w:tcPr>
          <w:p w14:paraId="26A54392" w14:textId="77777777" w:rsidR="00454A29" w:rsidRDefault="00454A29">
            <w:pPr>
              <w:pStyle w:val="ConsPlusNormal"/>
              <w:jc w:val="center"/>
            </w:pPr>
            <w:r>
              <w:t>х</w:t>
            </w:r>
          </w:p>
        </w:tc>
        <w:tc>
          <w:tcPr>
            <w:tcW w:w="2204" w:type="dxa"/>
            <w:vMerge w:val="restart"/>
            <w:vAlign w:val="center"/>
          </w:tcPr>
          <w:p w14:paraId="2D1DFD0D" w14:textId="77777777" w:rsidR="00454A29" w:rsidRDefault="00454A29">
            <w:pPr>
              <w:pStyle w:val="ConsPlusNormal"/>
              <w:jc w:val="center"/>
            </w:pPr>
            <w:r>
              <w:t>х</w:t>
            </w:r>
          </w:p>
        </w:tc>
        <w:tc>
          <w:tcPr>
            <w:tcW w:w="1417" w:type="dxa"/>
            <w:vMerge w:val="restart"/>
            <w:vAlign w:val="center"/>
          </w:tcPr>
          <w:p w14:paraId="72819A5C" w14:textId="77777777" w:rsidR="00454A29" w:rsidRDefault="00454A29">
            <w:pPr>
              <w:pStyle w:val="ConsPlusNormal"/>
              <w:jc w:val="center"/>
            </w:pPr>
            <w:r>
              <w:t>5 057</w:t>
            </w:r>
          </w:p>
        </w:tc>
        <w:tc>
          <w:tcPr>
            <w:tcW w:w="2324" w:type="dxa"/>
            <w:vMerge w:val="restart"/>
            <w:vAlign w:val="center"/>
          </w:tcPr>
          <w:p w14:paraId="710BB5ED" w14:textId="77777777" w:rsidR="00454A29" w:rsidRDefault="00454A29">
            <w:pPr>
              <w:pStyle w:val="ConsPlusNormal"/>
              <w:jc w:val="center"/>
            </w:pPr>
            <w:r>
              <w:t>х</w:t>
            </w:r>
          </w:p>
        </w:tc>
        <w:tc>
          <w:tcPr>
            <w:tcW w:w="1701" w:type="dxa"/>
            <w:vAlign w:val="center"/>
          </w:tcPr>
          <w:p w14:paraId="694F44B3" w14:textId="77777777" w:rsidR="00454A29" w:rsidRDefault="00454A29">
            <w:pPr>
              <w:pStyle w:val="ConsPlusNormal"/>
              <w:jc w:val="center"/>
            </w:pPr>
            <w:r>
              <w:t>4 791 571,94</w:t>
            </w:r>
          </w:p>
        </w:tc>
        <w:tc>
          <w:tcPr>
            <w:tcW w:w="1814" w:type="dxa"/>
            <w:vAlign w:val="center"/>
          </w:tcPr>
          <w:p w14:paraId="210B6DC2" w14:textId="77777777" w:rsidR="00454A29" w:rsidRDefault="00454A29">
            <w:pPr>
              <w:pStyle w:val="ConsPlusNormal"/>
              <w:jc w:val="center"/>
            </w:pPr>
            <w:r>
              <w:t>4 781 571,94</w:t>
            </w:r>
          </w:p>
        </w:tc>
        <w:tc>
          <w:tcPr>
            <w:tcW w:w="1701" w:type="dxa"/>
            <w:vAlign w:val="center"/>
          </w:tcPr>
          <w:p w14:paraId="4E7E6013" w14:textId="77777777" w:rsidR="00454A29" w:rsidRDefault="00454A29">
            <w:pPr>
              <w:pStyle w:val="ConsPlusNormal"/>
              <w:jc w:val="center"/>
            </w:pPr>
            <w:r>
              <w:t>-</w:t>
            </w:r>
          </w:p>
        </w:tc>
        <w:tc>
          <w:tcPr>
            <w:tcW w:w="1701" w:type="dxa"/>
            <w:vAlign w:val="center"/>
          </w:tcPr>
          <w:p w14:paraId="6138A65F" w14:textId="77777777" w:rsidR="00454A29" w:rsidRDefault="00454A29">
            <w:pPr>
              <w:pStyle w:val="ConsPlusNormal"/>
              <w:jc w:val="center"/>
            </w:pPr>
            <w:r>
              <w:t>10 000,00</w:t>
            </w:r>
          </w:p>
        </w:tc>
        <w:tc>
          <w:tcPr>
            <w:tcW w:w="1814" w:type="dxa"/>
            <w:vAlign w:val="center"/>
          </w:tcPr>
          <w:p w14:paraId="555372D0" w14:textId="77777777" w:rsidR="00454A29" w:rsidRDefault="00454A29">
            <w:pPr>
              <w:pStyle w:val="ConsPlusNormal"/>
              <w:jc w:val="center"/>
            </w:pPr>
            <w:r>
              <w:t>-</w:t>
            </w:r>
          </w:p>
        </w:tc>
      </w:tr>
      <w:tr w:rsidR="00454A29" w14:paraId="4397829A" w14:textId="77777777">
        <w:tc>
          <w:tcPr>
            <w:tcW w:w="567" w:type="dxa"/>
            <w:vMerge/>
          </w:tcPr>
          <w:p w14:paraId="29A09E70" w14:textId="77777777" w:rsidR="00454A29" w:rsidRDefault="00454A29"/>
        </w:tc>
        <w:tc>
          <w:tcPr>
            <w:tcW w:w="3345" w:type="dxa"/>
            <w:vMerge/>
          </w:tcPr>
          <w:p w14:paraId="11EAF8A5" w14:textId="77777777" w:rsidR="00454A29" w:rsidRDefault="00454A29"/>
        </w:tc>
        <w:tc>
          <w:tcPr>
            <w:tcW w:w="1701" w:type="dxa"/>
            <w:vAlign w:val="center"/>
          </w:tcPr>
          <w:p w14:paraId="7E519021" w14:textId="77777777" w:rsidR="00454A29" w:rsidRDefault="00454A29">
            <w:pPr>
              <w:pStyle w:val="ConsPlusNormal"/>
              <w:jc w:val="center"/>
            </w:pPr>
            <w:r>
              <w:t>2020</w:t>
            </w:r>
          </w:p>
        </w:tc>
        <w:tc>
          <w:tcPr>
            <w:tcW w:w="1417" w:type="dxa"/>
            <w:vMerge/>
          </w:tcPr>
          <w:p w14:paraId="1A13390D" w14:textId="77777777" w:rsidR="00454A29" w:rsidRDefault="00454A29"/>
        </w:tc>
        <w:tc>
          <w:tcPr>
            <w:tcW w:w="2204" w:type="dxa"/>
            <w:vMerge/>
          </w:tcPr>
          <w:p w14:paraId="6E807353" w14:textId="77777777" w:rsidR="00454A29" w:rsidRDefault="00454A29"/>
        </w:tc>
        <w:tc>
          <w:tcPr>
            <w:tcW w:w="1417" w:type="dxa"/>
            <w:vMerge/>
          </w:tcPr>
          <w:p w14:paraId="50D51B8E" w14:textId="77777777" w:rsidR="00454A29" w:rsidRDefault="00454A29"/>
        </w:tc>
        <w:tc>
          <w:tcPr>
            <w:tcW w:w="2324" w:type="dxa"/>
            <w:vMerge/>
          </w:tcPr>
          <w:p w14:paraId="1A8EFFB7" w14:textId="77777777" w:rsidR="00454A29" w:rsidRDefault="00454A29"/>
        </w:tc>
        <w:tc>
          <w:tcPr>
            <w:tcW w:w="1701" w:type="dxa"/>
            <w:vAlign w:val="center"/>
          </w:tcPr>
          <w:p w14:paraId="7AF4BCE2" w14:textId="77777777" w:rsidR="00454A29" w:rsidRDefault="00454A29">
            <w:pPr>
              <w:pStyle w:val="ConsPlusNormal"/>
              <w:jc w:val="center"/>
            </w:pPr>
            <w:r>
              <w:t>-</w:t>
            </w:r>
          </w:p>
        </w:tc>
        <w:tc>
          <w:tcPr>
            <w:tcW w:w="1814" w:type="dxa"/>
            <w:vAlign w:val="center"/>
          </w:tcPr>
          <w:p w14:paraId="19FF2D27" w14:textId="77777777" w:rsidR="00454A29" w:rsidRDefault="00454A29">
            <w:pPr>
              <w:pStyle w:val="ConsPlusNormal"/>
              <w:jc w:val="center"/>
            </w:pPr>
            <w:r>
              <w:t>-</w:t>
            </w:r>
          </w:p>
        </w:tc>
        <w:tc>
          <w:tcPr>
            <w:tcW w:w="1701" w:type="dxa"/>
            <w:vAlign w:val="center"/>
          </w:tcPr>
          <w:p w14:paraId="6D73FF2A" w14:textId="77777777" w:rsidR="00454A29" w:rsidRDefault="00454A29">
            <w:pPr>
              <w:pStyle w:val="ConsPlusNormal"/>
              <w:jc w:val="center"/>
            </w:pPr>
            <w:r>
              <w:t>-</w:t>
            </w:r>
          </w:p>
        </w:tc>
        <w:tc>
          <w:tcPr>
            <w:tcW w:w="1701" w:type="dxa"/>
            <w:vAlign w:val="center"/>
          </w:tcPr>
          <w:p w14:paraId="1610F1D6" w14:textId="77777777" w:rsidR="00454A29" w:rsidRDefault="00454A29">
            <w:pPr>
              <w:pStyle w:val="ConsPlusNormal"/>
              <w:jc w:val="center"/>
            </w:pPr>
            <w:r>
              <w:t>-</w:t>
            </w:r>
          </w:p>
        </w:tc>
        <w:tc>
          <w:tcPr>
            <w:tcW w:w="1814" w:type="dxa"/>
            <w:vAlign w:val="center"/>
          </w:tcPr>
          <w:p w14:paraId="231A50B9" w14:textId="77777777" w:rsidR="00454A29" w:rsidRDefault="00454A29">
            <w:pPr>
              <w:pStyle w:val="ConsPlusNormal"/>
              <w:jc w:val="center"/>
            </w:pPr>
            <w:r>
              <w:t>-</w:t>
            </w:r>
          </w:p>
        </w:tc>
      </w:tr>
      <w:tr w:rsidR="00454A29" w14:paraId="7FE4D0A5" w14:textId="77777777">
        <w:tc>
          <w:tcPr>
            <w:tcW w:w="567" w:type="dxa"/>
            <w:vMerge/>
          </w:tcPr>
          <w:p w14:paraId="267A2D08" w14:textId="77777777" w:rsidR="00454A29" w:rsidRDefault="00454A29"/>
        </w:tc>
        <w:tc>
          <w:tcPr>
            <w:tcW w:w="3345" w:type="dxa"/>
            <w:vMerge/>
          </w:tcPr>
          <w:p w14:paraId="381E52A4" w14:textId="77777777" w:rsidR="00454A29" w:rsidRDefault="00454A29"/>
        </w:tc>
        <w:tc>
          <w:tcPr>
            <w:tcW w:w="1701" w:type="dxa"/>
            <w:vAlign w:val="center"/>
          </w:tcPr>
          <w:p w14:paraId="7E552308" w14:textId="77777777" w:rsidR="00454A29" w:rsidRDefault="00454A29">
            <w:pPr>
              <w:pStyle w:val="ConsPlusNormal"/>
              <w:jc w:val="center"/>
            </w:pPr>
            <w:r>
              <w:t>2021</w:t>
            </w:r>
          </w:p>
        </w:tc>
        <w:tc>
          <w:tcPr>
            <w:tcW w:w="1417" w:type="dxa"/>
            <w:vMerge/>
          </w:tcPr>
          <w:p w14:paraId="232DF8B9" w14:textId="77777777" w:rsidR="00454A29" w:rsidRDefault="00454A29"/>
        </w:tc>
        <w:tc>
          <w:tcPr>
            <w:tcW w:w="2204" w:type="dxa"/>
            <w:vMerge/>
          </w:tcPr>
          <w:p w14:paraId="35AB8CC7" w14:textId="77777777" w:rsidR="00454A29" w:rsidRDefault="00454A29"/>
        </w:tc>
        <w:tc>
          <w:tcPr>
            <w:tcW w:w="1417" w:type="dxa"/>
            <w:vMerge/>
          </w:tcPr>
          <w:p w14:paraId="11447148" w14:textId="77777777" w:rsidR="00454A29" w:rsidRDefault="00454A29"/>
        </w:tc>
        <w:tc>
          <w:tcPr>
            <w:tcW w:w="2324" w:type="dxa"/>
            <w:vMerge/>
          </w:tcPr>
          <w:p w14:paraId="09BA9979" w14:textId="77777777" w:rsidR="00454A29" w:rsidRDefault="00454A29"/>
        </w:tc>
        <w:tc>
          <w:tcPr>
            <w:tcW w:w="1701" w:type="dxa"/>
            <w:vAlign w:val="center"/>
          </w:tcPr>
          <w:p w14:paraId="569E60EA" w14:textId="77777777" w:rsidR="00454A29" w:rsidRDefault="00454A29">
            <w:pPr>
              <w:pStyle w:val="ConsPlusNormal"/>
              <w:jc w:val="center"/>
            </w:pPr>
            <w:r>
              <w:t>-</w:t>
            </w:r>
          </w:p>
        </w:tc>
        <w:tc>
          <w:tcPr>
            <w:tcW w:w="1814" w:type="dxa"/>
            <w:vAlign w:val="center"/>
          </w:tcPr>
          <w:p w14:paraId="14F8E66C" w14:textId="77777777" w:rsidR="00454A29" w:rsidRDefault="00454A29">
            <w:pPr>
              <w:pStyle w:val="ConsPlusNormal"/>
              <w:jc w:val="center"/>
            </w:pPr>
            <w:r>
              <w:t>-</w:t>
            </w:r>
          </w:p>
        </w:tc>
        <w:tc>
          <w:tcPr>
            <w:tcW w:w="1701" w:type="dxa"/>
            <w:vAlign w:val="center"/>
          </w:tcPr>
          <w:p w14:paraId="2BAC88EA" w14:textId="77777777" w:rsidR="00454A29" w:rsidRDefault="00454A29">
            <w:pPr>
              <w:pStyle w:val="ConsPlusNormal"/>
              <w:jc w:val="center"/>
            </w:pPr>
            <w:r>
              <w:t>-</w:t>
            </w:r>
          </w:p>
        </w:tc>
        <w:tc>
          <w:tcPr>
            <w:tcW w:w="1701" w:type="dxa"/>
            <w:vAlign w:val="center"/>
          </w:tcPr>
          <w:p w14:paraId="150D3E05" w14:textId="77777777" w:rsidR="00454A29" w:rsidRDefault="00454A29">
            <w:pPr>
              <w:pStyle w:val="ConsPlusNormal"/>
              <w:jc w:val="center"/>
            </w:pPr>
            <w:r>
              <w:t>-</w:t>
            </w:r>
          </w:p>
        </w:tc>
        <w:tc>
          <w:tcPr>
            <w:tcW w:w="1814" w:type="dxa"/>
            <w:vAlign w:val="center"/>
          </w:tcPr>
          <w:p w14:paraId="38110475" w14:textId="77777777" w:rsidR="00454A29" w:rsidRDefault="00454A29">
            <w:pPr>
              <w:pStyle w:val="ConsPlusNormal"/>
              <w:jc w:val="center"/>
            </w:pPr>
            <w:r>
              <w:t>-</w:t>
            </w:r>
          </w:p>
        </w:tc>
      </w:tr>
      <w:tr w:rsidR="00454A29" w14:paraId="7621304F" w14:textId="77777777">
        <w:tc>
          <w:tcPr>
            <w:tcW w:w="567" w:type="dxa"/>
            <w:vMerge/>
          </w:tcPr>
          <w:p w14:paraId="08254979" w14:textId="77777777" w:rsidR="00454A29" w:rsidRDefault="00454A29"/>
        </w:tc>
        <w:tc>
          <w:tcPr>
            <w:tcW w:w="3345" w:type="dxa"/>
            <w:vMerge/>
          </w:tcPr>
          <w:p w14:paraId="1980606E" w14:textId="77777777" w:rsidR="00454A29" w:rsidRDefault="00454A29"/>
        </w:tc>
        <w:tc>
          <w:tcPr>
            <w:tcW w:w="1701" w:type="dxa"/>
            <w:vAlign w:val="center"/>
          </w:tcPr>
          <w:p w14:paraId="6D001BA6" w14:textId="77777777" w:rsidR="00454A29" w:rsidRDefault="00454A29">
            <w:pPr>
              <w:pStyle w:val="ConsPlusNormal"/>
              <w:jc w:val="center"/>
            </w:pPr>
            <w:r>
              <w:t>2022</w:t>
            </w:r>
          </w:p>
        </w:tc>
        <w:tc>
          <w:tcPr>
            <w:tcW w:w="1417" w:type="dxa"/>
            <w:vMerge/>
          </w:tcPr>
          <w:p w14:paraId="38319848" w14:textId="77777777" w:rsidR="00454A29" w:rsidRDefault="00454A29"/>
        </w:tc>
        <w:tc>
          <w:tcPr>
            <w:tcW w:w="2204" w:type="dxa"/>
            <w:vMerge/>
          </w:tcPr>
          <w:p w14:paraId="61ABC810" w14:textId="77777777" w:rsidR="00454A29" w:rsidRDefault="00454A29"/>
        </w:tc>
        <w:tc>
          <w:tcPr>
            <w:tcW w:w="1417" w:type="dxa"/>
            <w:vMerge/>
          </w:tcPr>
          <w:p w14:paraId="1626F9B6" w14:textId="77777777" w:rsidR="00454A29" w:rsidRDefault="00454A29"/>
        </w:tc>
        <w:tc>
          <w:tcPr>
            <w:tcW w:w="2324" w:type="dxa"/>
            <w:vMerge/>
          </w:tcPr>
          <w:p w14:paraId="7046842B" w14:textId="77777777" w:rsidR="00454A29" w:rsidRDefault="00454A29"/>
        </w:tc>
        <w:tc>
          <w:tcPr>
            <w:tcW w:w="1701" w:type="dxa"/>
            <w:vAlign w:val="center"/>
          </w:tcPr>
          <w:p w14:paraId="5C4969A5" w14:textId="77777777" w:rsidR="00454A29" w:rsidRDefault="00454A29">
            <w:pPr>
              <w:pStyle w:val="ConsPlusNormal"/>
              <w:jc w:val="center"/>
            </w:pPr>
            <w:r>
              <w:t>0,00</w:t>
            </w:r>
          </w:p>
        </w:tc>
        <w:tc>
          <w:tcPr>
            <w:tcW w:w="1814" w:type="dxa"/>
            <w:vAlign w:val="center"/>
          </w:tcPr>
          <w:p w14:paraId="0766BAE2" w14:textId="77777777" w:rsidR="00454A29" w:rsidRDefault="00454A29">
            <w:pPr>
              <w:pStyle w:val="ConsPlusNormal"/>
              <w:jc w:val="center"/>
            </w:pPr>
            <w:r>
              <w:t>-</w:t>
            </w:r>
          </w:p>
        </w:tc>
        <w:tc>
          <w:tcPr>
            <w:tcW w:w="1701" w:type="dxa"/>
            <w:vAlign w:val="center"/>
          </w:tcPr>
          <w:p w14:paraId="0B1C1EB6" w14:textId="77777777" w:rsidR="00454A29" w:rsidRDefault="00454A29">
            <w:pPr>
              <w:pStyle w:val="ConsPlusNormal"/>
              <w:jc w:val="center"/>
            </w:pPr>
            <w:r>
              <w:t>-</w:t>
            </w:r>
          </w:p>
        </w:tc>
        <w:tc>
          <w:tcPr>
            <w:tcW w:w="1701" w:type="dxa"/>
            <w:vAlign w:val="center"/>
          </w:tcPr>
          <w:p w14:paraId="50D2DED8" w14:textId="77777777" w:rsidR="00454A29" w:rsidRDefault="00454A29">
            <w:pPr>
              <w:pStyle w:val="ConsPlusNormal"/>
              <w:jc w:val="center"/>
            </w:pPr>
            <w:r>
              <w:t>-</w:t>
            </w:r>
          </w:p>
        </w:tc>
        <w:tc>
          <w:tcPr>
            <w:tcW w:w="1814" w:type="dxa"/>
            <w:vAlign w:val="center"/>
          </w:tcPr>
          <w:p w14:paraId="44BBDD2F" w14:textId="77777777" w:rsidR="00454A29" w:rsidRDefault="00454A29">
            <w:pPr>
              <w:pStyle w:val="ConsPlusNormal"/>
              <w:jc w:val="center"/>
            </w:pPr>
            <w:r>
              <w:t>-</w:t>
            </w:r>
          </w:p>
        </w:tc>
      </w:tr>
      <w:tr w:rsidR="00454A29" w14:paraId="56B17E5B" w14:textId="77777777">
        <w:tc>
          <w:tcPr>
            <w:tcW w:w="567" w:type="dxa"/>
            <w:vMerge/>
          </w:tcPr>
          <w:p w14:paraId="7247378A" w14:textId="77777777" w:rsidR="00454A29" w:rsidRDefault="00454A29"/>
        </w:tc>
        <w:tc>
          <w:tcPr>
            <w:tcW w:w="3345" w:type="dxa"/>
            <w:vMerge/>
          </w:tcPr>
          <w:p w14:paraId="312A9841" w14:textId="77777777" w:rsidR="00454A29" w:rsidRDefault="00454A29"/>
        </w:tc>
        <w:tc>
          <w:tcPr>
            <w:tcW w:w="1701" w:type="dxa"/>
            <w:vAlign w:val="center"/>
          </w:tcPr>
          <w:p w14:paraId="4A1FB77A" w14:textId="77777777" w:rsidR="00454A29" w:rsidRDefault="00454A29">
            <w:pPr>
              <w:pStyle w:val="ConsPlusNormal"/>
              <w:jc w:val="center"/>
            </w:pPr>
            <w:r>
              <w:t>2023</w:t>
            </w:r>
          </w:p>
        </w:tc>
        <w:tc>
          <w:tcPr>
            <w:tcW w:w="1417" w:type="dxa"/>
            <w:vMerge/>
          </w:tcPr>
          <w:p w14:paraId="3DCE9032" w14:textId="77777777" w:rsidR="00454A29" w:rsidRDefault="00454A29"/>
        </w:tc>
        <w:tc>
          <w:tcPr>
            <w:tcW w:w="2204" w:type="dxa"/>
            <w:vMerge/>
          </w:tcPr>
          <w:p w14:paraId="387EB5F1" w14:textId="77777777" w:rsidR="00454A29" w:rsidRDefault="00454A29"/>
        </w:tc>
        <w:tc>
          <w:tcPr>
            <w:tcW w:w="1417" w:type="dxa"/>
            <w:vMerge/>
          </w:tcPr>
          <w:p w14:paraId="7016A7FA" w14:textId="77777777" w:rsidR="00454A29" w:rsidRDefault="00454A29"/>
        </w:tc>
        <w:tc>
          <w:tcPr>
            <w:tcW w:w="2324" w:type="dxa"/>
            <w:vMerge/>
          </w:tcPr>
          <w:p w14:paraId="30372253" w14:textId="77777777" w:rsidR="00454A29" w:rsidRDefault="00454A29"/>
        </w:tc>
        <w:tc>
          <w:tcPr>
            <w:tcW w:w="1701" w:type="dxa"/>
            <w:vAlign w:val="center"/>
          </w:tcPr>
          <w:p w14:paraId="4E2C9169" w14:textId="77777777" w:rsidR="00454A29" w:rsidRDefault="00454A29">
            <w:pPr>
              <w:pStyle w:val="ConsPlusNormal"/>
              <w:jc w:val="center"/>
            </w:pPr>
            <w:r>
              <w:t>302 215,01</w:t>
            </w:r>
          </w:p>
        </w:tc>
        <w:tc>
          <w:tcPr>
            <w:tcW w:w="1814" w:type="dxa"/>
            <w:vAlign w:val="center"/>
          </w:tcPr>
          <w:p w14:paraId="1ED33905" w14:textId="77777777" w:rsidR="00454A29" w:rsidRDefault="00454A29">
            <w:pPr>
              <w:pStyle w:val="ConsPlusNormal"/>
              <w:jc w:val="center"/>
            </w:pPr>
            <w:r>
              <w:t>292 215,01</w:t>
            </w:r>
          </w:p>
        </w:tc>
        <w:tc>
          <w:tcPr>
            <w:tcW w:w="1701" w:type="dxa"/>
            <w:vAlign w:val="center"/>
          </w:tcPr>
          <w:p w14:paraId="283F406C" w14:textId="77777777" w:rsidR="00454A29" w:rsidRDefault="00454A29">
            <w:pPr>
              <w:pStyle w:val="ConsPlusNormal"/>
              <w:jc w:val="center"/>
            </w:pPr>
            <w:r>
              <w:t>-</w:t>
            </w:r>
          </w:p>
        </w:tc>
        <w:tc>
          <w:tcPr>
            <w:tcW w:w="1701" w:type="dxa"/>
            <w:vAlign w:val="center"/>
          </w:tcPr>
          <w:p w14:paraId="1D972D47" w14:textId="77777777" w:rsidR="00454A29" w:rsidRDefault="00454A29">
            <w:pPr>
              <w:pStyle w:val="ConsPlusNormal"/>
              <w:jc w:val="center"/>
            </w:pPr>
            <w:r>
              <w:t>10 000,00</w:t>
            </w:r>
          </w:p>
        </w:tc>
        <w:tc>
          <w:tcPr>
            <w:tcW w:w="1814" w:type="dxa"/>
            <w:vAlign w:val="center"/>
          </w:tcPr>
          <w:p w14:paraId="4BB0BF8E" w14:textId="77777777" w:rsidR="00454A29" w:rsidRDefault="00454A29">
            <w:pPr>
              <w:pStyle w:val="ConsPlusNormal"/>
              <w:jc w:val="center"/>
            </w:pPr>
            <w:r>
              <w:t>-</w:t>
            </w:r>
          </w:p>
        </w:tc>
      </w:tr>
      <w:tr w:rsidR="00454A29" w14:paraId="4F1C30AF" w14:textId="77777777">
        <w:tc>
          <w:tcPr>
            <w:tcW w:w="567" w:type="dxa"/>
            <w:vMerge/>
          </w:tcPr>
          <w:p w14:paraId="724945BE" w14:textId="77777777" w:rsidR="00454A29" w:rsidRDefault="00454A29"/>
        </w:tc>
        <w:tc>
          <w:tcPr>
            <w:tcW w:w="3345" w:type="dxa"/>
            <w:vMerge/>
          </w:tcPr>
          <w:p w14:paraId="00057E51" w14:textId="77777777" w:rsidR="00454A29" w:rsidRDefault="00454A29"/>
        </w:tc>
        <w:tc>
          <w:tcPr>
            <w:tcW w:w="1701" w:type="dxa"/>
            <w:vAlign w:val="center"/>
          </w:tcPr>
          <w:p w14:paraId="6DCB994D" w14:textId="77777777" w:rsidR="00454A29" w:rsidRDefault="00454A29">
            <w:pPr>
              <w:pStyle w:val="ConsPlusNormal"/>
              <w:jc w:val="center"/>
            </w:pPr>
            <w:r>
              <w:t>2024</w:t>
            </w:r>
          </w:p>
        </w:tc>
        <w:tc>
          <w:tcPr>
            <w:tcW w:w="1417" w:type="dxa"/>
            <w:vMerge/>
          </w:tcPr>
          <w:p w14:paraId="36C521CD" w14:textId="77777777" w:rsidR="00454A29" w:rsidRDefault="00454A29"/>
        </w:tc>
        <w:tc>
          <w:tcPr>
            <w:tcW w:w="2204" w:type="dxa"/>
            <w:vMerge/>
          </w:tcPr>
          <w:p w14:paraId="43AE7C6E" w14:textId="77777777" w:rsidR="00454A29" w:rsidRDefault="00454A29"/>
        </w:tc>
        <w:tc>
          <w:tcPr>
            <w:tcW w:w="1417" w:type="dxa"/>
            <w:vMerge/>
          </w:tcPr>
          <w:p w14:paraId="17E86254" w14:textId="77777777" w:rsidR="00454A29" w:rsidRDefault="00454A29"/>
        </w:tc>
        <w:tc>
          <w:tcPr>
            <w:tcW w:w="2324" w:type="dxa"/>
            <w:vMerge/>
          </w:tcPr>
          <w:p w14:paraId="4910E63D" w14:textId="77777777" w:rsidR="00454A29" w:rsidRDefault="00454A29"/>
        </w:tc>
        <w:tc>
          <w:tcPr>
            <w:tcW w:w="1701" w:type="dxa"/>
            <w:vAlign w:val="center"/>
          </w:tcPr>
          <w:p w14:paraId="285D9511" w14:textId="77777777" w:rsidR="00454A29" w:rsidRDefault="00454A29">
            <w:pPr>
              <w:pStyle w:val="ConsPlusNormal"/>
              <w:jc w:val="center"/>
            </w:pPr>
            <w:r>
              <w:t>1 550 131,29</w:t>
            </w:r>
          </w:p>
        </w:tc>
        <w:tc>
          <w:tcPr>
            <w:tcW w:w="1814" w:type="dxa"/>
            <w:vAlign w:val="center"/>
          </w:tcPr>
          <w:p w14:paraId="292C7E06" w14:textId="77777777" w:rsidR="00454A29" w:rsidRDefault="00454A29">
            <w:pPr>
              <w:pStyle w:val="ConsPlusNormal"/>
              <w:jc w:val="center"/>
            </w:pPr>
            <w:r>
              <w:t>1 550 131,29</w:t>
            </w:r>
          </w:p>
        </w:tc>
        <w:tc>
          <w:tcPr>
            <w:tcW w:w="1701" w:type="dxa"/>
            <w:vAlign w:val="center"/>
          </w:tcPr>
          <w:p w14:paraId="2AEB85A5" w14:textId="77777777" w:rsidR="00454A29" w:rsidRDefault="00454A29">
            <w:pPr>
              <w:pStyle w:val="ConsPlusNormal"/>
              <w:jc w:val="center"/>
            </w:pPr>
            <w:r>
              <w:t>-</w:t>
            </w:r>
          </w:p>
        </w:tc>
        <w:tc>
          <w:tcPr>
            <w:tcW w:w="1701" w:type="dxa"/>
            <w:vAlign w:val="center"/>
          </w:tcPr>
          <w:p w14:paraId="2872E023" w14:textId="77777777" w:rsidR="00454A29" w:rsidRDefault="00454A29">
            <w:pPr>
              <w:pStyle w:val="ConsPlusNormal"/>
              <w:jc w:val="center"/>
            </w:pPr>
            <w:r>
              <w:t>-</w:t>
            </w:r>
          </w:p>
        </w:tc>
        <w:tc>
          <w:tcPr>
            <w:tcW w:w="1814" w:type="dxa"/>
            <w:vAlign w:val="center"/>
          </w:tcPr>
          <w:p w14:paraId="5A0D6658" w14:textId="77777777" w:rsidR="00454A29" w:rsidRDefault="00454A29">
            <w:pPr>
              <w:pStyle w:val="ConsPlusNormal"/>
              <w:jc w:val="center"/>
            </w:pPr>
            <w:r>
              <w:t>-</w:t>
            </w:r>
          </w:p>
        </w:tc>
      </w:tr>
      <w:tr w:rsidR="00454A29" w14:paraId="4F167085" w14:textId="77777777">
        <w:tc>
          <w:tcPr>
            <w:tcW w:w="567" w:type="dxa"/>
            <w:vMerge/>
          </w:tcPr>
          <w:p w14:paraId="078486F0" w14:textId="77777777" w:rsidR="00454A29" w:rsidRDefault="00454A29"/>
        </w:tc>
        <w:tc>
          <w:tcPr>
            <w:tcW w:w="3345" w:type="dxa"/>
            <w:vMerge/>
          </w:tcPr>
          <w:p w14:paraId="0239651B" w14:textId="77777777" w:rsidR="00454A29" w:rsidRDefault="00454A29"/>
        </w:tc>
        <w:tc>
          <w:tcPr>
            <w:tcW w:w="1701" w:type="dxa"/>
            <w:vAlign w:val="center"/>
          </w:tcPr>
          <w:p w14:paraId="6EE86DF6" w14:textId="77777777" w:rsidR="00454A29" w:rsidRDefault="00454A29">
            <w:pPr>
              <w:pStyle w:val="ConsPlusNormal"/>
              <w:jc w:val="center"/>
            </w:pPr>
            <w:r>
              <w:t>2025</w:t>
            </w:r>
          </w:p>
        </w:tc>
        <w:tc>
          <w:tcPr>
            <w:tcW w:w="1417" w:type="dxa"/>
            <w:vMerge/>
          </w:tcPr>
          <w:p w14:paraId="65CF5633" w14:textId="77777777" w:rsidR="00454A29" w:rsidRDefault="00454A29"/>
        </w:tc>
        <w:tc>
          <w:tcPr>
            <w:tcW w:w="2204" w:type="dxa"/>
            <w:vMerge/>
          </w:tcPr>
          <w:p w14:paraId="5E2ADF95" w14:textId="77777777" w:rsidR="00454A29" w:rsidRDefault="00454A29"/>
        </w:tc>
        <w:tc>
          <w:tcPr>
            <w:tcW w:w="1417" w:type="dxa"/>
            <w:vMerge/>
          </w:tcPr>
          <w:p w14:paraId="2DD0370A" w14:textId="77777777" w:rsidR="00454A29" w:rsidRDefault="00454A29"/>
        </w:tc>
        <w:tc>
          <w:tcPr>
            <w:tcW w:w="2324" w:type="dxa"/>
            <w:vMerge/>
          </w:tcPr>
          <w:p w14:paraId="27DC414B" w14:textId="77777777" w:rsidR="00454A29" w:rsidRDefault="00454A29"/>
        </w:tc>
        <w:tc>
          <w:tcPr>
            <w:tcW w:w="1701" w:type="dxa"/>
            <w:vAlign w:val="center"/>
          </w:tcPr>
          <w:p w14:paraId="47C198BC" w14:textId="77777777" w:rsidR="00454A29" w:rsidRDefault="00454A29">
            <w:pPr>
              <w:pStyle w:val="ConsPlusNormal"/>
              <w:jc w:val="center"/>
            </w:pPr>
            <w:r>
              <w:t>2 939 225,64</w:t>
            </w:r>
          </w:p>
        </w:tc>
        <w:tc>
          <w:tcPr>
            <w:tcW w:w="1814" w:type="dxa"/>
            <w:vAlign w:val="center"/>
          </w:tcPr>
          <w:p w14:paraId="690D50DE" w14:textId="77777777" w:rsidR="00454A29" w:rsidRDefault="00454A29">
            <w:pPr>
              <w:pStyle w:val="ConsPlusNormal"/>
              <w:jc w:val="center"/>
            </w:pPr>
            <w:r>
              <w:t>2 939 225,64</w:t>
            </w:r>
          </w:p>
        </w:tc>
        <w:tc>
          <w:tcPr>
            <w:tcW w:w="1701" w:type="dxa"/>
            <w:vAlign w:val="center"/>
          </w:tcPr>
          <w:p w14:paraId="3EE4360E" w14:textId="77777777" w:rsidR="00454A29" w:rsidRDefault="00454A29">
            <w:pPr>
              <w:pStyle w:val="ConsPlusNormal"/>
              <w:jc w:val="center"/>
            </w:pPr>
            <w:r>
              <w:t>-</w:t>
            </w:r>
          </w:p>
        </w:tc>
        <w:tc>
          <w:tcPr>
            <w:tcW w:w="1701" w:type="dxa"/>
            <w:vAlign w:val="center"/>
          </w:tcPr>
          <w:p w14:paraId="53FA9605" w14:textId="77777777" w:rsidR="00454A29" w:rsidRDefault="00454A29">
            <w:pPr>
              <w:pStyle w:val="ConsPlusNormal"/>
              <w:jc w:val="center"/>
            </w:pPr>
            <w:r>
              <w:t>-</w:t>
            </w:r>
          </w:p>
        </w:tc>
        <w:tc>
          <w:tcPr>
            <w:tcW w:w="1814" w:type="dxa"/>
            <w:vAlign w:val="center"/>
          </w:tcPr>
          <w:p w14:paraId="4F5A1CFA" w14:textId="77777777" w:rsidR="00454A29" w:rsidRDefault="00454A29">
            <w:pPr>
              <w:pStyle w:val="ConsPlusNormal"/>
              <w:jc w:val="center"/>
            </w:pPr>
            <w:r>
              <w:t>-</w:t>
            </w:r>
          </w:p>
        </w:tc>
      </w:tr>
      <w:tr w:rsidR="00454A29" w14:paraId="6418CBF2" w14:textId="77777777">
        <w:tc>
          <w:tcPr>
            <w:tcW w:w="567" w:type="dxa"/>
            <w:vMerge/>
          </w:tcPr>
          <w:p w14:paraId="2AE78605" w14:textId="77777777" w:rsidR="00454A29" w:rsidRDefault="00454A29"/>
        </w:tc>
        <w:tc>
          <w:tcPr>
            <w:tcW w:w="3345" w:type="dxa"/>
            <w:vMerge/>
          </w:tcPr>
          <w:p w14:paraId="0F0D3048" w14:textId="77777777" w:rsidR="00454A29" w:rsidRDefault="00454A29"/>
        </w:tc>
        <w:tc>
          <w:tcPr>
            <w:tcW w:w="1701" w:type="dxa"/>
            <w:vAlign w:val="center"/>
          </w:tcPr>
          <w:p w14:paraId="0801F20E" w14:textId="77777777" w:rsidR="00454A29" w:rsidRDefault="00454A29">
            <w:pPr>
              <w:pStyle w:val="ConsPlusNormal"/>
              <w:jc w:val="center"/>
            </w:pPr>
            <w:r>
              <w:t>2026</w:t>
            </w:r>
          </w:p>
        </w:tc>
        <w:tc>
          <w:tcPr>
            <w:tcW w:w="1417" w:type="dxa"/>
            <w:vMerge/>
          </w:tcPr>
          <w:p w14:paraId="4DAFC9E5" w14:textId="77777777" w:rsidR="00454A29" w:rsidRDefault="00454A29"/>
        </w:tc>
        <w:tc>
          <w:tcPr>
            <w:tcW w:w="2204" w:type="dxa"/>
            <w:vMerge/>
          </w:tcPr>
          <w:p w14:paraId="6BE1229E" w14:textId="77777777" w:rsidR="00454A29" w:rsidRDefault="00454A29"/>
        </w:tc>
        <w:tc>
          <w:tcPr>
            <w:tcW w:w="1417" w:type="dxa"/>
            <w:vMerge/>
          </w:tcPr>
          <w:p w14:paraId="36F9EBBA" w14:textId="77777777" w:rsidR="00454A29" w:rsidRDefault="00454A29"/>
        </w:tc>
        <w:tc>
          <w:tcPr>
            <w:tcW w:w="2324" w:type="dxa"/>
            <w:vMerge/>
          </w:tcPr>
          <w:p w14:paraId="2CD520CE" w14:textId="77777777" w:rsidR="00454A29" w:rsidRDefault="00454A29"/>
        </w:tc>
        <w:tc>
          <w:tcPr>
            <w:tcW w:w="1701" w:type="dxa"/>
            <w:vAlign w:val="center"/>
          </w:tcPr>
          <w:p w14:paraId="07583756" w14:textId="77777777" w:rsidR="00454A29" w:rsidRDefault="00454A29">
            <w:pPr>
              <w:pStyle w:val="ConsPlusNormal"/>
              <w:jc w:val="center"/>
            </w:pPr>
            <w:r>
              <w:t>-</w:t>
            </w:r>
          </w:p>
        </w:tc>
        <w:tc>
          <w:tcPr>
            <w:tcW w:w="1814" w:type="dxa"/>
            <w:vAlign w:val="center"/>
          </w:tcPr>
          <w:p w14:paraId="5E4F9011" w14:textId="77777777" w:rsidR="00454A29" w:rsidRDefault="00454A29">
            <w:pPr>
              <w:pStyle w:val="ConsPlusNormal"/>
              <w:jc w:val="center"/>
            </w:pPr>
            <w:r>
              <w:t>-</w:t>
            </w:r>
          </w:p>
        </w:tc>
        <w:tc>
          <w:tcPr>
            <w:tcW w:w="1701" w:type="dxa"/>
            <w:vAlign w:val="center"/>
          </w:tcPr>
          <w:p w14:paraId="2D56D45D" w14:textId="77777777" w:rsidR="00454A29" w:rsidRDefault="00454A29">
            <w:pPr>
              <w:pStyle w:val="ConsPlusNormal"/>
              <w:jc w:val="center"/>
            </w:pPr>
            <w:r>
              <w:t>-</w:t>
            </w:r>
          </w:p>
        </w:tc>
        <w:tc>
          <w:tcPr>
            <w:tcW w:w="1701" w:type="dxa"/>
            <w:vAlign w:val="center"/>
          </w:tcPr>
          <w:p w14:paraId="771DB4BF" w14:textId="77777777" w:rsidR="00454A29" w:rsidRDefault="00454A29">
            <w:pPr>
              <w:pStyle w:val="ConsPlusNormal"/>
              <w:jc w:val="center"/>
            </w:pPr>
            <w:r>
              <w:t>-</w:t>
            </w:r>
          </w:p>
        </w:tc>
        <w:tc>
          <w:tcPr>
            <w:tcW w:w="1814" w:type="dxa"/>
            <w:vAlign w:val="center"/>
          </w:tcPr>
          <w:p w14:paraId="49ABEFBC" w14:textId="77777777" w:rsidR="00454A29" w:rsidRDefault="00454A29">
            <w:pPr>
              <w:pStyle w:val="ConsPlusNormal"/>
              <w:jc w:val="center"/>
            </w:pPr>
            <w:r>
              <w:t>-</w:t>
            </w:r>
          </w:p>
        </w:tc>
      </w:tr>
      <w:tr w:rsidR="00454A29" w14:paraId="255A1399" w14:textId="77777777">
        <w:tc>
          <w:tcPr>
            <w:tcW w:w="21706" w:type="dxa"/>
            <w:gridSpan w:val="12"/>
            <w:vAlign w:val="center"/>
          </w:tcPr>
          <w:p w14:paraId="2654FC26" w14:textId="77777777" w:rsidR="00454A29" w:rsidRDefault="00454A29">
            <w:pPr>
              <w:pStyle w:val="ConsPlusNormal"/>
              <w:jc w:val="center"/>
            </w:pPr>
            <w:r>
              <w:t>Мероприятие 10.4.1.</w:t>
            </w:r>
          </w:p>
        </w:tc>
      </w:tr>
      <w:tr w:rsidR="00454A29" w14:paraId="5CFDDAED" w14:textId="77777777">
        <w:tc>
          <w:tcPr>
            <w:tcW w:w="567" w:type="dxa"/>
            <w:vMerge w:val="restart"/>
            <w:vAlign w:val="center"/>
          </w:tcPr>
          <w:p w14:paraId="0BAEAD9A" w14:textId="77777777" w:rsidR="00454A29" w:rsidRDefault="00454A29">
            <w:pPr>
              <w:pStyle w:val="ConsPlusNormal"/>
            </w:pPr>
          </w:p>
        </w:tc>
        <w:tc>
          <w:tcPr>
            <w:tcW w:w="3345" w:type="dxa"/>
            <w:vMerge w:val="restart"/>
            <w:vAlign w:val="center"/>
          </w:tcPr>
          <w:p w14:paraId="47469854" w14:textId="77777777" w:rsidR="00454A29" w:rsidRDefault="00454A29">
            <w:pPr>
              <w:pStyle w:val="ConsPlusNormal"/>
              <w:jc w:val="center"/>
            </w:pPr>
            <w:r>
              <w:t xml:space="preserve">Строительство, приобретение и реконструкция зданий среднего </w:t>
            </w:r>
            <w:r>
              <w:lastRenderedPageBreak/>
              <w:t>профессионального образования</w:t>
            </w:r>
          </w:p>
        </w:tc>
        <w:tc>
          <w:tcPr>
            <w:tcW w:w="1701" w:type="dxa"/>
            <w:vAlign w:val="center"/>
          </w:tcPr>
          <w:p w14:paraId="7A4EAEDF" w14:textId="77777777" w:rsidR="00454A29" w:rsidRDefault="00454A29">
            <w:pPr>
              <w:pStyle w:val="ConsPlusNormal"/>
              <w:jc w:val="center"/>
            </w:pPr>
            <w:r>
              <w:lastRenderedPageBreak/>
              <w:t>Всего:</w:t>
            </w:r>
          </w:p>
        </w:tc>
        <w:tc>
          <w:tcPr>
            <w:tcW w:w="1417" w:type="dxa"/>
            <w:vMerge w:val="restart"/>
            <w:vAlign w:val="center"/>
          </w:tcPr>
          <w:p w14:paraId="3797917B" w14:textId="77777777" w:rsidR="00454A29" w:rsidRDefault="00454A29">
            <w:pPr>
              <w:pStyle w:val="ConsPlusNormal"/>
              <w:jc w:val="center"/>
            </w:pPr>
            <w:r>
              <w:t>х</w:t>
            </w:r>
          </w:p>
        </w:tc>
        <w:tc>
          <w:tcPr>
            <w:tcW w:w="2204" w:type="dxa"/>
            <w:vMerge w:val="restart"/>
            <w:vAlign w:val="center"/>
          </w:tcPr>
          <w:p w14:paraId="4CB4E7E3" w14:textId="77777777" w:rsidR="00454A29" w:rsidRDefault="00454A29">
            <w:pPr>
              <w:pStyle w:val="ConsPlusNormal"/>
              <w:jc w:val="center"/>
            </w:pPr>
            <w:r>
              <w:t>х</w:t>
            </w:r>
          </w:p>
        </w:tc>
        <w:tc>
          <w:tcPr>
            <w:tcW w:w="1417" w:type="dxa"/>
            <w:vMerge w:val="restart"/>
            <w:vAlign w:val="center"/>
          </w:tcPr>
          <w:p w14:paraId="5330BEE3" w14:textId="77777777" w:rsidR="00454A29" w:rsidRDefault="00454A29">
            <w:pPr>
              <w:pStyle w:val="ConsPlusNormal"/>
              <w:jc w:val="center"/>
            </w:pPr>
            <w:r>
              <w:t>5057</w:t>
            </w:r>
          </w:p>
        </w:tc>
        <w:tc>
          <w:tcPr>
            <w:tcW w:w="2324" w:type="dxa"/>
            <w:vMerge w:val="restart"/>
            <w:vAlign w:val="center"/>
          </w:tcPr>
          <w:p w14:paraId="1017F8FD" w14:textId="77777777" w:rsidR="00454A29" w:rsidRDefault="00454A29">
            <w:pPr>
              <w:pStyle w:val="ConsPlusNormal"/>
              <w:jc w:val="center"/>
            </w:pPr>
            <w:r>
              <w:t>х</w:t>
            </w:r>
          </w:p>
        </w:tc>
        <w:tc>
          <w:tcPr>
            <w:tcW w:w="1701" w:type="dxa"/>
            <w:vAlign w:val="center"/>
          </w:tcPr>
          <w:p w14:paraId="02B7B251" w14:textId="77777777" w:rsidR="00454A29" w:rsidRDefault="00454A29">
            <w:pPr>
              <w:pStyle w:val="ConsPlusNormal"/>
              <w:jc w:val="center"/>
            </w:pPr>
            <w:r>
              <w:t>4 791 571,94</w:t>
            </w:r>
          </w:p>
        </w:tc>
        <w:tc>
          <w:tcPr>
            <w:tcW w:w="1814" w:type="dxa"/>
            <w:vAlign w:val="center"/>
          </w:tcPr>
          <w:p w14:paraId="5C408DF0" w14:textId="77777777" w:rsidR="00454A29" w:rsidRDefault="00454A29">
            <w:pPr>
              <w:pStyle w:val="ConsPlusNormal"/>
              <w:jc w:val="center"/>
            </w:pPr>
            <w:r>
              <w:t>4 781 571,94</w:t>
            </w:r>
          </w:p>
        </w:tc>
        <w:tc>
          <w:tcPr>
            <w:tcW w:w="1701" w:type="dxa"/>
            <w:vAlign w:val="center"/>
          </w:tcPr>
          <w:p w14:paraId="33921917" w14:textId="77777777" w:rsidR="00454A29" w:rsidRDefault="00454A29">
            <w:pPr>
              <w:pStyle w:val="ConsPlusNormal"/>
              <w:jc w:val="center"/>
            </w:pPr>
            <w:r>
              <w:t>-</w:t>
            </w:r>
          </w:p>
        </w:tc>
        <w:tc>
          <w:tcPr>
            <w:tcW w:w="1701" w:type="dxa"/>
            <w:vAlign w:val="center"/>
          </w:tcPr>
          <w:p w14:paraId="06D95D3A" w14:textId="77777777" w:rsidR="00454A29" w:rsidRDefault="00454A29">
            <w:pPr>
              <w:pStyle w:val="ConsPlusNormal"/>
              <w:jc w:val="center"/>
            </w:pPr>
            <w:r>
              <w:t>10 000,00</w:t>
            </w:r>
          </w:p>
        </w:tc>
        <w:tc>
          <w:tcPr>
            <w:tcW w:w="1814" w:type="dxa"/>
            <w:vAlign w:val="center"/>
          </w:tcPr>
          <w:p w14:paraId="5BDA33B0" w14:textId="77777777" w:rsidR="00454A29" w:rsidRDefault="00454A29">
            <w:pPr>
              <w:pStyle w:val="ConsPlusNormal"/>
              <w:jc w:val="center"/>
            </w:pPr>
            <w:r>
              <w:t>-</w:t>
            </w:r>
          </w:p>
        </w:tc>
      </w:tr>
      <w:tr w:rsidR="00454A29" w14:paraId="1CE2528F" w14:textId="77777777">
        <w:tc>
          <w:tcPr>
            <w:tcW w:w="567" w:type="dxa"/>
            <w:vMerge/>
          </w:tcPr>
          <w:p w14:paraId="11C496D5" w14:textId="77777777" w:rsidR="00454A29" w:rsidRDefault="00454A29"/>
        </w:tc>
        <w:tc>
          <w:tcPr>
            <w:tcW w:w="3345" w:type="dxa"/>
            <w:vMerge/>
          </w:tcPr>
          <w:p w14:paraId="3DDB2FF6" w14:textId="77777777" w:rsidR="00454A29" w:rsidRDefault="00454A29"/>
        </w:tc>
        <w:tc>
          <w:tcPr>
            <w:tcW w:w="1701" w:type="dxa"/>
            <w:vAlign w:val="center"/>
          </w:tcPr>
          <w:p w14:paraId="1CCBCE41" w14:textId="77777777" w:rsidR="00454A29" w:rsidRDefault="00454A29">
            <w:pPr>
              <w:pStyle w:val="ConsPlusNormal"/>
              <w:jc w:val="center"/>
            </w:pPr>
            <w:r>
              <w:t>2020</w:t>
            </w:r>
          </w:p>
        </w:tc>
        <w:tc>
          <w:tcPr>
            <w:tcW w:w="1417" w:type="dxa"/>
            <w:vMerge/>
          </w:tcPr>
          <w:p w14:paraId="51B45DF1" w14:textId="77777777" w:rsidR="00454A29" w:rsidRDefault="00454A29"/>
        </w:tc>
        <w:tc>
          <w:tcPr>
            <w:tcW w:w="2204" w:type="dxa"/>
            <w:vMerge/>
          </w:tcPr>
          <w:p w14:paraId="0F84C796" w14:textId="77777777" w:rsidR="00454A29" w:rsidRDefault="00454A29"/>
        </w:tc>
        <w:tc>
          <w:tcPr>
            <w:tcW w:w="1417" w:type="dxa"/>
            <w:vMerge/>
          </w:tcPr>
          <w:p w14:paraId="73E98195" w14:textId="77777777" w:rsidR="00454A29" w:rsidRDefault="00454A29"/>
        </w:tc>
        <w:tc>
          <w:tcPr>
            <w:tcW w:w="2324" w:type="dxa"/>
            <w:vMerge/>
          </w:tcPr>
          <w:p w14:paraId="601D24E4" w14:textId="77777777" w:rsidR="00454A29" w:rsidRDefault="00454A29"/>
        </w:tc>
        <w:tc>
          <w:tcPr>
            <w:tcW w:w="1701" w:type="dxa"/>
            <w:vAlign w:val="center"/>
          </w:tcPr>
          <w:p w14:paraId="591D3118" w14:textId="77777777" w:rsidR="00454A29" w:rsidRDefault="00454A29">
            <w:pPr>
              <w:pStyle w:val="ConsPlusNormal"/>
              <w:jc w:val="center"/>
            </w:pPr>
            <w:r>
              <w:t>-</w:t>
            </w:r>
          </w:p>
        </w:tc>
        <w:tc>
          <w:tcPr>
            <w:tcW w:w="1814" w:type="dxa"/>
            <w:vAlign w:val="center"/>
          </w:tcPr>
          <w:p w14:paraId="4FF13FA2" w14:textId="77777777" w:rsidR="00454A29" w:rsidRDefault="00454A29">
            <w:pPr>
              <w:pStyle w:val="ConsPlusNormal"/>
              <w:jc w:val="center"/>
            </w:pPr>
            <w:r>
              <w:t>-</w:t>
            </w:r>
          </w:p>
        </w:tc>
        <w:tc>
          <w:tcPr>
            <w:tcW w:w="1701" w:type="dxa"/>
            <w:vAlign w:val="center"/>
          </w:tcPr>
          <w:p w14:paraId="7523027D" w14:textId="77777777" w:rsidR="00454A29" w:rsidRDefault="00454A29">
            <w:pPr>
              <w:pStyle w:val="ConsPlusNormal"/>
              <w:jc w:val="center"/>
            </w:pPr>
            <w:r>
              <w:t>-</w:t>
            </w:r>
          </w:p>
        </w:tc>
        <w:tc>
          <w:tcPr>
            <w:tcW w:w="1701" w:type="dxa"/>
            <w:vAlign w:val="center"/>
          </w:tcPr>
          <w:p w14:paraId="5B23710A" w14:textId="77777777" w:rsidR="00454A29" w:rsidRDefault="00454A29">
            <w:pPr>
              <w:pStyle w:val="ConsPlusNormal"/>
              <w:jc w:val="center"/>
            </w:pPr>
            <w:r>
              <w:t>-</w:t>
            </w:r>
          </w:p>
        </w:tc>
        <w:tc>
          <w:tcPr>
            <w:tcW w:w="1814" w:type="dxa"/>
            <w:vAlign w:val="center"/>
          </w:tcPr>
          <w:p w14:paraId="79B481BE" w14:textId="77777777" w:rsidR="00454A29" w:rsidRDefault="00454A29">
            <w:pPr>
              <w:pStyle w:val="ConsPlusNormal"/>
              <w:jc w:val="center"/>
            </w:pPr>
            <w:r>
              <w:t>-</w:t>
            </w:r>
          </w:p>
        </w:tc>
      </w:tr>
      <w:tr w:rsidR="00454A29" w14:paraId="4506F42F" w14:textId="77777777">
        <w:tc>
          <w:tcPr>
            <w:tcW w:w="567" w:type="dxa"/>
            <w:vMerge/>
          </w:tcPr>
          <w:p w14:paraId="3185E73B" w14:textId="77777777" w:rsidR="00454A29" w:rsidRDefault="00454A29"/>
        </w:tc>
        <w:tc>
          <w:tcPr>
            <w:tcW w:w="3345" w:type="dxa"/>
            <w:vMerge/>
          </w:tcPr>
          <w:p w14:paraId="79048D82" w14:textId="77777777" w:rsidR="00454A29" w:rsidRDefault="00454A29"/>
        </w:tc>
        <w:tc>
          <w:tcPr>
            <w:tcW w:w="1701" w:type="dxa"/>
            <w:vAlign w:val="center"/>
          </w:tcPr>
          <w:p w14:paraId="3EB5B494" w14:textId="77777777" w:rsidR="00454A29" w:rsidRDefault="00454A29">
            <w:pPr>
              <w:pStyle w:val="ConsPlusNormal"/>
              <w:jc w:val="center"/>
            </w:pPr>
            <w:r>
              <w:t>2021</w:t>
            </w:r>
          </w:p>
        </w:tc>
        <w:tc>
          <w:tcPr>
            <w:tcW w:w="1417" w:type="dxa"/>
            <w:vMerge/>
          </w:tcPr>
          <w:p w14:paraId="5BDD7173" w14:textId="77777777" w:rsidR="00454A29" w:rsidRDefault="00454A29"/>
        </w:tc>
        <w:tc>
          <w:tcPr>
            <w:tcW w:w="2204" w:type="dxa"/>
            <w:vMerge/>
          </w:tcPr>
          <w:p w14:paraId="595620E4" w14:textId="77777777" w:rsidR="00454A29" w:rsidRDefault="00454A29"/>
        </w:tc>
        <w:tc>
          <w:tcPr>
            <w:tcW w:w="1417" w:type="dxa"/>
            <w:vMerge/>
          </w:tcPr>
          <w:p w14:paraId="5838BC0B" w14:textId="77777777" w:rsidR="00454A29" w:rsidRDefault="00454A29"/>
        </w:tc>
        <w:tc>
          <w:tcPr>
            <w:tcW w:w="2324" w:type="dxa"/>
            <w:vMerge/>
          </w:tcPr>
          <w:p w14:paraId="1392DD72" w14:textId="77777777" w:rsidR="00454A29" w:rsidRDefault="00454A29"/>
        </w:tc>
        <w:tc>
          <w:tcPr>
            <w:tcW w:w="1701" w:type="dxa"/>
            <w:vAlign w:val="center"/>
          </w:tcPr>
          <w:p w14:paraId="04462407" w14:textId="77777777" w:rsidR="00454A29" w:rsidRDefault="00454A29">
            <w:pPr>
              <w:pStyle w:val="ConsPlusNormal"/>
              <w:jc w:val="center"/>
            </w:pPr>
            <w:r>
              <w:t>-</w:t>
            </w:r>
          </w:p>
        </w:tc>
        <w:tc>
          <w:tcPr>
            <w:tcW w:w="1814" w:type="dxa"/>
            <w:vAlign w:val="center"/>
          </w:tcPr>
          <w:p w14:paraId="11E0CA35" w14:textId="77777777" w:rsidR="00454A29" w:rsidRDefault="00454A29">
            <w:pPr>
              <w:pStyle w:val="ConsPlusNormal"/>
              <w:jc w:val="center"/>
            </w:pPr>
            <w:r>
              <w:t>-</w:t>
            </w:r>
          </w:p>
        </w:tc>
        <w:tc>
          <w:tcPr>
            <w:tcW w:w="1701" w:type="dxa"/>
            <w:vAlign w:val="center"/>
          </w:tcPr>
          <w:p w14:paraId="77BA066D" w14:textId="77777777" w:rsidR="00454A29" w:rsidRDefault="00454A29">
            <w:pPr>
              <w:pStyle w:val="ConsPlusNormal"/>
              <w:jc w:val="center"/>
            </w:pPr>
            <w:r>
              <w:t>-</w:t>
            </w:r>
          </w:p>
        </w:tc>
        <w:tc>
          <w:tcPr>
            <w:tcW w:w="1701" w:type="dxa"/>
            <w:vAlign w:val="center"/>
          </w:tcPr>
          <w:p w14:paraId="36958620" w14:textId="77777777" w:rsidR="00454A29" w:rsidRDefault="00454A29">
            <w:pPr>
              <w:pStyle w:val="ConsPlusNormal"/>
              <w:jc w:val="center"/>
            </w:pPr>
            <w:r>
              <w:t>-</w:t>
            </w:r>
          </w:p>
        </w:tc>
        <w:tc>
          <w:tcPr>
            <w:tcW w:w="1814" w:type="dxa"/>
            <w:vAlign w:val="center"/>
          </w:tcPr>
          <w:p w14:paraId="21473D4A" w14:textId="77777777" w:rsidR="00454A29" w:rsidRDefault="00454A29">
            <w:pPr>
              <w:pStyle w:val="ConsPlusNormal"/>
              <w:jc w:val="center"/>
            </w:pPr>
            <w:r>
              <w:t>-</w:t>
            </w:r>
          </w:p>
        </w:tc>
      </w:tr>
      <w:tr w:rsidR="00454A29" w14:paraId="6D2E9623" w14:textId="77777777">
        <w:tc>
          <w:tcPr>
            <w:tcW w:w="567" w:type="dxa"/>
            <w:vMerge/>
          </w:tcPr>
          <w:p w14:paraId="36D280AC" w14:textId="77777777" w:rsidR="00454A29" w:rsidRDefault="00454A29"/>
        </w:tc>
        <w:tc>
          <w:tcPr>
            <w:tcW w:w="3345" w:type="dxa"/>
            <w:vMerge/>
          </w:tcPr>
          <w:p w14:paraId="449F18E8" w14:textId="77777777" w:rsidR="00454A29" w:rsidRDefault="00454A29"/>
        </w:tc>
        <w:tc>
          <w:tcPr>
            <w:tcW w:w="1701" w:type="dxa"/>
            <w:vAlign w:val="center"/>
          </w:tcPr>
          <w:p w14:paraId="268B4EA1" w14:textId="77777777" w:rsidR="00454A29" w:rsidRDefault="00454A29">
            <w:pPr>
              <w:pStyle w:val="ConsPlusNormal"/>
              <w:jc w:val="center"/>
            </w:pPr>
            <w:r>
              <w:t>2022</w:t>
            </w:r>
          </w:p>
        </w:tc>
        <w:tc>
          <w:tcPr>
            <w:tcW w:w="1417" w:type="dxa"/>
            <w:vMerge/>
          </w:tcPr>
          <w:p w14:paraId="495441DE" w14:textId="77777777" w:rsidR="00454A29" w:rsidRDefault="00454A29"/>
        </w:tc>
        <w:tc>
          <w:tcPr>
            <w:tcW w:w="2204" w:type="dxa"/>
            <w:vMerge/>
          </w:tcPr>
          <w:p w14:paraId="406FB126" w14:textId="77777777" w:rsidR="00454A29" w:rsidRDefault="00454A29"/>
        </w:tc>
        <w:tc>
          <w:tcPr>
            <w:tcW w:w="1417" w:type="dxa"/>
            <w:vMerge/>
          </w:tcPr>
          <w:p w14:paraId="17EBCDEF" w14:textId="77777777" w:rsidR="00454A29" w:rsidRDefault="00454A29"/>
        </w:tc>
        <w:tc>
          <w:tcPr>
            <w:tcW w:w="2324" w:type="dxa"/>
            <w:vMerge/>
          </w:tcPr>
          <w:p w14:paraId="4C47F61B" w14:textId="77777777" w:rsidR="00454A29" w:rsidRDefault="00454A29"/>
        </w:tc>
        <w:tc>
          <w:tcPr>
            <w:tcW w:w="1701" w:type="dxa"/>
            <w:vAlign w:val="center"/>
          </w:tcPr>
          <w:p w14:paraId="7FB9510E" w14:textId="77777777" w:rsidR="00454A29" w:rsidRDefault="00454A29">
            <w:pPr>
              <w:pStyle w:val="ConsPlusNormal"/>
              <w:jc w:val="center"/>
            </w:pPr>
            <w:r>
              <w:t>-</w:t>
            </w:r>
          </w:p>
        </w:tc>
        <w:tc>
          <w:tcPr>
            <w:tcW w:w="1814" w:type="dxa"/>
            <w:vAlign w:val="center"/>
          </w:tcPr>
          <w:p w14:paraId="036791D5" w14:textId="77777777" w:rsidR="00454A29" w:rsidRDefault="00454A29">
            <w:pPr>
              <w:pStyle w:val="ConsPlusNormal"/>
              <w:jc w:val="center"/>
            </w:pPr>
            <w:r>
              <w:t>-</w:t>
            </w:r>
          </w:p>
        </w:tc>
        <w:tc>
          <w:tcPr>
            <w:tcW w:w="1701" w:type="dxa"/>
            <w:vAlign w:val="center"/>
          </w:tcPr>
          <w:p w14:paraId="375242B7" w14:textId="77777777" w:rsidR="00454A29" w:rsidRDefault="00454A29">
            <w:pPr>
              <w:pStyle w:val="ConsPlusNormal"/>
              <w:jc w:val="center"/>
            </w:pPr>
            <w:r>
              <w:t>-</w:t>
            </w:r>
          </w:p>
        </w:tc>
        <w:tc>
          <w:tcPr>
            <w:tcW w:w="1701" w:type="dxa"/>
            <w:vAlign w:val="center"/>
          </w:tcPr>
          <w:p w14:paraId="69D63202" w14:textId="77777777" w:rsidR="00454A29" w:rsidRDefault="00454A29">
            <w:pPr>
              <w:pStyle w:val="ConsPlusNormal"/>
              <w:jc w:val="center"/>
            </w:pPr>
            <w:r>
              <w:t>-</w:t>
            </w:r>
          </w:p>
        </w:tc>
        <w:tc>
          <w:tcPr>
            <w:tcW w:w="1814" w:type="dxa"/>
            <w:vAlign w:val="center"/>
          </w:tcPr>
          <w:p w14:paraId="59495429" w14:textId="77777777" w:rsidR="00454A29" w:rsidRDefault="00454A29">
            <w:pPr>
              <w:pStyle w:val="ConsPlusNormal"/>
              <w:jc w:val="center"/>
            </w:pPr>
            <w:r>
              <w:t>-</w:t>
            </w:r>
          </w:p>
        </w:tc>
      </w:tr>
      <w:tr w:rsidR="00454A29" w14:paraId="2701DD1F" w14:textId="77777777">
        <w:tc>
          <w:tcPr>
            <w:tcW w:w="567" w:type="dxa"/>
            <w:vMerge/>
          </w:tcPr>
          <w:p w14:paraId="2F42B67A" w14:textId="77777777" w:rsidR="00454A29" w:rsidRDefault="00454A29"/>
        </w:tc>
        <w:tc>
          <w:tcPr>
            <w:tcW w:w="3345" w:type="dxa"/>
            <w:vMerge/>
          </w:tcPr>
          <w:p w14:paraId="2D5F203E" w14:textId="77777777" w:rsidR="00454A29" w:rsidRDefault="00454A29"/>
        </w:tc>
        <w:tc>
          <w:tcPr>
            <w:tcW w:w="1701" w:type="dxa"/>
            <w:vAlign w:val="center"/>
          </w:tcPr>
          <w:p w14:paraId="3564ADA9" w14:textId="77777777" w:rsidR="00454A29" w:rsidRDefault="00454A29">
            <w:pPr>
              <w:pStyle w:val="ConsPlusNormal"/>
              <w:jc w:val="center"/>
            </w:pPr>
            <w:r>
              <w:t>2023</w:t>
            </w:r>
          </w:p>
        </w:tc>
        <w:tc>
          <w:tcPr>
            <w:tcW w:w="1417" w:type="dxa"/>
            <w:vMerge/>
          </w:tcPr>
          <w:p w14:paraId="7266FCA4" w14:textId="77777777" w:rsidR="00454A29" w:rsidRDefault="00454A29"/>
        </w:tc>
        <w:tc>
          <w:tcPr>
            <w:tcW w:w="2204" w:type="dxa"/>
            <w:vMerge/>
          </w:tcPr>
          <w:p w14:paraId="73F70E05" w14:textId="77777777" w:rsidR="00454A29" w:rsidRDefault="00454A29"/>
        </w:tc>
        <w:tc>
          <w:tcPr>
            <w:tcW w:w="1417" w:type="dxa"/>
            <w:vMerge/>
          </w:tcPr>
          <w:p w14:paraId="67E1CC20" w14:textId="77777777" w:rsidR="00454A29" w:rsidRDefault="00454A29"/>
        </w:tc>
        <w:tc>
          <w:tcPr>
            <w:tcW w:w="2324" w:type="dxa"/>
            <w:vMerge/>
          </w:tcPr>
          <w:p w14:paraId="5C60E0A2" w14:textId="77777777" w:rsidR="00454A29" w:rsidRDefault="00454A29"/>
        </w:tc>
        <w:tc>
          <w:tcPr>
            <w:tcW w:w="1701" w:type="dxa"/>
            <w:vAlign w:val="center"/>
          </w:tcPr>
          <w:p w14:paraId="0B968E1B" w14:textId="77777777" w:rsidR="00454A29" w:rsidRDefault="00454A29">
            <w:pPr>
              <w:pStyle w:val="ConsPlusNormal"/>
              <w:jc w:val="center"/>
            </w:pPr>
            <w:r>
              <w:t>302 215,01</w:t>
            </w:r>
          </w:p>
        </w:tc>
        <w:tc>
          <w:tcPr>
            <w:tcW w:w="1814" w:type="dxa"/>
            <w:vAlign w:val="center"/>
          </w:tcPr>
          <w:p w14:paraId="29D660D3" w14:textId="77777777" w:rsidR="00454A29" w:rsidRDefault="00454A29">
            <w:pPr>
              <w:pStyle w:val="ConsPlusNormal"/>
              <w:jc w:val="center"/>
            </w:pPr>
            <w:r>
              <w:t>292 215,01</w:t>
            </w:r>
          </w:p>
        </w:tc>
        <w:tc>
          <w:tcPr>
            <w:tcW w:w="1701" w:type="dxa"/>
            <w:vAlign w:val="center"/>
          </w:tcPr>
          <w:p w14:paraId="204D4F47" w14:textId="77777777" w:rsidR="00454A29" w:rsidRDefault="00454A29">
            <w:pPr>
              <w:pStyle w:val="ConsPlusNormal"/>
              <w:jc w:val="center"/>
            </w:pPr>
            <w:r>
              <w:t>-</w:t>
            </w:r>
          </w:p>
        </w:tc>
        <w:tc>
          <w:tcPr>
            <w:tcW w:w="1701" w:type="dxa"/>
            <w:vAlign w:val="center"/>
          </w:tcPr>
          <w:p w14:paraId="50E71B5A" w14:textId="77777777" w:rsidR="00454A29" w:rsidRDefault="00454A29">
            <w:pPr>
              <w:pStyle w:val="ConsPlusNormal"/>
              <w:jc w:val="center"/>
            </w:pPr>
            <w:r>
              <w:t>10 000,00</w:t>
            </w:r>
          </w:p>
        </w:tc>
        <w:tc>
          <w:tcPr>
            <w:tcW w:w="1814" w:type="dxa"/>
            <w:vAlign w:val="center"/>
          </w:tcPr>
          <w:p w14:paraId="4D112D40" w14:textId="77777777" w:rsidR="00454A29" w:rsidRDefault="00454A29">
            <w:pPr>
              <w:pStyle w:val="ConsPlusNormal"/>
              <w:jc w:val="center"/>
            </w:pPr>
            <w:r>
              <w:t>-</w:t>
            </w:r>
          </w:p>
        </w:tc>
      </w:tr>
      <w:tr w:rsidR="00454A29" w14:paraId="2E914A75" w14:textId="77777777">
        <w:tc>
          <w:tcPr>
            <w:tcW w:w="567" w:type="dxa"/>
            <w:vMerge/>
          </w:tcPr>
          <w:p w14:paraId="0D8CC52F" w14:textId="77777777" w:rsidR="00454A29" w:rsidRDefault="00454A29"/>
        </w:tc>
        <w:tc>
          <w:tcPr>
            <w:tcW w:w="3345" w:type="dxa"/>
            <w:vMerge/>
          </w:tcPr>
          <w:p w14:paraId="6C754429" w14:textId="77777777" w:rsidR="00454A29" w:rsidRDefault="00454A29"/>
        </w:tc>
        <w:tc>
          <w:tcPr>
            <w:tcW w:w="1701" w:type="dxa"/>
            <w:vAlign w:val="center"/>
          </w:tcPr>
          <w:p w14:paraId="69C4B98D" w14:textId="77777777" w:rsidR="00454A29" w:rsidRDefault="00454A29">
            <w:pPr>
              <w:pStyle w:val="ConsPlusNormal"/>
              <w:jc w:val="center"/>
            </w:pPr>
            <w:r>
              <w:t>2024</w:t>
            </w:r>
          </w:p>
        </w:tc>
        <w:tc>
          <w:tcPr>
            <w:tcW w:w="1417" w:type="dxa"/>
            <w:vMerge/>
          </w:tcPr>
          <w:p w14:paraId="3B0F3C5A" w14:textId="77777777" w:rsidR="00454A29" w:rsidRDefault="00454A29"/>
        </w:tc>
        <w:tc>
          <w:tcPr>
            <w:tcW w:w="2204" w:type="dxa"/>
            <w:vMerge/>
          </w:tcPr>
          <w:p w14:paraId="528B1246" w14:textId="77777777" w:rsidR="00454A29" w:rsidRDefault="00454A29"/>
        </w:tc>
        <w:tc>
          <w:tcPr>
            <w:tcW w:w="1417" w:type="dxa"/>
            <w:vMerge/>
          </w:tcPr>
          <w:p w14:paraId="3C48EF81" w14:textId="77777777" w:rsidR="00454A29" w:rsidRDefault="00454A29"/>
        </w:tc>
        <w:tc>
          <w:tcPr>
            <w:tcW w:w="2324" w:type="dxa"/>
            <w:vMerge/>
          </w:tcPr>
          <w:p w14:paraId="55190D2A" w14:textId="77777777" w:rsidR="00454A29" w:rsidRDefault="00454A29"/>
        </w:tc>
        <w:tc>
          <w:tcPr>
            <w:tcW w:w="1701" w:type="dxa"/>
            <w:vAlign w:val="center"/>
          </w:tcPr>
          <w:p w14:paraId="3D1AF447" w14:textId="77777777" w:rsidR="00454A29" w:rsidRDefault="00454A29">
            <w:pPr>
              <w:pStyle w:val="ConsPlusNormal"/>
              <w:jc w:val="center"/>
            </w:pPr>
            <w:r>
              <w:t>1 550 131,29</w:t>
            </w:r>
          </w:p>
        </w:tc>
        <w:tc>
          <w:tcPr>
            <w:tcW w:w="1814" w:type="dxa"/>
            <w:vAlign w:val="center"/>
          </w:tcPr>
          <w:p w14:paraId="4E1A1079" w14:textId="77777777" w:rsidR="00454A29" w:rsidRDefault="00454A29">
            <w:pPr>
              <w:pStyle w:val="ConsPlusNormal"/>
              <w:jc w:val="center"/>
            </w:pPr>
            <w:r>
              <w:t>1 550 131,29</w:t>
            </w:r>
          </w:p>
        </w:tc>
        <w:tc>
          <w:tcPr>
            <w:tcW w:w="1701" w:type="dxa"/>
            <w:vAlign w:val="center"/>
          </w:tcPr>
          <w:p w14:paraId="58F6D323" w14:textId="77777777" w:rsidR="00454A29" w:rsidRDefault="00454A29">
            <w:pPr>
              <w:pStyle w:val="ConsPlusNormal"/>
              <w:jc w:val="center"/>
            </w:pPr>
            <w:r>
              <w:t>-</w:t>
            </w:r>
          </w:p>
        </w:tc>
        <w:tc>
          <w:tcPr>
            <w:tcW w:w="1701" w:type="dxa"/>
            <w:vAlign w:val="center"/>
          </w:tcPr>
          <w:p w14:paraId="100ED61C" w14:textId="77777777" w:rsidR="00454A29" w:rsidRDefault="00454A29">
            <w:pPr>
              <w:pStyle w:val="ConsPlusNormal"/>
              <w:jc w:val="center"/>
            </w:pPr>
            <w:r>
              <w:t>-</w:t>
            </w:r>
          </w:p>
        </w:tc>
        <w:tc>
          <w:tcPr>
            <w:tcW w:w="1814" w:type="dxa"/>
            <w:vAlign w:val="center"/>
          </w:tcPr>
          <w:p w14:paraId="2438B555" w14:textId="77777777" w:rsidR="00454A29" w:rsidRDefault="00454A29">
            <w:pPr>
              <w:pStyle w:val="ConsPlusNormal"/>
              <w:jc w:val="center"/>
            </w:pPr>
            <w:r>
              <w:t>-</w:t>
            </w:r>
          </w:p>
        </w:tc>
      </w:tr>
      <w:tr w:rsidR="00454A29" w14:paraId="31B96C3B" w14:textId="77777777">
        <w:tc>
          <w:tcPr>
            <w:tcW w:w="567" w:type="dxa"/>
            <w:vMerge/>
          </w:tcPr>
          <w:p w14:paraId="16E23669" w14:textId="77777777" w:rsidR="00454A29" w:rsidRDefault="00454A29"/>
        </w:tc>
        <w:tc>
          <w:tcPr>
            <w:tcW w:w="3345" w:type="dxa"/>
            <w:vMerge/>
          </w:tcPr>
          <w:p w14:paraId="7F4E0DB1" w14:textId="77777777" w:rsidR="00454A29" w:rsidRDefault="00454A29"/>
        </w:tc>
        <w:tc>
          <w:tcPr>
            <w:tcW w:w="1701" w:type="dxa"/>
            <w:vAlign w:val="center"/>
          </w:tcPr>
          <w:p w14:paraId="70703E4D" w14:textId="77777777" w:rsidR="00454A29" w:rsidRDefault="00454A29">
            <w:pPr>
              <w:pStyle w:val="ConsPlusNormal"/>
              <w:jc w:val="center"/>
            </w:pPr>
            <w:r>
              <w:t>2025</w:t>
            </w:r>
          </w:p>
        </w:tc>
        <w:tc>
          <w:tcPr>
            <w:tcW w:w="1417" w:type="dxa"/>
            <w:vMerge/>
          </w:tcPr>
          <w:p w14:paraId="1D130BAF" w14:textId="77777777" w:rsidR="00454A29" w:rsidRDefault="00454A29"/>
        </w:tc>
        <w:tc>
          <w:tcPr>
            <w:tcW w:w="2204" w:type="dxa"/>
            <w:vMerge/>
          </w:tcPr>
          <w:p w14:paraId="7EB3E7DA" w14:textId="77777777" w:rsidR="00454A29" w:rsidRDefault="00454A29"/>
        </w:tc>
        <w:tc>
          <w:tcPr>
            <w:tcW w:w="1417" w:type="dxa"/>
            <w:vMerge/>
          </w:tcPr>
          <w:p w14:paraId="56D287A3" w14:textId="77777777" w:rsidR="00454A29" w:rsidRDefault="00454A29"/>
        </w:tc>
        <w:tc>
          <w:tcPr>
            <w:tcW w:w="2324" w:type="dxa"/>
            <w:vMerge/>
          </w:tcPr>
          <w:p w14:paraId="65AA525A" w14:textId="77777777" w:rsidR="00454A29" w:rsidRDefault="00454A29"/>
        </w:tc>
        <w:tc>
          <w:tcPr>
            <w:tcW w:w="1701" w:type="dxa"/>
            <w:vAlign w:val="center"/>
          </w:tcPr>
          <w:p w14:paraId="5226343D" w14:textId="77777777" w:rsidR="00454A29" w:rsidRDefault="00454A29">
            <w:pPr>
              <w:pStyle w:val="ConsPlusNormal"/>
              <w:jc w:val="center"/>
            </w:pPr>
            <w:r>
              <w:t>2 939 225,64</w:t>
            </w:r>
          </w:p>
        </w:tc>
        <w:tc>
          <w:tcPr>
            <w:tcW w:w="1814" w:type="dxa"/>
            <w:vAlign w:val="center"/>
          </w:tcPr>
          <w:p w14:paraId="1EAEF76E" w14:textId="77777777" w:rsidR="00454A29" w:rsidRDefault="00454A29">
            <w:pPr>
              <w:pStyle w:val="ConsPlusNormal"/>
              <w:jc w:val="center"/>
            </w:pPr>
            <w:r>
              <w:t>2 939 225,64</w:t>
            </w:r>
          </w:p>
        </w:tc>
        <w:tc>
          <w:tcPr>
            <w:tcW w:w="1701" w:type="dxa"/>
            <w:vAlign w:val="center"/>
          </w:tcPr>
          <w:p w14:paraId="395706AF" w14:textId="77777777" w:rsidR="00454A29" w:rsidRDefault="00454A29">
            <w:pPr>
              <w:pStyle w:val="ConsPlusNormal"/>
              <w:jc w:val="center"/>
            </w:pPr>
            <w:r>
              <w:t>-</w:t>
            </w:r>
          </w:p>
        </w:tc>
        <w:tc>
          <w:tcPr>
            <w:tcW w:w="1701" w:type="dxa"/>
            <w:vAlign w:val="center"/>
          </w:tcPr>
          <w:p w14:paraId="5AA84B9A" w14:textId="77777777" w:rsidR="00454A29" w:rsidRDefault="00454A29">
            <w:pPr>
              <w:pStyle w:val="ConsPlusNormal"/>
              <w:jc w:val="center"/>
            </w:pPr>
            <w:r>
              <w:t>-</w:t>
            </w:r>
          </w:p>
        </w:tc>
        <w:tc>
          <w:tcPr>
            <w:tcW w:w="1814" w:type="dxa"/>
            <w:vAlign w:val="center"/>
          </w:tcPr>
          <w:p w14:paraId="05693F98" w14:textId="77777777" w:rsidR="00454A29" w:rsidRDefault="00454A29">
            <w:pPr>
              <w:pStyle w:val="ConsPlusNormal"/>
              <w:jc w:val="center"/>
            </w:pPr>
            <w:r>
              <w:t>-</w:t>
            </w:r>
          </w:p>
        </w:tc>
      </w:tr>
      <w:tr w:rsidR="00454A29" w14:paraId="7BE98628" w14:textId="77777777">
        <w:tc>
          <w:tcPr>
            <w:tcW w:w="567" w:type="dxa"/>
            <w:vMerge/>
          </w:tcPr>
          <w:p w14:paraId="3179EE3F" w14:textId="77777777" w:rsidR="00454A29" w:rsidRDefault="00454A29"/>
        </w:tc>
        <w:tc>
          <w:tcPr>
            <w:tcW w:w="3345" w:type="dxa"/>
            <w:vMerge/>
          </w:tcPr>
          <w:p w14:paraId="2DB5C66C" w14:textId="77777777" w:rsidR="00454A29" w:rsidRDefault="00454A29"/>
        </w:tc>
        <w:tc>
          <w:tcPr>
            <w:tcW w:w="1701" w:type="dxa"/>
            <w:vAlign w:val="center"/>
          </w:tcPr>
          <w:p w14:paraId="3189E76A" w14:textId="77777777" w:rsidR="00454A29" w:rsidRDefault="00454A29">
            <w:pPr>
              <w:pStyle w:val="ConsPlusNormal"/>
              <w:jc w:val="center"/>
            </w:pPr>
            <w:r>
              <w:t>2026</w:t>
            </w:r>
          </w:p>
        </w:tc>
        <w:tc>
          <w:tcPr>
            <w:tcW w:w="1417" w:type="dxa"/>
            <w:vMerge/>
          </w:tcPr>
          <w:p w14:paraId="127FA09B" w14:textId="77777777" w:rsidR="00454A29" w:rsidRDefault="00454A29"/>
        </w:tc>
        <w:tc>
          <w:tcPr>
            <w:tcW w:w="2204" w:type="dxa"/>
            <w:vMerge/>
          </w:tcPr>
          <w:p w14:paraId="45411EA5" w14:textId="77777777" w:rsidR="00454A29" w:rsidRDefault="00454A29"/>
        </w:tc>
        <w:tc>
          <w:tcPr>
            <w:tcW w:w="1417" w:type="dxa"/>
            <w:vMerge/>
          </w:tcPr>
          <w:p w14:paraId="6E416C97" w14:textId="77777777" w:rsidR="00454A29" w:rsidRDefault="00454A29"/>
        </w:tc>
        <w:tc>
          <w:tcPr>
            <w:tcW w:w="2324" w:type="dxa"/>
            <w:vMerge/>
          </w:tcPr>
          <w:p w14:paraId="5EEFD617" w14:textId="77777777" w:rsidR="00454A29" w:rsidRDefault="00454A29"/>
        </w:tc>
        <w:tc>
          <w:tcPr>
            <w:tcW w:w="1701" w:type="dxa"/>
            <w:vAlign w:val="center"/>
          </w:tcPr>
          <w:p w14:paraId="31F5064D" w14:textId="77777777" w:rsidR="00454A29" w:rsidRDefault="00454A29">
            <w:pPr>
              <w:pStyle w:val="ConsPlusNormal"/>
              <w:jc w:val="center"/>
            </w:pPr>
            <w:r>
              <w:t>-</w:t>
            </w:r>
          </w:p>
        </w:tc>
        <w:tc>
          <w:tcPr>
            <w:tcW w:w="1814" w:type="dxa"/>
            <w:vAlign w:val="center"/>
          </w:tcPr>
          <w:p w14:paraId="1FFF7890" w14:textId="77777777" w:rsidR="00454A29" w:rsidRDefault="00454A29">
            <w:pPr>
              <w:pStyle w:val="ConsPlusNormal"/>
              <w:jc w:val="center"/>
            </w:pPr>
            <w:r>
              <w:t>-</w:t>
            </w:r>
          </w:p>
        </w:tc>
        <w:tc>
          <w:tcPr>
            <w:tcW w:w="1701" w:type="dxa"/>
            <w:vAlign w:val="center"/>
          </w:tcPr>
          <w:p w14:paraId="26C0F5D2" w14:textId="77777777" w:rsidR="00454A29" w:rsidRDefault="00454A29">
            <w:pPr>
              <w:pStyle w:val="ConsPlusNormal"/>
              <w:jc w:val="center"/>
            </w:pPr>
            <w:r>
              <w:t>-</w:t>
            </w:r>
          </w:p>
        </w:tc>
        <w:tc>
          <w:tcPr>
            <w:tcW w:w="1701" w:type="dxa"/>
            <w:vAlign w:val="center"/>
          </w:tcPr>
          <w:p w14:paraId="53A33408" w14:textId="77777777" w:rsidR="00454A29" w:rsidRDefault="00454A29">
            <w:pPr>
              <w:pStyle w:val="ConsPlusNormal"/>
              <w:jc w:val="center"/>
            </w:pPr>
            <w:r>
              <w:t>-</w:t>
            </w:r>
          </w:p>
        </w:tc>
        <w:tc>
          <w:tcPr>
            <w:tcW w:w="1814" w:type="dxa"/>
            <w:vAlign w:val="center"/>
          </w:tcPr>
          <w:p w14:paraId="37100055" w14:textId="77777777" w:rsidR="00454A29" w:rsidRDefault="00454A29">
            <w:pPr>
              <w:pStyle w:val="ConsPlusNormal"/>
              <w:jc w:val="center"/>
            </w:pPr>
            <w:r>
              <w:t>-</w:t>
            </w:r>
          </w:p>
        </w:tc>
      </w:tr>
      <w:tr w:rsidR="00454A29" w14:paraId="3A62E486" w14:textId="77777777">
        <w:tc>
          <w:tcPr>
            <w:tcW w:w="567" w:type="dxa"/>
            <w:vMerge w:val="restart"/>
            <w:vAlign w:val="center"/>
          </w:tcPr>
          <w:p w14:paraId="48CC9F19" w14:textId="77777777" w:rsidR="00454A29" w:rsidRDefault="00454A29">
            <w:pPr>
              <w:pStyle w:val="ConsPlusNormal"/>
              <w:jc w:val="center"/>
            </w:pPr>
            <w:r>
              <w:t>87</w:t>
            </w:r>
          </w:p>
        </w:tc>
        <w:tc>
          <w:tcPr>
            <w:tcW w:w="3345" w:type="dxa"/>
            <w:vMerge w:val="restart"/>
            <w:vAlign w:val="center"/>
          </w:tcPr>
          <w:p w14:paraId="6D005194" w14:textId="77777777" w:rsidR="00454A29" w:rsidRDefault="00454A29">
            <w:pPr>
              <w:pStyle w:val="ConsPlusNormal"/>
              <w:jc w:val="center"/>
            </w:pPr>
            <w:r>
              <w:t>Реконструкция третьей блок-секции общежития ГАПОУ РС(Я) "Южно-якутский технологический колледж"</w:t>
            </w:r>
          </w:p>
        </w:tc>
        <w:tc>
          <w:tcPr>
            <w:tcW w:w="1701" w:type="dxa"/>
            <w:vAlign w:val="center"/>
          </w:tcPr>
          <w:p w14:paraId="40469041" w14:textId="77777777" w:rsidR="00454A29" w:rsidRDefault="00454A29">
            <w:pPr>
              <w:pStyle w:val="ConsPlusNormal"/>
              <w:jc w:val="center"/>
            </w:pPr>
            <w:r>
              <w:t>Всего:</w:t>
            </w:r>
          </w:p>
        </w:tc>
        <w:tc>
          <w:tcPr>
            <w:tcW w:w="1417" w:type="dxa"/>
            <w:vMerge w:val="restart"/>
            <w:vAlign w:val="center"/>
          </w:tcPr>
          <w:p w14:paraId="6E18E042" w14:textId="77777777" w:rsidR="00454A29" w:rsidRDefault="00454A29">
            <w:pPr>
              <w:pStyle w:val="ConsPlusNormal"/>
              <w:jc w:val="center"/>
            </w:pPr>
            <w:r>
              <w:t>41 316,41</w:t>
            </w:r>
          </w:p>
        </w:tc>
        <w:tc>
          <w:tcPr>
            <w:tcW w:w="2204" w:type="dxa"/>
            <w:vMerge w:val="restart"/>
            <w:vAlign w:val="center"/>
          </w:tcPr>
          <w:p w14:paraId="4B602B3A" w14:textId="77777777" w:rsidR="00454A29" w:rsidRDefault="00454A29">
            <w:pPr>
              <w:pStyle w:val="ConsPlusNormal"/>
            </w:pPr>
          </w:p>
        </w:tc>
        <w:tc>
          <w:tcPr>
            <w:tcW w:w="1417" w:type="dxa"/>
            <w:vMerge w:val="restart"/>
            <w:vAlign w:val="center"/>
          </w:tcPr>
          <w:p w14:paraId="43673599" w14:textId="77777777" w:rsidR="00454A29" w:rsidRDefault="00454A29">
            <w:pPr>
              <w:pStyle w:val="ConsPlusNormal"/>
              <w:jc w:val="center"/>
            </w:pPr>
            <w:r>
              <w:t>109</w:t>
            </w:r>
          </w:p>
        </w:tc>
        <w:tc>
          <w:tcPr>
            <w:tcW w:w="2324" w:type="dxa"/>
            <w:vMerge w:val="restart"/>
            <w:vAlign w:val="center"/>
          </w:tcPr>
          <w:p w14:paraId="69800D2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08500C2" w14:textId="77777777" w:rsidR="00454A29" w:rsidRDefault="00454A29">
            <w:pPr>
              <w:pStyle w:val="ConsPlusNormal"/>
              <w:jc w:val="center"/>
            </w:pPr>
            <w:r>
              <w:t>20 492,94</w:t>
            </w:r>
          </w:p>
        </w:tc>
        <w:tc>
          <w:tcPr>
            <w:tcW w:w="1814" w:type="dxa"/>
            <w:vAlign w:val="center"/>
          </w:tcPr>
          <w:p w14:paraId="397AF4C9" w14:textId="77777777" w:rsidR="00454A29" w:rsidRDefault="00454A29">
            <w:pPr>
              <w:pStyle w:val="ConsPlusNormal"/>
              <w:jc w:val="center"/>
            </w:pPr>
            <w:r>
              <w:t>20 492,94</w:t>
            </w:r>
          </w:p>
        </w:tc>
        <w:tc>
          <w:tcPr>
            <w:tcW w:w="1701" w:type="dxa"/>
            <w:vAlign w:val="center"/>
          </w:tcPr>
          <w:p w14:paraId="3D0D827C" w14:textId="77777777" w:rsidR="00454A29" w:rsidRDefault="00454A29">
            <w:pPr>
              <w:pStyle w:val="ConsPlusNormal"/>
              <w:jc w:val="center"/>
            </w:pPr>
            <w:r>
              <w:t>-</w:t>
            </w:r>
          </w:p>
        </w:tc>
        <w:tc>
          <w:tcPr>
            <w:tcW w:w="1701" w:type="dxa"/>
            <w:vAlign w:val="center"/>
          </w:tcPr>
          <w:p w14:paraId="4A53A31E" w14:textId="77777777" w:rsidR="00454A29" w:rsidRDefault="00454A29">
            <w:pPr>
              <w:pStyle w:val="ConsPlusNormal"/>
              <w:jc w:val="center"/>
            </w:pPr>
            <w:r>
              <w:t>-</w:t>
            </w:r>
          </w:p>
        </w:tc>
        <w:tc>
          <w:tcPr>
            <w:tcW w:w="1814" w:type="dxa"/>
            <w:vAlign w:val="center"/>
          </w:tcPr>
          <w:p w14:paraId="05A58819" w14:textId="77777777" w:rsidR="00454A29" w:rsidRDefault="00454A29">
            <w:pPr>
              <w:pStyle w:val="ConsPlusNormal"/>
              <w:jc w:val="center"/>
            </w:pPr>
            <w:r>
              <w:t>-</w:t>
            </w:r>
          </w:p>
        </w:tc>
      </w:tr>
      <w:tr w:rsidR="00454A29" w14:paraId="57E2F4B7" w14:textId="77777777">
        <w:tc>
          <w:tcPr>
            <w:tcW w:w="567" w:type="dxa"/>
            <w:vMerge/>
          </w:tcPr>
          <w:p w14:paraId="7EE5C06B" w14:textId="77777777" w:rsidR="00454A29" w:rsidRDefault="00454A29"/>
        </w:tc>
        <w:tc>
          <w:tcPr>
            <w:tcW w:w="3345" w:type="dxa"/>
            <w:vMerge/>
          </w:tcPr>
          <w:p w14:paraId="4F13BD9C" w14:textId="77777777" w:rsidR="00454A29" w:rsidRDefault="00454A29"/>
        </w:tc>
        <w:tc>
          <w:tcPr>
            <w:tcW w:w="1701" w:type="dxa"/>
            <w:vAlign w:val="center"/>
          </w:tcPr>
          <w:p w14:paraId="435DE383" w14:textId="77777777" w:rsidR="00454A29" w:rsidRDefault="00454A29">
            <w:pPr>
              <w:pStyle w:val="ConsPlusNormal"/>
              <w:jc w:val="center"/>
            </w:pPr>
            <w:r>
              <w:t>2020</w:t>
            </w:r>
          </w:p>
        </w:tc>
        <w:tc>
          <w:tcPr>
            <w:tcW w:w="1417" w:type="dxa"/>
            <w:vMerge/>
          </w:tcPr>
          <w:p w14:paraId="03EDEA44" w14:textId="77777777" w:rsidR="00454A29" w:rsidRDefault="00454A29"/>
        </w:tc>
        <w:tc>
          <w:tcPr>
            <w:tcW w:w="2204" w:type="dxa"/>
            <w:vMerge/>
          </w:tcPr>
          <w:p w14:paraId="5940E5BA" w14:textId="77777777" w:rsidR="00454A29" w:rsidRDefault="00454A29"/>
        </w:tc>
        <w:tc>
          <w:tcPr>
            <w:tcW w:w="1417" w:type="dxa"/>
            <w:vMerge/>
          </w:tcPr>
          <w:p w14:paraId="29BA0529" w14:textId="77777777" w:rsidR="00454A29" w:rsidRDefault="00454A29"/>
        </w:tc>
        <w:tc>
          <w:tcPr>
            <w:tcW w:w="2324" w:type="dxa"/>
            <w:vMerge/>
          </w:tcPr>
          <w:p w14:paraId="6064C1A5" w14:textId="77777777" w:rsidR="00454A29" w:rsidRDefault="00454A29"/>
        </w:tc>
        <w:tc>
          <w:tcPr>
            <w:tcW w:w="1701" w:type="dxa"/>
            <w:vAlign w:val="center"/>
          </w:tcPr>
          <w:p w14:paraId="1465C949" w14:textId="77777777" w:rsidR="00454A29" w:rsidRDefault="00454A29">
            <w:pPr>
              <w:pStyle w:val="ConsPlusNormal"/>
              <w:jc w:val="center"/>
            </w:pPr>
            <w:r>
              <w:t>-</w:t>
            </w:r>
          </w:p>
        </w:tc>
        <w:tc>
          <w:tcPr>
            <w:tcW w:w="1814" w:type="dxa"/>
            <w:vAlign w:val="center"/>
          </w:tcPr>
          <w:p w14:paraId="1FE7B00A" w14:textId="77777777" w:rsidR="00454A29" w:rsidRDefault="00454A29">
            <w:pPr>
              <w:pStyle w:val="ConsPlusNormal"/>
            </w:pPr>
          </w:p>
        </w:tc>
        <w:tc>
          <w:tcPr>
            <w:tcW w:w="1701" w:type="dxa"/>
            <w:vAlign w:val="center"/>
          </w:tcPr>
          <w:p w14:paraId="16594428" w14:textId="77777777" w:rsidR="00454A29" w:rsidRDefault="00454A29">
            <w:pPr>
              <w:pStyle w:val="ConsPlusNormal"/>
            </w:pPr>
          </w:p>
        </w:tc>
        <w:tc>
          <w:tcPr>
            <w:tcW w:w="1701" w:type="dxa"/>
            <w:vAlign w:val="center"/>
          </w:tcPr>
          <w:p w14:paraId="799861CF" w14:textId="77777777" w:rsidR="00454A29" w:rsidRDefault="00454A29">
            <w:pPr>
              <w:pStyle w:val="ConsPlusNormal"/>
            </w:pPr>
          </w:p>
        </w:tc>
        <w:tc>
          <w:tcPr>
            <w:tcW w:w="1814" w:type="dxa"/>
            <w:vAlign w:val="center"/>
          </w:tcPr>
          <w:p w14:paraId="65ED33A4" w14:textId="77777777" w:rsidR="00454A29" w:rsidRDefault="00454A29">
            <w:pPr>
              <w:pStyle w:val="ConsPlusNormal"/>
            </w:pPr>
          </w:p>
        </w:tc>
      </w:tr>
      <w:tr w:rsidR="00454A29" w14:paraId="47D09811" w14:textId="77777777">
        <w:tc>
          <w:tcPr>
            <w:tcW w:w="567" w:type="dxa"/>
            <w:vMerge/>
          </w:tcPr>
          <w:p w14:paraId="38D2FE07" w14:textId="77777777" w:rsidR="00454A29" w:rsidRDefault="00454A29"/>
        </w:tc>
        <w:tc>
          <w:tcPr>
            <w:tcW w:w="3345" w:type="dxa"/>
            <w:vMerge/>
          </w:tcPr>
          <w:p w14:paraId="11681B74" w14:textId="77777777" w:rsidR="00454A29" w:rsidRDefault="00454A29"/>
        </w:tc>
        <w:tc>
          <w:tcPr>
            <w:tcW w:w="1701" w:type="dxa"/>
            <w:vAlign w:val="center"/>
          </w:tcPr>
          <w:p w14:paraId="61F1DA80" w14:textId="77777777" w:rsidR="00454A29" w:rsidRDefault="00454A29">
            <w:pPr>
              <w:pStyle w:val="ConsPlusNormal"/>
              <w:jc w:val="center"/>
            </w:pPr>
            <w:r>
              <w:t>2021</w:t>
            </w:r>
          </w:p>
        </w:tc>
        <w:tc>
          <w:tcPr>
            <w:tcW w:w="1417" w:type="dxa"/>
            <w:vMerge/>
          </w:tcPr>
          <w:p w14:paraId="16584488" w14:textId="77777777" w:rsidR="00454A29" w:rsidRDefault="00454A29"/>
        </w:tc>
        <w:tc>
          <w:tcPr>
            <w:tcW w:w="2204" w:type="dxa"/>
            <w:vMerge/>
          </w:tcPr>
          <w:p w14:paraId="5349DBB0" w14:textId="77777777" w:rsidR="00454A29" w:rsidRDefault="00454A29"/>
        </w:tc>
        <w:tc>
          <w:tcPr>
            <w:tcW w:w="1417" w:type="dxa"/>
            <w:vMerge/>
          </w:tcPr>
          <w:p w14:paraId="537DD750" w14:textId="77777777" w:rsidR="00454A29" w:rsidRDefault="00454A29"/>
        </w:tc>
        <w:tc>
          <w:tcPr>
            <w:tcW w:w="2324" w:type="dxa"/>
            <w:vMerge/>
          </w:tcPr>
          <w:p w14:paraId="1DB9F2E1" w14:textId="77777777" w:rsidR="00454A29" w:rsidRDefault="00454A29"/>
        </w:tc>
        <w:tc>
          <w:tcPr>
            <w:tcW w:w="1701" w:type="dxa"/>
            <w:vAlign w:val="center"/>
          </w:tcPr>
          <w:p w14:paraId="01A75AEA" w14:textId="77777777" w:rsidR="00454A29" w:rsidRDefault="00454A29">
            <w:pPr>
              <w:pStyle w:val="ConsPlusNormal"/>
              <w:jc w:val="center"/>
            </w:pPr>
            <w:r>
              <w:t>-</w:t>
            </w:r>
          </w:p>
        </w:tc>
        <w:tc>
          <w:tcPr>
            <w:tcW w:w="1814" w:type="dxa"/>
            <w:vAlign w:val="center"/>
          </w:tcPr>
          <w:p w14:paraId="0C5766D4" w14:textId="77777777" w:rsidR="00454A29" w:rsidRDefault="00454A29">
            <w:pPr>
              <w:pStyle w:val="ConsPlusNormal"/>
            </w:pPr>
          </w:p>
        </w:tc>
        <w:tc>
          <w:tcPr>
            <w:tcW w:w="1701" w:type="dxa"/>
            <w:vAlign w:val="center"/>
          </w:tcPr>
          <w:p w14:paraId="10107FC1" w14:textId="77777777" w:rsidR="00454A29" w:rsidRDefault="00454A29">
            <w:pPr>
              <w:pStyle w:val="ConsPlusNormal"/>
            </w:pPr>
          </w:p>
        </w:tc>
        <w:tc>
          <w:tcPr>
            <w:tcW w:w="1701" w:type="dxa"/>
            <w:vAlign w:val="center"/>
          </w:tcPr>
          <w:p w14:paraId="6401B896" w14:textId="77777777" w:rsidR="00454A29" w:rsidRDefault="00454A29">
            <w:pPr>
              <w:pStyle w:val="ConsPlusNormal"/>
            </w:pPr>
          </w:p>
        </w:tc>
        <w:tc>
          <w:tcPr>
            <w:tcW w:w="1814" w:type="dxa"/>
            <w:vAlign w:val="center"/>
          </w:tcPr>
          <w:p w14:paraId="31132DCB" w14:textId="77777777" w:rsidR="00454A29" w:rsidRDefault="00454A29">
            <w:pPr>
              <w:pStyle w:val="ConsPlusNormal"/>
            </w:pPr>
          </w:p>
        </w:tc>
      </w:tr>
      <w:tr w:rsidR="00454A29" w14:paraId="535E7577" w14:textId="77777777">
        <w:tc>
          <w:tcPr>
            <w:tcW w:w="567" w:type="dxa"/>
            <w:vMerge/>
          </w:tcPr>
          <w:p w14:paraId="28669D6B" w14:textId="77777777" w:rsidR="00454A29" w:rsidRDefault="00454A29"/>
        </w:tc>
        <w:tc>
          <w:tcPr>
            <w:tcW w:w="3345" w:type="dxa"/>
            <w:vMerge/>
          </w:tcPr>
          <w:p w14:paraId="03B1D22A" w14:textId="77777777" w:rsidR="00454A29" w:rsidRDefault="00454A29"/>
        </w:tc>
        <w:tc>
          <w:tcPr>
            <w:tcW w:w="1701" w:type="dxa"/>
            <w:vAlign w:val="center"/>
          </w:tcPr>
          <w:p w14:paraId="57D842E3" w14:textId="77777777" w:rsidR="00454A29" w:rsidRDefault="00454A29">
            <w:pPr>
              <w:pStyle w:val="ConsPlusNormal"/>
              <w:jc w:val="center"/>
            </w:pPr>
            <w:r>
              <w:t>2022</w:t>
            </w:r>
          </w:p>
        </w:tc>
        <w:tc>
          <w:tcPr>
            <w:tcW w:w="1417" w:type="dxa"/>
            <w:vMerge/>
          </w:tcPr>
          <w:p w14:paraId="1E8AF00F" w14:textId="77777777" w:rsidR="00454A29" w:rsidRDefault="00454A29"/>
        </w:tc>
        <w:tc>
          <w:tcPr>
            <w:tcW w:w="2204" w:type="dxa"/>
            <w:vMerge/>
          </w:tcPr>
          <w:p w14:paraId="53283103" w14:textId="77777777" w:rsidR="00454A29" w:rsidRDefault="00454A29"/>
        </w:tc>
        <w:tc>
          <w:tcPr>
            <w:tcW w:w="1417" w:type="dxa"/>
            <w:vMerge/>
          </w:tcPr>
          <w:p w14:paraId="47ED1775" w14:textId="77777777" w:rsidR="00454A29" w:rsidRDefault="00454A29"/>
        </w:tc>
        <w:tc>
          <w:tcPr>
            <w:tcW w:w="2324" w:type="dxa"/>
            <w:vMerge/>
          </w:tcPr>
          <w:p w14:paraId="6DA9B566" w14:textId="77777777" w:rsidR="00454A29" w:rsidRDefault="00454A29"/>
        </w:tc>
        <w:tc>
          <w:tcPr>
            <w:tcW w:w="1701" w:type="dxa"/>
            <w:vAlign w:val="center"/>
          </w:tcPr>
          <w:p w14:paraId="22A0F85A" w14:textId="77777777" w:rsidR="00454A29" w:rsidRDefault="00454A29">
            <w:pPr>
              <w:pStyle w:val="ConsPlusNormal"/>
            </w:pPr>
          </w:p>
        </w:tc>
        <w:tc>
          <w:tcPr>
            <w:tcW w:w="1814" w:type="dxa"/>
            <w:vAlign w:val="center"/>
          </w:tcPr>
          <w:p w14:paraId="1464568F" w14:textId="77777777" w:rsidR="00454A29" w:rsidRDefault="00454A29">
            <w:pPr>
              <w:pStyle w:val="ConsPlusNormal"/>
            </w:pPr>
          </w:p>
        </w:tc>
        <w:tc>
          <w:tcPr>
            <w:tcW w:w="1701" w:type="dxa"/>
            <w:vAlign w:val="center"/>
          </w:tcPr>
          <w:p w14:paraId="685978D3" w14:textId="77777777" w:rsidR="00454A29" w:rsidRDefault="00454A29">
            <w:pPr>
              <w:pStyle w:val="ConsPlusNormal"/>
            </w:pPr>
          </w:p>
        </w:tc>
        <w:tc>
          <w:tcPr>
            <w:tcW w:w="1701" w:type="dxa"/>
            <w:vAlign w:val="center"/>
          </w:tcPr>
          <w:p w14:paraId="4B7D1E6D" w14:textId="77777777" w:rsidR="00454A29" w:rsidRDefault="00454A29">
            <w:pPr>
              <w:pStyle w:val="ConsPlusNormal"/>
            </w:pPr>
          </w:p>
        </w:tc>
        <w:tc>
          <w:tcPr>
            <w:tcW w:w="1814" w:type="dxa"/>
            <w:vAlign w:val="center"/>
          </w:tcPr>
          <w:p w14:paraId="1A052B65" w14:textId="77777777" w:rsidR="00454A29" w:rsidRDefault="00454A29">
            <w:pPr>
              <w:pStyle w:val="ConsPlusNormal"/>
            </w:pPr>
          </w:p>
        </w:tc>
      </w:tr>
      <w:tr w:rsidR="00454A29" w14:paraId="621ED75D" w14:textId="77777777">
        <w:tc>
          <w:tcPr>
            <w:tcW w:w="567" w:type="dxa"/>
            <w:vMerge/>
          </w:tcPr>
          <w:p w14:paraId="69CD43C6" w14:textId="77777777" w:rsidR="00454A29" w:rsidRDefault="00454A29"/>
        </w:tc>
        <w:tc>
          <w:tcPr>
            <w:tcW w:w="3345" w:type="dxa"/>
            <w:vMerge/>
          </w:tcPr>
          <w:p w14:paraId="02ADF234" w14:textId="77777777" w:rsidR="00454A29" w:rsidRDefault="00454A29"/>
        </w:tc>
        <w:tc>
          <w:tcPr>
            <w:tcW w:w="1701" w:type="dxa"/>
            <w:vAlign w:val="center"/>
          </w:tcPr>
          <w:p w14:paraId="66315E40" w14:textId="77777777" w:rsidR="00454A29" w:rsidRDefault="00454A29">
            <w:pPr>
              <w:pStyle w:val="ConsPlusNormal"/>
              <w:jc w:val="center"/>
            </w:pPr>
            <w:r>
              <w:t>2023</w:t>
            </w:r>
          </w:p>
        </w:tc>
        <w:tc>
          <w:tcPr>
            <w:tcW w:w="1417" w:type="dxa"/>
            <w:vMerge/>
          </w:tcPr>
          <w:p w14:paraId="0EF9A149" w14:textId="77777777" w:rsidR="00454A29" w:rsidRDefault="00454A29"/>
        </w:tc>
        <w:tc>
          <w:tcPr>
            <w:tcW w:w="2204" w:type="dxa"/>
            <w:vMerge/>
          </w:tcPr>
          <w:p w14:paraId="19AD2472" w14:textId="77777777" w:rsidR="00454A29" w:rsidRDefault="00454A29"/>
        </w:tc>
        <w:tc>
          <w:tcPr>
            <w:tcW w:w="1417" w:type="dxa"/>
            <w:vMerge/>
          </w:tcPr>
          <w:p w14:paraId="225BE25D" w14:textId="77777777" w:rsidR="00454A29" w:rsidRDefault="00454A29"/>
        </w:tc>
        <w:tc>
          <w:tcPr>
            <w:tcW w:w="2324" w:type="dxa"/>
            <w:vMerge/>
          </w:tcPr>
          <w:p w14:paraId="3A07BF0F" w14:textId="77777777" w:rsidR="00454A29" w:rsidRDefault="00454A29"/>
        </w:tc>
        <w:tc>
          <w:tcPr>
            <w:tcW w:w="1701" w:type="dxa"/>
            <w:vAlign w:val="center"/>
          </w:tcPr>
          <w:p w14:paraId="563981E8" w14:textId="77777777" w:rsidR="00454A29" w:rsidRDefault="00454A29">
            <w:pPr>
              <w:pStyle w:val="ConsPlusNormal"/>
              <w:jc w:val="center"/>
            </w:pPr>
            <w:r>
              <w:t>20 492,94</w:t>
            </w:r>
          </w:p>
        </w:tc>
        <w:tc>
          <w:tcPr>
            <w:tcW w:w="1814" w:type="dxa"/>
            <w:vAlign w:val="center"/>
          </w:tcPr>
          <w:p w14:paraId="77398ADA" w14:textId="77777777" w:rsidR="00454A29" w:rsidRDefault="00454A29">
            <w:pPr>
              <w:pStyle w:val="ConsPlusNormal"/>
              <w:jc w:val="center"/>
            </w:pPr>
            <w:r>
              <w:t>20 492,94</w:t>
            </w:r>
          </w:p>
        </w:tc>
        <w:tc>
          <w:tcPr>
            <w:tcW w:w="1701" w:type="dxa"/>
            <w:vAlign w:val="center"/>
          </w:tcPr>
          <w:p w14:paraId="7590CAC6" w14:textId="77777777" w:rsidR="00454A29" w:rsidRDefault="00454A29">
            <w:pPr>
              <w:pStyle w:val="ConsPlusNormal"/>
            </w:pPr>
          </w:p>
        </w:tc>
        <w:tc>
          <w:tcPr>
            <w:tcW w:w="1701" w:type="dxa"/>
            <w:vAlign w:val="center"/>
          </w:tcPr>
          <w:p w14:paraId="4EBFF841" w14:textId="77777777" w:rsidR="00454A29" w:rsidRDefault="00454A29">
            <w:pPr>
              <w:pStyle w:val="ConsPlusNormal"/>
            </w:pPr>
          </w:p>
        </w:tc>
        <w:tc>
          <w:tcPr>
            <w:tcW w:w="1814" w:type="dxa"/>
            <w:vAlign w:val="center"/>
          </w:tcPr>
          <w:p w14:paraId="35A3A5DD" w14:textId="77777777" w:rsidR="00454A29" w:rsidRDefault="00454A29">
            <w:pPr>
              <w:pStyle w:val="ConsPlusNormal"/>
            </w:pPr>
          </w:p>
        </w:tc>
      </w:tr>
      <w:tr w:rsidR="00454A29" w14:paraId="1CA05B8B" w14:textId="77777777">
        <w:tc>
          <w:tcPr>
            <w:tcW w:w="567" w:type="dxa"/>
            <w:vMerge/>
          </w:tcPr>
          <w:p w14:paraId="543900F2" w14:textId="77777777" w:rsidR="00454A29" w:rsidRDefault="00454A29"/>
        </w:tc>
        <w:tc>
          <w:tcPr>
            <w:tcW w:w="3345" w:type="dxa"/>
            <w:vMerge/>
          </w:tcPr>
          <w:p w14:paraId="29E62EEA" w14:textId="77777777" w:rsidR="00454A29" w:rsidRDefault="00454A29"/>
        </w:tc>
        <w:tc>
          <w:tcPr>
            <w:tcW w:w="1701" w:type="dxa"/>
            <w:vAlign w:val="center"/>
          </w:tcPr>
          <w:p w14:paraId="7EA2892A" w14:textId="77777777" w:rsidR="00454A29" w:rsidRDefault="00454A29">
            <w:pPr>
              <w:pStyle w:val="ConsPlusNormal"/>
              <w:jc w:val="center"/>
            </w:pPr>
            <w:r>
              <w:t>2024</w:t>
            </w:r>
          </w:p>
        </w:tc>
        <w:tc>
          <w:tcPr>
            <w:tcW w:w="1417" w:type="dxa"/>
            <w:vMerge/>
          </w:tcPr>
          <w:p w14:paraId="3C751F5F" w14:textId="77777777" w:rsidR="00454A29" w:rsidRDefault="00454A29"/>
        </w:tc>
        <w:tc>
          <w:tcPr>
            <w:tcW w:w="2204" w:type="dxa"/>
            <w:vMerge/>
          </w:tcPr>
          <w:p w14:paraId="744156F3" w14:textId="77777777" w:rsidR="00454A29" w:rsidRDefault="00454A29"/>
        </w:tc>
        <w:tc>
          <w:tcPr>
            <w:tcW w:w="1417" w:type="dxa"/>
            <w:vMerge/>
          </w:tcPr>
          <w:p w14:paraId="09B1A782" w14:textId="77777777" w:rsidR="00454A29" w:rsidRDefault="00454A29"/>
        </w:tc>
        <w:tc>
          <w:tcPr>
            <w:tcW w:w="2324" w:type="dxa"/>
            <w:vMerge/>
          </w:tcPr>
          <w:p w14:paraId="7F73EA2F" w14:textId="77777777" w:rsidR="00454A29" w:rsidRDefault="00454A29"/>
        </w:tc>
        <w:tc>
          <w:tcPr>
            <w:tcW w:w="1701" w:type="dxa"/>
            <w:vAlign w:val="center"/>
          </w:tcPr>
          <w:p w14:paraId="1CEC039D" w14:textId="77777777" w:rsidR="00454A29" w:rsidRDefault="00454A29">
            <w:pPr>
              <w:pStyle w:val="ConsPlusNormal"/>
              <w:jc w:val="center"/>
            </w:pPr>
            <w:r>
              <w:t>-</w:t>
            </w:r>
          </w:p>
        </w:tc>
        <w:tc>
          <w:tcPr>
            <w:tcW w:w="1814" w:type="dxa"/>
            <w:vAlign w:val="center"/>
          </w:tcPr>
          <w:p w14:paraId="25535F4D" w14:textId="77777777" w:rsidR="00454A29" w:rsidRDefault="00454A29">
            <w:pPr>
              <w:pStyle w:val="ConsPlusNormal"/>
            </w:pPr>
          </w:p>
        </w:tc>
        <w:tc>
          <w:tcPr>
            <w:tcW w:w="1701" w:type="dxa"/>
            <w:vAlign w:val="center"/>
          </w:tcPr>
          <w:p w14:paraId="0A7BC878" w14:textId="77777777" w:rsidR="00454A29" w:rsidRDefault="00454A29">
            <w:pPr>
              <w:pStyle w:val="ConsPlusNormal"/>
            </w:pPr>
          </w:p>
        </w:tc>
        <w:tc>
          <w:tcPr>
            <w:tcW w:w="1701" w:type="dxa"/>
            <w:vAlign w:val="center"/>
          </w:tcPr>
          <w:p w14:paraId="49C65F9C" w14:textId="77777777" w:rsidR="00454A29" w:rsidRDefault="00454A29">
            <w:pPr>
              <w:pStyle w:val="ConsPlusNormal"/>
            </w:pPr>
          </w:p>
        </w:tc>
        <w:tc>
          <w:tcPr>
            <w:tcW w:w="1814" w:type="dxa"/>
            <w:vAlign w:val="center"/>
          </w:tcPr>
          <w:p w14:paraId="5A4ED077" w14:textId="77777777" w:rsidR="00454A29" w:rsidRDefault="00454A29">
            <w:pPr>
              <w:pStyle w:val="ConsPlusNormal"/>
            </w:pPr>
          </w:p>
        </w:tc>
      </w:tr>
      <w:tr w:rsidR="00454A29" w14:paraId="54599FA5" w14:textId="77777777">
        <w:tc>
          <w:tcPr>
            <w:tcW w:w="567" w:type="dxa"/>
            <w:vMerge/>
          </w:tcPr>
          <w:p w14:paraId="4EE4B611" w14:textId="77777777" w:rsidR="00454A29" w:rsidRDefault="00454A29"/>
        </w:tc>
        <w:tc>
          <w:tcPr>
            <w:tcW w:w="3345" w:type="dxa"/>
            <w:vMerge/>
          </w:tcPr>
          <w:p w14:paraId="37298A76" w14:textId="77777777" w:rsidR="00454A29" w:rsidRDefault="00454A29"/>
        </w:tc>
        <w:tc>
          <w:tcPr>
            <w:tcW w:w="1701" w:type="dxa"/>
            <w:vAlign w:val="center"/>
          </w:tcPr>
          <w:p w14:paraId="4FB19401" w14:textId="77777777" w:rsidR="00454A29" w:rsidRDefault="00454A29">
            <w:pPr>
              <w:pStyle w:val="ConsPlusNormal"/>
              <w:jc w:val="center"/>
            </w:pPr>
            <w:r>
              <w:t>2025</w:t>
            </w:r>
          </w:p>
        </w:tc>
        <w:tc>
          <w:tcPr>
            <w:tcW w:w="1417" w:type="dxa"/>
            <w:vMerge/>
          </w:tcPr>
          <w:p w14:paraId="6A87BA9C" w14:textId="77777777" w:rsidR="00454A29" w:rsidRDefault="00454A29"/>
        </w:tc>
        <w:tc>
          <w:tcPr>
            <w:tcW w:w="2204" w:type="dxa"/>
            <w:vMerge/>
          </w:tcPr>
          <w:p w14:paraId="740EE11D" w14:textId="77777777" w:rsidR="00454A29" w:rsidRDefault="00454A29"/>
        </w:tc>
        <w:tc>
          <w:tcPr>
            <w:tcW w:w="1417" w:type="dxa"/>
            <w:vMerge/>
          </w:tcPr>
          <w:p w14:paraId="79DF0BB2" w14:textId="77777777" w:rsidR="00454A29" w:rsidRDefault="00454A29"/>
        </w:tc>
        <w:tc>
          <w:tcPr>
            <w:tcW w:w="2324" w:type="dxa"/>
            <w:vMerge/>
          </w:tcPr>
          <w:p w14:paraId="7CD096BC" w14:textId="77777777" w:rsidR="00454A29" w:rsidRDefault="00454A29"/>
        </w:tc>
        <w:tc>
          <w:tcPr>
            <w:tcW w:w="1701" w:type="dxa"/>
            <w:vAlign w:val="center"/>
          </w:tcPr>
          <w:p w14:paraId="693399DD" w14:textId="77777777" w:rsidR="00454A29" w:rsidRDefault="00454A29">
            <w:pPr>
              <w:pStyle w:val="ConsPlusNormal"/>
              <w:jc w:val="center"/>
            </w:pPr>
            <w:r>
              <w:t>-</w:t>
            </w:r>
          </w:p>
        </w:tc>
        <w:tc>
          <w:tcPr>
            <w:tcW w:w="1814" w:type="dxa"/>
            <w:vAlign w:val="center"/>
          </w:tcPr>
          <w:p w14:paraId="7BA29EF4" w14:textId="77777777" w:rsidR="00454A29" w:rsidRDefault="00454A29">
            <w:pPr>
              <w:pStyle w:val="ConsPlusNormal"/>
            </w:pPr>
          </w:p>
        </w:tc>
        <w:tc>
          <w:tcPr>
            <w:tcW w:w="1701" w:type="dxa"/>
            <w:vAlign w:val="center"/>
          </w:tcPr>
          <w:p w14:paraId="28B8F785" w14:textId="77777777" w:rsidR="00454A29" w:rsidRDefault="00454A29">
            <w:pPr>
              <w:pStyle w:val="ConsPlusNormal"/>
            </w:pPr>
          </w:p>
        </w:tc>
        <w:tc>
          <w:tcPr>
            <w:tcW w:w="1701" w:type="dxa"/>
            <w:vAlign w:val="center"/>
          </w:tcPr>
          <w:p w14:paraId="5AFC6CFA" w14:textId="77777777" w:rsidR="00454A29" w:rsidRDefault="00454A29">
            <w:pPr>
              <w:pStyle w:val="ConsPlusNormal"/>
            </w:pPr>
          </w:p>
        </w:tc>
        <w:tc>
          <w:tcPr>
            <w:tcW w:w="1814" w:type="dxa"/>
            <w:vAlign w:val="center"/>
          </w:tcPr>
          <w:p w14:paraId="20ED8D7C" w14:textId="77777777" w:rsidR="00454A29" w:rsidRDefault="00454A29">
            <w:pPr>
              <w:pStyle w:val="ConsPlusNormal"/>
            </w:pPr>
          </w:p>
        </w:tc>
      </w:tr>
      <w:tr w:rsidR="00454A29" w14:paraId="5985C9B0" w14:textId="77777777">
        <w:tc>
          <w:tcPr>
            <w:tcW w:w="567" w:type="dxa"/>
            <w:vMerge/>
          </w:tcPr>
          <w:p w14:paraId="0D4E4F5E" w14:textId="77777777" w:rsidR="00454A29" w:rsidRDefault="00454A29"/>
        </w:tc>
        <w:tc>
          <w:tcPr>
            <w:tcW w:w="3345" w:type="dxa"/>
            <w:vMerge/>
          </w:tcPr>
          <w:p w14:paraId="10477522" w14:textId="77777777" w:rsidR="00454A29" w:rsidRDefault="00454A29"/>
        </w:tc>
        <w:tc>
          <w:tcPr>
            <w:tcW w:w="1701" w:type="dxa"/>
            <w:vAlign w:val="center"/>
          </w:tcPr>
          <w:p w14:paraId="206564BB" w14:textId="77777777" w:rsidR="00454A29" w:rsidRDefault="00454A29">
            <w:pPr>
              <w:pStyle w:val="ConsPlusNormal"/>
              <w:jc w:val="center"/>
            </w:pPr>
            <w:r>
              <w:t>2026</w:t>
            </w:r>
          </w:p>
        </w:tc>
        <w:tc>
          <w:tcPr>
            <w:tcW w:w="1417" w:type="dxa"/>
            <w:vMerge/>
          </w:tcPr>
          <w:p w14:paraId="6CD6296E" w14:textId="77777777" w:rsidR="00454A29" w:rsidRDefault="00454A29"/>
        </w:tc>
        <w:tc>
          <w:tcPr>
            <w:tcW w:w="2204" w:type="dxa"/>
            <w:vMerge/>
          </w:tcPr>
          <w:p w14:paraId="6F005672" w14:textId="77777777" w:rsidR="00454A29" w:rsidRDefault="00454A29"/>
        </w:tc>
        <w:tc>
          <w:tcPr>
            <w:tcW w:w="1417" w:type="dxa"/>
            <w:vMerge/>
          </w:tcPr>
          <w:p w14:paraId="7B014C6C" w14:textId="77777777" w:rsidR="00454A29" w:rsidRDefault="00454A29"/>
        </w:tc>
        <w:tc>
          <w:tcPr>
            <w:tcW w:w="2324" w:type="dxa"/>
            <w:vMerge/>
          </w:tcPr>
          <w:p w14:paraId="7BDDB28F" w14:textId="77777777" w:rsidR="00454A29" w:rsidRDefault="00454A29"/>
        </w:tc>
        <w:tc>
          <w:tcPr>
            <w:tcW w:w="1701" w:type="dxa"/>
            <w:vAlign w:val="center"/>
          </w:tcPr>
          <w:p w14:paraId="03180460" w14:textId="77777777" w:rsidR="00454A29" w:rsidRDefault="00454A29">
            <w:pPr>
              <w:pStyle w:val="ConsPlusNormal"/>
              <w:jc w:val="center"/>
            </w:pPr>
            <w:r>
              <w:t>-</w:t>
            </w:r>
          </w:p>
        </w:tc>
        <w:tc>
          <w:tcPr>
            <w:tcW w:w="1814" w:type="dxa"/>
            <w:vAlign w:val="center"/>
          </w:tcPr>
          <w:p w14:paraId="4B6C840E" w14:textId="77777777" w:rsidR="00454A29" w:rsidRDefault="00454A29">
            <w:pPr>
              <w:pStyle w:val="ConsPlusNormal"/>
            </w:pPr>
          </w:p>
        </w:tc>
        <w:tc>
          <w:tcPr>
            <w:tcW w:w="1701" w:type="dxa"/>
            <w:vAlign w:val="center"/>
          </w:tcPr>
          <w:p w14:paraId="1D12FB3C" w14:textId="77777777" w:rsidR="00454A29" w:rsidRDefault="00454A29">
            <w:pPr>
              <w:pStyle w:val="ConsPlusNormal"/>
            </w:pPr>
          </w:p>
        </w:tc>
        <w:tc>
          <w:tcPr>
            <w:tcW w:w="1701" w:type="dxa"/>
            <w:vAlign w:val="center"/>
          </w:tcPr>
          <w:p w14:paraId="7C3CF7B9" w14:textId="77777777" w:rsidR="00454A29" w:rsidRDefault="00454A29">
            <w:pPr>
              <w:pStyle w:val="ConsPlusNormal"/>
            </w:pPr>
          </w:p>
        </w:tc>
        <w:tc>
          <w:tcPr>
            <w:tcW w:w="1814" w:type="dxa"/>
            <w:vAlign w:val="center"/>
          </w:tcPr>
          <w:p w14:paraId="49F8669F" w14:textId="77777777" w:rsidR="00454A29" w:rsidRDefault="00454A29">
            <w:pPr>
              <w:pStyle w:val="ConsPlusNormal"/>
            </w:pPr>
          </w:p>
        </w:tc>
      </w:tr>
      <w:tr w:rsidR="00454A29" w14:paraId="131DFC3C" w14:textId="77777777">
        <w:tc>
          <w:tcPr>
            <w:tcW w:w="567" w:type="dxa"/>
            <w:vMerge w:val="restart"/>
            <w:vAlign w:val="center"/>
          </w:tcPr>
          <w:p w14:paraId="7C973C4D" w14:textId="77777777" w:rsidR="00454A29" w:rsidRDefault="00454A29">
            <w:pPr>
              <w:pStyle w:val="ConsPlusNormal"/>
              <w:jc w:val="center"/>
            </w:pPr>
            <w:r>
              <w:t>88</w:t>
            </w:r>
          </w:p>
        </w:tc>
        <w:tc>
          <w:tcPr>
            <w:tcW w:w="3345" w:type="dxa"/>
            <w:vMerge w:val="restart"/>
            <w:vAlign w:val="center"/>
          </w:tcPr>
          <w:p w14:paraId="50F14E3B" w14:textId="77777777" w:rsidR="00454A29" w:rsidRDefault="00454A29">
            <w:pPr>
              <w:pStyle w:val="ConsPlusNormal"/>
              <w:jc w:val="center"/>
            </w:pPr>
            <w:r>
              <w:t>Реконструкция первого блока здания ГБПОУ РС(Я) "Якутский коммунально-строительный техникум"</w:t>
            </w:r>
          </w:p>
        </w:tc>
        <w:tc>
          <w:tcPr>
            <w:tcW w:w="1701" w:type="dxa"/>
            <w:vAlign w:val="center"/>
          </w:tcPr>
          <w:p w14:paraId="54531BCD" w14:textId="77777777" w:rsidR="00454A29" w:rsidRDefault="00454A29">
            <w:pPr>
              <w:pStyle w:val="ConsPlusNormal"/>
              <w:jc w:val="center"/>
            </w:pPr>
            <w:r>
              <w:t>Всего:</w:t>
            </w:r>
          </w:p>
        </w:tc>
        <w:tc>
          <w:tcPr>
            <w:tcW w:w="1417" w:type="dxa"/>
            <w:vMerge w:val="restart"/>
            <w:vAlign w:val="center"/>
          </w:tcPr>
          <w:p w14:paraId="135E76AB" w14:textId="77777777" w:rsidR="00454A29" w:rsidRDefault="00454A29">
            <w:pPr>
              <w:pStyle w:val="ConsPlusNormal"/>
              <w:jc w:val="center"/>
            </w:pPr>
            <w:r>
              <w:t>49 542,00</w:t>
            </w:r>
          </w:p>
        </w:tc>
        <w:tc>
          <w:tcPr>
            <w:tcW w:w="2204" w:type="dxa"/>
            <w:vMerge w:val="restart"/>
            <w:vAlign w:val="center"/>
          </w:tcPr>
          <w:p w14:paraId="29FB46E1" w14:textId="77777777" w:rsidR="00454A29" w:rsidRDefault="00454A29">
            <w:pPr>
              <w:pStyle w:val="ConsPlusNormal"/>
            </w:pPr>
          </w:p>
        </w:tc>
        <w:tc>
          <w:tcPr>
            <w:tcW w:w="1417" w:type="dxa"/>
            <w:vMerge w:val="restart"/>
            <w:vAlign w:val="center"/>
          </w:tcPr>
          <w:p w14:paraId="27DAE787" w14:textId="77777777" w:rsidR="00454A29" w:rsidRDefault="00454A29">
            <w:pPr>
              <w:pStyle w:val="ConsPlusNormal"/>
            </w:pPr>
          </w:p>
        </w:tc>
        <w:tc>
          <w:tcPr>
            <w:tcW w:w="2324" w:type="dxa"/>
            <w:vMerge w:val="restart"/>
            <w:vAlign w:val="center"/>
          </w:tcPr>
          <w:p w14:paraId="13F0EBF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C98B52D" w14:textId="77777777" w:rsidR="00454A29" w:rsidRDefault="00454A29">
            <w:pPr>
              <w:pStyle w:val="ConsPlusNormal"/>
              <w:jc w:val="center"/>
            </w:pPr>
            <w:r>
              <w:t>24 572,83</w:t>
            </w:r>
          </w:p>
        </w:tc>
        <w:tc>
          <w:tcPr>
            <w:tcW w:w="1814" w:type="dxa"/>
            <w:vAlign w:val="center"/>
          </w:tcPr>
          <w:p w14:paraId="296B4868" w14:textId="77777777" w:rsidR="00454A29" w:rsidRDefault="00454A29">
            <w:pPr>
              <w:pStyle w:val="ConsPlusNormal"/>
              <w:jc w:val="center"/>
            </w:pPr>
            <w:r>
              <w:t>24 572,83</w:t>
            </w:r>
          </w:p>
        </w:tc>
        <w:tc>
          <w:tcPr>
            <w:tcW w:w="1701" w:type="dxa"/>
            <w:vAlign w:val="center"/>
          </w:tcPr>
          <w:p w14:paraId="13C57515" w14:textId="77777777" w:rsidR="00454A29" w:rsidRDefault="00454A29">
            <w:pPr>
              <w:pStyle w:val="ConsPlusNormal"/>
              <w:jc w:val="center"/>
            </w:pPr>
            <w:r>
              <w:t>-</w:t>
            </w:r>
          </w:p>
        </w:tc>
        <w:tc>
          <w:tcPr>
            <w:tcW w:w="1701" w:type="dxa"/>
            <w:vAlign w:val="center"/>
          </w:tcPr>
          <w:p w14:paraId="19295C0E" w14:textId="77777777" w:rsidR="00454A29" w:rsidRDefault="00454A29">
            <w:pPr>
              <w:pStyle w:val="ConsPlusNormal"/>
              <w:jc w:val="center"/>
            </w:pPr>
            <w:r>
              <w:t>-</w:t>
            </w:r>
          </w:p>
        </w:tc>
        <w:tc>
          <w:tcPr>
            <w:tcW w:w="1814" w:type="dxa"/>
            <w:vAlign w:val="center"/>
          </w:tcPr>
          <w:p w14:paraId="62BD4C1E" w14:textId="77777777" w:rsidR="00454A29" w:rsidRDefault="00454A29">
            <w:pPr>
              <w:pStyle w:val="ConsPlusNormal"/>
              <w:jc w:val="center"/>
            </w:pPr>
            <w:r>
              <w:t>-</w:t>
            </w:r>
          </w:p>
        </w:tc>
      </w:tr>
      <w:tr w:rsidR="00454A29" w14:paraId="658AA268" w14:textId="77777777">
        <w:tc>
          <w:tcPr>
            <w:tcW w:w="567" w:type="dxa"/>
            <w:vMerge/>
          </w:tcPr>
          <w:p w14:paraId="00623B67" w14:textId="77777777" w:rsidR="00454A29" w:rsidRDefault="00454A29"/>
        </w:tc>
        <w:tc>
          <w:tcPr>
            <w:tcW w:w="3345" w:type="dxa"/>
            <w:vMerge/>
          </w:tcPr>
          <w:p w14:paraId="538D9B55" w14:textId="77777777" w:rsidR="00454A29" w:rsidRDefault="00454A29"/>
        </w:tc>
        <w:tc>
          <w:tcPr>
            <w:tcW w:w="1701" w:type="dxa"/>
            <w:vAlign w:val="center"/>
          </w:tcPr>
          <w:p w14:paraId="7A8CFF91" w14:textId="77777777" w:rsidR="00454A29" w:rsidRDefault="00454A29">
            <w:pPr>
              <w:pStyle w:val="ConsPlusNormal"/>
              <w:jc w:val="center"/>
            </w:pPr>
            <w:r>
              <w:t>2020</w:t>
            </w:r>
          </w:p>
        </w:tc>
        <w:tc>
          <w:tcPr>
            <w:tcW w:w="1417" w:type="dxa"/>
            <w:vMerge/>
          </w:tcPr>
          <w:p w14:paraId="0E35574A" w14:textId="77777777" w:rsidR="00454A29" w:rsidRDefault="00454A29"/>
        </w:tc>
        <w:tc>
          <w:tcPr>
            <w:tcW w:w="2204" w:type="dxa"/>
            <w:vMerge/>
          </w:tcPr>
          <w:p w14:paraId="2F625DDE" w14:textId="77777777" w:rsidR="00454A29" w:rsidRDefault="00454A29"/>
        </w:tc>
        <w:tc>
          <w:tcPr>
            <w:tcW w:w="1417" w:type="dxa"/>
            <w:vMerge/>
          </w:tcPr>
          <w:p w14:paraId="6BB7D906" w14:textId="77777777" w:rsidR="00454A29" w:rsidRDefault="00454A29"/>
        </w:tc>
        <w:tc>
          <w:tcPr>
            <w:tcW w:w="2324" w:type="dxa"/>
            <w:vMerge/>
          </w:tcPr>
          <w:p w14:paraId="070DB10C" w14:textId="77777777" w:rsidR="00454A29" w:rsidRDefault="00454A29"/>
        </w:tc>
        <w:tc>
          <w:tcPr>
            <w:tcW w:w="1701" w:type="dxa"/>
            <w:vAlign w:val="center"/>
          </w:tcPr>
          <w:p w14:paraId="334DC232" w14:textId="77777777" w:rsidR="00454A29" w:rsidRDefault="00454A29">
            <w:pPr>
              <w:pStyle w:val="ConsPlusNormal"/>
              <w:jc w:val="center"/>
            </w:pPr>
            <w:r>
              <w:t>-</w:t>
            </w:r>
          </w:p>
        </w:tc>
        <w:tc>
          <w:tcPr>
            <w:tcW w:w="1814" w:type="dxa"/>
            <w:vAlign w:val="center"/>
          </w:tcPr>
          <w:p w14:paraId="491FD1C7" w14:textId="77777777" w:rsidR="00454A29" w:rsidRDefault="00454A29">
            <w:pPr>
              <w:pStyle w:val="ConsPlusNormal"/>
            </w:pPr>
          </w:p>
        </w:tc>
        <w:tc>
          <w:tcPr>
            <w:tcW w:w="1701" w:type="dxa"/>
            <w:vAlign w:val="center"/>
          </w:tcPr>
          <w:p w14:paraId="64BFA26C" w14:textId="77777777" w:rsidR="00454A29" w:rsidRDefault="00454A29">
            <w:pPr>
              <w:pStyle w:val="ConsPlusNormal"/>
            </w:pPr>
          </w:p>
        </w:tc>
        <w:tc>
          <w:tcPr>
            <w:tcW w:w="1701" w:type="dxa"/>
            <w:vAlign w:val="center"/>
          </w:tcPr>
          <w:p w14:paraId="26C6EEFD" w14:textId="77777777" w:rsidR="00454A29" w:rsidRDefault="00454A29">
            <w:pPr>
              <w:pStyle w:val="ConsPlusNormal"/>
            </w:pPr>
          </w:p>
        </w:tc>
        <w:tc>
          <w:tcPr>
            <w:tcW w:w="1814" w:type="dxa"/>
            <w:vAlign w:val="center"/>
          </w:tcPr>
          <w:p w14:paraId="38CB2D03" w14:textId="77777777" w:rsidR="00454A29" w:rsidRDefault="00454A29">
            <w:pPr>
              <w:pStyle w:val="ConsPlusNormal"/>
            </w:pPr>
          </w:p>
        </w:tc>
      </w:tr>
      <w:tr w:rsidR="00454A29" w14:paraId="15A23BC0" w14:textId="77777777">
        <w:tc>
          <w:tcPr>
            <w:tcW w:w="567" w:type="dxa"/>
            <w:vMerge/>
          </w:tcPr>
          <w:p w14:paraId="12855337" w14:textId="77777777" w:rsidR="00454A29" w:rsidRDefault="00454A29"/>
        </w:tc>
        <w:tc>
          <w:tcPr>
            <w:tcW w:w="3345" w:type="dxa"/>
            <w:vMerge/>
          </w:tcPr>
          <w:p w14:paraId="1FD619E2" w14:textId="77777777" w:rsidR="00454A29" w:rsidRDefault="00454A29"/>
        </w:tc>
        <w:tc>
          <w:tcPr>
            <w:tcW w:w="1701" w:type="dxa"/>
            <w:vAlign w:val="center"/>
          </w:tcPr>
          <w:p w14:paraId="73ABAFB7" w14:textId="77777777" w:rsidR="00454A29" w:rsidRDefault="00454A29">
            <w:pPr>
              <w:pStyle w:val="ConsPlusNormal"/>
              <w:jc w:val="center"/>
            </w:pPr>
            <w:r>
              <w:t>2021</w:t>
            </w:r>
          </w:p>
        </w:tc>
        <w:tc>
          <w:tcPr>
            <w:tcW w:w="1417" w:type="dxa"/>
            <w:vMerge/>
          </w:tcPr>
          <w:p w14:paraId="1C80FDAA" w14:textId="77777777" w:rsidR="00454A29" w:rsidRDefault="00454A29"/>
        </w:tc>
        <w:tc>
          <w:tcPr>
            <w:tcW w:w="2204" w:type="dxa"/>
            <w:vMerge/>
          </w:tcPr>
          <w:p w14:paraId="1B9011BE" w14:textId="77777777" w:rsidR="00454A29" w:rsidRDefault="00454A29"/>
        </w:tc>
        <w:tc>
          <w:tcPr>
            <w:tcW w:w="1417" w:type="dxa"/>
            <w:vMerge/>
          </w:tcPr>
          <w:p w14:paraId="0105553C" w14:textId="77777777" w:rsidR="00454A29" w:rsidRDefault="00454A29"/>
        </w:tc>
        <w:tc>
          <w:tcPr>
            <w:tcW w:w="2324" w:type="dxa"/>
            <w:vMerge/>
          </w:tcPr>
          <w:p w14:paraId="44A37C8B" w14:textId="77777777" w:rsidR="00454A29" w:rsidRDefault="00454A29"/>
        </w:tc>
        <w:tc>
          <w:tcPr>
            <w:tcW w:w="1701" w:type="dxa"/>
            <w:vAlign w:val="center"/>
          </w:tcPr>
          <w:p w14:paraId="4EEDBE9B" w14:textId="77777777" w:rsidR="00454A29" w:rsidRDefault="00454A29">
            <w:pPr>
              <w:pStyle w:val="ConsPlusNormal"/>
              <w:jc w:val="center"/>
            </w:pPr>
            <w:r>
              <w:t>-</w:t>
            </w:r>
          </w:p>
        </w:tc>
        <w:tc>
          <w:tcPr>
            <w:tcW w:w="1814" w:type="dxa"/>
            <w:vAlign w:val="center"/>
          </w:tcPr>
          <w:p w14:paraId="11B62B02" w14:textId="77777777" w:rsidR="00454A29" w:rsidRDefault="00454A29">
            <w:pPr>
              <w:pStyle w:val="ConsPlusNormal"/>
            </w:pPr>
          </w:p>
        </w:tc>
        <w:tc>
          <w:tcPr>
            <w:tcW w:w="1701" w:type="dxa"/>
            <w:vAlign w:val="center"/>
          </w:tcPr>
          <w:p w14:paraId="149CB862" w14:textId="77777777" w:rsidR="00454A29" w:rsidRDefault="00454A29">
            <w:pPr>
              <w:pStyle w:val="ConsPlusNormal"/>
            </w:pPr>
          </w:p>
        </w:tc>
        <w:tc>
          <w:tcPr>
            <w:tcW w:w="1701" w:type="dxa"/>
            <w:vAlign w:val="center"/>
          </w:tcPr>
          <w:p w14:paraId="5B5A341C" w14:textId="77777777" w:rsidR="00454A29" w:rsidRDefault="00454A29">
            <w:pPr>
              <w:pStyle w:val="ConsPlusNormal"/>
            </w:pPr>
          </w:p>
        </w:tc>
        <w:tc>
          <w:tcPr>
            <w:tcW w:w="1814" w:type="dxa"/>
            <w:vAlign w:val="center"/>
          </w:tcPr>
          <w:p w14:paraId="2E8DEBF7" w14:textId="77777777" w:rsidR="00454A29" w:rsidRDefault="00454A29">
            <w:pPr>
              <w:pStyle w:val="ConsPlusNormal"/>
            </w:pPr>
          </w:p>
        </w:tc>
      </w:tr>
      <w:tr w:rsidR="00454A29" w14:paraId="17A4AA0A" w14:textId="77777777">
        <w:tc>
          <w:tcPr>
            <w:tcW w:w="567" w:type="dxa"/>
            <w:vMerge/>
          </w:tcPr>
          <w:p w14:paraId="0BDAE023" w14:textId="77777777" w:rsidR="00454A29" w:rsidRDefault="00454A29"/>
        </w:tc>
        <w:tc>
          <w:tcPr>
            <w:tcW w:w="3345" w:type="dxa"/>
            <w:vMerge/>
          </w:tcPr>
          <w:p w14:paraId="66D558B5" w14:textId="77777777" w:rsidR="00454A29" w:rsidRDefault="00454A29"/>
        </w:tc>
        <w:tc>
          <w:tcPr>
            <w:tcW w:w="1701" w:type="dxa"/>
            <w:vAlign w:val="center"/>
          </w:tcPr>
          <w:p w14:paraId="21B90839" w14:textId="77777777" w:rsidR="00454A29" w:rsidRDefault="00454A29">
            <w:pPr>
              <w:pStyle w:val="ConsPlusNormal"/>
              <w:jc w:val="center"/>
            </w:pPr>
            <w:r>
              <w:t>2022</w:t>
            </w:r>
          </w:p>
        </w:tc>
        <w:tc>
          <w:tcPr>
            <w:tcW w:w="1417" w:type="dxa"/>
            <w:vMerge/>
          </w:tcPr>
          <w:p w14:paraId="527D3ED5" w14:textId="77777777" w:rsidR="00454A29" w:rsidRDefault="00454A29"/>
        </w:tc>
        <w:tc>
          <w:tcPr>
            <w:tcW w:w="2204" w:type="dxa"/>
            <w:vMerge/>
          </w:tcPr>
          <w:p w14:paraId="29E06033" w14:textId="77777777" w:rsidR="00454A29" w:rsidRDefault="00454A29"/>
        </w:tc>
        <w:tc>
          <w:tcPr>
            <w:tcW w:w="1417" w:type="dxa"/>
            <w:vMerge/>
          </w:tcPr>
          <w:p w14:paraId="1FD750CE" w14:textId="77777777" w:rsidR="00454A29" w:rsidRDefault="00454A29"/>
        </w:tc>
        <w:tc>
          <w:tcPr>
            <w:tcW w:w="2324" w:type="dxa"/>
            <w:vMerge/>
          </w:tcPr>
          <w:p w14:paraId="2243C53B" w14:textId="77777777" w:rsidR="00454A29" w:rsidRDefault="00454A29"/>
        </w:tc>
        <w:tc>
          <w:tcPr>
            <w:tcW w:w="1701" w:type="dxa"/>
            <w:vAlign w:val="center"/>
          </w:tcPr>
          <w:p w14:paraId="1CF22C79" w14:textId="77777777" w:rsidR="00454A29" w:rsidRDefault="00454A29">
            <w:pPr>
              <w:pStyle w:val="ConsPlusNormal"/>
            </w:pPr>
          </w:p>
        </w:tc>
        <w:tc>
          <w:tcPr>
            <w:tcW w:w="1814" w:type="dxa"/>
            <w:vAlign w:val="center"/>
          </w:tcPr>
          <w:p w14:paraId="11A0CEBD" w14:textId="77777777" w:rsidR="00454A29" w:rsidRDefault="00454A29">
            <w:pPr>
              <w:pStyle w:val="ConsPlusNormal"/>
            </w:pPr>
          </w:p>
        </w:tc>
        <w:tc>
          <w:tcPr>
            <w:tcW w:w="1701" w:type="dxa"/>
            <w:vAlign w:val="center"/>
          </w:tcPr>
          <w:p w14:paraId="6127E5A6" w14:textId="77777777" w:rsidR="00454A29" w:rsidRDefault="00454A29">
            <w:pPr>
              <w:pStyle w:val="ConsPlusNormal"/>
            </w:pPr>
          </w:p>
        </w:tc>
        <w:tc>
          <w:tcPr>
            <w:tcW w:w="1701" w:type="dxa"/>
            <w:vAlign w:val="center"/>
          </w:tcPr>
          <w:p w14:paraId="52A20BF6" w14:textId="77777777" w:rsidR="00454A29" w:rsidRDefault="00454A29">
            <w:pPr>
              <w:pStyle w:val="ConsPlusNormal"/>
            </w:pPr>
          </w:p>
        </w:tc>
        <w:tc>
          <w:tcPr>
            <w:tcW w:w="1814" w:type="dxa"/>
            <w:vAlign w:val="center"/>
          </w:tcPr>
          <w:p w14:paraId="2DB1C378" w14:textId="77777777" w:rsidR="00454A29" w:rsidRDefault="00454A29">
            <w:pPr>
              <w:pStyle w:val="ConsPlusNormal"/>
            </w:pPr>
          </w:p>
        </w:tc>
      </w:tr>
      <w:tr w:rsidR="00454A29" w14:paraId="3DD968AD" w14:textId="77777777">
        <w:tc>
          <w:tcPr>
            <w:tcW w:w="567" w:type="dxa"/>
            <w:vMerge/>
          </w:tcPr>
          <w:p w14:paraId="231BF423" w14:textId="77777777" w:rsidR="00454A29" w:rsidRDefault="00454A29"/>
        </w:tc>
        <w:tc>
          <w:tcPr>
            <w:tcW w:w="3345" w:type="dxa"/>
            <w:vMerge/>
          </w:tcPr>
          <w:p w14:paraId="0271A687" w14:textId="77777777" w:rsidR="00454A29" w:rsidRDefault="00454A29"/>
        </w:tc>
        <w:tc>
          <w:tcPr>
            <w:tcW w:w="1701" w:type="dxa"/>
            <w:vAlign w:val="center"/>
          </w:tcPr>
          <w:p w14:paraId="5D0E4B47" w14:textId="77777777" w:rsidR="00454A29" w:rsidRDefault="00454A29">
            <w:pPr>
              <w:pStyle w:val="ConsPlusNormal"/>
              <w:jc w:val="center"/>
            </w:pPr>
            <w:r>
              <w:t>2023</w:t>
            </w:r>
          </w:p>
        </w:tc>
        <w:tc>
          <w:tcPr>
            <w:tcW w:w="1417" w:type="dxa"/>
            <w:vMerge/>
          </w:tcPr>
          <w:p w14:paraId="086AD284" w14:textId="77777777" w:rsidR="00454A29" w:rsidRDefault="00454A29"/>
        </w:tc>
        <w:tc>
          <w:tcPr>
            <w:tcW w:w="2204" w:type="dxa"/>
            <w:vMerge/>
          </w:tcPr>
          <w:p w14:paraId="051AD5C4" w14:textId="77777777" w:rsidR="00454A29" w:rsidRDefault="00454A29"/>
        </w:tc>
        <w:tc>
          <w:tcPr>
            <w:tcW w:w="1417" w:type="dxa"/>
            <w:vMerge/>
          </w:tcPr>
          <w:p w14:paraId="71878270" w14:textId="77777777" w:rsidR="00454A29" w:rsidRDefault="00454A29"/>
        </w:tc>
        <w:tc>
          <w:tcPr>
            <w:tcW w:w="2324" w:type="dxa"/>
            <w:vMerge/>
          </w:tcPr>
          <w:p w14:paraId="76A3F267" w14:textId="77777777" w:rsidR="00454A29" w:rsidRDefault="00454A29"/>
        </w:tc>
        <w:tc>
          <w:tcPr>
            <w:tcW w:w="1701" w:type="dxa"/>
            <w:vAlign w:val="center"/>
          </w:tcPr>
          <w:p w14:paraId="0A975308" w14:textId="77777777" w:rsidR="00454A29" w:rsidRDefault="00454A29">
            <w:pPr>
              <w:pStyle w:val="ConsPlusNormal"/>
              <w:jc w:val="center"/>
            </w:pPr>
            <w:r>
              <w:t>24 572,83</w:t>
            </w:r>
          </w:p>
        </w:tc>
        <w:tc>
          <w:tcPr>
            <w:tcW w:w="1814" w:type="dxa"/>
            <w:vAlign w:val="center"/>
          </w:tcPr>
          <w:p w14:paraId="6A5905E3" w14:textId="77777777" w:rsidR="00454A29" w:rsidRDefault="00454A29">
            <w:pPr>
              <w:pStyle w:val="ConsPlusNormal"/>
              <w:jc w:val="center"/>
            </w:pPr>
            <w:r>
              <w:t>24 572,83</w:t>
            </w:r>
          </w:p>
        </w:tc>
        <w:tc>
          <w:tcPr>
            <w:tcW w:w="1701" w:type="dxa"/>
            <w:vAlign w:val="center"/>
          </w:tcPr>
          <w:p w14:paraId="7443C734" w14:textId="77777777" w:rsidR="00454A29" w:rsidRDefault="00454A29">
            <w:pPr>
              <w:pStyle w:val="ConsPlusNormal"/>
            </w:pPr>
          </w:p>
        </w:tc>
        <w:tc>
          <w:tcPr>
            <w:tcW w:w="1701" w:type="dxa"/>
            <w:vAlign w:val="center"/>
          </w:tcPr>
          <w:p w14:paraId="673E0BC0" w14:textId="77777777" w:rsidR="00454A29" w:rsidRDefault="00454A29">
            <w:pPr>
              <w:pStyle w:val="ConsPlusNormal"/>
            </w:pPr>
          </w:p>
        </w:tc>
        <w:tc>
          <w:tcPr>
            <w:tcW w:w="1814" w:type="dxa"/>
            <w:vAlign w:val="center"/>
          </w:tcPr>
          <w:p w14:paraId="5255BA50" w14:textId="77777777" w:rsidR="00454A29" w:rsidRDefault="00454A29">
            <w:pPr>
              <w:pStyle w:val="ConsPlusNormal"/>
            </w:pPr>
          </w:p>
        </w:tc>
      </w:tr>
      <w:tr w:rsidR="00454A29" w14:paraId="2E0F61DF" w14:textId="77777777">
        <w:tc>
          <w:tcPr>
            <w:tcW w:w="567" w:type="dxa"/>
            <w:vMerge/>
          </w:tcPr>
          <w:p w14:paraId="589197FA" w14:textId="77777777" w:rsidR="00454A29" w:rsidRDefault="00454A29"/>
        </w:tc>
        <w:tc>
          <w:tcPr>
            <w:tcW w:w="3345" w:type="dxa"/>
            <w:vMerge/>
          </w:tcPr>
          <w:p w14:paraId="64803792" w14:textId="77777777" w:rsidR="00454A29" w:rsidRDefault="00454A29"/>
        </w:tc>
        <w:tc>
          <w:tcPr>
            <w:tcW w:w="1701" w:type="dxa"/>
            <w:vAlign w:val="center"/>
          </w:tcPr>
          <w:p w14:paraId="25E0CF81" w14:textId="77777777" w:rsidR="00454A29" w:rsidRDefault="00454A29">
            <w:pPr>
              <w:pStyle w:val="ConsPlusNormal"/>
              <w:jc w:val="center"/>
            </w:pPr>
            <w:r>
              <w:t>2024</w:t>
            </w:r>
          </w:p>
        </w:tc>
        <w:tc>
          <w:tcPr>
            <w:tcW w:w="1417" w:type="dxa"/>
            <w:vMerge/>
          </w:tcPr>
          <w:p w14:paraId="3C855E2E" w14:textId="77777777" w:rsidR="00454A29" w:rsidRDefault="00454A29"/>
        </w:tc>
        <w:tc>
          <w:tcPr>
            <w:tcW w:w="2204" w:type="dxa"/>
            <w:vMerge/>
          </w:tcPr>
          <w:p w14:paraId="637AEE24" w14:textId="77777777" w:rsidR="00454A29" w:rsidRDefault="00454A29"/>
        </w:tc>
        <w:tc>
          <w:tcPr>
            <w:tcW w:w="1417" w:type="dxa"/>
            <w:vMerge/>
          </w:tcPr>
          <w:p w14:paraId="7E0EB656" w14:textId="77777777" w:rsidR="00454A29" w:rsidRDefault="00454A29"/>
        </w:tc>
        <w:tc>
          <w:tcPr>
            <w:tcW w:w="2324" w:type="dxa"/>
            <w:vMerge/>
          </w:tcPr>
          <w:p w14:paraId="15760A97" w14:textId="77777777" w:rsidR="00454A29" w:rsidRDefault="00454A29"/>
        </w:tc>
        <w:tc>
          <w:tcPr>
            <w:tcW w:w="1701" w:type="dxa"/>
            <w:vAlign w:val="center"/>
          </w:tcPr>
          <w:p w14:paraId="6C80F461" w14:textId="77777777" w:rsidR="00454A29" w:rsidRDefault="00454A29">
            <w:pPr>
              <w:pStyle w:val="ConsPlusNormal"/>
              <w:jc w:val="center"/>
            </w:pPr>
            <w:r>
              <w:t>-</w:t>
            </w:r>
          </w:p>
        </w:tc>
        <w:tc>
          <w:tcPr>
            <w:tcW w:w="1814" w:type="dxa"/>
            <w:vAlign w:val="center"/>
          </w:tcPr>
          <w:p w14:paraId="2A2C2FEA" w14:textId="77777777" w:rsidR="00454A29" w:rsidRDefault="00454A29">
            <w:pPr>
              <w:pStyle w:val="ConsPlusNormal"/>
            </w:pPr>
          </w:p>
        </w:tc>
        <w:tc>
          <w:tcPr>
            <w:tcW w:w="1701" w:type="dxa"/>
            <w:vAlign w:val="center"/>
          </w:tcPr>
          <w:p w14:paraId="7C36F574" w14:textId="77777777" w:rsidR="00454A29" w:rsidRDefault="00454A29">
            <w:pPr>
              <w:pStyle w:val="ConsPlusNormal"/>
            </w:pPr>
          </w:p>
        </w:tc>
        <w:tc>
          <w:tcPr>
            <w:tcW w:w="1701" w:type="dxa"/>
            <w:vAlign w:val="center"/>
          </w:tcPr>
          <w:p w14:paraId="63734DFD" w14:textId="77777777" w:rsidR="00454A29" w:rsidRDefault="00454A29">
            <w:pPr>
              <w:pStyle w:val="ConsPlusNormal"/>
            </w:pPr>
          </w:p>
        </w:tc>
        <w:tc>
          <w:tcPr>
            <w:tcW w:w="1814" w:type="dxa"/>
            <w:vAlign w:val="center"/>
          </w:tcPr>
          <w:p w14:paraId="5983BDA6" w14:textId="77777777" w:rsidR="00454A29" w:rsidRDefault="00454A29">
            <w:pPr>
              <w:pStyle w:val="ConsPlusNormal"/>
            </w:pPr>
          </w:p>
        </w:tc>
      </w:tr>
      <w:tr w:rsidR="00454A29" w14:paraId="7A85CF19" w14:textId="77777777">
        <w:tc>
          <w:tcPr>
            <w:tcW w:w="567" w:type="dxa"/>
            <w:vMerge/>
          </w:tcPr>
          <w:p w14:paraId="1F2A7650" w14:textId="77777777" w:rsidR="00454A29" w:rsidRDefault="00454A29"/>
        </w:tc>
        <w:tc>
          <w:tcPr>
            <w:tcW w:w="3345" w:type="dxa"/>
            <w:vMerge/>
          </w:tcPr>
          <w:p w14:paraId="3B09ADC9" w14:textId="77777777" w:rsidR="00454A29" w:rsidRDefault="00454A29"/>
        </w:tc>
        <w:tc>
          <w:tcPr>
            <w:tcW w:w="1701" w:type="dxa"/>
            <w:vAlign w:val="center"/>
          </w:tcPr>
          <w:p w14:paraId="7D5CBFDF" w14:textId="77777777" w:rsidR="00454A29" w:rsidRDefault="00454A29">
            <w:pPr>
              <w:pStyle w:val="ConsPlusNormal"/>
              <w:jc w:val="center"/>
            </w:pPr>
            <w:r>
              <w:t>2025</w:t>
            </w:r>
          </w:p>
        </w:tc>
        <w:tc>
          <w:tcPr>
            <w:tcW w:w="1417" w:type="dxa"/>
            <w:vMerge/>
          </w:tcPr>
          <w:p w14:paraId="6A39D5A1" w14:textId="77777777" w:rsidR="00454A29" w:rsidRDefault="00454A29"/>
        </w:tc>
        <w:tc>
          <w:tcPr>
            <w:tcW w:w="2204" w:type="dxa"/>
            <w:vMerge/>
          </w:tcPr>
          <w:p w14:paraId="47C57900" w14:textId="77777777" w:rsidR="00454A29" w:rsidRDefault="00454A29"/>
        </w:tc>
        <w:tc>
          <w:tcPr>
            <w:tcW w:w="1417" w:type="dxa"/>
            <w:vMerge/>
          </w:tcPr>
          <w:p w14:paraId="7DBFC3F9" w14:textId="77777777" w:rsidR="00454A29" w:rsidRDefault="00454A29"/>
        </w:tc>
        <w:tc>
          <w:tcPr>
            <w:tcW w:w="2324" w:type="dxa"/>
            <w:vMerge/>
          </w:tcPr>
          <w:p w14:paraId="40CE1288" w14:textId="77777777" w:rsidR="00454A29" w:rsidRDefault="00454A29"/>
        </w:tc>
        <w:tc>
          <w:tcPr>
            <w:tcW w:w="1701" w:type="dxa"/>
            <w:vAlign w:val="center"/>
          </w:tcPr>
          <w:p w14:paraId="3CA9B49D" w14:textId="77777777" w:rsidR="00454A29" w:rsidRDefault="00454A29">
            <w:pPr>
              <w:pStyle w:val="ConsPlusNormal"/>
              <w:jc w:val="center"/>
            </w:pPr>
            <w:r>
              <w:t>-</w:t>
            </w:r>
          </w:p>
        </w:tc>
        <w:tc>
          <w:tcPr>
            <w:tcW w:w="1814" w:type="dxa"/>
            <w:vAlign w:val="center"/>
          </w:tcPr>
          <w:p w14:paraId="5582B045" w14:textId="77777777" w:rsidR="00454A29" w:rsidRDefault="00454A29">
            <w:pPr>
              <w:pStyle w:val="ConsPlusNormal"/>
            </w:pPr>
          </w:p>
        </w:tc>
        <w:tc>
          <w:tcPr>
            <w:tcW w:w="1701" w:type="dxa"/>
            <w:vAlign w:val="center"/>
          </w:tcPr>
          <w:p w14:paraId="11B11A9D" w14:textId="77777777" w:rsidR="00454A29" w:rsidRDefault="00454A29">
            <w:pPr>
              <w:pStyle w:val="ConsPlusNormal"/>
            </w:pPr>
          </w:p>
        </w:tc>
        <w:tc>
          <w:tcPr>
            <w:tcW w:w="1701" w:type="dxa"/>
            <w:vAlign w:val="center"/>
          </w:tcPr>
          <w:p w14:paraId="5256C0D1" w14:textId="77777777" w:rsidR="00454A29" w:rsidRDefault="00454A29">
            <w:pPr>
              <w:pStyle w:val="ConsPlusNormal"/>
            </w:pPr>
          </w:p>
        </w:tc>
        <w:tc>
          <w:tcPr>
            <w:tcW w:w="1814" w:type="dxa"/>
            <w:vAlign w:val="center"/>
          </w:tcPr>
          <w:p w14:paraId="652FEC36" w14:textId="77777777" w:rsidR="00454A29" w:rsidRDefault="00454A29">
            <w:pPr>
              <w:pStyle w:val="ConsPlusNormal"/>
            </w:pPr>
          </w:p>
        </w:tc>
      </w:tr>
      <w:tr w:rsidR="00454A29" w14:paraId="35A69DBB" w14:textId="77777777">
        <w:tc>
          <w:tcPr>
            <w:tcW w:w="567" w:type="dxa"/>
            <w:vMerge/>
          </w:tcPr>
          <w:p w14:paraId="7A66D91B" w14:textId="77777777" w:rsidR="00454A29" w:rsidRDefault="00454A29"/>
        </w:tc>
        <w:tc>
          <w:tcPr>
            <w:tcW w:w="3345" w:type="dxa"/>
            <w:vMerge/>
          </w:tcPr>
          <w:p w14:paraId="56A3D7B8" w14:textId="77777777" w:rsidR="00454A29" w:rsidRDefault="00454A29"/>
        </w:tc>
        <w:tc>
          <w:tcPr>
            <w:tcW w:w="1701" w:type="dxa"/>
            <w:vAlign w:val="center"/>
          </w:tcPr>
          <w:p w14:paraId="669791DF" w14:textId="77777777" w:rsidR="00454A29" w:rsidRDefault="00454A29">
            <w:pPr>
              <w:pStyle w:val="ConsPlusNormal"/>
              <w:jc w:val="center"/>
            </w:pPr>
            <w:r>
              <w:t>2026</w:t>
            </w:r>
          </w:p>
        </w:tc>
        <w:tc>
          <w:tcPr>
            <w:tcW w:w="1417" w:type="dxa"/>
            <w:vMerge/>
          </w:tcPr>
          <w:p w14:paraId="5FC404A8" w14:textId="77777777" w:rsidR="00454A29" w:rsidRDefault="00454A29"/>
        </w:tc>
        <w:tc>
          <w:tcPr>
            <w:tcW w:w="2204" w:type="dxa"/>
            <w:vMerge/>
          </w:tcPr>
          <w:p w14:paraId="7DF38967" w14:textId="77777777" w:rsidR="00454A29" w:rsidRDefault="00454A29"/>
        </w:tc>
        <w:tc>
          <w:tcPr>
            <w:tcW w:w="1417" w:type="dxa"/>
            <w:vMerge/>
          </w:tcPr>
          <w:p w14:paraId="02EB3599" w14:textId="77777777" w:rsidR="00454A29" w:rsidRDefault="00454A29"/>
        </w:tc>
        <w:tc>
          <w:tcPr>
            <w:tcW w:w="2324" w:type="dxa"/>
            <w:vMerge/>
          </w:tcPr>
          <w:p w14:paraId="1473E7C1" w14:textId="77777777" w:rsidR="00454A29" w:rsidRDefault="00454A29"/>
        </w:tc>
        <w:tc>
          <w:tcPr>
            <w:tcW w:w="1701" w:type="dxa"/>
            <w:vAlign w:val="center"/>
          </w:tcPr>
          <w:p w14:paraId="3D8EA14C" w14:textId="77777777" w:rsidR="00454A29" w:rsidRDefault="00454A29">
            <w:pPr>
              <w:pStyle w:val="ConsPlusNormal"/>
              <w:jc w:val="center"/>
            </w:pPr>
            <w:r>
              <w:t>-</w:t>
            </w:r>
          </w:p>
        </w:tc>
        <w:tc>
          <w:tcPr>
            <w:tcW w:w="1814" w:type="dxa"/>
            <w:vAlign w:val="center"/>
          </w:tcPr>
          <w:p w14:paraId="23CEA459" w14:textId="77777777" w:rsidR="00454A29" w:rsidRDefault="00454A29">
            <w:pPr>
              <w:pStyle w:val="ConsPlusNormal"/>
            </w:pPr>
          </w:p>
        </w:tc>
        <w:tc>
          <w:tcPr>
            <w:tcW w:w="1701" w:type="dxa"/>
            <w:vAlign w:val="center"/>
          </w:tcPr>
          <w:p w14:paraId="4983A59A" w14:textId="77777777" w:rsidR="00454A29" w:rsidRDefault="00454A29">
            <w:pPr>
              <w:pStyle w:val="ConsPlusNormal"/>
            </w:pPr>
          </w:p>
        </w:tc>
        <w:tc>
          <w:tcPr>
            <w:tcW w:w="1701" w:type="dxa"/>
            <w:vAlign w:val="center"/>
          </w:tcPr>
          <w:p w14:paraId="5A74D26B" w14:textId="77777777" w:rsidR="00454A29" w:rsidRDefault="00454A29">
            <w:pPr>
              <w:pStyle w:val="ConsPlusNormal"/>
            </w:pPr>
          </w:p>
        </w:tc>
        <w:tc>
          <w:tcPr>
            <w:tcW w:w="1814" w:type="dxa"/>
            <w:vAlign w:val="center"/>
          </w:tcPr>
          <w:p w14:paraId="4EB94C08" w14:textId="77777777" w:rsidR="00454A29" w:rsidRDefault="00454A29">
            <w:pPr>
              <w:pStyle w:val="ConsPlusNormal"/>
            </w:pPr>
          </w:p>
        </w:tc>
      </w:tr>
      <w:tr w:rsidR="00454A29" w14:paraId="75714784" w14:textId="77777777">
        <w:tc>
          <w:tcPr>
            <w:tcW w:w="567" w:type="dxa"/>
            <w:vMerge w:val="restart"/>
            <w:vAlign w:val="center"/>
          </w:tcPr>
          <w:p w14:paraId="53FDEC12" w14:textId="77777777" w:rsidR="00454A29" w:rsidRDefault="00454A29">
            <w:pPr>
              <w:pStyle w:val="ConsPlusNormal"/>
              <w:jc w:val="center"/>
            </w:pPr>
            <w:r>
              <w:t>89</w:t>
            </w:r>
          </w:p>
        </w:tc>
        <w:tc>
          <w:tcPr>
            <w:tcW w:w="3345" w:type="dxa"/>
            <w:vMerge w:val="restart"/>
            <w:vAlign w:val="center"/>
          </w:tcPr>
          <w:p w14:paraId="4F563FE9" w14:textId="77777777" w:rsidR="00454A29" w:rsidRDefault="00454A29">
            <w:pPr>
              <w:pStyle w:val="ConsPlusNormal"/>
              <w:jc w:val="center"/>
            </w:pPr>
            <w:r>
              <w:t>Общежитие "Чурапчинский колледж", с. Чурапча Чурапчинского улуса (района), 100 мест</w:t>
            </w:r>
          </w:p>
        </w:tc>
        <w:tc>
          <w:tcPr>
            <w:tcW w:w="1701" w:type="dxa"/>
            <w:vAlign w:val="center"/>
          </w:tcPr>
          <w:p w14:paraId="3ADEB186" w14:textId="77777777" w:rsidR="00454A29" w:rsidRDefault="00454A29">
            <w:pPr>
              <w:pStyle w:val="ConsPlusNormal"/>
              <w:jc w:val="center"/>
            </w:pPr>
            <w:r>
              <w:t>Всего:</w:t>
            </w:r>
          </w:p>
        </w:tc>
        <w:tc>
          <w:tcPr>
            <w:tcW w:w="1417" w:type="dxa"/>
            <w:vMerge w:val="restart"/>
            <w:vAlign w:val="center"/>
          </w:tcPr>
          <w:p w14:paraId="0C4D4064" w14:textId="77777777" w:rsidR="00454A29" w:rsidRDefault="00454A29">
            <w:pPr>
              <w:pStyle w:val="ConsPlusNormal"/>
              <w:jc w:val="center"/>
            </w:pPr>
            <w:r>
              <w:t>78 598,80</w:t>
            </w:r>
          </w:p>
        </w:tc>
        <w:tc>
          <w:tcPr>
            <w:tcW w:w="2204" w:type="dxa"/>
            <w:vMerge w:val="restart"/>
            <w:vAlign w:val="center"/>
          </w:tcPr>
          <w:p w14:paraId="0AAC0696" w14:textId="77777777" w:rsidR="00454A29" w:rsidRDefault="00454A29">
            <w:pPr>
              <w:pStyle w:val="ConsPlusNormal"/>
              <w:jc w:val="center"/>
            </w:pPr>
            <w:r>
              <w:t>имеется</w:t>
            </w:r>
          </w:p>
        </w:tc>
        <w:tc>
          <w:tcPr>
            <w:tcW w:w="1417" w:type="dxa"/>
            <w:vMerge w:val="restart"/>
            <w:vAlign w:val="center"/>
          </w:tcPr>
          <w:p w14:paraId="04855C32" w14:textId="77777777" w:rsidR="00454A29" w:rsidRDefault="00454A29">
            <w:pPr>
              <w:pStyle w:val="ConsPlusNormal"/>
              <w:jc w:val="center"/>
            </w:pPr>
            <w:r>
              <w:t>100</w:t>
            </w:r>
          </w:p>
        </w:tc>
        <w:tc>
          <w:tcPr>
            <w:tcW w:w="2324" w:type="dxa"/>
            <w:vMerge w:val="restart"/>
            <w:vAlign w:val="center"/>
          </w:tcPr>
          <w:p w14:paraId="0B2EAA6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84B1844" w14:textId="77777777" w:rsidR="00454A29" w:rsidRDefault="00454A29">
            <w:pPr>
              <w:pStyle w:val="ConsPlusNormal"/>
              <w:jc w:val="center"/>
            </w:pPr>
            <w:r>
              <w:t>38 985,00</w:t>
            </w:r>
          </w:p>
        </w:tc>
        <w:tc>
          <w:tcPr>
            <w:tcW w:w="1814" w:type="dxa"/>
            <w:vAlign w:val="center"/>
          </w:tcPr>
          <w:p w14:paraId="13EEB80E" w14:textId="77777777" w:rsidR="00454A29" w:rsidRDefault="00454A29">
            <w:pPr>
              <w:pStyle w:val="ConsPlusNormal"/>
              <w:jc w:val="center"/>
            </w:pPr>
            <w:r>
              <w:t>38 985,00</w:t>
            </w:r>
          </w:p>
        </w:tc>
        <w:tc>
          <w:tcPr>
            <w:tcW w:w="1701" w:type="dxa"/>
            <w:vAlign w:val="center"/>
          </w:tcPr>
          <w:p w14:paraId="4817B246" w14:textId="77777777" w:rsidR="00454A29" w:rsidRDefault="00454A29">
            <w:pPr>
              <w:pStyle w:val="ConsPlusNormal"/>
              <w:jc w:val="center"/>
            </w:pPr>
            <w:r>
              <w:t>-</w:t>
            </w:r>
          </w:p>
        </w:tc>
        <w:tc>
          <w:tcPr>
            <w:tcW w:w="1701" w:type="dxa"/>
            <w:vAlign w:val="center"/>
          </w:tcPr>
          <w:p w14:paraId="501F0251" w14:textId="77777777" w:rsidR="00454A29" w:rsidRDefault="00454A29">
            <w:pPr>
              <w:pStyle w:val="ConsPlusNormal"/>
              <w:jc w:val="center"/>
            </w:pPr>
            <w:r>
              <w:t>-</w:t>
            </w:r>
          </w:p>
        </w:tc>
        <w:tc>
          <w:tcPr>
            <w:tcW w:w="1814" w:type="dxa"/>
            <w:vAlign w:val="center"/>
          </w:tcPr>
          <w:p w14:paraId="50A8C3ED" w14:textId="77777777" w:rsidR="00454A29" w:rsidRDefault="00454A29">
            <w:pPr>
              <w:pStyle w:val="ConsPlusNormal"/>
              <w:jc w:val="center"/>
            </w:pPr>
            <w:r>
              <w:t>-</w:t>
            </w:r>
          </w:p>
        </w:tc>
      </w:tr>
      <w:tr w:rsidR="00454A29" w14:paraId="2CBAC24C" w14:textId="77777777">
        <w:tc>
          <w:tcPr>
            <w:tcW w:w="567" w:type="dxa"/>
            <w:vMerge/>
          </w:tcPr>
          <w:p w14:paraId="15D18CCA" w14:textId="77777777" w:rsidR="00454A29" w:rsidRDefault="00454A29"/>
        </w:tc>
        <w:tc>
          <w:tcPr>
            <w:tcW w:w="3345" w:type="dxa"/>
            <w:vMerge/>
          </w:tcPr>
          <w:p w14:paraId="2312E259" w14:textId="77777777" w:rsidR="00454A29" w:rsidRDefault="00454A29"/>
        </w:tc>
        <w:tc>
          <w:tcPr>
            <w:tcW w:w="1701" w:type="dxa"/>
            <w:vAlign w:val="center"/>
          </w:tcPr>
          <w:p w14:paraId="26823651" w14:textId="77777777" w:rsidR="00454A29" w:rsidRDefault="00454A29">
            <w:pPr>
              <w:pStyle w:val="ConsPlusNormal"/>
              <w:jc w:val="center"/>
            </w:pPr>
            <w:r>
              <w:t>2020</w:t>
            </w:r>
          </w:p>
        </w:tc>
        <w:tc>
          <w:tcPr>
            <w:tcW w:w="1417" w:type="dxa"/>
            <w:vMerge/>
          </w:tcPr>
          <w:p w14:paraId="6C6A8DED" w14:textId="77777777" w:rsidR="00454A29" w:rsidRDefault="00454A29"/>
        </w:tc>
        <w:tc>
          <w:tcPr>
            <w:tcW w:w="2204" w:type="dxa"/>
            <w:vMerge/>
          </w:tcPr>
          <w:p w14:paraId="4ED3A865" w14:textId="77777777" w:rsidR="00454A29" w:rsidRDefault="00454A29"/>
        </w:tc>
        <w:tc>
          <w:tcPr>
            <w:tcW w:w="1417" w:type="dxa"/>
            <w:vMerge/>
          </w:tcPr>
          <w:p w14:paraId="28F008BA" w14:textId="77777777" w:rsidR="00454A29" w:rsidRDefault="00454A29"/>
        </w:tc>
        <w:tc>
          <w:tcPr>
            <w:tcW w:w="2324" w:type="dxa"/>
            <w:vMerge/>
          </w:tcPr>
          <w:p w14:paraId="1B8B9FD7" w14:textId="77777777" w:rsidR="00454A29" w:rsidRDefault="00454A29"/>
        </w:tc>
        <w:tc>
          <w:tcPr>
            <w:tcW w:w="1701" w:type="dxa"/>
            <w:vAlign w:val="center"/>
          </w:tcPr>
          <w:p w14:paraId="567FAD88" w14:textId="77777777" w:rsidR="00454A29" w:rsidRDefault="00454A29">
            <w:pPr>
              <w:pStyle w:val="ConsPlusNormal"/>
              <w:jc w:val="center"/>
            </w:pPr>
            <w:r>
              <w:t>-</w:t>
            </w:r>
          </w:p>
        </w:tc>
        <w:tc>
          <w:tcPr>
            <w:tcW w:w="1814" w:type="dxa"/>
            <w:vAlign w:val="center"/>
          </w:tcPr>
          <w:p w14:paraId="7B311D9C" w14:textId="77777777" w:rsidR="00454A29" w:rsidRDefault="00454A29">
            <w:pPr>
              <w:pStyle w:val="ConsPlusNormal"/>
            </w:pPr>
          </w:p>
        </w:tc>
        <w:tc>
          <w:tcPr>
            <w:tcW w:w="1701" w:type="dxa"/>
            <w:vAlign w:val="center"/>
          </w:tcPr>
          <w:p w14:paraId="2649D665" w14:textId="77777777" w:rsidR="00454A29" w:rsidRDefault="00454A29">
            <w:pPr>
              <w:pStyle w:val="ConsPlusNormal"/>
            </w:pPr>
          </w:p>
        </w:tc>
        <w:tc>
          <w:tcPr>
            <w:tcW w:w="1701" w:type="dxa"/>
            <w:vAlign w:val="center"/>
          </w:tcPr>
          <w:p w14:paraId="79B2A9BE" w14:textId="77777777" w:rsidR="00454A29" w:rsidRDefault="00454A29">
            <w:pPr>
              <w:pStyle w:val="ConsPlusNormal"/>
            </w:pPr>
          </w:p>
        </w:tc>
        <w:tc>
          <w:tcPr>
            <w:tcW w:w="1814" w:type="dxa"/>
            <w:vAlign w:val="center"/>
          </w:tcPr>
          <w:p w14:paraId="5626E20C" w14:textId="77777777" w:rsidR="00454A29" w:rsidRDefault="00454A29">
            <w:pPr>
              <w:pStyle w:val="ConsPlusNormal"/>
            </w:pPr>
          </w:p>
        </w:tc>
      </w:tr>
      <w:tr w:rsidR="00454A29" w14:paraId="7DC362BB" w14:textId="77777777">
        <w:tc>
          <w:tcPr>
            <w:tcW w:w="567" w:type="dxa"/>
            <w:vMerge/>
          </w:tcPr>
          <w:p w14:paraId="13BCB295" w14:textId="77777777" w:rsidR="00454A29" w:rsidRDefault="00454A29"/>
        </w:tc>
        <w:tc>
          <w:tcPr>
            <w:tcW w:w="3345" w:type="dxa"/>
            <w:vMerge/>
          </w:tcPr>
          <w:p w14:paraId="491BB0DB" w14:textId="77777777" w:rsidR="00454A29" w:rsidRDefault="00454A29"/>
        </w:tc>
        <w:tc>
          <w:tcPr>
            <w:tcW w:w="1701" w:type="dxa"/>
            <w:vAlign w:val="center"/>
          </w:tcPr>
          <w:p w14:paraId="465C9A46" w14:textId="77777777" w:rsidR="00454A29" w:rsidRDefault="00454A29">
            <w:pPr>
              <w:pStyle w:val="ConsPlusNormal"/>
              <w:jc w:val="center"/>
            </w:pPr>
            <w:r>
              <w:t>2021</w:t>
            </w:r>
          </w:p>
        </w:tc>
        <w:tc>
          <w:tcPr>
            <w:tcW w:w="1417" w:type="dxa"/>
            <w:vMerge/>
          </w:tcPr>
          <w:p w14:paraId="69974BAA" w14:textId="77777777" w:rsidR="00454A29" w:rsidRDefault="00454A29"/>
        </w:tc>
        <w:tc>
          <w:tcPr>
            <w:tcW w:w="2204" w:type="dxa"/>
            <w:vMerge/>
          </w:tcPr>
          <w:p w14:paraId="6C3EA999" w14:textId="77777777" w:rsidR="00454A29" w:rsidRDefault="00454A29"/>
        </w:tc>
        <w:tc>
          <w:tcPr>
            <w:tcW w:w="1417" w:type="dxa"/>
            <w:vMerge/>
          </w:tcPr>
          <w:p w14:paraId="3AFD418D" w14:textId="77777777" w:rsidR="00454A29" w:rsidRDefault="00454A29"/>
        </w:tc>
        <w:tc>
          <w:tcPr>
            <w:tcW w:w="2324" w:type="dxa"/>
            <w:vMerge/>
          </w:tcPr>
          <w:p w14:paraId="20C89883" w14:textId="77777777" w:rsidR="00454A29" w:rsidRDefault="00454A29"/>
        </w:tc>
        <w:tc>
          <w:tcPr>
            <w:tcW w:w="1701" w:type="dxa"/>
            <w:vAlign w:val="center"/>
          </w:tcPr>
          <w:p w14:paraId="4A8FAEB5" w14:textId="77777777" w:rsidR="00454A29" w:rsidRDefault="00454A29">
            <w:pPr>
              <w:pStyle w:val="ConsPlusNormal"/>
              <w:jc w:val="center"/>
            </w:pPr>
            <w:r>
              <w:t>-</w:t>
            </w:r>
          </w:p>
        </w:tc>
        <w:tc>
          <w:tcPr>
            <w:tcW w:w="1814" w:type="dxa"/>
            <w:vAlign w:val="center"/>
          </w:tcPr>
          <w:p w14:paraId="052E3CC9" w14:textId="77777777" w:rsidR="00454A29" w:rsidRDefault="00454A29">
            <w:pPr>
              <w:pStyle w:val="ConsPlusNormal"/>
            </w:pPr>
          </w:p>
        </w:tc>
        <w:tc>
          <w:tcPr>
            <w:tcW w:w="1701" w:type="dxa"/>
            <w:vAlign w:val="center"/>
          </w:tcPr>
          <w:p w14:paraId="59DE9521" w14:textId="77777777" w:rsidR="00454A29" w:rsidRDefault="00454A29">
            <w:pPr>
              <w:pStyle w:val="ConsPlusNormal"/>
            </w:pPr>
          </w:p>
        </w:tc>
        <w:tc>
          <w:tcPr>
            <w:tcW w:w="1701" w:type="dxa"/>
            <w:vAlign w:val="center"/>
          </w:tcPr>
          <w:p w14:paraId="4B0BEFF9" w14:textId="77777777" w:rsidR="00454A29" w:rsidRDefault="00454A29">
            <w:pPr>
              <w:pStyle w:val="ConsPlusNormal"/>
            </w:pPr>
          </w:p>
        </w:tc>
        <w:tc>
          <w:tcPr>
            <w:tcW w:w="1814" w:type="dxa"/>
            <w:vAlign w:val="center"/>
          </w:tcPr>
          <w:p w14:paraId="24020D42" w14:textId="77777777" w:rsidR="00454A29" w:rsidRDefault="00454A29">
            <w:pPr>
              <w:pStyle w:val="ConsPlusNormal"/>
            </w:pPr>
          </w:p>
        </w:tc>
      </w:tr>
      <w:tr w:rsidR="00454A29" w14:paraId="12F5EFEB" w14:textId="77777777">
        <w:tc>
          <w:tcPr>
            <w:tcW w:w="567" w:type="dxa"/>
            <w:vMerge/>
          </w:tcPr>
          <w:p w14:paraId="4BAFA442" w14:textId="77777777" w:rsidR="00454A29" w:rsidRDefault="00454A29"/>
        </w:tc>
        <w:tc>
          <w:tcPr>
            <w:tcW w:w="3345" w:type="dxa"/>
            <w:vMerge/>
          </w:tcPr>
          <w:p w14:paraId="2C3D496D" w14:textId="77777777" w:rsidR="00454A29" w:rsidRDefault="00454A29"/>
        </w:tc>
        <w:tc>
          <w:tcPr>
            <w:tcW w:w="1701" w:type="dxa"/>
            <w:vAlign w:val="center"/>
          </w:tcPr>
          <w:p w14:paraId="46369F15" w14:textId="77777777" w:rsidR="00454A29" w:rsidRDefault="00454A29">
            <w:pPr>
              <w:pStyle w:val="ConsPlusNormal"/>
              <w:jc w:val="center"/>
            </w:pPr>
            <w:r>
              <w:t>2022</w:t>
            </w:r>
          </w:p>
        </w:tc>
        <w:tc>
          <w:tcPr>
            <w:tcW w:w="1417" w:type="dxa"/>
            <w:vMerge/>
          </w:tcPr>
          <w:p w14:paraId="3881C338" w14:textId="77777777" w:rsidR="00454A29" w:rsidRDefault="00454A29"/>
        </w:tc>
        <w:tc>
          <w:tcPr>
            <w:tcW w:w="2204" w:type="dxa"/>
            <w:vMerge/>
          </w:tcPr>
          <w:p w14:paraId="652B05F8" w14:textId="77777777" w:rsidR="00454A29" w:rsidRDefault="00454A29"/>
        </w:tc>
        <w:tc>
          <w:tcPr>
            <w:tcW w:w="1417" w:type="dxa"/>
            <w:vMerge/>
          </w:tcPr>
          <w:p w14:paraId="3E90F800" w14:textId="77777777" w:rsidR="00454A29" w:rsidRDefault="00454A29"/>
        </w:tc>
        <w:tc>
          <w:tcPr>
            <w:tcW w:w="2324" w:type="dxa"/>
            <w:vMerge/>
          </w:tcPr>
          <w:p w14:paraId="5A86E9F8" w14:textId="77777777" w:rsidR="00454A29" w:rsidRDefault="00454A29"/>
        </w:tc>
        <w:tc>
          <w:tcPr>
            <w:tcW w:w="1701" w:type="dxa"/>
            <w:vAlign w:val="center"/>
          </w:tcPr>
          <w:p w14:paraId="04CAC45C" w14:textId="77777777" w:rsidR="00454A29" w:rsidRDefault="00454A29">
            <w:pPr>
              <w:pStyle w:val="ConsPlusNormal"/>
            </w:pPr>
          </w:p>
        </w:tc>
        <w:tc>
          <w:tcPr>
            <w:tcW w:w="1814" w:type="dxa"/>
            <w:vAlign w:val="center"/>
          </w:tcPr>
          <w:p w14:paraId="71DBBB29" w14:textId="77777777" w:rsidR="00454A29" w:rsidRDefault="00454A29">
            <w:pPr>
              <w:pStyle w:val="ConsPlusNormal"/>
            </w:pPr>
          </w:p>
        </w:tc>
        <w:tc>
          <w:tcPr>
            <w:tcW w:w="1701" w:type="dxa"/>
            <w:vAlign w:val="center"/>
          </w:tcPr>
          <w:p w14:paraId="15A80783" w14:textId="77777777" w:rsidR="00454A29" w:rsidRDefault="00454A29">
            <w:pPr>
              <w:pStyle w:val="ConsPlusNormal"/>
            </w:pPr>
          </w:p>
        </w:tc>
        <w:tc>
          <w:tcPr>
            <w:tcW w:w="1701" w:type="dxa"/>
            <w:vAlign w:val="center"/>
          </w:tcPr>
          <w:p w14:paraId="6A34EA8E" w14:textId="77777777" w:rsidR="00454A29" w:rsidRDefault="00454A29">
            <w:pPr>
              <w:pStyle w:val="ConsPlusNormal"/>
            </w:pPr>
          </w:p>
        </w:tc>
        <w:tc>
          <w:tcPr>
            <w:tcW w:w="1814" w:type="dxa"/>
            <w:vAlign w:val="center"/>
          </w:tcPr>
          <w:p w14:paraId="0B172BBF" w14:textId="77777777" w:rsidR="00454A29" w:rsidRDefault="00454A29">
            <w:pPr>
              <w:pStyle w:val="ConsPlusNormal"/>
            </w:pPr>
          </w:p>
        </w:tc>
      </w:tr>
      <w:tr w:rsidR="00454A29" w14:paraId="06A6CD0A" w14:textId="77777777">
        <w:tc>
          <w:tcPr>
            <w:tcW w:w="567" w:type="dxa"/>
            <w:vMerge/>
          </w:tcPr>
          <w:p w14:paraId="0001C053" w14:textId="77777777" w:rsidR="00454A29" w:rsidRDefault="00454A29"/>
        </w:tc>
        <w:tc>
          <w:tcPr>
            <w:tcW w:w="3345" w:type="dxa"/>
            <w:vMerge/>
          </w:tcPr>
          <w:p w14:paraId="5E3BDB3C" w14:textId="77777777" w:rsidR="00454A29" w:rsidRDefault="00454A29"/>
        </w:tc>
        <w:tc>
          <w:tcPr>
            <w:tcW w:w="1701" w:type="dxa"/>
            <w:vAlign w:val="center"/>
          </w:tcPr>
          <w:p w14:paraId="395677A6" w14:textId="77777777" w:rsidR="00454A29" w:rsidRDefault="00454A29">
            <w:pPr>
              <w:pStyle w:val="ConsPlusNormal"/>
              <w:jc w:val="center"/>
            </w:pPr>
            <w:r>
              <w:t>2023</w:t>
            </w:r>
          </w:p>
        </w:tc>
        <w:tc>
          <w:tcPr>
            <w:tcW w:w="1417" w:type="dxa"/>
            <w:vMerge/>
          </w:tcPr>
          <w:p w14:paraId="4538DD64" w14:textId="77777777" w:rsidR="00454A29" w:rsidRDefault="00454A29"/>
        </w:tc>
        <w:tc>
          <w:tcPr>
            <w:tcW w:w="2204" w:type="dxa"/>
            <w:vMerge/>
          </w:tcPr>
          <w:p w14:paraId="3192271C" w14:textId="77777777" w:rsidR="00454A29" w:rsidRDefault="00454A29"/>
        </w:tc>
        <w:tc>
          <w:tcPr>
            <w:tcW w:w="1417" w:type="dxa"/>
            <w:vMerge/>
          </w:tcPr>
          <w:p w14:paraId="4EF33895" w14:textId="77777777" w:rsidR="00454A29" w:rsidRDefault="00454A29"/>
        </w:tc>
        <w:tc>
          <w:tcPr>
            <w:tcW w:w="2324" w:type="dxa"/>
            <w:vMerge/>
          </w:tcPr>
          <w:p w14:paraId="63CE9D0B" w14:textId="77777777" w:rsidR="00454A29" w:rsidRDefault="00454A29"/>
        </w:tc>
        <w:tc>
          <w:tcPr>
            <w:tcW w:w="1701" w:type="dxa"/>
            <w:vAlign w:val="center"/>
          </w:tcPr>
          <w:p w14:paraId="086BA4F0" w14:textId="77777777" w:rsidR="00454A29" w:rsidRDefault="00454A29">
            <w:pPr>
              <w:pStyle w:val="ConsPlusNormal"/>
              <w:jc w:val="center"/>
            </w:pPr>
            <w:r>
              <w:t>38 985,00</w:t>
            </w:r>
          </w:p>
        </w:tc>
        <w:tc>
          <w:tcPr>
            <w:tcW w:w="1814" w:type="dxa"/>
            <w:vAlign w:val="center"/>
          </w:tcPr>
          <w:p w14:paraId="24A33AEB" w14:textId="77777777" w:rsidR="00454A29" w:rsidRDefault="00454A29">
            <w:pPr>
              <w:pStyle w:val="ConsPlusNormal"/>
              <w:jc w:val="center"/>
            </w:pPr>
            <w:r>
              <w:t>38 985,00</w:t>
            </w:r>
          </w:p>
        </w:tc>
        <w:tc>
          <w:tcPr>
            <w:tcW w:w="1701" w:type="dxa"/>
            <w:vAlign w:val="center"/>
          </w:tcPr>
          <w:p w14:paraId="251817E6" w14:textId="77777777" w:rsidR="00454A29" w:rsidRDefault="00454A29">
            <w:pPr>
              <w:pStyle w:val="ConsPlusNormal"/>
            </w:pPr>
          </w:p>
        </w:tc>
        <w:tc>
          <w:tcPr>
            <w:tcW w:w="1701" w:type="dxa"/>
            <w:vAlign w:val="center"/>
          </w:tcPr>
          <w:p w14:paraId="285993D2" w14:textId="77777777" w:rsidR="00454A29" w:rsidRDefault="00454A29">
            <w:pPr>
              <w:pStyle w:val="ConsPlusNormal"/>
            </w:pPr>
          </w:p>
        </w:tc>
        <w:tc>
          <w:tcPr>
            <w:tcW w:w="1814" w:type="dxa"/>
            <w:vAlign w:val="center"/>
          </w:tcPr>
          <w:p w14:paraId="0F889AC9" w14:textId="77777777" w:rsidR="00454A29" w:rsidRDefault="00454A29">
            <w:pPr>
              <w:pStyle w:val="ConsPlusNormal"/>
            </w:pPr>
          </w:p>
        </w:tc>
      </w:tr>
      <w:tr w:rsidR="00454A29" w14:paraId="1FB4FD29" w14:textId="77777777">
        <w:tc>
          <w:tcPr>
            <w:tcW w:w="567" w:type="dxa"/>
            <w:vMerge/>
          </w:tcPr>
          <w:p w14:paraId="4814BF11" w14:textId="77777777" w:rsidR="00454A29" w:rsidRDefault="00454A29"/>
        </w:tc>
        <w:tc>
          <w:tcPr>
            <w:tcW w:w="3345" w:type="dxa"/>
            <w:vMerge/>
          </w:tcPr>
          <w:p w14:paraId="5EF2BF1F" w14:textId="77777777" w:rsidR="00454A29" w:rsidRDefault="00454A29"/>
        </w:tc>
        <w:tc>
          <w:tcPr>
            <w:tcW w:w="1701" w:type="dxa"/>
            <w:vAlign w:val="center"/>
          </w:tcPr>
          <w:p w14:paraId="219B0133" w14:textId="77777777" w:rsidR="00454A29" w:rsidRDefault="00454A29">
            <w:pPr>
              <w:pStyle w:val="ConsPlusNormal"/>
              <w:jc w:val="center"/>
            </w:pPr>
            <w:r>
              <w:t>2024</w:t>
            </w:r>
          </w:p>
        </w:tc>
        <w:tc>
          <w:tcPr>
            <w:tcW w:w="1417" w:type="dxa"/>
            <w:vMerge/>
          </w:tcPr>
          <w:p w14:paraId="5289BB72" w14:textId="77777777" w:rsidR="00454A29" w:rsidRDefault="00454A29"/>
        </w:tc>
        <w:tc>
          <w:tcPr>
            <w:tcW w:w="2204" w:type="dxa"/>
            <w:vMerge/>
          </w:tcPr>
          <w:p w14:paraId="08E8EDEB" w14:textId="77777777" w:rsidR="00454A29" w:rsidRDefault="00454A29"/>
        </w:tc>
        <w:tc>
          <w:tcPr>
            <w:tcW w:w="1417" w:type="dxa"/>
            <w:vMerge/>
          </w:tcPr>
          <w:p w14:paraId="6AFBFA41" w14:textId="77777777" w:rsidR="00454A29" w:rsidRDefault="00454A29"/>
        </w:tc>
        <w:tc>
          <w:tcPr>
            <w:tcW w:w="2324" w:type="dxa"/>
            <w:vMerge/>
          </w:tcPr>
          <w:p w14:paraId="5FBC7E0E" w14:textId="77777777" w:rsidR="00454A29" w:rsidRDefault="00454A29"/>
        </w:tc>
        <w:tc>
          <w:tcPr>
            <w:tcW w:w="1701" w:type="dxa"/>
            <w:vAlign w:val="center"/>
          </w:tcPr>
          <w:p w14:paraId="5D3CD565" w14:textId="77777777" w:rsidR="00454A29" w:rsidRDefault="00454A29">
            <w:pPr>
              <w:pStyle w:val="ConsPlusNormal"/>
              <w:jc w:val="center"/>
            </w:pPr>
            <w:r>
              <w:t>-</w:t>
            </w:r>
          </w:p>
        </w:tc>
        <w:tc>
          <w:tcPr>
            <w:tcW w:w="1814" w:type="dxa"/>
            <w:vAlign w:val="center"/>
          </w:tcPr>
          <w:p w14:paraId="01D37CA1" w14:textId="77777777" w:rsidR="00454A29" w:rsidRDefault="00454A29">
            <w:pPr>
              <w:pStyle w:val="ConsPlusNormal"/>
            </w:pPr>
          </w:p>
        </w:tc>
        <w:tc>
          <w:tcPr>
            <w:tcW w:w="1701" w:type="dxa"/>
            <w:vAlign w:val="center"/>
          </w:tcPr>
          <w:p w14:paraId="2960E669" w14:textId="77777777" w:rsidR="00454A29" w:rsidRDefault="00454A29">
            <w:pPr>
              <w:pStyle w:val="ConsPlusNormal"/>
            </w:pPr>
          </w:p>
        </w:tc>
        <w:tc>
          <w:tcPr>
            <w:tcW w:w="1701" w:type="dxa"/>
            <w:vAlign w:val="center"/>
          </w:tcPr>
          <w:p w14:paraId="05740D49" w14:textId="77777777" w:rsidR="00454A29" w:rsidRDefault="00454A29">
            <w:pPr>
              <w:pStyle w:val="ConsPlusNormal"/>
            </w:pPr>
          </w:p>
        </w:tc>
        <w:tc>
          <w:tcPr>
            <w:tcW w:w="1814" w:type="dxa"/>
            <w:vAlign w:val="center"/>
          </w:tcPr>
          <w:p w14:paraId="502E6A68" w14:textId="77777777" w:rsidR="00454A29" w:rsidRDefault="00454A29">
            <w:pPr>
              <w:pStyle w:val="ConsPlusNormal"/>
            </w:pPr>
          </w:p>
        </w:tc>
      </w:tr>
      <w:tr w:rsidR="00454A29" w14:paraId="2B045A09" w14:textId="77777777">
        <w:tc>
          <w:tcPr>
            <w:tcW w:w="567" w:type="dxa"/>
            <w:vMerge/>
          </w:tcPr>
          <w:p w14:paraId="7D60DE84" w14:textId="77777777" w:rsidR="00454A29" w:rsidRDefault="00454A29"/>
        </w:tc>
        <w:tc>
          <w:tcPr>
            <w:tcW w:w="3345" w:type="dxa"/>
            <w:vMerge/>
          </w:tcPr>
          <w:p w14:paraId="084558E1" w14:textId="77777777" w:rsidR="00454A29" w:rsidRDefault="00454A29"/>
        </w:tc>
        <w:tc>
          <w:tcPr>
            <w:tcW w:w="1701" w:type="dxa"/>
            <w:vAlign w:val="center"/>
          </w:tcPr>
          <w:p w14:paraId="676F6B01" w14:textId="77777777" w:rsidR="00454A29" w:rsidRDefault="00454A29">
            <w:pPr>
              <w:pStyle w:val="ConsPlusNormal"/>
              <w:jc w:val="center"/>
            </w:pPr>
            <w:r>
              <w:t>2025</w:t>
            </w:r>
          </w:p>
        </w:tc>
        <w:tc>
          <w:tcPr>
            <w:tcW w:w="1417" w:type="dxa"/>
            <w:vMerge/>
          </w:tcPr>
          <w:p w14:paraId="3868F934" w14:textId="77777777" w:rsidR="00454A29" w:rsidRDefault="00454A29"/>
        </w:tc>
        <w:tc>
          <w:tcPr>
            <w:tcW w:w="2204" w:type="dxa"/>
            <w:vMerge/>
          </w:tcPr>
          <w:p w14:paraId="2E2D12B0" w14:textId="77777777" w:rsidR="00454A29" w:rsidRDefault="00454A29"/>
        </w:tc>
        <w:tc>
          <w:tcPr>
            <w:tcW w:w="1417" w:type="dxa"/>
            <w:vMerge/>
          </w:tcPr>
          <w:p w14:paraId="1232B8C4" w14:textId="77777777" w:rsidR="00454A29" w:rsidRDefault="00454A29"/>
        </w:tc>
        <w:tc>
          <w:tcPr>
            <w:tcW w:w="2324" w:type="dxa"/>
            <w:vMerge/>
          </w:tcPr>
          <w:p w14:paraId="3EE6EDFA" w14:textId="77777777" w:rsidR="00454A29" w:rsidRDefault="00454A29"/>
        </w:tc>
        <w:tc>
          <w:tcPr>
            <w:tcW w:w="1701" w:type="dxa"/>
            <w:vAlign w:val="center"/>
          </w:tcPr>
          <w:p w14:paraId="3C446131" w14:textId="77777777" w:rsidR="00454A29" w:rsidRDefault="00454A29">
            <w:pPr>
              <w:pStyle w:val="ConsPlusNormal"/>
              <w:jc w:val="center"/>
            </w:pPr>
            <w:r>
              <w:t>-</w:t>
            </w:r>
          </w:p>
        </w:tc>
        <w:tc>
          <w:tcPr>
            <w:tcW w:w="1814" w:type="dxa"/>
            <w:vAlign w:val="center"/>
          </w:tcPr>
          <w:p w14:paraId="265178AF" w14:textId="77777777" w:rsidR="00454A29" w:rsidRDefault="00454A29">
            <w:pPr>
              <w:pStyle w:val="ConsPlusNormal"/>
            </w:pPr>
          </w:p>
        </w:tc>
        <w:tc>
          <w:tcPr>
            <w:tcW w:w="1701" w:type="dxa"/>
            <w:vAlign w:val="center"/>
          </w:tcPr>
          <w:p w14:paraId="1E8F89EC" w14:textId="77777777" w:rsidR="00454A29" w:rsidRDefault="00454A29">
            <w:pPr>
              <w:pStyle w:val="ConsPlusNormal"/>
            </w:pPr>
          </w:p>
        </w:tc>
        <w:tc>
          <w:tcPr>
            <w:tcW w:w="1701" w:type="dxa"/>
            <w:vAlign w:val="center"/>
          </w:tcPr>
          <w:p w14:paraId="03AAECFE" w14:textId="77777777" w:rsidR="00454A29" w:rsidRDefault="00454A29">
            <w:pPr>
              <w:pStyle w:val="ConsPlusNormal"/>
            </w:pPr>
          </w:p>
        </w:tc>
        <w:tc>
          <w:tcPr>
            <w:tcW w:w="1814" w:type="dxa"/>
            <w:vAlign w:val="center"/>
          </w:tcPr>
          <w:p w14:paraId="4F527FF9" w14:textId="77777777" w:rsidR="00454A29" w:rsidRDefault="00454A29">
            <w:pPr>
              <w:pStyle w:val="ConsPlusNormal"/>
            </w:pPr>
          </w:p>
        </w:tc>
      </w:tr>
      <w:tr w:rsidR="00454A29" w14:paraId="5308D380" w14:textId="77777777">
        <w:tc>
          <w:tcPr>
            <w:tcW w:w="567" w:type="dxa"/>
            <w:vMerge/>
          </w:tcPr>
          <w:p w14:paraId="60FED84B" w14:textId="77777777" w:rsidR="00454A29" w:rsidRDefault="00454A29"/>
        </w:tc>
        <w:tc>
          <w:tcPr>
            <w:tcW w:w="3345" w:type="dxa"/>
            <w:vMerge/>
          </w:tcPr>
          <w:p w14:paraId="2BBCAAF6" w14:textId="77777777" w:rsidR="00454A29" w:rsidRDefault="00454A29"/>
        </w:tc>
        <w:tc>
          <w:tcPr>
            <w:tcW w:w="1701" w:type="dxa"/>
            <w:vAlign w:val="center"/>
          </w:tcPr>
          <w:p w14:paraId="7FF7608D" w14:textId="77777777" w:rsidR="00454A29" w:rsidRDefault="00454A29">
            <w:pPr>
              <w:pStyle w:val="ConsPlusNormal"/>
              <w:jc w:val="center"/>
            </w:pPr>
            <w:r>
              <w:t>2026</w:t>
            </w:r>
          </w:p>
        </w:tc>
        <w:tc>
          <w:tcPr>
            <w:tcW w:w="1417" w:type="dxa"/>
            <w:vMerge/>
          </w:tcPr>
          <w:p w14:paraId="50400279" w14:textId="77777777" w:rsidR="00454A29" w:rsidRDefault="00454A29"/>
        </w:tc>
        <w:tc>
          <w:tcPr>
            <w:tcW w:w="2204" w:type="dxa"/>
            <w:vMerge/>
          </w:tcPr>
          <w:p w14:paraId="42ABC289" w14:textId="77777777" w:rsidR="00454A29" w:rsidRDefault="00454A29"/>
        </w:tc>
        <w:tc>
          <w:tcPr>
            <w:tcW w:w="1417" w:type="dxa"/>
            <w:vMerge/>
          </w:tcPr>
          <w:p w14:paraId="5252CECC" w14:textId="77777777" w:rsidR="00454A29" w:rsidRDefault="00454A29"/>
        </w:tc>
        <w:tc>
          <w:tcPr>
            <w:tcW w:w="2324" w:type="dxa"/>
            <w:vMerge/>
          </w:tcPr>
          <w:p w14:paraId="4DD43775" w14:textId="77777777" w:rsidR="00454A29" w:rsidRDefault="00454A29"/>
        </w:tc>
        <w:tc>
          <w:tcPr>
            <w:tcW w:w="1701" w:type="dxa"/>
            <w:vAlign w:val="center"/>
          </w:tcPr>
          <w:p w14:paraId="61606B0E" w14:textId="77777777" w:rsidR="00454A29" w:rsidRDefault="00454A29">
            <w:pPr>
              <w:pStyle w:val="ConsPlusNormal"/>
              <w:jc w:val="center"/>
            </w:pPr>
            <w:r>
              <w:t>-</w:t>
            </w:r>
          </w:p>
        </w:tc>
        <w:tc>
          <w:tcPr>
            <w:tcW w:w="1814" w:type="dxa"/>
            <w:vAlign w:val="center"/>
          </w:tcPr>
          <w:p w14:paraId="4AF7D2F9" w14:textId="77777777" w:rsidR="00454A29" w:rsidRDefault="00454A29">
            <w:pPr>
              <w:pStyle w:val="ConsPlusNormal"/>
            </w:pPr>
          </w:p>
        </w:tc>
        <w:tc>
          <w:tcPr>
            <w:tcW w:w="1701" w:type="dxa"/>
            <w:vAlign w:val="center"/>
          </w:tcPr>
          <w:p w14:paraId="206580F6" w14:textId="77777777" w:rsidR="00454A29" w:rsidRDefault="00454A29">
            <w:pPr>
              <w:pStyle w:val="ConsPlusNormal"/>
            </w:pPr>
          </w:p>
        </w:tc>
        <w:tc>
          <w:tcPr>
            <w:tcW w:w="1701" w:type="dxa"/>
            <w:vAlign w:val="center"/>
          </w:tcPr>
          <w:p w14:paraId="7111236C" w14:textId="77777777" w:rsidR="00454A29" w:rsidRDefault="00454A29">
            <w:pPr>
              <w:pStyle w:val="ConsPlusNormal"/>
            </w:pPr>
          </w:p>
        </w:tc>
        <w:tc>
          <w:tcPr>
            <w:tcW w:w="1814" w:type="dxa"/>
            <w:vAlign w:val="center"/>
          </w:tcPr>
          <w:p w14:paraId="3988E012" w14:textId="77777777" w:rsidR="00454A29" w:rsidRDefault="00454A29">
            <w:pPr>
              <w:pStyle w:val="ConsPlusNormal"/>
            </w:pPr>
          </w:p>
        </w:tc>
      </w:tr>
      <w:tr w:rsidR="00454A29" w14:paraId="35BEEF87" w14:textId="77777777">
        <w:tc>
          <w:tcPr>
            <w:tcW w:w="567" w:type="dxa"/>
            <w:vMerge w:val="restart"/>
            <w:vAlign w:val="center"/>
          </w:tcPr>
          <w:p w14:paraId="14A6C1D9" w14:textId="77777777" w:rsidR="00454A29" w:rsidRDefault="00454A29">
            <w:pPr>
              <w:pStyle w:val="ConsPlusNormal"/>
              <w:jc w:val="center"/>
            </w:pPr>
            <w:r>
              <w:t>90</w:t>
            </w:r>
          </w:p>
        </w:tc>
        <w:tc>
          <w:tcPr>
            <w:tcW w:w="3345" w:type="dxa"/>
            <w:vMerge w:val="restart"/>
            <w:vAlign w:val="center"/>
          </w:tcPr>
          <w:p w14:paraId="5C676E55" w14:textId="77777777" w:rsidR="00454A29" w:rsidRDefault="00454A29">
            <w:pPr>
              <w:pStyle w:val="ConsPlusNormal"/>
              <w:jc w:val="center"/>
            </w:pPr>
            <w:r>
              <w:t>Проектирование и строительство общежития для студентов ГБПОУ РС(Я) "Якутский коммунально-строительный техникум" на 500 мест в г. Якутске</w:t>
            </w:r>
          </w:p>
        </w:tc>
        <w:tc>
          <w:tcPr>
            <w:tcW w:w="1701" w:type="dxa"/>
            <w:vAlign w:val="center"/>
          </w:tcPr>
          <w:p w14:paraId="07009E2E" w14:textId="77777777" w:rsidR="00454A29" w:rsidRDefault="00454A29">
            <w:pPr>
              <w:pStyle w:val="ConsPlusNormal"/>
              <w:jc w:val="center"/>
            </w:pPr>
            <w:r>
              <w:t>Всего:</w:t>
            </w:r>
          </w:p>
        </w:tc>
        <w:tc>
          <w:tcPr>
            <w:tcW w:w="1417" w:type="dxa"/>
            <w:vMerge w:val="restart"/>
            <w:vAlign w:val="center"/>
          </w:tcPr>
          <w:p w14:paraId="3DC10262" w14:textId="77777777" w:rsidR="00454A29" w:rsidRDefault="00454A29">
            <w:pPr>
              <w:pStyle w:val="ConsPlusNormal"/>
              <w:jc w:val="center"/>
            </w:pPr>
            <w:r>
              <w:t>408 665,02</w:t>
            </w:r>
          </w:p>
        </w:tc>
        <w:tc>
          <w:tcPr>
            <w:tcW w:w="2204" w:type="dxa"/>
            <w:vMerge w:val="restart"/>
            <w:vAlign w:val="center"/>
          </w:tcPr>
          <w:p w14:paraId="308541DE" w14:textId="77777777" w:rsidR="00454A29" w:rsidRDefault="00454A29">
            <w:pPr>
              <w:pStyle w:val="ConsPlusNormal"/>
            </w:pPr>
          </w:p>
        </w:tc>
        <w:tc>
          <w:tcPr>
            <w:tcW w:w="1417" w:type="dxa"/>
            <w:vMerge w:val="restart"/>
            <w:vAlign w:val="center"/>
          </w:tcPr>
          <w:p w14:paraId="033CBA71" w14:textId="77777777" w:rsidR="00454A29" w:rsidRDefault="00454A29">
            <w:pPr>
              <w:pStyle w:val="ConsPlusNormal"/>
              <w:jc w:val="center"/>
            </w:pPr>
            <w:r>
              <w:t>500</w:t>
            </w:r>
          </w:p>
        </w:tc>
        <w:tc>
          <w:tcPr>
            <w:tcW w:w="2324" w:type="dxa"/>
            <w:vMerge w:val="restart"/>
            <w:vAlign w:val="center"/>
          </w:tcPr>
          <w:p w14:paraId="4BC93DE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258408E" w14:textId="77777777" w:rsidR="00454A29" w:rsidRDefault="00454A29">
            <w:pPr>
              <w:pStyle w:val="ConsPlusNormal"/>
              <w:jc w:val="center"/>
            </w:pPr>
            <w:r>
              <w:t>393 766,07</w:t>
            </w:r>
          </w:p>
        </w:tc>
        <w:tc>
          <w:tcPr>
            <w:tcW w:w="1814" w:type="dxa"/>
            <w:vAlign w:val="center"/>
          </w:tcPr>
          <w:p w14:paraId="0EB14136" w14:textId="77777777" w:rsidR="00454A29" w:rsidRDefault="00454A29">
            <w:pPr>
              <w:pStyle w:val="ConsPlusNormal"/>
              <w:jc w:val="center"/>
            </w:pPr>
            <w:r>
              <w:t>393 766,07</w:t>
            </w:r>
          </w:p>
        </w:tc>
        <w:tc>
          <w:tcPr>
            <w:tcW w:w="1701" w:type="dxa"/>
            <w:vAlign w:val="center"/>
          </w:tcPr>
          <w:p w14:paraId="411F5BE2" w14:textId="77777777" w:rsidR="00454A29" w:rsidRDefault="00454A29">
            <w:pPr>
              <w:pStyle w:val="ConsPlusNormal"/>
              <w:jc w:val="center"/>
            </w:pPr>
            <w:r>
              <w:t>-</w:t>
            </w:r>
          </w:p>
        </w:tc>
        <w:tc>
          <w:tcPr>
            <w:tcW w:w="1701" w:type="dxa"/>
            <w:vAlign w:val="center"/>
          </w:tcPr>
          <w:p w14:paraId="6B14BE79" w14:textId="77777777" w:rsidR="00454A29" w:rsidRDefault="00454A29">
            <w:pPr>
              <w:pStyle w:val="ConsPlusNormal"/>
              <w:jc w:val="center"/>
            </w:pPr>
            <w:r>
              <w:t>-</w:t>
            </w:r>
          </w:p>
        </w:tc>
        <w:tc>
          <w:tcPr>
            <w:tcW w:w="1814" w:type="dxa"/>
            <w:vAlign w:val="center"/>
          </w:tcPr>
          <w:p w14:paraId="15DC0BD7" w14:textId="77777777" w:rsidR="00454A29" w:rsidRDefault="00454A29">
            <w:pPr>
              <w:pStyle w:val="ConsPlusNormal"/>
              <w:jc w:val="center"/>
            </w:pPr>
            <w:r>
              <w:t>-</w:t>
            </w:r>
          </w:p>
        </w:tc>
      </w:tr>
      <w:tr w:rsidR="00454A29" w14:paraId="119A8E28" w14:textId="77777777">
        <w:tc>
          <w:tcPr>
            <w:tcW w:w="567" w:type="dxa"/>
            <w:vMerge/>
          </w:tcPr>
          <w:p w14:paraId="78F7DF43" w14:textId="77777777" w:rsidR="00454A29" w:rsidRDefault="00454A29"/>
        </w:tc>
        <w:tc>
          <w:tcPr>
            <w:tcW w:w="3345" w:type="dxa"/>
            <w:vMerge/>
          </w:tcPr>
          <w:p w14:paraId="583D09A5" w14:textId="77777777" w:rsidR="00454A29" w:rsidRDefault="00454A29"/>
        </w:tc>
        <w:tc>
          <w:tcPr>
            <w:tcW w:w="1701" w:type="dxa"/>
            <w:vAlign w:val="center"/>
          </w:tcPr>
          <w:p w14:paraId="38A7E5F8" w14:textId="77777777" w:rsidR="00454A29" w:rsidRDefault="00454A29">
            <w:pPr>
              <w:pStyle w:val="ConsPlusNormal"/>
              <w:jc w:val="center"/>
            </w:pPr>
            <w:r>
              <w:t>2020</w:t>
            </w:r>
          </w:p>
        </w:tc>
        <w:tc>
          <w:tcPr>
            <w:tcW w:w="1417" w:type="dxa"/>
            <w:vMerge/>
          </w:tcPr>
          <w:p w14:paraId="1C2E2B92" w14:textId="77777777" w:rsidR="00454A29" w:rsidRDefault="00454A29"/>
        </w:tc>
        <w:tc>
          <w:tcPr>
            <w:tcW w:w="2204" w:type="dxa"/>
            <w:vMerge/>
          </w:tcPr>
          <w:p w14:paraId="324A36AA" w14:textId="77777777" w:rsidR="00454A29" w:rsidRDefault="00454A29"/>
        </w:tc>
        <w:tc>
          <w:tcPr>
            <w:tcW w:w="1417" w:type="dxa"/>
            <w:vMerge/>
          </w:tcPr>
          <w:p w14:paraId="641FDB31" w14:textId="77777777" w:rsidR="00454A29" w:rsidRDefault="00454A29"/>
        </w:tc>
        <w:tc>
          <w:tcPr>
            <w:tcW w:w="2324" w:type="dxa"/>
            <w:vMerge/>
          </w:tcPr>
          <w:p w14:paraId="3528D2EC" w14:textId="77777777" w:rsidR="00454A29" w:rsidRDefault="00454A29"/>
        </w:tc>
        <w:tc>
          <w:tcPr>
            <w:tcW w:w="1701" w:type="dxa"/>
            <w:vAlign w:val="center"/>
          </w:tcPr>
          <w:p w14:paraId="7A3085B1" w14:textId="77777777" w:rsidR="00454A29" w:rsidRDefault="00454A29">
            <w:pPr>
              <w:pStyle w:val="ConsPlusNormal"/>
              <w:jc w:val="center"/>
            </w:pPr>
            <w:r>
              <w:t>-</w:t>
            </w:r>
          </w:p>
        </w:tc>
        <w:tc>
          <w:tcPr>
            <w:tcW w:w="1814" w:type="dxa"/>
            <w:vAlign w:val="center"/>
          </w:tcPr>
          <w:p w14:paraId="3285CEF6" w14:textId="77777777" w:rsidR="00454A29" w:rsidRDefault="00454A29">
            <w:pPr>
              <w:pStyle w:val="ConsPlusNormal"/>
            </w:pPr>
          </w:p>
        </w:tc>
        <w:tc>
          <w:tcPr>
            <w:tcW w:w="1701" w:type="dxa"/>
            <w:vAlign w:val="center"/>
          </w:tcPr>
          <w:p w14:paraId="5261905A" w14:textId="77777777" w:rsidR="00454A29" w:rsidRDefault="00454A29">
            <w:pPr>
              <w:pStyle w:val="ConsPlusNormal"/>
            </w:pPr>
          </w:p>
        </w:tc>
        <w:tc>
          <w:tcPr>
            <w:tcW w:w="1701" w:type="dxa"/>
            <w:vAlign w:val="center"/>
          </w:tcPr>
          <w:p w14:paraId="03EBB680" w14:textId="77777777" w:rsidR="00454A29" w:rsidRDefault="00454A29">
            <w:pPr>
              <w:pStyle w:val="ConsPlusNormal"/>
            </w:pPr>
          </w:p>
        </w:tc>
        <w:tc>
          <w:tcPr>
            <w:tcW w:w="1814" w:type="dxa"/>
            <w:vAlign w:val="center"/>
          </w:tcPr>
          <w:p w14:paraId="04C4EBE6" w14:textId="77777777" w:rsidR="00454A29" w:rsidRDefault="00454A29">
            <w:pPr>
              <w:pStyle w:val="ConsPlusNormal"/>
            </w:pPr>
          </w:p>
        </w:tc>
      </w:tr>
      <w:tr w:rsidR="00454A29" w14:paraId="642A18C1" w14:textId="77777777">
        <w:tc>
          <w:tcPr>
            <w:tcW w:w="567" w:type="dxa"/>
            <w:vMerge/>
          </w:tcPr>
          <w:p w14:paraId="714C3F76" w14:textId="77777777" w:rsidR="00454A29" w:rsidRDefault="00454A29"/>
        </w:tc>
        <w:tc>
          <w:tcPr>
            <w:tcW w:w="3345" w:type="dxa"/>
            <w:vMerge/>
          </w:tcPr>
          <w:p w14:paraId="152B9525" w14:textId="77777777" w:rsidR="00454A29" w:rsidRDefault="00454A29"/>
        </w:tc>
        <w:tc>
          <w:tcPr>
            <w:tcW w:w="1701" w:type="dxa"/>
            <w:vAlign w:val="center"/>
          </w:tcPr>
          <w:p w14:paraId="440568E9" w14:textId="77777777" w:rsidR="00454A29" w:rsidRDefault="00454A29">
            <w:pPr>
              <w:pStyle w:val="ConsPlusNormal"/>
              <w:jc w:val="center"/>
            </w:pPr>
            <w:r>
              <w:t>2021</w:t>
            </w:r>
          </w:p>
        </w:tc>
        <w:tc>
          <w:tcPr>
            <w:tcW w:w="1417" w:type="dxa"/>
            <w:vMerge/>
          </w:tcPr>
          <w:p w14:paraId="1E967C87" w14:textId="77777777" w:rsidR="00454A29" w:rsidRDefault="00454A29"/>
        </w:tc>
        <w:tc>
          <w:tcPr>
            <w:tcW w:w="2204" w:type="dxa"/>
            <w:vMerge/>
          </w:tcPr>
          <w:p w14:paraId="0E33FE45" w14:textId="77777777" w:rsidR="00454A29" w:rsidRDefault="00454A29"/>
        </w:tc>
        <w:tc>
          <w:tcPr>
            <w:tcW w:w="1417" w:type="dxa"/>
            <w:vMerge/>
          </w:tcPr>
          <w:p w14:paraId="7BAE4B85" w14:textId="77777777" w:rsidR="00454A29" w:rsidRDefault="00454A29"/>
        </w:tc>
        <w:tc>
          <w:tcPr>
            <w:tcW w:w="2324" w:type="dxa"/>
            <w:vMerge/>
          </w:tcPr>
          <w:p w14:paraId="68941ED5" w14:textId="77777777" w:rsidR="00454A29" w:rsidRDefault="00454A29"/>
        </w:tc>
        <w:tc>
          <w:tcPr>
            <w:tcW w:w="1701" w:type="dxa"/>
            <w:vAlign w:val="center"/>
          </w:tcPr>
          <w:p w14:paraId="156FB26A" w14:textId="77777777" w:rsidR="00454A29" w:rsidRDefault="00454A29">
            <w:pPr>
              <w:pStyle w:val="ConsPlusNormal"/>
              <w:jc w:val="center"/>
            </w:pPr>
            <w:r>
              <w:t>-</w:t>
            </w:r>
          </w:p>
        </w:tc>
        <w:tc>
          <w:tcPr>
            <w:tcW w:w="1814" w:type="dxa"/>
            <w:vAlign w:val="center"/>
          </w:tcPr>
          <w:p w14:paraId="791C4899" w14:textId="77777777" w:rsidR="00454A29" w:rsidRDefault="00454A29">
            <w:pPr>
              <w:pStyle w:val="ConsPlusNormal"/>
            </w:pPr>
          </w:p>
        </w:tc>
        <w:tc>
          <w:tcPr>
            <w:tcW w:w="1701" w:type="dxa"/>
            <w:vAlign w:val="center"/>
          </w:tcPr>
          <w:p w14:paraId="4D1A0959" w14:textId="77777777" w:rsidR="00454A29" w:rsidRDefault="00454A29">
            <w:pPr>
              <w:pStyle w:val="ConsPlusNormal"/>
            </w:pPr>
          </w:p>
        </w:tc>
        <w:tc>
          <w:tcPr>
            <w:tcW w:w="1701" w:type="dxa"/>
            <w:vAlign w:val="center"/>
          </w:tcPr>
          <w:p w14:paraId="7AE5673B" w14:textId="77777777" w:rsidR="00454A29" w:rsidRDefault="00454A29">
            <w:pPr>
              <w:pStyle w:val="ConsPlusNormal"/>
            </w:pPr>
          </w:p>
        </w:tc>
        <w:tc>
          <w:tcPr>
            <w:tcW w:w="1814" w:type="dxa"/>
            <w:vAlign w:val="center"/>
          </w:tcPr>
          <w:p w14:paraId="4DB642B6" w14:textId="77777777" w:rsidR="00454A29" w:rsidRDefault="00454A29">
            <w:pPr>
              <w:pStyle w:val="ConsPlusNormal"/>
            </w:pPr>
          </w:p>
        </w:tc>
      </w:tr>
      <w:tr w:rsidR="00454A29" w14:paraId="3E54910A" w14:textId="77777777">
        <w:tc>
          <w:tcPr>
            <w:tcW w:w="567" w:type="dxa"/>
            <w:vMerge/>
          </w:tcPr>
          <w:p w14:paraId="3E049FBF" w14:textId="77777777" w:rsidR="00454A29" w:rsidRDefault="00454A29"/>
        </w:tc>
        <w:tc>
          <w:tcPr>
            <w:tcW w:w="3345" w:type="dxa"/>
            <w:vMerge/>
          </w:tcPr>
          <w:p w14:paraId="527130FC" w14:textId="77777777" w:rsidR="00454A29" w:rsidRDefault="00454A29"/>
        </w:tc>
        <w:tc>
          <w:tcPr>
            <w:tcW w:w="1701" w:type="dxa"/>
            <w:vAlign w:val="center"/>
          </w:tcPr>
          <w:p w14:paraId="5B712224" w14:textId="77777777" w:rsidR="00454A29" w:rsidRDefault="00454A29">
            <w:pPr>
              <w:pStyle w:val="ConsPlusNormal"/>
              <w:jc w:val="center"/>
            </w:pPr>
            <w:r>
              <w:t>2022</w:t>
            </w:r>
          </w:p>
        </w:tc>
        <w:tc>
          <w:tcPr>
            <w:tcW w:w="1417" w:type="dxa"/>
            <w:vMerge/>
          </w:tcPr>
          <w:p w14:paraId="1E379CD1" w14:textId="77777777" w:rsidR="00454A29" w:rsidRDefault="00454A29"/>
        </w:tc>
        <w:tc>
          <w:tcPr>
            <w:tcW w:w="2204" w:type="dxa"/>
            <w:vMerge/>
          </w:tcPr>
          <w:p w14:paraId="5687BA51" w14:textId="77777777" w:rsidR="00454A29" w:rsidRDefault="00454A29"/>
        </w:tc>
        <w:tc>
          <w:tcPr>
            <w:tcW w:w="1417" w:type="dxa"/>
            <w:vMerge/>
          </w:tcPr>
          <w:p w14:paraId="30039EB4" w14:textId="77777777" w:rsidR="00454A29" w:rsidRDefault="00454A29"/>
        </w:tc>
        <w:tc>
          <w:tcPr>
            <w:tcW w:w="2324" w:type="dxa"/>
            <w:vMerge/>
          </w:tcPr>
          <w:p w14:paraId="15EC1ABD" w14:textId="77777777" w:rsidR="00454A29" w:rsidRDefault="00454A29"/>
        </w:tc>
        <w:tc>
          <w:tcPr>
            <w:tcW w:w="1701" w:type="dxa"/>
            <w:vAlign w:val="center"/>
          </w:tcPr>
          <w:p w14:paraId="1DCA72BE" w14:textId="77777777" w:rsidR="00454A29" w:rsidRDefault="00454A29">
            <w:pPr>
              <w:pStyle w:val="ConsPlusNormal"/>
            </w:pPr>
          </w:p>
        </w:tc>
        <w:tc>
          <w:tcPr>
            <w:tcW w:w="1814" w:type="dxa"/>
            <w:vAlign w:val="center"/>
          </w:tcPr>
          <w:p w14:paraId="7AA0B1B2" w14:textId="77777777" w:rsidR="00454A29" w:rsidRDefault="00454A29">
            <w:pPr>
              <w:pStyle w:val="ConsPlusNormal"/>
            </w:pPr>
          </w:p>
        </w:tc>
        <w:tc>
          <w:tcPr>
            <w:tcW w:w="1701" w:type="dxa"/>
            <w:vAlign w:val="center"/>
          </w:tcPr>
          <w:p w14:paraId="01CDEF3B" w14:textId="77777777" w:rsidR="00454A29" w:rsidRDefault="00454A29">
            <w:pPr>
              <w:pStyle w:val="ConsPlusNormal"/>
            </w:pPr>
          </w:p>
        </w:tc>
        <w:tc>
          <w:tcPr>
            <w:tcW w:w="1701" w:type="dxa"/>
            <w:vAlign w:val="center"/>
          </w:tcPr>
          <w:p w14:paraId="545F5DC2" w14:textId="77777777" w:rsidR="00454A29" w:rsidRDefault="00454A29">
            <w:pPr>
              <w:pStyle w:val="ConsPlusNormal"/>
            </w:pPr>
          </w:p>
        </w:tc>
        <w:tc>
          <w:tcPr>
            <w:tcW w:w="1814" w:type="dxa"/>
            <w:vAlign w:val="center"/>
          </w:tcPr>
          <w:p w14:paraId="699CC593" w14:textId="77777777" w:rsidR="00454A29" w:rsidRDefault="00454A29">
            <w:pPr>
              <w:pStyle w:val="ConsPlusNormal"/>
            </w:pPr>
          </w:p>
        </w:tc>
      </w:tr>
      <w:tr w:rsidR="00454A29" w14:paraId="708112F2" w14:textId="77777777">
        <w:tc>
          <w:tcPr>
            <w:tcW w:w="567" w:type="dxa"/>
            <w:vMerge/>
          </w:tcPr>
          <w:p w14:paraId="4D4CF10B" w14:textId="77777777" w:rsidR="00454A29" w:rsidRDefault="00454A29"/>
        </w:tc>
        <w:tc>
          <w:tcPr>
            <w:tcW w:w="3345" w:type="dxa"/>
            <w:vMerge/>
          </w:tcPr>
          <w:p w14:paraId="1BC8069E" w14:textId="77777777" w:rsidR="00454A29" w:rsidRDefault="00454A29"/>
        </w:tc>
        <w:tc>
          <w:tcPr>
            <w:tcW w:w="1701" w:type="dxa"/>
            <w:vAlign w:val="center"/>
          </w:tcPr>
          <w:p w14:paraId="63B2AA25" w14:textId="77777777" w:rsidR="00454A29" w:rsidRDefault="00454A29">
            <w:pPr>
              <w:pStyle w:val="ConsPlusNormal"/>
              <w:jc w:val="center"/>
            </w:pPr>
            <w:r>
              <w:t>2023</w:t>
            </w:r>
          </w:p>
        </w:tc>
        <w:tc>
          <w:tcPr>
            <w:tcW w:w="1417" w:type="dxa"/>
            <w:vMerge/>
          </w:tcPr>
          <w:p w14:paraId="583649F9" w14:textId="77777777" w:rsidR="00454A29" w:rsidRDefault="00454A29"/>
        </w:tc>
        <w:tc>
          <w:tcPr>
            <w:tcW w:w="2204" w:type="dxa"/>
            <w:vMerge/>
          </w:tcPr>
          <w:p w14:paraId="35C0AAF3" w14:textId="77777777" w:rsidR="00454A29" w:rsidRDefault="00454A29"/>
        </w:tc>
        <w:tc>
          <w:tcPr>
            <w:tcW w:w="1417" w:type="dxa"/>
            <w:vMerge/>
          </w:tcPr>
          <w:p w14:paraId="3B6B0FC8" w14:textId="77777777" w:rsidR="00454A29" w:rsidRDefault="00454A29"/>
        </w:tc>
        <w:tc>
          <w:tcPr>
            <w:tcW w:w="2324" w:type="dxa"/>
            <w:vMerge/>
          </w:tcPr>
          <w:p w14:paraId="15494DE4" w14:textId="77777777" w:rsidR="00454A29" w:rsidRDefault="00454A29"/>
        </w:tc>
        <w:tc>
          <w:tcPr>
            <w:tcW w:w="1701" w:type="dxa"/>
            <w:vAlign w:val="center"/>
          </w:tcPr>
          <w:p w14:paraId="383DDC53" w14:textId="77777777" w:rsidR="00454A29" w:rsidRDefault="00454A29">
            <w:pPr>
              <w:pStyle w:val="ConsPlusNormal"/>
              <w:jc w:val="center"/>
            </w:pPr>
            <w:r>
              <w:t>1 488,00</w:t>
            </w:r>
          </w:p>
        </w:tc>
        <w:tc>
          <w:tcPr>
            <w:tcW w:w="1814" w:type="dxa"/>
            <w:vAlign w:val="center"/>
          </w:tcPr>
          <w:p w14:paraId="383A3458" w14:textId="77777777" w:rsidR="00454A29" w:rsidRDefault="00454A29">
            <w:pPr>
              <w:pStyle w:val="ConsPlusNormal"/>
              <w:jc w:val="center"/>
            </w:pPr>
            <w:r>
              <w:t>1 488,00</w:t>
            </w:r>
          </w:p>
        </w:tc>
        <w:tc>
          <w:tcPr>
            <w:tcW w:w="1701" w:type="dxa"/>
            <w:vAlign w:val="center"/>
          </w:tcPr>
          <w:p w14:paraId="2BF6E5CB" w14:textId="77777777" w:rsidR="00454A29" w:rsidRDefault="00454A29">
            <w:pPr>
              <w:pStyle w:val="ConsPlusNormal"/>
            </w:pPr>
          </w:p>
        </w:tc>
        <w:tc>
          <w:tcPr>
            <w:tcW w:w="1701" w:type="dxa"/>
            <w:vAlign w:val="center"/>
          </w:tcPr>
          <w:p w14:paraId="39DA5DB6" w14:textId="77777777" w:rsidR="00454A29" w:rsidRDefault="00454A29">
            <w:pPr>
              <w:pStyle w:val="ConsPlusNormal"/>
            </w:pPr>
          </w:p>
        </w:tc>
        <w:tc>
          <w:tcPr>
            <w:tcW w:w="1814" w:type="dxa"/>
            <w:vAlign w:val="center"/>
          </w:tcPr>
          <w:p w14:paraId="0949D51B" w14:textId="77777777" w:rsidR="00454A29" w:rsidRDefault="00454A29">
            <w:pPr>
              <w:pStyle w:val="ConsPlusNormal"/>
            </w:pPr>
          </w:p>
        </w:tc>
      </w:tr>
      <w:tr w:rsidR="00454A29" w14:paraId="1BC68E17" w14:textId="77777777">
        <w:tc>
          <w:tcPr>
            <w:tcW w:w="567" w:type="dxa"/>
            <w:vMerge/>
          </w:tcPr>
          <w:p w14:paraId="22C0B937" w14:textId="77777777" w:rsidR="00454A29" w:rsidRDefault="00454A29"/>
        </w:tc>
        <w:tc>
          <w:tcPr>
            <w:tcW w:w="3345" w:type="dxa"/>
            <w:vMerge/>
          </w:tcPr>
          <w:p w14:paraId="568E2AA7" w14:textId="77777777" w:rsidR="00454A29" w:rsidRDefault="00454A29"/>
        </w:tc>
        <w:tc>
          <w:tcPr>
            <w:tcW w:w="1701" w:type="dxa"/>
            <w:vAlign w:val="center"/>
          </w:tcPr>
          <w:p w14:paraId="270720EF" w14:textId="77777777" w:rsidR="00454A29" w:rsidRDefault="00454A29">
            <w:pPr>
              <w:pStyle w:val="ConsPlusNormal"/>
              <w:jc w:val="center"/>
            </w:pPr>
            <w:r>
              <w:t>2024</w:t>
            </w:r>
          </w:p>
        </w:tc>
        <w:tc>
          <w:tcPr>
            <w:tcW w:w="1417" w:type="dxa"/>
            <w:vMerge/>
          </w:tcPr>
          <w:p w14:paraId="5787499D" w14:textId="77777777" w:rsidR="00454A29" w:rsidRDefault="00454A29"/>
        </w:tc>
        <w:tc>
          <w:tcPr>
            <w:tcW w:w="2204" w:type="dxa"/>
            <w:vMerge/>
          </w:tcPr>
          <w:p w14:paraId="7C1FEF3D" w14:textId="77777777" w:rsidR="00454A29" w:rsidRDefault="00454A29"/>
        </w:tc>
        <w:tc>
          <w:tcPr>
            <w:tcW w:w="1417" w:type="dxa"/>
            <w:vMerge/>
          </w:tcPr>
          <w:p w14:paraId="7029E3E1" w14:textId="77777777" w:rsidR="00454A29" w:rsidRDefault="00454A29"/>
        </w:tc>
        <w:tc>
          <w:tcPr>
            <w:tcW w:w="2324" w:type="dxa"/>
            <w:vMerge/>
          </w:tcPr>
          <w:p w14:paraId="12181E29" w14:textId="77777777" w:rsidR="00454A29" w:rsidRDefault="00454A29"/>
        </w:tc>
        <w:tc>
          <w:tcPr>
            <w:tcW w:w="1701" w:type="dxa"/>
            <w:vAlign w:val="center"/>
          </w:tcPr>
          <w:p w14:paraId="4249C244" w14:textId="77777777" w:rsidR="00454A29" w:rsidRDefault="00454A29">
            <w:pPr>
              <w:pStyle w:val="ConsPlusNormal"/>
              <w:jc w:val="center"/>
            </w:pPr>
            <w:r>
              <w:t>135 694,95</w:t>
            </w:r>
          </w:p>
        </w:tc>
        <w:tc>
          <w:tcPr>
            <w:tcW w:w="1814" w:type="dxa"/>
            <w:vAlign w:val="center"/>
          </w:tcPr>
          <w:p w14:paraId="22AE8D76" w14:textId="77777777" w:rsidR="00454A29" w:rsidRDefault="00454A29">
            <w:pPr>
              <w:pStyle w:val="ConsPlusNormal"/>
              <w:jc w:val="center"/>
            </w:pPr>
            <w:r>
              <w:t>135 694,95</w:t>
            </w:r>
          </w:p>
        </w:tc>
        <w:tc>
          <w:tcPr>
            <w:tcW w:w="1701" w:type="dxa"/>
            <w:vAlign w:val="center"/>
          </w:tcPr>
          <w:p w14:paraId="1D75AAC8" w14:textId="77777777" w:rsidR="00454A29" w:rsidRDefault="00454A29">
            <w:pPr>
              <w:pStyle w:val="ConsPlusNormal"/>
            </w:pPr>
          </w:p>
        </w:tc>
        <w:tc>
          <w:tcPr>
            <w:tcW w:w="1701" w:type="dxa"/>
            <w:vAlign w:val="center"/>
          </w:tcPr>
          <w:p w14:paraId="46257600" w14:textId="77777777" w:rsidR="00454A29" w:rsidRDefault="00454A29">
            <w:pPr>
              <w:pStyle w:val="ConsPlusNormal"/>
            </w:pPr>
          </w:p>
        </w:tc>
        <w:tc>
          <w:tcPr>
            <w:tcW w:w="1814" w:type="dxa"/>
            <w:vAlign w:val="center"/>
          </w:tcPr>
          <w:p w14:paraId="262CB272" w14:textId="77777777" w:rsidR="00454A29" w:rsidRDefault="00454A29">
            <w:pPr>
              <w:pStyle w:val="ConsPlusNormal"/>
            </w:pPr>
          </w:p>
        </w:tc>
      </w:tr>
      <w:tr w:rsidR="00454A29" w14:paraId="6B10C9B9" w14:textId="77777777">
        <w:tc>
          <w:tcPr>
            <w:tcW w:w="567" w:type="dxa"/>
            <w:vMerge/>
          </w:tcPr>
          <w:p w14:paraId="2B45D78E" w14:textId="77777777" w:rsidR="00454A29" w:rsidRDefault="00454A29"/>
        </w:tc>
        <w:tc>
          <w:tcPr>
            <w:tcW w:w="3345" w:type="dxa"/>
            <w:vMerge/>
          </w:tcPr>
          <w:p w14:paraId="316B3C34" w14:textId="77777777" w:rsidR="00454A29" w:rsidRDefault="00454A29"/>
        </w:tc>
        <w:tc>
          <w:tcPr>
            <w:tcW w:w="1701" w:type="dxa"/>
            <w:vAlign w:val="center"/>
          </w:tcPr>
          <w:p w14:paraId="79F153A7" w14:textId="77777777" w:rsidR="00454A29" w:rsidRDefault="00454A29">
            <w:pPr>
              <w:pStyle w:val="ConsPlusNormal"/>
              <w:jc w:val="center"/>
            </w:pPr>
            <w:r>
              <w:t>2025</w:t>
            </w:r>
          </w:p>
        </w:tc>
        <w:tc>
          <w:tcPr>
            <w:tcW w:w="1417" w:type="dxa"/>
            <w:vMerge/>
          </w:tcPr>
          <w:p w14:paraId="3A2339C9" w14:textId="77777777" w:rsidR="00454A29" w:rsidRDefault="00454A29"/>
        </w:tc>
        <w:tc>
          <w:tcPr>
            <w:tcW w:w="2204" w:type="dxa"/>
            <w:vMerge/>
          </w:tcPr>
          <w:p w14:paraId="746CA145" w14:textId="77777777" w:rsidR="00454A29" w:rsidRDefault="00454A29"/>
        </w:tc>
        <w:tc>
          <w:tcPr>
            <w:tcW w:w="1417" w:type="dxa"/>
            <w:vMerge/>
          </w:tcPr>
          <w:p w14:paraId="0673B853" w14:textId="77777777" w:rsidR="00454A29" w:rsidRDefault="00454A29"/>
        </w:tc>
        <w:tc>
          <w:tcPr>
            <w:tcW w:w="2324" w:type="dxa"/>
            <w:vMerge/>
          </w:tcPr>
          <w:p w14:paraId="2072FD21" w14:textId="77777777" w:rsidR="00454A29" w:rsidRDefault="00454A29"/>
        </w:tc>
        <w:tc>
          <w:tcPr>
            <w:tcW w:w="1701" w:type="dxa"/>
            <w:vAlign w:val="center"/>
          </w:tcPr>
          <w:p w14:paraId="76659E92" w14:textId="77777777" w:rsidR="00454A29" w:rsidRDefault="00454A29">
            <w:pPr>
              <w:pStyle w:val="ConsPlusNormal"/>
              <w:jc w:val="center"/>
            </w:pPr>
            <w:r>
              <w:t>256 583,13</w:t>
            </w:r>
          </w:p>
        </w:tc>
        <w:tc>
          <w:tcPr>
            <w:tcW w:w="1814" w:type="dxa"/>
            <w:vAlign w:val="center"/>
          </w:tcPr>
          <w:p w14:paraId="33814119" w14:textId="77777777" w:rsidR="00454A29" w:rsidRDefault="00454A29">
            <w:pPr>
              <w:pStyle w:val="ConsPlusNormal"/>
              <w:jc w:val="center"/>
            </w:pPr>
            <w:r>
              <w:t>256 583,13</w:t>
            </w:r>
          </w:p>
        </w:tc>
        <w:tc>
          <w:tcPr>
            <w:tcW w:w="1701" w:type="dxa"/>
            <w:vAlign w:val="center"/>
          </w:tcPr>
          <w:p w14:paraId="00AB31E1" w14:textId="77777777" w:rsidR="00454A29" w:rsidRDefault="00454A29">
            <w:pPr>
              <w:pStyle w:val="ConsPlusNormal"/>
            </w:pPr>
          </w:p>
        </w:tc>
        <w:tc>
          <w:tcPr>
            <w:tcW w:w="1701" w:type="dxa"/>
            <w:vAlign w:val="center"/>
          </w:tcPr>
          <w:p w14:paraId="42A53764" w14:textId="77777777" w:rsidR="00454A29" w:rsidRDefault="00454A29">
            <w:pPr>
              <w:pStyle w:val="ConsPlusNormal"/>
            </w:pPr>
          </w:p>
        </w:tc>
        <w:tc>
          <w:tcPr>
            <w:tcW w:w="1814" w:type="dxa"/>
            <w:vAlign w:val="center"/>
          </w:tcPr>
          <w:p w14:paraId="574AC913" w14:textId="77777777" w:rsidR="00454A29" w:rsidRDefault="00454A29">
            <w:pPr>
              <w:pStyle w:val="ConsPlusNormal"/>
            </w:pPr>
          </w:p>
        </w:tc>
      </w:tr>
      <w:tr w:rsidR="00454A29" w14:paraId="1DFDF81B" w14:textId="77777777">
        <w:tc>
          <w:tcPr>
            <w:tcW w:w="567" w:type="dxa"/>
            <w:vMerge/>
          </w:tcPr>
          <w:p w14:paraId="7E17A6A7" w14:textId="77777777" w:rsidR="00454A29" w:rsidRDefault="00454A29"/>
        </w:tc>
        <w:tc>
          <w:tcPr>
            <w:tcW w:w="3345" w:type="dxa"/>
            <w:vMerge/>
          </w:tcPr>
          <w:p w14:paraId="6C615CF6" w14:textId="77777777" w:rsidR="00454A29" w:rsidRDefault="00454A29"/>
        </w:tc>
        <w:tc>
          <w:tcPr>
            <w:tcW w:w="1701" w:type="dxa"/>
            <w:vAlign w:val="center"/>
          </w:tcPr>
          <w:p w14:paraId="6E3832CA" w14:textId="77777777" w:rsidR="00454A29" w:rsidRDefault="00454A29">
            <w:pPr>
              <w:pStyle w:val="ConsPlusNormal"/>
              <w:jc w:val="center"/>
            </w:pPr>
            <w:r>
              <w:t>2026</w:t>
            </w:r>
          </w:p>
        </w:tc>
        <w:tc>
          <w:tcPr>
            <w:tcW w:w="1417" w:type="dxa"/>
            <w:vMerge/>
          </w:tcPr>
          <w:p w14:paraId="7D015F19" w14:textId="77777777" w:rsidR="00454A29" w:rsidRDefault="00454A29"/>
        </w:tc>
        <w:tc>
          <w:tcPr>
            <w:tcW w:w="2204" w:type="dxa"/>
            <w:vMerge/>
          </w:tcPr>
          <w:p w14:paraId="38AA3BB1" w14:textId="77777777" w:rsidR="00454A29" w:rsidRDefault="00454A29"/>
        </w:tc>
        <w:tc>
          <w:tcPr>
            <w:tcW w:w="1417" w:type="dxa"/>
            <w:vMerge/>
          </w:tcPr>
          <w:p w14:paraId="75C0C7A5" w14:textId="77777777" w:rsidR="00454A29" w:rsidRDefault="00454A29"/>
        </w:tc>
        <w:tc>
          <w:tcPr>
            <w:tcW w:w="2324" w:type="dxa"/>
            <w:vMerge/>
          </w:tcPr>
          <w:p w14:paraId="7FB7F6AE" w14:textId="77777777" w:rsidR="00454A29" w:rsidRDefault="00454A29"/>
        </w:tc>
        <w:tc>
          <w:tcPr>
            <w:tcW w:w="1701" w:type="dxa"/>
            <w:vAlign w:val="center"/>
          </w:tcPr>
          <w:p w14:paraId="4F7F6739" w14:textId="77777777" w:rsidR="00454A29" w:rsidRDefault="00454A29">
            <w:pPr>
              <w:pStyle w:val="ConsPlusNormal"/>
              <w:jc w:val="center"/>
            </w:pPr>
            <w:r>
              <w:t>-</w:t>
            </w:r>
          </w:p>
        </w:tc>
        <w:tc>
          <w:tcPr>
            <w:tcW w:w="1814" w:type="dxa"/>
            <w:vAlign w:val="center"/>
          </w:tcPr>
          <w:p w14:paraId="65A7D2D7" w14:textId="77777777" w:rsidR="00454A29" w:rsidRDefault="00454A29">
            <w:pPr>
              <w:pStyle w:val="ConsPlusNormal"/>
            </w:pPr>
          </w:p>
        </w:tc>
        <w:tc>
          <w:tcPr>
            <w:tcW w:w="1701" w:type="dxa"/>
            <w:vAlign w:val="center"/>
          </w:tcPr>
          <w:p w14:paraId="725079D7" w14:textId="77777777" w:rsidR="00454A29" w:rsidRDefault="00454A29">
            <w:pPr>
              <w:pStyle w:val="ConsPlusNormal"/>
            </w:pPr>
          </w:p>
        </w:tc>
        <w:tc>
          <w:tcPr>
            <w:tcW w:w="1701" w:type="dxa"/>
            <w:vAlign w:val="center"/>
          </w:tcPr>
          <w:p w14:paraId="145F10FD" w14:textId="77777777" w:rsidR="00454A29" w:rsidRDefault="00454A29">
            <w:pPr>
              <w:pStyle w:val="ConsPlusNormal"/>
            </w:pPr>
          </w:p>
        </w:tc>
        <w:tc>
          <w:tcPr>
            <w:tcW w:w="1814" w:type="dxa"/>
            <w:vAlign w:val="center"/>
          </w:tcPr>
          <w:p w14:paraId="1E1B7255" w14:textId="77777777" w:rsidR="00454A29" w:rsidRDefault="00454A29">
            <w:pPr>
              <w:pStyle w:val="ConsPlusNormal"/>
            </w:pPr>
          </w:p>
        </w:tc>
      </w:tr>
      <w:tr w:rsidR="00454A29" w14:paraId="36A9B11C" w14:textId="77777777">
        <w:tc>
          <w:tcPr>
            <w:tcW w:w="567" w:type="dxa"/>
            <w:vMerge w:val="restart"/>
            <w:vAlign w:val="center"/>
          </w:tcPr>
          <w:p w14:paraId="3323D364" w14:textId="77777777" w:rsidR="00454A29" w:rsidRDefault="00454A29">
            <w:pPr>
              <w:pStyle w:val="ConsPlusNormal"/>
              <w:jc w:val="center"/>
            </w:pPr>
            <w:r>
              <w:lastRenderedPageBreak/>
              <w:t>91</w:t>
            </w:r>
          </w:p>
        </w:tc>
        <w:tc>
          <w:tcPr>
            <w:tcW w:w="3345" w:type="dxa"/>
            <w:vMerge w:val="restart"/>
            <w:vAlign w:val="center"/>
          </w:tcPr>
          <w:p w14:paraId="007163EC" w14:textId="77777777" w:rsidR="00454A29" w:rsidRDefault="00454A29">
            <w:pPr>
              <w:pStyle w:val="ConsPlusNormal"/>
              <w:jc w:val="center"/>
            </w:pPr>
            <w:r>
              <w:t>Проектирование и строительство общежития для студентов ГБПОУ РС(Я) "Якутский финансово-экономический колледж им. И.И. Фадеева" на 500 мест в г. Якутске</w:t>
            </w:r>
          </w:p>
        </w:tc>
        <w:tc>
          <w:tcPr>
            <w:tcW w:w="1701" w:type="dxa"/>
            <w:vAlign w:val="center"/>
          </w:tcPr>
          <w:p w14:paraId="1912F7E1" w14:textId="77777777" w:rsidR="00454A29" w:rsidRDefault="00454A29">
            <w:pPr>
              <w:pStyle w:val="ConsPlusNormal"/>
              <w:jc w:val="center"/>
            </w:pPr>
            <w:r>
              <w:t>Всего:</w:t>
            </w:r>
          </w:p>
        </w:tc>
        <w:tc>
          <w:tcPr>
            <w:tcW w:w="1417" w:type="dxa"/>
            <w:vMerge w:val="restart"/>
            <w:vAlign w:val="center"/>
          </w:tcPr>
          <w:p w14:paraId="07BC2D7D" w14:textId="77777777" w:rsidR="00454A29" w:rsidRDefault="00454A29">
            <w:pPr>
              <w:pStyle w:val="ConsPlusNormal"/>
              <w:jc w:val="center"/>
            </w:pPr>
            <w:r>
              <w:t>408 665</w:t>
            </w:r>
          </w:p>
        </w:tc>
        <w:tc>
          <w:tcPr>
            <w:tcW w:w="2204" w:type="dxa"/>
            <w:vMerge w:val="restart"/>
            <w:vAlign w:val="center"/>
          </w:tcPr>
          <w:p w14:paraId="5929BC9C" w14:textId="77777777" w:rsidR="00454A29" w:rsidRDefault="00454A29">
            <w:pPr>
              <w:pStyle w:val="ConsPlusNormal"/>
              <w:jc w:val="center"/>
            </w:pPr>
            <w:r>
              <w:t>Типовое общежитие СВФУ</w:t>
            </w:r>
          </w:p>
        </w:tc>
        <w:tc>
          <w:tcPr>
            <w:tcW w:w="1417" w:type="dxa"/>
            <w:vMerge w:val="restart"/>
            <w:vAlign w:val="center"/>
          </w:tcPr>
          <w:p w14:paraId="3135849A" w14:textId="77777777" w:rsidR="00454A29" w:rsidRDefault="00454A29">
            <w:pPr>
              <w:pStyle w:val="ConsPlusNormal"/>
              <w:jc w:val="center"/>
            </w:pPr>
            <w:r>
              <w:t>500</w:t>
            </w:r>
          </w:p>
        </w:tc>
        <w:tc>
          <w:tcPr>
            <w:tcW w:w="2324" w:type="dxa"/>
            <w:vMerge w:val="restart"/>
            <w:vAlign w:val="center"/>
          </w:tcPr>
          <w:p w14:paraId="6D2CD48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BE1E494" w14:textId="77777777" w:rsidR="00454A29" w:rsidRDefault="00454A29">
            <w:pPr>
              <w:pStyle w:val="ConsPlusNormal"/>
              <w:jc w:val="center"/>
            </w:pPr>
            <w:r>
              <w:t>393 766,07</w:t>
            </w:r>
          </w:p>
        </w:tc>
        <w:tc>
          <w:tcPr>
            <w:tcW w:w="1814" w:type="dxa"/>
            <w:vAlign w:val="center"/>
          </w:tcPr>
          <w:p w14:paraId="540B021E" w14:textId="77777777" w:rsidR="00454A29" w:rsidRDefault="00454A29">
            <w:pPr>
              <w:pStyle w:val="ConsPlusNormal"/>
              <w:jc w:val="center"/>
            </w:pPr>
            <w:r>
              <w:t>393 766,07</w:t>
            </w:r>
          </w:p>
        </w:tc>
        <w:tc>
          <w:tcPr>
            <w:tcW w:w="1701" w:type="dxa"/>
            <w:vAlign w:val="center"/>
          </w:tcPr>
          <w:p w14:paraId="455D1895" w14:textId="77777777" w:rsidR="00454A29" w:rsidRDefault="00454A29">
            <w:pPr>
              <w:pStyle w:val="ConsPlusNormal"/>
              <w:jc w:val="center"/>
            </w:pPr>
            <w:r>
              <w:t>-</w:t>
            </w:r>
          </w:p>
        </w:tc>
        <w:tc>
          <w:tcPr>
            <w:tcW w:w="1701" w:type="dxa"/>
            <w:vAlign w:val="center"/>
          </w:tcPr>
          <w:p w14:paraId="1F84E43F" w14:textId="77777777" w:rsidR="00454A29" w:rsidRDefault="00454A29">
            <w:pPr>
              <w:pStyle w:val="ConsPlusNormal"/>
              <w:jc w:val="center"/>
            </w:pPr>
            <w:r>
              <w:t>-</w:t>
            </w:r>
          </w:p>
        </w:tc>
        <w:tc>
          <w:tcPr>
            <w:tcW w:w="1814" w:type="dxa"/>
            <w:vAlign w:val="center"/>
          </w:tcPr>
          <w:p w14:paraId="48350FBD" w14:textId="77777777" w:rsidR="00454A29" w:rsidRDefault="00454A29">
            <w:pPr>
              <w:pStyle w:val="ConsPlusNormal"/>
              <w:jc w:val="center"/>
            </w:pPr>
            <w:r>
              <w:t>-</w:t>
            </w:r>
          </w:p>
        </w:tc>
      </w:tr>
      <w:tr w:rsidR="00454A29" w14:paraId="3E744404" w14:textId="77777777">
        <w:tc>
          <w:tcPr>
            <w:tcW w:w="567" w:type="dxa"/>
            <w:vMerge/>
          </w:tcPr>
          <w:p w14:paraId="26FC44C8" w14:textId="77777777" w:rsidR="00454A29" w:rsidRDefault="00454A29"/>
        </w:tc>
        <w:tc>
          <w:tcPr>
            <w:tcW w:w="3345" w:type="dxa"/>
            <w:vMerge/>
          </w:tcPr>
          <w:p w14:paraId="36E77CAE" w14:textId="77777777" w:rsidR="00454A29" w:rsidRDefault="00454A29"/>
        </w:tc>
        <w:tc>
          <w:tcPr>
            <w:tcW w:w="1701" w:type="dxa"/>
            <w:vAlign w:val="center"/>
          </w:tcPr>
          <w:p w14:paraId="69A6F8BF" w14:textId="77777777" w:rsidR="00454A29" w:rsidRDefault="00454A29">
            <w:pPr>
              <w:pStyle w:val="ConsPlusNormal"/>
              <w:jc w:val="center"/>
            </w:pPr>
            <w:r>
              <w:t>2020</w:t>
            </w:r>
          </w:p>
        </w:tc>
        <w:tc>
          <w:tcPr>
            <w:tcW w:w="1417" w:type="dxa"/>
            <w:vMerge/>
          </w:tcPr>
          <w:p w14:paraId="45A1B9E9" w14:textId="77777777" w:rsidR="00454A29" w:rsidRDefault="00454A29"/>
        </w:tc>
        <w:tc>
          <w:tcPr>
            <w:tcW w:w="2204" w:type="dxa"/>
            <w:vMerge/>
          </w:tcPr>
          <w:p w14:paraId="68660984" w14:textId="77777777" w:rsidR="00454A29" w:rsidRDefault="00454A29"/>
        </w:tc>
        <w:tc>
          <w:tcPr>
            <w:tcW w:w="1417" w:type="dxa"/>
            <w:vMerge/>
          </w:tcPr>
          <w:p w14:paraId="2D88000B" w14:textId="77777777" w:rsidR="00454A29" w:rsidRDefault="00454A29"/>
        </w:tc>
        <w:tc>
          <w:tcPr>
            <w:tcW w:w="2324" w:type="dxa"/>
            <w:vMerge/>
          </w:tcPr>
          <w:p w14:paraId="55767FD6" w14:textId="77777777" w:rsidR="00454A29" w:rsidRDefault="00454A29"/>
        </w:tc>
        <w:tc>
          <w:tcPr>
            <w:tcW w:w="1701" w:type="dxa"/>
            <w:vAlign w:val="center"/>
          </w:tcPr>
          <w:p w14:paraId="3E13066A" w14:textId="77777777" w:rsidR="00454A29" w:rsidRDefault="00454A29">
            <w:pPr>
              <w:pStyle w:val="ConsPlusNormal"/>
              <w:jc w:val="center"/>
            </w:pPr>
            <w:r>
              <w:t>-</w:t>
            </w:r>
          </w:p>
        </w:tc>
        <w:tc>
          <w:tcPr>
            <w:tcW w:w="1814" w:type="dxa"/>
            <w:vAlign w:val="center"/>
          </w:tcPr>
          <w:p w14:paraId="7AE9E9E5" w14:textId="77777777" w:rsidR="00454A29" w:rsidRDefault="00454A29">
            <w:pPr>
              <w:pStyle w:val="ConsPlusNormal"/>
            </w:pPr>
          </w:p>
        </w:tc>
        <w:tc>
          <w:tcPr>
            <w:tcW w:w="1701" w:type="dxa"/>
            <w:vAlign w:val="center"/>
          </w:tcPr>
          <w:p w14:paraId="7ABEEAC7" w14:textId="77777777" w:rsidR="00454A29" w:rsidRDefault="00454A29">
            <w:pPr>
              <w:pStyle w:val="ConsPlusNormal"/>
            </w:pPr>
          </w:p>
        </w:tc>
        <w:tc>
          <w:tcPr>
            <w:tcW w:w="1701" w:type="dxa"/>
            <w:vAlign w:val="center"/>
          </w:tcPr>
          <w:p w14:paraId="0941C66A" w14:textId="77777777" w:rsidR="00454A29" w:rsidRDefault="00454A29">
            <w:pPr>
              <w:pStyle w:val="ConsPlusNormal"/>
            </w:pPr>
          </w:p>
        </w:tc>
        <w:tc>
          <w:tcPr>
            <w:tcW w:w="1814" w:type="dxa"/>
            <w:vAlign w:val="center"/>
          </w:tcPr>
          <w:p w14:paraId="3B657633" w14:textId="77777777" w:rsidR="00454A29" w:rsidRDefault="00454A29">
            <w:pPr>
              <w:pStyle w:val="ConsPlusNormal"/>
            </w:pPr>
          </w:p>
        </w:tc>
      </w:tr>
      <w:tr w:rsidR="00454A29" w14:paraId="3363E5C9" w14:textId="77777777">
        <w:tc>
          <w:tcPr>
            <w:tcW w:w="567" w:type="dxa"/>
            <w:vMerge/>
          </w:tcPr>
          <w:p w14:paraId="0D621DDB" w14:textId="77777777" w:rsidR="00454A29" w:rsidRDefault="00454A29"/>
        </w:tc>
        <w:tc>
          <w:tcPr>
            <w:tcW w:w="3345" w:type="dxa"/>
            <w:vMerge/>
          </w:tcPr>
          <w:p w14:paraId="08200A37" w14:textId="77777777" w:rsidR="00454A29" w:rsidRDefault="00454A29"/>
        </w:tc>
        <w:tc>
          <w:tcPr>
            <w:tcW w:w="1701" w:type="dxa"/>
            <w:vAlign w:val="center"/>
          </w:tcPr>
          <w:p w14:paraId="5034A789" w14:textId="77777777" w:rsidR="00454A29" w:rsidRDefault="00454A29">
            <w:pPr>
              <w:pStyle w:val="ConsPlusNormal"/>
              <w:jc w:val="center"/>
            </w:pPr>
            <w:r>
              <w:t>2021</w:t>
            </w:r>
          </w:p>
        </w:tc>
        <w:tc>
          <w:tcPr>
            <w:tcW w:w="1417" w:type="dxa"/>
            <w:vMerge/>
          </w:tcPr>
          <w:p w14:paraId="0F0C1E85" w14:textId="77777777" w:rsidR="00454A29" w:rsidRDefault="00454A29"/>
        </w:tc>
        <w:tc>
          <w:tcPr>
            <w:tcW w:w="2204" w:type="dxa"/>
            <w:vMerge/>
          </w:tcPr>
          <w:p w14:paraId="5EFB8F6F" w14:textId="77777777" w:rsidR="00454A29" w:rsidRDefault="00454A29"/>
        </w:tc>
        <w:tc>
          <w:tcPr>
            <w:tcW w:w="1417" w:type="dxa"/>
            <w:vMerge/>
          </w:tcPr>
          <w:p w14:paraId="73BA7B39" w14:textId="77777777" w:rsidR="00454A29" w:rsidRDefault="00454A29"/>
        </w:tc>
        <w:tc>
          <w:tcPr>
            <w:tcW w:w="2324" w:type="dxa"/>
            <w:vMerge/>
          </w:tcPr>
          <w:p w14:paraId="54163B1B" w14:textId="77777777" w:rsidR="00454A29" w:rsidRDefault="00454A29"/>
        </w:tc>
        <w:tc>
          <w:tcPr>
            <w:tcW w:w="1701" w:type="dxa"/>
            <w:vAlign w:val="center"/>
          </w:tcPr>
          <w:p w14:paraId="73E66F52" w14:textId="77777777" w:rsidR="00454A29" w:rsidRDefault="00454A29">
            <w:pPr>
              <w:pStyle w:val="ConsPlusNormal"/>
              <w:jc w:val="center"/>
            </w:pPr>
            <w:r>
              <w:t>-</w:t>
            </w:r>
          </w:p>
        </w:tc>
        <w:tc>
          <w:tcPr>
            <w:tcW w:w="1814" w:type="dxa"/>
            <w:vAlign w:val="center"/>
          </w:tcPr>
          <w:p w14:paraId="6A4987EF" w14:textId="77777777" w:rsidR="00454A29" w:rsidRDefault="00454A29">
            <w:pPr>
              <w:pStyle w:val="ConsPlusNormal"/>
            </w:pPr>
          </w:p>
        </w:tc>
        <w:tc>
          <w:tcPr>
            <w:tcW w:w="1701" w:type="dxa"/>
            <w:vAlign w:val="center"/>
          </w:tcPr>
          <w:p w14:paraId="21F0D270" w14:textId="77777777" w:rsidR="00454A29" w:rsidRDefault="00454A29">
            <w:pPr>
              <w:pStyle w:val="ConsPlusNormal"/>
            </w:pPr>
          </w:p>
        </w:tc>
        <w:tc>
          <w:tcPr>
            <w:tcW w:w="1701" w:type="dxa"/>
            <w:vAlign w:val="center"/>
          </w:tcPr>
          <w:p w14:paraId="2EC5DAC5" w14:textId="77777777" w:rsidR="00454A29" w:rsidRDefault="00454A29">
            <w:pPr>
              <w:pStyle w:val="ConsPlusNormal"/>
            </w:pPr>
          </w:p>
        </w:tc>
        <w:tc>
          <w:tcPr>
            <w:tcW w:w="1814" w:type="dxa"/>
            <w:vAlign w:val="center"/>
          </w:tcPr>
          <w:p w14:paraId="7766875D" w14:textId="77777777" w:rsidR="00454A29" w:rsidRDefault="00454A29">
            <w:pPr>
              <w:pStyle w:val="ConsPlusNormal"/>
            </w:pPr>
          </w:p>
        </w:tc>
      </w:tr>
      <w:tr w:rsidR="00454A29" w14:paraId="6305ECDD" w14:textId="77777777">
        <w:tc>
          <w:tcPr>
            <w:tcW w:w="567" w:type="dxa"/>
            <w:vMerge/>
          </w:tcPr>
          <w:p w14:paraId="1A73122F" w14:textId="77777777" w:rsidR="00454A29" w:rsidRDefault="00454A29"/>
        </w:tc>
        <w:tc>
          <w:tcPr>
            <w:tcW w:w="3345" w:type="dxa"/>
            <w:vMerge/>
          </w:tcPr>
          <w:p w14:paraId="4B8D5776" w14:textId="77777777" w:rsidR="00454A29" w:rsidRDefault="00454A29"/>
        </w:tc>
        <w:tc>
          <w:tcPr>
            <w:tcW w:w="1701" w:type="dxa"/>
            <w:vAlign w:val="center"/>
          </w:tcPr>
          <w:p w14:paraId="0861212A" w14:textId="77777777" w:rsidR="00454A29" w:rsidRDefault="00454A29">
            <w:pPr>
              <w:pStyle w:val="ConsPlusNormal"/>
              <w:jc w:val="center"/>
            </w:pPr>
            <w:r>
              <w:t>2022</w:t>
            </w:r>
          </w:p>
        </w:tc>
        <w:tc>
          <w:tcPr>
            <w:tcW w:w="1417" w:type="dxa"/>
            <w:vMerge/>
          </w:tcPr>
          <w:p w14:paraId="1141ECD3" w14:textId="77777777" w:rsidR="00454A29" w:rsidRDefault="00454A29"/>
        </w:tc>
        <w:tc>
          <w:tcPr>
            <w:tcW w:w="2204" w:type="dxa"/>
            <w:vMerge/>
          </w:tcPr>
          <w:p w14:paraId="292726B5" w14:textId="77777777" w:rsidR="00454A29" w:rsidRDefault="00454A29"/>
        </w:tc>
        <w:tc>
          <w:tcPr>
            <w:tcW w:w="1417" w:type="dxa"/>
            <w:vMerge/>
          </w:tcPr>
          <w:p w14:paraId="5E04AF3D" w14:textId="77777777" w:rsidR="00454A29" w:rsidRDefault="00454A29"/>
        </w:tc>
        <w:tc>
          <w:tcPr>
            <w:tcW w:w="2324" w:type="dxa"/>
            <w:vMerge/>
          </w:tcPr>
          <w:p w14:paraId="74C3ADEB" w14:textId="77777777" w:rsidR="00454A29" w:rsidRDefault="00454A29"/>
        </w:tc>
        <w:tc>
          <w:tcPr>
            <w:tcW w:w="1701" w:type="dxa"/>
            <w:vAlign w:val="center"/>
          </w:tcPr>
          <w:p w14:paraId="11F40CC1" w14:textId="77777777" w:rsidR="00454A29" w:rsidRDefault="00454A29">
            <w:pPr>
              <w:pStyle w:val="ConsPlusNormal"/>
            </w:pPr>
          </w:p>
        </w:tc>
        <w:tc>
          <w:tcPr>
            <w:tcW w:w="1814" w:type="dxa"/>
            <w:vAlign w:val="center"/>
          </w:tcPr>
          <w:p w14:paraId="5A9A0FAB" w14:textId="77777777" w:rsidR="00454A29" w:rsidRDefault="00454A29">
            <w:pPr>
              <w:pStyle w:val="ConsPlusNormal"/>
            </w:pPr>
          </w:p>
        </w:tc>
        <w:tc>
          <w:tcPr>
            <w:tcW w:w="1701" w:type="dxa"/>
            <w:vAlign w:val="center"/>
          </w:tcPr>
          <w:p w14:paraId="6357FEDE" w14:textId="77777777" w:rsidR="00454A29" w:rsidRDefault="00454A29">
            <w:pPr>
              <w:pStyle w:val="ConsPlusNormal"/>
            </w:pPr>
          </w:p>
        </w:tc>
        <w:tc>
          <w:tcPr>
            <w:tcW w:w="1701" w:type="dxa"/>
            <w:vAlign w:val="center"/>
          </w:tcPr>
          <w:p w14:paraId="41D96C21" w14:textId="77777777" w:rsidR="00454A29" w:rsidRDefault="00454A29">
            <w:pPr>
              <w:pStyle w:val="ConsPlusNormal"/>
            </w:pPr>
          </w:p>
        </w:tc>
        <w:tc>
          <w:tcPr>
            <w:tcW w:w="1814" w:type="dxa"/>
            <w:vAlign w:val="center"/>
          </w:tcPr>
          <w:p w14:paraId="4D1613E4" w14:textId="77777777" w:rsidR="00454A29" w:rsidRDefault="00454A29">
            <w:pPr>
              <w:pStyle w:val="ConsPlusNormal"/>
            </w:pPr>
          </w:p>
        </w:tc>
      </w:tr>
      <w:tr w:rsidR="00454A29" w14:paraId="7D89552E" w14:textId="77777777">
        <w:tc>
          <w:tcPr>
            <w:tcW w:w="567" w:type="dxa"/>
            <w:vMerge/>
          </w:tcPr>
          <w:p w14:paraId="755CCEB9" w14:textId="77777777" w:rsidR="00454A29" w:rsidRDefault="00454A29"/>
        </w:tc>
        <w:tc>
          <w:tcPr>
            <w:tcW w:w="3345" w:type="dxa"/>
            <w:vMerge/>
          </w:tcPr>
          <w:p w14:paraId="04737364" w14:textId="77777777" w:rsidR="00454A29" w:rsidRDefault="00454A29"/>
        </w:tc>
        <w:tc>
          <w:tcPr>
            <w:tcW w:w="1701" w:type="dxa"/>
            <w:vAlign w:val="center"/>
          </w:tcPr>
          <w:p w14:paraId="5C1E7142" w14:textId="77777777" w:rsidR="00454A29" w:rsidRDefault="00454A29">
            <w:pPr>
              <w:pStyle w:val="ConsPlusNormal"/>
              <w:jc w:val="center"/>
            </w:pPr>
            <w:r>
              <w:t>2023</w:t>
            </w:r>
          </w:p>
        </w:tc>
        <w:tc>
          <w:tcPr>
            <w:tcW w:w="1417" w:type="dxa"/>
            <w:vMerge/>
          </w:tcPr>
          <w:p w14:paraId="16EBD815" w14:textId="77777777" w:rsidR="00454A29" w:rsidRDefault="00454A29"/>
        </w:tc>
        <w:tc>
          <w:tcPr>
            <w:tcW w:w="2204" w:type="dxa"/>
            <w:vMerge/>
          </w:tcPr>
          <w:p w14:paraId="70CD4EB4" w14:textId="77777777" w:rsidR="00454A29" w:rsidRDefault="00454A29"/>
        </w:tc>
        <w:tc>
          <w:tcPr>
            <w:tcW w:w="1417" w:type="dxa"/>
            <w:vMerge/>
          </w:tcPr>
          <w:p w14:paraId="0F514E9F" w14:textId="77777777" w:rsidR="00454A29" w:rsidRDefault="00454A29"/>
        </w:tc>
        <w:tc>
          <w:tcPr>
            <w:tcW w:w="2324" w:type="dxa"/>
            <w:vMerge/>
          </w:tcPr>
          <w:p w14:paraId="3D41EDB9" w14:textId="77777777" w:rsidR="00454A29" w:rsidRDefault="00454A29"/>
        </w:tc>
        <w:tc>
          <w:tcPr>
            <w:tcW w:w="1701" w:type="dxa"/>
            <w:vAlign w:val="center"/>
          </w:tcPr>
          <w:p w14:paraId="2549A262" w14:textId="77777777" w:rsidR="00454A29" w:rsidRDefault="00454A29">
            <w:pPr>
              <w:pStyle w:val="ConsPlusNormal"/>
              <w:jc w:val="center"/>
            </w:pPr>
            <w:r>
              <w:t>1 488,00</w:t>
            </w:r>
          </w:p>
        </w:tc>
        <w:tc>
          <w:tcPr>
            <w:tcW w:w="1814" w:type="dxa"/>
            <w:vAlign w:val="center"/>
          </w:tcPr>
          <w:p w14:paraId="14E74AB8" w14:textId="77777777" w:rsidR="00454A29" w:rsidRDefault="00454A29">
            <w:pPr>
              <w:pStyle w:val="ConsPlusNormal"/>
              <w:jc w:val="center"/>
            </w:pPr>
            <w:r>
              <w:t>1 488,00</w:t>
            </w:r>
          </w:p>
        </w:tc>
        <w:tc>
          <w:tcPr>
            <w:tcW w:w="1701" w:type="dxa"/>
            <w:vAlign w:val="center"/>
          </w:tcPr>
          <w:p w14:paraId="082A2267" w14:textId="77777777" w:rsidR="00454A29" w:rsidRDefault="00454A29">
            <w:pPr>
              <w:pStyle w:val="ConsPlusNormal"/>
            </w:pPr>
          </w:p>
        </w:tc>
        <w:tc>
          <w:tcPr>
            <w:tcW w:w="1701" w:type="dxa"/>
            <w:vAlign w:val="center"/>
          </w:tcPr>
          <w:p w14:paraId="53768DAD" w14:textId="77777777" w:rsidR="00454A29" w:rsidRDefault="00454A29">
            <w:pPr>
              <w:pStyle w:val="ConsPlusNormal"/>
            </w:pPr>
          </w:p>
        </w:tc>
        <w:tc>
          <w:tcPr>
            <w:tcW w:w="1814" w:type="dxa"/>
            <w:vAlign w:val="center"/>
          </w:tcPr>
          <w:p w14:paraId="062611E6" w14:textId="77777777" w:rsidR="00454A29" w:rsidRDefault="00454A29">
            <w:pPr>
              <w:pStyle w:val="ConsPlusNormal"/>
            </w:pPr>
          </w:p>
        </w:tc>
      </w:tr>
      <w:tr w:rsidR="00454A29" w14:paraId="1AD26877" w14:textId="77777777">
        <w:tc>
          <w:tcPr>
            <w:tcW w:w="567" w:type="dxa"/>
            <w:vMerge/>
          </w:tcPr>
          <w:p w14:paraId="1895C17F" w14:textId="77777777" w:rsidR="00454A29" w:rsidRDefault="00454A29"/>
        </w:tc>
        <w:tc>
          <w:tcPr>
            <w:tcW w:w="3345" w:type="dxa"/>
            <w:vMerge/>
          </w:tcPr>
          <w:p w14:paraId="442CDB4F" w14:textId="77777777" w:rsidR="00454A29" w:rsidRDefault="00454A29"/>
        </w:tc>
        <w:tc>
          <w:tcPr>
            <w:tcW w:w="1701" w:type="dxa"/>
            <w:vAlign w:val="center"/>
          </w:tcPr>
          <w:p w14:paraId="07E64C0E" w14:textId="77777777" w:rsidR="00454A29" w:rsidRDefault="00454A29">
            <w:pPr>
              <w:pStyle w:val="ConsPlusNormal"/>
              <w:jc w:val="center"/>
            </w:pPr>
            <w:r>
              <w:t>2024</w:t>
            </w:r>
          </w:p>
        </w:tc>
        <w:tc>
          <w:tcPr>
            <w:tcW w:w="1417" w:type="dxa"/>
            <w:vMerge/>
          </w:tcPr>
          <w:p w14:paraId="29006D35" w14:textId="77777777" w:rsidR="00454A29" w:rsidRDefault="00454A29"/>
        </w:tc>
        <w:tc>
          <w:tcPr>
            <w:tcW w:w="2204" w:type="dxa"/>
            <w:vMerge/>
          </w:tcPr>
          <w:p w14:paraId="106A65F8" w14:textId="77777777" w:rsidR="00454A29" w:rsidRDefault="00454A29"/>
        </w:tc>
        <w:tc>
          <w:tcPr>
            <w:tcW w:w="1417" w:type="dxa"/>
            <w:vMerge/>
          </w:tcPr>
          <w:p w14:paraId="5CD69B28" w14:textId="77777777" w:rsidR="00454A29" w:rsidRDefault="00454A29"/>
        </w:tc>
        <w:tc>
          <w:tcPr>
            <w:tcW w:w="2324" w:type="dxa"/>
            <w:vMerge/>
          </w:tcPr>
          <w:p w14:paraId="300B32FC" w14:textId="77777777" w:rsidR="00454A29" w:rsidRDefault="00454A29"/>
        </w:tc>
        <w:tc>
          <w:tcPr>
            <w:tcW w:w="1701" w:type="dxa"/>
            <w:vAlign w:val="center"/>
          </w:tcPr>
          <w:p w14:paraId="38AFC524" w14:textId="77777777" w:rsidR="00454A29" w:rsidRDefault="00454A29">
            <w:pPr>
              <w:pStyle w:val="ConsPlusNormal"/>
              <w:jc w:val="center"/>
            </w:pPr>
            <w:r>
              <w:t>135 694,95</w:t>
            </w:r>
          </w:p>
        </w:tc>
        <w:tc>
          <w:tcPr>
            <w:tcW w:w="1814" w:type="dxa"/>
            <w:vAlign w:val="center"/>
          </w:tcPr>
          <w:p w14:paraId="4A2AB684" w14:textId="77777777" w:rsidR="00454A29" w:rsidRDefault="00454A29">
            <w:pPr>
              <w:pStyle w:val="ConsPlusNormal"/>
              <w:jc w:val="center"/>
            </w:pPr>
            <w:r>
              <w:t>135 694,95</w:t>
            </w:r>
          </w:p>
        </w:tc>
        <w:tc>
          <w:tcPr>
            <w:tcW w:w="1701" w:type="dxa"/>
            <w:vAlign w:val="center"/>
          </w:tcPr>
          <w:p w14:paraId="63A8C7E2" w14:textId="77777777" w:rsidR="00454A29" w:rsidRDefault="00454A29">
            <w:pPr>
              <w:pStyle w:val="ConsPlusNormal"/>
            </w:pPr>
          </w:p>
        </w:tc>
        <w:tc>
          <w:tcPr>
            <w:tcW w:w="1701" w:type="dxa"/>
            <w:vAlign w:val="center"/>
          </w:tcPr>
          <w:p w14:paraId="5D091273" w14:textId="77777777" w:rsidR="00454A29" w:rsidRDefault="00454A29">
            <w:pPr>
              <w:pStyle w:val="ConsPlusNormal"/>
            </w:pPr>
          </w:p>
        </w:tc>
        <w:tc>
          <w:tcPr>
            <w:tcW w:w="1814" w:type="dxa"/>
            <w:vAlign w:val="center"/>
          </w:tcPr>
          <w:p w14:paraId="4015AE74" w14:textId="77777777" w:rsidR="00454A29" w:rsidRDefault="00454A29">
            <w:pPr>
              <w:pStyle w:val="ConsPlusNormal"/>
            </w:pPr>
          </w:p>
        </w:tc>
      </w:tr>
      <w:tr w:rsidR="00454A29" w14:paraId="09AD8B17" w14:textId="77777777">
        <w:tc>
          <w:tcPr>
            <w:tcW w:w="567" w:type="dxa"/>
            <w:vMerge/>
          </w:tcPr>
          <w:p w14:paraId="14FE6C48" w14:textId="77777777" w:rsidR="00454A29" w:rsidRDefault="00454A29"/>
        </w:tc>
        <w:tc>
          <w:tcPr>
            <w:tcW w:w="3345" w:type="dxa"/>
            <w:vMerge/>
          </w:tcPr>
          <w:p w14:paraId="7F8CD1D5" w14:textId="77777777" w:rsidR="00454A29" w:rsidRDefault="00454A29"/>
        </w:tc>
        <w:tc>
          <w:tcPr>
            <w:tcW w:w="1701" w:type="dxa"/>
            <w:vAlign w:val="center"/>
          </w:tcPr>
          <w:p w14:paraId="585AC3C0" w14:textId="77777777" w:rsidR="00454A29" w:rsidRDefault="00454A29">
            <w:pPr>
              <w:pStyle w:val="ConsPlusNormal"/>
              <w:jc w:val="center"/>
            </w:pPr>
            <w:r>
              <w:t>2025</w:t>
            </w:r>
          </w:p>
        </w:tc>
        <w:tc>
          <w:tcPr>
            <w:tcW w:w="1417" w:type="dxa"/>
            <w:vMerge/>
          </w:tcPr>
          <w:p w14:paraId="2D1481D4" w14:textId="77777777" w:rsidR="00454A29" w:rsidRDefault="00454A29"/>
        </w:tc>
        <w:tc>
          <w:tcPr>
            <w:tcW w:w="2204" w:type="dxa"/>
            <w:vMerge/>
          </w:tcPr>
          <w:p w14:paraId="06C57D22" w14:textId="77777777" w:rsidR="00454A29" w:rsidRDefault="00454A29"/>
        </w:tc>
        <w:tc>
          <w:tcPr>
            <w:tcW w:w="1417" w:type="dxa"/>
            <w:vMerge/>
          </w:tcPr>
          <w:p w14:paraId="615E3008" w14:textId="77777777" w:rsidR="00454A29" w:rsidRDefault="00454A29"/>
        </w:tc>
        <w:tc>
          <w:tcPr>
            <w:tcW w:w="2324" w:type="dxa"/>
            <w:vMerge/>
          </w:tcPr>
          <w:p w14:paraId="756582F6" w14:textId="77777777" w:rsidR="00454A29" w:rsidRDefault="00454A29"/>
        </w:tc>
        <w:tc>
          <w:tcPr>
            <w:tcW w:w="1701" w:type="dxa"/>
            <w:vAlign w:val="center"/>
          </w:tcPr>
          <w:p w14:paraId="525E1253" w14:textId="77777777" w:rsidR="00454A29" w:rsidRDefault="00454A29">
            <w:pPr>
              <w:pStyle w:val="ConsPlusNormal"/>
              <w:jc w:val="center"/>
            </w:pPr>
            <w:r>
              <w:t>256 583,13</w:t>
            </w:r>
          </w:p>
        </w:tc>
        <w:tc>
          <w:tcPr>
            <w:tcW w:w="1814" w:type="dxa"/>
            <w:vAlign w:val="center"/>
          </w:tcPr>
          <w:p w14:paraId="7DF1D6D6" w14:textId="77777777" w:rsidR="00454A29" w:rsidRDefault="00454A29">
            <w:pPr>
              <w:pStyle w:val="ConsPlusNormal"/>
              <w:jc w:val="center"/>
            </w:pPr>
            <w:r>
              <w:t>256 583,13</w:t>
            </w:r>
          </w:p>
        </w:tc>
        <w:tc>
          <w:tcPr>
            <w:tcW w:w="1701" w:type="dxa"/>
            <w:vAlign w:val="center"/>
          </w:tcPr>
          <w:p w14:paraId="41CBC408" w14:textId="77777777" w:rsidR="00454A29" w:rsidRDefault="00454A29">
            <w:pPr>
              <w:pStyle w:val="ConsPlusNormal"/>
            </w:pPr>
          </w:p>
        </w:tc>
        <w:tc>
          <w:tcPr>
            <w:tcW w:w="1701" w:type="dxa"/>
            <w:vAlign w:val="center"/>
          </w:tcPr>
          <w:p w14:paraId="412C3D26" w14:textId="77777777" w:rsidR="00454A29" w:rsidRDefault="00454A29">
            <w:pPr>
              <w:pStyle w:val="ConsPlusNormal"/>
            </w:pPr>
          </w:p>
        </w:tc>
        <w:tc>
          <w:tcPr>
            <w:tcW w:w="1814" w:type="dxa"/>
            <w:vAlign w:val="center"/>
          </w:tcPr>
          <w:p w14:paraId="5932B744" w14:textId="77777777" w:rsidR="00454A29" w:rsidRDefault="00454A29">
            <w:pPr>
              <w:pStyle w:val="ConsPlusNormal"/>
            </w:pPr>
          </w:p>
        </w:tc>
      </w:tr>
      <w:tr w:rsidR="00454A29" w14:paraId="763878D2" w14:textId="77777777">
        <w:tc>
          <w:tcPr>
            <w:tcW w:w="567" w:type="dxa"/>
            <w:vMerge/>
          </w:tcPr>
          <w:p w14:paraId="61BDAD99" w14:textId="77777777" w:rsidR="00454A29" w:rsidRDefault="00454A29"/>
        </w:tc>
        <w:tc>
          <w:tcPr>
            <w:tcW w:w="3345" w:type="dxa"/>
            <w:vMerge/>
          </w:tcPr>
          <w:p w14:paraId="44B9A1EB" w14:textId="77777777" w:rsidR="00454A29" w:rsidRDefault="00454A29"/>
        </w:tc>
        <w:tc>
          <w:tcPr>
            <w:tcW w:w="1701" w:type="dxa"/>
            <w:vAlign w:val="center"/>
          </w:tcPr>
          <w:p w14:paraId="20859E52" w14:textId="77777777" w:rsidR="00454A29" w:rsidRDefault="00454A29">
            <w:pPr>
              <w:pStyle w:val="ConsPlusNormal"/>
              <w:jc w:val="center"/>
            </w:pPr>
            <w:r>
              <w:t>2026</w:t>
            </w:r>
          </w:p>
        </w:tc>
        <w:tc>
          <w:tcPr>
            <w:tcW w:w="1417" w:type="dxa"/>
            <w:vMerge/>
          </w:tcPr>
          <w:p w14:paraId="4117837C" w14:textId="77777777" w:rsidR="00454A29" w:rsidRDefault="00454A29"/>
        </w:tc>
        <w:tc>
          <w:tcPr>
            <w:tcW w:w="2204" w:type="dxa"/>
            <w:vMerge/>
          </w:tcPr>
          <w:p w14:paraId="3E1C01C4" w14:textId="77777777" w:rsidR="00454A29" w:rsidRDefault="00454A29"/>
        </w:tc>
        <w:tc>
          <w:tcPr>
            <w:tcW w:w="1417" w:type="dxa"/>
            <w:vMerge/>
          </w:tcPr>
          <w:p w14:paraId="537C8E40" w14:textId="77777777" w:rsidR="00454A29" w:rsidRDefault="00454A29"/>
        </w:tc>
        <w:tc>
          <w:tcPr>
            <w:tcW w:w="2324" w:type="dxa"/>
            <w:vMerge/>
          </w:tcPr>
          <w:p w14:paraId="6C6A031E" w14:textId="77777777" w:rsidR="00454A29" w:rsidRDefault="00454A29"/>
        </w:tc>
        <w:tc>
          <w:tcPr>
            <w:tcW w:w="1701" w:type="dxa"/>
            <w:vAlign w:val="center"/>
          </w:tcPr>
          <w:p w14:paraId="3A0675E2" w14:textId="77777777" w:rsidR="00454A29" w:rsidRDefault="00454A29">
            <w:pPr>
              <w:pStyle w:val="ConsPlusNormal"/>
              <w:jc w:val="center"/>
            </w:pPr>
            <w:r>
              <w:t>-</w:t>
            </w:r>
          </w:p>
        </w:tc>
        <w:tc>
          <w:tcPr>
            <w:tcW w:w="1814" w:type="dxa"/>
            <w:vAlign w:val="center"/>
          </w:tcPr>
          <w:p w14:paraId="24E52CCE" w14:textId="77777777" w:rsidR="00454A29" w:rsidRDefault="00454A29">
            <w:pPr>
              <w:pStyle w:val="ConsPlusNormal"/>
            </w:pPr>
          </w:p>
        </w:tc>
        <w:tc>
          <w:tcPr>
            <w:tcW w:w="1701" w:type="dxa"/>
            <w:vAlign w:val="center"/>
          </w:tcPr>
          <w:p w14:paraId="06F49C2D" w14:textId="77777777" w:rsidR="00454A29" w:rsidRDefault="00454A29">
            <w:pPr>
              <w:pStyle w:val="ConsPlusNormal"/>
            </w:pPr>
          </w:p>
        </w:tc>
        <w:tc>
          <w:tcPr>
            <w:tcW w:w="1701" w:type="dxa"/>
            <w:vAlign w:val="center"/>
          </w:tcPr>
          <w:p w14:paraId="71182CCE" w14:textId="77777777" w:rsidR="00454A29" w:rsidRDefault="00454A29">
            <w:pPr>
              <w:pStyle w:val="ConsPlusNormal"/>
            </w:pPr>
          </w:p>
        </w:tc>
        <w:tc>
          <w:tcPr>
            <w:tcW w:w="1814" w:type="dxa"/>
            <w:vAlign w:val="center"/>
          </w:tcPr>
          <w:p w14:paraId="477BDF75" w14:textId="77777777" w:rsidR="00454A29" w:rsidRDefault="00454A29">
            <w:pPr>
              <w:pStyle w:val="ConsPlusNormal"/>
            </w:pPr>
          </w:p>
        </w:tc>
      </w:tr>
      <w:tr w:rsidR="00454A29" w14:paraId="641B627F" w14:textId="77777777">
        <w:tc>
          <w:tcPr>
            <w:tcW w:w="567" w:type="dxa"/>
            <w:vMerge w:val="restart"/>
            <w:vAlign w:val="center"/>
          </w:tcPr>
          <w:p w14:paraId="6F801103" w14:textId="77777777" w:rsidR="00454A29" w:rsidRDefault="00454A29">
            <w:pPr>
              <w:pStyle w:val="ConsPlusNormal"/>
              <w:jc w:val="center"/>
            </w:pPr>
            <w:r>
              <w:t>92</w:t>
            </w:r>
          </w:p>
        </w:tc>
        <w:tc>
          <w:tcPr>
            <w:tcW w:w="3345" w:type="dxa"/>
            <w:vMerge w:val="restart"/>
            <w:vAlign w:val="center"/>
          </w:tcPr>
          <w:p w14:paraId="1F19A2B1" w14:textId="77777777" w:rsidR="00454A29" w:rsidRDefault="00454A29">
            <w:pPr>
              <w:pStyle w:val="ConsPlusNormal"/>
              <w:jc w:val="center"/>
            </w:pPr>
            <w:r>
              <w:t>Строительство учебного полигона Транспортного техникума в п. Нижний Бестях Мегино-Кангаласского улуса</w:t>
            </w:r>
          </w:p>
        </w:tc>
        <w:tc>
          <w:tcPr>
            <w:tcW w:w="1701" w:type="dxa"/>
            <w:vAlign w:val="center"/>
          </w:tcPr>
          <w:p w14:paraId="35832ADB" w14:textId="77777777" w:rsidR="00454A29" w:rsidRDefault="00454A29">
            <w:pPr>
              <w:pStyle w:val="ConsPlusNormal"/>
              <w:jc w:val="center"/>
            </w:pPr>
            <w:r>
              <w:t>Всего:</w:t>
            </w:r>
          </w:p>
        </w:tc>
        <w:tc>
          <w:tcPr>
            <w:tcW w:w="1417" w:type="dxa"/>
            <w:vMerge w:val="restart"/>
            <w:vAlign w:val="center"/>
          </w:tcPr>
          <w:p w14:paraId="040FE323" w14:textId="77777777" w:rsidR="00454A29" w:rsidRDefault="00454A29">
            <w:pPr>
              <w:pStyle w:val="ConsPlusNormal"/>
              <w:jc w:val="center"/>
            </w:pPr>
            <w:r>
              <w:t>59 157,00</w:t>
            </w:r>
          </w:p>
        </w:tc>
        <w:tc>
          <w:tcPr>
            <w:tcW w:w="2204" w:type="dxa"/>
            <w:vMerge w:val="restart"/>
            <w:vAlign w:val="center"/>
          </w:tcPr>
          <w:p w14:paraId="70896571" w14:textId="77777777" w:rsidR="00454A29" w:rsidRDefault="00454A29">
            <w:pPr>
              <w:pStyle w:val="ConsPlusNormal"/>
            </w:pPr>
          </w:p>
        </w:tc>
        <w:tc>
          <w:tcPr>
            <w:tcW w:w="1417" w:type="dxa"/>
            <w:vMerge w:val="restart"/>
            <w:vAlign w:val="center"/>
          </w:tcPr>
          <w:p w14:paraId="620594F0" w14:textId="77777777" w:rsidR="00454A29" w:rsidRDefault="00454A29">
            <w:pPr>
              <w:pStyle w:val="ConsPlusNormal"/>
            </w:pPr>
          </w:p>
        </w:tc>
        <w:tc>
          <w:tcPr>
            <w:tcW w:w="2324" w:type="dxa"/>
            <w:vMerge w:val="restart"/>
            <w:vAlign w:val="center"/>
          </w:tcPr>
          <w:p w14:paraId="0B2FA2D1"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D85E76B" w14:textId="77777777" w:rsidR="00454A29" w:rsidRDefault="00454A29">
            <w:pPr>
              <w:pStyle w:val="ConsPlusNormal"/>
              <w:jc w:val="center"/>
            </w:pPr>
            <w:r>
              <w:t>29 341,87</w:t>
            </w:r>
          </w:p>
        </w:tc>
        <w:tc>
          <w:tcPr>
            <w:tcW w:w="1814" w:type="dxa"/>
            <w:vAlign w:val="center"/>
          </w:tcPr>
          <w:p w14:paraId="550BD640" w14:textId="77777777" w:rsidR="00454A29" w:rsidRDefault="00454A29">
            <w:pPr>
              <w:pStyle w:val="ConsPlusNormal"/>
              <w:jc w:val="center"/>
            </w:pPr>
            <w:r>
              <w:t>29 341,87</w:t>
            </w:r>
          </w:p>
        </w:tc>
        <w:tc>
          <w:tcPr>
            <w:tcW w:w="1701" w:type="dxa"/>
            <w:vAlign w:val="center"/>
          </w:tcPr>
          <w:p w14:paraId="4227420C" w14:textId="77777777" w:rsidR="00454A29" w:rsidRDefault="00454A29">
            <w:pPr>
              <w:pStyle w:val="ConsPlusNormal"/>
              <w:jc w:val="center"/>
            </w:pPr>
            <w:r>
              <w:t>-</w:t>
            </w:r>
          </w:p>
        </w:tc>
        <w:tc>
          <w:tcPr>
            <w:tcW w:w="1701" w:type="dxa"/>
            <w:vAlign w:val="center"/>
          </w:tcPr>
          <w:p w14:paraId="771D964E" w14:textId="77777777" w:rsidR="00454A29" w:rsidRDefault="00454A29">
            <w:pPr>
              <w:pStyle w:val="ConsPlusNormal"/>
              <w:jc w:val="center"/>
            </w:pPr>
            <w:r>
              <w:t>-</w:t>
            </w:r>
          </w:p>
        </w:tc>
        <w:tc>
          <w:tcPr>
            <w:tcW w:w="1814" w:type="dxa"/>
            <w:vAlign w:val="center"/>
          </w:tcPr>
          <w:p w14:paraId="451C2745" w14:textId="77777777" w:rsidR="00454A29" w:rsidRDefault="00454A29">
            <w:pPr>
              <w:pStyle w:val="ConsPlusNormal"/>
              <w:jc w:val="center"/>
            </w:pPr>
            <w:r>
              <w:t>-</w:t>
            </w:r>
          </w:p>
        </w:tc>
      </w:tr>
      <w:tr w:rsidR="00454A29" w14:paraId="55787099" w14:textId="77777777">
        <w:tc>
          <w:tcPr>
            <w:tcW w:w="567" w:type="dxa"/>
            <w:vMerge/>
          </w:tcPr>
          <w:p w14:paraId="099E9993" w14:textId="77777777" w:rsidR="00454A29" w:rsidRDefault="00454A29"/>
        </w:tc>
        <w:tc>
          <w:tcPr>
            <w:tcW w:w="3345" w:type="dxa"/>
            <w:vMerge/>
          </w:tcPr>
          <w:p w14:paraId="24766469" w14:textId="77777777" w:rsidR="00454A29" w:rsidRDefault="00454A29"/>
        </w:tc>
        <w:tc>
          <w:tcPr>
            <w:tcW w:w="1701" w:type="dxa"/>
            <w:vAlign w:val="center"/>
          </w:tcPr>
          <w:p w14:paraId="6CF6D8F9" w14:textId="77777777" w:rsidR="00454A29" w:rsidRDefault="00454A29">
            <w:pPr>
              <w:pStyle w:val="ConsPlusNormal"/>
              <w:jc w:val="center"/>
            </w:pPr>
            <w:r>
              <w:t>2020</w:t>
            </w:r>
          </w:p>
        </w:tc>
        <w:tc>
          <w:tcPr>
            <w:tcW w:w="1417" w:type="dxa"/>
            <w:vMerge/>
          </w:tcPr>
          <w:p w14:paraId="54EEB793" w14:textId="77777777" w:rsidR="00454A29" w:rsidRDefault="00454A29"/>
        </w:tc>
        <w:tc>
          <w:tcPr>
            <w:tcW w:w="2204" w:type="dxa"/>
            <w:vMerge/>
          </w:tcPr>
          <w:p w14:paraId="65056AA0" w14:textId="77777777" w:rsidR="00454A29" w:rsidRDefault="00454A29"/>
        </w:tc>
        <w:tc>
          <w:tcPr>
            <w:tcW w:w="1417" w:type="dxa"/>
            <w:vMerge/>
          </w:tcPr>
          <w:p w14:paraId="1BD86F5E" w14:textId="77777777" w:rsidR="00454A29" w:rsidRDefault="00454A29"/>
        </w:tc>
        <w:tc>
          <w:tcPr>
            <w:tcW w:w="2324" w:type="dxa"/>
            <w:vMerge/>
          </w:tcPr>
          <w:p w14:paraId="59352A8F" w14:textId="77777777" w:rsidR="00454A29" w:rsidRDefault="00454A29"/>
        </w:tc>
        <w:tc>
          <w:tcPr>
            <w:tcW w:w="1701" w:type="dxa"/>
            <w:vAlign w:val="center"/>
          </w:tcPr>
          <w:p w14:paraId="67AE9FBD" w14:textId="77777777" w:rsidR="00454A29" w:rsidRDefault="00454A29">
            <w:pPr>
              <w:pStyle w:val="ConsPlusNormal"/>
              <w:jc w:val="center"/>
            </w:pPr>
            <w:r>
              <w:t>-</w:t>
            </w:r>
          </w:p>
        </w:tc>
        <w:tc>
          <w:tcPr>
            <w:tcW w:w="1814" w:type="dxa"/>
            <w:vAlign w:val="center"/>
          </w:tcPr>
          <w:p w14:paraId="3133162A" w14:textId="77777777" w:rsidR="00454A29" w:rsidRDefault="00454A29">
            <w:pPr>
              <w:pStyle w:val="ConsPlusNormal"/>
            </w:pPr>
          </w:p>
        </w:tc>
        <w:tc>
          <w:tcPr>
            <w:tcW w:w="1701" w:type="dxa"/>
            <w:vAlign w:val="center"/>
          </w:tcPr>
          <w:p w14:paraId="0FE61071" w14:textId="77777777" w:rsidR="00454A29" w:rsidRDefault="00454A29">
            <w:pPr>
              <w:pStyle w:val="ConsPlusNormal"/>
            </w:pPr>
          </w:p>
        </w:tc>
        <w:tc>
          <w:tcPr>
            <w:tcW w:w="1701" w:type="dxa"/>
            <w:vAlign w:val="center"/>
          </w:tcPr>
          <w:p w14:paraId="081187F6" w14:textId="77777777" w:rsidR="00454A29" w:rsidRDefault="00454A29">
            <w:pPr>
              <w:pStyle w:val="ConsPlusNormal"/>
            </w:pPr>
          </w:p>
        </w:tc>
        <w:tc>
          <w:tcPr>
            <w:tcW w:w="1814" w:type="dxa"/>
            <w:vAlign w:val="center"/>
          </w:tcPr>
          <w:p w14:paraId="239991BB" w14:textId="77777777" w:rsidR="00454A29" w:rsidRDefault="00454A29">
            <w:pPr>
              <w:pStyle w:val="ConsPlusNormal"/>
            </w:pPr>
          </w:p>
        </w:tc>
      </w:tr>
      <w:tr w:rsidR="00454A29" w14:paraId="6BF7AB93" w14:textId="77777777">
        <w:tc>
          <w:tcPr>
            <w:tcW w:w="567" w:type="dxa"/>
            <w:vMerge/>
          </w:tcPr>
          <w:p w14:paraId="08848A3B" w14:textId="77777777" w:rsidR="00454A29" w:rsidRDefault="00454A29"/>
        </w:tc>
        <w:tc>
          <w:tcPr>
            <w:tcW w:w="3345" w:type="dxa"/>
            <w:vMerge/>
          </w:tcPr>
          <w:p w14:paraId="5FB7BB72" w14:textId="77777777" w:rsidR="00454A29" w:rsidRDefault="00454A29"/>
        </w:tc>
        <w:tc>
          <w:tcPr>
            <w:tcW w:w="1701" w:type="dxa"/>
            <w:vAlign w:val="center"/>
          </w:tcPr>
          <w:p w14:paraId="269EDF3B" w14:textId="77777777" w:rsidR="00454A29" w:rsidRDefault="00454A29">
            <w:pPr>
              <w:pStyle w:val="ConsPlusNormal"/>
              <w:jc w:val="center"/>
            </w:pPr>
            <w:r>
              <w:t>2021</w:t>
            </w:r>
          </w:p>
        </w:tc>
        <w:tc>
          <w:tcPr>
            <w:tcW w:w="1417" w:type="dxa"/>
            <w:vMerge/>
          </w:tcPr>
          <w:p w14:paraId="37E6939B" w14:textId="77777777" w:rsidR="00454A29" w:rsidRDefault="00454A29"/>
        </w:tc>
        <w:tc>
          <w:tcPr>
            <w:tcW w:w="2204" w:type="dxa"/>
            <w:vMerge/>
          </w:tcPr>
          <w:p w14:paraId="23B96B7D" w14:textId="77777777" w:rsidR="00454A29" w:rsidRDefault="00454A29"/>
        </w:tc>
        <w:tc>
          <w:tcPr>
            <w:tcW w:w="1417" w:type="dxa"/>
            <w:vMerge/>
          </w:tcPr>
          <w:p w14:paraId="1B5D6D82" w14:textId="77777777" w:rsidR="00454A29" w:rsidRDefault="00454A29"/>
        </w:tc>
        <w:tc>
          <w:tcPr>
            <w:tcW w:w="2324" w:type="dxa"/>
            <w:vMerge/>
          </w:tcPr>
          <w:p w14:paraId="6A3ED88F" w14:textId="77777777" w:rsidR="00454A29" w:rsidRDefault="00454A29"/>
        </w:tc>
        <w:tc>
          <w:tcPr>
            <w:tcW w:w="1701" w:type="dxa"/>
            <w:vAlign w:val="center"/>
          </w:tcPr>
          <w:p w14:paraId="0806D8F8" w14:textId="77777777" w:rsidR="00454A29" w:rsidRDefault="00454A29">
            <w:pPr>
              <w:pStyle w:val="ConsPlusNormal"/>
              <w:jc w:val="center"/>
            </w:pPr>
            <w:r>
              <w:t>-</w:t>
            </w:r>
          </w:p>
        </w:tc>
        <w:tc>
          <w:tcPr>
            <w:tcW w:w="1814" w:type="dxa"/>
            <w:vAlign w:val="center"/>
          </w:tcPr>
          <w:p w14:paraId="09BE4E9B" w14:textId="77777777" w:rsidR="00454A29" w:rsidRDefault="00454A29">
            <w:pPr>
              <w:pStyle w:val="ConsPlusNormal"/>
            </w:pPr>
          </w:p>
        </w:tc>
        <w:tc>
          <w:tcPr>
            <w:tcW w:w="1701" w:type="dxa"/>
            <w:vAlign w:val="center"/>
          </w:tcPr>
          <w:p w14:paraId="64DA3FBC" w14:textId="77777777" w:rsidR="00454A29" w:rsidRDefault="00454A29">
            <w:pPr>
              <w:pStyle w:val="ConsPlusNormal"/>
            </w:pPr>
          </w:p>
        </w:tc>
        <w:tc>
          <w:tcPr>
            <w:tcW w:w="1701" w:type="dxa"/>
            <w:vAlign w:val="center"/>
          </w:tcPr>
          <w:p w14:paraId="23CC0EAD" w14:textId="77777777" w:rsidR="00454A29" w:rsidRDefault="00454A29">
            <w:pPr>
              <w:pStyle w:val="ConsPlusNormal"/>
            </w:pPr>
          </w:p>
        </w:tc>
        <w:tc>
          <w:tcPr>
            <w:tcW w:w="1814" w:type="dxa"/>
            <w:vAlign w:val="center"/>
          </w:tcPr>
          <w:p w14:paraId="665BD498" w14:textId="77777777" w:rsidR="00454A29" w:rsidRDefault="00454A29">
            <w:pPr>
              <w:pStyle w:val="ConsPlusNormal"/>
            </w:pPr>
          </w:p>
        </w:tc>
      </w:tr>
      <w:tr w:rsidR="00454A29" w14:paraId="429BBB31" w14:textId="77777777">
        <w:tc>
          <w:tcPr>
            <w:tcW w:w="567" w:type="dxa"/>
            <w:vMerge/>
          </w:tcPr>
          <w:p w14:paraId="177E16DF" w14:textId="77777777" w:rsidR="00454A29" w:rsidRDefault="00454A29"/>
        </w:tc>
        <w:tc>
          <w:tcPr>
            <w:tcW w:w="3345" w:type="dxa"/>
            <w:vMerge/>
          </w:tcPr>
          <w:p w14:paraId="5B403536" w14:textId="77777777" w:rsidR="00454A29" w:rsidRDefault="00454A29"/>
        </w:tc>
        <w:tc>
          <w:tcPr>
            <w:tcW w:w="1701" w:type="dxa"/>
            <w:vAlign w:val="center"/>
          </w:tcPr>
          <w:p w14:paraId="49464E67" w14:textId="77777777" w:rsidR="00454A29" w:rsidRDefault="00454A29">
            <w:pPr>
              <w:pStyle w:val="ConsPlusNormal"/>
              <w:jc w:val="center"/>
            </w:pPr>
            <w:r>
              <w:t>2022</w:t>
            </w:r>
          </w:p>
        </w:tc>
        <w:tc>
          <w:tcPr>
            <w:tcW w:w="1417" w:type="dxa"/>
            <w:vMerge/>
          </w:tcPr>
          <w:p w14:paraId="293AB3F0" w14:textId="77777777" w:rsidR="00454A29" w:rsidRDefault="00454A29"/>
        </w:tc>
        <w:tc>
          <w:tcPr>
            <w:tcW w:w="2204" w:type="dxa"/>
            <w:vMerge/>
          </w:tcPr>
          <w:p w14:paraId="4C15D4F4" w14:textId="77777777" w:rsidR="00454A29" w:rsidRDefault="00454A29"/>
        </w:tc>
        <w:tc>
          <w:tcPr>
            <w:tcW w:w="1417" w:type="dxa"/>
            <w:vMerge/>
          </w:tcPr>
          <w:p w14:paraId="7C977B84" w14:textId="77777777" w:rsidR="00454A29" w:rsidRDefault="00454A29"/>
        </w:tc>
        <w:tc>
          <w:tcPr>
            <w:tcW w:w="2324" w:type="dxa"/>
            <w:vMerge/>
          </w:tcPr>
          <w:p w14:paraId="5A6A5FDA" w14:textId="77777777" w:rsidR="00454A29" w:rsidRDefault="00454A29"/>
        </w:tc>
        <w:tc>
          <w:tcPr>
            <w:tcW w:w="1701" w:type="dxa"/>
            <w:vAlign w:val="center"/>
          </w:tcPr>
          <w:p w14:paraId="3DEC136D" w14:textId="77777777" w:rsidR="00454A29" w:rsidRDefault="00454A29">
            <w:pPr>
              <w:pStyle w:val="ConsPlusNormal"/>
            </w:pPr>
          </w:p>
        </w:tc>
        <w:tc>
          <w:tcPr>
            <w:tcW w:w="1814" w:type="dxa"/>
            <w:vAlign w:val="center"/>
          </w:tcPr>
          <w:p w14:paraId="24B1FF49" w14:textId="77777777" w:rsidR="00454A29" w:rsidRDefault="00454A29">
            <w:pPr>
              <w:pStyle w:val="ConsPlusNormal"/>
            </w:pPr>
          </w:p>
        </w:tc>
        <w:tc>
          <w:tcPr>
            <w:tcW w:w="1701" w:type="dxa"/>
            <w:vAlign w:val="center"/>
          </w:tcPr>
          <w:p w14:paraId="5B9B6052" w14:textId="77777777" w:rsidR="00454A29" w:rsidRDefault="00454A29">
            <w:pPr>
              <w:pStyle w:val="ConsPlusNormal"/>
            </w:pPr>
          </w:p>
        </w:tc>
        <w:tc>
          <w:tcPr>
            <w:tcW w:w="1701" w:type="dxa"/>
            <w:vAlign w:val="center"/>
          </w:tcPr>
          <w:p w14:paraId="72CB0A98" w14:textId="77777777" w:rsidR="00454A29" w:rsidRDefault="00454A29">
            <w:pPr>
              <w:pStyle w:val="ConsPlusNormal"/>
            </w:pPr>
          </w:p>
        </w:tc>
        <w:tc>
          <w:tcPr>
            <w:tcW w:w="1814" w:type="dxa"/>
            <w:vAlign w:val="center"/>
          </w:tcPr>
          <w:p w14:paraId="72625D21" w14:textId="77777777" w:rsidR="00454A29" w:rsidRDefault="00454A29">
            <w:pPr>
              <w:pStyle w:val="ConsPlusNormal"/>
            </w:pPr>
          </w:p>
        </w:tc>
      </w:tr>
      <w:tr w:rsidR="00454A29" w14:paraId="7F9956FC" w14:textId="77777777">
        <w:tc>
          <w:tcPr>
            <w:tcW w:w="567" w:type="dxa"/>
            <w:vMerge/>
          </w:tcPr>
          <w:p w14:paraId="6B69188C" w14:textId="77777777" w:rsidR="00454A29" w:rsidRDefault="00454A29"/>
        </w:tc>
        <w:tc>
          <w:tcPr>
            <w:tcW w:w="3345" w:type="dxa"/>
            <w:vMerge/>
          </w:tcPr>
          <w:p w14:paraId="39DF9338" w14:textId="77777777" w:rsidR="00454A29" w:rsidRDefault="00454A29"/>
        </w:tc>
        <w:tc>
          <w:tcPr>
            <w:tcW w:w="1701" w:type="dxa"/>
            <w:vAlign w:val="center"/>
          </w:tcPr>
          <w:p w14:paraId="511F9599" w14:textId="77777777" w:rsidR="00454A29" w:rsidRDefault="00454A29">
            <w:pPr>
              <w:pStyle w:val="ConsPlusNormal"/>
              <w:jc w:val="center"/>
            </w:pPr>
            <w:r>
              <w:t>2023</w:t>
            </w:r>
          </w:p>
        </w:tc>
        <w:tc>
          <w:tcPr>
            <w:tcW w:w="1417" w:type="dxa"/>
            <w:vMerge/>
          </w:tcPr>
          <w:p w14:paraId="43BAE8A5" w14:textId="77777777" w:rsidR="00454A29" w:rsidRDefault="00454A29"/>
        </w:tc>
        <w:tc>
          <w:tcPr>
            <w:tcW w:w="2204" w:type="dxa"/>
            <w:vMerge/>
          </w:tcPr>
          <w:p w14:paraId="747BE884" w14:textId="77777777" w:rsidR="00454A29" w:rsidRDefault="00454A29"/>
        </w:tc>
        <w:tc>
          <w:tcPr>
            <w:tcW w:w="1417" w:type="dxa"/>
            <w:vMerge/>
          </w:tcPr>
          <w:p w14:paraId="50940358" w14:textId="77777777" w:rsidR="00454A29" w:rsidRDefault="00454A29"/>
        </w:tc>
        <w:tc>
          <w:tcPr>
            <w:tcW w:w="2324" w:type="dxa"/>
            <w:vMerge/>
          </w:tcPr>
          <w:p w14:paraId="59511651" w14:textId="77777777" w:rsidR="00454A29" w:rsidRDefault="00454A29"/>
        </w:tc>
        <w:tc>
          <w:tcPr>
            <w:tcW w:w="1701" w:type="dxa"/>
            <w:vAlign w:val="center"/>
          </w:tcPr>
          <w:p w14:paraId="16D208FB" w14:textId="77777777" w:rsidR="00454A29" w:rsidRDefault="00454A29">
            <w:pPr>
              <w:pStyle w:val="ConsPlusNormal"/>
              <w:jc w:val="center"/>
            </w:pPr>
            <w:r>
              <w:t>29 341,87</w:t>
            </w:r>
          </w:p>
        </w:tc>
        <w:tc>
          <w:tcPr>
            <w:tcW w:w="1814" w:type="dxa"/>
            <w:vAlign w:val="center"/>
          </w:tcPr>
          <w:p w14:paraId="12AF39B6" w14:textId="77777777" w:rsidR="00454A29" w:rsidRDefault="00454A29">
            <w:pPr>
              <w:pStyle w:val="ConsPlusNormal"/>
              <w:jc w:val="center"/>
            </w:pPr>
            <w:r>
              <w:t>29 341,87</w:t>
            </w:r>
          </w:p>
        </w:tc>
        <w:tc>
          <w:tcPr>
            <w:tcW w:w="1701" w:type="dxa"/>
            <w:vAlign w:val="center"/>
          </w:tcPr>
          <w:p w14:paraId="6745BB41" w14:textId="77777777" w:rsidR="00454A29" w:rsidRDefault="00454A29">
            <w:pPr>
              <w:pStyle w:val="ConsPlusNormal"/>
            </w:pPr>
          </w:p>
        </w:tc>
        <w:tc>
          <w:tcPr>
            <w:tcW w:w="1701" w:type="dxa"/>
            <w:vAlign w:val="center"/>
          </w:tcPr>
          <w:p w14:paraId="792D9908" w14:textId="77777777" w:rsidR="00454A29" w:rsidRDefault="00454A29">
            <w:pPr>
              <w:pStyle w:val="ConsPlusNormal"/>
            </w:pPr>
          </w:p>
        </w:tc>
        <w:tc>
          <w:tcPr>
            <w:tcW w:w="1814" w:type="dxa"/>
            <w:vAlign w:val="center"/>
          </w:tcPr>
          <w:p w14:paraId="6554C1BD" w14:textId="77777777" w:rsidR="00454A29" w:rsidRDefault="00454A29">
            <w:pPr>
              <w:pStyle w:val="ConsPlusNormal"/>
            </w:pPr>
          </w:p>
        </w:tc>
      </w:tr>
      <w:tr w:rsidR="00454A29" w14:paraId="0C5D6E74" w14:textId="77777777">
        <w:tc>
          <w:tcPr>
            <w:tcW w:w="567" w:type="dxa"/>
            <w:vMerge/>
          </w:tcPr>
          <w:p w14:paraId="38AAEDE5" w14:textId="77777777" w:rsidR="00454A29" w:rsidRDefault="00454A29"/>
        </w:tc>
        <w:tc>
          <w:tcPr>
            <w:tcW w:w="3345" w:type="dxa"/>
            <w:vMerge/>
          </w:tcPr>
          <w:p w14:paraId="107536D9" w14:textId="77777777" w:rsidR="00454A29" w:rsidRDefault="00454A29"/>
        </w:tc>
        <w:tc>
          <w:tcPr>
            <w:tcW w:w="1701" w:type="dxa"/>
            <w:vAlign w:val="center"/>
          </w:tcPr>
          <w:p w14:paraId="7BC5CF56" w14:textId="77777777" w:rsidR="00454A29" w:rsidRDefault="00454A29">
            <w:pPr>
              <w:pStyle w:val="ConsPlusNormal"/>
              <w:jc w:val="center"/>
            </w:pPr>
            <w:r>
              <w:t>2024</w:t>
            </w:r>
          </w:p>
        </w:tc>
        <w:tc>
          <w:tcPr>
            <w:tcW w:w="1417" w:type="dxa"/>
            <w:vMerge/>
          </w:tcPr>
          <w:p w14:paraId="6EB01265" w14:textId="77777777" w:rsidR="00454A29" w:rsidRDefault="00454A29"/>
        </w:tc>
        <w:tc>
          <w:tcPr>
            <w:tcW w:w="2204" w:type="dxa"/>
            <w:vMerge/>
          </w:tcPr>
          <w:p w14:paraId="73BEAC24" w14:textId="77777777" w:rsidR="00454A29" w:rsidRDefault="00454A29"/>
        </w:tc>
        <w:tc>
          <w:tcPr>
            <w:tcW w:w="1417" w:type="dxa"/>
            <w:vMerge/>
          </w:tcPr>
          <w:p w14:paraId="74DEE03B" w14:textId="77777777" w:rsidR="00454A29" w:rsidRDefault="00454A29"/>
        </w:tc>
        <w:tc>
          <w:tcPr>
            <w:tcW w:w="2324" w:type="dxa"/>
            <w:vMerge/>
          </w:tcPr>
          <w:p w14:paraId="254D1AB7" w14:textId="77777777" w:rsidR="00454A29" w:rsidRDefault="00454A29"/>
        </w:tc>
        <w:tc>
          <w:tcPr>
            <w:tcW w:w="1701" w:type="dxa"/>
            <w:vAlign w:val="center"/>
          </w:tcPr>
          <w:p w14:paraId="1A06ABE2" w14:textId="77777777" w:rsidR="00454A29" w:rsidRDefault="00454A29">
            <w:pPr>
              <w:pStyle w:val="ConsPlusNormal"/>
              <w:jc w:val="center"/>
            </w:pPr>
            <w:r>
              <w:t>-</w:t>
            </w:r>
          </w:p>
        </w:tc>
        <w:tc>
          <w:tcPr>
            <w:tcW w:w="1814" w:type="dxa"/>
            <w:vAlign w:val="center"/>
          </w:tcPr>
          <w:p w14:paraId="0CFCC8EF" w14:textId="77777777" w:rsidR="00454A29" w:rsidRDefault="00454A29">
            <w:pPr>
              <w:pStyle w:val="ConsPlusNormal"/>
            </w:pPr>
          </w:p>
        </w:tc>
        <w:tc>
          <w:tcPr>
            <w:tcW w:w="1701" w:type="dxa"/>
            <w:vAlign w:val="center"/>
          </w:tcPr>
          <w:p w14:paraId="58B52568" w14:textId="77777777" w:rsidR="00454A29" w:rsidRDefault="00454A29">
            <w:pPr>
              <w:pStyle w:val="ConsPlusNormal"/>
            </w:pPr>
          </w:p>
        </w:tc>
        <w:tc>
          <w:tcPr>
            <w:tcW w:w="1701" w:type="dxa"/>
            <w:vAlign w:val="center"/>
          </w:tcPr>
          <w:p w14:paraId="3868E38B" w14:textId="77777777" w:rsidR="00454A29" w:rsidRDefault="00454A29">
            <w:pPr>
              <w:pStyle w:val="ConsPlusNormal"/>
            </w:pPr>
          </w:p>
        </w:tc>
        <w:tc>
          <w:tcPr>
            <w:tcW w:w="1814" w:type="dxa"/>
            <w:vAlign w:val="center"/>
          </w:tcPr>
          <w:p w14:paraId="2AEE2064" w14:textId="77777777" w:rsidR="00454A29" w:rsidRDefault="00454A29">
            <w:pPr>
              <w:pStyle w:val="ConsPlusNormal"/>
            </w:pPr>
          </w:p>
        </w:tc>
      </w:tr>
      <w:tr w:rsidR="00454A29" w14:paraId="145FEA37" w14:textId="77777777">
        <w:tc>
          <w:tcPr>
            <w:tcW w:w="567" w:type="dxa"/>
            <w:vMerge/>
          </w:tcPr>
          <w:p w14:paraId="77630E9C" w14:textId="77777777" w:rsidR="00454A29" w:rsidRDefault="00454A29"/>
        </w:tc>
        <w:tc>
          <w:tcPr>
            <w:tcW w:w="3345" w:type="dxa"/>
            <w:vMerge/>
          </w:tcPr>
          <w:p w14:paraId="2E3478E6" w14:textId="77777777" w:rsidR="00454A29" w:rsidRDefault="00454A29"/>
        </w:tc>
        <w:tc>
          <w:tcPr>
            <w:tcW w:w="1701" w:type="dxa"/>
            <w:vAlign w:val="center"/>
          </w:tcPr>
          <w:p w14:paraId="2E0EDDB5" w14:textId="77777777" w:rsidR="00454A29" w:rsidRDefault="00454A29">
            <w:pPr>
              <w:pStyle w:val="ConsPlusNormal"/>
              <w:jc w:val="center"/>
            </w:pPr>
            <w:r>
              <w:t>2025</w:t>
            </w:r>
          </w:p>
        </w:tc>
        <w:tc>
          <w:tcPr>
            <w:tcW w:w="1417" w:type="dxa"/>
            <w:vMerge/>
          </w:tcPr>
          <w:p w14:paraId="0B5C2D8B" w14:textId="77777777" w:rsidR="00454A29" w:rsidRDefault="00454A29"/>
        </w:tc>
        <w:tc>
          <w:tcPr>
            <w:tcW w:w="2204" w:type="dxa"/>
            <w:vMerge/>
          </w:tcPr>
          <w:p w14:paraId="6A4BD73B" w14:textId="77777777" w:rsidR="00454A29" w:rsidRDefault="00454A29"/>
        </w:tc>
        <w:tc>
          <w:tcPr>
            <w:tcW w:w="1417" w:type="dxa"/>
            <w:vMerge/>
          </w:tcPr>
          <w:p w14:paraId="7A8CD2F0" w14:textId="77777777" w:rsidR="00454A29" w:rsidRDefault="00454A29"/>
        </w:tc>
        <w:tc>
          <w:tcPr>
            <w:tcW w:w="2324" w:type="dxa"/>
            <w:vMerge/>
          </w:tcPr>
          <w:p w14:paraId="07853F98" w14:textId="77777777" w:rsidR="00454A29" w:rsidRDefault="00454A29"/>
        </w:tc>
        <w:tc>
          <w:tcPr>
            <w:tcW w:w="1701" w:type="dxa"/>
            <w:vAlign w:val="center"/>
          </w:tcPr>
          <w:p w14:paraId="1DE56E2E" w14:textId="77777777" w:rsidR="00454A29" w:rsidRDefault="00454A29">
            <w:pPr>
              <w:pStyle w:val="ConsPlusNormal"/>
              <w:jc w:val="center"/>
            </w:pPr>
            <w:r>
              <w:t>-</w:t>
            </w:r>
          </w:p>
        </w:tc>
        <w:tc>
          <w:tcPr>
            <w:tcW w:w="1814" w:type="dxa"/>
            <w:vAlign w:val="center"/>
          </w:tcPr>
          <w:p w14:paraId="05C0AAE3" w14:textId="77777777" w:rsidR="00454A29" w:rsidRDefault="00454A29">
            <w:pPr>
              <w:pStyle w:val="ConsPlusNormal"/>
            </w:pPr>
          </w:p>
        </w:tc>
        <w:tc>
          <w:tcPr>
            <w:tcW w:w="1701" w:type="dxa"/>
            <w:vAlign w:val="center"/>
          </w:tcPr>
          <w:p w14:paraId="4B688794" w14:textId="77777777" w:rsidR="00454A29" w:rsidRDefault="00454A29">
            <w:pPr>
              <w:pStyle w:val="ConsPlusNormal"/>
            </w:pPr>
          </w:p>
        </w:tc>
        <w:tc>
          <w:tcPr>
            <w:tcW w:w="1701" w:type="dxa"/>
            <w:vAlign w:val="center"/>
          </w:tcPr>
          <w:p w14:paraId="04260CB0" w14:textId="77777777" w:rsidR="00454A29" w:rsidRDefault="00454A29">
            <w:pPr>
              <w:pStyle w:val="ConsPlusNormal"/>
            </w:pPr>
          </w:p>
        </w:tc>
        <w:tc>
          <w:tcPr>
            <w:tcW w:w="1814" w:type="dxa"/>
            <w:vAlign w:val="center"/>
          </w:tcPr>
          <w:p w14:paraId="42C18033" w14:textId="77777777" w:rsidR="00454A29" w:rsidRDefault="00454A29">
            <w:pPr>
              <w:pStyle w:val="ConsPlusNormal"/>
            </w:pPr>
          </w:p>
        </w:tc>
      </w:tr>
      <w:tr w:rsidR="00454A29" w14:paraId="6D52B072" w14:textId="77777777">
        <w:tc>
          <w:tcPr>
            <w:tcW w:w="567" w:type="dxa"/>
            <w:vMerge/>
          </w:tcPr>
          <w:p w14:paraId="3EA8F09C" w14:textId="77777777" w:rsidR="00454A29" w:rsidRDefault="00454A29"/>
        </w:tc>
        <w:tc>
          <w:tcPr>
            <w:tcW w:w="3345" w:type="dxa"/>
            <w:vMerge/>
          </w:tcPr>
          <w:p w14:paraId="72236616" w14:textId="77777777" w:rsidR="00454A29" w:rsidRDefault="00454A29"/>
        </w:tc>
        <w:tc>
          <w:tcPr>
            <w:tcW w:w="1701" w:type="dxa"/>
            <w:vAlign w:val="center"/>
          </w:tcPr>
          <w:p w14:paraId="53105CE4" w14:textId="77777777" w:rsidR="00454A29" w:rsidRDefault="00454A29">
            <w:pPr>
              <w:pStyle w:val="ConsPlusNormal"/>
              <w:jc w:val="center"/>
            </w:pPr>
            <w:r>
              <w:t>2026</w:t>
            </w:r>
          </w:p>
        </w:tc>
        <w:tc>
          <w:tcPr>
            <w:tcW w:w="1417" w:type="dxa"/>
            <w:vMerge/>
          </w:tcPr>
          <w:p w14:paraId="35C87D42" w14:textId="77777777" w:rsidR="00454A29" w:rsidRDefault="00454A29"/>
        </w:tc>
        <w:tc>
          <w:tcPr>
            <w:tcW w:w="2204" w:type="dxa"/>
            <w:vMerge/>
          </w:tcPr>
          <w:p w14:paraId="677A0C10" w14:textId="77777777" w:rsidR="00454A29" w:rsidRDefault="00454A29"/>
        </w:tc>
        <w:tc>
          <w:tcPr>
            <w:tcW w:w="1417" w:type="dxa"/>
            <w:vMerge/>
          </w:tcPr>
          <w:p w14:paraId="502DBFC4" w14:textId="77777777" w:rsidR="00454A29" w:rsidRDefault="00454A29"/>
        </w:tc>
        <w:tc>
          <w:tcPr>
            <w:tcW w:w="2324" w:type="dxa"/>
            <w:vMerge/>
          </w:tcPr>
          <w:p w14:paraId="0622A902" w14:textId="77777777" w:rsidR="00454A29" w:rsidRDefault="00454A29"/>
        </w:tc>
        <w:tc>
          <w:tcPr>
            <w:tcW w:w="1701" w:type="dxa"/>
            <w:vAlign w:val="center"/>
          </w:tcPr>
          <w:p w14:paraId="7ABA6D4B" w14:textId="77777777" w:rsidR="00454A29" w:rsidRDefault="00454A29">
            <w:pPr>
              <w:pStyle w:val="ConsPlusNormal"/>
              <w:jc w:val="center"/>
            </w:pPr>
            <w:r>
              <w:t>-</w:t>
            </w:r>
          </w:p>
        </w:tc>
        <w:tc>
          <w:tcPr>
            <w:tcW w:w="1814" w:type="dxa"/>
            <w:vAlign w:val="center"/>
          </w:tcPr>
          <w:p w14:paraId="5CFFBF98" w14:textId="77777777" w:rsidR="00454A29" w:rsidRDefault="00454A29">
            <w:pPr>
              <w:pStyle w:val="ConsPlusNormal"/>
            </w:pPr>
          </w:p>
        </w:tc>
        <w:tc>
          <w:tcPr>
            <w:tcW w:w="1701" w:type="dxa"/>
            <w:vAlign w:val="center"/>
          </w:tcPr>
          <w:p w14:paraId="5A66130B" w14:textId="77777777" w:rsidR="00454A29" w:rsidRDefault="00454A29">
            <w:pPr>
              <w:pStyle w:val="ConsPlusNormal"/>
            </w:pPr>
          </w:p>
        </w:tc>
        <w:tc>
          <w:tcPr>
            <w:tcW w:w="1701" w:type="dxa"/>
            <w:vAlign w:val="center"/>
          </w:tcPr>
          <w:p w14:paraId="18F56B42" w14:textId="77777777" w:rsidR="00454A29" w:rsidRDefault="00454A29">
            <w:pPr>
              <w:pStyle w:val="ConsPlusNormal"/>
            </w:pPr>
          </w:p>
        </w:tc>
        <w:tc>
          <w:tcPr>
            <w:tcW w:w="1814" w:type="dxa"/>
            <w:vAlign w:val="center"/>
          </w:tcPr>
          <w:p w14:paraId="1A2089C9" w14:textId="77777777" w:rsidR="00454A29" w:rsidRDefault="00454A29">
            <w:pPr>
              <w:pStyle w:val="ConsPlusNormal"/>
            </w:pPr>
          </w:p>
        </w:tc>
      </w:tr>
      <w:tr w:rsidR="00454A29" w14:paraId="5F48C087" w14:textId="77777777">
        <w:tc>
          <w:tcPr>
            <w:tcW w:w="567" w:type="dxa"/>
            <w:vMerge w:val="restart"/>
            <w:vAlign w:val="center"/>
          </w:tcPr>
          <w:p w14:paraId="1847E9BF" w14:textId="77777777" w:rsidR="00454A29" w:rsidRDefault="00454A29">
            <w:pPr>
              <w:pStyle w:val="ConsPlusNormal"/>
              <w:jc w:val="center"/>
            </w:pPr>
            <w:r>
              <w:t>93</w:t>
            </w:r>
          </w:p>
        </w:tc>
        <w:tc>
          <w:tcPr>
            <w:tcW w:w="3345" w:type="dxa"/>
            <w:vMerge w:val="restart"/>
            <w:vAlign w:val="center"/>
          </w:tcPr>
          <w:p w14:paraId="19DF0042" w14:textId="77777777" w:rsidR="00454A29" w:rsidRDefault="00454A29">
            <w:pPr>
              <w:pStyle w:val="ConsPlusNormal"/>
              <w:jc w:val="center"/>
            </w:pPr>
            <w:r>
              <w:t>Строительство теплого перехода Транспортного техникума в п. Нижний Бестях Мегино-Кангаласского улуса</w:t>
            </w:r>
          </w:p>
        </w:tc>
        <w:tc>
          <w:tcPr>
            <w:tcW w:w="1701" w:type="dxa"/>
            <w:vAlign w:val="center"/>
          </w:tcPr>
          <w:p w14:paraId="1B199C7A" w14:textId="77777777" w:rsidR="00454A29" w:rsidRDefault="00454A29">
            <w:pPr>
              <w:pStyle w:val="ConsPlusNormal"/>
              <w:jc w:val="center"/>
            </w:pPr>
            <w:r>
              <w:t>Всего:</w:t>
            </w:r>
          </w:p>
        </w:tc>
        <w:tc>
          <w:tcPr>
            <w:tcW w:w="1417" w:type="dxa"/>
            <w:vMerge w:val="restart"/>
            <w:vAlign w:val="center"/>
          </w:tcPr>
          <w:p w14:paraId="4094A626" w14:textId="77777777" w:rsidR="00454A29" w:rsidRDefault="00454A29">
            <w:pPr>
              <w:pStyle w:val="ConsPlusNormal"/>
              <w:jc w:val="center"/>
            </w:pPr>
            <w:r>
              <w:t>11 032,60</w:t>
            </w:r>
          </w:p>
        </w:tc>
        <w:tc>
          <w:tcPr>
            <w:tcW w:w="2204" w:type="dxa"/>
            <w:vMerge w:val="restart"/>
            <w:vAlign w:val="center"/>
          </w:tcPr>
          <w:p w14:paraId="21B6D1A1" w14:textId="77777777" w:rsidR="00454A29" w:rsidRDefault="00454A29">
            <w:pPr>
              <w:pStyle w:val="ConsPlusNormal"/>
            </w:pPr>
          </w:p>
        </w:tc>
        <w:tc>
          <w:tcPr>
            <w:tcW w:w="1417" w:type="dxa"/>
            <w:vMerge w:val="restart"/>
            <w:vAlign w:val="center"/>
          </w:tcPr>
          <w:p w14:paraId="7D94CE73" w14:textId="77777777" w:rsidR="00454A29" w:rsidRDefault="00454A29">
            <w:pPr>
              <w:pStyle w:val="ConsPlusNormal"/>
            </w:pPr>
          </w:p>
        </w:tc>
        <w:tc>
          <w:tcPr>
            <w:tcW w:w="2324" w:type="dxa"/>
            <w:vMerge w:val="restart"/>
            <w:vAlign w:val="center"/>
          </w:tcPr>
          <w:p w14:paraId="50C0FE1F" w14:textId="77777777" w:rsidR="00454A29" w:rsidRDefault="00454A29">
            <w:pPr>
              <w:pStyle w:val="ConsPlusNormal"/>
              <w:jc w:val="center"/>
            </w:pPr>
            <w:r>
              <w:t xml:space="preserve">Минстрой РС(Я), ГКУ "Служба государственного заказчика Республики </w:t>
            </w:r>
            <w:r>
              <w:lastRenderedPageBreak/>
              <w:t>Саха (Якутия)"</w:t>
            </w:r>
          </w:p>
        </w:tc>
        <w:tc>
          <w:tcPr>
            <w:tcW w:w="1701" w:type="dxa"/>
            <w:vAlign w:val="center"/>
          </w:tcPr>
          <w:p w14:paraId="16E1DE48" w14:textId="77777777" w:rsidR="00454A29" w:rsidRDefault="00454A29">
            <w:pPr>
              <w:pStyle w:val="ConsPlusNormal"/>
              <w:jc w:val="center"/>
            </w:pPr>
            <w:r>
              <w:lastRenderedPageBreak/>
              <w:t>5 472,17</w:t>
            </w:r>
          </w:p>
        </w:tc>
        <w:tc>
          <w:tcPr>
            <w:tcW w:w="1814" w:type="dxa"/>
            <w:vAlign w:val="center"/>
          </w:tcPr>
          <w:p w14:paraId="72191CA9" w14:textId="77777777" w:rsidR="00454A29" w:rsidRDefault="00454A29">
            <w:pPr>
              <w:pStyle w:val="ConsPlusNormal"/>
              <w:jc w:val="center"/>
            </w:pPr>
            <w:r>
              <w:t>5 472,17</w:t>
            </w:r>
          </w:p>
        </w:tc>
        <w:tc>
          <w:tcPr>
            <w:tcW w:w="1701" w:type="dxa"/>
            <w:vAlign w:val="center"/>
          </w:tcPr>
          <w:p w14:paraId="486D7B8D" w14:textId="77777777" w:rsidR="00454A29" w:rsidRDefault="00454A29">
            <w:pPr>
              <w:pStyle w:val="ConsPlusNormal"/>
              <w:jc w:val="center"/>
            </w:pPr>
            <w:r>
              <w:t>-</w:t>
            </w:r>
          </w:p>
        </w:tc>
        <w:tc>
          <w:tcPr>
            <w:tcW w:w="1701" w:type="dxa"/>
            <w:vAlign w:val="center"/>
          </w:tcPr>
          <w:p w14:paraId="2B29A950" w14:textId="77777777" w:rsidR="00454A29" w:rsidRDefault="00454A29">
            <w:pPr>
              <w:pStyle w:val="ConsPlusNormal"/>
              <w:jc w:val="center"/>
            </w:pPr>
            <w:r>
              <w:t>-</w:t>
            </w:r>
          </w:p>
        </w:tc>
        <w:tc>
          <w:tcPr>
            <w:tcW w:w="1814" w:type="dxa"/>
            <w:vAlign w:val="center"/>
          </w:tcPr>
          <w:p w14:paraId="78513AC6" w14:textId="77777777" w:rsidR="00454A29" w:rsidRDefault="00454A29">
            <w:pPr>
              <w:pStyle w:val="ConsPlusNormal"/>
              <w:jc w:val="center"/>
            </w:pPr>
            <w:r>
              <w:t>-</w:t>
            </w:r>
          </w:p>
        </w:tc>
      </w:tr>
      <w:tr w:rsidR="00454A29" w14:paraId="36CE1298" w14:textId="77777777">
        <w:tc>
          <w:tcPr>
            <w:tcW w:w="567" w:type="dxa"/>
            <w:vMerge/>
          </w:tcPr>
          <w:p w14:paraId="050EEBF7" w14:textId="77777777" w:rsidR="00454A29" w:rsidRDefault="00454A29"/>
        </w:tc>
        <w:tc>
          <w:tcPr>
            <w:tcW w:w="3345" w:type="dxa"/>
            <w:vMerge/>
          </w:tcPr>
          <w:p w14:paraId="287F0BF1" w14:textId="77777777" w:rsidR="00454A29" w:rsidRDefault="00454A29"/>
        </w:tc>
        <w:tc>
          <w:tcPr>
            <w:tcW w:w="1701" w:type="dxa"/>
            <w:vAlign w:val="center"/>
          </w:tcPr>
          <w:p w14:paraId="2CF9F2A5" w14:textId="77777777" w:rsidR="00454A29" w:rsidRDefault="00454A29">
            <w:pPr>
              <w:pStyle w:val="ConsPlusNormal"/>
              <w:jc w:val="center"/>
            </w:pPr>
            <w:r>
              <w:t>2020</w:t>
            </w:r>
          </w:p>
        </w:tc>
        <w:tc>
          <w:tcPr>
            <w:tcW w:w="1417" w:type="dxa"/>
            <w:vMerge/>
          </w:tcPr>
          <w:p w14:paraId="0BDE7278" w14:textId="77777777" w:rsidR="00454A29" w:rsidRDefault="00454A29"/>
        </w:tc>
        <w:tc>
          <w:tcPr>
            <w:tcW w:w="2204" w:type="dxa"/>
            <w:vMerge/>
          </w:tcPr>
          <w:p w14:paraId="6FDA26DB" w14:textId="77777777" w:rsidR="00454A29" w:rsidRDefault="00454A29"/>
        </w:tc>
        <w:tc>
          <w:tcPr>
            <w:tcW w:w="1417" w:type="dxa"/>
            <w:vMerge/>
          </w:tcPr>
          <w:p w14:paraId="1F11816B" w14:textId="77777777" w:rsidR="00454A29" w:rsidRDefault="00454A29"/>
        </w:tc>
        <w:tc>
          <w:tcPr>
            <w:tcW w:w="2324" w:type="dxa"/>
            <w:vMerge/>
          </w:tcPr>
          <w:p w14:paraId="7D9EA209" w14:textId="77777777" w:rsidR="00454A29" w:rsidRDefault="00454A29"/>
        </w:tc>
        <w:tc>
          <w:tcPr>
            <w:tcW w:w="1701" w:type="dxa"/>
            <w:vAlign w:val="center"/>
          </w:tcPr>
          <w:p w14:paraId="49BB2E00" w14:textId="77777777" w:rsidR="00454A29" w:rsidRDefault="00454A29">
            <w:pPr>
              <w:pStyle w:val="ConsPlusNormal"/>
              <w:jc w:val="center"/>
            </w:pPr>
            <w:r>
              <w:t>-</w:t>
            </w:r>
          </w:p>
        </w:tc>
        <w:tc>
          <w:tcPr>
            <w:tcW w:w="1814" w:type="dxa"/>
            <w:vAlign w:val="center"/>
          </w:tcPr>
          <w:p w14:paraId="2CE0A439" w14:textId="77777777" w:rsidR="00454A29" w:rsidRDefault="00454A29">
            <w:pPr>
              <w:pStyle w:val="ConsPlusNormal"/>
            </w:pPr>
          </w:p>
        </w:tc>
        <w:tc>
          <w:tcPr>
            <w:tcW w:w="1701" w:type="dxa"/>
            <w:vAlign w:val="center"/>
          </w:tcPr>
          <w:p w14:paraId="4108D99A" w14:textId="77777777" w:rsidR="00454A29" w:rsidRDefault="00454A29">
            <w:pPr>
              <w:pStyle w:val="ConsPlusNormal"/>
            </w:pPr>
          </w:p>
        </w:tc>
        <w:tc>
          <w:tcPr>
            <w:tcW w:w="1701" w:type="dxa"/>
            <w:vAlign w:val="center"/>
          </w:tcPr>
          <w:p w14:paraId="0B90B9F2" w14:textId="77777777" w:rsidR="00454A29" w:rsidRDefault="00454A29">
            <w:pPr>
              <w:pStyle w:val="ConsPlusNormal"/>
            </w:pPr>
          </w:p>
        </w:tc>
        <w:tc>
          <w:tcPr>
            <w:tcW w:w="1814" w:type="dxa"/>
            <w:vAlign w:val="center"/>
          </w:tcPr>
          <w:p w14:paraId="4A3A39F4" w14:textId="77777777" w:rsidR="00454A29" w:rsidRDefault="00454A29">
            <w:pPr>
              <w:pStyle w:val="ConsPlusNormal"/>
            </w:pPr>
          </w:p>
        </w:tc>
      </w:tr>
      <w:tr w:rsidR="00454A29" w14:paraId="6C617293" w14:textId="77777777">
        <w:tc>
          <w:tcPr>
            <w:tcW w:w="567" w:type="dxa"/>
            <w:vMerge/>
          </w:tcPr>
          <w:p w14:paraId="1AAC199A" w14:textId="77777777" w:rsidR="00454A29" w:rsidRDefault="00454A29"/>
        </w:tc>
        <w:tc>
          <w:tcPr>
            <w:tcW w:w="3345" w:type="dxa"/>
            <w:vMerge/>
          </w:tcPr>
          <w:p w14:paraId="575EEE41" w14:textId="77777777" w:rsidR="00454A29" w:rsidRDefault="00454A29"/>
        </w:tc>
        <w:tc>
          <w:tcPr>
            <w:tcW w:w="1701" w:type="dxa"/>
            <w:vAlign w:val="center"/>
          </w:tcPr>
          <w:p w14:paraId="6FE70E20" w14:textId="77777777" w:rsidR="00454A29" w:rsidRDefault="00454A29">
            <w:pPr>
              <w:pStyle w:val="ConsPlusNormal"/>
              <w:jc w:val="center"/>
            </w:pPr>
            <w:r>
              <w:t>2021</w:t>
            </w:r>
          </w:p>
        </w:tc>
        <w:tc>
          <w:tcPr>
            <w:tcW w:w="1417" w:type="dxa"/>
            <w:vMerge/>
          </w:tcPr>
          <w:p w14:paraId="0E15CBA7" w14:textId="77777777" w:rsidR="00454A29" w:rsidRDefault="00454A29"/>
        </w:tc>
        <w:tc>
          <w:tcPr>
            <w:tcW w:w="2204" w:type="dxa"/>
            <w:vMerge/>
          </w:tcPr>
          <w:p w14:paraId="75327A0A" w14:textId="77777777" w:rsidR="00454A29" w:rsidRDefault="00454A29"/>
        </w:tc>
        <w:tc>
          <w:tcPr>
            <w:tcW w:w="1417" w:type="dxa"/>
            <w:vMerge/>
          </w:tcPr>
          <w:p w14:paraId="2C80D090" w14:textId="77777777" w:rsidR="00454A29" w:rsidRDefault="00454A29"/>
        </w:tc>
        <w:tc>
          <w:tcPr>
            <w:tcW w:w="2324" w:type="dxa"/>
            <w:vMerge/>
          </w:tcPr>
          <w:p w14:paraId="64CDF2C3" w14:textId="77777777" w:rsidR="00454A29" w:rsidRDefault="00454A29"/>
        </w:tc>
        <w:tc>
          <w:tcPr>
            <w:tcW w:w="1701" w:type="dxa"/>
            <w:vAlign w:val="center"/>
          </w:tcPr>
          <w:p w14:paraId="4BE7037F" w14:textId="77777777" w:rsidR="00454A29" w:rsidRDefault="00454A29">
            <w:pPr>
              <w:pStyle w:val="ConsPlusNormal"/>
              <w:jc w:val="center"/>
            </w:pPr>
            <w:r>
              <w:t>-</w:t>
            </w:r>
          </w:p>
        </w:tc>
        <w:tc>
          <w:tcPr>
            <w:tcW w:w="1814" w:type="dxa"/>
            <w:vAlign w:val="center"/>
          </w:tcPr>
          <w:p w14:paraId="787E051C" w14:textId="77777777" w:rsidR="00454A29" w:rsidRDefault="00454A29">
            <w:pPr>
              <w:pStyle w:val="ConsPlusNormal"/>
            </w:pPr>
          </w:p>
        </w:tc>
        <w:tc>
          <w:tcPr>
            <w:tcW w:w="1701" w:type="dxa"/>
            <w:vAlign w:val="center"/>
          </w:tcPr>
          <w:p w14:paraId="15970B8B" w14:textId="77777777" w:rsidR="00454A29" w:rsidRDefault="00454A29">
            <w:pPr>
              <w:pStyle w:val="ConsPlusNormal"/>
            </w:pPr>
          </w:p>
        </w:tc>
        <w:tc>
          <w:tcPr>
            <w:tcW w:w="1701" w:type="dxa"/>
            <w:vAlign w:val="center"/>
          </w:tcPr>
          <w:p w14:paraId="5EA29D73" w14:textId="77777777" w:rsidR="00454A29" w:rsidRDefault="00454A29">
            <w:pPr>
              <w:pStyle w:val="ConsPlusNormal"/>
            </w:pPr>
          </w:p>
        </w:tc>
        <w:tc>
          <w:tcPr>
            <w:tcW w:w="1814" w:type="dxa"/>
            <w:vAlign w:val="center"/>
          </w:tcPr>
          <w:p w14:paraId="1F7F2955" w14:textId="77777777" w:rsidR="00454A29" w:rsidRDefault="00454A29">
            <w:pPr>
              <w:pStyle w:val="ConsPlusNormal"/>
            </w:pPr>
          </w:p>
        </w:tc>
      </w:tr>
      <w:tr w:rsidR="00454A29" w14:paraId="17BF96B7" w14:textId="77777777">
        <w:tc>
          <w:tcPr>
            <w:tcW w:w="567" w:type="dxa"/>
            <w:vMerge/>
          </w:tcPr>
          <w:p w14:paraId="7175634A" w14:textId="77777777" w:rsidR="00454A29" w:rsidRDefault="00454A29"/>
        </w:tc>
        <w:tc>
          <w:tcPr>
            <w:tcW w:w="3345" w:type="dxa"/>
            <w:vMerge/>
          </w:tcPr>
          <w:p w14:paraId="3F6F11AF" w14:textId="77777777" w:rsidR="00454A29" w:rsidRDefault="00454A29"/>
        </w:tc>
        <w:tc>
          <w:tcPr>
            <w:tcW w:w="1701" w:type="dxa"/>
            <w:vAlign w:val="center"/>
          </w:tcPr>
          <w:p w14:paraId="23062D89" w14:textId="77777777" w:rsidR="00454A29" w:rsidRDefault="00454A29">
            <w:pPr>
              <w:pStyle w:val="ConsPlusNormal"/>
              <w:jc w:val="center"/>
            </w:pPr>
            <w:r>
              <w:t>2022</w:t>
            </w:r>
          </w:p>
        </w:tc>
        <w:tc>
          <w:tcPr>
            <w:tcW w:w="1417" w:type="dxa"/>
            <w:vMerge/>
          </w:tcPr>
          <w:p w14:paraId="3F0D94C5" w14:textId="77777777" w:rsidR="00454A29" w:rsidRDefault="00454A29"/>
        </w:tc>
        <w:tc>
          <w:tcPr>
            <w:tcW w:w="2204" w:type="dxa"/>
            <w:vMerge/>
          </w:tcPr>
          <w:p w14:paraId="071125A8" w14:textId="77777777" w:rsidR="00454A29" w:rsidRDefault="00454A29"/>
        </w:tc>
        <w:tc>
          <w:tcPr>
            <w:tcW w:w="1417" w:type="dxa"/>
            <w:vMerge/>
          </w:tcPr>
          <w:p w14:paraId="37DE5A93" w14:textId="77777777" w:rsidR="00454A29" w:rsidRDefault="00454A29"/>
        </w:tc>
        <w:tc>
          <w:tcPr>
            <w:tcW w:w="2324" w:type="dxa"/>
            <w:vMerge/>
          </w:tcPr>
          <w:p w14:paraId="68458A3F" w14:textId="77777777" w:rsidR="00454A29" w:rsidRDefault="00454A29"/>
        </w:tc>
        <w:tc>
          <w:tcPr>
            <w:tcW w:w="1701" w:type="dxa"/>
            <w:vAlign w:val="center"/>
          </w:tcPr>
          <w:p w14:paraId="4ED592B7" w14:textId="77777777" w:rsidR="00454A29" w:rsidRDefault="00454A29">
            <w:pPr>
              <w:pStyle w:val="ConsPlusNormal"/>
            </w:pPr>
          </w:p>
        </w:tc>
        <w:tc>
          <w:tcPr>
            <w:tcW w:w="1814" w:type="dxa"/>
            <w:vAlign w:val="center"/>
          </w:tcPr>
          <w:p w14:paraId="726A4BAC" w14:textId="77777777" w:rsidR="00454A29" w:rsidRDefault="00454A29">
            <w:pPr>
              <w:pStyle w:val="ConsPlusNormal"/>
            </w:pPr>
          </w:p>
        </w:tc>
        <w:tc>
          <w:tcPr>
            <w:tcW w:w="1701" w:type="dxa"/>
            <w:vAlign w:val="center"/>
          </w:tcPr>
          <w:p w14:paraId="72E5F37A" w14:textId="77777777" w:rsidR="00454A29" w:rsidRDefault="00454A29">
            <w:pPr>
              <w:pStyle w:val="ConsPlusNormal"/>
            </w:pPr>
          </w:p>
        </w:tc>
        <w:tc>
          <w:tcPr>
            <w:tcW w:w="1701" w:type="dxa"/>
            <w:vAlign w:val="center"/>
          </w:tcPr>
          <w:p w14:paraId="7ABA8208" w14:textId="77777777" w:rsidR="00454A29" w:rsidRDefault="00454A29">
            <w:pPr>
              <w:pStyle w:val="ConsPlusNormal"/>
            </w:pPr>
          </w:p>
        </w:tc>
        <w:tc>
          <w:tcPr>
            <w:tcW w:w="1814" w:type="dxa"/>
            <w:vAlign w:val="center"/>
          </w:tcPr>
          <w:p w14:paraId="601B70B4" w14:textId="77777777" w:rsidR="00454A29" w:rsidRDefault="00454A29">
            <w:pPr>
              <w:pStyle w:val="ConsPlusNormal"/>
            </w:pPr>
          </w:p>
        </w:tc>
      </w:tr>
      <w:tr w:rsidR="00454A29" w14:paraId="7B0C46A3" w14:textId="77777777">
        <w:tc>
          <w:tcPr>
            <w:tcW w:w="567" w:type="dxa"/>
            <w:vMerge/>
          </w:tcPr>
          <w:p w14:paraId="2C059E7B" w14:textId="77777777" w:rsidR="00454A29" w:rsidRDefault="00454A29"/>
        </w:tc>
        <w:tc>
          <w:tcPr>
            <w:tcW w:w="3345" w:type="dxa"/>
            <w:vMerge/>
          </w:tcPr>
          <w:p w14:paraId="6E9DB0C5" w14:textId="77777777" w:rsidR="00454A29" w:rsidRDefault="00454A29"/>
        </w:tc>
        <w:tc>
          <w:tcPr>
            <w:tcW w:w="1701" w:type="dxa"/>
            <w:vAlign w:val="center"/>
          </w:tcPr>
          <w:p w14:paraId="32935879" w14:textId="77777777" w:rsidR="00454A29" w:rsidRDefault="00454A29">
            <w:pPr>
              <w:pStyle w:val="ConsPlusNormal"/>
              <w:jc w:val="center"/>
            </w:pPr>
            <w:r>
              <w:t>2023</w:t>
            </w:r>
          </w:p>
        </w:tc>
        <w:tc>
          <w:tcPr>
            <w:tcW w:w="1417" w:type="dxa"/>
            <w:vMerge/>
          </w:tcPr>
          <w:p w14:paraId="59B5EACE" w14:textId="77777777" w:rsidR="00454A29" w:rsidRDefault="00454A29"/>
        </w:tc>
        <w:tc>
          <w:tcPr>
            <w:tcW w:w="2204" w:type="dxa"/>
            <w:vMerge/>
          </w:tcPr>
          <w:p w14:paraId="32FDBA4D" w14:textId="77777777" w:rsidR="00454A29" w:rsidRDefault="00454A29"/>
        </w:tc>
        <w:tc>
          <w:tcPr>
            <w:tcW w:w="1417" w:type="dxa"/>
            <w:vMerge/>
          </w:tcPr>
          <w:p w14:paraId="4AE0F12A" w14:textId="77777777" w:rsidR="00454A29" w:rsidRDefault="00454A29"/>
        </w:tc>
        <w:tc>
          <w:tcPr>
            <w:tcW w:w="2324" w:type="dxa"/>
            <w:vMerge/>
          </w:tcPr>
          <w:p w14:paraId="3290C641" w14:textId="77777777" w:rsidR="00454A29" w:rsidRDefault="00454A29"/>
        </w:tc>
        <w:tc>
          <w:tcPr>
            <w:tcW w:w="1701" w:type="dxa"/>
            <w:vAlign w:val="center"/>
          </w:tcPr>
          <w:p w14:paraId="771277F6" w14:textId="77777777" w:rsidR="00454A29" w:rsidRDefault="00454A29">
            <w:pPr>
              <w:pStyle w:val="ConsPlusNormal"/>
              <w:jc w:val="center"/>
            </w:pPr>
            <w:r>
              <w:t>5 472,17</w:t>
            </w:r>
          </w:p>
        </w:tc>
        <w:tc>
          <w:tcPr>
            <w:tcW w:w="1814" w:type="dxa"/>
            <w:vAlign w:val="center"/>
          </w:tcPr>
          <w:p w14:paraId="1A911C18" w14:textId="77777777" w:rsidR="00454A29" w:rsidRDefault="00454A29">
            <w:pPr>
              <w:pStyle w:val="ConsPlusNormal"/>
              <w:jc w:val="center"/>
            </w:pPr>
            <w:r>
              <w:t>5 472,17</w:t>
            </w:r>
          </w:p>
        </w:tc>
        <w:tc>
          <w:tcPr>
            <w:tcW w:w="1701" w:type="dxa"/>
            <w:vAlign w:val="center"/>
          </w:tcPr>
          <w:p w14:paraId="4BEF84C8" w14:textId="77777777" w:rsidR="00454A29" w:rsidRDefault="00454A29">
            <w:pPr>
              <w:pStyle w:val="ConsPlusNormal"/>
            </w:pPr>
          </w:p>
        </w:tc>
        <w:tc>
          <w:tcPr>
            <w:tcW w:w="1701" w:type="dxa"/>
            <w:vAlign w:val="center"/>
          </w:tcPr>
          <w:p w14:paraId="3EC5D21C" w14:textId="77777777" w:rsidR="00454A29" w:rsidRDefault="00454A29">
            <w:pPr>
              <w:pStyle w:val="ConsPlusNormal"/>
            </w:pPr>
          </w:p>
        </w:tc>
        <w:tc>
          <w:tcPr>
            <w:tcW w:w="1814" w:type="dxa"/>
            <w:vAlign w:val="center"/>
          </w:tcPr>
          <w:p w14:paraId="461A53C3" w14:textId="77777777" w:rsidR="00454A29" w:rsidRDefault="00454A29">
            <w:pPr>
              <w:pStyle w:val="ConsPlusNormal"/>
            </w:pPr>
          </w:p>
        </w:tc>
      </w:tr>
      <w:tr w:rsidR="00454A29" w14:paraId="7C7F071E" w14:textId="77777777">
        <w:tc>
          <w:tcPr>
            <w:tcW w:w="567" w:type="dxa"/>
            <w:vMerge/>
          </w:tcPr>
          <w:p w14:paraId="20FEE383" w14:textId="77777777" w:rsidR="00454A29" w:rsidRDefault="00454A29"/>
        </w:tc>
        <w:tc>
          <w:tcPr>
            <w:tcW w:w="3345" w:type="dxa"/>
            <w:vMerge/>
          </w:tcPr>
          <w:p w14:paraId="6D6ADBA6" w14:textId="77777777" w:rsidR="00454A29" w:rsidRDefault="00454A29"/>
        </w:tc>
        <w:tc>
          <w:tcPr>
            <w:tcW w:w="1701" w:type="dxa"/>
            <w:vAlign w:val="center"/>
          </w:tcPr>
          <w:p w14:paraId="37795EF3" w14:textId="77777777" w:rsidR="00454A29" w:rsidRDefault="00454A29">
            <w:pPr>
              <w:pStyle w:val="ConsPlusNormal"/>
              <w:jc w:val="center"/>
            </w:pPr>
            <w:r>
              <w:t>2024</w:t>
            </w:r>
          </w:p>
        </w:tc>
        <w:tc>
          <w:tcPr>
            <w:tcW w:w="1417" w:type="dxa"/>
            <w:vMerge/>
          </w:tcPr>
          <w:p w14:paraId="463C5CA1" w14:textId="77777777" w:rsidR="00454A29" w:rsidRDefault="00454A29"/>
        </w:tc>
        <w:tc>
          <w:tcPr>
            <w:tcW w:w="2204" w:type="dxa"/>
            <w:vMerge/>
          </w:tcPr>
          <w:p w14:paraId="14BA69DA" w14:textId="77777777" w:rsidR="00454A29" w:rsidRDefault="00454A29"/>
        </w:tc>
        <w:tc>
          <w:tcPr>
            <w:tcW w:w="1417" w:type="dxa"/>
            <w:vMerge/>
          </w:tcPr>
          <w:p w14:paraId="4E7B901C" w14:textId="77777777" w:rsidR="00454A29" w:rsidRDefault="00454A29"/>
        </w:tc>
        <w:tc>
          <w:tcPr>
            <w:tcW w:w="2324" w:type="dxa"/>
            <w:vMerge/>
          </w:tcPr>
          <w:p w14:paraId="755459AF" w14:textId="77777777" w:rsidR="00454A29" w:rsidRDefault="00454A29"/>
        </w:tc>
        <w:tc>
          <w:tcPr>
            <w:tcW w:w="1701" w:type="dxa"/>
            <w:vAlign w:val="center"/>
          </w:tcPr>
          <w:p w14:paraId="400194C5" w14:textId="77777777" w:rsidR="00454A29" w:rsidRDefault="00454A29">
            <w:pPr>
              <w:pStyle w:val="ConsPlusNormal"/>
              <w:jc w:val="center"/>
            </w:pPr>
            <w:r>
              <w:t>-</w:t>
            </w:r>
          </w:p>
        </w:tc>
        <w:tc>
          <w:tcPr>
            <w:tcW w:w="1814" w:type="dxa"/>
            <w:vAlign w:val="center"/>
          </w:tcPr>
          <w:p w14:paraId="17B52FB2" w14:textId="77777777" w:rsidR="00454A29" w:rsidRDefault="00454A29">
            <w:pPr>
              <w:pStyle w:val="ConsPlusNormal"/>
            </w:pPr>
          </w:p>
        </w:tc>
        <w:tc>
          <w:tcPr>
            <w:tcW w:w="1701" w:type="dxa"/>
            <w:vAlign w:val="center"/>
          </w:tcPr>
          <w:p w14:paraId="1CF3893F" w14:textId="77777777" w:rsidR="00454A29" w:rsidRDefault="00454A29">
            <w:pPr>
              <w:pStyle w:val="ConsPlusNormal"/>
            </w:pPr>
          </w:p>
        </w:tc>
        <w:tc>
          <w:tcPr>
            <w:tcW w:w="1701" w:type="dxa"/>
            <w:vAlign w:val="center"/>
          </w:tcPr>
          <w:p w14:paraId="45E4F799" w14:textId="77777777" w:rsidR="00454A29" w:rsidRDefault="00454A29">
            <w:pPr>
              <w:pStyle w:val="ConsPlusNormal"/>
            </w:pPr>
          </w:p>
        </w:tc>
        <w:tc>
          <w:tcPr>
            <w:tcW w:w="1814" w:type="dxa"/>
            <w:vAlign w:val="center"/>
          </w:tcPr>
          <w:p w14:paraId="7BFB8DE2" w14:textId="77777777" w:rsidR="00454A29" w:rsidRDefault="00454A29">
            <w:pPr>
              <w:pStyle w:val="ConsPlusNormal"/>
            </w:pPr>
          </w:p>
        </w:tc>
      </w:tr>
      <w:tr w:rsidR="00454A29" w14:paraId="3F59441B" w14:textId="77777777">
        <w:tc>
          <w:tcPr>
            <w:tcW w:w="567" w:type="dxa"/>
            <w:vMerge/>
          </w:tcPr>
          <w:p w14:paraId="3040F905" w14:textId="77777777" w:rsidR="00454A29" w:rsidRDefault="00454A29"/>
        </w:tc>
        <w:tc>
          <w:tcPr>
            <w:tcW w:w="3345" w:type="dxa"/>
            <w:vMerge/>
          </w:tcPr>
          <w:p w14:paraId="479DF6AE" w14:textId="77777777" w:rsidR="00454A29" w:rsidRDefault="00454A29"/>
        </w:tc>
        <w:tc>
          <w:tcPr>
            <w:tcW w:w="1701" w:type="dxa"/>
            <w:vAlign w:val="center"/>
          </w:tcPr>
          <w:p w14:paraId="120D3E17" w14:textId="77777777" w:rsidR="00454A29" w:rsidRDefault="00454A29">
            <w:pPr>
              <w:pStyle w:val="ConsPlusNormal"/>
              <w:jc w:val="center"/>
            </w:pPr>
            <w:r>
              <w:t>2025</w:t>
            </w:r>
          </w:p>
        </w:tc>
        <w:tc>
          <w:tcPr>
            <w:tcW w:w="1417" w:type="dxa"/>
            <w:vMerge/>
          </w:tcPr>
          <w:p w14:paraId="2113B9C5" w14:textId="77777777" w:rsidR="00454A29" w:rsidRDefault="00454A29"/>
        </w:tc>
        <w:tc>
          <w:tcPr>
            <w:tcW w:w="2204" w:type="dxa"/>
            <w:vMerge/>
          </w:tcPr>
          <w:p w14:paraId="0CCA8400" w14:textId="77777777" w:rsidR="00454A29" w:rsidRDefault="00454A29"/>
        </w:tc>
        <w:tc>
          <w:tcPr>
            <w:tcW w:w="1417" w:type="dxa"/>
            <w:vMerge/>
          </w:tcPr>
          <w:p w14:paraId="5036A7C6" w14:textId="77777777" w:rsidR="00454A29" w:rsidRDefault="00454A29"/>
        </w:tc>
        <w:tc>
          <w:tcPr>
            <w:tcW w:w="2324" w:type="dxa"/>
            <w:vMerge/>
          </w:tcPr>
          <w:p w14:paraId="5BCF4479" w14:textId="77777777" w:rsidR="00454A29" w:rsidRDefault="00454A29"/>
        </w:tc>
        <w:tc>
          <w:tcPr>
            <w:tcW w:w="1701" w:type="dxa"/>
            <w:vAlign w:val="center"/>
          </w:tcPr>
          <w:p w14:paraId="3982C53A" w14:textId="77777777" w:rsidR="00454A29" w:rsidRDefault="00454A29">
            <w:pPr>
              <w:pStyle w:val="ConsPlusNormal"/>
              <w:jc w:val="center"/>
            </w:pPr>
            <w:r>
              <w:t>-</w:t>
            </w:r>
          </w:p>
        </w:tc>
        <w:tc>
          <w:tcPr>
            <w:tcW w:w="1814" w:type="dxa"/>
            <w:vAlign w:val="center"/>
          </w:tcPr>
          <w:p w14:paraId="68D511CB" w14:textId="77777777" w:rsidR="00454A29" w:rsidRDefault="00454A29">
            <w:pPr>
              <w:pStyle w:val="ConsPlusNormal"/>
            </w:pPr>
          </w:p>
        </w:tc>
        <w:tc>
          <w:tcPr>
            <w:tcW w:w="1701" w:type="dxa"/>
            <w:vAlign w:val="center"/>
          </w:tcPr>
          <w:p w14:paraId="51187CC6" w14:textId="77777777" w:rsidR="00454A29" w:rsidRDefault="00454A29">
            <w:pPr>
              <w:pStyle w:val="ConsPlusNormal"/>
            </w:pPr>
          </w:p>
        </w:tc>
        <w:tc>
          <w:tcPr>
            <w:tcW w:w="1701" w:type="dxa"/>
            <w:vAlign w:val="center"/>
          </w:tcPr>
          <w:p w14:paraId="3377A494" w14:textId="77777777" w:rsidR="00454A29" w:rsidRDefault="00454A29">
            <w:pPr>
              <w:pStyle w:val="ConsPlusNormal"/>
            </w:pPr>
          </w:p>
        </w:tc>
        <w:tc>
          <w:tcPr>
            <w:tcW w:w="1814" w:type="dxa"/>
            <w:vAlign w:val="center"/>
          </w:tcPr>
          <w:p w14:paraId="0FF183C8" w14:textId="77777777" w:rsidR="00454A29" w:rsidRDefault="00454A29">
            <w:pPr>
              <w:pStyle w:val="ConsPlusNormal"/>
            </w:pPr>
          </w:p>
        </w:tc>
      </w:tr>
      <w:tr w:rsidR="00454A29" w14:paraId="4F21C0C8" w14:textId="77777777">
        <w:tc>
          <w:tcPr>
            <w:tcW w:w="567" w:type="dxa"/>
            <w:vMerge/>
          </w:tcPr>
          <w:p w14:paraId="5E969F57" w14:textId="77777777" w:rsidR="00454A29" w:rsidRDefault="00454A29"/>
        </w:tc>
        <w:tc>
          <w:tcPr>
            <w:tcW w:w="3345" w:type="dxa"/>
            <w:vMerge/>
          </w:tcPr>
          <w:p w14:paraId="536BBD26" w14:textId="77777777" w:rsidR="00454A29" w:rsidRDefault="00454A29"/>
        </w:tc>
        <w:tc>
          <w:tcPr>
            <w:tcW w:w="1701" w:type="dxa"/>
            <w:vAlign w:val="center"/>
          </w:tcPr>
          <w:p w14:paraId="67442DE6" w14:textId="77777777" w:rsidR="00454A29" w:rsidRDefault="00454A29">
            <w:pPr>
              <w:pStyle w:val="ConsPlusNormal"/>
              <w:jc w:val="center"/>
            </w:pPr>
            <w:r>
              <w:t>2026</w:t>
            </w:r>
          </w:p>
        </w:tc>
        <w:tc>
          <w:tcPr>
            <w:tcW w:w="1417" w:type="dxa"/>
            <w:vMerge/>
          </w:tcPr>
          <w:p w14:paraId="3DA1BB41" w14:textId="77777777" w:rsidR="00454A29" w:rsidRDefault="00454A29"/>
        </w:tc>
        <w:tc>
          <w:tcPr>
            <w:tcW w:w="2204" w:type="dxa"/>
            <w:vMerge/>
          </w:tcPr>
          <w:p w14:paraId="00997945" w14:textId="77777777" w:rsidR="00454A29" w:rsidRDefault="00454A29"/>
        </w:tc>
        <w:tc>
          <w:tcPr>
            <w:tcW w:w="1417" w:type="dxa"/>
            <w:vMerge/>
          </w:tcPr>
          <w:p w14:paraId="1ACDF894" w14:textId="77777777" w:rsidR="00454A29" w:rsidRDefault="00454A29"/>
        </w:tc>
        <w:tc>
          <w:tcPr>
            <w:tcW w:w="2324" w:type="dxa"/>
            <w:vMerge/>
          </w:tcPr>
          <w:p w14:paraId="6AC5F532" w14:textId="77777777" w:rsidR="00454A29" w:rsidRDefault="00454A29"/>
        </w:tc>
        <w:tc>
          <w:tcPr>
            <w:tcW w:w="1701" w:type="dxa"/>
            <w:vAlign w:val="center"/>
          </w:tcPr>
          <w:p w14:paraId="475C63AE" w14:textId="77777777" w:rsidR="00454A29" w:rsidRDefault="00454A29">
            <w:pPr>
              <w:pStyle w:val="ConsPlusNormal"/>
              <w:jc w:val="center"/>
            </w:pPr>
            <w:r>
              <w:t>-</w:t>
            </w:r>
          </w:p>
        </w:tc>
        <w:tc>
          <w:tcPr>
            <w:tcW w:w="1814" w:type="dxa"/>
            <w:vAlign w:val="center"/>
          </w:tcPr>
          <w:p w14:paraId="3E68EAA5" w14:textId="77777777" w:rsidR="00454A29" w:rsidRDefault="00454A29">
            <w:pPr>
              <w:pStyle w:val="ConsPlusNormal"/>
            </w:pPr>
          </w:p>
        </w:tc>
        <w:tc>
          <w:tcPr>
            <w:tcW w:w="1701" w:type="dxa"/>
            <w:vAlign w:val="center"/>
          </w:tcPr>
          <w:p w14:paraId="59FE8D03" w14:textId="77777777" w:rsidR="00454A29" w:rsidRDefault="00454A29">
            <w:pPr>
              <w:pStyle w:val="ConsPlusNormal"/>
            </w:pPr>
          </w:p>
        </w:tc>
        <w:tc>
          <w:tcPr>
            <w:tcW w:w="1701" w:type="dxa"/>
            <w:vAlign w:val="center"/>
          </w:tcPr>
          <w:p w14:paraId="15749A76" w14:textId="77777777" w:rsidR="00454A29" w:rsidRDefault="00454A29">
            <w:pPr>
              <w:pStyle w:val="ConsPlusNormal"/>
            </w:pPr>
          </w:p>
        </w:tc>
        <w:tc>
          <w:tcPr>
            <w:tcW w:w="1814" w:type="dxa"/>
            <w:vAlign w:val="center"/>
          </w:tcPr>
          <w:p w14:paraId="355669B3" w14:textId="77777777" w:rsidR="00454A29" w:rsidRDefault="00454A29">
            <w:pPr>
              <w:pStyle w:val="ConsPlusNormal"/>
            </w:pPr>
          </w:p>
        </w:tc>
      </w:tr>
      <w:tr w:rsidR="00454A29" w14:paraId="22628F8F" w14:textId="77777777">
        <w:tc>
          <w:tcPr>
            <w:tcW w:w="567" w:type="dxa"/>
            <w:vMerge w:val="restart"/>
            <w:vAlign w:val="center"/>
          </w:tcPr>
          <w:p w14:paraId="5CEDA0CE" w14:textId="77777777" w:rsidR="00454A29" w:rsidRDefault="00454A29">
            <w:pPr>
              <w:pStyle w:val="ConsPlusNormal"/>
              <w:jc w:val="center"/>
            </w:pPr>
            <w:r>
              <w:t>94</w:t>
            </w:r>
          </w:p>
        </w:tc>
        <w:tc>
          <w:tcPr>
            <w:tcW w:w="3345" w:type="dxa"/>
            <w:vMerge w:val="restart"/>
            <w:vAlign w:val="center"/>
          </w:tcPr>
          <w:p w14:paraId="233EEB1C" w14:textId="77777777" w:rsidR="00454A29" w:rsidRDefault="00454A29">
            <w:pPr>
              <w:pStyle w:val="ConsPlusNormal"/>
              <w:jc w:val="center"/>
            </w:pPr>
            <w:r>
              <w:t>Приобретение здания для Ленского технологического техникума в г. Ленске Ленского района</w:t>
            </w:r>
          </w:p>
        </w:tc>
        <w:tc>
          <w:tcPr>
            <w:tcW w:w="1701" w:type="dxa"/>
            <w:vAlign w:val="center"/>
          </w:tcPr>
          <w:p w14:paraId="3FCE56B5" w14:textId="77777777" w:rsidR="00454A29" w:rsidRDefault="00454A29">
            <w:pPr>
              <w:pStyle w:val="ConsPlusNormal"/>
              <w:jc w:val="center"/>
            </w:pPr>
            <w:r>
              <w:t>Всего:</w:t>
            </w:r>
          </w:p>
        </w:tc>
        <w:tc>
          <w:tcPr>
            <w:tcW w:w="1417" w:type="dxa"/>
            <w:vMerge w:val="restart"/>
            <w:vAlign w:val="center"/>
          </w:tcPr>
          <w:p w14:paraId="69E126CF" w14:textId="77777777" w:rsidR="00454A29" w:rsidRDefault="00454A29">
            <w:pPr>
              <w:pStyle w:val="ConsPlusNormal"/>
              <w:jc w:val="center"/>
            </w:pPr>
            <w:r>
              <w:t>140 000,00</w:t>
            </w:r>
          </w:p>
        </w:tc>
        <w:tc>
          <w:tcPr>
            <w:tcW w:w="2204" w:type="dxa"/>
            <w:vMerge w:val="restart"/>
            <w:vAlign w:val="center"/>
          </w:tcPr>
          <w:p w14:paraId="7D9AB0DB" w14:textId="77777777" w:rsidR="00454A29" w:rsidRDefault="00454A29">
            <w:pPr>
              <w:pStyle w:val="ConsPlusNormal"/>
            </w:pPr>
          </w:p>
        </w:tc>
        <w:tc>
          <w:tcPr>
            <w:tcW w:w="1417" w:type="dxa"/>
            <w:vMerge w:val="restart"/>
            <w:vAlign w:val="center"/>
          </w:tcPr>
          <w:p w14:paraId="327FC3B6" w14:textId="77777777" w:rsidR="00454A29" w:rsidRDefault="00454A29">
            <w:pPr>
              <w:pStyle w:val="ConsPlusNormal"/>
              <w:jc w:val="center"/>
            </w:pPr>
            <w:r>
              <w:t>500</w:t>
            </w:r>
          </w:p>
        </w:tc>
        <w:tc>
          <w:tcPr>
            <w:tcW w:w="2324" w:type="dxa"/>
            <w:vMerge w:val="restart"/>
            <w:vAlign w:val="center"/>
          </w:tcPr>
          <w:p w14:paraId="6A83E439"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0D74701" w14:textId="77777777" w:rsidR="00454A29" w:rsidRDefault="00454A29">
            <w:pPr>
              <w:pStyle w:val="ConsPlusNormal"/>
              <w:jc w:val="center"/>
            </w:pPr>
            <w:r>
              <w:t>74 480,00</w:t>
            </w:r>
          </w:p>
        </w:tc>
        <w:tc>
          <w:tcPr>
            <w:tcW w:w="1814" w:type="dxa"/>
            <w:vAlign w:val="center"/>
          </w:tcPr>
          <w:p w14:paraId="3DCBEB92" w14:textId="77777777" w:rsidR="00454A29" w:rsidRDefault="00454A29">
            <w:pPr>
              <w:pStyle w:val="ConsPlusNormal"/>
              <w:jc w:val="center"/>
            </w:pPr>
            <w:r>
              <w:t>64 480,00</w:t>
            </w:r>
          </w:p>
        </w:tc>
        <w:tc>
          <w:tcPr>
            <w:tcW w:w="1701" w:type="dxa"/>
            <w:vAlign w:val="center"/>
          </w:tcPr>
          <w:p w14:paraId="531923B1" w14:textId="77777777" w:rsidR="00454A29" w:rsidRDefault="00454A29">
            <w:pPr>
              <w:pStyle w:val="ConsPlusNormal"/>
              <w:jc w:val="center"/>
            </w:pPr>
            <w:r>
              <w:t>-</w:t>
            </w:r>
          </w:p>
        </w:tc>
        <w:tc>
          <w:tcPr>
            <w:tcW w:w="1701" w:type="dxa"/>
            <w:vAlign w:val="center"/>
          </w:tcPr>
          <w:p w14:paraId="067B2D79" w14:textId="77777777" w:rsidR="00454A29" w:rsidRDefault="00454A29">
            <w:pPr>
              <w:pStyle w:val="ConsPlusNormal"/>
              <w:jc w:val="center"/>
            </w:pPr>
            <w:r>
              <w:t>10 000,00</w:t>
            </w:r>
          </w:p>
        </w:tc>
        <w:tc>
          <w:tcPr>
            <w:tcW w:w="1814" w:type="dxa"/>
            <w:vAlign w:val="center"/>
          </w:tcPr>
          <w:p w14:paraId="3E8C2B36" w14:textId="77777777" w:rsidR="00454A29" w:rsidRDefault="00454A29">
            <w:pPr>
              <w:pStyle w:val="ConsPlusNormal"/>
              <w:jc w:val="center"/>
            </w:pPr>
            <w:r>
              <w:t>-</w:t>
            </w:r>
          </w:p>
        </w:tc>
      </w:tr>
      <w:tr w:rsidR="00454A29" w14:paraId="42DE10FC" w14:textId="77777777">
        <w:tc>
          <w:tcPr>
            <w:tcW w:w="567" w:type="dxa"/>
            <w:vMerge/>
          </w:tcPr>
          <w:p w14:paraId="3A2A2BBA" w14:textId="77777777" w:rsidR="00454A29" w:rsidRDefault="00454A29"/>
        </w:tc>
        <w:tc>
          <w:tcPr>
            <w:tcW w:w="3345" w:type="dxa"/>
            <w:vMerge/>
          </w:tcPr>
          <w:p w14:paraId="7EDC630C" w14:textId="77777777" w:rsidR="00454A29" w:rsidRDefault="00454A29"/>
        </w:tc>
        <w:tc>
          <w:tcPr>
            <w:tcW w:w="1701" w:type="dxa"/>
            <w:vAlign w:val="center"/>
          </w:tcPr>
          <w:p w14:paraId="67D0B373" w14:textId="77777777" w:rsidR="00454A29" w:rsidRDefault="00454A29">
            <w:pPr>
              <w:pStyle w:val="ConsPlusNormal"/>
              <w:jc w:val="center"/>
            </w:pPr>
            <w:r>
              <w:t>2020</w:t>
            </w:r>
          </w:p>
        </w:tc>
        <w:tc>
          <w:tcPr>
            <w:tcW w:w="1417" w:type="dxa"/>
            <w:vMerge/>
          </w:tcPr>
          <w:p w14:paraId="4C8138CA" w14:textId="77777777" w:rsidR="00454A29" w:rsidRDefault="00454A29"/>
        </w:tc>
        <w:tc>
          <w:tcPr>
            <w:tcW w:w="2204" w:type="dxa"/>
            <w:vMerge/>
          </w:tcPr>
          <w:p w14:paraId="146C7A72" w14:textId="77777777" w:rsidR="00454A29" w:rsidRDefault="00454A29"/>
        </w:tc>
        <w:tc>
          <w:tcPr>
            <w:tcW w:w="1417" w:type="dxa"/>
            <w:vMerge/>
          </w:tcPr>
          <w:p w14:paraId="20A231D2" w14:textId="77777777" w:rsidR="00454A29" w:rsidRDefault="00454A29"/>
        </w:tc>
        <w:tc>
          <w:tcPr>
            <w:tcW w:w="2324" w:type="dxa"/>
            <w:vMerge/>
          </w:tcPr>
          <w:p w14:paraId="095E06EE" w14:textId="77777777" w:rsidR="00454A29" w:rsidRDefault="00454A29"/>
        </w:tc>
        <w:tc>
          <w:tcPr>
            <w:tcW w:w="1701" w:type="dxa"/>
            <w:vAlign w:val="center"/>
          </w:tcPr>
          <w:p w14:paraId="773C906E" w14:textId="77777777" w:rsidR="00454A29" w:rsidRDefault="00454A29">
            <w:pPr>
              <w:pStyle w:val="ConsPlusNormal"/>
            </w:pPr>
          </w:p>
        </w:tc>
        <w:tc>
          <w:tcPr>
            <w:tcW w:w="1814" w:type="dxa"/>
            <w:vAlign w:val="center"/>
          </w:tcPr>
          <w:p w14:paraId="697DC019" w14:textId="77777777" w:rsidR="00454A29" w:rsidRDefault="00454A29">
            <w:pPr>
              <w:pStyle w:val="ConsPlusNormal"/>
            </w:pPr>
          </w:p>
        </w:tc>
        <w:tc>
          <w:tcPr>
            <w:tcW w:w="1701" w:type="dxa"/>
            <w:vAlign w:val="center"/>
          </w:tcPr>
          <w:p w14:paraId="183F6DE7" w14:textId="77777777" w:rsidR="00454A29" w:rsidRDefault="00454A29">
            <w:pPr>
              <w:pStyle w:val="ConsPlusNormal"/>
            </w:pPr>
          </w:p>
        </w:tc>
        <w:tc>
          <w:tcPr>
            <w:tcW w:w="1701" w:type="dxa"/>
            <w:vAlign w:val="center"/>
          </w:tcPr>
          <w:p w14:paraId="54680332" w14:textId="77777777" w:rsidR="00454A29" w:rsidRDefault="00454A29">
            <w:pPr>
              <w:pStyle w:val="ConsPlusNormal"/>
            </w:pPr>
          </w:p>
        </w:tc>
        <w:tc>
          <w:tcPr>
            <w:tcW w:w="1814" w:type="dxa"/>
            <w:vAlign w:val="center"/>
          </w:tcPr>
          <w:p w14:paraId="354F6B8F" w14:textId="77777777" w:rsidR="00454A29" w:rsidRDefault="00454A29">
            <w:pPr>
              <w:pStyle w:val="ConsPlusNormal"/>
            </w:pPr>
          </w:p>
        </w:tc>
      </w:tr>
      <w:tr w:rsidR="00454A29" w14:paraId="34BD6368" w14:textId="77777777">
        <w:tc>
          <w:tcPr>
            <w:tcW w:w="567" w:type="dxa"/>
            <w:vMerge/>
          </w:tcPr>
          <w:p w14:paraId="5C3E6AB0" w14:textId="77777777" w:rsidR="00454A29" w:rsidRDefault="00454A29"/>
        </w:tc>
        <w:tc>
          <w:tcPr>
            <w:tcW w:w="3345" w:type="dxa"/>
            <w:vMerge/>
          </w:tcPr>
          <w:p w14:paraId="618FC54A" w14:textId="77777777" w:rsidR="00454A29" w:rsidRDefault="00454A29"/>
        </w:tc>
        <w:tc>
          <w:tcPr>
            <w:tcW w:w="1701" w:type="dxa"/>
            <w:vAlign w:val="center"/>
          </w:tcPr>
          <w:p w14:paraId="6390A28A" w14:textId="77777777" w:rsidR="00454A29" w:rsidRDefault="00454A29">
            <w:pPr>
              <w:pStyle w:val="ConsPlusNormal"/>
              <w:jc w:val="center"/>
            </w:pPr>
            <w:r>
              <w:t>2021</w:t>
            </w:r>
          </w:p>
        </w:tc>
        <w:tc>
          <w:tcPr>
            <w:tcW w:w="1417" w:type="dxa"/>
            <w:vMerge/>
          </w:tcPr>
          <w:p w14:paraId="3EB86F3C" w14:textId="77777777" w:rsidR="00454A29" w:rsidRDefault="00454A29"/>
        </w:tc>
        <w:tc>
          <w:tcPr>
            <w:tcW w:w="2204" w:type="dxa"/>
            <w:vMerge/>
          </w:tcPr>
          <w:p w14:paraId="4490283D" w14:textId="77777777" w:rsidR="00454A29" w:rsidRDefault="00454A29"/>
        </w:tc>
        <w:tc>
          <w:tcPr>
            <w:tcW w:w="1417" w:type="dxa"/>
            <w:vMerge/>
          </w:tcPr>
          <w:p w14:paraId="69648506" w14:textId="77777777" w:rsidR="00454A29" w:rsidRDefault="00454A29"/>
        </w:tc>
        <w:tc>
          <w:tcPr>
            <w:tcW w:w="2324" w:type="dxa"/>
            <w:vMerge/>
          </w:tcPr>
          <w:p w14:paraId="5050215A" w14:textId="77777777" w:rsidR="00454A29" w:rsidRDefault="00454A29"/>
        </w:tc>
        <w:tc>
          <w:tcPr>
            <w:tcW w:w="1701" w:type="dxa"/>
            <w:vAlign w:val="center"/>
          </w:tcPr>
          <w:p w14:paraId="2D1C624C" w14:textId="77777777" w:rsidR="00454A29" w:rsidRDefault="00454A29">
            <w:pPr>
              <w:pStyle w:val="ConsPlusNormal"/>
              <w:jc w:val="center"/>
            </w:pPr>
            <w:r>
              <w:t>-</w:t>
            </w:r>
          </w:p>
        </w:tc>
        <w:tc>
          <w:tcPr>
            <w:tcW w:w="1814" w:type="dxa"/>
            <w:vAlign w:val="center"/>
          </w:tcPr>
          <w:p w14:paraId="34F3C6F7" w14:textId="77777777" w:rsidR="00454A29" w:rsidRDefault="00454A29">
            <w:pPr>
              <w:pStyle w:val="ConsPlusNormal"/>
            </w:pPr>
          </w:p>
        </w:tc>
        <w:tc>
          <w:tcPr>
            <w:tcW w:w="1701" w:type="dxa"/>
            <w:vAlign w:val="center"/>
          </w:tcPr>
          <w:p w14:paraId="0724C4E8" w14:textId="77777777" w:rsidR="00454A29" w:rsidRDefault="00454A29">
            <w:pPr>
              <w:pStyle w:val="ConsPlusNormal"/>
            </w:pPr>
          </w:p>
        </w:tc>
        <w:tc>
          <w:tcPr>
            <w:tcW w:w="1701" w:type="dxa"/>
            <w:vAlign w:val="center"/>
          </w:tcPr>
          <w:p w14:paraId="28A29D39" w14:textId="77777777" w:rsidR="00454A29" w:rsidRDefault="00454A29">
            <w:pPr>
              <w:pStyle w:val="ConsPlusNormal"/>
            </w:pPr>
          </w:p>
        </w:tc>
        <w:tc>
          <w:tcPr>
            <w:tcW w:w="1814" w:type="dxa"/>
            <w:vAlign w:val="center"/>
          </w:tcPr>
          <w:p w14:paraId="01765C3E" w14:textId="77777777" w:rsidR="00454A29" w:rsidRDefault="00454A29">
            <w:pPr>
              <w:pStyle w:val="ConsPlusNormal"/>
            </w:pPr>
          </w:p>
        </w:tc>
      </w:tr>
      <w:tr w:rsidR="00454A29" w14:paraId="5A04F57D" w14:textId="77777777">
        <w:tc>
          <w:tcPr>
            <w:tcW w:w="567" w:type="dxa"/>
            <w:vMerge/>
          </w:tcPr>
          <w:p w14:paraId="609B5F0D" w14:textId="77777777" w:rsidR="00454A29" w:rsidRDefault="00454A29"/>
        </w:tc>
        <w:tc>
          <w:tcPr>
            <w:tcW w:w="3345" w:type="dxa"/>
            <w:vMerge/>
          </w:tcPr>
          <w:p w14:paraId="439A6BFF" w14:textId="77777777" w:rsidR="00454A29" w:rsidRDefault="00454A29"/>
        </w:tc>
        <w:tc>
          <w:tcPr>
            <w:tcW w:w="1701" w:type="dxa"/>
            <w:vAlign w:val="center"/>
          </w:tcPr>
          <w:p w14:paraId="162DF7F2" w14:textId="77777777" w:rsidR="00454A29" w:rsidRDefault="00454A29">
            <w:pPr>
              <w:pStyle w:val="ConsPlusNormal"/>
              <w:jc w:val="center"/>
            </w:pPr>
            <w:r>
              <w:t>2022</w:t>
            </w:r>
          </w:p>
        </w:tc>
        <w:tc>
          <w:tcPr>
            <w:tcW w:w="1417" w:type="dxa"/>
            <w:vMerge/>
          </w:tcPr>
          <w:p w14:paraId="7C8DBE60" w14:textId="77777777" w:rsidR="00454A29" w:rsidRDefault="00454A29"/>
        </w:tc>
        <w:tc>
          <w:tcPr>
            <w:tcW w:w="2204" w:type="dxa"/>
            <w:vMerge/>
          </w:tcPr>
          <w:p w14:paraId="64CD634E" w14:textId="77777777" w:rsidR="00454A29" w:rsidRDefault="00454A29"/>
        </w:tc>
        <w:tc>
          <w:tcPr>
            <w:tcW w:w="1417" w:type="dxa"/>
            <w:vMerge/>
          </w:tcPr>
          <w:p w14:paraId="3667A00C" w14:textId="77777777" w:rsidR="00454A29" w:rsidRDefault="00454A29"/>
        </w:tc>
        <w:tc>
          <w:tcPr>
            <w:tcW w:w="2324" w:type="dxa"/>
            <w:vMerge/>
          </w:tcPr>
          <w:p w14:paraId="4073B7BD" w14:textId="77777777" w:rsidR="00454A29" w:rsidRDefault="00454A29"/>
        </w:tc>
        <w:tc>
          <w:tcPr>
            <w:tcW w:w="1701" w:type="dxa"/>
            <w:vAlign w:val="center"/>
          </w:tcPr>
          <w:p w14:paraId="325C9D29" w14:textId="77777777" w:rsidR="00454A29" w:rsidRDefault="00454A29">
            <w:pPr>
              <w:pStyle w:val="ConsPlusNormal"/>
              <w:jc w:val="center"/>
            </w:pPr>
            <w:r>
              <w:t>-</w:t>
            </w:r>
          </w:p>
        </w:tc>
        <w:tc>
          <w:tcPr>
            <w:tcW w:w="1814" w:type="dxa"/>
            <w:vAlign w:val="center"/>
          </w:tcPr>
          <w:p w14:paraId="2605FD05" w14:textId="77777777" w:rsidR="00454A29" w:rsidRDefault="00454A29">
            <w:pPr>
              <w:pStyle w:val="ConsPlusNormal"/>
            </w:pPr>
          </w:p>
        </w:tc>
        <w:tc>
          <w:tcPr>
            <w:tcW w:w="1701" w:type="dxa"/>
            <w:vAlign w:val="center"/>
          </w:tcPr>
          <w:p w14:paraId="4EC87B76" w14:textId="77777777" w:rsidR="00454A29" w:rsidRDefault="00454A29">
            <w:pPr>
              <w:pStyle w:val="ConsPlusNormal"/>
            </w:pPr>
          </w:p>
        </w:tc>
        <w:tc>
          <w:tcPr>
            <w:tcW w:w="1701" w:type="dxa"/>
            <w:vAlign w:val="center"/>
          </w:tcPr>
          <w:p w14:paraId="7C35451D" w14:textId="77777777" w:rsidR="00454A29" w:rsidRDefault="00454A29">
            <w:pPr>
              <w:pStyle w:val="ConsPlusNormal"/>
            </w:pPr>
          </w:p>
        </w:tc>
        <w:tc>
          <w:tcPr>
            <w:tcW w:w="1814" w:type="dxa"/>
            <w:vAlign w:val="center"/>
          </w:tcPr>
          <w:p w14:paraId="22A97547" w14:textId="77777777" w:rsidR="00454A29" w:rsidRDefault="00454A29">
            <w:pPr>
              <w:pStyle w:val="ConsPlusNormal"/>
            </w:pPr>
          </w:p>
        </w:tc>
      </w:tr>
      <w:tr w:rsidR="00454A29" w14:paraId="2BB12789" w14:textId="77777777">
        <w:tc>
          <w:tcPr>
            <w:tcW w:w="567" w:type="dxa"/>
            <w:vMerge/>
          </w:tcPr>
          <w:p w14:paraId="0B4AAE4E" w14:textId="77777777" w:rsidR="00454A29" w:rsidRDefault="00454A29"/>
        </w:tc>
        <w:tc>
          <w:tcPr>
            <w:tcW w:w="3345" w:type="dxa"/>
            <w:vMerge/>
          </w:tcPr>
          <w:p w14:paraId="4B0D9D68" w14:textId="77777777" w:rsidR="00454A29" w:rsidRDefault="00454A29"/>
        </w:tc>
        <w:tc>
          <w:tcPr>
            <w:tcW w:w="1701" w:type="dxa"/>
            <w:vAlign w:val="center"/>
          </w:tcPr>
          <w:p w14:paraId="645C8C06" w14:textId="77777777" w:rsidR="00454A29" w:rsidRDefault="00454A29">
            <w:pPr>
              <w:pStyle w:val="ConsPlusNormal"/>
              <w:jc w:val="center"/>
            </w:pPr>
            <w:r>
              <w:t>2023</w:t>
            </w:r>
          </w:p>
        </w:tc>
        <w:tc>
          <w:tcPr>
            <w:tcW w:w="1417" w:type="dxa"/>
            <w:vMerge/>
          </w:tcPr>
          <w:p w14:paraId="4D74BBF0" w14:textId="77777777" w:rsidR="00454A29" w:rsidRDefault="00454A29"/>
        </w:tc>
        <w:tc>
          <w:tcPr>
            <w:tcW w:w="2204" w:type="dxa"/>
            <w:vMerge/>
          </w:tcPr>
          <w:p w14:paraId="125AC666" w14:textId="77777777" w:rsidR="00454A29" w:rsidRDefault="00454A29"/>
        </w:tc>
        <w:tc>
          <w:tcPr>
            <w:tcW w:w="1417" w:type="dxa"/>
            <w:vMerge/>
          </w:tcPr>
          <w:p w14:paraId="3F79F339" w14:textId="77777777" w:rsidR="00454A29" w:rsidRDefault="00454A29"/>
        </w:tc>
        <w:tc>
          <w:tcPr>
            <w:tcW w:w="2324" w:type="dxa"/>
            <w:vMerge/>
          </w:tcPr>
          <w:p w14:paraId="4474A614" w14:textId="77777777" w:rsidR="00454A29" w:rsidRDefault="00454A29"/>
        </w:tc>
        <w:tc>
          <w:tcPr>
            <w:tcW w:w="1701" w:type="dxa"/>
            <w:vAlign w:val="center"/>
          </w:tcPr>
          <w:p w14:paraId="4A1414F9" w14:textId="77777777" w:rsidR="00454A29" w:rsidRDefault="00454A29">
            <w:pPr>
              <w:pStyle w:val="ConsPlusNormal"/>
              <w:jc w:val="center"/>
            </w:pPr>
            <w:r>
              <w:t>74 480,00</w:t>
            </w:r>
          </w:p>
        </w:tc>
        <w:tc>
          <w:tcPr>
            <w:tcW w:w="1814" w:type="dxa"/>
            <w:vAlign w:val="center"/>
          </w:tcPr>
          <w:p w14:paraId="7F7567C6" w14:textId="77777777" w:rsidR="00454A29" w:rsidRDefault="00454A29">
            <w:pPr>
              <w:pStyle w:val="ConsPlusNormal"/>
              <w:jc w:val="center"/>
            </w:pPr>
            <w:r>
              <w:t>64 480,00</w:t>
            </w:r>
          </w:p>
        </w:tc>
        <w:tc>
          <w:tcPr>
            <w:tcW w:w="1701" w:type="dxa"/>
            <w:vAlign w:val="center"/>
          </w:tcPr>
          <w:p w14:paraId="561B1688" w14:textId="77777777" w:rsidR="00454A29" w:rsidRDefault="00454A29">
            <w:pPr>
              <w:pStyle w:val="ConsPlusNormal"/>
            </w:pPr>
          </w:p>
        </w:tc>
        <w:tc>
          <w:tcPr>
            <w:tcW w:w="1701" w:type="dxa"/>
            <w:vAlign w:val="center"/>
          </w:tcPr>
          <w:p w14:paraId="683C4621" w14:textId="77777777" w:rsidR="00454A29" w:rsidRDefault="00454A29">
            <w:pPr>
              <w:pStyle w:val="ConsPlusNormal"/>
              <w:jc w:val="center"/>
            </w:pPr>
            <w:r>
              <w:t>10 000,00</w:t>
            </w:r>
          </w:p>
        </w:tc>
        <w:tc>
          <w:tcPr>
            <w:tcW w:w="1814" w:type="dxa"/>
            <w:vAlign w:val="center"/>
          </w:tcPr>
          <w:p w14:paraId="6B5B6150" w14:textId="77777777" w:rsidR="00454A29" w:rsidRDefault="00454A29">
            <w:pPr>
              <w:pStyle w:val="ConsPlusNormal"/>
            </w:pPr>
          </w:p>
        </w:tc>
      </w:tr>
      <w:tr w:rsidR="00454A29" w14:paraId="6841FEC0" w14:textId="77777777">
        <w:tc>
          <w:tcPr>
            <w:tcW w:w="567" w:type="dxa"/>
            <w:vMerge/>
          </w:tcPr>
          <w:p w14:paraId="464674C8" w14:textId="77777777" w:rsidR="00454A29" w:rsidRDefault="00454A29"/>
        </w:tc>
        <w:tc>
          <w:tcPr>
            <w:tcW w:w="3345" w:type="dxa"/>
            <w:vMerge/>
          </w:tcPr>
          <w:p w14:paraId="17FAF779" w14:textId="77777777" w:rsidR="00454A29" w:rsidRDefault="00454A29"/>
        </w:tc>
        <w:tc>
          <w:tcPr>
            <w:tcW w:w="1701" w:type="dxa"/>
            <w:vAlign w:val="center"/>
          </w:tcPr>
          <w:p w14:paraId="11F49621" w14:textId="77777777" w:rsidR="00454A29" w:rsidRDefault="00454A29">
            <w:pPr>
              <w:pStyle w:val="ConsPlusNormal"/>
              <w:jc w:val="center"/>
            </w:pPr>
            <w:r>
              <w:t>2024</w:t>
            </w:r>
          </w:p>
        </w:tc>
        <w:tc>
          <w:tcPr>
            <w:tcW w:w="1417" w:type="dxa"/>
            <w:vMerge/>
          </w:tcPr>
          <w:p w14:paraId="6F303A2A" w14:textId="77777777" w:rsidR="00454A29" w:rsidRDefault="00454A29"/>
        </w:tc>
        <w:tc>
          <w:tcPr>
            <w:tcW w:w="2204" w:type="dxa"/>
            <w:vMerge/>
          </w:tcPr>
          <w:p w14:paraId="283456B8" w14:textId="77777777" w:rsidR="00454A29" w:rsidRDefault="00454A29"/>
        </w:tc>
        <w:tc>
          <w:tcPr>
            <w:tcW w:w="1417" w:type="dxa"/>
            <w:vMerge/>
          </w:tcPr>
          <w:p w14:paraId="7AEF9540" w14:textId="77777777" w:rsidR="00454A29" w:rsidRDefault="00454A29"/>
        </w:tc>
        <w:tc>
          <w:tcPr>
            <w:tcW w:w="2324" w:type="dxa"/>
            <w:vMerge/>
          </w:tcPr>
          <w:p w14:paraId="543DB23B" w14:textId="77777777" w:rsidR="00454A29" w:rsidRDefault="00454A29"/>
        </w:tc>
        <w:tc>
          <w:tcPr>
            <w:tcW w:w="1701" w:type="dxa"/>
            <w:vAlign w:val="center"/>
          </w:tcPr>
          <w:p w14:paraId="5DEB768C" w14:textId="77777777" w:rsidR="00454A29" w:rsidRDefault="00454A29">
            <w:pPr>
              <w:pStyle w:val="ConsPlusNormal"/>
              <w:jc w:val="center"/>
            </w:pPr>
            <w:r>
              <w:t>-</w:t>
            </w:r>
          </w:p>
        </w:tc>
        <w:tc>
          <w:tcPr>
            <w:tcW w:w="1814" w:type="dxa"/>
            <w:vAlign w:val="center"/>
          </w:tcPr>
          <w:p w14:paraId="2D2FAF07" w14:textId="77777777" w:rsidR="00454A29" w:rsidRDefault="00454A29">
            <w:pPr>
              <w:pStyle w:val="ConsPlusNormal"/>
            </w:pPr>
          </w:p>
        </w:tc>
        <w:tc>
          <w:tcPr>
            <w:tcW w:w="1701" w:type="dxa"/>
            <w:vAlign w:val="center"/>
          </w:tcPr>
          <w:p w14:paraId="195A750A" w14:textId="77777777" w:rsidR="00454A29" w:rsidRDefault="00454A29">
            <w:pPr>
              <w:pStyle w:val="ConsPlusNormal"/>
            </w:pPr>
          </w:p>
        </w:tc>
        <w:tc>
          <w:tcPr>
            <w:tcW w:w="1701" w:type="dxa"/>
            <w:vAlign w:val="center"/>
          </w:tcPr>
          <w:p w14:paraId="3E48BDC6" w14:textId="77777777" w:rsidR="00454A29" w:rsidRDefault="00454A29">
            <w:pPr>
              <w:pStyle w:val="ConsPlusNormal"/>
            </w:pPr>
          </w:p>
        </w:tc>
        <w:tc>
          <w:tcPr>
            <w:tcW w:w="1814" w:type="dxa"/>
            <w:vAlign w:val="center"/>
          </w:tcPr>
          <w:p w14:paraId="07A5372A" w14:textId="77777777" w:rsidR="00454A29" w:rsidRDefault="00454A29">
            <w:pPr>
              <w:pStyle w:val="ConsPlusNormal"/>
            </w:pPr>
          </w:p>
        </w:tc>
      </w:tr>
      <w:tr w:rsidR="00454A29" w14:paraId="424CCB81" w14:textId="77777777">
        <w:tc>
          <w:tcPr>
            <w:tcW w:w="567" w:type="dxa"/>
            <w:vMerge/>
          </w:tcPr>
          <w:p w14:paraId="46D70A4E" w14:textId="77777777" w:rsidR="00454A29" w:rsidRDefault="00454A29"/>
        </w:tc>
        <w:tc>
          <w:tcPr>
            <w:tcW w:w="3345" w:type="dxa"/>
            <w:vMerge/>
          </w:tcPr>
          <w:p w14:paraId="42B32428" w14:textId="77777777" w:rsidR="00454A29" w:rsidRDefault="00454A29"/>
        </w:tc>
        <w:tc>
          <w:tcPr>
            <w:tcW w:w="1701" w:type="dxa"/>
            <w:vAlign w:val="center"/>
          </w:tcPr>
          <w:p w14:paraId="6D7EF9DB" w14:textId="77777777" w:rsidR="00454A29" w:rsidRDefault="00454A29">
            <w:pPr>
              <w:pStyle w:val="ConsPlusNormal"/>
              <w:jc w:val="center"/>
            </w:pPr>
            <w:r>
              <w:t>2025</w:t>
            </w:r>
          </w:p>
        </w:tc>
        <w:tc>
          <w:tcPr>
            <w:tcW w:w="1417" w:type="dxa"/>
            <w:vMerge/>
          </w:tcPr>
          <w:p w14:paraId="3B4432E8" w14:textId="77777777" w:rsidR="00454A29" w:rsidRDefault="00454A29"/>
        </w:tc>
        <w:tc>
          <w:tcPr>
            <w:tcW w:w="2204" w:type="dxa"/>
            <w:vMerge/>
          </w:tcPr>
          <w:p w14:paraId="4261BAEF" w14:textId="77777777" w:rsidR="00454A29" w:rsidRDefault="00454A29"/>
        </w:tc>
        <w:tc>
          <w:tcPr>
            <w:tcW w:w="1417" w:type="dxa"/>
            <w:vMerge/>
          </w:tcPr>
          <w:p w14:paraId="3A4D35B2" w14:textId="77777777" w:rsidR="00454A29" w:rsidRDefault="00454A29"/>
        </w:tc>
        <w:tc>
          <w:tcPr>
            <w:tcW w:w="2324" w:type="dxa"/>
            <w:vMerge/>
          </w:tcPr>
          <w:p w14:paraId="3F11C375" w14:textId="77777777" w:rsidR="00454A29" w:rsidRDefault="00454A29"/>
        </w:tc>
        <w:tc>
          <w:tcPr>
            <w:tcW w:w="1701" w:type="dxa"/>
            <w:vAlign w:val="center"/>
          </w:tcPr>
          <w:p w14:paraId="27843885" w14:textId="77777777" w:rsidR="00454A29" w:rsidRDefault="00454A29">
            <w:pPr>
              <w:pStyle w:val="ConsPlusNormal"/>
              <w:jc w:val="center"/>
            </w:pPr>
            <w:r>
              <w:t>-</w:t>
            </w:r>
          </w:p>
        </w:tc>
        <w:tc>
          <w:tcPr>
            <w:tcW w:w="1814" w:type="dxa"/>
            <w:vAlign w:val="center"/>
          </w:tcPr>
          <w:p w14:paraId="16791811" w14:textId="77777777" w:rsidR="00454A29" w:rsidRDefault="00454A29">
            <w:pPr>
              <w:pStyle w:val="ConsPlusNormal"/>
            </w:pPr>
          </w:p>
        </w:tc>
        <w:tc>
          <w:tcPr>
            <w:tcW w:w="1701" w:type="dxa"/>
            <w:vAlign w:val="center"/>
          </w:tcPr>
          <w:p w14:paraId="3E9CFE2C" w14:textId="77777777" w:rsidR="00454A29" w:rsidRDefault="00454A29">
            <w:pPr>
              <w:pStyle w:val="ConsPlusNormal"/>
            </w:pPr>
          </w:p>
        </w:tc>
        <w:tc>
          <w:tcPr>
            <w:tcW w:w="1701" w:type="dxa"/>
            <w:vAlign w:val="center"/>
          </w:tcPr>
          <w:p w14:paraId="27CFA817" w14:textId="77777777" w:rsidR="00454A29" w:rsidRDefault="00454A29">
            <w:pPr>
              <w:pStyle w:val="ConsPlusNormal"/>
            </w:pPr>
          </w:p>
        </w:tc>
        <w:tc>
          <w:tcPr>
            <w:tcW w:w="1814" w:type="dxa"/>
            <w:vAlign w:val="center"/>
          </w:tcPr>
          <w:p w14:paraId="6470467B" w14:textId="77777777" w:rsidR="00454A29" w:rsidRDefault="00454A29">
            <w:pPr>
              <w:pStyle w:val="ConsPlusNormal"/>
            </w:pPr>
          </w:p>
        </w:tc>
      </w:tr>
      <w:tr w:rsidR="00454A29" w14:paraId="1FACDF24" w14:textId="77777777">
        <w:tc>
          <w:tcPr>
            <w:tcW w:w="567" w:type="dxa"/>
            <w:vMerge/>
          </w:tcPr>
          <w:p w14:paraId="1727E025" w14:textId="77777777" w:rsidR="00454A29" w:rsidRDefault="00454A29"/>
        </w:tc>
        <w:tc>
          <w:tcPr>
            <w:tcW w:w="3345" w:type="dxa"/>
            <w:vMerge/>
          </w:tcPr>
          <w:p w14:paraId="6FCE9B78" w14:textId="77777777" w:rsidR="00454A29" w:rsidRDefault="00454A29"/>
        </w:tc>
        <w:tc>
          <w:tcPr>
            <w:tcW w:w="1701" w:type="dxa"/>
            <w:vAlign w:val="center"/>
          </w:tcPr>
          <w:p w14:paraId="642F34FD" w14:textId="77777777" w:rsidR="00454A29" w:rsidRDefault="00454A29">
            <w:pPr>
              <w:pStyle w:val="ConsPlusNormal"/>
              <w:jc w:val="center"/>
            </w:pPr>
            <w:r>
              <w:t>2026</w:t>
            </w:r>
          </w:p>
        </w:tc>
        <w:tc>
          <w:tcPr>
            <w:tcW w:w="1417" w:type="dxa"/>
            <w:vMerge/>
          </w:tcPr>
          <w:p w14:paraId="0210CB6B" w14:textId="77777777" w:rsidR="00454A29" w:rsidRDefault="00454A29"/>
        </w:tc>
        <w:tc>
          <w:tcPr>
            <w:tcW w:w="2204" w:type="dxa"/>
            <w:vMerge/>
          </w:tcPr>
          <w:p w14:paraId="595884DD" w14:textId="77777777" w:rsidR="00454A29" w:rsidRDefault="00454A29"/>
        </w:tc>
        <w:tc>
          <w:tcPr>
            <w:tcW w:w="1417" w:type="dxa"/>
            <w:vMerge/>
          </w:tcPr>
          <w:p w14:paraId="33EDE695" w14:textId="77777777" w:rsidR="00454A29" w:rsidRDefault="00454A29"/>
        </w:tc>
        <w:tc>
          <w:tcPr>
            <w:tcW w:w="2324" w:type="dxa"/>
            <w:vMerge/>
          </w:tcPr>
          <w:p w14:paraId="48B3B9DF" w14:textId="77777777" w:rsidR="00454A29" w:rsidRDefault="00454A29"/>
        </w:tc>
        <w:tc>
          <w:tcPr>
            <w:tcW w:w="1701" w:type="dxa"/>
            <w:vAlign w:val="center"/>
          </w:tcPr>
          <w:p w14:paraId="31EE6E63" w14:textId="77777777" w:rsidR="00454A29" w:rsidRDefault="00454A29">
            <w:pPr>
              <w:pStyle w:val="ConsPlusNormal"/>
              <w:jc w:val="center"/>
            </w:pPr>
            <w:r>
              <w:t>-</w:t>
            </w:r>
          </w:p>
        </w:tc>
        <w:tc>
          <w:tcPr>
            <w:tcW w:w="1814" w:type="dxa"/>
            <w:vAlign w:val="center"/>
          </w:tcPr>
          <w:p w14:paraId="230DA5A8" w14:textId="77777777" w:rsidR="00454A29" w:rsidRDefault="00454A29">
            <w:pPr>
              <w:pStyle w:val="ConsPlusNormal"/>
            </w:pPr>
          </w:p>
        </w:tc>
        <w:tc>
          <w:tcPr>
            <w:tcW w:w="1701" w:type="dxa"/>
            <w:vAlign w:val="center"/>
          </w:tcPr>
          <w:p w14:paraId="5D98E1C4" w14:textId="77777777" w:rsidR="00454A29" w:rsidRDefault="00454A29">
            <w:pPr>
              <w:pStyle w:val="ConsPlusNormal"/>
            </w:pPr>
          </w:p>
        </w:tc>
        <w:tc>
          <w:tcPr>
            <w:tcW w:w="1701" w:type="dxa"/>
            <w:vAlign w:val="center"/>
          </w:tcPr>
          <w:p w14:paraId="4D19FDD6" w14:textId="77777777" w:rsidR="00454A29" w:rsidRDefault="00454A29">
            <w:pPr>
              <w:pStyle w:val="ConsPlusNormal"/>
            </w:pPr>
          </w:p>
        </w:tc>
        <w:tc>
          <w:tcPr>
            <w:tcW w:w="1814" w:type="dxa"/>
            <w:vAlign w:val="center"/>
          </w:tcPr>
          <w:p w14:paraId="792BC837" w14:textId="77777777" w:rsidR="00454A29" w:rsidRDefault="00454A29">
            <w:pPr>
              <w:pStyle w:val="ConsPlusNormal"/>
            </w:pPr>
          </w:p>
        </w:tc>
      </w:tr>
      <w:tr w:rsidR="00454A29" w14:paraId="65F6F130" w14:textId="77777777">
        <w:tc>
          <w:tcPr>
            <w:tcW w:w="567" w:type="dxa"/>
            <w:vMerge w:val="restart"/>
            <w:vAlign w:val="center"/>
          </w:tcPr>
          <w:p w14:paraId="45F936FA" w14:textId="77777777" w:rsidR="00454A29" w:rsidRDefault="00454A29">
            <w:pPr>
              <w:pStyle w:val="ConsPlusNormal"/>
              <w:jc w:val="center"/>
            </w:pPr>
            <w:r>
              <w:t>95</w:t>
            </w:r>
          </w:p>
        </w:tc>
        <w:tc>
          <w:tcPr>
            <w:tcW w:w="3345" w:type="dxa"/>
            <w:vMerge w:val="restart"/>
            <w:vAlign w:val="center"/>
          </w:tcPr>
          <w:p w14:paraId="04BEF8EE" w14:textId="77777777" w:rsidR="00454A29" w:rsidRDefault="00454A29">
            <w:pPr>
              <w:pStyle w:val="ConsPlusNormal"/>
              <w:jc w:val="center"/>
            </w:pPr>
            <w:r>
              <w:t>Строительство симуляционного центра на 200 мест с общежитием на 150 мест Алданского медицинского колледжа в г. Алдан Алданского района</w:t>
            </w:r>
          </w:p>
        </w:tc>
        <w:tc>
          <w:tcPr>
            <w:tcW w:w="1701" w:type="dxa"/>
            <w:vAlign w:val="center"/>
          </w:tcPr>
          <w:p w14:paraId="2D60695A" w14:textId="77777777" w:rsidR="00454A29" w:rsidRDefault="00454A29">
            <w:pPr>
              <w:pStyle w:val="ConsPlusNormal"/>
              <w:jc w:val="center"/>
            </w:pPr>
            <w:r>
              <w:t>Всего:</w:t>
            </w:r>
          </w:p>
        </w:tc>
        <w:tc>
          <w:tcPr>
            <w:tcW w:w="1417" w:type="dxa"/>
            <w:vMerge w:val="restart"/>
            <w:vAlign w:val="center"/>
          </w:tcPr>
          <w:p w14:paraId="66B65F96" w14:textId="77777777" w:rsidR="00454A29" w:rsidRDefault="00454A29">
            <w:pPr>
              <w:pStyle w:val="ConsPlusNormal"/>
              <w:jc w:val="center"/>
            </w:pPr>
            <w:r>
              <w:t>0,00</w:t>
            </w:r>
          </w:p>
        </w:tc>
        <w:tc>
          <w:tcPr>
            <w:tcW w:w="2204" w:type="dxa"/>
            <w:vMerge w:val="restart"/>
            <w:vAlign w:val="center"/>
          </w:tcPr>
          <w:p w14:paraId="7D7DD8AD" w14:textId="77777777" w:rsidR="00454A29" w:rsidRDefault="00454A29">
            <w:pPr>
              <w:pStyle w:val="ConsPlusNormal"/>
            </w:pPr>
          </w:p>
        </w:tc>
        <w:tc>
          <w:tcPr>
            <w:tcW w:w="1417" w:type="dxa"/>
            <w:vMerge w:val="restart"/>
            <w:vAlign w:val="center"/>
          </w:tcPr>
          <w:p w14:paraId="5FEE6739" w14:textId="77777777" w:rsidR="00454A29" w:rsidRDefault="00454A29">
            <w:pPr>
              <w:pStyle w:val="ConsPlusNormal"/>
              <w:jc w:val="center"/>
            </w:pPr>
            <w:r>
              <w:t>200</w:t>
            </w:r>
          </w:p>
        </w:tc>
        <w:tc>
          <w:tcPr>
            <w:tcW w:w="2324" w:type="dxa"/>
            <w:vMerge w:val="restart"/>
            <w:vAlign w:val="center"/>
          </w:tcPr>
          <w:p w14:paraId="57FAD1A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C497BE9" w14:textId="77777777" w:rsidR="00454A29" w:rsidRDefault="00454A29">
            <w:pPr>
              <w:pStyle w:val="ConsPlusNormal"/>
              <w:jc w:val="center"/>
            </w:pPr>
            <w:r>
              <w:t>-</w:t>
            </w:r>
          </w:p>
        </w:tc>
        <w:tc>
          <w:tcPr>
            <w:tcW w:w="1814" w:type="dxa"/>
            <w:vAlign w:val="center"/>
          </w:tcPr>
          <w:p w14:paraId="3A2372BC" w14:textId="77777777" w:rsidR="00454A29" w:rsidRDefault="00454A29">
            <w:pPr>
              <w:pStyle w:val="ConsPlusNormal"/>
              <w:jc w:val="center"/>
            </w:pPr>
            <w:r>
              <w:t>-</w:t>
            </w:r>
          </w:p>
        </w:tc>
        <w:tc>
          <w:tcPr>
            <w:tcW w:w="1701" w:type="dxa"/>
            <w:vAlign w:val="center"/>
          </w:tcPr>
          <w:p w14:paraId="7CF56F02" w14:textId="77777777" w:rsidR="00454A29" w:rsidRDefault="00454A29">
            <w:pPr>
              <w:pStyle w:val="ConsPlusNormal"/>
              <w:jc w:val="center"/>
            </w:pPr>
            <w:r>
              <w:t>-</w:t>
            </w:r>
          </w:p>
        </w:tc>
        <w:tc>
          <w:tcPr>
            <w:tcW w:w="1701" w:type="dxa"/>
            <w:vAlign w:val="center"/>
          </w:tcPr>
          <w:p w14:paraId="6EB0A253" w14:textId="77777777" w:rsidR="00454A29" w:rsidRDefault="00454A29">
            <w:pPr>
              <w:pStyle w:val="ConsPlusNormal"/>
              <w:jc w:val="center"/>
            </w:pPr>
            <w:r>
              <w:t>-</w:t>
            </w:r>
          </w:p>
        </w:tc>
        <w:tc>
          <w:tcPr>
            <w:tcW w:w="1814" w:type="dxa"/>
            <w:vAlign w:val="center"/>
          </w:tcPr>
          <w:p w14:paraId="09503B13" w14:textId="77777777" w:rsidR="00454A29" w:rsidRDefault="00454A29">
            <w:pPr>
              <w:pStyle w:val="ConsPlusNormal"/>
              <w:jc w:val="center"/>
            </w:pPr>
            <w:r>
              <w:t>-</w:t>
            </w:r>
          </w:p>
        </w:tc>
      </w:tr>
      <w:tr w:rsidR="00454A29" w14:paraId="6855DFF8" w14:textId="77777777">
        <w:tc>
          <w:tcPr>
            <w:tcW w:w="567" w:type="dxa"/>
            <w:vMerge/>
          </w:tcPr>
          <w:p w14:paraId="4D8F9B7F" w14:textId="77777777" w:rsidR="00454A29" w:rsidRDefault="00454A29"/>
        </w:tc>
        <w:tc>
          <w:tcPr>
            <w:tcW w:w="3345" w:type="dxa"/>
            <w:vMerge/>
          </w:tcPr>
          <w:p w14:paraId="194D47E8" w14:textId="77777777" w:rsidR="00454A29" w:rsidRDefault="00454A29"/>
        </w:tc>
        <w:tc>
          <w:tcPr>
            <w:tcW w:w="1701" w:type="dxa"/>
            <w:vAlign w:val="center"/>
          </w:tcPr>
          <w:p w14:paraId="44CC50EB" w14:textId="77777777" w:rsidR="00454A29" w:rsidRDefault="00454A29">
            <w:pPr>
              <w:pStyle w:val="ConsPlusNormal"/>
              <w:jc w:val="center"/>
            </w:pPr>
            <w:r>
              <w:t>2020</w:t>
            </w:r>
          </w:p>
        </w:tc>
        <w:tc>
          <w:tcPr>
            <w:tcW w:w="1417" w:type="dxa"/>
            <w:vMerge/>
          </w:tcPr>
          <w:p w14:paraId="6D4925B4" w14:textId="77777777" w:rsidR="00454A29" w:rsidRDefault="00454A29"/>
        </w:tc>
        <w:tc>
          <w:tcPr>
            <w:tcW w:w="2204" w:type="dxa"/>
            <w:vMerge/>
          </w:tcPr>
          <w:p w14:paraId="2A385E88" w14:textId="77777777" w:rsidR="00454A29" w:rsidRDefault="00454A29"/>
        </w:tc>
        <w:tc>
          <w:tcPr>
            <w:tcW w:w="1417" w:type="dxa"/>
            <w:vMerge/>
          </w:tcPr>
          <w:p w14:paraId="4F8F4FDC" w14:textId="77777777" w:rsidR="00454A29" w:rsidRDefault="00454A29"/>
        </w:tc>
        <w:tc>
          <w:tcPr>
            <w:tcW w:w="2324" w:type="dxa"/>
            <w:vMerge/>
          </w:tcPr>
          <w:p w14:paraId="47F79D90" w14:textId="77777777" w:rsidR="00454A29" w:rsidRDefault="00454A29"/>
        </w:tc>
        <w:tc>
          <w:tcPr>
            <w:tcW w:w="1701" w:type="dxa"/>
            <w:vAlign w:val="center"/>
          </w:tcPr>
          <w:p w14:paraId="016473B5" w14:textId="77777777" w:rsidR="00454A29" w:rsidRDefault="00454A29">
            <w:pPr>
              <w:pStyle w:val="ConsPlusNormal"/>
              <w:jc w:val="center"/>
            </w:pPr>
            <w:r>
              <w:t>-</w:t>
            </w:r>
          </w:p>
        </w:tc>
        <w:tc>
          <w:tcPr>
            <w:tcW w:w="1814" w:type="dxa"/>
            <w:vAlign w:val="center"/>
          </w:tcPr>
          <w:p w14:paraId="05B7AACB" w14:textId="77777777" w:rsidR="00454A29" w:rsidRDefault="00454A29">
            <w:pPr>
              <w:pStyle w:val="ConsPlusNormal"/>
              <w:jc w:val="center"/>
            </w:pPr>
            <w:r>
              <w:t>-</w:t>
            </w:r>
          </w:p>
        </w:tc>
        <w:tc>
          <w:tcPr>
            <w:tcW w:w="1701" w:type="dxa"/>
            <w:vAlign w:val="center"/>
          </w:tcPr>
          <w:p w14:paraId="721FDE86" w14:textId="77777777" w:rsidR="00454A29" w:rsidRDefault="00454A29">
            <w:pPr>
              <w:pStyle w:val="ConsPlusNormal"/>
            </w:pPr>
          </w:p>
        </w:tc>
        <w:tc>
          <w:tcPr>
            <w:tcW w:w="1701" w:type="dxa"/>
            <w:vAlign w:val="center"/>
          </w:tcPr>
          <w:p w14:paraId="4BA8A988" w14:textId="77777777" w:rsidR="00454A29" w:rsidRDefault="00454A29">
            <w:pPr>
              <w:pStyle w:val="ConsPlusNormal"/>
              <w:jc w:val="center"/>
            </w:pPr>
            <w:r>
              <w:t>-</w:t>
            </w:r>
          </w:p>
        </w:tc>
        <w:tc>
          <w:tcPr>
            <w:tcW w:w="1814" w:type="dxa"/>
            <w:vAlign w:val="center"/>
          </w:tcPr>
          <w:p w14:paraId="207CA1BF" w14:textId="77777777" w:rsidR="00454A29" w:rsidRDefault="00454A29">
            <w:pPr>
              <w:pStyle w:val="ConsPlusNormal"/>
            </w:pPr>
          </w:p>
        </w:tc>
      </w:tr>
      <w:tr w:rsidR="00454A29" w14:paraId="2DB7E265" w14:textId="77777777">
        <w:tc>
          <w:tcPr>
            <w:tcW w:w="567" w:type="dxa"/>
            <w:vMerge/>
          </w:tcPr>
          <w:p w14:paraId="417E2727" w14:textId="77777777" w:rsidR="00454A29" w:rsidRDefault="00454A29"/>
        </w:tc>
        <w:tc>
          <w:tcPr>
            <w:tcW w:w="3345" w:type="dxa"/>
            <w:vMerge/>
          </w:tcPr>
          <w:p w14:paraId="1FB0D8E3" w14:textId="77777777" w:rsidR="00454A29" w:rsidRDefault="00454A29"/>
        </w:tc>
        <w:tc>
          <w:tcPr>
            <w:tcW w:w="1701" w:type="dxa"/>
            <w:vAlign w:val="center"/>
          </w:tcPr>
          <w:p w14:paraId="5E7D4E83" w14:textId="77777777" w:rsidR="00454A29" w:rsidRDefault="00454A29">
            <w:pPr>
              <w:pStyle w:val="ConsPlusNormal"/>
              <w:jc w:val="center"/>
            </w:pPr>
            <w:r>
              <w:t>2021</w:t>
            </w:r>
          </w:p>
        </w:tc>
        <w:tc>
          <w:tcPr>
            <w:tcW w:w="1417" w:type="dxa"/>
            <w:vMerge/>
          </w:tcPr>
          <w:p w14:paraId="0839CD76" w14:textId="77777777" w:rsidR="00454A29" w:rsidRDefault="00454A29"/>
        </w:tc>
        <w:tc>
          <w:tcPr>
            <w:tcW w:w="2204" w:type="dxa"/>
            <w:vMerge/>
          </w:tcPr>
          <w:p w14:paraId="2C8BE17D" w14:textId="77777777" w:rsidR="00454A29" w:rsidRDefault="00454A29"/>
        </w:tc>
        <w:tc>
          <w:tcPr>
            <w:tcW w:w="1417" w:type="dxa"/>
            <w:vMerge/>
          </w:tcPr>
          <w:p w14:paraId="0D56460A" w14:textId="77777777" w:rsidR="00454A29" w:rsidRDefault="00454A29"/>
        </w:tc>
        <w:tc>
          <w:tcPr>
            <w:tcW w:w="2324" w:type="dxa"/>
            <w:vMerge/>
          </w:tcPr>
          <w:p w14:paraId="41C9A801" w14:textId="77777777" w:rsidR="00454A29" w:rsidRDefault="00454A29"/>
        </w:tc>
        <w:tc>
          <w:tcPr>
            <w:tcW w:w="1701" w:type="dxa"/>
            <w:vAlign w:val="center"/>
          </w:tcPr>
          <w:p w14:paraId="703EF4F1" w14:textId="77777777" w:rsidR="00454A29" w:rsidRDefault="00454A29">
            <w:pPr>
              <w:pStyle w:val="ConsPlusNormal"/>
              <w:jc w:val="center"/>
            </w:pPr>
            <w:r>
              <w:t>-</w:t>
            </w:r>
          </w:p>
        </w:tc>
        <w:tc>
          <w:tcPr>
            <w:tcW w:w="1814" w:type="dxa"/>
            <w:vAlign w:val="center"/>
          </w:tcPr>
          <w:p w14:paraId="3A47C5CD" w14:textId="77777777" w:rsidR="00454A29" w:rsidRDefault="00454A29">
            <w:pPr>
              <w:pStyle w:val="ConsPlusNormal"/>
            </w:pPr>
          </w:p>
        </w:tc>
        <w:tc>
          <w:tcPr>
            <w:tcW w:w="1701" w:type="dxa"/>
            <w:vAlign w:val="center"/>
          </w:tcPr>
          <w:p w14:paraId="6E7C13E0" w14:textId="77777777" w:rsidR="00454A29" w:rsidRDefault="00454A29">
            <w:pPr>
              <w:pStyle w:val="ConsPlusNormal"/>
            </w:pPr>
          </w:p>
        </w:tc>
        <w:tc>
          <w:tcPr>
            <w:tcW w:w="1701" w:type="dxa"/>
            <w:vAlign w:val="center"/>
          </w:tcPr>
          <w:p w14:paraId="29136061" w14:textId="77777777" w:rsidR="00454A29" w:rsidRDefault="00454A29">
            <w:pPr>
              <w:pStyle w:val="ConsPlusNormal"/>
            </w:pPr>
          </w:p>
        </w:tc>
        <w:tc>
          <w:tcPr>
            <w:tcW w:w="1814" w:type="dxa"/>
            <w:vAlign w:val="center"/>
          </w:tcPr>
          <w:p w14:paraId="67652135" w14:textId="77777777" w:rsidR="00454A29" w:rsidRDefault="00454A29">
            <w:pPr>
              <w:pStyle w:val="ConsPlusNormal"/>
            </w:pPr>
          </w:p>
        </w:tc>
      </w:tr>
      <w:tr w:rsidR="00454A29" w14:paraId="5C25EBF0" w14:textId="77777777">
        <w:tc>
          <w:tcPr>
            <w:tcW w:w="567" w:type="dxa"/>
            <w:vMerge/>
          </w:tcPr>
          <w:p w14:paraId="02750500" w14:textId="77777777" w:rsidR="00454A29" w:rsidRDefault="00454A29"/>
        </w:tc>
        <w:tc>
          <w:tcPr>
            <w:tcW w:w="3345" w:type="dxa"/>
            <w:vMerge/>
          </w:tcPr>
          <w:p w14:paraId="5E4D8F57" w14:textId="77777777" w:rsidR="00454A29" w:rsidRDefault="00454A29"/>
        </w:tc>
        <w:tc>
          <w:tcPr>
            <w:tcW w:w="1701" w:type="dxa"/>
            <w:vAlign w:val="center"/>
          </w:tcPr>
          <w:p w14:paraId="6080DB3E" w14:textId="77777777" w:rsidR="00454A29" w:rsidRDefault="00454A29">
            <w:pPr>
              <w:pStyle w:val="ConsPlusNormal"/>
              <w:jc w:val="center"/>
            </w:pPr>
            <w:r>
              <w:t>2022</w:t>
            </w:r>
          </w:p>
        </w:tc>
        <w:tc>
          <w:tcPr>
            <w:tcW w:w="1417" w:type="dxa"/>
            <w:vMerge/>
          </w:tcPr>
          <w:p w14:paraId="4A67B3D0" w14:textId="77777777" w:rsidR="00454A29" w:rsidRDefault="00454A29"/>
        </w:tc>
        <w:tc>
          <w:tcPr>
            <w:tcW w:w="2204" w:type="dxa"/>
            <w:vMerge/>
          </w:tcPr>
          <w:p w14:paraId="076A07AF" w14:textId="77777777" w:rsidR="00454A29" w:rsidRDefault="00454A29"/>
        </w:tc>
        <w:tc>
          <w:tcPr>
            <w:tcW w:w="1417" w:type="dxa"/>
            <w:vMerge/>
          </w:tcPr>
          <w:p w14:paraId="09B5853E" w14:textId="77777777" w:rsidR="00454A29" w:rsidRDefault="00454A29"/>
        </w:tc>
        <w:tc>
          <w:tcPr>
            <w:tcW w:w="2324" w:type="dxa"/>
            <w:vMerge/>
          </w:tcPr>
          <w:p w14:paraId="13C545A3" w14:textId="77777777" w:rsidR="00454A29" w:rsidRDefault="00454A29"/>
        </w:tc>
        <w:tc>
          <w:tcPr>
            <w:tcW w:w="1701" w:type="dxa"/>
            <w:vAlign w:val="center"/>
          </w:tcPr>
          <w:p w14:paraId="120D34D7" w14:textId="77777777" w:rsidR="00454A29" w:rsidRDefault="00454A29">
            <w:pPr>
              <w:pStyle w:val="ConsPlusNormal"/>
              <w:jc w:val="center"/>
            </w:pPr>
            <w:r>
              <w:t>-</w:t>
            </w:r>
          </w:p>
        </w:tc>
        <w:tc>
          <w:tcPr>
            <w:tcW w:w="1814" w:type="dxa"/>
            <w:vAlign w:val="center"/>
          </w:tcPr>
          <w:p w14:paraId="1FB0DF8B" w14:textId="77777777" w:rsidR="00454A29" w:rsidRDefault="00454A29">
            <w:pPr>
              <w:pStyle w:val="ConsPlusNormal"/>
            </w:pPr>
          </w:p>
        </w:tc>
        <w:tc>
          <w:tcPr>
            <w:tcW w:w="1701" w:type="dxa"/>
            <w:vAlign w:val="center"/>
          </w:tcPr>
          <w:p w14:paraId="5F7C9D41" w14:textId="77777777" w:rsidR="00454A29" w:rsidRDefault="00454A29">
            <w:pPr>
              <w:pStyle w:val="ConsPlusNormal"/>
            </w:pPr>
          </w:p>
        </w:tc>
        <w:tc>
          <w:tcPr>
            <w:tcW w:w="1701" w:type="dxa"/>
            <w:vAlign w:val="center"/>
          </w:tcPr>
          <w:p w14:paraId="4AA9A493" w14:textId="77777777" w:rsidR="00454A29" w:rsidRDefault="00454A29">
            <w:pPr>
              <w:pStyle w:val="ConsPlusNormal"/>
            </w:pPr>
          </w:p>
        </w:tc>
        <w:tc>
          <w:tcPr>
            <w:tcW w:w="1814" w:type="dxa"/>
            <w:vAlign w:val="center"/>
          </w:tcPr>
          <w:p w14:paraId="691B6CB3" w14:textId="77777777" w:rsidR="00454A29" w:rsidRDefault="00454A29">
            <w:pPr>
              <w:pStyle w:val="ConsPlusNormal"/>
            </w:pPr>
          </w:p>
        </w:tc>
      </w:tr>
      <w:tr w:rsidR="00454A29" w14:paraId="641BB95A" w14:textId="77777777">
        <w:tc>
          <w:tcPr>
            <w:tcW w:w="567" w:type="dxa"/>
            <w:vMerge/>
          </w:tcPr>
          <w:p w14:paraId="35D93905" w14:textId="77777777" w:rsidR="00454A29" w:rsidRDefault="00454A29"/>
        </w:tc>
        <w:tc>
          <w:tcPr>
            <w:tcW w:w="3345" w:type="dxa"/>
            <w:vMerge/>
          </w:tcPr>
          <w:p w14:paraId="696D3EB2" w14:textId="77777777" w:rsidR="00454A29" w:rsidRDefault="00454A29"/>
        </w:tc>
        <w:tc>
          <w:tcPr>
            <w:tcW w:w="1701" w:type="dxa"/>
            <w:vAlign w:val="center"/>
          </w:tcPr>
          <w:p w14:paraId="1F0B1040" w14:textId="77777777" w:rsidR="00454A29" w:rsidRDefault="00454A29">
            <w:pPr>
              <w:pStyle w:val="ConsPlusNormal"/>
              <w:jc w:val="center"/>
            </w:pPr>
            <w:r>
              <w:t>2023</w:t>
            </w:r>
          </w:p>
        </w:tc>
        <w:tc>
          <w:tcPr>
            <w:tcW w:w="1417" w:type="dxa"/>
            <w:vMerge/>
          </w:tcPr>
          <w:p w14:paraId="067B3C13" w14:textId="77777777" w:rsidR="00454A29" w:rsidRDefault="00454A29"/>
        </w:tc>
        <w:tc>
          <w:tcPr>
            <w:tcW w:w="2204" w:type="dxa"/>
            <w:vMerge/>
          </w:tcPr>
          <w:p w14:paraId="40BC49B1" w14:textId="77777777" w:rsidR="00454A29" w:rsidRDefault="00454A29"/>
        </w:tc>
        <w:tc>
          <w:tcPr>
            <w:tcW w:w="1417" w:type="dxa"/>
            <w:vMerge/>
          </w:tcPr>
          <w:p w14:paraId="1263EC43" w14:textId="77777777" w:rsidR="00454A29" w:rsidRDefault="00454A29"/>
        </w:tc>
        <w:tc>
          <w:tcPr>
            <w:tcW w:w="2324" w:type="dxa"/>
            <w:vMerge/>
          </w:tcPr>
          <w:p w14:paraId="1E6B7B77" w14:textId="77777777" w:rsidR="00454A29" w:rsidRDefault="00454A29"/>
        </w:tc>
        <w:tc>
          <w:tcPr>
            <w:tcW w:w="1701" w:type="dxa"/>
            <w:vAlign w:val="center"/>
          </w:tcPr>
          <w:p w14:paraId="1C6C55C1" w14:textId="77777777" w:rsidR="00454A29" w:rsidRDefault="00454A29">
            <w:pPr>
              <w:pStyle w:val="ConsPlusNormal"/>
              <w:jc w:val="center"/>
            </w:pPr>
            <w:r>
              <w:t>-</w:t>
            </w:r>
          </w:p>
        </w:tc>
        <w:tc>
          <w:tcPr>
            <w:tcW w:w="1814" w:type="dxa"/>
            <w:vAlign w:val="center"/>
          </w:tcPr>
          <w:p w14:paraId="03229892" w14:textId="77777777" w:rsidR="00454A29" w:rsidRDefault="00454A29">
            <w:pPr>
              <w:pStyle w:val="ConsPlusNormal"/>
            </w:pPr>
          </w:p>
        </w:tc>
        <w:tc>
          <w:tcPr>
            <w:tcW w:w="1701" w:type="dxa"/>
            <w:vAlign w:val="center"/>
          </w:tcPr>
          <w:p w14:paraId="6143C924" w14:textId="77777777" w:rsidR="00454A29" w:rsidRDefault="00454A29">
            <w:pPr>
              <w:pStyle w:val="ConsPlusNormal"/>
            </w:pPr>
          </w:p>
        </w:tc>
        <w:tc>
          <w:tcPr>
            <w:tcW w:w="1701" w:type="dxa"/>
            <w:vAlign w:val="center"/>
          </w:tcPr>
          <w:p w14:paraId="00885B73" w14:textId="77777777" w:rsidR="00454A29" w:rsidRDefault="00454A29">
            <w:pPr>
              <w:pStyle w:val="ConsPlusNormal"/>
            </w:pPr>
          </w:p>
        </w:tc>
        <w:tc>
          <w:tcPr>
            <w:tcW w:w="1814" w:type="dxa"/>
            <w:vAlign w:val="center"/>
          </w:tcPr>
          <w:p w14:paraId="0A290E71" w14:textId="77777777" w:rsidR="00454A29" w:rsidRDefault="00454A29">
            <w:pPr>
              <w:pStyle w:val="ConsPlusNormal"/>
            </w:pPr>
          </w:p>
        </w:tc>
      </w:tr>
      <w:tr w:rsidR="00454A29" w14:paraId="1B59EE70" w14:textId="77777777">
        <w:tc>
          <w:tcPr>
            <w:tcW w:w="567" w:type="dxa"/>
            <w:vMerge/>
          </w:tcPr>
          <w:p w14:paraId="16A28ECC" w14:textId="77777777" w:rsidR="00454A29" w:rsidRDefault="00454A29"/>
        </w:tc>
        <w:tc>
          <w:tcPr>
            <w:tcW w:w="3345" w:type="dxa"/>
            <w:vMerge/>
          </w:tcPr>
          <w:p w14:paraId="754CE2DA" w14:textId="77777777" w:rsidR="00454A29" w:rsidRDefault="00454A29"/>
        </w:tc>
        <w:tc>
          <w:tcPr>
            <w:tcW w:w="1701" w:type="dxa"/>
            <w:vAlign w:val="center"/>
          </w:tcPr>
          <w:p w14:paraId="21A7AE9F" w14:textId="77777777" w:rsidR="00454A29" w:rsidRDefault="00454A29">
            <w:pPr>
              <w:pStyle w:val="ConsPlusNormal"/>
              <w:jc w:val="center"/>
            </w:pPr>
            <w:r>
              <w:t>2024</w:t>
            </w:r>
          </w:p>
        </w:tc>
        <w:tc>
          <w:tcPr>
            <w:tcW w:w="1417" w:type="dxa"/>
            <w:vMerge/>
          </w:tcPr>
          <w:p w14:paraId="38E2D31E" w14:textId="77777777" w:rsidR="00454A29" w:rsidRDefault="00454A29"/>
        </w:tc>
        <w:tc>
          <w:tcPr>
            <w:tcW w:w="2204" w:type="dxa"/>
            <w:vMerge/>
          </w:tcPr>
          <w:p w14:paraId="70C9F911" w14:textId="77777777" w:rsidR="00454A29" w:rsidRDefault="00454A29"/>
        </w:tc>
        <w:tc>
          <w:tcPr>
            <w:tcW w:w="1417" w:type="dxa"/>
            <w:vMerge/>
          </w:tcPr>
          <w:p w14:paraId="0F64F2D8" w14:textId="77777777" w:rsidR="00454A29" w:rsidRDefault="00454A29"/>
        </w:tc>
        <w:tc>
          <w:tcPr>
            <w:tcW w:w="2324" w:type="dxa"/>
            <w:vMerge/>
          </w:tcPr>
          <w:p w14:paraId="2EC51113" w14:textId="77777777" w:rsidR="00454A29" w:rsidRDefault="00454A29"/>
        </w:tc>
        <w:tc>
          <w:tcPr>
            <w:tcW w:w="1701" w:type="dxa"/>
            <w:vAlign w:val="center"/>
          </w:tcPr>
          <w:p w14:paraId="592CE01D" w14:textId="77777777" w:rsidR="00454A29" w:rsidRDefault="00454A29">
            <w:pPr>
              <w:pStyle w:val="ConsPlusNormal"/>
              <w:jc w:val="center"/>
            </w:pPr>
            <w:r>
              <w:t>-</w:t>
            </w:r>
          </w:p>
        </w:tc>
        <w:tc>
          <w:tcPr>
            <w:tcW w:w="1814" w:type="dxa"/>
            <w:vAlign w:val="center"/>
          </w:tcPr>
          <w:p w14:paraId="299EAD0D" w14:textId="77777777" w:rsidR="00454A29" w:rsidRDefault="00454A29">
            <w:pPr>
              <w:pStyle w:val="ConsPlusNormal"/>
            </w:pPr>
          </w:p>
        </w:tc>
        <w:tc>
          <w:tcPr>
            <w:tcW w:w="1701" w:type="dxa"/>
            <w:vAlign w:val="center"/>
          </w:tcPr>
          <w:p w14:paraId="47619082" w14:textId="77777777" w:rsidR="00454A29" w:rsidRDefault="00454A29">
            <w:pPr>
              <w:pStyle w:val="ConsPlusNormal"/>
            </w:pPr>
          </w:p>
        </w:tc>
        <w:tc>
          <w:tcPr>
            <w:tcW w:w="1701" w:type="dxa"/>
            <w:vAlign w:val="center"/>
          </w:tcPr>
          <w:p w14:paraId="04F19B54" w14:textId="77777777" w:rsidR="00454A29" w:rsidRDefault="00454A29">
            <w:pPr>
              <w:pStyle w:val="ConsPlusNormal"/>
            </w:pPr>
          </w:p>
        </w:tc>
        <w:tc>
          <w:tcPr>
            <w:tcW w:w="1814" w:type="dxa"/>
            <w:vAlign w:val="center"/>
          </w:tcPr>
          <w:p w14:paraId="43E09FA9" w14:textId="77777777" w:rsidR="00454A29" w:rsidRDefault="00454A29">
            <w:pPr>
              <w:pStyle w:val="ConsPlusNormal"/>
            </w:pPr>
          </w:p>
        </w:tc>
      </w:tr>
      <w:tr w:rsidR="00454A29" w14:paraId="44B7718F" w14:textId="77777777">
        <w:tc>
          <w:tcPr>
            <w:tcW w:w="567" w:type="dxa"/>
            <w:vMerge/>
          </w:tcPr>
          <w:p w14:paraId="641D0292" w14:textId="77777777" w:rsidR="00454A29" w:rsidRDefault="00454A29"/>
        </w:tc>
        <w:tc>
          <w:tcPr>
            <w:tcW w:w="3345" w:type="dxa"/>
            <w:vMerge/>
          </w:tcPr>
          <w:p w14:paraId="47F88A9B" w14:textId="77777777" w:rsidR="00454A29" w:rsidRDefault="00454A29"/>
        </w:tc>
        <w:tc>
          <w:tcPr>
            <w:tcW w:w="1701" w:type="dxa"/>
            <w:vAlign w:val="center"/>
          </w:tcPr>
          <w:p w14:paraId="24EA47E8" w14:textId="77777777" w:rsidR="00454A29" w:rsidRDefault="00454A29">
            <w:pPr>
              <w:pStyle w:val="ConsPlusNormal"/>
              <w:jc w:val="center"/>
            </w:pPr>
            <w:r>
              <w:t>2025</w:t>
            </w:r>
          </w:p>
        </w:tc>
        <w:tc>
          <w:tcPr>
            <w:tcW w:w="1417" w:type="dxa"/>
            <w:vMerge/>
          </w:tcPr>
          <w:p w14:paraId="4AD562D3" w14:textId="77777777" w:rsidR="00454A29" w:rsidRDefault="00454A29"/>
        </w:tc>
        <w:tc>
          <w:tcPr>
            <w:tcW w:w="2204" w:type="dxa"/>
            <w:vMerge/>
          </w:tcPr>
          <w:p w14:paraId="773D26CB" w14:textId="77777777" w:rsidR="00454A29" w:rsidRDefault="00454A29"/>
        </w:tc>
        <w:tc>
          <w:tcPr>
            <w:tcW w:w="1417" w:type="dxa"/>
            <w:vMerge/>
          </w:tcPr>
          <w:p w14:paraId="00063A67" w14:textId="77777777" w:rsidR="00454A29" w:rsidRDefault="00454A29"/>
        </w:tc>
        <w:tc>
          <w:tcPr>
            <w:tcW w:w="2324" w:type="dxa"/>
            <w:vMerge/>
          </w:tcPr>
          <w:p w14:paraId="09FB3040" w14:textId="77777777" w:rsidR="00454A29" w:rsidRDefault="00454A29"/>
        </w:tc>
        <w:tc>
          <w:tcPr>
            <w:tcW w:w="1701" w:type="dxa"/>
            <w:vAlign w:val="center"/>
          </w:tcPr>
          <w:p w14:paraId="0476CEE3" w14:textId="77777777" w:rsidR="00454A29" w:rsidRDefault="00454A29">
            <w:pPr>
              <w:pStyle w:val="ConsPlusNormal"/>
              <w:jc w:val="center"/>
            </w:pPr>
            <w:r>
              <w:t>-</w:t>
            </w:r>
          </w:p>
        </w:tc>
        <w:tc>
          <w:tcPr>
            <w:tcW w:w="1814" w:type="dxa"/>
            <w:vAlign w:val="center"/>
          </w:tcPr>
          <w:p w14:paraId="5CEB8E1C" w14:textId="77777777" w:rsidR="00454A29" w:rsidRDefault="00454A29">
            <w:pPr>
              <w:pStyle w:val="ConsPlusNormal"/>
            </w:pPr>
          </w:p>
        </w:tc>
        <w:tc>
          <w:tcPr>
            <w:tcW w:w="1701" w:type="dxa"/>
            <w:vAlign w:val="center"/>
          </w:tcPr>
          <w:p w14:paraId="53B79FEE" w14:textId="77777777" w:rsidR="00454A29" w:rsidRDefault="00454A29">
            <w:pPr>
              <w:pStyle w:val="ConsPlusNormal"/>
            </w:pPr>
          </w:p>
        </w:tc>
        <w:tc>
          <w:tcPr>
            <w:tcW w:w="1701" w:type="dxa"/>
            <w:vAlign w:val="center"/>
          </w:tcPr>
          <w:p w14:paraId="467F5A55" w14:textId="77777777" w:rsidR="00454A29" w:rsidRDefault="00454A29">
            <w:pPr>
              <w:pStyle w:val="ConsPlusNormal"/>
            </w:pPr>
          </w:p>
        </w:tc>
        <w:tc>
          <w:tcPr>
            <w:tcW w:w="1814" w:type="dxa"/>
            <w:vAlign w:val="center"/>
          </w:tcPr>
          <w:p w14:paraId="1EB945CC" w14:textId="77777777" w:rsidR="00454A29" w:rsidRDefault="00454A29">
            <w:pPr>
              <w:pStyle w:val="ConsPlusNormal"/>
            </w:pPr>
          </w:p>
        </w:tc>
      </w:tr>
      <w:tr w:rsidR="00454A29" w14:paraId="68537EC6" w14:textId="77777777">
        <w:tc>
          <w:tcPr>
            <w:tcW w:w="567" w:type="dxa"/>
            <w:vMerge/>
          </w:tcPr>
          <w:p w14:paraId="4C8C5B9B" w14:textId="77777777" w:rsidR="00454A29" w:rsidRDefault="00454A29"/>
        </w:tc>
        <w:tc>
          <w:tcPr>
            <w:tcW w:w="3345" w:type="dxa"/>
            <w:vMerge/>
          </w:tcPr>
          <w:p w14:paraId="3FA32F49" w14:textId="77777777" w:rsidR="00454A29" w:rsidRDefault="00454A29"/>
        </w:tc>
        <w:tc>
          <w:tcPr>
            <w:tcW w:w="1701" w:type="dxa"/>
            <w:vAlign w:val="center"/>
          </w:tcPr>
          <w:p w14:paraId="7259E586" w14:textId="77777777" w:rsidR="00454A29" w:rsidRDefault="00454A29">
            <w:pPr>
              <w:pStyle w:val="ConsPlusNormal"/>
              <w:jc w:val="center"/>
            </w:pPr>
            <w:r>
              <w:t>2026</w:t>
            </w:r>
          </w:p>
        </w:tc>
        <w:tc>
          <w:tcPr>
            <w:tcW w:w="1417" w:type="dxa"/>
            <w:vMerge/>
          </w:tcPr>
          <w:p w14:paraId="7DC735FE" w14:textId="77777777" w:rsidR="00454A29" w:rsidRDefault="00454A29"/>
        </w:tc>
        <w:tc>
          <w:tcPr>
            <w:tcW w:w="2204" w:type="dxa"/>
            <w:vMerge/>
          </w:tcPr>
          <w:p w14:paraId="5E6F5C44" w14:textId="77777777" w:rsidR="00454A29" w:rsidRDefault="00454A29"/>
        </w:tc>
        <w:tc>
          <w:tcPr>
            <w:tcW w:w="1417" w:type="dxa"/>
            <w:vMerge/>
          </w:tcPr>
          <w:p w14:paraId="71337471" w14:textId="77777777" w:rsidR="00454A29" w:rsidRDefault="00454A29"/>
        </w:tc>
        <w:tc>
          <w:tcPr>
            <w:tcW w:w="2324" w:type="dxa"/>
            <w:vMerge/>
          </w:tcPr>
          <w:p w14:paraId="5E0707CA" w14:textId="77777777" w:rsidR="00454A29" w:rsidRDefault="00454A29"/>
        </w:tc>
        <w:tc>
          <w:tcPr>
            <w:tcW w:w="1701" w:type="dxa"/>
            <w:vAlign w:val="center"/>
          </w:tcPr>
          <w:p w14:paraId="4EC2AA39" w14:textId="77777777" w:rsidR="00454A29" w:rsidRDefault="00454A29">
            <w:pPr>
              <w:pStyle w:val="ConsPlusNormal"/>
              <w:jc w:val="center"/>
            </w:pPr>
            <w:r>
              <w:t>-</w:t>
            </w:r>
          </w:p>
        </w:tc>
        <w:tc>
          <w:tcPr>
            <w:tcW w:w="1814" w:type="dxa"/>
            <w:vAlign w:val="center"/>
          </w:tcPr>
          <w:p w14:paraId="1D091E62" w14:textId="77777777" w:rsidR="00454A29" w:rsidRDefault="00454A29">
            <w:pPr>
              <w:pStyle w:val="ConsPlusNormal"/>
            </w:pPr>
          </w:p>
        </w:tc>
        <w:tc>
          <w:tcPr>
            <w:tcW w:w="1701" w:type="dxa"/>
            <w:vAlign w:val="center"/>
          </w:tcPr>
          <w:p w14:paraId="01DF48A2" w14:textId="77777777" w:rsidR="00454A29" w:rsidRDefault="00454A29">
            <w:pPr>
              <w:pStyle w:val="ConsPlusNormal"/>
            </w:pPr>
          </w:p>
        </w:tc>
        <w:tc>
          <w:tcPr>
            <w:tcW w:w="1701" w:type="dxa"/>
            <w:vAlign w:val="center"/>
          </w:tcPr>
          <w:p w14:paraId="6DF216B6" w14:textId="77777777" w:rsidR="00454A29" w:rsidRDefault="00454A29">
            <w:pPr>
              <w:pStyle w:val="ConsPlusNormal"/>
            </w:pPr>
          </w:p>
        </w:tc>
        <w:tc>
          <w:tcPr>
            <w:tcW w:w="1814" w:type="dxa"/>
            <w:vAlign w:val="center"/>
          </w:tcPr>
          <w:p w14:paraId="7B5E363B" w14:textId="77777777" w:rsidR="00454A29" w:rsidRDefault="00454A29">
            <w:pPr>
              <w:pStyle w:val="ConsPlusNormal"/>
            </w:pPr>
          </w:p>
        </w:tc>
      </w:tr>
      <w:tr w:rsidR="00454A29" w14:paraId="7F748CBB" w14:textId="77777777">
        <w:tc>
          <w:tcPr>
            <w:tcW w:w="567" w:type="dxa"/>
            <w:vMerge w:val="restart"/>
            <w:vAlign w:val="center"/>
          </w:tcPr>
          <w:p w14:paraId="6633702F" w14:textId="77777777" w:rsidR="00454A29" w:rsidRDefault="00454A29">
            <w:pPr>
              <w:pStyle w:val="ConsPlusNormal"/>
              <w:jc w:val="center"/>
            </w:pPr>
            <w:r>
              <w:t>96</w:t>
            </w:r>
          </w:p>
        </w:tc>
        <w:tc>
          <w:tcPr>
            <w:tcW w:w="3345" w:type="dxa"/>
            <w:vMerge w:val="restart"/>
            <w:vAlign w:val="center"/>
          </w:tcPr>
          <w:p w14:paraId="5E639762" w14:textId="77777777" w:rsidR="00454A29" w:rsidRDefault="00454A29">
            <w:pPr>
              <w:pStyle w:val="ConsPlusNormal"/>
              <w:jc w:val="center"/>
            </w:pPr>
            <w:r>
              <w:t>Проектирование и строительство общежития Ленского технологического техникума" в г. Ленске Ленского района на 250 мест</w:t>
            </w:r>
          </w:p>
        </w:tc>
        <w:tc>
          <w:tcPr>
            <w:tcW w:w="1701" w:type="dxa"/>
            <w:vAlign w:val="center"/>
          </w:tcPr>
          <w:p w14:paraId="2DB3826A" w14:textId="77777777" w:rsidR="00454A29" w:rsidRDefault="00454A29">
            <w:pPr>
              <w:pStyle w:val="ConsPlusNormal"/>
              <w:jc w:val="center"/>
            </w:pPr>
            <w:r>
              <w:t>Всего:</w:t>
            </w:r>
          </w:p>
        </w:tc>
        <w:tc>
          <w:tcPr>
            <w:tcW w:w="1417" w:type="dxa"/>
            <w:vMerge w:val="restart"/>
            <w:vAlign w:val="center"/>
          </w:tcPr>
          <w:p w14:paraId="5A9EE0FE" w14:textId="77777777" w:rsidR="00454A29" w:rsidRDefault="00454A29">
            <w:pPr>
              <w:pStyle w:val="ConsPlusNormal"/>
              <w:jc w:val="center"/>
            </w:pPr>
            <w:r>
              <w:t>303 361,42</w:t>
            </w:r>
          </w:p>
        </w:tc>
        <w:tc>
          <w:tcPr>
            <w:tcW w:w="2204" w:type="dxa"/>
            <w:vMerge w:val="restart"/>
            <w:vAlign w:val="center"/>
          </w:tcPr>
          <w:p w14:paraId="1C2A4ADD" w14:textId="77777777" w:rsidR="00454A29" w:rsidRDefault="00454A29">
            <w:pPr>
              <w:pStyle w:val="ConsPlusNormal"/>
            </w:pPr>
          </w:p>
        </w:tc>
        <w:tc>
          <w:tcPr>
            <w:tcW w:w="1417" w:type="dxa"/>
            <w:vMerge w:val="restart"/>
            <w:vAlign w:val="center"/>
          </w:tcPr>
          <w:p w14:paraId="1D86CAEB" w14:textId="77777777" w:rsidR="00454A29" w:rsidRDefault="00454A29">
            <w:pPr>
              <w:pStyle w:val="ConsPlusNormal"/>
              <w:jc w:val="center"/>
            </w:pPr>
            <w:r>
              <w:t>250</w:t>
            </w:r>
          </w:p>
        </w:tc>
        <w:tc>
          <w:tcPr>
            <w:tcW w:w="2324" w:type="dxa"/>
            <w:vMerge w:val="restart"/>
            <w:vAlign w:val="center"/>
          </w:tcPr>
          <w:p w14:paraId="5723498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FC97831" w14:textId="77777777" w:rsidR="00454A29" w:rsidRDefault="00454A29">
            <w:pPr>
              <w:pStyle w:val="ConsPlusNormal"/>
              <w:jc w:val="center"/>
            </w:pPr>
            <w:r>
              <w:t>291 937,49</w:t>
            </w:r>
          </w:p>
        </w:tc>
        <w:tc>
          <w:tcPr>
            <w:tcW w:w="1814" w:type="dxa"/>
            <w:vAlign w:val="center"/>
          </w:tcPr>
          <w:p w14:paraId="6F14E510" w14:textId="77777777" w:rsidR="00454A29" w:rsidRDefault="00454A29">
            <w:pPr>
              <w:pStyle w:val="ConsPlusNormal"/>
              <w:jc w:val="center"/>
            </w:pPr>
            <w:r>
              <w:t>291 937,49</w:t>
            </w:r>
          </w:p>
        </w:tc>
        <w:tc>
          <w:tcPr>
            <w:tcW w:w="1701" w:type="dxa"/>
            <w:vAlign w:val="center"/>
          </w:tcPr>
          <w:p w14:paraId="0FA47AFF" w14:textId="77777777" w:rsidR="00454A29" w:rsidRDefault="00454A29">
            <w:pPr>
              <w:pStyle w:val="ConsPlusNormal"/>
              <w:jc w:val="center"/>
            </w:pPr>
            <w:r>
              <w:t>-</w:t>
            </w:r>
          </w:p>
        </w:tc>
        <w:tc>
          <w:tcPr>
            <w:tcW w:w="1701" w:type="dxa"/>
            <w:vAlign w:val="center"/>
          </w:tcPr>
          <w:p w14:paraId="340F3692" w14:textId="77777777" w:rsidR="00454A29" w:rsidRDefault="00454A29">
            <w:pPr>
              <w:pStyle w:val="ConsPlusNormal"/>
              <w:jc w:val="center"/>
            </w:pPr>
            <w:r>
              <w:t>-</w:t>
            </w:r>
          </w:p>
        </w:tc>
        <w:tc>
          <w:tcPr>
            <w:tcW w:w="1814" w:type="dxa"/>
            <w:vAlign w:val="center"/>
          </w:tcPr>
          <w:p w14:paraId="46AD3FC7" w14:textId="77777777" w:rsidR="00454A29" w:rsidRDefault="00454A29">
            <w:pPr>
              <w:pStyle w:val="ConsPlusNormal"/>
              <w:jc w:val="center"/>
            </w:pPr>
            <w:r>
              <w:t>-</w:t>
            </w:r>
          </w:p>
        </w:tc>
      </w:tr>
      <w:tr w:rsidR="00454A29" w14:paraId="71E06880" w14:textId="77777777">
        <w:tc>
          <w:tcPr>
            <w:tcW w:w="567" w:type="dxa"/>
            <w:vMerge/>
          </w:tcPr>
          <w:p w14:paraId="3547E12A" w14:textId="77777777" w:rsidR="00454A29" w:rsidRDefault="00454A29"/>
        </w:tc>
        <w:tc>
          <w:tcPr>
            <w:tcW w:w="3345" w:type="dxa"/>
            <w:vMerge/>
          </w:tcPr>
          <w:p w14:paraId="2195CC38" w14:textId="77777777" w:rsidR="00454A29" w:rsidRDefault="00454A29"/>
        </w:tc>
        <w:tc>
          <w:tcPr>
            <w:tcW w:w="1701" w:type="dxa"/>
            <w:vAlign w:val="center"/>
          </w:tcPr>
          <w:p w14:paraId="0AC85085" w14:textId="77777777" w:rsidR="00454A29" w:rsidRDefault="00454A29">
            <w:pPr>
              <w:pStyle w:val="ConsPlusNormal"/>
              <w:jc w:val="center"/>
            </w:pPr>
            <w:r>
              <w:t>2020</w:t>
            </w:r>
          </w:p>
        </w:tc>
        <w:tc>
          <w:tcPr>
            <w:tcW w:w="1417" w:type="dxa"/>
            <w:vMerge/>
          </w:tcPr>
          <w:p w14:paraId="41C5BF6E" w14:textId="77777777" w:rsidR="00454A29" w:rsidRDefault="00454A29"/>
        </w:tc>
        <w:tc>
          <w:tcPr>
            <w:tcW w:w="2204" w:type="dxa"/>
            <w:vMerge/>
          </w:tcPr>
          <w:p w14:paraId="5A4DB2E1" w14:textId="77777777" w:rsidR="00454A29" w:rsidRDefault="00454A29"/>
        </w:tc>
        <w:tc>
          <w:tcPr>
            <w:tcW w:w="1417" w:type="dxa"/>
            <w:vMerge/>
          </w:tcPr>
          <w:p w14:paraId="71D44C5C" w14:textId="77777777" w:rsidR="00454A29" w:rsidRDefault="00454A29"/>
        </w:tc>
        <w:tc>
          <w:tcPr>
            <w:tcW w:w="2324" w:type="dxa"/>
            <w:vMerge/>
          </w:tcPr>
          <w:p w14:paraId="78825177" w14:textId="77777777" w:rsidR="00454A29" w:rsidRDefault="00454A29"/>
        </w:tc>
        <w:tc>
          <w:tcPr>
            <w:tcW w:w="1701" w:type="dxa"/>
            <w:vAlign w:val="center"/>
          </w:tcPr>
          <w:p w14:paraId="3A7C3FBC" w14:textId="77777777" w:rsidR="00454A29" w:rsidRDefault="00454A29">
            <w:pPr>
              <w:pStyle w:val="ConsPlusNormal"/>
              <w:jc w:val="center"/>
            </w:pPr>
            <w:r>
              <w:t>-</w:t>
            </w:r>
          </w:p>
        </w:tc>
        <w:tc>
          <w:tcPr>
            <w:tcW w:w="1814" w:type="dxa"/>
            <w:vAlign w:val="center"/>
          </w:tcPr>
          <w:p w14:paraId="4BA5F2BA" w14:textId="77777777" w:rsidR="00454A29" w:rsidRDefault="00454A29">
            <w:pPr>
              <w:pStyle w:val="ConsPlusNormal"/>
            </w:pPr>
          </w:p>
        </w:tc>
        <w:tc>
          <w:tcPr>
            <w:tcW w:w="1701" w:type="dxa"/>
            <w:vAlign w:val="center"/>
          </w:tcPr>
          <w:p w14:paraId="385DA4D5" w14:textId="77777777" w:rsidR="00454A29" w:rsidRDefault="00454A29">
            <w:pPr>
              <w:pStyle w:val="ConsPlusNormal"/>
            </w:pPr>
          </w:p>
        </w:tc>
        <w:tc>
          <w:tcPr>
            <w:tcW w:w="1701" w:type="dxa"/>
            <w:vAlign w:val="center"/>
          </w:tcPr>
          <w:p w14:paraId="7B89625B" w14:textId="77777777" w:rsidR="00454A29" w:rsidRDefault="00454A29">
            <w:pPr>
              <w:pStyle w:val="ConsPlusNormal"/>
            </w:pPr>
          </w:p>
        </w:tc>
        <w:tc>
          <w:tcPr>
            <w:tcW w:w="1814" w:type="dxa"/>
            <w:vAlign w:val="center"/>
          </w:tcPr>
          <w:p w14:paraId="608F3B3C" w14:textId="77777777" w:rsidR="00454A29" w:rsidRDefault="00454A29">
            <w:pPr>
              <w:pStyle w:val="ConsPlusNormal"/>
            </w:pPr>
          </w:p>
        </w:tc>
      </w:tr>
      <w:tr w:rsidR="00454A29" w14:paraId="05B9C2C2" w14:textId="77777777">
        <w:tc>
          <w:tcPr>
            <w:tcW w:w="567" w:type="dxa"/>
            <w:vMerge/>
          </w:tcPr>
          <w:p w14:paraId="4915F26E" w14:textId="77777777" w:rsidR="00454A29" w:rsidRDefault="00454A29"/>
        </w:tc>
        <w:tc>
          <w:tcPr>
            <w:tcW w:w="3345" w:type="dxa"/>
            <w:vMerge/>
          </w:tcPr>
          <w:p w14:paraId="6A025095" w14:textId="77777777" w:rsidR="00454A29" w:rsidRDefault="00454A29"/>
        </w:tc>
        <w:tc>
          <w:tcPr>
            <w:tcW w:w="1701" w:type="dxa"/>
            <w:vAlign w:val="center"/>
          </w:tcPr>
          <w:p w14:paraId="75DA502C" w14:textId="77777777" w:rsidR="00454A29" w:rsidRDefault="00454A29">
            <w:pPr>
              <w:pStyle w:val="ConsPlusNormal"/>
              <w:jc w:val="center"/>
            </w:pPr>
            <w:r>
              <w:t>2021</w:t>
            </w:r>
          </w:p>
        </w:tc>
        <w:tc>
          <w:tcPr>
            <w:tcW w:w="1417" w:type="dxa"/>
            <w:vMerge/>
          </w:tcPr>
          <w:p w14:paraId="5342A557" w14:textId="77777777" w:rsidR="00454A29" w:rsidRDefault="00454A29"/>
        </w:tc>
        <w:tc>
          <w:tcPr>
            <w:tcW w:w="2204" w:type="dxa"/>
            <w:vMerge/>
          </w:tcPr>
          <w:p w14:paraId="3ECDD019" w14:textId="77777777" w:rsidR="00454A29" w:rsidRDefault="00454A29"/>
        </w:tc>
        <w:tc>
          <w:tcPr>
            <w:tcW w:w="1417" w:type="dxa"/>
            <w:vMerge/>
          </w:tcPr>
          <w:p w14:paraId="78B53295" w14:textId="77777777" w:rsidR="00454A29" w:rsidRDefault="00454A29"/>
        </w:tc>
        <w:tc>
          <w:tcPr>
            <w:tcW w:w="2324" w:type="dxa"/>
            <w:vMerge/>
          </w:tcPr>
          <w:p w14:paraId="5A6286B9" w14:textId="77777777" w:rsidR="00454A29" w:rsidRDefault="00454A29"/>
        </w:tc>
        <w:tc>
          <w:tcPr>
            <w:tcW w:w="1701" w:type="dxa"/>
            <w:vAlign w:val="center"/>
          </w:tcPr>
          <w:p w14:paraId="10D74625" w14:textId="77777777" w:rsidR="00454A29" w:rsidRDefault="00454A29">
            <w:pPr>
              <w:pStyle w:val="ConsPlusNormal"/>
              <w:jc w:val="center"/>
            </w:pPr>
            <w:r>
              <w:t>-</w:t>
            </w:r>
          </w:p>
        </w:tc>
        <w:tc>
          <w:tcPr>
            <w:tcW w:w="1814" w:type="dxa"/>
            <w:vAlign w:val="center"/>
          </w:tcPr>
          <w:p w14:paraId="2DAAB23D" w14:textId="77777777" w:rsidR="00454A29" w:rsidRDefault="00454A29">
            <w:pPr>
              <w:pStyle w:val="ConsPlusNormal"/>
            </w:pPr>
          </w:p>
        </w:tc>
        <w:tc>
          <w:tcPr>
            <w:tcW w:w="1701" w:type="dxa"/>
            <w:vAlign w:val="center"/>
          </w:tcPr>
          <w:p w14:paraId="08849BDD" w14:textId="77777777" w:rsidR="00454A29" w:rsidRDefault="00454A29">
            <w:pPr>
              <w:pStyle w:val="ConsPlusNormal"/>
            </w:pPr>
          </w:p>
        </w:tc>
        <w:tc>
          <w:tcPr>
            <w:tcW w:w="1701" w:type="dxa"/>
            <w:vAlign w:val="center"/>
          </w:tcPr>
          <w:p w14:paraId="625C2E9F" w14:textId="77777777" w:rsidR="00454A29" w:rsidRDefault="00454A29">
            <w:pPr>
              <w:pStyle w:val="ConsPlusNormal"/>
            </w:pPr>
          </w:p>
        </w:tc>
        <w:tc>
          <w:tcPr>
            <w:tcW w:w="1814" w:type="dxa"/>
            <w:vAlign w:val="center"/>
          </w:tcPr>
          <w:p w14:paraId="05757297" w14:textId="77777777" w:rsidR="00454A29" w:rsidRDefault="00454A29">
            <w:pPr>
              <w:pStyle w:val="ConsPlusNormal"/>
            </w:pPr>
          </w:p>
        </w:tc>
      </w:tr>
      <w:tr w:rsidR="00454A29" w14:paraId="5A3F11BA" w14:textId="77777777">
        <w:tc>
          <w:tcPr>
            <w:tcW w:w="567" w:type="dxa"/>
            <w:vMerge/>
          </w:tcPr>
          <w:p w14:paraId="42712CEC" w14:textId="77777777" w:rsidR="00454A29" w:rsidRDefault="00454A29"/>
        </w:tc>
        <w:tc>
          <w:tcPr>
            <w:tcW w:w="3345" w:type="dxa"/>
            <w:vMerge/>
          </w:tcPr>
          <w:p w14:paraId="0AD5262A" w14:textId="77777777" w:rsidR="00454A29" w:rsidRDefault="00454A29"/>
        </w:tc>
        <w:tc>
          <w:tcPr>
            <w:tcW w:w="1701" w:type="dxa"/>
            <w:vAlign w:val="center"/>
          </w:tcPr>
          <w:p w14:paraId="2E25D73A" w14:textId="77777777" w:rsidR="00454A29" w:rsidRDefault="00454A29">
            <w:pPr>
              <w:pStyle w:val="ConsPlusNormal"/>
              <w:jc w:val="center"/>
            </w:pPr>
            <w:r>
              <w:t>2022</w:t>
            </w:r>
          </w:p>
        </w:tc>
        <w:tc>
          <w:tcPr>
            <w:tcW w:w="1417" w:type="dxa"/>
            <w:vMerge/>
          </w:tcPr>
          <w:p w14:paraId="7CBE87DC" w14:textId="77777777" w:rsidR="00454A29" w:rsidRDefault="00454A29"/>
        </w:tc>
        <w:tc>
          <w:tcPr>
            <w:tcW w:w="2204" w:type="dxa"/>
            <w:vMerge/>
          </w:tcPr>
          <w:p w14:paraId="346F012D" w14:textId="77777777" w:rsidR="00454A29" w:rsidRDefault="00454A29"/>
        </w:tc>
        <w:tc>
          <w:tcPr>
            <w:tcW w:w="1417" w:type="dxa"/>
            <w:vMerge/>
          </w:tcPr>
          <w:p w14:paraId="218CF7BD" w14:textId="77777777" w:rsidR="00454A29" w:rsidRDefault="00454A29"/>
        </w:tc>
        <w:tc>
          <w:tcPr>
            <w:tcW w:w="2324" w:type="dxa"/>
            <w:vMerge/>
          </w:tcPr>
          <w:p w14:paraId="3808BFB7" w14:textId="77777777" w:rsidR="00454A29" w:rsidRDefault="00454A29"/>
        </w:tc>
        <w:tc>
          <w:tcPr>
            <w:tcW w:w="1701" w:type="dxa"/>
            <w:vAlign w:val="center"/>
          </w:tcPr>
          <w:p w14:paraId="42AF8FD8" w14:textId="77777777" w:rsidR="00454A29" w:rsidRDefault="00454A29">
            <w:pPr>
              <w:pStyle w:val="ConsPlusNormal"/>
            </w:pPr>
          </w:p>
        </w:tc>
        <w:tc>
          <w:tcPr>
            <w:tcW w:w="1814" w:type="dxa"/>
            <w:vAlign w:val="center"/>
          </w:tcPr>
          <w:p w14:paraId="642E2C6E" w14:textId="77777777" w:rsidR="00454A29" w:rsidRDefault="00454A29">
            <w:pPr>
              <w:pStyle w:val="ConsPlusNormal"/>
            </w:pPr>
          </w:p>
        </w:tc>
        <w:tc>
          <w:tcPr>
            <w:tcW w:w="1701" w:type="dxa"/>
            <w:vAlign w:val="center"/>
          </w:tcPr>
          <w:p w14:paraId="5A6B656E" w14:textId="77777777" w:rsidR="00454A29" w:rsidRDefault="00454A29">
            <w:pPr>
              <w:pStyle w:val="ConsPlusNormal"/>
            </w:pPr>
          </w:p>
        </w:tc>
        <w:tc>
          <w:tcPr>
            <w:tcW w:w="1701" w:type="dxa"/>
            <w:vAlign w:val="center"/>
          </w:tcPr>
          <w:p w14:paraId="651F1542" w14:textId="77777777" w:rsidR="00454A29" w:rsidRDefault="00454A29">
            <w:pPr>
              <w:pStyle w:val="ConsPlusNormal"/>
            </w:pPr>
          </w:p>
        </w:tc>
        <w:tc>
          <w:tcPr>
            <w:tcW w:w="1814" w:type="dxa"/>
            <w:vAlign w:val="center"/>
          </w:tcPr>
          <w:p w14:paraId="747F7F2F" w14:textId="77777777" w:rsidR="00454A29" w:rsidRDefault="00454A29">
            <w:pPr>
              <w:pStyle w:val="ConsPlusNormal"/>
            </w:pPr>
          </w:p>
        </w:tc>
      </w:tr>
      <w:tr w:rsidR="00454A29" w14:paraId="6B4A725E" w14:textId="77777777">
        <w:tc>
          <w:tcPr>
            <w:tcW w:w="567" w:type="dxa"/>
            <w:vMerge/>
          </w:tcPr>
          <w:p w14:paraId="4097FCE3" w14:textId="77777777" w:rsidR="00454A29" w:rsidRDefault="00454A29"/>
        </w:tc>
        <w:tc>
          <w:tcPr>
            <w:tcW w:w="3345" w:type="dxa"/>
            <w:vMerge/>
          </w:tcPr>
          <w:p w14:paraId="21CD7505" w14:textId="77777777" w:rsidR="00454A29" w:rsidRDefault="00454A29"/>
        </w:tc>
        <w:tc>
          <w:tcPr>
            <w:tcW w:w="1701" w:type="dxa"/>
            <w:vAlign w:val="center"/>
          </w:tcPr>
          <w:p w14:paraId="620F1183" w14:textId="77777777" w:rsidR="00454A29" w:rsidRDefault="00454A29">
            <w:pPr>
              <w:pStyle w:val="ConsPlusNormal"/>
              <w:jc w:val="center"/>
            </w:pPr>
            <w:r>
              <w:t>2023</w:t>
            </w:r>
          </w:p>
        </w:tc>
        <w:tc>
          <w:tcPr>
            <w:tcW w:w="1417" w:type="dxa"/>
            <w:vMerge/>
          </w:tcPr>
          <w:p w14:paraId="771FC07A" w14:textId="77777777" w:rsidR="00454A29" w:rsidRDefault="00454A29"/>
        </w:tc>
        <w:tc>
          <w:tcPr>
            <w:tcW w:w="2204" w:type="dxa"/>
            <w:vMerge/>
          </w:tcPr>
          <w:p w14:paraId="18280C1F" w14:textId="77777777" w:rsidR="00454A29" w:rsidRDefault="00454A29"/>
        </w:tc>
        <w:tc>
          <w:tcPr>
            <w:tcW w:w="1417" w:type="dxa"/>
            <w:vMerge/>
          </w:tcPr>
          <w:p w14:paraId="5365C838" w14:textId="77777777" w:rsidR="00454A29" w:rsidRDefault="00454A29"/>
        </w:tc>
        <w:tc>
          <w:tcPr>
            <w:tcW w:w="2324" w:type="dxa"/>
            <w:vMerge/>
          </w:tcPr>
          <w:p w14:paraId="02BEE6B6" w14:textId="77777777" w:rsidR="00454A29" w:rsidRDefault="00454A29"/>
        </w:tc>
        <w:tc>
          <w:tcPr>
            <w:tcW w:w="1701" w:type="dxa"/>
            <w:vAlign w:val="center"/>
          </w:tcPr>
          <w:p w14:paraId="70A589D7" w14:textId="77777777" w:rsidR="00454A29" w:rsidRDefault="00454A29">
            <w:pPr>
              <w:pStyle w:val="ConsPlusNormal"/>
              <w:jc w:val="center"/>
            </w:pPr>
            <w:r>
              <w:t>1 488,00</w:t>
            </w:r>
          </w:p>
        </w:tc>
        <w:tc>
          <w:tcPr>
            <w:tcW w:w="1814" w:type="dxa"/>
            <w:vAlign w:val="center"/>
          </w:tcPr>
          <w:p w14:paraId="19A5E004" w14:textId="77777777" w:rsidR="00454A29" w:rsidRDefault="00454A29">
            <w:pPr>
              <w:pStyle w:val="ConsPlusNormal"/>
              <w:jc w:val="center"/>
            </w:pPr>
            <w:r>
              <w:t>1 488,00</w:t>
            </w:r>
          </w:p>
        </w:tc>
        <w:tc>
          <w:tcPr>
            <w:tcW w:w="1701" w:type="dxa"/>
            <w:vAlign w:val="center"/>
          </w:tcPr>
          <w:p w14:paraId="0B8FBB05" w14:textId="77777777" w:rsidR="00454A29" w:rsidRDefault="00454A29">
            <w:pPr>
              <w:pStyle w:val="ConsPlusNormal"/>
            </w:pPr>
          </w:p>
        </w:tc>
        <w:tc>
          <w:tcPr>
            <w:tcW w:w="1701" w:type="dxa"/>
            <w:vAlign w:val="center"/>
          </w:tcPr>
          <w:p w14:paraId="24065FD2" w14:textId="77777777" w:rsidR="00454A29" w:rsidRDefault="00454A29">
            <w:pPr>
              <w:pStyle w:val="ConsPlusNormal"/>
            </w:pPr>
          </w:p>
        </w:tc>
        <w:tc>
          <w:tcPr>
            <w:tcW w:w="1814" w:type="dxa"/>
            <w:vAlign w:val="center"/>
          </w:tcPr>
          <w:p w14:paraId="2396CD30" w14:textId="77777777" w:rsidR="00454A29" w:rsidRDefault="00454A29">
            <w:pPr>
              <w:pStyle w:val="ConsPlusNormal"/>
            </w:pPr>
          </w:p>
        </w:tc>
      </w:tr>
      <w:tr w:rsidR="00454A29" w14:paraId="10CDEA08" w14:textId="77777777">
        <w:tc>
          <w:tcPr>
            <w:tcW w:w="567" w:type="dxa"/>
            <w:vMerge/>
          </w:tcPr>
          <w:p w14:paraId="22126860" w14:textId="77777777" w:rsidR="00454A29" w:rsidRDefault="00454A29"/>
        </w:tc>
        <w:tc>
          <w:tcPr>
            <w:tcW w:w="3345" w:type="dxa"/>
            <w:vMerge/>
          </w:tcPr>
          <w:p w14:paraId="373AF7D4" w14:textId="77777777" w:rsidR="00454A29" w:rsidRDefault="00454A29"/>
        </w:tc>
        <w:tc>
          <w:tcPr>
            <w:tcW w:w="1701" w:type="dxa"/>
            <w:vAlign w:val="center"/>
          </w:tcPr>
          <w:p w14:paraId="6C424865" w14:textId="77777777" w:rsidR="00454A29" w:rsidRDefault="00454A29">
            <w:pPr>
              <w:pStyle w:val="ConsPlusNormal"/>
              <w:jc w:val="center"/>
            </w:pPr>
            <w:r>
              <w:t>2024</w:t>
            </w:r>
          </w:p>
        </w:tc>
        <w:tc>
          <w:tcPr>
            <w:tcW w:w="1417" w:type="dxa"/>
            <w:vMerge/>
          </w:tcPr>
          <w:p w14:paraId="45E0365D" w14:textId="77777777" w:rsidR="00454A29" w:rsidRDefault="00454A29"/>
        </w:tc>
        <w:tc>
          <w:tcPr>
            <w:tcW w:w="2204" w:type="dxa"/>
            <w:vMerge/>
          </w:tcPr>
          <w:p w14:paraId="45926860" w14:textId="77777777" w:rsidR="00454A29" w:rsidRDefault="00454A29"/>
        </w:tc>
        <w:tc>
          <w:tcPr>
            <w:tcW w:w="1417" w:type="dxa"/>
            <w:vMerge/>
          </w:tcPr>
          <w:p w14:paraId="1CBAF582" w14:textId="77777777" w:rsidR="00454A29" w:rsidRDefault="00454A29"/>
        </w:tc>
        <w:tc>
          <w:tcPr>
            <w:tcW w:w="2324" w:type="dxa"/>
            <w:vMerge/>
          </w:tcPr>
          <w:p w14:paraId="4B692C68" w14:textId="77777777" w:rsidR="00454A29" w:rsidRDefault="00454A29"/>
        </w:tc>
        <w:tc>
          <w:tcPr>
            <w:tcW w:w="1701" w:type="dxa"/>
            <w:vAlign w:val="center"/>
          </w:tcPr>
          <w:p w14:paraId="1CD963C1" w14:textId="77777777" w:rsidR="00454A29" w:rsidRDefault="00454A29">
            <w:pPr>
              <w:pStyle w:val="ConsPlusNormal"/>
              <w:jc w:val="center"/>
            </w:pPr>
            <w:r>
              <w:t>100 470,89</w:t>
            </w:r>
          </w:p>
        </w:tc>
        <w:tc>
          <w:tcPr>
            <w:tcW w:w="1814" w:type="dxa"/>
            <w:vAlign w:val="center"/>
          </w:tcPr>
          <w:p w14:paraId="5AD4B203" w14:textId="77777777" w:rsidR="00454A29" w:rsidRDefault="00454A29">
            <w:pPr>
              <w:pStyle w:val="ConsPlusNormal"/>
              <w:jc w:val="center"/>
            </w:pPr>
            <w:r>
              <w:t>100 470,89</w:t>
            </w:r>
          </w:p>
        </w:tc>
        <w:tc>
          <w:tcPr>
            <w:tcW w:w="1701" w:type="dxa"/>
            <w:vAlign w:val="center"/>
          </w:tcPr>
          <w:p w14:paraId="2CBE0132" w14:textId="77777777" w:rsidR="00454A29" w:rsidRDefault="00454A29">
            <w:pPr>
              <w:pStyle w:val="ConsPlusNormal"/>
            </w:pPr>
          </w:p>
        </w:tc>
        <w:tc>
          <w:tcPr>
            <w:tcW w:w="1701" w:type="dxa"/>
            <w:vAlign w:val="center"/>
          </w:tcPr>
          <w:p w14:paraId="1040A86B" w14:textId="77777777" w:rsidR="00454A29" w:rsidRDefault="00454A29">
            <w:pPr>
              <w:pStyle w:val="ConsPlusNormal"/>
            </w:pPr>
          </w:p>
        </w:tc>
        <w:tc>
          <w:tcPr>
            <w:tcW w:w="1814" w:type="dxa"/>
            <w:vAlign w:val="center"/>
          </w:tcPr>
          <w:p w14:paraId="1B89CEC4" w14:textId="77777777" w:rsidR="00454A29" w:rsidRDefault="00454A29">
            <w:pPr>
              <w:pStyle w:val="ConsPlusNormal"/>
            </w:pPr>
          </w:p>
        </w:tc>
      </w:tr>
      <w:tr w:rsidR="00454A29" w14:paraId="04FBDDCF" w14:textId="77777777">
        <w:tc>
          <w:tcPr>
            <w:tcW w:w="567" w:type="dxa"/>
            <w:vMerge/>
          </w:tcPr>
          <w:p w14:paraId="4697EA8E" w14:textId="77777777" w:rsidR="00454A29" w:rsidRDefault="00454A29"/>
        </w:tc>
        <w:tc>
          <w:tcPr>
            <w:tcW w:w="3345" w:type="dxa"/>
            <w:vMerge/>
          </w:tcPr>
          <w:p w14:paraId="4D0E2586" w14:textId="77777777" w:rsidR="00454A29" w:rsidRDefault="00454A29"/>
        </w:tc>
        <w:tc>
          <w:tcPr>
            <w:tcW w:w="1701" w:type="dxa"/>
            <w:vAlign w:val="center"/>
          </w:tcPr>
          <w:p w14:paraId="32C25AA6" w14:textId="77777777" w:rsidR="00454A29" w:rsidRDefault="00454A29">
            <w:pPr>
              <w:pStyle w:val="ConsPlusNormal"/>
              <w:jc w:val="center"/>
            </w:pPr>
            <w:r>
              <w:t>2025</w:t>
            </w:r>
          </w:p>
        </w:tc>
        <w:tc>
          <w:tcPr>
            <w:tcW w:w="1417" w:type="dxa"/>
            <w:vMerge/>
          </w:tcPr>
          <w:p w14:paraId="651C6B64" w14:textId="77777777" w:rsidR="00454A29" w:rsidRDefault="00454A29"/>
        </w:tc>
        <w:tc>
          <w:tcPr>
            <w:tcW w:w="2204" w:type="dxa"/>
            <w:vMerge/>
          </w:tcPr>
          <w:p w14:paraId="0E50DA69" w14:textId="77777777" w:rsidR="00454A29" w:rsidRDefault="00454A29"/>
        </w:tc>
        <w:tc>
          <w:tcPr>
            <w:tcW w:w="1417" w:type="dxa"/>
            <w:vMerge/>
          </w:tcPr>
          <w:p w14:paraId="4ED7A404" w14:textId="77777777" w:rsidR="00454A29" w:rsidRDefault="00454A29"/>
        </w:tc>
        <w:tc>
          <w:tcPr>
            <w:tcW w:w="2324" w:type="dxa"/>
            <w:vMerge/>
          </w:tcPr>
          <w:p w14:paraId="41BC1E4C" w14:textId="77777777" w:rsidR="00454A29" w:rsidRDefault="00454A29"/>
        </w:tc>
        <w:tc>
          <w:tcPr>
            <w:tcW w:w="1701" w:type="dxa"/>
            <w:vAlign w:val="center"/>
          </w:tcPr>
          <w:p w14:paraId="68E31236" w14:textId="77777777" w:rsidR="00454A29" w:rsidRDefault="00454A29">
            <w:pPr>
              <w:pStyle w:val="ConsPlusNormal"/>
              <w:jc w:val="center"/>
            </w:pPr>
            <w:r>
              <w:t>189 978,60</w:t>
            </w:r>
          </w:p>
        </w:tc>
        <w:tc>
          <w:tcPr>
            <w:tcW w:w="1814" w:type="dxa"/>
            <w:vAlign w:val="center"/>
          </w:tcPr>
          <w:p w14:paraId="6A3EA231" w14:textId="77777777" w:rsidR="00454A29" w:rsidRDefault="00454A29">
            <w:pPr>
              <w:pStyle w:val="ConsPlusNormal"/>
              <w:jc w:val="center"/>
            </w:pPr>
            <w:r>
              <w:t>189 978,60</w:t>
            </w:r>
          </w:p>
        </w:tc>
        <w:tc>
          <w:tcPr>
            <w:tcW w:w="1701" w:type="dxa"/>
            <w:vAlign w:val="center"/>
          </w:tcPr>
          <w:p w14:paraId="7FE12650" w14:textId="77777777" w:rsidR="00454A29" w:rsidRDefault="00454A29">
            <w:pPr>
              <w:pStyle w:val="ConsPlusNormal"/>
            </w:pPr>
          </w:p>
        </w:tc>
        <w:tc>
          <w:tcPr>
            <w:tcW w:w="1701" w:type="dxa"/>
            <w:vAlign w:val="center"/>
          </w:tcPr>
          <w:p w14:paraId="7B87B635" w14:textId="77777777" w:rsidR="00454A29" w:rsidRDefault="00454A29">
            <w:pPr>
              <w:pStyle w:val="ConsPlusNormal"/>
            </w:pPr>
          </w:p>
        </w:tc>
        <w:tc>
          <w:tcPr>
            <w:tcW w:w="1814" w:type="dxa"/>
            <w:vAlign w:val="center"/>
          </w:tcPr>
          <w:p w14:paraId="206605DE" w14:textId="77777777" w:rsidR="00454A29" w:rsidRDefault="00454A29">
            <w:pPr>
              <w:pStyle w:val="ConsPlusNormal"/>
            </w:pPr>
          </w:p>
        </w:tc>
      </w:tr>
      <w:tr w:rsidR="00454A29" w14:paraId="331CE462" w14:textId="77777777">
        <w:tc>
          <w:tcPr>
            <w:tcW w:w="567" w:type="dxa"/>
            <w:vMerge/>
          </w:tcPr>
          <w:p w14:paraId="4D78FE9A" w14:textId="77777777" w:rsidR="00454A29" w:rsidRDefault="00454A29"/>
        </w:tc>
        <w:tc>
          <w:tcPr>
            <w:tcW w:w="3345" w:type="dxa"/>
            <w:vMerge/>
          </w:tcPr>
          <w:p w14:paraId="35CC40D3" w14:textId="77777777" w:rsidR="00454A29" w:rsidRDefault="00454A29"/>
        </w:tc>
        <w:tc>
          <w:tcPr>
            <w:tcW w:w="1701" w:type="dxa"/>
            <w:vAlign w:val="center"/>
          </w:tcPr>
          <w:p w14:paraId="77DFA130" w14:textId="77777777" w:rsidR="00454A29" w:rsidRDefault="00454A29">
            <w:pPr>
              <w:pStyle w:val="ConsPlusNormal"/>
              <w:jc w:val="center"/>
            </w:pPr>
            <w:r>
              <w:t>2026</w:t>
            </w:r>
          </w:p>
        </w:tc>
        <w:tc>
          <w:tcPr>
            <w:tcW w:w="1417" w:type="dxa"/>
            <w:vMerge/>
          </w:tcPr>
          <w:p w14:paraId="593793AA" w14:textId="77777777" w:rsidR="00454A29" w:rsidRDefault="00454A29"/>
        </w:tc>
        <w:tc>
          <w:tcPr>
            <w:tcW w:w="2204" w:type="dxa"/>
            <w:vMerge/>
          </w:tcPr>
          <w:p w14:paraId="4428C9E2" w14:textId="77777777" w:rsidR="00454A29" w:rsidRDefault="00454A29"/>
        </w:tc>
        <w:tc>
          <w:tcPr>
            <w:tcW w:w="1417" w:type="dxa"/>
            <w:vMerge/>
          </w:tcPr>
          <w:p w14:paraId="6BD5B6DE" w14:textId="77777777" w:rsidR="00454A29" w:rsidRDefault="00454A29"/>
        </w:tc>
        <w:tc>
          <w:tcPr>
            <w:tcW w:w="2324" w:type="dxa"/>
            <w:vMerge/>
          </w:tcPr>
          <w:p w14:paraId="00D565B4" w14:textId="77777777" w:rsidR="00454A29" w:rsidRDefault="00454A29"/>
        </w:tc>
        <w:tc>
          <w:tcPr>
            <w:tcW w:w="1701" w:type="dxa"/>
            <w:vAlign w:val="center"/>
          </w:tcPr>
          <w:p w14:paraId="15AB5208" w14:textId="77777777" w:rsidR="00454A29" w:rsidRDefault="00454A29">
            <w:pPr>
              <w:pStyle w:val="ConsPlusNormal"/>
              <w:jc w:val="center"/>
            </w:pPr>
            <w:r>
              <w:t>-</w:t>
            </w:r>
          </w:p>
        </w:tc>
        <w:tc>
          <w:tcPr>
            <w:tcW w:w="1814" w:type="dxa"/>
            <w:vAlign w:val="center"/>
          </w:tcPr>
          <w:p w14:paraId="6876B3C1" w14:textId="77777777" w:rsidR="00454A29" w:rsidRDefault="00454A29">
            <w:pPr>
              <w:pStyle w:val="ConsPlusNormal"/>
            </w:pPr>
          </w:p>
        </w:tc>
        <w:tc>
          <w:tcPr>
            <w:tcW w:w="1701" w:type="dxa"/>
            <w:vAlign w:val="center"/>
          </w:tcPr>
          <w:p w14:paraId="2CDAD6F5" w14:textId="77777777" w:rsidR="00454A29" w:rsidRDefault="00454A29">
            <w:pPr>
              <w:pStyle w:val="ConsPlusNormal"/>
            </w:pPr>
          </w:p>
        </w:tc>
        <w:tc>
          <w:tcPr>
            <w:tcW w:w="1701" w:type="dxa"/>
            <w:vAlign w:val="center"/>
          </w:tcPr>
          <w:p w14:paraId="62753D15" w14:textId="77777777" w:rsidR="00454A29" w:rsidRDefault="00454A29">
            <w:pPr>
              <w:pStyle w:val="ConsPlusNormal"/>
            </w:pPr>
          </w:p>
        </w:tc>
        <w:tc>
          <w:tcPr>
            <w:tcW w:w="1814" w:type="dxa"/>
            <w:vAlign w:val="center"/>
          </w:tcPr>
          <w:p w14:paraId="46B544CA" w14:textId="77777777" w:rsidR="00454A29" w:rsidRDefault="00454A29">
            <w:pPr>
              <w:pStyle w:val="ConsPlusNormal"/>
            </w:pPr>
          </w:p>
        </w:tc>
      </w:tr>
      <w:tr w:rsidR="00454A29" w14:paraId="7C838D84" w14:textId="77777777">
        <w:tc>
          <w:tcPr>
            <w:tcW w:w="567" w:type="dxa"/>
            <w:vMerge w:val="restart"/>
            <w:vAlign w:val="center"/>
          </w:tcPr>
          <w:p w14:paraId="767245C3" w14:textId="77777777" w:rsidR="00454A29" w:rsidRDefault="00454A29">
            <w:pPr>
              <w:pStyle w:val="ConsPlusNormal"/>
              <w:jc w:val="center"/>
            </w:pPr>
            <w:r>
              <w:t>97</w:t>
            </w:r>
          </w:p>
        </w:tc>
        <w:tc>
          <w:tcPr>
            <w:tcW w:w="3345" w:type="dxa"/>
            <w:vMerge w:val="restart"/>
            <w:vAlign w:val="center"/>
          </w:tcPr>
          <w:p w14:paraId="18EB3298" w14:textId="77777777" w:rsidR="00454A29" w:rsidRDefault="00454A29">
            <w:pPr>
              <w:pStyle w:val="ConsPlusNormal"/>
              <w:jc w:val="center"/>
            </w:pPr>
            <w:r>
              <w:t>Учебно-лабораторный корпус для ГБПОУ РС(Я) "Покровский колледж" в г. Покровск на 220 мест</w:t>
            </w:r>
          </w:p>
        </w:tc>
        <w:tc>
          <w:tcPr>
            <w:tcW w:w="1701" w:type="dxa"/>
            <w:vAlign w:val="center"/>
          </w:tcPr>
          <w:p w14:paraId="1200A24D" w14:textId="77777777" w:rsidR="00454A29" w:rsidRDefault="00454A29">
            <w:pPr>
              <w:pStyle w:val="ConsPlusNormal"/>
              <w:jc w:val="center"/>
            </w:pPr>
            <w:r>
              <w:t>Всего:</w:t>
            </w:r>
          </w:p>
        </w:tc>
        <w:tc>
          <w:tcPr>
            <w:tcW w:w="1417" w:type="dxa"/>
            <w:vMerge w:val="restart"/>
            <w:vAlign w:val="center"/>
          </w:tcPr>
          <w:p w14:paraId="3D5F167A" w14:textId="77777777" w:rsidR="00454A29" w:rsidRDefault="00454A29">
            <w:pPr>
              <w:pStyle w:val="ConsPlusNormal"/>
              <w:jc w:val="center"/>
            </w:pPr>
            <w:r>
              <w:t>233 987</w:t>
            </w:r>
          </w:p>
        </w:tc>
        <w:tc>
          <w:tcPr>
            <w:tcW w:w="2204" w:type="dxa"/>
            <w:vMerge w:val="restart"/>
            <w:vAlign w:val="center"/>
          </w:tcPr>
          <w:p w14:paraId="03EE0A22" w14:textId="77777777" w:rsidR="00454A29" w:rsidRDefault="00454A29">
            <w:pPr>
              <w:pStyle w:val="ConsPlusNormal"/>
              <w:jc w:val="center"/>
            </w:pPr>
            <w:r>
              <w:t>имеется</w:t>
            </w:r>
          </w:p>
        </w:tc>
        <w:tc>
          <w:tcPr>
            <w:tcW w:w="1417" w:type="dxa"/>
            <w:vMerge w:val="restart"/>
            <w:vAlign w:val="center"/>
          </w:tcPr>
          <w:p w14:paraId="5E077C96" w14:textId="77777777" w:rsidR="00454A29" w:rsidRDefault="00454A29">
            <w:pPr>
              <w:pStyle w:val="ConsPlusNormal"/>
              <w:jc w:val="center"/>
            </w:pPr>
            <w:r>
              <w:t>220</w:t>
            </w:r>
          </w:p>
        </w:tc>
        <w:tc>
          <w:tcPr>
            <w:tcW w:w="2324" w:type="dxa"/>
            <w:vMerge w:val="restart"/>
            <w:vAlign w:val="center"/>
          </w:tcPr>
          <w:p w14:paraId="6043763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71AC8CA" w14:textId="77777777" w:rsidR="00454A29" w:rsidRDefault="00454A29">
            <w:pPr>
              <w:pStyle w:val="ConsPlusNormal"/>
              <w:jc w:val="center"/>
            </w:pPr>
            <w:r>
              <w:t>136 297,19</w:t>
            </w:r>
          </w:p>
        </w:tc>
        <w:tc>
          <w:tcPr>
            <w:tcW w:w="1814" w:type="dxa"/>
            <w:vAlign w:val="center"/>
          </w:tcPr>
          <w:p w14:paraId="7995B8AF" w14:textId="77777777" w:rsidR="00454A29" w:rsidRDefault="00454A29">
            <w:pPr>
              <w:pStyle w:val="ConsPlusNormal"/>
              <w:jc w:val="center"/>
            </w:pPr>
            <w:r>
              <w:t>136 297,19</w:t>
            </w:r>
          </w:p>
        </w:tc>
        <w:tc>
          <w:tcPr>
            <w:tcW w:w="1701" w:type="dxa"/>
            <w:vAlign w:val="center"/>
          </w:tcPr>
          <w:p w14:paraId="7FDB0077" w14:textId="77777777" w:rsidR="00454A29" w:rsidRDefault="00454A29">
            <w:pPr>
              <w:pStyle w:val="ConsPlusNormal"/>
              <w:jc w:val="center"/>
            </w:pPr>
            <w:r>
              <w:t>-</w:t>
            </w:r>
          </w:p>
        </w:tc>
        <w:tc>
          <w:tcPr>
            <w:tcW w:w="1701" w:type="dxa"/>
            <w:vAlign w:val="center"/>
          </w:tcPr>
          <w:p w14:paraId="0FADCED8" w14:textId="77777777" w:rsidR="00454A29" w:rsidRDefault="00454A29">
            <w:pPr>
              <w:pStyle w:val="ConsPlusNormal"/>
              <w:jc w:val="center"/>
            </w:pPr>
            <w:r>
              <w:t>-</w:t>
            </w:r>
          </w:p>
        </w:tc>
        <w:tc>
          <w:tcPr>
            <w:tcW w:w="1814" w:type="dxa"/>
            <w:vAlign w:val="center"/>
          </w:tcPr>
          <w:p w14:paraId="19E4E074" w14:textId="77777777" w:rsidR="00454A29" w:rsidRDefault="00454A29">
            <w:pPr>
              <w:pStyle w:val="ConsPlusNormal"/>
              <w:jc w:val="center"/>
            </w:pPr>
            <w:r>
              <w:t>-</w:t>
            </w:r>
          </w:p>
        </w:tc>
      </w:tr>
      <w:tr w:rsidR="00454A29" w14:paraId="74FA8278" w14:textId="77777777">
        <w:tc>
          <w:tcPr>
            <w:tcW w:w="567" w:type="dxa"/>
            <w:vMerge/>
          </w:tcPr>
          <w:p w14:paraId="5DD8F6D0" w14:textId="77777777" w:rsidR="00454A29" w:rsidRDefault="00454A29"/>
        </w:tc>
        <w:tc>
          <w:tcPr>
            <w:tcW w:w="3345" w:type="dxa"/>
            <w:vMerge/>
          </w:tcPr>
          <w:p w14:paraId="67817F1F" w14:textId="77777777" w:rsidR="00454A29" w:rsidRDefault="00454A29"/>
        </w:tc>
        <w:tc>
          <w:tcPr>
            <w:tcW w:w="1701" w:type="dxa"/>
            <w:vAlign w:val="center"/>
          </w:tcPr>
          <w:p w14:paraId="6DF6C83D" w14:textId="77777777" w:rsidR="00454A29" w:rsidRDefault="00454A29">
            <w:pPr>
              <w:pStyle w:val="ConsPlusNormal"/>
              <w:jc w:val="center"/>
            </w:pPr>
            <w:r>
              <w:t>2020</w:t>
            </w:r>
          </w:p>
        </w:tc>
        <w:tc>
          <w:tcPr>
            <w:tcW w:w="1417" w:type="dxa"/>
            <w:vMerge/>
          </w:tcPr>
          <w:p w14:paraId="2F6CAF4B" w14:textId="77777777" w:rsidR="00454A29" w:rsidRDefault="00454A29"/>
        </w:tc>
        <w:tc>
          <w:tcPr>
            <w:tcW w:w="2204" w:type="dxa"/>
            <w:vMerge/>
          </w:tcPr>
          <w:p w14:paraId="778D8FB5" w14:textId="77777777" w:rsidR="00454A29" w:rsidRDefault="00454A29"/>
        </w:tc>
        <w:tc>
          <w:tcPr>
            <w:tcW w:w="1417" w:type="dxa"/>
            <w:vMerge/>
          </w:tcPr>
          <w:p w14:paraId="0CCF0D31" w14:textId="77777777" w:rsidR="00454A29" w:rsidRDefault="00454A29"/>
        </w:tc>
        <w:tc>
          <w:tcPr>
            <w:tcW w:w="2324" w:type="dxa"/>
            <w:vMerge/>
          </w:tcPr>
          <w:p w14:paraId="7E39BCC8" w14:textId="77777777" w:rsidR="00454A29" w:rsidRDefault="00454A29"/>
        </w:tc>
        <w:tc>
          <w:tcPr>
            <w:tcW w:w="1701" w:type="dxa"/>
            <w:vAlign w:val="center"/>
          </w:tcPr>
          <w:p w14:paraId="080C3667" w14:textId="77777777" w:rsidR="00454A29" w:rsidRDefault="00454A29">
            <w:pPr>
              <w:pStyle w:val="ConsPlusNormal"/>
              <w:jc w:val="center"/>
            </w:pPr>
            <w:r>
              <w:t>-</w:t>
            </w:r>
          </w:p>
        </w:tc>
        <w:tc>
          <w:tcPr>
            <w:tcW w:w="1814" w:type="dxa"/>
            <w:vAlign w:val="center"/>
          </w:tcPr>
          <w:p w14:paraId="578FB6B4" w14:textId="77777777" w:rsidR="00454A29" w:rsidRDefault="00454A29">
            <w:pPr>
              <w:pStyle w:val="ConsPlusNormal"/>
            </w:pPr>
          </w:p>
        </w:tc>
        <w:tc>
          <w:tcPr>
            <w:tcW w:w="1701" w:type="dxa"/>
            <w:vAlign w:val="center"/>
          </w:tcPr>
          <w:p w14:paraId="3F60F474" w14:textId="77777777" w:rsidR="00454A29" w:rsidRDefault="00454A29">
            <w:pPr>
              <w:pStyle w:val="ConsPlusNormal"/>
            </w:pPr>
          </w:p>
        </w:tc>
        <w:tc>
          <w:tcPr>
            <w:tcW w:w="1701" w:type="dxa"/>
            <w:vAlign w:val="center"/>
          </w:tcPr>
          <w:p w14:paraId="058ED08C" w14:textId="77777777" w:rsidR="00454A29" w:rsidRDefault="00454A29">
            <w:pPr>
              <w:pStyle w:val="ConsPlusNormal"/>
            </w:pPr>
          </w:p>
        </w:tc>
        <w:tc>
          <w:tcPr>
            <w:tcW w:w="1814" w:type="dxa"/>
            <w:vAlign w:val="center"/>
          </w:tcPr>
          <w:p w14:paraId="52E34C7F" w14:textId="77777777" w:rsidR="00454A29" w:rsidRDefault="00454A29">
            <w:pPr>
              <w:pStyle w:val="ConsPlusNormal"/>
            </w:pPr>
          </w:p>
        </w:tc>
      </w:tr>
      <w:tr w:rsidR="00454A29" w14:paraId="40F6121E" w14:textId="77777777">
        <w:tc>
          <w:tcPr>
            <w:tcW w:w="567" w:type="dxa"/>
            <w:vMerge/>
          </w:tcPr>
          <w:p w14:paraId="496C29BB" w14:textId="77777777" w:rsidR="00454A29" w:rsidRDefault="00454A29"/>
        </w:tc>
        <w:tc>
          <w:tcPr>
            <w:tcW w:w="3345" w:type="dxa"/>
            <w:vMerge/>
          </w:tcPr>
          <w:p w14:paraId="5589D9C0" w14:textId="77777777" w:rsidR="00454A29" w:rsidRDefault="00454A29"/>
        </w:tc>
        <w:tc>
          <w:tcPr>
            <w:tcW w:w="1701" w:type="dxa"/>
            <w:vAlign w:val="center"/>
          </w:tcPr>
          <w:p w14:paraId="24738D64" w14:textId="77777777" w:rsidR="00454A29" w:rsidRDefault="00454A29">
            <w:pPr>
              <w:pStyle w:val="ConsPlusNormal"/>
              <w:jc w:val="center"/>
            </w:pPr>
            <w:r>
              <w:t>2021</w:t>
            </w:r>
          </w:p>
        </w:tc>
        <w:tc>
          <w:tcPr>
            <w:tcW w:w="1417" w:type="dxa"/>
            <w:vMerge/>
          </w:tcPr>
          <w:p w14:paraId="00040BBA" w14:textId="77777777" w:rsidR="00454A29" w:rsidRDefault="00454A29"/>
        </w:tc>
        <w:tc>
          <w:tcPr>
            <w:tcW w:w="2204" w:type="dxa"/>
            <w:vMerge/>
          </w:tcPr>
          <w:p w14:paraId="36427C3E" w14:textId="77777777" w:rsidR="00454A29" w:rsidRDefault="00454A29"/>
        </w:tc>
        <w:tc>
          <w:tcPr>
            <w:tcW w:w="1417" w:type="dxa"/>
            <w:vMerge/>
          </w:tcPr>
          <w:p w14:paraId="2FA52DAB" w14:textId="77777777" w:rsidR="00454A29" w:rsidRDefault="00454A29"/>
        </w:tc>
        <w:tc>
          <w:tcPr>
            <w:tcW w:w="2324" w:type="dxa"/>
            <w:vMerge/>
          </w:tcPr>
          <w:p w14:paraId="6ED5C3F9" w14:textId="77777777" w:rsidR="00454A29" w:rsidRDefault="00454A29"/>
        </w:tc>
        <w:tc>
          <w:tcPr>
            <w:tcW w:w="1701" w:type="dxa"/>
            <w:vAlign w:val="center"/>
          </w:tcPr>
          <w:p w14:paraId="19CC12E8" w14:textId="77777777" w:rsidR="00454A29" w:rsidRDefault="00454A29">
            <w:pPr>
              <w:pStyle w:val="ConsPlusNormal"/>
              <w:jc w:val="center"/>
            </w:pPr>
            <w:r>
              <w:t>-</w:t>
            </w:r>
          </w:p>
        </w:tc>
        <w:tc>
          <w:tcPr>
            <w:tcW w:w="1814" w:type="dxa"/>
            <w:vAlign w:val="center"/>
          </w:tcPr>
          <w:p w14:paraId="44FE140A" w14:textId="77777777" w:rsidR="00454A29" w:rsidRDefault="00454A29">
            <w:pPr>
              <w:pStyle w:val="ConsPlusNormal"/>
            </w:pPr>
          </w:p>
        </w:tc>
        <w:tc>
          <w:tcPr>
            <w:tcW w:w="1701" w:type="dxa"/>
            <w:vAlign w:val="center"/>
          </w:tcPr>
          <w:p w14:paraId="6253A197" w14:textId="77777777" w:rsidR="00454A29" w:rsidRDefault="00454A29">
            <w:pPr>
              <w:pStyle w:val="ConsPlusNormal"/>
            </w:pPr>
          </w:p>
        </w:tc>
        <w:tc>
          <w:tcPr>
            <w:tcW w:w="1701" w:type="dxa"/>
            <w:vAlign w:val="center"/>
          </w:tcPr>
          <w:p w14:paraId="3D6B1584" w14:textId="77777777" w:rsidR="00454A29" w:rsidRDefault="00454A29">
            <w:pPr>
              <w:pStyle w:val="ConsPlusNormal"/>
            </w:pPr>
          </w:p>
        </w:tc>
        <w:tc>
          <w:tcPr>
            <w:tcW w:w="1814" w:type="dxa"/>
            <w:vAlign w:val="center"/>
          </w:tcPr>
          <w:p w14:paraId="502545DD" w14:textId="77777777" w:rsidR="00454A29" w:rsidRDefault="00454A29">
            <w:pPr>
              <w:pStyle w:val="ConsPlusNormal"/>
            </w:pPr>
          </w:p>
        </w:tc>
      </w:tr>
      <w:tr w:rsidR="00454A29" w14:paraId="4EDBF6DE" w14:textId="77777777">
        <w:tc>
          <w:tcPr>
            <w:tcW w:w="567" w:type="dxa"/>
            <w:vMerge/>
          </w:tcPr>
          <w:p w14:paraId="3B21D2C7" w14:textId="77777777" w:rsidR="00454A29" w:rsidRDefault="00454A29"/>
        </w:tc>
        <w:tc>
          <w:tcPr>
            <w:tcW w:w="3345" w:type="dxa"/>
            <w:vMerge/>
          </w:tcPr>
          <w:p w14:paraId="1B9FF9E2" w14:textId="77777777" w:rsidR="00454A29" w:rsidRDefault="00454A29"/>
        </w:tc>
        <w:tc>
          <w:tcPr>
            <w:tcW w:w="1701" w:type="dxa"/>
            <w:vAlign w:val="center"/>
          </w:tcPr>
          <w:p w14:paraId="6342018E" w14:textId="77777777" w:rsidR="00454A29" w:rsidRDefault="00454A29">
            <w:pPr>
              <w:pStyle w:val="ConsPlusNormal"/>
              <w:jc w:val="center"/>
            </w:pPr>
            <w:r>
              <w:t>2022</w:t>
            </w:r>
          </w:p>
        </w:tc>
        <w:tc>
          <w:tcPr>
            <w:tcW w:w="1417" w:type="dxa"/>
            <w:vMerge/>
          </w:tcPr>
          <w:p w14:paraId="76429619" w14:textId="77777777" w:rsidR="00454A29" w:rsidRDefault="00454A29"/>
        </w:tc>
        <w:tc>
          <w:tcPr>
            <w:tcW w:w="2204" w:type="dxa"/>
            <w:vMerge/>
          </w:tcPr>
          <w:p w14:paraId="73854466" w14:textId="77777777" w:rsidR="00454A29" w:rsidRDefault="00454A29"/>
        </w:tc>
        <w:tc>
          <w:tcPr>
            <w:tcW w:w="1417" w:type="dxa"/>
            <w:vMerge/>
          </w:tcPr>
          <w:p w14:paraId="5A9DFF0E" w14:textId="77777777" w:rsidR="00454A29" w:rsidRDefault="00454A29"/>
        </w:tc>
        <w:tc>
          <w:tcPr>
            <w:tcW w:w="2324" w:type="dxa"/>
            <w:vMerge/>
          </w:tcPr>
          <w:p w14:paraId="7A4E9B9E" w14:textId="77777777" w:rsidR="00454A29" w:rsidRDefault="00454A29"/>
        </w:tc>
        <w:tc>
          <w:tcPr>
            <w:tcW w:w="1701" w:type="dxa"/>
            <w:vAlign w:val="center"/>
          </w:tcPr>
          <w:p w14:paraId="34B4ECF1" w14:textId="77777777" w:rsidR="00454A29" w:rsidRDefault="00454A29">
            <w:pPr>
              <w:pStyle w:val="ConsPlusNormal"/>
              <w:jc w:val="center"/>
            </w:pPr>
            <w:r>
              <w:t>-</w:t>
            </w:r>
          </w:p>
        </w:tc>
        <w:tc>
          <w:tcPr>
            <w:tcW w:w="1814" w:type="dxa"/>
            <w:vAlign w:val="center"/>
          </w:tcPr>
          <w:p w14:paraId="1BF2ACCC" w14:textId="77777777" w:rsidR="00454A29" w:rsidRDefault="00454A29">
            <w:pPr>
              <w:pStyle w:val="ConsPlusNormal"/>
            </w:pPr>
          </w:p>
        </w:tc>
        <w:tc>
          <w:tcPr>
            <w:tcW w:w="1701" w:type="dxa"/>
            <w:vAlign w:val="center"/>
          </w:tcPr>
          <w:p w14:paraId="47DBE061" w14:textId="77777777" w:rsidR="00454A29" w:rsidRDefault="00454A29">
            <w:pPr>
              <w:pStyle w:val="ConsPlusNormal"/>
            </w:pPr>
          </w:p>
        </w:tc>
        <w:tc>
          <w:tcPr>
            <w:tcW w:w="1701" w:type="dxa"/>
            <w:vAlign w:val="center"/>
          </w:tcPr>
          <w:p w14:paraId="593BD403" w14:textId="77777777" w:rsidR="00454A29" w:rsidRDefault="00454A29">
            <w:pPr>
              <w:pStyle w:val="ConsPlusNormal"/>
            </w:pPr>
          </w:p>
        </w:tc>
        <w:tc>
          <w:tcPr>
            <w:tcW w:w="1814" w:type="dxa"/>
            <w:vAlign w:val="center"/>
          </w:tcPr>
          <w:p w14:paraId="67414AB5" w14:textId="77777777" w:rsidR="00454A29" w:rsidRDefault="00454A29">
            <w:pPr>
              <w:pStyle w:val="ConsPlusNormal"/>
            </w:pPr>
          </w:p>
        </w:tc>
      </w:tr>
      <w:tr w:rsidR="00454A29" w14:paraId="74437404" w14:textId="77777777">
        <w:tc>
          <w:tcPr>
            <w:tcW w:w="567" w:type="dxa"/>
            <w:vMerge/>
          </w:tcPr>
          <w:p w14:paraId="679A78D0" w14:textId="77777777" w:rsidR="00454A29" w:rsidRDefault="00454A29"/>
        </w:tc>
        <w:tc>
          <w:tcPr>
            <w:tcW w:w="3345" w:type="dxa"/>
            <w:vMerge/>
          </w:tcPr>
          <w:p w14:paraId="2C19BF6C" w14:textId="77777777" w:rsidR="00454A29" w:rsidRDefault="00454A29"/>
        </w:tc>
        <w:tc>
          <w:tcPr>
            <w:tcW w:w="1701" w:type="dxa"/>
            <w:vAlign w:val="center"/>
          </w:tcPr>
          <w:p w14:paraId="72D14F60" w14:textId="77777777" w:rsidR="00454A29" w:rsidRDefault="00454A29">
            <w:pPr>
              <w:pStyle w:val="ConsPlusNormal"/>
              <w:jc w:val="center"/>
            </w:pPr>
            <w:r>
              <w:t>2023</w:t>
            </w:r>
          </w:p>
        </w:tc>
        <w:tc>
          <w:tcPr>
            <w:tcW w:w="1417" w:type="dxa"/>
            <w:vMerge/>
          </w:tcPr>
          <w:p w14:paraId="62DEF81B" w14:textId="77777777" w:rsidR="00454A29" w:rsidRDefault="00454A29"/>
        </w:tc>
        <w:tc>
          <w:tcPr>
            <w:tcW w:w="2204" w:type="dxa"/>
            <w:vMerge/>
          </w:tcPr>
          <w:p w14:paraId="1EE102BF" w14:textId="77777777" w:rsidR="00454A29" w:rsidRDefault="00454A29"/>
        </w:tc>
        <w:tc>
          <w:tcPr>
            <w:tcW w:w="1417" w:type="dxa"/>
            <w:vMerge/>
          </w:tcPr>
          <w:p w14:paraId="3933122F" w14:textId="77777777" w:rsidR="00454A29" w:rsidRDefault="00454A29"/>
        </w:tc>
        <w:tc>
          <w:tcPr>
            <w:tcW w:w="2324" w:type="dxa"/>
            <w:vMerge/>
          </w:tcPr>
          <w:p w14:paraId="774D62C6" w14:textId="77777777" w:rsidR="00454A29" w:rsidRDefault="00454A29"/>
        </w:tc>
        <w:tc>
          <w:tcPr>
            <w:tcW w:w="1701" w:type="dxa"/>
            <w:vAlign w:val="center"/>
          </w:tcPr>
          <w:p w14:paraId="6ED32DA1" w14:textId="77777777" w:rsidR="00454A29" w:rsidRDefault="00454A29">
            <w:pPr>
              <w:pStyle w:val="ConsPlusNormal"/>
              <w:jc w:val="center"/>
            </w:pPr>
            <w:r>
              <w:t>58 028,68</w:t>
            </w:r>
          </w:p>
        </w:tc>
        <w:tc>
          <w:tcPr>
            <w:tcW w:w="1814" w:type="dxa"/>
            <w:vAlign w:val="center"/>
          </w:tcPr>
          <w:p w14:paraId="368A6250" w14:textId="77777777" w:rsidR="00454A29" w:rsidRDefault="00454A29">
            <w:pPr>
              <w:pStyle w:val="ConsPlusNormal"/>
              <w:jc w:val="center"/>
            </w:pPr>
            <w:r>
              <w:t>58 028,68</w:t>
            </w:r>
          </w:p>
        </w:tc>
        <w:tc>
          <w:tcPr>
            <w:tcW w:w="1701" w:type="dxa"/>
            <w:vAlign w:val="center"/>
          </w:tcPr>
          <w:p w14:paraId="75EA7565" w14:textId="77777777" w:rsidR="00454A29" w:rsidRDefault="00454A29">
            <w:pPr>
              <w:pStyle w:val="ConsPlusNormal"/>
            </w:pPr>
          </w:p>
        </w:tc>
        <w:tc>
          <w:tcPr>
            <w:tcW w:w="1701" w:type="dxa"/>
            <w:vAlign w:val="center"/>
          </w:tcPr>
          <w:p w14:paraId="3EA697D5" w14:textId="77777777" w:rsidR="00454A29" w:rsidRDefault="00454A29">
            <w:pPr>
              <w:pStyle w:val="ConsPlusNormal"/>
            </w:pPr>
          </w:p>
        </w:tc>
        <w:tc>
          <w:tcPr>
            <w:tcW w:w="1814" w:type="dxa"/>
            <w:vAlign w:val="center"/>
          </w:tcPr>
          <w:p w14:paraId="181B8ED6" w14:textId="77777777" w:rsidR="00454A29" w:rsidRDefault="00454A29">
            <w:pPr>
              <w:pStyle w:val="ConsPlusNormal"/>
            </w:pPr>
          </w:p>
        </w:tc>
      </w:tr>
      <w:tr w:rsidR="00454A29" w14:paraId="7E1D9440" w14:textId="77777777">
        <w:tc>
          <w:tcPr>
            <w:tcW w:w="567" w:type="dxa"/>
            <w:vMerge/>
          </w:tcPr>
          <w:p w14:paraId="5AC6BA35" w14:textId="77777777" w:rsidR="00454A29" w:rsidRDefault="00454A29"/>
        </w:tc>
        <w:tc>
          <w:tcPr>
            <w:tcW w:w="3345" w:type="dxa"/>
            <w:vMerge/>
          </w:tcPr>
          <w:p w14:paraId="14E26DBB" w14:textId="77777777" w:rsidR="00454A29" w:rsidRDefault="00454A29"/>
        </w:tc>
        <w:tc>
          <w:tcPr>
            <w:tcW w:w="1701" w:type="dxa"/>
            <w:vAlign w:val="center"/>
          </w:tcPr>
          <w:p w14:paraId="4D9856AE" w14:textId="77777777" w:rsidR="00454A29" w:rsidRDefault="00454A29">
            <w:pPr>
              <w:pStyle w:val="ConsPlusNormal"/>
              <w:jc w:val="center"/>
            </w:pPr>
            <w:r>
              <w:t>2024</w:t>
            </w:r>
          </w:p>
        </w:tc>
        <w:tc>
          <w:tcPr>
            <w:tcW w:w="1417" w:type="dxa"/>
            <w:vMerge/>
          </w:tcPr>
          <w:p w14:paraId="68423071" w14:textId="77777777" w:rsidR="00454A29" w:rsidRDefault="00454A29"/>
        </w:tc>
        <w:tc>
          <w:tcPr>
            <w:tcW w:w="2204" w:type="dxa"/>
            <w:vMerge/>
          </w:tcPr>
          <w:p w14:paraId="4E495A15" w14:textId="77777777" w:rsidR="00454A29" w:rsidRDefault="00454A29"/>
        </w:tc>
        <w:tc>
          <w:tcPr>
            <w:tcW w:w="1417" w:type="dxa"/>
            <w:vMerge/>
          </w:tcPr>
          <w:p w14:paraId="6F11BB35" w14:textId="77777777" w:rsidR="00454A29" w:rsidRDefault="00454A29"/>
        </w:tc>
        <w:tc>
          <w:tcPr>
            <w:tcW w:w="2324" w:type="dxa"/>
            <w:vMerge/>
          </w:tcPr>
          <w:p w14:paraId="1647C975" w14:textId="77777777" w:rsidR="00454A29" w:rsidRDefault="00454A29"/>
        </w:tc>
        <w:tc>
          <w:tcPr>
            <w:tcW w:w="1701" w:type="dxa"/>
            <w:vAlign w:val="center"/>
          </w:tcPr>
          <w:p w14:paraId="5B0841E1" w14:textId="77777777" w:rsidR="00454A29" w:rsidRDefault="00454A29">
            <w:pPr>
              <w:pStyle w:val="ConsPlusNormal"/>
              <w:jc w:val="center"/>
            </w:pPr>
            <w:r>
              <w:t>78 268,52</w:t>
            </w:r>
          </w:p>
        </w:tc>
        <w:tc>
          <w:tcPr>
            <w:tcW w:w="1814" w:type="dxa"/>
            <w:vAlign w:val="center"/>
          </w:tcPr>
          <w:p w14:paraId="66D42D4D" w14:textId="77777777" w:rsidR="00454A29" w:rsidRDefault="00454A29">
            <w:pPr>
              <w:pStyle w:val="ConsPlusNormal"/>
              <w:jc w:val="center"/>
            </w:pPr>
            <w:r>
              <w:t>78 268,52</w:t>
            </w:r>
          </w:p>
        </w:tc>
        <w:tc>
          <w:tcPr>
            <w:tcW w:w="1701" w:type="dxa"/>
            <w:vAlign w:val="center"/>
          </w:tcPr>
          <w:p w14:paraId="74DAD7A2" w14:textId="77777777" w:rsidR="00454A29" w:rsidRDefault="00454A29">
            <w:pPr>
              <w:pStyle w:val="ConsPlusNormal"/>
            </w:pPr>
          </w:p>
        </w:tc>
        <w:tc>
          <w:tcPr>
            <w:tcW w:w="1701" w:type="dxa"/>
            <w:vAlign w:val="center"/>
          </w:tcPr>
          <w:p w14:paraId="0A8F5AF0" w14:textId="77777777" w:rsidR="00454A29" w:rsidRDefault="00454A29">
            <w:pPr>
              <w:pStyle w:val="ConsPlusNormal"/>
            </w:pPr>
          </w:p>
        </w:tc>
        <w:tc>
          <w:tcPr>
            <w:tcW w:w="1814" w:type="dxa"/>
            <w:vAlign w:val="center"/>
          </w:tcPr>
          <w:p w14:paraId="38A0710B" w14:textId="77777777" w:rsidR="00454A29" w:rsidRDefault="00454A29">
            <w:pPr>
              <w:pStyle w:val="ConsPlusNormal"/>
            </w:pPr>
          </w:p>
        </w:tc>
      </w:tr>
      <w:tr w:rsidR="00454A29" w14:paraId="5125B32C" w14:textId="77777777">
        <w:tc>
          <w:tcPr>
            <w:tcW w:w="567" w:type="dxa"/>
            <w:vMerge/>
          </w:tcPr>
          <w:p w14:paraId="4FCD529C" w14:textId="77777777" w:rsidR="00454A29" w:rsidRDefault="00454A29"/>
        </w:tc>
        <w:tc>
          <w:tcPr>
            <w:tcW w:w="3345" w:type="dxa"/>
            <w:vMerge/>
          </w:tcPr>
          <w:p w14:paraId="12E71227" w14:textId="77777777" w:rsidR="00454A29" w:rsidRDefault="00454A29"/>
        </w:tc>
        <w:tc>
          <w:tcPr>
            <w:tcW w:w="1701" w:type="dxa"/>
            <w:vAlign w:val="center"/>
          </w:tcPr>
          <w:p w14:paraId="45B00FB9" w14:textId="77777777" w:rsidR="00454A29" w:rsidRDefault="00454A29">
            <w:pPr>
              <w:pStyle w:val="ConsPlusNormal"/>
              <w:jc w:val="center"/>
            </w:pPr>
            <w:r>
              <w:t>2025</w:t>
            </w:r>
          </w:p>
        </w:tc>
        <w:tc>
          <w:tcPr>
            <w:tcW w:w="1417" w:type="dxa"/>
            <w:vMerge/>
          </w:tcPr>
          <w:p w14:paraId="0E5816D5" w14:textId="77777777" w:rsidR="00454A29" w:rsidRDefault="00454A29"/>
        </w:tc>
        <w:tc>
          <w:tcPr>
            <w:tcW w:w="2204" w:type="dxa"/>
            <w:vMerge/>
          </w:tcPr>
          <w:p w14:paraId="6470AF0F" w14:textId="77777777" w:rsidR="00454A29" w:rsidRDefault="00454A29"/>
        </w:tc>
        <w:tc>
          <w:tcPr>
            <w:tcW w:w="1417" w:type="dxa"/>
            <w:vMerge/>
          </w:tcPr>
          <w:p w14:paraId="51F8CFCE" w14:textId="77777777" w:rsidR="00454A29" w:rsidRDefault="00454A29"/>
        </w:tc>
        <w:tc>
          <w:tcPr>
            <w:tcW w:w="2324" w:type="dxa"/>
            <w:vMerge/>
          </w:tcPr>
          <w:p w14:paraId="5148E741" w14:textId="77777777" w:rsidR="00454A29" w:rsidRDefault="00454A29"/>
        </w:tc>
        <w:tc>
          <w:tcPr>
            <w:tcW w:w="1701" w:type="dxa"/>
            <w:vAlign w:val="center"/>
          </w:tcPr>
          <w:p w14:paraId="74DC8526" w14:textId="77777777" w:rsidR="00454A29" w:rsidRDefault="00454A29">
            <w:pPr>
              <w:pStyle w:val="ConsPlusNormal"/>
              <w:jc w:val="center"/>
            </w:pPr>
            <w:r>
              <w:t>-</w:t>
            </w:r>
          </w:p>
        </w:tc>
        <w:tc>
          <w:tcPr>
            <w:tcW w:w="1814" w:type="dxa"/>
            <w:vAlign w:val="center"/>
          </w:tcPr>
          <w:p w14:paraId="4AECE928" w14:textId="77777777" w:rsidR="00454A29" w:rsidRDefault="00454A29">
            <w:pPr>
              <w:pStyle w:val="ConsPlusNormal"/>
            </w:pPr>
          </w:p>
        </w:tc>
        <w:tc>
          <w:tcPr>
            <w:tcW w:w="1701" w:type="dxa"/>
            <w:vAlign w:val="center"/>
          </w:tcPr>
          <w:p w14:paraId="7DB9822A" w14:textId="77777777" w:rsidR="00454A29" w:rsidRDefault="00454A29">
            <w:pPr>
              <w:pStyle w:val="ConsPlusNormal"/>
            </w:pPr>
          </w:p>
        </w:tc>
        <w:tc>
          <w:tcPr>
            <w:tcW w:w="1701" w:type="dxa"/>
            <w:vAlign w:val="center"/>
          </w:tcPr>
          <w:p w14:paraId="50C36EE8" w14:textId="77777777" w:rsidR="00454A29" w:rsidRDefault="00454A29">
            <w:pPr>
              <w:pStyle w:val="ConsPlusNormal"/>
            </w:pPr>
          </w:p>
        </w:tc>
        <w:tc>
          <w:tcPr>
            <w:tcW w:w="1814" w:type="dxa"/>
            <w:vAlign w:val="center"/>
          </w:tcPr>
          <w:p w14:paraId="7482989D" w14:textId="77777777" w:rsidR="00454A29" w:rsidRDefault="00454A29">
            <w:pPr>
              <w:pStyle w:val="ConsPlusNormal"/>
            </w:pPr>
          </w:p>
        </w:tc>
      </w:tr>
      <w:tr w:rsidR="00454A29" w14:paraId="5753D667" w14:textId="77777777">
        <w:tc>
          <w:tcPr>
            <w:tcW w:w="567" w:type="dxa"/>
            <w:vMerge/>
          </w:tcPr>
          <w:p w14:paraId="2E578DCE" w14:textId="77777777" w:rsidR="00454A29" w:rsidRDefault="00454A29"/>
        </w:tc>
        <w:tc>
          <w:tcPr>
            <w:tcW w:w="3345" w:type="dxa"/>
            <w:vMerge/>
          </w:tcPr>
          <w:p w14:paraId="6FE7E41C" w14:textId="77777777" w:rsidR="00454A29" w:rsidRDefault="00454A29"/>
        </w:tc>
        <w:tc>
          <w:tcPr>
            <w:tcW w:w="1701" w:type="dxa"/>
            <w:vAlign w:val="center"/>
          </w:tcPr>
          <w:p w14:paraId="2E2702EE" w14:textId="77777777" w:rsidR="00454A29" w:rsidRDefault="00454A29">
            <w:pPr>
              <w:pStyle w:val="ConsPlusNormal"/>
              <w:jc w:val="center"/>
            </w:pPr>
            <w:r>
              <w:t>2026</w:t>
            </w:r>
          </w:p>
        </w:tc>
        <w:tc>
          <w:tcPr>
            <w:tcW w:w="1417" w:type="dxa"/>
            <w:vMerge/>
          </w:tcPr>
          <w:p w14:paraId="29A82893" w14:textId="77777777" w:rsidR="00454A29" w:rsidRDefault="00454A29"/>
        </w:tc>
        <w:tc>
          <w:tcPr>
            <w:tcW w:w="2204" w:type="dxa"/>
            <w:vMerge/>
          </w:tcPr>
          <w:p w14:paraId="33294726" w14:textId="77777777" w:rsidR="00454A29" w:rsidRDefault="00454A29"/>
        </w:tc>
        <w:tc>
          <w:tcPr>
            <w:tcW w:w="1417" w:type="dxa"/>
            <w:vMerge/>
          </w:tcPr>
          <w:p w14:paraId="519B5C0A" w14:textId="77777777" w:rsidR="00454A29" w:rsidRDefault="00454A29"/>
        </w:tc>
        <w:tc>
          <w:tcPr>
            <w:tcW w:w="2324" w:type="dxa"/>
            <w:vMerge/>
          </w:tcPr>
          <w:p w14:paraId="5026C04D" w14:textId="77777777" w:rsidR="00454A29" w:rsidRDefault="00454A29"/>
        </w:tc>
        <w:tc>
          <w:tcPr>
            <w:tcW w:w="1701" w:type="dxa"/>
            <w:vAlign w:val="center"/>
          </w:tcPr>
          <w:p w14:paraId="79AC2D8D" w14:textId="77777777" w:rsidR="00454A29" w:rsidRDefault="00454A29">
            <w:pPr>
              <w:pStyle w:val="ConsPlusNormal"/>
              <w:jc w:val="center"/>
            </w:pPr>
            <w:r>
              <w:t>-</w:t>
            </w:r>
          </w:p>
        </w:tc>
        <w:tc>
          <w:tcPr>
            <w:tcW w:w="1814" w:type="dxa"/>
            <w:vAlign w:val="center"/>
          </w:tcPr>
          <w:p w14:paraId="5D5C636C" w14:textId="77777777" w:rsidR="00454A29" w:rsidRDefault="00454A29">
            <w:pPr>
              <w:pStyle w:val="ConsPlusNormal"/>
            </w:pPr>
          </w:p>
        </w:tc>
        <w:tc>
          <w:tcPr>
            <w:tcW w:w="1701" w:type="dxa"/>
            <w:vAlign w:val="center"/>
          </w:tcPr>
          <w:p w14:paraId="3C5F00F9" w14:textId="77777777" w:rsidR="00454A29" w:rsidRDefault="00454A29">
            <w:pPr>
              <w:pStyle w:val="ConsPlusNormal"/>
            </w:pPr>
          </w:p>
        </w:tc>
        <w:tc>
          <w:tcPr>
            <w:tcW w:w="1701" w:type="dxa"/>
            <w:vAlign w:val="center"/>
          </w:tcPr>
          <w:p w14:paraId="23B52906" w14:textId="77777777" w:rsidR="00454A29" w:rsidRDefault="00454A29">
            <w:pPr>
              <w:pStyle w:val="ConsPlusNormal"/>
            </w:pPr>
          </w:p>
        </w:tc>
        <w:tc>
          <w:tcPr>
            <w:tcW w:w="1814" w:type="dxa"/>
            <w:vAlign w:val="center"/>
          </w:tcPr>
          <w:p w14:paraId="77F3997A" w14:textId="77777777" w:rsidR="00454A29" w:rsidRDefault="00454A29">
            <w:pPr>
              <w:pStyle w:val="ConsPlusNormal"/>
            </w:pPr>
          </w:p>
        </w:tc>
      </w:tr>
      <w:tr w:rsidR="00454A29" w14:paraId="3DC55FC9" w14:textId="77777777">
        <w:tc>
          <w:tcPr>
            <w:tcW w:w="567" w:type="dxa"/>
            <w:vMerge w:val="restart"/>
            <w:vAlign w:val="center"/>
          </w:tcPr>
          <w:p w14:paraId="46551BA3" w14:textId="77777777" w:rsidR="00454A29" w:rsidRDefault="00454A29">
            <w:pPr>
              <w:pStyle w:val="ConsPlusNormal"/>
              <w:jc w:val="center"/>
            </w:pPr>
            <w:r>
              <w:t>98</w:t>
            </w:r>
          </w:p>
        </w:tc>
        <w:tc>
          <w:tcPr>
            <w:tcW w:w="3345" w:type="dxa"/>
            <w:vMerge w:val="restart"/>
            <w:vAlign w:val="center"/>
          </w:tcPr>
          <w:p w14:paraId="4A121D79" w14:textId="77777777" w:rsidR="00454A29" w:rsidRDefault="00454A29">
            <w:pPr>
              <w:pStyle w:val="ConsPlusNormal"/>
              <w:jc w:val="center"/>
            </w:pPr>
            <w:r>
              <w:t xml:space="preserve">Проектирование и строительство </w:t>
            </w:r>
            <w:r>
              <w:lastRenderedPageBreak/>
              <w:t>комплекса объектов ГБПОУ РС(Я) "Нюрбинский техникум" в г. Нюрба Нюрбинского улуса (учебный корпус на 250 мест, общежитие на 150 мест)</w:t>
            </w:r>
          </w:p>
        </w:tc>
        <w:tc>
          <w:tcPr>
            <w:tcW w:w="1701" w:type="dxa"/>
            <w:vAlign w:val="center"/>
          </w:tcPr>
          <w:p w14:paraId="34017BF5" w14:textId="77777777" w:rsidR="00454A29" w:rsidRDefault="00454A29">
            <w:pPr>
              <w:pStyle w:val="ConsPlusNormal"/>
              <w:jc w:val="center"/>
            </w:pPr>
            <w:r>
              <w:lastRenderedPageBreak/>
              <w:t>Всего:</w:t>
            </w:r>
          </w:p>
        </w:tc>
        <w:tc>
          <w:tcPr>
            <w:tcW w:w="1417" w:type="dxa"/>
            <w:vMerge w:val="restart"/>
            <w:vAlign w:val="center"/>
          </w:tcPr>
          <w:p w14:paraId="37FD270B" w14:textId="77777777" w:rsidR="00454A29" w:rsidRDefault="00454A29">
            <w:pPr>
              <w:pStyle w:val="ConsPlusNormal"/>
              <w:jc w:val="center"/>
            </w:pPr>
            <w:r>
              <w:t>579 505,60</w:t>
            </w:r>
          </w:p>
        </w:tc>
        <w:tc>
          <w:tcPr>
            <w:tcW w:w="2204" w:type="dxa"/>
            <w:vMerge w:val="restart"/>
            <w:vAlign w:val="center"/>
          </w:tcPr>
          <w:p w14:paraId="05CF9DF4" w14:textId="77777777" w:rsidR="00454A29" w:rsidRDefault="00454A29">
            <w:pPr>
              <w:pStyle w:val="ConsPlusNormal"/>
            </w:pPr>
          </w:p>
        </w:tc>
        <w:tc>
          <w:tcPr>
            <w:tcW w:w="1417" w:type="dxa"/>
            <w:vMerge w:val="restart"/>
            <w:vAlign w:val="center"/>
          </w:tcPr>
          <w:p w14:paraId="08EB3BA9" w14:textId="77777777" w:rsidR="00454A29" w:rsidRDefault="00454A29">
            <w:pPr>
              <w:pStyle w:val="ConsPlusNormal"/>
              <w:jc w:val="center"/>
            </w:pPr>
            <w:r>
              <w:t>250</w:t>
            </w:r>
          </w:p>
        </w:tc>
        <w:tc>
          <w:tcPr>
            <w:tcW w:w="2324" w:type="dxa"/>
            <w:vMerge w:val="restart"/>
            <w:vAlign w:val="center"/>
          </w:tcPr>
          <w:p w14:paraId="435C87B4" w14:textId="77777777" w:rsidR="00454A29" w:rsidRDefault="00454A29">
            <w:pPr>
              <w:pStyle w:val="ConsPlusNormal"/>
              <w:jc w:val="center"/>
            </w:pPr>
            <w:r>
              <w:t xml:space="preserve">Минстрой РС(Я), ГКУ </w:t>
            </w:r>
            <w:r>
              <w:lastRenderedPageBreak/>
              <w:t>"Служба государственного заказчика Республики Саха (Якутия)"</w:t>
            </w:r>
          </w:p>
        </w:tc>
        <w:tc>
          <w:tcPr>
            <w:tcW w:w="1701" w:type="dxa"/>
            <w:vAlign w:val="center"/>
          </w:tcPr>
          <w:p w14:paraId="4FCEDEE7" w14:textId="77777777" w:rsidR="00454A29" w:rsidRDefault="00454A29">
            <w:pPr>
              <w:pStyle w:val="ConsPlusNormal"/>
              <w:jc w:val="center"/>
            </w:pPr>
            <w:r>
              <w:lastRenderedPageBreak/>
              <w:t>557 555,92</w:t>
            </w:r>
          </w:p>
        </w:tc>
        <w:tc>
          <w:tcPr>
            <w:tcW w:w="1814" w:type="dxa"/>
            <w:vAlign w:val="center"/>
          </w:tcPr>
          <w:p w14:paraId="4E4A2DF1" w14:textId="77777777" w:rsidR="00454A29" w:rsidRDefault="00454A29">
            <w:pPr>
              <w:pStyle w:val="ConsPlusNormal"/>
              <w:jc w:val="center"/>
            </w:pPr>
            <w:r>
              <w:t>557 555,92</w:t>
            </w:r>
          </w:p>
        </w:tc>
        <w:tc>
          <w:tcPr>
            <w:tcW w:w="1701" w:type="dxa"/>
            <w:vAlign w:val="center"/>
          </w:tcPr>
          <w:p w14:paraId="0ED15138" w14:textId="77777777" w:rsidR="00454A29" w:rsidRDefault="00454A29">
            <w:pPr>
              <w:pStyle w:val="ConsPlusNormal"/>
              <w:jc w:val="center"/>
            </w:pPr>
            <w:r>
              <w:t>-</w:t>
            </w:r>
          </w:p>
        </w:tc>
        <w:tc>
          <w:tcPr>
            <w:tcW w:w="1701" w:type="dxa"/>
            <w:vAlign w:val="center"/>
          </w:tcPr>
          <w:p w14:paraId="0F257C95" w14:textId="77777777" w:rsidR="00454A29" w:rsidRDefault="00454A29">
            <w:pPr>
              <w:pStyle w:val="ConsPlusNormal"/>
              <w:jc w:val="center"/>
            </w:pPr>
            <w:r>
              <w:t>-</w:t>
            </w:r>
          </w:p>
        </w:tc>
        <w:tc>
          <w:tcPr>
            <w:tcW w:w="1814" w:type="dxa"/>
            <w:vAlign w:val="center"/>
          </w:tcPr>
          <w:p w14:paraId="2C290C30" w14:textId="77777777" w:rsidR="00454A29" w:rsidRDefault="00454A29">
            <w:pPr>
              <w:pStyle w:val="ConsPlusNormal"/>
              <w:jc w:val="center"/>
            </w:pPr>
            <w:r>
              <w:t>-</w:t>
            </w:r>
          </w:p>
        </w:tc>
      </w:tr>
      <w:tr w:rsidR="00454A29" w14:paraId="50286982" w14:textId="77777777">
        <w:tc>
          <w:tcPr>
            <w:tcW w:w="567" w:type="dxa"/>
            <w:vMerge/>
          </w:tcPr>
          <w:p w14:paraId="57F86D65" w14:textId="77777777" w:rsidR="00454A29" w:rsidRDefault="00454A29"/>
        </w:tc>
        <w:tc>
          <w:tcPr>
            <w:tcW w:w="3345" w:type="dxa"/>
            <w:vMerge/>
          </w:tcPr>
          <w:p w14:paraId="7089B18D" w14:textId="77777777" w:rsidR="00454A29" w:rsidRDefault="00454A29"/>
        </w:tc>
        <w:tc>
          <w:tcPr>
            <w:tcW w:w="1701" w:type="dxa"/>
            <w:vAlign w:val="center"/>
          </w:tcPr>
          <w:p w14:paraId="6D6D63B5" w14:textId="77777777" w:rsidR="00454A29" w:rsidRDefault="00454A29">
            <w:pPr>
              <w:pStyle w:val="ConsPlusNormal"/>
              <w:jc w:val="center"/>
            </w:pPr>
            <w:r>
              <w:t>2020</w:t>
            </w:r>
          </w:p>
        </w:tc>
        <w:tc>
          <w:tcPr>
            <w:tcW w:w="1417" w:type="dxa"/>
            <w:vMerge/>
          </w:tcPr>
          <w:p w14:paraId="18970FC4" w14:textId="77777777" w:rsidR="00454A29" w:rsidRDefault="00454A29"/>
        </w:tc>
        <w:tc>
          <w:tcPr>
            <w:tcW w:w="2204" w:type="dxa"/>
            <w:vMerge/>
          </w:tcPr>
          <w:p w14:paraId="7644932A" w14:textId="77777777" w:rsidR="00454A29" w:rsidRDefault="00454A29"/>
        </w:tc>
        <w:tc>
          <w:tcPr>
            <w:tcW w:w="1417" w:type="dxa"/>
            <w:vMerge/>
          </w:tcPr>
          <w:p w14:paraId="3FCE9E9B" w14:textId="77777777" w:rsidR="00454A29" w:rsidRDefault="00454A29"/>
        </w:tc>
        <w:tc>
          <w:tcPr>
            <w:tcW w:w="2324" w:type="dxa"/>
            <w:vMerge/>
          </w:tcPr>
          <w:p w14:paraId="74A76CF5" w14:textId="77777777" w:rsidR="00454A29" w:rsidRDefault="00454A29"/>
        </w:tc>
        <w:tc>
          <w:tcPr>
            <w:tcW w:w="1701" w:type="dxa"/>
            <w:vAlign w:val="center"/>
          </w:tcPr>
          <w:p w14:paraId="560BEC3D" w14:textId="77777777" w:rsidR="00454A29" w:rsidRDefault="00454A29">
            <w:pPr>
              <w:pStyle w:val="ConsPlusNormal"/>
              <w:jc w:val="center"/>
            </w:pPr>
            <w:r>
              <w:t>-</w:t>
            </w:r>
          </w:p>
        </w:tc>
        <w:tc>
          <w:tcPr>
            <w:tcW w:w="1814" w:type="dxa"/>
            <w:vAlign w:val="center"/>
          </w:tcPr>
          <w:p w14:paraId="2272B61B" w14:textId="77777777" w:rsidR="00454A29" w:rsidRDefault="00454A29">
            <w:pPr>
              <w:pStyle w:val="ConsPlusNormal"/>
            </w:pPr>
          </w:p>
        </w:tc>
        <w:tc>
          <w:tcPr>
            <w:tcW w:w="1701" w:type="dxa"/>
            <w:vAlign w:val="center"/>
          </w:tcPr>
          <w:p w14:paraId="25C0EA66" w14:textId="77777777" w:rsidR="00454A29" w:rsidRDefault="00454A29">
            <w:pPr>
              <w:pStyle w:val="ConsPlusNormal"/>
            </w:pPr>
          </w:p>
        </w:tc>
        <w:tc>
          <w:tcPr>
            <w:tcW w:w="1701" w:type="dxa"/>
            <w:vAlign w:val="center"/>
          </w:tcPr>
          <w:p w14:paraId="74ED148E" w14:textId="77777777" w:rsidR="00454A29" w:rsidRDefault="00454A29">
            <w:pPr>
              <w:pStyle w:val="ConsPlusNormal"/>
            </w:pPr>
          </w:p>
        </w:tc>
        <w:tc>
          <w:tcPr>
            <w:tcW w:w="1814" w:type="dxa"/>
            <w:vAlign w:val="center"/>
          </w:tcPr>
          <w:p w14:paraId="463A930E" w14:textId="77777777" w:rsidR="00454A29" w:rsidRDefault="00454A29">
            <w:pPr>
              <w:pStyle w:val="ConsPlusNormal"/>
            </w:pPr>
          </w:p>
        </w:tc>
      </w:tr>
      <w:tr w:rsidR="00454A29" w14:paraId="122F8E02" w14:textId="77777777">
        <w:tc>
          <w:tcPr>
            <w:tcW w:w="567" w:type="dxa"/>
            <w:vMerge/>
          </w:tcPr>
          <w:p w14:paraId="39648FDF" w14:textId="77777777" w:rsidR="00454A29" w:rsidRDefault="00454A29"/>
        </w:tc>
        <w:tc>
          <w:tcPr>
            <w:tcW w:w="3345" w:type="dxa"/>
            <w:vMerge/>
          </w:tcPr>
          <w:p w14:paraId="61F02A36" w14:textId="77777777" w:rsidR="00454A29" w:rsidRDefault="00454A29"/>
        </w:tc>
        <w:tc>
          <w:tcPr>
            <w:tcW w:w="1701" w:type="dxa"/>
            <w:vAlign w:val="center"/>
          </w:tcPr>
          <w:p w14:paraId="55904F67" w14:textId="77777777" w:rsidR="00454A29" w:rsidRDefault="00454A29">
            <w:pPr>
              <w:pStyle w:val="ConsPlusNormal"/>
              <w:jc w:val="center"/>
            </w:pPr>
            <w:r>
              <w:t>2021</w:t>
            </w:r>
          </w:p>
        </w:tc>
        <w:tc>
          <w:tcPr>
            <w:tcW w:w="1417" w:type="dxa"/>
            <w:vMerge/>
          </w:tcPr>
          <w:p w14:paraId="1C4310F1" w14:textId="77777777" w:rsidR="00454A29" w:rsidRDefault="00454A29"/>
        </w:tc>
        <w:tc>
          <w:tcPr>
            <w:tcW w:w="2204" w:type="dxa"/>
            <w:vMerge/>
          </w:tcPr>
          <w:p w14:paraId="53ED9DF4" w14:textId="77777777" w:rsidR="00454A29" w:rsidRDefault="00454A29"/>
        </w:tc>
        <w:tc>
          <w:tcPr>
            <w:tcW w:w="1417" w:type="dxa"/>
            <w:vMerge/>
          </w:tcPr>
          <w:p w14:paraId="5DD18084" w14:textId="77777777" w:rsidR="00454A29" w:rsidRDefault="00454A29"/>
        </w:tc>
        <w:tc>
          <w:tcPr>
            <w:tcW w:w="2324" w:type="dxa"/>
            <w:vMerge/>
          </w:tcPr>
          <w:p w14:paraId="493C30DA" w14:textId="77777777" w:rsidR="00454A29" w:rsidRDefault="00454A29"/>
        </w:tc>
        <w:tc>
          <w:tcPr>
            <w:tcW w:w="1701" w:type="dxa"/>
            <w:vAlign w:val="center"/>
          </w:tcPr>
          <w:p w14:paraId="252B006D" w14:textId="77777777" w:rsidR="00454A29" w:rsidRDefault="00454A29">
            <w:pPr>
              <w:pStyle w:val="ConsPlusNormal"/>
              <w:jc w:val="center"/>
            </w:pPr>
            <w:r>
              <w:t>-</w:t>
            </w:r>
          </w:p>
        </w:tc>
        <w:tc>
          <w:tcPr>
            <w:tcW w:w="1814" w:type="dxa"/>
            <w:vAlign w:val="center"/>
          </w:tcPr>
          <w:p w14:paraId="7DBC1848" w14:textId="77777777" w:rsidR="00454A29" w:rsidRDefault="00454A29">
            <w:pPr>
              <w:pStyle w:val="ConsPlusNormal"/>
            </w:pPr>
          </w:p>
        </w:tc>
        <w:tc>
          <w:tcPr>
            <w:tcW w:w="1701" w:type="dxa"/>
            <w:vAlign w:val="center"/>
          </w:tcPr>
          <w:p w14:paraId="33FC7552" w14:textId="77777777" w:rsidR="00454A29" w:rsidRDefault="00454A29">
            <w:pPr>
              <w:pStyle w:val="ConsPlusNormal"/>
            </w:pPr>
          </w:p>
        </w:tc>
        <w:tc>
          <w:tcPr>
            <w:tcW w:w="1701" w:type="dxa"/>
            <w:vAlign w:val="center"/>
          </w:tcPr>
          <w:p w14:paraId="772DABAB" w14:textId="77777777" w:rsidR="00454A29" w:rsidRDefault="00454A29">
            <w:pPr>
              <w:pStyle w:val="ConsPlusNormal"/>
            </w:pPr>
          </w:p>
        </w:tc>
        <w:tc>
          <w:tcPr>
            <w:tcW w:w="1814" w:type="dxa"/>
            <w:vAlign w:val="center"/>
          </w:tcPr>
          <w:p w14:paraId="2E1FBA01" w14:textId="77777777" w:rsidR="00454A29" w:rsidRDefault="00454A29">
            <w:pPr>
              <w:pStyle w:val="ConsPlusNormal"/>
            </w:pPr>
          </w:p>
        </w:tc>
      </w:tr>
      <w:tr w:rsidR="00454A29" w14:paraId="267F74E2" w14:textId="77777777">
        <w:tc>
          <w:tcPr>
            <w:tcW w:w="567" w:type="dxa"/>
            <w:vMerge/>
          </w:tcPr>
          <w:p w14:paraId="4567ADCE" w14:textId="77777777" w:rsidR="00454A29" w:rsidRDefault="00454A29"/>
        </w:tc>
        <w:tc>
          <w:tcPr>
            <w:tcW w:w="3345" w:type="dxa"/>
            <w:vMerge/>
          </w:tcPr>
          <w:p w14:paraId="358391D3" w14:textId="77777777" w:rsidR="00454A29" w:rsidRDefault="00454A29"/>
        </w:tc>
        <w:tc>
          <w:tcPr>
            <w:tcW w:w="1701" w:type="dxa"/>
            <w:vAlign w:val="center"/>
          </w:tcPr>
          <w:p w14:paraId="137E2B44" w14:textId="77777777" w:rsidR="00454A29" w:rsidRDefault="00454A29">
            <w:pPr>
              <w:pStyle w:val="ConsPlusNormal"/>
              <w:jc w:val="center"/>
            </w:pPr>
            <w:r>
              <w:t>2022</w:t>
            </w:r>
          </w:p>
        </w:tc>
        <w:tc>
          <w:tcPr>
            <w:tcW w:w="1417" w:type="dxa"/>
            <w:vMerge/>
          </w:tcPr>
          <w:p w14:paraId="6A4E7A7C" w14:textId="77777777" w:rsidR="00454A29" w:rsidRDefault="00454A29"/>
        </w:tc>
        <w:tc>
          <w:tcPr>
            <w:tcW w:w="2204" w:type="dxa"/>
            <w:vMerge/>
          </w:tcPr>
          <w:p w14:paraId="5FBDDC62" w14:textId="77777777" w:rsidR="00454A29" w:rsidRDefault="00454A29"/>
        </w:tc>
        <w:tc>
          <w:tcPr>
            <w:tcW w:w="1417" w:type="dxa"/>
            <w:vMerge/>
          </w:tcPr>
          <w:p w14:paraId="11BC86AD" w14:textId="77777777" w:rsidR="00454A29" w:rsidRDefault="00454A29"/>
        </w:tc>
        <w:tc>
          <w:tcPr>
            <w:tcW w:w="2324" w:type="dxa"/>
            <w:vMerge/>
          </w:tcPr>
          <w:p w14:paraId="088763FB" w14:textId="77777777" w:rsidR="00454A29" w:rsidRDefault="00454A29"/>
        </w:tc>
        <w:tc>
          <w:tcPr>
            <w:tcW w:w="1701" w:type="dxa"/>
            <w:vAlign w:val="center"/>
          </w:tcPr>
          <w:p w14:paraId="4D135273" w14:textId="77777777" w:rsidR="00454A29" w:rsidRDefault="00454A29">
            <w:pPr>
              <w:pStyle w:val="ConsPlusNormal"/>
            </w:pPr>
          </w:p>
        </w:tc>
        <w:tc>
          <w:tcPr>
            <w:tcW w:w="1814" w:type="dxa"/>
            <w:vAlign w:val="center"/>
          </w:tcPr>
          <w:p w14:paraId="794EDD71" w14:textId="77777777" w:rsidR="00454A29" w:rsidRDefault="00454A29">
            <w:pPr>
              <w:pStyle w:val="ConsPlusNormal"/>
            </w:pPr>
          </w:p>
        </w:tc>
        <w:tc>
          <w:tcPr>
            <w:tcW w:w="1701" w:type="dxa"/>
            <w:vAlign w:val="center"/>
          </w:tcPr>
          <w:p w14:paraId="619225D2" w14:textId="77777777" w:rsidR="00454A29" w:rsidRDefault="00454A29">
            <w:pPr>
              <w:pStyle w:val="ConsPlusNormal"/>
            </w:pPr>
          </w:p>
        </w:tc>
        <w:tc>
          <w:tcPr>
            <w:tcW w:w="1701" w:type="dxa"/>
            <w:vAlign w:val="center"/>
          </w:tcPr>
          <w:p w14:paraId="3EC1C72D" w14:textId="77777777" w:rsidR="00454A29" w:rsidRDefault="00454A29">
            <w:pPr>
              <w:pStyle w:val="ConsPlusNormal"/>
            </w:pPr>
          </w:p>
        </w:tc>
        <w:tc>
          <w:tcPr>
            <w:tcW w:w="1814" w:type="dxa"/>
            <w:vAlign w:val="center"/>
          </w:tcPr>
          <w:p w14:paraId="2B02D3AE" w14:textId="77777777" w:rsidR="00454A29" w:rsidRDefault="00454A29">
            <w:pPr>
              <w:pStyle w:val="ConsPlusNormal"/>
            </w:pPr>
          </w:p>
        </w:tc>
      </w:tr>
      <w:tr w:rsidR="00454A29" w14:paraId="3EE41685" w14:textId="77777777">
        <w:tc>
          <w:tcPr>
            <w:tcW w:w="567" w:type="dxa"/>
            <w:vMerge/>
          </w:tcPr>
          <w:p w14:paraId="02B3BE33" w14:textId="77777777" w:rsidR="00454A29" w:rsidRDefault="00454A29"/>
        </w:tc>
        <w:tc>
          <w:tcPr>
            <w:tcW w:w="3345" w:type="dxa"/>
            <w:vMerge/>
          </w:tcPr>
          <w:p w14:paraId="44945191" w14:textId="77777777" w:rsidR="00454A29" w:rsidRDefault="00454A29"/>
        </w:tc>
        <w:tc>
          <w:tcPr>
            <w:tcW w:w="1701" w:type="dxa"/>
            <w:vAlign w:val="center"/>
          </w:tcPr>
          <w:p w14:paraId="0909F382" w14:textId="77777777" w:rsidR="00454A29" w:rsidRDefault="00454A29">
            <w:pPr>
              <w:pStyle w:val="ConsPlusNormal"/>
              <w:jc w:val="center"/>
            </w:pPr>
            <w:r>
              <w:t>2023</w:t>
            </w:r>
          </w:p>
        </w:tc>
        <w:tc>
          <w:tcPr>
            <w:tcW w:w="1417" w:type="dxa"/>
            <w:vMerge/>
          </w:tcPr>
          <w:p w14:paraId="5DCF85CF" w14:textId="77777777" w:rsidR="00454A29" w:rsidRDefault="00454A29"/>
        </w:tc>
        <w:tc>
          <w:tcPr>
            <w:tcW w:w="2204" w:type="dxa"/>
            <w:vMerge/>
          </w:tcPr>
          <w:p w14:paraId="7D4D5041" w14:textId="77777777" w:rsidR="00454A29" w:rsidRDefault="00454A29"/>
        </w:tc>
        <w:tc>
          <w:tcPr>
            <w:tcW w:w="1417" w:type="dxa"/>
            <w:vMerge/>
          </w:tcPr>
          <w:p w14:paraId="1A0CC9B2" w14:textId="77777777" w:rsidR="00454A29" w:rsidRDefault="00454A29"/>
        </w:tc>
        <w:tc>
          <w:tcPr>
            <w:tcW w:w="2324" w:type="dxa"/>
            <w:vMerge/>
          </w:tcPr>
          <w:p w14:paraId="77A283B5" w14:textId="77777777" w:rsidR="00454A29" w:rsidRDefault="00454A29"/>
        </w:tc>
        <w:tc>
          <w:tcPr>
            <w:tcW w:w="1701" w:type="dxa"/>
            <w:vAlign w:val="center"/>
          </w:tcPr>
          <w:p w14:paraId="30A3B2FC" w14:textId="77777777" w:rsidR="00454A29" w:rsidRDefault="00454A29">
            <w:pPr>
              <w:pStyle w:val="ConsPlusNormal"/>
              <w:jc w:val="center"/>
            </w:pPr>
            <w:r>
              <w:t>2 976,00</w:t>
            </w:r>
          </w:p>
        </w:tc>
        <w:tc>
          <w:tcPr>
            <w:tcW w:w="1814" w:type="dxa"/>
            <w:vAlign w:val="center"/>
          </w:tcPr>
          <w:p w14:paraId="13164DAF" w14:textId="77777777" w:rsidR="00454A29" w:rsidRDefault="00454A29">
            <w:pPr>
              <w:pStyle w:val="ConsPlusNormal"/>
              <w:jc w:val="center"/>
            </w:pPr>
            <w:r>
              <w:t>2 976,00</w:t>
            </w:r>
          </w:p>
        </w:tc>
        <w:tc>
          <w:tcPr>
            <w:tcW w:w="1701" w:type="dxa"/>
            <w:vAlign w:val="center"/>
          </w:tcPr>
          <w:p w14:paraId="59AEE7C6" w14:textId="77777777" w:rsidR="00454A29" w:rsidRDefault="00454A29">
            <w:pPr>
              <w:pStyle w:val="ConsPlusNormal"/>
            </w:pPr>
          </w:p>
        </w:tc>
        <w:tc>
          <w:tcPr>
            <w:tcW w:w="1701" w:type="dxa"/>
            <w:vAlign w:val="center"/>
          </w:tcPr>
          <w:p w14:paraId="25FE6F6C" w14:textId="77777777" w:rsidR="00454A29" w:rsidRDefault="00454A29">
            <w:pPr>
              <w:pStyle w:val="ConsPlusNormal"/>
            </w:pPr>
          </w:p>
        </w:tc>
        <w:tc>
          <w:tcPr>
            <w:tcW w:w="1814" w:type="dxa"/>
            <w:vAlign w:val="center"/>
          </w:tcPr>
          <w:p w14:paraId="2D054991" w14:textId="77777777" w:rsidR="00454A29" w:rsidRDefault="00454A29">
            <w:pPr>
              <w:pStyle w:val="ConsPlusNormal"/>
            </w:pPr>
          </w:p>
        </w:tc>
      </w:tr>
      <w:tr w:rsidR="00454A29" w14:paraId="5A82B8FA" w14:textId="77777777">
        <w:tc>
          <w:tcPr>
            <w:tcW w:w="567" w:type="dxa"/>
            <w:vMerge/>
          </w:tcPr>
          <w:p w14:paraId="4F40B3CC" w14:textId="77777777" w:rsidR="00454A29" w:rsidRDefault="00454A29"/>
        </w:tc>
        <w:tc>
          <w:tcPr>
            <w:tcW w:w="3345" w:type="dxa"/>
            <w:vMerge/>
          </w:tcPr>
          <w:p w14:paraId="003E7DE4" w14:textId="77777777" w:rsidR="00454A29" w:rsidRDefault="00454A29"/>
        </w:tc>
        <w:tc>
          <w:tcPr>
            <w:tcW w:w="1701" w:type="dxa"/>
            <w:vAlign w:val="center"/>
          </w:tcPr>
          <w:p w14:paraId="78705311" w14:textId="77777777" w:rsidR="00454A29" w:rsidRDefault="00454A29">
            <w:pPr>
              <w:pStyle w:val="ConsPlusNormal"/>
              <w:jc w:val="center"/>
            </w:pPr>
            <w:r>
              <w:t>2024</w:t>
            </w:r>
          </w:p>
        </w:tc>
        <w:tc>
          <w:tcPr>
            <w:tcW w:w="1417" w:type="dxa"/>
            <w:vMerge/>
          </w:tcPr>
          <w:p w14:paraId="082F98B5" w14:textId="77777777" w:rsidR="00454A29" w:rsidRDefault="00454A29"/>
        </w:tc>
        <w:tc>
          <w:tcPr>
            <w:tcW w:w="2204" w:type="dxa"/>
            <w:vMerge/>
          </w:tcPr>
          <w:p w14:paraId="25021E6A" w14:textId="77777777" w:rsidR="00454A29" w:rsidRDefault="00454A29"/>
        </w:tc>
        <w:tc>
          <w:tcPr>
            <w:tcW w:w="1417" w:type="dxa"/>
            <w:vMerge/>
          </w:tcPr>
          <w:p w14:paraId="5D5586FF" w14:textId="77777777" w:rsidR="00454A29" w:rsidRDefault="00454A29"/>
        </w:tc>
        <w:tc>
          <w:tcPr>
            <w:tcW w:w="2324" w:type="dxa"/>
            <w:vMerge/>
          </w:tcPr>
          <w:p w14:paraId="3528D135" w14:textId="77777777" w:rsidR="00454A29" w:rsidRDefault="00454A29"/>
        </w:tc>
        <w:tc>
          <w:tcPr>
            <w:tcW w:w="1701" w:type="dxa"/>
            <w:vAlign w:val="center"/>
          </w:tcPr>
          <w:p w14:paraId="79EEBFA8" w14:textId="77777777" w:rsidR="00454A29" w:rsidRDefault="00454A29">
            <w:pPr>
              <w:pStyle w:val="ConsPlusNormal"/>
              <w:jc w:val="center"/>
            </w:pPr>
            <w:r>
              <w:t>191 837,62</w:t>
            </w:r>
          </w:p>
        </w:tc>
        <w:tc>
          <w:tcPr>
            <w:tcW w:w="1814" w:type="dxa"/>
            <w:vAlign w:val="center"/>
          </w:tcPr>
          <w:p w14:paraId="573B9554" w14:textId="77777777" w:rsidR="00454A29" w:rsidRDefault="00454A29">
            <w:pPr>
              <w:pStyle w:val="ConsPlusNormal"/>
              <w:jc w:val="center"/>
            </w:pPr>
            <w:r>
              <w:t>191 837,62</w:t>
            </w:r>
          </w:p>
        </w:tc>
        <w:tc>
          <w:tcPr>
            <w:tcW w:w="1701" w:type="dxa"/>
            <w:vAlign w:val="center"/>
          </w:tcPr>
          <w:p w14:paraId="23DC96C0" w14:textId="77777777" w:rsidR="00454A29" w:rsidRDefault="00454A29">
            <w:pPr>
              <w:pStyle w:val="ConsPlusNormal"/>
            </w:pPr>
          </w:p>
        </w:tc>
        <w:tc>
          <w:tcPr>
            <w:tcW w:w="1701" w:type="dxa"/>
            <w:vAlign w:val="center"/>
          </w:tcPr>
          <w:p w14:paraId="6090186B" w14:textId="77777777" w:rsidR="00454A29" w:rsidRDefault="00454A29">
            <w:pPr>
              <w:pStyle w:val="ConsPlusNormal"/>
            </w:pPr>
          </w:p>
        </w:tc>
        <w:tc>
          <w:tcPr>
            <w:tcW w:w="1814" w:type="dxa"/>
            <w:vAlign w:val="center"/>
          </w:tcPr>
          <w:p w14:paraId="1305A474" w14:textId="77777777" w:rsidR="00454A29" w:rsidRDefault="00454A29">
            <w:pPr>
              <w:pStyle w:val="ConsPlusNormal"/>
            </w:pPr>
          </w:p>
        </w:tc>
      </w:tr>
      <w:tr w:rsidR="00454A29" w14:paraId="11C0849D" w14:textId="77777777">
        <w:tc>
          <w:tcPr>
            <w:tcW w:w="567" w:type="dxa"/>
            <w:vMerge/>
          </w:tcPr>
          <w:p w14:paraId="63FF298E" w14:textId="77777777" w:rsidR="00454A29" w:rsidRDefault="00454A29"/>
        </w:tc>
        <w:tc>
          <w:tcPr>
            <w:tcW w:w="3345" w:type="dxa"/>
            <w:vMerge/>
          </w:tcPr>
          <w:p w14:paraId="4EEA2B84" w14:textId="77777777" w:rsidR="00454A29" w:rsidRDefault="00454A29"/>
        </w:tc>
        <w:tc>
          <w:tcPr>
            <w:tcW w:w="1701" w:type="dxa"/>
            <w:vAlign w:val="center"/>
          </w:tcPr>
          <w:p w14:paraId="08943542" w14:textId="77777777" w:rsidR="00454A29" w:rsidRDefault="00454A29">
            <w:pPr>
              <w:pStyle w:val="ConsPlusNormal"/>
              <w:jc w:val="center"/>
            </w:pPr>
            <w:r>
              <w:t>2025</w:t>
            </w:r>
          </w:p>
        </w:tc>
        <w:tc>
          <w:tcPr>
            <w:tcW w:w="1417" w:type="dxa"/>
            <w:vMerge/>
          </w:tcPr>
          <w:p w14:paraId="38CBD156" w14:textId="77777777" w:rsidR="00454A29" w:rsidRDefault="00454A29"/>
        </w:tc>
        <w:tc>
          <w:tcPr>
            <w:tcW w:w="2204" w:type="dxa"/>
            <w:vMerge/>
          </w:tcPr>
          <w:p w14:paraId="7E2A9818" w14:textId="77777777" w:rsidR="00454A29" w:rsidRDefault="00454A29"/>
        </w:tc>
        <w:tc>
          <w:tcPr>
            <w:tcW w:w="1417" w:type="dxa"/>
            <w:vMerge/>
          </w:tcPr>
          <w:p w14:paraId="4319D857" w14:textId="77777777" w:rsidR="00454A29" w:rsidRDefault="00454A29"/>
        </w:tc>
        <w:tc>
          <w:tcPr>
            <w:tcW w:w="2324" w:type="dxa"/>
            <w:vMerge/>
          </w:tcPr>
          <w:p w14:paraId="518D52C1" w14:textId="77777777" w:rsidR="00454A29" w:rsidRDefault="00454A29"/>
        </w:tc>
        <w:tc>
          <w:tcPr>
            <w:tcW w:w="1701" w:type="dxa"/>
            <w:vAlign w:val="center"/>
          </w:tcPr>
          <w:p w14:paraId="35AC8517" w14:textId="77777777" w:rsidR="00454A29" w:rsidRDefault="00454A29">
            <w:pPr>
              <w:pStyle w:val="ConsPlusNormal"/>
              <w:jc w:val="center"/>
            </w:pPr>
            <w:r>
              <w:t>362 742,29</w:t>
            </w:r>
          </w:p>
        </w:tc>
        <w:tc>
          <w:tcPr>
            <w:tcW w:w="1814" w:type="dxa"/>
            <w:vAlign w:val="center"/>
          </w:tcPr>
          <w:p w14:paraId="367A8811" w14:textId="77777777" w:rsidR="00454A29" w:rsidRDefault="00454A29">
            <w:pPr>
              <w:pStyle w:val="ConsPlusNormal"/>
              <w:jc w:val="center"/>
            </w:pPr>
            <w:r>
              <w:t>362 742,29</w:t>
            </w:r>
          </w:p>
        </w:tc>
        <w:tc>
          <w:tcPr>
            <w:tcW w:w="1701" w:type="dxa"/>
            <w:vAlign w:val="center"/>
          </w:tcPr>
          <w:p w14:paraId="15C2BD4F" w14:textId="77777777" w:rsidR="00454A29" w:rsidRDefault="00454A29">
            <w:pPr>
              <w:pStyle w:val="ConsPlusNormal"/>
            </w:pPr>
          </w:p>
        </w:tc>
        <w:tc>
          <w:tcPr>
            <w:tcW w:w="1701" w:type="dxa"/>
            <w:vAlign w:val="center"/>
          </w:tcPr>
          <w:p w14:paraId="6AE53DF6" w14:textId="77777777" w:rsidR="00454A29" w:rsidRDefault="00454A29">
            <w:pPr>
              <w:pStyle w:val="ConsPlusNormal"/>
            </w:pPr>
          </w:p>
        </w:tc>
        <w:tc>
          <w:tcPr>
            <w:tcW w:w="1814" w:type="dxa"/>
            <w:vAlign w:val="center"/>
          </w:tcPr>
          <w:p w14:paraId="77870465" w14:textId="77777777" w:rsidR="00454A29" w:rsidRDefault="00454A29">
            <w:pPr>
              <w:pStyle w:val="ConsPlusNormal"/>
            </w:pPr>
          </w:p>
        </w:tc>
      </w:tr>
      <w:tr w:rsidR="00454A29" w14:paraId="5BE53938" w14:textId="77777777">
        <w:tc>
          <w:tcPr>
            <w:tcW w:w="567" w:type="dxa"/>
            <w:vMerge/>
          </w:tcPr>
          <w:p w14:paraId="21AC407F" w14:textId="77777777" w:rsidR="00454A29" w:rsidRDefault="00454A29"/>
        </w:tc>
        <w:tc>
          <w:tcPr>
            <w:tcW w:w="3345" w:type="dxa"/>
            <w:vMerge/>
          </w:tcPr>
          <w:p w14:paraId="68330A39" w14:textId="77777777" w:rsidR="00454A29" w:rsidRDefault="00454A29"/>
        </w:tc>
        <w:tc>
          <w:tcPr>
            <w:tcW w:w="1701" w:type="dxa"/>
            <w:vAlign w:val="center"/>
          </w:tcPr>
          <w:p w14:paraId="091C0E7E" w14:textId="77777777" w:rsidR="00454A29" w:rsidRDefault="00454A29">
            <w:pPr>
              <w:pStyle w:val="ConsPlusNormal"/>
              <w:jc w:val="center"/>
            </w:pPr>
            <w:r>
              <w:t>2026</w:t>
            </w:r>
          </w:p>
        </w:tc>
        <w:tc>
          <w:tcPr>
            <w:tcW w:w="1417" w:type="dxa"/>
            <w:vMerge/>
          </w:tcPr>
          <w:p w14:paraId="1464ACD3" w14:textId="77777777" w:rsidR="00454A29" w:rsidRDefault="00454A29"/>
        </w:tc>
        <w:tc>
          <w:tcPr>
            <w:tcW w:w="2204" w:type="dxa"/>
            <w:vMerge/>
          </w:tcPr>
          <w:p w14:paraId="7546E534" w14:textId="77777777" w:rsidR="00454A29" w:rsidRDefault="00454A29"/>
        </w:tc>
        <w:tc>
          <w:tcPr>
            <w:tcW w:w="1417" w:type="dxa"/>
            <w:vMerge/>
          </w:tcPr>
          <w:p w14:paraId="3BD3F1D4" w14:textId="77777777" w:rsidR="00454A29" w:rsidRDefault="00454A29"/>
        </w:tc>
        <w:tc>
          <w:tcPr>
            <w:tcW w:w="2324" w:type="dxa"/>
            <w:vMerge/>
          </w:tcPr>
          <w:p w14:paraId="4CF12842" w14:textId="77777777" w:rsidR="00454A29" w:rsidRDefault="00454A29"/>
        </w:tc>
        <w:tc>
          <w:tcPr>
            <w:tcW w:w="1701" w:type="dxa"/>
            <w:vAlign w:val="center"/>
          </w:tcPr>
          <w:p w14:paraId="5AA24870" w14:textId="77777777" w:rsidR="00454A29" w:rsidRDefault="00454A29">
            <w:pPr>
              <w:pStyle w:val="ConsPlusNormal"/>
              <w:jc w:val="center"/>
            </w:pPr>
            <w:r>
              <w:t>-</w:t>
            </w:r>
          </w:p>
        </w:tc>
        <w:tc>
          <w:tcPr>
            <w:tcW w:w="1814" w:type="dxa"/>
            <w:vAlign w:val="center"/>
          </w:tcPr>
          <w:p w14:paraId="1EC1D013" w14:textId="77777777" w:rsidR="00454A29" w:rsidRDefault="00454A29">
            <w:pPr>
              <w:pStyle w:val="ConsPlusNormal"/>
            </w:pPr>
          </w:p>
        </w:tc>
        <w:tc>
          <w:tcPr>
            <w:tcW w:w="1701" w:type="dxa"/>
            <w:vAlign w:val="center"/>
          </w:tcPr>
          <w:p w14:paraId="0C582526" w14:textId="77777777" w:rsidR="00454A29" w:rsidRDefault="00454A29">
            <w:pPr>
              <w:pStyle w:val="ConsPlusNormal"/>
            </w:pPr>
          </w:p>
        </w:tc>
        <w:tc>
          <w:tcPr>
            <w:tcW w:w="1701" w:type="dxa"/>
            <w:vAlign w:val="center"/>
          </w:tcPr>
          <w:p w14:paraId="2C95D7C8" w14:textId="77777777" w:rsidR="00454A29" w:rsidRDefault="00454A29">
            <w:pPr>
              <w:pStyle w:val="ConsPlusNormal"/>
            </w:pPr>
          </w:p>
        </w:tc>
        <w:tc>
          <w:tcPr>
            <w:tcW w:w="1814" w:type="dxa"/>
            <w:vAlign w:val="center"/>
          </w:tcPr>
          <w:p w14:paraId="0B83D73F" w14:textId="77777777" w:rsidR="00454A29" w:rsidRDefault="00454A29">
            <w:pPr>
              <w:pStyle w:val="ConsPlusNormal"/>
            </w:pPr>
          </w:p>
        </w:tc>
      </w:tr>
      <w:tr w:rsidR="00454A29" w14:paraId="5C88A86E" w14:textId="77777777">
        <w:tc>
          <w:tcPr>
            <w:tcW w:w="567" w:type="dxa"/>
            <w:vMerge w:val="restart"/>
            <w:vAlign w:val="center"/>
          </w:tcPr>
          <w:p w14:paraId="03D0EF11" w14:textId="77777777" w:rsidR="00454A29" w:rsidRDefault="00454A29">
            <w:pPr>
              <w:pStyle w:val="ConsPlusNormal"/>
              <w:jc w:val="center"/>
            </w:pPr>
            <w:r>
              <w:t>99</w:t>
            </w:r>
          </w:p>
        </w:tc>
        <w:tc>
          <w:tcPr>
            <w:tcW w:w="3345" w:type="dxa"/>
            <w:vMerge w:val="restart"/>
            <w:vAlign w:val="center"/>
          </w:tcPr>
          <w:p w14:paraId="01700ADD" w14:textId="77777777" w:rsidR="00454A29" w:rsidRDefault="00454A29">
            <w:pPr>
              <w:pStyle w:val="ConsPlusNormal"/>
              <w:jc w:val="center"/>
            </w:pPr>
            <w:r>
              <w:t>Проектирование и строительство специализированного центра компетенций по стандартам "Ворлдскиллс" в г. Якутске на 150 мест с общежитием на 150 мест</w:t>
            </w:r>
          </w:p>
        </w:tc>
        <w:tc>
          <w:tcPr>
            <w:tcW w:w="1701" w:type="dxa"/>
            <w:vAlign w:val="center"/>
          </w:tcPr>
          <w:p w14:paraId="425D6FCA" w14:textId="77777777" w:rsidR="00454A29" w:rsidRDefault="00454A29">
            <w:pPr>
              <w:pStyle w:val="ConsPlusNormal"/>
              <w:jc w:val="center"/>
            </w:pPr>
            <w:r>
              <w:t>Всего:</w:t>
            </w:r>
          </w:p>
        </w:tc>
        <w:tc>
          <w:tcPr>
            <w:tcW w:w="1417" w:type="dxa"/>
            <w:vMerge w:val="restart"/>
            <w:vAlign w:val="center"/>
          </w:tcPr>
          <w:p w14:paraId="1596785F" w14:textId="77777777" w:rsidR="00454A29" w:rsidRDefault="00454A29">
            <w:pPr>
              <w:pStyle w:val="ConsPlusNormal"/>
              <w:jc w:val="center"/>
            </w:pPr>
            <w:r>
              <w:t>950 000,00</w:t>
            </w:r>
          </w:p>
        </w:tc>
        <w:tc>
          <w:tcPr>
            <w:tcW w:w="2204" w:type="dxa"/>
            <w:vMerge w:val="restart"/>
            <w:vAlign w:val="center"/>
          </w:tcPr>
          <w:p w14:paraId="4894873D" w14:textId="77777777" w:rsidR="00454A29" w:rsidRDefault="00454A29">
            <w:pPr>
              <w:pStyle w:val="ConsPlusNormal"/>
            </w:pPr>
          </w:p>
        </w:tc>
        <w:tc>
          <w:tcPr>
            <w:tcW w:w="1417" w:type="dxa"/>
            <w:vMerge w:val="restart"/>
            <w:vAlign w:val="center"/>
          </w:tcPr>
          <w:p w14:paraId="051507E1" w14:textId="77777777" w:rsidR="00454A29" w:rsidRDefault="00454A29">
            <w:pPr>
              <w:pStyle w:val="ConsPlusNormal"/>
              <w:jc w:val="center"/>
            </w:pPr>
            <w:r>
              <w:t>150</w:t>
            </w:r>
          </w:p>
        </w:tc>
        <w:tc>
          <w:tcPr>
            <w:tcW w:w="2324" w:type="dxa"/>
            <w:vMerge w:val="restart"/>
            <w:vAlign w:val="center"/>
          </w:tcPr>
          <w:p w14:paraId="12DBF89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BDD6984" w14:textId="77777777" w:rsidR="00454A29" w:rsidRDefault="00454A29">
            <w:pPr>
              <w:pStyle w:val="ConsPlusNormal"/>
              <w:jc w:val="center"/>
            </w:pPr>
            <w:r>
              <w:t>569 810,00</w:t>
            </w:r>
          </w:p>
        </w:tc>
        <w:tc>
          <w:tcPr>
            <w:tcW w:w="1814" w:type="dxa"/>
            <w:vAlign w:val="center"/>
          </w:tcPr>
          <w:p w14:paraId="1825B590" w14:textId="77777777" w:rsidR="00454A29" w:rsidRDefault="00454A29">
            <w:pPr>
              <w:pStyle w:val="ConsPlusNormal"/>
              <w:jc w:val="center"/>
            </w:pPr>
            <w:r>
              <w:t>569 810,00</w:t>
            </w:r>
          </w:p>
        </w:tc>
        <w:tc>
          <w:tcPr>
            <w:tcW w:w="1701" w:type="dxa"/>
            <w:vAlign w:val="center"/>
          </w:tcPr>
          <w:p w14:paraId="79B30929" w14:textId="77777777" w:rsidR="00454A29" w:rsidRDefault="00454A29">
            <w:pPr>
              <w:pStyle w:val="ConsPlusNormal"/>
              <w:jc w:val="center"/>
            </w:pPr>
            <w:r>
              <w:t>-</w:t>
            </w:r>
          </w:p>
        </w:tc>
        <w:tc>
          <w:tcPr>
            <w:tcW w:w="1701" w:type="dxa"/>
            <w:vAlign w:val="center"/>
          </w:tcPr>
          <w:p w14:paraId="64735E68" w14:textId="77777777" w:rsidR="00454A29" w:rsidRDefault="00454A29">
            <w:pPr>
              <w:pStyle w:val="ConsPlusNormal"/>
              <w:jc w:val="center"/>
            </w:pPr>
            <w:r>
              <w:t>-</w:t>
            </w:r>
          </w:p>
        </w:tc>
        <w:tc>
          <w:tcPr>
            <w:tcW w:w="1814" w:type="dxa"/>
            <w:vAlign w:val="center"/>
          </w:tcPr>
          <w:p w14:paraId="38F9A701" w14:textId="77777777" w:rsidR="00454A29" w:rsidRDefault="00454A29">
            <w:pPr>
              <w:pStyle w:val="ConsPlusNormal"/>
              <w:jc w:val="center"/>
            </w:pPr>
            <w:r>
              <w:t>-</w:t>
            </w:r>
          </w:p>
        </w:tc>
      </w:tr>
      <w:tr w:rsidR="00454A29" w14:paraId="57DC78BA" w14:textId="77777777">
        <w:tc>
          <w:tcPr>
            <w:tcW w:w="567" w:type="dxa"/>
            <w:vMerge/>
          </w:tcPr>
          <w:p w14:paraId="01B2605A" w14:textId="77777777" w:rsidR="00454A29" w:rsidRDefault="00454A29"/>
        </w:tc>
        <w:tc>
          <w:tcPr>
            <w:tcW w:w="3345" w:type="dxa"/>
            <w:vMerge/>
          </w:tcPr>
          <w:p w14:paraId="33270EC0" w14:textId="77777777" w:rsidR="00454A29" w:rsidRDefault="00454A29"/>
        </w:tc>
        <w:tc>
          <w:tcPr>
            <w:tcW w:w="1701" w:type="dxa"/>
            <w:vAlign w:val="center"/>
          </w:tcPr>
          <w:p w14:paraId="7C6D9C1D" w14:textId="77777777" w:rsidR="00454A29" w:rsidRDefault="00454A29">
            <w:pPr>
              <w:pStyle w:val="ConsPlusNormal"/>
              <w:jc w:val="center"/>
            </w:pPr>
            <w:r>
              <w:t>2020</w:t>
            </w:r>
          </w:p>
        </w:tc>
        <w:tc>
          <w:tcPr>
            <w:tcW w:w="1417" w:type="dxa"/>
            <w:vMerge/>
          </w:tcPr>
          <w:p w14:paraId="140AF681" w14:textId="77777777" w:rsidR="00454A29" w:rsidRDefault="00454A29"/>
        </w:tc>
        <w:tc>
          <w:tcPr>
            <w:tcW w:w="2204" w:type="dxa"/>
            <w:vMerge/>
          </w:tcPr>
          <w:p w14:paraId="039F70FC" w14:textId="77777777" w:rsidR="00454A29" w:rsidRDefault="00454A29"/>
        </w:tc>
        <w:tc>
          <w:tcPr>
            <w:tcW w:w="1417" w:type="dxa"/>
            <w:vMerge/>
          </w:tcPr>
          <w:p w14:paraId="16BE16EA" w14:textId="77777777" w:rsidR="00454A29" w:rsidRDefault="00454A29"/>
        </w:tc>
        <w:tc>
          <w:tcPr>
            <w:tcW w:w="2324" w:type="dxa"/>
            <w:vMerge/>
          </w:tcPr>
          <w:p w14:paraId="1581DEA9" w14:textId="77777777" w:rsidR="00454A29" w:rsidRDefault="00454A29"/>
        </w:tc>
        <w:tc>
          <w:tcPr>
            <w:tcW w:w="1701" w:type="dxa"/>
            <w:vAlign w:val="center"/>
          </w:tcPr>
          <w:p w14:paraId="3247B018" w14:textId="77777777" w:rsidR="00454A29" w:rsidRDefault="00454A29">
            <w:pPr>
              <w:pStyle w:val="ConsPlusNormal"/>
              <w:jc w:val="center"/>
            </w:pPr>
            <w:r>
              <w:t>-</w:t>
            </w:r>
          </w:p>
        </w:tc>
        <w:tc>
          <w:tcPr>
            <w:tcW w:w="1814" w:type="dxa"/>
            <w:vAlign w:val="center"/>
          </w:tcPr>
          <w:p w14:paraId="033B5320" w14:textId="77777777" w:rsidR="00454A29" w:rsidRDefault="00454A29">
            <w:pPr>
              <w:pStyle w:val="ConsPlusNormal"/>
            </w:pPr>
          </w:p>
        </w:tc>
        <w:tc>
          <w:tcPr>
            <w:tcW w:w="1701" w:type="dxa"/>
            <w:vAlign w:val="center"/>
          </w:tcPr>
          <w:p w14:paraId="15F0B444" w14:textId="77777777" w:rsidR="00454A29" w:rsidRDefault="00454A29">
            <w:pPr>
              <w:pStyle w:val="ConsPlusNormal"/>
            </w:pPr>
          </w:p>
        </w:tc>
        <w:tc>
          <w:tcPr>
            <w:tcW w:w="1701" w:type="dxa"/>
            <w:vAlign w:val="center"/>
          </w:tcPr>
          <w:p w14:paraId="4E404CAD" w14:textId="77777777" w:rsidR="00454A29" w:rsidRDefault="00454A29">
            <w:pPr>
              <w:pStyle w:val="ConsPlusNormal"/>
            </w:pPr>
          </w:p>
        </w:tc>
        <w:tc>
          <w:tcPr>
            <w:tcW w:w="1814" w:type="dxa"/>
            <w:vAlign w:val="center"/>
          </w:tcPr>
          <w:p w14:paraId="13CA6DA1" w14:textId="77777777" w:rsidR="00454A29" w:rsidRDefault="00454A29">
            <w:pPr>
              <w:pStyle w:val="ConsPlusNormal"/>
            </w:pPr>
          </w:p>
        </w:tc>
      </w:tr>
      <w:tr w:rsidR="00454A29" w14:paraId="4D606151" w14:textId="77777777">
        <w:tc>
          <w:tcPr>
            <w:tcW w:w="567" w:type="dxa"/>
            <w:vMerge/>
          </w:tcPr>
          <w:p w14:paraId="40105D19" w14:textId="77777777" w:rsidR="00454A29" w:rsidRDefault="00454A29"/>
        </w:tc>
        <w:tc>
          <w:tcPr>
            <w:tcW w:w="3345" w:type="dxa"/>
            <w:vMerge/>
          </w:tcPr>
          <w:p w14:paraId="4ED066A4" w14:textId="77777777" w:rsidR="00454A29" w:rsidRDefault="00454A29"/>
        </w:tc>
        <w:tc>
          <w:tcPr>
            <w:tcW w:w="1701" w:type="dxa"/>
            <w:vAlign w:val="center"/>
          </w:tcPr>
          <w:p w14:paraId="2BFE8443" w14:textId="77777777" w:rsidR="00454A29" w:rsidRDefault="00454A29">
            <w:pPr>
              <w:pStyle w:val="ConsPlusNormal"/>
              <w:jc w:val="center"/>
            </w:pPr>
            <w:r>
              <w:t>2021</w:t>
            </w:r>
          </w:p>
        </w:tc>
        <w:tc>
          <w:tcPr>
            <w:tcW w:w="1417" w:type="dxa"/>
            <w:vMerge/>
          </w:tcPr>
          <w:p w14:paraId="5E24BA48" w14:textId="77777777" w:rsidR="00454A29" w:rsidRDefault="00454A29"/>
        </w:tc>
        <w:tc>
          <w:tcPr>
            <w:tcW w:w="2204" w:type="dxa"/>
            <w:vMerge/>
          </w:tcPr>
          <w:p w14:paraId="420B41FC" w14:textId="77777777" w:rsidR="00454A29" w:rsidRDefault="00454A29"/>
        </w:tc>
        <w:tc>
          <w:tcPr>
            <w:tcW w:w="1417" w:type="dxa"/>
            <w:vMerge/>
          </w:tcPr>
          <w:p w14:paraId="44EF349E" w14:textId="77777777" w:rsidR="00454A29" w:rsidRDefault="00454A29"/>
        </w:tc>
        <w:tc>
          <w:tcPr>
            <w:tcW w:w="2324" w:type="dxa"/>
            <w:vMerge/>
          </w:tcPr>
          <w:p w14:paraId="27C26399" w14:textId="77777777" w:rsidR="00454A29" w:rsidRDefault="00454A29"/>
        </w:tc>
        <w:tc>
          <w:tcPr>
            <w:tcW w:w="1701" w:type="dxa"/>
            <w:vAlign w:val="center"/>
          </w:tcPr>
          <w:p w14:paraId="6773A205" w14:textId="77777777" w:rsidR="00454A29" w:rsidRDefault="00454A29">
            <w:pPr>
              <w:pStyle w:val="ConsPlusNormal"/>
              <w:jc w:val="center"/>
            </w:pPr>
            <w:r>
              <w:t>-</w:t>
            </w:r>
          </w:p>
        </w:tc>
        <w:tc>
          <w:tcPr>
            <w:tcW w:w="1814" w:type="dxa"/>
            <w:vAlign w:val="center"/>
          </w:tcPr>
          <w:p w14:paraId="5A1B97EB" w14:textId="77777777" w:rsidR="00454A29" w:rsidRDefault="00454A29">
            <w:pPr>
              <w:pStyle w:val="ConsPlusNormal"/>
            </w:pPr>
          </w:p>
        </w:tc>
        <w:tc>
          <w:tcPr>
            <w:tcW w:w="1701" w:type="dxa"/>
            <w:vAlign w:val="center"/>
          </w:tcPr>
          <w:p w14:paraId="6FA0071B" w14:textId="77777777" w:rsidR="00454A29" w:rsidRDefault="00454A29">
            <w:pPr>
              <w:pStyle w:val="ConsPlusNormal"/>
            </w:pPr>
          </w:p>
        </w:tc>
        <w:tc>
          <w:tcPr>
            <w:tcW w:w="1701" w:type="dxa"/>
            <w:vAlign w:val="center"/>
          </w:tcPr>
          <w:p w14:paraId="693D96DC" w14:textId="77777777" w:rsidR="00454A29" w:rsidRDefault="00454A29">
            <w:pPr>
              <w:pStyle w:val="ConsPlusNormal"/>
            </w:pPr>
          </w:p>
        </w:tc>
        <w:tc>
          <w:tcPr>
            <w:tcW w:w="1814" w:type="dxa"/>
            <w:vAlign w:val="center"/>
          </w:tcPr>
          <w:p w14:paraId="7AD16018" w14:textId="77777777" w:rsidR="00454A29" w:rsidRDefault="00454A29">
            <w:pPr>
              <w:pStyle w:val="ConsPlusNormal"/>
            </w:pPr>
          </w:p>
        </w:tc>
      </w:tr>
      <w:tr w:rsidR="00454A29" w14:paraId="2D296BE2" w14:textId="77777777">
        <w:tc>
          <w:tcPr>
            <w:tcW w:w="567" w:type="dxa"/>
            <w:vMerge/>
          </w:tcPr>
          <w:p w14:paraId="05825026" w14:textId="77777777" w:rsidR="00454A29" w:rsidRDefault="00454A29"/>
        </w:tc>
        <w:tc>
          <w:tcPr>
            <w:tcW w:w="3345" w:type="dxa"/>
            <w:vMerge/>
          </w:tcPr>
          <w:p w14:paraId="73496E9C" w14:textId="77777777" w:rsidR="00454A29" w:rsidRDefault="00454A29"/>
        </w:tc>
        <w:tc>
          <w:tcPr>
            <w:tcW w:w="1701" w:type="dxa"/>
            <w:vAlign w:val="center"/>
          </w:tcPr>
          <w:p w14:paraId="63254856" w14:textId="77777777" w:rsidR="00454A29" w:rsidRDefault="00454A29">
            <w:pPr>
              <w:pStyle w:val="ConsPlusNormal"/>
              <w:jc w:val="center"/>
            </w:pPr>
            <w:r>
              <w:t>2022</w:t>
            </w:r>
          </w:p>
        </w:tc>
        <w:tc>
          <w:tcPr>
            <w:tcW w:w="1417" w:type="dxa"/>
            <w:vMerge/>
          </w:tcPr>
          <w:p w14:paraId="2854FA36" w14:textId="77777777" w:rsidR="00454A29" w:rsidRDefault="00454A29"/>
        </w:tc>
        <w:tc>
          <w:tcPr>
            <w:tcW w:w="2204" w:type="dxa"/>
            <w:vMerge/>
          </w:tcPr>
          <w:p w14:paraId="5F0FC3D4" w14:textId="77777777" w:rsidR="00454A29" w:rsidRDefault="00454A29"/>
        </w:tc>
        <w:tc>
          <w:tcPr>
            <w:tcW w:w="1417" w:type="dxa"/>
            <w:vMerge/>
          </w:tcPr>
          <w:p w14:paraId="7AD89087" w14:textId="77777777" w:rsidR="00454A29" w:rsidRDefault="00454A29"/>
        </w:tc>
        <w:tc>
          <w:tcPr>
            <w:tcW w:w="2324" w:type="dxa"/>
            <w:vMerge/>
          </w:tcPr>
          <w:p w14:paraId="612D7630" w14:textId="77777777" w:rsidR="00454A29" w:rsidRDefault="00454A29"/>
        </w:tc>
        <w:tc>
          <w:tcPr>
            <w:tcW w:w="1701" w:type="dxa"/>
            <w:vAlign w:val="center"/>
          </w:tcPr>
          <w:p w14:paraId="281C060D" w14:textId="77777777" w:rsidR="00454A29" w:rsidRDefault="00454A29">
            <w:pPr>
              <w:pStyle w:val="ConsPlusNormal"/>
              <w:jc w:val="center"/>
            </w:pPr>
            <w:r>
              <w:t>-</w:t>
            </w:r>
          </w:p>
        </w:tc>
        <w:tc>
          <w:tcPr>
            <w:tcW w:w="1814" w:type="dxa"/>
            <w:vAlign w:val="center"/>
          </w:tcPr>
          <w:p w14:paraId="5620E8CD" w14:textId="77777777" w:rsidR="00454A29" w:rsidRDefault="00454A29">
            <w:pPr>
              <w:pStyle w:val="ConsPlusNormal"/>
            </w:pPr>
          </w:p>
        </w:tc>
        <w:tc>
          <w:tcPr>
            <w:tcW w:w="1701" w:type="dxa"/>
            <w:vAlign w:val="center"/>
          </w:tcPr>
          <w:p w14:paraId="478FF6A2" w14:textId="77777777" w:rsidR="00454A29" w:rsidRDefault="00454A29">
            <w:pPr>
              <w:pStyle w:val="ConsPlusNormal"/>
            </w:pPr>
          </w:p>
        </w:tc>
        <w:tc>
          <w:tcPr>
            <w:tcW w:w="1701" w:type="dxa"/>
            <w:vAlign w:val="center"/>
          </w:tcPr>
          <w:p w14:paraId="78F58FD9" w14:textId="77777777" w:rsidR="00454A29" w:rsidRDefault="00454A29">
            <w:pPr>
              <w:pStyle w:val="ConsPlusNormal"/>
            </w:pPr>
          </w:p>
        </w:tc>
        <w:tc>
          <w:tcPr>
            <w:tcW w:w="1814" w:type="dxa"/>
            <w:vAlign w:val="center"/>
          </w:tcPr>
          <w:p w14:paraId="7F9C605A" w14:textId="77777777" w:rsidR="00454A29" w:rsidRDefault="00454A29">
            <w:pPr>
              <w:pStyle w:val="ConsPlusNormal"/>
            </w:pPr>
          </w:p>
        </w:tc>
      </w:tr>
      <w:tr w:rsidR="00454A29" w14:paraId="48F6B0B5" w14:textId="77777777">
        <w:tc>
          <w:tcPr>
            <w:tcW w:w="567" w:type="dxa"/>
            <w:vMerge/>
          </w:tcPr>
          <w:p w14:paraId="291C9B70" w14:textId="77777777" w:rsidR="00454A29" w:rsidRDefault="00454A29"/>
        </w:tc>
        <w:tc>
          <w:tcPr>
            <w:tcW w:w="3345" w:type="dxa"/>
            <w:vMerge/>
          </w:tcPr>
          <w:p w14:paraId="4983E576" w14:textId="77777777" w:rsidR="00454A29" w:rsidRDefault="00454A29"/>
        </w:tc>
        <w:tc>
          <w:tcPr>
            <w:tcW w:w="1701" w:type="dxa"/>
            <w:vAlign w:val="center"/>
          </w:tcPr>
          <w:p w14:paraId="6406CE89" w14:textId="77777777" w:rsidR="00454A29" w:rsidRDefault="00454A29">
            <w:pPr>
              <w:pStyle w:val="ConsPlusNormal"/>
              <w:jc w:val="center"/>
            </w:pPr>
            <w:r>
              <w:t>2023</w:t>
            </w:r>
          </w:p>
        </w:tc>
        <w:tc>
          <w:tcPr>
            <w:tcW w:w="1417" w:type="dxa"/>
            <w:vMerge/>
          </w:tcPr>
          <w:p w14:paraId="742E4278" w14:textId="77777777" w:rsidR="00454A29" w:rsidRDefault="00454A29"/>
        </w:tc>
        <w:tc>
          <w:tcPr>
            <w:tcW w:w="2204" w:type="dxa"/>
            <w:vMerge/>
          </w:tcPr>
          <w:p w14:paraId="2DB8FA98" w14:textId="77777777" w:rsidR="00454A29" w:rsidRDefault="00454A29"/>
        </w:tc>
        <w:tc>
          <w:tcPr>
            <w:tcW w:w="1417" w:type="dxa"/>
            <w:vMerge/>
          </w:tcPr>
          <w:p w14:paraId="2C725C95" w14:textId="77777777" w:rsidR="00454A29" w:rsidRDefault="00454A29"/>
        </w:tc>
        <w:tc>
          <w:tcPr>
            <w:tcW w:w="2324" w:type="dxa"/>
            <w:vMerge/>
          </w:tcPr>
          <w:p w14:paraId="3A567EEB" w14:textId="77777777" w:rsidR="00454A29" w:rsidRDefault="00454A29"/>
        </w:tc>
        <w:tc>
          <w:tcPr>
            <w:tcW w:w="1701" w:type="dxa"/>
            <w:vAlign w:val="center"/>
          </w:tcPr>
          <w:p w14:paraId="234FDF74" w14:textId="77777777" w:rsidR="00454A29" w:rsidRDefault="00454A29">
            <w:pPr>
              <w:pStyle w:val="ConsPlusNormal"/>
              <w:jc w:val="center"/>
            </w:pPr>
            <w:r>
              <w:t>188 480,00</w:t>
            </w:r>
          </w:p>
        </w:tc>
        <w:tc>
          <w:tcPr>
            <w:tcW w:w="1814" w:type="dxa"/>
            <w:vAlign w:val="center"/>
          </w:tcPr>
          <w:p w14:paraId="4A3C3610" w14:textId="77777777" w:rsidR="00454A29" w:rsidRDefault="00454A29">
            <w:pPr>
              <w:pStyle w:val="ConsPlusNormal"/>
              <w:jc w:val="center"/>
            </w:pPr>
            <w:r>
              <w:t>188 480,00</w:t>
            </w:r>
          </w:p>
        </w:tc>
        <w:tc>
          <w:tcPr>
            <w:tcW w:w="1701" w:type="dxa"/>
            <w:vAlign w:val="center"/>
          </w:tcPr>
          <w:p w14:paraId="02F2E440" w14:textId="77777777" w:rsidR="00454A29" w:rsidRDefault="00454A29">
            <w:pPr>
              <w:pStyle w:val="ConsPlusNormal"/>
            </w:pPr>
          </w:p>
        </w:tc>
        <w:tc>
          <w:tcPr>
            <w:tcW w:w="1701" w:type="dxa"/>
            <w:vAlign w:val="center"/>
          </w:tcPr>
          <w:p w14:paraId="3B2B15F6" w14:textId="77777777" w:rsidR="00454A29" w:rsidRDefault="00454A29">
            <w:pPr>
              <w:pStyle w:val="ConsPlusNormal"/>
            </w:pPr>
          </w:p>
        </w:tc>
        <w:tc>
          <w:tcPr>
            <w:tcW w:w="1814" w:type="dxa"/>
            <w:vAlign w:val="center"/>
          </w:tcPr>
          <w:p w14:paraId="7EF6465F" w14:textId="77777777" w:rsidR="00454A29" w:rsidRDefault="00454A29">
            <w:pPr>
              <w:pStyle w:val="ConsPlusNormal"/>
            </w:pPr>
          </w:p>
        </w:tc>
      </w:tr>
      <w:tr w:rsidR="00454A29" w14:paraId="041C35FD" w14:textId="77777777">
        <w:tc>
          <w:tcPr>
            <w:tcW w:w="567" w:type="dxa"/>
            <w:vMerge/>
          </w:tcPr>
          <w:p w14:paraId="3AE5F5E2" w14:textId="77777777" w:rsidR="00454A29" w:rsidRDefault="00454A29"/>
        </w:tc>
        <w:tc>
          <w:tcPr>
            <w:tcW w:w="3345" w:type="dxa"/>
            <w:vMerge/>
          </w:tcPr>
          <w:p w14:paraId="2316A8AF" w14:textId="77777777" w:rsidR="00454A29" w:rsidRDefault="00454A29"/>
        </w:tc>
        <w:tc>
          <w:tcPr>
            <w:tcW w:w="1701" w:type="dxa"/>
            <w:vAlign w:val="center"/>
          </w:tcPr>
          <w:p w14:paraId="3752034A" w14:textId="77777777" w:rsidR="00454A29" w:rsidRDefault="00454A29">
            <w:pPr>
              <w:pStyle w:val="ConsPlusNormal"/>
              <w:jc w:val="center"/>
            </w:pPr>
            <w:r>
              <w:t>2024</w:t>
            </w:r>
          </w:p>
        </w:tc>
        <w:tc>
          <w:tcPr>
            <w:tcW w:w="1417" w:type="dxa"/>
            <w:vMerge/>
          </w:tcPr>
          <w:p w14:paraId="6054ECD2" w14:textId="77777777" w:rsidR="00454A29" w:rsidRDefault="00454A29"/>
        </w:tc>
        <w:tc>
          <w:tcPr>
            <w:tcW w:w="2204" w:type="dxa"/>
            <w:vMerge/>
          </w:tcPr>
          <w:p w14:paraId="350E244F" w14:textId="77777777" w:rsidR="00454A29" w:rsidRDefault="00454A29"/>
        </w:tc>
        <w:tc>
          <w:tcPr>
            <w:tcW w:w="1417" w:type="dxa"/>
            <w:vMerge/>
          </w:tcPr>
          <w:p w14:paraId="7A93B360" w14:textId="77777777" w:rsidR="00454A29" w:rsidRDefault="00454A29"/>
        </w:tc>
        <w:tc>
          <w:tcPr>
            <w:tcW w:w="2324" w:type="dxa"/>
            <w:vMerge/>
          </w:tcPr>
          <w:p w14:paraId="0F55716C" w14:textId="77777777" w:rsidR="00454A29" w:rsidRDefault="00454A29"/>
        </w:tc>
        <w:tc>
          <w:tcPr>
            <w:tcW w:w="1701" w:type="dxa"/>
            <w:vAlign w:val="center"/>
          </w:tcPr>
          <w:p w14:paraId="5BED0656" w14:textId="77777777" w:rsidR="00454A29" w:rsidRDefault="00454A29">
            <w:pPr>
              <w:pStyle w:val="ConsPlusNormal"/>
              <w:jc w:val="center"/>
            </w:pPr>
            <w:r>
              <w:t>381 330,00</w:t>
            </w:r>
          </w:p>
        </w:tc>
        <w:tc>
          <w:tcPr>
            <w:tcW w:w="1814" w:type="dxa"/>
            <w:vAlign w:val="center"/>
          </w:tcPr>
          <w:p w14:paraId="2F1903BC" w14:textId="77777777" w:rsidR="00454A29" w:rsidRDefault="00454A29">
            <w:pPr>
              <w:pStyle w:val="ConsPlusNormal"/>
              <w:jc w:val="center"/>
            </w:pPr>
            <w:r>
              <w:t>381 330,00</w:t>
            </w:r>
          </w:p>
        </w:tc>
        <w:tc>
          <w:tcPr>
            <w:tcW w:w="1701" w:type="dxa"/>
            <w:vAlign w:val="center"/>
          </w:tcPr>
          <w:p w14:paraId="6DB10BC0" w14:textId="77777777" w:rsidR="00454A29" w:rsidRDefault="00454A29">
            <w:pPr>
              <w:pStyle w:val="ConsPlusNormal"/>
            </w:pPr>
          </w:p>
        </w:tc>
        <w:tc>
          <w:tcPr>
            <w:tcW w:w="1701" w:type="dxa"/>
            <w:vAlign w:val="center"/>
          </w:tcPr>
          <w:p w14:paraId="3C1CB764" w14:textId="77777777" w:rsidR="00454A29" w:rsidRDefault="00454A29">
            <w:pPr>
              <w:pStyle w:val="ConsPlusNormal"/>
            </w:pPr>
          </w:p>
        </w:tc>
        <w:tc>
          <w:tcPr>
            <w:tcW w:w="1814" w:type="dxa"/>
            <w:vAlign w:val="center"/>
          </w:tcPr>
          <w:p w14:paraId="34B44DDF" w14:textId="77777777" w:rsidR="00454A29" w:rsidRDefault="00454A29">
            <w:pPr>
              <w:pStyle w:val="ConsPlusNormal"/>
            </w:pPr>
          </w:p>
        </w:tc>
      </w:tr>
      <w:tr w:rsidR="00454A29" w14:paraId="2B64C0F3" w14:textId="77777777">
        <w:tc>
          <w:tcPr>
            <w:tcW w:w="567" w:type="dxa"/>
            <w:vMerge/>
          </w:tcPr>
          <w:p w14:paraId="494FD372" w14:textId="77777777" w:rsidR="00454A29" w:rsidRDefault="00454A29"/>
        </w:tc>
        <w:tc>
          <w:tcPr>
            <w:tcW w:w="3345" w:type="dxa"/>
            <w:vMerge/>
          </w:tcPr>
          <w:p w14:paraId="166FA085" w14:textId="77777777" w:rsidR="00454A29" w:rsidRDefault="00454A29"/>
        </w:tc>
        <w:tc>
          <w:tcPr>
            <w:tcW w:w="1701" w:type="dxa"/>
            <w:vAlign w:val="center"/>
          </w:tcPr>
          <w:p w14:paraId="536DDB91" w14:textId="77777777" w:rsidR="00454A29" w:rsidRDefault="00454A29">
            <w:pPr>
              <w:pStyle w:val="ConsPlusNormal"/>
              <w:jc w:val="center"/>
            </w:pPr>
            <w:r>
              <w:t>2025</w:t>
            </w:r>
          </w:p>
        </w:tc>
        <w:tc>
          <w:tcPr>
            <w:tcW w:w="1417" w:type="dxa"/>
            <w:vMerge/>
          </w:tcPr>
          <w:p w14:paraId="388D2DEE" w14:textId="77777777" w:rsidR="00454A29" w:rsidRDefault="00454A29"/>
        </w:tc>
        <w:tc>
          <w:tcPr>
            <w:tcW w:w="2204" w:type="dxa"/>
            <w:vMerge/>
          </w:tcPr>
          <w:p w14:paraId="1B27DEA7" w14:textId="77777777" w:rsidR="00454A29" w:rsidRDefault="00454A29"/>
        </w:tc>
        <w:tc>
          <w:tcPr>
            <w:tcW w:w="1417" w:type="dxa"/>
            <w:vMerge/>
          </w:tcPr>
          <w:p w14:paraId="63956251" w14:textId="77777777" w:rsidR="00454A29" w:rsidRDefault="00454A29"/>
        </w:tc>
        <w:tc>
          <w:tcPr>
            <w:tcW w:w="2324" w:type="dxa"/>
            <w:vMerge/>
          </w:tcPr>
          <w:p w14:paraId="74E9995C" w14:textId="77777777" w:rsidR="00454A29" w:rsidRDefault="00454A29"/>
        </w:tc>
        <w:tc>
          <w:tcPr>
            <w:tcW w:w="1701" w:type="dxa"/>
            <w:vAlign w:val="center"/>
          </w:tcPr>
          <w:p w14:paraId="40AD59C1" w14:textId="77777777" w:rsidR="00454A29" w:rsidRDefault="00454A29">
            <w:pPr>
              <w:pStyle w:val="ConsPlusNormal"/>
              <w:jc w:val="center"/>
            </w:pPr>
            <w:r>
              <w:t>-</w:t>
            </w:r>
          </w:p>
        </w:tc>
        <w:tc>
          <w:tcPr>
            <w:tcW w:w="1814" w:type="dxa"/>
            <w:vAlign w:val="center"/>
          </w:tcPr>
          <w:p w14:paraId="55591A5A" w14:textId="77777777" w:rsidR="00454A29" w:rsidRDefault="00454A29">
            <w:pPr>
              <w:pStyle w:val="ConsPlusNormal"/>
            </w:pPr>
          </w:p>
        </w:tc>
        <w:tc>
          <w:tcPr>
            <w:tcW w:w="1701" w:type="dxa"/>
            <w:vAlign w:val="center"/>
          </w:tcPr>
          <w:p w14:paraId="5654D559" w14:textId="77777777" w:rsidR="00454A29" w:rsidRDefault="00454A29">
            <w:pPr>
              <w:pStyle w:val="ConsPlusNormal"/>
            </w:pPr>
          </w:p>
        </w:tc>
        <w:tc>
          <w:tcPr>
            <w:tcW w:w="1701" w:type="dxa"/>
            <w:vAlign w:val="center"/>
          </w:tcPr>
          <w:p w14:paraId="0F898B54" w14:textId="77777777" w:rsidR="00454A29" w:rsidRDefault="00454A29">
            <w:pPr>
              <w:pStyle w:val="ConsPlusNormal"/>
            </w:pPr>
          </w:p>
        </w:tc>
        <w:tc>
          <w:tcPr>
            <w:tcW w:w="1814" w:type="dxa"/>
            <w:vAlign w:val="center"/>
          </w:tcPr>
          <w:p w14:paraId="2AB2E0BF" w14:textId="77777777" w:rsidR="00454A29" w:rsidRDefault="00454A29">
            <w:pPr>
              <w:pStyle w:val="ConsPlusNormal"/>
            </w:pPr>
          </w:p>
        </w:tc>
      </w:tr>
      <w:tr w:rsidR="00454A29" w14:paraId="5373FDD7" w14:textId="77777777">
        <w:tc>
          <w:tcPr>
            <w:tcW w:w="567" w:type="dxa"/>
            <w:vMerge/>
          </w:tcPr>
          <w:p w14:paraId="534B01A5" w14:textId="77777777" w:rsidR="00454A29" w:rsidRDefault="00454A29"/>
        </w:tc>
        <w:tc>
          <w:tcPr>
            <w:tcW w:w="3345" w:type="dxa"/>
            <w:vMerge/>
          </w:tcPr>
          <w:p w14:paraId="7F8AE8D6" w14:textId="77777777" w:rsidR="00454A29" w:rsidRDefault="00454A29"/>
        </w:tc>
        <w:tc>
          <w:tcPr>
            <w:tcW w:w="1701" w:type="dxa"/>
            <w:vAlign w:val="center"/>
          </w:tcPr>
          <w:p w14:paraId="0F13480A" w14:textId="77777777" w:rsidR="00454A29" w:rsidRDefault="00454A29">
            <w:pPr>
              <w:pStyle w:val="ConsPlusNormal"/>
              <w:jc w:val="center"/>
            </w:pPr>
            <w:r>
              <w:t>2026</w:t>
            </w:r>
          </w:p>
        </w:tc>
        <w:tc>
          <w:tcPr>
            <w:tcW w:w="1417" w:type="dxa"/>
            <w:vMerge/>
          </w:tcPr>
          <w:p w14:paraId="71BF697E" w14:textId="77777777" w:rsidR="00454A29" w:rsidRDefault="00454A29"/>
        </w:tc>
        <w:tc>
          <w:tcPr>
            <w:tcW w:w="2204" w:type="dxa"/>
            <w:vMerge/>
          </w:tcPr>
          <w:p w14:paraId="573EFA03" w14:textId="77777777" w:rsidR="00454A29" w:rsidRDefault="00454A29"/>
        </w:tc>
        <w:tc>
          <w:tcPr>
            <w:tcW w:w="1417" w:type="dxa"/>
            <w:vMerge/>
          </w:tcPr>
          <w:p w14:paraId="260A2D04" w14:textId="77777777" w:rsidR="00454A29" w:rsidRDefault="00454A29"/>
        </w:tc>
        <w:tc>
          <w:tcPr>
            <w:tcW w:w="2324" w:type="dxa"/>
            <w:vMerge/>
          </w:tcPr>
          <w:p w14:paraId="6F6DC9D1" w14:textId="77777777" w:rsidR="00454A29" w:rsidRDefault="00454A29"/>
        </w:tc>
        <w:tc>
          <w:tcPr>
            <w:tcW w:w="1701" w:type="dxa"/>
            <w:vAlign w:val="center"/>
          </w:tcPr>
          <w:p w14:paraId="61E44F2F" w14:textId="77777777" w:rsidR="00454A29" w:rsidRDefault="00454A29">
            <w:pPr>
              <w:pStyle w:val="ConsPlusNormal"/>
              <w:jc w:val="center"/>
            </w:pPr>
            <w:r>
              <w:t>-</w:t>
            </w:r>
          </w:p>
        </w:tc>
        <w:tc>
          <w:tcPr>
            <w:tcW w:w="1814" w:type="dxa"/>
            <w:vAlign w:val="center"/>
          </w:tcPr>
          <w:p w14:paraId="0EBEAC72" w14:textId="77777777" w:rsidR="00454A29" w:rsidRDefault="00454A29">
            <w:pPr>
              <w:pStyle w:val="ConsPlusNormal"/>
            </w:pPr>
          </w:p>
        </w:tc>
        <w:tc>
          <w:tcPr>
            <w:tcW w:w="1701" w:type="dxa"/>
            <w:vAlign w:val="center"/>
          </w:tcPr>
          <w:p w14:paraId="43EA5A3F" w14:textId="77777777" w:rsidR="00454A29" w:rsidRDefault="00454A29">
            <w:pPr>
              <w:pStyle w:val="ConsPlusNormal"/>
            </w:pPr>
          </w:p>
        </w:tc>
        <w:tc>
          <w:tcPr>
            <w:tcW w:w="1701" w:type="dxa"/>
            <w:vAlign w:val="center"/>
          </w:tcPr>
          <w:p w14:paraId="1094EBA5" w14:textId="77777777" w:rsidR="00454A29" w:rsidRDefault="00454A29">
            <w:pPr>
              <w:pStyle w:val="ConsPlusNormal"/>
            </w:pPr>
          </w:p>
        </w:tc>
        <w:tc>
          <w:tcPr>
            <w:tcW w:w="1814" w:type="dxa"/>
            <w:vAlign w:val="center"/>
          </w:tcPr>
          <w:p w14:paraId="3C20DABB" w14:textId="77777777" w:rsidR="00454A29" w:rsidRDefault="00454A29">
            <w:pPr>
              <w:pStyle w:val="ConsPlusNormal"/>
            </w:pPr>
          </w:p>
        </w:tc>
      </w:tr>
      <w:tr w:rsidR="00454A29" w14:paraId="37F7CCF4" w14:textId="77777777">
        <w:tc>
          <w:tcPr>
            <w:tcW w:w="567" w:type="dxa"/>
            <w:vMerge w:val="restart"/>
            <w:vAlign w:val="center"/>
          </w:tcPr>
          <w:p w14:paraId="23DE0D01" w14:textId="77777777" w:rsidR="00454A29" w:rsidRDefault="00454A29">
            <w:pPr>
              <w:pStyle w:val="ConsPlusNormal"/>
              <w:jc w:val="center"/>
            </w:pPr>
            <w:r>
              <w:t>100</w:t>
            </w:r>
          </w:p>
        </w:tc>
        <w:tc>
          <w:tcPr>
            <w:tcW w:w="3345" w:type="dxa"/>
            <w:vMerge w:val="restart"/>
            <w:vAlign w:val="center"/>
          </w:tcPr>
          <w:p w14:paraId="18A5A86C" w14:textId="77777777" w:rsidR="00454A29" w:rsidRDefault="00454A29">
            <w:pPr>
              <w:pStyle w:val="ConsPlusNormal"/>
              <w:jc w:val="center"/>
            </w:pPr>
            <w:r>
              <w:t>Строительство общежития на 100 мест для ГБПОУ РС(Я) "Верхоянский многопрофильный лицей", п. Батагай Верхоянского района</w:t>
            </w:r>
          </w:p>
        </w:tc>
        <w:tc>
          <w:tcPr>
            <w:tcW w:w="1701" w:type="dxa"/>
            <w:vAlign w:val="center"/>
          </w:tcPr>
          <w:p w14:paraId="263AEE89" w14:textId="77777777" w:rsidR="00454A29" w:rsidRDefault="00454A29">
            <w:pPr>
              <w:pStyle w:val="ConsPlusNormal"/>
              <w:jc w:val="center"/>
            </w:pPr>
            <w:r>
              <w:t>Всего:</w:t>
            </w:r>
          </w:p>
        </w:tc>
        <w:tc>
          <w:tcPr>
            <w:tcW w:w="1417" w:type="dxa"/>
            <w:vMerge w:val="restart"/>
            <w:vAlign w:val="center"/>
          </w:tcPr>
          <w:p w14:paraId="3DDDB332" w14:textId="77777777" w:rsidR="00454A29" w:rsidRDefault="00454A29">
            <w:pPr>
              <w:pStyle w:val="ConsPlusNormal"/>
              <w:jc w:val="center"/>
            </w:pPr>
            <w:r>
              <w:t>78 599</w:t>
            </w:r>
          </w:p>
        </w:tc>
        <w:tc>
          <w:tcPr>
            <w:tcW w:w="2204" w:type="dxa"/>
            <w:vMerge w:val="restart"/>
            <w:vAlign w:val="center"/>
          </w:tcPr>
          <w:p w14:paraId="7D304C31" w14:textId="77777777" w:rsidR="00454A29" w:rsidRDefault="00454A29">
            <w:pPr>
              <w:pStyle w:val="ConsPlusNormal"/>
            </w:pPr>
          </w:p>
        </w:tc>
        <w:tc>
          <w:tcPr>
            <w:tcW w:w="1417" w:type="dxa"/>
            <w:vMerge w:val="restart"/>
            <w:vAlign w:val="center"/>
          </w:tcPr>
          <w:p w14:paraId="40E7FB7F" w14:textId="77777777" w:rsidR="00454A29" w:rsidRDefault="00454A29">
            <w:pPr>
              <w:pStyle w:val="ConsPlusNormal"/>
              <w:jc w:val="center"/>
            </w:pPr>
            <w:r>
              <w:t>100</w:t>
            </w:r>
          </w:p>
        </w:tc>
        <w:tc>
          <w:tcPr>
            <w:tcW w:w="2324" w:type="dxa"/>
            <w:vMerge w:val="restart"/>
            <w:vAlign w:val="center"/>
          </w:tcPr>
          <w:p w14:paraId="1EA80F2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305B1B99" w14:textId="77777777" w:rsidR="00454A29" w:rsidRDefault="00454A29">
            <w:pPr>
              <w:pStyle w:val="ConsPlusNormal"/>
              <w:jc w:val="center"/>
            </w:pPr>
            <w:r>
              <w:t>38 985,00</w:t>
            </w:r>
          </w:p>
        </w:tc>
        <w:tc>
          <w:tcPr>
            <w:tcW w:w="1814" w:type="dxa"/>
            <w:vAlign w:val="center"/>
          </w:tcPr>
          <w:p w14:paraId="323E85CA" w14:textId="77777777" w:rsidR="00454A29" w:rsidRDefault="00454A29">
            <w:pPr>
              <w:pStyle w:val="ConsPlusNormal"/>
              <w:jc w:val="center"/>
            </w:pPr>
            <w:r>
              <w:t>38 985,00</w:t>
            </w:r>
          </w:p>
        </w:tc>
        <w:tc>
          <w:tcPr>
            <w:tcW w:w="1701" w:type="dxa"/>
            <w:vAlign w:val="center"/>
          </w:tcPr>
          <w:p w14:paraId="239F5B9E" w14:textId="77777777" w:rsidR="00454A29" w:rsidRDefault="00454A29">
            <w:pPr>
              <w:pStyle w:val="ConsPlusNormal"/>
              <w:jc w:val="center"/>
            </w:pPr>
            <w:r>
              <w:t>-</w:t>
            </w:r>
          </w:p>
        </w:tc>
        <w:tc>
          <w:tcPr>
            <w:tcW w:w="1701" w:type="dxa"/>
            <w:vAlign w:val="center"/>
          </w:tcPr>
          <w:p w14:paraId="338A8FF2" w14:textId="77777777" w:rsidR="00454A29" w:rsidRDefault="00454A29">
            <w:pPr>
              <w:pStyle w:val="ConsPlusNormal"/>
              <w:jc w:val="center"/>
            </w:pPr>
            <w:r>
              <w:t>-</w:t>
            </w:r>
          </w:p>
        </w:tc>
        <w:tc>
          <w:tcPr>
            <w:tcW w:w="1814" w:type="dxa"/>
            <w:vAlign w:val="center"/>
          </w:tcPr>
          <w:p w14:paraId="65C0FEB2" w14:textId="77777777" w:rsidR="00454A29" w:rsidRDefault="00454A29">
            <w:pPr>
              <w:pStyle w:val="ConsPlusNormal"/>
              <w:jc w:val="center"/>
            </w:pPr>
            <w:r>
              <w:t>-</w:t>
            </w:r>
          </w:p>
        </w:tc>
      </w:tr>
      <w:tr w:rsidR="00454A29" w14:paraId="786DC6E5" w14:textId="77777777">
        <w:tc>
          <w:tcPr>
            <w:tcW w:w="567" w:type="dxa"/>
            <w:vMerge/>
          </w:tcPr>
          <w:p w14:paraId="387E81C3" w14:textId="77777777" w:rsidR="00454A29" w:rsidRDefault="00454A29"/>
        </w:tc>
        <w:tc>
          <w:tcPr>
            <w:tcW w:w="3345" w:type="dxa"/>
            <w:vMerge/>
          </w:tcPr>
          <w:p w14:paraId="6844D680" w14:textId="77777777" w:rsidR="00454A29" w:rsidRDefault="00454A29"/>
        </w:tc>
        <w:tc>
          <w:tcPr>
            <w:tcW w:w="1701" w:type="dxa"/>
            <w:vAlign w:val="center"/>
          </w:tcPr>
          <w:p w14:paraId="33E5E356" w14:textId="77777777" w:rsidR="00454A29" w:rsidRDefault="00454A29">
            <w:pPr>
              <w:pStyle w:val="ConsPlusNormal"/>
              <w:jc w:val="center"/>
            </w:pPr>
            <w:r>
              <w:t>2020</w:t>
            </w:r>
          </w:p>
        </w:tc>
        <w:tc>
          <w:tcPr>
            <w:tcW w:w="1417" w:type="dxa"/>
            <w:vMerge/>
          </w:tcPr>
          <w:p w14:paraId="154F373B" w14:textId="77777777" w:rsidR="00454A29" w:rsidRDefault="00454A29"/>
        </w:tc>
        <w:tc>
          <w:tcPr>
            <w:tcW w:w="2204" w:type="dxa"/>
            <w:vMerge/>
          </w:tcPr>
          <w:p w14:paraId="1B0695DF" w14:textId="77777777" w:rsidR="00454A29" w:rsidRDefault="00454A29"/>
        </w:tc>
        <w:tc>
          <w:tcPr>
            <w:tcW w:w="1417" w:type="dxa"/>
            <w:vMerge/>
          </w:tcPr>
          <w:p w14:paraId="66B051C5" w14:textId="77777777" w:rsidR="00454A29" w:rsidRDefault="00454A29"/>
        </w:tc>
        <w:tc>
          <w:tcPr>
            <w:tcW w:w="2324" w:type="dxa"/>
            <w:vMerge/>
          </w:tcPr>
          <w:p w14:paraId="153DD088" w14:textId="77777777" w:rsidR="00454A29" w:rsidRDefault="00454A29"/>
        </w:tc>
        <w:tc>
          <w:tcPr>
            <w:tcW w:w="1701" w:type="dxa"/>
            <w:vAlign w:val="center"/>
          </w:tcPr>
          <w:p w14:paraId="7F759C56" w14:textId="77777777" w:rsidR="00454A29" w:rsidRDefault="00454A29">
            <w:pPr>
              <w:pStyle w:val="ConsPlusNormal"/>
              <w:jc w:val="center"/>
            </w:pPr>
            <w:r>
              <w:t>-</w:t>
            </w:r>
          </w:p>
        </w:tc>
        <w:tc>
          <w:tcPr>
            <w:tcW w:w="1814" w:type="dxa"/>
            <w:vAlign w:val="center"/>
          </w:tcPr>
          <w:p w14:paraId="5DFB9284" w14:textId="77777777" w:rsidR="00454A29" w:rsidRDefault="00454A29">
            <w:pPr>
              <w:pStyle w:val="ConsPlusNormal"/>
            </w:pPr>
          </w:p>
        </w:tc>
        <w:tc>
          <w:tcPr>
            <w:tcW w:w="1701" w:type="dxa"/>
            <w:vAlign w:val="center"/>
          </w:tcPr>
          <w:p w14:paraId="1730B4C9" w14:textId="77777777" w:rsidR="00454A29" w:rsidRDefault="00454A29">
            <w:pPr>
              <w:pStyle w:val="ConsPlusNormal"/>
            </w:pPr>
          </w:p>
        </w:tc>
        <w:tc>
          <w:tcPr>
            <w:tcW w:w="1701" w:type="dxa"/>
            <w:vAlign w:val="center"/>
          </w:tcPr>
          <w:p w14:paraId="42944CE6" w14:textId="77777777" w:rsidR="00454A29" w:rsidRDefault="00454A29">
            <w:pPr>
              <w:pStyle w:val="ConsPlusNormal"/>
            </w:pPr>
          </w:p>
        </w:tc>
        <w:tc>
          <w:tcPr>
            <w:tcW w:w="1814" w:type="dxa"/>
            <w:vAlign w:val="center"/>
          </w:tcPr>
          <w:p w14:paraId="4E56F124" w14:textId="77777777" w:rsidR="00454A29" w:rsidRDefault="00454A29">
            <w:pPr>
              <w:pStyle w:val="ConsPlusNormal"/>
            </w:pPr>
          </w:p>
        </w:tc>
      </w:tr>
      <w:tr w:rsidR="00454A29" w14:paraId="329E5CDA" w14:textId="77777777">
        <w:tc>
          <w:tcPr>
            <w:tcW w:w="567" w:type="dxa"/>
            <w:vMerge/>
          </w:tcPr>
          <w:p w14:paraId="267430B6" w14:textId="77777777" w:rsidR="00454A29" w:rsidRDefault="00454A29"/>
        </w:tc>
        <w:tc>
          <w:tcPr>
            <w:tcW w:w="3345" w:type="dxa"/>
            <w:vMerge/>
          </w:tcPr>
          <w:p w14:paraId="527D70C9" w14:textId="77777777" w:rsidR="00454A29" w:rsidRDefault="00454A29"/>
        </w:tc>
        <w:tc>
          <w:tcPr>
            <w:tcW w:w="1701" w:type="dxa"/>
            <w:vAlign w:val="center"/>
          </w:tcPr>
          <w:p w14:paraId="315CB17A" w14:textId="77777777" w:rsidR="00454A29" w:rsidRDefault="00454A29">
            <w:pPr>
              <w:pStyle w:val="ConsPlusNormal"/>
              <w:jc w:val="center"/>
            </w:pPr>
            <w:r>
              <w:t>2021</w:t>
            </w:r>
          </w:p>
        </w:tc>
        <w:tc>
          <w:tcPr>
            <w:tcW w:w="1417" w:type="dxa"/>
            <w:vMerge/>
          </w:tcPr>
          <w:p w14:paraId="4C1162B9" w14:textId="77777777" w:rsidR="00454A29" w:rsidRDefault="00454A29"/>
        </w:tc>
        <w:tc>
          <w:tcPr>
            <w:tcW w:w="2204" w:type="dxa"/>
            <w:vMerge/>
          </w:tcPr>
          <w:p w14:paraId="52051F09" w14:textId="77777777" w:rsidR="00454A29" w:rsidRDefault="00454A29"/>
        </w:tc>
        <w:tc>
          <w:tcPr>
            <w:tcW w:w="1417" w:type="dxa"/>
            <w:vMerge/>
          </w:tcPr>
          <w:p w14:paraId="29846F38" w14:textId="77777777" w:rsidR="00454A29" w:rsidRDefault="00454A29"/>
        </w:tc>
        <w:tc>
          <w:tcPr>
            <w:tcW w:w="2324" w:type="dxa"/>
            <w:vMerge/>
          </w:tcPr>
          <w:p w14:paraId="58AB6DBE" w14:textId="77777777" w:rsidR="00454A29" w:rsidRDefault="00454A29"/>
        </w:tc>
        <w:tc>
          <w:tcPr>
            <w:tcW w:w="1701" w:type="dxa"/>
            <w:vAlign w:val="center"/>
          </w:tcPr>
          <w:p w14:paraId="439DE6EB" w14:textId="77777777" w:rsidR="00454A29" w:rsidRDefault="00454A29">
            <w:pPr>
              <w:pStyle w:val="ConsPlusNormal"/>
              <w:jc w:val="center"/>
            </w:pPr>
            <w:r>
              <w:t>-</w:t>
            </w:r>
          </w:p>
        </w:tc>
        <w:tc>
          <w:tcPr>
            <w:tcW w:w="1814" w:type="dxa"/>
            <w:vAlign w:val="center"/>
          </w:tcPr>
          <w:p w14:paraId="1BB0977F" w14:textId="77777777" w:rsidR="00454A29" w:rsidRDefault="00454A29">
            <w:pPr>
              <w:pStyle w:val="ConsPlusNormal"/>
            </w:pPr>
          </w:p>
        </w:tc>
        <w:tc>
          <w:tcPr>
            <w:tcW w:w="1701" w:type="dxa"/>
            <w:vAlign w:val="center"/>
          </w:tcPr>
          <w:p w14:paraId="60B0999C" w14:textId="77777777" w:rsidR="00454A29" w:rsidRDefault="00454A29">
            <w:pPr>
              <w:pStyle w:val="ConsPlusNormal"/>
            </w:pPr>
          </w:p>
        </w:tc>
        <w:tc>
          <w:tcPr>
            <w:tcW w:w="1701" w:type="dxa"/>
            <w:vAlign w:val="center"/>
          </w:tcPr>
          <w:p w14:paraId="7201D188" w14:textId="77777777" w:rsidR="00454A29" w:rsidRDefault="00454A29">
            <w:pPr>
              <w:pStyle w:val="ConsPlusNormal"/>
            </w:pPr>
          </w:p>
        </w:tc>
        <w:tc>
          <w:tcPr>
            <w:tcW w:w="1814" w:type="dxa"/>
            <w:vAlign w:val="center"/>
          </w:tcPr>
          <w:p w14:paraId="4AD042C5" w14:textId="77777777" w:rsidR="00454A29" w:rsidRDefault="00454A29">
            <w:pPr>
              <w:pStyle w:val="ConsPlusNormal"/>
            </w:pPr>
          </w:p>
        </w:tc>
      </w:tr>
      <w:tr w:rsidR="00454A29" w14:paraId="283E0E75" w14:textId="77777777">
        <w:tc>
          <w:tcPr>
            <w:tcW w:w="567" w:type="dxa"/>
            <w:vMerge/>
          </w:tcPr>
          <w:p w14:paraId="005CF682" w14:textId="77777777" w:rsidR="00454A29" w:rsidRDefault="00454A29"/>
        </w:tc>
        <w:tc>
          <w:tcPr>
            <w:tcW w:w="3345" w:type="dxa"/>
            <w:vMerge/>
          </w:tcPr>
          <w:p w14:paraId="09698E81" w14:textId="77777777" w:rsidR="00454A29" w:rsidRDefault="00454A29"/>
        </w:tc>
        <w:tc>
          <w:tcPr>
            <w:tcW w:w="1701" w:type="dxa"/>
            <w:vAlign w:val="center"/>
          </w:tcPr>
          <w:p w14:paraId="318CA3F6" w14:textId="77777777" w:rsidR="00454A29" w:rsidRDefault="00454A29">
            <w:pPr>
              <w:pStyle w:val="ConsPlusNormal"/>
              <w:jc w:val="center"/>
            </w:pPr>
            <w:r>
              <w:t>2022</w:t>
            </w:r>
          </w:p>
        </w:tc>
        <w:tc>
          <w:tcPr>
            <w:tcW w:w="1417" w:type="dxa"/>
            <w:vMerge/>
          </w:tcPr>
          <w:p w14:paraId="7B7AE5F4" w14:textId="77777777" w:rsidR="00454A29" w:rsidRDefault="00454A29"/>
        </w:tc>
        <w:tc>
          <w:tcPr>
            <w:tcW w:w="2204" w:type="dxa"/>
            <w:vMerge/>
          </w:tcPr>
          <w:p w14:paraId="34D4AB2E" w14:textId="77777777" w:rsidR="00454A29" w:rsidRDefault="00454A29"/>
        </w:tc>
        <w:tc>
          <w:tcPr>
            <w:tcW w:w="1417" w:type="dxa"/>
            <w:vMerge/>
          </w:tcPr>
          <w:p w14:paraId="5DB7C45F" w14:textId="77777777" w:rsidR="00454A29" w:rsidRDefault="00454A29"/>
        </w:tc>
        <w:tc>
          <w:tcPr>
            <w:tcW w:w="2324" w:type="dxa"/>
            <w:vMerge/>
          </w:tcPr>
          <w:p w14:paraId="6DF56758" w14:textId="77777777" w:rsidR="00454A29" w:rsidRDefault="00454A29"/>
        </w:tc>
        <w:tc>
          <w:tcPr>
            <w:tcW w:w="1701" w:type="dxa"/>
            <w:vAlign w:val="center"/>
          </w:tcPr>
          <w:p w14:paraId="7A8A9E51" w14:textId="77777777" w:rsidR="00454A29" w:rsidRDefault="00454A29">
            <w:pPr>
              <w:pStyle w:val="ConsPlusNormal"/>
              <w:jc w:val="center"/>
            </w:pPr>
            <w:r>
              <w:t>-</w:t>
            </w:r>
          </w:p>
        </w:tc>
        <w:tc>
          <w:tcPr>
            <w:tcW w:w="1814" w:type="dxa"/>
            <w:vAlign w:val="center"/>
          </w:tcPr>
          <w:p w14:paraId="32E8734D" w14:textId="77777777" w:rsidR="00454A29" w:rsidRDefault="00454A29">
            <w:pPr>
              <w:pStyle w:val="ConsPlusNormal"/>
              <w:jc w:val="center"/>
            </w:pPr>
            <w:r>
              <w:t>-</w:t>
            </w:r>
          </w:p>
        </w:tc>
        <w:tc>
          <w:tcPr>
            <w:tcW w:w="1701" w:type="dxa"/>
            <w:vAlign w:val="center"/>
          </w:tcPr>
          <w:p w14:paraId="1A9C1DC7" w14:textId="77777777" w:rsidR="00454A29" w:rsidRDefault="00454A29">
            <w:pPr>
              <w:pStyle w:val="ConsPlusNormal"/>
            </w:pPr>
          </w:p>
        </w:tc>
        <w:tc>
          <w:tcPr>
            <w:tcW w:w="1701" w:type="dxa"/>
            <w:vAlign w:val="center"/>
          </w:tcPr>
          <w:p w14:paraId="722F15BC" w14:textId="77777777" w:rsidR="00454A29" w:rsidRDefault="00454A29">
            <w:pPr>
              <w:pStyle w:val="ConsPlusNormal"/>
            </w:pPr>
          </w:p>
        </w:tc>
        <w:tc>
          <w:tcPr>
            <w:tcW w:w="1814" w:type="dxa"/>
            <w:vAlign w:val="center"/>
          </w:tcPr>
          <w:p w14:paraId="1361C137" w14:textId="77777777" w:rsidR="00454A29" w:rsidRDefault="00454A29">
            <w:pPr>
              <w:pStyle w:val="ConsPlusNormal"/>
            </w:pPr>
          </w:p>
        </w:tc>
      </w:tr>
      <w:tr w:rsidR="00454A29" w14:paraId="1576767A" w14:textId="77777777">
        <w:tc>
          <w:tcPr>
            <w:tcW w:w="567" w:type="dxa"/>
            <w:vMerge/>
          </w:tcPr>
          <w:p w14:paraId="6FBD702C" w14:textId="77777777" w:rsidR="00454A29" w:rsidRDefault="00454A29"/>
        </w:tc>
        <w:tc>
          <w:tcPr>
            <w:tcW w:w="3345" w:type="dxa"/>
            <w:vMerge/>
          </w:tcPr>
          <w:p w14:paraId="518547BD" w14:textId="77777777" w:rsidR="00454A29" w:rsidRDefault="00454A29"/>
        </w:tc>
        <w:tc>
          <w:tcPr>
            <w:tcW w:w="1701" w:type="dxa"/>
            <w:vAlign w:val="center"/>
          </w:tcPr>
          <w:p w14:paraId="011DEBF7" w14:textId="77777777" w:rsidR="00454A29" w:rsidRDefault="00454A29">
            <w:pPr>
              <w:pStyle w:val="ConsPlusNormal"/>
              <w:jc w:val="center"/>
            </w:pPr>
            <w:r>
              <w:t>2023</w:t>
            </w:r>
          </w:p>
        </w:tc>
        <w:tc>
          <w:tcPr>
            <w:tcW w:w="1417" w:type="dxa"/>
            <w:vMerge/>
          </w:tcPr>
          <w:p w14:paraId="73F20F16" w14:textId="77777777" w:rsidR="00454A29" w:rsidRDefault="00454A29"/>
        </w:tc>
        <w:tc>
          <w:tcPr>
            <w:tcW w:w="2204" w:type="dxa"/>
            <w:vMerge/>
          </w:tcPr>
          <w:p w14:paraId="2839AD37" w14:textId="77777777" w:rsidR="00454A29" w:rsidRDefault="00454A29"/>
        </w:tc>
        <w:tc>
          <w:tcPr>
            <w:tcW w:w="1417" w:type="dxa"/>
            <w:vMerge/>
          </w:tcPr>
          <w:p w14:paraId="47B6DD7D" w14:textId="77777777" w:rsidR="00454A29" w:rsidRDefault="00454A29"/>
        </w:tc>
        <w:tc>
          <w:tcPr>
            <w:tcW w:w="2324" w:type="dxa"/>
            <w:vMerge/>
          </w:tcPr>
          <w:p w14:paraId="4D5BDB54" w14:textId="77777777" w:rsidR="00454A29" w:rsidRDefault="00454A29"/>
        </w:tc>
        <w:tc>
          <w:tcPr>
            <w:tcW w:w="1701" w:type="dxa"/>
            <w:vAlign w:val="center"/>
          </w:tcPr>
          <w:p w14:paraId="57F9F3F7" w14:textId="77777777" w:rsidR="00454A29" w:rsidRDefault="00454A29">
            <w:pPr>
              <w:pStyle w:val="ConsPlusNormal"/>
              <w:jc w:val="center"/>
            </w:pPr>
            <w:r>
              <w:t>38 985,00</w:t>
            </w:r>
          </w:p>
        </w:tc>
        <w:tc>
          <w:tcPr>
            <w:tcW w:w="1814" w:type="dxa"/>
            <w:vAlign w:val="center"/>
          </w:tcPr>
          <w:p w14:paraId="2B112B64" w14:textId="77777777" w:rsidR="00454A29" w:rsidRDefault="00454A29">
            <w:pPr>
              <w:pStyle w:val="ConsPlusNormal"/>
              <w:jc w:val="center"/>
            </w:pPr>
            <w:r>
              <w:t>38 985,00</w:t>
            </w:r>
          </w:p>
        </w:tc>
        <w:tc>
          <w:tcPr>
            <w:tcW w:w="1701" w:type="dxa"/>
            <w:vAlign w:val="center"/>
          </w:tcPr>
          <w:p w14:paraId="4CBA5AF1" w14:textId="77777777" w:rsidR="00454A29" w:rsidRDefault="00454A29">
            <w:pPr>
              <w:pStyle w:val="ConsPlusNormal"/>
            </w:pPr>
          </w:p>
        </w:tc>
        <w:tc>
          <w:tcPr>
            <w:tcW w:w="1701" w:type="dxa"/>
            <w:vAlign w:val="center"/>
          </w:tcPr>
          <w:p w14:paraId="243FB18F" w14:textId="77777777" w:rsidR="00454A29" w:rsidRDefault="00454A29">
            <w:pPr>
              <w:pStyle w:val="ConsPlusNormal"/>
            </w:pPr>
          </w:p>
        </w:tc>
        <w:tc>
          <w:tcPr>
            <w:tcW w:w="1814" w:type="dxa"/>
            <w:vAlign w:val="center"/>
          </w:tcPr>
          <w:p w14:paraId="3A8B84E7" w14:textId="77777777" w:rsidR="00454A29" w:rsidRDefault="00454A29">
            <w:pPr>
              <w:pStyle w:val="ConsPlusNormal"/>
            </w:pPr>
          </w:p>
        </w:tc>
      </w:tr>
      <w:tr w:rsidR="00454A29" w14:paraId="1743D2FC" w14:textId="77777777">
        <w:tc>
          <w:tcPr>
            <w:tcW w:w="567" w:type="dxa"/>
            <w:vMerge/>
          </w:tcPr>
          <w:p w14:paraId="7CABD0A7" w14:textId="77777777" w:rsidR="00454A29" w:rsidRDefault="00454A29"/>
        </w:tc>
        <w:tc>
          <w:tcPr>
            <w:tcW w:w="3345" w:type="dxa"/>
            <w:vMerge/>
          </w:tcPr>
          <w:p w14:paraId="6670888F" w14:textId="77777777" w:rsidR="00454A29" w:rsidRDefault="00454A29"/>
        </w:tc>
        <w:tc>
          <w:tcPr>
            <w:tcW w:w="1701" w:type="dxa"/>
            <w:vAlign w:val="center"/>
          </w:tcPr>
          <w:p w14:paraId="0633B363" w14:textId="77777777" w:rsidR="00454A29" w:rsidRDefault="00454A29">
            <w:pPr>
              <w:pStyle w:val="ConsPlusNormal"/>
              <w:jc w:val="center"/>
            </w:pPr>
            <w:r>
              <w:t>2024</w:t>
            </w:r>
          </w:p>
        </w:tc>
        <w:tc>
          <w:tcPr>
            <w:tcW w:w="1417" w:type="dxa"/>
            <w:vMerge/>
          </w:tcPr>
          <w:p w14:paraId="0875A3DA" w14:textId="77777777" w:rsidR="00454A29" w:rsidRDefault="00454A29"/>
        </w:tc>
        <w:tc>
          <w:tcPr>
            <w:tcW w:w="2204" w:type="dxa"/>
            <w:vMerge/>
          </w:tcPr>
          <w:p w14:paraId="241B8F3B" w14:textId="77777777" w:rsidR="00454A29" w:rsidRDefault="00454A29"/>
        </w:tc>
        <w:tc>
          <w:tcPr>
            <w:tcW w:w="1417" w:type="dxa"/>
            <w:vMerge/>
          </w:tcPr>
          <w:p w14:paraId="50528447" w14:textId="77777777" w:rsidR="00454A29" w:rsidRDefault="00454A29"/>
        </w:tc>
        <w:tc>
          <w:tcPr>
            <w:tcW w:w="2324" w:type="dxa"/>
            <w:vMerge/>
          </w:tcPr>
          <w:p w14:paraId="08A97A54" w14:textId="77777777" w:rsidR="00454A29" w:rsidRDefault="00454A29"/>
        </w:tc>
        <w:tc>
          <w:tcPr>
            <w:tcW w:w="1701" w:type="dxa"/>
            <w:vAlign w:val="center"/>
          </w:tcPr>
          <w:p w14:paraId="68C69685" w14:textId="77777777" w:rsidR="00454A29" w:rsidRDefault="00454A29">
            <w:pPr>
              <w:pStyle w:val="ConsPlusNormal"/>
              <w:jc w:val="center"/>
            </w:pPr>
            <w:r>
              <w:t>-</w:t>
            </w:r>
          </w:p>
        </w:tc>
        <w:tc>
          <w:tcPr>
            <w:tcW w:w="1814" w:type="dxa"/>
            <w:vAlign w:val="center"/>
          </w:tcPr>
          <w:p w14:paraId="25895A63" w14:textId="77777777" w:rsidR="00454A29" w:rsidRDefault="00454A29">
            <w:pPr>
              <w:pStyle w:val="ConsPlusNormal"/>
            </w:pPr>
          </w:p>
        </w:tc>
        <w:tc>
          <w:tcPr>
            <w:tcW w:w="1701" w:type="dxa"/>
            <w:vAlign w:val="center"/>
          </w:tcPr>
          <w:p w14:paraId="215D5B4A" w14:textId="77777777" w:rsidR="00454A29" w:rsidRDefault="00454A29">
            <w:pPr>
              <w:pStyle w:val="ConsPlusNormal"/>
            </w:pPr>
          </w:p>
        </w:tc>
        <w:tc>
          <w:tcPr>
            <w:tcW w:w="1701" w:type="dxa"/>
            <w:vAlign w:val="center"/>
          </w:tcPr>
          <w:p w14:paraId="1583D8C3" w14:textId="77777777" w:rsidR="00454A29" w:rsidRDefault="00454A29">
            <w:pPr>
              <w:pStyle w:val="ConsPlusNormal"/>
            </w:pPr>
          </w:p>
        </w:tc>
        <w:tc>
          <w:tcPr>
            <w:tcW w:w="1814" w:type="dxa"/>
            <w:vAlign w:val="center"/>
          </w:tcPr>
          <w:p w14:paraId="7E1F7120" w14:textId="77777777" w:rsidR="00454A29" w:rsidRDefault="00454A29">
            <w:pPr>
              <w:pStyle w:val="ConsPlusNormal"/>
            </w:pPr>
          </w:p>
        </w:tc>
      </w:tr>
      <w:tr w:rsidR="00454A29" w14:paraId="0A4A315A" w14:textId="77777777">
        <w:tc>
          <w:tcPr>
            <w:tcW w:w="567" w:type="dxa"/>
            <w:vMerge/>
          </w:tcPr>
          <w:p w14:paraId="2001D8DA" w14:textId="77777777" w:rsidR="00454A29" w:rsidRDefault="00454A29"/>
        </w:tc>
        <w:tc>
          <w:tcPr>
            <w:tcW w:w="3345" w:type="dxa"/>
            <w:vMerge/>
          </w:tcPr>
          <w:p w14:paraId="01E8EBBB" w14:textId="77777777" w:rsidR="00454A29" w:rsidRDefault="00454A29"/>
        </w:tc>
        <w:tc>
          <w:tcPr>
            <w:tcW w:w="1701" w:type="dxa"/>
            <w:vAlign w:val="center"/>
          </w:tcPr>
          <w:p w14:paraId="5FA811D0" w14:textId="77777777" w:rsidR="00454A29" w:rsidRDefault="00454A29">
            <w:pPr>
              <w:pStyle w:val="ConsPlusNormal"/>
              <w:jc w:val="center"/>
            </w:pPr>
            <w:r>
              <w:t>2025</w:t>
            </w:r>
          </w:p>
        </w:tc>
        <w:tc>
          <w:tcPr>
            <w:tcW w:w="1417" w:type="dxa"/>
            <w:vMerge/>
          </w:tcPr>
          <w:p w14:paraId="4DC05133" w14:textId="77777777" w:rsidR="00454A29" w:rsidRDefault="00454A29"/>
        </w:tc>
        <w:tc>
          <w:tcPr>
            <w:tcW w:w="2204" w:type="dxa"/>
            <w:vMerge/>
          </w:tcPr>
          <w:p w14:paraId="65F7ECF0" w14:textId="77777777" w:rsidR="00454A29" w:rsidRDefault="00454A29"/>
        </w:tc>
        <w:tc>
          <w:tcPr>
            <w:tcW w:w="1417" w:type="dxa"/>
            <w:vMerge/>
          </w:tcPr>
          <w:p w14:paraId="7349A41A" w14:textId="77777777" w:rsidR="00454A29" w:rsidRDefault="00454A29"/>
        </w:tc>
        <w:tc>
          <w:tcPr>
            <w:tcW w:w="2324" w:type="dxa"/>
            <w:vMerge/>
          </w:tcPr>
          <w:p w14:paraId="6B296F61" w14:textId="77777777" w:rsidR="00454A29" w:rsidRDefault="00454A29"/>
        </w:tc>
        <w:tc>
          <w:tcPr>
            <w:tcW w:w="1701" w:type="dxa"/>
            <w:vAlign w:val="center"/>
          </w:tcPr>
          <w:p w14:paraId="2FA2D8D8" w14:textId="77777777" w:rsidR="00454A29" w:rsidRDefault="00454A29">
            <w:pPr>
              <w:pStyle w:val="ConsPlusNormal"/>
              <w:jc w:val="center"/>
            </w:pPr>
            <w:r>
              <w:t>-</w:t>
            </w:r>
          </w:p>
        </w:tc>
        <w:tc>
          <w:tcPr>
            <w:tcW w:w="1814" w:type="dxa"/>
            <w:vAlign w:val="center"/>
          </w:tcPr>
          <w:p w14:paraId="1565B302" w14:textId="77777777" w:rsidR="00454A29" w:rsidRDefault="00454A29">
            <w:pPr>
              <w:pStyle w:val="ConsPlusNormal"/>
            </w:pPr>
          </w:p>
        </w:tc>
        <w:tc>
          <w:tcPr>
            <w:tcW w:w="1701" w:type="dxa"/>
            <w:vAlign w:val="center"/>
          </w:tcPr>
          <w:p w14:paraId="799113B6" w14:textId="77777777" w:rsidR="00454A29" w:rsidRDefault="00454A29">
            <w:pPr>
              <w:pStyle w:val="ConsPlusNormal"/>
            </w:pPr>
          </w:p>
        </w:tc>
        <w:tc>
          <w:tcPr>
            <w:tcW w:w="1701" w:type="dxa"/>
            <w:vAlign w:val="center"/>
          </w:tcPr>
          <w:p w14:paraId="4DAE31F7" w14:textId="77777777" w:rsidR="00454A29" w:rsidRDefault="00454A29">
            <w:pPr>
              <w:pStyle w:val="ConsPlusNormal"/>
            </w:pPr>
          </w:p>
        </w:tc>
        <w:tc>
          <w:tcPr>
            <w:tcW w:w="1814" w:type="dxa"/>
            <w:vAlign w:val="center"/>
          </w:tcPr>
          <w:p w14:paraId="2EBFAC85" w14:textId="77777777" w:rsidR="00454A29" w:rsidRDefault="00454A29">
            <w:pPr>
              <w:pStyle w:val="ConsPlusNormal"/>
            </w:pPr>
          </w:p>
        </w:tc>
      </w:tr>
      <w:tr w:rsidR="00454A29" w14:paraId="43681FC1" w14:textId="77777777">
        <w:tc>
          <w:tcPr>
            <w:tcW w:w="567" w:type="dxa"/>
            <w:vMerge/>
          </w:tcPr>
          <w:p w14:paraId="5B5404AA" w14:textId="77777777" w:rsidR="00454A29" w:rsidRDefault="00454A29"/>
        </w:tc>
        <w:tc>
          <w:tcPr>
            <w:tcW w:w="3345" w:type="dxa"/>
            <w:vMerge/>
          </w:tcPr>
          <w:p w14:paraId="4143C5B9" w14:textId="77777777" w:rsidR="00454A29" w:rsidRDefault="00454A29"/>
        </w:tc>
        <w:tc>
          <w:tcPr>
            <w:tcW w:w="1701" w:type="dxa"/>
            <w:vAlign w:val="center"/>
          </w:tcPr>
          <w:p w14:paraId="60052D7C" w14:textId="77777777" w:rsidR="00454A29" w:rsidRDefault="00454A29">
            <w:pPr>
              <w:pStyle w:val="ConsPlusNormal"/>
              <w:jc w:val="center"/>
            </w:pPr>
            <w:r>
              <w:t>2026</w:t>
            </w:r>
          </w:p>
        </w:tc>
        <w:tc>
          <w:tcPr>
            <w:tcW w:w="1417" w:type="dxa"/>
            <w:vMerge/>
          </w:tcPr>
          <w:p w14:paraId="41AEE1BD" w14:textId="77777777" w:rsidR="00454A29" w:rsidRDefault="00454A29"/>
        </w:tc>
        <w:tc>
          <w:tcPr>
            <w:tcW w:w="2204" w:type="dxa"/>
            <w:vMerge/>
          </w:tcPr>
          <w:p w14:paraId="6D16D484" w14:textId="77777777" w:rsidR="00454A29" w:rsidRDefault="00454A29"/>
        </w:tc>
        <w:tc>
          <w:tcPr>
            <w:tcW w:w="1417" w:type="dxa"/>
            <w:vMerge/>
          </w:tcPr>
          <w:p w14:paraId="1FE3C963" w14:textId="77777777" w:rsidR="00454A29" w:rsidRDefault="00454A29"/>
        </w:tc>
        <w:tc>
          <w:tcPr>
            <w:tcW w:w="2324" w:type="dxa"/>
            <w:vMerge/>
          </w:tcPr>
          <w:p w14:paraId="00B19124" w14:textId="77777777" w:rsidR="00454A29" w:rsidRDefault="00454A29"/>
        </w:tc>
        <w:tc>
          <w:tcPr>
            <w:tcW w:w="1701" w:type="dxa"/>
            <w:vAlign w:val="center"/>
          </w:tcPr>
          <w:p w14:paraId="3719D211" w14:textId="77777777" w:rsidR="00454A29" w:rsidRDefault="00454A29">
            <w:pPr>
              <w:pStyle w:val="ConsPlusNormal"/>
              <w:jc w:val="center"/>
            </w:pPr>
            <w:r>
              <w:t>-</w:t>
            </w:r>
          </w:p>
        </w:tc>
        <w:tc>
          <w:tcPr>
            <w:tcW w:w="1814" w:type="dxa"/>
            <w:vAlign w:val="center"/>
          </w:tcPr>
          <w:p w14:paraId="749CB4A9" w14:textId="77777777" w:rsidR="00454A29" w:rsidRDefault="00454A29">
            <w:pPr>
              <w:pStyle w:val="ConsPlusNormal"/>
            </w:pPr>
          </w:p>
        </w:tc>
        <w:tc>
          <w:tcPr>
            <w:tcW w:w="1701" w:type="dxa"/>
            <w:vAlign w:val="center"/>
          </w:tcPr>
          <w:p w14:paraId="3ACB9E92" w14:textId="77777777" w:rsidR="00454A29" w:rsidRDefault="00454A29">
            <w:pPr>
              <w:pStyle w:val="ConsPlusNormal"/>
            </w:pPr>
          </w:p>
        </w:tc>
        <w:tc>
          <w:tcPr>
            <w:tcW w:w="1701" w:type="dxa"/>
            <w:vAlign w:val="center"/>
          </w:tcPr>
          <w:p w14:paraId="308F2586" w14:textId="77777777" w:rsidR="00454A29" w:rsidRDefault="00454A29">
            <w:pPr>
              <w:pStyle w:val="ConsPlusNormal"/>
            </w:pPr>
          </w:p>
        </w:tc>
        <w:tc>
          <w:tcPr>
            <w:tcW w:w="1814" w:type="dxa"/>
            <w:vAlign w:val="center"/>
          </w:tcPr>
          <w:p w14:paraId="7E9F6163" w14:textId="77777777" w:rsidR="00454A29" w:rsidRDefault="00454A29">
            <w:pPr>
              <w:pStyle w:val="ConsPlusNormal"/>
            </w:pPr>
          </w:p>
        </w:tc>
      </w:tr>
      <w:tr w:rsidR="00454A29" w14:paraId="3E707BCE" w14:textId="77777777">
        <w:tc>
          <w:tcPr>
            <w:tcW w:w="567" w:type="dxa"/>
            <w:vMerge w:val="restart"/>
            <w:vAlign w:val="center"/>
          </w:tcPr>
          <w:p w14:paraId="0C9714A5" w14:textId="77777777" w:rsidR="00454A29" w:rsidRDefault="00454A29">
            <w:pPr>
              <w:pStyle w:val="ConsPlusNormal"/>
              <w:jc w:val="center"/>
            </w:pPr>
            <w:r>
              <w:t>101</w:t>
            </w:r>
          </w:p>
        </w:tc>
        <w:tc>
          <w:tcPr>
            <w:tcW w:w="3345" w:type="dxa"/>
            <w:vMerge w:val="restart"/>
            <w:vAlign w:val="center"/>
          </w:tcPr>
          <w:p w14:paraId="1AFFB624" w14:textId="77777777" w:rsidR="00454A29" w:rsidRDefault="00454A29">
            <w:pPr>
              <w:pStyle w:val="ConsPlusNormal"/>
              <w:jc w:val="center"/>
            </w:pPr>
            <w:r>
              <w:t>Проектирование и строительство комплекса объектов ГБПОУ РС(Я) "Намский техникум" в п. Графский Берег Намского улуса, учебный корпус на 250 мест с общежитием на 250 мест</w:t>
            </w:r>
          </w:p>
        </w:tc>
        <w:tc>
          <w:tcPr>
            <w:tcW w:w="1701" w:type="dxa"/>
            <w:vAlign w:val="center"/>
          </w:tcPr>
          <w:p w14:paraId="5EFB3F65" w14:textId="77777777" w:rsidR="00454A29" w:rsidRDefault="00454A29">
            <w:pPr>
              <w:pStyle w:val="ConsPlusNormal"/>
              <w:jc w:val="center"/>
            </w:pPr>
            <w:r>
              <w:t>Всего:</w:t>
            </w:r>
          </w:p>
        </w:tc>
        <w:tc>
          <w:tcPr>
            <w:tcW w:w="1417" w:type="dxa"/>
            <w:vMerge w:val="restart"/>
            <w:vAlign w:val="center"/>
          </w:tcPr>
          <w:p w14:paraId="67BBE7FF" w14:textId="77777777" w:rsidR="00454A29" w:rsidRDefault="00454A29">
            <w:pPr>
              <w:pStyle w:val="ConsPlusNormal"/>
              <w:jc w:val="center"/>
            </w:pPr>
            <w:r>
              <w:t>675 800</w:t>
            </w:r>
          </w:p>
        </w:tc>
        <w:tc>
          <w:tcPr>
            <w:tcW w:w="2204" w:type="dxa"/>
            <w:vMerge w:val="restart"/>
            <w:vAlign w:val="center"/>
          </w:tcPr>
          <w:p w14:paraId="2EC00777" w14:textId="77777777" w:rsidR="00454A29" w:rsidRDefault="00454A29">
            <w:pPr>
              <w:pStyle w:val="ConsPlusNormal"/>
            </w:pPr>
          </w:p>
        </w:tc>
        <w:tc>
          <w:tcPr>
            <w:tcW w:w="1417" w:type="dxa"/>
            <w:vMerge w:val="restart"/>
            <w:vAlign w:val="center"/>
          </w:tcPr>
          <w:p w14:paraId="17EB344E" w14:textId="77777777" w:rsidR="00454A29" w:rsidRDefault="00454A29">
            <w:pPr>
              <w:pStyle w:val="ConsPlusNormal"/>
              <w:jc w:val="center"/>
            </w:pPr>
            <w:r>
              <w:t>250</w:t>
            </w:r>
          </w:p>
        </w:tc>
        <w:tc>
          <w:tcPr>
            <w:tcW w:w="2324" w:type="dxa"/>
            <w:vMerge w:val="restart"/>
            <w:vAlign w:val="center"/>
          </w:tcPr>
          <w:p w14:paraId="3542402C"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49A4956D" w14:textId="77777777" w:rsidR="00454A29" w:rsidRDefault="00454A29">
            <w:pPr>
              <w:pStyle w:val="ConsPlusNormal"/>
              <w:jc w:val="center"/>
            </w:pPr>
            <w:r>
              <w:t>650 672,60</w:t>
            </w:r>
          </w:p>
        </w:tc>
        <w:tc>
          <w:tcPr>
            <w:tcW w:w="1814" w:type="dxa"/>
            <w:vAlign w:val="center"/>
          </w:tcPr>
          <w:p w14:paraId="4A054E57" w14:textId="77777777" w:rsidR="00454A29" w:rsidRDefault="00454A29">
            <w:pPr>
              <w:pStyle w:val="ConsPlusNormal"/>
              <w:jc w:val="center"/>
            </w:pPr>
            <w:r>
              <w:t>650 672,60</w:t>
            </w:r>
          </w:p>
        </w:tc>
        <w:tc>
          <w:tcPr>
            <w:tcW w:w="1701" w:type="dxa"/>
            <w:vAlign w:val="center"/>
          </w:tcPr>
          <w:p w14:paraId="489B2DFB" w14:textId="77777777" w:rsidR="00454A29" w:rsidRDefault="00454A29">
            <w:pPr>
              <w:pStyle w:val="ConsPlusNormal"/>
              <w:jc w:val="center"/>
            </w:pPr>
            <w:r>
              <w:t>-</w:t>
            </w:r>
          </w:p>
        </w:tc>
        <w:tc>
          <w:tcPr>
            <w:tcW w:w="1701" w:type="dxa"/>
            <w:vAlign w:val="center"/>
          </w:tcPr>
          <w:p w14:paraId="043FCFE0" w14:textId="77777777" w:rsidR="00454A29" w:rsidRDefault="00454A29">
            <w:pPr>
              <w:pStyle w:val="ConsPlusNormal"/>
              <w:jc w:val="center"/>
            </w:pPr>
            <w:r>
              <w:t>-</w:t>
            </w:r>
          </w:p>
        </w:tc>
        <w:tc>
          <w:tcPr>
            <w:tcW w:w="1814" w:type="dxa"/>
            <w:vAlign w:val="center"/>
          </w:tcPr>
          <w:p w14:paraId="1F16881D" w14:textId="77777777" w:rsidR="00454A29" w:rsidRDefault="00454A29">
            <w:pPr>
              <w:pStyle w:val="ConsPlusNormal"/>
              <w:jc w:val="center"/>
            </w:pPr>
            <w:r>
              <w:t>-</w:t>
            </w:r>
          </w:p>
        </w:tc>
      </w:tr>
      <w:tr w:rsidR="00454A29" w14:paraId="3D411F50" w14:textId="77777777">
        <w:tc>
          <w:tcPr>
            <w:tcW w:w="567" w:type="dxa"/>
            <w:vMerge/>
          </w:tcPr>
          <w:p w14:paraId="7C4A5B4F" w14:textId="77777777" w:rsidR="00454A29" w:rsidRDefault="00454A29"/>
        </w:tc>
        <w:tc>
          <w:tcPr>
            <w:tcW w:w="3345" w:type="dxa"/>
            <w:vMerge/>
          </w:tcPr>
          <w:p w14:paraId="4B9DDEDC" w14:textId="77777777" w:rsidR="00454A29" w:rsidRDefault="00454A29"/>
        </w:tc>
        <w:tc>
          <w:tcPr>
            <w:tcW w:w="1701" w:type="dxa"/>
            <w:vAlign w:val="center"/>
          </w:tcPr>
          <w:p w14:paraId="027B6CD3" w14:textId="77777777" w:rsidR="00454A29" w:rsidRDefault="00454A29">
            <w:pPr>
              <w:pStyle w:val="ConsPlusNormal"/>
              <w:jc w:val="center"/>
            </w:pPr>
            <w:r>
              <w:t>2020</w:t>
            </w:r>
          </w:p>
        </w:tc>
        <w:tc>
          <w:tcPr>
            <w:tcW w:w="1417" w:type="dxa"/>
            <w:vMerge/>
          </w:tcPr>
          <w:p w14:paraId="540A9864" w14:textId="77777777" w:rsidR="00454A29" w:rsidRDefault="00454A29"/>
        </w:tc>
        <w:tc>
          <w:tcPr>
            <w:tcW w:w="2204" w:type="dxa"/>
            <w:vMerge/>
          </w:tcPr>
          <w:p w14:paraId="358527F2" w14:textId="77777777" w:rsidR="00454A29" w:rsidRDefault="00454A29"/>
        </w:tc>
        <w:tc>
          <w:tcPr>
            <w:tcW w:w="1417" w:type="dxa"/>
            <w:vMerge/>
          </w:tcPr>
          <w:p w14:paraId="505A43CF" w14:textId="77777777" w:rsidR="00454A29" w:rsidRDefault="00454A29"/>
        </w:tc>
        <w:tc>
          <w:tcPr>
            <w:tcW w:w="2324" w:type="dxa"/>
            <w:vMerge/>
          </w:tcPr>
          <w:p w14:paraId="31E82E52" w14:textId="77777777" w:rsidR="00454A29" w:rsidRDefault="00454A29"/>
        </w:tc>
        <w:tc>
          <w:tcPr>
            <w:tcW w:w="1701" w:type="dxa"/>
            <w:vAlign w:val="center"/>
          </w:tcPr>
          <w:p w14:paraId="3345DCA0" w14:textId="77777777" w:rsidR="00454A29" w:rsidRDefault="00454A29">
            <w:pPr>
              <w:pStyle w:val="ConsPlusNormal"/>
              <w:jc w:val="center"/>
            </w:pPr>
            <w:r>
              <w:t>-</w:t>
            </w:r>
          </w:p>
        </w:tc>
        <w:tc>
          <w:tcPr>
            <w:tcW w:w="1814" w:type="dxa"/>
            <w:vAlign w:val="center"/>
          </w:tcPr>
          <w:p w14:paraId="1A2DC1FD" w14:textId="77777777" w:rsidR="00454A29" w:rsidRDefault="00454A29">
            <w:pPr>
              <w:pStyle w:val="ConsPlusNormal"/>
            </w:pPr>
          </w:p>
        </w:tc>
        <w:tc>
          <w:tcPr>
            <w:tcW w:w="1701" w:type="dxa"/>
            <w:vAlign w:val="center"/>
          </w:tcPr>
          <w:p w14:paraId="6877D4E9" w14:textId="77777777" w:rsidR="00454A29" w:rsidRDefault="00454A29">
            <w:pPr>
              <w:pStyle w:val="ConsPlusNormal"/>
            </w:pPr>
          </w:p>
        </w:tc>
        <w:tc>
          <w:tcPr>
            <w:tcW w:w="1701" w:type="dxa"/>
            <w:vAlign w:val="center"/>
          </w:tcPr>
          <w:p w14:paraId="582FCBDB" w14:textId="77777777" w:rsidR="00454A29" w:rsidRDefault="00454A29">
            <w:pPr>
              <w:pStyle w:val="ConsPlusNormal"/>
            </w:pPr>
          </w:p>
        </w:tc>
        <w:tc>
          <w:tcPr>
            <w:tcW w:w="1814" w:type="dxa"/>
            <w:vAlign w:val="center"/>
          </w:tcPr>
          <w:p w14:paraId="3CAC68E6" w14:textId="77777777" w:rsidR="00454A29" w:rsidRDefault="00454A29">
            <w:pPr>
              <w:pStyle w:val="ConsPlusNormal"/>
            </w:pPr>
          </w:p>
        </w:tc>
      </w:tr>
      <w:tr w:rsidR="00454A29" w14:paraId="371D4D40" w14:textId="77777777">
        <w:tc>
          <w:tcPr>
            <w:tcW w:w="567" w:type="dxa"/>
            <w:vMerge/>
          </w:tcPr>
          <w:p w14:paraId="065B1F26" w14:textId="77777777" w:rsidR="00454A29" w:rsidRDefault="00454A29"/>
        </w:tc>
        <w:tc>
          <w:tcPr>
            <w:tcW w:w="3345" w:type="dxa"/>
            <w:vMerge/>
          </w:tcPr>
          <w:p w14:paraId="70C6BB89" w14:textId="77777777" w:rsidR="00454A29" w:rsidRDefault="00454A29"/>
        </w:tc>
        <w:tc>
          <w:tcPr>
            <w:tcW w:w="1701" w:type="dxa"/>
            <w:vAlign w:val="center"/>
          </w:tcPr>
          <w:p w14:paraId="13156298" w14:textId="77777777" w:rsidR="00454A29" w:rsidRDefault="00454A29">
            <w:pPr>
              <w:pStyle w:val="ConsPlusNormal"/>
              <w:jc w:val="center"/>
            </w:pPr>
            <w:r>
              <w:t>2021</w:t>
            </w:r>
          </w:p>
        </w:tc>
        <w:tc>
          <w:tcPr>
            <w:tcW w:w="1417" w:type="dxa"/>
            <w:vMerge/>
          </w:tcPr>
          <w:p w14:paraId="36742362" w14:textId="77777777" w:rsidR="00454A29" w:rsidRDefault="00454A29"/>
        </w:tc>
        <w:tc>
          <w:tcPr>
            <w:tcW w:w="2204" w:type="dxa"/>
            <w:vMerge/>
          </w:tcPr>
          <w:p w14:paraId="207E28FE" w14:textId="77777777" w:rsidR="00454A29" w:rsidRDefault="00454A29"/>
        </w:tc>
        <w:tc>
          <w:tcPr>
            <w:tcW w:w="1417" w:type="dxa"/>
            <w:vMerge/>
          </w:tcPr>
          <w:p w14:paraId="22F74934" w14:textId="77777777" w:rsidR="00454A29" w:rsidRDefault="00454A29"/>
        </w:tc>
        <w:tc>
          <w:tcPr>
            <w:tcW w:w="2324" w:type="dxa"/>
            <w:vMerge/>
          </w:tcPr>
          <w:p w14:paraId="03C01AD3" w14:textId="77777777" w:rsidR="00454A29" w:rsidRDefault="00454A29"/>
        </w:tc>
        <w:tc>
          <w:tcPr>
            <w:tcW w:w="1701" w:type="dxa"/>
            <w:vAlign w:val="center"/>
          </w:tcPr>
          <w:p w14:paraId="7BD1B657" w14:textId="77777777" w:rsidR="00454A29" w:rsidRDefault="00454A29">
            <w:pPr>
              <w:pStyle w:val="ConsPlusNormal"/>
              <w:jc w:val="center"/>
            </w:pPr>
            <w:r>
              <w:t>-</w:t>
            </w:r>
          </w:p>
        </w:tc>
        <w:tc>
          <w:tcPr>
            <w:tcW w:w="1814" w:type="dxa"/>
            <w:vAlign w:val="center"/>
          </w:tcPr>
          <w:p w14:paraId="374D0F75" w14:textId="77777777" w:rsidR="00454A29" w:rsidRDefault="00454A29">
            <w:pPr>
              <w:pStyle w:val="ConsPlusNormal"/>
            </w:pPr>
          </w:p>
        </w:tc>
        <w:tc>
          <w:tcPr>
            <w:tcW w:w="1701" w:type="dxa"/>
            <w:vAlign w:val="center"/>
          </w:tcPr>
          <w:p w14:paraId="2256CC0E" w14:textId="77777777" w:rsidR="00454A29" w:rsidRDefault="00454A29">
            <w:pPr>
              <w:pStyle w:val="ConsPlusNormal"/>
            </w:pPr>
          </w:p>
        </w:tc>
        <w:tc>
          <w:tcPr>
            <w:tcW w:w="1701" w:type="dxa"/>
            <w:vAlign w:val="center"/>
          </w:tcPr>
          <w:p w14:paraId="76DEF2AD" w14:textId="77777777" w:rsidR="00454A29" w:rsidRDefault="00454A29">
            <w:pPr>
              <w:pStyle w:val="ConsPlusNormal"/>
            </w:pPr>
          </w:p>
        </w:tc>
        <w:tc>
          <w:tcPr>
            <w:tcW w:w="1814" w:type="dxa"/>
            <w:vAlign w:val="center"/>
          </w:tcPr>
          <w:p w14:paraId="6210BC86" w14:textId="77777777" w:rsidR="00454A29" w:rsidRDefault="00454A29">
            <w:pPr>
              <w:pStyle w:val="ConsPlusNormal"/>
            </w:pPr>
          </w:p>
        </w:tc>
      </w:tr>
      <w:tr w:rsidR="00454A29" w14:paraId="29B10DC2" w14:textId="77777777">
        <w:tc>
          <w:tcPr>
            <w:tcW w:w="567" w:type="dxa"/>
            <w:vMerge/>
          </w:tcPr>
          <w:p w14:paraId="7A2971A7" w14:textId="77777777" w:rsidR="00454A29" w:rsidRDefault="00454A29"/>
        </w:tc>
        <w:tc>
          <w:tcPr>
            <w:tcW w:w="3345" w:type="dxa"/>
            <w:vMerge/>
          </w:tcPr>
          <w:p w14:paraId="22FA18F8" w14:textId="77777777" w:rsidR="00454A29" w:rsidRDefault="00454A29"/>
        </w:tc>
        <w:tc>
          <w:tcPr>
            <w:tcW w:w="1701" w:type="dxa"/>
            <w:vAlign w:val="center"/>
          </w:tcPr>
          <w:p w14:paraId="6F9C9AF6" w14:textId="77777777" w:rsidR="00454A29" w:rsidRDefault="00454A29">
            <w:pPr>
              <w:pStyle w:val="ConsPlusNormal"/>
              <w:jc w:val="center"/>
            </w:pPr>
            <w:r>
              <w:t>2022</w:t>
            </w:r>
          </w:p>
        </w:tc>
        <w:tc>
          <w:tcPr>
            <w:tcW w:w="1417" w:type="dxa"/>
            <w:vMerge/>
          </w:tcPr>
          <w:p w14:paraId="65F1CA66" w14:textId="77777777" w:rsidR="00454A29" w:rsidRDefault="00454A29"/>
        </w:tc>
        <w:tc>
          <w:tcPr>
            <w:tcW w:w="2204" w:type="dxa"/>
            <w:vMerge/>
          </w:tcPr>
          <w:p w14:paraId="07EE8ECA" w14:textId="77777777" w:rsidR="00454A29" w:rsidRDefault="00454A29"/>
        </w:tc>
        <w:tc>
          <w:tcPr>
            <w:tcW w:w="1417" w:type="dxa"/>
            <w:vMerge/>
          </w:tcPr>
          <w:p w14:paraId="65E885CA" w14:textId="77777777" w:rsidR="00454A29" w:rsidRDefault="00454A29"/>
        </w:tc>
        <w:tc>
          <w:tcPr>
            <w:tcW w:w="2324" w:type="dxa"/>
            <w:vMerge/>
          </w:tcPr>
          <w:p w14:paraId="24618F3F" w14:textId="77777777" w:rsidR="00454A29" w:rsidRDefault="00454A29"/>
        </w:tc>
        <w:tc>
          <w:tcPr>
            <w:tcW w:w="1701" w:type="dxa"/>
            <w:vAlign w:val="center"/>
          </w:tcPr>
          <w:p w14:paraId="4DC116D6" w14:textId="77777777" w:rsidR="00454A29" w:rsidRDefault="00454A29">
            <w:pPr>
              <w:pStyle w:val="ConsPlusNormal"/>
            </w:pPr>
          </w:p>
        </w:tc>
        <w:tc>
          <w:tcPr>
            <w:tcW w:w="1814" w:type="dxa"/>
            <w:vAlign w:val="center"/>
          </w:tcPr>
          <w:p w14:paraId="0395FD5E" w14:textId="77777777" w:rsidR="00454A29" w:rsidRDefault="00454A29">
            <w:pPr>
              <w:pStyle w:val="ConsPlusNormal"/>
            </w:pPr>
          </w:p>
        </w:tc>
        <w:tc>
          <w:tcPr>
            <w:tcW w:w="1701" w:type="dxa"/>
            <w:vAlign w:val="center"/>
          </w:tcPr>
          <w:p w14:paraId="2C25A8A9" w14:textId="77777777" w:rsidR="00454A29" w:rsidRDefault="00454A29">
            <w:pPr>
              <w:pStyle w:val="ConsPlusNormal"/>
            </w:pPr>
          </w:p>
        </w:tc>
        <w:tc>
          <w:tcPr>
            <w:tcW w:w="1701" w:type="dxa"/>
            <w:vAlign w:val="center"/>
          </w:tcPr>
          <w:p w14:paraId="3BC426FF" w14:textId="77777777" w:rsidR="00454A29" w:rsidRDefault="00454A29">
            <w:pPr>
              <w:pStyle w:val="ConsPlusNormal"/>
            </w:pPr>
          </w:p>
        </w:tc>
        <w:tc>
          <w:tcPr>
            <w:tcW w:w="1814" w:type="dxa"/>
            <w:vAlign w:val="center"/>
          </w:tcPr>
          <w:p w14:paraId="6F18E90A" w14:textId="77777777" w:rsidR="00454A29" w:rsidRDefault="00454A29">
            <w:pPr>
              <w:pStyle w:val="ConsPlusNormal"/>
            </w:pPr>
          </w:p>
        </w:tc>
      </w:tr>
      <w:tr w:rsidR="00454A29" w14:paraId="521B480D" w14:textId="77777777">
        <w:tc>
          <w:tcPr>
            <w:tcW w:w="567" w:type="dxa"/>
            <w:vMerge/>
          </w:tcPr>
          <w:p w14:paraId="08699F53" w14:textId="77777777" w:rsidR="00454A29" w:rsidRDefault="00454A29"/>
        </w:tc>
        <w:tc>
          <w:tcPr>
            <w:tcW w:w="3345" w:type="dxa"/>
            <w:vMerge/>
          </w:tcPr>
          <w:p w14:paraId="5711F071" w14:textId="77777777" w:rsidR="00454A29" w:rsidRDefault="00454A29"/>
        </w:tc>
        <w:tc>
          <w:tcPr>
            <w:tcW w:w="1701" w:type="dxa"/>
            <w:vAlign w:val="center"/>
          </w:tcPr>
          <w:p w14:paraId="66420F37" w14:textId="77777777" w:rsidR="00454A29" w:rsidRDefault="00454A29">
            <w:pPr>
              <w:pStyle w:val="ConsPlusNormal"/>
              <w:jc w:val="center"/>
            </w:pPr>
            <w:r>
              <w:t>2023</w:t>
            </w:r>
          </w:p>
        </w:tc>
        <w:tc>
          <w:tcPr>
            <w:tcW w:w="1417" w:type="dxa"/>
            <w:vMerge/>
          </w:tcPr>
          <w:p w14:paraId="0F4EADF7" w14:textId="77777777" w:rsidR="00454A29" w:rsidRDefault="00454A29"/>
        </w:tc>
        <w:tc>
          <w:tcPr>
            <w:tcW w:w="2204" w:type="dxa"/>
            <w:vMerge/>
          </w:tcPr>
          <w:p w14:paraId="58748F4E" w14:textId="77777777" w:rsidR="00454A29" w:rsidRDefault="00454A29"/>
        </w:tc>
        <w:tc>
          <w:tcPr>
            <w:tcW w:w="1417" w:type="dxa"/>
            <w:vMerge/>
          </w:tcPr>
          <w:p w14:paraId="0AAA947B" w14:textId="77777777" w:rsidR="00454A29" w:rsidRDefault="00454A29"/>
        </w:tc>
        <w:tc>
          <w:tcPr>
            <w:tcW w:w="2324" w:type="dxa"/>
            <w:vMerge/>
          </w:tcPr>
          <w:p w14:paraId="4D0EF0CC" w14:textId="77777777" w:rsidR="00454A29" w:rsidRDefault="00454A29"/>
        </w:tc>
        <w:tc>
          <w:tcPr>
            <w:tcW w:w="1701" w:type="dxa"/>
            <w:vAlign w:val="center"/>
          </w:tcPr>
          <w:p w14:paraId="5138B234" w14:textId="77777777" w:rsidR="00454A29" w:rsidRDefault="00454A29">
            <w:pPr>
              <w:pStyle w:val="ConsPlusNormal"/>
              <w:jc w:val="center"/>
            </w:pPr>
            <w:r>
              <w:t>2 976,00</w:t>
            </w:r>
          </w:p>
        </w:tc>
        <w:tc>
          <w:tcPr>
            <w:tcW w:w="1814" w:type="dxa"/>
            <w:vAlign w:val="center"/>
          </w:tcPr>
          <w:p w14:paraId="0719448B" w14:textId="77777777" w:rsidR="00454A29" w:rsidRDefault="00454A29">
            <w:pPr>
              <w:pStyle w:val="ConsPlusNormal"/>
              <w:jc w:val="center"/>
            </w:pPr>
            <w:r>
              <w:t>2 976,00</w:t>
            </w:r>
          </w:p>
        </w:tc>
        <w:tc>
          <w:tcPr>
            <w:tcW w:w="1701" w:type="dxa"/>
            <w:vAlign w:val="center"/>
          </w:tcPr>
          <w:p w14:paraId="6F673F31" w14:textId="77777777" w:rsidR="00454A29" w:rsidRDefault="00454A29">
            <w:pPr>
              <w:pStyle w:val="ConsPlusNormal"/>
            </w:pPr>
          </w:p>
        </w:tc>
        <w:tc>
          <w:tcPr>
            <w:tcW w:w="1701" w:type="dxa"/>
            <w:vAlign w:val="center"/>
          </w:tcPr>
          <w:p w14:paraId="66F02B91" w14:textId="77777777" w:rsidR="00454A29" w:rsidRDefault="00454A29">
            <w:pPr>
              <w:pStyle w:val="ConsPlusNormal"/>
            </w:pPr>
          </w:p>
        </w:tc>
        <w:tc>
          <w:tcPr>
            <w:tcW w:w="1814" w:type="dxa"/>
            <w:vAlign w:val="center"/>
          </w:tcPr>
          <w:p w14:paraId="26C441C1" w14:textId="77777777" w:rsidR="00454A29" w:rsidRDefault="00454A29">
            <w:pPr>
              <w:pStyle w:val="ConsPlusNormal"/>
            </w:pPr>
          </w:p>
        </w:tc>
      </w:tr>
      <w:tr w:rsidR="00454A29" w14:paraId="33A64F34" w14:textId="77777777">
        <w:tc>
          <w:tcPr>
            <w:tcW w:w="567" w:type="dxa"/>
            <w:vMerge/>
          </w:tcPr>
          <w:p w14:paraId="7BA80ABD" w14:textId="77777777" w:rsidR="00454A29" w:rsidRDefault="00454A29"/>
        </w:tc>
        <w:tc>
          <w:tcPr>
            <w:tcW w:w="3345" w:type="dxa"/>
            <w:vMerge/>
          </w:tcPr>
          <w:p w14:paraId="78B0E3B3" w14:textId="77777777" w:rsidR="00454A29" w:rsidRDefault="00454A29"/>
        </w:tc>
        <w:tc>
          <w:tcPr>
            <w:tcW w:w="1701" w:type="dxa"/>
            <w:vAlign w:val="center"/>
          </w:tcPr>
          <w:p w14:paraId="351C51B9" w14:textId="77777777" w:rsidR="00454A29" w:rsidRDefault="00454A29">
            <w:pPr>
              <w:pStyle w:val="ConsPlusNormal"/>
              <w:jc w:val="center"/>
            </w:pPr>
            <w:r>
              <w:t>2024</w:t>
            </w:r>
          </w:p>
        </w:tc>
        <w:tc>
          <w:tcPr>
            <w:tcW w:w="1417" w:type="dxa"/>
            <w:vMerge/>
          </w:tcPr>
          <w:p w14:paraId="1A77FE40" w14:textId="77777777" w:rsidR="00454A29" w:rsidRDefault="00454A29"/>
        </w:tc>
        <w:tc>
          <w:tcPr>
            <w:tcW w:w="2204" w:type="dxa"/>
            <w:vMerge/>
          </w:tcPr>
          <w:p w14:paraId="0861A124" w14:textId="77777777" w:rsidR="00454A29" w:rsidRDefault="00454A29"/>
        </w:tc>
        <w:tc>
          <w:tcPr>
            <w:tcW w:w="1417" w:type="dxa"/>
            <w:vMerge/>
          </w:tcPr>
          <w:p w14:paraId="246F84EC" w14:textId="77777777" w:rsidR="00454A29" w:rsidRDefault="00454A29"/>
        </w:tc>
        <w:tc>
          <w:tcPr>
            <w:tcW w:w="2324" w:type="dxa"/>
            <w:vMerge/>
          </w:tcPr>
          <w:p w14:paraId="654B16F7" w14:textId="77777777" w:rsidR="00454A29" w:rsidRDefault="00454A29"/>
        </w:tc>
        <w:tc>
          <w:tcPr>
            <w:tcW w:w="1701" w:type="dxa"/>
            <w:vAlign w:val="center"/>
          </w:tcPr>
          <w:p w14:paraId="0CBCFBA4" w14:textId="77777777" w:rsidR="00454A29" w:rsidRDefault="00454A29">
            <w:pPr>
              <w:pStyle w:val="ConsPlusNormal"/>
              <w:jc w:val="center"/>
            </w:pPr>
            <w:r>
              <w:t>224 048,10</w:t>
            </w:r>
          </w:p>
        </w:tc>
        <w:tc>
          <w:tcPr>
            <w:tcW w:w="1814" w:type="dxa"/>
            <w:vAlign w:val="center"/>
          </w:tcPr>
          <w:p w14:paraId="490E8A5C" w14:textId="77777777" w:rsidR="00454A29" w:rsidRDefault="00454A29">
            <w:pPr>
              <w:pStyle w:val="ConsPlusNormal"/>
              <w:jc w:val="center"/>
            </w:pPr>
            <w:r>
              <w:t>224 048,10</w:t>
            </w:r>
          </w:p>
        </w:tc>
        <w:tc>
          <w:tcPr>
            <w:tcW w:w="1701" w:type="dxa"/>
            <w:vAlign w:val="center"/>
          </w:tcPr>
          <w:p w14:paraId="4DDEC5B6" w14:textId="77777777" w:rsidR="00454A29" w:rsidRDefault="00454A29">
            <w:pPr>
              <w:pStyle w:val="ConsPlusNormal"/>
            </w:pPr>
          </w:p>
        </w:tc>
        <w:tc>
          <w:tcPr>
            <w:tcW w:w="1701" w:type="dxa"/>
            <w:vAlign w:val="center"/>
          </w:tcPr>
          <w:p w14:paraId="7653AC3C" w14:textId="77777777" w:rsidR="00454A29" w:rsidRDefault="00454A29">
            <w:pPr>
              <w:pStyle w:val="ConsPlusNormal"/>
            </w:pPr>
          </w:p>
        </w:tc>
        <w:tc>
          <w:tcPr>
            <w:tcW w:w="1814" w:type="dxa"/>
            <w:vAlign w:val="center"/>
          </w:tcPr>
          <w:p w14:paraId="030360D4" w14:textId="77777777" w:rsidR="00454A29" w:rsidRDefault="00454A29">
            <w:pPr>
              <w:pStyle w:val="ConsPlusNormal"/>
            </w:pPr>
          </w:p>
        </w:tc>
      </w:tr>
      <w:tr w:rsidR="00454A29" w14:paraId="1D13E040" w14:textId="77777777">
        <w:tc>
          <w:tcPr>
            <w:tcW w:w="567" w:type="dxa"/>
            <w:vMerge/>
          </w:tcPr>
          <w:p w14:paraId="0E393B7D" w14:textId="77777777" w:rsidR="00454A29" w:rsidRDefault="00454A29"/>
        </w:tc>
        <w:tc>
          <w:tcPr>
            <w:tcW w:w="3345" w:type="dxa"/>
            <w:vMerge/>
          </w:tcPr>
          <w:p w14:paraId="44ABDA5D" w14:textId="77777777" w:rsidR="00454A29" w:rsidRDefault="00454A29"/>
        </w:tc>
        <w:tc>
          <w:tcPr>
            <w:tcW w:w="1701" w:type="dxa"/>
            <w:vAlign w:val="center"/>
          </w:tcPr>
          <w:p w14:paraId="0FE50538" w14:textId="77777777" w:rsidR="00454A29" w:rsidRDefault="00454A29">
            <w:pPr>
              <w:pStyle w:val="ConsPlusNormal"/>
              <w:jc w:val="center"/>
            </w:pPr>
            <w:r>
              <w:t>2025</w:t>
            </w:r>
          </w:p>
        </w:tc>
        <w:tc>
          <w:tcPr>
            <w:tcW w:w="1417" w:type="dxa"/>
            <w:vMerge/>
          </w:tcPr>
          <w:p w14:paraId="6005EA3E" w14:textId="77777777" w:rsidR="00454A29" w:rsidRDefault="00454A29"/>
        </w:tc>
        <w:tc>
          <w:tcPr>
            <w:tcW w:w="2204" w:type="dxa"/>
            <w:vMerge/>
          </w:tcPr>
          <w:p w14:paraId="5DF82F81" w14:textId="77777777" w:rsidR="00454A29" w:rsidRDefault="00454A29"/>
        </w:tc>
        <w:tc>
          <w:tcPr>
            <w:tcW w:w="1417" w:type="dxa"/>
            <w:vMerge/>
          </w:tcPr>
          <w:p w14:paraId="15433FAF" w14:textId="77777777" w:rsidR="00454A29" w:rsidRDefault="00454A29"/>
        </w:tc>
        <w:tc>
          <w:tcPr>
            <w:tcW w:w="2324" w:type="dxa"/>
            <w:vMerge/>
          </w:tcPr>
          <w:p w14:paraId="4FEECB8E" w14:textId="77777777" w:rsidR="00454A29" w:rsidRDefault="00454A29"/>
        </w:tc>
        <w:tc>
          <w:tcPr>
            <w:tcW w:w="1701" w:type="dxa"/>
            <w:vAlign w:val="center"/>
          </w:tcPr>
          <w:p w14:paraId="1703DC28" w14:textId="77777777" w:rsidR="00454A29" w:rsidRDefault="00454A29">
            <w:pPr>
              <w:pStyle w:val="ConsPlusNormal"/>
              <w:jc w:val="center"/>
            </w:pPr>
            <w:r>
              <w:t>423 648,50</w:t>
            </w:r>
          </w:p>
        </w:tc>
        <w:tc>
          <w:tcPr>
            <w:tcW w:w="1814" w:type="dxa"/>
            <w:vAlign w:val="center"/>
          </w:tcPr>
          <w:p w14:paraId="0A21AEA5" w14:textId="77777777" w:rsidR="00454A29" w:rsidRDefault="00454A29">
            <w:pPr>
              <w:pStyle w:val="ConsPlusNormal"/>
              <w:jc w:val="center"/>
            </w:pPr>
            <w:r>
              <w:t>423 648,50</w:t>
            </w:r>
          </w:p>
        </w:tc>
        <w:tc>
          <w:tcPr>
            <w:tcW w:w="1701" w:type="dxa"/>
            <w:vAlign w:val="center"/>
          </w:tcPr>
          <w:p w14:paraId="4935A7B0" w14:textId="77777777" w:rsidR="00454A29" w:rsidRDefault="00454A29">
            <w:pPr>
              <w:pStyle w:val="ConsPlusNormal"/>
            </w:pPr>
          </w:p>
        </w:tc>
        <w:tc>
          <w:tcPr>
            <w:tcW w:w="1701" w:type="dxa"/>
            <w:vAlign w:val="center"/>
          </w:tcPr>
          <w:p w14:paraId="2A6EEA2C" w14:textId="77777777" w:rsidR="00454A29" w:rsidRDefault="00454A29">
            <w:pPr>
              <w:pStyle w:val="ConsPlusNormal"/>
            </w:pPr>
          </w:p>
        </w:tc>
        <w:tc>
          <w:tcPr>
            <w:tcW w:w="1814" w:type="dxa"/>
            <w:vAlign w:val="center"/>
          </w:tcPr>
          <w:p w14:paraId="7C1A6EA6" w14:textId="77777777" w:rsidR="00454A29" w:rsidRDefault="00454A29">
            <w:pPr>
              <w:pStyle w:val="ConsPlusNormal"/>
            </w:pPr>
          </w:p>
        </w:tc>
      </w:tr>
      <w:tr w:rsidR="00454A29" w14:paraId="3F568695" w14:textId="77777777">
        <w:tc>
          <w:tcPr>
            <w:tcW w:w="567" w:type="dxa"/>
            <w:vMerge/>
          </w:tcPr>
          <w:p w14:paraId="1E8EBA2A" w14:textId="77777777" w:rsidR="00454A29" w:rsidRDefault="00454A29"/>
        </w:tc>
        <w:tc>
          <w:tcPr>
            <w:tcW w:w="3345" w:type="dxa"/>
            <w:vMerge/>
          </w:tcPr>
          <w:p w14:paraId="64889899" w14:textId="77777777" w:rsidR="00454A29" w:rsidRDefault="00454A29"/>
        </w:tc>
        <w:tc>
          <w:tcPr>
            <w:tcW w:w="1701" w:type="dxa"/>
            <w:vAlign w:val="center"/>
          </w:tcPr>
          <w:p w14:paraId="67532063" w14:textId="77777777" w:rsidR="00454A29" w:rsidRDefault="00454A29">
            <w:pPr>
              <w:pStyle w:val="ConsPlusNormal"/>
              <w:jc w:val="center"/>
            </w:pPr>
            <w:r>
              <w:t>2026</w:t>
            </w:r>
          </w:p>
        </w:tc>
        <w:tc>
          <w:tcPr>
            <w:tcW w:w="1417" w:type="dxa"/>
            <w:vMerge/>
          </w:tcPr>
          <w:p w14:paraId="7B0E6B00" w14:textId="77777777" w:rsidR="00454A29" w:rsidRDefault="00454A29"/>
        </w:tc>
        <w:tc>
          <w:tcPr>
            <w:tcW w:w="2204" w:type="dxa"/>
            <w:vMerge/>
          </w:tcPr>
          <w:p w14:paraId="732BD48F" w14:textId="77777777" w:rsidR="00454A29" w:rsidRDefault="00454A29"/>
        </w:tc>
        <w:tc>
          <w:tcPr>
            <w:tcW w:w="1417" w:type="dxa"/>
            <w:vMerge/>
          </w:tcPr>
          <w:p w14:paraId="73867200" w14:textId="77777777" w:rsidR="00454A29" w:rsidRDefault="00454A29"/>
        </w:tc>
        <w:tc>
          <w:tcPr>
            <w:tcW w:w="2324" w:type="dxa"/>
            <w:vMerge/>
          </w:tcPr>
          <w:p w14:paraId="07D0542D" w14:textId="77777777" w:rsidR="00454A29" w:rsidRDefault="00454A29"/>
        </w:tc>
        <w:tc>
          <w:tcPr>
            <w:tcW w:w="1701" w:type="dxa"/>
            <w:vAlign w:val="center"/>
          </w:tcPr>
          <w:p w14:paraId="5E3A04A8" w14:textId="77777777" w:rsidR="00454A29" w:rsidRDefault="00454A29">
            <w:pPr>
              <w:pStyle w:val="ConsPlusNormal"/>
              <w:jc w:val="center"/>
            </w:pPr>
            <w:r>
              <w:t>-</w:t>
            </w:r>
          </w:p>
        </w:tc>
        <w:tc>
          <w:tcPr>
            <w:tcW w:w="1814" w:type="dxa"/>
            <w:vAlign w:val="center"/>
          </w:tcPr>
          <w:p w14:paraId="72D197B7" w14:textId="77777777" w:rsidR="00454A29" w:rsidRDefault="00454A29">
            <w:pPr>
              <w:pStyle w:val="ConsPlusNormal"/>
            </w:pPr>
          </w:p>
        </w:tc>
        <w:tc>
          <w:tcPr>
            <w:tcW w:w="1701" w:type="dxa"/>
            <w:vAlign w:val="center"/>
          </w:tcPr>
          <w:p w14:paraId="6DB63CE4" w14:textId="77777777" w:rsidR="00454A29" w:rsidRDefault="00454A29">
            <w:pPr>
              <w:pStyle w:val="ConsPlusNormal"/>
            </w:pPr>
          </w:p>
        </w:tc>
        <w:tc>
          <w:tcPr>
            <w:tcW w:w="1701" w:type="dxa"/>
            <w:vAlign w:val="center"/>
          </w:tcPr>
          <w:p w14:paraId="034AE8F3" w14:textId="77777777" w:rsidR="00454A29" w:rsidRDefault="00454A29">
            <w:pPr>
              <w:pStyle w:val="ConsPlusNormal"/>
            </w:pPr>
          </w:p>
        </w:tc>
        <w:tc>
          <w:tcPr>
            <w:tcW w:w="1814" w:type="dxa"/>
            <w:vAlign w:val="center"/>
          </w:tcPr>
          <w:p w14:paraId="6BD757F7" w14:textId="77777777" w:rsidR="00454A29" w:rsidRDefault="00454A29">
            <w:pPr>
              <w:pStyle w:val="ConsPlusNormal"/>
            </w:pPr>
          </w:p>
        </w:tc>
      </w:tr>
      <w:tr w:rsidR="00454A29" w14:paraId="3A41A84C" w14:textId="77777777">
        <w:tc>
          <w:tcPr>
            <w:tcW w:w="567" w:type="dxa"/>
            <w:vMerge w:val="restart"/>
            <w:vAlign w:val="center"/>
          </w:tcPr>
          <w:p w14:paraId="7575E99A" w14:textId="77777777" w:rsidR="00454A29" w:rsidRDefault="00454A29">
            <w:pPr>
              <w:pStyle w:val="ConsPlusNormal"/>
              <w:jc w:val="center"/>
            </w:pPr>
            <w:r>
              <w:t>102</w:t>
            </w:r>
          </w:p>
        </w:tc>
        <w:tc>
          <w:tcPr>
            <w:tcW w:w="3345" w:type="dxa"/>
            <w:vMerge w:val="restart"/>
            <w:vAlign w:val="center"/>
          </w:tcPr>
          <w:p w14:paraId="478FB33A" w14:textId="77777777" w:rsidR="00454A29" w:rsidRDefault="00454A29">
            <w:pPr>
              <w:pStyle w:val="ConsPlusNormal"/>
              <w:jc w:val="center"/>
            </w:pPr>
            <w:r>
              <w:t>Строительство банно-прачечного комплекса общежития Якутского финансово-экономического колледжа им. И.И. Фадеева (208)</w:t>
            </w:r>
          </w:p>
        </w:tc>
        <w:tc>
          <w:tcPr>
            <w:tcW w:w="1701" w:type="dxa"/>
            <w:vAlign w:val="center"/>
          </w:tcPr>
          <w:p w14:paraId="6EDBA2B1" w14:textId="77777777" w:rsidR="00454A29" w:rsidRDefault="00454A29">
            <w:pPr>
              <w:pStyle w:val="ConsPlusNormal"/>
              <w:jc w:val="center"/>
            </w:pPr>
            <w:r>
              <w:t>Всего:</w:t>
            </w:r>
          </w:p>
        </w:tc>
        <w:tc>
          <w:tcPr>
            <w:tcW w:w="1417" w:type="dxa"/>
            <w:vMerge w:val="restart"/>
            <w:vAlign w:val="center"/>
          </w:tcPr>
          <w:p w14:paraId="7AFD4C58" w14:textId="77777777" w:rsidR="00454A29" w:rsidRDefault="00454A29">
            <w:pPr>
              <w:pStyle w:val="ConsPlusNormal"/>
              <w:jc w:val="center"/>
            </w:pPr>
            <w:r>
              <w:t>13 480,00</w:t>
            </w:r>
          </w:p>
        </w:tc>
        <w:tc>
          <w:tcPr>
            <w:tcW w:w="2204" w:type="dxa"/>
            <w:vMerge w:val="restart"/>
            <w:vAlign w:val="center"/>
          </w:tcPr>
          <w:p w14:paraId="6266C979" w14:textId="77777777" w:rsidR="00454A29" w:rsidRDefault="00454A29">
            <w:pPr>
              <w:pStyle w:val="ConsPlusNormal"/>
            </w:pPr>
          </w:p>
        </w:tc>
        <w:tc>
          <w:tcPr>
            <w:tcW w:w="1417" w:type="dxa"/>
            <w:vMerge w:val="restart"/>
            <w:vAlign w:val="center"/>
          </w:tcPr>
          <w:p w14:paraId="1C4C0A64" w14:textId="77777777" w:rsidR="00454A29" w:rsidRDefault="00454A29">
            <w:pPr>
              <w:pStyle w:val="ConsPlusNormal"/>
              <w:jc w:val="center"/>
            </w:pPr>
            <w:r>
              <w:t>208</w:t>
            </w:r>
          </w:p>
        </w:tc>
        <w:tc>
          <w:tcPr>
            <w:tcW w:w="2324" w:type="dxa"/>
            <w:vMerge w:val="restart"/>
            <w:vAlign w:val="center"/>
          </w:tcPr>
          <w:p w14:paraId="2C37533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180BB0D" w14:textId="77777777" w:rsidR="00454A29" w:rsidRDefault="00454A29">
            <w:pPr>
              <w:pStyle w:val="ConsPlusNormal"/>
              <w:jc w:val="center"/>
            </w:pPr>
            <w:r>
              <w:t>6 686,08</w:t>
            </w:r>
          </w:p>
        </w:tc>
        <w:tc>
          <w:tcPr>
            <w:tcW w:w="1814" w:type="dxa"/>
            <w:vAlign w:val="center"/>
          </w:tcPr>
          <w:p w14:paraId="2294B98A" w14:textId="77777777" w:rsidR="00454A29" w:rsidRDefault="00454A29">
            <w:pPr>
              <w:pStyle w:val="ConsPlusNormal"/>
              <w:jc w:val="center"/>
            </w:pPr>
            <w:r>
              <w:t>6 686,08</w:t>
            </w:r>
          </w:p>
        </w:tc>
        <w:tc>
          <w:tcPr>
            <w:tcW w:w="1701" w:type="dxa"/>
            <w:vAlign w:val="center"/>
          </w:tcPr>
          <w:p w14:paraId="3E9EB87A" w14:textId="77777777" w:rsidR="00454A29" w:rsidRDefault="00454A29">
            <w:pPr>
              <w:pStyle w:val="ConsPlusNormal"/>
              <w:jc w:val="center"/>
            </w:pPr>
            <w:r>
              <w:t>-</w:t>
            </w:r>
          </w:p>
        </w:tc>
        <w:tc>
          <w:tcPr>
            <w:tcW w:w="1701" w:type="dxa"/>
            <w:vAlign w:val="center"/>
          </w:tcPr>
          <w:p w14:paraId="6A17F5E3" w14:textId="77777777" w:rsidR="00454A29" w:rsidRDefault="00454A29">
            <w:pPr>
              <w:pStyle w:val="ConsPlusNormal"/>
              <w:jc w:val="center"/>
            </w:pPr>
            <w:r>
              <w:t>-</w:t>
            </w:r>
          </w:p>
        </w:tc>
        <w:tc>
          <w:tcPr>
            <w:tcW w:w="1814" w:type="dxa"/>
            <w:vAlign w:val="center"/>
          </w:tcPr>
          <w:p w14:paraId="3440EFF0" w14:textId="77777777" w:rsidR="00454A29" w:rsidRDefault="00454A29">
            <w:pPr>
              <w:pStyle w:val="ConsPlusNormal"/>
              <w:jc w:val="center"/>
            </w:pPr>
            <w:r>
              <w:t>-</w:t>
            </w:r>
          </w:p>
        </w:tc>
      </w:tr>
      <w:tr w:rsidR="00454A29" w14:paraId="4B9962E0" w14:textId="77777777">
        <w:tc>
          <w:tcPr>
            <w:tcW w:w="567" w:type="dxa"/>
            <w:vMerge/>
          </w:tcPr>
          <w:p w14:paraId="03E24AD9" w14:textId="77777777" w:rsidR="00454A29" w:rsidRDefault="00454A29"/>
        </w:tc>
        <w:tc>
          <w:tcPr>
            <w:tcW w:w="3345" w:type="dxa"/>
            <w:vMerge/>
          </w:tcPr>
          <w:p w14:paraId="1B5E1524" w14:textId="77777777" w:rsidR="00454A29" w:rsidRDefault="00454A29"/>
        </w:tc>
        <w:tc>
          <w:tcPr>
            <w:tcW w:w="1701" w:type="dxa"/>
            <w:vAlign w:val="center"/>
          </w:tcPr>
          <w:p w14:paraId="035DC34C" w14:textId="77777777" w:rsidR="00454A29" w:rsidRDefault="00454A29">
            <w:pPr>
              <w:pStyle w:val="ConsPlusNormal"/>
              <w:jc w:val="center"/>
            </w:pPr>
            <w:r>
              <w:t>2020</w:t>
            </w:r>
          </w:p>
        </w:tc>
        <w:tc>
          <w:tcPr>
            <w:tcW w:w="1417" w:type="dxa"/>
            <w:vMerge/>
          </w:tcPr>
          <w:p w14:paraId="3F19FD72" w14:textId="77777777" w:rsidR="00454A29" w:rsidRDefault="00454A29"/>
        </w:tc>
        <w:tc>
          <w:tcPr>
            <w:tcW w:w="2204" w:type="dxa"/>
            <w:vMerge/>
          </w:tcPr>
          <w:p w14:paraId="631CD927" w14:textId="77777777" w:rsidR="00454A29" w:rsidRDefault="00454A29"/>
        </w:tc>
        <w:tc>
          <w:tcPr>
            <w:tcW w:w="1417" w:type="dxa"/>
            <w:vMerge/>
          </w:tcPr>
          <w:p w14:paraId="64C385BB" w14:textId="77777777" w:rsidR="00454A29" w:rsidRDefault="00454A29"/>
        </w:tc>
        <w:tc>
          <w:tcPr>
            <w:tcW w:w="2324" w:type="dxa"/>
            <w:vMerge/>
          </w:tcPr>
          <w:p w14:paraId="3BEE4B99" w14:textId="77777777" w:rsidR="00454A29" w:rsidRDefault="00454A29"/>
        </w:tc>
        <w:tc>
          <w:tcPr>
            <w:tcW w:w="1701" w:type="dxa"/>
            <w:vAlign w:val="center"/>
          </w:tcPr>
          <w:p w14:paraId="3FD6FF4E" w14:textId="77777777" w:rsidR="00454A29" w:rsidRDefault="00454A29">
            <w:pPr>
              <w:pStyle w:val="ConsPlusNormal"/>
              <w:jc w:val="center"/>
            </w:pPr>
            <w:r>
              <w:t>-</w:t>
            </w:r>
          </w:p>
        </w:tc>
        <w:tc>
          <w:tcPr>
            <w:tcW w:w="1814" w:type="dxa"/>
            <w:vAlign w:val="center"/>
          </w:tcPr>
          <w:p w14:paraId="360D1B31" w14:textId="77777777" w:rsidR="00454A29" w:rsidRDefault="00454A29">
            <w:pPr>
              <w:pStyle w:val="ConsPlusNormal"/>
            </w:pPr>
          </w:p>
        </w:tc>
        <w:tc>
          <w:tcPr>
            <w:tcW w:w="1701" w:type="dxa"/>
            <w:vAlign w:val="center"/>
          </w:tcPr>
          <w:p w14:paraId="2FD9080F" w14:textId="77777777" w:rsidR="00454A29" w:rsidRDefault="00454A29">
            <w:pPr>
              <w:pStyle w:val="ConsPlusNormal"/>
            </w:pPr>
          </w:p>
        </w:tc>
        <w:tc>
          <w:tcPr>
            <w:tcW w:w="1701" w:type="dxa"/>
            <w:vAlign w:val="center"/>
          </w:tcPr>
          <w:p w14:paraId="3416F873" w14:textId="77777777" w:rsidR="00454A29" w:rsidRDefault="00454A29">
            <w:pPr>
              <w:pStyle w:val="ConsPlusNormal"/>
            </w:pPr>
          </w:p>
        </w:tc>
        <w:tc>
          <w:tcPr>
            <w:tcW w:w="1814" w:type="dxa"/>
            <w:vAlign w:val="center"/>
          </w:tcPr>
          <w:p w14:paraId="704614D0" w14:textId="77777777" w:rsidR="00454A29" w:rsidRDefault="00454A29">
            <w:pPr>
              <w:pStyle w:val="ConsPlusNormal"/>
            </w:pPr>
          </w:p>
        </w:tc>
      </w:tr>
      <w:tr w:rsidR="00454A29" w14:paraId="79530429" w14:textId="77777777">
        <w:tc>
          <w:tcPr>
            <w:tcW w:w="567" w:type="dxa"/>
            <w:vMerge/>
          </w:tcPr>
          <w:p w14:paraId="56731A31" w14:textId="77777777" w:rsidR="00454A29" w:rsidRDefault="00454A29"/>
        </w:tc>
        <w:tc>
          <w:tcPr>
            <w:tcW w:w="3345" w:type="dxa"/>
            <w:vMerge/>
          </w:tcPr>
          <w:p w14:paraId="18C0BC72" w14:textId="77777777" w:rsidR="00454A29" w:rsidRDefault="00454A29"/>
        </w:tc>
        <w:tc>
          <w:tcPr>
            <w:tcW w:w="1701" w:type="dxa"/>
            <w:vAlign w:val="center"/>
          </w:tcPr>
          <w:p w14:paraId="350A1172" w14:textId="77777777" w:rsidR="00454A29" w:rsidRDefault="00454A29">
            <w:pPr>
              <w:pStyle w:val="ConsPlusNormal"/>
              <w:jc w:val="center"/>
            </w:pPr>
            <w:r>
              <w:t>2021</w:t>
            </w:r>
          </w:p>
        </w:tc>
        <w:tc>
          <w:tcPr>
            <w:tcW w:w="1417" w:type="dxa"/>
            <w:vMerge/>
          </w:tcPr>
          <w:p w14:paraId="5E4C0673" w14:textId="77777777" w:rsidR="00454A29" w:rsidRDefault="00454A29"/>
        </w:tc>
        <w:tc>
          <w:tcPr>
            <w:tcW w:w="2204" w:type="dxa"/>
            <w:vMerge/>
          </w:tcPr>
          <w:p w14:paraId="25A040EC" w14:textId="77777777" w:rsidR="00454A29" w:rsidRDefault="00454A29"/>
        </w:tc>
        <w:tc>
          <w:tcPr>
            <w:tcW w:w="1417" w:type="dxa"/>
            <w:vMerge/>
          </w:tcPr>
          <w:p w14:paraId="0FE75ABB" w14:textId="77777777" w:rsidR="00454A29" w:rsidRDefault="00454A29"/>
        </w:tc>
        <w:tc>
          <w:tcPr>
            <w:tcW w:w="2324" w:type="dxa"/>
            <w:vMerge/>
          </w:tcPr>
          <w:p w14:paraId="399065DE" w14:textId="77777777" w:rsidR="00454A29" w:rsidRDefault="00454A29"/>
        </w:tc>
        <w:tc>
          <w:tcPr>
            <w:tcW w:w="1701" w:type="dxa"/>
            <w:vAlign w:val="center"/>
          </w:tcPr>
          <w:p w14:paraId="73A0B662" w14:textId="77777777" w:rsidR="00454A29" w:rsidRDefault="00454A29">
            <w:pPr>
              <w:pStyle w:val="ConsPlusNormal"/>
              <w:jc w:val="center"/>
            </w:pPr>
            <w:r>
              <w:t>-</w:t>
            </w:r>
          </w:p>
        </w:tc>
        <w:tc>
          <w:tcPr>
            <w:tcW w:w="1814" w:type="dxa"/>
            <w:vAlign w:val="center"/>
          </w:tcPr>
          <w:p w14:paraId="7781CB67" w14:textId="77777777" w:rsidR="00454A29" w:rsidRDefault="00454A29">
            <w:pPr>
              <w:pStyle w:val="ConsPlusNormal"/>
            </w:pPr>
          </w:p>
        </w:tc>
        <w:tc>
          <w:tcPr>
            <w:tcW w:w="1701" w:type="dxa"/>
            <w:vAlign w:val="center"/>
          </w:tcPr>
          <w:p w14:paraId="49652DB9" w14:textId="77777777" w:rsidR="00454A29" w:rsidRDefault="00454A29">
            <w:pPr>
              <w:pStyle w:val="ConsPlusNormal"/>
            </w:pPr>
          </w:p>
        </w:tc>
        <w:tc>
          <w:tcPr>
            <w:tcW w:w="1701" w:type="dxa"/>
            <w:vAlign w:val="center"/>
          </w:tcPr>
          <w:p w14:paraId="4997DD0F" w14:textId="77777777" w:rsidR="00454A29" w:rsidRDefault="00454A29">
            <w:pPr>
              <w:pStyle w:val="ConsPlusNormal"/>
            </w:pPr>
          </w:p>
        </w:tc>
        <w:tc>
          <w:tcPr>
            <w:tcW w:w="1814" w:type="dxa"/>
            <w:vAlign w:val="center"/>
          </w:tcPr>
          <w:p w14:paraId="620873E5" w14:textId="77777777" w:rsidR="00454A29" w:rsidRDefault="00454A29">
            <w:pPr>
              <w:pStyle w:val="ConsPlusNormal"/>
            </w:pPr>
          </w:p>
        </w:tc>
      </w:tr>
      <w:tr w:rsidR="00454A29" w14:paraId="39A33E24" w14:textId="77777777">
        <w:tc>
          <w:tcPr>
            <w:tcW w:w="567" w:type="dxa"/>
            <w:vMerge/>
          </w:tcPr>
          <w:p w14:paraId="00D38F49" w14:textId="77777777" w:rsidR="00454A29" w:rsidRDefault="00454A29"/>
        </w:tc>
        <w:tc>
          <w:tcPr>
            <w:tcW w:w="3345" w:type="dxa"/>
            <w:vMerge/>
          </w:tcPr>
          <w:p w14:paraId="4F2C96B2" w14:textId="77777777" w:rsidR="00454A29" w:rsidRDefault="00454A29"/>
        </w:tc>
        <w:tc>
          <w:tcPr>
            <w:tcW w:w="1701" w:type="dxa"/>
            <w:vAlign w:val="center"/>
          </w:tcPr>
          <w:p w14:paraId="7C9E06D3" w14:textId="77777777" w:rsidR="00454A29" w:rsidRDefault="00454A29">
            <w:pPr>
              <w:pStyle w:val="ConsPlusNormal"/>
              <w:jc w:val="center"/>
            </w:pPr>
            <w:r>
              <w:t>2022</w:t>
            </w:r>
          </w:p>
        </w:tc>
        <w:tc>
          <w:tcPr>
            <w:tcW w:w="1417" w:type="dxa"/>
            <w:vMerge/>
          </w:tcPr>
          <w:p w14:paraId="5578C1FD" w14:textId="77777777" w:rsidR="00454A29" w:rsidRDefault="00454A29"/>
        </w:tc>
        <w:tc>
          <w:tcPr>
            <w:tcW w:w="2204" w:type="dxa"/>
            <w:vMerge/>
          </w:tcPr>
          <w:p w14:paraId="14B6F223" w14:textId="77777777" w:rsidR="00454A29" w:rsidRDefault="00454A29"/>
        </w:tc>
        <w:tc>
          <w:tcPr>
            <w:tcW w:w="1417" w:type="dxa"/>
            <w:vMerge/>
          </w:tcPr>
          <w:p w14:paraId="4973D96B" w14:textId="77777777" w:rsidR="00454A29" w:rsidRDefault="00454A29"/>
        </w:tc>
        <w:tc>
          <w:tcPr>
            <w:tcW w:w="2324" w:type="dxa"/>
            <w:vMerge/>
          </w:tcPr>
          <w:p w14:paraId="7C68BA41" w14:textId="77777777" w:rsidR="00454A29" w:rsidRDefault="00454A29"/>
        </w:tc>
        <w:tc>
          <w:tcPr>
            <w:tcW w:w="1701" w:type="dxa"/>
            <w:vAlign w:val="center"/>
          </w:tcPr>
          <w:p w14:paraId="58BE4E64" w14:textId="77777777" w:rsidR="00454A29" w:rsidRDefault="00454A29">
            <w:pPr>
              <w:pStyle w:val="ConsPlusNormal"/>
              <w:jc w:val="center"/>
            </w:pPr>
            <w:r>
              <w:t>-</w:t>
            </w:r>
          </w:p>
        </w:tc>
        <w:tc>
          <w:tcPr>
            <w:tcW w:w="1814" w:type="dxa"/>
            <w:vAlign w:val="center"/>
          </w:tcPr>
          <w:p w14:paraId="17D2390F" w14:textId="77777777" w:rsidR="00454A29" w:rsidRDefault="00454A29">
            <w:pPr>
              <w:pStyle w:val="ConsPlusNormal"/>
            </w:pPr>
          </w:p>
        </w:tc>
        <w:tc>
          <w:tcPr>
            <w:tcW w:w="1701" w:type="dxa"/>
            <w:vAlign w:val="center"/>
          </w:tcPr>
          <w:p w14:paraId="76E3A90C" w14:textId="77777777" w:rsidR="00454A29" w:rsidRDefault="00454A29">
            <w:pPr>
              <w:pStyle w:val="ConsPlusNormal"/>
            </w:pPr>
          </w:p>
        </w:tc>
        <w:tc>
          <w:tcPr>
            <w:tcW w:w="1701" w:type="dxa"/>
            <w:vAlign w:val="center"/>
          </w:tcPr>
          <w:p w14:paraId="16D91ED5" w14:textId="77777777" w:rsidR="00454A29" w:rsidRDefault="00454A29">
            <w:pPr>
              <w:pStyle w:val="ConsPlusNormal"/>
            </w:pPr>
          </w:p>
        </w:tc>
        <w:tc>
          <w:tcPr>
            <w:tcW w:w="1814" w:type="dxa"/>
            <w:vAlign w:val="center"/>
          </w:tcPr>
          <w:p w14:paraId="22809365" w14:textId="77777777" w:rsidR="00454A29" w:rsidRDefault="00454A29">
            <w:pPr>
              <w:pStyle w:val="ConsPlusNormal"/>
            </w:pPr>
          </w:p>
        </w:tc>
      </w:tr>
      <w:tr w:rsidR="00454A29" w14:paraId="6FDBA756" w14:textId="77777777">
        <w:tc>
          <w:tcPr>
            <w:tcW w:w="567" w:type="dxa"/>
            <w:vMerge/>
          </w:tcPr>
          <w:p w14:paraId="4693CA9D" w14:textId="77777777" w:rsidR="00454A29" w:rsidRDefault="00454A29"/>
        </w:tc>
        <w:tc>
          <w:tcPr>
            <w:tcW w:w="3345" w:type="dxa"/>
            <w:vMerge/>
          </w:tcPr>
          <w:p w14:paraId="2ED0B337" w14:textId="77777777" w:rsidR="00454A29" w:rsidRDefault="00454A29"/>
        </w:tc>
        <w:tc>
          <w:tcPr>
            <w:tcW w:w="1701" w:type="dxa"/>
            <w:vAlign w:val="center"/>
          </w:tcPr>
          <w:p w14:paraId="17781814" w14:textId="77777777" w:rsidR="00454A29" w:rsidRDefault="00454A29">
            <w:pPr>
              <w:pStyle w:val="ConsPlusNormal"/>
              <w:jc w:val="center"/>
            </w:pPr>
            <w:r>
              <w:t>2023</w:t>
            </w:r>
          </w:p>
        </w:tc>
        <w:tc>
          <w:tcPr>
            <w:tcW w:w="1417" w:type="dxa"/>
            <w:vMerge/>
          </w:tcPr>
          <w:p w14:paraId="75407B99" w14:textId="77777777" w:rsidR="00454A29" w:rsidRDefault="00454A29"/>
        </w:tc>
        <w:tc>
          <w:tcPr>
            <w:tcW w:w="2204" w:type="dxa"/>
            <w:vMerge/>
          </w:tcPr>
          <w:p w14:paraId="45D28F99" w14:textId="77777777" w:rsidR="00454A29" w:rsidRDefault="00454A29"/>
        </w:tc>
        <w:tc>
          <w:tcPr>
            <w:tcW w:w="1417" w:type="dxa"/>
            <w:vMerge/>
          </w:tcPr>
          <w:p w14:paraId="39DBB387" w14:textId="77777777" w:rsidR="00454A29" w:rsidRDefault="00454A29"/>
        </w:tc>
        <w:tc>
          <w:tcPr>
            <w:tcW w:w="2324" w:type="dxa"/>
            <w:vMerge/>
          </w:tcPr>
          <w:p w14:paraId="3C831ECE" w14:textId="77777777" w:rsidR="00454A29" w:rsidRDefault="00454A29"/>
        </w:tc>
        <w:tc>
          <w:tcPr>
            <w:tcW w:w="1701" w:type="dxa"/>
            <w:vAlign w:val="center"/>
          </w:tcPr>
          <w:p w14:paraId="0D4199BC" w14:textId="77777777" w:rsidR="00454A29" w:rsidRDefault="00454A29">
            <w:pPr>
              <w:pStyle w:val="ConsPlusNormal"/>
              <w:jc w:val="center"/>
            </w:pPr>
            <w:r>
              <w:t>6 686,08</w:t>
            </w:r>
          </w:p>
        </w:tc>
        <w:tc>
          <w:tcPr>
            <w:tcW w:w="1814" w:type="dxa"/>
            <w:vAlign w:val="center"/>
          </w:tcPr>
          <w:p w14:paraId="28B36D0F" w14:textId="77777777" w:rsidR="00454A29" w:rsidRDefault="00454A29">
            <w:pPr>
              <w:pStyle w:val="ConsPlusNormal"/>
              <w:jc w:val="center"/>
            </w:pPr>
            <w:r>
              <w:t>6 686,08</w:t>
            </w:r>
          </w:p>
        </w:tc>
        <w:tc>
          <w:tcPr>
            <w:tcW w:w="1701" w:type="dxa"/>
            <w:vAlign w:val="center"/>
          </w:tcPr>
          <w:p w14:paraId="066B8EED" w14:textId="77777777" w:rsidR="00454A29" w:rsidRDefault="00454A29">
            <w:pPr>
              <w:pStyle w:val="ConsPlusNormal"/>
            </w:pPr>
          </w:p>
        </w:tc>
        <w:tc>
          <w:tcPr>
            <w:tcW w:w="1701" w:type="dxa"/>
            <w:vAlign w:val="center"/>
          </w:tcPr>
          <w:p w14:paraId="6756CF98" w14:textId="77777777" w:rsidR="00454A29" w:rsidRDefault="00454A29">
            <w:pPr>
              <w:pStyle w:val="ConsPlusNormal"/>
            </w:pPr>
          </w:p>
        </w:tc>
        <w:tc>
          <w:tcPr>
            <w:tcW w:w="1814" w:type="dxa"/>
            <w:vAlign w:val="center"/>
          </w:tcPr>
          <w:p w14:paraId="0866EE96" w14:textId="77777777" w:rsidR="00454A29" w:rsidRDefault="00454A29">
            <w:pPr>
              <w:pStyle w:val="ConsPlusNormal"/>
            </w:pPr>
          </w:p>
        </w:tc>
      </w:tr>
      <w:tr w:rsidR="00454A29" w14:paraId="16102D2A" w14:textId="77777777">
        <w:tc>
          <w:tcPr>
            <w:tcW w:w="567" w:type="dxa"/>
            <w:vMerge/>
          </w:tcPr>
          <w:p w14:paraId="58AF8CF2" w14:textId="77777777" w:rsidR="00454A29" w:rsidRDefault="00454A29"/>
        </w:tc>
        <w:tc>
          <w:tcPr>
            <w:tcW w:w="3345" w:type="dxa"/>
            <w:vMerge/>
          </w:tcPr>
          <w:p w14:paraId="61BEFFBF" w14:textId="77777777" w:rsidR="00454A29" w:rsidRDefault="00454A29"/>
        </w:tc>
        <w:tc>
          <w:tcPr>
            <w:tcW w:w="1701" w:type="dxa"/>
            <w:vAlign w:val="center"/>
          </w:tcPr>
          <w:p w14:paraId="77662870" w14:textId="77777777" w:rsidR="00454A29" w:rsidRDefault="00454A29">
            <w:pPr>
              <w:pStyle w:val="ConsPlusNormal"/>
              <w:jc w:val="center"/>
            </w:pPr>
            <w:r>
              <w:t>2024</w:t>
            </w:r>
          </w:p>
        </w:tc>
        <w:tc>
          <w:tcPr>
            <w:tcW w:w="1417" w:type="dxa"/>
            <w:vMerge/>
          </w:tcPr>
          <w:p w14:paraId="252A39AA" w14:textId="77777777" w:rsidR="00454A29" w:rsidRDefault="00454A29"/>
        </w:tc>
        <w:tc>
          <w:tcPr>
            <w:tcW w:w="2204" w:type="dxa"/>
            <w:vMerge/>
          </w:tcPr>
          <w:p w14:paraId="5FF2F4AA" w14:textId="77777777" w:rsidR="00454A29" w:rsidRDefault="00454A29"/>
        </w:tc>
        <w:tc>
          <w:tcPr>
            <w:tcW w:w="1417" w:type="dxa"/>
            <w:vMerge/>
          </w:tcPr>
          <w:p w14:paraId="06A109A9" w14:textId="77777777" w:rsidR="00454A29" w:rsidRDefault="00454A29"/>
        </w:tc>
        <w:tc>
          <w:tcPr>
            <w:tcW w:w="2324" w:type="dxa"/>
            <w:vMerge/>
          </w:tcPr>
          <w:p w14:paraId="6AFC3B16" w14:textId="77777777" w:rsidR="00454A29" w:rsidRDefault="00454A29"/>
        </w:tc>
        <w:tc>
          <w:tcPr>
            <w:tcW w:w="1701" w:type="dxa"/>
            <w:vAlign w:val="center"/>
          </w:tcPr>
          <w:p w14:paraId="697398A6" w14:textId="77777777" w:rsidR="00454A29" w:rsidRDefault="00454A29">
            <w:pPr>
              <w:pStyle w:val="ConsPlusNormal"/>
              <w:jc w:val="center"/>
            </w:pPr>
            <w:r>
              <w:t>-</w:t>
            </w:r>
          </w:p>
        </w:tc>
        <w:tc>
          <w:tcPr>
            <w:tcW w:w="1814" w:type="dxa"/>
            <w:vAlign w:val="center"/>
          </w:tcPr>
          <w:p w14:paraId="12B41A9C" w14:textId="77777777" w:rsidR="00454A29" w:rsidRDefault="00454A29">
            <w:pPr>
              <w:pStyle w:val="ConsPlusNormal"/>
            </w:pPr>
          </w:p>
        </w:tc>
        <w:tc>
          <w:tcPr>
            <w:tcW w:w="1701" w:type="dxa"/>
            <w:vAlign w:val="center"/>
          </w:tcPr>
          <w:p w14:paraId="226D8148" w14:textId="77777777" w:rsidR="00454A29" w:rsidRDefault="00454A29">
            <w:pPr>
              <w:pStyle w:val="ConsPlusNormal"/>
            </w:pPr>
          </w:p>
        </w:tc>
        <w:tc>
          <w:tcPr>
            <w:tcW w:w="1701" w:type="dxa"/>
            <w:vAlign w:val="center"/>
          </w:tcPr>
          <w:p w14:paraId="5E0559E2" w14:textId="77777777" w:rsidR="00454A29" w:rsidRDefault="00454A29">
            <w:pPr>
              <w:pStyle w:val="ConsPlusNormal"/>
            </w:pPr>
          </w:p>
        </w:tc>
        <w:tc>
          <w:tcPr>
            <w:tcW w:w="1814" w:type="dxa"/>
            <w:vAlign w:val="center"/>
          </w:tcPr>
          <w:p w14:paraId="0E560BD2" w14:textId="77777777" w:rsidR="00454A29" w:rsidRDefault="00454A29">
            <w:pPr>
              <w:pStyle w:val="ConsPlusNormal"/>
            </w:pPr>
          </w:p>
        </w:tc>
      </w:tr>
      <w:tr w:rsidR="00454A29" w14:paraId="29C0C0E1" w14:textId="77777777">
        <w:tc>
          <w:tcPr>
            <w:tcW w:w="567" w:type="dxa"/>
            <w:vMerge/>
          </w:tcPr>
          <w:p w14:paraId="05A16EBE" w14:textId="77777777" w:rsidR="00454A29" w:rsidRDefault="00454A29"/>
        </w:tc>
        <w:tc>
          <w:tcPr>
            <w:tcW w:w="3345" w:type="dxa"/>
            <w:vMerge/>
          </w:tcPr>
          <w:p w14:paraId="1D221145" w14:textId="77777777" w:rsidR="00454A29" w:rsidRDefault="00454A29"/>
        </w:tc>
        <w:tc>
          <w:tcPr>
            <w:tcW w:w="1701" w:type="dxa"/>
            <w:vAlign w:val="center"/>
          </w:tcPr>
          <w:p w14:paraId="3EFD37EB" w14:textId="77777777" w:rsidR="00454A29" w:rsidRDefault="00454A29">
            <w:pPr>
              <w:pStyle w:val="ConsPlusNormal"/>
              <w:jc w:val="center"/>
            </w:pPr>
            <w:r>
              <w:t>2025</w:t>
            </w:r>
          </w:p>
        </w:tc>
        <w:tc>
          <w:tcPr>
            <w:tcW w:w="1417" w:type="dxa"/>
            <w:vMerge/>
          </w:tcPr>
          <w:p w14:paraId="13570086" w14:textId="77777777" w:rsidR="00454A29" w:rsidRDefault="00454A29"/>
        </w:tc>
        <w:tc>
          <w:tcPr>
            <w:tcW w:w="2204" w:type="dxa"/>
            <w:vMerge/>
          </w:tcPr>
          <w:p w14:paraId="0BBBD978" w14:textId="77777777" w:rsidR="00454A29" w:rsidRDefault="00454A29"/>
        </w:tc>
        <w:tc>
          <w:tcPr>
            <w:tcW w:w="1417" w:type="dxa"/>
            <w:vMerge/>
          </w:tcPr>
          <w:p w14:paraId="40927A54" w14:textId="77777777" w:rsidR="00454A29" w:rsidRDefault="00454A29"/>
        </w:tc>
        <w:tc>
          <w:tcPr>
            <w:tcW w:w="2324" w:type="dxa"/>
            <w:vMerge/>
          </w:tcPr>
          <w:p w14:paraId="4E6BC906" w14:textId="77777777" w:rsidR="00454A29" w:rsidRDefault="00454A29"/>
        </w:tc>
        <w:tc>
          <w:tcPr>
            <w:tcW w:w="1701" w:type="dxa"/>
            <w:vAlign w:val="center"/>
          </w:tcPr>
          <w:p w14:paraId="180BC339" w14:textId="77777777" w:rsidR="00454A29" w:rsidRDefault="00454A29">
            <w:pPr>
              <w:pStyle w:val="ConsPlusNormal"/>
              <w:jc w:val="center"/>
            </w:pPr>
            <w:r>
              <w:t>-</w:t>
            </w:r>
          </w:p>
        </w:tc>
        <w:tc>
          <w:tcPr>
            <w:tcW w:w="1814" w:type="dxa"/>
            <w:vAlign w:val="center"/>
          </w:tcPr>
          <w:p w14:paraId="164D2598" w14:textId="77777777" w:rsidR="00454A29" w:rsidRDefault="00454A29">
            <w:pPr>
              <w:pStyle w:val="ConsPlusNormal"/>
            </w:pPr>
          </w:p>
        </w:tc>
        <w:tc>
          <w:tcPr>
            <w:tcW w:w="1701" w:type="dxa"/>
            <w:vAlign w:val="center"/>
          </w:tcPr>
          <w:p w14:paraId="28A8016D" w14:textId="77777777" w:rsidR="00454A29" w:rsidRDefault="00454A29">
            <w:pPr>
              <w:pStyle w:val="ConsPlusNormal"/>
            </w:pPr>
          </w:p>
        </w:tc>
        <w:tc>
          <w:tcPr>
            <w:tcW w:w="1701" w:type="dxa"/>
            <w:vAlign w:val="center"/>
          </w:tcPr>
          <w:p w14:paraId="504B77D5" w14:textId="77777777" w:rsidR="00454A29" w:rsidRDefault="00454A29">
            <w:pPr>
              <w:pStyle w:val="ConsPlusNormal"/>
            </w:pPr>
          </w:p>
        </w:tc>
        <w:tc>
          <w:tcPr>
            <w:tcW w:w="1814" w:type="dxa"/>
            <w:vAlign w:val="center"/>
          </w:tcPr>
          <w:p w14:paraId="7A40F9EC" w14:textId="77777777" w:rsidR="00454A29" w:rsidRDefault="00454A29">
            <w:pPr>
              <w:pStyle w:val="ConsPlusNormal"/>
            </w:pPr>
          </w:p>
        </w:tc>
      </w:tr>
      <w:tr w:rsidR="00454A29" w14:paraId="27E6706B" w14:textId="77777777">
        <w:tc>
          <w:tcPr>
            <w:tcW w:w="567" w:type="dxa"/>
            <w:vMerge/>
          </w:tcPr>
          <w:p w14:paraId="62B4522D" w14:textId="77777777" w:rsidR="00454A29" w:rsidRDefault="00454A29"/>
        </w:tc>
        <w:tc>
          <w:tcPr>
            <w:tcW w:w="3345" w:type="dxa"/>
            <w:vMerge/>
          </w:tcPr>
          <w:p w14:paraId="3AC16B67" w14:textId="77777777" w:rsidR="00454A29" w:rsidRDefault="00454A29"/>
        </w:tc>
        <w:tc>
          <w:tcPr>
            <w:tcW w:w="1701" w:type="dxa"/>
            <w:vAlign w:val="center"/>
          </w:tcPr>
          <w:p w14:paraId="29422D34" w14:textId="77777777" w:rsidR="00454A29" w:rsidRDefault="00454A29">
            <w:pPr>
              <w:pStyle w:val="ConsPlusNormal"/>
              <w:jc w:val="center"/>
            </w:pPr>
            <w:r>
              <w:t>2026</w:t>
            </w:r>
          </w:p>
        </w:tc>
        <w:tc>
          <w:tcPr>
            <w:tcW w:w="1417" w:type="dxa"/>
            <w:vMerge/>
          </w:tcPr>
          <w:p w14:paraId="6ACCF51C" w14:textId="77777777" w:rsidR="00454A29" w:rsidRDefault="00454A29"/>
        </w:tc>
        <w:tc>
          <w:tcPr>
            <w:tcW w:w="2204" w:type="dxa"/>
            <w:vMerge/>
          </w:tcPr>
          <w:p w14:paraId="53E42F7A" w14:textId="77777777" w:rsidR="00454A29" w:rsidRDefault="00454A29"/>
        </w:tc>
        <w:tc>
          <w:tcPr>
            <w:tcW w:w="1417" w:type="dxa"/>
            <w:vMerge/>
          </w:tcPr>
          <w:p w14:paraId="73FE4258" w14:textId="77777777" w:rsidR="00454A29" w:rsidRDefault="00454A29"/>
        </w:tc>
        <w:tc>
          <w:tcPr>
            <w:tcW w:w="2324" w:type="dxa"/>
            <w:vMerge/>
          </w:tcPr>
          <w:p w14:paraId="7C4420CD" w14:textId="77777777" w:rsidR="00454A29" w:rsidRDefault="00454A29"/>
        </w:tc>
        <w:tc>
          <w:tcPr>
            <w:tcW w:w="1701" w:type="dxa"/>
            <w:vAlign w:val="center"/>
          </w:tcPr>
          <w:p w14:paraId="5CAB5BF8" w14:textId="77777777" w:rsidR="00454A29" w:rsidRDefault="00454A29">
            <w:pPr>
              <w:pStyle w:val="ConsPlusNormal"/>
              <w:jc w:val="center"/>
            </w:pPr>
            <w:r>
              <w:t>-</w:t>
            </w:r>
          </w:p>
        </w:tc>
        <w:tc>
          <w:tcPr>
            <w:tcW w:w="1814" w:type="dxa"/>
            <w:vAlign w:val="center"/>
          </w:tcPr>
          <w:p w14:paraId="34F430E8" w14:textId="77777777" w:rsidR="00454A29" w:rsidRDefault="00454A29">
            <w:pPr>
              <w:pStyle w:val="ConsPlusNormal"/>
            </w:pPr>
          </w:p>
        </w:tc>
        <w:tc>
          <w:tcPr>
            <w:tcW w:w="1701" w:type="dxa"/>
            <w:vAlign w:val="center"/>
          </w:tcPr>
          <w:p w14:paraId="1704F8C5" w14:textId="77777777" w:rsidR="00454A29" w:rsidRDefault="00454A29">
            <w:pPr>
              <w:pStyle w:val="ConsPlusNormal"/>
            </w:pPr>
          </w:p>
        </w:tc>
        <w:tc>
          <w:tcPr>
            <w:tcW w:w="1701" w:type="dxa"/>
            <w:vAlign w:val="center"/>
          </w:tcPr>
          <w:p w14:paraId="34C851CB" w14:textId="77777777" w:rsidR="00454A29" w:rsidRDefault="00454A29">
            <w:pPr>
              <w:pStyle w:val="ConsPlusNormal"/>
            </w:pPr>
          </w:p>
        </w:tc>
        <w:tc>
          <w:tcPr>
            <w:tcW w:w="1814" w:type="dxa"/>
            <w:vAlign w:val="center"/>
          </w:tcPr>
          <w:p w14:paraId="03F6A361" w14:textId="77777777" w:rsidR="00454A29" w:rsidRDefault="00454A29">
            <w:pPr>
              <w:pStyle w:val="ConsPlusNormal"/>
            </w:pPr>
          </w:p>
        </w:tc>
      </w:tr>
      <w:tr w:rsidR="00454A29" w14:paraId="22F73985" w14:textId="77777777">
        <w:tc>
          <w:tcPr>
            <w:tcW w:w="567" w:type="dxa"/>
            <w:vMerge w:val="restart"/>
            <w:vAlign w:val="center"/>
          </w:tcPr>
          <w:p w14:paraId="4E738AD8" w14:textId="77777777" w:rsidR="00454A29" w:rsidRDefault="00454A29">
            <w:pPr>
              <w:pStyle w:val="ConsPlusNormal"/>
              <w:jc w:val="center"/>
            </w:pPr>
            <w:r>
              <w:t>103</w:t>
            </w:r>
          </w:p>
        </w:tc>
        <w:tc>
          <w:tcPr>
            <w:tcW w:w="3345" w:type="dxa"/>
            <w:vMerge w:val="restart"/>
            <w:vAlign w:val="center"/>
          </w:tcPr>
          <w:p w14:paraId="41A24F5E" w14:textId="77777777" w:rsidR="00454A29" w:rsidRDefault="00454A29">
            <w:pPr>
              <w:pStyle w:val="ConsPlusNormal"/>
              <w:jc w:val="center"/>
            </w:pPr>
            <w:r>
              <w:t>Проектирование и строительство общежития на 250 мест ГБПОУ РС(Я) "Сунтарский технологический колледж"</w:t>
            </w:r>
          </w:p>
        </w:tc>
        <w:tc>
          <w:tcPr>
            <w:tcW w:w="1701" w:type="dxa"/>
            <w:vAlign w:val="center"/>
          </w:tcPr>
          <w:p w14:paraId="0ACBAD42" w14:textId="77777777" w:rsidR="00454A29" w:rsidRDefault="00454A29">
            <w:pPr>
              <w:pStyle w:val="ConsPlusNormal"/>
              <w:jc w:val="center"/>
            </w:pPr>
            <w:r>
              <w:t>Всего:</w:t>
            </w:r>
          </w:p>
        </w:tc>
        <w:tc>
          <w:tcPr>
            <w:tcW w:w="1417" w:type="dxa"/>
            <w:vMerge w:val="restart"/>
            <w:vAlign w:val="center"/>
          </w:tcPr>
          <w:p w14:paraId="42C263DD" w14:textId="77777777" w:rsidR="00454A29" w:rsidRDefault="00454A29">
            <w:pPr>
              <w:pStyle w:val="ConsPlusNormal"/>
              <w:jc w:val="center"/>
            </w:pPr>
            <w:r>
              <w:t>400 000,00</w:t>
            </w:r>
          </w:p>
        </w:tc>
        <w:tc>
          <w:tcPr>
            <w:tcW w:w="2204" w:type="dxa"/>
            <w:vMerge w:val="restart"/>
            <w:vAlign w:val="center"/>
          </w:tcPr>
          <w:p w14:paraId="367DF98A" w14:textId="77777777" w:rsidR="00454A29" w:rsidRDefault="00454A29">
            <w:pPr>
              <w:pStyle w:val="ConsPlusNormal"/>
            </w:pPr>
          </w:p>
        </w:tc>
        <w:tc>
          <w:tcPr>
            <w:tcW w:w="1417" w:type="dxa"/>
            <w:vMerge w:val="restart"/>
            <w:vAlign w:val="center"/>
          </w:tcPr>
          <w:p w14:paraId="19DAFE53" w14:textId="77777777" w:rsidR="00454A29" w:rsidRDefault="00454A29">
            <w:pPr>
              <w:pStyle w:val="ConsPlusNormal"/>
              <w:jc w:val="center"/>
            </w:pPr>
            <w:r>
              <w:t>250</w:t>
            </w:r>
          </w:p>
        </w:tc>
        <w:tc>
          <w:tcPr>
            <w:tcW w:w="2324" w:type="dxa"/>
            <w:vMerge w:val="restart"/>
            <w:vAlign w:val="center"/>
          </w:tcPr>
          <w:p w14:paraId="015B6BC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B437369" w14:textId="77777777" w:rsidR="00454A29" w:rsidRDefault="00454A29">
            <w:pPr>
              <w:pStyle w:val="ConsPlusNormal"/>
              <w:jc w:val="center"/>
            </w:pPr>
            <w:r>
              <w:t>369 500,00</w:t>
            </w:r>
          </w:p>
        </w:tc>
        <w:tc>
          <w:tcPr>
            <w:tcW w:w="1814" w:type="dxa"/>
            <w:vAlign w:val="center"/>
          </w:tcPr>
          <w:p w14:paraId="55AF581D" w14:textId="77777777" w:rsidR="00454A29" w:rsidRDefault="00454A29">
            <w:pPr>
              <w:pStyle w:val="ConsPlusNormal"/>
              <w:jc w:val="center"/>
            </w:pPr>
            <w:r>
              <w:t>369 500,00</w:t>
            </w:r>
          </w:p>
        </w:tc>
        <w:tc>
          <w:tcPr>
            <w:tcW w:w="1701" w:type="dxa"/>
            <w:vAlign w:val="center"/>
          </w:tcPr>
          <w:p w14:paraId="42D43520" w14:textId="77777777" w:rsidR="00454A29" w:rsidRDefault="00454A29">
            <w:pPr>
              <w:pStyle w:val="ConsPlusNormal"/>
              <w:jc w:val="center"/>
            </w:pPr>
            <w:r>
              <w:t>-</w:t>
            </w:r>
          </w:p>
        </w:tc>
        <w:tc>
          <w:tcPr>
            <w:tcW w:w="1701" w:type="dxa"/>
            <w:vAlign w:val="center"/>
          </w:tcPr>
          <w:p w14:paraId="6206F406" w14:textId="77777777" w:rsidR="00454A29" w:rsidRDefault="00454A29">
            <w:pPr>
              <w:pStyle w:val="ConsPlusNormal"/>
              <w:jc w:val="center"/>
            </w:pPr>
            <w:r>
              <w:t>-</w:t>
            </w:r>
          </w:p>
        </w:tc>
        <w:tc>
          <w:tcPr>
            <w:tcW w:w="1814" w:type="dxa"/>
            <w:vAlign w:val="center"/>
          </w:tcPr>
          <w:p w14:paraId="3FCC7D7F" w14:textId="77777777" w:rsidR="00454A29" w:rsidRDefault="00454A29">
            <w:pPr>
              <w:pStyle w:val="ConsPlusNormal"/>
              <w:jc w:val="center"/>
            </w:pPr>
            <w:r>
              <w:t>-</w:t>
            </w:r>
          </w:p>
        </w:tc>
      </w:tr>
      <w:tr w:rsidR="00454A29" w14:paraId="2A51ED7E" w14:textId="77777777">
        <w:tc>
          <w:tcPr>
            <w:tcW w:w="567" w:type="dxa"/>
            <w:vMerge/>
          </w:tcPr>
          <w:p w14:paraId="016668A1" w14:textId="77777777" w:rsidR="00454A29" w:rsidRDefault="00454A29"/>
        </w:tc>
        <w:tc>
          <w:tcPr>
            <w:tcW w:w="3345" w:type="dxa"/>
            <w:vMerge/>
          </w:tcPr>
          <w:p w14:paraId="50C89CA3" w14:textId="77777777" w:rsidR="00454A29" w:rsidRDefault="00454A29"/>
        </w:tc>
        <w:tc>
          <w:tcPr>
            <w:tcW w:w="1701" w:type="dxa"/>
            <w:vAlign w:val="center"/>
          </w:tcPr>
          <w:p w14:paraId="3B2E033D" w14:textId="77777777" w:rsidR="00454A29" w:rsidRDefault="00454A29">
            <w:pPr>
              <w:pStyle w:val="ConsPlusNormal"/>
              <w:jc w:val="center"/>
            </w:pPr>
            <w:r>
              <w:t>2020</w:t>
            </w:r>
          </w:p>
        </w:tc>
        <w:tc>
          <w:tcPr>
            <w:tcW w:w="1417" w:type="dxa"/>
            <w:vMerge/>
          </w:tcPr>
          <w:p w14:paraId="6F3F2149" w14:textId="77777777" w:rsidR="00454A29" w:rsidRDefault="00454A29"/>
        </w:tc>
        <w:tc>
          <w:tcPr>
            <w:tcW w:w="2204" w:type="dxa"/>
            <w:vMerge/>
          </w:tcPr>
          <w:p w14:paraId="63ECDD76" w14:textId="77777777" w:rsidR="00454A29" w:rsidRDefault="00454A29"/>
        </w:tc>
        <w:tc>
          <w:tcPr>
            <w:tcW w:w="1417" w:type="dxa"/>
            <w:vMerge/>
          </w:tcPr>
          <w:p w14:paraId="10F8E018" w14:textId="77777777" w:rsidR="00454A29" w:rsidRDefault="00454A29"/>
        </w:tc>
        <w:tc>
          <w:tcPr>
            <w:tcW w:w="2324" w:type="dxa"/>
            <w:vMerge/>
          </w:tcPr>
          <w:p w14:paraId="36B9C599" w14:textId="77777777" w:rsidR="00454A29" w:rsidRDefault="00454A29"/>
        </w:tc>
        <w:tc>
          <w:tcPr>
            <w:tcW w:w="1701" w:type="dxa"/>
            <w:vAlign w:val="center"/>
          </w:tcPr>
          <w:p w14:paraId="0FDE3FFF" w14:textId="77777777" w:rsidR="00454A29" w:rsidRDefault="00454A29">
            <w:pPr>
              <w:pStyle w:val="ConsPlusNormal"/>
              <w:jc w:val="center"/>
            </w:pPr>
            <w:r>
              <w:t>-</w:t>
            </w:r>
          </w:p>
        </w:tc>
        <w:tc>
          <w:tcPr>
            <w:tcW w:w="1814" w:type="dxa"/>
            <w:vAlign w:val="center"/>
          </w:tcPr>
          <w:p w14:paraId="5C49E311" w14:textId="77777777" w:rsidR="00454A29" w:rsidRDefault="00454A29">
            <w:pPr>
              <w:pStyle w:val="ConsPlusNormal"/>
            </w:pPr>
          </w:p>
        </w:tc>
        <w:tc>
          <w:tcPr>
            <w:tcW w:w="1701" w:type="dxa"/>
            <w:vAlign w:val="center"/>
          </w:tcPr>
          <w:p w14:paraId="1998DD51" w14:textId="77777777" w:rsidR="00454A29" w:rsidRDefault="00454A29">
            <w:pPr>
              <w:pStyle w:val="ConsPlusNormal"/>
            </w:pPr>
          </w:p>
        </w:tc>
        <w:tc>
          <w:tcPr>
            <w:tcW w:w="1701" w:type="dxa"/>
            <w:vAlign w:val="center"/>
          </w:tcPr>
          <w:p w14:paraId="186F339C" w14:textId="77777777" w:rsidR="00454A29" w:rsidRDefault="00454A29">
            <w:pPr>
              <w:pStyle w:val="ConsPlusNormal"/>
            </w:pPr>
          </w:p>
        </w:tc>
        <w:tc>
          <w:tcPr>
            <w:tcW w:w="1814" w:type="dxa"/>
            <w:vAlign w:val="center"/>
          </w:tcPr>
          <w:p w14:paraId="7D1BB093" w14:textId="77777777" w:rsidR="00454A29" w:rsidRDefault="00454A29">
            <w:pPr>
              <w:pStyle w:val="ConsPlusNormal"/>
            </w:pPr>
          </w:p>
        </w:tc>
      </w:tr>
      <w:tr w:rsidR="00454A29" w14:paraId="45EDAF4F" w14:textId="77777777">
        <w:tc>
          <w:tcPr>
            <w:tcW w:w="567" w:type="dxa"/>
            <w:vMerge/>
          </w:tcPr>
          <w:p w14:paraId="2410B871" w14:textId="77777777" w:rsidR="00454A29" w:rsidRDefault="00454A29"/>
        </w:tc>
        <w:tc>
          <w:tcPr>
            <w:tcW w:w="3345" w:type="dxa"/>
            <w:vMerge/>
          </w:tcPr>
          <w:p w14:paraId="30808D56" w14:textId="77777777" w:rsidR="00454A29" w:rsidRDefault="00454A29"/>
        </w:tc>
        <w:tc>
          <w:tcPr>
            <w:tcW w:w="1701" w:type="dxa"/>
            <w:vAlign w:val="center"/>
          </w:tcPr>
          <w:p w14:paraId="4EBADE41" w14:textId="77777777" w:rsidR="00454A29" w:rsidRDefault="00454A29">
            <w:pPr>
              <w:pStyle w:val="ConsPlusNormal"/>
              <w:jc w:val="center"/>
            </w:pPr>
            <w:r>
              <w:t>2021</w:t>
            </w:r>
          </w:p>
        </w:tc>
        <w:tc>
          <w:tcPr>
            <w:tcW w:w="1417" w:type="dxa"/>
            <w:vMerge/>
          </w:tcPr>
          <w:p w14:paraId="71ED3E6C" w14:textId="77777777" w:rsidR="00454A29" w:rsidRDefault="00454A29"/>
        </w:tc>
        <w:tc>
          <w:tcPr>
            <w:tcW w:w="2204" w:type="dxa"/>
            <w:vMerge/>
          </w:tcPr>
          <w:p w14:paraId="3580BB22" w14:textId="77777777" w:rsidR="00454A29" w:rsidRDefault="00454A29"/>
        </w:tc>
        <w:tc>
          <w:tcPr>
            <w:tcW w:w="1417" w:type="dxa"/>
            <w:vMerge/>
          </w:tcPr>
          <w:p w14:paraId="2697D19B" w14:textId="77777777" w:rsidR="00454A29" w:rsidRDefault="00454A29"/>
        </w:tc>
        <w:tc>
          <w:tcPr>
            <w:tcW w:w="2324" w:type="dxa"/>
            <w:vMerge/>
          </w:tcPr>
          <w:p w14:paraId="29510160" w14:textId="77777777" w:rsidR="00454A29" w:rsidRDefault="00454A29"/>
        </w:tc>
        <w:tc>
          <w:tcPr>
            <w:tcW w:w="1701" w:type="dxa"/>
            <w:vAlign w:val="center"/>
          </w:tcPr>
          <w:p w14:paraId="23AE8017" w14:textId="77777777" w:rsidR="00454A29" w:rsidRDefault="00454A29">
            <w:pPr>
              <w:pStyle w:val="ConsPlusNormal"/>
              <w:jc w:val="center"/>
            </w:pPr>
            <w:r>
              <w:t>-</w:t>
            </w:r>
          </w:p>
        </w:tc>
        <w:tc>
          <w:tcPr>
            <w:tcW w:w="1814" w:type="dxa"/>
            <w:vAlign w:val="center"/>
          </w:tcPr>
          <w:p w14:paraId="7874BF61" w14:textId="77777777" w:rsidR="00454A29" w:rsidRDefault="00454A29">
            <w:pPr>
              <w:pStyle w:val="ConsPlusNormal"/>
            </w:pPr>
          </w:p>
        </w:tc>
        <w:tc>
          <w:tcPr>
            <w:tcW w:w="1701" w:type="dxa"/>
            <w:vAlign w:val="center"/>
          </w:tcPr>
          <w:p w14:paraId="31DEE1F4" w14:textId="77777777" w:rsidR="00454A29" w:rsidRDefault="00454A29">
            <w:pPr>
              <w:pStyle w:val="ConsPlusNormal"/>
            </w:pPr>
          </w:p>
        </w:tc>
        <w:tc>
          <w:tcPr>
            <w:tcW w:w="1701" w:type="dxa"/>
            <w:vAlign w:val="center"/>
          </w:tcPr>
          <w:p w14:paraId="4E8F0EE7" w14:textId="77777777" w:rsidR="00454A29" w:rsidRDefault="00454A29">
            <w:pPr>
              <w:pStyle w:val="ConsPlusNormal"/>
            </w:pPr>
          </w:p>
        </w:tc>
        <w:tc>
          <w:tcPr>
            <w:tcW w:w="1814" w:type="dxa"/>
            <w:vAlign w:val="center"/>
          </w:tcPr>
          <w:p w14:paraId="613B95C6" w14:textId="77777777" w:rsidR="00454A29" w:rsidRDefault="00454A29">
            <w:pPr>
              <w:pStyle w:val="ConsPlusNormal"/>
            </w:pPr>
          </w:p>
        </w:tc>
      </w:tr>
      <w:tr w:rsidR="00454A29" w14:paraId="57D91EB0" w14:textId="77777777">
        <w:tc>
          <w:tcPr>
            <w:tcW w:w="567" w:type="dxa"/>
            <w:vMerge/>
          </w:tcPr>
          <w:p w14:paraId="4A6B567F" w14:textId="77777777" w:rsidR="00454A29" w:rsidRDefault="00454A29"/>
        </w:tc>
        <w:tc>
          <w:tcPr>
            <w:tcW w:w="3345" w:type="dxa"/>
            <w:vMerge/>
          </w:tcPr>
          <w:p w14:paraId="12E21617" w14:textId="77777777" w:rsidR="00454A29" w:rsidRDefault="00454A29"/>
        </w:tc>
        <w:tc>
          <w:tcPr>
            <w:tcW w:w="1701" w:type="dxa"/>
            <w:vAlign w:val="center"/>
          </w:tcPr>
          <w:p w14:paraId="06761C91" w14:textId="77777777" w:rsidR="00454A29" w:rsidRDefault="00454A29">
            <w:pPr>
              <w:pStyle w:val="ConsPlusNormal"/>
              <w:jc w:val="center"/>
            </w:pPr>
            <w:r>
              <w:t>2022</w:t>
            </w:r>
          </w:p>
        </w:tc>
        <w:tc>
          <w:tcPr>
            <w:tcW w:w="1417" w:type="dxa"/>
            <w:vMerge/>
          </w:tcPr>
          <w:p w14:paraId="7C32A098" w14:textId="77777777" w:rsidR="00454A29" w:rsidRDefault="00454A29"/>
        </w:tc>
        <w:tc>
          <w:tcPr>
            <w:tcW w:w="2204" w:type="dxa"/>
            <w:vMerge/>
          </w:tcPr>
          <w:p w14:paraId="3D47D0B8" w14:textId="77777777" w:rsidR="00454A29" w:rsidRDefault="00454A29"/>
        </w:tc>
        <w:tc>
          <w:tcPr>
            <w:tcW w:w="1417" w:type="dxa"/>
            <w:vMerge/>
          </w:tcPr>
          <w:p w14:paraId="071EF319" w14:textId="77777777" w:rsidR="00454A29" w:rsidRDefault="00454A29"/>
        </w:tc>
        <w:tc>
          <w:tcPr>
            <w:tcW w:w="2324" w:type="dxa"/>
            <w:vMerge/>
          </w:tcPr>
          <w:p w14:paraId="4960A7CD" w14:textId="77777777" w:rsidR="00454A29" w:rsidRDefault="00454A29"/>
        </w:tc>
        <w:tc>
          <w:tcPr>
            <w:tcW w:w="1701" w:type="dxa"/>
            <w:vAlign w:val="center"/>
          </w:tcPr>
          <w:p w14:paraId="1C123346" w14:textId="77777777" w:rsidR="00454A29" w:rsidRDefault="00454A29">
            <w:pPr>
              <w:pStyle w:val="ConsPlusNormal"/>
              <w:jc w:val="center"/>
            </w:pPr>
            <w:r>
              <w:t>-</w:t>
            </w:r>
          </w:p>
        </w:tc>
        <w:tc>
          <w:tcPr>
            <w:tcW w:w="1814" w:type="dxa"/>
            <w:vAlign w:val="center"/>
          </w:tcPr>
          <w:p w14:paraId="0145C911" w14:textId="77777777" w:rsidR="00454A29" w:rsidRDefault="00454A29">
            <w:pPr>
              <w:pStyle w:val="ConsPlusNormal"/>
            </w:pPr>
          </w:p>
        </w:tc>
        <w:tc>
          <w:tcPr>
            <w:tcW w:w="1701" w:type="dxa"/>
            <w:vAlign w:val="center"/>
          </w:tcPr>
          <w:p w14:paraId="6D3F5356" w14:textId="77777777" w:rsidR="00454A29" w:rsidRDefault="00454A29">
            <w:pPr>
              <w:pStyle w:val="ConsPlusNormal"/>
            </w:pPr>
          </w:p>
        </w:tc>
        <w:tc>
          <w:tcPr>
            <w:tcW w:w="1701" w:type="dxa"/>
            <w:vAlign w:val="center"/>
          </w:tcPr>
          <w:p w14:paraId="316CF2FF" w14:textId="77777777" w:rsidR="00454A29" w:rsidRDefault="00454A29">
            <w:pPr>
              <w:pStyle w:val="ConsPlusNormal"/>
            </w:pPr>
          </w:p>
        </w:tc>
        <w:tc>
          <w:tcPr>
            <w:tcW w:w="1814" w:type="dxa"/>
            <w:vAlign w:val="center"/>
          </w:tcPr>
          <w:p w14:paraId="3BB2DD1B" w14:textId="77777777" w:rsidR="00454A29" w:rsidRDefault="00454A29">
            <w:pPr>
              <w:pStyle w:val="ConsPlusNormal"/>
            </w:pPr>
          </w:p>
        </w:tc>
      </w:tr>
      <w:tr w:rsidR="00454A29" w14:paraId="1647D688" w14:textId="77777777">
        <w:tc>
          <w:tcPr>
            <w:tcW w:w="567" w:type="dxa"/>
            <w:vMerge/>
          </w:tcPr>
          <w:p w14:paraId="3F7B2386" w14:textId="77777777" w:rsidR="00454A29" w:rsidRDefault="00454A29"/>
        </w:tc>
        <w:tc>
          <w:tcPr>
            <w:tcW w:w="3345" w:type="dxa"/>
            <w:vMerge/>
          </w:tcPr>
          <w:p w14:paraId="720EA07F" w14:textId="77777777" w:rsidR="00454A29" w:rsidRDefault="00454A29"/>
        </w:tc>
        <w:tc>
          <w:tcPr>
            <w:tcW w:w="1701" w:type="dxa"/>
            <w:vAlign w:val="center"/>
          </w:tcPr>
          <w:p w14:paraId="363019A7" w14:textId="77777777" w:rsidR="00454A29" w:rsidRDefault="00454A29">
            <w:pPr>
              <w:pStyle w:val="ConsPlusNormal"/>
              <w:jc w:val="center"/>
            </w:pPr>
            <w:r>
              <w:t>2023</w:t>
            </w:r>
          </w:p>
        </w:tc>
        <w:tc>
          <w:tcPr>
            <w:tcW w:w="1417" w:type="dxa"/>
            <w:vMerge/>
          </w:tcPr>
          <w:p w14:paraId="6E54FCB3" w14:textId="77777777" w:rsidR="00454A29" w:rsidRDefault="00454A29"/>
        </w:tc>
        <w:tc>
          <w:tcPr>
            <w:tcW w:w="2204" w:type="dxa"/>
            <w:vMerge/>
          </w:tcPr>
          <w:p w14:paraId="4D6F417C" w14:textId="77777777" w:rsidR="00454A29" w:rsidRDefault="00454A29"/>
        </w:tc>
        <w:tc>
          <w:tcPr>
            <w:tcW w:w="1417" w:type="dxa"/>
            <w:vMerge/>
          </w:tcPr>
          <w:p w14:paraId="402FFF99" w14:textId="77777777" w:rsidR="00454A29" w:rsidRDefault="00454A29"/>
        </w:tc>
        <w:tc>
          <w:tcPr>
            <w:tcW w:w="2324" w:type="dxa"/>
            <w:vMerge/>
          </w:tcPr>
          <w:p w14:paraId="0C6D6A59" w14:textId="77777777" w:rsidR="00454A29" w:rsidRDefault="00454A29"/>
        </w:tc>
        <w:tc>
          <w:tcPr>
            <w:tcW w:w="1701" w:type="dxa"/>
            <w:vAlign w:val="center"/>
          </w:tcPr>
          <w:p w14:paraId="5C95A309" w14:textId="77777777" w:rsidR="00454A29" w:rsidRDefault="00454A29">
            <w:pPr>
              <w:pStyle w:val="ConsPlusNormal"/>
              <w:jc w:val="center"/>
            </w:pPr>
            <w:r>
              <w:t>49 600,00</w:t>
            </w:r>
          </w:p>
        </w:tc>
        <w:tc>
          <w:tcPr>
            <w:tcW w:w="1814" w:type="dxa"/>
            <w:vAlign w:val="center"/>
          </w:tcPr>
          <w:p w14:paraId="739C6DC7" w14:textId="77777777" w:rsidR="00454A29" w:rsidRDefault="00454A29">
            <w:pPr>
              <w:pStyle w:val="ConsPlusNormal"/>
              <w:jc w:val="center"/>
            </w:pPr>
            <w:r>
              <w:t>49 600,00</w:t>
            </w:r>
          </w:p>
        </w:tc>
        <w:tc>
          <w:tcPr>
            <w:tcW w:w="1701" w:type="dxa"/>
            <w:vAlign w:val="center"/>
          </w:tcPr>
          <w:p w14:paraId="532C5F82" w14:textId="77777777" w:rsidR="00454A29" w:rsidRDefault="00454A29">
            <w:pPr>
              <w:pStyle w:val="ConsPlusNormal"/>
            </w:pPr>
          </w:p>
        </w:tc>
        <w:tc>
          <w:tcPr>
            <w:tcW w:w="1701" w:type="dxa"/>
            <w:vAlign w:val="center"/>
          </w:tcPr>
          <w:p w14:paraId="6858CD93" w14:textId="77777777" w:rsidR="00454A29" w:rsidRDefault="00454A29">
            <w:pPr>
              <w:pStyle w:val="ConsPlusNormal"/>
            </w:pPr>
          </w:p>
        </w:tc>
        <w:tc>
          <w:tcPr>
            <w:tcW w:w="1814" w:type="dxa"/>
            <w:vAlign w:val="center"/>
          </w:tcPr>
          <w:p w14:paraId="31D367F4" w14:textId="77777777" w:rsidR="00454A29" w:rsidRDefault="00454A29">
            <w:pPr>
              <w:pStyle w:val="ConsPlusNormal"/>
            </w:pPr>
          </w:p>
        </w:tc>
      </w:tr>
      <w:tr w:rsidR="00454A29" w14:paraId="14025478" w14:textId="77777777">
        <w:tc>
          <w:tcPr>
            <w:tcW w:w="567" w:type="dxa"/>
            <w:vMerge/>
          </w:tcPr>
          <w:p w14:paraId="5CFDDF8B" w14:textId="77777777" w:rsidR="00454A29" w:rsidRDefault="00454A29"/>
        </w:tc>
        <w:tc>
          <w:tcPr>
            <w:tcW w:w="3345" w:type="dxa"/>
            <w:vMerge/>
          </w:tcPr>
          <w:p w14:paraId="1275C3EC" w14:textId="77777777" w:rsidR="00454A29" w:rsidRDefault="00454A29"/>
        </w:tc>
        <w:tc>
          <w:tcPr>
            <w:tcW w:w="1701" w:type="dxa"/>
            <w:vAlign w:val="center"/>
          </w:tcPr>
          <w:p w14:paraId="4AE9E1D7" w14:textId="77777777" w:rsidR="00454A29" w:rsidRDefault="00454A29">
            <w:pPr>
              <w:pStyle w:val="ConsPlusNormal"/>
              <w:jc w:val="center"/>
            </w:pPr>
            <w:r>
              <w:t>2024</w:t>
            </w:r>
          </w:p>
        </w:tc>
        <w:tc>
          <w:tcPr>
            <w:tcW w:w="1417" w:type="dxa"/>
            <w:vMerge/>
          </w:tcPr>
          <w:p w14:paraId="0989DC49" w14:textId="77777777" w:rsidR="00454A29" w:rsidRDefault="00454A29"/>
        </w:tc>
        <w:tc>
          <w:tcPr>
            <w:tcW w:w="2204" w:type="dxa"/>
            <w:vMerge/>
          </w:tcPr>
          <w:p w14:paraId="08D49492" w14:textId="77777777" w:rsidR="00454A29" w:rsidRDefault="00454A29"/>
        </w:tc>
        <w:tc>
          <w:tcPr>
            <w:tcW w:w="1417" w:type="dxa"/>
            <w:vMerge/>
          </w:tcPr>
          <w:p w14:paraId="5E54536B" w14:textId="77777777" w:rsidR="00454A29" w:rsidRDefault="00454A29"/>
        </w:tc>
        <w:tc>
          <w:tcPr>
            <w:tcW w:w="2324" w:type="dxa"/>
            <w:vMerge/>
          </w:tcPr>
          <w:p w14:paraId="64111A6B" w14:textId="77777777" w:rsidR="00454A29" w:rsidRDefault="00454A29"/>
        </w:tc>
        <w:tc>
          <w:tcPr>
            <w:tcW w:w="1701" w:type="dxa"/>
            <w:vAlign w:val="center"/>
          </w:tcPr>
          <w:p w14:paraId="7F2F5FF2" w14:textId="77777777" w:rsidR="00454A29" w:rsidRDefault="00454A29">
            <w:pPr>
              <w:pStyle w:val="ConsPlusNormal"/>
              <w:jc w:val="center"/>
            </w:pPr>
            <w:r>
              <w:t>66 900,00</w:t>
            </w:r>
          </w:p>
        </w:tc>
        <w:tc>
          <w:tcPr>
            <w:tcW w:w="1814" w:type="dxa"/>
            <w:vAlign w:val="center"/>
          </w:tcPr>
          <w:p w14:paraId="5780C864" w14:textId="77777777" w:rsidR="00454A29" w:rsidRDefault="00454A29">
            <w:pPr>
              <w:pStyle w:val="ConsPlusNormal"/>
              <w:jc w:val="center"/>
            </w:pPr>
            <w:r>
              <w:t>66 900,00</w:t>
            </w:r>
          </w:p>
        </w:tc>
        <w:tc>
          <w:tcPr>
            <w:tcW w:w="1701" w:type="dxa"/>
            <w:vAlign w:val="center"/>
          </w:tcPr>
          <w:p w14:paraId="02947960" w14:textId="77777777" w:rsidR="00454A29" w:rsidRDefault="00454A29">
            <w:pPr>
              <w:pStyle w:val="ConsPlusNormal"/>
            </w:pPr>
          </w:p>
        </w:tc>
        <w:tc>
          <w:tcPr>
            <w:tcW w:w="1701" w:type="dxa"/>
            <w:vAlign w:val="center"/>
          </w:tcPr>
          <w:p w14:paraId="15011193" w14:textId="77777777" w:rsidR="00454A29" w:rsidRDefault="00454A29">
            <w:pPr>
              <w:pStyle w:val="ConsPlusNormal"/>
            </w:pPr>
          </w:p>
        </w:tc>
        <w:tc>
          <w:tcPr>
            <w:tcW w:w="1814" w:type="dxa"/>
            <w:vAlign w:val="center"/>
          </w:tcPr>
          <w:p w14:paraId="650BE2A2" w14:textId="77777777" w:rsidR="00454A29" w:rsidRDefault="00454A29">
            <w:pPr>
              <w:pStyle w:val="ConsPlusNormal"/>
            </w:pPr>
          </w:p>
        </w:tc>
      </w:tr>
      <w:tr w:rsidR="00454A29" w14:paraId="4B094846" w14:textId="77777777">
        <w:tc>
          <w:tcPr>
            <w:tcW w:w="567" w:type="dxa"/>
            <w:vMerge/>
          </w:tcPr>
          <w:p w14:paraId="386F3D7C" w14:textId="77777777" w:rsidR="00454A29" w:rsidRDefault="00454A29"/>
        </w:tc>
        <w:tc>
          <w:tcPr>
            <w:tcW w:w="3345" w:type="dxa"/>
            <w:vMerge/>
          </w:tcPr>
          <w:p w14:paraId="1E96993D" w14:textId="77777777" w:rsidR="00454A29" w:rsidRDefault="00454A29"/>
        </w:tc>
        <w:tc>
          <w:tcPr>
            <w:tcW w:w="1701" w:type="dxa"/>
            <w:vAlign w:val="center"/>
          </w:tcPr>
          <w:p w14:paraId="12816ED0" w14:textId="77777777" w:rsidR="00454A29" w:rsidRDefault="00454A29">
            <w:pPr>
              <w:pStyle w:val="ConsPlusNormal"/>
              <w:jc w:val="center"/>
            </w:pPr>
            <w:r>
              <w:t>2025</w:t>
            </w:r>
          </w:p>
        </w:tc>
        <w:tc>
          <w:tcPr>
            <w:tcW w:w="1417" w:type="dxa"/>
            <w:vMerge/>
          </w:tcPr>
          <w:p w14:paraId="0A84D724" w14:textId="77777777" w:rsidR="00454A29" w:rsidRDefault="00454A29"/>
        </w:tc>
        <w:tc>
          <w:tcPr>
            <w:tcW w:w="2204" w:type="dxa"/>
            <w:vMerge/>
          </w:tcPr>
          <w:p w14:paraId="253E2EAF" w14:textId="77777777" w:rsidR="00454A29" w:rsidRDefault="00454A29"/>
        </w:tc>
        <w:tc>
          <w:tcPr>
            <w:tcW w:w="1417" w:type="dxa"/>
            <w:vMerge/>
          </w:tcPr>
          <w:p w14:paraId="5D91C8AA" w14:textId="77777777" w:rsidR="00454A29" w:rsidRDefault="00454A29"/>
        </w:tc>
        <w:tc>
          <w:tcPr>
            <w:tcW w:w="2324" w:type="dxa"/>
            <w:vMerge/>
          </w:tcPr>
          <w:p w14:paraId="3CCBFA79" w14:textId="77777777" w:rsidR="00454A29" w:rsidRDefault="00454A29"/>
        </w:tc>
        <w:tc>
          <w:tcPr>
            <w:tcW w:w="1701" w:type="dxa"/>
            <w:vAlign w:val="center"/>
          </w:tcPr>
          <w:p w14:paraId="7854D031" w14:textId="77777777" w:rsidR="00454A29" w:rsidRDefault="00454A29">
            <w:pPr>
              <w:pStyle w:val="ConsPlusNormal"/>
              <w:jc w:val="center"/>
            </w:pPr>
            <w:r>
              <w:t>253 000,00</w:t>
            </w:r>
          </w:p>
        </w:tc>
        <w:tc>
          <w:tcPr>
            <w:tcW w:w="1814" w:type="dxa"/>
            <w:vAlign w:val="center"/>
          </w:tcPr>
          <w:p w14:paraId="68C3D8A4" w14:textId="77777777" w:rsidR="00454A29" w:rsidRDefault="00454A29">
            <w:pPr>
              <w:pStyle w:val="ConsPlusNormal"/>
              <w:jc w:val="center"/>
            </w:pPr>
            <w:r>
              <w:t>253 000,00</w:t>
            </w:r>
          </w:p>
        </w:tc>
        <w:tc>
          <w:tcPr>
            <w:tcW w:w="1701" w:type="dxa"/>
            <w:vAlign w:val="center"/>
          </w:tcPr>
          <w:p w14:paraId="3C5AFAB3" w14:textId="77777777" w:rsidR="00454A29" w:rsidRDefault="00454A29">
            <w:pPr>
              <w:pStyle w:val="ConsPlusNormal"/>
            </w:pPr>
          </w:p>
        </w:tc>
        <w:tc>
          <w:tcPr>
            <w:tcW w:w="1701" w:type="dxa"/>
            <w:vAlign w:val="center"/>
          </w:tcPr>
          <w:p w14:paraId="095066D1" w14:textId="77777777" w:rsidR="00454A29" w:rsidRDefault="00454A29">
            <w:pPr>
              <w:pStyle w:val="ConsPlusNormal"/>
            </w:pPr>
          </w:p>
        </w:tc>
        <w:tc>
          <w:tcPr>
            <w:tcW w:w="1814" w:type="dxa"/>
            <w:vAlign w:val="center"/>
          </w:tcPr>
          <w:p w14:paraId="6C8525D5" w14:textId="77777777" w:rsidR="00454A29" w:rsidRDefault="00454A29">
            <w:pPr>
              <w:pStyle w:val="ConsPlusNormal"/>
            </w:pPr>
          </w:p>
        </w:tc>
      </w:tr>
      <w:tr w:rsidR="00454A29" w14:paraId="1CA07A51" w14:textId="77777777">
        <w:tc>
          <w:tcPr>
            <w:tcW w:w="567" w:type="dxa"/>
            <w:vMerge/>
          </w:tcPr>
          <w:p w14:paraId="3E2694D9" w14:textId="77777777" w:rsidR="00454A29" w:rsidRDefault="00454A29"/>
        </w:tc>
        <w:tc>
          <w:tcPr>
            <w:tcW w:w="3345" w:type="dxa"/>
            <w:vMerge/>
          </w:tcPr>
          <w:p w14:paraId="6929267D" w14:textId="77777777" w:rsidR="00454A29" w:rsidRDefault="00454A29"/>
        </w:tc>
        <w:tc>
          <w:tcPr>
            <w:tcW w:w="1701" w:type="dxa"/>
            <w:vAlign w:val="center"/>
          </w:tcPr>
          <w:p w14:paraId="6AB68B8F" w14:textId="77777777" w:rsidR="00454A29" w:rsidRDefault="00454A29">
            <w:pPr>
              <w:pStyle w:val="ConsPlusNormal"/>
              <w:jc w:val="center"/>
            </w:pPr>
            <w:r>
              <w:t>2026</w:t>
            </w:r>
          </w:p>
        </w:tc>
        <w:tc>
          <w:tcPr>
            <w:tcW w:w="1417" w:type="dxa"/>
            <w:vMerge/>
          </w:tcPr>
          <w:p w14:paraId="7814DA57" w14:textId="77777777" w:rsidR="00454A29" w:rsidRDefault="00454A29"/>
        </w:tc>
        <w:tc>
          <w:tcPr>
            <w:tcW w:w="2204" w:type="dxa"/>
            <w:vMerge/>
          </w:tcPr>
          <w:p w14:paraId="5309434D" w14:textId="77777777" w:rsidR="00454A29" w:rsidRDefault="00454A29"/>
        </w:tc>
        <w:tc>
          <w:tcPr>
            <w:tcW w:w="1417" w:type="dxa"/>
            <w:vMerge/>
          </w:tcPr>
          <w:p w14:paraId="2567B904" w14:textId="77777777" w:rsidR="00454A29" w:rsidRDefault="00454A29"/>
        </w:tc>
        <w:tc>
          <w:tcPr>
            <w:tcW w:w="2324" w:type="dxa"/>
            <w:vMerge/>
          </w:tcPr>
          <w:p w14:paraId="17319257" w14:textId="77777777" w:rsidR="00454A29" w:rsidRDefault="00454A29"/>
        </w:tc>
        <w:tc>
          <w:tcPr>
            <w:tcW w:w="1701" w:type="dxa"/>
            <w:vAlign w:val="center"/>
          </w:tcPr>
          <w:p w14:paraId="63C7DCCF" w14:textId="77777777" w:rsidR="00454A29" w:rsidRDefault="00454A29">
            <w:pPr>
              <w:pStyle w:val="ConsPlusNormal"/>
              <w:jc w:val="center"/>
            </w:pPr>
            <w:r>
              <w:t>-</w:t>
            </w:r>
          </w:p>
        </w:tc>
        <w:tc>
          <w:tcPr>
            <w:tcW w:w="1814" w:type="dxa"/>
            <w:vAlign w:val="center"/>
          </w:tcPr>
          <w:p w14:paraId="056EDCCD" w14:textId="77777777" w:rsidR="00454A29" w:rsidRDefault="00454A29">
            <w:pPr>
              <w:pStyle w:val="ConsPlusNormal"/>
            </w:pPr>
          </w:p>
        </w:tc>
        <w:tc>
          <w:tcPr>
            <w:tcW w:w="1701" w:type="dxa"/>
            <w:vAlign w:val="center"/>
          </w:tcPr>
          <w:p w14:paraId="091951A8" w14:textId="77777777" w:rsidR="00454A29" w:rsidRDefault="00454A29">
            <w:pPr>
              <w:pStyle w:val="ConsPlusNormal"/>
            </w:pPr>
          </w:p>
        </w:tc>
        <w:tc>
          <w:tcPr>
            <w:tcW w:w="1701" w:type="dxa"/>
            <w:vAlign w:val="center"/>
          </w:tcPr>
          <w:p w14:paraId="2B5E61D0" w14:textId="77777777" w:rsidR="00454A29" w:rsidRDefault="00454A29">
            <w:pPr>
              <w:pStyle w:val="ConsPlusNormal"/>
            </w:pPr>
          </w:p>
        </w:tc>
        <w:tc>
          <w:tcPr>
            <w:tcW w:w="1814" w:type="dxa"/>
            <w:vAlign w:val="center"/>
          </w:tcPr>
          <w:p w14:paraId="5EDB42D9" w14:textId="77777777" w:rsidR="00454A29" w:rsidRDefault="00454A29">
            <w:pPr>
              <w:pStyle w:val="ConsPlusNormal"/>
            </w:pPr>
          </w:p>
        </w:tc>
      </w:tr>
      <w:tr w:rsidR="00454A29" w14:paraId="74834DEA" w14:textId="77777777">
        <w:tc>
          <w:tcPr>
            <w:tcW w:w="567" w:type="dxa"/>
            <w:vMerge w:val="restart"/>
            <w:vAlign w:val="center"/>
          </w:tcPr>
          <w:p w14:paraId="53813617" w14:textId="77777777" w:rsidR="00454A29" w:rsidRDefault="00454A29">
            <w:pPr>
              <w:pStyle w:val="ConsPlusNormal"/>
              <w:jc w:val="center"/>
            </w:pPr>
            <w:r>
              <w:t>104</w:t>
            </w:r>
          </w:p>
        </w:tc>
        <w:tc>
          <w:tcPr>
            <w:tcW w:w="3345" w:type="dxa"/>
            <w:vMerge w:val="restart"/>
            <w:vAlign w:val="center"/>
          </w:tcPr>
          <w:p w14:paraId="1F04E0D5" w14:textId="77777777" w:rsidR="00454A29" w:rsidRDefault="00454A29">
            <w:pPr>
              <w:pStyle w:val="ConsPlusNormal"/>
              <w:jc w:val="center"/>
            </w:pPr>
            <w:r>
              <w:t>Перепроектирование объекта незавершенного строительства здания ОРС в п. Айхал в целях реконструкции Айхальского филиала ГАПОУ РС(Я) "Региональный технический колледж в г. Мирном" под общежитие для студентов на 100 мест</w:t>
            </w:r>
          </w:p>
        </w:tc>
        <w:tc>
          <w:tcPr>
            <w:tcW w:w="1701" w:type="dxa"/>
            <w:vAlign w:val="center"/>
          </w:tcPr>
          <w:p w14:paraId="19320201" w14:textId="77777777" w:rsidR="00454A29" w:rsidRDefault="00454A29">
            <w:pPr>
              <w:pStyle w:val="ConsPlusNormal"/>
              <w:jc w:val="center"/>
            </w:pPr>
            <w:r>
              <w:t>Всего:</w:t>
            </w:r>
          </w:p>
        </w:tc>
        <w:tc>
          <w:tcPr>
            <w:tcW w:w="1417" w:type="dxa"/>
            <w:vMerge w:val="restart"/>
            <w:vAlign w:val="center"/>
          </w:tcPr>
          <w:p w14:paraId="2E83A3CD" w14:textId="77777777" w:rsidR="00454A29" w:rsidRDefault="00454A29">
            <w:pPr>
              <w:pStyle w:val="ConsPlusNormal"/>
              <w:jc w:val="center"/>
            </w:pPr>
            <w:r>
              <w:t>100 000,00</w:t>
            </w:r>
          </w:p>
        </w:tc>
        <w:tc>
          <w:tcPr>
            <w:tcW w:w="2204" w:type="dxa"/>
            <w:vMerge w:val="restart"/>
            <w:vAlign w:val="center"/>
          </w:tcPr>
          <w:p w14:paraId="0B2FB53C" w14:textId="77777777" w:rsidR="00454A29" w:rsidRDefault="00454A29">
            <w:pPr>
              <w:pStyle w:val="ConsPlusNormal"/>
            </w:pPr>
          </w:p>
        </w:tc>
        <w:tc>
          <w:tcPr>
            <w:tcW w:w="1417" w:type="dxa"/>
            <w:vMerge w:val="restart"/>
            <w:vAlign w:val="center"/>
          </w:tcPr>
          <w:p w14:paraId="40487665" w14:textId="77777777" w:rsidR="00454A29" w:rsidRDefault="00454A29">
            <w:pPr>
              <w:pStyle w:val="ConsPlusNormal"/>
              <w:jc w:val="center"/>
            </w:pPr>
            <w:r>
              <w:t>100</w:t>
            </w:r>
          </w:p>
        </w:tc>
        <w:tc>
          <w:tcPr>
            <w:tcW w:w="2324" w:type="dxa"/>
            <w:vMerge w:val="restart"/>
            <w:vAlign w:val="center"/>
          </w:tcPr>
          <w:p w14:paraId="36F2D1F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C6EB3D3" w14:textId="77777777" w:rsidR="00454A29" w:rsidRDefault="00454A29">
            <w:pPr>
              <w:pStyle w:val="ConsPlusNormal"/>
              <w:jc w:val="center"/>
            </w:pPr>
            <w:r>
              <w:t>91 597,48</w:t>
            </w:r>
          </w:p>
        </w:tc>
        <w:tc>
          <w:tcPr>
            <w:tcW w:w="1814" w:type="dxa"/>
            <w:vAlign w:val="center"/>
          </w:tcPr>
          <w:p w14:paraId="5DF5621E" w14:textId="77777777" w:rsidR="00454A29" w:rsidRDefault="00454A29">
            <w:pPr>
              <w:pStyle w:val="ConsPlusNormal"/>
              <w:jc w:val="center"/>
            </w:pPr>
            <w:r>
              <w:t>91 597,48</w:t>
            </w:r>
          </w:p>
        </w:tc>
        <w:tc>
          <w:tcPr>
            <w:tcW w:w="1701" w:type="dxa"/>
            <w:vAlign w:val="center"/>
          </w:tcPr>
          <w:p w14:paraId="29C20925" w14:textId="77777777" w:rsidR="00454A29" w:rsidRDefault="00454A29">
            <w:pPr>
              <w:pStyle w:val="ConsPlusNormal"/>
              <w:jc w:val="center"/>
            </w:pPr>
            <w:r>
              <w:t>-</w:t>
            </w:r>
          </w:p>
        </w:tc>
        <w:tc>
          <w:tcPr>
            <w:tcW w:w="1701" w:type="dxa"/>
            <w:vAlign w:val="center"/>
          </w:tcPr>
          <w:p w14:paraId="13E587AB" w14:textId="77777777" w:rsidR="00454A29" w:rsidRDefault="00454A29">
            <w:pPr>
              <w:pStyle w:val="ConsPlusNormal"/>
              <w:jc w:val="center"/>
            </w:pPr>
            <w:r>
              <w:t>-</w:t>
            </w:r>
          </w:p>
        </w:tc>
        <w:tc>
          <w:tcPr>
            <w:tcW w:w="1814" w:type="dxa"/>
            <w:vAlign w:val="center"/>
          </w:tcPr>
          <w:p w14:paraId="67925993" w14:textId="77777777" w:rsidR="00454A29" w:rsidRDefault="00454A29">
            <w:pPr>
              <w:pStyle w:val="ConsPlusNormal"/>
              <w:jc w:val="center"/>
            </w:pPr>
            <w:r>
              <w:t>-</w:t>
            </w:r>
          </w:p>
        </w:tc>
      </w:tr>
      <w:tr w:rsidR="00454A29" w14:paraId="761E6799" w14:textId="77777777">
        <w:tc>
          <w:tcPr>
            <w:tcW w:w="567" w:type="dxa"/>
            <w:vMerge/>
          </w:tcPr>
          <w:p w14:paraId="6C511153" w14:textId="77777777" w:rsidR="00454A29" w:rsidRDefault="00454A29"/>
        </w:tc>
        <w:tc>
          <w:tcPr>
            <w:tcW w:w="3345" w:type="dxa"/>
            <w:vMerge/>
          </w:tcPr>
          <w:p w14:paraId="7D129F26" w14:textId="77777777" w:rsidR="00454A29" w:rsidRDefault="00454A29"/>
        </w:tc>
        <w:tc>
          <w:tcPr>
            <w:tcW w:w="1701" w:type="dxa"/>
            <w:vAlign w:val="center"/>
          </w:tcPr>
          <w:p w14:paraId="4E707AB3" w14:textId="77777777" w:rsidR="00454A29" w:rsidRDefault="00454A29">
            <w:pPr>
              <w:pStyle w:val="ConsPlusNormal"/>
              <w:jc w:val="center"/>
            </w:pPr>
            <w:r>
              <w:t>2020</w:t>
            </w:r>
          </w:p>
        </w:tc>
        <w:tc>
          <w:tcPr>
            <w:tcW w:w="1417" w:type="dxa"/>
            <w:vMerge/>
          </w:tcPr>
          <w:p w14:paraId="4C2015A5" w14:textId="77777777" w:rsidR="00454A29" w:rsidRDefault="00454A29"/>
        </w:tc>
        <w:tc>
          <w:tcPr>
            <w:tcW w:w="2204" w:type="dxa"/>
            <w:vMerge/>
          </w:tcPr>
          <w:p w14:paraId="05EB3502" w14:textId="77777777" w:rsidR="00454A29" w:rsidRDefault="00454A29"/>
        </w:tc>
        <w:tc>
          <w:tcPr>
            <w:tcW w:w="1417" w:type="dxa"/>
            <w:vMerge/>
          </w:tcPr>
          <w:p w14:paraId="2B5D4DF1" w14:textId="77777777" w:rsidR="00454A29" w:rsidRDefault="00454A29"/>
        </w:tc>
        <w:tc>
          <w:tcPr>
            <w:tcW w:w="2324" w:type="dxa"/>
            <w:vMerge/>
          </w:tcPr>
          <w:p w14:paraId="3583E394" w14:textId="77777777" w:rsidR="00454A29" w:rsidRDefault="00454A29"/>
        </w:tc>
        <w:tc>
          <w:tcPr>
            <w:tcW w:w="1701" w:type="dxa"/>
            <w:vAlign w:val="center"/>
          </w:tcPr>
          <w:p w14:paraId="1FBE741E" w14:textId="77777777" w:rsidR="00454A29" w:rsidRDefault="00454A29">
            <w:pPr>
              <w:pStyle w:val="ConsPlusNormal"/>
              <w:jc w:val="center"/>
            </w:pPr>
            <w:r>
              <w:t>-</w:t>
            </w:r>
          </w:p>
        </w:tc>
        <w:tc>
          <w:tcPr>
            <w:tcW w:w="1814" w:type="dxa"/>
            <w:vAlign w:val="center"/>
          </w:tcPr>
          <w:p w14:paraId="68796415" w14:textId="77777777" w:rsidR="00454A29" w:rsidRDefault="00454A29">
            <w:pPr>
              <w:pStyle w:val="ConsPlusNormal"/>
            </w:pPr>
          </w:p>
        </w:tc>
        <w:tc>
          <w:tcPr>
            <w:tcW w:w="1701" w:type="dxa"/>
            <w:vAlign w:val="center"/>
          </w:tcPr>
          <w:p w14:paraId="14017AE2" w14:textId="77777777" w:rsidR="00454A29" w:rsidRDefault="00454A29">
            <w:pPr>
              <w:pStyle w:val="ConsPlusNormal"/>
            </w:pPr>
          </w:p>
        </w:tc>
        <w:tc>
          <w:tcPr>
            <w:tcW w:w="1701" w:type="dxa"/>
            <w:vAlign w:val="center"/>
          </w:tcPr>
          <w:p w14:paraId="17D3F03E" w14:textId="77777777" w:rsidR="00454A29" w:rsidRDefault="00454A29">
            <w:pPr>
              <w:pStyle w:val="ConsPlusNormal"/>
            </w:pPr>
          </w:p>
        </w:tc>
        <w:tc>
          <w:tcPr>
            <w:tcW w:w="1814" w:type="dxa"/>
            <w:vAlign w:val="center"/>
          </w:tcPr>
          <w:p w14:paraId="38B44095" w14:textId="77777777" w:rsidR="00454A29" w:rsidRDefault="00454A29">
            <w:pPr>
              <w:pStyle w:val="ConsPlusNormal"/>
            </w:pPr>
          </w:p>
        </w:tc>
      </w:tr>
      <w:tr w:rsidR="00454A29" w14:paraId="665DE0AA" w14:textId="77777777">
        <w:tc>
          <w:tcPr>
            <w:tcW w:w="567" w:type="dxa"/>
            <w:vMerge/>
          </w:tcPr>
          <w:p w14:paraId="07793FC3" w14:textId="77777777" w:rsidR="00454A29" w:rsidRDefault="00454A29"/>
        </w:tc>
        <w:tc>
          <w:tcPr>
            <w:tcW w:w="3345" w:type="dxa"/>
            <w:vMerge/>
          </w:tcPr>
          <w:p w14:paraId="518FD3F6" w14:textId="77777777" w:rsidR="00454A29" w:rsidRDefault="00454A29"/>
        </w:tc>
        <w:tc>
          <w:tcPr>
            <w:tcW w:w="1701" w:type="dxa"/>
            <w:vAlign w:val="center"/>
          </w:tcPr>
          <w:p w14:paraId="15C36015" w14:textId="77777777" w:rsidR="00454A29" w:rsidRDefault="00454A29">
            <w:pPr>
              <w:pStyle w:val="ConsPlusNormal"/>
              <w:jc w:val="center"/>
            </w:pPr>
            <w:r>
              <w:t>2021</w:t>
            </w:r>
          </w:p>
        </w:tc>
        <w:tc>
          <w:tcPr>
            <w:tcW w:w="1417" w:type="dxa"/>
            <w:vMerge/>
          </w:tcPr>
          <w:p w14:paraId="0349C5B2" w14:textId="77777777" w:rsidR="00454A29" w:rsidRDefault="00454A29"/>
        </w:tc>
        <w:tc>
          <w:tcPr>
            <w:tcW w:w="2204" w:type="dxa"/>
            <w:vMerge/>
          </w:tcPr>
          <w:p w14:paraId="4031FCC1" w14:textId="77777777" w:rsidR="00454A29" w:rsidRDefault="00454A29"/>
        </w:tc>
        <w:tc>
          <w:tcPr>
            <w:tcW w:w="1417" w:type="dxa"/>
            <w:vMerge/>
          </w:tcPr>
          <w:p w14:paraId="58BA4FB5" w14:textId="77777777" w:rsidR="00454A29" w:rsidRDefault="00454A29"/>
        </w:tc>
        <w:tc>
          <w:tcPr>
            <w:tcW w:w="2324" w:type="dxa"/>
            <w:vMerge/>
          </w:tcPr>
          <w:p w14:paraId="7E90AA31" w14:textId="77777777" w:rsidR="00454A29" w:rsidRDefault="00454A29"/>
        </w:tc>
        <w:tc>
          <w:tcPr>
            <w:tcW w:w="1701" w:type="dxa"/>
            <w:vAlign w:val="center"/>
          </w:tcPr>
          <w:p w14:paraId="0EDE1908" w14:textId="77777777" w:rsidR="00454A29" w:rsidRDefault="00454A29">
            <w:pPr>
              <w:pStyle w:val="ConsPlusNormal"/>
              <w:jc w:val="center"/>
            </w:pPr>
            <w:r>
              <w:t>-</w:t>
            </w:r>
          </w:p>
        </w:tc>
        <w:tc>
          <w:tcPr>
            <w:tcW w:w="1814" w:type="dxa"/>
            <w:vAlign w:val="center"/>
          </w:tcPr>
          <w:p w14:paraId="79730BDD" w14:textId="77777777" w:rsidR="00454A29" w:rsidRDefault="00454A29">
            <w:pPr>
              <w:pStyle w:val="ConsPlusNormal"/>
            </w:pPr>
          </w:p>
        </w:tc>
        <w:tc>
          <w:tcPr>
            <w:tcW w:w="1701" w:type="dxa"/>
            <w:vAlign w:val="center"/>
          </w:tcPr>
          <w:p w14:paraId="4D9B13D2" w14:textId="77777777" w:rsidR="00454A29" w:rsidRDefault="00454A29">
            <w:pPr>
              <w:pStyle w:val="ConsPlusNormal"/>
            </w:pPr>
          </w:p>
        </w:tc>
        <w:tc>
          <w:tcPr>
            <w:tcW w:w="1701" w:type="dxa"/>
            <w:vAlign w:val="center"/>
          </w:tcPr>
          <w:p w14:paraId="515446EA" w14:textId="77777777" w:rsidR="00454A29" w:rsidRDefault="00454A29">
            <w:pPr>
              <w:pStyle w:val="ConsPlusNormal"/>
            </w:pPr>
          </w:p>
        </w:tc>
        <w:tc>
          <w:tcPr>
            <w:tcW w:w="1814" w:type="dxa"/>
            <w:vAlign w:val="center"/>
          </w:tcPr>
          <w:p w14:paraId="293160DE" w14:textId="77777777" w:rsidR="00454A29" w:rsidRDefault="00454A29">
            <w:pPr>
              <w:pStyle w:val="ConsPlusNormal"/>
            </w:pPr>
          </w:p>
        </w:tc>
      </w:tr>
      <w:tr w:rsidR="00454A29" w14:paraId="0399C411" w14:textId="77777777">
        <w:tc>
          <w:tcPr>
            <w:tcW w:w="567" w:type="dxa"/>
            <w:vMerge/>
          </w:tcPr>
          <w:p w14:paraId="3A80C68E" w14:textId="77777777" w:rsidR="00454A29" w:rsidRDefault="00454A29"/>
        </w:tc>
        <w:tc>
          <w:tcPr>
            <w:tcW w:w="3345" w:type="dxa"/>
            <w:vMerge/>
          </w:tcPr>
          <w:p w14:paraId="794E0588" w14:textId="77777777" w:rsidR="00454A29" w:rsidRDefault="00454A29"/>
        </w:tc>
        <w:tc>
          <w:tcPr>
            <w:tcW w:w="1701" w:type="dxa"/>
            <w:vAlign w:val="center"/>
          </w:tcPr>
          <w:p w14:paraId="41372B57" w14:textId="77777777" w:rsidR="00454A29" w:rsidRDefault="00454A29">
            <w:pPr>
              <w:pStyle w:val="ConsPlusNormal"/>
              <w:jc w:val="center"/>
            </w:pPr>
            <w:r>
              <w:t>2022</w:t>
            </w:r>
          </w:p>
        </w:tc>
        <w:tc>
          <w:tcPr>
            <w:tcW w:w="1417" w:type="dxa"/>
            <w:vMerge/>
          </w:tcPr>
          <w:p w14:paraId="7C868909" w14:textId="77777777" w:rsidR="00454A29" w:rsidRDefault="00454A29"/>
        </w:tc>
        <w:tc>
          <w:tcPr>
            <w:tcW w:w="2204" w:type="dxa"/>
            <w:vMerge/>
          </w:tcPr>
          <w:p w14:paraId="504415B4" w14:textId="77777777" w:rsidR="00454A29" w:rsidRDefault="00454A29"/>
        </w:tc>
        <w:tc>
          <w:tcPr>
            <w:tcW w:w="1417" w:type="dxa"/>
            <w:vMerge/>
          </w:tcPr>
          <w:p w14:paraId="5F0188E9" w14:textId="77777777" w:rsidR="00454A29" w:rsidRDefault="00454A29"/>
        </w:tc>
        <w:tc>
          <w:tcPr>
            <w:tcW w:w="2324" w:type="dxa"/>
            <w:vMerge/>
          </w:tcPr>
          <w:p w14:paraId="58EE2969" w14:textId="77777777" w:rsidR="00454A29" w:rsidRDefault="00454A29"/>
        </w:tc>
        <w:tc>
          <w:tcPr>
            <w:tcW w:w="1701" w:type="dxa"/>
            <w:vAlign w:val="center"/>
          </w:tcPr>
          <w:p w14:paraId="43B78805" w14:textId="77777777" w:rsidR="00454A29" w:rsidRDefault="00454A29">
            <w:pPr>
              <w:pStyle w:val="ConsPlusNormal"/>
            </w:pPr>
          </w:p>
        </w:tc>
        <w:tc>
          <w:tcPr>
            <w:tcW w:w="1814" w:type="dxa"/>
            <w:vAlign w:val="center"/>
          </w:tcPr>
          <w:p w14:paraId="72EA10B7" w14:textId="77777777" w:rsidR="00454A29" w:rsidRDefault="00454A29">
            <w:pPr>
              <w:pStyle w:val="ConsPlusNormal"/>
            </w:pPr>
          </w:p>
        </w:tc>
        <w:tc>
          <w:tcPr>
            <w:tcW w:w="1701" w:type="dxa"/>
            <w:vAlign w:val="center"/>
          </w:tcPr>
          <w:p w14:paraId="189021B6" w14:textId="77777777" w:rsidR="00454A29" w:rsidRDefault="00454A29">
            <w:pPr>
              <w:pStyle w:val="ConsPlusNormal"/>
            </w:pPr>
          </w:p>
        </w:tc>
        <w:tc>
          <w:tcPr>
            <w:tcW w:w="1701" w:type="dxa"/>
            <w:vAlign w:val="center"/>
          </w:tcPr>
          <w:p w14:paraId="6C6A05E0" w14:textId="77777777" w:rsidR="00454A29" w:rsidRDefault="00454A29">
            <w:pPr>
              <w:pStyle w:val="ConsPlusNormal"/>
            </w:pPr>
          </w:p>
        </w:tc>
        <w:tc>
          <w:tcPr>
            <w:tcW w:w="1814" w:type="dxa"/>
            <w:vAlign w:val="center"/>
          </w:tcPr>
          <w:p w14:paraId="3A705C82" w14:textId="77777777" w:rsidR="00454A29" w:rsidRDefault="00454A29">
            <w:pPr>
              <w:pStyle w:val="ConsPlusNormal"/>
            </w:pPr>
          </w:p>
        </w:tc>
      </w:tr>
      <w:tr w:rsidR="00454A29" w14:paraId="01A52F7C" w14:textId="77777777">
        <w:tc>
          <w:tcPr>
            <w:tcW w:w="567" w:type="dxa"/>
            <w:vMerge/>
          </w:tcPr>
          <w:p w14:paraId="3D0375AD" w14:textId="77777777" w:rsidR="00454A29" w:rsidRDefault="00454A29"/>
        </w:tc>
        <w:tc>
          <w:tcPr>
            <w:tcW w:w="3345" w:type="dxa"/>
            <w:vMerge/>
          </w:tcPr>
          <w:p w14:paraId="48C63BD9" w14:textId="77777777" w:rsidR="00454A29" w:rsidRDefault="00454A29"/>
        </w:tc>
        <w:tc>
          <w:tcPr>
            <w:tcW w:w="1701" w:type="dxa"/>
            <w:vAlign w:val="center"/>
          </w:tcPr>
          <w:p w14:paraId="77F2D10A" w14:textId="77777777" w:rsidR="00454A29" w:rsidRDefault="00454A29">
            <w:pPr>
              <w:pStyle w:val="ConsPlusNormal"/>
              <w:jc w:val="center"/>
            </w:pPr>
            <w:r>
              <w:t>2023</w:t>
            </w:r>
          </w:p>
        </w:tc>
        <w:tc>
          <w:tcPr>
            <w:tcW w:w="1417" w:type="dxa"/>
            <w:vMerge/>
          </w:tcPr>
          <w:p w14:paraId="394A6B56" w14:textId="77777777" w:rsidR="00454A29" w:rsidRDefault="00454A29"/>
        </w:tc>
        <w:tc>
          <w:tcPr>
            <w:tcW w:w="2204" w:type="dxa"/>
            <w:vMerge/>
          </w:tcPr>
          <w:p w14:paraId="7704A213" w14:textId="77777777" w:rsidR="00454A29" w:rsidRDefault="00454A29"/>
        </w:tc>
        <w:tc>
          <w:tcPr>
            <w:tcW w:w="1417" w:type="dxa"/>
            <w:vMerge/>
          </w:tcPr>
          <w:p w14:paraId="07CA98F5" w14:textId="77777777" w:rsidR="00454A29" w:rsidRDefault="00454A29"/>
        </w:tc>
        <w:tc>
          <w:tcPr>
            <w:tcW w:w="2324" w:type="dxa"/>
            <w:vMerge/>
          </w:tcPr>
          <w:p w14:paraId="025AB1C5" w14:textId="77777777" w:rsidR="00454A29" w:rsidRDefault="00454A29"/>
        </w:tc>
        <w:tc>
          <w:tcPr>
            <w:tcW w:w="1701" w:type="dxa"/>
            <w:vAlign w:val="center"/>
          </w:tcPr>
          <w:p w14:paraId="6C627FF8" w14:textId="77777777" w:rsidR="00454A29" w:rsidRDefault="00454A29">
            <w:pPr>
              <w:pStyle w:val="ConsPlusNormal"/>
              <w:jc w:val="center"/>
            </w:pPr>
            <w:r>
              <w:t>7 794,12</w:t>
            </w:r>
          </w:p>
        </w:tc>
        <w:tc>
          <w:tcPr>
            <w:tcW w:w="1814" w:type="dxa"/>
            <w:vAlign w:val="center"/>
          </w:tcPr>
          <w:p w14:paraId="19D45026" w14:textId="77777777" w:rsidR="00454A29" w:rsidRDefault="00454A29">
            <w:pPr>
              <w:pStyle w:val="ConsPlusNormal"/>
              <w:jc w:val="center"/>
            </w:pPr>
            <w:r>
              <w:t>7 794,12</w:t>
            </w:r>
          </w:p>
        </w:tc>
        <w:tc>
          <w:tcPr>
            <w:tcW w:w="1701" w:type="dxa"/>
            <w:vAlign w:val="center"/>
          </w:tcPr>
          <w:p w14:paraId="01138060" w14:textId="77777777" w:rsidR="00454A29" w:rsidRDefault="00454A29">
            <w:pPr>
              <w:pStyle w:val="ConsPlusNormal"/>
            </w:pPr>
          </w:p>
        </w:tc>
        <w:tc>
          <w:tcPr>
            <w:tcW w:w="1701" w:type="dxa"/>
            <w:vAlign w:val="center"/>
          </w:tcPr>
          <w:p w14:paraId="643089B0" w14:textId="77777777" w:rsidR="00454A29" w:rsidRDefault="00454A29">
            <w:pPr>
              <w:pStyle w:val="ConsPlusNormal"/>
            </w:pPr>
          </w:p>
        </w:tc>
        <w:tc>
          <w:tcPr>
            <w:tcW w:w="1814" w:type="dxa"/>
            <w:vAlign w:val="center"/>
          </w:tcPr>
          <w:p w14:paraId="351F023A" w14:textId="77777777" w:rsidR="00454A29" w:rsidRDefault="00454A29">
            <w:pPr>
              <w:pStyle w:val="ConsPlusNormal"/>
            </w:pPr>
          </w:p>
        </w:tc>
      </w:tr>
      <w:tr w:rsidR="00454A29" w14:paraId="0871B3C4" w14:textId="77777777">
        <w:tc>
          <w:tcPr>
            <w:tcW w:w="567" w:type="dxa"/>
            <w:vMerge/>
          </w:tcPr>
          <w:p w14:paraId="391B554E" w14:textId="77777777" w:rsidR="00454A29" w:rsidRDefault="00454A29"/>
        </w:tc>
        <w:tc>
          <w:tcPr>
            <w:tcW w:w="3345" w:type="dxa"/>
            <w:vMerge/>
          </w:tcPr>
          <w:p w14:paraId="68A46016" w14:textId="77777777" w:rsidR="00454A29" w:rsidRDefault="00454A29"/>
        </w:tc>
        <w:tc>
          <w:tcPr>
            <w:tcW w:w="1701" w:type="dxa"/>
            <w:vAlign w:val="center"/>
          </w:tcPr>
          <w:p w14:paraId="05070DA1" w14:textId="77777777" w:rsidR="00454A29" w:rsidRDefault="00454A29">
            <w:pPr>
              <w:pStyle w:val="ConsPlusNormal"/>
              <w:jc w:val="center"/>
            </w:pPr>
            <w:r>
              <w:t>2024</w:t>
            </w:r>
          </w:p>
        </w:tc>
        <w:tc>
          <w:tcPr>
            <w:tcW w:w="1417" w:type="dxa"/>
            <w:vMerge/>
          </w:tcPr>
          <w:p w14:paraId="7AA28099" w14:textId="77777777" w:rsidR="00454A29" w:rsidRDefault="00454A29"/>
        </w:tc>
        <w:tc>
          <w:tcPr>
            <w:tcW w:w="2204" w:type="dxa"/>
            <w:vMerge/>
          </w:tcPr>
          <w:p w14:paraId="472C66BE" w14:textId="77777777" w:rsidR="00454A29" w:rsidRDefault="00454A29"/>
        </w:tc>
        <w:tc>
          <w:tcPr>
            <w:tcW w:w="1417" w:type="dxa"/>
            <w:vMerge/>
          </w:tcPr>
          <w:p w14:paraId="0D6E55ED" w14:textId="77777777" w:rsidR="00454A29" w:rsidRDefault="00454A29"/>
        </w:tc>
        <w:tc>
          <w:tcPr>
            <w:tcW w:w="2324" w:type="dxa"/>
            <w:vMerge/>
          </w:tcPr>
          <w:p w14:paraId="5CE322D6" w14:textId="77777777" w:rsidR="00454A29" w:rsidRDefault="00454A29"/>
        </w:tc>
        <w:tc>
          <w:tcPr>
            <w:tcW w:w="1701" w:type="dxa"/>
            <w:vAlign w:val="center"/>
          </w:tcPr>
          <w:p w14:paraId="10BC5F5C" w14:textId="77777777" w:rsidR="00454A29" w:rsidRDefault="00454A29">
            <w:pPr>
              <w:pStyle w:val="ConsPlusNormal"/>
              <w:jc w:val="center"/>
            </w:pPr>
            <w:r>
              <w:t>25 613,36</w:t>
            </w:r>
          </w:p>
        </w:tc>
        <w:tc>
          <w:tcPr>
            <w:tcW w:w="1814" w:type="dxa"/>
            <w:vAlign w:val="center"/>
          </w:tcPr>
          <w:p w14:paraId="25A30A51" w14:textId="77777777" w:rsidR="00454A29" w:rsidRDefault="00454A29">
            <w:pPr>
              <w:pStyle w:val="ConsPlusNormal"/>
              <w:jc w:val="center"/>
            </w:pPr>
            <w:r>
              <w:t>25 613,36</w:t>
            </w:r>
          </w:p>
        </w:tc>
        <w:tc>
          <w:tcPr>
            <w:tcW w:w="1701" w:type="dxa"/>
            <w:vAlign w:val="center"/>
          </w:tcPr>
          <w:p w14:paraId="7ACF7A3F" w14:textId="77777777" w:rsidR="00454A29" w:rsidRDefault="00454A29">
            <w:pPr>
              <w:pStyle w:val="ConsPlusNormal"/>
            </w:pPr>
          </w:p>
        </w:tc>
        <w:tc>
          <w:tcPr>
            <w:tcW w:w="1701" w:type="dxa"/>
            <w:vAlign w:val="center"/>
          </w:tcPr>
          <w:p w14:paraId="0491C544" w14:textId="77777777" w:rsidR="00454A29" w:rsidRDefault="00454A29">
            <w:pPr>
              <w:pStyle w:val="ConsPlusNormal"/>
            </w:pPr>
          </w:p>
        </w:tc>
        <w:tc>
          <w:tcPr>
            <w:tcW w:w="1814" w:type="dxa"/>
            <w:vAlign w:val="center"/>
          </w:tcPr>
          <w:p w14:paraId="67497746" w14:textId="77777777" w:rsidR="00454A29" w:rsidRDefault="00454A29">
            <w:pPr>
              <w:pStyle w:val="ConsPlusNormal"/>
            </w:pPr>
          </w:p>
        </w:tc>
      </w:tr>
      <w:tr w:rsidR="00454A29" w14:paraId="0E3DEDB9" w14:textId="77777777">
        <w:tc>
          <w:tcPr>
            <w:tcW w:w="567" w:type="dxa"/>
            <w:vMerge/>
          </w:tcPr>
          <w:p w14:paraId="0D0A18EF" w14:textId="77777777" w:rsidR="00454A29" w:rsidRDefault="00454A29"/>
        </w:tc>
        <w:tc>
          <w:tcPr>
            <w:tcW w:w="3345" w:type="dxa"/>
            <w:vMerge/>
          </w:tcPr>
          <w:p w14:paraId="576B3B2D" w14:textId="77777777" w:rsidR="00454A29" w:rsidRDefault="00454A29"/>
        </w:tc>
        <w:tc>
          <w:tcPr>
            <w:tcW w:w="1701" w:type="dxa"/>
            <w:vAlign w:val="center"/>
          </w:tcPr>
          <w:p w14:paraId="47CA0996" w14:textId="77777777" w:rsidR="00454A29" w:rsidRDefault="00454A29">
            <w:pPr>
              <w:pStyle w:val="ConsPlusNormal"/>
              <w:jc w:val="center"/>
            </w:pPr>
            <w:r>
              <w:t>2025</w:t>
            </w:r>
          </w:p>
        </w:tc>
        <w:tc>
          <w:tcPr>
            <w:tcW w:w="1417" w:type="dxa"/>
            <w:vMerge/>
          </w:tcPr>
          <w:p w14:paraId="2CDE89F9" w14:textId="77777777" w:rsidR="00454A29" w:rsidRDefault="00454A29"/>
        </w:tc>
        <w:tc>
          <w:tcPr>
            <w:tcW w:w="2204" w:type="dxa"/>
            <w:vMerge/>
          </w:tcPr>
          <w:p w14:paraId="705FDE0F" w14:textId="77777777" w:rsidR="00454A29" w:rsidRDefault="00454A29"/>
        </w:tc>
        <w:tc>
          <w:tcPr>
            <w:tcW w:w="1417" w:type="dxa"/>
            <w:vMerge/>
          </w:tcPr>
          <w:p w14:paraId="28D6E607" w14:textId="77777777" w:rsidR="00454A29" w:rsidRDefault="00454A29"/>
        </w:tc>
        <w:tc>
          <w:tcPr>
            <w:tcW w:w="2324" w:type="dxa"/>
            <w:vMerge/>
          </w:tcPr>
          <w:p w14:paraId="574368B1" w14:textId="77777777" w:rsidR="00454A29" w:rsidRDefault="00454A29"/>
        </w:tc>
        <w:tc>
          <w:tcPr>
            <w:tcW w:w="1701" w:type="dxa"/>
            <w:vAlign w:val="center"/>
          </w:tcPr>
          <w:p w14:paraId="50143973" w14:textId="77777777" w:rsidR="00454A29" w:rsidRDefault="00454A29">
            <w:pPr>
              <w:pStyle w:val="ConsPlusNormal"/>
              <w:jc w:val="center"/>
            </w:pPr>
            <w:r>
              <w:t>58 190,00</w:t>
            </w:r>
          </w:p>
        </w:tc>
        <w:tc>
          <w:tcPr>
            <w:tcW w:w="1814" w:type="dxa"/>
            <w:vAlign w:val="center"/>
          </w:tcPr>
          <w:p w14:paraId="32ECC0E0" w14:textId="77777777" w:rsidR="00454A29" w:rsidRDefault="00454A29">
            <w:pPr>
              <w:pStyle w:val="ConsPlusNormal"/>
              <w:jc w:val="center"/>
            </w:pPr>
            <w:r>
              <w:t>58 190,00</w:t>
            </w:r>
          </w:p>
        </w:tc>
        <w:tc>
          <w:tcPr>
            <w:tcW w:w="1701" w:type="dxa"/>
            <w:vAlign w:val="center"/>
          </w:tcPr>
          <w:p w14:paraId="3FB031E2" w14:textId="77777777" w:rsidR="00454A29" w:rsidRDefault="00454A29">
            <w:pPr>
              <w:pStyle w:val="ConsPlusNormal"/>
            </w:pPr>
          </w:p>
        </w:tc>
        <w:tc>
          <w:tcPr>
            <w:tcW w:w="1701" w:type="dxa"/>
            <w:vAlign w:val="center"/>
          </w:tcPr>
          <w:p w14:paraId="65768324" w14:textId="77777777" w:rsidR="00454A29" w:rsidRDefault="00454A29">
            <w:pPr>
              <w:pStyle w:val="ConsPlusNormal"/>
            </w:pPr>
          </w:p>
        </w:tc>
        <w:tc>
          <w:tcPr>
            <w:tcW w:w="1814" w:type="dxa"/>
            <w:vAlign w:val="center"/>
          </w:tcPr>
          <w:p w14:paraId="0E91E654" w14:textId="77777777" w:rsidR="00454A29" w:rsidRDefault="00454A29">
            <w:pPr>
              <w:pStyle w:val="ConsPlusNormal"/>
            </w:pPr>
          </w:p>
        </w:tc>
      </w:tr>
      <w:tr w:rsidR="00454A29" w14:paraId="52108695" w14:textId="77777777">
        <w:tc>
          <w:tcPr>
            <w:tcW w:w="567" w:type="dxa"/>
            <w:vMerge/>
          </w:tcPr>
          <w:p w14:paraId="78D59770" w14:textId="77777777" w:rsidR="00454A29" w:rsidRDefault="00454A29"/>
        </w:tc>
        <w:tc>
          <w:tcPr>
            <w:tcW w:w="3345" w:type="dxa"/>
            <w:vMerge/>
          </w:tcPr>
          <w:p w14:paraId="351F9D99" w14:textId="77777777" w:rsidR="00454A29" w:rsidRDefault="00454A29"/>
        </w:tc>
        <w:tc>
          <w:tcPr>
            <w:tcW w:w="1701" w:type="dxa"/>
            <w:vAlign w:val="center"/>
          </w:tcPr>
          <w:p w14:paraId="18EDBE71" w14:textId="77777777" w:rsidR="00454A29" w:rsidRDefault="00454A29">
            <w:pPr>
              <w:pStyle w:val="ConsPlusNormal"/>
              <w:jc w:val="center"/>
            </w:pPr>
            <w:r>
              <w:t>2026</w:t>
            </w:r>
          </w:p>
        </w:tc>
        <w:tc>
          <w:tcPr>
            <w:tcW w:w="1417" w:type="dxa"/>
            <w:vMerge/>
          </w:tcPr>
          <w:p w14:paraId="73AFAFF1" w14:textId="77777777" w:rsidR="00454A29" w:rsidRDefault="00454A29"/>
        </w:tc>
        <w:tc>
          <w:tcPr>
            <w:tcW w:w="2204" w:type="dxa"/>
            <w:vMerge/>
          </w:tcPr>
          <w:p w14:paraId="35FDA7EA" w14:textId="77777777" w:rsidR="00454A29" w:rsidRDefault="00454A29"/>
        </w:tc>
        <w:tc>
          <w:tcPr>
            <w:tcW w:w="1417" w:type="dxa"/>
            <w:vMerge/>
          </w:tcPr>
          <w:p w14:paraId="5F1F7D1E" w14:textId="77777777" w:rsidR="00454A29" w:rsidRDefault="00454A29"/>
        </w:tc>
        <w:tc>
          <w:tcPr>
            <w:tcW w:w="2324" w:type="dxa"/>
            <w:vMerge/>
          </w:tcPr>
          <w:p w14:paraId="560FE22E" w14:textId="77777777" w:rsidR="00454A29" w:rsidRDefault="00454A29"/>
        </w:tc>
        <w:tc>
          <w:tcPr>
            <w:tcW w:w="1701" w:type="dxa"/>
            <w:vAlign w:val="center"/>
          </w:tcPr>
          <w:p w14:paraId="3A64E956" w14:textId="77777777" w:rsidR="00454A29" w:rsidRDefault="00454A29">
            <w:pPr>
              <w:pStyle w:val="ConsPlusNormal"/>
              <w:jc w:val="center"/>
            </w:pPr>
            <w:r>
              <w:t>-</w:t>
            </w:r>
          </w:p>
        </w:tc>
        <w:tc>
          <w:tcPr>
            <w:tcW w:w="1814" w:type="dxa"/>
            <w:vAlign w:val="center"/>
          </w:tcPr>
          <w:p w14:paraId="4C584DED" w14:textId="77777777" w:rsidR="00454A29" w:rsidRDefault="00454A29">
            <w:pPr>
              <w:pStyle w:val="ConsPlusNormal"/>
            </w:pPr>
          </w:p>
        </w:tc>
        <w:tc>
          <w:tcPr>
            <w:tcW w:w="1701" w:type="dxa"/>
            <w:vAlign w:val="center"/>
          </w:tcPr>
          <w:p w14:paraId="72B25416" w14:textId="77777777" w:rsidR="00454A29" w:rsidRDefault="00454A29">
            <w:pPr>
              <w:pStyle w:val="ConsPlusNormal"/>
            </w:pPr>
          </w:p>
        </w:tc>
        <w:tc>
          <w:tcPr>
            <w:tcW w:w="1701" w:type="dxa"/>
            <w:vAlign w:val="center"/>
          </w:tcPr>
          <w:p w14:paraId="3E50CBC6" w14:textId="77777777" w:rsidR="00454A29" w:rsidRDefault="00454A29">
            <w:pPr>
              <w:pStyle w:val="ConsPlusNormal"/>
            </w:pPr>
          </w:p>
        </w:tc>
        <w:tc>
          <w:tcPr>
            <w:tcW w:w="1814" w:type="dxa"/>
            <w:vAlign w:val="center"/>
          </w:tcPr>
          <w:p w14:paraId="3CA64777" w14:textId="77777777" w:rsidR="00454A29" w:rsidRDefault="00454A29">
            <w:pPr>
              <w:pStyle w:val="ConsPlusNormal"/>
            </w:pPr>
          </w:p>
        </w:tc>
      </w:tr>
      <w:tr w:rsidR="00454A29" w14:paraId="6882A074" w14:textId="77777777">
        <w:tc>
          <w:tcPr>
            <w:tcW w:w="567" w:type="dxa"/>
            <w:vMerge w:val="restart"/>
            <w:vAlign w:val="center"/>
          </w:tcPr>
          <w:p w14:paraId="5F07E09D" w14:textId="77777777" w:rsidR="00454A29" w:rsidRDefault="00454A29">
            <w:pPr>
              <w:pStyle w:val="ConsPlusNormal"/>
              <w:jc w:val="center"/>
            </w:pPr>
            <w:r>
              <w:t>105</w:t>
            </w:r>
          </w:p>
        </w:tc>
        <w:tc>
          <w:tcPr>
            <w:tcW w:w="3345" w:type="dxa"/>
            <w:vMerge w:val="restart"/>
            <w:vAlign w:val="center"/>
          </w:tcPr>
          <w:p w14:paraId="4C40C2BF" w14:textId="77777777" w:rsidR="00454A29" w:rsidRDefault="00454A29">
            <w:pPr>
              <w:pStyle w:val="ConsPlusNormal"/>
              <w:jc w:val="center"/>
            </w:pPr>
            <w:r>
              <w:t>Пристрой на 370 мест учебного корпуса Якутского финансово-</w:t>
            </w:r>
            <w:r>
              <w:lastRenderedPageBreak/>
              <w:t>экономического колледжа им. И.И. Фадеева</w:t>
            </w:r>
          </w:p>
        </w:tc>
        <w:tc>
          <w:tcPr>
            <w:tcW w:w="1701" w:type="dxa"/>
            <w:vAlign w:val="center"/>
          </w:tcPr>
          <w:p w14:paraId="6B7BFFD0" w14:textId="77777777" w:rsidR="00454A29" w:rsidRDefault="00454A29">
            <w:pPr>
              <w:pStyle w:val="ConsPlusNormal"/>
              <w:jc w:val="center"/>
            </w:pPr>
            <w:r>
              <w:lastRenderedPageBreak/>
              <w:t>Всего:</w:t>
            </w:r>
          </w:p>
        </w:tc>
        <w:tc>
          <w:tcPr>
            <w:tcW w:w="1417" w:type="dxa"/>
            <w:vMerge w:val="restart"/>
            <w:vAlign w:val="center"/>
          </w:tcPr>
          <w:p w14:paraId="0F11B405" w14:textId="77777777" w:rsidR="00454A29" w:rsidRDefault="00454A29">
            <w:pPr>
              <w:pStyle w:val="ConsPlusNormal"/>
              <w:jc w:val="center"/>
            </w:pPr>
            <w:r>
              <w:t>700 000,00</w:t>
            </w:r>
          </w:p>
        </w:tc>
        <w:tc>
          <w:tcPr>
            <w:tcW w:w="2204" w:type="dxa"/>
            <w:vMerge w:val="restart"/>
            <w:vAlign w:val="center"/>
          </w:tcPr>
          <w:p w14:paraId="3533D532" w14:textId="77777777" w:rsidR="00454A29" w:rsidRDefault="00454A29">
            <w:pPr>
              <w:pStyle w:val="ConsPlusNormal"/>
            </w:pPr>
          </w:p>
        </w:tc>
        <w:tc>
          <w:tcPr>
            <w:tcW w:w="1417" w:type="dxa"/>
            <w:vMerge w:val="restart"/>
            <w:vAlign w:val="center"/>
          </w:tcPr>
          <w:p w14:paraId="2086AD8B" w14:textId="77777777" w:rsidR="00454A29" w:rsidRDefault="00454A29">
            <w:pPr>
              <w:pStyle w:val="ConsPlusNormal"/>
              <w:jc w:val="center"/>
            </w:pPr>
            <w:r>
              <w:t>370</w:t>
            </w:r>
          </w:p>
        </w:tc>
        <w:tc>
          <w:tcPr>
            <w:tcW w:w="2324" w:type="dxa"/>
            <w:vMerge w:val="restart"/>
            <w:vAlign w:val="center"/>
          </w:tcPr>
          <w:p w14:paraId="69BC60D2" w14:textId="77777777" w:rsidR="00454A29" w:rsidRDefault="00454A29">
            <w:pPr>
              <w:pStyle w:val="ConsPlusNormal"/>
              <w:jc w:val="center"/>
            </w:pPr>
            <w:r>
              <w:t xml:space="preserve">Минстрой РС(Я), ГКУ "Служба </w:t>
            </w:r>
            <w:r>
              <w:lastRenderedPageBreak/>
              <w:t>государственного заказчика Республики Саха (Якутия)"</w:t>
            </w:r>
          </w:p>
        </w:tc>
        <w:tc>
          <w:tcPr>
            <w:tcW w:w="1701" w:type="dxa"/>
            <w:vAlign w:val="center"/>
          </w:tcPr>
          <w:p w14:paraId="7ADB4262" w14:textId="77777777" w:rsidR="00454A29" w:rsidRDefault="00454A29">
            <w:pPr>
              <w:pStyle w:val="ConsPlusNormal"/>
              <w:jc w:val="center"/>
            </w:pPr>
            <w:r>
              <w:lastRenderedPageBreak/>
              <w:t>629 800,00</w:t>
            </w:r>
          </w:p>
        </w:tc>
        <w:tc>
          <w:tcPr>
            <w:tcW w:w="1814" w:type="dxa"/>
            <w:vAlign w:val="center"/>
          </w:tcPr>
          <w:p w14:paraId="488EB199" w14:textId="77777777" w:rsidR="00454A29" w:rsidRDefault="00454A29">
            <w:pPr>
              <w:pStyle w:val="ConsPlusNormal"/>
              <w:jc w:val="center"/>
            </w:pPr>
            <w:r>
              <w:t>629 800,00</w:t>
            </w:r>
          </w:p>
        </w:tc>
        <w:tc>
          <w:tcPr>
            <w:tcW w:w="1701" w:type="dxa"/>
            <w:vAlign w:val="center"/>
          </w:tcPr>
          <w:p w14:paraId="25400823" w14:textId="77777777" w:rsidR="00454A29" w:rsidRDefault="00454A29">
            <w:pPr>
              <w:pStyle w:val="ConsPlusNormal"/>
              <w:jc w:val="center"/>
            </w:pPr>
            <w:r>
              <w:t>-</w:t>
            </w:r>
          </w:p>
        </w:tc>
        <w:tc>
          <w:tcPr>
            <w:tcW w:w="1701" w:type="dxa"/>
            <w:vAlign w:val="center"/>
          </w:tcPr>
          <w:p w14:paraId="2484DA1E" w14:textId="77777777" w:rsidR="00454A29" w:rsidRDefault="00454A29">
            <w:pPr>
              <w:pStyle w:val="ConsPlusNormal"/>
              <w:jc w:val="center"/>
            </w:pPr>
            <w:r>
              <w:t>-</w:t>
            </w:r>
          </w:p>
        </w:tc>
        <w:tc>
          <w:tcPr>
            <w:tcW w:w="1814" w:type="dxa"/>
            <w:vAlign w:val="center"/>
          </w:tcPr>
          <w:p w14:paraId="17B07B9B" w14:textId="77777777" w:rsidR="00454A29" w:rsidRDefault="00454A29">
            <w:pPr>
              <w:pStyle w:val="ConsPlusNormal"/>
              <w:jc w:val="center"/>
            </w:pPr>
            <w:r>
              <w:t>-</w:t>
            </w:r>
          </w:p>
        </w:tc>
      </w:tr>
      <w:tr w:rsidR="00454A29" w14:paraId="766DA112" w14:textId="77777777">
        <w:tc>
          <w:tcPr>
            <w:tcW w:w="567" w:type="dxa"/>
            <w:vMerge/>
          </w:tcPr>
          <w:p w14:paraId="7652765A" w14:textId="77777777" w:rsidR="00454A29" w:rsidRDefault="00454A29"/>
        </w:tc>
        <w:tc>
          <w:tcPr>
            <w:tcW w:w="3345" w:type="dxa"/>
            <w:vMerge/>
          </w:tcPr>
          <w:p w14:paraId="54935055" w14:textId="77777777" w:rsidR="00454A29" w:rsidRDefault="00454A29"/>
        </w:tc>
        <w:tc>
          <w:tcPr>
            <w:tcW w:w="1701" w:type="dxa"/>
            <w:vAlign w:val="center"/>
          </w:tcPr>
          <w:p w14:paraId="327DAD9D" w14:textId="77777777" w:rsidR="00454A29" w:rsidRDefault="00454A29">
            <w:pPr>
              <w:pStyle w:val="ConsPlusNormal"/>
              <w:jc w:val="center"/>
            </w:pPr>
            <w:r>
              <w:t>2020</w:t>
            </w:r>
          </w:p>
        </w:tc>
        <w:tc>
          <w:tcPr>
            <w:tcW w:w="1417" w:type="dxa"/>
            <w:vMerge/>
          </w:tcPr>
          <w:p w14:paraId="1A7A269F" w14:textId="77777777" w:rsidR="00454A29" w:rsidRDefault="00454A29"/>
        </w:tc>
        <w:tc>
          <w:tcPr>
            <w:tcW w:w="2204" w:type="dxa"/>
            <w:vMerge/>
          </w:tcPr>
          <w:p w14:paraId="5B285948" w14:textId="77777777" w:rsidR="00454A29" w:rsidRDefault="00454A29"/>
        </w:tc>
        <w:tc>
          <w:tcPr>
            <w:tcW w:w="1417" w:type="dxa"/>
            <w:vMerge/>
          </w:tcPr>
          <w:p w14:paraId="35F60FD9" w14:textId="77777777" w:rsidR="00454A29" w:rsidRDefault="00454A29"/>
        </w:tc>
        <w:tc>
          <w:tcPr>
            <w:tcW w:w="2324" w:type="dxa"/>
            <w:vMerge/>
          </w:tcPr>
          <w:p w14:paraId="3BCAD8DD" w14:textId="77777777" w:rsidR="00454A29" w:rsidRDefault="00454A29"/>
        </w:tc>
        <w:tc>
          <w:tcPr>
            <w:tcW w:w="1701" w:type="dxa"/>
            <w:vAlign w:val="center"/>
          </w:tcPr>
          <w:p w14:paraId="6FEE78BD" w14:textId="77777777" w:rsidR="00454A29" w:rsidRDefault="00454A29">
            <w:pPr>
              <w:pStyle w:val="ConsPlusNormal"/>
              <w:jc w:val="center"/>
            </w:pPr>
            <w:r>
              <w:t>-</w:t>
            </w:r>
          </w:p>
        </w:tc>
        <w:tc>
          <w:tcPr>
            <w:tcW w:w="1814" w:type="dxa"/>
            <w:vAlign w:val="center"/>
          </w:tcPr>
          <w:p w14:paraId="2A9ADE6D" w14:textId="77777777" w:rsidR="00454A29" w:rsidRDefault="00454A29">
            <w:pPr>
              <w:pStyle w:val="ConsPlusNormal"/>
            </w:pPr>
          </w:p>
        </w:tc>
        <w:tc>
          <w:tcPr>
            <w:tcW w:w="1701" w:type="dxa"/>
            <w:vAlign w:val="center"/>
          </w:tcPr>
          <w:p w14:paraId="1253C781" w14:textId="77777777" w:rsidR="00454A29" w:rsidRDefault="00454A29">
            <w:pPr>
              <w:pStyle w:val="ConsPlusNormal"/>
            </w:pPr>
          </w:p>
        </w:tc>
        <w:tc>
          <w:tcPr>
            <w:tcW w:w="1701" w:type="dxa"/>
            <w:vAlign w:val="center"/>
          </w:tcPr>
          <w:p w14:paraId="3319536A" w14:textId="77777777" w:rsidR="00454A29" w:rsidRDefault="00454A29">
            <w:pPr>
              <w:pStyle w:val="ConsPlusNormal"/>
            </w:pPr>
          </w:p>
        </w:tc>
        <w:tc>
          <w:tcPr>
            <w:tcW w:w="1814" w:type="dxa"/>
            <w:vAlign w:val="center"/>
          </w:tcPr>
          <w:p w14:paraId="6DA1E225" w14:textId="77777777" w:rsidR="00454A29" w:rsidRDefault="00454A29">
            <w:pPr>
              <w:pStyle w:val="ConsPlusNormal"/>
            </w:pPr>
          </w:p>
        </w:tc>
      </w:tr>
      <w:tr w:rsidR="00454A29" w14:paraId="3E839F29" w14:textId="77777777">
        <w:tc>
          <w:tcPr>
            <w:tcW w:w="567" w:type="dxa"/>
            <w:vMerge/>
          </w:tcPr>
          <w:p w14:paraId="66C924A6" w14:textId="77777777" w:rsidR="00454A29" w:rsidRDefault="00454A29"/>
        </w:tc>
        <w:tc>
          <w:tcPr>
            <w:tcW w:w="3345" w:type="dxa"/>
            <w:vMerge/>
          </w:tcPr>
          <w:p w14:paraId="4D8FF0E9" w14:textId="77777777" w:rsidR="00454A29" w:rsidRDefault="00454A29"/>
        </w:tc>
        <w:tc>
          <w:tcPr>
            <w:tcW w:w="1701" w:type="dxa"/>
            <w:vAlign w:val="center"/>
          </w:tcPr>
          <w:p w14:paraId="2619F71C" w14:textId="77777777" w:rsidR="00454A29" w:rsidRDefault="00454A29">
            <w:pPr>
              <w:pStyle w:val="ConsPlusNormal"/>
              <w:jc w:val="center"/>
            </w:pPr>
            <w:r>
              <w:t>2021</w:t>
            </w:r>
          </w:p>
        </w:tc>
        <w:tc>
          <w:tcPr>
            <w:tcW w:w="1417" w:type="dxa"/>
            <w:vMerge/>
          </w:tcPr>
          <w:p w14:paraId="4D29A631" w14:textId="77777777" w:rsidR="00454A29" w:rsidRDefault="00454A29"/>
        </w:tc>
        <w:tc>
          <w:tcPr>
            <w:tcW w:w="2204" w:type="dxa"/>
            <w:vMerge/>
          </w:tcPr>
          <w:p w14:paraId="51D98868" w14:textId="77777777" w:rsidR="00454A29" w:rsidRDefault="00454A29"/>
        </w:tc>
        <w:tc>
          <w:tcPr>
            <w:tcW w:w="1417" w:type="dxa"/>
            <w:vMerge/>
          </w:tcPr>
          <w:p w14:paraId="2152D91F" w14:textId="77777777" w:rsidR="00454A29" w:rsidRDefault="00454A29"/>
        </w:tc>
        <w:tc>
          <w:tcPr>
            <w:tcW w:w="2324" w:type="dxa"/>
            <w:vMerge/>
          </w:tcPr>
          <w:p w14:paraId="02603DDA" w14:textId="77777777" w:rsidR="00454A29" w:rsidRDefault="00454A29"/>
        </w:tc>
        <w:tc>
          <w:tcPr>
            <w:tcW w:w="1701" w:type="dxa"/>
            <w:vAlign w:val="center"/>
          </w:tcPr>
          <w:p w14:paraId="41318187" w14:textId="77777777" w:rsidR="00454A29" w:rsidRDefault="00454A29">
            <w:pPr>
              <w:pStyle w:val="ConsPlusNormal"/>
              <w:jc w:val="center"/>
            </w:pPr>
            <w:r>
              <w:t>-</w:t>
            </w:r>
          </w:p>
        </w:tc>
        <w:tc>
          <w:tcPr>
            <w:tcW w:w="1814" w:type="dxa"/>
            <w:vAlign w:val="center"/>
          </w:tcPr>
          <w:p w14:paraId="2342EDC4" w14:textId="77777777" w:rsidR="00454A29" w:rsidRDefault="00454A29">
            <w:pPr>
              <w:pStyle w:val="ConsPlusNormal"/>
            </w:pPr>
          </w:p>
        </w:tc>
        <w:tc>
          <w:tcPr>
            <w:tcW w:w="1701" w:type="dxa"/>
            <w:vAlign w:val="center"/>
          </w:tcPr>
          <w:p w14:paraId="59A83AE3" w14:textId="77777777" w:rsidR="00454A29" w:rsidRDefault="00454A29">
            <w:pPr>
              <w:pStyle w:val="ConsPlusNormal"/>
            </w:pPr>
          </w:p>
        </w:tc>
        <w:tc>
          <w:tcPr>
            <w:tcW w:w="1701" w:type="dxa"/>
            <w:vAlign w:val="center"/>
          </w:tcPr>
          <w:p w14:paraId="25E809A2" w14:textId="77777777" w:rsidR="00454A29" w:rsidRDefault="00454A29">
            <w:pPr>
              <w:pStyle w:val="ConsPlusNormal"/>
            </w:pPr>
          </w:p>
        </w:tc>
        <w:tc>
          <w:tcPr>
            <w:tcW w:w="1814" w:type="dxa"/>
            <w:vAlign w:val="center"/>
          </w:tcPr>
          <w:p w14:paraId="51C6464B" w14:textId="77777777" w:rsidR="00454A29" w:rsidRDefault="00454A29">
            <w:pPr>
              <w:pStyle w:val="ConsPlusNormal"/>
            </w:pPr>
          </w:p>
        </w:tc>
      </w:tr>
      <w:tr w:rsidR="00454A29" w14:paraId="095501D4" w14:textId="77777777">
        <w:tc>
          <w:tcPr>
            <w:tcW w:w="567" w:type="dxa"/>
            <w:vMerge/>
          </w:tcPr>
          <w:p w14:paraId="5A7DC1A8" w14:textId="77777777" w:rsidR="00454A29" w:rsidRDefault="00454A29"/>
        </w:tc>
        <w:tc>
          <w:tcPr>
            <w:tcW w:w="3345" w:type="dxa"/>
            <w:vMerge/>
          </w:tcPr>
          <w:p w14:paraId="257B3B1A" w14:textId="77777777" w:rsidR="00454A29" w:rsidRDefault="00454A29"/>
        </w:tc>
        <w:tc>
          <w:tcPr>
            <w:tcW w:w="1701" w:type="dxa"/>
            <w:vAlign w:val="center"/>
          </w:tcPr>
          <w:p w14:paraId="03970B99" w14:textId="77777777" w:rsidR="00454A29" w:rsidRDefault="00454A29">
            <w:pPr>
              <w:pStyle w:val="ConsPlusNormal"/>
              <w:jc w:val="center"/>
            </w:pPr>
            <w:r>
              <w:t>2022</w:t>
            </w:r>
          </w:p>
        </w:tc>
        <w:tc>
          <w:tcPr>
            <w:tcW w:w="1417" w:type="dxa"/>
            <w:vMerge/>
          </w:tcPr>
          <w:p w14:paraId="54A49411" w14:textId="77777777" w:rsidR="00454A29" w:rsidRDefault="00454A29"/>
        </w:tc>
        <w:tc>
          <w:tcPr>
            <w:tcW w:w="2204" w:type="dxa"/>
            <w:vMerge/>
          </w:tcPr>
          <w:p w14:paraId="48D145D0" w14:textId="77777777" w:rsidR="00454A29" w:rsidRDefault="00454A29"/>
        </w:tc>
        <w:tc>
          <w:tcPr>
            <w:tcW w:w="1417" w:type="dxa"/>
            <w:vMerge/>
          </w:tcPr>
          <w:p w14:paraId="1F701D26" w14:textId="77777777" w:rsidR="00454A29" w:rsidRDefault="00454A29"/>
        </w:tc>
        <w:tc>
          <w:tcPr>
            <w:tcW w:w="2324" w:type="dxa"/>
            <w:vMerge/>
          </w:tcPr>
          <w:p w14:paraId="2B1AF374" w14:textId="77777777" w:rsidR="00454A29" w:rsidRDefault="00454A29"/>
        </w:tc>
        <w:tc>
          <w:tcPr>
            <w:tcW w:w="1701" w:type="dxa"/>
            <w:vAlign w:val="center"/>
          </w:tcPr>
          <w:p w14:paraId="43FA68E8" w14:textId="77777777" w:rsidR="00454A29" w:rsidRDefault="00454A29">
            <w:pPr>
              <w:pStyle w:val="ConsPlusNormal"/>
              <w:jc w:val="center"/>
            </w:pPr>
            <w:r>
              <w:t>-</w:t>
            </w:r>
          </w:p>
        </w:tc>
        <w:tc>
          <w:tcPr>
            <w:tcW w:w="1814" w:type="dxa"/>
            <w:vAlign w:val="center"/>
          </w:tcPr>
          <w:p w14:paraId="789755DC" w14:textId="77777777" w:rsidR="00454A29" w:rsidRDefault="00454A29">
            <w:pPr>
              <w:pStyle w:val="ConsPlusNormal"/>
            </w:pPr>
          </w:p>
        </w:tc>
        <w:tc>
          <w:tcPr>
            <w:tcW w:w="1701" w:type="dxa"/>
            <w:vAlign w:val="center"/>
          </w:tcPr>
          <w:p w14:paraId="60C5C0FF" w14:textId="77777777" w:rsidR="00454A29" w:rsidRDefault="00454A29">
            <w:pPr>
              <w:pStyle w:val="ConsPlusNormal"/>
            </w:pPr>
          </w:p>
        </w:tc>
        <w:tc>
          <w:tcPr>
            <w:tcW w:w="1701" w:type="dxa"/>
            <w:vAlign w:val="center"/>
          </w:tcPr>
          <w:p w14:paraId="1D89DC04" w14:textId="77777777" w:rsidR="00454A29" w:rsidRDefault="00454A29">
            <w:pPr>
              <w:pStyle w:val="ConsPlusNormal"/>
            </w:pPr>
          </w:p>
        </w:tc>
        <w:tc>
          <w:tcPr>
            <w:tcW w:w="1814" w:type="dxa"/>
            <w:vAlign w:val="center"/>
          </w:tcPr>
          <w:p w14:paraId="4CCA5613" w14:textId="77777777" w:rsidR="00454A29" w:rsidRDefault="00454A29">
            <w:pPr>
              <w:pStyle w:val="ConsPlusNormal"/>
            </w:pPr>
          </w:p>
        </w:tc>
      </w:tr>
      <w:tr w:rsidR="00454A29" w14:paraId="28C5E8A6" w14:textId="77777777">
        <w:tc>
          <w:tcPr>
            <w:tcW w:w="567" w:type="dxa"/>
            <w:vMerge/>
          </w:tcPr>
          <w:p w14:paraId="1D33DD36" w14:textId="77777777" w:rsidR="00454A29" w:rsidRDefault="00454A29"/>
        </w:tc>
        <w:tc>
          <w:tcPr>
            <w:tcW w:w="3345" w:type="dxa"/>
            <w:vMerge/>
          </w:tcPr>
          <w:p w14:paraId="69BA271F" w14:textId="77777777" w:rsidR="00454A29" w:rsidRDefault="00454A29"/>
        </w:tc>
        <w:tc>
          <w:tcPr>
            <w:tcW w:w="1701" w:type="dxa"/>
            <w:vAlign w:val="center"/>
          </w:tcPr>
          <w:p w14:paraId="257BCD8B" w14:textId="77777777" w:rsidR="00454A29" w:rsidRDefault="00454A29">
            <w:pPr>
              <w:pStyle w:val="ConsPlusNormal"/>
              <w:jc w:val="center"/>
            </w:pPr>
            <w:r>
              <w:t>2023</w:t>
            </w:r>
          </w:p>
        </w:tc>
        <w:tc>
          <w:tcPr>
            <w:tcW w:w="1417" w:type="dxa"/>
            <w:vMerge/>
          </w:tcPr>
          <w:p w14:paraId="19891BF3" w14:textId="77777777" w:rsidR="00454A29" w:rsidRDefault="00454A29"/>
        </w:tc>
        <w:tc>
          <w:tcPr>
            <w:tcW w:w="2204" w:type="dxa"/>
            <w:vMerge/>
          </w:tcPr>
          <w:p w14:paraId="3C01F392" w14:textId="77777777" w:rsidR="00454A29" w:rsidRDefault="00454A29"/>
        </w:tc>
        <w:tc>
          <w:tcPr>
            <w:tcW w:w="1417" w:type="dxa"/>
            <w:vMerge/>
          </w:tcPr>
          <w:p w14:paraId="31EA0E05" w14:textId="77777777" w:rsidR="00454A29" w:rsidRDefault="00454A29"/>
        </w:tc>
        <w:tc>
          <w:tcPr>
            <w:tcW w:w="2324" w:type="dxa"/>
            <w:vMerge/>
          </w:tcPr>
          <w:p w14:paraId="7B289175" w14:textId="77777777" w:rsidR="00454A29" w:rsidRDefault="00454A29"/>
        </w:tc>
        <w:tc>
          <w:tcPr>
            <w:tcW w:w="1701" w:type="dxa"/>
            <w:vAlign w:val="center"/>
          </w:tcPr>
          <w:p w14:paraId="5E6125D2" w14:textId="77777777" w:rsidR="00454A29" w:rsidRDefault="00454A29">
            <w:pPr>
              <w:pStyle w:val="ConsPlusNormal"/>
              <w:jc w:val="center"/>
            </w:pPr>
            <w:r>
              <w:t>49 600,00</w:t>
            </w:r>
          </w:p>
        </w:tc>
        <w:tc>
          <w:tcPr>
            <w:tcW w:w="1814" w:type="dxa"/>
            <w:vAlign w:val="center"/>
          </w:tcPr>
          <w:p w14:paraId="4FF4CDEB" w14:textId="77777777" w:rsidR="00454A29" w:rsidRDefault="00454A29">
            <w:pPr>
              <w:pStyle w:val="ConsPlusNormal"/>
              <w:jc w:val="center"/>
            </w:pPr>
            <w:r>
              <w:t>49 600,00</w:t>
            </w:r>
          </w:p>
        </w:tc>
        <w:tc>
          <w:tcPr>
            <w:tcW w:w="1701" w:type="dxa"/>
            <w:vAlign w:val="center"/>
          </w:tcPr>
          <w:p w14:paraId="7D8C8809" w14:textId="77777777" w:rsidR="00454A29" w:rsidRDefault="00454A29">
            <w:pPr>
              <w:pStyle w:val="ConsPlusNormal"/>
            </w:pPr>
          </w:p>
        </w:tc>
        <w:tc>
          <w:tcPr>
            <w:tcW w:w="1701" w:type="dxa"/>
            <w:vAlign w:val="center"/>
          </w:tcPr>
          <w:p w14:paraId="134BAF0B" w14:textId="77777777" w:rsidR="00454A29" w:rsidRDefault="00454A29">
            <w:pPr>
              <w:pStyle w:val="ConsPlusNormal"/>
            </w:pPr>
          </w:p>
        </w:tc>
        <w:tc>
          <w:tcPr>
            <w:tcW w:w="1814" w:type="dxa"/>
            <w:vAlign w:val="center"/>
          </w:tcPr>
          <w:p w14:paraId="5986F084" w14:textId="77777777" w:rsidR="00454A29" w:rsidRDefault="00454A29">
            <w:pPr>
              <w:pStyle w:val="ConsPlusNormal"/>
            </w:pPr>
          </w:p>
        </w:tc>
      </w:tr>
      <w:tr w:rsidR="00454A29" w14:paraId="04DBDDD3" w14:textId="77777777">
        <w:tc>
          <w:tcPr>
            <w:tcW w:w="567" w:type="dxa"/>
            <w:vMerge/>
          </w:tcPr>
          <w:p w14:paraId="4B7AE2F9" w14:textId="77777777" w:rsidR="00454A29" w:rsidRDefault="00454A29"/>
        </w:tc>
        <w:tc>
          <w:tcPr>
            <w:tcW w:w="3345" w:type="dxa"/>
            <w:vMerge/>
          </w:tcPr>
          <w:p w14:paraId="44624CEA" w14:textId="77777777" w:rsidR="00454A29" w:rsidRDefault="00454A29"/>
        </w:tc>
        <w:tc>
          <w:tcPr>
            <w:tcW w:w="1701" w:type="dxa"/>
            <w:vAlign w:val="center"/>
          </w:tcPr>
          <w:p w14:paraId="0A2D7A6A" w14:textId="77777777" w:rsidR="00454A29" w:rsidRDefault="00454A29">
            <w:pPr>
              <w:pStyle w:val="ConsPlusNormal"/>
              <w:jc w:val="center"/>
            </w:pPr>
            <w:r>
              <w:t>2024</w:t>
            </w:r>
          </w:p>
        </w:tc>
        <w:tc>
          <w:tcPr>
            <w:tcW w:w="1417" w:type="dxa"/>
            <w:vMerge/>
          </w:tcPr>
          <w:p w14:paraId="0DBDD9FA" w14:textId="77777777" w:rsidR="00454A29" w:rsidRDefault="00454A29"/>
        </w:tc>
        <w:tc>
          <w:tcPr>
            <w:tcW w:w="2204" w:type="dxa"/>
            <w:vMerge/>
          </w:tcPr>
          <w:p w14:paraId="475FF867" w14:textId="77777777" w:rsidR="00454A29" w:rsidRDefault="00454A29"/>
        </w:tc>
        <w:tc>
          <w:tcPr>
            <w:tcW w:w="1417" w:type="dxa"/>
            <w:vMerge/>
          </w:tcPr>
          <w:p w14:paraId="47C9642E" w14:textId="77777777" w:rsidR="00454A29" w:rsidRDefault="00454A29"/>
        </w:tc>
        <w:tc>
          <w:tcPr>
            <w:tcW w:w="2324" w:type="dxa"/>
            <w:vMerge/>
          </w:tcPr>
          <w:p w14:paraId="14150D9C" w14:textId="77777777" w:rsidR="00454A29" w:rsidRDefault="00454A29"/>
        </w:tc>
        <w:tc>
          <w:tcPr>
            <w:tcW w:w="1701" w:type="dxa"/>
            <w:vAlign w:val="center"/>
          </w:tcPr>
          <w:p w14:paraId="06B7C56F" w14:textId="77777777" w:rsidR="00454A29" w:rsidRDefault="00454A29">
            <w:pPr>
              <w:pStyle w:val="ConsPlusNormal"/>
              <w:jc w:val="center"/>
            </w:pPr>
            <w:r>
              <w:t>200 700,00</w:t>
            </w:r>
          </w:p>
        </w:tc>
        <w:tc>
          <w:tcPr>
            <w:tcW w:w="1814" w:type="dxa"/>
            <w:vAlign w:val="center"/>
          </w:tcPr>
          <w:p w14:paraId="531DE9CC" w14:textId="77777777" w:rsidR="00454A29" w:rsidRDefault="00454A29">
            <w:pPr>
              <w:pStyle w:val="ConsPlusNormal"/>
              <w:jc w:val="center"/>
            </w:pPr>
            <w:r>
              <w:t>200 700,00</w:t>
            </w:r>
          </w:p>
        </w:tc>
        <w:tc>
          <w:tcPr>
            <w:tcW w:w="1701" w:type="dxa"/>
            <w:vAlign w:val="center"/>
          </w:tcPr>
          <w:p w14:paraId="3D9F12F9" w14:textId="77777777" w:rsidR="00454A29" w:rsidRDefault="00454A29">
            <w:pPr>
              <w:pStyle w:val="ConsPlusNormal"/>
            </w:pPr>
          </w:p>
        </w:tc>
        <w:tc>
          <w:tcPr>
            <w:tcW w:w="1701" w:type="dxa"/>
            <w:vAlign w:val="center"/>
          </w:tcPr>
          <w:p w14:paraId="1AA7A876" w14:textId="77777777" w:rsidR="00454A29" w:rsidRDefault="00454A29">
            <w:pPr>
              <w:pStyle w:val="ConsPlusNormal"/>
            </w:pPr>
          </w:p>
        </w:tc>
        <w:tc>
          <w:tcPr>
            <w:tcW w:w="1814" w:type="dxa"/>
            <w:vAlign w:val="center"/>
          </w:tcPr>
          <w:p w14:paraId="2CF66DB7" w14:textId="77777777" w:rsidR="00454A29" w:rsidRDefault="00454A29">
            <w:pPr>
              <w:pStyle w:val="ConsPlusNormal"/>
            </w:pPr>
          </w:p>
        </w:tc>
      </w:tr>
      <w:tr w:rsidR="00454A29" w14:paraId="2FEDF767" w14:textId="77777777">
        <w:tc>
          <w:tcPr>
            <w:tcW w:w="567" w:type="dxa"/>
            <w:vMerge/>
          </w:tcPr>
          <w:p w14:paraId="01D9A10D" w14:textId="77777777" w:rsidR="00454A29" w:rsidRDefault="00454A29"/>
        </w:tc>
        <w:tc>
          <w:tcPr>
            <w:tcW w:w="3345" w:type="dxa"/>
            <w:vMerge/>
          </w:tcPr>
          <w:p w14:paraId="15042872" w14:textId="77777777" w:rsidR="00454A29" w:rsidRDefault="00454A29"/>
        </w:tc>
        <w:tc>
          <w:tcPr>
            <w:tcW w:w="1701" w:type="dxa"/>
            <w:vAlign w:val="center"/>
          </w:tcPr>
          <w:p w14:paraId="5B906426" w14:textId="77777777" w:rsidR="00454A29" w:rsidRDefault="00454A29">
            <w:pPr>
              <w:pStyle w:val="ConsPlusNormal"/>
              <w:jc w:val="center"/>
            </w:pPr>
            <w:r>
              <w:t>2025</w:t>
            </w:r>
          </w:p>
        </w:tc>
        <w:tc>
          <w:tcPr>
            <w:tcW w:w="1417" w:type="dxa"/>
            <w:vMerge/>
          </w:tcPr>
          <w:p w14:paraId="4D5EE244" w14:textId="77777777" w:rsidR="00454A29" w:rsidRDefault="00454A29"/>
        </w:tc>
        <w:tc>
          <w:tcPr>
            <w:tcW w:w="2204" w:type="dxa"/>
            <w:vMerge/>
          </w:tcPr>
          <w:p w14:paraId="4C1B2A16" w14:textId="77777777" w:rsidR="00454A29" w:rsidRDefault="00454A29"/>
        </w:tc>
        <w:tc>
          <w:tcPr>
            <w:tcW w:w="1417" w:type="dxa"/>
            <w:vMerge/>
          </w:tcPr>
          <w:p w14:paraId="492A7099" w14:textId="77777777" w:rsidR="00454A29" w:rsidRDefault="00454A29"/>
        </w:tc>
        <w:tc>
          <w:tcPr>
            <w:tcW w:w="2324" w:type="dxa"/>
            <w:vMerge/>
          </w:tcPr>
          <w:p w14:paraId="7C2E78EB" w14:textId="77777777" w:rsidR="00454A29" w:rsidRDefault="00454A29"/>
        </w:tc>
        <w:tc>
          <w:tcPr>
            <w:tcW w:w="1701" w:type="dxa"/>
            <w:vAlign w:val="center"/>
          </w:tcPr>
          <w:p w14:paraId="1DE1B952" w14:textId="77777777" w:rsidR="00454A29" w:rsidRDefault="00454A29">
            <w:pPr>
              <w:pStyle w:val="ConsPlusNormal"/>
              <w:jc w:val="center"/>
            </w:pPr>
            <w:r>
              <w:t>379 500,00</w:t>
            </w:r>
          </w:p>
        </w:tc>
        <w:tc>
          <w:tcPr>
            <w:tcW w:w="1814" w:type="dxa"/>
            <w:vAlign w:val="center"/>
          </w:tcPr>
          <w:p w14:paraId="778F52A1" w14:textId="77777777" w:rsidR="00454A29" w:rsidRDefault="00454A29">
            <w:pPr>
              <w:pStyle w:val="ConsPlusNormal"/>
              <w:jc w:val="center"/>
            </w:pPr>
            <w:r>
              <w:t>379 500,00</w:t>
            </w:r>
          </w:p>
        </w:tc>
        <w:tc>
          <w:tcPr>
            <w:tcW w:w="1701" w:type="dxa"/>
            <w:vAlign w:val="center"/>
          </w:tcPr>
          <w:p w14:paraId="5061F481" w14:textId="77777777" w:rsidR="00454A29" w:rsidRDefault="00454A29">
            <w:pPr>
              <w:pStyle w:val="ConsPlusNormal"/>
            </w:pPr>
          </w:p>
        </w:tc>
        <w:tc>
          <w:tcPr>
            <w:tcW w:w="1701" w:type="dxa"/>
            <w:vAlign w:val="center"/>
          </w:tcPr>
          <w:p w14:paraId="58EDE92E" w14:textId="77777777" w:rsidR="00454A29" w:rsidRDefault="00454A29">
            <w:pPr>
              <w:pStyle w:val="ConsPlusNormal"/>
            </w:pPr>
          </w:p>
        </w:tc>
        <w:tc>
          <w:tcPr>
            <w:tcW w:w="1814" w:type="dxa"/>
            <w:vAlign w:val="center"/>
          </w:tcPr>
          <w:p w14:paraId="3A176E44" w14:textId="77777777" w:rsidR="00454A29" w:rsidRDefault="00454A29">
            <w:pPr>
              <w:pStyle w:val="ConsPlusNormal"/>
            </w:pPr>
          </w:p>
        </w:tc>
      </w:tr>
      <w:tr w:rsidR="00454A29" w14:paraId="1C7C7EB7" w14:textId="77777777">
        <w:tc>
          <w:tcPr>
            <w:tcW w:w="567" w:type="dxa"/>
            <w:vMerge/>
          </w:tcPr>
          <w:p w14:paraId="5738F5F2" w14:textId="77777777" w:rsidR="00454A29" w:rsidRDefault="00454A29"/>
        </w:tc>
        <w:tc>
          <w:tcPr>
            <w:tcW w:w="3345" w:type="dxa"/>
            <w:vMerge/>
          </w:tcPr>
          <w:p w14:paraId="3F40225A" w14:textId="77777777" w:rsidR="00454A29" w:rsidRDefault="00454A29"/>
        </w:tc>
        <w:tc>
          <w:tcPr>
            <w:tcW w:w="1701" w:type="dxa"/>
            <w:vAlign w:val="center"/>
          </w:tcPr>
          <w:p w14:paraId="1A729D95" w14:textId="77777777" w:rsidR="00454A29" w:rsidRDefault="00454A29">
            <w:pPr>
              <w:pStyle w:val="ConsPlusNormal"/>
              <w:jc w:val="center"/>
            </w:pPr>
            <w:r>
              <w:t>2026</w:t>
            </w:r>
          </w:p>
        </w:tc>
        <w:tc>
          <w:tcPr>
            <w:tcW w:w="1417" w:type="dxa"/>
            <w:vMerge/>
          </w:tcPr>
          <w:p w14:paraId="3A140A29" w14:textId="77777777" w:rsidR="00454A29" w:rsidRDefault="00454A29"/>
        </w:tc>
        <w:tc>
          <w:tcPr>
            <w:tcW w:w="2204" w:type="dxa"/>
            <w:vMerge/>
          </w:tcPr>
          <w:p w14:paraId="2DD6A71B" w14:textId="77777777" w:rsidR="00454A29" w:rsidRDefault="00454A29"/>
        </w:tc>
        <w:tc>
          <w:tcPr>
            <w:tcW w:w="1417" w:type="dxa"/>
            <w:vMerge/>
          </w:tcPr>
          <w:p w14:paraId="1ED572FA" w14:textId="77777777" w:rsidR="00454A29" w:rsidRDefault="00454A29"/>
        </w:tc>
        <w:tc>
          <w:tcPr>
            <w:tcW w:w="2324" w:type="dxa"/>
            <w:vMerge/>
          </w:tcPr>
          <w:p w14:paraId="7DA8B530" w14:textId="77777777" w:rsidR="00454A29" w:rsidRDefault="00454A29"/>
        </w:tc>
        <w:tc>
          <w:tcPr>
            <w:tcW w:w="1701" w:type="dxa"/>
            <w:vAlign w:val="center"/>
          </w:tcPr>
          <w:p w14:paraId="4C3BE082" w14:textId="77777777" w:rsidR="00454A29" w:rsidRDefault="00454A29">
            <w:pPr>
              <w:pStyle w:val="ConsPlusNormal"/>
              <w:jc w:val="center"/>
            </w:pPr>
            <w:r>
              <w:t>-</w:t>
            </w:r>
          </w:p>
        </w:tc>
        <w:tc>
          <w:tcPr>
            <w:tcW w:w="1814" w:type="dxa"/>
            <w:vAlign w:val="center"/>
          </w:tcPr>
          <w:p w14:paraId="3020AE9F" w14:textId="77777777" w:rsidR="00454A29" w:rsidRDefault="00454A29">
            <w:pPr>
              <w:pStyle w:val="ConsPlusNormal"/>
            </w:pPr>
          </w:p>
        </w:tc>
        <w:tc>
          <w:tcPr>
            <w:tcW w:w="1701" w:type="dxa"/>
            <w:vAlign w:val="center"/>
          </w:tcPr>
          <w:p w14:paraId="70D7E9F8" w14:textId="77777777" w:rsidR="00454A29" w:rsidRDefault="00454A29">
            <w:pPr>
              <w:pStyle w:val="ConsPlusNormal"/>
            </w:pPr>
          </w:p>
        </w:tc>
        <w:tc>
          <w:tcPr>
            <w:tcW w:w="1701" w:type="dxa"/>
            <w:vAlign w:val="center"/>
          </w:tcPr>
          <w:p w14:paraId="2637B1A0" w14:textId="77777777" w:rsidR="00454A29" w:rsidRDefault="00454A29">
            <w:pPr>
              <w:pStyle w:val="ConsPlusNormal"/>
            </w:pPr>
          </w:p>
        </w:tc>
        <w:tc>
          <w:tcPr>
            <w:tcW w:w="1814" w:type="dxa"/>
            <w:vAlign w:val="center"/>
          </w:tcPr>
          <w:p w14:paraId="41A61B92" w14:textId="77777777" w:rsidR="00454A29" w:rsidRDefault="00454A29">
            <w:pPr>
              <w:pStyle w:val="ConsPlusNormal"/>
            </w:pPr>
          </w:p>
        </w:tc>
      </w:tr>
      <w:tr w:rsidR="00454A29" w14:paraId="5BCC08C7" w14:textId="77777777">
        <w:tc>
          <w:tcPr>
            <w:tcW w:w="567" w:type="dxa"/>
            <w:vMerge w:val="restart"/>
            <w:vAlign w:val="center"/>
          </w:tcPr>
          <w:p w14:paraId="6F1601AD" w14:textId="77777777" w:rsidR="00454A29" w:rsidRDefault="00454A29">
            <w:pPr>
              <w:pStyle w:val="ConsPlusNormal"/>
              <w:jc w:val="center"/>
            </w:pPr>
            <w:r>
              <w:t>106</w:t>
            </w:r>
          </w:p>
        </w:tc>
        <w:tc>
          <w:tcPr>
            <w:tcW w:w="3345" w:type="dxa"/>
            <w:vMerge w:val="restart"/>
            <w:vAlign w:val="center"/>
          </w:tcPr>
          <w:p w14:paraId="3A4B49D3" w14:textId="77777777" w:rsidR="00454A29" w:rsidRDefault="00454A29">
            <w:pPr>
              <w:pStyle w:val="ConsPlusNormal"/>
              <w:jc w:val="center"/>
            </w:pPr>
            <w:r>
              <w:t>Проектирование и строительство комплекса для подготовки рабочих кадров для IT-отрасли в г. Якутске (МФК на 1000 мест, общежитие на 650 мест)</w:t>
            </w:r>
          </w:p>
        </w:tc>
        <w:tc>
          <w:tcPr>
            <w:tcW w:w="1701" w:type="dxa"/>
            <w:vAlign w:val="center"/>
          </w:tcPr>
          <w:p w14:paraId="755C06C8" w14:textId="77777777" w:rsidR="00454A29" w:rsidRDefault="00454A29">
            <w:pPr>
              <w:pStyle w:val="ConsPlusNormal"/>
              <w:jc w:val="center"/>
            </w:pPr>
            <w:r>
              <w:t>Всего:</w:t>
            </w:r>
          </w:p>
        </w:tc>
        <w:tc>
          <w:tcPr>
            <w:tcW w:w="1417" w:type="dxa"/>
            <w:vMerge w:val="restart"/>
            <w:vAlign w:val="center"/>
          </w:tcPr>
          <w:p w14:paraId="667D0C68" w14:textId="77777777" w:rsidR="00454A29" w:rsidRDefault="00454A29">
            <w:pPr>
              <w:pStyle w:val="ConsPlusNormal"/>
              <w:jc w:val="center"/>
            </w:pPr>
            <w:r>
              <w:t>1 700,00</w:t>
            </w:r>
          </w:p>
        </w:tc>
        <w:tc>
          <w:tcPr>
            <w:tcW w:w="2204" w:type="dxa"/>
            <w:vMerge w:val="restart"/>
            <w:vAlign w:val="center"/>
          </w:tcPr>
          <w:p w14:paraId="6651E565" w14:textId="77777777" w:rsidR="00454A29" w:rsidRDefault="00454A29">
            <w:pPr>
              <w:pStyle w:val="ConsPlusNormal"/>
            </w:pPr>
          </w:p>
        </w:tc>
        <w:tc>
          <w:tcPr>
            <w:tcW w:w="1417" w:type="dxa"/>
            <w:vMerge w:val="restart"/>
            <w:vAlign w:val="center"/>
          </w:tcPr>
          <w:p w14:paraId="6EDA37F1" w14:textId="77777777" w:rsidR="00454A29" w:rsidRDefault="00454A29">
            <w:pPr>
              <w:pStyle w:val="ConsPlusNormal"/>
              <w:jc w:val="center"/>
            </w:pPr>
            <w:r>
              <w:t>1000</w:t>
            </w:r>
          </w:p>
        </w:tc>
        <w:tc>
          <w:tcPr>
            <w:tcW w:w="2324" w:type="dxa"/>
            <w:vMerge w:val="restart"/>
            <w:vAlign w:val="center"/>
          </w:tcPr>
          <w:p w14:paraId="44A11A1A"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3733388" w14:textId="77777777" w:rsidR="00454A29" w:rsidRDefault="00454A29">
            <w:pPr>
              <w:pStyle w:val="ConsPlusNormal"/>
              <w:jc w:val="center"/>
            </w:pPr>
            <w:r>
              <w:t>1 408 400,00</w:t>
            </w:r>
          </w:p>
        </w:tc>
        <w:tc>
          <w:tcPr>
            <w:tcW w:w="1814" w:type="dxa"/>
            <w:vAlign w:val="center"/>
          </w:tcPr>
          <w:p w14:paraId="258CCB50" w14:textId="77777777" w:rsidR="00454A29" w:rsidRDefault="00454A29">
            <w:pPr>
              <w:pStyle w:val="ConsPlusNormal"/>
              <w:jc w:val="center"/>
            </w:pPr>
            <w:r>
              <w:t>1 408 400,00</w:t>
            </w:r>
          </w:p>
        </w:tc>
        <w:tc>
          <w:tcPr>
            <w:tcW w:w="1701" w:type="dxa"/>
            <w:vAlign w:val="center"/>
          </w:tcPr>
          <w:p w14:paraId="25608CE9" w14:textId="77777777" w:rsidR="00454A29" w:rsidRDefault="00454A29">
            <w:pPr>
              <w:pStyle w:val="ConsPlusNormal"/>
              <w:jc w:val="center"/>
            </w:pPr>
            <w:r>
              <w:t>-</w:t>
            </w:r>
          </w:p>
        </w:tc>
        <w:tc>
          <w:tcPr>
            <w:tcW w:w="1701" w:type="dxa"/>
            <w:vAlign w:val="center"/>
          </w:tcPr>
          <w:p w14:paraId="040AA01D" w14:textId="77777777" w:rsidR="00454A29" w:rsidRDefault="00454A29">
            <w:pPr>
              <w:pStyle w:val="ConsPlusNormal"/>
              <w:jc w:val="center"/>
            </w:pPr>
            <w:r>
              <w:t>-</w:t>
            </w:r>
          </w:p>
        </w:tc>
        <w:tc>
          <w:tcPr>
            <w:tcW w:w="1814" w:type="dxa"/>
            <w:vAlign w:val="center"/>
          </w:tcPr>
          <w:p w14:paraId="26AD275E" w14:textId="77777777" w:rsidR="00454A29" w:rsidRDefault="00454A29">
            <w:pPr>
              <w:pStyle w:val="ConsPlusNormal"/>
              <w:jc w:val="center"/>
            </w:pPr>
            <w:r>
              <w:t>-</w:t>
            </w:r>
          </w:p>
        </w:tc>
      </w:tr>
      <w:tr w:rsidR="00454A29" w14:paraId="735FF0B1" w14:textId="77777777">
        <w:tc>
          <w:tcPr>
            <w:tcW w:w="567" w:type="dxa"/>
            <w:vMerge/>
          </w:tcPr>
          <w:p w14:paraId="3D79AD02" w14:textId="77777777" w:rsidR="00454A29" w:rsidRDefault="00454A29"/>
        </w:tc>
        <w:tc>
          <w:tcPr>
            <w:tcW w:w="3345" w:type="dxa"/>
            <w:vMerge/>
          </w:tcPr>
          <w:p w14:paraId="7FEF0315" w14:textId="77777777" w:rsidR="00454A29" w:rsidRDefault="00454A29"/>
        </w:tc>
        <w:tc>
          <w:tcPr>
            <w:tcW w:w="1701" w:type="dxa"/>
            <w:vAlign w:val="center"/>
          </w:tcPr>
          <w:p w14:paraId="0F564946" w14:textId="77777777" w:rsidR="00454A29" w:rsidRDefault="00454A29">
            <w:pPr>
              <w:pStyle w:val="ConsPlusNormal"/>
              <w:jc w:val="center"/>
            </w:pPr>
            <w:r>
              <w:t>2020</w:t>
            </w:r>
          </w:p>
        </w:tc>
        <w:tc>
          <w:tcPr>
            <w:tcW w:w="1417" w:type="dxa"/>
            <w:vMerge/>
          </w:tcPr>
          <w:p w14:paraId="7C45B3A7" w14:textId="77777777" w:rsidR="00454A29" w:rsidRDefault="00454A29"/>
        </w:tc>
        <w:tc>
          <w:tcPr>
            <w:tcW w:w="2204" w:type="dxa"/>
            <w:vMerge/>
          </w:tcPr>
          <w:p w14:paraId="190A1AD6" w14:textId="77777777" w:rsidR="00454A29" w:rsidRDefault="00454A29"/>
        </w:tc>
        <w:tc>
          <w:tcPr>
            <w:tcW w:w="1417" w:type="dxa"/>
            <w:vMerge/>
          </w:tcPr>
          <w:p w14:paraId="33B43F50" w14:textId="77777777" w:rsidR="00454A29" w:rsidRDefault="00454A29"/>
        </w:tc>
        <w:tc>
          <w:tcPr>
            <w:tcW w:w="2324" w:type="dxa"/>
            <w:vMerge/>
          </w:tcPr>
          <w:p w14:paraId="24EDA30D" w14:textId="77777777" w:rsidR="00454A29" w:rsidRDefault="00454A29"/>
        </w:tc>
        <w:tc>
          <w:tcPr>
            <w:tcW w:w="1701" w:type="dxa"/>
            <w:vAlign w:val="center"/>
          </w:tcPr>
          <w:p w14:paraId="4B94EC09" w14:textId="77777777" w:rsidR="00454A29" w:rsidRDefault="00454A29">
            <w:pPr>
              <w:pStyle w:val="ConsPlusNormal"/>
              <w:jc w:val="center"/>
            </w:pPr>
            <w:r>
              <w:t>-</w:t>
            </w:r>
          </w:p>
        </w:tc>
        <w:tc>
          <w:tcPr>
            <w:tcW w:w="1814" w:type="dxa"/>
            <w:vAlign w:val="center"/>
          </w:tcPr>
          <w:p w14:paraId="2B2FE598" w14:textId="77777777" w:rsidR="00454A29" w:rsidRDefault="00454A29">
            <w:pPr>
              <w:pStyle w:val="ConsPlusNormal"/>
            </w:pPr>
          </w:p>
        </w:tc>
        <w:tc>
          <w:tcPr>
            <w:tcW w:w="1701" w:type="dxa"/>
            <w:vAlign w:val="center"/>
          </w:tcPr>
          <w:p w14:paraId="6787C744" w14:textId="77777777" w:rsidR="00454A29" w:rsidRDefault="00454A29">
            <w:pPr>
              <w:pStyle w:val="ConsPlusNormal"/>
            </w:pPr>
          </w:p>
        </w:tc>
        <w:tc>
          <w:tcPr>
            <w:tcW w:w="1701" w:type="dxa"/>
            <w:vAlign w:val="center"/>
          </w:tcPr>
          <w:p w14:paraId="5EF46DBE" w14:textId="77777777" w:rsidR="00454A29" w:rsidRDefault="00454A29">
            <w:pPr>
              <w:pStyle w:val="ConsPlusNormal"/>
            </w:pPr>
          </w:p>
        </w:tc>
        <w:tc>
          <w:tcPr>
            <w:tcW w:w="1814" w:type="dxa"/>
            <w:vAlign w:val="center"/>
          </w:tcPr>
          <w:p w14:paraId="6222FD65" w14:textId="77777777" w:rsidR="00454A29" w:rsidRDefault="00454A29">
            <w:pPr>
              <w:pStyle w:val="ConsPlusNormal"/>
            </w:pPr>
          </w:p>
        </w:tc>
      </w:tr>
      <w:tr w:rsidR="00454A29" w14:paraId="4D92390E" w14:textId="77777777">
        <w:tc>
          <w:tcPr>
            <w:tcW w:w="567" w:type="dxa"/>
            <w:vMerge/>
          </w:tcPr>
          <w:p w14:paraId="42A1B0CF" w14:textId="77777777" w:rsidR="00454A29" w:rsidRDefault="00454A29"/>
        </w:tc>
        <w:tc>
          <w:tcPr>
            <w:tcW w:w="3345" w:type="dxa"/>
            <w:vMerge/>
          </w:tcPr>
          <w:p w14:paraId="5008CE70" w14:textId="77777777" w:rsidR="00454A29" w:rsidRDefault="00454A29"/>
        </w:tc>
        <w:tc>
          <w:tcPr>
            <w:tcW w:w="1701" w:type="dxa"/>
            <w:vAlign w:val="center"/>
          </w:tcPr>
          <w:p w14:paraId="7CE48556" w14:textId="77777777" w:rsidR="00454A29" w:rsidRDefault="00454A29">
            <w:pPr>
              <w:pStyle w:val="ConsPlusNormal"/>
              <w:jc w:val="center"/>
            </w:pPr>
            <w:r>
              <w:t>2021</w:t>
            </w:r>
          </w:p>
        </w:tc>
        <w:tc>
          <w:tcPr>
            <w:tcW w:w="1417" w:type="dxa"/>
            <w:vMerge/>
          </w:tcPr>
          <w:p w14:paraId="65DC2E99" w14:textId="77777777" w:rsidR="00454A29" w:rsidRDefault="00454A29"/>
        </w:tc>
        <w:tc>
          <w:tcPr>
            <w:tcW w:w="2204" w:type="dxa"/>
            <w:vMerge/>
          </w:tcPr>
          <w:p w14:paraId="4AF4953F" w14:textId="77777777" w:rsidR="00454A29" w:rsidRDefault="00454A29"/>
        </w:tc>
        <w:tc>
          <w:tcPr>
            <w:tcW w:w="1417" w:type="dxa"/>
            <w:vMerge/>
          </w:tcPr>
          <w:p w14:paraId="240E80C8" w14:textId="77777777" w:rsidR="00454A29" w:rsidRDefault="00454A29"/>
        </w:tc>
        <w:tc>
          <w:tcPr>
            <w:tcW w:w="2324" w:type="dxa"/>
            <w:vMerge/>
          </w:tcPr>
          <w:p w14:paraId="5B6F4BE6" w14:textId="77777777" w:rsidR="00454A29" w:rsidRDefault="00454A29"/>
        </w:tc>
        <w:tc>
          <w:tcPr>
            <w:tcW w:w="1701" w:type="dxa"/>
            <w:vAlign w:val="center"/>
          </w:tcPr>
          <w:p w14:paraId="57BFAF30" w14:textId="77777777" w:rsidR="00454A29" w:rsidRDefault="00454A29">
            <w:pPr>
              <w:pStyle w:val="ConsPlusNormal"/>
              <w:jc w:val="center"/>
            </w:pPr>
            <w:r>
              <w:t>-</w:t>
            </w:r>
          </w:p>
        </w:tc>
        <w:tc>
          <w:tcPr>
            <w:tcW w:w="1814" w:type="dxa"/>
            <w:vAlign w:val="center"/>
          </w:tcPr>
          <w:p w14:paraId="6FB0AF35" w14:textId="77777777" w:rsidR="00454A29" w:rsidRDefault="00454A29">
            <w:pPr>
              <w:pStyle w:val="ConsPlusNormal"/>
            </w:pPr>
          </w:p>
        </w:tc>
        <w:tc>
          <w:tcPr>
            <w:tcW w:w="1701" w:type="dxa"/>
            <w:vAlign w:val="center"/>
          </w:tcPr>
          <w:p w14:paraId="683E7E3C" w14:textId="77777777" w:rsidR="00454A29" w:rsidRDefault="00454A29">
            <w:pPr>
              <w:pStyle w:val="ConsPlusNormal"/>
            </w:pPr>
          </w:p>
        </w:tc>
        <w:tc>
          <w:tcPr>
            <w:tcW w:w="1701" w:type="dxa"/>
            <w:vAlign w:val="center"/>
          </w:tcPr>
          <w:p w14:paraId="407DB8E9" w14:textId="77777777" w:rsidR="00454A29" w:rsidRDefault="00454A29">
            <w:pPr>
              <w:pStyle w:val="ConsPlusNormal"/>
            </w:pPr>
          </w:p>
        </w:tc>
        <w:tc>
          <w:tcPr>
            <w:tcW w:w="1814" w:type="dxa"/>
            <w:vAlign w:val="center"/>
          </w:tcPr>
          <w:p w14:paraId="322B98D0" w14:textId="77777777" w:rsidR="00454A29" w:rsidRDefault="00454A29">
            <w:pPr>
              <w:pStyle w:val="ConsPlusNormal"/>
            </w:pPr>
          </w:p>
        </w:tc>
      </w:tr>
      <w:tr w:rsidR="00454A29" w14:paraId="6738927C" w14:textId="77777777">
        <w:tc>
          <w:tcPr>
            <w:tcW w:w="567" w:type="dxa"/>
            <w:vMerge/>
          </w:tcPr>
          <w:p w14:paraId="7DA3B196" w14:textId="77777777" w:rsidR="00454A29" w:rsidRDefault="00454A29"/>
        </w:tc>
        <w:tc>
          <w:tcPr>
            <w:tcW w:w="3345" w:type="dxa"/>
            <w:vMerge/>
          </w:tcPr>
          <w:p w14:paraId="0BE0D017" w14:textId="77777777" w:rsidR="00454A29" w:rsidRDefault="00454A29"/>
        </w:tc>
        <w:tc>
          <w:tcPr>
            <w:tcW w:w="1701" w:type="dxa"/>
            <w:vAlign w:val="center"/>
          </w:tcPr>
          <w:p w14:paraId="4A9BBAED" w14:textId="77777777" w:rsidR="00454A29" w:rsidRDefault="00454A29">
            <w:pPr>
              <w:pStyle w:val="ConsPlusNormal"/>
              <w:jc w:val="center"/>
            </w:pPr>
            <w:r>
              <w:t>2022</w:t>
            </w:r>
          </w:p>
        </w:tc>
        <w:tc>
          <w:tcPr>
            <w:tcW w:w="1417" w:type="dxa"/>
            <w:vMerge/>
          </w:tcPr>
          <w:p w14:paraId="535EF541" w14:textId="77777777" w:rsidR="00454A29" w:rsidRDefault="00454A29"/>
        </w:tc>
        <w:tc>
          <w:tcPr>
            <w:tcW w:w="2204" w:type="dxa"/>
            <w:vMerge/>
          </w:tcPr>
          <w:p w14:paraId="7CF3B2AC" w14:textId="77777777" w:rsidR="00454A29" w:rsidRDefault="00454A29"/>
        </w:tc>
        <w:tc>
          <w:tcPr>
            <w:tcW w:w="1417" w:type="dxa"/>
            <w:vMerge/>
          </w:tcPr>
          <w:p w14:paraId="2C1A7E8D" w14:textId="77777777" w:rsidR="00454A29" w:rsidRDefault="00454A29"/>
        </w:tc>
        <w:tc>
          <w:tcPr>
            <w:tcW w:w="2324" w:type="dxa"/>
            <w:vMerge/>
          </w:tcPr>
          <w:p w14:paraId="0F75A9B0" w14:textId="77777777" w:rsidR="00454A29" w:rsidRDefault="00454A29"/>
        </w:tc>
        <w:tc>
          <w:tcPr>
            <w:tcW w:w="1701" w:type="dxa"/>
            <w:vAlign w:val="center"/>
          </w:tcPr>
          <w:p w14:paraId="2FFB7CD6" w14:textId="77777777" w:rsidR="00454A29" w:rsidRDefault="00454A29">
            <w:pPr>
              <w:pStyle w:val="ConsPlusNormal"/>
              <w:jc w:val="center"/>
            </w:pPr>
            <w:r>
              <w:t>-</w:t>
            </w:r>
          </w:p>
        </w:tc>
        <w:tc>
          <w:tcPr>
            <w:tcW w:w="1814" w:type="dxa"/>
            <w:vAlign w:val="center"/>
          </w:tcPr>
          <w:p w14:paraId="5DF0E48C" w14:textId="77777777" w:rsidR="00454A29" w:rsidRDefault="00454A29">
            <w:pPr>
              <w:pStyle w:val="ConsPlusNormal"/>
            </w:pPr>
          </w:p>
        </w:tc>
        <w:tc>
          <w:tcPr>
            <w:tcW w:w="1701" w:type="dxa"/>
            <w:vAlign w:val="center"/>
          </w:tcPr>
          <w:p w14:paraId="7D7CC1A5" w14:textId="77777777" w:rsidR="00454A29" w:rsidRDefault="00454A29">
            <w:pPr>
              <w:pStyle w:val="ConsPlusNormal"/>
            </w:pPr>
          </w:p>
        </w:tc>
        <w:tc>
          <w:tcPr>
            <w:tcW w:w="1701" w:type="dxa"/>
            <w:vAlign w:val="center"/>
          </w:tcPr>
          <w:p w14:paraId="361DE1A2" w14:textId="77777777" w:rsidR="00454A29" w:rsidRDefault="00454A29">
            <w:pPr>
              <w:pStyle w:val="ConsPlusNormal"/>
            </w:pPr>
          </w:p>
        </w:tc>
        <w:tc>
          <w:tcPr>
            <w:tcW w:w="1814" w:type="dxa"/>
            <w:vAlign w:val="center"/>
          </w:tcPr>
          <w:p w14:paraId="3365E615" w14:textId="77777777" w:rsidR="00454A29" w:rsidRDefault="00454A29">
            <w:pPr>
              <w:pStyle w:val="ConsPlusNormal"/>
            </w:pPr>
          </w:p>
        </w:tc>
      </w:tr>
      <w:tr w:rsidR="00454A29" w14:paraId="6BEC77BB" w14:textId="77777777">
        <w:tc>
          <w:tcPr>
            <w:tcW w:w="567" w:type="dxa"/>
            <w:vMerge/>
          </w:tcPr>
          <w:p w14:paraId="00589D9B" w14:textId="77777777" w:rsidR="00454A29" w:rsidRDefault="00454A29"/>
        </w:tc>
        <w:tc>
          <w:tcPr>
            <w:tcW w:w="3345" w:type="dxa"/>
            <w:vMerge/>
          </w:tcPr>
          <w:p w14:paraId="62A2EEC4" w14:textId="77777777" w:rsidR="00454A29" w:rsidRDefault="00454A29"/>
        </w:tc>
        <w:tc>
          <w:tcPr>
            <w:tcW w:w="1701" w:type="dxa"/>
            <w:vAlign w:val="center"/>
          </w:tcPr>
          <w:p w14:paraId="1FAEBC88" w14:textId="77777777" w:rsidR="00454A29" w:rsidRDefault="00454A29">
            <w:pPr>
              <w:pStyle w:val="ConsPlusNormal"/>
              <w:jc w:val="center"/>
            </w:pPr>
            <w:r>
              <w:t>2023</w:t>
            </w:r>
          </w:p>
        </w:tc>
        <w:tc>
          <w:tcPr>
            <w:tcW w:w="1417" w:type="dxa"/>
            <w:vMerge/>
          </w:tcPr>
          <w:p w14:paraId="0D8381C7" w14:textId="77777777" w:rsidR="00454A29" w:rsidRDefault="00454A29"/>
        </w:tc>
        <w:tc>
          <w:tcPr>
            <w:tcW w:w="2204" w:type="dxa"/>
            <w:vMerge/>
          </w:tcPr>
          <w:p w14:paraId="09167701" w14:textId="77777777" w:rsidR="00454A29" w:rsidRDefault="00454A29"/>
        </w:tc>
        <w:tc>
          <w:tcPr>
            <w:tcW w:w="1417" w:type="dxa"/>
            <w:vMerge/>
          </w:tcPr>
          <w:p w14:paraId="3DE00E52" w14:textId="77777777" w:rsidR="00454A29" w:rsidRDefault="00454A29"/>
        </w:tc>
        <w:tc>
          <w:tcPr>
            <w:tcW w:w="2324" w:type="dxa"/>
            <w:vMerge/>
          </w:tcPr>
          <w:p w14:paraId="57923907" w14:textId="77777777" w:rsidR="00454A29" w:rsidRDefault="00454A29"/>
        </w:tc>
        <w:tc>
          <w:tcPr>
            <w:tcW w:w="1701" w:type="dxa"/>
            <w:vAlign w:val="center"/>
          </w:tcPr>
          <w:p w14:paraId="1FA2A832" w14:textId="77777777" w:rsidR="00454A29" w:rsidRDefault="00454A29">
            <w:pPr>
              <w:pStyle w:val="ConsPlusNormal"/>
              <w:jc w:val="center"/>
            </w:pPr>
            <w:r>
              <w:t>248 000,00</w:t>
            </w:r>
          </w:p>
        </w:tc>
        <w:tc>
          <w:tcPr>
            <w:tcW w:w="1814" w:type="dxa"/>
            <w:vAlign w:val="center"/>
          </w:tcPr>
          <w:p w14:paraId="3E1B5A29" w14:textId="77777777" w:rsidR="00454A29" w:rsidRDefault="00454A29">
            <w:pPr>
              <w:pStyle w:val="ConsPlusNormal"/>
              <w:jc w:val="center"/>
            </w:pPr>
            <w:r>
              <w:t>248 000,00</w:t>
            </w:r>
          </w:p>
        </w:tc>
        <w:tc>
          <w:tcPr>
            <w:tcW w:w="1701" w:type="dxa"/>
            <w:vAlign w:val="center"/>
          </w:tcPr>
          <w:p w14:paraId="3A5EA220" w14:textId="77777777" w:rsidR="00454A29" w:rsidRDefault="00454A29">
            <w:pPr>
              <w:pStyle w:val="ConsPlusNormal"/>
            </w:pPr>
          </w:p>
        </w:tc>
        <w:tc>
          <w:tcPr>
            <w:tcW w:w="1701" w:type="dxa"/>
            <w:vAlign w:val="center"/>
          </w:tcPr>
          <w:p w14:paraId="5B7E6730" w14:textId="77777777" w:rsidR="00454A29" w:rsidRDefault="00454A29">
            <w:pPr>
              <w:pStyle w:val="ConsPlusNormal"/>
            </w:pPr>
          </w:p>
        </w:tc>
        <w:tc>
          <w:tcPr>
            <w:tcW w:w="1814" w:type="dxa"/>
            <w:vAlign w:val="center"/>
          </w:tcPr>
          <w:p w14:paraId="1B4973CE" w14:textId="77777777" w:rsidR="00454A29" w:rsidRDefault="00454A29">
            <w:pPr>
              <w:pStyle w:val="ConsPlusNormal"/>
            </w:pPr>
          </w:p>
        </w:tc>
      </w:tr>
      <w:tr w:rsidR="00454A29" w14:paraId="77545DF0" w14:textId="77777777">
        <w:tc>
          <w:tcPr>
            <w:tcW w:w="567" w:type="dxa"/>
            <w:vMerge/>
          </w:tcPr>
          <w:p w14:paraId="69BA2F3A" w14:textId="77777777" w:rsidR="00454A29" w:rsidRDefault="00454A29"/>
        </w:tc>
        <w:tc>
          <w:tcPr>
            <w:tcW w:w="3345" w:type="dxa"/>
            <w:vMerge/>
          </w:tcPr>
          <w:p w14:paraId="26B2AC4C" w14:textId="77777777" w:rsidR="00454A29" w:rsidRDefault="00454A29"/>
        </w:tc>
        <w:tc>
          <w:tcPr>
            <w:tcW w:w="1701" w:type="dxa"/>
            <w:vAlign w:val="center"/>
          </w:tcPr>
          <w:p w14:paraId="2F88AC7D" w14:textId="77777777" w:rsidR="00454A29" w:rsidRDefault="00454A29">
            <w:pPr>
              <w:pStyle w:val="ConsPlusNormal"/>
              <w:jc w:val="center"/>
            </w:pPr>
            <w:r>
              <w:t>2024</w:t>
            </w:r>
          </w:p>
        </w:tc>
        <w:tc>
          <w:tcPr>
            <w:tcW w:w="1417" w:type="dxa"/>
            <w:vMerge/>
          </w:tcPr>
          <w:p w14:paraId="294DF8D3" w14:textId="77777777" w:rsidR="00454A29" w:rsidRDefault="00454A29"/>
        </w:tc>
        <w:tc>
          <w:tcPr>
            <w:tcW w:w="2204" w:type="dxa"/>
            <w:vMerge/>
          </w:tcPr>
          <w:p w14:paraId="2F4F8015" w14:textId="77777777" w:rsidR="00454A29" w:rsidRDefault="00454A29"/>
        </w:tc>
        <w:tc>
          <w:tcPr>
            <w:tcW w:w="1417" w:type="dxa"/>
            <w:vMerge/>
          </w:tcPr>
          <w:p w14:paraId="17F17FC5" w14:textId="77777777" w:rsidR="00454A29" w:rsidRDefault="00454A29"/>
        </w:tc>
        <w:tc>
          <w:tcPr>
            <w:tcW w:w="2324" w:type="dxa"/>
            <w:vMerge/>
          </w:tcPr>
          <w:p w14:paraId="26BF6FC0" w14:textId="77777777" w:rsidR="00454A29" w:rsidRDefault="00454A29"/>
        </w:tc>
        <w:tc>
          <w:tcPr>
            <w:tcW w:w="1701" w:type="dxa"/>
            <w:vAlign w:val="center"/>
          </w:tcPr>
          <w:p w14:paraId="192EE1A8" w14:textId="77777777" w:rsidR="00454A29" w:rsidRDefault="00454A29">
            <w:pPr>
              <w:pStyle w:val="ConsPlusNormal"/>
              <w:jc w:val="center"/>
            </w:pPr>
            <w:r>
              <w:t>401 400,00</w:t>
            </w:r>
          </w:p>
        </w:tc>
        <w:tc>
          <w:tcPr>
            <w:tcW w:w="1814" w:type="dxa"/>
            <w:vAlign w:val="center"/>
          </w:tcPr>
          <w:p w14:paraId="3693B9C1" w14:textId="77777777" w:rsidR="00454A29" w:rsidRDefault="00454A29">
            <w:pPr>
              <w:pStyle w:val="ConsPlusNormal"/>
              <w:jc w:val="center"/>
            </w:pPr>
            <w:r>
              <w:t>401 400,00</w:t>
            </w:r>
          </w:p>
        </w:tc>
        <w:tc>
          <w:tcPr>
            <w:tcW w:w="1701" w:type="dxa"/>
            <w:vAlign w:val="center"/>
          </w:tcPr>
          <w:p w14:paraId="5C4A0524" w14:textId="77777777" w:rsidR="00454A29" w:rsidRDefault="00454A29">
            <w:pPr>
              <w:pStyle w:val="ConsPlusNormal"/>
            </w:pPr>
          </w:p>
        </w:tc>
        <w:tc>
          <w:tcPr>
            <w:tcW w:w="1701" w:type="dxa"/>
            <w:vAlign w:val="center"/>
          </w:tcPr>
          <w:p w14:paraId="1EB422BA" w14:textId="77777777" w:rsidR="00454A29" w:rsidRDefault="00454A29">
            <w:pPr>
              <w:pStyle w:val="ConsPlusNormal"/>
            </w:pPr>
          </w:p>
        </w:tc>
        <w:tc>
          <w:tcPr>
            <w:tcW w:w="1814" w:type="dxa"/>
            <w:vAlign w:val="center"/>
          </w:tcPr>
          <w:p w14:paraId="7FA4FB94" w14:textId="77777777" w:rsidR="00454A29" w:rsidRDefault="00454A29">
            <w:pPr>
              <w:pStyle w:val="ConsPlusNormal"/>
            </w:pPr>
          </w:p>
        </w:tc>
      </w:tr>
      <w:tr w:rsidR="00454A29" w14:paraId="5D4A42BF" w14:textId="77777777">
        <w:tc>
          <w:tcPr>
            <w:tcW w:w="567" w:type="dxa"/>
            <w:vMerge/>
          </w:tcPr>
          <w:p w14:paraId="7AA4C615" w14:textId="77777777" w:rsidR="00454A29" w:rsidRDefault="00454A29"/>
        </w:tc>
        <w:tc>
          <w:tcPr>
            <w:tcW w:w="3345" w:type="dxa"/>
            <w:vMerge/>
          </w:tcPr>
          <w:p w14:paraId="1E500440" w14:textId="77777777" w:rsidR="00454A29" w:rsidRDefault="00454A29"/>
        </w:tc>
        <w:tc>
          <w:tcPr>
            <w:tcW w:w="1701" w:type="dxa"/>
            <w:vAlign w:val="center"/>
          </w:tcPr>
          <w:p w14:paraId="7EBFBF06" w14:textId="77777777" w:rsidR="00454A29" w:rsidRDefault="00454A29">
            <w:pPr>
              <w:pStyle w:val="ConsPlusNormal"/>
              <w:jc w:val="center"/>
            </w:pPr>
            <w:r>
              <w:t>2025</w:t>
            </w:r>
          </w:p>
        </w:tc>
        <w:tc>
          <w:tcPr>
            <w:tcW w:w="1417" w:type="dxa"/>
            <w:vMerge/>
          </w:tcPr>
          <w:p w14:paraId="1D1036BA" w14:textId="77777777" w:rsidR="00454A29" w:rsidRDefault="00454A29"/>
        </w:tc>
        <w:tc>
          <w:tcPr>
            <w:tcW w:w="2204" w:type="dxa"/>
            <w:vMerge/>
          </w:tcPr>
          <w:p w14:paraId="121046A1" w14:textId="77777777" w:rsidR="00454A29" w:rsidRDefault="00454A29"/>
        </w:tc>
        <w:tc>
          <w:tcPr>
            <w:tcW w:w="1417" w:type="dxa"/>
            <w:vMerge/>
          </w:tcPr>
          <w:p w14:paraId="157245CA" w14:textId="77777777" w:rsidR="00454A29" w:rsidRDefault="00454A29"/>
        </w:tc>
        <w:tc>
          <w:tcPr>
            <w:tcW w:w="2324" w:type="dxa"/>
            <w:vMerge/>
          </w:tcPr>
          <w:p w14:paraId="5BEC0BCE" w14:textId="77777777" w:rsidR="00454A29" w:rsidRDefault="00454A29"/>
        </w:tc>
        <w:tc>
          <w:tcPr>
            <w:tcW w:w="1701" w:type="dxa"/>
            <w:vAlign w:val="center"/>
          </w:tcPr>
          <w:p w14:paraId="098DCB3C" w14:textId="77777777" w:rsidR="00454A29" w:rsidRDefault="00454A29">
            <w:pPr>
              <w:pStyle w:val="ConsPlusNormal"/>
              <w:jc w:val="center"/>
            </w:pPr>
            <w:r>
              <w:t>759 000,00</w:t>
            </w:r>
          </w:p>
        </w:tc>
        <w:tc>
          <w:tcPr>
            <w:tcW w:w="1814" w:type="dxa"/>
            <w:vAlign w:val="center"/>
          </w:tcPr>
          <w:p w14:paraId="1FBA77C5" w14:textId="77777777" w:rsidR="00454A29" w:rsidRDefault="00454A29">
            <w:pPr>
              <w:pStyle w:val="ConsPlusNormal"/>
              <w:jc w:val="center"/>
            </w:pPr>
            <w:r>
              <w:t>759 000,00</w:t>
            </w:r>
          </w:p>
        </w:tc>
        <w:tc>
          <w:tcPr>
            <w:tcW w:w="1701" w:type="dxa"/>
            <w:vAlign w:val="center"/>
          </w:tcPr>
          <w:p w14:paraId="4F91722B" w14:textId="77777777" w:rsidR="00454A29" w:rsidRDefault="00454A29">
            <w:pPr>
              <w:pStyle w:val="ConsPlusNormal"/>
            </w:pPr>
          </w:p>
        </w:tc>
        <w:tc>
          <w:tcPr>
            <w:tcW w:w="1701" w:type="dxa"/>
            <w:vAlign w:val="center"/>
          </w:tcPr>
          <w:p w14:paraId="19D5BEE7" w14:textId="77777777" w:rsidR="00454A29" w:rsidRDefault="00454A29">
            <w:pPr>
              <w:pStyle w:val="ConsPlusNormal"/>
            </w:pPr>
          </w:p>
        </w:tc>
        <w:tc>
          <w:tcPr>
            <w:tcW w:w="1814" w:type="dxa"/>
            <w:vAlign w:val="center"/>
          </w:tcPr>
          <w:p w14:paraId="3809713F" w14:textId="77777777" w:rsidR="00454A29" w:rsidRDefault="00454A29">
            <w:pPr>
              <w:pStyle w:val="ConsPlusNormal"/>
            </w:pPr>
          </w:p>
        </w:tc>
      </w:tr>
      <w:tr w:rsidR="00454A29" w14:paraId="5F25EC91" w14:textId="77777777">
        <w:tc>
          <w:tcPr>
            <w:tcW w:w="567" w:type="dxa"/>
            <w:vMerge/>
          </w:tcPr>
          <w:p w14:paraId="04EF7075" w14:textId="77777777" w:rsidR="00454A29" w:rsidRDefault="00454A29"/>
        </w:tc>
        <w:tc>
          <w:tcPr>
            <w:tcW w:w="3345" w:type="dxa"/>
            <w:vMerge/>
          </w:tcPr>
          <w:p w14:paraId="70B9EE86" w14:textId="77777777" w:rsidR="00454A29" w:rsidRDefault="00454A29"/>
        </w:tc>
        <w:tc>
          <w:tcPr>
            <w:tcW w:w="1701" w:type="dxa"/>
            <w:vAlign w:val="center"/>
          </w:tcPr>
          <w:p w14:paraId="28008976" w14:textId="77777777" w:rsidR="00454A29" w:rsidRDefault="00454A29">
            <w:pPr>
              <w:pStyle w:val="ConsPlusNormal"/>
              <w:jc w:val="center"/>
            </w:pPr>
            <w:r>
              <w:t>2026</w:t>
            </w:r>
          </w:p>
        </w:tc>
        <w:tc>
          <w:tcPr>
            <w:tcW w:w="1417" w:type="dxa"/>
            <w:vMerge/>
          </w:tcPr>
          <w:p w14:paraId="37A6343B" w14:textId="77777777" w:rsidR="00454A29" w:rsidRDefault="00454A29"/>
        </w:tc>
        <w:tc>
          <w:tcPr>
            <w:tcW w:w="2204" w:type="dxa"/>
            <w:vMerge/>
          </w:tcPr>
          <w:p w14:paraId="7E2E9665" w14:textId="77777777" w:rsidR="00454A29" w:rsidRDefault="00454A29"/>
        </w:tc>
        <w:tc>
          <w:tcPr>
            <w:tcW w:w="1417" w:type="dxa"/>
            <w:vMerge/>
          </w:tcPr>
          <w:p w14:paraId="5C4C8E29" w14:textId="77777777" w:rsidR="00454A29" w:rsidRDefault="00454A29"/>
        </w:tc>
        <w:tc>
          <w:tcPr>
            <w:tcW w:w="2324" w:type="dxa"/>
            <w:vMerge/>
          </w:tcPr>
          <w:p w14:paraId="7FF6A344" w14:textId="77777777" w:rsidR="00454A29" w:rsidRDefault="00454A29"/>
        </w:tc>
        <w:tc>
          <w:tcPr>
            <w:tcW w:w="1701" w:type="dxa"/>
            <w:vAlign w:val="center"/>
          </w:tcPr>
          <w:p w14:paraId="33E268E1" w14:textId="77777777" w:rsidR="00454A29" w:rsidRDefault="00454A29">
            <w:pPr>
              <w:pStyle w:val="ConsPlusNormal"/>
              <w:jc w:val="center"/>
            </w:pPr>
            <w:r>
              <w:t>-</w:t>
            </w:r>
          </w:p>
        </w:tc>
        <w:tc>
          <w:tcPr>
            <w:tcW w:w="1814" w:type="dxa"/>
            <w:vAlign w:val="center"/>
          </w:tcPr>
          <w:p w14:paraId="0FDE5F46" w14:textId="77777777" w:rsidR="00454A29" w:rsidRDefault="00454A29">
            <w:pPr>
              <w:pStyle w:val="ConsPlusNormal"/>
            </w:pPr>
          </w:p>
        </w:tc>
        <w:tc>
          <w:tcPr>
            <w:tcW w:w="1701" w:type="dxa"/>
            <w:vAlign w:val="center"/>
          </w:tcPr>
          <w:p w14:paraId="60F9CA9B" w14:textId="77777777" w:rsidR="00454A29" w:rsidRDefault="00454A29">
            <w:pPr>
              <w:pStyle w:val="ConsPlusNormal"/>
            </w:pPr>
          </w:p>
        </w:tc>
        <w:tc>
          <w:tcPr>
            <w:tcW w:w="1701" w:type="dxa"/>
            <w:vAlign w:val="center"/>
          </w:tcPr>
          <w:p w14:paraId="69DE95C4" w14:textId="77777777" w:rsidR="00454A29" w:rsidRDefault="00454A29">
            <w:pPr>
              <w:pStyle w:val="ConsPlusNormal"/>
            </w:pPr>
          </w:p>
        </w:tc>
        <w:tc>
          <w:tcPr>
            <w:tcW w:w="1814" w:type="dxa"/>
            <w:vAlign w:val="center"/>
          </w:tcPr>
          <w:p w14:paraId="1B246AE7" w14:textId="77777777" w:rsidR="00454A29" w:rsidRDefault="00454A29">
            <w:pPr>
              <w:pStyle w:val="ConsPlusNormal"/>
            </w:pPr>
          </w:p>
        </w:tc>
      </w:tr>
      <w:tr w:rsidR="00454A29" w14:paraId="68FB0523" w14:textId="77777777">
        <w:tc>
          <w:tcPr>
            <w:tcW w:w="567" w:type="dxa"/>
            <w:vMerge w:val="restart"/>
            <w:vAlign w:val="center"/>
          </w:tcPr>
          <w:p w14:paraId="4CF16FE9" w14:textId="77777777" w:rsidR="00454A29" w:rsidRDefault="00454A29">
            <w:pPr>
              <w:pStyle w:val="ConsPlusNormal"/>
              <w:jc w:val="center"/>
            </w:pPr>
            <w:r>
              <w:t>107</w:t>
            </w:r>
          </w:p>
        </w:tc>
        <w:tc>
          <w:tcPr>
            <w:tcW w:w="3345" w:type="dxa"/>
            <w:vMerge w:val="restart"/>
            <w:vAlign w:val="center"/>
          </w:tcPr>
          <w:p w14:paraId="655F136F" w14:textId="77777777" w:rsidR="00454A29" w:rsidRDefault="00454A29">
            <w:pPr>
              <w:pStyle w:val="ConsPlusNormal"/>
              <w:jc w:val="center"/>
            </w:pPr>
            <w:r>
              <w:t>Автодром Светлинского индустриального техникума в п. Светлый Мирнинского района</w:t>
            </w:r>
          </w:p>
        </w:tc>
        <w:tc>
          <w:tcPr>
            <w:tcW w:w="1701" w:type="dxa"/>
            <w:vAlign w:val="center"/>
          </w:tcPr>
          <w:p w14:paraId="0B7988B5" w14:textId="77777777" w:rsidR="00454A29" w:rsidRDefault="00454A29">
            <w:pPr>
              <w:pStyle w:val="ConsPlusNormal"/>
              <w:jc w:val="center"/>
            </w:pPr>
            <w:r>
              <w:t>Всего:</w:t>
            </w:r>
          </w:p>
        </w:tc>
        <w:tc>
          <w:tcPr>
            <w:tcW w:w="1417" w:type="dxa"/>
            <w:vMerge w:val="restart"/>
            <w:vAlign w:val="center"/>
          </w:tcPr>
          <w:p w14:paraId="507E3323" w14:textId="77777777" w:rsidR="00454A29" w:rsidRDefault="00454A29">
            <w:pPr>
              <w:pStyle w:val="ConsPlusNormal"/>
              <w:jc w:val="center"/>
            </w:pPr>
            <w:r>
              <w:t>5 000</w:t>
            </w:r>
          </w:p>
        </w:tc>
        <w:tc>
          <w:tcPr>
            <w:tcW w:w="2204" w:type="dxa"/>
            <w:vMerge w:val="restart"/>
            <w:vAlign w:val="center"/>
          </w:tcPr>
          <w:p w14:paraId="147CA613" w14:textId="77777777" w:rsidR="00454A29" w:rsidRDefault="00454A29">
            <w:pPr>
              <w:pStyle w:val="ConsPlusNormal"/>
            </w:pPr>
          </w:p>
        </w:tc>
        <w:tc>
          <w:tcPr>
            <w:tcW w:w="1417" w:type="dxa"/>
            <w:vMerge w:val="restart"/>
            <w:vAlign w:val="center"/>
          </w:tcPr>
          <w:p w14:paraId="0CFBF103" w14:textId="77777777" w:rsidR="00454A29" w:rsidRDefault="00454A29">
            <w:pPr>
              <w:pStyle w:val="ConsPlusNormal"/>
            </w:pPr>
          </w:p>
        </w:tc>
        <w:tc>
          <w:tcPr>
            <w:tcW w:w="2324" w:type="dxa"/>
            <w:vMerge w:val="restart"/>
            <w:vAlign w:val="center"/>
          </w:tcPr>
          <w:p w14:paraId="3859A5D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23C8B03" w14:textId="77777777" w:rsidR="00454A29" w:rsidRDefault="00454A29">
            <w:pPr>
              <w:pStyle w:val="ConsPlusNormal"/>
              <w:jc w:val="center"/>
            </w:pPr>
            <w:r>
              <w:t>2 480,00</w:t>
            </w:r>
          </w:p>
        </w:tc>
        <w:tc>
          <w:tcPr>
            <w:tcW w:w="1814" w:type="dxa"/>
            <w:vAlign w:val="center"/>
          </w:tcPr>
          <w:p w14:paraId="47ADE4BB" w14:textId="77777777" w:rsidR="00454A29" w:rsidRDefault="00454A29">
            <w:pPr>
              <w:pStyle w:val="ConsPlusNormal"/>
              <w:jc w:val="center"/>
            </w:pPr>
            <w:r>
              <w:t>2 480,00</w:t>
            </w:r>
          </w:p>
        </w:tc>
        <w:tc>
          <w:tcPr>
            <w:tcW w:w="1701" w:type="dxa"/>
            <w:vAlign w:val="center"/>
          </w:tcPr>
          <w:p w14:paraId="752CB053" w14:textId="77777777" w:rsidR="00454A29" w:rsidRDefault="00454A29">
            <w:pPr>
              <w:pStyle w:val="ConsPlusNormal"/>
              <w:jc w:val="center"/>
            </w:pPr>
            <w:r>
              <w:t>-</w:t>
            </w:r>
          </w:p>
        </w:tc>
        <w:tc>
          <w:tcPr>
            <w:tcW w:w="1701" w:type="dxa"/>
            <w:vAlign w:val="center"/>
          </w:tcPr>
          <w:p w14:paraId="4E754A8D" w14:textId="77777777" w:rsidR="00454A29" w:rsidRDefault="00454A29">
            <w:pPr>
              <w:pStyle w:val="ConsPlusNormal"/>
              <w:jc w:val="center"/>
            </w:pPr>
            <w:r>
              <w:t>-</w:t>
            </w:r>
          </w:p>
        </w:tc>
        <w:tc>
          <w:tcPr>
            <w:tcW w:w="1814" w:type="dxa"/>
            <w:vAlign w:val="center"/>
          </w:tcPr>
          <w:p w14:paraId="04B9DA5E" w14:textId="77777777" w:rsidR="00454A29" w:rsidRDefault="00454A29">
            <w:pPr>
              <w:pStyle w:val="ConsPlusNormal"/>
              <w:jc w:val="center"/>
            </w:pPr>
            <w:r>
              <w:t>-</w:t>
            </w:r>
          </w:p>
        </w:tc>
      </w:tr>
      <w:tr w:rsidR="00454A29" w14:paraId="11B08D64" w14:textId="77777777">
        <w:tc>
          <w:tcPr>
            <w:tcW w:w="567" w:type="dxa"/>
            <w:vMerge/>
          </w:tcPr>
          <w:p w14:paraId="01010A60" w14:textId="77777777" w:rsidR="00454A29" w:rsidRDefault="00454A29"/>
        </w:tc>
        <w:tc>
          <w:tcPr>
            <w:tcW w:w="3345" w:type="dxa"/>
            <w:vMerge/>
          </w:tcPr>
          <w:p w14:paraId="1FF7C59E" w14:textId="77777777" w:rsidR="00454A29" w:rsidRDefault="00454A29"/>
        </w:tc>
        <w:tc>
          <w:tcPr>
            <w:tcW w:w="1701" w:type="dxa"/>
            <w:vAlign w:val="center"/>
          </w:tcPr>
          <w:p w14:paraId="7F64EF79" w14:textId="77777777" w:rsidR="00454A29" w:rsidRDefault="00454A29">
            <w:pPr>
              <w:pStyle w:val="ConsPlusNormal"/>
              <w:jc w:val="center"/>
            </w:pPr>
            <w:r>
              <w:t>2020</w:t>
            </w:r>
          </w:p>
        </w:tc>
        <w:tc>
          <w:tcPr>
            <w:tcW w:w="1417" w:type="dxa"/>
            <w:vMerge/>
          </w:tcPr>
          <w:p w14:paraId="5E43FFAF" w14:textId="77777777" w:rsidR="00454A29" w:rsidRDefault="00454A29"/>
        </w:tc>
        <w:tc>
          <w:tcPr>
            <w:tcW w:w="2204" w:type="dxa"/>
            <w:vMerge/>
          </w:tcPr>
          <w:p w14:paraId="71B4D56E" w14:textId="77777777" w:rsidR="00454A29" w:rsidRDefault="00454A29"/>
        </w:tc>
        <w:tc>
          <w:tcPr>
            <w:tcW w:w="1417" w:type="dxa"/>
            <w:vMerge/>
          </w:tcPr>
          <w:p w14:paraId="416CDCA4" w14:textId="77777777" w:rsidR="00454A29" w:rsidRDefault="00454A29"/>
        </w:tc>
        <w:tc>
          <w:tcPr>
            <w:tcW w:w="2324" w:type="dxa"/>
            <w:vMerge/>
          </w:tcPr>
          <w:p w14:paraId="085946D7" w14:textId="77777777" w:rsidR="00454A29" w:rsidRDefault="00454A29"/>
        </w:tc>
        <w:tc>
          <w:tcPr>
            <w:tcW w:w="1701" w:type="dxa"/>
            <w:vAlign w:val="center"/>
          </w:tcPr>
          <w:p w14:paraId="63FF4F9D" w14:textId="77777777" w:rsidR="00454A29" w:rsidRDefault="00454A29">
            <w:pPr>
              <w:pStyle w:val="ConsPlusNormal"/>
              <w:jc w:val="center"/>
            </w:pPr>
            <w:r>
              <w:t>-</w:t>
            </w:r>
          </w:p>
        </w:tc>
        <w:tc>
          <w:tcPr>
            <w:tcW w:w="1814" w:type="dxa"/>
            <w:vAlign w:val="center"/>
          </w:tcPr>
          <w:p w14:paraId="549E2C00" w14:textId="77777777" w:rsidR="00454A29" w:rsidRDefault="00454A29">
            <w:pPr>
              <w:pStyle w:val="ConsPlusNormal"/>
            </w:pPr>
          </w:p>
        </w:tc>
        <w:tc>
          <w:tcPr>
            <w:tcW w:w="1701" w:type="dxa"/>
            <w:vAlign w:val="center"/>
          </w:tcPr>
          <w:p w14:paraId="530AE067" w14:textId="77777777" w:rsidR="00454A29" w:rsidRDefault="00454A29">
            <w:pPr>
              <w:pStyle w:val="ConsPlusNormal"/>
            </w:pPr>
          </w:p>
        </w:tc>
        <w:tc>
          <w:tcPr>
            <w:tcW w:w="1701" w:type="dxa"/>
            <w:vAlign w:val="center"/>
          </w:tcPr>
          <w:p w14:paraId="634FB88A" w14:textId="77777777" w:rsidR="00454A29" w:rsidRDefault="00454A29">
            <w:pPr>
              <w:pStyle w:val="ConsPlusNormal"/>
            </w:pPr>
          </w:p>
        </w:tc>
        <w:tc>
          <w:tcPr>
            <w:tcW w:w="1814" w:type="dxa"/>
            <w:vAlign w:val="center"/>
          </w:tcPr>
          <w:p w14:paraId="04678045" w14:textId="77777777" w:rsidR="00454A29" w:rsidRDefault="00454A29">
            <w:pPr>
              <w:pStyle w:val="ConsPlusNormal"/>
            </w:pPr>
          </w:p>
        </w:tc>
      </w:tr>
      <w:tr w:rsidR="00454A29" w14:paraId="64D09AB1" w14:textId="77777777">
        <w:tc>
          <w:tcPr>
            <w:tcW w:w="567" w:type="dxa"/>
            <w:vMerge/>
          </w:tcPr>
          <w:p w14:paraId="3D2D0341" w14:textId="77777777" w:rsidR="00454A29" w:rsidRDefault="00454A29"/>
        </w:tc>
        <w:tc>
          <w:tcPr>
            <w:tcW w:w="3345" w:type="dxa"/>
            <w:vMerge/>
          </w:tcPr>
          <w:p w14:paraId="02E2AADC" w14:textId="77777777" w:rsidR="00454A29" w:rsidRDefault="00454A29"/>
        </w:tc>
        <w:tc>
          <w:tcPr>
            <w:tcW w:w="1701" w:type="dxa"/>
            <w:vAlign w:val="center"/>
          </w:tcPr>
          <w:p w14:paraId="4CC17005" w14:textId="77777777" w:rsidR="00454A29" w:rsidRDefault="00454A29">
            <w:pPr>
              <w:pStyle w:val="ConsPlusNormal"/>
              <w:jc w:val="center"/>
            </w:pPr>
            <w:r>
              <w:t>2021</w:t>
            </w:r>
          </w:p>
        </w:tc>
        <w:tc>
          <w:tcPr>
            <w:tcW w:w="1417" w:type="dxa"/>
            <w:vMerge/>
          </w:tcPr>
          <w:p w14:paraId="33F34F34" w14:textId="77777777" w:rsidR="00454A29" w:rsidRDefault="00454A29"/>
        </w:tc>
        <w:tc>
          <w:tcPr>
            <w:tcW w:w="2204" w:type="dxa"/>
            <w:vMerge/>
          </w:tcPr>
          <w:p w14:paraId="18325124" w14:textId="77777777" w:rsidR="00454A29" w:rsidRDefault="00454A29"/>
        </w:tc>
        <w:tc>
          <w:tcPr>
            <w:tcW w:w="1417" w:type="dxa"/>
            <w:vMerge/>
          </w:tcPr>
          <w:p w14:paraId="5D5F7DFC" w14:textId="77777777" w:rsidR="00454A29" w:rsidRDefault="00454A29"/>
        </w:tc>
        <w:tc>
          <w:tcPr>
            <w:tcW w:w="2324" w:type="dxa"/>
            <w:vMerge/>
          </w:tcPr>
          <w:p w14:paraId="33711752" w14:textId="77777777" w:rsidR="00454A29" w:rsidRDefault="00454A29"/>
        </w:tc>
        <w:tc>
          <w:tcPr>
            <w:tcW w:w="1701" w:type="dxa"/>
            <w:vAlign w:val="center"/>
          </w:tcPr>
          <w:p w14:paraId="14987869" w14:textId="77777777" w:rsidR="00454A29" w:rsidRDefault="00454A29">
            <w:pPr>
              <w:pStyle w:val="ConsPlusNormal"/>
              <w:jc w:val="center"/>
            </w:pPr>
            <w:r>
              <w:t>-</w:t>
            </w:r>
          </w:p>
        </w:tc>
        <w:tc>
          <w:tcPr>
            <w:tcW w:w="1814" w:type="dxa"/>
            <w:vAlign w:val="center"/>
          </w:tcPr>
          <w:p w14:paraId="385022E5" w14:textId="77777777" w:rsidR="00454A29" w:rsidRDefault="00454A29">
            <w:pPr>
              <w:pStyle w:val="ConsPlusNormal"/>
            </w:pPr>
          </w:p>
        </w:tc>
        <w:tc>
          <w:tcPr>
            <w:tcW w:w="1701" w:type="dxa"/>
            <w:vAlign w:val="center"/>
          </w:tcPr>
          <w:p w14:paraId="7557815B" w14:textId="77777777" w:rsidR="00454A29" w:rsidRDefault="00454A29">
            <w:pPr>
              <w:pStyle w:val="ConsPlusNormal"/>
            </w:pPr>
          </w:p>
        </w:tc>
        <w:tc>
          <w:tcPr>
            <w:tcW w:w="1701" w:type="dxa"/>
            <w:vAlign w:val="center"/>
          </w:tcPr>
          <w:p w14:paraId="390A7BEA" w14:textId="77777777" w:rsidR="00454A29" w:rsidRDefault="00454A29">
            <w:pPr>
              <w:pStyle w:val="ConsPlusNormal"/>
            </w:pPr>
          </w:p>
        </w:tc>
        <w:tc>
          <w:tcPr>
            <w:tcW w:w="1814" w:type="dxa"/>
            <w:vAlign w:val="center"/>
          </w:tcPr>
          <w:p w14:paraId="6240A396" w14:textId="77777777" w:rsidR="00454A29" w:rsidRDefault="00454A29">
            <w:pPr>
              <w:pStyle w:val="ConsPlusNormal"/>
            </w:pPr>
          </w:p>
        </w:tc>
      </w:tr>
      <w:tr w:rsidR="00454A29" w14:paraId="004B2973" w14:textId="77777777">
        <w:tc>
          <w:tcPr>
            <w:tcW w:w="567" w:type="dxa"/>
            <w:vMerge/>
          </w:tcPr>
          <w:p w14:paraId="31CB530A" w14:textId="77777777" w:rsidR="00454A29" w:rsidRDefault="00454A29"/>
        </w:tc>
        <w:tc>
          <w:tcPr>
            <w:tcW w:w="3345" w:type="dxa"/>
            <w:vMerge/>
          </w:tcPr>
          <w:p w14:paraId="603D7F32" w14:textId="77777777" w:rsidR="00454A29" w:rsidRDefault="00454A29"/>
        </w:tc>
        <w:tc>
          <w:tcPr>
            <w:tcW w:w="1701" w:type="dxa"/>
            <w:vAlign w:val="center"/>
          </w:tcPr>
          <w:p w14:paraId="324595D4" w14:textId="77777777" w:rsidR="00454A29" w:rsidRDefault="00454A29">
            <w:pPr>
              <w:pStyle w:val="ConsPlusNormal"/>
              <w:jc w:val="center"/>
            </w:pPr>
            <w:r>
              <w:t>2022</w:t>
            </w:r>
          </w:p>
        </w:tc>
        <w:tc>
          <w:tcPr>
            <w:tcW w:w="1417" w:type="dxa"/>
            <w:vMerge/>
          </w:tcPr>
          <w:p w14:paraId="3291B8BD" w14:textId="77777777" w:rsidR="00454A29" w:rsidRDefault="00454A29"/>
        </w:tc>
        <w:tc>
          <w:tcPr>
            <w:tcW w:w="2204" w:type="dxa"/>
            <w:vMerge/>
          </w:tcPr>
          <w:p w14:paraId="1B68F285" w14:textId="77777777" w:rsidR="00454A29" w:rsidRDefault="00454A29"/>
        </w:tc>
        <w:tc>
          <w:tcPr>
            <w:tcW w:w="1417" w:type="dxa"/>
            <w:vMerge/>
          </w:tcPr>
          <w:p w14:paraId="242C9336" w14:textId="77777777" w:rsidR="00454A29" w:rsidRDefault="00454A29"/>
        </w:tc>
        <w:tc>
          <w:tcPr>
            <w:tcW w:w="2324" w:type="dxa"/>
            <w:vMerge/>
          </w:tcPr>
          <w:p w14:paraId="5D184F9D" w14:textId="77777777" w:rsidR="00454A29" w:rsidRDefault="00454A29"/>
        </w:tc>
        <w:tc>
          <w:tcPr>
            <w:tcW w:w="1701" w:type="dxa"/>
            <w:vAlign w:val="center"/>
          </w:tcPr>
          <w:p w14:paraId="08B32171" w14:textId="77777777" w:rsidR="00454A29" w:rsidRDefault="00454A29">
            <w:pPr>
              <w:pStyle w:val="ConsPlusNormal"/>
              <w:jc w:val="center"/>
            </w:pPr>
            <w:r>
              <w:t>-</w:t>
            </w:r>
          </w:p>
        </w:tc>
        <w:tc>
          <w:tcPr>
            <w:tcW w:w="1814" w:type="dxa"/>
            <w:vAlign w:val="center"/>
          </w:tcPr>
          <w:p w14:paraId="5B1692A3" w14:textId="77777777" w:rsidR="00454A29" w:rsidRDefault="00454A29">
            <w:pPr>
              <w:pStyle w:val="ConsPlusNormal"/>
              <w:jc w:val="center"/>
            </w:pPr>
            <w:r>
              <w:t>-</w:t>
            </w:r>
          </w:p>
        </w:tc>
        <w:tc>
          <w:tcPr>
            <w:tcW w:w="1701" w:type="dxa"/>
            <w:vAlign w:val="center"/>
          </w:tcPr>
          <w:p w14:paraId="0C0465F6" w14:textId="77777777" w:rsidR="00454A29" w:rsidRDefault="00454A29">
            <w:pPr>
              <w:pStyle w:val="ConsPlusNormal"/>
            </w:pPr>
          </w:p>
        </w:tc>
        <w:tc>
          <w:tcPr>
            <w:tcW w:w="1701" w:type="dxa"/>
            <w:vAlign w:val="center"/>
          </w:tcPr>
          <w:p w14:paraId="1FC853AE" w14:textId="77777777" w:rsidR="00454A29" w:rsidRDefault="00454A29">
            <w:pPr>
              <w:pStyle w:val="ConsPlusNormal"/>
            </w:pPr>
          </w:p>
        </w:tc>
        <w:tc>
          <w:tcPr>
            <w:tcW w:w="1814" w:type="dxa"/>
            <w:vAlign w:val="center"/>
          </w:tcPr>
          <w:p w14:paraId="633EEE5C" w14:textId="77777777" w:rsidR="00454A29" w:rsidRDefault="00454A29">
            <w:pPr>
              <w:pStyle w:val="ConsPlusNormal"/>
            </w:pPr>
          </w:p>
        </w:tc>
      </w:tr>
      <w:tr w:rsidR="00454A29" w14:paraId="66C4446C" w14:textId="77777777">
        <w:tc>
          <w:tcPr>
            <w:tcW w:w="567" w:type="dxa"/>
            <w:vMerge/>
          </w:tcPr>
          <w:p w14:paraId="5E81D513" w14:textId="77777777" w:rsidR="00454A29" w:rsidRDefault="00454A29"/>
        </w:tc>
        <w:tc>
          <w:tcPr>
            <w:tcW w:w="3345" w:type="dxa"/>
            <w:vMerge/>
          </w:tcPr>
          <w:p w14:paraId="35D831DD" w14:textId="77777777" w:rsidR="00454A29" w:rsidRDefault="00454A29"/>
        </w:tc>
        <w:tc>
          <w:tcPr>
            <w:tcW w:w="1701" w:type="dxa"/>
            <w:vAlign w:val="center"/>
          </w:tcPr>
          <w:p w14:paraId="41FDCC18" w14:textId="77777777" w:rsidR="00454A29" w:rsidRDefault="00454A29">
            <w:pPr>
              <w:pStyle w:val="ConsPlusNormal"/>
              <w:jc w:val="center"/>
            </w:pPr>
            <w:r>
              <w:t>2023</w:t>
            </w:r>
          </w:p>
        </w:tc>
        <w:tc>
          <w:tcPr>
            <w:tcW w:w="1417" w:type="dxa"/>
            <w:vMerge/>
          </w:tcPr>
          <w:p w14:paraId="408B8245" w14:textId="77777777" w:rsidR="00454A29" w:rsidRDefault="00454A29"/>
        </w:tc>
        <w:tc>
          <w:tcPr>
            <w:tcW w:w="2204" w:type="dxa"/>
            <w:vMerge/>
          </w:tcPr>
          <w:p w14:paraId="43116AD5" w14:textId="77777777" w:rsidR="00454A29" w:rsidRDefault="00454A29"/>
        </w:tc>
        <w:tc>
          <w:tcPr>
            <w:tcW w:w="1417" w:type="dxa"/>
            <w:vMerge/>
          </w:tcPr>
          <w:p w14:paraId="0E3C3816" w14:textId="77777777" w:rsidR="00454A29" w:rsidRDefault="00454A29"/>
        </w:tc>
        <w:tc>
          <w:tcPr>
            <w:tcW w:w="2324" w:type="dxa"/>
            <w:vMerge/>
          </w:tcPr>
          <w:p w14:paraId="37405B24" w14:textId="77777777" w:rsidR="00454A29" w:rsidRDefault="00454A29"/>
        </w:tc>
        <w:tc>
          <w:tcPr>
            <w:tcW w:w="1701" w:type="dxa"/>
            <w:vAlign w:val="center"/>
          </w:tcPr>
          <w:p w14:paraId="3AF541EE" w14:textId="77777777" w:rsidR="00454A29" w:rsidRDefault="00454A29">
            <w:pPr>
              <w:pStyle w:val="ConsPlusNormal"/>
              <w:jc w:val="center"/>
            </w:pPr>
            <w:r>
              <w:t>2 480,00</w:t>
            </w:r>
          </w:p>
        </w:tc>
        <w:tc>
          <w:tcPr>
            <w:tcW w:w="1814" w:type="dxa"/>
            <w:vAlign w:val="center"/>
          </w:tcPr>
          <w:p w14:paraId="6DEF16BC" w14:textId="77777777" w:rsidR="00454A29" w:rsidRDefault="00454A29">
            <w:pPr>
              <w:pStyle w:val="ConsPlusNormal"/>
              <w:jc w:val="center"/>
            </w:pPr>
            <w:r>
              <w:t>2 480,00</w:t>
            </w:r>
          </w:p>
        </w:tc>
        <w:tc>
          <w:tcPr>
            <w:tcW w:w="1701" w:type="dxa"/>
            <w:vAlign w:val="center"/>
          </w:tcPr>
          <w:p w14:paraId="08480AE2" w14:textId="77777777" w:rsidR="00454A29" w:rsidRDefault="00454A29">
            <w:pPr>
              <w:pStyle w:val="ConsPlusNormal"/>
            </w:pPr>
          </w:p>
        </w:tc>
        <w:tc>
          <w:tcPr>
            <w:tcW w:w="1701" w:type="dxa"/>
            <w:vAlign w:val="center"/>
          </w:tcPr>
          <w:p w14:paraId="4ED638D2" w14:textId="77777777" w:rsidR="00454A29" w:rsidRDefault="00454A29">
            <w:pPr>
              <w:pStyle w:val="ConsPlusNormal"/>
            </w:pPr>
          </w:p>
        </w:tc>
        <w:tc>
          <w:tcPr>
            <w:tcW w:w="1814" w:type="dxa"/>
            <w:vAlign w:val="center"/>
          </w:tcPr>
          <w:p w14:paraId="0B4EBD63" w14:textId="77777777" w:rsidR="00454A29" w:rsidRDefault="00454A29">
            <w:pPr>
              <w:pStyle w:val="ConsPlusNormal"/>
            </w:pPr>
          </w:p>
        </w:tc>
      </w:tr>
      <w:tr w:rsidR="00454A29" w14:paraId="4FA26675" w14:textId="77777777">
        <w:tc>
          <w:tcPr>
            <w:tcW w:w="567" w:type="dxa"/>
            <w:vMerge/>
          </w:tcPr>
          <w:p w14:paraId="1281CBB0" w14:textId="77777777" w:rsidR="00454A29" w:rsidRDefault="00454A29"/>
        </w:tc>
        <w:tc>
          <w:tcPr>
            <w:tcW w:w="3345" w:type="dxa"/>
            <w:vMerge/>
          </w:tcPr>
          <w:p w14:paraId="186FDA5C" w14:textId="77777777" w:rsidR="00454A29" w:rsidRDefault="00454A29"/>
        </w:tc>
        <w:tc>
          <w:tcPr>
            <w:tcW w:w="1701" w:type="dxa"/>
            <w:vAlign w:val="center"/>
          </w:tcPr>
          <w:p w14:paraId="1618B079" w14:textId="77777777" w:rsidR="00454A29" w:rsidRDefault="00454A29">
            <w:pPr>
              <w:pStyle w:val="ConsPlusNormal"/>
              <w:jc w:val="center"/>
            </w:pPr>
            <w:r>
              <w:t>2024</w:t>
            </w:r>
          </w:p>
        </w:tc>
        <w:tc>
          <w:tcPr>
            <w:tcW w:w="1417" w:type="dxa"/>
            <w:vMerge/>
          </w:tcPr>
          <w:p w14:paraId="4C36DC83" w14:textId="77777777" w:rsidR="00454A29" w:rsidRDefault="00454A29"/>
        </w:tc>
        <w:tc>
          <w:tcPr>
            <w:tcW w:w="2204" w:type="dxa"/>
            <w:vMerge/>
          </w:tcPr>
          <w:p w14:paraId="6FB65D29" w14:textId="77777777" w:rsidR="00454A29" w:rsidRDefault="00454A29"/>
        </w:tc>
        <w:tc>
          <w:tcPr>
            <w:tcW w:w="1417" w:type="dxa"/>
            <w:vMerge/>
          </w:tcPr>
          <w:p w14:paraId="4220EA5A" w14:textId="77777777" w:rsidR="00454A29" w:rsidRDefault="00454A29"/>
        </w:tc>
        <w:tc>
          <w:tcPr>
            <w:tcW w:w="2324" w:type="dxa"/>
            <w:vMerge/>
          </w:tcPr>
          <w:p w14:paraId="03CB4D4D" w14:textId="77777777" w:rsidR="00454A29" w:rsidRDefault="00454A29"/>
        </w:tc>
        <w:tc>
          <w:tcPr>
            <w:tcW w:w="1701" w:type="dxa"/>
            <w:vAlign w:val="center"/>
          </w:tcPr>
          <w:p w14:paraId="296124D8" w14:textId="77777777" w:rsidR="00454A29" w:rsidRDefault="00454A29">
            <w:pPr>
              <w:pStyle w:val="ConsPlusNormal"/>
              <w:jc w:val="center"/>
            </w:pPr>
            <w:r>
              <w:t>-</w:t>
            </w:r>
          </w:p>
        </w:tc>
        <w:tc>
          <w:tcPr>
            <w:tcW w:w="1814" w:type="dxa"/>
            <w:vAlign w:val="center"/>
          </w:tcPr>
          <w:p w14:paraId="0ECF29D8" w14:textId="77777777" w:rsidR="00454A29" w:rsidRDefault="00454A29">
            <w:pPr>
              <w:pStyle w:val="ConsPlusNormal"/>
            </w:pPr>
          </w:p>
        </w:tc>
        <w:tc>
          <w:tcPr>
            <w:tcW w:w="1701" w:type="dxa"/>
            <w:vAlign w:val="center"/>
          </w:tcPr>
          <w:p w14:paraId="3C84FFDD" w14:textId="77777777" w:rsidR="00454A29" w:rsidRDefault="00454A29">
            <w:pPr>
              <w:pStyle w:val="ConsPlusNormal"/>
            </w:pPr>
          </w:p>
        </w:tc>
        <w:tc>
          <w:tcPr>
            <w:tcW w:w="1701" w:type="dxa"/>
            <w:vAlign w:val="center"/>
          </w:tcPr>
          <w:p w14:paraId="55588432" w14:textId="77777777" w:rsidR="00454A29" w:rsidRDefault="00454A29">
            <w:pPr>
              <w:pStyle w:val="ConsPlusNormal"/>
            </w:pPr>
          </w:p>
        </w:tc>
        <w:tc>
          <w:tcPr>
            <w:tcW w:w="1814" w:type="dxa"/>
            <w:vAlign w:val="center"/>
          </w:tcPr>
          <w:p w14:paraId="3FD453DF" w14:textId="77777777" w:rsidR="00454A29" w:rsidRDefault="00454A29">
            <w:pPr>
              <w:pStyle w:val="ConsPlusNormal"/>
            </w:pPr>
          </w:p>
        </w:tc>
      </w:tr>
      <w:tr w:rsidR="00454A29" w14:paraId="7DE89165" w14:textId="77777777">
        <w:tc>
          <w:tcPr>
            <w:tcW w:w="567" w:type="dxa"/>
            <w:vMerge/>
          </w:tcPr>
          <w:p w14:paraId="2441652E" w14:textId="77777777" w:rsidR="00454A29" w:rsidRDefault="00454A29"/>
        </w:tc>
        <w:tc>
          <w:tcPr>
            <w:tcW w:w="3345" w:type="dxa"/>
            <w:vMerge/>
          </w:tcPr>
          <w:p w14:paraId="7BD364E8" w14:textId="77777777" w:rsidR="00454A29" w:rsidRDefault="00454A29"/>
        </w:tc>
        <w:tc>
          <w:tcPr>
            <w:tcW w:w="1701" w:type="dxa"/>
            <w:vAlign w:val="center"/>
          </w:tcPr>
          <w:p w14:paraId="77D31841" w14:textId="77777777" w:rsidR="00454A29" w:rsidRDefault="00454A29">
            <w:pPr>
              <w:pStyle w:val="ConsPlusNormal"/>
              <w:jc w:val="center"/>
            </w:pPr>
            <w:r>
              <w:t>2025</w:t>
            </w:r>
          </w:p>
        </w:tc>
        <w:tc>
          <w:tcPr>
            <w:tcW w:w="1417" w:type="dxa"/>
            <w:vMerge/>
          </w:tcPr>
          <w:p w14:paraId="78567F1B" w14:textId="77777777" w:rsidR="00454A29" w:rsidRDefault="00454A29"/>
        </w:tc>
        <w:tc>
          <w:tcPr>
            <w:tcW w:w="2204" w:type="dxa"/>
            <w:vMerge/>
          </w:tcPr>
          <w:p w14:paraId="295714A3" w14:textId="77777777" w:rsidR="00454A29" w:rsidRDefault="00454A29"/>
        </w:tc>
        <w:tc>
          <w:tcPr>
            <w:tcW w:w="1417" w:type="dxa"/>
            <w:vMerge/>
          </w:tcPr>
          <w:p w14:paraId="0CBF855D" w14:textId="77777777" w:rsidR="00454A29" w:rsidRDefault="00454A29"/>
        </w:tc>
        <w:tc>
          <w:tcPr>
            <w:tcW w:w="2324" w:type="dxa"/>
            <w:vMerge/>
          </w:tcPr>
          <w:p w14:paraId="2A6BF397" w14:textId="77777777" w:rsidR="00454A29" w:rsidRDefault="00454A29"/>
        </w:tc>
        <w:tc>
          <w:tcPr>
            <w:tcW w:w="1701" w:type="dxa"/>
            <w:vAlign w:val="center"/>
          </w:tcPr>
          <w:p w14:paraId="0A6CA12E" w14:textId="77777777" w:rsidR="00454A29" w:rsidRDefault="00454A29">
            <w:pPr>
              <w:pStyle w:val="ConsPlusNormal"/>
              <w:jc w:val="center"/>
            </w:pPr>
            <w:r>
              <w:t>-</w:t>
            </w:r>
          </w:p>
        </w:tc>
        <w:tc>
          <w:tcPr>
            <w:tcW w:w="1814" w:type="dxa"/>
            <w:vAlign w:val="center"/>
          </w:tcPr>
          <w:p w14:paraId="04701378" w14:textId="77777777" w:rsidR="00454A29" w:rsidRDefault="00454A29">
            <w:pPr>
              <w:pStyle w:val="ConsPlusNormal"/>
            </w:pPr>
          </w:p>
        </w:tc>
        <w:tc>
          <w:tcPr>
            <w:tcW w:w="1701" w:type="dxa"/>
            <w:vAlign w:val="center"/>
          </w:tcPr>
          <w:p w14:paraId="5AA78715" w14:textId="77777777" w:rsidR="00454A29" w:rsidRDefault="00454A29">
            <w:pPr>
              <w:pStyle w:val="ConsPlusNormal"/>
            </w:pPr>
          </w:p>
        </w:tc>
        <w:tc>
          <w:tcPr>
            <w:tcW w:w="1701" w:type="dxa"/>
            <w:vAlign w:val="center"/>
          </w:tcPr>
          <w:p w14:paraId="67F61C13" w14:textId="77777777" w:rsidR="00454A29" w:rsidRDefault="00454A29">
            <w:pPr>
              <w:pStyle w:val="ConsPlusNormal"/>
            </w:pPr>
          </w:p>
        </w:tc>
        <w:tc>
          <w:tcPr>
            <w:tcW w:w="1814" w:type="dxa"/>
            <w:vAlign w:val="center"/>
          </w:tcPr>
          <w:p w14:paraId="679FF0DF" w14:textId="77777777" w:rsidR="00454A29" w:rsidRDefault="00454A29">
            <w:pPr>
              <w:pStyle w:val="ConsPlusNormal"/>
            </w:pPr>
          </w:p>
        </w:tc>
      </w:tr>
      <w:tr w:rsidR="00454A29" w14:paraId="32B0E1B4" w14:textId="77777777">
        <w:tc>
          <w:tcPr>
            <w:tcW w:w="567" w:type="dxa"/>
            <w:vMerge/>
          </w:tcPr>
          <w:p w14:paraId="5E1ECF98" w14:textId="77777777" w:rsidR="00454A29" w:rsidRDefault="00454A29"/>
        </w:tc>
        <w:tc>
          <w:tcPr>
            <w:tcW w:w="3345" w:type="dxa"/>
            <w:vMerge/>
          </w:tcPr>
          <w:p w14:paraId="5F0ED674" w14:textId="77777777" w:rsidR="00454A29" w:rsidRDefault="00454A29"/>
        </w:tc>
        <w:tc>
          <w:tcPr>
            <w:tcW w:w="1701" w:type="dxa"/>
            <w:vAlign w:val="center"/>
          </w:tcPr>
          <w:p w14:paraId="574610FB" w14:textId="77777777" w:rsidR="00454A29" w:rsidRDefault="00454A29">
            <w:pPr>
              <w:pStyle w:val="ConsPlusNormal"/>
              <w:jc w:val="center"/>
            </w:pPr>
            <w:r>
              <w:t>2026</w:t>
            </w:r>
          </w:p>
        </w:tc>
        <w:tc>
          <w:tcPr>
            <w:tcW w:w="1417" w:type="dxa"/>
            <w:vMerge/>
          </w:tcPr>
          <w:p w14:paraId="36065C27" w14:textId="77777777" w:rsidR="00454A29" w:rsidRDefault="00454A29"/>
        </w:tc>
        <w:tc>
          <w:tcPr>
            <w:tcW w:w="2204" w:type="dxa"/>
            <w:vMerge/>
          </w:tcPr>
          <w:p w14:paraId="2D0A1E62" w14:textId="77777777" w:rsidR="00454A29" w:rsidRDefault="00454A29"/>
        </w:tc>
        <w:tc>
          <w:tcPr>
            <w:tcW w:w="1417" w:type="dxa"/>
            <w:vMerge/>
          </w:tcPr>
          <w:p w14:paraId="783C63C0" w14:textId="77777777" w:rsidR="00454A29" w:rsidRDefault="00454A29"/>
        </w:tc>
        <w:tc>
          <w:tcPr>
            <w:tcW w:w="2324" w:type="dxa"/>
            <w:vMerge/>
          </w:tcPr>
          <w:p w14:paraId="3FCBA7E6" w14:textId="77777777" w:rsidR="00454A29" w:rsidRDefault="00454A29"/>
        </w:tc>
        <w:tc>
          <w:tcPr>
            <w:tcW w:w="1701" w:type="dxa"/>
            <w:vAlign w:val="center"/>
          </w:tcPr>
          <w:p w14:paraId="02F4F2CF" w14:textId="77777777" w:rsidR="00454A29" w:rsidRDefault="00454A29">
            <w:pPr>
              <w:pStyle w:val="ConsPlusNormal"/>
              <w:jc w:val="center"/>
            </w:pPr>
            <w:r>
              <w:t>-</w:t>
            </w:r>
          </w:p>
        </w:tc>
        <w:tc>
          <w:tcPr>
            <w:tcW w:w="1814" w:type="dxa"/>
            <w:vAlign w:val="center"/>
          </w:tcPr>
          <w:p w14:paraId="0A1390EC" w14:textId="77777777" w:rsidR="00454A29" w:rsidRDefault="00454A29">
            <w:pPr>
              <w:pStyle w:val="ConsPlusNormal"/>
            </w:pPr>
          </w:p>
        </w:tc>
        <w:tc>
          <w:tcPr>
            <w:tcW w:w="1701" w:type="dxa"/>
            <w:vAlign w:val="center"/>
          </w:tcPr>
          <w:p w14:paraId="2BAB572C" w14:textId="77777777" w:rsidR="00454A29" w:rsidRDefault="00454A29">
            <w:pPr>
              <w:pStyle w:val="ConsPlusNormal"/>
            </w:pPr>
          </w:p>
        </w:tc>
        <w:tc>
          <w:tcPr>
            <w:tcW w:w="1701" w:type="dxa"/>
            <w:vAlign w:val="center"/>
          </w:tcPr>
          <w:p w14:paraId="673C0E9C" w14:textId="77777777" w:rsidR="00454A29" w:rsidRDefault="00454A29">
            <w:pPr>
              <w:pStyle w:val="ConsPlusNormal"/>
            </w:pPr>
          </w:p>
        </w:tc>
        <w:tc>
          <w:tcPr>
            <w:tcW w:w="1814" w:type="dxa"/>
            <w:vAlign w:val="center"/>
          </w:tcPr>
          <w:p w14:paraId="06096D40" w14:textId="77777777" w:rsidR="00454A29" w:rsidRDefault="00454A29">
            <w:pPr>
              <w:pStyle w:val="ConsPlusNormal"/>
            </w:pPr>
          </w:p>
        </w:tc>
      </w:tr>
      <w:tr w:rsidR="00454A29" w14:paraId="7E0E1F52" w14:textId="77777777">
        <w:tc>
          <w:tcPr>
            <w:tcW w:w="567" w:type="dxa"/>
            <w:vMerge w:val="restart"/>
            <w:vAlign w:val="center"/>
          </w:tcPr>
          <w:p w14:paraId="46CF8BBC" w14:textId="77777777" w:rsidR="00454A29" w:rsidRDefault="00454A29">
            <w:pPr>
              <w:pStyle w:val="ConsPlusNormal"/>
              <w:jc w:val="center"/>
            </w:pPr>
            <w:r>
              <w:t>108</w:t>
            </w:r>
          </w:p>
        </w:tc>
        <w:tc>
          <w:tcPr>
            <w:tcW w:w="3345" w:type="dxa"/>
            <w:vMerge w:val="restart"/>
            <w:vAlign w:val="center"/>
          </w:tcPr>
          <w:p w14:paraId="233080DE" w14:textId="77777777" w:rsidR="00454A29" w:rsidRDefault="00454A29">
            <w:pPr>
              <w:pStyle w:val="ConsPlusNormal"/>
              <w:jc w:val="center"/>
            </w:pPr>
            <w:r>
              <w:t>Автодром Горно-геологического техникума в п. Хандыга Томпонского улуса</w:t>
            </w:r>
          </w:p>
        </w:tc>
        <w:tc>
          <w:tcPr>
            <w:tcW w:w="1701" w:type="dxa"/>
            <w:vAlign w:val="center"/>
          </w:tcPr>
          <w:p w14:paraId="16CC88C3" w14:textId="77777777" w:rsidR="00454A29" w:rsidRDefault="00454A29">
            <w:pPr>
              <w:pStyle w:val="ConsPlusNormal"/>
              <w:jc w:val="center"/>
            </w:pPr>
            <w:r>
              <w:t>Всего:</w:t>
            </w:r>
          </w:p>
        </w:tc>
        <w:tc>
          <w:tcPr>
            <w:tcW w:w="1417" w:type="dxa"/>
            <w:vMerge w:val="restart"/>
            <w:vAlign w:val="center"/>
          </w:tcPr>
          <w:p w14:paraId="3FA75896" w14:textId="77777777" w:rsidR="00454A29" w:rsidRDefault="00454A29">
            <w:pPr>
              <w:pStyle w:val="ConsPlusNormal"/>
              <w:jc w:val="center"/>
            </w:pPr>
            <w:r>
              <w:t>5 000</w:t>
            </w:r>
          </w:p>
        </w:tc>
        <w:tc>
          <w:tcPr>
            <w:tcW w:w="2204" w:type="dxa"/>
            <w:vMerge w:val="restart"/>
            <w:vAlign w:val="center"/>
          </w:tcPr>
          <w:p w14:paraId="11FE51BB" w14:textId="77777777" w:rsidR="00454A29" w:rsidRDefault="00454A29">
            <w:pPr>
              <w:pStyle w:val="ConsPlusNormal"/>
            </w:pPr>
          </w:p>
        </w:tc>
        <w:tc>
          <w:tcPr>
            <w:tcW w:w="1417" w:type="dxa"/>
            <w:vMerge w:val="restart"/>
            <w:vAlign w:val="center"/>
          </w:tcPr>
          <w:p w14:paraId="6492213D" w14:textId="77777777" w:rsidR="00454A29" w:rsidRDefault="00454A29">
            <w:pPr>
              <w:pStyle w:val="ConsPlusNormal"/>
            </w:pPr>
          </w:p>
        </w:tc>
        <w:tc>
          <w:tcPr>
            <w:tcW w:w="2324" w:type="dxa"/>
            <w:vMerge w:val="restart"/>
            <w:vAlign w:val="center"/>
          </w:tcPr>
          <w:p w14:paraId="551204BD"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F4CAFDC" w14:textId="77777777" w:rsidR="00454A29" w:rsidRDefault="00454A29">
            <w:pPr>
              <w:pStyle w:val="ConsPlusNormal"/>
              <w:jc w:val="center"/>
            </w:pPr>
            <w:r>
              <w:t>2 480,00</w:t>
            </w:r>
          </w:p>
        </w:tc>
        <w:tc>
          <w:tcPr>
            <w:tcW w:w="1814" w:type="dxa"/>
            <w:vAlign w:val="center"/>
          </w:tcPr>
          <w:p w14:paraId="2C0365A9" w14:textId="77777777" w:rsidR="00454A29" w:rsidRDefault="00454A29">
            <w:pPr>
              <w:pStyle w:val="ConsPlusNormal"/>
              <w:jc w:val="center"/>
            </w:pPr>
            <w:r>
              <w:t>2 480,00</w:t>
            </w:r>
          </w:p>
        </w:tc>
        <w:tc>
          <w:tcPr>
            <w:tcW w:w="1701" w:type="dxa"/>
            <w:vAlign w:val="center"/>
          </w:tcPr>
          <w:p w14:paraId="195FDCF6" w14:textId="77777777" w:rsidR="00454A29" w:rsidRDefault="00454A29">
            <w:pPr>
              <w:pStyle w:val="ConsPlusNormal"/>
              <w:jc w:val="center"/>
            </w:pPr>
            <w:r>
              <w:t>-</w:t>
            </w:r>
          </w:p>
        </w:tc>
        <w:tc>
          <w:tcPr>
            <w:tcW w:w="1701" w:type="dxa"/>
            <w:vAlign w:val="center"/>
          </w:tcPr>
          <w:p w14:paraId="0DAC97AC" w14:textId="77777777" w:rsidR="00454A29" w:rsidRDefault="00454A29">
            <w:pPr>
              <w:pStyle w:val="ConsPlusNormal"/>
              <w:jc w:val="center"/>
            </w:pPr>
            <w:r>
              <w:t>-</w:t>
            </w:r>
          </w:p>
        </w:tc>
        <w:tc>
          <w:tcPr>
            <w:tcW w:w="1814" w:type="dxa"/>
            <w:vAlign w:val="center"/>
          </w:tcPr>
          <w:p w14:paraId="31434DD8" w14:textId="77777777" w:rsidR="00454A29" w:rsidRDefault="00454A29">
            <w:pPr>
              <w:pStyle w:val="ConsPlusNormal"/>
              <w:jc w:val="center"/>
            </w:pPr>
            <w:r>
              <w:t>-</w:t>
            </w:r>
          </w:p>
        </w:tc>
      </w:tr>
      <w:tr w:rsidR="00454A29" w14:paraId="2DE14920" w14:textId="77777777">
        <w:tc>
          <w:tcPr>
            <w:tcW w:w="567" w:type="dxa"/>
            <w:vMerge/>
          </w:tcPr>
          <w:p w14:paraId="7ED49468" w14:textId="77777777" w:rsidR="00454A29" w:rsidRDefault="00454A29"/>
        </w:tc>
        <w:tc>
          <w:tcPr>
            <w:tcW w:w="3345" w:type="dxa"/>
            <w:vMerge/>
          </w:tcPr>
          <w:p w14:paraId="3C4E514B" w14:textId="77777777" w:rsidR="00454A29" w:rsidRDefault="00454A29"/>
        </w:tc>
        <w:tc>
          <w:tcPr>
            <w:tcW w:w="1701" w:type="dxa"/>
            <w:vAlign w:val="center"/>
          </w:tcPr>
          <w:p w14:paraId="2391794C" w14:textId="77777777" w:rsidR="00454A29" w:rsidRDefault="00454A29">
            <w:pPr>
              <w:pStyle w:val="ConsPlusNormal"/>
              <w:jc w:val="center"/>
            </w:pPr>
            <w:r>
              <w:t>2020</w:t>
            </w:r>
          </w:p>
        </w:tc>
        <w:tc>
          <w:tcPr>
            <w:tcW w:w="1417" w:type="dxa"/>
            <w:vMerge/>
          </w:tcPr>
          <w:p w14:paraId="1EE7244A" w14:textId="77777777" w:rsidR="00454A29" w:rsidRDefault="00454A29"/>
        </w:tc>
        <w:tc>
          <w:tcPr>
            <w:tcW w:w="2204" w:type="dxa"/>
            <w:vMerge/>
          </w:tcPr>
          <w:p w14:paraId="2467EFE5" w14:textId="77777777" w:rsidR="00454A29" w:rsidRDefault="00454A29"/>
        </w:tc>
        <w:tc>
          <w:tcPr>
            <w:tcW w:w="1417" w:type="dxa"/>
            <w:vMerge/>
          </w:tcPr>
          <w:p w14:paraId="426AE2D5" w14:textId="77777777" w:rsidR="00454A29" w:rsidRDefault="00454A29"/>
        </w:tc>
        <w:tc>
          <w:tcPr>
            <w:tcW w:w="2324" w:type="dxa"/>
            <w:vMerge/>
          </w:tcPr>
          <w:p w14:paraId="198CD987" w14:textId="77777777" w:rsidR="00454A29" w:rsidRDefault="00454A29"/>
        </w:tc>
        <w:tc>
          <w:tcPr>
            <w:tcW w:w="1701" w:type="dxa"/>
            <w:vAlign w:val="center"/>
          </w:tcPr>
          <w:p w14:paraId="4B81C2D8" w14:textId="77777777" w:rsidR="00454A29" w:rsidRDefault="00454A29">
            <w:pPr>
              <w:pStyle w:val="ConsPlusNormal"/>
              <w:jc w:val="center"/>
            </w:pPr>
            <w:r>
              <w:t>-</w:t>
            </w:r>
          </w:p>
        </w:tc>
        <w:tc>
          <w:tcPr>
            <w:tcW w:w="1814" w:type="dxa"/>
            <w:vAlign w:val="center"/>
          </w:tcPr>
          <w:p w14:paraId="4C1CB827" w14:textId="77777777" w:rsidR="00454A29" w:rsidRDefault="00454A29">
            <w:pPr>
              <w:pStyle w:val="ConsPlusNormal"/>
            </w:pPr>
          </w:p>
        </w:tc>
        <w:tc>
          <w:tcPr>
            <w:tcW w:w="1701" w:type="dxa"/>
            <w:vAlign w:val="center"/>
          </w:tcPr>
          <w:p w14:paraId="04D1884A" w14:textId="77777777" w:rsidR="00454A29" w:rsidRDefault="00454A29">
            <w:pPr>
              <w:pStyle w:val="ConsPlusNormal"/>
            </w:pPr>
          </w:p>
        </w:tc>
        <w:tc>
          <w:tcPr>
            <w:tcW w:w="1701" w:type="dxa"/>
            <w:vAlign w:val="center"/>
          </w:tcPr>
          <w:p w14:paraId="7566235F" w14:textId="77777777" w:rsidR="00454A29" w:rsidRDefault="00454A29">
            <w:pPr>
              <w:pStyle w:val="ConsPlusNormal"/>
            </w:pPr>
          </w:p>
        </w:tc>
        <w:tc>
          <w:tcPr>
            <w:tcW w:w="1814" w:type="dxa"/>
            <w:vAlign w:val="center"/>
          </w:tcPr>
          <w:p w14:paraId="6A67DEF5" w14:textId="77777777" w:rsidR="00454A29" w:rsidRDefault="00454A29">
            <w:pPr>
              <w:pStyle w:val="ConsPlusNormal"/>
            </w:pPr>
          </w:p>
        </w:tc>
      </w:tr>
      <w:tr w:rsidR="00454A29" w14:paraId="3D819A8B" w14:textId="77777777">
        <w:tc>
          <w:tcPr>
            <w:tcW w:w="567" w:type="dxa"/>
            <w:vMerge/>
          </w:tcPr>
          <w:p w14:paraId="36BF2E96" w14:textId="77777777" w:rsidR="00454A29" w:rsidRDefault="00454A29"/>
        </w:tc>
        <w:tc>
          <w:tcPr>
            <w:tcW w:w="3345" w:type="dxa"/>
            <w:vMerge/>
          </w:tcPr>
          <w:p w14:paraId="5F6B01CA" w14:textId="77777777" w:rsidR="00454A29" w:rsidRDefault="00454A29"/>
        </w:tc>
        <w:tc>
          <w:tcPr>
            <w:tcW w:w="1701" w:type="dxa"/>
            <w:vAlign w:val="center"/>
          </w:tcPr>
          <w:p w14:paraId="27307F4C" w14:textId="77777777" w:rsidR="00454A29" w:rsidRDefault="00454A29">
            <w:pPr>
              <w:pStyle w:val="ConsPlusNormal"/>
              <w:jc w:val="center"/>
            </w:pPr>
            <w:r>
              <w:t>2021</w:t>
            </w:r>
          </w:p>
        </w:tc>
        <w:tc>
          <w:tcPr>
            <w:tcW w:w="1417" w:type="dxa"/>
            <w:vMerge/>
          </w:tcPr>
          <w:p w14:paraId="0A904315" w14:textId="77777777" w:rsidR="00454A29" w:rsidRDefault="00454A29"/>
        </w:tc>
        <w:tc>
          <w:tcPr>
            <w:tcW w:w="2204" w:type="dxa"/>
            <w:vMerge/>
          </w:tcPr>
          <w:p w14:paraId="5B6A2025" w14:textId="77777777" w:rsidR="00454A29" w:rsidRDefault="00454A29"/>
        </w:tc>
        <w:tc>
          <w:tcPr>
            <w:tcW w:w="1417" w:type="dxa"/>
            <w:vMerge/>
          </w:tcPr>
          <w:p w14:paraId="11600908" w14:textId="77777777" w:rsidR="00454A29" w:rsidRDefault="00454A29"/>
        </w:tc>
        <w:tc>
          <w:tcPr>
            <w:tcW w:w="2324" w:type="dxa"/>
            <w:vMerge/>
          </w:tcPr>
          <w:p w14:paraId="2C47265D" w14:textId="77777777" w:rsidR="00454A29" w:rsidRDefault="00454A29"/>
        </w:tc>
        <w:tc>
          <w:tcPr>
            <w:tcW w:w="1701" w:type="dxa"/>
            <w:vAlign w:val="center"/>
          </w:tcPr>
          <w:p w14:paraId="409788F0" w14:textId="77777777" w:rsidR="00454A29" w:rsidRDefault="00454A29">
            <w:pPr>
              <w:pStyle w:val="ConsPlusNormal"/>
              <w:jc w:val="center"/>
            </w:pPr>
            <w:r>
              <w:t>-</w:t>
            </w:r>
          </w:p>
        </w:tc>
        <w:tc>
          <w:tcPr>
            <w:tcW w:w="1814" w:type="dxa"/>
            <w:vAlign w:val="center"/>
          </w:tcPr>
          <w:p w14:paraId="106D4026" w14:textId="77777777" w:rsidR="00454A29" w:rsidRDefault="00454A29">
            <w:pPr>
              <w:pStyle w:val="ConsPlusNormal"/>
            </w:pPr>
          </w:p>
        </w:tc>
        <w:tc>
          <w:tcPr>
            <w:tcW w:w="1701" w:type="dxa"/>
            <w:vAlign w:val="center"/>
          </w:tcPr>
          <w:p w14:paraId="4A42A6EE" w14:textId="77777777" w:rsidR="00454A29" w:rsidRDefault="00454A29">
            <w:pPr>
              <w:pStyle w:val="ConsPlusNormal"/>
            </w:pPr>
          </w:p>
        </w:tc>
        <w:tc>
          <w:tcPr>
            <w:tcW w:w="1701" w:type="dxa"/>
            <w:vAlign w:val="center"/>
          </w:tcPr>
          <w:p w14:paraId="7A0AC9FB" w14:textId="77777777" w:rsidR="00454A29" w:rsidRDefault="00454A29">
            <w:pPr>
              <w:pStyle w:val="ConsPlusNormal"/>
            </w:pPr>
          </w:p>
        </w:tc>
        <w:tc>
          <w:tcPr>
            <w:tcW w:w="1814" w:type="dxa"/>
            <w:vAlign w:val="center"/>
          </w:tcPr>
          <w:p w14:paraId="0AF39401" w14:textId="77777777" w:rsidR="00454A29" w:rsidRDefault="00454A29">
            <w:pPr>
              <w:pStyle w:val="ConsPlusNormal"/>
            </w:pPr>
          </w:p>
        </w:tc>
      </w:tr>
      <w:tr w:rsidR="00454A29" w14:paraId="7647C501" w14:textId="77777777">
        <w:tc>
          <w:tcPr>
            <w:tcW w:w="567" w:type="dxa"/>
            <w:vMerge/>
          </w:tcPr>
          <w:p w14:paraId="30129878" w14:textId="77777777" w:rsidR="00454A29" w:rsidRDefault="00454A29"/>
        </w:tc>
        <w:tc>
          <w:tcPr>
            <w:tcW w:w="3345" w:type="dxa"/>
            <w:vMerge/>
          </w:tcPr>
          <w:p w14:paraId="5470027E" w14:textId="77777777" w:rsidR="00454A29" w:rsidRDefault="00454A29"/>
        </w:tc>
        <w:tc>
          <w:tcPr>
            <w:tcW w:w="1701" w:type="dxa"/>
            <w:vAlign w:val="center"/>
          </w:tcPr>
          <w:p w14:paraId="681C7FE0" w14:textId="77777777" w:rsidR="00454A29" w:rsidRDefault="00454A29">
            <w:pPr>
              <w:pStyle w:val="ConsPlusNormal"/>
              <w:jc w:val="center"/>
            </w:pPr>
            <w:r>
              <w:t>2022</w:t>
            </w:r>
          </w:p>
        </w:tc>
        <w:tc>
          <w:tcPr>
            <w:tcW w:w="1417" w:type="dxa"/>
            <w:vMerge/>
          </w:tcPr>
          <w:p w14:paraId="2862A7FE" w14:textId="77777777" w:rsidR="00454A29" w:rsidRDefault="00454A29"/>
        </w:tc>
        <w:tc>
          <w:tcPr>
            <w:tcW w:w="2204" w:type="dxa"/>
            <w:vMerge/>
          </w:tcPr>
          <w:p w14:paraId="6BD37929" w14:textId="77777777" w:rsidR="00454A29" w:rsidRDefault="00454A29"/>
        </w:tc>
        <w:tc>
          <w:tcPr>
            <w:tcW w:w="1417" w:type="dxa"/>
            <w:vMerge/>
          </w:tcPr>
          <w:p w14:paraId="2ADC1B72" w14:textId="77777777" w:rsidR="00454A29" w:rsidRDefault="00454A29"/>
        </w:tc>
        <w:tc>
          <w:tcPr>
            <w:tcW w:w="2324" w:type="dxa"/>
            <w:vMerge/>
          </w:tcPr>
          <w:p w14:paraId="5915C080" w14:textId="77777777" w:rsidR="00454A29" w:rsidRDefault="00454A29"/>
        </w:tc>
        <w:tc>
          <w:tcPr>
            <w:tcW w:w="1701" w:type="dxa"/>
            <w:vAlign w:val="center"/>
          </w:tcPr>
          <w:p w14:paraId="3286D168" w14:textId="77777777" w:rsidR="00454A29" w:rsidRDefault="00454A29">
            <w:pPr>
              <w:pStyle w:val="ConsPlusNormal"/>
              <w:jc w:val="center"/>
            </w:pPr>
            <w:r>
              <w:t>-</w:t>
            </w:r>
          </w:p>
        </w:tc>
        <w:tc>
          <w:tcPr>
            <w:tcW w:w="1814" w:type="dxa"/>
            <w:vAlign w:val="center"/>
          </w:tcPr>
          <w:p w14:paraId="791C53A0" w14:textId="77777777" w:rsidR="00454A29" w:rsidRDefault="00454A29">
            <w:pPr>
              <w:pStyle w:val="ConsPlusNormal"/>
              <w:jc w:val="center"/>
            </w:pPr>
            <w:r>
              <w:t>-</w:t>
            </w:r>
          </w:p>
        </w:tc>
        <w:tc>
          <w:tcPr>
            <w:tcW w:w="1701" w:type="dxa"/>
            <w:vAlign w:val="center"/>
          </w:tcPr>
          <w:p w14:paraId="4EC120F4" w14:textId="77777777" w:rsidR="00454A29" w:rsidRDefault="00454A29">
            <w:pPr>
              <w:pStyle w:val="ConsPlusNormal"/>
            </w:pPr>
          </w:p>
        </w:tc>
        <w:tc>
          <w:tcPr>
            <w:tcW w:w="1701" w:type="dxa"/>
            <w:vAlign w:val="center"/>
          </w:tcPr>
          <w:p w14:paraId="621A05FB" w14:textId="77777777" w:rsidR="00454A29" w:rsidRDefault="00454A29">
            <w:pPr>
              <w:pStyle w:val="ConsPlusNormal"/>
            </w:pPr>
          </w:p>
        </w:tc>
        <w:tc>
          <w:tcPr>
            <w:tcW w:w="1814" w:type="dxa"/>
            <w:vAlign w:val="center"/>
          </w:tcPr>
          <w:p w14:paraId="1B646A1E" w14:textId="77777777" w:rsidR="00454A29" w:rsidRDefault="00454A29">
            <w:pPr>
              <w:pStyle w:val="ConsPlusNormal"/>
            </w:pPr>
          </w:p>
        </w:tc>
      </w:tr>
      <w:tr w:rsidR="00454A29" w14:paraId="3B9AAADD" w14:textId="77777777">
        <w:tc>
          <w:tcPr>
            <w:tcW w:w="567" w:type="dxa"/>
            <w:vMerge/>
          </w:tcPr>
          <w:p w14:paraId="3A5DBBD6" w14:textId="77777777" w:rsidR="00454A29" w:rsidRDefault="00454A29"/>
        </w:tc>
        <w:tc>
          <w:tcPr>
            <w:tcW w:w="3345" w:type="dxa"/>
            <w:vMerge/>
          </w:tcPr>
          <w:p w14:paraId="38FBDFFA" w14:textId="77777777" w:rsidR="00454A29" w:rsidRDefault="00454A29"/>
        </w:tc>
        <w:tc>
          <w:tcPr>
            <w:tcW w:w="1701" w:type="dxa"/>
            <w:vAlign w:val="center"/>
          </w:tcPr>
          <w:p w14:paraId="31CC4E7E" w14:textId="77777777" w:rsidR="00454A29" w:rsidRDefault="00454A29">
            <w:pPr>
              <w:pStyle w:val="ConsPlusNormal"/>
              <w:jc w:val="center"/>
            </w:pPr>
            <w:r>
              <w:t>2023</w:t>
            </w:r>
          </w:p>
        </w:tc>
        <w:tc>
          <w:tcPr>
            <w:tcW w:w="1417" w:type="dxa"/>
            <w:vMerge/>
          </w:tcPr>
          <w:p w14:paraId="05EBF4FE" w14:textId="77777777" w:rsidR="00454A29" w:rsidRDefault="00454A29"/>
        </w:tc>
        <w:tc>
          <w:tcPr>
            <w:tcW w:w="2204" w:type="dxa"/>
            <w:vMerge/>
          </w:tcPr>
          <w:p w14:paraId="4822771C" w14:textId="77777777" w:rsidR="00454A29" w:rsidRDefault="00454A29"/>
        </w:tc>
        <w:tc>
          <w:tcPr>
            <w:tcW w:w="1417" w:type="dxa"/>
            <w:vMerge/>
          </w:tcPr>
          <w:p w14:paraId="6D4047E8" w14:textId="77777777" w:rsidR="00454A29" w:rsidRDefault="00454A29"/>
        </w:tc>
        <w:tc>
          <w:tcPr>
            <w:tcW w:w="2324" w:type="dxa"/>
            <w:vMerge/>
          </w:tcPr>
          <w:p w14:paraId="56138E35" w14:textId="77777777" w:rsidR="00454A29" w:rsidRDefault="00454A29"/>
        </w:tc>
        <w:tc>
          <w:tcPr>
            <w:tcW w:w="1701" w:type="dxa"/>
            <w:vAlign w:val="center"/>
          </w:tcPr>
          <w:p w14:paraId="47437C11" w14:textId="77777777" w:rsidR="00454A29" w:rsidRDefault="00454A29">
            <w:pPr>
              <w:pStyle w:val="ConsPlusNormal"/>
              <w:jc w:val="center"/>
            </w:pPr>
            <w:r>
              <w:t>2 480,00</w:t>
            </w:r>
          </w:p>
        </w:tc>
        <w:tc>
          <w:tcPr>
            <w:tcW w:w="1814" w:type="dxa"/>
            <w:vAlign w:val="center"/>
          </w:tcPr>
          <w:p w14:paraId="02FB78D6" w14:textId="77777777" w:rsidR="00454A29" w:rsidRDefault="00454A29">
            <w:pPr>
              <w:pStyle w:val="ConsPlusNormal"/>
              <w:jc w:val="center"/>
            </w:pPr>
            <w:r>
              <w:t>2 480,00</w:t>
            </w:r>
          </w:p>
        </w:tc>
        <w:tc>
          <w:tcPr>
            <w:tcW w:w="1701" w:type="dxa"/>
            <w:vAlign w:val="center"/>
          </w:tcPr>
          <w:p w14:paraId="0457695C" w14:textId="77777777" w:rsidR="00454A29" w:rsidRDefault="00454A29">
            <w:pPr>
              <w:pStyle w:val="ConsPlusNormal"/>
            </w:pPr>
          </w:p>
        </w:tc>
        <w:tc>
          <w:tcPr>
            <w:tcW w:w="1701" w:type="dxa"/>
            <w:vAlign w:val="center"/>
          </w:tcPr>
          <w:p w14:paraId="2871AA12" w14:textId="77777777" w:rsidR="00454A29" w:rsidRDefault="00454A29">
            <w:pPr>
              <w:pStyle w:val="ConsPlusNormal"/>
            </w:pPr>
          </w:p>
        </w:tc>
        <w:tc>
          <w:tcPr>
            <w:tcW w:w="1814" w:type="dxa"/>
            <w:vAlign w:val="center"/>
          </w:tcPr>
          <w:p w14:paraId="2B962F20" w14:textId="77777777" w:rsidR="00454A29" w:rsidRDefault="00454A29">
            <w:pPr>
              <w:pStyle w:val="ConsPlusNormal"/>
            </w:pPr>
          </w:p>
        </w:tc>
      </w:tr>
      <w:tr w:rsidR="00454A29" w14:paraId="59A007EA" w14:textId="77777777">
        <w:tc>
          <w:tcPr>
            <w:tcW w:w="567" w:type="dxa"/>
            <w:vMerge/>
          </w:tcPr>
          <w:p w14:paraId="3799C660" w14:textId="77777777" w:rsidR="00454A29" w:rsidRDefault="00454A29"/>
        </w:tc>
        <w:tc>
          <w:tcPr>
            <w:tcW w:w="3345" w:type="dxa"/>
            <w:vMerge/>
          </w:tcPr>
          <w:p w14:paraId="215C2A31" w14:textId="77777777" w:rsidR="00454A29" w:rsidRDefault="00454A29"/>
        </w:tc>
        <w:tc>
          <w:tcPr>
            <w:tcW w:w="1701" w:type="dxa"/>
            <w:vAlign w:val="center"/>
          </w:tcPr>
          <w:p w14:paraId="67CB610E" w14:textId="77777777" w:rsidR="00454A29" w:rsidRDefault="00454A29">
            <w:pPr>
              <w:pStyle w:val="ConsPlusNormal"/>
              <w:jc w:val="center"/>
            </w:pPr>
            <w:r>
              <w:t>2024</w:t>
            </w:r>
          </w:p>
        </w:tc>
        <w:tc>
          <w:tcPr>
            <w:tcW w:w="1417" w:type="dxa"/>
            <w:vMerge/>
          </w:tcPr>
          <w:p w14:paraId="00574C54" w14:textId="77777777" w:rsidR="00454A29" w:rsidRDefault="00454A29"/>
        </w:tc>
        <w:tc>
          <w:tcPr>
            <w:tcW w:w="2204" w:type="dxa"/>
            <w:vMerge/>
          </w:tcPr>
          <w:p w14:paraId="3017D7C2" w14:textId="77777777" w:rsidR="00454A29" w:rsidRDefault="00454A29"/>
        </w:tc>
        <w:tc>
          <w:tcPr>
            <w:tcW w:w="1417" w:type="dxa"/>
            <w:vMerge/>
          </w:tcPr>
          <w:p w14:paraId="1DBCEB85" w14:textId="77777777" w:rsidR="00454A29" w:rsidRDefault="00454A29"/>
        </w:tc>
        <w:tc>
          <w:tcPr>
            <w:tcW w:w="2324" w:type="dxa"/>
            <w:vMerge/>
          </w:tcPr>
          <w:p w14:paraId="73A41E76" w14:textId="77777777" w:rsidR="00454A29" w:rsidRDefault="00454A29"/>
        </w:tc>
        <w:tc>
          <w:tcPr>
            <w:tcW w:w="1701" w:type="dxa"/>
            <w:vAlign w:val="center"/>
          </w:tcPr>
          <w:p w14:paraId="7A318A34" w14:textId="77777777" w:rsidR="00454A29" w:rsidRDefault="00454A29">
            <w:pPr>
              <w:pStyle w:val="ConsPlusNormal"/>
              <w:jc w:val="center"/>
            </w:pPr>
            <w:r>
              <w:t>-</w:t>
            </w:r>
          </w:p>
        </w:tc>
        <w:tc>
          <w:tcPr>
            <w:tcW w:w="1814" w:type="dxa"/>
            <w:vAlign w:val="center"/>
          </w:tcPr>
          <w:p w14:paraId="598FD81D" w14:textId="77777777" w:rsidR="00454A29" w:rsidRDefault="00454A29">
            <w:pPr>
              <w:pStyle w:val="ConsPlusNormal"/>
            </w:pPr>
          </w:p>
        </w:tc>
        <w:tc>
          <w:tcPr>
            <w:tcW w:w="1701" w:type="dxa"/>
            <w:vAlign w:val="center"/>
          </w:tcPr>
          <w:p w14:paraId="7E62A7AC" w14:textId="77777777" w:rsidR="00454A29" w:rsidRDefault="00454A29">
            <w:pPr>
              <w:pStyle w:val="ConsPlusNormal"/>
            </w:pPr>
          </w:p>
        </w:tc>
        <w:tc>
          <w:tcPr>
            <w:tcW w:w="1701" w:type="dxa"/>
            <w:vAlign w:val="center"/>
          </w:tcPr>
          <w:p w14:paraId="29C77B34" w14:textId="77777777" w:rsidR="00454A29" w:rsidRDefault="00454A29">
            <w:pPr>
              <w:pStyle w:val="ConsPlusNormal"/>
            </w:pPr>
          </w:p>
        </w:tc>
        <w:tc>
          <w:tcPr>
            <w:tcW w:w="1814" w:type="dxa"/>
            <w:vAlign w:val="center"/>
          </w:tcPr>
          <w:p w14:paraId="64CE4E55" w14:textId="77777777" w:rsidR="00454A29" w:rsidRDefault="00454A29">
            <w:pPr>
              <w:pStyle w:val="ConsPlusNormal"/>
            </w:pPr>
          </w:p>
        </w:tc>
      </w:tr>
      <w:tr w:rsidR="00454A29" w14:paraId="748E3E4F" w14:textId="77777777">
        <w:tc>
          <w:tcPr>
            <w:tcW w:w="567" w:type="dxa"/>
            <w:vMerge/>
          </w:tcPr>
          <w:p w14:paraId="6B5C9191" w14:textId="77777777" w:rsidR="00454A29" w:rsidRDefault="00454A29"/>
        </w:tc>
        <w:tc>
          <w:tcPr>
            <w:tcW w:w="3345" w:type="dxa"/>
            <w:vMerge/>
          </w:tcPr>
          <w:p w14:paraId="594967A7" w14:textId="77777777" w:rsidR="00454A29" w:rsidRDefault="00454A29"/>
        </w:tc>
        <w:tc>
          <w:tcPr>
            <w:tcW w:w="1701" w:type="dxa"/>
            <w:vAlign w:val="center"/>
          </w:tcPr>
          <w:p w14:paraId="701A54CC" w14:textId="77777777" w:rsidR="00454A29" w:rsidRDefault="00454A29">
            <w:pPr>
              <w:pStyle w:val="ConsPlusNormal"/>
              <w:jc w:val="center"/>
            </w:pPr>
            <w:r>
              <w:t>2025</w:t>
            </w:r>
          </w:p>
        </w:tc>
        <w:tc>
          <w:tcPr>
            <w:tcW w:w="1417" w:type="dxa"/>
            <w:vMerge/>
          </w:tcPr>
          <w:p w14:paraId="3D33FBDD" w14:textId="77777777" w:rsidR="00454A29" w:rsidRDefault="00454A29"/>
        </w:tc>
        <w:tc>
          <w:tcPr>
            <w:tcW w:w="2204" w:type="dxa"/>
            <w:vMerge/>
          </w:tcPr>
          <w:p w14:paraId="0E521A8A" w14:textId="77777777" w:rsidR="00454A29" w:rsidRDefault="00454A29"/>
        </w:tc>
        <w:tc>
          <w:tcPr>
            <w:tcW w:w="1417" w:type="dxa"/>
            <w:vMerge/>
          </w:tcPr>
          <w:p w14:paraId="7ED0DE05" w14:textId="77777777" w:rsidR="00454A29" w:rsidRDefault="00454A29"/>
        </w:tc>
        <w:tc>
          <w:tcPr>
            <w:tcW w:w="2324" w:type="dxa"/>
            <w:vMerge/>
          </w:tcPr>
          <w:p w14:paraId="2DE2675E" w14:textId="77777777" w:rsidR="00454A29" w:rsidRDefault="00454A29"/>
        </w:tc>
        <w:tc>
          <w:tcPr>
            <w:tcW w:w="1701" w:type="dxa"/>
            <w:vAlign w:val="center"/>
          </w:tcPr>
          <w:p w14:paraId="61A45D3C" w14:textId="77777777" w:rsidR="00454A29" w:rsidRDefault="00454A29">
            <w:pPr>
              <w:pStyle w:val="ConsPlusNormal"/>
              <w:jc w:val="center"/>
            </w:pPr>
            <w:r>
              <w:t>-</w:t>
            </w:r>
          </w:p>
        </w:tc>
        <w:tc>
          <w:tcPr>
            <w:tcW w:w="1814" w:type="dxa"/>
            <w:vAlign w:val="center"/>
          </w:tcPr>
          <w:p w14:paraId="7999A9B3" w14:textId="77777777" w:rsidR="00454A29" w:rsidRDefault="00454A29">
            <w:pPr>
              <w:pStyle w:val="ConsPlusNormal"/>
            </w:pPr>
          </w:p>
        </w:tc>
        <w:tc>
          <w:tcPr>
            <w:tcW w:w="1701" w:type="dxa"/>
            <w:vAlign w:val="center"/>
          </w:tcPr>
          <w:p w14:paraId="17102F3E" w14:textId="77777777" w:rsidR="00454A29" w:rsidRDefault="00454A29">
            <w:pPr>
              <w:pStyle w:val="ConsPlusNormal"/>
            </w:pPr>
          </w:p>
        </w:tc>
        <w:tc>
          <w:tcPr>
            <w:tcW w:w="1701" w:type="dxa"/>
            <w:vAlign w:val="center"/>
          </w:tcPr>
          <w:p w14:paraId="62F110B3" w14:textId="77777777" w:rsidR="00454A29" w:rsidRDefault="00454A29">
            <w:pPr>
              <w:pStyle w:val="ConsPlusNormal"/>
            </w:pPr>
          </w:p>
        </w:tc>
        <w:tc>
          <w:tcPr>
            <w:tcW w:w="1814" w:type="dxa"/>
            <w:vAlign w:val="center"/>
          </w:tcPr>
          <w:p w14:paraId="551A7F30" w14:textId="77777777" w:rsidR="00454A29" w:rsidRDefault="00454A29">
            <w:pPr>
              <w:pStyle w:val="ConsPlusNormal"/>
            </w:pPr>
          </w:p>
        </w:tc>
      </w:tr>
      <w:tr w:rsidR="00454A29" w14:paraId="4E5E7520" w14:textId="77777777">
        <w:tc>
          <w:tcPr>
            <w:tcW w:w="567" w:type="dxa"/>
            <w:vMerge/>
          </w:tcPr>
          <w:p w14:paraId="0FF94FCB" w14:textId="77777777" w:rsidR="00454A29" w:rsidRDefault="00454A29"/>
        </w:tc>
        <w:tc>
          <w:tcPr>
            <w:tcW w:w="3345" w:type="dxa"/>
            <w:vMerge/>
          </w:tcPr>
          <w:p w14:paraId="6A76D238" w14:textId="77777777" w:rsidR="00454A29" w:rsidRDefault="00454A29"/>
        </w:tc>
        <w:tc>
          <w:tcPr>
            <w:tcW w:w="1701" w:type="dxa"/>
            <w:vAlign w:val="center"/>
          </w:tcPr>
          <w:p w14:paraId="6B6BA660" w14:textId="77777777" w:rsidR="00454A29" w:rsidRDefault="00454A29">
            <w:pPr>
              <w:pStyle w:val="ConsPlusNormal"/>
              <w:jc w:val="center"/>
            </w:pPr>
            <w:r>
              <w:t>2026</w:t>
            </w:r>
          </w:p>
        </w:tc>
        <w:tc>
          <w:tcPr>
            <w:tcW w:w="1417" w:type="dxa"/>
            <w:vMerge/>
          </w:tcPr>
          <w:p w14:paraId="1BDAB0A1" w14:textId="77777777" w:rsidR="00454A29" w:rsidRDefault="00454A29"/>
        </w:tc>
        <w:tc>
          <w:tcPr>
            <w:tcW w:w="2204" w:type="dxa"/>
            <w:vMerge/>
          </w:tcPr>
          <w:p w14:paraId="2FB6DECA" w14:textId="77777777" w:rsidR="00454A29" w:rsidRDefault="00454A29"/>
        </w:tc>
        <w:tc>
          <w:tcPr>
            <w:tcW w:w="1417" w:type="dxa"/>
            <w:vMerge/>
          </w:tcPr>
          <w:p w14:paraId="158DBE1B" w14:textId="77777777" w:rsidR="00454A29" w:rsidRDefault="00454A29"/>
        </w:tc>
        <w:tc>
          <w:tcPr>
            <w:tcW w:w="2324" w:type="dxa"/>
            <w:vMerge/>
          </w:tcPr>
          <w:p w14:paraId="79C2D9A9" w14:textId="77777777" w:rsidR="00454A29" w:rsidRDefault="00454A29"/>
        </w:tc>
        <w:tc>
          <w:tcPr>
            <w:tcW w:w="1701" w:type="dxa"/>
            <w:vAlign w:val="center"/>
          </w:tcPr>
          <w:p w14:paraId="43253004" w14:textId="77777777" w:rsidR="00454A29" w:rsidRDefault="00454A29">
            <w:pPr>
              <w:pStyle w:val="ConsPlusNormal"/>
              <w:jc w:val="center"/>
            </w:pPr>
            <w:r>
              <w:t>-</w:t>
            </w:r>
          </w:p>
        </w:tc>
        <w:tc>
          <w:tcPr>
            <w:tcW w:w="1814" w:type="dxa"/>
            <w:vAlign w:val="center"/>
          </w:tcPr>
          <w:p w14:paraId="04AFDA9B" w14:textId="77777777" w:rsidR="00454A29" w:rsidRDefault="00454A29">
            <w:pPr>
              <w:pStyle w:val="ConsPlusNormal"/>
            </w:pPr>
          </w:p>
        </w:tc>
        <w:tc>
          <w:tcPr>
            <w:tcW w:w="1701" w:type="dxa"/>
            <w:vAlign w:val="center"/>
          </w:tcPr>
          <w:p w14:paraId="696214EB" w14:textId="77777777" w:rsidR="00454A29" w:rsidRDefault="00454A29">
            <w:pPr>
              <w:pStyle w:val="ConsPlusNormal"/>
            </w:pPr>
          </w:p>
        </w:tc>
        <w:tc>
          <w:tcPr>
            <w:tcW w:w="1701" w:type="dxa"/>
            <w:vAlign w:val="center"/>
          </w:tcPr>
          <w:p w14:paraId="72C96671" w14:textId="77777777" w:rsidR="00454A29" w:rsidRDefault="00454A29">
            <w:pPr>
              <w:pStyle w:val="ConsPlusNormal"/>
            </w:pPr>
          </w:p>
        </w:tc>
        <w:tc>
          <w:tcPr>
            <w:tcW w:w="1814" w:type="dxa"/>
            <w:vAlign w:val="center"/>
          </w:tcPr>
          <w:p w14:paraId="336BEC8C" w14:textId="77777777" w:rsidR="00454A29" w:rsidRDefault="00454A29">
            <w:pPr>
              <w:pStyle w:val="ConsPlusNormal"/>
            </w:pPr>
          </w:p>
        </w:tc>
      </w:tr>
      <w:tr w:rsidR="00454A29" w14:paraId="18CE4BE4" w14:textId="77777777">
        <w:tc>
          <w:tcPr>
            <w:tcW w:w="567" w:type="dxa"/>
            <w:vMerge w:val="restart"/>
            <w:vAlign w:val="center"/>
          </w:tcPr>
          <w:p w14:paraId="18C0244B" w14:textId="77777777" w:rsidR="00454A29" w:rsidRDefault="00454A29">
            <w:pPr>
              <w:pStyle w:val="ConsPlusNormal"/>
              <w:jc w:val="center"/>
            </w:pPr>
            <w:r>
              <w:t>109</w:t>
            </w:r>
          </w:p>
        </w:tc>
        <w:tc>
          <w:tcPr>
            <w:tcW w:w="3345" w:type="dxa"/>
            <w:vMerge w:val="restart"/>
            <w:vAlign w:val="center"/>
          </w:tcPr>
          <w:p w14:paraId="1E3D18A8" w14:textId="77777777" w:rsidR="00454A29" w:rsidRDefault="00454A29">
            <w:pPr>
              <w:pStyle w:val="ConsPlusNormal"/>
              <w:jc w:val="center"/>
            </w:pPr>
            <w:r>
              <w:t>Автодром Ленского технологического техникума в г. Ленск Ленского района</w:t>
            </w:r>
          </w:p>
        </w:tc>
        <w:tc>
          <w:tcPr>
            <w:tcW w:w="1701" w:type="dxa"/>
            <w:vAlign w:val="center"/>
          </w:tcPr>
          <w:p w14:paraId="28E79C7B" w14:textId="77777777" w:rsidR="00454A29" w:rsidRDefault="00454A29">
            <w:pPr>
              <w:pStyle w:val="ConsPlusNormal"/>
              <w:jc w:val="center"/>
            </w:pPr>
            <w:r>
              <w:t>Всего:</w:t>
            </w:r>
          </w:p>
        </w:tc>
        <w:tc>
          <w:tcPr>
            <w:tcW w:w="1417" w:type="dxa"/>
            <w:vMerge w:val="restart"/>
            <w:vAlign w:val="center"/>
          </w:tcPr>
          <w:p w14:paraId="586ADE0B" w14:textId="77777777" w:rsidR="00454A29" w:rsidRDefault="00454A29">
            <w:pPr>
              <w:pStyle w:val="ConsPlusNormal"/>
              <w:jc w:val="center"/>
            </w:pPr>
            <w:r>
              <w:t>5 000</w:t>
            </w:r>
          </w:p>
        </w:tc>
        <w:tc>
          <w:tcPr>
            <w:tcW w:w="2204" w:type="dxa"/>
            <w:vMerge w:val="restart"/>
            <w:vAlign w:val="center"/>
          </w:tcPr>
          <w:p w14:paraId="16D53127" w14:textId="77777777" w:rsidR="00454A29" w:rsidRDefault="00454A29">
            <w:pPr>
              <w:pStyle w:val="ConsPlusNormal"/>
            </w:pPr>
          </w:p>
        </w:tc>
        <w:tc>
          <w:tcPr>
            <w:tcW w:w="1417" w:type="dxa"/>
            <w:vMerge w:val="restart"/>
            <w:vAlign w:val="center"/>
          </w:tcPr>
          <w:p w14:paraId="0BCB60E4" w14:textId="77777777" w:rsidR="00454A29" w:rsidRDefault="00454A29">
            <w:pPr>
              <w:pStyle w:val="ConsPlusNormal"/>
            </w:pPr>
          </w:p>
        </w:tc>
        <w:tc>
          <w:tcPr>
            <w:tcW w:w="2324" w:type="dxa"/>
            <w:vMerge w:val="restart"/>
            <w:vAlign w:val="center"/>
          </w:tcPr>
          <w:p w14:paraId="1450B564"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774B7765" w14:textId="77777777" w:rsidR="00454A29" w:rsidRDefault="00454A29">
            <w:pPr>
              <w:pStyle w:val="ConsPlusNormal"/>
              <w:jc w:val="center"/>
            </w:pPr>
            <w:r>
              <w:t>2 480,00</w:t>
            </w:r>
          </w:p>
        </w:tc>
        <w:tc>
          <w:tcPr>
            <w:tcW w:w="1814" w:type="dxa"/>
            <w:vAlign w:val="center"/>
          </w:tcPr>
          <w:p w14:paraId="25305521" w14:textId="77777777" w:rsidR="00454A29" w:rsidRDefault="00454A29">
            <w:pPr>
              <w:pStyle w:val="ConsPlusNormal"/>
              <w:jc w:val="center"/>
            </w:pPr>
            <w:r>
              <w:t>2 480,00</w:t>
            </w:r>
          </w:p>
        </w:tc>
        <w:tc>
          <w:tcPr>
            <w:tcW w:w="1701" w:type="dxa"/>
            <w:vAlign w:val="center"/>
          </w:tcPr>
          <w:p w14:paraId="4A3E9B25" w14:textId="77777777" w:rsidR="00454A29" w:rsidRDefault="00454A29">
            <w:pPr>
              <w:pStyle w:val="ConsPlusNormal"/>
              <w:jc w:val="center"/>
            </w:pPr>
            <w:r>
              <w:t>-</w:t>
            </w:r>
          </w:p>
        </w:tc>
        <w:tc>
          <w:tcPr>
            <w:tcW w:w="1701" w:type="dxa"/>
            <w:vAlign w:val="center"/>
          </w:tcPr>
          <w:p w14:paraId="5ED2B135" w14:textId="77777777" w:rsidR="00454A29" w:rsidRDefault="00454A29">
            <w:pPr>
              <w:pStyle w:val="ConsPlusNormal"/>
              <w:jc w:val="center"/>
            </w:pPr>
            <w:r>
              <w:t>-</w:t>
            </w:r>
          </w:p>
        </w:tc>
        <w:tc>
          <w:tcPr>
            <w:tcW w:w="1814" w:type="dxa"/>
            <w:vAlign w:val="center"/>
          </w:tcPr>
          <w:p w14:paraId="53E52521" w14:textId="77777777" w:rsidR="00454A29" w:rsidRDefault="00454A29">
            <w:pPr>
              <w:pStyle w:val="ConsPlusNormal"/>
              <w:jc w:val="center"/>
            </w:pPr>
            <w:r>
              <w:t>-</w:t>
            </w:r>
          </w:p>
        </w:tc>
      </w:tr>
      <w:tr w:rsidR="00454A29" w14:paraId="3999B4F5" w14:textId="77777777">
        <w:tc>
          <w:tcPr>
            <w:tcW w:w="567" w:type="dxa"/>
            <w:vMerge/>
          </w:tcPr>
          <w:p w14:paraId="3D4228B2" w14:textId="77777777" w:rsidR="00454A29" w:rsidRDefault="00454A29"/>
        </w:tc>
        <w:tc>
          <w:tcPr>
            <w:tcW w:w="3345" w:type="dxa"/>
            <w:vMerge/>
          </w:tcPr>
          <w:p w14:paraId="2E1FF75A" w14:textId="77777777" w:rsidR="00454A29" w:rsidRDefault="00454A29"/>
        </w:tc>
        <w:tc>
          <w:tcPr>
            <w:tcW w:w="1701" w:type="dxa"/>
            <w:vAlign w:val="center"/>
          </w:tcPr>
          <w:p w14:paraId="1B610480" w14:textId="77777777" w:rsidR="00454A29" w:rsidRDefault="00454A29">
            <w:pPr>
              <w:pStyle w:val="ConsPlusNormal"/>
              <w:jc w:val="center"/>
            </w:pPr>
            <w:r>
              <w:t>2020</w:t>
            </w:r>
          </w:p>
        </w:tc>
        <w:tc>
          <w:tcPr>
            <w:tcW w:w="1417" w:type="dxa"/>
            <w:vMerge/>
          </w:tcPr>
          <w:p w14:paraId="73F65CF1" w14:textId="77777777" w:rsidR="00454A29" w:rsidRDefault="00454A29"/>
        </w:tc>
        <w:tc>
          <w:tcPr>
            <w:tcW w:w="2204" w:type="dxa"/>
            <w:vMerge/>
          </w:tcPr>
          <w:p w14:paraId="4D587D77" w14:textId="77777777" w:rsidR="00454A29" w:rsidRDefault="00454A29"/>
        </w:tc>
        <w:tc>
          <w:tcPr>
            <w:tcW w:w="1417" w:type="dxa"/>
            <w:vMerge/>
          </w:tcPr>
          <w:p w14:paraId="56D21812" w14:textId="77777777" w:rsidR="00454A29" w:rsidRDefault="00454A29"/>
        </w:tc>
        <w:tc>
          <w:tcPr>
            <w:tcW w:w="2324" w:type="dxa"/>
            <w:vMerge/>
          </w:tcPr>
          <w:p w14:paraId="54F23C36" w14:textId="77777777" w:rsidR="00454A29" w:rsidRDefault="00454A29"/>
        </w:tc>
        <w:tc>
          <w:tcPr>
            <w:tcW w:w="1701" w:type="dxa"/>
            <w:vAlign w:val="center"/>
          </w:tcPr>
          <w:p w14:paraId="6BFCBD01" w14:textId="77777777" w:rsidR="00454A29" w:rsidRDefault="00454A29">
            <w:pPr>
              <w:pStyle w:val="ConsPlusNormal"/>
              <w:jc w:val="center"/>
            </w:pPr>
            <w:r>
              <w:t>-</w:t>
            </w:r>
          </w:p>
        </w:tc>
        <w:tc>
          <w:tcPr>
            <w:tcW w:w="1814" w:type="dxa"/>
            <w:vAlign w:val="center"/>
          </w:tcPr>
          <w:p w14:paraId="59EBC3F3" w14:textId="77777777" w:rsidR="00454A29" w:rsidRDefault="00454A29">
            <w:pPr>
              <w:pStyle w:val="ConsPlusNormal"/>
            </w:pPr>
          </w:p>
        </w:tc>
        <w:tc>
          <w:tcPr>
            <w:tcW w:w="1701" w:type="dxa"/>
            <w:vAlign w:val="center"/>
          </w:tcPr>
          <w:p w14:paraId="44C93365" w14:textId="77777777" w:rsidR="00454A29" w:rsidRDefault="00454A29">
            <w:pPr>
              <w:pStyle w:val="ConsPlusNormal"/>
            </w:pPr>
          </w:p>
        </w:tc>
        <w:tc>
          <w:tcPr>
            <w:tcW w:w="1701" w:type="dxa"/>
            <w:vAlign w:val="center"/>
          </w:tcPr>
          <w:p w14:paraId="75C575AA" w14:textId="77777777" w:rsidR="00454A29" w:rsidRDefault="00454A29">
            <w:pPr>
              <w:pStyle w:val="ConsPlusNormal"/>
            </w:pPr>
          </w:p>
        </w:tc>
        <w:tc>
          <w:tcPr>
            <w:tcW w:w="1814" w:type="dxa"/>
            <w:vAlign w:val="center"/>
          </w:tcPr>
          <w:p w14:paraId="33400201" w14:textId="77777777" w:rsidR="00454A29" w:rsidRDefault="00454A29">
            <w:pPr>
              <w:pStyle w:val="ConsPlusNormal"/>
            </w:pPr>
          </w:p>
        </w:tc>
      </w:tr>
      <w:tr w:rsidR="00454A29" w14:paraId="44C460E2" w14:textId="77777777">
        <w:tc>
          <w:tcPr>
            <w:tcW w:w="567" w:type="dxa"/>
            <w:vMerge/>
          </w:tcPr>
          <w:p w14:paraId="58BFF79D" w14:textId="77777777" w:rsidR="00454A29" w:rsidRDefault="00454A29"/>
        </w:tc>
        <w:tc>
          <w:tcPr>
            <w:tcW w:w="3345" w:type="dxa"/>
            <w:vMerge/>
          </w:tcPr>
          <w:p w14:paraId="578B2F5B" w14:textId="77777777" w:rsidR="00454A29" w:rsidRDefault="00454A29"/>
        </w:tc>
        <w:tc>
          <w:tcPr>
            <w:tcW w:w="1701" w:type="dxa"/>
            <w:vAlign w:val="center"/>
          </w:tcPr>
          <w:p w14:paraId="11A4906D" w14:textId="77777777" w:rsidR="00454A29" w:rsidRDefault="00454A29">
            <w:pPr>
              <w:pStyle w:val="ConsPlusNormal"/>
              <w:jc w:val="center"/>
            </w:pPr>
            <w:r>
              <w:t>2021</w:t>
            </w:r>
          </w:p>
        </w:tc>
        <w:tc>
          <w:tcPr>
            <w:tcW w:w="1417" w:type="dxa"/>
            <w:vMerge/>
          </w:tcPr>
          <w:p w14:paraId="71455B52" w14:textId="77777777" w:rsidR="00454A29" w:rsidRDefault="00454A29"/>
        </w:tc>
        <w:tc>
          <w:tcPr>
            <w:tcW w:w="2204" w:type="dxa"/>
            <w:vMerge/>
          </w:tcPr>
          <w:p w14:paraId="0CCD3BB3" w14:textId="77777777" w:rsidR="00454A29" w:rsidRDefault="00454A29"/>
        </w:tc>
        <w:tc>
          <w:tcPr>
            <w:tcW w:w="1417" w:type="dxa"/>
            <w:vMerge/>
          </w:tcPr>
          <w:p w14:paraId="3877EC83" w14:textId="77777777" w:rsidR="00454A29" w:rsidRDefault="00454A29"/>
        </w:tc>
        <w:tc>
          <w:tcPr>
            <w:tcW w:w="2324" w:type="dxa"/>
            <w:vMerge/>
          </w:tcPr>
          <w:p w14:paraId="6BB9370D" w14:textId="77777777" w:rsidR="00454A29" w:rsidRDefault="00454A29"/>
        </w:tc>
        <w:tc>
          <w:tcPr>
            <w:tcW w:w="1701" w:type="dxa"/>
            <w:vAlign w:val="center"/>
          </w:tcPr>
          <w:p w14:paraId="3B81E948" w14:textId="77777777" w:rsidR="00454A29" w:rsidRDefault="00454A29">
            <w:pPr>
              <w:pStyle w:val="ConsPlusNormal"/>
              <w:jc w:val="center"/>
            </w:pPr>
            <w:r>
              <w:t>-</w:t>
            </w:r>
          </w:p>
        </w:tc>
        <w:tc>
          <w:tcPr>
            <w:tcW w:w="1814" w:type="dxa"/>
            <w:vAlign w:val="center"/>
          </w:tcPr>
          <w:p w14:paraId="01DF36DE" w14:textId="77777777" w:rsidR="00454A29" w:rsidRDefault="00454A29">
            <w:pPr>
              <w:pStyle w:val="ConsPlusNormal"/>
            </w:pPr>
          </w:p>
        </w:tc>
        <w:tc>
          <w:tcPr>
            <w:tcW w:w="1701" w:type="dxa"/>
            <w:vAlign w:val="center"/>
          </w:tcPr>
          <w:p w14:paraId="6B488F9A" w14:textId="77777777" w:rsidR="00454A29" w:rsidRDefault="00454A29">
            <w:pPr>
              <w:pStyle w:val="ConsPlusNormal"/>
            </w:pPr>
          </w:p>
        </w:tc>
        <w:tc>
          <w:tcPr>
            <w:tcW w:w="1701" w:type="dxa"/>
            <w:vAlign w:val="center"/>
          </w:tcPr>
          <w:p w14:paraId="59BA068D" w14:textId="77777777" w:rsidR="00454A29" w:rsidRDefault="00454A29">
            <w:pPr>
              <w:pStyle w:val="ConsPlusNormal"/>
            </w:pPr>
          </w:p>
        </w:tc>
        <w:tc>
          <w:tcPr>
            <w:tcW w:w="1814" w:type="dxa"/>
            <w:vAlign w:val="center"/>
          </w:tcPr>
          <w:p w14:paraId="509A2683" w14:textId="77777777" w:rsidR="00454A29" w:rsidRDefault="00454A29">
            <w:pPr>
              <w:pStyle w:val="ConsPlusNormal"/>
            </w:pPr>
          </w:p>
        </w:tc>
      </w:tr>
      <w:tr w:rsidR="00454A29" w14:paraId="408CFB09" w14:textId="77777777">
        <w:tc>
          <w:tcPr>
            <w:tcW w:w="567" w:type="dxa"/>
            <w:vMerge/>
          </w:tcPr>
          <w:p w14:paraId="3CC58A28" w14:textId="77777777" w:rsidR="00454A29" w:rsidRDefault="00454A29"/>
        </w:tc>
        <w:tc>
          <w:tcPr>
            <w:tcW w:w="3345" w:type="dxa"/>
            <w:vMerge/>
          </w:tcPr>
          <w:p w14:paraId="0151E206" w14:textId="77777777" w:rsidR="00454A29" w:rsidRDefault="00454A29"/>
        </w:tc>
        <w:tc>
          <w:tcPr>
            <w:tcW w:w="1701" w:type="dxa"/>
            <w:vAlign w:val="center"/>
          </w:tcPr>
          <w:p w14:paraId="3D58AA37" w14:textId="77777777" w:rsidR="00454A29" w:rsidRDefault="00454A29">
            <w:pPr>
              <w:pStyle w:val="ConsPlusNormal"/>
              <w:jc w:val="center"/>
            </w:pPr>
            <w:r>
              <w:t>2022</w:t>
            </w:r>
          </w:p>
        </w:tc>
        <w:tc>
          <w:tcPr>
            <w:tcW w:w="1417" w:type="dxa"/>
            <w:vMerge/>
          </w:tcPr>
          <w:p w14:paraId="0D86D601" w14:textId="77777777" w:rsidR="00454A29" w:rsidRDefault="00454A29"/>
        </w:tc>
        <w:tc>
          <w:tcPr>
            <w:tcW w:w="2204" w:type="dxa"/>
            <w:vMerge/>
          </w:tcPr>
          <w:p w14:paraId="08CC9106" w14:textId="77777777" w:rsidR="00454A29" w:rsidRDefault="00454A29"/>
        </w:tc>
        <w:tc>
          <w:tcPr>
            <w:tcW w:w="1417" w:type="dxa"/>
            <w:vMerge/>
          </w:tcPr>
          <w:p w14:paraId="2AE4508C" w14:textId="77777777" w:rsidR="00454A29" w:rsidRDefault="00454A29"/>
        </w:tc>
        <w:tc>
          <w:tcPr>
            <w:tcW w:w="2324" w:type="dxa"/>
            <w:vMerge/>
          </w:tcPr>
          <w:p w14:paraId="13F2DBA3" w14:textId="77777777" w:rsidR="00454A29" w:rsidRDefault="00454A29"/>
        </w:tc>
        <w:tc>
          <w:tcPr>
            <w:tcW w:w="1701" w:type="dxa"/>
            <w:vAlign w:val="center"/>
          </w:tcPr>
          <w:p w14:paraId="66E0A858" w14:textId="77777777" w:rsidR="00454A29" w:rsidRDefault="00454A29">
            <w:pPr>
              <w:pStyle w:val="ConsPlusNormal"/>
              <w:jc w:val="center"/>
            </w:pPr>
            <w:r>
              <w:t>-</w:t>
            </w:r>
          </w:p>
        </w:tc>
        <w:tc>
          <w:tcPr>
            <w:tcW w:w="1814" w:type="dxa"/>
            <w:vAlign w:val="center"/>
          </w:tcPr>
          <w:p w14:paraId="53A737A5" w14:textId="77777777" w:rsidR="00454A29" w:rsidRDefault="00454A29">
            <w:pPr>
              <w:pStyle w:val="ConsPlusNormal"/>
              <w:jc w:val="center"/>
            </w:pPr>
            <w:r>
              <w:t>-</w:t>
            </w:r>
          </w:p>
        </w:tc>
        <w:tc>
          <w:tcPr>
            <w:tcW w:w="1701" w:type="dxa"/>
            <w:vAlign w:val="center"/>
          </w:tcPr>
          <w:p w14:paraId="510EA290" w14:textId="77777777" w:rsidR="00454A29" w:rsidRDefault="00454A29">
            <w:pPr>
              <w:pStyle w:val="ConsPlusNormal"/>
            </w:pPr>
          </w:p>
        </w:tc>
        <w:tc>
          <w:tcPr>
            <w:tcW w:w="1701" w:type="dxa"/>
            <w:vAlign w:val="center"/>
          </w:tcPr>
          <w:p w14:paraId="397F3E30" w14:textId="77777777" w:rsidR="00454A29" w:rsidRDefault="00454A29">
            <w:pPr>
              <w:pStyle w:val="ConsPlusNormal"/>
            </w:pPr>
          </w:p>
        </w:tc>
        <w:tc>
          <w:tcPr>
            <w:tcW w:w="1814" w:type="dxa"/>
            <w:vAlign w:val="center"/>
          </w:tcPr>
          <w:p w14:paraId="6181830A" w14:textId="77777777" w:rsidR="00454A29" w:rsidRDefault="00454A29">
            <w:pPr>
              <w:pStyle w:val="ConsPlusNormal"/>
            </w:pPr>
          </w:p>
        </w:tc>
      </w:tr>
      <w:tr w:rsidR="00454A29" w14:paraId="2FA28352" w14:textId="77777777">
        <w:tc>
          <w:tcPr>
            <w:tcW w:w="567" w:type="dxa"/>
            <w:vMerge/>
          </w:tcPr>
          <w:p w14:paraId="7B877164" w14:textId="77777777" w:rsidR="00454A29" w:rsidRDefault="00454A29"/>
        </w:tc>
        <w:tc>
          <w:tcPr>
            <w:tcW w:w="3345" w:type="dxa"/>
            <w:vMerge/>
          </w:tcPr>
          <w:p w14:paraId="16160377" w14:textId="77777777" w:rsidR="00454A29" w:rsidRDefault="00454A29"/>
        </w:tc>
        <w:tc>
          <w:tcPr>
            <w:tcW w:w="1701" w:type="dxa"/>
            <w:vAlign w:val="center"/>
          </w:tcPr>
          <w:p w14:paraId="658FA2B4" w14:textId="77777777" w:rsidR="00454A29" w:rsidRDefault="00454A29">
            <w:pPr>
              <w:pStyle w:val="ConsPlusNormal"/>
              <w:jc w:val="center"/>
            </w:pPr>
            <w:r>
              <w:t>2023</w:t>
            </w:r>
          </w:p>
        </w:tc>
        <w:tc>
          <w:tcPr>
            <w:tcW w:w="1417" w:type="dxa"/>
            <w:vMerge/>
          </w:tcPr>
          <w:p w14:paraId="5261AF40" w14:textId="77777777" w:rsidR="00454A29" w:rsidRDefault="00454A29"/>
        </w:tc>
        <w:tc>
          <w:tcPr>
            <w:tcW w:w="2204" w:type="dxa"/>
            <w:vMerge/>
          </w:tcPr>
          <w:p w14:paraId="088D1E9E" w14:textId="77777777" w:rsidR="00454A29" w:rsidRDefault="00454A29"/>
        </w:tc>
        <w:tc>
          <w:tcPr>
            <w:tcW w:w="1417" w:type="dxa"/>
            <w:vMerge/>
          </w:tcPr>
          <w:p w14:paraId="28DC4A3F" w14:textId="77777777" w:rsidR="00454A29" w:rsidRDefault="00454A29"/>
        </w:tc>
        <w:tc>
          <w:tcPr>
            <w:tcW w:w="2324" w:type="dxa"/>
            <w:vMerge/>
          </w:tcPr>
          <w:p w14:paraId="26192B3B" w14:textId="77777777" w:rsidR="00454A29" w:rsidRDefault="00454A29"/>
        </w:tc>
        <w:tc>
          <w:tcPr>
            <w:tcW w:w="1701" w:type="dxa"/>
            <w:vAlign w:val="center"/>
          </w:tcPr>
          <w:p w14:paraId="2E9C2FD4" w14:textId="77777777" w:rsidR="00454A29" w:rsidRDefault="00454A29">
            <w:pPr>
              <w:pStyle w:val="ConsPlusNormal"/>
              <w:jc w:val="center"/>
            </w:pPr>
            <w:r>
              <w:t>2 480,00</w:t>
            </w:r>
          </w:p>
        </w:tc>
        <w:tc>
          <w:tcPr>
            <w:tcW w:w="1814" w:type="dxa"/>
            <w:vAlign w:val="center"/>
          </w:tcPr>
          <w:p w14:paraId="38E3B71A" w14:textId="77777777" w:rsidR="00454A29" w:rsidRDefault="00454A29">
            <w:pPr>
              <w:pStyle w:val="ConsPlusNormal"/>
              <w:jc w:val="center"/>
            </w:pPr>
            <w:r>
              <w:t>2 480,00</w:t>
            </w:r>
          </w:p>
        </w:tc>
        <w:tc>
          <w:tcPr>
            <w:tcW w:w="1701" w:type="dxa"/>
            <w:vAlign w:val="center"/>
          </w:tcPr>
          <w:p w14:paraId="12F4272E" w14:textId="77777777" w:rsidR="00454A29" w:rsidRDefault="00454A29">
            <w:pPr>
              <w:pStyle w:val="ConsPlusNormal"/>
            </w:pPr>
          </w:p>
        </w:tc>
        <w:tc>
          <w:tcPr>
            <w:tcW w:w="1701" w:type="dxa"/>
            <w:vAlign w:val="center"/>
          </w:tcPr>
          <w:p w14:paraId="3B8FD52C" w14:textId="77777777" w:rsidR="00454A29" w:rsidRDefault="00454A29">
            <w:pPr>
              <w:pStyle w:val="ConsPlusNormal"/>
            </w:pPr>
          </w:p>
        </w:tc>
        <w:tc>
          <w:tcPr>
            <w:tcW w:w="1814" w:type="dxa"/>
            <w:vAlign w:val="center"/>
          </w:tcPr>
          <w:p w14:paraId="17F1BB13" w14:textId="77777777" w:rsidR="00454A29" w:rsidRDefault="00454A29">
            <w:pPr>
              <w:pStyle w:val="ConsPlusNormal"/>
            </w:pPr>
          </w:p>
        </w:tc>
      </w:tr>
      <w:tr w:rsidR="00454A29" w14:paraId="137FC266" w14:textId="77777777">
        <w:tc>
          <w:tcPr>
            <w:tcW w:w="567" w:type="dxa"/>
            <w:vMerge/>
          </w:tcPr>
          <w:p w14:paraId="0894BC35" w14:textId="77777777" w:rsidR="00454A29" w:rsidRDefault="00454A29"/>
        </w:tc>
        <w:tc>
          <w:tcPr>
            <w:tcW w:w="3345" w:type="dxa"/>
            <w:vMerge/>
          </w:tcPr>
          <w:p w14:paraId="4D04E172" w14:textId="77777777" w:rsidR="00454A29" w:rsidRDefault="00454A29"/>
        </w:tc>
        <w:tc>
          <w:tcPr>
            <w:tcW w:w="1701" w:type="dxa"/>
            <w:vAlign w:val="center"/>
          </w:tcPr>
          <w:p w14:paraId="4F49A1FD" w14:textId="77777777" w:rsidR="00454A29" w:rsidRDefault="00454A29">
            <w:pPr>
              <w:pStyle w:val="ConsPlusNormal"/>
              <w:jc w:val="center"/>
            </w:pPr>
            <w:r>
              <w:t>2024</w:t>
            </w:r>
          </w:p>
        </w:tc>
        <w:tc>
          <w:tcPr>
            <w:tcW w:w="1417" w:type="dxa"/>
            <w:vMerge/>
          </w:tcPr>
          <w:p w14:paraId="56D83D00" w14:textId="77777777" w:rsidR="00454A29" w:rsidRDefault="00454A29"/>
        </w:tc>
        <w:tc>
          <w:tcPr>
            <w:tcW w:w="2204" w:type="dxa"/>
            <w:vMerge/>
          </w:tcPr>
          <w:p w14:paraId="40A91DE3" w14:textId="77777777" w:rsidR="00454A29" w:rsidRDefault="00454A29"/>
        </w:tc>
        <w:tc>
          <w:tcPr>
            <w:tcW w:w="1417" w:type="dxa"/>
            <w:vMerge/>
          </w:tcPr>
          <w:p w14:paraId="32EC7517" w14:textId="77777777" w:rsidR="00454A29" w:rsidRDefault="00454A29"/>
        </w:tc>
        <w:tc>
          <w:tcPr>
            <w:tcW w:w="2324" w:type="dxa"/>
            <w:vMerge/>
          </w:tcPr>
          <w:p w14:paraId="3454D536" w14:textId="77777777" w:rsidR="00454A29" w:rsidRDefault="00454A29"/>
        </w:tc>
        <w:tc>
          <w:tcPr>
            <w:tcW w:w="1701" w:type="dxa"/>
            <w:vAlign w:val="center"/>
          </w:tcPr>
          <w:p w14:paraId="35845B00" w14:textId="77777777" w:rsidR="00454A29" w:rsidRDefault="00454A29">
            <w:pPr>
              <w:pStyle w:val="ConsPlusNormal"/>
              <w:jc w:val="center"/>
            </w:pPr>
            <w:r>
              <w:t>-</w:t>
            </w:r>
          </w:p>
        </w:tc>
        <w:tc>
          <w:tcPr>
            <w:tcW w:w="1814" w:type="dxa"/>
            <w:vAlign w:val="center"/>
          </w:tcPr>
          <w:p w14:paraId="31A3D56F" w14:textId="77777777" w:rsidR="00454A29" w:rsidRDefault="00454A29">
            <w:pPr>
              <w:pStyle w:val="ConsPlusNormal"/>
            </w:pPr>
          </w:p>
        </w:tc>
        <w:tc>
          <w:tcPr>
            <w:tcW w:w="1701" w:type="dxa"/>
            <w:vAlign w:val="center"/>
          </w:tcPr>
          <w:p w14:paraId="753FD345" w14:textId="77777777" w:rsidR="00454A29" w:rsidRDefault="00454A29">
            <w:pPr>
              <w:pStyle w:val="ConsPlusNormal"/>
            </w:pPr>
          </w:p>
        </w:tc>
        <w:tc>
          <w:tcPr>
            <w:tcW w:w="1701" w:type="dxa"/>
            <w:vAlign w:val="center"/>
          </w:tcPr>
          <w:p w14:paraId="2C98F701" w14:textId="77777777" w:rsidR="00454A29" w:rsidRDefault="00454A29">
            <w:pPr>
              <w:pStyle w:val="ConsPlusNormal"/>
            </w:pPr>
          </w:p>
        </w:tc>
        <w:tc>
          <w:tcPr>
            <w:tcW w:w="1814" w:type="dxa"/>
            <w:vAlign w:val="center"/>
          </w:tcPr>
          <w:p w14:paraId="03489B70" w14:textId="77777777" w:rsidR="00454A29" w:rsidRDefault="00454A29">
            <w:pPr>
              <w:pStyle w:val="ConsPlusNormal"/>
            </w:pPr>
          </w:p>
        </w:tc>
      </w:tr>
      <w:tr w:rsidR="00454A29" w14:paraId="7B388198" w14:textId="77777777">
        <w:tc>
          <w:tcPr>
            <w:tcW w:w="567" w:type="dxa"/>
            <w:vMerge/>
          </w:tcPr>
          <w:p w14:paraId="27518B11" w14:textId="77777777" w:rsidR="00454A29" w:rsidRDefault="00454A29"/>
        </w:tc>
        <w:tc>
          <w:tcPr>
            <w:tcW w:w="3345" w:type="dxa"/>
            <w:vMerge/>
          </w:tcPr>
          <w:p w14:paraId="7E50C4A4" w14:textId="77777777" w:rsidR="00454A29" w:rsidRDefault="00454A29"/>
        </w:tc>
        <w:tc>
          <w:tcPr>
            <w:tcW w:w="1701" w:type="dxa"/>
            <w:vAlign w:val="center"/>
          </w:tcPr>
          <w:p w14:paraId="7B94D3FE" w14:textId="77777777" w:rsidR="00454A29" w:rsidRDefault="00454A29">
            <w:pPr>
              <w:pStyle w:val="ConsPlusNormal"/>
              <w:jc w:val="center"/>
            </w:pPr>
            <w:r>
              <w:t>2025</w:t>
            </w:r>
          </w:p>
        </w:tc>
        <w:tc>
          <w:tcPr>
            <w:tcW w:w="1417" w:type="dxa"/>
            <w:vMerge/>
          </w:tcPr>
          <w:p w14:paraId="1795A067" w14:textId="77777777" w:rsidR="00454A29" w:rsidRDefault="00454A29"/>
        </w:tc>
        <w:tc>
          <w:tcPr>
            <w:tcW w:w="2204" w:type="dxa"/>
            <w:vMerge/>
          </w:tcPr>
          <w:p w14:paraId="62373CE6" w14:textId="77777777" w:rsidR="00454A29" w:rsidRDefault="00454A29"/>
        </w:tc>
        <w:tc>
          <w:tcPr>
            <w:tcW w:w="1417" w:type="dxa"/>
            <w:vMerge/>
          </w:tcPr>
          <w:p w14:paraId="7C282735" w14:textId="77777777" w:rsidR="00454A29" w:rsidRDefault="00454A29"/>
        </w:tc>
        <w:tc>
          <w:tcPr>
            <w:tcW w:w="2324" w:type="dxa"/>
            <w:vMerge/>
          </w:tcPr>
          <w:p w14:paraId="2B750C6C" w14:textId="77777777" w:rsidR="00454A29" w:rsidRDefault="00454A29"/>
        </w:tc>
        <w:tc>
          <w:tcPr>
            <w:tcW w:w="1701" w:type="dxa"/>
            <w:vAlign w:val="center"/>
          </w:tcPr>
          <w:p w14:paraId="446A61ED" w14:textId="77777777" w:rsidR="00454A29" w:rsidRDefault="00454A29">
            <w:pPr>
              <w:pStyle w:val="ConsPlusNormal"/>
              <w:jc w:val="center"/>
            </w:pPr>
            <w:r>
              <w:t>-</w:t>
            </w:r>
          </w:p>
        </w:tc>
        <w:tc>
          <w:tcPr>
            <w:tcW w:w="1814" w:type="dxa"/>
            <w:vAlign w:val="center"/>
          </w:tcPr>
          <w:p w14:paraId="403BA102" w14:textId="77777777" w:rsidR="00454A29" w:rsidRDefault="00454A29">
            <w:pPr>
              <w:pStyle w:val="ConsPlusNormal"/>
            </w:pPr>
          </w:p>
        </w:tc>
        <w:tc>
          <w:tcPr>
            <w:tcW w:w="1701" w:type="dxa"/>
            <w:vAlign w:val="center"/>
          </w:tcPr>
          <w:p w14:paraId="4A9C9062" w14:textId="77777777" w:rsidR="00454A29" w:rsidRDefault="00454A29">
            <w:pPr>
              <w:pStyle w:val="ConsPlusNormal"/>
            </w:pPr>
          </w:p>
        </w:tc>
        <w:tc>
          <w:tcPr>
            <w:tcW w:w="1701" w:type="dxa"/>
            <w:vAlign w:val="center"/>
          </w:tcPr>
          <w:p w14:paraId="735BE474" w14:textId="77777777" w:rsidR="00454A29" w:rsidRDefault="00454A29">
            <w:pPr>
              <w:pStyle w:val="ConsPlusNormal"/>
            </w:pPr>
          </w:p>
        </w:tc>
        <w:tc>
          <w:tcPr>
            <w:tcW w:w="1814" w:type="dxa"/>
            <w:vAlign w:val="center"/>
          </w:tcPr>
          <w:p w14:paraId="275822B7" w14:textId="77777777" w:rsidR="00454A29" w:rsidRDefault="00454A29">
            <w:pPr>
              <w:pStyle w:val="ConsPlusNormal"/>
            </w:pPr>
          </w:p>
        </w:tc>
      </w:tr>
      <w:tr w:rsidR="00454A29" w14:paraId="557D4B13" w14:textId="77777777">
        <w:tc>
          <w:tcPr>
            <w:tcW w:w="567" w:type="dxa"/>
            <w:vMerge/>
          </w:tcPr>
          <w:p w14:paraId="41D0B07C" w14:textId="77777777" w:rsidR="00454A29" w:rsidRDefault="00454A29"/>
        </w:tc>
        <w:tc>
          <w:tcPr>
            <w:tcW w:w="3345" w:type="dxa"/>
            <w:vMerge/>
          </w:tcPr>
          <w:p w14:paraId="7E0F6015" w14:textId="77777777" w:rsidR="00454A29" w:rsidRDefault="00454A29"/>
        </w:tc>
        <w:tc>
          <w:tcPr>
            <w:tcW w:w="1701" w:type="dxa"/>
            <w:vAlign w:val="center"/>
          </w:tcPr>
          <w:p w14:paraId="2EE5FA12" w14:textId="77777777" w:rsidR="00454A29" w:rsidRDefault="00454A29">
            <w:pPr>
              <w:pStyle w:val="ConsPlusNormal"/>
              <w:jc w:val="center"/>
            </w:pPr>
            <w:r>
              <w:t>2026</w:t>
            </w:r>
          </w:p>
        </w:tc>
        <w:tc>
          <w:tcPr>
            <w:tcW w:w="1417" w:type="dxa"/>
            <w:vMerge/>
          </w:tcPr>
          <w:p w14:paraId="47B74281" w14:textId="77777777" w:rsidR="00454A29" w:rsidRDefault="00454A29"/>
        </w:tc>
        <w:tc>
          <w:tcPr>
            <w:tcW w:w="2204" w:type="dxa"/>
            <w:vMerge/>
          </w:tcPr>
          <w:p w14:paraId="5C7F3105" w14:textId="77777777" w:rsidR="00454A29" w:rsidRDefault="00454A29"/>
        </w:tc>
        <w:tc>
          <w:tcPr>
            <w:tcW w:w="1417" w:type="dxa"/>
            <w:vMerge/>
          </w:tcPr>
          <w:p w14:paraId="168864B6" w14:textId="77777777" w:rsidR="00454A29" w:rsidRDefault="00454A29"/>
        </w:tc>
        <w:tc>
          <w:tcPr>
            <w:tcW w:w="2324" w:type="dxa"/>
            <w:vMerge/>
          </w:tcPr>
          <w:p w14:paraId="098C5012" w14:textId="77777777" w:rsidR="00454A29" w:rsidRDefault="00454A29"/>
        </w:tc>
        <w:tc>
          <w:tcPr>
            <w:tcW w:w="1701" w:type="dxa"/>
            <w:vAlign w:val="center"/>
          </w:tcPr>
          <w:p w14:paraId="66E86D9F" w14:textId="77777777" w:rsidR="00454A29" w:rsidRDefault="00454A29">
            <w:pPr>
              <w:pStyle w:val="ConsPlusNormal"/>
              <w:jc w:val="center"/>
            </w:pPr>
            <w:r>
              <w:t>-</w:t>
            </w:r>
          </w:p>
        </w:tc>
        <w:tc>
          <w:tcPr>
            <w:tcW w:w="1814" w:type="dxa"/>
            <w:vAlign w:val="center"/>
          </w:tcPr>
          <w:p w14:paraId="7DC2579B" w14:textId="77777777" w:rsidR="00454A29" w:rsidRDefault="00454A29">
            <w:pPr>
              <w:pStyle w:val="ConsPlusNormal"/>
            </w:pPr>
          </w:p>
        </w:tc>
        <w:tc>
          <w:tcPr>
            <w:tcW w:w="1701" w:type="dxa"/>
            <w:vAlign w:val="center"/>
          </w:tcPr>
          <w:p w14:paraId="23A7D643" w14:textId="77777777" w:rsidR="00454A29" w:rsidRDefault="00454A29">
            <w:pPr>
              <w:pStyle w:val="ConsPlusNormal"/>
            </w:pPr>
          </w:p>
        </w:tc>
        <w:tc>
          <w:tcPr>
            <w:tcW w:w="1701" w:type="dxa"/>
            <w:vAlign w:val="center"/>
          </w:tcPr>
          <w:p w14:paraId="78D3930A" w14:textId="77777777" w:rsidR="00454A29" w:rsidRDefault="00454A29">
            <w:pPr>
              <w:pStyle w:val="ConsPlusNormal"/>
            </w:pPr>
          </w:p>
        </w:tc>
        <w:tc>
          <w:tcPr>
            <w:tcW w:w="1814" w:type="dxa"/>
            <w:vAlign w:val="center"/>
          </w:tcPr>
          <w:p w14:paraId="67BCEA81" w14:textId="77777777" w:rsidR="00454A29" w:rsidRDefault="00454A29">
            <w:pPr>
              <w:pStyle w:val="ConsPlusNormal"/>
            </w:pPr>
          </w:p>
        </w:tc>
      </w:tr>
      <w:tr w:rsidR="00454A29" w14:paraId="2FE51EB1" w14:textId="77777777">
        <w:tc>
          <w:tcPr>
            <w:tcW w:w="567" w:type="dxa"/>
            <w:vMerge w:val="restart"/>
            <w:vAlign w:val="center"/>
          </w:tcPr>
          <w:p w14:paraId="42B60D8A" w14:textId="77777777" w:rsidR="00454A29" w:rsidRDefault="00454A29">
            <w:pPr>
              <w:pStyle w:val="ConsPlusNormal"/>
              <w:jc w:val="center"/>
            </w:pPr>
            <w:r>
              <w:lastRenderedPageBreak/>
              <w:t>110</w:t>
            </w:r>
          </w:p>
        </w:tc>
        <w:tc>
          <w:tcPr>
            <w:tcW w:w="3345" w:type="dxa"/>
            <w:vMerge w:val="restart"/>
            <w:vAlign w:val="center"/>
          </w:tcPr>
          <w:p w14:paraId="5D3247B7" w14:textId="77777777" w:rsidR="00454A29" w:rsidRDefault="00454A29">
            <w:pPr>
              <w:pStyle w:val="ConsPlusNormal"/>
              <w:jc w:val="center"/>
            </w:pPr>
            <w:r>
              <w:t>Автодром Намского техникума в п. Графский Берег Намского улуса</w:t>
            </w:r>
          </w:p>
        </w:tc>
        <w:tc>
          <w:tcPr>
            <w:tcW w:w="1701" w:type="dxa"/>
            <w:vAlign w:val="center"/>
          </w:tcPr>
          <w:p w14:paraId="6CF6167D" w14:textId="77777777" w:rsidR="00454A29" w:rsidRDefault="00454A29">
            <w:pPr>
              <w:pStyle w:val="ConsPlusNormal"/>
              <w:jc w:val="center"/>
            </w:pPr>
            <w:r>
              <w:t>Всего:</w:t>
            </w:r>
          </w:p>
        </w:tc>
        <w:tc>
          <w:tcPr>
            <w:tcW w:w="1417" w:type="dxa"/>
            <w:vMerge w:val="restart"/>
            <w:vAlign w:val="center"/>
          </w:tcPr>
          <w:p w14:paraId="37C99F8A" w14:textId="77777777" w:rsidR="00454A29" w:rsidRDefault="00454A29">
            <w:pPr>
              <w:pStyle w:val="ConsPlusNormal"/>
              <w:jc w:val="center"/>
            </w:pPr>
            <w:r>
              <w:t>5 000</w:t>
            </w:r>
          </w:p>
        </w:tc>
        <w:tc>
          <w:tcPr>
            <w:tcW w:w="2204" w:type="dxa"/>
            <w:vMerge w:val="restart"/>
            <w:vAlign w:val="center"/>
          </w:tcPr>
          <w:p w14:paraId="4CFA3AC9" w14:textId="77777777" w:rsidR="00454A29" w:rsidRDefault="00454A29">
            <w:pPr>
              <w:pStyle w:val="ConsPlusNormal"/>
            </w:pPr>
          </w:p>
        </w:tc>
        <w:tc>
          <w:tcPr>
            <w:tcW w:w="1417" w:type="dxa"/>
            <w:vMerge w:val="restart"/>
            <w:vAlign w:val="center"/>
          </w:tcPr>
          <w:p w14:paraId="36AE2010" w14:textId="77777777" w:rsidR="00454A29" w:rsidRDefault="00454A29">
            <w:pPr>
              <w:pStyle w:val="ConsPlusNormal"/>
            </w:pPr>
          </w:p>
        </w:tc>
        <w:tc>
          <w:tcPr>
            <w:tcW w:w="2324" w:type="dxa"/>
            <w:vMerge w:val="restart"/>
            <w:vAlign w:val="center"/>
          </w:tcPr>
          <w:p w14:paraId="5110E6FE"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107A8EAB" w14:textId="77777777" w:rsidR="00454A29" w:rsidRDefault="00454A29">
            <w:pPr>
              <w:pStyle w:val="ConsPlusNormal"/>
              <w:jc w:val="center"/>
            </w:pPr>
            <w:r>
              <w:t>2 480,00</w:t>
            </w:r>
          </w:p>
        </w:tc>
        <w:tc>
          <w:tcPr>
            <w:tcW w:w="1814" w:type="dxa"/>
            <w:vAlign w:val="center"/>
          </w:tcPr>
          <w:p w14:paraId="48BFFB48" w14:textId="77777777" w:rsidR="00454A29" w:rsidRDefault="00454A29">
            <w:pPr>
              <w:pStyle w:val="ConsPlusNormal"/>
              <w:jc w:val="center"/>
            </w:pPr>
            <w:r>
              <w:t>2 480,00</w:t>
            </w:r>
          </w:p>
        </w:tc>
        <w:tc>
          <w:tcPr>
            <w:tcW w:w="1701" w:type="dxa"/>
            <w:vAlign w:val="center"/>
          </w:tcPr>
          <w:p w14:paraId="0817C5BD" w14:textId="77777777" w:rsidR="00454A29" w:rsidRDefault="00454A29">
            <w:pPr>
              <w:pStyle w:val="ConsPlusNormal"/>
              <w:jc w:val="center"/>
            </w:pPr>
            <w:r>
              <w:t>-</w:t>
            </w:r>
          </w:p>
        </w:tc>
        <w:tc>
          <w:tcPr>
            <w:tcW w:w="1701" w:type="dxa"/>
            <w:vAlign w:val="center"/>
          </w:tcPr>
          <w:p w14:paraId="13098934" w14:textId="77777777" w:rsidR="00454A29" w:rsidRDefault="00454A29">
            <w:pPr>
              <w:pStyle w:val="ConsPlusNormal"/>
              <w:jc w:val="center"/>
            </w:pPr>
            <w:r>
              <w:t>-</w:t>
            </w:r>
          </w:p>
        </w:tc>
        <w:tc>
          <w:tcPr>
            <w:tcW w:w="1814" w:type="dxa"/>
            <w:vAlign w:val="center"/>
          </w:tcPr>
          <w:p w14:paraId="6FE14370" w14:textId="77777777" w:rsidR="00454A29" w:rsidRDefault="00454A29">
            <w:pPr>
              <w:pStyle w:val="ConsPlusNormal"/>
              <w:jc w:val="center"/>
            </w:pPr>
            <w:r>
              <w:t>-</w:t>
            </w:r>
          </w:p>
        </w:tc>
      </w:tr>
      <w:tr w:rsidR="00454A29" w14:paraId="67BD8F72" w14:textId="77777777">
        <w:tc>
          <w:tcPr>
            <w:tcW w:w="567" w:type="dxa"/>
            <w:vMerge/>
          </w:tcPr>
          <w:p w14:paraId="03D741A6" w14:textId="77777777" w:rsidR="00454A29" w:rsidRDefault="00454A29"/>
        </w:tc>
        <w:tc>
          <w:tcPr>
            <w:tcW w:w="3345" w:type="dxa"/>
            <w:vMerge/>
          </w:tcPr>
          <w:p w14:paraId="73FE2C82" w14:textId="77777777" w:rsidR="00454A29" w:rsidRDefault="00454A29"/>
        </w:tc>
        <w:tc>
          <w:tcPr>
            <w:tcW w:w="1701" w:type="dxa"/>
            <w:vAlign w:val="center"/>
          </w:tcPr>
          <w:p w14:paraId="78FE61B2" w14:textId="77777777" w:rsidR="00454A29" w:rsidRDefault="00454A29">
            <w:pPr>
              <w:pStyle w:val="ConsPlusNormal"/>
              <w:jc w:val="center"/>
            </w:pPr>
            <w:r>
              <w:t>2020</w:t>
            </w:r>
          </w:p>
        </w:tc>
        <w:tc>
          <w:tcPr>
            <w:tcW w:w="1417" w:type="dxa"/>
            <w:vMerge/>
          </w:tcPr>
          <w:p w14:paraId="51F6EE36" w14:textId="77777777" w:rsidR="00454A29" w:rsidRDefault="00454A29"/>
        </w:tc>
        <w:tc>
          <w:tcPr>
            <w:tcW w:w="2204" w:type="dxa"/>
            <w:vMerge/>
          </w:tcPr>
          <w:p w14:paraId="091D73E6" w14:textId="77777777" w:rsidR="00454A29" w:rsidRDefault="00454A29"/>
        </w:tc>
        <w:tc>
          <w:tcPr>
            <w:tcW w:w="1417" w:type="dxa"/>
            <w:vMerge/>
          </w:tcPr>
          <w:p w14:paraId="49F3EFB5" w14:textId="77777777" w:rsidR="00454A29" w:rsidRDefault="00454A29"/>
        </w:tc>
        <w:tc>
          <w:tcPr>
            <w:tcW w:w="2324" w:type="dxa"/>
            <w:vMerge/>
          </w:tcPr>
          <w:p w14:paraId="2E3FD297" w14:textId="77777777" w:rsidR="00454A29" w:rsidRDefault="00454A29"/>
        </w:tc>
        <w:tc>
          <w:tcPr>
            <w:tcW w:w="1701" w:type="dxa"/>
            <w:vAlign w:val="center"/>
          </w:tcPr>
          <w:p w14:paraId="617EAA8B" w14:textId="77777777" w:rsidR="00454A29" w:rsidRDefault="00454A29">
            <w:pPr>
              <w:pStyle w:val="ConsPlusNormal"/>
              <w:jc w:val="center"/>
            </w:pPr>
            <w:r>
              <w:t>-</w:t>
            </w:r>
          </w:p>
        </w:tc>
        <w:tc>
          <w:tcPr>
            <w:tcW w:w="1814" w:type="dxa"/>
            <w:vAlign w:val="center"/>
          </w:tcPr>
          <w:p w14:paraId="53617F78" w14:textId="77777777" w:rsidR="00454A29" w:rsidRDefault="00454A29">
            <w:pPr>
              <w:pStyle w:val="ConsPlusNormal"/>
            </w:pPr>
          </w:p>
        </w:tc>
        <w:tc>
          <w:tcPr>
            <w:tcW w:w="1701" w:type="dxa"/>
            <w:vAlign w:val="center"/>
          </w:tcPr>
          <w:p w14:paraId="5E640ACA" w14:textId="77777777" w:rsidR="00454A29" w:rsidRDefault="00454A29">
            <w:pPr>
              <w:pStyle w:val="ConsPlusNormal"/>
            </w:pPr>
          </w:p>
        </w:tc>
        <w:tc>
          <w:tcPr>
            <w:tcW w:w="1701" w:type="dxa"/>
            <w:vAlign w:val="center"/>
          </w:tcPr>
          <w:p w14:paraId="3EFECC50" w14:textId="77777777" w:rsidR="00454A29" w:rsidRDefault="00454A29">
            <w:pPr>
              <w:pStyle w:val="ConsPlusNormal"/>
            </w:pPr>
          </w:p>
        </w:tc>
        <w:tc>
          <w:tcPr>
            <w:tcW w:w="1814" w:type="dxa"/>
            <w:vAlign w:val="center"/>
          </w:tcPr>
          <w:p w14:paraId="4FF0E63D" w14:textId="77777777" w:rsidR="00454A29" w:rsidRDefault="00454A29">
            <w:pPr>
              <w:pStyle w:val="ConsPlusNormal"/>
            </w:pPr>
          </w:p>
        </w:tc>
      </w:tr>
      <w:tr w:rsidR="00454A29" w14:paraId="556F2A2E" w14:textId="77777777">
        <w:tc>
          <w:tcPr>
            <w:tcW w:w="567" w:type="dxa"/>
            <w:vMerge/>
          </w:tcPr>
          <w:p w14:paraId="6E34E7B8" w14:textId="77777777" w:rsidR="00454A29" w:rsidRDefault="00454A29"/>
        </w:tc>
        <w:tc>
          <w:tcPr>
            <w:tcW w:w="3345" w:type="dxa"/>
            <w:vMerge/>
          </w:tcPr>
          <w:p w14:paraId="7EAA7FD7" w14:textId="77777777" w:rsidR="00454A29" w:rsidRDefault="00454A29"/>
        </w:tc>
        <w:tc>
          <w:tcPr>
            <w:tcW w:w="1701" w:type="dxa"/>
            <w:vAlign w:val="center"/>
          </w:tcPr>
          <w:p w14:paraId="6DF76100" w14:textId="77777777" w:rsidR="00454A29" w:rsidRDefault="00454A29">
            <w:pPr>
              <w:pStyle w:val="ConsPlusNormal"/>
              <w:jc w:val="center"/>
            </w:pPr>
            <w:r>
              <w:t>2021</w:t>
            </w:r>
          </w:p>
        </w:tc>
        <w:tc>
          <w:tcPr>
            <w:tcW w:w="1417" w:type="dxa"/>
            <w:vMerge/>
          </w:tcPr>
          <w:p w14:paraId="46512D9E" w14:textId="77777777" w:rsidR="00454A29" w:rsidRDefault="00454A29"/>
        </w:tc>
        <w:tc>
          <w:tcPr>
            <w:tcW w:w="2204" w:type="dxa"/>
            <w:vMerge/>
          </w:tcPr>
          <w:p w14:paraId="334FE08A" w14:textId="77777777" w:rsidR="00454A29" w:rsidRDefault="00454A29"/>
        </w:tc>
        <w:tc>
          <w:tcPr>
            <w:tcW w:w="1417" w:type="dxa"/>
            <w:vMerge/>
          </w:tcPr>
          <w:p w14:paraId="1A65D551" w14:textId="77777777" w:rsidR="00454A29" w:rsidRDefault="00454A29"/>
        </w:tc>
        <w:tc>
          <w:tcPr>
            <w:tcW w:w="2324" w:type="dxa"/>
            <w:vMerge/>
          </w:tcPr>
          <w:p w14:paraId="4FB54D55" w14:textId="77777777" w:rsidR="00454A29" w:rsidRDefault="00454A29"/>
        </w:tc>
        <w:tc>
          <w:tcPr>
            <w:tcW w:w="1701" w:type="dxa"/>
            <w:vAlign w:val="center"/>
          </w:tcPr>
          <w:p w14:paraId="79648599" w14:textId="77777777" w:rsidR="00454A29" w:rsidRDefault="00454A29">
            <w:pPr>
              <w:pStyle w:val="ConsPlusNormal"/>
              <w:jc w:val="center"/>
            </w:pPr>
            <w:r>
              <w:t>-</w:t>
            </w:r>
          </w:p>
        </w:tc>
        <w:tc>
          <w:tcPr>
            <w:tcW w:w="1814" w:type="dxa"/>
            <w:vAlign w:val="center"/>
          </w:tcPr>
          <w:p w14:paraId="206648FA" w14:textId="77777777" w:rsidR="00454A29" w:rsidRDefault="00454A29">
            <w:pPr>
              <w:pStyle w:val="ConsPlusNormal"/>
            </w:pPr>
          </w:p>
        </w:tc>
        <w:tc>
          <w:tcPr>
            <w:tcW w:w="1701" w:type="dxa"/>
            <w:vAlign w:val="center"/>
          </w:tcPr>
          <w:p w14:paraId="0F0A652E" w14:textId="77777777" w:rsidR="00454A29" w:rsidRDefault="00454A29">
            <w:pPr>
              <w:pStyle w:val="ConsPlusNormal"/>
            </w:pPr>
          </w:p>
        </w:tc>
        <w:tc>
          <w:tcPr>
            <w:tcW w:w="1701" w:type="dxa"/>
            <w:vAlign w:val="center"/>
          </w:tcPr>
          <w:p w14:paraId="1CD85EB2" w14:textId="77777777" w:rsidR="00454A29" w:rsidRDefault="00454A29">
            <w:pPr>
              <w:pStyle w:val="ConsPlusNormal"/>
            </w:pPr>
          </w:p>
        </w:tc>
        <w:tc>
          <w:tcPr>
            <w:tcW w:w="1814" w:type="dxa"/>
            <w:vAlign w:val="center"/>
          </w:tcPr>
          <w:p w14:paraId="33B582FE" w14:textId="77777777" w:rsidR="00454A29" w:rsidRDefault="00454A29">
            <w:pPr>
              <w:pStyle w:val="ConsPlusNormal"/>
            </w:pPr>
          </w:p>
        </w:tc>
      </w:tr>
      <w:tr w:rsidR="00454A29" w14:paraId="17A564D6" w14:textId="77777777">
        <w:tc>
          <w:tcPr>
            <w:tcW w:w="567" w:type="dxa"/>
            <w:vMerge/>
          </w:tcPr>
          <w:p w14:paraId="24B213BC" w14:textId="77777777" w:rsidR="00454A29" w:rsidRDefault="00454A29"/>
        </w:tc>
        <w:tc>
          <w:tcPr>
            <w:tcW w:w="3345" w:type="dxa"/>
            <w:vMerge/>
          </w:tcPr>
          <w:p w14:paraId="5EABD1C9" w14:textId="77777777" w:rsidR="00454A29" w:rsidRDefault="00454A29"/>
        </w:tc>
        <w:tc>
          <w:tcPr>
            <w:tcW w:w="1701" w:type="dxa"/>
            <w:vAlign w:val="center"/>
          </w:tcPr>
          <w:p w14:paraId="009BF898" w14:textId="77777777" w:rsidR="00454A29" w:rsidRDefault="00454A29">
            <w:pPr>
              <w:pStyle w:val="ConsPlusNormal"/>
              <w:jc w:val="center"/>
            </w:pPr>
            <w:r>
              <w:t>2022</w:t>
            </w:r>
          </w:p>
        </w:tc>
        <w:tc>
          <w:tcPr>
            <w:tcW w:w="1417" w:type="dxa"/>
            <w:vMerge/>
          </w:tcPr>
          <w:p w14:paraId="7A9C9A42" w14:textId="77777777" w:rsidR="00454A29" w:rsidRDefault="00454A29"/>
        </w:tc>
        <w:tc>
          <w:tcPr>
            <w:tcW w:w="2204" w:type="dxa"/>
            <w:vMerge/>
          </w:tcPr>
          <w:p w14:paraId="64D6DB46" w14:textId="77777777" w:rsidR="00454A29" w:rsidRDefault="00454A29"/>
        </w:tc>
        <w:tc>
          <w:tcPr>
            <w:tcW w:w="1417" w:type="dxa"/>
            <w:vMerge/>
          </w:tcPr>
          <w:p w14:paraId="21A6F734" w14:textId="77777777" w:rsidR="00454A29" w:rsidRDefault="00454A29"/>
        </w:tc>
        <w:tc>
          <w:tcPr>
            <w:tcW w:w="2324" w:type="dxa"/>
            <w:vMerge/>
          </w:tcPr>
          <w:p w14:paraId="1D665983" w14:textId="77777777" w:rsidR="00454A29" w:rsidRDefault="00454A29"/>
        </w:tc>
        <w:tc>
          <w:tcPr>
            <w:tcW w:w="1701" w:type="dxa"/>
            <w:vAlign w:val="center"/>
          </w:tcPr>
          <w:p w14:paraId="7A84C556" w14:textId="77777777" w:rsidR="00454A29" w:rsidRDefault="00454A29">
            <w:pPr>
              <w:pStyle w:val="ConsPlusNormal"/>
              <w:jc w:val="center"/>
            </w:pPr>
            <w:r>
              <w:t>-</w:t>
            </w:r>
          </w:p>
        </w:tc>
        <w:tc>
          <w:tcPr>
            <w:tcW w:w="1814" w:type="dxa"/>
            <w:vAlign w:val="center"/>
          </w:tcPr>
          <w:p w14:paraId="529370C6" w14:textId="77777777" w:rsidR="00454A29" w:rsidRDefault="00454A29">
            <w:pPr>
              <w:pStyle w:val="ConsPlusNormal"/>
              <w:jc w:val="center"/>
            </w:pPr>
            <w:r>
              <w:t>-</w:t>
            </w:r>
          </w:p>
        </w:tc>
        <w:tc>
          <w:tcPr>
            <w:tcW w:w="1701" w:type="dxa"/>
            <w:vAlign w:val="center"/>
          </w:tcPr>
          <w:p w14:paraId="7D5A3192" w14:textId="77777777" w:rsidR="00454A29" w:rsidRDefault="00454A29">
            <w:pPr>
              <w:pStyle w:val="ConsPlusNormal"/>
            </w:pPr>
          </w:p>
        </w:tc>
        <w:tc>
          <w:tcPr>
            <w:tcW w:w="1701" w:type="dxa"/>
            <w:vAlign w:val="center"/>
          </w:tcPr>
          <w:p w14:paraId="082C9F7C" w14:textId="77777777" w:rsidR="00454A29" w:rsidRDefault="00454A29">
            <w:pPr>
              <w:pStyle w:val="ConsPlusNormal"/>
            </w:pPr>
          </w:p>
        </w:tc>
        <w:tc>
          <w:tcPr>
            <w:tcW w:w="1814" w:type="dxa"/>
            <w:vAlign w:val="center"/>
          </w:tcPr>
          <w:p w14:paraId="32EF0BD3" w14:textId="77777777" w:rsidR="00454A29" w:rsidRDefault="00454A29">
            <w:pPr>
              <w:pStyle w:val="ConsPlusNormal"/>
            </w:pPr>
          </w:p>
        </w:tc>
      </w:tr>
      <w:tr w:rsidR="00454A29" w14:paraId="17A9D5DF" w14:textId="77777777">
        <w:tc>
          <w:tcPr>
            <w:tcW w:w="567" w:type="dxa"/>
            <w:vMerge/>
          </w:tcPr>
          <w:p w14:paraId="3F1A2EA6" w14:textId="77777777" w:rsidR="00454A29" w:rsidRDefault="00454A29"/>
        </w:tc>
        <w:tc>
          <w:tcPr>
            <w:tcW w:w="3345" w:type="dxa"/>
            <w:vMerge/>
          </w:tcPr>
          <w:p w14:paraId="6A7C6607" w14:textId="77777777" w:rsidR="00454A29" w:rsidRDefault="00454A29"/>
        </w:tc>
        <w:tc>
          <w:tcPr>
            <w:tcW w:w="1701" w:type="dxa"/>
            <w:vAlign w:val="center"/>
          </w:tcPr>
          <w:p w14:paraId="4162FE93" w14:textId="77777777" w:rsidR="00454A29" w:rsidRDefault="00454A29">
            <w:pPr>
              <w:pStyle w:val="ConsPlusNormal"/>
              <w:jc w:val="center"/>
            </w:pPr>
            <w:r>
              <w:t>2023</w:t>
            </w:r>
          </w:p>
        </w:tc>
        <w:tc>
          <w:tcPr>
            <w:tcW w:w="1417" w:type="dxa"/>
            <w:vMerge/>
          </w:tcPr>
          <w:p w14:paraId="0DCD13B0" w14:textId="77777777" w:rsidR="00454A29" w:rsidRDefault="00454A29"/>
        </w:tc>
        <w:tc>
          <w:tcPr>
            <w:tcW w:w="2204" w:type="dxa"/>
            <w:vMerge/>
          </w:tcPr>
          <w:p w14:paraId="0F7908F4" w14:textId="77777777" w:rsidR="00454A29" w:rsidRDefault="00454A29"/>
        </w:tc>
        <w:tc>
          <w:tcPr>
            <w:tcW w:w="1417" w:type="dxa"/>
            <w:vMerge/>
          </w:tcPr>
          <w:p w14:paraId="31592D17" w14:textId="77777777" w:rsidR="00454A29" w:rsidRDefault="00454A29"/>
        </w:tc>
        <w:tc>
          <w:tcPr>
            <w:tcW w:w="2324" w:type="dxa"/>
            <w:vMerge/>
          </w:tcPr>
          <w:p w14:paraId="4523AAE4" w14:textId="77777777" w:rsidR="00454A29" w:rsidRDefault="00454A29"/>
        </w:tc>
        <w:tc>
          <w:tcPr>
            <w:tcW w:w="1701" w:type="dxa"/>
            <w:vAlign w:val="center"/>
          </w:tcPr>
          <w:p w14:paraId="045FB703" w14:textId="77777777" w:rsidR="00454A29" w:rsidRDefault="00454A29">
            <w:pPr>
              <w:pStyle w:val="ConsPlusNormal"/>
              <w:jc w:val="center"/>
            </w:pPr>
            <w:r>
              <w:t>2 480,00</w:t>
            </w:r>
          </w:p>
        </w:tc>
        <w:tc>
          <w:tcPr>
            <w:tcW w:w="1814" w:type="dxa"/>
            <w:vAlign w:val="center"/>
          </w:tcPr>
          <w:p w14:paraId="66FC9AD2" w14:textId="77777777" w:rsidR="00454A29" w:rsidRDefault="00454A29">
            <w:pPr>
              <w:pStyle w:val="ConsPlusNormal"/>
              <w:jc w:val="center"/>
            </w:pPr>
            <w:r>
              <w:t>2 480,00</w:t>
            </w:r>
          </w:p>
        </w:tc>
        <w:tc>
          <w:tcPr>
            <w:tcW w:w="1701" w:type="dxa"/>
            <w:vAlign w:val="center"/>
          </w:tcPr>
          <w:p w14:paraId="03CC54FE" w14:textId="77777777" w:rsidR="00454A29" w:rsidRDefault="00454A29">
            <w:pPr>
              <w:pStyle w:val="ConsPlusNormal"/>
            </w:pPr>
          </w:p>
        </w:tc>
        <w:tc>
          <w:tcPr>
            <w:tcW w:w="1701" w:type="dxa"/>
            <w:vAlign w:val="center"/>
          </w:tcPr>
          <w:p w14:paraId="50E53A90" w14:textId="77777777" w:rsidR="00454A29" w:rsidRDefault="00454A29">
            <w:pPr>
              <w:pStyle w:val="ConsPlusNormal"/>
            </w:pPr>
          </w:p>
        </w:tc>
        <w:tc>
          <w:tcPr>
            <w:tcW w:w="1814" w:type="dxa"/>
            <w:vAlign w:val="center"/>
          </w:tcPr>
          <w:p w14:paraId="05047930" w14:textId="77777777" w:rsidR="00454A29" w:rsidRDefault="00454A29">
            <w:pPr>
              <w:pStyle w:val="ConsPlusNormal"/>
            </w:pPr>
          </w:p>
        </w:tc>
      </w:tr>
      <w:tr w:rsidR="00454A29" w14:paraId="0EC06D18" w14:textId="77777777">
        <w:tc>
          <w:tcPr>
            <w:tcW w:w="567" w:type="dxa"/>
            <w:vMerge/>
          </w:tcPr>
          <w:p w14:paraId="697E7EA9" w14:textId="77777777" w:rsidR="00454A29" w:rsidRDefault="00454A29"/>
        </w:tc>
        <w:tc>
          <w:tcPr>
            <w:tcW w:w="3345" w:type="dxa"/>
            <w:vMerge/>
          </w:tcPr>
          <w:p w14:paraId="34CE1181" w14:textId="77777777" w:rsidR="00454A29" w:rsidRDefault="00454A29"/>
        </w:tc>
        <w:tc>
          <w:tcPr>
            <w:tcW w:w="1701" w:type="dxa"/>
            <w:vAlign w:val="center"/>
          </w:tcPr>
          <w:p w14:paraId="60826238" w14:textId="77777777" w:rsidR="00454A29" w:rsidRDefault="00454A29">
            <w:pPr>
              <w:pStyle w:val="ConsPlusNormal"/>
              <w:jc w:val="center"/>
            </w:pPr>
            <w:r>
              <w:t>2024</w:t>
            </w:r>
          </w:p>
        </w:tc>
        <w:tc>
          <w:tcPr>
            <w:tcW w:w="1417" w:type="dxa"/>
            <w:vMerge/>
          </w:tcPr>
          <w:p w14:paraId="04FEEED1" w14:textId="77777777" w:rsidR="00454A29" w:rsidRDefault="00454A29"/>
        </w:tc>
        <w:tc>
          <w:tcPr>
            <w:tcW w:w="2204" w:type="dxa"/>
            <w:vMerge/>
          </w:tcPr>
          <w:p w14:paraId="431C6DB1" w14:textId="77777777" w:rsidR="00454A29" w:rsidRDefault="00454A29"/>
        </w:tc>
        <w:tc>
          <w:tcPr>
            <w:tcW w:w="1417" w:type="dxa"/>
            <w:vMerge/>
          </w:tcPr>
          <w:p w14:paraId="34A8E7C2" w14:textId="77777777" w:rsidR="00454A29" w:rsidRDefault="00454A29"/>
        </w:tc>
        <w:tc>
          <w:tcPr>
            <w:tcW w:w="2324" w:type="dxa"/>
            <w:vMerge/>
          </w:tcPr>
          <w:p w14:paraId="4ECFC9C1" w14:textId="77777777" w:rsidR="00454A29" w:rsidRDefault="00454A29"/>
        </w:tc>
        <w:tc>
          <w:tcPr>
            <w:tcW w:w="1701" w:type="dxa"/>
            <w:vAlign w:val="center"/>
          </w:tcPr>
          <w:p w14:paraId="147BC782" w14:textId="77777777" w:rsidR="00454A29" w:rsidRDefault="00454A29">
            <w:pPr>
              <w:pStyle w:val="ConsPlusNormal"/>
              <w:jc w:val="center"/>
            </w:pPr>
            <w:r>
              <w:t>-</w:t>
            </w:r>
          </w:p>
        </w:tc>
        <w:tc>
          <w:tcPr>
            <w:tcW w:w="1814" w:type="dxa"/>
            <w:vAlign w:val="center"/>
          </w:tcPr>
          <w:p w14:paraId="6BA18A42" w14:textId="77777777" w:rsidR="00454A29" w:rsidRDefault="00454A29">
            <w:pPr>
              <w:pStyle w:val="ConsPlusNormal"/>
            </w:pPr>
          </w:p>
        </w:tc>
        <w:tc>
          <w:tcPr>
            <w:tcW w:w="1701" w:type="dxa"/>
            <w:vAlign w:val="center"/>
          </w:tcPr>
          <w:p w14:paraId="2F42037C" w14:textId="77777777" w:rsidR="00454A29" w:rsidRDefault="00454A29">
            <w:pPr>
              <w:pStyle w:val="ConsPlusNormal"/>
            </w:pPr>
          </w:p>
        </w:tc>
        <w:tc>
          <w:tcPr>
            <w:tcW w:w="1701" w:type="dxa"/>
            <w:vAlign w:val="center"/>
          </w:tcPr>
          <w:p w14:paraId="128C691E" w14:textId="77777777" w:rsidR="00454A29" w:rsidRDefault="00454A29">
            <w:pPr>
              <w:pStyle w:val="ConsPlusNormal"/>
            </w:pPr>
          </w:p>
        </w:tc>
        <w:tc>
          <w:tcPr>
            <w:tcW w:w="1814" w:type="dxa"/>
            <w:vAlign w:val="center"/>
          </w:tcPr>
          <w:p w14:paraId="2FA958CD" w14:textId="77777777" w:rsidR="00454A29" w:rsidRDefault="00454A29">
            <w:pPr>
              <w:pStyle w:val="ConsPlusNormal"/>
            </w:pPr>
          </w:p>
        </w:tc>
      </w:tr>
      <w:tr w:rsidR="00454A29" w14:paraId="58DBA41D" w14:textId="77777777">
        <w:tc>
          <w:tcPr>
            <w:tcW w:w="567" w:type="dxa"/>
            <w:vMerge/>
          </w:tcPr>
          <w:p w14:paraId="0725E32D" w14:textId="77777777" w:rsidR="00454A29" w:rsidRDefault="00454A29"/>
        </w:tc>
        <w:tc>
          <w:tcPr>
            <w:tcW w:w="3345" w:type="dxa"/>
            <w:vMerge/>
          </w:tcPr>
          <w:p w14:paraId="5388E454" w14:textId="77777777" w:rsidR="00454A29" w:rsidRDefault="00454A29"/>
        </w:tc>
        <w:tc>
          <w:tcPr>
            <w:tcW w:w="1701" w:type="dxa"/>
            <w:vAlign w:val="center"/>
          </w:tcPr>
          <w:p w14:paraId="45AC4015" w14:textId="77777777" w:rsidR="00454A29" w:rsidRDefault="00454A29">
            <w:pPr>
              <w:pStyle w:val="ConsPlusNormal"/>
              <w:jc w:val="center"/>
            </w:pPr>
            <w:r>
              <w:t>2025</w:t>
            </w:r>
          </w:p>
        </w:tc>
        <w:tc>
          <w:tcPr>
            <w:tcW w:w="1417" w:type="dxa"/>
            <w:vMerge/>
          </w:tcPr>
          <w:p w14:paraId="7C235019" w14:textId="77777777" w:rsidR="00454A29" w:rsidRDefault="00454A29"/>
        </w:tc>
        <w:tc>
          <w:tcPr>
            <w:tcW w:w="2204" w:type="dxa"/>
            <w:vMerge/>
          </w:tcPr>
          <w:p w14:paraId="71C4D38D" w14:textId="77777777" w:rsidR="00454A29" w:rsidRDefault="00454A29"/>
        </w:tc>
        <w:tc>
          <w:tcPr>
            <w:tcW w:w="1417" w:type="dxa"/>
            <w:vMerge/>
          </w:tcPr>
          <w:p w14:paraId="26F4CDD2" w14:textId="77777777" w:rsidR="00454A29" w:rsidRDefault="00454A29"/>
        </w:tc>
        <w:tc>
          <w:tcPr>
            <w:tcW w:w="2324" w:type="dxa"/>
            <w:vMerge/>
          </w:tcPr>
          <w:p w14:paraId="1888C609" w14:textId="77777777" w:rsidR="00454A29" w:rsidRDefault="00454A29"/>
        </w:tc>
        <w:tc>
          <w:tcPr>
            <w:tcW w:w="1701" w:type="dxa"/>
            <w:vAlign w:val="center"/>
          </w:tcPr>
          <w:p w14:paraId="52220B74" w14:textId="77777777" w:rsidR="00454A29" w:rsidRDefault="00454A29">
            <w:pPr>
              <w:pStyle w:val="ConsPlusNormal"/>
              <w:jc w:val="center"/>
            </w:pPr>
            <w:r>
              <w:t>-</w:t>
            </w:r>
          </w:p>
        </w:tc>
        <w:tc>
          <w:tcPr>
            <w:tcW w:w="1814" w:type="dxa"/>
            <w:vAlign w:val="center"/>
          </w:tcPr>
          <w:p w14:paraId="7F1E4637" w14:textId="77777777" w:rsidR="00454A29" w:rsidRDefault="00454A29">
            <w:pPr>
              <w:pStyle w:val="ConsPlusNormal"/>
            </w:pPr>
          </w:p>
        </w:tc>
        <w:tc>
          <w:tcPr>
            <w:tcW w:w="1701" w:type="dxa"/>
            <w:vAlign w:val="center"/>
          </w:tcPr>
          <w:p w14:paraId="4778AD75" w14:textId="77777777" w:rsidR="00454A29" w:rsidRDefault="00454A29">
            <w:pPr>
              <w:pStyle w:val="ConsPlusNormal"/>
            </w:pPr>
          </w:p>
        </w:tc>
        <w:tc>
          <w:tcPr>
            <w:tcW w:w="1701" w:type="dxa"/>
            <w:vAlign w:val="center"/>
          </w:tcPr>
          <w:p w14:paraId="7BA3368B" w14:textId="77777777" w:rsidR="00454A29" w:rsidRDefault="00454A29">
            <w:pPr>
              <w:pStyle w:val="ConsPlusNormal"/>
            </w:pPr>
          </w:p>
        </w:tc>
        <w:tc>
          <w:tcPr>
            <w:tcW w:w="1814" w:type="dxa"/>
            <w:vAlign w:val="center"/>
          </w:tcPr>
          <w:p w14:paraId="3F7078EB" w14:textId="77777777" w:rsidR="00454A29" w:rsidRDefault="00454A29">
            <w:pPr>
              <w:pStyle w:val="ConsPlusNormal"/>
            </w:pPr>
          </w:p>
        </w:tc>
      </w:tr>
      <w:tr w:rsidR="00454A29" w14:paraId="3B2F8D4B" w14:textId="77777777">
        <w:tc>
          <w:tcPr>
            <w:tcW w:w="567" w:type="dxa"/>
            <w:vMerge/>
          </w:tcPr>
          <w:p w14:paraId="7D33D714" w14:textId="77777777" w:rsidR="00454A29" w:rsidRDefault="00454A29"/>
        </w:tc>
        <w:tc>
          <w:tcPr>
            <w:tcW w:w="3345" w:type="dxa"/>
            <w:vMerge/>
          </w:tcPr>
          <w:p w14:paraId="48CF25B5" w14:textId="77777777" w:rsidR="00454A29" w:rsidRDefault="00454A29"/>
        </w:tc>
        <w:tc>
          <w:tcPr>
            <w:tcW w:w="1701" w:type="dxa"/>
            <w:vAlign w:val="center"/>
          </w:tcPr>
          <w:p w14:paraId="4DE66BF1" w14:textId="77777777" w:rsidR="00454A29" w:rsidRDefault="00454A29">
            <w:pPr>
              <w:pStyle w:val="ConsPlusNormal"/>
              <w:jc w:val="center"/>
            </w:pPr>
            <w:r>
              <w:t>2026</w:t>
            </w:r>
          </w:p>
        </w:tc>
        <w:tc>
          <w:tcPr>
            <w:tcW w:w="1417" w:type="dxa"/>
            <w:vMerge/>
          </w:tcPr>
          <w:p w14:paraId="1BC7D891" w14:textId="77777777" w:rsidR="00454A29" w:rsidRDefault="00454A29"/>
        </w:tc>
        <w:tc>
          <w:tcPr>
            <w:tcW w:w="2204" w:type="dxa"/>
            <w:vMerge/>
          </w:tcPr>
          <w:p w14:paraId="5CCBE840" w14:textId="77777777" w:rsidR="00454A29" w:rsidRDefault="00454A29"/>
        </w:tc>
        <w:tc>
          <w:tcPr>
            <w:tcW w:w="1417" w:type="dxa"/>
            <w:vMerge/>
          </w:tcPr>
          <w:p w14:paraId="1599B439" w14:textId="77777777" w:rsidR="00454A29" w:rsidRDefault="00454A29"/>
        </w:tc>
        <w:tc>
          <w:tcPr>
            <w:tcW w:w="2324" w:type="dxa"/>
            <w:vMerge/>
          </w:tcPr>
          <w:p w14:paraId="44A3A16F" w14:textId="77777777" w:rsidR="00454A29" w:rsidRDefault="00454A29"/>
        </w:tc>
        <w:tc>
          <w:tcPr>
            <w:tcW w:w="1701" w:type="dxa"/>
            <w:vAlign w:val="center"/>
          </w:tcPr>
          <w:p w14:paraId="5474F80A" w14:textId="77777777" w:rsidR="00454A29" w:rsidRDefault="00454A29">
            <w:pPr>
              <w:pStyle w:val="ConsPlusNormal"/>
              <w:jc w:val="center"/>
            </w:pPr>
            <w:r>
              <w:t>-</w:t>
            </w:r>
          </w:p>
        </w:tc>
        <w:tc>
          <w:tcPr>
            <w:tcW w:w="1814" w:type="dxa"/>
            <w:vAlign w:val="center"/>
          </w:tcPr>
          <w:p w14:paraId="265C73DF" w14:textId="77777777" w:rsidR="00454A29" w:rsidRDefault="00454A29">
            <w:pPr>
              <w:pStyle w:val="ConsPlusNormal"/>
            </w:pPr>
          </w:p>
        </w:tc>
        <w:tc>
          <w:tcPr>
            <w:tcW w:w="1701" w:type="dxa"/>
            <w:vAlign w:val="center"/>
          </w:tcPr>
          <w:p w14:paraId="43D5FC7E" w14:textId="77777777" w:rsidR="00454A29" w:rsidRDefault="00454A29">
            <w:pPr>
              <w:pStyle w:val="ConsPlusNormal"/>
            </w:pPr>
          </w:p>
        </w:tc>
        <w:tc>
          <w:tcPr>
            <w:tcW w:w="1701" w:type="dxa"/>
            <w:vAlign w:val="center"/>
          </w:tcPr>
          <w:p w14:paraId="03443662" w14:textId="77777777" w:rsidR="00454A29" w:rsidRDefault="00454A29">
            <w:pPr>
              <w:pStyle w:val="ConsPlusNormal"/>
            </w:pPr>
          </w:p>
        </w:tc>
        <w:tc>
          <w:tcPr>
            <w:tcW w:w="1814" w:type="dxa"/>
            <w:vAlign w:val="center"/>
          </w:tcPr>
          <w:p w14:paraId="6AE70173" w14:textId="77777777" w:rsidR="00454A29" w:rsidRDefault="00454A29">
            <w:pPr>
              <w:pStyle w:val="ConsPlusNormal"/>
            </w:pPr>
          </w:p>
        </w:tc>
      </w:tr>
      <w:tr w:rsidR="00454A29" w14:paraId="61F75C09" w14:textId="77777777">
        <w:tc>
          <w:tcPr>
            <w:tcW w:w="567" w:type="dxa"/>
            <w:vMerge w:val="restart"/>
            <w:vAlign w:val="center"/>
          </w:tcPr>
          <w:p w14:paraId="2A4C5209" w14:textId="77777777" w:rsidR="00454A29" w:rsidRDefault="00454A29">
            <w:pPr>
              <w:pStyle w:val="ConsPlusNormal"/>
              <w:jc w:val="center"/>
            </w:pPr>
            <w:r>
              <w:t>111</w:t>
            </w:r>
          </w:p>
        </w:tc>
        <w:tc>
          <w:tcPr>
            <w:tcW w:w="3345" w:type="dxa"/>
            <w:vMerge w:val="restart"/>
            <w:vAlign w:val="center"/>
          </w:tcPr>
          <w:p w14:paraId="4CF3EA4D" w14:textId="77777777" w:rsidR="00454A29" w:rsidRDefault="00454A29">
            <w:pPr>
              <w:pStyle w:val="ConsPlusNormal"/>
              <w:jc w:val="center"/>
            </w:pPr>
            <w:r>
              <w:t>Автодром Аграрного техникума в с. Ожулун Чурапчинского улуса</w:t>
            </w:r>
          </w:p>
        </w:tc>
        <w:tc>
          <w:tcPr>
            <w:tcW w:w="1701" w:type="dxa"/>
            <w:vAlign w:val="center"/>
          </w:tcPr>
          <w:p w14:paraId="44706D4E" w14:textId="77777777" w:rsidR="00454A29" w:rsidRDefault="00454A29">
            <w:pPr>
              <w:pStyle w:val="ConsPlusNormal"/>
              <w:jc w:val="center"/>
            </w:pPr>
            <w:r>
              <w:t>Всего:</w:t>
            </w:r>
          </w:p>
        </w:tc>
        <w:tc>
          <w:tcPr>
            <w:tcW w:w="1417" w:type="dxa"/>
            <w:vMerge w:val="restart"/>
            <w:vAlign w:val="center"/>
          </w:tcPr>
          <w:p w14:paraId="281E214E" w14:textId="77777777" w:rsidR="00454A29" w:rsidRDefault="00454A29">
            <w:pPr>
              <w:pStyle w:val="ConsPlusNormal"/>
              <w:jc w:val="center"/>
            </w:pPr>
            <w:r>
              <w:t>5 000</w:t>
            </w:r>
          </w:p>
        </w:tc>
        <w:tc>
          <w:tcPr>
            <w:tcW w:w="2204" w:type="dxa"/>
            <w:vMerge w:val="restart"/>
            <w:vAlign w:val="center"/>
          </w:tcPr>
          <w:p w14:paraId="26F06A41" w14:textId="77777777" w:rsidR="00454A29" w:rsidRDefault="00454A29">
            <w:pPr>
              <w:pStyle w:val="ConsPlusNormal"/>
            </w:pPr>
          </w:p>
        </w:tc>
        <w:tc>
          <w:tcPr>
            <w:tcW w:w="1417" w:type="dxa"/>
            <w:vMerge w:val="restart"/>
            <w:vAlign w:val="center"/>
          </w:tcPr>
          <w:p w14:paraId="70290CF0" w14:textId="77777777" w:rsidR="00454A29" w:rsidRDefault="00454A29">
            <w:pPr>
              <w:pStyle w:val="ConsPlusNormal"/>
            </w:pPr>
          </w:p>
        </w:tc>
        <w:tc>
          <w:tcPr>
            <w:tcW w:w="2324" w:type="dxa"/>
            <w:vMerge w:val="restart"/>
            <w:vAlign w:val="center"/>
          </w:tcPr>
          <w:p w14:paraId="71E23E6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0F81194A" w14:textId="77777777" w:rsidR="00454A29" w:rsidRDefault="00454A29">
            <w:pPr>
              <w:pStyle w:val="ConsPlusNormal"/>
              <w:jc w:val="center"/>
            </w:pPr>
            <w:r>
              <w:t>2 480,00</w:t>
            </w:r>
          </w:p>
        </w:tc>
        <w:tc>
          <w:tcPr>
            <w:tcW w:w="1814" w:type="dxa"/>
            <w:vAlign w:val="center"/>
          </w:tcPr>
          <w:p w14:paraId="66B3E8F3" w14:textId="77777777" w:rsidR="00454A29" w:rsidRDefault="00454A29">
            <w:pPr>
              <w:pStyle w:val="ConsPlusNormal"/>
              <w:jc w:val="center"/>
            </w:pPr>
            <w:r>
              <w:t>2 480,00</w:t>
            </w:r>
          </w:p>
        </w:tc>
        <w:tc>
          <w:tcPr>
            <w:tcW w:w="1701" w:type="dxa"/>
            <w:vAlign w:val="center"/>
          </w:tcPr>
          <w:p w14:paraId="1EFC8D8B" w14:textId="77777777" w:rsidR="00454A29" w:rsidRDefault="00454A29">
            <w:pPr>
              <w:pStyle w:val="ConsPlusNormal"/>
              <w:jc w:val="center"/>
            </w:pPr>
            <w:r>
              <w:t>-</w:t>
            </w:r>
          </w:p>
        </w:tc>
        <w:tc>
          <w:tcPr>
            <w:tcW w:w="1701" w:type="dxa"/>
            <w:vAlign w:val="center"/>
          </w:tcPr>
          <w:p w14:paraId="59CECA1D" w14:textId="77777777" w:rsidR="00454A29" w:rsidRDefault="00454A29">
            <w:pPr>
              <w:pStyle w:val="ConsPlusNormal"/>
              <w:jc w:val="center"/>
            </w:pPr>
            <w:r>
              <w:t>-</w:t>
            </w:r>
          </w:p>
        </w:tc>
        <w:tc>
          <w:tcPr>
            <w:tcW w:w="1814" w:type="dxa"/>
            <w:vAlign w:val="center"/>
          </w:tcPr>
          <w:p w14:paraId="6D2C9259" w14:textId="77777777" w:rsidR="00454A29" w:rsidRDefault="00454A29">
            <w:pPr>
              <w:pStyle w:val="ConsPlusNormal"/>
              <w:jc w:val="center"/>
            </w:pPr>
            <w:r>
              <w:t>-</w:t>
            </w:r>
          </w:p>
        </w:tc>
      </w:tr>
      <w:tr w:rsidR="00454A29" w14:paraId="02D141EA" w14:textId="77777777">
        <w:tc>
          <w:tcPr>
            <w:tcW w:w="567" w:type="dxa"/>
            <w:vMerge/>
          </w:tcPr>
          <w:p w14:paraId="6992C146" w14:textId="77777777" w:rsidR="00454A29" w:rsidRDefault="00454A29"/>
        </w:tc>
        <w:tc>
          <w:tcPr>
            <w:tcW w:w="3345" w:type="dxa"/>
            <w:vMerge/>
          </w:tcPr>
          <w:p w14:paraId="3E0D8BDF" w14:textId="77777777" w:rsidR="00454A29" w:rsidRDefault="00454A29"/>
        </w:tc>
        <w:tc>
          <w:tcPr>
            <w:tcW w:w="1701" w:type="dxa"/>
            <w:vAlign w:val="center"/>
          </w:tcPr>
          <w:p w14:paraId="28BBC401" w14:textId="77777777" w:rsidR="00454A29" w:rsidRDefault="00454A29">
            <w:pPr>
              <w:pStyle w:val="ConsPlusNormal"/>
              <w:jc w:val="center"/>
            </w:pPr>
            <w:r>
              <w:t>2020</w:t>
            </w:r>
          </w:p>
        </w:tc>
        <w:tc>
          <w:tcPr>
            <w:tcW w:w="1417" w:type="dxa"/>
            <w:vMerge/>
          </w:tcPr>
          <w:p w14:paraId="465B139C" w14:textId="77777777" w:rsidR="00454A29" w:rsidRDefault="00454A29"/>
        </w:tc>
        <w:tc>
          <w:tcPr>
            <w:tcW w:w="2204" w:type="dxa"/>
            <w:vMerge/>
          </w:tcPr>
          <w:p w14:paraId="2F0C18D2" w14:textId="77777777" w:rsidR="00454A29" w:rsidRDefault="00454A29"/>
        </w:tc>
        <w:tc>
          <w:tcPr>
            <w:tcW w:w="1417" w:type="dxa"/>
            <w:vMerge/>
          </w:tcPr>
          <w:p w14:paraId="7E20FF43" w14:textId="77777777" w:rsidR="00454A29" w:rsidRDefault="00454A29"/>
        </w:tc>
        <w:tc>
          <w:tcPr>
            <w:tcW w:w="2324" w:type="dxa"/>
            <w:vMerge/>
          </w:tcPr>
          <w:p w14:paraId="52ED9869" w14:textId="77777777" w:rsidR="00454A29" w:rsidRDefault="00454A29"/>
        </w:tc>
        <w:tc>
          <w:tcPr>
            <w:tcW w:w="1701" w:type="dxa"/>
            <w:vAlign w:val="center"/>
          </w:tcPr>
          <w:p w14:paraId="7FFCE3B6" w14:textId="77777777" w:rsidR="00454A29" w:rsidRDefault="00454A29">
            <w:pPr>
              <w:pStyle w:val="ConsPlusNormal"/>
              <w:jc w:val="center"/>
            </w:pPr>
            <w:r>
              <w:t>-</w:t>
            </w:r>
          </w:p>
        </w:tc>
        <w:tc>
          <w:tcPr>
            <w:tcW w:w="1814" w:type="dxa"/>
            <w:vAlign w:val="center"/>
          </w:tcPr>
          <w:p w14:paraId="23B8A8B7" w14:textId="77777777" w:rsidR="00454A29" w:rsidRDefault="00454A29">
            <w:pPr>
              <w:pStyle w:val="ConsPlusNormal"/>
            </w:pPr>
          </w:p>
        </w:tc>
        <w:tc>
          <w:tcPr>
            <w:tcW w:w="1701" w:type="dxa"/>
            <w:vAlign w:val="center"/>
          </w:tcPr>
          <w:p w14:paraId="7E2D4806" w14:textId="77777777" w:rsidR="00454A29" w:rsidRDefault="00454A29">
            <w:pPr>
              <w:pStyle w:val="ConsPlusNormal"/>
            </w:pPr>
          </w:p>
        </w:tc>
        <w:tc>
          <w:tcPr>
            <w:tcW w:w="1701" w:type="dxa"/>
            <w:vAlign w:val="center"/>
          </w:tcPr>
          <w:p w14:paraId="2A30FC53" w14:textId="77777777" w:rsidR="00454A29" w:rsidRDefault="00454A29">
            <w:pPr>
              <w:pStyle w:val="ConsPlusNormal"/>
            </w:pPr>
          </w:p>
        </w:tc>
        <w:tc>
          <w:tcPr>
            <w:tcW w:w="1814" w:type="dxa"/>
            <w:vAlign w:val="center"/>
          </w:tcPr>
          <w:p w14:paraId="344CD698" w14:textId="77777777" w:rsidR="00454A29" w:rsidRDefault="00454A29">
            <w:pPr>
              <w:pStyle w:val="ConsPlusNormal"/>
            </w:pPr>
          </w:p>
        </w:tc>
      </w:tr>
      <w:tr w:rsidR="00454A29" w14:paraId="5CB02289" w14:textId="77777777">
        <w:tc>
          <w:tcPr>
            <w:tcW w:w="567" w:type="dxa"/>
            <w:vMerge/>
          </w:tcPr>
          <w:p w14:paraId="30DA666E" w14:textId="77777777" w:rsidR="00454A29" w:rsidRDefault="00454A29"/>
        </w:tc>
        <w:tc>
          <w:tcPr>
            <w:tcW w:w="3345" w:type="dxa"/>
            <w:vMerge/>
          </w:tcPr>
          <w:p w14:paraId="45985B2F" w14:textId="77777777" w:rsidR="00454A29" w:rsidRDefault="00454A29"/>
        </w:tc>
        <w:tc>
          <w:tcPr>
            <w:tcW w:w="1701" w:type="dxa"/>
            <w:vAlign w:val="center"/>
          </w:tcPr>
          <w:p w14:paraId="00EF0706" w14:textId="77777777" w:rsidR="00454A29" w:rsidRDefault="00454A29">
            <w:pPr>
              <w:pStyle w:val="ConsPlusNormal"/>
              <w:jc w:val="center"/>
            </w:pPr>
            <w:r>
              <w:t>2021</w:t>
            </w:r>
          </w:p>
        </w:tc>
        <w:tc>
          <w:tcPr>
            <w:tcW w:w="1417" w:type="dxa"/>
            <w:vMerge/>
          </w:tcPr>
          <w:p w14:paraId="6CED28B3" w14:textId="77777777" w:rsidR="00454A29" w:rsidRDefault="00454A29"/>
        </w:tc>
        <w:tc>
          <w:tcPr>
            <w:tcW w:w="2204" w:type="dxa"/>
            <w:vMerge/>
          </w:tcPr>
          <w:p w14:paraId="613F4BB8" w14:textId="77777777" w:rsidR="00454A29" w:rsidRDefault="00454A29"/>
        </w:tc>
        <w:tc>
          <w:tcPr>
            <w:tcW w:w="1417" w:type="dxa"/>
            <w:vMerge/>
          </w:tcPr>
          <w:p w14:paraId="5448BE6A" w14:textId="77777777" w:rsidR="00454A29" w:rsidRDefault="00454A29"/>
        </w:tc>
        <w:tc>
          <w:tcPr>
            <w:tcW w:w="2324" w:type="dxa"/>
            <w:vMerge/>
          </w:tcPr>
          <w:p w14:paraId="05BDC9EB" w14:textId="77777777" w:rsidR="00454A29" w:rsidRDefault="00454A29"/>
        </w:tc>
        <w:tc>
          <w:tcPr>
            <w:tcW w:w="1701" w:type="dxa"/>
            <w:vAlign w:val="center"/>
          </w:tcPr>
          <w:p w14:paraId="5CF7F4F1" w14:textId="77777777" w:rsidR="00454A29" w:rsidRDefault="00454A29">
            <w:pPr>
              <w:pStyle w:val="ConsPlusNormal"/>
              <w:jc w:val="center"/>
            </w:pPr>
            <w:r>
              <w:t>-</w:t>
            </w:r>
          </w:p>
        </w:tc>
        <w:tc>
          <w:tcPr>
            <w:tcW w:w="1814" w:type="dxa"/>
            <w:vAlign w:val="center"/>
          </w:tcPr>
          <w:p w14:paraId="2F7CA0B6" w14:textId="77777777" w:rsidR="00454A29" w:rsidRDefault="00454A29">
            <w:pPr>
              <w:pStyle w:val="ConsPlusNormal"/>
            </w:pPr>
          </w:p>
        </w:tc>
        <w:tc>
          <w:tcPr>
            <w:tcW w:w="1701" w:type="dxa"/>
            <w:vAlign w:val="center"/>
          </w:tcPr>
          <w:p w14:paraId="5B2E33D1" w14:textId="77777777" w:rsidR="00454A29" w:rsidRDefault="00454A29">
            <w:pPr>
              <w:pStyle w:val="ConsPlusNormal"/>
            </w:pPr>
          </w:p>
        </w:tc>
        <w:tc>
          <w:tcPr>
            <w:tcW w:w="1701" w:type="dxa"/>
            <w:vAlign w:val="center"/>
          </w:tcPr>
          <w:p w14:paraId="1686C0A1" w14:textId="77777777" w:rsidR="00454A29" w:rsidRDefault="00454A29">
            <w:pPr>
              <w:pStyle w:val="ConsPlusNormal"/>
            </w:pPr>
          </w:p>
        </w:tc>
        <w:tc>
          <w:tcPr>
            <w:tcW w:w="1814" w:type="dxa"/>
            <w:vAlign w:val="center"/>
          </w:tcPr>
          <w:p w14:paraId="4A98A2F3" w14:textId="77777777" w:rsidR="00454A29" w:rsidRDefault="00454A29">
            <w:pPr>
              <w:pStyle w:val="ConsPlusNormal"/>
            </w:pPr>
          </w:p>
        </w:tc>
      </w:tr>
      <w:tr w:rsidR="00454A29" w14:paraId="0921C1C1" w14:textId="77777777">
        <w:tc>
          <w:tcPr>
            <w:tcW w:w="567" w:type="dxa"/>
            <w:vMerge/>
          </w:tcPr>
          <w:p w14:paraId="6C29CEF0" w14:textId="77777777" w:rsidR="00454A29" w:rsidRDefault="00454A29"/>
        </w:tc>
        <w:tc>
          <w:tcPr>
            <w:tcW w:w="3345" w:type="dxa"/>
            <w:vMerge/>
          </w:tcPr>
          <w:p w14:paraId="1AF4BFFB" w14:textId="77777777" w:rsidR="00454A29" w:rsidRDefault="00454A29"/>
        </w:tc>
        <w:tc>
          <w:tcPr>
            <w:tcW w:w="1701" w:type="dxa"/>
            <w:vAlign w:val="center"/>
          </w:tcPr>
          <w:p w14:paraId="3A75BE26" w14:textId="77777777" w:rsidR="00454A29" w:rsidRDefault="00454A29">
            <w:pPr>
              <w:pStyle w:val="ConsPlusNormal"/>
              <w:jc w:val="center"/>
            </w:pPr>
            <w:r>
              <w:t>2022</w:t>
            </w:r>
          </w:p>
        </w:tc>
        <w:tc>
          <w:tcPr>
            <w:tcW w:w="1417" w:type="dxa"/>
            <w:vMerge/>
          </w:tcPr>
          <w:p w14:paraId="520C99F6" w14:textId="77777777" w:rsidR="00454A29" w:rsidRDefault="00454A29"/>
        </w:tc>
        <w:tc>
          <w:tcPr>
            <w:tcW w:w="2204" w:type="dxa"/>
            <w:vMerge/>
          </w:tcPr>
          <w:p w14:paraId="487B4A42" w14:textId="77777777" w:rsidR="00454A29" w:rsidRDefault="00454A29"/>
        </w:tc>
        <w:tc>
          <w:tcPr>
            <w:tcW w:w="1417" w:type="dxa"/>
            <w:vMerge/>
          </w:tcPr>
          <w:p w14:paraId="3CDCA24A" w14:textId="77777777" w:rsidR="00454A29" w:rsidRDefault="00454A29"/>
        </w:tc>
        <w:tc>
          <w:tcPr>
            <w:tcW w:w="2324" w:type="dxa"/>
            <w:vMerge/>
          </w:tcPr>
          <w:p w14:paraId="774AC254" w14:textId="77777777" w:rsidR="00454A29" w:rsidRDefault="00454A29"/>
        </w:tc>
        <w:tc>
          <w:tcPr>
            <w:tcW w:w="1701" w:type="dxa"/>
            <w:vAlign w:val="center"/>
          </w:tcPr>
          <w:p w14:paraId="0A0DFB5E" w14:textId="77777777" w:rsidR="00454A29" w:rsidRDefault="00454A29">
            <w:pPr>
              <w:pStyle w:val="ConsPlusNormal"/>
              <w:jc w:val="center"/>
            </w:pPr>
            <w:r>
              <w:t>-</w:t>
            </w:r>
          </w:p>
        </w:tc>
        <w:tc>
          <w:tcPr>
            <w:tcW w:w="1814" w:type="dxa"/>
            <w:vAlign w:val="center"/>
          </w:tcPr>
          <w:p w14:paraId="5570F986" w14:textId="77777777" w:rsidR="00454A29" w:rsidRDefault="00454A29">
            <w:pPr>
              <w:pStyle w:val="ConsPlusNormal"/>
              <w:jc w:val="center"/>
            </w:pPr>
            <w:r>
              <w:t>-</w:t>
            </w:r>
          </w:p>
        </w:tc>
        <w:tc>
          <w:tcPr>
            <w:tcW w:w="1701" w:type="dxa"/>
            <w:vAlign w:val="center"/>
          </w:tcPr>
          <w:p w14:paraId="6A21623E" w14:textId="77777777" w:rsidR="00454A29" w:rsidRDefault="00454A29">
            <w:pPr>
              <w:pStyle w:val="ConsPlusNormal"/>
            </w:pPr>
          </w:p>
        </w:tc>
        <w:tc>
          <w:tcPr>
            <w:tcW w:w="1701" w:type="dxa"/>
            <w:vAlign w:val="center"/>
          </w:tcPr>
          <w:p w14:paraId="1DC2D930" w14:textId="77777777" w:rsidR="00454A29" w:rsidRDefault="00454A29">
            <w:pPr>
              <w:pStyle w:val="ConsPlusNormal"/>
            </w:pPr>
          </w:p>
        </w:tc>
        <w:tc>
          <w:tcPr>
            <w:tcW w:w="1814" w:type="dxa"/>
            <w:vAlign w:val="center"/>
          </w:tcPr>
          <w:p w14:paraId="5712D928" w14:textId="77777777" w:rsidR="00454A29" w:rsidRDefault="00454A29">
            <w:pPr>
              <w:pStyle w:val="ConsPlusNormal"/>
            </w:pPr>
          </w:p>
        </w:tc>
      </w:tr>
      <w:tr w:rsidR="00454A29" w14:paraId="517ECE04" w14:textId="77777777">
        <w:tc>
          <w:tcPr>
            <w:tcW w:w="567" w:type="dxa"/>
            <w:vMerge/>
          </w:tcPr>
          <w:p w14:paraId="6F12C401" w14:textId="77777777" w:rsidR="00454A29" w:rsidRDefault="00454A29"/>
        </w:tc>
        <w:tc>
          <w:tcPr>
            <w:tcW w:w="3345" w:type="dxa"/>
            <w:vMerge/>
          </w:tcPr>
          <w:p w14:paraId="3DF651B9" w14:textId="77777777" w:rsidR="00454A29" w:rsidRDefault="00454A29"/>
        </w:tc>
        <w:tc>
          <w:tcPr>
            <w:tcW w:w="1701" w:type="dxa"/>
            <w:vAlign w:val="center"/>
          </w:tcPr>
          <w:p w14:paraId="2DAA0DAF" w14:textId="77777777" w:rsidR="00454A29" w:rsidRDefault="00454A29">
            <w:pPr>
              <w:pStyle w:val="ConsPlusNormal"/>
              <w:jc w:val="center"/>
            </w:pPr>
            <w:r>
              <w:t>2023</w:t>
            </w:r>
          </w:p>
        </w:tc>
        <w:tc>
          <w:tcPr>
            <w:tcW w:w="1417" w:type="dxa"/>
            <w:vMerge/>
          </w:tcPr>
          <w:p w14:paraId="6FDBC67E" w14:textId="77777777" w:rsidR="00454A29" w:rsidRDefault="00454A29"/>
        </w:tc>
        <w:tc>
          <w:tcPr>
            <w:tcW w:w="2204" w:type="dxa"/>
            <w:vMerge/>
          </w:tcPr>
          <w:p w14:paraId="5D5ABA65" w14:textId="77777777" w:rsidR="00454A29" w:rsidRDefault="00454A29"/>
        </w:tc>
        <w:tc>
          <w:tcPr>
            <w:tcW w:w="1417" w:type="dxa"/>
            <w:vMerge/>
          </w:tcPr>
          <w:p w14:paraId="7CADA0CF" w14:textId="77777777" w:rsidR="00454A29" w:rsidRDefault="00454A29"/>
        </w:tc>
        <w:tc>
          <w:tcPr>
            <w:tcW w:w="2324" w:type="dxa"/>
            <w:vMerge/>
          </w:tcPr>
          <w:p w14:paraId="2BFF2986" w14:textId="77777777" w:rsidR="00454A29" w:rsidRDefault="00454A29"/>
        </w:tc>
        <w:tc>
          <w:tcPr>
            <w:tcW w:w="1701" w:type="dxa"/>
            <w:vAlign w:val="center"/>
          </w:tcPr>
          <w:p w14:paraId="76E8CB20" w14:textId="77777777" w:rsidR="00454A29" w:rsidRDefault="00454A29">
            <w:pPr>
              <w:pStyle w:val="ConsPlusNormal"/>
              <w:jc w:val="center"/>
            </w:pPr>
            <w:r>
              <w:t>2 480,00</w:t>
            </w:r>
          </w:p>
        </w:tc>
        <w:tc>
          <w:tcPr>
            <w:tcW w:w="1814" w:type="dxa"/>
            <w:vAlign w:val="center"/>
          </w:tcPr>
          <w:p w14:paraId="5BC57579" w14:textId="77777777" w:rsidR="00454A29" w:rsidRDefault="00454A29">
            <w:pPr>
              <w:pStyle w:val="ConsPlusNormal"/>
              <w:jc w:val="center"/>
            </w:pPr>
            <w:r>
              <w:t>2 480,00</w:t>
            </w:r>
          </w:p>
        </w:tc>
        <w:tc>
          <w:tcPr>
            <w:tcW w:w="1701" w:type="dxa"/>
            <w:vAlign w:val="center"/>
          </w:tcPr>
          <w:p w14:paraId="41387DB2" w14:textId="77777777" w:rsidR="00454A29" w:rsidRDefault="00454A29">
            <w:pPr>
              <w:pStyle w:val="ConsPlusNormal"/>
            </w:pPr>
          </w:p>
        </w:tc>
        <w:tc>
          <w:tcPr>
            <w:tcW w:w="1701" w:type="dxa"/>
            <w:vAlign w:val="center"/>
          </w:tcPr>
          <w:p w14:paraId="2F3AEE3B" w14:textId="77777777" w:rsidR="00454A29" w:rsidRDefault="00454A29">
            <w:pPr>
              <w:pStyle w:val="ConsPlusNormal"/>
            </w:pPr>
          </w:p>
        </w:tc>
        <w:tc>
          <w:tcPr>
            <w:tcW w:w="1814" w:type="dxa"/>
            <w:vAlign w:val="center"/>
          </w:tcPr>
          <w:p w14:paraId="02D21BBD" w14:textId="77777777" w:rsidR="00454A29" w:rsidRDefault="00454A29">
            <w:pPr>
              <w:pStyle w:val="ConsPlusNormal"/>
            </w:pPr>
          </w:p>
        </w:tc>
      </w:tr>
      <w:tr w:rsidR="00454A29" w14:paraId="58C595BF" w14:textId="77777777">
        <w:tc>
          <w:tcPr>
            <w:tcW w:w="567" w:type="dxa"/>
            <w:vMerge/>
          </w:tcPr>
          <w:p w14:paraId="08B25DAE" w14:textId="77777777" w:rsidR="00454A29" w:rsidRDefault="00454A29"/>
        </w:tc>
        <w:tc>
          <w:tcPr>
            <w:tcW w:w="3345" w:type="dxa"/>
            <w:vMerge/>
          </w:tcPr>
          <w:p w14:paraId="3DC087BF" w14:textId="77777777" w:rsidR="00454A29" w:rsidRDefault="00454A29"/>
        </w:tc>
        <w:tc>
          <w:tcPr>
            <w:tcW w:w="1701" w:type="dxa"/>
            <w:vAlign w:val="center"/>
          </w:tcPr>
          <w:p w14:paraId="1E247252" w14:textId="77777777" w:rsidR="00454A29" w:rsidRDefault="00454A29">
            <w:pPr>
              <w:pStyle w:val="ConsPlusNormal"/>
              <w:jc w:val="center"/>
            </w:pPr>
            <w:r>
              <w:t>2024</w:t>
            </w:r>
          </w:p>
        </w:tc>
        <w:tc>
          <w:tcPr>
            <w:tcW w:w="1417" w:type="dxa"/>
            <w:vMerge/>
          </w:tcPr>
          <w:p w14:paraId="774275A6" w14:textId="77777777" w:rsidR="00454A29" w:rsidRDefault="00454A29"/>
        </w:tc>
        <w:tc>
          <w:tcPr>
            <w:tcW w:w="2204" w:type="dxa"/>
            <w:vMerge/>
          </w:tcPr>
          <w:p w14:paraId="4BA8548B" w14:textId="77777777" w:rsidR="00454A29" w:rsidRDefault="00454A29"/>
        </w:tc>
        <w:tc>
          <w:tcPr>
            <w:tcW w:w="1417" w:type="dxa"/>
            <w:vMerge/>
          </w:tcPr>
          <w:p w14:paraId="13C0406D" w14:textId="77777777" w:rsidR="00454A29" w:rsidRDefault="00454A29"/>
        </w:tc>
        <w:tc>
          <w:tcPr>
            <w:tcW w:w="2324" w:type="dxa"/>
            <w:vMerge/>
          </w:tcPr>
          <w:p w14:paraId="5174469A" w14:textId="77777777" w:rsidR="00454A29" w:rsidRDefault="00454A29"/>
        </w:tc>
        <w:tc>
          <w:tcPr>
            <w:tcW w:w="1701" w:type="dxa"/>
            <w:vAlign w:val="center"/>
          </w:tcPr>
          <w:p w14:paraId="74C553D7" w14:textId="77777777" w:rsidR="00454A29" w:rsidRDefault="00454A29">
            <w:pPr>
              <w:pStyle w:val="ConsPlusNormal"/>
              <w:jc w:val="center"/>
            </w:pPr>
            <w:r>
              <w:t>-</w:t>
            </w:r>
          </w:p>
        </w:tc>
        <w:tc>
          <w:tcPr>
            <w:tcW w:w="1814" w:type="dxa"/>
            <w:vAlign w:val="center"/>
          </w:tcPr>
          <w:p w14:paraId="512E4D66" w14:textId="77777777" w:rsidR="00454A29" w:rsidRDefault="00454A29">
            <w:pPr>
              <w:pStyle w:val="ConsPlusNormal"/>
            </w:pPr>
          </w:p>
        </w:tc>
        <w:tc>
          <w:tcPr>
            <w:tcW w:w="1701" w:type="dxa"/>
            <w:vAlign w:val="center"/>
          </w:tcPr>
          <w:p w14:paraId="785C2A47" w14:textId="77777777" w:rsidR="00454A29" w:rsidRDefault="00454A29">
            <w:pPr>
              <w:pStyle w:val="ConsPlusNormal"/>
            </w:pPr>
          </w:p>
        </w:tc>
        <w:tc>
          <w:tcPr>
            <w:tcW w:w="1701" w:type="dxa"/>
            <w:vAlign w:val="center"/>
          </w:tcPr>
          <w:p w14:paraId="02CED909" w14:textId="77777777" w:rsidR="00454A29" w:rsidRDefault="00454A29">
            <w:pPr>
              <w:pStyle w:val="ConsPlusNormal"/>
            </w:pPr>
          </w:p>
        </w:tc>
        <w:tc>
          <w:tcPr>
            <w:tcW w:w="1814" w:type="dxa"/>
            <w:vAlign w:val="center"/>
          </w:tcPr>
          <w:p w14:paraId="5468EFD5" w14:textId="77777777" w:rsidR="00454A29" w:rsidRDefault="00454A29">
            <w:pPr>
              <w:pStyle w:val="ConsPlusNormal"/>
            </w:pPr>
          </w:p>
        </w:tc>
      </w:tr>
      <w:tr w:rsidR="00454A29" w14:paraId="2A4FC807" w14:textId="77777777">
        <w:tc>
          <w:tcPr>
            <w:tcW w:w="567" w:type="dxa"/>
            <w:vMerge/>
          </w:tcPr>
          <w:p w14:paraId="2F0EA94A" w14:textId="77777777" w:rsidR="00454A29" w:rsidRDefault="00454A29"/>
        </w:tc>
        <w:tc>
          <w:tcPr>
            <w:tcW w:w="3345" w:type="dxa"/>
            <w:vMerge/>
          </w:tcPr>
          <w:p w14:paraId="60813ABF" w14:textId="77777777" w:rsidR="00454A29" w:rsidRDefault="00454A29"/>
        </w:tc>
        <w:tc>
          <w:tcPr>
            <w:tcW w:w="1701" w:type="dxa"/>
            <w:vAlign w:val="center"/>
          </w:tcPr>
          <w:p w14:paraId="58B79A6F" w14:textId="77777777" w:rsidR="00454A29" w:rsidRDefault="00454A29">
            <w:pPr>
              <w:pStyle w:val="ConsPlusNormal"/>
              <w:jc w:val="center"/>
            </w:pPr>
            <w:r>
              <w:t>2025</w:t>
            </w:r>
          </w:p>
        </w:tc>
        <w:tc>
          <w:tcPr>
            <w:tcW w:w="1417" w:type="dxa"/>
            <w:vMerge/>
          </w:tcPr>
          <w:p w14:paraId="16AC877E" w14:textId="77777777" w:rsidR="00454A29" w:rsidRDefault="00454A29"/>
        </w:tc>
        <w:tc>
          <w:tcPr>
            <w:tcW w:w="2204" w:type="dxa"/>
            <w:vMerge/>
          </w:tcPr>
          <w:p w14:paraId="73D6A737" w14:textId="77777777" w:rsidR="00454A29" w:rsidRDefault="00454A29"/>
        </w:tc>
        <w:tc>
          <w:tcPr>
            <w:tcW w:w="1417" w:type="dxa"/>
            <w:vMerge/>
          </w:tcPr>
          <w:p w14:paraId="0CD9DCE6" w14:textId="77777777" w:rsidR="00454A29" w:rsidRDefault="00454A29"/>
        </w:tc>
        <w:tc>
          <w:tcPr>
            <w:tcW w:w="2324" w:type="dxa"/>
            <w:vMerge/>
          </w:tcPr>
          <w:p w14:paraId="1CFC1708" w14:textId="77777777" w:rsidR="00454A29" w:rsidRDefault="00454A29"/>
        </w:tc>
        <w:tc>
          <w:tcPr>
            <w:tcW w:w="1701" w:type="dxa"/>
            <w:vAlign w:val="center"/>
          </w:tcPr>
          <w:p w14:paraId="0E0C5F95" w14:textId="77777777" w:rsidR="00454A29" w:rsidRDefault="00454A29">
            <w:pPr>
              <w:pStyle w:val="ConsPlusNormal"/>
              <w:jc w:val="center"/>
            </w:pPr>
            <w:r>
              <w:t>-</w:t>
            </w:r>
          </w:p>
        </w:tc>
        <w:tc>
          <w:tcPr>
            <w:tcW w:w="1814" w:type="dxa"/>
            <w:vAlign w:val="center"/>
          </w:tcPr>
          <w:p w14:paraId="0BBB8A29" w14:textId="77777777" w:rsidR="00454A29" w:rsidRDefault="00454A29">
            <w:pPr>
              <w:pStyle w:val="ConsPlusNormal"/>
            </w:pPr>
          </w:p>
        </w:tc>
        <w:tc>
          <w:tcPr>
            <w:tcW w:w="1701" w:type="dxa"/>
            <w:vAlign w:val="center"/>
          </w:tcPr>
          <w:p w14:paraId="34AFEEC2" w14:textId="77777777" w:rsidR="00454A29" w:rsidRDefault="00454A29">
            <w:pPr>
              <w:pStyle w:val="ConsPlusNormal"/>
            </w:pPr>
          </w:p>
        </w:tc>
        <w:tc>
          <w:tcPr>
            <w:tcW w:w="1701" w:type="dxa"/>
            <w:vAlign w:val="center"/>
          </w:tcPr>
          <w:p w14:paraId="5C67543A" w14:textId="77777777" w:rsidR="00454A29" w:rsidRDefault="00454A29">
            <w:pPr>
              <w:pStyle w:val="ConsPlusNormal"/>
            </w:pPr>
          </w:p>
        </w:tc>
        <w:tc>
          <w:tcPr>
            <w:tcW w:w="1814" w:type="dxa"/>
            <w:vAlign w:val="center"/>
          </w:tcPr>
          <w:p w14:paraId="0317276A" w14:textId="77777777" w:rsidR="00454A29" w:rsidRDefault="00454A29">
            <w:pPr>
              <w:pStyle w:val="ConsPlusNormal"/>
            </w:pPr>
          </w:p>
        </w:tc>
      </w:tr>
      <w:tr w:rsidR="00454A29" w14:paraId="20AD3F54" w14:textId="77777777">
        <w:tc>
          <w:tcPr>
            <w:tcW w:w="567" w:type="dxa"/>
            <w:vMerge/>
          </w:tcPr>
          <w:p w14:paraId="51B98910" w14:textId="77777777" w:rsidR="00454A29" w:rsidRDefault="00454A29"/>
        </w:tc>
        <w:tc>
          <w:tcPr>
            <w:tcW w:w="3345" w:type="dxa"/>
            <w:vMerge/>
          </w:tcPr>
          <w:p w14:paraId="55CC1775" w14:textId="77777777" w:rsidR="00454A29" w:rsidRDefault="00454A29"/>
        </w:tc>
        <w:tc>
          <w:tcPr>
            <w:tcW w:w="1701" w:type="dxa"/>
            <w:vAlign w:val="center"/>
          </w:tcPr>
          <w:p w14:paraId="11ACCBE2" w14:textId="77777777" w:rsidR="00454A29" w:rsidRDefault="00454A29">
            <w:pPr>
              <w:pStyle w:val="ConsPlusNormal"/>
              <w:jc w:val="center"/>
            </w:pPr>
            <w:r>
              <w:t>2026</w:t>
            </w:r>
          </w:p>
        </w:tc>
        <w:tc>
          <w:tcPr>
            <w:tcW w:w="1417" w:type="dxa"/>
            <w:vMerge/>
          </w:tcPr>
          <w:p w14:paraId="2D16518E" w14:textId="77777777" w:rsidR="00454A29" w:rsidRDefault="00454A29"/>
        </w:tc>
        <w:tc>
          <w:tcPr>
            <w:tcW w:w="2204" w:type="dxa"/>
            <w:vMerge/>
          </w:tcPr>
          <w:p w14:paraId="4C436DC1" w14:textId="77777777" w:rsidR="00454A29" w:rsidRDefault="00454A29"/>
        </w:tc>
        <w:tc>
          <w:tcPr>
            <w:tcW w:w="1417" w:type="dxa"/>
            <w:vMerge/>
          </w:tcPr>
          <w:p w14:paraId="51D675A8" w14:textId="77777777" w:rsidR="00454A29" w:rsidRDefault="00454A29"/>
        </w:tc>
        <w:tc>
          <w:tcPr>
            <w:tcW w:w="2324" w:type="dxa"/>
            <w:vMerge/>
          </w:tcPr>
          <w:p w14:paraId="2B6C8121" w14:textId="77777777" w:rsidR="00454A29" w:rsidRDefault="00454A29"/>
        </w:tc>
        <w:tc>
          <w:tcPr>
            <w:tcW w:w="1701" w:type="dxa"/>
            <w:vAlign w:val="center"/>
          </w:tcPr>
          <w:p w14:paraId="7CA29352" w14:textId="77777777" w:rsidR="00454A29" w:rsidRDefault="00454A29">
            <w:pPr>
              <w:pStyle w:val="ConsPlusNormal"/>
              <w:jc w:val="center"/>
            </w:pPr>
            <w:r>
              <w:t>-</w:t>
            </w:r>
          </w:p>
        </w:tc>
        <w:tc>
          <w:tcPr>
            <w:tcW w:w="1814" w:type="dxa"/>
            <w:vAlign w:val="center"/>
          </w:tcPr>
          <w:p w14:paraId="03FAA3CF" w14:textId="77777777" w:rsidR="00454A29" w:rsidRDefault="00454A29">
            <w:pPr>
              <w:pStyle w:val="ConsPlusNormal"/>
            </w:pPr>
          </w:p>
        </w:tc>
        <w:tc>
          <w:tcPr>
            <w:tcW w:w="1701" w:type="dxa"/>
            <w:vAlign w:val="center"/>
          </w:tcPr>
          <w:p w14:paraId="416AE8C8" w14:textId="77777777" w:rsidR="00454A29" w:rsidRDefault="00454A29">
            <w:pPr>
              <w:pStyle w:val="ConsPlusNormal"/>
            </w:pPr>
          </w:p>
        </w:tc>
        <w:tc>
          <w:tcPr>
            <w:tcW w:w="1701" w:type="dxa"/>
            <w:vAlign w:val="center"/>
          </w:tcPr>
          <w:p w14:paraId="3D711D6B" w14:textId="77777777" w:rsidR="00454A29" w:rsidRDefault="00454A29">
            <w:pPr>
              <w:pStyle w:val="ConsPlusNormal"/>
            </w:pPr>
          </w:p>
        </w:tc>
        <w:tc>
          <w:tcPr>
            <w:tcW w:w="1814" w:type="dxa"/>
            <w:vAlign w:val="center"/>
          </w:tcPr>
          <w:p w14:paraId="378266C4" w14:textId="77777777" w:rsidR="00454A29" w:rsidRDefault="00454A29">
            <w:pPr>
              <w:pStyle w:val="ConsPlusNormal"/>
            </w:pPr>
          </w:p>
        </w:tc>
      </w:tr>
      <w:tr w:rsidR="00454A29" w14:paraId="3B8070AB" w14:textId="77777777">
        <w:tc>
          <w:tcPr>
            <w:tcW w:w="567" w:type="dxa"/>
            <w:vMerge w:val="restart"/>
            <w:vAlign w:val="center"/>
          </w:tcPr>
          <w:p w14:paraId="31632FFD" w14:textId="77777777" w:rsidR="00454A29" w:rsidRDefault="00454A29">
            <w:pPr>
              <w:pStyle w:val="ConsPlusNormal"/>
              <w:jc w:val="center"/>
            </w:pPr>
            <w:r>
              <w:t>112</w:t>
            </w:r>
          </w:p>
        </w:tc>
        <w:tc>
          <w:tcPr>
            <w:tcW w:w="3345" w:type="dxa"/>
            <w:vMerge w:val="restart"/>
            <w:vAlign w:val="center"/>
          </w:tcPr>
          <w:p w14:paraId="4534D8C6" w14:textId="77777777" w:rsidR="00454A29" w:rsidRDefault="00454A29">
            <w:pPr>
              <w:pStyle w:val="ConsPlusNormal"/>
              <w:jc w:val="center"/>
            </w:pPr>
            <w:r>
              <w:t>Автодром Профессионального училища N 9 в п. Сангар Кобяйского улуса</w:t>
            </w:r>
          </w:p>
        </w:tc>
        <w:tc>
          <w:tcPr>
            <w:tcW w:w="1701" w:type="dxa"/>
            <w:vAlign w:val="center"/>
          </w:tcPr>
          <w:p w14:paraId="176CF1EF" w14:textId="77777777" w:rsidR="00454A29" w:rsidRDefault="00454A29">
            <w:pPr>
              <w:pStyle w:val="ConsPlusNormal"/>
              <w:jc w:val="center"/>
            </w:pPr>
            <w:r>
              <w:t>Всего:</w:t>
            </w:r>
          </w:p>
        </w:tc>
        <w:tc>
          <w:tcPr>
            <w:tcW w:w="1417" w:type="dxa"/>
            <w:vMerge w:val="restart"/>
            <w:vAlign w:val="center"/>
          </w:tcPr>
          <w:p w14:paraId="498A14AC" w14:textId="77777777" w:rsidR="00454A29" w:rsidRDefault="00454A29">
            <w:pPr>
              <w:pStyle w:val="ConsPlusNormal"/>
              <w:jc w:val="center"/>
            </w:pPr>
            <w:r>
              <w:t>5 000</w:t>
            </w:r>
          </w:p>
        </w:tc>
        <w:tc>
          <w:tcPr>
            <w:tcW w:w="2204" w:type="dxa"/>
            <w:vMerge w:val="restart"/>
            <w:vAlign w:val="center"/>
          </w:tcPr>
          <w:p w14:paraId="5147E2D3" w14:textId="77777777" w:rsidR="00454A29" w:rsidRDefault="00454A29">
            <w:pPr>
              <w:pStyle w:val="ConsPlusNormal"/>
            </w:pPr>
          </w:p>
        </w:tc>
        <w:tc>
          <w:tcPr>
            <w:tcW w:w="1417" w:type="dxa"/>
            <w:vMerge w:val="restart"/>
            <w:vAlign w:val="center"/>
          </w:tcPr>
          <w:p w14:paraId="4DD59869" w14:textId="77777777" w:rsidR="00454A29" w:rsidRDefault="00454A29">
            <w:pPr>
              <w:pStyle w:val="ConsPlusNormal"/>
            </w:pPr>
          </w:p>
        </w:tc>
        <w:tc>
          <w:tcPr>
            <w:tcW w:w="2324" w:type="dxa"/>
            <w:vMerge w:val="restart"/>
            <w:vAlign w:val="center"/>
          </w:tcPr>
          <w:p w14:paraId="1644D33B" w14:textId="77777777" w:rsidR="00454A29" w:rsidRDefault="00454A29">
            <w:pPr>
              <w:pStyle w:val="ConsPlusNormal"/>
              <w:jc w:val="center"/>
            </w:pPr>
            <w:r>
              <w:t xml:space="preserve">Минстрой РС(Я), ГКУ "Служба государственного заказчика Республики </w:t>
            </w:r>
            <w:r>
              <w:lastRenderedPageBreak/>
              <w:t>Саха (Якутия)"</w:t>
            </w:r>
          </w:p>
        </w:tc>
        <w:tc>
          <w:tcPr>
            <w:tcW w:w="1701" w:type="dxa"/>
            <w:vAlign w:val="center"/>
          </w:tcPr>
          <w:p w14:paraId="6968452A" w14:textId="77777777" w:rsidR="00454A29" w:rsidRDefault="00454A29">
            <w:pPr>
              <w:pStyle w:val="ConsPlusNormal"/>
              <w:jc w:val="center"/>
            </w:pPr>
            <w:r>
              <w:lastRenderedPageBreak/>
              <w:t>2 480,00</w:t>
            </w:r>
          </w:p>
        </w:tc>
        <w:tc>
          <w:tcPr>
            <w:tcW w:w="1814" w:type="dxa"/>
            <w:vAlign w:val="center"/>
          </w:tcPr>
          <w:p w14:paraId="60324814" w14:textId="77777777" w:rsidR="00454A29" w:rsidRDefault="00454A29">
            <w:pPr>
              <w:pStyle w:val="ConsPlusNormal"/>
              <w:jc w:val="center"/>
            </w:pPr>
            <w:r>
              <w:t>2 480,00</w:t>
            </w:r>
          </w:p>
        </w:tc>
        <w:tc>
          <w:tcPr>
            <w:tcW w:w="1701" w:type="dxa"/>
            <w:vAlign w:val="center"/>
          </w:tcPr>
          <w:p w14:paraId="04040FB8" w14:textId="77777777" w:rsidR="00454A29" w:rsidRDefault="00454A29">
            <w:pPr>
              <w:pStyle w:val="ConsPlusNormal"/>
              <w:jc w:val="center"/>
            </w:pPr>
            <w:r>
              <w:t>-</w:t>
            </w:r>
          </w:p>
        </w:tc>
        <w:tc>
          <w:tcPr>
            <w:tcW w:w="1701" w:type="dxa"/>
            <w:vAlign w:val="center"/>
          </w:tcPr>
          <w:p w14:paraId="2ADBC143" w14:textId="77777777" w:rsidR="00454A29" w:rsidRDefault="00454A29">
            <w:pPr>
              <w:pStyle w:val="ConsPlusNormal"/>
              <w:jc w:val="center"/>
            </w:pPr>
            <w:r>
              <w:t>-</w:t>
            </w:r>
          </w:p>
        </w:tc>
        <w:tc>
          <w:tcPr>
            <w:tcW w:w="1814" w:type="dxa"/>
            <w:vAlign w:val="center"/>
          </w:tcPr>
          <w:p w14:paraId="4B9202C1" w14:textId="77777777" w:rsidR="00454A29" w:rsidRDefault="00454A29">
            <w:pPr>
              <w:pStyle w:val="ConsPlusNormal"/>
              <w:jc w:val="center"/>
            </w:pPr>
            <w:r>
              <w:t>-</w:t>
            </w:r>
          </w:p>
        </w:tc>
      </w:tr>
      <w:tr w:rsidR="00454A29" w14:paraId="1B002DB9" w14:textId="77777777">
        <w:tc>
          <w:tcPr>
            <w:tcW w:w="567" w:type="dxa"/>
            <w:vMerge/>
          </w:tcPr>
          <w:p w14:paraId="496F1FB2" w14:textId="77777777" w:rsidR="00454A29" w:rsidRDefault="00454A29"/>
        </w:tc>
        <w:tc>
          <w:tcPr>
            <w:tcW w:w="3345" w:type="dxa"/>
            <w:vMerge/>
          </w:tcPr>
          <w:p w14:paraId="471FC5C2" w14:textId="77777777" w:rsidR="00454A29" w:rsidRDefault="00454A29"/>
        </w:tc>
        <w:tc>
          <w:tcPr>
            <w:tcW w:w="1701" w:type="dxa"/>
            <w:vAlign w:val="center"/>
          </w:tcPr>
          <w:p w14:paraId="28F27201" w14:textId="77777777" w:rsidR="00454A29" w:rsidRDefault="00454A29">
            <w:pPr>
              <w:pStyle w:val="ConsPlusNormal"/>
              <w:jc w:val="center"/>
            </w:pPr>
            <w:r>
              <w:t>2020</w:t>
            </w:r>
          </w:p>
        </w:tc>
        <w:tc>
          <w:tcPr>
            <w:tcW w:w="1417" w:type="dxa"/>
            <w:vMerge/>
          </w:tcPr>
          <w:p w14:paraId="780C519F" w14:textId="77777777" w:rsidR="00454A29" w:rsidRDefault="00454A29"/>
        </w:tc>
        <w:tc>
          <w:tcPr>
            <w:tcW w:w="2204" w:type="dxa"/>
            <w:vMerge/>
          </w:tcPr>
          <w:p w14:paraId="0BA448FC" w14:textId="77777777" w:rsidR="00454A29" w:rsidRDefault="00454A29"/>
        </w:tc>
        <w:tc>
          <w:tcPr>
            <w:tcW w:w="1417" w:type="dxa"/>
            <w:vMerge/>
          </w:tcPr>
          <w:p w14:paraId="3890A7B7" w14:textId="77777777" w:rsidR="00454A29" w:rsidRDefault="00454A29"/>
        </w:tc>
        <w:tc>
          <w:tcPr>
            <w:tcW w:w="2324" w:type="dxa"/>
            <w:vMerge/>
          </w:tcPr>
          <w:p w14:paraId="207EEBDA" w14:textId="77777777" w:rsidR="00454A29" w:rsidRDefault="00454A29"/>
        </w:tc>
        <w:tc>
          <w:tcPr>
            <w:tcW w:w="1701" w:type="dxa"/>
            <w:vAlign w:val="center"/>
          </w:tcPr>
          <w:p w14:paraId="402AD1E7" w14:textId="77777777" w:rsidR="00454A29" w:rsidRDefault="00454A29">
            <w:pPr>
              <w:pStyle w:val="ConsPlusNormal"/>
              <w:jc w:val="center"/>
            </w:pPr>
            <w:r>
              <w:t>-</w:t>
            </w:r>
          </w:p>
        </w:tc>
        <w:tc>
          <w:tcPr>
            <w:tcW w:w="1814" w:type="dxa"/>
            <w:vAlign w:val="center"/>
          </w:tcPr>
          <w:p w14:paraId="45C35E3D" w14:textId="77777777" w:rsidR="00454A29" w:rsidRDefault="00454A29">
            <w:pPr>
              <w:pStyle w:val="ConsPlusNormal"/>
            </w:pPr>
          </w:p>
        </w:tc>
        <w:tc>
          <w:tcPr>
            <w:tcW w:w="1701" w:type="dxa"/>
            <w:vAlign w:val="center"/>
          </w:tcPr>
          <w:p w14:paraId="73032366" w14:textId="77777777" w:rsidR="00454A29" w:rsidRDefault="00454A29">
            <w:pPr>
              <w:pStyle w:val="ConsPlusNormal"/>
            </w:pPr>
          </w:p>
        </w:tc>
        <w:tc>
          <w:tcPr>
            <w:tcW w:w="1701" w:type="dxa"/>
            <w:vAlign w:val="center"/>
          </w:tcPr>
          <w:p w14:paraId="5A71E6B5" w14:textId="77777777" w:rsidR="00454A29" w:rsidRDefault="00454A29">
            <w:pPr>
              <w:pStyle w:val="ConsPlusNormal"/>
            </w:pPr>
          </w:p>
        </w:tc>
        <w:tc>
          <w:tcPr>
            <w:tcW w:w="1814" w:type="dxa"/>
            <w:vAlign w:val="center"/>
          </w:tcPr>
          <w:p w14:paraId="5EAC81E6" w14:textId="77777777" w:rsidR="00454A29" w:rsidRDefault="00454A29">
            <w:pPr>
              <w:pStyle w:val="ConsPlusNormal"/>
            </w:pPr>
          </w:p>
        </w:tc>
      </w:tr>
      <w:tr w:rsidR="00454A29" w14:paraId="33747D3B" w14:textId="77777777">
        <w:tc>
          <w:tcPr>
            <w:tcW w:w="567" w:type="dxa"/>
            <w:vMerge/>
          </w:tcPr>
          <w:p w14:paraId="70E6CB86" w14:textId="77777777" w:rsidR="00454A29" w:rsidRDefault="00454A29"/>
        </w:tc>
        <w:tc>
          <w:tcPr>
            <w:tcW w:w="3345" w:type="dxa"/>
            <w:vMerge/>
          </w:tcPr>
          <w:p w14:paraId="611AD228" w14:textId="77777777" w:rsidR="00454A29" w:rsidRDefault="00454A29"/>
        </w:tc>
        <w:tc>
          <w:tcPr>
            <w:tcW w:w="1701" w:type="dxa"/>
            <w:vAlign w:val="center"/>
          </w:tcPr>
          <w:p w14:paraId="5CFD39BF" w14:textId="77777777" w:rsidR="00454A29" w:rsidRDefault="00454A29">
            <w:pPr>
              <w:pStyle w:val="ConsPlusNormal"/>
              <w:jc w:val="center"/>
            </w:pPr>
            <w:r>
              <w:t>2021</w:t>
            </w:r>
          </w:p>
        </w:tc>
        <w:tc>
          <w:tcPr>
            <w:tcW w:w="1417" w:type="dxa"/>
            <w:vMerge/>
          </w:tcPr>
          <w:p w14:paraId="799D3FD5" w14:textId="77777777" w:rsidR="00454A29" w:rsidRDefault="00454A29"/>
        </w:tc>
        <w:tc>
          <w:tcPr>
            <w:tcW w:w="2204" w:type="dxa"/>
            <w:vMerge/>
          </w:tcPr>
          <w:p w14:paraId="20A6BA5A" w14:textId="77777777" w:rsidR="00454A29" w:rsidRDefault="00454A29"/>
        </w:tc>
        <w:tc>
          <w:tcPr>
            <w:tcW w:w="1417" w:type="dxa"/>
            <w:vMerge/>
          </w:tcPr>
          <w:p w14:paraId="3747DECB" w14:textId="77777777" w:rsidR="00454A29" w:rsidRDefault="00454A29"/>
        </w:tc>
        <w:tc>
          <w:tcPr>
            <w:tcW w:w="2324" w:type="dxa"/>
            <w:vMerge/>
          </w:tcPr>
          <w:p w14:paraId="5B3AF241" w14:textId="77777777" w:rsidR="00454A29" w:rsidRDefault="00454A29"/>
        </w:tc>
        <w:tc>
          <w:tcPr>
            <w:tcW w:w="1701" w:type="dxa"/>
            <w:vAlign w:val="center"/>
          </w:tcPr>
          <w:p w14:paraId="7F6C7FA7" w14:textId="77777777" w:rsidR="00454A29" w:rsidRDefault="00454A29">
            <w:pPr>
              <w:pStyle w:val="ConsPlusNormal"/>
              <w:jc w:val="center"/>
            </w:pPr>
            <w:r>
              <w:t>-</w:t>
            </w:r>
          </w:p>
        </w:tc>
        <w:tc>
          <w:tcPr>
            <w:tcW w:w="1814" w:type="dxa"/>
            <w:vAlign w:val="center"/>
          </w:tcPr>
          <w:p w14:paraId="006A13EC" w14:textId="77777777" w:rsidR="00454A29" w:rsidRDefault="00454A29">
            <w:pPr>
              <w:pStyle w:val="ConsPlusNormal"/>
            </w:pPr>
          </w:p>
        </w:tc>
        <w:tc>
          <w:tcPr>
            <w:tcW w:w="1701" w:type="dxa"/>
            <w:vAlign w:val="center"/>
          </w:tcPr>
          <w:p w14:paraId="008AE7BB" w14:textId="77777777" w:rsidR="00454A29" w:rsidRDefault="00454A29">
            <w:pPr>
              <w:pStyle w:val="ConsPlusNormal"/>
            </w:pPr>
          </w:p>
        </w:tc>
        <w:tc>
          <w:tcPr>
            <w:tcW w:w="1701" w:type="dxa"/>
            <w:vAlign w:val="center"/>
          </w:tcPr>
          <w:p w14:paraId="6BE89DBD" w14:textId="77777777" w:rsidR="00454A29" w:rsidRDefault="00454A29">
            <w:pPr>
              <w:pStyle w:val="ConsPlusNormal"/>
            </w:pPr>
          </w:p>
        </w:tc>
        <w:tc>
          <w:tcPr>
            <w:tcW w:w="1814" w:type="dxa"/>
            <w:vAlign w:val="center"/>
          </w:tcPr>
          <w:p w14:paraId="55F858D3" w14:textId="77777777" w:rsidR="00454A29" w:rsidRDefault="00454A29">
            <w:pPr>
              <w:pStyle w:val="ConsPlusNormal"/>
            </w:pPr>
          </w:p>
        </w:tc>
      </w:tr>
      <w:tr w:rsidR="00454A29" w14:paraId="40500F59" w14:textId="77777777">
        <w:tc>
          <w:tcPr>
            <w:tcW w:w="567" w:type="dxa"/>
            <w:vMerge/>
          </w:tcPr>
          <w:p w14:paraId="16F50D76" w14:textId="77777777" w:rsidR="00454A29" w:rsidRDefault="00454A29"/>
        </w:tc>
        <w:tc>
          <w:tcPr>
            <w:tcW w:w="3345" w:type="dxa"/>
            <w:vMerge/>
          </w:tcPr>
          <w:p w14:paraId="52123737" w14:textId="77777777" w:rsidR="00454A29" w:rsidRDefault="00454A29"/>
        </w:tc>
        <w:tc>
          <w:tcPr>
            <w:tcW w:w="1701" w:type="dxa"/>
            <w:vAlign w:val="center"/>
          </w:tcPr>
          <w:p w14:paraId="1FDD2089" w14:textId="77777777" w:rsidR="00454A29" w:rsidRDefault="00454A29">
            <w:pPr>
              <w:pStyle w:val="ConsPlusNormal"/>
              <w:jc w:val="center"/>
            </w:pPr>
            <w:r>
              <w:t>2022</w:t>
            </w:r>
          </w:p>
        </w:tc>
        <w:tc>
          <w:tcPr>
            <w:tcW w:w="1417" w:type="dxa"/>
            <w:vMerge/>
          </w:tcPr>
          <w:p w14:paraId="0135DC4C" w14:textId="77777777" w:rsidR="00454A29" w:rsidRDefault="00454A29"/>
        </w:tc>
        <w:tc>
          <w:tcPr>
            <w:tcW w:w="2204" w:type="dxa"/>
            <w:vMerge/>
          </w:tcPr>
          <w:p w14:paraId="0A510FC0" w14:textId="77777777" w:rsidR="00454A29" w:rsidRDefault="00454A29"/>
        </w:tc>
        <w:tc>
          <w:tcPr>
            <w:tcW w:w="1417" w:type="dxa"/>
            <w:vMerge/>
          </w:tcPr>
          <w:p w14:paraId="62D5FECF" w14:textId="77777777" w:rsidR="00454A29" w:rsidRDefault="00454A29"/>
        </w:tc>
        <w:tc>
          <w:tcPr>
            <w:tcW w:w="2324" w:type="dxa"/>
            <w:vMerge/>
          </w:tcPr>
          <w:p w14:paraId="469D2A2C" w14:textId="77777777" w:rsidR="00454A29" w:rsidRDefault="00454A29"/>
        </w:tc>
        <w:tc>
          <w:tcPr>
            <w:tcW w:w="1701" w:type="dxa"/>
            <w:vAlign w:val="center"/>
          </w:tcPr>
          <w:p w14:paraId="1667A969" w14:textId="77777777" w:rsidR="00454A29" w:rsidRDefault="00454A29">
            <w:pPr>
              <w:pStyle w:val="ConsPlusNormal"/>
              <w:jc w:val="center"/>
            </w:pPr>
            <w:r>
              <w:t>-</w:t>
            </w:r>
          </w:p>
        </w:tc>
        <w:tc>
          <w:tcPr>
            <w:tcW w:w="1814" w:type="dxa"/>
            <w:vAlign w:val="center"/>
          </w:tcPr>
          <w:p w14:paraId="21DAE94D" w14:textId="77777777" w:rsidR="00454A29" w:rsidRDefault="00454A29">
            <w:pPr>
              <w:pStyle w:val="ConsPlusNormal"/>
              <w:jc w:val="center"/>
            </w:pPr>
            <w:r>
              <w:t>-</w:t>
            </w:r>
          </w:p>
        </w:tc>
        <w:tc>
          <w:tcPr>
            <w:tcW w:w="1701" w:type="dxa"/>
            <w:vAlign w:val="center"/>
          </w:tcPr>
          <w:p w14:paraId="663505BD" w14:textId="77777777" w:rsidR="00454A29" w:rsidRDefault="00454A29">
            <w:pPr>
              <w:pStyle w:val="ConsPlusNormal"/>
            </w:pPr>
          </w:p>
        </w:tc>
        <w:tc>
          <w:tcPr>
            <w:tcW w:w="1701" w:type="dxa"/>
            <w:vAlign w:val="center"/>
          </w:tcPr>
          <w:p w14:paraId="1B2A0A8A" w14:textId="77777777" w:rsidR="00454A29" w:rsidRDefault="00454A29">
            <w:pPr>
              <w:pStyle w:val="ConsPlusNormal"/>
            </w:pPr>
          </w:p>
        </w:tc>
        <w:tc>
          <w:tcPr>
            <w:tcW w:w="1814" w:type="dxa"/>
            <w:vAlign w:val="center"/>
          </w:tcPr>
          <w:p w14:paraId="36E312AC" w14:textId="77777777" w:rsidR="00454A29" w:rsidRDefault="00454A29">
            <w:pPr>
              <w:pStyle w:val="ConsPlusNormal"/>
            </w:pPr>
          </w:p>
        </w:tc>
      </w:tr>
      <w:tr w:rsidR="00454A29" w14:paraId="2456D07B" w14:textId="77777777">
        <w:tc>
          <w:tcPr>
            <w:tcW w:w="567" w:type="dxa"/>
            <w:vMerge/>
          </w:tcPr>
          <w:p w14:paraId="5A69B261" w14:textId="77777777" w:rsidR="00454A29" w:rsidRDefault="00454A29"/>
        </w:tc>
        <w:tc>
          <w:tcPr>
            <w:tcW w:w="3345" w:type="dxa"/>
            <w:vMerge/>
          </w:tcPr>
          <w:p w14:paraId="23ED2668" w14:textId="77777777" w:rsidR="00454A29" w:rsidRDefault="00454A29"/>
        </w:tc>
        <w:tc>
          <w:tcPr>
            <w:tcW w:w="1701" w:type="dxa"/>
            <w:vAlign w:val="center"/>
          </w:tcPr>
          <w:p w14:paraId="5BE71E39" w14:textId="77777777" w:rsidR="00454A29" w:rsidRDefault="00454A29">
            <w:pPr>
              <w:pStyle w:val="ConsPlusNormal"/>
              <w:jc w:val="center"/>
            </w:pPr>
            <w:r>
              <w:t>2023</w:t>
            </w:r>
          </w:p>
        </w:tc>
        <w:tc>
          <w:tcPr>
            <w:tcW w:w="1417" w:type="dxa"/>
            <w:vMerge/>
          </w:tcPr>
          <w:p w14:paraId="4C7F649F" w14:textId="77777777" w:rsidR="00454A29" w:rsidRDefault="00454A29"/>
        </w:tc>
        <w:tc>
          <w:tcPr>
            <w:tcW w:w="2204" w:type="dxa"/>
            <w:vMerge/>
          </w:tcPr>
          <w:p w14:paraId="4E440186" w14:textId="77777777" w:rsidR="00454A29" w:rsidRDefault="00454A29"/>
        </w:tc>
        <w:tc>
          <w:tcPr>
            <w:tcW w:w="1417" w:type="dxa"/>
            <w:vMerge/>
          </w:tcPr>
          <w:p w14:paraId="21FB62C0" w14:textId="77777777" w:rsidR="00454A29" w:rsidRDefault="00454A29"/>
        </w:tc>
        <w:tc>
          <w:tcPr>
            <w:tcW w:w="2324" w:type="dxa"/>
            <w:vMerge/>
          </w:tcPr>
          <w:p w14:paraId="440816E6" w14:textId="77777777" w:rsidR="00454A29" w:rsidRDefault="00454A29"/>
        </w:tc>
        <w:tc>
          <w:tcPr>
            <w:tcW w:w="1701" w:type="dxa"/>
            <w:vAlign w:val="center"/>
          </w:tcPr>
          <w:p w14:paraId="05634369" w14:textId="77777777" w:rsidR="00454A29" w:rsidRDefault="00454A29">
            <w:pPr>
              <w:pStyle w:val="ConsPlusNormal"/>
              <w:jc w:val="center"/>
            </w:pPr>
            <w:r>
              <w:t>2 480,00</w:t>
            </w:r>
          </w:p>
        </w:tc>
        <w:tc>
          <w:tcPr>
            <w:tcW w:w="1814" w:type="dxa"/>
            <w:vAlign w:val="center"/>
          </w:tcPr>
          <w:p w14:paraId="4C1DBC0E" w14:textId="77777777" w:rsidR="00454A29" w:rsidRDefault="00454A29">
            <w:pPr>
              <w:pStyle w:val="ConsPlusNormal"/>
              <w:jc w:val="center"/>
            </w:pPr>
            <w:r>
              <w:t>2 480,00</w:t>
            </w:r>
          </w:p>
        </w:tc>
        <w:tc>
          <w:tcPr>
            <w:tcW w:w="1701" w:type="dxa"/>
            <w:vAlign w:val="center"/>
          </w:tcPr>
          <w:p w14:paraId="2BC445AC" w14:textId="77777777" w:rsidR="00454A29" w:rsidRDefault="00454A29">
            <w:pPr>
              <w:pStyle w:val="ConsPlusNormal"/>
            </w:pPr>
          </w:p>
        </w:tc>
        <w:tc>
          <w:tcPr>
            <w:tcW w:w="1701" w:type="dxa"/>
            <w:vAlign w:val="center"/>
          </w:tcPr>
          <w:p w14:paraId="23B19022" w14:textId="77777777" w:rsidR="00454A29" w:rsidRDefault="00454A29">
            <w:pPr>
              <w:pStyle w:val="ConsPlusNormal"/>
            </w:pPr>
          </w:p>
        </w:tc>
        <w:tc>
          <w:tcPr>
            <w:tcW w:w="1814" w:type="dxa"/>
            <w:vAlign w:val="center"/>
          </w:tcPr>
          <w:p w14:paraId="6DF3281D" w14:textId="77777777" w:rsidR="00454A29" w:rsidRDefault="00454A29">
            <w:pPr>
              <w:pStyle w:val="ConsPlusNormal"/>
            </w:pPr>
          </w:p>
        </w:tc>
      </w:tr>
      <w:tr w:rsidR="00454A29" w14:paraId="2C743656" w14:textId="77777777">
        <w:tc>
          <w:tcPr>
            <w:tcW w:w="567" w:type="dxa"/>
            <w:vMerge/>
          </w:tcPr>
          <w:p w14:paraId="3188C08C" w14:textId="77777777" w:rsidR="00454A29" w:rsidRDefault="00454A29"/>
        </w:tc>
        <w:tc>
          <w:tcPr>
            <w:tcW w:w="3345" w:type="dxa"/>
            <w:vMerge/>
          </w:tcPr>
          <w:p w14:paraId="664F87BC" w14:textId="77777777" w:rsidR="00454A29" w:rsidRDefault="00454A29"/>
        </w:tc>
        <w:tc>
          <w:tcPr>
            <w:tcW w:w="1701" w:type="dxa"/>
            <w:vAlign w:val="center"/>
          </w:tcPr>
          <w:p w14:paraId="14171F13" w14:textId="77777777" w:rsidR="00454A29" w:rsidRDefault="00454A29">
            <w:pPr>
              <w:pStyle w:val="ConsPlusNormal"/>
              <w:jc w:val="center"/>
            </w:pPr>
            <w:r>
              <w:t>2024</w:t>
            </w:r>
          </w:p>
        </w:tc>
        <w:tc>
          <w:tcPr>
            <w:tcW w:w="1417" w:type="dxa"/>
            <w:vMerge/>
          </w:tcPr>
          <w:p w14:paraId="560FE555" w14:textId="77777777" w:rsidR="00454A29" w:rsidRDefault="00454A29"/>
        </w:tc>
        <w:tc>
          <w:tcPr>
            <w:tcW w:w="2204" w:type="dxa"/>
            <w:vMerge/>
          </w:tcPr>
          <w:p w14:paraId="3ADDC805" w14:textId="77777777" w:rsidR="00454A29" w:rsidRDefault="00454A29"/>
        </w:tc>
        <w:tc>
          <w:tcPr>
            <w:tcW w:w="1417" w:type="dxa"/>
            <w:vMerge/>
          </w:tcPr>
          <w:p w14:paraId="694F2EFF" w14:textId="77777777" w:rsidR="00454A29" w:rsidRDefault="00454A29"/>
        </w:tc>
        <w:tc>
          <w:tcPr>
            <w:tcW w:w="2324" w:type="dxa"/>
            <w:vMerge/>
          </w:tcPr>
          <w:p w14:paraId="1DCADBE8" w14:textId="77777777" w:rsidR="00454A29" w:rsidRDefault="00454A29"/>
        </w:tc>
        <w:tc>
          <w:tcPr>
            <w:tcW w:w="1701" w:type="dxa"/>
            <w:vAlign w:val="center"/>
          </w:tcPr>
          <w:p w14:paraId="0A632302" w14:textId="77777777" w:rsidR="00454A29" w:rsidRDefault="00454A29">
            <w:pPr>
              <w:pStyle w:val="ConsPlusNormal"/>
              <w:jc w:val="center"/>
            </w:pPr>
            <w:r>
              <w:t>-</w:t>
            </w:r>
          </w:p>
        </w:tc>
        <w:tc>
          <w:tcPr>
            <w:tcW w:w="1814" w:type="dxa"/>
            <w:vAlign w:val="center"/>
          </w:tcPr>
          <w:p w14:paraId="1842C165" w14:textId="77777777" w:rsidR="00454A29" w:rsidRDefault="00454A29">
            <w:pPr>
              <w:pStyle w:val="ConsPlusNormal"/>
            </w:pPr>
          </w:p>
        </w:tc>
        <w:tc>
          <w:tcPr>
            <w:tcW w:w="1701" w:type="dxa"/>
            <w:vAlign w:val="center"/>
          </w:tcPr>
          <w:p w14:paraId="540205F9" w14:textId="77777777" w:rsidR="00454A29" w:rsidRDefault="00454A29">
            <w:pPr>
              <w:pStyle w:val="ConsPlusNormal"/>
            </w:pPr>
          </w:p>
        </w:tc>
        <w:tc>
          <w:tcPr>
            <w:tcW w:w="1701" w:type="dxa"/>
            <w:vAlign w:val="center"/>
          </w:tcPr>
          <w:p w14:paraId="6CAC09D4" w14:textId="77777777" w:rsidR="00454A29" w:rsidRDefault="00454A29">
            <w:pPr>
              <w:pStyle w:val="ConsPlusNormal"/>
            </w:pPr>
          </w:p>
        </w:tc>
        <w:tc>
          <w:tcPr>
            <w:tcW w:w="1814" w:type="dxa"/>
            <w:vAlign w:val="center"/>
          </w:tcPr>
          <w:p w14:paraId="1F020B32" w14:textId="77777777" w:rsidR="00454A29" w:rsidRDefault="00454A29">
            <w:pPr>
              <w:pStyle w:val="ConsPlusNormal"/>
            </w:pPr>
          </w:p>
        </w:tc>
      </w:tr>
      <w:tr w:rsidR="00454A29" w14:paraId="71929547" w14:textId="77777777">
        <w:tc>
          <w:tcPr>
            <w:tcW w:w="567" w:type="dxa"/>
            <w:vMerge/>
          </w:tcPr>
          <w:p w14:paraId="01554B6D" w14:textId="77777777" w:rsidR="00454A29" w:rsidRDefault="00454A29"/>
        </w:tc>
        <w:tc>
          <w:tcPr>
            <w:tcW w:w="3345" w:type="dxa"/>
            <w:vMerge/>
          </w:tcPr>
          <w:p w14:paraId="403B4155" w14:textId="77777777" w:rsidR="00454A29" w:rsidRDefault="00454A29"/>
        </w:tc>
        <w:tc>
          <w:tcPr>
            <w:tcW w:w="1701" w:type="dxa"/>
            <w:vAlign w:val="center"/>
          </w:tcPr>
          <w:p w14:paraId="3C461E37" w14:textId="77777777" w:rsidR="00454A29" w:rsidRDefault="00454A29">
            <w:pPr>
              <w:pStyle w:val="ConsPlusNormal"/>
              <w:jc w:val="center"/>
            </w:pPr>
            <w:r>
              <w:t>2025</w:t>
            </w:r>
          </w:p>
        </w:tc>
        <w:tc>
          <w:tcPr>
            <w:tcW w:w="1417" w:type="dxa"/>
            <w:vMerge/>
          </w:tcPr>
          <w:p w14:paraId="6901FC18" w14:textId="77777777" w:rsidR="00454A29" w:rsidRDefault="00454A29"/>
        </w:tc>
        <w:tc>
          <w:tcPr>
            <w:tcW w:w="2204" w:type="dxa"/>
            <w:vMerge/>
          </w:tcPr>
          <w:p w14:paraId="0C3115F0" w14:textId="77777777" w:rsidR="00454A29" w:rsidRDefault="00454A29"/>
        </w:tc>
        <w:tc>
          <w:tcPr>
            <w:tcW w:w="1417" w:type="dxa"/>
            <w:vMerge/>
          </w:tcPr>
          <w:p w14:paraId="52235D45" w14:textId="77777777" w:rsidR="00454A29" w:rsidRDefault="00454A29"/>
        </w:tc>
        <w:tc>
          <w:tcPr>
            <w:tcW w:w="2324" w:type="dxa"/>
            <w:vMerge/>
          </w:tcPr>
          <w:p w14:paraId="31BE0C0A" w14:textId="77777777" w:rsidR="00454A29" w:rsidRDefault="00454A29"/>
        </w:tc>
        <w:tc>
          <w:tcPr>
            <w:tcW w:w="1701" w:type="dxa"/>
            <w:vAlign w:val="center"/>
          </w:tcPr>
          <w:p w14:paraId="62E0ABA8" w14:textId="77777777" w:rsidR="00454A29" w:rsidRDefault="00454A29">
            <w:pPr>
              <w:pStyle w:val="ConsPlusNormal"/>
              <w:jc w:val="center"/>
            </w:pPr>
            <w:r>
              <w:t>-</w:t>
            </w:r>
          </w:p>
        </w:tc>
        <w:tc>
          <w:tcPr>
            <w:tcW w:w="1814" w:type="dxa"/>
            <w:vAlign w:val="center"/>
          </w:tcPr>
          <w:p w14:paraId="60262592" w14:textId="77777777" w:rsidR="00454A29" w:rsidRDefault="00454A29">
            <w:pPr>
              <w:pStyle w:val="ConsPlusNormal"/>
            </w:pPr>
          </w:p>
        </w:tc>
        <w:tc>
          <w:tcPr>
            <w:tcW w:w="1701" w:type="dxa"/>
            <w:vAlign w:val="center"/>
          </w:tcPr>
          <w:p w14:paraId="327C2E34" w14:textId="77777777" w:rsidR="00454A29" w:rsidRDefault="00454A29">
            <w:pPr>
              <w:pStyle w:val="ConsPlusNormal"/>
            </w:pPr>
          </w:p>
        </w:tc>
        <w:tc>
          <w:tcPr>
            <w:tcW w:w="1701" w:type="dxa"/>
            <w:vAlign w:val="center"/>
          </w:tcPr>
          <w:p w14:paraId="61054466" w14:textId="77777777" w:rsidR="00454A29" w:rsidRDefault="00454A29">
            <w:pPr>
              <w:pStyle w:val="ConsPlusNormal"/>
            </w:pPr>
          </w:p>
        </w:tc>
        <w:tc>
          <w:tcPr>
            <w:tcW w:w="1814" w:type="dxa"/>
            <w:vAlign w:val="center"/>
          </w:tcPr>
          <w:p w14:paraId="221DF026" w14:textId="77777777" w:rsidR="00454A29" w:rsidRDefault="00454A29">
            <w:pPr>
              <w:pStyle w:val="ConsPlusNormal"/>
            </w:pPr>
          </w:p>
        </w:tc>
      </w:tr>
      <w:tr w:rsidR="00454A29" w14:paraId="3F1B24FA" w14:textId="77777777">
        <w:tc>
          <w:tcPr>
            <w:tcW w:w="567" w:type="dxa"/>
            <w:vMerge/>
          </w:tcPr>
          <w:p w14:paraId="1F75BCD5" w14:textId="77777777" w:rsidR="00454A29" w:rsidRDefault="00454A29"/>
        </w:tc>
        <w:tc>
          <w:tcPr>
            <w:tcW w:w="3345" w:type="dxa"/>
            <w:vMerge/>
          </w:tcPr>
          <w:p w14:paraId="02D9EA8F" w14:textId="77777777" w:rsidR="00454A29" w:rsidRDefault="00454A29"/>
        </w:tc>
        <w:tc>
          <w:tcPr>
            <w:tcW w:w="1701" w:type="dxa"/>
            <w:vAlign w:val="center"/>
          </w:tcPr>
          <w:p w14:paraId="7D0825BF" w14:textId="77777777" w:rsidR="00454A29" w:rsidRDefault="00454A29">
            <w:pPr>
              <w:pStyle w:val="ConsPlusNormal"/>
              <w:jc w:val="center"/>
            </w:pPr>
            <w:r>
              <w:t>2026</w:t>
            </w:r>
          </w:p>
        </w:tc>
        <w:tc>
          <w:tcPr>
            <w:tcW w:w="1417" w:type="dxa"/>
            <w:vMerge/>
          </w:tcPr>
          <w:p w14:paraId="3C9CFA43" w14:textId="77777777" w:rsidR="00454A29" w:rsidRDefault="00454A29"/>
        </w:tc>
        <w:tc>
          <w:tcPr>
            <w:tcW w:w="2204" w:type="dxa"/>
            <w:vMerge/>
          </w:tcPr>
          <w:p w14:paraId="6D39C011" w14:textId="77777777" w:rsidR="00454A29" w:rsidRDefault="00454A29"/>
        </w:tc>
        <w:tc>
          <w:tcPr>
            <w:tcW w:w="1417" w:type="dxa"/>
            <w:vMerge/>
          </w:tcPr>
          <w:p w14:paraId="5B8A434F" w14:textId="77777777" w:rsidR="00454A29" w:rsidRDefault="00454A29"/>
        </w:tc>
        <w:tc>
          <w:tcPr>
            <w:tcW w:w="2324" w:type="dxa"/>
            <w:vMerge/>
          </w:tcPr>
          <w:p w14:paraId="624526B5" w14:textId="77777777" w:rsidR="00454A29" w:rsidRDefault="00454A29"/>
        </w:tc>
        <w:tc>
          <w:tcPr>
            <w:tcW w:w="1701" w:type="dxa"/>
            <w:vAlign w:val="center"/>
          </w:tcPr>
          <w:p w14:paraId="11EAD502" w14:textId="77777777" w:rsidR="00454A29" w:rsidRDefault="00454A29">
            <w:pPr>
              <w:pStyle w:val="ConsPlusNormal"/>
              <w:jc w:val="center"/>
            </w:pPr>
            <w:r>
              <w:t>-</w:t>
            </w:r>
          </w:p>
        </w:tc>
        <w:tc>
          <w:tcPr>
            <w:tcW w:w="1814" w:type="dxa"/>
            <w:vAlign w:val="center"/>
          </w:tcPr>
          <w:p w14:paraId="78FA6CBD" w14:textId="77777777" w:rsidR="00454A29" w:rsidRDefault="00454A29">
            <w:pPr>
              <w:pStyle w:val="ConsPlusNormal"/>
            </w:pPr>
          </w:p>
        </w:tc>
        <w:tc>
          <w:tcPr>
            <w:tcW w:w="1701" w:type="dxa"/>
            <w:vAlign w:val="center"/>
          </w:tcPr>
          <w:p w14:paraId="3A2A85A6" w14:textId="77777777" w:rsidR="00454A29" w:rsidRDefault="00454A29">
            <w:pPr>
              <w:pStyle w:val="ConsPlusNormal"/>
            </w:pPr>
          </w:p>
        </w:tc>
        <w:tc>
          <w:tcPr>
            <w:tcW w:w="1701" w:type="dxa"/>
            <w:vAlign w:val="center"/>
          </w:tcPr>
          <w:p w14:paraId="0C55F5DE" w14:textId="77777777" w:rsidR="00454A29" w:rsidRDefault="00454A29">
            <w:pPr>
              <w:pStyle w:val="ConsPlusNormal"/>
            </w:pPr>
          </w:p>
        </w:tc>
        <w:tc>
          <w:tcPr>
            <w:tcW w:w="1814" w:type="dxa"/>
            <w:vAlign w:val="center"/>
          </w:tcPr>
          <w:p w14:paraId="58C600D7" w14:textId="77777777" w:rsidR="00454A29" w:rsidRDefault="00454A29">
            <w:pPr>
              <w:pStyle w:val="ConsPlusNormal"/>
            </w:pPr>
          </w:p>
        </w:tc>
      </w:tr>
      <w:tr w:rsidR="00454A29" w14:paraId="2CFE0A72" w14:textId="77777777">
        <w:tc>
          <w:tcPr>
            <w:tcW w:w="567" w:type="dxa"/>
            <w:vMerge w:val="restart"/>
            <w:vAlign w:val="center"/>
          </w:tcPr>
          <w:p w14:paraId="0F6661BE" w14:textId="77777777" w:rsidR="00454A29" w:rsidRDefault="00454A29">
            <w:pPr>
              <w:pStyle w:val="ConsPlusNormal"/>
              <w:jc w:val="center"/>
            </w:pPr>
            <w:r>
              <w:t>113</w:t>
            </w:r>
          </w:p>
        </w:tc>
        <w:tc>
          <w:tcPr>
            <w:tcW w:w="3345" w:type="dxa"/>
            <w:vMerge w:val="restart"/>
            <w:vAlign w:val="center"/>
          </w:tcPr>
          <w:p w14:paraId="65C05E1C" w14:textId="77777777" w:rsidR="00454A29" w:rsidRDefault="00454A29">
            <w:pPr>
              <w:pStyle w:val="ConsPlusNormal"/>
              <w:jc w:val="center"/>
            </w:pPr>
            <w:r>
              <w:t>Автодром Покровского колледжа в г. Покровск Хангаласского улуса</w:t>
            </w:r>
          </w:p>
        </w:tc>
        <w:tc>
          <w:tcPr>
            <w:tcW w:w="1701" w:type="dxa"/>
            <w:vAlign w:val="center"/>
          </w:tcPr>
          <w:p w14:paraId="1FE738D5" w14:textId="77777777" w:rsidR="00454A29" w:rsidRDefault="00454A29">
            <w:pPr>
              <w:pStyle w:val="ConsPlusNormal"/>
              <w:jc w:val="center"/>
            </w:pPr>
            <w:r>
              <w:t>Всего:</w:t>
            </w:r>
          </w:p>
        </w:tc>
        <w:tc>
          <w:tcPr>
            <w:tcW w:w="1417" w:type="dxa"/>
            <w:vMerge w:val="restart"/>
            <w:vAlign w:val="center"/>
          </w:tcPr>
          <w:p w14:paraId="047C02FF" w14:textId="77777777" w:rsidR="00454A29" w:rsidRDefault="00454A29">
            <w:pPr>
              <w:pStyle w:val="ConsPlusNormal"/>
              <w:jc w:val="center"/>
            </w:pPr>
            <w:r>
              <w:t>5 000</w:t>
            </w:r>
          </w:p>
        </w:tc>
        <w:tc>
          <w:tcPr>
            <w:tcW w:w="2204" w:type="dxa"/>
            <w:vMerge w:val="restart"/>
            <w:vAlign w:val="center"/>
          </w:tcPr>
          <w:p w14:paraId="248BAC48" w14:textId="77777777" w:rsidR="00454A29" w:rsidRDefault="00454A29">
            <w:pPr>
              <w:pStyle w:val="ConsPlusNormal"/>
            </w:pPr>
          </w:p>
        </w:tc>
        <w:tc>
          <w:tcPr>
            <w:tcW w:w="1417" w:type="dxa"/>
            <w:vMerge w:val="restart"/>
            <w:vAlign w:val="center"/>
          </w:tcPr>
          <w:p w14:paraId="1D5D101D" w14:textId="77777777" w:rsidR="00454A29" w:rsidRDefault="00454A29">
            <w:pPr>
              <w:pStyle w:val="ConsPlusNormal"/>
            </w:pPr>
          </w:p>
        </w:tc>
        <w:tc>
          <w:tcPr>
            <w:tcW w:w="2324" w:type="dxa"/>
            <w:vMerge w:val="restart"/>
            <w:vAlign w:val="center"/>
          </w:tcPr>
          <w:p w14:paraId="163FE6BB"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2C833E45" w14:textId="77777777" w:rsidR="00454A29" w:rsidRDefault="00454A29">
            <w:pPr>
              <w:pStyle w:val="ConsPlusNormal"/>
              <w:jc w:val="center"/>
            </w:pPr>
            <w:r>
              <w:t>2 480,00</w:t>
            </w:r>
          </w:p>
        </w:tc>
        <w:tc>
          <w:tcPr>
            <w:tcW w:w="1814" w:type="dxa"/>
            <w:vAlign w:val="center"/>
          </w:tcPr>
          <w:p w14:paraId="41F8A898" w14:textId="77777777" w:rsidR="00454A29" w:rsidRDefault="00454A29">
            <w:pPr>
              <w:pStyle w:val="ConsPlusNormal"/>
              <w:jc w:val="center"/>
            </w:pPr>
            <w:r>
              <w:t>2 480,00</w:t>
            </w:r>
          </w:p>
        </w:tc>
        <w:tc>
          <w:tcPr>
            <w:tcW w:w="1701" w:type="dxa"/>
            <w:vAlign w:val="center"/>
          </w:tcPr>
          <w:p w14:paraId="7B68ACA7" w14:textId="77777777" w:rsidR="00454A29" w:rsidRDefault="00454A29">
            <w:pPr>
              <w:pStyle w:val="ConsPlusNormal"/>
              <w:jc w:val="center"/>
            </w:pPr>
            <w:r>
              <w:t>-</w:t>
            </w:r>
          </w:p>
        </w:tc>
        <w:tc>
          <w:tcPr>
            <w:tcW w:w="1701" w:type="dxa"/>
            <w:vAlign w:val="center"/>
          </w:tcPr>
          <w:p w14:paraId="79B46FE9" w14:textId="77777777" w:rsidR="00454A29" w:rsidRDefault="00454A29">
            <w:pPr>
              <w:pStyle w:val="ConsPlusNormal"/>
              <w:jc w:val="center"/>
            </w:pPr>
            <w:r>
              <w:t>-</w:t>
            </w:r>
          </w:p>
        </w:tc>
        <w:tc>
          <w:tcPr>
            <w:tcW w:w="1814" w:type="dxa"/>
            <w:vAlign w:val="center"/>
          </w:tcPr>
          <w:p w14:paraId="1A36378E" w14:textId="77777777" w:rsidR="00454A29" w:rsidRDefault="00454A29">
            <w:pPr>
              <w:pStyle w:val="ConsPlusNormal"/>
              <w:jc w:val="center"/>
            </w:pPr>
            <w:r>
              <w:t>-</w:t>
            </w:r>
          </w:p>
        </w:tc>
      </w:tr>
      <w:tr w:rsidR="00454A29" w14:paraId="407A4BDC" w14:textId="77777777">
        <w:tc>
          <w:tcPr>
            <w:tcW w:w="567" w:type="dxa"/>
            <w:vMerge/>
          </w:tcPr>
          <w:p w14:paraId="28E3724F" w14:textId="77777777" w:rsidR="00454A29" w:rsidRDefault="00454A29"/>
        </w:tc>
        <w:tc>
          <w:tcPr>
            <w:tcW w:w="3345" w:type="dxa"/>
            <w:vMerge/>
          </w:tcPr>
          <w:p w14:paraId="38A511B3" w14:textId="77777777" w:rsidR="00454A29" w:rsidRDefault="00454A29"/>
        </w:tc>
        <w:tc>
          <w:tcPr>
            <w:tcW w:w="1701" w:type="dxa"/>
            <w:vAlign w:val="center"/>
          </w:tcPr>
          <w:p w14:paraId="2FA4C111" w14:textId="77777777" w:rsidR="00454A29" w:rsidRDefault="00454A29">
            <w:pPr>
              <w:pStyle w:val="ConsPlusNormal"/>
              <w:jc w:val="center"/>
            </w:pPr>
            <w:r>
              <w:t>2020</w:t>
            </w:r>
          </w:p>
        </w:tc>
        <w:tc>
          <w:tcPr>
            <w:tcW w:w="1417" w:type="dxa"/>
            <w:vMerge/>
          </w:tcPr>
          <w:p w14:paraId="5E8F7620" w14:textId="77777777" w:rsidR="00454A29" w:rsidRDefault="00454A29"/>
        </w:tc>
        <w:tc>
          <w:tcPr>
            <w:tcW w:w="2204" w:type="dxa"/>
            <w:vMerge/>
          </w:tcPr>
          <w:p w14:paraId="40B3985F" w14:textId="77777777" w:rsidR="00454A29" w:rsidRDefault="00454A29"/>
        </w:tc>
        <w:tc>
          <w:tcPr>
            <w:tcW w:w="1417" w:type="dxa"/>
            <w:vMerge/>
          </w:tcPr>
          <w:p w14:paraId="44E939D2" w14:textId="77777777" w:rsidR="00454A29" w:rsidRDefault="00454A29"/>
        </w:tc>
        <w:tc>
          <w:tcPr>
            <w:tcW w:w="2324" w:type="dxa"/>
            <w:vMerge/>
          </w:tcPr>
          <w:p w14:paraId="425C07CD" w14:textId="77777777" w:rsidR="00454A29" w:rsidRDefault="00454A29"/>
        </w:tc>
        <w:tc>
          <w:tcPr>
            <w:tcW w:w="1701" w:type="dxa"/>
            <w:vAlign w:val="center"/>
          </w:tcPr>
          <w:p w14:paraId="5FA42D7F" w14:textId="77777777" w:rsidR="00454A29" w:rsidRDefault="00454A29">
            <w:pPr>
              <w:pStyle w:val="ConsPlusNormal"/>
              <w:jc w:val="center"/>
            </w:pPr>
            <w:r>
              <w:t>-</w:t>
            </w:r>
          </w:p>
        </w:tc>
        <w:tc>
          <w:tcPr>
            <w:tcW w:w="1814" w:type="dxa"/>
            <w:vAlign w:val="center"/>
          </w:tcPr>
          <w:p w14:paraId="38723BCD" w14:textId="77777777" w:rsidR="00454A29" w:rsidRDefault="00454A29">
            <w:pPr>
              <w:pStyle w:val="ConsPlusNormal"/>
            </w:pPr>
          </w:p>
        </w:tc>
        <w:tc>
          <w:tcPr>
            <w:tcW w:w="1701" w:type="dxa"/>
            <w:vAlign w:val="center"/>
          </w:tcPr>
          <w:p w14:paraId="116CF913" w14:textId="77777777" w:rsidR="00454A29" w:rsidRDefault="00454A29">
            <w:pPr>
              <w:pStyle w:val="ConsPlusNormal"/>
            </w:pPr>
          </w:p>
        </w:tc>
        <w:tc>
          <w:tcPr>
            <w:tcW w:w="1701" w:type="dxa"/>
            <w:vAlign w:val="center"/>
          </w:tcPr>
          <w:p w14:paraId="1C9BF9F6" w14:textId="77777777" w:rsidR="00454A29" w:rsidRDefault="00454A29">
            <w:pPr>
              <w:pStyle w:val="ConsPlusNormal"/>
            </w:pPr>
          </w:p>
        </w:tc>
        <w:tc>
          <w:tcPr>
            <w:tcW w:w="1814" w:type="dxa"/>
            <w:vAlign w:val="center"/>
          </w:tcPr>
          <w:p w14:paraId="26D124B7" w14:textId="77777777" w:rsidR="00454A29" w:rsidRDefault="00454A29">
            <w:pPr>
              <w:pStyle w:val="ConsPlusNormal"/>
            </w:pPr>
          </w:p>
        </w:tc>
      </w:tr>
      <w:tr w:rsidR="00454A29" w14:paraId="7F2FA152" w14:textId="77777777">
        <w:tc>
          <w:tcPr>
            <w:tcW w:w="567" w:type="dxa"/>
            <w:vMerge/>
          </w:tcPr>
          <w:p w14:paraId="2EBD066C" w14:textId="77777777" w:rsidR="00454A29" w:rsidRDefault="00454A29"/>
        </w:tc>
        <w:tc>
          <w:tcPr>
            <w:tcW w:w="3345" w:type="dxa"/>
            <w:vMerge/>
          </w:tcPr>
          <w:p w14:paraId="24AC2C5C" w14:textId="77777777" w:rsidR="00454A29" w:rsidRDefault="00454A29"/>
        </w:tc>
        <w:tc>
          <w:tcPr>
            <w:tcW w:w="1701" w:type="dxa"/>
            <w:vAlign w:val="center"/>
          </w:tcPr>
          <w:p w14:paraId="7C2E9810" w14:textId="77777777" w:rsidR="00454A29" w:rsidRDefault="00454A29">
            <w:pPr>
              <w:pStyle w:val="ConsPlusNormal"/>
              <w:jc w:val="center"/>
            </w:pPr>
            <w:r>
              <w:t>2021</w:t>
            </w:r>
          </w:p>
        </w:tc>
        <w:tc>
          <w:tcPr>
            <w:tcW w:w="1417" w:type="dxa"/>
            <w:vMerge/>
          </w:tcPr>
          <w:p w14:paraId="228CAB6E" w14:textId="77777777" w:rsidR="00454A29" w:rsidRDefault="00454A29"/>
        </w:tc>
        <w:tc>
          <w:tcPr>
            <w:tcW w:w="2204" w:type="dxa"/>
            <w:vMerge/>
          </w:tcPr>
          <w:p w14:paraId="09995A21" w14:textId="77777777" w:rsidR="00454A29" w:rsidRDefault="00454A29"/>
        </w:tc>
        <w:tc>
          <w:tcPr>
            <w:tcW w:w="1417" w:type="dxa"/>
            <w:vMerge/>
          </w:tcPr>
          <w:p w14:paraId="5B235C2F" w14:textId="77777777" w:rsidR="00454A29" w:rsidRDefault="00454A29"/>
        </w:tc>
        <w:tc>
          <w:tcPr>
            <w:tcW w:w="2324" w:type="dxa"/>
            <w:vMerge/>
          </w:tcPr>
          <w:p w14:paraId="769459C0" w14:textId="77777777" w:rsidR="00454A29" w:rsidRDefault="00454A29"/>
        </w:tc>
        <w:tc>
          <w:tcPr>
            <w:tcW w:w="1701" w:type="dxa"/>
            <w:vAlign w:val="center"/>
          </w:tcPr>
          <w:p w14:paraId="3444236C" w14:textId="77777777" w:rsidR="00454A29" w:rsidRDefault="00454A29">
            <w:pPr>
              <w:pStyle w:val="ConsPlusNormal"/>
              <w:jc w:val="center"/>
            </w:pPr>
            <w:r>
              <w:t>-</w:t>
            </w:r>
          </w:p>
        </w:tc>
        <w:tc>
          <w:tcPr>
            <w:tcW w:w="1814" w:type="dxa"/>
            <w:vAlign w:val="center"/>
          </w:tcPr>
          <w:p w14:paraId="350FA5B3" w14:textId="77777777" w:rsidR="00454A29" w:rsidRDefault="00454A29">
            <w:pPr>
              <w:pStyle w:val="ConsPlusNormal"/>
            </w:pPr>
          </w:p>
        </w:tc>
        <w:tc>
          <w:tcPr>
            <w:tcW w:w="1701" w:type="dxa"/>
            <w:vAlign w:val="center"/>
          </w:tcPr>
          <w:p w14:paraId="34549819" w14:textId="77777777" w:rsidR="00454A29" w:rsidRDefault="00454A29">
            <w:pPr>
              <w:pStyle w:val="ConsPlusNormal"/>
            </w:pPr>
          </w:p>
        </w:tc>
        <w:tc>
          <w:tcPr>
            <w:tcW w:w="1701" w:type="dxa"/>
            <w:vAlign w:val="center"/>
          </w:tcPr>
          <w:p w14:paraId="2C5BC948" w14:textId="77777777" w:rsidR="00454A29" w:rsidRDefault="00454A29">
            <w:pPr>
              <w:pStyle w:val="ConsPlusNormal"/>
            </w:pPr>
          </w:p>
        </w:tc>
        <w:tc>
          <w:tcPr>
            <w:tcW w:w="1814" w:type="dxa"/>
            <w:vAlign w:val="center"/>
          </w:tcPr>
          <w:p w14:paraId="58458C99" w14:textId="77777777" w:rsidR="00454A29" w:rsidRDefault="00454A29">
            <w:pPr>
              <w:pStyle w:val="ConsPlusNormal"/>
            </w:pPr>
          </w:p>
        </w:tc>
      </w:tr>
      <w:tr w:rsidR="00454A29" w14:paraId="4F36EED0" w14:textId="77777777">
        <w:tc>
          <w:tcPr>
            <w:tcW w:w="567" w:type="dxa"/>
            <w:vMerge/>
          </w:tcPr>
          <w:p w14:paraId="614CBB87" w14:textId="77777777" w:rsidR="00454A29" w:rsidRDefault="00454A29"/>
        </w:tc>
        <w:tc>
          <w:tcPr>
            <w:tcW w:w="3345" w:type="dxa"/>
            <w:vMerge/>
          </w:tcPr>
          <w:p w14:paraId="57C303E2" w14:textId="77777777" w:rsidR="00454A29" w:rsidRDefault="00454A29"/>
        </w:tc>
        <w:tc>
          <w:tcPr>
            <w:tcW w:w="1701" w:type="dxa"/>
            <w:vAlign w:val="center"/>
          </w:tcPr>
          <w:p w14:paraId="6F78C6C5" w14:textId="77777777" w:rsidR="00454A29" w:rsidRDefault="00454A29">
            <w:pPr>
              <w:pStyle w:val="ConsPlusNormal"/>
              <w:jc w:val="center"/>
            </w:pPr>
            <w:r>
              <w:t>2022</w:t>
            </w:r>
          </w:p>
        </w:tc>
        <w:tc>
          <w:tcPr>
            <w:tcW w:w="1417" w:type="dxa"/>
            <w:vMerge/>
          </w:tcPr>
          <w:p w14:paraId="076E7353" w14:textId="77777777" w:rsidR="00454A29" w:rsidRDefault="00454A29"/>
        </w:tc>
        <w:tc>
          <w:tcPr>
            <w:tcW w:w="2204" w:type="dxa"/>
            <w:vMerge/>
          </w:tcPr>
          <w:p w14:paraId="334ADF17" w14:textId="77777777" w:rsidR="00454A29" w:rsidRDefault="00454A29"/>
        </w:tc>
        <w:tc>
          <w:tcPr>
            <w:tcW w:w="1417" w:type="dxa"/>
            <w:vMerge/>
          </w:tcPr>
          <w:p w14:paraId="5A5D4813" w14:textId="77777777" w:rsidR="00454A29" w:rsidRDefault="00454A29"/>
        </w:tc>
        <w:tc>
          <w:tcPr>
            <w:tcW w:w="2324" w:type="dxa"/>
            <w:vMerge/>
          </w:tcPr>
          <w:p w14:paraId="47A2EF1F" w14:textId="77777777" w:rsidR="00454A29" w:rsidRDefault="00454A29"/>
        </w:tc>
        <w:tc>
          <w:tcPr>
            <w:tcW w:w="1701" w:type="dxa"/>
            <w:vAlign w:val="center"/>
          </w:tcPr>
          <w:p w14:paraId="50BC5985" w14:textId="77777777" w:rsidR="00454A29" w:rsidRDefault="00454A29">
            <w:pPr>
              <w:pStyle w:val="ConsPlusNormal"/>
              <w:jc w:val="center"/>
            </w:pPr>
            <w:r>
              <w:t>-</w:t>
            </w:r>
          </w:p>
        </w:tc>
        <w:tc>
          <w:tcPr>
            <w:tcW w:w="1814" w:type="dxa"/>
            <w:vAlign w:val="center"/>
          </w:tcPr>
          <w:p w14:paraId="64C31450" w14:textId="77777777" w:rsidR="00454A29" w:rsidRDefault="00454A29">
            <w:pPr>
              <w:pStyle w:val="ConsPlusNormal"/>
              <w:jc w:val="center"/>
            </w:pPr>
            <w:r>
              <w:t>-</w:t>
            </w:r>
          </w:p>
        </w:tc>
        <w:tc>
          <w:tcPr>
            <w:tcW w:w="1701" w:type="dxa"/>
            <w:vAlign w:val="center"/>
          </w:tcPr>
          <w:p w14:paraId="2AEF2877" w14:textId="77777777" w:rsidR="00454A29" w:rsidRDefault="00454A29">
            <w:pPr>
              <w:pStyle w:val="ConsPlusNormal"/>
            </w:pPr>
          </w:p>
        </w:tc>
        <w:tc>
          <w:tcPr>
            <w:tcW w:w="1701" w:type="dxa"/>
            <w:vAlign w:val="center"/>
          </w:tcPr>
          <w:p w14:paraId="33F02A2F" w14:textId="77777777" w:rsidR="00454A29" w:rsidRDefault="00454A29">
            <w:pPr>
              <w:pStyle w:val="ConsPlusNormal"/>
            </w:pPr>
          </w:p>
        </w:tc>
        <w:tc>
          <w:tcPr>
            <w:tcW w:w="1814" w:type="dxa"/>
            <w:vAlign w:val="center"/>
          </w:tcPr>
          <w:p w14:paraId="1F8F1575" w14:textId="77777777" w:rsidR="00454A29" w:rsidRDefault="00454A29">
            <w:pPr>
              <w:pStyle w:val="ConsPlusNormal"/>
            </w:pPr>
          </w:p>
        </w:tc>
      </w:tr>
      <w:tr w:rsidR="00454A29" w14:paraId="49C95258" w14:textId="77777777">
        <w:tc>
          <w:tcPr>
            <w:tcW w:w="567" w:type="dxa"/>
            <w:vMerge/>
          </w:tcPr>
          <w:p w14:paraId="09747C14" w14:textId="77777777" w:rsidR="00454A29" w:rsidRDefault="00454A29"/>
        </w:tc>
        <w:tc>
          <w:tcPr>
            <w:tcW w:w="3345" w:type="dxa"/>
            <w:vMerge/>
          </w:tcPr>
          <w:p w14:paraId="54C8CEED" w14:textId="77777777" w:rsidR="00454A29" w:rsidRDefault="00454A29"/>
        </w:tc>
        <w:tc>
          <w:tcPr>
            <w:tcW w:w="1701" w:type="dxa"/>
            <w:vAlign w:val="center"/>
          </w:tcPr>
          <w:p w14:paraId="36B734C3" w14:textId="77777777" w:rsidR="00454A29" w:rsidRDefault="00454A29">
            <w:pPr>
              <w:pStyle w:val="ConsPlusNormal"/>
              <w:jc w:val="center"/>
            </w:pPr>
            <w:r>
              <w:t>2023</w:t>
            </w:r>
          </w:p>
        </w:tc>
        <w:tc>
          <w:tcPr>
            <w:tcW w:w="1417" w:type="dxa"/>
            <w:vMerge/>
          </w:tcPr>
          <w:p w14:paraId="2D6FEE70" w14:textId="77777777" w:rsidR="00454A29" w:rsidRDefault="00454A29"/>
        </w:tc>
        <w:tc>
          <w:tcPr>
            <w:tcW w:w="2204" w:type="dxa"/>
            <w:vMerge/>
          </w:tcPr>
          <w:p w14:paraId="3A1B111C" w14:textId="77777777" w:rsidR="00454A29" w:rsidRDefault="00454A29"/>
        </w:tc>
        <w:tc>
          <w:tcPr>
            <w:tcW w:w="1417" w:type="dxa"/>
            <w:vMerge/>
          </w:tcPr>
          <w:p w14:paraId="3B6C3185" w14:textId="77777777" w:rsidR="00454A29" w:rsidRDefault="00454A29"/>
        </w:tc>
        <w:tc>
          <w:tcPr>
            <w:tcW w:w="2324" w:type="dxa"/>
            <w:vMerge/>
          </w:tcPr>
          <w:p w14:paraId="40B486B2" w14:textId="77777777" w:rsidR="00454A29" w:rsidRDefault="00454A29"/>
        </w:tc>
        <w:tc>
          <w:tcPr>
            <w:tcW w:w="1701" w:type="dxa"/>
            <w:vAlign w:val="center"/>
          </w:tcPr>
          <w:p w14:paraId="68A02A29" w14:textId="77777777" w:rsidR="00454A29" w:rsidRDefault="00454A29">
            <w:pPr>
              <w:pStyle w:val="ConsPlusNormal"/>
              <w:jc w:val="center"/>
            </w:pPr>
            <w:r>
              <w:t>2 480,00</w:t>
            </w:r>
          </w:p>
        </w:tc>
        <w:tc>
          <w:tcPr>
            <w:tcW w:w="1814" w:type="dxa"/>
            <w:vAlign w:val="center"/>
          </w:tcPr>
          <w:p w14:paraId="637E5C61" w14:textId="77777777" w:rsidR="00454A29" w:rsidRDefault="00454A29">
            <w:pPr>
              <w:pStyle w:val="ConsPlusNormal"/>
              <w:jc w:val="center"/>
            </w:pPr>
            <w:r>
              <w:t>2 480,00</w:t>
            </w:r>
          </w:p>
        </w:tc>
        <w:tc>
          <w:tcPr>
            <w:tcW w:w="1701" w:type="dxa"/>
            <w:vAlign w:val="center"/>
          </w:tcPr>
          <w:p w14:paraId="01AAEE40" w14:textId="77777777" w:rsidR="00454A29" w:rsidRDefault="00454A29">
            <w:pPr>
              <w:pStyle w:val="ConsPlusNormal"/>
            </w:pPr>
          </w:p>
        </w:tc>
        <w:tc>
          <w:tcPr>
            <w:tcW w:w="1701" w:type="dxa"/>
            <w:vAlign w:val="center"/>
          </w:tcPr>
          <w:p w14:paraId="1582CE24" w14:textId="77777777" w:rsidR="00454A29" w:rsidRDefault="00454A29">
            <w:pPr>
              <w:pStyle w:val="ConsPlusNormal"/>
            </w:pPr>
          </w:p>
        </w:tc>
        <w:tc>
          <w:tcPr>
            <w:tcW w:w="1814" w:type="dxa"/>
            <w:vAlign w:val="center"/>
          </w:tcPr>
          <w:p w14:paraId="562AFA18" w14:textId="77777777" w:rsidR="00454A29" w:rsidRDefault="00454A29">
            <w:pPr>
              <w:pStyle w:val="ConsPlusNormal"/>
            </w:pPr>
          </w:p>
        </w:tc>
      </w:tr>
      <w:tr w:rsidR="00454A29" w14:paraId="45F21BDE" w14:textId="77777777">
        <w:tc>
          <w:tcPr>
            <w:tcW w:w="567" w:type="dxa"/>
            <w:vMerge/>
          </w:tcPr>
          <w:p w14:paraId="4B68DBD3" w14:textId="77777777" w:rsidR="00454A29" w:rsidRDefault="00454A29"/>
        </w:tc>
        <w:tc>
          <w:tcPr>
            <w:tcW w:w="3345" w:type="dxa"/>
            <w:vMerge/>
          </w:tcPr>
          <w:p w14:paraId="10C61009" w14:textId="77777777" w:rsidR="00454A29" w:rsidRDefault="00454A29"/>
        </w:tc>
        <w:tc>
          <w:tcPr>
            <w:tcW w:w="1701" w:type="dxa"/>
            <w:vAlign w:val="center"/>
          </w:tcPr>
          <w:p w14:paraId="1961EFB4" w14:textId="77777777" w:rsidR="00454A29" w:rsidRDefault="00454A29">
            <w:pPr>
              <w:pStyle w:val="ConsPlusNormal"/>
              <w:jc w:val="center"/>
            </w:pPr>
            <w:r>
              <w:t>2024</w:t>
            </w:r>
          </w:p>
        </w:tc>
        <w:tc>
          <w:tcPr>
            <w:tcW w:w="1417" w:type="dxa"/>
            <w:vMerge/>
          </w:tcPr>
          <w:p w14:paraId="5D359C56" w14:textId="77777777" w:rsidR="00454A29" w:rsidRDefault="00454A29"/>
        </w:tc>
        <w:tc>
          <w:tcPr>
            <w:tcW w:w="2204" w:type="dxa"/>
            <w:vMerge/>
          </w:tcPr>
          <w:p w14:paraId="6CBB882D" w14:textId="77777777" w:rsidR="00454A29" w:rsidRDefault="00454A29"/>
        </w:tc>
        <w:tc>
          <w:tcPr>
            <w:tcW w:w="1417" w:type="dxa"/>
            <w:vMerge/>
          </w:tcPr>
          <w:p w14:paraId="716406A1" w14:textId="77777777" w:rsidR="00454A29" w:rsidRDefault="00454A29"/>
        </w:tc>
        <w:tc>
          <w:tcPr>
            <w:tcW w:w="2324" w:type="dxa"/>
            <w:vMerge/>
          </w:tcPr>
          <w:p w14:paraId="255F3810" w14:textId="77777777" w:rsidR="00454A29" w:rsidRDefault="00454A29"/>
        </w:tc>
        <w:tc>
          <w:tcPr>
            <w:tcW w:w="1701" w:type="dxa"/>
            <w:vAlign w:val="center"/>
          </w:tcPr>
          <w:p w14:paraId="50F6951A" w14:textId="77777777" w:rsidR="00454A29" w:rsidRDefault="00454A29">
            <w:pPr>
              <w:pStyle w:val="ConsPlusNormal"/>
              <w:jc w:val="center"/>
            </w:pPr>
            <w:r>
              <w:t>-</w:t>
            </w:r>
          </w:p>
        </w:tc>
        <w:tc>
          <w:tcPr>
            <w:tcW w:w="1814" w:type="dxa"/>
            <w:vAlign w:val="center"/>
          </w:tcPr>
          <w:p w14:paraId="1EC2F7BD" w14:textId="77777777" w:rsidR="00454A29" w:rsidRDefault="00454A29">
            <w:pPr>
              <w:pStyle w:val="ConsPlusNormal"/>
            </w:pPr>
          </w:p>
        </w:tc>
        <w:tc>
          <w:tcPr>
            <w:tcW w:w="1701" w:type="dxa"/>
            <w:vAlign w:val="center"/>
          </w:tcPr>
          <w:p w14:paraId="38A6D9B7" w14:textId="77777777" w:rsidR="00454A29" w:rsidRDefault="00454A29">
            <w:pPr>
              <w:pStyle w:val="ConsPlusNormal"/>
            </w:pPr>
          </w:p>
        </w:tc>
        <w:tc>
          <w:tcPr>
            <w:tcW w:w="1701" w:type="dxa"/>
            <w:vAlign w:val="center"/>
          </w:tcPr>
          <w:p w14:paraId="73FB02F7" w14:textId="77777777" w:rsidR="00454A29" w:rsidRDefault="00454A29">
            <w:pPr>
              <w:pStyle w:val="ConsPlusNormal"/>
            </w:pPr>
          </w:p>
        </w:tc>
        <w:tc>
          <w:tcPr>
            <w:tcW w:w="1814" w:type="dxa"/>
            <w:vAlign w:val="center"/>
          </w:tcPr>
          <w:p w14:paraId="7FADB47D" w14:textId="77777777" w:rsidR="00454A29" w:rsidRDefault="00454A29">
            <w:pPr>
              <w:pStyle w:val="ConsPlusNormal"/>
            </w:pPr>
          </w:p>
        </w:tc>
      </w:tr>
      <w:tr w:rsidR="00454A29" w14:paraId="7198185B" w14:textId="77777777">
        <w:tc>
          <w:tcPr>
            <w:tcW w:w="567" w:type="dxa"/>
            <w:vMerge/>
          </w:tcPr>
          <w:p w14:paraId="7423E23F" w14:textId="77777777" w:rsidR="00454A29" w:rsidRDefault="00454A29"/>
        </w:tc>
        <w:tc>
          <w:tcPr>
            <w:tcW w:w="3345" w:type="dxa"/>
            <w:vMerge/>
          </w:tcPr>
          <w:p w14:paraId="1FAB797C" w14:textId="77777777" w:rsidR="00454A29" w:rsidRDefault="00454A29"/>
        </w:tc>
        <w:tc>
          <w:tcPr>
            <w:tcW w:w="1701" w:type="dxa"/>
            <w:vAlign w:val="center"/>
          </w:tcPr>
          <w:p w14:paraId="1060416C" w14:textId="77777777" w:rsidR="00454A29" w:rsidRDefault="00454A29">
            <w:pPr>
              <w:pStyle w:val="ConsPlusNormal"/>
              <w:jc w:val="center"/>
            </w:pPr>
            <w:r>
              <w:t>2025</w:t>
            </w:r>
          </w:p>
        </w:tc>
        <w:tc>
          <w:tcPr>
            <w:tcW w:w="1417" w:type="dxa"/>
            <w:vMerge/>
          </w:tcPr>
          <w:p w14:paraId="57BA88A0" w14:textId="77777777" w:rsidR="00454A29" w:rsidRDefault="00454A29"/>
        </w:tc>
        <w:tc>
          <w:tcPr>
            <w:tcW w:w="2204" w:type="dxa"/>
            <w:vMerge/>
          </w:tcPr>
          <w:p w14:paraId="2A184B67" w14:textId="77777777" w:rsidR="00454A29" w:rsidRDefault="00454A29"/>
        </w:tc>
        <w:tc>
          <w:tcPr>
            <w:tcW w:w="1417" w:type="dxa"/>
            <w:vMerge/>
          </w:tcPr>
          <w:p w14:paraId="011169C4" w14:textId="77777777" w:rsidR="00454A29" w:rsidRDefault="00454A29"/>
        </w:tc>
        <w:tc>
          <w:tcPr>
            <w:tcW w:w="2324" w:type="dxa"/>
            <w:vMerge/>
          </w:tcPr>
          <w:p w14:paraId="14133249" w14:textId="77777777" w:rsidR="00454A29" w:rsidRDefault="00454A29"/>
        </w:tc>
        <w:tc>
          <w:tcPr>
            <w:tcW w:w="1701" w:type="dxa"/>
            <w:vAlign w:val="center"/>
          </w:tcPr>
          <w:p w14:paraId="3F7CE932" w14:textId="77777777" w:rsidR="00454A29" w:rsidRDefault="00454A29">
            <w:pPr>
              <w:pStyle w:val="ConsPlusNormal"/>
              <w:jc w:val="center"/>
            </w:pPr>
            <w:r>
              <w:t>-</w:t>
            </w:r>
          </w:p>
        </w:tc>
        <w:tc>
          <w:tcPr>
            <w:tcW w:w="1814" w:type="dxa"/>
            <w:vAlign w:val="center"/>
          </w:tcPr>
          <w:p w14:paraId="360AFDDE" w14:textId="77777777" w:rsidR="00454A29" w:rsidRDefault="00454A29">
            <w:pPr>
              <w:pStyle w:val="ConsPlusNormal"/>
            </w:pPr>
          </w:p>
        </w:tc>
        <w:tc>
          <w:tcPr>
            <w:tcW w:w="1701" w:type="dxa"/>
            <w:vAlign w:val="center"/>
          </w:tcPr>
          <w:p w14:paraId="5EB9EF95" w14:textId="77777777" w:rsidR="00454A29" w:rsidRDefault="00454A29">
            <w:pPr>
              <w:pStyle w:val="ConsPlusNormal"/>
            </w:pPr>
          </w:p>
        </w:tc>
        <w:tc>
          <w:tcPr>
            <w:tcW w:w="1701" w:type="dxa"/>
            <w:vAlign w:val="center"/>
          </w:tcPr>
          <w:p w14:paraId="1E292157" w14:textId="77777777" w:rsidR="00454A29" w:rsidRDefault="00454A29">
            <w:pPr>
              <w:pStyle w:val="ConsPlusNormal"/>
            </w:pPr>
          </w:p>
        </w:tc>
        <w:tc>
          <w:tcPr>
            <w:tcW w:w="1814" w:type="dxa"/>
            <w:vAlign w:val="center"/>
          </w:tcPr>
          <w:p w14:paraId="2AF0C3E6" w14:textId="77777777" w:rsidR="00454A29" w:rsidRDefault="00454A29">
            <w:pPr>
              <w:pStyle w:val="ConsPlusNormal"/>
            </w:pPr>
          </w:p>
        </w:tc>
      </w:tr>
      <w:tr w:rsidR="00454A29" w14:paraId="731D7159" w14:textId="77777777">
        <w:tc>
          <w:tcPr>
            <w:tcW w:w="567" w:type="dxa"/>
            <w:vMerge/>
          </w:tcPr>
          <w:p w14:paraId="72EB5809" w14:textId="77777777" w:rsidR="00454A29" w:rsidRDefault="00454A29"/>
        </w:tc>
        <w:tc>
          <w:tcPr>
            <w:tcW w:w="3345" w:type="dxa"/>
            <w:vMerge/>
          </w:tcPr>
          <w:p w14:paraId="499D5093" w14:textId="77777777" w:rsidR="00454A29" w:rsidRDefault="00454A29"/>
        </w:tc>
        <w:tc>
          <w:tcPr>
            <w:tcW w:w="1701" w:type="dxa"/>
            <w:vAlign w:val="center"/>
          </w:tcPr>
          <w:p w14:paraId="3328E242" w14:textId="77777777" w:rsidR="00454A29" w:rsidRDefault="00454A29">
            <w:pPr>
              <w:pStyle w:val="ConsPlusNormal"/>
              <w:jc w:val="center"/>
            </w:pPr>
            <w:r>
              <w:t>2026</w:t>
            </w:r>
          </w:p>
        </w:tc>
        <w:tc>
          <w:tcPr>
            <w:tcW w:w="1417" w:type="dxa"/>
            <w:vMerge/>
          </w:tcPr>
          <w:p w14:paraId="427CC310" w14:textId="77777777" w:rsidR="00454A29" w:rsidRDefault="00454A29"/>
        </w:tc>
        <w:tc>
          <w:tcPr>
            <w:tcW w:w="2204" w:type="dxa"/>
            <w:vMerge/>
          </w:tcPr>
          <w:p w14:paraId="4754026C" w14:textId="77777777" w:rsidR="00454A29" w:rsidRDefault="00454A29"/>
        </w:tc>
        <w:tc>
          <w:tcPr>
            <w:tcW w:w="1417" w:type="dxa"/>
            <w:vMerge/>
          </w:tcPr>
          <w:p w14:paraId="7CEDB941" w14:textId="77777777" w:rsidR="00454A29" w:rsidRDefault="00454A29"/>
        </w:tc>
        <w:tc>
          <w:tcPr>
            <w:tcW w:w="2324" w:type="dxa"/>
            <w:vMerge/>
          </w:tcPr>
          <w:p w14:paraId="46E8F284" w14:textId="77777777" w:rsidR="00454A29" w:rsidRDefault="00454A29"/>
        </w:tc>
        <w:tc>
          <w:tcPr>
            <w:tcW w:w="1701" w:type="dxa"/>
            <w:vAlign w:val="center"/>
          </w:tcPr>
          <w:p w14:paraId="71AC8E30" w14:textId="77777777" w:rsidR="00454A29" w:rsidRDefault="00454A29">
            <w:pPr>
              <w:pStyle w:val="ConsPlusNormal"/>
              <w:jc w:val="center"/>
            </w:pPr>
            <w:r>
              <w:t>-</w:t>
            </w:r>
          </w:p>
        </w:tc>
        <w:tc>
          <w:tcPr>
            <w:tcW w:w="1814" w:type="dxa"/>
            <w:vAlign w:val="center"/>
          </w:tcPr>
          <w:p w14:paraId="03D7B849" w14:textId="77777777" w:rsidR="00454A29" w:rsidRDefault="00454A29">
            <w:pPr>
              <w:pStyle w:val="ConsPlusNormal"/>
            </w:pPr>
          </w:p>
        </w:tc>
        <w:tc>
          <w:tcPr>
            <w:tcW w:w="1701" w:type="dxa"/>
            <w:vAlign w:val="center"/>
          </w:tcPr>
          <w:p w14:paraId="05C56AEA" w14:textId="77777777" w:rsidR="00454A29" w:rsidRDefault="00454A29">
            <w:pPr>
              <w:pStyle w:val="ConsPlusNormal"/>
            </w:pPr>
          </w:p>
        </w:tc>
        <w:tc>
          <w:tcPr>
            <w:tcW w:w="1701" w:type="dxa"/>
            <w:vAlign w:val="center"/>
          </w:tcPr>
          <w:p w14:paraId="01A354CD" w14:textId="77777777" w:rsidR="00454A29" w:rsidRDefault="00454A29">
            <w:pPr>
              <w:pStyle w:val="ConsPlusNormal"/>
            </w:pPr>
          </w:p>
        </w:tc>
        <w:tc>
          <w:tcPr>
            <w:tcW w:w="1814" w:type="dxa"/>
            <w:vAlign w:val="center"/>
          </w:tcPr>
          <w:p w14:paraId="71F8DC04" w14:textId="77777777" w:rsidR="00454A29" w:rsidRDefault="00454A29">
            <w:pPr>
              <w:pStyle w:val="ConsPlusNormal"/>
            </w:pPr>
          </w:p>
        </w:tc>
      </w:tr>
      <w:tr w:rsidR="00454A29" w14:paraId="4476CB3B" w14:textId="77777777">
        <w:tc>
          <w:tcPr>
            <w:tcW w:w="567" w:type="dxa"/>
            <w:vMerge w:val="restart"/>
            <w:vAlign w:val="center"/>
          </w:tcPr>
          <w:p w14:paraId="4B925E4A" w14:textId="77777777" w:rsidR="00454A29" w:rsidRDefault="00454A29">
            <w:pPr>
              <w:pStyle w:val="ConsPlusNormal"/>
              <w:jc w:val="center"/>
            </w:pPr>
            <w:r>
              <w:t>114</w:t>
            </w:r>
          </w:p>
        </w:tc>
        <w:tc>
          <w:tcPr>
            <w:tcW w:w="3345" w:type="dxa"/>
            <w:vMerge w:val="restart"/>
            <w:vAlign w:val="center"/>
          </w:tcPr>
          <w:p w14:paraId="49381992" w14:textId="77777777" w:rsidR="00454A29" w:rsidRDefault="00454A29">
            <w:pPr>
              <w:pStyle w:val="ConsPlusNormal"/>
              <w:jc w:val="center"/>
            </w:pPr>
            <w:r>
              <w:t>Автодром Тиксинского многопрофильного лицея в п. Тикси Булунского улуса</w:t>
            </w:r>
          </w:p>
        </w:tc>
        <w:tc>
          <w:tcPr>
            <w:tcW w:w="1701" w:type="dxa"/>
            <w:vAlign w:val="center"/>
          </w:tcPr>
          <w:p w14:paraId="0839C3F8" w14:textId="77777777" w:rsidR="00454A29" w:rsidRDefault="00454A29">
            <w:pPr>
              <w:pStyle w:val="ConsPlusNormal"/>
              <w:jc w:val="center"/>
            </w:pPr>
            <w:r>
              <w:t>Всего:</w:t>
            </w:r>
          </w:p>
        </w:tc>
        <w:tc>
          <w:tcPr>
            <w:tcW w:w="1417" w:type="dxa"/>
            <w:vMerge w:val="restart"/>
            <w:vAlign w:val="center"/>
          </w:tcPr>
          <w:p w14:paraId="2B1FB0F9" w14:textId="77777777" w:rsidR="00454A29" w:rsidRDefault="00454A29">
            <w:pPr>
              <w:pStyle w:val="ConsPlusNormal"/>
              <w:jc w:val="center"/>
            </w:pPr>
            <w:r>
              <w:t>5 000</w:t>
            </w:r>
          </w:p>
        </w:tc>
        <w:tc>
          <w:tcPr>
            <w:tcW w:w="2204" w:type="dxa"/>
            <w:vMerge w:val="restart"/>
            <w:vAlign w:val="center"/>
          </w:tcPr>
          <w:p w14:paraId="79D51CEA" w14:textId="77777777" w:rsidR="00454A29" w:rsidRDefault="00454A29">
            <w:pPr>
              <w:pStyle w:val="ConsPlusNormal"/>
            </w:pPr>
          </w:p>
        </w:tc>
        <w:tc>
          <w:tcPr>
            <w:tcW w:w="1417" w:type="dxa"/>
            <w:vMerge w:val="restart"/>
            <w:vAlign w:val="center"/>
          </w:tcPr>
          <w:p w14:paraId="7FC342C0" w14:textId="77777777" w:rsidR="00454A29" w:rsidRDefault="00454A29">
            <w:pPr>
              <w:pStyle w:val="ConsPlusNormal"/>
            </w:pPr>
          </w:p>
        </w:tc>
        <w:tc>
          <w:tcPr>
            <w:tcW w:w="2324" w:type="dxa"/>
            <w:vMerge w:val="restart"/>
            <w:vAlign w:val="center"/>
          </w:tcPr>
          <w:p w14:paraId="00E4C8CC"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1701" w:type="dxa"/>
            <w:vAlign w:val="center"/>
          </w:tcPr>
          <w:p w14:paraId="63F7F620" w14:textId="77777777" w:rsidR="00454A29" w:rsidRDefault="00454A29">
            <w:pPr>
              <w:pStyle w:val="ConsPlusNormal"/>
              <w:jc w:val="center"/>
            </w:pPr>
            <w:r>
              <w:t>2 480,00</w:t>
            </w:r>
          </w:p>
        </w:tc>
        <w:tc>
          <w:tcPr>
            <w:tcW w:w="1814" w:type="dxa"/>
            <w:vAlign w:val="center"/>
          </w:tcPr>
          <w:p w14:paraId="3AAA166C" w14:textId="77777777" w:rsidR="00454A29" w:rsidRDefault="00454A29">
            <w:pPr>
              <w:pStyle w:val="ConsPlusNormal"/>
              <w:jc w:val="center"/>
            </w:pPr>
            <w:r>
              <w:t>2 480,00</w:t>
            </w:r>
          </w:p>
        </w:tc>
        <w:tc>
          <w:tcPr>
            <w:tcW w:w="1701" w:type="dxa"/>
            <w:vAlign w:val="center"/>
          </w:tcPr>
          <w:p w14:paraId="2A2B08A6" w14:textId="77777777" w:rsidR="00454A29" w:rsidRDefault="00454A29">
            <w:pPr>
              <w:pStyle w:val="ConsPlusNormal"/>
              <w:jc w:val="center"/>
            </w:pPr>
            <w:r>
              <w:t>-</w:t>
            </w:r>
          </w:p>
        </w:tc>
        <w:tc>
          <w:tcPr>
            <w:tcW w:w="1701" w:type="dxa"/>
            <w:vAlign w:val="center"/>
          </w:tcPr>
          <w:p w14:paraId="4FF792DC" w14:textId="77777777" w:rsidR="00454A29" w:rsidRDefault="00454A29">
            <w:pPr>
              <w:pStyle w:val="ConsPlusNormal"/>
              <w:jc w:val="center"/>
            </w:pPr>
            <w:r>
              <w:t>-</w:t>
            </w:r>
          </w:p>
        </w:tc>
        <w:tc>
          <w:tcPr>
            <w:tcW w:w="1814" w:type="dxa"/>
            <w:vAlign w:val="center"/>
          </w:tcPr>
          <w:p w14:paraId="67C9D17E" w14:textId="77777777" w:rsidR="00454A29" w:rsidRDefault="00454A29">
            <w:pPr>
              <w:pStyle w:val="ConsPlusNormal"/>
              <w:jc w:val="center"/>
            </w:pPr>
            <w:r>
              <w:t>-</w:t>
            </w:r>
          </w:p>
        </w:tc>
      </w:tr>
      <w:tr w:rsidR="00454A29" w14:paraId="6259F101" w14:textId="77777777">
        <w:tc>
          <w:tcPr>
            <w:tcW w:w="567" w:type="dxa"/>
            <w:vMerge/>
          </w:tcPr>
          <w:p w14:paraId="1C5F64F6" w14:textId="77777777" w:rsidR="00454A29" w:rsidRDefault="00454A29"/>
        </w:tc>
        <w:tc>
          <w:tcPr>
            <w:tcW w:w="3345" w:type="dxa"/>
            <w:vMerge/>
          </w:tcPr>
          <w:p w14:paraId="12B0F2A2" w14:textId="77777777" w:rsidR="00454A29" w:rsidRDefault="00454A29"/>
        </w:tc>
        <w:tc>
          <w:tcPr>
            <w:tcW w:w="1701" w:type="dxa"/>
            <w:vAlign w:val="center"/>
          </w:tcPr>
          <w:p w14:paraId="2958EC59" w14:textId="77777777" w:rsidR="00454A29" w:rsidRDefault="00454A29">
            <w:pPr>
              <w:pStyle w:val="ConsPlusNormal"/>
              <w:jc w:val="center"/>
            </w:pPr>
            <w:r>
              <w:t>2020</w:t>
            </w:r>
          </w:p>
        </w:tc>
        <w:tc>
          <w:tcPr>
            <w:tcW w:w="1417" w:type="dxa"/>
            <w:vMerge/>
          </w:tcPr>
          <w:p w14:paraId="536FCE59" w14:textId="77777777" w:rsidR="00454A29" w:rsidRDefault="00454A29"/>
        </w:tc>
        <w:tc>
          <w:tcPr>
            <w:tcW w:w="2204" w:type="dxa"/>
            <w:vMerge/>
          </w:tcPr>
          <w:p w14:paraId="034C1922" w14:textId="77777777" w:rsidR="00454A29" w:rsidRDefault="00454A29"/>
        </w:tc>
        <w:tc>
          <w:tcPr>
            <w:tcW w:w="1417" w:type="dxa"/>
            <w:vMerge/>
          </w:tcPr>
          <w:p w14:paraId="196CD6F0" w14:textId="77777777" w:rsidR="00454A29" w:rsidRDefault="00454A29"/>
        </w:tc>
        <w:tc>
          <w:tcPr>
            <w:tcW w:w="2324" w:type="dxa"/>
            <w:vMerge/>
          </w:tcPr>
          <w:p w14:paraId="7F7E87C2" w14:textId="77777777" w:rsidR="00454A29" w:rsidRDefault="00454A29"/>
        </w:tc>
        <w:tc>
          <w:tcPr>
            <w:tcW w:w="1701" w:type="dxa"/>
            <w:vAlign w:val="center"/>
          </w:tcPr>
          <w:p w14:paraId="342B14C3" w14:textId="77777777" w:rsidR="00454A29" w:rsidRDefault="00454A29">
            <w:pPr>
              <w:pStyle w:val="ConsPlusNormal"/>
              <w:jc w:val="center"/>
            </w:pPr>
            <w:r>
              <w:t>-</w:t>
            </w:r>
          </w:p>
        </w:tc>
        <w:tc>
          <w:tcPr>
            <w:tcW w:w="1814" w:type="dxa"/>
            <w:vAlign w:val="center"/>
          </w:tcPr>
          <w:p w14:paraId="73C85D45" w14:textId="77777777" w:rsidR="00454A29" w:rsidRDefault="00454A29">
            <w:pPr>
              <w:pStyle w:val="ConsPlusNormal"/>
            </w:pPr>
          </w:p>
        </w:tc>
        <w:tc>
          <w:tcPr>
            <w:tcW w:w="1701" w:type="dxa"/>
            <w:vAlign w:val="center"/>
          </w:tcPr>
          <w:p w14:paraId="68AF1780" w14:textId="77777777" w:rsidR="00454A29" w:rsidRDefault="00454A29">
            <w:pPr>
              <w:pStyle w:val="ConsPlusNormal"/>
            </w:pPr>
          </w:p>
        </w:tc>
        <w:tc>
          <w:tcPr>
            <w:tcW w:w="1701" w:type="dxa"/>
            <w:vAlign w:val="center"/>
          </w:tcPr>
          <w:p w14:paraId="20257806" w14:textId="77777777" w:rsidR="00454A29" w:rsidRDefault="00454A29">
            <w:pPr>
              <w:pStyle w:val="ConsPlusNormal"/>
            </w:pPr>
          </w:p>
        </w:tc>
        <w:tc>
          <w:tcPr>
            <w:tcW w:w="1814" w:type="dxa"/>
            <w:vAlign w:val="center"/>
          </w:tcPr>
          <w:p w14:paraId="587A2E95" w14:textId="77777777" w:rsidR="00454A29" w:rsidRDefault="00454A29">
            <w:pPr>
              <w:pStyle w:val="ConsPlusNormal"/>
            </w:pPr>
          </w:p>
        </w:tc>
      </w:tr>
      <w:tr w:rsidR="00454A29" w14:paraId="2C52E61E" w14:textId="77777777">
        <w:tc>
          <w:tcPr>
            <w:tcW w:w="567" w:type="dxa"/>
            <w:vMerge/>
          </w:tcPr>
          <w:p w14:paraId="2F7F9C44" w14:textId="77777777" w:rsidR="00454A29" w:rsidRDefault="00454A29"/>
        </w:tc>
        <w:tc>
          <w:tcPr>
            <w:tcW w:w="3345" w:type="dxa"/>
            <w:vMerge/>
          </w:tcPr>
          <w:p w14:paraId="4D9A9B91" w14:textId="77777777" w:rsidR="00454A29" w:rsidRDefault="00454A29"/>
        </w:tc>
        <w:tc>
          <w:tcPr>
            <w:tcW w:w="1701" w:type="dxa"/>
            <w:vAlign w:val="center"/>
          </w:tcPr>
          <w:p w14:paraId="3F4EF2BA" w14:textId="77777777" w:rsidR="00454A29" w:rsidRDefault="00454A29">
            <w:pPr>
              <w:pStyle w:val="ConsPlusNormal"/>
              <w:jc w:val="center"/>
            </w:pPr>
            <w:r>
              <w:t>2021</w:t>
            </w:r>
          </w:p>
        </w:tc>
        <w:tc>
          <w:tcPr>
            <w:tcW w:w="1417" w:type="dxa"/>
            <w:vMerge/>
          </w:tcPr>
          <w:p w14:paraId="52C2965F" w14:textId="77777777" w:rsidR="00454A29" w:rsidRDefault="00454A29"/>
        </w:tc>
        <w:tc>
          <w:tcPr>
            <w:tcW w:w="2204" w:type="dxa"/>
            <w:vMerge/>
          </w:tcPr>
          <w:p w14:paraId="0E0F9B53" w14:textId="77777777" w:rsidR="00454A29" w:rsidRDefault="00454A29"/>
        </w:tc>
        <w:tc>
          <w:tcPr>
            <w:tcW w:w="1417" w:type="dxa"/>
            <w:vMerge/>
          </w:tcPr>
          <w:p w14:paraId="07C66658" w14:textId="77777777" w:rsidR="00454A29" w:rsidRDefault="00454A29"/>
        </w:tc>
        <w:tc>
          <w:tcPr>
            <w:tcW w:w="2324" w:type="dxa"/>
            <w:vMerge/>
          </w:tcPr>
          <w:p w14:paraId="6150F15E" w14:textId="77777777" w:rsidR="00454A29" w:rsidRDefault="00454A29"/>
        </w:tc>
        <w:tc>
          <w:tcPr>
            <w:tcW w:w="1701" w:type="dxa"/>
            <w:vAlign w:val="center"/>
          </w:tcPr>
          <w:p w14:paraId="79489436" w14:textId="77777777" w:rsidR="00454A29" w:rsidRDefault="00454A29">
            <w:pPr>
              <w:pStyle w:val="ConsPlusNormal"/>
              <w:jc w:val="center"/>
            </w:pPr>
            <w:r>
              <w:t>-</w:t>
            </w:r>
          </w:p>
        </w:tc>
        <w:tc>
          <w:tcPr>
            <w:tcW w:w="1814" w:type="dxa"/>
            <w:vAlign w:val="center"/>
          </w:tcPr>
          <w:p w14:paraId="706ADF7D" w14:textId="77777777" w:rsidR="00454A29" w:rsidRDefault="00454A29">
            <w:pPr>
              <w:pStyle w:val="ConsPlusNormal"/>
            </w:pPr>
          </w:p>
        </w:tc>
        <w:tc>
          <w:tcPr>
            <w:tcW w:w="1701" w:type="dxa"/>
            <w:vAlign w:val="center"/>
          </w:tcPr>
          <w:p w14:paraId="4F0CB2A0" w14:textId="77777777" w:rsidR="00454A29" w:rsidRDefault="00454A29">
            <w:pPr>
              <w:pStyle w:val="ConsPlusNormal"/>
            </w:pPr>
          </w:p>
        </w:tc>
        <w:tc>
          <w:tcPr>
            <w:tcW w:w="1701" w:type="dxa"/>
            <w:vAlign w:val="center"/>
          </w:tcPr>
          <w:p w14:paraId="352D737A" w14:textId="77777777" w:rsidR="00454A29" w:rsidRDefault="00454A29">
            <w:pPr>
              <w:pStyle w:val="ConsPlusNormal"/>
            </w:pPr>
          </w:p>
        </w:tc>
        <w:tc>
          <w:tcPr>
            <w:tcW w:w="1814" w:type="dxa"/>
            <w:vAlign w:val="center"/>
          </w:tcPr>
          <w:p w14:paraId="2BB3D082" w14:textId="77777777" w:rsidR="00454A29" w:rsidRDefault="00454A29">
            <w:pPr>
              <w:pStyle w:val="ConsPlusNormal"/>
            </w:pPr>
          </w:p>
        </w:tc>
      </w:tr>
      <w:tr w:rsidR="00454A29" w14:paraId="531B0408" w14:textId="77777777">
        <w:tc>
          <w:tcPr>
            <w:tcW w:w="567" w:type="dxa"/>
            <w:vMerge/>
          </w:tcPr>
          <w:p w14:paraId="0352CD0B" w14:textId="77777777" w:rsidR="00454A29" w:rsidRDefault="00454A29"/>
        </w:tc>
        <w:tc>
          <w:tcPr>
            <w:tcW w:w="3345" w:type="dxa"/>
            <w:vMerge/>
          </w:tcPr>
          <w:p w14:paraId="1A90BEB2" w14:textId="77777777" w:rsidR="00454A29" w:rsidRDefault="00454A29"/>
        </w:tc>
        <w:tc>
          <w:tcPr>
            <w:tcW w:w="1701" w:type="dxa"/>
            <w:vAlign w:val="center"/>
          </w:tcPr>
          <w:p w14:paraId="3DF05FC6" w14:textId="77777777" w:rsidR="00454A29" w:rsidRDefault="00454A29">
            <w:pPr>
              <w:pStyle w:val="ConsPlusNormal"/>
              <w:jc w:val="center"/>
            </w:pPr>
            <w:r>
              <w:t>2022</w:t>
            </w:r>
          </w:p>
        </w:tc>
        <w:tc>
          <w:tcPr>
            <w:tcW w:w="1417" w:type="dxa"/>
            <w:vMerge/>
          </w:tcPr>
          <w:p w14:paraId="499706BF" w14:textId="77777777" w:rsidR="00454A29" w:rsidRDefault="00454A29"/>
        </w:tc>
        <w:tc>
          <w:tcPr>
            <w:tcW w:w="2204" w:type="dxa"/>
            <w:vMerge/>
          </w:tcPr>
          <w:p w14:paraId="41EAA2BB" w14:textId="77777777" w:rsidR="00454A29" w:rsidRDefault="00454A29"/>
        </w:tc>
        <w:tc>
          <w:tcPr>
            <w:tcW w:w="1417" w:type="dxa"/>
            <w:vMerge/>
          </w:tcPr>
          <w:p w14:paraId="6171B580" w14:textId="77777777" w:rsidR="00454A29" w:rsidRDefault="00454A29"/>
        </w:tc>
        <w:tc>
          <w:tcPr>
            <w:tcW w:w="2324" w:type="dxa"/>
            <w:vMerge/>
          </w:tcPr>
          <w:p w14:paraId="624CD9F9" w14:textId="77777777" w:rsidR="00454A29" w:rsidRDefault="00454A29"/>
        </w:tc>
        <w:tc>
          <w:tcPr>
            <w:tcW w:w="1701" w:type="dxa"/>
            <w:vAlign w:val="center"/>
          </w:tcPr>
          <w:p w14:paraId="39530391" w14:textId="77777777" w:rsidR="00454A29" w:rsidRDefault="00454A29">
            <w:pPr>
              <w:pStyle w:val="ConsPlusNormal"/>
              <w:jc w:val="center"/>
            </w:pPr>
            <w:r>
              <w:t>-</w:t>
            </w:r>
          </w:p>
        </w:tc>
        <w:tc>
          <w:tcPr>
            <w:tcW w:w="1814" w:type="dxa"/>
            <w:vAlign w:val="center"/>
          </w:tcPr>
          <w:p w14:paraId="40BCB0E9" w14:textId="77777777" w:rsidR="00454A29" w:rsidRDefault="00454A29">
            <w:pPr>
              <w:pStyle w:val="ConsPlusNormal"/>
              <w:jc w:val="center"/>
            </w:pPr>
            <w:r>
              <w:t>-</w:t>
            </w:r>
          </w:p>
        </w:tc>
        <w:tc>
          <w:tcPr>
            <w:tcW w:w="1701" w:type="dxa"/>
            <w:vAlign w:val="center"/>
          </w:tcPr>
          <w:p w14:paraId="21DBAF51" w14:textId="77777777" w:rsidR="00454A29" w:rsidRDefault="00454A29">
            <w:pPr>
              <w:pStyle w:val="ConsPlusNormal"/>
            </w:pPr>
          </w:p>
        </w:tc>
        <w:tc>
          <w:tcPr>
            <w:tcW w:w="1701" w:type="dxa"/>
            <w:vAlign w:val="center"/>
          </w:tcPr>
          <w:p w14:paraId="03E173A5" w14:textId="77777777" w:rsidR="00454A29" w:rsidRDefault="00454A29">
            <w:pPr>
              <w:pStyle w:val="ConsPlusNormal"/>
            </w:pPr>
          </w:p>
        </w:tc>
        <w:tc>
          <w:tcPr>
            <w:tcW w:w="1814" w:type="dxa"/>
            <w:vAlign w:val="center"/>
          </w:tcPr>
          <w:p w14:paraId="7B1E43C6" w14:textId="77777777" w:rsidR="00454A29" w:rsidRDefault="00454A29">
            <w:pPr>
              <w:pStyle w:val="ConsPlusNormal"/>
            </w:pPr>
          </w:p>
        </w:tc>
      </w:tr>
      <w:tr w:rsidR="00454A29" w14:paraId="45AC3E31" w14:textId="77777777">
        <w:tc>
          <w:tcPr>
            <w:tcW w:w="567" w:type="dxa"/>
            <w:vMerge/>
          </w:tcPr>
          <w:p w14:paraId="4E767F8C" w14:textId="77777777" w:rsidR="00454A29" w:rsidRDefault="00454A29"/>
        </w:tc>
        <w:tc>
          <w:tcPr>
            <w:tcW w:w="3345" w:type="dxa"/>
            <w:vMerge/>
          </w:tcPr>
          <w:p w14:paraId="3307F321" w14:textId="77777777" w:rsidR="00454A29" w:rsidRDefault="00454A29"/>
        </w:tc>
        <w:tc>
          <w:tcPr>
            <w:tcW w:w="1701" w:type="dxa"/>
            <w:vAlign w:val="center"/>
          </w:tcPr>
          <w:p w14:paraId="53070796" w14:textId="77777777" w:rsidR="00454A29" w:rsidRDefault="00454A29">
            <w:pPr>
              <w:pStyle w:val="ConsPlusNormal"/>
              <w:jc w:val="center"/>
            </w:pPr>
            <w:r>
              <w:t>2023</w:t>
            </w:r>
          </w:p>
        </w:tc>
        <w:tc>
          <w:tcPr>
            <w:tcW w:w="1417" w:type="dxa"/>
            <w:vMerge/>
          </w:tcPr>
          <w:p w14:paraId="4FBAF416" w14:textId="77777777" w:rsidR="00454A29" w:rsidRDefault="00454A29"/>
        </w:tc>
        <w:tc>
          <w:tcPr>
            <w:tcW w:w="2204" w:type="dxa"/>
            <w:vMerge/>
          </w:tcPr>
          <w:p w14:paraId="5232CDBA" w14:textId="77777777" w:rsidR="00454A29" w:rsidRDefault="00454A29"/>
        </w:tc>
        <w:tc>
          <w:tcPr>
            <w:tcW w:w="1417" w:type="dxa"/>
            <w:vMerge/>
          </w:tcPr>
          <w:p w14:paraId="020B3B54" w14:textId="77777777" w:rsidR="00454A29" w:rsidRDefault="00454A29"/>
        </w:tc>
        <w:tc>
          <w:tcPr>
            <w:tcW w:w="2324" w:type="dxa"/>
            <w:vMerge/>
          </w:tcPr>
          <w:p w14:paraId="03EFC86E" w14:textId="77777777" w:rsidR="00454A29" w:rsidRDefault="00454A29"/>
        </w:tc>
        <w:tc>
          <w:tcPr>
            <w:tcW w:w="1701" w:type="dxa"/>
            <w:vAlign w:val="center"/>
          </w:tcPr>
          <w:p w14:paraId="20E8DF4F" w14:textId="77777777" w:rsidR="00454A29" w:rsidRDefault="00454A29">
            <w:pPr>
              <w:pStyle w:val="ConsPlusNormal"/>
              <w:jc w:val="center"/>
            </w:pPr>
            <w:r>
              <w:t>2 480,00</w:t>
            </w:r>
          </w:p>
        </w:tc>
        <w:tc>
          <w:tcPr>
            <w:tcW w:w="1814" w:type="dxa"/>
            <w:vAlign w:val="center"/>
          </w:tcPr>
          <w:p w14:paraId="20CB9EC7" w14:textId="77777777" w:rsidR="00454A29" w:rsidRDefault="00454A29">
            <w:pPr>
              <w:pStyle w:val="ConsPlusNormal"/>
              <w:jc w:val="center"/>
            </w:pPr>
            <w:r>
              <w:t>2 480,00</w:t>
            </w:r>
          </w:p>
        </w:tc>
        <w:tc>
          <w:tcPr>
            <w:tcW w:w="1701" w:type="dxa"/>
            <w:vAlign w:val="center"/>
          </w:tcPr>
          <w:p w14:paraId="3E96EEA7" w14:textId="77777777" w:rsidR="00454A29" w:rsidRDefault="00454A29">
            <w:pPr>
              <w:pStyle w:val="ConsPlusNormal"/>
            </w:pPr>
          </w:p>
        </w:tc>
        <w:tc>
          <w:tcPr>
            <w:tcW w:w="1701" w:type="dxa"/>
            <w:vAlign w:val="center"/>
          </w:tcPr>
          <w:p w14:paraId="3F4E6142" w14:textId="77777777" w:rsidR="00454A29" w:rsidRDefault="00454A29">
            <w:pPr>
              <w:pStyle w:val="ConsPlusNormal"/>
            </w:pPr>
          </w:p>
        </w:tc>
        <w:tc>
          <w:tcPr>
            <w:tcW w:w="1814" w:type="dxa"/>
            <w:vAlign w:val="center"/>
          </w:tcPr>
          <w:p w14:paraId="3CF60861" w14:textId="77777777" w:rsidR="00454A29" w:rsidRDefault="00454A29">
            <w:pPr>
              <w:pStyle w:val="ConsPlusNormal"/>
            </w:pPr>
          </w:p>
        </w:tc>
      </w:tr>
      <w:tr w:rsidR="00454A29" w14:paraId="625ABD3E" w14:textId="77777777">
        <w:tc>
          <w:tcPr>
            <w:tcW w:w="567" w:type="dxa"/>
            <w:vMerge/>
          </w:tcPr>
          <w:p w14:paraId="7BDAA62E" w14:textId="77777777" w:rsidR="00454A29" w:rsidRDefault="00454A29"/>
        </w:tc>
        <w:tc>
          <w:tcPr>
            <w:tcW w:w="3345" w:type="dxa"/>
            <w:vMerge/>
          </w:tcPr>
          <w:p w14:paraId="0E261E63" w14:textId="77777777" w:rsidR="00454A29" w:rsidRDefault="00454A29"/>
        </w:tc>
        <w:tc>
          <w:tcPr>
            <w:tcW w:w="1701" w:type="dxa"/>
            <w:vAlign w:val="center"/>
          </w:tcPr>
          <w:p w14:paraId="67687030" w14:textId="77777777" w:rsidR="00454A29" w:rsidRDefault="00454A29">
            <w:pPr>
              <w:pStyle w:val="ConsPlusNormal"/>
              <w:jc w:val="center"/>
            </w:pPr>
            <w:r>
              <w:t>2024</w:t>
            </w:r>
          </w:p>
        </w:tc>
        <w:tc>
          <w:tcPr>
            <w:tcW w:w="1417" w:type="dxa"/>
            <w:vMerge/>
          </w:tcPr>
          <w:p w14:paraId="2CA4D26E" w14:textId="77777777" w:rsidR="00454A29" w:rsidRDefault="00454A29"/>
        </w:tc>
        <w:tc>
          <w:tcPr>
            <w:tcW w:w="2204" w:type="dxa"/>
            <w:vMerge/>
          </w:tcPr>
          <w:p w14:paraId="4A299C81" w14:textId="77777777" w:rsidR="00454A29" w:rsidRDefault="00454A29"/>
        </w:tc>
        <w:tc>
          <w:tcPr>
            <w:tcW w:w="1417" w:type="dxa"/>
            <w:vMerge/>
          </w:tcPr>
          <w:p w14:paraId="3965D2D6" w14:textId="77777777" w:rsidR="00454A29" w:rsidRDefault="00454A29"/>
        </w:tc>
        <w:tc>
          <w:tcPr>
            <w:tcW w:w="2324" w:type="dxa"/>
            <w:vMerge/>
          </w:tcPr>
          <w:p w14:paraId="12562AA5" w14:textId="77777777" w:rsidR="00454A29" w:rsidRDefault="00454A29"/>
        </w:tc>
        <w:tc>
          <w:tcPr>
            <w:tcW w:w="1701" w:type="dxa"/>
            <w:vAlign w:val="center"/>
          </w:tcPr>
          <w:p w14:paraId="0EAEB9B0" w14:textId="77777777" w:rsidR="00454A29" w:rsidRDefault="00454A29">
            <w:pPr>
              <w:pStyle w:val="ConsPlusNormal"/>
              <w:jc w:val="center"/>
            </w:pPr>
            <w:r>
              <w:t>-</w:t>
            </w:r>
          </w:p>
        </w:tc>
        <w:tc>
          <w:tcPr>
            <w:tcW w:w="1814" w:type="dxa"/>
            <w:vAlign w:val="center"/>
          </w:tcPr>
          <w:p w14:paraId="60163BD3" w14:textId="77777777" w:rsidR="00454A29" w:rsidRDefault="00454A29">
            <w:pPr>
              <w:pStyle w:val="ConsPlusNormal"/>
            </w:pPr>
          </w:p>
        </w:tc>
        <w:tc>
          <w:tcPr>
            <w:tcW w:w="1701" w:type="dxa"/>
            <w:vAlign w:val="center"/>
          </w:tcPr>
          <w:p w14:paraId="5001F1E8" w14:textId="77777777" w:rsidR="00454A29" w:rsidRDefault="00454A29">
            <w:pPr>
              <w:pStyle w:val="ConsPlusNormal"/>
            </w:pPr>
          </w:p>
        </w:tc>
        <w:tc>
          <w:tcPr>
            <w:tcW w:w="1701" w:type="dxa"/>
            <w:vAlign w:val="center"/>
          </w:tcPr>
          <w:p w14:paraId="75AA2C77" w14:textId="77777777" w:rsidR="00454A29" w:rsidRDefault="00454A29">
            <w:pPr>
              <w:pStyle w:val="ConsPlusNormal"/>
            </w:pPr>
          </w:p>
        </w:tc>
        <w:tc>
          <w:tcPr>
            <w:tcW w:w="1814" w:type="dxa"/>
            <w:vAlign w:val="center"/>
          </w:tcPr>
          <w:p w14:paraId="1C78D39C" w14:textId="77777777" w:rsidR="00454A29" w:rsidRDefault="00454A29">
            <w:pPr>
              <w:pStyle w:val="ConsPlusNormal"/>
            </w:pPr>
          </w:p>
        </w:tc>
      </w:tr>
      <w:tr w:rsidR="00454A29" w14:paraId="46DA2BEC" w14:textId="77777777">
        <w:tc>
          <w:tcPr>
            <w:tcW w:w="567" w:type="dxa"/>
            <w:vMerge/>
          </w:tcPr>
          <w:p w14:paraId="4E1AEEDB" w14:textId="77777777" w:rsidR="00454A29" w:rsidRDefault="00454A29"/>
        </w:tc>
        <w:tc>
          <w:tcPr>
            <w:tcW w:w="3345" w:type="dxa"/>
            <w:vMerge/>
          </w:tcPr>
          <w:p w14:paraId="7A4A20A5" w14:textId="77777777" w:rsidR="00454A29" w:rsidRDefault="00454A29"/>
        </w:tc>
        <w:tc>
          <w:tcPr>
            <w:tcW w:w="1701" w:type="dxa"/>
            <w:vAlign w:val="center"/>
          </w:tcPr>
          <w:p w14:paraId="08D35906" w14:textId="77777777" w:rsidR="00454A29" w:rsidRDefault="00454A29">
            <w:pPr>
              <w:pStyle w:val="ConsPlusNormal"/>
              <w:jc w:val="center"/>
            </w:pPr>
            <w:r>
              <w:t>2025</w:t>
            </w:r>
          </w:p>
        </w:tc>
        <w:tc>
          <w:tcPr>
            <w:tcW w:w="1417" w:type="dxa"/>
            <w:vMerge/>
          </w:tcPr>
          <w:p w14:paraId="2F0AF10E" w14:textId="77777777" w:rsidR="00454A29" w:rsidRDefault="00454A29"/>
        </w:tc>
        <w:tc>
          <w:tcPr>
            <w:tcW w:w="2204" w:type="dxa"/>
            <w:vMerge/>
          </w:tcPr>
          <w:p w14:paraId="51CE7090" w14:textId="77777777" w:rsidR="00454A29" w:rsidRDefault="00454A29"/>
        </w:tc>
        <w:tc>
          <w:tcPr>
            <w:tcW w:w="1417" w:type="dxa"/>
            <w:vMerge/>
          </w:tcPr>
          <w:p w14:paraId="77C13347" w14:textId="77777777" w:rsidR="00454A29" w:rsidRDefault="00454A29"/>
        </w:tc>
        <w:tc>
          <w:tcPr>
            <w:tcW w:w="2324" w:type="dxa"/>
            <w:vMerge/>
          </w:tcPr>
          <w:p w14:paraId="49D92B5F" w14:textId="77777777" w:rsidR="00454A29" w:rsidRDefault="00454A29"/>
        </w:tc>
        <w:tc>
          <w:tcPr>
            <w:tcW w:w="1701" w:type="dxa"/>
            <w:vAlign w:val="center"/>
          </w:tcPr>
          <w:p w14:paraId="2B61A9AA" w14:textId="77777777" w:rsidR="00454A29" w:rsidRDefault="00454A29">
            <w:pPr>
              <w:pStyle w:val="ConsPlusNormal"/>
              <w:jc w:val="center"/>
            </w:pPr>
            <w:r>
              <w:t>-</w:t>
            </w:r>
          </w:p>
        </w:tc>
        <w:tc>
          <w:tcPr>
            <w:tcW w:w="1814" w:type="dxa"/>
            <w:vAlign w:val="center"/>
          </w:tcPr>
          <w:p w14:paraId="5CB6A38A" w14:textId="77777777" w:rsidR="00454A29" w:rsidRDefault="00454A29">
            <w:pPr>
              <w:pStyle w:val="ConsPlusNormal"/>
            </w:pPr>
          </w:p>
        </w:tc>
        <w:tc>
          <w:tcPr>
            <w:tcW w:w="1701" w:type="dxa"/>
            <w:vAlign w:val="center"/>
          </w:tcPr>
          <w:p w14:paraId="65ACDB98" w14:textId="77777777" w:rsidR="00454A29" w:rsidRDefault="00454A29">
            <w:pPr>
              <w:pStyle w:val="ConsPlusNormal"/>
            </w:pPr>
          </w:p>
        </w:tc>
        <w:tc>
          <w:tcPr>
            <w:tcW w:w="1701" w:type="dxa"/>
            <w:vAlign w:val="center"/>
          </w:tcPr>
          <w:p w14:paraId="337136BA" w14:textId="77777777" w:rsidR="00454A29" w:rsidRDefault="00454A29">
            <w:pPr>
              <w:pStyle w:val="ConsPlusNormal"/>
            </w:pPr>
          </w:p>
        </w:tc>
        <w:tc>
          <w:tcPr>
            <w:tcW w:w="1814" w:type="dxa"/>
            <w:vAlign w:val="center"/>
          </w:tcPr>
          <w:p w14:paraId="194D559D" w14:textId="77777777" w:rsidR="00454A29" w:rsidRDefault="00454A29">
            <w:pPr>
              <w:pStyle w:val="ConsPlusNormal"/>
            </w:pPr>
          </w:p>
        </w:tc>
      </w:tr>
      <w:tr w:rsidR="00454A29" w14:paraId="27EEFE06" w14:textId="77777777">
        <w:tc>
          <w:tcPr>
            <w:tcW w:w="567" w:type="dxa"/>
            <w:vMerge/>
          </w:tcPr>
          <w:p w14:paraId="3AD3C5F1" w14:textId="77777777" w:rsidR="00454A29" w:rsidRDefault="00454A29"/>
        </w:tc>
        <w:tc>
          <w:tcPr>
            <w:tcW w:w="3345" w:type="dxa"/>
            <w:vMerge/>
          </w:tcPr>
          <w:p w14:paraId="695D73C8" w14:textId="77777777" w:rsidR="00454A29" w:rsidRDefault="00454A29"/>
        </w:tc>
        <w:tc>
          <w:tcPr>
            <w:tcW w:w="1701" w:type="dxa"/>
            <w:vAlign w:val="center"/>
          </w:tcPr>
          <w:p w14:paraId="412FB991" w14:textId="77777777" w:rsidR="00454A29" w:rsidRDefault="00454A29">
            <w:pPr>
              <w:pStyle w:val="ConsPlusNormal"/>
              <w:jc w:val="center"/>
            </w:pPr>
            <w:r>
              <w:t>2026</w:t>
            </w:r>
          </w:p>
        </w:tc>
        <w:tc>
          <w:tcPr>
            <w:tcW w:w="1417" w:type="dxa"/>
            <w:vMerge/>
          </w:tcPr>
          <w:p w14:paraId="5EEEB775" w14:textId="77777777" w:rsidR="00454A29" w:rsidRDefault="00454A29"/>
        </w:tc>
        <w:tc>
          <w:tcPr>
            <w:tcW w:w="2204" w:type="dxa"/>
            <w:vMerge/>
          </w:tcPr>
          <w:p w14:paraId="0700DDCC" w14:textId="77777777" w:rsidR="00454A29" w:rsidRDefault="00454A29"/>
        </w:tc>
        <w:tc>
          <w:tcPr>
            <w:tcW w:w="1417" w:type="dxa"/>
            <w:vMerge/>
          </w:tcPr>
          <w:p w14:paraId="474989DD" w14:textId="77777777" w:rsidR="00454A29" w:rsidRDefault="00454A29"/>
        </w:tc>
        <w:tc>
          <w:tcPr>
            <w:tcW w:w="2324" w:type="dxa"/>
            <w:vMerge/>
          </w:tcPr>
          <w:p w14:paraId="6B3ACA4F" w14:textId="77777777" w:rsidR="00454A29" w:rsidRDefault="00454A29"/>
        </w:tc>
        <w:tc>
          <w:tcPr>
            <w:tcW w:w="1701" w:type="dxa"/>
            <w:vAlign w:val="center"/>
          </w:tcPr>
          <w:p w14:paraId="49702F89" w14:textId="77777777" w:rsidR="00454A29" w:rsidRDefault="00454A29">
            <w:pPr>
              <w:pStyle w:val="ConsPlusNormal"/>
              <w:jc w:val="center"/>
            </w:pPr>
            <w:r>
              <w:t>-</w:t>
            </w:r>
          </w:p>
        </w:tc>
        <w:tc>
          <w:tcPr>
            <w:tcW w:w="1814" w:type="dxa"/>
            <w:vAlign w:val="center"/>
          </w:tcPr>
          <w:p w14:paraId="6FDC77E7" w14:textId="77777777" w:rsidR="00454A29" w:rsidRDefault="00454A29">
            <w:pPr>
              <w:pStyle w:val="ConsPlusNormal"/>
            </w:pPr>
          </w:p>
        </w:tc>
        <w:tc>
          <w:tcPr>
            <w:tcW w:w="1701" w:type="dxa"/>
            <w:vAlign w:val="center"/>
          </w:tcPr>
          <w:p w14:paraId="77F0D0A6" w14:textId="77777777" w:rsidR="00454A29" w:rsidRDefault="00454A29">
            <w:pPr>
              <w:pStyle w:val="ConsPlusNormal"/>
            </w:pPr>
          </w:p>
        </w:tc>
        <w:tc>
          <w:tcPr>
            <w:tcW w:w="1701" w:type="dxa"/>
            <w:vAlign w:val="center"/>
          </w:tcPr>
          <w:p w14:paraId="6C817AB2" w14:textId="77777777" w:rsidR="00454A29" w:rsidRDefault="00454A29">
            <w:pPr>
              <w:pStyle w:val="ConsPlusNormal"/>
            </w:pPr>
          </w:p>
        </w:tc>
        <w:tc>
          <w:tcPr>
            <w:tcW w:w="1814" w:type="dxa"/>
            <w:vAlign w:val="center"/>
          </w:tcPr>
          <w:p w14:paraId="3E4CEB63" w14:textId="77777777" w:rsidR="00454A29" w:rsidRDefault="00454A29">
            <w:pPr>
              <w:pStyle w:val="ConsPlusNormal"/>
            </w:pPr>
          </w:p>
        </w:tc>
      </w:tr>
      <w:tr w:rsidR="00454A29" w14:paraId="00513388" w14:textId="77777777">
        <w:tc>
          <w:tcPr>
            <w:tcW w:w="567" w:type="dxa"/>
            <w:vMerge w:val="restart"/>
            <w:vAlign w:val="center"/>
          </w:tcPr>
          <w:p w14:paraId="1693E37B" w14:textId="77777777" w:rsidR="00454A29" w:rsidRDefault="00454A29">
            <w:pPr>
              <w:pStyle w:val="ConsPlusNormal"/>
              <w:jc w:val="center"/>
            </w:pPr>
            <w:r>
              <w:t>115</w:t>
            </w:r>
          </w:p>
        </w:tc>
        <w:tc>
          <w:tcPr>
            <w:tcW w:w="3345" w:type="dxa"/>
            <w:vMerge w:val="restart"/>
            <w:vAlign w:val="center"/>
          </w:tcPr>
          <w:p w14:paraId="428A9B1C" w14:textId="77777777" w:rsidR="00454A29" w:rsidRDefault="00454A29">
            <w:pPr>
              <w:pStyle w:val="ConsPlusNormal"/>
              <w:jc w:val="center"/>
            </w:pPr>
            <w:r>
              <w:t>Модернизация материально-технической базы системы среднего профессионального образования (5 учреждений)</w:t>
            </w:r>
          </w:p>
        </w:tc>
        <w:tc>
          <w:tcPr>
            <w:tcW w:w="1701" w:type="dxa"/>
            <w:vAlign w:val="center"/>
          </w:tcPr>
          <w:p w14:paraId="5A6D4834" w14:textId="77777777" w:rsidR="00454A29" w:rsidRDefault="00454A29">
            <w:pPr>
              <w:pStyle w:val="ConsPlusNormal"/>
              <w:jc w:val="center"/>
            </w:pPr>
            <w:r>
              <w:t>Всего:</w:t>
            </w:r>
          </w:p>
        </w:tc>
        <w:tc>
          <w:tcPr>
            <w:tcW w:w="1417" w:type="dxa"/>
            <w:vMerge w:val="restart"/>
            <w:vAlign w:val="center"/>
          </w:tcPr>
          <w:p w14:paraId="2D77D439" w14:textId="77777777" w:rsidR="00454A29" w:rsidRDefault="00454A29">
            <w:pPr>
              <w:pStyle w:val="ConsPlusNormal"/>
              <w:jc w:val="center"/>
            </w:pPr>
            <w:r>
              <w:t>5 000</w:t>
            </w:r>
          </w:p>
        </w:tc>
        <w:tc>
          <w:tcPr>
            <w:tcW w:w="2204" w:type="dxa"/>
            <w:vMerge w:val="restart"/>
            <w:vAlign w:val="center"/>
          </w:tcPr>
          <w:p w14:paraId="691566AC" w14:textId="77777777" w:rsidR="00454A29" w:rsidRDefault="00454A29">
            <w:pPr>
              <w:pStyle w:val="ConsPlusNormal"/>
            </w:pPr>
          </w:p>
        </w:tc>
        <w:tc>
          <w:tcPr>
            <w:tcW w:w="1417" w:type="dxa"/>
            <w:vMerge w:val="restart"/>
            <w:vAlign w:val="center"/>
          </w:tcPr>
          <w:p w14:paraId="7510B7C3" w14:textId="77777777" w:rsidR="00454A29" w:rsidRDefault="00454A29">
            <w:pPr>
              <w:pStyle w:val="ConsPlusNormal"/>
            </w:pPr>
          </w:p>
        </w:tc>
        <w:tc>
          <w:tcPr>
            <w:tcW w:w="2324" w:type="dxa"/>
            <w:vMerge w:val="restart"/>
            <w:vAlign w:val="center"/>
          </w:tcPr>
          <w:p w14:paraId="1D66A788" w14:textId="77777777" w:rsidR="00454A29" w:rsidRDefault="00454A29">
            <w:pPr>
              <w:pStyle w:val="ConsPlusNormal"/>
              <w:jc w:val="center"/>
            </w:pPr>
            <w:r>
              <w:t>Министерство экономики Республики Саха (Якутия), Министерство образования и науки Республики Саха (Якутия)</w:t>
            </w:r>
          </w:p>
        </w:tc>
        <w:tc>
          <w:tcPr>
            <w:tcW w:w="1701" w:type="dxa"/>
            <w:vAlign w:val="center"/>
          </w:tcPr>
          <w:p w14:paraId="0635D145" w14:textId="77777777" w:rsidR="00454A29" w:rsidRDefault="00454A29">
            <w:pPr>
              <w:pStyle w:val="ConsPlusNormal"/>
              <w:jc w:val="center"/>
            </w:pPr>
            <w:r>
              <w:t>-</w:t>
            </w:r>
          </w:p>
        </w:tc>
        <w:tc>
          <w:tcPr>
            <w:tcW w:w="1814" w:type="dxa"/>
            <w:vAlign w:val="center"/>
          </w:tcPr>
          <w:p w14:paraId="59A9F4C5" w14:textId="77777777" w:rsidR="00454A29" w:rsidRDefault="00454A29">
            <w:pPr>
              <w:pStyle w:val="ConsPlusNormal"/>
              <w:jc w:val="center"/>
            </w:pPr>
            <w:r>
              <w:t>-</w:t>
            </w:r>
          </w:p>
        </w:tc>
        <w:tc>
          <w:tcPr>
            <w:tcW w:w="1701" w:type="dxa"/>
            <w:vAlign w:val="center"/>
          </w:tcPr>
          <w:p w14:paraId="682005F3" w14:textId="77777777" w:rsidR="00454A29" w:rsidRDefault="00454A29">
            <w:pPr>
              <w:pStyle w:val="ConsPlusNormal"/>
              <w:jc w:val="center"/>
            </w:pPr>
            <w:r>
              <w:t>-</w:t>
            </w:r>
          </w:p>
        </w:tc>
        <w:tc>
          <w:tcPr>
            <w:tcW w:w="1701" w:type="dxa"/>
            <w:vAlign w:val="center"/>
          </w:tcPr>
          <w:p w14:paraId="2F913A0F" w14:textId="77777777" w:rsidR="00454A29" w:rsidRDefault="00454A29">
            <w:pPr>
              <w:pStyle w:val="ConsPlusNormal"/>
              <w:jc w:val="center"/>
            </w:pPr>
            <w:r>
              <w:t>-</w:t>
            </w:r>
          </w:p>
        </w:tc>
        <w:tc>
          <w:tcPr>
            <w:tcW w:w="1814" w:type="dxa"/>
            <w:vAlign w:val="center"/>
          </w:tcPr>
          <w:p w14:paraId="716D11CF" w14:textId="77777777" w:rsidR="00454A29" w:rsidRDefault="00454A29">
            <w:pPr>
              <w:pStyle w:val="ConsPlusNormal"/>
              <w:jc w:val="center"/>
            </w:pPr>
            <w:r>
              <w:t>-</w:t>
            </w:r>
          </w:p>
        </w:tc>
      </w:tr>
      <w:tr w:rsidR="00454A29" w14:paraId="4D857B57" w14:textId="77777777">
        <w:tc>
          <w:tcPr>
            <w:tcW w:w="567" w:type="dxa"/>
            <w:vMerge/>
          </w:tcPr>
          <w:p w14:paraId="4632894D" w14:textId="77777777" w:rsidR="00454A29" w:rsidRDefault="00454A29"/>
        </w:tc>
        <w:tc>
          <w:tcPr>
            <w:tcW w:w="3345" w:type="dxa"/>
            <w:vMerge/>
          </w:tcPr>
          <w:p w14:paraId="1BCA1EDA" w14:textId="77777777" w:rsidR="00454A29" w:rsidRDefault="00454A29"/>
        </w:tc>
        <w:tc>
          <w:tcPr>
            <w:tcW w:w="1701" w:type="dxa"/>
            <w:vAlign w:val="center"/>
          </w:tcPr>
          <w:p w14:paraId="340E44D2" w14:textId="77777777" w:rsidR="00454A29" w:rsidRDefault="00454A29">
            <w:pPr>
              <w:pStyle w:val="ConsPlusNormal"/>
              <w:jc w:val="center"/>
            </w:pPr>
            <w:r>
              <w:t>2020</w:t>
            </w:r>
          </w:p>
        </w:tc>
        <w:tc>
          <w:tcPr>
            <w:tcW w:w="1417" w:type="dxa"/>
            <w:vMerge/>
          </w:tcPr>
          <w:p w14:paraId="22730BE6" w14:textId="77777777" w:rsidR="00454A29" w:rsidRDefault="00454A29"/>
        </w:tc>
        <w:tc>
          <w:tcPr>
            <w:tcW w:w="2204" w:type="dxa"/>
            <w:vMerge/>
          </w:tcPr>
          <w:p w14:paraId="329C47B4" w14:textId="77777777" w:rsidR="00454A29" w:rsidRDefault="00454A29"/>
        </w:tc>
        <w:tc>
          <w:tcPr>
            <w:tcW w:w="1417" w:type="dxa"/>
            <w:vMerge/>
          </w:tcPr>
          <w:p w14:paraId="3077935E" w14:textId="77777777" w:rsidR="00454A29" w:rsidRDefault="00454A29"/>
        </w:tc>
        <w:tc>
          <w:tcPr>
            <w:tcW w:w="2324" w:type="dxa"/>
            <w:vMerge/>
          </w:tcPr>
          <w:p w14:paraId="765D41DB" w14:textId="77777777" w:rsidR="00454A29" w:rsidRDefault="00454A29"/>
        </w:tc>
        <w:tc>
          <w:tcPr>
            <w:tcW w:w="1701" w:type="dxa"/>
            <w:vAlign w:val="center"/>
          </w:tcPr>
          <w:p w14:paraId="72B45E0D" w14:textId="77777777" w:rsidR="00454A29" w:rsidRDefault="00454A29">
            <w:pPr>
              <w:pStyle w:val="ConsPlusNormal"/>
              <w:jc w:val="center"/>
            </w:pPr>
            <w:r>
              <w:t>-</w:t>
            </w:r>
          </w:p>
        </w:tc>
        <w:tc>
          <w:tcPr>
            <w:tcW w:w="1814" w:type="dxa"/>
            <w:vAlign w:val="center"/>
          </w:tcPr>
          <w:p w14:paraId="0C88FD5B" w14:textId="77777777" w:rsidR="00454A29" w:rsidRDefault="00454A29">
            <w:pPr>
              <w:pStyle w:val="ConsPlusNormal"/>
            </w:pPr>
          </w:p>
        </w:tc>
        <w:tc>
          <w:tcPr>
            <w:tcW w:w="1701" w:type="dxa"/>
            <w:vAlign w:val="center"/>
          </w:tcPr>
          <w:p w14:paraId="7E6C3D6F" w14:textId="77777777" w:rsidR="00454A29" w:rsidRDefault="00454A29">
            <w:pPr>
              <w:pStyle w:val="ConsPlusNormal"/>
            </w:pPr>
          </w:p>
        </w:tc>
        <w:tc>
          <w:tcPr>
            <w:tcW w:w="1701" w:type="dxa"/>
            <w:vAlign w:val="center"/>
          </w:tcPr>
          <w:p w14:paraId="197DC011" w14:textId="77777777" w:rsidR="00454A29" w:rsidRDefault="00454A29">
            <w:pPr>
              <w:pStyle w:val="ConsPlusNormal"/>
            </w:pPr>
          </w:p>
        </w:tc>
        <w:tc>
          <w:tcPr>
            <w:tcW w:w="1814" w:type="dxa"/>
            <w:vAlign w:val="center"/>
          </w:tcPr>
          <w:p w14:paraId="083DFFA8" w14:textId="77777777" w:rsidR="00454A29" w:rsidRDefault="00454A29">
            <w:pPr>
              <w:pStyle w:val="ConsPlusNormal"/>
            </w:pPr>
          </w:p>
        </w:tc>
      </w:tr>
      <w:tr w:rsidR="00454A29" w14:paraId="2BFA14B0" w14:textId="77777777">
        <w:tc>
          <w:tcPr>
            <w:tcW w:w="567" w:type="dxa"/>
            <w:vMerge/>
          </w:tcPr>
          <w:p w14:paraId="14D991FF" w14:textId="77777777" w:rsidR="00454A29" w:rsidRDefault="00454A29"/>
        </w:tc>
        <w:tc>
          <w:tcPr>
            <w:tcW w:w="3345" w:type="dxa"/>
            <w:vMerge/>
          </w:tcPr>
          <w:p w14:paraId="79C2B1DC" w14:textId="77777777" w:rsidR="00454A29" w:rsidRDefault="00454A29"/>
        </w:tc>
        <w:tc>
          <w:tcPr>
            <w:tcW w:w="1701" w:type="dxa"/>
            <w:vAlign w:val="center"/>
          </w:tcPr>
          <w:p w14:paraId="3D2E370A" w14:textId="77777777" w:rsidR="00454A29" w:rsidRDefault="00454A29">
            <w:pPr>
              <w:pStyle w:val="ConsPlusNormal"/>
              <w:jc w:val="center"/>
            </w:pPr>
            <w:r>
              <w:t>2021</w:t>
            </w:r>
          </w:p>
        </w:tc>
        <w:tc>
          <w:tcPr>
            <w:tcW w:w="1417" w:type="dxa"/>
            <w:vMerge/>
          </w:tcPr>
          <w:p w14:paraId="310246B0" w14:textId="77777777" w:rsidR="00454A29" w:rsidRDefault="00454A29"/>
        </w:tc>
        <w:tc>
          <w:tcPr>
            <w:tcW w:w="2204" w:type="dxa"/>
            <w:vMerge/>
          </w:tcPr>
          <w:p w14:paraId="3F5E8F6D" w14:textId="77777777" w:rsidR="00454A29" w:rsidRDefault="00454A29"/>
        </w:tc>
        <w:tc>
          <w:tcPr>
            <w:tcW w:w="1417" w:type="dxa"/>
            <w:vMerge/>
          </w:tcPr>
          <w:p w14:paraId="29B118FF" w14:textId="77777777" w:rsidR="00454A29" w:rsidRDefault="00454A29"/>
        </w:tc>
        <w:tc>
          <w:tcPr>
            <w:tcW w:w="2324" w:type="dxa"/>
            <w:vMerge/>
          </w:tcPr>
          <w:p w14:paraId="0A18C4A8" w14:textId="77777777" w:rsidR="00454A29" w:rsidRDefault="00454A29"/>
        </w:tc>
        <w:tc>
          <w:tcPr>
            <w:tcW w:w="1701" w:type="dxa"/>
            <w:vAlign w:val="center"/>
          </w:tcPr>
          <w:p w14:paraId="733D2896" w14:textId="77777777" w:rsidR="00454A29" w:rsidRDefault="00454A29">
            <w:pPr>
              <w:pStyle w:val="ConsPlusNormal"/>
              <w:jc w:val="center"/>
            </w:pPr>
            <w:r>
              <w:t>-</w:t>
            </w:r>
          </w:p>
        </w:tc>
        <w:tc>
          <w:tcPr>
            <w:tcW w:w="1814" w:type="dxa"/>
            <w:vAlign w:val="center"/>
          </w:tcPr>
          <w:p w14:paraId="0C4AEE3E" w14:textId="77777777" w:rsidR="00454A29" w:rsidRDefault="00454A29">
            <w:pPr>
              <w:pStyle w:val="ConsPlusNormal"/>
            </w:pPr>
          </w:p>
        </w:tc>
        <w:tc>
          <w:tcPr>
            <w:tcW w:w="1701" w:type="dxa"/>
            <w:vAlign w:val="center"/>
          </w:tcPr>
          <w:p w14:paraId="31A27BCB" w14:textId="77777777" w:rsidR="00454A29" w:rsidRDefault="00454A29">
            <w:pPr>
              <w:pStyle w:val="ConsPlusNormal"/>
            </w:pPr>
          </w:p>
        </w:tc>
        <w:tc>
          <w:tcPr>
            <w:tcW w:w="1701" w:type="dxa"/>
            <w:vAlign w:val="center"/>
          </w:tcPr>
          <w:p w14:paraId="4173E839" w14:textId="77777777" w:rsidR="00454A29" w:rsidRDefault="00454A29">
            <w:pPr>
              <w:pStyle w:val="ConsPlusNormal"/>
            </w:pPr>
          </w:p>
        </w:tc>
        <w:tc>
          <w:tcPr>
            <w:tcW w:w="1814" w:type="dxa"/>
            <w:vAlign w:val="center"/>
          </w:tcPr>
          <w:p w14:paraId="16A0A581" w14:textId="77777777" w:rsidR="00454A29" w:rsidRDefault="00454A29">
            <w:pPr>
              <w:pStyle w:val="ConsPlusNormal"/>
            </w:pPr>
          </w:p>
        </w:tc>
      </w:tr>
      <w:tr w:rsidR="00454A29" w14:paraId="2FA21295" w14:textId="77777777">
        <w:tc>
          <w:tcPr>
            <w:tcW w:w="567" w:type="dxa"/>
            <w:vMerge/>
          </w:tcPr>
          <w:p w14:paraId="33F88113" w14:textId="77777777" w:rsidR="00454A29" w:rsidRDefault="00454A29"/>
        </w:tc>
        <w:tc>
          <w:tcPr>
            <w:tcW w:w="3345" w:type="dxa"/>
            <w:vMerge/>
          </w:tcPr>
          <w:p w14:paraId="5F7C8746" w14:textId="77777777" w:rsidR="00454A29" w:rsidRDefault="00454A29"/>
        </w:tc>
        <w:tc>
          <w:tcPr>
            <w:tcW w:w="1701" w:type="dxa"/>
            <w:vAlign w:val="center"/>
          </w:tcPr>
          <w:p w14:paraId="475E6C4F" w14:textId="77777777" w:rsidR="00454A29" w:rsidRDefault="00454A29">
            <w:pPr>
              <w:pStyle w:val="ConsPlusNormal"/>
              <w:jc w:val="center"/>
            </w:pPr>
            <w:r>
              <w:t>2022</w:t>
            </w:r>
          </w:p>
        </w:tc>
        <w:tc>
          <w:tcPr>
            <w:tcW w:w="1417" w:type="dxa"/>
            <w:vMerge/>
          </w:tcPr>
          <w:p w14:paraId="0C6DF169" w14:textId="77777777" w:rsidR="00454A29" w:rsidRDefault="00454A29"/>
        </w:tc>
        <w:tc>
          <w:tcPr>
            <w:tcW w:w="2204" w:type="dxa"/>
            <w:vMerge/>
          </w:tcPr>
          <w:p w14:paraId="70D31365" w14:textId="77777777" w:rsidR="00454A29" w:rsidRDefault="00454A29"/>
        </w:tc>
        <w:tc>
          <w:tcPr>
            <w:tcW w:w="1417" w:type="dxa"/>
            <w:vMerge/>
          </w:tcPr>
          <w:p w14:paraId="6C9C0A1E" w14:textId="77777777" w:rsidR="00454A29" w:rsidRDefault="00454A29"/>
        </w:tc>
        <w:tc>
          <w:tcPr>
            <w:tcW w:w="2324" w:type="dxa"/>
            <w:vMerge/>
          </w:tcPr>
          <w:p w14:paraId="393D07A0" w14:textId="77777777" w:rsidR="00454A29" w:rsidRDefault="00454A29"/>
        </w:tc>
        <w:tc>
          <w:tcPr>
            <w:tcW w:w="1701" w:type="dxa"/>
            <w:vAlign w:val="center"/>
          </w:tcPr>
          <w:p w14:paraId="755A6029" w14:textId="77777777" w:rsidR="00454A29" w:rsidRDefault="00454A29">
            <w:pPr>
              <w:pStyle w:val="ConsPlusNormal"/>
              <w:jc w:val="center"/>
            </w:pPr>
            <w:r>
              <w:t>-</w:t>
            </w:r>
          </w:p>
        </w:tc>
        <w:tc>
          <w:tcPr>
            <w:tcW w:w="1814" w:type="dxa"/>
            <w:vAlign w:val="center"/>
          </w:tcPr>
          <w:p w14:paraId="2727F956" w14:textId="77777777" w:rsidR="00454A29" w:rsidRDefault="00454A29">
            <w:pPr>
              <w:pStyle w:val="ConsPlusNormal"/>
            </w:pPr>
          </w:p>
        </w:tc>
        <w:tc>
          <w:tcPr>
            <w:tcW w:w="1701" w:type="dxa"/>
            <w:vAlign w:val="center"/>
          </w:tcPr>
          <w:p w14:paraId="43951635" w14:textId="77777777" w:rsidR="00454A29" w:rsidRDefault="00454A29">
            <w:pPr>
              <w:pStyle w:val="ConsPlusNormal"/>
            </w:pPr>
          </w:p>
        </w:tc>
        <w:tc>
          <w:tcPr>
            <w:tcW w:w="1701" w:type="dxa"/>
            <w:vAlign w:val="center"/>
          </w:tcPr>
          <w:p w14:paraId="4981D169" w14:textId="77777777" w:rsidR="00454A29" w:rsidRDefault="00454A29">
            <w:pPr>
              <w:pStyle w:val="ConsPlusNormal"/>
            </w:pPr>
          </w:p>
        </w:tc>
        <w:tc>
          <w:tcPr>
            <w:tcW w:w="1814" w:type="dxa"/>
            <w:vAlign w:val="center"/>
          </w:tcPr>
          <w:p w14:paraId="144B810A" w14:textId="77777777" w:rsidR="00454A29" w:rsidRDefault="00454A29">
            <w:pPr>
              <w:pStyle w:val="ConsPlusNormal"/>
            </w:pPr>
          </w:p>
        </w:tc>
      </w:tr>
      <w:tr w:rsidR="00454A29" w14:paraId="0B70C738" w14:textId="77777777">
        <w:tc>
          <w:tcPr>
            <w:tcW w:w="567" w:type="dxa"/>
            <w:vMerge/>
          </w:tcPr>
          <w:p w14:paraId="77AFAF93" w14:textId="77777777" w:rsidR="00454A29" w:rsidRDefault="00454A29"/>
        </w:tc>
        <w:tc>
          <w:tcPr>
            <w:tcW w:w="3345" w:type="dxa"/>
            <w:vMerge/>
          </w:tcPr>
          <w:p w14:paraId="29EF8540" w14:textId="77777777" w:rsidR="00454A29" w:rsidRDefault="00454A29"/>
        </w:tc>
        <w:tc>
          <w:tcPr>
            <w:tcW w:w="1701" w:type="dxa"/>
            <w:vAlign w:val="center"/>
          </w:tcPr>
          <w:p w14:paraId="64D7C2FC" w14:textId="77777777" w:rsidR="00454A29" w:rsidRDefault="00454A29">
            <w:pPr>
              <w:pStyle w:val="ConsPlusNormal"/>
              <w:jc w:val="center"/>
            </w:pPr>
            <w:r>
              <w:t>2023</w:t>
            </w:r>
          </w:p>
        </w:tc>
        <w:tc>
          <w:tcPr>
            <w:tcW w:w="1417" w:type="dxa"/>
            <w:vMerge/>
          </w:tcPr>
          <w:p w14:paraId="44603C7A" w14:textId="77777777" w:rsidR="00454A29" w:rsidRDefault="00454A29"/>
        </w:tc>
        <w:tc>
          <w:tcPr>
            <w:tcW w:w="2204" w:type="dxa"/>
            <w:vMerge/>
          </w:tcPr>
          <w:p w14:paraId="3AFCE29F" w14:textId="77777777" w:rsidR="00454A29" w:rsidRDefault="00454A29"/>
        </w:tc>
        <w:tc>
          <w:tcPr>
            <w:tcW w:w="1417" w:type="dxa"/>
            <w:vMerge/>
          </w:tcPr>
          <w:p w14:paraId="128EC07C" w14:textId="77777777" w:rsidR="00454A29" w:rsidRDefault="00454A29"/>
        </w:tc>
        <w:tc>
          <w:tcPr>
            <w:tcW w:w="2324" w:type="dxa"/>
            <w:vMerge/>
          </w:tcPr>
          <w:p w14:paraId="097B1CE8" w14:textId="77777777" w:rsidR="00454A29" w:rsidRDefault="00454A29"/>
        </w:tc>
        <w:tc>
          <w:tcPr>
            <w:tcW w:w="1701" w:type="dxa"/>
            <w:vAlign w:val="center"/>
          </w:tcPr>
          <w:p w14:paraId="5310AB2D" w14:textId="77777777" w:rsidR="00454A29" w:rsidRDefault="00454A29">
            <w:pPr>
              <w:pStyle w:val="ConsPlusNormal"/>
              <w:jc w:val="center"/>
            </w:pPr>
            <w:r>
              <w:t>-</w:t>
            </w:r>
          </w:p>
        </w:tc>
        <w:tc>
          <w:tcPr>
            <w:tcW w:w="1814" w:type="dxa"/>
            <w:vAlign w:val="center"/>
          </w:tcPr>
          <w:p w14:paraId="4183AE58" w14:textId="77777777" w:rsidR="00454A29" w:rsidRDefault="00454A29">
            <w:pPr>
              <w:pStyle w:val="ConsPlusNormal"/>
            </w:pPr>
          </w:p>
        </w:tc>
        <w:tc>
          <w:tcPr>
            <w:tcW w:w="1701" w:type="dxa"/>
            <w:vAlign w:val="center"/>
          </w:tcPr>
          <w:p w14:paraId="73C44D5E" w14:textId="77777777" w:rsidR="00454A29" w:rsidRDefault="00454A29">
            <w:pPr>
              <w:pStyle w:val="ConsPlusNormal"/>
            </w:pPr>
          </w:p>
        </w:tc>
        <w:tc>
          <w:tcPr>
            <w:tcW w:w="1701" w:type="dxa"/>
            <w:vAlign w:val="center"/>
          </w:tcPr>
          <w:p w14:paraId="4CD90276" w14:textId="77777777" w:rsidR="00454A29" w:rsidRDefault="00454A29">
            <w:pPr>
              <w:pStyle w:val="ConsPlusNormal"/>
            </w:pPr>
          </w:p>
        </w:tc>
        <w:tc>
          <w:tcPr>
            <w:tcW w:w="1814" w:type="dxa"/>
            <w:vAlign w:val="center"/>
          </w:tcPr>
          <w:p w14:paraId="3C4057B0" w14:textId="77777777" w:rsidR="00454A29" w:rsidRDefault="00454A29">
            <w:pPr>
              <w:pStyle w:val="ConsPlusNormal"/>
            </w:pPr>
          </w:p>
        </w:tc>
      </w:tr>
      <w:tr w:rsidR="00454A29" w14:paraId="66CEB336" w14:textId="77777777">
        <w:tc>
          <w:tcPr>
            <w:tcW w:w="567" w:type="dxa"/>
            <w:vMerge/>
          </w:tcPr>
          <w:p w14:paraId="00975F61" w14:textId="77777777" w:rsidR="00454A29" w:rsidRDefault="00454A29"/>
        </w:tc>
        <w:tc>
          <w:tcPr>
            <w:tcW w:w="3345" w:type="dxa"/>
            <w:vMerge/>
          </w:tcPr>
          <w:p w14:paraId="4A32A9E9" w14:textId="77777777" w:rsidR="00454A29" w:rsidRDefault="00454A29"/>
        </w:tc>
        <w:tc>
          <w:tcPr>
            <w:tcW w:w="1701" w:type="dxa"/>
            <w:vAlign w:val="center"/>
          </w:tcPr>
          <w:p w14:paraId="14AD26CA" w14:textId="77777777" w:rsidR="00454A29" w:rsidRDefault="00454A29">
            <w:pPr>
              <w:pStyle w:val="ConsPlusNormal"/>
              <w:jc w:val="center"/>
            </w:pPr>
            <w:r>
              <w:t>2024</w:t>
            </w:r>
          </w:p>
        </w:tc>
        <w:tc>
          <w:tcPr>
            <w:tcW w:w="1417" w:type="dxa"/>
            <w:vMerge/>
          </w:tcPr>
          <w:p w14:paraId="51B5DBD6" w14:textId="77777777" w:rsidR="00454A29" w:rsidRDefault="00454A29"/>
        </w:tc>
        <w:tc>
          <w:tcPr>
            <w:tcW w:w="2204" w:type="dxa"/>
            <w:vMerge/>
          </w:tcPr>
          <w:p w14:paraId="48BF9362" w14:textId="77777777" w:rsidR="00454A29" w:rsidRDefault="00454A29"/>
        </w:tc>
        <w:tc>
          <w:tcPr>
            <w:tcW w:w="1417" w:type="dxa"/>
            <w:vMerge/>
          </w:tcPr>
          <w:p w14:paraId="7885ECFE" w14:textId="77777777" w:rsidR="00454A29" w:rsidRDefault="00454A29"/>
        </w:tc>
        <w:tc>
          <w:tcPr>
            <w:tcW w:w="2324" w:type="dxa"/>
            <w:vMerge/>
          </w:tcPr>
          <w:p w14:paraId="44E1B6AC" w14:textId="77777777" w:rsidR="00454A29" w:rsidRDefault="00454A29"/>
        </w:tc>
        <w:tc>
          <w:tcPr>
            <w:tcW w:w="1701" w:type="dxa"/>
            <w:vAlign w:val="center"/>
          </w:tcPr>
          <w:p w14:paraId="2229BBA1" w14:textId="77777777" w:rsidR="00454A29" w:rsidRDefault="00454A29">
            <w:pPr>
              <w:pStyle w:val="ConsPlusNormal"/>
              <w:jc w:val="center"/>
            </w:pPr>
            <w:r>
              <w:t>-</w:t>
            </w:r>
          </w:p>
        </w:tc>
        <w:tc>
          <w:tcPr>
            <w:tcW w:w="1814" w:type="dxa"/>
            <w:vAlign w:val="center"/>
          </w:tcPr>
          <w:p w14:paraId="360FCC7B" w14:textId="77777777" w:rsidR="00454A29" w:rsidRDefault="00454A29">
            <w:pPr>
              <w:pStyle w:val="ConsPlusNormal"/>
            </w:pPr>
          </w:p>
        </w:tc>
        <w:tc>
          <w:tcPr>
            <w:tcW w:w="1701" w:type="dxa"/>
            <w:vAlign w:val="center"/>
          </w:tcPr>
          <w:p w14:paraId="17245EFB" w14:textId="77777777" w:rsidR="00454A29" w:rsidRDefault="00454A29">
            <w:pPr>
              <w:pStyle w:val="ConsPlusNormal"/>
            </w:pPr>
          </w:p>
        </w:tc>
        <w:tc>
          <w:tcPr>
            <w:tcW w:w="1701" w:type="dxa"/>
            <w:vAlign w:val="center"/>
          </w:tcPr>
          <w:p w14:paraId="695C83EB" w14:textId="77777777" w:rsidR="00454A29" w:rsidRDefault="00454A29">
            <w:pPr>
              <w:pStyle w:val="ConsPlusNormal"/>
            </w:pPr>
          </w:p>
        </w:tc>
        <w:tc>
          <w:tcPr>
            <w:tcW w:w="1814" w:type="dxa"/>
            <w:vAlign w:val="center"/>
          </w:tcPr>
          <w:p w14:paraId="1D3DCC2E" w14:textId="77777777" w:rsidR="00454A29" w:rsidRDefault="00454A29">
            <w:pPr>
              <w:pStyle w:val="ConsPlusNormal"/>
            </w:pPr>
          </w:p>
        </w:tc>
      </w:tr>
      <w:tr w:rsidR="00454A29" w14:paraId="4968BE5D" w14:textId="77777777">
        <w:tc>
          <w:tcPr>
            <w:tcW w:w="567" w:type="dxa"/>
            <w:vMerge/>
          </w:tcPr>
          <w:p w14:paraId="22BE08CB" w14:textId="77777777" w:rsidR="00454A29" w:rsidRDefault="00454A29"/>
        </w:tc>
        <w:tc>
          <w:tcPr>
            <w:tcW w:w="3345" w:type="dxa"/>
            <w:vMerge/>
          </w:tcPr>
          <w:p w14:paraId="6F6415FB" w14:textId="77777777" w:rsidR="00454A29" w:rsidRDefault="00454A29"/>
        </w:tc>
        <w:tc>
          <w:tcPr>
            <w:tcW w:w="1701" w:type="dxa"/>
            <w:vAlign w:val="center"/>
          </w:tcPr>
          <w:p w14:paraId="6DAC2DE6" w14:textId="77777777" w:rsidR="00454A29" w:rsidRDefault="00454A29">
            <w:pPr>
              <w:pStyle w:val="ConsPlusNormal"/>
              <w:jc w:val="center"/>
            </w:pPr>
            <w:r>
              <w:t>2025</w:t>
            </w:r>
          </w:p>
        </w:tc>
        <w:tc>
          <w:tcPr>
            <w:tcW w:w="1417" w:type="dxa"/>
            <w:vMerge/>
          </w:tcPr>
          <w:p w14:paraId="0169CA2B" w14:textId="77777777" w:rsidR="00454A29" w:rsidRDefault="00454A29"/>
        </w:tc>
        <w:tc>
          <w:tcPr>
            <w:tcW w:w="2204" w:type="dxa"/>
            <w:vMerge/>
          </w:tcPr>
          <w:p w14:paraId="527D7F9A" w14:textId="77777777" w:rsidR="00454A29" w:rsidRDefault="00454A29"/>
        </w:tc>
        <w:tc>
          <w:tcPr>
            <w:tcW w:w="1417" w:type="dxa"/>
            <w:vMerge/>
          </w:tcPr>
          <w:p w14:paraId="339528B0" w14:textId="77777777" w:rsidR="00454A29" w:rsidRDefault="00454A29"/>
        </w:tc>
        <w:tc>
          <w:tcPr>
            <w:tcW w:w="2324" w:type="dxa"/>
            <w:vMerge/>
          </w:tcPr>
          <w:p w14:paraId="7C46C2E6" w14:textId="77777777" w:rsidR="00454A29" w:rsidRDefault="00454A29"/>
        </w:tc>
        <w:tc>
          <w:tcPr>
            <w:tcW w:w="1701" w:type="dxa"/>
            <w:vAlign w:val="center"/>
          </w:tcPr>
          <w:p w14:paraId="41AFDF06" w14:textId="77777777" w:rsidR="00454A29" w:rsidRDefault="00454A29">
            <w:pPr>
              <w:pStyle w:val="ConsPlusNormal"/>
              <w:jc w:val="center"/>
            </w:pPr>
            <w:r>
              <w:t>-</w:t>
            </w:r>
          </w:p>
        </w:tc>
        <w:tc>
          <w:tcPr>
            <w:tcW w:w="1814" w:type="dxa"/>
            <w:vAlign w:val="center"/>
          </w:tcPr>
          <w:p w14:paraId="130BD18F" w14:textId="77777777" w:rsidR="00454A29" w:rsidRDefault="00454A29">
            <w:pPr>
              <w:pStyle w:val="ConsPlusNormal"/>
            </w:pPr>
          </w:p>
        </w:tc>
        <w:tc>
          <w:tcPr>
            <w:tcW w:w="1701" w:type="dxa"/>
            <w:vAlign w:val="center"/>
          </w:tcPr>
          <w:p w14:paraId="47730F66" w14:textId="77777777" w:rsidR="00454A29" w:rsidRDefault="00454A29">
            <w:pPr>
              <w:pStyle w:val="ConsPlusNormal"/>
            </w:pPr>
          </w:p>
        </w:tc>
        <w:tc>
          <w:tcPr>
            <w:tcW w:w="1701" w:type="dxa"/>
            <w:vAlign w:val="center"/>
          </w:tcPr>
          <w:p w14:paraId="24229B97" w14:textId="77777777" w:rsidR="00454A29" w:rsidRDefault="00454A29">
            <w:pPr>
              <w:pStyle w:val="ConsPlusNormal"/>
            </w:pPr>
          </w:p>
        </w:tc>
        <w:tc>
          <w:tcPr>
            <w:tcW w:w="1814" w:type="dxa"/>
            <w:vAlign w:val="center"/>
          </w:tcPr>
          <w:p w14:paraId="5EB7BA08" w14:textId="77777777" w:rsidR="00454A29" w:rsidRDefault="00454A29">
            <w:pPr>
              <w:pStyle w:val="ConsPlusNormal"/>
            </w:pPr>
          </w:p>
        </w:tc>
      </w:tr>
      <w:tr w:rsidR="00454A29" w14:paraId="3B227B52" w14:textId="77777777">
        <w:tc>
          <w:tcPr>
            <w:tcW w:w="567" w:type="dxa"/>
            <w:vMerge/>
          </w:tcPr>
          <w:p w14:paraId="525BE07B" w14:textId="77777777" w:rsidR="00454A29" w:rsidRDefault="00454A29"/>
        </w:tc>
        <w:tc>
          <w:tcPr>
            <w:tcW w:w="3345" w:type="dxa"/>
            <w:vMerge/>
          </w:tcPr>
          <w:p w14:paraId="29BFC1B3" w14:textId="77777777" w:rsidR="00454A29" w:rsidRDefault="00454A29"/>
        </w:tc>
        <w:tc>
          <w:tcPr>
            <w:tcW w:w="1701" w:type="dxa"/>
            <w:vAlign w:val="center"/>
          </w:tcPr>
          <w:p w14:paraId="3C76C2E6" w14:textId="77777777" w:rsidR="00454A29" w:rsidRDefault="00454A29">
            <w:pPr>
              <w:pStyle w:val="ConsPlusNormal"/>
              <w:jc w:val="center"/>
            </w:pPr>
            <w:r>
              <w:t>2026</w:t>
            </w:r>
          </w:p>
        </w:tc>
        <w:tc>
          <w:tcPr>
            <w:tcW w:w="1417" w:type="dxa"/>
            <w:vMerge/>
          </w:tcPr>
          <w:p w14:paraId="331FC759" w14:textId="77777777" w:rsidR="00454A29" w:rsidRDefault="00454A29"/>
        </w:tc>
        <w:tc>
          <w:tcPr>
            <w:tcW w:w="2204" w:type="dxa"/>
            <w:vMerge/>
          </w:tcPr>
          <w:p w14:paraId="652F7A58" w14:textId="77777777" w:rsidR="00454A29" w:rsidRDefault="00454A29"/>
        </w:tc>
        <w:tc>
          <w:tcPr>
            <w:tcW w:w="1417" w:type="dxa"/>
            <w:vMerge/>
          </w:tcPr>
          <w:p w14:paraId="69757A14" w14:textId="77777777" w:rsidR="00454A29" w:rsidRDefault="00454A29"/>
        </w:tc>
        <w:tc>
          <w:tcPr>
            <w:tcW w:w="2324" w:type="dxa"/>
            <w:vMerge/>
          </w:tcPr>
          <w:p w14:paraId="5AD9319F" w14:textId="77777777" w:rsidR="00454A29" w:rsidRDefault="00454A29"/>
        </w:tc>
        <w:tc>
          <w:tcPr>
            <w:tcW w:w="1701" w:type="dxa"/>
            <w:vAlign w:val="center"/>
          </w:tcPr>
          <w:p w14:paraId="5951913A" w14:textId="77777777" w:rsidR="00454A29" w:rsidRDefault="00454A29">
            <w:pPr>
              <w:pStyle w:val="ConsPlusNormal"/>
              <w:jc w:val="center"/>
            </w:pPr>
            <w:r>
              <w:t>-</w:t>
            </w:r>
          </w:p>
        </w:tc>
        <w:tc>
          <w:tcPr>
            <w:tcW w:w="1814" w:type="dxa"/>
            <w:vAlign w:val="center"/>
          </w:tcPr>
          <w:p w14:paraId="293D5090" w14:textId="77777777" w:rsidR="00454A29" w:rsidRDefault="00454A29">
            <w:pPr>
              <w:pStyle w:val="ConsPlusNormal"/>
            </w:pPr>
          </w:p>
        </w:tc>
        <w:tc>
          <w:tcPr>
            <w:tcW w:w="1701" w:type="dxa"/>
            <w:vAlign w:val="center"/>
          </w:tcPr>
          <w:p w14:paraId="30486CC5" w14:textId="77777777" w:rsidR="00454A29" w:rsidRDefault="00454A29">
            <w:pPr>
              <w:pStyle w:val="ConsPlusNormal"/>
            </w:pPr>
          </w:p>
        </w:tc>
        <w:tc>
          <w:tcPr>
            <w:tcW w:w="1701" w:type="dxa"/>
            <w:vAlign w:val="center"/>
          </w:tcPr>
          <w:p w14:paraId="65818DD7" w14:textId="77777777" w:rsidR="00454A29" w:rsidRDefault="00454A29">
            <w:pPr>
              <w:pStyle w:val="ConsPlusNormal"/>
            </w:pPr>
          </w:p>
        </w:tc>
        <w:tc>
          <w:tcPr>
            <w:tcW w:w="1814" w:type="dxa"/>
            <w:vAlign w:val="center"/>
          </w:tcPr>
          <w:p w14:paraId="362B6DDD" w14:textId="77777777" w:rsidR="00454A29" w:rsidRDefault="00454A29">
            <w:pPr>
              <w:pStyle w:val="ConsPlusNormal"/>
            </w:pPr>
          </w:p>
        </w:tc>
      </w:tr>
      <w:tr w:rsidR="00454A29" w14:paraId="55F2C0D1" w14:textId="77777777">
        <w:tc>
          <w:tcPr>
            <w:tcW w:w="21706" w:type="dxa"/>
            <w:gridSpan w:val="12"/>
            <w:vAlign w:val="center"/>
          </w:tcPr>
          <w:p w14:paraId="34E1CFEF" w14:textId="77777777" w:rsidR="00454A29" w:rsidRDefault="00454A29">
            <w:pPr>
              <w:pStyle w:val="ConsPlusNormal"/>
              <w:jc w:val="center"/>
            </w:pPr>
            <w:r>
              <w:t>Основное мероприятие 10. 5</w:t>
            </w:r>
          </w:p>
        </w:tc>
      </w:tr>
      <w:tr w:rsidR="00454A29" w14:paraId="45485EC7" w14:textId="77777777">
        <w:tc>
          <w:tcPr>
            <w:tcW w:w="567" w:type="dxa"/>
            <w:vMerge w:val="restart"/>
            <w:vAlign w:val="center"/>
          </w:tcPr>
          <w:p w14:paraId="5CDBE638" w14:textId="77777777" w:rsidR="00454A29" w:rsidRDefault="00454A29">
            <w:pPr>
              <w:pStyle w:val="ConsPlusNormal"/>
            </w:pPr>
          </w:p>
        </w:tc>
        <w:tc>
          <w:tcPr>
            <w:tcW w:w="3345" w:type="dxa"/>
            <w:vMerge w:val="restart"/>
            <w:vAlign w:val="center"/>
          </w:tcPr>
          <w:p w14:paraId="7B1BD971" w14:textId="77777777" w:rsidR="00454A29" w:rsidRDefault="00454A29">
            <w:pPr>
              <w:pStyle w:val="ConsPlusNormal"/>
              <w:jc w:val="center"/>
            </w:pPr>
            <w:r>
              <w:t>Капитальный ремонт образовательных организаций</w:t>
            </w:r>
          </w:p>
        </w:tc>
        <w:tc>
          <w:tcPr>
            <w:tcW w:w="1701" w:type="dxa"/>
            <w:vAlign w:val="center"/>
          </w:tcPr>
          <w:p w14:paraId="7671C1DA" w14:textId="77777777" w:rsidR="00454A29" w:rsidRDefault="00454A29">
            <w:pPr>
              <w:pStyle w:val="ConsPlusNormal"/>
              <w:jc w:val="center"/>
            </w:pPr>
            <w:r>
              <w:t>Всего:</w:t>
            </w:r>
          </w:p>
        </w:tc>
        <w:tc>
          <w:tcPr>
            <w:tcW w:w="1417" w:type="dxa"/>
            <w:vMerge w:val="restart"/>
            <w:vAlign w:val="center"/>
          </w:tcPr>
          <w:p w14:paraId="0526C781" w14:textId="77777777" w:rsidR="00454A29" w:rsidRDefault="00454A29">
            <w:pPr>
              <w:pStyle w:val="ConsPlusNormal"/>
              <w:jc w:val="center"/>
            </w:pPr>
            <w:r>
              <w:t>х</w:t>
            </w:r>
          </w:p>
        </w:tc>
        <w:tc>
          <w:tcPr>
            <w:tcW w:w="2204" w:type="dxa"/>
            <w:vMerge w:val="restart"/>
            <w:vAlign w:val="center"/>
          </w:tcPr>
          <w:p w14:paraId="3BC0445B" w14:textId="77777777" w:rsidR="00454A29" w:rsidRDefault="00454A29">
            <w:pPr>
              <w:pStyle w:val="ConsPlusNormal"/>
              <w:jc w:val="center"/>
            </w:pPr>
            <w:r>
              <w:t>х</w:t>
            </w:r>
          </w:p>
        </w:tc>
        <w:tc>
          <w:tcPr>
            <w:tcW w:w="1417" w:type="dxa"/>
            <w:vMerge w:val="restart"/>
            <w:vAlign w:val="center"/>
          </w:tcPr>
          <w:p w14:paraId="5A0B1C24" w14:textId="77777777" w:rsidR="00454A29" w:rsidRDefault="00454A29">
            <w:pPr>
              <w:pStyle w:val="ConsPlusNormal"/>
              <w:jc w:val="center"/>
            </w:pPr>
            <w:r>
              <w:t>0,00</w:t>
            </w:r>
          </w:p>
        </w:tc>
        <w:tc>
          <w:tcPr>
            <w:tcW w:w="2324" w:type="dxa"/>
            <w:vMerge w:val="restart"/>
            <w:vAlign w:val="center"/>
          </w:tcPr>
          <w:p w14:paraId="77437D0C" w14:textId="77777777" w:rsidR="00454A29" w:rsidRDefault="00454A29">
            <w:pPr>
              <w:pStyle w:val="ConsPlusNormal"/>
              <w:jc w:val="center"/>
            </w:pPr>
            <w:r>
              <w:t>х</w:t>
            </w:r>
          </w:p>
        </w:tc>
        <w:tc>
          <w:tcPr>
            <w:tcW w:w="1701" w:type="dxa"/>
            <w:vAlign w:val="center"/>
          </w:tcPr>
          <w:p w14:paraId="73212BBE" w14:textId="77777777" w:rsidR="00454A29" w:rsidRDefault="00454A29">
            <w:pPr>
              <w:pStyle w:val="ConsPlusNormal"/>
              <w:jc w:val="center"/>
            </w:pPr>
            <w:r>
              <w:t>201 736,30</w:t>
            </w:r>
          </w:p>
        </w:tc>
        <w:tc>
          <w:tcPr>
            <w:tcW w:w="1814" w:type="dxa"/>
            <w:vAlign w:val="center"/>
          </w:tcPr>
          <w:p w14:paraId="5A9817ED" w14:textId="77777777" w:rsidR="00454A29" w:rsidRDefault="00454A29">
            <w:pPr>
              <w:pStyle w:val="ConsPlusNormal"/>
              <w:jc w:val="center"/>
            </w:pPr>
            <w:r>
              <w:t>134 055,00</w:t>
            </w:r>
          </w:p>
        </w:tc>
        <w:tc>
          <w:tcPr>
            <w:tcW w:w="1701" w:type="dxa"/>
            <w:vAlign w:val="center"/>
          </w:tcPr>
          <w:p w14:paraId="17DABB56" w14:textId="77777777" w:rsidR="00454A29" w:rsidRDefault="00454A29">
            <w:pPr>
              <w:pStyle w:val="ConsPlusNormal"/>
              <w:jc w:val="center"/>
            </w:pPr>
            <w:r>
              <w:t>67 681,30</w:t>
            </w:r>
          </w:p>
        </w:tc>
        <w:tc>
          <w:tcPr>
            <w:tcW w:w="1701" w:type="dxa"/>
            <w:vAlign w:val="center"/>
          </w:tcPr>
          <w:p w14:paraId="3D519CB9" w14:textId="77777777" w:rsidR="00454A29" w:rsidRDefault="00454A29">
            <w:pPr>
              <w:pStyle w:val="ConsPlusNormal"/>
              <w:jc w:val="center"/>
            </w:pPr>
            <w:r>
              <w:t>-</w:t>
            </w:r>
          </w:p>
        </w:tc>
        <w:tc>
          <w:tcPr>
            <w:tcW w:w="1814" w:type="dxa"/>
            <w:vAlign w:val="center"/>
          </w:tcPr>
          <w:p w14:paraId="7EF62DCF" w14:textId="77777777" w:rsidR="00454A29" w:rsidRDefault="00454A29">
            <w:pPr>
              <w:pStyle w:val="ConsPlusNormal"/>
              <w:jc w:val="center"/>
            </w:pPr>
            <w:r>
              <w:t>-</w:t>
            </w:r>
          </w:p>
        </w:tc>
      </w:tr>
      <w:tr w:rsidR="00454A29" w14:paraId="7EB4C23E" w14:textId="77777777">
        <w:tc>
          <w:tcPr>
            <w:tcW w:w="567" w:type="dxa"/>
            <w:vMerge/>
          </w:tcPr>
          <w:p w14:paraId="0468C672" w14:textId="77777777" w:rsidR="00454A29" w:rsidRDefault="00454A29"/>
        </w:tc>
        <w:tc>
          <w:tcPr>
            <w:tcW w:w="3345" w:type="dxa"/>
            <w:vMerge/>
          </w:tcPr>
          <w:p w14:paraId="4291C833" w14:textId="77777777" w:rsidR="00454A29" w:rsidRDefault="00454A29"/>
        </w:tc>
        <w:tc>
          <w:tcPr>
            <w:tcW w:w="1701" w:type="dxa"/>
            <w:vAlign w:val="center"/>
          </w:tcPr>
          <w:p w14:paraId="6DBA1CA0" w14:textId="77777777" w:rsidR="00454A29" w:rsidRDefault="00454A29">
            <w:pPr>
              <w:pStyle w:val="ConsPlusNormal"/>
              <w:jc w:val="center"/>
            </w:pPr>
            <w:r>
              <w:t>2020</w:t>
            </w:r>
          </w:p>
        </w:tc>
        <w:tc>
          <w:tcPr>
            <w:tcW w:w="1417" w:type="dxa"/>
            <w:vMerge/>
          </w:tcPr>
          <w:p w14:paraId="17E906A3" w14:textId="77777777" w:rsidR="00454A29" w:rsidRDefault="00454A29"/>
        </w:tc>
        <w:tc>
          <w:tcPr>
            <w:tcW w:w="2204" w:type="dxa"/>
            <w:vMerge/>
          </w:tcPr>
          <w:p w14:paraId="61B04CE4" w14:textId="77777777" w:rsidR="00454A29" w:rsidRDefault="00454A29"/>
        </w:tc>
        <w:tc>
          <w:tcPr>
            <w:tcW w:w="1417" w:type="dxa"/>
            <w:vMerge/>
          </w:tcPr>
          <w:p w14:paraId="4382B114" w14:textId="77777777" w:rsidR="00454A29" w:rsidRDefault="00454A29"/>
        </w:tc>
        <w:tc>
          <w:tcPr>
            <w:tcW w:w="2324" w:type="dxa"/>
            <w:vMerge/>
          </w:tcPr>
          <w:p w14:paraId="07D01579" w14:textId="77777777" w:rsidR="00454A29" w:rsidRDefault="00454A29"/>
        </w:tc>
        <w:tc>
          <w:tcPr>
            <w:tcW w:w="1701" w:type="dxa"/>
            <w:vAlign w:val="center"/>
          </w:tcPr>
          <w:p w14:paraId="54D48831" w14:textId="77777777" w:rsidR="00454A29" w:rsidRDefault="00454A29">
            <w:pPr>
              <w:pStyle w:val="ConsPlusNormal"/>
              <w:jc w:val="center"/>
            </w:pPr>
            <w:r>
              <w:t>25 236,30</w:t>
            </w:r>
          </w:p>
        </w:tc>
        <w:tc>
          <w:tcPr>
            <w:tcW w:w="1814" w:type="dxa"/>
            <w:vAlign w:val="center"/>
          </w:tcPr>
          <w:p w14:paraId="78799358" w14:textId="77777777" w:rsidR="00454A29" w:rsidRDefault="00454A29">
            <w:pPr>
              <w:pStyle w:val="ConsPlusNormal"/>
              <w:jc w:val="center"/>
            </w:pPr>
            <w:r>
              <w:t>2 019,00</w:t>
            </w:r>
          </w:p>
        </w:tc>
        <w:tc>
          <w:tcPr>
            <w:tcW w:w="1701" w:type="dxa"/>
            <w:vAlign w:val="center"/>
          </w:tcPr>
          <w:p w14:paraId="6B16851C" w14:textId="77777777" w:rsidR="00454A29" w:rsidRDefault="00454A29">
            <w:pPr>
              <w:pStyle w:val="ConsPlusNormal"/>
              <w:jc w:val="center"/>
            </w:pPr>
            <w:r>
              <w:t>23 217,30</w:t>
            </w:r>
          </w:p>
        </w:tc>
        <w:tc>
          <w:tcPr>
            <w:tcW w:w="1701" w:type="dxa"/>
            <w:vAlign w:val="center"/>
          </w:tcPr>
          <w:p w14:paraId="59FD83F9" w14:textId="77777777" w:rsidR="00454A29" w:rsidRDefault="00454A29">
            <w:pPr>
              <w:pStyle w:val="ConsPlusNormal"/>
              <w:jc w:val="center"/>
            </w:pPr>
            <w:r>
              <w:t>-</w:t>
            </w:r>
          </w:p>
        </w:tc>
        <w:tc>
          <w:tcPr>
            <w:tcW w:w="1814" w:type="dxa"/>
            <w:vAlign w:val="center"/>
          </w:tcPr>
          <w:p w14:paraId="6DBCCA96" w14:textId="77777777" w:rsidR="00454A29" w:rsidRDefault="00454A29">
            <w:pPr>
              <w:pStyle w:val="ConsPlusNormal"/>
              <w:jc w:val="center"/>
            </w:pPr>
            <w:r>
              <w:t>-</w:t>
            </w:r>
          </w:p>
        </w:tc>
      </w:tr>
      <w:tr w:rsidR="00454A29" w14:paraId="1BE5DFC7" w14:textId="77777777">
        <w:tc>
          <w:tcPr>
            <w:tcW w:w="567" w:type="dxa"/>
            <w:vMerge/>
          </w:tcPr>
          <w:p w14:paraId="778CB822" w14:textId="77777777" w:rsidR="00454A29" w:rsidRDefault="00454A29"/>
        </w:tc>
        <w:tc>
          <w:tcPr>
            <w:tcW w:w="3345" w:type="dxa"/>
            <w:vMerge/>
          </w:tcPr>
          <w:p w14:paraId="6C80FB0B" w14:textId="77777777" w:rsidR="00454A29" w:rsidRDefault="00454A29"/>
        </w:tc>
        <w:tc>
          <w:tcPr>
            <w:tcW w:w="1701" w:type="dxa"/>
            <w:vAlign w:val="center"/>
          </w:tcPr>
          <w:p w14:paraId="2B2BB73B" w14:textId="77777777" w:rsidR="00454A29" w:rsidRDefault="00454A29">
            <w:pPr>
              <w:pStyle w:val="ConsPlusNormal"/>
              <w:jc w:val="center"/>
            </w:pPr>
            <w:r>
              <w:t>2021</w:t>
            </w:r>
          </w:p>
        </w:tc>
        <w:tc>
          <w:tcPr>
            <w:tcW w:w="1417" w:type="dxa"/>
            <w:vMerge/>
          </w:tcPr>
          <w:p w14:paraId="47210B01" w14:textId="77777777" w:rsidR="00454A29" w:rsidRDefault="00454A29"/>
        </w:tc>
        <w:tc>
          <w:tcPr>
            <w:tcW w:w="2204" w:type="dxa"/>
            <w:vMerge/>
          </w:tcPr>
          <w:p w14:paraId="59B00485" w14:textId="77777777" w:rsidR="00454A29" w:rsidRDefault="00454A29"/>
        </w:tc>
        <w:tc>
          <w:tcPr>
            <w:tcW w:w="1417" w:type="dxa"/>
            <w:vMerge/>
          </w:tcPr>
          <w:p w14:paraId="50AA5661" w14:textId="77777777" w:rsidR="00454A29" w:rsidRDefault="00454A29"/>
        </w:tc>
        <w:tc>
          <w:tcPr>
            <w:tcW w:w="2324" w:type="dxa"/>
            <w:vMerge/>
          </w:tcPr>
          <w:p w14:paraId="31C0AEF1" w14:textId="77777777" w:rsidR="00454A29" w:rsidRDefault="00454A29"/>
        </w:tc>
        <w:tc>
          <w:tcPr>
            <w:tcW w:w="1701" w:type="dxa"/>
            <w:vAlign w:val="center"/>
          </w:tcPr>
          <w:p w14:paraId="48041603" w14:textId="77777777" w:rsidR="00454A29" w:rsidRDefault="00454A29">
            <w:pPr>
              <w:pStyle w:val="ConsPlusNormal"/>
              <w:jc w:val="center"/>
            </w:pPr>
            <w:r>
              <w:t>48 330,00</w:t>
            </w:r>
          </w:p>
        </w:tc>
        <w:tc>
          <w:tcPr>
            <w:tcW w:w="1814" w:type="dxa"/>
            <w:vAlign w:val="center"/>
          </w:tcPr>
          <w:p w14:paraId="5FCD4F59" w14:textId="77777777" w:rsidR="00454A29" w:rsidRDefault="00454A29">
            <w:pPr>
              <w:pStyle w:val="ConsPlusNormal"/>
              <w:jc w:val="center"/>
            </w:pPr>
            <w:r>
              <w:t>3 866,00</w:t>
            </w:r>
          </w:p>
        </w:tc>
        <w:tc>
          <w:tcPr>
            <w:tcW w:w="1701" w:type="dxa"/>
            <w:vAlign w:val="center"/>
          </w:tcPr>
          <w:p w14:paraId="6269F680" w14:textId="77777777" w:rsidR="00454A29" w:rsidRDefault="00454A29">
            <w:pPr>
              <w:pStyle w:val="ConsPlusNormal"/>
              <w:jc w:val="center"/>
            </w:pPr>
            <w:r>
              <w:t>44 464,00</w:t>
            </w:r>
          </w:p>
        </w:tc>
        <w:tc>
          <w:tcPr>
            <w:tcW w:w="1701" w:type="dxa"/>
            <w:vAlign w:val="center"/>
          </w:tcPr>
          <w:p w14:paraId="16227F4B" w14:textId="77777777" w:rsidR="00454A29" w:rsidRDefault="00454A29">
            <w:pPr>
              <w:pStyle w:val="ConsPlusNormal"/>
            </w:pPr>
          </w:p>
        </w:tc>
        <w:tc>
          <w:tcPr>
            <w:tcW w:w="1814" w:type="dxa"/>
            <w:vAlign w:val="center"/>
          </w:tcPr>
          <w:p w14:paraId="447A1E36" w14:textId="77777777" w:rsidR="00454A29" w:rsidRDefault="00454A29">
            <w:pPr>
              <w:pStyle w:val="ConsPlusNormal"/>
            </w:pPr>
          </w:p>
        </w:tc>
      </w:tr>
      <w:tr w:rsidR="00454A29" w14:paraId="3C81C230" w14:textId="77777777">
        <w:tc>
          <w:tcPr>
            <w:tcW w:w="567" w:type="dxa"/>
            <w:vMerge/>
          </w:tcPr>
          <w:p w14:paraId="5CC686D2" w14:textId="77777777" w:rsidR="00454A29" w:rsidRDefault="00454A29"/>
        </w:tc>
        <w:tc>
          <w:tcPr>
            <w:tcW w:w="3345" w:type="dxa"/>
            <w:vMerge/>
          </w:tcPr>
          <w:p w14:paraId="472F029A" w14:textId="77777777" w:rsidR="00454A29" w:rsidRDefault="00454A29"/>
        </w:tc>
        <w:tc>
          <w:tcPr>
            <w:tcW w:w="1701" w:type="dxa"/>
            <w:vAlign w:val="center"/>
          </w:tcPr>
          <w:p w14:paraId="71839F64" w14:textId="77777777" w:rsidR="00454A29" w:rsidRDefault="00454A29">
            <w:pPr>
              <w:pStyle w:val="ConsPlusNormal"/>
              <w:jc w:val="center"/>
            </w:pPr>
            <w:r>
              <w:t>2022</w:t>
            </w:r>
          </w:p>
        </w:tc>
        <w:tc>
          <w:tcPr>
            <w:tcW w:w="1417" w:type="dxa"/>
            <w:vMerge/>
          </w:tcPr>
          <w:p w14:paraId="6186AA2D" w14:textId="77777777" w:rsidR="00454A29" w:rsidRDefault="00454A29"/>
        </w:tc>
        <w:tc>
          <w:tcPr>
            <w:tcW w:w="2204" w:type="dxa"/>
            <w:vMerge/>
          </w:tcPr>
          <w:p w14:paraId="063B5B17" w14:textId="77777777" w:rsidR="00454A29" w:rsidRDefault="00454A29"/>
        </w:tc>
        <w:tc>
          <w:tcPr>
            <w:tcW w:w="1417" w:type="dxa"/>
            <w:vMerge/>
          </w:tcPr>
          <w:p w14:paraId="2E22338F" w14:textId="77777777" w:rsidR="00454A29" w:rsidRDefault="00454A29"/>
        </w:tc>
        <w:tc>
          <w:tcPr>
            <w:tcW w:w="2324" w:type="dxa"/>
            <w:vMerge/>
          </w:tcPr>
          <w:p w14:paraId="7120C33F" w14:textId="77777777" w:rsidR="00454A29" w:rsidRDefault="00454A29"/>
        </w:tc>
        <w:tc>
          <w:tcPr>
            <w:tcW w:w="1701" w:type="dxa"/>
            <w:vAlign w:val="center"/>
          </w:tcPr>
          <w:p w14:paraId="10EF40F9" w14:textId="77777777" w:rsidR="00454A29" w:rsidRDefault="00454A29">
            <w:pPr>
              <w:pStyle w:val="ConsPlusNormal"/>
              <w:jc w:val="center"/>
            </w:pPr>
            <w:r>
              <w:t>0,00</w:t>
            </w:r>
          </w:p>
        </w:tc>
        <w:tc>
          <w:tcPr>
            <w:tcW w:w="1814" w:type="dxa"/>
            <w:vAlign w:val="center"/>
          </w:tcPr>
          <w:p w14:paraId="459C5850" w14:textId="77777777" w:rsidR="00454A29" w:rsidRDefault="00454A29">
            <w:pPr>
              <w:pStyle w:val="ConsPlusNormal"/>
              <w:jc w:val="center"/>
            </w:pPr>
            <w:r>
              <w:t>-</w:t>
            </w:r>
          </w:p>
        </w:tc>
        <w:tc>
          <w:tcPr>
            <w:tcW w:w="1701" w:type="dxa"/>
            <w:vAlign w:val="center"/>
          </w:tcPr>
          <w:p w14:paraId="19F4D652" w14:textId="77777777" w:rsidR="00454A29" w:rsidRDefault="00454A29">
            <w:pPr>
              <w:pStyle w:val="ConsPlusNormal"/>
              <w:jc w:val="center"/>
            </w:pPr>
            <w:r>
              <w:t>-</w:t>
            </w:r>
          </w:p>
        </w:tc>
        <w:tc>
          <w:tcPr>
            <w:tcW w:w="1701" w:type="dxa"/>
            <w:vAlign w:val="center"/>
          </w:tcPr>
          <w:p w14:paraId="60CED8C9" w14:textId="77777777" w:rsidR="00454A29" w:rsidRDefault="00454A29">
            <w:pPr>
              <w:pStyle w:val="ConsPlusNormal"/>
            </w:pPr>
          </w:p>
        </w:tc>
        <w:tc>
          <w:tcPr>
            <w:tcW w:w="1814" w:type="dxa"/>
            <w:vAlign w:val="center"/>
          </w:tcPr>
          <w:p w14:paraId="7A5F7E6B" w14:textId="77777777" w:rsidR="00454A29" w:rsidRDefault="00454A29">
            <w:pPr>
              <w:pStyle w:val="ConsPlusNormal"/>
            </w:pPr>
          </w:p>
        </w:tc>
      </w:tr>
      <w:tr w:rsidR="00454A29" w14:paraId="50DCF48E" w14:textId="77777777">
        <w:tc>
          <w:tcPr>
            <w:tcW w:w="567" w:type="dxa"/>
            <w:vMerge/>
          </w:tcPr>
          <w:p w14:paraId="590373E4" w14:textId="77777777" w:rsidR="00454A29" w:rsidRDefault="00454A29"/>
        </w:tc>
        <w:tc>
          <w:tcPr>
            <w:tcW w:w="3345" w:type="dxa"/>
            <w:vMerge/>
          </w:tcPr>
          <w:p w14:paraId="7481E477" w14:textId="77777777" w:rsidR="00454A29" w:rsidRDefault="00454A29"/>
        </w:tc>
        <w:tc>
          <w:tcPr>
            <w:tcW w:w="1701" w:type="dxa"/>
            <w:vAlign w:val="center"/>
          </w:tcPr>
          <w:p w14:paraId="3626A5FD" w14:textId="77777777" w:rsidR="00454A29" w:rsidRDefault="00454A29">
            <w:pPr>
              <w:pStyle w:val="ConsPlusNormal"/>
              <w:jc w:val="center"/>
            </w:pPr>
            <w:r>
              <w:t>2023</w:t>
            </w:r>
          </w:p>
        </w:tc>
        <w:tc>
          <w:tcPr>
            <w:tcW w:w="1417" w:type="dxa"/>
            <w:vMerge/>
          </w:tcPr>
          <w:p w14:paraId="03BA9F06" w14:textId="77777777" w:rsidR="00454A29" w:rsidRDefault="00454A29"/>
        </w:tc>
        <w:tc>
          <w:tcPr>
            <w:tcW w:w="2204" w:type="dxa"/>
            <w:vMerge/>
          </w:tcPr>
          <w:p w14:paraId="297360EE" w14:textId="77777777" w:rsidR="00454A29" w:rsidRDefault="00454A29"/>
        </w:tc>
        <w:tc>
          <w:tcPr>
            <w:tcW w:w="1417" w:type="dxa"/>
            <w:vMerge/>
          </w:tcPr>
          <w:p w14:paraId="4A5A4355" w14:textId="77777777" w:rsidR="00454A29" w:rsidRDefault="00454A29"/>
        </w:tc>
        <w:tc>
          <w:tcPr>
            <w:tcW w:w="2324" w:type="dxa"/>
            <w:vMerge/>
          </w:tcPr>
          <w:p w14:paraId="03D5E88D" w14:textId="77777777" w:rsidR="00454A29" w:rsidRDefault="00454A29"/>
        </w:tc>
        <w:tc>
          <w:tcPr>
            <w:tcW w:w="1701" w:type="dxa"/>
            <w:vAlign w:val="center"/>
          </w:tcPr>
          <w:p w14:paraId="40472670" w14:textId="77777777" w:rsidR="00454A29" w:rsidRDefault="00454A29">
            <w:pPr>
              <w:pStyle w:val="ConsPlusNormal"/>
              <w:jc w:val="center"/>
            </w:pPr>
            <w:r>
              <w:t>17 360,00</w:t>
            </w:r>
          </w:p>
        </w:tc>
        <w:tc>
          <w:tcPr>
            <w:tcW w:w="1814" w:type="dxa"/>
            <w:vAlign w:val="center"/>
          </w:tcPr>
          <w:p w14:paraId="049A7FE4" w14:textId="77777777" w:rsidR="00454A29" w:rsidRDefault="00454A29">
            <w:pPr>
              <w:pStyle w:val="ConsPlusNormal"/>
              <w:jc w:val="center"/>
            </w:pPr>
            <w:r>
              <w:t>17 360,00</w:t>
            </w:r>
          </w:p>
        </w:tc>
        <w:tc>
          <w:tcPr>
            <w:tcW w:w="1701" w:type="dxa"/>
            <w:vAlign w:val="center"/>
          </w:tcPr>
          <w:p w14:paraId="36290234" w14:textId="77777777" w:rsidR="00454A29" w:rsidRDefault="00454A29">
            <w:pPr>
              <w:pStyle w:val="ConsPlusNormal"/>
              <w:jc w:val="center"/>
            </w:pPr>
            <w:r>
              <w:t>-</w:t>
            </w:r>
          </w:p>
        </w:tc>
        <w:tc>
          <w:tcPr>
            <w:tcW w:w="1701" w:type="dxa"/>
            <w:vAlign w:val="center"/>
          </w:tcPr>
          <w:p w14:paraId="5E465D74" w14:textId="77777777" w:rsidR="00454A29" w:rsidRDefault="00454A29">
            <w:pPr>
              <w:pStyle w:val="ConsPlusNormal"/>
            </w:pPr>
          </w:p>
        </w:tc>
        <w:tc>
          <w:tcPr>
            <w:tcW w:w="1814" w:type="dxa"/>
            <w:vAlign w:val="center"/>
          </w:tcPr>
          <w:p w14:paraId="4C7C1FCE" w14:textId="77777777" w:rsidR="00454A29" w:rsidRDefault="00454A29">
            <w:pPr>
              <w:pStyle w:val="ConsPlusNormal"/>
            </w:pPr>
          </w:p>
        </w:tc>
      </w:tr>
      <w:tr w:rsidR="00454A29" w14:paraId="245F86C4" w14:textId="77777777">
        <w:tc>
          <w:tcPr>
            <w:tcW w:w="567" w:type="dxa"/>
            <w:vMerge/>
          </w:tcPr>
          <w:p w14:paraId="479ED9CE" w14:textId="77777777" w:rsidR="00454A29" w:rsidRDefault="00454A29"/>
        </w:tc>
        <w:tc>
          <w:tcPr>
            <w:tcW w:w="3345" w:type="dxa"/>
            <w:vMerge/>
          </w:tcPr>
          <w:p w14:paraId="34169518" w14:textId="77777777" w:rsidR="00454A29" w:rsidRDefault="00454A29"/>
        </w:tc>
        <w:tc>
          <w:tcPr>
            <w:tcW w:w="1701" w:type="dxa"/>
            <w:vAlign w:val="center"/>
          </w:tcPr>
          <w:p w14:paraId="61628AB7" w14:textId="77777777" w:rsidR="00454A29" w:rsidRDefault="00454A29">
            <w:pPr>
              <w:pStyle w:val="ConsPlusNormal"/>
              <w:jc w:val="center"/>
            </w:pPr>
            <w:r>
              <w:t>2024</w:t>
            </w:r>
          </w:p>
        </w:tc>
        <w:tc>
          <w:tcPr>
            <w:tcW w:w="1417" w:type="dxa"/>
            <w:vMerge/>
          </w:tcPr>
          <w:p w14:paraId="1C7075E2" w14:textId="77777777" w:rsidR="00454A29" w:rsidRDefault="00454A29"/>
        </w:tc>
        <w:tc>
          <w:tcPr>
            <w:tcW w:w="2204" w:type="dxa"/>
            <w:vMerge/>
          </w:tcPr>
          <w:p w14:paraId="21672C0E" w14:textId="77777777" w:rsidR="00454A29" w:rsidRDefault="00454A29"/>
        </w:tc>
        <w:tc>
          <w:tcPr>
            <w:tcW w:w="1417" w:type="dxa"/>
            <w:vMerge/>
          </w:tcPr>
          <w:p w14:paraId="0E11DD78" w14:textId="77777777" w:rsidR="00454A29" w:rsidRDefault="00454A29"/>
        </w:tc>
        <w:tc>
          <w:tcPr>
            <w:tcW w:w="2324" w:type="dxa"/>
            <w:vMerge/>
          </w:tcPr>
          <w:p w14:paraId="5E6A09E7" w14:textId="77777777" w:rsidR="00454A29" w:rsidRDefault="00454A29"/>
        </w:tc>
        <w:tc>
          <w:tcPr>
            <w:tcW w:w="1701" w:type="dxa"/>
            <w:vAlign w:val="center"/>
          </w:tcPr>
          <w:p w14:paraId="250ABD6F" w14:textId="77777777" w:rsidR="00454A29" w:rsidRDefault="00454A29">
            <w:pPr>
              <w:pStyle w:val="ConsPlusNormal"/>
              <w:jc w:val="center"/>
            </w:pPr>
            <w:r>
              <w:t>23 415,00</w:t>
            </w:r>
          </w:p>
        </w:tc>
        <w:tc>
          <w:tcPr>
            <w:tcW w:w="1814" w:type="dxa"/>
            <w:vAlign w:val="center"/>
          </w:tcPr>
          <w:p w14:paraId="28120EFC" w14:textId="77777777" w:rsidR="00454A29" w:rsidRDefault="00454A29">
            <w:pPr>
              <w:pStyle w:val="ConsPlusNormal"/>
              <w:jc w:val="center"/>
            </w:pPr>
            <w:r>
              <w:t>23 415,00</w:t>
            </w:r>
          </w:p>
        </w:tc>
        <w:tc>
          <w:tcPr>
            <w:tcW w:w="1701" w:type="dxa"/>
            <w:vAlign w:val="center"/>
          </w:tcPr>
          <w:p w14:paraId="57D5B435" w14:textId="77777777" w:rsidR="00454A29" w:rsidRDefault="00454A29">
            <w:pPr>
              <w:pStyle w:val="ConsPlusNormal"/>
              <w:jc w:val="center"/>
            </w:pPr>
            <w:r>
              <w:t>-</w:t>
            </w:r>
          </w:p>
        </w:tc>
        <w:tc>
          <w:tcPr>
            <w:tcW w:w="1701" w:type="dxa"/>
            <w:vAlign w:val="center"/>
          </w:tcPr>
          <w:p w14:paraId="3C6F4D37" w14:textId="77777777" w:rsidR="00454A29" w:rsidRDefault="00454A29">
            <w:pPr>
              <w:pStyle w:val="ConsPlusNormal"/>
            </w:pPr>
          </w:p>
        </w:tc>
        <w:tc>
          <w:tcPr>
            <w:tcW w:w="1814" w:type="dxa"/>
            <w:vAlign w:val="center"/>
          </w:tcPr>
          <w:p w14:paraId="14F20968" w14:textId="77777777" w:rsidR="00454A29" w:rsidRDefault="00454A29">
            <w:pPr>
              <w:pStyle w:val="ConsPlusNormal"/>
            </w:pPr>
          </w:p>
        </w:tc>
      </w:tr>
      <w:tr w:rsidR="00454A29" w14:paraId="728DBB6A" w14:textId="77777777">
        <w:tc>
          <w:tcPr>
            <w:tcW w:w="567" w:type="dxa"/>
            <w:vMerge/>
          </w:tcPr>
          <w:p w14:paraId="7FC1D894" w14:textId="77777777" w:rsidR="00454A29" w:rsidRDefault="00454A29"/>
        </w:tc>
        <w:tc>
          <w:tcPr>
            <w:tcW w:w="3345" w:type="dxa"/>
            <w:vMerge/>
          </w:tcPr>
          <w:p w14:paraId="4A9E9BA1" w14:textId="77777777" w:rsidR="00454A29" w:rsidRDefault="00454A29"/>
        </w:tc>
        <w:tc>
          <w:tcPr>
            <w:tcW w:w="1701" w:type="dxa"/>
            <w:vAlign w:val="center"/>
          </w:tcPr>
          <w:p w14:paraId="41C53EB0" w14:textId="77777777" w:rsidR="00454A29" w:rsidRDefault="00454A29">
            <w:pPr>
              <w:pStyle w:val="ConsPlusNormal"/>
              <w:jc w:val="center"/>
            </w:pPr>
            <w:r>
              <w:t>2025</w:t>
            </w:r>
          </w:p>
        </w:tc>
        <w:tc>
          <w:tcPr>
            <w:tcW w:w="1417" w:type="dxa"/>
            <w:vMerge/>
          </w:tcPr>
          <w:p w14:paraId="4702BF8D" w14:textId="77777777" w:rsidR="00454A29" w:rsidRDefault="00454A29"/>
        </w:tc>
        <w:tc>
          <w:tcPr>
            <w:tcW w:w="2204" w:type="dxa"/>
            <w:vMerge/>
          </w:tcPr>
          <w:p w14:paraId="4F7B675A" w14:textId="77777777" w:rsidR="00454A29" w:rsidRDefault="00454A29"/>
        </w:tc>
        <w:tc>
          <w:tcPr>
            <w:tcW w:w="1417" w:type="dxa"/>
            <w:vMerge/>
          </w:tcPr>
          <w:p w14:paraId="4C38CD73" w14:textId="77777777" w:rsidR="00454A29" w:rsidRDefault="00454A29"/>
        </w:tc>
        <w:tc>
          <w:tcPr>
            <w:tcW w:w="2324" w:type="dxa"/>
            <w:vMerge/>
          </w:tcPr>
          <w:p w14:paraId="3A2E81E1" w14:textId="77777777" w:rsidR="00454A29" w:rsidRDefault="00454A29"/>
        </w:tc>
        <w:tc>
          <w:tcPr>
            <w:tcW w:w="1701" w:type="dxa"/>
            <w:vAlign w:val="center"/>
          </w:tcPr>
          <w:p w14:paraId="25396B0F" w14:textId="77777777" w:rsidR="00454A29" w:rsidRDefault="00454A29">
            <w:pPr>
              <w:pStyle w:val="ConsPlusNormal"/>
              <w:jc w:val="center"/>
            </w:pPr>
            <w:r>
              <w:t>44 275,00</w:t>
            </w:r>
          </w:p>
        </w:tc>
        <w:tc>
          <w:tcPr>
            <w:tcW w:w="1814" w:type="dxa"/>
            <w:vAlign w:val="center"/>
          </w:tcPr>
          <w:p w14:paraId="26CCDB85" w14:textId="77777777" w:rsidR="00454A29" w:rsidRDefault="00454A29">
            <w:pPr>
              <w:pStyle w:val="ConsPlusNormal"/>
              <w:jc w:val="center"/>
            </w:pPr>
            <w:r>
              <w:t>44 275,00</w:t>
            </w:r>
          </w:p>
        </w:tc>
        <w:tc>
          <w:tcPr>
            <w:tcW w:w="1701" w:type="dxa"/>
            <w:vAlign w:val="center"/>
          </w:tcPr>
          <w:p w14:paraId="1C0E3238" w14:textId="77777777" w:rsidR="00454A29" w:rsidRDefault="00454A29">
            <w:pPr>
              <w:pStyle w:val="ConsPlusNormal"/>
              <w:jc w:val="center"/>
            </w:pPr>
            <w:r>
              <w:t>-</w:t>
            </w:r>
          </w:p>
        </w:tc>
        <w:tc>
          <w:tcPr>
            <w:tcW w:w="1701" w:type="dxa"/>
            <w:vAlign w:val="center"/>
          </w:tcPr>
          <w:p w14:paraId="67A94AF5" w14:textId="77777777" w:rsidR="00454A29" w:rsidRDefault="00454A29">
            <w:pPr>
              <w:pStyle w:val="ConsPlusNormal"/>
            </w:pPr>
          </w:p>
        </w:tc>
        <w:tc>
          <w:tcPr>
            <w:tcW w:w="1814" w:type="dxa"/>
            <w:vAlign w:val="center"/>
          </w:tcPr>
          <w:p w14:paraId="64AD972E" w14:textId="77777777" w:rsidR="00454A29" w:rsidRDefault="00454A29">
            <w:pPr>
              <w:pStyle w:val="ConsPlusNormal"/>
            </w:pPr>
          </w:p>
        </w:tc>
      </w:tr>
      <w:tr w:rsidR="00454A29" w14:paraId="68BC4A3C" w14:textId="77777777">
        <w:tc>
          <w:tcPr>
            <w:tcW w:w="567" w:type="dxa"/>
            <w:vMerge/>
          </w:tcPr>
          <w:p w14:paraId="425BCD70" w14:textId="77777777" w:rsidR="00454A29" w:rsidRDefault="00454A29"/>
        </w:tc>
        <w:tc>
          <w:tcPr>
            <w:tcW w:w="3345" w:type="dxa"/>
            <w:vMerge/>
          </w:tcPr>
          <w:p w14:paraId="56E52C4F" w14:textId="77777777" w:rsidR="00454A29" w:rsidRDefault="00454A29"/>
        </w:tc>
        <w:tc>
          <w:tcPr>
            <w:tcW w:w="1701" w:type="dxa"/>
            <w:vAlign w:val="center"/>
          </w:tcPr>
          <w:p w14:paraId="30E1BEBF" w14:textId="77777777" w:rsidR="00454A29" w:rsidRDefault="00454A29">
            <w:pPr>
              <w:pStyle w:val="ConsPlusNormal"/>
              <w:jc w:val="center"/>
            </w:pPr>
            <w:r>
              <w:t>2026</w:t>
            </w:r>
          </w:p>
        </w:tc>
        <w:tc>
          <w:tcPr>
            <w:tcW w:w="1417" w:type="dxa"/>
            <w:vMerge/>
          </w:tcPr>
          <w:p w14:paraId="5F5F7C60" w14:textId="77777777" w:rsidR="00454A29" w:rsidRDefault="00454A29"/>
        </w:tc>
        <w:tc>
          <w:tcPr>
            <w:tcW w:w="2204" w:type="dxa"/>
            <w:vMerge/>
          </w:tcPr>
          <w:p w14:paraId="6D336AA7" w14:textId="77777777" w:rsidR="00454A29" w:rsidRDefault="00454A29"/>
        </w:tc>
        <w:tc>
          <w:tcPr>
            <w:tcW w:w="1417" w:type="dxa"/>
            <w:vMerge/>
          </w:tcPr>
          <w:p w14:paraId="688F8B91" w14:textId="77777777" w:rsidR="00454A29" w:rsidRDefault="00454A29"/>
        </w:tc>
        <w:tc>
          <w:tcPr>
            <w:tcW w:w="2324" w:type="dxa"/>
            <w:vMerge/>
          </w:tcPr>
          <w:p w14:paraId="65EA201A" w14:textId="77777777" w:rsidR="00454A29" w:rsidRDefault="00454A29"/>
        </w:tc>
        <w:tc>
          <w:tcPr>
            <w:tcW w:w="1701" w:type="dxa"/>
            <w:vAlign w:val="center"/>
          </w:tcPr>
          <w:p w14:paraId="61DE6AE5" w14:textId="77777777" w:rsidR="00454A29" w:rsidRDefault="00454A29">
            <w:pPr>
              <w:pStyle w:val="ConsPlusNormal"/>
              <w:jc w:val="center"/>
            </w:pPr>
            <w:r>
              <w:t>43 120,00</w:t>
            </w:r>
          </w:p>
        </w:tc>
        <w:tc>
          <w:tcPr>
            <w:tcW w:w="1814" w:type="dxa"/>
            <w:vAlign w:val="center"/>
          </w:tcPr>
          <w:p w14:paraId="2CB7D126" w14:textId="77777777" w:rsidR="00454A29" w:rsidRDefault="00454A29">
            <w:pPr>
              <w:pStyle w:val="ConsPlusNormal"/>
              <w:jc w:val="center"/>
            </w:pPr>
            <w:r>
              <w:t>43 120,00</w:t>
            </w:r>
          </w:p>
        </w:tc>
        <w:tc>
          <w:tcPr>
            <w:tcW w:w="1701" w:type="dxa"/>
            <w:vAlign w:val="center"/>
          </w:tcPr>
          <w:p w14:paraId="22DF5F3F" w14:textId="77777777" w:rsidR="00454A29" w:rsidRDefault="00454A29">
            <w:pPr>
              <w:pStyle w:val="ConsPlusNormal"/>
              <w:jc w:val="center"/>
            </w:pPr>
            <w:r>
              <w:t>-</w:t>
            </w:r>
          </w:p>
        </w:tc>
        <w:tc>
          <w:tcPr>
            <w:tcW w:w="1701" w:type="dxa"/>
            <w:vAlign w:val="center"/>
          </w:tcPr>
          <w:p w14:paraId="6E55AF74" w14:textId="77777777" w:rsidR="00454A29" w:rsidRDefault="00454A29">
            <w:pPr>
              <w:pStyle w:val="ConsPlusNormal"/>
            </w:pPr>
          </w:p>
        </w:tc>
        <w:tc>
          <w:tcPr>
            <w:tcW w:w="1814" w:type="dxa"/>
            <w:vAlign w:val="center"/>
          </w:tcPr>
          <w:p w14:paraId="6838DE7D" w14:textId="77777777" w:rsidR="00454A29" w:rsidRDefault="00454A29">
            <w:pPr>
              <w:pStyle w:val="ConsPlusNormal"/>
            </w:pPr>
          </w:p>
        </w:tc>
      </w:tr>
      <w:tr w:rsidR="00454A29" w14:paraId="25200C42" w14:textId="77777777">
        <w:tc>
          <w:tcPr>
            <w:tcW w:w="21706" w:type="dxa"/>
            <w:gridSpan w:val="12"/>
            <w:vAlign w:val="center"/>
          </w:tcPr>
          <w:p w14:paraId="1A78BE0F" w14:textId="77777777" w:rsidR="00454A29" w:rsidRDefault="00454A29">
            <w:pPr>
              <w:pStyle w:val="ConsPlusNormal"/>
              <w:jc w:val="center"/>
            </w:pPr>
            <w:r>
              <w:lastRenderedPageBreak/>
              <w:t>Мероприятие 10.5.1.</w:t>
            </w:r>
          </w:p>
        </w:tc>
      </w:tr>
      <w:tr w:rsidR="00454A29" w14:paraId="458E7B28" w14:textId="77777777">
        <w:tc>
          <w:tcPr>
            <w:tcW w:w="567" w:type="dxa"/>
            <w:vMerge w:val="restart"/>
            <w:vAlign w:val="center"/>
          </w:tcPr>
          <w:p w14:paraId="59830C67" w14:textId="77777777" w:rsidR="00454A29" w:rsidRDefault="00454A29">
            <w:pPr>
              <w:pStyle w:val="ConsPlusNormal"/>
            </w:pPr>
          </w:p>
        </w:tc>
        <w:tc>
          <w:tcPr>
            <w:tcW w:w="3345" w:type="dxa"/>
            <w:vMerge w:val="restart"/>
            <w:vAlign w:val="center"/>
          </w:tcPr>
          <w:p w14:paraId="137FAFC0" w14:textId="77777777" w:rsidR="00454A29" w:rsidRDefault="00454A29">
            <w:pPr>
              <w:pStyle w:val="ConsPlusNormal"/>
              <w:jc w:val="center"/>
            </w:pPr>
            <w:r>
              <w:t>Капитальный ремонт объектов образования, находящихся в муниципальной собственности</w:t>
            </w:r>
          </w:p>
        </w:tc>
        <w:tc>
          <w:tcPr>
            <w:tcW w:w="1701" w:type="dxa"/>
            <w:vAlign w:val="center"/>
          </w:tcPr>
          <w:p w14:paraId="2486148B" w14:textId="77777777" w:rsidR="00454A29" w:rsidRDefault="00454A29">
            <w:pPr>
              <w:pStyle w:val="ConsPlusNormal"/>
              <w:jc w:val="center"/>
            </w:pPr>
            <w:r>
              <w:t>Всего:</w:t>
            </w:r>
          </w:p>
        </w:tc>
        <w:tc>
          <w:tcPr>
            <w:tcW w:w="1417" w:type="dxa"/>
            <w:vMerge w:val="restart"/>
            <w:vAlign w:val="center"/>
          </w:tcPr>
          <w:p w14:paraId="46CEF063" w14:textId="77777777" w:rsidR="00454A29" w:rsidRDefault="00454A29">
            <w:pPr>
              <w:pStyle w:val="ConsPlusNormal"/>
              <w:jc w:val="center"/>
            </w:pPr>
            <w:r>
              <w:t>х</w:t>
            </w:r>
          </w:p>
        </w:tc>
        <w:tc>
          <w:tcPr>
            <w:tcW w:w="2204" w:type="dxa"/>
            <w:vMerge w:val="restart"/>
            <w:vAlign w:val="center"/>
          </w:tcPr>
          <w:p w14:paraId="0BE8E248" w14:textId="77777777" w:rsidR="00454A29" w:rsidRDefault="00454A29">
            <w:pPr>
              <w:pStyle w:val="ConsPlusNormal"/>
              <w:jc w:val="center"/>
            </w:pPr>
            <w:r>
              <w:t>х</w:t>
            </w:r>
          </w:p>
        </w:tc>
        <w:tc>
          <w:tcPr>
            <w:tcW w:w="1417" w:type="dxa"/>
            <w:vMerge w:val="restart"/>
            <w:vAlign w:val="center"/>
          </w:tcPr>
          <w:p w14:paraId="003D8F3F" w14:textId="77777777" w:rsidR="00454A29" w:rsidRDefault="00454A29">
            <w:pPr>
              <w:pStyle w:val="ConsPlusNormal"/>
              <w:jc w:val="center"/>
            </w:pPr>
            <w:r>
              <w:t>0</w:t>
            </w:r>
          </w:p>
        </w:tc>
        <w:tc>
          <w:tcPr>
            <w:tcW w:w="2324" w:type="dxa"/>
            <w:vMerge w:val="restart"/>
            <w:vAlign w:val="center"/>
          </w:tcPr>
          <w:p w14:paraId="54AD0202" w14:textId="77777777" w:rsidR="00454A29" w:rsidRDefault="00454A29">
            <w:pPr>
              <w:pStyle w:val="ConsPlusNormal"/>
              <w:jc w:val="center"/>
            </w:pPr>
            <w:r>
              <w:t>х</w:t>
            </w:r>
          </w:p>
        </w:tc>
        <w:tc>
          <w:tcPr>
            <w:tcW w:w="1701" w:type="dxa"/>
            <w:vAlign w:val="center"/>
          </w:tcPr>
          <w:p w14:paraId="0C32E152" w14:textId="77777777" w:rsidR="00454A29" w:rsidRDefault="00454A29">
            <w:pPr>
              <w:pStyle w:val="ConsPlusNormal"/>
              <w:jc w:val="center"/>
            </w:pPr>
            <w:r>
              <w:t>128 170,00</w:t>
            </w:r>
          </w:p>
        </w:tc>
        <w:tc>
          <w:tcPr>
            <w:tcW w:w="1814" w:type="dxa"/>
            <w:vAlign w:val="center"/>
          </w:tcPr>
          <w:p w14:paraId="16FAB972" w14:textId="77777777" w:rsidR="00454A29" w:rsidRDefault="00454A29">
            <w:pPr>
              <w:pStyle w:val="ConsPlusNormal"/>
              <w:jc w:val="center"/>
            </w:pPr>
            <w:r>
              <w:t>128 170,00</w:t>
            </w:r>
          </w:p>
        </w:tc>
        <w:tc>
          <w:tcPr>
            <w:tcW w:w="1701" w:type="dxa"/>
            <w:vAlign w:val="center"/>
          </w:tcPr>
          <w:p w14:paraId="2BA8F5CD" w14:textId="77777777" w:rsidR="00454A29" w:rsidRDefault="00454A29">
            <w:pPr>
              <w:pStyle w:val="ConsPlusNormal"/>
              <w:jc w:val="center"/>
            </w:pPr>
            <w:r>
              <w:t>-</w:t>
            </w:r>
          </w:p>
        </w:tc>
        <w:tc>
          <w:tcPr>
            <w:tcW w:w="1701" w:type="dxa"/>
            <w:vAlign w:val="center"/>
          </w:tcPr>
          <w:p w14:paraId="0BEA7378" w14:textId="77777777" w:rsidR="00454A29" w:rsidRDefault="00454A29">
            <w:pPr>
              <w:pStyle w:val="ConsPlusNormal"/>
              <w:jc w:val="center"/>
            </w:pPr>
            <w:r>
              <w:t>-</w:t>
            </w:r>
          </w:p>
        </w:tc>
        <w:tc>
          <w:tcPr>
            <w:tcW w:w="1814" w:type="dxa"/>
            <w:vAlign w:val="center"/>
          </w:tcPr>
          <w:p w14:paraId="3C5C8CB3" w14:textId="77777777" w:rsidR="00454A29" w:rsidRDefault="00454A29">
            <w:pPr>
              <w:pStyle w:val="ConsPlusNormal"/>
              <w:jc w:val="center"/>
            </w:pPr>
            <w:r>
              <w:t>-</w:t>
            </w:r>
          </w:p>
        </w:tc>
      </w:tr>
      <w:tr w:rsidR="00454A29" w14:paraId="0EA594F5" w14:textId="77777777">
        <w:tc>
          <w:tcPr>
            <w:tcW w:w="567" w:type="dxa"/>
            <w:vMerge/>
          </w:tcPr>
          <w:p w14:paraId="061775FE" w14:textId="77777777" w:rsidR="00454A29" w:rsidRDefault="00454A29"/>
        </w:tc>
        <w:tc>
          <w:tcPr>
            <w:tcW w:w="3345" w:type="dxa"/>
            <w:vMerge/>
          </w:tcPr>
          <w:p w14:paraId="4D163730" w14:textId="77777777" w:rsidR="00454A29" w:rsidRDefault="00454A29"/>
        </w:tc>
        <w:tc>
          <w:tcPr>
            <w:tcW w:w="1701" w:type="dxa"/>
            <w:vAlign w:val="center"/>
          </w:tcPr>
          <w:p w14:paraId="685002D4" w14:textId="77777777" w:rsidR="00454A29" w:rsidRDefault="00454A29">
            <w:pPr>
              <w:pStyle w:val="ConsPlusNormal"/>
              <w:jc w:val="center"/>
            </w:pPr>
            <w:r>
              <w:t>2020</w:t>
            </w:r>
          </w:p>
        </w:tc>
        <w:tc>
          <w:tcPr>
            <w:tcW w:w="1417" w:type="dxa"/>
            <w:vMerge/>
          </w:tcPr>
          <w:p w14:paraId="6089696A" w14:textId="77777777" w:rsidR="00454A29" w:rsidRDefault="00454A29"/>
        </w:tc>
        <w:tc>
          <w:tcPr>
            <w:tcW w:w="2204" w:type="dxa"/>
            <w:vMerge/>
          </w:tcPr>
          <w:p w14:paraId="129DDEA7" w14:textId="77777777" w:rsidR="00454A29" w:rsidRDefault="00454A29"/>
        </w:tc>
        <w:tc>
          <w:tcPr>
            <w:tcW w:w="1417" w:type="dxa"/>
            <w:vMerge/>
          </w:tcPr>
          <w:p w14:paraId="4D7369A9" w14:textId="77777777" w:rsidR="00454A29" w:rsidRDefault="00454A29"/>
        </w:tc>
        <w:tc>
          <w:tcPr>
            <w:tcW w:w="2324" w:type="dxa"/>
            <w:vMerge/>
          </w:tcPr>
          <w:p w14:paraId="5FA94CB0" w14:textId="77777777" w:rsidR="00454A29" w:rsidRDefault="00454A29"/>
        </w:tc>
        <w:tc>
          <w:tcPr>
            <w:tcW w:w="1701" w:type="dxa"/>
            <w:vAlign w:val="center"/>
          </w:tcPr>
          <w:p w14:paraId="7CEFE309" w14:textId="77777777" w:rsidR="00454A29" w:rsidRDefault="00454A29">
            <w:pPr>
              <w:pStyle w:val="ConsPlusNormal"/>
              <w:jc w:val="center"/>
            </w:pPr>
            <w:r>
              <w:t>-</w:t>
            </w:r>
          </w:p>
        </w:tc>
        <w:tc>
          <w:tcPr>
            <w:tcW w:w="1814" w:type="dxa"/>
            <w:vAlign w:val="center"/>
          </w:tcPr>
          <w:p w14:paraId="19E5CE14" w14:textId="77777777" w:rsidR="00454A29" w:rsidRDefault="00454A29">
            <w:pPr>
              <w:pStyle w:val="ConsPlusNormal"/>
            </w:pPr>
          </w:p>
        </w:tc>
        <w:tc>
          <w:tcPr>
            <w:tcW w:w="1701" w:type="dxa"/>
            <w:vAlign w:val="center"/>
          </w:tcPr>
          <w:p w14:paraId="201F87D8" w14:textId="77777777" w:rsidR="00454A29" w:rsidRDefault="00454A29">
            <w:pPr>
              <w:pStyle w:val="ConsPlusNormal"/>
            </w:pPr>
          </w:p>
        </w:tc>
        <w:tc>
          <w:tcPr>
            <w:tcW w:w="1701" w:type="dxa"/>
            <w:vAlign w:val="center"/>
          </w:tcPr>
          <w:p w14:paraId="74AB343F" w14:textId="77777777" w:rsidR="00454A29" w:rsidRDefault="00454A29">
            <w:pPr>
              <w:pStyle w:val="ConsPlusNormal"/>
            </w:pPr>
          </w:p>
        </w:tc>
        <w:tc>
          <w:tcPr>
            <w:tcW w:w="1814" w:type="dxa"/>
            <w:vAlign w:val="center"/>
          </w:tcPr>
          <w:p w14:paraId="6700395D" w14:textId="77777777" w:rsidR="00454A29" w:rsidRDefault="00454A29">
            <w:pPr>
              <w:pStyle w:val="ConsPlusNormal"/>
            </w:pPr>
          </w:p>
        </w:tc>
      </w:tr>
      <w:tr w:rsidR="00454A29" w14:paraId="76DABC64" w14:textId="77777777">
        <w:tc>
          <w:tcPr>
            <w:tcW w:w="567" w:type="dxa"/>
            <w:vMerge/>
          </w:tcPr>
          <w:p w14:paraId="01502B43" w14:textId="77777777" w:rsidR="00454A29" w:rsidRDefault="00454A29"/>
        </w:tc>
        <w:tc>
          <w:tcPr>
            <w:tcW w:w="3345" w:type="dxa"/>
            <w:vMerge/>
          </w:tcPr>
          <w:p w14:paraId="7B985BEA" w14:textId="77777777" w:rsidR="00454A29" w:rsidRDefault="00454A29"/>
        </w:tc>
        <w:tc>
          <w:tcPr>
            <w:tcW w:w="1701" w:type="dxa"/>
            <w:vAlign w:val="center"/>
          </w:tcPr>
          <w:p w14:paraId="1F0B1127" w14:textId="77777777" w:rsidR="00454A29" w:rsidRDefault="00454A29">
            <w:pPr>
              <w:pStyle w:val="ConsPlusNormal"/>
              <w:jc w:val="center"/>
            </w:pPr>
            <w:r>
              <w:t>2021</w:t>
            </w:r>
          </w:p>
        </w:tc>
        <w:tc>
          <w:tcPr>
            <w:tcW w:w="1417" w:type="dxa"/>
            <w:vMerge/>
          </w:tcPr>
          <w:p w14:paraId="069DCED4" w14:textId="77777777" w:rsidR="00454A29" w:rsidRDefault="00454A29"/>
        </w:tc>
        <w:tc>
          <w:tcPr>
            <w:tcW w:w="2204" w:type="dxa"/>
            <w:vMerge/>
          </w:tcPr>
          <w:p w14:paraId="6F143D55" w14:textId="77777777" w:rsidR="00454A29" w:rsidRDefault="00454A29"/>
        </w:tc>
        <w:tc>
          <w:tcPr>
            <w:tcW w:w="1417" w:type="dxa"/>
            <w:vMerge/>
          </w:tcPr>
          <w:p w14:paraId="7681C70F" w14:textId="77777777" w:rsidR="00454A29" w:rsidRDefault="00454A29"/>
        </w:tc>
        <w:tc>
          <w:tcPr>
            <w:tcW w:w="2324" w:type="dxa"/>
            <w:vMerge/>
          </w:tcPr>
          <w:p w14:paraId="6BBE7AEA" w14:textId="77777777" w:rsidR="00454A29" w:rsidRDefault="00454A29"/>
        </w:tc>
        <w:tc>
          <w:tcPr>
            <w:tcW w:w="1701" w:type="dxa"/>
            <w:vAlign w:val="center"/>
          </w:tcPr>
          <w:p w14:paraId="057E5594" w14:textId="77777777" w:rsidR="00454A29" w:rsidRDefault="00454A29">
            <w:pPr>
              <w:pStyle w:val="ConsPlusNormal"/>
              <w:jc w:val="center"/>
            </w:pPr>
            <w:r>
              <w:t>-</w:t>
            </w:r>
          </w:p>
        </w:tc>
        <w:tc>
          <w:tcPr>
            <w:tcW w:w="1814" w:type="dxa"/>
            <w:vAlign w:val="center"/>
          </w:tcPr>
          <w:p w14:paraId="5AA5B7E6" w14:textId="77777777" w:rsidR="00454A29" w:rsidRDefault="00454A29">
            <w:pPr>
              <w:pStyle w:val="ConsPlusNormal"/>
            </w:pPr>
          </w:p>
        </w:tc>
        <w:tc>
          <w:tcPr>
            <w:tcW w:w="1701" w:type="dxa"/>
            <w:vAlign w:val="center"/>
          </w:tcPr>
          <w:p w14:paraId="228CE80B" w14:textId="77777777" w:rsidR="00454A29" w:rsidRDefault="00454A29">
            <w:pPr>
              <w:pStyle w:val="ConsPlusNormal"/>
            </w:pPr>
          </w:p>
        </w:tc>
        <w:tc>
          <w:tcPr>
            <w:tcW w:w="1701" w:type="dxa"/>
            <w:vAlign w:val="center"/>
          </w:tcPr>
          <w:p w14:paraId="12AEC0A5" w14:textId="77777777" w:rsidR="00454A29" w:rsidRDefault="00454A29">
            <w:pPr>
              <w:pStyle w:val="ConsPlusNormal"/>
            </w:pPr>
          </w:p>
        </w:tc>
        <w:tc>
          <w:tcPr>
            <w:tcW w:w="1814" w:type="dxa"/>
            <w:vAlign w:val="center"/>
          </w:tcPr>
          <w:p w14:paraId="55213AD4" w14:textId="77777777" w:rsidR="00454A29" w:rsidRDefault="00454A29">
            <w:pPr>
              <w:pStyle w:val="ConsPlusNormal"/>
            </w:pPr>
          </w:p>
        </w:tc>
      </w:tr>
      <w:tr w:rsidR="00454A29" w14:paraId="105DD314" w14:textId="77777777">
        <w:tc>
          <w:tcPr>
            <w:tcW w:w="567" w:type="dxa"/>
            <w:vMerge/>
          </w:tcPr>
          <w:p w14:paraId="407A3F51" w14:textId="77777777" w:rsidR="00454A29" w:rsidRDefault="00454A29"/>
        </w:tc>
        <w:tc>
          <w:tcPr>
            <w:tcW w:w="3345" w:type="dxa"/>
            <w:vMerge/>
          </w:tcPr>
          <w:p w14:paraId="2CDBCAFD" w14:textId="77777777" w:rsidR="00454A29" w:rsidRDefault="00454A29"/>
        </w:tc>
        <w:tc>
          <w:tcPr>
            <w:tcW w:w="1701" w:type="dxa"/>
            <w:vAlign w:val="center"/>
          </w:tcPr>
          <w:p w14:paraId="0707071B" w14:textId="77777777" w:rsidR="00454A29" w:rsidRDefault="00454A29">
            <w:pPr>
              <w:pStyle w:val="ConsPlusNormal"/>
              <w:jc w:val="center"/>
            </w:pPr>
            <w:r>
              <w:t>2022</w:t>
            </w:r>
          </w:p>
        </w:tc>
        <w:tc>
          <w:tcPr>
            <w:tcW w:w="1417" w:type="dxa"/>
            <w:vMerge/>
          </w:tcPr>
          <w:p w14:paraId="33A85D51" w14:textId="77777777" w:rsidR="00454A29" w:rsidRDefault="00454A29"/>
        </w:tc>
        <w:tc>
          <w:tcPr>
            <w:tcW w:w="2204" w:type="dxa"/>
            <w:vMerge/>
          </w:tcPr>
          <w:p w14:paraId="5D10C357" w14:textId="77777777" w:rsidR="00454A29" w:rsidRDefault="00454A29"/>
        </w:tc>
        <w:tc>
          <w:tcPr>
            <w:tcW w:w="1417" w:type="dxa"/>
            <w:vMerge/>
          </w:tcPr>
          <w:p w14:paraId="6722D56B" w14:textId="77777777" w:rsidR="00454A29" w:rsidRDefault="00454A29"/>
        </w:tc>
        <w:tc>
          <w:tcPr>
            <w:tcW w:w="2324" w:type="dxa"/>
            <w:vMerge/>
          </w:tcPr>
          <w:p w14:paraId="3E624A87" w14:textId="77777777" w:rsidR="00454A29" w:rsidRDefault="00454A29"/>
        </w:tc>
        <w:tc>
          <w:tcPr>
            <w:tcW w:w="1701" w:type="dxa"/>
            <w:vAlign w:val="center"/>
          </w:tcPr>
          <w:p w14:paraId="5BD20305" w14:textId="77777777" w:rsidR="00454A29" w:rsidRDefault="00454A29">
            <w:pPr>
              <w:pStyle w:val="ConsPlusNormal"/>
            </w:pPr>
          </w:p>
        </w:tc>
        <w:tc>
          <w:tcPr>
            <w:tcW w:w="1814" w:type="dxa"/>
            <w:vAlign w:val="center"/>
          </w:tcPr>
          <w:p w14:paraId="22CAB8D3" w14:textId="77777777" w:rsidR="00454A29" w:rsidRDefault="00454A29">
            <w:pPr>
              <w:pStyle w:val="ConsPlusNormal"/>
            </w:pPr>
          </w:p>
        </w:tc>
        <w:tc>
          <w:tcPr>
            <w:tcW w:w="1701" w:type="dxa"/>
            <w:vAlign w:val="center"/>
          </w:tcPr>
          <w:p w14:paraId="5621409B" w14:textId="77777777" w:rsidR="00454A29" w:rsidRDefault="00454A29">
            <w:pPr>
              <w:pStyle w:val="ConsPlusNormal"/>
            </w:pPr>
          </w:p>
        </w:tc>
        <w:tc>
          <w:tcPr>
            <w:tcW w:w="1701" w:type="dxa"/>
            <w:vAlign w:val="center"/>
          </w:tcPr>
          <w:p w14:paraId="54B85EDD" w14:textId="77777777" w:rsidR="00454A29" w:rsidRDefault="00454A29">
            <w:pPr>
              <w:pStyle w:val="ConsPlusNormal"/>
            </w:pPr>
          </w:p>
        </w:tc>
        <w:tc>
          <w:tcPr>
            <w:tcW w:w="1814" w:type="dxa"/>
            <w:vAlign w:val="center"/>
          </w:tcPr>
          <w:p w14:paraId="401C14FC" w14:textId="77777777" w:rsidR="00454A29" w:rsidRDefault="00454A29">
            <w:pPr>
              <w:pStyle w:val="ConsPlusNormal"/>
            </w:pPr>
          </w:p>
        </w:tc>
      </w:tr>
      <w:tr w:rsidR="00454A29" w14:paraId="2C2F0CFB" w14:textId="77777777">
        <w:tc>
          <w:tcPr>
            <w:tcW w:w="567" w:type="dxa"/>
            <w:vMerge/>
          </w:tcPr>
          <w:p w14:paraId="7A775D56" w14:textId="77777777" w:rsidR="00454A29" w:rsidRDefault="00454A29"/>
        </w:tc>
        <w:tc>
          <w:tcPr>
            <w:tcW w:w="3345" w:type="dxa"/>
            <w:vMerge/>
          </w:tcPr>
          <w:p w14:paraId="5044997D" w14:textId="77777777" w:rsidR="00454A29" w:rsidRDefault="00454A29"/>
        </w:tc>
        <w:tc>
          <w:tcPr>
            <w:tcW w:w="1701" w:type="dxa"/>
            <w:vAlign w:val="center"/>
          </w:tcPr>
          <w:p w14:paraId="72C123F4" w14:textId="77777777" w:rsidR="00454A29" w:rsidRDefault="00454A29">
            <w:pPr>
              <w:pStyle w:val="ConsPlusNormal"/>
              <w:jc w:val="center"/>
            </w:pPr>
            <w:r>
              <w:t>2023</w:t>
            </w:r>
          </w:p>
        </w:tc>
        <w:tc>
          <w:tcPr>
            <w:tcW w:w="1417" w:type="dxa"/>
            <w:vMerge/>
          </w:tcPr>
          <w:p w14:paraId="768D35C8" w14:textId="77777777" w:rsidR="00454A29" w:rsidRDefault="00454A29"/>
        </w:tc>
        <w:tc>
          <w:tcPr>
            <w:tcW w:w="2204" w:type="dxa"/>
            <w:vMerge/>
          </w:tcPr>
          <w:p w14:paraId="22553A76" w14:textId="77777777" w:rsidR="00454A29" w:rsidRDefault="00454A29"/>
        </w:tc>
        <w:tc>
          <w:tcPr>
            <w:tcW w:w="1417" w:type="dxa"/>
            <w:vMerge/>
          </w:tcPr>
          <w:p w14:paraId="3AB07DA2" w14:textId="77777777" w:rsidR="00454A29" w:rsidRDefault="00454A29"/>
        </w:tc>
        <w:tc>
          <w:tcPr>
            <w:tcW w:w="2324" w:type="dxa"/>
            <w:vMerge/>
          </w:tcPr>
          <w:p w14:paraId="1FD0959B" w14:textId="77777777" w:rsidR="00454A29" w:rsidRDefault="00454A29"/>
        </w:tc>
        <w:tc>
          <w:tcPr>
            <w:tcW w:w="1701" w:type="dxa"/>
            <w:vAlign w:val="center"/>
          </w:tcPr>
          <w:p w14:paraId="20082869" w14:textId="77777777" w:rsidR="00454A29" w:rsidRDefault="00454A29">
            <w:pPr>
              <w:pStyle w:val="ConsPlusNormal"/>
              <w:jc w:val="center"/>
            </w:pPr>
            <w:r>
              <w:t>17 360,00</w:t>
            </w:r>
          </w:p>
        </w:tc>
        <w:tc>
          <w:tcPr>
            <w:tcW w:w="1814" w:type="dxa"/>
            <w:vAlign w:val="center"/>
          </w:tcPr>
          <w:p w14:paraId="74031A76" w14:textId="77777777" w:rsidR="00454A29" w:rsidRDefault="00454A29">
            <w:pPr>
              <w:pStyle w:val="ConsPlusNormal"/>
              <w:jc w:val="center"/>
            </w:pPr>
            <w:r>
              <w:t>17 360,00</w:t>
            </w:r>
          </w:p>
        </w:tc>
        <w:tc>
          <w:tcPr>
            <w:tcW w:w="1701" w:type="dxa"/>
            <w:vAlign w:val="center"/>
          </w:tcPr>
          <w:p w14:paraId="361B044C" w14:textId="77777777" w:rsidR="00454A29" w:rsidRDefault="00454A29">
            <w:pPr>
              <w:pStyle w:val="ConsPlusNormal"/>
            </w:pPr>
          </w:p>
        </w:tc>
        <w:tc>
          <w:tcPr>
            <w:tcW w:w="1701" w:type="dxa"/>
            <w:vAlign w:val="center"/>
          </w:tcPr>
          <w:p w14:paraId="4580B2F2" w14:textId="77777777" w:rsidR="00454A29" w:rsidRDefault="00454A29">
            <w:pPr>
              <w:pStyle w:val="ConsPlusNormal"/>
            </w:pPr>
          </w:p>
        </w:tc>
        <w:tc>
          <w:tcPr>
            <w:tcW w:w="1814" w:type="dxa"/>
            <w:vAlign w:val="center"/>
          </w:tcPr>
          <w:p w14:paraId="755DD7DC" w14:textId="77777777" w:rsidR="00454A29" w:rsidRDefault="00454A29">
            <w:pPr>
              <w:pStyle w:val="ConsPlusNormal"/>
            </w:pPr>
          </w:p>
        </w:tc>
      </w:tr>
      <w:tr w:rsidR="00454A29" w14:paraId="49F6EA36" w14:textId="77777777">
        <w:tc>
          <w:tcPr>
            <w:tcW w:w="567" w:type="dxa"/>
            <w:vMerge/>
          </w:tcPr>
          <w:p w14:paraId="2411CEFB" w14:textId="77777777" w:rsidR="00454A29" w:rsidRDefault="00454A29"/>
        </w:tc>
        <w:tc>
          <w:tcPr>
            <w:tcW w:w="3345" w:type="dxa"/>
            <w:vMerge/>
          </w:tcPr>
          <w:p w14:paraId="5A3E25D5" w14:textId="77777777" w:rsidR="00454A29" w:rsidRDefault="00454A29"/>
        </w:tc>
        <w:tc>
          <w:tcPr>
            <w:tcW w:w="1701" w:type="dxa"/>
            <w:vAlign w:val="center"/>
          </w:tcPr>
          <w:p w14:paraId="1D3E547E" w14:textId="77777777" w:rsidR="00454A29" w:rsidRDefault="00454A29">
            <w:pPr>
              <w:pStyle w:val="ConsPlusNormal"/>
              <w:jc w:val="center"/>
            </w:pPr>
            <w:r>
              <w:t>2024</w:t>
            </w:r>
          </w:p>
        </w:tc>
        <w:tc>
          <w:tcPr>
            <w:tcW w:w="1417" w:type="dxa"/>
            <w:vMerge/>
          </w:tcPr>
          <w:p w14:paraId="7B3C1FC4" w14:textId="77777777" w:rsidR="00454A29" w:rsidRDefault="00454A29"/>
        </w:tc>
        <w:tc>
          <w:tcPr>
            <w:tcW w:w="2204" w:type="dxa"/>
            <w:vMerge/>
          </w:tcPr>
          <w:p w14:paraId="4C9B92AC" w14:textId="77777777" w:rsidR="00454A29" w:rsidRDefault="00454A29"/>
        </w:tc>
        <w:tc>
          <w:tcPr>
            <w:tcW w:w="1417" w:type="dxa"/>
            <w:vMerge/>
          </w:tcPr>
          <w:p w14:paraId="07569CB1" w14:textId="77777777" w:rsidR="00454A29" w:rsidRDefault="00454A29"/>
        </w:tc>
        <w:tc>
          <w:tcPr>
            <w:tcW w:w="2324" w:type="dxa"/>
            <w:vMerge/>
          </w:tcPr>
          <w:p w14:paraId="20C5DB5D" w14:textId="77777777" w:rsidR="00454A29" w:rsidRDefault="00454A29"/>
        </w:tc>
        <w:tc>
          <w:tcPr>
            <w:tcW w:w="1701" w:type="dxa"/>
            <w:vAlign w:val="center"/>
          </w:tcPr>
          <w:p w14:paraId="617D46F0" w14:textId="77777777" w:rsidR="00454A29" w:rsidRDefault="00454A29">
            <w:pPr>
              <w:pStyle w:val="ConsPlusNormal"/>
              <w:jc w:val="center"/>
            </w:pPr>
            <w:r>
              <w:t>23 415,00</w:t>
            </w:r>
          </w:p>
        </w:tc>
        <w:tc>
          <w:tcPr>
            <w:tcW w:w="1814" w:type="dxa"/>
            <w:vAlign w:val="center"/>
          </w:tcPr>
          <w:p w14:paraId="1E176252" w14:textId="77777777" w:rsidR="00454A29" w:rsidRDefault="00454A29">
            <w:pPr>
              <w:pStyle w:val="ConsPlusNormal"/>
              <w:jc w:val="center"/>
            </w:pPr>
            <w:r>
              <w:t>23 415,00</w:t>
            </w:r>
          </w:p>
        </w:tc>
        <w:tc>
          <w:tcPr>
            <w:tcW w:w="1701" w:type="dxa"/>
            <w:vAlign w:val="center"/>
          </w:tcPr>
          <w:p w14:paraId="0223A44E" w14:textId="77777777" w:rsidR="00454A29" w:rsidRDefault="00454A29">
            <w:pPr>
              <w:pStyle w:val="ConsPlusNormal"/>
            </w:pPr>
          </w:p>
        </w:tc>
        <w:tc>
          <w:tcPr>
            <w:tcW w:w="1701" w:type="dxa"/>
            <w:vAlign w:val="center"/>
          </w:tcPr>
          <w:p w14:paraId="2C6306E0" w14:textId="77777777" w:rsidR="00454A29" w:rsidRDefault="00454A29">
            <w:pPr>
              <w:pStyle w:val="ConsPlusNormal"/>
            </w:pPr>
          </w:p>
        </w:tc>
        <w:tc>
          <w:tcPr>
            <w:tcW w:w="1814" w:type="dxa"/>
            <w:vAlign w:val="center"/>
          </w:tcPr>
          <w:p w14:paraId="6E0B7E3D" w14:textId="77777777" w:rsidR="00454A29" w:rsidRDefault="00454A29">
            <w:pPr>
              <w:pStyle w:val="ConsPlusNormal"/>
            </w:pPr>
          </w:p>
        </w:tc>
      </w:tr>
      <w:tr w:rsidR="00454A29" w14:paraId="1A622818" w14:textId="77777777">
        <w:tc>
          <w:tcPr>
            <w:tcW w:w="567" w:type="dxa"/>
            <w:vMerge/>
          </w:tcPr>
          <w:p w14:paraId="208403CB" w14:textId="77777777" w:rsidR="00454A29" w:rsidRDefault="00454A29"/>
        </w:tc>
        <w:tc>
          <w:tcPr>
            <w:tcW w:w="3345" w:type="dxa"/>
            <w:vMerge/>
          </w:tcPr>
          <w:p w14:paraId="039244FD" w14:textId="77777777" w:rsidR="00454A29" w:rsidRDefault="00454A29"/>
        </w:tc>
        <w:tc>
          <w:tcPr>
            <w:tcW w:w="1701" w:type="dxa"/>
            <w:vAlign w:val="center"/>
          </w:tcPr>
          <w:p w14:paraId="1D6D40E7" w14:textId="77777777" w:rsidR="00454A29" w:rsidRDefault="00454A29">
            <w:pPr>
              <w:pStyle w:val="ConsPlusNormal"/>
              <w:jc w:val="center"/>
            </w:pPr>
            <w:r>
              <w:t>2025</w:t>
            </w:r>
          </w:p>
        </w:tc>
        <w:tc>
          <w:tcPr>
            <w:tcW w:w="1417" w:type="dxa"/>
            <w:vMerge/>
          </w:tcPr>
          <w:p w14:paraId="035FB118" w14:textId="77777777" w:rsidR="00454A29" w:rsidRDefault="00454A29"/>
        </w:tc>
        <w:tc>
          <w:tcPr>
            <w:tcW w:w="2204" w:type="dxa"/>
            <w:vMerge/>
          </w:tcPr>
          <w:p w14:paraId="09198AA9" w14:textId="77777777" w:rsidR="00454A29" w:rsidRDefault="00454A29"/>
        </w:tc>
        <w:tc>
          <w:tcPr>
            <w:tcW w:w="1417" w:type="dxa"/>
            <w:vMerge/>
          </w:tcPr>
          <w:p w14:paraId="33E93DED" w14:textId="77777777" w:rsidR="00454A29" w:rsidRDefault="00454A29"/>
        </w:tc>
        <w:tc>
          <w:tcPr>
            <w:tcW w:w="2324" w:type="dxa"/>
            <w:vMerge/>
          </w:tcPr>
          <w:p w14:paraId="15F98059" w14:textId="77777777" w:rsidR="00454A29" w:rsidRDefault="00454A29"/>
        </w:tc>
        <w:tc>
          <w:tcPr>
            <w:tcW w:w="1701" w:type="dxa"/>
            <w:vAlign w:val="center"/>
          </w:tcPr>
          <w:p w14:paraId="1FBD823E" w14:textId="77777777" w:rsidR="00454A29" w:rsidRDefault="00454A29">
            <w:pPr>
              <w:pStyle w:val="ConsPlusNormal"/>
              <w:jc w:val="center"/>
            </w:pPr>
            <w:r>
              <w:t>44 275,00</w:t>
            </w:r>
          </w:p>
        </w:tc>
        <w:tc>
          <w:tcPr>
            <w:tcW w:w="1814" w:type="dxa"/>
            <w:vAlign w:val="center"/>
          </w:tcPr>
          <w:p w14:paraId="443A48EF" w14:textId="77777777" w:rsidR="00454A29" w:rsidRDefault="00454A29">
            <w:pPr>
              <w:pStyle w:val="ConsPlusNormal"/>
              <w:jc w:val="center"/>
            </w:pPr>
            <w:r>
              <w:t>44 275,00</w:t>
            </w:r>
          </w:p>
        </w:tc>
        <w:tc>
          <w:tcPr>
            <w:tcW w:w="1701" w:type="dxa"/>
            <w:vAlign w:val="center"/>
          </w:tcPr>
          <w:p w14:paraId="0B0CCC73" w14:textId="77777777" w:rsidR="00454A29" w:rsidRDefault="00454A29">
            <w:pPr>
              <w:pStyle w:val="ConsPlusNormal"/>
            </w:pPr>
          </w:p>
        </w:tc>
        <w:tc>
          <w:tcPr>
            <w:tcW w:w="1701" w:type="dxa"/>
            <w:vAlign w:val="center"/>
          </w:tcPr>
          <w:p w14:paraId="050C002B" w14:textId="77777777" w:rsidR="00454A29" w:rsidRDefault="00454A29">
            <w:pPr>
              <w:pStyle w:val="ConsPlusNormal"/>
            </w:pPr>
          </w:p>
        </w:tc>
        <w:tc>
          <w:tcPr>
            <w:tcW w:w="1814" w:type="dxa"/>
            <w:vAlign w:val="center"/>
          </w:tcPr>
          <w:p w14:paraId="386F216D" w14:textId="77777777" w:rsidR="00454A29" w:rsidRDefault="00454A29">
            <w:pPr>
              <w:pStyle w:val="ConsPlusNormal"/>
            </w:pPr>
          </w:p>
        </w:tc>
      </w:tr>
      <w:tr w:rsidR="00454A29" w14:paraId="5CE5EB40" w14:textId="77777777">
        <w:tc>
          <w:tcPr>
            <w:tcW w:w="567" w:type="dxa"/>
            <w:vMerge/>
          </w:tcPr>
          <w:p w14:paraId="42A8DDDC" w14:textId="77777777" w:rsidR="00454A29" w:rsidRDefault="00454A29"/>
        </w:tc>
        <w:tc>
          <w:tcPr>
            <w:tcW w:w="3345" w:type="dxa"/>
            <w:vMerge/>
          </w:tcPr>
          <w:p w14:paraId="63542327" w14:textId="77777777" w:rsidR="00454A29" w:rsidRDefault="00454A29"/>
        </w:tc>
        <w:tc>
          <w:tcPr>
            <w:tcW w:w="1701" w:type="dxa"/>
            <w:vAlign w:val="center"/>
          </w:tcPr>
          <w:p w14:paraId="2DD56E07" w14:textId="77777777" w:rsidR="00454A29" w:rsidRDefault="00454A29">
            <w:pPr>
              <w:pStyle w:val="ConsPlusNormal"/>
              <w:jc w:val="center"/>
            </w:pPr>
            <w:r>
              <w:t>2026</w:t>
            </w:r>
          </w:p>
        </w:tc>
        <w:tc>
          <w:tcPr>
            <w:tcW w:w="1417" w:type="dxa"/>
            <w:vMerge/>
          </w:tcPr>
          <w:p w14:paraId="6FEADABB" w14:textId="77777777" w:rsidR="00454A29" w:rsidRDefault="00454A29"/>
        </w:tc>
        <w:tc>
          <w:tcPr>
            <w:tcW w:w="2204" w:type="dxa"/>
            <w:vMerge/>
          </w:tcPr>
          <w:p w14:paraId="1FD6301F" w14:textId="77777777" w:rsidR="00454A29" w:rsidRDefault="00454A29"/>
        </w:tc>
        <w:tc>
          <w:tcPr>
            <w:tcW w:w="1417" w:type="dxa"/>
            <w:vMerge/>
          </w:tcPr>
          <w:p w14:paraId="7700D639" w14:textId="77777777" w:rsidR="00454A29" w:rsidRDefault="00454A29"/>
        </w:tc>
        <w:tc>
          <w:tcPr>
            <w:tcW w:w="2324" w:type="dxa"/>
            <w:vMerge/>
          </w:tcPr>
          <w:p w14:paraId="7627350D" w14:textId="77777777" w:rsidR="00454A29" w:rsidRDefault="00454A29"/>
        </w:tc>
        <w:tc>
          <w:tcPr>
            <w:tcW w:w="1701" w:type="dxa"/>
            <w:vAlign w:val="center"/>
          </w:tcPr>
          <w:p w14:paraId="592B26BD" w14:textId="77777777" w:rsidR="00454A29" w:rsidRDefault="00454A29">
            <w:pPr>
              <w:pStyle w:val="ConsPlusNormal"/>
              <w:jc w:val="center"/>
            </w:pPr>
            <w:r>
              <w:t>43 120,00</w:t>
            </w:r>
          </w:p>
        </w:tc>
        <w:tc>
          <w:tcPr>
            <w:tcW w:w="1814" w:type="dxa"/>
            <w:vAlign w:val="center"/>
          </w:tcPr>
          <w:p w14:paraId="6779F39B" w14:textId="77777777" w:rsidR="00454A29" w:rsidRDefault="00454A29">
            <w:pPr>
              <w:pStyle w:val="ConsPlusNormal"/>
              <w:jc w:val="center"/>
            </w:pPr>
            <w:r>
              <w:t>43 120,00</w:t>
            </w:r>
          </w:p>
        </w:tc>
        <w:tc>
          <w:tcPr>
            <w:tcW w:w="1701" w:type="dxa"/>
            <w:vAlign w:val="center"/>
          </w:tcPr>
          <w:p w14:paraId="4C835E12" w14:textId="77777777" w:rsidR="00454A29" w:rsidRDefault="00454A29">
            <w:pPr>
              <w:pStyle w:val="ConsPlusNormal"/>
            </w:pPr>
          </w:p>
        </w:tc>
        <w:tc>
          <w:tcPr>
            <w:tcW w:w="1701" w:type="dxa"/>
            <w:vAlign w:val="center"/>
          </w:tcPr>
          <w:p w14:paraId="66BCAD6E" w14:textId="77777777" w:rsidR="00454A29" w:rsidRDefault="00454A29">
            <w:pPr>
              <w:pStyle w:val="ConsPlusNormal"/>
            </w:pPr>
          </w:p>
        </w:tc>
        <w:tc>
          <w:tcPr>
            <w:tcW w:w="1814" w:type="dxa"/>
            <w:vAlign w:val="center"/>
          </w:tcPr>
          <w:p w14:paraId="6F564D71" w14:textId="77777777" w:rsidR="00454A29" w:rsidRDefault="00454A29">
            <w:pPr>
              <w:pStyle w:val="ConsPlusNormal"/>
            </w:pPr>
          </w:p>
        </w:tc>
      </w:tr>
      <w:tr w:rsidR="00454A29" w14:paraId="28E3C801" w14:textId="77777777">
        <w:tc>
          <w:tcPr>
            <w:tcW w:w="567" w:type="dxa"/>
            <w:vMerge w:val="restart"/>
            <w:vAlign w:val="center"/>
          </w:tcPr>
          <w:p w14:paraId="7B7ED22F" w14:textId="77777777" w:rsidR="00454A29" w:rsidRDefault="00454A29">
            <w:pPr>
              <w:pStyle w:val="ConsPlusNormal"/>
            </w:pPr>
          </w:p>
        </w:tc>
        <w:tc>
          <w:tcPr>
            <w:tcW w:w="3345" w:type="dxa"/>
            <w:vMerge w:val="restart"/>
            <w:vAlign w:val="center"/>
          </w:tcPr>
          <w:p w14:paraId="4B525068" w14:textId="77777777" w:rsidR="00454A29" w:rsidRDefault="00454A29">
            <w:pPr>
              <w:pStyle w:val="ConsPlusNormal"/>
              <w:jc w:val="center"/>
            </w:pPr>
            <w:r>
              <w:t>Восстановление и проведение капитального ремонта объектов образования</w:t>
            </w:r>
          </w:p>
        </w:tc>
        <w:tc>
          <w:tcPr>
            <w:tcW w:w="1701" w:type="dxa"/>
            <w:vAlign w:val="center"/>
          </w:tcPr>
          <w:p w14:paraId="2FE37F06" w14:textId="77777777" w:rsidR="00454A29" w:rsidRDefault="00454A29">
            <w:pPr>
              <w:pStyle w:val="ConsPlusNormal"/>
              <w:jc w:val="center"/>
            </w:pPr>
            <w:r>
              <w:t>Всего:</w:t>
            </w:r>
          </w:p>
        </w:tc>
        <w:tc>
          <w:tcPr>
            <w:tcW w:w="1417" w:type="dxa"/>
            <w:vMerge w:val="restart"/>
            <w:vAlign w:val="center"/>
          </w:tcPr>
          <w:p w14:paraId="458CC978" w14:textId="77777777" w:rsidR="00454A29" w:rsidRDefault="00454A29">
            <w:pPr>
              <w:pStyle w:val="ConsPlusNormal"/>
              <w:jc w:val="center"/>
            </w:pPr>
            <w:r>
              <w:t>х</w:t>
            </w:r>
          </w:p>
        </w:tc>
        <w:tc>
          <w:tcPr>
            <w:tcW w:w="2204" w:type="dxa"/>
            <w:vMerge w:val="restart"/>
            <w:vAlign w:val="center"/>
          </w:tcPr>
          <w:p w14:paraId="4519D497" w14:textId="77777777" w:rsidR="00454A29" w:rsidRDefault="00454A29">
            <w:pPr>
              <w:pStyle w:val="ConsPlusNormal"/>
              <w:jc w:val="center"/>
            </w:pPr>
            <w:r>
              <w:t>х</w:t>
            </w:r>
          </w:p>
        </w:tc>
        <w:tc>
          <w:tcPr>
            <w:tcW w:w="1417" w:type="dxa"/>
            <w:vMerge w:val="restart"/>
            <w:vAlign w:val="center"/>
          </w:tcPr>
          <w:p w14:paraId="0AFD7016" w14:textId="77777777" w:rsidR="00454A29" w:rsidRDefault="00454A29">
            <w:pPr>
              <w:pStyle w:val="ConsPlusNormal"/>
              <w:jc w:val="center"/>
            </w:pPr>
            <w:r>
              <w:t>0</w:t>
            </w:r>
          </w:p>
        </w:tc>
        <w:tc>
          <w:tcPr>
            <w:tcW w:w="2324" w:type="dxa"/>
            <w:vMerge w:val="restart"/>
            <w:vAlign w:val="center"/>
          </w:tcPr>
          <w:p w14:paraId="37C1BD8E" w14:textId="77777777" w:rsidR="00454A29" w:rsidRDefault="00454A29">
            <w:pPr>
              <w:pStyle w:val="ConsPlusNormal"/>
              <w:jc w:val="center"/>
            </w:pPr>
            <w:r>
              <w:t>х</w:t>
            </w:r>
          </w:p>
        </w:tc>
        <w:tc>
          <w:tcPr>
            <w:tcW w:w="1701" w:type="dxa"/>
            <w:vAlign w:val="center"/>
          </w:tcPr>
          <w:p w14:paraId="1E91C7F4" w14:textId="77777777" w:rsidR="00454A29" w:rsidRDefault="00454A29">
            <w:pPr>
              <w:pStyle w:val="ConsPlusNormal"/>
              <w:jc w:val="center"/>
            </w:pPr>
            <w:r>
              <w:t>-</w:t>
            </w:r>
          </w:p>
        </w:tc>
        <w:tc>
          <w:tcPr>
            <w:tcW w:w="1814" w:type="dxa"/>
            <w:vAlign w:val="center"/>
          </w:tcPr>
          <w:p w14:paraId="59B0AD89" w14:textId="77777777" w:rsidR="00454A29" w:rsidRDefault="00454A29">
            <w:pPr>
              <w:pStyle w:val="ConsPlusNormal"/>
              <w:jc w:val="center"/>
            </w:pPr>
            <w:r>
              <w:t>-</w:t>
            </w:r>
          </w:p>
        </w:tc>
        <w:tc>
          <w:tcPr>
            <w:tcW w:w="1701" w:type="dxa"/>
            <w:vAlign w:val="center"/>
          </w:tcPr>
          <w:p w14:paraId="69FE4F10" w14:textId="77777777" w:rsidR="00454A29" w:rsidRDefault="00454A29">
            <w:pPr>
              <w:pStyle w:val="ConsPlusNormal"/>
              <w:jc w:val="center"/>
            </w:pPr>
            <w:r>
              <w:t>-</w:t>
            </w:r>
          </w:p>
        </w:tc>
        <w:tc>
          <w:tcPr>
            <w:tcW w:w="1701" w:type="dxa"/>
            <w:vAlign w:val="center"/>
          </w:tcPr>
          <w:p w14:paraId="5C2C0109" w14:textId="77777777" w:rsidR="00454A29" w:rsidRDefault="00454A29">
            <w:pPr>
              <w:pStyle w:val="ConsPlusNormal"/>
              <w:jc w:val="center"/>
            </w:pPr>
            <w:r>
              <w:t>-</w:t>
            </w:r>
          </w:p>
        </w:tc>
        <w:tc>
          <w:tcPr>
            <w:tcW w:w="1814" w:type="dxa"/>
            <w:vAlign w:val="center"/>
          </w:tcPr>
          <w:p w14:paraId="1F30A983" w14:textId="77777777" w:rsidR="00454A29" w:rsidRDefault="00454A29">
            <w:pPr>
              <w:pStyle w:val="ConsPlusNormal"/>
              <w:jc w:val="center"/>
            </w:pPr>
            <w:r>
              <w:t>-</w:t>
            </w:r>
          </w:p>
        </w:tc>
      </w:tr>
      <w:tr w:rsidR="00454A29" w14:paraId="19DB904D" w14:textId="77777777">
        <w:tc>
          <w:tcPr>
            <w:tcW w:w="567" w:type="dxa"/>
            <w:vMerge/>
          </w:tcPr>
          <w:p w14:paraId="457C97CB" w14:textId="77777777" w:rsidR="00454A29" w:rsidRDefault="00454A29"/>
        </w:tc>
        <w:tc>
          <w:tcPr>
            <w:tcW w:w="3345" w:type="dxa"/>
            <w:vMerge/>
          </w:tcPr>
          <w:p w14:paraId="57D820E2" w14:textId="77777777" w:rsidR="00454A29" w:rsidRDefault="00454A29"/>
        </w:tc>
        <w:tc>
          <w:tcPr>
            <w:tcW w:w="1701" w:type="dxa"/>
            <w:vAlign w:val="center"/>
          </w:tcPr>
          <w:p w14:paraId="19726BA6" w14:textId="77777777" w:rsidR="00454A29" w:rsidRDefault="00454A29">
            <w:pPr>
              <w:pStyle w:val="ConsPlusNormal"/>
              <w:jc w:val="center"/>
            </w:pPr>
            <w:r>
              <w:t>2020</w:t>
            </w:r>
          </w:p>
        </w:tc>
        <w:tc>
          <w:tcPr>
            <w:tcW w:w="1417" w:type="dxa"/>
            <w:vMerge/>
          </w:tcPr>
          <w:p w14:paraId="55988835" w14:textId="77777777" w:rsidR="00454A29" w:rsidRDefault="00454A29"/>
        </w:tc>
        <w:tc>
          <w:tcPr>
            <w:tcW w:w="2204" w:type="dxa"/>
            <w:vMerge/>
          </w:tcPr>
          <w:p w14:paraId="57AE4F57" w14:textId="77777777" w:rsidR="00454A29" w:rsidRDefault="00454A29"/>
        </w:tc>
        <w:tc>
          <w:tcPr>
            <w:tcW w:w="1417" w:type="dxa"/>
            <w:vMerge/>
          </w:tcPr>
          <w:p w14:paraId="5526A0A2" w14:textId="77777777" w:rsidR="00454A29" w:rsidRDefault="00454A29"/>
        </w:tc>
        <w:tc>
          <w:tcPr>
            <w:tcW w:w="2324" w:type="dxa"/>
            <w:vMerge/>
          </w:tcPr>
          <w:p w14:paraId="45ED537F" w14:textId="77777777" w:rsidR="00454A29" w:rsidRDefault="00454A29"/>
        </w:tc>
        <w:tc>
          <w:tcPr>
            <w:tcW w:w="1701" w:type="dxa"/>
            <w:vAlign w:val="center"/>
          </w:tcPr>
          <w:p w14:paraId="3CA91783" w14:textId="77777777" w:rsidR="00454A29" w:rsidRDefault="00454A29">
            <w:pPr>
              <w:pStyle w:val="ConsPlusNormal"/>
              <w:jc w:val="center"/>
            </w:pPr>
            <w:r>
              <w:t>-</w:t>
            </w:r>
          </w:p>
        </w:tc>
        <w:tc>
          <w:tcPr>
            <w:tcW w:w="1814" w:type="dxa"/>
            <w:vAlign w:val="center"/>
          </w:tcPr>
          <w:p w14:paraId="3DF7D767" w14:textId="77777777" w:rsidR="00454A29" w:rsidRDefault="00454A29">
            <w:pPr>
              <w:pStyle w:val="ConsPlusNormal"/>
            </w:pPr>
          </w:p>
        </w:tc>
        <w:tc>
          <w:tcPr>
            <w:tcW w:w="1701" w:type="dxa"/>
            <w:vAlign w:val="center"/>
          </w:tcPr>
          <w:p w14:paraId="680F69F3" w14:textId="77777777" w:rsidR="00454A29" w:rsidRDefault="00454A29">
            <w:pPr>
              <w:pStyle w:val="ConsPlusNormal"/>
            </w:pPr>
          </w:p>
        </w:tc>
        <w:tc>
          <w:tcPr>
            <w:tcW w:w="1701" w:type="dxa"/>
            <w:vAlign w:val="center"/>
          </w:tcPr>
          <w:p w14:paraId="32607FD2" w14:textId="77777777" w:rsidR="00454A29" w:rsidRDefault="00454A29">
            <w:pPr>
              <w:pStyle w:val="ConsPlusNormal"/>
            </w:pPr>
          </w:p>
        </w:tc>
        <w:tc>
          <w:tcPr>
            <w:tcW w:w="1814" w:type="dxa"/>
            <w:vAlign w:val="center"/>
          </w:tcPr>
          <w:p w14:paraId="3B146E63" w14:textId="77777777" w:rsidR="00454A29" w:rsidRDefault="00454A29">
            <w:pPr>
              <w:pStyle w:val="ConsPlusNormal"/>
            </w:pPr>
          </w:p>
        </w:tc>
      </w:tr>
      <w:tr w:rsidR="00454A29" w14:paraId="3B1A7121" w14:textId="77777777">
        <w:tc>
          <w:tcPr>
            <w:tcW w:w="567" w:type="dxa"/>
            <w:vMerge/>
          </w:tcPr>
          <w:p w14:paraId="173BA6A1" w14:textId="77777777" w:rsidR="00454A29" w:rsidRDefault="00454A29"/>
        </w:tc>
        <w:tc>
          <w:tcPr>
            <w:tcW w:w="3345" w:type="dxa"/>
            <w:vMerge/>
          </w:tcPr>
          <w:p w14:paraId="66741AFE" w14:textId="77777777" w:rsidR="00454A29" w:rsidRDefault="00454A29"/>
        </w:tc>
        <w:tc>
          <w:tcPr>
            <w:tcW w:w="1701" w:type="dxa"/>
            <w:vAlign w:val="center"/>
          </w:tcPr>
          <w:p w14:paraId="0F3C7E6F" w14:textId="77777777" w:rsidR="00454A29" w:rsidRDefault="00454A29">
            <w:pPr>
              <w:pStyle w:val="ConsPlusNormal"/>
              <w:jc w:val="center"/>
            </w:pPr>
            <w:r>
              <w:t>2021</w:t>
            </w:r>
          </w:p>
        </w:tc>
        <w:tc>
          <w:tcPr>
            <w:tcW w:w="1417" w:type="dxa"/>
            <w:vMerge/>
          </w:tcPr>
          <w:p w14:paraId="1ECB1AFA" w14:textId="77777777" w:rsidR="00454A29" w:rsidRDefault="00454A29"/>
        </w:tc>
        <w:tc>
          <w:tcPr>
            <w:tcW w:w="2204" w:type="dxa"/>
            <w:vMerge/>
          </w:tcPr>
          <w:p w14:paraId="70D6BA90" w14:textId="77777777" w:rsidR="00454A29" w:rsidRDefault="00454A29"/>
        </w:tc>
        <w:tc>
          <w:tcPr>
            <w:tcW w:w="1417" w:type="dxa"/>
            <w:vMerge/>
          </w:tcPr>
          <w:p w14:paraId="78C02D08" w14:textId="77777777" w:rsidR="00454A29" w:rsidRDefault="00454A29"/>
        </w:tc>
        <w:tc>
          <w:tcPr>
            <w:tcW w:w="2324" w:type="dxa"/>
            <w:vMerge/>
          </w:tcPr>
          <w:p w14:paraId="7F8C7C85" w14:textId="77777777" w:rsidR="00454A29" w:rsidRDefault="00454A29"/>
        </w:tc>
        <w:tc>
          <w:tcPr>
            <w:tcW w:w="1701" w:type="dxa"/>
            <w:vAlign w:val="center"/>
          </w:tcPr>
          <w:p w14:paraId="4B91FAD1" w14:textId="77777777" w:rsidR="00454A29" w:rsidRDefault="00454A29">
            <w:pPr>
              <w:pStyle w:val="ConsPlusNormal"/>
              <w:jc w:val="center"/>
            </w:pPr>
            <w:r>
              <w:t>-</w:t>
            </w:r>
          </w:p>
        </w:tc>
        <w:tc>
          <w:tcPr>
            <w:tcW w:w="1814" w:type="dxa"/>
            <w:vAlign w:val="center"/>
          </w:tcPr>
          <w:p w14:paraId="3A50118C" w14:textId="77777777" w:rsidR="00454A29" w:rsidRDefault="00454A29">
            <w:pPr>
              <w:pStyle w:val="ConsPlusNormal"/>
            </w:pPr>
          </w:p>
        </w:tc>
        <w:tc>
          <w:tcPr>
            <w:tcW w:w="1701" w:type="dxa"/>
            <w:vAlign w:val="center"/>
          </w:tcPr>
          <w:p w14:paraId="2CBDF7BC" w14:textId="77777777" w:rsidR="00454A29" w:rsidRDefault="00454A29">
            <w:pPr>
              <w:pStyle w:val="ConsPlusNormal"/>
            </w:pPr>
          </w:p>
        </w:tc>
        <w:tc>
          <w:tcPr>
            <w:tcW w:w="1701" w:type="dxa"/>
            <w:vAlign w:val="center"/>
          </w:tcPr>
          <w:p w14:paraId="0ED5B2E7" w14:textId="77777777" w:rsidR="00454A29" w:rsidRDefault="00454A29">
            <w:pPr>
              <w:pStyle w:val="ConsPlusNormal"/>
            </w:pPr>
          </w:p>
        </w:tc>
        <w:tc>
          <w:tcPr>
            <w:tcW w:w="1814" w:type="dxa"/>
            <w:vAlign w:val="center"/>
          </w:tcPr>
          <w:p w14:paraId="373D05F6" w14:textId="77777777" w:rsidR="00454A29" w:rsidRDefault="00454A29">
            <w:pPr>
              <w:pStyle w:val="ConsPlusNormal"/>
            </w:pPr>
          </w:p>
        </w:tc>
      </w:tr>
      <w:tr w:rsidR="00454A29" w14:paraId="3C92638A" w14:textId="77777777">
        <w:tc>
          <w:tcPr>
            <w:tcW w:w="567" w:type="dxa"/>
            <w:vMerge/>
          </w:tcPr>
          <w:p w14:paraId="0072D2C3" w14:textId="77777777" w:rsidR="00454A29" w:rsidRDefault="00454A29"/>
        </w:tc>
        <w:tc>
          <w:tcPr>
            <w:tcW w:w="3345" w:type="dxa"/>
            <w:vMerge/>
          </w:tcPr>
          <w:p w14:paraId="500C392A" w14:textId="77777777" w:rsidR="00454A29" w:rsidRDefault="00454A29"/>
        </w:tc>
        <w:tc>
          <w:tcPr>
            <w:tcW w:w="1701" w:type="dxa"/>
            <w:vAlign w:val="center"/>
          </w:tcPr>
          <w:p w14:paraId="7FF9CE2E" w14:textId="77777777" w:rsidR="00454A29" w:rsidRDefault="00454A29">
            <w:pPr>
              <w:pStyle w:val="ConsPlusNormal"/>
              <w:jc w:val="center"/>
            </w:pPr>
            <w:r>
              <w:t>2022</w:t>
            </w:r>
          </w:p>
        </w:tc>
        <w:tc>
          <w:tcPr>
            <w:tcW w:w="1417" w:type="dxa"/>
            <w:vMerge/>
          </w:tcPr>
          <w:p w14:paraId="2D67C2C8" w14:textId="77777777" w:rsidR="00454A29" w:rsidRDefault="00454A29"/>
        </w:tc>
        <w:tc>
          <w:tcPr>
            <w:tcW w:w="2204" w:type="dxa"/>
            <w:vMerge/>
          </w:tcPr>
          <w:p w14:paraId="00A8471B" w14:textId="77777777" w:rsidR="00454A29" w:rsidRDefault="00454A29"/>
        </w:tc>
        <w:tc>
          <w:tcPr>
            <w:tcW w:w="1417" w:type="dxa"/>
            <w:vMerge/>
          </w:tcPr>
          <w:p w14:paraId="52BC7F1F" w14:textId="77777777" w:rsidR="00454A29" w:rsidRDefault="00454A29"/>
        </w:tc>
        <w:tc>
          <w:tcPr>
            <w:tcW w:w="2324" w:type="dxa"/>
            <w:vMerge/>
          </w:tcPr>
          <w:p w14:paraId="24659777" w14:textId="77777777" w:rsidR="00454A29" w:rsidRDefault="00454A29"/>
        </w:tc>
        <w:tc>
          <w:tcPr>
            <w:tcW w:w="1701" w:type="dxa"/>
            <w:vAlign w:val="center"/>
          </w:tcPr>
          <w:p w14:paraId="68706EF1" w14:textId="77777777" w:rsidR="00454A29" w:rsidRDefault="00454A29">
            <w:pPr>
              <w:pStyle w:val="ConsPlusNormal"/>
              <w:jc w:val="center"/>
            </w:pPr>
            <w:r>
              <w:t>-</w:t>
            </w:r>
          </w:p>
        </w:tc>
        <w:tc>
          <w:tcPr>
            <w:tcW w:w="1814" w:type="dxa"/>
            <w:vAlign w:val="center"/>
          </w:tcPr>
          <w:p w14:paraId="3C5D1507" w14:textId="77777777" w:rsidR="00454A29" w:rsidRDefault="00454A29">
            <w:pPr>
              <w:pStyle w:val="ConsPlusNormal"/>
            </w:pPr>
          </w:p>
        </w:tc>
        <w:tc>
          <w:tcPr>
            <w:tcW w:w="1701" w:type="dxa"/>
            <w:vAlign w:val="center"/>
          </w:tcPr>
          <w:p w14:paraId="59FC8296" w14:textId="77777777" w:rsidR="00454A29" w:rsidRDefault="00454A29">
            <w:pPr>
              <w:pStyle w:val="ConsPlusNormal"/>
            </w:pPr>
          </w:p>
        </w:tc>
        <w:tc>
          <w:tcPr>
            <w:tcW w:w="1701" w:type="dxa"/>
            <w:vAlign w:val="center"/>
          </w:tcPr>
          <w:p w14:paraId="472A948D" w14:textId="77777777" w:rsidR="00454A29" w:rsidRDefault="00454A29">
            <w:pPr>
              <w:pStyle w:val="ConsPlusNormal"/>
            </w:pPr>
          </w:p>
        </w:tc>
        <w:tc>
          <w:tcPr>
            <w:tcW w:w="1814" w:type="dxa"/>
            <w:vAlign w:val="center"/>
          </w:tcPr>
          <w:p w14:paraId="4791B9D1" w14:textId="77777777" w:rsidR="00454A29" w:rsidRDefault="00454A29">
            <w:pPr>
              <w:pStyle w:val="ConsPlusNormal"/>
            </w:pPr>
          </w:p>
        </w:tc>
      </w:tr>
      <w:tr w:rsidR="00454A29" w14:paraId="41095886" w14:textId="77777777">
        <w:tc>
          <w:tcPr>
            <w:tcW w:w="567" w:type="dxa"/>
            <w:vMerge/>
          </w:tcPr>
          <w:p w14:paraId="57016C17" w14:textId="77777777" w:rsidR="00454A29" w:rsidRDefault="00454A29"/>
        </w:tc>
        <w:tc>
          <w:tcPr>
            <w:tcW w:w="3345" w:type="dxa"/>
            <w:vMerge/>
          </w:tcPr>
          <w:p w14:paraId="6C9C88B7" w14:textId="77777777" w:rsidR="00454A29" w:rsidRDefault="00454A29"/>
        </w:tc>
        <w:tc>
          <w:tcPr>
            <w:tcW w:w="1701" w:type="dxa"/>
            <w:vAlign w:val="center"/>
          </w:tcPr>
          <w:p w14:paraId="4C35D6EE" w14:textId="77777777" w:rsidR="00454A29" w:rsidRDefault="00454A29">
            <w:pPr>
              <w:pStyle w:val="ConsPlusNormal"/>
              <w:jc w:val="center"/>
            </w:pPr>
            <w:r>
              <w:t>2023</w:t>
            </w:r>
          </w:p>
        </w:tc>
        <w:tc>
          <w:tcPr>
            <w:tcW w:w="1417" w:type="dxa"/>
            <w:vMerge/>
          </w:tcPr>
          <w:p w14:paraId="48834B71" w14:textId="77777777" w:rsidR="00454A29" w:rsidRDefault="00454A29"/>
        </w:tc>
        <w:tc>
          <w:tcPr>
            <w:tcW w:w="2204" w:type="dxa"/>
            <w:vMerge/>
          </w:tcPr>
          <w:p w14:paraId="6FF205DD" w14:textId="77777777" w:rsidR="00454A29" w:rsidRDefault="00454A29"/>
        </w:tc>
        <w:tc>
          <w:tcPr>
            <w:tcW w:w="1417" w:type="dxa"/>
            <w:vMerge/>
          </w:tcPr>
          <w:p w14:paraId="32D7EAFE" w14:textId="77777777" w:rsidR="00454A29" w:rsidRDefault="00454A29"/>
        </w:tc>
        <w:tc>
          <w:tcPr>
            <w:tcW w:w="2324" w:type="dxa"/>
            <w:vMerge/>
          </w:tcPr>
          <w:p w14:paraId="205EE7EB" w14:textId="77777777" w:rsidR="00454A29" w:rsidRDefault="00454A29"/>
        </w:tc>
        <w:tc>
          <w:tcPr>
            <w:tcW w:w="1701" w:type="dxa"/>
            <w:vAlign w:val="center"/>
          </w:tcPr>
          <w:p w14:paraId="73F3ED72" w14:textId="77777777" w:rsidR="00454A29" w:rsidRDefault="00454A29">
            <w:pPr>
              <w:pStyle w:val="ConsPlusNormal"/>
              <w:jc w:val="center"/>
            </w:pPr>
            <w:r>
              <w:t>-</w:t>
            </w:r>
          </w:p>
        </w:tc>
        <w:tc>
          <w:tcPr>
            <w:tcW w:w="1814" w:type="dxa"/>
            <w:vAlign w:val="center"/>
          </w:tcPr>
          <w:p w14:paraId="6FE92EC3" w14:textId="77777777" w:rsidR="00454A29" w:rsidRDefault="00454A29">
            <w:pPr>
              <w:pStyle w:val="ConsPlusNormal"/>
            </w:pPr>
          </w:p>
        </w:tc>
        <w:tc>
          <w:tcPr>
            <w:tcW w:w="1701" w:type="dxa"/>
            <w:vAlign w:val="center"/>
          </w:tcPr>
          <w:p w14:paraId="5FB3F4E3" w14:textId="77777777" w:rsidR="00454A29" w:rsidRDefault="00454A29">
            <w:pPr>
              <w:pStyle w:val="ConsPlusNormal"/>
            </w:pPr>
          </w:p>
        </w:tc>
        <w:tc>
          <w:tcPr>
            <w:tcW w:w="1701" w:type="dxa"/>
            <w:vAlign w:val="center"/>
          </w:tcPr>
          <w:p w14:paraId="15C680A9" w14:textId="77777777" w:rsidR="00454A29" w:rsidRDefault="00454A29">
            <w:pPr>
              <w:pStyle w:val="ConsPlusNormal"/>
            </w:pPr>
          </w:p>
        </w:tc>
        <w:tc>
          <w:tcPr>
            <w:tcW w:w="1814" w:type="dxa"/>
            <w:vAlign w:val="center"/>
          </w:tcPr>
          <w:p w14:paraId="7B427EDA" w14:textId="77777777" w:rsidR="00454A29" w:rsidRDefault="00454A29">
            <w:pPr>
              <w:pStyle w:val="ConsPlusNormal"/>
            </w:pPr>
          </w:p>
        </w:tc>
      </w:tr>
      <w:tr w:rsidR="00454A29" w14:paraId="6B10862B" w14:textId="77777777">
        <w:tc>
          <w:tcPr>
            <w:tcW w:w="567" w:type="dxa"/>
            <w:vMerge/>
          </w:tcPr>
          <w:p w14:paraId="1E95D2BD" w14:textId="77777777" w:rsidR="00454A29" w:rsidRDefault="00454A29"/>
        </w:tc>
        <w:tc>
          <w:tcPr>
            <w:tcW w:w="3345" w:type="dxa"/>
            <w:vMerge/>
          </w:tcPr>
          <w:p w14:paraId="74C27021" w14:textId="77777777" w:rsidR="00454A29" w:rsidRDefault="00454A29"/>
        </w:tc>
        <w:tc>
          <w:tcPr>
            <w:tcW w:w="1701" w:type="dxa"/>
            <w:vAlign w:val="center"/>
          </w:tcPr>
          <w:p w14:paraId="6254892A" w14:textId="77777777" w:rsidR="00454A29" w:rsidRDefault="00454A29">
            <w:pPr>
              <w:pStyle w:val="ConsPlusNormal"/>
              <w:jc w:val="center"/>
            </w:pPr>
            <w:r>
              <w:t>2024</w:t>
            </w:r>
          </w:p>
        </w:tc>
        <w:tc>
          <w:tcPr>
            <w:tcW w:w="1417" w:type="dxa"/>
            <w:vMerge/>
          </w:tcPr>
          <w:p w14:paraId="601EEEBE" w14:textId="77777777" w:rsidR="00454A29" w:rsidRDefault="00454A29"/>
        </w:tc>
        <w:tc>
          <w:tcPr>
            <w:tcW w:w="2204" w:type="dxa"/>
            <w:vMerge/>
          </w:tcPr>
          <w:p w14:paraId="1DB9CABD" w14:textId="77777777" w:rsidR="00454A29" w:rsidRDefault="00454A29"/>
        </w:tc>
        <w:tc>
          <w:tcPr>
            <w:tcW w:w="1417" w:type="dxa"/>
            <w:vMerge/>
          </w:tcPr>
          <w:p w14:paraId="7BA374B8" w14:textId="77777777" w:rsidR="00454A29" w:rsidRDefault="00454A29"/>
        </w:tc>
        <w:tc>
          <w:tcPr>
            <w:tcW w:w="2324" w:type="dxa"/>
            <w:vMerge/>
          </w:tcPr>
          <w:p w14:paraId="48C1C2A9" w14:textId="77777777" w:rsidR="00454A29" w:rsidRDefault="00454A29"/>
        </w:tc>
        <w:tc>
          <w:tcPr>
            <w:tcW w:w="1701" w:type="dxa"/>
            <w:vAlign w:val="center"/>
          </w:tcPr>
          <w:p w14:paraId="4C55A523" w14:textId="77777777" w:rsidR="00454A29" w:rsidRDefault="00454A29">
            <w:pPr>
              <w:pStyle w:val="ConsPlusNormal"/>
              <w:jc w:val="center"/>
            </w:pPr>
            <w:r>
              <w:t>-</w:t>
            </w:r>
          </w:p>
        </w:tc>
        <w:tc>
          <w:tcPr>
            <w:tcW w:w="1814" w:type="dxa"/>
            <w:vAlign w:val="center"/>
          </w:tcPr>
          <w:p w14:paraId="0CACFE18" w14:textId="77777777" w:rsidR="00454A29" w:rsidRDefault="00454A29">
            <w:pPr>
              <w:pStyle w:val="ConsPlusNormal"/>
            </w:pPr>
          </w:p>
        </w:tc>
        <w:tc>
          <w:tcPr>
            <w:tcW w:w="1701" w:type="dxa"/>
            <w:vAlign w:val="center"/>
          </w:tcPr>
          <w:p w14:paraId="639C920B" w14:textId="77777777" w:rsidR="00454A29" w:rsidRDefault="00454A29">
            <w:pPr>
              <w:pStyle w:val="ConsPlusNormal"/>
            </w:pPr>
          </w:p>
        </w:tc>
        <w:tc>
          <w:tcPr>
            <w:tcW w:w="1701" w:type="dxa"/>
            <w:vAlign w:val="center"/>
          </w:tcPr>
          <w:p w14:paraId="089B9A19" w14:textId="77777777" w:rsidR="00454A29" w:rsidRDefault="00454A29">
            <w:pPr>
              <w:pStyle w:val="ConsPlusNormal"/>
            </w:pPr>
          </w:p>
        </w:tc>
        <w:tc>
          <w:tcPr>
            <w:tcW w:w="1814" w:type="dxa"/>
            <w:vAlign w:val="center"/>
          </w:tcPr>
          <w:p w14:paraId="54736C59" w14:textId="77777777" w:rsidR="00454A29" w:rsidRDefault="00454A29">
            <w:pPr>
              <w:pStyle w:val="ConsPlusNormal"/>
            </w:pPr>
          </w:p>
        </w:tc>
      </w:tr>
      <w:tr w:rsidR="00454A29" w14:paraId="73F9CD63" w14:textId="77777777">
        <w:tc>
          <w:tcPr>
            <w:tcW w:w="567" w:type="dxa"/>
            <w:vMerge/>
          </w:tcPr>
          <w:p w14:paraId="73F818C7" w14:textId="77777777" w:rsidR="00454A29" w:rsidRDefault="00454A29"/>
        </w:tc>
        <w:tc>
          <w:tcPr>
            <w:tcW w:w="3345" w:type="dxa"/>
            <w:vMerge/>
          </w:tcPr>
          <w:p w14:paraId="0FDB7F8F" w14:textId="77777777" w:rsidR="00454A29" w:rsidRDefault="00454A29"/>
        </w:tc>
        <w:tc>
          <w:tcPr>
            <w:tcW w:w="1701" w:type="dxa"/>
            <w:vAlign w:val="center"/>
          </w:tcPr>
          <w:p w14:paraId="72B94EC3" w14:textId="77777777" w:rsidR="00454A29" w:rsidRDefault="00454A29">
            <w:pPr>
              <w:pStyle w:val="ConsPlusNormal"/>
              <w:jc w:val="center"/>
            </w:pPr>
            <w:r>
              <w:t>2025</w:t>
            </w:r>
          </w:p>
        </w:tc>
        <w:tc>
          <w:tcPr>
            <w:tcW w:w="1417" w:type="dxa"/>
            <w:vMerge/>
          </w:tcPr>
          <w:p w14:paraId="4A0F896C" w14:textId="77777777" w:rsidR="00454A29" w:rsidRDefault="00454A29"/>
        </w:tc>
        <w:tc>
          <w:tcPr>
            <w:tcW w:w="2204" w:type="dxa"/>
            <w:vMerge/>
          </w:tcPr>
          <w:p w14:paraId="5117D45E" w14:textId="77777777" w:rsidR="00454A29" w:rsidRDefault="00454A29"/>
        </w:tc>
        <w:tc>
          <w:tcPr>
            <w:tcW w:w="1417" w:type="dxa"/>
            <w:vMerge/>
          </w:tcPr>
          <w:p w14:paraId="1A3AF5B7" w14:textId="77777777" w:rsidR="00454A29" w:rsidRDefault="00454A29"/>
        </w:tc>
        <w:tc>
          <w:tcPr>
            <w:tcW w:w="2324" w:type="dxa"/>
            <w:vMerge/>
          </w:tcPr>
          <w:p w14:paraId="62F11F9B" w14:textId="77777777" w:rsidR="00454A29" w:rsidRDefault="00454A29"/>
        </w:tc>
        <w:tc>
          <w:tcPr>
            <w:tcW w:w="1701" w:type="dxa"/>
            <w:vAlign w:val="center"/>
          </w:tcPr>
          <w:p w14:paraId="57566B01" w14:textId="77777777" w:rsidR="00454A29" w:rsidRDefault="00454A29">
            <w:pPr>
              <w:pStyle w:val="ConsPlusNormal"/>
              <w:jc w:val="center"/>
            </w:pPr>
            <w:r>
              <w:t>-</w:t>
            </w:r>
          </w:p>
        </w:tc>
        <w:tc>
          <w:tcPr>
            <w:tcW w:w="1814" w:type="dxa"/>
            <w:vAlign w:val="center"/>
          </w:tcPr>
          <w:p w14:paraId="2953DC35" w14:textId="77777777" w:rsidR="00454A29" w:rsidRDefault="00454A29">
            <w:pPr>
              <w:pStyle w:val="ConsPlusNormal"/>
            </w:pPr>
          </w:p>
        </w:tc>
        <w:tc>
          <w:tcPr>
            <w:tcW w:w="1701" w:type="dxa"/>
            <w:vAlign w:val="center"/>
          </w:tcPr>
          <w:p w14:paraId="1133A4BD" w14:textId="77777777" w:rsidR="00454A29" w:rsidRDefault="00454A29">
            <w:pPr>
              <w:pStyle w:val="ConsPlusNormal"/>
            </w:pPr>
          </w:p>
        </w:tc>
        <w:tc>
          <w:tcPr>
            <w:tcW w:w="1701" w:type="dxa"/>
            <w:vAlign w:val="center"/>
          </w:tcPr>
          <w:p w14:paraId="0543A514" w14:textId="77777777" w:rsidR="00454A29" w:rsidRDefault="00454A29">
            <w:pPr>
              <w:pStyle w:val="ConsPlusNormal"/>
            </w:pPr>
          </w:p>
        </w:tc>
        <w:tc>
          <w:tcPr>
            <w:tcW w:w="1814" w:type="dxa"/>
            <w:vAlign w:val="center"/>
          </w:tcPr>
          <w:p w14:paraId="0F20AF82" w14:textId="77777777" w:rsidR="00454A29" w:rsidRDefault="00454A29">
            <w:pPr>
              <w:pStyle w:val="ConsPlusNormal"/>
            </w:pPr>
          </w:p>
        </w:tc>
      </w:tr>
      <w:tr w:rsidR="00454A29" w14:paraId="7C787710" w14:textId="77777777">
        <w:tc>
          <w:tcPr>
            <w:tcW w:w="567" w:type="dxa"/>
            <w:vMerge/>
          </w:tcPr>
          <w:p w14:paraId="514953E3" w14:textId="77777777" w:rsidR="00454A29" w:rsidRDefault="00454A29"/>
        </w:tc>
        <w:tc>
          <w:tcPr>
            <w:tcW w:w="3345" w:type="dxa"/>
            <w:vMerge/>
          </w:tcPr>
          <w:p w14:paraId="05240E4D" w14:textId="77777777" w:rsidR="00454A29" w:rsidRDefault="00454A29"/>
        </w:tc>
        <w:tc>
          <w:tcPr>
            <w:tcW w:w="1701" w:type="dxa"/>
            <w:vAlign w:val="center"/>
          </w:tcPr>
          <w:p w14:paraId="5345437D" w14:textId="77777777" w:rsidR="00454A29" w:rsidRDefault="00454A29">
            <w:pPr>
              <w:pStyle w:val="ConsPlusNormal"/>
              <w:jc w:val="center"/>
            </w:pPr>
            <w:r>
              <w:t>2026</w:t>
            </w:r>
          </w:p>
        </w:tc>
        <w:tc>
          <w:tcPr>
            <w:tcW w:w="1417" w:type="dxa"/>
            <w:vMerge/>
          </w:tcPr>
          <w:p w14:paraId="233AEFFF" w14:textId="77777777" w:rsidR="00454A29" w:rsidRDefault="00454A29"/>
        </w:tc>
        <w:tc>
          <w:tcPr>
            <w:tcW w:w="2204" w:type="dxa"/>
            <w:vMerge/>
          </w:tcPr>
          <w:p w14:paraId="2715DE75" w14:textId="77777777" w:rsidR="00454A29" w:rsidRDefault="00454A29"/>
        </w:tc>
        <w:tc>
          <w:tcPr>
            <w:tcW w:w="1417" w:type="dxa"/>
            <w:vMerge/>
          </w:tcPr>
          <w:p w14:paraId="0D03F9A9" w14:textId="77777777" w:rsidR="00454A29" w:rsidRDefault="00454A29"/>
        </w:tc>
        <w:tc>
          <w:tcPr>
            <w:tcW w:w="2324" w:type="dxa"/>
            <w:vMerge/>
          </w:tcPr>
          <w:p w14:paraId="6C8D82FC" w14:textId="77777777" w:rsidR="00454A29" w:rsidRDefault="00454A29"/>
        </w:tc>
        <w:tc>
          <w:tcPr>
            <w:tcW w:w="1701" w:type="dxa"/>
            <w:vAlign w:val="center"/>
          </w:tcPr>
          <w:p w14:paraId="0BE6FF67" w14:textId="77777777" w:rsidR="00454A29" w:rsidRDefault="00454A29">
            <w:pPr>
              <w:pStyle w:val="ConsPlusNormal"/>
              <w:jc w:val="center"/>
            </w:pPr>
            <w:r>
              <w:t>-</w:t>
            </w:r>
          </w:p>
        </w:tc>
        <w:tc>
          <w:tcPr>
            <w:tcW w:w="1814" w:type="dxa"/>
            <w:vAlign w:val="center"/>
          </w:tcPr>
          <w:p w14:paraId="37E0BDA7" w14:textId="77777777" w:rsidR="00454A29" w:rsidRDefault="00454A29">
            <w:pPr>
              <w:pStyle w:val="ConsPlusNormal"/>
            </w:pPr>
          </w:p>
        </w:tc>
        <w:tc>
          <w:tcPr>
            <w:tcW w:w="1701" w:type="dxa"/>
            <w:vAlign w:val="center"/>
          </w:tcPr>
          <w:p w14:paraId="43D88217" w14:textId="77777777" w:rsidR="00454A29" w:rsidRDefault="00454A29">
            <w:pPr>
              <w:pStyle w:val="ConsPlusNormal"/>
            </w:pPr>
          </w:p>
        </w:tc>
        <w:tc>
          <w:tcPr>
            <w:tcW w:w="1701" w:type="dxa"/>
            <w:vAlign w:val="center"/>
          </w:tcPr>
          <w:p w14:paraId="64037EB3" w14:textId="77777777" w:rsidR="00454A29" w:rsidRDefault="00454A29">
            <w:pPr>
              <w:pStyle w:val="ConsPlusNormal"/>
            </w:pPr>
          </w:p>
        </w:tc>
        <w:tc>
          <w:tcPr>
            <w:tcW w:w="1814" w:type="dxa"/>
            <w:vAlign w:val="center"/>
          </w:tcPr>
          <w:p w14:paraId="75208AC4" w14:textId="77777777" w:rsidR="00454A29" w:rsidRDefault="00454A29">
            <w:pPr>
              <w:pStyle w:val="ConsPlusNormal"/>
            </w:pPr>
          </w:p>
        </w:tc>
      </w:tr>
      <w:tr w:rsidR="00454A29" w14:paraId="2AA1BA91" w14:textId="77777777">
        <w:tc>
          <w:tcPr>
            <w:tcW w:w="21706" w:type="dxa"/>
            <w:gridSpan w:val="12"/>
            <w:vAlign w:val="center"/>
          </w:tcPr>
          <w:p w14:paraId="347C9660" w14:textId="77777777" w:rsidR="00454A29" w:rsidRDefault="00454A29">
            <w:pPr>
              <w:pStyle w:val="ConsPlusNormal"/>
              <w:jc w:val="center"/>
            </w:pPr>
            <w:r>
              <w:t>Мероприятие 10.5.2.</w:t>
            </w:r>
          </w:p>
        </w:tc>
      </w:tr>
      <w:tr w:rsidR="00454A29" w14:paraId="0D2C7392" w14:textId="77777777">
        <w:tc>
          <w:tcPr>
            <w:tcW w:w="567" w:type="dxa"/>
            <w:vMerge w:val="restart"/>
            <w:vAlign w:val="center"/>
          </w:tcPr>
          <w:p w14:paraId="197F106A" w14:textId="77777777" w:rsidR="00454A29" w:rsidRDefault="00454A29">
            <w:pPr>
              <w:pStyle w:val="ConsPlusNormal"/>
            </w:pPr>
          </w:p>
        </w:tc>
        <w:tc>
          <w:tcPr>
            <w:tcW w:w="3345" w:type="dxa"/>
            <w:vMerge w:val="restart"/>
            <w:vAlign w:val="center"/>
          </w:tcPr>
          <w:p w14:paraId="3AA56DC7" w14:textId="77777777" w:rsidR="00454A29" w:rsidRDefault="00454A29">
            <w:pPr>
              <w:pStyle w:val="ConsPlusNormal"/>
              <w:jc w:val="center"/>
            </w:pPr>
            <w:r>
              <w:t xml:space="preserve">Благоустройство зданий </w:t>
            </w:r>
            <w:r>
              <w:lastRenderedPageBreak/>
              <w:t>государственных и муниципальных общеобразовательных организаций</w:t>
            </w:r>
          </w:p>
        </w:tc>
        <w:tc>
          <w:tcPr>
            <w:tcW w:w="1701" w:type="dxa"/>
            <w:vAlign w:val="center"/>
          </w:tcPr>
          <w:p w14:paraId="777138C4" w14:textId="77777777" w:rsidR="00454A29" w:rsidRDefault="00454A29">
            <w:pPr>
              <w:pStyle w:val="ConsPlusNormal"/>
              <w:jc w:val="center"/>
            </w:pPr>
            <w:r>
              <w:lastRenderedPageBreak/>
              <w:t>Всего:</w:t>
            </w:r>
          </w:p>
        </w:tc>
        <w:tc>
          <w:tcPr>
            <w:tcW w:w="1417" w:type="dxa"/>
            <w:vMerge w:val="restart"/>
            <w:vAlign w:val="center"/>
          </w:tcPr>
          <w:p w14:paraId="4D9BB05D" w14:textId="77777777" w:rsidR="00454A29" w:rsidRDefault="00454A29">
            <w:pPr>
              <w:pStyle w:val="ConsPlusNormal"/>
              <w:jc w:val="center"/>
            </w:pPr>
            <w:r>
              <w:t>х</w:t>
            </w:r>
          </w:p>
        </w:tc>
        <w:tc>
          <w:tcPr>
            <w:tcW w:w="2204" w:type="dxa"/>
            <w:vMerge w:val="restart"/>
            <w:vAlign w:val="center"/>
          </w:tcPr>
          <w:p w14:paraId="68C9AEAF" w14:textId="77777777" w:rsidR="00454A29" w:rsidRDefault="00454A29">
            <w:pPr>
              <w:pStyle w:val="ConsPlusNormal"/>
              <w:jc w:val="center"/>
            </w:pPr>
            <w:r>
              <w:t>х</w:t>
            </w:r>
          </w:p>
        </w:tc>
        <w:tc>
          <w:tcPr>
            <w:tcW w:w="1417" w:type="dxa"/>
            <w:vMerge w:val="restart"/>
            <w:vAlign w:val="center"/>
          </w:tcPr>
          <w:p w14:paraId="1C3F53AE" w14:textId="77777777" w:rsidR="00454A29" w:rsidRDefault="00454A29">
            <w:pPr>
              <w:pStyle w:val="ConsPlusNormal"/>
              <w:jc w:val="center"/>
            </w:pPr>
            <w:r>
              <w:t>0</w:t>
            </w:r>
          </w:p>
        </w:tc>
        <w:tc>
          <w:tcPr>
            <w:tcW w:w="2324" w:type="dxa"/>
            <w:vMerge w:val="restart"/>
            <w:vAlign w:val="center"/>
          </w:tcPr>
          <w:p w14:paraId="447A0776" w14:textId="77777777" w:rsidR="00454A29" w:rsidRDefault="00454A29">
            <w:pPr>
              <w:pStyle w:val="ConsPlusNormal"/>
              <w:jc w:val="center"/>
            </w:pPr>
            <w:r>
              <w:t>х</w:t>
            </w:r>
          </w:p>
        </w:tc>
        <w:tc>
          <w:tcPr>
            <w:tcW w:w="1701" w:type="dxa"/>
            <w:vAlign w:val="center"/>
          </w:tcPr>
          <w:p w14:paraId="187D1E20" w14:textId="77777777" w:rsidR="00454A29" w:rsidRDefault="00454A29">
            <w:pPr>
              <w:pStyle w:val="ConsPlusNormal"/>
              <w:jc w:val="center"/>
            </w:pPr>
            <w:r>
              <w:t>73 566,30</w:t>
            </w:r>
          </w:p>
        </w:tc>
        <w:tc>
          <w:tcPr>
            <w:tcW w:w="1814" w:type="dxa"/>
            <w:vAlign w:val="center"/>
          </w:tcPr>
          <w:p w14:paraId="12F96674" w14:textId="77777777" w:rsidR="00454A29" w:rsidRDefault="00454A29">
            <w:pPr>
              <w:pStyle w:val="ConsPlusNormal"/>
              <w:jc w:val="center"/>
            </w:pPr>
            <w:r>
              <w:t>5 885,00</w:t>
            </w:r>
          </w:p>
        </w:tc>
        <w:tc>
          <w:tcPr>
            <w:tcW w:w="1701" w:type="dxa"/>
            <w:vAlign w:val="center"/>
          </w:tcPr>
          <w:p w14:paraId="04DC25CB" w14:textId="77777777" w:rsidR="00454A29" w:rsidRDefault="00454A29">
            <w:pPr>
              <w:pStyle w:val="ConsPlusNormal"/>
              <w:jc w:val="center"/>
            </w:pPr>
            <w:r>
              <w:t>67 681,30</w:t>
            </w:r>
          </w:p>
        </w:tc>
        <w:tc>
          <w:tcPr>
            <w:tcW w:w="1701" w:type="dxa"/>
            <w:vAlign w:val="center"/>
          </w:tcPr>
          <w:p w14:paraId="0CA29253" w14:textId="77777777" w:rsidR="00454A29" w:rsidRDefault="00454A29">
            <w:pPr>
              <w:pStyle w:val="ConsPlusNormal"/>
              <w:jc w:val="center"/>
            </w:pPr>
            <w:r>
              <w:t>-</w:t>
            </w:r>
          </w:p>
        </w:tc>
        <w:tc>
          <w:tcPr>
            <w:tcW w:w="1814" w:type="dxa"/>
            <w:vAlign w:val="center"/>
          </w:tcPr>
          <w:p w14:paraId="53D428C2" w14:textId="77777777" w:rsidR="00454A29" w:rsidRDefault="00454A29">
            <w:pPr>
              <w:pStyle w:val="ConsPlusNormal"/>
              <w:jc w:val="center"/>
            </w:pPr>
            <w:r>
              <w:t>-</w:t>
            </w:r>
          </w:p>
        </w:tc>
      </w:tr>
      <w:tr w:rsidR="00454A29" w14:paraId="02A485BA" w14:textId="77777777">
        <w:tc>
          <w:tcPr>
            <w:tcW w:w="567" w:type="dxa"/>
            <w:vMerge/>
          </w:tcPr>
          <w:p w14:paraId="7D5A5A63" w14:textId="77777777" w:rsidR="00454A29" w:rsidRDefault="00454A29"/>
        </w:tc>
        <w:tc>
          <w:tcPr>
            <w:tcW w:w="3345" w:type="dxa"/>
            <w:vMerge/>
          </w:tcPr>
          <w:p w14:paraId="0E4A8A91" w14:textId="77777777" w:rsidR="00454A29" w:rsidRDefault="00454A29"/>
        </w:tc>
        <w:tc>
          <w:tcPr>
            <w:tcW w:w="1701" w:type="dxa"/>
            <w:vAlign w:val="center"/>
          </w:tcPr>
          <w:p w14:paraId="5CB2A73A" w14:textId="77777777" w:rsidR="00454A29" w:rsidRDefault="00454A29">
            <w:pPr>
              <w:pStyle w:val="ConsPlusNormal"/>
              <w:jc w:val="center"/>
            </w:pPr>
            <w:r>
              <w:t>2020</w:t>
            </w:r>
          </w:p>
        </w:tc>
        <w:tc>
          <w:tcPr>
            <w:tcW w:w="1417" w:type="dxa"/>
            <w:vMerge/>
          </w:tcPr>
          <w:p w14:paraId="4CC65202" w14:textId="77777777" w:rsidR="00454A29" w:rsidRDefault="00454A29"/>
        </w:tc>
        <w:tc>
          <w:tcPr>
            <w:tcW w:w="2204" w:type="dxa"/>
            <w:vMerge/>
          </w:tcPr>
          <w:p w14:paraId="6F44ECD1" w14:textId="77777777" w:rsidR="00454A29" w:rsidRDefault="00454A29"/>
        </w:tc>
        <w:tc>
          <w:tcPr>
            <w:tcW w:w="1417" w:type="dxa"/>
            <w:vMerge/>
          </w:tcPr>
          <w:p w14:paraId="423E02D0" w14:textId="77777777" w:rsidR="00454A29" w:rsidRDefault="00454A29"/>
        </w:tc>
        <w:tc>
          <w:tcPr>
            <w:tcW w:w="2324" w:type="dxa"/>
            <w:vMerge/>
          </w:tcPr>
          <w:p w14:paraId="5FFECD30" w14:textId="77777777" w:rsidR="00454A29" w:rsidRDefault="00454A29"/>
        </w:tc>
        <w:tc>
          <w:tcPr>
            <w:tcW w:w="1701" w:type="dxa"/>
            <w:vAlign w:val="center"/>
          </w:tcPr>
          <w:p w14:paraId="4D128C4B" w14:textId="77777777" w:rsidR="00454A29" w:rsidRDefault="00454A29">
            <w:pPr>
              <w:pStyle w:val="ConsPlusNormal"/>
              <w:jc w:val="center"/>
            </w:pPr>
            <w:r>
              <w:t>25 236,30</w:t>
            </w:r>
          </w:p>
        </w:tc>
        <w:tc>
          <w:tcPr>
            <w:tcW w:w="1814" w:type="dxa"/>
            <w:vAlign w:val="center"/>
          </w:tcPr>
          <w:p w14:paraId="5B9CFBA0" w14:textId="77777777" w:rsidR="00454A29" w:rsidRDefault="00454A29">
            <w:pPr>
              <w:pStyle w:val="ConsPlusNormal"/>
              <w:jc w:val="center"/>
            </w:pPr>
            <w:r>
              <w:t>2 019,00</w:t>
            </w:r>
          </w:p>
        </w:tc>
        <w:tc>
          <w:tcPr>
            <w:tcW w:w="1701" w:type="dxa"/>
            <w:vAlign w:val="center"/>
          </w:tcPr>
          <w:p w14:paraId="306E15EC" w14:textId="77777777" w:rsidR="00454A29" w:rsidRDefault="00454A29">
            <w:pPr>
              <w:pStyle w:val="ConsPlusNormal"/>
              <w:jc w:val="center"/>
            </w:pPr>
            <w:r>
              <w:t>23 217,30</w:t>
            </w:r>
          </w:p>
        </w:tc>
        <w:tc>
          <w:tcPr>
            <w:tcW w:w="1701" w:type="dxa"/>
            <w:vAlign w:val="center"/>
          </w:tcPr>
          <w:p w14:paraId="0A4BCEB0" w14:textId="77777777" w:rsidR="00454A29" w:rsidRDefault="00454A29">
            <w:pPr>
              <w:pStyle w:val="ConsPlusNormal"/>
            </w:pPr>
          </w:p>
        </w:tc>
        <w:tc>
          <w:tcPr>
            <w:tcW w:w="1814" w:type="dxa"/>
            <w:vAlign w:val="center"/>
          </w:tcPr>
          <w:p w14:paraId="1944E226" w14:textId="77777777" w:rsidR="00454A29" w:rsidRDefault="00454A29">
            <w:pPr>
              <w:pStyle w:val="ConsPlusNormal"/>
            </w:pPr>
          </w:p>
        </w:tc>
      </w:tr>
      <w:tr w:rsidR="00454A29" w14:paraId="006908F4" w14:textId="77777777">
        <w:tc>
          <w:tcPr>
            <w:tcW w:w="567" w:type="dxa"/>
            <w:vMerge/>
          </w:tcPr>
          <w:p w14:paraId="7CAAF3B4" w14:textId="77777777" w:rsidR="00454A29" w:rsidRDefault="00454A29"/>
        </w:tc>
        <w:tc>
          <w:tcPr>
            <w:tcW w:w="3345" w:type="dxa"/>
            <w:vMerge/>
          </w:tcPr>
          <w:p w14:paraId="45543701" w14:textId="77777777" w:rsidR="00454A29" w:rsidRDefault="00454A29"/>
        </w:tc>
        <w:tc>
          <w:tcPr>
            <w:tcW w:w="1701" w:type="dxa"/>
            <w:vAlign w:val="center"/>
          </w:tcPr>
          <w:p w14:paraId="4ACF0072" w14:textId="77777777" w:rsidR="00454A29" w:rsidRDefault="00454A29">
            <w:pPr>
              <w:pStyle w:val="ConsPlusNormal"/>
              <w:jc w:val="center"/>
            </w:pPr>
            <w:r>
              <w:t>2021</w:t>
            </w:r>
          </w:p>
        </w:tc>
        <w:tc>
          <w:tcPr>
            <w:tcW w:w="1417" w:type="dxa"/>
            <w:vMerge/>
          </w:tcPr>
          <w:p w14:paraId="02510284" w14:textId="77777777" w:rsidR="00454A29" w:rsidRDefault="00454A29"/>
        </w:tc>
        <w:tc>
          <w:tcPr>
            <w:tcW w:w="2204" w:type="dxa"/>
            <w:vMerge/>
          </w:tcPr>
          <w:p w14:paraId="78DA210C" w14:textId="77777777" w:rsidR="00454A29" w:rsidRDefault="00454A29"/>
        </w:tc>
        <w:tc>
          <w:tcPr>
            <w:tcW w:w="1417" w:type="dxa"/>
            <w:vMerge/>
          </w:tcPr>
          <w:p w14:paraId="6332B1CF" w14:textId="77777777" w:rsidR="00454A29" w:rsidRDefault="00454A29"/>
        </w:tc>
        <w:tc>
          <w:tcPr>
            <w:tcW w:w="2324" w:type="dxa"/>
            <w:vMerge/>
          </w:tcPr>
          <w:p w14:paraId="2ADC4B0F" w14:textId="77777777" w:rsidR="00454A29" w:rsidRDefault="00454A29"/>
        </w:tc>
        <w:tc>
          <w:tcPr>
            <w:tcW w:w="1701" w:type="dxa"/>
            <w:vAlign w:val="center"/>
          </w:tcPr>
          <w:p w14:paraId="603857C3" w14:textId="77777777" w:rsidR="00454A29" w:rsidRDefault="00454A29">
            <w:pPr>
              <w:pStyle w:val="ConsPlusNormal"/>
              <w:jc w:val="center"/>
            </w:pPr>
            <w:r>
              <w:t>48 330,00</w:t>
            </w:r>
          </w:p>
        </w:tc>
        <w:tc>
          <w:tcPr>
            <w:tcW w:w="1814" w:type="dxa"/>
            <w:vAlign w:val="center"/>
          </w:tcPr>
          <w:p w14:paraId="6C8BC175" w14:textId="77777777" w:rsidR="00454A29" w:rsidRDefault="00454A29">
            <w:pPr>
              <w:pStyle w:val="ConsPlusNormal"/>
              <w:jc w:val="center"/>
            </w:pPr>
            <w:r>
              <w:t>3 866,00</w:t>
            </w:r>
          </w:p>
        </w:tc>
        <w:tc>
          <w:tcPr>
            <w:tcW w:w="1701" w:type="dxa"/>
            <w:vAlign w:val="center"/>
          </w:tcPr>
          <w:p w14:paraId="48899BBE" w14:textId="77777777" w:rsidR="00454A29" w:rsidRDefault="00454A29">
            <w:pPr>
              <w:pStyle w:val="ConsPlusNormal"/>
              <w:jc w:val="center"/>
            </w:pPr>
            <w:r>
              <w:t>44 464,00</w:t>
            </w:r>
          </w:p>
        </w:tc>
        <w:tc>
          <w:tcPr>
            <w:tcW w:w="1701" w:type="dxa"/>
            <w:vAlign w:val="center"/>
          </w:tcPr>
          <w:p w14:paraId="622893C6" w14:textId="77777777" w:rsidR="00454A29" w:rsidRDefault="00454A29">
            <w:pPr>
              <w:pStyle w:val="ConsPlusNormal"/>
            </w:pPr>
          </w:p>
        </w:tc>
        <w:tc>
          <w:tcPr>
            <w:tcW w:w="1814" w:type="dxa"/>
            <w:vAlign w:val="center"/>
          </w:tcPr>
          <w:p w14:paraId="49BA0545" w14:textId="77777777" w:rsidR="00454A29" w:rsidRDefault="00454A29">
            <w:pPr>
              <w:pStyle w:val="ConsPlusNormal"/>
            </w:pPr>
          </w:p>
        </w:tc>
      </w:tr>
      <w:tr w:rsidR="00454A29" w14:paraId="573CDB40" w14:textId="77777777">
        <w:tc>
          <w:tcPr>
            <w:tcW w:w="567" w:type="dxa"/>
            <w:vMerge/>
          </w:tcPr>
          <w:p w14:paraId="588926CC" w14:textId="77777777" w:rsidR="00454A29" w:rsidRDefault="00454A29"/>
        </w:tc>
        <w:tc>
          <w:tcPr>
            <w:tcW w:w="3345" w:type="dxa"/>
            <w:vMerge/>
          </w:tcPr>
          <w:p w14:paraId="20A235C2" w14:textId="77777777" w:rsidR="00454A29" w:rsidRDefault="00454A29"/>
        </w:tc>
        <w:tc>
          <w:tcPr>
            <w:tcW w:w="1701" w:type="dxa"/>
            <w:vAlign w:val="center"/>
          </w:tcPr>
          <w:p w14:paraId="09F50695" w14:textId="77777777" w:rsidR="00454A29" w:rsidRDefault="00454A29">
            <w:pPr>
              <w:pStyle w:val="ConsPlusNormal"/>
              <w:jc w:val="center"/>
            </w:pPr>
            <w:r>
              <w:t>2022</w:t>
            </w:r>
          </w:p>
        </w:tc>
        <w:tc>
          <w:tcPr>
            <w:tcW w:w="1417" w:type="dxa"/>
            <w:vMerge/>
          </w:tcPr>
          <w:p w14:paraId="180A30F6" w14:textId="77777777" w:rsidR="00454A29" w:rsidRDefault="00454A29"/>
        </w:tc>
        <w:tc>
          <w:tcPr>
            <w:tcW w:w="2204" w:type="dxa"/>
            <w:vMerge/>
          </w:tcPr>
          <w:p w14:paraId="5A0514FF" w14:textId="77777777" w:rsidR="00454A29" w:rsidRDefault="00454A29"/>
        </w:tc>
        <w:tc>
          <w:tcPr>
            <w:tcW w:w="1417" w:type="dxa"/>
            <w:vMerge/>
          </w:tcPr>
          <w:p w14:paraId="10036D5B" w14:textId="77777777" w:rsidR="00454A29" w:rsidRDefault="00454A29"/>
        </w:tc>
        <w:tc>
          <w:tcPr>
            <w:tcW w:w="2324" w:type="dxa"/>
            <w:vMerge/>
          </w:tcPr>
          <w:p w14:paraId="6E86F30E" w14:textId="77777777" w:rsidR="00454A29" w:rsidRDefault="00454A29"/>
        </w:tc>
        <w:tc>
          <w:tcPr>
            <w:tcW w:w="1701" w:type="dxa"/>
            <w:vAlign w:val="center"/>
          </w:tcPr>
          <w:p w14:paraId="4A27465D" w14:textId="77777777" w:rsidR="00454A29" w:rsidRDefault="00454A29">
            <w:pPr>
              <w:pStyle w:val="ConsPlusNormal"/>
            </w:pPr>
          </w:p>
        </w:tc>
        <w:tc>
          <w:tcPr>
            <w:tcW w:w="1814" w:type="dxa"/>
            <w:vAlign w:val="center"/>
          </w:tcPr>
          <w:p w14:paraId="5FC33560" w14:textId="77777777" w:rsidR="00454A29" w:rsidRDefault="00454A29">
            <w:pPr>
              <w:pStyle w:val="ConsPlusNormal"/>
            </w:pPr>
          </w:p>
        </w:tc>
        <w:tc>
          <w:tcPr>
            <w:tcW w:w="1701" w:type="dxa"/>
            <w:vAlign w:val="center"/>
          </w:tcPr>
          <w:p w14:paraId="5EE38AAD" w14:textId="77777777" w:rsidR="00454A29" w:rsidRDefault="00454A29">
            <w:pPr>
              <w:pStyle w:val="ConsPlusNormal"/>
            </w:pPr>
          </w:p>
        </w:tc>
        <w:tc>
          <w:tcPr>
            <w:tcW w:w="1701" w:type="dxa"/>
            <w:vAlign w:val="center"/>
          </w:tcPr>
          <w:p w14:paraId="5A4BF0C7" w14:textId="77777777" w:rsidR="00454A29" w:rsidRDefault="00454A29">
            <w:pPr>
              <w:pStyle w:val="ConsPlusNormal"/>
            </w:pPr>
          </w:p>
        </w:tc>
        <w:tc>
          <w:tcPr>
            <w:tcW w:w="1814" w:type="dxa"/>
            <w:vAlign w:val="center"/>
          </w:tcPr>
          <w:p w14:paraId="2E60EBA5" w14:textId="77777777" w:rsidR="00454A29" w:rsidRDefault="00454A29">
            <w:pPr>
              <w:pStyle w:val="ConsPlusNormal"/>
            </w:pPr>
          </w:p>
        </w:tc>
      </w:tr>
      <w:tr w:rsidR="00454A29" w14:paraId="7970BCAC" w14:textId="77777777">
        <w:tc>
          <w:tcPr>
            <w:tcW w:w="567" w:type="dxa"/>
            <w:vMerge/>
          </w:tcPr>
          <w:p w14:paraId="54B41CEF" w14:textId="77777777" w:rsidR="00454A29" w:rsidRDefault="00454A29"/>
        </w:tc>
        <w:tc>
          <w:tcPr>
            <w:tcW w:w="3345" w:type="dxa"/>
            <w:vMerge/>
          </w:tcPr>
          <w:p w14:paraId="1CC6F23D" w14:textId="77777777" w:rsidR="00454A29" w:rsidRDefault="00454A29"/>
        </w:tc>
        <w:tc>
          <w:tcPr>
            <w:tcW w:w="1701" w:type="dxa"/>
            <w:vAlign w:val="center"/>
          </w:tcPr>
          <w:p w14:paraId="1747D9D7" w14:textId="77777777" w:rsidR="00454A29" w:rsidRDefault="00454A29">
            <w:pPr>
              <w:pStyle w:val="ConsPlusNormal"/>
              <w:jc w:val="center"/>
            </w:pPr>
            <w:r>
              <w:t>2023</w:t>
            </w:r>
          </w:p>
        </w:tc>
        <w:tc>
          <w:tcPr>
            <w:tcW w:w="1417" w:type="dxa"/>
            <w:vMerge/>
          </w:tcPr>
          <w:p w14:paraId="3A7CD21D" w14:textId="77777777" w:rsidR="00454A29" w:rsidRDefault="00454A29"/>
        </w:tc>
        <w:tc>
          <w:tcPr>
            <w:tcW w:w="2204" w:type="dxa"/>
            <w:vMerge/>
          </w:tcPr>
          <w:p w14:paraId="61958789" w14:textId="77777777" w:rsidR="00454A29" w:rsidRDefault="00454A29"/>
        </w:tc>
        <w:tc>
          <w:tcPr>
            <w:tcW w:w="1417" w:type="dxa"/>
            <w:vMerge/>
          </w:tcPr>
          <w:p w14:paraId="407D8D47" w14:textId="77777777" w:rsidR="00454A29" w:rsidRDefault="00454A29"/>
        </w:tc>
        <w:tc>
          <w:tcPr>
            <w:tcW w:w="2324" w:type="dxa"/>
            <w:vMerge/>
          </w:tcPr>
          <w:p w14:paraId="2BA1B5F6" w14:textId="77777777" w:rsidR="00454A29" w:rsidRDefault="00454A29"/>
        </w:tc>
        <w:tc>
          <w:tcPr>
            <w:tcW w:w="1701" w:type="dxa"/>
            <w:vAlign w:val="center"/>
          </w:tcPr>
          <w:p w14:paraId="75CE57AF" w14:textId="77777777" w:rsidR="00454A29" w:rsidRDefault="00454A29">
            <w:pPr>
              <w:pStyle w:val="ConsPlusNormal"/>
            </w:pPr>
          </w:p>
        </w:tc>
        <w:tc>
          <w:tcPr>
            <w:tcW w:w="1814" w:type="dxa"/>
            <w:vAlign w:val="center"/>
          </w:tcPr>
          <w:p w14:paraId="0806D30F" w14:textId="77777777" w:rsidR="00454A29" w:rsidRDefault="00454A29">
            <w:pPr>
              <w:pStyle w:val="ConsPlusNormal"/>
            </w:pPr>
          </w:p>
        </w:tc>
        <w:tc>
          <w:tcPr>
            <w:tcW w:w="1701" w:type="dxa"/>
            <w:vAlign w:val="center"/>
          </w:tcPr>
          <w:p w14:paraId="08DB8AF1" w14:textId="77777777" w:rsidR="00454A29" w:rsidRDefault="00454A29">
            <w:pPr>
              <w:pStyle w:val="ConsPlusNormal"/>
            </w:pPr>
          </w:p>
        </w:tc>
        <w:tc>
          <w:tcPr>
            <w:tcW w:w="1701" w:type="dxa"/>
            <w:vAlign w:val="center"/>
          </w:tcPr>
          <w:p w14:paraId="696E04A2" w14:textId="77777777" w:rsidR="00454A29" w:rsidRDefault="00454A29">
            <w:pPr>
              <w:pStyle w:val="ConsPlusNormal"/>
            </w:pPr>
          </w:p>
        </w:tc>
        <w:tc>
          <w:tcPr>
            <w:tcW w:w="1814" w:type="dxa"/>
            <w:vAlign w:val="center"/>
          </w:tcPr>
          <w:p w14:paraId="3CB4A6D3" w14:textId="77777777" w:rsidR="00454A29" w:rsidRDefault="00454A29">
            <w:pPr>
              <w:pStyle w:val="ConsPlusNormal"/>
            </w:pPr>
          </w:p>
        </w:tc>
      </w:tr>
      <w:tr w:rsidR="00454A29" w14:paraId="5AAFA9E4" w14:textId="77777777">
        <w:tc>
          <w:tcPr>
            <w:tcW w:w="567" w:type="dxa"/>
            <w:vMerge/>
          </w:tcPr>
          <w:p w14:paraId="75031262" w14:textId="77777777" w:rsidR="00454A29" w:rsidRDefault="00454A29"/>
        </w:tc>
        <w:tc>
          <w:tcPr>
            <w:tcW w:w="3345" w:type="dxa"/>
            <w:vMerge/>
          </w:tcPr>
          <w:p w14:paraId="11E53C34" w14:textId="77777777" w:rsidR="00454A29" w:rsidRDefault="00454A29"/>
        </w:tc>
        <w:tc>
          <w:tcPr>
            <w:tcW w:w="1701" w:type="dxa"/>
            <w:vAlign w:val="center"/>
          </w:tcPr>
          <w:p w14:paraId="22436172" w14:textId="77777777" w:rsidR="00454A29" w:rsidRDefault="00454A29">
            <w:pPr>
              <w:pStyle w:val="ConsPlusNormal"/>
              <w:jc w:val="center"/>
            </w:pPr>
            <w:r>
              <w:t>2024</w:t>
            </w:r>
          </w:p>
        </w:tc>
        <w:tc>
          <w:tcPr>
            <w:tcW w:w="1417" w:type="dxa"/>
            <w:vMerge/>
          </w:tcPr>
          <w:p w14:paraId="0DFE21FE" w14:textId="77777777" w:rsidR="00454A29" w:rsidRDefault="00454A29"/>
        </w:tc>
        <w:tc>
          <w:tcPr>
            <w:tcW w:w="2204" w:type="dxa"/>
            <w:vMerge/>
          </w:tcPr>
          <w:p w14:paraId="696ABD00" w14:textId="77777777" w:rsidR="00454A29" w:rsidRDefault="00454A29"/>
        </w:tc>
        <w:tc>
          <w:tcPr>
            <w:tcW w:w="1417" w:type="dxa"/>
            <w:vMerge/>
          </w:tcPr>
          <w:p w14:paraId="3EE19DE3" w14:textId="77777777" w:rsidR="00454A29" w:rsidRDefault="00454A29"/>
        </w:tc>
        <w:tc>
          <w:tcPr>
            <w:tcW w:w="2324" w:type="dxa"/>
            <w:vMerge/>
          </w:tcPr>
          <w:p w14:paraId="7072F517" w14:textId="77777777" w:rsidR="00454A29" w:rsidRDefault="00454A29"/>
        </w:tc>
        <w:tc>
          <w:tcPr>
            <w:tcW w:w="1701" w:type="dxa"/>
            <w:vAlign w:val="center"/>
          </w:tcPr>
          <w:p w14:paraId="05315537" w14:textId="77777777" w:rsidR="00454A29" w:rsidRDefault="00454A29">
            <w:pPr>
              <w:pStyle w:val="ConsPlusNormal"/>
            </w:pPr>
          </w:p>
        </w:tc>
        <w:tc>
          <w:tcPr>
            <w:tcW w:w="1814" w:type="dxa"/>
            <w:vAlign w:val="center"/>
          </w:tcPr>
          <w:p w14:paraId="509EDB26" w14:textId="77777777" w:rsidR="00454A29" w:rsidRDefault="00454A29">
            <w:pPr>
              <w:pStyle w:val="ConsPlusNormal"/>
            </w:pPr>
          </w:p>
        </w:tc>
        <w:tc>
          <w:tcPr>
            <w:tcW w:w="1701" w:type="dxa"/>
            <w:vAlign w:val="center"/>
          </w:tcPr>
          <w:p w14:paraId="794A152C" w14:textId="77777777" w:rsidR="00454A29" w:rsidRDefault="00454A29">
            <w:pPr>
              <w:pStyle w:val="ConsPlusNormal"/>
            </w:pPr>
          </w:p>
        </w:tc>
        <w:tc>
          <w:tcPr>
            <w:tcW w:w="1701" w:type="dxa"/>
            <w:vAlign w:val="center"/>
          </w:tcPr>
          <w:p w14:paraId="2A1B270E" w14:textId="77777777" w:rsidR="00454A29" w:rsidRDefault="00454A29">
            <w:pPr>
              <w:pStyle w:val="ConsPlusNormal"/>
            </w:pPr>
          </w:p>
        </w:tc>
        <w:tc>
          <w:tcPr>
            <w:tcW w:w="1814" w:type="dxa"/>
            <w:vAlign w:val="center"/>
          </w:tcPr>
          <w:p w14:paraId="6EB6177B" w14:textId="77777777" w:rsidR="00454A29" w:rsidRDefault="00454A29">
            <w:pPr>
              <w:pStyle w:val="ConsPlusNormal"/>
            </w:pPr>
          </w:p>
        </w:tc>
      </w:tr>
      <w:tr w:rsidR="00454A29" w14:paraId="52626F50" w14:textId="77777777">
        <w:tc>
          <w:tcPr>
            <w:tcW w:w="567" w:type="dxa"/>
            <w:vMerge/>
          </w:tcPr>
          <w:p w14:paraId="2015725C" w14:textId="77777777" w:rsidR="00454A29" w:rsidRDefault="00454A29"/>
        </w:tc>
        <w:tc>
          <w:tcPr>
            <w:tcW w:w="3345" w:type="dxa"/>
            <w:vMerge/>
          </w:tcPr>
          <w:p w14:paraId="71D107CA" w14:textId="77777777" w:rsidR="00454A29" w:rsidRDefault="00454A29"/>
        </w:tc>
        <w:tc>
          <w:tcPr>
            <w:tcW w:w="1701" w:type="dxa"/>
            <w:vAlign w:val="center"/>
          </w:tcPr>
          <w:p w14:paraId="7B24BE73" w14:textId="77777777" w:rsidR="00454A29" w:rsidRDefault="00454A29">
            <w:pPr>
              <w:pStyle w:val="ConsPlusNormal"/>
              <w:jc w:val="center"/>
            </w:pPr>
            <w:r>
              <w:t>2025</w:t>
            </w:r>
          </w:p>
        </w:tc>
        <w:tc>
          <w:tcPr>
            <w:tcW w:w="1417" w:type="dxa"/>
            <w:vMerge/>
          </w:tcPr>
          <w:p w14:paraId="4BAB3B89" w14:textId="77777777" w:rsidR="00454A29" w:rsidRDefault="00454A29"/>
        </w:tc>
        <w:tc>
          <w:tcPr>
            <w:tcW w:w="2204" w:type="dxa"/>
            <w:vMerge/>
          </w:tcPr>
          <w:p w14:paraId="0317D70E" w14:textId="77777777" w:rsidR="00454A29" w:rsidRDefault="00454A29"/>
        </w:tc>
        <w:tc>
          <w:tcPr>
            <w:tcW w:w="1417" w:type="dxa"/>
            <w:vMerge/>
          </w:tcPr>
          <w:p w14:paraId="44A1F739" w14:textId="77777777" w:rsidR="00454A29" w:rsidRDefault="00454A29"/>
        </w:tc>
        <w:tc>
          <w:tcPr>
            <w:tcW w:w="2324" w:type="dxa"/>
            <w:vMerge/>
          </w:tcPr>
          <w:p w14:paraId="149615F6" w14:textId="77777777" w:rsidR="00454A29" w:rsidRDefault="00454A29"/>
        </w:tc>
        <w:tc>
          <w:tcPr>
            <w:tcW w:w="1701" w:type="dxa"/>
            <w:vAlign w:val="center"/>
          </w:tcPr>
          <w:p w14:paraId="5CD53716" w14:textId="77777777" w:rsidR="00454A29" w:rsidRDefault="00454A29">
            <w:pPr>
              <w:pStyle w:val="ConsPlusNormal"/>
            </w:pPr>
          </w:p>
        </w:tc>
        <w:tc>
          <w:tcPr>
            <w:tcW w:w="1814" w:type="dxa"/>
            <w:vAlign w:val="center"/>
          </w:tcPr>
          <w:p w14:paraId="7AAF3416" w14:textId="77777777" w:rsidR="00454A29" w:rsidRDefault="00454A29">
            <w:pPr>
              <w:pStyle w:val="ConsPlusNormal"/>
            </w:pPr>
          </w:p>
        </w:tc>
        <w:tc>
          <w:tcPr>
            <w:tcW w:w="1701" w:type="dxa"/>
            <w:vAlign w:val="center"/>
          </w:tcPr>
          <w:p w14:paraId="2E6E1BD1" w14:textId="77777777" w:rsidR="00454A29" w:rsidRDefault="00454A29">
            <w:pPr>
              <w:pStyle w:val="ConsPlusNormal"/>
            </w:pPr>
          </w:p>
        </w:tc>
        <w:tc>
          <w:tcPr>
            <w:tcW w:w="1701" w:type="dxa"/>
            <w:vAlign w:val="center"/>
          </w:tcPr>
          <w:p w14:paraId="512DE316" w14:textId="77777777" w:rsidR="00454A29" w:rsidRDefault="00454A29">
            <w:pPr>
              <w:pStyle w:val="ConsPlusNormal"/>
            </w:pPr>
          </w:p>
        </w:tc>
        <w:tc>
          <w:tcPr>
            <w:tcW w:w="1814" w:type="dxa"/>
            <w:vAlign w:val="center"/>
          </w:tcPr>
          <w:p w14:paraId="686DABBD" w14:textId="77777777" w:rsidR="00454A29" w:rsidRDefault="00454A29">
            <w:pPr>
              <w:pStyle w:val="ConsPlusNormal"/>
            </w:pPr>
          </w:p>
        </w:tc>
      </w:tr>
      <w:tr w:rsidR="00454A29" w14:paraId="063A9109" w14:textId="77777777">
        <w:tc>
          <w:tcPr>
            <w:tcW w:w="567" w:type="dxa"/>
            <w:vMerge/>
          </w:tcPr>
          <w:p w14:paraId="2555415B" w14:textId="77777777" w:rsidR="00454A29" w:rsidRDefault="00454A29"/>
        </w:tc>
        <w:tc>
          <w:tcPr>
            <w:tcW w:w="3345" w:type="dxa"/>
            <w:vMerge/>
          </w:tcPr>
          <w:p w14:paraId="52B90C1C" w14:textId="77777777" w:rsidR="00454A29" w:rsidRDefault="00454A29"/>
        </w:tc>
        <w:tc>
          <w:tcPr>
            <w:tcW w:w="1701" w:type="dxa"/>
            <w:vAlign w:val="center"/>
          </w:tcPr>
          <w:p w14:paraId="20127606" w14:textId="77777777" w:rsidR="00454A29" w:rsidRDefault="00454A29">
            <w:pPr>
              <w:pStyle w:val="ConsPlusNormal"/>
              <w:jc w:val="center"/>
            </w:pPr>
            <w:r>
              <w:t>2026</w:t>
            </w:r>
          </w:p>
        </w:tc>
        <w:tc>
          <w:tcPr>
            <w:tcW w:w="1417" w:type="dxa"/>
            <w:vMerge/>
          </w:tcPr>
          <w:p w14:paraId="7F469493" w14:textId="77777777" w:rsidR="00454A29" w:rsidRDefault="00454A29"/>
        </w:tc>
        <w:tc>
          <w:tcPr>
            <w:tcW w:w="2204" w:type="dxa"/>
            <w:vMerge/>
          </w:tcPr>
          <w:p w14:paraId="51BEC7C8" w14:textId="77777777" w:rsidR="00454A29" w:rsidRDefault="00454A29"/>
        </w:tc>
        <w:tc>
          <w:tcPr>
            <w:tcW w:w="1417" w:type="dxa"/>
            <w:vMerge/>
          </w:tcPr>
          <w:p w14:paraId="1F033194" w14:textId="77777777" w:rsidR="00454A29" w:rsidRDefault="00454A29"/>
        </w:tc>
        <w:tc>
          <w:tcPr>
            <w:tcW w:w="2324" w:type="dxa"/>
            <w:vMerge/>
          </w:tcPr>
          <w:p w14:paraId="5891C026" w14:textId="77777777" w:rsidR="00454A29" w:rsidRDefault="00454A29"/>
        </w:tc>
        <w:tc>
          <w:tcPr>
            <w:tcW w:w="1701" w:type="dxa"/>
            <w:vAlign w:val="center"/>
          </w:tcPr>
          <w:p w14:paraId="6A855349" w14:textId="77777777" w:rsidR="00454A29" w:rsidRDefault="00454A29">
            <w:pPr>
              <w:pStyle w:val="ConsPlusNormal"/>
            </w:pPr>
          </w:p>
        </w:tc>
        <w:tc>
          <w:tcPr>
            <w:tcW w:w="1814" w:type="dxa"/>
            <w:vAlign w:val="center"/>
          </w:tcPr>
          <w:p w14:paraId="17D8FD6D" w14:textId="77777777" w:rsidR="00454A29" w:rsidRDefault="00454A29">
            <w:pPr>
              <w:pStyle w:val="ConsPlusNormal"/>
            </w:pPr>
          </w:p>
        </w:tc>
        <w:tc>
          <w:tcPr>
            <w:tcW w:w="1701" w:type="dxa"/>
            <w:vAlign w:val="center"/>
          </w:tcPr>
          <w:p w14:paraId="7A7EF345" w14:textId="77777777" w:rsidR="00454A29" w:rsidRDefault="00454A29">
            <w:pPr>
              <w:pStyle w:val="ConsPlusNormal"/>
            </w:pPr>
          </w:p>
        </w:tc>
        <w:tc>
          <w:tcPr>
            <w:tcW w:w="1701" w:type="dxa"/>
            <w:vAlign w:val="center"/>
          </w:tcPr>
          <w:p w14:paraId="73479281" w14:textId="77777777" w:rsidR="00454A29" w:rsidRDefault="00454A29">
            <w:pPr>
              <w:pStyle w:val="ConsPlusNormal"/>
            </w:pPr>
          </w:p>
        </w:tc>
        <w:tc>
          <w:tcPr>
            <w:tcW w:w="1814" w:type="dxa"/>
            <w:vAlign w:val="center"/>
          </w:tcPr>
          <w:p w14:paraId="1BCC4332" w14:textId="77777777" w:rsidR="00454A29" w:rsidRDefault="00454A29">
            <w:pPr>
              <w:pStyle w:val="ConsPlusNormal"/>
            </w:pPr>
          </w:p>
        </w:tc>
      </w:tr>
      <w:tr w:rsidR="00454A29" w14:paraId="55D53D65" w14:textId="77777777">
        <w:tc>
          <w:tcPr>
            <w:tcW w:w="21706" w:type="dxa"/>
            <w:gridSpan w:val="12"/>
            <w:vAlign w:val="center"/>
          </w:tcPr>
          <w:p w14:paraId="0FDABEC5" w14:textId="77777777" w:rsidR="00454A29" w:rsidRDefault="00454A29">
            <w:pPr>
              <w:pStyle w:val="ConsPlusNormal"/>
              <w:jc w:val="center"/>
            </w:pPr>
            <w:r>
              <w:t>Мероприятие 10.5.3.</w:t>
            </w:r>
          </w:p>
        </w:tc>
      </w:tr>
      <w:tr w:rsidR="00454A29" w14:paraId="0F6C13D8" w14:textId="77777777">
        <w:tc>
          <w:tcPr>
            <w:tcW w:w="567" w:type="dxa"/>
            <w:vMerge w:val="restart"/>
            <w:vAlign w:val="center"/>
          </w:tcPr>
          <w:p w14:paraId="70A11D83" w14:textId="77777777" w:rsidR="00454A29" w:rsidRDefault="00454A29">
            <w:pPr>
              <w:pStyle w:val="ConsPlusNormal"/>
            </w:pPr>
          </w:p>
        </w:tc>
        <w:tc>
          <w:tcPr>
            <w:tcW w:w="3345" w:type="dxa"/>
            <w:vMerge w:val="restart"/>
            <w:vAlign w:val="center"/>
          </w:tcPr>
          <w:p w14:paraId="6FF611EA" w14:textId="77777777" w:rsidR="00454A29" w:rsidRDefault="00454A29">
            <w:pPr>
              <w:pStyle w:val="ConsPlusNormal"/>
              <w:jc w:val="center"/>
            </w:pPr>
            <w:r>
              <w:t>Возмещение уплаченных процентов по соглашению о государственно-частном партнерстве по реализации объектов социальной инфраструктуры в городе Якутске</w:t>
            </w:r>
          </w:p>
        </w:tc>
        <w:tc>
          <w:tcPr>
            <w:tcW w:w="1701" w:type="dxa"/>
            <w:vAlign w:val="center"/>
          </w:tcPr>
          <w:p w14:paraId="4E1A2A6E" w14:textId="77777777" w:rsidR="00454A29" w:rsidRDefault="00454A29">
            <w:pPr>
              <w:pStyle w:val="ConsPlusNormal"/>
              <w:jc w:val="center"/>
            </w:pPr>
            <w:r>
              <w:t>Всего:</w:t>
            </w:r>
          </w:p>
        </w:tc>
        <w:tc>
          <w:tcPr>
            <w:tcW w:w="1417" w:type="dxa"/>
            <w:vMerge w:val="restart"/>
            <w:vAlign w:val="center"/>
          </w:tcPr>
          <w:p w14:paraId="5CDA9181" w14:textId="77777777" w:rsidR="00454A29" w:rsidRDefault="00454A29">
            <w:pPr>
              <w:pStyle w:val="ConsPlusNormal"/>
              <w:jc w:val="center"/>
            </w:pPr>
            <w:r>
              <w:t>х</w:t>
            </w:r>
          </w:p>
        </w:tc>
        <w:tc>
          <w:tcPr>
            <w:tcW w:w="2204" w:type="dxa"/>
            <w:vMerge w:val="restart"/>
            <w:vAlign w:val="center"/>
          </w:tcPr>
          <w:p w14:paraId="480CF002" w14:textId="77777777" w:rsidR="00454A29" w:rsidRDefault="00454A29">
            <w:pPr>
              <w:pStyle w:val="ConsPlusNormal"/>
              <w:jc w:val="center"/>
            </w:pPr>
            <w:r>
              <w:t>х</w:t>
            </w:r>
          </w:p>
        </w:tc>
        <w:tc>
          <w:tcPr>
            <w:tcW w:w="1417" w:type="dxa"/>
            <w:vMerge w:val="restart"/>
            <w:vAlign w:val="center"/>
          </w:tcPr>
          <w:p w14:paraId="33605704" w14:textId="77777777" w:rsidR="00454A29" w:rsidRDefault="00454A29">
            <w:pPr>
              <w:pStyle w:val="ConsPlusNormal"/>
              <w:jc w:val="center"/>
            </w:pPr>
            <w:r>
              <w:t>х</w:t>
            </w:r>
          </w:p>
        </w:tc>
        <w:tc>
          <w:tcPr>
            <w:tcW w:w="2324" w:type="dxa"/>
            <w:vMerge w:val="restart"/>
            <w:vAlign w:val="center"/>
          </w:tcPr>
          <w:p w14:paraId="11F70993" w14:textId="77777777" w:rsidR="00454A29" w:rsidRDefault="00454A29">
            <w:pPr>
              <w:pStyle w:val="ConsPlusNormal"/>
              <w:jc w:val="center"/>
            </w:pPr>
            <w:r>
              <w:t>х</w:t>
            </w:r>
          </w:p>
        </w:tc>
        <w:tc>
          <w:tcPr>
            <w:tcW w:w="1701" w:type="dxa"/>
            <w:vAlign w:val="center"/>
          </w:tcPr>
          <w:p w14:paraId="4D370D11" w14:textId="77777777" w:rsidR="00454A29" w:rsidRDefault="00454A29">
            <w:pPr>
              <w:pStyle w:val="ConsPlusNormal"/>
              <w:jc w:val="center"/>
            </w:pPr>
            <w:r>
              <w:t>5 201 679,00</w:t>
            </w:r>
          </w:p>
        </w:tc>
        <w:tc>
          <w:tcPr>
            <w:tcW w:w="1814" w:type="dxa"/>
            <w:vAlign w:val="center"/>
          </w:tcPr>
          <w:p w14:paraId="53FD15A6" w14:textId="77777777" w:rsidR="00454A29" w:rsidRDefault="00454A29">
            <w:pPr>
              <w:pStyle w:val="ConsPlusNormal"/>
              <w:jc w:val="center"/>
            </w:pPr>
            <w:r>
              <w:t>4 341 842,62</w:t>
            </w:r>
          </w:p>
        </w:tc>
        <w:tc>
          <w:tcPr>
            <w:tcW w:w="1701" w:type="dxa"/>
            <w:vAlign w:val="center"/>
          </w:tcPr>
          <w:p w14:paraId="2F345E4B" w14:textId="77777777" w:rsidR="00454A29" w:rsidRDefault="00454A29">
            <w:pPr>
              <w:pStyle w:val="ConsPlusNormal"/>
              <w:jc w:val="center"/>
            </w:pPr>
            <w:r>
              <w:t>-</w:t>
            </w:r>
          </w:p>
        </w:tc>
        <w:tc>
          <w:tcPr>
            <w:tcW w:w="1701" w:type="dxa"/>
            <w:vAlign w:val="center"/>
          </w:tcPr>
          <w:p w14:paraId="071226AF" w14:textId="77777777" w:rsidR="00454A29" w:rsidRDefault="00454A29">
            <w:pPr>
              <w:pStyle w:val="ConsPlusNormal"/>
              <w:jc w:val="center"/>
            </w:pPr>
            <w:r>
              <w:t>859 836,38</w:t>
            </w:r>
          </w:p>
        </w:tc>
        <w:tc>
          <w:tcPr>
            <w:tcW w:w="1814" w:type="dxa"/>
            <w:vAlign w:val="center"/>
          </w:tcPr>
          <w:p w14:paraId="5E62CD55" w14:textId="77777777" w:rsidR="00454A29" w:rsidRDefault="00454A29">
            <w:pPr>
              <w:pStyle w:val="ConsPlusNormal"/>
              <w:jc w:val="center"/>
            </w:pPr>
            <w:r>
              <w:t>-</w:t>
            </w:r>
          </w:p>
        </w:tc>
      </w:tr>
      <w:tr w:rsidR="00454A29" w14:paraId="627C30F2" w14:textId="77777777">
        <w:tc>
          <w:tcPr>
            <w:tcW w:w="567" w:type="dxa"/>
            <w:vMerge/>
          </w:tcPr>
          <w:p w14:paraId="4041F067" w14:textId="77777777" w:rsidR="00454A29" w:rsidRDefault="00454A29"/>
        </w:tc>
        <w:tc>
          <w:tcPr>
            <w:tcW w:w="3345" w:type="dxa"/>
            <w:vMerge/>
          </w:tcPr>
          <w:p w14:paraId="3CB07C54" w14:textId="77777777" w:rsidR="00454A29" w:rsidRDefault="00454A29"/>
        </w:tc>
        <w:tc>
          <w:tcPr>
            <w:tcW w:w="1701" w:type="dxa"/>
            <w:vAlign w:val="center"/>
          </w:tcPr>
          <w:p w14:paraId="599E8558" w14:textId="77777777" w:rsidR="00454A29" w:rsidRDefault="00454A29">
            <w:pPr>
              <w:pStyle w:val="ConsPlusNormal"/>
              <w:jc w:val="center"/>
            </w:pPr>
            <w:r>
              <w:t>2020</w:t>
            </w:r>
          </w:p>
        </w:tc>
        <w:tc>
          <w:tcPr>
            <w:tcW w:w="1417" w:type="dxa"/>
            <w:vMerge/>
          </w:tcPr>
          <w:p w14:paraId="316E7136" w14:textId="77777777" w:rsidR="00454A29" w:rsidRDefault="00454A29"/>
        </w:tc>
        <w:tc>
          <w:tcPr>
            <w:tcW w:w="2204" w:type="dxa"/>
            <w:vMerge/>
          </w:tcPr>
          <w:p w14:paraId="74FA0233" w14:textId="77777777" w:rsidR="00454A29" w:rsidRDefault="00454A29"/>
        </w:tc>
        <w:tc>
          <w:tcPr>
            <w:tcW w:w="1417" w:type="dxa"/>
            <w:vMerge/>
          </w:tcPr>
          <w:p w14:paraId="363359B6" w14:textId="77777777" w:rsidR="00454A29" w:rsidRDefault="00454A29"/>
        </w:tc>
        <w:tc>
          <w:tcPr>
            <w:tcW w:w="2324" w:type="dxa"/>
            <w:vMerge/>
          </w:tcPr>
          <w:p w14:paraId="6B056645" w14:textId="77777777" w:rsidR="00454A29" w:rsidRDefault="00454A29"/>
        </w:tc>
        <w:tc>
          <w:tcPr>
            <w:tcW w:w="1701" w:type="dxa"/>
            <w:vAlign w:val="center"/>
          </w:tcPr>
          <w:p w14:paraId="49314606" w14:textId="77777777" w:rsidR="00454A29" w:rsidRDefault="00454A29">
            <w:pPr>
              <w:pStyle w:val="ConsPlusNormal"/>
              <w:jc w:val="center"/>
            </w:pPr>
            <w:r>
              <w:t>1 012 077,53</w:t>
            </w:r>
          </w:p>
        </w:tc>
        <w:tc>
          <w:tcPr>
            <w:tcW w:w="1814" w:type="dxa"/>
            <w:vAlign w:val="center"/>
          </w:tcPr>
          <w:p w14:paraId="02582FD2" w14:textId="77777777" w:rsidR="00454A29" w:rsidRDefault="00454A29">
            <w:pPr>
              <w:pStyle w:val="ConsPlusNormal"/>
              <w:jc w:val="center"/>
            </w:pPr>
            <w:r>
              <w:t>756 876,56</w:t>
            </w:r>
          </w:p>
        </w:tc>
        <w:tc>
          <w:tcPr>
            <w:tcW w:w="1701" w:type="dxa"/>
            <w:vAlign w:val="center"/>
          </w:tcPr>
          <w:p w14:paraId="0C2F4463" w14:textId="77777777" w:rsidR="00454A29" w:rsidRDefault="00454A29">
            <w:pPr>
              <w:pStyle w:val="ConsPlusNormal"/>
              <w:jc w:val="center"/>
            </w:pPr>
            <w:r>
              <w:t>-</w:t>
            </w:r>
          </w:p>
        </w:tc>
        <w:tc>
          <w:tcPr>
            <w:tcW w:w="1701" w:type="dxa"/>
            <w:vAlign w:val="center"/>
          </w:tcPr>
          <w:p w14:paraId="0C5F4D2E" w14:textId="77777777" w:rsidR="00454A29" w:rsidRDefault="00454A29">
            <w:pPr>
              <w:pStyle w:val="ConsPlusNormal"/>
              <w:jc w:val="center"/>
            </w:pPr>
            <w:r>
              <w:t>255 200,97</w:t>
            </w:r>
          </w:p>
        </w:tc>
        <w:tc>
          <w:tcPr>
            <w:tcW w:w="1814" w:type="dxa"/>
            <w:vAlign w:val="center"/>
          </w:tcPr>
          <w:p w14:paraId="3F20A58F" w14:textId="77777777" w:rsidR="00454A29" w:rsidRDefault="00454A29">
            <w:pPr>
              <w:pStyle w:val="ConsPlusNormal"/>
              <w:jc w:val="center"/>
            </w:pPr>
            <w:r>
              <w:t>-</w:t>
            </w:r>
          </w:p>
        </w:tc>
      </w:tr>
      <w:tr w:rsidR="00454A29" w14:paraId="1F9777A6" w14:textId="77777777">
        <w:tc>
          <w:tcPr>
            <w:tcW w:w="567" w:type="dxa"/>
            <w:vMerge/>
          </w:tcPr>
          <w:p w14:paraId="516EB098" w14:textId="77777777" w:rsidR="00454A29" w:rsidRDefault="00454A29"/>
        </w:tc>
        <w:tc>
          <w:tcPr>
            <w:tcW w:w="3345" w:type="dxa"/>
            <w:vMerge/>
          </w:tcPr>
          <w:p w14:paraId="1E799AA7" w14:textId="77777777" w:rsidR="00454A29" w:rsidRDefault="00454A29"/>
        </w:tc>
        <w:tc>
          <w:tcPr>
            <w:tcW w:w="1701" w:type="dxa"/>
            <w:vAlign w:val="center"/>
          </w:tcPr>
          <w:p w14:paraId="3A2EAD91" w14:textId="77777777" w:rsidR="00454A29" w:rsidRDefault="00454A29">
            <w:pPr>
              <w:pStyle w:val="ConsPlusNormal"/>
              <w:jc w:val="center"/>
            </w:pPr>
            <w:r>
              <w:t>2021</w:t>
            </w:r>
          </w:p>
        </w:tc>
        <w:tc>
          <w:tcPr>
            <w:tcW w:w="1417" w:type="dxa"/>
            <w:vMerge/>
          </w:tcPr>
          <w:p w14:paraId="2BC576A8" w14:textId="77777777" w:rsidR="00454A29" w:rsidRDefault="00454A29"/>
        </w:tc>
        <w:tc>
          <w:tcPr>
            <w:tcW w:w="2204" w:type="dxa"/>
            <w:vMerge/>
          </w:tcPr>
          <w:p w14:paraId="5165E2D9" w14:textId="77777777" w:rsidR="00454A29" w:rsidRDefault="00454A29"/>
        </w:tc>
        <w:tc>
          <w:tcPr>
            <w:tcW w:w="1417" w:type="dxa"/>
            <w:vMerge/>
          </w:tcPr>
          <w:p w14:paraId="4CBC742D" w14:textId="77777777" w:rsidR="00454A29" w:rsidRDefault="00454A29"/>
        </w:tc>
        <w:tc>
          <w:tcPr>
            <w:tcW w:w="2324" w:type="dxa"/>
            <w:vMerge/>
          </w:tcPr>
          <w:p w14:paraId="74C1B7EA" w14:textId="77777777" w:rsidR="00454A29" w:rsidRDefault="00454A29"/>
        </w:tc>
        <w:tc>
          <w:tcPr>
            <w:tcW w:w="1701" w:type="dxa"/>
            <w:vAlign w:val="center"/>
          </w:tcPr>
          <w:p w14:paraId="46B9767B" w14:textId="77777777" w:rsidR="00454A29" w:rsidRDefault="00454A29">
            <w:pPr>
              <w:pStyle w:val="ConsPlusNormal"/>
              <w:jc w:val="center"/>
            </w:pPr>
            <w:r>
              <w:t>953 222,16</w:t>
            </w:r>
          </w:p>
        </w:tc>
        <w:tc>
          <w:tcPr>
            <w:tcW w:w="1814" w:type="dxa"/>
            <w:vAlign w:val="center"/>
          </w:tcPr>
          <w:p w14:paraId="54032ADE" w14:textId="77777777" w:rsidR="00454A29" w:rsidRDefault="00454A29">
            <w:pPr>
              <w:pStyle w:val="ConsPlusNormal"/>
              <w:jc w:val="center"/>
            </w:pPr>
            <w:r>
              <w:t>722 142,40</w:t>
            </w:r>
          </w:p>
        </w:tc>
        <w:tc>
          <w:tcPr>
            <w:tcW w:w="1701" w:type="dxa"/>
            <w:vAlign w:val="center"/>
          </w:tcPr>
          <w:p w14:paraId="18906CDA" w14:textId="77777777" w:rsidR="00454A29" w:rsidRDefault="00454A29">
            <w:pPr>
              <w:pStyle w:val="ConsPlusNormal"/>
              <w:jc w:val="center"/>
            </w:pPr>
            <w:r>
              <w:t>-</w:t>
            </w:r>
          </w:p>
        </w:tc>
        <w:tc>
          <w:tcPr>
            <w:tcW w:w="1701" w:type="dxa"/>
            <w:vAlign w:val="center"/>
          </w:tcPr>
          <w:p w14:paraId="77ACB7BD" w14:textId="77777777" w:rsidR="00454A29" w:rsidRDefault="00454A29">
            <w:pPr>
              <w:pStyle w:val="ConsPlusNormal"/>
              <w:jc w:val="center"/>
            </w:pPr>
            <w:r>
              <w:t>231 079,76</w:t>
            </w:r>
          </w:p>
        </w:tc>
        <w:tc>
          <w:tcPr>
            <w:tcW w:w="1814" w:type="dxa"/>
            <w:vAlign w:val="center"/>
          </w:tcPr>
          <w:p w14:paraId="3811D7FB" w14:textId="77777777" w:rsidR="00454A29" w:rsidRDefault="00454A29">
            <w:pPr>
              <w:pStyle w:val="ConsPlusNormal"/>
              <w:jc w:val="center"/>
            </w:pPr>
            <w:r>
              <w:t>-</w:t>
            </w:r>
          </w:p>
        </w:tc>
      </w:tr>
      <w:tr w:rsidR="00454A29" w14:paraId="5FAD1104" w14:textId="77777777">
        <w:tc>
          <w:tcPr>
            <w:tcW w:w="567" w:type="dxa"/>
            <w:vMerge/>
          </w:tcPr>
          <w:p w14:paraId="10D5EF61" w14:textId="77777777" w:rsidR="00454A29" w:rsidRDefault="00454A29"/>
        </w:tc>
        <w:tc>
          <w:tcPr>
            <w:tcW w:w="3345" w:type="dxa"/>
            <w:vMerge/>
          </w:tcPr>
          <w:p w14:paraId="7A4D0811" w14:textId="77777777" w:rsidR="00454A29" w:rsidRDefault="00454A29"/>
        </w:tc>
        <w:tc>
          <w:tcPr>
            <w:tcW w:w="1701" w:type="dxa"/>
            <w:vAlign w:val="center"/>
          </w:tcPr>
          <w:p w14:paraId="783B7E57" w14:textId="77777777" w:rsidR="00454A29" w:rsidRDefault="00454A29">
            <w:pPr>
              <w:pStyle w:val="ConsPlusNormal"/>
              <w:jc w:val="center"/>
            </w:pPr>
            <w:r>
              <w:t>2022</w:t>
            </w:r>
          </w:p>
        </w:tc>
        <w:tc>
          <w:tcPr>
            <w:tcW w:w="1417" w:type="dxa"/>
            <w:vMerge/>
          </w:tcPr>
          <w:p w14:paraId="1D6ACDB6" w14:textId="77777777" w:rsidR="00454A29" w:rsidRDefault="00454A29"/>
        </w:tc>
        <w:tc>
          <w:tcPr>
            <w:tcW w:w="2204" w:type="dxa"/>
            <w:vMerge/>
          </w:tcPr>
          <w:p w14:paraId="25628D92" w14:textId="77777777" w:rsidR="00454A29" w:rsidRDefault="00454A29"/>
        </w:tc>
        <w:tc>
          <w:tcPr>
            <w:tcW w:w="1417" w:type="dxa"/>
            <w:vMerge/>
          </w:tcPr>
          <w:p w14:paraId="50DDD455" w14:textId="77777777" w:rsidR="00454A29" w:rsidRDefault="00454A29"/>
        </w:tc>
        <w:tc>
          <w:tcPr>
            <w:tcW w:w="2324" w:type="dxa"/>
            <w:vMerge/>
          </w:tcPr>
          <w:p w14:paraId="6927A6DB" w14:textId="77777777" w:rsidR="00454A29" w:rsidRDefault="00454A29"/>
        </w:tc>
        <w:tc>
          <w:tcPr>
            <w:tcW w:w="1701" w:type="dxa"/>
            <w:vAlign w:val="center"/>
          </w:tcPr>
          <w:p w14:paraId="31390191" w14:textId="77777777" w:rsidR="00454A29" w:rsidRDefault="00454A29">
            <w:pPr>
              <w:pStyle w:val="ConsPlusNormal"/>
              <w:jc w:val="center"/>
            </w:pPr>
            <w:r>
              <w:t>870 891,14</w:t>
            </w:r>
          </w:p>
        </w:tc>
        <w:tc>
          <w:tcPr>
            <w:tcW w:w="1814" w:type="dxa"/>
            <w:vAlign w:val="center"/>
          </w:tcPr>
          <w:p w14:paraId="72FDE1A1" w14:textId="77777777" w:rsidR="00454A29" w:rsidRDefault="00454A29">
            <w:pPr>
              <w:pStyle w:val="ConsPlusNormal"/>
              <w:jc w:val="center"/>
            </w:pPr>
            <w:r>
              <w:t>681 890,63</w:t>
            </w:r>
          </w:p>
        </w:tc>
        <w:tc>
          <w:tcPr>
            <w:tcW w:w="1701" w:type="dxa"/>
            <w:vAlign w:val="center"/>
          </w:tcPr>
          <w:p w14:paraId="10C5C20C" w14:textId="77777777" w:rsidR="00454A29" w:rsidRDefault="00454A29">
            <w:pPr>
              <w:pStyle w:val="ConsPlusNormal"/>
              <w:jc w:val="center"/>
            </w:pPr>
            <w:r>
              <w:t>-</w:t>
            </w:r>
          </w:p>
        </w:tc>
        <w:tc>
          <w:tcPr>
            <w:tcW w:w="1701" w:type="dxa"/>
            <w:vAlign w:val="center"/>
          </w:tcPr>
          <w:p w14:paraId="0DB1F0D9" w14:textId="77777777" w:rsidR="00454A29" w:rsidRDefault="00454A29">
            <w:pPr>
              <w:pStyle w:val="ConsPlusNormal"/>
              <w:jc w:val="center"/>
            </w:pPr>
            <w:r>
              <w:t>189 000,51</w:t>
            </w:r>
          </w:p>
        </w:tc>
        <w:tc>
          <w:tcPr>
            <w:tcW w:w="1814" w:type="dxa"/>
            <w:vAlign w:val="center"/>
          </w:tcPr>
          <w:p w14:paraId="7E7167EE" w14:textId="77777777" w:rsidR="00454A29" w:rsidRDefault="00454A29">
            <w:pPr>
              <w:pStyle w:val="ConsPlusNormal"/>
              <w:jc w:val="center"/>
            </w:pPr>
            <w:r>
              <w:t>-</w:t>
            </w:r>
          </w:p>
        </w:tc>
      </w:tr>
      <w:tr w:rsidR="00454A29" w14:paraId="10047B95" w14:textId="77777777">
        <w:tc>
          <w:tcPr>
            <w:tcW w:w="567" w:type="dxa"/>
            <w:vMerge/>
          </w:tcPr>
          <w:p w14:paraId="0D72B487" w14:textId="77777777" w:rsidR="00454A29" w:rsidRDefault="00454A29"/>
        </w:tc>
        <w:tc>
          <w:tcPr>
            <w:tcW w:w="3345" w:type="dxa"/>
            <w:vMerge/>
          </w:tcPr>
          <w:p w14:paraId="04844C01" w14:textId="77777777" w:rsidR="00454A29" w:rsidRDefault="00454A29"/>
        </w:tc>
        <w:tc>
          <w:tcPr>
            <w:tcW w:w="1701" w:type="dxa"/>
            <w:vAlign w:val="center"/>
          </w:tcPr>
          <w:p w14:paraId="6264753D" w14:textId="77777777" w:rsidR="00454A29" w:rsidRDefault="00454A29">
            <w:pPr>
              <w:pStyle w:val="ConsPlusNormal"/>
              <w:jc w:val="center"/>
            </w:pPr>
            <w:r>
              <w:t>2023</w:t>
            </w:r>
          </w:p>
        </w:tc>
        <w:tc>
          <w:tcPr>
            <w:tcW w:w="1417" w:type="dxa"/>
            <w:vMerge/>
          </w:tcPr>
          <w:p w14:paraId="42F28BD0" w14:textId="77777777" w:rsidR="00454A29" w:rsidRDefault="00454A29"/>
        </w:tc>
        <w:tc>
          <w:tcPr>
            <w:tcW w:w="2204" w:type="dxa"/>
            <w:vMerge/>
          </w:tcPr>
          <w:p w14:paraId="6DEA7E8E" w14:textId="77777777" w:rsidR="00454A29" w:rsidRDefault="00454A29"/>
        </w:tc>
        <w:tc>
          <w:tcPr>
            <w:tcW w:w="1417" w:type="dxa"/>
            <w:vMerge/>
          </w:tcPr>
          <w:p w14:paraId="5805FF2D" w14:textId="77777777" w:rsidR="00454A29" w:rsidRDefault="00454A29"/>
        </w:tc>
        <w:tc>
          <w:tcPr>
            <w:tcW w:w="2324" w:type="dxa"/>
            <w:vMerge/>
          </w:tcPr>
          <w:p w14:paraId="791B4945" w14:textId="77777777" w:rsidR="00454A29" w:rsidRDefault="00454A29"/>
        </w:tc>
        <w:tc>
          <w:tcPr>
            <w:tcW w:w="1701" w:type="dxa"/>
            <w:vAlign w:val="center"/>
          </w:tcPr>
          <w:p w14:paraId="26D6D9CC" w14:textId="77777777" w:rsidR="00454A29" w:rsidRDefault="00454A29">
            <w:pPr>
              <w:pStyle w:val="ConsPlusNormal"/>
              <w:jc w:val="center"/>
            </w:pPr>
            <w:r>
              <w:t>775 481,63</w:t>
            </w:r>
          </w:p>
        </w:tc>
        <w:tc>
          <w:tcPr>
            <w:tcW w:w="1814" w:type="dxa"/>
            <w:vAlign w:val="center"/>
          </w:tcPr>
          <w:p w14:paraId="1B6E3929" w14:textId="77777777" w:rsidR="00454A29" w:rsidRDefault="00454A29">
            <w:pPr>
              <w:pStyle w:val="ConsPlusNormal"/>
              <w:jc w:val="center"/>
            </w:pPr>
            <w:r>
              <w:t>635 244,74</w:t>
            </w:r>
          </w:p>
        </w:tc>
        <w:tc>
          <w:tcPr>
            <w:tcW w:w="1701" w:type="dxa"/>
            <w:vAlign w:val="center"/>
          </w:tcPr>
          <w:p w14:paraId="6E938966" w14:textId="77777777" w:rsidR="00454A29" w:rsidRDefault="00454A29">
            <w:pPr>
              <w:pStyle w:val="ConsPlusNormal"/>
              <w:jc w:val="center"/>
            </w:pPr>
            <w:r>
              <w:t>-</w:t>
            </w:r>
          </w:p>
        </w:tc>
        <w:tc>
          <w:tcPr>
            <w:tcW w:w="1701" w:type="dxa"/>
            <w:vAlign w:val="center"/>
          </w:tcPr>
          <w:p w14:paraId="2D0AEE0A" w14:textId="77777777" w:rsidR="00454A29" w:rsidRDefault="00454A29">
            <w:pPr>
              <w:pStyle w:val="ConsPlusNormal"/>
              <w:jc w:val="center"/>
            </w:pPr>
            <w:r>
              <w:t>140 236,89</w:t>
            </w:r>
          </w:p>
        </w:tc>
        <w:tc>
          <w:tcPr>
            <w:tcW w:w="1814" w:type="dxa"/>
            <w:vAlign w:val="center"/>
          </w:tcPr>
          <w:p w14:paraId="175AC356" w14:textId="77777777" w:rsidR="00454A29" w:rsidRDefault="00454A29">
            <w:pPr>
              <w:pStyle w:val="ConsPlusNormal"/>
              <w:jc w:val="center"/>
            </w:pPr>
            <w:r>
              <w:t>-</w:t>
            </w:r>
          </w:p>
        </w:tc>
      </w:tr>
      <w:tr w:rsidR="00454A29" w14:paraId="731617CB" w14:textId="77777777">
        <w:tc>
          <w:tcPr>
            <w:tcW w:w="567" w:type="dxa"/>
            <w:vMerge/>
          </w:tcPr>
          <w:p w14:paraId="1705C598" w14:textId="77777777" w:rsidR="00454A29" w:rsidRDefault="00454A29"/>
        </w:tc>
        <w:tc>
          <w:tcPr>
            <w:tcW w:w="3345" w:type="dxa"/>
            <w:vMerge/>
          </w:tcPr>
          <w:p w14:paraId="537A101D" w14:textId="77777777" w:rsidR="00454A29" w:rsidRDefault="00454A29"/>
        </w:tc>
        <w:tc>
          <w:tcPr>
            <w:tcW w:w="1701" w:type="dxa"/>
            <w:vAlign w:val="center"/>
          </w:tcPr>
          <w:p w14:paraId="0CC915B6" w14:textId="77777777" w:rsidR="00454A29" w:rsidRDefault="00454A29">
            <w:pPr>
              <w:pStyle w:val="ConsPlusNormal"/>
              <w:jc w:val="center"/>
            </w:pPr>
            <w:r>
              <w:t>2024</w:t>
            </w:r>
          </w:p>
        </w:tc>
        <w:tc>
          <w:tcPr>
            <w:tcW w:w="1417" w:type="dxa"/>
            <w:vMerge/>
          </w:tcPr>
          <w:p w14:paraId="19528D2F" w14:textId="77777777" w:rsidR="00454A29" w:rsidRDefault="00454A29"/>
        </w:tc>
        <w:tc>
          <w:tcPr>
            <w:tcW w:w="2204" w:type="dxa"/>
            <w:vMerge/>
          </w:tcPr>
          <w:p w14:paraId="0EFF020B" w14:textId="77777777" w:rsidR="00454A29" w:rsidRDefault="00454A29"/>
        </w:tc>
        <w:tc>
          <w:tcPr>
            <w:tcW w:w="1417" w:type="dxa"/>
            <w:vMerge/>
          </w:tcPr>
          <w:p w14:paraId="67FE1BC9" w14:textId="77777777" w:rsidR="00454A29" w:rsidRDefault="00454A29"/>
        </w:tc>
        <w:tc>
          <w:tcPr>
            <w:tcW w:w="2324" w:type="dxa"/>
            <w:vMerge/>
          </w:tcPr>
          <w:p w14:paraId="1A7CEC47" w14:textId="77777777" w:rsidR="00454A29" w:rsidRDefault="00454A29"/>
        </w:tc>
        <w:tc>
          <w:tcPr>
            <w:tcW w:w="1701" w:type="dxa"/>
            <w:vAlign w:val="center"/>
          </w:tcPr>
          <w:p w14:paraId="458115BE" w14:textId="77777777" w:rsidR="00454A29" w:rsidRDefault="00454A29">
            <w:pPr>
              <w:pStyle w:val="ConsPlusNormal"/>
              <w:jc w:val="center"/>
            </w:pPr>
            <w:r>
              <w:t>607 266,94</w:t>
            </w:r>
          </w:p>
        </w:tc>
        <w:tc>
          <w:tcPr>
            <w:tcW w:w="1814" w:type="dxa"/>
            <w:vAlign w:val="center"/>
          </w:tcPr>
          <w:p w14:paraId="042BEB79" w14:textId="77777777" w:rsidR="00454A29" w:rsidRDefault="00454A29">
            <w:pPr>
              <w:pStyle w:val="ConsPlusNormal"/>
              <w:jc w:val="center"/>
            </w:pPr>
            <w:r>
              <w:t>581 189,03</w:t>
            </w:r>
          </w:p>
        </w:tc>
        <w:tc>
          <w:tcPr>
            <w:tcW w:w="1701" w:type="dxa"/>
            <w:vAlign w:val="center"/>
          </w:tcPr>
          <w:p w14:paraId="23F54572" w14:textId="77777777" w:rsidR="00454A29" w:rsidRDefault="00454A29">
            <w:pPr>
              <w:pStyle w:val="ConsPlusNormal"/>
              <w:jc w:val="center"/>
            </w:pPr>
            <w:r>
              <w:t>-</w:t>
            </w:r>
          </w:p>
        </w:tc>
        <w:tc>
          <w:tcPr>
            <w:tcW w:w="1701" w:type="dxa"/>
            <w:vAlign w:val="center"/>
          </w:tcPr>
          <w:p w14:paraId="1375DAA4" w14:textId="77777777" w:rsidR="00454A29" w:rsidRDefault="00454A29">
            <w:pPr>
              <w:pStyle w:val="ConsPlusNormal"/>
              <w:jc w:val="center"/>
            </w:pPr>
            <w:r>
              <w:t>26 077,91</w:t>
            </w:r>
          </w:p>
        </w:tc>
        <w:tc>
          <w:tcPr>
            <w:tcW w:w="1814" w:type="dxa"/>
            <w:vAlign w:val="center"/>
          </w:tcPr>
          <w:p w14:paraId="2B519035" w14:textId="77777777" w:rsidR="00454A29" w:rsidRDefault="00454A29">
            <w:pPr>
              <w:pStyle w:val="ConsPlusNormal"/>
              <w:jc w:val="center"/>
            </w:pPr>
            <w:r>
              <w:t>-</w:t>
            </w:r>
          </w:p>
        </w:tc>
      </w:tr>
      <w:tr w:rsidR="00454A29" w14:paraId="31013ED2" w14:textId="77777777">
        <w:tc>
          <w:tcPr>
            <w:tcW w:w="567" w:type="dxa"/>
            <w:vMerge/>
          </w:tcPr>
          <w:p w14:paraId="319BBF15" w14:textId="77777777" w:rsidR="00454A29" w:rsidRDefault="00454A29"/>
        </w:tc>
        <w:tc>
          <w:tcPr>
            <w:tcW w:w="3345" w:type="dxa"/>
            <w:vMerge/>
          </w:tcPr>
          <w:p w14:paraId="3EFE57AE" w14:textId="77777777" w:rsidR="00454A29" w:rsidRDefault="00454A29"/>
        </w:tc>
        <w:tc>
          <w:tcPr>
            <w:tcW w:w="1701" w:type="dxa"/>
            <w:vAlign w:val="center"/>
          </w:tcPr>
          <w:p w14:paraId="3E7679E4" w14:textId="77777777" w:rsidR="00454A29" w:rsidRDefault="00454A29">
            <w:pPr>
              <w:pStyle w:val="ConsPlusNormal"/>
              <w:jc w:val="center"/>
            </w:pPr>
            <w:r>
              <w:t>2025</w:t>
            </w:r>
          </w:p>
        </w:tc>
        <w:tc>
          <w:tcPr>
            <w:tcW w:w="1417" w:type="dxa"/>
            <w:vMerge/>
          </w:tcPr>
          <w:p w14:paraId="622EE4D6" w14:textId="77777777" w:rsidR="00454A29" w:rsidRDefault="00454A29"/>
        </w:tc>
        <w:tc>
          <w:tcPr>
            <w:tcW w:w="2204" w:type="dxa"/>
            <w:vMerge/>
          </w:tcPr>
          <w:p w14:paraId="3C0DCABF" w14:textId="77777777" w:rsidR="00454A29" w:rsidRDefault="00454A29"/>
        </w:tc>
        <w:tc>
          <w:tcPr>
            <w:tcW w:w="1417" w:type="dxa"/>
            <w:vMerge/>
          </w:tcPr>
          <w:p w14:paraId="7827D587" w14:textId="77777777" w:rsidR="00454A29" w:rsidRDefault="00454A29"/>
        </w:tc>
        <w:tc>
          <w:tcPr>
            <w:tcW w:w="2324" w:type="dxa"/>
            <w:vMerge/>
          </w:tcPr>
          <w:p w14:paraId="2B379B93" w14:textId="77777777" w:rsidR="00454A29" w:rsidRDefault="00454A29"/>
        </w:tc>
        <w:tc>
          <w:tcPr>
            <w:tcW w:w="1701" w:type="dxa"/>
            <w:vAlign w:val="center"/>
          </w:tcPr>
          <w:p w14:paraId="0F580FE0" w14:textId="77777777" w:rsidR="00454A29" w:rsidRDefault="00454A29">
            <w:pPr>
              <w:pStyle w:val="ConsPlusNormal"/>
              <w:jc w:val="center"/>
            </w:pPr>
            <w:r>
              <w:t>536 786,75</w:t>
            </w:r>
          </w:p>
        </w:tc>
        <w:tc>
          <w:tcPr>
            <w:tcW w:w="1814" w:type="dxa"/>
            <w:vAlign w:val="center"/>
          </w:tcPr>
          <w:p w14:paraId="4065C410" w14:textId="77777777" w:rsidR="00454A29" w:rsidRDefault="00454A29">
            <w:pPr>
              <w:pStyle w:val="ConsPlusNormal"/>
              <w:jc w:val="center"/>
            </w:pPr>
            <w:r>
              <w:t>518 546,41</w:t>
            </w:r>
          </w:p>
        </w:tc>
        <w:tc>
          <w:tcPr>
            <w:tcW w:w="1701" w:type="dxa"/>
            <w:vAlign w:val="center"/>
          </w:tcPr>
          <w:p w14:paraId="1B1F82CA" w14:textId="77777777" w:rsidR="00454A29" w:rsidRDefault="00454A29">
            <w:pPr>
              <w:pStyle w:val="ConsPlusNormal"/>
              <w:jc w:val="center"/>
            </w:pPr>
            <w:r>
              <w:t>-</w:t>
            </w:r>
          </w:p>
        </w:tc>
        <w:tc>
          <w:tcPr>
            <w:tcW w:w="1701" w:type="dxa"/>
            <w:vAlign w:val="center"/>
          </w:tcPr>
          <w:p w14:paraId="22E94538" w14:textId="77777777" w:rsidR="00454A29" w:rsidRDefault="00454A29">
            <w:pPr>
              <w:pStyle w:val="ConsPlusNormal"/>
              <w:jc w:val="center"/>
            </w:pPr>
            <w:r>
              <w:t>18 240,34</w:t>
            </w:r>
          </w:p>
        </w:tc>
        <w:tc>
          <w:tcPr>
            <w:tcW w:w="1814" w:type="dxa"/>
            <w:vAlign w:val="center"/>
          </w:tcPr>
          <w:p w14:paraId="6A1133E8" w14:textId="77777777" w:rsidR="00454A29" w:rsidRDefault="00454A29">
            <w:pPr>
              <w:pStyle w:val="ConsPlusNormal"/>
              <w:jc w:val="center"/>
            </w:pPr>
            <w:r>
              <w:t>-</w:t>
            </w:r>
          </w:p>
        </w:tc>
      </w:tr>
      <w:tr w:rsidR="00454A29" w14:paraId="4B8D3679" w14:textId="77777777">
        <w:tc>
          <w:tcPr>
            <w:tcW w:w="567" w:type="dxa"/>
            <w:vMerge/>
          </w:tcPr>
          <w:p w14:paraId="17D3DB94" w14:textId="77777777" w:rsidR="00454A29" w:rsidRDefault="00454A29"/>
        </w:tc>
        <w:tc>
          <w:tcPr>
            <w:tcW w:w="3345" w:type="dxa"/>
            <w:vMerge/>
          </w:tcPr>
          <w:p w14:paraId="359B75B6" w14:textId="77777777" w:rsidR="00454A29" w:rsidRDefault="00454A29"/>
        </w:tc>
        <w:tc>
          <w:tcPr>
            <w:tcW w:w="1701" w:type="dxa"/>
            <w:vAlign w:val="center"/>
          </w:tcPr>
          <w:p w14:paraId="27FFA2C2" w14:textId="77777777" w:rsidR="00454A29" w:rsidRDefault="00454A29">
            <w:pPr>
              <w:pStyle w:val="ConsPlusNormal"/>
              <w:jc w:val="center"/>
            </w:pPr>
            <w:r>
              <w:t>2026</w:t>
            </w:r>
          </w:p>
        </w:tc>
        <w:tc>
          <w:tcPr>
            <w:tcW w:w="1417" w:type="dxa"/>
            <w:vMerge/>
          </w:tcPr>
          <w:p w14:paraId="1513A593" w14:textId="77777777" w:rsidR="00454A29" w:rsidRDefault="00454A29"/>
        </w:tc>
        <w:tc>
          <w:tcPr>
            <w:tcW w:w="2204" w:type="dxa"/>
            <w:vMerge/>
          </w:tcPr>
          <w:p w14:paraId="2DC3BB9D" w14:textId="77777777" w:rsidR="00454A29" w:rsidRDefault="00454A29"/>
        </w:tc>
        <w:tc>
          <w:tcPr>
            <w:tcW w:w="1417" w:type="dxa"/>
            <w:vMerge/>
          </w:tcPr>
          <w:p w14:paraId="49014D40" w14:textId="77777777" w:rsidR="00454A29" w:rsidRDefault="00454A29"/>
        </w:tc>
        <w:tc>
          <w:tcPr>
            <w:tcW w:w="2324" w:type="dxa"/>
            <w:vMerge/>
          </w:tcPr>
          <w:p w14:paraId="51FD7A93" w14:textId="77777777" w:rsidR="00454A29" w:rsidRDefault="00454A29"/>
        </w:tc>
        <w:tc>
          <w:tcPr>
            <w:tcW w:w="1701" w:type="dxa"/>
            <w:vAlign w:val="center"/>
          </w:tcPr>
          <w:p w14:paraId="04542994" w14:textId="77777777" w:rsidR="00454A29" w:rsidRDefault="00454A29">
            <w:pPr>
              <w:pStyle w:val="ConsPlusNormal"/>
              <w:jc w:val="center"/>
            </w:pPr>
            <w:r>
              <w:t>445 952,84</w:t>
            </w:r>
          </w:p>
        </w:tc>
        <w:tc>
          <w:tcPr>
            <w:tcW w:w="1814" w:type="dxa"/>
            <w:vAlign w:val="center"/>
          </w:tcPr>
          <w:p w14:paraId="2BCBD3E1" w14:textId="77777777" w:rsidR="00454A29" w:rsidRDefault="00454A29">
            <w:pPr>
              <w:pStyle w:val="ConsPlusNormal"/>
              <w:jc w:val="center"/>
            </w:pPr>
            <w:r>
              <w:t>445 952,84</w:t>
            </w:r>
          </w:p>
        </w:tc>
        <w:tc>
          <w:tcPr>
            <w:tcW w:w="1701" w:type="dxa"/>
            <w:vAlign w:val="center"/>
          </w:tcPr>
          <w:p w14:paraId="458C32A8" w14:textId="77777777" w:rsidR="00454A29" w:rsidRDefault="00454A29">
            <w:pPr>
              <w:pStyle w:val="ConsPlusNormal"/>
              <w:jc w:val="center"/>
            </w:pPr>
            <w:r>
              <w:t>-</w:t>
            </w:r>
          </w:p>
        </w:tc>
        <w:tc>
          <w:tcPr>
            <w:tcW w:w="1701" w:type="dxa"/>
            <w:vAlign w:val="center"/>
          </w:tcPr>
          <w:p w14:paraId="2E8041A8" w14:textId="77777777" w:rsidR="00454A29" w:rsidRDefault="00454A29">
            <w:pPr>
              <w:pStyle w:val="ConsPlusNormal"/>
              <w:jc w:val="center"/>
            </w:pPr>
            <w:r>
              <w:t>-</w:t>
            </w:r>
          </w:p>
        </w:tc>
        <w:tc>
          <w:tcPr>
            <w:tcW w:w="1814" w:type="dxa"/>
            <w:vAlign w:val="center"/>
          </w:tcPr>
          <w:p w14:paraId="09638FB8" w14:textId="77777777" w:rsidR="00454A29" w:rsidRDefault="00454A29">
            <w:pPr>
              <w:pStyle w:val="ConsPlusNormal"/>
              <w:jc w:val="center"/>
            </w:pPr>
            <w:r>
              <w:t>-</w:t>
            </w:r>
          </w:p>
        </w:tc>
      </w:tr>
      <w:tr w:rsidR="00454A29" w14:paraId="6AC26069" w14:textId="77777777">
        <w:tc>
          <w:tcPr>
            <w:tcW w:w="21706" w:type="dxa"/>
            <w:gridSpan w:val="12"/>
            <w:vAlign w:val="center"/>
          </w:tcPr>
          <w:p w14:paraId="036F9561" w14:textId="77777777" w:rsidR="00454A29" w:rsidRDefault="00454A29">
            <w:pPr>
              <w:pStyle w:val="ConsPlusNormal"/>
              <w:jc w:val="center"/>
            </w:pPr>
            <w:r>
              <w:t>Основное мероприятие 10.6.</w:t>
            </w:r>
          </w:p>
        </w:tc>
      </w:tr>
      <w:tr w:rsidR="00454A29" w14:paraId="079FFE28" w14:textId="77777777">
        <w:tc>
          <w:tcPr>
            <w:tcW w:w="567" w:type="dxa"/>
            <w:vMerge w:val="restart"/>
            <w:vAlign w:val="center"/>
          </w:tcPr>
          <w:p w14:paraId="3DF9827F" w14:textId="77777777" w:rsidR="00454A29" w:rsidRDefault="00454A29">
            <w:pPr>
              <w:pStyle w:val="ConsPlusNormal"/>
            </w:pPr>
          </w:p>
        </w:tc>
        <w:tc>
          <w:tcPr>
            <w:tcW w:w="3345" w:type="dxa"/>
            <w:vMerge w:val="restart"/>
            <w:vAlign w:val="center"/>
          </w:tcPr>
          <w:p w14:paraId="281020A0" w14:textId="77777777" w:rsidR="00454A29" w:rsidRDefault="00454A29">
            <w:pPr>
              <w:pStyle w:val="ConsPlusNormal"/>
              <w:jc w:val="center"/>
            </w:pPr>
            <w:r>
              <w:t xml:space="preserve">Энергосбережение и энергоэффективность </w:t>
            </w:r>
            <w:r>
              <w:lastRenderedPageBreak/>
              <w:t>государственных образовательных организаций</w:t>
            </w:r>
          </w:p>
        </w:tc>
        <w:tc>
          <w:tcPr>
            <w:tcW w:w="1701" w:type="dxa"/>
            <w:vAlign w:val="center"/>
          </w:tcPr>
          <w:p w14:paraId="0DC04F7A" w14:textId="77777777" w:rsidR="00454A29" w:rsidRDefault="00454A29">
            <w:pPr>
              <w:pStyle w:val="ConsPlusNormal"/>
              <w:jc w:val="center"/>
            </w:pPr>
            <w:r>
              <w:lastRenderedPageBreak/>
              <w:t>Всего:</w:t>
            </w:r>
          </w:p>
        </w:tc>
        <w:tc>
          <w:tcPr>
            <w:tcW w:w="1417" w:type="dxa"/>
            <w:vMerge w:val="restart"/>
            <w:vAlign w:val="center"/>
          </w:tcPr>
          <w:p w14:paraId="25B5BB63" w14:textId="77777777" w:rsidR="00454A29" w:rsidRDefault="00454A29">
            <w:pPr>
              <w:pStyle w:val="ConsPlusNormal"/>
              <w:jc w:val="center"/>
            </w:pPr>
            <w:r>
              <w:t>х</w:t>
            </w:r>
          </w:p>
        </w:tc>
        <w:tc>
          <w:tcPr>
            <w:tcW w:w="2204" w:type="dxa"/>
            <w:vMerge w:val="restart"/>
            <w:vAlign w:val="center"/>
          </w:tcPr>
          <w:p w14:paraId="47E2840E" w14:textId="77777777" w:rsidR="00454A29" w:rsidRDefault="00454A29">
            <w:pPr>
              <w:pStyle w:val="ConsPlusNormal"/>
              <w:jc w:val="center"/>
            </w:pPr>
            <w:r>
              <w:t>х</w:t>
            </w:r>
          </w:p>
        </w:tc>
        <w:tc>
          <w:tcPr>
            <w:tcW w:w="1417" w:type="dxa"/>
            <w:vMerge w:val="restart"/>
            <w:vAlign w:val="center"/>
          </w:tcPr>
          <w:p w14:paraId="57F0E4AD" w14:textId="77777777" w:rsidR="00454A29" w:rsidRDefault="00454A29">
            <w:pPr>
              <w:pStyle w:val="ConsPlusNormal"/>
              <w:jc w:val="center"/>
            </w:pPr>
            <w:r>
              <w:t>0</w:t>
            </w:r>
          </w:p>
        </w:tc>
        <w:tc>
          <w:tcPr>
            <w:tcW w:w="2324" w:type="dxa"/>
            <w:vMerge w:val="restart"/>
            <w:vAlign w:val="center"/>
          </w:tcPr>
          <w:p w14:paraId="4F81A7A6" w14:textId="77777777" w:rsidR="00454A29" w:rsidRDefault="00454A29">
            <w:pPr>
              <w:pStyle w:val="ConsPlusNormal"/>
              <w:jc w:val="center"/>
            </w:pPr>
            <w:r>
              <w:t>х</w:t>
            </w:r>
          </w:p>
        </w:tc>
        <w:tc>
          <w:tcPr>
            <w:tcW w:w="1701" w:type="dxa"/>
            <w:vAlign w:val="center"/>
          </w:tcPr>
          <w:p w14:paraId="3C096D3D" w14:textId="77777777" w:rsidR="00454A29" w:rsidRDefault="00454A29">
            <w:pPr>
              <w:pStyle w:val="ConsPlusNormal"/>
              <w:jc w:val="center"/>
            </w:pPr>
            <w:r>
              <w:t>29 479,10</w:t>
            </w:r>
          </w:p>
        </w:tc>
        <w:tc>
          <w:tcPr>
            <w:tcW w:w="1814" w:type="dxa"/>
            <w:vAlign w:val="center"/>
          </w:tcPr>
          <w:p w14:paraId="50B08025" w14:textId="77777777" w:rsidR="00454A29" w:rsidRDefault="00454A29">
            <w:pPr>
              <w:pStyle w:val="ConsPlusNormal"/>
              <w:jc w:val="center"/>
            </w:pPr>
            <w:r>
              <w:t>29 479,10</w:t>
            </w:r>
          </w:p>
        </w:tc>
        <w:tc>
          <w:tcPr>
            <w:tcW w:w="1701" w:type="dxa"/>
            <w:vAlign w:val="center"/>
          </w:tcPr>
          <w:p w14:paraId="1E30F41E" w14:textId="77777777" w:rsidR="00454A29" w:rsidRDefault="00454A29">
            <w:pPr>
              <w:pStyle w:val="ConsPlusNormal"/>
              <w:jc w:val="center"/>
            </w:pPr>
            <w:r>
              <w:t>-</w:t>
            </w:r>
          </w:p>
        </w:tc>
        <w:tc>
          <w:tcPr>
            <w:tcW w:w="1701" w:type="dxa"/>
            <w:vAlign w:val="center"/>
          </w:tcPr>
          <w:p w14:paraId="5711F338" w14:textId="77777777" w:rsidR="00454A29" w:rsidRDefault="00454A29">
            <w:pPr>
              <w:pStyle w:val="ConsPlusNormal"/>
              <w:jc w:val="center"/>
            </w:pPr>
            <w:r>
              <w:t>-</w:t>
            </w:r>
          </w:p>
        </w:tc>
        <w:tc>
          <w:tcPr>
            <w:tcW w:w="1814" w:type="dxa"/>
            <w:vAlign w:val="center"/>
          </w:tcPr>
          <w:p w14:paraId="66ACA0C1" w14:textId="77777777" w:rsidR="00454A29" w:rsidRDefault="00454A29">
            <w:pPr>
              <w:pStyle w:val="ConsPlusNormal"/>
              <w:jc w:val="center"/>
            </w:pPr>
            <w:r>
              <w:t>-</w:t>
            </w:r>
          </w:p>
        </w:tc>
      </w:tr>
      <w:tr w:rsidR="00454A29" w14:paraId="763EF29C" w14:textId="77777777">
        <w:tc>
          <w:tcPr>
            <w:tcW w:w="567" w:type="dxa"/>
            <w:vMerge/>
          </w:tcPr>
          <w:p w14:paraId="1FE6098B" w14:textId="77777777" w:rsidR="00454A29" w:rsidRDefault="00454A29"/>
        </w:tc>
        <w:tc>
          <w:tcPr>
            <w:tcW w:w="3345" w:type="dxa"/>
            <w:vMerge/>
          </w:tcPr>
          <w:p w14:paraId="5708D823" w14:textId="77777777" w:rsidR="00454A29" w:rsidRDefault="00454A29"/>
        </w:tc>
        <w:tc>
          <w:tcPr>
            <w:tcW w:w="1701" w:type="dxa"/>
            <w:vAlign w:val="center"/>
          </w:tcPr>
          <w:p w14:paraId="09588ADD" w14:textId="77777777" w:rsidR="00454A29" w:rsidRDefault="00454A29">
            <w:pPr>
              <w:pStyle w:val="ConsPlusNormal"/>
              <w:jc w:val="center"/>
            </w:pPr>
            <w:r>
              <w:t>2020</w:t>
            </w:r>
          </w:p>
        </w:tc>
        <w:tc>
          <w:tcPr>
            <w:tcW w:w="1417" w:type="dxa"/>
            <w:vMerge/>
          </w:tcPr>
          <w:p w14:paraId="24D3F317" w14:textId="77777777" w:rsidR="00454A29" w:rsidRDefault="00454A29"/>
        </w:tc>
        <w:tc>
          <w:tcPr>
            <w:tcW w:w="2204" w:type="dxa"/>
            <w:vMerge/>
          </w:tcPr>
          <w:p w14:paraId="722172AC" w14:textId="77777777" w:rsidR="00454A29" w:rsidRDefault="00454A29"/>
        </w:tc>
        <w:tc>
          <w:tcPr>
            <w:tcW w:w="1417" w:type="dxa"/>
            <w:vMerge/>
          </w:tcPr>
          <w:p w14:paraId="08392EF8" w14:textId="77777777" w:rsidR="00454A29" w:rsidRDefault="00454A29"/>
        </w:tc>
        <w:tc>
          <w:tcPr>
            <w:tcW w:w="2324" w:type="dxa"/>
            <w:vMerge/>
          </w:tcPr>
          <w:p w14:paraId="14CB8496" w14:textId="77777777" w:rsidR="00454A29" w:rsidRDefault="00454A29"/>
        </w:tc>
        <w:tc>
          <w:tcPr>
            <w:tcW w:w="1701" w:type="dxa"/>
            <w:vAlign w:val="center"/>
          </w:tcPr>
          <w:p w14:paraId="5EAA3393" w14:textId="77777777" w:rsidR="00454A29" w:rsidRDefault="00454A29">
            <w:pPr>
              <w:pStyle w:val="ConsPlusNormal"/>
              <w:jc w:val="center"/>
            </w:pPr>
            <w:r>
              <w:t>-</w:t>
            </w:r>
          </w:p>
        </w:tc>
        <w:tc>
          <w:tcPr>
            <w:tcW w:w="1814" w:type="dxa"/>
            <w:vAlign w:val="center"/>
          </w:tcPr>
          <w:p w14:paraId="42897A60" w14:textId="77777777" w:rsidR="00454A29" w:rsidRDefault="00454A29">
            <w:pPr>
              <w:pStyle w:val="ConsPlusNormal"/>
              <w:jc w:val="center"/>
            </w:pPr>
            <w:r>
              <w:t>-</w:t>
            </w:r>
          </w:p>
        </w:tc>
        <w:tc>
          <w:tcPr>
            <w:tcW w:w="1701" w:type="dxa"/>
            <w:vAlign w:val="center"/>
          </w:tcPr>
          <w:p w14:paraId="2F2884E6" w14:textId="77777777" w:rsidR="00454A29" w:rsidRDefault="00454A29">
            <w:pPr>
              <w:pStyle w:val="ConsPlusNormal"/>
            </w:pPr>
          </w:p>
        </w:tc>
        <w:tc>
          <w:tcPr>
            <w:tcW w:w="1701" w:type="dxa"/>
            <w:vAlign w:val="center"/>
          </w:tcPr>
          <w:p w14:paraId="407F4518" w14:textId="77777777" w:rsidR="00454A29" w:rsidRDefault="00454A29">
            <w:pPr>
              <w:pStyle w:val="ConsPlusNormal"/>
            </w:pPr>
          </w:p>
        </w:tc>
        <w:tc>
          <w:tcPr>
            <w:tcW w:w="1814" w:type="dxa"/>
            <w:vAlign w:val="center"/>
          </w:tcPr>
          <w:p w14:paraId="6D8A85E1" w14:textId="77777777" w:rsidR="00454A29" w:rsidRDefault="00454A29">
            <w:pPr>
              <w:pStyle w:val="ConsPlusNormal"/>
            </w:pPr>
          </w:p>
        </w:tc>
      </w:tr>
      <w:tr w:rsidR="00454A29" w14:paraId="1236F8CC" w14:textId="77777777">
        <w:tc>
          <w:tcPr>
            <w:tcW w:w="567" w:type="dxa"/>
            <w:vMerge/>
          </w:tcPr>
          <w:p w14:paraId="67EE3DD6" w14:textId="77777777" w:rsidR="00454A29" w:rsidRDefault="00454A29"/>
        </w:tc>
        <w:tc>
          <w:tcPr>
            <w:tcW w:w="3345" w:type="dxa"/>
            <w:vMerge/>
          </w:tcPr>
          <w:p w14:paraId="39C71BA0" w14:textId="77777777" w:rsidR="00454A29" w:rsidRDefault="00454A29"/>
        </w:tc>
        <w:tc>
          <w:tcPr>
            <w:tcW w:w="1701" w:type="dxa"/>
            <w:vAlign w:val="center"/>
          </w:tcPr>
          <w:p w14:paraId="267B9DA5" w14:textId="77777777" w:rsidR="00454A29" w:rsidRDefault="00454A29">
            <w:pPr>
              <w:pStyle w:val="ConsPlusNormal"/>
              <w:jc w:val="center"/>
            </w:pPr>
            <w:r>
              <w:t>2021</w:t>
            </w:r>
          </w:p>
        </w:tc>
        <w:tc>
          <w:tcPr>
            <w:tcW w:w="1417" w:type="dxa"/>
            <w:vMerge/>
          </w:tcPr>
          <w:p w14:paraId="6F5B9895" w14:textId="77777777" w:rsidR="00454A29" w:rsidRDefault="00454A29"/>
        </w:tc>
        <w:tc>
          <w:tcPr>
            <w:tcW w:w="2204" w:type="dxa"/>
            <w:vMerge/>
          </w:tcPr>
          <w:p w14:paraId="27F97D92" w14:textId="77777777" w:rsidR="00454A29" w:rsidRDefault="00454A29"/>
        </w:tc>
        <w:tc>
          <w:tcPr>
            <w:tcW w:w="1417" w:type="dxa"/>
            <w:vMerge/>
          </w:tcPr>
          <w:p w14:paraId="2953242E" w14:textId="77777777" w:rsidR="00454A29" w:rsidRDefault="00454A29"/>
        </w:tc>
        <w:tc>
          <w:tcPr>
            <w:tcW w:w="2324" w:type="dxa"/>
            <w:vMerge/>
          </w:tcPr>
          <w:p w14:paraId="759FBFE4" w14:textId="77777777" w:rsidR="00454A29" w:rsidRDefault="00454A29"/>
        </w:tc>
        <w:tc>
          <w:tcPr>
            <w:tcW w:w="1701" w:type="dxa"/>
            <w:vAlign w:val="center"/>
          </w:tcPr>
          <w:p w14:paraId="0C917D1A" w14:textId="77777777" w:rsidR="00454A29" w:rsidRDefault="00454A29">
            <w:pPr>
              <w:pStyle w:val="ConsPlusNormal"/>
              <w:jc w:val="center"/>
            </w:pPr>
            <w:r>
              <w:t>-</w:t>
            </w:r>
          </w:p>
        </w:tc>
        <w:tc>
          <w:tcPr>
            <w:tcW w:w="1814" w:type="dxa"/>
            <w:vAlign w:val="center"/>
          </w:tcPr>
          <w:p w14:paraId="4478F7E1" w14:textId="77777777" w:rsidR="00454A29" w:rsidRDefault="00454A29">
            <w:pPr>
              <w:pStyle w:val="ConsPlusNormal"/>
              <w:jc w:val="center"/>
            </w:pPr>
            <w:r>
              <w:t>-</w:t>
            </w:r>
          </w:p>
        </w:tc>
        <w:tc>
          <w:tcPr>
            <w:tcW w:w="1701" w:type="dxa"/>
            <w:vAlign w:val="center"/>
          </w:tcPr>
          <w:p w14:paraId="6FCA5DBC" w14:textId="77777777" w:rsidR="00454A29" w:rsidRDefault="00454A29">
            <w:pPr>
              <w:pStyle w:val="ConsPlusNormal"/>
            </w:pPr>
          </w:p>
        </w:tc>
        <w:tc>
          <w:tcPr>
            <w:tcW w:w="1701" w:type="dxa"/>
            <w:vAlign w:val="center"/>
          </w:tcPr>
          <w:p w14:paraId="417ADDD2" w14:textId="77777777" w:rsidR="00454A29" w:rsidRDefault="00454A29">
            <w:pPr>
              <w:pStyle w:val="ConsPlusNormal"/>
            </w:pPr>
          </w:p>
        </w:tc>
        <w:tc>
          <w:tcPr>
            <w:tcW w:w="1814" w:type="dxa"/>
            <w:vAlign w:val="center"/>
          </w:tcPr>
          <w:p w14:paraId="219CAA1E" w14:textId="77777777" w:rsidR="00454A29" w:rsidRDefault="00454A29">
            <w:pPr>
              <w:pStyle w:val="ConsPlusNormal"/>
            </w:pPr>
          </w:p>
        </w:tc>
      </w:tr>
      <w:tr w:rsidR="00454A29" w14:paraId="0293A9AE" w14:textId="77777777">
        <w:tc>
          <w:tcPr>
            <w:tcW w:w="567" w:type="dxa"/>
            <w:vMerge/>
          </w:tcPr>
          <w:p w14:paraId="61F370EA" w14:textId="77777777" w:rsidR="00454A29" w:rsidRDefault="00454A29"/>
        </w:tc>
        <w:tc>
          <w:tcPr>
            <w:tcW w:w="3345" w:type="dxa"/>
            <w:vMerge/>
          </w:tcPr>
          <w:p w14:paraId="533FB3CC" w14:textId="77777777" w:rsidR="00454A29" w:rsidRDefault="00454A29"/>
        </w:tc>
        <w:tc>
          <w:tcPr>
            <w:tcW w:w="1701" w:type="dxa"/>
            <w:vAlign w:val="center"/>
          </w:tcPr>
          <w:p w14:paraId="4DE17D70" w14:textId="77777777" w:rsidR="00454A29" w:rsidRDefault="00454A29">
            <w:pPr>
              <w:pStyle w:val="ConsPlusNormal"/>
              <w:jc w:val="center"/>
            </w:pPr>
            <w:r>
              <w:t>2022</w:t>
            </w:r>
          </w:p>
        </w:tc>
        <w:tc>
          <w:tcPr>
            <w:tcW w:w="1417" w:type="dxa"/>
            <w:vMerge/>
          </w:tcPr>
          <w:p w14:paraId="5E9613D8" w14:textId="77777777" w:rsidR="00454A29" w:rsidRDefault="00454A29"/>
        </w:tc>
        <w:tc>
          <w:tcPr>
            <w:tcW w:w="2204" w:type="dxa"/>
            <w:vMerge/>
          </w:tcPr>
          <w:p w14:paraId="3E841D5C" w14:textId="77777777" w:rsidR="00454A29" w:rsidRDefault="00454A29"/>
        </w:tc>
        <w:tc>
          <w:tcPr>
            <w:tcW w:w="1417" w:type="dxa"/>
            <w:vMerge/>
          </w:tcPr>
          <w:p w14:paraId="6D672EBB" w14:textId="77777777" w:rsidR="00454A29" w:rsidRDefault="00454A29"/>
        </w:tc>
        <w:tc>
          <w:tcPr>
            <w:tcW w:w="2324" w:type="dxa"/>
            <w:vMerge/>
          </w:tcPr>
          <w:p w14:paraId="2A78B3BF" w14:textId="77777777" w:rsidR="00454A29" w:rsidRDefault="00454A29"/>
        </w:tc>
        <w:tc>
          <w:tcPr>
            <w:tcW w:w="1701" w:type="dxa"/>
            <w:vAlign w:val="center"/>
          </w:tcPr>
          <w:p w14:paraId="73946AF1" w14:textId="77777777" w:rsidR="00454A29" w:rsidRDefault="00454A29">
            <w:pPr>
              <w:pStyle w:val="ConsPlusNormal"/>
              <w:jc w:val="center"/>
            </w:pPr>
            <w:r>
              <w:t>0,00</w:t>
            </w:r>
          </w:p>
        </w:tc>
        <w:tc>
          <w:tcPr>
            <w:tcW w:w="1814" w:type="dxa"/>
            <w:vAlign w:val="center"/>
          </w:tcPr>
          <w:p w14:paraId="1FD7A779" w14:textId="77777777" w:rsidR="00454A29" w:rsidRDefault="00454A29">
            <w:pPr>
              <w:pStyle w:val="ConsPlusNormal"/>
            </w:pPr>
          </w:p>
        </w:tc>
        <w:tc>
          <w:tcPr>
            <w:tcW w:w="1701" w:type="dxa"/>
            <w:vAlign w:val="center"/>
          </w:tcPr>
          <w:p w14:paraId="2F40939E" w14:textId="77777777" w:rsidR="00454A29" w:rsidRDefault="00454A29">
            <w:pPr>
              <w:pStyle w:val="ConsPlusNormal"/>
            </w:pPr>
          </w:p>
        </w:tc>
        <w:tc>
          <w:tcPr>
            <w:tcW w:w="1701" w:type="dxa"/>
            <w:vAlign w:val="center"/>
          </w:tcPr>
          <w:p w14:paraId="5B6BD2E3" w14:textId="77777777" w:rsidR="00454A29" w:rsidRDefault="00454A29">
            <w:pPr>
              <w:pStyle w:val="ConsPlusNormal"/>
            </w:pPr>
          </w:p>
        </w:tc>
        <w:tc>
          <w:tcPr>
            <w:tcW w:w="1814" w:type="dxa"/>
            <w:vAlign w:val="center"/>
          </w:tcPr>
          <w:p w14:paraId="52863B09" w14:textId="77777777" w:rsidR="00454A29" w:rsidRDefault="00454A29">
            <w:pPr>
              <w:pStyle w:val="ConsPlusNormal"/>
            </w:pPr>
          </w:p>
        </w:tc>
      </w:tr>
      <w:tr w:rsidR="00454A29" w14:paraId="7FD7931A" w14:textId="77777777">
        <w:tc>
          <w:tcPr>
            <w:tcW w:w="567" w:type="dxa"/>
            <w:vMerge/>
          </w:tcPr>
          <w:p w14:paraId="75E130C7" w14:textId="77777777" w:rsidR="00454A29" w:rsidRDefault="00454A29"/>
        </w:tc>
        <w:tc>
          <w:tcPr>
            <w:tcW w:w="3345" w:type="dxa"/>
            <w:vMerge/>
          </w:tcPr>
          <w:p w14:paraId="5B1947D1" w14:textId="77777777" w:rsidR="00454A29" w:rsidRDefault="00454A29"/>
        </w:tc>
        <w:tc>
          <w:tcPr>
            <w:tcW w:w="1701" w:type="dxa"/>
            <w:vAlign w:val="center"/>
          </w:tcPr>
          <w:p w14:paraId="73E501B4" w14:textId="77777777" w:rsidR="00454A29" w:rsidRDefault="00454A29">
            <w:pPr>
              <w:pStyle w:val="ConsPlusNormal"/>
              <w:jc w:val="center"/>
            </w:pPr>
            <w:r>
              <w:t>2023</w:t>
            </w:r>
          </w:p>
        </w:tc>
        <w:tc>
          <w:tcPr>
            <w:tcW w:w="1417" w:type="dxa"/>
            <w:vMerge/>
          </w:tcPr>
          <w:p w14:paraId="337F3BFF" w14:textId="77777777" w:rsidR="00454A29" w:rsidRDefault="00454A29"/>
        </w:tc>
        <w:tc>
          <w:tcPr>
            <w:tcW w:w="2204" w:type="dxa"/>
            <w:vMerge/>
          </w:tcPr>
          <w:p w14:paraId="332D64CD" w14:textId="77777777" w:rsidR="00454A29" w:rsidRDefault="00454A29"/>
        </w:tc>
        <w:tc>
          <w:tcPr>
            <w:tcW w:w="1417" w:type="dxa"/>
            <w:vMerge/>
          </w:tcPr>
          <w:p w14:paraId="6F80EB08" w14:textId="77777777" w:rsidR="00454A29" w:rsidRDefault="00454A29"/>
        </w:tc>
        <w:tc>
          <w:tcPr>
            <w:tcW w:w="2324" w:type="dxa"/>
            <w:vMerge/>
          </w:tcPr>
          <w:p w14:paraId="3FC57496" w14:textId="77777777" w:rsidR="00454A29" w:rsidRDefault="00454A29"/>
        </w:tc>
        <w:tc>
          <w:tcPr>
            <w:tcW w:w="1701" w:type="dxa"/>
            <w:vAlign w:val="center"/>
          </w:tcPr>
          <w:p w14:paraId="151680E0" w14:textId="77777777" w:rsidR="00454A29" w:rsidRDefault="00454A29">
            <w:pPr>
              <w:pStyle w:val="ConsPlusNormal"/>
              <w:jc w:val="center"/>
            </w:pPr>
            <w:r>
              <w:t>3 992,80</w:t>
            </w:r>
          </w:p>
        </w:tc>
        <w:tc>
          <w:tcPr>
            <w:tcW w:w="1814" w:type="dxa"/>
            <w:vAlign w:val="center"/>
          </w:tcPr>
          <w:p w14:paraId="1B5AD7CF" w14:textId="77777777" w:rsidR="00454A29" w:rsidRDefault="00454A29">
            <w:pPr>
              <w:pStyle w:val="ConsPlusNormal"/>
              <w:jc w:val="center"/>
            </w:pPr>
            <w:r>
              <w:t>3 992,80</w:t>
            </w:r>
          </w:p>
        </w:tc>
        <w:tc>
          <w:tcPr>
            <w:tcW w:w="1701" w:type="dxa"/>
            <w:vAlign w:val="center"/>
          </w:tcPr>
          <w:p w14:paraId="0715F027" w14:textId="77777777" w:rsidR="00454A29" w:rsidRDefault="00454A29">
            <w:pPr>
              <w:pStyle w:val="ConsPlusNormal"/>
            </w:pPr>
          </w:p>
        </w:tc>
        <w:tc>
          <w:tcPr>
            <w:tcW w:w="1701" w:type="dxa"/>
            <w:vAlign w:val="center"/>
          </w:tcPr>
          <w:p w14:paraId="6FAAB460" w14:textId="77777777" w:rsidR="00454A29" w:rsidRDefault="00454A29">
            <w:pPr>
              <w:pStyle w:val="ConsPlusNormal"/>
            </w:pPr>
          </w:p>
        </w:tc>
        <w:tc>
          <w:tcPr>
            <w:tcW w:w="1814" w:type="dxa"/>
            <w:vAlign w:val="center"/>
          </w:tcPr>
          <w:p w14:paraId="02D6A729" w14:textId="77777777" w:rsidR="00454A29" w:rsidRDefault="00454A29">
            <w:pPr>
              <w:pStyle w:val="ConsPlusNormal"/>
            </w:pPr>
          </w:p>
        </w:tc>
      </w:tr>
      <w:tr w:rsidR="00454A29" w14:paraId="4E45DC1C" w14:textId="77777777">
        <w:tc>
          <w:tcPr>
            <w:tcW w:w="567" w:type="dxa"/>
            <w:vMerge/>
          </w:tcPr>
          <w:p w14:paraId="0C334A08" w14:textId="77777777" w:rsidR="00454A29" w:rsidRDefault="00454A29"/>
        </w:tc>
        <w:tc>
          <w:tcPr>
            <w:tcW w:w="3345" w:type="dxa"/>
            <w:vMerge/>
          </w:tcPr>
          <w:p w14:paraId="26ABC995" w14:textId="77777777" w:rsidR="00454A29" w:rsidRDefault="00454A29"/>
        </w:tc>
        <w:tc>
          <w:tcPr>
            <w:tcW w:w="1701" w:type="dxa"/>
            <w:vAlign w:val="center"/>
          </w:tcPr>
          <w:p w14:paraId="27612735" w14:textId="77777777" w:rsidR="00454A29" w:rsidRDefault="00454A29">
            <w:pPr>
              <w:pStyle w:val="ConsPlusNormal"/>
              <w:jc w:val="center"/>
            </w:pPr>
            <w:r>
              <w:t>2024</w:t>
            </w:r>
          </w:p>
        </w:tc>
        <w:tc>
          <w:tcPr>
            <w:tcW w:w="1417" w:type="dxa"/>
            <w:vMerge/>
          </w:tcPr>
          <w:p w14:paraId="5529DA12" w14:textId="77777777" w:rsidR="00454A29" w:rsidRDefault="00454A29"/>
        </w:tc>
        <w:tc>
          <w:tcPr>
            <w:tcW w:w="2204" w:type="dxa"/>
            <w:vMerge/>
          </w:tcPr>
          <w:p w14:paraId="419FB8C2" w14:textId="77777777" w:rsidR="00454A29" w:rsidRDefault="00454A29"/>
        </w:tc>
        <w:tc>
          <w:tcPr>
            <w:tcW w:w="1417" w:type="dxa"/>
            <w:vMerge/>
          </w:tcPr>
          <w:p w14:paraId="277FCA9D" w14:textId="77777777" w:rsidR="00454A29" w:rsidRDefault="00454A29"/>
        </w:tc>
        <w:tc>
          <w:tcPr>
            <w:tcW w:w="2324" w:type="dxa"/>
            <w:vMerge/>
          </w:tcPr>
          <w:p w14:paraId="6C8C9E3B" w14:textId="77777777" w:rsidR="00454A29" w:rsidRDefault="00454A29"/>
        </w:tc>
        <w:tc>
          <w:tcPr>
            <w:tcW w:w="1701" w:type="dxa"/>
            <w:vAlign w:val="center"/>
          </w:tcPr>
          <w:p w14:paraId="699F3C49" w14:textId="77777777" w:rsidR="00454A29" w:rsidRDefault="00454A29">
            <w:pPr>
              <w:pStyle w:val="ConsPlusNormal"/>
              <w:jc w:val="center"/>
            </w:pPr>
            <w:r>
              <w:t>5 385,45</w:t>
            </w:r>
          </w:p>
        </w:tc>
        <w:tc>
          <w:tcPr>
            <w:tcW w:w="1814" w:type="dxa"/>
            <w:vAlign w:val="center"/>
          </w:tcPr>
          <w:p w14:paraId="1CD8AA4B" w14:textId="77777777" w:rsidR="00454A29" w:rsidRDefault="00454A29">
            <w:pPr>
              <w:pStyle w:val="ConsPlusNormal"/>
              <w:jc w:val="center"/>
            </w:pPr>
            <w:r>
              <w:t>5 385,45</w:t>
            </w:r>
          </w:p>
        </w:tc>
        <w:tc>
          <w:tcPr>
            <w:tcW w:w="1701" w:type="dxa"/>
            <w:vAlign w:val="center"/>
          </w:tcPr>
          <w:p w14:paraId="3F09B6B2" w14:textId="77777777" w:rsidR="00454A29" w:rsidRDefault="00454A29">
            <w:pPr>
              <w:pStyle w:val="ConsPlusNormal"/>
            </w:pPr>
          </w:p>
        </w:tc>
        <w:tc>
          <w:tcPr>
            <w:tcW w:w="1701" w:type="dxa"/>
            <w:vAlign w:val="center"/>
          </w:tcPr>
          <w:p w14:paraId="72B28E06" w14:textId="77777777" w:rsidR="00454A29" w:rsidRDefault="00454A29">
            <w:pPr>
              <w:pStyle w:val="ConsPlusNormal"/>
            </w:pPr>
          </w:p>
        </w:tc>
        <w:tc>
          <w:tcPr>
            <w:tcW w:w="1814" w:type="dxa"/>
            <w:vAlign w:val="center"/>
          </w:tcPr>
          <w:p w14:paraId="46FF6155" w14:textId="77777777" w:rsidR="00454A29" w:rsidRDefault="00454A29">
            <w:pPr>
              <w:pStyle w:val="ConsPlusNormal"/>
            </w:pPr>
          </w:p>
        </w:tc>
      </w:tr>
      <w:tr w:rsidR="00454A29" w14:paraId="73EBB16C" w14:textId="77777777">
        <w:tc>
          <w:tcPr>
            <w:tcW w:w="567" w:type="dxa"/>
            <w:vMerge/>
          </w:tcPr>
          <w:p w14:paraId="6919FD07" w14:textId="77777777" w:rsidR="00454A29" w:rsidRDefault="00454A29"/>
        </w:tc>
        <w:tc>
          <w:tcPr>
            <w:tcW w:w="3345" w:type="dxa"/>
            <w:vMerge/>
          </w:tcPr>
          <w:p w14:paraId="250CF419" w14:textId="77777777" w:rsidR="00454A29" w:rsidRDefault="00454A29"/>
        </w:tc>
        <w:tc>
          <w:tcPr>
            <w:tcW w:w="1701" w:type="dxa"/>
            <w:vAlign w:val="center"/>
          </w:tcPr>
          <w:p w14:paraId="7CFD34E6" w14:textId="77777777" w:rsidR="00454A29" w:rsidRDefault="00454A29">
            <w:pPr>
              <w:pStyle w:val="ConsPlusNormal"/>
              <w:jc w:val="center"/>
            </w:pPr>
            <w:r>
              <w:t>2025</w:t>
            </w:r>
          </w:p>
        </w:tc>
        <w:tc>
          <w:tcPr>
            <w:tcW w:w="1417" w:type="dxa"/>
            <w:vMerge/>
          </w:tcPr>
          <w:p w14:paraId="18E3693F" w14:textId="77777777" w:rsidR="00454A29" w:rsidRDefault="00454A29"/>
        </w:tc>
        <w:tc>
          <w:tcPr>
            <w:tcW w:w="2204" w:type="dxa"/>
            <w:vMerge/>
          </w:tcPr>
          <w:p w14:paraId="67495BF1" w14:textId="77777777" w:rsidR="00454A29" w:rsidRDefault="00454A29"/>
        </w:tc>
        <w:tc>
          <w:tcPr>
            <w:tcW w:w="1417" w:type="dxa"/>
            <w:vMerge/>
          </w:tcPr>
          <w:p w14:paraId="04592663" w14:textId="77777777" w:rsidR="00454A29" w:rsidRDefault="00454A29"/>
        </w:tc>
        <w:tc>
          <w:tcPr>
            <w:tcW w:w="2324" w:type="dxa"/>
            <w:vMerge/>
          </w:tcPr>
          <w:p w14:paraId="6B2264C7" w14:textId="77777777" w:rsidR="00454A29" w:rsidRDefault="00454A29"/>
        </w:tc>
        <w:tc>
          <w:tcPr>
            <w:tcW w:w="1701" w:type="dxa"/>
            <w:vAlign w:val="center"/>
          </w:tcPr>
          <w:p w14:paraId="218104B4" w14:textId="77777777" w:rsidR="00454A29" w:rsidRDefault="00454A29">
            <w:pPr>
              <w:pStyle w:val="ConsPlusNormal"/>
              <w:jc w:val="center"/>
            </w:pPr>
            <w:r>
              <w:t>10 183,25</w:t>
            </w:r>
          </w:p>
        </w:tc>
        <w:tc>
          <w:tcPr>
            <w:tcW w:w="1814" w:type="dxa"/>
            <w:vAlign w:val="center"/>
          </w:tcPr>
          <w:p w14:paraId="6D9E4222" w14:textId="77777777" w:rsidR="00454A29" w:rsidRDefault="00454A29">
            <w:pPr>
              <w:pStyle w:val="ConsPlusNormal"/>
              <w:jc w:val="center"/>
            </w:pPr>
            <w:r>
              <w:t>10 183,25</w:t>
            </w:r>
          </w:p>
        </w:tc>
        <w:tc>
          <w:tcPr>
            <w:tcW w:w="1701" w:type="dxa"/>
            <w:vAlign w:val="center"/>
          </w:tcPr>
          <w:p w14:paraId="6B5BFCE6" w14:textId="77777777" w:rsidR="00454A29" w:rsidRDefault="00454A29">
            <w:pPr>
              <w:pStyle w:val="ConsPlusNormal"/>
            </w:pPr>
          </w:p>
        </w:tc>
        <w:tc>
          <w:tcPr>
            <w:tcW w:w="1701" w:type="dxa"/>
            <w:vAlign w:val="center"/>
          </w:tcPr>
          <w:p w14:paraId="4301E8C8" w14:textId="77777777" w:rsidR="00454A29" w:rsidRDefault="00454A29">
            <w:pPr>
              <w:pStyle w:val="ConsPlusNormal"/>
            </w:pPr>
          </w:p>
        </w:tc>
        <w:tc>
          <w:tcPr>
            <w:tcW w:w="1814" w:type="dxa"/>
            <w:vAlign w:val="center"/>
          </w:tcPr>
          <w:p w14:paraId="3B4C29C8" w14:textId="77777777" w:rsidR="00454A29" w:rsidRDefault="00454A29">
            <w:pPr>
              <w:pStyle w:val="ConsPlusNormal"/>
            </w:pPr>
          </w:p>
        </w:tc>
      </w:tr>
      <w:tr w:rsidR="00454A29" w14:paraId="1240EF6A" w14:textId="77777777">
        <w:tc>
          <w:tcPr>
            <w:tcW w:w="567" w:type="dxa"/>
            <w:vMerge/>
          </w:tcPr>
          <w:p w14:paraId="34027F49" w14:textId="77777777" w:rsidR="00454A29" w:rsidRDefault="00454A29"/>
        </w:tc>
        <w:tc>
          <w:tcPr>
            <w:tcW w:w="3345" w:type="dxa"/>
            <w:vMerge/>
          </w:tcPr>
          <w:p w14:paraId="5ED9E185" w14:textId="77777777" w:rsidR="00454A29" w:rsidRDefault="00454A29"/>
        </w:tc>
        <w:tc>
          <w:tcPr>
            <w:tcW w:w="1701" w:type="dxa"/>
            <w:vAlign w:val="center"/>
          </w:tcPr>
          <w:p w14:paraId="67AD8886" w14:textId="77777777" w:rsidR="00454A29" w:rsidRDefault="00454A29">
            <w:pPr>
              <w:pStyle w:val="ConsPlusNormal"/>
              <w:jc w:val="center"/>
            </w:pPr>
            <w:r>
              <w:t>2026</w:t>
            </w:r>
          </w:p>
        </w:tc>
        <w:tc>
          <w:tcPr>
            <w:tcW w:w="1417" w:type="dxa"/>
            <w:vMerge/>
          </w:tcPr>
          <w:p w14:paraId="075B7B63" w14:textId="77777777" w:rsidR="00454A29" w:rsidRDefault="00454A29"/>
        </w:tc>
        <w:tc>
          <w:tcPr>
            <w:tcW w:w="2204" w:type="dxa"/>
            <w:vMerge/>
          </w:tcPr>
          <w:p w14:paraId="5B993E5C" w14:textId="77777777" w:rsidR="00454A29" w:rsidRDefault="00454A29"/>
        </w:tc>
        <w:tc>
          <w:tcPr>
            <w:tcW w:w="1417" w:type="dxa"/>
            <w:vMerge/>
          </w:tcPr>
          <w:p w14:paraId="20FA2E82" w14:textId="77777777" w:rsidR="00454A29" w:rsidRDefault="00454A29"/>
        </w:tc>
        <w:tc>
          <w:tcPr>
            <w:tcW w:w="2324" w:type="dxa"/>
            <w:vMerge/>
          </w:tcPr>
          <w:p w14:paraId="38D6F7F6" w14:textId="77777777" w:rsidR="00454A29" w:rsidRDefault="00454A29"/>
        </w:tc>
        <w:tc>
          <w:tcPr>
            <w:tcW w:w="1701" w:type="dxa"/>
            <w:vAlign w:val="center"/>
          </w:tcPr>
          <w:p w14:paraId="29F35DD4" w14:textId="77777777" w:rsidR="00454A29" w:rsidRDefault="00454A29">
            <w:pPr>
              <w:pStyle w:val="ConsPlusNormal"/>
              <w:jc w:val="center"/>
            </w:pPr>
            <w:r>
              <w:t>9 917,60</w:t>
            </w:r>
          </w:p>
        </w:tc>
        <w:tc>
          <w:tcPr>
            <w:tcW w:w="1814" w:type="dxa"/>
            <w:vAlign w:val="center"/>
          </w:tcPr>
          <w:p w14:paraId="78635019" w14:textId="77777777" w:rsidR="00454A29" w:rsidRDefault="00454A29">
            <w:pPr>
              <w:pStyle w:val="ConsPlusNormal"/>
              <w:jc w:val="center"/>
            </w:pPr>
            <w:r>
              <w:t>9 917,60</w:t>
            </w:r>
          </w:p>
        </w:tc>
        <w:tc>
          <w:tcPr>
            <w:tcW w:w="1701" w:type="dxa"/>
            <w:vAlign w:val="center"/>
          </w:tcPr>
          <w:p w14:paraId="1504D73B" w14:textId="77777777" w:rsidR="00454A29" w:rsidRDefault="00454A29">
            <w:pPr>
              <w:pStyle w:val="ConsPlusNormal"/>
            </w:pPr>
          </w:p>
        </w:tc>
        <w:tc>
          <w:tcPr>
            <w:tcW w:w="1701" w:type="dxa"/>
            <w:vAlign w:val="center"/>
          </w:tcPr>
          <w:p w14:paraId="75C1A78E" w14:textId="77777777" w:rsidR="00454A29" w:rsidRDefault="00454A29">
            <w:pPr>
              <w:pStyle w:val="ConsPlusNormal"/>
            </w:pPr>
          </w:p>
        </w:tc>
        <w:tc>
          <w:tcPr>
            <w:tcW w:w="1814" w:type="dxa"/>
            <w:vAlign w:val="center"/>
          </w:tcPr>
          <w:p w14:paraId="2145EA79" w14:textId="77777777" w:rsidR="00454A29" w:rsidRDefault="00454A29">
            <w:pPr>
              <w:pStyle w:val="ConsPlusNormal"/>
            </w:pPr>
          </w:p>
        </w:tc>
      </w:tr>
      <w:tr w:rsidR="00454A29" w14:paraId="48A0030A" w14:textId="77777777">
        <w:tc>
          <w:tcPr>
            <w:tcW w:w="21706" w:type="dxa"/>
            <w:gridSpan w:val="12"/>
            <w:vAlign w:val="center"/>
          </w:tcPr>
          <w:p w14:paraId="602D659C" w14:textId="77777777" w:rsidR="00454A29" w:rsidRDefault="00454A29">
            <w:pPr>
              <w:pStyle w:val="ConsPlusNormal"/>
              <w:jc w:val="center"/>
            </w:pPr>
            <w:r>
              <w:t>Мероприятие 10.6.1.</w:t>
            </w:r>
          </w:p>
        </w:tc>
      </w:tr>
      <w:tr w:rsidR="00454A29" w14:paraId="50FE91C4" w14:textId="77777777">
        <w:tc>
          <w:tcPr>
            <w:tcW w:w="567" w:type="dxa"/>
            <w:vMerge w:val="restart"/>
            <w:vAlign w:val="center"/>
          </w:tcPr>
          <w:p w14:paraId="3DA169A7" w14:textId="77777777" w:rsidR="00454A29" w:rsidRDefault="00454A29">
            <w:pPr>
              <w:pStyle w:val="ConsPlusNormal"/>
            </w:pPr>
          </w:p>
        </w:tc>
        <w:tc>
          <w:tcPr>
            <w:tcW w:w="3345" w:type="dxa"/>
            <w:vMerge w:val="restart"/>
            <w:vAlign w:val="center"/>
          </w:tcPr>
          <w:p w14:paraId="745F0F65" w14:textId="77777777" w:rsidR="00454A29" w:rsidRDefault="00454A29">
            <w:pPr>
              <w:pStyle w:val="ConsPlusNormal"/>
              <w:jc w:val="center"/>
            </w:pPr>
            <w:r>
              <w:t>Энергосбережение и энергоэффективность государственных общеобразовательных организаций</w:t>
            </w:r>
          </w:p>
        </w:tc>
        <w:tc>
          <w:tcPr>
            <w:tcW w:w="1701" w:type="dxa"/>
            <w:vAlign w:val="center"/>
          </w:tcPr>
          <w:p w14:paraId="7DDE8CD3" w14:textId="77777777" w:rsidR="00454A29" w:rsidRDefault="00454A29">
            <w:pPr>
              <w:pStyle w:val="ConsPlusNormal"/>
              <w:jc w:val="center"/>
            </w:pPr>
            <w:r>
              <w:t>Всего:</w:t>
            </w:r>
          </w:p>
        </w:tc>
        <w:tc>
          <w:tcPr>
            <w:tcW w:w="1417" w:type="dxa"/>
            <w:vMerge w:val="restart"/>
            <w:vAlign w:val="center"/>
          </w:tcPr>
          <w:p w14:paraId="5DCD73A9" w14:textId="77777777" w:rsidR="00454A29" w:rsidRDefault="00454A29">
            <w:pPr>
              <w:pStyle w:val="ConsPlusNormal"/>
              <w:jc w:val="center"/>
            </w:pPr>
            <w:r>
              <w:t>х</w:t>
            </w:r>
          </w:p>
        </w:tc>
        <w:tc>
          <w:tcPr>
            <w:tcW w:w="2204" w:type="dxa"/>
            <w:vMerge w:val="restart"/>
            <w:vAlign w:val="center"/>
          </w:tcPr>
          <w:p w14:paraId="2DDB01B9" w14:textId="77777777" w:rsidR="00454A29" w:rsidRDefault="00454A29">
            <w:pPr>
              <w:pStyle w:val="ConsPlusNormal"/>
              <w:jc w:val="center"/>
            </w:pPr>
            <w:r>
              <w:t>х</w:t>
            </w:r>
          </w:p>
        </w:tc>
        <w:tc>
          <w:tcPr>
            <w:tcW w:w="1417" w:type="dxa"/>
            <w:vMerge w:val="restart"/>
            <w:vAlign w:val="center"/>
          </w:tcPr>
          <w:p w14:paraId="45DDDC31" w14:textId="77777777" w:rsidR="00454A29" w:rsidRDefault="00454A29">
            <w:pPr>
              <w:pStyle w:val="ConsPlusNormal"/>
              <w:jc w:val="center"/>
            </w:pPr>
            <w:r>
              <w:t>0</w:t>
            </w:r>
          </w:p>
        </w:tc>
        <w:tc>
          <w:tcPr>
            <w:tcW w:w="2324" w:type="dxa"/>
            <w:vMerge w:val="restart"/>
            <w:vAlign w:val="center"/>
          </w:tcPr>
          <w:p w14:paraId="6B55104D" w14:textId="77777777" w:rsidR="00454A29" w:rsidRDefault="00454A29">
            <w:pPr>
              <w:pStyle w:val="ConsPlusNormal"/>
              <w:jc w:val="center"/>
            </w:pPr>
            <w:r>
              <w:t>х</w:t>
            </w:r>
          </w:p>
        </w:tc>
        <w:tc>
          <w:tcPr>
            <w:tcW w:w="1701" w:type="dxa"/>
            <w:vAlign w:val="center"/>
          </w:tcPr>
          <w:p w14:paraId="395F4545" w14:textId="77777777" w:rsidR="00454A29" w:rsidRDefault="00454A29">
            <w:pPr>
              <w:pStyle w:val="ConsPlusNormal"/>
            </w:pPr>
          </w:p>
        </w:tc>
        <w:tc>
          <w:tcPr>
            <w:tcW w:w="1814" w:type="dxa"/>
            <w:vAlign w:val="center"/>
          </w:tcPr>
          <w:p w14:paraId="16F1461B" w14:textId="77777777" w:rsidR="00454A29" w:rsidRDefault="00454A29">
            <w:pPr>
              <w:pStyle w:val="ConsPlusNormal"/>
              <w:jc w:val="center"/>
            </w:pPr>
            <w:r>
              <w:t>-</w:t>
            </w:r>
          </w:p>
        </w:tc>
        <w:tc>
          <w:tcPr>
            <w:tcW w:w="1701" w:type="dxa"/>
            <w:vAlign w:val="center"/>
          </w:tcPr>
          <w:p w14:paraId="411B2BB6" w14:textId="77777777" w:rsidR="00454A29" w:rsidRDefault="00454A29">
            <w:pPr>
              <w:pStyle w:val="ConsPlusNormal"/>
              <w:jc w:val="center"/>
            </w:pPr>
            <w:r>
              <w:t>-</w:t>
            </w:r>
          </w:p>
        </w:tc>
        <w:tc>
          <w:tcPr>
            <w:tcW w:w="1701" w:type="dxa"/>
            <w:vAlign w:val="center"/>
          </w:tcPr>
          <w:p w14:paraId="4A68BDE8" w14:textId="77777777" w:rsidR="00454A29" w:rsidRDefault="00454A29">
            <w:pPr>
              <w:pStyle w:val="ConsPlusNormal"/>
              <w:jc w:val="center"/>
            </w:pPr>
            <w:r>
              <w:t>-</w:t>
            </w:r>
          </w:p>
        </w:tc>
        <w:tc>
          <w:tcPr>
            <w:tcW w:w="1814" w:type="dxa"/>
            <w:vAlign w:val="center"/>
          </w:tcPr>
          <w:p w14:paraId="2F4A507D" w14:textId="77777777" w:rsidR="00454A29" w:rsidRDefault="00454A29">
            <w:pPr>
              <w:pStyle w:val="ConsPlusNormal"/>
              <w:jc w:val="center"/>
            </w:pPr>
            <w:r>
              <w:t>-</w:t>
            </w:r>
          </w:p>
        </w:tc>
      </w:tr>
      <w:tr w:rsidR="00454A29" w14:paraId="27C79DE6" w14:textId="77777777">
        <w:tc>
          <w:tcPr>
            <w:tcW w:w="567" w:type="dxa"/>
            <w:vMerge/>
          </w:tcPr>
          <w:p w14:paraId="512AFB8C" w14:textId="77777777" w:rsidR="00454A29" w:rsidRDefault="00454A29"/>
        </w:tc>
        <w:tc>
          <w:tcPr>
            <w:tcW w:w="3345" w:type="dxa"/>
            <w:vMerge/>
          </w:tcPr>
          <w:p w14:paraId="7901008C" w14:textId="77777777" w:rsidR="00454A29" w:rsidRDefault="00454A29"/>
        </w:tc>
        <w:tc>
          <w:tcPr>
            <w:tcW w:w="1701" w:type="dxa"/>
            <w:vAlign w:val="center"/>
          </w:tcPr>
          <w:p w14:paraId="367F0122" w14:textId="77777777" w:rsidR="00454A29" w:rsidRDefault="00454A29">
            <w:pPr>
              <w:pStyle w:val="ConsPlusNormal"/>
              <w:jc w:val="center"/>
            </w:pPr>
            <w:r>
              <w:t>2020</w:t>
            </w:r>
          </w:p>
        </w:tc>
        <w:tc>
          <w:tcPr>
            <w:tcW w:w="1417" w:type="dxa"/>
            <w:vMerge/>
          </w:tcPr>
          <w:p w14:paraId="415B3C02" w14:textId="77777777" w:rsidR="00454A29" w:rsidRDefault="00454A29"/>
        </w:tc>
        <w:tc>
          <w:tcPr>
            <w:tcW w:w="2204" w:type="dxa"/>
            <w:vMerge/>
          </w:tcPr>
          <w:p w14:paraId="6419FD94" w14:textId="77777777" w:rsidR="00454A29" w:rsidRDefault="00454A29"/>
        </w:tc>
        <w:tc>
          <w:tcPr>
            <w:tcW w:w="1417" w:type="dxa"/>
            <w:vMerge/>
          </w:tcPr>
          <w:p w14:paraId="54220356" w14:textId="77777777" w:rsidR="00454A29" w:rsidRDefault="00454A29"/>
        </w:tc>
        <w:tc>
          <w:tcPr>
            <w:tcW w:w="2324" w:type="dxa"/>
            <w:vMerge/>
          </w:tcPr>
          <w:p w14:paraId="37E6DBA6" w14:textId="77777777" w:rsidR="00454A29" w:rsidRDefault="00454A29"/>
        </w:tc>
        <w:tc>
          <w:tcPr>
            <w:tcW w:w="1701" w:type="dxa"/>
            <w:vAlign w:val="center"/>
          </w:tcPr>
          <w:p w14:paraId="2E854E3D" w14:textId="77777777" w:rsidR="00454A29" w:rsidRDefault="00454A29">
            <w:pPr>
              <w:pStyle w:val="ConsPlusNormal"/>
            </w:pPr>
          </w:p>
        </w:tc>
        <w:tc>
          <w:tcPr>
            <w:tcW w:w="1814" w:type="dxa"/>
            <w:vAlign w:val="center"/>
          </w:tcPr>
          <w:p w14:paraId="4B175952" w14:textId="77777777" w:rsidR="00454A29" w:rsidRDefault="00454A29">
            <w:pPr>
              <w:pStyle w:val="ConsPlusNormal"/>
              <w:jc w:val="center"/>
            </w:pPr>
            <w:r>
              <w:t>-</w:t>
            </w:r>
          </w:p>
        </w:tc>
        <w:tc>
          <w:tcPr>
            <w:tcW w:w="1701" w:type="dxa"/>
            <w:vAlign w:val="center"/>
          </w:tcPr>
          <w:p w14:paraId="59CA6C7D" w14:textId="77777777" w:rsidR="00454A29" w:rsidRDefault="00454A29">
            <w:pPr>
              <w:pStyle w:val="ConsPlusNormal"/>
            </w:pPr>
          </w:p>
        </w:tc>
        <w:tc>
          <w:tcPr>
            <w:tcW w:w="1701" w:type="dxa"/>
            <w:vAlign w:val="center"/>
          </w:tcPr>
          <w:p w14:paraId="45B0DF1C" w14:textId="77777777" w:rsidR="00454A29" w:rsidRDefault="00454A29">
            <w:pPr>
              <w:pStyle w:val="ConsPlusNormal"/>
            </w:pPr>
          </w:p>
        </w:tc>
        <w:tc>
          <w:tcPr>
            <w:tcW w:w="1814" w:type="dxa"/>
            <w:vAlign w:val="center"/>
          </w:tcPr>
          <w:p w14:paraId="2D6C1DFF" w14:textId="77777777" w:rsidR="00454A29" w:rsidRDefault="00454A29">
            <w:pPr>
              <w:pStyle w:val="ConsPlusNormal"/>
            </w:pPr>
          </w:p>
        </w:tc>
      </w:tr>
      <w:tr w:rsidR="00454A29" w14:paraId="2A8892B0" w14:textId="77777777">
        <w:tc>
          <w:tcPr>
            <w:tcW w:w="567" w:type="dxa"/>
            <w:vMerge/>
          </w:tcPr>
          <w:p w14:paraId="3001475D" w14:textId="77777777" w:rsidR="00454A29" w:rsidRDefault="00454A29"/>
        </w:tc>
        <w:tc>
          <w:tcPr>
            <w:tcW w:w="3345" w:type="dxa"/>
            <w:vMerge/>
          </w:tcPr>
          <w:p w14:paraId="3C1B8736" w14:textId="77777777" w:rsidR="00454A29" w:rsidRDefault="00454A29"/>
        </w:tc>
        <w:tc>
          <w:tcPr>
            <w:tcW w:w="1701" w:type="dxa"/>
            <w:vAlign w:val="center"/>
          </w:tcPr>
          <w:p w14:paraId="071F06F3" w14:textId="77777777" w:rsidR="00454A29" w:rsidRDefault="00454A29">
            <w:pPr>
              <w:pStyle w:val="ConsPlusNormal"/>
              <w:jc w:val="center"/>
            </w:pPr>
            <w:r>
              <w:t>2021</w:t>
            </w:r>
          </w:p>
        </w:tc>
        <w:tc>
          <w:tcPr>
            <w:tcW w:w="1417" w:type="dxa"/>
            <w:vMerge/>
          </w:tcPr>
          <w:p w14:paraId="4C5A5412" w14:textId="77777777" w:rsidR="00454A29" w:rsidRDefault="00454A29"/>
        </w:tc>
        <w:tc>
          <w:tcPr>
            <w:tcW w:w="2204" w:type="dxa"/>
            <w:vMerge/>
          </w:tcPr>
          <w:p w14:paraId="40580E6E" w14:textId="77777777" w:rsidR="00454A29" w:rsidRDefault="00454A29"/>
        </w:tc>
        <w:tc>
          <w:tcPr>
            <w:tcW w:w="1417" w:type="dxa"/>
            <w:vMerge/>
          </w:tcPr>
          <w:p w14:paraId="0D2E6E47" w14:textId="77777777" w:rsidR="00454A29" w:rsidRDefault="00454A29"/>
        </w:tc>
        <w:tc>
          <w:tcPr>
            <w:tcW w:w="2324" w:type="dxa"/>
            <w:vMerge/>
          </w:tcPr>
          <w:p w14:paraId="494944E0" w14:textId="77777777" w:rsidR="00454A29" w:rsidRDefault="00454A29"/>
        </w:tc>
        <w:tc>
          <w:tcPr>
            <w:tcW w:w="1701" w:type="dxa"/>
            <w:vAlign w:val="center"/>
          </w:tcPr>
          <w:p w14:paraId="1AE4303A" w14:textId="77777777" w:rsidR="00454A29" w:rsidRDefault="00454A29">
            <w:pPr>
              <w:pStyle w:val="ConsPlusNormal"/>
            </w:pPr>
          </w:p>
        </w:tc>
        <w:tc>
          <w:tcPr>
            <w:tcW w:w="1814" w:type="dxa"/>
            <w:vAlign w:val="center"/>
          </w:tcPr>
          <w:p w14:paraId="3F1AD54C" w14:textId="77777777" w:rsidR="00454A29" w:rsidRDefault="00454A29">
            <w:pPr>
              <w:pStyle w:val="ConsPlusNormal"/>
            </w:pPr>
          </w:p>
        </w:tc>
        <w:tc>
          <w:tcPr>
            <w:tcW w:w="1701" w:type="dxa"/>
            <w:vAlign w:val="center"/>
          </w:tcPr>
          <w:p w14:paraId="03758F3E" w14:textId="77777777" w:rsidR="00454A29" w:rsidRDefault="00454A29">
            <w:pPr>
              <w:pStyle w:val="ConsPlusNormal"/>
            </w:pPr>
          </w:p>
        </w:tc>
        <w:tc>
          <w:tcPr>
            <w:tcW w:w="1701" w:type="dxa"/>
            <w:vAlign w:val="center"/>
          </w:tcPr>
          <w:p w14:paraId="5004EDB4" w14:textId="77777777" w:rsidR="00454A29" w:rsidRDefault="00454A29">
            <w:pPr>
              <w:pStyle w:val="ConsPlusNormal"/>
            </w:pPr>
          </w:p>
        </w:tc>
        <w:tc>
          <w:tcPr>
            <w:tcW w:w="1814" w:type="dxa"/>
            <w:vAlign w:val="center"/>
          </w:tcPr>
          <w:p w14:paraId="681FE45C" w14:textId="77777777" w:rsidR="00454A29" w:rsidRDefault="00454A29">
            <w:pPr>
              <w:pStyle w:val="ConsPlusNormal"/>
            </w:pPr>
          </w:p>
        </w:tc>
      </w:tr>
      <w:tr w:rsidR="00454A29" w14:paraId="3CC895AD" w14:textId="77777777">
        <w:tc>
          <w:tcPr>
            <w:tcW w:w="567" w:type="dxa"/>
            <w:vMerge/>
          </w:tcPr>
          <w:p w14:paraId="547027AD" w14:textId="77777777" w:rsidR="00454A29" w:rsidRDefault="00454A29"/>
        </w:tc>
        <w:tc>
          <w:tcPr>
            <w:tcW w:w="3345" w:type="dxa"/>
            <w:vMerge/>
          </w:tcPr>
          <w:p w14:paraId="6DAF0B76" w14:textId="77777777" w:rsidR="00454A29" w:rsidRDefault="00454A29"/>
        </w:tc>
        <w:tc>
          <w:tcPr>
            <w:tcW w:w="1701" w:type="dxa"/>
            <w:vAlign w:val="center"/>
          </w:tcPr>
          <w:p w14:paraId="6F57921E" w14:textId="77777777" w:rsidR="00454A29" w:rsidRDefault="00454A29">
            <w:pPr>
              <w:pStyle w:val="ConsPlusNormal"/>
              <w:jc w:val="center"/>
            </w:pPr>
            <w:r>
              <w:t>2022</w:t>
            </w:r>
          </w:p>
        </w:tc>
        <w:tc>
          <w:tcPr>
            <w:tcW w:w="1417" w:type="dxa"/>
            <w:vMerge/>
          </w:tcPr>
          <w:p w14:paraId="0D8D8A9A" w14:textId="77777777" w:rsidR="00454A29" w:rsidRDefault="00454A29"/>
        </w:tc>
        <w:tc>
          <w:tcPr>
            <w:tcW w:w="2204" w:type="dxa"/>
            <w:vMerge/>
          </w:tcPr>
          <w:p w14:paraId="0A0AF99C" w14:textId="77777777" w:rsidR="00454A29" w:rsidRDefault="00454A29"/>
        </w:tc>
        <w:tc>
          <w:tcPr>
            <w:tcW w:w="1417" w:type="dxa"/>
            <w:vMerge/>
          </w:tcPr>
          <w:p w14:paraId="621689F8" w14:textId="77777777" w:rsidR="00454A29" w:rsidRDefault="00454A29"/>
        </w:tc>
        <w:tc>
          <w:tcPr>
            <w:tcW w:w="2324" w:type="dxa"/>
            <w:vMerge/>
          </w:tcPr>
          <w:p w14:paraId="15B7E70F" w14:textId="77777777" w:rsidR="00454A29" w:rsidRDefault="00454A29"/>
        </w:tc>
        <w:tc>
          <w:tcPr>
            <w:tcW w:w="1701" w:type="dxa"/>
            <w:vAlign w:val="center"/>
          </w:tcPr>
          <w:p w14:paraId="4B27D682" w14:textId="77777777" w:rsidR="00454A29" w:rsidRDefault="00454A29">
            <w:pPr>
              <w:pStyle w:val="ConsPlusNormal"/>
            </w:pPr>
          </w:p>
        </w:tc>
        <w:tc>
          <w:tcPr>
            <w:tcW w:w="1814" w:type="dxa"/>
            <w:vAlign w:val="center"/>
          </w:tcPr>
          <w:p w14:paraId="525D0B92" w14:textId="77777777" w:rsidR="00454A29" w:rsidRDefault="00454A29">
            <w:pPr>
              <w:pStyle w:val="ConsPlusNormal"/>
            </w:pPr>
          </w:p>
        </w:tc>
        <w:tc>
          <w:tcPr>
            <w:tcW w:w="1701" w:type="dxa"/>
            <w:vAlign w:val="center"/>
          </w:tcPr>
          <w:p w14:paraId="5691D1C7" w14:textId="77777777" w:rsidR="00454A29" w:rsidRDefault="00454A29">
            <w:pPr>
              <w:pStyle w:val="ConsPlusNormal"/>
            </w:pPr>
          </w:p>
        </w:tc>
        <w:tc>
          <w:tcPr>
            <w:tcW w:w="1701" w:type="dxa"/>
            <w:vAlign w:val="center"/>
          </w:tcPr>
          <w:p w14:paraId="3329B528" w14:textId="77777777" w:rsidR="00454A29" w:rsidRDefault="00454A29">
            <w:pPr>
              <w:pStyle w:val="ConsPlusNormal"/>
            </w:pPr>
          </w:p>
        </w:tc>
        <w:tc>
          <w:tcPr>
            <w:tcW w:w="1814" w:type="dxa"/>
            <w:vAlign w:val="center"/>
          </w:tcPr>
          <w:p w14:paraId="62178EA7" w14:textId="77777777" w:rsidR="00454A29" w:rsidRDefault="00454A29">
            <w:pPr>
              <w:pStyle w:val="ConsPlusNormal"/>
            </w:pPr>
          </w:p>
        </w:tc>
      </w:tr>
      <w:tr w:rsidR="00454A29" w14:paraId="0FDD0768" w14:textId="77777777">
        <w:tc>
          <w:tcPr>
            <w:tcW w:w="567" w:type="dxa"/>
            <w:vMerge/>
          </w:tcPr>
          <w:p w14:paraId="7622F519" w14:textId="77777777" w:rsidR="00454A29" w:rsidRDefault="00454A29"/>
        </w:tc>
        <w:tc>
          <w:tcPr>
            <w:tcW w:w="3345" w:type="dxa"/>
            <w:vMerge/>
          </w:tcPr>
          <w:p w14:paraId="3621A576" w14:textId="77777777" w:rsidR="00454A29" w:rsidRDefault="00454A29"/>
        </w:tc>
        <w:tc>
          <w:tcPr>
            <w:tcW w:w="1701" w:type="dxa"/>
            <w:vAlign w:val="center"/>
          </w:tcPr>
          <w:p w14:paraId="43D57091" w14:textId="77777777" w:rsidR="00454A29" w:rsidRDefault="00454A29">
            <w:pPr>
              <w:pStyle w:val="ConsPlusNormal"/>
              <w:jc w:val="center"/>
            </w:pPr>
            <w:r>
              <w:t>2023</w:t>
            </w:r>
          </w:p>
        </w:tc>
        <w:tc>
          <w:tcPr>
            <w:tcW w:w="1417" w:type="dxa"/>
            <w:vMerge/>
          </w:tcPr>
          <w:p w14:paraId="6E4C3633" w14:textId="77777777" w:rsidR="00454A29" w:rsidRDefault="00454A29"/>
        </w:tc>
        <w:tc>
          <w:tcPr>
            <w:tcW w:w="2204" w:type="dxa"/>
            <w:vMerge/>
          </w:tcPr>
          <w:p w14:paraId="7CC84653" w14:textId="77777777" w:rsidR="00454A29" w:rsidRDefault="00454A29"/>
        </w:tc>
        <w:tc>
          <w:tcPr>
            <w:tcW w:w="1417" w:type="dxa"/>
            <w:vMerge/>
          </w:tcPr>
          <w:p w14:paraId="2A3ECB79" w14:textId="77777777" w:rsidR="00454A29" w:rsidRDefault="00454A29"/>
        </w:tc>
        <w:tc>
          <w:tcPr>
            <w:tcW w:w="2324" w:type="dxa"/>
            <w:vMerge/>
          </w:tcPr>
          <w:p w14:paraId="4610BB65" w14:textId="77777777" w:rsidR="00454A29" w:rsidRDefault="00454A29"/>
        </w:tc>
        <w:tc>
          <w:tcPr>
            <w:tcW w:w="1701" w:type="dxa"/>
            <w:vAlign w:val="center"/>
          </w:tcPr>
          <w:p w14:paraId="0AF1F4C0" w14:textId="77777777" w:rsidR="00454A29" w:rsidRDefault="00454A29">
            <w:pPr>
              <w:pStyle w:val="ConsPlusNormal"/>
            </w:pPr>
          </w:p>
        </w:tc>
        <w:tc>
          <w:tcPr>
            <w:tcW w:w="1814" w:type="dxa"/>
            <w:vAlign w:val="center"/>
          </w:tcPr>
          <w:p w14:paraId="7F47222B" w14:textId="77777777" w:rsidR="00454A29" w:rsidRDefault="00454A29">
            <w:pPr>
              <w:pStyle w:val="ConsPlusNormal"/>
            </w:pPr>
          </w:p>
        </w:tc>
        <w:tc>
          <w:tcPr>
            <w:tcW w:w="1701" w:type="dxa"/>
            <w:vAlign w:val="center"/>
          </w:tcPr>
          <w:p w14:paraId="66F6C334" w14:textId="77777777" w:rsidR="00454A29" w:rsidRDefault="00454A29">
            <w:pPr>
              <w:pStyle w:val="ConsPlusNormal"/>
            </w:pPr>
          </w:p>
        </w:tc>
        <w:tc>
          <w:tcPr>
            <w:tcW w:w="1701" w:type="dxa"/>
            <w:vAlign w:val="center"/>
          </w:tcPr>
          <w:p w14:paraId="23AB9E33" w14:textId="77777777" w:rsidR="00454A29" w:rsidRDefault="00454A29">
            <w:pPr>
              <w:pStyle w:val="ConsPlusNormal"/>
            </w:pPr>
          </w:p>
        </w:tc>
        <w:tc>
          <w:tcPr>
            <w:tcW w:w="1814" w:type="dxa"/>
            <w:vAlign w:val="center"/>
          </w:tcPr>
          <w:p w14:paraId="09E0CB1F" w14:textId="77777777" w:rsidR="00454A29" w:rsidRDefault="00454A29">
            <w:pPr>
              <w:pStyle w:val="ConsPlusNormal"/>
            </w:pPr>
          </w:p>
        </w:tc>
      </w:tr>
      <w:tr w:rsidR="00454A29" w14:paraId="2DCD2B4A" w14:textId="77777777">
        <w:tc>
          <w:tcPr>
            <w:tcW w:w="567" w:type="dxa"/>
            <w:vMerge/>
          </w:tcPr>
          <w:p w14:paraId="2D71DB87" w14:textId="77777777" w:rsidR="00454A29" w:rsidRDefault="00454A29"/>
        </w:tc>
        <w:tc>
          <w:tcPr>
            <w:tcW w:w="3345" w:type="dxa"/>
            <w:vMerge/>
          </w:tcPr>
          <w:p w14:paraId="03FF8D1C" w14:textId="77777777" w:rsidR="00454A29" w:rsidRDefault="00454A29"/>
        </w:tc>
        <w:tc>
          <w:tcPr>
            <w:tcW w:w="1701" w:type="dxa"/>
            <w:vAlign w:val="center"/>
          </w:tcPr>
          <w:p w14:paraId="7DD50E16" w14:textId="77777777" w:rsidR="00454A29" w:rsidRDefault="00454A29">
            <w:pPr>
              <w:pStyle w:val="ConsPlusNormal"/>
              <w:jc w:val="center"/>
            </w:pPr>
            <w:r>
              <w:t>2024</w:t>
            </w:r>
          </w:p>
        </w:tc>
        <w:tc>
          <w:tcPr>
            <w:tcW w:w="1417" w:type="dxa"/>
            <w:vMerge/>
          </w:tcPr>
          <w:p w14:paraId="718A548E" w14:textId="77777777" w:rsidR="00454A29" w:rsidRDefault="00454A29"/>
        </w:tc>
        <w:tc>
          <w:tcPr>
            <w:tcW w:w="2204" w:type="dxa"/>
            <w:vMerge/>
          </w:tcPr>
          <w:p w14:paraId="62DAC172" w14:textId="77777777" w:rsidR="00454A29" w:rsidRDefault="00454A29"/>
        </w:tc>
        <w:tc>
          <w:tcPr>
            <w:tcW w:w="1417" w:type="dxa"/>
            <w:vMerge/>
          </w:tcPr>
          <w:p w14:paraId="7D3C27F9" w14:textId="77777777" w:rsidR="00454A29" w:rsidRDefault="00454A29"/>
        </w:tc>
        <w:tc>
          <w:tcPr>
            <w:tcW w:w="2324" w:type="dxa"/>
            <w:vMerge/>
          </w:tcPr>
          <w:p w14:paraId="07D67B70" w14:textId="77777777" w:rsidR="00454A29" w:rsidRDefault="00454A29"/>
        </w:tc>
        <w:tc>
          <w:tcPr>
            <w:tcW w:w="1701" w:type="dxa"/>
            <w:vAlign w:val="center"/>
          </w:tcPr>
          <w:p w14:paraId="4A4A3474" w14:textId="77777777" w:rsidR="00454A29" w:rsidRDefault="00454A29">
            <w:pPr>
              <w:pStyle w:val="ConsPlusNormal"/>
            </w:pPr>
          </w:p>
        </w:tc>
        <w:tc>
          <w:tcPr>
            <w:tcW w:w="1814" w:type="dxa"/>
            <w:vAlign w:val="center"/>
          </w:tcPr>
          <w:p w14:paraId="1BCB2BE5" w14:textId="77777777" w:rsidR="00454A29" w:rsidRDefault="00454A29">
            <w:pPr>
              <w:pStyle w:val="ConsPlusNormal"/>
            </w:pPr>
          </w:p>
        </w:tc>
        <w:tc>
          <w:tcPr>
            <w:tcW w:w="1701" w:type="dxa"/>
            <w:vAlign w:val="center"/>
          </w:tcPr>
          <w:p w14:paraId="5C5FBD4B" w14:textId="77777777" w:rsidR="00454A29" w:rsidRDefault="00454A29">
            <w:pPr>
              <w:pStyle w:val="ConsPlusNormal"/>
            </w:pPr>
          </w:p>
        </w:tc>
        <w:tc>
          <w:tcPr>
            <w:tcW w:w="1701" w:type="dxa"/>
            <w:vAlign w:val="center"/>
          </w:tcPr>
          <w:p w14:paraId="5FEDBC90" w14:textId="77777777" w:rsidR="00454A29" w:rsidRDefault="00454A29">
            <w:pPr>
              <w:pStyle w:val="ConsPlusNormal"/>
            </w:pPr>
          </w:p>
        </w:tc>
        <w:tc>
          <w:tcPr>
            <w:tcW w:w="1814" w:type="dxa"/>
            <w:vAlign w:val="center"/>
          </w:tcPr>
          <w:p w14:paraId="3E67C3BE" w14:textId="77777777" w:rsidR="00454A29" w:rsidRDefault="00454A29">
            <w:pPr>
              <w:pStyle w:val="ConsPlusNormal"/>
            </w:pPr>
          </w:p>
        </w:tc>
      </w:tr>
      <w:tr w:rsidR="00454A29" w14:paraId="648831C1" w14:textId="77777777">
        <w:tc>
          <w:tcPr>
            <w:tcW w:w="567" w:type="dxa"/>
            <w:vMerge/>
          </w:tcPr>
          <w:p w14:paraId="33027280" w14:textId="77777777" w:rsidR="00454A29" w:rsidRDefault="00454A29"/>
        </w:tc>
        <w:tc>
          <w:tcPr>
            <w:tcW w:w="3345" w:type="dxa"/>
            <w:vMerge/>
          </w:tcPr>
          <w:p w14:paraId="7FEF7050" w14:textId="77777777" w:rsidR="00454A29" w:rsidRDefault="00454A29"/>
        </w:tc>
        <w:tc>
          <w:tcPr>
            <w:tcW w:w="1701" w:type="dxa"/>
            <w:vAlign w:val="center"/>
          </w:tcPr>
          <w:p w14:paraId="1FB4A8C5" w14:textId="77777777" w:rsidR="00454A29" w:rsidRDefault="00454A29">
            <w:pPr>
              <w:pStyle w:val="ConsPlusNormal"/>
              <w:jc w:val="center"/>
            </w:pPr>
            <w:r>
              <w:t>2025</w:t>
            </w:r>
          </w:p>
        </w:tc>
        <w:tc>
          <w:tcPr>
            <w:tcW w:w="1417" w:type="dxa"/>
            <w:vMerge/>
          </w:tcPr>
          <w:p w14:paraId="70BB6335" w14:textId="77777777" w:rsidR="00454A29" w:rsidRDefault="00454A29"/>
        </w:tc>
        <w:tc>
          <w:tcPr>
            <w:tcW w:w="2204" w:type="dxa"/>
            <w:vMerge/>
          </w:tcPr>
          <w:p w14:paraId="5FD9D9B2" w14:textId="77777777" w:rsidR="00454A29" w:rsidRDefault="00454A29"/>
        </w:tc>
        <w:tc>
          <w:tcPr>
            <w:tcW w:w="1417" w:type="dxa"/>
            <w:vMerge/>
          </w:tcPr>
          <w:p w14:paraId="43815BCE" w14:textId="77777777" w:rsidR="00454A29" w:rsidRDefault="00454A29"/>
        </w:tc>
        <w:tc>
          <w:tcPr>
            <w:tcW w:w="2324" w:type="dxa"/>
            <w:vMerge/>
          </w:tcPr>
          <w:p w14:paraId="54ABB504" w14:textId="77777777" w:rsidR="00454A29" w:rsidRDefault="00454A29"/>
        </w:tc>
        <w:tc>
          <w:tcPr>
            <w:tcW w:w="1701" w:type="dxa"/>
            <w:vAlign w:val="center"/>
          </w:tcPr>
          <w:p w14:paraId="5A4C49B8" w14:textId="77777777" w:rsidR="00454A29" w:rsidRDefault="00454A29">
            <w:pPr>
              <w:pStyle w:val="ConsPlusNormal"/>
            </w:pPr>
          </w:p>
        </w:tc>
        <w:tc>
          <w:tcPr>
            <w:tcW w:w="1814" w:type="dxa"/>
            <w:vAlign w:val="center"/>
          </w:tcPr>
          <w:p w14:paraId="3BB50DEE" w14:textId="77777777" w:rsidR="00454A29" w:rsidRDefault="00454A29">
            <w:pPr>
              <w:pStyle w:val="ConsPlusNormal"/>
            </w:pPr>
          </w:p>
        </w:tc>
        <w:tc>
          <w:tcPr>
            <w:tcW w:w="1701" w:type="dxa"/>
            <w:vAlign w:val="center"/>
          </w:tcPr>
          <w:p w14:paraId="2BE4477E" w14:textId="77777777" w:rsidR="00454A29" w:rsidRDefault="00454A29">
            <w:pPr>
              <w:pStyle w:val="ConsPlusNormal"/>
            </w:pPr>
          </w:p>
        </w:tc>
        <w:tc>
          <w:tcPr>
            <w:tcW w:w="1701" w:type="dxa"/>
            <w:vAlign w:val="center"/>
          </w:tcPr>
          <w:p w14:paraId="6F97730E" w14:textId="77777777" w:rsidR="00454A29" w:rsidRDefault="00454A29">
            <w:pPr>
              <w:pStyle w:val="ConsPlusNormal"/>
            </w:pPr>
          </w:p>
        </w:tc>
        <w:tc>
          <w:tcPr>
            <w:tcW w:w="1814" w:type="dxa"/>
            <w:vAlign w:val="center"/>
          </w:tcPr>
          <w:p w14:paraId="2025C877" w14:textId="77777777" w:rsidR="00454A29" w:rsidRDefault="00454A29">
            <w:pPr>
              <w:pStyle w:val="ConsPlusNormal"/>
            </w:pPr>
          </w:p>
        </w:tc>
      </w:tr>
      <w:tr w:rsidR="00454A29" w14:paraId="2B439950" w14:textId="77777777">
        <w:tc>
          <w:tcPr>
            <w:tcW w:w="567" w:type="dxa"/>
            <w:vMerge/>
          </w:tcPr>
          <w:p w14:paraId="57E99F9D" w14:textId="77777777" w:rsidR="00454A29" w:rsidRDefault="00454A29"/>
        </w:tc>
        <w:tc>
          <w:tcPr>
            <w:tcW w:w="3345" w:type="dxa"/>
            <w:vMerge/>
          </w:tcPr>
          <w:p w14:paraId="389D3675" w14:textId="77777777" w:rsidR="00454A29" w:rsidRDefault="00454A29"/>
        </w:tc>
        <w:tc>
          <w:tcPr>
            <w:tcW w:w="1701" w:type="dxa"/>
            <w:vAlign w:val="center"/>
          </w:tcPr>
          <w:p w14:paraId="023EF9FA" w14:textId="77777777" w:rsidR="00454A29" w:rsidRDefault="00454A29">
            <w:pPr>
              <w:pStyle w:val="ConsPlusNormal"/>
              <w:jc w:val="center"/>
            </w:pPr>
            <w:r>
              <w:t>2026</w:t>
            </w:r>
          </w:p>
        </w:tc>
        <w:tc>
          <w:tcPr>
            <w:tcW w:w="1417" w:type="dxa"/>
            <w:vMerge/>
          </w:tcPr>
          <w:p w14:paraId="4508ACA2" w14:textId="77777777" w:rsidR="00454A29" w:rsidRDefault="00454A29"/>
        </w:tc>
        <w:tc>
          <w:tcPr>
            <w:tcW w:w="2204" w:type="dxa"/>
            <w:vMerge/>
          </w:tcPr>
          <w:p w14:paraId="78D3A143" w14:textId="77777777" w:rsidR="00454A29" w:rsidRDefault="00454A29"/>
        </w:tc>
        <w:tc>
          <w:tcPr>
            <w:tcW w:w="1417" w:type="dxa"/>
            <w:vMerge/>
          </w:tcPr>
          <w:p w14:paraId="69DE7316" w14:textId="77777777" w:rsidR="00454A29" w:rsidRDefault="00454A29"/>
        </w:tc>
        <w:tc>
          <w:tcPr>
            <w:tcW w:w="2324" w:type="dxa"/>
            <w:vMerge/>
          </w:tcPr>
          <w:p w14:paraId="15F1F4A0" w14:textId="77777777" w:rsidR="00454A29" w:rsidRDefault="00454A29"/>
        </w:tc>
        <w:tc>
          <w:tcPr>
            <w:tcW w:w="1701" w:type="dxa"/>
            <w:vAlign w:val="center"/>
          </w:tcPr>
          <w:p w14:paraId="7E426B99" w14:textId="77777777" w:rsidR="00454A29" w:rsidRDefault="00454A29">
            <w:pPr>
              <w:pStyle w:val="ConsPlusNormal"/>
            </w:pPr>
          </w:p>
        </w:tc>
        <w:tc>
          <w:tcPr>
            <w:tcW w:w="1814" w:type="dxa"/>
            <w:vAlign w:val="center"/>
          </w:tcPr>
          <w:p w14:paraId="5526C5BD" w14:textId="77777777" w:rsidR="00454A29" w:rsidRDefault="00454A29">
            <w:pPr>
              <w:pStyle w:val="ConsPlusNormal"/>
            </w:pPr>
          </w:p>
        </w:tc>
        <w:tc>
          <w:tcPr>
            <w:tcW w:w="1701" w:type="dxa"/>
            <w:vAlign w:val="center"/>
          </w:tcPr>
          <w:p w14:paraId="4B7CD8EC" w14:textId="77777777" w:rsidR="00454A29" w:rsidRDefault="00454A29">
            <w:pPr>
              <w:pStyle w:val="ConsPlusNormal"/>
            </w:pPr>
          </w:p>
        </w:tc>
        <w:tc>
          <w:tcPr>
            <w:tcW w:w="1701" w:type="dxa"/>
            <w:vAlign w:val="center"/>
          </w:tcPr>
          <w:p w14:paraId="0F9AB9D8" w14:textId="77777777" w:rsidR="00454A29" w:rsidRDefault="00454A29">
            <w:pPr>
              <w:pStyle w:val="ConsPlusNormal"/>
            </w:pPr>
          </w:p>
        </w:tc>
        <w:tc>
          <w:tcPr>
            <w:tcW w:w="1814" w:type="dxa"/>
            <w:vAlign w:val="center"/>
          </w:tcPr>
          <w:p w14:paraId="3DD83A5B" w14:textId="77777777" w:rsidR="00454A29" w:rsidRDefault="00454A29">
            <w:pPr>
              <w:pStyle w:val="ConsPlusNormal"/>
            </w:pPr>
          </w:p>
        </w:tc>
      </w:tr>
      <w:tr w:rsidR="00454A29" w14:paraId="2A350C43" w14:textId="77777777">
        <w:tc>
          <w:tcPr>
            <w:tcW w:w="21706" w:type="dxa"/>
            <w:gridSpan w:val="12"/>
            <w:vAlign w:val="center"/>
          </w:tcPr>
          <w:p w14:paraId="5B5D6D40" w14:textId="77777777" w:rsidR="00454A29" w:rsidRDefault="00454A29">
            <w:pPr>
              <w:pStyle w:val="ConsPlusNormal"/>
              <w:jc w:val="center"/>
            </w:pPr>
            <w:r>
              <w:t>Мероприятие 10.6.2.</w:t>
            </w:r>
          </w:p>
        </w:tc>
      </w:tr>
      <w:tr w:rsidR="00454A29" w14:paraId="750CF212" w14:textId="77777777">
        <w:tc>
          <w:tcPr>
            <w:tcW w:w="567" w:type="dxa"/>
            <w:vMerge w:val="restart"/>
            <w:vAlign w:val="center"/>
          </w:tcPr>
          <w:p w14:paraId="50244247" w14:textId="77777777" w:rsidR="00454A29" w:rsidRDefault="00454A29">
            <w:pPr>
              <w:pStyle w:val="ConsPlusNormal"/>
            </w:pPr>
          </w:p>
        </w:tc>
        <w:tc>
          <w:tcPr>
            <w:tcW w:w="3345" w:type="dxa"/>
            <w:vMerge w:val="restart"/>
            <w:vAlign w:val="center"/>
          </w:tcPr>
          <w:p w14:paraId="1A0F72C4" w14:textId="77777777" w:rsidR="00454A29" w:rsidRDefault="00454A29">
            <w:pPr>
              <w:pStyle w:val="ConsPlusNormal"/>
              <w:jc w:val="center"/>
            </w:pPr>
            <w:r>
              <w:t xml:space="preserve">Энергосбережение и энергоэффективность государственных организаций дополнительного образования </w:t>
            </w:r>
            <w:r>
              <w:lastRenderedPageBreak/>
              <w:t>детей</w:t>
            </w:r>
          </w:p>
        </w:tc>
        <w:tc>
          <w:tcPr>
            <w:tcW w:w="1701" w:type="dxa"/>
            <w:vAlign w:val="center"/>
          </w:tcPr>
          <w:p w14:paraId="5DB27BEE" w14:textId="77777777" w:rsidR="00454A29" w:rsidRDefault="00454A29">
            <w:pPr>
              <w:pStyle w:val="ConsPlusNormal"/>
              <w:jc w:val="center"/>
            </w:pPr>
            <w:r>
              <w:lastRenderedPageBreak/>
              <w:t>Всего:</w:t>
            </w:r>
          </w:p>
        </w:tc>
        <w:tc>
          <w:tcPr>
            <w:tcW w:w="1417" w:type="dxa"/>
            <w:vMerge w:val="restart"/>
            <w:vAlign w:val="center"/>
          </w:tcPr>
          <w:p w14:paraId="2349322E" w14:textId="77777777" w:rsidR="00454A29" w:rsidRDefault="00454A29">
            <w:pPr>
              <w:pStyle w:val="ConsPlusNormal"/>
              <w:jc w:val="center"/>
            </w:pPr>
            <w:r>
              <w:t>х</w:t>
            </w:r>
          </w:p>
        </w:tc>
        <w:tc>
          <w:tcPr>
            <w:tcW w:w="2204" w:type="dxa"/>
            <w:vMerge w:val="restart"/>
            <w:vAlign w:val="center"/>
          </w:tcPr>
          <w:p w14:paraId="4A16C496" w14:textId="77777777" w:rsidR="00454A29" w:rsidRDefault="00454A29">
            <w:pPr>
              <w:pStyle w:val="ConsPlusNormal"/>
              <w:jc w:val="center"/>
            </w:pPr>
            <w:r>
              <w:t>х</w:t>
            </w:r>
          </w:p>
        </w:tc>
        <w:tc>
          <w:tcPr>
            <w:tcW w:w="1417" w:type="dxa"/>
            <w:vMerge w:val="restart"/>
            <w:vAlign w:val="center"/>
          </w:tcPr>
          <w:p w14:paraId="668078F8" w14:textId="77777777" w:rsidR="00454A29" w:rsidRDefault="00454A29">
            <w:pPr>
              <w:pStyle w:val="ConsPlusNormal"/>
              <w:jc w:val="center"/>
            </w:pPr>
            <w:r>
              <w:t>0</w:t>
            </w:r>
          </w:p>
        </w:tc>
        <w:tc>
          <w:tcPr>
            <w:tcW w:w="2324" w:type="dxa"/>
            <w:vMerge w:val="restart"/>
            <w:vAlign w:val="center"/>
          </w:tcPr>
          <w:p w14:paraId="69ADB10F" w14:textId="77777777" w:rsidR="00454A29" w:rsidRDefault="00454A29">
            <w:pPr>
              <w:pStyle w:val="ConsPlusNormal"/>
              <w:jc w:val="center"/>
            </w:pPr>
            <w:r>
              <w:t>х</w:t>
            </w:r>
          </w:p>
        </w:tc>
        <w:tc>
          <w:tcPr>
            <w:tcW w:w="1701" w:type="dxa"/>
            <w:vAlign w:val="center"/>
          </w:tcPr>
          <w:p w14:paraId="476E8D07" w14:textId="77777777" w:rsidR="00454A29" w:rsidRDefault="00454A29">
            <w:pPr>
              <w:pStyle w:val="ConsPlusNormal"/>
            </w:pPr>
          </w:p>
        </w:tc>
        <w:tc>
          <w:tcPr>
            <w:tcW w:w="1814" w:type="dxa"/>
            <w:vAlign w:val="center"/>
          </w:tcPr>
          <w:p w14:paraId="772513B1" w14:textId="77777777" w:rsidR="00454A29" w:rsidRDefault="00454A29">
            <w:pPr>
              <w:pStyle w:val="ConsPlusNormal"/>
              <w:jc w:val="center"/>
            </w:pPr>
            <w:r>
              <w:t>-</w:t>
            </w:r>
          </w:p>
        </w:tc>
        <w:tc>
          <w:tcPr>
            <w:tcW w:w="1701" w:type="dxa"/>
            <w:vAlign w:val="center"/>
          </w:tcPr>
          <w:p w14:paraId="64715872" w14:textId="77777777" w:rsidR="00454A29" w:rsidRDefault="00454A29">
            <w:pPr>
              <w:pStyle w:val="ConsPlusNormal"/>
              <w:jc w:val="center"/>
            </w:pPr>
            <w:r>
              <w:t>-</w:t>
            </w:r>
          </w:p>
        </w:tc>
        <w:tc>
          <w:tcPr>
            <w:tcW w:w="1701" w:type="dxa"/>
            <w:vAlign w:val="center"/>
          </w:tcPr>
          <w:p w14:paraId="6B5B0406" w14:textId="77777777" w:rsidR="00454A29" w:rsidRDefault="00454A29">
            <w:pPr>
              <w:pStyle w:val="ConsPlusNormal"/>
              <w:jc w:val="center"/>
            </w:pPr>
            <w:r>
              <w:t>-</w:t>
            </w:r>
          </w:p>
        </w:tc>
        <w:tc>
          <w:tcPr>
            <w:tcW w:w="1814" w:type="dxa"/>
            <w:vAlign w:val="center"/>
          </w:tcPr>
          <w:p w14:paraId="1DB648A0" w14:textId="77777777" w:rsidR="00454A29" w:rsidRDefault="00454A29">
            <w:pPr>
              <w:pStyle w:val="ConsPlusNormal"/>
              <w:jc w:val="center"/>
            </w:pPr>
            <w:r>
              <w:t>-</w:t>
            </w:r>
          </w:p>
        </w:tc>
      </w:tr>
      <w:tr w:rsidR="00454A29" w14:paraId="533057D1" w14:textId="77777777">
        <w:tc>
          <w:tcPr>
            <w:tcW w:w="567" w:type="dxa"/>
            <w:vMerge/>
          </w:tcPr>
          <w:p w14:paraId="0CAF957A" w14:textId="77777777" w:rsidR="00454A29" w:rsidRDefault="00454A29"/>
        </w:tc>
        <w:tc>
          <w:tcPr>
            <w:tcW w:w="3345" w:type="dxa"/>
            <w:vMerge/>
          </w:tcPr>
          <w:p w14:paraId="47062364" w14:textId="77777777" w:rsidR="00454A29" w:rsidRDefault="00454A29"/>
        </w:tc>
        <w:tc>
          <w:tcPr>
            <w:tcW w:w="1701" w:type="dxa"/>
            <w:vAlign w:val="center"/>
          </w:tcPr>
          <w:p w14:paraId="51888466" w14:textId="77777777" w:rsidR="00454A29" w:rsidRDefault="00454A29">
            <w:pPr>
              <w:pStyle w:val="ConsPlusNormal"/>
              <w:jc w:val="center"/>
            </w:pPr>
            <w:r>
              <w:t>2020</w:t>
            </w:r>
          </w:p>
        </w:tc>
        <w:tc>
          <w:tcPr>
            <w:tcW w:w="1417" w:type="dxa"/>
            <w:vMerge/>
          </w:tcPr>
          <w:p w14:paraId="7D4C2B6C" w14:textId="77777777" w:rsidR="00454A29" w:rsidRDefault="00454A29"/>
        </w:tc>
        <w:tc>
          <w:tcPr>
            <w:tcW w:w="2204" w:type="dxa"/>
            <w:vMerge/>
          </w:tcPr>
          <w:p w14:paraId="6E2ABD6D" w14:textId="77777777" w:rsidR="00454A29" w:rsidRDefault="00454A29"/>
        </w:tc>
        <w:tc>
          <w:tcPr>
            <w:tcW w:w="1417" w:type="dxa"/>
            <w:vMerge/>
          </w:tcPr>
          <w:p w14:paraId="78B1EDB7" w14:textId="77777777" w:rsidR="00454A29" w:rsidRDefault="00454A29"/>
        </w:tc>
        <w:tc>
          <w:tcPr>
            <w:tcW w:w="2324" w:type="dxa"/>
            <w:vMerge/>
          </w:tcPr>
          <w:p w14:paraId="5CF96DB4" w14:textId="77777777" w:rsidR="00454A29" w:rsidRDefault="00454A29"/>
        </w:tc>
        <w:tc>
          <w:tcPr>
            <w:tcW w:w="1701" w:type="dxa"/>
            <w:vAlign w:val="center"/>
          </w:tcPr>
          <w:p w14:paraId="67F285B4" w14:textId="77777777" w:rsidR="00454A29" w:rsidRDefault="00454A29">
            <w:pPr>
              <w:pStyle w:val="ConsPlusNormal"/>
            </w:pPr>
          </w:p>
        </w:tc>
        <w:tc>
          <w:tcPr>
            <w:tcW w:w="1814" w:type="dxa"/>
            <w:vAlign w:val="center"/>
          </w:tcPr>
          <w:p w14:paraId="5E003922" w14:textId="77777777" w:rsidR="00454A29" w:rsidRDefault="00454A29">
            <w:pPr>
              <w:pStyle w:val="ConsPlusNormal"/>
              <w:jc w:val="center"/>
            </w:pPr>
            <w:r>
              <w:t>-</w:t>
            </w:r>
          </w:p>
        </w:tc>
        <w:tc>
          <w:tcPr>
            <w:tcW w:w="1701" w:type="dxa"/>
            <w:vAlign w:val="center"/>
          </w:tcPr>
          <w:p w14:paraId="499CB906" w14:textId="77777777" w:rsidR="00454A29" w:rsidRDefault="00454A29">
            <w:pPr>
              <w:pStyle w:val="ConsPlusNormal"/>
            </w:pPr>
          </w:p>
        </w:tc>
        <w:tc>
          <w:tcPr>
            <w:tcW w:w="1701" w:type="dxa"/>
            <w:vAlign w:val="center"/>
          </w:tcPr>
          <w:p w14:paraId="1C72F5B2" w14:textId="77777777" w:rsidR="00454A29" w:rsidRDefault="00454A29">
            <w:pPr>
              <w:pStyle w:val="ConsPlusNormal"/>
            </w:pPr>
          </w:p>
        </w:tc>
        <w:tc>
          <w:tcPr>
            <w:tcW w:w="1814" w:type="dxa"/>
            <w:vAlign w:val="center"/>
          </w:tcPr>
          <w:p w14:paraId="01487154" w14:textId="77777777" w:rsidR="00454A29" w:rsidRDefault="00454A29">
            <w:pPr>
              <w:pStyle w:val="ConsPlusNormal"/>
            </w:pPr>
          </w:p>
        </w:tc>
      </w:tr>
      <w:tr w:rsidR="00454A29" w14:paraId="4D3A47B7" w14:textId="77777777">
        <w:tc>
          <w:tcPr>
            <w:tcW w:w="567" w:type="dxa"/>
            <w:vMerge/>
          </w:tcPr>
          <w:p w14:paraId="00A5BE87" w14:textId="77777777" w:rsidR="00454A29" w:rsidRDefault="00454A29"/>
        </w:tc>
        <w:tc>
          <w:tcPr>
            <w:tcW w:w="3345" w:type="dxa"/>
            <w:vMerge/>
          </w:tcPr>
          <w:p w14:paraId="718AF890" w14:textId="77777777" w:rsidR="00454A29" w:rsidRDefault="00454A29"/>
        </w:tc>
        <w:tc>
          <w:tcPr>
            <w:tcW w:w="1701" w:type="dxa"/>
            <w:vAlign w:val="center"/>
          </w:tcPr>
          <w:p w14:paraId="7B6E9D01" w14:textId="77777777" w:rsidR="00454A29" w:rsidRDefault="00454A29">
            <w:pPr>
              <w:pStyle w:val="ConsPlusNormal"/>
              <w:jc w:val="center"/>
            </w:pPr>
            <w:r>
              <w:t>2021</w:t>
            </w:r>
          </w:p>
        </w:tc>
        <w:tc>
          <w:tcPr>
            <w:tcW w:w="1417" w:type="dxa"/>
            <w:vMerge/>
          </w:tcPr>
          <w:p w14:paraId="5D8A1BEF" w14:textId="77777777" w:rsidR="00454A29" w:rsidRDefault="00454A29"/>
        </w:tc>
        <w:tc>
          <w:tcPr>
            <w:tcW w:w="2204" w:type="dxa"/>
            <w:vMerge/>
          </w:tcPr>
          <w:p w14:paraId="165E814F" w14:textId="77777777" w:rsidR="00454A29" w:rsidRDefault="00454A29"/>
        </w:tc>
        <w:tc>
          <w:tcPr>
            <w:tcW w:w="1417" w:type="dxa"/>
            <w:vMerge/>
          </w:tcPr>
          <w:p w14:paraId="4293733D" w14:textId="77777777" w:rsidR="00454A29" w:rsidRDefault="00454A29"/>
        </w:tc>
        <w:tc>
          <w:tcPr>
            <w:tcW w:w="2324" w:type="dxa"/>
            <w:vMerge/>
          </w:tcPr>
          <w:p w14:paraId="2DB8C633" w14:textId="77777777" w:rsidR="00454A29" w:rsidRDefault="00454A29"/>
        </w:tc>
        <w:tc>
          <w:tcPr>
            <w:tcW w:w="1701" w:type="dxa"/>
            <w:vAlign w:val="center"/>
          </w:tcPr>
          <w:p w14:paraId="2498609B" w14:textId="77777777" w:rsidR="00454A29" w:rsidRDefault="00454A29">
            <w:pPr>
              <w:pStyle w:val="ConsPlusNormal"/>
            </w:pPr>
          </w:p>
        </w:tc>
        <w:tc>
          <w:tcPr>
            <w:tcW w:w="1814" w:type="dxa"/>
            <w:vAlign w:val="center"/>
          </w:tcPr>
          <w:p w14:paraId="04BED821" w14:textId="77777777" w:rsidR="00454A29" w:rsidRDefault="00454A29">
            <w:pPr>
              <w:pStyle w:val="ConsPlusNormal"/>
            </w:pPr>
          </w:p>
        </w:tc>
        <w:tc>
          <w:tcPr>
            <w:tcW w:w="1701" w:type="dxa"/>
            <w:vAlign w:val="center"/>
          </w:tcPr>
          <w:p w14:paraId="287617D9" w14:textId="77777777" w:rsidR="00454A29" w:rsidRDefault="00454A29">
            <w:pPr>
              <w:pStyle w:val="ConsPlusNormal"/>
            </w:pPr>
          </w:p>
        </w:tc>
        <w:tc>
          <w:tcPr>
            <w:tcW w:w="1701" w:type="dxa"/>
            <w:vAlign w:val="center"/>
          </w:tcPr>
          <w:p w14:paraId="557D999A" w14:textId="77777777" w:rsidR="00454A29" w:rsidRDefault="00454A29">
            <w:pPr>
              <w:pStyle w:val="ConsPlusNormal"/>
            </w:pPr>
          </w:p>
        </w:tc>
        <w:tc>
          <w:tcPr>
            <w:tcW w:w="1814" w:type="dxa"/>
            <w:vAlign w:val="center"/>
          </w:tcPr>
          <w:p w14:paraId="4E7A8482" w14:textId="77777777" w:rsidR="00454A29" w:rsidRDefault="00454A29">
            <w:pPr>
              <w:pStyle w:val="ConsPlusNormal"/>
            </w:pPr>
          </w:p>
        </w:tc>
      </w:tr>
      <w:tr w:rsidR="00454A29" w14:paraId="68B73447" w14:textId="77777777">
        <w:tc>
          <w:tcPr>
            <w:tcW w:w="567" w:type="dxa"/>
            <w:vMerge/>
          </w:tcPr>
          <w:p w14:paraId="4FDE252D" w14:textId="77777777" w:rsidR="00454A29" w:rsidRDefault="00454A29"/>
        </w:tc>
        <w:tc>
          <w:tcPr>
            <w:tcW w:w="3345" w:type="dxa"/>
            <w:vMerge/>
          </w:tcPr>
          <w:p w14:paraId="18450631" w14:textId="77777777" w:rsidR="00454A29" w:rsidRDefault="00454A29"/>
        </w:tc>
        <w:tc>
          <w:tcPr>
            <w:tcW w:w="1701" w:type="dxa"/>
            <w:vAlign w:val="center"/>
          </w:tcPr>
          <w:p w14:paraId="2B0B4D49" w14:textId="77777777" w:rsidR="00454A29" w:rsidRDefault="00454A29">
            <w:pPr>
              <w:pStyle w:val="ConsPlusNormal"/>
              <w:jc w:val="center"/>
            </w:pPr>
            <w:r>
              <w:t>2022</w:t>
            </w:r>
          </w:p>
        </w:tc>
        <w:tc>
          <w:tcPr>
            <w:tcW w:w="1417" w:type="dxa"/>
            <w:vMerge/>
          </w:tcPr>
          <w:p w14:paraId="6BA0A7EF" w14:textId="77777777" w:rsidR="00454A29" w:rsidRDefault="00454A29"/>
        </w:tc>
        <w:tc>
          <w:tcPr>
            <w:tcW w:w="2204" w:type="dxa"/>
            <w:vMerge/>
          </w:tcPr>
          <w:p w14:paraId="0D57616E" w14:textId="77777777" w:rsidR="00454A29" w:rsidRDefault="00454A29"/>
        </w:tc>
        <w:tc>
          <w:tcPr>
            <w:tcW w:w="1417" w:type="dxa"/>
            <w:vMerge/>
          </w:tcPr>
          <w:p w14:paraId="6C417820" w14:textId="77777777" w:rsidR="00454A29" w:rsidRDefault="00454A29"/>
        </w:tc>
        <w:tc>
          <w:tcPr>
            <w:tcW w:w="2324" w:type="dxa"/>
            <w:vMerge/>
          </w:tcPr>
          <w:p w14:paraId="26AA4230" w14:textId="77777777" w:rsidR="00454A29" w:rsidRDefault="00454A29"/>
        </w:tc>
        <w:tc>
          <w:tcPr>
            <w:tcW w:w="1701" w:type="dxa"/>
            <w:vAlign w:val="center"/>
          </w:tcPr>
          <w:p w14:paraId="6CB9E7E7" w14:textId="77777777" w:rsidR="00454A29" w:rsidRDefault="00454A29">
            <w:pPr>
              <w:pStyle w:val="ConsPlusNormal"/>
            </w:pPr>
          </w:p>
        </w:tc>
        <w:tc>
          <w:tcPr>
            <w:tcW w:w="1814" w:type="dxa"/>
            <w:vAlign w:val="center"/>
          </w:tcPr>
          <w:p w14:paraId="33027929" w14:textId="77777777" w:rsidR="00454A29" w:rsidRDefault="00454A29">
            <w:pPr>
              <w:pStyle w:val="ConsPlusNormal"/>
            </w:pPr>
          </w:p>
        </w:tc>
        <w:tc>
          <w:tcPr>
            <w:tcW w:w="1701" w:type="dxa"/>
            <w:vAlign w:val="center"/>
          </w:tcPr>
          <w:p w14:paraId="00EEF7A2" w14:textId="77777777" w:rsidR="00454A29" w:rsidRDefault="00454A29">
            <w:pPr>
              <w:pStyle w:val="ConsPlusNormal"/>
            </w:pPr>
          </w:p>
        </w:tc>
        <w:tc>
          <w:tcPr>
            <w:tcW w:w="1701" w:type="dxa"/>
            <w:vAlign w:val="center"/>
          </w:tcPr>
          <w:p w14:paraId="6A9EBE3E" w14:textId="77777777" w:rsidR="00454A29" w:rsidRDefault="00454A29">
            <w:pPr>
              <w:pStyle w:val="ConsPlusNormal"/>
            </w:pPr>
          </w:p>
        </w:tc>
        <w:tc>
          <w:tcPr>
            <w:tcW w:w="1814" w:type="dxa"/>
            <w:vAlign w:val="center"/>
          </w:tcPr>
          <w:p w14:paraId="66F539CC" w14:textId="77777777" w:rsidR="00454A29" w:rsidRDefault="00454A29">
            <w:pPr>
              <w:pStyle w:val="ConsPlusNormal"/>
            </w:pPr>
          </w:p>
        </w:tc>
      </w:tr>
      <w:tr w:rsidR="00454A29" w14:paraId="679A0FCB" w14:textId="77777777">
        <w:tc>
          <w:tcPr>
            <w:tcW w:w="567" w:type="dxa"/>
            <w:vMerge/>
          </w:tcPr>
          <w:p w14:paraId="575D7A95" w14:textId="77777777" w:rsidR="00454A29" w:rsidRDefault="00454A29"/>
        </w:tc>
        <w:tc>
          <w:tcPr>
            <w:tcW w:w="3345" w:type="dxa"/>
            <w:vMerge/>
          </w:tcPr>
          <w:p w14:paraId="38348A75" w14:textId="77777777" w:rsidR="00454A29" w:rsidRDefault="00454A29"/>
        </w:tc>
        <w:tc>
          <w:tcPr>
            <w:tcW w:w="1701" w:type="dxa"/>
            <w:vAlign w:val="center"/>
          </w:tcPr>
          <w:p w14:paraId="52B08CA9" w14:textId="77777777" w:rsidR="00454A29" w:rsidRDefault="00454A29">
            <w:pPr>
              <w:pStyle w:val="ConsPlusNormal"/>
              <w:jc w:val="center"/>
            </w:pPr>
            <w:r>
              <w:t>2023</w:t>
            </w:r>
          </w:p>
        </w:tc>
        <w:tc>
          <w:tcPr>
            <w:tcW w:w="1417" w:type="dxa"/>
            <w:vMerge/>
          </w:tcPr>
          <w:p w14:paraId="5A110749" w14:textId="77777777" w:rsidR="00454A29" w:rsidRDefault="00454A29"/>
        </w:tc>
        <w:tc>
          <w:tcPr>
            <w:tcW w:w="2204" w:type="dxa"/>
            <w:vMerge/>
          </w:tcPr>
          <w:p w14:paraId="5A5157D4" w14:textId="77777777" w:rsidR="00454A29" w:rsidRDefault="00454A29"/>
        </w:tc>
        <w:tc>
          <w:tcPr>
            <w:tcW w:w="1417" w:type="dxa"/>
            <w:vMerge/>
          </w:tcPr>
          <w:p w14:paraId="7DA357D3" w14:textId="77777777" w:rsidR="00454A29" w:rsidRDefault="00454A29"/>
        </w:tc>
        <w:tc>
          <w:tcPr>
            <w:tcW w:w="2324" w:type="dxa"/>
            <w:vMerge/>
          </w:tcPr>
          <w:p w14:paraId="7E6D247F" w14:textId="77777777" w:rsidR="00454A29" w:rsidRDefault="00454A29"/>
        </w:tc>
        <w:tc>
          <w:tcPr>
            <w:tcW w:w="1701" w:type="dxa"/>
            <w:vAlign w:val="center"/>
          </w:tcPr>
          <w:p w14:paraId="3C1E1D3D" w14:textId="77777777" w:rsidR="00454A29" w:rsidRDefault="00454A29">
            <w:pPr>
              <w:pStyle w:val="ConsPlusNormal"/>
            </w:pPr>
          </w:p>
        </w:tc>
        <w:tc>
          <w:tcPr>
            <w:tcW w:w="1814" w:type="dxa"/>
            <w:vAlign w:val="center"/>
          </w:tcPr>
          <w:p w14:paraId="6A5485CC" w14:textId="77777777" w:rsidR="00454A29" w:rsidRDefault="00454A29">
            <w:pPr>
              <w:pStyle w:val="ConsPlusNormal"/>
            </w:pPr>
          </w:p>
        </w:tc>
        <w:tc>
          <w:tcPr>
            <w:tcW w:w="1701" w:type="dxa"/>
            <w:vAlign w:val="center"/>
          </w:tcPr>
          <w:p w14:paraId="479DDEBE" w14:textId="77777777" w:rsidR="00454A29" w:rsidRDefault="00454A29">
            <w:pPr>
              <w:pStyle w:val="ConsPlusNormal"/>
            </w:pPr>
          </w:p>
        </w:tc>
        <w:tc>
          <w:tcPr>
            <w:tcW w:w="1701" w:type="dxa"/>
            <w:vAlign w:val="center"/>
          </w:tcPr>
          <w:p w14:paraId="0E76EDA0" w14:textId="77777777" w:rsidR="00454A29" w:rsidRDefault="00454A29">
            <w:pPr>
              <w:pStyle w:val="ConsPlusNormal"/>
            </w:pPr>
          </w:p>
        </w:tc>
        <w:tc>
          <w:tcPr>
            <w:tcW w:w="1814" w:type="dxa"/>
            <w:vAlign w:val="center"/>
          </w:tcPr>
          <w:p w14:paraId="0386DB5C" w14:textId="77777777" w:rsidR="00454A29" w:rsidRDefault="00454A29">
            <w:pPr>
              <w:pStyle w:val="ConsPlusNormal"/>
            </w:pPr>
          </w:p>
        </w:tc>
      </w:tr>
      <w:tr w:rsidR="00454A29" w14:paraId="2BDF0F84" w14:textId="77777777">
        <w:tc>
          <w:tcPr>
            <w:tcW w:w="567" w:type="dxa"/>
            <w:vMerge/>
          </w:tcPr>
          <w:p w14:paraId="1C5CC181" w14:textId="77777777" w:rsidR="00454A29" w:rsidRDefault="00454A29"/>
        </w:tc>
        <w:tc>
          <w:tcPr>
            <w:tcW w:w="3345" w:type="dxa"/>
            <w:vMerge/>
          </w:tcPr>
          <w:p w14:paraId="2D7834C7" w14:textId="77777777" w:rsidR="00454A29" w:rsidRDefault="00454A29"/>
        </w:tc>
        <w:tc>
          <w:tcPr>
            <w:tcW w:w="1701" w:type="dxa"/>
            <w:vAlign w:val="center"/>
          </w:tcPr>
          <w:p w14:paraId="778D71A2" w14:textId="77777777" w:rsidR="00454A29" w:rsidRDefault="00454A29">
            <w:pPr>
              <w:pStyle w:val="ConsPlusNormal"/>
              <w:jc w:val="center"/>
            </w:pPr>
            <w:r>
              <w:t>2024</w:t>
            </w:r>
          </w:p>
        </w:tc>
        <w:tc>
          <w:tcPr>
            <w:tcW w:w="1417" w:type="dxa"/>
            <w:vMerge/>
          </w:tcPr>
          <w:p w14:paraId="084D4EAA" w14:textId="77777777" w:rsidR="00454A29" w:rsidRDefault="00454A29"/>
        </w:tc>
        <w:tc>
          <w:tcPr>
            <w:tcW w:w="2204" w:type="dxa"/>
            <w:vMerge/>
          </w:tcPr>
          <w:p w14:paraId="18CF7826" w14:textId="77777777" w:rsidR="00454A29" w:rsidRDefault="00454A29"/>
        </w:tc>
        <w:tc>
          <w:tcPr>
            <w:tcW w:w="1417" w:type="dxa"/>
            <w:vMerge/>
          </w:tcPr>
          <w:p w14:paraId="6A40F99B" w14:textId="77777777" w:rsidR="00454A29" w:rsidRDefault="00454A29"/>
        </w:tc>
        <w:tc>
          <w:tcPr>
            <w:tcW w:w="2324" w:type="dxa"/>
            <w:vMerge/>
          </w:tcPr>
          <w:p w14:paraId="59B4AB2A" w14:textId="77777777" w:rsidR="00454A29" w:rsidRDefault="00454A29"/>
        </w:tc>
        <w:tc>
          <w:tcPr>
            <w:tcW w:w="1701" w:type="dxa"/>
            <w:vAlign w:val="center"/>
          </w:tcPr>
          <w:p w14:paraId="03174DC4" w14:textId="77777777" w:rsidR="00454A29" w:rsidRDefault="00454A29">
            <w:pPr>
              <w:pStyle w:val="ConsPlusNormal"/>
            </w:pPr>
          </w:p>
        </w:tc>
        <w:tc>
          <w:tcPr>
            <w:tcW w:w="1814" w:type="dxa"/>
            <w:vAlign w:val="center"/>
          </w:tcPr>
          <w:p w14:paraId="300F1412" w14:textId="77777777" w:rsidR="00454A29" w:rsidRDefault="00454A29">
            <w:pPr>
              <w:pStyle w:val="ConsPlusNormal"/>
            </w:pPr>
          </w:p>
        </w:tc>
        <w:tc>
          <w:tcPr>
            <w:tcW w:w="1701" w:type="dxa"/>
            <w:vAlign w:val="center"/>
          </w:tcPr>
          <w:p w14:paraId="4D81D566" w14:textId="77777777" w:rsidR="00454A29" w:rsidRDefault="00454A29">
            <w:pPr>
              <w:pStyle w:val="ConsPlusNormal"/>
            </w:pPr>
          </w:p>
        </w:tc>
        <w:tc>
          <w:tcPr>
            <w:tcW w:w="1701" w:type="dxa"/>
            <w:vAlign w:val="center"/>
          </w:tcPr>
          <w:p w14:paraId="08E49941" w14:textId="77777777" w:rsidR="00454A29" w:rsidRDefault="00454A29">
            <w:pPr>
              <w:pStyle w:val="ConsPlusNormal"/>
            </w:pPr>
          </w:p>
        </w:tc>
        <w:tc>
          <w:tcPr>
            <w:tcW w:w="1814" w:type="dxa"/>
            <w:vAlign w:val="center"/>
          </w:tcPr>
          <w:p w14:paraId="44D7F501" w14:textId="77777777" w:rsidR="00454A29" w:rsidRDefault="00454A29">
            <w:pPr>
              <w:pStyle w:val="ConsPlusNormal"/>
            </w:pPr>
          </w:p>
        </w:tc>
      </w:tr>
      <w:tr w:rsidR="00454A29" w14:paraId="776E3AFE" w14:textId="77777777">
        <w:tc>
          <w:tcPr>
            <w:tcW w:w="567" w:type="dxa"/>
            <w:vMerge/>
          </w:tcPr>
          <w:p w14:paraId="276300DD" w14:textId="77777777" w:rsidR="00454A29" w:rsidRDefault="00454A29"/>
        </w:tc>
        <w:tc>
          <w:tcPr>
            <w:tcW w:w="3345" w:type="dxa"/>
            <w:vMerge/>
          </w:tcPr>
          <w:p w14:paraId="1C24E3D2" w14:textId="77777777" w:rsidR="00454A29" w:rsidRDefault="00454A29"/>
        </w:tc>
        <w:tc>
          <w:tcPr>
            <w:tcW w:w="1701" w:type="dxa"/>
            <w:vAlign w:val="center"/>
          </w:tcPr>
          <w:p w14:paraId="4E44B858" w14:textId="77777777" w:rsidR="00454A29" w:rsidRDefault="00454A29">
            <w:pPr>
              <w:pStyle w:val="ConsPlusNormal"/>
              <w:jc w:val="center"/>
            </w:pPr>
            <w:r>
              <w:t>2025</w:t>
            </w:r>
          </w:p>
        </w:tc>
        <w:tc>
          <w:tcPr>
            <w:tcW w:w="1417" w:type="dxa"/>
            <w:vMerge/>
          </w:tcPr>
          <w:p w14:paraId="3D60E5A1" w14:textId="77777777" w:rsidR="00454A29" w:rsidRDefault="00454A29"/>
        </w:tc>
        <w:tc>
          <w:tcPr>
            <w:tcW w:w="2204" w:type="dxa"/>
            <w:vMerge/>
          </w:tcPr>
          <w:p w14:paraId="49562D46" w14:textId="77777777" w:rsidR="00454A29" w:rsidRDefault="00454A29"/>
        </w:tc>
        <w:tc>
          <w:tcPr>
            <w:tcW w:w="1417" w:type="dxa"/>
            <w:vMerge/>
          </w:tcPr>
          <w:p w14:paraId="0A13C3D4" w14:textId="77777777" w:rsidR="00454A29" w:rsidRDefault="00454A29"/>
        </w:tc>
        <w:tc>
          <w:tcPr>
            <w:tcW w:w="2324" w:type="dxa"/>
            <w:vMerge/>
          </w:tcPr>
          <w:p w14:paraId="334C56FC" w14:textId="77777777" w:rsidR="00454A29" w:rsidRDefault="00454A29"/>
        </w:tc>
        <w:tc>
          <w:tcPr>
            <w:tcW w:w="1701" w:type="dxa"/>
            <w:vAlign w:val="center"/>
          </w:tcPr>
          <w:p w14:paraId="12B1D984" w14:textId="77777777" w:rsidR="00454A29" w:rsidRDefault="00454A29">
            <w:pPr>
              <w:pStyle w:val="ConsPlusNormal"/>
            </w:pPr>
          </w:p>
        </w:tc>
        <w:tc>
          <w:tcPr>
            <w:tcW w:w="1814" w:type="dxa"/>
            <w:vAlign w:val="center"/>
          </w:tcPr>
          <w:p w14:paraId="4BF259DF" w14:textId="77777777" w:rsidR="00454A29" w:rsidRDefault="00454A29">
            <w:pPr>
              <w:pStyle w:val="ConsPlusNormal"/>
            </w:pPr>
          </w:p>
        </w:tc>
        <w:tc>
          <w:tcPr>
            <w:tcW w:w="1701" w:type="dxa"/>
            <w:vAlign w:val="center"/>
          </w:tcPr>
          <w:p w14:paraId="2B6E8D57" w14:textId="77777777" w:rsidR="00454A29" w:rsidRDefault="00454A29">
            <w:pPr>
              <w:pStyle w:val="ConsPlusNormal"/>
            </w:pPr>
          </w:p>
        </w:tc>
        <w:tc>
          <w:tcPr>
            <w:tcW w:w="1701" w:type="dxa"/>
            <w:vAlign w:val="center"/>
          </w:tcPr>
          <w:p w14:paraId="4B310777" w14:textId="77777777" w:rsidR="00454A29" w:rsidRDefault="00454A29">
            <w:pPr>
              <w:pStyle w:val="ConsPlusNormal"/>
            </w:pPr>
          </w:p>
        </w:tc>
        <w:tc>
          <w:tcPr>
            <w:tcW w:w="1814" w:type="dxa"/>
            <w:vAlign w:val="center"/>
          </w:tcPr>
          <w:p w14:paraId="32F8374C" w14:textId="77777777" w:rsidR="00454A29" w:rsidRDefault="00454A29">
            <w:pPr>
              <w:pStyle w:val="ConsPlusNormal"/>
            </w:pPr>
          </w:p>
        </w:tc>
      </w:tr>
      <w:tr w:rsidR="00454A29" w14:paraId="79033A87" w14:textId="77777777">
        <w:tc>
          <w:tcPr>
            <w:tcW w:w="567" w:type="dxa"/>
            <w:vMerge/>
          </w:tcPr>
          <w:p w14:paraId="5ADA210D" w14:textId="77777777" w:rsidR="00454A29" w:rsidRDefault="00454A29"/>
        </w:tc>
        <w:tc>
          <w:tcPr>
            <w:tcW w:w="3345" w:type="dxa"/>
            <w:vMerge/>
          </w:tcPr>
          <w:p w14:paraId="7D32D672" w14:textId="77777777" w:rsidR="00454A29" w:rsidRDefault="00454A29"/>
        </w:tc>
        <w:tc>
          <w:tcPr>
            <w:tcW w:w="1701" w:type="dxa"/>
            <w:vAlign w:val="center"/>
          </w:tcPr>
          <w:p w14:paraId="2259D4BE" w14:textId="77777777" w:rsidR="00454A29" w:rsidRDefault="00454A29">
            <w:pPr>
              <w:pStyle w:val="ConsPlusNormal"/>
              <w:jc w:val="center"/>
            </w:pPr>
            <w:r>
              <w:t>2026</w:t>
            </w:r>
          </w:p>
        </w:tc>
        <w:tc>
          <w:tcPr>
            <w:tcW w:w="1417" w:type="dxa"/>
            <w:vMerge/>
          </w:tcPr>
          <w:p w14:paraId="6B434447" w14:textId="77777777" w:rsidR="00454A29" w:rsidRDefault="00454A29"/>
        </w:tc>
        <w:tc>
          <w:tcPr>
            <w:tcW w:w="2204" w:type="dxa"/>
            <w:vMerge/>
          </w:tcPr>
          <w:p w14:paraId="0E9F4E08" w14:textId="77777777" w:rsidR="00454A29" w:rsidRDefault="00454A29"/>
        </w:tc>
        <w:tc>
          <w:tcPr>
            <w:tcW w:w="1417" w:type="dxa"/>
            <w:vMerge/>
          </w:tcPr>
          <w:p w14:paraId="108154A9" w14:textId="77777777" w:rsidR="00454A29" w:rsidRDefault="00454A29"/>
        </w:tc>
        <w:tc>
          <w:tcPr>
            <w:tcW w:w="2324" w:type="dxa"/>
            <w:vMerge/>
          </w:tcPr>
          <w:p w14:paraId="4C99A35F" w14:textId="77777777" w:rsidR="00454A29" w:rsidRDefault="00454A29"/>
        </w:tc>
        <w:tc>
          <w:tcPr>
            <w:tcW w:w="1701" w:type="dxa"/>
            <w:vAlign w:val="center"/>
          </w:tcPr>
          <w:p w14:paraId="3D1D5465" w14:textId="77777777" w:rsidR="00454A29" w:rsidRDefault="00454A29">
            <w:pPr>
              <w:pStyle w:val="ConsPlusNormal"/>
            </w:pPr>
          </w:p>
        </w:tc>
        <w:tc>
          <w:tcPr>
            <w:tcW w:w="1814" w:type="dxa"/>
            <w:vAlign w:val="center"/>
          </w:tcPr>
          <w:p w14:paraId="293B7B36" w14:textId="77777777" w:rsidR="00454A29" w:rsidRDefault="00454A29">
            <w:pPr>
              <w:pStyle w:val="ConsPlusNormal"/>
            </w:pPr>
          </w:p>
        </w:tc>
        <w:tc>
          <w:tcPr>
            <w:tcW w:w="1701" w:type="dxa"/>
            <w:vAlign w:val="center"/>
          </w:tcPr>
          <w:p w14:paraId="69F29C42" w14:textId="77777777" w:rsidR="00454A29" w:rsidRDefault="00454A29">
            <w:pPr>
              <w:pStyle w:val="ConsPlusNormal"/>
            </w:pPr>
          </w:p>
        </w:tc>
        <w:tc>
          <w:tcPr>
            <w:tcW w:w="1701" w:type="dxa"/>
            <w:vAlign w:val="center"/>
          </w:tcPr>
          <w:p w14:paraId="1B61816C" w14:textId="77777777" w:rsidR="00454A29" w:rsidRDefault="00454A29">
            <w:pPr>
              <w:pStyle w:val="ConsPlusNormal"/>
            </w:pPr>
          </w:p>
        </w:tc>
        <w:tc>
          <w:tcPr>
            <w:tcW w:w="1814" w:type="dxa"/>
            <w:vAlign w:val="center"/>
          </w:tcPr>
          <w:p w14:paraId="06AEBFDD" w14:textId="77777777" w:rsidR="00454A29" w:rsidRDefault="00454A29">
            <w:pPr>
              <w:pStyle w:val="ConsPlusNormal"/>
            </w:pPr>
          </w:p>
        </w:tc>
      </w:tr>
      <w:tr w:rsidR="00454A29" w14:paraId="0EF7CAA3" w14:textId="77777777">
        <w:tc>
          <w:tcPr>
            <w:tcW w:w="21706" w:type="dxa"/>
            <w:gridSpan w:val="12"/>
            <w:vAlign w:val="center"/>
          </w:tcPr>
          <w:p w14:paraId="0BE9448F" w14:textId="77777777" w:rsidR="00454A29" w:rsidRDefault="00454A29">
            <w:pPr>
              <w:pStyle w:val="ConsPlusNormal"/>
              <w:jc w:val="center"/>
            </w:pPr>
            <w:r>
              <w:t>Мероприятие 10.6.3.</w:t>
            </w:r>
          </w:p>
        </w:tc>
      </w:tr>
      <w:tr w:rsidR="00454A29" w14:paraId="1DFD083D" w14:textId="77777777">
        <w:tc>
          <w:tcPr>
            <w:tcW w:w="567" w:type="dxa"/>
            <w:vMerge w:val="restart"/>
            <w:vAlign w:val="center"/>
          </w:tcPr>
          <w:p w14:paraId="53259AE4" w14:textId="77777777" w:rsidR="00454A29" w:rsidRDefault="00454A29">
            <w:pPr>
              <w:pStyle w:val="ConsPlusNormal"/>
            </w:pPr>
          </w:p>
        </w:tc>
        <w:tc>
          <w:tcPr>
            <w:tcW w:w="3345" w:type="dxa"/>
            <w:vMerge w:val="restart"/>
            <w:vAlign w:val="center"/>
          </w:tcPr>
          <w:p w14:paraId="64B40833" w14:textId="77777777" w:rsidR="00454A29" w:rsidRDefault="00454A29">
            <w:pPr>
              <w:pStyle w:val="ConsPlusNormal"/>
              <w:jc w:val="center"/>
            </w:pPr>
            <w:r>
              <w:t>Энергосбережение и энергоэффективность государственных профессиональных образовательных организаций</w:t>
            </w:r>
          </w:p>
        </w:tc>
        <w:tc>
          <w:tcPr>
            <w:tcW w:w="1701" w:type="dxa"/>
            <w:vAlign w:val="center"/>
          </w:tcPr>
          <w:p w14:paraId="69AB7187" w14:textId="77777777" w:rsidR="00454A29" w:rsidRDefault="00454A29">
            <w:pPr>
              <w:pStyle w:val="ConsPlusNormal"/>
              <w:jc w:val="center"/>
            </w:pPr>
            <w:r>
              <w:t>Всего:</w:t>
            </w:r>
          </w:p>
        </w:tc>
        <w:tc>
          <w:tcPr>
            <w:tcW w:w="1417" w:type="dxa"/>
            <w:vMerge w:val="restart"/>
            <w:vAlign w:val="center"/>
          </w:tcPr>
          <w:p w14:paraId="712F428C" w14:textId="77777777" w:rsidR="00454A29" w:rsidRDefault="00454A29">
            <w:pPr>
              <w:pStyle w:val="ConsPlusNormal"/>
              <w:jc w:val="center"/>
            </w:pPr>
            <w:r>
              <w:t>х</w:t>
            </w:r>
          </w:p>
        </w:tc>
        <w:tc>
          <w:tcPr>
            <w:tcW w:w="2204" w:type="dxa"/>
            <w:vMerge w:val="restart"/>
            <w:vAlign w:val="center"/>
          </w:tcPr>
          <w:p w14:paraId="3D18F463" w14:textId="77777777" w:rsidR="00454A29" w:rsidRDefault="00454A29">
            <w:pPr>
              <w:pStyle w:val="ConsPlusNormal"/>
              <w:jc w:val="center"/>
            </w:pPr>
            <w:r>
              <w:t>х</w:t>
            </w:r>
          </w:p>
        </w:tc>
        <w:tc>
          <w:tcPr>
            <w:tcW w:w="1417" w:type="dxa"/>
            <w:vMerge w:val="restart"/>
            <w:vAlign w:val="center"/>
          </w:tcPr>
          <w:p w14:paraId="016459CD" w14:textId="77777777" w:rsidR="00454A29" w:rsidRDefault="00454A29">
            <w:pPr>
              <w:pStyle w:val="ConsPlusNormal"/>
              <w:jc w:val="center"/>
            </w:pPr>
            <w:r>
              <w:t>0</w:t>
            </w:r>
          </w:p>
        </w:tc>
        <w:tc>
          <w:tcPr>
            <w:tcW w:w="2324" w:type="dxa"/>
            <w:vMerge w:val="restart"/>
            <w:vAlign w:val="center"/>
          </w:tcPr>
          <w:p w14:paraId="01D5CD2A" w14:textId="77777777" w:rsidR="00454A29" w:rsidRDefault="00454A29">
            <w:pPr>
              <w:pStyle w:val="ConsPlusNormal"/>
              <w:jc w:val="center"/>
            </w:pPr>
            <w:r>
              <w:t>х</w:t>
            </w:r>
          </w:p>
        </w:tc>
        <w:tc>
          <w:tcPr>
            <w:tcW w:w="1701" w:type="dxa"/>
            <w:vAlign w:val="center"/>
          </w:tcPr>
          <w:p w14:paraId="022C86E0" w14:textId="77777777" w:rsidR="00454A29" w:rsidRDefault="00454A29">
            <w:pPr>
              <w:pStyle w:val="ConsPlusNormal"/>
            </w:pPr>
          </w:p>
        </w:tc>
        <w:tc>
          <w:tcPr>
            <w:tcW w:w="1814" w:type="dxa"/>
            <w:vAlign w:val="center"/>
          </w:tcPr>
          <w:p w14:paraId="013EEA59" w14:textId="77777777" w:rsidR="00454A29" w:rsidRDefault="00454A29">
            <w:pPr>
              <w:pStyle w:val="ConsPlusNormal"/>
              <w:jc w:val="center"/>
            </w:pPr>
            <w:r>
              <w:t>-</w:t>
            </w:r>
          </w:p>
        </w:tc>
        <w:tc>
          <w:tcPr>
            <w:tcW w:w="1701" w:type="dxa"/>
            <w:vAlign w:val="center"/>
          </w:tcPr>
          <w:p w14:paraId="65B10E8D" w14:textId="77777777" w:rsidR="00454A29" w:rsidRDefault="00454A29">
            <w:pPr>
              <w:pStyle w:val="ConsPlusNormal"/>
              <w:jc w:val="center"/>
            </w:pPr>
            <w:r>
              <w:t>-</w:t>
            </w:r>
          </w:p>
        </w:tc>
        <w:tc>
          <w:tcPr>
            <w:tcW w:w="1701" w:type="dxa"/>
            <w:vAlign w:val="center"/>
          </w:tcPr>
          <w:p w14:paraId="54881D22" w14:textId="77777777" w:rsidR="00454A29" w:rsidRDefault="00454A29">
            <w:pPr>
              <w:pStyle w:val="ConsPlusNormal"/>
              <w:jc w:val="center"/>
            </w:pPr>
            <w:r>
              <w:t>-</w:t>
            </w:r>
          </w:p>
        </w:tc>
        <w:tc>
          <w:tcPr>
            <w:tcW w:w="1814" w:type="dxa"/>
            <w:vAlign w:val="center"/>
          </w:tcPr>
          <w:p w14:paraId="04D29725" w14:textId="77777777" w:rsidR="00454A29" w:rsidRDefault="00454A29">
            <w:pPr>
              <w:pStyle w:val="ConsPlusNormal"/>
              <w:jc w:val="center"/>
            </w:pPr>
            <w:r>
              <w:t>-</w:t>
            </w:r>
          </w:p>
        </w:tc>
      </w:tr>
      <w:tr w:rsidR="00454A29" w14:paraId="6FCC6912" w14:textId="77777777">
        <w:tc>
          <w:tcPr>
            <w:tcW w:w="567" w:type="dxa"/>
            <w:vMerge/>
          </w:tcPr>
          <w:p w14:paraId="0F31BC91" w14:textId="77777777" w:rsidR="00454A29" w:rsidRDefault="00454A29"/>
        </w:tc>
        <w:tc>
          <w:tcPr>
            <w:tcW w:w="3345" w:type="dxa"/>
            <w:vMerge/>
          </w:tcPr>
          <w:p w14:paraId="021BC731" w14:textId="77777777" w:rsidR="00454A29" w:rsidRDefault="00454A29"/>
        </w:tc>
        <w:tc>
          <w:tcPr>
            <w:tcW w:w="1701" w:type="dxa"/>
            <w:vAlign w:val="center"/>
          </w:tcPr>
          <w:p w14:paraId="7EB56555" w14:textId="77777777" w:rsidR="00454A29" w:rsidRDefault="00454A29">
            <w:pPr>
              <w:pStyle w:val="ConsPlusNormal"/>
              <w:jc w:val="center"/>
            </w:pPr>
            <w:r>
              <w:t>2020</w:t>
            </w:r>
          </w:p>
        </w:tc>
        <w:tc>
          <w:tcPr>
            <w:tcW w:w="1417" w:type="dxa"/>
            <w:vMerge/>
          </w:tcPr>
          <w:p w14:paraId="0FFD797A" w14:textId="77777777" w:rsidR="00454A29" w:rsidRDefault="00454A29"/>
        </w:tc>
        <w:tc>
          <w:tcPr>
            <w:tcW w:w="2204" w:type="dxa"/>
            <w:vMerge/>
          </w:tcPr>
          <w:p w14:paraId="0A29F0A6" w14:textId="77777777" w:rsidR="00454A29" w:rsidRDefault="00454A29"/>
        </w:tc>
        <w:tc>
          <w:tcPr>
            <w:tcW w:w="1417" w:type="dxa"/>
            <w:vMerge/>
          </w:tcPr>
          <w:p w14:paraId="0601D40B" w14:textId="77777777" w:rsidR="00454A29" w:rsidRDefault="00454A29"/>
        </w:tc>
        <w:tc>
          <w:tcPr>
            <w:tcW w:w="2324" w:type="dxa"/>
            <w:vMerge/>
          </w:tcPr>
          <w:p w14:paraId="0F306545" w14:textId="77777777" w:rsidR="00454A29" w:rsidRDefault="00454A29"/>
        </w:tc>
        <w:tc>
          <w:tcPr>
            <w:tcW w:w="1701" w:type="dxa"/>
            <w:vAlign w:val="center"/>
          </w:tcPr>
          <w:p w14:paraId="4EA9AF2E" w14:textId="77777777" w:rsidR="00454A29" w:rsidRDefault="00454A29">
            <w:pPr>
              <w:pStyle w:val="ConsPlusNormal"/>
            </w:pPr>
          </w:p>
        </w:tc>
        <w:tc>
          <w:tcPr>
            <w:tcW w:w="1814" w:type="dxa"/>
            <w:vAlign w:val="center"/>
          </w:tcPr>
          <w:p w14:paraId="5EB24A81" w14:textId="77777777" w:rsidR="00454A29" w:rsidRDefault="00454A29">
            <w:pPr>
              <w:pStyle w:val="ConsPlusNormal"/>
            </w:pPr>
          </w:p>
        </w:tc>
        <w:tc>
          <w:tcPr>
            <w:tcW w:w="1701" w:type="dxa"/>
            <w:vAlign w:val="center"/>
          </w:tcPr>
          <w:p w14:paraId="78E12C0C" w14:textId="77777777" w:rsidR="00454A29" w:rsidRDefault="00454A29">
            <w:pPr>
              <w:pStyle w:val="ConsPlusNormal"/>
            </w:pPr>
          </w:p>
        </w:tc>
        <w:tc>
          <w:tcPr>
            <w:tcW w:w="1701" w:type="dxa"/>
            <w:vAlign w:val="center"/>
          </w:tcPr>
          <w:p w14:paraId="7163CBDB" w14:textId="77777777" w:rsidR="00454A29" w:rsidRDefault="00454A29">
            <w:pPr>
              <w:pStyle w:val="ConsPlusNormal"/>
            </w:pPr>
          </w:p>
        </w:tc>
        <w:tc>
          <w:tcPr>
            <w:tcW w:w="1814" w:type="dxa"/>
            <w:vAlign w:val="center"/>
          </w:tcPr>
          <w:p w14:paraId="1C90885F" w14:textId="77777777" w:rsidR="00454A29" w:rsidRDefault="00454A29">
            <w:pPr>
              <w:pStyle w:val="ConsPlusNormal"/>
            </w:pPr>
          </w:p>
        </w:tc>
      </w:tr>
      <w:tr w:rsidR="00454A29" w14:paraId="792B9DC6" w14:textId="77777777">
        <w:tc>
          <w:tcPr>
            <w:tcW w:w="567" w:type="dxa"/>
            <w:vMerge/>
          </w:tcPr>
          <w:p w14:paraId="0FE7B919" w14:textId="77777777" w:rsidR="00454A29" w:rsidRDefault="00454A29"/>
        </w:tc>
        <w:tc>
          <w:tcPr>
            <w:tcW w:w="3345" w:type="dxa"/>
            <w:vMerge/>
          </w:tcPr>
          <w:p w14:paraId="47B4BABD" w14:textId="77777777" w:rsidR="00454A29" w:rsidRDefault="00454A29"/>
        </w:tc>
        <w:tc>
          <w:tcPr>
            <w:tcW w:w="1701" w:type="dxa"/>
            <w:vAlign w:val="center"/>
          </w:tcPr>
          <w:p w14:paraId="7B6CC983" w14:textId="77777777" w:rsidR="00454A29" w:rsidRDefault="00454A29">
            <w:pPr>
              <w:pStyle w:val="ConsPlusNormal"/>
              <w:jc w:val="center"/>
            </w:pPr>
            <w:r>
              <w:t>2021</w:t>
            </w:r>
          </w:p>
        </w:tc>
        <w:tc>
          <w:tcPr>
            <w:tcW w:w="1417" w:type="dxa"/>
            <w:vMerge/>
          </w:tcPr>
          <w:p w14:paraId="177B932A" w14:textId="77777777" w:rsidR="00454A29" w:rsidRDefault="00454A29"/>
        </w:tc>
        <w:tc>
          <w:tcPr>
            <w:tcW w:w="2204" w:type="dxa"/>
            <w:vMerge/>
          </w:tcPr>
          <w:p w14:paraId="7AC96D5F" w14:textId="77777777" w:rsidR="00454A29" w:rsidRDefault="00454A29"/>
        </w:tc>
        <w:tc>
          <w:tcPr>
            <w:tcW w:w="1417" w:type="dxa"/>
            <w:vMerge/>
          </w:tcPr>
          <w:p w14:paraId="1C75E1C8" w14:textId="77777777" w:rsidR="00454A29" w:rsidRDefault="00454A29"/>
        </w:tc>
        <w:tc>
          <w:tcPr>
            <w:tcW w:w="2324" w:type="dxa"/>
            <w:vMerge/>
          </w:tcPr>
          <w:p w14:paraId="71636A54" w14:textId="77777777" w:rsidR="00454A29" w:rsidRDefault="00454A29"/>
        </w:tc>
        <w:tc>
          <w:tcPr>
            <w:tcW w:w="1701" w:type="dxa"/>
            <w:vAlign w:val="center"/>
          </w:tcPr>
          <w:p w14:paraId="0DF30CF5" w14:textId="77777777" w:rsidR="00454A29" w:rsidRDefault="00454A29">
            <w:pPr>
              <w:pStyle w:val="ConsPlusNormal"/>
            </w:pPr>
          </w:p>
        </w:tc>
        <w:tc>
          <w:tcPr>
            <w:tcW w:w="1814" w:type="dxa"/>
            <w:vAlign w:val="center"/>
          </w:tcPr>
          <w:p w14:paraId="4044D0F8" w14:textId="77777777" w:rsidR="00454A29" w:rsidRDefault="00454A29">
            <w:pPr>
              <w:pStyle w:val="ConsPlusNormal"/>
            </w:pPr>
          </w:p>
        </w:tc>
        <w:tc>
          <w:tcPr>
            <w:tcW w:w="1701" w:type="dxa"/>
            <w:vAlign w:val="center"/>
          </w:tcPr>
          <w:p w14:paraId="2B119C40" w14:textId="77777777" w:rsidR="00454A29" w:rsidRDefault="00454A29">
            <w:pPr>
              <w:pStyle w:val="ConsPlusNormal"/>
            </w:pPr>
          </w:p>
        </w:tc>
        <w:tc>
          <w:tcPr>
            <w:tcW w:w="1701" w:type="dxa"/>
            <w:vAlign w:val="center"/>
          </w:tcPr>
          <w:p w14:paraId="5DA41B24" w14:textId="77777777" w:rsidR="00454A29" w:rsidRDefault="00454A29">
            <w:pPr>
              <w:pStyle w:val="ConsPlusNormal"/>
            </w:pPr>
          </w:p>
        </w:tc>
        <w:tc>
          <w:tcPr>
            <w:tcW w:w="1814" w:type="dxa"/>
            <w:vAlign w:val="center"/>
          </w:tcPr>
          <w:p w14:paraId="7BB21063" w14:textId="77777777" w:rsidR="00454A29" w:rsidRDefault="00454A29">
            <w:pPr>
              <w:pStyle w:val="ConsPlusNormal"/>
            </w:pPr>
          </w:p>
        </w:tc>
      </w:tr>
      <w:tr w:rsidR="00454A29" w14:paraId="151D2064" w14:textId="77777777">
        <w:tc>
          <w:tcPr>
            <w:tcW w:w="567" w:type="dxa"/>
            <w:vMerge/>
          </w:tcPr>
          <w:p w14:paraId="19509FDB" w14:textId="77777777" w:rsidR="00454A29" w:rsidRDefault="00454A29"/>
        </w:tc>
        <w:tc>
          <w:tcPr>
            <w:tcW w:w="3345" w:type="dxa"/>
            <w:vMerge/>
          </w:tcPr>
          <w:p w14:paraId="45114FD4" w14:textId="77777777" w:rsidR="00454A29" w:rsidRDefault="00454A29"/>
        </w:tc>
        <w:tc>
          <w:tcPr>
            <w:tcW w:w="1701" w:type="dxa"/>
            <w:vAlign w:val="center"/>
          </w:tcPr>
          <w:p w14:paraId="4430457E" w14:textId="77777777" w:rsidR="00454A29" w:rsidRDefault="00454A29">
            <w:pPr>
              <w:pStyle w:val="ConsPlusNormal"/>
              <w:jc w:val="center"/>
            </w:pPr>
            <w:r>
              <w:t>2022</w:t>
            </w:r>
          </w:p>
        </w:tc>
        <w:tc>
          <w:tcPr>
            <w:tcW w:w="1417" w:type="dxa"/>
            <w:vMerge/>
          </w:tcPr>
          <w:p w14:paraId="0AE6C593" w14:textId="77777777" w:rsidR="00454A29" w:rsidRDefault="00454A29"/>
        </w:tc>
        <w:tc>
          <w:tcPr>
            <w:tcW w:w="2204" w:type="dxa"/>
            <w:vMerge/>
          </w:tcPr>
          <w:p w14:paraId="523640DD" w14:textId="77777777" w:rsidR="00454A29" w:rsidRDefault="00454A29"/>
        </w:tc>
        <w:tc>
          <w:tcPr>
            <w:tcW w:w="1417" w:type="dxa"/>
            <w:vMerge/>
          </w:tcPr>
          <w:p w14:paraId="06633B6D" w14:textId="77777777" w:rsidR="00454A29" w:rsidRDefault="00454A29"/>
        </w:tc>
        <w:tc>
          <w:tcPr>
            <w:tcW w:w="2324" w:type="dxa"/>
            <w:vMerge/>
          </w:tcPr>
          <w:p w14:paraId="27EB6F9C" w14:textId="77777777" w:rsidR="00454A29" w:rsidRDefault="00454A29"/>
        </w:tc>
        <w:tc>
          <w:tcPr>
            <w:tcW w:w="1701" w:type="dxa"/>
            <w:vAlign w:val="center"/>
          </w:tcPr>
          <w:p w14:paraId="0E257131" w14:textId="77777777" w:rsidR="00454A29" w:rsidRDefault="00454A29">
            <w:pPr>
              <w:pStyle w:val="ConsPlusNormal"/>
            </w:pPr>
          </w:p>
        </w:tc>
        <w:tc>
          <w:tcPr>
            <w:tcW w:w="1814" w:type="dxa"/>
            <w:vAlign w:val="center"/>
          </w:tcPr>
          <w:p w14:paraId="4D741D25" w14:textId="77777777" w:rsidR="00454A29" w:rsidRDefault="00454A29">
            <w:pPr>
              <w:pStyle w:val="ConsPlusNormal"/>
            </w:pPr>
          </w:p>
        </w:tc>
        <w:tc>
          <w:tcPr>
            <w:tcW w:w="1701" w:type="dxa"/>
            <w:vAlign w:val="center"/>
          </w:tcPr>
          <w:p w14:paraId="7A8F050E" w14:textId="77777777" w:rsidR="00454A29" w:rsidRDefault="00454A29">
            <w:pPr>
              <w:pStyle w:val="ConsPlusNormal"/>
            </w:pPr>
          </w:p>
        </w:tc>
        <w:tc>
          <w:tcPr>
            <w:tcW w:w="1701" w:type="dxa"/>
            <w:vAlign w:val="center"/>
          </w:tcPr>
          <w:p w14:paraId="5BC1EA83" w14:textId="77777777" w:rsidR="00454A29" w:rsidRDefault="00454A29">
            <w:pPr>
              <w:pStyle w:val="ConsPlusNormal"/>
            </w:pPr>
          </w:p>
        </w:tc>
        <w:tc>
          <w:tcPr>
            <w:tcW w:w="1814" w:type="dxa"/>
            <w:vAlign w:val="center"/>
          </w:tcPr>
          <w:p w14:paraId="394E8A51" w14:textId="77777777" w:rsidR="00454A29" w:rsidRDefault="00454A29">
            <w:pPr>
              <w:pStyle w:val="ConsPlusNormal"/>
            </w:pPr>
          </w:p>
        </w:tc>
      </w:tr>
      <w:tr w:rsidR="00454A29" w14:paraId="63F43364" w14:textId="77777777">
        <w:tc>
          <w:tcPr>
            <w:tcW w:w="567" w:type="dxa"/>
            <w:vMerge/>
          </w:tcPr>
          <w:p w14:paraId="19706370" w14:textId="77777777" w:rsidR="00454A29" w:rsidRDefault="00454A29"/>
        </w:tc>
        <w:tc>
          <w:tcPr>
            <w:tcW w:w="3345" w:type="dxa"/>
            <w:vMerge/>
          </w:tcPr>
          <w:p w14:paraId="07A381A1" w14:textId="77777777" w:rsidR="00454A29" w:rsidRDefault="00454A29"/>
        </w:tc>
        <w:tc>
          <w:tcPr>
            <w:tcW w:w="1701" w:type="dxa"/>
            <w:vAlign w:val="center"/>
          </w:tcPr>
          <w:p w14:paraId="26B0AAF9" w14:textId="77777777" w:rsidR="00454A29" w:rsidRDefault="00454A29">
            <w:pPr>
              <w:pStyle w:val="ConsPlusNormal"/>
              <w:jc w:val="center"/>
            </w:pPr>
            <w:r>
              <w:t>2023</w:t>
            </w:r>
          </w:p>
        </w:tc>
        <w:tc>
          <w:tcPr>
            <w:tcW w:w="1417" w:type="dxa"/>
            <w:vMerge/>
          </w:tcPr>
          <w:p w14:paraId="629BCFBF" w14:textId="77777777" w:rsidR="00454A29" w:rsidRDefault="00454A29"/>
        </w:tc>
        <w:tc>
          <w:tcPr>
            <w:tcW w:w="2204" w:type="dxa"/>
            <w:vMerge/>
          </w:tcPr>
          <w:p w14:paraId="0E7DC28F" w14:textId="77777777" w:rsidR="00454A29" w:rsidRDefault="00454A29"/>
        </w:tc>
        <w:tc>
          <w:tcPr>
            <w:tcW w:w="1417" w:type="dxa"/>
            <w:vMerge/>
          </w:tcPr>
          <w:p w14:paraId="099D9835" w14:textId="77777777" w:rsidR="00454A29" w:rsidRDefault="00454A29"/>
        </w:tc>
        <w:tc>
          <w:tcPr>
            <w:tcW w:w="2324" w:type="dxa"/>
            <w:vMerge/>
          </w:tcPr>
          <w:p w14:paraId="7DE4DBD4" w14:textId="77777777" w:rsidR="00454A29" w:rsidRDefault="00454A29"/>
        </w:tc>
        <w:tc>
          <w:tcPr>
            <w:tcW w:w="1701" w:type="dxa"/>
            <w:vAlign w:val="center"/>
          </w:tcPr>
          <w:p w14:paraId="4FD24528" w14:textId="77777777" w:rsidR="00454A29" w:rsidRDefault="00454A29">
            <w:pPr>
              <w:pStyle w:val="ConsPlusNormal"/>
            </w:pPr>
          </w:p>
        </w:tc>
        <w:tc>
          <w:tcPr>
            <w:tcW w:w="1814" w:type="dxa"/>
            <w:vAlign w:val="center"/>
          </w:tcPr>
          <w:p w14:paraId="50B3F429" w14:textId="77777777" w:rsidR="00454A29" w:rsidRDefault="00454A29">
            <w:pPr>
              <w:pStyle w:val="ConsPlusNormal"/>
            </w:pPr>
          </w:p>
        </w:tc>
        <w:tc>
          <w:tcPr>
            <w:tcW w:w="1701" w:type="dxa"/>
            <w:vAlign w:val="center"/>
          </w:tcPr>
          <w:p w14:paraId="22AAA090" w14:textId="77777777" w:rsidR="00454A29" w:rsidRDefault="00454A29">
            <w:pPr>
              <w:pStyle w:val="ConsPlusNormal"/>
            </w:pPr>
          </w:p>
        </w:tc>
        <w:tc>
          <w:tcPr>
            <w:tcW w:w="1701" w:type="dxa"/>
            <w:vAlign w:val="center"/>
          </w:tcPr>
          <w:p w14:paraId="06DE7BB9" w14:textId="77777777" w:rsidR="00454A29" w:rsidRDefault="00454A29">
            <w:pPr>
              <w:pStyle w:val="ConsPlusNormal"/>
            </w:pPr>
          </w:p>
        </w:tc>
        <w:tc>
          <w:tcPr>
            <w:tcW w:w="1814" w:type="dxa"/>
            <w:vAlign w:val="center"/>
          </w:tcPr>
          <w:p w14:paraId="203D1FA8" w14:textId="77777777" w:rsidR="00454A29" w:rsidRDefault="00454A29">
            <w:pPr>
              <w:pStyle w:val="ConsPlusNormal"/>
            </w:pPr>
          </w:p>
        </w:tc>
      </w:tr>
      <w:tr w:rsidR="00454A29" w14:paraId="115C399F" w14:textId="77777777">
        <w:tc>
          <w:tcPr>
            <w:tcW w:w="567" w:type="dxa"/>
            <w:vMerge/>
          </w:tcPr>
          <w:p w14:paraId="2A64687C" w14:textId="77777777" w:rsidR="00454A29" w:rsidRDefault="00454A29"/>
        </w:tc>
        <w:tc>
          <w:tcPr>
            <w:tcW w:w="3345" w:type="dxa"/>
            <w:vMerge/>
          </w:tcPr>
          <w:p w14:paraId="690918C3" w14:textId="77777777" w:rsidR="00454A29" w:rsidRDefault="00454A29"/>
        </w:tc>
        <w:tc>
          <w:tcPr>
            <w:tcW w:w="1701" w:type="dxa"/>
            <w:vAlign w:val="center"/>
          </w:tcPr>
          <w:p w14:paraId="1D07E821" w14:textId="77777777" w:rsidR="00454A29" w:rsidRDefault="00454A29">
            <w:pPr>
              <w:pStyle w:val="ConsPlusNormal"/>
              <w:jc w:val="center"/>
            </w:pPr>
            <w:r>
              <w:t>2024</w:t>
            </w:r>
          </w:p>
        </w:tc>
        <w:tc>
          <w:tcPr>
            <w:tcW w:w="1417" w:type="dxa"/>
            <w:vMerge/>
          </w:tcPr>
          <w:p w14:paraId="5360F40F" w14:textId="77777777" w:rsidR="00454A29" w:rsidRDefault="00454A29"/>
        </w:tc>
        <w:tc>
          <w:tcPr>
            <w:tcW w:w="2204" w:type="dxa"/>
            <w:vMerge/>
          </w:tcPr>
          <w:p w14:paraId="497FB485" w14:textId="77777777" w:rsidR="00454A29" w:rsidRDefault="00454A29"/>
        </w:tc>
        <w:tc>
          <w:tcPr>
            <w:tcW w:w="1417" w:type="dxa"/>
            <w:vMerge/>
          </w:tcPr>
          <w:p w14:paraId="433D40B0" w14:textId="77777777" w:rsidR="00454A29" w:rsidRDefault="00454A29"/>
        </w:tc>
        <w:tc>
          <w:tcPr>
            <w:tcW w:w="2324" w:type="dxa"/>
            <w:vMerge/>
          </w:tcPr>
          <w:p w14:paraId="1FE768C5" w14:textId="77777777" w:rsidR="00454A29" w:rsidRDefault="00454A29"/>
        </w:tc>
        <w:tc>
          <w:tcPr>
            <w:tcW w:w="1701" w:type="dxa"/>
            <w:vAlign w:val="center"/>
          </w:tcPr>
          <w:p w14:paraId="0BAB1653" w14:textId="77777777" w:rsidR="00454A29" w:rsidRDefault="00454A29">
            <w:pPr>
              <w:pStyle w:val="ConsPlusNormal"/>
            </w:pPr>
          </w:p>
        </w:tc>
        <w:tc>
          <w:tcPr>
            <w:tcW w:w="1814" w:type="dxa"/>
            <w:vAlign w:val="center"/>
          </w:tcPr>
          <w:p w14:paraId="3D842FF1" w14:textId="77777777" w:rsidR="00454A29" w:rsidRDefault="00454A29">
            <w:pPr>
              <w:pStyle w:val="ConsPlusNormal"/>
            </w:pPr>
          </w:p>
        </w:tc>
        <w:tc>
          <w:tcPr>
            <w:tcW w:w="1701" w:type="dxa"/>
            <w:vAlign w:val="center"/>
          </w:tcPr>
          <w:p w14:paraId="132FF676" w14:textId="77777777" w:rsidR="00454A29" w:rsidRDefault="00454A29">
            <w:pPr>
              <w:pStyle w:val="ConsPlusNormal"/>
            </w:pPr>
          </w:p>
        </w:tc>
        <w:tc>
          <w:tcPr>
            <w:tcW w:w="1701" w:type="dxa"/>
            <w:vAlign w:val="center"/>
          </w:tcPr>
          <w:p w14:paraId="320ED267" w14:textId="77777777" w:rsidR="00454A29" w:rsidRDefault="00454A29">
            <w:pPr>
              <w:pStyle w:val="ConsPlusNormal"/>
            </w:pPr>
          </w:p>
        </w:tc>
        <w:tc>
          <w:tcPr>
            <w:tcW w:w="1814" w:type="dxa"/>
            <w:vAlign w:val="center"/>
          </w:tcPr>
          <w:p w14:paraId="7DAA8278" w14:textId="77777777" w:rsidR="00454A29" w:rsidRDefault="00454A29">
            <w:pPr>
              <w:pStyle w:val="ConsPlusNormal"/>
            </w:pPr>
          </w:p>
        </w:tc>
      </w:tr>
      <w:tr w:rsidR="00454A29" w14:paraId="42759C0B" w14:textId="77777777">
        <w:tc>
          <w:tcPr>
            <w:tcW w:w="567" w:type="dxa"/>
            <w:vMerge/>
          </w:tcPr>
          <w:p w14:paraId="1A1B3E57" w14:textId="77777777" w:rsidR="00454A29" w:rsidRDefault="00454A29"/>
        </w:tc>
        <w:tc>
          <w:tcPr>
            <w:tcW w:w="3345" w:type="dxa"/>
            <w:vMerge/>
          </w:tcPr>
          <w:p w14:paraId="22333E37" w14:textId="77777777" w:rsidR="00454A29" w:rsidRDefault="00454A29"/>
        </w:tc>
        <w:tc>
          <w:tcPr>
            <w:tcW w:w="1701" w:type="dxa"/>
            <w:vAlign w:val="center"/>
          </w:tcPr>
          <w:p w14:paraId="22E676B6" w14:textId="77777777" w:rsidR="00454A29" w:rsidRDefault="00454A29">
            <w:pPr>
              <w:pStyle w:val="ConsPlusNormal"/>
              <w:jc w:val="center"/>
            </w:pPr>
            <w:r>
              <w:t>2025</w:t>
            </w:r>
          </w:p>
        </w:tc>
        <w:tc>
          <w:tcPr>
            <w:tcW w:w="1417" w:type="dxa"/>
            <w:vMerge/>
          </w:tcPr>
          <w:p w14:paraId="7E64D677" w14:textId="77777777" w:rsidR="00454A29" w:rsidRDefault="00454A29"/>
        </w:tc>
        <w:tc>
          <w:tcPr>
            <w:tcW w:w="2204" w:type="dxa"/>
            <w:vMerge/>
          </w:tcPr>
          <w:p w14:paraId="7D8495D4" w14:textId="77777777" w:rsidR="00454A29" w:rsidRDefault="00454A29"/>
        </w:tc>
        <w:tc>
          <w:tcPr>
            <w:tcW w:w="1417" w:type="dxa"/>
            <w:vMerge/>
          </w:tcPr>
          <w:p w14:paraId="6274D6EE" w14:textId="77777777" w:rsidR="00454A29" w:rsidRDefault="00454A29"/>
        </w:tc>
        <w:tc>
          <w:tcPr>
            <w:tcW w:w="2324" w:type="dxa"/>
            <w:vMerge/>
          </w:tcPr>
          <w:p w14:paraId="37665E79" w14:textId="77777777" w:rsidR="00454A29" w:rsidRDefault="00454A29"/>
        </w:tc>
        <w:tc>
          <w:tcPr>
            <w:tcW w:w="1701" w:type="dxa"/>
            <w:vAlign w:val="center"/>
          </w:tcPr>
          <w:p w14:paraId="6D432504" w14:textId="77777777" w:rsidR="00454A29" w:rsidRDefault="00454A29">
            <w:pPr>
              <w:pStyle w:val="ConsPlusNormal"/>
            </w:pPr>
          </w:p>
        </w:tc>
        <w:tc>
          <w:tcPr>
            <w:tcW w:w="1814" w:type="dxa"/>
            <w:vAlign w:val="center"/>
          </w:tcPr>
          <w:p w14:paraId="43EFFB38" w14:textId="77777777" w:rsidR="00454A29" w:rsidRDefault="00454A29">
            <w:pPr>
              <w:pStyle w:val="ConsPlusNormal"/>
            </w:pPr>
          </w:p>
        </w:tc>
        <w:tc>
          <w:tcPr>
            <w:tcW w:w="1701" w:type="dxa"/>
            <w:vAlign w:val="center"/>
          </w:tcPr>
          <w:p w14:paraId="68857B6B" w14:textId="77777777" w:rsidR="00454A29" w:rsidRDefault="00454A29">
            <w:pPr>
              <w:pStyle w:val="ConsPlusNormal"/>
            </w:pPr>
          </w:p>
        </w:tc>
        <w:tc>
          <w:tcPr>
            <w:tcW w:w="1701" w:type="dxa"/>
            <w:vAlign w:val="center"/>
          </w:tcPr>
          <w:p w14:paraId="63DC9D2C" w14:textId="77777777" w:rsidR="00454A29" w:rsidRDefault="00454A29">
            <w:pPr>
              <w:pStyle w:val="ConsPlusNormal"/>
            </w:pPr>
          </w:p>
        </w:tc>
        <w:tc>
          <w:tcPr>
            <w:tcW w:w="1814" w:type="dxa"/>
            <w:vAlign w:val="center"/>
          </w:tcPr>
          <w:p w14:paraId="21869101" w14:textId="77777777" w:rsidR="00454A29" w:rsidRDefault="00454A29">
            <w:pPr>
              <w:pStyle w:val="ConsPlusNormal"/>
            </w:pPr>
          </w:p>
        </w:tc>
      </w:tr>
      <w:tr w:rsidR="00454A29" w14:paraId="1F58A86A" w14:textId="77777777">
        <w:tc>
          <w:tcPr>
            <w:tcW w:w="567" w:type="dxa"/>
            <w:vMerge/>
          </w:tcPr>
          <w:p w14:paraId="34F0332E" w14:textId="77777777" w:rsidR="00454A29" w:rsidRDefault="00454A29"/>
        </w:tc>
        <w:tc>
          <w:tcPr>
            <w:tcW w:w="3345" w:type="dxa"/>
            <w:vMerge/>
          </w:tcPr>
          <w:p w14:paraId="7DE835BD" w14:textId="77777777" w:rsidR="00454A29" w:rsidRDefault="00454A29"/>
        </w:tc>
        <w:tc>
          <w:tcPr>
            <w:tcW w:w="1701" w:type="dxa"/>
            <w:vAlign w:val="center"/>
          </w:tcPr>
          <w:p w14:paraId="50627F2E" w14:textId="77777777" w:rsidR="00454A29" w:rsidRDefault="00454A29">
            <w:pPr>
              <w:pStyle w:val="ConsPlusNormal"/>
              <w:jc w:val="center"/>
            </w:pPr>
            <w:r>
              <w:t>2026</w:t>
            </w:r>
          </w:p>
        </w:tc>
        <w:tc>
          <w:tcPr>
            <w:tcW w:w="1417" w:type="dxa"/>
            <w:vMerge/>
          </w:tcPr>
          <w:p w14:paraId="6DB5FAB9" w14:textId="77777777" w:rsidR="00454A29" w:rsidRDefault="00454A29"/>
        </w:tc>
        <w:tc>
          <w:tcPr>
            <w:tcW w:w="2204" w:type="dxa"/>
            <w:vMerge/>
          </w:tcPr>
          <w:p w14:paraId="79608470" w14:textId="77777777" w:rsidR="00454A29" w:rsidRDefault="00454A29"/>
        </w:tc>
        <w:tc>
          <w:tcPr>
            <w:tcW w:w="1417" w:type="dxa"/>
            <w:vMerge/>
          </w:tcPr>
          <w:p w14:paraId="06C5B8FF" w14:textId="77777777" w:rsidR="00454A29" w:rsidRDefault="00454A29"/>
        </w:tc>
        <w:tc>
          <w:tcPr>
            <w:tcW w:w="2324" w:type="dxa"/>
            <w:vMerge/>
          </w:tcPr>
          <w:p w14:paraId="6A56CF4C" w14:textId="77777777" w:rsidR="00454A29" w:rsidRDefault="00454A29"/>
        </w:tc>
        <w:tc>
          <w:tcPr>
            <w:tcW w:w="1701" w:type="dxa"/>
            <w:vAlign w:val="center"/>
          </w:tcPr>
          <w:p w14:paraId="1F5B8D73" w14:textId="77777777" w:rsidR="00454A29" w:rsidRDefault="00454A29">
            <w:pPr>
              <w:pStyle w:val="ConsPlusNormal"/>
            </w:pPr>
          </w:p>
        </w:tc>
        <w:tc>
          <w:tcPr>
            <w:tcW w:w="1814" w:type="dxa"/>
            <w:vAlign w:val="center"/>
          </w:tcPr>
          <w:p w14:paraId="164E2B67" w14:textId="77777777" w:rsidR="00454A29" w:rsidRDefault="00454A29">
            <w:pPr>
              <w:pStyle w:val="ConsPlusNormal"/>
            </w:pPr>
          </w:p>
        </w:tc>
        <w:tc>
          <w:tcPr>
            <w:tcW w:w="1701" w:type="dxa"/>
            <w:vAlign w:val="center"/>
          </w:tcPr>
          <w:p w14:paraId="4FE3D1DA" w14:textId="77777777" w:rsidR="00454A29" w:rsidRDefault="00454A29">
            <w:pPr>
              <w:pStyle w:val="ConsPlusNormal"/>
            </w:pPr>
          </w:p>
        </w:tc>
        <w:tc>
          <w:tcPr>
            <w:tcW w:w="1701" w:type="dxa"/>
            <w:vAlign w:val="center"/>
          </w:tcPr>
          <w:p w14:paraId="71F68450" w14:textId="77777777" w:rsidR="00454A29" w:rsidRDefault="00454A29">
            <w:pPr>
              <w:pStyle w:val="ConsPlusNormal"/>
            </w:pPr>
          </w:p>
        </w:tc>
        <w:tc>
          <w:tcPr>
            <w:tcW w:w="1814" w:type="dxa"/>
            <w:vAlign w:val="center"/>
          </w:tcPr>
          <w:p w14:paraId="193EF563" w14:textId="77777777" w:rsidR="00454A29" w:rsidRDefault="00454A29">
            <w:pPr>
              <w:pStyle w:val="ConsPlusNormal"/>
            </w:pPr>
          </w:p>
        </w:tc>
      </w:tr>
      <w:tr w:rsidR="00454A29" w14:paraId="1DE320DD" w14:textId="77777777">
        <w:tc>
          <w:tcPr>
            <w:tcW w:w="21706" w:type="dxa"/>
            <w:gridSpan w:val="12"/>
            <w:vAlign w:val="center"/>
          </w:tcPr>
          <w:p w14:paraId="2741AEFE" w14:textId="77777777" w:rsidR="00454A29" w:rsidRDefault="00454A29">
            <w:pPr>
              <w:pStyle w:val="ConsPlusNormal"/>
              <w:jc w:val="center"/>
            </w:pPr>
            <w:r>
              <w:t>Основное мероприятие 10.7.</w:t>
            </w:r>
          </w:p>
        </w:tc>
      </w:tr>
      <w:tr w:rsidR="00454A29" w14:paraId="0AF7C7CC" w14:textId="77777777">
        <w:tc>
          <w:tcPr>
            <w:tcW w:w="567" w:type="dxa"/>
            <w:vMerge w:val="restart"/>
            <w:vAlign w:val="center"/>
          </w:tcPr>
          <w:p w14:paraId="2D7088EA" w14:textId="77777777" w:rsidR="00454A29" w:rsidRDefault="00454A29">
            <w:pPr>
              <w:pStyle w:val="ConsPlusNormal"/>
            </w:pPr>
          </w:p>
        </w:tc>
        <w:tc>
          <w:tcPr>
            <w:tcW w:w="3345" w:type="dxa"/>
            <w:vMerge w:val="restart"/>
            <w:vAlign w:val="center"/>
          </w:tcPr>
          <w:p w14:paraId="51414F8D" w14:textId="77777777" w:rsidR="00454A29" w:rsidRDefault="00454A29">
            <w:pPr>
              <w:pStyle w:val="ConsPlusNormal"/>
              <w:jc w:val="center"/>
            </w:pPr>
            <w:r>
              <w:t>Реализация регионального проекта "Содействие занятости женщин - создание условий дошкольного образования для детей в возрасте до 3 лет"</w:t>
            </w:r>
          </w:p>
        </w:tc>
        <w:tc>
          <w:tcPr>
            <w:tcW w:w="1701" w:type="dxa"/>
            <w:vAlign w:val="center"/>
          </w:tcPr>
          <w:p w14:paraId="5195A632" w14:textId="77777777" w:rsidR="00454A29" w:rsidRDefault="00454A29">
            <w:pPr>
              <w:pStyle w:val="ConsPlusNormal"/>
              <w:jc w:val="center"/>
            </w:pPr>
            <w:r>
              <w:t>Всего:</w:t>
            </w:r>
          </w:p>
        </w:tc>
        <w:tc>
          <w:tcPr>
            <w:tcW w:w="1417" w:type="dxa"/>
            <w:vMerge w:val="restart"/>
            <w:vAlign w:val="center"/>
          </w:tcPr>
          <w:p w14:paraId="75159B10" w14:textId="77777777" w:rsidR="00454A29" w:rsidRDefault="00454A29">
            <w:pPr>
              <w:pStyle w:val="ConsPlusNormal"/>
              <w:jc w:val="center"/>
            </w:pPr>
            <w:r>
              <w:t>х</w:t>
            </w:r>
          </w:p>
        </w:tc>
        <w:tc>
          <w:tcPr>
            <w:tcW w:w="2204" w:type="dxa"/>
            <w:vMerge w:val="restart"/>
            <w:vAlign w:val="center"/>
          </w:tcPr>
          <w:p w14:paraId="58EA98EA" w14:textId="77777777" w:rsidR="00454A29" w:rsidRDefault="00454A29">
            <w:pPr>
              <w:pStyle w:val="ConsPlusNormal"/>
              <w:jc w:val="center"/>
            </w:pPr>
            <w:r>
              <w:t>х</w:t>
            </w:r>
          </w:p>
        </w:tc>
        <w:tc>
          <w:tcPr>
            <w:tcW w:w="1417" w:type="dxa"/>
            <w:vMerge w:val="restart"/>
            <w:vAlign w:val="center"/>
          </w:tcPr>
          <w:p w14:paraId="3AF93C9F" w14:textId="77777777" w:rsidR="00454A29" w:rsidRDefault="00454A29">
            <w:pPr>
              <w:pStyle w:val="ConsPlusNormal"/>
              <w:jc w:val="center"/>
            </w:pPr>
            <w:r>
              <w:t>1990</w:t>
            </w:r>
          </w:p>
        </w:tc>
        <w:tc>
          <w:tcPr>
            <w:tcW w:w="2324" w:type="dxa"/>
            <w:vMerge w:val="restart"/>
            <w:vAlign w:val="center"/>
          </w:tcPr>
          <w:p w14:paraId="06978405" w14:textId="77777777" w:rsidR="00454A29" w:rsidRDefault="00454A29">
            <w:pPr>
              <w:pStyle w:val="ConsPlusNormal"/>
              <w:jc w:val="center"/>
            </w:pPr>
            <w:r>
              <w:t>х</w:t>
            </w:r>
          </w:p>
        </w:tc>
        <w:tc>
          <w:tcPr>
            <w:tcW w:w="1701" w:type="dxa"/>
            <w:vAlign w:val="center"/>
          </w:tcPr>
          <w:p w14:paraId="7DB068A3" w14:textId="77777777" w:rsidR="00454A29" w:rsidRDefault="00454A29">
            <w:pPr>
              <w:pStyle w:val="ConsPlusNormal"/>
              <w:jc w:val="center"/>
            </w:pPr>
            <w:r>
              <w:t>2 221 378,86</w:t>
            </w:r>
          </w:p>
        </w:tc>
        <w:tc>
          <w:tcPr>
            <w:tcW w:w="1814" w:type="dxa"/>
            <w:vAlign w:val="center"/>
          </w:tcPr>
          <w:p w14:paraId="73AB3796" w14:textId="77777777" w:rsidR="00454A29" w:rsidRDefault="00454A29">
            <w:pPr>
              <w:pStyle w:val="ConsPlusNormal"/>
              <w:jc w:val="center"/>
            </w:pPr>
            <w:r>
              <w:t>29 520,69</w:t>
            </w:r>
          </w:p>
        </w:tc>
        <w:tc>
          <w:tcPr>
            <w:tcW w:w="1701" w:type="dxa"/>
            <w:vAlign w:val="center"/>
          </w:tcPr>
          <w:p w14:paraId="0A8077CC" w14:textId="77777777" w:rsidR="00454A29" w:rsidRDefault="00454A29">
            <w:pPr>
              <w:pStyle w:val="ConsPlusNormal"/>
              <w:jc w:val="center"/>
            </w:pPr>
            <w:r>
              <w:t>2 175 823,20</w:t>
            </w:r>
          </w:p>
        </w:tc>
        <w:tc>
          <w:tcPr>
            <w:tcW w:w="1701" w:type="dxa"/>
            <w:vAlign w:val="center"/>
          </w:tcPr>
          <w:p w14:paraId="7D807BC9" w14:textId="77777777" w:rsidR="00454A29" w:rsidRDefault="00454A29">
            <w:pPr>
              <w:pStyle w:val="ConsPlusNormal"/>
              <w:jc w:val="center"/>
            </w:pPr>
            <w:r>
              <w:t>16 034,97</w:t>
            </w:r>
          </w:p>
        </w:tc>
        <w:tc>
          <w:tcPr>
            <w:tcW w:w="1814" w:type="dxa"/>
            <w:vAlign w:val="center"/>
          </w:tcPr>
          <w:p w14:paraId="4519D471" w14:textId="77777777" w:rsidR="00454A29" w:rsidRDefault="00454A29">
            <w:pPr>
              <w:pStyle w:val="ConsPlusNormal"/>
              <w:jc w:val="center"/>
            </w:pPr>
            <w:r>
              <w:t>-</w:t>
            </w:r>
          </w:p>
        </w:tc>
      </w:tr>
      <w:tr w:rsidR="00454A29" w14:paraId="05EFBC20" w14:textId="77777777">
        <w:tc>
          <w:tcPr>
            <w:tcW w:w="567" w:type="dxa"/>
            <w:vMerge/>
          </w:tcPr>
          <w:p w14:paraId="5EB8A14B" w14:textId="77777777" w:rsidR="00454A29" w:rsidRDefault="00454A29"/>
        </w:tc>
        <w:tc>
          <w:tcPr>
            <w:tcW w:w="3345" w:type="dxa"/>
            <w:vMerge/>
          </w:tcPr>
          <w:p w14:paraId="6C109F52" w14:textId="77777777" w:rsidR="00454A29" w:rsidRDefault="00454A29"/>
        </w:tc>
        <w:tc>
          <w:tcPr>
            <w:tcW w:w="1701" w:type="dxa"/>
            <w:vAlign w:val="center"/>
          </w:tcPr>
          <w:p w14:paraId="54BD0E44" w14:textId="77777777" w:rsidR="00454A29" w:rsidRDefault="00454A29">
            <w:pPr>
              <w:pStyle w:val="ConsPlusNormal"/>
              <w:jc w:val="center"/>
            </w:pPr>
            <w:r>
              <w:t>2020</w:t>
            </w:r>
          </w:p>
        </w:tc>
        <w:tc>
          <w:tcPr>
            <w:tcW w:w="1417" w:type="dxa"/>
            <w:vMerge/>
          </w:tcPr>
          <w:p w14:paraId="73D91BBE" w14:textId="77777777" w:rsidR="00454A29" w:rsidRDefault="00454A29"/>
        </w:tc>
        <w:tc>
          <w:tcPr>
            <w:tcW w:w="2204" w:type="dxa"/>
            <w:vMerge/>
          </w:tcPr>
          <w:p w14:paraId="6B0A4E71" w14:textId="77777777" w:rsidR="00454A29" w:rsidRDefault="00454A29"/>
        </w:tc>
        <w:tc>
          <w:tcPr>
            <w:tcW w:w="1417" w:type="dxa"/>
            <w:vMerge/>
          </w:tcPr>
          <w:p w14:paraId="05704029" w14:textId="77777777" w:rsidR="00454A29" w:rsidRDefault="00454A29"/>
        </w:tc>
        <w:tc>
          <w:tcPr>
            <w:tcW w:w="2324" w:type="dxa"/>
            <w:vMerge/>
          </w:tcPr>
          <w:p w14:paraId="3E5A2928" w14:textId="77777777" w:rsidR="00454A29" w:rsidRDefault="00454A29"/>
        </w:tc>
        <w:tc>
          <w:tcPr>
            <w:tcW w:w="1701" w:type="dxa"/>
            <w:vAlign w:val="center"/>
          </w:tcPr>
          <w:p w14:paraId="23E9A937" w14:textId="77777777" w:rsidR="00454A29" w:rsidRDefault="00454A29">
            <w:pPr>
              <w:pStyle w:val="ConsPlusNormal"/>
              <w:jc w:val="center"/>
            </w:pPr>
            <w:r>
              <w:t>775 301,83</w:t>
            </w:r>
          </w:p>
        </w:tc>
        <w:tc>
          <w:tcPr>
            <w:tcW w:w="1814" w:type="dxa"/>
            <w:vAlign w:val="center"/>
          </w:tcPr>
          <w:p w14:paraId="560D79F9" w14:textId="77777777" w:rsidR="00454A29" w:rsidRDefault="00454A29">
            <w:pPr>
              <w:pStyle w:val="ConsPlusNormal"/>
              <w:jc w:val="center"/>
            </w:pPr>
            <w:r>
              <w:t>7 707,27</w:t>
            </w:r>
          </w:p>
        </w:tc>
        <w:tc>
          <w:tcPr>
            <w:tcW w:w="1701" w:type="dxa"/>
            <w:vAlign w:val="center"/>
          </w:tcPr>
          <w:p w14:paraId="5E0D1AE0" w14:textId="77777777" w:rsidR="00454A29" w:rsidRDefault="00454A29">
            <w:pPr>
              <w:pStyle w:val="ConsPlusNormal"/>
              <w:jc w:val="center"/>
            </w:pPr>
            <w:r>
              <w:t>763 020,10</w:t>
            </w:r>
          </w:p>
        </w:tc>
        <w:tc>
          <w:tcPr>
            <w:tcW w:w="1701" w:type="dxa"/>
            <w:vAlign w:val="center"/>
          </w:tcPr>
          <w:p w14:paraId="37CCDFEA" w14:textId="77777777" w:rsidR="00454A29" w:rsidRDefault="00454A29">
            <w:pPr>
              <w:pStyle w:val="ConsPlusNormal"/>
              <w:jc w:val="center"/>
            </w:pPr>
            <w:r>
              <w:t>4 574,46</w:t>
            </w:r>
          </w:p>
        </w:tc>
        <w:tc>
          <w:tcPr>
            <w:tcW w:w="1814" w:type="dxa"/>
            <w:vAlign w:val="center"/>
          </w:tcPr>
          <w:p w14:paraId="49B6D3FF" w14:textId="77777777" w:rsidR="00454A29" w:rsidRDefault="00454A29">
            <w:pPr>
              <w:pStyle w:val="ConsPlusNormal"/>
              <w:jc w:val="center"/>
            </w:pPr>
            <w:r>
              <w:t>-</w:t>
            </w:r>
          </w:p>
        </w:tc>
      </w:tr>
      <w:tr w:rsidR="00454A29" w14:paraId="135C0C97" w14:textId="77777777">
        <w:tc>
          <w:tcPr>
            <w:tcW w:w="567" w:type="dxa"/>
            <w:vMerge/>
          </w:tcPr>
          <w:p w14:paraId="5910CCF9" w14:textId="77777777" w:rsidR="00454A29" w:rsidRDefault="00454A29"/>
        </w:tc>
        <w:tc>
          <w:tcPr>
            <w:tcW w:w="3345" w:type="dxa"/>
            <w:vMerge/>
          </w:tcPr>
          <w:p w14:paraId="749452E2" w14:textId="77777777" w:rsidR="00454A29" w:rsidRDefault="00454A29"/>
        </w:tc>
        <w:tc>
          <w:tcPr>
            <w:tcW w:w="1701" w:type="dxa"/>
            <w:vAlign w:val="center"/>
          </w:tcPr>
          <w:p w14:paraId="793C8D8D" w14:textId="77777777" w:rsidR="00454A29" w:rsidRDefault="00454A29">
            <w:pPr>
              <w:pStyle w:val="ConsPlusNormal"/>
              <w:jc w:val="center"/>
            </w:pPr>
            <w:r>
              <w:t>2021</w:t>
            </w:r>
          </w:p>
        </w:tc>
        <w:tc>
          <w:tcPr>
            <w:tcW w:w="1417" w:type="dxa"/>
            <w:vMerge/>
          </w:tcPr>
          <w:p w14:paraId="230F5854" w14:textId="77777777" w:rsidR="00454A29" w:rsidRDefault="00454A29"/>
        </w:tc>
        <w:tc>
          <w:tcPr>
            <w:tcW w:w="2204" w:type="dxa"/>
            <w:vMerge/>
          </w:tcPr>
          <w:p w14:paraId="1EBC5CF8" w14:textId="77777777" w:rsidR="00454A29" w:rsidRDefault="00454A29"/>
        </w:tc>
        <w:tc>
          <w:tcPr>
            <w:tcW w:w="1417" w:type="dxa"/>
            <w:vMerge/>
          </w:tcPr>
          <w:p w14:paraId="3B475063" w14:textId="77777777" w:rsidR="00454A29" w:rsidRDefault="00454A29"/>
        </w:tc>
        <w:tc>
          <w:tcPr>
            <w:tcW w:w="2324" w:type="dxa"/>
            <w:vMerge/>
          </w:tcPr>
          <w:p w14:paraId="39E3CBF1" w14:textId="77777777" w:rsidR="00454A29" w:rsidRDefault="00454A29"/>
        </w:tc>
        <w:tc>
          <w:tcPr>
            <w:tcW w:w="1701" w:type="dxa"/>
            <w:vAlign w:val="center"/>
          </w:tcPr>
          <w:p w14:paraId="7313BE8E" w14:textId="77777777" w:rsidR="00454A29" w:rsidRDefault="00454A29">
            <w:pPr>
              <w:pStyle w:val="ConsPlusNormal"/>
              <w:jc w:val="center"/>
            </w:pPr>
            <w:r>
              <w:t>1 297 327,03</w:t>
            </w:r>
          </w:p>
        </w:tc>
        <w:tc>
          <w:tcPr>
            <w:tcW w:w="1814" w:type="dxa"/>
            <w:vAlign w:val="center"/>
          </w:tcPr>
          <w:p w14:paraId="57823DE7" w14:textId="77777777" w:rsidR="00454A29" w:rsidRDefault="00454A29">
            <w:pPr>
              <w:pStyle w:val="ConsPlusNormal"/>
              <w:jc w:val="center"/>
            </w:pPr>
            <w:r>
              <w:t>12 888,42</w:t>
            </w:r>
          </w:p>
        </w:tc>
        <w:tc>
          <w:tcPr>
            <w:tcW w:w="1701" w:type="dxa"/>
            <w:vAlign w:val="center"/>
          </w:tcPr>
          <w:p w14:paraId="3A8DAB8C" w14:textId="77777777" w:rsidR="00454A29" w:rsidRDefault="00454A29">
            <w:pPr>
              <w:pStyle w:val="ConsPlusNormal"/>
              <w:jc w:val="center"/>
            </w:pPr>
            <w:r>
              <w:t>1 275 953,10</w:t>
            </w:r>
          </w:p>
        </w:tc>
        <w:tc>
          <w:tcPr>
            <w:tcW w:w="1701" w:type="dxa"/>
            <w:vAlign w:val="center"/>
          </w:tcPr>
          <w:p w14:paraId="67FAF186" w14:textId="77777777" w:rsidR="00454A29" w:rsidRDefault="00454A29">
            <w:pPr>
              <w:pStyle w:val="ConsPlusNormal"/>
              <w:jc w:val="center"/>
            </w:pPr>
            <w:r>
              <w:t>8 485,52</w:t>
            </w:r>
          </w:p>
        </w:tc>
        <w:tc>
          <w:tcPr>
            <w:tcW w:w="1814" w:type="dxa"/>
            <w:vAlign w:val="center"/>
          </w:tcPr>
          <w:p w14:paraId="21108F74" w14:textId="77777777" w:rsidR="00454A29" w:rsidRDefault="00454A29">
            <w:pPr>
              <w:pStyle w:val="ConsPlusNormal"/>
              <w:jc w:val="center"/>
            </w:pPr>
            <w:r>
              <w:t>-</w:t>
            </w:r>
          </w:p>
        </w:tc>
      </w:tr>
      <w:tr w:rsidR="00454A29" w14:paraId="63CF81D0" w14:textId="77777777">
        <w:tc>
          <w:tcPr>
            <w:tcW w:w="567" w:type="dxa"/>
            <w:vMerge/>
          </w:tcPr>
          <w:p w14:paraId="4D5BC037" w14:textId="77777777" w:rsidR="00454A29" w:rsidRDefault="00454A29"/>
        </w:tc>
        <w:tc>
          <w:tcPr>
            <w:tcW w:w="3345" w:type="dxa"/>
            <w:vMerge/>
          </w:tcPr>
          <w:p w14:paraId="53E9E322" w14:textId="77777777" w:rsidR="00454A29" w:rsidRDefault="00454A29"/>
        </w:tc>
        <w:tc>
          <w:tcPr>
            <w:tcW w:w="1701" w:type="dxa"/>
            <w:vAlign w:val="center"/>
          </w:tcPr>
          <w:p w14:paraId="4EBB716F" w14:textId="77777777" w:rsidR="00454A29" w:rsidRDefault="00454A29">
            <w:pPr>
              <w:pStyle w:val="ConsPlusNormal"/>
              <w:jc w:val="center"/>
            </w:pPr>
            <w:r>
              <w:t>2022</w:t>
            </w:r>
          </w:p>
        </w:tc>
        <w:tc>
          <w:tcPr>
            <w:tcW w:w="1417" w:type="dxa"/>
            <w:vMerge/>
          </w:tcPr>
          <w:p w14:paraId="07FB8040" w14:textId="77777777" w:rsidR="00454A29" w:rsidRDefault="00454A29"/>
        </w:tc>
        <w:tc>
          <w:tcPr>
            <w:tcW w:w="2204" w:type="dxa"/>
            <w:vMerge/>
          </w:tcPr>
          <w:p w14:paraId="5673D152" w14:textId="77777777" w:rsidR="00454A29" w:rsidRDefault="00454A29"/>
        </w:tc>
        <w:tc>
          <w:tcPr>
            <w:tcW w:w="1417" w:type="dxa"/>
            <w:vMerge/>
          </w:tcPr>
          <w:p w14:paraId="343207DD" w14:textId="77777777" w:rsidR="00454A29" w:rsidRDefault="00454A29"/>
        </w:tc>
        <w:tc>
          <w:tcPr>
            <w:tcW w:w="2324" w:type="dxa"/>
            <w:vMerge/>
          </w:tcPr>
          <w:p w14:paraId="7E64714A" w14:textId="77777777" w:rsidR="00454A29" w:rsidRDefault="00454A29"/>
        </w:tc>
        <w:tc>
          <w:tcPr>
            <w:tcW w:w="1701" w:type="dxa"/>
            <w:vAlign w:val="center"/>
          </w:tcPr>
          <w:p w14:paraId="6E5B1313" w14:textId="77777777" w:rsidR="00454A29" w:rsidRDefault="00454A29">
            <w:pPr>
              <w:pStyle w:val="ConsPlusNormal"/>
              <w:jc w:val="center"/>
            </w:pPr>
            <w:r>
              <w:t>-</w:t>
            </w:r>
          </w:p>
        </w:tc>
        <w:tc>
          <w:tcPr>
            <w:tcW w:w="1814" w:type="dxa"/>
            <w:vAlign w:val="center"/>
          </w:tcPr>
          <w:p w14:paraId="36F7AF06" w14:textId="77777777" w:rsidR="00454A29" w:rsidRDefault="00454A29">
            <w:pPr>
              <w:pStyle w:val="ConsPlusNormal"/>
              <w:jc w:val="center"/>
            </w:pPr>
            <w:r>
              <w:t>-</w:t>
            </w:r>
          </w:p>
        </w:tc>
        <w:tc>
          <w:tcPr>
            <w:tcW w:w="1701" w:type="dxa"/>
            <w:vAlign w:val="center"/>
          </w:tcPr>
          <w:p w14:paraId="57023B0A" w14:textId="77777777" w:rsidR="00454A29" w:rsidRDefault="00454A29">
            <w:pPr>
              <w:pStyle w:val="ConsPlusNormal"/>
              <w:jc w:val="center"/>
            </w:pPr>
            <w:r>
              <w:t>-</w:t>
            </w:r>
          </w:p>
        </w:tc>
        <w:tc>
          <w:tcPr>
            <w:tcW w:w="1701" w:type="dxa"/>
            <w:vAlign w:val="center"/>
          </w:tcPr>
          <w:p w14:paraId="0B9FE1E0" w14:textId="77777777" w:rsidR="00454A29" w:rsidRDefault="00454A29">
            <w:pPr>
              <w:pStyle w:val="ConsPlusNormal"/>
              <w:jc w:val="center"/>
            </w:pPr>
            <w:r>
              <w:t>-</w:t>
            </w:r>
          </w:p>
        </w:tc>
        <w:tc>
          <w:tcPr>
            <w:tcW w:w="1814" w:type="dxa"/>
            <w:vAlign w:val="center"/>
          </w:tcPr>
          <w:p w14:paraId="0FA90FCA" w14:textId="77777777" w:rsidR="00454A29" w:rsidRDefault="00454A29">
            <w:pPr>
              <w:pStyle w:val="ConsPlusNormal"/>
              <w:jc w:val="center"/>
            </w:pPr>
            <w:r>
              <w:t>-</w:t>
            </w:r>
          </w:p>
        </w:tc>
      </w:tr>
      <w:tr w:rsidR="00454A29" w14:paraId="23A475E1" w14:textId="77777777">
        <w:tc>
          <w:tcPr>
            <w:tcW w:w="567" w:type="dxa"/>
            <w:vMerge/>
          </w:tcPr>
          <w:p w14:paraId="2AB3E2B4" w14:textId="77777777" w:rsidR="00454A29" w:rsidRDefault="00454A29"/>
        </w:tc>
        <w:tc>
          <w:tcPr>
            <w:tcW w:w="3345" w:type="dxa"/>
            <w:vMerge/>
          </w:tcPr>
          <w:p w14:paraId="520CDA92" w14:textId="77777777" w:rsidR="00454A29" w:rsidRDefault="00454A29"/>
        </w:tc>
        <w:tc>
          <w:tcPr>
            <w:tcW w:w="1701" w:type="dxa"/>
            <w:vAlign w:val="center"/>
          </w:tcPr>
          <w:p w14:paraId="522A024F" w14:textId="77777777" w:rsidR="00454A29" w:rsidRDefault="00454A29">
            <w:pPr>
              <w:pStyle w:val="ConsPlusNormal"/>
              <w:jc w:val="center"/>
            </w:pPr>
            <w:r>
              <w:t>2023</w:t>
            </w:r>
          </w:p>
        </w:tc>
        <w:tc>
          <w:tcPr>
            <w:tcW w:w="1417" w:type="dxa"/>
            <w:vMerge/>
          </w:tcPr>
          <w:p w14:paraId="30A7606D" w14:textId="77777777" w:rsidR="00454A29" w:rsidRDefault="00454A29"/>
        </w:tc>
        <w:tc>
          <w:tcPr>
            <w:tcW w:w="2204" w:type="dxa"/>
            <w:vMerge/>
          </w:tcPr>
          <w:p w14:paraId="202AF344" w14:textId="77777777" w:rsidR="00454A29" w:rsidRDefault="00454A29"/>
        </w:tc>
        <w:tc>
          <w:tcPr>
            <w:tcW w:w="1417" w:type="dxa"/>
            <w:vMerge/>
          </w:tcPr>
          <w:p w14:paraId="2AC33DFD" w14:textId="77777777" w:rsidR="00454A29" w:rsidRDefault="00454A29"/>
        </w:tc>
        <w:tc>
          <w:tcPr>
            <w:tcW w:w="2324" w:type="dxa"/>
            <w:vMerge/>
          </w:tcPr>
          <w:p w14:paraId="1F2DD4ED" w14:textId="77777777" w:rsidR="00454A29" w:rsidRDefault="00454A29"/>
        </w:tc>
        <w:tc>
          <w:tcPr>
            <w:tcW w:w="1701" w:type="dxa"/>
            <w:vAlign w:val="center"/>
          </w:tcPr>
          <w:p w14:paraId="3C4E3C8C" w14:textId="77777777" w:rsidR="00454A29" w:rsidRDefault="00454A29">
            <w:pPr>
              <w:pStyle w:val="ConsPlusNormal"/>
              <w:jc w:val="center"/>
            </w:pPr>
            <w:r>
              <w:t>148 750,00</w:t>
            </w:r>
          </w:p>
        </w:tc>
        <w:tc>
          <w:tcPr>
            <w:tcW w:w="1814" w:type="dxa"/>
            <w:vAlign w:val="center"/>
          </w:tcPr>
          <w:p w14:paraId="2075A665" w14:textId="77777777" w:rsidR="00454A29" w:rsidRDefault="00454A29">
            <w:pPr>
              <w:pStyle w:val="ConsPlusNormal"/>
              <w:jc w:val="center"/>
            </w:pPr>
            <w:r>
              <w:t>8 925,00</w:t>
            </w:r>
          </w:p>
        </w:tc>
        <w:tc>
          <w:tcPr>
            <w:tcW w:w="1701" w:type="dxa"/>
            <w:vAlign w:val="center"/>
          </w:tcPr>
          <w:p w14:paraId="5C7D3ADE" w14:textId="77777777" w:rsidR="00454A29" w:rsidRDefault="00454A29">
            <w:pPr>
              <w:pStyle w:val="ConsPlusNormal"/>
              <w:jc w:val="center"/>
            </w:pPr>
            <w:r>
              <w:t>136 850,00</w:t>
            </w:r>
          </w:p>
        </w:tc>
        <w:tc>
          <w:tcPr>
            <w:tcW w:w="1701" w:type="dxa"/>
            <w:vAlign w:val="center"/>
          </w:tcPr>
          <w:p w14:paraId="4B48501B" w14:textId="77777777" w:rsidR="00454A29" w:rsidRDefault="00454A29">
            <w:pPr>
              <w:pStyle w:val="ConsPlusNormal"/>
              <w:jc w:val="center"/>
            </w:pPr>
            <w:r>
              <w:t>2 975,00</w:t>
            </w:r>
          </w:p>
        </w:tc>
        <w:tc>
          <w:tcPr>
            <w:tcW w:w="1814" w:type="dxa"/>
            <w:vAlign w:val="center"/>
          </w:tcPr>
          <w:p w14:paraId="30360682" w14:textId="77777777" w:rsidR="00454A29" w:rsidRDefault="00454A29">
            <w:pPr>
              <w:pStyle w:val="ConsPlusNormal"/>
              <w:jc w:val="center"/>
            </w:pPr>
            <w:r>
              <w:t>-</w:t>
            </w:r>
          </w:p>
        </w:tc>
      </w:tr>
      <w:tr w:rsidR="00454A29" w14:paraId="650C3E07" w14:textId="77777777">
        <w:tc>
          <w:tcPr>
            <w:tcW w:w="567" w:type="dxa"/>
            <w:vMerge/>
          </w:tcPr>
          <w:p w14:paraId="774B0B9B" w14:textId="77777777" w:rsidR="00454A29" w:rsidRDefault="00454A29"/>
        </w:tc>
        <w:tc>
          <w:tcPr>
            <w:tcW w:w="3345" w:type="dxa"/>
            <w:vMerge/>
          </w:tcPr>
          <w:p w14:paraId="15093578" w14:textId="77777777" w:rsidR="00454A29" w:rsidRDefault="00454A29"/>
        </w:tc>
        <w:tc>
          <w:tcPr>
            <w:tcW w:w="1701" w:type="dxa"/>
            <w:vAlign w:val="center"/>
          </w:tcPr>
          <w:p w14:paraId="1D54EF53" w14:textId="77777777" w:rsidR="00454A29" w:rsidRDefault="00454A29">
            <w:pPr>
              <w:pStyle w:val="ConsPlusNormal"/>
              <w:jc w:val="center"/>
            </w:pPr>
            <w:r>
              <w:t>2024</w:t>
            </w:r>
          </w:p>
        </w:tc>
        <w:tc>
          <w:tcPr>
            <w:tcW w:w="1417" w:type="dxa"/>
            <w:vMerge/>
          </w:tcPr>
          <w:p w14:paraId="5E6DF581" w14:textId="77777777" w:rsidR="00454A29" w:rsidRDefault="00454A29"/>
        </w:tc>
        <w:tc>
          <w:tcPr>
            <w:tcW w:w="2204" w:type="dxa"/>
            <w:vMerge/>
          </w:tcPr>
          <w:p w14:paraId="3B70321A" w14:textId="77777777" w:rsidR="00454A29" w:rsidRDefault="00454A29"/>
        </w:tc>
        <w:tc>
          <w:tcPr>
            <w:tcW w:w="1417" w:type="dxa"/>
            <w:vMerge/>
          </w:tcPr>
          <w:p w14:paraId="5A3ED9EC" w14:textId="77777777" w:rsidR="00454A29" w:rsidRDefault="00454A29"/>
        </w:tc>
        <w:tc>
          <w:tcPr>
            <w:tcW w:w="2324" w:type="dxa"/>
            <w:vMerge/>
          </w:tcPr>
          <w:p w14:paraId="383B21B4" w14:textId="77777777" w:rsidR="00454A29" w:rsidRDefault="00454A29"/>
        </w:tc>
        <w:tc>
          <w:tcPr>
            <w:tcW w:w="1701" w:type="dxa"/>
            <w:vAlign w:val="center"/>
          </w:tcPr>
          <w:p w14:paraId="4F88D09B" w14:textId="77777777" w:rsidR="00454A29" w:rsidRDefault="00454A29">
            <w:pPr>
              <w:pStyle w:val="ConsPlusNormal"/>
              <w:jc w:val="center"/>
            </w:pPr>
            <w:r>
              <w:t>-</w:t>
            </w:r>
          </w:p>
        </w:tc>
        <w:tc>
          <w:tcPr>
            <w:tcW w:w="1814" w:type="dxa"/>
            <w:vAlign w:val="center"/>
          </w:tcPr>
          <w:p w14:paraId="4EB79875" w14:textId="77777777" w:rsidR="00454A29" w:rsidRDefault="00454A29">
            <w:pPr>
              <w:pStyle w:val="ConsPlusNormal"/>
              <w:jc w:val="center"/>
            </w:pPr>
            <w:r>
              <w:t>-</w:t>
            </w:r>
          </w:p>
        </w:tc>
        <w:tc>
          <w:tcPr>
            <w:tcW w:w="1701" w:type="dxa"/>
            <w:vAlign w:val="center"/>
          </w:tcPr>
          <w:p w14:paraId="7460ABA6" w14:textId="77777777" w:rsidR="00454A29" w:rsidRDefault="00454A29">
            <w:pPr>
              <w:pStyle w:val="ConsPlusNormal"/>
              <w:jc w:val="center"/>
            </w:pPr>
            <w:r>
              <w:t>-</w:t>
            </w:r>
          </w:p>
        </w:tc>
        <w:tc>
          <w:tcPr>
            <w:tcW w:w="1701" w:type="dxa"/>
            <w:vAlign w:val="center"/>
          </w:tcPr>
          <w:p w14:paraId="3BA5F5C4" w14:textId="77777777" w:rsidR="00454A29" w:rsidRDefault="00454A29">
            <w:pPr>
              <w:pStyle w:val="ConsPlusNormal"/>
              <w:jc w:val="center"/>
            </w:pPr>
            <w:r>
              <w:t>-</w:t>
            </w:r>
          </w:p>
        </w:tc>
        <w:tc>
          <w:tcPr>
            <w:tcW w:w="1814" w:type="dxa"/>
            <w:vAlign w:val="center"/>
          </w:tcPr>
          <w:p w14:paraId="68D240C9" w14:textId="77777777" w:rsidR="00454A29" w:rsidRDefault="00454A29">
            <w:pPr>
              <w:pStyle w:val="ConsPlusNormal"/>
              <w:jc w:val="center"/>
            </w:pPr>
            <w:r>
              <w:t>-</w:t>
            </w:r>
          </w:p>
        </w:tc>
      </w:tr>
      <w:tr w:rsidR="00454A29" w14:paraId="144BF53D" w14:textId="77777777">
        <w:tc>
          <w:tcPr>
            <w:tcW w:w="567" w:type="dxa"/>
            <w:vMerge/>
          </w:tcPr>
          <w:p w14:paraId="21B478AC" w14:textId="77777777" w:rsidR="00454A29" w:rsidRDefault="00454A29"/>
        </w:tc>
        <w:tc>
          <w:tcPr>
            <w:tcW w:w="3345" w:type="dxa"/>
            <w:vMerge/>
          </w:tcPr>
          <w:p w14:paraId="23862811" w14:textId="77777777" w:rsidR="00454A29" w:rsidRDefault="00454A29"/>
        </w:tc>
        <w:tc>
          <w:tcPr>
            <w:tcW w:w="1701" w:type="dxa"/>
            <w:vAlign w:val="center"/>
          </w:tcPr>
          <w:p w14:paraId="6CBBD5E3" w14:textId="77777777" w:rsidR="00454A29" w:rsidRDefault="00454A29">
            <w:pPr>
              <w:pStyle w:val="ConsPlusNormal"/>
              <w:jc w:val="center"/>
            </w:pPr>
            <w:r>
              <w:t>2025</w:t>
            </w:r>
          </w:p>
        </w:tc>
        <w:tc>
          <w:tcPr>
            <w:tcW w:w="1417" w:type="dxa"/>
            <w:vMerge/>
          </w:tcPr>
          <w:p w14:paraId="7D094AC4" w14:textId="77777777" w:rsidR="00454A29" w:rsidRDefault="00454A29"/>
        </w:tc>
        <w:tc>
          <w:tcPr>
            <w:tcW w:w="2204" w:type="dxa"/>
            <w:vMerge/>
          </w:tcPr>
          <w:p w14:paraId="68863138" w14:textId="77777777" w:rsidR="00454A29" w:rsidRDefault="00454A29"/>
        </w:tc>
        <w:tc>
          <w:tcPr>
            <w:tcW w:w="1417" w:type="dxa"/>
            <w:vMerge/>
          </w:tcPr>
          <w:p w14:paraId="7F1B2075" w14:textId="77777777" w:rsidR="00454A29" w:rsidRDefault="00454A29"/>
        </w:tc>
        <w:tc>
          <w:tcPr>
            <w:tcW w:w="2324" w:type="dxa"/>
            <w:vMerge/>
          </w:tcPr>
          <w:p w14:paraId="4EB93704" w14:textId="77777777" w:rsidR="00454A29" w:rsidRDefault="00454A29"/>
        </w:tc>
        <w:tc>
          <w:tcPr>
            <w:tcW w:w="1701" w:type="dxa"/>
            <w:vAlign w:val="center"/>
          </w:tcPr>
          <w:p w14:paraId="328080E0" w14:textId="77777777" w:rsidR="00454A29" w:rsidRDefault="00454A29">
            <w:pPr>
              <w:pStyle w:val="ConsPlusNormal"/>
              <w:jc w:val="center"/>
            </w:pPr>
            <w:r>
              <w:t>-</w:t>
            </w:r>
          </w:p>
        </w:tc>
        <w:tc>
          <w:tcPr>
            <w:tcW w:w="1814" w:type="dxa"/>
            <w:vAlign w:val="center"/>
          </w:tcPr>
          <w:p w14:paraId="06DCE4D9" w14:textId="77777777" w:rsidR="00454A29" w:rsidRDefault="00454A29">
            <w:pPr>
              <w:pStyle w:val="ConsPlusNormal"/>
              <w:jc w:val="center"/>
            </w:pPr>
            <w:r>
              <w:t>-</w:t>
            </w:r>
          </w:p>
        </w:tc>
        <w:tc>
          <w:tcPr>
            <w:tcW w:w="1701" w:type="dxa"/>
            <w:vAlign w:val="center"/>
          </w:tcPr>
          <w:p w14:paraId="634419A5" w14:textId="77777777" w:rsidR="00454A29" w:rsidRDefault="00454A29">
            <w:pPr>
              <w:pStyle w:val="ConsPlusNormal"/>
              <w:jc w:val="center"/>
            </w:pPr>
            <w:r>
              <w:t>-</w:t>
            </w:r>
          </w:p>
        </w:tc>
        <w:tc>
          <w:tcPr>
            <w:tcW w:w="1701" w:type="dxa"/>
            <w:vAlign w:val="center"/>
          </w:tcPr>
          <w:p w14:paraId="4698AD5A" w14:textId="77777777" w:rsidR="00454A29" w:rsidRDefault="00454A29">
            <w:pPr>
              <w:pStyle w:val="ConsPlusNormal"/>
              <w:jc w:val="center"/>
            </w:pPr>
            <w:r>
              <w:t>-</w:t>
            </w:r>
          </w:p>
        </w:tc>
        <w:tc>
          <w:tcPr>
            <w:tcW w:w="1814" w:type="dxa"/>
            <w:vAlign w:val="center"/>
          </w:tcPr>
          <w:p w14:paraId="6A3F2A70" w14:textId="77777777" w:rsidR="00454A29" w:rsidRDefault="00454A29">
            <w:pPr>
              <w:pStyle w:val="ConsPlusNormal"/>
              <w:jc w:val="center"/>
            </w:pPr>
            <w:r>
              <w:t>-</w:t>
            </w:r>
          </w:p>
        </w:tc>
      </w:tr>
      <w:tr w:rsidR="00454A29" w14:paraId="6F5CA7DE" w14:textId="77777777">
        <w:tc>
          <w:tcPr>
            <w:tcW w:w="567" w:type="dxa"/>
            <w:vMerge/>
          </w:tcPr>
          <w:p w14:paraId="410BE3E0" w14:textId="77777777" w:rsidR="00454A29" w:rsidRDefault="00454A29"/>
        </w:tc>
        <w:tc>
          <w:tcPr>
            <w:tcW w:w="3345" w:type="dxa"/>
            <w:vMerge/>
          </w:tcPr>
          <w:p w14:paraId="0031E37E" w14:textId="77777777" w:rsidR="00454A29" w:rsidRDefault="00454A29"/>
        </w:tc>
        <w:tc>
          <w:tcPr>
            <w:tcW w:w="1701" w:type="dxa"/>
            <w:vAlign w:val="center"/>
          </w:tcPr>
          <w:p w14:paraId="14F10775" w14:textId="77777777" w:rsidR="00454A29" w:rsidRDefault="00454A29">
            <w:pPr>
              <w:pStyle w:val="ConsPlusNormal"/>
              <w:jc w:val="center"/>
            </w:pPr>
            <w:r>
              <w:t>2026</w:t>
            </w:r>
          </w:p>
        </w:tc>
        <w:tc>
          <w:tcPr>
            <w:tcW w:w="1417" w:type="dxa"/>
            <w:vMerge/>
          </w:tcPr>
          <w:p w14:paraId="7DB7CD32" w14:textId="77777777" w:rsidR="00454A29" w:rsidRDefault="00454A29"/>
        </w:tc>
        <w:tc>
          <w:tcPr>
            <w:tcW w:w="2204" w:type="dxa"/>
            <w:vMerge/>
          </w:tcPr>
          <w:p w14:paraId="0F48007E" w14:textId="77777777" w:rsidR="00454A29" w:rsidRDefault="00454A29"/>
        </w:tc>
        <w:tc>
          <w:tcPr>
            <w:tcW w:w="1417" w:type="dxa"/>
            <w:vMerge/>
          </w:tcPr>
          <w:p w14:paraId="58479B18" w14:textId="77777777" w:rsidR="00454A29" w:rsidRDefault="00454A29"/>
        </w:tc>
        <w:tc>
          <w:tcPr>
            <w:tcW w:w="2324" w:type="dxa"/>
            <w:vMerge/>
          </w:tcPr>
          <w:p w14:paraId="4E15BFD5" w14:textId="77777777" w:rsidR="00454A29" w:rsidRDefault="00454A29"/>
        </w:tc>
        <w:tc>
          <w:tcPr>
            <w:tcW w:w="1701" w:type="dxa"/>
            <w:vAlign w:val="center"/>
          </w:tcPr>
          <w:p w14:paraId="336D3F99" w14:textId="77777777" w:rsidR="00454A29" w:rsidRDefault="00454A29">
            <w:pPr>
              <w:pStyle w:val="ConsPlusNormal"/>
              <w:jc w:val="center"/>
            </w:pPr>
            <w:r>
              <w:t>-</w:t>
            </w:r>
          </w:p>
        </w:tc>
        <w:tc>
          <w:tcPr>
            <w:tcW w:w="1814" w:type="dxa"/>
            <w:vAlign w:val="center"/>
          </w:tcPr>
          <w:p w14:paraId="012D95AC" w14:textId="77777777" w:rsidR="00454A29" w:rsidRDefault="00454A29">
            <w:pPr>
              <w:pStyle w:val="ConsPlusNormal"/>
              <w:jc w:val="center"/>
            </w:pPr>
            <w:r>
              <w:t>-</w:t>
            </w:r>
          </w:p>
        </w:tc>
        <w:tc>
          <w:tcPr>
            <w:tcW w:w="1701" w:type="dxa"/>
            <w:vAlign w:val="center"/>
          </w:tcPr>
          <w:p w14:paraId="4CD386BB" w14:textId="77777777" w:rsidR="00454A29" w:rsidRDefault="00454A29">
            <w:pPr>
              <w:pStyle w:val="ConsPlusNormal"/>
              <w:jc w:val="center"/>
            </w:pPr>
            <w:r>
              <w:t>-</w:t>
            </w:r>
          </w:p>
        </w:tc>
        <w:tc>
          <w:tcPr>
            <w:tcW w:w="1701" w:type="dxa"/>
            <w:vAlign w:val="center"/>
          </w:tcPr>
          <w:p w14:paraId="69E483F5" w14:textId="77777777" w:rsidR="00454A29" w:rsidRDefault="00454A29">
            <w:pPr>
              <w:pStyle w:val="ConsPlusNormal"/>
              <w:jc w:val="center"/>
            </w:pPr>
            <w:r>
              <w:t>-</w:t>
            </w:r>
          </w:p>
        </w:tc>
        <w:tc>
          <w:tcPr>
            <w:tcW w:w="1814" w:type="dxa"/>
            <w:vAlign w:val="center"/>
          </w:tcPr>
          <w:p w14:paraId="7EA73301" w14:textId="77777777" w:rsidR="00454A29" w:rsidRDefault="00454A29">
            <w:pPr>
              <w:pStyle w:val="ConsPlusNormal"/>
              <w:jc w:val="center"/>
            </w:pPr>
            <w:r>
              <w:t>-</w:t>
            </w:r>
          </w:p>
        </w:tc>
      </w:tr>
      <w:tr w:rsidR="00454A29" w14:paraId="490750FA" w14:textId="77777777">
        <w:tc>
          <w:tcPr>
            <w:tcW w:w="21706" w:type="dxa"/>
            <w:gridSpan w:val="12"/>
            <w:vAlign w:val="center"/>
          </w:tcPr>
          <w:p w14:paraId="50A0EF40" w14:textId="77777777" w:rsidR="00454A29" w:rsidRDefault="00454A29">
            <w:pPr>
              <w:pStyle w:val="ConsPlusNormal"/>
              <w:jc w:val="center"/>
            </w:pPr>
            <w:r>
              <w:t>Мероприятие 10.7.1.</w:t>
            </w:r>
          </w:p>
        </w:tc>
      </w:tr>
      <w:tr w:rsidR="00454A29" w14:paraId="4BDA46D4" w14:textId="77777777">
        <w:tc>
          <w:tcPr>
            <w:tcW w:w="567" w:type="dxa"/>
            <w:vMerge w:val="restart"/>
            <w:vAlign w:val="center"/>
          </w:tcPr>
          <w:p w14:paraId="38BA61C9" w14:textId="77777777" w:rsidR="00454A29" w:rsidRDefault="00454A29">
            <w:pPr>
              <w:pStyle w:val="ConsPlusNormal"/>
            </w:pPr>
          </w:p>
        </w:tc>
        <w:tc>
          <w:tcPr>
            <w:tcW w:w="3345" w:type="dxa"/>
            <w:vMerge w:val="restart"/>
            <w:vAlign w:val="center"/>
          </w:tcPr>
          <w:p w14:paraId="61462320" w14:textId="77777777" w:rsidR="00454A29" w:rsidRDefault="00454A29">
            <w:pPr>
              <w:pStyle w:val="ConsPlusNormal"/>
              <w:jc w:val="center"/>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мероприятия "Создание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tc>
        <w:tc>
          <w:tcPr>
            <w:tcW w:w="1701" w:type="dxa"/>
            <w:vAlign w:val="center"/>
          </w:tcPr>
          <w:p w14:paraId="5ABE6AED" w14:textId="77777777" w:rsidR="00454A29" w:rsidRDefault="00454A29">
            <w:pPr>
              <w:pStyle w:val="ConsPlusNormal"/>
              <w:jc w:val="center"/>
            </w:pPr>
            <w:r>
              <w:t>Всего:</w:t>
            </w:r>
          </w:p>
        </w:tc>
        <w:tc>
          <w:tcPr>
            <w:tcW w:w="1417" w:type="dxa"/>
            <w:vAlign w:val="center"/>
          </w:tcPr>
          <w:p w14:paraId="5618D9F1" w14:textId="77777777" w:rsidR="00454A29" w:rsidRDefault="00454A29">
            <w:pPr>
              <w:pStyle w:val="ConsPlusNormal"/>
              <w:jc w:val="center"/>
            </w:pPr>
            <w:r>
              <w:t>х</w:t>
            </w:r>
          </w:p>
        </w:tc>
        <w:tc>
          <w:tcPr>
            <w:tcW w:w="2204" w:type="dxa"/>
            <w:vAlign w:val="center"/>
          </w:tcPr>
          <w:p w14:paraId="126DD635" w14:textId="77777777" w:rsidR="00454A29" w:rsidRDefault="00454A29">
            <w:pPr>
              <w:pStyle w:val="ConsPlusNormal"/>
              <w:jc w:val="center"/>
            </w:pPr>
            <w:r>
              <w:t>х</w:t>
            </w:r>
          </w:p>
        </w:tc>
        <w:tc>
          <w:tcPr>
            <w:tcW w:w="1417" w:type="dxa"/>
            <w:vAlign w:val="center"/>
          </w:tcPr>
          <w:p w14:paraId="1ABF7910" w14:textId="77777777" w:rsidR="00454A29" w:rsidRDefault="00454A29">
            <w:pPr>
              <w:pStyle w:val="ConsPlusNormal"/>
              <w:jc w:val="center"/>
            </w:pPr>
            <w:r>
              <w:t>1990</w:t>
            </w:r>
          </w:p>
        </w:tc>
        <w:tc>
          <w:tcPr>
            <w:tcW w:w="2324" w:type="dxa"/>
            <w:vAlign w:val="center"/>
          </w:tcPr>
          <w:p w14:paraId="3E940B11" w14:textId="77777777" w:rsidR="00454A29" w:rsidRDefault="00454A29">
            <w:pPr>
              <w:pStyle w:val="ConsPlusNormal"/>
              <w:jc w:val="center"/>
            </w:pPr>
            <w:r>
              <w:t>х</w:t>
            </w:r>
          </w:p>
        </w:tc>
        <w:tc>
          <w:tcPr>
            <w:tcW w:w="1701" w:type="dxa"/>
            <w:vAlign w:val="center"/>
          </w:tcPr>
          <w:p w14:paraId="5079641D" w14:textId="77777777" w:rsidR="00454A29" w:rsidRDefault="00454A29">
            <w:pPr>
              <w:pStyle w:val="ConsPlusNormal"/>
              <w:jc w:val="center"/>
            </w:pPr>
            <w:r>
              <w:t>1 974 622,30</w:t>
            </w:r>
          </w:p>
        </w:tc>
        <w:tc>
          <w:tcPr>
            <w:tcW w:w="1814" w:type="dxa"/>
            <w:vAlign w:val="center"/>
          </w:tcPr>
          <w:p w14:paraId="5C029DAD" w14:textId="77777777" w:rsidR="00454A29" w:rsidRDefault="00454A29">
            <w:pPr>
              <w:pStyle w:val="ConsPlusNormal"/>
              <w:jc w:val="center"/>
            </w:pPr>
            <w:r>
              <w:t>27 053,12</w:t>
            </w:r>
          </w:p>
        </w:tc>
        <w:tc>
          <w:tcPr>
            <w:tcW w:w="1701" w:type="dxa"/>
            <w:vAlign w:val="center"/>
          </w:tcPr>
          <w:p w14:paraId="6B67DA53" w14:textId="77777777" w:rsidR="00454A29" w:rsidRDefault="00454A29">
            <w:pPr>
              <w:pStyle w:val="ConsPlusNormal"/>
              <w:jc w:val="center"/>
            </w:pPr>
            <w:r>
              <w:t>1 931 534,20</w:t>
            </w:r>
          </w:p>
        </w:tc>
        <w:tc>
          <w:tcPr>
            <w:tcW w:w="1701" w:type="dxa"/>
            <w:vAlign w:val="center"/>
          </w:tcPr>
          <w:p w14:paraId="0A2F9240" w14:textId="77777777" w:rsidR="00454A29" w:rsidRDefault="00454A29">
            <w:pPr>
              <w:pStyle w:val="ConsPlusNormal"/>
              <w:jc w:val="center"/>
            </w:pPr>
            <w:r>
              <w:t>16 034,97</w:t>
            </w:r>
          </w:p>
        </w:tc>
        <w:tc>
          <w:tcPr>
            <w:tcW w:w="1814" w:type="dxa"/>
            <w:vAlign w:val="center"/>
          </w:tcPr>
          <w:p w14:paraId="5E0A4A89" w14:textId="77777777" w:rsidR="00454A29" w:rsidRDefault="00454A29">
            <w:pPr>
              <w:pStyle w:val="ConsPlusNormal"/>
              <w:jc w:val="center"/>
            </w:pPr>
            <w:r>
              <w:t>-</w:t>
            </w:r>
          </w:p>
        </w:tc>
      </w:tr>
      <w:tr w:rsidR="00454A29" w14:paraId="18132424" w14:textId="77777777">
        <w:tc>
          <w:tcPr>
            <w:tcW w:w="567" w:type="dxa"/>
            <w:vMerge/>
          </w:tcPr>
          <w:p w14:paraId="0FDC23C9" w14:textId="77777777" w:rsidR="00454A29" w:rsidRDefault="00454A29"/>
        </w:tc>
        <w:tc>
          <w:tcPr>
            <w:tcW w:w="3345" w:type="dxa"/>
            <w:vMerge/>
          </w:tcPr>
          <w:p w14:paraId="0B5597A9" w14:textId="77777777" w:rsidR="00454A29" w:rsidRDefault="00454A29"/>
        </w:tc>
        <w:tc>
          <w:tcPr>
            <w:tcW w:w="1701" w:type="dxa"/>
            <w:vAlign w:val="center"/>
          </w:tcPr>
          <w:p w14:paraId="6DA7E65D" w14:textId="77777777" w:rsidR="00454A29" w:rsidRDefault="00454A29">
            <w:pPr>
              <w:pStyle w:val="ConsPlusNormal"/>
              <w:jc w:val="center"/>
            </w:pPr>
            <w:r>
              <w:t>2020</w:t>
            </w:r>
          </w:p>
        </w:tc>
        <w:tc>
          <w:tcPr>
            <w:tcW w:w="1417" w:type="dxa"/>
            <w:vMerge w:val="restart"/>
            <w:vAlign w:val="center"/>
          </w:tcPr>
          <w:p w14:paraId="5D3D71EC" w14:textId="77777777" w:rsidR="00454A29" w:rsidRDefault="00454A29">
            <w:pPr>
              <w:pStyle w:val="ConsPlusNormal"/>
            </w:pPr>
          </w:p>
        </w:tc>
        <w:tc>
          <w:tcPr>
            <w:tcW w:w="2204" w:type="dxa"/>
            <w:vMerge w:val="restart"/>
            <w:vAlign w:val="center"/>
          </w:tcPr>
          <w:p w14:paraId="1948598E" w14:textId="77777777" w:rsidR="00454A29" w:rsidRDefault="00454A29">
            <w:pPr>
              <w:pStyle w:val="ConsPlusNormal"/>
            </w:pPr>
          </w:p>
        </w:tc>
        <w:tc>
          <w:tcPr>
            <w:tcW w:w="1417" w:type="dxa"/>
            <w:vMerge w:val="restart"/>
            <w:vAlign w:val="center"/>
          </w:tcPr>
          <w:p w14:paraId="07A068DE" w14:textId="77777777" w:rsidR="00454A29" w:rsidRDefault="00454A29">
            <w:pPr>
              <w:pStyle w:val="ConsPlusNormal"/>
            </w:pPr>
          </w:p>
        </w:tc>
        <w:tc>
          <w:tcPr>
            <w:tcW w:w="2324" w:type="dxa"/>
            <w:vMerge w:val="restart"/>
            <w:vAlign w:val="center"/>
          </w:tcPr>
          <w:p w14:paraId="2FE3BCAE" w14:textId="77777777" w:rsidR="00454A29" w:rsidRDefault="00454A29">
            <w:pPr>
              <w:pStyle w:val="ConsPlusNormal"/>
            </w:pPr>
          </w:p>
        </w:tc>
        <w:tc>
          <w:tcPr>
            <w:tcW w:w="1701" w:type="dxa"/>
            <w:vAlign w:val="center"/>
          </w:tcPr>
          <w:p w14:paraId="4ECA233F" w14:textId="77777777" w:rsidR="00454A29" w:rsidRDefault="00454A29">
            <w:pPr>
              <w:pStyle w:val="ConsPlusNormal"/>
              <w:jc w:val="center"/>
            </w:pPr>
            <w:r>
              <w:t>651 923,55</w:t>
            </w:r>
          </w:p>
        </w:tc>
        <w:tc>
          <w:tcPr>
            <w:tcW w:w="1814" w:type="dxa"/>
            <w:vAlign w:val="center"/>
          </w:tcPr>
          <w:p w14:paraId="3BB6FF07" w14:textId="77777777" w:rsidR="00454A29" w:rsidRDefault="00454A29">
            <w:pPr>
              <w:pStyle w:val="ConsPlusNormal"/>
              <w:jc w:val="center"/>
            </w:pPr>
            <w:r>
              <w:t>6 473,49</w:t>
            </w:r>
          </w:p>
        </w:tc>
        <w:tc>
          <w:tcPr>
            <w:tcW w:w="1701" w:type="dxa"/>
            <w:vAlign w:val="center"/>
          </w:tcPr>
          <w:p w14:paraId="766292E5" w14:textId="77777777" w:rsidR="00454A29" w:rsidRDefault="00454A29">
            <w:pPr>
              <w:pStyle w:val="ConsPlusNormal"/>
              <w:jc w:val="center"/>
            </w:pPr>
            <w:r>
              <w:t>640 875,60</w:t>
            </w:r>
          </w:p>
        </w:tc>
        <w:tc>
          <w:tcPr>
            <w:tcW w:w="1701" w:type="dxa"/>
            <w:vAlign w:val="center"/>
          </w:tcPr>
          <w:p w14:paraId="3EAA55D9" w14:textId="77777777" w:rsidR="00454A29" w:rsidRDefault="00454A29">
            <w:pPr>
              <w:pStyle w:val="ConsPlusNormal"/>
              <w:jc w:val="center"/>
            </w:pPr>
            <w:r>
              <w:t>4 574,46</w:t>
            </w:r>
          </w:p>
        </w:tc>
        <w:tc>
          <w:tcPr>
            <w:tcW w:w="1814" w:type="dxa"/>
            <w:vAlign w:val="center"/>
          </w:tcPr>
          <w:p w14:paraId="27AC4D03" w14:textId="77777777" w:rsidR="00454A29" w:rsidRDefault="00454A29">
            <w:pPr>
              <w:pStyle w:val="ConsPlusNormal"/>
              <w:jc w:val="center"/>
            </w:pPr>
            <w:r>
              <w:t>-</w:t>
            </w:r>
          </w:p>
        </w:tc>
      </w:tr>
      <w:tr w:rsidR="00454A29" w14:paraId="2974DED2" w14:textId="77777777">
        <w:tc>
          <w:tcPr>
            <w:tcW w:w="567" w:type="dxa"/>
            <w:vMerge/>
          </w:tcPr>
          <w:p w14:paraId="315E2776" w14:textId="77777777" w:rsidR="00454A29" w:rsidRDefault="00454A29"/>
        </w:tc>
        <w:tc>
          <w:tcPr>
            <w:tcW w:w="3345" w:type="dxa"/>
            <w:vMerge/>
          </w:tcPr>
          <w:p w14:paraId="041C9E0E" w14:textId="77777777" w:rsidR="00454A29" w:rsidRDefault="00454A29"/>
        </w:tc>
        <w:tc>
          <w:tcPr>
            <w:tcW w:w="1701" w:type="dxa"/>
            <w:vAlign w:val="center"/>
          </w:tcPr>
          <w:p w14:paraId="58E83DCD" w14:textId="77777777" w:rsidR="00454A29" w:rsidRDefault="00454A29">
            <w:pPr>
              <w:pStyle w:val="ConsPlusNormal"/>
              <w:jc w:val="center"/>
            </w:pPr>
            <w:r>
              <w:t>2021</w:t>
            </w:r>
          </w:p>
        </w:tc>
        <w:tc>
          <w:tcPr>
            <w:tcW w:w="1417" w:type="dxa"/>
            <w:vMerge/>
          </w:tcPr>
          <w:p w14:paraId="6097BC95" w14:textId="77777777" w:rsidR="00454A29" w:rsidRDefault="00454A29"/>
        </w:tc>
        <w:tc>
          <w:tcPr>
            <w:tcW w:w="2204" w:type="dxa"/>
            <w:vMerge/>
          </w:tcPr>
          <w:p w14:paraId="382A9B89" w14:textId="77777777" w:rsidR="00454A29" w:rsidRDefault="00454A29"/>
        </w:tc>
        <w:tc>
          <w:tcPr>
            <w:tcW w:w="1417" w:type="dxa"/>
            <w:vMerge/>
          </w:tcPr>
          <w:p w14:paraId="559DB6D4" w14:textId="77777777" w:rsidR="00454A29" w:rsidRDefault="00454A29"/>
        </w:tc>
        <w:tc>
          <w:tcPr>
            <w:tcW w:w="2324" w:type="dxa"/>
            <w:vMerge/>
          </w:tcPr>
          <w:p w14:paraId="1E7BB79D" w14:textId="77777777" w:rsidR="00454A29" w:rsidRDefault="00454A29"/>
        </w:tc>
        <w:tc>
          <w:tcPr>
            <w:tcW w:w="1701" w:type="dxa"/>
            <w:vAlign w:val="center"/>
          </w:tcPr>
          <w:p w14:paraId="0B3FB849" w14:textId="77777777" w:rsidR="00454A29" w:rsidRDefault="00454A29">
            <w:pPr>
              <w:pStyle w:val="ConsPlusNormal"/>
              <w:jc w:val="center"/>
            </w:pPr>
            <w:r>
              <w:t>1 173 948,75</w:t>
            </w:r>
          </w:p>
        </w:tc>
        <w:tc>
          <w:tcPr>
            <w:tcW w:w="1814" w:type="dxa"/>
            <w:vAlign w:val="center"/>
          </w:tcPr>
          <w:p w14:paraId="268D8F7A" w14:textId="77777777" w:rsidR="00454A29" w:rsidRDefault="00454A29">
            <w:pPr>
              <w:pStyle w:val="ConsPlusNormal"/>
              <w:jc w:val="center"/>
            </w:pPr>
            <w:r>
              <w:t>11 654,63</w:t>
            </w:r>
          </w:p>
        </w:tc>
        <w:tc>
          <w:tcPr>
            <w:tcW w:w="1701" w:type="dxa"/>
            <w:vAlign w:val="center"/>
          </w:tcPr>
          <w:p w14:paraId="1FC615B0" w14:textId="77777777" w:rsidR="00454A29" w:rsidRDefault="00454A29">
            <w:pPr>
              <w:pStyle w:val="ConsPlusNormal"/>
              <w:jc w:val="center"/>
            </w:pPr>
            <w:r>
              <w:t>1 153 808,60</w:t>
            </w:r>
          </w:p>
        </w:tc>
        <w:tc>
          <w:tcPr>
            <w:tcW w:w="1701" w:type="dxa"/>
            <w:vAlign w:val="center"/>
          </w:tcPr>
          <w:p w14:paraId="0D3AB6AA" w14:textId="77777777" w:rsidR="00454A29" w:rsidRDefault="00454A29">
            <w:pPr>
              <w:pStyle w:val="ConsPlusNormal"/>
              <w:jc w:val="center"/>
            </w:pPr>
            <w:r>
              <w:t>8 485,52</w:t>
            </w:r>
          </w:p>
        </w:tc>
        <w:tc>
          <w:tcPr>
            <w:tcW w:w="1814" w:type="dxa"/>
            <w:vAlign w:val="center"/>
          </w:tcPr>
          <w:p w14:paraId="207E544D" w14:textId="77777777" w:rsidR="00454A29" w:rsidRDefault="00454A29">
            <w:pPr>
              <w:pStyle w:val="ConsPlusNormal"/>
              <w:jc w:val="center"/>
            </w:pPr>
            <w:r>
              <w:t>-</w:t>
            </w:r>
          </w:p>
        </w:tc>
      </w:tr>
      <w:tr w:rsidR="00454A29" w14:paraId="757CC159" w14:textId="77777777">
        <w:tc>
          <w:tcPr>
            <w:tcW w:w="567" w:type="dxa"/>
            <w:vMerge/>
          </w:tcPr>
          <w:p w14:paraId="0394F7C2" w14:textId="77777777" w:rsidR="00454A29" w:rsidRDefault="00454A29"/>
        </w:tc>
        <w:tc>
          <w:tcPr>
            <w:tcW w:w="3345" w:type="dxa"/>
            <w:vMerge/>
          </w:tcPr>
          <w:p w14:paraId="04F17C50" w14:textId="77777777" w:rsidR="00454A29" w:rsidRDefault="00454A29"/>
        </w:tc>
        <w:tc>
          <w:tcPr>
            <w:tcW w:w="1701" w:type="dxa"/>
            <w:vAlign w:val="center"/>
          </w:tcPr>
          <w:p w14:paraId="3F3AAA55" w14:textId="77777777" w:rsidR="00454A29" w:rsidRDefault="00454A29">
            <w:pPr>
              <w:pStyle w:val="ConsPlusNormal"/>
              <w:jc w:val="center"/>
            </w:pPr>
            <w:r>
              <w:t>2022</w:t>
            </w:r>
          </w:p>
        </w:tc>
        <w:tc>
          <w:tcPr>
            <w:tcW w:w="1417" w:type="dxa"/>
            <w:vMerge/>
          </w:tcPr>
          <w:p w14:paraId="48A54B3B" w14:textId="77777777" w:rsidR="00454A29" w:rsidRDefault="00454A29"/>
        </w:tc>
        <w:tc>
          <w:tcPr>
            <w:tcW w:w="2204" w:type="dxa"/>
            <w:vMerge/>
          </w:tcPr>
          <w:p w14:paraId="0843F3CC" w14:textId="77777777" w:rsidR="00454A29" w:rsidRDefault="00454A29"/>
        </w:tc>
        <w:tc>
          <w:tcPr>
            <w:tcW w:w="1417" w:type="dxa"/>
            <w:vMerge/>
          </w:tcPr>
          <w:p w14:paraId="31EC9906" w14:textId="77777777" w:rsidR="00454A29" w:rsidRDefault="00454A29"/>
        </w:tc>
        <w:tc>
          <w:tcPr>
            <w:tcW w:w="2324" w:type="dxa"/>
            <w:vMerge/>
          </w:tcPr>
          <w:p w14:paraId="5CB752B2" w14:textId="77777777" w:rsidR="00454A29" w:rsidRDefault="00454A29"/>
        </w:tc>
        <w:tc>
          <w:tcPr>
            <w:tcW w:w="1701" w:type="dxa"/>
            <w:vAlign w:val="center"/>
          </w:tcPr>
          <w:p w14:paraId="7FEC567E" w14:textId="77777777" w:rsidR="00454A29" w:rsidRDefault="00454A29">
            <w:pPr>
              <w:pStyle w:val="ConsPlusNormal"/>
              <w:jc w:val="center"/>
            </w:pPr>
            <w:r>
              <w:t>-</w:t>
            </w:r>
          </w:p>
        </w:tc>
        <w:tc>
          <w:tcPr>
            <w:tcW w:w="1814" w:type="dxa"/>
            <w:vAlign w:val="center"/>
          </w:tcPr>
          <w:p w14:paraId="28BF2C31" w14:textId="77777777" w:rsidR="00454A29" w:rsidRDefault="00454A29">
            <w:pPr>
              <w:pStyle w:val="ConsPlusNormal"/>
              <w:jc w:val="center"/>
            </w:pPr>
            <w:r>
              <w:t>-</w:t>
            </w:r>
          </w:p>
        </w:tc>
        <w:tc>
          <w:tcPr>
            <w:tcW w:w="1701" w:type="dxa"/>
            <w:vAlign w:val="center"/>
          </w:tcPr>
          <w:p w14:paraId="490F1690" w14:textId="77777777" w:rsidR="00454A29" w:rsidRDefault="00454A29">
            <w:pPr>
              <w:pStyle w:val="ConsPlusNormal"/>
              <w:jc w:val="center"/>
            </w:pPr>
            <w:r>
              <w:t>-</w:t>
            </w:r>
          </w:p>
        </w:tc>
        <w:tc>
          <w:tcPr>
            <w:tcW w:w="1701" w:type="dxa"/>
            <w:vAlign w:val="center"/>
          </w:tcPr>
          <w:p w14:paraId="62E16615" w14:textId="77777777" w:rsidR="00454A29" w:rsidRDefault="00454A29">
            <w:pPr>
              <w:pStyle w:val="ConsPlusNormal"/>
              <w:jc w:val="center"/>
            </w:pPr>
            <w:r>
              <w:t>-</w:t>
            </w:r>
          </w:p>
        </w:tc>
        <w:tc>
          <w:tcPr>
            <w:tcW w:w="1814" w:type="dxa"/>
            <w:vAlign w:val="center"/>
          </w:tcPr>
          <w:p w14:paraId="7C161050" w14:textId="77777777" w:rsidR="00454A29" w:rsidRDefault="00454A29">
            <w:pPr>
              <w:pStyle w:val="ConsPlusNormal"/>
              <w:jc w:val="center"/>
            </w:pPr>
            <w:r>
              <w:t>-</w:t>
            </w:r>
          </w:p>
        </w:tc>
      </w:tr>
      <w:tr w:rsidR="00454A29" w14:paraId="6F26B57C" w14:textId="77777777">
        <w:tc>
          <w:tcPr>
            <w:tcW w:w="567" w:type="dxa"/>
            <w:vMerge/>
          </w:tcPr>
          <w:p w14:paraId="4E126FF0" w14:textId="77777777" w:rsidR="00454A29" w:rsidRDefault="00454A29"/>
        </w:tc>
        <w:tc>
          <w:tcPr>
            <w:tcW w:w="3345" w:type="dxa"/>
            <w:vMerge/>
          </w:tcPr>
          <w:p w14:paraId="345D26BA" w14:textId="77777777" w:rsidR="00454A29" w:rsidRDefault="00454A29"/>
        </w:tc>
        <w:tc>
          <w:tcPr>
            <w:tcW w:w="1701" w:type="dxa"/>
            <w:vAlign w:val="center"/>
          </w:tcPr>
          <w:p w14:paraId="74A36D8E" w14:textId="77777777" w:rsidR="00454A29" w:rsidRDefault="00454A29">
            <w:pPr>
              <w:pStyle w:val="ConsPlusNormal"/>
              <w:jc w:val="center"/>
            </w:pPr>
            <w:r>
              <w:t>2023</w:t>
            </w:r>
          </w:p>
        </w:tc>
        <w:tc>
          <w:tcPr>
            <w:tcW w:w="1417" w:type="dxa"/>
            <w:vMerge/>
          </w:tcPr>
          <w:p w14:paraId="3CAEE56F" w14:textId="77777777" w:rsidR="00454A29" w:rsidRDefault="00454A29"/>
        </w:tc>
        <w:tc>
          <w:tcPr>
            <w:tcW w:w="2204" w:type="dxa"/>
            <w:vMerge/>
          </w:tcPr>
          <w:p w14:paraId="1CA4AF1D" w14:textId="77777777" w:rsidR="00454A29" w:rsidRDefault="00454A29"/>
        </w:tc>
        <w:tc>
          <w:tcPr>
            <w:tcW w:w="1417" w:type="dxa"/>
            <w:vMerge/>
          </w:tcPr>
          <w:p w14:paraId="74DEB290" w14:textId="77777777" w:rsidR="00454A29" w:rsidRDefault="00454A29"/>
        </w:tc>
        <w:tc>
          <w:tcPr>
            <w:tcW w:w="2324" w:type="dxa"/>
            <w:vMerge/>
          </w:tcPr>
          <w:p w14:paraId="1E754603" w14:textId="77777777" w:rsidR="00454A29" w:rsidRDefault="00454A29"/>
        </w:tc>
        <w:tc>
          <w:tcPr>
            <w:tcW w:w="1701" w:type="dxa"/>
            <w:vAlign w:val="center"/>
          </w:tcPr>
          <w:p w14:paraId="140B92C5" w14:textId="77777777" w:rsidR="00454A29" w:rsidRDefault="00454A29">
            <w:pPr>
              <w:pStyle w:val="ConsPlusNormal"/>
              <w:jc w:val="center"/>
            </w:pPr>
            <w:r>
              <w:t>148 750,00</w:t>
            </w:r>
          </w:p>
        </w:tc>
        <w:tc>
          <w:tcPr>
            <w:tcW w:w="1814" w:type="dxa"/>
            <w:vAlign w:val="center"/>
          </w:tcPr>
          <w:p w14:paraId="1B0A5374" w14:textId="77777777" w:rsidR="00454A29" w:rsidRDefault="00454A29">
            <w:pPr>
              <w:pStyle w:val="ConsPlusNormal"/>
              <w:jc w:val="center"/>
            </w:pPr>
            <w:r>
              <w:t>8 925,00</w:t>
            </w:r>
          </w:p>
        </w:tc>
        <w:tc>
          <w:tcPr>
            <w:tcW w:w="1701" w:type="dxa"/>
            <w:vAlign w:val="center"/>
          </w:tcPr>
          <w:p w14:paraId="76305258" w14:textId="77777777" w:rsidR="00454A29" w:rsidRDefault="00454A29">
            <w:pPr>
              <w:pStyle w:val="ConsPlusNormal"/>
              <w:jc w:val="center"/>
            </w:pPr>
            <w:r>
              <w:t>136 850,00</w:t>
            </w:r>
          </w:p>
        </w:tc>
        <w:tc>
          <w:tcPr>
            <w:tcW w:w="1701" w:type="dxa"/>
            <w:vAlign w:val="center"/>
          </w:tcPr>
          <w:p w14:paraId="36D3E591" w14:textId="77777777" w:rsidR="00454A29" w:rsidRDefault="00454A29">
            <w:pPr>
              <w:pStyle w:val="ConsPlusNormal"/>
              <w:jc w:val="center"/>
            </w:pPr>
            <w:r>
              <w:t>2 975,00</w:t>
            </w:r>
          </w:p>
        </w:tc>
        <w:tc>
          <w:tcPr>
            <w:tcW w:w="1814" w:type="dxa"/>
            <w:vAlign w:val="center"/>
          </w:tcPr>
          <w:p w14:paraId="7A1ABF38" w14:textId="77777777" w:rsidR="00454A29" w:rsidRDefault="00454A29">
            <w:pPr>
              <w:pStyle w:val="ConsPlusNormal"/>
              <w:jc w:val="center"/>
            </w:pPr>
            <w:r>
              <w:t>-</w:t>
            </w:r>
          </w:p>
        </w:tc>
      </w:tr>
      <w:tr w:rsidR="00454A29" w14:paraId="089C61CD" w14:textId="77777777">
        <w:tc>
          <w:tcPr>
            <w:tcW w:w="567" w:type="dxa"/>
            <w:vMerge/>
          </w:tcPr>
          <w:p w14:paraId="3B0D56D9" w14:textId="77777777" w:rsidR="00454A29" w:rsidRDefault="00454A29"/>
        </w:tc>
        <w:tc>
          <w:tcPr>
            <w:tcW w:w="3345" w:type="dxa"/>
            <w:vMerge/>
          </w:tcPr>
          <w:p w14:paraId="09C9A5F7" w14:textId="77777777" w:rsidR="00454A29" w:rsidRDefault="00454A29"/>
        </w:tc>
        <w:tc>
          <w:tcPr>
            <w:tcW w:w="1701" w:type="dxa"/>
            <w:vAlign w:val="center"/>
          </w:tcPr>
          <w:p w14:paraId="17F0B41F" w14:textId="77777777" w:rsidR="00454A29" w:rsidRDefault="00454A29">
            <w:pPr>
              <w:pStyle w:val="ConsPlusNormal"/>
              <w:jc w:val="center"/>
            </w:pPr>
            <w:r>
              <w:t>2024</w:t>
            </w:r>
          </w:p>
        </w:tc>
        <w:tc>
          <w:tcPr>
            <w:tcW w:w="1417" w:type="dxa"/>
            <w:vMerge/>
          </w:tcPr>
          <w:p w14:paraId="083AD65E" w14:textId="77777777" w:rsidR="00454A29" w:rsidRDefault="00454A29"/>
        </w:tc>
        <w:tc>
          <w:tcPr>
            <w:tcW w:w="2204" w:type="dxa"/>
            <w:vMerge/>
          </w:tcPr>
          <w:p w14:paraId="543E841A" w14:textId="77777777" w:rsidR="00454A29" w:rsidRDefault="00454A29"/>
        </w:tc>
        <w:tc>
          <w:tcPr>
            <w:tcW w:w="1417" w:type="dxa"/>
            <w:vMerge/>
          </w:tcPr>
          <w:p w14:paraId="7D5EBCDF" w14:textId="77777777" w:rsidR="00454A29" w:rsidRDefault="00454A29"/>
        </w:tc>
        <w:tc>
          <w:tcPr>
            <w:tcW w:w="2324" w:type="dxa"/>
            <w:vMerge/>
          </w:tcPr>
          <w:p w14:paraId="3680B8A3" w14:textId="77777777" w:rsidR="00454A29" w:rsidRDefault="00454A29"/>
        </w:tc>
        <w:tc>
          <w:tcPr>
            <w:tcW w:w="1701" w:type="dxa"/>
            <w:vAlign w:val="center"/>
          </w:tcPr>
          <w:p w14:paraId="03382859" w14:textId="77777777" w:rsidR="00454A29" w:rsidRDefault="00454A29">
            <w:pPr>
              <w:pStyle w:val="ConsPlusNormal"/>
              <w:jc w:val="center"/>
            </w:pPr>
            <w:r>
              <w:t>-</w:t>
            </w:r>
          </w:p>
        </w:tc>
        <w:tc>
          <w:tcPr>
            <w:tcW w:w="1814" w:type="dxa"/>
            <w:vAlign w:val="center"/>
          </w:tcPr>
          <w:p w14:paraId="1C709DB9" w14:textId="77777777" w:rsidR="00454A29" w:rsidRDefault="00454A29">
            <w:pPr>
              <w:pStyle w:val="ConsPlusNormal"/>
              <w:jc w:val="center"/>
            </w:pPr>
            <w:r>
              <w:t>-</w:t>
            </w:r>
          </w:p>
        </w:tc>
        <w:tc>
          <w:tcPr>
            <w:tcW w:w="1701" w:type="dxa"/>
            <w:vAlign w:val="center"/>
          </w:tcPr>
          <w:p w14:paraId="275F8F50" w14:textId="77777777" w:rsidR="00454A29" w:rsidRDefault="00454A29">
            <w:pPr>
              <w:pStyle w:val="ConsPlusNormal"/>
              <w:jc w:val="center"/>
            </w:pPr>
            <w:r>
              <w:t>-</w:t>
            </w:r>
          </w:p>
        </w:tc>
        <w:tc>
          <w:tcPr>
            <w:tcW w:w="1701" w:type="dxa"/>
            <w:vAlign w:val="center"/>
          </w:tcPr>
          <w:p w14:paraId="1809B706" w14:textId="77777777" w:rsidR="00454A29" w:rsidRDefault="00454A29">
            <w:pPr>
              <w:pStyle w:val="ConsPlusNormal"/>
              <w:jc w:val="center"/>
            </w:pPr>
            <w:r>
              <w:t>-</w:t>
            </w:r>
          </w:p>
        </w:tc>
        <w:tc>
          <w:tcPr>
            <w:tcW w:w="1814" w:type="dxa"/>
            <w:vAlign w:val="center"/>
          </w:tcPr>
          <w:p w14:paraId="47BF152E" w14:textId="77777777" w:rsidR="00454A29" w:rsidRDefault="00454A29">
            <w:pPr>
              <w:pStyle w:val="ConsPlusNormal"/>
              <w:jc w:val="center"/>
            </w:pPr>
            <w:r>
              <w:t>-</w:t>
            </w:r>
          </w:p>
        </w:tc>
      </w:tr>
      <w:tr w:rsidR="00454A29" w14:paraId="5D5AA4DB" w14:textId="77777777">
        <w:tc>
          <w:tcPr>
            <w:tcW w:w="567" w:type="dxa"/>
            <w:vMerge/>
          </w:tcPr>
          <w:p w14:paraId="7260B203" w14:textId="77777777" w:rsidR="00454A29" w:rsidRDefault="00454A29"/>
        </w:tc>
        <w:tc>
          <w:tcPr>
            <w:tcW w:w="3345" w:type="dxa"/>
            <w:vMerge/>
          </w:tcPr>
          <w:p w14:paraId="029A144E" w14:textId="77777777" w:rsidR="00454A29" w:rsidRDefault="00454A29"/>
        </w:tc>
        <w:tc>
          <w:tcPr>
            <w:tcW w:w="1701" w:type="dxa"/>
            <w:vAlign w:val="center"/>
          </w:tcPr>
          <w:p w14:paraId="6C09A782" w14:textId="77777777" w:rsidR="00454A29" w:rsidRDefault="00454A29">
            <w:pPr>
              <w:pStyle w:val="ConsPlusNormal"/>
              <w:jc w:val="center"/>
            </w:pPr>
            <w:r>
              <w:t>2025</w:t>
            </w:r>
          </w:p>
        </w:tc>
        <w:tc>
          <w:tcPr>
            <w:tcW w:w="1417" w:type="dxa"/>
            <w:vMerge/>
          </w:tcPr>
          <w:p w14:paraId="496C28C1" w14:textId="77777777" w:rsidR="00454A29" w:rsidRDefault="00454A29"/>
        </w:tc>
        <w:tc>
          <w:tcPr>
            <w:tcW w:w="2204" w:type="dxa"/>
            <w:vMerge/>
          </w:tcPr>
          <w:p w14:paraId="55644EB3" w14:textId="77777777" w:rsidR="00454A29" w:rsidRDefault="00454A29"/>
        </w:tc>
        <w:tc>
          <w:tcPr>
            <w:tcW w:w="1417" w:type="dxa"/>
            <w:vMerge/>
          </w:tcPr>
          <w:p w14:paraId="042C1A06" w14:textId="77777777" w:rsidR="00454A29" w:rsidRDefault="00454A29"/>
        </w:tc>
        <w:tc>
          <w:tcPr>
            <w:tcW w:w="2324" w:type="dxa"/>
            <w:vMerge/>
          </w:tcPr>
          <w:p w14:paraId="2AEF085C" w14:textId="77777777" w:rsidR="00454A29" w:rsidRDefault="00454A29"/>
        </w:tc>
        <w:tc>
          <w:tcPr>
            <w:tcW w:w="1701" w:type="dxa"/>
            <w:vAlign w:val="center"/>
          </w:tcPr>
          <w:p w14:paraId="2F208365" w14:textId="77777777" w:rsidR="00454A29" w:rsidRDefault="00454A29">
            <w:pPr>
              <w:pStyle w:val="ConsPlusNormal"/>
              <w:jc w:val="center"/>
            </w:pPr>
            <w:r>
              <w:t>-</w:t>
            </w:r>
          </w:p>
        </w:tc>
        <w:tc>
          <w:tcPr>
            <w:tcW w:w="1814" w:type="dxa"/>
            <w:vAlign w:val="center"/>
          </w:tcPr>
          <w:p w14:paraId="0D5D8898" w14:textId="77777777" w:rsidR="00454A29" w:rsidRDefault="00454A29">
            <w:pPr>
              <w:pStyle w:val="ConsPlusNormal"/>
              <w:jc w:val="center"/>
            </w:pPr>
            <w:r>
              <w:t>-</w:t>
            </w:r>
          </w:p>
        </w:tc>
        <w:tc>
          <w:tcPr>
            <w:tcW w:w="1701" w:type="dxa"/>
            <w:vAlign w:val="center"/>
          </w:tcPr>
          <w:p w14:paraId="584DECF5" w14:textId="77777777" w:rsidR="00454A29" w:rsidRDefault="00454A29">
            <w:pPr>
              <w:pStyle w:val="ConsPlusNormal"/>
              <w:jc w:val="center"/>
            </w:pPr>
            <w:r>
              <w:t>-</w:t>
            </w:r>
          </w:p>
        </w:tc>
        <w:tc>
          <w:tcPr>
            <w:tcW w:w="1701" w:type="dxa"/>
            <w:vAlign w:val="center"/>
          </w:tcPr>
          <w:p w14:paraId="4088669E" w14:textId="77777777" w:rsidR="00454A29" w:rsidRDefault="00454A29">
            <w:pPr>
              <w:pStyle w:val="ConsPlusNormal"/>
              <w:jc w:val="center"/>
            </w:pPr>
            <w:r>
              <w:t>-</w:t>
            </w:r>
          </w:p>
        </w:tc>
        <w:tc>
          <w:tcPr>
            <w:tcW w:w="1814" w:type="dxa"/>
            <w:vAlign w:val="center"/>
          </w:tcPr>
          <w:p w14:paraId="4BD59FA7" w14:textId="77777777" w:rsidR="00454A29" w:rsidRDefault="00454A29">
            <w:pPr>
              <w:pStyle w:val="ConsPlusNormal"/>
              <w:jc w:val="center"/>
            </w:pPr>
            <w:r>
              <w:t>-</w:t>
            </w:r>
          </w:p>
        </w:tc>
      </w:tr>
      <w:tr w:rsidR="00454A29" w14:paraId="669367C2" w14:textId="77777777">
        <w:tc>
          <w:tcPr>
            <w:tcW w:w="567" w:type="dxa"/>
            <w:vMerge/>
          </w:tcPr>
          <w:p w14:paraId="79734191" w14:textId="77777777" w:rsidR="00454A29" w:rsidRDefault="00454A29"/>
        </w:tc>
        <w:tc>
          <w:tcPr>
            <w:tcW w:w="3345" w:type="dxa"/>
            <w:vMerge/>
          </w:tcPr>
          <w:p w14:paraId="55A759FA" w14:textId="77777777" w:rsidR="00454A29" w:rsidRDefault="00454A29"/>
        </w:tc>
        <w:tc>
          <w:tcPr>
            <w:tcW w:w="1701" w:type="dxa"/>
            <w:vAlign w:val="center"/>
          </w:tcPr>
          <w:p w14:paraId="1033A0DE" w14:textId="77777777" w:rsidR="00454A29" w:rsidRDefault="00454A29">
            <w:pPr>
              <w:pStyle w:val="ConsPlusNormal"/>
              <w:jc w:val="center"/>
            </w:pPr>
            <w:r>
              <w:t>2026</w:t>
            </w:r>
          </w:p>
        </w:tc>
        <w:tc>
          <w:tcPr>
            <w:tcW w:w="1417" w:type="dxa"/>
            <w:vMerge/>
          </w:tcPr>
          <w:p w14:paraId="27AF1E58" w14:textId="77777777" w:rsidR="00454A29" w:rsidRDefault="00454A29"/>
        </w:tc>
        <w:tc>
          <w:tcPr>
            <w:tcW w:w="2204" w:type="dxa"/>
            <w:vMerge/>
          </w:tcPr>
          <w:p w14:paraId="042BEA91" w14:textId="77777777" w:rsidR="00454A29" w:rsidRDefault="00454A29"/>
        </w:tc>
        <w:tc>
          <w:tcPr>
            <w:tcW w:w="1417" w:type="dxa"/>
            <w:vMerge/>
          </w:tcPr>
          <w:p w14:paraId="23D272ED" w14:textId="77777777" w:rsidR="00454A29" w:rsidRDefault="00454A29"/>
        </w:tc>
        <w:tc>
          <w:tcPr>
            <w:tcW w:w="2324" w:type="dxa"/>
            <w:vMerge/>
          </w:tcPr>
          <w:p w14:paraId="5B8FB50E" w14:textId="77777777" w:rsidR="00454A29" w:rsidRDefault="00454A29"/>
        </w:tc>
        <w:tc>
          <w:tcPr>
            <w:tcW w:w="1701" w:type="dxa"/>
            <w:vAlign w:val="center"/>
          </w:tcPr>
          <w:p w14:paraId="3321B473" w14:textId="77777777" w:rsidR="00454A29" w:rsidRDefault="00454A29">
            <w:pPr>
              <w:pStyle w:val="ConsPlusNormal"/>
              <w:jc w:val="center"/>
            </w:pPr>
            <w:r>
              <w:t>-</w:t>
            </w:r>
          </w:p>
        </w:tc>
        <w:tc>
          <w:tcPr>
            <w:tcW w:w="1814" w:type="dxa"/>
            <w:vAlign w:val="center"/>
          </w:tcPr>
          <w:p w14:paraId="2F147BDE" w14:textId="77777777" w:rsidR="00454A29" w:rsidRDefault="00454A29">
            <w:pPr>
              <w:pStyle w:val="ConsPlusNormal"/>
              <w:jc w:val="center"/>
            </w:pPr>
            <w:r>
              <w:t>-</w:t>
            </w:r>
          </w:p>
        </w:tc>
        <w:tc>
          <w:tcPr>
            <w:tcW w:w="1701" w:type="dxa"/>
            <w:vAlign w:val="center"/>
          </w:tcPr>
          <w:p w14:paraId="3FE0B031" w14:textId="77777777" w:rsidR="00454A29" w:rsidRDefault="00454A29">
            <w:pPr>
              <w:pStyle w:val="ConsPlusNormal"/>
              <w:jc w:val="center"/>
            </w:pPr>
            <w:r>
              <w:t>-</w:t>
            </w:r>
          </w:p>
        </w:tc>
        <w:tc>
          <w:tcPr>
            <w:tcW w:w="1701" w:type="dxa"/>
            <w:vAlign w:val="center"/>
          </w:tcPr>
          <w:p w14:paraId="29D418A6" w14:textId="77777777" w:rsidR="00454A29" w:rsidRDefault="00454A29">
            <w:pPr>
              <w:pStyle w:val="ConsPlusNormal"/>
              <w:jc w:val="center"/>
            </w:pPr>
            <w:r>
              <w:t>-</w:t>
            </w:r>
          </w:p>
        </w:tc>
        <w:tc>
          <w:tcPr>
            <w:tcW w:w="1814" w:type="dxa"/>
            <w:vAlign w:val="center"/>
          </w:tcPr>
          <w:p w14:paraId="48C271C5" w14:textId="77777777" w:rsidR="00454A29" w:rsidRDefault="00454A29">
            <w:pPr>
              <w:pStyle w:val="ConsPlusNormal"/>
              <w:jc w:val="center"/>
            </w:pPr>
            <w:r>
              <w:t>-</w:t>
            </w:r>
          </w:p>
        </w:tc>
      </w:tr>
      <w:tr w:rsidR="00454A29" w14:paraId="71F02879" w14:textId="77777777">
        <w:tc>
          <w:tcPr>
            <w:tcW w:w="567" w:type="dxa"/>
            <w:vMerge w:val="restart"/>
            <w:vAlign w:val="center"/>
          </w:tcPr>
          <w:p w14:paraId="40006B79" w14:textId="77777777" w:rsidR="00454A29" w:rsidRDefault="00454A29">
            <w:pPr>
              <w:pStyle w:val="ConsPlusNormal"/>
              <w:jc w:val="center"/>
            </w:pPr>
            <w:r>
              <w:t>116</w:t>
            </w:r>
          </w:p>
        </w:tc>
        <w:tc>
          <w:tcPr>
            <w:tcW w:w="3345" w:type="dxa"/>
            <w:vMerge w:val="restart"/>
            <w:vAlign w:val="center"/>
          </w:tcPr>
          <w:p w14:paraId="6B27CD4F" w14:textId="77777777" w:rsidR="00454A29" w:rsidRDefault="00454A29">
            <w:pPr>
              <w:pStyle w:val="ConsPlusNormal"/>
              <w:jc w:val="center"/>
            </w:pPr>
            <w:r>
              <w:t>Детский сад на 315 мест в 68 квартале г. Якутска</w:t>
            </w:r>
          </w:p>
        </w:tc>
        <w:tc>
          <w:tcPr>
            <w:tcW w:w="1701" w:type="dxa"/>
            <w:vAlign w:val="center"/>
          </w:tcPr>
          <w:p w14:paraId="70FC2D0F" w14:textId="77777777" w:rsidR="00454A29" w:rsidRDefault="00454A29">
            <w:pPr>
              <w:pStyle w:val="ConsPlusNormal"/>
              <w:jc w:val="center"/>
            </w:pPr>
            <w:r>
              <w:t>Всего:</w:t>
            </w:r>
          </w:p>
        </w:tc>
        <w:tc>
          <w:tcPr>
            <w:tcW w:w="1417" w:type="dxa"/>
            <w:vMerge w:val="restart"/>
            <w:vAlign w:val="center"/>
          </w:tcPr>
          <w:p w14:paraId="15597EE1" w14:textId="77777777" w:rsidR="00454A29" w:rsidRDefault="00454A29">
            <w:pPr>
              <w:pStyle w:val="ConsPlusNormal"/>
              <w:jc w:val="center"/>
            </w:pPr>
            <w:r>
              <w:t>370 703,06</w:t>
            </w:r>
          </w:p>
        </w:tc>
        <w:tc>
          <w:tcPr>
            <w:tcW w:w="2204" w:type="dxa"/>
            <w:vMerge w:val="restart"/>
            <w:vAlign w:val="center"/>
          </w:tcPr>
          <w:p w14:paraId="25653CE8" w14:textId="77777777" w:rsidR="00454A29" w:rsidRDefault="00454A29">
            <w:pPr>
              <w:pStyle w:val="ConsPlusNormal"/>
            </w:pPr>
          </w:p>
        </w:tc>
        <w:tc>
          <w:tcPr>
            <w:tcW w:w="1417" w:type="dxa"/>
            <w:vMerge w:val="restart"/>
            <w:vAlign w:val="center"/>
          </w:tcPr>
          <w:p w14:paraId="37DE487A" w14:textId="77777777" w:rsidR="00454A29" w:rsidRDefault="00454A29">
            <w:pPr>
              <w:pStyle w:val="ConsPlusNormal"/>
              <w:jc w:val="center"/>
            </w:pPr>
            <w:r>
              <w:t>315</w:t>
            </w:r>
          </w:p>
        </w:tc>
        <w:tc>
          <w:tcPr>
            <w:tcW w:w="2324" w:type="dxa"/>
            <w:vMerge w:val="restart"/>
            <w:vAlign w:val="center"/>
          </w:tcPr>
          <w:p w14:paraId="658F5300" w14:textId="77777777" w:rsidR="00454A29" w:rsidRDefault="00454A29">
            <w:pPr>
              <w:pStyle w:val="ConsPlusNormal"/>
              <w:jc w:val="center"/>
            </w:pPr>
            <w:r>
              <w:t>Министерство строительства РС(Я)</w:t>
            </w:r>
          </w:p>
        </w:tc>
        <w:tc>
          <w:tcPr>
            <w:tcW w:w="1701" w:type="dxa"/>
            <w:vAlign w:val="center"/>
          </w:tcPr>
          <w:p w14:paraId="4670094E" w14:textId="77777777" w:rsidR="00454A29" w:rsidRDefault="00454A29">
            <w:pPr>
              <w:pStyle w:val="ConsPlusNormal"/>
              <w:jc w:val="center"/>
            </w:pPr>
            <w:r>
              <w:t>370 703,06</w:t>
            </w:r>
          </w:p>
        </w:tc>
        <w:tc>
          <w:tcPr>
            <w:tcW w:w="1814" w:type="dxa"/>
            <w:vAlign w:val="center"/>
          </w:tcPr>
          <w:p w14:paraId="5321DB2A" w14:textId="77777777" w:rsidR="00454A29" w:rsidRDefault="00454A29">
            <w:pPr>
              <w:pStyle w:val="ConsPlusNormal"/>
              <w:jc w:val="center"/>
            </w:pPr>
            <w:r>
              <w:t>3 669,96</w:t>
            </w:r>
          </w:p>
        </w:tc>
        <w:tc>
          <w:tcPr>
            <w:tcW w:w="1701" w:type="dxa"/>
            <w:vAlign w:val="center"/>
          </w:tcPr>
          <w:p w14:paraId="54E1AE54" w14:textId="77777777" w:rsidR="00454A29" w:rsidRDefault="00454A29">
            <w:pPr>
              <w:pStyle w:val="ConsPlusNormal"/>
              <w:jc w:val="center"/>
            </w:pPr>
            <w:r>
              <w:t>363 326,07</w:t>
            </w:r>
          </w:p>
        </w:tc>
        <w:tc>
          <w:tcPr>
            <w:tcW w:w="1701" w:type="dxa"/>
            <w:vAlign w:val="center"/>
          </w:tcPr>
          <w:p w14:paraId="70E99EB6" w14:textId="77777777" w:rsidR="00454A29" w:rsidRDefault="00454A29">
            <w:pPr>
              <w:pStyle w:val="ConsPlusNormal"/>
              <w:jc w:val="center"/>
            </w:pPr>
            <w:r>
              <w:t>3 707,03</w:t>
            </w:r>
          </w:p>
        </w:tc>
        <w:tc>
          <w:tcPr>
            <w:tcW w:w="1814" w:type="dxa"/>
            <w:vAlign w:val="center"/>
          </w:tcPr>
          <w:p w14:paraId="4D7A8FEC" w14:textId="77777777" w:rsidR="00454A29" w:rsidRDefault="00454A29">
            <w:pPr>
              <w:pStyle w:val="ConsPlusNormal"/>
              <w:jc w:val="center"/>
            </w:pPr>
            <w:r>
              <w:t>-</w:t>
            </w:r>
          </w:p>
        </w:tc>
      </w:tr>
      <w:tr w:rsidR="00454A29" w14:paraId="66565C5D" w14:textId="77777777">
        <w:tc>
          <w:tcPr>
            <w:tcW w:w="567" w:type="dxa"/>
            <w:vMerge/>
          </w:tcPr>
          <w:p w14:paraId="254D9EB3" w14:textId="77777777" w:rsidR="00454A29" w:rsidRDefault="00454A29"/>
        </w:tc>
        <w:tc>
          <w:tcPr>
            <w:tcW w:w="3345" w:type="dxa"/>
            <w:vMerge/>
          </w:tcPr>
          <w:p w14:paraId="2DCDEC81" w14:textId="77777777" w:rsidR="00454A29" w:rsidRDefault="00454A29"/>
        </w:tc>
        <w:tc>
          <w:tcPr>
            <w:tcW w:w="1701" w:type="dxa"/>
            <w:vAlign w:val="center"/>
          </w:tcPr>
          <w:p w14:paraId="4FF6E289" w14:textId="77777777" w:rsidR="00454A29" w:rsidRDefault="00454A29">
            <w:pPr>
              <w:pStyle w:val="ConsPlusNormal"/>
              <w:jc w:val="center"/>
            </w:pPr>
            <w:r>
              <w:t>2020</w:t>
            </w:r>
          </w:p>
        </w:tc>
        <w:tc>
          <w:tcPr>
            <w:tcW w:w="1417" w:type="dxa"/>
            <w:vMerge/>
          </w:tcPr>
          <w:p w14:paraId="4D5D7B29" w14:textId="77777777" w:rsidR="00454A29" w:rsidRDefault="00454A29"/>
        </w:tc>
        <w:tc>
          <w:tcPr>
            <w:tcW w:w="2204" w:type="dxa"/>
            <w:vMerge/>
          </w:tcPr>
          <w:p w14:paraId="164AA21F" w14:textId="77777777" w:rsidR="00454A29" w:rsidRDefault="00454A29"/>
        </w:tc>
        <w:tc>
          <w:tcPr>
            <w:tcW w:w="1417" w:type="dxa"/>
            <w:vMerge/>
          </w:tcPr>
          <w:p w14:paraId="483A4B04" w14:textId="77777777" w:rsidR="00454A29" w:rsidRDefault="00454A29"/>
        </w:tc>
        <w:tc>
          <w:tcPr>
            <w:tcW w:w="2324" w:type="dxa"/>
            <w:vMerge/>
          </w:tcPr>
          <w:p w14:paraId="7F5CA46D" w14:textId="77777777" w:rsidR="00454A29" w:rsidRDefault="00454A29"/>
        </w:tc>
        <w:tc>
          <w:tcPr>
            <w:tcW w:w="1701" w:type="dxa"/>
            <w:vAlign w:val="center"/>
          </w:tcPr>
          <w:p w14:paraId="201CF0D8" w14:textId="77777777" w:rsidR="00454A29" w:rsidRDefault="00454A29">
            <w:pPr>
              <w:pStyle w:val="ConsPlusNormal"/>
              <w:jc w:val="center"/>
            </w:pPr>
            <w:r>
              <w:t>-</w:t>
            </w:r>
          </w:p>
        </w:tc>
        <w:tc>
          <w:tcPr>
            <w:tcW w:w="1814" w:type="dxa"/>
            <w:vAlign w:val="center"/>
          </w:tcPr>
          <w:p w14:paraId="11506311" w14:textId="77777777" w:rsidR="00454A29" w:rsidRDefault="00454A29">
            <w:pPr>
              <w:pStyle w:val="ConsPlusNormal"/>
            </w:pPr>
          </w:p>
        </w:tc>
        <w:tc>
          <w:tcPr>
            <w:tcW w:w="1701" w:type="dxa"/>
            <w:vAlign w:val="center"/>
          </w:tcPr>
          <w:p w14:paraId="53F5396C" w14:textId="77777777" w:rsidR="00454A29" w:rsidRDefault="00454A29">
            <w:pPr>
              <w:pStyle w:val="ConsPlusNormal"/>
            </w:pPr>
          </w:p>
        </w:tc>
        <w:tc>
          <w:tcPr>
            <w:tcW w:w="1701" w:type="dxa"/>
            <w:vAlign w:val="center"/>
          </w:tcPr>
          <w:p w14:paraId="01A8D18F" w14:textId="77777777" w:rsidR="00454A29" w:rsidRDefault="00454A29">
            <w:pPr>
              <w:pStyle w:val="ConsPlusNormal"/>
            </w:pPr>
          </w:p>
        </w:tc>
        <w:tc>
          <w:tcPr>
            <w:tcW w:w="1814" w:type="dxa"/>
            <w:vAlign w:val="center"/>
          </w:tcPr>
          <w:p w14:paraId="447C0EF3" w14:textId="77777777" w:rsidR="00454A29" w:rsidRDefault="00454A29">
            <w:pPr>
              <w:pStyle w:val="ConsPlusNormal"/>
            </w:pPr>
          </w:p>
        </w:tc>
      </w:tr>
      <w:tr w:rsidR="00454A29" w14:paraId="254A0510" w14:textId="77777777">
        <w:tc>
          <w:tcPr>
            <w:tcW w:w="567" w:type="dxa"/>
            <w:vMerge/>
          </w:tcPr>
          <w:p w14:paraId="1A224A28" w14:textId="77777777" w:rsidR="00454A29" w:rsidRDefault="00454A29"/>
        </w:tc>
        <w:tc>
          <w:tcPr>
            <w:tcW w:w="3345" w:type="dxa"/>
            <w:vMerge/>
          </w:tcPr>
          <w:p w14:paraId="3083A95D" w14:textId="77777777" w:rsidR="00454A29" w:rsidRDefault="00454A29"/>
        </w:tc>
        <w:tc>
          <w:tcPr>
            <w:tcW w:w="1701" w:type="dxa"/>
            <w:vAlign w:val="center"/>
          </w:tcPr>
          <w:p w14:paraId="46051D8A" w14:textId="77777777" w:rsidR="00454A29" w:rsidRDefault="00454A29">
            <w:pPr>
              <w:pStyle w:val="ConsPlusNormal"/>
              <w:jc w:val="center"/>
            </w:pPr>
            <w:r>
              <w:t>2021</w:t>
            </w:r>
          </w:p>
        </w:tc>
        <w:tc>
          <w:tcPr>
            <w:tcW w:w="1417" w:type="dxa"/>
            <w:vMerge/>
          </w:tcPr>
          <w:p w14:paraId="4D4B1F48" w14:textId="77777777" w:rsidR="00454A29" w:rsidRDefault="00454A29"/>
        </w:tc>
        <w:tc>
          <w:tcPr>
            <w:tcW w:w="2204" w:type="dxa"/>
            <w:vMerge/>
          </w:tcPr>
          <w:p w14:paraId="55FBF96D" w14:textId="77777777" w:rsidR="00454A29" w:rsidRDefault="00454A29"/>
        </w:tc>
        <w:tc>
          <w:tcPr>
            <w:tcW w:w="1417" w:type="dxa"/>
            <w:vMerge/>
          </w:tcPr>
          <w:p w14:paraId="3E9CB67F" w14:textId="77777777" w:rsidR="00454A29" w:rsidRDefault="00454A29"/>
        </w:tc>
        <w:tc>
          <w:tcPr>
            <w:tcW w:w="2324" w:type="dxa"/>
            <w:vMerge/>
          </w:tcPr>
          <w:p w14:paraId="1D11EF32" w14:textId="77777777" w:rsidR="00454A29" w:rsidRDefault="00454A29"/>
        </w:tc>
        <w:tc>
          <w:tcPr>
            <w:tcW w:w="1701" w:type="dxa"/>
            <w:vAlign w:val="center"/>
          </w:tcPr>
          <w:p w14:paraId="54120876" w14:textId="77777777" w:rsidR="00454A29" w:rsidRDefault="00454A29">
            <w:pPr>
              <w:pStyle w:val="ConsPlusNormal"/>
              <w:jc w:val="center"/>
            </w:pPr>
            <w:r>
              <w:t>370 703,06</w:t>
            </w:r>
          </w:p>
        </w:tc>
        <w:tc>
          <w:tcPr>
            <w:tcW w:w="1814" w:type="dxa"/>
            <w:vAlign w:val="center"/>
          </w:tcPr>
          <w:p w14:paraId="52DB72A7" w14:textId="77777777" w:rsidR="00454A29" w:rsidRDefault="00454A29">
            <w:pPr>
              <w:pStyle w:val="ConsPlusNormal"/>
              <w:jc w:val="center"/>
            </w:pPr>
            <w:r>
              <w:t>3 669,96</w:t>
            </w:r>
          </w:p>
        </w:tc>
        <w:tc>
          <w:tcPr>
            <w:tcW w:w="1701" w:type="dxa"/>
            <w:vAlign w:val="center"/>
          </w:tcPr>
          <w:p w14:paraId="47CA5E10" w14:textId="77777777" w:rsidR="00454A29" w:rsidRDefault="00454A29">
            <w:pPr>
              <w:pStyle w:val="ConsPlusNormal"/>
              <w:jc w:val="center"/>
            </w:pPr>
            <w:r>
              <w:t>363 326,07</w:t>
            </w:r>
          </w:p>
        </w:tc>
        <w:tc>
          <w:tcPr>
            <w:tcW w:w="1701" w:type="dxa"/>
            <w:vAlign w:val="center"/>
          </w:tcPr>
          <w:p w14:paraId="39876D25" w14:textId="77777777" w:rsidR="00454A29" w:rsidRDefault="00454A29">
            <w:pPr>
              <w:pStyle w:val="ConsPlusNormal"/>
              <w:jc w:val="center"/>
            </w:pPr>
            <w:r>
              <w:t>3 707,03</w:t>
            </w:r>
          </w:p>
        </w:tc>
        <w:tc>
          <w:tcPr>
            <w:tcW w:w="1814" w:type="dxa"/>
            <w:vAlign w:val="center"/>
          </w:tcPr>
          <w:p w14:paraId="1B72FC69" w14:textId="77777777" w:rsidR="00454A29" w:rsidRDefault="00454A29">
            <w:pPr>
              <w:pStyle w:val="ConsPlusNormal"/>
            </w:pPr>
          </w:p>
        </w:tc>
      </w:tr>
      <w:tr w:rsidR="00454A29" w14:paraId="5401DCA9" w14:textId="77777777">
        <w:tc>
          <w:tcPr>
            <w:tcW w:w="567" w:type="dxa"/>
            <w:vMerge/>
          </w:tcPr>
          <w:p w14:paraId="23B10424" w14:textId="77777777" w:rsidR="00454A29" w:rsidRDefault="00454A29"/>
        </w:tc>
        <w:tc>
          <w:tcPr>
            <w:tcW w:w="3345" w:type="dxa"/>
            <w:vMerge/>
          </w:tcPr>
          <w:p w14:paraId="58F89DF0" w14:textId="77777777" w:rsidR="00454A29" w:rsidRDefault="00454A29"/>
        </w:tc>
        <w:tc>
          <w:tcPr>
            <w:tcW w:w="1701" w:type="dxa"/>
            <w:vAlign w:val="center"/>
          </w:tcPr>
          <w:p w14:paraId="54CFD741" w14:textId="77777777" w:rsidR="00454A29" w:rsidRDefault="00454A29">
            <w:pPr>
              <w:pStyle w:val="ConsPlusNormal"/>
              <w:jc w:val="center"/>
            </w:pPr>
            <w:r>
              <w:t>2022</w:t>
            </w:r>
          </w:p>
        </w:tc>
        <w:tc>
          <w:tcPr>
            <w:tcW w:w="1417" w:type="dxa"/>
            <w:vMerge/>
          </w:tcPr>
          <w:p w14:paraId="4481B500" w14:textId="77777777" w:rsidR="00454A29" w:rsidRDefault="00454A29"/>
        </w:tc>
        <w:tc>
          <w:tcPr>
            <w:tcW w:w="2204" w:type="dxa"/>
            <w:vMerge/>
          </w:tcPr>
          <w:p w14:paraId="3F09996A" w14:textId="77777777" w:rsidR="00454A29" w:rsidRDefault="00454A29"/>
        </w:tc>
        <w:tc>
          <w:tcPr>
            <w:tcW w:w="1417" w:type="dxa"/>
            <w:vMerge/>
          </w:tcPr>
          <w:p w14:paraId="6E4F5E3B" w14:textId="77777777" w:rsidR="00454A29" w:rsidRDefault="00454A29"/>
        </w:tc>
        <w:tc>
          <w:tcPr>
            <w:tcW w:w="2324" w:type="dxa"/>
            <w:vMerge/>
          </w:tcPr>
          <w:p w14:paraId="75DEFEC2" w14:textId="77777777" w:rsidR="00454A29" w:rsidRDefault="00454A29"/>
        </w:tc>
        <w:tc>
          <w:tcPr>
            <w:tcW w:w="1701" w:type="dxa"/>
            <w:vAlign w:val="center"/>
          </w:tcPr>
          <w:p w14:paraId="06E0461A" w14:textId="77777777" w:rsidR="00454A29" w:rsidRDefault="00454A29">
            <w:pPr>
              <w:pStyle w:val="ConsPlusNormal"/>
              <w:jc w:val="center"/>
            </w:pPr>
            <w:r>
              <w:t>-</w:t>
            </w:r>
          </w:p>
        </w:tc>
        <w:tc>
          <w:tcPr>
            <w:tcW w:w="1814" w:type="dxa"/>
            <w:vAlign w:val="center"/>
          </w:tcPr>
          <w:p w14:paraId="64EDFD07" w14:textId="77777777" w:rsidR="00454A29" w:rsidRDefault="00454A29">
            <w:pPr>
              <w:pStyle w:val="ConsPlusNormal"/>
            </w:pPr>
          </w:p>
        </w:tc>
        <w:tc>
          <w:tcPr>
            <w:tcW w:w="1701" w:type="dxa"/>
            <w:vAlign w:val="center"/>
          </w:tcPr>
          <w:p w14:paraId="1910EE7B" w14:textId="77777777" w:rsidR="00454A29" w:rsidRDefault="00454A29">
            <w:pPr>
              <w:pStyle w:val="ConsPlusNormal"/>
            </w:pPr>
          </w:p>
        </w:tc>
        <w:tc>
          <w:tcPr>
            <w:tcW w:w="1701" w:type="dxa"/>
            <w:vAlign w:val="center"/>
          </w:tcPr>
          <w:p w14:paraId="39999E9B" w14:textId="77777777" w:rsidR="00454A29" w:rsidRDefault="00454A29">
            <w:pPr>
              <w:pStyle w:val="ConsPlusNormal"/>
            </w:pPr>
          </w:p>
        </w:tc>
        <w:tc>
          <w:tcPr>
            <w:tcW w:w="1814" w:type="dxa"/>
            <w:vAlign w:val="center"/>
          </w:tcPr>
          <w:p w14:paraId="55666372" w14:textId="77777777" w:rsidR="00454A29" w:rsidRDefault="00454A29">
            <w:pPr>
              <w:pStyle w:val="ConsPlusNormal"/>
            </w:pPr>
          </w:p>
        </w:tc>
      </w:tr>
      <w:tr w:rsidR="00454A29" w14:paraId="559D77B4" w14:textId="77777777">
        <w:tc>
          <w:tcPr>
            <w:tcW w:w="567" w:type="dxa"/>
            <w:vMerge/>
          </w:tcPr>
          <w:p w14:paraId="667B2DD6" w14:textId="77777777" w:rsidR="00454A29" w:rsidRDefault="00454A29"/>
        </w:tc>
        <w:tc>
          <w:tcPr>
            <w:tcW w:w="3345" w:type="dxa"/>
            <w:vMerge/>
          </w:tcPr>
          <w:p w14:paraId="1E9A60E8" w14:textId="77777777" w:rsidR="00454A29" w:rsidRDefault="00454A29"/>
        </w:tc>
        <w:tc>
          <w:tcPr>
            <w:tcW w:w="1701" w:type="dxa"/>
            <w:vAlign w:val="center"/>
          </w:tcPr>
          <w:p w14:paraId="238468EB" w14:textId="77777777" w:rsidR="00454A29" w:rsidRDefault="00454A29">
            <w:pPr>
              <w:pStyle w:val="ConsPlusNormal"/>
              <w:jc w:val="center"/>
            </w:pPr>
            <w:r>
              <w:t>2023</w:t>
            </w:r>
          </w:p>
        </w:tc>
        <w:tc>
          <w:tcPr>
            <w:tcW w:w="1417" w:type="dxa"/>
            <w:vMerge/>
          </w:tcPr>
          <w:p w14:paraId="29B9C189" w14:textId="77777777" w:rsidR="00454A29" w:rsidRDefault="00454A29"/>
        </w:tc>
        <w:tc>
          <w:tcPr>
            <w:tcW w:w="2204" w:type="dxa"/>
            <w:vMerge/>
          </w:tcPr>
          <w:p w14:paraId="56426728" w14:textId="77777777" w:rsidR="00454A29" w:rsidRDefault="00454A29"/>
        </w:tc>
        <w:tc>
          <w:tcPr>
            <w:tcW w:w="1417" w:type="dxa"/>
            <w:vMerge/>
          </w:tcPr>
          <w:p w14:paraId="4C7C40D3" w14:textId="77777777" w:rsidR="00454A29" w:rsidRDefault="00454A29"/>
        </w:tc>
        <w:tc>
          <w:tcPr>
            <w:tcW w:w="2324" w:type="dxa"/>
            <w:vMerge/>
          </w:tcPr>
          <w:p w14:paraId="55CFA994" w14:textId="77777777" w:rsidR="00454A29" w:rsidRDefault="00454A29"/>
        </w:tc>
        <w:tc>
          <w:tcPr>
            <w:tcW w:w="1701" w:type="dxa"/>
            <w:vAlign w:val="center"/>
          </w:tcPr>
          <w:p w14:paraId="1AA9852F" w14:textId="77777777" w:rsidR="00454A29" w:rsidRDefault="00454A29">
            <w:pPr>
              <w:pStyle w:val="ConsPlusNormal"/>
              <w:jc w:val="center"/>
            </w:pPr>
            <w:r>
              <w:t>-</w:t>
            </w:r>
          </w:p>
        </w:tc>
        <w:tc>
          <w:tcPr>
            <w:tcW w:w="1814" w:type="dxa"/>
            <w:vAlign w:val="center"/>
          </w:tcPr>
          <w:p w14:paraId="74671D8F" w14:textId="77777777" w:rsidR="00454A29" w:rsidRDefault="00454A29">
            <w:pPr>
              <w:pStyle w:val="ConsPlusNormal"/>
            </w:pPr>
          </w:p>
        </w:tc>
        <w:tc>
          <w:tcPr>
            <w:tcW w:w="1701" w:type="dxa"/>
            <w:vAlign w:val="center"/>
          </w:tcPr>
          <w:p w14:paraId="32E5EDB6" w14:textId="77777777" w:rsidR="00454A29" w:rsidRDefault="00454A29">
            <w:pPr>
              <w:pStyle w:val="ConsPlusNormal"/>
            </w:pPr>
          </w:p>
        </w:tc>
        <w:tc>
          <w:tcPr>
            <w:tcW w:w="1701" w:type="dxa"/>
            <w:vAlign w:val="center"/>
          </w:tcPr>
          <w:p w14:paraId="39DD3536" w14:textId="77777777" w:rsidR="00454A29" w:rsidRDefault="00454A29">
            <w:pPr>
              <w:pStyle w:val="ConsPlusNormal"/>
            </w:pPr>
          </w:p>
        </w:tc>
        <w:tc>
          <w:tcPr>
            <w:tcW w:w="1814" w:type="dxa"/>
            <w:vAlign w:val="center"/>
          </w:tcPr>
          <w:p w14:paraId="764F2724" w14:textId="77777777" w:rsidR="00454A29" w:rsidRDefault="00454A29">
            <w:pPr>
              <w:pStyle w:val="ConsPlusNormal"/>
            </w:pPr>
          </w:p>
        </w:tc>
      </w:tr>
      <w:tr w:rsidR="00454A29" w14:paraId="67FB81A9" w14:textId="77777777">
        <w:tc>
          <w:tcPr>
            <w:tcW w:w="567" w:type="dxa"/>
            <w:vMerge/>
          </w:tcPr>
          <w:p w14:paraId="15061653" w14:textId="77777777" w:rsidR="00454A29" w:rsidRDefault="00454A29"/>
        </w:tc>
        <w:tc>
          <w:tcPr>
            <w:tcW w:w="3345" w:type="dxa"/>
            <w:vMerge/>
          </w:tcPr>
          <w:p w14:paraId="25933124" w14:textId="77777777" w:rsidR="00454A29" w:rsidRDefault="00454A29"/>
        </w:tc>
        <w:tc>
          <w:tcPr>
            <w:tcW w:w="1701" w:type="dxa"/>
            <w:vAlign w:val="center"/>
          </w:tcPr>
          <w:p w14:paraId="1AD0F464" w14:textId="77777777" w:rsidR="00454A29" w:rsidRDefault="00454A29">
            <w:pPr>
              <w:pStyle w:val="ConsPlusNormal"/>
              <w:jc w:val="center"/>
            </w:pPr>
            <w:r>
              <w:t>2024</w:t>
            </w:r>
          </w:p>
        </w:tc>
        <w:tc>
          <w:tcPr>
            <w:tcW w:w="1417" w:type="dxa"/>
            <w:vMerge/>
          </w:tcPr>
          <w:p w14:paraId="5D3C70A6" w14:textId="77777777" w:rsidR="00454A29" w:rsidRDefault="00454A29"/>
        </w:tc>
        <w:tc>
          <w:tcPr>
            <w:tcW w:w="2204" w:type="dxa"/>
            <w:vMerge/>
          </w:tcPr>
          <w:p w14:paraId="72BA85B7" w14:textId="77777777" w:rsidR="00454A29" w:rsidRDefault="00454A29"/>
        </w:tc>
        <w:tc>
          <w:tcPr>
            <w:tcW w:w="1417" w:type="dxa"/>
            <w:vMerge/>
          </w:tcPr>
          <w:p w14:paraId="78A8AF85" w14:textId="77777777" w:rsidR="00454A29" w:rsidRDefault="00454A29"/>
        </w:tc>
        <w:tc>
          <w:tcPr>
            <w:tcW w:w="2324" w:type="dxa"/>
            <w:vMerge/>
          </w:tcPr>
          <w:p w14:paraId="7A626CD6" w14:textId="77777777" w:rsidR="00454A29" w:rsidRDefault="00454A29"/>
        </w:tc>
        <w:tc>
          <w:tcPr>
            <w:tcW w:w="1701" w:type="dxa"/>
            <w:vAlign w:val="center"/>
          </w:tcPr>
          <w:p w14:paraId="2CF640C2" w14:textId="77777777" w:rsidR="00454A29" w:rsidRDefault="00454A29">
            <w:pPr>
              <w:pStyle w:val="ConsPlusNormal"/>
              <w:jc w:val="center"/>
            </w:pPr>
            <w:r>
              <w:t>-</w:t>
            </w:r>
          </w:p>
        </w:tc>
        <w:tc>
          <w:tcPr>
            <w:tcW w:w="1814" w:type="dxa"/>
            <w:vAlign w:val="center"/>
          </w:tcPr>
          <w:p w14:paraId="7E1F256B" w14:textId="77777777" w:rsidR="00454A29" w:rsidRDefault="00454A29">
            <w:pPr>
              <w:pStyle w:val="ConsPlusNormal"/>
            </w:pPr>
          </w:p>
        </w:tc>
        <w:tc>
          <w:tcPr>
            <w:tcW w:w="1701" w:type="dxa"/>
            <w:vAlign w:val="center"/>
          </w:tcPr>
          <w:p w14:paraId="0BEB7D00" w14:textId="77777777" w:rsidR="00454A29" w:rsidRDefault="00454A29">
            <w:pPr>
              <w:pStyle w:val="ConsPlusNormal"/>
            </w:pPr>
          </w:p>
        </w:tc>
        <w:tc>
          <w:tcPr>
            <w:tcW w:w="1701" w:type="dxa"/>
            <w:vAlign w:val="center"/>
          </w:tcPr>
          <w:p w14:paraId="642717AE" w14:textId="77777777" w:rsidR="00454A29" w:rsidRDefault="00454A29">
            <w:pPr>
              <w:pStyle w:val="ConsPlusNormal"/>
            </w:pPr>
          </w:p>
        </w:tc>
        <w:tc>
          <w:tcPr>
            <w:tcW w:w="1814" w:type="dxa"/>
            <w:vAlign w:val="center"/>
          </w:tcPr>
          <w:p w14:paraId="4AC44E45" w14:textId="77777777" w:rsidR="00454A29" w:rsidRDefault="00454A29">
            <w:pPr>
              <w:pStyle w:val="ConsPlusNormal"/>
            </w:pPr>
          </w:p>
        </w:tc>
      </w:tr>
      <w:tr w:rsidR="00454A29" w14:paraId="44A2502B" w14:textId="77777777">
        <w:tc>
          <w:tcPr>
            <w:tcW w:w="567" w:type="dxa"/>
            <w:vMerge/>
          </w:tcPr>
          <w:p w14:paraId="36AA0D02" w14:textId="77777777" w:rsidR="00454A29" w:rsidRDefault="00454A29"/>
        </w:tc>
        <w:tc>
          <w:tcPr>
            <w:tcW w:w="3345" w:type="dxa"/>
            <w:vMerge/>
          </w:tcPr>
          <w:p w14:paraId="34C1CCAF" w14:textId="77777777" w:rsidR="00454A29" w:rsidRDefault="00454A29"/>
        </w:tc>
        <w:tc>
          <w:tcPr>
            <w:tcW w:w="1701" w:type="dxa"/>
            <w:vAlign w:val="center"/>
          </w:tcPr>
          <w:p w14:paraId="09D62FF1" w14:textId="77777777" w:rsidR="00454A29" w:rsidRDefault="00454A29">
            <w:pPr>
              <w:pStyle w:val="ConsPlusNormal"/>
              <w:jc w:val="center"/>
            </w:pPr>
            <w:r>
              <w:t>2025</w:t>
            </w:r>
          </w:p>
        </w:tc>
        <w:tc>
          <w:tcPr>
            <w:tcW w:w="1417" w:type="dxa"/>
            <w:vMerge/>
          </w:tcPr>
          <w:p w14:paraId="78F9E645" w14:textId="77777777" w:rsidR="00454A29" w:rsidRDefault="00454A29"/>
        </w:tc>
        <w:tc>
          <w:tcPr>
            <w:tcW w:w="2204" w:type="dxa"/>
            <w:vMerge/>
          </w:tcPr>
          <w:p w14:paraId="2603EE56" w14:textId="77777777" w:rsidR="00454A29" w:rsidRDefault="00454A29"/>
        </w:tc>
        <w:tc>
          <w:tcPr>
            <w:tcW w:w="1417" w:type="dxa"/>
            <w:vMerge/>
          </w:tcPr>
          <w:p w14:paraId="7FDB2A16" w14:textId="77777777" w:rsidR="00454A29" w:rsidRDefault="00454A29"/>
        </w:tc>
        <w:tc>
          <w:tcPr>
            <w:tcW w:w="2324" w:type="dxa"/>
            <w:vMerge/>
          </w:tcPr>
          <w:p w14:paraId="15EA8DD3" w14:textId="77777777" w:rsidR="00454A29" w:rsidRDefault="00454A29"/>
        </w:tc>
        <w:tc>
          <w:tcPr>
            <w:tcW w:w="1701" w:type="dxa"/>
            <w:vAlign w:val="center"/>
          </w:tcPr>
          <w:p w14:paraId="624F86A1" w14:textId="77777777" w:rsidR="00454A29" w:rsidRDefault="00454A29">
            <w:pPr>
              <w:pStyle w:val="ConsPlusNormal"/>
              <w:jc w:val="center"/>
            </w:pPr>
            <w:r>
              <w:t>-</w:t>
            </w:r>
          </w:p>
        </w:tc>
        <w:tc>
          <w:tcPr>
            <w:tcW w:w="1814" w:type="dxa"/>
            <w:vAlign w:val="center"/>
          </w:tcPr>
          <w:p w14:paraId="1FECCA6C" w14:textId="77777777" w:rsidR="00454A29" w:rsidRDefault="00454A29">
            <w:pPr>
              <w:pStyle w:val="ConsPlusNormal"/>
            </w:pPr>
          </w:p>
        </w:tc>
        <w:tc>
          <w:tcPr>
            <w:tcW w:w="1701" w:type="dxa"/>
            <w:vAlign w:val="center"/>
          </w:tcPr>
          <w:p w14:paraId="5A1E5558" w14:textId="77777777" w:rsidR="00454A29" w:rsidRDefault="00454A29">
            <w:pPr>
              <w:pStyle w:val="ConsPlusNormal"/>
            </w:pPr>
          </w:p>
        </w:tc>
        <w:tc>
          <w:tcPr>
            <w:tcW w:w="1701" w:type="dxa"/>
            <w:vAlign w:val="center"/>
          </w:tcPr>
          <w:p w14:paraId="58BCEF14" w14:textId="77777777" w:rsidR="00454A29" w:rsidRDefault="00454A29">
            <w:pPr>
              <w:pStyle w:val="ConsPlusNormal"/>
            </w:pPr>
          </w:p>
        </w:tc>
        <w:tc>
          <w:tcPr>
            <w:tcW w:w="1814" w:type="dxa"/>
            <w:vAlign w:val="center"/>
          </w:tcPr>
          <w:p w14:paraId="632CB17F" w14:textId="77777777" w:rsidR="00454A29" w:rsidRDefault="00454A29">
            <w:pPr>
              <w:pStyle w:val="ConsPlusNormal"/>
            </w:pPr>
          </w:p>
        </w:tc>
      </w:tr>
      <w:tr w:rsidR="00454A29" w14:paraId="75E4A67E" w14:textId="77777777">
        <w:tc>
          <w:tcPr>
            <w:tcW w:w="567" w:type="dxa"/>
            <w:vMerge/>
          </w:tcPr>
          <w:p w14:paraId="21EA6534" w14:textId="77777777" w:rsidR="00454A29" w:rsidRDefault="00454A29"/>
        </w:tc>
        <w:tc>
          <w:tcPr>
            <w:tcW w:w="3345" w:type="dxa"/>
            <w:vMerge/>
          </w:tcPr>
          <w:p w14:paraId="38393EBA" w14:textId="77777777" w:rsidR="00454A29" w:rsidRDefault="00454A29"/>
        </w:tc>
        <w:tc>
          <w:tcPr>
            <w:tcW w:w="1701" w:type="dxa"/>
            <w:vAlign w:val="center"/>
          </w:tcPr>
          <w:p w14:paraId="07284050" w14:textId="77777777" w:rsidR="00454A29" w:rsidRDefault="00454A29">
            <w:pPr>
              <w:pStyle w:val="ConsPlusNormal"/>
              <w:jc w:val="center"/>
            </w:pPr>
            <w:r>
              <w:t>2026</w:t>
            </w:r>
          </w:p>
        </w:tc>
        <w:tc>
          <w:tcPr>
            <w:tcW w:w="1417" w:type="dxa"/>
            <w:vMerge/>
          </w:tcPr>
          <w:p w14:paraId="2E37EF44" w14:textId="77777777" w:rsidR="00454A29" w:rsidRDefault="00454A29"/>
        </w:tc>
        <w:tc>
          <w:tcPr>
            <w:tcW w:w="2204" w:type="dxa"/>
            <w:vMerge/>
          </w:tcPr>
          <w:p w14:paraId="32E2D201" w14:textId="77777777" w:rsidR="00454A29" w:rsidRDefault="00454A29"/>
        </w:tc>
        <w:tc>
          <w:tcPr>
            <w:tcW w:w="1417" w:type="dxa"/>
            <w:vMerge/>
          </w:tcPr>
          <w:p w14:paraId="429F4316" w14:textId="77777777" w:rsidR="00454A29" w:rsidRDefault="00454A29"/>
        </w:tc>
        <w:tc>
          <w:tcPr>
            <w:tcW w:w="2324" w:type="dxa"/>
            <w:vMerge/>
          </w:tcPr>
          <w:p w14:paraId="72DD6AD8" w14:textId="77777777" w:rsidR="00454A29" w:rsidRDefault="00454A29"/>
        </w:tc>
        <w:tc>
          <w:tcPr>
            <w:tcW w:w="1701" w:type="dxa"/>
            <w:vAlign w:val="center"/>
          </w:tcPr>
          <w:p w14:paraId="3358E817" w14:textId="77777777" w:rsidR="00454A29" w:rsidRDefault="00454A29">
            <w:pPr>
              <w:pStyle w:val="ConsPlusNormal"/>
              <w:jc w:val="center"/>
            </w:pPr>
            <w:r>
              <w:t>-</w:t>
            </w:r>
          </w:p>
        </w:tc>
        <w:tc>
          <w:tcPr>
            <w:tcW w:w="1814" w:type="dxa"/>
            <w:vAlign w:val="center"/>
          </w:tcPr>
          <w:p w14:paraId="74CC8B80" w14:textId="77777777" w:rsidR="00454A29" w:rsidRDefault="00454A29">
            <w:pPr>
              <w:pStyle w:val="ConsPlusNormal"/>
            </w:pPr>
          </w:p>
        </w:tc>
        <w:tc>
          <w:tcPr>
            <w:tcW w:w="1701" w:type="dxa"/>
            <w:vAlign w:val="center"/>
          </w:tcPr>
          <w:p w14:paraId="6610A2D6" w14:textId="77777777" w:rsidR="00454A29" w:rsidRDefault="00454A29">
            <w:pPr>
              <w:pStyle w:val="ConsPlusNormal"/>
            </w:pPr>
          </w:p>
        </w:tc>
        <w:tc>
          <w:tcPr>
            <w:tcW w:w="1701" w:type="dxa"/>
            <w:vAlign w:val="center"/>
          </w:tcPr>
          <w:p w14:paraId="2743D6F7" w14:textId="77777777" w:rsidR="00454A29" w:rsidRDefault="00454A29">
            <w:pPr>
              <w:pStyle w:val="ConsPlusNormal"/>
            </w:pPr>
          </w:p>
        </w:tc>
        <w:tc>
          <w:tcPr>
            <w:tcW w:w="1814" w:type="dxa"/>
            <w:vAlign w:val="center"/>
          </w:tcPr>
          <w:p w14:paraId="709A98CB" w14:textId="77777777" w:rsidR="00454A29" w:rsidRDefault="00454A29">
            <w:pPr>
              <w:pStyle w:val="ConsPlusNormal"/>
            </w:pPr>
          </w:p>
        </w:tc>
      </w:tr>
      <w:tr w:rsidR="00454A29" w14:paraId="78F08719" w14:textId="77777777">
        <w:tc>
          <w:tcPr>
            <w:tcW w:w="567" w:type="dxa"/>
            <w:vMerge w:val="restart"/>
            <w:vAlign w:val="center"/>
          </w:tcPr>
          <w:p w14:paraId="5FD42EA0" w14:textId="77777777" w:rsidR="00454A29" w:rsidRDefault="00454A29">
            <w:pPr>
              <w:pStyle w:val="ConsPlusNormal"/>
              <w:jc w:val="center"/>
            </w:pPr>
            <w:r>
              <w:t>117</w:t>
            </w:r>
          </w:p>
        </w:tc>
        <w:tc>
          <w:tcPr>
            <w:tcW w:w="3345" w:type="dxa"/>
            <w:vMerge w:val="restart"/>
            <w:vAlign w:val="center"/>
          </w:tcPr>
          <w:p w14:paraId="6A0D9DE5" w14:textId="77777777" w:rsidR="00454A29" w:rsidRDefault="00454A29">
            <w:pPr>
              <w:pStyle w:val="ConsPlusNormal"/>
              <w:jc w:val="center"/>
            </w:pPr>
            <w:r>
              <w:t>Приобретение (строительство, пристрой) детского сада - ясли в г. Якутске с размещением дополнительных ясельных групп</w:t>
            </w:r>
          </w:p>
        </w:tc>
        <w:tc>
          <w:tcPr>
            <w:tcW w:w="1701" w:type="dxa"/>
            <w:vAlign w:val="center"/>
          </w:tcPr>
          <w:p w14:paraId="276F3801" w14:textId="77777777" w:rsidR="00454A29" w:rsidRDefault="00454A29">
            <w:pPr>
              <w:pStyle w:val="ConsPlusNormal"/>
              <w:jc w:val="center"/>
            </w:pPr>
            <w:r>
              <w:t>Всего:</w:t>
            </w:r>
          </w:p>
        </w:tc>
        <w:tc>
          <w:tcPr>
            <w:tcW w:w="1417" w:type="dxa"/>
            <w:vMerge w:val="restart"/>
            <w:vAlign w:val="center"/>
          </w:tcPr>
          <w:p w14:paraId="70C441B9" w14:textId="77777777" w:rsidR="00454A29" w:rsidRDefault="00454A29">
            <w:pPr>
              <w:pStyle w:val="ConsPlusNormal"/>
              <w:jc w:val="center"/>
            </w:pPr>
            <w:r>
              <w:t>283 877,70</w:t>
            </w:r>
          </w:p>
        </w:tc>
        <w:tc>
          <w:tcPr>
            <w:tcW w:w="2204" w:type="dxa"/>
            <w:vMerge w:val="restart"/>
            <w:vAlign w:val="center"/>
          </w:tcPr>
          <w:p w14:paraId="341A3B5C" w14:textId="77777777" w:rsidR="00454A29" w:rsidRDefault="00454A29">
            <w:pPr>
              <w:pStyle w:val="ConsPlusNormal"/>
            </w:pPr>
          </w:p>
        </w:tc>
        <w:tc>
          <w:tcPr>
            <w:tcW w:w="1417" w:type="dxa"/>
            <w:vMerge w:val="restart"/>
            <w:vAlign w:val="center"/>
          </w:tcPr>
          <w:p w14:paraId="6D641AA7" w14:textId="77777777" w:rsidR="00454A29" w:rsidRDefault="00454A29">
            <w:pPr>
              <w:pStyle w:val="ConsPlusNormal"/>
              <w:jc w:val="center"/>
            </w:pPr>
            <w:r>
              <w:t>240</w:t>
            </w:r>
          </w:p>
        </w:tc>
        <w:tc>
          <w:tcPr>
            <w:tcW w:w="2324" w:type="dxa"/>
            <w:vMerge w:val="restart"/>
            <w:vAlign w:val="center"/>
          </w:tcPr>
          <w:p w14:paraId="345F5787" w14:textId="77777777" w:rsidR="00454A29" w:rsidRDefault="00454A29">
            <w:pPr>
              <w:pStyle w:val="ConsPlusNormal"/>
              <w:jc w:val="center"/>
            </w:pPr>
            <w:r>
              <w:t>Министерство строительства РС(Я)</w:t>
            </w:r>
          </w:p>
        </w:tc>
        <w:tc>
          <w:tcPr>
            <w:tcW w:w="1701" w:type="dxa"/>
            <w:vAlign w:val="center"/>
          </w:tcPr>
          <w:p w14:paraId="48ADAE62" w14:textId="77777777" w:rsidR="00454A29" w:rsidRDefault="00454A29">
            <w:pPr>
              <w:pStyle w:val="ConsPlusNormal"/>
              <w:jc w:val="center"/>
            </w:pPr>
            <w:r>
              <w:t>283 877,70</w:t>
            </w:r>
          </w:p>
        </w:tc>
        <w:tc>
          <w:tcPr>
            <w:tcW w:w="1814" w:type="dxa"/>
            <w:vAlign w:val="center"/>
          </w:tcPr>
          <w:p w14:paraId="4A07C55C" w14:textId="77777777" w:rsidR="00454A29" w:rsidRDefault="00454A29">
            <w:pPr>
              <w:pStyle w:val="ConsPlusNormal"/>
              <w:jc w:val="center"/>
            </w:pPr>
            <w:r>
              <w:t>2 810,39</w:t>
            </w:r>
          </w:p>
        </w:tc>
        <w:tc>
          <w:tcPr>
            <w:tcW w:w="1701" w:type="dxa"/>
            <w:vAlign w:val="center"/>
          </w:tcPr>
          <w:p w14:paraId="272B3982" w14:textId="77777777" w:rsidR="00454A29" w:rsidRDefault="00454A29">
            <w:pPr>
              <w:pStyle w:val="ConsPlusNormal"/>
              <w:jc w:val="center"/>
            </w:pPr>
            <w:r>
              <w:t>278 228,53</w:t>
            </w:r>
          </w:p>
        </w:tc>
        <w:tc>
          <w:tcPr>
            <w:tcW w:w="1701" w:type="dxa"/>
            <w:vAlign w:val="center"/>
          </w:tcPr>
          <w:p w14:paraId="4049F6F6" w14:textId="77777777" w:rsidR="00454A29" w:rsidRDefault="00454A29">
            <w:pPr>
              <w:pStyle w:val="ConsPlusNormal"/>
              <w:jc w:val="center"/>
            </w:pPr>
            <w:r>
              <w:t>2 838,78</w:t>
            </w:r>
          </w:p>
        </w:tc>
        <w:tc>
          <w:tcPr>
            <w:tcW w:w="1814" w:type="dxa"/>
            <w:vAlign w:val="center"/>
          </w:tcPr>
          <w:p w14:paraId="709400D3" w14:textId="77777777" w:rsidR="00454A29" w:rsidRDefault="00454A29">
            <w:pPr>
              <w:pStyle w:val="ConsPlusNormal"/>
              <w:jc w:val="center"/>
            </w:pPr>
            <w:r>
              <w:t>-</w:t>
            </w:r>
          </w:p>
        </w:tc>
      </w:tr>
      <w:tr w:rsidR="00454A29" w14:paraId="24F082DE" w14:textId="77777777">
        <w:tc>
          <w:tcPr>
            <w:tcW w:w="567" w:type="dxa"/>
            <w:vMerge/>
          </w:tcPr>
          <w:p w14:paraId="3E7BD261" w14:textId="77777777" w:rsidR="00454A29" w:rsidRDefault="00454A29"/>
        </w:tc>
        <w:tc>
          <w:tcPr>
            <w:tcW w:w="3345" w:type="dxa"/>
            <w:vMerge/>
          </w:tcPr>
          <w:p w14:paraId="2F42964D" w14:textId="77777777" w:rsidR="00454A29" w:rsidRDefault="00454A29"/>
        </w:tc>
        <w:tc>
          <w:tcPr>
            <w:tcW w:w="1701" w:type="dxa"/>
            <w:vAlign w:val="center"/>
          </w:tcPr>
          <w:p w14:paraId="288CD141" w14:textId="77777777" w:rsidR="00454A29" w:rsidRDefault="00454A29">
            <w:pPr>
              <w:pStyle w:val="ConsPlusNormal"/>
              <w:jc w:val="center"/>
            </w:pPr>
            <w:r>
              <w:t>2020</w:t>
            </w:r>
          </w:p>
        </w:tc>
        <w:tc>
          <w:tcPr>
            <w:tcW w:w="1417" w:type="dxa"/>
            <w:vMerge/>
          </w:tcPr>
          <w:p w14:paraId="3D4476D1" w14:textId="77777777" w:rsidR="00454A29" w:rsidRDefault="00454A29"/>
        </w:tc>
        <w:tc>
          <w:tcPr>
            <w:tcW w:w="2204" w:type="dxa"/>
            <w:vMerge/>
          </w:tcPr>
          <w:p w14:paraId="068EFF5B" w14:textId="77777777" w:rsidR="00454A29" w:rsidRDefault="00454A29"/>
        </w:tc>
        <w:tc>
          <w:tcPr>
            <w:tcW w:w="1417" w:type="dxa"/>
            <w:vMerge/>
          </w:tcPr>
          <w:p w14:paraId="36E6E7DA" w14:textId="77777777" w:rsidR="00454A29" w:rsidRDefault="00454A29"/>
        </w:tc>
        <w:tc>
          <w:tcPr>
            <w:tcW w:w="2324" w:type="dxa"/>
            <w:vMerge/>
          </w:tcPr>
          <w:p w14:paraId="53596CF6" w14:textId="77777777" w:rsidR="00454A29" w:rsidRDefault="00454A29"/>
        </w:tc>
        <w:tc>
          <w:tcPr>
            <w:tcW w:w="1701" w:type="dxa"/>
            <w:vAlign w:val="center"/>
          </w:tcPr>
          <w:p w14:paraId="28B6003F" w14:textId="77777777" w:rsidR="00454A29" w:rsidRDefault="00454A29">
            <w:pPr>
              <w:pStyle w:val="ConsPlusNormal"/>
              <w:jc w:val="center"/>
            </w:pPr>
            <w:r>
              <w:t>-</w:t>
            </w:r>
          </w:p>
        </w:tc>
        <w:tc>
          <w:tcPr>
            <w:tcW w:w="1814" w:type="dxa"/>
            <w:vAlign w:val="center"/>
          </w:tcPr>
          <w:p w14:paraId="6934336C" w14:textId="77777777" w:rsidR="00454A29" w:rsidRDefault="00454A29">
            <w:pPr>
              <w:pStyle w:val="ConsPlusNormal"/>
            </w:pPr>
          </w:p>
        </w:tc>
        <w:tc>
          <w:tcPr>
            <w:tcW w:w="1701" w:type="dxa"/>
            <w:vAlign w:val="center"/>
          </w:tcPr>
          <w:p w14:paraId="12A59B77" w14:textId="77777777" w:rsidR="00454A29" w:rsidRDefault="00454A29">
            <w:pPr>
              <w:pStyle w:val="ConsPlusNormal"/>
            </w:pPr>
          </w:p>
        </w:tc>
        <w:tc>
          <w:tcPr>
            <w:tcW w:w="1701" w:type="dxa"/>
            <w:vAlign w:val="center"/>
          </w:tcPr>
          <w:p w14:paraId="7649E6EA" w14:textId="77777777" w:rsidR="00454A29" w:rsidRDefault="00454A29">
            <w:pPr>
              <w:pStyle w:val="ConsPlusNormal"/>
            </w:pPr>
          </w:p>
        </w:tc>
        <w:tc>
          <w:tcPr>
            <w:tcW w:w="1814" w:type="dxa"/>
            <w:vAlign w:val="center"/>
          </w:tcPr>
          <w:p w14:paraId="0C2C922D" w14:textId="77777777" w:rsidR="00454A29" w:rsidRDefault="00454A29">
            <w:pPr>
              <w:pStyle w:val="ConsPlusNormal"/>
            </w:pPr>
          </w:p>
        </w:tc>
      </w:tr>
      <w:tr w:rsidR="00454A29" w14:paraId="5F43B6F1" w14:textId="77777777">
        <w:tc>
          <w:tcPr>
            <w:tcW w:w="567" w:type="dxa"/>
            <w:vMerge/>
          </w:tcPr>
          <w:p w14:paraId="39D9532B" w14:textId="77777777" w:rsidR="00454A29" w:rsidRDefault="00454A29"/>
        </w:tc>
        <w:tc>
          <w:tcPr>
            <w:tcW w:w="3345" w:type="dxa"/>
            <w:vMerge/>
          </w:tcPr>
          <w:p w14:paraId="61586E43" w14:textId="77777777" w:rsidR="00454A29" w:rsidRDefault="00454A29"/>
        </w:tc>
        <w:tc>
          <w:tcPr>
            <w:tcW w:w="1701" w:type="dxa"/>
            <w:vAlign w:val="center"/>
          </w:tcPr>
          <w:p w14:paraId="188AF1C9" w14:textId="77777777" w:rsidR="00454A29" w:rsidRDefault="00454A29">
            <w:pPr>
              <w:pStyle w:val="ConsPlusNormal"/>
              <w:jc w:val="center"/>
            </w:pPr>
            <w:r>
              <w:t>2021</w:t>
            </w:r>
          </w:p>
        </w:tc>
        <w:tc>
          <w:tcPr>
            <w:tcW w:w="1417" w:type="dxa"/>
            <w:vMerge/>
          </w:tcPr>
          <w:p w14:paraId="256A5FA6" w14:textId="77777777" w:rsidR="00454A29" w:rsidRDefault="00454A29"/>
        </w:tc>
        <w:tc>
          <w:tcPr>
            <w:tcW w:w="2204" w:type="dxa"/>
            <w:vMerge/>
          </w:tcPr>
          <w:p w14:paraId="7CE41C8C" w14:textId="77777777" w:rsidR="00454A29" w:rsidRDefault="00454A29"/>
        </w:tc>
        <w:tc>
          <w:tcPr>
            <w:tcW w:w="1417" w:type="dxa"/>
            <w:vMerge/>
          </w:tcPr>
          <w:p w14:paraId="56281E5E" w14:textId="77777777" w:rsidR="00454A29" w:rsidRDefault="00454A29"/>
        </w:tc>
        <w:tc>
          <w:tcPr>
            <w:tcW w:w="2324" w:type="dxa"/>
            <w:vMerge/>
          </w:tcPr>
          <w:p w14:paraId="5C21F18F" w14:textId="77777777" w:rsidR="00454A29" w:rsidRDefault="00454A29"/>
        </w:tc>
        <w:tc>
          <w:tcPr>
            <w:tcW w:w="1701" w:type="dxa"/>
            <w:vAlign w:val="center"/>
          </w:tcPr>
          <w:p w14:paraId="1D3CECFE" w14:textId="77777777" w:rsidR="00454A29" w:rsidRDefault="00454A29">
            <w:pPr>
              <w:pStyle w:val="ConsPlusNormal"/>
              <w:jc w:val="center"/>
            </w:pPr>
            <w:r>
              <w:t>283 877,70</w:t>
            </w:r>
          </w:p>
        </w:tc>
        <w:tc>
          <w:tcPr>
            <w:tcW w:w="1814" w:type="dxa"/>
            <w:vAlign w:val="center"/>
          </w:tcPr>
          <w:p w14:paraId="455C9148" w14:textId="77777777" w:rsidR="00454A29" w:rsidRDefault="00454A29">
            <w:pPr>
              <w:pStyle w:val="ConsPlusNormal"/>
              <w:jc w:val="center"/>
            </w:pPr>
            <w:r>
              <w:t>2 810,39</w:t>
            </w:r>
          </w:p>
        </w:tc>
        <w:tc>
          <w:tcPr>
            <w:tcW w:w="1701" w:type="dxa"/>
            <w:vAlign w:val="center"/>
          </w:tcPr>
          <w:p w14:paraId="0B3E5C2A" w14:textId="77777777" w:rsidR="00454A29" w:rsidRDefault="00454A29">
            <w:pPr>
              <w:pStyle w:val="ConsPlusNormal"/>
              <w:jc w:val="center"/>
            </w:pPr>
            <w:r>
              <w:t>278 228,53</w:t>
            </w:r>
          </w:p>
        </w:tc>
        <w:tc>
          <w:tcPr>
            <w:tcW w:w="1701" w:type="dxa"/>
            <w:vAlign w:val="center"/>
          </w:tcPr>
          <w:p w14:paraId="72626509" w14:textId="77777777" w:rsidR="00454A29" w:rsidRDefault="00454A29">
            <w:pPr>
              <w:pStyle w:val="ConsPlusNormal"/>
              <w:jc w:val="center"/>
            </w:pPr>
            <w:r>
              <w:t>2 838,78</w:t>
            </w:r>
          </w:p>
        </w:tc>
        <w:tc>
          <w:tcPr>
            <w:tcW w:w="1814" w:type="dxa"/>
            <w:vAlign w:val="center"/>
          </w:tcPr>
          <w:p w14:paraId="43CB09CC" w14:textId="77777777" w:rsidR="00454A29" w:rsidRDefault="00454A29">
            <w:pPr>
              <w:pStyle w:val="ConsPlusNormal"/>
            </w:pPr>
          </w:p>
        </w:tc>
      </w:tr>
      <w:tr w:rsidR="00454A29" w14:paraId="3DCD0DC6" w14:textId="77777777">
        <w:tc>
          <w:tcPr>
            <w:tcW w:w="567" w:type="dxa"/>
            <w:vMerge/>
          </w:tcPr>
          <w:p w14:paraId="43CE219A" w14:textId="77777777" w:rsidR="00454A29" w:rsidRDefault="00454A29"/>
        </w:tc>
        <w:tc>
          <w:tcPr>
            <w:tcW w:w="3345" w:type="dxa"/>
            <w:vMerge/>
          </w:tcPr>
          <w:p w14:paraId="55EBF9EB" w14:textId="77777777" w:rsidR="00454A29" w:rsidRDefault="00454A29"/>
        </w:tc>
        <w:tc>
          <w:tcPr>
            <w:tcW w:w="1701" w:type="dxa"/>
            <w:vAlign w:val="center"/>
          </w:tcPr>
          <w:p w14:paraId="58DF9891" w14:textId="77777777" w:rsidR="00454A29" w:rsidRDefault="00454A29">
            <w:pPr>
              <w:pStyle w:val="ConsPlusNormal"/>
              <w:jc w:val="center"/>
            </w:pPr>
            <w:r>
              <w:t>2022</w:t>
            </w:r>
          </w:p>
        </w:tc>
        <w:tc>
          <w:tcPr>
            <w:tcW w:w="1417" w:type="dxa"/>
            <w:vMerge/>
          </w:tcPr>
          <w:p w14:paraId="14ECD79B" w14:textId="77777777" w:rsidR="00454A29" w:rsidRDefault="00454A29"/>
        </w:tc>
        <w:tc>
          <w:tcPr>
            <w:tcW w:w="2204" w:type="dxa"/>
            <w:vMerge/>
          </w:tcPr>
          <w:p w14:paraId="5D18227C" w14:textId="77777777" w:rsidR="00454A29" w:rsidRDefault="00454A29"/>
        </w:tc>
        <w:tc>
          <w:tcPr>
            <w:tcW w:w="1417" w:type="dxa"/>
            <w:vMerge/>
          </w:tcPr>
          <w:p w14:paraId="01EFCC56" w14:textId="77777777" w:rsidR="00454A29" w:rsidRDefault="00454A29"/>
        </w:tc>
        <w:tc>
          <w:tcPr>
            <w:tcW w:w="2324" w:type="dxa"/>
            <w:vMerge/>
          </w:tcPr>
          <w:p w14:paraId="677EB830" w14:textId="77777777" w:rsidR="00454A29" w:rsidRDefault="00454A29"/>
        </w:tc>
        <w:tc>
          <w:tcPr>
            <w:tcW w:w="1701" w:type="dxa"/>
            <w:vAlign w:val="center"/>
          </w:tcPr>
          <w:p w14:paraId="036CE515" w14:textId="77777777" w:rsidR="00454A29" w:rsidRDefault="00454A29">
            <w:pPr>
              <w:pStyle w:val="ConsPlusNormal"/>
              <w:jc w:val="center"/>
            </w:pPr>
            <w:r>
              <w:t>-</w:t>
            </w:r>
          </w:p>
        </w:tc>
        <w:tc>
          <w:tcPr>
            <w:tcW w:w="1814" w:type="dxa"/>
            <w:vAlign w:val="center"/>
          </w:tcPr>
          <w:p w14:paraId="039D005E" w14:textId="77777777" w:rsidR="00454A29" w:rsidRDefault="00454A29">
            <w:pPr>
              <w:pStyle w:val="ConsPlusNormal"/>
            </w:pPr>
          </w:p>
        </w:tc>
        <w:tc>
          <w:tcPr>
            <w:tcW w:w="1701" w:type="dxa"/>
            <w:vAlign w:val="center"/>
          </w:tcPr>
          <w:p w14:paraId="3923D04B" w14:textId="77777777" w:rsidR="00454A29" w:rsidRDefault="00454A29">
            <w:pPr>
              <w:pStyle w:val="ConsPlusNormal"/>
            </w:pPr>
          </w:p>
        </w:tc>
        <w:tc>
          <w:tcPr>
            <w:tcW w:w="1701" w:type="dxa"/>
            <w:vAlign w:val="center"/>
          </w:tcPr>
          <w:p w14:paraId="2DFAA54A" w14:textId="77777777" w:rsidR="00454A29" w:rsidRDefault="00454A29">
            <w:pPr>
              <w:pStyle w:val="ConsPlusNormal"/>
            </w:pPr>
          </w:p>
        </w:tc>
        <w:tc>
          <w:tcPr>
            <w:tcW w:w="1814" w:type="dxa"/>
            <w:vAlign w:val="center"/>
          </w:tcPr>
          <w:p w14:paraId="03A3CBC6" w14:textId="77777777" w:rsidR="00454A29" w:rsidRDefault="00454A29">
            <w:pPr>
              <w:pStyle w:val="ConsPlusNormal"/>
            </w:pPr>
          </w:p>
        </w:tc>
      </w:tr>
      <w:tr w:rsidR="00454A29" w14:paraId="01F0DDA6" w14:textId="77777777">
        <w:tc>
          <w:tcPr>
            <w:tcW w:w="567" w:type="dxa"/>
            <w:vMerge/>
          </w:tcPr>
          <w:p w14:paraId="7E962A29" w14:textId="77777777" w:rsidR="00454A29" w:rsidRDefault="00454A29"/>
        </w:tc>
        <w:tc>
          <w:tcPr>
            <w:tcW w:w="3345" w:type="dxa"/>
            <w:vMerge/>
          </w:tcPr>
          <w:p w14:paraId="61DC60CD" w14:textId="77777777" w:rsidR="00454A29" w:rsidRDefault="00454A29"/>
        </w:tc>
        <w:tc>
          <w:tcPr>
            <w:tcW w:w="1701" w:type="dxa"/>
            <w:vAlign w:val="center"/>
          </w:tcPr>
          <w:p w14:paraId="5E7A86B1" w14:textId="77777777" w:rsidR="00454A29" w:rsidRDefault="00454A29">
            <w:pPr>
              <w:pStyle w:val="ConsPlusNormal"/>
              <w:jc w:val="center"/>
            </w:pPr>
            <w:r>
              <w:t>2023</w:t>
            </w:r>
          </w:p>
        </w:tc>
        <w:tc>
          <w:tcPr>
            <w:tcW w:w="1417" w:type="dxa"/>
            <w:vMerge/>
          </w:tcPr>
          <w:p w14:paraId="1D8E158F" w14:textId="77777777" w:rsidR="00454A29" w:rsidRDefault="00454A29"/>
        </w:tc>
        <w:tc>
          <w:tcPr>
            <w:tcW w:w="2204" w:type="dxa"/>
            <w:vMerge/>
          </w:tcPr>
          <w:p w14:paraId="6EDDDFF2" w14:textId="77777777" w:rsidR="00454A29" w:rsidRDefault="00454A29"/>
        </w:tc>
        <w:tc>
          <w:tcPr>
            <w:tcW w:w="1417" w:type="dxa"/>
            <w:vMerge/>
          </w:tcPr>
          <w:p w14:paraId="50E52E50" w14:textId="77777777" w:rsidR="00454A29" w:rsidRDefault="00454A29"/>
        </w:tc>
        <w:tc>
          <w:tcPr>
            <w:tcW w:w="2324" w:type="dxa"/>
            <w:vMerge/>
          </w:tcPr>
          <w:p w14:paraId="032EA662" w14:textId="77777777" w:rsidR="00454A29" w:rsidRDefault="00454A29"/>
        </w:tc>
        <w:tc>
          <w:tcPr>
            <w:tcW w:w="1701" w:type="dxa"/>
            <w:vAlign w:val="center"/>
          </w:tcPr>
          <w:p w14:paraId="2FB19F9F" w14:textId="77777777" w:rsidR="00454A29" w:rsidRDefault="00454A29">
            <w:pPr>
              <w:pStyle w:val="ConsPlusNormal"/>
              <w:jc w:val="center"/>
            </w:pPr>
            <w:r>
              <w:t>-</w:t>
            </w:r>
          </w:p>
        </w:tc>
        <w:tc>
          <w:tcPr>
            <w:tcW w:w="1814" w:type="dxa"/>
            <w:vAlign w:val="center"/>
          </w:tcPr>
          <w:p w14:paraId="4C455C13" w14:textId="77777777" w:rsidR="00454A29" w:rsidRDefault="00454A29">
            <w:pPr>
              <w:pStyle w:val="ConsPlusNormal"/>
            </w:pPr>
          </w:p>
        </w:tc>
        <w:tc>
          <w:tcPr>
            <w:tcW w:w="1701" w:type="dxa"/>
            <w:vAlign w:val="center"/>
          </w:tcPr>
          <w:p w14:paraId="1BEA100F" w14:textId="77777777" w:rsidR="00454A29" w:rsidRDefault="00454A29">
            <w:pPr>
              <w:pStyle w:val="ConsPlusNormal"/>
            </w:pPr>
          </w:p>
        </w:tc>
        <w:tc>
          <w:tcPr>
            <w:tcW w:w="1701" w:type="dxa"/>
            <w:vAlign w:val="center"/>
          </w:tcPr>
          <w:p w14:paraId="7D76CA0A" w14:textId="77777777" w:rsidR="00454A29" w:rsidRDefault="00454A29">
            <w:pPr>
              <w:pStyle w:val="ConsPlusNormal"/>
            </w:pPr>
          </w:p>
        </w:tc>
        <w:tc>
          <w:tcPr>
            <w:tcW w:w="1814" w:type="dxa"/>
            <w:vAlign w:val="center"/>
          </w:tcPr>
          <w:p w14:paraId="5131E37C" w14:textId="77777777" w:rsidR="00454A29" w:rsidRDefault="00454A29">
            <w:pPr>
              <w:pStyle w:val="ConsPlusNormal"/>
            </w:pPr>
          </w:p>
        </w:tc>
      </w:tr>
      <w:tr w:rsidR="00454A29" w14:paraId="0A4F188B" w14:textId="77777777">
        <w:tc>
          <w:tcPr>
            <w:tcW w:w="567" w:type="dxa"/>
            <w:vMerge/>
          </w:tcPr>
          <w:p w14:paraId="1073D55E" w14:textId="77777777" w:rsidR="00454A29" w:rsidRDefault="00454A29"/>
        </w:tc>
        <w:tc>
          <w:tcPr>
            <w:tcW w:w="3345" w:type="dxa"/>
            <w:vMerge/>
          </w:tcPr>
          <w:p w14:paraId="46CD2322" w14:textId="77777777" w:rsidR="00454A29" w:rsidRDefault="00454A29"/>
        </w:tc>
        <w:tc>
          <w:tcPr>
            <w:tcW w:w="1701" w:type="dxa"/>
            <w:vAlign w:val="center"/>
          </w:tcPr>
          <w:p w14:paraId="46C9B1BB" w14:textId="77777777" w:rsidR="00454A29" w:rsidRDefault="00454A29">
            <w:pPr>
              <w:pStyle w:val="ConsPlusNormal"/>
              <w:jc w:val="center"/>
            </w:pPr>
            <w:r>
              <w:t>2024</w:t>
            </w:r>
          </w:p>
        </w:tc>
        <w:tc>
          <w:tcPr>
            <w:tcW w:w="1417" w:type="dxa"/>
            <w:vMerge/>
          </w:tcPr>
          <w:p w14:paraId="42B43FBB" w14:textId="77777777" w:rsidR="00454A29" w:rsidRDefault="00454A29"/>
        </w:tc>
        <w:tc>
          <w:tcPr>
            <w:tcW w:w="2204" w:type="dxa"/>
            <w:vMerge/>
          </w:tcPr>
          <w:p w14:paraId="17FDB8E3" w14:textId="77777777" w:rsidR="00454A29" w:rsidRDefault="00454A29"/>
        </w:tc>
        <w:tc>
          <w:tcPr>
            <w:tcW w:w="1417" w:type="dxa"/>
            <w:vMerge/>
          </w:tcPr>
          <w:p w14:paraId="7BAA88AB" w14:textId="77777777" w:rsidR="00454A29" w:rsidRDefault="00454A29"/>
        </w:tc>
        <w:tc>
          <w:tcPr>
            <w:tcW w:w="2324" w:type="dxa"/>
            <w:vMerge/>
          </w:tcPr>
          <w:p w14:paraId="584A0EC4" w14:textId="77777777" w:rsidR="00454A29" w:rsidRDefault="00454A29"/>
        </w:tc>
        <w:tc>
          <w:tcPr>
            <w:tcW w:w="1701" w:type="dxa"/>
            <w:vAlign w:val="center"/>
          </w:tcPr>
          <w:p w14:paraId="2C255EC7" w14:textId="77777777" w:rsidR="00454A29" w:rsidRDefault="00454A29">
            <w:pPr>
              <w:pStyle w:val="ConsPlusNormal"/>
              <w:jc w:val="center"/>
            </w:pPr>
            <w:r>
              <w:t>-</w:t>
            </w:r>
          </w:p>
        </w:tc>
        <w:tc>
          <w:tcPr>
            <w:tcW w:w="1814" w:type="dxa"/>
            <w:vAlign w:val="center"/>
          </w:tcPr>
          <w:p w14:paraId="30B1CF83" w14:textId="77777777" w:rsidR="00454A29" w:rsidRDefault="00454A29">
            <w:pPr>
              <w:pStyle w:val="ConsPlusNormal"/>
            </w:pPr>
          </w:p>
        </w:tc>
        <w:tc>
          <w:tcPr>
            <w:tcW w:w="1701" w:type="dxa"/>
            <w:vAlign w:val="center"/>
          </w:tcPr>
          <w:p w14:paraId="3072988D" w14:textId="77777777" w:rsidR="00454A29" w:rsidRDefault="00454A29">
            <w:pPr>
              <w:pStyle w:val="ConsPlusNormal"/>
            </w:pPr>
          </w:p>
        </w:tc>
        <w:tc>
          <w:tcPr>
            <w:tcW w:w="1701" w:type="dxa"/>
            <w:vAlign w:val="center"/>
          </w:tcPr>
          <w:p w14:paraId="37532966" w14:textId="77777777" w:rsidR="00454A29" w:rsidRDefault="00454A29">
            <w:pPr>
              <w:pStyle w:val="ConsPlusNormal"/>
            </w:pPr>
          </w:p>
        </w:tc>
        <w:tc>
          <w:tcPr>
            <w:tcW w:w="1814" w:type="dxa"/>
            <w:vAlign w:val="center"/>
          </w:tcPr>
          <w:p w14:paraId="0C67EF2C" w14:textId="77777777" w:rsidR="00454A29" w:rsidRDefault="00454A29">
            <w:pPr>
              <w:pStyle w:val="ConsPlusNormal"/>
            </w:pPr>
          </w:p>
        </w:tc>
      </w:tr>
      <w:tr w:rsidR="00454A29" w14:paraId="5ABF38A2" w14:textId="77777777">
        <w:tc>
          <w:tcPr>
            <w:tcW w:w="567" w:type="dxa"/>
            <w:vMerge/>
          </w:tcPr>
          <w:p w14:paraId="176D50C2" w14:textId="77777777" w:rsidR="00454A29" w:rsidRDefault="00454A29"/>
        </w:tc>
        <w:tc>
          <w:tcPr>
            <w:tcW w:w="3345" w:type="dxa"/>
            <w:vMerge/>
          </w:tcPr>
          <w:p w14:paraId="57BFE829" w14:textId="77777777" w:rsidR="00454A29" w:rsidRDefault="00454A29"/>
        </w:tc>
        <w:tc>
          <w:tcPr>
            <w:tcW w:w="1701" w:type="dxa"/>
            <w:vAlign w:val="center"/>
          </w:tcPr>
          <w:p w14:paraId="783A43E2" w14:textId="77777777" w:rsidR="00454A29" w:rsidRDefault="00454A29">
            <w:pPr>
              <w:pStyle w:val="ConsPlusNormal"/>
              <w:jc w:val="center"/>
            </w:pPr>
            <w:r>
              <w:t>2025</w:t>
            </w:r>
          </w:p>
        </w:tc>
        <w:tc>
          <w:tcPr>
            <w:tcW w:w="1417" w:type="dxa"/>
            <w:vMerge/>
          </w:tcPr>
          <w:p w14:paraId="6E4B30E1" w14:textId="77777777" w:rsidR="00454A29" w:rsidRDefault="00454A29"/>
        </w:tc>
        <w:tc>
          <w:tcPr>
            <w:tcW w:w="2204" w:type="dxa"/>
            <w:vMerge/>
          </w:tcPr>
          <w:p w14:paraId="559F2AA3" w14:textId="77777777" w:rsidR="00454A29" w:rsidRDefault="00454A29"/>
        </w:tc>
        <w:tc>
          <w:tcPr>
            <w:tcW w:w="1417" w:type="dxa"/>
            <w:vMerge/>
          </w:tcPr>
          <w:p w14:paraId="563395A4" w14:textId="77777777" w:rsidR="00454A29" w:rsidRDefault="00454A29"/>
        </w:tc>
        <w:tc>
          <w:tcPr>
            <w:tcW w:w="2324" w:type="dxa"/>
            <w:vMerge/>
          </w:tcPr>
          <w:p w14:paraId="14009A09" w14:textId="77777777" w:rsidR="00454A29" w:rsidRDefault="00454A29"/>
        </w:tc>
        <w:tc>
          <w:tcPr>
            <w:tcW w:w="1701" w:type="dxa"/>
            <w:vAlign w:val="center"/>
          </w:tcPr>
          <w:p w14:paraId="7621FC7F" w14:textId="77777777" w:rsidR="00454A29" w:rsidRDefault="00454A29">
            <w:pPr>
              <w:pStyle w:val="ConsPlusNormal"/>
              <w:jc w:val="center"/>
            </w:pPr>
            <w:r>
              <w:t>-</w:t>
            </w:r>
          </w:p>
        </w:tc>
        <w:tc>
          <w:tcPr>
            <w:tcW w:w="1814" w:type="dxa"/>
            <w:vAlign w:val="center"/>
          </w:tcPr>
          <w:p w14:paraId="10E07AF1" w14:textId="77777777" w:rsidR="00454A29" w:rsidRDefault="00454A29">
            <w:pPr>
              <w:pStyle w:val="ConsPlusNormal"/>
            </w:pPr>
          </w:p>
        </w:tc>
        <w:tc>
          <w:tcPr>
            <w:tcW w:w="1701" w:type="dxa"/>
            <w:vAlign w:val="center"/>
          </w:tcPr>
          <w:p w14:paraId="0ED92B1F" w14:textId="77777777" w:rsidR="00454A29" w:rsidRDefault="00454A29">
            <w:pPr>
              <w:pStyle w:val="ConsPlusNormal"/>
            </w:pPr>
          </w:p>
        </w:tc>
        <w:tc>
          <w:tcPr>
            <w:tcW w:w="1701" w:type="dxa"/>
            <w:vAlign w:val="center"/>
          </w:tcPr>
          <w:p w14:paraId="3C580740" w14:textId="77777777" w:rsidR="00454A29" w:rsidRDefault="00454A29">
            <w:pPr>
              <w:pStyle w:val="ConsPlusNormal"/>
            </w:pPr>
          </w:p>
        </w:tc>
        <w:tc>
          <w:tcPr>
            <w:tcW w:w="1814" w:type="dxa"/>
            <w:vAlign w:val="center"/>
          </w:tcPr>
          <w:p w14:paraId="181AE490" w14:textId="77777777" w:rsidR="00454A29" w:rsidRDefault="00454A29">
            <w:pPr>
              <w:pStyle w:val="ConsPlusNormal"/>
            </w:pPr>
          </w:p>
        </w:tc>
      </w:tr>
      <w:tr w:rsidR="00454A29" w14:paraId="2BC14619" w14:textId="77777777">
        <w:tc>
          <w:tcPr>
            <w:tcW w:w="567" w:type="dxa"/>
            <w:vMerge/>
          </w:tcPr>
          <w:p w14:paraId="74EC9443" w14:textId="77777777" w:rsidR="00454A29" w:rsidRDefault="00454A29"/>
        </w:tc>
        <w:tc>
          <w:tcPr>
            <w:tcW w:w="3345" w:type="dxa"/>
            <w:vMerge/>
          </w:tcPr>
          <w:p w14:paraId="3300C062" w14:textId="77777777" w:rsidR="00454A29" w:rsidRDefault="00454A29"/>
        </w:tc>
        <w:tc>
          <w:tcPr>
            <w:tcW w:w="1701" w:type="dxa"/>
            <w:vAlign w:val="center"/>
          </w:tcPr>
          <w:p w14:paraId="3EE134C3" w14:textId="77777777" w:rsidR="00454A29" w:rsidRDefault="00454A29">
            <w:pPr>
              <w:pStyle w:val="ConsPlusNormal"/>
              <w:jc w:val="center"/>
            </w:pPr>
            <w:r>
              <w:t>2026</w:t>
            </w:r>
          </w:p>
        </w:tc>
        <w:tc>
          <w:tcPr>
            <w:tcW w:w="1417" w:type="dxa"/>
            <w:vMerge/>
          </w:tcPr>
          <w:p w14:paraId="60B1E96A" w14:textId="77777777" w:rsidR="00454A29" w:rsidRDefault="00454A29"/>
        </w:tc>
        <w:tc>
          <w:tcPr>
            <w:tcW w:w="2204" w:type="dxa"/>
            <w:vMerge/>
          </w:tcPr>
          <w:p w14:paraId="245479C7" w14:textId="77777777" w:rsidR="00454A29" w:rsidRDefault="00454A29"/>
        </w:tc>
        <w:tc>
          <w:tcPr>
            <w:tcW w:w="1417" w:type="dxa"/>
            <w:vMerge/>
          </w:tcPr>
          <w:p w14:paraId="57D07AD8" w14:textId="77777777" w:rsidR="00454A29" w:rsidRDefault="00454A29"/>
        </w:tc>
        <w:tc>
          <w:tcPr>
            <w:tcW w:w="2324" w:type="dxa"/>
            <w:vMerge/>
          </w:tcPr>
          <w:p w14:paraId="7405891B" w14:textId="77777777" w:rsidR="00454A29" w:rsidRDefault="00454A29"/>
        </w:tc>
        <w:tc>
          <w:tcPr>
            <w:tcW w:w="1701" w:type="dxa"/>
            <w:vAlign w:val="center"/>
          </w:tcPr>
          <w:p w14:paraId="1369CC71" w14:textId="77777777" w:rsidR="00454A29" w:rsidRDefault="00454A29">
            <w:pPr>
              <w:pStyle w:val="ConsPlusNormal"/>
              <w:jc w:val="center"/>
            </w:pPr>
            <w:r>
              <w:t>-</w:t>
            </w:r>
          </w:p>
        </w:tc>
        <w:tc>
          <w:tcPr>
            <w:tcW w:w="1814" w:type="dxa"/>
            <w:vAlign w:val="center"/>
          </w:tcPr>
          <w:p w14:paraId="5CD4D9CD" w14:textId="77777777" w:rsidR="00454A29" w:rsidRDefault="00454A29">
            <w:pPr>
              <w:pStyle w:val="ConsPlusNormal"/>
            </w:pPr>
          </w:p>
        </w:tc>
        <w:tc>
          <w:tcPr>
            <w:tcW w:w="1701" w:type="dxa"/>
            <w:vAlign w:val="center"/>
          </w:tcPr>
          <w:p w14:paraId="6CB463A3" w14:textId="77777777" w:rsidR="00454A29" w:rsidRDefault="00454A29">
            <w:pPr>
              <w:pStyle w:val="ConsPlusNormal"/>
            </w:pPr>
          </w:p>
        </w:tc>
        <w:tc>
          <w:tcPr>
            <w:tcW w:w="1701" w:type="dxa"/>
            <w:vAlign w:val="center"/>
          </w:tcPr>
          <w:p w14:paraId="5F5F6012" w14:textId="77777777" w:rsidR="00454A29" w:rsidRDefault="00454A29">
            <w:pPr>
              <w:pStyle w:val="ConsPlusNormal"/>
            </w:pPr>
          </w:p>
        </w:tc>
        <w:tc>
          <w:tcPr>
            <w:tcW w:w="1814" w:type="dxa"/>
            <w:vAlign w:val="center"/>
          </w:tcPr>
          <w:p w14:paraId="68F5761E" w14:textId="77777777" w:rsidR="00454A29" w:rsidRDefault="00454A29">
            <w:pPr>
              <w:pStyle w:val="ConsPlusNormal"/>
            </w:pPr>
          </w:p>
        </w:tc>
      </w:tr>
      <w:tr w:rsidR="00454A29" w14:paraId="222A060A" w14:textId="77777777">
        <w:tc>
          <w:tcPr>
            <w:tcW w:w="567" w:type="dxa"/>
            <w:vMerge w:val="restart"/>
            <w:vAlign w:val="center"/>
          </w:tcPr>
          <w:p w14:paraId="30AB07D2" w14:textId="77777777" w:rsidR="00454A29" w:rsidRDefault="00454A29">
            <w:pPr>
              <w:pStyle w:val="ConsPlusNormal"/>
              <w:jc w:val="center"/>
            </w:pPr>
            <w:r>
              <w:t>118</w:t>
            </w:r>
          </w:p>
        </w:tc>
        <w:tc>
          <w:tcPr>
            <w:tcW w:w="3345" w:type="dxa"/>
            <w:vMerge w:val="restart"/>
            <w:vAlign w:val="center"/>
          </w:tcPr>
          <w:p w14:paraId="2C57DBDB" w14:textId="77777777" w:rsidR="00454A29" w:rsidRDefault="00454A29">
            <w:pPr>
              <w:pStyle w:val="ConsPlusNormal"/>
              <w:jc w:val="center"/>
            </w:pPr>
            <w:r>
              <w:t>Детский сад на 240 мест в г. Якутске</w:t>
            </w:r>
          </w:p>
        </w:tc>
        <w:tc>
          <w:tcPr>
            <w:tcW w:w="1701" w:type="dxa"/>
            <w:vAlign w:val="center"/>
          </w:tcPr>
          <w:p w14:paraId="419A2EDC" w14:textId="77777777" w:rsidR="00454A29" w:rsidRDefault="00454A29">
            <w:pPr>
              <w:pStyle w:val="ConsPlusNormal"/>
              <w:jc w:val="center"/>
            </w:pPr>
            <w:r>
              <w:t>Всего:</w:t>
            </w:r>
          </w:p>
        </w:tc>
        <w:tc>
          <w:tcPr>
            <w:tcW w:w="1417" w:type="dxa"/>
            <w:vMerge w:val="restart"/>
            <w:vAlign w:val="center"/>
          </w:tcPr>
          <w:p w14:paraId="530480A4" w14:textId="77777777" w:rsidR="00454A29" w:rsidRDefault="00454A29">
            <w:pPr>
              <w:pStyle w:val="ConsPlusNormal"/>
              <w:jc w:val="center"/>
            </w:pPr>
            <w:r>
              <w:t>186 082,90</w:t>
            </w:r>
          </w:p>
        </w:tc>
        <w:tc>
          <w:tcPr>
            <w:tcW w:w="2204" w:type="dxa"/>
            <w:vMerge w:val="restart"/>
            <w:vAlign w:val="center"/>
          </w:tcPr>
          <w:p w14:paraId="6EC801CC" w14:textId="77777777" w:rsidR="00454A29" w:rsidRDefault="00454A29">
            <w:pPr>
              <w:pStyle w:val="ConsPlusNormal"/>
            </w:pPr>
          </w:p>
        </w:tc>
        <w:tc>
          <w:tcPr>
            <w:tcW w:w="1417" w:type="dxa"/>
            <w:vMerge w:val="restart"/>
            <w:vAlign w:val="center"/>
          </w:tcPr>
          <w:p w14:paraId="09F9D05F" w14:textId="77777777" w:rsidR="00454A29" w:rsidRDefault="00454A29">
            <w:pPr>
              <w:pStyle w:val="ConsPlusNormal"/>
              <w:jc w:val="center"/>
            </w:pPr>
            <w:r>
              <w:t>240</w:t>
            </w:r>
          </w:p>
        </w:tc>
        <w:tc>
          <w:tcPr>
            <w:tcW w:w="2324" w:type="dxa"/>
            <w:vMerge w:val="restart"/>
            <w:vAlign w:val="center"/>
          </w:tcPr>
          <w:p w14:paraId="4FBB774C" w14:textId="77777777" w:rsidR="00454A29" w:rsidRDefault="00454A29">
            <w:pPr>
              <w:pStyle w:val="ConsPlusNormal"/>
              <w:jc w:val="center"/>
            </w:pPr>
            <w:r>
              <w:t>Министерство строительства РС(Я)</w:t>
            </w:r>
          </w:p>
        </w:tc>
        <w:tc>
          <w:tcPr>
            <w:tcW w:w="1701" w:type="dxa"/>
            <w:vAlign w:val="center"/>
          </w:tcPr>
          <w:p w14:paraId="65DC6D95" w14:textId="77777777" w:rsidR="00454A29" w:rsidRDefault="00454A29">
            <w:pPr>
              <w:pStyle w:val="ConsPlusNormal"/>
              <w:jc w:val="center"/>
            </w:pPr>
            <w:r>
              <w:t>186 082,90</w:t>
            </w:r>
          </w:p>
        </w:tc>
        <w:tc>
          <w:tcPr>
            <w:tcW w:w="1814" w:type="dxa"/>
            <w:vAlign w:val="center"/>
          </w:tcPr>
          <w:p w14:paraId="5464D833" w14:textId="77777777" w:rsidR="00454A29" w:rsidRDefault="00454A29">
            <w:pPr>
              <w:pStyle w:val="ConsPlusNormal"/>
              <w:jc w:val="center"/>
            </w:pPr>
            <w:r>
              <w:t>3 067,39</w:t>
            </w:r>
          </w:p>
        </w:tc>
        <w:tc>
          <w:tcPr>
            <w:tcW w:w="1701" w:type="dxa"/>
            <w:vAlign w:val="center"/>
          </w:tcPr>
          <w:p w14:paraId="3BC70C05" w14:textId="77777777" w:rsidR="00454A29" w:rsidRDefault="00454A29">
            <w:pPr>
              <w:pStyle w:val="ConsPlusNormal"/>
              <w:jc w:val="center"/>
            </w:pPr>
            <w:r>
              <w:t>183 015,51</w:t>
            </w:r>
          </w:p>
        </w:tc>
        <w:tc>
          <w:tcPr>
            <w:tcW w:w="1701" w:type="dxa"/>
            <w:vAlign w:val="center"/>
          </w:tcPr>
          <w:p w14:paraId="5E250072" w14:textId="77777777" w:rsidR="00454A29" w:rsidRDefault="00454A29">
            <w:pPr>
              <w:pStyle w:val="ConsPlusNormal"/>
              <w:jc w:val="center"/>
            </w:pPr>
            <w:r>
              <w:t>-</w:t>
            </w:r>
          </w:p>
        </w:tc>
        <w:tc>
          <w:tcPr>
            <w:tcW w:w="1814" w:type="dxa"/>
            <w:vAlign w:val="center"/>
          </w:tcPr>
          <w:p w14:paraId="4C8EED14" w14:textId="77777777" w:rsidR="00454A29" w:rsidRDefault="00454A29">
            <w:pPr>
              <w:pStyle w:val="ConsPlusNormal"/>
              <w:jc w:val="center"/>
            </w:pPr>
            <w:r>
              <w:t>-</w:t>
            </w:r>
          </w:p>
        </w:tc>
      </w:tr>
      <w:tr w:rsidR="00454A29" w14:paraId="3A65940F" w14:textId="77777777">
        <w:tc>
          <w:tcPr>
            <w:tcW w:w="567" w:type="dxa"/>
            <w:vMerge/>
          </w:tcPr>
          <w:p w14:paraId="41366514" w14:textId="77777777" w:rsidR="00454A29" w:rsidRDefault="00454A29"/>
        </w:tc>
        <w:tc>
          <w:tcPr>
            <w:tcW w:w="3345" w:type="dxa"/>
            <w:vMerge/>
          </w:tcPr>
          <w:p w14:paraId="5ED099FD" w14:textId="77777777" w:rsidR="00454A29" w:rsidRDefault="00454A29"/>
        </w:tc>
        <w:tc>
          <w:tcPr>
            <w:tcW w:w="1701" w:type="dxa"/>
            <w:vAlign w:val="center"/>
          </w:tcPr>
          <w:p w14:paraId="03B06411" w14:textId="77777777" w:rsidR="00454A29" w:rsidRDefault="00454A29">
            <w:pPr>
              <w:pStyle w:val="ConsPlusNormal"/>
              <w:jc w:val="center"/>
            </w:pPr>
            <w:r>
              <w:t>2020</w:t>
            </w:r>
          </w:p>
        </w:tc>
        <w:tc>
          <w:tcPr>
            <w:tcW w:w="1417" w:type="dxa"/>
            <w:vMerge/>
          </w:tcPr>
          <w:p w14:paraId="20FB9BE5" w14:textId="77777777" w:rsidR="00454A29" w:rsidRDefault="00454A29"/>
        </w:tc>
        <w:tc>
          <w:tcPr>
            <w:tcW w:w="2204" w:type="dxa"/>
            <w:vMerge/>
          </w:tcPr>
          <w:p w14:paraId="6F98711D" w14:textId="77777777" w:rsidR="00454A29" w:rsidRDefault="00454A29"/>
        </w:tc>
        <w:tc>
          <w:tcPr>
            <w:tcW w:w="1417" w:type="dxa"/>
            <w:vMerge/>
          </w:tcPr>
          <w:p w14:paraId="463845F8" w14:textId="77777777" w:rsidR="00454A29" w:rsidRDefault="00454A29"/>
        </w:tc>
        <w:tc>
          <w:tcPr>
            <w:tcW w:w="2324" w:type="dxa"/>
            <w:vMerge/>
          </w:tcPr>
          <w:p w14:paraId="77E10C3D" w14:textId="77777777" w:rsidR="00454A29" w:rsidRDefault="00454A29"/>
        </w:tc>
        <w:tc>
          <w:tcPr>
            <w:tcW w:w="1701" w:type="dxa"/>
            <w:vAlign w:val="center"/>
          </w:tcPr>
          <w:p w14:paraId="0F9F7580" w14:textId="77777777" w:rsidR="00454A29" w:rsidRDefault="00454A29">
            <w:pPr>
              <w:pStyle w:val="ConsPlusNormal"/>
              <w:jc w:val="center"/>
            </w:pPr>
            <w:r>
              <w:t>61 692,41</w:t>
            </w:r>
          </w:p>
        </w:tc>
        <w:tc>
          <w:tcPr>
            <w:tcW w:w="1814" w:type="dxa"/>
            <w:vAlign w:val="center"/>
          </w:tcPr>
          <w:p w14:paraId="736B745B" w14:textId="77777777" w:rsidR="00454A29" w:rsidRDefault="00454A29">
            <w:pPr>
              <w:pStyle w:val="ConsPlusNormal"/>
              <w:jc w:val="center"/>
            </w:pPr>
            <w:r>
              <w:t>1 823,48</w:t>
            </w:r>
          </w:p>
        </w:tc>
        <w:tc>
          <w:tcPr>
            <w:tcW w:w="1701" w:type="dxa"/>
            <w:vAlign w:val="center"/>
          </w:tcPr>
          <w:p w14:paraId="7C5BC47C" w14:textId="77777777" w:rsidR="00454A29" w:rsidRDefault="00454A29">
            <w:pPr>
              <w:pStyle w:val="ConsPlusNormal"/>
              <w:jc w:val="center"/>
            </w:pPr>
            <w:r>
              <w:t>59 868,93</w:t>
            </w:r>
          </w:p>
        </w:tc>
        <w:tc>
          <w:tcPr>
            <w:tcW w:w="1701" w:type="dxa"/>
            <w:vAlign w:val="center"/>
          </w:tcPr>
          <w:p w14:paraId="678DCBF2" w14:textId="77777777" w:rsidR="00454A29" w:rsidRDefault="00454A29">
            <w:pPr>
              <w:pStyle w:val="ConsPlusNormal"/>
              <w:jc w:val="center"/>
            </w:pPr>
            <w:r>
              <w:t>-</w:t>
            </w:r>
          </w:p>
        </w:tc>
        <w:tc>
          <w:tcPr>
            <w:tcW w:w="1814" w:type="dxa"/>
            <w:vAlign w:val="center"/>
          </w:tcPr>
          <w:p w14:paraId="45D5E957" w14:textId="77777777" w:rsidR="00454A29" w:rsidRDefault="00454A29">
            <w:pPr>
              <w:pStyle w:val="ConsPlusNormal"/>
            </w:pPr>
          </w:p>
        </w:tc>
      </w:tr>
      <w:tr w:rsidR="00454A29" w14:paraId="5089147A" w14:textId="77777777">
        <w:tc>
          <w:tcPr>
            <w:tcW w:w="567" w:type="dxa"/>
            <w:vMerge/>
          </w:tcPr>
          <w:p w14:paraId="65EDDB0A" w14:textId="77777777" w:rsidR="00454A29" w:rsidRDefault="00454A29"/>
        </w:tc>
        <w:tc>
          <w:tcPr>
            <w:tcW w:w="3345" w:type="dxa"/>
            <w:vMerge/>
          </w:tcPr>
          <w:p w14:paraId="70F8F56F" w14:textId="77777777" w:rsidR="00454A29" w:rsidRDefault="00454A29"/>
        </w:tc>
        <w:tc>
          <w:tcPr>
            <w:tcW w:w="1701" w:type="dxa"/>
            <w:vAlign w:val="center"/>
          </w:tcPr>
          <w:p w14:paraId="19EC8542" w14:textId="77777777" w:rsidR="00454A29" w:rsidRDefault="00454A29">
            <w:pPr>
              <w:pStyle w:val="ConsPlusNormal"/>
              <w:jc w:val="center"/>
            </w:pPr>
            <w:r>
              <w:t>2021</w:t>
            </w:r>
          </w:p>
        </w:tc>
        <w:tc>
          <w:tcPr>
            <w:tcW w:w="1417" w:type="dxa"/>
            <w:vMerge/>
          </w:tcPr>
          <w:p w14:paraId="21C0F80A" w14:textId="77777777" w:rsidR="00454A29" w:rsidRDefault="00454A29"/>
        </w:tc>
        <w:tc>
          <w:tcPr>
            <w:tcW w:w="2204" w:type="dxa"/>
            <w:vMerge/>
          </w:tcPr>
          <w:p w14:paraId="02F860EB" w14:textId="77777777" w:rsidR="00454A29" w:rsidRDefault="00454A29"/>
        </w:tc>
        <w:tc>
          <w:tcPr>
            <w:tcW w:w="1417" w:type="dxa"/>
            <w:vMerge/>
          </w:tcPr>
          <w:p w14:paraId="0DAABD37" w14:textId="77777777" w:rsidR="00454A29" w:rsidRDefault="00454A29"/>
        </w:tc>
        <w:tc>
          <w:tcPr>
            <w:tcW w:w="2324" w:type="dxa"/>
            <w:vMerge/>
          </w:tcPr>
          <w:p w14:paraId="6A29900B" w14:textId="77777777" w:rsidR="00454A29" w:rsidRDefault="00454A29"/>
        </w:tc>
        <w:tc>
          <w:tcPr>
            <w:tcW w:w="1701" w:type="dxa"/>
            <w:vAlign w:val="center"/>
          </w:tcPr>
          <w:p w14:paraId="5787D527" w14:textId="77777777" w:rsidR="00454A29" w:rsidRDefault="00454A29">
            <w:pPr>
              <w:pStyle w:val="ConsPlusNormal"/>
              <w:jc w:val="center"/>
            </w:pPr>
            <w:r>
              <w:t>124 390,49</w:t>
            </w:r>
          </w:p>
        </w:tc>
        <w:tc>
          <w:tcPr>
            <w:tcW w:w="1814" w:type="dxa"/>
            <w:vAlign w:val="center"/>
          </w:tcPr>
          <w:p w14:paraId="11092D3C" w14:textId="77777777" w:rsidR="00454A29" w:rsidRDefault="00454A29">
            <w:pPr>
              <w:pStyle w:val="ConsPlusNormal"/>
              <w:jc w:val="center"/>
            </w:pPr>
            <w:r>
              <w:t>1 243,90</w:t>
            </w:r>
          </w:p>
        </w:tc>
        <w:tc>
          <w:tcPr>
            <w:tcW w:w="1701" w:type="dxa"/>
            <w:vAlign w:val="center"/>
          </w:tcPr>
          <w:p w14:paraId="28191823" w14:textId="77777777" w:rsidR="00454A29" w:rsidRDefault="00454A29">
            <w:pPr>
              <w:pStyle w:val="ConsPlusNormal"/>
              <w:jc w:val="center"/>
            </w:pPr>
            <w:r>
              <w:t>123 146,58</w:t>
            </w:r>
          </w:p>
        </w:tc>
        <w:tc>
          <w:tcPr>
            <w:tcW w:w="1701" w:type="dxa"/>
            <w:vAlign w:val="center"/>
          </w:tcPr>
          <w:p w14:paraId="65BFB92D" w14:textId="77777777" w:rsidR="00454A29" w:rsidRDefault="00454A29">
            <w:pPr>
              <w:pStyle w:val="ConsPlusNormal"/>
            </w:pPr>
          </w:p>
        </w:tc>
        <w:tc>
          <w:tcPr>
            <w:tcW w:w="1814" w:type="dxa"/>
            <w:vAlign w:val="center"/>
          </w:tcPr>
          <w:p w14:paraId="072FD19C" w14:textId="77777777" w:rsidR="00454A29" w:rsidRDefault="00454A29">
            <w:pPr>
              <w:pStyle w:val="ConsPlusNormal"/>
            </w:pPr>
          </w:p>
        </w:tc>
      </w:tr>
      <w:tr w:rsidR="00454A29" w14:paraId="2E9532F6" w14:textId="77777777">
        <w:tc>
          <w:tcPr>
            <w:tcW w:w="567" w:type="dxa"/>
            <w:vMerge/>
          </w:tcPr>
          <w:p w14:paraId="35E37F1D" w14:textId="77777777" w:rsidR="00454A29" w:rsidRDefault="00454A29"/>
        </w:tc>
        <w:tc>
          <w:tcPr>
            <w:tcW w:w="3345" w:type="dxa"/>
            <w:vMerge/>
          </w:tcPr>
          <w:p w14:paraId="7390397F" w14:textId="77777777" w:rsidR="00454A29" w:rsidRDefault="00454A29"/>
        </w:tc>
        <w:tc>
          <w:tcPr>
            <w:tcW w:w="1701" w:type="dxa"/>
            <w:vAlign w:val="center"/>
          </w:tcPr>
          <w:p w14:paraId="7EFAC5A7" w14:textId="77777777" w:rsidR="00454A29" w:rsidRDefault="00454A29">
            <w:pPr>
              <w:pStyle w:val="ConsPlusNormal"/>
              <w:jc w:val="center"/>
            </w:pPr>
            <w:r>
              <w:t>2022</w:t>
            </w:r>
          </w:p>
        </w:tc>
        <w:tc>
          <w:tcPr>
            <w:tcW w:w="1417" w:type="dxa"/>
            <w:vMerge/>
          </w:tcPr>
          <w:p w14:paraId="757D9612" w14:textId="77777777" w:rsidR="00454A29" w:rsidRDefault="00454A29"/>
        </w:tc>
        <w:tc>
          <w:tcPr>
            <w:tcW w:w="2204" w:type="dxa"/>
            <w:vMerge/>
          </w:tcPr>
          <w:p w14:paraId="6DF31ADC" w14:textId="77777777" w:rsidR="00454A29" w:rsidRDefault="00454A29"/>
        </w:tc>
        <w:tc>
          <w:tcPr>
            <w:tcW w:w="1417" w:type="dxa"/>
            <w:vMerge/>
          </w:tcPr>
          <w:p w14:paraId="225A6089" w14:textId="77777777" w:rsidR="00454A29" w:rsidRDefault="00454A29"/>
        </w:tc>
        <w:tc>
          <w:tcPr>
            <w:tcW w:w="2324" w:type="dxa"/>
            <w:vMerge/>
          </w:tcPr>
          <w:p w14:paraId="00362FEE" w14:textId="77777777" w:rsidR="00454A29" w:rsidRDefault="00454A29"/>
        </w:tc>
        <w:tc>
          <w:tcPr>
            <w:tcW w:w="1701" w:type="dxa"/>
            <w:vAlign w:val="center"/>
          </w:tcPr>
          <w:p w14:paraId="39D96DDE" w14:textId="77777777" w:rsidR="00454A29" w:rsidRDefault="00454A29">
            <w:pPr>
              <w:pStyle w:val="ConsPlusNormal"/>
              <w:jc w:val="center"/>
            </w:pPr>
            <w:r>
              <w:t>-</w:t>
            </w:r>
          </w:p>
        </w:tc>
        <w:tc>
          <w:tcPr>
            <w:tcW w:w="1814" w:type="dxa"/>
            <w:vAlign w:val="center"/>
          </w:tcPr>
          <w:p w14:paraId="65589E29" w14:textId="77777777" w:rsidR="00454A29" w:rsidRDefault="00454A29">
            <w:pPr>
              <w:pStyle w:val="ConsPlusNormal"/>
            </w:pPr>
          </w:p>
        </w:tc>
        <w:tc>
          <w:tcPr>
            <w:tcW w:w="1701" w:type="dxa"/>
            <w:vAlign w:val="center"/>
          </w:tcPr>
          <w:p w14:paraId="13B8822F" w14:textId="77777777" w:rsidR="00454A29" w:rsidRDefault="00454A29">
            <w:pPr>
              <w:pStyle w:val="ConsPlusNormal"/>
            </w:pPr>
          </w:p>
        </w:tc>
        <w:tc>
          <w:tcPr>
            <w:tcW w:w="1701" w:type="dxa"/>
            <w:vAlign w:val="center"/>
          </w:tcPr>
          <w:p w14:paraId="2866FF25" w14:textId="77777777" w:rsidR="00454A29" w:rsidRDefault="00454A29">
            <w:pPr>
              <w:pStyle w:val="ConsPlusNormal"/>
            </w:pPr>
          </w:p>
        </w:tc>
        <w:tc>
          <w:tcPr>
            <w:tcW w:w="1814" w:type="dxa"/>
            <w:vAlign w:val="center"/>
          </w:tcPr>
          <w:p w14:paraId="1256FF84" w14:textId="77777777" w:rsidR="00454A29" w:rsidRDefault="00454A29">
            <w:pPr>
              <w:pStyle w:val="ConsPlusNormal"/>
            </w:pPr>
          </w:p>
        </w:tc>
      </w:tr>
      <w:tr w:rsidR="00454A29" w14:paraId="2F17C7C6" w14:textId="77777777">
        <w:tc>
          <w:tcPr>
            <w:tcW w:w="567" w:type="dxa"/>
            <w:vMerge/>
          </w:tcPr>
          <w:p w14:paraId="2CD0D033" w14:textId="77777777" w:rsidR="00454A29" w:rsidRDefault="00454A29"/>
        </w:tc>
        <w:tc>
          <w:tcPr>
            <w:tcW w:w="3345" w:type="dxa"/>
            <w:vMerge/>
          </w:tcPr>
          <w:p w14:paraId="61CFFD48" w14:textId="77777777" w:rsidR="00454A29" w:rsidRDefault="00454A29"/>
        </w:tc>
        <w:tc>
          <w:tcPr>
            <w:tcW w:w="1701" w:type="dxa"/>
            <w:vAlign w:val="center"/>
          </w:tcPr>
          <w:p w14:paraId="03349B50" w14:textId="77777777" w:rsidR="00454A29" w:rsidRDefault="00454A29">
            <w:pPr>
              <w:pStyle w:val="ConsPlusNormal"/>
              <w:jc w:val="center"/>
            </w:pPr>
            <w:r>
              <w:t>2023</w:t>
            </w:r>
          </w:p>
        </w:tc>
        <w:tc>
          <w:tcPr>
            <w:tcW w:w="1417" w:type="dxa"/>
            <w:vMerge/>
          </w:tcPr>
          <w:p w14:paraId="1436EB9C" w14:textId="77777777" w:rsidR="00454A29" w:rsidRDefault="00454A29"/>
        </w:tc>
        <w:tc>
          <w:tcPr>
            <w:tcW w:w="2204" w:type="dxa"/>
            <w:vMerge/>
          </w:tcPr>
          <w:p w14:paraId="19F98536" w14:textId="77777777" w:rsidR="00454A29" w:rsidRDefault="00454A29"/>
        </w:tc>
        <w:tc>
          <w:tcPr>
            <w:tcW w:w="1417" w:type="dxa"/>
            <w:vMerge/>
          </w:tcPr>
          <w:p w14:paraId="14782251" w14:textId="77777777" w:rsidR="00454A29" w:rsidRDefault="00454A29"/>
        </w:tc>
        <w:tc>
          <w:tcPr>
            <w:tcW w:w="2324" w:type="dxa"/>
            <w:vMerge/>
          </w:tcPr>
          <w:p w14:paraId="5FC92BA8" w14:textId="77777777" w:rsidR="00454A29" w:rsidRDefault="00454A29"/>
        </w:tc>
        <w:tc>
          <w:tcPr>
            <w:tcW w:w="1701" w:type="dxa"/>
            <w:vAlign w:val="center"/>
          </w:tcPr>
          <w:p w14:paraId="439CA8A5" w14:textId="77777777" w:rsidR="00454A29" w:rsidRDefault="00454A29">
            <w:pPr>
              <w:pStyle w:val="ConsPlusNormal"/>
              <w:jc w:val="center"/>
            </w:pPr>
            <w:r>
              <w:t>-</w:t>
            </w:r>
          </w:p>
        </w:tc>
        <w:tc>
          <w:tcPr>
            <w:tcW w:w="1814" w:type="dxa"/>
            <w:vAlign w:val="center"/>
          </w:tcPr>
          <w:p w14:paraId="6BFE88E5" w14:textId="77777777" w:rsidR="00454A29" w:rsidRDefault="00454A29">
            <w:pPr>
              <w:pStyle w:val="ConsPlusNormal"/>
            </w:pPr>
          </w:p>
        </w:tc>
        <w:tc>
          <w:tcPr>
            <w:tcW w:w="1701" w:type="dxa"/>
            <w:vAlign w:val="center"/>
          </w:tcPr>
          <w:p w14:paraId="1ED6B9EC" w14:textId="77777777" w:rsidR="00454A29" w:rsidRDefault="00454A29">
            <w:pPr>
              <w:pStyle w:val="ConsPlusNormal"/>
            </w:pPr>
          </w:p>
        </w:tc>
        <w:tc>
          <w:tcPr>
            <w:tcW w:w="1701" w:type="dxa"/>
            <w:vAlign w:val="center"/>
          </w:tcPr>
          <w:p w14:paraId="2EA7489C" w14:textId="77777777" w:rsidR="00454A29" w:rsidRDefault="00454A29">
            <w:pPr>
              <w:pStyle w:val="ConsPlusNormal"/>
            </w:pPr>
          </w:p>
        </w:tc>
        <w:tc>
          <w:tcPr>
            <w:tcW w:w="1814" w:type="dxa"/>
            <w:vAlign w:val="center"/>
          </w:tcPr>
          <w:p w14:paraId="62995326" w14:textId="77777777" w:rsidR="00454A29" w:rsidRDefault="00454A29">
            <w:pPr>
              <w:pStyle w:val="ConsPlusNormal"/>
            </w:pPr>
          </w:p>
        </w:tc>
      </w:tr>
      <w:tr w:rsidR="00454A29" w14:paraId="0A06C15D" w14:textId="77777777">
        <w:tc>
          <w:tcPr>
            <w:tcW w:w="567" w:type="dxa"/>
            <w:vMerge/>
          </w:tcPr>
          <w:p w14:paraId="3E57D125" w14:textId="77777777" w:rsidR="00454A29" w:rsidRDefault="00454A29"/>
        </w:tc>
        <w:tc>
          <w:tcPr>
            <w:tcW w:w="3345" w:type="dxa"/>
            <w:vMerge/>
          </w:tcPr>
          <w:p w14:paraId="49FF4697" w14:textId="77777777" w:rsidR="00454A29" w:rsidRDefault="00454A29"/>
        </w:tc>
        <w:tc>
          <w:tcPr>
            <w:tcW w:w="1701" w:type="dxa"/>
            <w:vAlign w:val="center"/>
          </w:tcPr>
          <w:p w14:paraId="6143FA00" w14:textId="77777777" w:rsidR="00454A29" w:rsidRDefault="00454A29">
            <w:pPr>
              <w:pStyle w:val="ConsPlusNormal"/>
              <w:jc w:val="center"/>
            </w:pPr>
            <w:r>
              <w:t>2024</w:t>
            </w:r>
          </w:p>
        </w:tc>
        <w:tc>
          <w:tcPr>
            <w:tcW w:w="1417" w:type="dxa"/>
            <w:vMerge/>
          </w:tcPr>
          <w:p w14:paraId="07DAC877" w14:textId="77777777" w:rsidR="00454A29" w:rsidRDefault="00454A29"/>
        </w:tc>
        <w:tc>
          <w:tcPr>
            <w:tcW w:w="2204" w:type="dxa"/>
            <w:vMerge/>
          </w:tcPr>
          <w:p w14:paraId="6F49375F" w14:textId="77777777" w:rsidR="00454A29" w:rsidRDefault="00454A29"/>
        </w:tc>
        <w:tc>
          <w:tcPr>
            <w:tcW w:w="1417" w:type="dxa"/>
            <w:vMerge/>
          </w:tcPr>
          <w:p w14:paraId="66DE35EA" w14:textId="77777777" w:rsidR="00454A29" w:rsidRDefault="00454A29"/>
        </w:tc>
        <w:tc>
          <w:tcPr>
            <w:tcW w:w="2324" w:type="dxa"/>
            <w:vMerge/>
          </w:tcPr>
          <w:p w14:paraId="75C73C54" w14:textId="77777777" w:rsidR="00454A29" w:rsidRDefault="00454A29"/>
        </w:tc>
        <w:tc>
          <w:tcPr>
            <w:tcW w:w="1701" w:type="dxa"/>
            <w:vAlign w:val="center"/>
          </w:tcPr>
          <w:p w14:paraId="7762590D" w14:textId="77777777" w:rsidR="00454A29" w:rsidRDefault="00454A29">
            <w:pPr>
              <w:pStyle w:val="ConsPlusNormal"/>
              <w:jc w:val="center"/>
            </w:pPr>
            <w:r>
              <w:t>-</w:t>
            </w:r>
          </w:p>
        </w:tc>
        <w:tc>
          <w:tcPr>
            <w:tcW w:w="1814" w:type="dxa"/>
            <w:vAlign w:val="center"/>
          </w:tcPr>
          <w:p w14:paraId="12FF2F5A" w14:textId="77777777" w:rsidR="00454A29" w:rsidRDefault="00454A29">
            <w:pPr>
              <w:pStyle w:val="ConsPlusNormal"/>
            </w:pPr>
          </w:p>
        </w:tc>
        <w:tc>
          <w:tcPr>
            <w:tcW w:w="1701" w:type="dxa"/>
            <w:vAlign w:val="center"/>
          </w:tcPr>
          <w:p w14:paraId="62C84B43" w14:textId="77777777" w:rsidR="00454A29" w:rsidRDefault="00454A29">
            <w:pPr>
              <w:pStyle w:val="ConsPlusNormal"/>
            </w:pPr>
          </w:p>
        </w:tc>
        <w:tc>
          <w:tcPr>
            <w:tcW w:w="1701" w:type="dxa"/>
            <w:vAlign w:val="center"/>
          </w:tcPr>
          <w:p w14:paraId="38FC32B1" w14:textId="77777777" w:rsidR="00454A29" w:rsidRDefault="00454A29">
            <w:pPr>
              <w:pStyle w:val="ConsPlusNormal"/>
            </w:pPr>
          </w:p>
        </w:tc>
        <w:tc>
          <w:tcPr>
            <w:tcW w:w="1814" w:type="dxa"/>
            <w:vAlign w:val="center"/>
          </w:tcPr>
          <w:p w14:paraId="3E31729D" w14:textId="77777777" w:rsidR="00454A29" w:rsidRDefault="00454A29">
            <w:pPr>
              <w:pStyle w:val="ConsPlusNormal"/>
            </w:pPr>
          </w:p>
        </w:tc>
      </w:tr>
      <w:tr w:rsidR="00454A29" w14:paraId="274C685B" w14:textId="77777777">
        <w:tc>
          <w:tcPr>
            <w:tcW w:w="567" w:type="dxa"/>
            <w:vMerge/>
          </w:tcPr>
          <w:p w14:paraId="4034B579" w14:textId="77777777" w:rsidR="00454A29" w:rsidRDefault="00454A29"/>
        </w:tc>
        <w:tc>
          <w:tcPr>
            <w:tcW w:w="3345" w:type="dxa"/>
            <w:vMerge/>
          </w:tcPr>
          <w:p w14:paraId="4122AEA3" w14:textId="77777777" w:rsidR="00454A29" w:rsidRDefault="00454A29"/>
        </w:tc>
        <w:tc>
          <w:tcPr>
            <w:tcW w:w="1701" w:type="dxa"/>
            <w:vAlign w:val="center"/>
          </w:tcPr>
          <w:p w14:paraId="6A926839" w14:textId="77777777" w:rsidR="00454A29" w:rsidRDefault="00454A29">
            <w:pPr>
              <w:pStyle w:val="ConsPlusNormal"/>
              <w:jc w:val="center"/>
            </w:pPr>
            <w:r>
              <w:t>2025</w:t>
            </w:r>
          </w:p>
        </w:tc>
        <w:tc>
          <w:tcPr>
            <w:tcW w:w="1417" w:type="dxa"/>
            <w:vMerge/>
          </w:tcPr>
          <w:p w14:paraId="0DB537B7" w14:textId="77777777" w:rsidR="00454A29" w:rsidRDefault="00454A29"/>
        </w:tc>
        <w:tc>
          <w:tcPr>
            <w:tcW w:w="2204" w:type="dxa"/>
            <w:vMerge/>
          </w:tcPr>
          <w:p w14:paraId="7C271542" w14:textId="77777777" w:rsidR="00454A29" w:rsidRDefault="00454A29"/>
        </w:tc>
        <w:tc>
          <w:tcPr>
            <w:tcW w:w="1417" w:type="dxa"/>
            <w:vMerge/>
          </w:tcPr>
          <w:p w14:paraId="02678482" w14:textId="77777777" w:rsidR="00454A29" w:rsidRDefault="00454A29"/>
        </w:tc>
        <w:tc>
          <w:tcPr>
            <w:tcW w:w="2324" w:type="dxa"/>
            <w:vMerge/>
          </w:tcPr>
          <w:p w14:paraId="585328B2" w14:textId="77777777" w:rsidR="00454A29" w:rsidRDefault="00454A29"/>
        </w:tc>
        <w:tc>
          <w:tcPr>
            <w:tcW w:w="1701" w:type="dxa"/>
            <w:vAlign w:val="center"/>
          </w:tcPr>
          <w:p w14:paraId="094D1AB9" w14:textId="77777777" w:rsidR="00454A29" w:rsidRDefault="00454A29">
            <w:pPr>
              <w:pStyle w:val="ConsPlusNormal"/>
              <w:jc w:val="center"/>
            </w:pPr>
            <w:r>
              <w:t>-</w:t>
            </w:r>
          </w:p>
        </w:tc>
        <w:tc>
          <w:tcPr>
            <w:tcW w:w="1814" w:type="dxa"/>
            <w:vAlign w:val="center"/>
          </w:tcPr>
          <w:p w14:paraId="6E06DE75" w14:textId="77777777" w:rsidR="00454A29" w:rsidRDefault="00454A29">
            <w:pPr>
              <w:pStyle w:val="ConsPlusNormal"/>
            </w:pPr>
          </w:p>
        </w:tc>
        <w:tc>
          <w:tcPr>
            <w:tcW w:w="1701" w:type="dxa"/>
            <w:vAlign w:val="center"/>
          </w:tcPr>
          <w:p w14:paraId="189111A3" w14:textId="77777777" w:rsidR="00454A29" w:rsidRDefault="00454A29">
            <w:pPr>
              <w:pStyle w:val="ConsPlusNormal"/>
            </w:pPr>
          </w:p>
        </w:tc>
        <w:tc>
          <w:tcPr>
            <w:tcW w:w="1701" w:type="dxa"/>
            <w:vAlign w:val="center"/>
          </w:tcPr>
          <w:p w14:paraId="105E59AF" w14:textId="77777777" w:rsidR="00454A29" w:rsidRDefault="00454A29">
            <w:pPr>
              <w:pStyle w:val="ConsPlusNormal"/>
            </w:pPr>
          </w:p>
        </w:tc>
        <w:tc>
          <w:tcPr>
            <w:tcW w:w="1814" w:type="dxa"/>
            <w:vAlign w:val="center"/>
          </w:tcPr>
          <w:p w14:paraId="0EA33C49" w14:textId="77777777" w:rsidR="00454A29" w:rsidRDefault="00454A29">
            <w:pPr>
              <w:pStyle w:val="ConsPlusNormal"/>
            </w:pPr>
          </w:p>
        </w:tc>
      </w:tr>
      <w:tr w:rsidR="00454A29" w14:paraId="763155DA" w14:textId="77777777">
        <w:tc>
          <w:tcPr>
            <w:tcW w:w="567" w:type="dxa"/>
            <w:vMerge/>
          </w:tcPr>
          <w:p w14:paraId="394C2880" w14:textId="77777777" w:rsidR="00454A29" w:rsidRDefault="00454A29"/>
        </w:tc>
        <w:tc>
          <w:tcPr>
            <w:tcW w:w="3345" w:type="dxa"/>
            <w:vMerge/>
          </w:tcPr>
          <w:p w14:paraId="39BA8E3E" w14:textId="77777777" w:rsidR="00454A29" w:rsidRDefault="00454A29"/>
        </w:tc>
        <w:tc>
          <w:tcPr>
            <w:tcW w:w="1701" w:type="dxa"/>
            <w:vAlign w:val="center"/>
          </w:tcPr>
          <w:p w14:paraId="44EFAEE6" w14:textId="77777777" w:rsidR="00454A29" w:rsidRDefault="00454A29">
            <w:pPr>
              <w:pStyle w:val="ConsPlusNormal"/>
              <w:jc w:val="center"/>
            </w:pPr>
            <w:r>
              <w:t>2026</w:t>
            </w:r>
          </w:p>
        </w:tc>
        <w:tc>
          <w:tcPr>
            <w:tcW w:w="1417" w:type="dxa"/>
            <w:vMerge/>
          </w:tcPr>
          <w:p w14:paraId="3A15873F" w14:textId="77777777" w:rsidR="00454A29" w:rsidRDefault="00454A29"/>
        </w:tc>
        <w:tc>
          <w:tcPr>
            <w:tcW w:w="2204" w:type="dxa"/>
            <w:vMerge/>
          </w:tcPr>
          <w:p w14:paraId="66F23F9F" w14:textId="77777777" w:rsidR="00454A29" w:rsidRDefault="00454A29"/>
        </w:tc>
        <w:tc>
          <w:tcPr>
            <w:tcW w:w="1417" w:type="dxa"/>
            <w:vMerge/>
          </w:tcPr>
          <w:p w14:paraId="767F9864" w14:textId="77777777" w:rsidR="00454A29" w:rsidRDefault="00454A29"/>
        </w:tc>
        <w:tc>
          <w:tcPr>
            <w:tcW w:w="2324" w:type="dxa"/>
            <w:vMerge/>
          </w:tcPr>
          <w:p w14:paraId="1806282C" w14:textId="77777777" w:rsidR="00454A29" w:rsidRDefault="00454A29"/>
        </w:tc>
        <w:tc>
          <w:tcPr>
            <w:tcW w:w="1701" w:type="dxa"/>
            <w:vAlign w:val="center"/>
          </w:tcPr>
          <w:p w14:paraId="3F3FCC91" w14:textId="77777777" w:rsidR="00454A29" w:rsidRDefault="00454A29">
            <w:pPr>
              <w:pStyle w:val="ConsPlusNormal"/>
              <w:jc w:val="center"/>
            </w:pPr>
            <w:r>
              <w:t>-</w:t>
            </w:r>
          </w:p>
        </w:tc>
        <w:tc>
          <w:tcPr>
            <w:tcW w:w="1814" w:type="dxa"/>
            <w:vAlign w:val="center"/>
          </w:tcPr>
          <w:p w14:paraId="0D97B371" w14:textId="77777777" w:rsidR="00454A29" w:rsidRDefault="00454A29">
            <w:pPr>
              <w:pStyle w:val="ConsPlusNormal"/>
            </w:pPr>
          </w:p>
        </w:tc>
        <w:tc>
          <w:tcPr>
            <w:tcW w:w="1701" w:type="dxa"/>
            <w:vAlign w:val="center"/>
          </w:tcPr>
          <w:p w14:paraId="0FCBA496" w14:textId="77777777" w:rsidR="00454A29" w:rsidRDefault="00454A29">
            <w:pPr>
              <w:pStyle w:val="ConsPlusNormal"/>
            </w:pPr>
          </w:p>
        </w:tc>
        <w:tc>
          <w:tcPr>
            <w:tcW w:w="1701" w:type="dxa"/>
            <w:vAlign w:val="center"/>
          </w:tcPr>
          <w:p w14:paraId="1275BA41" w14:textId="77777777" w:rsidR="00454A29" w:rsidRDefault="00454A29">
            <w:pPr>
              <w:pStyle w:val="ConsPlusNormal"/>
            </w:pPr>
          </w:p>
        </w:tc>
        <w:tc>
          <w:tcPr>
            <w:tcW w:w="1814" w:type="dxa"/>
            <w:vAlign w:val="center"/>
          </w:tcPr>
          <w:p w14:paraId="49770616" w14:textId="77777777" w:rsidR="00454A29" w:rsidRDefault="00454A29">
            <w:pPr>
              <w:pStyle w:val="ConsPlusNormal"/>
            </w:pPr>
          </w:p>
        </w:tc>
      </w:tr>
      <w:tr w:rsidR="00454A29" w14:paraId="024D3F3B" w14:textId="77777777">
        <w:tc>
          <w:tcPr>
            <w:tcW w:w="567" w:type="dxa"/>
            <w:vMerge w:val="restart"/>
            <w:vAlign w:val="center"/>
          </w:tcPr>
          <w:p w14:paraId="5DB7808F" w14:textId="77777777" w:rsidR="00454A29" w:rsidRDefault="00454A29">
            <w:pPr>
              <w:pStyle w:val="ConsPlusNormal"/>
              <w:jc w:val="center"/>
            </w:pPr>
            <w:r>
              <w:t>119</w:t>
            </w:r>
          </w:p>
        </w:tc>
        <w:tc>
          <w:tcPr>
            <w:tcW w:w="3345" w:type="dxa"/>
            <w:vMerge w:val="restart"/>
            <w:vAlign w:val="center"/>
          </w:tcPr>
          <w:p w14:paraId="63CBCB3C" w14:textId="77777777" w:rsidR="00454A29" w:rsidRDefault="00454A29">
            <w:pPr>
              <w:pStyle w:val="ConsPlusNormal"/>
              <w:jc w:val="center"/>
            </w:pPr>
            <w:r>
              <w:t>Детский сад на 240 мест в квартале "Новопортовской"</w:t>
            </w:r>
          </w:p>
        </w:tc>
        <w:tc>
          <w:tcPr>
            <w:tcW w:w="1701" w:type="dxa"/>
            <w:vAlign w:val="center"/>
          </w:tcPr>
          <w:p w14:paraId="1C409C1C" w14:textId="77777777" w:rsidR="00454A29" w:rsidRDefault="00454A29">
            <w:pPr>
              <w:pStyle w:val="ConsPlusNormal"/>
              <w:jc w:val="center"/>
            </w:pPr>
            <w:r>
              <w:t>Всего:</w:t>
            </w:r>
          </w:p>
        </w:tc>
        <w:tc>
          <w:tcPr>
            <w:tcW w:w="1417" w:type="dxa"/>
            <w:vMerge w:val="restart"/>
            <w:vAlign w:val="center"/>
          </w:tcPr>
          <w:p w14:paraId="75B19371" w14:textId="77777777" w:rsidR="00454A29" w:rsidRDefault="00454A29">
            <w:pPr>
              <w:pStyle w:val="ConsPlusNormal"/>
              <w:jc w:val="center"/>
            </w:pPr>
            <w:r>
              <w:t>320 443,94</w:t>
            </w:r>
          </w:p>
        </w:tc>
        <w:tc>
          <w:tcPr>
            <w:tcW w:w="2204" w:type="dxa"/>
            <w:vMerge w:val="restart"/>
            <w:vAlign w:val="center"/>
          </w:tcPr>
          <w:p w14:paraId="38725BE0" w14:textId="77777777" w:rsidR="00454A29" w:rsidRDefault="00454A29">
            <w:pPr>
              <w:pStyle w:val="ConsPlusNormal"/>
            </w:pPr>
          </w:p>
        </w:tc>
        <w:tc>
          <w:tcPr>
            <w:tcW w:w="1417" w:type="dxa"/>
            <w:vMerge w:val="restart"/>
            <w:vAlign w:val="center"/>
          </w:tcPr>
          <w:p w14:paraId="163B63BD" w14:textId="77777777" w:rsidR="00454A29" w:rsidRDefault="00454A29">
            <w:pPr>
              <w:pStyle w:val="ConsPlusNormal"/>
              <w:jc w:val="center"/>
            </w:pPr>
            <w:r>
              <w:t>240</w:t>
            </w:r>
          </w:p>
        </w:tc>
        <w:tc>
          <w:tcPr>
            <w:tcW w:w="2324" w:type="dxa"/>
            <w:vMerge w:val="restart"/>
            <w:vAlign w:val="center"/>
          </w:tcPr>
          <w:p w14:paraId="7F6E0872" w14:textId="77777777" w:rsidR="00454A29" w:rsidRDefault="00454A29">
            <w:pPr>
              <w:pStyle w:val="ConsPlusNormal"/>
              <w:jc w:val="center"/>
            </w:pPr>
            <w:r>
              <w:t>Министерство строительства РС(Я)</w:t>
            </w:r>
          </w:p>
        </w:tc>
        <w:tc>
          <w:tcPr>
            <w:tcW w:w="1701" w:type="dxa"/>
            <w:vAlign w:val="center"/>
          </w:tcPr>
          <w:p w14:paraId="3B4705DC" w14:textId="77777777" w:rsidR="00454A29" w:rsidRDefault="00454A29">
            <w:pPr>
              <w:pStyle w:val="ConsPlusNormal"/>
              <w:jc w:val="center"/>
            </w:pPr>
            <w:r>
              <w:t>320 443,94</w:t>
            </w:r>
          </w:p>
        </w:tc>
        <w:tc>
          <w:tcPr>
            <w:tcW w:w="1814" w:type="dxa"/>
            <w:vAlign w:val="center"/>
          </w:tcPr>
          <w:p w14:paraId="2EB899EC" w14:textId="77777777" w:rsidR="00454A29" w:rsidRDefault="00454A29">
            <w:pPr>
              <w:pStyle w:val="ConsPlusNormal"/>
              <w:jc w:val="center"/>
            </w:pPr>
            <w:r>
              <w:t>3 204,44</w:t>
            </w:r>
          </w:p>
        </w:tc>
        <w:tc>
          <w:tcPr>
            <w:tcW w:w="1701" w:type="dxa"/>
            <w:vAlign w:val="center"/>
          </w:tcPr>
          <w:p w14:paraId="7AF5B3C5" w14:textId="77777777" w:rsidR="00454A29" w:rsidRDefault="00454A29">
            <w:pPr>
              <w:pStyle w:val="ConsPlusNormal"/>
              <w:jc w:val="center"/>
            </w:pPr>
            <w:r>
              <w:t>317 239,50</w:t>
            </w:r>
          </w:p>
        </w:tc>
        <w:tc>
          <w:tcPr>
            <w:tcW w:w="1701" w:type="dxa"/>
            <w:vAlign w:val="center"/>
          </w:tcPr>
          <w:p w14:paraId="3EFE7FE2" w14:textId="77777777" w:rsidR="00454A29" w:rsidRDefault="00454A29">
            <w:pPr>
              <w:pStyle w:val="ConsPlusNormal"/>
              <w:jc w:val="center"/>
            </w:pPr>
            <w:r>
              <w:t>-</w:t>
            </w:r>
          </w:p>
        </w:tc>
        <w:tc>
          <w:tcPr>
            <w:tcW w:w="1814" w:type="dxa"/>
            <w:vAlign w:val="center"/>
          </w:tcPr>
          <w:p w14:paraId="447CC98F" w14:textId="77777777" w:rsidR="00454A29" w:rsidRDefault="00454A29">
            <w:pPr>
              <w:pStyle w:val="ConsPlusNormal"/>
              <w:jc w:val="center"/>
            </w:pPr>
            <w:r>
              <w:t>-</w:t>
            </w:r>
          </w:p>
        </w:tc>
      </w:tr>
      <w:tr w:rsidR="00454A29" w14:paraId="3D3C4777" w14:textId="77777777">
        <w:tc>
          <w:tcPr>
            <w:tcW w:w="567" w:type="dxa"/>
            <w:vMerge/>
          </w:tcPr>
          <w:p w14:paraId="687F6A76" w14:textId="77777777" w:rsidR="00454A29" w:rsidRDefault="00454A29"/>
        </w:tc>
        <w:tc>
          <w:tcPr>
            <w:tcW w:w="3345" w:type="dxa"/>
            <w:vMerge/>
          </w:tcPr>
          <w:p w14:paraId="7B241B44" w14:textId="77777777" w:rsidR="00454A29" w:rsidRDefault="00454A29"/>
        </w:tc>
        <w:tc>
          <w:tcPr>
            <w:tcW w:w="1701" w:type="dxa"/>
            <w:vAlign w:val="center"/>
          </w:tcPr>
          <w:p w14:paraId="3336EDD9" w14:textId="77777777" w:rsidR="00454A29" w:rsidRDefault="00454A29">
            <w:pPr>
              <w:pStyle w:val="ConsPlusNormal"/>
              <w:jc w:val="center"/>
            </w:pPr>
            <w:r>
              <w:t>2020</w:t>
            </w:r>
          </w:p>
        </w:tc>
        <w:tc>
          <w:tcPr>
            <w:tcW w:w="1417" w:type="dxa"/>
            <w:vMerge/>
          </w:tcPr>
          <w:p w14:paraId="5D4F7845" w14:textId="77777777" w:rsidR="00454A29" w:rsidRDefault="00454A29"/>
        </w:tc>
        <w:tc>
          <w:tcPr>
            <w:tcW w:w="2204" w:type="dxa"/>
            <w:vMerge/>
          </w:tcPr>
          <w:p w14:paraId="4CC5D21F" w14:textId="77777777" w:rsidR="00454A29" w:rsidRDefault="00454A29"/>
        </w:tc>
        <w:tc>
          <w:tcPr>
            <w:tcW w:w="1417" w:type="dxa"/>
            <w:vMerge/>
          </w:tcPr>
          <w:p w14:paraId="5C1ACE0B" w14:textId="77777777" w:rsidR="00454A29" w:rsidRDefault="00454A29"/>
        </w:tc>
        <w:tc>
          <w:tcPr>
            <w:tcW w:w="2324" w:type="dxa"/>
            <w:vMerge/>
          </w:tcPr>
          <w:p w14:paraId="0B5F7396" w14:textId="77777777" w:rsidR="00454A29" w:rsidRDefault="00454A29"/>
        </w:tc>
        <w:tc>
          <w:tcPr>
            <w:tcW w:w="1701" w:type="dxa"/>
            <w:vAlign w:val="center"/>
          </w:tcPr>
          <w:p w14:paraId="67E1F112" w14:textId="77777777" w:rsidR="00454A29" w:rsidRDefault="00454A29">
            <w:pPr>
              <w:pStyle w:val="ConsPlusNormal"/>
              <w:jc w:val="center"/>
            </w:pPr>
            <w:r>
              <w:t>34 451,95</w:t>
            </w:r>
          </w:p>
        </w:tc>
        <w:tc>
          <w:tcPr>
            <w:tcW w:w="1814" w:type="dxa"/>
            <w:vAlign w:val="center"/>
          </w:tcPr>
          <w:p w14:paraId="61EA267D" w14:textId="77777777" w:rsidR="00454A29" w:rsidRDefault="00454A29">
            <w:pPr>
              <w:pStyle w:val="ConsPlusNormal"/>
              <w:jc w:val="center"/>
            </w:pPr>
            <w:r>
              <w:t>344,52</w:t>
            </w:r>
          </w:p>
        </w:tc>
        <w:tc>
          <w:tcPr>
            <w:tcW w:w="1701" w:type="dxa"/>
            <w:vAlign w:val="center"/>
          </w:tcPr>
          <w:p w14:paraId="6ED37947" w14:textId="77777777" w:rsidR="00454A29" w:rsidRDefault="00454A29">
            <w:pPr>
              <w:pStyle w:val="ConsPlusNormal"/>
              <w:jc w:val="center"/>
            </w:pPr>
            <w:r>
              <w:t>34 107,43</w:t>
            </w:r>
          </w:p>
        </w:tc>
        <w:tc>
          <w:tcPr>
            <w:tcW w:w="1701" w:type="dxa"/>
            <w:vAlign w:val="center"/>
          </w:tcPr>
          <w:p w14:paraId="41E079E6" w14:textId="77777777" w:rsidR="00454A29" w:rsidRDefault="00454A29">
            <w:pPr>
              <w:pStyle w:val="ConsPlusNormal"/>
              <w:jc w:val="center"/>
            </w:pPr>
            <w:r>
              <w:t>-</w:t>
            </w:r>
          </w:p>
        </w:tc>
        <w:tc>
          <w:tcPr>
            <w:tcW w:w="1814" w:type="dxa"/>
            <w:vAlign w:val="center"/>
          </w:tcPr>
          <w:p w14:paraId="5BB155FA" w14:textId="77777777" w:rsidR="00454A29" w:rsidRDefault="00454A29">
            <w:pPr>
              <w:pStyle w:val="ConsPlusNormal"/>
            </w:pPr>
          </w:p>
        </w:tc>
      </w:tr>
      <w:tr w:rsidR="00454A29" w14:paraId="73B44B4D" w14:textId="77777777">
        <w:tc>
          <w:tcPr>
            <w:tcW w:w="567" w:type="dxa"/>
            <w:vMerge/>
          </w:tcPr>
          <w:p w14:paraId="4C8E6C6F" w14:textId="77777777" w:rsidR="00454A29" w:rsidRDefault="00454A29"/>
        </w:tc>
        <w:tc>
          <w:tcPr>
            <w:tcW w:w="3345" w:type="dxa"/>
            <w:vMerge/>
          </w:tcPr>
          <w:p w14:paraId="0EE2ADC0" w14:textId="77777777" w:rsidR="00454A29" w:rsidRDefault="00454A29"/>
        </w:tc>
        <w:tc>
          <w:tcPr>
            <w:tcW w:w="1701" w:type="dxa"/>
            <w:vAlign w:val="center"/>
          </w:tcPr>
          <w:p w14:paraId="293066E8" w14:textId="77777777" w:rsidR="00454A29" w:rsidRDefault="00454A29">
            <w:pPr>
              <w:pStyle w:val="ConsPlusNormal"/>
              <w:jc w:val="center"/>
            </w:pPr>
            <w:r>
              <w:t>2021</w:t>
            </w:r>
          </w:p>
        </w:tc>
        <w:tc>
          <w:tcPr>
            <w:tcW w:w="1417" w:type="dxa"/>
            <w:vMerge/>
          </w:tcPr>
          <w:p w14:paraId="40E8A90C" w14:textId="77777777" w:rsidR="00454A29" w:rsidRDefault="00454A29"/>
        </w:tc>
        <w:tc>
          <w:tcPr>
            <w:tcW w:w="2204" w:type="dxa"/>
            <w:vMerge/>
          </w:tcPr>
          <w:p w14:paraId="38AA183D" w14:textId="77777777" w:rsidR="00454A29" w:rsidRDefault="00454A29"/>
        </w:tc>
        <w:tc>
          <w:tcPr>
            <w:tcW w:w="1417" w:type="dxa"/>
            <w:vMerge/>
          </w:tcPr>
          <w:p w14:paraId="70709EB2" w14:textId="77777777" w:rsidR="00454A29" w:rsidRDefault="00454A29"/>
        </w:tc>
        <w:tc>
          <w:tcPr>
            <w:tcW w:w="2324" w:type="dxa"/>
            <w:vMerge/>
          </w:tcPr>
          <w:p w14:paraId="2B84F7E5" w14:textId="77777777" w:rsidR="00454A29" w:rsidRDefault="00454A29"/>
        </w:tc>
        <w:tc>
          <w:tcPr>
            <w:tcW w:w="1701" w:type="dxa"/>
            <w:vAlign w:val="center"/>
          </w:tcPr>
          <w:p w14:paraId="2726CEF4" w14:textId="77777777" w:rsidR="00454A29" w:rsidRDefault="00454A29">
            <w:pPr>
              <w:pStyle w:val="ConsPlusNormal"/>
              <w:jc w:val="center"/>
            </w:pPr>
            <w:r>
              <w:t>285 991,99</w:t>
            </w:r>
          </w:p>
        </w:tc>
        <w:tc>
          <w:tcPr>
            <w:tcW w:w="1814" w:type="dxa"/>
            <w:vAlign w:val="center"/>
          </w:tcPr>
          <w:p w14:paraId="16DE3A6A" w14:textId="77777777" w:rsidR="00454A29" w:rsidRDefault="00454A29">
            <w:pPr>
              <w:pStyle w:val="ConsPlusNormal"/>
              <w:jc w:val="center"/>
            </w:pPr>
            <w:r>
              <w:t>2 859,92</w:t>
            </w:r>
          </w:p>
        </w:tc>
        <w:tc>
          <w:tcPr>
            <w:tcW w:w="1701" w:type="dxa"/>
            <w:vAlign w:val="center"/>
          </w:tcPr>
          <w:p w14:paraId="6673AAD4" w14:textId="77777777" w:rsidR="00454A29" w:rsidRDefault="00454A29">
            <w:pPr>
              <w:pStyle w:val="ConsPlusNormal"/>
              <w:jc w:val="center"/>
            </w:pPr>
            <w:r>
              <w:t>283 132,07</w:t>
            </w:r>
          </w:p>
        </w:tc>
        <w:tc>
          <w:tcPr>
            <w:tcW w:w="1701" w:type="dxa"/>
            <w:vAlign w:val="center"/>
          </w:tcPr>
          <w:p w14:paraId="7E6D7B4D" w14:textId="77777777" w:rsidR="00454A29" w:rsidRDefault="00454A29">
            <w:pPr>
              <w:pStyle w:val="ConsPlusNormal"/>
            </w:pPr>
          </w:p>
        </w:tc>
        <w:tc>
          <w:tcPr>
            <w:tcW w:w="1814" w:type="dxa"/>
            <w:vAlign w:val="center"/>
          </w:tcPr>
          <w:p w14:paraId="49203594" w14:textId="77777777" w:rsidR="00454A29" w:rsidRDefault="00454A29">
            <w:pPr>
              <w:pStyle w:val="ConsPlusNormal"/>
            </w:pPr>
          </w:p>
        </w:tc>
      </w:tr>
      <w:tr w:rsidR="00454A29" w14:paraId="60B31535" w14:textId="77777777">
        <w:tc>
          <w:tcPr>
            <w:tcW w:w="567" w:type="dxa"/>
            <w:vMerge/>
          </w:tcPr>
          <w:p w14:paraId="66B9AF53" w14:textId="77777777" w:rsidR="00454A29" w:rsidRDefault="00454A29"/>
        </w:tc>
        <w:tc>
          <w:tcPr>
            <w:tcW w:w="3345" w:type="dxa"/>
            <w:vMerge/>
          </w:tcPr>
          <w:p w14:paraId="7C87E1C9" w14:textId="77777777" w:rsidR="00454A29" w:rsidRDefault="00454A29"/>
        </w:tc>
        <w:tc>
          <w:tcPr>
            <w:tcW w:w="1701" w:type="dxa"/>
            <w:vAlign w:val="center"/>
          </w:tcPr>
          <w:p w14:paraId="03EDC5AC" w14:textId="77777777" w:rsidR="00454A29" w:rsidRDefault="00454A29">
            <w:pPr>
              <w:pStyle w:val="ConsPlusNormal"/>
              <w:jc w:val="center"/>
            </w:pPr>
            <w:r>
              <w:t>2022</w:t>
            </w:r>
          </w:p>
        </w:tc>
        <w:tc>
          <w:tcPr>
            <w:tcW w:w="1417" w:type="dxa"/>
            <w:vMerge/>
          </w:tcPr>
          <w:p w14:paraId="53C50F74" w14:textId="77777777" w:rsidR="00454A29" w:rsidRDefault="00454A29"/>
        </w:tc>
        <w:tc>
          <w:tcPr>
            <w:tcW w:w="2204" w:type="dxa"/>
            <w:vMerge/>
          </w:tcPr>
          <w:p w14:paraId="49EEC947" w14:textId="77777777" w:rsidR="00454A29" w:rsidRDefault="00454A29"/>
        </w:tc>
        <w:tc>
          <w:tcPr>
            <w:tcW w:w="1417" w:type="dxa"/>
            <w:vMerge/>
          </w:tcPr>
          <w:p w14:paraId="68AC9776" w14:textId="77777777" w:rsidR="00454A29" w:rsidRDefault="00454A29"/>
        </w:tc>
        <w:tc>
          <w:tcPr>
            <w:tcW w:w="2324" w:type="dxa"/>
            <w:vMerge/>
          </w:tcPr>
          <w:p w14:paraId="403B6E92" w14:textId="77777777" w:rsidR="00454A29" w:rsidRDefault="00454A29"/>
        </w:tc>
        <w:tc>
          <w:tcPr>
            <w:tcW w:w="1701" w:type="dxa"/>
            <w:vAlign w:val="center"/>
          </w:tcPr>
          <w:p w14:paraId="430DB5AC" w14:textId="77777777" w:rsidR="00454A29" w:rsidRDefault="00454A29">
            <w:pPr>
              <w:pStyle w:val="ConsPlusNormal"/>
              <w:jc w:val="center"/>
            </w:pPr>
            <w:r>
              <w:t>-</w:t>
            </w:r>
          </w:p>
        </w:tc>
        <w:tc>
          <w:tcPr>
            <w:tcW w:w="1814" w:type="dxa"/>
            <w:vAlign w:val="center"/>
          </w:tcPr>
          <w:p w14:paraId="7FFF7121" w14:textId="77777777" w:rsidR="00454A29" w:rsidRDefault="00454A29">
            <w:pPr>
              <w:pStyle w:val="ConsPlusNormal"/>
            </w:pPr>
          </w:p>
        </w:tc>
        <w:tc>
          <w:tcPr>
            <w:tcW w:w="1701" w:type="dxa"/>
            <w:vAlign w:val="center"/>
          </w:tcPr>
          <w:p w14:paraId="05A4038A" w14:textId="77777777" w:rsidR="00454A29" w:rsidRDefault="00454A29">
            <w:pPr>
              <w:pStyle w:val="ConsPlusNormal"/>
            </w:pPr>
          </w:p>
        </w:tc>
        <w:tc>
          <w:tcPr>
            <w:tcW w:w="1701" w:type="dxa"/>
            <w:vAlign w:val="center"/>
          </w:tcPr>
          <w:p w14:paraId="0028850D" w14:textId="77777777" w:rsidR="00454A29" w:rsidRDefault="00454A29">
            <w:pPr>
              <w:pStyle w:val="ConsPlusNormal"/>
            </w:pPr>
          </w:p>
        </w:tc>
        <w:tc>
          <w:tcPr>
            <w:tcW w:w="1814" w:type="dxa"/>
            <w:vAlign w:val="center"/>
          </w:tcPr>
          <w:p w14:paraId="2D84F4E1" w14:textId="77777777" w:rsidR="00454A29" w:rsidRDefault="00454A29">
            <w:pPr>
              <w:pStyle w:val="ConsPlusNormal"/>
            </w:pPr>
          </w:p>
        </w:tc>
      </w:tr>
      <w:tr w:rsidR="00454A29" w14:paraId="5BD98622" w14:textId="77777777">
        <w:tc>
          <w:tcPr>
            <w:tcW w:w="567" w:type="dxa"/>
            <w:vMerge/>
          </w:tcPr>
          <w:p w14:paraId="514186B1" w14:textId="77777777" w:rsidR="00454A29" w:rsidRDefault="00454A29"/>
        </w:tc>
        <w:tc>
          <w:tcPr>
            <w:tcW w:w="3345" w:type="dxa"/>
            <w:vMerge/>
          </w:tcPr>
          <w:p w14:paraId="59D9187B" w14:textId="77777777" w:rsidR="00454A29" w:rsidRDefault="00454A29"/>
        </w:tc>
        <w:tc>
          <w:tcPr>
            <w:tcW w:w="1701" w:type="dxa"/>
            <w:vAlign w:val="center"/>
          </w:tcPr>
          <w:p w14:paraId="788CFAE6" w14:textId="77777777" w:rsidR="00454A29" w:rsidRDefault="00454A29">
            <w:pPr>
              <w:pStyle w:val="ConsPlusNormal"/>
              <w:jc w:val="center"/>
            </w:pPr>
            <w:r>
              <w:t>2023</w:t>
            </w:r>
          </w:p>
        </w:tc>
        <w:tc>
          <w:tcPr>
            <w:tcW w:w="1417" w:type="dxa"/>
            <w:vMerge/>
          </w:tcPr>
          <w:p w14:paraId="5382500D" w14:textId="77777777" w:rsidR="00454A29" w:rsidRDefault="00454A29"/>
        </w:tc>
        <w:tc>
          <w:tcPr>
            <w:tcW w:w="2204" w:type="dxa"/>
            <w:vMerge/>
          </w:tcPr>
          <w:p w14:paraId="4945DE5C" w14:textId="77777777" w:rsidR="00454A29" w:rsidRDefault="00454A29"/>
        </w:tc>
        <w:tc>
          <w:tcPr>
            <w:tcW w:w="1417" w:type="dxa"/>
            <w:vMerge/>
          </w:tcPr>
          <w:p w14:paraId="18704EE2" w14:textId="77777777" w:rsidR="00454A29" w:rsidRDefault="00454A29"/>
        </w:tc>
        <w:tc>
          <w:tcPr>
            <w:tcW w:w="2324" w:type="dxa"/>
            <w:vMerge/>
          </w:tcPr>
          <w:p w14:paraId="278EF750" w14:textId="77777777" w:rsidR="00454A29" w:rsidRDefault="00454A29"/>
        </w:tc>
        <w:tc>
          <w:tcPr>
            <w:tcW w:w="1701" w:type="dxa"/>
            <w:vAlign w:val="center"/>
          </w:tcPr>
          <w:p w14:paraId="32B28F48" w14:textId="77777777" w:rsidR="00454A29" w:rsidRDefault="00454A29">
            <w:pPr>
              <w:pStyle w:val="ConsPlusNormal"/>
              <w:jc w:val="center"/>
            </w:pPr>
            <w:r>
              <w:t>-</w:t>
            </w:r>
          </w:p>
        </w:tc>
        <w:tc>
          <w:tcPr>
            <w:tcW w:w="1814" w:type="dxa"/>
            <w:vAlign w:val="center"/>
          </w:tcPr>
          <w:p w14:paraId="072F811F" w14:textId="77777777" w:rsidR="00454A29" w:rsidRDefault="00454A29">
            <w:pPr>
              <w:pStyle w:val="ConsPlusNormal"/>
            </w:pPr>
          </w:p>
        </w:tc>
        <w:tc>
          <w:tcPr>
            <w:tcW w:w="1701" w:type="dxa"/>
            <w:vAlign w:val="center"/>
          </w:tcPr>
          <w:p w14:paraId="44792C12" w14:textId="77777777" w:rsidR="00454A29" w:rsidRDefault="00454A29">
            <w:pPr>
              <w:pStyle w:val="ConsPlusNormal"/>
            </w:pPr>
          </w:p>
        </w:tc>
        <w:tc>
          <w:tcPr>
            <w:tcW w:w="1701" w:type="dxa"/>
            <w:vAlign w:val="center"/>
          </w:tcPr>
          <w:p w14:paraId="779C9603" w14:textId="77777777" w:rsidR="00454A29" w:rsidRDefault="00454A29">
            <w:pPr>
              <w:pStyle w:val="ConsPlusNormal"/>
            </w:pPr>
          </w:p>
        </w:tc>
        <w:tc>
          <w:tcPr>
            <w:tcW w:w="1814" w:type="dxa"/>
            <w:vAlign w:val="center"/>
          </w:tcPr>
          <w:p w14:paraId="4D33EB5F" w14:textId="77777777" w:rsidR="00454A29" w:rsidRDefault="00454A29">
            <w:pPr>
              <w:pStyle w:val="ConsPlusNormal"/>
            </w:pPr>
          </w:p>
        </w:tc>
      </w:tr>
      <w:tr w:rsidR="00454A29" w14:paraId="73088D64" w14:textId="77777777">
        <w:tc>
          <w:tcPr>
            <w:tcW w:w="567" w:type="dxa"/>
            <w:vMerge/>
          </w:tcPr>
          <w:p w14:paraId="42FBB266" w14:textId="77777777" w:rsidR="00454A29" w:rsidRDefault="00454A29"/>
        </w:tc>
        <w:tc>
          <w:tcPr>
            <w:tcW w:w="3345" w:type="dxa"/>
            <w:vMerge/>
          </w:tcPr>
          <w:p w14:paraId="4CF7CA0C" w14:textId="77777777" w:rsidR="00454A29" w:rsidRDefault="00454A29"/>
        </w:tc>
        <w:tc>
          <w:tcPr>
            <w:tcW w:w="1701" w:type="dxa"/>
            <w:vAlign w:val="center"/>
          </w:tcPr>
          <w:p w14:paraId="590F03C7" w14:textId="77777777" w:rsidR="00454A29" w:rsidRDefault="00454A29">
            <w:pPr>
              <w:pStyle w:val="ConsPlusNormal"/>
              <w:jc w:val="center"/>
            </w:pPr>
            <w:r>
              <w:t>2024</w:t>
            </w:r>
          </w:p>
        </w:tc>
        <w:tc>
          <w:tcPr>
            <w:tcW w:w="1417" w:type="dxa"/>
            <w:vMerge/>
          </w:tcPr>
          <w:p w14:paraId="3010C5D5" w14:textId="77777777" w:rsidR="00454A29" w:rsidRDefault="00454A29"/>
        </w:tc>
        <w:tc>
          <w:tcPr>
            <w:tcW w:w="2204" w:type="dxa"/>
            <w:vMerge/>
          </w:tcPr>
          <w:p w14:paraId="0E823C5F" w14:textId="77777777" w:rsidR="00454A29" w:rsidRDefault="00454A29"/>
        </w:tc>
        <w:tc>
          <w:tcPr>
            <w:tcW w:w="1417" w:type="dxa"/>
            <w:vMerge/>
          </w:tcPr>
          <w:p w14:paraId="3552C0A2" w14:textId="77777777" w:rsidR="00454A29" w:rsidRDefault="00454A29"/>
        </w:tc>
        <w:tc>
          <w:tcPr>
            <w:tcW w:w="2324" w:type="dxa"/>
            <w:vMerge/>
          </w:tcPr>
          <w:p w14:paraId="42B4E290" w14:textId="77777777" w:rsidR="00454A29" w:rsidRDefault="00454A29"/>
        </w:tc>
        <w:tc>
          <w:tcPr>
            <w:tcW w:w="1701" w:type="dxa"/>
            <w:vAlign w:val="center"/>
          </w:tcPr>
          <w:p w14:paraId="306494BE" w14:textId="77777777" w:rsidR="00454A29" w:rsidRDefault="00454A29">
            <w:pPr>
              <w:pStyle w:val="ConsPlusNormal"/>
              <w:jc w:val="center"/>
            </w:pPr>
            <w:r>
              <w:t>-</w:t>
            </w:r>
          </w:p>
        </w:tc>
        <w:tc>
          <w:tcPr>
            <w:tcW w:w="1814" w:type="dxa"/>
            <w:vAlign w:val="center"/>
          </w:tcPr>
          <w:p w14:paraId="1DAAFC1E" w14:textId="77777777" w:rsidR="00454A29" w:rsidRDefault="00454A29">
            <w:pPr>
              <w:pStyle w:val="ConsPlusNormal"/>
            </w:pPr>
          </w:p>
        </w:tc>
        <w:tc>
          <w:tcPr>
            <w:tcW w:w="1701" w:type="dxa"/>
            <w:vAlign w:val="center"/>
          </w:tcPr>
          <w:p w14:paraId="4396BC20" w14:textId="77777777" w:rsidR="00454A29" w:rsidRDefault="00454A29">
            <w:pPr>
              <w:pStyle w:val="ConsPlusNormal"/>
            </w:pPr>
          </w:p>
        </w:tc>
        <w:tc>
          <w:tcPr>
            <w:tcW w:w="1701" w:type="dxa"/>
            <w:vAlign w:val="center"/>
          </w:tcPr>
          <w:p w14:paraId="08BBFE6E" w14:textId="77777777" w:rsidR="00454A29" w:rsidRDefault="00454A29">
            <w:pPr>
              <w:pStyle w:val="ConsPlusNormal"/>
            </w:pPr>
          </w:p>
        </w:tc>
        <w:tc>
          <w:tcPr>
            <w:tcW w:w="1814" w:type="dxa"/>
            <w:vAlign w:val="center"/>
          </w:tcPr>
          <w:p w14:paraId="2F1C7D88" w14:textId="77777777" w:rsidR="00454A29" w:rsidRDefault="00454A29">
            <w:pPr>
              <w:pStyle w:val="ConsPlusNormal"/>
            </w:pPr>
          </w:p>
        </w:tc>
      </w:tr>
      <w:tr w:rsidR="00454A29" w14:paraId="49D52EE4" w14:textId="77777777">
        <w:tc>
          <w:tcPr>
            <w:tcW w:w="567" w:type="dxa"/>
            <w:vMerge/>
          </w:tcPr>
          <w:p w14:paraId="2A251E01" w14:textId="77777777" w:rsidR="00454A29" w:rsidRDefault="00454A29"/>
        </w:tc>
        <w:tc>
          <w:tcPr>
            <w:tcW w:w="3345" w:type="dxa"/>
            <w:vMerge/>
          </w:tcPr>
          <w:p w14:paraId="6CFCDCC2" w14:textId="77777777" w:rsidR="00454A29" w:rsidRDefault="00454A29"/>
        </w:tc>
        <w:tc>
          <w:tcPr>
            <w:tcW w:w="1701" w:type="dxa"/>
            <w:vAlign w:val="center"/>
          </w:tcPr>
          <w:p w14:paraId="3BADFADC" w14:textId="77777777" w:rsidR="00454A29" w:rsidRDefault="00454A29">
            <w:pPr>
              <w:pStyle w:val="ConsPlusNormal"/>
              <w:jc w:val="center"/>
            </w:pPr>
            <w:r>
              <w:t>2025</w:t>
            </w:r>
          </w:p>
        </w:tc>
        <w:tc>
          <w:tcPr>
            <w:tcW w:w="1417" w:type="dxa"/>
            <w:vMerge/>
          </w:tcPr>
          <w:p w14:paraId="1C7D917B" w14:textId="77777777" w:rsidR="00454A29" w:rsidRDefault="00454A29"/>
        </w:tc>
        <w:tc>
          <w:tcPr>
            <w:tcW w:w="2204" w:type="dxa"/>
            <w:vMerge/>
          </w:tcPr>
          <w:p w14:paraId="1842E112" w14:textId="77777777" w:rsidR="00454A29" w:rsidRDefault="00454A29"/>
        </w:tc>
        <w:tc>
          <w:tcPr>
            <w:tcW w:w="1417" w:type="dxa"/>
            <w:vMerge/>
          </w:tcPr>
          <w:p w14:paraId="58C12AA8" w14:textId="77777777" w:rsidR="00454A29" w:rsidRDefault="00454A29"/>
        </w:tc>
        <w:tc>
          <w:tcPr>
            <w:tcW w:w="2324" w:type="dxa"/>
            <w:vMerge/>
          </w:tcPr>
          <w:p w14:paraId="058E54F0" w14:textId="77777777" w:rsidR="00454A29" w:rsidRDefault="00454A29"/>
        </w:tc>
        <w:tc>
          <w:tcPr>
            <w:tcW w:w="1701" w:type="dxa"/>
            <w:vAlign w:val="center"/>
          </w:tcPr>
          <w:p w14:paraId="405D2FDD" w14:textId="77777777" w:rsidR="00454A29" w:rsidRDefault="00454A29">
            <w:pPr>
              <w:pStyle w:val="ConsPlusNormal"/>
              <w:jc w:val="center"/>
            </w:pPr>
            <w:r>
              <w:t>-</w:t>
            </w:r>
          </w:p>
        </w:tc>
        <w:tc>
          <w:tcPr>
            <w:tcW w:w="1814" w:type="dxa"/>
            <w:vAlign w:val="center"/>
          </w:tcPr>
          <w:p w14:paraId="5201FF5C" w14:textId="77777777" w:rsidR="00454A29" w:rsidRDefault="00454A29">
            <w:pPr>
              <w:pStyle w:val="ConsPlusNormal"/>
            </w:pPr>
          </w:p>
        </w:tc>
        <w:tc>
          <w:tcPr>
            <w:tcW w:w="1701" w:type="dxa"/>
            <w:vAlign w:val="center"/>
          </w:tcPr>
          <w:p w14:paraId="31AE509A" w14:textId="77777777" w:rsidR="00454A29" w:rsidRDefault="00454A29">
            <w:pPr>
              <w:pStyle w:val="ConsPlusNormal"/>
            </w:pPr>
          </w:p>
        </w:tc>
        <w:tc>
          <w:tcPr>
            <w:tcW w:w="1701" w:type="dxa"/>
            <w:vAlign w:val="center"/>
          </w:tcPr>
          <w:p w14:paraId="0756F82B" w14:textId="77777777" w:rsidR="00454A29" w:rsidRDefault="00454A29">
            <w:pPr>
              <w:pStyle w:val="ConsPlusNormal"/>
            </w:pPr>
          </w:p>
        </w:tc>
        <w:tc>
          <w:tcPr>
            <w:tcW w:w="1814" w:type="dxa"/>
            <w:vAlign w:val="center"/>
          </w:tcPr>
          <w:p w14:paraId="2E7B4364" w14:textId="77777777" w:rsidR="00454A29" w:rsidRDefault="00454A29">
            <w:pPr>
              <w:pStyle w:val="ConsPlusNormal"/>
            </w:pPr>
          </w:p>
        </w:tc>
      </w:tr>
      <w:tr w:rsidR="00454A29" w14:paraId="1C4A5042" w14:textId="77777777">
        <w:tc>
          <w:tcPr>
            <w:tcW w:w="567" w:type="dxa"/>
            <w:vMerge/>
          </w:tcPr>
          <w:p w14:paraId="1274B952" w14:textId="77777777" w:rsidR="00454A29" w:rsidRDefault="00454A29"/>
        </w:tc>
        <w:tc>
          <w:tcPr>
            <w:tcW w:w="3345" w:type="dxa"/>
            <w:vMerge/>
          </w:tcPr>
          <w:p w14:paraId="22F6461F" w14:textId="77777777" w:rsidR="00454A29" w:rsidRDefault="00454A29"/>
        </w:tc>
        <w:tc>
          <w:tcPr>
            <w:tcW w:w="1701" w:type="dxa"/>
            <w:vAlign w:val="center"/>
          </w:tcPr>
          <w:p w14:paraId="5CECEA1A" w14:textId="77777777" w:rsidR="00454A29" w:rsidRDefault="00454A29">
            <w:pPr>
              <w:pStyle w:val="ConsPlusNormal"/>
              <w:jc w:val="center"/>
            </w:pPr>
            <w:r>
              <w:t>2026</w:t>
            </w:r>
          </w:p>
        </w:tc>
        <w:tc>
          <w:tcPr>
            <w:tcW w:w="1417" w:type="dxa"/>
            <w:vMerge/>
          </w:tcPr>
          <w:p w14:paraId="07DDD54B" w14:textId="77777777" w:rsidR="00454A29" w:rsidRDefault="00454A29"/>
        </w:tc>
        <w:tc>
          <w:tcPr>
            <w:tcW w:w="2204" w:type="dxa"/>
            <w:vMerge/>
          </w:tcPr>
          <w:p w14:paraId="644C5CA9" w14:textId="77777777" w:rsidR="00454A29" w:rsidRDefault="00454A29"/>
        </w:tc>
        <w:tc>
          <w:tcPr>
            <w:tcW w:w="1417" w:type="dxa"/>
            <w:vMerge/>
          </w:tcPr>
          <w:p w14:paraId="608BA4FF" w14:textId="77777777" w:rsidR="00454A29" w:rsidRDefault="00454A29"/>
        </w:tc>
        <w:tc>
          <w:tcPr>
            <w:tcW w:w="2324" w:type="dxa"/>
            <w:vMerge/>
          </w:tcPr>
          <w:p w14:paraId="6845B02A" w14:textId="77777777" w:rsidR="00454A29" w:rsidRDefault="00454A29"/>
        </w:tc>
        <w:tc>
          <w:tcPr>
            <w:tcW w:w="1701" w:type="dxa"/>
            <w:vAlign w:val="center"/>
          </w:tcPr>
          <w:p w14:paraId="548419D1" w14:textId="77777777" w:rsidR="00454A29" w:rsidRDefault="00454A29">
            <w:pPr>
              <w:pStyle w:val="ConsPlusNormal"/>
              <w:jc w:val="center"/>
            </w:pPr>
            <w:r>
              <w:t>-</w:t>
            </w:r>
          </w:p>
        </w:tc>
        <w:tc>
          <w:tcPr>
            <w:tcW w:w="1814" w:type="dxa"/>
            <w:vAlign w:val="center"/>
          </w:tcPr>
          <w:p w14:paraId="6ADF499B" w14:textId="77777777" w:rsidR="00454A29" w:rsidRDefault="00454A29">
            <w:pPr>
              <w:pStyle w:val="ConsPlusNormal"/>
            </w:pPr>
          </w:p>
        </w:tc>
        <w:tc>
          <w:tcPr>
            <w:tcW w:w="1701" w:type="dxa"/>
            <w:vAlign w:val="center"/>
          </w:tcPr>
          <w:p w14:paraId="1317A19E" w14:textId="77777777" w:rsidR="00454A29" w:rsidRDefault="00454A29">
            <w:pPr>
              <w:pStyle w:val="ConsPlusNormal"/>
            </w:pPr>
          </w:p>
        </w:tc>
        <w:tc>
          <w:tcPr>
            <w:tcW w:w="1701" w:type="dxa"/>
            <w:vAlign w:val="center"/>
          </w:tcPr>
          <w:p w14:paraId="0C9FE9DE" w14:textId="77777777" w:rsidR="00454A29" w:rsidRDefault="00454A29">
            <w:pPr>
              <w:pStyle w:val="ConsPlusNormal"/>
            </w:pPr>
          </w:p>
        </w:tc>
        <w:tc>
          <w:tcPr>
            <w:tcW w:w="1814" w:type="dxa"/>
            <w:vAlign w:val="center"/>
          </w:tcPr>
          <w:p w14:paraId="6DDB975A" w14:textId="77777777" w:rsidR="00454A29" w:rsidRDefault="00454A29">
            <w:pPr>
              <w:pStyle w:val="ConsPlusNormal"/>
            </w:pPr>
          </w:p>
        </w:tc>
      </w:tr>
      <w:tr w:rsidR="00454A29" w14:paraId="2EECB6A8" w14:textId="77777777">
        <w:tc>
          <w:tcPr>
            <w:tcW w:w="567" w:type="dxa"/>
            <w:vMerge w:val="restart"/>
            <w:vAlign w:val="center"/>
          </w:tcPr>
          <w:p w14:paraId="69F5B17E" w14:textId="77777777" w:rsidR="00454A29" w:rsidRDefault="00454A29">
            <w:pPr>
              <w:pStyle w:val="ConsPlusNormal"/>
              <w:jc w:val="center"/>
            </w:pPr>
            <w:r>
              <w:t>120</w:t>
            </w:r>
          </w:p>
        </w:tc>
        <w:tc>
          <w:tcPr>
            <w:tcW w:w="3345" w:type="dxa"/>
            <w:vMerge w:val="restart"/>
            <w:vAlign w:val="center"/>
          </w:tcPr>
          <w:p w14:paraId="11A70D7C" w14:textId="77777777" w:rsidR="00454A29" w:rsidRDefault="00454A29">
            <w:pPr>
              <w:pStyle w:val="ConsPlusNormal"/>
              <w:jc w:val="center"/>
            </w:pPr>
            <w:r>
              <w:t>Детский сад на 240 мест в с. Сунтар Сунтарского улуса</w:t>
            </w:r>
          </w:p>
        </w:tc>
        <w:tc>
          <w:tcPr>
            <w:tcW w:w="1701" w:type="dxa"/>
            <w:vAlign w:val="center"/>
          </w:tcPr>
          <w:p w14:paraId="50BD184D" w14:textId="77777777" w:rsidR="00454A29" w:rsidRDefault="00454A29">
            <w:pPr>
              <w:pStyle w:val="ConsPlusNormal"/>
              <w:jc w:val="center"/>
            </w:pPr>
            <w:r>
              <w:t>Всего:</w:t>
            </w:r>
          </w:p>
        </w:tc>
        <w:tc>
          <w:tcPr>
            <w:tcW w:w="1417" w:type="dxa"/>
            <w:vMerge w:val="restart"/>
            <w:vAlign w:val="center"/>
          </w:tcPr>
          <w:p w14:paraId="015A1C0A" w14:textId="77777777" w:rsidR="00454A29" w:rsidRDefault="00454A29">
            <w:pPr>
              <w:pStyle w:val="ConsPlusNormal"/>
              <w:jc w:val="center"/>
            </w:pPr>
            <w:r>
              <w:t>121 886,84</w:t>
            </w:r>
          </w:p>
        </w:tc>
        <w:tc>
          <w:tcPr>
            <w:tcW w:w="2204" w:type="dxa"/>
            <w:vMerge w:val="restart"/>
            <w:vAlign w:val="center"/>
          </w:tcPr>
          <w:p w14:paraId="78F26BD8" w14:textId="77777777" w:rsidR="00454A29" w:rsidRDefault="00454A29">
            <w:pPr>
              <w:pStyle w:val="ConsPlusNormal"/>
            </w:pPr>
          </w:p>
        </w:tc>
        <w:tc>
          <w:tcPr>
            <w:tcW w:w="1417" w:type="dxa"/>
            <w:vMerge w:val="restart"/>
            <w:vAlign w:val="center"/>
          </w:tcPr>
          <w:p w14:paraId="072030DD" w14:textId="77777777" w:rsidR="00454A29" w:rsidRDefault="00454A29">
            <w:pPr>
              <w:pStyle w:val="ConsPlusNormal"/>
              <w:jc w:val="center"/>
            </w:pPr>
            <w:r>
              <w:t>240</w:t>
            </w:r>
          </w:p>
        </w:tc>
        <w:tc>
          <w:tcPr>
            <w:tcW w:w="2324" w:type="dxa"/>
            <w:vMerge w:val="restart"/>
            <w:vAlign w:val="center"/>
          </w:tcPr>
          <w:p w14:paraId="78FF42CF" w14:textId="77777777" w:rsidR="00454A29" w:rsidRDefault="00454A29">
            <w:pPr>
              <w:pStyle w:val="ConsPlusNormal"/>
              <w:jc w:val="center"/>
            </w:pPr>
            <w:r>
              <w:t>Министерство строительства РС(Я)</w:t>
            </w:r>
          </w:p>
        </w:tc>
        <w:tc>
          <w:tcPr>
            <w:tcW w:w="1701" w:type="dxa"/>
            <w:vAlign w:val="center"/>
          </w:tcPr>
          <w:p w14:paraId="73B2E5B3" w14:textId="77777777" w:rsidR="00454A29" w:rsidRDefault="00454A29">
            <w:pPr>
              <w:pStyle w:val="ConsPlusNormal"/>
              <w:jc w:val="center"/>
            </w:pPr>
            <w:r>
              <w:t>121 886,84</w:t>
            </w:r>
          </w:p>
        </w:tc>
        <w:tc>
          <w:tcPr>
            <w:tcW w:w="1814" w:type="dxa"/>
            <w:vAlign w:val="center"/>
          </w:tcPr>
          <w:p w14:paraId="3122F073" w14:textId="77777777" w:rsidR="00454A29" w:rsidRDefault="00454A29">
            <w:pPr>
              <w:pStyle w:val="ConsPlusNormal"/>
              <w:jc w:val="center"/>
            </w:pPr>
            <w:r>
              <w:t>-</w:t>
            </w:r>
          </w:p>
        </w:tc>
        <w:tc>
          <w:tcPr>
            <w:tcW w:w="1701" w:type="dxa"/>
            <w:vAlign w:val="center"/>
          </w:tcPr>
          <w:p w14:paraId="246F3F53" w14:textId="77777777" w:rsidR="00454A29" w:rsidRDefault="00454A29">
            <w:pPr>
              <w:pStyle w:val="ConsPlusNormal"/>
              <w:jc w:val="center"/>
            </w:pPr>
            <w:r>
              <w:t>120 655,78</w:t>
            </w:r>
          </w:p>
        </w:tc>
        <w:tc>
          <w:tcPr>
            <w:tcW w:w="1701" w:type="dxa"/>
            <w:vAlign w:val="center"/>
          </w:tcPr>
          <w:p w14:paraId="5ADD1AEF" w14:textId="77777777" w:rsidR="00454A29" w:rsidRDefault="00454A29">
            <w:pPr>
              <w:pStyle w:val="ConsPlusNormal"/>
              <w:jc w:val="center"/>
            </w:pPr>
            <w:r>
              <w:t>1 231,06</w:t>
            </w:r>
          </w:p>
        </w:tc>
        <w:tc>
          <w:tcPr>
            <w:tcW w:w="1814" w:type="dxa"/>
            <w:vAlign w:val="center"/>
          </w:tcPr>
          <w:p w14:paraId="6F5F1D1C" w14:textId="77777777" w:rsidR="00454A29" w:rsidRDefault="00454A29">
            <w:pPr>
              <w:pStyle w:val="ConsPlusNormal"/>
              <w:jc w:val="center"/>
            </w:pPr>
            <w:r>
              <w:t>-</w:t>
            </w:r>
          </w:p>
        </w:tc>
      </w:tr>
      <w:tr w:rsidR="00454A29" w14:paraId="22C579D0" w14:textId="77777777">
        <w:tc>
          <w:tcPr>
            <w:tcW w:w="567" w:type="dxa"/>
            <w:vMerge/>
          </w:tcPr>
          <w:p w14:paraId="4A280BB2" w14:textId="77777777" w:rsidR="00454A29" w:rsidRDefault="00454A29"/>
        </w:tc>
        <w:tc>
          <w:tcPr>
            <w:tcW w:w="3345" w:type="dxa"/>
            <w:vMerge/>
          </w:tcPr>
          <w:p w14:paraId="7D557C22" w14:textId="77777777" w:rsidR="00454A29" w:rsidRDefault="00454A29"/>
        </w:tc>
        <w:tc>
          <w:tcPr>
            <w:tcW w:w="1701" w:type="dxa"/>
            <w:vAlign w:val="center"/>
          </w:tcPr>
          <w:p w14:paraId="538827B3" w14:textId="77777777" w:rsidR="00454A29" w:rsidRDefault="00454A29">
            <w:pPr>
              <w:pStyle w:val="ConsPlusNormal"/>
              <w:jc w:val="center"/>
            </w:pPr>
            <w:r>
              <w:t>2020</w:t>
            </w:r>
          </w:p>
        </w:tc>
        <w:tc>
          <w:tcPr>
            <w:tcW w:w="1417" w:type="dxa"/>
            <w:vMerge/>
          </w:tcPr>
          <w:p w14:paraId="2967E7E7" w14:textId="77777777" w:rsidR="00454A29" w:rsidRDefault="00454A29"/>
        </w:tc>
        <w:tc>
          <w:tcPr>
            <w:tcW w:w="2204" w:type="dxa"/>
            <w:vMerge/>
          </w:tcPr>
          <w:p w14:paraId="123855A6" w14:textId="77777777" w:rsidR="00454A29" w:rsidRDefault="00454A29"/>
        </w:tc>
        <w:tc>
          <w:tcPr>
            <w:tcW w:w="1417" w:type="dxa"/>
            <w:vMerge/>
          </w:tcPr>
          <w:p w14:paraId="163A74C9" w14:textId="77777777" w:rsidR="00454A29" w:rsidRDefault="00454A29"/>
        </w:tc>
        <w:tc>
          <w:tcPr>
            <w:tcW w:w="2324" w:type="dxa"/>
            <w:vMerge/>
          </w:tcPr>
          <w:p w14:paraId="5B9EEE54" w14:textId="77777777" w:rsidR="00454A29" w:rsidRDefault="00454A29"/>
        </w:tc>
        <w:tc>
          <w:tcPr>
            <w:tcW w:w="1701" w:type="dxa"/>
            <w:vAlign w:val="center"/>
          </w:tcPr>
          <w:p w14:paraId="7B29E5E7" w14:textId="77777777" w:rsidR="00454A29" w:rsidRDefault="00454A29">
            <w:pPr>
              <w:pStyle w:val="ConsPlusNormal"/>
              <w:jc w:val="center"/>
            </w:pPr>
            <w:r>
              <w:t>121 886,84</w:t>
            </w:r>
          </w:p>
        </w:tc>
        <w:tc>
          <w:tcPr>
            <w:tcW w:w="1814" w:type="dxa"/>
            <w:vAlign w:val="center"/>
          </w:tcPr>
          <w:p w14:paraId="1165C382" w14:textId="77777777" w:rsidR="00454A29" w:rsidRDefault="00454A29">
            <w:pPr>
              <w:pStyle w:val="ConsPlusNormal"/>
            </w:pPr>
          </w:p>
        </w:tc>
        <w:tc>
          <w:tcPr>
            <w:tcW w:w="1701" w:type="dxa"/>
            <w:vAlign w:val="center"/>
          </w:tcPr>
          <w:p w14:paraId="080A1DFC" w14:textId="77777777" w:rsidR="00454A29" w:rsidRDefault="00454A29">
            <w:pPr>
              <w:pStyle w:val="ConsPlusNormal"/>
              <w:jc w:val="center"/>
            </w:pPr>
            <w:r>
              <w:t>120 655,78</w:t>
            </w:r>
          </w:p>
        </w:tc>
        <w:tc>
          <w:tcPr>
            <w:tcW w:w="1701" w:type="dxa"/>
            <w:vAlign w:val="center"/>
          </w:tcPr>
          <w:p w14:paraId="072CF22A" w14:textId="77777777" w:rsidR="00454A29" w:rsidRDefault="00454A29">
            <w:pPr>
              <w:pStyle w:val="ConsPlusNormal"/>
              <w:jc w:val="center"/>
            </w:pPr>
            <w:r>
              <w:t>1 231,06</w:t>
            </w:r>
          </w:p>
        </w:tc>
        <w:tc>
          <w:tcPr>
            <w:tcW w:w="1814" w:type="dxa"/>
            <w:vAlign w:val="center"/>
          </w:tcPr>
          <w:p w14:paraId="6252EFC6" w14:textId="77777777" w:rsidR="00454A29" w:rsidRDefault="00454A29">
            <w:pPr>
              <w:pStyle w:val="ConsPlusNormal"/>
            </w:pPr>
          </w:p>
        </w:tc>
      </w:tr>
      <w:tr w:rsidR="00454A29" w14:paraId="6D6F9F83" w14:textId="77777777">
        <w:tc>
          <w:tcPr>
            <w:tcW w:w="567" w:type="dxa"/>
            <w:vMerge/>
          </w:tcPr>
          <w:p w14:paraId="0CDEF636" w14:textId="77777777" w:rsidR="00454A29" w:rsidRDefault="00454A29"/>
        </w:tc>
        <w:tc>
          <w:tcPr>
            <w:tcW w:w="3345" w:type="dxa"/>
            <w:vMerge/>
          </w:tcPr>
          <w:p w14:paraId="60981A55" w14:textId="77777777" w:rsidR="00454A29" w:rsidRDefault="00454A29"/>
        </w:tc>
        <w:tc>
          <w:tcPr>
            <w:tcW w:w="1701" w:type="dxa"/>
            <w:vAlign w:val="center"/>
          </w:tcPr>
          <w:p w14:paraId="463708DE" w14:textId="77777777" w:rsidR="00454A29" w:rsidRDefault="00454A29">
            <w:pPr>
              <w:pStyle w:val="ConsPlusNormal"/>
              <w:jc w:val="center"/>
            </w:pPr>
            <w:r>
              <w:t>2021</w:t>
            </w:r>
          </w:p>
        </w:tc>
        <w:tc>
          <w:tcPr>
            <w:tcW w:w="1417" w:type="dxa"/>
            <w:vMerge/>
          </w:tcPr>
          <w:p w14:paraId="485C0C42" w14:textId="77777777" w:rsidR="00454A29" w:rsidRDefault="00454A29"/>
        </w:tc>
        <w:tc>
          <w:tcPr>
            <w:tcW w:w="2204" w:type="dxa"/>
            <w:vMerge/>
          </w:tcPr>
          <w:p w14:paraId="0E4F1121" w14:textId="77777777" w:rsidR="00454A29" w:rsidRDefault="00454A29"/>
        </w:tc>
        <w:tc>
          <w:tcPr>
            <w:tcW w:w="1417" w:type="dxa"/>
            <w:vMerge/>
          </w:tcPr>
          <w:p w14:paraId="0A50C79A" w14:textId="77777777" w:rsidR="00454A29" w:rsidRDefault="00454A29"/>
        </w:tc>
        <w:tc>
          <w:tcPr>
            <w:tcW w:w="2324" w:type="dxa"/>
            <w:vMerge/>
          </w:tcPr>
          <w:p w14:paraId="580623A7" w14:textId="77777777" w:rsidR="00454A29" w:rsidRDefault="00454A29"/>
        </w:tc>
        <w:tc>
          <w:tcPr>
            <w:tcW w:w="1701" w:type="dxa"/>
            <w:vAlign w:val="center"/>
          </w:tcPr>
          <w:p w14:paraId="7E92AD28" w14:textId="77777777" w:rsidR="00454A29" w:rsidRDefault="00454A29">
            <w:pPr>
              <w:pStyle w:val="ConsPlusNormal"/>
              <w:jc w:val="center"/>
            </w:pPr>
            <w:r>
              <w:t>-</w:t>
            </w:r>
          </w:p>
        </w:tc>
        <w:tc>
          <w:tcPr>
            <w:tcW w:w="1814" w:type="dxa"/>
            <w:vAlign w:val="center"/>
          </w:tcPr>
          <w:p w14:paraId="5C09E286" w14:textId="77777777" w:rsidR="00454A29" w:rsidRDefault="00454A29">
            <w:pPr>
              <w:pStyle w:val="ConsPlusNormal"/>
            </w:pPr>
          </w:p>
        </w:tc>
        <w:tc>
          <w:tcPr>
            <w:tcW w:w="1701" w:type="dxa"/>
            <w:vAlign w:val="center"/>
          </w:tcPr>
          <w:p w14:paraId="0244066D" w14:textId="77777777" w:rsidR="00454A29" w:rsidRDefault="00454A29">
            <w:pPr>
              <w:pStyle w:val="ConsPlusNormal"/>
            </w:pPr>
          </w:p>
        </w:tc>
        <w:tc>
          <w:tcPr>
            <w:tcW w:w="1701" w:type="dxa"/>
            <w:vAlign w:val="center"/>
          </w:tcPr>
          <w:p w14:paraId="06B72B9D" w14:textId="77777777" w:rsidR="00454A29" w:rsidRDefault="00454A29">
            <w:pPr>
              <w:pStyle w:val="ConsPlusNormal"/>
            </w:pPr>
          </w:p>
        </w:tc>
        <w:tc>
          <w:tcPr>
            <w:tcW w:w="1814" w:type="dxa"/>
            <w:vAlign w:val="center"/>
          </w:tcPr>
          <w:p w14:paraId="3C10D95D" w14:textId="77777777" w:rsidR="00454A29" w:rsidRDefault="00454A29">
            <w:pPr>
              <w:pStyle w:val="ConsPlusNormal"/>
            </w:pPr>
          </w:p>
        </w:tc>
      </w:tr>
      <w:tr w:rsidR="00454A29" w14:paraId="56ADDE43" w14:textId="77777777">
        <w:tc>
          <w:tcPr>
            <w:tcW w:w="567" w:type="dxa"/>
            <w:vMerge/>
          </w:tcPr>
          <w:p w14:paraId="6E47543B" w14:textId="77777777" w:rsidR="00454A29" w:rsidRDefault="00454A29"/>
        </w:tc>
        <w:tc>
          <w:tcPr>
            <w:tcW w:w="3345" w:type="dxa"/>
            <w:vMerge/>
          </w:tcPr>
          <w:p w14:paraId="41774E26" w14:textId="77777777" w:rsidR="00454A29" w:rsidRDefault="00454A29"/>
        </w:tc>
        <w:tc>
          <w:tcPr>
            <w:tcW w:w="1701" w:type="dxa"/>
            <w:vAlign w:val="center"/>
          </w:tcPr>
          <w:p w14:paraId="18FDE53E" w14:textId="77777777" w:rsidR="00454A29" w:rsidRDefault="00454A29">
            <w:pPr>
              <w:pStyle w:val="ConsPlusNormal"/>
              <w:jc w:val="center"/>
            </w:pPr>
            <w:r>
              <w:t>2022</w:t>
            </w:r>
          </w:p>
        </w:tc>
        <w:tc>
          <w:tcPr>
            <w:tcW w:w="1417" w:type="dxa"/>
            <w:vMerge/>
          </w:tcPr>
          <w:p w14:paraId="5F504267" w14:textId="77777777" w:rsidR="00454A29" w:rsidRDefault="00454A29"/>
        </w:tc>
        <w:tc>
          <w:tcPr>
            <w:tcW w:w="2204" w:type="dxa"/>
            <w:vMerge/>
          </w:tcPr>
          <w:p w14:paraId="2510632E" w14:textId="77777777" w:rsidR="00454A29" w:rsidRDefault="00454A29"/>
        </w:tc>
        <w:tc>
          <w:tcPr>
            <w:tcW w:w="1417" w:type="dxa"/>
            <w:vMerge/>
          </w:tcPr>
          <w:p w14:paraId="00B9958F" w14:textId="77777777" w:rsidR="00454A29" w:rsidRDefault="00454A29"/>
        </w:tc>
        <w:tc>
          <w:tcPr>
            <w:tcW w:w="2324" w:type="dxa"/>
            <w:vMerge/>
          </w:tcPr>
          <w:p w14:paraId="6AAB4B1D" w14:textId="77777777" w:rsidR="00454A29" w:rsidRDefault="00454A29"/>
        </w:tc>
        <w:tc>
          <w:tcPr>
            <w:tcW w:w="1701" w:type="dxa"/>
            <w:vAlign w:val="center"/>
          </w:tcPr>
          <w:p w14:paraId="486D9245" w14:textId="77777777" w:rsidR="00454A29" w:rsidRDefault="00454A29">
            <w:pPr>
              <w:pStyle w:val="ConsPlusNormal"/>
              <w:jc w:val="center"/>
            </w:pPr>
            <w:r>
              <w:t>-</w:t>
            </w:r>
          </w:p>
        </w:tc>
        <w:tc>
          <w:tcPr>
            <w:tcW w:w="1814" w:type="dxa"/>
            <w:vAlign w:val="center"/>
          </w:tcPr>
          <w:p w14:paraId="2E91343D" w14:textId="77777777" w:rsidR="00454A29" w:rsidRDefault="00454A29">
            <w:pPr>
              <w:pStyle w:val="ConsPlusNormal"/>
            </w:pPr>
          </w:p>
        </w:tc>
        <w:tc>
          <w:tcPr>
            <w:tcW w:w="1701" w:type="dxa"/>
            <w:vAlign w:val="center"/>
          </w:tcPr>
          <w:p w14:paraId="138DD377" w14:textId="77777777" w:rsidR="00454A29" w:rsidRDefault="00454A29">
            <w:pPr>
              <w:pStyle w:val="ConsPlusNormal"/>
            </w:pPr>
          </w:p>
        </w:tc>
        <w:tc>
          <w:tcPr>
            <w:tcW w:w="1701" w:type="dxa"/>
            <w:vAlign w:val="center"/>
          </w:tcPr>
          <w:p w14:paraId="42F644C3" w14:textId="77777777" w:rsidR="00454A29" w:rsidRDefault="00454A29">
            <w:pPr>
              <w:pStyle w:val="ConsPlusNormal"/>
            </w:pPr>
          </w:p>
        </w:tc>
        <w:tc>
          <w:tcPr>
            <w:tcW w:w="1814" w:type="dxa"/>
            <w:vAlign w:val="center"/>
          </w:tcPr>
          <w:p w14:paraId="7CB8C015" w14:textId="77777777" w:rsidR="00454A29" w:rsidRDefault="00454A29">
            <w:pPr>
              <w:pStyle w:val="ConsPlusNormal"/>
            </w:pPr>
          </w:p>
        </w:tc>
      </w:tr>
      <w:tr w:rsidR="00454A29" w14:paraId="5CC89397" w14:textId="77777777">
        <w:tc>
          <w:tcPr>
            <w:tcW w:w="567" w:type="dxa"/>
            <w:vMerge/>
          </w:tcPr>
          <w:p w14:paraId="67349B43" w14:textId="77777777" w:rsidR="00454A29" w:rsidRDefault="00454A29"/>
        </w:tc>
        <w:tc>
          <w:tcPr>
            <w:tcW w:w="3345" w:type="dxa"/>
            <w:vMerge/>
          </w:tcPr>
          <w:p w14:paraId="68353AE5" w14:textId="77777777" w:rsidR="00454A29" w:rsidRDefault="00454A29"/>
        </w:tc>
        <w:tc>
          <w:tcPr>
            <w:tcW w:w="1701" w:type="dxa"/>
            <w:vAlign w:val="center"/>
          </w:tcPr>
          <w:p w14:paraId="5D215010" w14:textId="77777777" w:rsidR="00454A29" w:rsidRDefault="00454A29">
            <w:pPr>
              <w:pStyle w:val="ConsPlusNormal"/>
              <w:jc w:val="center"/>
            </w:pPr>
            <w:r>
              <w:t>2023</w:t>
            </w:r>
          </w:p>
        </w:tc>
        <w:tc>
          <w:tcPr>
            <w:tcW w:w="1417" w:type="dxa"/>
            <w:vMerge/>
          </w:tcPr>
          <w:p w14:paraId="62094CBA" w14:textId="77777777" w:rsidR="00454A29" w:rsidRDefault="00454A29"/>
        </w:tc>
        <w:tc>
          <w:tcPr>
            <w:tcW w:w="2204" w:type="dxa"/>
            <w:vMerge/>
          </w:tcPr>
          <w:p w14:paraId="19D17063" w14:textId="77777777" w:rsidR="00454A29" w:rsidRDefault="00454A29"/>
        </w:tc>
        <w:tc>
          <w:tcPr>
            <w:tcW w:w="1417" w:type="dxa"/>
            <w:vMerge/>
          </w:tcPr>
          <w:p w14:paraId="12D14043" w14:textId="77777777" w:rsidR="00454A29" w:rsidRDefault="00454A29"/>
        </w:tc>
        <w:tc>
          <w:tcPr>
            <w:tcW w:w="2324" w:type="dxa"/>
            <w:vMerge/>
          </w:tcPr>
          <w:p w14:paraId="009B09F5" w14:textId="77777777" w:rsidR="00454A29" w:rsidRDefault="00454A29"/>
        </w:tc>
        <w:tc>
          <w:tcPr>
            <w:tcW w:w="1701" w:type="dxa"/>
            <w:vAlign w:val="center"/>
          </w:tcPr>
          <w:p w14:paraId="56D9B7A5" w14:textId="77777777" w:rsidR="00454A29" w:rsidRDefault="00454A29">
            <w:pPr>
              <w:pStyle w:val="ConsPlusNormal"/>
              <w:jc w:val="center"/>
            </w:pPr>
            <w:r>
              <w:t>-</w:t>
            </w:r>
          </w:p>
        </w:tc>
        <w:tc>
          <w:tcPr>
            <w:tcW w:w="1814" w:type="dxa"/>
            <w:vAlign w:val="center"/>
          </w:tcPr>
          <w:p w14:paraId="79672542" w14:textId="77777777" w:rsidR="00454A29" w:rsidRDefault="00454A29">
            <w:pPr>
              <w:pStyle w:val="ConsPlusNormal"/>
            </w:pPr>
          </w:p>
        </w:tc>
        <w:tc>
          <w:tcPr>
            <w:tcW w:w="1701" w:type="dxa"/>
            <w:vAlign w:val="center"/>
          </w:tcPr>
          <w:p w14:paraId="050D4500" w14:textId="77777777" w:rsidR="00454A29" w:rsidRDefault="00454A29">
            <w:pPr>
              <w:pStyle w:val="ConsPlusNormal"/>
            </w:pPr>
          </w:p>
        </w:tc>
        <w:tc>
          <w:tcPr>
            <w:tcW w:w="1701" w:type="dxa"/>
            <w:vAlign w:val="center"/>
          </w:tcPr>
          <w:p w14:paraId="691CB364" w14:textId="77777777" w:rsidR="00454A29" w:rsidRDefault="00454A29">
            <w:pPr>
              <w:pStyle w:val="ConsPlusNormal"/>
            </w:pPr>
          </w:p>
        </w:tc>
        <w:tc>
          <w:tcPr>
            <w:tcW w:w="1814" w:type="dxa"/>
            <w:vAlign w:val="center"/>
          </w:tcPr>
          <w:p w14:paraId="0D1AEB7B" w14:textId="77777777" w:rsidR="00454A29" w:rsidRDefault="00454A29">
            <w:pPr>
              <w:pStyle w:val="ConsPlusNormal"/>
            </w:pPr>
          </w:p>
        </w:tc>
      </w:tr>
      <w:tr w:rsidR="00454A29" w14:paraId="6982678C" w14:textId="77777777">
        <w:tc>
          <w:tcPr>
            <w:tcW w:w="567" w:type="dxa"/>
            <w:vMerge/>
          </w:tcPr>
          <w:p w14:paraId="15D2F3C1" w14:textId="77777777" w:rsidR="00454A29" w:rsidRDefault="00454A29"/>
        </w:tc>
        <w:tc>
          <w:tcPr>
            <w:tcW w:w="3345" w:type="dxa"/>
            <w:vMerge/>
          </w:tcPr>
          <w:p w14:paraId="58DDFC2B" w14:textId="77777777" w:rsidR="00454A29" w:rsidRDefault="00454A29"/>
        </w:tc>
        <w:tc>
          <w:tcPr>
            <w:tcW w:w="1701" w:type="dxa"/>
            <w:vAlign w:val="center"/>
          </w:tcPr>
          <w:p w14:paraId="571FDB48" w14:textId="77777777" w:rsidR="00454A29" w:rsidRDefault="00454A29">
            <w:pPr>
              <w:pStyle w:val="ConsPlusNormal"/>
              <w:jc w:val="center"/>
            </w:pPr>
            <w:r>
              <w:t>2024</w:t>
            </w:r>
          </w:p>
        </w:tc>
        <w:tc>
          <w:tcPr>
            <w:tcW w:w="1417" w:type="dxa"/>
            <w:vMerge/>
          </w:tcPr>
          <w:p w14:paraId="7C2C34F1" w14:textId="77777777" w:rsidR="00454A29" w:rsidRDefault="00454A29"/>
        </w:tc>
        <w:tc>
          <w:tcPr>
            <w:tcW w:w="2204" w:type="dxa"/>
            <w:vMerge/>
          </w:tcPr>
          <w:p w14:paraId="46F7EEF2" w14:textId="77777777" w:rsidR="00454A29" w:rsidRDefault="00454A29"/>
        </w:tc>
        <w:tc>
          <w:tcPr>
            <w:tcW w:w="1417" w:type="dxa"/>
            <w:vMerge/>
          </w:tcPr>
          <w:p w14:paraId="30969B3F" w14:textId="77777777" w:rsidR="00454A29" w:rsidRDefault="00454A29"/>
        </w:tc>
        <w:tc>
          <w:tcPr>
            <w:tcW w:w="2324" w:type="dxa"/>
            <w:vMerge/>
          </w:tcPr>
          <w:p w14:paraId="1CCE97DB" w14:textId="77777777" w:rsidR="00454A29" w:rsidRDefault="00454A29"/>
        </w:tc>
        <w:tc>
          <w:tcPr>
            <w:tcW w:w="1701" w:type="dxa"/>
            <w:vAlign w:val="center"/>
          </w:tcPr>
          <w:p w14:paraId="3CA4697A" w14:textId="77777777" w:rsidR="00454A29" w:rsidRDefault="00454A29">
            <w:pPr>
              <w:pStyle w:val="ConsPlusNormal"/>
              <w:jc w:val="center"/>
            </w:pPr>
            <w:r>
              <w:t>-</w:t>
            </w:r>
          </w:p>
        </w:tc>
        <w:tc>
          <w:tcPr>
            <w:tcW w:w="1814" w:type="dxa"/>
            <w:vAlign w:val="center"/>
          </w:tcPr>
          <w:p w14:paraId="0A6F3AA6" w14:textId="77777777" w:rsidR="00454A29" w:rsidRDefault="00454A29">
            <w:pPr>
              <w:pStyle w:val="ConsPlusNormal"/>
            </w:pPr>
          </w:p>
        </w:tc>
        <w:tc>
          <w:tcPr>
            <w:tcW w:w="1701" w:type="dxa"/>
            <w:vAlign w:val="center"/>
          </w:tcPr>
          <w:p w14:paraId="6829B729" w14:textId="77777777" w:rsidR="00454A29" w:rsidRDefault="00454A29">
            <w:pPr>
              <w:pStyle w:val="ConsPlusNormal"/>
            </w:pPr>
          </w:p>
        </w:tc>
        <w:tc>
          <w:tcPr>
            <w:tcW w:w="1701" w:type="dxa"/>
            <w:vAlign w:val="center"/>
          </w:tcPr>
          <w:p w14:paraId="23649D54" w14:textId="77777777" w:rsidR="00454A29" w:rsidRDefault="00454A29">
            <w:pPr>
              <w:pStyle w:val="ConsPlusNormal"/>
            </w:pPr>
          </w:p>
        </w:tc>
        <w:tc>
          <w:tcPr>
            <w:tcW w:w="1814" w:type="dxa"/>
            <w:vAlign w:val="center"/>
          </w:tcPr>
          <w:p w14:paraId="65F45589" w14:textId="77777777" w:rsidR="00454A29" w:rsidRDefault="00454A29">
            <w:pPr>
              <w:pStyle w:val="ConsPlusNormal"/>
            </w:pPr>
          </w:p>
        </w:tc>
      </w:tr>
      <w:tr w:rsidR="00454A29" w14:paraId="5C87EEED" w14:textId="77777777">
        <w:tc>
          <w:tcPr>
            <w:tcW w:w="567" w:type="dxa"/>
            <w:vMerge/>
          </w:tcPr>
          <w:p w14:paraId="4ACB4C96" w14:textId="77777777" w:rsidR="00454A29" w:rsidRDefault="00454A29"/>
        </w:tc>
        <w:tc>
          <w:tcPr>
            <w:tcW w:w="3345" w:type="dxa"/>
            <w:vMerge/>
          </w:tcPr>
          <w:p w14:paraId="7445F174" w14:textId="77777777" w:rsidR="00454A29" w:rsidRDefault="00454A29"/>
        </w:tc>
        <w:tc>
          <w:tcPr>
            <w:tcW w:w="1701" w:type="dxa"/>
            <w:vAlign w:val="center"/>
          </w:tcPr>
          <w:p w14:paraId="3A4CDC9D" w14:textId="77777777" w:rsidR="00454A29" w:rsidRDefault="00454A29">
            <w:pPr>
              <w:pStyle w:val="ConsPlusNormal"/>
              <w:jc w:val="center"/>
            </w:pPr>
            <w:r>
              <w:t>2025</w:t>
            </w:r>
          </w:p>
        </w:tc>
        <w:tc>
          <w:tcPr>
            <w:tcW w:w="1417" w:type="dxa"/>
            <w:vMerge/>
          </w:tcPr>
          <w:p w14:paraId="31B8350C" w14:textId="77777777" w:rsidR="00454A29" w:rsidRDefault="00454A29"/>
        </w:tc>
        <w:tc>
          <w:tcPr>
            <w:tcW w:w="2204" w:type="dxa"/>
            <w:vMerge/>
          </w:tcPr>
          <w:p w14:paraId="02D7E82D" w14:textId="77777777" w:rsidR="00454A29" w:rsidRDefault="00454A29"/>
        </w:tc>
        <w:tc>
          <w:tcPr>
            <w:tcW w:w="1417" w:type="dxa"/>
            <w:vMerge/>
          </w:tcPr>
          <w:p w14:paraId="2FF2BF85" w14:textId="77777777" w:rsidR="00454A29" w:rsidRDefault="00454A29"/>
        </w:tc>
        <w:tc>
          <w:tcPr>
            <w:tcW w:w="2324" w:type="dxa"/>
            <w:vMerge/>
          </w:tcPr>
          <w:p w14:paraId="0EAA1B80" w14:textId="77777777" w:rsidR="00454A29" w:rsidRDefault="00454A29"/>
        </w:tc>
        <w:tc>
          <w:tcPr>
            <w:tcW w:w="1701" w:type="dxa"/>
            <w:vAlign w:val="center"/>
          </w:tcPr>
          <w:p w14:paraId="2EEDC13D" w14:textId="77777777" w:rsidR="00454A29" w:rsidRDefault="00454A29">
            <w:pPr>
              <w:pStyle w:val="ConsPlusNormal"/>
              <w:jc w:val="center"/>
            </w:pPr>
            <w:r>
              <w:t>-</w:t>
            </w:r>
          </w:p>
        </w:tc>
        <w:tc>
          <w:tcPr>
            <w:tcW w:w="1814" w:type="dxa"/>
            <w:vAlign w:val="center"/>
          </w:tcPr>
          <w:p w14:paraId="721AFC6D" w14:textId="77777777" w:rsidR="00454A29" w:rsidRDefault="00454A29">
            <w:pPr>
              <w:pStyle w:val="ConsPlusNormal"/>
            </w:pPr>
          </w:p>
        </w:tc>
        <w:tc>
          <w:tcPr>
            <w:tcW w:w="1701" w:type="dxa"/>
            <w:vAlign w:val="center"/>
          </w:tcPr>
          <w:p w14:paraId="1052D571" w14:textId="77777777" w:rsidR="00454A29" w:rsidRDefault="00454A29">
            <w:pPr>
              <w:pStyle w:val="ConsPlusNormal"/>
            </w:pPr>
          </w:p>
        </w:tc>
        <w:tc>
          <w:tcPr>
            <w:tcW w:w="1701" w:type="dxa"/>
            <w:vAlign w:val="center"/>
          </w:tcPr>
          <w:p w14:paraId="54D2FCA2" w14:textId="77777777" w:rsidR="00454A29" w:rsidRDefault="00454A29">
            <w:pPr>
              <w:pStyle w:val="ConsPlusNormal"/>
            </w:pPr>
          </w:p>
        </w:tc>
        <w:tc>
          <w:tcPr>
            <w:tcW w:w="1814" w:type="dxa"/>
            <w:vAlign w:val="center"/>
          </w:tcPr>
          <w:p w14:paraId="3D32AF9D" w14:textId="77777777" w:rsidR="00454A29" w:rsidRDefault="00454A29">
            <w:pPr>
              <w:pStyle w:val="ConsPlusNormal"/>
            </w:pPr>
          </w:p>
        </w:tc>
      </w:tr>
      <w:tr w:rsidR="00454A29" w14:paraId="43994647" w14:textId="77777777">
        <w:tc>
          <w:tcPr>
            <w:tcW w:w="567" w:type="dxa"/>
            <w:vMerge/>
          </w:tcPr>
          <w:p w14:paraId="65E5F295" w14:textId="77777777" w:rsidR="00454A29" w:rsidRDefault="00454A29"/>
        </w:tc>
        <w:tc>
          <w:tcPr>
            <w:tcW w:w="3345" w:type="dxa"/>
            <w:vMerge/>
          </w:tcPr>
          <w:p w14:paraId="41981AF7" w14:textId="77777777" w:rsidR="00454A29" w:rsidRDefault="00454A29"/>
        </w:tc>
        <w:tc>
          <w:tcPr>
            <w:tcW w:w="1701" w:type="dxa"/>
            <w:vAlign w:val="center"/>
          </w:tcPr>
          <w:p w14:paraId="034F5199" w14:textId="77777777" w:rsidR="00454A29" w:rsidRDefault="00454A29">
            <w:pPr>
              <w:pStyle w:val="ConsPlusNormal"/>
              <w:jc w:val="center"/>
            </w:pPr>
            <w:r>
              <w:t>2026</w:t>
            </w:r>
          </w:p>
        </w:tc>
        <w:tc>
          <w:tcPr>
            <w:tcW w:w="1417" w:type="dxa"/>
            <w:vMerge/>
          </w:tcPr>
          <w:p w14:paraId="14FA0239" w14:textId="77777777" w:rsidR="00454A29" w:rsidRDefault="00454A29"/>
        </w:tc>
        <w:tc>
          <w:tcPr>
            <w:tcW w:w="2204" w:type="dxa"/>
            <w:vMerge/>
          </w:tcPr>
          <w:p w14:paraId="5633FB8E" w14:textId="77777777" w:rsidR="00454A29" w:rsidRDefault="00454A29"/>
        </w:tc>
        <w:tc>
          <w:tcPr>
            <w:tcW w:w="1417" w:type="dxa"/>
            <w:vMerge/>
          </w:tcPr>
          <w:p w14:paraId="234665EE" w14:textId="77777777" w:rsidR="00454A29" w:rsidRDefault="00454A29"/>
        </w:tc>
        <w:tc>
          <w:tcPr>
            <w:tcW w:w="2324" w:type="dxa"/>
            <w:vMerge/>
          </w:tcPr>
          <w:p w14:paraId="5EC13227" w14:textId="77777777" w:rsidR="00454A29" w:rsidRDefault="00454A29"/>
        </w:tc>
        <w:tc>
          <w:tcPr>
            <w:tcW w:w="1701" w:type="dxa"/>
            <w:vAlign w:val="center"/>
          </w:tcPr>
          <w:p w14:paraId="34ADE214" w14:textId="77777777" w:rsidR="00454A29" w:rsidRDefault="00454A29">
            <w:pPr>
              <w:pStyle w:val="ConsPlusNormal"/>
              <w:jc w:val="center"/>
            </w:pPr>
            <w:r>
              <w:t>-</w:t>
            </w:r>
          </w:p>
        </w:tc>
        <w:tc>
          <w:tcPr>
            <w:tcW w:w="1814" w:type="dxa"/>
            <w:vAlign w:val="center"/>
          </w:tcPr>
          <w:p w14:paraId="0DC6DFED" w14:textId="77777777" w:rsidR="00454A29" w:rsidRDefault="00454A29">
            <w:pPr>
              <w:pStyle w:val="ConsPlusNormal"/>
            </w:pPr>
          </w:p>
        </w:tc>
        <w:tc>
          <w:tcPr>
            <w:tcW w:w="1701" w:type="dxa"/>
            <w:vAlign w:val="center"/>
          </w:tcPr>
          <w:p w14:paraId="21894597" w14:textId="77777777" w:rsidR="00454A29" w:rsidRDefault="00454A29">
            <w:pPr>
              <w:pStyle w:val="ConsPlusNormal"/>
            </w:pPr>
          </w:p>
        </w:tc>
        <w:tc>
          <w:tcPr>
            <w:tcW w:w="1701" w:type="dxa"/>
            <w:vAlign w:val="center"/>
          </w:tcPr>
          <w:p w14:paraId="2A3F7811" w14:textId="77777777" w:rsidR="00454A29" w:rsidRDefault="00454A29">
            <w:pPr>
              <w:pStyle w:val="ConsPlusNormal"/>
            </w:pPr>
          </w:p>
        </w:tc>
        <w:tc>
          <w:tcPr>
            <w:tcW w:w="1814" w:type="dxa"/>
            <w:vAlign w:val="center"/>
          </w:tcPr>
          <w:p w14:paraId="5FEDDF38" w14:textId="77777777" w:rsidR="00454A29" w:rsidRDefault="00454A29">
            <w:pPr>
              <w:pStyle w:val="ConsPlusNormal"/>
            </w:pPr>
          </w:p>
        </w:tc>
      </w:tr>
      <w:tr w:rsidR="00454A29" w14:paraId="0AA662E3" w14:textId="77777777">
        <w:tc>
          <w:tcPr>
            <w:tcW w:w="567" w:type="dxa"/>
            <w:vMerge w:val="restart"/>
            <w:vAlign w:val="center"/>
          </w:tcPr>
          <w:p w14:paraId="6A29F0F3" w14:textId="77777777" w:rsidR="00454A29" w:rsidRDefault="00454A29">
            <w:pPr>
              <w:pStyle w:val="ConsPlusNormal"/>
              <w:jc w:val="center"/>
            </w:pPr>
            <w:r>
              <w:lastRenderedPageBreak/>
              <w:t>121</w:t>
            </w:r>
          </w:p>
        </w:tc>
        <w:tc>
          <w:tcPr>
            <w:tcW w:w="3345" w:type="dxa"/>
            <w:vMerge w:val="restart"/>
            <w:vAlign w:val="center"/>
          </w:tcPr>
          <w:p w14:paraId="660D8E57" w14:textId="77777777" w:rsidR="00454A29" w:rsidRDefault="00454A29">
            <w:pPr>
              <w:pStyle w:val="ConsPlusNormal"/>
              <w:jc w:val="center"/>
            </w:pPr>
            <w:r>
              <w:t>Детский сад на 240 мест в г. Олекминск Олекминского улуса</w:t>
            </w:r>
          </w:p>
        </w:tc>
        <w:tc>
          <w:tcPr>
            <w:tcW w:w="1701" w:type="dxa"/>
            <w:vAlign w:val="center"/>
          </w:tcPr>
          <w:p w14:paraId="311A874F" w14:textId="77777777" w:rsidR="00454A29" w:rsidRDefault="00454A29">
            <w:pPr>
              <w:pStyle w:val="ConsPlusNormal"/>
              <w:jc w:val="center"/>
            </w:pPr>
            <w:r>
              <w:t>Всего:</w:t>
            </w:r>
          </w:p>
        </w:tc>
        <w:tc>
          <w:tcPr>
            <w:tcW w:w="1417" w:type="dxa"/>
            <w:vMerge w:val="restart"/>
            <w:vAlign w:val="center"/>
          </w:tcPr>
          <w:p w14:paraId="61C5A429" w14:textId="77777777" w:rsidR="00454A29" w:rsidRDefault="00454A29">
            <w:pPr>
              <w:pStyle w:val="ConsPlusNormal"/>
              <w:jc w:val="center"/>
            </w:pPr>
            <w:r>
              <w:t>323 284,97</w:t>
            </w:r>
          </w:p>
        </w:tc>
        <w:tc>
          <w:tcPr>
            <w:tcW w:w="2204" w:type="dxa"/>
            <w:vMerge w:val="restart"/>
            <w:vAlign w:val="center"/>
          </w:tcPr>
          <w:p w14:paraId="76379727" w14:textId="77777777" w:rsidR="00454A29" w:rsidRDefault="00454A29">
            <w:pPr>
              <w:pStyle w:val="ConsPlusNormal"/>
            </w:pPr>
          </w:p>
        </w:tc>
        <w:tc>
          <w:tcPr>
            <w:tcW w:w="1417" w:type="dxa"/>
            <w:vMerge w:val="restart"/>
            <w:vAlign w:val="center"/>
          </w:tcPr>
          <w:p w14:paraId="4DAEA057" w14:textId="77777777" w:rsidR="00454A29" w:rsidRDefault="00454A29">
            <w:pPr>
              <w:pStyle w:val="ConsPlusNormal"/>
              <w:jc w:val="center"/>
            </w:pPr>
            <w:r>
              <w:t>240</w:t>
            </w:r>
          </w:p>
        </w:tc>
        <w:tc>
          <w:tcPr>
            <w:tcW w:w="2324" w:type="dxa"/>
            <w:vMerge w:val="restart"/>
            <w:vAlign w:val="center"/>
          </w:tcPr>
          <w:p w14:paraId="3F49F61C" w14:textId="77777777" w:rsidR="00454A29" w:rsidRDefault="00454A29">
            <w:pPr>
              <w:pStyle w:val="ConsPlusNormal"/>
              <w:jc w:val="center"/>
            </w:pPr>
            <w:r>
              <w:t>Министерство строительства РС(Я)</w:t>
            </w:r>
          </w:p>
        </w:tc>
        <w:tc>
          <w:tcPr>
            <w:tcW w:w="1701" w:type="dxa"/>
            <w:vAlign w:val="center"/>
          </w:tcPr>
          <w:p w14:paraId="1373551C" w14:textId="77777777" w:rsidR="00454A29" w:rsidRDefault="00454A29">
            <w:pPr>
              <w:pStyle w:val="ConsPlusNormal"/>
              <w:jc w:val="center"/>
            </w:pPr>
            <w:r>
              <w:t>323 284,97</w:t>
            </w:r>
          </w:p>
        </w:tc>
        <w:tc>
          <w:tcPr>
            <w:tcW w:w="1814" w:type="dxa"/>
            <w:vAlign w:val="center"/>
          </w:tcPr>
          <w:p w14:paraId="4A94CAD8" w14:textId="77777777" w:rsidR="00454A29" w:rsidRDefault="00454A29">
            <w:pPr>
              <w:pStyle w:val="ConsPlusNormal"/>
              <w:jc w:val="center"/>
            </w:pPr>
            <w:r>
              <w:t>3 200,52</w:t>
            </w:r>
          </w:p>
        </w:tc>
        <w:tc>
          <w:tcPr>
            <w:tcW w:w="1701" w:type="dxa"/>
            <w:vAlign w:val="center"/>
          </w:tcPr>
          <w:p w14:paraId="493698BC" w14:textId="77777777" w:rsidR="00454A29" w:rsidRDefault="00454A29">
            <w:pPr>
              <w:pStyle w:val="ConsPlusNormal"/>
              <w:jc w:val="center"/>
            </w:pPr>
            <w:r>
              <w:t>316 851,60</w:t>
            </w:r>
          </w:p>
        </w:tc>
        <w:tc>
          <w:tcPr>
            <w:tcW w:w="1701" w:type="dxa"/>
            <w:vAlign w:val="center"/>
          </w:tcPr>
          <w:p w14:paraId="4E8E3D16" w14:textId="77777777" w:rsidR="00454A29" w:rsidRDefault="00454A29">
            <w:pPr>
              <w:pStyle w:val="ConsPlusNormal"/>
              <w:jc w:val="center"/>
            </w:pPr>
            <w:r>
              <w:t>3 232,85</w:t>
            </w:r>
          </w:p>
        </w:tc>
        <w:tc>
          <w:tcPr>
            <w:tcW w:w="1814" w:type="dxa"/>
            <w:vAlign w:val="center"/>
          </w:tcPr>
          <w:p w14:paraId="41CA5833" w14:textId="77777777" w:rsidR="00454A29" w:rsidRDefault="00454A29">
            <w:pPr>
              <w:pStyle w:val="ConsPlusNormal"/>
              <w:jc w:val="center"/>
            </w:pPr>
            <w:r>
              <w:t>-</w:t>
            </w:r>
          </w:p>
        </w:tc>
      </w:tr>
      <w:tr w:rsidR="00454A29" w14:paraId="103BCA80" w14:textId="77777777">
        <w:tc>
          <w:tcPr>
            <w:tcW w:w="567" w:type="dxa"/>
            <w:vMerge/>
          </w:tcPr>
          <w:p w14:paraId="2C2C6772" w14:textId="77777777" w:rsidR="00454A29" w:rsidRDefault="00454A29"/>
        </w:tc>
        <w:tc>
          <w:tcPr>
            <w:tcW w:w="3345" w:type="dxa"/>
            <w:vMerge/>
          </w:tcPr>
          <w:p w14:paraId="3E89571B" w14:textId="77777777" w:rsidR="00454A29" w:rsidRDefault="00454A29"/>
        </w:tc>
        <w:tc>
          <w:tcPr>
            <w:tcW w:w="1701" w:type="dxa"/>
            <w:vAlign w:val="center"/>
          </w:tcPr>
          <w:p w14:paraId="35DF86B8" w14:textId="77777777" w:rsidR="00454A29" w:rsidRDefault="00454A29">
            <w:pPr>
              <w:pStyle w:val="ConsPlusNormal"/>
              <w:jc w:val="center"/>
            </w:pPr>
            <w:r>
              <w:t>2020</w:t>
            </w:r>
          </w:p>
        </w:tc>
        <w:tc>
          <w:tcPr>
            <w:tcW w:w="1417" w:type="dxa"/>
            <w:vMerge/>
          </w:tcPr>
          <w:p w14:paraId="5B400780" w14:textId="77777777" w:rsidR="00454A29" w:rsidRDefault="00454A29"/>
        </w:tc>
        <w:tc>
          <w:tcPr>
            <w:tcW w:w="2204" w:type="dxa"/>
            <w:vMerge/>
          </w:tcPr>
          <w:p w14:paraId="426C9E5B" w14:textId="77777777" w:rsidR="00454A29" w:rsidRDefault="00454A29"/>
        </w:tc>
        <w:tc>
          <w:tcPr>
            <w:tcW w:w="1417" w:type="dxa"/>
            <w:vMerge/>
          </w:tcPr>
          <w:p w14:paraId="5C03CF44" w14:textId="77777777" w:rsidR="00454A29" w:rsidRDefault="00454A29"/>
        </w:tc>
        <w:tc>
          <w:tcPr>
            <w:tcW w:w="2324" w:type="dxa"/>
            <w:vMerge/>
          </w:tcPr>
          <w:p w14:paraId="1933451D" w14:textId="77777777" w:rsidR="00454A29" w:rsidRDefault="00454A29"/>
        </w:tc>
        <w:tc>
          <w:tcPr>
            <w:tcW w:w="1701" w:type="dxa"/>
            <w:vAlign w:val="center"/>
          </w:tcPr>
          <w:p w14:paraId="5EEF221B" w14:textId="77777777" w:rsidR="00454A29" w:rsidRDefault="00454A29">
            <w:pPr>
              <w:pStyle w:val="ConsPlusNormal"/>
              <w:jc w:val="center"/>
            </w:pPr>
            <w:r>
              <w:t>129 313,99</w:t>
            </w:r>
          </w:p>
        </w:tc>
        <w:tc>
          <w:tcPr>
            <w:tcW w:w="1814" w:type="dxa"/>
            <w:vAlign w:val="center"/>
          </w:tcPr>
          <w:p w14:paraId="16FC44F8" w14:textId="77777777" w:rsidR="00454A29" w:rsidRDefault="00454A29">
            <w:pPr>
              <w:pStyle w:val="ConsPlusNormal"/>
              <w:jc w:val="center"/>
            </w:pPr>
            <w:r>
              <w:t>1 280,21</w:t>
            </w:r>
          </w:p>
        </w:tc>
        <w:tc>
          <w:tcPr>
            <w:tcW w:w="1701" w:type="dxa"/>
            <w:vAlign w:val="center"/>
          </w:tcPr>
          <w:p w14:paraId="66EEABCB" w14:textId="77777777" w:rsidR="00454A29" w:rsidRDefault="00454A29">
            <w:pPr>
              <w:pStyle w:val="ConsPlusNormal"/>
              <w:jc w:val="center"/>
            </w:pPr>
            <w:r>
              <w:t>126 740,64</w:t>
            </w:r>
          </w:p>
        </w:tc>
        <w:tc>
          <w:tcPr>
            <w:tcW w:w="1701" w:type="dxa"/>
            <w:vAlign w:val="center"/>
          </w:tcPr>
          <w:p w14:paraId="6D417272" w14:textId="77777777" w:rsidR="00454A29" w:rsidRDefault="00454A29">
            <w:pPr>
              <w:pStyle w:val="ConsPlusNormal"/>
              <w:jc w:val="center"/>
            </w:pPr>
            <w:r>
              <w:t>1 293,14</w:t>
            </w:r>
          </w:p>
        </w:tc>
        <w:tc>
          <w:tcPr>
            <w:tcW w:w="1814" w:type="dxa"/>
            <w:vAlign w:val="center"/>
          </w:tcPr>
          <w:p w14:paraId="02D0683E" w14:textId="77777777" w:rsidR="00454A29" w:rsidRDefault="00454A29">
            <w:pPr>
              <w:pStyle w:val="ConsPlusNormal"/>
            </w:pPr>
          </w:p>
        </w:tc>
      </w:tr>
      <w:tr w:rsidR="00454A29" w14:paraId="5AC2B3CC" w14:textId="77777777">
        <w:tc>
          <w:tcPr>
            <w:tcW w:w="567" w:type="dxa"/>
            <w:vMerge/>
          </w:tcPr>
          <w:p w14:paraId="60D437EA" w14:textId="77777777" w:rsidR="00454A29" w:rsidRDefault="00454A29"/>
        </w:tc>
        <w:tc>
          <w:tcPr>
            <w:tcW w:w="3345" w:type="dxa"/>
            <w:vMerge/>
          </w:tcPr>
          <w:p w14:paraId="4871EB51" w14:textId="77777777" w:rsidR="00454A29" w:rsidRDefault="00454A29"/>
        </w:tc>
        <w:tc>
          <w:tcPr>
            <w:tcW w:w="1701" w:type="dxa"/>
            <w:vAlign w:val="center"/>
          </w:tcPr>
          <w:p w14:paraId="555D5E10" w14:textId="77777777" w:rsidR="00454A29" w:rsidRDefault="00454A29">
            <w:pPr>
              <w:pStyle w:val="ConsPlusNormal"/>
              <w:jc w:val="center"/>
            </w:pPr>
            <w:r>
              <w:t>2021</w:t>
            </w:r>
          </w:p>
        </w:tc>
        <w:tc>
          <w:tcPr>
            <w:tcW w:w="1417" w:type="dxa"/>
            <w:vMerge/>
          </w:tcPr>
          <w:p w14:paraId="79EE6B45" w14:textId="77777777" w:rsidR="00454A29" w:rsidRDefault="00454A29"/>
        </w:tc>
        <w:tc>
          <w:tcPr>
            <w:tcW w:w="2204" w:type="dxa"/>
            <w:vMerge/>
          </w:tcPr>
          <w:p w14:paraId="4A961FA4" w14:textId="77777777" w:rsidR="00454A29" w:rsidRDefault="00454A29"/>
        </w:tc>
        <w:tc>
          <w:tcPr>
            <w:tcW w:w="1417" w:type="dxa"/>
            <w:vMerge/>
          </w:tcPr>
          <w:p w14:paraId="7C48ADDE" w14:textId="77777777" w:rsidR="00454A29" w:rsidRDefault="00454A29"/>
        </w:tc>
        <w:tc>
          <w:tcPr>
            <w:tcW w:w="2324" w:type="dxa"/>
            <w:vMerge/>
          </w:tcPr>
          <w:p w14:paraId="0B430EF2" w14:textId="77777777" w:rsidR="00454A29" w:rsidRDefault="00454A29"/>
        </w:tc>
        <w:tc>
          <w:tcPr>
            <w:tcW w:w="1701" w:type="dxa"/>
            <w:vAlign w:val="center"/>
          </w:tcPr>
          <w:p w14:paraId="26A0FF9B" w14:textId="77777777" w:rsidR="00454A29" w:rsidRDefault="00454A29">
            <w:pPr>
              <w:pStyle w:val="ConsPlusNormal"/>
              <w:jc w:val="center"/>
            </w:pPr>
            <w:r>
              <w:t>193 970,98</w:t>
            </w:r>
          </w:p>
        </w:tc>
        <w:tc>
          <w:tcPr>
            <w:tcW w:w="1814" w:type="dxa"/>
            <w:vAlign w:val="center"/>
          </w:tcPr>
          <w:p w14:paraId="097A9ECD" w14:textId="77777777" w:rsidR="00454A29" w:rsidRDefault="00454A29">
            <w:pPr>
              <w:pStyle w:val="ConsPlusNormal"/>
              <w:jc w:val="center"/>
            </w:pPr>
            <w:r>
              <w:t>1 920,31</w:t>
            </w:r>
          </w:p>
        </w:tc>
        <w:tc>
          <w:tcPr>
            <w:tcW w:w="1701" w:type="dxa"/>
            <w:vAlign w:val="center"/>
          </w:tcPr>
          <w:p w14:paraId="402AC882" w14:textId="77777777" w:rsidR="00454A29" w:rsidRDefault="00454A29">
            <w:pPr>
              <w:pStyle w:val="ConsPlusNormal"/>
              <w:jc w:val="center"/>
            </w:pPr>
            <w:r>
              <w:t>190 110,96</w:t>
            </w:r>
          </w:p>
        </w:tc>
        <w:tc>
          <w:tcPr>
            <w:tcW w:w="1701" w:type="dxa"/>
            <w:vAlign w:val="center"/>
          </w:tcPr>
          <w:p w14:paraId="445AF93F" w14:textId="77777777" w:rsidR="00454A29" w:rsidRDefault="00454A29">
            <w:pPr>
              <w:pStyle w:val="ConsPlusNormal"/>
              <w:jc w:val="center"/>
            </w:pPr>
            <w:r>
              <w:t>1 939,71</w:t>
            </w:r>
          </w:p>
        </w:tc>
        <w:tc>
          <w:tcPr>
            <w:tcW w:w="1814" w:type="dxa"/>
            <w:vAlign w:val="center"/>
          </w:tcPr>
          <w:p w14:paraId="7118AD71" w14:textId="77777777" w:rsidR="00454A29" w:rsidRDefault="00454A29">
            <w:pPr>
              <w:pStyle w:val="ConsPlusNormal"/>
            </w:pPr>
          </w:p>
        </w:tc>
      </w:tr>
      <w:tr w:rsidR="00454A29" w14:paraId="328CEACD" w14:textId="77777777">
        <w:tc>
          <w:tcPr>
            <w:tcW w:w="567" w:type="dxa"/>
            <w:vMerge/>
          </w:tcPr>
          <w:p w14:paraId="7A787ABD" w14:textId="77777777" w:rsidR="00454A29" w:rsidRDefault="00454A29"/>
        </w:tc>
        <w:tc>
          <w:tcPr>
            <w:tcW w:w="3345" w:type="dxa"/>
            <w:vMerge/>
          </w:tcPr>
          <w:p w14:paraId="7B09987F" w14:textId="77777777" w:rsidR="00454A29" w:rsidRDefault="00454A29"/>
        </w:tc>
        <w:tc>
          <w:tcPr>
            <w:tcW w:w="1701" w:type="dxa"/>
            <w:vAlign w:val="center"/>
          </w:tcPr>
          <w:p w14:paraId="3A2C3972" w14:textId="77777777" w:rsidR="00454A29" w:rsidRDefault="00454A29">
            <w:pPr>
              <w:pStyle w:val="ConsPlusNormal"/>
              <w:jc w:val="center"/>
            </w:pPr>
            <w:r>
              <w:t>2022</w:t>
            </w:r>
          </w:p>
        </w:tc>
        <w:tc>
          <w:tcPr>
            <w:tcW w:w="1417" w:type="dxa"/>
            <w:vMerge/>
          </w:tcPr>
          <w:p w14:paraId="4DA4A740" w14:textId="77777777" w:rsidR="00454A29" w:rsidRDefault="00454A29"/>
        </w:tc>
        <w:tc>
          <w:tcPr>
            <w:tcW w:w="2204" w:type="dxa"/>
            <w:vMerge/>
          </w:tcPr>
          <w:p w14:paraId="40B11E1D" w14:textId="77777777" w:rsidR="00454A29" w:rsidRDefault="00454A29"/>
        </w:tc>
        <w:tc>
          <w:tcPr>
            <w:tcW w:w="1417" w:type="dxa"/>
            <w:vMerge/>
          </w:tcPr>
          <w:p w14:paraId="65DD0C89" w14:textId="77777777" w:rsidR="00454A29" w:rsidRDefault="00454A29"/>
        </w:tc>
        <w:tc>
          <w:tcPr>
            <w:tcW w:w="2324" w:type="dxa"/>
            <w:vMerge/>
          </w:tcPr>
          <w:p w14:paraId="6C36C0FA" w14:textId="77777777" w:rsidR="00454A29" w:rsidRDefault="00454A29"/>
        </w:tc>
        <w:tc>
          <w:tcPr>
            <w:tcW w:w="1701" w:type="dxa"/>
            <w:vAlign w:val="center"/>
          </w:tcPr>
          <w:p w14:paraId="0B963587" w14:textId="77777777" w:rsidR="00454A29" w:rsidRDefault="00454A29">
            <w:pPr>
              <w:pStyle w:val="ConsPlusNormal"/>
              <w:jc w:val="center"/>
            </w:pPr>
            <w:r>
              <w:t>-</w:t>
            </w:r>
          </w:p>
        </w:tc>
        <w:tc>
          <w:tcPr>
            <w:tcW w:w="1814" w:type="dxa"/>
            <w:vAlign w:val="center"/>
          </w:tcPr>
          <w:p w14:paraId="1C903584" w14:textId="77777777" w:rsidR="00454A29" w:rsidRDefault="00454A29">
            <w:pPr>
              <w:pStyle w:val="ConsPlusNormal"/>
            </w:pPr>
          </w:p>
        </w:tc>
        <w:tc>
          <w:tcPr>
            <w:tcW w:w="1701" w:type="dxa"/>
            <w:vAlign w:val="center"/>
          </w:tcPr>
          <w:p w14:paraId="6361C8A4" w14:textId="77777777" w:rsidR="00454A29" w:rsidRDefault="00454A29">
            <w:pPr>
              <w:pStyle w:val="ConsPlusNormal"/>
            </w:pPr>
          </w:p>
        </w:tc>
        <w:tc>
          <w:tcPr>
            <w:tcW w:w="1701" w:type="dxa"/>
            <w:vAlign w:val="center"/>
          </w:tcPr>
          <w:p w14:paraId="395B248E" w14:textId="77777777" w:rsidR="00454A29" w:rsidRDefault="00454A29">
            <w:pPr>
              <w:pStyle w:val="ConsPlusNormal"/>
            </w:pPr>
          </w:p>
        </w:tc>
        <w:tc>
          <w:tcPr>
            <w:tcW w:w="1814" w:type="dxa"/>
            <w:vAlign w:val="center"/>
          </w:tcPr>
          <w:p w14:paraId="7896216A" w14:textId="77777777" w:rsidR="00454A29" w:rsidRDefault="00454A29">
            <w:pPr>
              <w:pStyle w:val="ConsPlusNormal"/>
            </w:pPr>
          </w:p>
        </w:tc>
      </w:tr>
      <w:tr w:rsidR="00454A29" w14:paraId="09F8B630" w14:textId="77777777">
        <w:tc>
          <w:tcPr>
            <w:tcW w:w="567" w:type="dxa"/>
            <w:vMerge/>
          </w:tcPr>
          <w:p w14:paraId="631887B9" w14:textId="77777777" w:rsidR="00454A29" w:rsidRDefault="00454A29"/>
        </w:tc>
        <w:tc>
          <w:tcPr>
            <w:tcW w:w="3345" w:type="dxa"/>
            <w:vMerge/>
          </w:tcPr>
          <w:p w14:paraId="3F1BA876" w14:textId="77777777" w:rsidR="00454A29" w:rsidRDefault="00454A29"/>
        </w:tc>
        <w:tc>
          <w:tcPr>
            <w:tcW w:w="1701" w:type="dxa"/>
            <w:vAlign w:val="center"/>
          </w:tcPr>
          <w:p w14:paraId="231A920F" w14:textId="77777777" w:rsidR="00454A29" w:rsidRDefault="00454A29">
            <w:pPr>
              <w:pStyle w:val="ConsPlusNormal"/>
              <w:jc w:val="center"/>
            </w:pPr>
            <w:r>
              <w:t>2023</w:t>
            </w:r>
          </w:p>
        </w:tc>
        <w:tc>
          <w:tcPr>
            <w:tcW w:w="1417" w:type="dxa"/>
            <w:vMerge/>
          </w:tcPr>
          <w:p w14:paraId="4D61FF19" w14:textId="77777777" w:rsidR="00454A29" w:rsidRDefault="00454A29"/>
        </w:tc>
        <w:tc>
          <w:tcPr>
            <w:tcW w:w="2204" w:type="dxa"/>
            <w:vMerge/>
          </w:tcPr>
          <w:p w14:paraId="43843E05" w14:textId="77777777" w:rsidR="00454A29" w:rsidRDefault="00454A29"/>
        </w:tc>
        <w:tc>
          <w:tcPr>
            <w:tcW w:w="1417" w:type="dxa"/>
            <w:vMerge/>
          </w:tcPr>
          <w:p w14:paraId="434C1AC9" w14:textId="77777777" w:rsidR="00454A29" w:rsidRDefault="00454A29"/>
        </w:tc>
        <w:tc>
          <w:tcPr>
            <w:tcW w:w="2324" w:type="dxa"/>
            <w:vMerge/>
          </w:tcPr>
          <w:p w14:paraId="59AC6A1C" w14:textId="77777777" w:rsidR="00454A29" w:rsidRDefault="00454A29"/>
        </w:tc>
        <w:tc>
          <w:tcPr>
            <w:tcW w:w="1701" w:type="dxa"/>
            <w:vAlign w:val="center"/>
          </w:tcPr>
          <w:p w14:paraId="466F8CE3" w14:textId="77777777" w:rsidR="00454A29" w:rsidRDefault="00454A29">
            <w:pPr>
              <w:pStyle w:val="ConsPlusNormal"/>
              <w:jc w:val="center"/>
            </w:pPr>
            <w:r>
              <w:t>-</w:t>
            </w:r>
          </w:p>
        </w:tc>
        <w:tc>
          <w:tcPr>
            <w:tcW w:w="1814" w:type="dxa"/>
            <w:vAlign w:val="center"/>
          </w:tcPr>
          <w:p w14:paraId="407CBCB4" w14:textId="77777777" w:rsidR="00454A29" w:rsidRDefault="00454A29">
            <w:pPr>
              <w:pStyle w:val="ConsPlusNormal"/>
            </w:pPr>
          </w:p>
        </w:tc>
        <w:tc>
          <w:tcPr>
            <w:tcW w:w="1701" w:type="dxa"/>
            <w:vAlign w:val="center"/>
          </w:tcPr>
          <w:p w14:paraId="0C600FDF" w14:textId="77777777" w:rsidR="00454A29" w:rsidRDefault="00454A29">
            <w:pPr>
              <w:pStyle w:val="ConsPlusNormal"/>
            </w:pPr>
          </w:p>
        </w:tc>
        <w:tc>
          <w:tcPr>
            <w:tcW w:w="1701" w:type="dxa"/>
            <w:vAlign w:val="center"/>
          </w:tcPr>
          <w:p w14:paraId="5C4DA69E" w14:textId="77777777" w:rsidR="00454A29" w:rsidRDefault="00454A29">
            <w:pPr>
              <w:pStyle w:val="ConsPlusNormal"/>
            </w:pPr>
          </w:p>
        </w:tc>
        <w:tc>
          <w:tcPr>
            <w:tcW w:w="1814" w:type="dxa"/>
            <w:vAlign w:val="center"/>
          </w:tcPr>
          <w:p w14:paraId="29FDD59D" w14:textId="77777777" w:rsidR="00454A29" w:rsidRDefault="00454A29">
            <w:pPr>
              <w:pStyle w:val="ConsPlusNormal"/>
            </w:pPr>
          </w:p>
        </w:tc>
      </w:tr>
      <w:tr w:rsidR="00454A29" w14:paraId="73C38F30" w14:textId="77777777">
        <w:tc>
          <w:tcPr>
            <w:tcW w:w="567" w:type="dxa"/>
            <w:vMerge/>
          </w:tcPr>
          <w:p w14:paraId="25721439" w14:textId="77777777" w:rsidR="00454A29" w:rsidRDefault="00454A29"/>
        </w:tc>
        <w:tc>
          <w:tcPr>
            <w:tcW w:w="3345" w:type="dxa"/>
            <w:vMerge/>
          </w:tcPr>
          <w:p w14:paraId="247E9ECF" w14:textId="77777777" w:rsidR="00454A29" w:rsidRDefault="00454A29"/>
        </w:tc>
        <w:tc>
          <w:tcPr>
            <w:tcW w:w="1701" w:type="dxa"/>
            <w:vAlign w:val="center"/>
          </w:tcPr>
          <w:p w14:paraId="289F2558" w14:textId="77777777" w:rsidR="00454A29" w:rsidRDefault="00454A29">
            <w:pPr>
              <w:pStyle w:val="ConsPlusNormal"/>
              <w:jc w:val="center"/>
            </w:pPr>
            <w:r>
              <w:t>2024</w:t>
            </w:r>
          </w:p>
        </w:tc>
        <w:tc>
          <w:tcPr>
            <w:tcW w:w="1417" w:type="dxa"/>
            <w:vMerge/>
          </w:tcPr>
          <w:p w14:paraId="7C687902" w14:textId="77777777" w:rsidR="00454A29" w:rsidRDefault="00454A29"/>
        </w:tc>
        <w:tc>
          <w:tcPr>
            <w:tcW w:w="2204" w:type="dxa"/>
            <w:vMerge/>
          </w:tcPr>
          <w:p w14:paraId="4EF72BF9" w14:textId="77777777" w:rsidR="00454A29" w:rsidRDefault="00454A29"/>
        </w:tc>
        <w:tc>
          <w:tcPr>
            <w:tcW w:w="1417" w:type="dxa"/>
            <w:vMerge/>
          </w:tcPr>
          <w:p w14:paraId="7B5EDF2C" w14:textId="77777777" w:rsidR="00454A29" w:rsidRDefault="00454A29"/>
        </w:tc>
        <w:tc>
          <w:tcPr>
            <w:tcW w:w="2324" w:type="dxa"/>
            <w:vMerge/>
          </w:tcPr>
          <w:p w14:paraId="01A49486" w14:textId="77777777" w:rsidR="00454A29" w:rsidRDefault="00454A29"/>
        </w:tc>
        <w:tc>
          <w:tcPr>
            <w:tcW w:w="1701" w:type="dxa"/>
            <w:vAlign w:val="center"/>
          </w:tcPr>
          <w:p w14:paraId="21E27DC5" w14:textId="77777777" w:rsidR="00454A29" w:rsidRDefault="00454A29">
            <w:pPr>
              <w:pStyle w:val="ConsPlusNormal"/>
              <w:jc w:val="center"/>
            </w:pPr>
            <w:r>
              <w:t>-</w:t>
            </w:r>
          </w:p>
        </w:tc>
        <w:tc>
          <w:tcPr>
            <w:tcW w:w="1814" w:type="dxa"/>
            <w:vAlign w:val="center"/>
          </w:tcPr>
          <w:p w14:paraId="08FFC50A" w14:textId="77777777" w:rsidR="00454A29" w:rsidRDefault="00454A29">
            <w:pPr>
              <w:pStyle w:val="ConsPlusNormal"/>
            </w:pPr>
          </w:p>
        </w:tc>
        <w:tc>
          <w:tcPr>
            <w:tcW w:w="1701" w:type="dxa"/>
            <w:vAlign w:val="center"/>
          </w:tcPr>
          <w:p w14:paraId="5736C0C6" w14:textId="77777777" w:rsidR="00454A29" w:rsidRDefault="00454A29">
            <w:pPr>
              <w:pStyle w:val="ConsPlusNormal"/>
            </w:pPr>
          </w:p>
        </w:tc>
        <w:tc>
          <w:tcPr>
            <w:tcW w:w="1701" w:type="dxa"/>
            <w:vAlign w:val="center"/>
          </w:tcPr>
          <w:p w14:paraId="6A8E4D99" w14:textId="77777777" w:rsidR="00454A29" w:rsidRDefault="00454A29">
            <w:pPr>
              <w:pStyle w:val="ConsPlusNormal"/>
            </w:pPr>
          </w:p>
        </w:tc>
        <w:tc>
          <w:tcPr>
            <w:tcW w:w="1814" w:type="dxa"/>
            <w:vAlign w:val="center"/>
          </w:tcPr>
          <w:p w14:paraId="7043CAAF" w14:textId="77777777" w:rsidR="00454A29" w:rsidRDefault="00454A29">
            <w:pPr>
              <w:pStyle w:val="ConsPlusNormal"/>
            </w:pPr>
          </w:p>
        </w:tc>
      </w:tr>
      <w:tr w:rsidR="00454A29" w14:paraId="6D9FABA7" w14:textId="77777777">
        <w:tc>
          <w:tcPr>
            <w:tcW w:w="567" w:type="dxa"/>
            <w:vMerge/>
          </w:tcPr>
          <w:p w14:paraId="305908C5" w14:textId="77777777" w:rsidR="00454A29" w:rsidRDefault="00454A29"/>
        </w:tc>
        <w:tc>
          <w:tcPr>
            <w:tcW w:w="3345" w:type="dxa"/>
            <w:vMerge/>
          </w:tcPr>
          <w:p w14:paraId="62B2296F" w14:textId="77777777" w:rsidR="00454A29" w:rsidRDefault="00454A29"/>
        </w:tc>
        <w:tc>
          <w:tcPr>
            <w:tcW w:w="1701" w:type="dxa"/>
            <w:vAlign w:val="center"/>
          </w:tcPr>
          <w:p w14:paraId="67EC662E" w14:textId="77777777" w:rsidR="00454A29" w:rsidRDefault="00454A29">
            <w:pPr>
              <w:pStyle w:val="ConsPlusNormal"/>
              <w:jc w:val="center"/>
            </w:pPr>
            <w:r>
              <w:t>2025</w:t>
            </w:r>
          </w:p>
        </w:tc>
        <w:tc>
          <w:tcPr>
            <w:tcW w:w="1417" w:type="dxa"/>
            <w:vMerge/>
          </w:tcPr>
          <w:p w14:paraId="7318F143" w14:textId="77777777" w:rsidR="00454A29" w:rsidRDefault="00454A29"/>
        </w:tc>
        <w:tc>
          <w:tcPr>
            <w:tcW w:w="2204" w:type="dxa"/>
            <w:vMerge/>
          </w:tcPr>
          <w:p w14:paraId="1EEC8F87" w14:textId="77777777" w:rsidR="00454A29" w:rsidRDefault="00454A29"/>
        </w:tc>
        <w:tc>
          <w:tcPr>
            <w:tcW w:w="1417" w:type="dxa"/>
            <w:vMerge/>
          </w:tcPr>
          <w:p w14:paraId="744AEF01" w14:textId="77777777" w:rsidR="00454A29" w:rsidRDefault="00454A29"/>
        </w:tc>
        <w:tc>
          <w:tcPr>
            <w:tcW w:w="2324" w:type="dxa"/>
            <w:vMerge/>
          </w:tcPr>
          <w:p w14:paraId="79BFE5B5" w14:textId="77777777" w:rsidR="00454A29" w:rsidRDefault="00454A29"/>
        </w:tc>
        <w:tc>
          <w:tcPr>
            <w:tcW w:w="1701" w:type="dxa"/>
            <w:vAlign w:val="center"/>
          </w:tcPr>
          <w:p w14:paraId="51DC43C5" w14:textId="77777777" w:rsidR="00454A29" w:rsidRDefault="00454A29">
            <w:pPr>
              <w:pStyle w:val="ConsPlusNormal"/>
              <w:jc w:val="center"/>
            </w:pPr>
            <w:r>
              <w:t>-</w:t>
            </w:r>
          </w:p>
        </w:tc>
        <w:tc>
          <w:tcPr>
            <w:tcW w:w="1814" w:type="dxa"/>
            <w:vAlign w:val="center"/>
          </w:tcPr>
          <w:p w14:paraId="0A20AF84" w14:textId="77777777" w:rsidR="00454A29" w:rsidRDefault="00454A29">
            <w:pPr>
              <w:pStyle w:val="ConsPlusNormal"/>
            </w:pPr>
          </w:p>
        </w:tc>
        <w:tc>
          <w:tcPr>
            <w:tcW w:w="1701" w:type="dxa"/>
            <w:vAlign w:val="center"/>
          </w:tcPr>
          <w:p w14:paraId="22FA115A" w14:textId="77777777" w:rsidR="00454A29" w:rsidRDefault="00454A29">
            <w:pPr>
              <w:pStyle w:val="ConsPlusNormal"/>
            </w:pPr>
          </w:p>
        </w:tc>
        <w:tc>
          <w:tcPr>
            <w:tcW w:w="1701" w:type="dxa"/>
            <w:vAlign w:val="center"/>
          </w:tcPr>
          <w:p w14:paraId="6E787E96" w14:textId="77777777" w:rsidR="00454A29" w:rsidRDefault="00454A29">
            <w:pPr>
              <w:pStyle w:val="ConsPlusNormal"/>
            </w:pPr>
          </w:p>
        </w:tc>
        <w:tc>
          <w:tcPr>
            <w:tcW w:w="1814" w:type="dxa"/>
            <w:vAlign w:val="center"/>
          </w:tcPr>
          <w:p w14:paraId="1F9D38FB" w14:textId="77777777" w:rsidR="00454A29" w:rsidRDefault="00454A29">
            <w:pPr>
              <w:pStyle w:val="ConsPlusNormal"/>
            </w:pPr>
          </w:p>
        </w:tc>
      </w:tr>
      <w:tr w:rsidR="00454A29" w14:paraId="32384743" w14:textId="77777777">
        <w:tc>
          <w:tcPr>
            <w:tcW w:w="567" w:type="dxa"/>
            <w:vMerge/>
          </w:tcPr>
          <w:p w14:paraId="218927E5" w14:textId="77777777" w:rsidR="00454A29" w:rsidRDefault="00454A29"/>
        </w:tc>
        <w:tc>
          <w:tcPr>
            <w:tcW w:w="3345" w:type="dxa"/>
            <w:vMerge/>
          </w:tcPr>
          <w:p w14:paraId="25CC4A58" w14:textId="77777777" w:rsidR="00454A29" w:rsidRDefault="00454A29"/>
        </w:tc>
        <w:tc>
          <w:tcPr>
            <w:tcW w:w="1701" w:type="dxa"/>
            <w:vAlign w:val="center"/>
          </w:tcPr>
          <w:p w14:paraId="294CD6C1" w14:textId="77777777" w:rsidR="00454A29" w:rsidRDefault="00454A29">
            <w:pPr>
              <w:pStyle w:val="ConsPlusNormal"/>
              <w:jc w:val="center"/>
            </w:pPr>
            <w:r>
              <w:t>2026</w:t>
            </w:r>
          </w:p>
        </w:tc>
        <w:tc>
          <w:tcPr>
            <w:tcW w:w="1417" w:type="dxa"/>
            <w:vMerge/>
          </w:tcPr>
          <w:p w14:paraId="03D77A37" w14:textId="77777777" w:rsidR="00454A29" w:rsidRDefault="00454A29"/>
        </w:tc>
        <w:tc>
          <w:tcPr>
            <w:tcW w:w="2204" w:type="dxa"/>
            <w:vMerge/>
          </w:tcPr>
          <w:p w14:paraId="7C784A1F" w14:textId="77777777" w:rsidR="00454A29" w:rsidRDefault="00454A29"/>
        </w:tc>
        <w:tc>
          <w:tcPr>
            <w:tcW w:w="1417" w:type="dxa"/>
            <w:vMerge/>
          </w:tcPr>
          <w:p w14:paraId="2DC085AB" w14:textId="77777777" w:rsidR="00454A29" w:rsidRDefault="00454A29"/>
        </w:tc>
        <w:tc>
          <w:tcPr>
            <w:tcW w:w="2324" w:type="dxa"/>
            <w:vMerge/>
          </w:tcPr>
          <w:p w14:paraId="4DD4B515" w14:textId="77777777" w:rsidR="00454A29" w:rsidRDefault="00454A29"/>
        </w:tc>
        <w:tc>
          <w:tcPr>
            <w:tcW w:w="1701" w:type="dxa"/>
            <w:vAlign w:val="center"/>
          </w:tcPr>
          <w:p w14:paraId="7433B6CD" w14:textId="77777777" w:rsidR="00454A29" w:rsidRDefault="00454A29">
            <w:pPr>
              <w:pStyle w:val="ConsPlusNormal"/>
              <w:jc w:val="center"/>
            </w:pPr>
            <w:r>
              <w:t>-</w:t>
            </w:r>
          </w:p>
        </w:tc>
        <w:tc>
          <w:tcPr>
            <w:tcW w:w="1814" w:type="dxa"/>
            <w:vAlign w:val="center"/>
          </w:tcPr>
          <w:p w14:paraId="7EF8BDF2" w14:textId="77777777" w:rsidR="00454A29" w:rsidRDefault="00454A29">
            <w:pPr>
              <w:pStyle w:val="ConsPlusNormal"/>
            </w:pPr>
          </w:p>
        </w:tc>
        <w:tc>
          <w:tcPr>
            <w:tcW w:w="1701" w:type="dxa"/>
            <w:vAlign w:val="center"/>
          </w:tcPr>
          <w:p w14:paraId="279BE746" w14:textId="77777777" w:rsidR="00454A29" w:rsidRDefault="00454A29">
            <w:pPr>
              <w:pStyle w:val="ConsPlusNormal"/>
            </w:pPr>
          </w:p>
        </w:tc>
        <w:tc>
          <w:tcPr>
            <w:tcW w:w="1701" w:type="dxa"/>
            <w:vAlign w:val="center"/>
          </w:tcPr>
          <w:p w14:paraId="230433BC" w14:textId="77777777" w:rsidR="00454A29" w:rsidRDefault="00454A29">
            <w:pPr>
              <w:pStyle w:val="ConsPlusNormal"/>
            </w:pPr>
          </w:p>
        </w:tc>
        <w:tc>
          <w:tcPr>
            <w:tcW w:w="1814" w:type="dxa"/>
            <w:vAlign w:val="center"/>
          </w:tcPr>
          <w:p w14:paraId="73417BD3" w14:textId="77777777" w:rsidR="00454A29" w:rsidRDefault="00454A29">
            <w:pPr>
              <w:pStyle w:val="ConsPlusNormal"/>
            </w:pPr>
          </w:p>
        </w:tc>
      </w:tr>
      <w:tr w:rsidR="00454A29" w14:paraId="4D10AAE1" w14:textId="77777777">
        <w:tc>
          <w:tcPr>
            <w:tcW w:w="567" w:type="dxa"/>
            <w:vMerge w:val="restart"/>
            <w:vAlign w:val="center"/>
          </w:tcPr>
          <w:p w14:paraId="3412A7B0" w14:textId="77777777" w:rsidR="00454A29" w:rsidRDefault="00454A29">
            <w:pPr>
              <w:pStyle w:val="ConsPlusNormal"/>
              <w:jc w:val="center"/>
            </w:pPr>
            <w:r>
              <w:t>122</w:t>
            </w:r>
          </w:p>
        </w:tc>
        <w:tc>
          <w:tcPr>
            <w:tcW w:w="3345" w:type="dxa"/>
            <w:vMerge w:val="restart"/>
            <w:vAlign w:val="center"/>
          </w:tcPr>
          <w:p w14:paraId="4AB7D651" w14:textId="77777777" w:rsidR="00454A29" w:rsidRDefault="00454A29">
            <w:pPr>
              <w:pStyle w:val="ConsPlusNormal"/>
              <w:jc w:val="center"/>
            </w:pPr>
            <w:r>
              <w:t>Детский сад на 280 мест в г. Нюрба Нюрбинского района</w:t>
            </w:r>
          </w:p>
        </w:tc>
        <w:tc>
          <w:tcPr>
            <w:tcW w:w="1701" w:type="dxa"/>
            <w:vAlign w:val="center"/>
          </w:tcPr>
          <w:p w14:paraId="09A5B0EE" w14:textId="77777777" w:rsidR="00454A29" w:rsidRDefault="00454A29">
            <w:pPr>
              <w:pStyle w:val="ConsPlusNormal"/>
              <w:jc w:val="center"/>
            </w:pPr>
            <w:r>
              <w:t>Всего:</w:t>
            </w:r>
          </w:p>
        </w:tc>
        <w:tc>
          <w:tcPr>
            <w:tcW w:w="1417" w:type="dxa"/>
            <w:vMerge w:val="restart"/>
            <w:vAlign w:val="center"/>
          </w:tcPr>
          <w:p w14:paraId="34814339" w14:textId="77777777" w:rsidR="00454A29" w:rsidRDefault="00454A29">
            <w:pPr>
              <w:pStyle w:val="ConsPlusNormal"/>
              <w:jc w:val="center"/>
            </w:pPr>
            <w:r>
              <w:t>205 025,97</w:t>
            </w:r>
          </w:p>
        </w:tc>
        <w:tc>
          <w:tcPr>
            <w:tcW w:w="2204" w:type="dxa"/>
            <w:vMerge w:val="restart"/>
            <w:vAlign w:val="center"/>
          </w:tcPr>
          <w:p w14:paraId="5DFCB45A" w14:textId="77777777" w:rsidR="00454A29" w:rsidRDefault="00454A29">
            <w:pPr>
              <w:pStyle w:val="ConsPlusNormal"/>
            </w:pPr>
          </w:p>
        </w:tc>
        <w:tc>
          <w:tcPr>
            <w:tcW w:w="1417" w:type="dxa"/>
            <w:vMerge w:val="restart"/>
            <w:vAlign w:val="center"/>
          </w:tcPr>
          <w:p w14:paraId="429FC7F2" w14:textId="77777777" w:rsidR="00454A29" w:rsidRDefault="00454A29">
            <w:pPr>
              <w:pStyle w:val="ConsPlusNormal"/>
              <w:jc w:val="center"/>
            </w:pPr>
            <w:r>
              <w:t>280</w:t>
            </w:r>
          </w:p>
        </w:tc>
        <w:tc>
          <w:tcPr>
            <w:tcW w:w="2324" w:type="dxa"/>
            <w:vMerge w:val="restart"/>
            <w:vAlign w:val="center"/>
          </w:tcPr>
          <w:p w14:paraId="06C6744C" w14:textId="77777777" w:rsidR="00454A29" w:rsidRDefault="00454A29">
            <w:pPr>
              <w:pStyle w:val="ConsPlusNormal"/>
              <w:jc w:val="center"/>
            </w:pPr>
            <w:r>
              <w:t>Министерство строительства РС(Я)</w:t>
            </w:r>
          </w:p>
        </w:tc>
        <w:tc>
          <w:tcPr>
            <w:tcW w:w="1701" w:type="dxa"/>
            <w:vAlign w:val="center"/>
          </w:tcPr>
          <w:p w14:paraId="066831DF" w14:textId="77777777" w:rsidR="00454A29" w:rsidRDefault="00454A29">
            <w:pPr>
              <w:pStyle w:val="ConsPlusNormal"/>
              <w:jc w:val="center"/>
            </w:pPr>
            <w:r>
              <w:t>205 025,97</w:t>
            </w:r>
          </w:p>
        </w:tc>
        <w:tc>
          <w:tcPr>
            <w:tcW w:w="1814" w:type="dxa"/>
            <w:vAlign w:val="center"/>
          </w:tcPr>
          <w:p w14:paraId="664DFC92" w14:textId="77777777" w:rsidR="00454A29" w:rsidRDefault="00454A29">
            <w:pPr>
              <w:pStyle w:val="ConsPlusNormal"/>
              <w:jc w:val="center"/>
            </w:pPr>
            <w:r>
              <w:t>2 029,76</w:t>
            </w:r>
          </w:p>
        </w:tc>
        <w:tc>
          <w:tcPr>
            <w:tcW w:w="1701" w:type="dxa"/>
            <w:vAlign w:val="center"/>
          </w:tcPr>
          <w:p w14:paraId="58DF4E98" w14:textId="77777777" w:rsidR="00454A29" w:rsidRDefault="00454A29">
            <w:pPr>
              <w:pStyle w:val="ConsPlusNormal"/>
              <w:jc w:val="center"/>
            </w:pPr>
            <w:r>
              <w:t>200 945,95</w:t>
            </w:r>
          </w:p>
        </w:tc>
        <w:tc>
          <w:tcPr>
            <w:tcW w:w="1701" w:type="dxa"/>
            <w:vAlign w:val="center"/>
          </w:tcPr>
          <w:p w14:paraId="09D70A18" w14:textId="77777777" w:rsidR="00454A29" w:rsidRDefault="00454A29">
            <w:pPr>
              <w:pStyle w:val="ConsPlusNormal"/>
              <w:jc w:val="center"/>
            </w:pPr>
            <w:r>
              <w:t>2 050,26</w:t>
            </w:r>
          </w:p>
        </w:tc>
        <w:tc>
          <w:tcPr>
            <w:tcW w:w="1814" w:type="dxa"/>
            <w:vAlign w:val="center"/>
          </w:tcPr>
          <w:p w14:paraId="19AAEB46" w14:textId="77777777" w:rsidR="00454A29" w:rsidRDefault="00454A29">
            <w:pPr>
              <w:pStyle w:val="ConsPlusNormal"/>
              <w:jc w:val="center"/>
            </w:pPr>
            <w:r>
              <w:t>-</w:t>
            </w:r>
          </w:p>
        </w:tc>
      </w:tr>
      <w:tr w:rsidR="00454A29" w14:paraId="04F671C7" w14:textId="77777777">
        <w:tc>
          <w:tcPr>
            <w:tcW w:w="567" w:type="dxa"/>
            <w:vMerge/>
          </w:tcPr>
          <w:p w14:paraId="13785A66" w14:textId="77777777" w:rsidR="00454A29" w:rsidRDefault="00454A29"/>
        </w:tc>
        <w:tc>
          <w:tcPr>
            <w:tcW w:w="3345" w:type="dxa"/>
            <w:vMerge/>
          </w:tcPr>
          <w:p w14:paraId="0B30BAAC" w14:textId="77777777" w:rsidR="00454A29" w:rsidRDefault="00454A29"/>
        </w:tc>
        <w:tc>
          <w:tcPr>
            <w:tcW w:w="1701" w:type="dxa"/>
            <w:vAlign w:val="center"/>
          </w:tcPr>
          <w:p w14:paraId="67761420" w14:textId="77777777" w:rsidR="00454A29" w:rsidRDefault="00454A29">
            <w:pPr>
              <w:pStyle w:val="ConsPlusNormal"/>
              <w:jc w:val="center"/>
            </w:pPr>
            <w:r>
              <w:t>2020</w:t>
            </w:r>
          </w:p>
        </w:tc>
        <w:tc>
          <w:tcPr>
            <w:tcW w:w="1417" w:type="dxa"/>
            <w:vMerge/>
          </w:tcPr>
          <w:p w14:paraId="37EEFFF1" w14:textId="77777777" w:rsidR="00454A29" w:rsidRDefault="00454A29"/>
        </w:tc>
        <w:tc>
          <w:tcPr>
            <w:tcW w:w="2204" w:type="dxa"/>
            <w:vMerge/>
          </w:tcPr>
          <w:p w14:paraId="66DDA51A" w14:textId="77777777" w:rsidR="00454A29" w:rsidRDefault="00454A29"/>
        </w:tc>
        <w:tc>
          <w:tcPr>
            <w:tcW w:w="1417" w:type="dxa"/>
            <w:vMerge/>
          </w:tcPr>
          <w:p w14:paraId="6013CD81" w14:textId="77777777" w:rsidR="00454A29" w:rsidRDefault="00454A29"/>
        </w:tc>
        <w:tc>
          <w:tcPr>
            <w:tcW w:w="2324" w:type="dxa"/>
            <w:vMerge/>
          </w:tcPr>
          <w:p w14:paraId="72BFBFC0" w14:textId="77777777" w:rsidR="00454A29" w:rsidRDefault="00454A29"/>
        </w:tc>
        <w:tc>
          <w:tcPr>
            <w:tcW w:w="1701" w:type="dxa"/>
            <w:vAlign w:val="center"/>
          </w:tcPr>
          <w:p w14:paraId="412C2C8D" w14:textId="77777777" w:rsidR="00454A29" w:rsidRDefault="00454A29">
            <w:pPr>
              <w:pStyle w:val="ConsPlusNormal"/>
              <w:jc w:val="center"/>
            </w:pPr>
            <w:r>
              <w:t>205 025,97</w:t>
            </w:r>
          </w:p>
        </w:tc>
        <w:tc>
          <w:tcPr>
            <w:tcW w:w="1814" w:type="dxa"/>
            <w:vAlign w:val="center"/>
          </w:tcPr>
          <w:p w14:paraId="56B5E42E" w14:textId="77777777" w:rsidR="00454A29" w:rsidRDefault="00454A29">
            <w:pPr>
              <w:pStyle w:val="ConsPlusNormal"/>
              <w:jc w:val="center"/>
            </w:pPr>
            <w:r>
              <w:t>2 029,76</w:t>
            </w:r>
          </w:p>
        </w:tc>
        <w:tc>
          <w:tcPr>
            <w:tcW w:w="1701" w:type="dxa"/>
            <w:vAlign w:val="center"/>
          </w:tcPr>
          <w:p w14:paraId="1AFF9314" w14:textId="77777777" w:rsidR="00454A29" w:rsidRDefault="00454A29">
            <w:pPr>
              <w:pStyle w:val="ConsPlusNormal"/>
              <w:jc w:val="center"/>
            </w:pPr>
            <w:r>
              <w:t>200 945,95</w:t>
            </w:r>
          </w:p>
        </w:tc>
        <w:tc>
          <w:tcPr>
            <w:tcW w:w="1701" w:type="dxa"/>
            <w:vAlign w:val="center"/>
          </w:tcPr>
          <w:p w14:paraId="59BA1BFD" w14:textId="77777777" w:rsidR="00454A29" w:rsidRDefault="00454A29">
            <w:pPr>
              <w:pStyle w:val="ConsPlusNormal"/>
              <w:jc w:val="center"/>
            </w:pPr>
            <w:r>
              <w:t>2 050,26</w:t>
            </w:r>
          </w:p>
        </w:tc>
        <w:tc>
          <w:tcPr>
            <w:tcW w:w="1814" w:type="dxa"/>
            <w:vAlign w:val="center"/>
          </w:tcPr>
          <w:p w14:paraId="53D09BD1" w14:textId="77777777" w:rsidR="00454A29" w:rsidRDefault="00454A29">
            <w:pPr>
              <w:pStyle w:val="ConsPlusNormal"/>
            </w:pPr>
          </w:p>
        </w:tc>
      </w:tr>
      <w:tr w:rsidR="00454A29" w14:paraId="493E2830" w14:textId="77777777">
        <w:tc>
          <w:tcPr>
            <w:tcW w:w="567" w:type="dxa"/>
            <w:vMerge/>
          </w:tcPr>
          <w:p w14:paraId="7D779264" w14:textId="77777777" w:rsidR="00454A29" w:rsidRDefault="00454A29"/>
        </w:tc>
        <w:tc>
          <w:tcPr>
            <w:tcW w:w="3345" w:type="dxa"/>
            <w:vMerge/>
          </w:tcPr>
          <w:p w14:paraId="6F3801E2" w14:textId="77777777" w:rsidR="00454A29" w:rsidRDefault="00454A29"/>
        </w:tc>
        <w:tc>
          <w:tcPr>
            <w:tcW w:w="1701" w:type="dxa"/>
            <w:vAlign w:val="center"/>
          </w:tcPr>
          <w:p w14:paraId="52AD292C" w14:textId="77777777" w:rsidR="00454A29" w:rsidRDefault="00454A29">
            <w:pPr>
              <w:pStyle w:val="ConsPlusNormal"/>
              <w:jc w:val="center"/>
            </w:pPr>
            <w:r>
              <w:t>2021</w:t>
            </w:r>
          </w:p>
        </w:tc>
        <w:tc>
          <w:tcPr>
            <w:tcW w:w="1417" w:type="dxa"/>
            <w:vMerge/>
          </w:tcPr>
          <w:p w14:paraId="58115061" w14:textId="77777777" w:rsidR="00454A29" w:rsidRDefault="00454A29"/>
        </w:tc>
        <w:tc>
          <w:tcPr>
            <w:tcW w:w="2204" w:type="dxa"/>
            <w:vMerge/>
          </w:tcPr>
          <w:p w14:paraId="2B457973" w14:textId="77777777" w:rsidR="00454A29" w:rsidRDefault="00454A29"/>
        </w:tc>
        <w:tc>
          <w:tcPr>
            <w:tcW w:w="1417" w:type="dxa"/>
            <w:vMerge/>
          </w:tcPr>
          <w:p w14:paraId="2350ECF2" w14:textId="77777777" w:rsidR="00454A29" w:rsidRDefault="00454A29"/>
        </w:tc>
        <w:tc>
          <w:tcPr>
            <w:tcW w:w="2324" w:type="dxa"/>
            <w:vMerge/>
          </w:tcPr>
          <w:p w14:paraId="729ED448" w14:textId="77777777" w:rsidR="00454A29" w:rsidRDefault="00454A29"/>
        </w:tc>
        <w:tc>
          <w:tcPr>
            <w:tcW w:w="1701" w:type="dxa"/>
            <w:vAlign w:val="center"/>
          </w:tcPr>
          <w:p w14:paraId="5242BC3A" w14:textId="77777777" w:rsidR="00454A29" w:rsidRDefault="00454A29">
            <w:pPr>
              <w:pStyle w:val="ConsPlusNormal"/>
              <w:jc w:val="center"/>
            </w:pPr>
            <w:r>
              <w:t>-</w:t>
            </w:r>
          </w:p>
        </w:tc>
        <w:tc>
          <w:tcPr>
            <w:tcW w:w="1814" w:type="dxa"/>
            <w:vAlign w:val="center"/>
          </w:tcPr>
          <w:p w14:paraId="653BD077" w14:textId="77777777" w:rsidR="00454A29" w:rsidRDefault="00454A29">
            <w:pPr>
              <w:pStyle w:val="ConsPlusNormal"/>
            </w:pPr>
          </w:p>
        </w:tc>
        <w:tc>
          <w:tcPr>
            <w:tcW w:w="1701" w:type="dxa"/>
            <w:vAlign w:val="center"/>
          </w:tcPr>
          <w:p w14:paraId="42B94570" w14:textId="77777777" w:rsidR="00454A29" w:rsidRDefault="00454A29">
            <w:pPr>
              <w:pStyle w:val="ConsPlusNormal"/>
            </w:pPr>
          </w:p>
        </w:tc>
        <w:tc>
          <w:tcPr>
            <w:tcW w:w="1701" w:type="dxa"/>
            <w:vAlign w:val="center"/>
          </w:tcPr>
          <w:p w14:paraId="58A9BC38" w14:textId="77777777" w:rsidR="00454A29" w:rsidRDefault="00454A29">
            <w:pPr>
              <w:pStyle w:val="ConsPlusNormal"/>
            </w:pPr>
          </w:p>
        </w:tc>
        <w:tc>
          <w:tcPr>
            <w:tcW w:w="1814" w:type="dxa"/>
            <w:vAlign w:val="center"/>
          </w:tcPr>
          <w:p w14:paraId="02A684B8" w14:textId="77777777" w:rsidR="00454A29" w:rsidRDefault="00454A29">
            <w:pPr>
              <w:pStyle w:val="ConsPlusNormal"/>
            </w:pPr>
          </w:p>
        </w:tc>
      </w:tr>
      <w:tr w:rsidR="00454A29" w14:paraId="19C105E2" w14:textId="77777777">
        <w:tc>
          <w:tcPr>
            <w:tcW w:w="567" w:type="dxa"/>
            <w:vMerge/>
          </w:tcPr>
          <w:p w14:paraId="70988CC2" w14:textId="77777777" w:rsidR="00454A29" w:rsidRDefault="00454A29"/>
        </w:tc>
        <w:tc>
          <w:tcPr>
            <w:tcW w:w="3345" w:type="dxa"/>
            <w:vMerge/>
          </w:tcPr>
          <w:p w14:paraId="275CDEB9" w14:textId="77777777" w:rsidR="00454A29" w:rsidRDefault="00454A29"/>
        </w:tc>
        <w:tc>
          <w:tcPr>
            <w:tcW w:w="1701" w:type="dxa"/>
            <w:vAlign w:val="center"/>
          </w:tcPr>
          <w:p w14:paraId="30D91695" w14:textId="77777777" w:rsidR="00454A29" w:rsidRDefault="00454A29">
            <w:pPr>
              <w:pStyle w:val="ConsPlusNormal"/>
              <w:jc w:val="center"/>
            </w:pPr>
            <w:r>
              <w:t>2022</w:t>
            </w:r>
          </w:p>
        </w:tc>
        <w:tc>
          <w:tcPr>
            <w:tcW w:w="1417" w:type="dxa"/>
            <w:vMerge/>
          </w:tcPr>
          <w:p w14:paraId="13440E86" w14:textId="77777777" w:rsidR="00454A29" w:rsidRDefault="00454A29"/>
        </w:tc>
        <w:tc>
          <w:tcPr>
            <w:tcW w:w="2204" w:type="dxa"/>
            <w:vMerge/>
          </w:tcPr>
          <w:p w14:paraId="34EDED97" w14:textId="77777777" w:rsidR="00454A29" w:rsidRDefault="00454A29"/>
        </w:tc>
        <w:tc>
          <w:tcPr>
            <w:tcW w:w="1417" w:type="dxa"/>
            <w:vMerge/>
          </w:tcPr>
          <w:p w14:paraId="26C09B90" w14:textId="77777777" w:rsidR="00454A29" w:rsidRDefault="00454A29"/>
        </w:tc>
        <w:tc>
          <w:tcPr>
            <w:tcW w:w="2324" w:type="dxa"/>
            <w:vMerge/>
          </w:tcPr>
          <w:p w14:paraId="461CB7C2" w14:textId="77777777" w:rsidR="00454A29" w:rsidRDefault="00454A29"/>
        </w:tc>
        <w:tc>
          <w:tcPr>
            <w:tcW w:w="1701" w:type="dxa"/>
            <w:vAlign w:val="center"/>
          </w:tcPr>
          <w:p w14:paraId="56C25C26" w14:textId="77777777" w:rsidR="00454A29" w:rsidRDefault="00454A29">
            <w:pPr>
              <w:pStyle w:val="ConsPlusNormal"/>
              <w:jc w:val="center"/>
            </w:pPr>
            <w:r>
              <w:t>-</w:t>
            </w:r>
          </w:p>
        </w:tc>
        <w:tc>
          <w:tcPr>
            <w:tcW w:w="1814" w:type="dxa"/>
            <w:vAlign w:val="center"/>
          </w:tcPr>
          <w:p w14:paraId="7956135D" w14:textId="77777777" w:rsidR="00454A29" w:rsidRDefault="00454A29">
            <w:pPr>
              <w:pStyle w:val="ConsPlusNormal"/>
            </w:pPr>
          </w:p>
        </w:tc>
        <w:tc>
          <w:tcPr>
            <w:tcW w:w="1701" w:type="dxa"/>
            <w:vAlign w:val="center"/>
          </w:tcPr>
          <w:p w14:paraId="7631D6C2" w14:textId="77777777" w:rsidR="00454A29" w:rsidRDefault="00454A29">
            <w:pPr>
              <w:pStyle w:val="ConsPlusNormal"/>
            </w:pPr>
          </w:p>
        </w:tc>
        <w:tc>
          <w:tcPr>
            <w:tcW w:w="1701" w:type="dxa"/>
            <w:vAlign w:val="center"/>
          </w:tcPr>
          <w:p w14:paraId="7108D9F8" w14:textId="77777777" w:rsidR="00454A29" w:rsidRDefault="00454A29">
            <w:pPr>
              <w:pStyle w:val="ConsPlusNormal"/>
            </w:pPr>
          </w:p>
        </w:tc>
        <w:tc>
          <w:tcPr>
            <w:tcW w:w="1814" w:type="dxa"/>
            <w:vAlign w:val="center"/>
          </w:tcPr>
          <w:p w14:paraId="7B9EE4EB" w14:textId="77777777" w:rsidR="00454A29" w:rsidRDefault="00454A29">
            <w:pPr>
              <w:pStyle w:val="ConsPlusNormal"/>
            </w:pPr>
          </w:p>
        </w:tc>
      </w:tr>
      <w:tr w:rsidR="00454A29" w14:paraId="28029BF0" w14:textId="77777777">
        <w:tc>
          <w:tcPr>
            <w:tcW w:w="567" w:type="dxa"/>
            <w:vMerge/>
          </w:tcPr>
          <w:p w14:paraId="1D0B61FB" w14:textId="77777777" w:rsidR="00454A29" w:rsidRDefault="00454A29"/>
        </w:tc>
        <w:tc>
          <w:tcPr>
            <w:tcW w:w="3345" w:type="dxa"/>
            <w:vMerge/>
          </w:tcPr>
          <w:p w14:paraId="58BA9A79" w14:textId="77777777" w:rsidR="00454A29" w:rsidRDefault="00454A29"/>
        </w:tc>
        <w:tc>
          <w:tcPr>
            <w:tcW w:w="1701" w:type="dxa"/>
            <w:vAlign w:val="center"/>
          </w:tcPr>
          <w:p w14:paraId="09C4E7F5" w14:textId="77777777" w:rsidR="00454A29" w:rsidRDefault="00454A29">
            <w:pPr>
              <w:pStyle w:val="ConsPlusNormal"/>
              <w:jc w:val="center"/>
            </w:pPr>
            <w:r>
              <w:t>2023</w:t>
            </w:r>
          </w:p>
        </w:tc>
        <w:tc>
          <w:tcPr>
            <w:tcW w:w="1417" w:type="dxa"/>
            <w:vMerge/>
          </w:tcPr>
          <w:p w14:paraId="620346DE" w14:textId="77777777" w:rsidR="00454A29" w:rsidRDefault="00454A29"/>
        </w:tc>
        <w:tc>
          <w:tcPr>
            <w:tcW w:w="2204" w:type="dxa"/>
            <w:vMerge/>
          </w:tcPr>
          <w:p w14:paraId="32C29A93" w14:textId="77777777" w:rsidR="00454A29" w:rsidRDefault="00454A29"/>
        </w:tc>
        <w:tc>
          <w:tcPr>
            <w:tcW w:w="1417" w:type="dxa"/>
            <w:vMerge/>
          </w:tcPr>
          <w:p w14:paraId="6EB0D0C4" w14:textId="77777777" w:rsidR="00454A29" w:rsidRDefault="00454A29"/>
        </w:tc>
        <w:tc>
          <w:tcPr>
            <w:tcW w:w="2324" w:type="dxa"/>
            <w:vMerge/>
          </w:tcPr>
          <w:p w14:paraId="1045E777" w14:textId="77777777" w:rsidR="00454A29" w:rsidRDefault="00454A29"/>
        </w:tc>
        <w:tc>
          <w:tcPr>
            <w:tcW w:w="1701" w:type="dxa"/>
            <w:vAlign w:val="center"/>
          </w:tcPr>
          <w:p w14:paraId="64CD883C" w14:textId="77777777" w:rsidR="00454A29" w:rsidRDefault="00454A29">
            <w:pPr>
              <w:pStyle w:val="ConsPlusNormal"/>
              <w:jc w:val="center"/>
            </w:pPr>
            <w:r>
              <w:t>-</w:t>
            </w:r>
          </w:p>
        </w:tc>
        <w:tc>
          <w:tcPr>
            <w:tcW w:w="1814" w:type="dxa"/>
            <w:vAlign w:val="center"/>
          </w:tcPr>
          <w:p w14:paraId="3BF054FE" w14:textId="77777777" w:rsidR="00454A29" w:rsidRDefault="00454A29">
            <w:pPr>
              <w:pStyle w:val="ConsPlusNormal"/>
            </w:pPr>
          </w:p>
        </w:tc>
        <w:tc>
          <w:tcPr>
            <w:tcW w:w="1701" w:type="dxa"/>
            <w:vAlign w:val="center"/>
          </w:tcPr>
          <w:p w14:paraId="0DF95D08" w14:textId="77777777" w:rsidR="00454A29" w:rsidRDefault="00454A29">
            <w:pPr>
              <w:pStyle w:val="ConsPlusNormal"/>
            </w:pPr>
          </w:p>
        </w:tc>
        <w:tc>
          <w:tcPr>
            <w:tcW w:w="1701" w:type="dxa"/>
            <w:vAlign w:val="center"/>
          </w:tcPr>
          <w:p w14:paraId="3272BDB2" w14:textId="77777777" w:rsidR="00454A29" w:rsidRDefault="00454A29">
            <w:pPr>
              <w:pStyle w:val="ConsPlusNormal"/>
            </w:pPr>
          </w:p>
        </w:tc>
        <w:tc>
          <w:tcPr>
            <w:tcW w:w="1814" w:type="dxa"/>
            <w:vAlign w:val="center"/>
          </w:tcPr>
          <w:p w14:paraId="76E41B92" w14:textId="77777777" w:rsidR="00454A29" w:rsidRDefault="00454A29">
            <w:pPr>
              <w:pStyle w:val="ConsPlusNormal"/>
            </w:pPr>
          </w:p>
        </w:tc>
      </w:tr>
      <w:tr w:rsidR="00454A29" w14:paraId="642900E1" w14:textId="77777777">
        <w:tc>
          <w:tcPr>
            <w:tcW w:w="567" w:type="dxa"/>
            <w:vMerge/>
          </w:tcPr>
          <w:p w14:paraId="07250F3F" w14:textId="77777777" w:rsidR="00454A29" w:rsidRDefault="00454A29"/>
        </w:tc>
        <w:tc>
          <w:tcPr>
            <w:tcW w:w="3345" w:type="dxa"/>
            <w:vMerge/>
          </w:tcPr>
          <w:p w14:paraId="33C69B2F" w14:textId="77777777" w:rsidR="00454A29" w:rsidRDefault="00454A29"/>
        </w:tc>
        <w:tc>
          <w:tcPr>
            <w:tcW w:w="1701" w:type="dxa"/>
            <w:vAlign w:val="center"/>
          </w:tcPr>
          <w:p w14:paraId="653C35DC" w14:textId="77777777" w:rsidR="00454A29" w:rsidRDefault="00454A29">
            <w:pPr>
              <w:pStyle w:val="ConsPlusNormal"/>
              <w:jc w:val="center"/>
            </w:pPr>
            <w:r>
              <w:t>2024</w:t>
            </w:r>
          </w:p>
        </w:tc>
        <w:tc>
          <w:tcPr>
            <w:tcW w:w="1417" w:type="dxa"/>
            <w:vMerge/>
          </w:tcPr>
          <w:p w14:paraId="51EB2651" w14:textId="77777777" w:rsidR="00454A29" w:rsidRDefault="00454A29"/>
        </w:tc>
        <w:tc>
          <w:tcPr>
            <w:tcW w:w="2204" w:type="dxa"/>
            <w:vMerge/>
          </w:tcPr>
          <w:p w14:paraId="4529D2C2" w14:textId="77777777" w:rsidR="00454A29" w:rsidRDefault="00454A29"/>
        </w:tc>
        <w:tc>
          <w:tcPr>
            <w:tcW w:w="1417" w:type="dxa"/>
            <w:vMerge/>
          </w:tcPr>
          <w:p w14:paraId="70873471" w14:textId="77777777" w:rsidR="00454A29" w:rsidRDefault="00454A29"/>
        </w:tc>
        <w:tc>
          <w:tcPr>
            <w:tcW w:w="2324" w:type="dxa"/>
            <w:vMerge/>
          </w:tcPr>
          <w:p w14:paraId="0DF3B656" w14:textId="77777777" w:rsidR="00454A29" w:rsidRDefault="00454A29"/>
        </w:tc>
        <w:tc>
          <w:tcPr>
            <w:tcW w:w="1701" w:type="dxa"/>
            <w:vAlign w:val="center"/>
          </w:tcPr>
          <w:p w14:paraId="59A6A847" w14:textId="77777777" w:rsidR="00454A29" w:rsidRDefault="00454A29">
            <w:pPr>
              <w:pStyle w:val="ConsPlusNormal"/>
              <w:jc w:val="center"/>
            </w:pPr>
            <w:r>
              <w:t>-</w:t>
            </w:r>
          </w:p>
        </w:tc>
        <w:tc>
          <w:tcPr>
            <w:tcW w:w="1814" w:type="dxa"/>
            <w:vAlign w:val="center"/>
          </w:tcPr>
          <w:p w14:paraId="69929DFB" w14:textId="77777777" w:rsidR="00454A29" w:rsidRDefault="00454A29">
            <w:pPr>
              <w:pStyle w:val="ConsPlusNormal"/>
            </w:pPr>
          </w:p>
        </w:tc>
        <w:tc>
          <w:tcPr>
            <w:tcW w:w="1701" w:type="dxa"/>
            <w:vAlign w:val="center"/>
          </w:tcPr>
          <w:p w14:paraId="38C39F7E" w14:textId="77777777" w:rsidR="00454A29" w:rsidRDefault="00454A29">
            <w:pPr>
              <w:pStyle w:val="ConsPlusNormal"/>
            </w:pPr>
          </w:p>
        </w:tc>
        <w:tc>
          <w:tcPr>
            <w:tcW w:w="1701" w:type="dxa"/>
            <w:vAlign w:val="center"/>
          </w:tcPr>
          <w:p w14:paraId="43CA8189" w14:textId="77777777" w:rsidR="00454A29" w:rsidRDefault="00454A29">
            <w:pPr>
              <w:pStyle w:val="ConsPlusNormal"/>
            </w:pPr>
          </w:p>
        </w:tc>
        <w:tc>
          <w:tcPr>
            <w:tcW w:w="1814" w:type="dxa"/>
            <w:vAlign w:val="center"/>
          </w:tcPr>
          <w:p w14:paraId="4AD839AA" w14:textId="77777777" w:rsidR="00454A29" w:rsidRDefault="00454A29">
            <w:pPr>
              <w:pStyle w:val="ConsPlusNormal"/>
            </w:pPr>
          </w:p>
        </w:tc>
      </w:tr>
      <w:tr w:rsidR="00454A29" w14:paraId="1245D9B2" w14:textId="77777777">
        <w:tc>
          <w:tcPr>
            <w:tcW w:w="567" w:type="dxa"/>
            <w:vMerge/>
          </w:tcPr>
          <w:p w14:paraId="14139494" w14:textId="77777777" w:rsidR="00454A29" w:rsidRDefault="00454A29"/>
        </w:tc>
        <w:tc>
          <w:tcPr>
            <w:tcW w:w="3345" w:type="dxa"/>
            <w:vMerge/>
          </w:tcPr>
          <w:p w14:paraId="4E37A744" w14:textId="77777777" w:rsidR="00454A29" w:rsidRDefault="00454A29"/>
        </w:tc>
        <w:tc>
          <w:tcPr>
            <w:tcW w:w="1701" w:type="dxa"/>
            <w:vAlign w:val="center"/>
          </w:tcPr>
          <w:p w14:paraId="4818A9B4" w14:textId="77777777" w:rsidR="00454A29" w:rsidRDefault="00454A29">
            <w:pPr>
              <w:pStyle w:val="ConsPlusNormal"/>
              <w:jc w:val="center"/>
            </w:pPr>
            <w:r>
              <w:t>2025</w:t>
            </w:r>
          </w:p>
        </w:tc>
        <w:tc>
          <w:tcPr>
            <w:tcW w:w="1417" w:type="dxa"/>
            <w:vMerge/>
          </w:tcPr>
          <w:p w14:paraId="75333B99" w14:textId="77777777" w:rsidR="00454A29" w:rsidRDefault="00454A29"/>
        </w:tc>
        <w:tc>
          <w:tcPr>
            <w:tcW w:w="2204" w:type="dxa"/>
            <w:vMerge/>
          </w:tcPr>
          <w:p w14:paraId="49825B49" w14:textId="77777777" w:rsidR="00454A29" w:rsidRDefault="00454A29"/>
        </w:tc>
        <w:tc>
          <w:tcPr>
            <w:tcW w:w="1417" w:type="dxa"/>
            <w:vMerge/>
          </w:tcPr>
          <w:p w14:paraId="28F4DF5B" w14:textId="77777777" w:rsidR="00454A29" w:rsidRDefault="00454A29"/>
        </w:tc>
        <w:tc>
          <w:tcPr>
            <w:tcW w:w="2324" w:type="dxa"/>
            <w:vMerge/>
          </w:tcPr>
          <w:p w14:paraId="552965BF" w14:textId="77777777" w:rsidR="00454A29" w:rsidRDefault="00454A29"/>
        </w:tc>
        <w:tc>
          <w:tcPr>
            <w:tcW w:w="1701" w:type="dxa"/>
            <w:vAlign w:val="center"/>
          </w:tcPr>
          <w:p w14:paraId="3031395D" w14:textId="77777777" w:rsidR="00454A29" w:rsidRDefault="00454A29">
            <w:pPr>
              <w:pStyle w:val="ConsPlusNormal"/>
              <w:jc w:val="center"/>
            </w:pPr>
            <w:r>
              <w:t>-</w:t>
            </w:r>
          </w:p>
        </w:tc>
        <w:tc>
          <w:tcPr>
            <w:tcW w:w="1814" w:type="dxa"/>
            <w:vAlign w:val="center"/>
          </w:tcPr>
          <w:p w14:paraId="6B726A9E" w14:textId="77777777" w:rsidR="00454A29" w:rsidRDefault="00454A29">
            <w:pPr>
              <w:pStyle w:val="ConsPlusNormal"/>
            </w:pPr>
          </w:p>
        </w:tc>
        <w:tc>
          <w:tcPr>
            <w:tcW w:w="1701" w:type="dxa"/>
            <w:vAlign w:val="center"/>
          </w:tcPr>
          <w:p w14:paraId="1F711454" w14:textId="77777777" w:rsidR="00454A29" w:rsidRDefault="00454A29">
            <w:pPr>
              <w:pStyle w:val="ConsPlusNormal"/>
            </w:pPr>
          </w:p>
        </w:tc>
        <w:tc>
          <w:tcPr>
            <w:tcW w:w="1701" w:type="dxa"/>
            <w:vAlign w:val="center"/>
          </w:tcPr>
          <w:p w14:paraId="5025A7C4" w14:textId="77777777" w:rsidR="00454A29" w:rsidRDefault="00454A29">
            <w:pPr>
              <w:pStyle w:val="ConsPlusNormal"/>
            </w:pPr>
          </w:p>
        </w:tc>
        <w:tc>
          <w:tcPr>
            <w:tcW w:w="1814" w:type="dxa"/>
            <w:vAlign w:val="center"/>
          </w:tcPr>
          <w:p w14:paraId="4FA1EE75" w14:textId="77777777" w:rsidR="00454A29" w:rsidRDefault="00454A29">
            <w:pPr>
              <w:pStyle w:val="ConsPlusNormal"/>
            </w:pPr>
          </w:p>
        </w:tc>
      </w:tr>
      <w:tr w:rsidR="00454A29" w14:paraId="296CF9B3" w14:textId="77777777">
        <w:tc>
          <w:tcPr>
            <w:tcW w:w="567" w:type="dxa"/>
            <w:vMerge/>
          </w:tcPr>
          <w:p w14:paraId="1CBD3751" w14:textId="77777777" w:rsidR="00454A29" w:rsidRDefault="00454A29"/>
        </w:tc>
        <w:tc>
          <w:tcPr>
            <w:tcW w:w="3345" w:type="dxa"/>
            <w:vMerge/>
          </w:tcPr>
          <w:p w14:paraId="21FFD400" w14:textId="77777777" w:rsidR="00454A29" w:rsidRDefault="00454A29"/>
        </w:tc>
        <w:tc>
          <w:tcPr>
            <w:tcW w:w="1701" w:type="dxa"/>
            <w:vAlign w:val="center"/>
          </w:tcPr>
          <w:p w14:paraId="6E74D8F7" w14:textId="77777777" w:rsidR="00454A29" w:rsidRDefault="00454A29">
            <w:pPr>
              <w:pStyle w:val="ConsPlusNormal"/>
              <w:jc w:val="center"/>
            </w:pPr>
            <w:r>
              <w:t>2026</w:t>
            </w:r>
          </w:p>
        </w:tc>
        <w:tc>
          <w:tcPr>
            <w:tcW w:w="1417" w:type="dxa"/>
            <w:vMerge/>
          </w:tcPr>
          <w:p w14:paraId="13B47B30" w14:textId="77777777" w:rsidR="00454A29" w:rsidRDefault="00454A29"/>
        </w:tc>
        <w:tc>
          <w:tcPr>
            <w:tcW w:w="2204" w:type="dxa"/>
            <w:vMerge/>
          </w:tcPr>
          <w:p w14:paraId="0DE692DE" w14:textId="77777777" w:rsidR="00454A29" w:rsidRDefault="00454A29"/>
        </w:tc>
        <w:tc>
          <w:tcPr>
            <w:tcW w:w="1417" w:type="dxa"/>
            <w:vMerge/>
          </w:tcPr>
          <w:p w14:paraId="619D0B7D" w14:textId="77777777" w:rsidR="00454A29" w:rsidRDefault="00454A29"/>
        </w:tc>
        <w:tc>
          <w:tcPr>
            <w:tcW w:w="2324" w:type="dxa"/>
            <w:vMerge/>
          </w:tcPr>
          <w:p w14:paraId="60CEA721" w14:textId="77777777" w:rsidR="00454A29" w:rsidRDefault="00454A29"/>
        </w:tc>
        <w:tc>
          <w:tcPr>
            <w:tcW w:w="1701" w:type="dxa"/>
            <w:vAlign w:val="center"/>
          </w:tcPr>
          <w:p w14:paraId="72EE8C54" w14:textId="77777777" w:rsidR="00454A29" w:rsidRDefault="00454A29">
            <w:pPr>
              <w:pStyle w:val="ConsPlusNormal"/>
              <w:jc w:val="center"/>
            </w:pPr>
            <w:r>
              <w:t>-</w:t>
            </w:r>
          </w:p>
        </w:tc>
        <w:tc>
          <w:tcPr>
            <w:tcW w:w="1814" w:type="dxa"/>
            <w:vAlign w:val="center"/>
          </w:tcPr>
          <w:p w14:paraId="448A6F92" w14:textId="77777777" w:rsidR="00454A29" w:rsidRDefault="00454A29">
            <w:pPr>
              <w:pStyle w:val="ConsPlusNormal"/>
            </w:pPr>
          </w:p>
        </w:tc>
        <w:tc>
          <w:tcPr>
            <w:tcW w:w="1701" w:type="dxa"/>
            <w:vAlign w:val="center"/>
          </w:tcPr>
          <w:p w14:paraId="0DE71407" w14:textId="77777777" w:rsidR="00454A29" w:rsidRDefault="00454A29">
            <w:pPr>
              <w:pStyle w:val="ConsPlusNormal"/>
            </w:pPr>
          </w:p>
        </w:tc>
        <w:tc>
          <w:tcPr>
            <w:tcW w:w="1701" w:type="dxa"/>
            <w:vAlign w:val="center"/>
          </w:tcPr>
          <w:p w14:paraId="74F7F7CD" w14:textId="77777777" w:rsidR="00454A29" w:rsidRDefault="00454A29">
            <w:pPr>
              <w:pStyle w:val="ConsPlusNormal"/>
            </w:pPr>
          </w:p>
        </w:tc>
        <w:tc>
          <w:tcPr>
            <w:tcW w:w="1814" w:type="dxa"/>
            <w:vAlign w:val="center"/>
          </w:tcPr>
          <w:p w14:paraId="67EA7A91" w14:textId="77777777" w:rsidR="00454A29" w:rsidRDefault="00454A29">
            <w:pPr>
              <w:pStyle w:val="ConsPlusNormal"/>
            </w:pPr>
          </w:p>
        </w:tc>
      </w:tr>
      <w:tr w:rsidR="00454A29" w14:paraId="79E02602" w14:textId="77777777">
        <w:tc>
          <w:tcPr>
            <w:tcW w:w="567" w:type="dxa"/>
            <w:vMerge w:val="restart"/>
            <w:vAlign w:val="center"/>
          </w:tcPr>
          <w:p w14:paraId="54B40684" w14:textId="77777777" w:rsidR="00454A29" w:rsidRDefault="00454A29">
            <w:pPr>
              <w:pStyle w:val="ConsPlusNormal"/>
              <w:jc w:val="center"/>
            </w:pPr>
            <w:r>
              <w:t>123</w:t>
            </w:r>
          </w:p>
        </w:tc>
        <w:tc>
          <w:tcPr>
            <w:tcW w:w="3345" w:type="dxa"/>
            <w:vMerge w:val="restart"/>
            <w:vAlign w:val="center"/>
          </w:tcPr>
          <w:p w14:paraId="196AE287" w14:textId="77777777" w:rsidR="00454A29" w:rsidRDefault="00454A29">
            <w:pPr>
              <w:pStyle w:val="ConsPlusNormal"/>
              <w:jc w:val="center"/>
            </w:pPr>
            <w:r>
              <w:t>Детский сад на 75 мест в с. Оннес Амгинского улуса</w:t>
            </w:r>
          </w:p>
        </w:tc>
        <w:tc>
          <w:tcPr>
            <w:tcW w:w="1701" w:type="dxa"/>
            <w:vAlign w:val="center"/>
          </w:tcPr>
          <w:p w14:paraId="34811016" w14:textId="77777777" w:rsidR="00454A29" w:rsidRDefault="00454A29">
            <w:pPr>
              <w:pStyle w:val="ConsPlusNormal"/>
              <w:jc w:val="center"/>
            </w:pPr>
            <w:r>
              <w:t>Всего:</w:t>
            </w:r>
          </w:p>
        </w:tc>
        <w:tc>
          <w:tcPr>
            <w:tcW w:w="1417" w:type="dxa"/>
            <w:vMerge w:val="restart"/>
            <w:vAlign w:val="center"/>
          </w:tcPr>
          <w:p w14:paraId="5652FAED" w14:textId="77777777" w:rsidR="00454A29" w:rsidRDefault="00454A29">
            <w:pPr>
              <w:pStyle w:val="ConsPlusNormal"/>
              <w:jc w:val="center"/>
            </w:pPr>
            <w:r>
              <w:t>138 243,67</w:t>
            </w:r>
          </w:p>
        </w:tc>
        <w:tc>
          <w:tcPr>
            <w:tcW w:w="2204" w:type="dxa"/>
            <w:vMerge w:val="restart"/>
            <w:vAlign w:val="center"/>
          </w:tcPr>
          <w:p w14:paraId="48713542" w14:textId="77777777" w:rsidR="00454A29" w:rsidRDefault="00454A29">
            <w:pPr>
              <w:pStyle w:val="ConsPlusNormal"/>
            </w:pPr>
          </w:p>
        </w:tc>
        <w:tc>
          <w:tcPr>
            <w:tcW w:w="1417" w:type="dxa"/>
            <w:vMerge w:val="restart"/>
            <w:vAlign w:val="center"/>
          </w:tcPr>
          <w:p w14:paraId="3A14F2AE" w14:textId="77777777" w:rsidR="00454A29" w:rsidRDefault="00454A29">
            <w:pPr>
              <w:pStyle w:val="ConsPlusNormal"/>
              <w:jc w:val="center"/>
            </w:pPr>
            <w:r>
              <w:t>75</w:t>
            </w:r>
          </w:p>
        </w:tc>
        <w:tc>
          <w:tcPr>
            <w:tcW w:w="2324" w:type="dxa"/>
            <w:vMerge w:val="restart"/>
            <w:vAlign w:val="center"/>
          </w:tcPr>
          <w:p w14:paraId="50AEBE8C" w14:textId="77777777" w:rsidR="00454A29" w:rsidRDefault="00454A29">
            <w:pPr>
              <w:pStyle w:val="ConsPlusNormal"/>
              <w:jc w:val="center"/>
            </w:pPr>
            <w:r>
              <w:t>Министерство строительства РС(Я)</w:t>
            </w:r>
          </w:p>
        </w:tc>
        <w:tc>
          <w:tcPr>
            <w:tcW w:w="1701" w:type="dxa"/>
            <w:vAlign w:val="center"/>
          </w:tcPr>
          <w:p w14:paraId="5AD0E9AF" w14:textId="77777777" w:rsidR="00454A29" w:rsidRDefault="00454A29">
            <w:pPr>
              <w:pStyle w:val="ConsPlusNormal"/>
              <w:jc w:val="center"/>
            </w:pPr>
            <w:r>
              <w:t>138 243,67</w:t>
            </w:r>
          </w:p>
        </w:tc>
        <w:tc>
          <w:tcPr>
            <w:tcW w:w="1814" w:type="dxa"/>
            <w:vAlign w:val="center"/>
          </w:tcPr>
          <w:p w14:paraId="1BA1BCD6" w14:textId="77777777" w:rsidR="00454A29" w:rsidRDefault="00454A29">
            <w:pPr>
              <w:pStyle w:val="ConsPlusNormal"/>
              <w:jc w:val="center"/>
            </w:pPr>
            <w:r>
              <w:t>1 382,44</w:t>
            </w:r>
          </w:p>
        </w:tc>
        <w:tc>
          <w:tcPr>
            <w:tcW w:w="1701" w:type="dxa"/>
            <w:vAlign w:val="center"/>
          </w:tcPr>
          <w:p w14:paraId="26D6248D" w14:textId="77777777" w:rsidR="00454A29" w:rsidRDefault="00454A29">
            <w:pPr>
              <w:pStyle w:val="ConsPlusNormal"/>
              <w:jc w:val="center"/>
            </w:pPr>
            <w:r>
              <w:t>136 861,23</w:t>
            </w:r>
          </w:p>
        </w:tc>
        <w:tc>
          <w:tcPr>
            <w:tcW w:w="1701" w:type="dxa"/>
            <w:vAlign w:val="center"/>
          </w:tcPr>
          <w:p w14:paraId="004501A7" w14:textId="77777777" w:rsidR="00454A29" w:rsidRDefault="00454A29">
            <w:pPr>
              <w:pStyle w:val="ConsPlusNormal"/>
            </w:pPr>
          </w:p>
        </w:tc>
        <w:tc>
          <w:tcPr>
            <w:tcW w:w="1814" w:type="dxa"/>
            <w:vAlign w:val="center"/>
          </w:tcPr>
          <w:p w14:paraId="725D21A2" w14:textId="77777777" w:rsidR="00454A29" w:rsidRDefault="00454A29">
            <w:pPr>
              <w:pStyle w:val="ConsPlusNormal"/>
            </w:pPr>
          </w:p>
        </w:tc>
      </w:tr>
      <w:tr w:rsidR="00454A29" w14:paraId="0EDEE05A" w14:textId="77777777">
        <w:tc>
          <w:tcPr>
            <w:tcW w:w="567" w:type="dxa"/>
            <w:vMerge/>
          </w:tcPr>
          <w:p w14:paraId="271F0101" w14:textId="77777777" w:rsidR="00454A29" w:rsidRDefault="00454A29"/>
        </w:tc>
        <w:tc>
          <w:tcPr>
            <w:tcW w:w="3345" w:type="dxa"/>
            <w:vMerge/>
          </w:tcPr>
          <w:p w14:paraId="6B765AF4" w14:textId="77777777" w:rsidR="00454A29" w:rsidRDefault="00454A29"/>
        </w:tc>
        <w:tc>
          <w:tcPr>
            <w:tcW w:w="1701" w:type="dxa"/>
            <w:vAlign w:val="center"/>
          </w:tcPr>
          <w:p w14:paraId="368C2971" w14:textId="77777777" w:rsidR="00454A29" w:rsidRDefault="00454A29">
            <w:pPr>
              <w:pStyle w:val="ConsPlusNormal"/>
              <w:jc w:val="center"/>
            </w:pPr>
            <w:r>
              <w:t>2020</w:t>
            </w:r>
          </w:p>
        </w:tc>
        <w:tc>
          <w:tcPr>
            <w:tcW w:w="1417" w:type="dxa"/>
            <w:vMerge/>
          </w:tcPr>
          <w:p w14:paraId="3A1EB5FC" w14:textId="77777777" w:rsidR="00454A29" w:rsidRDefault="00454A29"/>
        </w:tc>
        <w:tc>
          <w:tcPr>
            <w:tcW w:w="2204" w:type="dxa"/>
            <w:vMerge/>
          </w:tcPr>
          <w:p w14:paraId="47384788" w14:textId="77777777" w:rsidR="00454A29" w:rsidRDefault="00454A29"/>
        </w:tc>
        <w:tc>
          <w:tcPr>
            <w:tcW w:w="1417" w:type="dxa"/>
            <w:vMerge/>
          </w:tcPr>
          <w:p w14:paraId="551D1515" w14:textId="77777777" w:rsidR="00454A29" w:rsidRDefault="00454A29"/>
        </w:tc>
        <w:tc>
          <w:tcPr>
            <w:tcW w:w="2324" w:type="dxa"/>
            <w:vMerge/>
          </w:tcPr>
          <w:p w14:paraId="57BE96F3" w14:textId="77777777" w:rsidR="00454A29" w:rsidRDefault="00454A29"/>
        </w:tc>
        <w:tc>
          <w:tcPr>
            <w:tcW w:w="1701" w:type="dxa"/>
            <w:vAlign w:val="center"/>
          </w:tcPr>
          <w:p w14:paraId="45B1DDB1" w14:textId="77777777" w:rsidR="00454A29" w:rsidRDefault="00454A29">
            <w:pPr>
              <w:pStyle w:val="ConsPlusNormal"/>
              <w:jc w:val="center"/>
            </w:pPr>
            <w:r>
              <w:t>55 297,47</w:t>
            </w:r>
          </w:p>
        </w:tc>
        <w:tc>
          <w:tcPr>
            <w:tcW w:w="1814" w:type="dxa"/>
            <w:vAlign w:val="center"/>
          </w:tcPr>
          <w:p w14:paraId="53929AFA" w14:textId="77777777" w:rsidR="00454A29" w:rsidRDefault="00454A29">
            <w:pPr>
              <w:pStyle w:val="ConsPlusNormal"/>
              <w:jc w:val="center"/>
            </w:pPr>
            <w:r>
              <w:t>552,97</w:t>
            </w:r>
          </w:p>
        </w:tc>
        <w:tc>
          <w:tcPr>
            <w:tcW w:w="1701" w:type="dxa"/>
            <w:vAlign w:val="center"/>
          </w:tcPr>
          <w:p w14:paraId="3A505431" w14:textId="77777777" w:rsidR="00454A29" w:rsidRDefault="00454A29">
            <w:pPr>
              <w:pStyle w:val="ConsPlusNormal"/>
              <w:jc w:val="center"/>
            </w:pPr>
            <w:r>
              <w:t>54 744,49</w:t>
            </w:r>
          </w:p>
        </w:tc>
        <w:tc>
          <w:tcPr>
            <w:tcW w:w="1701" w:type="dxa"/>
            <w:vAlign w:val="center"/>
          </w:tcPr>
          <w:p w14:paraId="36BAC0CE" w14:textId="77777777" w:rsidR="00454A29" w:rsidRDefault="00454A29">
            <w:pPr>
              <w:pStyle w:val="ConsPlusNormal"/>
            </w:pPr>
          </w:p>
        </w:tc>
        <w:tc>
          <w:tcPr>
            <w:tcW w:w="1814" w:type="dxa"/>
            <w:vAlign w:val="center"/>
          </w:tcPr>
          <w:p w14:paraId="358372FB" w14:textId="77777777" w:rsidR="00454A29" w:rsidRDefault="00454A29">
            <w:pPr>
              <w:pStyle w:val="ConsPlusNormal"/>
            </w:pPr>
          </w:p>
        </w:tc>
      </w:tr>
      <w:tr w:rsidR="00454A29" w14:paraId="203FD619" w14:textId="77777777">
        <w:tc>
          <w:tcPr>
            <w:tcW w:w="567" w:type="dxa"/>
            <w:vMerge/>
          </w:tcPr>
          <w:p w14:paraId="17519605" w14:textId="77777777" w:rsidR="00454A29" w:rsidRDefault="00454A29"/>
        </w:tc>
        <w:tc>
          <w:tcPr>
            <w:tcW w:w="3345" w:type="dxa"/>
            <w:vMerge/>
          </w:tcPr>
          <w:p w14:paraId="2FF4EF92" w14:textId="77777777" w:rsidR="00454A29" w:rsidRDefault="00454A29"/>
        </w:tc>
        <w:tc>
          <w:tcPr>
            <w:tcW w:w="1701" w:type="dxa"/>
            <w:vAlign w:val="center"/>
          </w:tcPr>
          <w:p w14:paraId="62977EE4" w14:textId="77777777" w:rsidR="00454A29" w:rsidRDefault="00454A29">
            <w:pPr>
              <w:pStyle w:val="ConsPlusNormal"/>
              <w:jc w:val="center"/>
            </w:pPr>
            <w:r>
              <w:t>2021</w:t>
            </w:r>
          </w:p>
        </w:tc>
        <w:tc>
          <w:tcPr>
            <w:tcW w:w="1417" w:type="dxa"/>
            <w:vMerge/>
          </w:tcPr>
          <w:p w14:paraId="68EBDC46" w14:textId="77777777" w:rsidR="00454A29" w:rsidRDefault="00454A29"/>
        </w:tc>
        <w:tc>
          <w:tcPr>
            <w:tcW w:w="2204" w:type="dxa"/>
            <w:vMerge/>
          </w:tcPr>
          <w:p w14:paraId="3B6E5567" w14:textId="77777777" w:rsidR="00454A29" w:rsidRDefault="00454A29"/>
        </w:tc>
        <w:tc>
          <w:tcPr>
            <w:tcW w:w="1417" w:type="dxa"/>
            <w:vMerge/>
          </w:tcPr>
          <w:p w14:paraId="12CF2072" w14:textId="77777777" w:rsidR="00454A29" w:rsidRDefault="00454A29"/>
        </w:tc>
        <w:tc>
          <w:tcPr>
            <w:tcW w:w="2324" w:type="dxa"/>
            <w:vMerge/>
          </w:tcPr>
          <w:p w14:paraId="2F1C6897" w14:textId="77777777" w:rsidR="00454A29" w:rsidRDefault="00454A29"/>
        </w:tc>
        <w:tc>
          <w:tcPr>
            <w:tcW w:w="1701" w:type="dxa"/>
            <w:vAlign w:val="center"/>
          </w:tcPr>
          <w:p w14:paraId="6FE54504" w14:textId="77777777" w:rsidR="00454A29" w:rsidRDefault="00454A29">
            <w:pPr>
              <w:pStyle w:val="ConsPlusNormal"/>
              <w:jc w:val="center"/>
            </w:pPr>
            <w:r>
              <w:t>82 946,20</w:t>
            </w:r>
          </w:p>
        </w:tc>
        <w:tc>
          <w:tcPr>
            <w:tcW w:w="1814" w:type="dxa"/>
            <w:vAlign w:val="center"/>
          </w:tcPr>
          <w:p w14:paraId="49959454" w14:textId="77777777" w:rsidR="00454A29" w:rsidRDefault="00454A29">
            <w:pPr>
              <w:pStyle w:val="ConsPlusNormal"/>
              <w:jc w:val="center"/>
            </w:pPr>
            <w:r>
              <w:t>829,46</w:t>
            </w:r>
          </w:p>
        </w:tc>
        <w:tc>
          <w:tcPr>
            <w:tcW w:w="1701" w:type="dxa"/>
            <w:vAlign w:val="center"/>
          </w:tcPr>
          <w:p w14:paraId="0A682752" w14:textId="77777777" w:rsidR="00454A29" w:rsidRDefault="00454A29">
            <w:pPr>
              <w:pStyle w:val="ConsPlusNormal"/>
              <w:jc w:val="center"/>
            </w:pPr>
            <w:r>
              <w:t>82 116,74</w:t>
            </w:r>
          </w:p>
        </w:tc>
        <w:tc>
          <w:tcPr>
            <w:tcW w:w="1701" w:type="dxa"/>
            <w:vAlign w:val="center"/>
          </w:tcPr>
          <w:p w14:paraId="58B92F3B" w14:textId="77777777" w:rsidR="00454A29" w:rsidRDefault="00454A29">
            <w:pPr>
              <w:pStyle w:val="ConsPlusNormal"/>
            </w:pPr>
          </w:p>
        </w:tc>
        <w:tc>
          <w:tcPr>
            <w:tcW w:w="1814" w:type="dxa"/>
            <w:vAlign w:val="center"/>
          </w:tcPr>
          <w:p w14:paraId="5355DE59" w14:textId="77777777" w:rsidR="00454A29" w:rsidRDefault="00454A29">
            <w:pPr>
              <w:pStyle w:val="ConsPlusNormal"/>
            </w:pPr>
          </w:p>
        </w:tc>
      </w:tr>
      <w:tr w:rsidR="00454A29" w14:paraId="4E679513" w14:textId="77777777">
        <w:tc>
          <w:tcPr>
            <w:tcW w:w="567" w:type="dxa"/>
            <w:vMerge/>
          </w:tcPr>
          <w:p w14:paraId="4C0547C9" w14:textId="77777777" w:rsidR="00454A29" w:rsidRDefault="00454A29"/>
        </w:tc>
        <w:tc>
          <w:tcPr>
            <w:tcW w:w="3345" w:type="dxa"/>
            <w:vMerge/>
          </w:tcPr>
          <w:p w14:paraId="019FC789" w14:textId="77777777" w:rsidR="00454A29" w:rsidRDefault="00454A29"/>
        </w:tc>
        <w:tc>
          <w:tcPr>
            <w:tcW w:w="1701" w:type="dxa"/>
            <w:vAlign w:val="center"/>
          </w:tcPr>
          <w:p w14:paraId="69B67A41" w14:textId="77777777" w:rsidR="00454A29" w:rsidRDefault="00454A29">
            <w:pPr>
              <w:pStyle w:val="ConsPlusNormal"/>
              <w:jc w:val="center"/>
            </w:pPr>
            <w:r>
              <w:t>2022</w:t>
            </w:r>
          </w:p>
        </w:tc>
        <w:tc>
          <w:tcPr>
            <w:tcW w:w="1417" w:type="dxa"/>
            <w:vMerge/>
          </w:tcPr>
          <w:p w14:paraId="187D0541" w14:textId="77777777" w:rsidR="00454A29" w:rsidRDefault="00454A29"/>
        </w:tc>
        <w:tc>
          <w:tcPr>
            <w:tcW w:w="2204" w:type="dxa"/>
            <w:vMerge/>
          </w:tcPr>
          <w:p w14:paraId="0F3F544D" w14:textId="77777777" w:rsidR="00454A29" w:rsidRDefault="00454A29"/>
        </w:tc>
        <w:tc>
          <w:tcPr>
            <w:tcW w:w="1417" w:type="dxa"/>
            <w:vMerge/>
          </w:tcPr>
          <w:p w14:paraId="0B91BE9B" w14:textId="77777777" w:rsidR="00454A29" w:rsidRDefault="00454A29"/>
        </w:tc>
        <w:tc>
          <w:tcPr>
            <w:tcW w:w="2324" w:type="dxa"/>
            <w:vMerge/>
          </w:tcPr>
          <w:p w14:paraId="7149EF5C" w14:textId="77777777" w:rsidR="00454A29" w:rsidRDefault="00454A29"/>
        </w:tc>
        <w:tc>
          <w:tcPr>
            <w:tcW w:w="1701" w:type="dxa"/>
            <w:vAlign w:val="center"/>
          </w:tcPr>
          <w:p w14:paraId="3C709F52" w14:textId="77777777" w:rsidR="00454A29" w:rsidRDefault="00454A29">
            <w:pPr>
              <w:pStyle w:val="ConsPlusNormal"/>
              <w:jc w:val="center"/>
            </w:pPr>
            <w:r>
              <w:t>-</w:t>
            </w:r>
          </w:p>
        </w:tc>
        <w:tc>
          <w:tcPr>
            <w:tcW w:w="1814" w:type="dxa"/>
            <w:vAlign w:val="center"/>
          </w:tcPr>
          <w:p w14:paraId="479CF337" w14:textId="77777777" w:rsidR="00454A29" w:rsidRDefault="00454A29">
            <w:pPr>
              <w:pStyle w:val="ConsPlusNormal"/>
            </w:pPr>
          </w:p>
        </w:tc>
        <w:tc>
          <w:tcPr>
            <w:tcW w:w="1701" w:type="dxa"/>
            <w:vAlign w:val="center"/>
          </w:tcPr>
          <w:p w14:paraId="6B2B6A6E" w14:textId="77777777" w:rsidR="00454A29" w:rsidRDefault="00454A29">
            <w:pPr>
              <w:pStyle w:val="ConsPlusNormal"/>
            </w:pPr>
          </w:p>
        </w:tc>
        <w:tc>
          <w:tcPr>
            <w:tcW w:w="1701" w:type="dxa"/>
            <w:vAlign w:val="center"/>
          </w:tcPr>
          <w:p w14:paraId="7B9EFBE9" w14:textId="77777777" w:rsidR="00454A29" w:rsidRDefault="00454A29">
            <w:pPr>
              <w:pStyle w:val="ConsPlusNormal"/>
            </w:pPr>
          </w:p>
        </w:tc>
        <w:tc>
          <w:tcPr>
            <w:tcW w:w="1814" w:type="dxa"/>
            <w:vAlign w:val="center"/>
          </w:tcPr>
          <w:p w14:paraId="1D3326E3" w14:textId="77777777" w:rsidR="00454A29" w:rsidRDefault="00454A29">
            <w:pPr>
              <w:pStyle w:val="ConsPlusNormal"/>
            </w:pPr>
          </w:p>
        </w:tc>
      </w:tr>
      <w:tr w:rsidR="00454A29" w14:paraId="5CCA5FE5" w14:textId="77777777">
        <w:tc>
          <w:tcPr>
            <w:tcW w:w="567" w:type="dxa"/>
            <w:vMerge/>
          </w:tcPr>
          <w:p w14:paraId="76CEE619" w14:textId="77777777" w:rsidR="00454A29" w:rsidRDefault="00454A29"/>
        </w:tc>
        <w:tc>
          <w:tcPr>
            <w:tcW w:w="3345" w:type="dxa"/>
            <w:vMerge/>
          </w:tcPr>
          <w:p w14:paraId="7A5E3202" w14:textId="77777777" w:rsidR="00454A29" w:rsidRDefault="00454A29"/>
        </w:tc>
        <w:tc>
          <w:tcPr>
            <w:tcW w:w="1701" w:type="dxa"/>
            <w:vAlign w:val="center"/>
          </w:tcPr>
          <w:p w14:paraId="0AB16A58" w14:textId="77777777" w:rsidR="00454A29" w:rsidRDefault="00454A29">
            <w:pPr>
              <w:pStyle w:val="ConsPlusNormal"/>
              <w:jc w:val="center"/>
            </w:pPr>
            <w:r>
              <w:t>2023</w:t>
            </w:r>
          </w:p>
        </w:tc>
        <w:tc>
          <w:tcPr>
            <w:tcW w:w="1417" w:type="dxa"/>
            <w:vMerge/>
          </w:tcPr>
          <w:p w14:paraId="53496FEF" w14:textId="77777777" w:rsidR="00454A29" w:rsidRDefault="00454A29"/>
        </w:tc>
        <w:tc>
          <w:tcPr>
            <w:tcW w:w="2204" w:type="dxa"/>
            <w:vMerge/>
          </w:tcPr>
          <w:p w14:paraId="435805FB" w14:textId="77777777" w:rsidR="00454A29" w:rsidRDefault="00454A29"/>
        </w:tc>
        <w:tc>
          <w:tcPr>
            <w:tcW w:w="1417" w:type="dxa"/>
            <w:vMerge/>
          </w:tcPr>
          <w:p w14:paraId="22EA4614" w14:textId="77777777" w:rsidR="00454A29" w:rsidRDefault="00454A29"/>
        </w:tc>
        <w:tc>
          <w:tcPr>
            <w:tcW w:w="2324" w:type="dxa"/>
            <w:vMerge/>
          </w:tcPr>
          <w:p w14:paraId="108F2338" w14:textId="77777777" w:rsidR="00454A29" w:rsidRDefault="00454A29"/>
        </w:tc>
        <w:tc>
          <w:tcPr>
            <w:tcW w:w="1701" w:type="dxa"/>
            <w:vAlign w:val="center"/>
          </w:tcPr>
          <w:p w14:paraId="5E46C66D" w14:textId="77777777" w:rsidR="00454A29" w:rsidRDefault="00454A29">
            <w:pPr>
              <w:pStyle w:val="ConsPlusNormal"/>
              <w:jc w:val="center"/>
            </w:pPr>
            <w:r>
              <w:t>-</w:t>
            </w:r>
          </w:p>
        </w:tc>
        <w:tc>
          <w:tcPr>
            <w:tcW w:w="1814" w:type="dxa"/>
            <w:vAlign w:val="center"/>
          </w:tcPr>
          <w:p w14:paraId="5C372E72" w14:textId="77777777" w:rsidR="00454A29" w:rsidRDefault="00454A29">
            <w:pPr>
              <w:pStyle w:val="ConsPlusNormal"/>
            </w:pPr>
          </w:p>
        </w:tc>
        <w:tc>
          <w:tcPr>
            <w:tcW w:w="1701" w:type="dxa"/>
            <w:vAlign w:val="center"/>
          </w:tcPr>
          <w:p w14:paraId="4BFDA601" w14:textId="77777777" w:rsidR="00454A29" w:rsidRDefault="00454A29">
            <w:pPr>
              <w:pStyle w:val="ConsPlusNormal"/>
            </w:pPr>
          </w:p>
        </w:tc>
        <w:tc>
          <w:tcPr>
            <w:tcW w:w="1701" w:type="dxa"/>
            <w:vAlign w:val="center"/>
          </w:tcPr>
          <w:p w14:paraId="5CD63EFE" w14:textId="77777777" w:rsidR="00454A29" w:rsidRDefault="00454A29">
            <w:pPr>
              <w:pStyle w:val="ConsPlusNormal"/>
            </w:pPr>
          </w:p>
        </w:tc>
        <w:tc>
          <w:tcPr>
            <w:tcW w:w="1814" w:type="dxa"/>
            <w:vAlign w:val="center"/>
          </w:tcPr>
          <w:p w14:paraId="223B6CD1" w14:textId="77777777" w:rsidR="00454A29" w:rsidRDefault="00454A29">
            <w:pPr>
              <w:pStyle w:val="ConsPlusNormal"/>
            </w:pPr>
          </w:p>
        </w:tc>
      </w:tr>
      <w:tr w:rsidR="00454A29" w14:paraId="0155E91E" w14:textId="77777777">
        <w:tc>
          <w:tcPr>
            <w:tcW w:w="567" w:type="dxa"/>
            <w:vMerge/>
          </w:tcPr>
          <w:p w14:paraId="5ACDC974" w14:textId="77777777" w:rsidR="00454A29" w:rsidRDefault="00454A29"/>
        </w:tc>
        <w:tc>
          <w:tcPr>
            <w:tcW w:w="3345" w:type="dxa"/>
            <w:vMerge/>
          </w:tcPr>
          <w:p w14:paraId="23B64B3F" w14:textId="77777777" w:rsidR="00454A29" w:rsidRDefault="00454A29"/>
        </w:tc>
        <w:tc>
          <w:tcPr>
            <w:tcW w:w="1701" w:type="dxa"/>
            <w:vAlign w:val="center"/>
          </w:tcPr>
          <w:p w14:paraId="23717D24" w14:textId="77777777" w:rsidR="00454A29" w:rsidRDefault="00454A29">
            <w:pPr>
              <w:pStyle w:val="ConsPlusNormal"/>
              <w:jc w:val="center"/>
            </w:pPr>
            <w:r>
              <w:t>2024</w:t>
            </w:r>
          </w:p>
        </w:tc>
        <w:tc>
          <w:tcPr>
            <w:tcW w:w="1417" w:type="dxa"/>
            <w:vMerge/>
          </w:tcPr>
          <w:p w14:paraId="53DA8BF8" w14:textId="77777777" w:rsidR="00454A29" w:rsidRDefault="00454A29"/>
        </w:tc>
        <w:tc>
          <w:tcPr>
            <w:tcW w:w="2204" w:type="dxa"/>
            <w:vMerge/>
          </w:tcPr>
          <w:p w14:paraId="02388449" w14:textId="77777777" w:rsidR="00454A29" w:rsidRDefault="00454A29"/>
        </w:tc>
        <w:tc>
          <w:tcPr>
            <w:tcW w:w="1417" w:type="dxa"/>
            <w:vMerge/>
          </w:tcPr>
          <w:p w14:paraId="4D379A2B" w14:textId="77777777" w:rsidR="00454A29" w:rsidRDefault="00454A29"/>
        </w:tc>
        <w:tc>
          <w:tcPr>
            <w:tcW w:w="2324" w:type="dxa"/>
            <w:vMerge/>
          </w:tcPr>
          <w:p w14:paraId="69223F8F" w14:textId="77777777" w:rsidR="00454A29" w:rsidRDefault="00454A29"/>
        </w:tc>
        <w:tc>
          <w:tcPr>
            <w:tcW w:w="1701" w:type="dxa"/>
            <w:vAlign w:val="center"/>
          </w:tcPr>
          <w:p w14:paraId="61ED3CEB" w14:textId="77777777" w:rsidR="00454A29" w:rsidRDefault="00454A29">
            <w:pPr>
              <w:pStyle w:val="ConsPlusNormal"/>
              <w:jc w:val="center"/>
            </w:pPr>
            <w:r>
              <w:t>-</w:t>
            </w:r>
          </w:p>
        </w:tc>
        <w:tc>
          <w:tcPr>
            <w:tcW w:w="1814" w:type="dxa"/>
            <w:vAlign w:val="center"/>
          </w:tcPr>
          <w:p w14:paraId="6546F9C1" w14:textId="77777777" w:rsidR="00454A29" w:rsidRDefault="00454A29">
            <w:pPr>
              <w:pStyle w:val="ConsPlusNormal"/>
            </w:pPr>
          </w:p>
        </w:tc>
        <w:tc>
          <w:tcPr>
            <w:tcW w:w="1701" w:type="dxa"/>
            <w:vAlign w:val="center"/>
          </w:tcPr>
          <w:p w14:paraId="6EE86103" w14:textId="77777777" w:rsidR="00454A29" w:rsidRDefault="00454A29">
            <w:pPr>
              <w:pStyle w:val="ConsPlusNormal"/>
            </w:pPr>
          </w:p>
        </w:tc>
        <w:tc>
          <w:tcPr>
            <w:tcW w:w="1701" w:type="dxa"/>
            <w:vAlign w:val="center"/>
          </w:tcPr>
          <w:p w14:paraId="63DEB29D" w14:textId="77777777" w:rsidR="00454A29" w:rsidRDefault="00454A29">
            <w:pPr>
              <w:pStyle w:val="ConsPlusNormal"/>
            </w:pPr>
          </w:p>
        </w:tc>
        <w:tc>
          <w:tcPr>
            <w:tcW w:w="1814" w:type="dxa"/>
            <w:vAlign w:val="center"/>
          </w:tcPr>
          <w:p w14:paraId="71771B0E" w14:textId="77777777" w:rsidR="00454A29" w:rsidRDefault="00454A29">
            <w:pPr>
              <w:pStyle w:val="ConsPlusNormal"/>
            </w:pPr>
          </w:p>
        </w:tc>
      </w:tr>
      <w:tr w:rsidR="00454A29" w14:paraId="4BA637E7" w14:textId="77777777">
        <w:tc>
          <w:tcPr>
            <w:tcW w:w="567" w:type="dxa"/>
            <w:vMerge/>
          </w:tcPr>
          <w:p w14:paraId="57DCCF48" w14:textId="77777777" w:rsidR="00454A29" w:rsidRDefault="00454A29"/>
        </w:tc>
        <w:tc>
          <w:tcPr>
            <w:tcW w:w="3345" w:type="dxa"/>
            <w:vMerge/>
          </w:tcPr>
          <w:p w14:paraId="4D08DD84" w14:textId="77777777" w:rsidR="00454A29" w:rsidRDefault="00454A29"/>
        </w:tc>
        <w:tc>
          <w:tcPr>
            <w:tcW w:w="1701" w:type="dxa"/>
            <w:vAlign w:val="center"/>
          </w:tcPr>
          <w:p w14:paraId="6826E685" w14:textId="77777777" w:rsidR="00454A29" w:rsidRDefault="00454A29">
            <w:pPr>
              <w:pStyle w:val="ConsPlusNormal"/>
              <w:jc w:val="center"/>
            </w:pPr>
            <w:r>
              <w:t>2025</w:t>
            </w:r>
          </w:p>
        </w:tc>
        <w:tc>
          <w:tcPr>
            <w:tcW w:w="1417" w:type="dxa"/>
            <w:vMerge/>
          </w:tcPr>
          <w:p w14:paraId="376666CA" w14:textId="77777777" w:rsidR="00454A29" w:rsidRDefault="00454A29"/>
        </w:tc>
        <w:tc>
          <w:tcPr>
            <w:tcW w:w="2204" w:type="dxa"/>
            <w:vMerge/>
          </w:tcPr>
          <w:p w14:paraId="6E82317D" w14:textId="77777777" w:rsidR="00454A29" w:rsidRDefault="00454A29"/>
        </w:tc>
        <w:tc>
          <w:tcPr>
            <w:tcW w:w="1417" w:type="dxa"/>
            <w:vMerge/>
          </w:tcPr>
          <w:p w14:paraId="13B18E03" w14:textId="77777777" w:rsidR="00454A29" w:rsidRDefault="00454A29"/>
        </w:tc>
        <w:tc>
          <w:tcPr>
            <w:tcW w:w="2324" w:type="dxa"/>
            <w:vMerge/>
          </w:tcPr>
          <w:p w14:paraId="1DA1B779" w14:textId="77777777" w:rsidR="00454A29" w:rsidRDefault="00454A29"/>
        </w:tc>
        <w:tc>
          <w:tcPr>
            <w:tcW w:w="1701" w:type="dxa"/>
            <w:vAlign w:val="center"/>
          </w:tcPr>
          <w:p w14:paraId="60086124" w14:textId="77777777" w:rsidR="00454A29" w:rsidRDefault="00454A29">
            <w:pPr>
              <w:pStyle w:val="ConsPlusNormal"/>
              <w:jc w:val="center"/>
            </w:pPr>
            <w:r>
              <w:t>-</w:t>
            </w:r>
          </w:p>
        </w:tc>
        <w:tc>
          <w:tcPr>
            <w:tcW w:w="1814" w:type="dxa"/>
            <w:vAlign w:val="center"/>
          </w:tcPr>
          <w:p w14:paraId="3C838728" w14:textId="77777777" w:rsidR="00454A29" w:rsidRDefault="00454A29">
            <w:pPr>
              <w:pStyle w:val="ConsPlusNormal"/>
            </w:pPr>
          </w:p>
        </w:tc>
        <w:tc>
          <w:tcPr>
            <w:tcW w:w="1701" w:type="dxa"/>
            <w:vAlign w:val="center"/>
          </w:tcPr>
          <w:p w14:paraId="1CE4E4A6" w14:textId="77777777" w:rsidR="00454A29" w:rsidRDefault="00454A29">
            <w:pPr>
              <w:pStyle w:val="ConsPlusNormal"/>
            </w:pPr>
          </w:p>
        </w:tc>
        <w:tc>
          <w:tcPr>
            <w:tcW w:w="1701" w:type="dxa"/>
            <w:vAlign w:val="center"/>
          </w:tcPr>
          <w:p w14:paraId="142462FD" w14:textId="77777777" w:rsidR="00454A29" w:rsidRDefault="00454A29">
            <w:pPr>
              <w:pStyle w:val="ConsPlusNormal"/>
            </w:pPr>
          </w:p>
        </w:tc>
        <w:tc>
          <w:tcPr>
            <w:tcW w:w="1814" w:type="dxa"/>
            <w:vAlign w:val="center"/>
          </w:tcPr>
          <w:p w14:paraId="52F63D9B" w14:textId="77777777" w:rsidR="00454A29" w:rsidRDefault="00454A29">
            <w:pPr>
              <w:pStyle w:val="ConsPlusNormal"/>
            </w:pPr>
          </w:p>
        </w:tc>
      </w:tr>
      <w:tr w:rsidR="00454A29" w14:paraId="66A70848" w14:textId="77777777">
        <w:tc>
          <w:tcPr>
            <w:tcW w:w="567" w:type="dxa"/>
            <w:vMerge/>
          </w:tcPr>
          <w:p w14:paraId="42BB7588" w14:textId="77777777" w:rsidR="00454A29" w:rsidRDefault="00454A29"/>
        </w:tc>
        <w:tc>
          <w:tcPr>
            <w:tcW w:w="3345" w:type="dxa"/>
            <w:vMerge/>
          </w:tcPr>
          <w:p w14:paraId="2C98A95D" w14:textId="77777777" w:rsidR="00454A29" w:rsidRDefault="00454A29"/>
        </w:tc>
        <w:tc>
          <w:tcPr>
            <w:tcW w:w="1701" w:type="dxa"/>
            <w:vAlign w:val="center"/>
          </w:tcPr>
          <w:p w14:paraId="77A62F25" w14:textId="77777777" w:rsidR="00454A29" w:rsidRDefault="00454A29">
            <w:pPr>
              <w:pStyle w:val="ConsPlusNormal"/>
              <w:jc w:val="center"/>
            </w:pPr>
            <w:r>
              <w:t>2026</w:t>
            </w:r>
          </w:p>
        </w:tc>
        <w:tc>
          <w:tcPr>
            <w:tcW w:w="1417" w:type="dxa"/>
            <w:vMerge/>
          </w:tcPr>
          <w:p w14:paraId="3D6BA0E4" w14:textId="77777777" w:rsidR="00454A29" w:rsidRDefault="00454A29"/>
        </w:tc>
        <w:tc>
          <w:tcPr>
            <w:tcW w:w="2204" w:type="dxa"/>
            <w:vMerge/>
          </w:tcPr>
          <w:p w14:paraId="65082DCE" w14:textId="77777777" w:rsidR="00454A29" w:rsidRDefault="00454A29"/>
        </w:tc>
        <w:tc>
          <w:tcPr>
            <w:tcW w:w="1417" w:type="dxa"/>
            <w:vMerge/>
          </w:tcPr>
          <w:p w14:paraId="05D23605" w14:textId="77777777" w:rsidR="00454A29" w:rsidRDefault="00454A29"/>
        </w:tc>
        <w:tc>
          <w:tcPr>
            <w:tcW w:w="2324" w:type="dxa"/>
            <w:vMerge/>
          </w:tcPr>
          <w:p w14:paraId="6C6F0CCB" w14:textId="77777777" w:rsidR="00454A29" w:rsidRDefault="00454A29"/>
        </w:tc>
        <w:tc>
          <w:tcPr>
            <w:tcW w:w="1701" w:type="dxa"/>
            <w:vAlign w:val="center"/>
          </w:tcPr>
          <w:p w14:paraId="7B4AC3AD" w14:textId="77777777" w:rsidR="00454A29" w:rsidRDefault="00454A29">
            <w:pPr>
              <w:pStyle w:val="ConsPlusNormal"/>
              <w:jc w:val="center"/>
            </w:pPr>
            <w:r>
              <w:t>-</w:t>
            </w:r>
          </w:p>
        </w:tc>
        <w:tc>
          <w:tcPr>
            <w:tcW w:w="1814" w:type="dxa"/>
            <w:vAlign w:val="center"/>
          </w:tcPr>
          <w:p w14:paraId="7E41AE78" w14:textId="77777777" w:rsidR="00454A29" w:rsidRDefault="00454A29">
            <w:pPr>
              <w:pStyle w:val="ConsPlusNormal"/>
            </w:pPr>
          </w:p>
        </w:tc>
        <w:tc>
          <w:tcPr>
            <w:tcW w:w="1701" w:type="dxa"/>
            <w:vAlign w:val="center"/>
          </w:tcPr>
          <w:p w14:paraId="38CF1DB7" w14:textId="77777777" w:rsidR="00454A29" w:rsidRDefault="00454A29">
            <w:pPr>
              <w:pStyle w:val="ConsPlusNormal"/>
            </w:pPr>
          </w:p>
        </w:tc>
        <w:tc>
          <w:tcPr>
            <w:tcW w:w="1701" w:type="dxa"/>
            <w:vAlign w:val="center"/>
          </w:tcPr>
          <w:p w14:paraId="7CB3D383" w14:textId="77777777" w:rsidR="00454A29" w:rsidRDefault="00454A29">
            <w:pPr>
              <w:pStyle w:val="ConsPlusNormal"/>
            </w:pPr>
          </w:p>
        </w:tc>
        <w:tc>
          <w:tcPr>
            <w:tcW w:w="1814" w:type="dxa"/>
            <w:vAlign w:val="center"/>
          </w:tcPr>
          <w:p w14:paraId="19C64739" w14:textId="77777777" w:rsidR="00454A29" w:rsidRDefault="00454A29">
            <w:pPr>
              <w:pStyle w:val="ConsPlusNormal"/>
            </w:pPr>
          </w:p>
        </w:tc>
      </w:tr>
      <w:tr w:rsidR="00454A29" w14:paraId="58902EBE" w14:textId="77777777">
        <w:tc>
          <w:tcPr>
            <w:tcW w:w="567" w:type="dxa"/>
            <w:vMerge w:val="restart"/>
            <w:vAlign w:val="center"/>
          </w:tcPr>
          <w:p w14:paraId="30F5A34D" w14:textId="77777777" w:rsidR="00454A29" w:rsidRDefault="00454A29">
            <w:pPr>
              <w:pStyle w:val="ConsPlusNormal"/>
              <w:jc w:val="center"/>
            </w:pPr>
            <w:r>
              <w:t>124</w:t>
            </w:r>
          </w:p>
        </w:tc>
        <w:tc>
          <w:tcPr>
            <w:tcW w:w="3345" w:type="dxa"/>
            <w:vMerge w:val="restart"/>
            <w:vAlign w:val="center"/>
          </w:tcPr>
          <w:p w14:paraId="5A867F16" w14:textId="77777777" w:rsidR="00454A29" w:rsidRDefault="00454A29">
            <w:pPr>
              <w:pStyle w:val="ConsPlusNormal"/>
              <w:jc w:val="center"/>
            </w:pPr>
            <w:r>
              <w:t>Детский сад на 120 мест в мкр. Солнечный г. Алдан Алданского района</w:t>
            </w:r>
          </w:p>
        </w:tc>
        <w:tc>
          <w:tcPr>
            <w:tcW w:w="1701" w:type="dxa"/>
            <w:vAlign w:val="center"/>
          </w:tcPr>
          <w:p w14:paraId="74C65F15" w14:textId="77777777" w:rsidR="00454A29" w:rsidRDefault="00454A29">
            <w:pPr>
              <w:pStyle w:val="ConsPlusNormal"/>
              <w:jc w:val="center"/>
            </w:pPr>
            <w:r>
              <w:t>Всего:</w:t>
            </w:r>
          </w:p>
        </w:tc>
        <w:tc>
          <w:tcPr>
            <w:tcW w:w="1417" w:type="dxa"/>
            <w:vMerge w:val="restart"/>
            <w:vAlign w:val="center"/>
          </w:tcPr>
          <w:p w14:paraId="793A9EA3" w14:textId="77777777" w:rsidR="00454A29" w:rsidRDefault="00454A29">
            <w:pPr>
              <w:pStyle w:val="ConsPlusNormal"/>
              <w:jc w:val="center"/>
            </w:pPr>
            <w:r>
              <w:t>196 767,20</w:t>
            </w:r>
          </w:p>
        </w:tc>
        <w:tc>
          <w:tcPr>
            <w:tcW w:w="2204" w:type="dxa"/>
            <w:vMerge w:val="restart"/>
            <w:vAlign w:val="center"/>
          </w:tcPr>
          <w:p w14:paraId="58E4D6B6" w14:textId="77777777" w:rsidR="00454A29" w:rsidRDefault="00454A29">
            <w:pPr>
              <w:pStyle w:val="ConsPlusNormal"/>
            </w:pPr>
          </w:p>
        </w:tc>
        <w:tc>
          <w:tcPr>
            <w:tcW w:w="1417" w:type="dxa"/>
            <w:vMerge w:val="restart"/>
            <w:vAlign w:val="center"/>
          </w:tcPr>
          <w:p w14:paraId="5E0DFBED" w14:textId="77777777" w:rsidR="00454A29" w:rsidRDefault="00454A29">
            <w:pPr>
              <w:pStyle w:val="ConsPlusNormal"/>
              <w:jc w:val="center"/>
            </w:pPr>
            <w:r>
              <w:t>120</w:t>
            </w:r>
          </w:p>
        </w:tc>
        <w:tc>
          <w:tcPr>
            <w:tcW w:w="2324" w:type="dxa"/>
            <w:vMerge w:val="restart"/>
            <w:vAlign w:val="center"/>
          </w:tcPr>
          <w:p w14:paraId="59869DF2" w14:textId="77777777" w:rsidR="00454A29" w:rsidRDefault="00454A29">
            <w:pPr>
              <w:pStyle w:val="ConsPlusNormal"/>
              <w:jc w:val="center"/>
            </w:pPr>
            <w:r>
              <w:t>Министерство строительства РС(Я)</w:t>
            </w:r>
          </w:p>
        </w:tc>
        <w:tc>
          <w:tcPr>
            <w:tcW w:w="1701" w:type="dxa"/>
            <w:vAlign w:val="center"/>
          </w:tcPr>
          <w:p w14:paraId="1C662781" w14:textId="77777777" w:rsidR="00454A29" w:rsidRDefault="00454A29">
            <w:pPr>
              <w:pStyle w:val="ConsPlusNormal"/>
              <w:jc w:val="center"/>
            </w:pPr>
            <w:r>
              <w:t>196 767,20</w:t>
            </w:r>
          </w:p>
        </w:tc>
        <w:tc>
          <w:tcPr>
            <w:tcW w:w="1814" w:type="dxa"/>
            <w:vAlign w:val="center"/>
          </w:tcPr>
          <w:p w14:paraId="16064A7F" w14:textId="77777777" w:rsidR="00454A29" w:rsidRDefault="00454A29">
            <w:pPr>
              <w:pStyle w:val="ConsPlusNormal"/>
              <w:jc w:val="center"/>
            </w:pPr>
            <w:r>
              <w:t>1 967,67</w:t>
            </w:r>
          </w:p>
        </w:tc>
        <w:tc>
          <w:tcPr>
            <w:tcW w:w="1701" w:type="dxa"/>
            <w:vAlign w:val="center"/>
          </w:tcPr>
          <w:p w14:paraId="0A649A52" w14:textId="77777777" w:rsidR="00454A29" w:rsidRDefault="00454A29">
            <w:pPr>
              <w:pStyle w:val="ConsPlusNormal"/>
              <w:jc w:val="center"/>
            </w:pPr>
            <w:r>
              <w:t>194 799,53</w:t>
            </w:r>
          </w:p>
        </w:tc>
        <w:tc>
          <w:tcPr>
            <w:tcW w:w="1701" w:type="dxa"/>
            <w:vAlign w:val="center"/>
          </w:tcPr>
          <w:p w14:paraId="5080E766" w14:textId="77777777" w:rsidR="00454A29" w:rsidRDefault="00454A29">
            <w:pPr>
              <w:pStyle w:val="ConsPlusNormal"/>
            </w:pPr>
          </w:p>
        </w:tc>
        <w:tc>
          <w:tcPr>
            <w:tcW w:w="1814" w:type="dxa"/>
            <w:vAlign w:val="center"/>
          </w:tcPr>
          <w:p w14:paraId="7C3A02F3" w14:textId="77777777" w:rsidR="00454A29" w:rsidRDefault="00454A29">
            <w:pPr>
              <w:pStyle w:val="ConsPlusNormal"/>
            </w:pPr>
          </w:p>
        </w:tc>
      </w:tr>
      <w:tr w:rsidR="00454A29" w14:paraId="6FBEB81A" w14:textId="77777777">
        <w:tc>
          <w:tcPr>
            <w:tcW w:w="567" w:type="dxa"/>
            <w:vMerge/>
          </w:tcPr>
          <w:p w14:paraId="2E5E22A4" w14:textId="77777777" w:rsidR="00454A29" w:rsidRDefault="00454A29"/>
        </w:tc>
        <w:tc>
          <w:tcPr>
            <w:tcW w:w="3345" w:type="dxa"/>
            <w:vMerge/>
          </w:tcPr>
          <w:p w14:paraId="6C63AB77" w14:textId="77777777" w:rsidR="00454A29" w:rsidRDefault="00454A29"/>
        </w:tc>
        <w:tc>
          <w:tcPr>
            <w:tcW w:w="1701" w:type="dxa"/>
            <w:vAlign w:val="center"/>
          </w:tcPr>
          <w:p w14:paraId="46B5F5C8" w14:textId="77777777" w:rsidR="00454A29" w:rsidRDefault="00454A29">
            <w:pPr>
              <w:pStyle w:val="ConsPlusNormal"/>
              <w:jc w:val="center"/>
            </w:pPr>
            <w:r>
              <w:t>2020</w:t>
            </w:r>
          </w:p>
        </w:tc>
        <w:tc>
          <w:tcPr>
            <w:tcW w:w="1417" w:type="dxa"/>
            <w:vMerge/>
          </w:tcPr>
          <w:p w14:paraId="4DA2D5BE" w14:textId="77777777" w:rsidR="00454A29" w:rsidRDefault="00454A29"/>
        </w:tc>
        <w:tc>
          <w:tcPr>
            <w:tcW w:w="2204" w:type="dxa"/>
            <w:vMerge/>
          </w:tcPr>
          <w:p w14:paraId="7AEEBCED" w14:textId="77777777" w:rsidR="00454A29" w:rsidRDefault="00454A29"/>
        </w:tc>
        <w:tc>
          <w:tcPr>
            <w:tcW w:w="1417" w:type="dxa"/>
            <w:vMerge/>
          </w:tcPr>
          <w:p w14:paraId="33D2C74F" w14:textId="77777777" w:rsidR="00454A29" w:rsidRDefault="00454A29"/>
        </w:tc>
        <w:tc>
          <w:tcPr>
            <w:tcW w:w="2324" w:type="dxa"/>
            <w:vMerge/>
          </w:tcPr>
          <w:p w14:paraId="3834FB3D" w14:textId="77777777" w:rsidR="00454A29" w:rsidRDefault="00454A29"/>
        </w:tc>
        <w:tc>
          <w:tcPr>
            <w:tcW w:w="1701" w:type="dxa"/>
            <w:vAlign w:val="center"/>
          </w:tcPr>
          <w:p w14:paraId="63972F52" w14:textId="77777777" w:rsidR="00454A29" w:rsidRDefault="00454A29">
            <w:pPr>
              <w:pStyle w:val="ConsPlusNormal"/>
              <w:jc w:val="center"/>
            </w:pPr>
            <w:r>
              <w:t>78 706,88</w:t>
            </w:r>
          </w:p>
        </w:tc>
        <w:tc>
          <w:tcPr>
            <w:tcW w:w="1814" w:type="dxa"/>
            <w:vAlign w:val="center"/>
          </w:tcPr>
          <w:p w14:paraId="39FF46AA" w14:textId="77777777" w:rsidR="00454A29" w:rsidRDefault="00454A29">
            <w:pPr>
              <w:pStyle w:val="ConsPlusNormal"/>
              <w:jc w:val="center"/>
            </w:pPr>
            <w:r>
              <w:t>787,07</w:t>
            </w:r>
          </w:p>
        </w:tc>
        <w:tc>
          <w:tcPr>
            <w:tcW w:w="1701" w:type="dxa"/>
            <w:vAlign w:val="center"/>
          </w:tcPr>
          <w:p w14:paraId="1146B47D" w14:textId="77777777" w:rsidR="00454A29" w:rsidRDefault="00454A29">
            <w:pPr>
              <w:pStyle w:val="ConsPlusNormal"/>
              <w:jc w:val="center"/>
            </w:pPr>
            <w:r>
              <w:t>77 919,81</w:t>
            </w:r>
          </w:p>
        </w:tc>
        <w:tc>
          <w:tcPr>
            <w:tcW w:w="1701" w:type="dxa"/>
            <w:vAlign w:val="center"/>
          </w:tcPr>
          <w:p w14:paraId="6086D2E2" w14:textId="77777777" w:rsidR="00454A29" w:rsidRDefault="00454A29">
            <w:pPr>
              <w:pStyle w:val="ConsPlusNormal"/>
            </w:pPr>
          </w:p>
        </w:tc>
        <w:tc>
          <w:tcPr>
            <w:tcW w:w="1814" w:type="dxa"/>
            <w:vAlign w:val="center"/>
          </w:tcPr>
          <w:p w14:paraId="2F552023" w14:textId="77777777" w:rsidR="00454A29" w:rsidRDefault="00454A29">
            <w:pPr>
              <w:pStyle w:val="ConsPlusNormal"/>
            </w:pPr>
          </w:p>
        </w:tc>
      </w:tr>
      <w:tr w:rsidR="00454A29" w14:paraId="7CB4275E" w14:textId="77777777">
        <w:tc>
          <w:tcPr>
            <w:tcW w:w="567" w:type="dxa"/>
            <w:vMerge/>
          </w:tcPr>
          <w:p w14:paraId="02A9B20A" w14:textId="77777777" w:rsidR="00454A29" w:rsidRDefault="00454A29"/>
        </w:tc>
        <w:tc>
          <w:tcPr>
            <w:tcW w:w="3345" w:type="dxa"/>
            <w:vMerge/>
          </w:tcPr>
          <w:p w14:paraId="431FCF06" w14:textId="77777777" w:rsidR="00454A29" w:rsidRDefault="00454A29"/>
        </w:tc>
        <w:tc>
          <w:tcPr>
            <w:tcW w:w="1701" w:type="dxa"/>
            <w:vAlign w:val="center"/>
          </w:tcPr>
          <w:p w14:paraId="3655E529" w14:textId="77777777" w:rsidR="00454A29" w:rsidRDefault="00454A29">
            <w:pPr>
              <w:pStyle w:val="ConsPlusNormal"/>
              <w:jc w:val="center"/>
            </w:pPr>
            <w:r>
              <w:t>2021</w:t>
            </w:r>
          </w:p>
        </w:tc>
        <w:tc>
          <w:tcPr>
            <w:tcW w:w="1417" w:type="dxa"/>
            <w:vMerge/>
          </w:tcPr>
          <w:p w14:paraId="1845276B" w14:textId="77777777" w:rsidR="00454A29" w:rsidRDefault="00454A29"/>
        </w:tc>
        <w:tc>
          <w:tcPr>
            <w:tcW w:w="2204" w:type="dxa"/>
            <w:vMerge/>
          </w:tcPr>
          <w:p w14:paraId="3005FF53" w14:textId="77777777" w:rsidR="00454A29" w:rsidRDefault="00454A29"/>
        </w:tc>
        <w:tc>
          <w:tcPr>
            <w:tcW w:w="1417" w:type="dxa"/>
            <w:vMerge/>
          </w:tcPr>
          <w:p w14:paraId="7120E99E" w14:textId="77777777" w:rsidR="00454A29" w:rsidRDefault="00454A29"/>
        </w:tc>
        <w:tc>
          <w:tcPr>
            <w:tcW w:w="2324" w:type="dxa"/>
            <w:vMerge/>
          </w:tcPr>
          <w:p w14:paraId="16AF43C5" w14:textId="77777777" w:rsidR="00454A29" w:rsidRDefault="00454A29"/>
        </w:tc>
        <w:tc>
          <w:tcPr>
            <w:tcW w:w="1701" w:type="dxa"/>
            <w:vAlign w:val="center"/>
          </w:tcPr>
          <w:p w14:paraId="5CC7894C" w14:textId="77777777" w:rsidR="00454A29" w:rsidRDefault="00454A29">
            <w:pPr>
              <w:pStyle w:val="ConsPlusNormal"/>
              <w:jc w:val="center"/>
            </w:pPr>
            <w:r>
              <w:t>118 060,32</w:t>
            </w:r>
          </w:p>
        </w:tc>
        <w:tc>
          <w:tcPr>
            <w:tcW w:w="1814" w:type="dxa"/>
            <w:vAlign w:val="center"/>
          </w:tcPr>
          <w:p w14:paraId="6DEB134E" w14:textId="77777777" w:rsidR="00454A29" w:rsidRDefault="00454A29">
            <w:pPr>
              <w:pStyle w:val="ConsPlusNormal"/>
              <w:jc w:val="center"/>
            </w:pPr>
            <w:r>
              <w:t>1 180,60</w:t>
            </w:r>
          </w:p>
        </w:tc>
        <w:tc>
          <w:tcPr>
            <w:tcW w:w="1701" w:type="dxa"/>
            <w:vAlign w:val="center"/>
          </w:tcPr>
          <w:p w14:paraId="6E508A59" w14:textId="77777777" w:rsidR="00454A29" w:rsidRDefault="00454A29">
            <w:pPr>
              <w:pStyle w:val="ConsPlusNormal"/>
              <w:jc w:val="center"/>
            </w:pPr>
            <w:r>
              <w:t>116 879,72</w:t>
            </w:r>
          </w:p>
        </w:tc>
        <w:tc>
          <w:tcPr>
            <w:tcW w:w="1701" w:type="dxa"/>
            <w:vAlign w:val="center"/>
          </w:tcPr>
          <w:p w14:paraId="22D871A5" w14:textId="77777777" w:rsidR="00454A29" w:rsidRDefault="00454A29">
            <w:pPr>
              <w:pStyle w:val="ConsPlusNormal"/>
            </w:pPr>
          </w:p>
        </w:tc>
        <w:tc>
          <w:tcPr>
            <w:tcW w:w="1814" w:type="dxa"/>
            <w:vAlign w:val="center"/>
          </w:tcPr>
          <w:p w14:paraId="648C7D6A" w14:textId="77777777" w:rsidR="00454A29" w:rsidRDefault="00454A29">
            <w:pPr>
              <w:pStyle w:val="ConsPlusNormal"/>
            </w:pPr>
          </w:p>
        </w:tc>
      </w:tr>
      <w:tr w:rsidR="00454A29" w14:paraId="48F375EB" w14:textId="77777777">
        <w:tc>
          <w:tcPr>
            <w:tcW w:w="567" w:type="dxa"/>
            <w:vMerge/>
          </w:tcPr>
          <w:p w14:paraId="26573584" w14:textId="77777777" w:rsidR="00454A29" w:rsidRDefault="00454A29"/>
        </w:tc>
        <w:tc>
          <w:tcPr>
            <w:tcW w:w="3345" w:type="dxa"/>
            <w:vMerge/>
          </w:tcPr>
          <w:p w14:paraId="7AACBFDF" w14:textId="77777777" w:rsidR="00454A29" w:rsidRDefault="00454A29"/>
        </w:tc>
        <w:tc>
          <w:tcPr>
            <w:tcW w:w="1701" w:type="dxa"/>
            <w:vAlign w:val="center"/>
          </w:tcPr>
          <w:p w14:paraId="5049D3AF" w14:textId="77777777" w:rsidR="00454A29" w:rsidRDefault="00454A29">
            <w:pPr>
              <w:pStyle w:val="ConsPlusNormal"/>
              <w:jc w:val="center"/>
            </w:pPr>
            <w:r>
              <w:t>2022</w:t>
            </w:r>
          </w:p>
        </w:tc>
        <w:tc>
          <w:tcPr>
            <w:tcW w:w="1417" w:type="dxa"/>
            <w:vMerge/>
          </w:tcPr>
          <w:p w14:paraId="3B4ABC36" w14:textId="77777777" w:rsidR="00454A29" w:rsidRDefault="00454A29"/>
        </w:tc>
        <w:tc>
          <w:tcPr>
            <w:tcW w:w="2204" w:type="dxa"/>
            <w:vMerge/>
          </w:tcPr>
          <w:p w14:paraId="3D234314" w14:textId="77777777" w:rsidR="00454A29" w:rsidRDefault="00454A29"/>
        </w:tc>
        <w:tc>
          <w:tcPr>
            <w:tcW w:w="1417" w:type="dxa"/>
            <w:vMerge/>
          </w:tcPr>
          <w:p w14:paraId="0CD1197B" w14:textId="77777777" w:rsidR="00454A29" w:rsidRDefault="00454A29"/>
        </w:tc>
        <w:tc>
          <w:tcPr>
            <w:tcW w:w="2324" w:type="dxa"/>
            <w:vMerge/>
          </w:tcPr>
          <w:p w14:paraId="4CCB3489" w14:textId="77777777" w:rsidR="00454A29" w:rsidRDefault="00454A29"/>
        </w:tc>
        <w:tc>
          <w:tcPr>
            <w:tcW w:w="1701" w:type="dxa"/>
            <w:vAlign w:val="center"/>
          </w:tcPr>
          <w:p w14:paraId="2AAB5618" w14:textId="77777777" w:rsidR="00454A29" w:rsidRDefault="00454A29">
            <w:pPr>
              <w:pStyle w:val="ConsPlusNormal"/>
              <w:jc w:val="center"/>
            </w:pPr>
            <w:r>
              <w:t>-</w:t>
            </w:r>
          </w:p>
        </w:tc>
        <w:tc>
          <w:tcPr>
            <w:tcW w:w="1814" w:type="dxa"/>
            <w:vAlign w:val="center"/>
          </w:tcPr>
          <w:p w14:paraId="0A12A6E5" w14:textId="77777777" w:rsidR="00454A29" w:rsidRDefault="00454A29">
            <w:pPr>
              <w:pStyle w:val="ConsPlusNormal"/>
            </w:pPr>
          </w:p>
        </w:tc>
        <w:tc>
          <w:tcPr>
            <w:tcW w:w="1701" w:type="dxa"/>
            <w:vAlign w:val="center"/>
          </w:tcPr>
          <w:p w14:paraId="0899604F" w14:textId="77777777" w:rsidR="00454A29" w:rsidRDefault="00454A29">
            <w:pPr>
              <w:pStyle w:val="ConsPlusNormal"/>
            </w:pPr>
          </w:p>
        </w:tc>
        <w:tc>
          <w:tcPr>
            <w:tcW w:w="1701" w:type="dxa"/>
            <w:vAlign w:val="center"/>
          </w:tcPr>
          <w:p w14:paraId="7F106441" w14:textId="77777777" w:rsidR="00454A29" w:rsidRDefault="00454A29">
            <w:pPr>
              <w:pStyle w:val="ConsPlusNormal"/>
            </w:pPr>
          </w:p>
        </w:tc>
        <w:tc>
          <w:tcPr>
            <w:tcW w:w="1814" w:type="dxa"/>
            <w:vAlign w:val="center"/>
          </w:tcPr>
          <w:p w14:paraId="32E2FC3D" w14:textId="77777777" w:rsidR="00454A29" w:rsidRDefault="00454A29">
            <w:pPr>
              <w:pStyle w:val="ConsPlusNormal"/>
            </w:pPr>
          </w:p>
        </w:tc>
      </w:tr>
      <w:tr w:rsidR="00454A29" w14:paraId="06139DA0" w14:textId="77777777">
        <w:tc>
          <w:tcPr>
            <w:tcW w:w="567" w:type="dxa"/>
            <w:vMerge/>
          </w:tcPr>
          <w:p w14:paraId="3EFF9655" w14:textId="77777777" w:rsidR="00454A29" w:rsidRDefault="00454A29"/>
        </w:tc>
        <w:tc>
          <w:tcPr>
            <w:tcW w:w="3345" w:type="dxa"/>
            <w:vMerge/>
          </w:tcPr>
          <w:p w14:paraId="6E370C2C" w14:textId="77777777" w:rsidR="00454A29" w:rsidRDefault="00454A29"/>
        </w:tc>
        <w:tc>
          <w:tcPr>
            <w:tcW w:w="1701" w:type="dxa"/>
            <w:vAlign w:val="center"/>
          </w:tcPr>
          <w:p w14:paraId="50DAF742" w14:textId="77777777" w:rsidR="00454A29" w:rsidRDefault="00454A29">
            <w:pPr>
              <w:pStyle w:val="ConsPlusNormal"/>
              <w:jc w:val="center"/>
            </w:pPr>
            <w:r>
              <w:t>2023</w:t>
            </w:r>
          </w:p>
        </w:tc>
        <w:tc>
          <w:tcPr>
            <w:tcW w:w="1417" w:type="dxa"/>
            <w:vMerge/>
          </w:tcPr>
          <w:p w14:paraId="7B4C81CE" w14:textId="77777777" w:rsidR="00454A29" w:rsidRDefault="00454A29"/>
        </w:tc>
        <w:tc>
          <w:tcPr>
            <w:tcW w:w="2204" w:type="dxa"/>
            <w:vMerge/>
          </w:tcPr>
          <w:p w14:paraId="411CAC14" w14:textId="77777777" w:rsidR="00454A29" w:rsidRDefault="00454A29"/>
        </w:tc>
        <w:tc>
          <w:tcPr>
            <w:tcW w:w="1417" w:type="dxa"/>
            <w:vMerge/>
          </w:tcPr>
          <w:p w14:paraId="04025901" w14:textId="77777777" w:rsidR="00454A29" w:rsidRDefault="00454A29"/>
        </w:tc>
        <w:tc>
          <w:tcPr>
            <w:tcW w:w="2324" w:type="dxa"/>
            <w:vMerge/>
          </w:tcPr>
          <w:p w14:paraId="691D37C1" w14:textId="77777777" w:rsidR="00454A29" w:rsidRDefault="00454A29"/>
        </w:tc>
        <w:tc>
          <w:tcPr>
            <w:tcW w:w="1701" w:type="dxa"/>
            <w:vAlign w:val="center"/>
          </w:tcPr>
          <w:p w14:paraId="20F0D064" w14:textId="77777777" w:rsidR="00454A29" w:rsidRDefault="00454A29">
            <w:pPr>
              <w:pStyle w:val="ConsPlusNormal"/>
              <w:jc w:val="center"/>
            </w:pPr>
            <w:r>
              <w:t>-</w:t>
            </w:r>
          </w:p>
        </w:tc>
        <w:tc>
          <w:tcPr>
            <w:tcW w:w="1814" w:type="dxa"/>
            <w:vAlign w:val="center"/>
          </w:tcPr>
          <w:p w14:paraId="517747AC" w14:textId="77777777" w:rsidR="00454A29" w:rsidRDefault="00454A29">
            <w:pPr>
              <w:pStyle w:val="ConsPlusNormal"/>
            </w:pPr>
          </w:p>
        </w:tc>
        <w:tc>
          <w:tcPr>
            <w:tcW w:w="1701" w:type="dxa"/>
            <w:vAlign w:val="center"/>
          </w:tcPr>
          <w:p w14:paraId="680565ED" w14:textId="77777777" w:rsidR="00454A29" w:rsidRDefault="00454A29">
            <w:pPr>
              <w:pStyle w:val="ConsPlusNormal"/>
            </w:pPr>
          </w:p>
        </w:tc>
        <w:tc>
          <w:tcPr>
            <w:tcW w:w="1701" w:type="dxa"/>
            <w:vAlign w:val="center"/>
          </w:tcPr>
          <w:p w14:paraId="32242A23" w14:textId="77777777" w:rsidR="00454A29" w:rsidRDefault="00454A29">
            <w:pPr>
              <w:pStyle w:val="ConsPlusNormal"/>
            </w:pPr>
          </w:p>
        </w:tc>
        <w:tc>
          <w:tcPr>
            <w:tcW w:w="1814" w:type="dxa"/>
            <w:vAlign w:val="center"/>
          </w:tcPr>
          <w:p w14:paraId="30714FEA" w14:textId="77777777" w:rsidR="00454A29" w:rsidRDefault="00454A29">
            <w:pPr>
              <w:pStyle w:val="ConsPlusNormal"/>
            </w:pPr>
          </w:p>
        </w:tc>
      </w:tr>
      <w:tr w:rsidR="00454A29" w14:paraId="23A591D2" w14:textId="77777777">
        <w:tc>
          <w:tcPr>
            <w:tcW w:w="567" w:type="dxa"/>
            <w:vMerge/>
          </w:tcPr>
          <w:p w14:paraId="3992BFE4" w14:textId="77777777" w:rsidR="00454A29" w:rsidRDefault="00454A29"/>
        </w:tc>
        <w:tc>
          <w:tcPr>
            <w:tcW w:w="3345" w:type="dxa"/>
            <w:vMerge/>
          </w:tcPr>
          <w:p w14:paraId="4DD87395" w14:textId="77777777" w:rsidR="00454A29" w:rsidRDefault="00454A29"/>
        </w:tc>
        <w:tc>
          <w:tcPr>
            <w:tcW w:w="1701" w:type="dxa"/>
            <w:vAlign w:val="center"/>
          </w:tcPr>
          <w:p w14:paraId="03D6E83C" w14:textId="77777777" w:rsidR="00454A29" w:rsidRDefault="00454A29">
            <w:pPr>
              <w:pStyle w:val="ConsPlusNormal"/>
              <w:jc w:val="center"/>
            </w:pPr>
            <w:r>
              <w:t>2024</w:t>
            </w:r>
          </w:p>
        </w:tc>
        <w:tc>
          <w:tcPr>
            <w:tcW w:w="1417" w:type="dxa"/>
            <w:vMerge/>
          </w:tcPr>
          <w:p w14:paraId="6697F5C0" w14:textId="77777777" w:rsidR="00454A29" w:rsidRDefault="00454A29"/>
        </w:tc>
        <w:tc>
          <w:tcPr>
            <w:tcW w:w="2204" w:type="dxa"/>
            <w:vMerge/>
          </w:tcPr>
          <w:p w14:paraId="6EBBAA2D" w14:textId="77777777" w:rsidR="00454A29" w:rsidRDefault="00454A29"/>
        </w:tc>
        <w:tc>
          <w:tcPr>
            <w:tcW w:w="1417" w:type="dxa"/>
            <w:vMerge/>
          </w:tcPr>
          <w:p w14:paraId="307C81FA" w14:textId="77777777" w:rsidR="00454A29" w:rsidRDefault="00454A29"/>
        </w:tc>
        <w:tc>
          <w:tcPr>
            <w:tcW w:w="2324" w:type="dxa"/>
            <w:vMerge/>
          </w:tcPr>
          <w:p w14:paraId="33931097" w14:textId="77777777" w:rsidR="00454A29" w:rsidRDefault="00454A29"/>
        </w:tc>
        <w:tc>
          <w:tcPr>
            <w:tcW w:w="1701" w:type="dxa"/>
            <w:vAlign w:val="center"/>
          </w:tcPr>
          <w:p w14:paraId="2BF0303F" w14:textId="77777777" w:rsidR="00454A29" w:rsidRDefault="00454A29">
            <w:pPr>
              <w:pStyle w:val="ConsPlusNormal"/>
              <w:jc w:val="center"/>
            </w:pPr>
            <w:r>
              <w:t>-</w:t>
            </w:r>
          </w:p>
        </w:tc>
        <w:tc>
          <w:tcPr>
            <w:tcW w:w="1814" w:type="dxa"/>
            <w:vAlign w:val="center"/>
          </w:tcPr>
          <w:p w14:paraId="3877ADFD" w14:textId="77777777" w:rsidR="00454A29" w:rsidRDefault="00454A29">
            <w:pPr>
              <w:pStyle w:val="ConsPlusNormal"/>
            </w:pPr>
          </w:p>
        </w:tc>
        <w:tc>
          <w:tcPr>
            <w:tcW w:w="1701" w:type="dxa"/>
            <w:vAlign w:val="center"/>
          </w:tcPr>
          <w:p w14:paraId="625A993A" w14:textId="77777777" w:rsidR="00454A29" w:rsidRDefault="00454A29">
            <w:pPr>
              <w:pStyle w:val="ConsPlusNormal"/>
            </w:pPr>
          </w:p>
        </w:tc>
        <w:tc>
          <w:tcPr>
            <w:tcW w:w="1701" w:type="dxa"/>
            <w:vAlign w:val="center"/>
          </w:tcPr>
          <w:p w14:paraId="48B52980" w14:textId="77777777" w:rsidR="00454A29" w:rsidRDefault="00454A29">
            <w:pPr>
              <w:pStyle w:val="ConsPlusNormal"/>
            </w:pPr>
          </w:p>
        </w:tc>
        <w:tc>
          <w:tcPr>
            <w:tcW w:w="1814" w:type="dxa"/>
            <w:vAlign w:val="center"/>
          </w:tcPr>
          <w:p w14:paraId="6905EEC3" w14:textId="77777777" w:rsidR="00454A29" w:rsidRDefault="00454A29">
            <w:pPr>
              <w:pStyle w:val="ConsPlusNormal"/>
            </w:pPr>
          </w:p>
        </w:tc>
      </w:tr>
      <w:tr w:rsidR="00454A29" w14:paraId="7BE56988" w14:textId="77777777">
        <w:tc>
          <w:tcPr>
            <w:tcW w:w="567" w:type="dxa"/>
            <w:vMerge/>
          </w:tcPr>
          <w:p w14:paraId="21D7FD1B" w14:textId="77777777" w:rsidR="00454A29" w:rsidRDefault="00454A29"/>
        </w:tc>
        <w:tc>
          <w:tcPr>
            <w:tcW w:w="3345" w:type="dxa"/>
            <w:vMerge/>
          </w:tcPr>
          <w:p w14:paraId="7615CA26" w14:textId="77777777" w:rsidR="00454A29" w:rsidRDefault="00454A29"/>
        </w:tc>
        <w:tc>
          <w:tcPr>
            <w:tcW w:w="1701" w:type="dxa"/>
            <w:vAlign w:val="center"/>
          </w:tcPr>
          <w:p w14:paraId="3CF90FBD" w14:textId="77777777" w:rsidR="00454A29" w:rsidRDefault="00454A29">
            <w:pPr>
              <w:pStyle w:val="ConsPlusNormal"/>
              <w:jc w:val="center"/>
            </w:pPr>
            <w:r>
              <w:t>2025</w:t>
            </w:r>
          </w:p>
        </w:tc>
        <w:tc>
          <w:tcPr>
            <w:tcW w:w="1417" w:type="dxa"/>
            <w:vMerge/>
          </w:tcPr>
          <w:p w14:paraId="39DD89EC" w14:textId="77777777" w:rsidR="00454A29" w:rsidRDefault="00454A29"/>
        </w:tc>
        <w:tc>
          <w:tcPr>
            <w:tcW w:w="2204" w:type="dxa"/>
            <w:vMerge/>
          </w:tcPr>
          <w:p w14:paraId="0300E86C" w14:textId="77777777" w:rsidR="00454A29" w:rsidRDefault="00454A29"/>
        </w:tc>
        <w:tc>
          <w:tcPr>
            <w:tcW w:w="1417" w:type="dxa"/>
            <w:vMerge/>
          </w:tcPr>
          <w:p w14:paraId="54E127DD" w14:textId="77777777" w:rsidR="00454A29" w:rsidRDefault="00454A29"/>
        </w:tc>
        <w:tc>
          <w:tcPr>
            <w:tcW w:w="2324" w:type="dxa"/>
            <w:vMerge/>
          </w:tcPr>
          <w:p w14:paraId="5CC31EB4" w14:textId="77777777" w:rsidR="00454A29" w:rsidRDefault="00454A29"/>
        </w:tc>
        <w:tc>
          <w:tcPr>
            <w:tcW w:w="1701" w:type="dxa"/>
            <w:vAlign w:val="center"/>
          </w:tcPr>
          <w:p w14:paraId="447DD2EE" w14:textId="77777777" w:rsidR="00454A29" w:rsidRDefault="00454A29">
            <w:pPr>
              <w:pStyle w:val="ConsPlusNormal"/>
              <w:jc w:val="center"/>
            </w:pPr>
            <w:r>
              <w:t>-</w:t>
            </w:r>
          </w:p>
        </w:tc>
        <w:tc>
          <w:tcPr>
            <w:tcW w:w="1814" w:type="dxa"/>
            <w:vAlign w:val="center"/>
          </w:tcPr>
          <w:p w14:paraId="2A11D1C0" w14:textId="77777777" w:rsidR="00454A29" w:rsidRDefault="00454A29">
            <w:pPr>
              <w:pStyle w:val="ConsPlusNormal"/>
            </w:pPr>
          </w:p>
        </w:tc>
        <w:tc>
          <w:tcPr>
            <w:tcW w:w="1701" w:type="dxa"/>
            <w:vAlign w:val="center"/>
          </w:tcPr>
          <w:p w14:paraId="08A86BB3" w14:textId="77777777" w:rsidR="00454A29" w:rsidRDefault="00454A29">
            <w:pPr>
              <w:pStyle w:val="ConsPlusNormal"/>
            </w:pPr>
          </w:p>
        </w:tc>
        <w:tc>
          <w:tcPr>
            <w:tcW w:w="1701" w:type="dxa"/>
            <w:vAlign w:val="center"/>
          </w:tcPr>
          <w:p w14:paraId="4038674D" w14:textId="77777777" w:rsidR="00454A29" w:rsidRDefault="00454A29">
            <w:pPr>
              <w:pStyle w:val="ConsPlusNormal"/>
            </w:pPr>
          </w:p>
        </w:tc>
        <w:tc>
          <w:tcPr>
            <w:tcW w:w="1814" w:type="dxa"/>
            <w:vAlign w:val="center"/>
          </w:tcPr>
          <w:p w14:paraId="4EDFD46E" w14:textId="77777777" w:rsidR="00454A29" w:rsidRDefault="00454A29">
            <w:pPr>
              <w:pStyle w:val="ConsPlusNormal"/>
            </w:pPr>
          </w:p>
        </w:tc>
      </w:tr>
      <w:tr w:rsidR="00454A29" w14:paraId="4645309D" w14:textId="77777777">
        <w:tc>
          <w:tcPr>
            <w:tcW w:w="567" w:type="dxa"/>
            <w:vMerge/>
          </w:tcPr>
          <w:p w14:paraId="2B0E83FD" w14:textId="77777777" w:rsidR="00454A29" w:rsidRDefault="00454A29"/>
        </w:tc>
        <w:tc>
          <w:tcPr>
            <w:tcW w:w="3345" w:type="dxa"/>
            <w:vMerge/>
          </w:tcPr>
          <w:p w14:paraId="66EA44DE" w14:textId="77777777" w:rsidR="00454A29" w:rsidRDefault="00454A29"/>
        </w:tc>
        <w:tc>
          <w:tcPr>
            <w:tcW w:w="1701" w:type="dxa"/>
            <w:vAlign w:val="center"/>
          </w:tcPr>
          <w:p w14:paraId="4460EF2F" w14:textId="77777777" w:rsidR="00454A29" w:rsidRDefault="00454A29">
            <w:pPr>
              <w:pStyle w:val="ConsPlusNormal"/>
              <w:jc w:val="center"/>
            </w:pPr>
            <w:r>
              <w:t>2026</w:t>
            </w:r>
          </w:p>
        </w:tc>
        <w:tc>
          <w:tcPr>
            <w:tcW w:w="1417" w:type="dxa"/>
            <w:vMerge/>
          </w:tcPr>
          <w:p w14:paraId="55C4C58D" w14:textId="77777777" w:rsidR="00454A29" w:rsidRDefault="00454A29"/>
        </w:tc>
        <w:tc>
          <w:tcPr>
            <w:tcW w:w="2204" w:type="dxa"/>
            <w:vMerge/>
          </w:tcPr>
          <w:p w14:paraId="78DB8624" w14:textId="77777777" w:rsidR="00454A29" w:rsidRDefault="00454A29"/>
        </w:tc>
        <w:tc>
          <w:tcPr>
            <w:tcW w:w="1417" w:type="dxa"/>
            <w:vMerge/>
          </w:tcPr>
          <w:p w14:paraId="18B5FDB4" w14:textId="77777777" w:rsidR="00454A29" w:rsidRDefault="00454A29"/>
        </w:tc>
        <w:tc>
          <w:tcPr>
            <w:tcW w:w="2324" w:type="dxa"/>
            <w:vMerge/>
          </w:tcPr>
          <w:p w14:paraId="18D2A827" w14:textId="77777777" w:rsidR="00454A29" w:rsidRDefault="00454A29"/>
        </w:tc>
        <w:tc>
          <w:tcPr>
            <w:tcW w:w="1701" w:type="dxa"/>
            <w:vAlign w:val="center"/>
          </w:tcPr>
          <w:p w14:paraId="648997C3" w14:textId="77777777" w:rsidR="00454A29" w:rsidRDefault="00454A29">
            <w:pPr>
              <w:pStyle w:val="ConsPlusNormal"/>
              <w:jc w:val="center"/>
            </w:pPr>
            <w:r>
              <w:t>-</w:t>
            </w:r>
          </w:p>
        </w:tc>
        <w:tc>
          <w:tcPr>
            <w:tcW w:w="1814" w:type="dxa"/>
            <w:vAlign w:val="center"/>
          </w:tcPr>
          <w:p w14:paraId="0D900B81" w14:textId="77777777" w:rsidR="00454A29" w:rsidRDefault="00454A29">
            <w:pPr>
              <w:pStyle w:val="ConsPlusNormal"/>
            </w:pPr>
          </w:p>
        </w:tc>
        <w:tc>
          <w:tcPr>
            <w:tcW w:w="1701" w:type="dxa"/>
            <w:vAlign w:val="center"/>
          </w:tcPr>
          <w:p w14:paraId="6A160A69" w14:textId="77777777" w:rsidR="00454A29" w:rsidRDefault="00454A29">
            <w:pPr>
              <w:pStyle w:val="ConsPlusNormal"/>
            </w:pPr>
          </w:p>
        </w:tc>
        <w:tc>
          <w:tcPr>
            <w:tcW w:w="1701" w:type="dxa"/>
            <w:vAlign w:val="center"/>
          </w:tcPr>
          <w:p w14:paraId="6A9A40F9" w14:textId="77777777" w:rsidR="00454A29" w:rsidRDefault="00454A29">
            <w:pPr>
              <w:pStyle w:val="ConsPlusNormal"/>
            </w:pPr>
          </w:p>
        </w:tc>
        <w:tc>
          <w:tcPr>
            <w:tcW w:w="1814" w:type="dxa"/>
            <w:vAlign w:val="center"/>
          </w:tcPr>
          <w:p w14:paraId="3ABB80B3" w14:textId="77777777" w:rsidR="00454A29" w:rsidRDefault="00454A29">
            <w:pPr>
              <w:pStyle w:val="ConsPlusNormal"/>
            </w:pPr>
          </w:p>
        </w:tc>
      </w:tr>
      <w:tr w:rsidR="00454A29" w14:paraId="320C16B5" w14:textId="77777777">
        <w:tc>
          <w:tcPr>
            <w:tcW w:w="567" w:type="dxa"/>
            <w:vMerge w:val="restart"/>
            <w:vAlign w:val="center"/>
          </w:tcPr>
          <w:p w14:paraId="6766CBDA" w14:textId="77777777" w:rsidR="00454A29" w:rsidRDefault="00454A29">
            <w:pPr>
              <w:pStyle w:val="ConsPlusNormal"/>
              <w:jc w:val="center"/>
            </w:pPr>
            <w:r>
              <w:t>125</w:t>
            </w:r>
          </w:p>
        </w:tc>
        <w:tc>
          <w:tcPr>
            <w:tcW w:w="3345" w:type="dxa"/>
            <w:vMerge w:val="restart"/>
            <w:vAlign w:val="center"/>
          </w:tcPr>
          <w:p w14:paraId="6DA75BB6" w14:textId="77777777" w:rsidR="00454A29" w:rsidRDefault="00454A29">
            <w:pPr>
              <w:pStyle w:val="ConsPlusNormal"/>
              <w:jc w:val="center"/>
            </w:pPr>
            <w:r>
              <w:t>Детский сад на 75 мест в с. Борогонцы Усть-Алданского улуса</w:t>
            </w:r>
          </w:p>
        </w:tc>
        <w:tc>
          <w:tcPr>
            <w:tcW w:w="1701" w:type="dxa"/>
            <w:vAlign w:val="center"/>
          </w:tcPr>
          <w:p w14:paraId="48763613" w14:textId="77777777" w:rsidR="00454A29" w:rsidRDefault="00454A29">
            <w:pPr>
              <w:pStyle w:val="ConsPlusNormal"/>
              <w:jc w:val="center"/>
            </w:pPr>
            <w:r>
              <w:t>Всего:</w:t>
            </w:r>
          </w:p>
        </w:tc>
        <w:tc>
          <w:tcPr>
            <w:tcW w:w="1417" w:type="dxa"/>
            <w:vMerge w:val="restart"/>
            <w:vAlign w:val="center"/>
          </w:tcPr>
          <w:p w14:paraId="7A055289" w14:textId="77777777" w:rsidR="00454A29" w:rsidRDefault="00454A29">
            <w:pPr>
              <w:pStyle w:val="ConsPlusNormal"/>
              <w:jc w:val="center"/>
            </w:pPr>
            <w:r>
              <w:t>148 750,00</w:t>
            </w:r>
          </w:p>
        </w:tc>
        <w:tc>
          <w:tcPr>
            <w:tcW w:w="2204" w:type="dxa"/>
            <w:vMerge w:val="restart"/>
            <w:vAlign w:val="center"/>
          </w:tcPr>
          <w:p w14:paraId="393C5798" w14:textId="77777777" w:rsidR="00454A29" w:rsidRDefault="00454A29">
            <w:pPr>
              <w:pStyle w:val="ConsPlusNormal"/>
            </w:pPr>
          </w:p>
        </w:tc>
        <w:tc>
          <w:tcPr>
            <w:tcW w:w="1417" w:type="dxa"/>
            <w:vMerge w:val="restart"/>
            <w:vAlign w:val="center"/>
          </w:tcPr>
          <w:p w14:paraId="5AF92594" w14:textId="77777777" w:rsidR="00454A29" w:rsidRDefault="00454A29">
            <w:pPr>
              <w:pStyle w:val="ConsPlusNormal"/>
              <w:jc w:val="center"/>
            </w:pPr>
            <w:r>
              <w:t>75</w:t>
            </w:r>
          </w:p>
        </w:tc>
        <w:tc>
          <w:tcPr>
            <w:tcW w:w="2324" w:type="dxa"/>
            <w:vMerge w:val="restart"/>
            <w:vAlign w:val="center"/>
          </w:tcPr>
          <w:p w14:paraId="232383EC" w14:textId="77777777" w:rsidR="00454A29" w:rsidRDefault="00454A29">
            <w:pPr>
              <w:pStyle w:val="ConsPlusNormal"/>
              <w:jc w:val="center"/>
            </w:pPr>
            <w:r>
              <w:t>Министерство строительства РС(Я)</w:t>
            </w:r>
          </w:p>
        </w:tc>
        <w:tc>
          <w:tcPr>
            <w:tcW w:w="1701" w:type="dxa"/>
            <w:vAlign w:val="center"/>
          </w:tcPr>
          <w:p w14:paraId="2488B074" w14:textId="77777777" w:rsidR="00454A29" w:rsidRDefault="00454A29">
            <w:pPr>
              <w:pStyle w:val="ConsPlusNormal"/>
              <w:jc w:val="center"/>
            </w:pPr>
            <w:r>
              <w:t>148 750,00</w:t>
            </w:r>
          </w:p>
        </w:tc>
        <w:tc>
          <w:tcPr>
            <w:tcW w:w="1814" w:type="dxa"/>
            <w:vAlign w:val="center"/>
          </w:tcPr>
          <w:p w14:paraId="2AE62311" w14:textId="77777777" w:rsidR="00454A29" w:rsidRDefault="00454A29">
            <w:pPr>
              <w:pStyle w:val="ConsPlusNormal"/>
              <w:jc w:val="center"/>
            </w:pPr>
            <w:r>
              <w:t>8 925,00</w:t>
            </w:r>
          </w:p>
        </w:tc>
        <w:tc>
          <w:tcPr>
            <w:tcW w:w="1701" w:type="dxa"/>
            <w:vAlign w:val="center"/>
          </w:tcPr>
          <w:p w14:paraId="59DBFD3E" w14:textId="77777777" w:rsidR="00454A29" w:rsidRDefault="00454A29">
            <w:pPr>
              <w:pStyle w:val="ConsPlusNormal"/>
              <w:jc w:val="center"/>
            </w:pPr>
            <w:r>
              <w:t>136 850,00</w:t>
            </w:r>
          </w:p>
        </w:tc>
        <w:tc>
          <w:tcPr>
            <w:tcW w:w="1701" w:type="dxa"/>
            <w:vAlign w:val="center"/>
          </w:tcPr>
          <w:p w14:paraId="678F2AF5" w14:textId="77777777" w:rsidR="00454A29" w:rsidRDefault="00454A29">
            <w:pPr>
              <w:pStyle w:val="ConsPlusNormal"/>
              <w:jc w:val="center"/>
            </w:pPr>
            <w:r>
              <w:t>2 975,00</w:t>
            </w:r>
          </w:p>
        </w:tc>
        <w:tc>
          <w:tcPr>
            <w:tcW w:w="1814" w:type="dxa"/>
            <w:vAlign w:val="center"/>
          </w:tcPr>
          <w:p w14:paraId="7A6FE75F" w14:textId="77777777" w:rsidR="00454A29" w:rsidRDefault="00454A29">
            <w:pPr>
              <w:pStyle w:val="ConsPlusNormal"/>
              <w:jc w:val="center"/>
            </w:pPr>
            <w:r>
              <w:t>-</w:t>
            </w:r>
          </w:p>
        </w:tc>
      </w:tr>
      <w:tr w:rsidR="00454A29" w14:paraId="17A7F055" w14:textId="77777777">
        <w:tc>
          <w:tcPr>
            <w:tcW w:w="567" w:type="dxa"/>
            <w:vMerge/>
          </w:tcPr>
          <w:p w14:paraId="14CFE683" w14:textId="77777777" w:rsidR="00454A29" w:rsidRDefault="00454A29"/>
        </w:tc>
        <w:tc>
          <w:tcPr>
            <w:tcW w:w="3345" w:type="dxa"/>
            <w:vMerge/>
          </w:tcPr>
          <w:p w14:paraId="06CAF161" w14:textId="77777777" w:rsidR="00454A29" w:rsidRDefault="00454A29"/>
        </w:tc>
        <w:tc>
          <w:tcPr>
            <w:tcW w:w="1701" w:type="dxa"/>
            <w:vAlign w:val="center"/>
          </w:tcPr>
          <w:p w14:paraId="329ADC26" w14:textId="77777777" w:rsidR="00454A29" w:rsidRDefault="00454A29">
            <w:pPr>
              <w:pStyle w:val="ConsPlusNormal"/>
              <w:jc w:val="center"/>
            </w:pPr>
            <w:r>
              <w:t>2020</w:t>
            </w:r>
          </w:p>
        </w:tc>
        <w:tc>
          <w:tcPr>
            <w:tcW w:w="1417" w:type="dxa"/>
            <w:vMerge/>
          </w:tcPr>
          <w:p w14:paraId="79FC6356" w14:textId="77777777" w:rsidR="00454A29" w:rsidRDefault="00454A29"/>
        </w:tc>
        <w:tc>
          <w:tcPr>
            <w:tcW w:w="2204" w:type="dxa"/>
            <w:vMerge/>
          </w:tcPr>
          <w:p w14:paraId="627BC9A9" w14:textId="77777777" w:rsidR="00454A29" w:rsidRDefault="00454A29"/>
        </w:tc>
        <w:tc>
          <w:tcPr>
            <w:tcW w:w="1417" w:type="dxa"/>
            <w:vMerge/>
          </w:tcPr>
          <w:p w14:paraId="41F43621" w14:textId="77777777" w:rsidR="00454A29" w:rsidRDefault="00454A29"/>
        </w:tc>
        <w:tc>
          <w:tcPr>
            <w:tcW w:w="2324" w:type="dxa"/>
            <w:vMerge/>
          </w:tcPr>
          <w:p w14:paraId="50CD72BE" w14:textId="77777777" w:rsidR="00454A29" w:rsidRDefault="00454A29"/>
        </w:tc>
        <w:tc>
          <w:tcPr>
            <w:tcW w:w="1701" w:type="dxa"/>
            <w:vAlign w:val="center"/>
          </w:tcPr>
          <w:p w14:paraId="74B7CC4B" w14:textId="77777777" w:rsidR="00454A29" w:rsidRDefault="00454A29">
            <w:pPr>
              <w:pStyle w:val="ConsPlusNormal"/>
              <w:jc w:val="center"/>
            </w:pPr>
            <w:r>
              <w:t>-</w:t>
            </w:r>
          </w:p>
        </w:tc>
        <w:tc>
          <w:tcPr>
            <w:tcW w:w="1814" w:type="dxa"/>
            <w:vAlign w:val="center"/>
          </w:tcPr>
          <w:p w14:paraId="4A256151" w14:textId="77777777" w:rsidR="00454A29" w:rsidRDefault="00454A29">
            <w:pPr>
              <w:pStyle w:val="ConsPlusNormal"/>
              <w:jc w:val="center"/>
            </w:pPr>
            <w:r>
              <w:t>-</w:t>
            </w:r>
          </w:p>
        </w:tc>
        <w:tc>
          <w:tcPr>
            <w:tcW w:w="1701" w:type="dxa"/>
            <w:vAlign w:val="center"/>
          </w:tcPr>
          <w:p w14:paraId="171334DF" w14:textId="77777777" w:rsidR="00454A29" w:rsidRDefault="00454A29">
            <w:pPr>
              <w:pStyle w:val="ConsPlusNormal"/>
              <w:jc w:val="center"/>
            </w:pPr>
            <w:r>
              <w:t>-</w:t>
            </w:r>
          </w:p>
        </w:tc>
        <w:tc>
          <w:tcPr>
            <w:tcW w:w="1701" w:type="dxa"/>
            <w:vAlign w:val="center"/>
          </w:tcPr>
          <w:p w14:paraId="56E01DAF" w14:textId="77777777" w:rsidR="00454A29" w:rsidRDefault="00454A29">
            <w:pPr>
              <w:pStyle w:val="ConsPlusNormal"/>
            </w:pPr>
          </w:p>
        </w:tc>
        <w:tc>
          <w:tcPr>
            <w:tcW w:w="1814" w:type="dxa"/>
            <w:vAlign w:val="center"/>
          </w:tcPr>
          <w:p w14:paraId="6EDFB822" w14:textId="77777777" w:rsidR="00454A29" w:rsidRDefault="00454A29">
            <w:pPr>
              <w:pStyle w:val="ConsPlusNormal"/>
            </w:pPr>
          </w:p>
        </w:tc>
      </w:tr>
      <w:tr w:rsidR="00454A29" w14:paraId="211961B4" w14:textId="77777777">
        <w:tc>
          <w:tcPr>
            <w:tcW w:w="567" w:type="dxa"/>
            <w:vMerge/>
          </w:tcPr>
          <w:p w14:paraId="20BBA9A6" w14:textId="77777777" w:rsidR="00454A29" w:rsidRDefault="00454A29"/>
        </w:tc>
        <w:tc>
          <w:tcPr>
            <w:tcW w:w="3345" w:type="dxa"/>
            <w:vMerge/>
          </w:tcPr>
          <w:p w14:paraId="5A6804B1" w14:textId="77777777" w:rsidR="00454A29" w:rsidRDefault="00454A29"/>
        </w:tc>
        <w:tc>
          <w:tcPr>
            <w:tcW w:w="1701" w:type="dxa"/>
            <w:vAlign w:val="center"/>
          </w:tcPr>
          <w:p w14:paraId="6388EDC3" w14:textId="77777777" w:rsidR="00454A29" w:rsidRDefault="00454A29">
            <w:pPr>
              <w:pStyle w:val="ConsPlusNormal"/>
              <w:jc w:val="center"/>
            </w:pPr>
            <w:r>
              <w:t>2021</w:t>
            </w:r>
          </w:p>
        </w:tc>
        <w:tc>
          <w:tcPr>
            <w:tcW w:w="1417" w:type="dxa"/>
            <w:vMerge/>
          </w:tcPr>
          <w:p w14:paraId="17164E86" w14:textId="77777777" w:rsidR="00454A29" w:rsidRDefault="00454A29"/>
        </w:tc>
        <w:tc>
          <w:tcPr>
            <w:tcW w:w="2204" w:type="dxa"/>
            <w:vMerge/>
          </w:tcPr>
          <w:p w14:paraId="4DCF27BF" w14:textId="77777777" w:rsidR="00454A29" w:rsidRDefault="00454A29"/>
        </w:tc>
        <w:tc>
          <w:tcPr>
            <w:tcW w:w="1417" w:type="dxa"/>
            <w:vMerge/>
          </w:tcPr>
          <w:p w14:paraId="1F34A5A7" w14:textId="77777777" w:rsidR="00454A29" w:rsidRDefault="00454A29"/>
        </w:tc>
        <w:tc>
          <w:tcPr>
            <w:tcW w:w="2324" w:type="dxa"/>
            <w:vMerge/>
          </w:tcPr>
          <w:p w14:paraId="41C3B449" w14:textId="77777777" w:rsidR="00454A29" w:rsidRDefault="00454A29"/>
        </w:tc>
        <w:tc>
          <w:tcPr>
            <w:tcW w:w="1701" w:type="dxa"/>
            <w:vAlign w:val="center"/>
          </w:tcPr>
          <w:p w14:paraId="0BE82C57" w14:textId="77777777" w:rsidR="00454A29" w:rsidRDefault="00454A29">
            <w:pPr>
              <w:pStyle w:val="ConsPlusNormal"/>
              <w:jc w:val="center"/>
            </w:pPr>
            <w:r>
              <w:t>-</w:t>
            </w:r>
          </w:p>
        </w:tc>
        <w:tc>
          <w:tcPr>
            <w:tcW w:w="1814" w:type="dxa"/>
            <w:vAlign w:val="center"/>
          </w:tcPr>
          <w:p w14:paraId="64F9B495" w14:textId="77777777" w:rsidR="00454A29" w:rsidRDefault="00454A29">
            <w:pPr>
              <w:pStyle w:val="ConsPlusNormal"/>
              <w:jc w:val="center"/>
            </w:pPr>
            <w:r>
              <w:t>-</w:t>
            </w:r>
          </w:p>
        </w:tc>
        <w:tc>
          <w:tcPr>
            <w:tcW w:w="1701" w:type="dxa"/>
            <w:vAlign w:val="center"/>
          </w:tcPr>
          <w:p w14:paraId="5A91B40F" w14:textId="77777777" w:rsidR="00454A29" w:rsidRDefault="00454A29">
            <w:pPr>
              <w:pStyle w:val="ConsPlusNormal"/>
              <w:jc w:val="center"/>
            </w:pPr>
            <w:r>
              <w:t>-</w:t>
            </w:r>
          </w:p>
        </w:tc>
        <w:tc>
          <w:tcPr>
            <w:tcW w:w="1701" w:type="dxa"/>
            <w:vAlign w:val="center"/>
          </w:tcPr>
          <w:p w14:paraId="22B58DED" w14:textId="77777777" w:rsidR="00454A29" w:rsidRDefault="00454A29">
            <w:pPr>
              <w:pStyle w:val="ConsPlusNormal"/>
            </w:pPr>
          </w:p>
        </w:tc>
        <w:tc>
          <w:tcPr>
            <w:tcW w:w="1814" w:type="dxa"/>
            <w:vAlign w:val="center"/>
          </w:tcPr>
          <w:p w14:paraId="2A1274D9" w14:textId="77777777" w:rsidR="00454A29" w:rsidRDefault="00454A29">
            <w:pPr>
              <w:pStyle w:val="ConsPlusNormal"/>
            </w:pPr>
          </w:p>
        </w:tc>
      </w:tr>
      <w:tr w:rsidR="00454A29" w14:paraId="091A5EB0" w14:textId="77777777">
        <w:tc>
          <w:tcPr>
            <w:tcW w:w="567" w:type="dxa"/>
            <w:vMerge/>
          </w:tcPr>
          <w:p w14:paraId="65C60B0F" w14:textId="77777777" w:rsidR="00454A29" w:rsidRDefault="00454A29"/>
        </w:tc>
        <w:tc>
          <w:tcPr>
            <w:tcW w:w="3345" w:type="dxa"/>
            <w:vMerge/>
          </w:tcPr>
          <w:p w14:paraId="79A32207" w14:textId="77777777" w:rsidR="00454A29" w:rsidRDefault="00454A29"/>
        </w:tc>
        <w:tc>
          <w:tcPr>
            <w:tcW w:w="1701" w:type="dxa"/>
            <w:vAlign w:val="center"/>
          </w:tcPr>
          <w:p w14:paraId="025D4FBF" w14:textId="77777777" w:rsidR="00454A29" w:rsidRDefault="00454A29">
            <w:pPr>
              <w:pStyle w:val="ConsPlusNormal"/>
              <w:jc w:val="center"/>
            </w:pPr>
            <w:r>
              <w:t>2022</w:t>
            </w:r>
          </w:p>
        </w:tc>
        <w:tc>
          <w:tcPr>
            <w:tcW w:w="1417" w:type="dxa"/>
            <w:vMerge/>
          </w:tcPr>
          <w:p w14:paraId="50C906C3" w14:textId="77777777" w:rsidR="00454A29" w:rsidRDefault="00454A29"/>
        </w:tc>
        <w:tc>
          <w:tcPr>
            <w:tcW w:w="2204" w:type="dxa"/>
            <w:vMerge/>
          </w:tcPr>
          <w:p w14:paraId="4B153F68" w14:textId="77777777" w:rsidR="00454A29" w:rsidRDefault="00454A29"/>
        </w:tc>
        <w:tc>
          <w:tcPr>
            <w:tcW w:w="1417" w:type="dxa"/>
            <w:vMerge/>
          </w:tcPr>
          <w:p w14:paraId="092E5E17" w14:textId="77777777" w:rsidR="00454A29" w:rsidRDefault="00454A29"/>
        </w:tc>
        <w:tc>
          <w:tcPr>
            <w:tcW w:w="2324" w:type="dxa"/>
            <w:vMerge/>
          </w:tcPr>
          <w:p w14:paraId="52DC3BA5" w14:textId="77777777" w:rsidR="00454A29" w:rsidRDefault="00454A29"/>
        </w:tc>
        <w:tc>
          <w:tcPr>
            <w:tcW w:w="1701" w:type="dxa"/>
            <w:vAlign w:val="center"/>
          </w:tcPr>
          <w:p w14:paraId="65E917FC" w14:textId="77777777" w:rsidR="00454A29" w:rsidRDefault="00454A29">
            <w:pPr>
              <w:pStyle w:val="ConsPlusNormal"/>
              <w:jc w:val="center"/>
            </w:pPr>
            <w:r>
              <w:t>-</w:t>
            </w:r>
          </w:p>
        </w:tc>
        <w:tc>
          <w:tcPr>
            <w:tcW w:w="1814" w:type="dxa"/>
            <w:vAlign w:val="center"/>
          </w:tcPr>
          <w:p w14:paraId="3A49FFBB" w14:textId="77777777" w:rsidR="00454A29" w:rsidRDefault="00454A29">
            <w:pPr>
              <w:pStyle w:val="ConsPlusNormal"/>
            </w:pPr>
          </w:p>
        </w:tc>
        <w:tc>
          <w:tcPr>
            <w:tcW w:w="1701" w:type="dxa"/>
            <w:vAlign w:val="center"/>
          </w:tcPr>
          <w:p w14:paraId="43E472F6" w14:textId="77777777" w:rsidR="00454A29" w:rsidRDefault="00454A29">
            <w:pPr>
              <w:pStyle w:val="ConsPlusNormal"/>
            </w:pPr>
          </w:p>
        </w:tc>
        <w:tc>
          <w:tcPr>
            <w:tcW w:w="1701" w:type="dxa"/>
            <w:vAlign w:val="center"/>
          </w:tcPr>
          <w:p w14:paraId="2E1B32E4" w14:textId="77777777" w:rsidR="00454A29" w:rsidRDefault="00454A29">
            <w:pPr>
              <w:pStyle w:val="ConsPlusNormal"/>
            </w:pPr>
          </w:p>
        </w:tc>
        <w:tc>
          <w:tcPr>
            <w:tcW w:w="1814" w:type="dxa"/>
            <w:vAlign w:val="center"/>
          </w:tcPr>
          <w:p w14:paraId="647C2167" w14:textId="77777777" w:rsidR="00454A29" w:rsidRDefault="00454A29">
            <w:pPr>
              <w:pStyle w:val="ConsPlusNormal"/>
            </w:pPr>
          </w:p>
        </w:tc>
      </w:tr>
      <w:tr w:rsidR="00454A29" w14:paraId="2D7D110B" w14:textId="77777777">
        <w:tc>
          <w:tcPr>
            <w:tcW w:w="567" w:type="dxa"/>
            <w:vMerge/>
          </w:tcPr>
          <w:p w14:paraId="53AF397D" w14:textId="77777777" w:rsidR="00454A29" w:rsidRDefault="00454A29"/>
        </w:tc>
        <w:tc>
          <w:tcPr>
            <w:tcW w:w="3345" w:type="dxa"/>
            <w:vMerge/>
          </w:tcPr>
          <w:p w14:paraId="043D490E" w14:textId="77777777" w:rsidR="00454A29" w:rsidRDefault="00454A29"/>
        </w:tc>
        <w:tc>
          <w:tcPr>
            <w:tcW w:w="1701" w:type="dxa"/>
            <w:vAlign w:val="center"/>
          </w:tcPr>
          <w:p w14:paraId="3E284CFE" w14:textId="77777777" w:rsidR="00454A29" w:rsidRDefault="00454A29">
            <w:pPr>
              <w:pStyle w:val="ConsPlusNormal"/>
              <w:jc w:val="center"/>
            </w:pPr>
            <w:r>
              <w:t>2023</w:t>
            </w:r>
          </w:p>
        </w:tc>
        <w:tc>
          <w:tcPr>
            <w:tcW w:w="1417" w:type="dxa"/>
            <w:vMerge/>
          </w:tcPr>
          <w:p w14:paraId="2B1E7AE0" w14:textId="77777777" w:rsidR="00454A29" w:rsidRDefault="00454A29"/>
        </w:tc>
        <w:tc>
          <w:tcPr>
            <w:tcW w:w="2204" w:type="dxa"/>
            <w:vMerge/>
          </w:tcPr>
          <w:p w14:paraId="4B5CAB9B" w14:textId="77777777" w:rsidR="00454A29" w:rsidRDefault="00454A29"/>
        </w:tc>
        <w:tc>
          <w:tcPr>
            <w:tcW w:w="1417" w:type="dxa"/>
            <w:vMerge/>
          </w:tcPr>
          <w:p w14:paraId="3D30370B" w14:textId="77777777" w:rsidR="00454A29" w:rsidRDefault="00454A29"/>
        </w:tc>
        <w:tc>
          <w:tcPr>
            <w:tcW w:w="2324" w:type="dxa"/>
            <w:vMerge/>
          </w:tcPr>
          <w:p w14:paraId="7DBC83C0" w14:textId="77777777" w:rsidR="00454A29" w:rsidRDefault="00454A29"/>
        </w:tc>
        <w:tc>
          <w:tcPr>
            <w:tcW w:w="1701" w:type="dxa"/>
            <w:vAlign w:val="center"/>
          </w:tcPr>
          <w:p w14:paraId="44174606" w14:textId="77777777" w:rsidR="00454A29" w:rsidRDefault="00454A29">
            <w:pPr>
              <w:pStyle w:val="ConsPlusNormal"/>
              <w:jc w:val="center"/>
            </w:pPr>
            <w:r>
              <w:t>148 750,00</w:t>
            </w:r>
          </w:p>
        </w:tc>
        <w:tc>
          <w:tcPr>
            <w:tcW w:w="1814" w:type="dxa"/>
            <w:vAlign w:val="center"/>
          </w:tcPr>
          <w:p w14:paraId="4BE635F6" w14:textId="77777777" w:rsidR="00454A29" w:rsidRDefault="00454A29">
            <w:pPr>
              <w:pStyle w:val="ConsPlusNormal"/>
              <w:jc w:val="center"/>
            </w:pPr>
            <w:r>
              <w:t>8 925,00</w:t>
            </w:r>
          </w:p>
        </w:tc>
        <w:tc>
          <w:tcPr>
            <w:tcW w:w="1701" w:type="dxa"/>
            <w:vAlign w:val="center"/>
          </w:tcPr>
          <w:p w14:paraId="59B0F9C7" w14:textId="77777777" w:rsidR="00454A29" w:rsidRDefault="00454A29">
            <w:pPr>
              <w:pStyle w:val="ConsPlusNormal"/>
              <w:jc w:val="center"/>
            </w:pPr>
            <w:r>
              <w:t>136 850,00</w:t>
            </w:r>
          </w:p>
        </w:tc>
        <w:tc>
          <w:tcPr>
            <w:tcW w:w="1701" w:type="dxa"/>
            <w:vAlign w:val="center"/>
          </w:tcPr>
          <w:p w14:paraId="756B3835" w14:textId="77777777" w:rsidR="00454A29" w:rsidRDefault="00454A29">
            <w:pPr>
              <w:pStyle w:val="ConsPlusNormal"/>
              <w:jc w:val="center"/>
            </w:pPr>
            <w:r>
              <w:t>2 975,00</w:t>
            </w:r>
          </w:p>
        </w:tc>
        <w:tc>
          <w:tcPr>
            <w:tcW w:w="1814" w:type="dxa"/>
            <w:vAlign w:val="center"/>
          </w:tcPr>
          <w:p w14:paraId="2D583F31" w14:textId="77777777" w:rsidR="00454A29" w:rsidRDefault="00454A29">
            <w:pPr>
              <w:pStyle w:val="ConsPlusNormal"/>
            </w:pPr>
          </w:p>
        </w:tc>
      </w:tr>
      <w:tr w:rsidR="00454A29" w14:paraId="30B512B4" w14:textId="77777777">
        <w:tc>
          <w:tcPr>
            <w:tcW w:w="567" w:type="dxa"/>
            <w:vMerge/>
          </w:tcPr>
          <w:p w14:paraId="3203AF75" w14:textId="77777777" w:rsidR="00454A29" w:rsidRDefault="00454A29"/>
        </w:tc>
        <w:tc>
          <w:tcPr>
            <w:tcW w:w="3345" w:type="dxa"/>
            <w:vMerge/>
          </w:tcPr>
          <w:p w14:paraId="526EFAE3" w14:textId="77777777" w:rsidR="00454A29" w:rsidRDefault="00454A29"/>
        </w:tc>
        <w:tc>
          <w:tcPr>
            <w:tcW w:w="1701" w:type="dxa"/>
            <w:vAlign w:val="center"/>
          </w:tcPr>
          <w:p w14:paraId="069BB913" w14:textId="77777777" w:rsidR="00454A29" w:rsidRDefault="00454A29">
            <w:pPr>
              <w:pStyle w:val="ConsPlusNormal"/>
              <w:jc w:val="center"/>
            </w:pPr>
            <w:r>
              <w:t>2024</w:t>
            </w:r>
          </w:p>
        </w:tc>
        <w:tc>
          <w:tcPr>
            <w:tcW w:w="1417" w:type="dxa"/>
            <w:vMerge/>
          </w:tcPr>
          <w:p w14:paraId="1F17C2E1" w14:textId="77777777" w:rsidR="00454A29" w:rsidRDefault="00454A29"/>
        </w:tc>
        <w:tc>
          <w:tcPr>
            <w:tcW w:w="2204" w:type="dxa"/>
            <w:vMerge/>
          </w:tcPr>
          <w:p w14:paraId="6D9BF552" w14:textId="77777777" w:rsidR="00454A29" w:rsidRDefault="00454A29"/>
        </w:tc>
        <w:tc>
          <w:tcPr>
            <w:tcW w:w="1417" w:type="dxa"/>
            <w:vMerge/>
          </w:tcPr>
          <w:p w14:paraId="131F44DA" w14:textId="77777777" w:rsidR="00454A29" w:rsidRDefault="00454A29"/>
        </w:tc>
        <w:tc>
          <w:tcPr>
            <w:tcW w:w="2324" w:type="dxa"/>
            <w:vMerge/>
          </w:tcPr>
          <w:p w14:paraId="31A10EA0" w14:textId="77777777" w:rsidR="00454A29" w:rsidRDefault="00454A29"/>
        </w:tc>
        <w:tc>
          <w:tcPr>
            <w:tcW w:w="1701" w:type="dxa"/>
            <w:vAlign w:val="center"/>
          </w:tcPr>
          <w:p w14:paraId="0ABAE925" w14:textId="77777777" w:rsidR="00454A29" w:rsidRDefault="00454A29">
            <w:pPr>
              <w:pStyle w:val="ConsPlusNormal"/>
              <w:jc w:val="center"/>
            </w:pPr>
            <w:r>
              <w:t>-</w:t>
            </w:r>
          </w:p>
        </w:tc>
        <w:tc>
          <w:tcPr>
            <w:tcW w:w="1814" w:type="dxa"/>
            <w:vAlign w:val="center"/>
          </w:tcPr>
          <w:p w14:paraId="3F8EDBD3" w14:textId="77777777" w:rsidR="00454A29" w:rsidRDefault="00454A29">
            <w:pPr>
              <w:pStyle w:val="ConsPlusNormal"/>
            </w:pPr>
          </w:p>
        </w:tc>
        <w:tc>
          <w:tcPr>
            <w:tcW w:w="1701" w:type="dxa"/>
            <w:vAlign w:val="center"/>
          </w:tcPr>
          <w:p w14:paraId="66940E02" w14:textId="77777777" w:rsidR="00454A29" w:rsidRDefault="00454A29">
            <w:pPr>
              <w:pStyle w:val="ConsPlusNormal"/>
            </w:pPr>
          </w:p>
        </w:tc>
        <w:tc>
          <w:tcPr>
            <w:tcW w:w="1701" w:type="dxa"/>
            <w:vAlign w:val="center"/>
          </w:tcPr>
          <w:p w14:paraId="58EA5331" w14:textId="77777777" w:rsidR="00454A29" w:rsidRDefault="00454A29">
            <w:pPr>
              <w:pStyle w:val="ConsPlusNormal"/>
            </w:pPr>
          </w:p>
        </w:tc>
        <w:tc>
          <w:tcPr>
            <w:tcW w:w="1814" w:type="dxa"/>
            <w:vAlign w:val="center"/>
          </w:tcPr>
          <w:p w14:paraId="3086714B" w14:textId="77777777" w:rsidR="00454A29" w:rsidRDefault="00454A29">
            <w:pPr>
              <w:pStyle w:val="ConsPlusNormal"/>
            </w:pPr>
          </w:p>
        </w:tc>
      </w:tr>
      <w:tr w:rsidR="00454A29" w14:paraId="3FE48C1E" w14:textId="77777777">
        <w:tc>
          <w:tcPr>
            <w:tcW w:w="567" w:type="dxa"/>
            <w:vMerge/>
          </w:tcPr>
          <w:p w14:paraId="2D9B4FAB" w14:textId="77777777" w:rsidR="00454A29" w:rsidRDefault="00454A29"/>
        </w:tc>
        <w:tc>
          <w:tcPr>
            <w:tcW w:w="3345" w:type="dxa"/>
            <w:vMerge/>
          </w:tcPr>
          <w:p w14:paraId="3A4C2984" w14:textId="77777777" w:rsidR="00454A29" w:rsidRDefault="00454A29"/>
        </w:tc>
        <w:tc>
          <w:tcPr>
            <w:tcW w:w="1701" w:type="dxa"/>
            <w:vAlign w:val="center"/>
          </w:tcPr>
          <w:p w14:paraId="16E170FE" w14:textId="77777777" w:rsidR="00454A29" w:rsidRDefault="00454A29">
            <w:pPr>
              <w:pStyle w:val="ConsPlusNormal"/>
              <w:jc w:val="center"/>
            </w:pPr>
            <w:r>
              <w:t>2025</w:t>
            </w:r>
          </w:p>
        </w:tc>
        <w:tc>
          <w:tcPr>
            <w:tcW w:w="1417" w:type="dxa"/>
            <w:vMerge/>
          </w:tcPr>
          <w:p w14:paraId="61B8710D" w14:textId="77777777" w:rsidR="00454A29" w:rsidRDefault="00454A29"/>
        </w:tc>
        <w:tc>
          <w:tcPr>
            <w:tcW w:w="2204" w:type="dxa"/>
            <w:vMerge/>
          </w:tcPr>
          <w:p w14:paraId="7BD5E313" w14:textId="77777777" w:rsidR="00454A29" w:rsidRDefault="00454A29"/>
        </w:tc>
        <w:tc>
          <w:tcPr>
            <w:tcW w:w="1417" w:type="dxa"/>
            <w:vMerge/>
          </w:tcPr>
          <w:p w14:paraId="57754A8F" w14:textId="77777777" w:rsidR="00454A29" w:rsidRDefault="00454A29"/>
        </w:tc>
        <w:tc>
          <w:tcPr>
            <w:tcW w:w="2324" w:type="dxa"/>
            <w:vMerge/>
          </w:tcPr>
          <w:p w14:paraId="49BA3720" w14:textId="77777777" w:rsidR="00454A29" w:rsidRDefault="00454A29"/>
        </w:tc>
        <w:tc>
          <w:tcPr>
            <w:tcW w:w="1701" w:type="dxa"/>
            <w:vAlign w:val="center"/>
          </w:tcPr>
          <w:p w14:paraId="07E1A50A" w14:textId="77777777" w:rsidR="00454A29" w:rsidRDefault="00454A29">
            <w:pPr>
              <w:pStyle w:val="ConsPlusNormal"/>
              <w:jc w:val="center"/>
            </w:pPr>
            <w:r>
              <w:t>-</w:t>
            </w:r>
          </w:p>
        </w:tc>
        <w:tc>
          <w:tcPr>
            <w:tcW w:w="1814" w:type="dxa"/>
            <w:vAlign w:val="center"/>
          </w:tcPr>
          <w:p w14:paraId="76851F03" w14:textId="77777777" w:rsidR="00454A29" w:rsidRDefault="00454A29">
            <w:pPr>
              <w:pStyle w:val="ConsPlusNormal"/>
            </w:pPr>
          </w:p>
        </w:tc>
        <w:tc>
          <w:tcPr>
            <w:tcW w:w="1701" w:type="dxa"/>
            <w:vAlign w:val="center"/>
          </w:tcPr>
          <w:p w14:paraId="6C03A0A3" w14:textId="77777777" w:rsidR="00454A29" w:rsidRDefault="00454A29">
            <w:pPr>
              <w:pStyle w:val="ConsPlusNormal"/>
            </w:pPr>
          </w:p>
        </w:tc>
        <w:tc>
          <w:tcPr>
            <w:tcW w:w="1701" w:type="dxa"/>
            <w:vAlign w:val="center"/>
          </w:tcPr>
          <w:p w14:paraId="62367271" w14:textId="77777777" w:rsidR="00454A29" w:rsidRDefault="00454A29">
            <w:pPr>
              <w:pStyle w:val="ConsPlusNormal"/>
            </w:pPr>
          </w:p>
        </w:tc>
        <w:tc>
          <w:tcPr>
            <w:tcW w:w="1814" w:type="dxa"/>
            <w:vAlign w:val="center"/>
          </w:tcPr>
          <w:p w14:paraId="5DD1422C" w14:textId="77777777" w:rsidR="00454A29" w:rsidRDefault="00454A29">
            <w:pPr>
              <w:pStyle w:val="ConsPlusNormal"/>
            </w:pPr>
          </w:p>
        </w:tc>
      </w:tr>
      <w:tr w:rsidR="00454A29" w14:paraId="29D60831" w14:textId="77777777">
        <w:tc>
          <w:tcPr>
            <w:tcW w:w="567" w:type="dxa"/>
            <w:vMerge/>
          </w:tcPr>
          <w:p w14:paraId="3DE03796" w14:textId="77777777" w:rsidR="00454A29" w:rsidRDefault="00454A29"/>
        </w:tc>
        <w:tc>
          <w:tcPr>
            <w:tcW w:w="3345" w:type="dxa"/>
            <w:vMerge/>
          </w:tcPr>
          <w:p w14:paraId="5DC1436B" w14:textId="77777777" w:rsidR="00454A29" w:rsidRDefault="00454A29"/>
        </w:tc>
        <w:tc>
          <w:tcPr>
            <w:tcW w:w="1701" w:type="dxa"/>
            <w:vAlign w:val="center"/>
          </w:tcPr>
          <w:p w14:paraId="5A44361D" w14:textId="77777777" w:rsidR="00454A29" w:rsidRDefault="00454A29">
            <w:pPr>
              <w:pStyle w:val="ConsPlusNormal"/>
              <w:jc w:val="center"/>
            </w:pPr>
            <w:r>
              <w:t>2026</w:t>
            </w:r>
          </w:p>
        </w:tc>
        <w:tc>
          <w:tcPr>
            <w:tcW w:w="1417" w:type="dxa"/>
            <w:vMerge/>
          </w:tcPr>
          <w:p w14:paraId="05DCD300" w14:textId="77777777" w:rsidR="00454A29" w:rsidRDefault="00454A29"/>
        </w:tc>
        <w:tc>
          <w:tcPr>
            <w:tcW w:w="2204" w:type="dxa"/>
            <w:vMerge/>
          </w:tcPr>
          <w:p w14:paraId="03976006" w14:textId="77777777" w:rsidR="00454A29" w:rsidRDefault="00454A29"/>
        </w:tc>
        <w:tc>
          <w:tcPr>
            <w:tcW w:w="1417" w:type="dxa"/>
            <w:vMerge/>
          </w:tcPr>
          <w:p w14:paraId="614B826C" w14:textId="77777777" w:rsidR="00454A29" w:rsidRDefault="00454A29"/>
        </w:tc>
        <w:tc>
          <w:tcPr>
            <w:tcW w:w="2324" w:type="dxa"/>
            <w:vMerge/>
          </w:tcPr>
          <w:p w14:paraId="28D74493" w14:textId="77777777" w:rsidR="00454A29" w:rsidRDefault="00454A29"/>
        </w:tc>
        <w:tc>
          <w:tcPr>
            <w:tcW w:w="1701" w:type="dxa"/>
            <w:vAlign w:val="center"/>
          </w:tcPr>
          <w:p w14:paraId="656E7EFC" w14:textId="77777777" w:rsidR="00454A29" w:rsidRDefault="00454A29">
            <w:pPr>
              <w:pStyle w:val="ConsPlusNormal"/>
              <w:jc w:val="center"/>
            </w:pPr>
            <w:r>
              <w:t>-</w:t>
            </w:r>
          </w:p>
        </w:tc>
        <w:tc>
          <w:tcPr>
            <w:tcW w:w="1814" w:type="dxa"/>
            <w:vAlign w:val="center"/>
          </w:tcPr>
          <w:p w14:paraId="5B0A839B" w14:textId="77777777" w:rsidR="00454A29" w:rsidRDefault="00454A29">
            <w:pPr>
              <w:pStyle w:val="ConsPlusNormal"/>
            </w:pPr>
          </w:p>
        </w:tc>
        <w:tc>
          <w:tcPr>
            <w:tcW w:w="1701" w:type="dxa"/>
            <w:vAlign w:val="center"/>
          </w:tcPr>
          <w:p w14:paraId="3D67A707" w14:textId="77777777" w:rsidR="00454A29" w:rsidRDefault="00454A29">
            <w:pPr>
              <w:pStyle w:val="ConsPlusNormal"/>
            </w:pPr>
          </w:p>
        </w:tc>
        <w:tc>
          <w:tcPr>
            <w:tcW w:w="1701" w:type="dxa"/>
            <w:vAlign w:val="center"/>
          </w:tcPr>
          <w:p w14:paraId="4C7F8997" w14:textId="77777777" w:rsidR="00454A29" w:rsidRDefault="00454A29">
            <w:pPr>
              <w:pStyle w:val="ConsPlusNormal"/>
            </w:pPr>
          </w:p>
        </w:tc>
        <w:tc>
          <w:tcPr>
            <w:tcW w:w="1814" w:type="dxa"/>
            <w:vAlign w:val="center"/>
          </w:tcPr>
          <w:p w14:paraId="53CE3BB9" w14:textId="77777777" w:rsidR="00454A29" w:rsidRDefault="00454A29">
            <w:pPr>
              <w:pStyle w:val="ConsPlusNormal"/>
            </w:pPr>
          </w:p>
        </w:tc>
      </w:tr>
      <w:tr w:rsidR="00454A29" w14:paraId="43E0EF55" w14:textId="77777777">
        <w:tc>
          <w:tcPr>
            <w:tcW w:w="21706" w:type="dxa"/>
            <w:gridSpan w:val="12"/>
            <w:vAlign w:val="center"/>
          </w:tcPr>
          <w:p w14:paraId="13050D6E" w14:textId="77777777" w:rsidR="00454A29" w:rsidRDefault="00454A29">
            <w:pPr>
              <w:pStyle w:val="ConsPlusNormal"/>
              <w:jc w:val="center"/>
            </w:pPr>
            <w:r>
              <w:t>Мероприятие 10.7.2.</w:t>
            </w:r>
          </w:p>
        </w:tc>
      </w:tr>
      <w:tr w:rsidR="00454A29" w14:paraId="13C668A4" w14:textId="77777777">
        <w:tc>
          <w:tcPr>
            <w:tcW w:w="567" w:type="dxa"/>
            <w:vMerge w:val="restart"/>
            <w:vAlign w:val="center"/>
          </w:tcPr>
          <w:p w14:paraId="274A5677" w14:textId="77777777" w:rsidR="00454A29" w:rsidRDefault="00454A29">
            <w:pPr>
              <w:pStyle w:val="ConsPlusNormal"/>
            </w:pPr>
          </w:p>
        </w:tc>
        <w:tc>
          <w:tcPr>
            <w:tcW w:w="3345" w:type="dxa"/>
            <w:vMerge w:val="restart"/>
            <w:vAlign w:val="center"/>
          </w:tcPr>
          <w:p w14:paraId="69E3CAC0" w14:textId="77777777" w:rsidR="00454A29" w:rsidRDefault="00454A29">
            <w:pPr>
              <w:pStyle w:val="ConsPlusNormal"/>
              <w:jc w:val="center"/>
            </w:pPr>
            <w:r>
              <w:t>Обеспечение создания дополнительных мест (групп) для детей в возрасте от 1,5 от 3 лет в частных дошкольных организациях</w:t>
            </w:r>
          </w:p>
        </w:tc>
        <w:tc>
          <w:tcPr>
            <w:tcW w:w="1701" w:type="dxa"/>
            <w:vAlign w:val="center"/>
          </w:tcPr>
          <w:p w14:paraId="62E61871" w14:textId="77777777" w:rsidR="00454A29" w:rsidRDefault="00454A29">
            <w:pPr>
              <w:pStyle w:val="ConsPlusNormal"/>
              <w:jc w:val="center"/>
            </w:pPr>
            <w:r>
              <w:t>Всего:</w:t>
            </w:r>
          </w:p>
        </w:tc>
        <w:tc>
          <w:tcPr>
            <w:tcW w:w="1417" w:type="dxa"/>
            <w:vMerge w:val="restart"/>
            <w:vAlign w:val="center"/>
          </w:tcPr>
          <w:p w14:paraId="30448816" w14:textId="77777777" w:rsidR="00454A29" w:rsidRDefault="00454A29">
            <w:pPr>
              <w:pStyle w:val="ConsPlusNormal"/>
              <w:jc w:val="center"/>
            </w:pPr>
            <w:r>
              <w:t>122 144,50</w:t>
            </w:r>
          </w:p>
        </w:tc>
        <w:tc>
          <w:tcPr>
            <w:tcW w:w="2204" w:type="dxa"/>
            <w:vMerge w:val="restart"/>
            <w:vAlign w:val="center"/>
          </w:tcPr>
          <w:p w14:paraId="50257016" w14:textId="77777777" w:rsidR="00454A29" w:rsidRDefault="00454A29">
            <w:pPr>
              <w:pStyle w:val="ConsPlusNormal"/>
            </w:pPr>
          </w:p>
        </w:tc>
        <w:tc>
          <w:tcPr>
            <w:tcW w:w="1417" w:type="dxa"/>
            <w:vMerge w:val="restart"/>
            <w:vAlign w:val="center"/>
          </w:tcPr>
          <w:p w14:paraId="4749C965" w14:textId="77777777" w:rsidR="00454A29" w:rsidRDefault="00454A29">
            <w:pPr>
              <w:pStyle w:val="ConsPlusNormal"/>
            </w:pPr>
          </w:p>
        </w:tc>
        <w:tc>
          <w:tcPr>
            <w:tcW w:w="2324" w:type="dxa"/>
            <w:vMerge w:val="restart"/>
            <w:vAlign w:val="center"/>
          </w:tcPr>
          <w:p w14:paraId="74BFF384" w14:textId="77777777" w:rsidR="00454A29" w:rsidRDefault="00454A29">
            <w:pPr>
              <w:pStyle w:val="ConsPlusNormal"/>
              <w:jc w:val="center"/>
            </w:pPr>
            <w:r>
              <w:t>Министерство образования и науки РС(Я)</w:t>
            </w:r>
          </w:p>
        </w:tc>
        <w:tc>
          <w:tcPr>
            <w:tcW w:w="1701" w:type="dxa"/>
            <w:vAlign w:val="center"/>
          </w:tcPr>
          <w:p w14:paraId="02EE0844" w14:textId="77777777" w:rsidR="00454A29" w:rsidRDefault="00454A29">
            <w:pPr>
              <w:pStyle w:val="ConsPlusNormal"/>
              <w:jc w:val="center"/>
            </w:pPr>
            <w:r>
              <w:t>123 378,28</w:t>
            </w:r>
          </w:p>
        </w:tc>
        <w:tc>
          <w:tcPr>
            <w:tcW w:w="1814" w:type="dxa"/>
            <w:vAlign w:val="center"/>
          </w:tcPr>
          <w:p w14:paraId="00BFCF2E" w14:textId="77777777" w:rsidR="00454A29" w:rsidRDefault="00454A29">
            <w:pPr>
              <w:pStyle w:val="ConsPlusNormal"/>
              <w:jc w:val="center"/>
            </w:pPr>
            <w:r>
              <w:t>1 233,78</w:t>
            </w:r>
          </w:p>
        </w:tc>
        <w:tc>
          <w:tcPr>
            <w:tcW w:w="1701" w:type="dxa"/>
            <w:vAlign w:val="center"/>
          </w:tcPr>
          <w:p w14:paraId="597BCD36" w14:textId="77777777" w:rsidR="00454A29" w:rsidRDefault="00454A29">
            <w:pPr>
              <w:pStyle w:val="ConsPlusNormal"/>
              <w:jc w:val="center"/>
            </w:pPr>
            <w:r>
              <w:t>122 144,50</w:t>
            </w:r>
          </w:p>
        </w:tc>
        <w:tc>
          <w:tcPr>
            <w:tcW w:w="1701" w:type="dxa"/>
            <w:vAlign w:val="center"/>
          </w:tcPr>
          <w:p w14:paraId="7D7C759C" w14:textId="77777777" w:rsidR="00454A29" w:rsidRDefault="00454A29">
            <w:pPr>
              <w:pStyle w:val="ConsPlusNormal"/>
              <w:jc w:val="center"/>
            </w:pPr>
            <w:r>
              <w:t>-</w:t>
            </w:r>
          </w:p>
        </w:tc>
        <w:tc>
          <w:tcPr>
            <w:tcW w:w="1814" w:type="dxa"/>
            <w:vAlign w:val="center"/>
          </w:tcPr>
          <w:p w14:paraId="2AB8EF70" w14:textId="77777777" w:rsidR="00454A29" w:rsidRDefault="00454A29">
            <w:pPr>
              <w:pStyle w:val="ConsPlusNormal"/>
              <w:jc w:val="center"/>
            </w:pPr>
            <w:r>
              <w:t>-</w:t>
            </w:r>
          </w:p>
        </w:tc>
      </w:tr>
      <w:tr w:rsidR="00454A29" w14:paraId="7F67973B" w14:textId="77777777">
        <w:tc>
          <w:tcPr>
            <w:tcW w:w="567" w:type="dxa"/>
            <w:vMerge/>
          </w:tcPr>
          <w:p w14:paraId="3DA923F6" w14:textId="77777777" w:rsidR="00454A29" w:rsidRDefault="00454A29"/>
        </w:tc>
        <w:tc>
          <w:tcPr>
            <w:tcW w:w="3345" w:type="dxa"/>
            <w:vMerge/>
          </w:tcPr>
          <w:p w14:paraId="1CD559AE" w14:textId="77777777" w:rsidR="00454A29" w:rsidRDefault="00454A29"/>
        </w:tc>
        <w:tc>
          <w:tcPr>
            <w:tcW w:w="1701" w:type="dxa"/>
            <w:vAlign w:val="center"/>
          </w:tcPr>
          <w:p w14:paraId="3FDE1C5D" w14:textId="77777777" w:rsidR="00454A29" w:rsidRDefault="00454A29">
            <w:pPr>
              <w:pStyle w:val="ConsPlusNormal"/>
              <w:jc w:val="center"/>
            </w:pPr>
            <w:r>
              <w:t>2020</w:t>
            </w:r>
          </w:p>
        </w:tc>
        <w:tc>
          <w:tcPr>
            <w:tcW w:w="1417" w:type="dxa"/>
            <w:vMerge/>
          </w:tcPr>
          <w:p w14:paraId="46F2DF72" w14:textId="77777777" w:rsidR="00454A29" w:rsidRDefault="00454A29"/>
        </w:tc>
        <w:tc>
          <w:tcPr>
            <w:tcW w:w="2204" w:type="dxa"/>
            <w:vMerge/>
          </w:tcPr>
          <w:p w14:paraId="6E72F313" w14:textId="77777777" w:rsidR="00454A29" w:rsidRDefault="00454A29"/>
        </w:tc>
        <w:tc>
          <w:tcPr>
            <w:tcW w:w="1417" w:type="dxa"/>
            <w:vMerge/>
          </w:tcPr>
          <w:p w14:paraId="4AE417DD" w14:textId="77777777" w:rsidR="00454A29" w:rsidRDefault="00454A29"/>
        </w:tc>
        <w:tc>
          <w:tcPr>
            <w:tcW w:w="2324" w:type="dxa"/>
            <w:vMerge/>
          </w:tcPr>
          <w:p w14:paraId="2B744BC8" w14:textId="77777777" w:rsidR="00454A29" w:rsidRDefault="00454A29"/>
        </w:tc>
        <w:tc>
          <w:tcPr>
            <w:tcW w:w="1701" w:type="dxa"/>
            <w:vAlign w:val="center"/>
          </w:tcPr>
          <w:p w14:paraId="278C10F9" w14:textId="77777777" w:rsidR="00454A29" w:rsidRDefault="00454A29">
            <w:pPr>
              <w:pStyle w:val="ConsPlusNormal"/>
              <w:jc w:val="center"/>
            </w:pPr>
            <w:r>
              <w:t>123 378,28</w:t>
            </w:r>
          </w:p>
        </w:tc>
        <w:tc>
          <w:tcPr>
            <w:tcW w:w="1814" w:type="dxa"/>
            <w:vAlign w:val="center"/>
          </w:tcPr>
          <w:p w14:paraId="4373E7B7" w14:textId="77777777" w:rsidR="00454A29" w:rsidRDefault="00454A29">
            <w:pPr>
              <w:pStyle w:val="ConsPlusNormal"/>
              <w:jc w:val="center"/>
            </w:pPr>
            <w:r>
              <w:t>1 233,78</w:t>
            </w:r>
          </w:p>
        </w:tc>
        <w:tc>
          <w:tcPr>
            <w:tcW w:w="1701" w:type="dxa"/>
            <w:vAlign w:val="center"/>
          </w:tcPr>
          <w:p w14:paraId="508D275A" w14:textId="77777777" w:rsidR="00454A29" w:rsidRDefault="00454A29">
            <w:pPr>
              <w:pStyle w:val="ConsPlusNormal"/>
              <w:jc w:val="center"/>
            </w:pPr>
            <w:r>
              <w:t>122 144,50</w:t>
            </w:r>
          </w:p>
        </w:tc>
        <w:tc>
          <w:tcPr>
            <w:tcW w:w="1701" w:type="dxa"/>
            <w:vAlign w:val="center"/>
          </w:tcPr>
          <w:p w14:paraId="522B99A9" w14:textId="77777777" w:rsidR="00454A29" w:rsidRDefault="00454A29">
            <w:pPr>
              <w:pStyle w:val="ConsPlusNormal"/>
            </w:pPr>
          </w:p>
        </w:tc>
        <w:tc>
          <w:tcPr>
            <w:tcW w:w="1814" w:type="dxa"/>
            <w:vAlign w:val="center"/>
          </w:tcPr>
          <w:p w14:paraId="6DB2CCCC" w14:textId="77777777" w:rsidR="00454A29" w:rsidRDefault="00454A29">
            <w:pPr>
              <w:pStyle w:val="ConsPlusNormal"/>
            </w:pPr>
          </w:p>
        </w:tc>
      </w:tr>
      <w:tr w:rsidR="00454A29" w14:paraId="2E85BEB2" w14:textId="77777777">
        <w:tc>
          <w:tcPr>
            <w:tcW w:w="567" w:type="dxa"/>
            <w:vMerge/>
          </w:tcPr>
          <w:p w14:paraId="4421ACA4" w14:textId="77777777" w:rsidR="00454A29" w:rsidRDefault="00454A29"/>
        </w:tc>
        <w:tc>
          <w:tcPr>
            <w:tcW w:w="3345" w:type="dxa"/>
            <w:vMerge/>
          </w:tcPr>
          <w:p w14:paraId="5AE8F34E" w14:textId="77777777" w:rsidR="00454A29" w:rsidRDefault="00454A29"/>
        </w:tc>
        <w:tc>
          <w:tcPr>
            <w:tcW w:w="1701" w:type="dxa"/>
            <w:vAlign w:val="center"/>
          </w:tcPr>
          <w:p w14:paraId="35CAEE79" w14:textId="77777777" w:rsidR="00454A29" w:rsidRDefault="00454A29">
            <w:pPr>
              <w:pStyle w:val="ConsPlusNormal"/>
              <w:jc w:val="center"/>
            </w:pPr>
            <w:r>
              <w:t>2021</w:t>
            </w:r>
          </w:p>
        </w:tc>
        <w:tc>
          <w:tcPr>
            <w:tcW w:w="1417" w:type="dxa"/>
            <w:vMerge/>
          </w:tcPr>
          <w:p w14:paraId="452B6A74" w14:textId="77777777" w:rsidR="00454A29" w:rsidRDefault="00454A29"/>
        </w:tc>
        <w:tc>
          <w:tcPr>
            <w:tcW w:w="2204" w:type="dxa"/>
            <w:vMerge/>
          </w:tcPr>
          <w:p w14:paraId="2D9FBD75" w14:textId="77777777" w:rsidR="00454A29" w:rsidRDefault="00454A29"/>
        </w:tc>
        <w:tc>
          <w:tcPr>
            <w:tcW w:w="1417" w:type="dxa"/>
            <w:vMerge/>
          </w:tcPr>
          <w:p w14:paraId="6433F8C2" w14:textId="77777777" w:rsidR="00454A29" w:rsidRDefault="00454A29"/>
        </w:tc>
        <w:tc>
          <w:tcPr>
            <w:tcW w:w="2324" w:type="dxa"/>
            <w:vMerge/>
          </w:tcPr>
          <w:p w14:paraId="38DB20B7" w14:textId="77777777" w:rsidR="00454A29" w:rsidRDefault="00454A29"/>
        </w:tc>
        <w:tc>
          <w:tcPr>
            <w:tcW w:w="1701" w:type="dxa"/>
            <w:vAlign w:val="center"/>
          </w:tcPr>
          <w:p w14:paraId="4982D815" w14:textId="77777777" w:rsidR="00454A29" w:rsidRDefault="00454A29">
            <w:pPr>
              <w:pStyle w:val="ConsPlusNormal"/>
              <w:jc w:val="center"/>
            </w:pPr>
            <w:r>
              <w:t>-</w:t>
            </w:r>
          </w:p>
        </w:tc>
        <w:tc>
          <w:tcPr>
            <w:tcW w:w="1814" w:type="dxa"/>
            <w:vAlign w:val="center"/>
          </w:tcPr>
          <w:p w14:paraId="3BA88209" w14:textId="77777777" w:rsidR="00454A29" w:rsidRDefault="00454A29">
            <w:pPr>
              <w:pStyle w:val="ConsPlusNormal"/>
            </w:pPr>
          </w:p>
        </w:tc>
        <w:tc>
          <w:tcPr>
            <w:tcW w:w="1701" w:type="dxa"/>
            <w:vAlign w:val="center"/>
          </w:tcPr>
          <w:p w14:paraId="4A915608" w14:textId="77777777" w:rsidR="00454A29" w:rsidRDefault="00454A29">
            <w:pPr>
              <w:pStyle w:val="ConsPlusNormal"/>
            </w:pPr>
          </w:p>
        </w:tc>
        <w:tc>
          <w:tcPr>
            <w:tcW w:w="1701" w:type="dxa"/>
            <w:vAlign w:val="center"/>
          </w:tcPr>
          <w:p w14:paraId="449E44AD" w14:textId="77777777" w:rsidR="00454A29" w:rsidRDefault="00454A29">
            <w:pPr>
              <w:pStyle w:val="ConsPlusNormal"/>
            </w:pPr>
          </w:p>
        </w:tc>
        <w:tc>
          <w:tcPr>
            <w:tcW w:w="1814" w:type="dxa"/>
            <w:vAlign w:val="center"/>
          </w:tcPr>
          <w:p w14:paraId="06BD7D8A" w14:textId="77777777" w:rsidR="00454A29" w:rsidRDefault="00454A29">
            <w:pPr>
              <w:pStyle w:val="ConsPlusNormal"/>
            </w:pPr>
          </w:p>
        </w:tc>
      </w:tr>
      <w:tr w:rsidR="00454A29" w14:paraId="5449C4B7" w14:textId="77777777">
        <w:tc>
          <w:tcPr>
            <w:tcW w:w="567" w:type="dxa"/>
            <w:vMerge/>
          </w:tcPr>
          <w:p w14:paraId="5BF188E8" w14:textId="77777777" w:rsidR="00454A29" w:rsidRDefault="00454A29"/>
        </w:tc>
        <w:tc>
          <w:tcPr>
            <w:tcW w:w="3345" w:type="dxa"/>
            <w:vMerge/>
          </w:tcPr>
          <w:p w14:paraId="5C1E08BE" w14:textId="77777777" w:rsidR="00454A29" w:rsidRDefault="00454A29"/>
        </w:tc>
        <w:tc>
          <w:tcPr>
            <w:tcW w:w="1701" w:type="dxa"/>
            <w:vAlign w:val="center"/>
          </w:tcPr>
          <w:p w14:paraId="07424069" w14:textId="77777777" w:rsidR="00454A29" w:rsidRDefault="00454A29">
            <w:pPr>
              <w:pStyle w:val="ConsPlusNormal"/>
              <w:jc w:val="center"/>
            </w:pPr>
            <w:r>
              <w:t>2022</w:t>
            </w:r>
          </w:p>
        </w:tc>
        <w:tc>
          <w:tcPr>
            <w:tcW w:w="1417" w:type="dxa"/>
            <w:vMerge/>
          </w:tcPr>
          <w:p w14:paraId="13ADB864" w14:textId="77777777" w:rsidR="00454A29" w:rsidRDefault="00454A29"/>
        </w:tc>
        <w:tc>
          <w:tcPr>
            <w:tcW w:w="2204" w:type="dxa"/>
            <w:vMerge/>
          </w:tcPr>
          <w:p w14:paraId="0A87894E" w14:textId="77777777" w:rsidR="00454A29" w:rsidRDefault="00454A29"/>
        </w:tc>
        <w:tc>
          <w:tcPr>
            <w:tcW w:w="1417" w:type="dxa"/>
            <w:vMerge/>
          </w:tcPr>
          <w:p w14:paraId="0CAB38ED" w14:textId="77777777" w:rsidR="00454A29" w:rsidRDefault="00454A29"/>
        </w:tc>
        <w:tc>
          <w:tcPr>
            <w:tcW w:w="2324" w:type="dxa"/>
            <w:vMerge/>
          </w:tcPr>
          <w:p w14:paraId="1FB3896E" w14:textId="77777777" w:rsidR="00454A29" w:rsidRDefault="00454A29"/>
        </w:tc>
        <w:tc>
          <w:tcPr>
            <w:tcW w:w="1701" w:type="dxa"/>
            <w:vAlign w:val="center"/>
          </w:tcPr>
          <w:p w14:paraId="45AC16AE" w14:textId="77777777" w:rsidR="00454A29" w:rsidRDefault="00454A29">
            <w:pPr>
              <w:pStyle w:val="ConsPlusNormal"/>
              <w:jc w:val="center"/>
            </w:pPr>
            <w:r>
              <w:t>-</w:t>
            </w:r>
          </w:p>
        </w:tc>
        <w:tc>
          <w:tcPr>
            <w:tcW w:w="1814" w:type="dxa"/>
            <w:vAlign w:val="center"/>
          </w:tcPr>
          <w:p w14:paraId="75EEE341" w14:textId="77777777" w:rsidR="00454A29" w:rsidRDefault="00454A29">
            <w:pPr>
              <w:pStyle w:val="ConsPlusNormal"/>
            </w:pPr>
          </w:p>
        </w:tc>
        <w:tc>
          <w:tcPr>
            <w:tcW w:w="1701" w:type="dxa"/>
            <w:vAlign w:val="center"/>
          </w:tcPr>
          <w:p w14:paraId="689130D8" w14:textId="77777777" w:rsidR="00454A29" w:rsidRDefault="00454A29">
            <w:pPr>
              <w:pStyle w:val="ConsPlusNormal"/>
            </w:pPr>
          </w:p>
        </w:tc>
        <w:tc>
          <w:tcPr>
            <w:tcW w:w="1701" w:type="dxa"/>
            <w:vAlign w:val="center"/>
          </w:tcPr>
          <w:p w14:paraId="250BAE9B" w14:textId="77777777" w:rsidR="00454A29" w:rsidRDefault="00454A29">
            <w:pPr>
              <w:pStyle w:val="ConsPlusNormal"/>
            </w:pPr>
          </w:p>
        </w:tc>
        <w:tc>
          <w:tcPr>
            <w:tcW w:w="1814" w:type="dxa"/>
            <w:vAlign w:val="center"/>
          </w:tcPr>
          <w:p w14:paraId="4C362582" w14:textId="77777777" w:rsidR="00454A29" w:rsidRDefault="00454A29">
            <w:pPr>
              <w:pStyle w:val="ConsPlusNormal"/>
            </w:pPr>
          </w:p>
        </w:tc>
      </w:tr>
      <w:tr w:rsidR="00454A29" w14:paraId="456BC3EA" w14:textId="77777777">
        <w:tc>
          <w:tcPr>
            <w:tcW w:w="567" w:type="dxa"/>
            <w:vMerge/>
          </w:tcPr>
          <w:p w14:paraId="2D0C8E2D" w14:textId="77777777" w:rsidR="00454A29" w:rsidRDefault="00454A29"/>
        </w:tc>
        <w:tc>
          <w:tcPr>
            <w:tcW w:w="3345" w:type="dxa"/>
            <w:vMerge/>
          </w:tcPr>
          <w:p w14:paraId="55B72B30" w14:textId="77777777" w:rsidR="00454A29" w:rsidRDefault="00454A29"/>
        </w:tc>
        <w:tc>
          <w:tcPr>
            <w:tcW w:w="1701" w:type="dxa"/>
            <w:vAlign w:val="center"/>
          </w:tcPr>
          <w:p w14:paraId="6F00BE48" w14:textId="77777777" w:rsidR="00454A29" w:rsidRDefault="00454A29">
            <w:pPr>
              <w:pStyle w:val="ConsPlusNormal"/>
              <w:jc w:val="center"/>
            </w:pPr>
            <w:r>
              <w:t>2023</w:t>
            </w:r>
          </w:p>
        </w:tc>
        <w:tc>
          <w:tcPr>
            <w:tcW w:w="1417" w:type="dxa"/>
            <w:vMerge/>
          </w:tcPr>
          <w:p w14:paraId="0A90B4F0" w14:textId="77777777" w:rsidR="00454A29" w:rsidRDefault="00454A29"/>
        </w:tc>
        <w:tc>
          <w:tcPr>
            <w:tcW w:w="2204" w:type="dxa"/>
            <w:vMerge/>
          </w:tcPr>
          <w:p w14:paraId="6C7A1A80" w14:textId="77777777" w:rsidR="00454A29" w:rsidRDefault="00454A29"/>
        </w:tc>
        <w:tc>
          <w:tcPr>
            <w:tcW w:w="1417" w:type="dxa"/>
            <w:vMerge/>
          </w:tcPr>
          <w:p w14:paraId="23578D00" w14:textId="77777777" w:rsidR="00454A29" w:rsidRDefault="00454A29"/>
        </w:tc>
        <w:tc>
          <w:tcPr>
            <w:tcW w:w="2324" w:type="dxa"/>
            <w:vMerge/>
          </w:tcPr>
          <w:p w14:paraId="70C8ED13" w14:textId="77777777" w:rsidR="00454A29" w:rsidRDefault="00454A29"/>
        </w:tc>
        <w:tc>
          <w:tcPr>
            <w:tcW w:w="1701" w:type="dxa"/>
            <w:vAlign w:val="center"/>
          </w:tcPr>
          <w:p w14:paraId="673BD4F5" w14:textId="77777777" w:rsidR="00454A29" w:rsidRDefault="00454A29">
            <w:pPr>
              <w:pStyle w:val="ConsPlusNormal"/>
              <w:jc w:val="center"/>
            </w:pPr>
            <w:r>
              <w:t>-</w:t>
            </w:r>
          </w:p>
        </w:tc>
        <w:tc>
          <w:tcPr>
            <w:tcW w:w="1814" w:type="dxa"/>
            <w:vAlign w:val="center"/>
          </w:tcPr>
          <w:p w14:paraId="7D6599EF" w14:textId="77777777" w:rsidR="00454A29" w:rsidRDefault="00454A29">
            <w:pPr>
              <w:pStyle w:val="ConsPlusNormal"/>
            </w:pPr>
          </w:p>
        </w:tc>
        <w:tc>
          <w:tcPr>
            <w:tcW w:w="1701" w:type="dxa"/>
            <w:vAlign w:val="center"/>
          </w:tcPr>
          <w:p w14:paraId="3DCF6B59" w14:textId="77777777" w:rsidR="00454A29" w:rsidRDefault="00454A29">
            <w:pPr>
              <w:pStyle w:val="ConsPlusNormal"/>
            </w:pPr>
          </w:p>
        </w:tc>
        <w:tc>
          <w:tcPr>
            <w:tcW w:w="1701" w:type="dxa"/>
            <w:vAlign w:val="center"/>
          </w:tcPr>
          <w:p w14:paraId="5956032E" w14:textId="77777777" w:rsidR="00454A29" w:rsidRDefault="00454A29">
            <w:pPr>
              <w:pStyle w:val="ConsPlusNormal"/>
            </w:pPr>
          </w:p>
        </w:tc>
        <w:tc>
          <w:tcPr>
            <w:tcW w:w="1814" w:type="dxa"/>
            <w:vAlign w:val="center"/>
          </w:tcPr>
          <w:p w14:paraId="53C4F159" w14:textId="77777777" w:rsidR="00454A29" w:rsidRDefault="00454A29">
            <w:pPr>
              <w:pStyle w:val="ConsPlusNormal"/>
            </w:pPr>
          </w:p>
        </w:tc>
      </w:tr>
      <w:tr w:rsidR="00454A29" w14:paraId="22D8A676" w14:textId="77777777">
        <w:tc>
          <w:tcPr>
            <w:tcW w:w="567" w:type="dxa"/>
            <w:vMerge/>
          </w:tcPr>
          <w:p w14:paraId="5247C704" w14:textId="77777777" w:rsidR="00454A29" w:rsidRDefault="00454A29"/>
        </w:tc>
        <w:tc>
          <w:tcPr>
            <w:tcW w:w="3345" w:type="dxa"/>
            <w:vMerge/>
          </w:tcPr>
          <w:p w14:paraId="26AACA95" w14:textId="77777777" w:rsidR="00454A29" w:rsidRDefault="00454A29"/>
        </w:tc>
        <w:tc>
          <w:tcPr>
            <w:tcW w:w="1701" w:type="dxa"/>
            <w:vAlign w:val="center"/>
          </w:tcPr>
          <w:p w14:paraId="012A7FB6" w14:textId="77777777" w:rsidR="00454A29" w:rsidRDefault="00454A29">
            <w:pPr>
              <w:pStyle w:val="ConsPlusNormal"/>
              <w:jc w:val="center"/>
            </w:pPr>
            <w:r>
              <w:t>2024</w:t>
            </w:r>
          </w:p>
        </w:tc>
        <w:tc>
          <w:tcPr>
            <w:tcW w:w="1417" w:type="dxa"/>
            <w:vMerge/>
          </w:tcPr>
          <w:p w14:paraId="56722AD4" w14:textId="77777777" w:rsidR="00454A29" w:rsidRDefault="00454A29"/>
        </w:tc>
        <w:tc>
          <w:tcPr>
            <w:tcW w:w="2204" w:type="dxa"/>
            <w:vMerge/>
          </w:tcPr>
          <w:p w14:paraId="74E1EC51" w14:textId="77777777" w:rsidR="00454A29" w:rsidRDefault="00454A29"/>
        </w:tc>
        <w:tc>
          <w:tcPr>
            <w:tcW w:w="1417" w:type="dxa"/>
            <w:vMerge/>
          </w:tcPr>
          <w:p w14:paraId="1A33DAE9" w14:textId="77777777" w:rsidR="00454A29" w:rsidRDefault="00454A29"/>
        </w:tc>
        <w:tc>
          <w:tcPr>
            <w:tcW w:w="2324" w:type="dxa"/>
            <w:vMerge/>
          </w:tcPr>
          <w:p w14:paraId="5261DD4F" w14:textId="77777777" w:rsidR="00454A29" w:rsidRDefault="00454A29"/>
        </w:tc>
        <w:tc>
          <w:tcPr>
            <w:tcW w:w="1701" w:type="dxa"/>
            <w:vAlign w:val="center"/>
          </w:tcPr>
          <w:p w14:paraId="0F73F02D" w14:textId="77777777" w:rsidR="00454A29" w:rsidRDefault="00454A29">
            <w:pPr>
              <w:pStyle w:val="ConsPlusNormal"/>
              <w:jc w:val="center"/>
            </w:pPr>
            <w:r>
              <w:t>-</w:t>
            </w:r>
          </w:p>
        </w:tc>
        <w:tc>
          <w:tcPr>
            <w:tcW w:w="1814" w:type="dxa"/>
            <w:vAlign w:val="center"/>
          </w:tcPr>
          <w:p w14:paraId="6DD1A4F8" w14:textId="77777777" w:rsidR="00454A29" w:rsidRDefault="00454A29">
            <w:pPr>
              <w:pStyle w:val="ConsPlusNormal"/>
            </w:pPr>
          </w:p>
        </w:tc>
        <w:tc>
          <w:tcPr>
            <w:tcW w:w="1701" w:type="dxa"/>
            <w:vAlign w:val="center"/>
          </w:tcPr>
          <w:p w14:paraId="1EB2A7E5" w14:textId="77777777" w:rsidR="00454A29" w:rsidRDefault="00454A29">
            <w:pPr>
              <w:pStyle w:val="ConsPlusNormal"/>
            </w:pPr>
          </w:p>
        </w:tc>
        <w:tc>
          <w:tcPr>
            <w:tcW w:w="1701" w:type="dxa"/>
            <w:vAlign w:val="center"/>
          </w:tcPr>
          <w:p w14:paraId="46DFC1F3" w14:textId="77777777" w:rsidR="00454A29" w:rsidRDefault="00454A29">
            <w:pPr>
              <w:pStyle w:val="ConsPlusNormal"/>
            </w:pPr>
          </w:p>
        </w:tc>
        <w:tc>
          <w:tcPr>
            <w:tcW w:w="1814" w:type="dxa"/>
            <w:vAlign w:val="center"/>
          </w:tcPr>
          <w:p w14:paraId="1120653E" w14:textId="77777777" w:rsidR="00454A29" w:rsidRDefault="00454A29">
            <w:pPr>
              <w:pStyle w:val="ConsPlusNormal"/>
            </w:pPr>
          </w:p>
        </w:tc>
      </w:tr>
      <w:tr w:rsidR="00454A29" w14:paraId="22BFE192" w14:textId="77777777">
        <w:tc>
          <w:tcPr>
            <w:tcW w:w="567" w:type="dxa"/>
            <w:vMerge/>
          </w:tcPr>
          <w:p w14:paraId="6C76B36A" w14:textId="77777777" w:rsidR="00454A29" w:rsidRDefault="00454A29"/>
        </w:tc>
        <w:tc>
          <w:tcPr>
            <w:tcW w:w="3345" w:type="dxa"/>
            <w:vMerge/>
          </w:tcPr>
          <w:p w14:paraId="20CDCC57" w14:textId="77777777" w:rsidR="00454A29" w:rsidRDefault="00454A29"/>
        </w:tc>
        <w:tc>
          <w:tcPr>
            <w:tcW w:w="1701" w:type="dxa"/>
            <w:vAlign w:val="center"/>
          </w:tcPr>
          <w:p w14:paraId="1224EF90" w14:textId="77777777" w:rsidR="00454A29" w:rsidRDefault="00454A29">
            <w:pPr>
              <w:pStyle w:val="ConsPlusNormal"/>
              <w:jc w:val="center"/>
            </w:pPr>
            <w:r>
              <w:t>2025</w:t>
            </w:r>
          </w:p>
        </w:tc>
        <w:tc>
          <w:tcPr>
            <w:tcW w:w="1417" w:type="dxa"/>
            <w:vMerge/>
          </w:tcPr>
          <w:p w14:paraId="2E072581" w14:textId="77777777" w:rsidR="00454A29" w:rsidRDefault="00454A29"/>
        </w:tc>
        <w:tc>
          <w:tcPr>
            <w:tcW w:w="2204" w:type="dxa"/>
            <w:vMerge/>
          </w:tcPr>
          <w:p w14:paraId="6336968F" w14:textId="77777777" w:rsidR="00454A29" w:rsidRDefault="00454A29"/>
        </w:tc>
        <w:tc>
          <w:tcPr>
            <w:tcW w:w="1417" w:type="dxa"/>
            <w:vMerge/>
          </w:tcPr>
          <w:p w14:paraId="403ADDD7" w14:textId="77777777" w:rsidR="00454A29" w:rsidRDefault="00454A29"/>
        </w:tc>
        <w:tc>
          <w:tcPr>
            <w:tcW w:w="2324" w:type="dxa"/>
            <w:vMerge/>
          </w:tcPr>
          <w:p w14:paraId="2D5D5E8B" w14:textId="77777777" w:rsidR="00454A29" w:rsidRDefault="00454A29"/>
        </w:tc>
        <w:tc>
          <w:tcPr>
            <w:tcW w:w="1701" w:type="dxa"/>
            <w:vAlign w:val="center"/>
          </w:tcPr>
          <w:p w14:paraId="7200C160" w14:textId="77777777" w:rsidR="00454A29" w:rsidRDefault="00454A29">
            <w:pPr>
              <w:pStyle w:val="ConsPlusNormal"/>
              <w:jc w:val="center"/>
            </w:pPr>
            <w:r>
              <w:t>-</w:t>
            </w:r>
          </w:p>
        </w:tc>
        <w:tc>
          <w:tcPr>
            <w:tcW w:w="1814" w:type="dxa"/>
            <w:vAlign w:val="center"/>
          </w:tcPr>
          <w:p w14:paraId="220779A3" w14:textId="77777777" w:rsidR="00454A29" w:rsidRDefault="00454A29">
            <w:pPr>
              <w:pStyle w:val="ConsPlusNormal"/>
            </w:pPr>
          </w:p>
        </w:tc>
        <w:tc>
          <w:tcPr>
            <w:tcW w:w="1701" w:type="dxa"/>
            <w:vAlign w:val="center"/>
          </w:tcPr>
          <w:p w14:paraId="13D21C23" w14:textId="77777777" w:rsidR="00454A29" w:rsidRDefault="00454A29">
            <w:pPr>
              <w:pStyle w:val="ConsPlusNormal"/>
            </w:pPr>
          </w:p>
        </w:tc>
        <w:tc>
          <w:tcPr>
            <w:tcW w:w="1701" w:type="dxa"/>
            <w:vAlign w:val="center"/>
          </w:tcPr>
          <w:p w14:paraId="7E8E2DD9" w14:textId="77777777" w:rsidR="00454A29" w:rsidRDefault="00454A29">
            <w:pPr>
              <w:pStyle w:val="ConsPlusNormal"/>
            </w:pPr>
          </w:p>
        </w:tc>
        <w:tc>
          <w:tcPr>
            <w:tcW w:w="1814" w:type="dxa"/>
            <w:vAlign w:val="center"/>
          </w:tcPr>
          <w:p w14:paraId="2F81D472" w14:textId="77777777" w:rsidR="00454A29" w:rsidRDefault="00454A29">
            <w:pPr>
              <w:pStyle w:val="ConsPlusNormal"/>
            </w:pPr>
          </w:p>
        </w:tc>
      </w:tr>
      <w:tr w:rsidR="00454A29" w14:paraId="164B3E24" w14:textId="77777777">
        <w:tc>
          <w:tcPr>
            <w:tcW w:w="567" w:type="dxa"/>
            <w:vMerge/>
          </w:tcPr>
          <w:p w14:paraId="363D74CF" w14:textId="77777777" w:rsidR="00454A29" w:rsidRDefault="00454A29"/>
        </w:tc>
        <w:tc>
          <w:tcPr>
            <w:tcW w:w="3345" w:type="dxa"/>
            <w:vMerge/>
          </w:tcPr>
          <w:p w14:paraId="6EB6E9B6" w14:textId="77777777" w:rsidR="00454A29" w:rsidRDefault="00454A29"/>
        </w:tc>
        <w:tc>
          <w:tcPr>
            <w:tcW w:w="1701" w:type="dxa"/>
            <w:vAlign w:val="center"/>
          </w:tcPr>
          <w:p w14:paraId="7A30D403" w14:textId="77777777" w:rsidR="00454A29" w:rsidRDefault="00454A29">
            <w:pPr>
              <w:pStyle w:val="ConsPlusNormal"/>
              <w:jc w:val="center"/>
            </w:pPr>
            <w:r>
              <w:t>2026</w:t>
            </w:r>
          </w:p>
        </w:tc>
        <w:tc>
          <w:tcPr>
            <w:tcW w:w="1417" w:type="dxa"/>
            <w:vMerge/>
          </w:tcPr>
          <w:p w14:paraId="3E4282AF" w14:textId="77777777" w:rsidR="00454A29" w:rsidRDefault="00454A29"/>
        </w:tc>
        <w:tc>
          <w:tcPr>
            <w:tcW w:w="2204" w:type="dxa"/>
            <w:vMerge/>
          </w:tcPr>
          <w:p w14:paraId="189C3657" w14:textId="77777777" w:rsidR="00454A29" w:rsidRDefault="00454A29"/>
        </w:tc>
        <w:tc>
          <w:tcPr>
            <w:tcW w:w="1417" w:type="dxa"/>
            <w:vMerge/>
          </w:tcPr>
          <w:p w14:paraId="3BDD5503" w14:textId="77777777" w:rsidR="00454A29" w:rsidRDefault="00454A29"/>
        </w:tc>
        <w:tc>
          <w:tcPr>
            <w:tcW w:w="2324" w:type="dxa"/>
            <w:vMerge/>
          </w:tcPr>
          <w:p w14:paraId="351330C7" w14:textId="77777777" w:rsidR="00454A29" w:rsidRDefault="00454A29"/>
        </w:tc>
        <w:tc>
          <w:tcPr>
            <w:tcW w:w="1701" w:type="dxa"/>
            <w:vAlign w:val="center"/>
          </w:tcPr>
          <w:p w14:paraId="3C431038" w14:textId="77777777" w:rsidR="00454A29" w:rsidRDefault="00454A29">
            <w:pPr>
              <w:pStyle w:val="ConsPlusNormal"/>
              <w:jc w:val="center"/>
            </w:pPr>
            <w:r>
              <w:t>-</w:t>
            </w:r>
          </w:p>
        </w:tc>
        <w:tc>
          <w:tcPr>
            <w:tcW w:w="1814" w:type="dxa"/>
            <w:vAlign w:val="center"/>
          </w:tcPr>
          <w:p w14:paraId="73D20A95" w14:textId="77777777" w:rsidR="00454A29" w:rsidRDefault="00454A29">
            <w:pPr>
              <w:pStyle w:val="ConsPlusNormal"/>
            </w:pPr>
          </w:p>
        </w:tc>
        <w:tc>
          <w:tcPr>
            <w:tcW w:w="1701" w:type="dxa"/>
            <w:vAlign w:val="center"/>
          </w:tcPr>
          <w:p w14:paraId="5BECF8F4" w14:textId="77777777" w:rsidR="00454A29" w:rsidRDefault="00454A29">
            <w:pPr>
              <w:pStyle w:val="ConsPlusNormal"/>
            </w:pPr>
          </w:p>
        </w:tc>
        <w:tc>
          <w:tcPr>
            <w:tcW w:w="1701" w:type="dxa"/>
            <w:vAlign w:val="center"/>
          </w:tcPr>
          <w:p w14:paraId="2D17882D" w14:textId="77777777" w:rsidR="00454A29" w:rsidRDefault="00454A29">
            <w:pPr>
              <w:pStyle w:val="ConsPlusNormal"/>
            </w:pPr>
          </w:p>
        </w:tc>
        <w:tc>
          <w:tcPr>
            <w:tcW w:w="1814" w:type="dxa"/>
            <w:vAlign w:val="center"/>
          </w:tcPr>
          <w:p w14:paraId="7ACFF086" w14:textId="77777777" w:rsidR="00454A29" w:rsidRDefault="00454A29">
            <w:pPr>
              <w:pStyle w:val="ConsPlusNormal"/>
            </w:pPr>
          </w:p>
        </w:tc>
      </w:tr>
    </w:tbl>
    <w:p w14:paraId="5F9BAF7C" w14:textId="77777777" w:rsidR="00454A29" w:rsidRDefault="00454A29">
      <w:pPr>
        <w:sectPr w:rsidR="00454A29">
          <w:pgSz w:w="16838" w:h="11905" w:orient="landscape"/>
          <w:pgMar w:top="1701" w:right="1134" w:bottom="850" w:left="1134" w:header="0" w:footer="0" w:gutter="0"/>
          <w:cols w:space="720"/>
        </w:sectPr>
      </w:pPr>
    </w:p>
    <w:p w14:paraId="72A82207" w14:textId="77777777" w:rsidR="00454A29" w:rsidRDefault="00454A29">
      <w:pPr>
        <w:pStyle w:val="ConsPlusNormal"/>
      </w:pPr>
    </w:p>
    <w:p w14:paraId="372E5BA8" w14:textId="77777777" w:rsidR="00454A29" w:rsidRDefault="00454A29">
      <w:pPr>
        <w:pStyle w:val="ConsPlusNormal"/>
      </w:pPr>
    </w:p>
    <w:p w14:paraId="087F1247" w14:textId="77777777" w:rsidR="00454A29" w:rsidRDefault="00454A29">
      <w:pPr>
        <w:pStyle w:val="ConsPlusNormal"/>
      </w:pPr>
    </w:p>
    <w:p w14:paraId="0DECE3E5" w14:textId="77777777" w:rsidR="00454A29" w:rsidRDefault="00454A29">
      <w:pPr>
        <w:pStyle w:val="ConsPlusNormal"/>
      </w:pPr>
    </w:p>
    <w:p w14:paraId="53EF8136" w14:textId="77777777" w:rsidR="00454A29" w:rsidRDefault="00454A29">
      <w:pPr>
        <w:pStyle w:val="ConsPlusNormal"/>
      </w:pPr>
    </w:p>
    <w:p w14:paraId="263CD73A" w14:textId="77777777" w:rsidR="00454A29" w:rsidRDefault="00454A29">
      <w:pPr>
        <w:pStyle w:val="ConsPlusNormal"/>
        <w:jc w:val="right"/>
        <w:outlineLvl w:val="1"/>
      </w:pPr>
      <w:r>
        <w:t>Приложение N 4</w:t>
      </w:r>
    </w:p>
    <w:p w14:paraId="0719810C" w14:textId="77777777" w:rsidR="00454A29" w:rsidRDefault="00454A29">
      <w:pPr>
        <w:pStyle w:val="ConsPlusNormal"/>
        <w:jc w:val="right"/>
      </w:pPr>
      <w:r>
        <w:t>к государственной программе</w:t>
      </w:r>
    </w:p>
    <w:p w14:paraId="78786CF1" w14:textId="77777777" w:rsidR="00454A29" w:rsidRDefault="00454A29">
      <w:pPr>
        <w:pStyle w:val="ConsPlusNormal"/>
        <w:jc w:val="right"/>
      </w:pPr>
      <w:r>
        <w:t>Республики Саха (Якутия)</w:t>
      </w:r>
    </w:p>
    <w:p w14:paraId="3EF8539C" w14:textId="77777777" w:rsidR="00454A29" w:rsidRDefault="00454A29">
      <w:pPr>
        <w:pStyle w:val="ConsPlusNormal"/>
        <w:jc w:val="right"/>
      </w:pPr>
      <w:r>
        <w:t>"Развитие образования</w:t>
      </w:r>
    </w:p>
    <w:p w14:paraId="57AC5D77" w14:textId="77777777" w:rsidR="00454A29" w:rsidRDefault="00454A29">
      <w:pPr>
        <w:pStyle w:val="ConsPlusNormal"/>
        <w:jc w:val="right"/>
      </w:pPr>
      <w:r>
        <w:t>Республики Саха (Якутия)</w:t>
      </w:r>
    </w:p>
    <w:p w14:paraId="0A8A7740" w14:textId="77777777" w:rsidR="00454A29" w:rsidRDefault="00454A29">
      <w:pPr>
        <w:pStyle w:val="ConsPlusNormal"/>
        <w:jc w:val="right"/>
      </w:pPr>
      <w:r>
        <w:t>на 2020 - 2024 годы и на плановый</w:t>
      </w:r>
    </w:p>
    <w:p w14:paraId="7D0D7DA1" w14:textId="77777777" w:rsidR="00454A29" w:rsidRDefault="00454A29">
      <w:pPr>
        <w:pStyle w:val="ConsPlusNormal"/>
        <w:jc w:val="right"/>
      </w:pPr>
      <w:r>
        <w:t>период до 2026 года"</w:t>
      </w:r>
    </w:p>
    <w:p w14:paraId="09999037" w14:textId="77777777" w:rsidR="00454A29" w:rsidRDefault="00454A29">
      <w:pPr>
        <w:pStyle w:val="ConsPlusNormal"/>
      </w:pPr>
    </w:p>
    <w:p w14:paraId="633E31DF" w14:textId="77777777" w:rsidR="00454A29" w:rsidRDefault="00454A29">
      <w:pPr>
        <w:pStyle w:val="ConsPlusTitle"/>
        <w:jc w:val="center"/>
      </w:pPr>
      <w:bookmarkStart w:id="5" w:name="P26994"/>
      <w:bookmarkEnd w:id="5"/>
      <w:r>
        <w:t>НАПРАВЛЕНИЯ И ПАРАМЕТРЫ</w:t>
      </w:r>
    </w:p>
    <w:p w14:paraId="640C1213" w14:textId="77777777" w:rsidR="00454A29" w:rsidRDefault="00454A29">
      <w:pPr>
        <w:pStyle w:val="ConsPlusTitle"/>
        <w:jc w:val="center"/>
      </w:pPr>
      <w:r>
        <w:t>РЕАЛИЗАЦИИ РЕГИОНАЛЬНЫХ ПРОЕКТОВ РЕСПУБЛИКИ САХА (ЯКУТИЯ),</w:t>
      </w:r>
    </w:p>
    <w:p w14:paraId="3E1E497B" w14:textId="77777777" w:rsidR="00454A29" w:rsidRDefault="00454A29">
      <w:pPr>
        <w:pStyle w:val="ConsPlusTitle"/>
        <w:jc w:val="center"/>
      </w:pPr>
      <w:r>
        <w:t>РЕАЛИЗУЕМЫХ В РАМКАХ ГОСУДАРСТВЕННОЙ ПРОГРАММЫ</w:t>
      </w:r>
    </w:p>
    <w:p w14:paraId="2AF5C0B6" w14:textId="77777777" w:rsidR="00454A29" w:rsidRDefault="00454A29">
      <w:pPr>
        <w:pStyle w:val="ConsPlusTitle"/>
        <w:jc w:val="center"/>
      </w:pPr>
      <w:r>
        <w:t>РЕСПУБЛИКИ САХА (ЯКУТИЯ) "РАЗВИТИЕ ОБРАЗОВАНИЯ</w:t>
      </w:r>
    </w:p>
    <w:p w14:paraId="30EED578" w14:textId="77777777" w:rsidR="00454A29" w:rsidRDefault="00454A29">
      <w:pPr>
        <w:pStyle w:val="ConsPlusTitle"/>
        <w:jc w:val="center"/>
      </w:pPr>
      <w:r>
        <w:t>РЕСПУБЛИКИ САХА (ЯКУТИЯ) НА 2020 - 2024 ГОДЫ</w:t>
      </w:r>
    </w:p>
    <w:p w14:paraId="55801DC8" w14:textId="77777777" w:rsidR="00454A29" w:rsidRDefault="00454A29">
      <w:pPr>
        <w:pStyle w:val="ConsPlusTitle"/>
        <w:jc w:val="center"/>
      </w:pPr>
      <w:r>
        <w:t>И НА ПЛАНОВЫЙ ПЕРИОД ДО 2026 ГОДА"</w:t>
      </w:r>
    </w:p>
    <w:p w14:paraId="2F035C8C" w14:textId="77777777" w:rsidR="00454A29" w:rsidRDefault="00454A29">
      <w:pPr>
        <w:pStyle w:val="ConsPlusNormal"/>
      </w:pPr>
    </w:p>
    <w:p w14:paraId="2F022700" w14:textId="77777777" w:rsidR="00454A29" w:rsidRDefault="00454A29">
      <w:pPr>
        <w:pStyle w:val="ConsPlusNormal"/>
        <w:jc w:val="right"/>
      </w:pPr>
      <w:r>
        <w:t>(тыс. руб.)</w:t>
      </w:r>
    </w:p>
    <w:p w14:paraId="009EF110" w14:textId="77777777" w:rsidR="00454A29" w:rsidRDefault="00454A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154"/>
        <w:gridCol w:w="2154"/>
        <w:gridCol w:w="2665"/>
        <w:gridCol w:w="2665"/>
        <w:gridCol w:w="1928"/>
        <w:gridCol w:w="1644"/>
        <w:gridCol w:w="2041"/>
        <w:gridCol w:w="2098"/>
        <w:gridCol w:w="1814"/>
        <w:gridCol w:w="1701"/>
        <w:gridCol w:w="1701"/>
        <w:gridCol w:w="1701"/>
        <w:gridCol w:w="1701"/>
        <w:gridCol w:w="1701"/>
        <w:gridCol w:w="1701"/>
      </w:tblGrid>
      <w:tr w:rsidR="00454A29" w14:paraId="2D70FF21" w14:textId="77777777">
        <w:tc>
          <w:tcPr>
            <w:tcW w:w="964" w:type="dxa"/>
            <w:vMerge w:val="restart"/>
            <w:vAlign w:val="center"/>
          </w:tcPr>
          <w:p w14:paraId="6C929FEB" w14:textId="77777777" w:rsidR="00454A29" w:rsidRDefault="00454A29">
            <w:pPr>
              <w:pStyle w:val="ConsPlusNormal"/>
              <w:jc w:val="center"/>
            </w:pPr>
            <w:r>
              <w:t>N п/п</w:t>
            </w:r>
          </w:p>
        </w:tc>
        <w:tc>
          <w:tcPr>
            <w:tcW w:w="2154" w:type="dxa"/>
            <w:vMerge w:val="restart"/>
            <w:vAlign w:val="center"/>
          </w:tcPr>
          <w:p w14:paraId="500DE18C" w14:textId="77777777" w:rsidR="00454A29" w:rsidRDefault="00454A29">
            <w:pPr>
              <w:pStyle w:val="ConsPlusNormal"/>
              <w:jc w:val="center"/>
            </w:pPr>
            <w:r>
              <w:t>Наименование подпрограммы</w:t>
            </w:r>
          </w:p>
        </w:tc>
        <w:tc>
          <w:tcPr>
            <w:tcW w:w="2154" w:type="dxa"/>
            <w:vMerge w:val="restart"/>
            <w:vAlign w:val="center"/>
          </w:tcPr>
          <w:p w14:paraId="3F92A1E2" w14:textId="77777777" w:rsidR="00454A29" w:rsidRDefault="00454A29">
            <w:pPr>
              <w:pStyle w:val="ConsPlusNormal"/>
              <w:jc w:val="center"/>
            </w:pPr>
            <w:r>
              <w:t>Наименование основного мероприятия (регионального проекта, реализуемого в рамках федерального проекта)</w:t>
            </w:r>
          </w:p>
        </w:tc>
        <w:tc>
          <w:tcPr>
            <w:tcW w:w="2665" w:type="dxa"/>
            <w:vMerge w:val="restart"/>
            <w:vAlign w:val="center"/>
          </w:tcPr>
          <w:p w14:paraId="775935C3" w14:textId="77777777" w:rsidR="00454A29" w:rsidRDefault="00454A29">
            <w:pPr>
              <w:pStyle w:val="ConsPlusNormal"/>
              <w:jc w:val="center"/>
            </w:pPr>
            <w:r>
              <w:t>Наименование результата основного мероприятия (регионального проекта)</w:t>
            </w:r>
          </w:p>
        </w:tc>
        <w:tc>
          <w:tcPr>
            <w:tcW w:w="2665" w:type="dxa"/>
            <w:vMerge w:val="restart"/>
            <w:vAlign w:val="center"/>
          </w:tcPr>
          <w:p w14:paraId="347071CD" w14:textId="77777777" w:rsidR="00454A29" w:rsidRDefault="00454A29">
            <w:pPr>
              <w:pStyle w:val="ConsPlusNormal"/>
              <w:jc w:val="center"/>
            </w:pPr>
            <w:r>
              <w:t>Наименование мероприятия</w:t>
            </w:r>
          </w:p>
        </w:tc>
        <w:tc>
          <w:tcPr>
            <w:tcW w:w="1928" w:type="dxa"/>
            <w:vMerge w:val="restart"/>
            <w:vAlign w:val="center"/>
          </w:tcPr>
          <w:p w14:paraId="58CA97F8" w14:textId="77777777" w:rsidR="00454A29" w:rsidRDefault="00454A29">
            <w:pPr>
              <w:pStyle w:val="ConsPlusNormal"/>
              <w:jc w:val="center"/>
            </w:pPr>
            <w:r>
              <w:t>Муниципальное образование</w:t>
            </w:r>
          </w:p>
        </w:tc>
        <w:tc>
          <w:tcPr>
            <w:tcW w:w="1644" w:type="dxa"/>
            <w:vMerge w:val="restart"/>
            <w:vAlign w:val="center"/>
          </w:tcPr>
          <w:p w14:paraId="6F34DE68" w14:textId="77777777" w:rsidR="00454A29" w:rsidRDefault="00454A29">
            <w:pPr>
              <w:pStyle w:val="ConsPlusNormal"/>
              <w:jc w:val="center"/>
            </w:pPr>
            <w:r>
              <w:t>Населенный пункт</w:t>
            </w:r>
          </w:p>
        </w:tc>
        <w:tc>
          <w:tcPr>
            <w:tcW w:w="2041" w:type="dxa"/>
            <w:vMerge w:val="restart"/>
            <w:vAlign w:val="center"/>
          </w:tcPr>
          <w:p w14:paraId="5A452966" w14:textId="77777777" w:rsidR="00454A29" w:rsidRDefault="00454A29">
            <w:pPr>
              <w:pStyle w:val="ConsPlusNormal"/>
              <w:jc w:val="center"/>
            </w:pPr>
            <w:r>
              <w:t>Учреждение</w:t>
            </w:r>
          </w:p>
        </w:tc>
        <w:tc>
          <w:tcPr>
            <w:tcW w:w="2098" w:type="dxa"/>
            <w:vMerge w:val="restart"/>
            <w:vAlign w:val="center"/>
          </w:tcPr>
          <w:p w14:paraId="2A52245E" w14:textId="77777777" w:rsidR="00454A29" w:rsidRDefault="00454A29">
            <w:pPr>
              <w:pStyle w:val="ConsPlusNormal"/>
              <w:jc w:val="center"/>
            </w:pPr>
            <w:r>
              <w:t>Источник финансирования</w:t>
            </w:r>
          </w:p>
        </w:tc>
        <w:tc>
          <w:tcPr>
            <w:tcW w:w="12020" w:type="dxa"/>
            <w:gridSpan w:val="7"/>
            <w:vAlign w:val="center"/>
          </w:tcPr>
          <w:p w14:paraId="2C49FCB9" w14:textId="77777777" w:rsidR="00454A29" w:rsidRDefault="00454A29">
            <w:pPr>
              <w:pStyle w:val="ConsPlusNormal"/>
              <w:jc w:val="center"/>
            </w:pPr>
            <w:r>
              <w:t>Объем финансирования</w:t>
            </w:r>
          </w:p>
        </w:tc>
      </w:tr>
      <w:tr w:rsidR="00454A29" w14:paraId="531AB7F0" w14:textId="77777777">
        <w:tc>
          <w:tcPr>
            <w:tcW w:w="964" w:type="dxa"/>
            <w:vMerge/>
          </w:tcPr>
          <w:p w14:paraId="62F8581F" w14:textId="77777777" w:rsidR="00454A29" w:rsidRDefault="00454A29"/>
        </w:tc>
        <w:tc>
          <w:tcPr>
            <w:tcW w:w="2154" w:type="dxa"/>
            <w:vMerge/>
          </w:tcPr>
          <w:p w14:paraId="6C5993DF" w14:textId="77777777" w:rsidR="00454A29" w:rsidRDefault="00454A29"/>
        </w:tc>
        <w:tc>
          <w:tcPr>
            <w:tcW w:w="2154" w:type="dxa"/>
            <w:vMerge/>
          </w:tcPr>
          <w:p w14:paraId="438AC075" w14:textId="77777777" w:rsidR="00454A29" w:rsidRDefault="00454A29"/>
        </w:tc>
        <w:tc>
          <w:tcPr>
            <w:tcW w:w="2665" w:type="dxa"/>
            <w:vMerge/>
          </w:tcPr>
          <w:p w14:paraId="3D061874" w14:textId="77777777" w:rsidR="00454A29" w:rsidRDefault="00454A29"/>
        </w:tc>
        <w:tc>
          <w:tcPr>
            <w:tcW w:w="2665" w:type="dxa"/>
            <w:vMerge/>
          </w:tcPr>
          <w:p w14:paraId="2DE4ECB7" w14:textId="77777777" w:rsidR="00454A29" w:rsidRDefault="00454A29"/>
        </w:tc>
        <w:tc>
          <w:tcPr>
            <w:tcW w:w="1928" w:type="dxa"/>
            <w:vMerge/>
          </w:tcPr>
          <w:p w14:paraId="4259E266" w14:textId="77777777" w:rsidR="00454A29" w:rsidRDefault="00454A29"/>
        </w:tc>
        <w:tc>
          <w:tcPr>
            <w:tcW w:w="1644" w:type="dxa"/>
            <w:vMerge/>
          </w:tcPr>
          <w:p w14:paraId="0D4F4C8F" w14:textId="77777777" w:rsidR="00454A29" w:rsidRDefault="00454A29"/>
        </w:tc>
        <w:tc>
          <w:tcPr>
            <w:tcW w:w="2041" w:type="dxa"/>
            <w:vMerge/>
          </w:tcPr>
          <w:p w14:paraId="3638B3D6" w14:textId="77777777" w:rsidR="00454A29" w:rsidRDefault="00454A29"/>
        </w:tc>
        <w:tc>
          <w:tcPr>
            <w:tcW w:w="2098" w:type="dxa"/>
            <w:vMerge/>
          </w:tcPr>
          <w:p w14:paraId="3857E0D3" w14:textId="77777777" w:rsidR="00454A29" w:rsidRDefault="00454A29"/>
        </w:tc>
        <w:tc>
          <w:tcPr>
            <w:tcW w:w="1814" w:type="dxa"/>
            <w:vAlign w:val="center"/>
          </w:tcPr>
          <w:p w14:paraId="1E58CE74" w14:textId="77777777" w:rsidR="00454A29" w:rsidRDefault="00454A29">
            <w:pPr>
              <w:pStyle w:val="ConsPlusNormal"/>
              <w:jc w:val="center"/>
            </w:pPr>
            <w:r>
              <w:t>2020</w:t>
            </w:r>
          </w:p>
        </w:tc>
        <w:tc>
          <w:tcPr>
            <w:tcW w:w="1701" w:type="dxa"/>
            <w:vAlign w:val="center"/>
          </w:tcPr>
          <w:p w14:paraId="4FF4FCC6" w14:textId="77777777" w:rsidR="00454A29" w:rsidRDefault="00454A29">
            <w:pPr>
              <w:pStyle w:val="ConsPlusNormal"/>
              <w:jc w:val="center"/>
            </w:pPr>
            <w:r>
              <w:t>2021</w:t>
            </w:r>
          </w:p>
        </w:tc>
        <w:tc>
          <w:tcPr>
            <w:tcW w:w="1701" w:type="dxa"/>
            <w:vAlign w:val="center"/>
          </w:tcPr>
          <w:p w14:paraId="04922075" w14:textId="77777777" w:rsidR="00454A29" w:rsidRDefault="00454A29">
            <w:pPr>
              <w:pStyle w:val="ConsPlusNormal"/>
              <w:jc w:val="center"/>
            </w:pPr>
            <w:r>
              <w:t>2022</w:t>
            </w:r>
          </w:p>
        </w:tc>
        <w:tc>
          <w:tcPr>
            <w:tcW w:w="1701" w:type="dxa"/>
            <w:vAlign w:val="center"/>
          </w:tcPr>
          <w:p w14:paraId="74F3EAE3" w14:textId="77777777" w:rsidR="00454A29" w:rsidRDefault="00454A29">
            <w:pPr>
              <w:pStyle w:val="ConsPlusNormal"/>
              <w:jc w:val="center"/>
            </w:pPr>
            <w:r>
              <w:t>2023</w:t>
            </w:r>
          </w:p>
        </w:tc>
        <w:tc>
          <w:tcPr>
            <w:tcW w:w="1701" w:type="dxa"/>
            <w:vAlign w:val="center"/>
          </w:tcPr>
          <w:p w14:paraId="4C87041F" w14:textId="77777777" w:rsidR="00454A29" w:rsidRDefault="00454A29">
            <w:pPr>
              <w:pStyle w:val="ConsPlusNormal"/>
              <w:jc w:val="center"/>
            </w:pPr>
            <w:r>
              <w:t>2024</w:t>
            </w:r>
          </w:p>
        </w:tc>
        <w:tc>
          <w:tcPr>
            <w:tcW w:w="1701" w:type="dxa"/>
            <w:vAlign w:val="center"/>
          </w:tcPr>
          <w:p w14:paraId="72B5E443" w14:textId="77777777" w:rsidR="00454A29" w:rsidRDefault="00454A29">
            <w:pPr>
              <w:pStyle w:val="ConsPlusNormal"/>
              <w:jc w:val="center"/>
            </w:pPr>
            <w:r>
              <w:t>2025</w:t>
            </w:r>
          </w:p>
        </w:tc>
        <w:tc>
          <w:tcPr>
            <w:tcW w:w="1701" w:type="dxa"/>
            <w:vAlign w:val="center"/>
          </w:tcPr>
          <w:p w14:paraId="4702D7B9" w14:textId="77777777" w:rsidR="00454A29" w:rsidRDefault="00454A29">
            <w:pPr>
              <w:pStyle w:val="ConsPlusNormal"/>
              <w:jc w:val="center"/>
            </w:pPr>
            <w:r>
              <w:t>2026</w:t>
            </w:r>
          </w:p>
        </w:tc>
      </w:tr>
      <w:tr w:rsidR="00454A29" w14:paraId="2ED8A39F" w14:textId="77777777">
        <w:tc>
          <w:tcPr>
            <w:tcW w:w="964" w:type="dxa"/>
            <w:vAlign w:val="center"/>
          </w:tcPr>
          <w:p w14:paraId="430F42F6" w14:textId="77777777" w:rsidR="00454A29" w:rsidRDefault="00454A29">
            <w:pPr>
              <w:pStyle w:val="ConsPlusNormal"/>
              <w:jc w:val="center"/>
            </w:pPr>
            <w:r>
              <w:t>1</w:t>
            </w:r>
          </w:p>
        </w:tc>
        <w:tc>
          <w:tcPr>
            <w:tcW w:w="2154" w:type="dxa"/>
            <w:vAlign w:val="center"/>
          </w:tcPr>
          <w:p w14:paraId="3B88A9DD" w14:textId="77777777" w:rsidR="00454A29" w:rsidRDefault="00454A29">
            <w:pPr>
              <w:pStyle w:val="ConsPlusNormal"/>
              <w:jc w:val="center"/>
            </w:pPr>
            <w:r>
              <w:t>2</w:t>
            </w:r>
          </w:p>
        </w:tc>
        <w:tc>
          <w:tcPr>
            <w:tcW w:w="2154" w:type="dxa"/>
            <w:vAlign w:val="center"/>
          </w:tcPr>
          <w:p w14:paraId="04E95C9B" w14:textId="77777777" w:rsidR="00454A29" w:rsidRDefault="00454A29">
            <w:pPr>
              <w:pStyle w:val="ConsPlusNormal"/>
              <w:jc w:val="center"/>
            </w:pPr>
            <w:r>
              <w:t>3</w:t>
            </w:r>
          </w:p>
        </w:tc>
        <w:tc>
          <w:tcPr>
            <w:tcW w:w="2665" w:type="dxa"/>
            <w:vAlign w:val="center"/>
          </w:tcPr>
          <w:p w14:paraId="07924735" w14:textId="77777777" w:rsidR="00454A29" w:rsidRDefault="00454A29">
            <w:pPr>
              <w:pStyle w:val="ConsPlusNormal"/>
              <w:jc w:val="center"/>
            </w:pPr>
            <w:r>
              <w:t>4</w:t>
            </w:r>
          </w:p>
        </w:tc>
        <w:tc>
          <w:tcPr>
            <w:tcW w:w="2665" w:type="dxa"/>
            <w:vAlign w:val="center"/>
          </w:tcPr>
          <w:p w14:paraId="11C265C4" w14:textId="77777777" w:rsidR="00454A29" w:rsidRDefault="00454A29">
            <w:pPr>
              <w:pStyle w:val="ConsPlusNormal"/>
              <w:jc w:val="center"/>
            </w:pPr>
            <w:r>
              <w:t>5</w:t>
            </w:r>
          </w:p>
        </w:tc>
        <w:tc>
          <w:tcPr>
            <w:tcW w:w="1928" w:type="dxa"/>
            <w:vAlign w:val="center"/>
          </w:tcPr>
          <w:p w14:paraId="69C6DBCE" w14:textId="77777777" w:rsidR="00454A29" w:rsidRDefault="00454A29">
            <w:pPr>
              <w:pStyle w:val="ConsPlusNormal"/>
              <w:jc w:val="center"/>
            </w:pPr>
            <w:r>
              <w:t>6</w:t>
            </w:r>
          </w:p>
        </w:tc>
        <w:tc>
          <w:tcPr>
            <w:tcW w:w="1644" w:type="dxa"/>
            <w:vAlign w:val="center"/>
          </w:tcPr>
          <w:p w14:paraId="0CEB523E" w14:textId="77777777" w:rsidR="00454A29" w:rsidRDefault="00454A29">
            <w:pPr>
              <w:pStyle w:val="ConsPlusNormal"/>
              <w:jc w:val="center"/>
            </w:pPr>
            <w:r>
              <w:t>7</w:t>
            </w:r>
          </w:p>
        </w:tc>
        <w:tc>
          <w:tcPr>
            <w:tcW w:w="2041" w:type="dxa"/>
            <w:vAlign w:val="center"/>
          </w:tcPr>
          <w:p w14:paraId="3ABED749" w14:textId="77777777" w:rsidR="00454A29" w:rsidRDefault="00454A29">
            <w:pPr>
              <w:pStyle w:val="ConsPlusNormal"/>
              <w:jc w:val="center"/>
            </w:pPr>
            <w:r>
              <w:t>8</w:t>
            </w:r>
          </w:p>
        </w:tc>
        <w:tc>
          <w:tcPr>
            <w:tcW w:w="2098" w:type="dxa"/>
            <w:vAlign w:val="center"/>
          </w:tcPr>
          <w:p w14:paraId="4655DF4A" w14:textId="77777777" w:rsidR="00454A29" w:rsidRDefault="00454A29">
            <w:pPr>
              <w:pStyle w:val="ConsPlusNormal"/>
              <w:jc w:val="center"/>
            </w:pPr>
            <w:r>
              <w:t>9</w:t>
            </w:r>
          </w:p>
        </w:tc>
        <w:tc>
          <w:tcPr>
            <w:tcW w:w="1814" w:type="dxa"/>
            <w:vAlign w:val="center"/>
          </w:tcPr>
          <w:p w14:paraId="6763F691" w14:textId="77777777" w:rsidR="00454A29" w:rsidRDefault="00454A29">
            <w:pPr>
              <w:pStyle w:val="ConsPlusNormal"/>
              <w:jc w:val="center"/>
            </w:pPr>
            <w:r>
              <w:t>10</w:t>
            </w:r>
          </w:p>
        </w:tc>
        <w:tc>
          <w:tcPr>
            <w:tcW w:w="1701" w:type="dxa"/>
            <w:vAlign w:val="center"/>
          </w:tcPr>
          <w:p w14:paraId="00F70CF8" w14:textId="77777777" w:rsidR="00454A29" w:rsidRDefault="00454A29">
            <w:pPr>
              <w:pStyle w:val="ConsPlusNormal"/>
              <w:jc w:val="center"/>
            </w:pPr>
            <w:r>
              <w:t>11</w:t>
            </w:r>
          </w:p>
        </w:tc>
        <w:tc>
          <w:tcPr>
            <w:tcW w:w="1701" w:type="dxa"/>
            <w:vAlign w:val="center"/>
          </w:tcPr>
          <w:p w14:paraId="20B935FA" w14:textId="77777777" w:rsidR="00454A29" w:rsidRDefault="00454A29">
            <w:pPr>
              <w:pStyle w:val="ConsPlusNormal"/>
              <w:jc w:val="center"/>
            </w:pPr>
            <w:r>
              <w:t>12</w:t>
            </w:r>
          </w:p>
        </w:tc>
        <w:tc>
          <w:tcPr>
            <w:tcW w:w="1701" w:type="dxa"/>
            <w:vAlign w:val="center"/>
          </w:tcPr>
          <w:p w14:paraId="7C586DEB" w14:textId="77777777" w:rsidR="00454A29" w:rsidRDefault="00454A29">
            <w:pPr>
              <w:pStyle w:val="ConsPlusNormal"/>
              <w:jc w:val="center"/>
            </w:pPr>
            <w:r>
              <w:t>13</w:t>
            </w:r>
          </w:p>
        </w:tc>
        <w:tc>
          <w:tcPr>
            <w:tcW w:w="1701" w:type="dxa"/>
            <w:vAlign w:val="center"/>
          </w:tcPr>
          <w:p w14:paraId="677DBB41" w14:textId="77777777" w:rsidR="00454A29" w:rsidRDefault="00454A29">
            <w:pPr>
              <w:pStyle w:val="ConsPlusNormal"/>
              <w:jc w:val="center"/>
            </w:pPr>
            <w:r>
              <w:t>14</w:t>
            </w:r>
          </w:p>
        </w:tc>
        <w:tc>
          <w:tcPr>
            <w:tcW w:w="1701" w:type="dxa"/>
            <w:vAlign w:val="center"/>
          </w:tcPr>
          <w:p w14:paraId="5D859DFA" w14:textId="77777777" w:rsidR="00454A29" w:rsidRDefault="00454A29">
            <w:pPr>
              <w:pStyle w:val="ConsPlusNormal"/>
              <w:jc w:val="center"/>
            </w:pPr>
            <w:r>
              <w:t>15</w:t>
            </w:r>
          </w:p>
        </w:tc>
        <w:tc>
          <w:tcPr>
            <w:tcW w:w="1701" w:type="dxa"/>
            <w:vAlign w:val="center"/>
          </w:tcPr>
          <w:p w14:paraId="6A0A7934" w14:textId="77777777" w:rsidR="00454A29" w:rsidRDefault="00454A29">
            <w:pPr>
              <w:pStyle w:val="ConsPlusNormal"/>
              <w:jc w:val="center"/>
            </w:pPr>
            <w:r>
              <w:t>16</w:t>
            </w:r>
          </w:p>
        </w:tc>
      </w:tr>
      <w:tr w:rsidR="00454A29" w14:paraId="57E8BE58" w14:textId="77777777">
        <w:tc>
          <w:tcPr>
            <w:tcW w:w="16215" w:type="dxa"/>
            <w:gridSpan w:val="8"/>
            <w:vMerge w:val="restart"/>
            <w:vAlign w:val="center"/>
          </w:tcPr>
          <w:p w14:paraId="4809DB89" w14:textId="77777777" w:rsidR="00454A29" w:rsidRDefault="00454A29">
            <w:pPr>
              <w:pStyle w:val="ConsPlusNormal"/>
              <w:jc w:val="center"/>
            </w:pPr>
            <w:r>
              <w:lastRenderedPageBreak/>
              <w:t>Всего по региональным проектам</w:t>
            </w:r>
          </w:p>
        </w:tc>
        <w:tc>
          <w:tcPr>
            <w:tcW w:w="2098" w:type="dxa"/>
            <w:vAlign w:val="center"/>
          </w:tcPr>
          <w:p w14:paraId="3D37E944" w14:textId="77777777" w:rsidR="00454A29" w:rsidRDefault="00454A29">
            <w:pPr>
              <w:pStyle w:val="ConsPlusNormal"/>
              <w:jc w:val="center"/>
            </w:pPr>
            <w:r>
              <w:t>Итого</w:t>
            </w:r>
          </w:p>
        </w:tc>
        <w:tc>
          <w:tcPr>
            <w:tcW w:w="1814" w:type="dxa"/>
            <w:vAlign w:val="center"/>
          </w:tcPr>
          <w:p w14:paraId="24FCAF05" w14:textId="77777777" w:rsidR="00454A29" w:rsidRDefault="00454A29">
            <w:pPr>
              <w:pStyle w:val="ConsPlusNormal"/>
              <w:jc w:val="center"/>
            </w:pPr>
            <w:r>
              <w:t>1 139 667,44</w:t>
            </w:r>
          </w:p>
        </w:tc>
        <w:tc>
          <w:tcPr>
            <w:tcW w:w="1701" w:type="dxa"/>
            <w:vAlign w:val="center"/>
          </w:tcPr>
          <w:p w14:paraId="0CD31A14" w14:textId="77777777" w:rsidR="00454A29" w:rsidRDefault="00454A29">
            <w:pPr>
              <w:pStyle w:val="ConsPlusNormal"/>
              <w:jc w:val="center"/>
            </w:pPr>
            <w:r>
              <w:t>1 417 114,15</w:t>
            </w:r>
          </w:p>
        </w:tc>
        <w:tc>
          <w:tcPr>
            <w:tcW w:w="1701" w:type="dxa"/>
            <w:vAlign w:val="center"/>
          </w:tcPr>
          <w:p w14:paraId="199C1AC7" w14:textId="77777777" w:rsidR="00454A29" w:rsidRDefault="00454A29">
            <w:pPr>
              <w:pStyle w:val="ConsPlusNormal"/>
              <w:jc w:val="center"/>
            </w:pPr>
            <w:r>
              <w:t>4 034,49</w:t>
            </w:r>
          </w:p>
        </w:tc>
        <w:tc>
          <w:tcPr>
            <w:tcW w:w="1701" w:type="dxa"/>
            <w:vAlign w:val="center"/>
          </w:tcPr>
          <w:p w14:paraId="14BC0FE6" w14:textId="77777777" w:rsidR="00454A29" w:rsidRDefault="00454A29">
            <w:pPr>
              <w:pStyle w:val="ConsPlusNormal"/>
              <w:jc w:val="center"/>
            </w:pPr>
            <w:r>
              <w:t>2 188,00</w:t>
            </w:r>
          </w:p>
        </w:tc>
        <w:tc>
          <w:tcPr>
            <w:tcW w:w="1701" w:type="dxa"/>
            <w:vAlign w:val="center"/>
          </w:tcPr>
          <w:p w14:paraId="0DBAA899" w14:textId="77777777" w:rsidR="00454A29" w:rsidRDefault="00454A29">
            <w:pPr>
              <w:pStyle w:val="ConsPlusNormal"/>
              <w:jc w:val="center"/>
            </w:pPr>
            <w:r>
              <w:t>2 188,00</w:t>
            </w:r>
          </w:p>
        </w:tc>
        <w:tc>
          <w:tcPr>
            <w:tcW w:w="1701" w:type="dxa"/>
            <w:vAlign w:val="center"/>
          </w:tcPr>
          <w:p w14:paraId="4CE2B858" w14:textId="77777777" w:rsidR="00454A29" w:rsidRDefault="00454A29">
            <w:pPr>
              <w:pStyle w:val="ConsPlusNormal"/>
              <w:jc w:val="center"/>
            </w:pPr>
            <w:r>
              <w:t>0,00</w:t>
            </w:r>
          </w:p>
        </w:tc>
        <w:tc>
          <w:tcPr>
            <w:tcW w:w="1701" w:type="dxa"/>
            <w:vAlign w:val="center"/>
          </w:tcPr>
          <w:p w14:paraId="30C6DBBD" w14:textId="77777777" w:rsidR="00454A29" w:rsidRDefault="00454A29">
            <w:pPr>
              <w:pStyle w:val="ConsPlusNormal"/>
              <w:jc w:val="center"/>
            </w:pPr>
            <w:r>
              <w:t>0,00</w:t>
            </w:r>
          </w:p>
        </w:tc>
      </w:tr>
      <w:tr w:rsidR="00454A29" w14:paraId="70DB6907" w14:textId="77777777">
        <w:tc>
          <w:tcPr>
            <w:tcW w:w="16215" w:type="dxa"/>
            <w:gridSpan w:val="8"/>
            <w:vMerge/>
          </w:tcPr>
          <w:p w14:paraId="16DB2A43" w14:textId="77777777" w:rsidR="00454A29" w:rsidRDefault="00454A29"/>
        </w:tc>
        <w:tc>
          <w:tcPr>
            <w:tcW w:w="2098" w:type="dxa"/>
            <w:vAlign w:val="center"/>
          </w:tcPr>
          <w:p w14:paraId="70F0FC37"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808CCCE" w14:textId="77777777" w:rsidR="00454A29" w:rsidRDefault="00454A29">
            <w:pPr>
              <w:pStyle w:val="ConsPlusNormal"/>
              <w:jc w:val="center"/>
            </w:pPr>
            <w:r>
              <w:t>347 229,15</w:t>
            </w:r>
          </w:p>
        </w:tc>
        <w:tc>
          <w:tcPr>
            <w:tcW w:w="1701" w:type="dxa"/>
            <w:vAlign w:val="center"/>
          </w:tcPr>
          <w:p w14:paraId="34A5DA5F" w14:textId="77777777" w:rsidR="00454A29" w:rsidRDefault="00454A29">
            <w:pPr>
              <w:pStyle w:val="ConsPlusNormal"/>
              <w:jc w:val="center"/>
            </w:pPr>
            <w:r>
              <w:t>72 633,93</w:t>
            </w:r>
          </w:p>
        </w:tc>
        <w:tc>
          <w:tcPr>
            <w:tcW w:w="1701" w:type="dxa"/>
            <w:vAlign w:val="center"/>
          </w:tcPr>
          <w:p w14:paraId="59B738B1" w14:textId="77777777" w:rsidR="00454A29" w:rsidRDefault="00454A29">
            <w:pPr>
              <w:pStyle w:val="ConsPlusNormal"/>
              <w:jc w:val="center"/>
            </w:pPr>
            <w:r>
              <w:t>4 034,49</w:t>
            </w:r>
          </w:p>
        </w:tc>
        <w:tc>
          <w:tcPr>
            <w:tcW w:w="1701" w:type="dxa"/>
            <w:vAlign w:val="center"/>
          </w:tcPr>
          <w:p w14:paraId="6506B165" w14:textId="77777777" w:rsidR="00454A29" w:rsidRDefault="00454A29">
            <w:pPr>
              <w:pStyle w:val="ConsPlusNormal"/>
              <w:jc w:val="center"/>
            </w:pPr>
            <w:r>
              <w:t>2 188,00</w:t>
            </w:r>
          </w:p>
        </w:tc>
        <w:tc>
          <w:tcPr>
            <w:tcW w:w="1701" w:type="dxa"/>
            <w:vAlign w:val="center"/>
          </w:tcPr>
          <w:p w14:paraId="4CD05A64" w14:textId="77777777" w:rsidR="00454A29" w:rsidRDefault="00454A29">
            <w:pPr>
              <w:pStyle w:val="ConsPlusNormal"/>
              <w:jc w:val="center"/>
            </w:pPr>
            <w:r>
              <w:t>2 188,00</w:t>
            </w:r>
          </w:p>
        </w:tc>
        <w:tc>
          <w:tcPr>
            <w:tcW w:w="1701" w:type="dxa"/>
            <w:vAlign w:val="center"/>
          </w:tcPr>
          <w:p w14:paraId="70287AFA" w14:textId="77777777" w:rsidR="00454A29" w:rsidRDefault="00454A29">
            <w:pPr>
              <w:pStyle w:val="ConsPlusNormal"/>
              <w:jc w:val="center"/>
            </w:pPr>
            <w:r>
              <w:t>0,00</w:t>
            </w:r>
          </w:p>
        </w:tc>
        <w:tc>
          <w:tcPr>
            <w:tcW w:w="1701" w:type="dxa"/>
            <w:vAlign w:val="center"/>
          </w:tcPr>
          <w:p w14:paraId="5C02C20E" w14:textId="77777777" w:rsidR="00454A29" w:rsidRDefault="00454A29">
            <w:pPr>
              <w:pStyle w:val="ConsPlusNormal"/>
              <w:jc w:val="center"/>
            </w:pPr>
            <w:r>
              <w:t>0,00</w:t>
            </w:r>
          </w:p>
        </w:tc>
      </w:tr>
      <w:tr w:rsidR="00454A29" w14:paraId="373526A1" w14:textId="77777777">
        <w:tc>
          <w:tcPr>
            <w:tcW w:w="16215" w:type="dxa"/>
            <w:gridSpan w:val="8"/>
            <w:vMerge/>
          </w:tcPr>
          <w:p w14:paraId="2C59187F" w14:textId="77777777" w:rsidR="00454A29" w:rsidRDefault="00454A29"/>
        </w:tc>
        <w:tc>
          <w:tcPr>
            <w:tcW w:w="2098" w:type="dxa"/>
            <w:vAlign w:val="center"/>
          </w:tcPr>
          <w:p w14:paraId="710D89CA" w14:textId="77777777" w:rsidR="00454A29" w:rsidRDefault="00454A29">
            <w:pPr>
              <w:pStyle w:val="ConsPlusNormal"/>
              <w:jc w:val="center"/>
            </w:pPr>
            <w:r>
              <w:t>Федеральный бюджет</w:t>
            </w:r>
          </w:p>
        </w:tc>
        <w:tc>
          <w:tcPr>
            <w:tcW w:w="1814" w:type="dxa"/>
            <w:vAlign w:val="center"/>
          </w:tcPr>
          <w:p w14:paraId="2F6BF96E" w14:textId="77777777" w:rsidR="00454A29" w:rsidRDefault="00454A29">
            <w:pPr>
              <w:pStyle w:val="ConsPlusNormal"/>
              <w:jc w:val="center"/>
            </w:pPr>
            <w:r>
              <w:t>787 863,83</w:t>
            </w:r>
          </w:p>
        </w:tc>
        <w:tc>
          <w:tcPr>
            <w:tcW w:w="1701" w:type="dxa"/>
            <w:vAlign w:val="center"/>
          </w:tcPr>
          <w:p w14:paraId="5C4CABEE" w14:textId="77777777" w:rsidR="00454A29" w:rsidRDefault="00454A29">
            <w:pPr>
              <w:pStyle w:val="ConsPlusNormal"/>
              <w:jc w:val="center"/>
            </w:pPr>
            <w:r>
              <w:t>1 338 833,48</w:t>
            </w:r>
          </w:p>
        </w:tc>
        <w:tc>
          <w:tcPr>
            <w:tcW w:w="1701" w:type="dxa"/>
            <w:vAlign w:val="center"/>
          </w:tcPr>
          <w:p w14:paraId="046CA16E" w14:textId="77777777" w:rsidR="00454A29" w:rsidRDefault="00454A29">
            <w:pPr>
              <w:pStyle w:val="ConsPlusNormal"/>
              <w:jc w:val="center"/>
            </w:pPr>
            <w:r>
              <w:t>0,00</w:t>
            </w:r>
          </w:p>
        </w:tc>
        <w:tc>
          <w:tcPr>
            <w:tcW w:w="1701" w:type="dxa"/>
            <w:vAlign w:val="center"/>
          </w:tcPr>
          <w:p w14:paraId="5679B5E0" w14:textId="77777777" w:rsidR="00454A29" w:rsidRDefault="00454A29">
            <w:pPr>
              <w:pStyle w:val="ConsPlusNormal"/>
              <w:jc w:val="center"/>
            </w:pPr>
            <w:r>
              <w:t>0,00</w:t>
            </w:r>
          </w:p>
        </w:tc>
        <w:tc>
          <w:tcPr>
            <w:tcW w:w="1701" w:type="dxa"/>
            <w:vAlign w:val="center"/>
          </w:tcPr>
          <w:p w14:paraId="16434611" w14:textId="77777777" w:rsidR="00454A29" w:rsidRDefault="00454A29">
            <w:pPr>
              <w:pStyle w:val="ConsPlusNormal"/>
              <w:jc w:val="center"/>
            </w:pPr>
            <w:r>
              <w:t>0,00</w:t>
            </w:r>
          </w:p>
        </w:tc>
        <w:tc>
          <w:tcPr>
            <w:tcW w:w="1701" w:type="dxa"/>
            <w:vAlign w:val="center"/>
          </w:tcPr>
          <w:p w14:paraId="2DE3BF09" w14:textId="77777777" w:rsidR="00454A29" w:rsidRDefault="00454A29">
            <w:pPr>
              <w:pStyle w:val="ConsPlusNormal"/>
              <w:jc w:val="center"/>
            </w:pPr>
            <w:r>
              <w:t>0,00</w:t>
            </w:r>
          </w:p>
        </w:tc>
        <w:tc>
          <w:tcPr>
            <w:tcW w:w="1701" w:type="dxa"/>
            <w:vAlign w:val="center"/>
          </w:tcPr>
          <w:p w14:paraId="15249357" w14:textId="77777777" w:rsidR="00454A29" w:rsidRDefault="00454A29">
            <w:pPr>
              <w:pStyle w:val="ConsPlusNormal"/>
              <w:jc w:val="center"/>
            </w:pPr>
            <w:r>
              <w:t>0,00</w:t>
            </w:r>
          </w:p>
        </w:tc>
      </w:tr>
      <w:tr w:rsidR="00454A29" w14:paraId="1A4528DD" w14:textId="77777777">
        <w:tc>
          <w:tcPr>
            <w:tcW w:w="16215" w:type="dxa"/>
            <w:gridSpan w:val="8"/>
            <w:vMerge/>
          </w:tcPr>
          <w:p w14:paraId="0D17C6E8" w14:textId="77777777" w:rsidR="00454A29" w:rsidRDefault="00454A29"/>
        </w:tc>
        <w:tc>
          <w:tcPr>
            <w:tcW w:w="2098" w:type="dxa"/>
            <w:vAlign w:val="center"/>
          </w:tcPr>
          <w:p w14:paraId="643672A5" w14:textId="77777777" w:rsidR="00454A29" w:rsidRDefault="00454A29">
            <w:pPr>
              <w:pStyle w:val="ConsPlusNormal"/>
              <w:jc w:val="center"/>
            </w:pPr>
            <w:r>
              <w:t>Местные бюджеты</w:t>
            </w:r>
          </w:p>
        </w:tc>
        <w:tc>
          <w:tcPr>
            <w:tcW w:w="1814" w:type="dxa"/>
            <w:vAlign w:val="center"/>
          </w:tcPr>
          <w:p w14:paraId="17D8FEE8" w14:textId="77777777" w:rsidR="00454A29" w:rsidRDefault="00454A29">
            <w:pPr>
              <w:pStyle w:val="ConsPlusNormal"/>
              <w:jc w:val="center"/>
            </w:pPr>
            <w:r>
              <w:t>4 574,46</w:t>
            </w:r>
          </w:p>
        </w:tc>
        <w:tc>
          <w:tcPr>
            <w:tcW w:w="1701" w:type="dxa"/>
            <w:vAlign w:val="center"/>
          </w:tcPr>
          <w:p w14:paraId="7AB7D163" w14:textId="77777777" w:rsidR="00454A29" w:rsidRDefault="00454A29">
            <w:pPr>
              <w:pStyle w:val="ConsPlusNormal"/>
              <w:jc w:val="center"/>
            </w:pPr>
            <w:r>
              <w:t>5 646,74</w:t>
            </w:r>
          </w:p>
        </w:tc>
        <w:tc>
          <w:tcPr>
            <w:tcW w:w="1701" w:type="dxa"/>
            <w:vAlign w:val="center"/>
          </w:tcPr>
          <w:p w14:paraId="78E8AB43" w14:textId="77777777" w:rsidR="00454A29" w:rsidRDefault="00454A29">
            <w:pPr>
              <w:pStyle w:val="ConsPlusNormal"/>
              <w:jc w:val="center"/>
            </w:pPr>
            <w:r>
              <w:t>0,00</w:t>
            </w:r>
          </w:p>
        </w:tc>
        <w:tc>
          <w:tcPr>
            <w:tcW w:w="1701" w:type="dxa"/>
            <w:vAlign w:val="center"/>
          </w:tcPr>
          <w:p w14:paraId="10FF238D" w14:textId="77777777" w:rsidR="00454A29" w:rsidRDefault="00454A29">
            <w:pPr>
              <w:pStyle w:val="ConsPlusNormal"/>
              <w:jc w:val="center"/>
            </w:pPr>
            <w:r>
              <w:t>0,00</w:t>
            </w:r>
          </w:p>
        </w:tc>
        <w:tc>
          <w:tcPr>
            <w:tcW w:w="1701" w:type="dxa"/>
            <w:vAlign w:val="center"/>
          </w:tcPr>
          <w:p w14:paraId="27039597" w14:textId="77777777" w:rsidR="00454A29" w:rsidRDefault="00454A29">
            <w:pPr>
              <w:pStyle w:val="ConsPlusNormal"/>
              <w:jc w:val="center"/>
            </w:pPr>
            <w:r>
              <w:t>0,00</w:t>
            </w:r>
          </w:p>
        </w:tc>
        <w:tc>
          <w:tcPr>
            <w:tcW w:w="1701" w:type="dxa"/>
            <w:vAlign w:val="center"/>
          </w:tcPr>
          <w:p w14:paraId="4F8E92A1" w14:textId="77777777" w:rsidR="00454A29" w:rsidRDefault="00454A29">
            <w:pPr>
              <w:pStyle w:val="ConsPlusNormal"/>
              <w:jc w:val="center"/>
            </w:pPr>
            <w:r>
              <w:t>0,00</w:t>
            </w:r>
          </w:p>
        </w:tc>
        <w:tc>
          <w:tcPr>
            <w:tcW w:w="1701" w:type="dxa"/>
            <w:vAlign w:val="center"/>
          </w:tcPr>
          <w:p w14:paraId="2B9BFCFC" w14:textId="77777777" w:rsidR="00454A29" w:rsidRDefault="00454A29">
            <w:pPr>
              <w:pStyle w:val="ConsPlusNormal"/>
              <w:jc w:val="center"/>
            </w:pPr>
            <w:r>
              <w:t>0,00</w:t>
            </w:r>
          </w:p>
        </w:tc>
      </w:tr>
      <w:tr w:rsidR="00454A29" w14:paraId="7CF13849" w14:textId="77777777">
        <w:tc>
          <w:tcPr>
            <w:tcW w:w="16215" w:type="dxa"/>
            <w:gridSpan w:val="8"/>
            <w:vMerge/>
          </w:tcPr>
          <w:p w14:paraId="6A3D6D8A" w14:textId="77777777" w:rsidR="00454A29" w:rsidRDefault="00454A29"/>
        </w:tc>
        <w:tc>
          <w:tcPr>
            <w:tcW w:w="2098" w:type="dxa"/>
            <w:vAlign w:val="center"/>
          </w:tcPr>
          <w:p w14:paraId="51A03D5E" w14:textId="77777777" w:rsidR="00454A29" w:rsidRDefault="00454A29">
            <w:pPr>
              <w:pStyle w:val="ConsPlusNormal"/>
              <w:jc w:val="center"/>
            </w:pPr>
            <w:r>
              <w:t>Внебюджетные средства</w:t>
            </w:r>
          </w:p>
        </w:tc>
        <w:tc>
          <w:tcPr>
            <w:tcW w:w="1814" w:type="dxa"/>
            <w:vAlign w:val="center"/>
          </w:tcPr>
          <w:p w14:paraId="0B5F311E" w14:textId="77777777" w:rsidR="00454A29" w:rsidRDefault="00454A29">
            <w:pPr>
              <w:pStyle w:val="ConsPlusNormal"/>
              <w:jc w:val="center"/>
            </w:pPr>
            <w:r>
              <w:t>0,00</w:t>
            </w:r>
          </w:p>
        </w:tc>
        <w:tc>
          <w:tcPr>
            <w:tcW w:w="1701" w:type="dxa"/>
            <w:vAlign w:val="center"/>
          </w:tcPr>
          <w:p w14:paraId="5DEC09F0" w14:textId="77777777" w:rsidR="00454A29" w:rsidRDefault="00454A29">
            <w:pPr>
              <w:pStyle w:val="ConsPlusNormal"/>
              <w:jc w:val="center"/>
            </w:pPr>
            <w:r>
              <w:t>0,00</w:t>
            </w:r>
          </w:p>
        </w:tc>
        <w:tc>
          <w:tcPr>
            <w:tcW w:w="1701" w:type="dxa"/>
            <w:vAlign w:val="center"/>
          </w:tcPr>
          <w:p w14:paraId="43462550" w14:textId="77777777" w:rsidR="00454A29" w:rsidRDefault="00454A29">
            <w:pPr>
              <w:pStyle w:val="ConsPlusNormal"/>
              <w:jc w:val="center"/>
            </w:pPr>
            <w:r>
              <w:t>0,00</w:t>
            </w:r>
          </w:p>
        </w:tc>
        <w:tc>
          <w:tcPr>
            <w:tcW w:w="1701" w:type="dxa"/>
            <w:vAlign w:val="center"/>
          </w:tcPr>
          <w:p w14:paraId="751241D4" w14:textId="77777777" w:rsidR="00454A29" w:rsidRDefault="00454A29">
            <w:pPr>
              <w:pStyle w:val="ConsPlusNormal"/>
              <w:jc w:val="center"/>
            </w:pPr>
            <w:r>
              <w:t>0,00</w:t>
            </w:r>
          </w:p>
        </w:tc>
        <w:tc>
          <w:tcPr>
            <w:tcW w:w="1701" w:type="dxa"/>
            <w:vAlign w:val="center"/>
          </w:tcPr>
          <w:p w14:paraId="58746510" w14:textId="77777777" w:rsidR="00454A29" w:rsidRDefault="00454A29">
            <w:pPr>
              <w:pStyle w:val="ConsPlusNormal"/>
              <w:jc w:val="center"/>
            </w:pPr>
            <w:r>
              <w:t>0,00</w:t>
            </w:r>
          </w:p>
        </w:tc>
        <w:tc>
          <w:tcPr>
            <w:tcW w:w="1701" w:type="dxa"/>
            <w:vAlign w:val="center"/>
          </w:tcPr>
          <w:p w14:paraId="04560B2E" w14:textId="77777777" w:rsidR="00454A29" w:rsidRDefault="00454A29">
            <w:pPr>
              <w:pStyle w:val="ConsPlusNormal"/>
              <w:jc w:val="center"/>
            </w:pPr>
            <w:r>
              <w:t>0,00</w:t>
            </w:r>
          </w:p>
        </w:tc>
        <w:tc>
          <w:tcPr>
            <w:tcW w:w="1701" w:type="dxa"/>
            <w:vAlign w:val="center"/>
          </w:tcPr>
          <w:p w14:paraId="73F79A8E" w14:textId="77777777" w:rsidR="00454A29" w:rsidRDefault="00454A29">
            <w:pPr>
              <w:pStyle w:val="ConsPlusNormal"/>
              <w:jc w:val="center"/>
            </w:pPr>
            <w:r>
              <w:t>0,00</w:t>
            </w:r>
          </w:p>
        </w:tc>
      </w:tr>
      <w:tr w:rsidR="00454A29" w14:paraId="11E7D134" w14:textId="77777777">
        <w:tc>
          <w:tcPr>
            <w:tcW w:w="964" w:type="dxa"/>
            <w:vMerge w:val="restart"/>
            <w:vAlign w:val="center"/>
          </w:tcPr>
          <w:p w14:paraId="4D094EB7" w14:textId="77777777" w:rsidR="00454A29" w:rsidRDefault="00454A29">
            <w:pPr>
              <w:pStyle w:val="ConsPlusNormal"/>
              <w:jc w:val="center"/>
            </w:pPr>
            <w:r>
              <w:t>1.</w:t>
            </w:r>
          </w:p>
        </w:tc>
        <w:tc>
          <w:tcPr>
            <w:tcW w:w="2154" w:type="dxa"/>
            <w:vMerge w:val="restart"/>
            <w:tcBorders>
              <w:bottom w:val="nil"/>
            </w:tcBorders>
            <w:vAlign w:val="center"/>
          </w:tcPr>
          <w:p w14:paraId="791DA89B" w14:textId="77777777" w:rsidR="00454A29" w:rsidRDefault="00454A29">
            <w:pPr>
              <w:pStyle w:val="ConsPlusNormal"/>
              <w:jc w:val="center"/>
            </w:pPr>
            <w:r>
              <w:t>Подпрограмма 2</w:t>
            </w:r>
          </w:p>
          <w:p w14:paraId="01DA3241" w14:textId="77777777" w:rsidR="00454A29" w:rsidRDefault="00454A29">
            <w:pPr>
              <w:pStyle w:val="ConsPlusNormal"/>
              <w:jc w:val="center"/>
            </w:pPr>
            <w:r>
              <w:t>"Общее образование. Образование, открытое в будущее"</w:t>
            </w:r>
          </w:p>
        </w:tc>
        <w:tc>
          <w:tcPr>
            <w:tcW w:w="2154" w:type="dxa"/>
            <w:vMerge w:val="restart"/>
            <w:tcBorders>
              <w:bottom w:val="nil"/>
            </w:tcBorders>
            <w:vAlign w:val="center"/>
          </w:tcPr>
          <w:p w14:paraId="2AC6A97A" w14:textId="77777777" w:rsidR="00454A29" w:rsidRDefault="00454A29">
            <w:pPr>
              <w:pStyle w:val="ConsPlusNormal"/>
              <w:jc w:val="center"/>
            </w:pPr>
            <w:r>
              <w:t>Основное мероприятие 2.5. "Реализация регионального проекта "Современная школа"</w:t>
            </w:r>
          </w:p>
        </w:tc>
        <w:tc>
          <w:tcPr>
            <w:tcW w:w="10943" w:type="dxa"/>
            <w:gridSpan w:val="5"/>
            <w:vMerge w:val="restart"/>
            <w:vAlign w:val="center"/>
          </w:tcPr>
          <w:p w14:paraId="22607A34" w14:textId="77777777" w:rsidR="00454A29" w:rsidRDefault="00454A29">
            <w:pPr>
              <w:pStyle w:val="ConsPlusNormal"/>
              <w:jc w:val="center"/>
            </w:pPr>
            <w:r>
              <w:t>ВСЕГО</w:t>
            </w:r>
          </w:p>
        </w:tc>
        <w:tc>
          <w:tcPr>
            <w:tcW w:w="2098" w:type="dxa"/>
            <w:vAlign w:val="center"/>
          </w:tcPr>
          <w:p w14:paraId="6A3CCEF1" w14:textId="77777777" w:rsidR="00454A29" w:rsidRDefault="00454A29">
            <w:pPr>
              <w:pStyle w:val="ConsPlusNormal"/>
              <w:jc w:val="center"/>
            </w:pPr>
            <w:r>
              <w:t>Итого</w:t>
            </w:r>
          </w:p>
        </w:tc>
        <w:tc>
          <w:tcPr>
            <w:tcW w:w="1814" w:type="dxa"/>
            <w:vAlign w:val="center"/>
          </w:tcPr>
          <w:p w14:paraId="39DBDA47" w14:textId="77777777" w:rsidR="00454A29" w:rsidRDefault="00454A29">
            <w:pPr>
              <w:pStyle w:val="ConsPlusNormal"/>
              <w:jc w:val="center"/>
            </w:pPr>
            <w:r>
              <w:t>625,46</w:t>
            </w:r>
          </w:p>
        </w:tc>
        <w:tc>
          <w:tcPr>
            <w:tcW w:w="1701" w:type="dxa"/>
            <w:vAlign w:val="center"/>
          </w:tcPr>
          <w:p w14:paraId="4251B0C2" w14:textId="77777777" w:rsidR="00454A29" w:rsidRDefault="00454A29">
            <w:pPr>
              <w:pStyle w:val="ConsPlusNormal"/>
              <w:jc w:val="center"/>
            </w:pPr>
            <w:r>
              <w:t>991,25</w:t>
            </w:r>
          </w:p>
        </w:tc>
        <w:tc>
          <w:tcPr>
            <w:tcW w:w="1701" w:type="dxa"/>
            <w:vAlign w:val="center"/>
          </w:tcPr>
          <w:p w14:paraId="52F6C995" w14:textId="77777777" w:rsidR="00454A29" w:rsidRDefault="00454A29">
            <w:pPr>
              <w:pStyle w:val="ConsPlusNormal"/>
              <w:jc w:val="center"/>
            </w:pPr>
            <w:r>
              <w:t>1 289,68</w:t>
            </w:r>
          </w:p>
        </w:tc>
        <w:tc>
          <w:tcPr>
            <w:tcW w:w="1701" w:type="dxa"/>
            <w:vAlign w:val="center"/>
          </w:tcPr>
          <w:p w14:paraId="60A0416D" w14:textId="77777777" w:rsidR="00454A29" w:rsidRDefault="00454A29">
            <w:pPr>
              <w:pStyle w:val="ConsPlusNormal"/>
              <w:jc w:val="center"/>
            </w:pPr>
            <w:r>
              <w:t>0,00</w:t>
            </w:r>
          </w:p>
        </w:tc>
        <w:tc>
          <w:tcPr>
            <w:tcW w:w="1701" w:type="dxa"/>
            <w:vAlign w:val="center"/>
          </w:tcPr>
          <w:p w14:paraId="7EFAECCD" w14:textId="77777777" w:rsidR="00454A29" w:rsidRDefault="00454A29">
            <w:pPr>
              <w:pStyle w:val="ConsPlusNormal"/>
              <w:jc w:val="center"/>
            </w:pPr>
            <w:r>
              <w:t>0,00</w:t>
            </w:r>
          </w:p>
        </w:tc>
        <w:tc>
          <w:tcPr>
            <w:tcW w:w="1701" w:type="dxa"/>
            <w:vAlign w:val="center"/>
          </w:tcPr>
          <w:p w14:paraId="7B5B7E7D" w14:textId="77777777" w:rsidR="00454A29" w:rsidRDefault="00454A29">
            <w:pPr>
              <w:pStyle w:val="ConsPlusNormal"/>
              <w:jc w:val="center"/>
            </w:pPr>
            <w:r>
              <w:t>0,00</w:t>
            </w:r>
          </w:p>
        </w:tc>
        <w:tc>
          <w:tcPr>
            <w:tcW w:w="1701" w:type="dxa"/>
            <w:vAlign w:val="center"/>
          </w:tcPr>
          <w:p w14:paraId="001071BB" w14:textId="77777777" w:rsidR="00454A29" w:rsidRDefault="00454A29">
            <w:pPr>
              <w:pStyle w:val="ConsPlusNormal"/>
              <w:jc w:val="center"/>
            </w:pPr>
            <w:r>
              <w:t>0,00</w:t>
            </w:r>
          </w:p>
        </w:tc>
      </w:tr>
      <w:tr w:rsidR="00454A29" w14:paraId="23630467" w14:textId="77777777">
        <w:tc>
          <w:tcPr>
            <w:tcW w:w="964" w:type="dxa"/>
            <w:vMerge/>
          </w:tcPr>
          <w:p w14:paraId="05516933" w14:textId="77777777" w:rsidR="00454A29" w:rsidRDefault="00454A29"/>
        </w:tc>
        <w:tc>
          <w:tcPr>
            <w:tcW w:w="2154" w:type="dxa"/>
            <w:vMerge/>
            <w:tcBorders>
              <w:bottom w:val="nil"/>
            </w:tcBorders>
          </w:tcPr>
          <w:p w14:paraId="1F3D783B" w14:textId="77777777" w:rsidR="00454A29" w:rsidRDefault="00454A29"/>
        </w:tc>
        <w:tc>
          <w:tcPr>
            <w:tcW w:w="2154" w:type="dxa"/>
            <w:vMerge/>
            <w:tcBorders>
              <w:bottom w:val="nil"/>
            </w:tcBorders>
          </w:tcPr>
          <w:p w14:paraId="143A2148" w14:textId="77777777" w:rsidR="00454A29" w:rsidRDefault="00454A29"/>
        </w:tc>
        <w:tc>
          <w:tcPr>
            <w:tcW w:w="10943" w:type="dxa"/>
            <w:gridSpan w:val="5"/>
            <w:vMerge/>
          </w:tcPr>
          <w:p w14:paraId="151B911D" w14:textId="77777777" w:rsidR="00454A29" w:rsidRDefault="00454A29"/>
        </w:tc>
        <w:tc>
          <w:tcPr>
            <w:tcW w:w="2098" w:type="dxa"/>
            <w:vAlign w:val="center"/>
          </w:tcPr>
          <w:p w14:paraId="5D9AC3B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15538745" w14:textId="77777777" w:rsidR="00454A29" w:rsidRDefault="00454A29">
            <w:pPr>
              <w:pStyle w:val="ConsPlusNormal"/>
              <w:jc w:val="center"/>
            </w:pPr>
            <w:r>
              <w:t>625,46</w:t>
            </w:r>
          </w:p>
        </w:tc>
        <w:tc>
          <w:tcPr>
            <w:tcW w:w="1701" w:type="dxa"/>
            <w:vAlign w:val="center"/>
          </w:tcPr>
          <w:p w14:paraId="40792D98" w14:textId="77777777" w:rsidR="00454A29" w:rsidRDefault="00454A29">
            <w:pPr>
              <w:pStyle w:val="ConsPlusNormal"/>
              <w:jc w:val="center"/>
            </w:pPr>
            <w:r>
              <w:t>991,25</w:t>
            </w:r>
          </w:p>
        </w:tc>
        <w:tc>
          <w:tcPr>
            <w:tcW w:w="1701" w:type="dxa"/>
            <w:vAlign w:val="center"/>
          </w:tcPr>
          <w:p w14:paraId="03D6FDA9" w14:textId="77777777" w:rsidR="00454A29" w:rsidRDefault="00454A29">
            <w:pPr>
              <w:pStyle w:val="ConsPlusNormal"/>
              <w:jc w:val="center"/>
            </w:pPr>
            <w:r>
              <w:t>1 289,68</w:t>
            </w:r>
          </w:p>
        </w:tc>
        <w:tc>
          <w:tcPr>
            <w:tcW w:w="1701" w:type="dxa"/>
            <w:vAlign w:val="center"/>
          </w:tcPr>
          <w:p w14:paraId="69CDDCE9" w14:textId="77777777" w:rsidR="00454A29" w:rsidRDefault="00454A29">
            <w:pPr>
              <w:pStyle w:val="ConsPlusNormal"/>
              <w:jc w:val="center"/>
            </w:pPr>
            <w:r>
              <w:t>0,00</w:t>
            </w:r>
          </w:p>
        </w:tc>
        <w:tc>
          <w:tcPr>
            <w:tcW w:w="1701" w:type="dxa"/>
            <w:vAlign w:val="center"/>
          </w:tcPr>
          <w:p w14:paraId="19A0D068" w14:textId="77777777" w:rsidR="00454A29" w:rsidRDefault="00454A29">
            <w:pPr>
              <w:pStyle w:val="ConsPlusNormal"/>
              <w:jc w:val="center"/>
            </w:pPr>
            <w:r>
              <w:t>0,00</w:t>
            </w:r>
          </w:p>
        </w:tc>
        <w:tc>
          <w:tcPr>
            <w:tcW w:w="1701" w:type="dxa"/>
            <w:vAlign w:val="center"/>
          </w:tcPr>
          <w:p w14:paraId="4967DFA0" w14:textId="77777777" w:rsidR="00454A29" w:rsidRDefault="00454A29">
            <w:pPr>
              <w:pStyle w:val="ConsPlusNormal"/>
              <w:jc w:val="center"/>
            </w:pPr>
            <w:r>
              <w:t>0,00</w:t>
            </w:r>
          </w:p>
        </w:tc>
        <w:tc>
          <w:tcPr>
            <w:tcW w:w="1701" w:type="dxa"/>
            <w:vAlign w:val="center"/>
          </w:tcPr>
          <w:p w14:paraId="30FADFA8" w14:textId="77777777" w:rsidR="00454A29" w:rsidRDefault="00454A29">
            <w:pPr>
              <w:pStyle w:val="ConsPlusNormal"/>
              <w:jc w:val="center"/>
            </w:pPr>
            <w:r>
              <w:t>0,00</w:t>
            </w:r>
          </w:p>
        </w:tc>
      </w:tr>
      <w:tr w:rsidR="00454A29" w14:paraId="0D0FB8F1" w14:textId="77777777">
        <w:tc>
          <w:tcPr>
            <w:tcW w:w="964" w:type="dxa"/>
            <w:vMerge/>
          </w:tcPr>
          <w:p w14:paraId="28ACAB20" w14:textId="77777777" w:rsidR="00454A29" w:rsidRDefault="00454A29"/>
        </w:tc>
        <w:tc>
          <w:tcPr>
            <w:tcW w:w="2154" w:type="dxa"/>
            <w:vMerge/>
            <w:tcBorders>
              <w:bottom w:val="nil"/>
            </w:tcBorders>
          </w:tcPr>
          <w:p w14:paraId="032DBDF3" w14:textId="77777777" w:rsidR="00454A29" w:rsidRDefault="00454A29"/>
        </w:tc>
        <w:tc>
          <w:tcPr>
            <w:tcW w:w="2154" w:type="dxa"/>
            <w:vMerge/>
            <w:tcBorders>
              <w:bottom w:val="nil"/>
            </w:tcBorders>
          </w:tcPr>
          <w:p w14:paraId="0CDCC628" w14:textId="77777777" w:rsidR="00454A29" w:rsidRDefault="00454A29"/>
        </w:tc>
        <w:tc>
          <w:tcPr>
            <w:tcW w:w="10943" w:type="dxa"/>
            <w:gridSpan w:val="5"/>
            <w:vMerge/>
          </w:tcPr>
          <w:p w14:paraId="0CAAACD3" w14:textId="77777777" w:rsidR="00454A29" w:rsidRDefault="00454A29"/>
        </w:tc>
        <w:tc>
          <w:tcPr>
            <w:tcW w:w="2098" w:type="dxa"/>
            <w:vAlign w:val="center"/>
          </w:tcPr>
          <w:p w14:paraId="0AB4DF48" w14:textId="77777777" w:rsidR="00454A29" w:rsidRDefault="00454A29">
            <w:pPr>
              <w:pStyle w:val="ConsPlusNormal"/>
              <w:jc w:val="center"/>
            </w:pPr>
            <w:r>
              <w:t>Федеральный бюджет</w:t>
            </w:r>
          </w:p>
        </w:tc>
        <w:tc>
          <w:tcPr>
            <w:tcW w:w="1814" w:type="dxa"/>
            <w:vAlign w:val="center"/>
          </w:tcPr>
          <w:p w14:paraId="57E6800F" w14:textId="77777777" w:rsidR="00454A29" w:rsidRDefault="00454A29">
            <w:pPr>
              <w:pStyle w:val="ConsPlusNormal"/>
              <w:jc w:val="center"/>
            </w:pPr>
            <w:r>
              <w:t>0,00</w:t>
            </w:r>
          </w:p>
        </w:tc>
        <w:tc>
          <w:tcPr>
            <w:tcW w:w="1701" w:type="dxa"/>
            <w:vAlign w:val="center"/>
          </w:tcPr>
          <w:p w14:paraId="40CBAD83" w14:textId="77777777" w:rsidR="00454A29" w:rsidRDefault="00454A29">
            <w:pPr>
              <w:pStyle w:val="ConsPlusNormal"/>
              <w:jc w:val="center"/>
            </w:pPr>
            <w:r>
              <w:t>0,00</w:t>
            </w:r>
          </w:p>
        </w:tc>
        <w:tc>
          <w:tcPr>
            <w:tcW w:w="1701" w:type="dxa"/>
            <w:vAlign w:val="center"/>
          </w:tcPr>
          <w:p w14:paraId="60CC3EA0" w14:textId="77777777" w:rsidR="00454A29" w:rsidRDefault="00454A29">
            <w:pPr>
              <w:pStyle w:val="ConsPlusNormal"/>
              <w:jc w:val="center"/>
            </w:pPr>
            <w:r>
              <w:t>0,00</w:t>
            </w:r>
          </w:p>
        </w:tc>
        <w:tc>
          <w:tcPr>
            <w:tcW w:w="1701" w:type="dxa"/>
            <w:vAlign w:val="center"/>
          </w:tcPr>
          <w:p w14:paraId="168B5745" w14:textId="77777777" w:rsidR="00454A29" w:rsidRDefault="00454A29">
            <w:pPr>
              <w:pStyle w:val="ConsPlusNormal"/>
              <w:jc w:val="center"/>
            </w:pPr>
            <w:r>
              <w:t>0,00</w:t>
            </w:r>
          </w:p>
        </w:tc>
        <w:tc>
          <w:tcPr>
            <w:tcW w:w="1701" w:type="dxa"/>
            <w:vAlign w:val="center"/>
          </w:tcPr>
          <w:p w14:paraId="7A9FAF0E" w14:textId="77777777" w:rsidR="00454A29" w:rsidRDefault="00454A29">
            <w:pPr>
              <w:pStyle w:val="ConsPlusNormal"/>
              <w:jc w:val="center"/>
            </w:pPr>
            <w:r>
              <w:t>0,00</w:t>
            </w:r>
          </w:p>
        </w:tc>
        <w:tc>
          <w:tcPr>
            <w:tcW w:w="1701" w:type="dxa"/>
            <w:vAlign w:val="center"/>
          </w:tcPr>
          <w:p w14:paraId="5B0BA6BE" w14:textId="77777777" w:rsidR="00454A29" w:rsidRDefault="00454A29">
            <w:pPr>
              <w:pStyle w:val="ConsPlusNormal"/>
              <w:jc w:val="center"/>
            </w:pPr>
            <w:r>
              <w:t>0,00</w:t>
            </w:r>
          </w:p>
        </w:tc>
        <w:tc>
          <w:tcPr>
            <w:tcW w:w="1701" w:type="dxa"/>
            <w:vAlign w:val="center"/>
          </w:tcPr>
          <w:p w14:paraId="6908AE33" w14:textId="77777777" w:rsidR="00454A29" w:rsidRDefault="00454A29">
            <w:pPr>
              <w:pStyle w:val="ConsPlusNormal"/>
              <w:jc w:val="center"/>
            </w:pPr>
            <w:r>
              <w:t>0,00</w:t>
            </w:r>
          </w:p>
        </w:tc>
      </w:tr>
      <w:tr w:rsidR="00454A29" w14:paraId="1FDA623C" w14:textId="77777777">
        <w:tc>
          <w:tcPr>
            <w:tcW w:w="964" w:type="dxa"/>
            <w:vMerge/>
          </w:tcPr>
          <w:p w14:paraId="2F36A3EF" w14:textId="77777777" w:rsidR="00454A29" w:rsidRDefault="00454A29"/>
        </w:tc>
        <w:tc>
          <w:tcPr>
            <w:tcW w:w="2154" w:type="dxa"/>
            <w:vMerge/>
            <w:tcBorders>
              <w:bottom w:val="nil"/>
            </w:tcBorders>
          </w:tcPr>
          <w:p w14:paraId="5E3BCC02" w14:textId="77777777" w:rsidR="00454A29" w:rsidRDefault="00454A29"/>
        </w:tc>
        <w:tc>
          <w:tcPr>
            <w:tcW w:w="2154" w:type="dxa"/>
            <w:vMerge/>
            <w:tcBorders>
              <w:bottom w:val="nil"/>
            </w:tcBorders>
          </w:tcPr>
          <w:p w14:paraId="370E4DCE" w14:textId="77777777" w:rsidR="00454A29" w:rsidRDefault="00454A29"/>
        </w:tc>
        <w:tc>
          <w:tcPr>
            <w:tcW w:w="10943" w:type="dxa"/>
            <w:gridSpan w:val="5"/>
            <w:vMerge/>
          </w:tcPr>
          <w:p w14:paraId="3ACBB2F3" w14:textId="77777777" w:rsidR="00454A29" w:rsidRDefault="00454A29"/>
        </w:tc>
        <w:tc>
          <w:tcPr>
            <w:tcW w:w="2098" w:type="dxa"/>
            <w:vAlign w:val="center"/>
          </w:tcPr>
          <w:p w14:paraId="339CE952" w14:textId="77777777" w:rsidR="00454A29" w:rsidRDefault="00454A29">
            <w:pPr>
              <w:pStyle w:val="ConsPlusNormal"/>
              <w:jc w:val="center"/>
            </w:pPr>
            <w:r>
              <w:t>Местные бюджеты</w:t>
            </w:r>
          </w:p>
        </w:tc>
        <w:tc>
          <w:tcPr>
            <w:tcW w:w="1814" w:type="dxa"/>
            <w:vAlign w:val="center"/>
          </w:tcPr>
          <w:p w14:paraId="25AFCED9" w14:textId="77777777" w:rsidR="00454A29" w:rsidRDefault="00454A29">
            <w:pPr>
              <w:pStyle w:val="ConsPlusNormal"/>
              <w:jc w:val="center"/>
            </w:pPr>
            <w:r>
              <w:t>0,00</w:t>
            </w:r>
          </w:p>
        </w:tc>
        <w:tc>
          <w:tcPr>
            <w:tcW w:w="1701" w:type="dxa"/>
            <w:vAlign w:val="center"/>
          </w:tcPr>
          <w:p w14:paraId="649F2F6D" w14:textId="77777777" w:rsidR="00454A29" w:rsidRDefault="00454A29">
            <w:pPr>
              <w:pStyle w:val="ConsPlusNormal"/>
              <w:jc w:val="center"/>
            </w:pPr>
            <w:r>
              <w:t>0,00</w:t>
            </w:r>
          </w:p>
        </w:tc>
        <w:tc>
          <w:tcPr>
            <w:tcW w:w="1701" w:type="dxa"/>
            <w:vAlign w:val="center"/>
          </w:tcPr>
          <w:p w14:paraId="49EB4535" w14:textId="77777777" w:rsidR="00454A29" w:rsidRDefault="00454A29">
            <w:pPr>
              <w:pStyle w:val="ConsPlusNormal"/>
              <w:jc w:val="center"/>
            </w:pPr>
            <w:r>
              <w:t>0,00</w:t>
            </w:r>
          </w:p>
        </w:tc>
        <w:tc>
          <w:tcPr>
            <w:tcW w:w="1701" w:type="dxa"/>
            <w:vAlign w:val="center"/>
          </w:tcPr>
          <w:p w14:paraId="61CAEF93" w14:textId="77777777" w:rsidR="00454A29" w:rsidRDefault="00454A29">
            <w:pPr>
              <w:pStyle w:val="ConsPlusNormal"/>
              <w:jc w:val="center"/>
            </w:pPr>
            <w:r>
              <w:t>0,00</w:t>
            </w:r>
          </w:p>
        </w:tc>
        <w:tc>
          <w:tcPr>
            <w:tcW w:w="1701" w:type="dxa"/>
            <w:vAlign w:val="center"/>
          </w:tcPr>
          <w:p w14:paraId="4155B4C4" w14:textId="77777777" w:rsidR="00454A29" w:rsidRDefault="00454A29">
            <w:pPr>
              <w:pStyle w:val="ConsPlusNormal"/>
              <w:jc w:val="center"/>
            </w:pPr>
            <w:r>
              <w:t>0,00</w:t>
            </w:r>
          </w:p>
        </w:tc>
        <w:tc>
          <w:tcPr>
            <w:tcW w:w="1701" w:type="dxa"/>
            <w:vAlign w:val="center"/>
          </w:tcPr>
          <w:p w14:paraId="10049F4B" w14:textId="77777777" w:rsidR="00454A29" w:rsidRDefault="00454A29">
            <w:pPr>
              <w:pStyle w:val="ConsPlusNormal"/>
              <w:jc w:val="center"/>
            </w:pPr>
            <w:r>
              <w:t>0,00</w:t>
            </w:r>
          </w:p>
        </w:tc>
        <w:tc>
          <w:tcPr>
            <w:tcW w:w="1701" w:type="dxa"/>
            <w:vAlign w:val="center"/>
          </w:tcPr>
          <w:p w14:paraId="1C5FBCCA" w14:textId="77777777" w:rsidR="00454A29" w:rsidRDefault="00454A29">
            <w:pPr>
              <w:pStyle w:val="ConsPlusNormal"/>
              <w:jc w:val="center"/>
            </w:pPr>
            <w:r>
              <w:t>0,00</w:t>
            </w:r>
          </w:p>
        </w:tc>
      </w:tr>
      <w:tr w:rsidR="00454A29" w14:paraId="7DE41214" w14:textId="77777777">
        <w:tc>
          <w:tcPr>
            <w:tcW w:w="964" w:type="dxa"/>
            <w:vMerge/>
          </w:tcPr>
          <w:p w14:paraId="17F74AE7" w14:textId="77777777" w:rsidR="00454A29" w:rsidRDefault="00454A29"/>
        </w:tc>
        <w:tc>
          <w:tcPr>
            <w:tcW w:w="2154" w:type="dxa"/>
            <w:vMerge/>
            <w:tcBorders>
              <w:bottom w:val="nil"/>
            </w:tcBorders>
          </w:tcPr>
          <w:p w14:paraId="05012EC1" w14:textId="77777777" w:rsidR="00454A29" w:rsidRDefault="00454A29"/>
        </w:tc>
        <w:tc>
          <w:tcPr>
            <w:tcW w:w="2154" w:type="dxa"/>
            <w:vMerge/>
            <w:tcBorders>
              <w:bottom w:val="nil"/>
            </w:tcBorders>
          </w:tcPr>
          <w:p w14:paraId="196B4362" w14:textId="77777777" w:rsidR="00454A29" w:rsidRDefault="00454A29"/>
        </w:tc>
        <w:tc>
          <w:tcPr>
            <w:tcW w:w="10943" w:type="dxa"/>
            <w:gridSpan w:val="5"/>
            <w:vMerge/>
          </w:tcPr>
          <w:p w14:paraId="4304D2F4" w14:textId="77777777" w:rsidR="00454A29" w:rsidRDefault="00454A29"/>
        </w:tc>
        <w:tc>
          <w:tcPr>
            <w:tcW w:w="2098" w:type="dxa"/>
            <w:vAlign w:val="center"/>
          </w:tcPr>
          <w:p w14:paraId="2B1DB801" w14:textId="77777777" w:rsidR="00454A29" w:rsidRDefault="00454A29">
            <w:pPr>
              <w:pStyle w:val="ConsPlusNormal"/>
              <w:jc w:val="center"/>
            </w:pPr>
            <w:r>
              <w:t>Внебюджетные средства</w:t>
            </w:r>
          </w:p>
        </w:tc>
        <w:tc>
          <w:tcPr>
            <w:tcW w:w="1814" w:type="dxa"/>
            <w:vAlign w:val="center"/>
          </w:tcPr>
          <w:p w14:paraId="2E28BE47" w14:textId="77777777" w:rsidR="00454A29" w:rsidRDefault="00454A29">
            <w:pPr>
              <w:pStyle w:val="ConsPlusNormal"/>
              <w:jc w:val="center"/>
            </w:pPr>
            <w:r>
              <w:t>0,00</w:t>
            </w:r>
          </w:p>
        </w:tc>
        <w:tc>
          <w:tcPr>
            <w:tcW w:w="1701" w:type="dxa"/>
            <w:vAlign w:val="center"/>
          </w:tcPr>
          <w:p w14:paraId="6C18814F" w14:textId="77777777" w:rsidR="00454A29" w:rsidRDefault="00454A29">
            <w:pPr>
              <w:pStyle w:val="ConsPlusNormal"/>
              <w:jc w:val="center"/>
            </w:pPr>
            <w:r>
              <w:t>0,00</w:t>
            </w:r>
          </w:p>
        </w:tc>
        <w:tc>
          <w:tcPr>
            <w:tcW w:w="1701" w:type="dxa"/>
            <w:vAlign w:val="center"/>
          </w:tcPr>
          <w:p w14:paraId="03259389" w14:textId="77777777" w:rsidR="00454A29" w:rsidRDefault="00454A29">
            <w:pPr>
              <w:pStyle w:val="ConsPlusNormal"/>
              <w:jc w:val="center"/>
            </w:pPr>
            <w:r>
              <w:t>0,00</w:t>
            </w:r>
          </w:p>
        </w:tc>
        <w:tc>
          <w:tcPr>
            <w:tcW w:w="1701" w:type="dxa"/>
            <w:vAlign w:val="center"/>
          </w:tcPr>
          <w:p w14:paraId="5399AE88" w14:textId="77777777" w:rsidR="00454A29" w:rsidRDefault="00454A29">
            <w:pPr>
              <w:pStyle w:val="ConsPlusNormal"/>
              <w:jc w:val="center"/>
            </w:pPr>
            <w:r>
              <w:t>0,00</w:t>
            </w:r>
          </w:p>
        </w:tc>
        <w:tc>
          <w:tcPr>
            <w:tcW w:w="1701" w:type="dxa"/>
            <w:vAlign w:val="center"/>
          </w:tcPr>
          <w:p w14:paraId="49C9875A" w14:textId="77777777" w:rsidR="00454A29" w:rsidRDefault="00454A29">
            <w:pPr>
              <w:pStyle w:val="ConsPlusNormal"/>
              <w:jc w:val="center"/>
            </w:pPr>
            <w:r>
              <w:t>0,00</w:t>
            </w:r>
          </w:p>
        </w:tc>
        <w:tc>
          <w:tcPr>
            <w:tcW w:w="1701" w:type="dxa"/>
            <w:vAlign w:val="center"/>
          </w:tcPr>
          <w:p w14:paraId="535A6069" w14:textId="77777777" w:rsidR="00454A29" w:rsidRDefault="00454A29">
            <w:pPr>
              <w:pStyle w:val="ConsPlusNormal"/>
              <w:jc w:val="center"/>
            </w:pPr>
            <w:r>
              <w:t>0,00</w:t>
            </w:r>
          </w:p>
        </w:tc>
        <w:tc>
          <w:tcPr>
            <w:tcW w:w="1701" w:type="dxa"/>
            <w:vAlign w:val="center"/>
          </w:tcPr>
          <w:p w14:paraId="4D317861" w14:textId="77777777" w:rsidR="00454A29" w:rsidRDefault="00454A29">
            <w:pPr>
              <w:pStyle w:val="ConsPlusNormal"/>
              <w:jc w:val="center"/>
            </w:pPr>
            <w:r>
              <w:t>0,00</w:t>
            </w:r>
          </w:p>
        </w:tc>
      </w:tr>
      <w:tr w:rsidR="00454A29" w14:paraId="0CEEA72A" w14:textId="77777777">
        <w:tc>
          <w:tcPr>
            <w:tcW w:w="964" w:type="dxa"/>
            <w:vMerge w:val="restart"/>
            <w:vAlign w:val="center"/>
          </w:tcPr>
          <w:p w14:paraId="3196783C" w14:textId="77777777" w:rsidR="00454A29" w:rsidRDefault="00454A29">
            <w:pPr>
              <w:pStyle w:val="ConsPlusNormal"/>
              <w:jc w:val="center"/>
            </w:pPr>
            <w:r>
              <w:t>1.1.</w:t>
            </w:r>
          </w:p>
        </w:tc>
        <w:tc>
          <w:tcPr>
            <w:tcW w:w="2154" w:type="dxa"/>
            <w:vMerge/>
            <w:tcBorders>
              <w:bottom w:val="nil"/>
            </w:tcBorders>
          </w:tcPr>
          <w:p w14:paraId="748F7015" w14:textId="77777777" w:rsidR="00454A29" w:rsidRDefault="00454A29"/>
        </w:tc>
        <w:tc>
          <w:tcPr>
            <w:tcW w:w="2154" w:type="dxa"/>
            <w:vMerge/>
            <w:tcBorders>
              <w:bottom w:val="nil"/>
            </w:tcBorders>
          </w:tcPr>
          <w:p w14:paraId="3DCBD11C" w14:textId="77777777" w:rsidR="00454A29" w:rsidRDefault="00454A29"/>
        </w:tc>
        <w:tc>
          <w:tcPr>
            <w:tcW w:w="2665" w:type="dxa"/>
            <w:vMerge w:val="restart"/>
            <w:vAlign w:val="center"/>
          </w:tcPr>
          <w:p w14:paraId="4F220633" w14:textId="77777777" w:rsidR="00454A29" w:rsidRDefault="00454A29">
            <w:pPr>
              <w:pStyle w:val="ConsPlusNormal"/>
              <w:jc w:val="center"/>
            </w:pPr>
            <w:r>
              <w:t>Результат 1. Создана (обновлена) материально-техническая база для реализации основных и дополнительных общеобразовательных программ цифрового</w:t>
            </w:r>
          </w:p>
          <w:p w14:paraId="6754A300" w14:textId="77777777" w:rsidR="00454A29" w:rsidRDefault="00454A29">
            <w:pPr>
              <w:pStyle w:val="ConsPlusNormal"/>
              <w:jc w:val="center"/>
            </w:pPr>
            <w:r>
              <w:lastRenderedPageBreak/>
              <w:t>и гуманитарного профилей в общеобразовательных организациях, расположенных в сельской местности и малых городах</w:t>
            </w:r>
          </w:p>
        </w:tc>
        <w:tc>
          <w:tcPr>
            <w:tcW w:w="2665" w:type="dxa"/>
            <w:vMerge w:val="restart"/>
            <w:vAlign w:val="center"/>
          </w:tcPr>
          <w:p w14:paraId="34FE13FD" w14:textId="77777777" w:rsidR="00454A29" w:rsidRDefault="00454A29">
            <w:pPr>
              <w:pStyle w:val="ConsPlusNormal"/>
              <w:jc w:val="center"/>
            </w:pPr>
            <w:r>
              <w:lastRenderedPageBreak/>
              <w:t xml:space="preserve">Мероприятие 2.5.1. Создание (обновление) материально-технической базы для реализации основных и дополнительных общеобразовательных </w:t>
            </w:r>
            <w:r>
              <w:lastRenderedPageBreak/>
              <w:t>программ цифрового</w:t>
            </w:r>
          </w:p>
          <w:p w14:paraId="12519459" w14:textId="77777777" w:rsidR="00454A29" w:rsidRDefault="00454A29">
            <w:pPr>
              <w:pStyle w:val="ConsPlusNormal"/>
              <w:jc w:val="center"/>
            </w:pPr>
            <w:r>
              <w:t>и гуманитарного профилей в общеобразовательных организациях, расположенных в сельской местности и малых городах</w:t>
            </w:r>
          </w:p>
        </w:tc>
        <w:tc>
          <w:tcPr>
            <w:tcW w:w="1928" w:type="dxa"/>
            <w:vMerge w:val="restart"/>
            <w:vAlign w:val="center"/>
          </w:tcPr>
          <w:p w14:paraId="5EB4E017" w14:textId="77777777" w:rsidR="00454A29" w:rsidRDefault="00454A29">
            <w:pPr>
              <w:pStyle w:val="ConsPlusNormal"/>
              <w:jc w:val="center"/>
            </w:pPr>
            <w:r>
              <w:lastRenderedPageBreak/>
              <w:t>-</w:t>
            </w:r>
          </w:p>
        </w:tc>
        <w:tc>
          <w:tcPr>
            <w:tcW w:w="1644" w:type="dxa"/>
            <w:vMerge w:val="restart"/>
            <w:vAlign w:val="center"/>
          </w:tcPr>
          <w:p w14:paraId="5C05B050" w14:textId="77777777" w:rsidR="00454A29" w:rsidRDefault="00454A29">
            <w:pPr>
              <w:pStyle w:val="ConsPlusNormal"/>
              <w:jc w:val="center"/>
            </w:pPr>
            <w:r>
              <w:t>-</w:t>
            </w:r>
          </w:p>
        </w:tc>
        <w:tc>
          <w:tcPr>
            <w:tcW w:w="2041" w:type="dxa"/>
            <w:vMerge w:val="restart"/>
            <w:vAlign w:val="center"/>
          </w:tcPr>
          <w:p w14:paraId="6149E4B9" w14:textId="77777777" w:rsidR="00454A29" w:rsidRDefault="00454A29">
            <w:pPr>
              <w:pStyle w:val="ConsPlusNormal"/>
              <w:jc w:val="center"/>
            </w:pPr>
            <w:r>
              <w:t>-</w:t>
            </w:r>
          </w:p>
        </w:tc>
        <w:tc>
          <w:tcPr>
            <w:tcW w:w="2098" w:type="dxa"/>
            <w:vAlign w:val="center"/>
          </w:tcPr>
          <w:p w14:paraId="6AD86A1E" w14:textId="77777777" w:rsidR="00454A29" w:rsidRDefault="00454A29">
            <w:pPr>
              <w:pStyle w:val="ConsPlusNormal"/>
              <w:jc w:val="center"/>
            </w:pPr>
            <w:r>
              <w:t>Итого</w:t>
            </w:r>
          </w:p>
        </w:tc>
        <w:tc>
          <w:tcPr>
            <w:tcW w:w="1814" w:type="dxa"/>
            <w:vAlign w:val="center"/>
          </w:tcPr>
          <w:p w14:paraId="0B6BE3BB" w14:textId="77777777" w:rsidR="00454A29" w:rsidRDefault="00454A29">
            <w:pPr>
              <w:pStyle w:val="ConsPlusNormal"/>
              <w:jc w:val="center"/>
            </w:pPr>
            <w:r>
              <w:t>469,16</w:t>
            </w:r>
          </w:p>
        </w:tc>
        <w:tc>
          <w:tcPr>
            <w:tcW w:w="1701" w:type="dxa"/>
            <w:vAlign w:val="center"/>
          </w:tcPr>
          <w:p w14:paraId="450C46E3" w14:textId="77777777" w:rsidR="00454A29" w:rsidRDefault="00454A29">
            <w:pPr>
              <w:pStyle w:val="ConsPlusNormal"/>
              <w:jc w:val="center"/>
            </w:pPr>
            <w:r>
              <w:t>845,21</w:t>
            </w:r>
          </w:p>
        </w:tc>
        <w:tc>
          <w:tcPr>
            <w:tcW w:w="1701" w:type="dxa"/>
            <w:vAlign w:val="center"/>
          </w:tcPr>
          <w:p w14:paraId="03085706" w14:textId="77777777" w:rsidR="00454A29" w:rsidRDefault="00454A29">
            <w:pPr>
              <w:pStyle w:val="ConsPlusNormal"/>
              <w:jc w:val="center"/>
            </w:pPr>
            <w:r>
              <w:t>1 131,94</w:t>
            </w:r>
          </w:p>
        </w:tc>
        <w:tc>
          <w:tcPr>
            <w:tcW w:w="1701" w:type="dxa"/>
            <w:vAlign w:val="center"/>
          </w:tcPr>
          <w:p w14:paraId="71FF2B83" w14:textId="77777777" w:rsidR="00454A29" w:rsidRDefault="00454A29">
            <w:pPr>
              <w:pStyle w:val="ConsPlusNormal"/>
              <w:jc w:val="center"/>
            </w:pPr>
            <w:r>
              <w:t>0,00</w:t>
            </w:r>
          </w:p>
        </w:tc>
        <w:tc>
          <w:tcPr>
            <w:tcW w:w="1701" w:type="dxa"/>
            <w:vAlign w:val="center"/>
          </w:tcPr>
          <w:p w14:paraId="6535327B" w14:textId="77777777" w:rsidR="00454A29" w:rsidRDefault="00454A29">
            <w:pPr>
              <w:pStyle w:val="ConsPlusNormal"/>
              <w:jc w:val="center"/>
            </w:pPr>
            <w:r>
              <w:t>0,00</w:t>
            </w:r>
          </w:p>
        </w:tc>
        <w:tc>
          <w:tcPr>
            <w:tcW w:w="1701" w:type="dxa"/>
            <w:vAlign w:val="center"/>
          </w:tcPr>
          <w:p w14:paraId="44DE8D32" w14:textId="77777777" w:rsidR="00454A29" w:rsidRDefault="00454A29">
            <w:pPr>
              <w:pStyle w:val="ConsPlusNormal"/>
              <w:jc w:val="center"/>
            </w:pPr>
            <w:r>
              <w:t>0,00</w:t>
            </w:r>
          </w:p>
        </w:tc>
        <w:tc>
          <w:tcPr>
            <w:tcW w:w="1701" w:type="dxa"/>
            <w:vAlign w:val="center"/>
          </w:tcPr>
          <w:p w14:paraId="28DBA250" w14:textId="77777777" w:rsidR="00454A29" w:rsidRDefault="00454A29">
            <w:pPr>
              <w:pStyle w:val="ConsPlusNormal"/>
              <w:jc w:val="center"/>
            </w:pPr>
            <w:r>
              <w:t>0,00</w:t>
            </w:r>
          </w:p>
        </w:tc>
      </w:tr>
      <w:tr w:rsidR="00454A29" w14:paraId="2E4A7921" w14:textId="77777777">
        <w:tc>
          <w:tcPr>
            <w:tcW w:w="964" w:type="dxa"/>
            <w:vMerge/>
          </w:tcPr>
          <w:p w14:paraId="3A8FB067" w14:textId="77777777" w:rsidR="00454A29" w:rsidRDefault="00454A29"/>
        </w:tc>
        <w:tc>
          <w:tcPr>
            <w:tcW w:w="2154" w:type="dxa"/>
            <w:vMerge/>
            <w:tcBorders>
              <w:bottom w:val="nil"/>
            </w:tcBorders>
          </w:tcPr>
          <w:p w14:paraId="356F3776" w14:textId="77777777" w:rsidR="00454A29" w:rsidRDefault="00454A29"/>
        </w:tc>
        <w:tc>
          <w:tcPr>
            <w:tcW w:w="2154" w:type="dxa"/>
            <w:vMerge/>
            <w:tcBorders>
              <w:bottom w:val="nil"/>
            </w:tcBorders>
          </w:tcPr>
          <w:p w14:paraId="06AF6DC2" w14:textId="77777777" w:rsidR="00454A29" w:rsidRDefault="00454A29"/>
        </w:tc>
        <w:tc>
          <w:tcPr>
            <w:tcW w:w="2665" w:type="dxa"/>
            <w:vMerge/>
          </w:tcPr>
          <w:p w14:paraId="13124E52" w14:textId="77777777" w:rsidR="00454A29" w:rsidRDefault="00454A29"/>
        </w:tc>
        <w:tc>
          <w:tcPr>
            <w:tcW w:w="2665" w:type="dxa"/>
            <w:vMerge/>
          </w:tcPr>
          <w:p w14:paraId="40536506" w14:textId="77777777" w:rsidR="00454A29" w:rsidRDefault="00454A29"/>
        </w:tc>
        <w:tc>
          <w:tcPr>
            <w:tcW w:w="1928" w:type="dxa"/>
            <w:vMerge/>
          </w:tcPr>
          <w:p w14:paraId="5A576AB9" w14:textId="77777777" w:rsidR="00454A29" w:rsidRDefault="00454A29"/>
        </w:tc>
        <w:tc>
          <w:tcPr>
            <w:tcW w:w="1644" w:type="dxa"/>
            <w:vMerge/>
          </w:tcPr>
          <w:p w14:paraId="66A62959" w14:textId="77777777" w:rsidR="00454A29" w:rsidRDefault="00454A29"/>
        </w:tc>
        <w:tc>
          <w:tcPr>
            <w:tcW w:w="2041" w:type="dxa"/>
            <w:vMerge/>
          </w:tcPr>
          <w:p w14:paraId="0F8D3BFD" w14:textId="77777777" w:rsidR="00454A29" w:rsidRDefault="00454A29"/>
        </w:tc>
        <w:tc>
          <w:tcPr>
            <w:tcW w:w="2098" w:type="dxa"/>
            <w:vAlign w:val="center"/>
          </w:tcPr>
          <w:p w14:paraId="384307AB"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E89EBC8" w14:textId="77777777" w:rsidR="00454A29" w:rsidRDefault="00454A29">
            <w:pPr>
              <w:pStyle w:val="ConsPlusNormal"/>
              <w:jc w:val="center"/>
            </w:pPr>
            <w:r>
              <w:t>469,16</w:t>
            </w:r>
          </w:p>
        </w:tc>
        <w:tc>
          <w:tcPr>
            <w:tcW w:w="1701" w:type="dxa"/>
            <w:vAlign w:val="center"/>
          </w:tcPr>
          <w:p w14:paraId="0C274E7F" w14:textId="77777777" w:rsidR="00454A29" w:rsidRDefault="00454A29">
            <w:pPr>
              <w:pStyle w:val="ConsPlusNormal"/>
              <w:jc w:val="center"/>
            </w:pPr>
            <w:r>
              <w:t>845,21</w:t>
            </w:r>
          </w:p>
        </w:tc>
        <w:tc>
          <w:tcPr>
            <w:tcW w:w="1701" w:type="dxa"/>
            <w:vAlign w:val="center"/>
          </w:tcPr>
          <w:p w14:paraId="5AFB14E8" w14:textId="77777777" w:rsidR="00454A29" w:rsidRDefault="00454A29">
            <w:pPr>
              <w:pStyle w:val="ConsPlusNormal"/>
              <w:jc w:val="center"/>
            </w:pPr>
            <w:r>
              <w:t>1 131,94</w:t>
            </w:r>
          </w:p>
        </w:tc>
        <w:tc>
          <w:tcPr>
            <w:tcW w:w="1701" w:type="dxa"/>
            <w:vAlign w:val="center"/>
          </w:tcPr>
          <w:p w14:paraId="6D5E0004" w14:textId="77777777" w:rsidR="00454A29" w:rsidRDefault="00454A29">
            <w:pPr>
              <w:pStyle w:val="ConsPlusNormal"/>
              <w:jc w:val="center"/>
            </w:pPr>
            <w:r>
              <w:t>0,00</w:t>
            </w:r>
          </w:p>
        </w:tc>
        <w:tc>
          <w:tcPr>
            <w:tcW w:w="1701" w:type="dxa"/>
            <w:vAlign w:val="center"/>
          </w:tcPr>
          <w:p w14:paraId="4A337D55" w14:textId="77777777" w:rsidR="00454A29" w:rsidRDefault="00454A29">
            <w:pPr>
              <w:pStyle w:val="ConsPlusNormal"/>
              <w:jc w:val="center"/>
            </w:pPr>
            <w:r>
              <w:t>0,00</w:t>
            </w:r>
          </w:p>
        </w:tc>
        <w:tc>
          <w:tcPr>
            <w:tcW w:w="1701" w:type="dxa"/>
            <w:vAlign w:val="center"/>
          </w:tcPr>
          <w:p w14:paraId="345C04AA" w14:textId="77777777" w:rsidR="00454A29" w:rsidRDefault="00454A29">
            <w:pPr>
              <w:pStyle w:val="ConsPlusNormal"/>
              <w:jc w:val="center"/>
            </w:pPr>
            <w:r>
              <w:t>0,00</w:t>
            </w:r>
          </w:p>
        </w:tc>
        <w:tc>
          <w:tcPr>
            <w:tcW w:w="1701" w:type="dxa"/>
            <w:vAlign w:val="center"/>
          </w:tcPr>
          <w:p w14:paraId="492BBEFB" w14:textId="77777777" w:rsidR="00454A29" w:rsidRDefault="00454A29">
            <w:pPr>
              <w:pStyle w:val="ConsPlusNormal"/>
              <w:jc w:val="center"/>
            </w:pPr>
            <w:r>
              <w:t>0,00</w:t>
            </w:r>
          </w:p>
        </w:tc>
      </w:tr>
      <w:tr w:rsidR="00454A29" w14:paraId="5B1467B6" w14:textId="77777777">
        <w:tc>
          <w:tcPr>
            <w:tcW w:w="964" w:type="dxa"/>
            <w:vMerge/>
          </w:tcPr>
          <w:p w14:paraId="7A15A793" w14:textId="77777777" w:rsidR="00454A29" w:rsidRDefault="00454A29"/>
        </w:tc>
        <w:tc>
          <w:tcPr>
            <w:tcW w:w="2154" w:type="dxa"/>
            <w:vMerge/>
            <w:tcBorders>
              <w:bottom w:val="nil"/>
            </w:tcBorders>
          </w:tcPr>
          <w:p w14:paraId="2BCAA246" w14:textId="77777777" w:rsidR="00454A29" w:rsidRDefault="00454A29"/>
        </w:tc>
        <w:tc>
          <w:tcPr>
            <w:tcW w:w="2154" w:type="dxa"/>
            <w:vMerge/>
            <w:tcBorders>
              <w:bottom w:val="nil"/>
            </w:tcBorders>
          </w:tcPr>
          <w:p w14:paraId="17C01240" w14:textId="77777777" w:rsidR="00454A29" w:rsidRDefault="00454A29"/>
        </w:tc>
        <w:tc>
          <w:tcPr>
            <w:tcW w:w="2665" w:type="dxa"/>
            <w:vMerge/>
          </w:tcPr>
          <w:p w14:paraId="3E88EB48" w14:textId="77777777" w:rsidR="00454A29" w:rsidRDefault="00454A29"/>
        </w:tc>
        <w:tc>
          <w:tcPr>
            <w:tcW w:w="2665" w:type="dxa"/>
            <w:vMerge/>
          </w:tcPr>
          <w:p w14:paraId="25B6EE51" w14:textId="77777777" w:rsidR="00454A29" w:rsidRDefault="00454A29"/>
        </w:tc>
        <w:tc>
          <w:tcPr>
            <w:tcW w:w="1928" w:type="dxa"/>
            <w:vMerge/>
          </w:tcPr>
          <w:p w14:paraId="75E16600" w14:textId="77777777" w:rsidR="00454A29" w:rsidRDefault="00454A29"/>
        </w:tc>
        <w:tc>
          <w:tcPr>
            <w:tcW w:w="1644" w:type="dxa"/>
            <w:vMerge/>
          </w:tcPr>
          <w:p w14:paraId="63130044" w14:textId="77777777" w:rsidR="00454A29" w:rsidRDefault="00454A29"/>
        </w:tc>
        <w:tc>
          <w:tcPr>
            <w:tcW w:w="2041" w:type="dxa"/>
            <w:vMerge/>
          </w:tcPr>
          <w:p w14:paraId="6AFE0AB1" w14:textId="77777777" w:rsidR="00454A29" w:rsidRDefault="00454A29"/>
        </w:tc>
        <w:tc>
          <w:tcPr>
            <w:tcW w:w="2098" w:type="dxa"/>
            <w:vAlign w:val="center"/>
          </w:tcPr>
          <w:p w14:paraId="2EED07E9" w14:textId="77777777" w:rsidR="00454A29" w:rsidRDefault="00454A29">
            <w:pPr>
              <w:pStyle w:val="ConsPlusNormal"/>
              <w:jc w:val="center"/>
            </w:pPr>
            <w:r>
              <w:t>Федеральный бюджет</w:t>
            </w:r>
          </w:p>
        </w:tc>
        <w:tc>
          <w:tcPr>
            <w:tcW w:w="1814" w:type="dxa"/>
            <w:vAlign w:val="center"/>
          </w:tcPr>
          <w:p w14:paraId="565546CA" w14:textId="77777777" w:rsidR="00454A29" w:rsidRDefault="00454A29">
            <w:pPr>
              <w:pStyle w:val="ConsPlusNormal"/>
              <w:jc w:val="center"/>
            </w:pPr>
            <w:r>
              <w:t>0,00</w:t>
            </w:r>
          </w:p>
        </w:tc>
        <w:tc>
          <w:tcPr>
            <w:tcW w:w="1701" w:type="dxa"/>
            <w:vAlign w:val="center"/>
          </w:tcPr>
          <w:p w14:paraId="2089A8B9" w14:textId="77777777" w:rsidR="00454A29" w:rsidRDefault="00454A29">
            <w:pPr>
              <w:pStyle w:val="ConsPlusNormal"/>
              <w:jc w:val="center"/>
            </w:pPr>
            <w:r>
              <w:t>0,00</w:t>
            </w:r>
          </w:p>
        </w:tc>
        <w:tc>
          <w:tcPr>
            <w:tcW w:w="1701" w:type="dxa"/>
            <w:vAlign w:val="center"/>
          </w:tcPr>
          <w:p w14:paraId="5C1A85EA" w14:textId="77777777" w:rsidR="00454A29" w:rsidRDefault="00454A29">
            <w:pPr>
              <w:pStyle w:val="ConsPlusNormal"/>
              <w:jc w:val="center"/>
            </w:pPr>
            <w:r>
              <w:t>0,00</w:t>
            </w:r>
          </w:p>
        </w:tc>
        <w:tc>
          <w:tcPr>
            <w:tcW w:w="1701" w:type="dxa"/>
            <w:vAlign w:val="center"/>
          </w:tcPr>
          <w:p w14:paraId="00905181" w14:textId="77777777" w:rsidR="00454A29" w:rsidRDefault="00454A29">
            <w:pPr>
              <w:pStyle w:val="ConsPlusNormal"/>
              <w:jc w:val="center"/>
            </w:pPr>
            <w:r>
              <w:t>0,00</w:t>
            </w:r>
          </w:p>
        </w:tc>
        <w:tc>
          <w:tcPr>
            <w:tcW w:w="1701" w:type="dxa"/>
            <w:vAlign w:val="center"/>
          </w:tcPr>
          <w:p w14:paraId="3B938021" w14:textId="77777777" w:rsidR="00454A29" w:rsidRDefault="00454A29">
            <w:pPr>
              <w:pStyle w:val="ConsPlusNormal"/>
              <w:jc w:val="center"/>
            </w:pPr>
            <w:r>
              <w:t>0,00</w:t>
            </w:r>
          </w:p>
        </w:tc>
        <w:tc>
          <w:tcPr>
            <w:tcW w:w="1701" w:type="dxa"/>
            <w:vAlign w:val="center"/>
          </w:tcPr>
          <w:p w14:paraId="24A749A8" w14:textId="77777777" w:rsidR="00454A29" w:rsidRDefault="00454A29">
            <w:pPr>
              <w:pStyle w:val="ConsPlusNormal"/>
              <w:jc w:val="center"/>
            </w:pPr>
            <w:r>
              <w:t>0,00</w:t>
            </w:r>
          </w:p>
        </w:tc>
        <w:tc>
          <w:tcPr>
            <w:tcW w:w="1701" w:type="dxa"/>
            <w:vAlign w:val="center"/>
          </w:tcPr>
          <w:p w14:paraId="40C184E7" w14:textId="77777777" w:rsidR="00454A29" w:rsidRDefault="00454A29">
            <w:pPr>
              <w:pStyle w:val="ConsPlusNormal"/>
              <w:jc w:val="center"/>
            </w:pPr>
            <w:r>
              <w:t>0,00</w:t>
            </w:r>
          </w:p>
        </w:tc>
      </w:tr>
      <w:tr w:rsidR="00454A29" w14:paraId="275BD73B" w14:textId="77777777">
        <w:tc>
          <w:tcPr>
            <w:tcW w:w="964" w:type="dxa"/>
            <w:vMerge/>
          </w:tcPr>
          <w:p w14:paraId="38DB8A22" w14:textId="77777777" w:rsidR="00454A29" w:rsidRDefault="00454A29"/>
        </w:tc>
        <w:tc>
          <w:tcPr>
            <w:tcW w:w="2154" w:type="dxa"/>
            <w:vMerge/>
            <w:tcBorders>
              <w:bottom w:val="nil"/>
            </w:tcBorders>
          </w:tcPr>
          <w:p w14:paraId="594F0C19" w14:textId="77777777" w:rsidR="00454A29" w:rsidRDefault="00454A29"/>
        </w:tc>
        <w:tc>
          <w:tcPr>
            <w:tcW w:w="2154" w:type="dxa"/>
            <w:vMerge/>
            <w:tcBorders>
              <w:bottom w:val="nil"/>
            </w:tcBorders>
          </w:tcPr>
          <w:p w14:paraId="488FFB71" w14:textId="77777777" w:rsidR="00454A29" w:rsidRDefault="00454A29"/>
        </w:tc>
        <w:tc>
          <w:tcPr>
            <w:tcW w:w="2665" w:type="dxa"/>
            <w:vMerge/>
          </w:tcPr>
          <w:p w14:paraId="56ADE827" w14:textId="77777777" w:rsidR="00454A29" w:rsidRDefault="00454A29"/>
        </w:tc>
        <w:tc>
          <w:tcPr>
            <w:tcW w:w="2665" w:type="dxa"/>
            <w:vMerge/>
          </w:tcPr>
          <w:p w14:paraId="68B012A8" w14:textId="77777777" w:rsidR="00454A29" w:rsidRDefault="00454A29"/>
        </w:tc>
        <w:tc>
          <w:tcPr>
            <w:tcW w:w="1928" w:type="dxa"/>
            <w:vMerge/>
          </w:tcPr>
          <w:p w14:paraId="45C8A5DA" w14:textId="77777777" w:rsidR="00454A29" w:rsidRDefault="00454A29"/>
        </w:tc>
        <w:tc>
          <w:tcPr>
            <w:tcW w:w="1644" w:type="dxa"/>
            <w:vMerge/>
          </w:tcPr>
          <w:p w14:paraId="3D8F6879" w14:textId="77777777" w:rsidR="00454A29" w:rsidRDefault="00454A29"/>
        </w:tc>
        <w:tc>
          <w:tcPr>
            <w:tcW w:w="2041" w:type="dxa"/>
            <w:vMerge/>
          </w:tcPr>
          <w:p w14:paraId="41A7C059" w14:textId="77777777" w:rsidR="00454A29" w:rsidRDefault="00454A29"/>
        </w:tc>
        <w:tc>
          <w:tcPr>
            <w:tcW w:w="2098" w:type="dxa"/>
            <w:vAlign w:val="center"/>
          </w:tcPr>
          <w:p w14:paraId="5B8B00BB" w14:textId="77777777" w:rsidR="00454A29" w:rsidRDefault="00454A29">
            <w:pPr>
              <w:pStyle w:val="ConsPlusNormal"/>
              <w:jc w:val="center"/>
            </w:pPr>
            <w:r>
              <w:t>Местные бюджеты</w:t>
            </w:r>
          </w:p>
        </w:tc>
        <w:tc>
          <w:tcPr>
            <w:tcW w:w="1814" w:type="dxa"/>
            <w:vAlign w:val="center"/>
          </w:tcPr>
          <w:p w14:paraId="7EA7DD12" w14:textId="77777777" w:rsidR="00454A29" w:rsidRDefault="00454A29">
            <w:pPr>
              <w:pStyle w:val="ConsPlusNormal"/>
              <w:jc w:val="center"/>
            </w:pPr>
            <w:r>
              <w:t>0,00</w:t>
            </w:r>
          </w:p>
        </w:tc>
        <w:tc>
          <w:tcPr>
            <w:tcW w:w="1701" w:type="dxa"/>
            <w:vAlign w:val="center"/>
          </w:tcPr>
          <w:p w14:paraId="08D90543" w14:textId="77777777" w:rsidR="00454A29" w:rsidRDefault="00454A29">
            <w:pPr>
              <w:pStyle w:val="ConsPlusNormal"/>
              <w:jc w:val="center"/>
            </w:pPr>
            <w:r>
              <w:t>0,00</w:t>
            </w:r>
          </w:p>
        </w:tc>
        <w:tc>
          <w:tcPr>
            <w:tcW w:w="1701" w:type="dxa"/>
            <w:vAlign w:val="center"/>
          </w:tcPr>
          <w:p w14:paraId="08AB896D" w14:textId="77777777" w:rsidR="00454A29" w:rsidRDefault="00454A29">
            <w:pPr>
              <w:pStyle w:val="ConsPlusNormal"/>
              <w:jc w:val="center"/>
            </w:pPr>
            <w:r>
              <w:t>0,00</w:t>
            </w:r>
          </w:p>
        </w:tc>
        <w:tc>
          <w:tcPr>
            <w:tcW w:w="1701" w:type="dxa"/>
            <w:vAlign w:val="center"/>
          </w:tcPr>
          <w:p w14:paraId="37C3C2E9" w14:textId="77777777" w:rsidR="00454A29" w:rsidRDefault="00454A29">
            <w:pPr>
              <w:pStyle w:val="ConsPlusNormal"/>
              <w:jc w:val="center"/>
            </w:pPr>
            <w:r>
              <w:t>0,00</w:t>
            </w:r>
          </w:p>
        </w:tc>
        <w:tc>
          <w:tcPr>
            <w:tcW w:w="1701" w:type="dxa"/>
            <w:vAlign w:val="center"/>
          </w:tcPr>
          <w:p w14:paraId="6C1933D7" w14:textId="77777777" w:rsidR="00454A29" w:rsidRDefault="00454A29">
            <w:pPr>
              <w:pStyle w:val="ConsPlusNormal"/>
              <w:jc w:val="center"/>
            </w:pPr>
            <w:r>
              <w:t>0,00</w:t>
            </w:r>
          </w:p>
        </w:tc>
        <w:tc>
          <w:tcPr>
            <w:tcW w:w="1701" w:type="dxa"/>
            <w:vAlign w:val="center"/>
          </w:tcPr>
          <w:p w14:paraId="1DE6BF16" w14:textId="77777777" w:rsidR="00454A29" w:rsidRDefault="00454A29">
            <w:pPr>
              <w:pStyle w:val="ConsPlusNormal"/>
              <w:jc w:val="center"/>
            </w:pPr>
            <w:r>
              <w:t>0,00</w:t>
            </w:r>
          </w:p>
        </w:tc>
        <w:tc>
          <w:tcPr>
            <w:tcW w:w="1701" w:type="dxa"/>
            <w:vAlign w:val="center"/>
          </w:tcPr>
          <w:p w14:paraId="383D6BC3" w14:textId="77777777" w:rsidR="00454A29" w:rsidRDefault="00454A29">
            <w:pPr>
              <w:pStyle w:val="ConsPlusNormal"/>
              <w:jc w:val="center"/>
            </w:pPr>
            <w:r>
              <w:t>0,00</w:t>
            </w:r>
          </w:p>
        </w:tc>
      </w:tr>
      <w:tr w:rsidR="00454A29" w14:paraId="0952EDA1" w14:textId="77777777">
        <w:tc>
          <w:tcPr>
            <w:tcW w:w="964" w:type="dxa"/>
            <w:vMerge/>
          </w:tcPr>
          <w:p w14:paraId="095CBF8A" w14:textId="77777777" w:rsidR="00454A29" w:rsidRDefault="00454A29"/>
        </w:tc>
        <w:tc>
          <w:tcPr>
            <w:tcW w:w="2154" w:type="dxa"/>
            <w:vMerge/>
            <w:tcBorders>
              <w:bottom w:val="nil"/>
            </w:tcBorders>
          </w:tcPr>
          <w:p w14:paraId="462CC116" w14:textId="77777777" w:rsidR="00454A29" w:rsidRDefault="00454A29"/>
        </w:tc>
        <w:tc>
          <w:tcPr>
            <w:tcW w:w="2154" w:type="dxa"/>
            <w:vMerge/>
            <w:tcBorders>
              <w:bottom w:val="nil"/>
            </w:tcBorders>
          </w:tcPr>
          <w:p w14:paraId="3DF84C6C" w14:textId="77777777" w:rsidR="00454A29" w:rsidRDefault="00454A29"/>
        </w:tc>
        <w:tc>
          <w:tcPr>
            <w:tcW w:w="2665" w:type="dxa"/>
            <w:vMerge/>
          </w:tcPr>
          <w:p w14:paraId="7998A67E" w14:textId="77777777" w:rsidR="00454A29" w:rsidRDefault="00454A29"/>
        </w:tc>
        <w:tc>
          <w:tcPr>
            <w:tcW w:w="2665" w:type="dxa"/>
            <w:vMerge/>
          </w:tcPr>
          <w:p w14:paraId="7038391D" w14:textId="77777777" w:rsidR="00454A29" w:rsidRDefault="00454A29"/>
        </w:tc>
        <w:tc>
          <w:tcPr>
            <w:tcW w:w="1928" w:type="dxa"/>
            <w:vMerge/>
          </w:tcPr>
          <w:p w14:paraId="37F40BCA" w14:textId="77777777" w:rsidR="00454A29" w:rsidRDefault="00454A29"/>
        </w:tc>
        <w:tc>
          <w:tcPr>
            <w:tcW w:w="1644" w:type="dxa"/>
            <w:vMerge/>
          </w:tcPr>
          <w:p w14:paraId="287520C5" w14:textId="77777777" w:rsidR="00454A29" w:rsidRDefault="00454A29"/>
        </w:tc>
        <w:tc>
          <w:tcPr>
            <w:tcW w:w="2041" w:type="dxa"/>
            <w:vMerge/>
          </w:tcPr>
          <w:p w14:paraId="3076FDFC" w14:textId="77777777" w:rsidR="00454A29" w:rsidRDefault="00454A29"/>
        </w:tc>
        <w:tc>
          <w:tcPr>
            <w:tcW w:w="2098" w:type="dxa"/>
            <w:vAlign w:val="center"/>
          </w:tcPr>
          <w:p w14:paraId="5FFA6CE9" w14:textId="77777777" w:rsidR="00454A29" w:rsidRDefault="00454A29">
            <w:pPr>
              <w:pStyle w:val="ConsPlusNormal"/>
              <w:jc w:val="center"/>
            </w:pPr>
            <w:r>
              <w:t>Внебюджетные средства</w:t>
            </w:r>
          </w:p>
        </w:tc>
        <w:tc>
          <w:tcPr>
            <w:tcW w:w="1814" w:type="dxa"/>
            <w:vAlign w:val="center"/>
          </w:tcPr>
          <w:p w14:paraId="2531019C" w14:textId="77777777" w:rsidR="00454A29" w:rsidRDefault="00454A29">
            <w:pPr>
              <w:pStyle w:val="ConsPlusNormal"/>
              <w:jc w:val="center"/>
            </w:pPr>
            <w:r>
              <w:t>0,00</w:t>
            </w:r>
          </w:p>
        </w:tc>
        <w:tc>
          <w:tcPr>
            <w:tcW w:w="1701" w:type="dxa"/>
            <w:vAlign w:val="center"/>
          </w:tcPr>
          <w:p w14:paraId="641784C7" w14:textId="77777777" w:rsidR="00454A29" w:rsidRDefault="00454A29">
            <w:pPr>
              <w:pStyle w:val="ConsPlusNormal"/>
              <w:jc w:val="center"/>
            </w:pPr>
            <w:r>
              <w:t>0,00</w:t>
            </w:r>
          </w:p>
        </w:tc>
        <w:tc>
          <w:tcPr>
            <w:tcW w:w="1701" w:type="dxa"/>
            <w:vAlign w:val="center"/>
          </w:tcPr>
          <w:p w14:paraId="754DAE97" w14:textId="77777777" w:rsidR="00454A29" w:rsidRDefault="00454A29">
            <w:pPr>
              <w:pStyle w:val="ConsPlusNormal"/>
              <w:jc w:val="center"/>
            </w:pPr>
            <w:r>
              <w:t>0,00</w:t>
            </w:r>
          </w:p>
        </w:tc>
        <w:tc>
          <w:tcPr>
            <w:tcW w:w="1701" w:type="dxa"/>
            <w:vAlign w:val="center"/>
          </w:tcPr>
          <w:p w14:paraId="402FD110" w14:textId="77777777" w:rsidR="00454A29" w:rsidRDefault="00454A29">
            <w:pPr>
              <w:pStyle w:val="ConsPlusNormal"/>
              <w:jc w:val="center"/>
            </w:pPr>
            <w:r>
              <w:t>0,00</w:t>
            </w:r>
          </w:p>
        </w:tc>
        <w:tc>
          <w:tcPr>
            <w:tcW w:w="1701" w:type="dxa"/>
            <w:vAlign w:val="center"/>
          </w:tcPr>
          <w:p w14:paraId="0574368C" w14:textId="77777777" w:rsidR="00454A29" w:rsidRDefault="00454A29">
            <w:pPr>
              <w:pStyle w:val="ConsPlusNormal"/>
              <w:jc w:val="center"/>
            </w:pPr>
            <w:r>
              <w:t>0,00</w:t>
            </w:r>
          </w:p>
        </w:tc>
        <w:tc>
          <w:tcPr>
            <w:tcW w:w="1701" w:type="dxa"/>
            <w:vAlign w:val="center"/>
          </w:tcPr>
          <w:p w14:paraId="565D4345" w14:textId="77777777" w:rsidR="00454A29" w:rsidRDefault="00454A29">
            <w:pPr>
              <w:pStyle w:val="ConsPlusNormal"/>
              <w:jc w:val="center"/>
            </w:pPr>
            <w:r>
              <w:t>0,00</w:t>
            </w:r>
          </w:p>
        </w:tc>
        <w:tc>
          <w:tcPr>
            <w:tcW w:w="1701" w:type="dxa"/>
            <w:vAlign w:val="center"/>
          </w:tcPr>
          <w:p w14:paraId="52EA8090" w14:textId="77777777" w:rsidR="00454A29" w:rsidRDefault="00454A29">
            <w:pPr>
              <w:pStyle w:val="ConsPlusNormal"/>
              <w:jc w:val="center"/>
            </w:pPr>
            <w:r>
              <w:t>0,00</w:t>
            </w:r>
          </w:p>
        </w:tc>
      </w:tr>
      <w:tr w:rsidR="00454A29" w14:paraId="0E165D90" w14:textId="77777777">
        <w:tc>
          <w:tcPr>
            <w:tcW w:w="964" w:type="dxa"/>
            <w:vMerge w:val="restart"/>
            <w:vAlign w:val="center"/>
          </w:tcPr>
          <w:p w14:paraId="4D7300BF" w14:textId="77777777" w:rsidR="00454A29" w:rsidRDefault="00454A29">
            <w:pPr>
              <w:pStyle w:val="ConsPlusNormal"/>
              <w:jc w:val="center"/>
            </w:pPr>
            <w:r>
              <w:t>1.2.</w:t>
            </w:r>
          </w:p>
        </w:tc>
        <w:tc>
          <w:tcPr>
            <w:tcW w:w="2154" w:type="dxa"/>
            <w:vMerge w:val="restart"/>
            <w:tcBorders>
              <w:top w:val="nil"/>
              <w:bottom w:val="nil"/>
            </w:tcBorders>
            <w:vAlign w:val="center"/>
          </w:tcPr>
          <w:p w14:paraId="4FF06F42" w14:textId="77777777" w:rsidR="00454A29" w:rsidRDefault="00454A29">
            <w:pPr>
              <w:pStyle w:val="ConsPlusNormal"/>
            </w:pPr>
          </w:p>
        </w:tc>
        <w:tc>
          <w:tcPr>
            <w:tcW w:w="2154" w:type="dxa"/>
            <w:vMerge w:val="restart"/>
            <w:tcBorders>
              <w:top w:val="nil"/>
              <w:bottom w:val="nil"/>
            </w:tcBorders>
            <w:vAlign w:val="center"/>
          </w:tcPr>
          <w:p w14:paraId="55E928F1" w14:textId="77777777" w:rsidR="00454A29" w:rsidRDefault="00454A29">
            <w:pPr>
              <w:pStyle w:val="ConsPlusNormal"/>
            </w:pPr>
          </w:p>
        </w:tc>
        <w:tc>
          <w:tcPr>
            <w:tcW w:w="2665" w:type="dxa"/>
            <w:vMerge w:val="restart"/>
            <w:vAlign w:val="center"/>
          </w:tcPr>
          <w:p w14:paraId="6CD489F4" w14:textId="77777777" w:rsidR="00454A29" w:rsidRDefault="00454A29">
            <w:pPr>
              <w:pStyle w:val="ConsPlusNormal"/>
              <w:jc w:val="center"/>
            </w:pPr>
            <w:r>
              <w:t>Результат 2. Внедрена разработанная на федеральном уровне методология наставничества обучающихся в 70% школ, в том числе между обучающимися и привлечением представителей работодателей к этой деятельности в 2024 году</w:t>
            </w:r>
          </w:p>
        </w:tc>
        <w:tc>
          <w:tcPr>
            <w:tcW w:w="2665" w:type="dxa"/>
            <w:vMerge w:val="restart"/>
            <w:vAlign w:val="center"/>
          </w:tcPr>
          <w:p w14:paraId="30BD3EC4" w14:textId="77777777" w:rsidR="00454A29" w:rsidRDefault="00454A29">
            <w:pPr>
              <w:pStyle w:val="ConsPlusNormal"/>
              <w:jc w:val="center"/>
            </w:pPr>
            <w:r>
              <w:t>Мероприятие 2.5.2. Внедрение разработанной на федеральном уровне методологии наставничества обучающихся в 70% школ, в том числе между обучающимися и привлечением представителей работодателей к этой деятельности в 2024 году</w:t>
            </w:r>
          </w:p>
        </w:tc>
        <w:tc>
          <w:tcPr>
            <w:tcW w:w="1928" w:type="dxa"/>
            <w:vMerge w:val="restart"/>
            <w:vAlign w:val="center"/>
          </w:tcPr>
          <w:p w14:paraId="671DB90C" w14:textId="77777777" w:rsidR="00454A29" w:rsidRDefault="00454A29">
            <w:pPr>
              <w:pStyle w:val="ConsPlusNormal"/>
              <w:jc w:val="center"/>
            </w:pPr>
            <w:r>
              <w:t>-</w:t>
            </w:r>
          </w:p>
        </w:tc>
        <w:tc>
          <w:tcPr>
            <w:tcW w:w="1644" w:type="dxa"/>
            <w:vMerge w:val="restart"/>
            <w:vAlign w:val="center"/>
          </w:tcPr>
          <w:p w14:paraId="7A50E503" w14:textId="77777777" w:rsidR="00454A29" w:rsidRDefault="00454A29">
            <w:pPr>
              <w:pStyle w:val="ConsPlusNormal"/>
              <w:jc w:val="center"/>
            </w:pPr>
            <w:r>
              <w:t>-</w:t>
            </w:r>
          </w:p>
        </w:tc>
        <w:tc>
          <w:tcPr>
            <w:tcW w:w="2041" w:type="dxa"/>
            <w:vMerge w:val="restart"/>
            <w:vAlign w:val="center"/>
          </w:tcPr>
          <w:p w14:paraId="0C6E9443" w14:textId="77777777" w:rsidR="00454A29" w:rsidRDefault="00454A29">
            <w:pPr>
              <w:pStyle w:val="ConsPlusNormal"/>
              <w:jc w:val="center"/>
            </w:pPr>
            <w:r>
              <w:t>-</w:t>
            </w:r>
          </w:p>
        </w:tc>
        <w:tc>
          <w:tcPr>
            <w:tcW w:w="2098" w:type="dxa"/>
            <w:vAlign w:val="center"/>
          </w:tcPr>
          <w:p w14:paraId="093A7EAC" w14:textId="77777777" w:rsidR="00454A29" w:rsidRDefault="00454A29">
            <w:pPr>
              <w:pStyle w:val="ConsPlusNormal"/>
              <w:jc w:val="center"/>
            </w:pPr>
            <w:r>
              <w:t>Итого</w:t>
            </w:r>
          </w:p>
        </w:tc>
        <w:tc>
          <w:tcPr>
            <w:tcW w:w="1814" w:type="dxa"/>
            <w:vAlign w:val="center"/>
          </w:tcPr>
          <w:p w14:paraId="241A4608" w14:textId="77777777" w:rsidR="00454A29" w:rsidRDefault="00454A29">
            <w:pPr>
              <w:pStyle w:val="ConsPlusNormal"/>
              <w:jc w:val="center"/>
            </w:pPr>
            <w:r>
              <w:t>0,00</w:t>
            </w:r>
          </w:p>
        </w:tc>
        <w:tc>
          <w:tcPr>
            <w:tcW w:w="1701" w:type="dxa"/>
            <w:vAlign w:val="center"/>
          </w:tcPr>
          <w:p w14:paraId="1EFD6791" w14:textId="77777777" w:rsidR="00454A29" w:rsidRDefault="00454A29">
            <w:pPr>
              <w:pStyle w:val="ConsPlusNormal"/>
              <w:jc w:val="center"/>
            </w:pPr>
            <w:r>
              <w:t>0,00</w:t>
            </w:r>
          </w:p>
        </w:tc>
        <w:tc>
          <w:tcPr>
            <w:tcW w:w="1701" w:type="dxa"/>
            <w:vAlign w:val="center"/>
          </w:tcPr>
          <w:p w14:paraId="7A7AE42A" w14:textId="77777777" w:rsidR="00454A29" w:rsidRDefault="00454A29">
            <w:pPr>
              <w:pStyle w:val="ConsPlusNormal"/>
              <w:jc w:val="center"/>
            </w:pPr>
            <w:r>
              <w:t>0,00</w:t>
            </w:r>
          </w:p>
        </w:tc>
        <w:tc>
          <w:tcPr>
            <w:tcW w:w="1701" w:type="dxa"/>
            <w:vAlign w:val="center"/>
          </w:tcPr>
          <w:p w14:paraId="57900BD4" w14:textId="77777777" w:rsidR="00454A29" w:rsidRDefault="00454A29">
            <w:pPr>
              <w:pStyle w:val="ConsPlusNormal"/>
              <w:jc w:val="center"/>
            </w:pPr>
            <w:r>
              <w:t>0,00</w:t>
            </w:r>
          </w:p>
        </w:tc>
        <w:tc>
          <w:tcPr>
            <w:tcW w:w="1701" w:type="dxa"/>
            <w:vAlign w:val="center"/>
          </w:tcPr>
          <w:p w14:paraId="4C22A57F" w14:textId="77777777" w:rsidR="00454A29" w:rsidRDefault="00454A29">
            <w:pPr>
              <w:pStyle w:val="ConsPlusNormal"/>
              <w:jc w:val="center"/>
            </w:pPr>
            <w:r>
              <w:t>0,00</w:t>
            </w:r>
          </w:p>
        </w:tc>
        <w:tc>
          <w:tcPr>
            <w:tcW w:w="1701" w:type="dxa"/>
            <w:vAlign w:val="center"/>
          </w:tcPr>
          <w:p w14:paraId="6833DF09" w14:textId="77777777" w:rsidR="00454A29" w:rsidRDefault="00454A29">
            <w:pPr>
              <w:pStyle w:val="ConsPlusNormal"/>
              <w:jc w:val="center"/>
            </w:pPr>
            <w:r>
              <w:t>0,00</w:t>
            </w:r>
          </w:p>
        </w:tc>
        <w:tc>
          <w:tcPr>
            <w:tcW w:w="1701" w:type="dxa"/>
            <w:vAlign w:val="center"/>
          </w:tcPr>
          <w:p w14:paraId="29005DAC" w14:textId="77777777" w:rsidR="00454A29" w:rsidRDefault="00454A29">
            <w:pPr>
              <w:pStyle w:val="ConsPlusNormal"/>
              <w:jc w:val="center"/>
            </w:pPr>
            <w:r>
              <w:t>0,00</w:t>
            </w:r>
          </w:p>
        </w:tc>
      </w:tr>
      <w:tr w:rsidR="00454A29" w14:paraId="2F321CDD" w14:textId="77777777">
        <w:tc>
          <w:tcPr>
            <w:tcW w:w="964" w:type="dxa"/>
            <w:vMerge/>
          </w:tcPr>
          <w:p w14:paraId="0B101B22" w14:textId="77777777" w:rsidR="00454A29" w:rsidRDefault="00454A29"/>
        </w:tc>
        <w:tc>
          <w:tcPr>
            <w:tcW w:w="2154" w:type="dxa"/>
            <w:vMerge/>
            <w:tcBorders>
              <w:top w:val="nil"/>
              <w:bottom w:val="nil"/>
            </w:tcBorders>
          </w:tcPr>
          <w:p w14:paraId="03ED9536" w14:textId="77777777" w:rsidR="00454A29" w:rsidRDefault="00454A29"/>
        </w:tc>
        <w:tc>
          <w:tcPr>
            <w:tcW w:w="2154" w:type="dxa"/>
            <w:vMerge/>
            <w:tcBorders>
              <w:top w:val="nil"/>
              <w:bottom w:val="nil"/>
            </w:tcBorders>
          </w:tcPr>
          <w:p w14:paraId="4C81F263" w14:textId="77777777" w:rsidR="00454A29" w:rsidRDefault="00454A29"/>
        </w:tc>
        <w:tc>
          <w:tcPr>
            <w:tcW w:w="2665" w:type="dxa"/>
            <w:vMerge/>
          </w:tcPr>
          <w:p w14:paraId="303C9B87" w14:textId="77777777" w:rsidR="00454A29" w:rsidRDefault="00454A29"/>
        </w:tc>
        <w:tc>
          <w:tcPr>
            <w:tcW w:w="2665" w:type="dxa"/>
            <w:vMerge/>
          </w:tcPr>
          <w:p w14:paraId="20276289" w14:textId="77777777" w:rsidR="00454A29" w:rsidRDefault="00454A29"/>
        </w:tc>
        <w:tc>
          <w:tcPr>
            <w:tcW w:w="1928" w:type="dxa"/>
            <w:vMerge/>
          </w:tcPr>
          <w:p w14:paraId="21FBE91A" w14:textId="77777777" w:rsidR="00454A29" w:rsidRDefault="00454A29"/>
        </w:tc>
        <w:tc>
          <w:tcPr>
            <w:tcW w:w="1644" w:type="dxa"/>
            <w:vMerge/>
          </w:tcPr>
          <w:p w14:paraId="582A6149" w14:textId="77777777" w:rsidR="00454A29" w:rsidRDefault="00454A29"/>
        </w:tc>
        <w:tc>
          <w:tcPr>
            <w:tcW w:w="2041" w:type="dxa"/>
            <w:vMerge/>
          </w:tcPr>
          <w:p w14:paraId="6CE31B5D" w14:textId="77777777" w:rsidR="00454A29" w:rsidRDefault="00454A29"/>
        </w:tc>
        <w:tc>
          <w:tcPr>
            <w:tcW w:w="2098" w:type="dxa"/>
            <w:vAlign w:val="center"/>
          </w:tcPr>
          <w:p w14:paraId="5F9DA390"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D98B0FE" w14:textId="77777777" w:rsidR="00454A29" w:rsidRDefault="00454A29">
            <w:pPr>
              <w:pStyle w:val="ConsPlusNormal"/>
              <w:jc w:val="center"/>
            </w:pPr>
            <w:r>
              <w:t>0,00</w:t>
            </w:r>
          </w:p>
        </w:tc>
        <w:tc>
          <w:tcPr>
            <w:tcW w:w="1701" w:type="dxa"/>
            <w:vAlign w:val="center"/>
          </w:tcPr>
          <w:p w14:paraId="25CAC669" w14:textId="77777777" w:rsidR="00454A29" w:rsidRDefault="00454A29">
            <w:pPr>
              <w:pStyle w:val="ConsPlusNormal"/>
              <w:jc w:val="center"/>
            </w:pPr>
            <w:r>
              <w:t>0,00</w:t>
            </w:r>
          </w:p>
        </w:tc>
        <w:tc>
          <w:tcPr>
            <w:tcW w:w="1701" w:type="dxa"/>
            <w:vAlign w:val="center"/>
          </w:tcPr>
          <w:p w14:paraId="6F2A5E38" w14:textId="77777777" w:rsidR="00454A29" w:rsidRDefault="00454A29">
            <w:pPr>
              <w:pStyle w:val="ConsPlusNormal"/>
              <w:jc w:val="center"/>
            </w:pPr>
            <w:r>
              <w:t>0,00</w:t>
            </w:r>
          </w:p>
        </w:tc>
        <w:tc>
          <w:tcPr>
            <w:tcW w:w="1701" w:type="dxa"/>
            <w:vAlign w:val="center"/>
          </w:tcPr>
          <w:p w14:paraId="476D6D66" w14:textId="77777777" w:rsidR="00454A29" w:rsidRDefault="00454A29">
            <w:pPr>
              <w:pStyle w:val="ConsPlusNormal"/>
              <w:jc w:val="center"/>
            </w:pPr>
            <w:r>
              <w:t>0,00</w:t>
            </w:r>
          </w:p>
        </w:tc>
        <w:tc>
          <w:tcPr>
            <w:tcW w:w="1701" w:type="dxa"/>
            <w:vAlign w:val="center"/>
          </w:tcPr>
          <w:p w14:paraId="4C0AC0FD" w14:textId="77777777" w:rsidR="00454A29" w:rsidRDefault="00454A29">
            <w:pPr>
              <w:pStyle w:val="ConsPlusNormal"/>
              <w:jc w:val="center"/>
            </w:pPr>
            <w:r>
              <w:t>0,00</w:t>
            </w:r>
          </w:p>
        </w:tc>
        <w:tc>
          <w:tcPr>
            <w:tcW w:w="1701" w:type="dxa"/>
            <w:vAlign w:val="center"/>
          </w:tcPr>
          <w:p w14:paraId="539A8911" w14:textId="77777777" w:rsidR="00454A29" w:rsidRDefault="00454A29">
            <w:pPr>
              <w:pStyle w:val="ConsPlusNormal"/>
              <w:jc w:val="center"/>
            </w:pPr>
            <w:r>
              <w:t>0,00</w:t>
            </w:r>
          </w:p>
        </w:tc>
        <w:tc>
          <w:tcPr>
            <w:tcW w:w="1701" w:type="dxa"/>
            <w:vAlign w:val="center"/>
          </w:tcPr>
          <w:p w14:paraId="6A89453D" w14:textId="77777777" w:rsidR="00454A29" w:rsidRDefault="00454A29">
            <w:pPr>
              <w:pStyle w:val="ConsPlusNormal"/>
              <w:jc w:val="center"/>
            </w:pPr>
            <w:r>
              <w:t>0,00</w:t>
            </w:r>
          </w:p>
        </w:tc>
      </w:tr>
      <w:tr w:rsidR="00454A29" w14:paraId="68088157" w14:textId="77777777">
        <w:tc>
          <w:tcPr>
            <w:tcW w:w="964" w:type="dxa"/>
            <w:vMerge/>
          </w:tcPr>
          <w:p w14:paraId="308A0CBF" w14:textId="77777777" w:rsidR="00454A29" w:rsidRDefault="00454A29"/>
        </w:tc>
        <w:tc>
          <w:tcPr>
            <w:tcW w:w="2154" w:type="dxa"/>
            <w:vMerge/>
            <w:tcBorders>
              <w:top w:val="nil"/>
              <w:bottom w:val="nil"/>
            </w:tcBorders>
          </w:tcPr>
          <w:p w14:paraId="3B17D9A6" w14:textId="77777777" w:rsidR="00454A29" w:rsidRDefault="00454A29"/>
        </w:tc>
        <w:tc>
          <w:tcPr>
            <w:tcW w:w="2154" w:type="dxa"/>
            <w:vMerge/>
            <w:tcBorders>
              <w:top w:val="nil"/>
              <w:bottom w:val="nil"/>
            </w:tcBorders>
          </w:tcPr>
          <w:p w14:paraId="1D057C1D" w14:textId="77777777" w:rsidR="00454A29" w:rsidRDefault="00454A29"/>
        </w:tc>
        <w:tc>
          <w:tcPr>
            <w:tcW w:w="2665" w:type="dxa"/>
            <w:vMerge/>
          </w:tcPr>
          <w:p w14:paraId="767730F6" w14:textId="77777777" w:rsidR="00454A29" w:rsidRDefault="00454A29"/>
        </w:tc>
        <w:tc>
          <w:tcPr>
            <w:tcW w:w="2665" w:type="dxa"/>
            <w:vMerge/>
          </w:tcPr>
          <w:p w14:paraId="559E31B2" w14:textId="77777777" w:rsidR="00454A29" w:rsidRDefault="00454A29"/>
        </w:tc>
        <w:tc>
          <w:tcPr>
            <w:tcW w:w="1928" w:type="dxa"/>
            <w:vMerge/>
          </w:tcPr>
          <w:p w14:paraId="30E55BE5" w14:textId="77777777" w:rsidR="00454A29" w:rsidRDefault="00454A29"/>
        </w:tc>
        <w:tc>
          <w:tcPr>
            <w:tcW w:w="1644" w:type="dxa"/>
            <w:vMerge/>
          </w:tcPr>
          <w:p w14:paraId="6A033F0C" w14:textId="77777777" w:rsidR="00454A29" w:rsidRDefault="00454A29"/>
        </w:tc>
        <w:tc>
          <w:tcPr>
            <w:tcW w:w="2041" w:type="dxa"/>
            <w:vMerge/>
          </w:tcPr>
          <w:p w14:paraId="1996ADEA" w14:textId="77777777" w:rsidR="00454A29" w:rsidRDefault="00454A29"/>
        </w:tc>
        <w:tc>
          <w:tcPr>
            <w:tcW w:w="2098" w:type="dxa"/>
            <w:vAlign w:val="center"/>
          </w:tcPr>
          <w:p w14:paraId="449ABBD4" w14:textId="77777777" w:rsidR="00454A29" w:rsidRDefault="00454A29">
            <w:pPr>
              <w:pStyle w:val="ConsPlusNormal"/>
              <w:jc w:val="center"/>
            </w:pPr>
            <w:r>
              <w:t>Федеральный бюджет</w:t>
            </w:r>
          </w:p>
        </w:tc>
        <w:tc>
          <w:tcPr>
            <w:tcW w:w="1814" w:type="dxa"/>
            <w:vAlign w:val="center"/>
          </w:tcPr>
          <w:p w14:paraId="7F249B57" w14:textId="77777777" w:rsidR="00454A29" w:rsidRDefault="00454A29">
            <w:pPr>
              <w:pStyle w:val="ConsPlusNormal"/>
              <w:jc w:val="center"/>
            </w:pPr>
            <w:r>
              <w:t>0,00</w:t>
            </w:r>
          </w:p>
        </w:tc>
        <w:tc>
          <w:tcPr>
            <w:tcW w:w="1701" w:type="dxa"/>
            <w:vAlign w:val="center"/>
          </w:tcPr>
          <w:p w14:paraId="3A6844F4" w14:textId="77777777" w:rsidR="00454A29" w:rsidRDefault="00454A29">
            <w:pPr>
              <w:pStyle w:val="ConsPlusNormal"/>
              <w:jc w:val="center"/>
            </w:pPr>
            <w:r>
              <w:t>0,00</w:t>
            </w:r>
          </w:p>
        </w:tc>
        <w:tc>
          <w:tcPr>
            <w:tcW w:w="1701" w:type="dxa"/>
            <w:vAlign w:val="center"/>
          </w:tcPr>
          <w:p w14:paraId="4D2A114B" w14:textId="77777777" w:rsidR="00454A29" w:rsidRDefault="00454A29">
            <w:pPr>
              <w:pStyle w:val="ConsPlusNormal"/>
              <w:jc w:val="center"/>
            </w:pPr>
            <w:r>
              <w:t>0,00</w:t>
            </w:r>
          </w:p>
        </w:tc>
        <w:tc>
          <w:tcPr>
            <w:tcW w:w="1701" w:type="dxa"/>
            <w:vAlign w:val="center"/>
          </w:tcPr>
          <w:p w14:paraId="61E63D1D" w14:textId="77777777" w:rsidR="00454A29" w:rsidRDefault="00454A29">
            <w:pPr>
              <w:pStyle w:val="ConsPlusNormal"/>
              <w:jc w:val="center"/>
            </w:pPr>
            <w:r>
              <w:t>0,00</w:t>
            </w:r>
          </w:p>
        </w:tc>
        <w:tc>
          <w:tcPr>
            <w:tcW w:w="1701" w:type="dxa"/>
            <w:vAlign w:val="center"/>
          </w:tcPr>
          <w:p w14:paraId="58C37DB1" w14:textId="77777777" w:rsidR="00454A29" w:rsidRDefault="00454A29">
            <w:pPr>
              <w:pStyle w:val="ConsPlusNormal"/>
              <w:jc w:val="center"/>
            </w:pPr>
            <w:r>
              <w:t>0,00</w:t>
            </w:r>
          </w:p>
        </w:tc>
        <w:tc>
          <w:tcPr>
            <w:tcW w:w="1701" w:type="dxa"/>
            <w:vAlign w:val="center"/>
          </w:tcPr>
          <w:p w14:paraId="5EB9C850" w14:textId="77777777" w:rsidR="00454A29" w:rsidRDefault="00454A29">
            <w:pPr>
              <w:pStyle w:val="ConsPlusNormal"/>
              <w:jc w:val="center"/>
            </w:pPr>
            <w:r>
              <w:t>0,00</w:t>
            </w:r>
          </w:p>
        </w:tc>
        <w:tc>
          <w:tcPr>
            <w:tcW w:w="1701" w:type="dxa"/>
            <w:vAlign w:val="center"/>
          </w:tcPr>
          <w:p w14:paraId="18469D2D" w14:textId="77777777" w:rsidR="00454A29" w:rsidRDefault="00454A29">
            <w:pPr>
              <w:pStyle w:val="ConsPlusNormal"/>
              <w:jc w:val="center"/>
            </w:pPr>
            <w:r>
              <w:t>0,00</w:t>
            </w:r>
          </w:p>
        </w:tc>
      </w:tr>
      <w:tr w:rsidR="00454A29" w14:paraId="4AFECAAD" w14:textId="77777777">
        <w:tc>
          <w:tcPr>
            <w:tcW w:w="964" w:type="dxa"/>
            <w:vMerge/>
          </w:tcPr>
          <w:p w14:paraId="2956D713" w14:textId="77777777" w:rsidR="00454A29" w:rsidRDefault="00454A29"/>
        </w:tc>
        <w:tc>
          <w:tcPr>
            <w:tcW w:w="2154" w:type="dxa"/>
            <w:vMerge/>
            <w:tcBorders>
              <w:top w:val="nil"/>
              <w:bottom w:val="nil"/>
            </w:tcBorders>
          </w:tcPr>
          <w:p w14:paraId="0385C009" w14:textId="77777777" w:rsidR="00454A29" w:rsidRDefault="00454A29"/>
        </w:tc>
        <w:tc>
          <w:tcPr>
            <w:tcW w:w="2154" w:type="dxa"/>
            <w:vMerge/>
            <w:tcBorders>
              <w:top w:val="nil"/>
              <w:bottom w:val="nil"/>
            </w:tcBorders>
          </w:tcPr>
          <w:p w14:paraId="3D24BB5D" w14:textId="77777777" w:rsidR="00454A29" w:rsidRDefault="00454A29"/>
        </w:tc>
        <w:tc>
          <w:tcPr>
            <w:tcW w:w="2665" w:type="dxa"/>
            <w:vMerge/>
          </w:tcPr>
          <w:p w14:paraId="4534AB10" w14:textId="77777777" w:rsidR="00454A29" w:rsidRDefault="00454A29"/>
        </w:tc>
        <w:tc>
          <w:tcPr>
            <w:tcW w:w="2665" w:type="dxa"/>
            <w:vMerge/>
          </w:tcPr>
          <w:p w14:paraId="10935B35" w14:textId="77777777" w:rsidR="00454A29" w:rsidRDefault="00454A29"/>
        </w:tc>
        <w:tc>
          <w:tcPr>
            <w:tcW w:w="1928" w:type="dxa"/>
            <w:vMerge/>
          </w:tcPr>
          <w:p w14:paraId="001EC44B" w14:textId="77777777" w:rsidR="00454A29" w:rsidRDefault="00454A29"/>
        </w:tc>
        <w:tc>
          <w:tcPr>
            <w:tcW w:w="1644" w:type="dxa"/>
            <w:vMerge/>
          </w:tcPr>
          <w:p w14:paraId="375D2206" w14:textId="77777777" w:rsidR="00454A29" w:rsidRDefault="00454A29"/>
        </w:tc>
        <w:tc>
          <w:tcPr>
            <w:tcW w:w="2041" w:type="dxa"/>
            <w:vMerge/>
          </w:tcPr>
          <w:p w14:paraId="0AEF238A" w14:textId="77777777" w:rsidR="00454A29" w:rsidRDefault="00454A29"/>
        </w:tc>
        <w:tc>
          <w:tcPr>
            <w:tcW w:w="2098" w:type="dxa"/>
            <w:vAlign w:val="center"/>
          </w:tcPr>
          <w:p w14:paraId="13332174" w14:textId="77777777" w:rsidR="00454A29" w:rsidRDefault="00454A29">
            <w:pPr>
              <w:pStyle w:val="ConsPlusNormal"/>
              <w:jc w:val="center"/>
            </w:pPr>
            <w:r>
              <w:t>Местные бюджеты</w:t>
            </w:r>
          </w:p>
        </w:tc>
        <w:tc>
          <w:tcPr>
            <w:tcW w:w="1814" w:type="dxa"/>
            <w:vAlign w:val="center"/>
          </w:tcPr>
          <w:p w14:paraId="2B971B16" w14:textId="77777777" w:rsidR="00454A29" w:rsidRDefault="00454A29">
            <w:pPr>
              <w:pStyle w:val="ConsPlusNormal"/>
              <w:jc w:val="center"/>
            </w:pPr>
            <w:r>
              <w:t>0,00</w:t>
            </w:r>
          </w:p>
        </w:tc>
        <w:tc>
          <w:tcPr>
            <w:tcW w:w="1701" w:type="dxa"/>
            <w:vAlign w:val="center"/>
          </w:tcPr>
          <w:p w14:paraId="5EF6DA74" w14:textId="77777777" w:rsidR="00454A29" w:rsidRDefault="00454A29">
            <w:pPr>
              <w:pStyle w:val="ConsPlusNormal"/>
              <w:jc w:val="center"/>
            </w:pPr>
            <w:r>
              <w:t>0,00</w:t>
            </w:r>
          </w:p>
        </w:tc>
        <w:tc>
          <w:tcPr>
            <w:tcW w:w="1701" w:type="dxa"/>
            <w:vAlign w:val="center"/>
          </w:tcPr>
          <w:p w14:paraId="3F278E93" w14:textId="77777777" w:rsidR="00454A29" w:rsidRDefault="00454A29">
            <w:pPr>
              <w:pStyle w:val="ConsPlusNormal"/>
              <w:jc w:val="center"/>
            </w:pPr>
            <w:r>
              <w:t>0,00</w:t>
            </w:r>
          </w:p>
        </w:tc>
        <w:tc>
          <w:tcPr>
            <w:tcW w:w="1701" w:type="dxa"/>
            <w:vAlign w:val="center"/>
          </w:tcPr>
          <w:p w14:paraId="6B956F99" w14:textId="77777777" w:rsidR="00454A29" w:rsidRDefault="00454A29">
            <w:pPr>
              <w:pStyle w:val="ConsPlusNormal"/>
              <w:jc w:val="center"/>
            </w:pPr>
            <w:r>
              <w:t>0,00</w:t>
            </w:r>
          </w:p>
        </w:tc>
        <w:tc>
          <w:tcPr>
            <w:tcW w:w="1701" w:type="dxa"/>
            <w:vAlign w:val="center"/>
          </w:tcPr>
          <w:p w14:paraId="5EE72463" w14:textId="77777777" w:rsidR="00454A29" w:rsidRDefault="00454A29">
            <w:pPr>
              <w:pStyle w:val="ConsPlusNormal"/>
              <w:jc w:val="center"/>
            </w:pPr>
            <w:r>
              <w:t>0,00</w:t>
            </w:r>
          </w:p>
        </w:tc>
        <w:tc>
          <w:tcPr>
            <w:tcW w:w="1701" w:type="dxa"/>
            <w:vAlign w:val="center"/>
          </w:tcPr>
          <w:p w14:paraId="646BC1B4" w14:textId="77777777" w:rsidR="00454A29" w:rsidRDefault="00454A29">
            <w:pPr>
              <w:pStyle w:val="ConsPlusNormal"/>
              <w:jc w:val="center"/>
            </w:pPr>
            <w:r>
              <w:t>0,00</w:t>
            </w:r>
          </w:p>
        </w:tc>
        <w:tc>
          <w:tcPr>
            <w:tcW w:w="1701" w:type="dxa"/>
            <w:vAlign w:val="center"/>
          </w:tcPr>
          <w:p w14:paraId="14F30B22" w14:textId="77777777" w:rsidR="00454A29" w:rsidRDefault="00454A29">
            <w:pPr>
              <w:pStyle w:val="ConsPlusNormal"/>
              <w:jc w:val="center"/>
            </w:pPr>
            <w:r>
              <w:t>0,00</w:t>
            </w:r>
          </w:p>
        </w:tc>
      </w:tr>
      <w:tr w:rsidR="00454A29" w14:paraId="65142231" w14:textId="77777777">
        <w:tc>
          <w:tcPr>
            <w:tcW w:w="964" w:type="dxa"/>
            <w:vMerge/>
          </w:tcPr>
          <w:p w14:paraId="2BB238F3" w14:textId="77777777" w:rsidR="00454A29" w:rsidRDefault="00454A29"/>
        </w:tc>
        <w:tc>
          <w:tcPr>
            <w:tcW w:w="2154" w:type="dxa"/>
            <w:vMerge/>
            <w:tcBorders>
              <w:top w:val="nil"/>
              <w:bottom w:val="nil"/>
            </w:tcBorders>
          </w:tcPr>
          <w:p w14:paraId="6F3F7D8B" w14:textId="77777777" w:rsidR="00454A29" w:rsidRDefault="00454A29"/>
        </w:tc>
        <w:tc>
          <w:tcPr>
            <w:tcW w:w="2154" w:type="dxa"/>
            <w:vMerge/>
            <w:tcBorders>
              <w:top w:val="nil"/>
              <w:bottom w:val="nil"/>
            </w:tcBorders>
          </w:tcPr>
          <w:p w14:paraId="71C03155" w14:textId="77777777" w:rsidR="00454A29" w:rsidRDefault="00454A29"/>
        </w:tc>
        <w:tc>
          <w:tcPr>
            <w:tcW w:w="2665" w:type="dxa"/>
            <w:vMerge/>
          </w:tcPr>
          <w:p w14:paraId="7531832F" w14:textId="77777777" w:rsidR="00454A29" w:rsidRDefault="00454A29"/>
        </w:tc>
        <w:tc>
          <w:tcPr>
            <w:tcW w:w="2665" w:type="dxa"/>
            <w:vMerge/>
          </w:tcPr>
          <w:p w14:paraId="0782A547" w14:textId="77777777" w:rsidR="00454A29" w:rsidRDefault="00454A29"/>
        </w:tc>
        <w:tc>
          <w:tcPr>
            <w:tcW w:w="1928" w:type="dxa"/>
            <w:vMerge/>
          </w:tcPr>
          <w:p w14:paraId="3A0B4A5E" w14:textId="77777777" w:rsidR="00454A29" w:rsidRDefault="00454A29"/>
        </w:tc>
        <w:tc>
          <w:tcPr>
            <w:tcW w:w="1644" w:type="dxa"/>
            <w:vMerge/>
          </w:tcPr>
          <w:p w14:paraId="5E30CD1E" w14:textId="77777777" w:rsidR="00454A29" w:rsidRDefault="00454A29"/>
        </w:tc>
        <w:tc>
          <w:tcPr>
            <w:tcW w:w="2041" w:type="dxa"/>
            <w:vMerge/>
          </w:tcPr>
          <w:p w14:paraId="1139D0FE" w14:textId="77777777" w:rsidR="00454A29" w:rsidRDefault="00454A29"/>
        </w:tc>
        <w:tc>
          <w:tcPr>
            <w:tcW w:w="2098" w:type="dxa"/>
            <w:vAlign w:val="center"/>
          </w:tcPr>
          <w:p w14:paraId="7213529F" w14:textId="77777777" w:rsidR="00454A29" w:rsidRDefault="00454A29">
            <w:pPr>
              <w:pStyle w:val="ConsPlusNormal"/>
              <w:jc w:val="center"/>
            </w:pPr>
            <w:r>
              <w:t>Внебюджетные средства</w:t>
            </w:r>
          </w:p>
        </w:tc>
        <w:tc>
          <w:tcPr>
            <w:tcW w:w="1814" w:type="dxa"/>
            <w:vAlign w:val="center"/>
          </w:tcPr>
          <w:p w14:paraId="6A55A05C" w14:textId="77777777" w:rsidR="00454A29" w:rsidRDefault="00454A29">
            <w:pPr>
              <w:pStyle w:val="ConsPlusNormal"/>
              <w:jc w:val="center"/>
            </w:pPr>
            <w:r>
              <w:t>0,00</w:t>
            </w:r>
          </w:p>
        </w:tc>
        <w:tc>
          <w:tcPr>
            <w:tcW w:w="1701" w:type="dxa"/>
            <w:vAlign w:val="center"/>
          </w:tcPr>
          <w:p w14:paraId="71F5DA56" w14:textId="77777777" w:rsidR="00454A29" w:rsidRDefault="00454A29">
            <w:pPr>
              <w:pStyle w:val="ConsPlusNormal"/>
              <w:jc w:val="center"/>
            </w:pPr>
            <w:r>
              <w:t>0,00</w:t>
            </w:r>
          </w:p>
        </w:tc>
        <w:tc>
          <w:tcPr>
            <w:tcW w:w="1701" w:type="dxa"/>
            <w:vAlign w:val="center"/>
          </w:tcPr>
          <w:p w14:paraId="7FC60B2D" w14:textId="77777777" w:rsidR="00454A29" w:rsidRDefault="00454A29">
            <w:pPr>
              <w:pStyle w:val="ConsPlusNormal"/>
              <w:jc w:val="center"/>
            </w:pPr>
            <w:r>
              <w:t>0,00</w:t>
            </w:r>
          </w:p>
        </w:tc>
        <w:tc>
          <w:tcPr>
            <w:tcW w:w="1701" w:type="dxa"/>
            <w:vAlign w:val="center"/>
          </w:tcPr>
          <w:p w14:paraId="6BA7B9F3" w14:textId="77777777" w:rsidR="00454A29" w:rsidRDefault="00454A29">
            <w:pPr>
              <w:pStyle w:val="ConsPlusNormal"/>
              <w:jc w:val="center"/>
            </w:pPr>
            <w:r>
              <w:t>0,00</w:t>
            </w:r>
          </w:p>
        </w:tc>
        <w:tc>
          <w:tcPr>
            <w:tcW w:w="1701" w:type="dxa"/>
            <w:vAlign w:val="center"/>
          </w:tcPr>
          <w:p w14:paraId="1C95A22E" w14:textId="77777777" w:rsidR="00454A29" w:rsidRDefault="00454A29">
            <w:pPr>
              <w:pStyle w:val="ConsPlusNormal"/>
              <w:jc w:val="center"/>
            </w:pPr>
            <w:r>
              <w:t>0,00</w:t>
            </w:r>
          </w:p>
        </w:tc>
        <w:tc>
          <w:tcPr>
            <w:tcW w:w="1701" w:type="dxa"/>
            <w:vAlign w:val="center"/>
          </w:tcPr>
          <w:p w14:paraId="337B7EC7" w14:textId="77777777" w:rsidR="00454A29" w:rsidRDefault="00454A29">
            <w:pPr>
              <w:pStyle w:val="ConsPlusNormal"/>
              <w:jc w:val="center"/>
            </w:pPr>
            <w:r>
              <w:t>0,00</w:t>
            </w:r>
          </w:p>
        </w:tc>
        <w:tc>
          <w:tcPr>
            <w:tcW w:w="1701" w:type="dxa"/>
            <w:vAlign w:val="center"/>
          </w:tcPr>
          <w:p w14:paraId="23BB5762" w14:textId="77777777" w:rsidR="00454A29" w:rsidRDefault="00454A29">
            <w:pPr>
              <w:pStyle w:val="ConsPlusNormal"/>
              <w:jc w:val="center"/>
            </w:pPr>
            <w:r>
              <w:t>0,00</w:t>
            </w:r>
          </w:p>
        </w:tc>
      </w:tr>
      <w:tr w:rsidR="00454A29" w14:paraId="443876C2" w14:textId="77777777">
        <w:tc>
          <w:tcPr>
            <w:tcW w:w="964" w:type="dxa"/>
            <w:vMerge w:val="restart"/>
            <w:vAlign w:val="center"/>
          </w:tcPr>
          <w:p w14:paraId="5070989A" w14:textId="77777777" w:rsidR="00454A29" w:rsidRDefault="00454A29">
            <w:pPr>
              <w:pStyle w:val="ConsPlusNormal"/>
              <w:jc w:val="center"/>
            </w:pPr>
            <w:r>
              <w:t>1.3.</w:t>
            </w:r>
          </w:p>
        </w:tc>
        <w:tc>
          <w:tcPr>
            <w:tcW w:w="2154" w:type="dxa"/>
            <w:vMerge w:val="restart"/>
            <w:tcBorders>
              <w:top w:val="nil"/>
              <w:bottom w:val="nil"/>
            </w:tcBorders>
            <w:vAlign w:val="center"/>
          </w:tcPr>
          <w:p w14:paraId="0A9B2DE1" w14:textId="77777777" w:rsidR="00454A29" w:rsidRDefault="00454A29">
            <w:pPr>
              <w:pStyle w:val="ConsPlusNormal"/>
            </w:pPr>
          </w:p>
        </w:tc>
        <w:tc>
          <w:tcPr>
            <w:tcW w:w="2154" w:type="dxa"/>
            <w:vMerge w:val="restart"/>
            <w:tcBorders>
              <w:top w:val="nil"/>
              <w:bottom w:val="nil"/>
            </w:tcBorders>
            <w:vAlign w:val="center"/>
          </w:tcPr>
          <w:p w14:paraId="7E3BD3B9" w14:textId="77777777" w:rsidR="00454A29" w:rsidRDefault="00454A29">
            <w:pPr>
              <w:pStyle w:val="ConsPlusNormal"/>
            </w:pPr>
          </w:p>
        </w:tc>
        <w:tc>
          <w:tcPr>
            <w:tcW w:w="2665" w:type="dxa"/>
            <w:vMerge w:val="restart"/>
            <w:vAlign w:val="center"/>
          </w:tcPr>
          <w:p w14:paraId="583648E1" w14:textId="77777777" w:rsidR="00454A29" w:rsidRDefault="00454A29">
            <w:pPr>
              <w:pStyle w:val="ConsPlusNormal"/>
              <w:jc w:val="center"/>
            </w:pPr>
            <w:r>
              <w:t>Результат 3. Общественно-деловые объединения и представители работодателей участвуют в принятии решений по вопросам управления развития школ к 2024 году</w:t>
            </w:r>
          </w:p>
        </w:tc>
        <w:tc>
          <w:tcPr>
            <w:tcW w:w="2665" w:type="dxa"/>
            <w:vMerge w:val="restart"/>
            <w:vAlign w:val="center"/>
          </w:tcPr>
          <w:p w14:paraId="3596D680" w14:textId="77777777" w:rsidR="00454A29" w:rsidRDefault="00454A29">
            <w:pPr>
              <w:pStyle w:val="ConsPlusNormal"/>
              <w:jc w:val="center"/>
            </w:pPr>
            <w:r>
              <w:t>Мероприятие 2.5.3. Вовлечение общественно-деловых объединений и участие представителей работодателей в принятии решений по вопросам управления развития школ к 2024 году</w:t>
            </w:r>
          </w:p>
        </w:tc>
        <w:tc>
          <w:tcPr>
            <w:tcW w:w="1928" w:type="dxa"/>
            <w:vMerge w:val="restart"/>
            <w:vAlign w:val="center"/>
          </w:tcPr>
          <w:p w14:paraId="76AFC284" w14:textId="77777777" w:rsidR="00454A29" w:rsidRDefault="00454A29">
            <w:pPr>
              <w:pStyle w:val="ConsPlusNormal"/>
              <w:jc w:val="center"/>
            </w:pPr>
            <w:r>
              <w:t>-</w:t>
            </w:r>
          </w:p>
        </w:tc>
        <w:tc>
          <w:tcPr>
            <w:tcW w:w="1644" w:type="dxa"/>
            <w:vMerge w:val="restart"/>
            <w:vAlign w:val="center"/>
          </w:tcPr>
          <w:p w14:paraId="4FC62FDF" w14:textId="77777777" w:rsidR="00454A29" w:rsidRDefault="00454A29">
            <w:pPr>
              <w:pStyle w:val="ConsPlusNormal"/>
              <w:jc w:val="center"/>
            </w:pPr>
            <w:r>
              <w:t>-</w:t>
            </w:r>
          </w:p>
        </w:tc>
        <w:tc>
          <w:tcPr>
            <w:tcW w:w="2041" w:type="dxa"/>
            <w:vMerge w:val="restart"/>
            <w:vAlign w:val="center"/>
          </w:tcPr>
          <w:p w14:paraId="012769D6" w14:textId="77777777" w:rsidR="00454A29" w:rsidRDefault="00454A29">
            <w:pPr>
              <w:pStyle w:val="ConsPlusNormal"/>
              <w:jc w:val="center"/>
            </w:pPr>
            <w:r>
              <w:t>-</w:t>
            </w:r>
          </w:p>
        </w:tc>
        <w:tc>
          <w:tcPr>
            <w:tcW w:w="2098" w:type="dxa"/>
            <w:vAlign w:val="center"/>
          </w:tcPr>
          <w:p w14:paraId="6013F8D4" w14:textId="77777777" w:rsidR="00454A29" w:rsidRDefault="00454A29">
            <w:pPr>
              <w:pStyle w:val="ConsPlusNormal"/>
              <w:jc w:val="center"/>
            </w:pPr>
            <w:r>
              <w:t>Итого</w:t>
            </w:r>
          </w:p>
        </w:tc>
        <w:tc>
          <w:tcPr>
            <w:tcW w:w="1814" w:type="dxa"/>
            <w:vAlign w:val="center"/>
          </w:tcPr>
          <w:p w14:paraId="793DBECC" w14:textId="77777777" w:rsidR="00454A29" w:rsidRDefault="00454A29">
            <w:pPr>
              <w:pStyle w:val="ConsPlusNormal"/>
              <w:jc w:val="center"/>
            </w:pPr>
            <w:r>
              <w:t>0,00</w:t>
            </w:r>
          </w:p>
        </w:tc>
        <w:tc>
          <w:tcPr>
            <w:tcW w:w="1701" w:type="dxa"/>
            <w:vAlign w:val="center"/>
          </w:tcPr>
          <w:p w14:paraId="50CD7EFC" w14:textId="77777777" w:rsidR="00454A29" w:rsidRDefault="00454A29">
            <w:pPr>
              <w:pStyle w:val="ConsPlusNormal"/>
              <w:jc w:val="center"/>
            </w:pPr>
            <w:r>
              <w:t>0,00</w:t>
            </w:r>
          </w:p>
        </w:tc>
        <w:tc>
          <w:tcPr>
            <w:tcW w:w="1701" w:type="dxa"/>
            <w:vAlign w:val="center"/>
          </w:tcPr>
          <w:p w14:paraId="768D7285" w14:textId="77777777" w:rsidR="00454A29" w:rsidRDefault="00454A29">
            <w:pPr>
              <w:pStyle w:val="ConsPlusNormal"/>
              <w:jc w:val="center"/>
            </w:pPr>
            <w:r>
              <w:t>0,00</w:t>
            </w:r>
          </w:p>
        </w:tc>
        <w:tc>
          <w:tcPr>
            <w:tcW w:w="1701" w:type="dxa"/>
            <w:vAlign w:val="center"/>
          </w:tcPr>
          <w:p w14:paraId="2B6F4484" w14:textId="77777777" w:rsidR="00454A29" w:rsidRDefault="00454A29">
            <w:pPr>
              <w:pStyle w:val="ConsPlusNormal"/>
              <w:jc w:val="center"/>
            </w:pPr>
            <w:r>
              <w:t>0,00</w:t>
            </w:r>
          </w:p>
        </w:tc>
        <w:tc>
          <w:tcPr>
            <w:tcW w:w="1701" w:type="dxa"/>
            <w:vAlign w:val="center"/>
          </w:tcPr>
          <w:p w14:paraId="66A43A84" w14:textId="77777777" w:rsidR="00454A29" w:rsidRDefault="00454A29">
            <w:pPr>
              <w:pStyle w:val="ConsPlusNormal"/>
              <w:jc w:val="center"/>
            </w:pPr>
            <w:r>
              <w:t>0,00</w:t>
            </w:r>
          </w:p>
        </w:tc>
        <w:tc>
          <w:tcPr>
            <w:tcW w:w="1701" w:type="dxa"/>
            <w:vAlign w:val="center"/>
          </w:tcPr>
          <w:p w14:paraId="4565CD7E" w14:textId="77777777" w:rsidR="00454A29" w:rsidRDefault="00454A29">
            <w:pPr>
              <w:pStyle w:val="ConsPlusNormal"/>
              <w:jc w:val="center"/>
            </w:pPr>
            <w:r>
              <w:t>0,00</w:t>
            </w:r>
          </w:p>
        </w:tc>
        <w:tc>
          <w:tcPr>
            <w:tcW w:w="1701" w:type="dxa"/>
            <w:vAlign w:val="center"/>
          </w:tcPr>
          <w:p w14:paraId="6D89380F" w14:textId="77777777" w:rsidR="00454A29" w:rsidRDefault="00454A29">
            <w:pPr>
              <w:pStyle w:val="ConsPlusNormal"/>
              <w:jc w:val="center"/>
            </w:pPr>
            <w:r>
              <w:t>0,00</w:t>
            </w:r>
          </w:p>
        </w:tc>
      </w:tr>
      <w:tr w:rsidR="00454A29" w14:paraId="4D417EBA" w14:textId="77777777">
        <w:tc>
          <w:tcPr>
            <w:tcW w:w="964" w:type="dxa"/>
            <w:vMerge/>
          </w:tcPr>
          <w:p w14:paraId="4530CC1D" w14:textId="77777777" w:rsidR="00454A29" w:rsidRDefault="00454A29"/>
        </w:tc>
        <w:tc>
          <w:tcPr>
            <w:tcW w:w="2154" w:type="dxa"/>
            <w:vMerge/>
            <w:tcBorders>
              <w:top w:val="nil"/>
              <w:bottom w:val="nil"/>
            </w:tcBorders>
          </w:tcPr>
          <w:p w14:paraId="7C1353FE" w14:textId="77777777" w:rsidR="00454A29" w:rsidRDefault="00454A29"/>
        </w:tc>
        <w:tc>
          <w:tcPr>
            <w:tcW w:w="2154" w:type="dxa"/>
            <w:vMerge/>
            <w:tcBorders>
              <w:top w:val="nil"/>
              <w:bottom w:val="nil"/>
            </w:tcBorders>
          </w:tcPr>
          <w:p w14:paraId="0C8A20DA" w14:textId="77777777" w:rsidR="00454A29" w:rsidRDefault="00454A29"/>
        </w:tc>
        <w:tc>
          <w:tcPr>
            <w:tcW w:w="2665" w:type="dxa"/>
            <w:vMerge/>
          </w:tcPr>
          <w:p w14:paraId="2A1AFC20" w14:textId="77777777" w:rsidR="00454A29" w:rsidRDefault="00454A29"/>
        </w:tc>
        <w:tc>
          <w:tcPr>
            <w:tcW w:w="2665" w:type="dxa"/>
            <w:vMerge/>
          </w:tcPr>
          <w:p w14:paraId="6847228D" w14:textId="77777777" w:rsidR="00454A29" w:rsidRDefault="00454A29"/>
        </w:tc>
        <w:tc>
          <w:tcPr>
            <w:tcW w:w="1928" w:type="dxa"/>
            <w:vMerge/>
          </w:tcPr>
          <w:p w14:paraId="0C056DA4" w14:textId="77777777" w:rsidR="00454A29" w:rsidRDefault="00454A29"/>
        </w:tc>
        <w:tc>
          <w:tcPr>
            <w:tcW w:w="1644" w:type="dxa"/>
            <w:vMerge/>
          </w:tcPr>
          <w:p w14:paraId="474BEE11" w14:textId="77777777" w:rsidR="00454A29" w:rsidRDefault="00454A29"/>
        </w:tc>
        <w:tc>
          <w:tcPr>
            <w:tcW w:w="2041" w:type="dxa"/>
            <w:vMerge/>
          </w:tcPr>
          <w:p w14:paraId="46F8D293" w14:textId="77777777" w:rsidR="00454A29" w:rsidRDefault="00454A29"/>
        </w:tc>
        <w:tc>
          <w:tcPr>
            <w:tcW w:w="2098" w:type="dxa"/>
            <w:vAlign w:val="center"/>
          </w:tcPr>
          <w:p w14:paraId="52B3276B"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DFC21CB" w14:textId="77777777" w:rsidR="00454A29" w:rsidRDefault="00454A29">
            <w:pPr>
              <w:pStyle w:val="ConsPlusNormal"/>
              <w:jc w:val="center"/>
            </w:pPr>
            <w:r>
              <w:t>0,00</w:t>
            </w:r>
          </w:p>
        </w:tc>
        <w:tc>
          <w:tcPr>
            <w:tcW w:w="1701" w:type="dxa"/>
            <w:vAlign w:val="center"/>
          </w:tcPr>
          <w:p w14:paraId="0CA92E22" w14:textId="77777777" w:rsidR="00454A29" w:rsidRDefault="00454A29">
            <w:pPr>
              <w:pStyle w:val="ConsPlusNormal"/>
              <w:jc w:val="center"/>
            </w:pPr>
            <w:r>
              <w:t>0,00</w:t>
            </w:r>
          </w:p>
        </w:tc>
        <w:tc>
          <w:tcPr>
            <w:tcW w:w="1701" w:type="dxa"/>
            <w:vAlign w:val="center"/>
          </w:tcPr>
          <w:p w14:paraId="515B8978" w14:textId="77777777" w:rsidR="00454A29" w:rsidRDefault="00454A29">
            <w:pPr>
              <w:pStyle w:val="ConsPlusNormal"/>
              <w:jc w:val="center"/>
            </w:pPr>
            <w:r>
              <w:t>0,00</w:t>
            </w:r>
          </w:p>
        </w:tc>
        <w:tc>
          <w:tcPr>
            <w:tcW w:w="1701" w:type="dxa"/>
            <w:vAlign w:val="center"/>
          </w:tcPr>
          <w:p w14:paraId="3FB5A67F" w14:textId="77777777" w:rsidR="00454A29" w:rsidRDefault="00454A29">
            <w:pPr>
              <w:pStyle w:val="ConsPlusNormal"/>
              <w:jc w:val="center"/>
            </w:pPr>
            <w:r>
              <w:t>0,00</w:t>
            </w:r>
          </w:p>
        </w:tc>
        <w:tc>
          <w:tcPr>
            <w:tcW w:w="1701" w:type="dxa"/>
            <w:vAlign w:val="center"/>
          </w:tcPr>
          <w:p w14:paraId="36C1312D" w14:textId="77777777" w:rsidR="00454A29" w:rsidRDefault="00454A29">
            <w:pPr>
              <w:pStyle w:val="ConsPlusNormal"/>
              <w:jc w:val="center"/>
            </w:pPr>
            <w:r>
              <w:t>0,00</w:t>
            </w:r>
          </w:p>
        </w:tc>
        <w:tc>
          <w:tcPr>
            <w:tcW w:w="1701" w:type="dxa"/>
            <w:vAlign w:val="center"/>
          </w:tcPr>
          <w:p w14:paraId="2C88596D" w14:textId="77777777" w:rsidR="00454A29" w:rsidRDefault="00454A29">
            <w:pPr>
              <w:pStyle w:val="ConsPlusNormal"/>
              <w:jc w:val="center"/>
            </w:pPr>
            <w:r>
              <w:t>0,00</w:t>
            </w:r>
          </w:p>
        </w:tc>
        <w:tc>
          <w:tcPr>
            <w:tcW w:w="1701" w:type="dxa"/>
            <w:vAlign w:val="center"/>
          </w:tcPr>
          <w:p w14:paraId="05DB686B" w14:textId="77777777" w:rsidR="00454A29" w:rsidRDefault="00454A29">
            <w:pPr>
              <w:pStyle w:val="ConsPlusNormal"/>
              <w:jc w:val="center"/>
            </w:pPr>
            <w:r>
              <w:t>0,00</w:t>
            </w:r>
          </w:p>
        </w:tc>
      </w:tr>
      <w:tr w:rsidR="00454A29" w14:paraId="78CDC6A8" w14:textId="77777777">
        <w:tc>
          <w:tcPr>
            <w:tcW w:w="964" w:type="dxa"/>
            <w:vMerge/>
          </w:tcPr>
          <w:p w14:paraId="64A785B4" w14:textId="77777777" w:rsidR="00454A29" w:rsidRDefault="00454A29"/>
        </w:tc>
        <w:tc>
          <w:tcPr>
            <w:tcW w:w="2154" w:type="dxa"/>
            <w:vMerge/>
            <w:tcBorders>
              <w:top w:val="nil"/>
              <w:bottom w:val="nil"/>
            </w:tcBorders>
          </w:tcPr>
          <w:p w14:paraId="09C125F5" w14:textId="77777777" w:rsidR="00454A29" w:rsidRDefault="00454A29"/>
        </w:tc>
        <w:tc>
          <w:tcPr>
            <w:tcW w:w="2154" w:type="dxa"/>
            <w:vMerge/>
            <w:tcBorders>
              <w:top w:val="nil"/>
              <w:bottom w:val="nil"/>
            </w:tcBorders>
          </w:tcPr>
          <w:p w14:paraId="51D9DA21" w14:textId="77777777" w:rsidR="00454A29" w:rsidRDefault="00454A29"/>
        </w:tc>
        <w:tc>
          <w:tcPr>
            <w:tcW w:w="2665" w:type="dxa"/>
            <w:vMerge/>
          </w:tcPr>
          <w:p w14:paraId="2D9211AF" w14:textId="77777777" w:rsidR="00454A29" w:rsidRDefault="00454A29"/>
        </w:tc>
        <w:tc>
          <w:tcPr>
            <w:tcW w:w="2665" w:type="dxa"/>
            <w:vMerge/>
          </w:tcPr>
          <w:p w14:paraId="57BD3D6A" w14:textId="77777777" w:rsidR="00454A29" w:rsidRDefault="00454A29"/>
        </w:tc>
        <w:tc>
          <w:tcPr>
            <w:tcW w:w="1928" w:type="dxa"/>
            <w:vMerge/>
          </w:tcPr>
          <w:p w14:paraId="11E9F95B" w14:textId="77777777" w:rsidR="00454A29" w:rsidRDefault="00454A29"/>
        </w:tc>
        <w:tc>
          <w:tcPr>
            <w:tcW w:w="1644" w:type="dxa"/>
            <w:vMerge/>
          </w:tcPr>
          <w:p w14:paraId="580FD679" w14:textId="77777777" w:rsidR="00454A29" w:rsidRDefault="00454A29"/>
        </w:tc>
        <w:tc>
          <w:tcPr>
            <w:tcW w:w="2041" w:type="dxa"/>
            <w:vMerge/>
          </w:tcPr>
          <w:p w14:paraId="72A3C58F" w14:textId="77777777" w:rsidR="00454A29" w:rsidRDefault="00454A29"/>
        </w:tc>
        <w:tc>
          <w:tcPr>
            <w:tcW w:w="2098" w:type="dxa"/>
            <w:vAlign w:val="center"/>
          </w:tcPr>
          <w:p w14:paraId="0FDEE47B" w14:textId="77777777" w:rsidR="00454A29" w:rsidRDefault="00454A29">
            <w:pPr>
              <w:pStyle w:val="ConsPlusNormal"/>
              <w:jc w:val="center"/>
            </w:pPr>
            <w:r>
              <w:t>Федеральный бюджет</w:t>
            </w:r>
          </w:p>
        </w:tc>
        <w:tc>
          <w:tcPr>
            <w:tcW w:w="1814" w:type="dxa"/>
            <w:vAlign w:val="center"/>
          </w:tcPr>
          <w:p w14:paraId="74EFFAF4" w14:textId="77777777" w:rsidR="00454A29" w:rsidRDefault="00454A29">
            <w:pPr>
              <w:pStyle w:val="ConsPlusNormal"/>
              <w:jc w:val="center"/>
            </w:pPr>
            <w:r>
              <w:t>0,00</w:t>
            </w:r>
          </w:p>
        </w:tc>
        <w:tc>
          <w:tcPr>
            <w:tcW w:w="1701" w:type="dxa"/>
            <w:vAlign w:val="center"/>
          </w:tcPr>
          <w:p w14:paraId="357B4C4A" w14:textId="77777777" w:rsidR="00454A29" w:rsidRDefault="00454A29">
            <w:pPr>
              <w:pStyle w:val="ConsPlusNormal"/>
              <w:jc w:val="center"/>
            </w:pPr>
            <w:r>
              <w:t>0,00</w:t>
            </w:r>
          </w:p>
        </w:tc>
        <w:tc>
          <w:tcPr>
            <w:tcW w:w="1701" w:type="dxa"/>
            <w:vAlign w:val="center"/>
          </w:tcPr>
          <w:p w14:paraId="562A9137" w14:textId="77777777" w:rsidR="00454A29" w:rsidRDefault="00454A29">
            <w:pPr>
              <w:pStyle w:val="ConsPlusNormal"/>
              <w:jc w:val="center"/>
            </w:pPr>
            <w:r>
              <w:t>0,00</w:t>
            </w:r>
          </w:p>
        </w:tc>
        <w:tc>
          <w:tcPr>
            <w:tcW w:w="1701" w:type="dxa"/>
            <w:vAlign w:val="center"/>
          </w:tcPr>
          <w:p w14:paraId="3A11DF1F" w14:textId="77777777" w:rsidR="00454A29" w:rsidRDefault="00454A29">
            <w:pPr>
              <w:pStyle w:val="ConsPlusNormal"/>
              <w:jc w:val="center"/>
            </w:pPr>
            <w:r>
              <w:t>0,00</w:t>
            </w:r>
          </w:p>
        </w:tc>
        <w:tc>
          <w:tcPr>
            <w:tcW w:w="1701" w:type="dxa"/>
            <w:vAlign w:val="center"/>
          </w:tcPr>
          <w:p w14:paraId="5AA97091" w14:textId="77777777" w:rsidR="00454A29" w:rsidRDefault="00454A29">
            <w:pPr>
              <w:pStyle w:val="ConsPlusNormal"/>
              <w:jc w:val="center"/>
            </w:pPr>
            <w:r>
              <w:t>0,00</w:t>
            </w:r>
          </w:p>
        </w:tc>
        <w:tc>
          <w:tcPr>
            <w:tcW w:w="1701" w:type="dxa"/>
            <w:vAlign w:val="center"/>
          </w:tcPr>
          <w:p w14:paraId="31504F61" w14:textId="77777777" w:rsidR="00454A29" w:rsidRDefault="00454A29">
            <w:pPr>
              <w:pStyle w:val="ConsPlusNormal"/>
              <w:jc w:val="center"/>
            </w:pPr>
            <w:r>
              <w:t>0,00</w:t>
            </w:r>
          </w:p>
        </w:tc>
        <w:tc>
          <w:tcPr>
            <w:tcW w:w="1701" w:type="dxa"/>
            <w:vAlign w:val="center"/>
          </w:tcPr>
          <w:p w14:paraId="71021ADF" w14:textId="77777777" w:rsidR="00454A29" w:rsidRDefault="00454A29">
            <w:pPr>
              <w:pStyle w:val="ConsPlusNormal"/>
              <w:jc w:val="center"/>
            </w:pPr>
            <w:r>
              <w:t>0,00</w:t>
            </w:r>
          </w:p>
        </w:tc>
      </w:tr>
      <w:tr w:rsidR="00454A29" w14:paraId="4202FD00" w14:textId="77777777">
        <w:tc>
          <w:tcPr>
            <w:tcW w:w="964" w:type="dxa"/>
            <w:vMerge/>
          </w:tcPr>
          <w:p w14:paraId="094B1FBC" w14:textId="77777777" w:rsidR="00454A29" w:rsidRDefault="00454A29"/>
        </w:tc>
        <w:tc>
          <w:tcPr>
            <w:tcW w:w="2154" w:type="dxa"/>
            <w:vMerge/>
            <w:tcBorders>
              <w:top w:val="nil"/>
              <w:bottom w:val="nil"/>
            </w:tcBorders>
          </w:tcPr>
          <w:p w14:paraId="220D16C9" w14:textId="77777777" w:rsidR="00454A29" w:rsidRDefault="00454A29"/>
        </w:tc>
        <w:tc>
          <w:tcPr>
            <w:tcW w:w="2154" w:type="dxa"/>
            <w:vMerge/>
            <w:tcBorders>
              <w:top w:val="nil"/>
              <w:bottom w:val="nil"/>
            </w:tcBorders>
          </w:tcPr>
          <w:p w14:paraId="6B2FEC4B" w14:textId="77777777" w:rsidR="00454A29" w:rsidRDefault="00454A29"/>
        </w:tc>
        <w:tc>
          <w:tcPr>
            <w:tcW w:w="2665" w:type="dxa"/>
            <w:vMerge/>
          </w:tcPr>
          <w:p w14:paraId="2888D9D5" w14:textId="77777777" w:rsidR="00454A29" w:rsidRDefault="00454A29"/>
        </w:tc>
        <w:tc>
          <w:tcPr>
            <w:tcW w:w="2665" w:type="dxa"/>
            <w:vMerge/>
          </w:tcPr>
          <w:p w14:paraId="2519791A" w14:textId="77777777" w:rsidR="00454A29" w:rsidRDefault="00454A29"/>
        </w:tc>
        <w:tc>
          <w:tcPr>
            <w:tcW w:w="1928" w:type="dxa"/>
            <w:vMerge/>
          </w:tcPr>
          <w:p w14:paraId="5D47A12D" w14:textId="77777777" w:rsidR="00454A29" w:rsidRDefault="00454A29"/>
        </w:tc>
        <w:tc>
          <w:tcPr>
            <w:tcW w:w="1644" w:type="dxa"/>
            <w:vMerge/>
          </w:tcPr>
          <w:p w14:paraId="1FFF272C" w14:textId="77777777" w:rsidR="00454A29" w:rsidRDefault="00454A29"/>
        </w:tc>
        <w:tc>
          <w:tcPr>
            <w:tcW w:w="2041" w:type="dxa"/>
            <w:vMerge/>
          </w:tcPr>
          <w:p w14:paraId="1A8E8513" w14:textId="77777777" w:rsidR="00454A29" w:rsidRDefault="00454A29"/>
        </w:tc>
        <w:tc>
          <w:tcPr>
            <w:tcW w:w="2098" w:type="dxa"/>
            <w:vAlign w:val="center"/>
          </w:tcPr>
          <w:p w14:paraId="6893E551" w14:textId="77777777" w:rsidR="00454A29" w:rsidRDefault="00454A29">
            <w:pPr>
              <w:pStyle w:val="ConsPlusNormal"/>
              <w:jc w:val="center"/>
            </w:pPr>
            <w:r>
              <w:t>Местные бюджеты</w:t>
            </w:r>
          </w:p>
        </w:tc>
        <w:tc>
          <w:tcPr>
            <w:tcW w:w="1814" w:type="dxa"/>
            <w:vAlign w:val="center"/>
          </w:tcPr>
          <w:p w14:paraId="0CD15634" w14:textId="77777777" w:rsidR="00454A29" w:rsidRDefault="00454A29">
            <w:pPr>
              <w:pStyle w:val="ConsPlusNormal"/>
              <w:jc w:val="center"/>
            </w:pPr>
            <w:r>
              <w:t>0,00</w:t>
            </w:r>
          </w:p>
        </w:tc>
        <w:tc>
          <w:tcPr>
            <w:tcW w:w="1701" w:type="dxa"/>
            <w:vAlign w:val="center"/>
          </w:tcPr>
          <w:p w14:paraId="55E4D371" w14:textId="77777777" w:rsidR="00454A29" w:rsidRDefault="00454A29">
            <w:pPr>
              <w:pStyle w:val="ConsPlusNormal"/>
              <w:jc w:val="center"/>
            </w:pPr>
            <w:r>
              <w:t>0,00</w:t>
            </w:r>
          </w:p>
        </w:tc>
        <w:tc>
          <w:tcPr>
            <w:tcW w:w="1701" w:type="dxa"/>
            <w:vAlign w:val="center"/>
          </w:tcPr>
          <w:p w14:paraId="46908BFD" w14:textId="77777777" w:rsidR="00454A29" w:rsidRDefault="00454A29">
            <w:pPr>
              <w:pStyle w:val="ConsPlusNormal"/>
              <w:jc w:val="center"/>
            </w:pPr>
            <w:r>
              <w:t>0,00</w:t>
            </w:r>
          </w:p>
        </w:tc>
        <w:tc>
          <w:tcPr>
            <w:tcW w:w="1701" w:type="dxa"/>
            <w:vAlign w:val="center"/>
          </w:tcPr>
          <w:p w14:paraId="32573F01" w14:textId="77777777" w:rsidR="00454A29" w:rsidRDefault="00454A29">
            <w:pPr>
              <w:pStyle w:val="ConsPlusNormal"/>
              <w:jc w:val="center"/>
            </w:pPr>
            <w:r>
              <w:t>0,00</w:t>
            </w:r>
          </w:p>
        </w:tc>
        <w:tc>
          <w:tcPr>
            <w:tcW w:w="1701" w:type="dxa"/>
            <w:vAlign w:val="center"/>
          </w:tcPr>
          <w:p w14:paraId="5818D7E3" w14:textId="77777777" w:rsidR="00454A29" w:rsidRDefault="00454A29">
            <w:pPr>
              <w:pStyle w:val="ConsPlusNormal"/>
              <w:jc w:val="center"/>
            </w:pPr>
            <w:r>
              <w:t>0,00</w:t>
            </w:r>
          </w:p>
        </w:tc>
        <w:tc>
          <w:tcPr>
            <w:tcW w:w="1701" w:type="dxa"/>
            <w:vAlign w:val="center"/>
          </w:tcPr>
          <w:p w14:paraId="4C1F0717" w14:textId="77777777" w:rsidR="00454A29" w:rsidRDefault="00454A29">
            <w:pPr>
              <w:pStyle w:val="ConsPlusNormal"/>
              <w:jc w:val="center"/>
            </w:pPr>
            <w:r>
              <w:t>0,00</w:t>
            </w:r>
          </w:p>
        </w:tc>
        <w:tc>
          <w:tcPr>
            <w:tcW w:w="1701" w:type="dxa"/>
            <w:vAlign w:val="center"/>
          </w:tcPr>
          <w:p w14:paraId="5D5FDF36" w14:textId="77777777" w:rsidR="00454A29" w:rsidRDefault="00454A29">
            <w:pPr>
              <w:pStyle w:val="ConsPlusNormal"/>
              <w:jc w:val="center"/>
            </w:pPr>
            <w:r>
              <w:t>0,00</w:t>
            </w:r>
          </w:p>
        </w:tc>
      </w:tr>
      <w:tr w:rsidR="00454A29" w14:paraId="4E6487C8" w14:textId="77777777">
        <w:tc>
          <w:tcPr>
            <w:tcW w:w="964" w:type="dxa"/>
            <w:vMerge/>
          </w:tcPr>
          <w:p w14:paraId="07B0AF70" w14:textId="77777777" w:rsidR="00454A29" w:rsidRDefault="00454A29"/>
        </w:tc>
        <w:tc>
          <w:tcPr>
            <w:tcW w:w="2154" w:type="dxa"/>
            <w:vMerge/>
            <w:tcBorders>
              <w:top w:val="nil"/>
              <w:bottom w:val="nil"/>
            </w:tcBorders>
          </w:tcPr>
          <w:p w14:paraId="20470546" w14:textId="77777777" w:rsidR="00454A29" w:rsidRDefault="00454A29"/>
        </w:tc>
        <w:tc>
          <w:tcPr>
            <w:tcW w:w="2154" w:type="dxa"/>
            <w:vMerge/>
            <w:tcBorders>
              <w:top w:val="nil"/>
              <w:bottom w:val="nil"/>
            </w:tcBorders>
          </w:tcPr>
          <w:p w14:paraId="5FA22100" w14:textId="77777777" w:rsidR="00454A29" w:rsidRDefault="00454A29"/>
        </w:tc>
        <w:tc>
          <w:tcPr>
            <w:tcW w:w="2665" w:type="dxa"/>
            <w:vMerge/>
          </w:tcPr>
          <w:p w14:paraId="69D8DD48" w14:textId="77777777" w:rsidR="00454A29" w:rsidRDefault="00454A29"/>
        </w:tc>
        <w:tc>
          <w:tcPr>
            <w:tcW w:w="2665" w:type="dxa"/>
            <w:vMerge/>
          </w:tcPr>
          <w:p w14:paraId="3FADFCA8" w14:textId="77777777" w:rsidR="00454A29" w:rsidRDefault="00454A29"/>
        </w:tc>
        <w:tc>
          <w:tcPr>
            <w:tcW w:w="1928" w:type="dxa"/>
            <w:vMerge/>
          </w:tcPr>
          <w:p w14:paraId="10C28948" w14:textId="77777777" w:rsidR="00454A29" w:rsidRDefault="00454A29"/>
        </w:tc>
        <w:tc>
          <w:tcPr>
            <w:tcW w:w="1644" w:type="dxa"/>
            <w:vMerge/>
          </w:tcPr>
          <w:p w14:paraId="1219573E" w14:textId="77777777" w:rsidR="00454A29" w:rsidRDefault="00454A29"/>
        </w:tc>
        <w:tc>
          <w:tcPr>
            <w:tcW w:w="2041" w:type="dxa"/>
            <w:vMerge/>
          </w:tcPr>
          <w:p w14:paraId="71348EF5" w14:textId="77777777" w:rsidR="00454A29" w:rsidRDefault="00454A29"/>
        </w:tc>
        <w:tc>
          <w:tcPr>
            <w:tcW w:w="2098" w:type="dxa"/>
            <w:vAlign w:val="center"/>
          </w:tcPr>
          <w:p w14:paraId="085D3801" w14:textId="77777777" w:rsidR="00454A29" w:rsidRDefault="00454A29">
            <w:pPr>
              <w:pStyle w:val="ConsPlusNormal"/>
              <w:jc w:val="center"/>
            </w:pPr>
            <w:r>
              <w:t>Внебюджетные средства</w:t>
            </w:r>
          </w:p>
        </w:tc>
        <w:tc>
          <w:tcPr>
            <w:tcW w:w="1814" w:type="dxa"/>
            <w:vAlign w:val="center"/>
          </w:tcPr>
          <w:p w14:paraId="7B3A4086" w14:textId="77777777" w:rsidR="00454A29" w:rsidRDefault="00454A29">
            <w:pPr>
              <w:pStyle w:val="ConsPlusNormal"/>
              <w:jc w:val="center"/>
            </w:pPr>
            <w:r>
              <w:t>0,00</w:t>
            </w:r>
          </w:p>
        </w:tc>
        <w:tc>
          <w:tcPr>
            <w:tcW w:w="1701" w:type="dxa"/>
            <w:vAlign w:val="center"/>
          </w:tcPr>
          <w:p w14:paraId="04CA3D6F" w14:textId="77777777" w:rsidR="00454A29" w:rsidRDefault="00454A29">
            <w:pPr>
              <w:pStyle w:val="ConsPlusNormal"/>
              <w:jc w:val="center"/>
            </w:pPr>
            <w:r>
              <w:t>0,00</w:t>
            </w:r>
          </w:p>
        </w:tc>
        <w:tc>
          <w:tcPr>
            <w:tcW w:w="1701" w:type="dxa"/>
            <w:vAlign w:val="center"/>
          </w:tcPr>
          <w:p w14:paraId="5DA37C67" w14:textId="77777777" w:rsidR="00454A29" w:rsidRDefault="00454A29">
            <w:pPr>
              <w:pStyle w:val="ConsPlusNormal"/>
              <w:jc w:val="center"/>
            </w:pPr>
            <w:r>
              <w:t>0,00</w:t>
            </w:r>
          </w:p>
        </w:tc>
        <w:tc>
          <w:tcPr>
            <w:tcW w:w="1701" w:type="dxa"/>
            <w:vAlign w:val="center"/>
          </w:tcPr>
          <w:p w14:paraId="63E85448" w14:textId="77777777" w:rsidR="00454A29" w:rsidRDefault="00454A29">
            <w:pPr>
              <w:pStyle w:val="ConsPlusNormal"/>
              <w:jc w:val="center"/>
            </w:pPr>
            <w:r>
              <w:t>0,00</w:t>
            </w:r>
          </w:p>
        </w:tc>
        <w:tc>
          <w:tcPr>
            <w:tcW w:w="1701" w:type="dxa"/>
            <w:vAlign w:val="center"/>
          </w:tcPr>
          <w:p w14:paraId="62F63854" w14:textId="77777777" w:rsidR="00454A29" w:rsidRDefault="00454A29">
            <w:pPr>
              <w:pStyle w:val="ConsPlusNormal"/>
              <w:jc w:val="center"/>
            </w:pPr>
            <w:r>
              <w:t>0,00</w:t>
            </w:r>
          </w:p>
        </w:tc>
        <w:tc>
          <w:tcPr>
            <w:tcW w:w="1701" w:type="dxa"/>
            <w:vAlign w:val="center"/>
          </w:tcPr>
          <w:p w14:paraId="1ADBD71E" w14:textId="77777777" w:rsidR="00454A29" w:rsidRDefault="00454A29">
            <w:pPr>
              <w:pStyle w:val="ConsPlusNormal"/>
              <w:jc w:val="center"/>
            </w:pPr>
            <w:r>
              <w:t>0,00</w:t>
            </w:r>
          </w:p>
        </w:tc>
        <w:tc>
          <w:tcPr>
            <w:tcW w:w="1701" w:type="dxa"/>
            <w:vAlign w:val="center"/>
          </w:tcPr>
          <w:p w14:paraId="7ED86340" w14:textId="77777777" w:rsidR="00454A29" w:rsidRDefault="00454A29">
            <w:pPr>
              <w:pStyle w:val="ConsPlusNormal"/>
              <w:jc w:val="center"/>
            </w:pPr>
            <w:r>
              <w:t>0,00</w:t>
            </w:r>
          </w:p>
        </w:tc>
      </w:tr>
      <w:tr w:rsidR="00454A29" w14:paraId="7DD91E89" w14:textId="77777777">
        <w:tc>
          <w:tcPr>
            <w:tcW w:w="964" w:type="dxa"/>
            <w:vMerge w:val="restart"/>
            <w:vAlign w:val="center"/>
          </w:tcPr>
          <w:p w14:paraId="01B9F57A" w14:textId="77777777" w:rsidR="00454A29" w:rsidRDefault="00454A29">
            <w:pPr>
              <w:pStyle w:val="ConsPlusNormal"/>
              <w:jc w:val="center"/>
            </w:pPr>
            <w:r>
              <w:lastRenderedPageBreak/>
              <w:t>1.4.</w:t>
            </w:r>
          </w:p>
        </w:tc>
        <w:tc>
          <w:tcPr>
            <w:tcW w:w="2154" w:type="dxa"/>
            <w:vMerge w:val="restart"/>
            <w:tcBorders>
              <w:top w:val="nil"/>
              <w:bottom w:val="nil"/>
            </w:tcBorders>
            <w:vAlign w:val="center"/>
          </w:tcPr>
          <w:p w14:paraId="560AF96C" w14:textId="77777777" w:rsidR="00454A29" w:rsidRDefault="00454A29">
            <w:pPr>
              <w:pStyle w:val="ConsPlusNormal"/>
            </w:pPr>
          </w:p>
        </w:tc>
        <w:tc>
          <w:tcPr>
            <w:tcW w:w="2154" w:type="dxa"/>
            <w:vMerge w:val="restart"/>
            <w:tcBorders>
              <w:top w:val="nil"/>
              <w:bottom w:val="nil"/>
            </w:tcBorders>
            <w:vAlign w:val="center"/>
          </w:tcPr>
          <w:p w14:paraId="7E0F959A" w14:textId="77777777" w:rsidR="00454A29" w:rsidRDefault="00454A29">
            <w:pPr>
              <w:pStyle w:val="ConsPlusNormal"/>
            </w:pPr>
          </w:p>
        </w:tc>
        <w:tc>
          <w:tcPr>
            <w:tcW w:w="2665" w:type="dxa"/>
            <w:vMerge w:val="restart"/>
            <w:vAlign w:val="center"/>
          </w:tcPr>
          <w:p w14:paraId="36EB1EF8" w14:textId="77777777" w:rsidR="00454A29" w:rsidRDefault="00454A29">
            <w:pPr>
              <w:pStyle w:val="ConsPlusNormal"/>
              <w:jc w:val="center"/>
            </w:pPr>
            <w:r>
              <w:t>Результат 4. На уровнях основного общего и среднего общего образования внедрены новые методы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c>
          <w:tcPr>
            <w:tcW w:w="2665" w:type="dxa"/>
            <w:vMerge w:val="restart"/>
            <w:vAlign w:val="center"/>
          </w:tcPr>
          <w:p w14:paraId="750FEAD4" w14:textId="77777777" w:rsidR="00454A29" w:rsidRDefault="00454A29">
            <w:pPr>
              <w:pStyle w:val="ConsPlusNormal"/>
              <w:jc w:val="center"/>
            </w:pPr>
            <w:r>
              <w:t>Мероприятие 2.5.4.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c>
          <w:tcPr>
            <w:tcW w:w="1928" w:type="dxa"/>
            <w:vMerge w:val="restart"/>
            <w:vAlign w:val="center"/>
          </w:tcPr>
          <w:p w14:paraId="7EB0C5F1" w14:textId="77777777" w:rsidR="00454A29" w:rsidRDefault="00454A29">
            <w:pPr>
              <w:pStyle w:val="ConsPlusNormal"/>
              <w:jc w:val="center"/>
            </w:pPr>
            <w:r>
              <w:t>-</w:t>
            </w:r>
          </w:p>
        </w:tc>
        <w:tc>
          <w:tcPr>
            <w:tcW w:w="1644" w:type="dxa"/>
            <w:vMerge w:val="restart"/>
            <w:vAlign w:val="center"/>
          </w:tcPr>
          <w:p w14:paraId="5EA6A35D" w14:textId="77777777" w:rsidR="00454A29" w:rsidRDefault="00454A29">
            <w:pPr>
              <w:pStyle w:val="ConsPlusNormal"/>
              <w:jc w:val="center"/>
            </w:pPr>
            <w:r>
              <w:t>-</w:t>
            </w:r>
          </w:p>
        </w:tc>
        <w:tc>
          <w:tcPr>
            <w:tcW w:w="2041" w:type="dxa"/>
            <w:vMerge w:val="restart"/>
            <w:vAlign w:val="center"/>
          </w:tcPr>
          <w:p w14:paraId="39D60785" w14:textId="77777777" w:rsidR="00454A29" w:rsidRDefault="00454A29">
            <w:pPr>
              <w:pStyle w:val="ConsPlusNormal"/>
              <w:jc w:val="center"/>
            </w:pPr>
            <w:r>
              <w:t>-</w:t>
            </w:r>
          </w:p>
        </w:tc>
        <w:tc>
          <w:tcPr>
            <w:tcW w:w="2098" w:type="dxa"/>
            <w:vAlign w:val="center"/>
          </w:tcPr>
          <w:p w14:paraId="62EB3FE6" w14:textId="77777777" w:rsidR="00454A29" w:rsidRDefault="00454A29">
            <w:pPr>
              <w:pStyle w:val="ConsPlusNormal"/>
              <w:jc w:val="center"/>
            </w:pPr>
            <w:r>
              <w:t>Итого</w:t>
            </w:r>
          </w:p>
        </w:tc>
        <w:tc>
          <w:tcPr>
            <w:tcW w:w="1814" w:type="dxa"/>
            <w:vAlign w:val="center"/>
          </w:tcPr>
          <w:p w14:paraId="75FF3870" w14:textId="77777777" w:rsidR="00454A29" w:rsidRDefault="00454A29">
            <w:pPr>
              <w:pStyle w:val="ConsPlusNormal"/>
              <w:jc w:val="center"/>
            </w:pPr>
            <w:r>
              <w:t>0,00</w:t>
            </w:r>
          </w:p>
        </w:tc>
        <w:tc>
          <w:tcPr>
            <w:tcW w:w="1701" w:type="dxa"/>
            <w:vAlign w:val="center"/>
          </w:tcPr>
          <w:p w14:paraId="5B251161" w14:textId="77777777" w:rsidR="00454A29" w:rsidRDefault="00454A29">
            <w:pPr>
              <w:pStyle w:val="ConsPlusNormal"/>
              <w:jc w:val="center"/>
            </w:pPr>
            <w:r>
              <w:t>0,00</w:t>
            </w:r>
          </w:p>
        </w:tc>
        <w:tc>
          <w:tcPr>
            <w:tcW w:w="1701" w:type="dxa"/>
            <w:vAlign w:val="center"/>
          </w:tcPr>
          <w:p w14:paraId="38189745" w14:textId="77777777" w:rsidR="00454A29" w:rsidRDefault="00454A29">
            <w:pPr>
              <w:pStyle w:val="ConsPlusNormal"/>
              <w:jc w:val="center"/>
            </w:pPr>
            <w:r>
              <w:t>0,00</w:t>
            </w:r>
          </w:p>
        </w:tc>
        <w:tc>
          <w:tcPr>
            <w:tcW w:w="1701" w:type="dxa"/>
            <w:vAlign w:val="center"/>
          </w:tcPr>
          <w:p w14:paraId="22701486" w14:textId="77777777" w:rsidR="00454A29" w:rsidRDefault="00454A29">
            <w:pPr>
              <w:pStyle w:val="ConsPlusNormal"/>
              <w:jc w:val="center"/>
            </w:pPr>
            <w:r>
              <w:t>0,00</w:t>
            </w:r>
          </w:p>
        </w:tc>
        <w:tc>
          <w:tcPr>
            <w:tcW w:w="1701" w:type="dxa"/>
            <w:vAlign w:val="center"/>
          </w:tcPr>
          <w:p w14:paraId="40D02615" w14:textId="77777777" w:rsidR="00454A29" w:rsidRDefault="00454A29">
            <w:pPr>
              <w:pStyle w:val="ConsPlusNormal"/>
              <w:jc w:val="center"/>
            </w:pPr>
            <w:r>
              <w:t>0,00</w:t>
            </w:r>
          </w:p>
        </w:tc>
        <w:tc>
          <w:tcPr>
            <w:tcW w:w="1701" w:type="dxa"/>
            <w:vAlign w:val="center"/>
          </w:tcPr>
          <w:p w14:paraId="0C51BF76" w14:textId="77777777" w:rsidR="00454A29" w:rsidRDefault="00454A29">
            <w:pPr>
              <w:pStyle w:val="ConsPlusNormal"/>
              <w:jc w:val="center"/>
            </w:pPr>
            <w:r>
              <w:t>0,00</w:t>
            </w:r>
          </w:p>
        </w:tc>
        <w:tc>
          <w:tcPr>
            <w:tcW w:w="1701" w:type="dxa"/>
            <w:vAlign w:val="center"/>
          </w:tcPr>
          <w:p w14:paraId="372ABE73" w14:textId="77777777" w:rsidR="00454A29" w:rsidRDefault="00454A29">
            <w:pPr>
              <w:pStyle w:val="ConsPlusNormal"/>
              <w:jc w:val="center"/>
            </w:pPr>
            <w:r>
              <w:t>0,00</w:t>
            </w:r>
          </w:p>
        </w:tc>
      </w:tr>
      <w:tr w:rsidR="00454A29" w14:paraId="20AD5259" w14:textId="77777777">
        <w:tc>
          <w:tcPr>
            <w:tcW w:w="964" w:type="dxa"/>
            <w:vMerge/>
          </w:tcPr>
          <w:p w14:paraId="0D756908" w14:textId="77777777" w:rsidR="00454A29" w:rsidRDefault="00454A29"/>
        </w:tc>
        <w:tc>
          <w:tcPr>
            <w:tcW w:w="2154" w:type="dxa"/>
            <w:vMerge/>
            <w:tcBorders>
              <w:top w:val="nil"/>
              <w:bottom w:val="nil"/>
            </w:tcBorders>
          </w:tcPr>
          <w:p w14:paraId="6C4B03BD" w14:textId="77777777" w:rsidR="00454A29" w:rsidRDefault="00454A29"/>
        </w:tc>
        <w:tc>
          <w:tcPr>
            <w:tcW w:w="2154" w:type="dxa"/>
            <w:vMerge/>
            <w:tcBorders>
              <w:top w:val="nil"/>
              <w:bottom w:val="nil"/>
            </w:tcBorders>
          </w:tcPr>
          <w:p w14:paraId="14DB4D78" w14:textId="77777777" w:rsidR="00454A29" w:rsidRDefault="00454A29"/>
        </w:tc>
        <w:tc>
          <w:tcPr>
            <w:tcW w:w="2665" w:type="dxa"/>
            <w:vMerge/>
          </w:tcPr>
          <w:p w14:paraId="3C37A5F9" w14:textId="77777777" w:rsidR="00454A29" w:rsidRDefault="00454A29"/>
        </w:tc>
        <w:tc>
          <w:tcPr>
            <w:tcW w:w="2665" w:type="dxa"/>
            <w:vMerge/>
          </w:tcPr>
          <w:p w14:paraId="3DE70FD5" w14:textId="77777777" w:rsidR="00454A29" w:rsidRDefault="00454A29"/>
        </w:tc>
        <w:tc>
          <w:tcPr>
            <w:tcW w:w="1928" w:type="dxa"/>
            <w:vMerge/>
          </w:tcPr>
          <w:p w14:paraId="64573811" w14:textId="77777777" w:rsidR="00454A29" w:rsidRDefault="00454A29"/>
        </w:tc>
        <w:tc>
          <w:tcPr>
            <w:tcW w:w="1644" w:type="dxa"/>
            <w:vMerge/>
          </w:tcPr>
          <w:p w14:paraId="010ECE47" w14:textId="77777777" w:rsidR="00454A29" w:rsidRDefault="00454A29"/>
        </w:tc>
        <w:tc>
          <w:tcPr>
            <w:tcW w:w="2041" w:type="dxa"/>
            <w:vMerge/>
          </w:tcPr>
          <w:p w14:paraId="300C3510" w14:textId="77777777" w:rsidR="00454A29" w:rsidRDefault="00454A29"/>
        </w:tc>
        <w:tc>
          <w:tcPr>
            <w:tcW w:w="2098" w:type="dxa"/>
            <w:vAlign w:val="center"/>
          </w:tcPr>
          <w:p w14:paraId="5F5C744A"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8E6192D" w14:textId="77777777" w:rsidR="00454A29" w:rsidRDefault="00454A29">
            <w:pPr>
              <w:pStyle w:val="ConsPlusNormal"/>
              <w:jc w:val="center"/>
            </w:pPr>
            <w:r>
              <w:t>0,00</w:t>
            </w:r>
          </w:p>
        </w:tc>
        <w:tc>
          <w:tcPr>
            <w:tcW w:w="1701" w:type="dxa"/>
            <w:vAlign w:val="center"/>
          </w:tcPr>
          <w:p w14:paraId="2E60D739" w14:textId="77777777" w:rsidR="00454A29" w:rsidRDefault="00454A29">
            <w:pPr>
              <w:pStyle w:val="ConsPlusNormal"/>
              <w:jc w:val="center"/>
            </w:pPr>
            <w:r>
              <w:t>0,00</w:t>
            </w:r>
          </w:p>
        </w:tc>
        <w:tc>
          <w:tcPr>
            <w:tcW w:w="1701" w:type="dxa"/>
            <w:vAlign w:val="center"/>
          </w:tcPr>
          <w:p w14:paraId="542D738E" w14:textId="77777777" w:rsidR="00454A29" w:rsidRDefault="00454A29">
            <w:pPr>
              <w:pStyle w:val="ConsPlusNormal"/>
              <w:jc w:val="center"/>
            </w:pPr>
            <w:r>
              <w:t>0,00</w:t>
            </w:r>
          </w:p>
        </w:tc>
        <w:tc>
          <w:tcPr>
            <w:tcW w:w="1701" w:type="dxa"/>
            <w:vAlign w:val="center"/>
          </w:tcPr>
          <w:p w14:paraId="6EB70439" w14:textId="77777777" w:rsidR="00454A29" w:rsidRDefault="00454A29">
            <w:pPr>
              <w:pStyle w:val="ConsPlusNormal"/>
              <w:jc w:val="center"/>
            </w:pPr>
            <w:r>
              <w:t>0,00</w:t>
            </w:r>
          </w:p>
        </w:tc>
        <w:tc>
          <w:tcPr>
            <w:tcW w:w="1701" w:type="dxa"/>
            <w:vAlign w:val="center"/>
          </w:tcPr>
          <w:p w14:paraId="7E29DF49" w14:textId="77777777" w:rsidR="00454A29" w:rsidRDefault="00454A29">
            <w:pPr>
              <w:pStyle w:val="ConsPlusNormal"/>
              <w:jc w:val="center"/>
            </w:pPr>
            <w:r>
              <w:t>0,00</w:t>
            </w:r>
          </w:p>
        </w:tc>
        <w:tc>
          <w:tcPr>
            <w:tcW w:w="1701" w:type="dxa"/>
            <w:vAlign w:val="center"/>
          </w:tcPr>
          <w:p w14:paraId="2767F8F8" w14:textId="77777777" w:rsidR="00454A29" w:rsidRDefault="00454A29">
            <w:pPr>
              <w:pStyle w:val="ConsPlusNormal"/>
              <w:jc w:val="center"/>
            </w:pPr>
            <w:r>
              <w:t>0,00</w:t>
            </w:r>
          </w:p>
        </w:tc>
        <w:tc>
          <w:tcPr>
            <w:tcW w:w="1701" w:type="dxa"/>
            <w:vAlign w:val="center"/>
          </w:tcPr>
          <w:p w14:paraId="5AC708E6" w14:textId="77777777" w:rsidR="00454A29" w:rsidRDefault="00454A29">
            <w:pPr>
              <w:pStyle w:val="ConsPlusNormal"/>
              <w:jc w:val="center"/>
            </w:pPr>
            <w:r>
              <w:t>0,00</w:t>
            </w:r>
          </w:p>
        </w:tc>
      </w:tr>
      <w:tr w:rsidR="00454A29" w14:paraId="76E8843D" w14:textId="77777777">
        <w:tc>
          <w:tcPr>
            <w:tcW w:w="964" w:type="dxa"/>
            <w:vMerge/>
          </w:tcPr>
          <w:p w14:paraId="343CDE4C" w14:textId="77777777" w:rsidR="00454A29" w:rsidRDefault="00454A29"/>
        </w:tc>
        <w:tc>
          <w:tcPr>
            <w:tcW w:w="2154" w:type="dxa"/>
            <w:vMerge/>
            <w:tcBorders>
              <w:top w:val="nil"/>
              <w:bottom w:val="nil"/>
            </w:tcBorders>
          </w:tcPr>
          <w:p w14:paraId="1E28EBC5" w14:textId="77777777" w:rsidR="00454A29" w:rsidRDefault="00454A29"/>
        </w:tc>
        <w:tc>
          <w:tcPr>
            <w:tcW w:w="2154" w:type="dxa"/>
            <w:vMerge/>
            <w:tcBorders>
              <w:top w:val="nil"/>
              <w:bottom w:val="nil"/>
            </w:tcBorders>
          </w:tcPr>
          <w:p w14:paraId="22E99619" w14:textId="77777777" w:rsidR="00454A29" w:rsidRDefault="00454A29"/>
        </w:tc>
        <w:tc>
          <w:tcPr>
            <w:tcW w:w="2665" w:type="dxa"/>
            <w:vMerge/>
          </w:tcPr>
          <w:p w14:paraId="762FF307" w14:textId="77777777" w:rsidR="00454A29" w:rsidRDefault="00454A29"/>
        </w:tc>
        <w:tc>
          <w:tcPr>
            <w:tcW w:w="2665" w:type="dxa"/>
            <w:vMerge/>
          </w:tcPr>
          <w:p w14:paraId="288B4B5B" w14:textId="77777777" w:rsidR="00454A29" w:rsidRDefault="00454A29"/>
        </w:tc>
        <w:tc>
          <w:tcPr>
            <w:tcW w:w="1928" w:type="dxa"/>
            <w:vMerge/>
          </w:tcPr>
          <w:p w14:paraId="02D6A69F" w14:textId="77777777" w:rsidR="00454A29" w:rsidRDefault="00454A29"/>
        </w:tc>
        <w:tc>
          <w:tcPr>
            <w:tcW w:w="1644" w:type="dxa"/>
            <w:vMerge/>
          </w:tcPr>
          <w:p w14:paraId="7FC2DCF4" w14:textId="77777777" w:rsidR="00454A29" w:rsidRDefault="00454A29"/>
        </w:tc>
        <w:tc>
          <w:tcPr>
            <w:tcW w:w="2041" w:type="dxa"/>
            <w:vMerge/>
          </w:tcPr>
          <w:p w14:paraId="71A36983" w14:textId="77777777" w:rsidR="00454A29" w:rsidRDefault="00454A29"/>
        </w:tc>
        <w:tc>
          <w:tcPr>
            <w:tcW w:w="2098" w:type="dxa"/>
            <w:vAlign w:val="center"/>
          </w:tcPr>
          <w:p w14:paraId="2513B483" w14:textId="77777777" w:rsidR="00454A29" w:rsidRDefault="00454A29">
            <w:pPr>
              <w:pStyle w:val="ConsPlusNormal"/>
              <w:jc w:val="center"/>
            </w:pPr>
            <w:r>
              <w:t>Федеральный бюджет</w:t>
            </w:r>
          </w:p>
        </w:tc>
        <w:tc>
          <w:tcPr>
            <w:tcW w:w="1814" w:type="dxa"/>
            <w:vAlign w:val="center"/>
          </w:tcPr>
          <w:p w14:paraId="0000CB0D" w14:textId="77777777" w:rsidR="00454A29" w:rsidRDefault="00454A29">
            <w:pPr>
              <w:pStyle w:val="ConsPlusNormal"/>
              <w:jc w:val="center"/>
            </w:pPr>
            <w:r>
              <w:t>0,00</w:t>
            </w:r>
          </w:p>
        </w:tc>
        <w:tc>
          <w:tcPr>
            <w:tcW w:w="1701" w:type="dxa"/>
            <w:vAlign w:val="center"/>
          </w:tcPr>
          <w:p w14:paraId="397A73CF" w14:textId="77777777" w:rsidR="00454A29" w:rsidRDefault="00454A29">
            <w:pPr>
              <w:pStyle w:val="ConsPlusNormal"/>
              <w:jc w:val="center"/>
            </w:pPr>
            <w:r>
              <w:t>0,00</w:t>
            </w:r>
          </w:p>
        </w:tc>
        <w:tc>
          <w:tcPr>
            <w:tcW w:w="1701" w:type="dxa"/>
            <w:vAlign w:val="center"/>
          </w:tcPr>
          <w:p w14:paraId="29B9ADFC" w14:textId="77777777" w:rsidR="00454A29" w:rsidRDefault="00454A29">
            <w:pPr>
              <w:pStyle w:val="ConsPlusNormal"/>
              <w:jc w:val="center"/>
            </w:pPr>
            <w:r>
              <w:t>0,00</w:t>
            </w:r>
          </w:p>
        </w:tc>
        <w:tc>
          <w:tcPr>
            <w:tcW w:w="1701" w:type="dxa"/>
            <w:vAlign w:val="center"/>
          </w:tcPr>
          <w:p w14:paraId="53545F62" w14:textId="77777777" w:rsidR="00454A29" w:rsidRDefault="00454A29">
            <w:pPr>
              <w:pStyle w:val="ConsPlusNormal"/>
              <w:jc w:val="center"/>
            </w:pPr>
            <w:r>
              <w:t>0,00</w:t>
            </w:r>
          </w:p>
        </w:tc>
        <w:tc>
          <w:tcPr>
            <w:tcW w:w="1701" w:type="dxa"/>
            <w:vAlign w:val="center"/>
          </w:tcPr>
          <w:p w14:paraId="66DC0D56" w14:textId="77777777" w:rsidR="00454A29" w:rsidRDefault="00454A29">
            <w:pPr>
              <w:pStyle w:val="ConsPlusNormal"/>
              <w:jc w:val="center"/>
            </w:pPr>
            <w:r>
              <w:t>0,00</w:t>
            </w:r>
          </w:p>
        </w:tc>
        <w:tc>
          <w:tcPr>
            <w:tcW w:w="1701" w:type="dxa"/>
            <w:vAlign w:val="center"/>
          </w:tcPr>
          <w:p w14:paraId="22F89B2C" w14:textId="77777777" w:rsidR="00454A29" w:rsidRDefault="00454A29">
            <w:pPr>
              <w:pStyle w:val="ConsPlusNormal"/>
              <w:jc w:val="center"/>
            </w:pPr>
            <w:r>
              <w:t>0,00</w:t>
            </w:r>
          </w:p>
        </w:tc>
        <w:tc>
          <w:tcPr>
            <w:tcW w:w="1701" w:type="dxa"/>
            <w:vAlign w:val="center"/>
          </w:tcPr>
          <w:p w14:paraId="3665B549" w14:textId="77777777" w:rsidR="00454A29" w:rsidRDefault="00454A29">
            <w:pPr>
              <w:pStyle w:val="ConsPlusNormal"/>
              <w:jc w:val="center"/>
            </w:pPr>
            <w:r>
              <w:t>0,00</w:t>
            </w:r>
          </w:p>
        </w:tc>
      </w:tr>
      <w:tr w:rsidR="00454A29" w14:paraId="64668761" w14:textId="77777777">
        <w:tc>
          <w:tcPr>
            <w:tcW w:w="964" w:type="dxa"/>
            <w:vMerge/>
          </w:tcPr>
          <w:p w14:paraId="51260661" w14:textId="77777777" w:rsidR="00454A29" w:rsidRDefault="00454A29"/>
        </w:tc>
        <w:tc>
          <w:tcPr>
            <w:tcW w:w="2154" w:type="dxa"/>
            <w:vMerge/>
            <w:tcBorders>
              <w:top w:val="nil"/>
              <w:bottom w:val="nil"/>
            </w:tcBorders>
          </w:tcPr>
          <w:p w14:paraId="3ACF9892" w14:textId="77777777" w:rsidR="00454A29" w:rsidRDefault="00454A29"/>
        </w:tc>
        <w:tc>
          <w:tcPr>
            <w:tcW w:w="2154" w:type="dxa"/>
            <w:vMerge/>
            <w:tcBorders>
              <w:top w:val="nil"/>
              <w:bottom w:val="nil"/>
            </w:tcBorders>
          </w:tcPr>
          <w:p w14:paraId="491CF101" w14:textId="77777777" w:rsidR="00454A29" w:rsidRDefault="00454A29"/>
        </w:tc>
        <w:tc>
          <w:tcPr>
            <w:tcW w:w="2665" w:type="dxa"/>
            <w:vMerge/>
          </w:tcPr>
          <w:p w14:paraId="765696A4" w14:textId="77777777" w:rsidR="00454A29" w:rsidRDefault="00454A29"/>
        </w:tc>
        <w:tc>
          <w:tcPr>
            <w:tcW w:w="2665" w:type="dxa"/>
            <w:vMerge/>
          </w:tcPr>
          <w:p w14:paraId="72DE0544" w14:textId="77777777" w:rsidR="00454A29" w:rsidRDefault="00454A29"/>
        </w:tc>
        <w:tc>
          <w:tcPr>
            <w:tcW w:w="1928" w:type="dxa"/>
            <w:vMerge/>
          </w:tcPr>
          <w:p w14:paraId="4A7CECED" w14:textId="77777777" w:rsidR="00454A29" w:rsidRDefault="00454A29"/>
        </w:tc>
        <w:tc>
          <w:tcPr>
            <w:tcW w:w="1644" w:type="dxa"/>
            <w:vMerge/>
          </w:tcPr>
          <w:p w14:paraId="359A173D" w14:textId="77777777" w:rsidR="00454A29" w:rsidRDefault="00454A29"/>
        </w:tc>
        <w:tc>
          <w:tcPr>
            <w:tcW w:w="2041" w:type="dxa"/>
            <w:vMerge/>
          </w:tcPr>
          <w:p w14:paraId="737A6283" w14:textId="77777777" w:rsidR="00454A29" w:rsidRDefault="00454A29"/>
        </w:tc>
        <w:tc>
          <w:tcPr>
            <w:tcW w:w="2098" w:type="dxa"/>
            <w:vAlign w:val="center"/>
          </w:tcPr>
          <w:p w14:paraId="39223640" w14:textId="77777777" w:rsidR="00454A29" w:rsidRDefault="00454A29">
            <w:pPr>
              <w:pStyle w:val="ConsPlusNormal"/>
              <w:jc w:val="center"/>
            </w:pPr>
            <w:r>
              <w:t>Внебюджетные средства</w:t>
            </w:r>
          </w:p>
        </w:tc>
        <w:tc>
          <w:tcPr>
            <w:tcW w:w="1814" w:type="dxa"/>
            <w:vAlign w:val="center"/>
          </w:tcPr>
          <w:p w14:paraId="7087F60F" w14:textId="77777777" w:rsidR="00454A29" w:rsidRDefault="00454A29">
            <w:pPr>
              <w:pStyle w:val="ConsPlusNormal"/>
              <w:jc w:val="center"/>
            </w:pPr>
            <w:r>
              <w:t>0,00</w:t>
            </w:r>
          </w:p>
        </w:tc>
        <w:tc>
          <w:tcPr>
            <w:tcW w:w="1701" w:type="dxa"/>
            <w:vAlign w:val="center"/>
          </w:tcPr>
          <w:p w14:paraId="2AF7A239" w14:textId="77777777" w:rsidR="00454A29" w:rsidRDefault="00454A29">
            <w:pPr>
              <w:pStyle w:val="ConsPlusNormal"/>
              <w:jc w:val="center"/>
            </w:pPr>
            <w:r>
              <w:t>0,00</w:t>
            </w:r>
          </w:p>
        </w:tc>
        <w:tc>
          <w:tcPr>
            <w:tcW w:w="1701" w:type="dxa"/>
            <w:vAlign w:val="center"/>
          </w:tcPr>
          <w:p w14:paraId="79173973" w14:textId="77777777" w:rsidR="00454A29" w:rsidRDefault="00454A29">
            <w:pPr>
              <w:pStyle w:val="ConsPlusNormal"/>
              <w:jc w:val="center"/>
            </w:pPr>
            <w:r>
              <w:t>0,00</w:t>
            </w:r>
          </w:p>
        </w:tc>
        <w:tc>
          <w:tcPr>
            <w:tcW w:w="1701" w:type="dxa"/>
            <w:vAlign w:val="center"/>
          </w:tcPr>
          <w:p w14:paraId="0B03DB54" w14:textId="77777777" w:rsidR="00454A29" w:rsidRDefault="00454A29">
            <w:pPr>
              <w:pStyle w:val="ConsPlusNormal"/>
              <w:jc w:val="center"/>
            </w:pPr>
            <w:r>
              <w:t>0,00</w:t>
            </w:r>
          </w:p>
        </w:tc>
        <w:tc>
          <w:tcPr>
            <w:tcW w:w="1701" w:type="dxa"/>
            <w:vAlign w:val="center"/>
          </w:tcPr>
          <w:p w14:paraId="2E01E462" w14:textId="77777777" w:rsidR="00454A29" w:rsidRDefault="00454A29">
            <w:pPr>
              <w:pStyle w:val="ConsPlusNormal"/>
              <w:jc w:val="center"/>
            </w:pPr>
            <w:r>
              <w:t>0,00</w:t>
            </w:r>
          </w:p>
        </w:tc>
        <w:tc>
          <w:tcPr>
            <w:tcW w:w="1701" w:type="dxa"/>
            <w:vAlign w:val="center"/>
          </w:tcPr>
          <w:p w14:paraId="19A3464A" w14:textId="77777777" w:rsidR="00454A29" w:rsidRDefault="00454A29">
            <w:pPr>
              <w:pStyle w:val="ConsPlusNormal"/>
              <w:jc w:val="center"/>
            </w:pPr>
            <w:r>
              <w:t>0,00</w:t>
            </w:r>
          </w:p>
        </w:tc>
        <w:tc>
          <w:tcPr>
            <w:tcW w:w="1701" w:type="dxa"/>
            <w:vAlign w:val="center"/>
          </w:tcPr>
          <w:p w14:paraId="27CC51B0" w14:textId="77777777" w:rsidR="00454A29" w:rsidRDefault="00454A29">
            <w:pPr>
              <w:pStyle w:val="ConsPlusNormal"/>
              <w:jc w:val="center"/>
            </w:pPr>
            <w:r>
              <w:t>0,00</w:t>
            </w:r>
          </w:p>
        </w:tc>
      </w:tr>
      <w:tr w:rsidR="00454A29" w14:paraId="1AA71A73" w14:textId="77777777">
        <w:tc>
          <w:tcPr>
            <w:tcW w:w="964" w:type="dxa"/>
            <w:vMerge w:val="restart"/>
            <w:vAlign w:val="center"/>
          </w:tcPr>
          <w:p w14:paraId="4C648827" w14:textId="77777777" w:rsidR="00454A29" w:rsidRDefault="00454A29">
            <w:pPr>
              <w:pStyle w:val="ConsPlusNormal"/>
              <w:jc w:val="center"/>
            </w:pPr>
            <w:r>
              <w:t>1.5.</w:t>
            </w:r>
          </w:p>
        </w:tc>
        <w:tc>
          <w:tcPr>
            <w:tcW w:w="2154" w:type="dxa"/>
            <w:vMerge w:val="restart"/>
            <w:tcBorders>
              <w:top w:val="nil"/>
              <w:bottom w:val="nil"/>
            </w:tcBorders>
            <w:vAlign w:val="center"/>
          </w:tcPr>
          <w:p w14:paraId="47C819EF" w14:textId="77777777" w:rsidR="00454A29" w:rsidRDefault="00454A29">
            <w:pPr>
              <w:pStyle w:val="ConsPlusNormal"/>
            </w:pPr>
          </w:p>
        </w:tc>
        <w:tc>
          <w:tcPr>
            <w:tcW w:w="2154" w:type="dxa"/>
            <w:vMerge w:val="restart"/>
            <w:tcBorders>
              <w:top w:val="nil"/>
              <w:bottom w:val="nil"/>
            </w:tcBorders>
            <w:vAlign w:val="center"/>
          </w:tcPr>
          <w:p w14:paraId="6297B087" w14:textId="77777777" w:rsidR="00454A29" w:rsidRDefault="00454A29">
            <w:pPr>
              <w:pStyle w:val="ConsPlusNormal"/>
            </w:pPr>
          </w:p>
        </w:tc>
        <w:tc>
          <w:tcPr>
            <w:tcW w:w="2665" w:type="dxa"/>
            <w:vMerge w:val="restart"/>
            <w:vAlign w:val="center"/>
          </w:tcPr>
          <w:p w14:paraId="705C088D" w14:textId="77777777" w:rsidR="00454A29" w:rsidRDefault="00454A29">
            <w:pPr>
              <w:pStyle w:val="ConsPlusNormal"/>
              <w:jc w:val="center"/>
            </w:pPr>
            <w:r>
              <w:t>Результат 5. Проведена оценка качества общего образования на основе практики международных исследований качества подготовки обучающихся с 2021 года</w:t>
            </w:r>
          </w:p>
        </w:tc>
        <w:tc>
          <w:tcPr>
            <w:tcW w:w="2665" w:type="dxa"/>
            <w:vMerge w:val="restart"/>
            <w:vAlign w:val="center"/>
          </w:tcPr>
          <w:p w14:paraId="15C0FD70" w14:textId="77777777" w:rsidR="00454A29" w:rsidRDefault="00454A29">
            <w:pPr>
              <w:pStyle w:val="ConsPlusNormal"/>
              <w:jc w:val="center"/>
            </w:pPr>
            <w:r>
              <w:t>Мероприятие 2.5.5. Проведение оценки качества общего образования на основе практики международных исследований качества подготовки обучающихся с 2021 года</w:t>
            </w:r>
          </w:p>
        </w:tc>
        <w:tc>
          <w:tcPr>
            <w:tcW w:w="1928" w:type="dxa"/>
            <w:vMerge w:val="restart"/>
            <w:vAlign w:val="center"/>
          </w:tcPr>
          <w:p w14:paraId="27C7810A" w14:textId="77777777" w:rsidR="00454A29" w:rsidRDefault="00454A29">
            <w:pPr>
              <w:pStyle w:val="ConsPlusNormal"/>
              <w:jc w:val="center"/>
            </w:pPr>
            <w:r>
              <w:t>-</w:t>
            </w:r>
          </w:p>
        </w:tc>
        <w:tc>
          <w:tcPr>
            <w:tcW w:w="1644" w:type="dxa"/>
            <w:vMerge w:val="restart"/>
            <w:vAlign w:val="center"/>
          </w:tcPr>
          <w:p w14:paraId="2BAE1DD2" w14:textId="77777777" w:rsidR="00454A29" w:rsidRDefault="00454A29">
            <w:pPr>
              <w:pStyle w:val="ConsPlusNormal"/>
              <w:jc w:val="center"/>
            </w:pPr>
            <w:r>
              <w:t>-</w:t>
            </w:r>
          </w:p>
        </w:tc>
        <w:tc>
          <w:tcPr>
            <w:tcW w:w="2041" w:type="dxa"/>
            <w:vMerge w:val="restart"/>
            <w:vAlign w:val="center"/>
          </w:tcPr>
          <w:p w14:paraId="51BADC2D" w14:textId="77777777" w:rsidR="00454A29" w:rsidRDefault="00454A29">
            <w:pPr>
              <w:pStyle w:val="ConsPlusNormal"/>
              <w:jc w:val="center"/>
            </w:pPr>
            <w:r>
              <w:t>-</w:t>
            </w:r>
          </w:p>
        </w:tc>
        <w:tc>
          <w:tcPr>
            <w:tcW w:w="2098" w:type="dxa"/>
            <w:vAlign w:val="center"/>
          </w:tcPr>
          <w:p w14:paraId="089D90DA" w14:textId="77777777" w:rsidR="00454A29" w:rsidRDefault="00454A29">
            <w:pPr>
              <w:pStyle w:val="ConsPlusNormal"/>
              <w:jc w:val="center"/>
            </w:pPr>
            <w:r>
              <w:t>Итого</w:t>
            </w:r>
          </w:p>
        </w:tc>
        <w:tc>
          <w:tcPr>
            <w:tcW w:w="1814" w:type="dxa"/>
            <w:vAlign w:val="center"/>
          </w:tcPr>
          <w:p w14:paraId="1FCAC141" w14:textId="77777777" w:rsidR="00454A29" w:rsidRDefault="00454A29">
            <w:pPr>
              <w:pStyle w:val="ConsPlusNormal"/>
              <w:jc w:val="center"/>
            </w:pPr>
            <w:r>
              <w:t>0,00</w:t>
            </w:r>
          </w:p>
        </w:tc>
        <w:tc>
          <w:tcPr>
            <w:tcW w:w="1701" w:type="dxa"/>
            <w:vAlign w:val="center"/>
          </w:tcPr>
          <w:p w14:paraId="4064AE15" w14:textId="77777777" w:rsidR="00454A29" w:rsidRDefault="00454A29">
            <w:pPr>
              <w:pStyle w:val="ConsPlusNormal"/>
              <w:jc w:val="center"/>
            </w:pPr>
            <w:r>
              <w:t>0,00</w:t>
            </w:r>
          </w:p>
        </w:tc>
        <w:tc>
          <w:tcPr>
            <w:tcW w:w="1701" w:type="dxa"/>
            <w:vAlign w:val="center"/>
          </w:tcPr>
          <w:p w14:paraId="717742CD" w14:textId="77777777" w:rsidR="00454A29" w:rsidRDefault="00454A29">
            <w:pPr>
              <w:pStyle w:val="ConsPlusNormal"/>
              <w:jc w:val="center"/>
            </w:pPr>
            <w:r>
              <w:t>0,00</w:t>
            </w:r>
          </w:p>
        </w:tc>
        <w:tc>
          <w:tcPr>
            <w:tcW w:w="1701" w:type="dxa"/>
            <w:vAlign w:val="center"/>
          </w:tcPr>
          <w:p w14:paraId="074AB740" w14:textId="77777777" w:rsidR="00454A29" w:rsidRDefault="00454A29">
            <w:pPr>
              <w:pStyle w:val="ConsPlusNormal"/>
              <w:jc w:val="center"/>
            </w:pPr>
            <w:r>
              <w:t>0,00</w:t>
            </w:r>
          </w:p>
        </w:tc>
        <w:tc>
          <w:tcPr>
            <w:tcW w:w="1701" w:type="dxa"/>
            <w:vAlign w:val="center"/>
          </w:tcPr>
          <w:p w14:paraId="5864C0A1" w14:textId="77777777" w:rsidR="00454A29" w:rsidRDefault="00454A29">
            <w:pPr>
              <w:pStyle w:val="ConsPlusNormal"/>
              <w:jc w:val="center"/>
            </w:pPr>
            <w:r>
              <w:t>0,00</w:t>
            </w:r>
          </w:p>
        </w:tc>
        <w:tc>
          <w:tcPr>
            <w:tcW w:w="1701" w:type="dxa"/>
            <w:vAlign w:val="center"/>
          </w:tcPr>
          <w:p w14:paraId="2C3ECB0A" w14:textId="77777777" w:rsidR="00454A29" w:rsidRDefault="00454A29">
            <w:pPr>
              <w:pStyle w:val="ConsPlusNormal"/>
              <w:jc w:val="center"/>
            </w:pPr>
            <w:r>
              <w:t>0,00</w:t>
            </w:r>
          </w:p>
        </w:tc>
        <w:tc>
          <w:tcPr>
            <w:tcW w:w="1701" w:type="dxa"/>
            <w:vAlign w:val="center"/>
          </w:tcPr>
          <w:p w14:paraId="7FFFFD58" w14:textId="77777777" w:rsidR="00454A29" w:rsidRDefault="00454A29">
            <w:pPr>
              <w:pStyle w:val="ConsPlusNormal"/>
              <w:jc w:val="center"/>
            </w:pPr>
            <w:r>
              <w:t>0,00</w:t>
            </w:r>
          </w:p>
        </w:tc>
      </w:tr>
      <w:tr w:rsidR="00454A29" w14:paraId="1C8FDCBF" w14:textId="77777777">
        <w:tc>
          <w:tcPr>
            <w:tcW w:w="964" w:type="dxa"/>
            <w:vMerge/>
          </w:tcPr>
          <w:p w14:paraId="17AE5C76" w14:textId="77777777" w:rsidR="00454A29" w:rsidRDefault="00454A29"/>
        </w:tc>
        <w:tc>
          <w:tcPr>
            <w:tcW w:w="2154" w:type="dxa"/>
            <w:vMerge/>
            <w:tcBorders>
              <w:top w:val="nil"/>
              <w:bottom w:val="nil"/>
            </w:tcBorders>
          </w:tcPr>
          <w:p w14:paraId="171DD491" w14:textId="77777777" w:rsidR="00454A29" w:rsidRDefault="00454A29"/>
        </w:tc>
        <w:tc>
          <w:tcPr>
            <w:tcW w:w="2154" w:type="dxa"/>
            <w:vMerge/>
            <w:tcBorders>
              <w:top w:val="nil"/>
              <w:bottom w:val="nil"/>
            </w:tcBorders>
          </w:tcPr>
          <w:p w14:paraId="6E706CE7" w14:textId="77777777" w:rsidR="00454A29" w:rsidRDefault="00454A29"/>
        </w:tc>
        <w:tc>
          <w:tcPr>
            <w:tcW w:w="2665" w:type="dxa"/>
            <w:vMerge/>
          </w:tcPr>
          <w:p w14:paraId="6A0EDCE4" w14:textId="77777777" w:rsidR="00454A29" w:rsidRDefault="00454A29"/>
        </w:tc>
        <w:tc>
          <w:tcPr>
            <w:tcW w:w="2665" w:type="dxa"/>
            <w:vMerge/>
          </w:tcPr>
          <w:p w14:paraId="573D0426" w14:textId="77777777" w:rsidR="00454A29" w:rsidRDefault="00454A29"/>
        </w:tc>
        <w:tc>
          <w:tcPr>
            <w:tcW w:w="1928" w:type="dxa"/>
            <w:vMerge/>
          </w:tcPr>
          <w:p w14:paraId="5AD5002B" w14:textId="77777777" w:rsidR="00454A29" w:rsidRDefault="00454A29"/>
        </w:tc>
        <w:tc>
          <w:tcPr>
            <w:tcW w:w="1644" w:type="dxa"/>
            <w:vMerge/>
          </w:tcPr>
          <w:p w14:paraId="38744DB5" w14:textId="77777777" w:rsidR="00454A29" w:rsidRDefault="00454A29"/>
        </w:tc>
        <w:tc>
          <w:tcPr>
            <w:tcW w:w="2041" w:type="dxa"/>
            <w:vMerge/>
          </w:tcPr>
          <w:p w14:paraId="60D5FBA8" w14:textId="77777777" w:rsidR="00454A29" w:rsidRDefault="00454A29"/>
        </w:tc>
        <w:tc>
          <w:tcPr>
            <w:tcW w:w="2098" w:type="dxa"/>
            <w:vAlign w:val="center"/>
          </w:tcPr>
          <w:p w14:paraId="0C24533F"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89A4AFC" w14:textId="77777777" w:rsidR="00454A29" w:rsidRDefault="00454A29">
            <w:pPr>
              <w:pStyle w:val="ConsPlusNormal"/>
              <w:jc w:val="center"/>
            </w:pPr>
            <w:r>
              <w:t>0,00</w:t>
            </w:r>
          </w:p>
        </w:tc>
        <w:tc>
          <w:tcPr>
            <w:tcW w:w="1701" w:type="dxa"/>
            <w:vAlign w:val="center"/>
          </w:tcPr>
          <w:p w14:paraId="023BA11C" w14:textId="77777777" w:rsidR="00454A29" w:rsidRDefault="00454A29">
            <w:pPr>
              <w:pStyle w:val="ConsPlusNormal"/>
              <w:jc w:val="center"/>
            </w:pPr>
            <w:r>
              <w:t>0,00</w:t>
            </w:r>
          </w:p>
        </w:tc>
        <w:tc>
          <w:tcPr>
            <w:tcW w:w="1701" w:type="dxa"/>
            <w:vAlign w:val="center"/>
          </w:tcPr>
          <w:p w14:paraId="44A05071" w14:textId="77777777" w:rsidR="00454A29" w:rsidRDefault="00454A29">
            <w:pPr>
              <w:pStyle w:val="ConsPlusNormal"/>
              <w:jc w:val="center"/>
            </w:pPr>
            <w:r>
              <w:t>0,00</w:t>
            </w:r>
          </w:p>
        </w:tc>
        <w:tc>
          <w:tcPr>
            <w:tcW w:w="1701" w:type="dxa"/>
            <w:vAlign w:val="center"/>
          </w:tcPr>
          <w:p w14:paraId="553ACB67" w14:textId="77777777" w:rsidR="00454A29" w:rsidRDefault="00454A29">
            <w:pPr>
              <w:pStyle w:val="ConsPlusNormal"/>
              <w:jc w:val="center"/>
            </w:pPr>
            <w:r>
              <w:t>0,00</w:t>
            </w:r>
          </w:p>
        </w:tc>
        <w:tc>
          <w:tcPr>
            <w:tcW w:w="1701" w:type="dxa"/>
            <w:vAlign w:val="center"/>
          </w:tcPr>
          <w:p w14:paraId="4B9A22C8" w14:textId="77777777" w:rsidR="00454A29" w:rsidRDefault="00454A29">
            <w:pPr>
              <w:pStyle w:val="ConsPlusNormal"/>
              <w:jc w:val="center"/>
            </w:pPr>
            <w:r>
              <w:t>0,00</w:t>
            </w:r>
          </w:p>
        </w:tc>
        <w:tc>
          <w:tcPr>
            <w:tcW w:w="1701" w:type="dxa"/>
            <w:vAlign w:val="center"/>
          </w:tcPr>
          <w:p w14:paraId="73352FDD" w14:textId="77777777" w:rsidR="00454A29" w:rsidRDefault="00454A29">
            <w:pPr>
              <w:pStyle w:val="ConsPlusNormal"/>
              <w:jc w:val="center"/>
            </w:pPr>
            <w:r>
              <w:t>0,00</w:t>
            </w:r>
          </w:p>
        </w:tc>
        <w:tc>
          <w:tcPr>
            <w:tcW w:w="1701" w:type="dxa"/>
            <w:vAlign w:val="center"/>
          </w:tcPr>
          <w:p w14:paraId="5A7A2FFD" w14:textId="77777777" w:rsidR="00454A29" w:rsidRDefault="00454A29">
            <w:pPr>
              <w:pStyle w:val="ConsPlusNormal"/>
              <w:jc w:val="center"/>
            </w:pPr>
            <w:r>
              <w:t>0,00</w:t>
            </w:r>
          </w:p>
        </w:tc>
      </w:tr>
      <w:tr w:rsidR="00454A29" w14:paraId="298D167A" w14:textId="77777777">
        <w:tc>
          <w:tcPr>
            <w:tcW w:w="964" w:type="dxa"/>
            <w:vMerge/>
          </w:tcPr>
          <w:p w14:paraId="56144B13" w14:textId="77777777" w:rsidR="00454A29" w:rsidRDefault="00454A29"/>
        </w:tc>
        <w:tc>
          <w:tcPr>
            <w:tcW w:w="2154" w:type="dxa"/>
            <w:vMerge/>
            <w:tcBorders>
              <w:top w:val="nil"/>
              <w:bottom w:val="nil"/>
            </w:tcBorders>
          </w:tcPr>
          <w:p w14:paraId="639100E0" w14:textId="77777777" w:rsidR="00454A29" w:rsidRDefault="00454A29"/>
        </w:tc>
        <w:tc>
          <w:tcPr>
            <w:tcW w:w="2154" w:type="dxa"/>
            <w:vMerge/>
            <w:tcBorders>
              <w:top w:val="nil"/>
              <w:bottom w:val="nil"/>
            </w:tcBorders>
          </w:tcPr>
          <w:p w14:paraId="4CDB7D92" w14:textId="77777777" w:rsidR="00454A29" w:rsidRDefault="00454A29"/>
        </w:tc>
        <w:tc>
          <w:tcPr>
            <w:tcW w:w="2665" w:type="dxa"/>
            <w:vMerge/>
          </w:tcPr>
          <w:p w14:paraId="1B6D2EF8" w14:textId="77777777" w:rsidR="00454A29" w:rsidRDefault="00454A29"/>
        </w:tc>
        <w:tc>
          <w:tcPr>
            <w:tcW w:w="2665" w:type="dxa"/>
            <w:vMerge/>
          </w:tcPr>
          <w:p w14:paraId="46AFAD45" w14:textId="77777777" w:rsidR="00454A29" w:rsidRDefault="00454A29"/>
        </w:tc>
        <w:tc>
          <w:tcPr>
            <w:tcW w:w="1928" w:type="dxa"/>
            <w:vMerge/>
          </w:tcPr>
          <w:p w14:paraId="5C970D5A" w14:textId="77777777" w:rsidR="00454A29" w:rsidRDefault="00454A29"/>
        </w:tc>
        <w:tc>
          <w:tcPr>
            <w:tcW w:w="1644" w:type="dxa"/>
            <w:vMerge/>
          </w:tcPr>
          <w:p w14:paraId="29E81501" w14:textId="77777777" w:rsidR="00454A29" w:rsidRDefault="00454A29"/>
        </w:tc>
        <w:tc>
          <w:tcPr>
            <w:tcW w:w="2041" w:type="dxa"/>
            <w:vMerge/>
          </w:tcPr>
          <w:p w14:paraId="477AA300" w14:textId="77777777" w:rsidR="00454A29" w:rsidRDefault="00454A29"/>
        </w:tc>
        <w:tc>
          <w:tcPr>
            <w:tcW w:w="2098" w:type="dxa"/>
            <w:vAlign w:val="center"/>
          </w:tcPr>
          <w:p w14:paraId="46CC1675" w14:textId="77777777" w:rsidR="00454A29" w:rsidRDefault="00454A29">
            <w:pPr>
              <w:pStyle w:val="ConsPlusNormal"/>
              <w:jc w:val="center"/>
            </w:pPr>
            <w:r>
              <w:t>Федеральный бюджет</w:t>
            </w:r>
          </w:p>
        </w:tc>
        <w:tc>
          <w:tcPr>
            <w:tcW w:w="1814" w:type="dxa"/>
            <w:vAlign w:val="center"/>
          </w:tcPr>
          <w:p w14:paraId="1E867015" w14:textId="77777777" w:rsidR="00454A29" w:rsidRDefault="00454A29">
            <w:pPr>
              <w:pStyle w:val="ConsPlusNormal"/>
              <w:jc w:val="center"/>
            </w:pPr>
            <w:r>
              <w:t>0,00</w:t>
            </w:r>
          </w:p>
        </w:tc>
        <w:tc>
          <w:tcPr>
            <w:tcW w:w="1701" w:type="dxa"/>
            <w:vAlign w:val="center"/>
          </w:tcPr>
          <w:p w14:paraId="2686867C" w14:textId="77777777" w:rsidR="00454A29" w:rsidRDefault="00454A29">
            <w:pPr>
              <w:pStyle w:val="ConsPlusNormal"/>
              <w:jc w:val="center"/>
            </w:pPr>
            <w:r>
              <w:t>0,00</w:t>
            </w:r>
          </w:p>
        </w:tc>
        <w:tc>
          <w:tcPr>
            <w:tcW w:w="1701" w:type="dxa"/>
            <w:vAlign w:val="center"/>
          </w:tcPr>
          <w:p w14:paraId="11E20703" w14:textId="77777777" w:rsidR="00454A29" w:rsidRDefault="00454A29">
            <w:pPr>
              <w:pStyle w:val="ConsPlusNormal"/>
              <w:jc w:val="center"/>
            </w:pPr>
            <w:r>
              <w:t>0,00</w:t>
            </w:r>
          </w:p>
        </w:tc>
        <w:tc>
          <w:tcPr>
            <w:tcW w:w="1701" w:type="dxa"/>
            <w:vAlign w:val="center"/>
          </w:tcPr>
          <w:p w14:paraId="2733A7E7" w14:textId="77777777" w:rsidR="00454A29" w:rsidRDefault="00454A29">
            <w:pPr>
              <w:pStyle w:val="ConsPlusNormal"/>
              <w:jc w:val="center"/>
            </w:pPr>
            <w:r>
              <w:t>0,00</w:t>
            </w:r>
          </w:p>
        </w:tc>
        <w:tc>
          <w:tcPr>
            <w:tcW w:w="1701" w:type="dxa"/>
            <w:vAlign w:val="center"/>
          </w:tcPr>
          <w:p w14:paraId="03BD0A09" w14:textId="77777777" w:rsidR="00454A29" w:rsidRDefault="00454A29">
            <w:pPr>
              <w:pStyle w:val="ConsPlusNormal"/>
              <w:jc w:val="center"/>
            </w:pPr>
            <w:r>
              <w:t>0,00</w:t>
            </w:r>
          </w:p>
        </w:tc>
        <w:tc>
          <w:tcPr>
            <w:tcW w:w="1701" w:type="dxa"/>
            <w:vAlign w:val="center"/>
          </w:tcPr>
          <w:p w14:paraId="0636A8D4" w14:textId="77777777" w:rsidR="00454A29" w:rsidRDefault="00454A29">
            <w:pPr>
              <w:pStyle w:val="ConsPlusNormal"/>
              <w:jc w:val="center"/>
            </w:pPr>
            <w:r>
              <w:t>0,00</w:t>
            </w:r>
          </w:p>
        </w:tc>
        <w:tc>
          <w:tcPr>
            <w:tcW w:w="1701" w:type="dxa"/>
            <w:vAlign w:val="center"/>
          </w:tcPr>
          <w:p w14:paraId="79F79146" w14:textId="77777777" w:rsidR="00454A29" w:rsidRDefault="00454A29">
            <w:pPr>
              <w:pStyle w:val="ConsPlusNormal"/>
              <w:jc w:val="center"/>
            </w:pPr>
            <w:r>
              <w:t>0,00</w:t>
            </w:r>
          </w:p>
        </w:tc>
      </w:tr>
      <w:tr w:rsidR="00454A29" w14:paraId="6BDF5271" w14:textId="77777777">
        <w:tc>
          <w:tcPr>
            <w:tcW w:w="964" w:type="dxa"/>
            <w:vMerge/>
          </w:tcPr>
          <w:p w14:paraId="24A41D77" w14:textId="77777777" w:rsidR="00454A29" w:rsidRDefault="00454A29"/>
        </w:tc>
        <w:tc>
          <w:tcPr>
            <w:tcW w:w="2154" w:type="dxa"/>
            <w:vMerge/>
            <w:tcBorders>
              <w:top w:val="nil"/>
              <w:bottom w:val="nil"/>
            </w:tcBorders>
          </w:tcPr>
          <w:p w14:paraId="470B1B39" w14:textId="77777777" w:rsidR="00454A29" w:rsidRDefault="00454A29"/>
        </w:tc>
        <w:tc>
          <w:tcPr>
            <w:tcW w:w="2154" w:type="dxa"/>
            <w:vMerge/>
            <w:tcBorders>
              <w:top w:val="nil"/>
              <w:bottom w:val="nil"/>
            </w:tcBorders>
          </w:tcPr>
          <w:p w14:paraId="10202E01" w14:textId="77777777" w:rsidR="00454A29" w:rsidRDefault="00454A29"/>
        </w:tc>
        <w:tc>
          <w:tcPr>
            <w:tcW w:w="2665" w:type="dxa"/>
            <w:vMerge/>
          </w:tcPr>
          <w:p w14:paraId="3D919D1A" w14:textId="77777777" w:rsidR="00454A29" w:rsidRDefault="00454A29"/>
        </w:tc>
        <w:tc>
          <w:tcPr>
            <w:tcW w:w="2665" w:type="dxa"/>
            <w:vMerge/>
          </w:tcPr>
          <w:p w14:paraId="1644C5E4" w14:textId="77777777" w:rsidR="00454A29" w:rsidRDefault="00454A29"/>
        </w:tc>
        <w:tc>
          <w:tcPr>
            <w:tcW w:w="1928" w:type="dxa"/>
            <w:vMerge/>
          </w:tcPr>
          <w:p w14:paraId="67686E54" w14:textId="77777777" w:rsidR="00454A29" w:rsidRDefault="00454A29"/>
        </w:tc>
        <w:tc>
          <w:tcPr>
            <w:tcW w:w="1644" w:type="dxa"/>
            <w:vMerge/>
          </w:tcPr>
          <w:p w14:paraId="2C5D76B1" w14:textId="77777777" w:rsidR="00454A29" w:rsidRDefault="00454A29"/>
        </w:tc>
        <w:tc>
          <w:tcPr>
            <w:tcW w:w="2041" w:type="dxa"/>
            <w:vMerge/>
          </w:tcPr>
          <w:p w14:paraId="189F268A" w14:textId="77777777" w:rsidR="00454A29" w:rsidRDefault="00454A29"/>
        </w:tc>
        <w:tc>
          <w:tcPr>
            <w:tcW w:w="2098" w:type="dxa"/>
            <w:vAlign w:val="center"/>
          </w:tcPr>
          <w:p w14:paraId="2C96457D" w14:textId="77777777" w:rsidR="00454A29" w:rsidRDefault="00454A29">
            <w:pPr>
              <w:pStyle w:val="ConsPlusNormal"/>
              <w:jc w:val="center"/>
            </w:pPr>
            <w:r>
              <w:t>Местные бюджеты</w:t>
            </w:r>
          </w:p>
        </w:tc>
        <w:tc>
          <w:tcPr>
            <w:tcW w:w="1814" w:type="dxa"/>
            <w:vAlign w:val="center"/>
          </w:tcPr>
          <w:p w14:paraId="1BF49F95" w14:textId="77777777" w:rsidR="00454A29" w:rsidRDefault="00454A29">
            <w:pPr>
              <w:pStyle w:val="ConsPlusNormal"/>
              <w:jc w:val="center"/>
            </w:pPr>
            <w:r>
              <w:t>0,00</w:t>
            </w:r>
          </w:p>
        </w:tc>
        <w:tc>
          <w:tcPr>
            <w:tcW w:w="1701" w:type="dxa"/>
            <w:vAlign w:val="center"/>
          </w:tcPr>
          <w:p w14:paraId="129AE26F" w14:textId="77777777" w:rsidR="00454A29" w:rsidRDefault="00454A29">
            <w:pPr>
              <w:pStyle w:val="ConsPlusNormal"/>
              <w:jc w:val="center"/>
            </w:pPr>
            <w:r>
              <w:t>0,00</w:t>
            </w:r>
          </w:p>
        </w:tc>
        <w:tc>
          <w:tcPr>
            <w:tcW w:w="1701" w:type="dxa"/>
            <w:vAlign w:val="center"/>
          </w:tcPr>
          <w:p w14:paraId="5AED84DA" w14:textId="77777777" w:rsidR="00454A29" w:rsidRDefault="00454A29">
            <w:pPr>
              <w:pStyle w:val="ConsPlusNormal"/>
              <w:jc w:val="center"/>
            </w:pPr>
            <w:r>
              <w:t>0,00</w:t>
            </w:r>
          </w:p>
        </w:tc>
        <w:tc>
          <w:tcPr>
            <w:tcW w:w="1701" w:type="dxa"/>
            <w:vAlign w:val="center"/>
          </w:tcPr>
          <w:p w14:paraId="650E98CD" w14:textId="77777777" w:rsidR="00454A29" w:rsidRDefault="00454A29">
            <w:pPr>
              <w:pStyle w:val="ConsPlusNormal"/>
              <w:jc w:val="center"/>
            </w:pPr>
            <w:r>
              <w:t>0,00</w:t>
            </w:r>
          </w:p>
        </w:tc>
        <w:tc>
          <w:tcPr>
            <w:tcW w:w="1701" w:type="dxa"/>
            <w:vAlign w:val="center"/>
          </w:tcPr>
          <w:p w14:paraId="7C08E91B" w14:textId="77777777" w:rsidR="00454A29" w:rsidRDefault="00454A29">
            <w:pPr>
              <w:pStyle w:val="ConsPlusNormal"/>
              <w:jc w:val="center"/>
            </w:pPr>
            <w:r>
              <w:t>0,00</w:t>
            </w:r>
          </w:p>
        </w:tc>
        <w:tc>
          <w:tcPr>
            <w:tcW w:w="1701" w:type="dxa"/>
            <w:vAlign w:val="center"/>
          </w:tcPr>
          <w:p w14:paraId="7CE39B94" w14:textId="77777777" w:rsidR="00454A29" w:rsidRDefault="00454A29">
            <w:pPr>
              <w:pStyle w:val="ConsPlusNormal"/>
              <w:jc w:val="center"/>
            </w:pPr>
            <w:r>
              <w:t>0,00</w:t>
            </w:r>
          </w:p>
        </w:tc>
        <w:tc>
          <w:tcPr>
            <w:tcW w:w="1701" w:type="dxa"/>
            <w:vAlign w:val="center"/>
          </w:tcPr>
          <w:p w14:paraId="42D476D3" w14:textId="77777777" w:rsidR="00454A29" w:rsidRDefault="00454A29">
            <w:pPr>
              <w:pStyle w:val="ConsPlusNormal"/>
              <w:jc w:val="center"/>
            </w:pPr>
            <w:r>
              <w:t>0,00</w:t>
            </w:r>
          </w:p>
        </w:tc>
      </w:tr>
      <w:tr w:rsidR="00454A29" w14:paraId="4620DCBA" w14:textId="77777777">
        <w:tc>
          <w:tcPr>
            <w:tcW w:w="964" w:type="dxa"/>
            <w:vMerge/>
          </w:tcPr>
          <w:p w14:paraId="716AB86D" w14:textId="77777777" w:rsidR="00454A29" w:rsidRDefault="00454A29"/>
        </w:tc>
        <w:tc>
          <w:tcPr>
            <w:tcW w:w="2154" w:type="dxa"/>
            <w:vMerge/>
            <w:tcBorders>
              <w:top w:val="nil"/>
              <w:bottom w:val="nil"/>
            </w:tcBorders>
          </w:tcPr>
          <w:p w14:paraId="263225B6" w14:textId="77777777" w:rsidR="00454A29" w:rsidRDefault="00454A29"/>
        </w:tc>
        <w:tc>
          <w:tcPr>
            <w:tcW w:w="2154" w:type="dxa"/>
            <w:vMerge/>
            <w:tcBorders>
              <w:top w:val="nil"/>
              <w:bottom w:val="nil"/>
            </w:tcBorders>
          </w:tcPr>
          <w:p w14:paraId="6CDD712F" w14:textId="77777777" w:rsidR="00454A29" w:rsidRDefault="00454A29"/>
        </w:tc>
        <w:tc>
          <w:tcPr>
            <w:tcW w:w="2665" w:type="dxa"/>
            <w:vMerge/>
          </w:tcPr>
          <w:p w14:paraId="064C0F84" w14:textId="77777777" w:rsidR="00454A29" w:rsidRDefault="00454A29"/>
        </w:tc>
        <w:tc>
          <w:tcPr>
            <w:tcW w:w="2665" w:type="dxa"/>
            <w:vMerge/>
          </w:tcPr>
          <w:p w14:paraId="2EFBDCBF" w14:textId="77777777" w:rsidR="00454A29" w:rsidRDefault="00454A29"/>
        </w:tc>
        <w:tc>
          <w:tcPr>
            <w:tcW w:w="1928" w:type="dxa"/>
            <w:vMerge/>
          </w:tcPr>
          <w:p w14:paraId="0F506228" w14:textId="77777777" w:rsidR="00454A29" w:rsidRDefault="00454A29"/>
        </w:tc>
        <w:tc>
          <w:tcPr>
            <w:tcW w:w="1644" w:type="dxa"/>
            <w:vMerge/>
          </w:tcPr>
          <w:p w14:paraId="19D2590C" w14:textId="77777777" w:rsidR="00454A29" w:rsidRDefault="00454A29"/>
        </w:tc>
        <w:tc>
          <w:tcPr>
            <w:tcW w:w="2041" w:type="dxa"/>
            <w:vMerge/>
          </w:tcPr>
          <w:p w14:paraId="35AEE3E6" w14:textId="77777777" w:rsidR="00454A29" w:rsidRDefault="00454A29"/>
        </w:tc>
        <w:tc>
          <w:tcPr>
            <w:tcW w:w="2098" w:type="dxa"/>
            <w:vAlign w:val="center"/>
          </w:tcPr>
          <w:p w14:paraId="1169AD6C" w14:textId="77777777" w:rsidR="00454A29" w:rsidRDefault="00454A29">
            <w:pPr>
              <w:pStyle w:val="ConsPlusNormal"/>
              <w:jc w:val="center"/>
            </w:pPr>
            <w:r>
              <w:t xml:space="preserve">Внебюджетные </w:t>
            </w:r>
            <w:r>
              <w:lastRenderedPageBreak/>
              <w:t>средства</w:t>
            </w:r>
          </w:p>
        </w:tc>
        <w:tc>
          <w:tcPr>
            <w:tcW w:w="1814" w:type="dxa"/>
            <w:vAlign w:val="center"/>
          </w:tcPr>
          <w:p w14:paraId="1E2ECAEC" w14:textId="77777777" w:rsidR="00454A29" w:rsidRDefault="00454A29">
            <w:pPr>
              <w:pStyle w:val="ConsPlusNormal"/>
              <w:jc w:val="center"/>
            </w:pPr>
            <w:r>
              <w:lastRenderedPageBreak/>
              <w:t>0,00</w:t>
            </w:r>
          </w:p>
        </w:tc>
        <w:tc>
          <w:tcPr>
            <w:tcW w:w="1701" w:type="dxa"/>
            <w:vAlign w:val="center"/>
          </w:tcPr>
          <w:p w14:paraId="042B8C8A" w14:textId="77777777" w:rsidR="00454A29" w:rsidRDefault="00454A29">
            <w:pPr>
              <w:pStyle w:val="ConsPlusNormal"/>
              <w:jc w:val="center"/>
            </w:pPr>
            <w:r>
              <w:t>0,00</w:t>
            </w:r>
          </w:p>
        </w:tc>
        <w:tc>
          <w:tcPr>
            <w:tcW w:w="1701" w:type="dxa"/>
            <w:vAlign w:val="center"/>
          </w:tcPr>
          <w:p w14:paraId="15BB4494" w14:textId="77777777" w:rsidR="00454A29" w:rsidRDefault="00454A29">
            <w:pPr>
              <w:pStyle w:val="ConsPlusNormal"/>
              <w:jc w:val="center"/>
            </w:pPr>
            <w:r>
              <w:t>0,00</w:t>
            </w:r>
          </w:p>
        </w:tc>
        <w:tc>
          <w:tcPr>
            <w:tcW w:w="1701" w:type="dxa"/>
            <w:vAlign w:val="center"/>
          </w:tcPr>
          <w:p w14:paraId="4C42AF51" w14:textId="77777777" w:rsidR="00454A29" w:rsidRDefault="00454A29">
            <w:pPr>
              <w:pStyle w:val="ConsPlusNormal"/>
              <w:jc w:val="center"/>
            </w:pPr>
            <w:r>
              <w:t>0,00</w:t>
            </w:r>
          </w:p>
        </w:tc>
        <w:tc>
          <w:tcPr>
            <w:tcW w:w="1701" w:type="dxa"/>
            <w:vAlign w:val="center"/>
          </w:tcPr>
          <w:p w14:paraId="354C9031" w14:textId="77777777" w:rsidR="00454A29" w:rsidRDefault="00454A29">
            <w:pPr>
              <w:pStyle w:val="ConsPlusNormal"/>
              <w:jc w:val="center"/>
            </w:pPr>
            <w:r>
              <w:t>0,00</w:t>
            </w:r>
          </w:p>
        </w:tc>
        <w:tc>
          <w:tcPr>
            <w:tcW w:w="1701" w:type="dxa"/>
            <w:vAlign w:val="center"/>
          </w:tcPr>
          <w:p w14:paraId="55447281" w14:textId="77777777" w:rsidR="00454A29" w:rsidRDefault="00454A29">
            <w:pPr>
              <w:pStyle w:val="ConsPlusNormal"/>
              <w:jc w:val="center"/>
            </w:pPr>
            <w:r>
              <w:t>0,00</w:t>
            </w:r>
          </w:p>
        </w:tc>
        <w:tc>
          <w:tcPr>
            <w:tcW w:w="1701" w:type="dxa"/>
            <w:vAlign w:val="center"/>
          </w:tcPr>
          <w:p w14:paraId="3DE99C60" w14:textId="77777777" w:rsidR="00454A29" w:rsidRDefault="00454A29">
            <w:pPr>
              <w:pStyle w:val="ConsPlusNormal"/>
              <w:jc w:val="center"/>
            </w:pPr>
            <w:r>
              <w:t>0,00</w:t>
            </w:r>
          </w:p>
        </w:tc>
      </w:tr>
      <w:tr w:rsidR="00454A29" w14:paraId="6031AC2D" w14:textId="77777777">
        <w:tc>
          <w:tcPr>
            <w:tcW w:w="964" w:type="dxa"/>
            <w:vMerge w:val="restart"/>
            <w:vAlign w:val="center"/>
          </w:tcPr>
          <w:p w14:paraId="75C09AD7" w14:textId="77777777" w:rsidR="00454A29" w:rsidRDefault="00454A29">
            <w:pPr>
              <w:pStyle w:val="ConsPlusNormal"/>
              <w:jc w:val="center"/>
            </w:pPr>
            <w:r>
              <w:t>1.6.</w:t>
            </w:r>
          </w:p>
        </w:tc>
        <w:tc>
          <w:tcPr>
            <w:tcW w:w="2154" w:type="dxa"/>
            <w:vMerge w:val="restart"/>
            <w:tcBorders>
              <w:top w:val="nil"/>
              <w:bottom w:val="nil"/>
            </w:tcBorders>
            <w:vAlign w:val="center"/>
          </w:tcPr>
          <w:p w14:paraId="7901310C" w14:textId="77777777" w:rsidR="00454A29" w:rsidRDefault="00454A29">
            <w:pPr>
              <w:pStyle w:val="ConsPlusNormal"/>
            </w:pPr>
          </w:p>
        </w:tc>
        <w:tc>
          <w:tcPr>
            <w:tcW w:w="2154" w:type="dxa"/>
            <w:vMerge w:val="restart"/>
            <w:tcBorders>
              <w:top w:val="nil"/>
              <w:bottom w:val="nil"/>
            </w:tcBorders>
            <w:vAlign w:val="center"/>
          </w:tcPr>
          <w:p w14:paraId="3DC39ECF" w14:textId="77777777" w:rsidR="00454A29" w:rsidRDefault="00454A29">
            <w:pPr>
              <w:pStyle w:val="ConsPlusNormal"/>
            </w:pPr>
          </w:p>
        </w:tc>
        <w:tc>
          <w:tcPr>
            <w:tcW w:w="2665" w:type="dxa"/>
            <w:vMerge w:val="restart"/>
            <w:vAlign w:val="center"/>
          </w:tcPr>
          <w:p w14:paraId="14B03202" w14:textId="77777777" w:rsidR="00454A29" w:rsidRDefault="00454A29">
            <w:pPr>
              <w:pStyle w:val="ConsPlusNormal"/>
              <w:jc w:val="center"/>
            </w:pPr>
            <w:r>
              <w:t>Результат 6. Реализация 70% школами Республики Саха (Якутия) образовательных программ в сетевой форме</w:t>
            </w:r>
          </w:p>
        </w:tc>
        <w:tc>
          <w:tcPr>
            <w:tcW w:w="2665" w:type="dxa"/>
            <w:vMerge w:val="restart"/>
            <w:vAlign w:val="center"/>
          </w:tcPr>
          <w:p w14:paraId="467B4327" w14:textId="77777777" w:rsidR="00454A29" w:rsidRDefault="00454A29">
            <w:pPr>
              <w:pStyle w:val="ConsPlusNormal"/>
              <w:jc w:val="center"/>
            </w:pPr>
            <w:r>
              <w:t>Мероприятие 2.5.6. Организация реализации организациями Республики Саха (Якутия), реализующими программы начального, основного и среднего общего образования, общеобразовательных программ в сетевой форме (разработка методических рекомендаций)</w:t>
            </w:r>
          </w:p>
        </w:tc>
        <w:tc>
          <w:tcPr>
            <w:tcW w:w="1928" w:type="dxa"/>
            <w:vMerge w:val="restart"/>
            <w:vAlign w:val="center"/>
          </w:tcPr>
          <w:p w14:paraId="01CC1380" w14:textId="77777777" w:rsidR="00454A29" w:rsidRDefault="00454A29">
            <w:pPr>
              <w:pStyle w:val="ConsPlusNormal"/>
              <w:jc w:val="center"/>
            </w:pPr>
            <w:r>
              <w:t>-</w:t>
            </w:r>
          </w:p>
        </w:tc>
        <w:tc>
          <w:tcPr>
            <w:tcW w:w="1644" w:type="dxa"/>
            <w:vMerge w:val="restart"/>
            <w:vAlign w:val="center"/>
          </w:tcPr>
          <w:p w14:paraId="0D14D14C" w14:textId="77777777" w:rsidR="00454A29" w:rsidRDefault="00454A29">
            <w:pPr>
              <w:pStyle w:val="ConsPlusNormal"/>
            </w:pPr>
          </w:p>
        </w:tc>
        <w:tc>
          <w:tcPr>
            <w:tcW w:w="2041" w:type="dxa"/>
            <w:vMerge w:val="restart"/>
            <w:vAlign w:val="center"/>
          </w:tcPr>
          <w:p w14:paraId="72AE0223" w14:textId="77777777" w:rsidR="00454A29" w:rsidRDefault="00454A29">
            <w:pPr>
              <w:pStyle w:val="ConsPlusNormal"/>
              <w:jc w:val="center"/>
            </w:pPr>
            <w:r>
              <w:t>-</w:t>
            </w:r>
          </w:p>
        </w:tc>
        <w:tc>
          <w:tcPr>
            <w:tcW w:w="2098" w:type="dxa"/>
            <w:vAlign w:val="center"/>
          </w:tcPr>
          <w:p w14:paraId="1894EC06" w14:textId="77777777" w:rsidR="00454A29" w:rsidRDefault="00454A29">
            <w:pPr>
              <w:pStyle w:val="ConsPlusNormal"/>
              <w:jc w:val="center"/>
            </w:pPr>
            <w:r>
              <w:t>Итого</w:t>
            </w:r>
          </w:p>
        </w:tc>
        <w:tc>
          <w:tcPr>
            <w:tcW w:w="1814" w:type="dxa"/>
            <w:vAlign w:val="center"/>
          </w:tcPr>
          <w:p w14:paraId="242F5B5A" w14:textId="77777777" w:rsidR="00454A29" w:rsidRDefault="00454A29">
            <w:pPr>
              <w:pStyle w:val="ConsPlusNormal"/>
              <w:jc w:val="center"/>
            </w:pPr>
            <w:r>
              <w:t>0,00</w:t>
            </w:r>
          </w:p>
        </w:tc>
        <w:tc>
          <w:tcPr>
            <w:tcW w:w="1701" w:type="dxa"/>
            <w:vAlign w:val="center"/>
          </w:tcPr>
          <w:p w14:paraId="47D055E0" w14:textId="77777777" w:rsidR="00454A29" w:rsidRDefault="00454A29">
            <w:pPr>
              <w:pStyle w:val="ConsPlusNormal"/>
              <w:jc w:val="center"/>
            </w:pPr>
            <w:r>
              <w:t>0,00</w:t>
            </w:r>
          </w:p>
        </w:tc>
        <w:tc>
          <w:tcPr>
            <w:tcW w:w="1701" w:type="dxa"/>
            <w:vAlign w:val="center"/>
          </w:tcPr>
          <w:p w14:paraId="1E7B4579" w14:textId="77777777" w:rsidR="00454A29" w:rsidRDefault="00454A29">
            <w:pPr>
              <w:pStyle w:val="ConsPlusNormal"/>
              <w:jc w:val="center"/>
            </w:pPr>
            <w:r>
              <w:t>0,00</w:t>
            </w:r>
          </w:p>
        </w:tc>
        <w:tc>
          <w:tcPr>
            <w:tcW w:w="1701" w:type="dxa"/>
            <w:vAlign w:val="center"/>
          </w:tcPr>
          <w:p w14:paraId="7A24F74A" w14:textId="77777777" w:rsidR="00454A29" w:rsidRDefault="00454A29">
            <w:pPr>
              <w:pStyle w:val="ConsPlusNormal"/>
              <w:jc w:val="center"/>
            </w:pPr>
            <w:r>
              <w:t>0,00</w:t>
            </w:r>
          </w:p>
        </w:tc>
        <w:tc>
          <w:tcPr>
            <w:tcW w:w="1701" w:type="dxa"/>
            <w:vAlign w:val="center"/>
          </w:tcPr>
          <w:p w14:paraId="772FC4E5" w14:textId="77777777" w:rsidR="00454A29" w:rsidRDefault="00454A29">
            <w:pPr>
              <w:pStyle w:val="ConsPlusNormal"/>
              <w:jc w:val="center"/>
            </w:pPr>
            <w:r>
              <w:t>0,00</w:t>
            </w:r>
          </w:p>
        </w:tc>
        <w:tc>
          <w:tcPr>
            <w:tcW w:w="1701" w:type="dxa"/>
            <w:vAlign w:val="center"/>
          </w:tcPr>
          <w:p w14:paraId="7EA17E7F" w14:textId="77777777" w:rsidR="00454A29" w:rsidRDefault="00454A29">
            <w:pPr>
              <w:pStyle w:val="ConsPlusNormal"/>
              <w:jc w:val="center"/>
            </w:pPr>
            <w:r>
              <w:t>0,00</w:t>
            </w:r>
          </w:p>
        </w:tc>
        <w:tc>
          <w:tcPr>
            <w:tcW w:w="1701" w:type="dxa"/>
            <w:vAlign w:val="center"/>
          </w:tcPr>
          <w:p w14:paraId="147ED157" w14:textId="77777777" w:rsidR="00454A29" w:rsidRDefault="00454A29">
            <w:pPr>
              <w:pStyle w:val="ConsPlusNormal"/>
              <w:jc w:val="center"/>
            </w:pPr>
            <w:r>
              <w:t>0,00</w:t>
            </w:r>
          </w:p>
        </w:tc>
      </w:tr>
      <w:tr w:rsidR="00454A29" w14:paraId="534517B7" w14:textId="77777777">
        <w:tc>
          <w:tcPr>
            <w:tcW w:w="964" w:type="dxa"/>
            <w:vMerge/>
          </w:tcPr>
          <w:p w14:paraId="6CA735AD" w14:textId="77777777" w:rsidR="00454A29" w:rsidRDefault="00454A29"/>
        </w:tc>
        <w:tc>
          <w:tcPr>
            <w:tcW w:w="2154" w:type="dxa"/>
            <w:vMerge/>
            <w:tcBorders>
              <w:top w:val="nil"/>
              <w:bottom w:val="nil"/>
            </w:tcBorders>
          </w:tcPr>
          <w:p w14:paraId="65C32D4C" w14:textId="77777777" w:rsidR="00454A29" w:rsidRDefault="00454A29"/>
        </w:tc>
        <w:tc>
          <w:tcPr>
            <w:tcW w:w="2154" w:type="dxa"/>
            <w:vMerge/>
            <w:tcBorders>
              <w:top w:val="nil"/>
              <w:bottom w:val="nil"/>
            </w:tcBorders>
          </w:tcPr>
          <w:p w14:paraId="0BADBBC4" w14:textId="77777777" w:rsidR="00454A29" w:rsidRDefault="00454A29"/>
        </w:tc>
        <w:tc>
          <w:tcPr>
            <w:tcW w:w="2665" w:type="dxa"/>
            <w:vMerge/>
          </w:tcPr>
          <w:p w14:paraId="23090B0C" w14:textId="77777777" w:rsidR="00454A29" w:rsidRDefault="00454A29"/>
        </w:tc>
        <w:tc>
          <w:tcPr>
            <w:tcW w:w="2665" w:type="dxa"/>
            <w:vMerge/>
          </w:tcPr>
          <w:p w14:paraId="2CF991B8" w14:textId="77777777" w:rsidR="00454A29" w:rsidRDefault="00454A29"/>
        </w:tc>
        <w:tc>
          <w:tcPr>
            <w:tcW w:w="1928" w:type="dxa"/>
            <w:vMerge/>
          </w:tcPr>
          <w:p w14:paraId="7D5808D2" w14:textId="77777777" w:rsidR="00454A29" w:rsidRDefault="00454A29"/>
        </w:tc>
        <w:tc>
          <w:tcPr>
            <w:tcW w:w="1644" w:type="dxa"/>
            <w:vMerge/>
          </w:tcPr>
          <w:p w14:paraId="35575D58" w14:textId="77777777" w:rsidR="00454A29" w:rsidRDefault="00454A29"/>
        </w:tc>
        <w:tc>
          <w:tcPr>
            <w:tcW w:w="2041" w:type="dxa"/>
            <w:vMerge/>
          </w:tcPr>
          <w:p w14:paraId="73A4D8F3" w14:textId="77777777" w:rsidR="00454A29" w:rsidRDefault="00454A29"/>
        </w:tc>
        <w:tc>
          <w:tcPr>
            <w:tcW w:w="2098" w:type="dxa"/>
            <w:vAlign w:val="center"/>
          </w:tcPr>
          <w:p w14:paraId="1623D645"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7DFCF6F" w14:textId="77777777" w:rsidR="00454A29" w:rsidRDefault="00454A29">
            <w:pPr>
              <w:pStyle w:val="ConsPlusNormal"/>
              <w:jc w:val="center"/>
            </w:pPr>
            <w:r>
              <w:t>0,00</w:t>
            </w:r>
          </w:p>
        </w:tc>
        <w:tc>
          <w:tcPr>
            <w:tcW w:w="1701" w:type="dxa"/>
            <w:vAlign w:val="center"/>
          </w:tcPr>
          <w:p w14:paraId="6025C245" w14:textId="77777777" w:rsidR="00454A29" w:rsidRDefault="00454A29">
            <w:pPr>
              <w:pStyle w:val="ConsPlusNormal"/>
              <w:jc w:val="center"/>
            </w:pPr>
            <w:r>
              <w:t>0,00</w:t>
            </w:r>
          </w:p>
        </w:tc>
        <w:tc>
          <w:tcPr>
            <w:tcW w:w="1701" w:type="dxa"/>
            <w:vAlign w:val="center"/>
          </w:tcPr>
          <w:p w14:paraId="239AAF1A" w14:textId="77777777" w:rsidR="00454A29" w:rsidRDefault="00454A29">
            <w:pPr>
              <w:pStyle w:val="ConsPlusNormal"/>
              <w:jc w:val="center"/>
            </w:pPr>
            <w:r>
              <w:t>0,00</w:t>
            </w:r>
          </w:p>
        </w:tc>
        <w:tc>
          <w:tcPr>
            <w:tcW w:w="1701" w:type="dxa"/>
            <w:vAlign w:val="center"/>
          </w:tcPr>
          <w:p w14:paraId="003C50B7" w14:textId="77777777" w:rsidR="00454A29" w:rsidRDefault="00454A29">
            <w:pPr>
              <w:pStyle w:val="ConsPlusNormal"/>
              <w:jc w:val="center"/>
            </w:pPr>
            <w:r>
              <w:t>0,00</w:t>
            </w:r>
          </w:p>
        </w:tc>
        <w:tc>
          <w:tcPr>
            <w:tcW w:w="1701" w:type="dxa"/>
            <w:vAlign w:val="center"/>
          </w:tcPr>
          <w:p w14:paraId="24F12EE9" w14:textId="77777777" w:rsidR="00454A29" w:rsidRDefault="00454A29">
            <w:pPr>
              <w:pStyle w:val="ConsPlusNormal"/>
              <w:jc w:val="center"/>
            </w:pPr>
            <w:r>
              <w:t>0,00</w:t>
            </w:r>
          </w:p>
        </w:tc>
        <w:tc>
          <w:tcPr>
            <w:tcW w:w="1701" w:type="dxa"/>
            <w:vAlign w:val="center"/>
          </w:tcPr>
          <w:p w14:paraId="53A15D7D" w14:textId="77777777" w:rsidR="00454A29" w:rsidRDefault="00454A29">
            <w:pPr>
              <w:pStyle w:val="ConsPlusNormal"/>
              <w:jc w:val="center"/>
            </w:pPr>
            <w:r>
              <w:t>0,00</w:t>
            </w:r>
          </w:p>
        </w:tc>
        <w:tc>
          <w:tcPr>
            <w:tcW w:w="1701" w:type="dxa"/>
            <w:vAlign w:val="center"/>
          </w:tcPr>
          <w:p w14:paraId="708C5927" w14:textId="77777777" w:rsidR="00454A29" w:rsidRDefault="00454A29">
            <w:pPr>
              <w:pStyle w:val="ConsPlusNormal"/>
              <w:jc w:val="center"/>
            </w:pPr>
            <w:r>
              <w:t>0,00</w:t>
            </w:r>
          </w:p>
        </w:tc>
      </w:tr>
      <w:tr w:rsidR="00454A29" w14:paraId="60928023" w14:textId="77777777">
        <w:tc>
          <w:tcPr>
            <w:tcW w:w="964" w:type="dxa"/>
            <w:vMerge/>
          </w:tcPr>
          <w:p w14:paraId="1CABACB6" w14:textId="77777777" w:rsidR="00454A29" w:rsidRDefault="00454A29"/>
        </w:tc>
        <w:tc>
          <w:tcPr>
            <w:tcW w:w="2154" w:type="dxa"/>
            <w:vMerge/>
            <w:tcBorders>
              <w:top w:val="nil"/>
              <w:bottom w:val="nil"/>
            </w:tcBorders>
          </w:tcPr>
          <w:p w14:paraId="010D84CF" w14:textId="77777777" w:rsidR="00454A29" w:rsidRDefault="00454A29"/>
        </w:tc>
        <w:tc>
          <w:tcPr>
            <w:tcW w:w="2154" w:type="dxa"/>
            <w:vMerge/>
            <w:tcBorders>
              <w:top w:val="nil"/>
              <w:bottom w:val="nil"/>
            </w:tcBorders>
          </w:tcPr>
          <w:p w14:paraId="7EAC9FA2" w14:textId="77777777" w:rsidR="00454A29" w:rsidRDefault="00454A29"/>
        </w:tc>
        <w:tc>
          <w:tcPr>
            <w:tcW w:w="2665" w:type="dxa"/>
            <w:vMerge/>
          </w:tcPr>
          <w:p w14:paraId="3F751106" w14:textId="77777777" w:rsidR="00454A29" w:rsidRDefault="00454A29"/>
        </w:tc>
        <w:tc>
          <w:tcPr>
            <w:tcW w:w="2665" w:type="dxa"/>
            <w:vMerge/>
          </w:tcPr>
          <w:p w14:paraId="091AEC46" w14:textId="77777777" w:rsidR="00454A29" w:rsidRDefault="00454A29"/>
        </w:tc>
        <w:tc>
          <w:tcPr>
            <w:tcW w:w="1928" w:type="dxa"/>
            <w:vMerge/>
          </w:tcPr>
          <w:p w14:paraId="68E6EBC8" w14:textId="77777777" w:rsidR="00454A29" w:rsidRDefault="00454A29"/>
        </w:tc>
        <w:tc>
          <w:tcPr>
            <w:tcW w:w="1644" w:type="dxa"/>
            <w:vMerge/>
          </w:tcPr>
          <w:p w14:paraId="7DF033E4" w14:textId="77777777" w:rsidR="00454A29" w:rsidRDefault="00454A29"/>
        </w:tc>
        <w:tc>
          <w:tcPr>
            <w:tcW w:w="2041" w:type="dxa"/>
            <w:vMerge/>
          </w:tcPr>
          <w:p w14:paraId="0303A2AD" w14:textId="77777777" w:rsidR="00454A29" w:rsidRDefault="00454A29"/>
        </w:tc>
        <w:tc>
          <w:tcPr>
            <w:tcW w:w="2098" w:type="dxa"/>
            <w:vAlign w:val="center"/>
          </w:tcPr>
          <w:p w14:paraId="3D84693D" w14:textId="77777777" w:rsidR="00454A29" w:rsidRDefault="00454A29">
            <w:pPr>
              <w:pStyle w:val="ConsPlusNormal"/>
              <w:jc w:val="center"/>
            </w:pPr>
            <w:r>
              <w:t>Федеральный бюджет</w:t>
            </w:r>
          </w:p>
        </w:tc>
        <w:tc>
          <w:tcPr>
            <w:tcW w:w="1814" w:type="dxa"/>
            <w:vAlign w:val="center"/>
          </w:tcPr>
          <w:p w14:paraId="1BC63151" w14:textId="77777777" w:rsidR="00454A29" w:rsidRDefault="00454A29">
            <w:pPr>
              <w:pStyle w:val="ConsPlusNormal"/>
              <w:jc w:val="center"/>
            </w:pPr>
            <w:r>
              <w:t>0,00</w:t>
            </w:r>
          </w:p>
        </w:tc>
        <w:tc>
          <w:tcPr>
            <w:tcW w:w="1701" w:type="dxa"/>
            <w:vAlign w:val="center"/>
          </w:tcPr>
          <w:p w14:paraId="1D5EA6FA" w14:textId="77777777" w:rsidR="00454A29" w:rsidRDefault="00454A29">
            <w:pPr>
              <w:pStyle w:val="ConsPlusNormal"/>
              <w:jc w:val="center"/>
            </w:pPr>
            <w:r>
              <w:t>0,00</w:t>
            </w:r>
          </w:p>
        </w:tc>
        <w:tc>
          <w:tcPr>
            <w:tcW w:w="1701" w:type="dxa"/>
            <w:vAlign w:val="center"/>
          </w:tcPr>
          <w:p w14:paraId="53388149" w14:textId="77777777" w:rsidR="00454A29" w:rsidRDefault="00454A29">
            <w:pPr>
              <w:pStyle w:val="ConsPlusNormal"/>
              <w:jc w:val="center"/>
            </w:pPr>
            <w:r>
              <w:t>0,00</w:t>
            </w:r>
          </w:p>
        </w:tc>
        <w:tc>
          <w:tcPr>
            <w:tcW w:w="1701" w:type="dxa"/>
            <w:vAlign w:val="center"/>
          </w:tcPr>
          <w:p w14:paraId="39C4BDC3" w14:textId="77777777" w:rsidR="00454A29" w:rsidRDefault="00454A29">
            <w:pPr>
              <w:pStyle w:val="ConsPlusNormal"/>
              <w:jc w:val="center"/>
            </w:pPr>
            <w:r>
              <w:t>0,00</w:t>
            </w:r>
          </w:p>
        </w:tc>
        <w:tc>
          <w:tcPr>
            <w:tcW w:w="1701" w:type="dxa"/>
            <w:vAlign w:val="center"/>
          </w:tcPr>
          <w:p w14:paraId="4BB0BF6D" w14:textId="77777777" w:rsidR="00454A29" w:rsidRDefault="00454A29">
            <w:pPr>
              <w:pStyle w:val="ConsPlusNormal"/>
              <w:jc w:val="center"/>
            </w:pPr>
            <w:r>
              <w:t>0,00</w:t>
            </w:r>
          </w:p>
        </w:tc>
        <w:tc>
          <w:tcPr>
            <w:tcW w:w="1701" w:type="dxa"/>
            <w:vAlign w:val="center"/>
          </w:tcPr>
          <w:p w14:paraId="56AC8D6A" w14:textId="77777777" w:rsidR="00454A29" w:rsidRDefault="00454A29">
            <w:pPr>
              <w:pStyle w:val="ConsPlusNormal"/>
              <w:jc w:val="center"/>
            </w:pPr>
            <w:r>
              <w:t>0,00</w:t>
            </w:r>
          </w:p>
        </w:tc>
        <w:tc>
          <w:tcPr>
            <w:tcW w:w="1701" w:type="dxa"/>
            <w:vAlign w:val="center"/>
          </w:tcPr>
          <w:p w14:paraId="34BA0D06" w14:textId="77777777" w:rsidR="00454A29" w:rsidRDefault="00454A29">
            <w:pPr>
              <w:pStyle w:val="ConsPlusNormal"/>
              <w:jc w:val="center"/>
            </w:pPr>
            <w:r>
              <w:t>0,00</w:t>
            </w:r>
          </w:p>
        </w:tc>
      </w:tr>
      <w:tr w:rsidR="00454A29" w14:paraId="7277D475" w14:textId="77777777">
        <w:tc>
          <w:tcPr>
            <w:tcW w:w="964" w:type="dxa"/>
            <w:vMerge/>
          </w:tcPr>
          <w:p w14:paraId="6F4A9A33" w14:textId="77777777" w:rsidR="00454A29" w:rsidRDefault="00454A29"/>
        </w:tc>
        <w:tc>
          <w:tcPr>
            <w:tcW w:w="2154" w:type="dxa"/>
            <w:vMerge/>
            <w:tcBorders>
              <w:top w:val="nil"/>
              <w:bottom w:val="nil"/>
            </w:tcBorders>
          </w:tcPr>
          <w:p w14:paraId="1C0A8E6A" w14:textId="77777777" w:rsidR="00454A29" w:rsidRDefault="00454A29"/>
        </w:tc>
        <w:tc>
          <w:tcPr>
            <w:tcW w:w="2154" w:type="dxa"/>
            <w:vMerge/>
            <w:tcBorders>
              <w:top w:val="nil"/>
              <w:bottom w:val="nil"/>
            </w:tcBorders>
          </w:tcPr>
          <w:p w14:paraId="5C0643F6" w14:textId="77777777" w:rsidR="00454A29" w:rsidRDefault="00454A29"/>
        </w:tc>
        <w:tc>
          <w:tcPr>
            <w:tcW w:w="2665" w:type="dxa"/>
            <w:vMerge/>
          </w:tcPr>
          <w:p w14:paraId="776A0AD5" w14:textId="77777777" w:rsidR="00454A29" w:rsidRDefault="00454A29"/>
        </w:tc>
        <w:tc>
          <w:tcPr>
            <w:tcW w:w="2665" w:type="dxa"/>
            <w:vMerge/>
          </w:tcPr>
          <w:p w14:paraId="3A2E7EBF" w14:textId="77777777" w:rsidR="00454A29" w:rsidRDefault="00454A29"/>
        </w:tc>
        <w:tc>
          <w:tcPr>
            <w:tcW w:w="1928" w:type="dxa"/>
            <w:vMerge/>
          </w:tcPr>
          <w:p w14:paraId="24C1387C" w14:textId="77777777" w:rsidR="00454A29" w:rsidRDefault="00454A29"/>
        </w:tc>
        <w:tc>
          <w:tcPr>
            <w:tcW w:w="1644" w:type="dxa"/>
            <w:vMerge/>
          </w:tcPr>
          <w:p w14:paraId="23A0B162" w14:textId="77777777" w:rsidR="00454A29" w:rsidRDefault="00454A29"/>
        </w:tc>
        <w:tc>
          <w:tcPr>
            <w:tcW w:w="2041" w:type="dxa"/>
            <w:vMerge/>
          </w:tcPr>
          <w:p w14:paraId="66C1C940" w14:textId="77777777" w:rsidR="00454A29" w:rsidRDefault="00454A29"/>
        </w:tc>
        <w:tc>
          <w:tcPr>
            <w:tcW w:w="2098" w:type="dxa"/>
            <w:vAlign w:val="center"/>
          </w:tcPr>
          <w:p w14:paraId="3352957C" w14:textId="77777777" w:rsidR="00454A29" w:rsidRDefault="00454A29">
            <w:pPr>
              <w:pStyle w:val="ConsPlusNormal"/>
              <w:jc w:val="center"/>
            </w:pPr>
            <w:r>
              <w:t>Местные бюджеты</w:t>
            </w:r>
          </w:p>
        </w:tc>
        <w:tc>
          <w:tcPr>
            <w:tcW w:w="1814" w:type="dxa"/>
            <w:vAlign w:val="center"/>
          </w:tcPr>
          <w:p w14:paraId="023D8BD8" w14:textId="77777777" w:rsidR="00454A29" w:rsidRDefault="00454A29">
            <w:pPr>
              <w:pStyle w:val="ConsPlusNormal"/>
              <w:jc w:val="center"/>
            </w:pPr>
            <w:r>
              <w:t>0,00</w:t>
            </w:r>
          </w:p>
        </w:tc>
        <w:tc>
          <w:tcPr>
            <w:tcW w:w="1701" w:type="dxa"/>
            <w:vAlign w:val="center"/>
          </w:tcPr>
          <w:p w14:paraId="0E2A9020" w14:textId="77777777" w:rsidR="00454A29" w:rsidRDefault="00454A29">
            <w:pPr>
              <w:pStyle w:val="ConsPlusNormal"/>
              <w:jc w:val="center"/>
            </w:pPr>
            <w:r>
              <w:t>0,00</w:t>
            </w:r>
          </w:p>
        </w:tc>
        <w:tc>
          <w:tcPr>
            <w:tcW w:w="1701" w:type="dxa"/>
            <w:vAlign w:val="center"/>
          </w:tcPr>
          <w:p w14:paraId="11E7C704" w14:textId="77777777" w:rsidR="00454A29" w:rsidRDefault="00454A29">
            <w:pPr>
              <w:pStyle w:val="ConsPlusNormal"/>
              <w:jc w:val="center"/>
            </w:pPr>
            <w:r>
              <w:t>0,00</w:t>
            </w:r>
          </w:p>
        </w:tc>
        <w:tc>
          <w:tcPr>
            <w:tcW w:w="1701" w:type="dxa"/>
            <w:vAlign w:val="center"/>
          </w:tcPr>
          <w:p w14:paraId="03CA8F17" w14:textId="77777777" w:rsidR="00454A29" w:rsidRDefault="00454A29">
            <w:pPr>
              <w:pStyle w:val="ConsPlusNormal"/>
              <w:jc w:val="center"/>
            </w:pPr>
            <w:r>
              <w:t>0,00</w:t>
            </w:r>
          </w:p>
        </w:tc>
        <w:tc>
          <w:tcPr>
            <w:tcW w:w="1701" w:type="dxa"/>
            <w:vAlign w:val="center"/>
          </w:tcPr>
          <w:p w14:paraId="0CE02666" w14:textId="77777777" w:rsidR="00454A29" w:rsidRDefault="00454A29">
            <w:pPr>
              <w:pStyle w:val="ConsPlusNormal"/>
              <w:jc w:val="center"/>
            </w:pPr>
            <w:r>
              <w:t>0,00</w:t>
            </w:r>
          </w:p>
        </w:tc>
        <w:tc>
          <w:tcPr>
            <w:tcW w:w="1701" w:type="dxa"/>
            <w:vAlign w:val="center"/>
          </w:tcPr>
          <w:p w14:paraId="0E2DBDA5" w14:textId="77777777" w:rsidR="00454A29" w:rsidRDefault="00454A29">
            <w:pPr>
              <w:pStyle w:val="ConsPlusNormal"/>
              <w:jc w:val="center"/>
            </w:pPr>
            <w:r>
              <w:t>0,00</w:t>
            </w:r>
          </w:p>
        </w:tc>
        <w:tc>
          <w:tcPr>
            <w:tcW w:w="1701" w:type="dxa"/>
            <w:vAlign w:val="center"/>
          </w:tcPr>
          <w:p w14:paraId="0BD12B53" w14:textId="77777777" w:rsidR="00454A29" w:rsidRDefault="00454A29">
            <w:pPr>
              <w:pStyle w:val="ConsPlusNormal"/>
              <w:jc w:val="center"/>
            </w:pPr>
            <w:r>
              <w:t>0,00</w:t>
            </w:r>
          </w:p>
        </w:tc>
      </w:tr>
      <w:tr w:rsidR="00454A29" w14:paraId="31AEEE96" w14:textId="77777777">
        <w:tc>
          <w:tcPr>
            <w:tcW w:w="964" w:type="dxa"/>
            <w:vMerge/>
          </w:tcPr>
          <w:p w14:paraId="7A1E8D61" w14:textId="77777777" w:rsidR="00454A29" w:rsidRDefault="00454A29"/>
        </w:tc>
        <w:tc>
          <w:tcPr>
            <w:tcW w:w="2154" w:type="dxa"/>
            <w:vMerge/>
            <w:tcBorders>
              <w:top w:val="nil"/>
              <w:bottom w:val="nil"/>
            </w:tcBorders>
          </w:tcPr>
          <w:p w14:paraId="0122AC44" w14:textId="77777777" w:rsidR="00454A29" w:rsidRDefault="00454A29"/>
        </w:tc>
        <w:tc>
          <w:tcPr>
            <w:tcW w:w="2154" w:type="dxa"/>
            <w:vMerge/>
            <w:tcBorders>
              <w:top w:val="nil"/>
              <w:bottom w:val="nil"/>
            </w:tcBorders>
          </w:tcPr>
          <w:p w14:paraId="2A376114" w14:textId="77777777" w:rsidR="00454A29" w:rsidRDefault="00454A29"/>
        </w:tc>
        <w:tc>
          <w:tcPr>
            <w:tcW w:w="2665" w:type="dxa"/>
            <w:vMerge/>
          </w:tcPr>
          <w:p w14:paraId="299414D5" w14:textId="77777777" w:rsidR="00454A29" w:rsidRDefault="00454A29"/>
        </w:tc>
        <w:tc>
          <w:tcPr>
            <w:tcW w:w="2665" w:type="dxa"/>
            <w:vMerge/>
          </w:tcPr>
          <w:p w14:paraId="30F0092F" w14:textId="77777777" w:rsidR="00454A29" w:rsidRDefault="00454A29"/>
        </w:tc>
        <w:tc>
          <w:tcPr>
            <w:tcW w:w="1928" w:type="dxa"/>
            <w:vMerge/>
          </w:tcPr>
          <w:p w14:paraId="039D0B16" w14:textId="77777777" w:rsidR="00454A29" w:rsidRDefault="00454A29"/>
        </w:tc>
        <w:tc>
          <w:tcPr>
            <w:tcW w:w="1644" w:type="dxa"/>
            <w:vMerge/>
          </w:tcPr>
          <w:p w14:paraId="3ABEECE6" w14:textId="77777777" w:rsidR="00454A29" w:rsidRDefault="00454A29"/>
        </w:tc>
        <w:tc>
          <w:tcPr>
            <w:tcW w:w="2041" w:type="dxa"/>
            <w:vMerge/>
          </w:tcPr>
          <w:p w14:paraId="49930198" w14:textId="77777777" w:rsidR="00454A29" w:rsidRDefault="00454A29"/>
        </w:tc>
        <w:tc>
          <w:tcPr>
            <w:tcW w:w="2098" w:type="dxa"/>
            <w:vAlign w:val="center"/>
          </w:tcPr>
          <w:p w14:paraId="27B0F1B2" w14:textId="77777777" w:rsidR="00454A29" w:rsidRDefault="00454A29">
            <w:pPr>
              <w:pStyle w:val="ConsPlusNormal"/>
              <w:jc w:val="center"/>
            </w:pPr>
            <w:r>
              <w:t>Внебюджетные средства</w:t>
            </w:r>
          </w:p>
        </w:tc>
        <w:tc>
          <w:tcPr>
            <w:tcW w:w="1814" w:type="dxa"/>
            <w:vAlign w:val="center"/>
          </w:tcPr>
          <w:p w14:paraId="4A350C76" w14:textId="77777777" w:rsidR="00454A29" w:rsidRDefault="00454A29">
            <w:pPr>
              <w:pStyle w:val="ConsPlusNormal"/>
              <w:jc w:val="center"/>
            </w:pPr>
            <w:r>
              <w:t>0,00</w:t>
            </w:r>
          </w:p>
        </w:tc>
        <w:tc>
          <w:tcPr>
            <w:tcW w:w="1701" w:type="dxa"/>
            <w:vAlign w:val="center"/>
          </w:tcPr>
          <w:p w14:paraId="702BD9B0" w14:textId="77777777" w:rsidR="00454A29" w:rsidRDefault="00454A29">
            <w:pPr>
              <w:pStyle w:val="ConsPlusNormal"/>
              <w:jc w:val="center"/>
            </w:pPr>
            <w:r>
              <w:t>0,00</w:t>
            </w:r>
          </w:p>
        </w:tc>
        <w:tc>
          <w:tcPr>
            <w:tcW w:w="1701" w:type="dxa"/>
            <w:vAlign w:val="center"/>
          </w:tcPr>
          <w:p w14:paraId="5D4B386F" w14:textId="77777777" w:rsidR="00454A29" w:rsidRDefault="00454A29">
            <w:pPr>
              <w:pStyle w:val="ConsPlusNormal"/>
              <w:jc w:val="center"/>
            </w:pPr>
            <w:r>
              <w:t>0,00</w:t>
            </w:r>
          </w:p>
        </w:tc>
        <w:tc>
          <w:tcPr>
            <w:tcW w:w="1701" w:type="dxa"/>
            <w:vAlign w:val="center"/>
          </w:tcPr>
          <w:p w14:paraId="29C0F223" w14:textId="77777777" w:rsidR="00454A29" w:rsidRDefault="00454A29">
            <w:pPr>
              <w:pStyle w:val="ConsPlusNormal"/>
              <w:jc w:val="center"/>
            </w:pPr>
            <w:r>
              <w:t>0,00</w:t>
            </w:r>
          </w:p>
        </w:tc>
        <w:tc>
          <w:tcPr>
            <w:tcW w:w="1701" w:type="dxa"/>
            <w:vAlign w:val="center"/>
          </w:tcPr>
          <w:p w14:paraId="6A15ED32" w14:textId="77777777" w:rsidR="00454A29" w:rsidRDefault="00454A29">
            <w:pPr>
              <w:pStyle w:val="ConsPlusNormal"/>
              <w:jc w:val="center"/>
            </w:pPr>
            <w:r>
              <w:t>0,00</w:t>
            </w:r>
          </w:p>
        </w:tc>
        <w:tc>
          <w:tcPr>
            <w:tcW w:w="1701" w:type="dxa"/>
            <w:vAlign w:val="center"/>
          </w:tcPr>
          <w:p w14:paraId="6639981D" w14:textId="77777777" w:rsidR="00454A29" w:rsidRDefault="00454A29">
            <w:pPr>
              <w:pStyle w:val="ConsPlusNormal"/>
              <w:jc w:val="center"/>
            </w:pPr>
            <w:r>
              <w:t>0,00</w:t>
            </w:r>
          </w:p>
        </w:tc>
        <w:tc>
          <w:tcPr>
            <w:tcW w:w="1701" w:type="dxa"/>
            <w:vAlign w:val="center"/>
          </w:tcPr>
          <w:p w14:paraId="4A8D8187" w14:textId="77777777" w:rsidR="00454A29" w:rsidRDefault="00454A29">
            <w:pPr>
              <w:pStyle w:val="ConsPlusNormal"/>
              <w:jc w:val="center"/>
            </w:pPr>
            <w:r>
              <w:t>0,00</w:t>
            </w:r>
          </w:p>
        </w:tc>
      </w:tr>
      <w:tr w:rsidR="00454A29" w14:paraId="64E7D7FE" w14:textId="77777777">
        <w:tc>
          <w:tcPr>
            <w:tcW w:w="964" w:type="dxa"/>
            <w:vMerge w:val="restart"/>
            <w:vAlign w:val="center"/>
          </w:tcPr>
          <w:p w14:paraId="1F03C277" w14:textId="77777777" w:rsidR="00454A29" w:rsidRDefault="00454A29">
            <w:pPr>
              <w:pStyle w:val="ConsPlusNormal"/>
              <w:jc w:val="center"/>
            </w:pPr>
            <w:r>
              <w:t>1.7.</w:t>
            </w:r>
          </w:p>
        </w:tc>
        <w:tc>
          <w:tcPr>
            <w:tcW w:w="2154" w:type="dxa"/>
            <w:vMerge w:val="restart"/>
            <w:tcBorders>
              <w:top w:val="nil"/>
              <w:bottom w:val="nil"/>
            </w:tcBorders>
            <w:vAlign w:val="center"/>
          </w:tcPr>
          <w:p w14:paraId="6E481E21" w14:textId="77777777" w:rsidR="00454A29" w:rsidRDefault="00454A29">
            <w:pPr>
              <w:pStyle w:val="ConsPlusNormal"/>
            </w:pPr>
          </w:p>
        </w:tc>
        <w:tc>
          <w:tcPr>
            <w:tcW w:w="2154" w:type="dxa"/>
            <w:vMerge w:val="restart"/>
            <w:tcBorders>
              <w:top w:val="nil"/>
              <w:bottom w:val="nil"/>
            </w:tcBorders>
            <w:vAlign w:val="center"/>
          </w:tcPr>
          <w:p w14:paraId="5FB8BC17" w14:textId="77777777" w:rsidR="00454A29" w:rsidRDefault="00454A29">
            <w:pPr>
              <w:pStyle w:val="ConsPlusNormal"/>
            </w:pPr>
          </w:p>
        </w:tc>
        <w:tc>
          <w:tcPr>
            <w:tcW w:w="2665" w:type="dxa"/>
            <w:vMerge w:val="restart"/>
            <w:vAlign w:val="center"/>
          </w:tcPr>
          <w:p w14:paraId="4D14B1F8" w14:textId="77777777" w:rsidR="00454A29" w:rsidRDefault="00454A29">
            <w:pPr>
              <w:pStyle w:val="ConsPlusNormal"/>
              <w:jc w:val="center"/>
            </w:pPr>
            <w:r>
              <w:t>Результат 7. Обновлена материально-техническая база 22 специальных коррекционных школ</w:t>
            </w:r>
          </w:p>
        </w:tc>
        <w:tc>
          <w:tcPr>
            <w:tcW w:w="2665" w:type="dxa"/>
            <w:vMerge w:val="restart"/>
            <w:vAlign w:val="center"/>
          </w:tcPr>
          <w:p w14:paraId="2DFC5B59" w14:textId="77777777" w:rsidR="00454A29" w:rsidRDefault="00454A29">
            <w:pPr>
              <w:pStyle w:val="ConsPlusNormal"/>
              <w:jc w:val="center"/>
            </w:pPr>
            <w:r>
              <w:t>Мероприятие 2.5.7. 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28" w:type="dxa"/>
            <w:vMerge w:val="restart"/>
            <w:vAlign w:val="center"/>
          </w:tcPr>
          <w:p w14:paraId="45494085" w14:textId="77777777" w:rsidR="00454A29" w:rsidRDefault="00454A29">
            <w:pPr>
              <w:pStyle w:val="ConsPlusNormal"/>
              <w:jc w:val="center"/>
            </w:pPr>
            <w:r>
              <w:t>-</w:t>
            </w:r>
          </w:p>
        </w:tc>
        <w:tc>
          <w:tcPr>
            <w:tcW w:w="1644" w:type="dxa"/>
            <w:vMerge w:val="restart"/>
            <w:vAlign w:val="center"/>
          </w:tcPr>
          <w:p w14:paraId="263D0A55" w14:textId="77777777" w:rsidR="00454A29" w:rsidRDefault="00454A29">
            <w:pPr>
              <w:pStyle w:val="ConsPlusNormal"/>
              <w:jc w:val="center"/>
            </w:pPr>
            <w:r>
              <w:t>-</w:t>
            </w:r>
          </w:p>
        </w:tc>
        <w:tc>
          <w:tcPr>
            <w:tcW w:w="2041" w:type="dxa"/>
            <w:vMerge w:val="restart"/>
            <w:vAlign w:val="center"/>
          </w:tcPr>
          <w:p w14:paraId="0EC21475" w14:textId="77777777" w:rsidR="00454A29" w:rsidRDefault="00454A29">
            <w:pPr>
              <w:pStyle w:val="ConsPlusNormal"/>
              <w:jc w:val="center"/>
            </w:pPr>
            <w:r>
              <w:t>-</w:t>
            </w:r>
          </w:p>
        </w:tc>
        <w:tc>
          <w:tcPr>
            <w:tcW w:w="2098" w:type="dxa"/>
            <w:vAlign w:val="center"/>
          </w:tcPr>
          <w:p w14:paraId="46977B1C" w14:textId="77777777" w:rsidR="00454A29" w:rsidRDefault="00454A29">
            <w:pPr>
              <w:pStyle w:val="ConsPlusNormal"/>
              <w:jc w:val="center"/>
            </w:pPr>
            <w:r>
              <w:t>Итого</w:t>
            </w:r>
          </w:p>
        </w:tc>
        <w:tc>
          <w:tcPr>
            <w:tcW w:w="1814" w:type="dxa"/>
            <w:vAlign w:val="center"/>
          </w:tcPr>
          <w:p w14:paraId="3C5ABA43" w14:textId="77777777" w:rsidR="00454A29" w:rsidRDefault="00454A29">
            <w:pPr>
              <w:pStyle w:val="ConsPlusNormal"/>
              <w:jc w:val="center"/>
            </w:pPr>
            <w:r>
              <w:t>156,30</w:t>
            </w:r>
          </w:p>
        </w:tc>
        <w:tc>
          <w:tcPr>
            <w:tcW w:w="1701" w:type="dxa"/>
            <w:vAlign w:val="center"/>
          </w:tcPr>
          <w:p w14:paraId="7FA8750D" w14:textId="77777777" w:rsidR="00454A29" w:rsidRDefault="00454A29">
            <w:pPr>
              <w:pStyle w:val="ConsPlusNormal"/>
              <w:jc w:val="center"/>
            </w:pPr>
            <w:r>
              <w:t>146,04</w:t>
            </w:r>
          </w:p>
        </w:tc>
        <w:tc>
          <w:tcPr>
            <w:tcW w:w="1701" w:type="dxa"/>
            <w:vAlign w:val="center"/>
          </w:tcPr>
          <w:p w14:paraId="7C9F7652" w14:textId="77777777" w:rsidR="00454A29" w:rsidRDefault="00454A29">
            <w:pPr>
              <w:pStyle w:val="ConsPlusNormal"/>
              <w:jc w:val="center"/>
            </w:pPr>
            <w:r>
              <w:t>157,74</w:t>
            </w:r>
          </w:p>
        </w:tc>
        <w:tc>
          <w:tcPr>
            <w:tcW w:w="1701" w:type="dxa"/>
            <w:vAlign w:val="center"/>
          </w:tcPr>
          <w:p w14:paraId="0C8B18B6" w14:textId="77777777" w:rsidR="00454A29" w:rsidRDefault="00454A29">
            <w:pPr>
              <w:pStyle w:val="ConsPlusNormal"/>
              <w:jc w:val="center"/>
            </w:pPr>
            <w:r>
              <w:t>0,00</w:t>
            </w:r>
          </w:p>
        </w:tc>
        <w:tc>
          <w:tcPr>
            <w:tcW w:w="1701" w:type="dxa"/>
            <w:vAlign w:val="center"/>
          </w:tcPr>
          <w:p w14:paraId="4F3FA767" w14:textId="77777777" w:rsidR="00454A29" w:rsidRDefault="00454A29">
            <w:pPr>
              <w:pStyle w:val="ConsPlusNormal"/>
              <w:jc w:val="center"/>
            </w:pPr>
            <w:r>
              <w:t>0,00</w:t>
            </w:r>
          </w:p>
        </w:tc>
        <w:tc>
          <w:tcPr>
            <w:tcW w:w="1701" w:type="dxa"/>
            <w:vAlign w:val="center"/>
          </w:tcPr>
          <w:p w14:paraId="5805F77A" w14:textId="77777777" w:rsidR="00454A29" w:rsidRDefault="00454A29">
            <w:pPr>
              <w:pStyle w:val="ConsPlusNormal"/>
              <w:jc w:val="center"/>
            </w:pPr>
            <w:r>
              <w:t>0,00</w:t>
            </w:r>
          </w:p>
        </w:tc>
        <w:tc>
          <w:tcPr>
            <w:tcW w:w="1701" w:type="dxa"/>
            <w:vAlign w:val="center"/>
          </w:tcPr>
          <w:p w14:paraId="77F3F416" w14:textId="77777777" w:rsidR="00454A29" w:rsidRDefault="00454A29">
            <w:pPr>
              <w:pStyle w:val="ConsPlusNormal"/>
              <w:jc w:val="center"/>
            </w:pPr>
            <w:r>
              <w:t>0,00</w:t>
            </w:r>
          </w:p>
        </w:tc>
      </w:tr>
      <w:tr w:rsidR="00454A29" w14:paraId="4AD4F428" w14:textId="77777777">
        <w:tc>
          <w:tcPr>
            <w:tcW w:w="964" w:type="dxa"/>
            <w:vMerge/>
          </w:tcPr>
          <w:p w14:paraId="2D56099C" w14:textId="77777777" w:rsidR="00454A29" w:rsidRDefault="00454A29"/>
        </w:tc>
        <w:tc>
          <w:tcPr>
            <w:tcW w:w="2154" w:type="dxa"/>
            <w:vMerge/>
            <w:tcBorders>
              <w:top w:val="nil"/>
              <w:bottom w:val="nil"/>
            </w:tcBorders>
          </w:tcPr>
          <w:p w14:paraId="58BB7372" w14:textId="77777777" w:rsidR="00454A29" w:rsidRDefault="00454A29"/>
        </w:tc>
        <w:tc>
          <w:tcPr>
            <w:tcW w:w="2154" w:type="dxa"/>
            <w:vMerge/>
            <w:tcBorders>
              <w:top w:val="nil"/>
              <w:bottom w:val="nil"/>
            </w:tcBorders>
          </w:tcPr>
          <w:p w14:paraId="2A48CB16" w14:textId="77777777" w:rsidR="00454A29" w:rsidRDefault="00454A29"/>
        </w:tc>
        <w:tc>
          <w:tcPr>
            <w:tcW w:w="2665" w:type="dxa"/>
            <w:vMerge/>
          </w:tcPr>
          <w:p w14:paraId="45A3C955" w14:textId="77777777" w:rsidR="00454A29" w:rsidRDefault="00454A29"/>
        </w:tc>
        <w:tc>
          <w:tcPr>
            <w:tcW w:w="2665" w:type="dxa"/>
            <w:vMerge/>
          </w:tcPr>
          <w:p w14:paraId="376FA084" w14:textId="77777777" w:rsidR="00454A29" w:rsidRDefault="00454A29"/>
        </w:tc>
        <w:tc>
          <w:tcPr>
            <w:tcW w:w="1928" w:type="dxa"/>
            <w:vMerge/>
          </w:tcPr>
          <w:p w14:paraId="506DAB3D" w14:textId="77777777" w:rsidR="00454A29" w:rsidRDefault="00454A29"/>
        </w:tc>
        <w:tc>
          <w:tcPr>
            <w:tcW w:w="1644" w:type="dxa"/>
            <w:vMerge/>
          </w:tcPr>
          <w:p w14:paraId="1A4F2159" w14:textId="77777777" w:rsidR="00454A29" w:rsidRDefault="00454A29"/>
        </w:tc>
        <w:tc>
          <w:tcPr>
            <w:tcW w:w="2041" w:type="dxa"/>
            <w:vMerge/>
          </w:tcPr>
          <w:p w14:paraId="68BF132B" w14:textId="77777777" w:rsidR="00454A29" w:rsidRDefault="00454A29"/>
        </w:tc>
        <w:tc>
          <w:tcPr>
            <w:tcW w:w="2098" w:type="dxa"/>
            <w:vAlign w:val="center"/>
          </w:tcPr>
          <w:p w14:paraId="054F4F8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4EAAF85C" w14:textId="77777777" w:rsidR="00454A29" w:rsidRDefault="00454A29">
            <w:pPr>
              <w:pStyle w:val="ConsPlusNormal"/>
              <w:jc w:val="center"/>
            </w:pPr>
            <w:r>
              <w:t>156,30</w:t>
            </w:r>
          </w:p>
        </w:tc>
        <w:tc>
          <w:tcPr>
            <w:tcW w:w="1701" w:type="dxa"/>
            <w:vAlign w:val="center"/>
          </w:tcPr>
          <w:p w14:paraId="1006C71A" w14:textId="77777777" w:rsidR="00454A29" w:rsidRDefault="00454A29">
            <w:pPr>
              <w:pStyle w:val="ConsPlusNormal"/>
              <w:jc w:val="center"/>
            </w:pPr>
            <w:r>
              <w:t>146,04</w:t>
            </w:r>
          </w:p>
        </w:tc>
        <w:tc>
          <w:tcPr>
            <w:tcW w:w="1701" w:type="dxa"/>
            <w:vAlign w:val="center"/>
          </w:tcPr>
          <w:p w14:paraId="6F10F693" w14:textId="77777777" w:rsidR="00454A29" w:rsidRDefault="00454A29">
            <w:pPr>
              <w:pStyle w:val="ConsPlusNormal"/>
              <w:jc w:val="center"/>
            </w:pPr>
            <w:r>
              <w:t>157,74</w:t>
            </w:r>
          </w:p>
        </w:tc>
        <w:tc>
          <w:tcPr>
            <w:tcW w:w="1701" w:type="dxa"/>
            <w:vAlign w:val="center"/>
          </w:tcPr>
          <w:p w14:paraId="78D06633" w14:textId="77777777" w:rsidR="00454A29" w:rsidRDefault="00454A29">
            <w:pPr>
              <w:pStyle w:val="ConsPlusNormal"/>
              <w:jc w:val="center"/>
            </w:pPr>
            <w:r>
              <w:t>0,00</w:t>
            </w:r>
          </w:p>
        </w:tc>
        <w:tc>
          <w:tcPr>
            <w:tcW w:w="1701" w:type="dxa"/>
            <w:vAlign w:val="center"/>
          </w:tcPr>
          <w:p w14:paraId="6DEDBC05" w14:textId="77777777" w:rsidR="00454A29" w:rsidRDefault="00454A29">
            <w:pPr>
              <w:pStyle w:val="ConsPlusNormal"/>
              <w:jc w:val="center"/>
            </w:pPr>
            <w:r>
              <w:t>0,00</w:t>
            </w:r>
          </w:p>
        </w:tc>
        <w:tc>
          <w:tcPr>
            <w:tcW w:w="1701" w:type="dxa"/>
            <w:vAlign w:val="center"/>
          </w:tcPr>
          <w:p w14:paraId="5452F1A5" w14:textId="77777777" w:rsidR="00454A29" w:rsidRDefault="00454A29">
            <w:pPr>
              <w:pStyle w:val="ConsPlusNormal"/>
              <w:jc w:val="center"/>
            </w:pPr>
            <w:r>
              <w:t>0,00</w:t>
            </w:r>
          </w:p>
        </w:tc>
        <w:tc>
          <w:tcPr>
            <w:tcW w:w="1701" w:type="dxa"/>
            <w:vAlign w:val="center"/>
          </w:tcPr>
          <w:p w14:paraId="0D0D1B17" w14:textId="77777777" w:rsidR="00454A29" w:rsidRDefault="00454A29">
            <w:pPr>
              <w:pStyle w:val="ConsPlusNormal"/>
              <w:jc w:val="center"/>
            </w:pPr>
            <w:r>
              <w:t>0,00</w:t>
            </w:r>
          </w:p>
        </w:tc>
      </w:tr>
      <w:tr w:rsidR="00454A29" w14:paraId="21C36397" w14:textId="77777777">
        <w:tc>
          <w:tcPr>
            <w:tcW w:w="964" w:type="dxa"/>
            <w:vMerge/>
          </w:tcPr>
          <w:p w14:paraId="66A78236" w14:textId="77777777" w:rsidR="00454A29" w:rsidRDefault="00454A29"/>
        </w:tc>
        <w:tc>
          <w:tcPr>
            <w:tcW w:w="2154" w:type="dxa"/>
            <w:vMerge/>
            <w:tcBorders>
              <w:top w:val="nil"/>
              <w:bottom w:val="nil"/>
            </w:tcBorders>
          </w:tcPr>
          <w:p w14:paraId="433B5019" w14:textId="77777777" w:rsidR="00454A29" w:rsidRDefault="00454A29"/>
        </w:tc>
        <w:tc>
          <w:tcPr>
            <w:tcW w:w="2154" w:type="dxa"/>
            <w:vMerge/>
            <w:tcBorders>
              <w:top w:val="nil"/>
              <w:bottom w:val="nil"/>
            </w:tcBorders>
          </w:tcPr>
          <w:p w14:paraId="557C99EF" w14:textId="77777777" w:rsidR="00454A29" w:rsidRDefault="00454A29"/>
        </w:tc>
        <w:tc>
          <w:tcPr>
            <w:tcW w:w="2665" w:type="dxa"/>
            <w:vMerge/>
          </w:tcPr>
          <w:p w14:paraId="282A5146" w14:textId="77777777" w:rsidR="00454A29" w:rsidRDefault="00454A29"/>
        </w:tc>
        <w:tc>
          <w:tcPr>
            <w:tcW w:w="2665" w:type="dxa"/>
            <w:vMerge/>
          </w:tcPr>
          <w:p w14:paraId="7A7CB009" w14:textId="77777777" w:rsidR="00454A29" w:rsidRDefault="00454A29"/>
        </w:tc>
        <w:tc>
          <w:tcPr>
            <w:tcW w:w="1928" w:type="dxa"/>
            <w:vMerge/>
          </w:tcPr>
          <w:p w14:paraId="1C7A3FA9" w14:textId="77777777" w:rsidR="00454A29" w:rsidRDefault="00454A29"/>
        </w:tc>
        <w:tc>
          <w:tcPr>
            <w:tcW w:w="1644" w:type="dxa"/>
            <w:vMerge/>
          </w:tcPr>
          <w:p w14:paraId="18E8E993" w14:textId="77777777" w:rsidR="00454A29" w:rsidRDefault="00454A29"/>
        </w:tc>
        <w:tc>
          <w:tcPr>
            <w:tcW w:w="2041" w:type="dxa"/>
            <w:vMerge/>
          </w:tcPr>
          <w:p w14:paraId="3A556234" w14:textId="77777777" w:rsidR="00454A29" w:rsidRDefault="00454A29"/>
        </w:tc>
        <w:tc>
          <w:tcPr>
            <w:tcW w:w="2098" w:type="dxa"/>
            <w:vAlign w:val="center"/>
          </w:tcPr>
          <w:p w14:paraId="78A52866" w14:textId="77777777" w:rsidR="00454A29" w:rsidRDefault="00454A29">
            <w:pPr>
              <w:pStyle w:val="ConsPlusNormal"/>
              <w:jc w:val="center"/>
            </w:pPr>
            <w:r>
              <w:t>Федеральный бюджет</w:t>
            </w:r>
          </w:p>
        </w:tc>
        <w:tc>
          <w:tcPr>
            <w:tcW w:w="1814" w:type="dxa"/>
            <w:vAlign w:val="center"/>
          </w:tcPr>
          <w:p w14:paraId="730BC424" w14:textId="77777777" w:rsidR="00454A29" w:rsidRDefault="00454A29">
            <w:pPr>
              <w:pStyle w:val="ConsPlusNormal"/>
              <w:jc w:val="center"/>
            </w:pPr>
            <w:r>
              <w:t>0,00</w:t>
            </w:r>
          </w:p>
        </w:tc>
        <w:tc>
          <w:tcPr>
            <w:tcW w:w="1701" w:type="dxa"/>
            <w:vAlign w:val="center"/>
          </w:tcPr>
          <w:p w14:paraId="25709948" w14:textId="77777777" w:rsidR="00454A29" w:rsidRDefault="00454A29">
            <w:pPr>
              <w:pStyle w:val="ConsPlusNormal"/>
              <w:jc w:val="center"/>
            </w:pPr>
            <w:r>
              <w:t>0,00</w:t>
            </w:r>
          </w:p>
        </w:tc>
        <w:tc>
          <w:tcPr>
            <w:tcW w:w="1701" w:type="dxa"/>
            <w:vAlign w:val="center"/>
          </w:tcPr>
          <w:p w14:paraId="6BB530E7" w14:textId="77777777" w:rsidR="00454A29" w:rsidRDefault="00454A29">
            <w:pPr>
              <w:pStyle w:val="ConsPlusNormal"/>
              <w:jc w:val="center"/>
            </w:pPr>
            <w:r>
              <w:t>0,00</w:t>
            </w:r>
          </w:p>
        </w:tc>
        <w:tc>
          <w:tcPr>
            <w:tcW w:w="1701" w:type="dxa"/>
            <w:vAlign w:val="center"/>
          </w:tcPr>
          <w:p w14:paraId="2121EE47" w14:textId="77777777" w:rsidR="00454A29" w:rsidRDefault="00454A29">
            <w:pPr>
              <w:pStyle w:val="ConsPlusNormal"/>
              <w:jc w:val="center"/>
            </w:pPr>
            <w:r>
              <w:t>0,00</w:t>
            </w:r>
          </w:p>
        </w:tc>
        <w:tc>
          <w:tcPr>
            <w:tcW w:w="1701" w:type="dxa"/>
            <w:vAlign w:val="center"/>
          </w:tcPr>
          <w:p w14:paraId="2DBEE40C" w14:textId="77777777" w:rsidR="00454A29" w:rsidRDefault="00454A29">
            <w:pPr>
              <w:pStyle w:val="ConsPlusNormal"/>
              <w:jc w:val="center"/>
            </w:pPr>
            <w:r>
              <w:t>0,00</w:t>
            </w:r>
          </w:p>
        </w:tc>
        <w:tc>
          <w:tcPr>
            <w:tcW w:w="1701" w:type="dxa"/>
            <w:vAlign w:val="center"/>
          </w:tcPr>
          <w:p w14:paraId="0F3F7A6D" w14:textId="77777777" w:rsidR="00454A29" w:rsidRDefault="00454A29">
            <w:pPr>
              <w:pStyle w:val="ConsPlusNormal"/>
              <w:jc w:val="center"/>
            </w:pPr>
            <w:r>
              <w:t>0,00</w:t>
            </w:r>
          </w:p>
        </w:tc>
        <w:tc>
          <w:tcPr>
            <w:tcW w:w="1701" w:type="dxa"/>
            <w:vAlign w:val="center"/>
          </w:tcPr>
          <w:p w14:paraId="114867D0" w14:textId="77777777" w:rsidR="00454A29" w:rsidRDefault="00454A29">
            <w:pPr>
              <w:pStyle w:val="ConsPlusNormal"/>
              <w:jc w:val="center"/>
            </w:pPr>
            <w:r>
              <w:t>0,00</w:t>
            </w:r>
          </w:p>
        </w:tc>
      </w:tr>
      <w:tr w:rsidR="00454A29" w14:paraId="5C09B629" w14:textId="77777777">
        <w:tc>
          <w:tcPr>
            <w:tcW w:w="964" w:type="dxa"/>
            <w:vMerge/>
          </w:tcPr>
          <w:p w14:paraId="5FD06734" w14:textId="77777777" w:rsidR="00454A29" w:rsidRDefault="00454A29"/>
        </w:tc>
        <w:tc>
          <w:tcPr>
            <w:tcW w:w="2154" w:type="dxa"/>
            <w:vMerge/>
            <w:tcBorders>
              <w:top w:val="nil"/>
              <w:bottom w:val="nil"/>
            </w:tcBorders>
          </w:tcPr>
          <w:p w14:paraId="59141D71" w14:textId="77777777" w:rsidR="00454A29" w:rsidRDefault="00454A29"/>
        </w:tc>
        <w:tc>
          <w:tcPr>
            <w:tcW w:w="2154" w:type="dxa"/>
            <w:vMerge/>
            <w:tcBorders>
              <w:top w:val="nil"/>
              <w:bottom w:val="nil"/>
            </w:tcBorders>
          </w:tcPr>
          <w:p w14:paraId="73BA52F0" w14:textId="77777777" w:rsidR="00454A29" w:rsidRDefault="00454A29"/>
        </w:tc>
        <w:tc>
          <w:tcPr>
            <w:tcW w:w="2665" w:type="dxa"/>
            <w:vMerge/>
          </w:tcPr>
          <w:p w14:paraId="4E0CA7B0" w14:textId="77777777" w:rsidR="00454A29" w:rsidRDefault="00454A29"/>
        </w:tc>
        <w:tc>
          <w:tcPr>
            <w:tcW w:w="2665" w:type="dxa"/>
            <w:vMerge/>
          </w:tcPr>
          <w:p w14:paraId="5689F75C" w14:textId="77777777" w:rsidR="00454A29" w:rsidRDefault="00454A29"/>
        </w:tc>
        <w:tc>
          <w:tcPr>
            <w:tcW w:w="1928" w:type="dxa"/>
            <w:vMerge/>
          </w:tcPr>
          <w:p w14:paraId="05E357E5" w14:textId="77777777" w:rsidR="00454A29" w:rsidRDefault="00454A29"/>
        </w:tc>
        <w:tc>
          <w:tcPr>
            <w:tcW w:w="1644" w:type="dxa"/>
            <w:vMerge/>
          </w:tcPr>
          <w:p w14:paraId="7DAFAD00" w14:textId="77777777" w:rsidR="00454A29" w:rsidRDefault="00454A29"/>
        </w:tc>
        <w:tc>
          <w:tcPr>
            <w:tcW w:w="2041" w:type="dxa"/>
            <w:vMerge/>
          </w:tcPr>
          <w:p w14:paraId="578CDDC6" w14:textId="77777777" w:rsidR="00454A29" w:rsidRDefault="00454A29"/>
        </w:tc>
        <w:tc>
          <w:tcPr>
            <w:tcW w:w="2098" w:type="dxa"/>
            <w:vAlign w:val="center"/>
          </w:tcPr>
          <w:p w14:paraId="5224C9AC" w14:textId="77777777" w:rsidR="00454A29" w:rsidRDefault="00454A29">
            <w:pPr>
              <w:pStyle w:val="ConsPlusNormal"/>
              <w:jc w:val="center"/>
            </w:pPr>
            <w:r>
              <w:t>Местные бюджеты</w:t>
            </w:r>
          </w:p>
        </w:tc>
        <w:tc>
          <w:tcPr>
            <w:tcW w:w="1814" w:type="dxa"/>
            <w:vAlign w:val="center"/>
          </w:tcPr>
          <w:p w14:paraId="6859B608" w14:textId="77777777" w:rsidR="00454A29" w:rsidRDefault="00454A29">
            <w:pPr>
              <w:pStyle w:val="ConsPlusNormal"/>
              <w:jc w:val="center"/>
            </w:pPr>
            <w:r>
              <w:t>0,00</w:t>
            </w:r>
          </w:p>
        </w:tc>
        <w:tc>
          <w:tcPr>
            <w:tcW w:w="1701" w:type="dxa"/>
            <w:vAlign w:val="center"/>
          </w:tcPr>
          <w:p w14:paraId="54A935FC" w14:textId="77777777" w:rsidR="00454A29" w:rsidRDefault="00454A29">
            <w:pPr>
              <w:pStyle w:val="ConsPlusNormal"/>
              <w:jc w:val="center"/>
            </w:pPr>
            <w:r>
              <w:t>0,00</w:t>
            </w:r>
          </w:p>
        </w:tc>
        <w:tc>
          <w:tcPr>
            <w:tcW w:w="1701" w:type="dxa"/>
            <w:vAlign w:val="center"/>
          </w:tcPr>
          <w:p w14:paraId="7A88DFA8" w14:textId="77777777" w:rsidR="00454A29" w:rsidRDefault="00454A29">
            <w:pPr>
              <w:pStyle w:val="ConsPlusNormal"/>
              <w:jc w:val="center"/>
            </w:pPr>
            <w:r>
              <w:t>0,00</w:t>
            </w:r>
          </w:p>
        </w:tc>
        <w:tc>
          <w:tcPr>
            <w:tcW w:w="1701" w:type="dxa"/>
            <w:vAlign w:val="center"/>
          </w:tcPr>
          <w:p w14:paraId="6FF92B70" w14:textId="77777777" w:rsidR="00454A29" w:rsidRDefault="00454A29">
            <w:pPr>
              <w:pStyle w:val="ConsPlusNormal"/>
              <w:jc w:val="center"/>
            </w:pPr>
            <w:r>
              <w:t>0,00</w:t>
            </w:r>
          </w:p>
        </w:tc>
        <w:tc>
          <w:tcPr>
            <w:tcW w:w="1701" w:type="dxa"/>
            <w:vAlign w:val="center"/>
          </w:tcPr>
          <w:p w14:paraId="450447D2" w14:textId="77777777" w:rsidR="00454A29" w:rsidRDefault="00454A29">
            <w:pPr>
              <w:pStyle w:val="ConsPlusNormal"/>
              <w:jc w:val="center"/>
            </w:pPr>
            <w:r>
              <w:t>0,00</w:t>
            </w:r>
          </w:p>
        </w:tc>
        <w:tc>
          <w:tcPr>
            <w:tcW w:w="1701" w:type="dxa"/>
            <w:vAlign w:val="center"/>
          </w:tcPr>
          <w:p w14:paraId="50441EED" w14:textId="77777777" w:rsidR="00454A29" w:rsidRDefault="00454A29">
            <w:pPr>
              <w:pStyle w:val="ConsPlusNormal"/>
              <w:jc w:val="center"/>
            </w:pPr>
            <w:r>
              <w:t>0,00</w:t>
            </w:r>
          </w:p>
        </w:tc>
        <w:tc>
          <w:tcPr>
            <w:tcW w:w="1701" w:type="dxa"/>
            <w:vAlign w:val="center"/>
          </w:tcPr>
          <w:p w14:paraId="6063498E" w14:textId="77777777" w:rsidR="00454A29" w:rsidRDefault="00454A29">
            <w:pPr>
              <w:pStyle w:val="ConsPlusNormal"/>
              <w:jc w:val="center"/>
            </w:pPr>
            <w:r>
              <w:t>0,00</w:t>
            </w:r>
          </w:p>
        </w:tc>
      </w:tr>
      <w:tr w:rsidR="00454A29" w14:paraId="0B7E4AB9" w14:textId="77777777">
        <w:tc>
          <w:tcPr>
            <w:tcW w:w="964" w:type="dxa"/>
            <w:vMerge/>
          </w:tcPr>
          <w:p w14:paraId="7B9E1A1C" w14:textId="77777777" w:rsidR="00454A29" w:rsidRDefault="00454A29"/>
        </w:tc>
        <w:tc>
          <w:tcPr>
            <w:tcW w:w="2154" w:type="dxa"/>
            <w:vMerge/>
            <w:tcBorders>
              <w:top w:val="nil"/>
              <w:bottom w:val="nil"/>
            </w:tcBorders>
          </w:tcPr>
          <w:p w14:paraId="7B5C8E7E" w14:textId="77777777" w:rsidR="00454A29" w:rsidRDefault="00454A29"/>
        </w:tc>
        <w:tc>
          <w:tcPr>
            <w:tcW w:w="2154" w:type="dxa"/>
            <w:vMerge/>
            <w:tcBorders>
              <w:top w:val="nil"/>
              <w:bottom w:val="nil"/>
            </w:tcBorders>
          </w:tcPr>
          <w:p w14:paraId="28D36E63" w14:textId="77777777" w:rsidR="00454A29" w:rsidRDefault="00454A29"/>
        </w:tc>
        <w:tc>
          <w:tcPr>
            <w:tcW w:w="2665" w:type="dxa"/>
            <w:vMerge/>
          </w:tcPr>
          <w:p w14:paraId="523E941F" w14:textId="77777777" w:rsidR="00454A29" w:rsidRDefault="00454A29"/>
        </w:tc>
        <w:tc>
          <w:tcPr>
            <w:tcW w:w="2665" w:type="dxa"/>
            <w:vMerge/>
          </w:tcPr>
          <w:p w14:paraId="45C54007" w14:textId="77777777" w:rsidR="00454A29" w:rsidRDefault="00454A29"/>
        </w:tc>
        <w:tc>
          <w:tcPr>
            <w:tcW w:w="1928" w:type="dxa"/>
            <w:vMerge/>
          </w:tcPr>
          <w:p w14:paraId="3B36336C" w14:textId="77777777" w:rsidR="00454A29" w:rsidRDefault="00454A29"/>
        </w:tc>
        <w:tc>
          <w:tcPr>
            <w:tcW w:w="1644" w:type="dxa"/>
            <w:vMerge/>
          </w:tcPr>
          <w:p w14:paraId="295F78C6" w14:textId="77777777" w:rsidR="00454A29" w:rsidRDefault="00454A29"/>
        </w:tc>
        <w:tc>
          <w:tcPr>
            <w:tcW w:w="2041" w:type="dxa"/>
            <w:vMerge/>
          </w:tcPr>
          <w:p w14:paraId="4EA902CB" w14:textId="77777777" w:rsidR="00454A29" w:rsidRDefault="00454A29"/>
        </w:tc>
        <w:tc>
          <w:tcPr>
            <w:tcW w:w="2098" w:type="dxa"/>
            <w:vAlign w:val="center"/>
          </w:tcPr>
          <w:p w14:paraId="44DD0ECC" w14:textId="77777777" w:rsidR="00454A29" w:rsidRDefault="00454A29">
            <w:pPr>
              <w:pStyle w:val="ConsPlusNormal"/>
              <w:jc w:val="center"/>
            </w:pPr>
            <w:r>
              <w:t>Внебюджетные средства</w:t>
            </w:r>
          </w:p>
        </w:tc>
        <w:tc>
          <w:tcPr>
            <w:tcW w:w="1814" w:type="dxa"/>
            <w:vAlign w:val="center"/>
          </w:tcPr>
          <w:p w14:paraId="6F8D74E9" w14:textId="77777777" w:rsidR="00454A29" w:rsidRDefault="00454A29">
            <w:pPr>
              <w:pStyle w:val="ConsPlusNormal"/>
              <w:jc w:val="center"/>
            </w:pPr>
            <w:r>
              <w:t>0,00</w:t>
            </w:r>
          </w:p>
        </w:tc>
        <w:tc>
          <w:tcPr>
            <w:tcW w:w="1701" w:type="dxa"/>
            <w:vAlign w:val="center"/>
          </w:tcPr>
          <w:p w14:paraId="20CAEF74" w14:textId="77777777" w:rsidR="00454A29" w:rsidRDefault="00454A29">
            <w:pPr>
              <w:pStyle w:val="ConsPlusNormal"/>
              <w:jc w:val="center"/>
            </w:pPr>
            <w:r>
              <w:t>0,00</w:t>
            </w:r>
          </w:p>
        </w:tc>
        <w:tc>
          <w:tcPr>
            <w:tcW w:w="1701" w:type="dxa"/>
            <w:vAlign w:val="center"/>
          </w:tcPr>
          <w:p w14:paraId="245102B2" w14:textId="77777777" w:rsidR="00454A29" w:rsidRDefault="00454A29">
            <w:pPr>
              <w:pStyle w:val="ConsPlusNormal"/>
              <w:jc w:val="center"/>
            </w:pPr>
            <w:r>
              <w:t>0,00</w:t>
            </w:r>
          </w:p>
        </w:tc>
        <w:tc>
          <w:tcPr>
            <w:tcW w:w="1701" w:type="dxa"/>
            <w:vAlign w:val="center"/>
          </w:tcPr>
          <w:p w14:paraId="52E11A10" w14:textId="77777777" w:rsidR="00454A29" w:rsidRDefault="00454A29">
            <w:pPr>
              <w:pStyle w:val="ConsPlusNormal"/>
              <w:jc w:val="center"/>
            </w:pPr>
            <w:r>
              <w:t>0,00</w:t>
            </w:r>
          </w:p>
        </w:tc>
        <w:tc>
          <w:tcPr>
            <w:tcW w:w="1701" w:type="dxa"/>
            <w:vAlign w:val="center"/>
          </w:tcPr>
          <w:p w14:paraId="20B1C8E2" w14:textId="77777777" w:rsidR="00454A29" w:rsidRDefault="00454A29">
            <w:pPr>
              <w:pStyle w:val="ConsPlusNormal"/>
              <w:jc w:val="center"/>
            </w:pPr>
            <w:r>
              <w:t>0,00</w:t>
            </w:r>
          </w:p>
        </w:tc>
        <w:tc>
          <w:tcPr>
            <w:tcW w:w="1701" w:type="dxa"/>
            <w:vAlign w:val="center"/>
          </w:tcPr>
          <w:p w14:paraId="5F743D3F" w14:textId="77777777" w:rsidR="00454A29" w:rsidRDefault="00454A29">
            <w:pPr>
              <w:pStyle w:val="ConsPlusNormal"/>
              <w:jc w:val="center"/>
            </w:pPr>
            <w:r>
              <w:t>0,00</w:t>
            </w:r>
          </w:p>
        </w:tc>
        <w:tc>
          <w:tcPr>
            <w:tcW w:w="1701" w:type="dxa"/>
            <w:vAlign w:val="center"/>
          </w:tcPr>
          <w:p w14:paraId="095E8E1B" w14:textId="77777777" w:rsidR="00454A29" w:rsidRDefault="00454A29">
            <w:pPr>
              <w:pStyle w:val="ConsPlusNormal"/>
              <w:jc w:val="center"/>
            </w:pPr>
            <w:r>
              <w:t>0,00</w:t>
            </w:r>
          </w:p>
        </w:tc>
      </w:tr>
      <w:tr w:rsidR="00454A29" w14:paraId="681C25DD" w14:textId="77777777">
        <w:tc>
          <w:tcPr>
            <w:tcW w:w="964" w:type="dxa"/>
            <w:vMerge w:val="restart"/>
            <w:vAlign w:val="center"/>
          </w:tcPr>
          <w:p w14:paraId="0705556E" w14:textId="77777777" w:rsidR="00454A29" w:rsidRDefault="00454A29">
            <w:pPr>
              <w:pStyle w:val="ConsPlusNormal"/>
              <w:jc w:val="center"/>
            </w:pPr>
            <w:r>
              <w:t>1.8.</w:t>
            </w:r>
          </w:p>
        </w:tc>
        <w:tc>
          <w:tcPr>
            <w:tcW w:w="2154" w:type="dxa"/>
            <w:vMerge w:val="restart"/>
            <w:tcBorders>
              <w:top w:val="nil"/>
              <w:bottom w:val="nil"/>
            </w:tcBorders>
            <w:vAlign w:val="center"/>
          </w:tcPr>
          <w:p w14:paraId="72AB159B" w14:textId="77777777" w:rsidR="00454A29" w:rsidRDefault="00454A29">
            <w:pPr>
              <w:pStyle w:val="ConsPlusNormal"/>
            </w:pPr>
          </w:p>
        </w:tc>
        <w:tc>
          <w:tcPr>
            <w:tcW w:w="2154" w:type="dxa"/>
            <w:vMerge w:val="restart"/>
            <w:tcBorders>
              <w:top w:val="nil"/>
              <w:bottom w:val="nil"/>
            </w:tcBorders>
            <w:vAlign w:val="center"/>
          </w:tcPr>
          <w:p w14:paraId="2868C170" w14:textId="77777777" w:rsidR="00454A29" w:rsidRDefault="00454A29">
            <w:pPr>
              <w:pStyle w:val="ConsPlusNormal"/>
            </w:pPr>
          </w:p>
        </w:tc>
        <w:tc>
          <w:tcPr>
            <w:tcW w:w="2665" w:type="dxa"/>
            <w:vMerge w:val="restart"/>
            <w:vAlign w:val="center"/>
          </w:tcPr>
          <w:p w14:paraId="55D1AF57" w14:textId="77777777" w:rsidR="00454A29" w:rsidRDefault="00454A29">
            <w:pPr>
              <w:pStyle w:val="ConsPlusNormal"/>
              <w:jc w:val="center"/>
            </w:pPr>
            <w:r>
              <w:t xml:space="preserve">Результат 8. </w:t>
            </w:r>
            <w:r>
              <w:lastRenderedPageBreak/>
              <w:t>Функционируют психологические службы во всех общеобразовательных организациях</w:t>
            </w:r>
          </w:p>
        </w:tc>
        <w:tc>
          <w:tcPr>
            <w:tcW w:w="2665" w:type="dxa"/>
            <w:vMerge w:val="restart"/>
            <w:vAlign w:val="center"/>
          </w:tcPr>
          <w:p w14:paraId="68408BA6" w14:textId="77777777" w:rsidR="00454A29" w:rsidRDefault="00454A29">
            <w:pPr>
              <w:pStyle w:val="ConsPlusNormal"/>
              <w:jc w:val="center"/>
            </w:pPr>
            <w:r>
              <w:lastRenderedPageBreak/>
              <w:t xml:space="preserve">Мероприятие 2.5.8. </w:t>
            </w:r>
            <w:r>
              <w:lastRenderedPageBreak/>
              <w:t>Внедрение целевой модели функционирования психологических служб во всех общеобразовательных организациях</w:t>
            </w:r>
          </w:p>
        </w:tc>
        <w:tc>
          <w:tcPr>
            <w:tcW w:w="1928" w:type="dxa"/>
            <w:vMerge w:val="restart"/>
            <w:vAlign w:val="center"/>
          </w:tcPr>
          <w:p w14:paraId="0F3A407D" w14:textId="77777777" w:rsidR="00454A29" w:rsidRDefault="00454A29">
            <w:pPr>
              <w:pStyle w:val="ConsPlusNormal"/>
              <w:jc w:val="center"/>
            </w:pPr>
            <w:r>
              <w:lastRenderedPageBreak/>
              <w:t>-</w:t>
            </w:r>
          </w:p>
        </w:tc>
        <w:tc>
          <w:tcPr>
            <w:tcW w:w="1644" w:type="dxa"/>
            <w:vMerge w:val="restart"/>
            <w:vAlign w:val="center"/>
          </w:tcPr>
          <w:p w14:paraId="48C8C570" w14:textId="77777777" w:rsidR="00454A29" w:rsidRDefault="00454A29">
            <w:pPr>
              <w:pStyle w:val="ConsPlusNormal"/>
              <w:jc w:val="center"/>
            </w:pPr>
            <w:r>
              <w:t>-</w:t>
            </w:r>
          </w:p>
        </w:tc>
        <w:tc>
          <w:tcPr>
            <w:tcW w:w="2041" w:type="dxa"/>
            <w:vMerge w:val="restart"/>
            <w:vAlign w:val="center"/>
          </w:tcPr>
          <w:p w14:paraId="594B4535" w14:textId="77777777" w:rsidR="00454A29" w:rsidRDefault="00454A29">
            <w:pPr>
              <w:pStyle w:val="ConsPlusNormal"/>
            </w:pPr>
          </w:p>
        </w:tc>
        <w:tc>
          <w:tcPr>
            <w:tcW w:w="2098" w:type="dxa"/>
            <w:vAlign w:val="center"/>
          </w:tcPr>
          <w:p w14:paraId="37AAF532" w14:textId="77777777" w:rsidR="00454A29" w:rsidRDefault="00454A29">
            <w:pPr>
              <w:pStyle w:val="ConsPlusNormal"/>
              <w:jc w:val="center"/>
            </w:pPr>
            <w:r>
              <w:t>Итого</w:t>
            </w:r>
          </w:p>
        </w:tc>
        <w:tc>
          <w:tcPr>
            <w:tcW w:w="1814" w:type="dxa"/>
            <w:vAlign w:val="center"/>
          </w:tcPr>
          <w:p w14:paraId="348D4B11" w14:textId="77777777" w:rsidR="00454A29" w:rsidRDefault="00454A29">
            <w:pPr>
              <w:pStyle w:val="ConsPlusNormal"/>
              <w:jc w:val="center"/>
            </w:pPr>
            <w:r>
              <w:t>0,00</w:t>
            </w:r>
          </w:p>
        </w:tc>
        <w:tc>
          <w:tcPr>
            <w:tcW w:w="1701" w:type="dxa"/>
            <w:vAlign w:val="center"/>
          </w:tcPr>
          <w:p w14:paraId="2B85A517" w14:textId="77777777" w:rsidR="00454A29" w:rsidRDefault="00454A29">
            <w:pPr>
              <w:pStyle w:val="ConsPlusNormal"/>
              <w:jc w:val="center"/>
            </w:pPr>
            <w:r>
              <w:t>0,00</w:t>
            </w:r>
          </w:p>
        </w:tc>
        <w:tc>
          <w:tcPr>
            <w:tcW w:w="1701" w:type="dxa"/>
            <w:vAlign w:val="center"/>
          </w:tcPr>
          <w:p w14:paraId="411B3BFF" w14:textId="77777777" w:rsidR="00454A29" w:rsidRDefault="00454A29">
            <w:pPr>
              <w:pStyle w:val="ConsPlusNormal"/>
              <w:jc w:val="center"/>
            </w:pPr>
            <w:r>
              <w:t>0,00</w:t>
            </w:r>
          </w:p>
        </w:tc>
        <w:tc>
          <w:tcPr>
            <w:tcW w:w="1701" w:type="dxa"/>
            <w:vAlign w:val="center"/>
          </w:tcPr>
          <w:p w14:paraId="4CD97AE8" w14:textId="77777777" w:rsidR="00454A29" w:rsidRDefault="00454A29">
            <w:pPr>
              <w:pStyle w:val="ConsPlusNormal"/>
              <w:jc w:val="center"/>
            </w:pPr>
            <w:r>
              <w:t>0,00</w:t>
            </w:r>
          </w:p>
        </w:tc>
        <w:tc>
          <w:tcPr>
            <w:tcW w:w="1701" w:type="dxa"/>
            <w:vAlign w:val="center"/>
          </w:tcPr>
          <w:p w14:paraId="4E4CE4E1" w14:textId="77777777" w:rsidR="00454A29" w:rsidRDefault="00454A29">
            <w:pPr>
              <w:pStyle w:val="ConsPlusNormal"/>
              <w:jc w:val="center"/>
            </w:pPr>
            <w:r>
              <w:t>0,00</w:t>
            </w:r>
          </w:p>
        </w:tc>
        <w:tc>
          <w:tcPr>
            <w:tcW w:w="1701" w:type="dxa"/>
            <w:vAlign w:val="center"/>
          </w:tcPr>
          <w:p w14:paraId="76F57A54" w14:textId="77777777" w:rsidR="00454A29" w:rsidRDefault="00454A29">
            <w:pPr>
              <w:pStyle w:val="ConsPlusNormal"/>
              <w:jc w:val="center"/>
            </w:pPr>
            <w:r>
              <w:t>0,00</w:t>
            </w:r>
          </w:p>
        </w:tc>
        <w:tc>
          <w:tcPr>
            <w:tcW w:w="1701" w:type="dxa"/>
            <w:vAlign w:val="center"/>
          </w:tcPr>
          <w:p w14:paraId="4262EC9D" w14:textId="77777777" w:rsidR="00454A29" w:rsidRDefault="00454A29">
            <w:pPr>
              <w:pStyle w:val="ConsPlusNormal"/>
              <w:jc w:val="center"/>
            </w:pPr>
            <w:r>
              <w:t>0,00</w:t>
            </w:r>
          </w:p>
        </w:tc>
      </w:tr>
      <w:tr w:rsidR="00454A29" w14:paraId="66D7B782" w14:textId="77777777">
        <w:tc>
          <w:tcPr>
            <w:tcW w:w="964" w:type="dxa"/>
            <w:vMerge/>
          </w:tcPr>
          <w:p w14:paraId="1AE57F88" w14:textId="77777777" w:rsidR="00454A29" w:rsidRDefault="00454A29"/>
        </w:tc>
        <w:tc>
          <w:tcPr>
            <w:tcW w:w="2154" w:type="dxa"/>
            <w:vMerge/>
            <w:tcBorders>
              <w:top w:val="nil"/>
              <w:bottom w:val="nil"/>
            </w:tcBorders>
          </w:tcPr>
          <w:p w14:paraId="715A3BA0" w14:textId="77777777" w:rsidR="00454A29" w:rsidRDefault="00454A29"/>
        </w:tc>
        <w:tc>
          <w:tcPr>
            <w:tcW w:w="2154" w:type="dxa"/>
            <w:vMerge/>
            <w:tcBorders>
              <w:top w:val="nil"/>
              <w:bottom w:val="nil"/>
            </w:tcBorders>
          </w:tcPr>
          <w:p w14:paraId="2DAE644F" w14:textId="77777777" w:rsidR="00454A29" w:rsidRDefault="00454A29"/>
        </w:tc>
        <w:tc>
          <w:tcPr>
            <w:tcW w:w="2665" w:type="dxa"/>
            <w:vMerge/>
          </w:tcPr>
          <w:p w14:paraId="164AF5DB" w14:textId="77777777" w:rsidR="00454A29" w:rsidRDefault="00454A29"/>
        </w:tc>
        <w:tc>
          <w:tcPr>
            <w:tcW w:w="2665" w:type="dxa"/>
            <w:vMerge/>
          </w:tcPr>
          <w:p w14:paraId="54C68D27" w14:textId="77777777" w:rsidR="00454A29" w:rsidRDefault="00454A29"/>
        </w:tc>
        <w:tc>
          <w:tcPr>
            <w:tcW w:w="1928" w:type="dxa"/>
            <w:vMerge/>
          </w:tcPr>
          <w:p w14:paraId="6021ECA7" w14:textId="77777777" w:rsidR="00454A29" w:rsidRDefault="00454A29"/>
        </w:tc>
        <w:tc>
          <w:tcPr>
            <w:tcW w:w="1644" w:type="dxa"/>
            <w:vMerge/>
          </w:tcPr>
          <w:p w14:paraId="1080BA8E" w14:textId="77777777" w:rsidR="00454A29" w:rsidRDefault="00454A29"/>
        </w:tc>
        <w:tc>
          <w:tcPr>
            <w:tcW w:w="2041" w:type="dxa"/>
            <w:vMerge/>
          </w:tcPr>
          <w:p w14:paraId="3581A50A" w14:textId="77777777" w:rsidR="00454A29" w:rsidRDefault="00454A29"/>
        </w:tc>
        <w:tc>
          <w:tcPr>
            <w:tcW w:w="2098" w:type="dxa"/>
            <w:vAlign w:val="center"/>
          </w:tcPr>
          <w:p w14:paraId="49A5471A"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4A57B72" w14:textId="77777777" w:rsidR="00454A29" w:rsidRDefault="00454A29">
            <w:pPr>
              <w:pStyle w:val="ConsPlusNormal"/>
              <w:jc w:val="center"/>
            </w:pPr>
            <w:r>
              <w:t>0,00</w:t>
            </w:r>
          </w:p>
        </w:tc>
        <w:tc>
          <w:tcPr>
            <w:tcW w:w="1701" w:type="dxa"/>
            <w:vAlign w:val="center"/>
          </w:tcPr>
          <w:p w14:paraId="3B7DBDCC" w14:textId="77777777" w:rsidR="00454A29" w:rsidRDefault="00454A29">
            <w:pPr>
              <w:pStyle w:val="ConsPlusNormal"/>
              <w:jc w:val="center"/>
            </w:pPr>
            <w:r>
              <w:t>0,00</w:t>
            </w:r>
          </w:p>
        </w:tc>
        <w:tc>
          <w:tcPr>
            <w:tcW w:w="1701" w:type="dxa"/>
            <w:vAlign w:val="center"/>
          </w:tcPr>
          <w:p w14:paraId="61E71ED6" w14:textId="77777777" w:rsidR="00454A29" w:rsidRDefault="00454A29">
            <w:pPr>
              <w:pStyle w:val="ConsPlusNormal"/>
              <w:jc w:val="center"/>
            </w:pPr>
            <w:r>
              <w:t>0,00</w:t>
            </w:r>
          </w:p>
        </w:tc>
        <w:tc>
          <w:tcPr>
            <w:tcW w:w="1701" w:type="dxa"/>
            <w:vAlign w:val="center"/>
          </w:tcPr>
          <w:p w14:paraId="7A96EEE0" w14:textId="77777777" w:rsidR="00454A29" w:rsidRDefault="00454A29">
            <w:pPr>
              <w:pStyle w:val="ConsPlusNormal"/>
              <w:jc w:val="center"/>
            </w:pPr>
            <w:r>
              <w:t>0,00</w:t>
            </w:r>
          </w:p>
        </w:tc>
        <w:tc>
          <w:tcPr>
            <w:tcW w:w="1701" w:type="dxa"/>
            <w:vAlign w:val="center"/>
          </w:tcPr>
          <w:p w14:paraId="0B57003D" w14:textId="77777777" w:rsidR="00454A29" w:rsidRDefault="00454A29">
            <w:pPr>
              <w:pStyle w:val="ConsPlusNormal"/>
              <w:jc w:val="center"/>
            </w:pPr>
            <w:r>
              <w:t>0,00</w:t>
            </w:r>
          </w:p>
        </w:tc>
        <w:tc>
          <w:tcPr>
            <w:tcW w:w="1701" w:type="dxa"/>
            <w:vAlign w:val="center"/>
          </w:tcPr>
          <w:p w14:paraId="23B0D730" w14:textId="77777777" w:rsidR="00454A29" w:rsidRDefault="00454A29">
            <w:pPr>
              <w:pStyle w:val="ConsPlusNormal"/>
              <w:jc w:val="center"/>
            </w:pPr>
            <w:r>
              <w:t>0,00</w:t>
            </w:r>
          </w:p>
        </w:tc>
        <w:tc>
          <w:tcPr>
            <w:tcW w:w="1701" w:type="dxa"/>
            <w:vAlign w:val="center"/>
          </w:tcPr>
          <w:p w14:paraId="523C1AA9" w14:textId="77777777" w:rsidR="00454A29" w:rsidRDefault="00454A29">
            <w:pPr>
              <w:pStyle w:val="ConsPlusNormal"/>
              <w:jc w:val="center"/>
            </w:pPr>
            <w:r>
              <w:t>0,00</w:t>
            </w:r>
          </w:p>
        </w:tc>
      </w:tr>
      <w:tr w:rsidR="00454A29" w14:paraId="548FE718" w14:textId="77777777">
        <w:tc>
          <w:tcPr>
            <w:tcW w:w="964" w:type="dxa"/>
            <w:vMerge/>
          </w:tcPr>
          <w:p w14:paraId="7CA7E890" w14:textId="77777777" w:rsidR="00454A29" w:rsidRDefault="00454A29"/>
        </w:tc>
        <w:tc>
          <w:tcPr>
            <w:tcW w:w="2154" w:type="dxa"/>
            <w:vMerge/>
            <w:tcBorders>
              <w:top w:val="nil"/>
              <w:bottom w:val="nil"/>
            </w:tcBorders>
          </w:tcPr>
          <w:p w14:paraId="5091E38F" w14:textId="77777777" w:rsidR="00454A29" w:rsidRDefault="00454A29"/>
        </w:tc>
        <w:tc>
          <w:tcPr>
            <w:tcW w:w="2154" w:type="dxa"/>
            <w:vMerge/>
            <w:tcBorders>
              <w:top w:val="nil"/>
              <w:bottom w:val="nil"/>
            </w:tcBorders>
          </w:tcPr>
          <w:p w14:paraId="07D3B98C" w14:textId="77777777" w:rsidR="00454A29" w:rsidRDefault="00454A29"/>
        </w:tc>
        <w:tc>
          <w:tcPr>
            <w:tcW w:w="2665" w:type="dxa"/>
            <w:vMerge/>
          </w:tcPr>
          <w:p w14:paraId="6081E61B" w14:textId="77777777" w:rsidR="00454A29" w:rsidRDefault="00454A29"/>
        </w:tc>
        <w:tc>
          <w:tcPr>
            <w:tcW w:w="2665" w:type="dxa"/>
            <w:vMerge/>
          </w:tcPr>
          <w:p w14:paraId="72658720" w14:textId="77777777" w:rsidR="00454A29" w:rsidRDefault="00454A29"/>
        </w:tc>
        <w:tc>
          <w:tcPr>
            <w:tcW w:w="1928" w:type="dxa"/>
            <w:vMerge/>
          </w:tcPr>
          <w:p w14:paraId="3BFDD75A" w14:textId="77777777" w:rsidR="00454A29" w:rsidRDefault="00454A29"/>
        </w:tc>
        <w:tc>
          <w:tcPr>
            <w:tcW w:w="1644" w:type="dxa"/>
            <w:vMerge/>
          </w:tcPr>
          <w:p w14:paraId="143B73EF" w14:textId="77777777" w:rsidR="00454A29" w:rsidRDefault="00454A29"/>
        </w:tc>
        <w:tc>
          <w:tcPr>
            <w:tcW w:w="2041" w:type="dxa"/>
            <w:vMerge/>
          </w:tcPr>
          <w:p w14:paraId="47DB624E" w14:textId="77777777" w:rsidR="00454A29" w:rsidRDefault="00454A29"/>
        </w:tc>
        <w:tc>
          <w:tcPr>
            <w:tcW w:w="2098" w:type="dxa"/>
            <w:vAlign w:val="center"/>
          </w:tcPr>
          <w:p w14:paraId="465712F1" w14:textId="77777777" w:rsidR="00454A29" w:rsidRDefault="00454A29">
            <w:pPr>
              <w:pStyle w:val="ConsPlusNormal"/>
              <w:jc w:val="center"/>
            </w:pPr>
            <w:r>
              <w:t>Федеральный бюджет</w:t>
            </w:r>
          </w:p>
        </w:tc>
        <w:tc>
          <w:tcPr>
            <w:tcW w:w="1814" w:type="dxa"/>
            <w:vAlign w:val="center"/>
          </w:tcPr>
          <w:p w14:paraId="157E81C4" w14:textId="77777777" w:rsidR="00454A29" w:rsidRDefault="00454A29">
            <w:pPr>
              <w:pStyle w:val="ConsPlusNormal"/>
              <w:jc w:val="center"/>
            </w:pPr>
            <w:r>
              <w:t>0,00</w:t>
            </w:r>
          </w:p>
        </w:tc>
        <w:tc>
          <w:tcPr>
            <w:tcW w:w="1701" w:type="dxa"/>
            <w:vAlign w:val="center"/>
          </w:tcPr>
          <w:p w14:paraId="31450A5B" w14:textId="77777777" w:rsidR="00454A29" w:rsidRDefault="00454A29">
            <w:pPr>
              <w:pStyle w:val="ConsPlusNormal"/>
              <w:jc w:val="center"/>
            </w:pPr>
            <w:r>
              <w:t>0,00</w:t>
            </w:r>
          </w:p>
        </w:tc>
        <w:tc>
          <w:tcPr>
            <w:tcW w:w="1701" w:type="dxa"/>
            <w:vAlign w:val="center"/>
          </w:tcPr>
          <w:p w14:paraId="40AB09D8" w14:textId="77777777" w:rsidR="00454A29" w:rsidRDefault="00454A29">
            <w:pPr>
              <w:pStyle w:val="ConsPlusNormal"/>
              <w:jc w:val="center"/>
            </w:pPr>
            <w:r>
              <w:t>0,00</w:t>
            </w:r>
          </w:p>
        </w:tc>
        <w:tc>
          <w:tcPr>
            <w:tcW w:w="1701" w:type="dxa"/>
            <w:vAlign w:val="center"/>
          </w:tcPr>
          <w:p w14:paraId="7CA57390" w14:textId="77777777" w:rsidR="00454A29" w:rsidRDefault="00454A29">
            <w:pPr>
              <w:pStyle w:val="ConsPlusNormal"/>
              <w:jc w:val="center"/>
            </w:pPr>
            <w:r>
              <w:t>0,00</w:t>
            </w:r>
          </w:p>
        </w:tc>
        <w:tc>
          <w:tcPr>
            <w:tcW w:w="1701" w:type="dxa"/>
            <w:vAlign w:val="center"/>
          </w:tcPr>
          <w:p w14:paraId="724F622E" w14:textId="77777777" w:rsidR="00454A29" w:rsidRDefault="00454A29">
            <w:pPr>
              <w:pStyle w:val="ConsPlusNormal"/>
              <w:jc w:val="center"/>
            </w:pPr>
            <w:r>
              <w:t>0,00</w:t>
            </w:r>
          </w:p>
        </w:tc>
        <w:tc>
          <w:tcPr>
            <w:tcW w:w="1701" w:type="dxa"/>
            <w:vAlign w:val="center"/>
          </w:tcPr>
          <w:p w14:paraId="6A767D1D" w14:textId="77777777" w:rsidR="00454A29" w:rsidRDefault="00454A29">
            <w:pPr>
              <w:pStyle w:val="ConsPlusNormal"/>
              <w:jc w:val="center"/>
            </w:pPr>
            <w:r>
              <w:t>0,00</w:t>
            </w:r>
          </w:p>
        </w:tc>
        <w:tc>
          <w:tcPr>
            <w:tcW w:w="1701" w:type="dxa"/>
            <w:vAlign w:val="center"/>
          </w:tcPr>
          <w:p w14:paraId="5EAAABDB" w14:textId="77777777" w:rsidR="00454A29" w:rsidRDefault="00454A29">
            <w:pPr>
              <w:pStyle w:val="ConsPlusNormal"/>
              <w:jc w:val="center"/>
            </w:pPr>
            <w:r>
              <w:t>0,00</w:t>
            </w:r>
          </w:p>
        </w:tc>
      </w:tr>
      <w:tr w:rsidR="00454A29" w14:paraId="79F27BCB" w14:textId="77777777">
        <w:tc>
          <w:tcPr>
            <w:tcW w:w="964" w:type="dxa"/>
            <w:vMerge/>
          </w:tcPr>
          <w:p w14:paraId="2FA16B32" w14:textId="77777777" w:rsidR="00454A29" w:rsidRDefault="00454A29"/>
        </w:tc>
        <w:tc>
          <w:tcPr>
            <w:tcW w:w="2154" w:type="dxa"/>
            <w:vMerge/>
            <w:tcBorders>
              <w:top w:val="nil"/>
              <w:bottom w:val="nil"/>
            </w:tcBorders>
          </w:tcPr>
          <w:p w14:paraId="5E9A3115" w14:textId="77777777" w:rsidR="00454A29" w:rsidRDefault="00454A29"/>
        </w:tc>
        <w:tc>
          <w:tcPr>
            <w:tcW w:w="2154" w:type="dxa"/>
            <w:vMerge/>
            <w:tcBorders>
              <w:top w:val="nil"/>
              <w:bottom w:val="nil"/>
            </w:tcBorders>
          </w:tcPr>
          <w:p w14:paraId="5C59DD40" w14:textId="77777777" w:rsidR="00454A29" w:rsidRDefault="00454A29"/>
        </w:tc>
        <w:tc>
          <w:tcPr>
            <w:tcW w:w="2665" w:type="dxa"/>
            <w:vMerge/>
          </w:tcPr>
          <w:p w14:paraId="7E89CC4B" w14:textId="77777777" w:rsidR="00454A29" w:rsidRDefault="00454A29"/>
        </w:tc>
        <w:tc>
          <w:tcPr>
            <w:tcW w:w="2665" w:type="dxa"/>
            <w:vMerge/>
          </w:tcPr>
          <w:p w14:paraId="076F569B" w14:textId="77777777" w:rsidR="00454A29" w:rsidRDefault="00454A29"/>
        </w:tc>
        <w:tc>
          <w:tcPr>
            <w:tcW w:w="1928" w:type="dxa"/>
            <w:vMerge/>
          </w:tcPr>
          <w:p w14:paraId="555A2770" w14:textId="77777777" w:rsidR="00454A29" w:rsidRDefault="00454A29"/>
        </w:tc>
        <w:tc>
          <w:tcPr>
            <w:tcW w:w="1644" w:type="dxa"/>
            <w:vMerge/>
          </w:tcPr>
          <w:p w14:paraId="7EA7D730" w14:textId="77777777" w:rsidR="00454A29" w:rsidRDefault="00454A29"/>
        </w:tc>
        <w:tc>
          <w:tcPr>
            <w:tcW w:w="2041" w:type="dxa"/>
            <w:vMerge/>
          </w:tcPr>
          <w:p w14:paraId="07F75509" w14:textId="77777777" w:rsidR="00454A29" w:rsidRDefault="00454A29"/>
        </w:tc>
        <w:tc>
          <w:tcPr>
            <w:tcW w:w="2098" w:type="dxa"/>
            <w:vAlign w:val="center"/>
          </w:tcPr>
          <w:p w14:paraId="3685F2D7" w14:textId="77777777" w:rsidR="00454A29" w:rsidRDefault="00454A29">
            <w:pPr>
              <w:pStyle w:val="ConsPlusNormal"/>
              <w:jc w:val="center"/>
            </w:pPr>
            <w:r>
              <w:t>Местные бюджеты</w:t>
            </w:r>
          </w:p>
        </w:tc>
        <w:tc>
          <w:tcPr>
            <w:tcW w:w="1814" w:type="dxa"/>
            <w:vAlign w:val="center"/>
          </w:tcPr>
          <w:p w14:paraId="4BC20144" w14:textId="77777777" w:rsidR="00454A29" w:rsidRDefault="00454A29">
            <w:pPr>
              <w:pStyle w:val="ConsPlusNormal"/>
              <w:jc w:val="center"/>
            </w:pPr>
            <w:r>
              <w:t>0,00</w:t>
            </w:r>
          </w:p>
        </w:tc>
        <w:tc>
          <w:tcPr>
            <w:tcW w:w="1701" w:type="dxa"/>
            <w:vAlign w:val="center"/>
          </w:tcPr>
          <w:p w14:paraId="6CB75B67" w14:textId="77777777" w:rsidR="00454A29" w:rsidRDefault="00454A29">
            <w:pPr>
              <w:pStyle w:val="ConsPlusNormal"/>
              <w:jc w:val="center"/>
            </w:pPr>
            <w:r>
              <w:t>0,00</w:t>
            </w:r>
          </w:p>
        </w:tc>
        <w:tc>
          <w:tcPr>
            <w:tcW w:w="1701" w:type="dxa"/>
            <w:vAlign w:val="center"/>
          </w:tcPr>
          <w:p w14:paraId="513A661E" w14:textId="77777777" w:rsidR="00454A29" w:rsidRDefault="00454A29">
            <w:pPr>
              <w:pStyle w:val="ConsPlusNormal"/>
              <w:jc w:val="center"/>
            </w:pPr>
            <w:r>
              <w:t>0,00</w:t>
            </w:r>
          </w:p>
        </w:tc>
        <w:tc>
          <w:tcPr>
            <w:tcW w:w="1701" w:type="dxa"/>
            <w:vAlign w:val="center"/>
          </w:tcPr>
          <w:p w14:paraId="486C75B9" w14:textId="77777777" w:rsidR="00454A29" w:rsidRDefault="00454A29">
            <w:pPr>
              <w:pStyle w:val="ConsPlusNormal"/>
              <w:jc w:val="center"/>
            </w:pPr>
            <w:r>
              <w:t>0,00</w:t>
            </w:r>
          </w:p>
        </w:tc>
        <w:tc>
          <w:tcPr>
            <w:tcW w:w="1701" w:type="dxa"/>
            <w:vAlign w:val="center"/>
          </w:tcPr>
          <w:p w14:paraId="03ED1879" w14:textId="77777777" w:rsidR="00454A29" w:rsidRDefault="00454A29">
            <w:pPr>
              <w:pStyle w:val="ConsPlusNormal"/>
              <w:jc w:val="center"/>
            </w:pPr>
            <w:r>
              <w:t>0,00</w:t>
            </w:r>
          </w:p>
        </w:tc>
        <w:tc>
          <w:tcPr>
            <w:tcW w:w="1701" w:type="dxa"/>
            <w:vAlign w:val="center"/>
          </w:tcPr>
          <w:p w14:paraId="39D07A67" w14:textId="77777777" w:rsidR="00454A29" w:rsidRDefault="00454A29">
            <w:pPr>
              <w:pStyle w:val="ConsPlusNormal"/>
              <w:jc w:val="center"/>
            </w:pPr>
            <w:r>
              <w:t>0,00</w:t>
            </w:r>
          </w:p>
        </w:tc>
        <w:tc>
          <w:tcPr>
            <w:tcW w:w="1701" w:type="dxa"/>
            <w:vAlign w:val="center"/>
          </w:tcPr>
          <w:p w14:paraId="0DF48DD9" w14:textId="77777777" w:rsidR="00454A29" w:rsidRDefault="00454A29">
            <w:pPr>
              <w:pStyle w:val="ConsPlusNormal"/>
              <w:jc w:val="center"/>
            </w:pPr>
            <w:r>
              <w:t>0,00</w:t>
            </w:r>
          </w:p>
        </w:tc>
      </w:tr>
      <w:tr w:rsidR="00454A29" w14:paraId="5512BD16" w14:textId="77777777">
        <w:tc>
          <w:tcPr>
            <w:tcW w:w="964" w:type="dxa"/>
            <w:vMerge/>
          </w:tcPr>
          <w:p w14:paraId="66842343" w14:textId="77777777" w:rsidR="00454A29" w:rsidRDefault="00454A29"/>
        </w:tc>
        <w:tc>
          <w:tcPr>
            <w:tcW w:w="2154" w:type="dxa"/>
            <w:vMerge/>
            <w:tcBorders>
              <w:top w:val="nil"/>
              <w:bottom w:val="nil"/>
            </w:tcBorders>
          </w:tcPr>
          <w:p w14:paraId="7649BFBE" w14:textId="77777777" w:rsidR="00454A29" w:rsidRDefault="00454A29"/>
        </w:tc>
        <w:tc>
          <w:tcPr>
            <w:tcW w:w="2154" w:type="dxa"/>
            <w:vMerge/>
            <w:tcBorders>
              <w:top w:val="nil"/>
              <w:bottom w:val="nil"/>
            </w:tcBorders>
          </w:tcPr>
          <w:p w14:paraId="064DC647" w14:textId="77777777" w:rsidR="00454A29" w:rsidRDefault="00454A29"/>
        </w:tc>
        <w:tc>
          <w:tcPr>
            <w:tcW w:w="2665" w:type="dxa"/>
            <w:vMerge/>
          </w:tcPr>
          <w:p w14:paraId="70BC34C8" w14:textId="77777777" w:rsidR="00454A29" w:rsidRDefault="00454A29"/>
        </w:tc>
        <w:tc>
          <w:tcPr>
            <w:tcW w:w="2665" w:type="dxa"/>
            <w:vMerge/>
          </w:tcPr>
          <w:p w14:paraId="7F41D630" w14:textId="77777777" w:rsidR="00454A29" w:rsidRDefault="00454A29"/>
        </w:tc>
        <w:tc>
          <w:tcPr>
            <w:tcW w:w="1928" w:type="dxa"/>
            <w:vMerge/>
          </w:tcPr>
          <w:p w14:paraId="1BC2E142" w14:textId="77777777" w:rsidR="00454A29" w:rsidRDefault="00454A29"/>
        </w:tc>
        <w:tc>
          <w:tcPr>
            <w:tcW w:w="1644" w:type="dxa"/>
            <w:vMerge/>
          </w:tcPr>
          <w:p w14:paraId="1E485128" w14:textId="77777777" w:rsidR="00454A29" w:rsidRDefault="00454A29"/>
        </w:tc>
        <w:tc>
          <w:tcPr>
            <w:tcW w:w="2041" w:type="dxa"/>
            <w:vMerge/>
          </w:tcPr>
          <w:p w14:paraId="575E3D80" w14:textId="77777777" w:rsidR="00454A29" w:rsidRDefault="00454A29"/>
        </w:tc>
        <w:tc>
          <w:tcPr>
            <w:tcW w:w="2098" w:type="dxa"/>
            <w:vAlign w:val="center"/>
          </w:tcPr>
          <w:p w14:paraId="556A4CC3" w14:textId="77777777" w:rsidR="00454A29" w:rsidRDefault="00454A29">
            <w:pPr>
              <w:pStyle w:val="ConsPlusNormal"/>
              <w:jc w:val="center"/>
            </w:pPr>
            <w:r>
              <w:t>Внебюджетные средства</w:t>
            </w:r>
          </w:p>
        </w:tc>
        <w:tc>
          <w:tcPr>
            <w:tcW w:w="1814" w:type="dxa"/>
            <w:vAlign w:val="center"/>
          </w:tcPr>
          <w:p w14:paraId="6A0FB8F1" w14:textId="77777777" w:rsidR="00454A29" w:rsidRDefault="00454A29">
            <w:pPr>
              <w:pStyle w:val="ConsPlusNormal"/>
              <w:jc w:val="center"/>
            </w:pPr>
            <w:r>
              <w:t>0,00</w:t>
            </w:r>
          </w:p>
        </w:tc>
        <w:tc>
          <w:tcPr>
            <w:tcW w:w="1701" w:type="dxa"/>
            <w:vAlign w:val="center"/>
          </w:tcPr>
          <w:p w14:paraId="7836E929" w14:textId="77777777" w:rsidR="00454A29" w:rsidRDefault="00454A29">
            <w:pPr>
              <w:pStyle w:val="ConsPlusNormal"/>
              <w:jc w:val="center"/>
            </w:pPr>
            <w:r>
              <w:t>0,00</w:t>
            </w:r>
          </w:p>
        </w:tc>
        <w:tc>
          <w:tcPr>
            <w:tcW w:w="1701" w:type="dxa"/>
            <w:vAlign w:val="center"/>
          </w:tcPr>
          <w:p w14:paraId="6D9BD482" w14:textId="77777777" w:rsidR="00454A29" w:rsidRDefault="00454A29">
            <w:pPr>
              <w:pStyle w:val="ConsPlusNormal"/>
              <w:jc w:val="center"/>
            </w:pPr>
            <w:r>
              <w:t>0,00</w:t>
            </w:r>
          </w:p>
        </w:tc>
        <w:tc>
          <w:tcPr>
            <w:tcW w:w="1701" w:type="dxa"/>
            <w:vAlign w:val="center"/>
          </w:tcPr>
          <w:p w14:paraId="0E3480EE" w14:textId="77777777" w:rsidR="00454A29" w:rsidRDefault="00454A29">
            <w:pPr>
              <w:pStyle w:val="ConsPlusNormal"/>
              <w:jc w:val="center"/>
            </w:pPr>
            <w:r>
              <w:t>0,00</w:t>
            </w:r>
          </w:p>
        </w:tc>
        <w:tc>
          <w:tcPr>
            <w:tcW w:w="1701" w:type="dxa"/>
            <w:vAlign w:val="center"/>
          </w:tcPr>
          <w:p w14:paraId="0F42EE20" w14:textId="77777777" w:rsidR="00454A29" w:rsidRDefault="00454A29">
            <w:pPr>
              <w:pStyle w:val="ConsPlusNormal"/>
              <w:jc w:val="center"/>
            </w:pPr>
            <w:r>
              <w:t>0,00</w:t>
            </w:r>
          </w:p>
        </w:tc>
        <w:tc>
          <w:tcPr>
            <w:tcW w:w="1701" w:type="dxa"/>
            <w:vAlign w:val="center"/>
          </w:tcPr>
          <w:p w14:paraId="15B5F5EE" w14:textId="77777777" w:rsidR="00454A29" w:rsidRDefault="00454A29">
            <w:pPr>
              <w:pStyle w:val="ConsPlusNormal"/>
              <w:jc w:val="center"/>
            </w:pPr>
            <w:r>
              <w:t>0,00</w:t>
            </w:r>
          </w:p>
        </w:tc>
        <w:tc>
          <w:tcPr>
            <w:tcW w:w="1701" w:type="dxa"/>
            <w:vAlign w:val="center"/>
          </w:tcPr>
          <w:p w14:paraId="00A856B3" w14:textId="77777777" w:rsidR="00454A29" w:rsidRDefault="00454A29">
            <w:pPr>
              <w:pStyle w:val="ConsPlusNormal"/>
              <w:jc w:val="center"/>
            </w:pPr>
            <w:r>
              <w:t>0,00</w:t>
            </w:r>
          </w:p>
        </w:tc>
      </w:tr>
      <w:tr w:rsidR="00454A29" w14:paraId="33EE29D2" w14:textId="77777777">
        <w:tc>
          <w:tcPr>
            <w:tcW w:w="964" w:type="dxa"/>
            <w:vMerge w:val="restart"/>
            <w:vAlign w:val="center"/>
          </w:tcPr>
          <w:p w14:paraId="4AECC757" w14:textId="77777777" w:rsidR="00454A29" w:rsidRDefault="00454A29">
            <w:pPr>
              <w:pStyle w:val="ConsPlusNormal"/>
              <w:jc w:val="center"/>
            </w:pPr>
            <w:r>
              <w:t>1.9.</w:t>
            </w:r>
          </w:p>
        </w:tc>
        <w:tc>
          <w:tcPr>
            <w:tcW w:w="2154" w:type="dxa"/>
            <w:vMerge w:val="restart"/>
            <w:tcBorders>
              <w:top w:val="nil"/>
              <w:bottom w:val="nil"/>
            </w:tcBorders>
            <w:vAlign w:val="center"/>
          </w:tcPr>
          <w:p w14:paraId="78A82B72" w14:textId="77777777" w:rsidR="00454A29" w:rsidRDefault="00454A29">
            <w:pPr>
              <w:pStyle w:val="ConsPlusNormal"/>
            </w:pPr>
          </w:p>
        </w:tc>
        <w:tc>
          <w:tcPr>
            <w:tcW w:w="2154" w:type="dxa"/>
            <w:vMerge w:val="restart"/>
            <w:tcBorders>
              <w:top w:val="nil"/>
              <w:bottom w:val="nil"/>
            </w:tcBorders>
            <w:vAlign w:val="center"/>
          </w:tcPr>
          <w:p w14:paraId="6697A242" w14:textId="77777777" w:rsidR="00454A29" w:rsidRDefault="00454A29">
            <w:pPr>
              <w:pStyle w:val="ConsPlusNormal"/>
            </w:pPr>
          </w:p>
        </w:tc>
        <w:tc>
          <w:tcPr>
            <w:tcW w:w="2665" w:type="dxa"/>
            <w:vMerge w:val="restart"/>
            <w:vAlign w:val="center"/>
          </w:tcPr>
          <w:p w14:paraId="6238A2E7" w14:textId="77777777" w:rsidR="00454A29" w:rsidRDefault="00454A29">
            <w:pPr>
              <w:pStyle w:val="ConsPlusNormal"/>
              <w:jc w:val="center"/>
            </w:pPr>
            <w:r>
              <w:t>Результат 9. Обеспечено внедрение обновленных примерных основных общеобразовательных программ, разработанных в рамках федерального проекта</w:t>
            </w:r>
          </w:p>
        </w:tc>
        <w:tc>
          <w:tcPr>
            <w:tcW w:w="2665" w:type="dxa"/>
            <w:vMerge w:val="restart"/>
            <w:vAlign w:val="center"/>
          </w:tcPr>
          <w:p w14:paraId="31CE6B75" w14:textId="77777777" w:rsidR="00454A29" w:rsidRDefault="00454A29">
            <w:pPr>
              <w:pStyle w:val="ConsPlusNormal"/>
              <w:jc w:val="center"/>
            </w:pPr>
            <w:r>
              <w:t>Мероприятие 2.5.9. Внедрение обновленных примерных основных общеобразовательных программ, разработанных в рамках федерального проекта</w:t>
            </w:r>
          </w:p>
        </w:tc>
        <w:tc>
          <w:tcPr>
            <w:tcW w:w="1928" w:type="dxa"/>
            <w:vMerge w:val="restart"/>
            <w:vAlign w:val="center"/>
          </w:tcPr>
          <w:p w14:paraId="56FD44CA" w14:textId="77777777" w:rsidR="00454A29" w:rsidRDefault="00454A29">
            <w:pPr>
              <w:pStyle w:val="ConsPlusNormal"/>
              <w:jc w:val="center"/>
            </w:pPr>
            <w:r>
              <w:t>-</w:t>
            </w:r>
          </w:p>
        </w:tc>
        <w:tc>
          <w:tcPr>
            <w:tcW w:w="1644" w:type="dxa"/>
            <w:vMerge w:val="restart"/>
            <w:vAlign w:val="center"/>
          </w:tcPr>
          <w:p w14:paraId="4D44D8B1" w14:textId="77777777" w:rsidR="00454A29" w:rsidRDefault="00454A29">
            <w:pPr>
              <w:pStyle w:val="ConsPlusNormal"/>
              <w:jc w:val="center"/>
            </w:pPr>
            <w:r>
              <w:t>-</w:t>
            </w:r>
          </w:p>
        </w:tc>
        <w:tc>
          <w:tcPr>
            <w:tcW w:w="2041" w:type="dxa"/>
            <w:vMerge w:val="restart"/>
            <w:vAlign w:val="center"/>
          </w:tcPr>
          <w:p w14:paraId="6539D9F0" w14:textId="77777777" w:rsidR="00454A29" w:rsidRDefault="00454A29">
            <w:pPr>
              <w:pStyle w:val="ConsPlusNormal"/>
              <w:jc w:val="center"/>
            </w:pPr>
            <w:r>
              <w:t>-</w:t>
            </w:r>
          </w:p>
        </w:tc>
        <w:tc>
          <w:tcPr>
            <w:tcW w:w="2098" w:type="dxa"/>
            <w:vAlign w:val="center"/>
          </w:tcPr>
          <w:p w14:paraId="776AABA5" w14:textId="77777777" w:rsidR="00454A29" w:rsidRDefault="00454A29">
            <w:pPr>
              <w:pStyle w:val="ConsPlusNormal"/>
              <w:jc w:val="center"/>
            </w:pPr>
            <w:r>
              <w:t>Итого</w:t>
            </w:r>
          </w:p>
        </w:tc>
        <w:tc>
          <w:tcPr>
            <w:tcW w:w="1814" w:type="dxa"/>
            <w:vAlign w:val="center"/>
          </w:tcPr>
          <w:p w14:paraId="5247C284" w14:textId="77777777" w:rsidR="00454A29" w:rsidRDefault="00454A29">
            <w:pPr>
              <w:pStyle w:val="ConsPlusNormal"/>
              <w:jc w:val="center"/>
            </w:pPr>
            <w:r>
              <w:t>0,00</w:t>
            </w:r>
          </w:p>
        </w:tc>
        <w:tc>
          <w:tcPr>
            <w:tcW w:w="1701" w:type="dxa"/>
            <w:vAlign w:val="center"/>
          </w:tcPr>
          <w:p w14:paraId="25FE193F" w14:textId="77777777" w:rsidR="00454A29" w:rsidRDefault="00454A29">
            <w:pPr>
              <w:pStyle w:val="ConsPlusNormal"/>
              <w:jc w:val="center"/>
            </w:pPr>
            <w:r>
              <w:t>0,00</w:t>
            </w:r>
          </w:p>
        </w:tc>
        <w:tc>
          <w:tcPr>
            <w:tcW w:w="1701" w:type="dxa"/>
            <w:vAlign w:val="center"/>
          </w:tcPr>
          <w:p w14:paraId="201B50D1" w14:textId="77777777" w:rsidR="00454A29" w:rsidRDefault="00454A29">
            <w:pPr>
              <w:pStyle w:val="ConsPlusNormal"/>
              <w:jc w:val="center"/>
            </w:pPr>
            <w:r>
              <w:t>0,00</w:t>
            </w:r>
          </w:p>
        </w:tc>
        <w:tc>
          <w:tcPr>
            <w:tcW w:w="1701" w:type="dxa"/>
            <w:vAlign w:val="center"/>
          </w:tcPr>
          <w:p w14:paraId="52F82DFA" w14:textId="77777777" w:rsidR="00454A29" w:rsidRDefault="00454A29">
            <w:pPr>
              <w:pStyle w:val="ConsPlusNormal"/>
              <w:jc w:val="center"/>
            </w:pPr>
            <w:r>
              <w:t>0,00</w:t>
            </w:r>
          </w:p>
        </w:tc>
        <w:tc>
          <w:tcPr>
            <w:tcW w:w="1701" w:type="dxa"/>
            <w:vAlign w:val="center"/>
          </w:tcPr>
          <w:p w14:paraId="1608B7AC" w14:textId="77777777" w:rsidR="00454A29" w:rsidRDefault="00454A29">
            <w:pPr>
              <w:pStyle w:val="ConsPlusNormal"/>
              <w:jc w:val="center"/>
            </w:pPr>
            <w:r>
              <w:t>0,00</w:t>
            </w:r>
          </w:p>
        </w:tc>
        <w:tc>
          <w:tcPr>
            <w:tcW w:w="1701" w:type="dxa"/>
            <w:vAlign w:val="center"/>
          </w:tcPr>
          <w:p w14:paraId="677B11E1" w14:textId="77777777" w:rsidR="00454A29" w:rsidRDefault="00454A29">
            <w:pPr>
              <w:pStyle w:val="ConsPlusNormal"/>
              <w:jc w:val="center"/>
            </w:pPr>
            <w:r>
              <w:t>0,00</w:t>
            </w:r>
          </w:p>
        </w:tc>
        <w:tc>
          <w:tcPr>
            <w:tcW w:w="1701" w:type="dxa"/>
            <w:vAlign w:val="center"/>
          </w:tcPr>
          <w:p w14:paraId="7769E11E" w14:textId="77777777" w:rsidR="00454A29" w:rsidRDefault="00454A29">
            <w:pPr>
              <w:pStyle w:val="ConsPlusNormal"/>
              <w:jc w:val="center"/>
            </w:pPr>
            <w:r>
              <w:t>0,00</w:t>
            </w:r>
          </w:p>
        </w:tc>
      </w:tr>
      <w:tr w:rsidR="00454A29" w14:paraId="5D548DDB" w14:textId="77777777">
        <w:tc>
          <w:tcPr>
            <w:tcW w:w="964" w:type="dxa"/>
            <w:vMerge/>
          </w:tcPr>
          <w:p w14:paraId="52C722BF" w14:textId="77777777" w:rsidR="00454A29" w:rsidRDefault="00454A29"/>
        </w:tc>
        <w:tc>
          <w:tcPr>
            <w:tcW w:w="2154" w:type="dxa"/>
            <w:vMerge/>
            <w:tcBorders>
              <w:top w:val="nil"/>
              <w:bottom w:val="nil"/>
            </w:tcBorders>
          </w:tcPr>
          <w:p w14:paraId="3C8CE1D6" w14:textId="77777777" w:rsidR="00454A29" w:rsidRDefault="00454A29"/>
        </w:tc>
        <w:tc>
          <w:tcPr>
            <w:tcW w:w="2154" w:type="dxa"/>
            <w:vMerge/>
            <w:tcBorders>
              <w:top w:val="nil"/>
              <w:bottom w:val="nil"/>
            </w:tcBorders>
          </w:tcPr>
          <w:p w14:paraId="03C0B087" w14:textId="77777777" w:rsidR="00454A29" w:rsidRDefault="00454A29"/>
        </w:tc>
        <w:tc>
          <w:tcPr>
            <w:tcW w:w="2665" w:type="dxa"/>
            <w:vMerge/>
          </w:tcPr>
          <w:p w14:paraId="1240E018" w14:textId="77777777" w:rsidR="00454A29" w:rsidRDefault="00454A29"/>
        </w:tc>
        <w:tc>
          <w:tcPr>
            <w:tcW w:w="2665" w:type="dxa"/>
            <w:vMerge/>
          </w:tcPr>
          <w:p w14:paraId="5DE1C345" w14:textId="77777777" w:rsidR="00454A29" w:rsidRDefault="00454A29"/>
        </w:tc>
        <w:tc>
          <w:tcPr>
            <w:tcW w:w="1928" w:type="dxa"/>
            <w:vMerge/>
          </w:tcPr>
          <w:p w14:paraId="390D2401" w14:textId="77777777" w:rsidR="00454A29" w:rsidRDefault="00454A29"/>
        </w:tc>
        <w:tc>
          <w:tcPr>
            <w:tcW w:w="1644" w:type="dxa"/>
            <w:vMerge/>
          </w:tcPr>
          <w:p w14:paraId="482B1075" w14:textId="77777777" w:rsidR="00454A29" w:rsidRDefault="00454A29"/>
        </w:tc>
        <w:tc>
          <w:tcPr>
            <w:tcW w:w="2041" w:type="dxa"/>
            <w:vMerge/>
          </w:tcPr>
          <w:p w14:paraId="37232708" w14:textId="77777777" w:rsidR="00454A29" w:rsidRDefault="00454A29"/>
        </w:tc>
        <w:tc>
          <w:tcPr>
            <w:tcW w:w="2098" w:type="dxa"/>
            <w:vAlign w:val="center"/>
          </w:tcPr>
          <w:p w14:paraId="5A9D1F2B"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8C1967A" w14:textId="77777777" w:rsidR="00454A29" w:rsidRDefault="00454A29">
            <w:pPr>
              <w:pStyle w:val="ConsPlusNormal"/>
              <w:jc w:val="center"/>
            </w:pPr>
            <w:r>
              <w:t>0,00</w:t>
            </w:r>
          </w:p>
        </w:tc>
        <w:tc>
          <w:tcPr>
            <w:tcW w:w="1701" w:type="dxa"/>
            <w:vAlign w:val="center"/>
          </w:tcPr>
          <w:p w14:paraId="15B6A8B4" w14:textId="77777777" w:rsidR="00454A29" w:rsidRDefault="00454A29">
            <w:pPr>
              <w:pStyle w:val="ConsPlusNormal"/>
              <w:jc w:val="center"/>
            </w:pPr>
            <w:r>
              <w:t>0,00</w:t>
            </w:r>
          </w:p>
        </w:tc>
        <w:tc>
          <w:tcPr>
            <w:tcW w:w="1701" w:type="dxa"/>
            <w:vAlign w:val="center"/>
          </w:tcPr>
          <w:p w14:paraId="1B72C7D3" w14:textId="77777777" w:rsidR="00454A29" w:rsidRDefault="00454A29">
            <w:pPr>
              <w:pStyle w:val="ConsPlusNormal"/>
              <w:jc w:val="center"/>
            </w:pPr>
            <w:r>
              <w:t>0,00</w:t>
            </w:r>
          </w:p>
        </w:tc>
        <w:tc>
          <w:tcPr>
            <w:tcW w:w="1701" w:type="dxa"/>
            <w:vAlign w:val="center"/>
          </w:tcPr>
          <w:p w14:paraId="1D68B99A" w14:textId="77777777" w:rsidR="00454A29" w:rsidRDefault="00454A29">
            <w:pPr>
              <w:pStyle w:val="ConsPlusNormal"/>
              <w:jc w:val="center"/>
            </w:pPr>
            <w:r>
              <w:t>0,00</w:t>
            </w:r>
          </w:p>
        </w:tc>
        <w:tc>
          <w:tcPr>
            <w:tcW w:w="1701" w:type="dxa"/>
            <w:vAlign w:val="center"/>
          </w:tcPr>
          <w:p w14:paraId="55A51B84" w14:textId="77777777" w:rsidR="00454A29" w:rsidRDefault="00454A29">
            <w:pPr>
              <w:pStyle w:val="ConsPlusNormal"/>
              <w:jc w:val="center"/>
            </w:pPr>
            <w:r>
              <w:t>0,00</w:t>
            </w:r>
          </w:p>
        </w:tc>
        <w:tc>
          <w:tcPr>
            <w:tcW w:w="1701" w:type="dxa"/>
            <w:vAlign w:val="center"/>
          </w:tcPr>
          <w:p w14:paraId="3A1D773D" w14:textId="77777777" w:rsidR="00454A29" w:rsidRDefault="00454A29">
            <w:pPr>
              <w:pStyle w:val="ConsPlusNormal"/>
              <w:jc w:val="center"/>
            </w:pPr>
            <w:r>
              <w:t>0,00</w:t>
            </w:r>
          </w:p>
        </w:tc>
        <w:tc>
          <w:tcPr>
            <w:tcW w:w="1701" w:type="dxa"/>
            <w:vAlign w:val="center"/>
          </w:tcPr>
          <w:p w14:paraId="1774224C" w14:textId="77777777" w:rsidR="00454A29" w:rsidRDefault="00454A29">
            <w:pPr>
              <w:pStyle w:val="ConsPlusNormal"/>
              <w:jc w:val="center"/>
            </w:pPr>
            <w:r>
              <w:t>0,00</w:t>
            </w:r>
          </w:p>
        </w:tc>
      </w:tr>
      <w:tr w:rsidR="00454A29" w14:paraId="0CA5F47D" w14:textId="77777777">
        <w:tc>
          <w:tcPr>
            <w:tcW w:w="964" w:type="dxa"/>
            <w:vMerge/>
          </w:tcPr>
          <w:p w14:paraId="0FD2F902" w14:textId="77777777" w:rsidR="00454A29" w:rsidRDefault="00454A29"/>
        </w:tc>
        <w:tc>
          <w:tcPr>
            <w:tcW w:w="2154" w:type="dxa"/>
            <w:vMerge/>
            <w:tcBorders>
              <w:top w:val="nil"/>
              <w:bottom w:val="nil"/>
            </w:tcBorders>
          </w:tcPr>
          <w:p w14:paraId="2BA76B2A" w14:textId="77777777" w:rsidR="00454A29" w:rsidRDefault="00454A29"/>
        </w:tc>
        <w:tc>
          <w:tcPr>
            <w:tcW w:w="2154" w:type="dxa"/>
            <w:vMerge/>
            <w:tcBorders>
              <w:top w:val="nil"/>
              <w:bottom w:val="nil"/>
            </w:tcBorders>
          </w:tcPr>
          <w:p w14:paraId="50C6EEE4" w14:textId="77777777" w:rsidR="00454A29" w:rsidRDefault="00454A29"/>
        </w:tc>
        <w:tc>
          <w:tcPr>
            <w:tcW w:w="2665" w:type="dxa"/>
            <w:vMerge/>
          </w:tcPr>
          <w:p w14:paraId="7AC7895A" w14:textId="77777777" w:rsidR="00454A29" w:rsidRDefault="00454A29"/>
        </w:tc>
        <w:tc>
          <w:tcPr>
            <w:tcW w:w="2665" w:type="dxa"/>
            <w:vMerge/>
          </w:tcPr>
          <w:p w14:paraId="53ED2A72" w14:textId="77777777" w:rsidR="00454A29" w:rsidRDefault="00454A29"/>
        </w:tc>
        <w:tc>
          <w:tcPr>
            <w:tcW w:w="1928" w:type="dxa"/>
            <w:vMerge/>
          </w:tcPr>
          <w:p w14:paraId="4C822EDB" w14:textId="77777777" w:rsidR="00454A29" w:rsidRDefault="00454A29"/>
        </w:tc>
        <w:tc>
          <w:tcPr>
            <w:tcW w:w="1644" w:type="dxa"/>
            <w:vMerge/>
          </w:tcPr>
          <w:p w14:paraId="394C606D" w14:textId="77777777" w:rsidR="00454A29" w:rsidRDefault="00454A29"/>
        </w:tc>
        <w:tc>
          <w:tcPr>
            <w:tcW w:w="2041" w:type="dxa"/>
            <w:vMerge/>
          </w:tcPr>
          <w:p w14:paraId="421BF968" w14:textId="77777777" w:rsidR="00454A29" w:rsidRDefault="00454A29"/>
        </w:tc>
        <w:tc>
          <w:tcPr>
            <w:tcW w:w="2098" w:type="dxa"/>
            <w:vAlign w:val="center"/>
          </w:tcPr>
          <w:p w14:paraId="463BF362" w14:textId="77777777" w:rsidR="00454A29" w:rsidRDefault="00454A29">
            <w:pPr>
              <w:pStyle w:val="ConsPlusNormal"/>
              <w:jc w:val="center"/>
            </w:pPr>
            <w:r>
              <w:t>Федеральный бюджет</w:t>
            </w:r>
          </w:p>
        </w:tc>
        <w:tc>
          <w:tcPr>
            <w:tcW w:w="1814" w:type="dxa"/>
            <w:vAlign w:val="center"/>
          </w:tcPr>
          <w:p w14:paraId="04F4BFF6" w14:textId="77777777" w:rsidR="00454A29" w:rsidRDefault="00454A29">
            <w:pPr>
              <w:pStyle w:val="ConsPlusNormal"/>
              <w:jc w:val="center"/>
            </w:pPr>
            <w:r>
              <w:t>0,00</w:t>
            </w:r>
          </w:p>
        </w:tc>
        <w:tc>
          <w:tcPr>
            <w:tcW w:w="1701" w:type="dxa"/>
            <w:vAlign w:val="center"/>
          </w:tcPr>
          <w:p w14:paraId="3C74ED2D" w14:textId="77777777" w:rsidR="00454A29" w:rsidRDefault="00454A29">
            <w:pPr>
              <w:pStyle w:val="ConsPlusNormal"/>
              <w:jc w:val="center"/>
            </w:pPr>
            <w:r>
              <w:t>0,00</w:t>
            </w:r>
          </w:p>
        </w:tc>
        <w:tc>
          <w:tcPr>
            <w:tcW w:w="1701" w:type="dxa"/>
            <w:vAlign w:val="center"/>
          </w:tcPr>
          <w:p w14:paraId="6CBBA2A6" w14:textId="77777777" w:rsidR="00454A29" w:rsidRDefault="00454A29">
            <w:pPr>
              <w:pStyle w:val="ConsPlusNormal"/>
              <w:jc w:val="center"/>
            </w:pPr>
            <w:r>
              <w:t>0,00</w:t>
            </w:r>
          </w:p>
        </w:tc>
        <w:tc>
          <w:tcPr>
            <w:tcW w:w="1701" w:type="dxa"/>
            <w:vAlign w:val="center"/>
          </w:tcPr>
          <w:p w14:paraId="755BA932" w14:textId="77777777" w:rsidR="00454A29" w:rsidRDefault="00454A29">
            <w:pPr>
              <w:pStyle w:val="ConsPlusNormal"/>
              <w:jc w:val="center"/>
            </w:pPr>
            <w:r>
              <w:t>0,00</w:t>
            </w:r>
          </w:p>
        </w:tc>
        <w:tc>
          <w:tcPr>
            <w:tcW w:w="1701" w:type="dxa"/>
            <w:vAlign w:val="center"/>
          </w:tcPr>
          <w:p w14:paraId="5876DCC6" w14:textId="77777777" w:rsidR="00454A29" w:rsidRDefault="00454A29">
            <w:pPr>
              <w:pStyle w:val="ConsPlusNormal"/>
              <w:jc w:val="center"/>
            </w:pPr>
            <w:r>
              <w:t>0,00</w:t>
            </w:r>
          </w:p>
        </w:tc>
        <w:tc>
          <w:tcPr>
            <w:tcW w:w="1701" w:type="dxa"/>
            <w:vAlign w:val="center"/>
          </w:tcPr>
          <w:p w14:paraId="63006A46" w14:textId="77777777" w:rsidR="00454A29" w:rsidRDefault="00454A29">
            <w:pPr>
              <w:pStyle w:val="ConsPlusNormal"/>
              <w:jc w:val="center"/>
            </w:pPr>
            <w:r>
              <w:t>0,00</w:t>
            </w:r>
          </w:p>
        </w:tc>
        <w:tc>
          <w:tcPr>
            <w:tcW w:w="1701" w:type="dxa"/>
            <w:vAlign w:val="center"/>
          </w:tcPr>
          <w:p w14:paraId="21F9F12C" w14:textId="77777777" w:rsidR="00454A29" w:rsidRDefault="00454A29">
            <w:pPr>
              <w:pStyle w:val="ConsPlusNormal"/>
              <w:jc w:val="center"/>
            </w:pPr>
            <w:r>
              <w:t>0,00</w:t>
            </w:r>
          </w:p>
        </w:tc>
      </w:tr>
      <w:tr w:rsidR="00454A29" w14:paraId="61E3006E" w14:textId="77777777">
        <w:tc>
          <w:tcPr>
            <w:tcW w:w="964" w:type="dxa"/>
            <w:vMerge/>
          </w:tcPr>
          <w:p w14:paraId="55A1082C" w14:textId="77777777" w:rsidR="00454A29" w:rsidRDefault="00454A29"/>
        </w:tc>
        <w:tc>
          <w:tcPr>
            <w:tcW w:w="2154" w:type="dxa"/>
            <w:vMerge/>
            <w:tcBorders>
              <w:top w:val="nil"/>
              <w:bottom w:val="nil"/>
            </w:tcBorders>
          </w:tcPr>
          <w:p w14:paraId="1DC352A2" w14:textId="77777777" w:rsidR="00454A29" w:rsidRDefault="00454A29"/>
        </w:tc>
        <w:tc>
          <w:tcPr>
            <w:tcW w:w="2154" w:type="dxa"/>
            <w:vMerge/>
            <w:tcBorders>
              <w:top w:val="nil"/>
              <w:bottom w:val="nil"/>
            </w:tcBorders>
          </w:tcPr>
          <w:p w14:paraId="6945D1BD" w14:textId="77777777" w:rsidR="00454A29" w:rsidRDefault="00454A29"/>
        </w:tc>
        <w:tc>
          <w:tcPr>
            <w:tcW w:w="2665" w:type="dxa"/>
            <w:vMerge/>
          </w:tcPr>
          <w:p w14:paraId="368C250A" w14:textId="77777777" w:rsidR="00454A29" w:rsidRDefault="00454A29"/>
        </w:tc>
        <w:tc>
          <w:tcPr>
            <w:tcW w:w="2665" w:type="dxa"/>
            <w:vMerge/>
          </w:tcPr>
          <w:p w14:paraId="3975C142" w14:textId="77777777" w:rsidR="00454A29" w:rsidRDefault="00454A29"/>
        </w:tc>
        <w:tc>
          <w:tcPr>
            <w:tcW w:w="1928" w:type="dxa"/>
            <w:vMerge/>
          </w:tcPr>
          <w:p w14:paraId="7583C588" w14:textId="77777777" w:rsidR="00454A29" w:rsidRDefault="00454A29"/>
        </w:tc>
        <w:tc>
          <w:tcPr>
            <w:tcW w:w="1644" w:type="dxa"/>
            <w:vMerge/>
          </w:tcPr>
          <w:p w14:paraId="5B3DFA53" w14:textId="77777777" w:rsidR="00454A29" w:rsidRDefault="00454A29"/>
        </w:tc>
        <w:tc>
          <w:tcPr>
            <w:tcW w:w="2041" w:type="dxa"/>
            <w:vMerge/>
          </w:tcPr>
          <w:p w14:paraId="73B92F2C" w14:textId="77777777" w:rsidR="00454A29" w:rsidRDefault="00454A29"/>
        </w:tc>
        <w:tc>
          <w:tcPr>
            <w:tcW w:w="2098" w:type="dxa"/>
            <w:vAlign w:val="center"/>
          </w:tcPr>
          <w:p w14:paraId="22538FD7" w14:textId="77777777" w:rsidR="00454A29" w:rsidRDefault="00454A29">
            <w:pPr>
              <w:pStyle w:val="ConsPlusNormal"/>
              <w:jc w:val="center"/>
            </w:pPr>
            <w:r>
              <w:t>Местные бюджеты</w:t>
            </w:r>
          </w:p>
        </w:tc>
        <w:tc>
          <w:tcPr>
            <w:tcW w:w="1814" w:type="dxa"/>
            <w:vAlign w:val="center"/>
          </w:tcPr>
          <w:p w14:paraId="7AC1F176" w14:textId="77777777" w:rsidR="00454A29" w:rsidRDefault="00454A29">
            <w:pPr>
              <w:pStyle w:val="ConsPlusNormal"/>
              <w:jc w:val="center"/>
            </w:pPr>
            <w:r>
              <w:t>0,00</w:t>
            </w:r>
          </w:p>
        </w:tc>
        <w:tc>
          <w:tcPr>
            <w:tcW w:w="1701" w:type="dxa"/>
            <w:vAlign w:val="center"/>
          </w:tcPr>
          <w:p w14:paraId="7D592B35" w14:textId="77777777" w:rsidR="00454A29" w:rsidRDefault="00454A29">
            <w:pPr>
              <w:pStyle w:val="ConsPlusNormal"/>
              <w:jc w:val="center"/>
            </w:pPr>
            <w:r>
              <w:t>0,00</w:t>
            </w:r>
          </w:p>
        </w:tc>
        <w:tc>
          <w:tcPr>
            <w:tcW w:w="1701" w:type="dxa"/>
            <w:vAlign w:val="center"/>
          </w:tcPr>
          <w:p w14:paraId="60DB8D75" w14:textId="77777777" w:rsidR="00454A29" w:rsidRDefault="00454A29">
            <w:pPr>
              <w:pStyle w:val="ConsPlusNormal"/>
              <w:jc w:val="center"/>
            </w:pPr>
            <w:r>
              <w:t>0,00</w:t>
            </w:r>
          </w:p>
        </w:tc>
        <w:tc>
          <w:tcPr>
            <w:tcW w:w="1701" w:type="dxa"/>
            <w:vAlign w:val="center"/>
          </w:tcPr>
          <w:p w14:paraId="61CEAF6C" w14:textId="77777777" w:rsidR="00454A29" w:rsidRDefault="00454A29">
            <w:pPr>
              <w:pStyle w:val="ConsPlusNormal"/>
              <w:jc w:val="center"/>
            </w:pPr>
            <w:r>
              <w:t>0,00</w:t>
            </w:r>
          </w:p>
        </w:tc>
        <w:tc>
          <w:tcPr>
            <w:tcW w:w="1701" w:type="dxa"/>
            <w:vAlign w:val="center"/>
          </w:tcPr>
          <w:p w14:paraId="512CADFB" w14:textId="77777777" w:rsidR="00454A29" w:rsidRDefault="00454A29">
            <w:pPr>
              <w:pStyle w:val="ConsPlusNormal"/>
              <w:jc w:val="center"/>
            </w:pPr>
            <w:r>
              <w:t>0,00</w:t>
            </w:r>
          </w:p>
        </w:tc>
        <w:tc>
          <w:tcPr>
            <w:tcW w:w="1701" w:type="dxa"/>
            <w:vAlign w:val="center"/>
          </w:tcPr>
          <w:p w14:paraId="3A1B57AA" w14:textId="77777777" w:rsidR="00454A29" w:rsidRDefault="00454A29">
            <w:pPr>
              <w:pStyle w:val="ConsPlusNormal"/>
              <w:jc w:val="center"/>
            </w:pPr>
            <w:r>
              <w:t>0,00</w:t>
            </w:r>
          </w:p>
        </w:tc>
        <w:tc>
          <w:tcPr>
            <w:tcW w:w="1701" w:type="dxa"/>
            <w:vAlign w:val="center"/>
          </w:tcPr>
          <w:p w14:paraId="45FEFAA9" w14:textId="77777777" w:rsidR="00454A29" w:rsidRDefault="00454A29">
            <w:pPr>
              <w:pStyle w:val="ConsPlusNormal"/>
              <w:jc w:val="center"/>
            </w:pPr>
            <w:r>
              <w:t>0,00</w:t>
            </w:r>
          </w:p>
        </w:tc>
      </w:tr>
      <w:tr w:rsidR="00454A29" w14:paraId="06148D09" w14:textId="77777777">
        <w:tc>
          <w:tcPr>
            <w:tcW w:w="964" w:type="dxa"/>
            <w:vMerge/>
          </w:tcPr>
          <w:p w14:paraId="5C947066" w14:textId="77777777" w:rsidR="00454A29" w:rsidRDefault="00454A29"/>
        </w:tc>
        <w:tc>
          <w:tcPr>
            <w:tcW w:w="2154" w:type="dxa"/>
            <w:vMerge/>
            <w:tcBorders>
              <w:top w:val="nil"/>
              <w:bottom w:val="nil"/>
            </w:tcBorders>
          </w:tcPr>
          <w:p w14:paraId="45A8DD3C" w14:textId="77777777" w:rsidR="00454A29" w:rsidRDefault="00454A29"/>
        </w:tc>
        <w:tc>
          <w:tcPr>
            <w:tcW w:w="2154" w:type="dxa"/>
            <w:vMerge/>
            <w:tcBorders>
              <w:top w:val="nil"/>
              <w:bottom w:val="nil"/>
            </w:tcBorders>
          </w:tcPr>
          <w:p w14:paraId="7A3C1B03" w14:textId="77777777" w:rsidR="00454A29" w:rsidRDefault="00454A29"/>
        </w:tc>
        <w:tc>
          <w:tcPr>
            <w:tcW w:w="2665" w:type="dxa"/>
            <w:vMerge/>
          </w:tcPr>
          <w:p w14:paraId="6EE54895" w14:textId="77777777" w:rsidR="00454A29" w:rsidRDefault="00454A29"/>
        </w:tc>
        <w:tc>
          <w:tcPr>
            <w:tcW w:w="2665" w:type="dxa"/>
            <w:vMerge/>
          </w:tcPr>
          <w:p w14:paraId="6D1E7E21" w14:textId="77777777" w:rsidR="00454A29" w:rsidRDefault="00454A29"/>
        </w:tc>
        <w:tc>
          <w:tcPr>
            <w:tcW w:w="1928" w:type="dxa"/>
            <w:vMerge/>
          </w:tcPr>
          <w:p w14:paraId="45D99786" w14:textId="77777777" w:rsidR="00454A29" w:rsidRDefault="00454A29"/>
        </w:tc>
        <w:tc>
          <w:tcPr>
            <w:tcW w:w="1644" w:type="dxa"/>
            <w:vMerge/>
          </w:tcPr>
          <w:p w14:paraId="4796B9EF" w14:textId="77777777" w:rsidR="00454A29" w:rsidRDefault="00454A29"/>
        </w:tc>
        <w:tc>
          <w:tcPr>
            <w:tcW w:w="2041" w:type="dxa"/>
            <w:vMerge/>
          </w:tcPr>
          <w:p w14:paraId="7C67DFE2" w14:textId="77777777" w:rsidR="00454A29" w:rsidRDefault="00454A29"/>
        </w:tc>
        <w:tc>
          <w:tcPr>
            <w:tcW w:w="2098" w:type="dxa"/>
            <w:vAlign w:val="center"/>
          </w:tcPr>
          <w:p w14:paraId="3804EE0B" w14:textId="77777777" w:rsidR="00454A29" w:rsidRDefault="00454A29">
            <w:pPr>
              <w:pStyle w:val="ConsPlusNormal"/>
              <w:jc w:val="center"/>
            </w:pPr>
            <w:r>
              <w:t>Внебюджетные средства</w:t>
            </w:r>
          </w:p>
        </w:tc>
        <w:tc>
          <w:tcPr>
            <w:tcW w:w="1814" w:type="dxa"/>
            <w:vAlign w:val="center"/>
          </w:tcPr>
          <w:p w14:paraId="302CE919" w14:textId="77777777" w:rsidR="00454A29" w:rsidRDefault="00454A29">
            <w:pPr>
              <w:pStyle w:val="ConsPlusNormal"/>
              <w:jc w:val="center"/>
            </w:pPr>
            <w:r>
              <w:t>0,00</w:t>
            </w:r>
          </w:p>
        </w:tc>
        <w:tc>
          <w:tcPr>
            <w:tcW w:w="1701" w:type="dxa"/>
            <w:vAlign w:val="center"/>
          </w:tcPr>
          <w:p w14:paraId="45F73A66" w14:textId="77777777" w:rsidR="00454A29" w:rsidRDefault="00454A29">
            <w:pPr>
              <w:pStyle w:val="ConsPlusNormal"/>
              <w:jc w:val="center"/>
            </w:pPr>
            <w:r>
              <w:t>0,00</w:t>
            </w:r>
          </w:p>
        </w:tc>
        <w:tc>
          <w:tcPr>
            <w:tcW w:w="1701" w:type="dxa"/>
            <w:vAlign w:val="center"/>
          </w:tcPr>
          <w:p w14:paraId="38883E7C" w14:textId="77777777" w:rsidR="00454A29" w:rsidRDefault="00454A29">
            <w:pPr>
              <w:pStyle w:val="ConsPlusNormal"/>
              <w:jc w:val="center"/>
            </w:pPr>
            <w:r>
              <w:t>0,00</w:t>
            </w:r>
          </w:p>
        </w:tc>
        <w:tc>
          <w:tcPr>
            <w:tcW w:w="1701" w:type="dxa"/>
            <w:vAlign w:val="center"/>
          </w:tcPr>
          <w:p w14:paraId="5DD1F64F" w14:textId="77777777" w:rsidR="00454A29" w:rsidRDefault="00454A29">
            <w:pPr>
              <w:pStyle w:val="ConsPlusNormal"/>
              <w:jc w:val="center"/>
            </w:pPr>
            <w:r>
              <w:t>0,00</w:t>
            </w:r>
          </w:p>
        </w:tc>
        <w:tc>
          <w:tcPr>
            <w:tcW w:w="1701" w:type="dxa"/>
            <w:vAlign w:val="center"/>
          </w:tcPr>
          <w:p w14:paraId="5AE317AE" w14:textId="77777777" w:rsidR="00454A29" w:rsidRDefault="00454A29">
            <w:pPr>
              <w:pStyle w:val="ConsPlusNormal"/>
              <w:jc w:val="center"/>
            </w:pPr>
            <w:r>
              <w:t>0,00</w:t>
            </w:r>
          </w:p>
        </w:tc>
        <w:tc>
          <w:tcPr>
            <w:tcW w:w="1701" w:type="dxa"/>
            <w:vAlign w:val="center"/>
          </w:tcPr>
          <w:p w14:paraId="55104607" w14:textId="77777777" w:rsidR="00454A29" w:rsidRDefault="00454A29">
            <w:pPr>
              <w:pStyle w:val="ConsPlusNormal"/>
              <w:jc w:val="center"/>
            </w:pPr>
            <w:r>
              <w:t>0,00</w:t>
            </w:r>
          </w:p>
        </w:tc>
        <w:tc>
          <w:tcPr>
            <w:tcW w:w="1701" w:type="dxa"/>
            <w:vAlign w:val="center"/>
          </w:tcPr>
          <w:p w14:paraId="6C5B4FE2" w14:textId="77777777" w:rsidR="00454A29" w:rsidRDefault="00454A29">
            <w:pPr>
              <w:pStyle w:val="ConsPlusNormal"/>
              <w:jc w:val="center"/>
            </w:pPr>
            <w:r>
              <w:t>0,00</w:t>
            </w:r>
          </w:p>
        </w:tc>
      </w:tr>
      <w:tr w:rsidR="00454A29" w14:paraId="4D41908A" w14:textId="77777777">
        <w:tc>
          <w:tcPr>
            <w:tcW w:w="964" w:type="dxa"/>
            <w:vMerge w:val="restart"/>
            <w:vAlign w:val="center"/>
          </w:tcPr>
          <w:p w14:paraId="5D735687" w14:textId="77777777" w:rsidR="00454A29" w:rsidRDefault="00454A29">
            <w:pPr>
              <w:pStyle w:val="ConsPlusNormal"/>
              <w:jc w:val="center"/>
            </w:pPr>
            <w:r>
              <w:t>1.10.</w:t>
            </w:r>
          </w:p>
        </w:tc>
        <w:tc>
          <w:tcPr>
            <w:tcW w:w="2154" w:type="dxa"/>
            <w:vMerge w:val="restart"/>
            <w:tcBorders>
              <w:top w:val="nil"/>
              <w:bottom w:val="nil"/>
            </w:tcBorders>
            <w:vAlign w:val="center"/>
          </w:tcPr>
          <w:p w14:paraId="2CCB6517" w14:textId="77777777" w:rsidR="00454A29" w:rsidRDefault="00454A29">
            <w:pPr>
              <w:pStyle w:val="ConsPlusNormal"/>
            </w:pPr>
          </w:p>
        </w:tc>
        <w:tc>
          <w:tcPr>
            <w:tcW w:w="2154" w:type="dxa"/>
            <w:vMerge w:val="restart"/>
            <w:tcBorders>
              <w:top w:val="nil"/>
              <w:bottom w:val="nil"/>
            </w:tcBorders>
            <w:vAlign w:val="center"/>
          </w:tcPr>
          <w:p w14:paraId="11F1FA5A" w14:textId="77777777" w:rsidR="00454A29" w:rsidRDefault="00454A29">
            <w:pPr>
              <w:pStyle w:val="ConsPlusNormal"/>
            </w:pPr>
          </w:p>
        </w:tc>
        <w:tc>
          <w:tcPr>
            <w:tcW w:w="2665" w:type="dxa"/>
            <w:vMerge w:val="restart"/>
            <w:vAlign w:val="center"/>
          </w:tcPr>
          <w:p w14:paraId="0B1DFDC1" w14:textId="77777777" w:rsidR="00454A29" w:rsidRDefault="00454A29">
            <w:pPr>
              <w:pStyle w:val="ConsPlusNormal"/>
              <w:jc w:val="center"/>
            </w:pPr>
            <w:r>
              <w:t xml:space="preserve">Результат 10. Модернизированы технологии и содержание обучения в соответствие с новым федеральным государственным образовательным стандартом посредством разработки концепций </w:t>
            </w:r>
            <w:r>
              <w:lastRenderedPageBreak/>
              <w:t>модернизаций конкретных областей</w:t>
            </w:r>
          </w:p>
        </w:tc>
        <w:tc>
          <w:tcPr>
            <w:tcW w:w="2665" w:type="dxa"/>
            <w:vMerge w:val="restart"/>
            <w:vAlign w:val="center"/>
          </w:tcPr>
          <w:p w14:paraId="189C8B4A" w14:textId="77777777" w:rsidR="00454A29" w:rsidRDefault="00454A29">
            <w:pPr>
              <w:pStyle w:val="ConsPlusNormal"/>
              <w:jc w:val="center"/>
            </w:pPr>
            <w:r>
              <w:lastRenderedPageBreak/>
              <w:t xml:space="preserve">Мероприятие 2.5.10. Модернизация технологий и содержания обучения в соответствие с новым федеральным государственным образовательным стандартом посредством разработки концепций </w:t>
            </w:r>
            <w:r>
              <w:lastRenderedPageBreak/>
              <w:t>модернизаций конкретных областей</w:t>
            </w:r>
          </w:p>
        </w:tc>
        <w:tc>
          <w:tcPr>
            <w:tcW w:w="1928" w:type="dxa"/>
            <w:vMerge w:val="restart"/>
            <w:vAlign w:val="center"/>
          </w:tcPr>
          <w:p w14:paraId="489855DF" w14:textId="77777777" w:rsidR="00454A29" w:rsidRDefault="00454A29">
            <w:pPr>
              <w:pStyle w:val="ConsPlusNormal"/>
              <w:jc w:val="center"/>
            </w:pPr>
            <w:r>
              <w:lastRenderedPageBreak/>
              <w:t>-</w:t>
            </w:r>
          </w:p>
        </w:tc>
        <w:tc>
          <w:tcPr>
            <w:tcW w:w="1644" w:type="dxa"/>
            <w:vMerge w:val="restart"/>
            <w:vAlign w:val="center"/>
          </w:tcPr>
          <w:p w14:paraId="17232A80" w14:textId="77777777" w:rsidR="00454A29" w:rsidRDefault="00454A29">
            <w:pPr>
              <w:pStyle w:val="ConsPlusNormal"/>
            </w:pPr>
          </w:p>
        </w:tc>
        <w:tc>
          <w:tcPr>
            <w:tcW w:w="2041" w:type="dxa"/>
            <w:vMerge w:val="restart"/>
            <w:vAlign w:val="center"/>
          </w:tcPr>
          <w:p w14:paraId="3B2225D9" w14:textId="77777777" w:rsidR="00454A29" w:rsidRDefault="00454A29">
            <w:pPr>
              <w:pStyle w:val="ConsPlusNormal"/>
              <w:jc w:val="center"/>
            </w:pPr>
            <w:r>
              <w:t>-</w:t>
            </w:r>
          </w:p>
        </w:tc>
        <w:tc>
          <w:tcPr>
            <w:tcW w:w="2098" w:type="dxa"/>
            <w:vAlign w:val="center"/>
          </w:tcPr>
          <w:p w14:paraId="2812DC43" w14:textId="77777777" w:rsidR="00454A29" w:rsidRDefault="00454A29">
            <w:pPr>
              <w:pStyle w:val="ConsPlusNormal"/>
              <w:jc w:val="center"/>
            </w:pPr>
            <w:r>
              <w:t>Итого</w:t>
            </w:r>
          </w:p>
        </w:tc>
        <w:tc>
          <w:tcPr>
            <w:tcW w:w="1814" w:type="dxa"/>
            <w:vAlign w:val="center"/>
          </w:tcPr>
          <w:p w14:paraId="7698B56D" w14:textId="77777777" w:rsidR="00454A29" w:rsidRDefault="00454A29">
            <w:pPr>
              <w:pStyle w:val="ConsPlusNormal"/>
              <w:jc w:val="center"/>
            </w:pPr>
            <w:r>
              <w:t>0,00</w:t>
            </w:r>
          </w:p>
        </w:tc>
        <w:tc>
          <w:tcPr>
            <w:tcW w:w="1701" w:type="dxa"/>
            <w:vAlign w:val="center"/>
          </w:tcPr>
          <w:p w14:paraId="5B75148D" w14:textId="77777777" w:rsidR="00454A29" w:rsidRDefault="00454A29">
            <w:pPr>
              <w:pStyle w:val="ConsPlusNormal"/>
              <w:jc w:val="center"/>
            </w:pPr>
            <w:r>
              <w:t>0,00</w:t>
            </w:r>
          </w:p>
        </w:tc>
        <w:tc>
          <w:tcPr>
            <w:tcW w:w="1701" w:type="dxa"/>
            <w:vAlign w:val="center"/>
          </w:tcPr>
          <w:p w14:paraId="35A24C1A" w14:textId="77777777" w:rsidR="00454A29" w:rsidRDefault="00454A29">
            <w:pPr>
              <w:pStyle w:val="ConsPlusNormal"/>
              <w:jc w:val="center"/>
            </w:pPr>
            <w:r>
              <w:t>0,00</w:t>
            </w:r>
          </w:p>
        </w:tc>
        <w:tc>
          <w:tcPr>
            <w:tcW w:w="1701" w:type="dxa"/>
            <w:vAlign w:val="center"/>
          </w:tcPr>
          <w:p w14:paraId="2E4E43FC" w14:textId="77777777" w:rsidR="00454A29" w:rsidRDefault="00454A29">
            <w:pPr>
              <w:pStyle w:val="ConsPlusNormal"/>
              <w:jc w:val="center"/>
            </w:pPr>
            <w:r>
              <w:t>0,00</w:t>
            </w:r>
          </w:p>
        </w:tc>
        <w:tc>
          <w:tcPr>
            <w:tcW w:w="1701" w:type="dxa"/>
            <w:vAlign w:val="center"/>
          </w:tcPr>
          <w:p w14:paraId="0B92D96A" w14:textId="77777777" w:rsidR="00454A29" w:rsidRDefault="00454A29">
            <w:pPr>
              <w:pStyle w:val="ConsPlusNormal"/>
              <w:jc w:val="center"/>
            </w:pPr>
            <w:r>
              <w:t>0,00</w:t>
            </w:r>
          </w:p>
        </w:tc>
        <w:tc>
          <w:tcPr>
            <w:tcW w:w="1701" w:type="dxa"/>
            <w:vAlign w:val="center"/>
          </w:tcPr>
          <w:p w14:paraId="1BAB7A32" w14:textId="77777777" w:rsidR="00454A29" w:rsidRDefault="00454A29">
            <w:pPr>
              <w:pStyle w:val="ConsPlusNormal"/>
              <w:jc w:val="center"/>
            </w:pPr>
            <w:r>
              <w:t>0,00</w:t>
            </w:r>
          </w:p>
        </w:tc>
        <w:tc>
          <w:tcPr>
            <w:tcW w:w="1701" w:type="dxa"/>
            <w:vAlign w:val="center"/>
          </w:tcPr>
          <w:p w14:paraId="1C7B9CF8" w14:textId="77777777" w:rsidR="00454A29" w:rsidRDefault="00454A29">
            <w:pPr>
              <w:pStyle w:val="ConsPlusNormal"/>
              <w:jc w:val="center"/>
            </w:pPr>
            <w:r>
              <w:t>0,00</w:t>
            </w:r>
          </w:p>
        </w:tc>
      </w:tr>
      <w:tr w:rsidR="00454A29" w14:paraId="74C23302" w14:textId="77777777">
        <w:tc>
          <w:tcPr>
            <w:tcW w:w="964" w:type="dxa"/>
            <w:vMerge/>
          </w:tcPr>
          <w:p w14:paraId="6752CBAE" w14:textId="77777777" w:rsidR="00454A29" w:rsidRDefault="00454A29"/>
        </w:tc>
        <w:tc>
          <w:tcPr>
            <w:tcW w:w="2154" w:type="dxa"/>
            <w:vMerge/>
            <w:tcBorders>
              <w:top w:val="nil"/>
              <w:bottom w:val="nil"/>
            </w:tcBorders>
          </w:tcPr>
          <w:p w14:paraId="6E5CD256" w14:textId="77777777" w:rsidR="00454A29" w:rsidRDefault="00454A29"/>
        </w:tc>
        <w:tc>
          <w:tcPr>
            <w:tcW w:w="2154" w:type="dxa"/>
            <w:vMerge/>
            <w:tcBorders>
              <w:top w:val="nil"/>
              <w:bottom w:val="nil"/>
            </w:tcBorders>
          </w:tcPr>
          <w:p w14:paraId="79FE1E4E" w14:textId="77777777" w:rsidR="00454A29" w:rsidRDefault="00454A29"/>
        </w:tc>
        <w:tc>
          <w:tcPr>
            <w:tcW w:w="2665" w:type="dxa"/>
            <w:vMerge/>
          </w:tcPr>
          <w:p w14:paraId="24DD9A49" w14:textId="77777777" w:rsidR="00454A29" w:rsidRDefault="00454A29"/>
        </w:tc>
        <w:tc>
          <w:tcPr>
            <w:tcW w:w="2665" w:type="dxa"/>
            <w:vMerge/>
          </w:tcPr>
          <w:p w14:paraId="6474B769" w14:textId="77777777" w:rsidR="00454A29" w:rsidRDefault="00454A29"/>
        </w:tc>
        <w:tc>
          <w:tcPr>
            <w:tcW w:w="1928" w:type="dxa"/>
            <w:vMerge/>
          </w:tcPr>
          <w:p w14:paraId="6CAD2FA0" w14:textId="77777777" w:rsidR="00454A29" w:rsidRDefault="00454A29"/>
        </w:tc>
        <w:tc>
          <w:tcPr>
            <w:tcW w:w="1644" w:type="dxa"/>
            <w:vMerge/>
          </w:tcPr>
          <w:p w14:paraId="4B091053" w14:textId="77777777" w:rsidR="00454A29" w:rsidRDefault="00454A29"/>
        </w:tc>
        <w:tc>
          <w:tcPr>
            <w:tcW w:w="2041" w:type="dxa"/>
            <w:vMerge/>
          </w:tcPr>
          <w:p w14:paraId="35C41C17" w14:textId="77777777" w:rsidR="00454A29" w:rsidRDefault="00454A29"/>
        </w:tc>
        <w:tc>
          <w:tcPr>
            <w:tcW w:w="2098" w:type="dxa"/>
            <w:vAlign w:val="center"/>
          </w:tcPr>
          <w:p w14:paraId="3F767353"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E33103E" w14:textId="77777777" w:rsidR="00454A29" w:rsidRDefault="00454A29">
            <w:pPr>
              <w:pStyle w:val="ConsPlusNormal"/>
              <w:jc w:val="center"/>
            </w:pPr>
            <w:r>
              <w:t>0,00</w:t>
            </w:r>
          </w:p>
        </w:tc>
        <w:tc>
          <w:tcPr>
            <w:tcW w:w="1701" w:type="dxa"/>
            <w:vAlign w:val="center"/>
          </w:tcPr>
          <w:p w14:paraId="4802F33D" w14:textId="77777777" w:rsidR="00454A29" w:rsidRDefault="00454A29">
            <w:pPr>
              <w:pStyle w:val="ConsPlusNormal"/>
              <w:jc w:val="center"/>
            </w:pPr>
            <w:r>
              <w:t>0,00</w:t>
            </w:r>
          </w:p>
        </w:tc>
        <w:tc>
          <w:tcPr>
            <w:tcW w:w="1701" w:type="dxa"/>
            <w:vAlign w:val="center"/>
          </w:tcPr>
          <w:p w14:paraId="343A4766" w14:textId="77777777" w:rsidR="00454A29" w:rsidRDefault="00454A29">
            <w:pPr>
              <w:pStyle w:val="ConsPlusNormal"/>
              <w:jc w:val="center"/>
            </w:pPr>
            <w:r>
              <w:t>0,00</w:t>
            </w:r>
          </w:p>
        </w:tc>
        <w:tc>
          <w:tcPr>
            <w:tcW w:w="1701" w:type="dxa"/>
            <w:vAlign w:val="center"/>
          </w:tcPr>
          <w:p w14:paraId="3AD1DE89" w14:textId="77777777" w:rsidR="00454A29" w:rsidRDefault="00454A29">
            <w:pPr>
              <w:pStyle w:val="ConsPlusNormal"/>
              <w:jc w:val="center"/>
            </w:pPr>
            <w:r>
              <w:t>0,00</w:t>
            </w:r>
          </w:p>
        </w:tc>
        <w:tc>
          <w:tcPr>
            <w:tcW w:w="1701" w:type="dxa"/>
            <w:vAlign w:val="center"/>
          </w:tcPr>
          <w:p w14:paraId="2052F661" w14:textId="77777777" w:rsidR="00454A29" w:rsidRDefault="00454A29">
            <w:pPr>
              <w:pStyle w:val="ConsPlusNormal"/>
              <w:jc w:val="center"/>
            </w:pPr>
            <w:r>
              <w:t>0,00</w:t>
            </w:r>
          </w:p>
        </w:tc>
        <w:tc>
          <w:tcPr>
            <w:tcW w:w="1701" w:type="dxa"/>
            <w:vAlign w:val="center"/>
          </w:tcPr>
          <w:p w14:paraId="29C29B17" w14:textId="77777777" w:rsidR="00454A29" w:rsidRDefault="00454A29">
            <w:pPr>
              <w:pStyle w:val="ConsPlusNormal"/>
              <w:jc w:val="center"/>
            </w:pPr>
            <w:r>
              <w:t>0,00</w:t>
            </w:r>
          </w:p>
        </w:tc>
        <w:tc>
          <w:tcPr>
            <w:tcW w:w="1701" w:type="dxa"/>
            <w:vAlign w:val="center"/>
          </w:tcPr>
          <w:p w14:paraId="29C48F82" w14:textId="77777777" w:rsidR="00454A29" w:rsidRDefault="00454A29">
            <w:pPr>
              <w:pStyle w:val="ConsPlusNormal"/>
              <w:jc w:val="center"/>
            </w:pPr>
            <w:r>
              <w:t>0,00</w:t>
            </w:r>
          </w:p>
        </w:tc>
      </w:tr>
      <w:tr w:rsidR="00454A29" w14:paraId="21A24C7D" w14:textId="77777777">
        <w:tc>
          <w:tcPr>
            <w:tcW w:w="964" w:type="dxa"/>
            <w:vMerge/>
          </w:tcPr>
          <w:p w14:paraId="592BCA30" w14:textId="77777777" w:rsidR="00454A29" w:rsidRDefault="00454A29"/>
        </w:tc>
        <w:tc>
          <w:tcPr>
            <w:tcW w:w="2154" w:type="dxa"/>
            <w:vMerge/>
            <w:tcBorders>
              <w:top w:val="nil"/>
              <w:bottom w:val="nil"/>
            </w:tcBorders>
          </w:tcPr>
          <w:p w14:paraId="7FF87404" w14:textId="77777777" w:rsidR="00454A29" w:rsidRDefault="00454A29"/>
        </w:tc>
        <w:tc>
          <w:tcPr>
            <w:tcW w:w="2154" w:type="dxa"/>
            <w:vMerge/>
            <w:tcBorders>
              <w:top w:val="nil"/>
              <w:bottom w:val="nil"/>
            </w:tcBorders>
          </w:tcPr>
          <w:p w14:paraId="7987C2D3" w14:textId="77777777" w:rsidR="00454A29" w:rsidRDefault="00454A29"/>
        </w:tc>
        <w:tc>
          <w:tcPr>
            <w:tcW w:w="2665" w:type="dxa"/>
            <w:vMerge/>
          </w:tcPr>
          <w:p w14:paraId="6849FEC7" w14:textId="77777777" w:rsidR="00454A29" w:rsidRDefault="00454A29"/>
        </w:tc>
        <w:tc>
          <w:tcPr>
            <w:tcW w:w="2665" w:type="dxa"/>
            <w:vMerge/>
          </w:tcPr>
          <w:p w14:paraId="79C0084F" w14:textId="77777777" w:rsidR="00454A29" w:rsidRDefault="00454A29"/>
        </w:tc>
        <w:tc>
          <w:tcPr>
            <w:tcW w:w="1928" w:type="dxa"/>
            <w:vMerge/>
          </w:tcPr>
          <w:p w14:paraId="570BADBE" w14:textId="77777777" w:rsidR="00454A29" w:rsidRDefault="00454A29"/>
        </w:tc>
        <w:tc>
          <w:tcPr>
            <w:tcW w:w="1644" w:type="dxa"/>
            <w:vMerge/>
          </w:tcPr>
          <w:p w14:paraId="7615335A" w14:textId="77777777" w:rsidR="00454A29" w:rsidRDefault="00454A29"/>
        </w:tc>
        <w:tc>
          <w:tcPr>
            <w:tcW w:w="2041" w:type="dxa"/>
            <w:vMerge/>
          </w:tcPr>
          <w:p w14:paraId="26600207" w14:textId="77777777" w:rsidR="00454A29" w:rsidRDefault="00454A29"/>
        </w:tc>
        <w:tc>
          <w:tcPr>
            <w:tcW w:w="2098" w:type="dxa"/>
            <w:vAlign w:val="center"/>
          </w:tcPr>
          <w:p w14:paraId="4C3A839C" w14:textId="77777777" w:rsidR="00454A29" w:rsidRDefault="00454A29">
            <w:pPr>
              <w:pStyle w:val="ConsPlusNormal"/>
              <w:jc w:val="center"/>
            </w:pPr>
            <w:r>
              <w:t>Федеральный бюджет</w:t>
            </w:r>
          </w:p>
        </w:tc>
        <w:tc>
          <w:tcPr>
            <w:tcW w:w="1814" w:type="dxa"/>
            <w:vAlign w:val="center"/>
          </w:tcPr>
          <w:p w14:paraId="7BD7D2EE" w14:textId="77777777" w:rsidR="00454A29" w:rsidRDefault="00454A29">
            <w:pPr>
              <w:pStyle w:val="ConsPlusNormal"/>
              <w:jc w:val="center"/>
            </w:pPr>
            <w:r>
              <w:t>0,00</w:t>
            </w:r>
          </w:p>
        </w:tc>
        <w:tc>
          <w:tcPr>
            <w:tcW w:w="1701" w:type="dxa"/>
            <w:vAlign w:val="center"/>
          </w:tcPr>
          <w:p w14:paraId="21C3FDCF" w14:textId="77777777" w:rsidR="00454A29" w:rsidRDefault="00454A29">
            <w:pPr>
              <w:pStyle w:val="ConsPlusNormal"/>
              <w:jc w:val="center"/>
            </w:pPr>
            <w:r>
              <w:t>0,00</w:t>
            </w:r>
          </w:p>
        </w:tc>
        <w:tc>
          <w:tcPr>
            <w:tcW w:w="1701" w:type="dxa"/>
            <w:vAlign w:val="center"/>
          </w:tcPr>
          <w:p w14:paraId="76EC9FB9" w14:textId="77777777" w:rsidR="00454A29" w:rsidRDefault="00454A29">
            <w:pPr>
              <w:pStyle w:val="ConsPlusNormal"/>
              <w:jc w:val="center"/>
            </w:pPr>
            <w:r>
              <w:t>0,00</w:t>
            </w:r>
          </w:p>
        </w:tc>
        <w:tc>
          <w:tcPr>
            <w:tcW w:w="1701" w:type="dxa"/>
            <w:vAlign w:val="center"/>
          </w:tcPr>
          <w:p w14:paraId="6EB87EE1" w14:textId="77777777" w:rsidR="00454A29" w:rsidRDefault="00454A29">
            <w:pPr>
              <w:pStyle w:val="ConsPlusNormal"/>
              <w:jc w:val="center"/>
            </w:pPr>
            <w:r>
              <w:t>0,00</w:t>
            </w:r>
          </w:p>
        </w:tc>
        <w:tc>
          <w:tcPr>
            <w:tcW w:w="1701" w:type="dxa"/>
            <w:vAlign w:val="center"/>
          </w:tcPr>
          <w:p w14:paraId="36E8758D" w14:textId="77777777" w:rsidR="00454A29" w:rsidRDefault="00454A29">
            <w:pPr>
              <w:pStyle w:val="ConsPlusNormal"/>
              <w:jc w:val="center"/>
            </w:pPr>
            <w:r>
              <w:t>0,00</w:t>
            </w:r>
          </w:p>
        </w:tc>
        <w:tc>
          <w:tcPr>
            <w:tcW w:w="1701" w:type="dxa"/>
            <w:vAlign w:val="center"/>
          </w:tcPr>
          <w:p w14:paraId="0EF266C9" w14:textId="77777777" w:rsidR="00454A29" w:rsidRDefault="00454A29">
            <w:pPr>
              <w:pStyle w:val="ConsPlusNormal"/>
              <w:jc w:val="center"/>
            </w:pPr>
            <w:r>
              <w:t>0,00</w:t>
            </w:r>
          </w:p>
        </w:tc>
        <w:tc>
          <w:tcPr>
            <w:tcW w:w="1701" w:type="dxa"/>
            <w:vAlign w:val="center"/>
          </w:tcPr>
          <w:p w14:paraId="045DE838" w14:textId="77777777" w:rsidR="00454A29" w:rsidRDefault="00454A29">
            <w:pPr>
              <w:pStyle w:val="ConsPlusNormal"/>
              <w:jc w:val="center"/>
            </w:pPr>
            <w:r>
              <w:t>0,00</w:t>
            </w:r>
          </w:p>
        </w:tc>
      </w:tr>
      <w:tr w:rsidR="00454A29" w14:paraId="4EDADE9B" w14:textId="77777777">
        <w:tc>
          <w:tcPr>
            <w:tcW w:w="964" w:type="dxa"/>
            <w:vMerge/>
          </w:tcPr>
          <w:p w14:paraId="6A5D2E53" w14:textId="77777777" w:rsidR="00454A29" w:rsidRDefault="00454A29"/>
        </w:tc>
        <w:tc>
          <w:tcPr>
            <w:tcW w:w="2154" w:type="dxa"/>
            <w:vMerge/>
            <w:tcBorders>
              <w:top w:val="nil"/>
              <w:bottom w:val="nil"/>
            </w:tcBorders>
          </w:tcPr>
          <w:p w14:paraId="13C71AF8" w14:textId="77777777" w:rsidR="00454A29" w:rsidRDefault="00454A29"/>
        </w:tc>
        <w:tc>
          <w:tcPr>
            <w:tcW w:w="2154" w:type="dxa"/>
            <w:vMerge/>
            <w:tcBorders>
              <w:top w:val="nil"/>
              <w:bottom w:val="nil"/>
            </w:tcBorders>
          </w:tcPr>
          <w:p w14:paraId="58625663" w14:textId="77777777" w:rsidR="00454A29" w:rsidRDefault="00454A29"/>
        </w:tc>
        <w:tc>
          <w:tcPr>
            <w:tcW w:w="2665" w:type="dxa"/>
            <w:vMerge/>
          </w:tcPr>
          <w:p w14:paraId="4F98F9F1" w14:textId="77777777" w:rsidR="00454A29" w:rsidRDefault="00454A29"/>
        </w:tc>
        <w:tc>
          <w:tcPr>
            <w:tcW w:w="2665" w:type="dxa"/>
            <w:vMerge/>
          </w:tcPr>
          <w:p w14:paraId="3AB9748F" w14:textId="77777777" w:rsidR="00454A29" w:rsidRDefault="00454A29"/>
        </w:tc>
        <w:tc>
          <w:tcPr>
            <w:tcW w:w="1928" w:type="dxa"/>
            <w:vMerge/>
          </w:tcPr>
          <w:p w14:paraId="77B95BE6" w14:textId="77777777" w:rsidR="00454A29" w:rsidRDefault="00454A29"/>
        </w:tc>
        <w:tc>
          <w:tcPr>
            <w:tcW w:w="1644" w:type="dxa"/>
            <w:vMerge/>
          </w:tcPr>
          <w:p w14:paraId="1D079179" w14:textId="77777777" w:rsidR="00454A29" w:rsidRDefault="00454A29"/>
        </w:tc>
        <w:tc>
          <w:tcPr>
            <w:tcW w:w="2041" w:type="dxa"/>
            <w:vMerge/>
          </w:tcPr>
          <w:p w14:paraId="46649FCE" w14:textId="77777777" w:rsidR="00454A29" w:rsidRDefault="00454A29"/>
        </w:tc>
        <w:tc>
          <w:tcPr>
            <w:tcW w:w="2098" w:type="dxa"/>
            <w:vAlign w:val="center"/>
          </w:tcPr>
          <w:p w14:paraId="1D537B4E" w14:textId="77777777" w:rsidR="00454A29" w:rsidRDefault="00454A29">
            <w:pPr>
              <w:pStyle w:val="ConsPlusNormal"/>
              <w:jc w:val="center"/>
            </w:pPr>
            <w:r>
              <w:t>Местные бюджеты</w:t>
            </w:r>
          </w:p>
        </w:tc>
        <w:tc>
          <w:tcPr>
            <w:tcW w:w="1814" w:type="dxa"/>
            <w:vAlign w:val="center"/>
          </w:tcPr>
          <w:p w14:paraId="26AE0E2B" w14:textId="77777777" w:rsidR="00454A29" w:rsidRDefault="00454A29">
            <w:pPr>
              <w:pStyle w:val="ConsPlusNormal"/>
              <w:jc w:val="center"/>
            </w:pPr>
            <w:r>
              <w:t>0,00</w:t>
            </w:r>
          </w:p>
        </w:tc>
        <w:tc>
          <w:tcPr>
            <w:tcW w:w="1701" w:type="dxa"/>
            <w:vAlign w:val="center"/>
          </w:tcPr>
          <w:p w14:paraId="7E624F40" w14:textId="77777777" w:rsidR="00454A29" w:rsidRDefault="00454A29">
            <w:pPr>
              <w:pStyle w:val="ConsPlusNormal"/>
              <w:jc w:val="center"/>
            </w:pPr>
            <w:r>
              <w:t>0,00</w:t>
            </w:r>
          </w:p>
        </w:tc>
        <w:tc>
          <w:tcPr>
            <w:tcW w:w="1701" w:type="dxa"/>
            <w:vAlign w:val="center"/>
          </w:tcPr>
          <w:p w14:paraId="1C873CF8" w14:textId="77777777" w:rsidR="00454A29" w:rsidRDefault="00454A29">
            <w:pPr>
              <w:pStyle w:val="ConsPlusNormal"/>
              <w:jc w:val="center"/>
            </w:pPr>
            <w:r>
              <w:t>0,00</w:t>
            </w:r>
          </w:p>
        </w:tc>
        <w:tc>
          <w:tcPr>
            <w:tcW w:w="1701" w:type="dxa"/>
            <w:vAlign w:val="center"/>
          </w:tcPr>
          <w:p w14:paraId="0B3AAD2B" w14:textId="77777777" w:rsidR="00454A29" w:rsidRDefault="00454A29">
            <w:pPr>
              <w:pStyle w:val="ConsPlusNormal"/>
              <w:jc w:val="center"/>
            </w:pPr>
            <w:r>
              <w:t>0,00</w:t>
            </w:r>
          </w:p>
        </w:tc>
        <w:tc>
          <w:tcPr>
            <w:tcW w:w="1701" w:type="dxa"/>
            <w:vAlign w:val="center"/>
          </w:tcPr>
          <w:p w14:paraId="65121180" w14:textId="77777777" w:rsidR="00454A29" w:rsidRDefault="00454A29">
            <w:pPr>
              <w:pStyle w:val="ConsPlusNormal"/>
              <w:jc w:val="center"/>
            </w:pPr>
            <w:r>
              <w:t>0,00</w:t>
            </w:r>
          </w:p>
        </w:tc>
        <w:tc>
          <w:tcPr>
            <w:tcW w:w="1701" w:type="dxa"/>
            <w:vAlign w:val="center"/>
          </w:tcPr>
          <w:p w14:paraId="01365543" w14:textId="77777777" w:rsidR="00454A29" w:rsidRDefault="00454A29">
            <w:pPr>
              <w:pStyle w:val="ConsPlusNormal"/>
              <w:jc w:val="center"/>
            </w:pPr>
            <w:r>
              <w:t>0,00</w:t>
            </w:r>
          </w:p>
        </w:tc>
        <w:tc>
          <w:tcPr>
            <w:tcW w:w="1701" w:type="dxa"/>
            <w:vAlign w:val="center"/>
          </w:tcPr>
          <w:p w14:paraId="1C71A530" w14:textId="77777777" w:rsidR="00454A29" w:rsidRDefault="00454A29">
            <w:pPr>
              <w:pStyle w:val="ConsPlusNormal"/>
              <w:jc w:val="center"/>
            </w:pPr>
            <w:r>
              <w:t>0,00</w:t>
            </w:r>
          </w:p>
        </w:tc>
      </w:tr>
      <w:tr w:rsidR="00454A29" w14:paraId="394C8712" w14:textId="77777777">
        <w:tc>
          <w:tcPr>
            <w:tcW w:w="964" w:type="dxa"/>
            <w:vMerge/>
          </w:tcPr>
          <w:p w14:paraId="3D9AC02E" w14:textId="77777777" w:rsidR="00454A29" w:rsidRDefault="00454A29"/>
        </w:tc>
        <w:tc>
          <w:tcPr>
            <w:tcW w:w="2154" w:type="dxa"/>
            <w:vMerge/>
            <w:tcBorders>
              <w:top w:val="nil"/>
              <w:bottom w:val="nil"/>
            </w:tcBorders>
          </w:tcPr>
          <w:p w14:paraId="74CB7B07" w14:textId="77777777" w:rsidR="00454A29" w:rsidRDefault="00454A29"/>
        </w:tc>
        <w:tc>
          <w:tcPr>
            <w:tcW w:w="2154" w:type="dxa"/>
            <w:vMerge/>
            <w:tcBorders>
              <w:top w:val="nil"/>
              <w:bottom w:val="nil"/>
            </w:tcBorders>
          </w:tcPr>
          <w:p w14:paraId="3D3B9EF9" w14:textId="77777777" w:rsidR="00454A29" w:rsidRDefault="00454A29"/>
        </w:tc>
        <w:tc>
          <w:tcPr>
            <w:tcW w:w="2665" w:type="dxa"/>
            <w:vMerge/>
          </w:tcPr>
          <w:p w14:paraId="334E91CC" w14:textId="77777777" w:rsidR="00454A29" w:rsidRDefault="00454A29"/>
        </w:tc>
        <w:tc>
          <w:tcPr>
            <w:tcW w:w="2665" w:type="dxa"/>
            <w:vMerge/>
          </w:tcPr>
          <w:p w14:paraId="683C02B1" w14:textId="77777777" w:rsidR="00454A29" w:rsidRDefault="00454A29"/>
        </w:tc>
        <w:tc>
          <w:tcPr>
            <w:tcW w:w="1928" w:type="dxa"/>
            <w:vMerge/>
          </w:tcPr>
          <w:p w14:paraId="61403A5B" w14:textId="77777777" w:rsidR="00454A29" w:rsidRDefault="00454A29"/>
        </w:tc>
        <w:tc>
          <w:tcPr>
            <w:tcW w:w="1644" w:type="dxa"/>
            <w:vMerge/>
          </w:tcPr>
          <w:p w14:paraId="780BB123" w14:textId="77777777" w:rsidR="00454A29" w:rsidRDefault="00454A29"/>
        </w:tc>
        <w:tc>
          <w:tcPr>
            <w:tcW w:w="2041" w:type="dxa"/>
            <w:vMerge/>
          </w:tcPr>
          <w:p w14:paraId="7397841F" w14:textId="77777777" w:rsidR="00454A29" w:rsidRDefault="00454A29"/>
        </w:tc>
        <w:tc>
          <w:tcPr>
            <w:tcW w:w="2098" w:type="dxa"/>
            <w:vAlign w:val="center"/>
          </w:tcPr>
          <w:p w14:paraId="16B49592" w14:textId="77777777" w:rsidR="00454A29" w:rsidRDefault="00454A29">
            <w:pPr>
              <w:pStyle w:val="ConsPlusNormal"/>
              <w:jc w:val="center"/>
            </w:pPr>
            <w:r>
              <w:t>Внебюджетные средства</w:t>
            </w:r>
          </w:p>
        </w:tc>
        <w:tc>
          <w:tcPr>
            <w:tcW w:w="1814" w:type="dxa"/>
            <w:vAlign w:val="center"/>
          </w:tcPr>
          <w:p w14:paraId="28DAC2B4" w14:textId="77777777" w:rsidR="00454A29" w:rsidRDefault="00454A29">
            <w:pPr>
              <w:pStyle w:val="ConsPlusNormal"/>
              <w:jc w:val="center"/>
            </w:pPr>
            <w:r>
              <w:t>0,00</w:t>
            </w:r>
          </w:p>
        </w:tc>
        <w:tc>
          <w:tcPr>
            <w:tcW w:w="1701" w:type="dxa"/>
            <w:vAlign w:val="center"/>
          </w:tcPr>
          <w:p w14:paraId="6B6C43DC" w14:textId="77777777" w:rsidR="00454A29" w:rsidRDefault="00454A29">
            <w:pPr>
              <w:pStyle w:val="ConsPlusNormal"/>
              <w:jc w:val="center"/>
            </w:pPr>
            <w:r>
              <w:t>0,00</w:t>
            </w:r>
          </w:p>
        </w:tc>
        <w:tc>
          <w:tcPr>
            <w:tcW w:w="1701" w:type="dxa"/>
            <w:vAlign w:val="center"/>
          </w:tcPr>
          <w:p w14:paraId="33745246" w14:textId="77777777" w:rsidR="00454A29" w:rsidRDefault="00454A29">
            <w:pPr>
              <w:pStyle w:val="ConsPlusNormal"/>
              <w:jc w:val="center"/>
            </w:pPr>
            <w:r>
              <w:t>0,00</w:t>
            </w:r>
          </w:p>
        </w:tc>
        <w:tc>
          <w:tcPr>
            <w:tcW w:w="1701" w:type="dxa"/>
            <w:vAlign w:val="center"/>
          </w:tcPr>
          <w:p w14:paraId="10850AF1" w14:textId="77777777" w:rsidR="00454A29" w:rsidRDefault="00454A29">
            <w:pPr>
              <w:pStyle w:val="ConsPlusNormal"/>
              <w:jc w:val="center"/>
            </w:pPr>
            <w:r>
              <w:t>0,00</w:t>
            </w:r>
          </w:p>
        </w:tc>
        <w:tc>
          <w:tcPr>
            <w:tcW w:w="1701" w:type="dxa"/>
            <w:vAlign w:val="center"/>
          </w:tcPr>
          <w:p w14:paraId="5B018C47" w14:textId="77777777" w:rsidR="00454A29" w:rsidRDefault="00454A29">
            <w:pPr>
              <w:pStyle w:val="ConsPlusNormal"/>
              <w:jc w:val="center"/>
            </w:pPr>
            <w:r>
              <w:t>0,00</w:t>
            </w:r>
          </w:p>
        </w:tc>
        <w:tc>
          <w:tcPr>
            <w:tcW w:w="1701" w:type="dxa"/>
            <w:vAlign w:val="center"/>
          </w:tcPr>
          <w:p w14:paraId="656F59A1" w14:textId="77777777" w:rsidR="00454A29" w:rsidRDefault="00454A29">
            <w:pPr>
              <w:pStyle w:val="ConsPlusNormal"/>
              <w:jc w:val="center"/>
            </w:pPr>
            <w:r>
              <w:t>0,00</w:t>
            </w:r>
          </w:p>
        </w:tc>
        <w:tc>
          <w:tcPr>
            <w:tcW w:w="1701" w:type="dxa"/>
            <w:vAlign w:val="center"/>
          </w:tcPr>
          <w:p w14:paraId="7BCE6D85" w14:textId="77777777" w:rsidR="00454A29" w:rsidRDefault="00454A29">
            <w:pPr>
              <w:pStyle w:val="ConsPlusNormal"/>
              <w:jc w:val="center"/>
            </w:pPr>
            <w:r>
              <w:t>0,00</w:t>
            </w:r>
          </w:p>
        </w:tc>
      </w:tr>
      <w:tr w:rsidR="00454A29" w14:paraId="5A8A3B66" w14:textId="77777777">
        <w:tc>
          <w:tcPr>
            <w:tcW w:w="964" w:type="dxa"/>
            <w:vMerge w:val="restart"/>
            <w:vAlign w:val="center"/>
          </w:tcPr>
          <w:p w14:paraId="47E68BD7" w14:textId="77777777" w:rsidR="00454A29" w:rsidRDefault="00454A29">
            <w:pPr>
              <w:pStyle w:val="ConsPlusNormal"/>
              <w:jc w:val="center"/>
            </w:pPr>
            <w:r>
              <w:t>1.11.</w:t>
            </w:r>
          </w:p>
        </w:tc>
        <w:tc>
          <w:tcPr>
            <w:tcW w:w="2154" w:type="dxa"/>
            <w:vMerge w:val="restart"/>
            <w:tcBorders>
              <w:top w:val="nil"/>
            </w:tcBorders>
            <w:vAlign w:val="center"/>
          </w:tcPr>
          <w:p w14:paraId="728F89D3" w14:textId="77777777" w:rsidR="00454A29" w:rsidRDefault="00454A29">
            <w:pPr>
              <w:pStyle w:val="ConsPlusNormal"/>
            </w:pPr>
          </w:p>
        </w:tc>
        <w:tc>
          <w:tcPr>
            <w:tcW w:w="2154" w:type="dxa"/>
            <w:vMerge w:val="restart"/>
            <w:tcBorders>
              <w:top w:val="nil"/>
            </w:tcBorders>
            <w:vAlign w:val="center"/>
          </w:tcPr>
          <w:p w14:paraId="07A751E0" w14:textId="77777777" w:rsidR="00454A29" w:rsidRDefault="00454A29">
            <w:pPr>
              <w:pStyle w:val="ConsPlusNormal"/>
            </w:pPr>
          </w:p>
        </w:tc>
        <w:tc>
          <w:tcPr>
            <w:tcW w:w="2665" w:type="dxa"/>
            <w:vMerge w:val="restart"/>
            <w:vAlign w:val="center"/>
          </w:tcPr>
          <w:p w14:paraId="38FCB958" w14:textId="77777777" w:rsidR="00454A29" w:rsidRDefault="00454A29">
            <w:pPr>
              <w:pStyle w:val="ConsPlusNormal"/>
              <w:jc w:val="center"/>
            </w:pPr>
            <w:r>
              <w:t>Результат 11. Создана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 для учителей предметной области "Технология"</w:t>
            </w:r>
          </w:p>
        </w:tc>
        <w:tc>
          <w:tcPr>
            <w:tcW w:w="2665" w:type="dxa"/>
            <w:vMerge w:val="restart"/>
            <w:vAlign w:val="center"/>
          </w:tcPr>
          <w:p w14:paraId="525F3CEF" w14:textId="77777777" w:rsidR="00454A29" w:rsidRDefault="00454A29">
            <w:pPr>
              <w:pStyle w:val="ConsPlusNormal"/>
              <w:jc w:val="center"/>
            </w:pPr>
            <w:r>
              <w:t>Мероприятие 2.5.11. Создание системы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 для учителей предметной области "Технология"</w:t>
            </w:r>
          </w:p>
        </w:tc>
        <w:tc>
          <w:tcPr>
            <w:tcW w:w="1928" w:type="dxa"/>
            <w:vMerge w:val="restart"/>
            <w:vAlign w:val="center"/>
          </w:tcPr>
          <w:p w14:paraId="2AB1801B" w14:textId="77777777" w:rsidR="00454A29" w:rsidRDefault="00454A29">
            <w:pPr>
              <w:pStyle w:val="ConsPlusNormal"/>
              <w:jc w:val="center"/>
            </w:pPr>
            <w:r>
              <w:t>-</w:t>
            </w:r>
          </w:p>
        </w:tc>
        <w:tc>
          <w:tcPr>
            <w:tcW w:w="1644" w:type="dxa"/>
            <w:vMerge w:val="restart"/>
            <w:vAlign w:val="center"/>
          </w:tcPr>
          <w:p w14:paraId="768C5922" w14:textId="77777777" w:rsidR="00454A29" w:rsidRDefault="00454A29">
            <w:pPr>
              <w:pStyle w:val="ConsPlusNormal"/>
              <w:jc w:val="center"/>
            </w:pPr>
            <w:r>
              <w:t>-</w:t>
            </w:r>
          </w:p>
        </w:tc>
        <w:tc>
          <w:tcPr>
            <w:tcW w:w="2041" w:type="dxa"/>
            <w:vMerge w:val="restart"/>
            <w:vAlign w:val="center"/>
          </w:tcPr>
          <w:p w14:paraId="01445894" w14:textId="77777777" w:rsidR="00454A29" w:rsidRDefault="00454A29">
            <w:pPr>
              <w:pStyle w:val="ConsPlusNormal"/>
              <w:jc w:val="center"/>
            </w:pPr>
            <w:r>
              <w:t>-</w:t>
            </w:r>
          </w:p>
        </w:tc>
        <w:tc>
          <w:tcPr>
            <w:tcW w:w="2098" w:type="dxa"/>
            <w:vAlign w:val="center"/>
          </w:tcPr>
          <w:p w14:paraId="3606D68B" w14:textId="77777777" w:rsidR="00454A29" w:rsidRDefault="00454A29">
            <w:pPr>
              <w:pStyle w:val="ConsPlusNormal"/>
              <w:jc w:val="center"/>
            </w:pPr>
            <w:r>
              <w:t>Итого</w:t>
            </w:r>
          </w:p>
        </w:tc>
        <w:tc>
          <w:tcPr>
            <w:tcW w:w="1814" w:type="dxa"/>
            <w:vAlign w:val="center"/>
          </w:tcPr>
          <w:p w14:paraId="3F6175DA" w14:textId="77777777" w:rsidR="00454A29" w:rsidRDefault="00454A29">
            <w:pPr>
              <w:pStyle w:val="ConsPlusNormal"/>
              <w:jc w:val="center"/>
            </w:pPr>
            <w:r>
              <w:t>0,00</w:t>
            </w:r>
          </w:p>
        </w:tc>
        <w:tc>
          <w:tcPr>
            <w:tcW w:w="1701" w:type="dxa"/>
            <w:vAlign w:val="center"/>
          </w:tcPr>
          <w:p w14:paraId="18F30BF5" w14:textId="77777777" w:rsidR="00454A29" w:rsidRDefault="00454A29">
            <w:pPr>
              <w:pStyle w:val="ConsPlusNormal"/>
              <w:jc w:val="center"/>
            </w:pPr>
            <w:r>
              <w:t>0,00</w:t>
            </w:r>
          </w:p>
        </w:tc>
        <w:tc>
          <w:tcPr>
            <w:tcW w:w="1701" w:type="dxa"/>
            <w:vAlign w:val="center"/>
          </w:tcPr>
          <w:p w14:paraId="3F1E6EBA" w14:textId="77777777" w:rsidR="00454A29" w:rsidRDefault="00454A29">
            <w:pPr>
              <w:pStyle w:val="ConsPlusNormal"/>
              <w:jc w:val="center"/>
            </w:pPr>
            <w:r>
              <w:t>0,00</w:t>
            </w:r>
          </w:p>
        </w:tc>
        <w:tc>
          <w:tcPr>
            <w:tcW w:w="1701" w:type="dxa"/>
            <w:vAlign w:val="center"/>
          </w:tcPr>
          <w:p w14:paraId="0D8A9C4E" w14:textId="77777777" w:rsidR="00454A29" w:rsidRDefault="00454A29">
            <w:pPr>
              <w:pStyle w:val="ConsPlusNormal"/>
              <w:jc w:val="center"/>
            </w:pPr>
            <w:r>
              <w:t>0,00</w:t>
            </w:r>
          </w:p>
        </w:tc>
        <w:tc>
          <w:tcPr>
            <w:tcW w:w="1701" w:type="dxa"/>
            <w:vAlign w:val="center"/>
          </w:tcPr>
          <w:p w14:paraId="199B21CC" w14:textId="77777777" w:rsidR="00454A29" w:rsidRDefault="00454A29">
            <w:pPr>
              <w:pStyle w:val="ConsPlusNormal"/>
              <w:jc w:val="center"/>
            </w:pPr>
            <w:r>
              <w:t>0,00</w:t>
            </w:r>
          </w:p>
        </w:tc>
        <w:tc>
          <w:tcPr>
            <w:tcW w:w="1701" w:type="dxa"/>
            <w:vAlign w:val="center"/>
          </w:tcPr>
          <w:p w14:paraId="6F6C5132" w14:textId="77777777" w:rsidR="00454A29" w:rsidRDefault="00454A29">
            <w:pPr>
              <w:pStyle w:val="ConsPlusNormal"/>
              <w:jc w:val="center"/>
            </w:pPr>
            <w:r>
              <w:t>0,00</w:t>
            </w:r>
          </w:p>
        </w:tc>
        <w:tc>
          <w:tcPr>
            <w:tcW w:w="1701" w:type="dxa"/>
            <w:vAlign w:val="center"/>
          </w:tcPr>
          <w:p w14:paraId="2973CCF2" w14:textId="77777777" w:rsidR="00454A29" w:rsidRDefault="00454A29">
            <w:pPr>
              <w:pStyle w:val="ConsPlusNormal"/>
              <w:jc w:val="center"/>
            </w:pPr>
            <w:r>
              <w:t>0,00</w:t>
            </w:r>
          </w:p>
        </w:tc>
      </w:tr>
      <w:tr w:rsidR="00454A29" w14:paraId="42147887" w14:textId="77777777">
        <w:tc>
          <w:tcPr>
            <w:tcW w:w="964" w:type="dxa"/>
            <w:vMerge/>
          </w:tcPr>
          <w:p w14:paraId="0415AFF2" w14:textId="77777777" w:rsidR="00454A29" w:rsidRDefault="00454A29"/>
        </w:tc>
        <w:tc>
          <w:tcPr>
            <w:tcW w:w="2154" w:type="dxa"/>
            <w:vMerge/>
            <w:tcBorders>
              <w:top w:val="nil"/>
            </w:tcBorders>
          </w:tcPr>
          <w:p w14:paraId="4F0B7C01" w14:textId="77777777" w:rsidR="00454A29" w:rsidRDefault="00454A29"/>
        </w:tc>
        <w:tc>
          <w:tcPr>
            <w:tcW w:w="2154" w:type="dxa"/>
            <w:vMerge/>
            <w:tcBorders>
              <w:top w:val="nil"/>
            </w:tcBorders>
          </w:tcPr>
          <w:p w14:paraId="06A108D6" w14:textId="77777777" w:rsidR="00454A29" w:rsidRDefault="00454A29"/>
        </w:tc>
        <w:tc>
          <w:tcPr>
            <w:tcW w:w="2665" w:type="dxa"/>
            <w:vMerge/>
          </w:tcPr>
          <w:p w14:paraId="6ADC9E61" w14:textId="77777777" w:rsidR="00454A29" w:rsidRDefault="00454A29"/>
        </w:tc>
        <w:tc>
          <w:tcPr>
            <w:tcW w:w="2665" w:type="dxa"/>
            <w:vMerge/>
          </w:tcPr>
          <w:p w14:paraId="2CB4E8A0" w14:textId="77777777" w:rsidR="00454A29" w:rsidRDefault="00454A29"/>
        </w:tc>
        <w:tc>
          <w:tcPr>
            <w:tcW w:w="1928" w:type="dxa"/>
            <w:vMerge/>
          </w:tcPr>
          <w:p w14:paraId="334CFF7E" w14:textId="77777777" w:rsidR="00454A29" w:rsidRDefault="00454A29"/>
        </w:tc>
        <w:tc>
          <w:tcPr>
            <w:tcW w:w="1644" w:type="dxa"/>
            <w:vMerge/>
          </w:tcPr>
          <w:p w14:paraId="2BF2558C" w14:textId="77777777" w:rsidR="00454A29" w:rsidRDefault="00454A29"/>
        </w:tc>
        <w:tc>
          <w:tcPr>
            <w:tcW w:w="2041" w:type="dxa"/>
            <w:vMerge/>
          </w:tcPr>
          <w:p w14:paraId="0AC8AE5C" w14:textId="77777777" w:rsidR="00454A29" w:rsidRDefault="00454A29"/>
        </w:tc>
        <w:tc>
          <w:tcPr>
            <w:tcW w:w="2098" w:type="dxa"/>
            <w:vAlign w:val="center"/>
          </w:tcPr>
          <w:p w14:paraId="4FD5B25F"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428D422" w14:textId="77777777" w:rsidR="00454A29" w:rsidRDefault="00454A29">
            <w:pPr>
              <w:pStyle w:val="ConsPlusNormal"/>
              <w:jc w:val="center"/>
            </w:pPr>
            <w:r>
              <w:t>0,00</w:t>
            </w:r>
          </w:p>
        </w:tc>
        <w:tc>
          <w:tcPr>
            <w:tcW w:w="1701" w:type="dxa"/>
            <w:vAlign w:val="center"/>
          </w:tcPr>
          <w:p w14:paraId="3D5EEC3A" w14:textId="77777777" w:rsidR="00454A29" w:rsidRDefault="00454A29">
            <w:pPr>
              <w:pStyle w:val="ConsPlusNormal"/>
              <w:jc w:val="center"/>
            </w:pPr>
            <w:r>
              <w:t>0,00</w:t>
            </w:r>
          </w:p>
        </w:tc>
        <w:tc>
          <w:tcPr>
            <w:tcW w:w="1701" w:type="dxa"/>
            <w:vAlign w:val="center"/>
          </w:tcPr>
          <w:p w14:paraId="7D9938AB" w14:textId="77777777" w:rsidR="00454A29" w:rsidRDefault="00454A29">
            <w:pPr>
              <w:pStyle w:val="ConsPlusNormal"/>
              <w:jc w:val="center"/>
            </w:pPr>
            <w:r>
              <w:t>0,00</w:t>
            </w:r>
          </w:p>
        </w:tc>
        <w:tc>
          <w:tcPr>
            <w:tcW w:w="1701" w:type="dxa"/>
            <w:vAlign w:val="center"/>
          </w:tcPr>
          <w:p w14:paraId="7A2002E3" w14:textId="77777777" w:rsidR="00454A29" w:rsidRDefault="00454A29">
            <w:pPr>
              <w:pStyle w:val="ConsPlusNormal"/>
              <w:jc w:val="center"/>
            </w:pPr>
            <w:r>
              <w:t>0,00</w:t>
            </w:r>
          </w:p>
        </w:tc>
        <w:tc>
          <w:tcPr>
            <w:tcW w:w="1701" w:type="dxa"/>
            <w:vAlign w:val="center"/>
          </w:tcPr>
          <w:p w14:paraId="391BA797" w14:textId="77777777" w:rsidR="00454A29" w:rsidRDefault="00454A29">
            <w:pPr>
              <w:pStyle w:val="ConsPlusNormal"/>
              <w:jc w:val="center"/>
            </w:pPr>
            <w:r>
              <w:t>0,00</w:t>
            </w:r>
          </w:p>
        </w:tc>
        <w:tc>
          <w:tcPr>
            <w:tcW w:w="1701" w:type="dxa"/>
            <w:vAlign w:val="center"/>
          </w:tcPr>
          <w:p w14:paraId="74F91FB3" w14:textId="77777777" w:rsidR="00454A29" w:rsidRDefault="00454A29">
            <w:pPr>
              <w:pStyle w:val="ConsPlusNormal"/>
              <w:jc w:val="center"/>
            </w:pPr>
            <w:r>
              <w:t>0,00</w:t>
            </w:r>
          </w:p>
        </w:tc>
        <w:tc>
          <w:tcPr>
            <w:tcW w:w="1701" w:type="dxa"/>
            <w:vAlign w:val="center"/>
          </w:tcPr>
          <w:p w14:paraId="1441F9AF" w14:textId="77777777" w:rsidR="00454A29" w:rsidRDefault="00454A29">
            <w:pPr>
              <w:pStyle w:val="ConsPlusNormal"/>
              <w:jc w:val="center"/>
            </w:pPr>
            <w:r>
              <w:t>0,00</w:t>
            </w:r>
          </w:p>
        </w:tc>
      </w:tr>
      <w:tr w:rsidR="00454A29" w14:paraId="6514A86B" w14:textId="77777777">
        <w:tc>
          <w:tcPr>
            <w:tcW w:w="964" w:type="dxa"/>
            <w:vMerge/>
          </w:tcPr>
          <w:p w14:paraId="2660B799" w14:textId="77777777" w:rsidR="00454A29" w:rsidRDefault="00454A29"/>
        </w:tc>
        <w:tc>
          <w:tcPr>
            <w:tcW w:w="2154" w:type="dxa"/>
            <w:vMerge/>
            <w:tcBorders>
              <w:top w:val="nil"/>
            </w:tcBorders>
          </w:tcPr>
          <w:p w14:paraId="67703947" w14:textId="77777777" w:rsidR="00454A29" w:rsidRDefault="00454A29"/>
        </w:tc>
        <w:tc>
          <w:tcPr>
            <w:tcW w:w="2154" w:type="dxa"/>
            <w:vMerge/>
            <w:tcBorders>
              <w:top w:val="nil"/>
            </w:tcBorders>
          </w:tcPr>
          <w:p w14:paraId="57524AAF" w14:textId="77777777" w:rsidR="00454A29" w:rsidRDefault="00454A29"/>
        </w:tc>
        <w:tc>
          <w:tcPr>
            <w:tcW w:w="2665" w:type="dxa"/>
            <w:vMerge/>
          </w:tcPr>
          <w:p w14:paraId="0B07F903" w14:textId="77777777" w:rsidR="00454A29" w:rsidRDefault="00454A29"/>
        </w:tc>
        <w:tc>
          <w:tcPr>
            <w:tcW w:w="2665" w:type="dxa"/>
            <w:vMerge/>
          </w:tcPr>
          <w:p w14:paraId="4BE8AEF9" w14:textId="77777777" w:rsidR="00454A29" w:rsidRDefault="00454A29"/>
        </w:tc>
        <w:tc>
          <w:tcPr>
            <w:tcW w:w="1928" w:type="dxa"/>
            <w:vMerge/>
          </w:tcPr>
          <w:p w14:paraId="388D59DA" w14:textId="77777777" w:rsidR="00454A29" w:rsidRDefault="00454A29"/>
        </w:tc>
        <w:tc>
          <w:tcPr>
            <w:tcW w:w="1644" w:type="dxa"/>
            <w:vMerge/>
          </w:tcPr>
          <w:p w14:paraId="21BCE068" w14:textId="77777777" w:rsidR="00454A29" w:rsidRDefault="00454A29"/>
        </w:tc>
        <w:tc>
          <w:tcPr>
            <w:tcW w:w="2041" w:type="dxa"/>
            <w:vMerge/>
          </w:tcPr>
          <w:p w14:paraId="65F9B1F2" w14:textId="77777777" w:rsidR="00454A29" w:rsidRDefault="00454A29"/>
        </w:tc>
        <w:tc>
          <w:tcPr>
            <w:tcW w:w="2098" w:type="dxa"/>
            <w:vAlign w:val="center"/>
          </w:tcPr>
          <w:p w14:paraId="372C8BA6" w14:textId="77777777" w:rsidR="00454A29" w:rsidRDefault="00454A29">
            <w:pPr>
              <w:pStyle w:val="ConsPlusNormal"/>
              <w:jc w:val="center"/>
            </w:pPr>
            <w:r>
              <w:t>Федеральный бюджет</w:t>
            </w:r>
          </w:p>
        </w:tc>
        <w:tc>
          <w:tcPr>
            <w:tcW w:w="1814" w:type="dxa"/>
            <w:vAlign w:val="center"/>
          </w:tcPr>
          <w:p w14:paraId="42F62703" w14:textId="77777777" w:rsidR="00454A29" w:rsidRDefault="00454A29">
            <w:pPr>
              <w:pStyle w:val="ConsPlusNormal"/>
              <w:jc w:val="center"/>
            </w:pPr>
            <w:r>
              <w:t>0,00</w:t>
            </w:r>
          </w:p>
        </w:tc>
        <w:tc>
          <w:tcPr>
            <w:tcW w:w="1701" w:type="dxa"/>
            <w:vAlign w:val="center"/>
          </w:tcPr>
          <w:p w14:paraId="78437168" w14:textId="77777777" w:rsidR="00454A29" w:rsidRDefault="00454A29">
            <w:pPr>
              <w:pStyle w:val="ConsPlusNormal"/>
              <w:jc w:val="center"/>
            </w:pPr>
            <w:r>
              <w:t>0,00</w:t>
            </w:r>
          </w:p>
        </w:tc>
        <w:tc>
          <w:tcPr>
            <w:tcW w:w="1701" w:type="dxa"/>
            <w:vAlign w:val="center"/>
          </w:tcPr>
          <w:p w14:paraId="4E62A262" w14:textId="77777777" w:rsidR="00454A29" w:rsidRDefault="00454A29">
            <w:pPr>
              <w:pStyle w:val="ConsPlusNormal"/>
              <w:jc w:val="center"/>
            </w:pPr>
            <w:r>
              <w:t>0,00</w:t>
            </w:r>
          </w:p>
        </w:tc>
        <w:tc>
          <w:tcPr>
            <w:tcW w:w="1701" w:type="dxa"/>
            <w:vAlign w:val="center"/>
          </w:tcPr>
          <w:p w14:paraId="38FC7054" w14:textId="77777777" w:rsidR="00454A29" w:rsidRDefault="00454A29">
            <w:pPr>
              <w:pStyle w:val="ConsPlusNormal"/>
              <w:jc w:val="center"/>
            </w:pPr>
            <w:r>
              <w:t>0,00</w:t>
            </w:r>
          </w:p>
        </w:tc>
        <w:tc>
          <w:tcPr>
            <w:tcW w:w="1701" w:type="dxa"/>
            <w:vAlign w:val="center"/>
          </w:tcPr>
          <w:p w14:paraId="476E217A" w14:textId="77777777" w:rsidR="00454A29" w:rsidRDefault="00454A29">
            <w:pPr>
              <w:pStyle w:val="ConsPlusNormal"/>
              <w:jc w:val="center"/>
            </w:pPr>
            <w:r>
              <w:t>0,00</w:t>
            </w:r>
          </w:p>
        </w:tc>
        <w:tc>
          <w:tcPr>
            <w:tcW w:w="1701" w:type="dxa"/>
            <w:vAlign w:val="center"/>
          </w:tcPr>
          <w:p w14:paraId="670732CA" w14:textId="77777777" w:rsidR="00454A29" w:rsidRDefault="00454A29">
            <w:pPr>
              <w:pStyle w:val="ConsPlusNormal"/>
              <w:jc w:val="center"/>
            </w:pPr>
            <w:r>
              <w:t>0,00</w:t>
            </w:r>
          </w:p>
        </w:tc>
        <w:tc>
          <w:tcPr>
            <w:tcW w:w="1701" w:type="dxa"/>
            <w:vAlign w:val="center"/>
          </w:tcPr>
          <w:p w14:paraId="1A3457B0" w14:textId="77777777" w:rsidR="00454A29" w:rsidRDefault="00454A29">
            <w:pPr>
              <w:pStyle w:val="ConsPlusNormal"/>
              <w:jc w:val="center"/>
            </w:pPr>
            <w:r>
              <w:t>0,00</w:t>
            </w:r>
          </w:p>
        </w:tc>
      </w:tr>
      <w:tr w:rsidR="00454A29" w14:paraId="5E841834" w14:textId="77777777">
        <w:tc>
          <w:tcPr>
            <w:tcW w:w="964" w:type="dxa"/>
            <w:vMerge/>
          </w:tcPr>
          <w:p w14:paraId="648DF486" w14:textId="77777777" w:rsidR="00454A29" w:rsidRDefault="00454A29"/>
        </w:tc>
        <w:tc>
          <w:tcPr>
            <w:tcW w:w="2154" w:type="dxa"/>
            <w:vMerge/>
            <w:tcBorders>
              <w:top w:val="nil"/>
            </w:tcBorders>
          </w:tcPr>
          <w:p w14:paraId="34EAA8D9" w14:textId="77777777" w:rsidR="00454A29" w:rsidRDefault="00454A29"/>
        </w:tc>
        <w:tc>
          <w:tcPr>
            <w:tcW w:w="2154" w:type="dxa"/>
            <w:vMerge/>
            <w:tcBorders>
              <w:top w:val="nil"/>
            </w:tcBorders>
          </w:tcPr>
          <w:p w14:paraId="295C6373" w14:textId="77777777" w:rsidR="00454A29" w:rsidRDefault="00454A29"/>
        </w:tc>
        <w:tc>
          <w:tcPr>
            <w:tcW w:w="2665" w:type="dxa"/>
            <w:vMerge/>
          </w:tcPr>
          <w:p w14:paraId="58600BB7" w14:textId="77777777" w:rsidR="00454A29" w:rsidRDefault="00454A29"/>
        </w:tc>
        <w:tc>
          <w:tcPr>
            <w:tcW w:w="2665" w:type="dxa"/>
            <w:vMerge/>
          </w:tcPr>
          <w:p w14:paraId="77AE5C9E" w14:textId="77777777" w:rsidR="00454A29" w:rsidRDefault="00454A29"/>
        </w:tc>
        <w:tc>
          <w:tcPr>
            <w:tcW w:w="1928" w:type="dxa"/>
            <w:vMerge/>
          </w:tcPr>
          <w:p w14:paraId="7724243D" w14:textId="77777777" w:rsidR="00454A29" w:rsidRDefault="00454A29"/>
        </w:tc>
        <w:tc>
          <w:tcPr>
            <w:tcW w:w="1644" w:type="dxa"/>
            <w:vMerge/>
          </w:tcPr>
          <w:p w14:paraId="408F2854" w14:textId="77777777" w:rsidR="00454A29" w:rsidRDefault="00454A29"/>
        </w:tc>
        <w:tc>
          <w:tcPr>
            <w:tcW w:w="2041" w:type="dxa"/>
            <w:vMerge/>
          </w:tcPr>
          <w:p w14:paraId="4F0AF535" w14:textId="77777777" w:rsidR="00454A29" w:rsidRDefault="00454A29"/>
        </w:tc>
        <w:tc>
          <w:tcPr>
            <w:tcW w:w="2098" w:type="dxa"/>
            <w:vAlign w:val="center"/>
          </w:tcPr>
          <w:p w14:paraId="726DD229" w14:textId="77777777" w:rsidR="00454A29" w:rsidRDefault="00454A29">
            <w:pPr>
              <w:pStyle w:val="ConsPlusNormal"/>
              <w:jc w:val="center"/>
            </w:pPr>
            <w:r>
              <w:t>Местные бюджеты</w:t>
            </w:r>
          </w:p>
        </w:tc>
        <w:tc>
          <w:tcPr>
            <w:tcW w:w="1814" w:type="dxa"/>
            <w:vAlign w:val="center"/>
          </w:tcPr>
          <w:p w14:paraId="7A245BE9" w14:textId="77777777" w:rsidR="00454A29" w:rsidRDefault="00454A29">
            <w:pPr>
              <w:pStyle w:val="ConsPlusNormal"/>
              <w:jc w:val="center"/>
            </w:pPr>
            <w:r>
              <w:t>0,00</w:t>
            </w:r>
          </w:p>
        </w:tc>
        <w:tc>
          <w:tcPr>
            <w:tcW w:w="1701" w:type="dxa"/>
            <w:vAlign w:val="center"/>
          </w:tcPr>
          <w:p w14:paraId="5FE704EF" w14:textId="77777777" w:rsidR="00454A29" w:rsidRDefault="00454A29">
            <w:pPr>
              <w:pStyle w:val="ConsPlusNormal"/>
              <w:jc w:val="center"/>
            </w:pPr>
            <w:r>
              <w:t>0,00</w:t>
            </w:r>
          </w:p>
        </w:tc>
        <w:tc>
          <w:tcPr>
            <w:tcW w:w="1701" w:type="dxa"/>
            <w:vAlign w:val="center"/>
          </w:tcPr>
          <w:p w14:paraId="3CB53870" w14:textId="77777777" w:rsidR="00454A29" w:rsidRDefault="00454A29">
            <w:pPr>
              <w:pStyle w:val="ConsPlusNormal"/>
              <w:jc w:val="center"/>
            </w:pPr>
            <w:r>
              <w:t>0,00</w:t>
            </w:r>
          </w:p>
        </w:tc>
        <w:tc>
          <w:tcPr>
            <w:tcW w:w="1701" w:type="dxa"/>
            <w:vAlign w:val="center"/>
          </w:tcPr>
          <w:p w14:paraId="0F4304F2" w14:textId="77777777" w:rsidR="00454A29" w:rsidRDefault="00454A29">
            <w:pPr>
              <w:pStyle w:val="ConsPlusNormal"/>
              <w:jc w:val="center"/>
            </w:pPr>
            <w:r>
              <w:t>0,00</w:t>
            </w:r>
          </w:p>
        </w:tc>
        <w:tc>
          <w:tcPr>
            <w:tcW w:w="1701" w:type="dxa"/>
            <w:vAlign w:val="center"/>
          </w:tcPr>
          <w:p w14:paraId="19216CBE" w14:textId="77777777" w:rsidR="00454A29" w:rsidRDefault="00454A29">
            <w:pPr>
              <w:pStyle w:val="ConsPlusNormal"/>
              <w:jc w:val="center"/>
            </w:pPr>
            <w:r>
              <w:t>0,00</w:t>
            </w:r>
          </w:p>
        </w:tc>
        <w:tc>
          <w:tcPr>
            <w:tcW w:w="1701" w:type="dxa"/>
            <w:vAlign w:val="center"/>
          </w:tcPr>
          <w:p w14:paraId="32556AAC" w14:textId="77777777" w:rsidR="00454A29" w:rsidRDefault="00454A29">
            <w:pPr>
              <w:pStyle w:val="ConsPlusNormal"/>
              <w:jc w:val="center"/>
            </w:pPr>
            <w:r>
              <w:t>0,00</w:t>
            </w:r>
          </w:p>
        </w:tc>
        <w:tc>
          <w:tcPr>
            <w:tcW w:w="1701" w:type="dxa"/>
            <w:vAlign w:val="center"/>
          </w:tcPr>
          <w:p w14:paraId="11EA246D" w14:textId="77777777" w:rsidR="00454A29" w:rsidRDefault="00454A29">
            <w:pPr>
              <w:pStyle w:val="ConsPlusNormal"/>
              <w:jc w:val="center"/>
            </w:pPr>
            <w:r>
              <w:t>0,00</w:t>
            </w:r>
          </w:p>
        </w:tc>
      </w:tr>
      <w:tr w:rsidR="00454A29" w14:paraId="129B942D" w14:textId="77777777">
        <w:tc>
          <w:tcPr>
            <w:tcW w:w="964" w:type="dxa"/>
            <w:vMerge/>
          </w:tcPr>
          <w:p w14:paraId="0CA15BFC" w14:textId="77777777" w:rsidR="00454A29" w:rsidRDefault="00454A29"/>
        </w:tc>
        <w:tc>
          <w:tcPr>
            <w:tcW w:w="2154" w:type="dxa"/>
            <w:vMerge/>
            <w:tcBorders>
              <w:top w:val="nil"/>
            </w:tcBorders>
          </w:tcPr>
          <w:p w14:paraId="255284E7" w14:textId="77777777" w:rsidR="00454A29" w:rsidRDefault="00454A29"/>
        </w:tc>
        <w:tc>
          <w:tcPr>
            <w:tcW w:w="2154" w:type="dxa"/>
            <w:vMerge/>
            <w:tcBorders>
              <w:top w:val="nil"/>
            </w:tcBorders>
          </w:tcPr>
          <w:p w14:paraId="69C147CA" w14:textId="77777777" w:rsidR="00454A29" w:rsidRDefault="00454A29"/>
        </w:tc>
        <w:tc>
          <w:tcPr>
            <w:tcW w:w="2665" w:type="dxa"/>
            <w:vMerge/>
          </w:tcPr>
          <w:p w14:paraId="36EC013A" w14:textId="77777777" w:rsidR="00454A29" w:rsidRDefault="00454A29"/>
        </w:tc>
        <w:tc>
          <w:tcPr>
            <w:tcW w:w="2665" w:type="dxa"/>
            <w:vMerge/>
          </w:tcPr>
          <w:p w14:paraId="16F7D6AE" w14:textId="77777777" w:rsidR="00454A29" w:rsidRDefault="00454A29"/>
        </w:tc>
        <w:tc>
          <w:tcPr>
            <w:tcW w:w="1928" w:type="dxa"/>
            <w:vMerge/>
          </w:tcPr>
          <w:p w14:paraId="3CF38510" w14:textId="77777777" w:rsidR="00454A29" w:rsidRDefault="00454A29"/>
        </w:tc>
        <w:tc>
          <w:tcPr>
            <w:tcW w:w="1644" w:type="dxa"/>
            <w:vMerge/>
          </w:tcPr>
          <w:p w14:paraId="654484F6" w14:textId="77777777" w:rsidR="00454A29" w:rsidRDefault="00454A29"/>
        </w:tc>
        <w:tc>
          <w:tcPr>
            <w:tcW w:w="2041" w:type="dxa"/>
            <w:vMerge/>
          </w:tcPr>
          <w:p w14:paraId="10ADBC85" w14:textId="77777777" w:rsidR="00454A29" w:rsidRDefault="00454A29"/>
        </w:tc>
        <w:tc>
          <w:tcPr>
            <w:tcW w:w="2098" w:type="dxa"/>
            <w:vAlign w:val="center"/>
          </w:tcPr>
          <w:p w14:paraId="7425E40C" w14:textId="77777777" w:rsidR="00454A29" w:rsidRDefault="00454A29">
            <w:pPr>
              <w:pStyle w:val="ConsPlusNormal"/>
              <w:jc w:val="center"/>
            </w:pPr>
            <w:r>
              <w:t>Внебюджетные средства</w:t>
            </w:r>
          </w:p>
        </w:tc>
        <w:tc>
          <w:tcPr>
            <w:tcW w:w="1814" w:type="dxa"/>
            <w:vAlign w:val="center"/>
          </w:tcPr>
          <w:p w14:paraId="6CAAA73A" w14:textId="77777777" w:rsidR="00454A29" w:rsidRDefault="00454A29">
            <w:pPr>
              <w:pStyle w:val="ConsPlusNormal"/>
              <w:jc w:val="center"/>
            </w:pPr>
            <w:r>
              <w:t>0,00</w:t>
            </w:r>
          </w:p>
        </w:tc>
        <w:tc>
          <w:tcPr>
            <w:tcW w:w="1701" w:type="dxa"/>
            <w:vAlign w:val="center"/>
          </w:tcPr>
          <w:p w14:paraId="69DE5A79" w14:textId="77777777" w:rsidR="00454A29" w:rsidRDefault="00454A29">
            <w:pPr>
              <w:pStyle w:val="ConsPlusNormal"/>
              <w:jc w:val="center"/>
            </w:pPr>
            <w:r>
              <w:t>0,00</w:t>
            </w:r>
          </w:p>
        </w:tc>
        <w:tc>
          <w:tcPr>
            <w:tcW w:w="1701" w:type="dxa"/>
            <w:vAlign w:val="center"/>
          </w:tcPr>
          <w:p w14:paraId="1241BE49" w14:textId="77777777" w:rsidR="00454A29" w:rsidRDefault="00454A29">
            <w:pPr>
              <w:pStyle w:val="ConsPlusNormal"/>
              <w:jc w:val="center"/>
            </w:pPr>
            <w:r>
              <w:t>0,00</w:t>
            </w:r>
          </w:p>
        </w:tc>
        <w:tc>
          <w:tcPr>
            <w:tcW w:w="1701" w:type="dxa"/>
            <w:vAlign w:val="center"/>
          </w:tcPr>
          <w:p w14:paraId="7F2DA053" w14:textId="77777777" w:rsidR="00454A29" w:rsidRDefault="00454A29">
            <w:pPr>
              <w:pStyle w:val="ConsPlusNormal"/>
              <w:jc w:val="center"/>
            </w:pPr>
            <w:r>
              <w:t>0,00</w:t>
            </w:r>
          </w:p>
        </w:tc>
        <w:tc>
          <w:tcPr>
            <w:tcW w:w="1701" w:type="dxa"/>
            <w:vAlign w:val="center"/>
          </w:tcPr>
          <w:p w14:paraId="146C9DFF" w14:textId="77777777" w:rsidR="00454A29" w:rsidRDefault="00454A29">
            <w:pPr>
              <w:pStyle w:val="ConsPlusNormal"/>
              <w:jc w:val="center"/>
            </w:pPr>
            <w:r>
              <w:t>0,00</w:t>
            </w:r>
          </w:p>
        </w:tc>
        <w:tc>
          <w:tcPr>
            <w:tcW w:w="1701" w:type="dxa"/>
            <w:vAlign w:val="center"/>
          </w:tcPr>
          <w:p w14:paraId="25F5ED45" w14:textId="77777777" w:rsidR="00454A29" w:rsidRDefault="00454A29">
            <w:pPr>
              <w:pStyle w:val="ConsPlusNormal"/>
              <w:jc w:val="center"/>
            </w:pPr>
            <w:r>
              <w:t>0,00</w:t>
            </w:r>
          </w:p>
        </w:tc>
        <w:tc>
          <w:tcPr>
            <w:tcW w:w="1701" w:type="dxa"/>
            <w:vAlign w:val="center"/>
          </w:tcPr>
          <w:p w14:paraId="669C3B4B" w14:textId="77777777" w:rsidR="00454A29" w:rsidRDefault="00454A29">
            <w:pPr>
              <w:pStyle w:val="ConsPlusNormal"/>
              <w:jc w:val="center"/>
            </w:pPr>
            <w:r>
              <w:t>0,00</w:t>
            </w:r>
          </w:p>
        </w:tc>
      </w:tr>
      <w:tr w:rsidR="00454A29" w14:paraId="615CA32C" w14:textId="77777777">
        <w:tc>
          <w:tcPr>
            <w:tcW w:w="964" w:type="dxa"/>
            <w:vMerge w:val="restart"/>
            <w:vAlign w:val="center"/>
          </w:tcPr>
          <w:p w14:paraId="75903359" w14:textId="77777777" w:rsidR="00454A29" w:rsidRDefault="00454A29">
            <w:pPr>
              <w:pStyle w:val="ConsPlusNormal"/>
              <w:jc w:val="center"/>
            </w:pPr>
            <w:r>
              <w:t>1.12.</w:t>
            </w:r>
          </w:p>
        </w:tc>
        <w:tc>
          <w:tcPr>
            <w:tcW w:w="2154" w:type="dxa"/>
            <w:vMerge w:val="restart"/>
            <w:vAlign w:val="center"/>
          </w:tcPr>
          <w:p w14:paraId="380ED598" w14:textId="77777777" w:rsidR="00454A29" w:rsidRDefault="00454A29">
            <w:pPr>
              <w:pStyle w:val="ConsPlusNormal"/>
              <w:jc w:val="center"/>
            </w:pPr>
            <w:r>
              <w:t>Подпрограмма 9 "Содействие созданию новых мест в общеобразовательных организациях Республики Саха (Якутия)"</w:t>
            </w:r>
          </w:p>
        </w:tc>
        <w:tc>
          <w:tcPr>
            <w:tcW w:w="2154" w:type="dxa"/>
            <w:vMerge w:val="restart"/>
            <w:vAlign w:val="center"/>
          </w:tcPr>
          <w:p w14:paraId="2C24F03A" w14:textId="77777777" w:rsidR="00454A29" w:rsidRDefault="00454A29">
            <w:pPr>
              <w:pStyle w:val="ConsPlusNormal"/>
              <w:jc w:val="center"/>
            </w:pPr>
            <w:r>
              <w:t>Основное мероприятие 9.2. "Реализация регионального проекта "Современная школа" (в части мероприятий по созданию новых мест в общеобразовательных организациях)</w:t>
            </w:r>
          </w:p>
        </w:tc>
        <w:tc>
          <w:tcPr>
            <w:tcW w:w="10943" w:type="dxa"/>
            <w:gridSpan w:val="5"/>
            <w:vMerge w:val="restart"/>
            <w:vAlign w:val="center"/>
          </w:tcPr>
          <w:p w14:paraId="2020A9E7" w14:textId="77777777" w:rsidR="00454A29" w:rsidRDefault="00454A29">
            <w:pPr>
              <w:pStyle w:val="ConsPlusNormal"/>
              <w:jc w:val="center"/>
            </w:pPr>
            <w:r>
              <w:t>ВСЕГО</w:t>
            </w:r>
          </w:p>
        </w:tc>
        <w:tc>
          <w:tcPr>
            <w:tcW w:w="2098" w:type="dxa"/>
            <w:vAlign w:val="center"/>
          </w:tcPr>
          <w:p w14:paraId="2022CBAD" w14:textId="77777777" w:rsidR="00454A29" w:rsidRDefault="00454A29">
            <w:pPr>
              <w:pStyle w:val="ConsPlusNormal"/>
              <w:jc w:val="center"/>
            </w:pPr>
            <w:r>
              <w:t>Итого</w:t>
            </w:r>
          </w:p>
        </w:tc>
        <w:tc>
          <w:tcPr>
            <w:tcW w:w="1814" w:type="dxa"/>
            <w:vAlign w:val="center"/>
          </w:tcPr>
          <w:p w14:paraId="71EC6DA2" w14:textId="77777777" w:rsidR="00454A29" w:rsidRDefault="00454A29">
            <w:pPr>
              <w:pStyle w:val="ConsPlusNormal"/>
              <w:jc w:val="center"/>
            </w:pPr>
            <w:r>
              <w:t>521 211,04</w:t>
            </w:r>
          </w:p>
        </w:tc>
        <w:tc>
          <w:tcPr>
            <w:tcW w:w="1701" w:type="dxa"/>
            <w:vAlign w:val="center"/>
          </w:tcPr>
          <w:p w14:paraId="1636CC20" w14:textId="77777777" w:rsidR="00454A29" w:rsidRDefault="00454A29">
            <w:pPr>
              <w:pStyle w:val="ConsPlusNormal"/>
              <w:jc w:val="center"/>
            </w:pPr>
            <w:r>
              <w:t>433 695,15</w:t>
            </w:r>
          </w:p>
        </w:tc>
        <w:tc>
          <w:tcPr>
            <w:tcW w:w="1701" w:type="dxa"/>
            <w:vAlign w:val="center"/>
          </w:tcPr>
          <w:p w14:paraId="4F41AD3C" w14:textId="77777777" w:rsidR="00454A29" w:rsidRDefault="00454A29">
            <w:pPr>
              <w:pStyle w:val="ConsPlusNormal"/>
              <w:jc w:val="center"/>
            </w:pPr>
            <w:r>
              <w:t>0,00</w:t>
            </w:r>
          </w:p>
        </w:tc>
        <w:tc>
          <w:tcPr>
            <w:tcW w:w="1701" w:type="dxa"/>
            <w:vAlign w:val="center"/>
          </w:tcPr>
          <w:p w14:paraId="259FA6D2" w14:textId="77777777" w:rsidR="00454A29" w:rsidRDefault="00454A29">
            <w:pPr>
              <w:pStyle w:val="ConsPlusNormal"/>
              <w:jc w:val="center"/>
            </w:pPr>
            <w:r>
              <w:t>0,00</w:t>
            </w:r>
          </w:p>
        </w:tc>
        <w:tc>
          <w:tcPr>
            <w:tcW w:w="1701" w:type="dxa"/>
            <w:vAlign w:val="center"/>
          </w:tcPr>
          <w:p w14:paraId="78CF9FD3" w14:textId="77777777" w:rsidR="00454A29" w:rsidRDefault="00454A29">
            <w:pPr>
              <w:pStyle w:val="ConsPlusNormal"/>
              <w:jc w:val="center"/>
            </w:pPr>
            <w:r>
              <w:t>0,00</w:t>
            </w:r>
          </w:p>
        </w:tc>
        <w:tc>
          <w:tcPr>
            <w:tcW w:w="1701" w:type="dxa"/>
            <w:vAlign w:val="center"/>
          </w:tcPr>
          <w:p w14:paraId="5033642D" w14:textId="77777777" w:rsidR="00454A29" w:rsidRDefault="00454A29">
            <w:pPr>
              <w:pStyle w:val="ConsPlusNormal"/>
              <w:jc w:val="center"/>
            </w:pPr>
            <w:r>
              <w:t>0,00</w:t>
            </w:r>
          </w:p>
        </w:tc>
        <w:tc>
          <w:tcPr>
            <w:tcW w:w="1701" w:type="dxa"/>
            <w:vAlign w:val="center"/>
          </w:tcPr>
          <w:p w14:paraId="5E96FC5F" w14:textId="77777777" w:rsidR="00454A29" w:rsidRDefault="00454A29">
            <w:pPr>
              <w:pStyle w:val="ConsPlusNormal"/>
              <w:jc w:val="center"/>
            </w:pPr>
            <w:r>
              <w:t>0,00</w:t>
            </w:r>
          </w:p>
        </w:tc>
      </w:tr>
      <w:tr w:rsidR="00454A29" w14:paraId="603F96D6" w14:textId="77777777">
        <w:tc>
          <w:tcPr>
            <w:tcW w:w="964" w:type="dxa"/>
            <w:vMerge/>
          </w:tcPr>
          <w:p w14:paraId="39ECC6F2" w14:textId="77777777" w:rsidR="00454A29" w:rsidRDefault="00454A29"/>
        </w:tc>
        <w:tc>
          <w:tcPr>
            <w:tcW w:w="2154" w:type="dxa"/>
            <w:vMerge/>
          </w:tcPr>
          <w:p w14:paraId="4B990456" w14:textId="77777777" w:rsidR="00454A29" w:rsidRDefault="00454A29"/>
        </w:tc>
        <w:tc>
          <w:tcPr>
            <w:tcW w:w="2154" w:type="dxa"/>
            <w:vMerge/>
          </w:tcPr>
          <w:p w14:paraId="48482997" w14:textId="77777777" w:rsidR="00454A29" w:rsidRDefault="00454A29"/>
        </w:tc>
        <w:tc>
          <w:tcPr>
            <w:tcW w:w="10943" w:type="dxa"/>
            <w:gridSpan w:val="5"/>
            <w:vMerge/>
          </w:tcPr>
          <w:p w14:paraId="1370513D" w14:textId="77777777" w:rsidR="00454A29" w:rsidRDefault="00454A29"/>
        </w:tc>
        <w:tc>
          <w:tcPr>
            <w:tcW w:w="2098" w:type="dxa"/>
            <w:vAlign w:val="center"/>
          </w:tcPr>
          <w:p w14:paraId="56E93A4B"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4C6E44BC" w14:textId="77777777" w:rsidR="00454A29" w:rsidRDefault="00454A29">
            <w:pPr>
              <w:pStyle w:val="ConsPlusNormal"/>
              <w:jc w:val="center"/>
            </w:pPr>
            <w:r>
              <w:t>275 665,94</w:t>
            </w:r>
          </w:p>
        </w:tc>
        <w:tc>
          <w:tcPr>
            <w:tcW w:w="1701" w:type="dxa"/>
            <w:vAlign w:val="center"/>
          </w:tcPr>
          <w:p w14:paraId="3D4FB2F1" w14:textId="77777777" w:rsidR="00454A29" w:rsidRDefault="00454A29">
            <w:pPr>
              <w:pStyle w:val="ConsPlusNormal"/>
              <w:jc w:val="center"/>
            </w:pPr>
            <w:r>
              <w:t>54 577,35</w:t>
            </w:r>
          </w:p>
        </w:tc>
        <w:tc>
          <w:tcPr>
            <w:tcW w:w="1701" w:type="dxa"/>
            <w:vAlign w:val="center"/>
          </w:tcPr>
          <w:p w14:paraId="3590AECE" w14:textId="77777777" w:rsidR="00454A29" w:rsidRDefault="00454A29">
            <w:pPr>
              <w:pStyle w:val="ConsPlusNormal"/>
              <w:jc w:val="center"/>
            </w:pPr>
            <w:r>
              <w:t>0,00</w:t>
            </w:r>
          </w:p>
        </w:tc>
        <w:tc>
          <w:tcPr>
            <w:tcW w:w="1701" w:type="dxa"/>
            <w:vAlign w:val="center"/>
          </w:tcPr>
          <w:p w14:paraId="0A8ED3DB" w14:textId="77777777" w:rsidR="00454A29" w:rsidRDefault="00454A29">
            <w:pPr>
              <w:pStyle w:val="ConsPlusNormal"/>
              <w:jc w:val="center"/>
            </w:pPr>
            <w:r>
              <w:t>0,00</w:t>
            </w:r>
          </w:p>
        </w:tc>
        <w:tc>
          <w:tcPr>
            <w:tcW w:w="1701" w:type="dxa"/>
            <w:vAlign w:val="center"/>
          </w:tcPr>
          <w:p w14:paraId="246222D2" w14:textId="77777777" w:rsidR="00454A29" w:rsidRDefault="00454A29">
            <w:pPr>
              <w:pStyle w:val="ConsPlusNormal"/>
              <w:jc w:val="center"/>
            </w:pPr>
            <w:r>
              <w:t>0,00</w:t>
            </w:r>
          </w:p>
        </w:tc>
        <w:tc>
          <w:tcPr>
            <w:tcW w:w="1701" w:type="dxa"/>
            <w:vAlign w:val="center"/>
          </w:tcPr>
          <w:p w14:paraId="63DE96D9" w14:textId="77777777" w:rsidR="00454A29" w:rsidRDefault="00454A29">
            <w:pPr>
              <w:pStyle w:val="ConsPlusNormal"/>
              <w:jc w:val="center"/>
            </w:pPr>
            <w:r>
              <w:t>0,00</w:t>
            </w:r>
          </w:p>
        </w:tc>
        <w:tc>
          <w:tcPr>
            <w:tcW w:w="1701" w:type="dxa"/>
            <w:vAlign w:val="center"/>
          </w:tcPr>
          <w:p w14:paraId="6D4DE463" w14:textId="77777777" w:rsidR="00454A29" w:rsidRDefault="00454A29">
            <w:pPr>
              <w:pStyle w:val="ConsPlusNormal"/>
              <w:jc w:val="center"/>
            </w:pPr>
            <w:r>
              <w:t>0,00</w:t>
            </w:r>
          </w:p>
        </w:tc>
      </w:tr>
      <w:tr w:rsidR="00454A29" w14:paraId="07C66375" w14:textId="77777777">
        <w:tc>
          <w:tcPr>
            <w:tcW w:w="964" w:type="dxa"/>
            <w:vMerge/>
          </w:tcPr>
          <w:p w14:paraId="028A66BD" w14:textId="77777777" w:rsidR="00454A29" w:rsidRDefault="00454A29"/>
        </w:tc>
        <w:tc>
          <w:tcPr>
            <w:tcW w:w="2154" w:type="dxa"/>
            <w:vMerge/>
          </w:tcPr>
          <w:p w14:paraId="12940FB8" w14:textId="77777777" w:rsidR="00454A29" w:rsidRDefault="00454A29"/>
        </w:tc>
        <w:tc>
          <w:tcPr>
            <w:tcW w:w="2154" w:type="dxa"/>
            <w:vMerge/>
          </w:tcPr>
          <w:p w14:paraId="552BBC05" w14:textId="77777777" w:rsidR="00454A29" w:rsidRDefault="00454A29"/>
        </w:tc>
        <w:tc>
          <w:tcPr>
            <w:tcW w:w="10943" w:type="dxa"/>
            <w:gridSpan w:val="5"/>
            <w:vMerge/>
          </w:tcPr>
          <w:p w14:paraId="09D8E2D0" w14:textId="77777777" w:rsidR="00454A29" w:rsidRDefault="00454A29"/>
        </w:tc>
        <w:tc>
          <w:tcPr>
            <w:tcW w:w="2098" w:type="dxa"/>
            <w:vAlign w:val="center"/>
          </w:tcPr>
          <w:p w14:paraId="6081F49E" w14:textId="77777777" w:rsidR="00454A29" w:rsidRDefault="00454A29">
            <w:pPr>
              <w:pStyle w:val="ConsPlusNormal"/>
              <w:jc w:val="center"/>
            </w:pPr>
            <w:r>
              <w:t>Федеральный бюджет</w:t>
            </w:r>
          </w:p>
        </w:tc>
        <w:tc>
          <w:tcPr>
            <w:tcW w:w="1814" w:type="dxa"/>
            <w:vAlign w:val="center"/>
          </w:tcPr>
          <w:p w14:paraId="74922DEF" w14:textId="77777777" w:rsidR="00454A29" w:rsidRDefault="00454A29">
            <w:pPr>
              <w:pStyle w:val="ConsPlusNormal"/>
              <w:jc w:val="center"/>
            </w:pPr>
            <w:r>
              <w:t>245 545,10</w:t>
            </w:r>
          </w:p>
        </w:tc>
        <w:tc>
          <w:tcPr>
            <w:tcW w:w="1701" w:type="dxa"/>
            <w:vAlign w:val="center"/>
          </w:tcPr>
          <w:p w14:paraId="26F9102E" w14:textId="77777777" w:rsidR="00454A29" w:rsidRDefault="00454A29">
            <w:pPr>
              <w:pStyle w:val="ConsPlusNormal"/>
              <w:jc w:val="center"/>
            </w:pPr>
            <w:r>
              <w:t>379 117,80</w:t>
            </w:r>
          </w:p>
        </w:tc>
        <w:tc>
          <w:tcPr>
            <w:tcW w:w="1701" w:type="dxa"/>
            <w:vAlign w:val="center"/>
          </w:tcPr>
          <w:p w14:paraId="3BEE6CFC" w14:textId="77777777" w:rsidR="00454A29" w:rsidRDefault="00454A29">
            <w:pPr>
              <w:pStyle w:val="ConsPlusNormal"/>
              <w:jc w:val="center"/>
            </w:pPr>
            <w:r>
              <w:t>0,00</w:t>
            </w:r>
          </w:p>
        </w:tc>
        <w:tc>
          <w:tcPr>
            <w:tcW w:w="1701" w:type="dxa"/>
            <w:vAlign w:val="center"/>
          </w:tcPr>
          <w:p w14:paraId="44D7C2D5" w14:textId="77777777" w:rsidR="00454A29" w:rsidRDefault="00454A29">
            <w:pPr>
              <w:pStyle w:val="ConsPlusNormal"/>
              <w:jc w:val="center"/>
            </w:pPr>
            <w:r>
              <w:t>0,00</w:t>
            </w:r>
          </w:p>
        </w:tc>
        <w:tc>
          <w:tcPr>
            <w:tcW w:w="1701" w:type="dxa"/>
            <w:vAlign w:val="center"/>
          </w:tcPr>
          <w:p w14:paraId="245A4391" w14:textId="77777777" w:rsidR="00454A29" w:rsidRDefault="00454A29">
            <w:pPr>
              <w:pStyle w:val="ConsPlusNormal"/>
              <w:jc w:val="center"/>
            </w:pPr>
            <w:r>
              <w:t>0,00</w:t>
            </w:r>
          </w:p>
        </w:tc>
        <w:tc>
          <w:tcPr>
            <w:tcW w:w="1701" w:type="dxa"/>
            <w:vAlign w:val="center"/>
          </w:tcPr>
          <w:p w14:paraId="35DED184" w14:textId="77777777" w:rsidR="00454A29" w:rsidRDefault="00454A29">
            <w:pPr>
              <w:pStyle w:val="ConsPlusNormal"/>
              <w:jc w:val="center"/>
            </w:pPr>
            <w:r>
              <w:t>0,00</w:t>
            </w:r>
          </w:p>
        </w:tc>
        <w:tc>
          <w:tcPr>
            <w:tcW w:w="1701" w:type="dxa"/>
            <w:vAlign w:val="center"/>
          </w:tcPr>
          <w:p w14:paraId="40188580" w14:textId="77777777" w:rsidR="00454A29" w:rsidRDefault="00454A29">
            <w:pPr>
              <w:pStyle w:val="ConsPlusNormal"/>
              <w:jc w:val="center"/>
            </w:pPr>
            <w:r>
              <w:t>0,00</w:t>
            </w:r>
          </w:p>
        </w:tc>
      </w:tr>
      <w:tr w:rsidR="00454A29" w14:paraId="764428AD" w14:textId="77777777">
        <w:tc>
          <w:tcPr>
            <w:tcW w:w="964" w:type="dxa"/>
            <w:vMerge/>
          </w:tcPr>
          <w:p w14:paraId="60E23ED1" w14:textId="77777777" w:rsidR="00454A29" w:rsidRDefault="00454A29"/>
        </w:tc>
        <w:tc>
          <w:tcPr>
            <w:tcW w:w="2154" w:type="dxa"/>
            <w:vMerge/>
          </w:tcPr>
          <w:p w14:paraId="6290C46C" w14:textId="77777777" w:rsidR="00454A29" w:rsidRDefault="00454A29"/>
        </w:tc>
        <w:tc>
          <w:tcPr>
            <w:tcW w:w="2154" w:type="dxa"/>
            <w:vMerge/>
          </w:tcPr>
          <w:p w14:paraId="66CC3DAC" w14:textId="77777777" w:rsidR="00454A29" w:rsidRDefault="00454A29"/>
        </w:tc>
        <w:tc>
          <w:tcPr>
            <w:tcW w:w="10943" w:type="dxa"/>
            <w:gridSpan w:val="5"/>
            <w:vMerge/>
          </w:tcPr>
          <w:p w14:paraId="4466D28A" w14:textId="77777777" w:rsidR="00454A29" w:rsidRDefault="00454A29"/>
        </w:tc>
        <w:tc>
          <w:tcPr>
            <w:tcW w:w="2098" w:type="dxa"/>
            <w:vAlign w:val="center"/>
          </w:tcPr>
          <w:p w14:paraId="37A7D6EB" w14:textId="77777777" w:rsidR="00454A29" w:rsidRDefault="00454A29">
            <w:pPr>
              <w:pStyle w:val="ConsPlusNormal"/>
              <w:jc w:val="center"/>
            </w:pPr>
            <w:r>
              <w:t>Местные бюджеты</w:t>
            </w:r>
          </w:p>
        </w:tc>
        <w:tc>
          <w:tcPr>
            <w:tcW w:w="1814" w:type="dxa"/>
            <w:vAlign w:val="center"/>
          </w:tcPr>
          <w:p w14:paraId="3CECC698" w14:textId="77777777" w:rsidR="00454A29" w:rsidRDefault="00454A29">
            <w:pPr>
              <w:pStyle w:val="ConsPlusNormal"/>
              <w:jc w:val="center"/>
            </w:pPr>
            <w:r>
              <w:t>0,00</w:t>
            </w:r>
          </w:p>
        </w:tc>
        <w:tc>
          <w:tcPr>
            <w:tcW w:w="1701" w:type="dxa"/>
            <w:vAlign w:val="center"/>
          </w:tcPr>
          <w:p w14:paraId="628B8B29" w14:textId="77777777" w:rsidR="00454A29" w:rsidRDefault="00454A29">
            <w:pPr>
              <w:pStyle w:val="ConsPlusNormal"/>
              <w:jc w:val="center"/>
            </w:pPr>
            <w:r>
              <w:t>0,00</w:t>
            </w:r>
          </w:p>
        </w:tc>
        <w:tc>
          <w:tcPr>
            <w:tcW w:w="1701" w:type="dxa"/>
            <w:vAlign w:val="center"/>
          </w:tcPr>
          <w:p w14:paraId="1E668AD9" w14:textId="77777777" w:rsidR="00454A29" w:rsidRDefault="00454A29">
            <w:pPr>
              <w:pStyle w:val="ConsPlusNormal"/>
              <w:jc w:val="center"/>
            </w:pPr>
            <w:r>
              <w:t>0,00</w:t>
            </w:r>
          </w:p>
        </w:tc>
        <w:tc>
          <w:tcPr>
            <w:tcW w:w="1701" w:type="dxa"/>
            <w:vAlign w:val="center"/>
          </w:tcPr>
          <w:p w14:paraId="5EE97056" w14:textId="77777777" w:rsidR="00454A29" w:rsidRDefault="00454A29">
            <w:pPr>
              <w:pStyle w:val="ConsPlusNormal"/>
              <w:jc w:val="center"/>
            </w:pPr>
            <w:r>
              <w:t>0,00</w:t>
            </w:r>
          </w:p>
        </w:tc>
        <w:tc>
          <w:tcPr>
            <w:tcW w:w="1701" w:type="dxa"/>
            <w:vAlign w:val="center"/>
          </w:tcPr>
          <w:p w14:paraId="3C87745A" w14:textId="77777777" w:rsidR="00454A29" w:rsidRDefault="00454A29">
            <w:pPr>
              <w:pStyle w:val="ConsPlusNormal"/>
              <w:jc w:val="center"/>
            </w:pPr>
            <w:r>
              <w:t>0,00</w:t>
            </w:r>
          </w:p>
        </w:tc>
        <w:tc>
          <w:tcPr>
            <w:tcW w:w="1701" w:type="dxa"/>
            <w:vAlign w:val="center"/>
          </w:tcPr>
          <w:p w14:paraId="338763C2" w14:textId="77777777" w:rsidR="00454A29" w:rsidRDefault="00454A29">
            <w:pPr>
              <w:pStyle w:val="ConsPlusNormal"/>
              <w:jc w:val="center"/>
            </w:pPr>
            <w:r>
              <w:t>0,00</w:t>
            </w:r>
          </w:p>
        </w:tc>
        <w:tc>
          <w:tcPr>
            <w:tcW w:w="1701" w:type="dxa"/>
            <w:vAlign w:val="center"/>
          </w:tcPr>
          <w:p w14:paraId="6C0AD2C1" w14:textId="77777777" w:rsidR="00454A29" w:rsidRDefault="00454A29">
            <w:pPr>
              <w:pStyle w:val="ConsPlusNormal"/>
              <w:jc w:val="center"/>
            </w:pPr>
            <w:r>
              <w:t>0,00</w:t>
            </w:r>
          </w:p>
        </w:tc>
      </w:tr>
      <w:tr w:rsidR="00454A29" w14:paraId="39AC3C4C" w14:textId="77777777">
        <w:tc>
          <w:tcPr>
            <w:tcW w:w="964" w:type="dxa"/>
            <w:vMerge/>
          </w:tcPr>
          <w:p w14:paraId="2FD96AB6" w14:textId="77777777" w:rsidR="00454A29" w:rsidRDefault="00454A29"/>
        </w:tc>
        <w:tc>
          <w:tcPr>
            <w:tcW w:w="2154" w:type="dxa"/>
            <w:vMerge/>
          </w:tcPr>
          <w:p w14:paraId="42DF9751" w14:textId="77777777" w:rsidR="00454A29" w:rsidRDefault="00454A29"/>
        </w:tc>
        <w:tc>
          <w:tcPr>
            <w:tcW w:w="2154" w:type="dxa"/>
            <w:vMerge/>
          </w:tcPr>
          <w:p w14:paraId="16BCD80B" w14:textId="77777777" w:rsidR="00454A29" w:rsidRDefault="00454A29"/>
        </w:tc>
        <w:tc>
          <w:tcPr>
            <w:tcW w:w="10943" w:type="dxa"/>
            <w:gridSpan w:val="5"/>
            <w:vMerge/>
          </w:tcPr>
          <w:p w14:paraId="65B8DAC3" w14:textId="77777777" w:rsidR="00454A29" w:rsidRDefault="00454A29"/>
        </w:tc>
        <w:tc>
          <w:tcPr>
            <w:tcW w:w="2098" w:type="dxa"/>
            <w:vAlign w:val="center"/>
          </w:tcPr>
          <w:p w14:paraId="7FAD5097" w14:textId="77777777" w:rsidR="00454A29" w:rsidRDefault="00454A29">
            <w:pPr>
              <w:pStyle w:val="ConsPlusNormal"/>
              <w:jc w:val="center"/>
            </w:pPr>
            <w:r>
              <w:t>Внебюджетные средства</w:t>
            </w:r>
          </w:p>
        </w:tc>
        <w:tc>
          <w:tcPr>
            <w:tcW w:w="1814" w:type="dxa"/>
            <w:vAlign w:val="center"/>
          </w:tcPr>
          <w:p w14:paraId="36F9A452" w14:textId="77777777" w:rsidR="00454A29" w:rsidRDefault="00454A29">
            <w:pPr>
              <w:pStyle w:val="ConsPlusNormal"/>
              <w:jc w:val="center"/>
            </w:pPr>
            <w:r>
              <w:t>0,00</w:t>
            </w:r>
          </w:p>
        </w:tc>
        <w:tc>
          <w:tcPr>
            <w:tcW w:w="1701" w:type="dxa"/>
            <w:vAlign w:val="center"/>
          </w:tcPr>
          <w:p w14:paraId="2221B42F" w14:textId="77777777" w:rsidR="00454A29" w:rsidRDefault="00454A29">
            <w:pPr>
              <w:pStyle w:val="ConsPlusNormal"/>
              <w:jc w:val="center"/>
            </w:pPr>
            <w:r>
              <w:t>0,00</w:t>
            </w:r>
          </w:p>
        </w:tc>
        <w:tc>
          <w:tcPr>
            <w:tcW w:w="1701" w:type="dxa"/>
            <w:vAlign w:val="center"/>
          </w:tcPr>
          <w:p w14:paraId="020A331D" w14:textId="77777777" w:rsidR="00454A29" w:rsidRDefault="00454A29">
            <w:pPr>
              <w:pStyle w:val="ConsPlusNormal"/>
              <w:jc w:val="center"/>
            </w:pPr>
            <w:r>
              <w:t>0,00</w:t>
            </w:r>
          </w:p>
        </w:tc>
        <w:tc>
          <w:tcPr>
            <w:tcW w:w="1701" w:type="dxa"/>
            <w:vAlign w:val="center"/>
          </w:tcPr>
          <w:p w14:paraId="5C579050" w14:textId="77777777" w:rsidR="00454A29" w:rsidRDefault="00454A29">
            <w:pPr>
              <w:pStyle w:val="ConsPlusNormal"/>
              <w:jc w:val="center"/>
            </w:pPr>
            <w:r>
              <w:t>0,00</w:t>
            </w:r>
          </w:p>
        </w:tc>
        <w:tc>
          <w:tcPr>
            <w:tcW w:w="1701" w:type="dxa"/>
            <w:vAlign w:val="center"/>
          </w:tcPr>
          <w:p w14:paraId="2648306C" w14:textId="77777777" w:rsidR="00454A29" w:rsidRDefault="00454A29">
            <w:pPr>
              <w:pStyle w:val="ConsPlusNormal"/>
              <w:jc w:val="center"/>
            </w:pPr>
            <w:r>
              <w:t>0,00</w:t>
            </w:r>
          </w:p>
        </w:tc>
        <w:tc>
          <w:tcPr>
            <w:tcW w:w="1701" w:type="dxa"/>
            <w:vAlign w:val="center"/>
          </w:tcPr>
          <w:p w14:paraId="3A76642B" w14:textId="77777777" w:rsidR="00454A29" w:rsidRDefault="00454A29">
            <w:pPr>
              <w:pStyle w:val="ConsPlusNormal"/>
              <w:jc w:val="center"/>
            </w:pPr>
            <w:r>
              <w:t>0,00</w:t>
            </w:r>
          </w:p>
        </w:tc>
        <w:tc>
          <w:tcPr>
            <w:tcW w:w="1701" w:type="dxa"/>
            <w:vAlign w:val="center"/>
          </w:tcPr>
          <w:p w14:paraId="6AEDA3A7" w14:textId="77777777" w:rsidR="00454A29" w:rsidRDefault="00454A29">
            <w:pPr>
              <w:pStyle w:val="ConsPlusNormal"/>
              <w:jc w:val="center"/>
            </w:pPr>
            <w:r>
              <w:t>0,00</w:t>
            </w:r>
          </w:p>
        </w:tc>
      </w:tr>
      <w:tr w:rsidR="00454A29" w14:paraId="4A2E3D81" w14:textId="77777777">
        <w:tc>
          <w:tcPr>
            <w:tcW w:w="964" w:type="dxa"/>
            <w:vMerge/>
          </w:tcPr>
          <w:p w14:paraId="1F92088D" w14:textId="77777777" w:rsidR="00454A29" w:rsidRDefault="00454A29"/>
        </w:tc>
        <w:tc>
          <w:tcPr>
            <w:tcW w:w="2154" w:type="dxa"/>
            <w:vMerge/>
          </w:tcPr>
          <w:p w14:paraId="405ED400" w14:textId="77777777" w:rsidR="00454A29" w:rsidRDefault="00454A29"/>
        </w:tc>
        <w:tc>
          <w:tcPr>
            <w:tcW w:w="2154" w:type="dxa"/>
            <w:vMerge/>
          </w:tcPr>
          <w:p w14:paraId="10F7E87B" w14:textId="77777777" w:rsidR="00454A29" w:rsidRDefault="00454A29"/>
        </w:tc>
        <w:tc>
          <w:tcPr>
            <w:tcW w:w="2665" w:type="dxa"/>
            <w:vMerge w:val="restart"/>
            <w:vAlign w:val="center"/>
          </w:tcPr>
          <w:p w14:paraId="119E806B" w14:textId="77777777" w:rsidR="00454A29" w:rsidRDefault="00454A29">
            <w:pPr>
              <w:pStyle w:val="ConsPlusNormal"/>
              <w:jc w:val="center"/>
            </w:pPr>
            <w:r>
              <w:t>Результат 1. Созданы 440 новых мест в общеобразовательных организациях Республики Саха (Якутия), расположенных в сельской местности и поселках городского типа</w:t>
            </w:r>
          </w:p>
        </w:tc>
        <w:tc>
          <w:tcPr>
            <w:tcW w:w="2665" w:type="dxa"/>
            <w:vMerge w:val="restart"/>
            <w:vAlign w:val="center"/>
          </w:tcPr>
          <w:p w14:paraId="08B13229" w14:textId="77777777" w:rsidR="00454A29" w:rsidRDefault="00454A29">
            <w:pPr>
              <w:pStyle w:val="ConsPlusNormal"/>
              <w:jc w:val="center"/>
            </w:pPr>
            <w:r>
              <w:t>Мероприятие 9.2.2. Создание новых мест в общеобразовательных организациях, расположенных в сельской местности и поселках городского типа Республики Саха (Якутия)</w:t>
            </w:r>
          </w:p>
        </w:tc>
        <w:tc>
          <w:tcPr>
            <w:tcW w:w="5613" w:type="dxa"/>
            <w:gridSpan w:val="3"/>
            <w:vMerge w:val="restart"/>
            <w:vAlign w:val="center"/>
          </w:tcPr>
          <w:p w14:paraId="10DE0598" w14:textId="77777777" w:rsidR="00454A29" w:rsidRDefault="00454A29">
            <w:pPr>
              <w:pStyle w:val="ConsPlusNormal"/>
              <w:jc w:val="center"/>
            </w:pPr>
            <w:r>
              <w:t>Всего</w:t>
            </w:r>
          </w:p>
        </w:tc>
        <w:tc>
          <w:tcPr>
            <w:tcW w:w="2098" w:type="dxa"/>
            <w:vAlign w:val="center"/>
          </w:tcPr>
          <w:p w14:paraId="308962A0" w14:textId="77777777" w:rsidR="00454A29" w:rsidRDefault="00454A29">
            <w:pPr>
              <w:pStyle w:val="ConsPlusNormal"/>
              <w:jc w:val="center"/>
            </w:pPr>
            <w:r>
              <w:t>Итого</w:t>
            </w:r>
          </w:p>
        </w:tc>
        <w:tc>
          <w:tcPr>
            <w:tcW w:w="1814" w:type="dxa"/>
            <w:vAlign w:val="center"/>
          </w:tcPr>
          <w:p w14:paraId="219955C4" w14:textId="77777777" w:rsidR="00454A29" w:rsidRDefault="00454A29">
            <w:pPr>
              <w:pStyle w:val="ConsPlusNormal"/>
              <w:jc w:val="center"/>
            </w:pPr>
            <w:r>
              <w:t>254 314,19</w:t>
            </w:r>
          </w:p>
        </w:tc>
        <w:tc>
          <w:tcPr>
            <w:tcW w:w="1701" w:type="dxa"/>
            <w:vAlign w:val="center"/>
          </w:tcPr>
          <w:p w14:paraId="127BF82D" w14:textId="77777777" w:rsidR="00454A29" w:rsidRDefault="00454A29">
            <w:pPr>
              <w:pStyle w:val="ConsPlusNormal"/>
              <w:jc w:val="center"/>
            </w:pPr>
            <w:r>
              <w:t>433 695,15</w:t>
            </w:r>
          </w:p>
        </w:tc>
        <w:tc>
          <w:tcPr>
            <w:tcW w:w="1701" w:type="dxa"/>
            <w:vAlign w:val="center"/>
          </w:tcPr>
          <w:p w14:paraId="38ECA420" w14:textId="77777777" w:rsidR="00454A29" w:rsidRDefault="00454A29">
            <w:pPr>
              <w:pStyle w:val="ConsPlusNormal"/>
              <w:jc w:val="center"/>
            </w:pPr>
            <w:r>
              <w:t>0,00</w:t>
            </w:r>
          </w:p>
        </w:tc>
        <w:tc>
          <w:tcPr>
            <w:tcW w:w="1701" w:type="dxa"/>
            <w:vAlign w:val="center"/>
          </w:tcPr>
          <w:p w14:paraId="696127EE" w14:textId="77777777" w:rsidR="00454A29" w:rsidRDefault="00454A29">
            <w:pPr>
              <w:pStyle w:val="ConsPlusNormal"/>
              <w:jc w:val="center"/>
            </w:pPr>
            <w:r>
              <w:t>0,00</w:t>
            </w:r>
          </w:p>
        </w:tc>
        <w:tc>
          <w:tcPr>
            <w:tcW w:w="1701" w:type="dxa"/>
            <w:vAlign w:val="center"/>
          </w:tcPr>
          <w:p w14:paraId="4F45BA2A" w14:textId="77777777" w:rsidR="00454A29" w:rsidRDefault="00454A29">
            <w:pPr>
              <w:pStyle w:val="ConsPlusNormal"/>
              <w:jc w:val="center"/>
            </w:pPr>
            <w:r>
              <w:t>0,00</w:t>
            </w:r>
          </w:p>
        </w:tc>
        <w:tc>
          <w:tcPr>
            <w:tcW w:w="1701" w:type="dxa"/>
            <w:vAlign w:val="center"/>
          </w:tcPr>
          <w:p w14:paraId="4103BBE4" w14:textId="77777777" w:rsidR="00454A29" w:rsidRDefault="00454A29">
            <w:pPr>
              <w:pStyle w:val="ConsPlusNormal"/>
              <w:jc w:val="center"/>
            </w:pPr>
            <w:r>
              <w:t>0,00</w:t>
            </w:r>
          </w:p>
        </w:tc>
        <w:tc>
          <w:tcPr>
            <w:tcW w:w="1701" w:type="dxa"/>
            <w:vAlign w:val="center"/>
          </w:tcPr>
          <w:p w14:paraId="474C037A" w14:textId="77777777" w:rsidR="00454A29" w:rsidRDefault="00454A29">
            <w:pPr>
              <w:pStyle w:val="ConsPlusNormal"/>
              <w:jc w:val="center"/>
            </w:pPr>
            <w:r>
              <w:t>0,00</w:t>
            </w:r>
          </w:p>
        </w:tc>
      </w:tr>
      <w:tr w:rsidR="00454A29" w14:paraId="05037254" w14:textId="77777777">
        <w:tc>
          <w:tcPr>
            <w:tcW w:w="964" w:type="dxa"/>
            <w:vMerge/>
          </w:tcPr>
          <w:p w14:paraId="6AFA6410" w14:textId="77777777" w:rsidR="00454A29" w:rsidRDefault="00454A29"/>
        </w:tc>
        <w:tc>
          <w:tcPr>
            <w:tcW w:w="2154" w:type="dxa"/>
            <w:vMerge/>
          </w:tcPr>
          <w:p w14:paraId="22DDB0BA" w14:textId="77777777" w:rsidR="00454A29" w:rsidRDefault="00454A29"/>
        </w:tc>
        <w:tc>
          <w:tcPr>
            <w:tcW w:w="2154" w:type="dxa"/>
            <w:vMerge/>
          </w:tcPr>
          <w:p w14:paraId="2DD18D3D" w14:textId="77777777" w:rsidR="00454A29" w:rsidRDefault="00454A29"/>
        </w:tc>
        <w:tc>
          <w:tcPr>
            <w:tcW w:w="2665" w:type="dxa"/>
            <w:vMerge/>
          </w:tcPr>
          <w:p w14:paraId="5B242371" w14:textId="77777777" w:rsidR="00454A29" w:rsidRDefault="00454A29"/>
        </w:tc>
        <w:tc>
          <w:tcPr>
            <w:tcW w:w="2665" w:type="dxa"/>
            <w:vMerge/>
          </w:tcPr>
          <w:p w14:paraId="14708E6E" w14:textId="77777777" w:rsidR="00454A29" w:rsidRDefault="00454A29"/>
        </w:tc>
        <w:tc>
          <w:tcPr>
            <w:tcW w:w="5613" w:type="dxa"/>
            <w:gridSpan w:val="3"/>
            <w:vMerge/>
          </w:tcPr>
          <w:p w14:paraId="3D14C669" w14:textId="77777777" w:rsidR="00454A29" w:rsidRDefault="00454A29"/>
        </w:tc>
        <w:tc>
          <w:tcPr>
            <w:tcW w:w="2098" w:type="dxa"/>
            <w:vAlign w:val="center"/>
          </w:tcPr>
          <w:p w14:paraId="610C89AD"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90AA264" w14:textId="77777777" w:rsidR="00454A29" w:rsidRDefault="00454A29">
            <w:pPr>
              <w:pStyle w:val="ConsPlusNormal"/>
              <w:jc w:val="center"/>
            </w:pPr>
            <w:r>
              <w:t>254 314,19</w:t>
            </w:r>
          </w:p>
        </w:tc>
        <w:tc>
          <w:tcPr>
            <w:tcW w:w="1701" w:type="dxa"/>
            <w:vAlign w:val="center"/>
          </w:tcPr>
          <w:p w14:paraId="6804A96C" w14:textId="77777777" w:rsidR="00454A29" w:rsidRDefault="00454A29">
            <w:pPr>
              <w:pStyle w:val="ConsPlusNormal"/>
              <w:jc w:val="center"/>
            </w:pPr>
            <w:r>
              <w:t>54 577,35</w:t>
            </w:r>
          </w:p>
        </w:tc>
        <w:tc>
          <w:tcPr>
            <w:tcW w:w="1701" w:type="dxa"/>
            <w:vAlign w:val="center"/>
          </w:tcPr>
          <w:p w14:paraId="15E47EEF" w14:textId="77777777" w:rsidR="00454A29" w:rsidRDefault="00454A29">
            <w:pPr>
              <w:pStyle w:val="ConsPlusNormal"/>
              <w:jc w:val="center"/>
            </w:pPr>
            <w:r>
              <w:t>0,00</w:t>
            </w:r>
          </w:p>
        </w:tc>
        <w:tc>
          <w:tcPr>
            <w:tcW w:w="1701" w:type="dxa"/>
            <w:vAlign w:val="center"/>
          </w:tcPr>
          <w:p w14:paraId="79E66379" w14:textId="77777777" w:rsidR="00454A29" w:rsidRDefault="00454A29">
            <w:pPr>
              <w:pStyle w:val="ConsPlusNormal"/>
              <w:jc w:val="center"/>
            </w:pPr>
            <w:r>
              <w:t>0,00</w:t>
            </w:r>
          </w:p>
        </w:tc>
        <w:tc>
          <w:tcPr>
            <w:tcW w:w="1701" w:type="dxa"/>
            <w:vAlign w:val="center"/>
          </w:tcPr>
          <w:p w14:paraId="16831232" w14:textId="77777777" w:rsidR="00454A29" w:rsidRDefault="00454A29">
            <w:pPr>
              <w:pStyle w:val="ConsPlusNormal"/>
              <w:jc w:val="center"/>
            </w:pPr>
            <w:r>
              <w:t>0,00</w:t>
            </w:r>
          </w:p>
        </w:tc>
        <w:tc>
          <w:tcPr>
            <w:tcW w:w="1701" w:type="dxa"/>
            <w:vAlign w:val="center"/>
          </w:tcPr>
          <w:p w14:paraId="3D5DB7BE" w14:textId="77777777" w:rsidR="00454A29" w:rsidRDefault="00454A29">
            <w:pPr>
              <w:pStyle w:val="ConsPlusNormal"/>
              <w:jc w:val="center"/>
            </w:pPr>
            <w:r>
              <w:t>0,00</w:t>
            </w:r>
          </w:p>
        </w:tc>
        <w:tc>
          <w:tcPr>
            <w:tcW w:w="1701" w:type="dxa"/>
            <w:vAlign w:val="center"/>
          </w:tcPr>
          <w:p w14:paraId="4F5EDAF9" w14:textId="77777777" w:rsidR="00454A29" w:rsidRDefault="00454A29">
            <w:pPr>
              <w:pStyle w:val="ConsPlusNormal"/>
              <w:jc w:val="center"/>
            </w:pPr>
            <w:r>
              <w:t>0,00</w:t>
            </w:r>
          </w:p>
        </w:tc>
      </w:tr>
      <w:tr w:rsidR="00454A29" w14:paraId="6CDA8C71" w14:textId="77777777">
        <w:tc>
          <w:tcPr>
            <w:tcW w:w="964" w:type="dxa"/>
            <w:vMerge/>
          </w:tcPr>
          <w:p w14:paraId="7045BB42" w14:textId="77777777" w:rsidR="00454A29" w:rsidRDefault="00454A29"/>
        </w:tc>
        <w:tc>
          <w:tcPr>
            <w:tcW w:w="2154" w:type="dxa"/>
            <w:vMerge/>
          </w:tcPr>
          <w:p w14:paraId="3E2DBC67" w14:textId="77777777" w:rsidR="00454A29" w:rsidRDefault="00454A29"/>
        </w:tc>
        <w:tc>
          <w:tcPr>
            <w:tcW w:w="2154" w:type="dxa"/>
            <w:vMerge/>
          </w:tcPr>
          <w:p w14:paraId="7BA184C5" w14:textId="77777777" w:rsidR="00454A29" w:rsidRDefault="00454A29"/>
        </w:tc>
        <w:tc>
          <w:tcPr>
            <w:tcW w:w="2665" w:type="dxa"/>
            <w:vMerge/>
          </w:tcPr>
          <w:p w14:paraId="7E6F7319" w14:textId="77777777" w:rsidR="00454A29" w:rsidRDefault="00454A29"/>
        </w:tc>
        <w:tc>
          <w:tcPr>
            <w:tcW w:w="2665" w:type="dxa"/>
            <w:vMerge/>
          </w:tcPr>
          <w:p w14:paraId="149F77E7" w14:textId="77777777" w:rsidR="00454A29" w:rsidRDefault="00454A29"/>
        </w:tc>
        <w:tc>
          <w:tcPr>
            <w:tcW w:w="5613" w:type="dxa"/>
            <w:gridSpan w:val="3"/>
            <w:vMerge/>
          </w:tcPr>
          <w:p w14:paraId="44C78919" w14:textId="77777777" w:rsidR="00454A29" w:rsidRDefault="00454A29"/>
        </w:tc>
        <w:tc>
          <w:tcPr>
            <w:tcW w:w="2098" w:type="dxa"/>
            <w:vAlign w:val="center"/>
          </w:tcPr>
          <w:p w14:paraId="35E3560E" w14:textId="77777777" w:rsidR="00454A29" w:rsidRDefault="00454A29">
            <w:pPr>
              <w:pStyle w:val="ConsPlusNormal"/>
              <w:jc w:val="center"/>
            </w:pPr>
            <w:r>
              <w:t>Федеральный бюджет</w:t>
            </w:r>
          </w:p>
        </w:tc>
        <w:tc>
          <w:tcPr>
            <w:tcW w:w="1814" w:type="dxa"/>
            <w:vAlign w:val="center"/>
          </w:tcPr>
          <w:p w14:paraId="6D6925FC" w14:textId="77777777" w:rsidR="00454A29" w:rsidRDefault="00454A29">
            <w:pPr>
              <w:pStyle w:val="ConsPlusNormal"/>
              <w:jc w:val="center"/>
            </w:pPr>
            <w:r>
              <w:t>0,00</w:t>
            </w:r>
          </w:p>
        </w:tc>
        <w:tc>
          <w:tcPr>
            <w:tcW w:w="1701" w:type="dxa"/>
            <w:vAlign w:val="center"/>
          </w:tcPr>
          <w:p w14:paraId="75E318A6" w14:textId="77777777" w:rsidR="00454A29" w:rsidRDefault="00454A29">
            <w:pPr>
              <w:pStyle w:val="ConsPlusNormal"/>
              <w:jc w:val="center"/>
            </w:pPr>
            <w:r>
              <w:t>379 117,80</w:t>
            </w:r>
          </w:p>
        </w:tc>
        <w:tc>
          <w:tcPr>
            <w:tcW w:w="1701" w:type="dxa"/>
            <w:vAlign w:val="center"/>
          </w:tcPr>
          <w:p w14:paraId="24358BEC" w14:textId="77777777" w:rsidR="00454A29" w:rsidRDefault="00454A29">
            <w:pPr>
              <w:pStyle w:val="ConsPlusNormal"/>
              <w:jc w:val="center"/>
            </w:pPr>
            <w:r>
              <w:t>0,00</w:t>
            </w:r>
          </w:p>
        </w:tc>
        <w:tc>
          <w:tcPr>
            <w:tcW w:w="1701" w:type="dxa"/>
            <w:vAlign w:val="center"/>
          </w:tcPr>
          <w:p w14:paraId="35459AB3" w14:textId="77777777" w:rsidR="00454A29" w:rsidRDefault="00454A29">
            <w:pPr>
              <w:pStyle w:val="ConsPlusNormal"/>
              <w:jc w:val="center"/>
            </w:pPr>
            <w:r>
              <w:t>0,00</w:t>
            </w:r>
          </w:p>
        </w:tc>
        <w:tc>
          <w:tcPr>
            <w:tcW w:w="1701" w:type="dxa"/>
            <w:vAlign w:val="center"/>
          </w:tcPr>
          <w:p w14:paraId="4A4CA72F" w14:textId="77777777" w:rsidR="00454A29" w:rsidRDefault="00454A29">
            <w:pPr>
              <w:pStyle w:val="ConsPlusNormal"/>
              <w:jc w:val="center"/>
            </w:pPr>
            <w:r>
              <w:t>0,00</w:t>
            </w:r>
          </w:p>
        </w:tc>
        <w:tc>
          <w:tcPr>
            <w:tcW w:w="1701" w:type="dxa"/>
            <w:vAlign w:val="center"/>
          </w:tcPr>
          <w:p w14:paraId="79B68DF6" w14:textId="77777777" w:rsidR="00454A29" w:rsidRDefault="00454A29">
            <w:pPr>
              <w:pStyle w:val="ConsPlusNormal"/>
              <w:jc w:val="center"/>
            </w:pPr>
            <w:r>
              <w:t>0,00</w:t>
            </w:r>
          </w:p>
        </w:tc>
        <w:tc>
          <w:tcPr>
            <w:tcW w:w="1701" w:type="dxa"/>
            <w:vAlign w:val="center"/>
          </w:tcPr>
          <w:p w14:paraId="6B71190A" w14:textId="77777777" w:rsidR="00454A29" w:rsidRDefault="00454A29">
            <w:pPr>
              <w:pStyle w:val="ConsPlusNormal"/>
              <w:jc w:val="center"/>
            </w:pPr>
            <w:r>
              <w:t>0,00</w:t>
            </w:r>
          </w:p>
        </w:tc>
      </w:tr>
      <w:tr w:rsidR="00454A29" w14:paraId="56074DE0" w14:textId="77777777">
        <w:tc>
          <w:tcPr>
            <w:tcW w:w="964" w:type="dxa"/>
            <w:vMerge/>
          </w:tcPr>
          <w:p w14:paraId="174AB5FA" w14:textId="77777777" w:rsidR="00454A29" w:rsidRDefault="00454A29"/>
        </w:tc>
        <w:tc>
          <w:tcPr>
            <w:tcW w:w="2154" w:type="dxa"/>
            <w:vMerge/>
          </w:tcPr>
          <w:p w14:paraId="2833F317" w14:textId="77777777" w:rsidR="00454A29" w:rsidRDefault="00454A29"/>
        </w:tc>
        <w:tc>
          <w:tcPr>
            <w:tcW w:w="2154" w:type="dxa"/>
            <w:vMerge/>
          </w:tcPr>
          <w:p w14:paraId="6C0186D4" w14:textId="77777777" w:rsidR="00454A29" w:rsidRDefault="00454A29"/>
        </w:tc>
        <w:tc>
          <w:tcPr>
            <w:tcW w:w="2665" w:type="dxa"/>
            <w:vMerge/>
          </w:tcPr>
          <w:p w14:paraId="119E6C2E" w14:textId="77777777" w:rsidR="00454A29" w:rsidRDefault="00454A29"/>
        </w:tc>
        <w:tc>
          <w:tcPr>
            <w:tcW w:w="2665" w:type="dxa"/>
            <w:vMerge/>
          </w:tcPr>
          <w:p w14:paraId="05A8C940" w14:textId="77777777" w:rsidR="00454A29" w:rsidRDefault="00454A29"/>
        </w:tc>
        <w:tc>
          <w:tcPr>
            <w:tcW w:w="5613" w:type="dxa"/>
            <w:gridSpan w:val="3"/>
            <w:vMerge/>
          </w:tcPr>
          <w:p w14:paraId="373D59FE" w14:textId="77777777" w:rsidR="00454A29" w:rsidRDefault="00454A29"/>
        </w:tc>
        <w:tc>
          <w:tcPr>
            <w:tcW w:w="2098" w:type="dxa"/>
            <w:vAlign w:val="center"/>
          </w:tcPr>
          <w:p w14:paraId="47B23286" w14:textId="77777777" w:rsidR="00454A29" w:rsidRDefault="00454A29">
            <w:pPr>
              <w:pStyle w:val="ConsPlusNormal"/>
              <w:jc w:val="center"/>
            </w:pPr>
            <w:r>
              <w:t>Местные бюджеты</w:t>
            </w:r>
          </w:p>
        </w:tc>
        <w:tc>
          <w:tcPr>
            <w:tcW w:w="1814" w:type="dxa"/>
            <w:vAlign w:val="center"/>
          </w:tcPr>
          <w:p w14:paraId="1A4922F0" w14:textId="77777777" w:rsidR="00454A29" w:rsidRDefault="00454A29">
            <w:pPr>
              <w:pStyle w:val="ConsPlusNormal"/>
              <w:jc w:val="center"/>
            </w:pPr>
            <w:r>
              <w:t>0,00</w:t>
            </w:r>
          </w:p>
        </w:tc>
        <w:tc>
          <w:tcPr>
            <w:tcW w:w="1701" w:type="dxa"/>
            <w:vAlign w:val="center"/>
          </w:tcPr>
          <w:p w14:paraId="02CE0604" w14:textId="77777777" w:rsidR="00454A29" w:rsidRDefault="00454A29">
            <w:pPr>
              <w:pStyle w:val="ConsPlusNormal"/>
              <w:jc w:val="center"/>
            </w:pPr>
            <w:r>
              <w:t>0,00</w:t>
            </w:r>
          </w:p>
        </w:tc>
        <w:tc>
          <w:tcPr>
            <w:tcW w:w="1701" w:type="dxa"/>
            <w:vAlign w:val="center"/>
          </w:tcPr>
          <w:p w14:paraId="34C97D1A" w14:textId="77777777" w:rsidR="00454A29" w:rsidRDefault="00454A29">
            <w:pPr>
              <w:pStyle w:val="ConsPlusNormal"/>
              <w:jc w:val="center"/>
            </w:pPr>
            <w:r>
              <w:t>0,00</w:t>
            </w:r>
          </w:p>
        </w:tc>
        <w:tc>
          <w:tcPr>
            <w:tcW w:w="1701" w:type="dxa"/>
            <w:vAlign w:val="center"/>
          </w:tcPr>
          <w:p w14:paraId="30D12A63" w14:textId="77777777" w:rsidR="00454A29" w:rsidRDefault="00454A29">
            <w:pPr>
              <w:pStyle w:val="ConsPlusNormal"/>
              <w:jc w:val="center"/>
            </w:pPr>
            <w:r>
              <w:t>0,00</w:t>
            </w:r>
          </w:p>
        </w:tc>
        <w:tc>
          <w:tcPr>
            <w:tcW w:w="1701" w:type="dxa"/>
            <w:vAlign w:val="center"/>
          </w:tcPr>
          <w:p w14:paraId="6353DD92" w14:textId="77777777" w:rsidR="00454A29" w:rsidRDefault="00454A29">
            <w:pPr>
              <w:pStyle w:val="ConsPlusNormal"/>
              <w:jc w:val="center"/>
            </w:pPr>
            <w:r>
              <w:t>0,00</w:t>
            </w:r>
          </w:p>
        </w:tc>
        <w:tc>
          <w:tcPr>
            <w:tcW w:w="1701" w:type="dxa"/>
            <w:vAlign w:val="center"/>
          </w:tcPr>
          <w:p w14:paraId="2368206E" w14:textId="77777777" w:rsidR="00454A29" w:rsidRDefault="00454A29">
            <w:pPr>
              <w:pStyle w:val="ConsPlusNormal"/>
              <w:jc w:val="center"/>
            </w:pPr>
            <w:r>
              <w:t>0,00</w:t>
            </w:r>
          </w:p>
        </w:tc>
        <w:tc>
          <w:tcPr>
            <w:tcW w:w="1701" w:type="dxa"/>
            <w:vAlign w:val="center"/>
          </w:tcPr>
          <w:p w14:paraId="6CB0CF22" w14:textId="77777777" w:rsidR="00454A29" w:rsidRDefault="00454A29">
            <w:pPr>
              <w:pStyle w:val="ConsPlusNormal"/>
              <w:jc w:val="center"/>
            </w:pPr>
            <w:r>
              <w:t>0,00</w:t>
            </w:r>
          </w:p>
        </w:tc>
      </w:tr>
      <w:tr w:rsidR="00454A29" w14:paraId="72CBC6AD" w14:textId="77777777">
        <w:tc>
          <w:tcPr>
            <w:tcW w:w="964" w:type="dxa"/>
            <w:vMerge/>
          </w:tcPr>
          <w:p w14:paraId="71437465" w14:textId="77777777" w:rsidR="00454A29" w:rsidRDefault="00454A29"/>
        </w:tc>
        <w:tc>
          <w:tcPr>
            <w:tcW w:w="2154" w:type="dxa"/>
            <w:vMerge/>
          </w:tcPr>
          <w:p w14:paraId="43D547B8" w14:textId="77777777" w:rsidR="00454A29" w:rsidRDefault="00454A29"/>
        </w:tc>
        <w:tc>
          <w:tcPr>
            <w:tcW w:w="2154" w:type="dxa"/>
            <w:vMerge/>
          </w:tcPr>
          <w:p w14:paraId="682D2F97" w14:textId="77777777" w:rsidR="00454A29" w:rsidRDefault="00454A29"/>
        </w:tc>
        <w:tc>
          <w:tcPr>
            <w:tcW w:w="2665" w:type="dxa"/>
            <w:vMerge/>
          </w:tcPr>
          <w:p w14:paraId="28879437" w14:textId="77777777" w:rsidR="00454A29" w:rsidRDefault="00454A29"/>
        </w:tc>
        <w:tc>
          <w:tcPr>
            <w:tcW w:w="2665" w:type="dxa"/>
            <w:vMerge/>
          </w:tcPr>
          <w:p w14:paraId="744DCC15" w14:textId="77777777" w:rsidR="00454A29" w:rsidRDefault="00454A29"/>
        </w:tc>
        <w:tc>
          <w:tcPr>
            <w:tcW w:w="5613" w:type="dxa"/>
            <w:gridSpan w:val="3"/>
            <w:vMerge/>
          </w:tcPr>
          <w:p w14:paraId="679B341E" w14:textId="77777777" w:rsidR="00454A29" w:rsidRDefault="00454A29"/>
        </w:tc>
        <w:tc>
          <w:tcPr>
            <w:tcW w:w="2098" w:type="dxa"/>
            <w:vAlign w:val="center"/>
          </w:tcPr>
          <w:p w14:paraId="482B51B8" w14:textId="77777777" w:rsidR="00454A29" w:rsidRDefault="00454A29">
            <w:pPr>
              <w:pStyle w:val="ConsPlusNormal"/>
              <w:jc w:val="center"/>
            </w:pPr>
            <w:r>
              <w:t>Внебюджетные средства</w:t>
            </w:r>
          </w:p>
        </w:tc>
        <w:tc>
          <w:tcPr>
            <w:tcW w:w="1814" w:type="dxa"/>
            <w:vAlign w:val="center"/>
          </w:tcPr>
          <w:p w14:paraId="40EACC1F" w14:textId="77777777" w:rsidR="00454A29" w:rsidRDefault="00454A29">
            <w:pPr>
              <w:pStyle w:val="ConsPlusNormal"/>
              <w:jc w:val="center"/>
            </w:pPr>
            <w:r>
              <w:t>0,00</w:t>
            </w:r>
          </w:p>
        </w:tc>
        <w:tc>
          <w:tcPr>
            <w:tcW w:w="1701" w:type="dxa"/>
            <w:vAlign w:val="center"/>
          </w:tcPr>
          <w:p w14:paraId="0AA597A8" w14:textId="77777777" w:rsidR="00454A29" w:rsidRDefault="00454A29">
            <w:pPr>
              <w:pStyle w:val="ConsPlusNormal"/>
              <w:jc w:val="center"/>
            </w:pPr>
            <w:r>
              <w:t>0,00</w:t>
            </w:r>
          </w:p>
        </w:tc>
        <w:tc>
          <w:tcPr>
            <w:tcW w:w="1701" w:type="dxa"/>
            <w:vAlign w:val="center"/>
          </w:tcPr>
          <w:p w14:paraId="0DB7CC12" w14:textId="77777777" w:rsidR="00454A29" w:rsidRDefault="00454A29">
            <w:pPr>
              <w:pStyle w:val="ConsPlusNormal"/>
              <w:jc w:val="center"/>
            </w:pPr>
            <w:r>
              <w:t>0,00</w:t>
            </w:r>
          </w:p>
        </w:tc>
        <w:tc>
          <w:tcPr>
            <w:tcW w:w="1701" w:type="dxa"/>
            <w:vAlign w:val="center"/>
          </w:tcPr>
          <w:p w14:paraId="5F1C7F51" w14:textId="77777777" w:rsidR="00454A29" w:rsidRDefault="00454A29">
            <w:pPr>
              <w:pStyle w:val="ConsPlusNormal"/>
              <w:jc w:val="center"/>
            </w:pPr>
            <w:r>
              <w:t>0,00</w:t>
            </w:r>
          </w:p>
        </w:tc>
        <w:tc>
          <w:tcPr>
            <w:tcW w:w="1701" w:type="dxa"/>
            <w:vAlign w:val="center"/>
          </w:tcPr>
          <w:p w14:paraId="634D29C7" w14:textId="77777777" w:rsidR="00454A29" w:rsidRDefault="00454A29">
            <w:pPr>
              <w:pStyle w:val="ConsPlusNormal"/>
              <w:jc w:val="center"/>
            </w:pPr>
            <w:r>
              <w:t>0,00</w:t>
            </w:r>
          </w:p>
        </w:tc>
        <w:tc>
          <w:tcPr>
            <w:tcW w:w="1701" w:type="dxa"/>
            <w:vAlign w:val="center"/>
          </w:tcPr>
          <w:p w14:paraId="2248B1F4" w14:textId="77777777" w:rsidR="00454A29" w:rsidRDefault="00454A29">
            <w:pPr>
              <w:pStyle w:val="ConsPlusNormal"/>
              <w:jc w:val="center"/>
            </w:pPr>
            <w:r>
              <w:t>0,00</w:t>
            </w:r>
          </w:p>
        </w:tc>
        <w:tc>
          <w:tcPr>
            <w:tcW w:w="1701" w:type="dxa"/>
            <w:vAlign w:val="center"/>
          </w:tcPr>
          <w:p w14:paraId="59DF9E61" w14:textId="77777777" w:rsidR="00454A29" w:rsidRDefault="00454A29">
            <w:pPr>
              <w:pStyle w:val="ConsPlusNormal"/>
              <w:jc w:val="center"/>
            </w:pPr>
            <w:r>
              <w:t>0,00</w:t>
            </w:r>
          </w:p>
        </w:tc>
      </w:tr>
      <w:tr w:rsidR="00454A29" w14:paraId="38C98F98" w14:textId="77777777">
        <w:tc>
          <w:tcPr>
            <w:tcW w:w="964" w:type="dxa"/>
            <w:vMerge w:val="restart"/>
            <w:vAlign w:val="center"/>
          </w:tcPr>
          <w:p w14:paraId="0E91DA14" w14:textId="77777777" w:rsidR="00454A29" w:rsidRDefault="00454A29">
            <w:pPr>
              <w:pStyle w:val="ConsPlusNormal"/>
              <w:jc w:val="center"/>
            </w:pPr>
            <w:r>
              <w:t>1.12.1.</w:t>
            </w:r>
          </w:p>
        </w:tc>
        <w:tc>
          <w:tcPr>
            <w:tcW w:w="2154" w:type="dxa"/>
            <w:vMerge/>
          </w:tcPr>
          <w:p w14:paraId="0C67F53B" w14:textId="77777777" w:rsidR="00454A29" w:rsidRDefault="00454A29"/>
        </w:tc>
        <w:tc>
          <w:tcPr>
            <w:tcW w:w="2154" w:type="dxa"/>
            <w:vMerge/>
          </w:tcPr>
          <w:p w14:paraId="0B37823F" w14:textId="77777777" w:rsidR="00454A29" w:rsidRDefault="00454A29"/>
        </w:tc>
        <w:tc>
          <w:tcPr>
            <w:tcW w:w="2665" w:type="dxa"/>
            <w:vMerge/>
          </w:tcPr>
          <w:p w14:paraId="6B8C6BFF" w14:textId="77777777" w:rsidR="00454A29" w:rsidRDefault="00454A29"/>
        </w:tc>
        <w:tc>
          <w:tcPr>
            <w:tcW w:w="2665" w:type="dxa"/>
            <w:vMerge/>
          </w:tcPr>
          <w:p w14:paraId="05180FEC" w14:textId="77777777" w:rsidR="00454A29" w:rsidRDefault="00454A29"/>
        </w:tc>
        <w:tc>
          <w:tcPr>
            <w:tcW w:w="1928" w:type="dxa"/>
            <w:vMerge w:val="restart"/>
            <w:vAlign w:val="center"/>
          </w:tcPr>
          <w:p w14:paraId="072794FF" w14:textId="77777777" w:rsidR="00454A29" w:rsidRDefault="00454A29">
            <w:pPr>
              <w:pStyle w:val="ConsPlusNormal"/>
              <w:jc w:val="center"/>
            </w:pPr>
            <w:r>
              <w:t>МР "Усть-Алданский улус"</w:t>
            </w:r>
          </w:p>
        </w:tc>
        <w:tc>
          <w:tcPr>
            <w:tcW w:w="1644" w:type="dxa"/>
            <w:vMerge w:val="restart"/>
            <w:vAlign w:val="center"/>
          </w:tcPr>
          <w:p w14:paraId="148BC053" w14:textId="77777777" w:rsidR="00454A29" w:rsidRDefault="00454A29">
            <w:pPr>
              <w:pStyle w:val="ConsPlusNormal"/>
              <w:jc w:val="center"/>
            </w:pPr>
            <w:r>
              <w:t>с. Огородтах</w:t>
            </w:r>
          </w:p>
        </w:tc>
        <w:tc>
          <w:tcPr>
            <w:tcW w:w="2041" w:type="dxa"/>
            <w:vMerge w:val="restart"/>
            <w:vAlign w:val="center"/>
          </w:tcPr>
          <w:p w14:paraId="505DE0C8" w14:textId="77777777" w:rsidR="00454A29" w:rsidRDefault="00454A29">
            <w:pPr>
              <w:pStyle w:val="ConsPlusNormal"/>
              <w:jc w:val="center"/>
            </w:pPr>
            <w:r>
              <w:t>Строительство школы на 220 учащихся в с. Огородтах Усть-Алданского улуса</w:t>
            </w:r>
          </w:p>
        </w:tc>
        <w:tc>
          <w:tcPr>
            <w:tcW w:w="2098" w:type="dxa"/>
            <w:vAlign w:val="center"/>
          </w:tcPr>
          <w:p w14:paraId="3C852E13" w14:textId="77777777" w:rsidR="00454A29" w:rsidRDefault="00454A29">
            <w:pPr>
              <w:pStyle w:val="ConsPlusNormal"/>
              <w:jc w:val="center"/>
            </w:pPr>
            <w:r>
              <w:t>Итого</w:t>
            </w:r>
          </w:p>
        </w:tc>
        <w:tc>
          <w:tcPr>
            <w:tcW w:w="1814" w:type="dxa"/>
            <w:vAlign w:val="center"/>
          </w:tcPr>
          <w:p w14:paraId="5C456B70" w14:textId="77777777" w:rsidR="00454A29" w:rsidRDefault="00454A29">
            <w:pPr>
              <w:pStyle w:val="ConsPlusNormal"/>
              <w:jc w:val="center"/>
            </w:pPr>
            <w:r>
              <w:t>164 338,58</w:t>
            </w:r>
          </w:p>
        </w:tc>
        <w:tc>
          <w:tcPr>
            <w:tcW w:w="1701" w:type="dxa"/>
            <w:vAlign w:val="center"/>
          </w:tcPr>
          <w:p w14:paraId="6E378E09" w14:textId="77777777" w:rsidR="00454A29" w:rsidRDefault="00454A29">
            <w:pPr>
              <w:pStyle w:val="ConsPlusNormal"/>
              <w:jc w:val="center"/>
            </w:pPr>
            <w:r>
              <w:t>223 752,07</w:t>
            </w:r>
          </w:p>
        </w:tc>
        <w:tc>
          <w:tcPr>
            <w:tcW w:w="1701" w:type="dxa"/>
            <w:vAlign w:val="center"/>
          </w:tcPr>
          <w:p w14:paraId="6450F41E" w14:textId="77777777" w:rsidR="00454A29" w:rsidRDefault="00454A29">
            <w:pPr>
              <w:pStyle w:val="ConsPlusNormal"/>
              <w:jc w:val="center"/>
            </w:pPr>
            <w:r>
              <w:t>0,00</w:t>
            </w:r>
          </w:p>
        </w:tc>
        <w:tc>
          <w:tcPr>
            <w:tcW w:w="1701" w:type="dxa"/>
            <w:vAlign w:val="center"/>
          </w:tcPr>
          <w:p w14:paraId="10B1FEB0" w14:textId="77777777" w:rsidR="00454A29" w:rsidRDefault="00454A29">
            <w:pPr>
              <w:pStyle w:val="ConsPlusNormal"/>
              <w:jc w:val="center"/>
            </w:pPr>
            <w:r>
              <w:t>0,00</w:t>
            </w:r>
          </w:p>
        </w:tc>
        <w:tc>
          <w:tcPr>
            <w:tcW w:w="1701" w:type="dxa"/>
            <w:vAlign w:val="center"/>
          </w:tcPr>
          <w:p w14:paraId="17846CF9" w14:textId="77777777" w:rsidR="00454A29" w:rsidRDefault="00454A29">
            <w:pPr>
              <w:pStyle w:val="ConsPlusNormal"/>
              <w:jc w:val="center"/>
            </w:pPr>
            <w:r>
              <w:t>0,00</w:t>
            </w:r>
          </w:p>
        </w:tc>
        <w:tc>
          <w:tcPr>
            <w:tcW w:w="1701" w:type="dxa"/>
            <w:vAlign w:val="center"/>
          </w:tcPr>
          <w:p w14:paraId="4E55476D" w14:textId="77777777" w:rsidR="00454A29" w:rsidRDefault="00454A29">
            <w:pPr>
              <w:pStyle w:val="ConsPlusNormal"/>
              <w:jc w:val="center"/>
            </w:pPr>
            <w:r>
              <w:t>0,00</w:t>
            </w:r>
          </w:p>
        </w:tc>
        <w:tc>
          <w:tcPr>
            <w:tcW w:w="1701" w:type="dxa"/>
            <w:vAlign w:val="center"/>
          </w:tcPr>
          <w:p w14:paraId="38A1F890" w14:textId="77777777" w:rsidR="00454A29" w:rsidRDefault="00454A29">
            <w:pPr>
              <w:pStyle w:val="ConsPlusNormal"/>
              <w:jc w:val="center"/>
            </w:pPr>
            <w:r>
              <w:t>0,00</w:t>
            </w:r>
          </w:p>
        </w:tc>
      </w:tr>
      <w:tr w:rsidR="00454A29" w14:paraId="1BE00DFE" w14:textId="77777777">
        <w:tc>
          <w:tcPr>
            <w:tcW w:w="964" w:type="dxa"/>
            <w:vMerge/>
          </w:tcPr>
          <w:p w14:paraId="2796878C" w14:textId="77777777" w:rsidR="00454A29" w:rsidRDefault="00454A29"/>
        </w:tc>
        <w:tc>
          <w:tcPr>
            <w:tcW w:w="2154" w:type="dxa"/>
            <w:vMerge/>
          </w:tcPr>
          <w:p w14:paraId="54DACAB8" w14:textId="77777777" w:rsidR="00454A29" w:rsidRDefault="00454A29"/>
        </w:tc>
        <w:tc>
          <w:tcPr>
            <w:tcW w:w="2154" w:type="dxa"/>
            <w:vMerge/>
          </w:tcPr>
          <w:p w14:paraId="689FCBE9" w14:textId="77777777" w:rsidR="00454A29" w:rsidRDefault="00454A29"/>
        </w:tc>
        <w:tc>
          <w:tcPr>
            <w:tcW w:w="2665" w:type="dxa"/>
            <w:vMerge/>
          </w:tcPr>
          <w:p w14:paraId="555E8608" w14:textId="77777777" w:rsidR="00454A29" w:rsidRDefault="00454A29"/>
        </w:tc>
        <w:tc>
          <w:tcPr>
            <w:tcW w:w="2665" w:type="dxa"/>
            <w:vMerge/>
          </w:tcPr>
          <w:p w14:paraId="2648B953" w14:textId="77777777" w:rsidR="00454A29" w:rsidRDefault="00454A29"/>
        </w:tc>
        <w:tc>
          <w:tcPr>
            <w:tcW w:w="1928" w:type="dxa"/>
            <w:vMerge/>
          </w:tcPr>
          <w:p w14:paraId="4EFA6584" w14:textId="77777777" w:rsidR="00454A29" w:rsidRDefault="00454A29"/>
        </w:tc>
        <w:tc>
          <w:tcPr>
            <w:tcW w:w="1644" w:type="dxa"/>
            <w:vMerge/>
          </w:tcPr>
          <w:p w14:paraId="771553EA" w14:textId="77777777" w:rsidR="00454A29" w:rsidRDefault="00454A29"/>
        </w:tc>
        <w:tc>
          <w:tcPr>
            <w:tcW w:w="2041" w:type="dxa"/>
            <w:vMerge/>
          </w:tcPr>
          <w:p w14:paraId="0841257B" w14:textId="77777777" w:rsidR="00454A29" w:rsidRDefault="00454A29"/>
        </w:tc>
        <w:tc>
          <w:tcPr>
            <w:tcW w:w="2098" w:type="dxa"/>
            <w:vAlign w:val="center"/>
          </w:tcPr>
          <w:p w14:paraId="4647A1B2"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4513047A" w14:textId="77777777" w:rsidR="00454A29" w:rsidRDefault="00454A29">
            <w:pPr>
              <w:pStyle w:val="ConsPlusNormal"/>
              <w:jc w:val="center"/>
            </w:pPr>
            <w:r>
              <w:t>164 338,58</w:t>
            </w:r>
          </w:p>
        </w:tc>
        <w:tc>
          <w:tcPr>
            <w:tcW w:w="1701" w:type="dxa"/>
            <w:vAlign w:val="center"/>
          </w:tcPr>
          <w:p w14:paraId="059F9BDC" w14:textId="77777777" w:rsidR="00454A29" w:rsidRDefault="00454A29">
            <w:pPr>
              <w:pStyle w:val="ConsPlusNormal"/>
              <w:jc w:val="center"/>
            </w:pPr>
            <w:r>
              <w:t>29 189,41</w:t>
            </w:r>
          </w:p>
        </w:tc>
        <w:tc>
          <w:tcPr>
            <w:tcW w:w="1701" w:type="dxa"/>
            <w:vAlign w:val="center"/>
          </w:tcPr>
          <w:p w14:paraId="572AEABD" w14:textId="77777777" w:rsidR="00454A29" w:rsidRDefault="00454A29">
            <w:pPr>
              <w:pStyle w:val="ConsPlusNormal"/>
              <w:jc w:val="center"/>
            </w:pPr>
            <w:r>
              <w:t>0,00</w:t>
            </w:r>
          </w:p>
        </w:tc>
        <w:tc>
          <w:tcPr>
            <w:tcW w:w="1701" w:type="dxa"/>
            <w:vAlign w:val="center"/>
          </w:tcPr>
          <w:p w14:paraId="247C27C2" w14:textId="77777777" w:rsidR="00454A29" w:rsidRDefault="00454A29">
            <w:pPr>
              <w:pStyle w:val="ConsPlusNormal"/>
              <w:jc w:val="center"/>
            </w:pPr>
            <w:r>
              <w:t>0,00</w:t>
            </w:r>
          </w:p>
        </w:tc>
        <w:tc>
          <w:tcPr>
            <w:tcW w:w="1701" w:type="dxa"/>
            <w:vAlign w:val="center"/>
          </w:tcPr>
          <w:p w14:paraId="4A0E01D0" w14:textId="77777777" w:rsidR="00454A29" w:rsidRDefault="00454A29">
            <w:pPr>
              <w:pStyle w:val="ConsPlusNormal"/>
              <w:jc w:val="center"/>
            </w:pPr>
            <w:r>
              <w:t>0,00</w:t>
            </w:r>
          </w:p>
        </w:tc>
        <w:tc>
          <w:tcPr>
            <w:tcW w:w="1701" w:type="dxa"/>
            <w:vAlign w:val="center"/>
          </w:tcPr>
          <w:p w14:paraId="16685538" w14:textId="77777777" w:rsidR="00454A29" w:rsidRDefault="00454A29">
            <w:pPr>
              <w:pStyle w:val="ConsPlusNormal"/>
              <w:jc w:val="center"/>
            </w:pPr>
            <w:r>
              <w:t>0,00</w:t>
            </w:r>
          </w:p>
        </w:tc>
        <w:tc>
          <w:tcPr>
            <w:tcW w:w="1701" w:type="dxa"/>
            <w:vAlign w:val="center"/>
          </w:tcPr>
          <w:p w14:paraId="3B99F1DA" w14:textId="77777777" w:rsidR="00454A29" w:rsidRDefault="00454A29">
            <w:pPr>
              <w:pStyle w:val="ConsPlusNormal"/>
              <w:jc w:val="center"/>
            </w:pPr>
            <w:r>
              <w:t>0,00</w:t>
            </w:r>
          </w:p>
        </w:tc>
      </w:tr>
      <w:tr w:rsidR="00454A29" w14:paraId="0D4E04C9" w14:textId="77777777">
        <w:tc>
          <w:tcPr>
            <w:tcW w:w="964" w:type="dxa"/>
            <w:vMerge/>
          </w:tcPr>
          <w:p w14:paraId="7D857BEC" w14:textId="77777777" w:rsidR="00454A29" w:rsidRDefault="00454A29"/>
        </w:tc>
        <w:tc>
          <w:tcPr>
            <w:tcW w:w="2154" w:type="dxa"/>
            <w:vMerge/>
          </w:tcPr>
          <w:p w14:paraId="04F004D9" w14:textId="77777777" w:rsidR="00454A29" w:rsidRDefault="00454A29"/>
        </w:tc>
        <w:tc>
          <w:tcPr>
            <w:tcW w:w="2154" w:type="dxa"/>
            <w:vMerge/>
          </w:tcPr>
          <w:p w14:paraId="06F6B2E8" w14:textId="77777777" w:rsidR="00454A29" w:rsidRDefault="00454A29"/>
        </w:tc>
        <w:tc>
          <w:tcPr>
            <w:tcW w:w="2665" w:type="dxa"/>
            <w:vMerge/>
          </w:tcPr>
          <w:p w14:paraId="413A18FE" w14:textId="77777777" w:rsidR="00454A29" w:rsidRDefault="00454A29"/>
        </w:tc>
        <w:tc>
          <w:tcPr>
            <w:tcW w:w="2665" w:type="dxa"/>
            <w:vMerge/>
          </w:tcPr>
          <w:p w14:paraId="6CDD9047" w14:textId="77777777" w:rsidR="00454A29" w:rsidRDefault="00454A29"/>
        </w:tc>
        <w:tc>
          <w:tcPr>
            <w:tcW w:w="1928" w:type="dxa"/>
            <w:vMerge/>
          </w:tcPr>
          <w:p w14:paraId="0AF4E2FD" w14:textId="77777777" w:rsidR="00454A29" w:rsidRDefault="00454A29"/>
        </w:tc>
        <w:tc>
          <w:tcPr>
            <w:tcW w:w="1644" w:type="dxa"/>
            <w:vMerge/>
          </w:tcPr>
          <w:p w14:paraId="6FB4CCAA" w14:textId="77777777" w:rsidR="00454A29" w:rsidRDefault="00454A29"/>
        </w:tc>
        <w:tc>
          <w:tcPr>
            <w:tcW w:w="2041" w:type="dxa"/>
            <w:vMerge/>
          </w:tcPr>
          <w:p w14:paraId="061C7DE9" w14:textId="77777777" w:rsidR="00454A29" w:rsidRDefault="00454A29"/>
        </w:tc>
        <w:tc>
          <w:tcPr>
            <w:tcW w:w="2098" w:type="dxa"/>
            <w:vAlign w:val="center"/>
          </w:tcPr>
          <w:p w14:paraId="0E1719B5" w14:textId="77777777" w:rsidR="00454A29" w:rsidRDefault="00454A29">
            <w:pPr>
              <w:pStyle w:val="ConsPlusNormal"/>
              <w:jc w:val="center"/>
            </w:pPr>
            <w:r>
              <w:t>Федеральный бюджет</w:t>
            </w:r>
          </w:p>
        </w:tc>
        <w:tc>
          <w:tcPr>
            <w:tcW w:w="1814" w:type="dxa"/>
            <w:vAlign w:val="center"/>
          </w:tcPr>
          <w:p w14:paraId="2741E1DD" w14:textId="77777777" w:rsidR="00454A29" w:rsidRDefault="00454A29">
            <w:pPr>
              <w:pStyle w:val="ConsPlusNormal"/>
              <w:jc w:val="center"/>
            </w:pPr>
            <w:r>
              <w:t>0,00</w:t>
            </w:r>
          </w:p>
        </w:tc>
        <w:tc>
          <w:tcPr>
            <w:tcW w:w="1701" w:type="dxa"/>
            <w:vAlign w:val="center"/>
          </w:tcPr>
          <w:p w14:paraId="25829C1A" w14:textId="77777777" w:rsidR="00454A29" w:rsidRDefault="00454A29">
            <w:pPr>
              <w:pStyle w:val="ConsPlusNormal"/>
              <w:jc w:val="center"/>
            </w:pPr>
            <w:r>
              <w:t>194 562,66</w:t>
            </w:r>
          </w:p>
        </w:tc>
        <w:tc>
          <w:tcPr>
            <w:tcW w:w="1701" w:type="dxa"/>
            <w:vAlign w:val="center"/>
          </w:tcPr>
          <w:p w14:paraId="1EAB497E" w14:textId="77777777" w:rsidR="00454A29" w:rsidRDefault="00454A29">
            <w:pPr>
              <w:pStyle w:val="ConsPlusNormal"/>
              <w:jc w:val="center"/>
            </w:pPr>
            <w:r>
              <w:t>0,00</w:t>
            </w:r>
          </w:p>
        </w:tc>
        <w:tc>
          <w:tcPr>
            <w:tcW w:w="1701" w:type="dxa"/>
            <w:vAlign w:val="center"/>
          </w:tcPr>
          <w:p w14:paraId="2C2F3B85" w14:textId="77777777" w:rsidR="00454A29" w:rsidRDefault="00454A29">
            <w:pPr>
              <w:pStyle w:val="ConsPlusNormal"/>
              <w:jc w:val="center"/>
            </w:pPr>
            <w:r>
              <w:t>0,00</w:t>
            </w:r>
          </w:p>
        </w:tc>
        <w:tc>
          <w:tcPr>
            <w:tcW w:w="1701" w:type="dxa"/>
            <w:vAlign w:val="center"/>
          </w:tcPr>
          <w:p w14:paraId="2B0B2181" w14:textId="77777777" w:rsidR="00454A29" w:rsidRDefault="00454A29">
            <w:pPr>
              <w:pStyle w:val="ConsPlusNormal"/>
              <w:jc w:val="center"/>
            </w:pPr>
            <w:r>
              <w:t>0,00</w:t>
            </w:r>
          </w:p>
        </w:tc>
        <w:tc>
          <w:tcPr>
            <w:tcW w:w="1701" w:type="dxa"/>
            <w:vAlign w:val="center"/>
          </w:tcPr>
          <w:p w14:paraId="65111094" w14:textId="77777777" w:rsidR="00454A29" w:rsidRDefault="00454A29">
            <w:pPr>
              <w:pStyle w:val="ConsPlusNormal"/>
              <w:jc w:val="center"/>
            </w:pPr>
            <w:r>
              <w:t>0,00</w:t>
            </w:r>
          </w:p>
        </w:tc>
        <w:tc>
          <w:tcPr>
            <w:tcW w:w="1701" w:type="dxa"/>
            <w:vAlign w:val="center"/>
          </w:tcPr>
          <w:p w14:paraId="5AB5D8E1" w14:textId="77777777" w:rsidR="00454A29" w:rsidRDefault="00454A29">
            <w:pPr>
              <w:pStyle w:val="ConsPlusNormal"/>
              <w:jc w:val="center"/>
            </w:pPr>
            <w:r>
              <w:t>0,00</w:t>
            </w:r>
          </w:p>
        </w:tc>
      </w:tr>
      <w:tr w:rsidR="00454A29" w14:paraId="1A6632D6" w14:textId="77777777">
        <w:tc>
          <w:tcPr>
            <w:tcW w:w="964" w:type="dxa"/>
            <w:vMerge/>
          </w:tcPr>
          <w:p w14:paraId="051A4CB8" w14:textId="77777777" w:rsidR="00454A29" w:rsidRDefault="00454A29"/>
        </w:tc>
        <w:tc>
          <w:tcPr>
            <w:tcW w:w="2154" w:type="dxa"/>
            <w:vMerge/>
          </w:tcPr>
          <w:p w14:paraId="5CFDDD13" w14:textId="77777777" w:rsidR="00454A29" w:rsidRDefault="00454A29"/>
        </w:tc>
        <w:tc>
          <w:tcPr>
            <w:tcW w:w="2154" w:type="dxa"/>
            <w:vMerge/>
          </w:tcPr>
          <w:p w14:paraId="1216FE84" w14:textId="77777777" w:rsidR="00454A29" w:rsidRDefault="00454A29"/>
        </w:tc>
        <w:tc>
          <w:tcPr>
            <w:tcW w:w="2665" w:type="dxa"/>
            <w:vMerge/>
          </w:tcPr>
          <w:p w14:paraId="172ED4EA" w14:textId="77777777" w:rsidR="00454A29" w:rsidRDefault="00454A29"/>
        </w:tc>
        <w:tc>
          <w:tcPr>
            <w:tcW w:w="2665" w:type="dxa"/>
            <w:vMerge/>
          </w:tcPr>
          <w:p w14:paraId="7AAAC901" w14:textId="77777777" w:rsidR="00454A29" w:rsidRDefault="00454A29"/>
        </w:tc>
        <w:tc>
          <w:tcPr>
            <w:tcW w:w="1928" w:type="dxa"/>
            <w:vMerge/>
          </w:tcPr>
          <w:p w14:paraId="04EE2DD1" w14:textId="77777777" w:rsidR="00454A29" w:rsidRDefault="00454A29"/>
        </w:tc>
        <w:tc>
          <w:tcPr>
            <w:tcW w:w="1644" w:type="dxa"/>
            <w:vMerge/>
          </w:tcPr>
          <w:p w14:paraId="4060678B" w14:textId="77777777" w:rsidR="00454A29" w:rsidRDefault="00454A29"/>
        </w:tc>
        <w:tc>
          <w:tcPr>
            <w:tcW w:w="2041" w:type="dxa"/>
            <w:vMerge/>
          </w:tcPr>
          <w:p w14:paraId="4D711750" w14:textId="77777777" w:rsidR="00454A29" w:rsidRDefault="00454A29"/>
        </w:tc>
        <w:tc>
          <w:tcPr>
            <w:tcW w:w="2098" w:type="dxa"/>
            <w:vAlign w:val="center"/>
          </w:tcPr>
          <w:p w14:paraId="06982D69" w14:textId="77777777" w:rsidR="00454A29" w:rsidRDefault="00454A29">
            <w:pPr>
              <w:pStyle w:val="ConsPlusNormal"/>
              <w:jc w:val="center"/>
            </w:pPr>
            <w:r>
              <w:t>Местные бюджеты</w:t>
            </w:r>
          </w:p>
        </w:tc>
        <w:tc>
          <w:tcPr>
            <w:tcW w:w="1814" w:type="dxa"/>
            <w:vAlign w:val="center"/>
          </w:tcPr>
          <w:p w14:paraId="1712C45A" w14:textId="77777777" w:rsidR="00454A29" w:rsidRDefault="00454A29">
            <w:pPr>
              <w:pStyle w:val="ConsPlusNormal"/>
              <w:jc w:val="center"/>
            </w:pPr>
            <w:r>
              <w:t>0,00</w:t>
            </w:r>
          </w:p>
        </w:tc>
        <w:tc>
          <w:tcPr>
            <w:tcW w:w="1701" w:type="dxa"/>
            <w:vAlign w:val="center"/>
          </w:tcPr>
          <w:p w14:paraId="460374CE" w14:textId="77777777" w:rsidR="00454A29" w:rsidRDefault="00454A29">
            <w:pPr>
              <w:pStyle w:val="ConsPlusNormal"/>
              <w:jc w:val="center"/>
            </w:pPr>
            <w:r>
              <w:t>0,00</w:t>
            </w:r>
          </w:p>
        </w:tc>
        <w:tc>
          <w:tcPr>
            <w:tcW w:w="1701" w:type="dxa"/>
            <w:vAlign w:val="center"/>
          </w:tcPr>
          <w:p w14:paraId="0DA4E0F3" w14:textId="77777777" w:rsidR="00454A29" w:rsidRDefault="00454A29">
            <w:pPr>
              <w:pStyle w:val="ConsPlusNormal"/>
              <w:jc w:val="center"/>
            </w:pPr>
            <w:r>
              <w:t>0,00</w:t>
            </w:r>
          </w:p>
        </w:tc>
        <w:tc>
          <w:tcPr>
            <w:tcW w:w="1701" w:type="dxa"/>
            <w:vAlign w:val="center"/>
          </w:tcPr>
          <w:p w14:paraId="09568327" w14:textId="77777777" w:rsidR="00454A29" w:rsidRDefault="00454A29">
            <w:pPr>
              <w:pStyle w:val="ConsPlusNormal"/>
              <w:jc w:val="center"/>
            </w:pPr>
            <w:r>
              <w:t>0,00</w:t>
            </w:r>
          </w:p>
        </w:tc>
        <w:tc>
          <w:tcPr>
            <w:tcW w:w="1701" w:type="dxa"/>
            <w:vAlign w:val="center"/>
          </w:tcPr>
          <w:p w14:paraId="56F21D79" w14:textId="77777777" w:rsidR="00454A29" w:rsidRDefault="00454A29">
            <w:pPr>
              <w:pStyle w:val="ConsPlusNormal"/>
              <w:jc w:val="center"/>
            </w:pPr>
            <w:r>
              <w:t>0,00</w:t>
            </w:r>
          </w:p>
        </w:tc>
        <w:tc>
          <w:tcPr>
            <w:tcW w:w="1701" w:type="dxa"/>
            <w:vAlign w:val="center"/>
          </w:tcPr>
          <w:p w14:paraId="21618E8A" w14:textId="77777777" w:rsidR="00454A29" w:rsidRDefault="00454A29">
            <w:pPr>
              <w:pStyle w:val="ConsPlusNormal"/>
              <w:jc w:val="center"/>
            </w:pPr>
            <w:r>
              <w:t>0,00</w:t>
            </w:r>
          </w:p>
        </w:tc>
        <w:tc>
          <w:tcPr>
            <w:tcW w:w="1701" w:type="dxa"/>
            <w:vAlign w:val="center"/>
          </w:tcPr>
          <w:p w14:paraId="36A606F8" w14:textId="77777777" w:rsidR="00454A29" w:rsidRDefault="00454A29">
            <w:pPr>
              <w:pStyle w:val="ConsPlusNormal"/>
              <w:jc w:val="center"/>
            </w:pPr>
            <w:r>
              <w:t>0,00</w:t>
            </w:r>
          </w:p>
        </w:tc>
      </w:tr>
      <w:tr w:rsidR="00454A29" w14:paraId="02ECC953" w14:textId="77777777">
        <w:tc>
          <w:tcPr>
            <w:tcW w:w="964" w:type="dxa"/>
            <w:vMerge/>
          </w:tcPr>
          <w:p w14:paraId="5DB8EDF1" w14:textId="77777777" w:rsidR="00454A29" w:rsidRDefault="00454A29"/>
        </w:tc>
        <w:tc>
          <w:tcPr>
            <w:tcW w:w="2154" w:type="dxa"/>
            <w:vMerge/>
          </w:tcPr>
          <w:p w14:paraId="1A8D2B37" w14:textId="77777777" w:rsidR="00454A29" w:rsidRDefault="00454A29"/>
        </w:tc>
        <w:tc>
          <w:tcPr>
            <w:tcW w:w="2154" w:type="dxa"/>
            <w:vMerge/>
          </w:tcPr>
          <w:p w14:paraId="34BFAFB4" w14:textId="77777777" w:rsidR="00454A29" w:rsidRDefault="00454A29"/>
        </w:tc>
        <w:tc>
          <w:tcPr>
            <w:tcW w:w="2665" w:type="dxa"/>
            <w:vMerge/>
          </w:tcPr>
          <w:p w14:paraId="38C4543F" w14:textId="77777777" w:rsidR="00454A29" w:rsidRDefault="00454A29"/>
        </w:tc>
        <w:tc>
          <w:tcPr>
            <w:tcW w:w="2665" w:type="dxa"/>
            <w:vMerge/>
          </w:tcPr>
          <w:p w14:paraId="5EE0D624" w14:textId="77777777" w:rsidR="00454A29" w:rsidRDefault="00454A29"/>
        </w:tc>
        <w:tc>
          <w:tcPr>
            <w:tcW w:w="1928" w:type="dxa"/>
            <w:vMerge/>
          </w:tcPr>
          <w:p w14:paraId="72841A70" w14:textId="77777777" w:rsidR="00454A29" w:rsidRDefault="00454A29"/>
        </w:tc>
        <w:tc>
          <w:tcPr>
            <w:tcW w:w="1644" w:type="dxa"/>
            <w:vMerge/>
          </w:tcPr>
          <w:p w14:paraId="50F72216" w14:textId="77777777" w:rsidR="00454A29" w:rsidRDefault="00454A29"/>
        </w:tc>
        <w:tc>
          <w:tcPr>
            <w:tcW w:w="2041" w:type="dxa"/>
            <w:vMerge/>
          </w:tcPr>
          <w:p w14:paraId="33E3994F" w14:textId="77777777" w:rsidR="00454A29" w:rsidRDefault="00454A29"/>
        </w:tc>
        <w:tc>
          <w:tcPr>
            <w:tcW w:w="2098" w:type="dxa"/>
            <w:vAlign w:val="center"/>
          </w:tcPr>
          <w:p w14:paraId="3D7D3415" w14:textId="77777777" w:rsidR="00454A29" w:rsidRDefault="00454A29">
            <w:pPr>
              <w:pStyle w:val="ConsPlusNormal"/>
              <w:jc w:val="center"/>
            </w:pPr>
            <w:r>
              <w:t>Внебюджетные средства</w:t>
            </w:r>
          </w:p>
        </w:tc>
        <w:tc>
          <w:tcPr>
            <w:tcW w:w="1814" w:type="dxa"/>
            <w:vAlign w:val="center"/>
          </w:tcPr>
          <w:p w14:paraId="0743CEF1" w14:textId="77777777" w:rsidR="00454A29" w:rsidRDefault="00454A29">
            <w:pPr>
              <w:pStyle w:val="ConsPlusNormal"/>
              <w:jc w:val="center"/>
            </w:pPr>
            <w:r>
              <w:t>0,00</w:t>
            </w:r>
          </w:p>
        </w:tc>
        <w:tc>
          <w:tcPr>
            <w:tcW w:w="1701" w:type="dxa"/>
            <w:vAlign w:val="center"/>
          </w:tcPr>
          <w:p w14:paraId="4F66A7B3" w14:textId="77777777" w:rsidR="00454A29" w:rsidRDefault="00454A29">
            <w:pPr>
              <w:pStyle w:val="ConsPlusNormal"/>
              <w:jc w:val="center"/>
            </w:pPr>
            <w:r>
              <w:t>0,00</w:t>
            </w:r>
          </w:p>
        </w:tc>
        <w:tc>
          <w:tcPr>
            <w:tcW w:w="1701" w:type="dxa"/>
            <w:vAlign w:val="center"/>
          </w:tcPr>
          <w:p w14:paraId="303C680D" w14:textId="77777777" w:rsidR="00454A29" w:rsidRDefault="00454A29">
            <w:pPr>
              <w:pStyle w:val="ConsPlusNormal"/>
              <w:jc w:val="center"/>
            </w:pPr>
            <w:r>
              <w:t>0,00</w:t>
            </w:r>
          </w:p>
        </w:tc>
        <w:tc>
          <w:tcPr>
            <w:tcW w:w="1701" w:type="dxa"/>
            <w:vAlign w:val="center"/>
          </w:tcPr>
          <w:p w14:paraId="18709563" w14:textId="77777777" w:rsidR="00454A29" w:rsidRDefault="00454A29">
            <w:pPr>
              <w:pStyle w:val="ConsPlusNormal"/>
              <w:jc w:val="center"/>
            </w:pPr>
            <w:r>
              <w:t>0,00</w:t>
            </w:r>
          </w:p>
        </w:tc>
        <w:tc>
          <w:tcPr>
            <w:tcW w:w="1701" w:type="dxa"/>
            <w:vAlign w:val="center"/>
          </w:tcPr>
          <w:p w14:paraId="321FC890" w14:textId="77777777" w:rsidR="00454A29" w:rsidRDefault="00454A29">
            <w:pPr>
              <w:pStyle w:val="ConsPlusNormal"/>
              <w:jc w:val="center"/>
            </w:pPr>
            <w:r>
              <w:t>0,00</w:t>
            </w:r>
          </w:p>
        </w:tc>
        <w:tc>
          <w:tcPr>
            <w:tcW w:w="1701" w:type="dxa"/>
            <w:vAlign w:val="center"/>
          </w:tcPr>
          <w:p w14:paraId="085E0EBD" w14:textId="77777777" w:rsidR="00454A29" w:rsidRDefault="00454A29">
            <w:pPr>
              <w:pStyle w:val="ConsPlusNormal"/>
              <w:jc w:val="center"/>
            </w:pPr>
            <w:r>
              <w:t>0,00</w:t>
            </w:r>
          </w:p>
        </w:tc>
        <w:tc>
          <w:tcPr>
            <w:tcW w:w="1701" w:type="dxa"/>
            <w:vAlign w:val="center"/>
          </w:tcPr>
          <w:p w14:paraId="1B6814A5" w14:textId="77777777" w:rsidR="00454A29" w:rsidRDefault="00454A29">
            <w:pPr>
              <w:pStyle w:val="ConsPlusNormal"/>
              <w:jc w:val="center"/>
            </w:pPr>
            <w:r>
              <w:t>0,00</w:t>
            </w:r>
          </w:p>
        </w:tc>
      </w:tr>
      <w:tr w:rsidR="00454A29" w14:paraId="2C317581" w14:textId="77777777">
        <w:tc>
          <w:tcPr>
            <w:tcW w:w="964" w:type="dxa"/>
            <w:vMerge w:val="restart"/>
            <w:vAlign w:val="center"/>
          </w:tcPr>
          <w:p w14:paraId="50F41E4A" w14:textId="77777777" w:rsidR="00454A29" w:rsidRDefault="00454A29">
            <w:pPr>
              <w:pStyle w:val="ConsPlusNormal"/>
              <w:jc w:val="center"/>
            </w:pPr>
            <w:r>
              <w:t>1.12.1.</w:t>
            </w:r>
          </w:p>
        </w:tc>
        <w:tc>
          <w:tcPr>
            <w:tcW w:w="2154" w:type="dxa"/>
            <w:vMerge/>
          </w:tcPr>
          <w:p w14:paraId="403ACC02" w14:textId="77777777" w:rsidR="00454A29" w:rsidRDefault="00454A29"/>
        </w:tc>
        <w:tc>
          <w:tcPr>
            <w:tcW w:w="2154" w:type="dxa"/>
            <w:vMerge/>
          </w:tcPr>
          <w:p w14:paraId="2AB15261" w14:textId="77777777" w:rsidR="00454A29" w:rsidRDefault="00454A29"/>
        </w:tc>
        <w:tc>
          <w:tcPr>
            <w:tcW w:w="2665" w:type="dxa"/>
            <w:vMerge/>
          </w:tcPr>
          <w:p w14:paraId="6FB20B0F" w14:textId="77777777" w:rsidR="00454A29" w:rsidRDefault="00454A29"/>
        </w:tc>
        <w:tc>
          <w:tcPr>
            <w:tcW w:w="2665" w:type="dxa"/>
            <w:vMerge/>
          </w:tcPr>
          <w:p w14:paraId="1C5F24A7" w14:textId="77777777" w:rsidR="00454A29" w:rsidRDefault="00454A29"/>
        </w:tc>
        <w:tc>
          <w:tcPr>
            <w:tcW w:w="1928" w:type="dxa"/>
            <w:vMerge w:val="restart"/>
            <w:vAlign w:val="center"/>
          </w:tcPr>
          <w:p w14:paraId="090DEB38" w14:textId="77777777" w:rsidR="00454A29" w:rsidRDefault="00454A29">
            <w:pPr>
              <w:pStyle w:val="ConsPlusNormal"/>
              <w:jc w:val="center"/>
            </w:pPr>
            <w:r>
              <w:t>МО "Намский улус"</w:t>
            </w:r>
          </w:p>
        </w:tc>
        <w:tc>
          <w:tcPr>
            <w:tcW w:w="1644" w:type="dxa"/>
            <w:vMerge w:val="restart"/>
            <w:vAlign w:val="center"/>
          </w:tcPr>
          <w:p w14:paraId="760580EF" w14:textId="77777777" w:rsidR="00454A29" w:rsidRDefault="00454A29">
            <w:pPr>
              <w:pStyle w:val="ConsPlusNormal"/>
              <w:jc w:val="center"/>
            </w:pPr>
            <w:r>
              <w:t>с. Крест-Кытыл</w:t>
            </w:r>
          </w:p>
        </w:tc>
        <w:tc>
          <w:tcPr>
            <w:tcW w:w="2041" w:type="dxa"/>
            <w:vMerge w:val="restart"/>
            <w:vAlign w:val="center"/>
          </w:tcPr>
          <w:p w14:paraId="4C303680" w14:textId="77777777" w:rsidR="00454A29" w:rsidRDefault="00454A29">
            <w:pPr>
              <w:pStyle w:val="ConsPlusNormal"/>
              <w:jc w:val="center"/>
            </w:pPr>
            <w:r>
              <w:t>Строительство школы на 220 учащихся в с. Крест-Кытыл Намского улуса</w:t>
            </w:r>
          </w:p>
        </w:tc>
        <w:tc>
          <w:tcPr>
            <w:tcW w:w="2098" w:type="dxa"/>
            <w:vAlign w:val="center"/>
          </w:tcPr>
          <w:p w14:paraId="70A7B912" w14:textId="77777777" w:rsidR="00454A29" w:rsidRDefault="00454A29">
            <w:pPr>
              <w:pStyle w:val="ConsPlusNormal"/>
              <w:jc w:val="center"/>
            </w:pPr>
            <w:r>
              <w:t>Итого</w:t>
            </w:r>
          </w:p>
        </w:tc>
        <w:tc>
          <w:tcPr>
            <w:tcW w:w="1814" w:type="dxa"/>
            <w:vAlign w:val="center"/>
          </w:tcPr>
          <w:p w14:paraId="6D73C8F2" w14:textId="77777777" w:rsidR="00454A29" w:rsidRDefault="00454A29">
            <w:pPr>
              <w:pStyle w:val="ConsPlusNormal"/>
              <w:jc w:val="center"/>
            </w:pPr>
            <w:r>
              <w:t>89 975,61</w:t>
            </w:r>
          </w:p>
        </w:tc>
        <w:tc>
          <w:tcPr>
            <w:tcW w:w="1701" w:type="dxa"/>
            <w:vAlign w:val="center"/>
          </w:tcPr>
          <w:p w14:paraId="0DF0CADA" w14:textId="77777777" w:rsidR="00454A29" w:rsidRDefault="00454A29">
            <w:pPr>
              <w:pStyle w:val="ConsPlusNormal"/>
              <w:jc w:val="center"/>
            </w:pPr>
            <w:r>
              <w:t>209 943,08</w:t>
            </w:r>
          </w:p>
        </w:tc>
        <w:tc>
          <w:tcPr>
            <w:tcW w:w="1701" w:type="dxa"/>
            <w:vAlign w:val="center"/>
          </w:tcPr>
          <w:p w14:paraId="69A2C610" w14:textId="77777777" w:rsidR="00454A29" w:rsidRDefault="00454A29">
            <w:pPr>
              <w:pStyle w:val="ConsPlusNormal"/>
              <w:jc w:val="center"/>
            </w:pPr>
            <w:r>
              <w:t>0,00</w:t>
            </w:r>
          </w:p>
        </w:tc>
        <w:tc>
          <w:tcPr>
            <w:tcW w:w="1701" w:type="dxa"/>
            <w:vAlign w:val="center"/>
          </w:tcPr>
          <w:p w14:paraId="24954ED9" w14:textId="77777777" w:rsidR="00454A29" w:rsidRDefault="00454A29">
            <w:pPr>
              <w:pStyle w:val="ConsPlusNormal"/>
              <w:jc w:val="center"/>
            </w:pPr>
            <w:r>
              <w:t>0,00</w:t>
            </w:r>
          </w:p>
        </w:tc>
        <w:tc>
          <w:tcPr>
            <w:tcW w:w="1701" w:type="dxa"/>
            <w:vAlign w:val="center"/>
          </w:tcPr>
          <w:p w14:paraId="0EFE980D" w14:textId="77777777" w:rsidR="00454A29" w:rsidRDefault="00454A29">
            <w:pPr>
              <w:pStyle w:val="ConsPlusNormal"/>
              <w:jc w:val="center"/>
            </w:pPr>
            <w:r>
              <w:t>0,00</w:t>
            </w:r>
          </w:p>
        </w:tc>
        <w:tc>
          <w:tcPr>
            <w:tcW w:w="1701" w:type="dxa"/>
            <w:vAlign w:val="center"/>
          </w:tcPr>
          <w:p w14:paraId="581BED8F" w14:textId="77777777" w:rsidR="00454A29" w:rsidRDefault="00454A29">
            <w:pPr>
              <w:pStyle w:val="ConsPlusNormal"/>
              <w:jc w:val="center"/>
            </w:pPr>
            <w:r>
              <w:t>0,00</w:t>
            </w:r>
          </w:p>
        </w:tc>
        <w:tc>
          <w:tcPr>
            <w:tcW w:w="1701" w:type="dxa"/>
            <w:vAlign w:val="center"/>
          </w:tcPr>
          <w:p w14:paraId="427561B0" w14:textId="77777777" w:rsidR="00454A29" w:rsidRDefault="00454A29">
            <w:pPr>
              <w:pStyle w:val="ConsPlusNormal"/>
              <w:jc w:val="center"/>
            </w:pPr>
            <w:r>
              <w:t>0,00</w:t>
            </w:r>
          </w:p>
        </w:tc>
      </w:tr>
      <w:tr w:rsidR="00454A29" w14:paraId="0AD518F6" w14:textId="77777777">
        <w:tc>
          <w:tcPr>
            <w:tcW w:w="964" w:type="dxa"/>
            <w:vMerge/>
          </w:tcPr>
          <w:p w14:paraId="0075A42B" w14:textId="77777777" w:rsidR="00454A29" w:rsidRDefault="00454A29"/>
        </w:tc>
        <w:tc>
          <w:tcPr>
            <w:tcW w:w="2154" w:type="dxa"/>
            <w:vMerge/>
          </w:tcPr>
          <w:p w14:paraId="3C27B1FB" w14:textId="77777777" w:rsidR="00454A29" w:rsidRDefault="00454A29"/>
        </w:tc>
        <w:tc>
          <w:tcPr>
            <w:tcW w:w="2154" w:type="dxa"/>
            <w:vMerge/>
          </w:tcPr>
          <w:p w14:paraId="59E3B20A" w14:textId="77777777" w:rsidR="00454A29" w:rsidRDefault="00454A29"/>
        </w:tc>
        <w:tc>
          <w:tcPr>
            <w:tcW w:w="2665" w:type="dxa"/>
            <w:vMerge/>
          </w:tcPr>
          <w:p w14:paraId="0F32165B" w14:textId="77777777" w:rsidR="00454A29" w:rsidRDefault="00454A29"/>
        </w:tc>
        <w:tc>
          <w:tcPr>
            <w:tcW w:w="2665" w:type="dxa"/>
            <w:vMerge/>
          </w:tcPr>
          <w:p w14:paraId="0F906A0B" w14:textId="77777777" w:rsidR="00454A29" w:rsidRDefault="00454A29"/>
        </w:tc>
        <w:tc>
          <w:tcPr>
            <w:tcW w:w="1928" w:type="dxa"/>
            <w:vMerge/>
          </w:tcPr>
          <w:p w14:paraId="3240D853" w14:textId="77777777" w:rsidR="00454A29" w:rsidRDefault="00454A29"/>
        </w:tc>
        <w:tc>
          <w:tcPr>
            <w:tcW w:w="1644" w:type="dxa"/>
            <w:vMerge/>
          </w:tcPr>
          <w:p w14:paraId="7CB7C80F" w14:textId="77777777" w:rsidR="00454A29" w:rsidRDefault="00454A29"/>
        </w:tc>
        <w:tc>
          <w:tcPr>
            <w:tcW w:w="2041" w:type="dxa"/>
            <w:vMerge/>
          </w:tcPr>
          <w:p w14:paraId="3182D479" w14:textId="77777777" w:rsidR="00454A29" w:rsidRDefault="00454A29"/>
        </w:tc>
        <w:tc>
          <w:tcPr>
            <w:tcW w:w="2098" w:type="dxa"/>
            <w:vAlign w:val="center"/>
          </w:tcPr>
          <w:p w14:paraId="031DE487"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CD4B5DB" w14:textId="77777777" w:rsidR="00454A29" w:rsidRDefault="00454A29">
            <w:pPr>
              <w:pStyle w:val="ConsPlusNormal"/>
              <w:jc w:val="center"/>
            </w:pPr>
            <w:r>
              <w:t>89 975,61</w:t>
            </w:r>
          </w:p>
        </w:tc>
        <w:tc>
          <w:tcPr>
            <w:tcW w:w="1701" w:type="dxa"/>
            <w:vAlign w:val="center"/>
          </w:tcPr>
          <w:p w14:paraId="77516FD8" w14:textId="77777777" w:rsidR="00454A29" w:rsidRDefault="00454A29">
            <w:pPr>
              <w:pStyle w:val="ConsPlusNormal"/>
              <w:jc w:val="center"/>
            </w:pPr>
            <w:r>
              <w:t>25 387,94</w:t>
            </w:r>
          </w:p>
        </w:tc>
        <w:tc>
          <w:tcPr>
            <w:tcW w:w="1701" w:type="dxa"/>
            <w:vAlign w:val="center"/>
          </w:tcPr>
          <w:p w14:paraId="0A3CA7C9" w14:textId="77777777" w:rsidR="00454A29" w:rsidRDefault="00454A29">
            <w:pPr>
              <w:pStyle w:val="ConsPlusNormal"/>
              <w:jc w:val="center"/>
            </w:pPr>
            <w:r>
              <w:t>0,00</w:t>
            </w:r>
          </w:p>
        </w:tc>
        <w:tc>
          <w:tcPr>
            <w:tcW w:w="1701" w:type="dxa"/>
            <w:vAlign w:val="center"/>
          </w:tcPr>
          <w:p w14:paraId="53FD764D" w14:textId="77777777" w:rsidR="00454A29" w:rsidRDefault="00454A29">
            <w:pPr>
              <w:pStyle w:val="ConsPlusNormal"/>
              <w:jc w:val="center"/>
            </w:pPr>
            <w:r>
              <w:t>0,00</w:t>
            </w:r>
          </w:p>
        </w:tc>
        <w:tc>
          <w:tcPr>
            <w:tcW w:w="1701" w:type="dxa"/>
            <w:vAlign w:val="center"/>
          </w:tcPr>
          <w:p w14:paraId="3DB04F39" w14:textId="77777777" w:rsidR="00454A29" w:rsidRDefault="00454A29">
            <w:pPr>
              <w:pStyle w:val="ConsPlusNormal"/>
              <w:jc w:val="center"/>
            </w:pPr>
            <w:r>
              <w:t>0,00</w:t>
            </w:r>
          </w:p>
        </w:tc>
        <w:tc>
          <w:tcPr>
            <w:tcW w:w="1701" w:type="dxa"/>
            <w:vAlign w:val="center"/>
          </w:tcPr>
          <w:p w14:paraId="2FDC2316" w14:textId="77777777" w:rsidR="00454A29" w:rsidRDefault="00454A29">
            <w:pPr>
              <w:pStyle w:val="ConsPlusNormal"/>
              <w:jc w:val="center"/>
            </w:pPr>
            <w:r>
              <w:t>0,00</w:t>
            </w:r>
          </w:p>
        </w:tc>
        <w:tc>
          <w:tcPr>
            <w:tcW w:w="1701" w:type="dxa"/>
            <w:vAlign w:val="center"/>
          </w:tcPr>
          <w:p w14:paraId="2B3AD39E" w14:textId="77777777" w:rsidR="00454A29" w:rsidRDefault="00454A29">
            <w:pPr>
              <w:pStyle w:val="ConsPlusNormal"/>
              <w:jc w:val="center"/>
            </w:pPr>
            <w:r>
              <w:t>0,00</w:t>
            </w:r>
          </w:p>
        </w:tc>
      </w:tr>
      <w:tr w:rsidR="00454A29" w14:paraId="66380B58" w14:textId="77777777">
        <w:tc>
          <w:tcPr>
            <w:tcW w:w="964" w:type="dxa"/>
            <w:vMerge/>
          </w:tcPr>
          <w:p w14:paraId="2C2B5090" w14:textId="77777777" w:rsidR="00454A29" w:rsidRDefault="00454A29"/>
        </w:tc>
        <w:tc>
          <w:tcPr>
            <w:tcW w:w="2154" w:type="dxa"/>
            <w:vMerge/>
          </w:tcPr>
          <w:p w14:paraId="14BE6AD3" w14:textId="77777777" w:rsidR="00454A29" w:rsidRDefault="00454A29"/>
        </w:tc>
        <w:tc>
          <w:tcPr>
            <w:tcW w:w="2154" w:type="dxa"/>
            <w:vMerge/>
          </w:tcPr>
          <w:p w14:paraId="6814D134" w14:textId="77777777" w:rsidR="00454A29" w:rsidRDefault="00454A29"/>
        </w:tc>
        <w:tc>
          <w:tcPr>
            <w:tcW w:w="2665" w:type="dxa"/>
            <w:vMerge/>
          </w:tcPr>
          <w:p w14:paraId="01AAACB5" w14:textId="77777777" w:rsidR="00454A29" w:rsidRDefault="00454A29"/>
        </w:tc>
        <w:tc>
          <w:tcPr>
            <w:tcW w:w="2665" w:type="dxa"/>
            <w:vMerge/>
          </w:tcPr>
          <w:p w14:paraId="0BB0560D" w14:textId="77777777" w:rsidR="00454A29" w:rsidRDefault="00454A29"/>
        </w:tc>
        <w:tc>
          <w:tcPr>
            <w:tcW w:w="1928" w:type="dxa"/>
            <w:vMerge/>
          </w:tcPr>
          <w:p w14:paraId="06E1F058" w14:textId="77777777" w:rsidR="00454A29" w:rsidRDefault="00454A29"/>
        </w:tc>
        <w:tc>
          <w:tcPr>
            <w:tcW w:w="1644" w:type="dxa"/>
            <w:vMerge/>
          </w:tcPr>
          <w:p w14:paraId="24CE0C3E" w14:textId="77777777" w:rsidR="00454A29" w:rsidRDefault="00454A29"/>
        </w:tc>
        <w:tc>
          <w:tcPr>
            <w:tcW w:w="2041" w:type="dxa"/>
            <w:vMerge/>
          </w:tcPr>
          <w:p w14:paraId="0FB87E85" w14:textId="77777777" w:rsidR="00454A29" w:rsidRDefault="00454A29"/>
        </w:tc>
        <w:tc>
          <w:tcPr>
            <w:tcW w:w="2098" w:type="dxa"/>
            <w:vAlign w:val="center"/>
          </w:tcPr>
          <w:p w14:paraId="33DA78A7" w14:textId="77777777" w:rsidR="00454A29" w:rsidRDefault="00454A29">
            <w:pPr>
              <w:pStyle w:val="ConsPlusNormal"/>
              <w:jc w:val="center"/>
            </w:pPr>
            <w:r>
              <w:t>Федеральный бюджет</w:t>
            </w:r>
          </w:p>
        </w:tc>
        <w:tc>
          <w:tcPr>
            <w:tcW w:w="1814" w:type="dxa"/>
            <w:vAlign w:val="center"/>
          </w:tcPr>
          <w:p w14:paraId="5F536B51" w14:textId="77777777" w:rsidR="00454A29" w:rsidRDefault="00454A29">
            <w:pPr>
              <w:pStyle w:val="ConsPlusNormal"/>
              <w:jc w:val="center"/>
            </w:pPr>
            <w:r>
              <w:t>0,00</w:t>
            </w:r>
          </w:p>
        </w:tc>
        <w:tc>
          <w:tcPr>
            <w:tcW w:w="1701" w:type="dxa"/>
            <w:vAlign w:val="center"/>
          </w:tcPr>
          <w:p w14:paraId="1E48FBAA" w14:textId="77777777" w:rsidR="00454A29" w:rsidRDefault="00454A29">
            <w:pPr>
              <w:pStyle w:val="ConsPlusNormal"/>
              <w:jc w:val="center"/>
            </w:pPr>
            <w:r>
              <w:t>184 555,14</w:t>
            </w:r>
          </w:p>
        </w:tc>
        <w:tc>
          <w:tcPr>
            <w:tcW w:w="1701" w:type="dxa"/>
            <w:vAlign w:val="center"/>
          </w:tcPr>
          <w:p w14:paraId="70EB582F" w14:textId="77777777" w:rsidR="00454A29" w:rsidRDefault="00454A29">
            <w:pPr>
              <w:pStyle w:val="ConsPlusNormal"/>
              <w:jc w:val="center"/>
            </w:pPr>
            <w:r>
              <w:t>0,00</w:t>
            </w:r>
          </w:p>
        </w:tc>
        <w:tc>
          <w:tcPr>
            <w:tcW w:w="1701" w:type="dxa"/>
            <w:vAlign w:val="center"/>
          </w:tcPr>
          <w:p w14:paraId="0FA30275" w14:textId="77777777" w:rsidR="00454A29" w:rsidRDefault="00454A29">
            <w:pPr>
              <w:pStyle w:val="ConsPlusNormal"/>
              <w:jc w:val="center"/>
            </w:pPr>
            <w:r>
              <w:t>0,00</w:t>
            </w:r>
          </w:p>
        </w:tc>
        <w:tc>
          <w:tcPr>
            <w:tcW w:w="1701" w:type="dxa"/>
            <w:vAlign w:val="center"/>
          </w:tcPr>
          <w:p w14:paraId="7BA1EDE2" w14:textId="77777777" w:rsidR="00454A29" w:rsidRDefault="00454A29">
            <w:pPr>
              <w:pStyle w:val="ConsPlusNormal"/>
              <w:jc w:val="center"/>
            </w:pPr>
            <w:r>
              <w:t>0,00</w:t>
            </w:r>
          </w:p>
        </w:tc>
        <w:tc>
          <w:tcPr>
            <w:tcW w:w="1701" w:type="dxa"/>
            <w:vAlign w:val="center"/>
          </w:tcPr>
          <w:p w14:paraId="0E2FFDD3" w14:textId="77777777" w:rsidR="00454A29" w:rsidRDefault="00454A29">
            <w:pPr>
              <w:pStyle w:val="ConsPlusNormal"/>
              <w:jc w:val="center"/>
            </w:pPr>
            <w:r>
              <w:t>0,00</w:t>
            </w:r>
          </w:p>
        </w:tc>
        <w:tc>
          <w:tcPr>
            <w:tcW w:w="1701" w:type="dxa"/>
            <w:vAlign w:val="center"/>
          </w:tcPr>
          <w:p w14:paraId="622951E8" w14:textId="77777777" w:rsidR="00454A29" w:rsidRDefault="00454A29">
            <w:pPr>
              <w:pStyle w:val="ConsPlusNormal"/>
              <w:jc w:val="center"/>
            </w:pPr>
            <w:r>
              <w:t>0,00</w:t>
            </w:r>
          </w:p>
        </w:tc>
      </w:tr>
      <w:tr w:rsidR="00454A29" w14:paraId="0BB1A6F6" w14:textId="77777777">
        <w:tc>
          <w:tcPr>
            <w:tcW w:w="964" w:type="dxa"/>
            <w:vMerge/>
          </w:tcPr>
          <w:p w14:paraId="0F18158D" w14:textId="77777777" w:rsidR="00454A29" w:rsidRDefault="00454A29"/>
        </w:tc>
        <w:tc>
          <w:tcPr>
            <w:tcW w:w="2154" w:type="dxa"/>
            <w:vMerge/>
          </w:tcPr>
          <w:p w14:paraId="29FF68E3" w14:textId="77777777" w:rsidR="00454A29" w:rsidRDefault="00454A29"/>
        </w:tc>
        <w:tc>
          <w:tcPr>
            <w:tcW w:w="2154" w:type="dxa"/>
            <w:vMerge/>
          </w:tcPr>
          <w:p w14:paraId="46679BD0" w14:textId="77777777" w:rsidR="00454A29" w:rsidRDefault="00454A29"/>
        </w:tc>
        <w:tc>
          <w:tcPr>
            <w:tcW w:w="2665" w:type="dxa"/>
            <w:vMerge/>
          </w:tcPr>
          <w:p w14:paraId="0FD1621E" w14:textId="77777777" w:rsidR="00454A29" w:rsidRDefault="00454A29"/>
        </w:tc>
        <w:tc>
          <w:tcPr>
            <w:tcW w:w="2665" w:type="dxa"/>
            <w:vMerge/>
          </w:tcPr>
          <w:p w14:paraId="6EADCD6C" w14:textId="77777777" w:rsidR="00454A29" w:rsidRDefault="00454A29"/>
        </w:tc>
        <w:tc>
          <w:tcPr>
            <w:tcW w:w="1928" w:type="dxa"/>
            <w:vMerge/>
          </w:tcPr>
          <w:p w14:paraId="1CAE8EBD" w14:textId="77777777" w:rsidR="00454A29" w:rsidRDefault="00454A29"/>
        </w:tc>
        <w:tc>
          <w:tcPr>
            <w:tcW w:w="1644" w:type="dxa"/>
            <w:vMerge/>
          </w:tcPr>
          <w:p w14:paraId="6FA6AEB7" w14:textId="77777777" w:rsidR="00454A29" w:rsidRDefault="00454A29"/>
        </w:tc>
        <w:tc>
          <w:tcPr>
            <w:tcW w:w="2041" w:type="dxa"/>
            <w:vMerge/>
          </w:tcPr>
          <w:p w14:paraId="68899C50" w14:textId="77777777" w:rsidR="00454A29" w:rsidRDefault="00454A29"/>
        </w:tc>
        <w:tc>
          <w:tcPr>
            <w:tcW w:w="2098" w:type="dxa"/>
            <w:vAlign w:val="center"/>
          </w:tcPr>
          <w:p w14:paraId="023E9065" w14:textId="77777777" w:rsidR="00454A29" w:rsidRDefault="00454A29">
            <w:pPr>
              <w:pStyle w:val="ConsPlusNormal"/>
              <w:jc w:val="center"/>
            </w:pPr>
            <w:r>
              <w:t>Местные бюджеты</w:t>
            </w:r>
          </w:p>
        </w:tc>
        <w:tc>
          <w:tcPr>
            <w:tcW w:w="1814" w:type="dxa"/>
            <w:vAlign w:val="center"/>
          </w:tcPr>
          <w:p w14:paraId="35361250" w14:textId="77777777" w:rsidR="00454A29" w:rsidRDefault="00454A29">
            <w:pPr>
              <w:pStyle w:val="ConsPlusNormal"/>
              <w:jc w:val="center"/>
            </w:pPr>
            <w:r>
              <w:t>0,00</w:t>
            </w:r>
          </w:p>
        </w:tc>
        <w:tc>
          <w:tcPr>
            <w:tcW w:w="1701" w:type="dxa"/>
            <w:vAlign w:val="center"/>
          </w:tcPr>
          <w:p w14:paraId="76695390" w14:textId="77777777" w:rsidR="00454A29" w:rsidRDefault="00454A29">
            <w:pPr>
              <w:pStyle w:val="ConsPlusNormal"/>
              <w:jc w:val="center"/>
            </w:pPr>
            <w:r>
              <w:t>0,00</w:t>
            </w:r>
          </w:p>
        </w:tc>
        <w:tc>
          <w:tcPr>
            <w:tcW w:w="1701" w:type="dxa"/>
            <w:vAlign w:val="center"/>
          </w:tcPr>
          <w:p w14:paraId="41B7BD9D" w14:textId="77777777" w:rsidR="00454A29" w:rsidRDefault="00454A29">
            <w:pPr>
              <w:pStyle w:val="ConsPlusNormal"/>
              <w:jc w:val="center"/>
            </w:pPr>
            <w:r>
              <w:t>0,00</w:t>
            </w:r>
          </w:p>
        </w:tc>
        <w:tc>
          <w:tcPr>
            <w:tcW w:w="1701" w:type="dxa"/>
            <w:vAlign w:val="center"/>
          </w:tcPr>
          <w:p w14:paraId="40F20514" w14:textId="77777777" w:rsidR="00454A29" w:rsidRDefault="00454A29">
            <w:pPr>
              <w:pStyle w:val="ConsPlusNormal"/>
              <w:jc w:val="center"/>
            </w:pPr>
            <w:r>
              <w:t>0,00</w:t>
            </w:r>
          </w:p>
        </w:tc>
        <w:tc>
          <w:tcPr>
            <w:tcW w:w="1701" w:type="dxa"/>
            <w:vAlign w:val="center"/>
          </w:tcPr>
          <w:p w14:paraId="1FB9B053" w14:textId="77777777" w:rsidR="00454A29" w:rsidRDefault="00454A29">
            <w:pPr>
              <w:pStyle w:val="ConsPlusNormal"/>
              <w:jc w:val="center"/>
            </w:pPr>
            <w:r>
              <w:t>0,00</w:t>
            </w:r>
          </w:p>
        </w:tc>
        <w:tc>
          <w:tcPr>
            <w:tcW w:w="1701" w:type="dxa"/>
            <w:vAlign w:val="center"/>
          </w:tcPr>
          <w:p w14:paraId="31AE34BF" w14:textId="77777777" w:rsidR="00454A29" w:rsidRDefault="00454A29">
            <w:pPr>
              <w:pStyle w:val="ConsPlusNormal"/>
              <w:jc w:val="center"/>
            </w:pPr>
            <w:r>
              <w:t>0,00</w:t>
            </w:r>
          </w:p>
        </w:tc>
        <w:tc>
          <w:tcPr>
            <w:tcW w:w="1701" w:type="dxa"/>
            <w:vAlign w:val="center"/>
          </w:tcPr>
          <w:p w14:paraId="032A6001" w14:textId="77777777" w:rsidR="00454A29" w:rsidRDefault="00454A29">
            <w:pPr>
              <w:pStyle w:val="ConsPlusNormal"/>
              <w:jc w:val="center"/>
            </w:pPr>
            <w:r>
              <w:t>0,00</w:t>
            </w:r>
          </w:p>
        </w:tc>
      </w:tr>
      <w:tr w:rsidR="00454A29" w14:paraId="56EB7B96" w14:textId="77777777">
        <w:tc>
          <w:tcPr>
            <w:tcW w:w="964" w:type="dxa"/>
            <w:vMerge/>
          </w:tcPr>
          <w:p w14:paraId="395EDF5F" w14:textId="77777777" w:rsidR="00454A29" w:rsidRDefault="00454A29"/>
        </w:tc>
        <w:tc>
          <w:tcPr>
            <w:tcW w:w="2154" w:type="dxa"/>
            <w:vMerge/>
          </w:tcPr>
          <w:p w14:paraId="07AC0C3C" w14:textId="77777777" w:rsidR="00454A29" w:rsidRDefault="00454A29"/>
        </w:tc>
        <w:tc>
          <w:tcPr>
            <w:tcW w:w="2154" w:type="dxa"/>
            <w:vMerge/>
          </w:tcPr>
          <w:p w14:paraId="6E5DFDFC" w14:textId="77777777" w:rsidR="00454A29" w:rsidRDefault="00454A29"/>
        </w:tc>
        <w:tc>
          <w:tcPr>
            <w:tcW w:w="2665" w:type="dxa"/>
            <w:vMerge/>
          </w:tcPr>
          <w:p w14:paraId="26E5A27C" w14:textId="77777777" w:rsidR="00454A29" w:rsidRDefault="00454A29"/>
        </w:tc>
        <w:tc>
          <w:tcPr>
            <w:tcW w:w="2665" w:type="dxa"/>
            <w:vMerge/>
          </w:tcPr>
          <w:p w14:paraId="5297454A" w14:textId="77777777" w:rsidR="00454A29" w:rsidRDefault="00454A29"/>
        </w:tc>
        <w:tc>
          <w:tcPr>
            <w:tcW w:w="1928" w:type="dxa"/>
            <w:vMerge/>
          </w:tcPr>
          <w:p w14:paraId="104A0459" w14:textId="77777777" w:rsidR="00454A29" w:rsidRDefault="00454A29"/>
        </w:tc>
        <w:tc>
          <w:tcPr>
            <w:tcW w:w="1644" w:type="dxa"/>
            <w:vMerge/>
          </w:tcPr>
          <w:p w14:paraId="0295835B" w14:textId="77777777" w:rsidR="00454A29" w:rsidRDefault="00454A29"/>
        </w:tc>
        <w:tc>
          <w:tcPr>
            <w:tcW w:w="2041" w:type="dxa"/>
            <w:vMerge/>
          </w:tcPr>
          <w:p w14:paraId="3CDCF64D" w14:textId="77777777" w:rsidR="00454A29" w:rsidRDefault="00454A29"/>
        </w:tc>
        <w:tc>
          <w:tcPr>
            <w:tcW w:w="2098" w:type="dxa"/>
            <w:vAlign w:val="center"/>
          </w:tcPr>
          <w:p w14:paraId="03E1C351" w14:textId="77777777" w:rsidR="00454A29" w:rsidRDefault="00454A29">
            <w:pPr>
              <w:pStyle w:val="ConsPlusNormal"/>
              <w:jc w:val="center"/>
            </w:pPr>
            <w:r>
              <w:t>Внебюджетные средства</w:t>
            </w:r>
          </w:p>
        </w:tc>
        <w:tc>
          <w:tcPr>
            <w:tcW w:w="1814" w:type="dxa"/>
            <w:vAlign w:val="center"/>
          </w:tcPr>
          <w:p w14:paraId="070EAEA8" w14:textId="77777777" w:rsidR="00454A29" w:rsidRDefault="00454A29">
            <w:pPr>
              <w:pStyle w:val="ConsPlusNormal"/>
              <w:jc w:val="center"/>
            </w:pPr>
            <w:r>
              <w:t>0,00</w:t>
            </w:r>
          </w:p>
        </w:tc>
        <w:tc>
          <w:tcPr>
            <w:tcW w:w="1701" w:type="dxa"/>
            <w:vAlign w:val="center"/>
          </w:tcPr>
          <w:p w14:paraId="594F074C" w14:textId="77777777" w:rsidR="00454A29" w:rsidRDefault="00454A29">
            <w:pPr>
              <w:pStyle w:val="ConsPlusNormal"/>
              <w:jc w:val="center"/>
            </w:pPr>
            <w:r>
              <w:t>0,00</w:t>
            </w:r>
          </w:p>
        </w:tc>
        <w:tc>
          <w:tcPr>
            <w:tcW w:w="1701" w:type="dxa"/>
            <w:vAlign w:val="center"/>
          </w:tcPr>
          <w:p w14:paraId="47D7C527" w14:textId="77777777" w:rsidR="00454A29" w:rsidRDefault="00454A29">
            <w:pPr>
              <w:pStyle w:val="ConsPlusNormal"/>
              <w:jc w:val="center"/>
            </w:pPr>
            <w:r>
              <w:t>0,00</w:t>
            </w:r>
          </w:p>
        </w:tc>
        <w:tc>
          <w:tcPr>
            <w:tcW w:w="1701" w:type="dxa"/>
            <w:vAlign w:val="center"/>
          </w:tcPr>
          <w:p w14:paraId="3BB33B24" w14:textId="77777777" w:rsidR="00454A29" w:rsidRDefault="00454A29">
            <w:pPr>
              <w:pStyle w:val="ConsPlusNormal"/>
              <w:jc w:val="center"/>
            </w:pPr>
            <w:r>
              <w:t>0,00</w:t>
            </w:r>
          </w:p>
        </w:tc>
        <w:tc>
          <w:tcPr>
            <w:tcW w:w="1701" w:type="dxa"/>
            <w:vAlign w:val="center"/>
          </w:tcPr>
          <w:p w14:paraId="65F0A2FA" w14:textId="77777777" w:rsidR="00454A29" w:rsidRDefault="00454A29">
            <w:pPr>
              <w:pStyle w:val="ConsPlusNormal"/>
              <w:jc w:val="center"/>
            </w:pPr>
            <w:r>
              <w:t>0,00</w:t>
            </w:r>
          </w:p>
        </w:tc>
        <w:tc>
          <w:tcPr>
            <w:tcW w:w="1701" w:type="dxa"/>
            <w:vAlign w:val="center"/>
          </w:tcPr>
          <w:p w14:paraId="5BA934EC" w14:textId="77777777" w:rsidR="00454A29" w:rsidRDefault="00454A29">
            <w:pPr>
              <w:pStyle w:val="ConsPlusNormal"/>
              <w:jc w:val="center"/>
            </w:pPr>
            <w:r>
              <w:t>0,00</w:t>
            </w:r>
          </w:p>
        </w:tc>
        <w:tc>
          <w:tcPr>
            <w:tcW w:w="1701" w:type="dxa"/>
            <w:vAlign w:val="center"/>
          </w:tcPr>
          <w:p w14:paraId="0560355A" w14:textId="77777777" w:rsidR="00454A29" w:rsidRDefault="00454A29">
            <w:pPr>
              <w:pStyle w:val="ConsPlusNormal"/>
              <w:jc w:val="center"/>
            </w:pPr>
            <w:r>
              <w:t>0,00</w:t>
            </w:r>
          </w:p>
        </w:tc>
      </w:tr>
      <w:tr w:rsidR="00454A29" w14:paraId="66AC68BA" w14:textId="77777777">
        <w:tc>
          <w:tcPr>
            <w:tcW w:w="964" w:type="dxa"/>
            <w:vMerge w:val="restart"/>
            <w:vAlign w:val="center"/>
          </w:tcPr>
          <w:p w14:paraId="22F104AF" w14:textId="77777777" w:rsidR="00454A29" w:rsidRDefault="00454A29">
            <w:pPr>
              <w:pStyle w:val="ConsPlusNormal"/>
              <w:jc w:val="center"/>
            </w:pPr>
            <w:r>
              <w:t>1.13.</w:t>
            </w:r>
          </w:p>
        </w:tc>
        <w:tc>
          <w:tcPr>
            <w:tcW w:w="2154" w:type="dxa"/>
            <w:vMerge/>
          </w:tcPr>
          <w:p w14:paraId="134D633A" w14:textId="77777777" w:rsidR="00454A29" w:rsidRDefault="00454A29"/>
        </w:tc>
        <w:tc>
          <w:tcPr>
            <w:tcW w:w="2154" w:type="dxa"/>
            <w:vMerge/>
          </w:tcPr>
          <w:p w14:paraId="1AE45DA6" w14:textId="77777777" w:rsidR="00454A29" w:rsidRDefault="00454A29"/>
        </w:tc>
        <w:tc>
          <w:tcPr>
            <w:tcW w:w="2665" w:type="dxa"/>
            <w:vMerge w:val="restart"/>
            <w:vAlign w:val="center"/>
          </w:tcPr>
          <w:p w14:paraId="45E957E9" w14:textId="77777777" w:rsidR="00454A29" w:rsidRDefault="00454A29">
            <w:pPr>
              <w:pStyle w:val="ConsPlusNormal"/>
              <w:jc w:val="center"/>
            </w:pPr>
            <w:r>
              <w:t>Результат 2. Создано не менее 315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2665" w:type="dxa"/>
            <w:vMerge w:val="restart"/>
            <w:vAlign w:val="center"/>
          </w:tcPr>
          <w:p w14:paraId="23DE5EBC" w14:textId="77777777" w:rsidR="00454A29" w:rsidRDefault="00454A29">
            <w:pPr>
              <w:pStyle w:val="ConsPlusNormal"/>
              <w:jc w:val="center"/>
            </w:pPr>
            <w:r>
              <w:t>Мероприятие 9.2.1. Создание новых мест в общеобразовательных организациях</w:t>
            </w:r>
          </w:p>
        </w:tc>
        <w:tc>
          <w:tcPr>
            <w:tcW w:w="5613" w:type="dxa"/>
            <w:gridSpan w:val="3"/>
            <w:vMerge w:val="restart"/>
            <w:vAlign w:val="center"/>
          </w:tcPr>
          <w:p w14:paraId="24E52B04" w14:textId="77777777" w:rsidR="00454A29" w:rsidRDefault="00454A29">
            <w:pPr>
              <w:pStyle w:val="ConsPlusNormal"/>
              <w:jc w:val="center"/>
            </w:pPr>
            <w:r>
              <w:t>Всего</w:t>
            </w:r>
          </w:p>
        </w:tc>
        <w:tc>
          <w:tcPr>
            <w:tcW w:w="2098" w:type="dxa"/>
            <w:vAlign w:val="center"/>
          </w:tcPr>
          <w:p w14:paraId="06AFEE55" w14:textId="77777777" w:rsidR="00454A29" w:rsidRDefault="00454A29">
            <w:pPr>
              <w:pStyle w:val="ConsPlusNormal"/>
              <w:jc w:val="center"/>
            </w:pPr>
            <w:r>
              <w:t>Итого</w:t>
            </w:r>
          </w:p>
        </w:tc>
        <w:tc>
          <w:tcPr>
            <w:tcW w:w="1814" w:type="dxa"/>
            <w:vAlign w:val="center"/>
          </w:tcPr>
          <w:p w14:paraId="2656D6FF" w14:textId="77777777" w:rsidR="00454A29" w:rsidRDefault="00454A29">
            <w:pPr>
              <w:pStyle w:val="ConsPlusNormal"/>
              <w:jc w:val="center"/>
            </w:pPr>
            <w:r>
              <w:t>266 896,85</w:t>
            </w:r>
          </w:p>
        </w:tc>
        <w:tc>
          <w:tcPr>
            <w:tcW w:w="1701" w:type="dxa"/>
            <w:vAlign w:val="center"/>
          </w:tcPr>
          <w:p w14:paraId="6C82BD3D" w14:textId="77777777" w:rsidR="00454A29" w:rsidRDefault="00454A29">
            <w:pPr>
              <w:pStyle w:val="ConsPlusNormal"/>
              <w:jc w:val="center"/>
            </w:pPr>
            <w:r>
              <w:t>0,00</w:t>
            </w:r>
          </w:p>
        </w:tc>
        <w:tc>
          <w:tcPr>
            <w:tcW w:w="1701" w:type="dxa"/>
            <w:vAlign w:val="center"/>
          </w:tcPr>
          <w:p w14:paraId="6EA2CDBC" w14:textId="77777777" w:rsidR="00454A29" w:rsidRDefault="00454A29">
            <w:pPr>
              <w:pStyle w:val="ConsPlusNormal"/>
              <w:jc w:val="center"/>
            </w:pPr>
            <w:r>
              <w:t>0,00</w:t>
            </w:r>
          </w:p>
        </w:tc>
        <w:tc>
          <w:tcPr>
            <w:tcW w:w="1701" w:type="dxa"/>
            <w:vAlign w:val="center"/>
          </w:tcPr>
          <w:p w14:paraId="76BB99CF" w14:textId="77777777" w:rsidR="00454A29" w:rsidRDefault="00454A29">
            <w:pPr>
              <w:pStyle w:val="ConsPlusNormal"/>
              <w:jc w:val="center"/>
            </w:pPr>
            <w:r>
              <w:t>0,00</w:t>
            </w:r>
          </w:p>
        </w:tc>
        <w:tc>
          <w:tcPr>
            <w:tcW w:w="1701" w:type="dxa"/>
            <w:vAlign w:val="center"/>
          </w:tcPr>
          <w:p w14:paraId="1608856D" w14:textId="77777777" w:rsidR="00454A29" w:rsidRDefault="00454A29">
            <w:pPr>
              <w:pStyle w:val="ConsPlusNormal"/>
              <w:jc w:val="center"/>
            </w:pPr>
            <w:r>
              <w:t>0,00</w:t>
            </w:r>
          </w:p>
        </w:tc>
        <w:tc>
          <w:tcPr>
            <w:tcW w:w="1701" w:type="dxa"/>
            <w:vAlign w:val="center"/>
          </w:tcPr>
          <w:p w14:paraId="5FF35760" w14:textId="77777777" w:rsidR="00454A29" w:rsidRDefault="00454A29">
            <w:pPr>
              <w:pStyle w:val="ConsPlusNormal"/>
              <w:jc w:val="center"/>
            </w:pPr>
            <w:r>
              <w:t>0,00</w:t>
            </w:r>
          </w:p>
        </w:tc>
        <w:tc>
          <w:tcPr>
            <w:tcW w:w="1701" w:type="dxa"/>
            <w:vAlign w:val="center"/>
          </w:tcPr>
          <w:p w14:paraId="156BE13C" w14:textId="77777777" w:rsidR="00454A29" w:rsidRDefault="00454A29">
            <w:pPr>
              <w:pStyle w:val="ConsPlusNormal"/>
              <w:jc w:val="center"/>
            </w:pPr>
            <w:r>
              <w:t>0,00</w:t>
            </w:r>
          </w:p>
        </w:tc>
      </w:tr>
      <w:tr w:rsidR="00454A29" w14:paraId="3085B812" w14:textId="77777777">
        <w:tc>
          <w:tcPr>
            <w:tcW w:w="964" w:type="dxa"/>
            <w:vMerge/>
          </w:tcPr>
          <w:p w14:paraId="7F3A8EAB" w14:textId="77777777" w:rsidR="00454A29" w:rsidRDefault="00454A29"/>
        </w:tc>
        <w:tc>
          <w:tcPr>
            <w:tcW w:w="2154" w:type="dxa"/>
            <w:vMerge/>
          </w:tcPr>
          <w:p w14:paraId="048033EE" w14:textId="77777777" w:rsidR="00454A29" w:rsidRDefault="00454A29"/>
        </w:tc>
        <w:tc>
          <w:tcPr>
            <w:tcW w:w="2154" w:type="dxa"/>
            <w:vMerge/>
          </w:tcPr>
          <w:p w14:paraId="4554E40A" w14:textId="77777777" w:rsidR="00454A29" w:rsidRDefault="00454A29"/>
        </w:tc>
        <w:tc>
          <w:tcPr>
            <w:tcW w:w="2665" w:type="dxa"/>
            <w:vMerge/>
          </w:tcPr>
          <w:p w14:paraId="64BD1E69" w14:textId="77777777" w:rsidR="00454A29" w:rsidRDefault="00454A29"/>
        </w:tc>
        <w:tc>
          <w:tcPr>
            <w:tcW w:w="2665" w:type="dxa"/>
            <w:vMerge/>
          </w:tcPr>
          <w:p w14:paraId="464486A0" w14:textId="77777777" w:rsidR="00454A29" w:rsidRDefault="00454A29"/>
        </w:tc>
        <w:tc>
          <w:tcPr>
            <w:tcW w:w="5613" w:type="dxa"/>
            <w:gridSpan w:val="3"/>
            <w:vMerge/>
          </w:tcPr>
          <w:p w14:paraId="4DED71DB" w14:textId="77777777" w:rsidR="00454A29" w:rsidRDefault="00454A29"/>
        </w:tc>
        <w:tc>
          <w:tcPr>
            <w:tcW w:w="2098" w:type="dxa"/>
            <w:vAlign w:val="center"/>
          </w:tcPr>
          <w:p w14:paraId="2935AE36"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B690452" w14:textId="77777777" w:rsidR="00454A29" w:rsidRDefault="00454A29">
            <w:pPr>
              <w:pStyle w:val="ConsPlusNormal"/>
              <w:jc w:val="center"/>
            </w:pPr>
            <w:r>
              <w:t>21 351,75</w:t>
            </w:r>
          </w:p>
        </w:tc>
        <w:tc>
          <w:tcPr>
            <w:tcW w:w="1701" w:type="dxa"/>
            <w:vAlign w:val="center"/>
          </w:tcPr>
          <w:p w14:paraId="56D761D4" w14:textId="77777777" w:rsidR="00454A29" w:rsidRDefault="00454A29">
            <w:pPr>
              <w:pStyle w:val="ConsPlusNormal"/>
              <w:jc w:val="center"/>
            </w:pPr>
            <w:r>
              <w:t>0,00</w:t>
            </w:r>
          </w:p>
        </w:tc>
        <w:tc>
          <w:tcPr>
            <w:tcW w:w="1701" w:type="dxa"/>
            <w:vAlign w:val="center"/>
          </w:tcPr>
          <w:p w14:paraId="1FD0EA05" w14:textId="77777777" w:rsidR="00454A29" w:rsidRDefault="00454A29">
            <w:pPr>
              <w:pStyle w:val="ConsPlusNormal"/>
              <w:jc w:val="center"/>
            </w:pPr>
            <w:r>
              <w:t>0,00</w:t>
            </w:r>
          </w:p>
        </w:tc>
        <w:tc>
          <w:tcPr>
            <w:tcW w:w="1701" w:type="dxa"/>
            <w:vAlign w:val="center"/>
          </w:tcPr>
          <w:p w14:paraId="2CAE79CA" w14:textId="77777777" w:rsidR="00454A29" w:rsidRDefault="00454A29">
            <w:pPr>
              <w:pStyle w:val="ConsPlusNormal"/>
              <w:jc w:val="center"/>
            </w:pPr>
            <w:r>
              <w:t>0,00</w:t>
            </w:r>
          </w:p>
        </w:tc>
        <w:tc>
          <w:tcPr>
            <w:tcW w:w="1701" w:type="dxa"/>
            <w:vAlign w:val="center"/>
          </w:tcPr>
          <w:p w14:paraId="3C830829" w14:textId="77777777" w:rsidR="00454A29" w:rsidRDefault="00454A29">
            <w:pPr>
              <w:pStyle w:val="ConsPlusNormal"/>
              <w:jc w:val="center"/>
            </w:pPr>
            <w:r>
              <w:t>0,00</w:t>
            </w:r>
          </w:p>
        </w:tc>
        <w:tc>
          <w:tcPr>
            <w:tcW w:w="1701" w:type="dxa"/>
            <w:vAlign w:val="center"/>
          </w:tcPr>
          <w:p w14:paraId="09DCD534" w14:textId="77777777" w:rsidR="00454A29" w:rsidRDefault="00454A29">
            <w:pPr>
              <w:pStyle w:val="ConsPlusNormal"/>
              <w:jc w:val="center"/>
            </w:pPr>
            <w:r>
              <w:t>0,00</w:t>
            </w:r>
          </w:p>
        </w:tc>
        <w:tc>
          <w:tcPr>
            <w:tcW w:w="1701" w:type="dxa"/>
            <w:vAlign w:val="center"/>
          </w:tcPr>
          <w:p w14:paraId="77EBEA3A" w14:textId="77777777" w:rsidR="00454A29" w:rsidRDefault="00454A29">
            <w:pPr>
              <w:pStyle w:val="ConsPlusNormal"/>
              <w:jc w:val="center"/>
            </w:pPr>
            <w:r>
              <w:t>0,00</w:t>
            </w:r>
          </w:p>
        </w:tc>
      </w:tr>
      <w:tr w:rsidR="00454A29" w14:paraId="731260CC" w14:textId="77777777">
        <w:tc>
          <w:tcPr>
            <w:tcW w:w="964" w:type="dxa"/>
            <w:vMerge/>
          </w:tcPr>
          <w:p w14:paraId="14F34DE7" w14:textId="77777777" w:rsidR="00454A29" w:rsidRDefault="00454A29"/>
        </w:tc>
        <w:tc>
          <w:tcPr>
            <w:tcW w:w="2154" w:type="dxa"/>
            <w:vMerge/>
          </w:tcPr>
          <w:p w14:paraId="550055B5" w14:textId="77777777" w:rsidR="00454A29" w:rsidRDefault="00454A29"/>
        </w:tc>
        <w:tc>
          <w:tcPr>
            <w:tcW w:w="2154" w:type="dxa"/>
            <w:vMerge/>
          </w:tcPr>
          <w:p w14:paraId="08E4E2D7" w14:textId="77777777" w:rsidR="00454A29" w:rsidRDefault="00454A29"/>
        </w:tc>
        <w:tc>
          <w:tcPr>
            <w:tcW w:w="2665" w:type="dxa"/>
            <w:vMerge/>
          </w:tcPr>
          <w:p w14:paraId="4FDEFCAA" w14:textId="77777777" w:rsidR="00454A29" w:rsidRDefault="00454A29"/>
        </w:tc>
        <w:tc>
          <w:tcPr>
            <w:tcW w:w="2665" w:type="dxa"/>
            <w:vMerge/>
          </w:tcPr>
          <w:p w14:paraId="388FE631" w14:textId="77777777" w:rsidR="00454A29" w:rsidRDefault="00454A29"/>
        </w:tc>
        <w:tc>
          <w:tcPr>
            <w:tcW w:w="5613" w:type="dxa"/>
            <w:gridSpan w:val="3"/>
            <w:vMerge/>
          </w:tcPr>
          <w:p w14:paraId="037EB6E1" w14:textId="77777777" w:rsidR="00454A29" w:rsidRDefault="00454A29"/>
        </w:tc>
        <w:tc>
          <w:tcPr>
            <w:tcW w:w="2098" w:type="dxa"/>
            <w:vAlign w:val="center"/>
          </w:tcPr>
          <w:p w14:paraId="2F3A7762" w14:textId="77777777" w:rsidR="00454A29" w:rsidRDefault="00454A29">
            <w:pPr>
              <w:pStyle w:val="ConsPlusNormal"/>
              <w:jc w:val="center"/>
            </w:pPr>
            <w:r>
              <w:t>Федеральный бюджет</w:t>
            </w:r>
          </w:p>
        </w:tc>
        <w:tc>
          <w:tcPr>
            <w:tcW w:w="1814" w:type="dxa"/>
            <w:vAlign w:val="center"/>
          </w:tcPr>
          <w:p w14:paraId="7102B36E" w14:textId="77777777" w:rsidR="00454A29" w:rsidRDefault="00454A29">
            <w:pPr>
              <w:pStyle w:val="ConsPlusNormal"/>
              <w:jc w:val="center"/>
            </w:pPr>
            <w:r>
              <w:t>245 545,10</w:t>
            </w:r>
          </w:p>
        </w:tc>
        <w:tc>
          <w:tcPr>
            <w:tcW w:w="1701" w:type="dxa"/>
            <w:vAlign w:val="center"/>
          </w:tcPr>
          <w:p w14:paraId="0FAA7215" w14:textId="77777777" w:rsidR="00454A29" w:rsidRDefault="00454A29">
            <w:pPr>
              <w:pStyle w:val="ConsPlusNormal"/>
              <w:jc w:val="center"/>
            </w:pPr>
            <w:r>
              <w:t>0,00</w:t>
            </w:r>
          </w:p>
        </w:tc>
        <w:tc>
          <w:tcPr>
            <w:tcW w:w="1701" w:type="dxa"/>
            <w:vAlign w:val="center"/>
          </w:tcPr>
          <w:p w14:paraId="18E7517E" w14:textId="77777777" w:rsidR="00454A29" w:rsidRDefault="00454A29">
            <w:pPr>
              <w:pStyle w:val="ConsPlusNormal"/>
              <w:jc w:val="center"/>
            </w:pPr>
            <w:r>
              <w:t>0,00</w:t>
            </w:r>
          </w:p>
        </w:tc>
        <w:tc>
          <w:tcPr>
            <w:tcW w:w="1701" w:type="dxa"/>
            <w:vAlign w:val="center"/>
          </w:tcPr>
          <w:p w14:paraId="7D2E1BA5" w14:textId="77777777" w:rsidR="00454A29" w:rsidRDefault="00454A29">
            <w:pPr>
              <w:pStyle w:val="ConsPlusNormal"/>
              <w:jc w:val="center"/>
            </w:pPr>
            <w:r>
              <w:t>0,00</w:t>
            </w:r>
          </w:p>
        </w:tc>
        <w:tc>
          <w:tcPr>
            <w:tcW w:w="1701" w:type="dxa"/>
            <w:vAlign w:val="center"/>
          </w:tcPr>
          <w:p w14:paraId="6CE79714" w14:textId="77777777" w:rsidR="00454A29" w:rsidRDefault="00454A29">
            <w:pPr>
              <w:pStyle w:val="ConsPlusNormal"/>
              <w:jc w:val="center"/>
            </w:pPr>
            <w:r>
              <w:t>0,00</w:t>
            </w:r>
          </w:p>
        </w:tc>
        <w:tc>
          <w:tcPr>
            <w:tcW w:w="1701" w:type="dxa"/>
            <w:vAlign w:val="center"/>
          </w:tcPr>
          <w:p w14:paraId="0B9BCA23" w14:textId="77777777" w:rsidR="00454A29" w:rsidRDefault="00454A29">
            <w:pPr>
              <w:pStyle w:val="ConsPlusNormal"/>
              <w:jc w:val="center"/>
            </w:pPr>
            <w:r>
              <w:t>0,00</w:t>
            </w:r>
          </w:p>
        </w:tc>
        <w:tc>
          <w:tcPr>
            <w:tcW w:w="1701" w:type="dxa"/>
            <w:vAlign w:val="center"/>
          </w:tcPr>
          <w:p w14:paraId="72A65B88" w14:textId="77777777" w:rsidR="00454A29" w:rsidRDefault="00454A29">
            <w:pPr>
              <w:pStyle w:val="ConsPlusNormal"/>
              <w:jc w:val="center"/>
            </w:pPr>
            <w:r>
              <w:t>0,00</w:t>
            </w:r>
          </w:p>
        </w:tc>
      </w:tr>
      <w:tr w:rsidR="00454A29" w14:paraId="37E67CA9" w14:textId="77777777">
        <w:tc>
          <w:tcPr>
            <w:tcW w:w="964" w:type="dxa"/>
            <w:vMerge/>
          </w:tcPr>
          <w:p w14:paraId="23185DA2" w14:textId="77777777" w:rsidR="00454A29" w:rsidRDefault="00454A29"/>
        </w:tc>
        <w:tc>
          <w:tcPr>
            <w:tcW w:w="2154" w:type="dxa"/>
            <w:vMerge/>
          </w:tcPr>
          <w:p w14:paraId="78CCDC80" w14:textId="77777777" w:rsidR="00454A29" w:rsidRDefault="00454A29"/>
        </w:tc>
        <w:tc>
          <w:tcPr>
            <w:tcW w:w="2154" w:type="dxa"/>
            <w:vMerge/>
          </w:tcPr>
          <w:p w14:paraId="663413BB" w14:textId="77777777" w:rsidR="00454A29" w:rsidRDefault="00454A29"/>
        </w:tc>
        <w:tc>
          <w:tcPr>
            <w:tcW w:w="2665" w:type="dxa"/>
            <w:vMerge/>
          </w:tcPr>
          <w:p w14:paraId="76E5E93D" w14:textId="77777777" w:rsidR="00454A29" w:rsidRDefault="00454A29"/>
        </w:tc>
        <w:tc>
          <w:tcPr>
            <w:tcW w:w="2665" w:type="dxa"/>
            <w:vMerge/>
          </w:tcPr>
          <w:p w14:paraId="6D31B01C" w14:textId="77777777" w:rsidR="00454A29" w:rsidRDefault="00454A29"/>
        </w:tc>
        <w:tc>
          <w:tcPr>
            <w:tcW w:w="5613" w:type="dxa"/>
            <w:gridSpan w:val="3"/>
            <w:vMerge/>
          </w:tcPr>
          <w:p w14:paraId="263E1231" w14:textId="77777777" w:rsidR="00454A29" w:rsidRDefault="00454A29"/>
        </w:tc>
        <w:tc>
          <w:tcPr>
            <w:tcW w:w="2098" w:type="dxa"/>
            <w:vAlign w:val="center"/>
          </w:tcPr>
          <w:p w14:paraId="364CAA8F" w14:textId="77777777" w:rsidR="00454A29" w:rsidRDefault="00454A29">
            <w:pPr>
              <w:pStyle w:val="ConsPlusNormal"/>
              <w:jc w:val="center"/>
            </w:pPr>
            <w:r>
              <w:t>Местные бюджеты</w:t>
            </w:r>
          </w:p>
        </w:tc>
        <w:tc>
          <w:tcPr>
            <w:tcW w:w="1814" w:type="dxa"/>
            <w:vAlign w:val="center"/>
          </w:tcPr>
          <w:p w14:paraId="3637F1BD" w14:textId="77777777" w:rsidR="00454A29" w:rsidRDefault="00454A29">
            <w:pPr>
              <w:pStyle w:val="ConsPlusNormal"/>
              <w:jc w:val="center"/>
            </w:pPr>
            <w:r>
              <w:t>0,00</w:t>
            </w:r>
          </w:p>
        </w:tc>
        <w:tc>
          <w:tcPr>
            <w:tcW w:w="1701" w:type="dxa"/>
            <w:vAlign w:val="center"/>
          </w:tcPr>
          <w:p w14:paraId="1B41A592" w14:textId="77777777" w:rsidR="00454A29" w:rsidRDefault="00454A29">
            <w:pPr>
              <w:pStyle w:val="ConsPlusNormal"/>
              <w:jc w:val="center"/>
            </w:pPr>
            <w:r>
              <w:t>0,00</w:t>
            </w:r>
          </w:p>
        </w:tc>
        <w:tc>
          <w:tcPr>
            <w:tcW w:w="1701" w:type="dxa"/>
            <w:vAlign w:val="center"/>
          </w:tcPr>
          <w:p w14:paraId="40799793" w14:textId="77777777" w:rsidR="00454A29" w:rsidRDefault="00454A29">
            <w:pPr>
              <w:pStyle w:val="ConsPlusNormal"/>
              <w:jc w:val="center"/>
            </w:pPr>
            <w:r>
              <w:t>0,00</w:t>
            </w:r>
          </w:p>
        </w:tc>
        <w:tc>
          <w:tcPr>
            <w:tcW w:w="1701" w:type="dxa"/>
            <w:vAlign w:val="center"/>
          </w:tcPr>
          <w:p w14:paraId="13B8AB76" w14:textId="77777777" w:rsidR="00454A29" w:rsidRDefault="00454A29">
            <w:pPr>
              <w:pStyle w:val="ConsPlusNormal"/>
              <w:jc w:val="center"/>
            </w:pPr>
            <w:r>
              <w:t>0,00</w:t>
            </w:r>
          </w:p>
        </w:tc>
        <w:tc>
          <w:tcPr>
            <w:tcW w:w="1701" w:type="dxa"/>
            <w:vAlign w:val="center"/>
          </w:tcPr>
          <w:p w14:paraId="2E96852A" w14:textId="77777777" w:rsidR="00454A29" w:rsidRDefault="00454A29">
            <w:pPr>
              <w:pStyle w:val="ConsPlusNormal"/>
              <w:jc w:val="center"/>
            </w:pPr>
            <w:r>
              <w:t>0,00</w:t>
            </w:r>
          </w:p>
        </w:tc>
        <w:tc>
          <w:tcPr>
            <w:tcW w:w="1701" w:type="dxa"/>
            <w:vAlign w:val="center"/>
          </w:tcPr>
          <w:p w14:paraId="5F7F780B" w14:textId="77777777" w:rsidR="00454A29" w:rsidRDefault="00454A29">
            <w:pPr>
              <w:pStyle w:val="ConsPlusNormal"/>
              <w:jc w:val="center"/>
            </w:pPr>
            <w:r>
              <w:t>0,00</w:t>
            </w:r>
          </w:p>
        </w:tc>
        <w:tc>
          <w:tcPr>
            <w:tcW w:w="1701" w:type="dxa"/>
            <w:vAlign w:val="center"/>
          </w:tcPr>
          <w:p w14:paraId="382D2B64" w14:textId="77777777" w:rsidR="00454A29" w:rsidRDefault="00454A29">
            <w:pPr>
              <w:pStyle w:val="ConsPlusNormal"/>
              <w:jc w:val="center"/>
            </w:pPr>
            <w:r>
              <w:t>0,00</w:t>
            </w:r>
          </w:p>
        </w:tc>
      </w:tr>
      <w:tr w:rsidR="00454A29" w14:paraId="44F70B9F" w14:textId="77777777">
        <w:tc>
          <w:tcPr>
            <w:tcW w:w="964" w:type="dxa"/>
            <w:vMerge/>
          </w:tcPr>
          <w:p w14:paraId="2049375D" w14:textId="77777777" w:rsidR="00454A29" w:rsidRDefault="00454A29"/>
        </w:tc>
        <w:tc>
          <w:tcPr>
            <w:tcW w:w="2154" w:type="dxa"/>
            <w:vMerge/>
          </w:tcPr>
          <w:p w14:paraId="33DDA7B4" w14:textId="77777777" w:rsidR="00454A29" w:rsidRDefault="00454A29"/>
        </w:tc>
        <w:tc>
          <w:tcPr>
            <w:tcW w:w="2154" w:type="dxa"/>
            <w:vMerge/>
          </w:tcPr>
          <w:p w14:paraId="597771B7" w14:textId="77777777" w:rsidR="00454A29" w:rsidRDefault="00454A29"/>
        </w:tc>
        <w:tc>
          <w:tcPr>
            <w:tcW w:w="2665" w:type="dxa"/>
            <w:vMerge/>
          </w:tcPr>
          <w:p w14:paraId="565264B4" w14:textId="77777777" w:rsidR="00454A29" w:rsidRDefault="00454A29"/>
        </w:tc>
        <w:tc>
          <w:tcPr>
            <w:tcW w:w="2665" w:type="dxa"/>
            <w:vMerge/>
          </w:tcPr>
          <w:p w14:paraId="31EE2475" w14:textId="77777777" w:rsidR="00454A29" w:rsidRDefault="00454A29"/>
        </w:tc>
        <w:tc>
          <w:tcPr>
            <w:tcW w:w="5613" w:type="dxa"/>
            <w:gridSpan w:val="3"/>
            <w:vMerge/>
          </w:tcPr>
          <w:p w14:paraId="17F978E5" w14:textId="77777777" w:rsidR="00454A29" w:rsidRDefault="00454A29"/>
        </w:tc>
        <w:tc>
          <w:tcPr>
            <w:tcW w:w="2098" w:type="dxa"/>
            <w:vAlign w:val="center"/>
          </w:tcPr>
          <w:p w14:paraId="589F9B3E" w14:textId="77777777" w:rsidR="00454A29" w:rsidRDefault="00454A29">
            <w:pPr>
              <w:pStyle w:val="ConsPlusNormal"/>
              <w:jc w:val="center"/>
            </w:pPr>
            <w:r>
              <w:t>Внебюджетные средства</w:t>
            </w:r>
          </w:p>
        </w:tc>
        <w:tc>
          <w:tcPr>
            <w:tcW w:w="1814" w:type="dxa"/>
            <w:vAlign w:val="center"/>
          </w:tcPr>
          <w:p w14:paraId="7E13803F" w14:textId="77777777" w:rsidR="00454A29" w:rsidRDefault="00454A29">
            <w:pPr>
              <w:pStyle w:val="ConsPlusNormal"/>
              <w:jc w:val="center"/>
            </w:pPr>
            <w:r>
              <w:t>0,00</w:t>
            </w:r>
          </w:p>
        </w:tc>
        <w:tc>
          <w:tcPr>
            <w:tcW w:w="1701" w:type="dxa"/>
            <w:vAlign w:val="center"/>
          </w:tcPr>
          <w:p w14:paraId="4D2BF236" w14:textId="77777777" w:rsidR="00454A29" w:rsidRDefault="00454A29">
            <w:pPr>
              <w:pStyle w:val="ConsPlusNormal"/>
              <w:jc w:val="center"/>
            </w:pPr>
            <w:r>
              <w:t>0,00</w:t>
            </w:r>
          </w:p>
        </w:tc>
        <w:tc>
          <w:tcPr>
            <w:tcW w:w="1701" w:type="dxa"/>
            <w:vAlign w:val="center"/>
          </w:tcPr>
          <w:p w14:paraId="29F7EF3D" w14:textId="77777777" w:rsidR="00454A29" w:rsidRDefault="00454A29">
            <w:pPr>
              <w:pStyle w:val="ConsPlusNormal"/>
              <w:jc w:val="center"/>
            </w:pPr>
            <w:r>
              <w:t>0,00</w:t>
            </w:r>
          </w:p>
        </w:tc>
        <w:tc>
          <w:tcPr>
            <w:tcW w:w="1701" w:type="dxa"/>
            <w:vAlign w:val="center"/>
          </w:tcPr>
          <w:p w14:paraId="27A1C709" w14:textId="77777777" w:rsidR="00454A29" w:rsidRDefault="00454A29">
            <w:pPr>
              <w:pStyle w:val="ConsPlusNormal"/>
              <w:jc w:val="center"/>
            </w:pPr>
            <w:r>
              <w:t>0,00</w:t>
            </w:r>
          </w:p>
        </w:tc>
        <w:tc>
          <w:tcPr>
            <w:tcW w:w="1701" w:type="dxa"/>
            <w:vAlign w:val="center"/>
          </w:tcPr>
          <w:p w14:paraId="045D6FE0" w14:textId="77777777" w:rsidR="00454A29" w:rsidRDefault="00454A29">
            <w:pPr>
              <w:pStyle w:val="ConsPlusNormal"/>
              <w:jc w:val="center"/>
            </w:pPr>
            <w:r>
              <w:t>0,00</w:t>
            </w:r>
          </w:p>
        </w:tc>
        <w:tc>
          <w:tcPr>
            <w:tcW w:w="1701" w:type="dxa"/>
            <w:vAlign w:val="center"/>
          </w:tcPr>
          <w:p w14:paraId="0F99A26B" w14:textId="77777777" w:rsidR="00454A29" w:rsidRDefault="00454A29">
            <w:pPr>
              <w:pStyle w:val="ConsPlusNormal"/>
              <w:jc w:val="center"/>
            </w:pPr>
            <w:r>
              <w:t>0,00</w:t>
            </w:r>
          </w:p>
        </w:tc>
        <w:tc>
          <w:tcPr>
            <w:tcW w:w="1701" w:type="dxa"/>
            <w:vAlign w:val="center"/>
          </w:tcPr>
          <w:p w14:paraId="13F8A5A3" w14:textId="77777777" w:rsidR="00454A29" w:rsidRDefault="00454A29">
            <w:pPr>
              <w:pStyle w:val="ConsPlusNormal"/>
              <w:jc w:val="center"/>
            </w:pPr>
            <w:r>
              <w:t>0,00</w:t>
            </w:r>
          </w:p>
        </w:tc>
      </w:tr>
      <w:tr w:rsidR="00454A29" w14:paraId="30E293F6" w14:textId="77777777">
        <w:tc>
          <w:tcPr>
            <w:tcW w:w="964" w:type="dxa"/>
            <w:vMerge w:val="restart"/>
            <w:vAlign w:val="center"/>
          </w:tcPr>
          <w:p w14:paraId="5485AF72" w14:textId="77777777" w:rsidR="00454A29" w:rsidRDefault="00454A29">
            <w:pPr>
              <w:pStyle w:val="ConsPlusNormal"/>
              <w:jc w:val="center"/>
            </w:pPr>
            <w:r>
              <w:t>1.13.2.</w:t>
            </w:r>
          </w:p>
        </w:tc>
        <w:tc>
          <w:tcPr>
            <w:tcW w:w="2154" w:type="dxa"/>
            <w:vMerge/>
          </w:tcPr>
          <w:p w14:paraId="27A89CB4" w14:textId="77777777" w:rsidR="00454A29" w:rsidRDefault="00454A29"/>
        </w:tc>
        <w:tc>
          <w:tcPr>
            <w:tcW w:w="2154" w:type="dxa"/>
            <w:vMerge/>
          </w:tcPr>
          <w:p w14:paraId="0A907BA3" w14:textId="77777777" w:rsidR="00454A29" w:rsidRDefault="00454A29"/>
        </w:tc>
        <w:tc>
          <w:tcPr>
            <w:tcW w:w="2665" w:type="dxa"/>
            <w:vMerge/>
          </w:tcPr>
          <w:p w14:paraId="63E3D250" w14:textId="77777777" w:rsidR="00454A29" w:rsidRDefault="00454A29"/>
        </w:tc>
        <w:tc>
          <w:tcPr>
            <w:tcW w:w="2665" w:type="dxa"/>
            <w:vMerge/>
          </w:tcPr>
          <w:p w14:paraId="36082672" w14:textId="77777777" w:rsidR="00454A29" w:rsidRDefault="00454A29"/>
        </w:tc>
        <w:tc>
          <w:tcPr>
            <w:tcW w:w="1928" w:type="dxa"/>
            <w:vMerge w:val="restart"/>
            <w:vAlign w:val="center"/>
          </w:tcPr>
          <w:p w14:paraId="71B7C604" w14:textId="77777777" w:rsidR="00454A29" w:rsidRDefault="00454A29">
            <w:pPr>
              <w:pStyle w:val="ConsPlusNormal"/>
              <w:jc w:val="center"/>
            </w:pPr>
            <w:r>
              <w:t>ГО "город Якутск"</w:t>
            </w:r>
          </w:p>
        </w:tc>
        <w:tc>
          <w:tcPr>
            <w:tcW w:w="1644" w:type="dxa"/>
            <w:vMerge w:val="restart"/>
            <w:vAlign w:val="center"/>
          </w:tcPr>
          <w:p w14:paraId="32348928" w14:textId="77777777" w:rsidR="00454A29" w:rsidRDefault="00454A29">
            <w:pPr>
              <w:pStyle w:val="ConsPlusNormal"/>
              <w:jc w:val="center"/>
            </w:pPr>
            <w:r>
              <w:t>г. Якутск</w:t>
            </w:r>
          </w:p>
        </w:tc>
        <w:tc>
          <w:tcPr>
            <w:tcW w:w="2041" w:type="dxa"/>
            <w:vMerge w:val="restart"/>
            <w:vAlign w:val="center"/>
          </w:tcPr>
          <w:p w14:paraId="247E8732" w14:textId="77777777" w:rsidR="00454A29" w:rsidRDefault="00454A29">
            <w:pPr>
              <w:pStyle w:val="ConsPlusNormal"/>
              <w:jc w:val="center"/>
            </w:pPr>
            <w:r>
              <w:t>Строительство пристроя к школе N 31 г. Якутск на 315 учащихся</w:t>
            </w:r>
          </w:p>
        </w:tc>
        <w:tc>
          <w:tcPr>
            <w:tcW w:w="2098" w:type="dxa"/>
            <w:vAlign w:val="center"/>
          </w:tcPr>
          <w:p w14:paraId="25153D77" w14:textId="77777777" w:rsidR="00454A29" w:rsidRDefault="00454A29">
            <w:pPr>
              <w:pStyle w:val="ConsPlusNormal"/>
              <w:jc w:val="center"/>
            </w:pPr>
            <w:r>
              <w:t>Итого</w:t>
            </w:r>
          </w:p>
        </w:tc>
        <w:tc>
          <w:tcPr>
            <w:tcW w:w="1814" w:type="dxa"/>
            <w:vAlign w:val="center"/>
          </w:tcPr>
          <w:p w14:paraId="3AE3CFD4" w14:textId="77777777" w:rsidR="00454A29" w:rsidRDefault="00454A29">
            <w:pPr>
              <w:pStyle w:val="ConsPlusNormal"/>
              <w:jc w:val="center"/>
            </w:pPr>
            <w:r>
              <w:t>266 896,85</w:t>
            </w:r>
          </w:p>
        </w:tc>
        <w:tc>
          <w:tcPr>
            <w:tcW w:w="1701" w:type="dxa"/>
            <w:vAlign w:val="center"/>
          </w:tcPr>
          <w:p w14:paraId="50A8CA70" w14:textId="77777777" w:rsidR="00454A29" w:rsidRDefault="00454A29">
            <w:pPr>
              <w:pStyle w:val="ConsPlusNormal"/>
              <w:jc w:val="center"/>
            </w:pPr>
            <w:r>
              <w:t>0,00</w:t>
            </w:r>
          </w:p>
        </w:tc>
        <w:tc>
          <w:tcPr>
            <w:tcW w:w="1701" w:type="dxa"/>
            <w:vAlign w:val="center"/>
          </w:tcPr>
          <w:p w14:paraId="766AFD08" w14:textId="77777777" w:rsidR="00454A29" w:rsidRDefault="00454A29">
            <w:pPr>
              <w:pStyle w:val="ConsPlusNormal"/>
              <w:jc w:val="center"/>
            </w:pPr>
            <w:r>
              <w:t>0,00</w:t>
            </w:r>
          </w:p>
        </w:tc>
        <w:tc>
          <w:tcPr>
            <w:tcW w:w="1701" w:type="dxa"/>
            <w:vAlign w:val="center"/>
          </w:tcPr>
          <w:p w14:paraId="017A0DA7" w14:textId="77777777" w:rsidR="00454A29" w:rsidRDefault="00454A29">
            <w:pPr>
              <w:pStyle w:val="ConsPlusNormal"/>
              <w:jc w:val="center"/>
            </w:pPr>
            <w:r>
              <w:t>0,00</w:t>
            </w:r>
          </w:p>
        </w:tc>
        <w:tc>
          <w:tcPr>
            <w:tcW w:w="1701" w:type="dxa"/>
            <w:vAlign w:val="center"/>
          </w:tcPr>
          <w:p w14:paraId="426A68F4" w14:textId="77777777" w:rsidR="00454A29" w:rsidRDefault="00454A29">
            <w:pPr>
              <w:pStyle w:val="ConsPlusNormal"/>
              <w:jc w:val="center"/>
            </w:pPr>
            <w:r>
              <w:t>0,00</w:t>
            </w:r>
          </w:p>
        </w:tc>
        <w:tc>
          <w:tcPr>
            <w:tcW w:w="1701" w:type="dxa"/>
            <w:vAlign w:val="center"/>
          </w:tcPr>
          <w:p w14:paraId="074935B5" w14:textId="77777777" w:rsidR="00454A29" w:rsidRDefault="00454A29">
            <w:pPr>
              <w:pStyle w:val="ConsPlusNormal"/>
              <w:jc w:val="center"/>
            </w:pPr>
            <w:r>
              <w:t>0,00</w:t>
            </w:r>
          </w:p>
        </w:tc>
        <w:tc>
          <w:tcPr>
            <w:tcW w:w="1701" w:type="dxa"/>
            <w:vAlign w:val="center"/>
          </w:tcPr>
          <w:p w14:paraId="1E9E1043" w14:textId="77777777" w:rsidR="00454A29" w:rsidRDefault="00454A29">
            <w:pPr>
              <w:pStyle w:val="ConsPlusNormal"/>
              <w:jc w:val="center"/>
            </w:pPr>
            <w:r>
              <w:t>0,00</w:t>
            </w:r>
          </w:p>
        </w:tc>
      </w:tr>
      <w:tr w:rsidR="00454A29" w14:paraId="28E2EC5B" w14:textId="77777777">
        <w:tc>
          <w:tcPr>
            <w:tcW w:w="964" w:type="dxa"/>
            <w:vMerge/>
          </w:tcPr>
          <w:p w14:paraId="7F5311FD" w14:textId="77777777" w:rsidR="00454A29" w:rsidRDefault="00454A29"/>
        </w:tc>
        <w:tc>
          <w:tcPr>
            <w:tcW w:w="2154" w:type="dxa"/>
            <w:vMerge/>
          </w:tcPr>
          <w:p w14:paraId="30E61E02" w14:textId="77777777" w:rsidR="00454A29" w:rsidRDefault="00454A29"/>
        </w:tc>
        <w:tc>
          <w:tcPr>
            <w:tcW w:w="2154" w:type="dxa"/>
            <w:vMerge/>
          </w:tcPr>
          <w:p w14:paraId="0719F963" w14:textId="77777777" w:rsidR="00454A29" w:rsidRDefault="00454A29"/>
        </w:tc>
        <w:tc>
          <w:tcPr>
            <w:tcW w:w="2665" w:type="dxa"/>
            <w:vMerge/>
          </w:tcPr>
          <w:p w14:paraId="0A810975" w14:textId="77777777" w:rsidR="00454A29" w:rsidRDefault="00454A29"/>
        </w:tc>
        <w:tc>
          <w:tcPr>
            <w:tcW w:w="2665" w:type="dxa"/>
            <w:vMerge/>
          </w:tcPr>
          <w:p w14:paraId="135493B7" w14:textId="77777777" w:rsidR="00454A29" w:rsidRDefault="00454A29"/>
        </w:tc>
        <w:tc>
          <w:tcPr>
            <w:tcW w:w="1928" w:type="dxa"/>
            <w:vMerge/>
          </w:tcPr>
          <w:p w14:paraId="2EB38E86" w14:textId="77777777" w:rsidR="00454A29" w:rsidRDefault="00454A29"/>
        </w:tc>
        <w:tc>
          <w:tcPr>
            <w:tcW w:w="1644" w:type="dxa"/>
            <w:vMerge/>
          </w:tcPr>
          <w:p w14:paraId="396F899D" w14:textId="77777777" w:rsidR="00454A29" w:rsidRDefault="00454A29"/>
        </w:tc>
        <w:tc>
          <w:tcPr>
            <w:tcW w:w="2041" w:type="dxa"/>
            <w:vMerge/>
          </w:tcPr>
          <w:p w14:paraId="06FF2B33" w14:textId="77777777" w:rsidR="00454A29" w:rsidRDefault="00454A29"/>
        </w:tc>
        <w:tc>
          <w:tcPr>
            <w:tcW w:w="2098" w:type="dxa"/>
            <w:vAlign w:val="center"/>
          </w:tcPr>
          <w:p w14:paraId="0628EADE"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AC707FC" w14:textId="77777777" w:rsidR="00454A29" w:rsidRDefault="00454A29">
            <w:pPr>
              <w:pStyle w:val="ConsPlusNormal"/>
              <w:jc w:val="center"/>
            </w:pPr>
            <w:r>
              <w:t>21 351,75</w:t>
            </w:r>
          </w:p>
        </w:tc>
        <w:tc>
          <w:tcPr>
            <w:tcW w:w="1701" w:type="dxa"/>
            <w:vAlign w:val="center"/>
          </w:tcPr>
          <w:p w14:paraId="708A375E" w14:textId="77777777" w:rsidR="00454A29" w:rsidRDefault="00454A29">
            <w:pPr>
              <w:pStyle w:val="ConsPlusNormal"/>
              <w:jc w:val="center"/>
            </w:pPr>
            <w:r>
              <w:t>0,00</w:t>
            </w:r>
          </w:p>
        </w:tc>
        <w:tc>
          <w:tcPr>
            <w:tcW w:w="1701" w:type="dxa"/>
            <w:vAlign w:val="center"/>
          </w:tcPr>
          <w:p w14:paraId="017B15DA" w14:textId="77777777" w:rsidR="00454A29" w:rsidRDefault="00454A29">
            <w:pPr>
              <w:pStyle w:val="ConsPlusNormal"/>
              <w:jc w:val="center"/>
            </w:pPr>
            <w:r>
              <w:t>0,00</w:t>
            </w:r>
          </w:p>
        </w:tc>
        <w:tc>
          <w:tcPr>
            <w:tcW w:w="1701" w:type="dxa"/>
            <w:vAlign w:val="center"/>
          </w:tcPr>
          <w:p w14:paraId="6A01F3AE" w14:textId="77777777" w:rsidR="00454A29" w:rsidRDefault="00454A29">
            <w:pPr>
              <w:pStyle w:val="ConsPlusNormal"/>
              <w:jc w:val="center"/>
            </w:pPr>
            <w:r>
              <w:t>0,00</w:t>
            </w:r>
          </w:p>
        </w:tc>
        <w:tc>
          <w:tcPr>
            <w:tcW w:w="1701" w:type="dxa"/>
            <w:vAlign w:val="center"/>
          </w:tcPr>
          <w:p w14:paraId="67EE4FD9" w14:textId="77777777" w:rsidR="00454A29" w:rsidRDefault="00454A29">
            <w:pPr>
              <w:pStyle w:val="ConsPlusNormal"/>
              <w:jc w:val="center"/>
            </w:pPr>
            <w:r>
              <w:t>0,00</w:t>
            </w:r>
          </w:p>
        </w:tc>
        <w:tc>
          <w:tcPr>
            <w:tcW w:w="1701" w:type="dxa"/>
            <w:vAlign w:val="center"/>
          </w:tcPr>
          <w:p w14:paraId="3C7A23E1" w14:textId="77777777" w:rsidR="00454A29" w:rsidRDefault="00454A29">
            <w:pPr>
              <w:pStyle w:val="ConsPlusNormal"/>
              <w:jc w:val="center"/>
            </w:pPr>
            <w:r>
              <w:t>0,00</w:t>
            </w:r>
          </w:p>
        </w:tc>
        <w:tc>
          <w:tcPr>
            <w:tcW w:w="1701" w:type="dxa"/>
            <w:vAlign w:val="center"/>
          </w:tcPr>
          <w:p w14:paraId="34BF45BB" w14:textId="77777777" w:rsidR="00454A29" w:rsidRDefault="00454A29">
            <w:pPr>
              <w:pStyle w:val="ConsPlusNormal"/>
              <w:jc w:val="center"/>
            </w:pPr>
            <w:r>
              <w:t>0,00</w:t>
            </w:r>
          </w:p>
        </w:tc>
      </w:tr>
      <w:tr w:rsidR="00454A29" w14:paraId="1291E2E9" w14:textId="77777777">
        <w:tc>
          <w:tcPr>
            <w:tcW w:w="964" w:type="dxa"/>
            <w:vMerge/>
          </w:tcPr>
          <w:p w14:paraId="2492153C" w14:textId="77777777" w:rsidR="00454A29" w:rsidRDefault="00454A29"/>
        </w:tc>
        <w:tc>
          <w:tcPr>
            <w:tcW w:w="2154" w:type="dxa"/>
            <w:vMerge/>
          </w:tcPr>
          <w:p w14:paraId="13455ECA" w14:textId="77777777" w:rsidR="00454A29" w:rsidRDefault="00454A29"/>
        </w:tc>
        <w:tc>
          <w:tcPr>
            <w:tcW w:w="2154" w:type="dxa"/>
            <w:vMerge/>
          </w:tcPr>
          <w:p w14:paraId="67522381" w14:textId="77777777" w:rsidR="00454A29" w:rsidRDefault="00454A29"/>
        </w:tc>
        <w:tc>
          <w:tcPr>
            <w:tcW w:w="2665" w:type="dxa"/>
            <w:vMerge/>
          </w:tcPr>
          <w:p w14:paraId="5528E793" w14:textId="77777777" w:rsidR="00454A29" w:rsidRDefault="00454A29"/>
        </w:tc>
        <w:tc>
          <w:tcPr>
            <w:tcW w:w="2665" w:type="dxa"/>
            <w:vMerge/>
          </w:tcPr>
          <w:p w14:paraId="1D48D8D5" w14:textId="77777777" w:rsidR="00454A29" w:rsidRDefault="00454A29"/>
        </w:tc>
        <w:tc>
          <w:tcPr>
            <w:tcW w:w="1928" w:type="dxa"/>
            <w:vMerge/>
          </w:tcPr>
          <w:p w14:paraId="0EB32279" w14:textId="77777777" w:rsidR="00454A29" w:rsidRDefault="00454A29"/>
        </w:tc>
        <w:tc>
          <w:tcPr>
            <w:tcW w:w="1644" w:type="dxa"/>
            <w:vMerge/>
          </w:tcPr>
          <w:p w14:paraId="093E2D30" w14:textId="77777777" w:rsidR="00454A29" w:rsidRDefault="00454A29"/>
        </w:tc>
        <w:tc>
          <w:tcPr>
            <w:tcW w:w="2041" w:type="dxa"/>
            <w:vMerge/>
          </w:tcPr>
          <w:p w14:paraId="31584AE1" w14:textId="77777777" w:rsidR="00454A29" w:rsidRDefault="00454A29"/>
        </w:tc>
        <w:tc>
          <w:tcPr>
            <w:tcW w:w="2098" w:type="dxa"/>
            <w:vAlign w:val="center"/>
          </w:tcPr>
          <w:p w14:paraId="233D554F" w14:textId="77777777" w:rsidR="00454A29" w:rsidRDefault="00454A29">
            <w:pPr>
              <w:pStyle w:val="ConsPlusNormal"/>
              <w:jc w:val="center"/>
            </w:pPr>
            <w:r>
              <w:t>Федеральный бюджет</w:t>
            </w:r>
          </w:p>
        </w:tc>
        <w:tc>
          <w:tcPr>
            <w:tcW w:w="1814" w:type="dxa"/>
            <w:vAlign w:val="center"/>
          </w:tcPr>
          <w:p w14:paraId="02FE7AB0" w14:textId="77777777" w:rsidR="00454A29" w:rsidRDefault="00454A29">
            <w:pPr>
              <w:pStyle w:val="ConsPlusNormal"/>
              <w:jc w:val="center"/>
            </w:pPr>
            <w:r>
              <w:t>245 545,10</w:t>
            </w:r>
          </w:p>
        </w:tc>
        <w:tc>
          <w:tcPr>
            <w:tcW w:w="1701" w:type="dxa"/>
            <w:vAlign w:val="center"/>
          </w:tcPr>
          <w:p w14:paraId="77B5743F" w14:textId="77777777" w:rsidR="00454A29" w:rsidRDefault="00454A29">
            <w:pPr>
              <w:pStyle w:val="ConsPlusNormal"/>
              <w:jc w:val="center"/>
            </w:pPr>
            <w:r>
              <w:t>0,00</w:t>
            </w:r>
          </w:p>
        </w:tc>
        <w:tc>
          <w:tcPr>
            <w:tcW w:w="1701" w:type="dxa"/>
            <w:vAlign w:val="center"/>
          </w:tcPr>
          <w:p w14:paraId="07398B94" w14:textId="77777777" w:rsidR="00454A29" w:rsidRDefault="00454A29">
            <w:pPr>
              <w:pStyle w:val="ConsPlusNormal"/>
              <w:jc w:val="center"/>
            </w:pPr>
            <w:r>
              <w:t>0,00</w:t>
            </w:r>
          </w:p>
        </w:tc>
        <w:tc>
          <w:tcPr>
            <w:tcW w:w="1701" w:type="dxa"/>
            <w:vAlign w:val="center"/>
          </w:tcPr>
          <w:p w14:paraId="45AC6C88" w14:textId="77777777" w:rsidR="00454A29" w:rsidRDefault="00454A29">
            <w:pPr>
              <w:pStyle w:val="ConsPlusNormal"/>
              <w:jc w:val="center"/>
            </w:pPr>
            <w:r>
              <w:t>0,00</w:t>
            </w:r>
          </w:p>
        </w:tc>
        <w:tc>
          <w:tcPr>
            <w:tcW w:w="1701" w:type="dxa"/>
            <w:vAlign w:val="center"/>
          </w:tcPr>
          <w:p w14:paraId="02CC66FD" w14:textId="77777777" w:rsidR="00454A29" w:rsidRDefault="00454A29">
            <w:pPr>
              <w:pStyle w:val="ConsPlusNormal"/>
              <w:jc w:val="center"/>
            </w:pPr>
            <w:r>
              <w:t>0,00</w:t>
            </w:r>
          </w:p>
        </w:tc>
        <w:tc>
          <w:tcPr>
            <w:tcW w:w="1701" w:type="dxa"/>
            <w:vAlign w:val="center"/>
          </w:tcPr>
          <w:p w14:paraId="7697B99F" w14:textId="77777777" w:rsidR="00454A29" w:rsidRDefault="00454A29">
            <w:pPr>
              <w:pStyle w:val="ConsPlusNormal"/>
              <w:jc w:val="center"/>
            </w:pPr>
            <w:r>
              <w:t>0,00</w:t>
            </w:r>
          </w:p>
        </w:tc>
        <w:tc>
          <w:tcPr>
            <w:tcW w:w="1701" w:type="dxa"/>
            <w:vAlign w:val="center"/>
          </w:tcPr>
          <w:p w14:paraId="35B8EE11" w14:textId="77777777" w:rsidR="00454A29" w:rsidRDefault="00454A29">
            <w:pPr>
              <w:pStyle w:val="ConsPlusNormal"/>
              <w:jc w:val="center"/>
            </w:pPr>
            <w:r>
              <w:t>0,00</w:t>
            </w:r>
          </w:p>
        </w:tc>
      </w:tr>
      <w:tr w:rsidR="00454A29" w14:paraId="6754C60D" w14:textId="77777777">
        <w:tc>
          <w:tcPr>
            <w:tcW w:w="964" w:type="dxa"/>
            <w:vMerge/>
          </w:tcPr>
          <w:p w14:paraId="01BACB3B" w14:textId="77777777" w:rsidR="00454A29" w:rsidRDefault="00454A29"/>
        </w:tc>
        <w:tc>
          <w:tcPr>
            <w:tcW w:w="2154" w:type="dxa"/>
            <w:vMerge/>
          </w:tcPr>
          <w:p w14:paraId="76134DF4" w14:textId="77777777" w:rsidR="00454A29" w:rsidRDefault="00454A29"/>
        </w:tc>
        <w:tc>
          <w:tcPr>
            <w:tcW w:w="2154" w:type="dxa"/>
            <w:vMerge/>
          </w:tcPr>
          <w:p w14:paraId="5DA27A55" w14:textId="77777777" w:rsidR="00454A29" w:rsidRDefault="00454A29"/>
        </w:tc>
        <w:tc>
          <w:tcPr>
            <w:tcW w:w="2665" w:type="dxa"/>
            <w:vMerge/>
          </w:tcPr>
          <w:p w14:paraId="3D3C06FD" w14:textId="77777777" w:rsidR="00454A29" w:rsidRDefault="00454A29"/>
        </w:tc>
        <w:tc>
          <w:tcPr>
            <w:tcW w:w="2665" w:type="dxa"/>
            <w:vMerge/>
          </w:tcPr>
          <w:p w14:paraId="42E4F845" w14:textId="77777777" w:rsidR="00454A29" w:rsidRDefault="00454A29"/>
        </w:tc>
        <w:tc>
          <w:tcPr>
            <w:tcW w:w="1928" w:type="dxa"/>
            <w:vMerge/>
          </w:tcPr>
          <w:p w14:paraId="6515392B" w14:textId="77777777" w:rsidR="00454A29" w:rsidRDefault="00454A29"/>
        </w:tc>
        <w:tc>
          <w:tcPr>
            <w:tcW w:w="1644" w:type="dxa"/>
            <w:vMerge/>
          </w:tcPr>
          <w:p w14:paraId="7A3F191C" w14:textId="77777777" w:rsidR="00454A29" w:rsidRDefault="00454A29"/>
        </w:tc>
        <w:tc>
          <w:tcPr>
            <w:tcW w:w="2041" w:type="dxa"/>
            <w:vMerge/>
          </w:tcPr>
          <w:p w14:paraId="61B335FD" w14:textId="77777777" w:rsidR="00454A29" w:rsidRDefault="00454A29"/>
        </w:tc>
        <w:tc>
          <w:tcPr>
            <w:tcW w:w="2098" w:type="dxa"/>
            <w:vAlign w:val="center"/>
          </w:tcPr>
          <w:p w14:paraId="332B1DA0" w14:textId="77777777" w:rsidR="00454A29" w:rsidRDefault="00454A29">
            <w:pPr>
              <w:pStyle w:val="ConsPlusNormal"/>
              <w:jc w:val="center"/>
            </w:pPr>
            <w:r>
              <w:t>Местные бюджеты</w:t>
            </w:r>
          </w:p>
        </w:tc>
        <w:tc>
          <w:tcPr>
            <w:tcW w:w="1814" w:type="dxa"/>
            <w:vAlign w:val="center"/>
          </w:tcPr>
          <w:p w14:paraId="181C607D" w14:textId="77777777" w:rsidR="00454A29" w:rsidRDefault="00454A29">
            <w:pPr>
              <w:pStyle w:val="ConsPlusNormal"/>
              <w:jc w:val="center"/>
            </w:pPr>
            <w:r>
              <w:t>0,00</w:t>
            </w:r>
          </w:p>
        </w:tc>
        <w:tc>
          <w:tcPr>
            <w:tcW w:w="1701" w:type="dxa"/>
            <w:vAlign w:val="center"/>
          </w:tcPr>
          <w:p w14:paraId="13AE5B54" w14:textId="77777777" w:rsidR="00454A29" w:rsidRDefault="00454A29">
            <w:pPr>
              <w:pStyle w:val="ConsPlusNormal"/>
              <w:jc w:val="center"/>
            </w:pPr>
            <w:r>
              <w:t>0,00</w:t>
            </w:r>
          </w:p>
        </w:tc>
        <w:tc>
          <w:tcPr>
            <w:tcW w:w="1701" w:type="dxa"/>
            <w:vAlign w:val="center"/>
          </w:tcPr>
          <w:p w14:paraId="22F256AC" w14:textId="77777777" w:rsidR="00454A29" w:rsidRDefault="00454A29">
            <w:pPr>
              <w:pStyle w:val="ConsPlusNormal"/>
              <w:jc w:val="center"/>
            </w:pPr>
            <w:r>
              <w:t>0,00</w:t>
            </w:r>
          </w:p>
        </w:tc>
        <w:tc>
          <w:tcPr>
            <w:tcW w:w="1701" w:type="dxa"/>
            <w:vAlign w:val="center"/>
          </w:tcPr>
          <w:p w14:paraId="45F3BDF4" w14:textId="77777777" w:rsidR="00454A29" w:rsidRDefault="00454A29">
            <w:pPr>
              <w:pStyle w:val="ConsPlusNormal"/>
              <w:jc w:val="center"/>
            </w:pPr>
            <w:r>
              <w:t>0,00</w:t>
            </w:r>
          </w:p>
        </w:tc>
        <w:tc>
          <w:tcPr>
            <w:tcW w:w="1701" w:type="dxa"/>
            <w:vAlign w:val="center"/>
          </w:tcPr>
          <w:p w14:paraId="32CB1FB2" w14:textId="77777777" w:rsidR="00454A29" w:rsidRDefault="00454A29">
            <w:pPr>
              <w:pStyle w:val="ConsPlusNormal"/>
              <w:jc w:val="center"/>
            </w:pPr>
            <w:r>
              <w:t>0,00</w:t>
            </w:r>
          </w:p>
        </w:tc>
        <w:tc>
          <w:tcPr>
            <w:tcW w:w="1701" w:type="dxa"/>
            <w:vAlign w:val="center"/>
          </w:tcPr>
          <w:p w14:paraId="358BB247" w14:textId="77777777" w:rsidR="00454A29" w:rsidRDefault="00454A29">
            <w:pPr>
              <w:pStyle w:val="ConsPlusNormal"/>
              <w:jc w:val="center"/>
            </w:pPr>
            <w:r>
              <w:t>0,00</w:t>
            </w:r>
          </w:p>
        </w:tc>
        <w:tc>
          <w:tcPr>
            <w:tcW w:w="1701" w:type="dxa"/>
            <w:vAlign w:val="center"/>
          </w:tcPr>
          <w:p w14:paraId="4B4313A0" w14:textId="77777777" w:rsidR="00454A29" w:rsidRDefault="00454A29">
            <w:pPr>
              <w:pStyle w:val="ConsPlusNormal"/>
              <w:jc w:val="center"/>
            </w:pPr>
            <w:r>
              <w:t>0,00</w:t>
            </w:r>
          </w:p>
        </w:tc>
      </w:tr>
      <w:tr w:rsidR="00454A29" w14:paraId="1B7D48C7" w14:textId="77777777">
        <w:tc>
          <w:tcPr>
            <w:tcW w:w="964" w:type="dxa"/>
            <w:vMerge/>
          </w:tcPr>
          <w:p w14:paraId="3A3ED443" w14:textId="77777777" w:rsidR="00454A29" w:rsidRDefault="00454A29"/>
        </w:tc>
        <w:tc>
          <w:tcPr>
            <w:tcW w:w="2154" w:type="dxa"/>
            <w:vMerge/>
          </w:tcPr>
          <w:p w14:paraId="1761EBA1" w14:textId="77777777" w:rsidR="00454A29" w:rsidRDefault="00454A29"/>
        </w:tc>
        <w:tc>
          <w:tcPr>
            <w:tcW w:w="2154" w:type="dxa"/>
            <w:vMerge/>
          </w:tcPr>
          <w:p w14:paraId="22993870" w14:textId="77777777" w:rsidR="00454A29" w:rsidRDefault="00454A29"/>
        </w:tc>
        <w:tc>
          <w:tcPr>
            <w:tcW w:w="2665" w:type="dxa"/>
            <w:vMerge/>
          </w:tcPr>
          <w:p w14:paraId="6B16D5F6" w14:textId="77777777" w:rsidR="00454A29" w:rsidRDefault="00454A29"/>
        </w:tc>
        <w:tc>
          <w:tcPr>
            <w:tcW w:w="2665" w:type="dxa"/>
            <w:vMerge/>
          </w:tcPr>
          <w:p w14:paraId="661B1DD3" w14:textId="77777777" w:rsidR="00454A29" w:rsidRDefault="00454A29"/>
        </w:tc>
        <w:tc>
          <w:tcPr>
            <w:tcW w:w="1928" w:type="dxa"/>
            <w:vMerge/>
          </w:tcPr>
          <w:p w14:paraId="39541160" w14:textId="77777777" w:rsidR="00454A29" w:rsidRDefault="00454A29"/>
        </w:tc>
        <w:tc>
          <w:tcPr>
            <w:tcW w:w="1644" w:type="dxa"/>
            <w:vMerge/>
          </w:tcPr>
          <w:p w14:paraId="692B7507" w14:textId="77777777" w:rsidR="00454A29" w:rsidRDefault="00454A29"/>
        </w:tc>
        <w:tc>
          <w:tcPr>
            <w:tcW w:w="2041" w:type="dxa"/>
            <w:vMerge/>
          </w:tcPr>
          <w:p w14:paraId="43356FA0" w14:textId="77777777" w:rsidR="00454A29" w:rsidRDefault="00454A29"/>
        </w:tc>
        <w:tc>
          <w:tcPr>
            <w:tcW w:w="2098" w:type="dxa"/>
            <w:vAlign w:val="center"/>
          </w:tcPr>
          <w:p w14:paraId="74081E0B" w14:textId="77777777" w:rsidR="00454A29" w:rsidRDefault="00454A29">
            <w:pPr>
              <w:pStyle w:val="ConsPlusNormal"/>
              <w:jc w:val="center"/>
            </w:pPr>
            <w:r>
              <w:t>Внебюджетные средства</w:t>
            </w:r>
          </w:p>
        </w:tc>
        <w:tc>
          <w:tcPr>
            <w:tcW w:w="1814" w:type="dxa"/>
            <w:vAlign w:val="center"/>
          </w:tcPr>
          <w:p w14:paraId="767592CA" w14:textId="77777777" w:rsidR="00454A29" w:rsidRDefault="00454A29">
            <w:pPr>
              <w:pStyle w:val="ConsPlusNormal"/>
              <w:jc w:val="center"/>
            </w:pPr>
            <w:r>
              <w:t>0,00</w:t>
            </w:r>
          </w:p>
        </w:tc>
        <w:tc>
          <w:tcPr>
            <w:tcW w:w="1701" w:type="dxa"/>
            <w:vAlign w:val="center"/>
          </w:tcPr>
          <w:p w14:paraId="178D46E5" w14:textId="77777777" w:rsidR="00454A29" w:rsidRDefault="00454A29">
            <w:pPr>
              <w:pStyle w:val="ConsPlusNormal"/>
              <w:jc w:val="center"/>
            </w:pPr>
            <w:r>
              <w:t>0,00</w:t>
            </w:r>
          </w:p>
        </w:tc>
        <w:tc>
          <w:tcPr>
            <w:tcW w:w="1701" w:type="dxa"/>
            <w:vAlign w:val="center"/>
          </w:tcPr>
          <w:p w14:paraId="21E58E3E" w14:textId="77777777" w:rsidR="00454A29" w:rsidRDefault="00454A29">
            <w:pPr>
              <w:pStyle w:val="ConsPlusNormal"/>
              <w:jc w:val="center"/>
            </w:pPr>
            <w:r>
              <w:t>0,00</w:t>
            </w:r>
          </w:p>
        </w:tc>
        <w:tc>
          <w:tcPr>
            <w:tcW w:w="1701" w:type="dxa"/>
            <w:vAlign w:val="center"/>
          </w:tcPr>
          <w:p w14:paraId="7E8EAC33" w14:textId="77777777" w:rsidR="00454A29" w:rsidRDefault="00454A29">
            <w:pPr>
              <w:pStyle w:val="ConsPlusNormal"/>
              <w:jc w:val="center"/>
            </w:pPr>
            <w:r>
              <w:t>0,00</w:t>
            </w:r>
          </w:p>
        </w:tc>
        <w:tc>
          <w:tcPr>
            <w:tcW w:w="1701" w:type="dxa"/>
            <w:vAlign w:val="center"/>
          </w:tcPr>
          <w:p w14:paraId="42710BE6" w14:textId="77777777" w:rsidR="00454A29" w:rsidRDefault="00454A29">
            <w:pPr>
              <w:pStyle w:val="ConsPlusNormal"/>
              <w:jc w:val="center"/>
            </w:pPr>
            <w:r>
              <w:t>0,00</w:t>
            </w:r>
          </w:p>
        </w:tc>
        <w:tc>
          <w:tcPr>
            <w:tcW w:w="1701" w:type="dxa"/>
            <w:vAlign w:val="center"/>
          </w:tcPr>
          <w:p w14:paraId="05E25BA3" w14:textId="77777777" w:rsidR="00454A29" w:rsidRDefault="00454A29">
            <w:pPr>
              <w:pStyle w:val="ConsPlusNormal"/>
              <w:jc w:val="center"/>
            </w:pPr>
            <w:r>
              <w:t>0,00</w:t>
            </w:r>
          </w:p>
        </w:tc>
        <w:tc>
          <w:tcPr>
            <w:tcW w:w="1701" w:type="dxa"/>
            <w:vAlign w:val="center"/>
          </w:tcPr>
          <w:p w14:paraId="57E230F7" w14:textId="77777777" w:rsidR="00454A29" w:rsidRDefault="00454A29">
            <w:pPr>
              <w:pStyle w:val="ConsPlusNormal"/>
              <w:jc w:val="center"/>
            </w:pPr>
            <w:r>
              <w:t>0,00</w:t>
            </w:r>
          </w:p>
        </w:tc>
      </w:tr>
      <w:tr w:rsidR="00454A29" w14:paraId="3DC7FEBD" w14:textId="77777777">
        <w:tc>
          <w:tcPr>
            <w:tcW w:w="964" w:type="dxa"/>
            <w:vMerge w:val="restart"/>
            <w:vAlign w:val="center"/>
          </w:tcPr>
          <w:p w14:paraId="305DB3FD" w14:textId="77777777" w:rsidR="00454A29" w:rsidRDefault="00454A29">
            <w:pPr>
              <w:pStyle w:val="ConsPlusNormal"/>
              <w:jc w:val="center"/>
            </w:pPr>
            <w:r>
              <w:t>2.</w:t>
            </w:r>
          </w:p>
        </w:tc>
        <w:tc>
          <w:tcPr>
            <w:tcW w:w="2154" w:type="dxa"/>
            <w:vMerge w:val="restart"/>
            <w:tcBorders>
              <w:bottom w:val="nil"/>
            </w:tcBorders>
            <w:vAlign w:val="center"/>
          </w:tcPr>
          <w:p w14:paraId="15CEC582" w14:textId="77777777" w:rsidR="00454A29" w:rsidRDefault="00454A29">
            <w:pPr>
              <w:pStyle w:val="ConsPlusNormal"/>
              <w:jc w:val="center"/>
            </w:pPr>
            <w:r>
              <w:t xml:space="preserve">Подпрограмма 4 "Воспитание и </w:t>
            </w:r>
            <w:r>
              <w:lastRenderedPageBreak/>
              <w:t>дополнительное образование"</w:t>
            </w:r>
          </w:p>
        </w:tc>
        <w:tc>
          <w:tcPr>
            <w:tcW w:w="2154" w:type="dxa"/>
            <w:vMerge w:val="restart"/>
            <w:tcBorders>
              <w:bottom w:val="nil"/>
            </w:tcBorders>
            <w:vAlign w:val="center"/>
          </w:tcPr>
          <w:p w14:paraId="387BC27A" w14:textId="77777777" w:rsidR="00454A29" w:rsidRDefault="00454A29">
            <w:pPr>
              <w:pStyle w:val="ConsPlusNormal"/>
              <w:jc w:val="center"/>
            </w:pPr>
            <w:r>
              <w:lastRenderedPageBreak/>
              <w:t xml:space="preserve">Основное мероприятие 4.3. </w:t>
            </w:r>
            <w:r>
              <w:lastRenderedPageBreak/>
              <w:t>"Реализация регионального проекта "Успех каждого ребенка"</w:t>
            </w:r>
          </w:p>
        </w:tc>
        <w:tc>
          <w:tcPr>
            <w:tcW w:w="10943" w:type="dxa"/>
            <w:gridSpan w:val="5"/>
            <w:vMerge w:val="restart"/>
            <w:vAlign w:val="center"/>
          </w:tcPr>
          <w:p w14:paraId="7EE08946" w14:textId="77777777" w:rsidR="00454A29" w:rsidRDefault="00454A29">
            <w:pPr>
              <w:pStyle w:val="ConsPlusNormal"/>
              <w:jc w:val="center"/>
            </w:pPr>
            <w:r>
              <w:lastRenderedPageBreak/>
              <w:t>ВСЕГО</w:t>
            </w:r>
          </w:p>
        </w:tc>
        <w:tc>
          <w:tcPr>
            <w:tcW w:w="2098" w:type="dxa"/>
            <w:vAlign w:val="center"/>
          </w:tcPr>
          <w:p w14:paraId="06FF4329" w14:textId="77777777" w:rsidR="00454A29" w:rsidRDefault="00454A29">
            <w:pPr>
              <w:pStyle w:val="ConsPlusNormal"/>
              <w:jc w:val="center"/>
            </w:pPr>
            <w:r>
              <w:t>Итого</w:t>
            </w:r>
          </w:p>
        </w:tc>
        <w:tc>
          <w:tcPr>
            <w:tcW w:w="1814" w:type="dxa"/>
            <w:vAlign w:val="center"/>
          </w:tcPr>
          <w:p w14:paraId="09C031C6" w14:textId="77777777" w:rsidR="00454A29" w:rsidRDefault="00454A29">
            <w:pPr>
              <w:pStyle w:val="ConsPlusNormal"/>
              <w:jc w:val="center"/>
            </w:pPr>
            <w:r>
              <w:t>5 708,71</w:t>
            </w:r>
          </w:p>
        </w:tc>
        <w:tc>
          <w:tcPr>
            <w:tcW w:w="1701" w:type="dxa"/>
            <w:vAlign w:val="center"/>
          </w:tcPr>
          <w:p w14:paraId="2D421D0C" w14:textId="77777777" w:rsidR="00454A29" w:rsidRDefault="00454A29">
            <w:pPr>
              <w:pStyle w:val="ConsPlusNormal"/>
              <w:jc w:val="center"/>
            </w:pPr>
            <w:r>
              <w:t>5 714,35</w:t>
            </w:r>
          </w:p>
        </w:tc>
        <w:tc>
          <w:tcPr>
            <w:tcW w:w="1701" w:type="dxa"/>
            <w:vAlign w:val="center"/>
          </w:tcPr>
          <w:p w14:paraId="5C611DF7" w14:textId="77777777" w:rsidR="00454A29" w:rsidRDefault="00454A29">
            <w:pPr>
              <w:pStyle w:val="ConsPlusNormal"/>
              <w:jc w:val="center"/>
            </w:pPr>
            <w:r>
              <w:t>2 538,91</w:t>
            </w:r>
          </w:p>
        </w:tc>
        <w:tc>
          <w:tcPr>
            <w:tcW w:w="1701" w:type="dxa"/>
            <w:vAlign w:val="center"/>
          </w:tcPr>
          <w:p w14:paraId="14C766F2" w14:textId="77777777" w:rsidR="00454A29" w:rsidRDefault="00454A29">
            <w:pPr>
              <w:pStyle w:val="ConsPlusNormal"/>
              <w:jc w:val="center"/>
            </w:pPr>
            <w:r>
              <w:t>2 188,00</w:t>
            </w:r>
          </w:p>
        </w:tc>
        <w:tc>
          <w:tcPr>
            <w:tcW w:w="1701" w:type="dxa"/>
            <w:vAlign w:val="center"/>
          </w:tcPr>
          <w:p w14:paraId="40C52011" w14:textId="77777777" w:rsidR="00454A29" w:rsidRDefault="00454A29">
            <w:pPr>
              <w:pStyle w:val="ConsPlusNormal"/>
              <w:jc w:val="center"/>
            </w:pPr>
            <w:r>
              <w:t>2 188,00</w:t>
            </w:r>
          </w:p>
        </w:tc>
        <w:tc>
          <w:tcPr>
            <w:tcW w:w="1701" w:type="dxa"/>
            <w:vAlign w:val="center"/>
          </w:tcPr>
          <w:p w14:paraId="656BF0F5" w14:textId="77777777" w:rsidR="00454A29" w:rsidRDefault="00454A29">
            <w:pPr>
              <w:pStyle w:val="ConsPlusNormal"/>
              <w:jc w:val="center"/>
            </w:pPr>
            <w:r>
              <w:t>0,00</w:t>
            </w:r>
          </w:p>
        </w:tc>
        <w:tc>
          <w:tcPr>
            <w:tcW w:w="1701" w:type="dxa"/>
            <w:vAlign w:val="center"/>
          </w:tcPr>
          <w:p w14:paraId="7907DD76" w14:textId="77777777" w:rsidR="00454A29" w:rsidRDefault="00454A29">
            <w:pPr>
              <w:pStyle w:val="ConsPlusNormal"/>
              <w:jc w:val="center"/>
            </w:pPr>
            <w:r>
              <w:t>0,00</w:t>
            </w:r>
          </w:p>
        </w:tc>
      </w:tr>
      <w:tr w:rsidR="00454A29" w14:paraId="607A29EB" w14:textId="77777777">
        <w:tc>
          <w:tcPr>
            <w:tcW w:w="964" w:type="dxa"/>
            <w:vMerge/>
          </w:tcPr>
          <w:p w14:paraId="3C8470B4" w14:textId="77777777" w:rsidR="00454A29" w:rsidRDefault="00454A29"/>
        </w:tc>
        <w:tc>
          <w:tcPr>
            <w:tcW w:w="2154" w:type="dxa"/>
            <w:vMerge/>
            <w:tcBorders>
              <w:bottom w:val="nil"/>
            </w:tcBorders>
          </w:tcPr>
          <w:p w14:paraId="3FE46D47" w14:textId="77777777" w:rsidR="00454A29" w:rsidRDefault="00454A29"/>
        </w:tc>
        <w:tc>
          <w:tcPr>
            <w:tcW w:w="2154" w:type="dxa"/>
            <w:vMerge/>
            <w:tcBorders>
              <w:bottom w:val="nil"/>
            </w:tcBorders>
          </w:tcPr>
          <w:p w14:paraId="39410600" w14:textId="77777777" w:rsidR="00454A29" w:rsidRDefault="00454A29"/>
        </w:tc>
        <w:tc>
          <w:tcPr>
            <w:tcW w:w="10943" w:type="dxa"/>
            <w:gridSpan w:val="5"/>
            <w:vMerge/>
          </w:tcPr>
          <w:p w14:paraId="0E8FF33D" w14:textId="77777777" w:rsidR="00454A29" w:rsidRDefault="00454A29"/>
        </w:tc>
        <w:tc>
          <w:tcPr>
            <w:tcW w:w="2098" w:type="dxa"/>
            <w:vAlign w:val="center"/>
          </w:tcPr>
          <w:p w14:paraId="43731858" w14:textId="77777777" w:rsidR="00454A29" w:rsidRDefault="00454A29">
            <w:pPr>
              <w:pStyle w:val="ConsPlusNormal"/>
              <w:jc w:val="center"/>
            </w:pPr>
            <w:r>
              <w:t xml:space="preserve">Государственный </w:t>
            </w:r>
            <w:r>
              <w:lastRenderedPageBreak/>
              <w:t>бюджет Республики Саха (Якутия)</w:t>
            </w:r>
          </w:p>
        </w:tc>
        <w:tc>
          <w:tcPr>
            <w:tcW w:w="1814" w:type="dxa"/>
            <w:vAlign w:val="center"/>
          </w:tcPr>
          <w:p w14:paraId="3179AFC0" w14:textId="77777777" w:rsidR="00454A29" w:rsidRDefault="00454A29">
            <w:pPr>
              <w:pStyle w:val="ConsPlusNormal"/>
              <w:jc w:val="center"/>
            </w:pPr>
            <w:r>
              <w:lastRenderedPageBreak/>
              <w:t>5 708,71</w:t>
            </w:r>
          </w:p>
        </w:tc>
        <w:tc>
          <w:tcPr>
            <w:tcW w:w="1701" w:type="dxa"/>
            <w:vAlign w:val="center"/>
          </w:tcPr>
          <w:p w14:paraId="2458330A" w14:textId="77777777" w:rsidR="00454A29" w:rsidRDefault="00454A29">
            <w:pPr>
              <w:pStyle w:val="ConsPlusNormal"/>
              <w:jc w:val="center"/>
            </w:pPr>
            <w:r>
              <w:t>5 714,35</w:t>
            </w:r>
          </w:p>
        </w:tc>
        <w:tc>
          <w:tcPr>
            <w:tcW w:w="1701" w:type="dxa"/>
            <w:vAlign w:val="center"/>
          </w:tcPr>
          <w:p w14:paraId="66AADBC0" w14:textId="77777777" w:rsidR="00454A29" w:rsidRDefault="00454A29">
            <w:pPr>
              <w:pStyle w:val="ConsPlusNormal"/>
              <w:jc w:val="center"/>
            </w:pPr>
            <w:r>
              <w:t>2 538,91</w:t>
            </w:r>
          </w:p>
        </w:tc>
        <w:tc>
          <w:tcPr>
            <w:tcW w:w="1701" w:type="dxa"/>
            <w:vAlign w:val="center"/>
          </w:tcPr>
          <w:p w14:paraId="43BD3BC7" w14:textId="77777777" w:rsidR="00454A29" w:rsidRDefault="00454A29">
            <w:pPr>
              <w:pStyle w:val="ConsPlusNormal"/>
              <w:jc w:val="center"/>
            </w:pPr>
            <w:r>
              <w:t>2 188,00</w:t>
            </w:r>
          </w:p>
        </w:tc>
        <w:tc>
          <w:tcPr>
            <w:tcW w:w="1701" w:type="dxa"/>
            <w:vAlign w:val="center"/>
          </w:tcPr>
          <w:p w14:paraId="4DAB11C4" w14:textId="77777777" w:rsidR="00454A29" w:rsidRDefault="00454A29">
            <w:pPr>
              <w:pStyle w:val="ConsPlusNormal"/>
              <w:jc w:val="center"/>
            </w:pPr>
            <w:r>
              <w:t>2 188,00</w:t>
            </w:r>
          </w:p>
        </w:tc>
        <w:tc>
          <w:tcPr>
            <w:tcW w:w="1701" w:type="dxa"/>
            <w:vAlign w:val="center"/>
          </w:tcPr>
          <w:p w14:paraId="36D56931" w14:textId="77777777" w:rsidR="00454A29" w:rsidRDefault="00454A29">
            <w:pPr>
              <w:pStyle w:val="ConsPlusNormal"/>
              <w:jc w:val="center"/>
            </w:pPr>
            <w:r>
              <w:t>0,00</w:t>
            </w:r>
          </w:p>
        </w:tc>
        <w:tc>
          <w:tcPr>
            <w:tcW w:w="1701" w:type="dxa"/>
            <w:vAlign w:val="center"/>
          </w:tcPr>
          <w:p w14:paraId="3431403D" w14:textId="77777777" w:rsidR="00454A29" w:rsidRDefault="00454A29">
            <w:pPr>
              <w:pStyle w:val="ConsPlusNormal"/>
              <w:jc w:val="center"/>
            </w:pPr>
            <w:r>
              <w:t>0,00</w:t>
            </w:r>
          </w:p>
        </w:tc>
      </w:tr>
      <w:tr w:rsidR="00454A29" w14:paraId="4765D1AB" w14:textId="77777777">
        <w:tc>
          <w:tcPr>
            <w:tcW w:w="964" w:type="dxa"/>
            <w:vMerge/>
          </w:tcPr>
          <w:p w14:paraId="49A6FA55" w14:textId="77777777" w:rsidR="00454A29" w:rsidRDefault="00454A29"/>
        </w:tc>
        <w:tc>
          <w:tcPr>
            <w:tcW w:w="2154" w:type="dxa"/>
            <w:vMerge/>
            <w:tcBorders>
              <w:bottom w:val="nil"/>
            </w:tcBorders>
          </w:tcPr>
          <w:p w14:paraId="25DE602E" w14:textId="77777777" w:rsidR="00454A29" w:rsidRDefault="00454A29"/>
        </w:tc>
        <w:tc>
          <w:tcPr>
            <w:tcW w:w="2154" w:type="dxa"/>
            <w:vMerge/>
            <w:tcBorders>
              <w:bottom w:val="nil"/>
            </w:tcBorders>
          </w:tcPr>
          <w:p w14:paraId="5F1C7B42" w14:textId="77777777" w:rsidR="00454A29" w:rsidRDefault="00454A29"/>
        </w:tc>
        <w:tc>
          <w:tcPr>
            <w:tcW w:w="10943" w:type="dxa"/>
            <w:gridSpan w:val="5"/>
            <w:vMerge/>
          </w:tcPr>
          <w:p w14:paraId="62B175CE" w14:textId="77777777" w:rsidR="00454A29" w:rsidRDefault="00454A29"/>
        </w:tc>
        <w:tc>
          <w:tcPr>
            <w:tcW w:w="2098" w:type="dxa"/>
            <w:vAlign w:val="center"/>
          </w:tcPr>
          <w:p w14:paraId="4D015014" w14:textId="77777777" w:rsidR="00454A29" w:rsidRDefault="00454A29">
            <w:pPr>
              <w:pStyle w:val="ConsPlusNormal"/>
              <w:jc w:val="center"/>
            </w:pPr>
            <w:r>
              <w:t>Федеральный бюджет</w:t>
            </w:r>
          </w:p>
        </w:tc>
        <w:tc>
          <w:tcPr>
            <w:tcW w:w="1814" w:type="dxa"/>
            <w:vAlign w:val="center"/>
          </w:tcPr>
          <w:p w14:paraId="4669ECDA" w14:textId="77777777" w:rsidR="00454A29" w:rsidRDefault="00454A29">
            <w:pPr>
              <w:pStyle w:val="ConsPlusNormal"/>
              <w:jc w:val="center"/>
            </w:pPr>
            <w:r>
              <w:t>0,00</w:t>
            </w:r>
          </w:p>
        </w:tc>
        <w:tc>
          <w:tcPr>
            <w:tcW w:w="1701" w:type="dxa"/>
            <w:vAlign w:val="center"/>
          </w:tcPr>
          <w:p w14:paraId="68B03C03" w14:textId="77777777" w:rsidR="00454A29" w:rsidRDefault="00454A29">
            <w:pPr>
              <w:pStyle w:val="ConsPlusNormal"/>
              <w:jc w:val="center"/>
            </w:pPr>
            <w:r>
              <w:t>0,00</w:t>
            </w:r>
          </w:p>
        </w:tc>
        <w:tc>
          <w:tcPr>
            <w:tcW w:w="1701" w:type="dxa"/>
            <w:vAlign w:val="center"/>
          </w:tcPr>
          <w:p w14:paraId="4BFB309B" w14:textId="77777777" w:rsidR="00454A29" w:rsidRDefault="00454A29">
            <w:pPr>
              <w:pStyle w:val="ConsPlusNormal"/>
              <w:jc w:val="center"/>
            </w:pPr>
            <w:r>
              <w:t>0,00</w:t>
            </w:r>
          </w:p>
        </w:tc>
        <w:tc>
          <w:tcPr>
            <w:tcW w:w="1701" w:type="dxa"/>
            <w:vAlign w:val="center"/>
          </w:tcPr>
          <w:p w14:paraId="7E848B43" w14:textId="77777777" w:rsidR="00454A29" w:rsidRDefault="00454A29">
            <w:pPr>
              <w:pStyle w:val="ConsPlusNormal"/>
              <w:jc w:val="center"/>
            </w:pPr>
            <w:r>
              <w:t>0,00</w:t>
            </w:r>
          </w:p>
        </w:tc>
        <w:tc>
          <w:tcPr>
            <w:tcW w:w="1701" w:type="dxa"/>
            <w:vAlign w:val="center"/>
          </w:tcPr>
          <w:p w14:paraId="3DDF8B31" w14:textId="77777777" w:rsidR="00454A29" w:rsidRDefault="00454A29">
            <w:pPr>
              <w:pStyle w:val="ConsPlusNormal"/>
              <w:jc w:val="center"/>
            </w:pPr>
            <w:r>
              <w:t>0,00</w:t>
            </w:r>
          </w:p>
        </w:tc>
        <w:tc>
          <w:tcPr>
            <w:tcW w:w="1701" w:type="dxa"/>
            <w:vAlign w:val="center"/>
          </w:tcPr>
          <w:p w14:paraId="43EBA866" w14:textId="77777777" w:rsidR="00454A29" w:rsidRDefault="00454A29">
            <w:pPr>
              <w:pStyle w:val="ConsPlusNormal"/>
              <w:jc w:val="center"/>
            </w:pPr>
            <w:r>
              <w:t>0,00</w:t>
            </w:r>
          </w:p>
        </w:tc>
        <w:tc>
          <w:tcPr>
            <w:tcW w:w="1701" w:type="dxa"/>
            <w:vAlign w:val="center"/>
          </w:tcPr>
          <w:p w14:paraId="42A8237A" w14:textId="77777777" w:rsidR="00454A29" w:rsidRDefault="00454A29">
            <w:pPr>
              <w:pStyle w:val="ConsPlusNormal"/>
              <w:jc w:val="center"/>
            </w:pPr>
            <w:r>
              <w:t>0,00</w:t>
            </w:r>
          </w:p>
        </w:tc>
      </w:tr>
      <w:tr w:rsidR="00454A29" w14:paraId="54B8F53F" w14:textId="77777777">
        <w:tc>
          <w:tcPr>
            <w:tcW w:w="964" w:type="dxa"/>
            <w:vMerge/>
          </w:tcPr>
          <w:p w14:paraId="28295880" w14:textId="77777777" w:rsidR="00454A29" w:rsidRDefault="00454A29"/>
        </w:tc>
        <w:tc>
          <w:tcPr>
            <w:tcW w:w="2154" w:type="dxa"/>
            <w:vMerge/>
            <w:tcBorders>
              <w:bottom w:val="nil"/>
            </w:tcBorders>
          </w:tcPr>
          <w:p w14:paraId="5534F5FF" w14:textId="77777777" w:rsidR="00454A29" w:rsidRDefault="00454A29"/>
        </w:tc>
        <w:tc>
          <w:tcPr>
            <w:tcW w:w="2154" w:type="dxa"/>
            <w:vMerge/>
            <w:tcBorders>
              <w:bottom w:val="nil"/>
            </w:tcBorders>
          </w:tcPr>
          <w:p w14:paraId="6BCE2D1F" w14:textId="77777777" w:rsidR="00454A29" w:rsidRDefault="00454A29"/>
        </w:tc>
        <w:tc>
          <w:tcPr>
            <w:tcW w:w="10943" w:type="dxa"/>
            <w:gridSpan w:val="5"/>
            <w:vMerge/>
          </w:tcPr>
          <w:p w14:paraId="5FA5F745" w14:textId="77777777" w:rsidR="00454A29" w:rsidRDefault="00454A29"/>
        </w:tc>
        <w:tc>
          <w:tcPr>
            <w:tcW w:w="2098" w:type="dxa"/>
            <w:vAlign w:val="center"/>
          </w:tcPr>
          <w:p w14:paraId="7D0BF964" w14:textId="77777777" w:rsidR="00454A29" w:rsidRDefault="00454A29">
            <w:pPr>
              <w:pStyle w:val="ConsPlusNormal"/>
              <w:jc w:val="center"/>
            </w:pPr>
            <w:r>
              <w:t>Местные бюджеты</w:t>
            </w:r>
          </w:p>
        </w:tc>
        <w:tc>
          <w:tcPr>
            <w:tcW w:w="1814" w:type="dxa"/>
            <w:vAlign w:val="center"/>
          </w:tcPr>
          <w:p w14:paraId="4F6B5DAD" w14:textId="77777777" w:rsidR="00454A29" w:rsidRDefault="00454A29">
            <w:pPr>
              <w:pStyle w:val="ConsPlusNormal"/>
              <w:jc w:val="center"/>
            </w:pPr>
            <w:r>
              <w:t>0,00</w:t>
            </w:r>
          </w:p>
        </w:tc>
        <w:tc>
          <w:tcPr>
            <w:tcW w:w="1701" w:type="dxa"/>
            <w:vAlign w:val="center"/>
          </w:tcPr>
          <w:p w14:paraId="64F5827F" w14:textId="77777777" w:rsidR="00454A29" w:rsidRDefault="00454A29">
            <w:pPr>
              <w:pStyle w:val="ConsPlusNormal"/>
              <w:jc w:val="center"/>
            </w:pPr>
            <w:r>
              <w:t>0,00</w:t>
            </w:r>
          </w:p>
        </w:tc>
        <w:tc>
          <w:tcPr>
            <w:tcW w:w="1701" w:type="dxa"/>
            <w:vAlign w:val="center"/>
          </w:tcPr>
          <w:p w14:paraId="399C3B5F" w14:textId="77777777" w:rsidR="00454A29" w:rsidRDefault="00454A29">
            <w:pPr>
              <w:pStyle w:val="ConsPlusNormal"/>
              <w:jc w:val="center"/>
            </w:pPr>
            <w:r>
              <w:t>0,00</w:t>
            </w:r>
          </w:p>
        </w:tc>
        <w:tc>
          <w:tcPr>
            <w:tcW w:w="1701" w:type="dxa"/>
            <w:vAlign w:val="center"/>
          </w:tcPr>
          <w:p w14:paraId="399E814E" w14:textId="77777777" w:rsidR="00454A29" w:rsidRDefault="00454A29">
            <w:pPr>
              <w:pStyle w:val="ConsPlusNormal"/>
              <w:jc w:val="center"/>
            </w:pPr>
            <w:r>
              <w:t>0,00</w:t>
            </w:r>
          </w:p>
        </w:tc>
        <w:tc>
          <w:tcPr>
            <w:tcW w:w="1701" w:type="dxa"/>
            <w:vAlign w:val="center"/>
          </w:tcPr>
          <w:p w14:paraId="10D3665B" w14:textId="77777777" w:rsidR="00454A29" w:rsidRDefault="00454A29">
            <w:pPr>
              <w:pStyle w:val="ConsPlusNormal"/>
              <w:jc w:val="center"/>
            </w:pPr>
            <w:r>
              <w:t>0,00</w:t>
            </w:r>
          </w:p>
        </w:tc>
        <w:tc>
          <w:tcPr>
            <w:tcW w:w="1701" w:type="dxa"/>
            <w:vAlign w:val="center"/>
          </w:tcPr>
          <w:p w14:paraId="190A5C72" w14:textId="77777777" w:rsidR="00454A29" w:rsidRDefault="00454A29">
            <w:pPr>
              <w:pStyle w:val="ConsPlusNormal"/>
              <w:jc w:val="center"/>
            </w:pPr>
            <w:r>
              <w:t>0,00</w:t>
            </w:r>
          </w:p>
        </w:tc>
        <w:tc>
          <w:tcPr>
            <w:tcW w:w="1701" w:type="dxa"/>
            <w:vAlign w:val="center"/>
          </w:tcPr>
          <w:p w14:paraId="3D893B69" w14:textId="77777777" w:rsidR="00454A29" w:rsidRDefault="00454A29">
            <w:pPr>
              <w:pStyle w:val="ConsPlusNormal"/>
              <w:jc w:val="center"/>
            </w:pPr>
            <w:r>
              <w:t>0,00</w:t>
            </w:r>
          </w:p>
        </w:tc>
      </w:tr>
      <w:tr w:rsidR="00454A29" w14:paraId="1FFED3A3" w14:textId="77777777">
        <w:tc>
          <w:tcPr>
            <w:tcW w:w="964" w:type="dxa"/>
            <w:vMerge/>
          </w:tcPr>
          <w:p w14:paraId="56A56460" w14:textId="77777777" w:rsidR="00454A29" w:rsidRDefault="00454A29"/>
        </w:tc>
        <w:tc>
          <w:tcPr>
            <w:tcW w:w="2154" w:type="dxa"/>
            <w:vMerge/>
            <w:tcBorders>
              <w:bottom w:val="nil"/>
            </w:tcBorders>
          </w:tcPr>
          <w:p w14:paraId="2208A5B2" w14:textId="77777777" w:rsidR="00454A29" w:rsidRDefault="00454A29"/>
        </w:tc>
        <w:tc>
          <w:tcPr>
            <w:tcW w:w="2154" w:type="dxa"/>
            <w:vMerge/>
            <w:tcBorders>
              <w:bottom w:val="nil"/>
            </w:tcBorders>
          </w:tcPr>
          <w:p w14:paraId="40C969F1" w14:textId="77777777" w:rsidR="00454A29" w:rsidRDefault="00454A29"/>
        </w:tc>
        <w:tc>
          <w:tcPr>
            <w:tcW w:w="10943" w:type="dxa"/>
            <w:gridSpan w:val="5"/>
            <w:vMerge/>
          </w:tcPr>
          <w:p w14:paraId="09F218F2" w14:textId="77777777" w:rsidR="00454A29" w:rsidRDefault="00454A29"/>
        </w:tc>
        <w:tc>
          <w:tcPr>
            <w:tcW w:w="2098" w:type="dxa"/>
            <w:vAlign w:val="center"/>
          </w:tcPr>
          <w:p w14:paraId="27B3BFF3" w14:textId="77777777" w:rsidR="00454A29" w:rsidRDefault="00454A29">
            <w:pPr>
              <w:pStyle w:val="ConsPlusNormal"/>
              <w:jc w:val="center"/>
            </w:pPr>
            <w:r>
              <w:t>Внебюджетные средства</w:t>
            </w:r>
          </w:p>
        </w:tc>
        <w:tc>
          <w:tcPr>
            <w:tcW w:w="1814" w:type="dxa"/>
            <w:vAlign w:val="center"/>
          </w:tcPr>
          <w:p w14:paraId="35D7A46B" w14:textId="77777777" w:rsidR="00454A29" w:rsidRDefault="00454A29">
            <w:pPr>
              <w:pStyle w:val="ConsPlusNormal"/>
              <w:jc w:val="center"/>
            </w:pPr>
            <w:r>
              <w:t>0,00</w:t>
            </w:r>
          </w:p>
        </w:tc>
        <w:tc>
          <w:tcPr>
            <w:tcW w:w="1701" w:type="dxa"/>
            <w:vAlign w:val="center"/>
          </w:tcPr>
          <w:p w14:paraId="2CCB803A" w14:textId="77777777" w:rsidR="00454A29" w:rsidRDefault="00454A29">
            <w:pPr>
              <w:pStyle w:val="ConsPlusNormal"/>
              <w:jc w:val="center"/>
            </w:pPr>
            <w:r>
              <w:t>0,00</w:t>
            </w:r>
          </w:p>
        </w:tc>
        <w:tc>
          <w:tcPr>
            <w:tcW w:w="1701" w:type="dxa"/>
            <w:vAlign w:val="center"/>
          </w:tcPr>
          <w:p w14:paraId="1603055E" w14:textId="77777777" w:rsidR="00454A29" w:rsidRDefault="00454A29">
            <w:pPr>
              <w:pStyle w:val="ConsPlusNormal"/>
              <w:jc w:val="center"/>
            </w:pPr>
            <w:r>
              <w:t>0,00</w:t>
            </w:r>
          </w:p>
        </w:tc>
        <w:tc>
          <w:tcPr>
            <w:tcW w:w="1701" w:type="dxa"/>
            <w:vAlign w:val="center"/>
          </w:tcPr>
          <w:p w14:paraId="0CF1A7E4" w14:textId="77777777" w:rsidR="00454A29" w:rsidRDefault="00454A29">
            <w:pPr>
              <w:pStyle w:val="ConsPlusNormal"/>
              <w:jc w:val="center"/>
            </w:pPr>
            <w:r>
              <w:t>0,00</w:t>
            </w:r>
          </w:p>
        </w:tc>
        <w:tc>
          <w:tcPr>
            <w:tcW w:w="1701" w:type="dxa"/>
            <w:vAlign w:val="center"/>
          </w:tcPr>
          <w:p w14:paraId="2DC286E8" w14:textId="77777777" w:rsidR="00454A29" w:rsidRDefault="00454A29">
            <w:pPr>
              <w:pStyle w:val="ConsPlusNormal"/>
              <w:jc w:val="center"/>
            </w:pPr>
            <w:r>
              <w:t>0,00</w:t>
            </w:r>
          </w:p>
        </w:tc>
        <w:tc>
          <w:tcPr>
            <w:tcW w:w="1701" w:type="dxa"/>
            <w:vAlign w:val="center"/>
          </w:tcPr>
          <w:p w14:paraId="1ABE4B26" w14:textId="77777777" w:rsidR="00454A29" w:rsidRDefault="00454A29">
            <w:pPr>
              <w:pStyle w:val="ConsPlusNormal"/>
              <w:jc w:val="center"/>
            </w:pPr>
            <w:r>
              <w:t>0,00</w:t>
            </w:r>
          </w:p>
        </w:tc>
        <w:tc>
          <w:tcPr>
            <w:tcW w:w="1701" w:type="dxa"/>
            <w:vAlign w:val="center"/>
          </w:tcPr>
          <w:p w14:paraId="1155B49E" w14:textId="77777777" w:rsidR="00454A29" w:rsidRDefault="00454A29">
            <w:pPr>
              <w:pStyle w:val="ConsPlusNormal"/>
              <w:jc w:val="center"/>
            </w:pPr>
            <w:r>
              <w:t>0,00</w:t>
            </w:r>
          </w:p>
        </w:tc>
      </w:tr>
      <w:tr w:rsidR="00454A29" w14:paraId="49309FED" w14:textId="77777777">
        <w:tc>
          <w:tcPr>
            <w:tcW w:w="964" w:type="dxa"/>
            <w:vMerge w:val="restart"/>
            <w:vAlign w:val="center"/>
          </w:tcPr>
          <w:p w14:paraId="0E09DD93" w14:textId="77777777" w:rsidR="00454A29" w:rsidRDefault="00454A29">
            <w:pPr>
              <w:pStyle w:val="ConsPlusNormal"/>
              <w:jc w:val="center"/>
            </w:pPr>
            <w:r>
              <w:t>2.1.</w:t>
            </w:r>
          </w:p>
        </w:tc>
        <w:tc>
          <w:tcPr>
            <w:tcW w:w="2154" w:type="dxa"/>
            <w:vMerge w:val="restart"/>
            <w:tcBorders>
              <w:top w:val="nil"/>
              <w:bottom w:val="nil"/>
            </w:tcBorders>
            <w:vAlign w:val="center"/>
          </w:tcPr>
          <w:p w14:paraId="2B85FD36" w14:textId="77777777" w:rsidR="00454A29" w:rsidRDefault="00454A29">
            <w:pPr>
              <w:pStyle w:val="ConsPlusNormal"/>
            </w:pPr>
          </w:p>
        </w:tc>
        <w:tc>
          <w:tcPr>
            <w:tcW w:w="2154" w:type="dxa"/>
            <w:vMerge w:val="restart"/>
            <w:tcBorders>
              <w:top w:val="nil"/>
              <w:bottom w:val="nil"/>
            </w:tcBorders>
            <w:vAlign w:val="center"/>
          </w:tcPr>
          <w:p w14:paraId="4E4FCBEB" w14:textId="77777777" w:rsidR="00454A29" w:rsidRDefault="00454A29">
            <w:pPr>
              <w:pStyle w:val="ConsPlusNormal"/>
            </w:pPr>
          </w:p>
        </w:tc>
        <w:tc>
          <w:tcPr>
            <w:tcW w:w="2665" w:type="dxa"/>
            <w:vMerge w:val="restart"/>
            <w:vAlign w:val="center"/>
          </w:tcPr>
          <w:p w14:paraId="664EE543" w14:textId="77777777" w:rsidR="00454A29" w:rsidRDefault="00454A29">
            <w:pPr>
              <w:pStyle w:val="ConsPlusNormal"/>
              <w:jc w:val="center"/>
            </w:pPr>
            <w:r>
              <w:t xml:space="preserve">Результат 1. Создано не менее 1 центра, реализующего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расположенных на территории Республики Саха (Якутия), в том числе участвующих в создании научных и научно-образовательных центров мирового уровня или обеспечивающих деятельность центров компетенций </w:t>
            </w:r>
            <w:r>
              <w:lastRenderedPageBreak/>
              <w:t>Национальной технологической инициативы, с охватом не менее 400 детей в год</w:t>
            </w:r>
          </w:p>
        </w:tc>
        <w:tc>
          <w:tcPr>
            <w:tcW w:w="2665" w:type="dxa"/>
            <w:vMerge w:val="restart"/>
            <w:vAlign w:val="center"/>
          </w:tcPr>
          <w:p w14:paraId="7BBE34F2" w14:textId="77777777" w:rsidR="00454A29" w:rsidRDefault="00454A29">
            <w:pPr>
              <w:pStyle w:val="ConsPlusNormal"/>
              <w:jc w:val="center"/>
            </w:pPr>
            <w:r>
              <w:lastRenderedPageBreak/>
              <w:t>Мероприятие 4.3.1. Создание ключевых центров развития детей (Создание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(приобретение средств обучения)</w:t>
            </w:r>
          </w:p>
        </w:tc>
        <w:tc>
          <w:tcPr>
            <w:tcW w:w="1928" w:type="dxa"/>
            <w:vMerge w:val="restart"/>
            <w:vAlign w:val="center"/>
          </w:tcPr>
          <w:p w14:paraId="4B02208C" w14:textId="77777777" w:rsidR="00454A29" w:rsidRDefault="00454A29">
            <w:pPr>
              <w:pStyle w:val="ConsPlusNormal"/>
              <w:jc w:val="center"/>
            </w:pPr>
            <w:r>
              <w:t>-</w:t>
            </w:r>
          </w:p>
        </w:tc>
        <w:tc>
          <w:tcPr>
            <w:tcW w:w="1644" w:type="dxa"/>
            <w:vMerge w:val="restart"/>
            <w:vAlign w:val="center"/>
          </w:tcPr>
          <w:p w14:paraId="2BA785C9" w14:textId="77777777" w:rsidR="00454A29" w:rsidRDefault="00454A29">
            <w:pPr>
              <w:pStyle w:val="ConsPlusNormal"/>
              <w:jc w:val="center"/>
            </w:pPr>
            <w:r>
              <w:t>-</w:t>
            </w:r>
          </w:p>
        </w:tc>
        <w:tc>
          <w:tcPr>
            <w:tcW w:w="2041" w:type="dxa"/>
            <w:vMerge w:val="restart"/>
            <w:vAlign w:val="center"/>
          </w:tcPr>
          <w:p w14:paraId="54C42B36" w14:textId="77777777" w:rsidR="00454A29" w:rsidRDefault="00454A29">
            <w:pPr>
              <w:pStyle w:val="ConsPlusNormal"/>
              <w:jc w:val="center"/>
            </w:pPr>
            <w:r>
              <w:t>-</w:t>
            </w:r>
          </w:p>
        </w:tc>
        <w:tc>
          <w:tcPr>
            <w:tcW w:w="2098" w:type="dxa"/>
            <w:vAlign w:val="center"/>
          </w:tcPr>
          <w:p w14:paraId="04BAA37E" w14:textId="77777777" w:rsidR="00454A29" w:rsidRDefault="00454A29">
            <w:pPr>
              <w:pStyle w:val="ConsPlusNormal"/>
              <w:jc w:val="center"/>
            </w:pPr>
            <w:r>
              <w:t>Итого</w:t>
            </w:r>
          </w:p>
        </w:tc>
        <w:tc>
          <w:tcPr>
            <w:tcW w:w="1814" w:type="dxa"/>
            <w:vAlign w:val="center"/>
          </w:tcPr>
          <w:p w14:paraId="071EC955" w14:textId="77777777" w:rsidR="00454A29" w:rsidRDefault="00454A29">
            <w:pPr>
              <w:pStyle w:val="ConsPlusNormal"/>
              <w:jc w:val="center"/>
            </w:pPr>
            <w:r>
              <w:t>0,00</w:t>
            </w:r>
          </w:p>
        </w:tc>
        <w:tc>
          <w:tcPr>
            <w:tcW w:w="1701" w:type="dxa"/>
            <w:vAlign w:val="center"/>
          </w:tcPr>
          <w:p w14:paraId="431E69F7" w14:textId="77777777" w:rsidR="00454A29" w:rsidRDefault="00454A29">
            <w:pPr>
              <w:pStyle w:val="ConsPlusNormal"/>
              <w:jc w:val="center"/>
            </w:pPr>
            <w:r>
              <w:t>0,00</w:t>
            </w:r>
          </w:p>
        </w:tc>
        <w:tc>
          <w:tcPr>
            <w:tcW w:w="1701" w:type="dxa"/>
            <w:vAlign w:val="center"/>
          </w:tcPr>
          <w:p w14:paraId="00D40964" w14:textId="77777777" w:rsidR="00454A29" w:rsidRDefault="00454A29">
            <w:pPr>
              <w:pStyle w:val="ConsPlusNormal"/>
              <w:jc w:val="center"/>
            </w:pPr>
            <w:r>
              <w:t>0,00</w:t>
            </w:r>
          </w:p>
        </w:tc>
        <w:tc>
          <w:tcPr>
            <w:tcW w:w="1701" w:type="dxa"/>
            <w:vAlign w:val="center"/>
          </w:tcPr>
          <w:p w14:paraId="617900F1" w14:textId="77777777" w:rsidR="00454A29" w:rsidRDefault="00454A29">
            <w:pPr>
              <w:pStyle w:val="ConsPlusNormal"/>
              <w:jc w:val="center"/>
            </w:pPr>
            <w:r>
              <w:t>0,00</w:t>
            </w:r>
          </w:p>
        </w:tc>
        <w:tc>
          <w:tcPr>
            <w:tcW w:w="1701" w:type="dxa"/>
            <w:vAlign w:val="center"/>
          </w:tcPr>
          <w:p w14:paraId="7A25FF8E" w14:textId="77777777" w:rsidR="00454A29" w:rsidRDefault="00454A29">
            <w:pPr>
              <w:pStyle w:val="ConsPlusNormal"/>
              <w:jc w:val="center"/>
            </w:pPr>
            <w:r>
              <w:t>0,00</w:t>
            </w:r>
          </w:p>
        </w:tc>
        <w:tc>
          <w:tcPr>
            <w:tcW w:w="1701" w:type="dxa"/>
            <w:vAlign w:val="center"/>
          </w:tcPr>
          <w:p w14:paraId="1EC9E65F" w14:textId="77777777" w:rsidR="00454A29" w:rsidRDefault="00454A29">
            <w:pPr>
              <w:pStyle w:val="ConsPlusNormal"/>
              <w:jc w:val="center"/>
            </w:pPr>
            <w:r>
              <w:t>0,00</w:t>
            </w:r>
          </w:p>
        </w:tc>
        <w:tc>
          <w:tcPr>
            <w:tcW w:w="1701" w:type="dxa"/>
            <w:vAlign w:val="center"/>
          </w:tcPr>
          <w:p w14:paraId="429780AF" w14:textId="77777777" w:rsidR="00454A29" w:rsidRDefault="00454A29">
            <w:pPr>
              <w:pStyle w:val="ConsPlusNormal"/>
              <w:jc w:val="center"/>
            </w:pPr>
            <w:r>
              <w:t>0,00</w:t>
            </w:r>
          </w:p>
        </w:tc>
      </w:tr>
      <w:tr w:rsidR="00454A29" w14:paraId="32246728" w14:textId="77777777">
        <w:tc>
          <w:tcPr>
            <w:tcW w:w="964" w:type="dxa"/>
            <w:vMerge/>
          </w:tcPr>
          <w:p w14:paraId="69742594" w14:textId="77777777" w:rsidR="00454A29" w:rsidRDefault="00454A29"/>
        </w:tc>
        <w:tc>
          <w:tcPr>
            <w:tcW w:w="2154" w:type="dxa"/>
            <w:vMerge/>
            <w:tcBorders>
              <w:top w:val="nil"/>
              <w:bottom w:val="nil"/>
            </w:tcBorders>
          </w:tcPr>
          <w:p w14:paraId="27D2A0D8" w14:textId="77777777" w:rsidR="00454A29" w:rsidRDefault="00454A29"/>
        </w:tc>
        <w:tc>
          <w:tcPr>
            <w:tcW w:w="2154" w:type="dxa"/>
            <w:vMerge/>
            <w:tcBorders>
              <w:top w:val="nil"/>
              <w:bottom w:val="nil"/>
            </w:tcBorders>
          </w:tcPr>
          <w:p w14:paraId="56713E88" w14:textId="77777777" w:rsidR="00454A29" w:rsidRDefault="00454A29"/>
        </w:tc>
        <w:tc>
          <w:tcPr>
            <w:tcW w:w="2665" w:type="dxa"/>
            <w:vMerge/>
          </w:tcPr>
          <w:p w14:paraId="5178CCDC" w14:textId="77777777" w:rsidR="00454A29" w:rsidRDefault="00454A29"/>
        </w:tc>
        <w:tc>
          <w:tcPr>
            <w:tcW w:w="2665" w:type="dxa"/>
            <w:vMerge/>
          </w:tcPr>
          <w:p w14:paraId="2257EB84" w14:textId="77777777" w:rsidR="00454A29" w:rsidRDefault="00454A29"/>
        </w:tc>
        <w:tc>
          <w:tcPr>
            <w:tcW w:w="1928" w:type="dxa"/>
            <w:vMerge/>
          </w:tcPr>
          <w:p w14:paraId="21F2E765" w14:textId="77777777" w:rsidR="00454A29" w:rsidRDefault="00454A29"/>
        </w:tc>
        <w:tc>
          <w:tcPr>
            <w:tcW w:w="1644" w:type="dxa"/>
            <w:vMerge/>
          </w:tcPr>
          <w:p w14:paraId="7EA3C942" w14:textId="77777777" w:rsidR="00454A29" w:rsidRDefault="00454A29"/>
        </w:tc>
        <w:tc>
          <w:tcPr>
            <w:tcW w:w="2041" w:type="dxa"/>
            <w:vMerge/>
          </w:tcPr>
          <w:p w14:paraId="6C6CD253" w14:textId="77777777" w:rsidR="00454A29" w:rsidRDefault="00454A29"/>
        </w:tc>
        <w:tc>
          <w:tcPr>
            <w:tcW w:w="2098" w:type="dxa"/>
            <w:vAlign w:val="center"/>
          </w:tcPr>
          <w:p w14:paraId="25CDA2FB"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CF22F27" w14:textId="77777777" w:rsidR="00454A29" w:rsidRDefault="00454A29">
            <w:pPr>
              <w:pStyle w:val="ConsPlusNormal"/>
              <w:jc w:val="center"/>
            </w:pPr>
            <w:r>
              <w:t>0,00</w:t>
            </w:r>
          </w:p>
        </w:tc>
        <w:tc>
          <w:tcPr>
            <w:tcW w:w="1701" w:type="dxa"/>
            <w:vAlign w:val="center"/>
          </w:tcPr>
          <w:p w14:paraId="5207DF4E" w14:textId="77777777" w:rsidR="00454A29" w:rsidRDefault="00454A29">
            <w:pPr>
              <w:pStyle w:val="ConsPlusNormal"/>
              <w:jc w:val="center"/>
            </w:pPr>
            <w:r>
              <w:t>0,00</w:t>
            </w:r>
          </w:p>
        </w:tc>
        <w:tc>
          <w:tcPr>
            <w:tcW w:w="1701" w:type="dxa"/>
            <w:vAlign w:val="center"/>
          </w:tcPr>
          <w:p w14:paraId="130EA202" w14:textId="77777777" w:rsidR="00454A29" w:rsidRDefault="00454A29">
            <w:pPr>
              <w:pStyle w:val="ConsPlusNormal"/>
              <w:jc w:val="center"/>
            </w:pPr>
            <w:r>
              <w:t>0,00</w:t>
            </w:r>
          </w:p>
        </w:tc>
        <w:tc>
          <w:tcPr>
            <w:tcW w:w="1701" w:type="dxa"/>
            <w:vAlign w:val="center"/>
          </w:tcPr>
          <w:p w14:paraId="3369E511" w14:textId="77777777" w:rsidR="00454A29" w:rsidRDefault="00454A29">
            <w:pPr>
              <w:pStyle w:val="ConsPlusNormal"/>
              <w:jc w:val="center"/>
            </w:pPr>
            <w:r>
              <w:t>0,00</w:t>
            </w:r>
          </w:p>
        </w:tc>
        <w:tc>
          <w:tcPr>
            <w:tcW w:w="1701" w:type="dxa"/>
            <w:vAlign w:val="center"/>
          </w:tcPr>
          <w:p w14:paraId="00859BD0" w14:textId="77777777" w:rsidR="00454A29" w:rsidRDefault="00454A29">
            <w:pPr>
              <w:pStyle w:val="ConsPlusNormal"/>
              <w:jc w:val="center"/>
            </w:pPr>
            <w:r>
              <w:t>0,00</w:t>
            </w:r>
          </w:p>
        </w:tc>
        <w:tc>
          <w:tcPr>
            <w:tcW w:w="1701" w:type="dxa"/>
            <w:vAlign w:val="center"/>
          </w:tcPr>
          <w:p w14:paraId="20B73DDA" w14:textId="77777777" w:rsidR="00454A29" w:rsidRDefault="00454A29">
            <w:pPr>
              <w:pStyle w:val="ConsPlusNormal"/>
              <w:jc w:val="center"/>
            </w:pPr>
            <w:r>
              <w:t>0,00</w:t>
            </w:r>
          </w:p>
        </w:tc>
        <w:tc>
          <w:tcPr>
            <w:tcW w:w="1701" w:type="dxa"/>
            <w:vAlign w:val="center"/>
          </w:tcPr>
          <w:p w14:paraId="30CC8C05" w14:textId="77777777" w:rsidR="00454A29" w:rsidRDefault="00454A29">
            <w:pPr>
              <w:pStyle w:val="ConsPlusNormal"/>
              <w:jc w:val="center"/>
            </w:pPr>
            <w:r>
              <w:t>0,00</w:t>
            </w:r>
          </w:p>
        </w:tc>
      </w:tr>
      <w:tr w:rsidR="00454A29" w14:paraId="44F14831" w14:textId="77777777">
        <w:tc>
          <w:tcPr>
            <w:tcW w:w="964" w:type="dxa"/>
            <w:vMerge/>
          </w:tcPr>
          <w:p w14:paraId="399648BA" w14:textId="77777777" w:rsidR="00454A29" w:rsidRDefault="00454A29"/>
        </w:tc>
        <w:tc>
          <w:tcPr>
            <w:tcW w:w="2154" w:type="dxa"/>
            <w:vMerge/>
            <w:tcBorders>
              <w:top w:val="nil"/>
              <w:bottom w:val="nil"/>
            </w:tcBorders>
          </w:tcPr>
          <w:p w14:paraId="5570EBF0" w14:textId="77777777" w:rsidR="00454A29" w:rsidRDefault="00454A29"/>
        </w:tc>
        <w:tc>
          <w:tcPr>
            <w:tcW w:w="2154" w:type="dxa"/>
            <w:vMerge/>
            <w:tcBorders>
              <w:top w:val="nil"/>
              <w:bottom w:val="nil"/>
            </w:tcBorders>
          </w:tcPr>
          <w:p w14:paraId="6818289B" w14:textId="77777777" w:rsidR="00454A29" w:rsidRDefault="00454A29"/>
        </w:tc>
        <w:tc>
          <w:tcPr>
            <w:tcW w:w="2665" w:type="dxa"/>
            <w:vMerge/>
          </w:tcPr>
          <w:p w14:paraId="01DABB06" w14:textId="77777777" w:rsidR="00454A29" w:rsidRDefault="00454A29"/>
        </w:tc>
        <w:tc>
          <w:tcPr>
            <w:tcW w:w="2665" w:type="dxa"/>
            <w:vMerge/>
          </w:tcPr>
          <w:p w14:paraId="3F457A32" w14:textId="77777777" w:rsidR="00454A29" w:rsidRDefault="00454A29"/>
        </w:tc>
        <w:tc>
          <w:tcPr>
            <w:tcW w:w="1928" w:type="dxa"/>
            <w:vMerge/>
          </w:tcPr>
          <w:p w14:paraId="676D9FAA" w14:textId="77777777" w:rsidR="00454A29" w:rsidRDefault="00454A29"/>
        </w:tc>
        <w:tc>
          <w:tcPr>
            <w:tcW w:w="1644" w:type="dxa"/>
            <w:vMerge/>
          </w:tcPr>
          <w:p w14:paraId="739322E2" w14:textId="77777777" w:rsidR="00454A29" w:rsidRDefault="00454A29"/>
        </w:tc>
        <w:tc>
          <w:tcPr>
            <w:tcW w:w="2041" w:type="dxa"/>
            <w:vMerge/>
          </w:tcPr>
          <w:p w14:paraId="6EAE280B" w14:textId="77777777" w:rsidR="00454A29" w:rsidRDefault="00454A29"/>
        </w:tc>
        <w:tc>
          <w:tcPr>
            <w:tcW w:w="2098" w:type="dxa"/>
            <w:vAlign w:val="center"/>
          </w:tcPr>
          <w:p w14:paraId="2A431639" w14:textId="77777777" w:rsidR="00454A29" w:rsidRDefault="00454A29">
            <w:pPr>
              <w:pStyle w:val="ConsPlusNormal"/>
              <w:jc w:val="center"/>
            </w:pPr>
            <w:r>
              <w:t>Федеральный бюджет</w:t>
            </w:r>
          </w:p>
        </w:tc>
        <w:tc>
          <w:tcPr>
            <w:tcW w:w="1814" w:type="dxa"/>
            <w:vAlign w:val="center"/>
          </w:tcPr>
          <w:p w14:paraId="6AB855A8" w14:textId="77777777" w:rsidR="00454A29" w:rsidRDefault="00454A29">
            <w:pPr>
              <w:pStyle w:val="ConsPlusNormal"/>
              <w:jc w:val="center"/>
            </w:pPr>
            <w:r>
              <w:t>0,00</w:t>
            </w:r>
          </w:p>
        </w:tc>
        <w:tc>
          <w:tcPr>
            <w:tcW w:w="1701" w:type="dxa"/>
            <w:vAlign w:val="center"/>
          </w:tcPr>
          <w:p w14:paraId="3CBAFCC7" w14:textId="77777777" w:rsidR="00454A29" w:rsidRDefault="00454A29">
            <w:pPr>
              <w:pStyle w:val="ConsPlusNormal"/>
              <w:jc w:val="center"/>
            </w:pPr>
            <w:r>
              <w:t>0,00</w:t>
            </w:r>
          </w:p>
        </w:tc>
        <w:tc>
          <w:tcPr>
            <w:tcW w:w="1701" w:type="dxa"/>
            <w:vAlign w:val="center"/>
          </w:tcPr>
          <w:p w14:paraId="6C802399" w14:textId="77777777" w:rsidR="00454A29" w:rsidRDefault="00454A29">
            <w:pPr>
              <w:pStyle w:val="ConsPlusNormal"/>
              <w:jc w:val="center"/>
            </w:pPr>
            <w:r>
              <w:t>0,00</w:t>
            </w:r>
          </w:p>
        </w:tc>
        <w:tc>
          <w:tcPr>
            <w:tcW w:w="1701" w:type="dxa"/>
            <w:vAlign w:val="center"/>
          </w:tcPr>
          <w:p w14:paraId="0AE2A576" w14:textId="77777777" w:rsidR="00454A29" w:rsidRDefault="00454A29">
            <w:pPr>
              <w:pStyle w:val="ConsPlusNormal"/>
              <w:jc w:val="center"/>
            </w:pPr>
            <w:r>
              <w:t>0,00</w:t>
            </w:r>
          </w:p>
        </w:tc>
        <w:tc>
          <w:tcPr>
            <w:tcW w:w="1701" w:type="dxa"/>
            <w:vAlign w:val="center"/>
          </w:tcPr>
          <w:p w14:paraId="33F26387" w14:textId="77777777" w:rsidR="00454A29" w:rsidRDefault="00454A29">
            <w:pPr>
              <w:pStyle w:val="ConsPlusNormal"/>
              <w:jc w:val="center"/>
            </w:pPr>
            <w:r>
              <w:t>0,00</w:t>
            </w:r>
          </w:p>
        </w:tc>
        <w:tc>
          <w:tcPr>
            <w:tcW w:w="1701" w:type="dxa"/>
            <w:vAlign w:val="center"/>
          </w:tcPr>
          <w:p w14:paraId="74E10CB4" w14:textId="77777777" w:rsidR="00454A29" w:rsidRDefault="00454A29">
            <w:pPr>
              <w:pStyle w:val="ConsPlusNormal"/>
              <w:jc w:val="center"/>
            </w:pPr>
            <w:r>
              <w:t>0,00</w:t>
            </w:r>
          </w:p>
        </w:tc>
        <w:tc>
          <w:tcPr>
            <w:tcW w:w="1701" w:type="dxa"/>
            <w:vAlign w:val="center"/>
          </w:tcPr>
          <w:p w14:paraId="78B14D59" w14:textId="77777777" w:rsidR="00454A29" w:rsidRDefault="00454A29">
            <w:pPr>
              <w:pStyle w:val="ConsPlusNormal"/>
              <w:jc w:val="center"/>
            </w:pPr>
            <w:r>
              <w:t>0,00</w:t>
            </w:r>
          </w:p>
        </w:tc>
      </w:tr>
      <w:tr w:rsidR="00454A29" w14:paraId="39B5BA08" w14:textId="77777777">
        <w:tc>
          <w:tcPr>
            <w:tcW w:w="964" w:type="dxa"/>
            <w:vMerge/>
          </w:tcPr>
          <w:p w14:paraId="776B5930" w14:textId="77777777" w:rsidR="00454A29" w:rsidRDefault="00454A29"/>
        </w:tc>
        <w:tc>
          <w:tcPr>
            <w:tcW w:w="2154" w:type="dxa"/>
            <w:vMerge/>
            <w:tcBorders>
              <w:top w:val="nil"/>
              <w:bottom w:val="nil"/>
            </w:tcBorders>
          </w:tcPr>
          <w:p w14:paraId="6C497B06" w14:textId="77777777" w:rsidR="00454A29" w:rsidRDefault="00454A29"/>
        </w:tc>
        <w:tc>
          <w:tcPr>
            <w:tcW w:w="2154" w:type="dxa"/>
            <w:vMerge/>
            <w:tcBorders>
              <w:top w:val="nil"/>
              <w:bottom w:val="nil"/>
            </w:tcBorders>
          </w:tcPr>
          <w:p w14:paraId="5A01874B" w14:textId="77777777" w:rsidR="00454A29" w:rsidRDefault="00454A29"/>
        </w:tc>
        <w:tc>
          <w:tcPr>
            <w:tcW w:w="2665" w:type="dxa"/>
            <w:vMerge/>
          </w:tcPr>
          <w:p w14:paraId="07B03AAA" w14:textId="77777777" w:rsidR="00454A29" w:rsidRDefault="00454A29"/>
        </w:tc>
        <w:tc>
          <w:tcPr>
            <w:tcW w:w="2665" w:type="dxa"/>
            <w:vMerge/>
          </w:tcPr>
          <w:p w14:paraId="0EC74D40" w14:textId="77777777" w:rsidR="00454A29" w:rsidRDefault="00454A29"/>
        </w:tc>
        <w:tc>
          <w:tcPr>
            <w:tcW w:w="1928" w:type="dxa"/>
            <w:vMerge/>
          </w:tcPr>
          <w:p w14:paraId="0EEB3A4A" w14:textId="77777777" w:rsidR="00454A29" w:rsidRDefault="00454A29"/>
        </w:tc>
        <w:tc>
          <w:tcPr>
            <w:tcW w:w="1644" w:type="dxa"/>
            <w:vMerge/>
          </w:tcPr>
          <w:p w14:paraId="7127D889" w14:textId="77777777" w:rsidR="00454A29" w:rsidRDefault="00454A29"/>
        </w:tc>
        <w:tc>
          <w:tcPr>
            <w:tcW w:w="2041" w:type="dxa"/>
            <w:vMerge/>
          </w:tcPr>
          <w:p w14:paraId="20AAEDB1" w14:textId="77777777" w:rsidR="00454A29" w:rsidRDefault="00454A29"/>
        </w:tc>
        <w:tc>
          <w:tcPr>
            <w:tcW w:w="2098" w:type="dxa"/>
            <w:vAlign w:val="center"/>
          </w:tcPr>
          <w:p w14:paraId="586D64C2" w14:textId="77777777" w:rsidR="00454A29" w:rsidRDefault="00454A29">
            <w:pPr>
              <w:pStyle w:val="ConsPlusNormal"/>
              <w:jc w:val="center"/>
            </w:pPr>
            <w:r>
              <w:t>Местные бюджеты</w:t>
            </w:r>
          </w:p>
        </w:tc>
        <w:tc>
          <w:tcPr>
            <w:tcW w:w="1814" w:type="dxa"/>
            <w:vAlign w:val="center"/>
          </w:tcPr>
          <w:p w14:paraId="77BF4EEC" w14:textId="77777777" w:rsidR="00454A29" w:rsidRDefault="00454A29">
            <w:pPr>
              <w:pStyle w:val="ConsPlusNormal"/>
              <w:jc w:val="center"/>
            </w:pPr>
            <w:r>
              <w:t>0,00</w:t>
            </w:r>
          </w:p>
        </w:tc>
        <w:tc>
          <w:tcPr>
            <w:tcW w:w="1701" w:type="dxa"/>
            <w:vAlign w:val="center"/>
          </w:tcPr>
          <w:p w14:paraId="0143BBE2" w14:textId="77777777" w:rsidR="00454A29" w:rsidRDefault="00454A29">
            <w:pPr>
              <w:pStyle w:val="ConsPlusNormal"/>
              <w:jc w:val="center"/>
            </w:pPr>
            <w:r>
              <w:t>0,00</w:t>
            </w:r>
          </w:p>
        </w:tc>
        <w:tc>
          <w:tcPr>
            <w:tcW w:w="1701" w:type="dxa"/>
            <w:vAlign w:val="center"/>
          </w:tcPr>
          <w:p w14:paraId="1E8B823A" w14:textId="77777777" w:rsidR="00454A29" w:rsidRDefault="00454A29">
            <w:pPr>
              <w:pStyle w:val="ConsPlusNormal"/>
              <w:jc w:val="center"/>
            </w:pPr>
            <w:r>
              <w:t>0,00</w:t>
            </w:r>
          </w:p>
        </w:tc>
        <w:tc>
          <w:tcPr>
            <w:tcW w:w="1701" w:type="dxa"/>
            <w:vAlign w:val="center"/>
          </w:tcPr>
          <w:p w14:paraId="690FBC97" w14:textId="77777777" w:rsidR="00454A29" w:rsidRDefault="00454A29">
            <w:pPr>
              <w:pStyle w:val="ConsPlusNormal"/>
              <w:jc w:val="center"/>
            </w:pPr>
            <w:r>
              <w:t>0,00</w:t>
            </w:r>
          </w:p>
        </w:tc>
        <w:tc>
          <w:tcPr>
            <w:tcW w:w="1701" w:type="dxa"/>
            <w:vAlign w:val="center"/>
          </w:tcPr>
          <w:p w14:paraId="1BC2EA2D" w14:textId="77777777" w:rsidR="00454A29" w:rsidRDefault="00454A29">
            <w:pPr>
              <w:pStyle w:val="ConsPlusNormal"/>
              <w:jc w:val="center"/>
            </w:pPr>
            <w:r>
              <w:t>0,00</w:t>
            </w:r>
          </w:p>
        </w:tc>
        <w:tc>
          <w:tcPr>
            <w:tcW w:w="1701" w:type="dxa"/>
            <w:vAlign w:val="center"/>
          </w:tcPr>
          <w:p w14:paraId="1F9E7F24" w14:textId="77777777" w:rsidR="00454A29" w:rsidRDefault="00454A29">
            <w:pPr>
              <w:pStyle w:val="ConsPlusNormal"/>
              <w:jc w:val="center"/>
            </w:pPr>
            <w:r>
              <w:t>0,00</w:t>
            </w:r>
          </w:p>
        </w:tc>
        <w:tc>
          <w:tcPr>
            <w:tcW w:w="1701" w:type="dxa"/>
            <w:vAlign w:val="center"/>
          </w:tcPr>
          <w:p w14:paraId="1E8043CC" w14:textId="77777777" w:rsidR="00454A29" w:rsidRDefault="00454A29">
            <w:pPr>
              <w:pStyle w:val="ConsPlusNormal"/>
              <w:jc w:val="center"/>
            </w:pPr>
            <w:r>
              <w:t>0,00</w:t>
            </w:r>
          </w:p>
        </w:tc>
      </w:tr>
      <w:tr w:rsidR="00454A29" w14:paraId="101B9A6A" w14:textId="77777777">
        <w:tc>
          <w:tcPr>
            <w:tcW w:w="964" w:type="dxa"/>
            <w:vMerge/>
          </w:tcPr>
          <w:p w14:paraId="0BAEA558" w14:textId="77777777" w:rsidR="00454A29" w:rsidRDefault="00454A29"/>
        </w:tc>
        <w:tc>
          <w:tcPr>
            <w:tcW w:w="2154" w:type="dxa"/>
            <w:vMerge/>
            <w:tcBorders>
              <w:top w:val="nil"/>
              <w:bottom w:val="nil"/>
            </w:tcBorders>
          </w:tcPr>
          <w:p w14:paraId="4609CBAE" w14:textId="77777777" w:rsidR="00454A29" w:rsidRDefault="00454A29"/>
        </w:tc>
        <w:tc>
          <w:tcPr>
            <w:tcW w:w="2154" w:type="dxa"/>
            <w:vMerge/>
            <w:tcBorders>
              <w:top w:val="nil"/>
              <w:bottom w:val="nil"/>
            </w:tcBorders>
          </w:tcPr>
          <w:p w14:paraId="00D79A39" w14:textId="77777777" w:rsidR="00454A29" w:rsidRDefault="00454A29"/>
        </w:tc>
        <w:tc>
          <w:tcPr>
            <w:tcW w:w="2665" w:type="dxa"/>
            <w:vMerge/>
          </w:tcPr>
          <w:p w14:paraId="6A441F2C" w14:textId="77777777" w:rsidR="00454A29" w:rsidRDefault="00454A29"/>
        </w:tc>
        <w:tc>
          <w:tcPr>
            <w:tcW w:w="2665" w:type="dxa"/>
            <w:vMerge/>
          </w:tcPr>
          <w:p w14:paraId="526CCA1A" w14:textId="77777777" w:rsidR="00454A29" w:rsidRDefault="00454A29"/>
        </w:tc>
        <w:tc>
          <w:tcPr>
            <w:tcW w:w="1928" w:type="dxa"/>
            <w:vMerge/>
          </w:tcPr>
          <w:p w14:paraId="32923B10" w14:textId="77777777" w:rsidR="00454A29" w:rsidRDefault="00454A29"/>
        </w:tc>
        <w:tc>
          <w:tcPr>
            <w:tcW w:w="1644" w:type="dxa"/>
            <w:vMerge/>
          </w:tcPr>
          <w:p w14:paraId="2EF092B4" w14:textId="77777777" w:rsidR="00454A29" w:rsidRDefault="00454A29"/>
        </w:tc>
        <w:tc>
          <w:tcPr>
            <w:tcW w:w="2041" w:type="dxa"/>
            <w:vMerge/>
          </w:tcPr>
          <w:p w14:paraId="5E38DE94" w14:textId="77777777" w:rsidR="00454A29" w:rsidRDefault="00454A29"/>
        </w:tc>
        <w:tc>
          <w:tcPr>
            <w:tcW w:w="2098" w:type="dxa"/>
            <w:vAlign w:val="center"/>
          </w:tcPr>
          <w:p w14:paraId="46BFAFC7" w14:textId="77777777" w:rsidR="00454A29" w:rsidRDefault="00454A29">
            <w:pPr>
              <w:pStyle w:val="ConsPlusNormal"/>
              <w:jc w:val="center"/>
            </w:pPr>
            <w:r>
              <w:t>Внебюджетные средства</w:t>
            </w:r>
          </w:p>
        </w:tc>
        <w:tc>
          <w:tcPr>
            <w:tcW w:w="1814" w:type="dxa"/>
            <w:vAlign w:val="center"/>
          </w:tcPr>
          <w:p w14:paraId="42C7413B" w14:textId="77777777" w:rsidR="00454A29" w:rsidRDefault="00454A29">
            <w:pPr>
              <w:pStyle w:val="ConsPlusNormal"/>
              <w:jc w:val="center"/>
            </w:pPr>
            <w:r>
              <w:t>0,00</w:t>
            </w:r>
          </w:p>
        </w:tc>
        <w:tc>
          <w:tcPr>
            <w:tcW w:w="1701" w:type="dxa"/>
            <w:vAlign w:val="center"/>
          </w:tcPr>
          <w:p w14:paraId="711E4966" w14:textId="77777777" w:rsidR="00454A29" w:rsidRDefault="00454A29">
            <w:pPr>
              <w:pStyle w:val="ConsPlusNormal"/>
              <w:jc w:val="center"/>
            </w:pPr>
            <w:r>
              <w:t>0,00</w:t>
            </w:r>
          </w:p>
        </w:tc>
        <w:tc>
          <w:tcPr>
            <w:tcW w:w="1701" w:type="dxa"/>
            <w:vAlign w:val="center"/>
          </w:tcPr>
          <w:p w14:paraId="31F2CD82" w14:textId="77777777" w:rsidR="00454A29" w:rsidRDefault="00454A29">
            <w:pPr>
              <w:pStyle w:val="ConsPlusNormal"/>
              <w:jc w:val="center"/>
            </w:pPr>
            <w:r>
              <w:t>0,00</w:t>
            </w:r>
          </w:p>
        </w:tc>
        <w:tc>
          <w:tcPr>
            <w:tcW w:w="1701" w:type="dxa"/>
            <w:vAlign w:val="center"/>
          </w:tcPr>
          <w:p w14:paraId="4AC2CD04" w14:textId="77777777" w:rsidR="00454A29" w:rsidRDefault="00454A29">
            <w:pPr>
              <w:pStyle w:val="ConsPlusNormal"/>
              <w:jc w:val="center"/>
            </w:pPr>
            <w:r>
              <w:t>0,00</w:t>
            </w:r>
          </w:p>
        </w:tc>
        <w:tc>
          <w:tcPr>
            <w:tcW w:w="1701" w:type="dxa"/>
            <w:vAlign w:val="center"/>
          </w:tcPr>
          <w:p w14:paraId="2E3FF5A9" w14:textId="77777777" w:rsidR="00454A29" w:rsidRDefault="00454A29">
            <w:pPr>
              <w:pStyle w:val="ConsPlusNormal"/>
              <w:jc w:val="center"/>
            </w:pPr>
            <w:r>
              <w:t>0,00</w:t>
            </w:r>
          </w:p>
        </w:tc>
        <w:tc>
          <w:tcPr>
            <w:tcW w:w="1701" w:type="dxa"/>
            <w:vAlign w:val="center"/>
          </w:tcPr>
          <w:p w14:paraId="66C01AC0" w14:textId="77777777" w:rsidR="00454A29" w:rsidRDefault="00454A29">
            <w:pPr>
              <w:pStyle w:val="ConsPlusNormal"/>
              <w:jc w:val="center"/>
            </w:pPr>
            <w:r>
              <w:t>0,00</w:t>
            </w:r>
          </w:p>
        </w:tc>
        <w:tc>
          <w:tcPr>
            <w:tcW w:w="1701" w:type="dxa"/>
            <w:vAlign w:val="center"/>
          </w:tcPr>
          <w:p w14:paraId="72CF2717" w14:textId="77777777" w:rsidR="00454A29" w:rsidRDefault="00454A29">
            <w:pPr>
              <w:pStyle w:val="ConsPlusNormal"/>
              <w:jc w:val="center"/>
            </w:pPr>
            <w:r>
              <w:t>0,00</w:t>
            </w:r>
          </w:p>
        </w:tc>
      </w:tr>
      <w:tr w:rsidR="00454A29" w14:paraId="741DA6E0" w14:textId="77777777">
        <w:tc>
          <w:tcPr>
            <w:tcW w:w="964" w:type="dxa"/>
            <w:vMerge w:val="restart"/>
            <w:vAlign w:val="center"/>
          </w:tcPr>
          <w:p w14:paraId="0DFF8E22" w14:textId="77777777" w:rsidR="00454A29" w:rsidRDefault="00454A29">
            <w:pPr>
              <w:pStyle w:val="ConsPlusNormal"/>
              <w:jc w:val="center"/>
            </w:pPr>
            <w:r>
              <w:t>2.2.</w:t>
            </w:r>
          </w:p>
        </w:tc>
        <w:tc>
          <w:tcPr>
            <w:tcW w:w="2154" w:type="dxa"/>
            <w:vMerge w:val="restart"/>
            <w:tcBorders>
              <w:top w:val="nil"/>
              <w:bottom w:val="nil"/>
            </w:tcBorders>
            <w:vAlign w:val="center"/>
          </w:tcPr>
          <w:p w14:paraId="1FFC559E" w14:textId="77777777" w:rsidR="00454A29" w:rsidRDefault="00454A29">
            <w:pPr>
              <w:pStyle w:val="ConsPlusNormal"/>
            </w:pPr>
          </w:p>
        </w:tc>
        <w:tc>
          <w:tcPr>
            <w:tcW w:w="2154" w:type="dxa"/>
            <w:vMerge w:val="restart"/>
            <w:tcBorders>
              <w:top w:val="nil"/>
              <w:bottom w:val="nil"/>
            </w:tcBorders>
            <w:vAlign w:val="center"/>
          </w:tcPr>
          <w:p w14:paraId="2E6D48C5" w14:textId="77777777" w:rsidR="00454A29" w:rsidRDefault="00454A29">
            <w:pPr>
              <w:pStyle w:val="ConsPlusNormal"/>
            </w:pPr>
          </w:p>
        </w:tc>
        <w:tc>
          <w:tcPr>
            <w:tcW w:w="2665" w:type="dxa"/>
            <w:vMerge w:val="restart"/>
            <w:vAlign w:val="center"/>
          </w:tcPr>
          <w:p w14:paraId="318D7426" w14:textId="77777777" w:rsidR="00454A29" w:rsidRDefault="00454A29">
            <w:pPr>
              <w:pStyle w:val="ConsPlusNormal"/>
              <w:jc w:val="center"/>
            </w:pPr>
            <w:r>
              <w:t>Результат 2. Для 13 тыс. детей не менее чем в 113 общеобразовательных организаций Республики Саха (Якутия), расположенных в сельской местности, обновлена материально-техническая база для занятий физической культурой и спортом</w:t>
            </w:r>
          </w:p>
        </w:tc>
        <w:tc>
          <w:tcPr>
            <w:tcW w:w="2665" w:type="dxa"/>
            <w:vMerge w:val="restart"/>
            <w:vAlign w:val="center"/>
          </w:tcPr>
          <w:p w14:paraId="1AADB3B1" w14:textId="77777777" w:rsidR="00454A29" w:rsidRDefault="00454A29">
            <w:pPr>
              <w:pStyle w:val="ConsPlusNormal"/>
              <w:jc w:val="center"/>
            </w:pPr>
            <w:r>
              <w:t>Мероприятие 4.3.2.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(приобретение оборудования, капитальный ремонт, перепрофилирование)</w:t>
            </w:r>
          </w:p>
        </w:tc>
        <w:tc>
          <w:tcPr>
            <w:tcW w:w="1928" w:type="dxa"/>
            <w:vMerge w:val="restart"/>
            <w:vAlign w:val="center"/>
          </w:tcPr>
          <w:p w14:paraId="14D357A2" w14:textId="77777777" w:rsidR="00454A29" w:rsidRDefault="00454A29">
            <w:pPr>
              <w:pStyle w:val="ConsPlusNormal"/>
              <w:jc w:val="center"/>
            </w:pPr>
            <w:r>
              <w:t>-</w:t>
            </w:r>
          </w:p>
        </w:tc>
        <w:tc>
          <w:tcPr>
            <w:tcW w:w="1644" w:type="dxa"/>
            <w:vMerge w:val="restart"/>
            <w:vAlign w:val="center"/>
          </w:tcPr>
          <w:p w14:paraId="0AD59C86" w14:textId="77777777" w:rsidR="00454A29" w:rsidRDefault="00454A29">
            <w:pPr>
              <w:pStyle w:val="ConsPlusNormal"/>
              <w:jc w:val="center"/>
            </w:pPr>
            <w:r>
              <w:t>-</w:t>
            </w:r>
          </w:p>
        </w:tc>
        <w:tc>
          <w:tcPr>
            <w:tcW w:w="2041" w:type="dxa"/>
            <w:vMerge w:val="restart"/>
            <w:vAlign w:val="center"/>
          </w:tcPr>
          <w:p w14:paraId="3FE27CC6" w14:textId="77777777" w:rsidR="00454A29" w:rsidRDefault="00454A29">
            <w:pPr>
              <w:pStyle w:val="ConsPlusNormal"/>
              <w:jc w:val="center"/>
            </w:pPr>
            <w:r>
              <w:t>-</w:t>
            </w:r>
          </w:p>
        </w:tc>
        <w:tc>
          <w:tcPr>
            <w:tcW w:w="2098" w:type="dxa"/>
            <w:vAlign w:val="center"/>
          </w:tcPr>
          <w:p w14:paraId="6ED98554" w14:textId="77777777" w:rsidR="00454A29" w:rsidRDefault="00454A29">
            <w:pPr>
              <w:pStyle w:val="ConsPlusNormal"/>
              <w:jc w:val="center"/>
            </w:pPr>
            <w:r>
              <w:t>Итого</w:t>
            </w:r>
          </w:p>
        </w:tc>
        <w:tc>
          <w:tcPr>
            <w:tcW w:w="1814" w:type="dxa"/>
            <w:vAlign w:val="center"/>
          </w:tcPr>
          <w:p w14:paraId="29DCD9B5" w14:textId="77777777" w:rsidR="00454A29" w:rsidRDefault="00454A29">
            <w:pPr>
              <w:pStyle w:val="ConsPlusNormal"/>
              <w:jc w:val="center"/>
            </w:pPr>
            <w:r>
              <w:t>2 559,37</w:t>
            </w:r>
          </w:p>
        </w:tc>
        <w:tc>
          <w:tcPr>
            <w:tcW w:w="1701" w:type="dxa"/>
            <w:vAlign w:val="center"/>
          </w:tcPr>
          <w:p w14:paraId="1898C7B4" w14:textId="77777777" w:rsidR="00454A29" w:rsidRDefault="00454A29">
            <w:pPr>
              <w:pStyle w:val="ConsPlusNormal"/>
              <w:jc w:val="center"/>
            </w:pPr>
            <w:r>
              <w:t>2 559,37</w:t>
            </w:r>
          </w:p>
        </w:tc>
        <w:tc>
          <w:tcPr>
            <w:tcW w:w="1701" w:type="dxa"/>
            <w:vAlign w:val="center"/>
          </w:tcPr>
          <w:p w14:paraId="3831FACA" w14:textId="77777777" w:rsidR="00454A29" w:rsidRDefault="00454A29">
            <w:pPr>
              <w:pStyle w:val="ConsPlusNormal"/>
              <w:jc w:val="center"/>
            </w:pPr>
            <w:r>
              <w:t>2 538,91</w:t>
            </w:r>
          </w:p>
        </w:tc>
        <w:tc>
          <w:tcPr>
            <w:tcW w:w="1701" w:type="dxa"/>
            <w:vAlign w:val="center"/>
          </w:tcPr>
          <w:p w14:paraId="706EEC46" w14:textId="77777777" w:rsidR="00454A29" w:rsidRDefault="00454A29">
            <w:pPr>
              <w:pStyle w:val="ConsPlusNormal"/>
              <w:jc w:val="center"/>
            </w:pPr>
            <w:r>
              <w:t>2 188,00</w:t>
            </w:r>
          </w:p>
        </w:tc>
        <w:tc>
          <w:tcPr>
            <w:tcW w:w="1701" w:type="dxa"/>
            <w:vAlign w:val="center"/>
          </w:tcPr>
          <w:p w14:paraId="6A6B31EA" w14:textId="77777777" w:rsidR="00454A29" w:rsidRDefault="00454A29">
            <w:pPr>
              <w:pStyle w:val="ConsPlusNormal"/>
              <w:jc w:val="center"/>
            </w:pPr>
            <w:r>
              <w:t>2 188,00</w:t>
            </w:r>
          </w:p>
        </w:tc>
        <w:tc>
          <w:tcPr>
            <w:tcW w:w="1701" w:type="dxa"/>
            <w:vAlign w:val="center"/>
          </w:tcPr>
          <w:p w14:paraId="2D66BAD8" w14:textId="77777777" w:rsidR="00454A29" w:rsidRDefault="00454A29">
            <w:pPr>
              <w:pStyle w:val="ConsPlusNormal"/>
              <w:jc w:val="center"/>
            </w:pPr>
            <w:r>
              <w:t>0,00</w:t>
            </w:r>
          </w:p>
        </w:tc>
        <w:tc>
          <w:tcPr>
            <w:tcW w:w="1701" w:type="dxa"/>
            <w:vAlign w:val="center"/>
          </w:tcPr>
          <w:p w14:paraId="591ACC54" w14:textId="77777777" w:rsidR="00454A29" w:rsidRDefault="00454A29">
            <w:pPr>
              <w:pStyle w:val="ConsPlusNormal"/>
              <w:jc w:val="center"/>
            </w:pPr>
            <w:r>
              <w:t>0,00</w:t>
            </w:r>
          </w:p>
        </w:tc>
      </w:tr>
      <w:tr w:rsidR="00454A29" w14:paraId="2E345F23" w14:textId="77777777">
        <w:tc>
          <w:tcPr>
            <w:tcW w:w="964" w:type="dxa"/>
            <w:vMerge/>
          </w:tcPr>
          <w:p w14:paraId="3097E2F3" w14:textId="77777777" w:rsidR="00454A29" w:rsidRDefault="00454A29"/>
        </w:tc>
        <w:tc>
          <w:tcPr>
            <w:tcW w:w="2154" w:type="dxa"/>
            <w:vMerge/>
            <w:tcBorders>
              <w:top w:val="nil"/>
              <w:bottom w:val="nil"/>
            </w:tcBorders>
          </w:tcPr>
          <w:p w14:paraId="4DEA5C9E" w14:textId="77777777" w:rsidR="00454A29" w:rsidRDefault="00454A29"/>
        </w:tc>
        <w:tc>
          <w:tcPr>
            <w:tcW w:w="2154" w:type="dxa"/>
            <w:vMerge/>
            <w:tcBorders>
              <w:top w:val="nil"/>
              <w:bottom w:val="nil"/>
            </w:tcBorders>
          </w:tcPr>
          <w:p w14:paraId="32EFF928" w14:textId="77777777" w:rsidR="00454A29" w:rsidRDefault="00454A29"/>
        </w:tc>
        <w:tc>
          <w:tcPr>
            <w:tcW w:w="2665" w:type="dxa"/>
            <w:vMerge/>
          </w:tcPr>
          <w:p w14:paraId="3B36529E" w14:textId="77777777" w:rsidR="00454A29" w:rsidRDefault="00454A29"/>
        </w:tc>
        <w:tc>
          <w:tcPr>
            <w:tcW w:w="2665" w:type="dxa"/>
            <w:vMerge/>
          </w:tcPr>
          <w:p w14:paraId="2E0C3E22" w14:textId="77777777" w:rsidR="00454A29" w:rsidRDefault="00454A29"/>
        </w:tc>
        <w:tc>
          <w:tcPr>
            <w:tcW w:w="1928" w:type="dxa"/>
            <w:vMerge/>
          </w:tcPr>
          <w:p w14:paraId="26B863D0" w14:textId="77777777" w:rsidR="00454A29" w:rsidRDefault="00454A29"/>
        </w:tc>
        <w:tc>
          <w:tcPr>
            <w:tcW w:w="1644" w:type="dxa"/>
            <w:vMerge/>
          </w:tcPr>
          <w:p w14:paraId="0AD9E4A7" w14:textId="77777777" w:rsidR="00454A29" w:rsidRDefault="00454A29"/>
        </w:tc>
        <w:tc>
          <w:tcPr>
            <w:tcW w:w="2041" w:type="dxa"/>
            <w:vMerge/>
          </w:tcPr>
          <w:p w14:paraId="64259616" w14:textId="77777777" w:rsidR="00454A29" w:rsidRDefault="00454A29"/>
        </w:tc>
        <w:tc>
          <w:tcPr>
            <w:tcW w:w="2098" w:type="dxa"/>
            <w:vAlign w:val="center"/>
          </w:tcPr>
          <w:p w14:paraId="10FBA568"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1055156" w14:textId="77777777" w:rsidR="00454A29" w:rsidRDefault="00454A29">
            <w:pPr>
              <w:pStyle w:val="ConsPlusNormal"/>
              <w:jc w:val="center"/>
            </w:pPr>
            <w:r>
              <w:t>2 559,37</w:t>
            </w:r>
          </w:p>
        </w:tc>
        <w:tc>
          <w:tcPr>
            <w:tcW w:w="1701" w:type="dxa"/>
            <w:vAlign w:val="center"/>
          </w:tcPr>
          <w:p w14:paraId="640E1FD0" w14:textId="77777777" w:rsidR="00454A29" w:rsidRDefault="00454A29">
            <w:pPr>
              <w:pStyle w:val="ConsPlusNormal"/>
              <w:jc w:val="center"/>
            </w:pPr>
            <w:r>
              <w:t>2 559,37</w:t>
            </w:r>
          </w:p>
        </w:tc>
        <w:tc>
          <w:tcPr>
            <w:tcW w:w="1701" w:type="dxa"/>
            <w:vAlign w:val="center"/>
          </w:tcPr>
          <w:p w14:paraId="0CE76B06" w14:textId="77777777" w:rsidR="00454A29" w:rsidRDefault="00454A29">
            <w:pPr>
              <w:pStyle w:val="ConsPlusNormal"/>
              <w:jc w:val="center"/>
            </w:pPr>
            <w:r>
              <w:t>2 538,91</w:t>
            </w:r>
          </w:p>
        </w:tc>
        <w:tc>
          <w:tcPr>
            <w:tcW w:w="1701" w:type="dxa"/>
            <w:vAlign w:val="center"/>
          </w:tcPr>
          <w:p w14:paraId="25016D58" w14:textId="77777777" w:rsidR="00454A29" w:rsidRDefault="00454A29">
            <w:pPr>
              <w:pStyle w:val="ConsPlusNormal"/>
              <w:jc w:val="center"/>
            </w:pPr>
            <w:r>
              <w:t>2 188,00</w:t>
            </w:r>
          </w:p>
        </w:tc>
        <w:tc>
          <w:tcPr>
            <w:tcW w:w="1701" w:type="dxa"/>
            <w:vAlign w:val="center"/>
          </w:tcPr>
          <w:p w14:paraId="42CC8A3B" w14:textId="77777777" w:rsidR="00454A29" w:rsidRDefault="00454A29">
            <w:pPr>
              <w:pStyle w:val="ConsPlusNormal"/>
              <w:jc w:val="center"/>
            </w:pPr>
            <w:r>
              <w:t>2 188,00</w:t>
            </w:r>
          </w:p>
        </w:tc>
        <w:tc>
          <w:tcPr>
            <w:tcW w:w="1701" w:type="dxa"/>
            <w:vAlign w:val="center"/>
          </w:tcPr>
          <w:p w14:paraId="3BDFDB4A" w14:textId="77777777" w:rsidR="00454A29" w:rsidRDefault="00454A29">
            <w:pPr>
              <w:pStyle w:val="ConsPlusNormal"/>
              <w:jc w:val="center"/>
            </w:pPr>
            <w:r>
              <w:t>0,00</w:t>
            </w:r>
          </w:p>
        </w:tc>
        <w:tc>
          <w:tcPr>
            <w:tcW w:w="1701" w:type="dxa"/>
            <w:vAlign w:val="center"/>
          </w:tcPr>
          <w:p w14:paraId="15EC8844" w14:textId="77777777" w:rsidR="00454A29" w:rsidRDefault="00454A29">
            <w:pPr>
              <w:pStyle w:val="ConsPlusNormal"/>
              <w:jc w:val="center"/>
            </w:pPr>
            <w:r>
              <w:t>0,00</w:t>
            </w:r>
          </w:p>
        </w:tc>
      </w:tr>
      <w:tr w:rsidR="00454A29" w14:paraId="28B38423" w14:textId="77777777">
        <w:tc>
          <w:tcPr>
            <w:tcW w:w="964" w:type="dxa"/>
            <w:vMerge/>
          </w:tcPr>
          <w:p w14:paraId="2A3291AA" w14:textId="77777777" w:rsidR="00454A29" w:rsidRDefault="00454A29"/>
        </w:tc>
        <w:tc>
          <w:tcPr>
            <w:tcW w:w="2154" w:type="dxa"/>
            <w:vMerge/>
            <w:tcBorders>
              <w:top w:val="nil"/>
              <w:bottom w:val="nil"/>
            </w:tcBorders>
          </w:tcPr>
          <w:p w14:paraId="710AF953" w14:textId="77777777" w:rsidR="00454A29" w:rsidRDefault="00454A29"/>
        </w:tc>
        <w:tc>
          <w:tcPr>
            <w:tcW w:w="2154" w:type="dxa"/>
            <w:vMerge/>
            <w:tcBorders>
              <w:top w:val="nil"/>
              <w:bottom w:val="nil"/>
            </w:tcBorders>
          </w:tcPr>
          <w:p w14:paraId="4D0BEBCC" w14:textId="77777777" w:rsidR="00454A29" w:rsidRDefault="00454A29"/>
        </w:tc>
        <w:tc>
          <w:tcPr>
            <w:tcW w:w="2665" w:type="dxa"/>
            <w:vMerge/>
          </w:tcPr>
          <w:p w14:paraId="5D61DAAF" w14:textId="77777777" w:rsidR="00454A29" w:rsidRDefault="00454A29"/>
        </w:tc>
        <w:tc>
          <w:tcPr>
            <w:tcW w:w="2665" w:type="dxa"/>
            <w:vMerge/>
          </w:tcPr>
          <w:p w14:paraId="0E0F42CB" w14:textId="77777777" w:rsidR="00454A29" w:rsidRDefault="00454A29"/>
        </w:tc>
        <w:tc>
          <w:tcPr>
            <w:tcW w:w="1928" w:type="dxa"/>
            <w:vMerge/>
          </w:tcPr>
          <w:p w14:paraId="7A8229B4" w14:textId="77777777" w:rsidR="00454A29" w:rsidRDefault="00454A29"/>
        </w:tc>
        <w:tc>
          <w:tcPr>
            <w:tcW w:w="1644" w:type="dxa"/>
            <w:vMerge/>
          </w:tcPr>
          <w:p w14:paraId="6E86D4ED" w14:textId="77777777" w:rsidR="00454A29" w:rsidRDefault="00454A29"/>
        </w:tc>
        <w:tc>
          <w:tcPr>
            <w:tcW w:w="2041" w:type="dxa"/>
            <w:vMerge/>
          </w:tcPr>
          <w:p w14:paraId="45A36FB9" w14:textId="77777777" w:rsidR="00454A29" w:rsidRDefault="00454A29"/>
        </w:tc>
        <w:tc>
          <w:tcPr>
            <w:tcW w:w="2098" w:type="dxa"/>
            <w:vAlign w:val="center"/>
          </w:tcPr>
          <w:p w14:paraId="2A01EE24" w14:textId="77777777" w:rsidR="00454A29" w:rsidRDefault="00454A29">
            <w:pPr>
              <w:pStyle w:val="ConsPlusNormal"/>
              <w:jc w:val="center"/>
            </w:pPr>
            <w:r>
              <w:t>Федеральный бюджет</w:t>
            </w:r>
          </w:p>
        </w:tc>
        <w:tc>
          <w:tcPr>
            <w:tcW w:w="1814" w:type="dxa"/>
            <w:vAlign w:val="center"/>
          </w:tcPr>
          <w:p w14:paraId="27199E11" w14:textId="77777777" w:rsidR="00454A29" w:rsidRDefault="00454A29">
            <w:pPr>
              <w:pStyle w:val="ConsPlusNormal"/>
              <w:jc w:val="center"/>
            </w:pPr>
            <w:r>
              <w:t>0,00</w:t>
            </w:r>
          </w:p>
        </w:tc>
        <w:tc>
          <w:tcPr>
            <w:tcW w:w="1701" w:type="dxa"/>
            <w:vAlign w:val="center"/>
          </w:tcPr>
          <w:p w14:paraId="1CD1B47D" w14:textId="77777777" w:rsidR="00454A29" w:rsidRDefault="00454A29">
            <w:pPr>
              <w:pStyle w:val="ConsPlusNormal"/>
              <w:jc w:val="center"/>
            </w:pPr>
            <w:r>
              <w:t>0,00</w:t>
            </w:r>
          </w:p>
        </w:tc>
        <w:tc>
          <w:tcPr>
            <w:tcW w:w="1701" w:type="dxa"/>
            <w:vAlign w:val="center"/>
          </w:tcPr>
          <w:p w14:paraId="3405EFBC" w14:textId="77777777" w:rsidR="00454A29" w:rsidRDefault="00454A29">
            <w:pPr>
              <w:pStyle w:val="ConsPlusNormal"/>
              <w:jc w:val="center"/>
            </w:pPr>
            <w:r>
              <w:t>0,00</w:t>
            </w:r>
          </w:p>
        </w:tc>
        <w:tc>
          <w:tcPr>
            <w:tcW w:w="1701" w:type="dxa"/>
            <w:vAlign w:val="center"/>
          </w:tcPr>
          <w:p w14:paraId="62CACE58" w14:textId="77777777" w:rsidR="00454A29" w:rsidRDefault="00454A29">
            <w:pPr>
              <w:pStyle w:val="ConsPlusNormal"/>
              <w:jc w:val="center"/>
            </w:pPr>
            <w:r>
              <w:t>0,00</w:t>
            </w:r>
          </w:p>
        </w:tc>
        <w:tc>
          <w:tcPr>
            <w:tcW w:w="1701" w:type="dxa"/>
            <w:vAlign w:val="center"/>
          </w:tcPr>
          <w:p w14:paraId="195AF803" w14:textId="77777777" w:rsidR="00454A29" w:rsidRDefault="00454A29">
            <w:pPr>
              <w:pStyle w:val="ConsPlusNormal"/>
              <w:jc w:val="center"/>
            </w:pPr>
            <w:r>
              <w:t>0,00</w:t>
            </w:r>
          </w:p>
        </w:tc>
        <w:tc>
          <w:tcPr>
            <w:tcW w:w="1701" w:type="dxa"/>
            <w:vAlign w:val="center"/>
          </w:tcPr>
          <w:p w14:paraId="51E95019" w14:textId="77777777" w:rsidR="00454A29" w:rsidRDefault="00454A29">
            <w:pPr>
              <w:pStyle w:val="ConsPlusNormal"/>
              <w:jc w:val="center"/>
            </w:pPr>
            <w:r>
              <w:t>0,00</w:t>
            </w:r>
          </w:p>
        </w:tc>
        <w:tc>
          <w:tcPr>
            <w:tcW w:w="1701" w:type="dxa"/>
            <w:vAlign w:val="center"/>
          </w:tcPr>
          <w:p w14:paraId="7EB2B415" w14:textId="77777777" w:rsidR="00454A29" w:rsidRDefault="00454A29">
            <w:pPr>
              <w:pStyle w:val="ConsPlusNormal"/>
              <w:jc w:val="center"/>
            </w:pPr>
            <w:r>
              <w:t>0,00</w:t>
            </w:r>
          </w:p>
        </w:tc>
      </w:tr>
      <w:tr w:rsidR="00454A29" w14:paraId="2F015486" w14:textId="77777777">
        <w:tc>
          <w:tcPr>
            <w:tcW w:w="964" w:type="dxa"/>
            <w:vMerge/>
          </w:tcPr>
          <w:p w14:paraId="09E10BF5" w14:textId="77777777" w:rsidR="00454A29" w:rsidRDefault="00454A29"/>
        </w:tc>
        <w:tc>
          <w:tcPr>
            <w:tcW w:w="2154" w:type="dxa"/>
            <w:vMerge/>
            <w:tcBorders>
              <w:top w:val="nil"/>
              <w:bottom w:val="nil"/>
            </w:tcBorders>
          </w:tcPr>
          <w:p w14:paraId="1994764C" w14:textId="77777777" w:rsidR="00454A29" w:rsidRDefault="00454A29"/>
        </w:tc>
        <w:tc>
          <w:tcPr>
            <w:tcW w:w="2154" w:type="dxa"/>
            <w:vMerge/>
            <w:tcBorders>
              <w:top w:val="nil"/>
              <w:bottom w:val="nil"/>
            </w:tcBorders>
          </w:tcPr>
          <w:p w14:paraId="6F8AEF3D" w14:textId="77777777" w:rsidR="00454A29" w:rsidRDefault="00454A29"/>
        </w:tc>
        <w:tc>
          <w:tcPr>
            <w:tcW w:w="2665" w:type="dxa"/>
            <w:vMerge/>
          </w:tcPr>
          <w:p w14:paraId="4008E8C0" w14:textId="77777777" w:rsidR="00454A29" w:rsidRDefault="00454A29"/>
        </w:tc>
        <w:tc>
          <w:tcPr>
            <w:tcW w:w="2665" w:type="dxa"/>
            <w:vMerge/>
          </w:tcPr>
          <w:p w14:paraId="30D5F5AD" w14:textId="77777777" w:rsidR="00454A29" w:rsidRDefault="00454A29"/>
        </w:tc>
        <w:tc>
          <w:tcPr>
            <w:tcW w:w="1928" w:type="dxa"/>
            <w:vMerge/>
          </w:tcPr>
          <w:p w14:paraId="1B3EC537" w14:textId="77777777" w:rsidR="00454A29" w:rsidRDefault="00454A29"/>
        </w:tc>
        <w:tc>
          <w:tcPr>
            <w:tcW w:w="1644" w:type="dxa"/>
            <w:vMerge/>
          </w:tcPr>
          <w:p w14:paraId="5220A0E0" w14:textId="77777777" w:rsidR="00454A29" w:rsidRDefault="00454A29"/>
        </w:tc>
        <w:tc>
          <w:tcPr>
            <w:tcW w:w="2041" w:type="dxa"/>
            <w:vMerge/>
          </w:tcPr>
          <w:p w14:paraId="48C89FAB" w14:textId="77777777" w:rsidR="00454A29" w:rsidRDefault="00454A29"/>
        </w:tc>
        <w:tc>
          <w:tcPr>
            <w:tcW w:w="2098" w:type="dxa"/>
            <w:vAlign w:val="center"/>
          </w:tcPr>
          <w:p w14:paraId="53A24B58" w14:textId="77777777" w:rsidR="00454A29" w:rsidRDefault="00454A29">
            <w:pPr>
              <w:pStyle w:val="ConsPlusNormal"/>
              <w:jc w:val="center"/>
            </w:pPr>
            <w:r>
              <w:t>Местные бюджеты</w:t>
            </w:r>
          </w:p>
        </w:tc>
        <w:tc>
          <w:tcPr>
            <w:tcW w:w="1814" w:type="dxa"/>
            <w:vAlign w:val="center"/>
          </w:tcPr>
          <w:p w14:paraId="14316236" w14:textId="77777777" w:rsidR="00454A29" w:rsidRDefault="00454A29">
            <w:pPr>
              <w:pStyle w:val="ConsPlusNormal"/>
              <w:jc w:val="center"/>
            </w:pPr>
            <w:r>
              <w:t>0,00</w:t>
            </w:r>
          </w:p>
        </w:tc>
        <w:tc>
          <w:tcPr>
            <w:tcW w:w="1701" w:type="dxa"/>
            <w:vAlign w:val="center"/>
          </w:tcPr>
          <w:p w14:paraId="45917308" w14:textId="77777777" w:rsidR="00454A29" w:rsidRDefault="00454A29">
            <w:pPr>
              <w:pStyle w:val="ConsPlusNormal"/>
              <w:jc w:val="center"/>
            </w:pPr>
            <w:r>
              <w:t>0,00</w:t>
            </w:r>
          </w:p>
        </w:tc>
        <w:tc>
          <w:tcPr>
            <w:tcW w:w="1701" w:type="dxa"/>
            <w:vAlign w:val="center"/>
          </w:tcPr>
          <w:p w14:paraId="77F6C355" w14:textId="77777777" w:rsidR="00454A29" w:rsidRDefault="00454A29">
            <w:pPr>
              <w:pStyle w:val="ConsPlusNormal"/>
              <w:jc w:val="center"/>
            </w:pPr>
            <w:r>
              <w:t>0,00</w:t>
            </w:r>
          </w:p>
        </w:tc>
        <w:tc>
          <w:tcPr>
            <w:tcW w:w="1701" w:type="dxa"/>
            <w:vAlign w:val="center"/>
          </w:tcPr>
          <w:p w14:paraId="50B09461" w14:textId="77777777" w:rsidR="00454A29" w:rsidRDefault="00454A29">
            <w:pPr>
              <w:pStyle w:val="ConsPlusNormal"/>
              <w:jc w:val="center"/>
            </w:pPr>
            <w:r>
              <w:t>0,00</w:t>
            </w:r>
          </w:p>
        </w:tc>
        <w:tc>
          <w:tcPr>
            <w:tcW w:w="1701" w:type="dxa"/>
            <w:vAlign w:val="center"/>
          </w:tcPr>
          <w:p w14:paraId="21393ADC" w14:textId="77777777" w:rsidR="00454A29" w:rsidRDefault="00454A29">
            <w:pPr>
              <w:pStyle w:val="ConsPlusNormal"/>
              <w:jc w:val="center"/>
            </w:pPr>
            <w:r>
              <w:t>0,00</w:t>
            </w:r>
          </w:p>
        </w:tc>
        <w:tc>
          <w:tcPr>
            <w:tcW w:w="1701" w:type="dxa"/>
            <w:vAlign w:val="center"/>
          </w:tcPr>
          <w:p w14:paraId="2B93D9CC" w14:textId="77777777" w:rsidR="00454A29" w:rsidRDefault="00454A29">
            <w:pPr>
              <w:pStyle w:val="ConsPlusNormal"/>
              <w:jc w:val="center"/>
            </w:pPr>
            <w:r>
              <w:t>0,00</w:t>
            </w:r>
          </w:p>
        </w:tc>
        <w:tc>
          <w:tcPr>
            <w:tcW w:w="1701" w:type="dxa"/>
            <w:vAlign w:val="center"/>
          </w:tcPr>
          <w:p w14:paraId="621732B6" w14:textId="77777777" w:rsidR="00454A29" w:rsidRDefault="00454A29">
            <w:pPr>
              <w:pStyle w:val="ConsPlusNormal"/>
              <w:jc w:val="center"/>
            </w:pPr>
            <w:r>
              <w:t>0,00</w:t>
            </w:r>
          </w:p>
        </w:tc>
      </w:tr>
      <w:tr w:rsidR="00454A29" w14:paraId="2D467C6C" w14:textId="77777777">
        <w:tc>
          <w:tcPr>
            <w:tcW w:w="964" w:type="dxa"/>
            <w:vMerge/>
          </w:tcPr>
          <w:p w14:paraId="61145B70" w14:textId="77777777" w:rsidR="00454A29" w:rsidRDefault="00454A29"/>
        </w:tc>
        <w:tc>
          <w:tcPr>
            <w:tcW w:w="2154" w:type="dxa"/>
            <w:vMerge/>
            <w:tcBorders>
              <w:top w:val="nil"/>
              <w:bottom w:val="nil"/>
            </w:tcBorders>
          </w:tcPr>
          <w:p w14:paraId="6504D1D2" w14:textId="77777777" w:rsidR="00454A29" w:rsidRDefault="00454A29"/>
        </w:tc>
        <w:tc>
          <w:tcPr>
            <w:tcW w:w="2154" w:type="dxa"/>
            <w:vMerge/>
            <w:tcBorders>
              <w:top w:val="nil"/>
              <w:bottom w:val="nil"/>
            </w:tcBorders>
          </w:tcPr>
          <w:p w14:paraId="04F241FB" w14:textId="77777777" w:rsidR="00454A29" w:rsidRDefault="00454A29"/>
        </w:tc>
        <w:tc>
          <w:tcPr>
            <w:tcW w:w="2665" w:type="dxa"/>
            <w:vMerge/>
          </w:tcPr>
          <w:p w14:paraId="5CD9E1BF" w14:textId="77777777" w:rsidR="00454A29" w:rsidRDefault="00454A29"/>
        </w:tc>
        <w:tc>
          <w:tcPr>
            <w:tcW w:w="2665" w:type="dxa"/>
            <w:vMerge/>
          </w:tcPr>
          <w:p w14:paraId="2DB632A1" w14:textId="77777777" w:rsidR="00454A29" w:rsidRDefault="00454A29"/>
        </w:tc>
        <w:tc>
          <w:tcPr>
            <w:tcW w:w="1928" w:type="dxa"/>
            <w:vMerge/>
          </w:tcPr>
          <w:p w14:paraId="41C126F3" w14:textId="77777777" w:rsidR="00454A29" w:rsidRDefault="00454A29"/>
        </w:tc>
        <w:tc>
          <w:tcPr>
            <w:tcW w:w="1644" w:type="dxa"/>
            <w:vMerge/>
          </w:tcPr>
          <w:p w14:paraId="2A0017AA" w14:textId="77777777" w:rsidR="00454A29" w:rsidRDefault="00454A29"/>
        </w:tc>
        <w:tc>
          <w:tcPr>
            <w:tcW w:w="2041" w:type="dxa"/>
            <w:vMerge/>
          </w:tcPr>
          <w:p w14:paraId="60989100" w14:textId="77777777" w:rsidR="00454A29" w:rsidRDefault="00454A29"/>
        </w:tc>
        <w:tc>
          <w:tcPr>
            <w:tcW w:w="2098" w:type="dxa"/>
            <w:vAlign w:val="center"/>
          </w:tcPr>
          <w:p w14:paraId="57FF8856" w14:textId="77777777" w:rsidR="00454A29" w:rsidRDefault="00454A29">
            <w:pPr>
              <w:pStyle w:val="ConsPlusNormal"/>
              <w:jc w:val="center"/>
            </w:pPr>
            <w:r>
              <w:t>Внебюджетные средства</w:t>
            </w:r>
          </w:p>
        </w:tc>
        <w:tc>
          <w:tcPr>
            <w:tcW w:w="1814" w:type="dxa"/>
            <w:vAlign w:val="center"/>
          </w:tcPr>
          <w:p w14:paraId="011E3532" w14:textId="77777777" w:rsidR="00454A29" w:rsidRDefault="00454A29">
            <w:pPr>
              <w:pStyle w:val="ConsPlusNormal"/>
              <w:jc w:val="center"/>
            </w:pPr>
            <w:r>
              <w:t>0,00</w:t>
            </w:r>
          </w:p>
        </w:tc>
        <w:tc>
          <w:tcPr>
            <w:tcW w:w="1701" w:type="dxa"/>
            <w:vAlign w:val="center"/>
          </w:tcPr>
          <w:p w14:paraId="7EEB6C7E" w14:textId="77777777" w:rsidR="00454A29" w:rsidRDefault="00454A29">
            <w:pPr>
              <w:pStyle w:val="ConsPlusNormal"/>
              <w:jc w:val="center"/>
            </w:pPr>
            <w:r>
              <w:t>0,00</w:t>
            </w:r>
          </w:p>
        </w:tc>
        <w:tc>
          <w:tcPr>
            <w:tcW w:w="1701" w:type="dxa"/>
            <w:vAlign w:val="center"/>
          </w:tcPr>
          <w:p w14:paraId="28AE19DC" w14:textId="77777777" w:rsidR="00454A29" w:rsidRDefault="00454A29">
            <w:pPr>
              <w:pStyle w:val="ConsPlusNormal"/>
              <w:jc w:val="center"/>
            </w:pPr>
            <w:r>
              <w:t>0,00</w:t>
            </w:r>
          </w:p>
        </w:tc>
        <w:tc>
          <w:tcPr>
            <w:tcW w:w="1701" w:type="dxa"/>
            <w:vAlign w:val="center"/>
          </w:tcPr>
          <w:p w14:paraId="3A22C425" w14:textId="77777777" w:rsidR="00454A29" w:rsidRDefault="00454A29">
            <w:pPr>
              <w:pStyle w:val="ConsPlusNormal"/>
              <w:jc w:val="center"/>
            </w:pPr>
            <w:r>
              <w:t>0,00</w:t>
            </w:r>
          </w:p>
        </w:tc>
        <w:tc>
          <w:tcPr>
            <w:tcW w:w="1701" w:type="dxa"/>
            <w:vAlign w:val="center"/>
          </w:tcPr>
          <w:p w14:paraId="62CB9442" w14:textId="77777777" w:rsidR="00454A29" w:rsidRDefault="00454A29">
            <w:pPr>
              <w:pStyle w:val="ConsPlusNormal"/>
              <w:jc w:val="center"/>
            </w:pPr>
            <w:r>
              <w:t>0,00</w:t>
            </w:r>
          </w:p>
        </w:tc>
        <w:tc>
          <w:tcPr>
            <w:tcW w:w="1701" w:type="dxa"/>
            <w:vAlign w:val="center"/>
          </w:tcPr>
          <w:p w14:paraId="3703997E" w14:textId="77777777" w:rsidR="00454A29" w:rsidRDefault="00454A29">
            <w:pPr>
              <w:pStyle w:val="ConsPlusNormal"/>
              <w:jc w:val="center"/>
            </w:pPr>
            <w:r>
              <w:t>0,00</w:t>
            </w:r>
          </w:p>
        </w:tc>
        <w:tc>
          <w:tcPr>
            <w:tcW w:w="1701" w:type="dxa"/>
            <w:vAlign w:val="center"/>
          </w:tcPr>
          <w:p w14:paraId="202457BC" w14:textId="77777777" w:rsidR="00454A29" w:rsidRDefault="00454A29">
            <w:pPr>
              <w:pStyle w:val="ConsPlusNormal"/>
              <w:jc w:val="center"/>
            </w:pPr>
            <w:r>
              <w:t>0,00</w:t>
            </w:r>
          </w:p>
        </w:tc>
      </w:tr>
      <w:tr w:rsidR="00454A29" w14:paraId="6FD156B0" w14:textId="77777777">
        <w:tc>
          <w:tcPr>
            <w:tcW w:w="964" w:type="dxa"/>
            <w:vMerge w:val="restart"/>
            <w:vAlign w:val="center"/>
          </w:tcPr>
          <w:p w14:paraId="04200CC3" w14:textId="77777777" w:rsidR="00454A29" w:rsidRDefault="00454A29">
            <w:pPr>
              <w:pStyle w:val="ConsPlusNormal"/>
              <w:jc w:val="center"/>
            </w:pPr>
            <w:r>
              <w:t>2.3.</w:t>
            </w:r>
          </w:p>
        </w:tc>
        <w:tc>
          <w:tcPr>
            <w:tcW w:w="2154" w:type="dxa"/>
            <w:vMerge w:val="restart"/>
            <w:tcBorders>
              <w:top w:val="nil"/>
              <w:bottom w:val="nil"/>
            </w:tcBorders>
            <w:vAlign w:val="center"/>
          </w:tcPr>
          <w:p w14:paraId="5C9639EE" w14:textId="77777777" w:rsidR="00454A29" w:rsidRDefault="00454A29">
            <w:pPr>
              <w:pStyle w:val="ConsPlusNormal"/>
            </w:pPr>
          </w:p>
        </w:tc>
        <w:tc>
          <w:tcPr>
            <w:tcW w:w="2154" w:type="dxa"/>
            <w:vMerge w:val="restart"/>
            <w:tcBorders>
              <w:top w:val="nil"/>
              <w:bottom w:val="nil"/>
            </w:tcBorders>
            <w:vAlign w:val="center"/>
          </w:tcPr>
          <w:p w14:paraId="0A3935EF" w14:textId="77777777" w:rsidR="00454A29" w:rsidRDefault="00454A29">
            <w:pPr>
              <w:pStyle w:val="ConsPlusNormal"/>
            </w:pPr>
          </w:p>
        </w:tc>
        <w:tc>
          <w:tcPr>
            <w:tcW w:w="2665" w:type="dxa"/>
            <w:vMerge w:val="restart"/>
            <w:vAlign w:val="center"/>
          </w:tcPr>
          <w:p w14:paraId="4FD6B677" w14:textId="77777777" w:rsidR="00454A29" w:rsidRDefault="00454A29">
            <w:pPr>
              <w:pStyle w:val="ConsPlusNormal"/>
              <w:jc w:val="center"/>
            </w:pPr>
            <w:r>
              <w:t>Результат 3. Не менее чем 122,1 тыс. детей Республики Саха (Якутия)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2665" w:type="dxa"/>
            <w:vMerge w:val="restart"/>
            <w:vAlign w:val="center"/>
          </w:tcPr>
          <w:p w14:paraId="7B22C63F" w14:textId="77777777" w:rsidR="00454A29" w:rsidRDefault="00454A29">
            <w:pPr>
              <w:pStyle w:val="ConsPlusNormal"/>
              <w:jc w:val="center"/>
            </w:pPr>
            <w:r>
              <w:t>Мероприятие 4.3.3. Ранняя профориентация детей через участие в открытых онлайн-уроках, реализуемых с учетом опыта цикла открытых уроков "Проектория"</w:t>
            </w:r>
          </w:p>
        </w:tc>
        <w:tc>
          <w:tcPr>
            <w:tcW w:w="1928" w:type="dxa"/>
            <w:vMerge w:val="restart"/>
            <w:vAlign w:val="center"/>
          </w:tcPr>
          <w:p w14:paraId="001C68FC" w14:textId="77777777" w:rsidR="00454A29" w:rsidRDefault="00454A29">
            <w:pPr>
              <w:pStyle w:val="ConsPlusNormal"/>
              <w:jc w:val="center"/>
            </w:pPr>
            <w:r>
              <w:t>-</w:t>
            </w:r>
          </w:p>
        </w:tc>
        <w:tc>
          <w:tcPr>
            <w:tcW w:w="1644" w:type="dxa"/>
            <w:vMerge w:val="restart"/>
            <w:vAlign w:val="center"/>
          </w:tcPr>
          <w:p w14:paraId="5CF43608" w14:textId="77777777" w:rsidR="00454A29" w:rsidRDefault="00454A29">
            <w:pPr>
              <w:pStyle w:val="ConsPlusNormal"/>
              <w:jc w:val="center"/>
            </w:pPr>
            <w:r>
              <w:t>-</w:t>
            </w:r>
          </w:p>
        </w:tc>
        <w:tc>
          <w:tcPr>
            <w:tcW w:w="2041" w:type="dxa"/>
            <w:vMerge w:val="restart"/>
            <w:vAlign w:val="center"/>
          </w:tcPr>
          <w:p w14:paraId="1FC9AA60" w14:textId="77777777" w:rsidR="00454A29" w:rsidRDefault="00454A29">
            <w:pPr>
              <w:pStyle w:val="ConsPlusNormal"/>
              <w:jc w:val="center"/>
            </w:pPr>
            <w:r>
              <w:t>-</w:t>
            </w:r>
          </w:p>
        </w:tc>
        <w:tc>
          <w:tcPr>
            <w:tcW w:w="2098" w:type="dxa"/>
            <w:vAlign w:val="center"/>
          </w:tcPr>
          <w:p w14:paraId="1699E218" w14:textId="77777777" w:rsidR="00454A29" w:rsidRDefault="00454A29">
            <w:pPr>
              <w:pStyle w:val="ConsPlusNormal"/>
              <w:jc w:val="center"/>
            </w:pPr>
            <w:r>
              <w:t>Итого</w:t>
            </w:r>
          </w:p>
        </w:tc>
        <w:tc>
          <w:tcPr>
            <w:tcW w:w="1814" w:type="dxa"/>
            <w:vAlign w:val="center"/>
          </w:tcPr>
          <w:p w14:paraId="2883758E" w14:textId="77777777" w:rsidR="00454A29" w:rsidRDefault="00454A29">
            <w:pPr>
              <w:pStyle w:val="ConsPlusNormal"/>
              <w:jc w:val="center"/>
            </w:pPr>
            <w:r>
              <w:t>0,00</w:t>
            </w:r>
          </w:p>
        </w:tc>
        <w:tc>
          <w:tcPr>
            <w:tcW w:w="1701" w:type="dxa"/>
            <w:vAlign w:val="center"/>
          </w:tcPr>
          <w:p w14:paraId="5641A353" w14:textId="77777777" w:rsidR="00454A29" w:rsidRDefault="00454A29">
            <w:pPr>
              <w:pStyle w:val="ConsPlusNormal"/>
              <w:jc w:val="center"/>
            </w:pPr>
            <w:r>
              <w:t>0,00</w:t>
            </w:r>
          </w:p>
        </w:tc>
        <w:tc>
          <w:tcPr>
            <w:tcW w:w="1701" w:type="dxa"/>
            <w:vAlign w:val="center"/>
          </w:tcPr>
          <w:p w14:paraId="2F237FB8" w14:textId="77777777" w:rsidR="00454A29" w:rsidRDefault="00454A29">
            <w:pPr>
              <w:pStyle w:val="ConsPlusNormal"/>
              <w:jc w:val="center"/>
            </w:pPr>
            <w:r>
              <w:t>0,00</w:t>
            </w:r>
          </w:p>
        </w:tc>
        <w:tc>
          <w:tcPr>
            <w:tcW w:w="1701" w:type="dxa"/>
            <w:vAlign w:val="center"/>
          </w:tcPr>
          <w:p w14:paraId="7FE78424" w14:textId="77777777" w:rsidR="00454A29" w:rsidRDefault="00454A29">
            <w:pPr>
              <w:pStyle w:val="ConsPlusNormal"/>
              <w:jc w:val="center"/>
            </w:pPr>
            <w:r>
              <w:t>0,00</w:t>
            </w:r>
          </w:p>
        </w:tc>
        <w:tc>
          <w:tcPr>
            <w:tcW w:w="1701" w:type="dxa"/>
            <w:vAlign w:val="center"/>
          </w:tcPr>
          <w:p w14:paraId="6FC55229" w14:textId="77777777" w:rsidR="00454A29" w:rsidRDefault="00454A29">
            <w:pPr>
              <w:pStyle w:val="ConsPlusNormal"/>
              <w:jc w:val="center"/>
            </w:pPr>
            <w:r>
              <w:t>0,00</w:t>
            </w:r>
          </w:p>
        </w:tc>
        <w:tc>
          <w:tcPr>
            <w:tcW w:w="1701" w:type="dxa"/>
            <w:vAlign w:val="center"/>
          </w:tcPr>
          <w:p w14:paraId="7FEDDD1C" w14:textId="77777777" w:rsidR="00454A29" w:rsidRDefault="00454A29">
            <w:pPr>
              <w:pStyle w:val="ConsPlusNormal"/>
              <w:jc w:val="center"/>
            </w:pPr>
            <w:r>
              <w:t>0,00</w:t>
            </w:r>
          </w:p>
        </w:tc>
        <w:tc>
          <w:tcPr>
            <w:tcW w:w="1701" w:type="dxa"/>
            <w:vAlign w:val="center"/>
          </w:tcPr>
          <w:p w14:paraId="634882DD" w14:textId="77777777" w:rsidR="00454A29" w:rsidRDefault="00454A29">
            <w:pPr>
              <w:pStyle w:val="ConsPlusNormal"/>
              <w:jc w:val="center"/>
            </w:pPr>
            <w:r>
              <w:t>0,00</w:t>
            </w:r>
          </w:p>
        </w:tc>
      </w:tr>
      <w:tr w:rsidR="00454A29" w14:paraId="1284EE6A" w14:textId="77777777">
        <w:tc>
          <w:tcPr>
            <w:tcW w:w="964" w:type="dxa"/>
            <w:vMerge/>
          </w:tcPr>
          <w:p w14:paraId="4CF7882F" w14:textId="77777777" w:rsidR="00454A29" w:rsidRDefault="00454A29"/>
        </w:tc>
        <w:tc>
          <w:tcPr>
            <w:tcW w:w="2154" w:type="dxa"/>
            <w:vMerge/>
            <w:tcBorders>
              <w:top w:val="nil"/>
              <w:bottom w:val="nil"/>
            </w:tcBorders>
          </w:tcPr>
          <w:p w14:paraId="4F3062CB" w14:textId="77777777" w:rsidR="00454A29" w:rsidRDefault="00454A29"/>
        </w:tc>
        <w:tc>
          <w:tcPr>
            <w:tcW w:w="2154" w:type="dxa"/>
            <w:vMerge/>
            <w:tcBorders>
              <w:top w:val="nil"/>
              <w:bottom w:val="nil"/>
            </w:tcBorders>
          </w:tcPr>
          <w:p w14:paraId="0E4AD8EB" w14:textId="77777777" w:rsidR="00454A29" w:rsidRDefault="00454A29"/>
        </w:tc>
        <w:tc>
          <w:tcPr>
            <w:tcW w:w="2665" w:type="dxa"/>
            <w:vMerge/>
          </w:tcPr>
          <w:p w14:paraId="68707AAC" w14:textId="77777777" w:rsidR="00454A29" w:rsidRDefault="00454A29"/>
        </w:tc>
        <w:tc>
          <w:tcPr>
            <w:tcW w:w="2665" w:type="dxa"/>
            <w:vMerge/>
          </w:tcPr>
          <w:p w14:paraId="3E1F0761" w14:textId="77777777" w:rsidR="00454A29" w:rsidRDefault="00454A29"/>
        </w:tc>
        <w:tc>
          <w:tcPr>
            <w:tcW w:w="1928" w:type="dxa"/>
            <w:vMerge/>
          </w:tcPr>
          <w:p w14:paraId="476AE77C" w14:textId="77777777" w:rsidR="00454A29" w:rsidRDefault="00454A29"/>
        </w:tc>
        <w:tc>
          <w:tcPr>
            <w:tcW w:w="1644" w:type="dxa"/>
            <w:vMerge/>
          </w:tcPr>
          <w:p w14:paraId="6B3F5251" w14:textId="77777777" w:rsidR="00454A29" w:rsidRDefault="00454A29"/>
        </w:tc>
        <w:tc>
          <w:tcPr>
            <w:tcW w:w="2041" w:type="dxa"/>
            <w:vMerge/>
          </w:tcPr>
          <w:p w14:paraId="7745D832" w14:textId="77777777" w:rsidR="00454A29" w:rsidRDefault="00454A29"/>
        </w:tc>
        <w:tc>
          <w:tcPr>
            <w:tcW w:w="2098" w:type="dxa"/>
            <w:vAlign w:val="center"/>
          </w:tcPr>
          <w:p w14:paraId="4D83F03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9A39080" w14:textId="77777777" w:rsidR="00454A29" w:rsidRDefault="00454A29">
            <w:pPr>
              <w:pStyle w:val="ConsPlusNormal"/>
              <w:jc w:val="center"/>
            </w:pPr>
            <w:r>
              <w:t>0,00</w:t>
            </w:r>
          </w:p>
        </w:tc>
        <w:tc>
          <w:tcPr>
            <w:tcW w:w="1701" w:type="dxa"/>
            <w:vAlign w:val="center"/>
          </w:tcPr>
          <w:p w14:paraId="72EB5783" w14:textId="77777777" w:rsidR="00454A29" w:rsidRDefault="00454A29">
            <w:pPr>
              <w:pStyle w:val="ConsPlusNormal"/>
              <w:jc w:val="center"/>
            </w:pPr>
            <w:r>
              <w:t>0,00</w:t>
            </w:r>
          </w:p>
        </w:tc>
        <w:tc>
          <w:tcPr>
            <w:tcW w:w="1701" w:type="dxa"/>
            <w:vAlign w:val="center"/>
          </w:tcPr>
          <w:p w14:paraId="498934B3" w14:textId="77777777" w:rsidR="00454A29" w:rsidRDefault="00454A29">
            <w:pPr>
              <w:pStyle w:val="ConsPlusNormal"/>
              <w:jc w:val="center"/>
            </w:pPr>
            <w:r>
              <w:t>0,00</w:t>
            </w:r>
          </w:p>
        </w:tc>
        <w:tc>
          <w:tcPr>
            <w:tcW w:w="1701" w:type="dxa"/>
            <w:vAlign w:val="center"/>
          </w:tcPr>
          <w:p w14:paraId="2FB79776" w14:textId="77777777" w:rsidR="00454A29" w:rsidRDefault="00454A29">
            <w:pPr>
              <w:pStyle w:val="ConsPlusNormal"/>
              <w:jc w:val="center"/>
            </w:pPr>
            <w:r>
              <w:t>0,00</w:t>
            </w:r>
          </w:p>
        </w:tc>
        <w:tc>
          <w:tcPr>
            <w:tcW w:w="1701" w:type="dxa"/>
            <w:vAlign w:val="center"/>
          </w:tcPr>
          <w:p w14:paraId="313A5AF1" w14:textId="77777777" w:rsidR="00454A29" w:rsidRDefault="00454A29">
            <w:pPr>
              <w:pStyle w:val="ConsPlusNormal"/>
              <w:jc w:val="center"/>
            </w:pPr>
            <w:r>
              <w:t>0,00</w:t>
            </w:r>
          </w:p>
        </w:tc>
        <w:tc>
          <w:tcPr>
            <w:tcW w:w="1701" w:type="dxa"/>
            <w:vAlign w:val="center"/>
          </w:tcPr>
          <w:p w14:paraId="26BF978F" w14:textId="77777777" w:rsidR="00454A29" w:rsidRDefault="00454A29">
            <w:pPr>
              <w:pStyle w:val="ConsPlusNormal"/>
              <w:jc w:val="center"/>
            </w:pPr>
            <w:r>
              <w:t>0,00</w:t>
            </w:r>
          </w:p>
        </w:tc>
        <w:tc>
          <w:tcPr>
            <w:tcW w:w="1701" w:type="dxa"/>
            <w:vAlign w:val="center"/>
          </w:tcPr>
          <w:p w14:paraId="1F2611C8" w14:textId="77777777" w:rsidR="00454A29" w:rsidRDefault="00454A29">
            <w:pPr>
              <w:pStyle w:val="ConsPlusNormal"/>
              <w:jc w:val="center"/>
            </w:pPr>
            <w:r>
              <w:t>0,00</w:t>
            </w:r>
          </w:p>
        </w:tc>
      </w:tr>
      <w:tr w:rsidR="00454A29" w14:paraId="34661C28" w14:textId="77777777">
        <w:tc>
          <w:tcPr>
            <w:tcW w:w="964" w:type="dxa"/>
            <w:vMerge/>
          </w:tcPr>
          <w:p w14:paraId="10BB1A4C" w14:textId="77777777" w:rsidR="00454A29" w:rsidRDefault="00454A29"/>
        </w:tc>
        <w:tc>
          <w:tcPr>
            <w:tcW w:w="2154" w:type="dxa"/>
            <w:vMerge/>
            <w:tcBorders>
              <w:top w:val="nil"/>
              <w:bottom w:val="nil"/>
            </w:tcBorders>
          </w:tcPr>
          <w:p w14:paraId="74EC9B84" w14:textId="77777777" w:rsidR="00454A29" w:rsidRDefault="00454A29"/>
        </w:tc>
        <w:tc>
          <w:tcPr>
            <w:tcW w:w="2154" w:type="dxa"/>
            <w:vMerge/>
            <w:tcBorders>
              <w:top w:val="nil"/>
              <w:bottom w:val="nil"/>
            </w:tcBorders>
          </w:tcPr>
          <w:p w14:paraId="341702DA" w14:textId="77777777" w:rsidR="00454A29" w:rsidRDefault="00454A29"/>
        </w:tc>
        <w:tc>
          <w:tcPr>
            <w:tcW w:w="2665" w:type="dxa"/>
            <w:vMerge/>
          </w:tcPr>
          <w:p w14:paraId="71D52E3F" w14:textId="77777777" w:rsidR="00454A29" w:rsidRDefault="00454A29"/>
        </w:tc>
        <w:tc>
          <w:tcPr>
            <w:tcW w:w="2665" w:type="dxa"/>
            <w:vMerge/>
          </w:tcPr>
          <w:p w14:paraId="1A5C2AEA" w14:textId="77777777" w:rsidR="00454A29" w:rsidRDefault="00454A29"/>
        </w:tc>
        <w:tc>
          <w:tcPr>
            <w:tcW w:w="1928" w:type="dxa"/>
            <w:vMerge/>
          </w:tcPr>
          <w:p w14:paraId="5CE70895" w14:textId="77777777" w:rsidR="00454A29" w:rsidRDefault="00454A29"/>
        </w:tc>
        <w:tc>
          <w:tcPr>
            <w:tcW w:w="1644" w:type="dxa"/>
            <w:vMerge/>
          </w:tcPr>
          <w:p w14:paraId="26411119" w14:textId="77777777" w:rsidR="00454A29" w:rsidRDefault="00454A29"/>
        </w:tc>
        <w:tc>
          <w:tcPr>
            <w:tcW w:w="2041" w:type="dxa"/>
            <w:vMerge/>
          </w:tcPr>
          <w:p w14:paraId="2939C52C" w14:textId="77777777" w:rsidR="00454A29" w:rsidRDefault="00454A29"/>
        </w:tc>
        <w:tc>
          <w:tcPr>
            <w:tcW w:w="2098" w:type="dxa"/>
            <w:vAlign w:val="center"/>
          </w:tcPr>
          <w:p w14:paraId="284E01B4" w14:textId="77777777" w:rsidR="00454A29" w:rsidRDefault="00454A29">
            <w:pPr>
              <w:pStyle w:val="ConsPlusNormal"/>
              <w:jc w:val="center"/>
            </w:pPr>
            <w:r>
              <w:t>Федеральный бюджет</w:t>
            </w:r>
          </w:p>
        </w:tc>
        <w:tc>
          <w:tcPr>
            <w:tcW w:w="1814" w:type="dxa"/>
            <w:vAlign w:val="center"/>
          </w:tcPr>
          <w:p w14:paraId="53A40C43" w14:textId="77777777" w:rsidR="00454A29" w:rsidRDefault="00454A29">
            <w:pPr>
              <w:pStyle w:val="ConsPlusNormal"/>
              <w:jc w:val="center"/>
            </w:pPr>
            <w:r>
              <w:t>0,00</w:t>
            </w:r>
          </w:p>
        </w:tc>
        <w:tc>
          <w:tcPr>
            <w:tcW w:w="1701" w:type="dxa"/>
            <w:vAlign w:val="center"/>
          </w:tcPr>
          <w:p w14:paraId="5777572E" w14:textId="77777777" w:rsidR="00454A29" w:rsidRDefault="00454A29">
            <w:pPr>
              <w:pStyle w:val="ConsPlusNormal"/>
              <w:jc w:val="center"/>
            </w:pPr>
            <w:r>
              <w:t>0,00</w:t>
            </w:r>
          </w:p>
        </w:tc>
        <w:tc>
          <w:tcPr>
            <w:tcW w:w="1701" w:type="dxa"/>
            <w:vAlign w:val="center"/>
          </w:tcPr>
          <w:p w14:paraId="18586EAF" w14:textId="77777777" w:rsidR="00454A29" w:rsidRDefault="00454A29">
            <w:pPr>
              <w:pStyle w:val="ConsPlusNormal"/>
              <w:jc w:val="center"/>
            </w:pPr>
            <w:r>
              <w:t>0,00</w:t>
            </w:r>
          </w:p>
        </w:tc>
        <w:tc>
          <w:tcPr>
            <w:tcW w:w="1701" w:type="dxa"/>
            <w:vAlign w:val="center"/>
          </w:tcPr>
          <w:p w14:paraId="139AE36D" w14:textId="77777777" w:rsidR="00454A29" w:rsidRDefault="00454A29">
            <w:pPr>
              <w:pStyle w:val="ConsPlusNormal"/>
              <w:jc w:val="center"/>
            </w:pPr>
            <w:r>
              <w:t>0,00</w:t>
            </w:r>
          </w:p>
        </w:tc>
        <w:tc>
          <w:tcPr>
            <w:tcW w:w="1701" w:type="dxa"/>
            <w:vAlign w:val="center"/>
          </w:tcPr>
          <w:p w14:paraId="38139AC0" w14:textId="77777777" w:rsidR="00454A29" w:rsidRDefault="00454A29">
            <w:pPr>
              <w:pStyle w:val="ConsPlusNormal"/>
              <w:jc w:val="center"/>
            </w:pPr>
            <w:r>
              <w:t>0,00</w:t>
            </w:r>
          </w:p>
        </w:tc>
        <w:tc>
          <w:tcPr>
            <w:tcW w:w="1701" w:type="dxa"/>
            <w:vAlign w:val="center"/>
          </w:tcPr>
          <w:p w14:paraId="63247C88" w14:textId="77777777" w:rsidR="00454A29" w:rsidRDefault="00454A29">
            <w:pPr>
              <w:pStyle w:val="ConsPlusNormal"/>
              <w:jc w:val="center"/>
            </w:pPr>
            <w:r>
              <w:t>0,00</w:t>
            </w:r>
          </w:p>
        </w:tc>
        <w:tc>
          <w:tcPr>
            <w:tcW w:w="1701" w:type="dxa"/>
            <w:vAlign w:val="center"/>
          </w:tcPr>
          <w:p w14:paraId="09CA63DF" w14:textId="77777777" w:rsidR="00454A29" w:rsidRDefault="00454A29">
            <w:pPr>
              <w:pStyle w:val="ConsPlusNormal"/>
              <w:jc w:val="center"/>
            </w:pPr>
            <w:r>
              <w:t>0,00</w:t>
            </w:r>
          </w:p>
        </w:tc>
      </w:tr>
      <w:tr w:rsidR="00454A29" w14:paraId="77B9FD76" w14:textId="77777777">
        <w:tc>
          <w:tcPr>
            <w:tcW w:w="964" w:type="dxa"/>
            <w:vMerge/>
          </w:tcPr>
          <w:p w14:paraId="4C530292" w14:textId="77777777" w:rsidR="00454A29" w:rsidRDefault="00454A29"/>
        </w:tc>
        <w:tc>
          <w:tcPr>
            <w:tcW w:w="2154" w:type="dxa"/>
            <w:vMerge/>
            <w:tcBorders>
              <w:top w:val="nil"/>
              <w:bottom w:val="nil"/>
            </w:tcBorders>
          </w:tcPr>
          <w:p w14:paraId="2796854A" w14:textId="77777777" w:rsidR="00454A29" w:rsidRDefault="00454A29"/>
        </w:tc>
        <w:tc>
          <w:tcPr>
            <w:tcW w:w="2154" w:type="dxa"/>
            <w:vMerge/>
            <w:tcBorders>
              <w:top w:val="nil"/>
              <w:bottom w:val="nil"/>
            </w:tcBorders>
          </w:tcPr>
          <w:p w14:paraId="54843116" w14:textId="77777777" w:rsidR="00454A29" w:rsidRDefault="00454A29"/>
        </w:tc>
        <w:tc>
          <w:tcPr>
            <w:tcW w:w="2665" w:type="dxa"/>
            <w:vMerge/>
          </w:tcPr>
          <w:p w14:paraId="6E5C0496" w14:textId="77777777" w:rsidR="00454A29" w:rsidRDefault="00454A29"/>
        </w:tc>
        <w:tc>
          <w:tcPr>
            <w:tcW w:w="2665" w:type="dxa"/>
            <w:vMerge/>
          </w:tcPr>
          <w:p w14:paraId="5B28E866" w14:textId="77777777" w:rsidR="00454A29" w:rsidRDefault="00454A29"/>
        </w:tc>
        <w:tc>
          <w:tcPr>
            <w:tcW w:w="1928" w:type="dxa"/>
            <w:vMerge/>
          </w:tcPr>
          <w:p w14:paraId="4B687F46" w14:textId="77777777" w:rsidR="00454A29" w:rsidRDefault="00454A29"/>
        </w:tc>
        <w:tc>
          <w:tcPr>
            <w:tcW w:w="1644" w:type="dxa"/>
            <w:vMerge/>
          </w:tcPr>
          <w:p w14:paraId="02E781B1" w14:textId="77777777" w:rsidR="00454A29" w:rsidRDefault="00454A29"/>
        </w:tc>
        <w:tc>
          <w:tcPr>
            <w:tcW w:w="2041" w:type="dxa"/>
            <w:vMerge/>
          </w:tcPr>
          <w:p w14:paraId="06670DF0" w14:textId="77777777" w:rsidR="00454A29" w:rsidRDefault="00454A29"/>
        </w:tc>
        <w:tc>
          <w:tcPr>
            <w:tcW w:w="2098" w:type="dxa"/>
            <w:vAlign w:val="center"/>
          </w:tcPr>
          <w:p w14:paraId="3A8E713A" w14:textId="77777777" w:rsidR="00454A29" w:rsidRDefault="00454A29">
            <w:pPr>
              <w:pStyle w:val="ConsPlusNormal"/>
              <w:jc w:val="center"/>
            </w:pPr>
            <w:r>
              <w:t>Местные бюджеты</w:t>
            </w:r>
          </w:p>
        </w:tc>
        <w:tc>
          <w:tcPr>
            <w:tcW w:w="1814" w:type="dxa"/>
            <w:vAlign w:val="center"/>
          </w:tcPr>
          <w:p w14:paraId="059AA205" w14:textId="77777777" w:rsidR="00454A29" w:rsidRDefault="00454A29">
            <w:pPr>
              <w:pStyle w:val="ConsPlusNormal"/>
              <w:jc w:val="center"/>
            </w:pPr>
            <w:r>
              <w:t>0,00</w:t>
            </w:r>
          </w:p>
        </w:tc>
        <w:tc>
          <w:tcPr>
            <w:tcW w:w="1701" w:type="dxa"/>
            <w:vAlign w:val="center"/>
          </w:tcPr>
          <w:p w14:paraId="184649D9" w14:textId="77777777" w:rsidR="00454A29" w:rsidRDefault="00454A29">
            <w:pPr>
              <w:pStyle w:val="ConsPlusNormal"/>
              <w:jc w:val="center"/>
            </w:pPr>
            <w:r>
              <w:t>0,00</w:t>
            </w:r>
          </w:p>
        </w:tc>
        <w:tc>
          <w:tcPr>
            <w:tcW w:w="1701" w:type="dxa"/>
            <w:vAlign w:val="center"/>
          </w:tcPr>
          <w:p w14:paraId="5B8BCDDE" w14:textId="77777777" w:rsidR="00454A29" w:rsidRDefault="00454A29">
            <w:pPr>
              <w:pStyle w:val="ConsPlusNormal"/>
              <w:jc w:val="center"/>
            </w:pPr>
            <w:r>
              <w:t>0,00</w:t>
            </w:r>
          </w:p>
        </w:tc>
        <w:tc>
          <w:tcPr>
            <w:tcW w:w="1701" w:type="dxa"/>
            <w:vAlign w:val="center"/>
          </w:tcPr>
          <w:p w14:paraId="1D6594CB" w14:textId="77777777" w:rsidR="00454A29" w:rsidRDefault="00454A29">
            <w:pPr>
              <w:pStyle w:val="ConsPlusNormal"/>
              <w:jc w:val="center"/>
            </w:pPr>
            <w:r>
              <w:t>0,00</w:t>
            </w:r>
          </w:p>
        </w:tc>
        <w:tc>
          <w:tcPr>
            <w:tcW w:w="1701" w:type="dxa"/>
            <w:vAlign w:val="center"/>
          </w:tcPr>
          <w:p w14:paraId="5D09ECBC" w14:textId="77777777" w:rsidR="00454A29" w:rsidRDefault="00454A29">
            <w:pPr>
              <w:pStyle w:val="ConsPlusNormal"/>
              <w:jc w:val="center"/>
            </w:pPr>
            <w:r>
              <w:t>0,00</w:t>
            </w:r>
          </w:p>
        </w:tc>
        <w:tc>
          <w:tcPr>
            <w:tcW w:w="1701" w:type="dxa"/>
            <w:vAlign w:val="center"/>
          </w:tcPr>
          <w:p w14:paraId="60CBE2F4" w14:textId="77777777" w:rsidR="00454A29" w:rsidRDefault="00454A29">
            <w:pPr>
              <w:pStyle w:val="ConsPlusNormal"/>
              <w:jc w:val="center"/>
            </w:pPr>
            <w:r>
              <w:t>0,00</w:t>
            </w:r>
          </w:p>
        </w:tc>
        <w:tc>
          <w:tcPr>
            <w:tcW w:w="1701" w:type="dxa"/>
            <w:vAlign w:val="center"/>
          </w:tcPr>
          <w:p w14:paraId="08CE91BF" w14:textId="77777777" w:rsidR="00454A29" w:rsidRDefault="00454A29">
            <w:pPr>
              <w:pStyle w:val="ConsPlusNormal"/>
              <w:jc w:val="center"/>
            </w:pPr>
            <w:r>
              <w:t>0,00</w:t>
            </w:r>
          </w:p>
        </w:tc>
      </w:tr>
      <w:tr w:rsidR="00454A29" w14:paraId="7E8F1F7D" w14:textId="77777777">
        <w:tc>
          <w:tcPr>
            <w:tcW w:w="964" w:type="dxa"/>
            <w:vMerge/>
          </w:tcPr>
          <w:p w14:paraId="353D9719" w14:textId="77777777" w:rsidR="00454A29" w:rsidRDefault="00454A29"/>
        </w:tc>
        <w:tc>
          <w:tcPr>
            <w:tcW w:w="2154" w:type="dxa"/>
            <w:vMerge/>
            <w:tcBorders>
              <w:top w:val="nil"/>
              <w:bottom w:val="nil"/>
            </w:tcBorders>
          </w:tcPr>
          <w:p w14:paraId="16DA5E0B" w14:textId="77777777" w:rsidR="00454A29" w:rsidRDefault="00454A29"/>
        </w:tc>
        <w:tc>
          <w:tcPr>
            <w:tcW w:w="2154" w:type="dxa"/>
            <w:vMerge/>
            <w:tcBorders>
              <w:top w:val="nil"/>
              <w:bottom w:val="nil"/>
            </w:tcBorders>
          </w:tcPr>
          <w:p w14:paraId="52569C2B" w14:textId="77777777" w:rsidR="00454A29" w:rsidRDefault="00454A29"/>
        </w:tc>
        <w:tc>
          <w:tcPr>
            <w:tcW w:w="2665" w:type="dxa"/>
            <w:vMerge/>
          </w:tcPr>
          <w:p w14:paraId="5FB20518" w14:textId="77777777" w:rsidR="00454A29" w:rsidRDefault="00454A29"/>
        </w:tc>
        <w:tc>
          <w:tcPr>
            <w:tcW w:w="2665" w:type="dxa"/>
            <w:vMerge/>
          </w:tcPr>
          <w:p w14:paraId="4B7A6400" w14:textId="77777777" w:rsidR="00454A29" w:rsidRDefault="00454A29"/>
        </w:tc>
        <w:tc>
          <w:tcPr>
            <w:tcW w:w="1928" w:type="dxa"/>
            <w:vMerge/>
          </w:tcPr>
          <w:p w14:paraId="315B3EA0" w14:textId="77777777" w:rsidR="00454A29" w:rsidRDefault="00454A29"/>
        </w:tc>
        <w:tc>
          <w:tcPr>
            <w:tcW w:w="1644" w:type="dxa"/>
            <w:vMerge/>
          </w:tcPr>
          <w:p w14:paraId="147E45D0" w14:textId="77777777" w:rsidR="00454A29" w:rsidRDefault="00454A29"/>
        </w:tc>
        <w:tc>
          <w:tcPr>
            <w:tcW w:w="2041" w:type="dxa"/>
            <w:vMerge/>
          </w:tcPr>
          <w:p w14:paraId="4B48ED31" w14:textId="77777777" w:rsidR="00454A29" w:rsidRDefault="00454A29"/>
        </w:tc>
        <w:tc>
          <w:tcPr>
            <w:tcW w:w="2098" w:type="dxa"/>
            <w:vAlign w:val="center"/>
          </w:tcPr>
          <w:p w14:paraId="47C04638" w14:textId="77777777" w:rsidR="00454A29" w:rsidRDefault="00454A29">
            <w:pPr>
              <w:pStyle w:val="ConsPlusNormal"/>
              <w:jc w:val="center"/>
            </w:pPr>
            <w:r>
              <w:t>Внебюджетные средства</w:t>
            </w:r>
          </w:p>
        </w:tc>
        <w:tc>
          <w:tcPr>
            <w:tcW w:w="1814" w:type="dxa"/>
            <w:vAlign w:val="center"/>
          </w:tcPr>
          <w:p w14:paraId="3652AEE2" w14:textId="77777777" w:rsidR="00454A29" w:rsidRDefault="00454A29">
            <w:pPr>
              <w:pStyle w:val="ConsPlusNormal"/>
              <w:jc w:val="center"/>
            </w:pPr>
            <w:r>
              <w:t>0,00</w:t>
            </w:r>
          </w:p>
        </w:tc>
        <w:tc>
          <w:tcPr>
            <w:tcW w:w="1701" w:type="dxa"/>
            <w:vAlign w:val="center"/>
          </w:tcPr>
          <w:p w14:paraId="1D0BD418" w14:textId="77777777" w:rsidR="00454A29" w:rsidRDefault="00454A29">
            <w:pPr>
              <w:pStyle w:val="ConsPlusNormal"/>
              <w:jc w:val="center"/>
            </w:pPr>
            <w:r>
              <w:t>0,00</w:t>
            </w:r>
          </w:p>
        </w:tc>
        <w:tc>
          <w:tcPr>
            <w:tcW w:w="1701" w:type="dxa"/>
            <w:vAlign w:val="center"/>
          </w:tcPr>
          <w:p w14:paraId="69D454D6" w14:textId="77777777" w:rsidR="00454A29" w:rsidRDefault="00454A29">
            <w:pPr>
              <w:pStyle w:val="ConsPlusNormal"/>
              <w:jc w:val="center"/>
            </w:pPr>
            <w:r>
              <w:t>0,00</w:t>
            </w:r>
          </w:p>
        </w:tc>
        <w:tc>
          <w:tcPr>
            <w:tcW w:w="1701" w:type="dxa"/>
            <w:vAlign w:val="center"/>
          </w:tcPr>
          <w:p w14:paraId="11C797D2" w14:textId="77777777" w:rsidR="00454A29" w:rsidRDefault="00454A29">
            <w:pPr>
              <w:pStyle w:val="ConsPlusNormal"/>
              <w:jc w:val="center"/>
            </w:pPr>
            <w:r>
              <w:t>0,00</w:t>
            </w:r>
          </w:p>
        </w:tc>
        <w:tc>
          <w:tcPr>
            <w:tcW w:w="1701" w:type="dxa"/>
            <w:vAlign w:val="center"/>
          </w:tcPr>
          <w:p w14:paraId="3118135B" w14:textId="77777777" w:rsidR="00454A29" w:rsidRDefault="00454A29">
            <w:pPr>
              <w:pStyle w:val="ConsPlusNormal"/>
              <w:jc w:val="center"/>
            </w:pPr>
            <w:r>
              <w:t>0,00</w:t>
            </w:r>
          </w:p>
        </w:tc>
        <w:tc>
          <w:tcPr>
            <w:tcW w:w="1701" w:type="dxa"/>
            <w:vAlign w:val="center"/>
          </w:tcPr>
          <w:p w14:paraId="03AB4927" w14:textId="77777777" w:rsidR="00454A29" w:rsidRDefault="00454A29">
            <w:pPr>
              <w:pStyle w:val="ConsPlusNormal"/>
              <w:jc w:val="center"/>
            </w:pPr>
            <w:r>
              <w:t>0,00</w:t>
            </w:r>
          </w:p>
        </w:tc>
        <w:tc>
          <w:tcPr>
            <w:tcW w:w="1701" w:type="dxa"/>
            <w:vAlign w:val="center"/>
          </w:tcPr>
          <w:p w14:paraId="5D220E65" w14:textId="77777777" w:rsidR="00454A29" w:rsidRDefault="00454A29">
            <w:pPr>
              <w:pStyle w:val="ConsPlusNormal"/>
              <w:jc w:val="center"/>
            </w:pPr>
            <w:r>
              <w:t>0,00</w:t>
            </w:r>
          </w:p>
        </w:tc>
      </w:tr>
      <w:tr w:rsidR="00454A29" w14:paraId="17526B68" w14:textId="77777777">
        <w:tc>
          <w:tcPr>
            <w:tcW w:w="964" w:type="dxa"/>
            <w:vMerge w:val="restart"/>
            <w:vAlign w:val="center"/>
          </w:tcPr>
          <w:p w14:paraId="53B806B4" w14:textId="77777777" w:rsidR="00454A29" w:rsidRDefault="00454A29">
            <w:pPr>
              <w:pStyle w:val="ConsPlusNormal"/>
              <w:jc w:val="center"/>
            </w:pPr>
            <w:r>
              <w:t>2.4.</w:t>
            </w:r>
          </w:p>
        </w:tc>
        <w:tc>
          <w:tcPr>
            <w:tcW w:w="2154" w:type="dxa"/>
            <w:vMerge w:val="restart"/>
            <w:tcBorders>
              <w:top w:val="nil"/>
              <w:bottom w:val="nil"/>
            </w:tcBorders>
            <w:vAlign w:val="center"/>
          </w:tcPr>
          <w:p w14:paraId="55E610D0" w14:textId="77777777" w:rsidR="00454A29" w:rsidRDefault="00454A29">
            <w:pPr>
              <w:pStyle w:val="ConsPlusNormal"/>
            </w:pPr>
          </w:p>
        </w:tc>
        <w:tc>
          <w:tcPr>
            <w:tcW w:w="2154" w:type="dxa"/>
            <w:vMerge w:val="restart"/>
            <w:tcBorders>
              <w:top w:val="nil"/>
              <w:bottom w:val="nil"/>
            </w:tcBorders>
            <w:vAlign w:val="center"/>
          </w:tcPr>
          <w:p w14:paraId="761FEB34" w14:textId="77777777" w:rsidR="00454A29" w:rsidRDefault="00454A29">
            <w:pPr>
              <w:pStyle w:val="ConsPlusNormal"/>
            </w:pPr>
          </w:p>
        </w:tc>
        <w:tc>
          <w:tcPr>
            <w:tcW w:w="2665" w:type="dxa"/>
            <w:vMerge w:val="restart"/>
            <w:vAlign w:val="center"/>
          </w:tcPr>
          <w:p w14:paraId="418F1C75" w14:textId="77777777" w:rsidR="00454A29" w:rsidRDefault="00454A29">
            <w:pPr>
              <w:pStyle w:val="ConsPlusNormal"/>
              <w:jc w:val="center"/>
            </w:pPr>
            <w:r>
              <w:t xml:space="preserve">Результат 4. Не менее 6,4 </w:t>
            </w:r>
            <w:r>
              <w:lastRenderedPageBreak/>
              <w:t>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2665" w:type="dxa"/>
            <w:vMerge w:val="restart"/>
            <w:vAlign w:val="center"/>
          </w:tcPr>
          <w:p w14:paraId="2A438401" w14:textId="77777777" w:rsidR="00454A29" w:rsidRDefault="00454A29">
            <w:pPr>
              <w:pStyle w:val="ConsPlusNormal"/>
              <w:jc w:val="center"/>
            </w:pPr>
            <w:r>
              <w:lastRenderedPageBreak/>
              <w:t xml:space="preserve">Мероприятие 4.3.4. </w:t>
            </w:r>
            <w:r>
              <w:lastRenderedPageBreak/>
              <w:t>Реализация дополнительных общеобразовательных программ, включающих в себя механизмы профессиональных проб и работу с лучшими представителями профессий, а также использовании цифровых инструментов (сводное электронное портфолио) (реализация проекта "Билет в будущее")</w:t>
            </w:r>
          </w:p>
        </w:tc>
        <w:tc>
          <w:tcPr>
            <w:tcW w:w="1928" w:type="dxa"/>
            <w:vMerge w:val="restart"/>
            <w:vAlign w:val="center"/>
          </w:tcPr>
          <w:p w14:paraId="7B2BE97C" w14:textId="77777777" w:rsidR="00454A29" w:rsidRDefault="00454A29">
            <w:pPr>
              <w:pStyle w:val="ConsPlusNormal"/>
              <w:jc w:val="center"/>
            </w:pPr>
            <w:r>
              <w:lastRenderedPageBreak/>
              <w:t>-</w:t>
            </w:r>
          </w:p>
        </w:tc>
        <w:tc>
          <w:tcPr>
            <w:tcW w:w="1644" w:type="dxa"/>
            <w:vMerge w:val="restart"/>
            <w:vAlign w:val="center"/>
          </w:tcPr>
          <w:p w14:paraId="5EA9330E" w14:textId="77777777" w:rsidR="00454A29" w:rsidRDefault="00454A29">
            <w:pPr>
              <w:pStyle w:val="ConsPlusNormal"/>
              <w:jc w:val="center"/>
            </w:pPr>
            <w:r>
              <w:t>-</w:t>
            </w:r>
          </w:p>
        </w:tc>
        <w:tc>
          <w:tcPr>
            <w:tcW w:w="2041" w:type="dxa"/>
            <w:vMerge w:val="restart"/>
            <w:vAlign w:val="center"/>
          </w:tcPr>
          <w:p w14:paraId="1C18876A" w14:textId="77777777" w:rsidR="00454A29" w:rsidRDefault="00454A29">
            <w:pPr>
              <w:pStyle w:val="ConsPlusNormal"/>
              <w:jc w:val="center"/>
            </w:pPr>
            <w:r>
              <w:t>-</w:t>
            </w:r>
          </w:p>
        </w:tc>
        <w:tc>
          <w:tcPr>
            <w:tcW w:w="2098" w:type="dxa"/>
            <w:vAlign w:val="center"/>
          </w:tcPr>
          <w:p w14:paraId="740FB37D" w14:textId="77777777" w:rsidR="00454A29" w:rsidRDefault="00454A29">
            <w:pPr>
              <w:pStyle w:val="ConsPlusNormal"/>
              <w:jc w:val="center"/>
            </w:pPr>
            <w:r>
              <w:t>Итого</w:t>
            </w:r>
          </w:p>
        </w:tc>
        <w:tc>
          <w:tcPr>
            <w:tcW w:w="1814" w:type="dxa"/>
            <w:vAlign w:val="center"/>
          </w:tcPr>
          <w:p w14:paraId="1965B547" w14:textId="77777777" w:rsidR="00454A29" w:rsidRDefault="00454A29">
            <w:pPr>
              <w:pStyle w:val="ConsPlusNormal"/>
              <w:jc w:val="center"/>
            </w:pPr>
            <w:r>
              <w:t>0,00</w:t>
            </w:r>
          </w:p>
        </w:tc>
        <w:tc>
          <w:tcPr>
            <w:tcW w:w="1701" w:type="dxa"/>
            <w:vAlign w:val="center"/>
          </w:tcPr>
          <w:p w14:paraId="6DE829CD" w14:textId="77777777" w:rsidR="00454A29" w:rsidRDefault="00454A29">
            <w:pPr>
              <w:pStyle w:val="ConsPlusNormal"/>
              <w:jc w:val="center"/>
            </w:pPr>
            <w:r>
              <w:t>0,00</w:t>
            </w:r>
          </w:p>
        </w:tc>
        <w:tc>
          <w:tcPr>
            <w:tcW w:w="1701" w:type="dxa"/>
            <w:vAlign w:val="center"/>
          </w:tcPr>
          <w:p w14:paraId="7E988279" w14:textId="77777777" w:rsidR="00454A29" w:rsidRDefault="00454A29">
            <w:pPr>
              <w:pStyle w:val="ConsPlusNormal"/>
              <w:jc w:val="center"/>
            </w:pPr>
            <w:r>
              <w:t>0,00</w:t>
            </w:r>
          </w:p>
        </w:tc>
        <w:tc>
          <w:tcPr>
            <w:tcW w:w="1701" w:type="dxa"/>
            <w:vAlign w:val="center"/>
          </w:tcPr>
          <w:p w14:paraId="3BD25677" w14:textId="77777777" w:rsidR="00454A29" w:rsidRDefault="00454A29">
            <w:pPr>
              <w:pStyle w:val="ConsPlusNormal"/>
              <w:jc w:val="center"/>
            </w:pPr>
            <w:r>
              <w:t>0,00</w:t>
            </w:r>
          </w:p>
        </w:tc>
        <w:tc>
          <w:tcPr>
            <w:tcW w:w="1701" w:type="dxa"/>
            <w:vAlign w:val="center"/>
          </w:tcPr>
          <w:p w14:paraId="0F4BEC79" w14:textId="77777777" w:rsidR="00454A29" w:rsidRDefault="00454A29">
            <w:pPr>
              <w:pStyle w:val="ConsPlusNormal"/>
              <w:jc w:val="center"/>
            </w:pPr>
            <w:r>
              <w:t>0,00</w:t>
            </w:r>
          </w:p>
        </w:tc>
        <w:tc>
          <w:tcPr>
            <w:tcW w:w="1701" w:type="dxa"/>
            <w:vAlign w:val="center"/>
          </w:tcPr>
          <w:p w14:paraId="6EBB9E3E" w14:textId="77777777" w:rsidR="00454A29" w:rsidRDefault="00454A29">
            <w:pPr>
              <w:pStyle w:val="ConsPlusNormal"/>
              <w:jc w:val="center"/>
            </w:pPr>
            <w:r>
              <w:t>0,00</w:t>
            </w:r>
          </w:p>
        </w:tc>
        <w:tc>
          <w:tcPr>
            <w:tcW w:w="1701" w:type="dxa"/>
            <w:vAlign w:val="center"/>
          </w:tcPr>
          <w:p w14:paraId="2EB2AAE2" w14:textId="77777777" w:rsidR="00454A29" w:rsidRDefault="00454A29">
            <w:pPr>
              <w:pStyle w:val="ConsPlusNormal"/>
              <w:jc w:val="center"/>
            </w:pPr>
            <w:r>
              <w:t>0,00</w:t>
            </w:r>
          </w:p>
        </w:tc>
      </w:tr>
      <w:tr w:rsidR="00454A29" w14:paraId="39732AED" w14:textId="77777777">
        <w:tc>
          <w:tcPr>
            <w:tcW w:w="964" w:type="dxa"/>
            <w:vMerge/>
          </w:tcPr>
          <w:p w14:paraId="4FEF3D50" w14:textId="77777777" w:rsidR="00454A29" w:rsidRDefault="00454A29"/>
        </w:tc>
        <w:tc>
          <w:tcPr>
            <w:tcW w:w="2154" w:type="dxa"/>
            <w:vMerge/>
            <w:tcBorders>
              <w:top w:val="nil"/>
              <w:bottom w:val="nil"/>
            </w:tcBorders>
          </w:tcPr>
          <w:p w14:paraId="280FF94F" w14:textId="77777777" w:rsidR="00454A29" w:rsidRDefault="00454A29"/>
        </w:tc>
        <w:tc>
          <w:tcPr>
            <w:tcW w:w="2154" w:type="dxa"/>
            <w:vMerge/>
            <w:tcBorders>
              <w:top w:val="nil"/>
              <w:bottom w:val="nil"/>
            </w:tcBorders>
          </w:tcPr>
          <w:p w14:paraId="07DC1DF9" w14:textId="77777777" w:rsidR="00454A29" w:rsidRDefault="00454A29"/>
        </w:tc>
        <w:tc>
          <w:tcPr>
            <w:tcW w:w="2665" w:type="dxa"/>
            <w:vMerge/>
          </w:tcPr>
          <w:p w14:paraId="22769DDE" w14:textId="77777777" w:rsidR="00454A29" w:rsidRDefault="00454A29"/>
        </w:tc>
        <w:tc>
          <w:tcPr>
            <w:tcW w:w="2665" w:type="dxa"/>
            <w:vMerge/>
          </w:tcPr>
          <w:p w14:paraId="3B932145" w14:textId="77777777" w:rsidR="00454A29" w:rsidRDefault="00454A29"/>
        </w:tc>
        <w:tc>
          <w:tcPr>
            <w:tcW w:w="1928" w:type="dxa"/>
            <w:vMerge/>
          </w:tcPr>
          <w:p w14:paraId="167022D2" w14:textId="77777777" w:rsidR="00454A29" w:rsidRDefault="00454A29"/>
        </w:tc>
        <w:tc>
          <w:tcPr>
            <w:tcW w:w="1644" w:type="dxa"/>
            <w:vMerge/>
          </w:tcPr>
          <w:p w14:paraId="66F48217" w14:textId="77777777" w:rsidR="00454A29" w:rsidRDefault="00454A29"/>
        </w:tc>
        <w:tc>
          <w:tcPr>
            <w:tcW w:w="2041" w:type="dxa"/>
            <w:vMerge/>
          </w:tcPr>
          <w:p w14:paraId="4D2FA836" w14:textId="77777777" w:rsidR="00454A29" w:rsidRDefault="00454A29"/>
        </w:tc>
        <w:tc>
          <w:tcPr>
            <w:tcW w:w="2098" w:type="dxa"/>
            <w:vAlign w:val="center"/>
          </w:tcPr>
          <w:p w14:paraId="3855031F"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0659E7E" w14:textId="77777777" w:rsidR="00454A29" w:rsidRDefault="00454A29">
            <w:pPr>
              <w:pStyle w:val="ConsPlusNormal"/>
              <w:jc w:val="center"/>
            </w:pPr>
            <w:r>
              <w:t>0,00</w:t>
            </w:r>
          </w:p>
        </w:tc>
        <w:tc>
          <w:tcPr>
            <w:tcW w:w="1701" w:type="dxa"/>
            <w:vAlign w:val="center"/>
          </w:tcPr>
          <w:p w14:paraId="457E26A2" w14:textId="77777777" w:rsidR="00454A29" w:rsidRDefault="00454A29">
            <w:pPr>
              <w:pStyle w:val="ConsPlusNormal"/>
              <w:jc w:val="center"/>
            </w:pPr>
            <w:r>
              <w:t>0,00</w:t>
            </w:r>
          </w:p>
        </w:tc>
        <w:tc>
          <w:tcPr>
            <w:tcW w:w="1701" w:type="dxa"/>
            <w:vAlign w:val="center"/>
          </w:tcPr>
          <w:p w14:paraId="139CED0C" w14:textId="77777777" w:rsidR="00454A29" w:rsidRDefault="00454A29">
            <w:pPr>
              <w:pStyle w:val="ConsPlusNormal"/>
              <w:jc w:val="center"/>
            </w:pPr>
            <w:r>
              <w:t>0,00</w:t>
            </w:r>
          </w:p>
        </w:tc>
        <w:tc>
          <w:tcPr>
            <w:tcW w:w="1701" w:type="dxa"/>
            <w:vAlign w:val="center"/>
          </w:tcPr>
          <w:p w14:paraId="063E90D2" w14:textId="77777777" w:rsidR="00454A29" w:rsidRDefault="00454A29">
            <w:pPr>
              <w:pStyle w:val="ConsPlusNormal"/>
              <w:jc w:val="center"/>
            </w:pPr>
            <w:r>
              <w:t>0,00</w:t>
            </w:r>
          </w:p>
        </w:tc>
        <w:tc>
          <w:tcPr>
            <w:tcW w:w="1701" w:type="dxa"/>
            <w:vAlign w:val="center"/>
          </w:tcPr>
          <w:p w14:paraId="29468941" w14:textId="77777777" w:rsidR="00454A29" w:rsidRDefault="00454A29">
            <w:pPr>
              <w:pStyle w:val="ConsPlusNormal"/>
              <w:jc w:val="center"/>
            </w:pPr>
            <w:r>
              <w:t>0,00</w:t>
            </w:r>
          </w:p>
        </w:tc>
        <w:tc>
          <w:tcPr>
            <w:tcW w:w="1701" w:type="dxa"/>
            <w:vAlign w:val="center"/>
          </w:tcPr>
          <w:p w14:paraId="120C4899" w14:textId="77777777" w:rsidR="00454A29" w:rsidRDefault="00454A29">
            <w:pPr>
              <w:pStyle w:val="ConsPlusNormal"/>
              <w:jc w:val="center"/>
            </w:pPr>
            <w:r>
              <w:t>0,00</w:t>
            </w:r>
          </w:p>
        </w:tc>
        <w:tc>
          <w:tcPr>
            <w:tcW w:w="1701" w:type="dxa"/>
            <w:vAlign w:val="center"/>
          </w:tcPr>
          <w:p w14:paraId="7C49E215" w14:textId="77777777" w:rsidR="00454A29" w:rsidRDefault="00454A29">
            <w:pPr>
              <w:pStyle w:val="ConsPlusNormal"/>
              <w:jc w:val="center"/>
            </w:pPr>
            <w:r>
              <w:t>0,00</w:t>
            </w:r>
          </w:p>
        </w:tc>
      </w:tr>
      <w:tr w:rsidR="00454A29" w14:paraId="6C6B59AD" w14:textId="77777777">
        <w:tc>
          <w:tcPr>
            <w:tcW w:w="964" w:type="dxa"/>
            <w:vMerge/>
          </w:tcPr>
          <w:p w14:paraId="1242A423" w14:textId="77777777" w:rsidR="00454A29" w:rsidRDefault="00454A29"/>
        </w:tc>
        <w:tc>
          <w:tcPr>
            <w:tcW w:w="2154" w:type="dxa"/>
            <w:vMerge/>
            <w:tcBorders>
              <w:top w:val="nil"/>
              <w:bottom w:val="nil"/>
            </w:tcBorders>
          </w:tcPr>
          <w:p w14:paraId="219F849F" w14:textId="77777777" w:rsidR="00454A29" w:rsidRDefault="00454A29"/>
        </w:tc>
        <w:tc>
          <w:tcPr>
            <w:tcW w:w="2154" w:type="dxa"/>
            <w:vMerge/>
            <w:tcBorders>
              <w:top w:val="nil"/>
              <w:bottom w:val="nil"/>
            </w:tcBorders>
          </w:tcPr>
          <w:p w14:paraId="7FAF7A2F" w14:textId="77777777" w:rsidR="00454A29" w:rsidRDefault="00454A29"/>
        </w:tc>
        <w:tc>
          <w:tcPr>
            <w:tcW w:w="2665" w:type="dxa"/>
            <w:vMerge/>
          </w:tcPr>
          <w:p w14:paraId="09EF66A5" w14:textId="77777777" w:rsidR="00454A29" w:rsidRDefault="00454A29"/>
        </w:tc>
        <w:tc>
          <w:tcPr>
            <w:tcW w:w="2665" w:type="dxa"/>
            <w:vMerge/>
          </w:tcPr>
          <w:p w14:paraId="40418E4D" w14:textId="77777777" w:rsidR="00454A29" w:rsidRDefault="00454A29"/>
        </w:tc>
        <w:tc>
          <w:tcPr>
            <w:tcW w:w="1928" w:type="dxa"/>
            <w:vMerge/>
          </w:tcPr>
          <w:p w14:paraId="2DFCE8F4" w14:textId="77777777" w:rsidR="00454A29" w:rsidRDefault="00454A29"/>
        </w:tc>
        <w:tc>
          <w:tcPr>
            <w:tcW w:w="1644" w:type="dxa"/>
            <w:vMerge/>
          </w:tcPr>
          <w:p w14:paraId="5A81AF55" w14:textId="77777777" w:rsidR="00454A29" w:rsidRDefault="00454A29"/>
        </w:tc>
        <w:tc>
          <w:tcPr>
            <w:tcW w:w="2041" w:type="dxa"/>
            <w:vMerge/>
          </w:tcPr>
          <w:p w14:paraId="3C302FCA" w14:textId="77777777" w:rsidR="00454A29" w:rsidRDefault="00454A29"/>
        </w:tc>
        <w:tc>
          <w:tcPr>
            <w:tcW w:w="2098" w:type="dxa"/>
            <w:vAlign w:val="center"/>
          </w:tcPr>
          <w:p w14:paraId="1FA61F0B" w14:textId="77777777" w:rsidR="00454A29" w:rsidRDefault="00454A29">
            <w:pPr>
              <w:pStyle w:val="ConsPlusNormal"/>
              <w:jc w:val="center"/>
            </w:pPr>
            <w:r>
              <w:t>Федеральный бюджет</w:t>
            </w:r>
          </w:p>
        </w:tc>
        <w:tc>
          <w:tcPr>
            <w:tcW w:w="1814" w:type="dxa"/>
            <w:vAlign w:val="center"/>
          </w:tcPr>
          <w:p w14:paraId="4301A77D" w14:textId="77777777" w:rsidR="00454A29" w:rsidRDefault="00454A29">
            <w:pPr>
              <w:pStyle w:val="ConsPlusNormal"/>
              <w:jc w:val="center"/>
            </w:pPr>
            <w:r>
              <w:t>0,00</w:t>
            </w:r>
          </w:p>
        </w:tc>
        <w:tc>
          <w:tcPr>
            <w:tcW w:w="1701" w:type="dxa"/>
            <w:vAlign w:val="center"/>
          </w:tcPr>
          <w:p w14:paraId="31832C9F" w14:textId="77777777" w:rsidR="00454A29" w:rsidRDefault="00454A29">
            <w:pPr>
              <w:pStyle w:val="ConsPlusNormal"/>
              <w:jc w:val="center"/>
            </w:pPr>
            <w:r>
              <w:t>0,00</w:t>
            </w:r>
          </w:p>
        </w:tc>
        <w:tc>
          <w:tcPr>
            <w:tcW w:w="1701" w:type="dxa"/>
            <w:vAlign w:val="center"/>
          </w:tcPr>
          <w:p w14:paraId="10538ACF" w14:textId="77777777" w:rsidR="00454A29" w:rsidRDefault="00454A29">
            <w:pPr>
              <w:pStyle w:val="ConsPlusNormal"/>
              <w:jc w:val="center"/>
            </w:pPr>
            <w:r>
              <w:t>0,00</w:t>
            </w:r>
          </w:p>
        </w:tc>
        <w:tc>
          <w:tcPr>
            <w:tcW w:w="1701" w:type="dxa"/>
            <w:vAlign w:val="center"/>
          </w:tcPr>
          <w:p w14:paraId="7000DFC4" w14:textId="77777777" w:rsidR="00454A29" w:rsidRDefault="00454A29">
            <w:pPr>
              <w:pStyle w:val="ConsPlusNormal"/>
              <w:jc w:val="center"/>
            </w:pPr>
            <w:r>
              <w:t>0,00</w:t>
            </w:r>
          </w:p>
        </w:tc>
        <w:tc>
          <w:tcPr>
            <w:tcW w:w="1701" w:type="dxa"/>
            <w:vAlign w:val="center"/>
          </w:tcPr>
          <w:p w14:paraId="6C9567B9" w14:textId="77777777" w:rsidR="00454A29" w:rsidRDefault="00454A29">
            <w:pPr>
              <w:pStyle w:val="ConsPlusNormal"/>
              <w:jc w:val="center"/>
            </w:pPr>
            <w:r>
              <w:t>0,00</w:t>
            </w:r>
          </w:p>
        </w:tc>
        <w:tc>
          <w:tcPr>
            <w:tcW w:w="1701" w:type="dxa"/>
            <w:vAlign w:val="center"/>
          </w:tcPr>
          <w:p w14:paraId="3AB9186C" w14:textId="77777777" w:rsidR="00454A29" w:rsidRDefault="00454A29">
            <w:pPr>
              <w:pStyle w:val="ConsPlusNormal"/>
              <w:jc w:val="center"/>
            </w:pPr>
            <w:r>
              <w:t>0,00</w:t>
            </w:r>
          </w:p>
        </w:tc>
        <w:tc>
          <w:tcPr>
            <w:tcW w:w="1701" w:type="dxa"/>
            <w:vAlign w:val="center"/>
          </w:tcPr>
          <w:p w14:paraId="69EAB695" w14:textId="77777777" w:rsidR="00454A29" w:rsidRDefault="00454A29">
            <w:pPr>
              <w:pStyle w:val="ConsPlusNormal"/>
              <w:jc w:val="center"/>
            </w:pPr>
            <w:r>
              <w:t>0,00</w:t>
            </w:r>
          </w:p>
        </w:tc>
      </w:tr>
      <w:tr w:rsidR="00454A29" w14:paraId="257C8BE2" w14:textId="77777777">
        <w:tc>
          <w:tcPr>
            <w:tcW w:w="964" w:type="dxa"/>
            <w:vMerge/>
          </w:tcPr>
          <w:p w14:paraId="6D5C4319" w14:textId="77777777" w:rsidR="00454A29" w:rsidRDefault="00454A29"/>
        </w:tc>
        <w:tc>
          <w:tcPr>
            <w:tcW w:w="2154" w:type="dxa"/>
            <w:vMerge/>
            <w:tcBorders>
              <w:top w:val="nil"/>
              <w:bottom w:val="nil"/>
            </w:tcBorders>
          </w:tcPr>
          <w:p w14:paraId="0786FCAA" w14:textId="77777777" w:rsidR="00454A29" w:rsidRDefault="00454A29"/>
        </w:tc>
        <w:tc>
          <w:tcPr>
            <w:tcW w:w="2154" w:type="dxa"/>
            <w:vMerge/>
            <w:tcBorders>
              <w:top w:val="nil"/>
              <w:bottom w:val="nil"/>
            </w:tcBorders>
          </w:tcPr>
          <w:p w14:paraId="6097AC7E" w14:textId="77777777" w:rsidR="00454A29" w:rsidRDefault="00454A29"/>
        </w:tc>
        <w:tc>
          <w:tcPr>
            <w:tcW w:w="2665" w:type="dxa"/>
            <w:vMerge/>
          </w:tcPr>
          <w:p w14:paraId="35C15A74" w14:textId="77777777" w:rsidR="00454A29" w:rsidRDefault="00454A29"/>
        </w:tc>
        <w:tc>
          <w:tcPr>
            <w:tcW w:w="2665" w:type="dxa"/>
            <w:vMerge/>
          </w:tcPr>
          <w:p w14:paraId="55B7F792" w14:textId="77777777" w:rsidR="00454A29" w:rsidRDefault="00454A29"/>
        </w:tc>
        <w:tc>
          <w:tcPr>
            <w:tcW w:w="1928" w:type="dxa"/>
            <w:vMerge/>
          </w:tcPr>
          <w:p w14:paraId="0DA1774E" w14:textId="77777777" w:rsidR="00454A29" w:rsidRDefault="00454A29"/>
        </w:tc>
        <w:tc>
          <w:tcPr>
            <w:tcW w:w="1644" w:type="dxa"/>
            <w:vMerge/>
          </w:tcPr>
          <w:p w14:paraId="066AA7F5" w14:textId="77777777" w:rsidR="00454A29" w:rsidRDefault="00454A29"/>
        </w:tc>
        <w:tc>
          <w:tcPr>
            <w:tcW w:w="2041" w:type="dxa"/>
            <w:vMerge/>
          </w:tcPr>
          <w:p w14:paraId="44BA1375" w14:textId="77777777" w:rsidR="00454A29" w:rsidRDefault="00454A29"/>
        </w:tc>
        <w:tc>
          <w:tcPr>
            <w:tcW w:w="2098" w:type="dxa"/>
            <w:vAlign w:val="center"/>
          </w:tcPr>
          <w:p w14:paraId="318944D9" w14:textId="77777777" w:rsidR="00454A29" w:rsidRDefault="00454A29">
            <w:pPr>
              <w:pStyle w:val="ConsPlusNormal"/>
              <w:jc w:val="center"/>
            </w:pPr>
            <w:r>
              <w:t>Местные бюджеты</w:t>
            </w:r>
          </w:p>
        </w:tc>
        <w:tc>
          <w:tcPr>
            <w:tcW w:w="1814" w:type="dxa"/>
            <w:vAlign w:val="center"/>
          </w:tcPr>
          <w:p w14:paraId="7A230E66" w14:textId="77777777" w:rsidR="00454A29" w:rsidRDefault="00454A29">
            <w:pPr>
              <w:pStyle w:val="ConsPlusNormal"/>
              <w:jc w:val="center"/>
            </w:pPr>
            <w:r>
              <w:t>0,00</w:t>
            </w:r>
          </w:p>
        </w:tc>
        <w:tc>
          <w:tcPr>
            <w:tcW w:w="1701" w:type="dxa"/>
            <w:vAlign w:val="center"/>
          </w:tcPr>
          <w:p w14:paraId="2DEC4987" w14:textId="77777777" w:rsidR="00454A29" w:rsidRDefault="00454A29">
            <w:pPr>
              <w:pStyle w:val="ConsPlusNormal"/>
              <w:jc w:val="center"/>
            </w:pPr>
            <w:r>
              <w:t>0,00</w:t>
            </w:r>
          </w:p>
        </w:tc>
        <w:tc>
          <w:tcPr>
            <w:tcW w:w="1701" w:type="dxa"/>
            <w:vAlign w:val="center"/>
          </w:tcPr>
          <w:p w14:paraId="5CCD9E3A" w14:textId="77777777" w:rsidR="00454A29" w:rsidRDefault="00454A29">
            <w:pPr>
              <w:pStyle w:val="ConsPlusNormal"/>
              <w:jc w:val="center"/>
            </w:pPr>
            <w:r>
              <w:t>0,00</w:t>
            </w:r>
          </w:p>
        </w:tc>
        <w:tc>
          <w:tcPr>
            <w:tcW w:w="1701" w:type="dxa"/>
            <w:vAlign w:val="center"/>
          </w:tcPr>
          <w:p w14:paraId="573BFD45" w14:textId="77777777" w:rsidR="00454A29" w:rsidRDefault="00454A29">
            <w:pPr>
              <w:pStyle w:val="ConsPlusNormal"/>
              <w:jc w:val="center"/>
            </w:pPr>
            <w:r>
              <w:t>0,00</w:t>
            </w:r>
          </w:p>
        </w:tc>
        <w:tc>
          <w:tcPr>
            <w:tcW w:w="1701" w:type="dxa"/>
            <w:vAlign w:val="center"/>
          </w:tcPr>
          <w:p w14:paraId="337036FB" w14:textId="77777777" w:rsidR="00454A29" w:rsidRDefault="00454A29">
            <w:pPr>
              <w:pStyle w:val="ConsPlusNormal"/>
              <w:jc w:val="center"/>
            </w:pPr>
            <w:r>
              <w:t>0,00</w:t>
            </w:r>
          </w:p>
        </w:tc>
        <w:tc>
          <w:tcPr>
            <w:tcW w:w="1701" w:type="dxa"/>
            <w:vAlign w:val="center"/>
          </w:tcPr>
          <w:p w14:paraId="72F9F8C6" w14:textId="77777777" w:rsidR="00454A29" w:rsidRDefault="00454A29">
            <w:pPr>
              <w:pStyle w:val="ConsPlusNormal"/>
              <w:jc w:val="center"/>
            </w:pPr>
            <w:r>
              <w:t>0,00</w:t>
            </w:r>
          </w:p>
        </w:tc>
        <w:tc>
          <w:tcPr>
            <w:tcW w:w="1701" w:type="dxa"/>
            <w:vAlign w:val="center"/>
          </w:tcPr>
          <w:p w14:paraId="7AC9A99B" w14:textId="77777777" w:rsidR="00454A29" w:rsidRDefault="00454A29">
            <w:pPr>
              <w:pStyle w:val="ConsPlusNormal"/>
              <w:jc w:val="center"/>
            </w:pPr>
            <w:r>
              <w:t>0,00</w:t>
            </w:r>
          </w:p>
        </w:tc>
      </w:tr>
      <w:tr w:rsidR="00454A29" w14:paraId="0F39223B" w14:textId="77777777">
        <w:tc>
          <w:tcPr>
            <w:tcW w:w="964" w:type="dxa"/>
            <w:vMerge/>
          </w:tcPr>
          <w:p w14:paraId="360F1839" w14:textId="77777777" w:rsidR="00454A29" w:rsidRDefault="00454A29"/>
        </w:tc>
        <w:tc>
          <w:tcPr>
            <w:tcW w:w="2154" w:type="dxa"/>
            <w:vMerge/>
            <w:tcBorders>
              <w:top w:val="nil"/>
              <w:bottom w:val="nil"/>
            </w:tcBorders>
          </w:tcPr>
          <w:p w14:paraId="7C21023E" w14:textId="77777777" w:rsidR="00454A29" w:rsidRDefault="00454A29"/>
        </w:tc>
        <w:tc>
          <w:tcPr>
            <w:tcW w:w="2154" w:type="dxa"/>
            <w:vMerge/>
            <w:tcBorders>
              <w:top w:val="nil"/>
              <w:bottom w:val="nil"/>
            </w:tcBorders>
          </w:tcPr>
          <w:p w14:paraId="196005ED" w14:textId="77777777" w:rsidR="00454A29" w:rsidRDefault="00454A29"/>
        </w:tc>
        <w:tc>
          <w:tcPr>
            <w:tcW w:w="2665" w:type="dxa"/>
            <w:vMerge/>
          </w:tcPr>
          <w:p w14:paraId="13D02340" w14:textId="77777777" w:rsidR="00454A29" w:rsidRDefault="00454A29"/>
        </w:tc>
        <w:tc>
          <w:tcPr>
            <w:tcW w:w="2665" w:type="dxa"/>
            <w:vMerge/>
          </w:tcPr>
          <w:p w14:paraId="32E51309" w14:textId="77777777" w:rsidR="00454A29" w:rsidRDefault="00454A29"/>
        </w:tc>
        <w:tc>
          <w:tcPr>
            <w:tcW w:w="1928" w:type="dxa"/>
            <w:vMerge/>
          </w:tcPr>
          <w:p w14:paraId="1918105F" w14:textId="77777777" w:rsidR="00454A29" w:rsidRDefault="00454A29"/>
        </w:tc>
        <w:tc>
          <w:tcPr>
            <w:tcW w:w="1644" w:type="dxa"/>
            <w:vMerge/>
          </w:tcPr>
          <w:p w14:paraId="4B38C6A8" w14:textId="77777777" w:rsidR="00454A29" w:rsidRDefault="00454A29"/>
        </w:tc>
        <w:tc>
          <w:tcPr>
            <w:tcW w:w="2041" w:type="dxa"/>
            <w:vMerge/>
          </w:tcPr>
          <w:p w14:paraId="5C29F312" w14:textId="77777777" w:rsidR="00454A29" w:rsidRDefault="00454A29"/>
        </w:tc>
        <w:tc>
          <w:tcPr>
            <w:tcW w:w="2098" w:type="dxa"/>
            <w:vAlign w:val="center"/>
          </w:tcPr>
          <w:p w14:paraId="505EE3C9" w14:textId="77777777" w:rsidR="00454A29" w:rsidRDefault="00454A29">
            <w:pPr>
              <w:pStyle w:val="ConsPlusNormal"/>
              <w:jc w:val="center"/>
            </w:pPr>
            <w:r>
              <w:t>Внебюджетные средства</w:t>
            </w:r>
          </w:p>
        </w:tc>
        <w:tc>
          <w:tcPr>
            <w:tcW w:w="1814" w:type="dxa"/>
            <w:vAlign w:val="center"/>
          </w:tcPr>
          <w:p w14:paraId="63558596" w14:textId="77777777" w:rsidR="00454A29" w:rsidRDefault="00454A29">
            <w:pPr>
              <w:pStyle w:val="ConsPlusNormal"/>
              <w:jc w:val="center"/>
            </w:pPr>
            <w:r>
              <w:t>0,00</w:t>
            </w:r>
          </w:p>
        </w:tc>
        <w:tc>
          <w:tcPr>
            <w:tcW w:w="1701" w:type="dxa"/>
            <w:vAlign w:val="center"/>
          </w:tcPr>
          <w:p w14:paraId="62F2B716" w14:textId="77777777" w:rsidR="00454A29" w:rsidRDefault="00454A29">
            <w:pPr>
              <w:pStyle w:val="ConsPlusNormal"/>
              <w:jc w:val="center"/>
            </w:pPr>
            <w:r>
              <w:t>0,00</w:t>
            </w:r>
          </w:p>
        </w:tc>
        <w:tc>
          <w:tcPr>
            <w:tcW w:w="1701" w:type="dxa"/>
            <w:vAlign w:val="center"/>
          </w:tcPr>
          <w:p w14:paraId="1466C0E7" w14:textId="77777777" w:rsidR="00454A29" w:rsidRDefault="00454A29">
            <w:pPr>
              <w:pStyle w:val="ConsPlusNormal"/>
              <w:jc w:val="center"/>
            </w:pPr>
            <w:r>
              <w:t>0,00</w:t>
            </w:r>
          </w:p>
        </w:tc>
        <w:tc>
          <w:tcPr>
            <w:tcW w:w="1701" w:type="dxa"/>
            <w:vAlign w:val="center"/>
          </w:tcPr>
          <w:p w14:paraId="450325B3" w14:textId="77777777" w:rsidR="00454A29" w:rsidRDefault="00454A29">
            <w:pPr>
              <w:pStyle w:val="ConsPlusNormal"/>
              <w:jc w:val="center"/>
            </w:pPr>
            <w:r>
              <w:t>0,00</w:t>
            </w:r>
          </w:p>
        </w:tc>
        <w:tc>
          <w:tcPr>
            <w:tcW w:w="1701" w:type="dxa"/>
            <w:vAlign w:val="center"/>
          </w:tcPr>
          <w:p w14:paraId="24CA1E51" w14:textId="77777777" w:rsidR="00454A29" w:rsidRDefault="00454A29">
            <w:pPr>
              <w:pStyle w:val="ConsPlusNormal"/>
              <w:jc w:val="center"/>
            </w:pPr>
            <w:r>
              <w:t>0,00</w:t>
            </w:r>
          </w:p>
        </w:tc>
        <w:tc>
          <w:tcPr>
            <w:tcW w:w="1701" w:type="dxa"/>
            <w:vAlign w:val="center"/>
          </w:tcPr>
          <w:p w14:paraId="78F9DE8B" w14:textId="77777777" w:rsidR="00454A29" w:rsidRDefault="00454A29">
            <w:pPr>
              <w:pStyle w:val="ConsPlusNormal"/>
              <w:jc w:val="center"/>
            </w:pPr>
            <w:r>
              <w:t>0,00</w:t>
            </w:r>
          </w:p>
        </w:tc>
        <w:tc>
          <w:tcPr>
            <w:tcW w:w="1701" w:type="dxa"/>
            <w:vAlign w:val="center"/>
          </w:tcPr>
          <w:p w14:paraId="24DB6186" w14:textId="77777777" w:rsidR="00454A29" w:rsidRDefault="00454A29">
            <w:pPr>
              <w:pStyle w:val="ConsPlusNormal"/>
              <w:jc w:val="center"/>
            </w:pPr>
            <w:r>
              <w:t>0,00</w:t>
            </w:r>
          </w:p>
        </w:tc>
      </w:tr>
      <w:tr w:rsidR="00454A29" w14:paraId="1CBC781D" w14:textId="77777777">
        <w:tc>
          <w:tcPr>
            <w:tcW w:w="964" w:type="dxa"/>
            <w:vMerge w:val="restart"/>
            <w:vAlign w:val="center"/>
          </w:tcPr>
          <w:p w14:paraId="1DE2EF07" w14:textId="77777777" w:rsidR="00454A29" w:rsidRDefault="00454A29">
            <w:pPr>
              <w:pStyle w:val="ConsPlusNormal"/>
              <w:jc w:val="center"/>
            </w:pPr>
            <w:r>
              <w:t>2.5.</w:t>
            </w:r>
          </w:p>
        </w:tc>
        <w:tc>
          <w:tcPr>
            <w:tcW w:w="2154" w:type="dxa"/>
            <w:vMerge w:val="restart"/>
            <w:tcBorders>
              <w:top w:val="nil"/>
              <w:bottom w:val="nil"/>
            </w:tcBorders>
            <w:vAlign w:val="center"/>
          </w:tcPr>
          <w:p w14:paraId="25F89EDC" w14:textId="77777777" w:rsidR="00454A29" w:rsidRDefault="00454A29">
            <w:pPr>
              <w:pStyle w:val="ConsPlusNormal"/>
            </w:pPr>
          </w:p>
        </w:tc>
        <w:tc>
          <w:tcPr>
            <w:tcW w:w="2154" w:type="dxa"/>
            <w:vMerge w:val="restart"/>
            <w:tcBorders>
              <w:top w:val="nil"/>
              <w:bottom w:val="nil"/>
            </w:tcBorders>
            <w:vAlign w:val="center"/>
          </w:tcPr>
          <w:p w14:paraId="4DF3240E" w14:textId="77777777" w:rsidR="00454A29" w:rsidRDefault="00454A29">
            <w:pPr>
              <w:pStyle w:val="ConsPlusNormal"/>
            </w:pPr>
          </w:p>
        </w:tc>
        <w:tc>
          <w:tcPr>
            <w:tcW w:w="2665" w:type="dxa"/>
            <w:vMerge w:val="restart"/>
            <w:vAlign w:val="center"/>
          </w:tcPr>
          <w:p w14:paraId="03BB0787" w14:textId="77777777" w:rsidR="00454A29" w:rsidRDefault="00454A29">
            <w:pPr>
              <w:pStyle w:val="ConsPlusNormal"/>
              <w:jc w:val="center"/>
            </w:pPr>
            <w:r>
              <w:t>Результат 5. Не менее 70% детей Республики Саха (Якутия)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2665" w:type="dxa"/>
            <w:vMerge w:val="restart"/>
            <w:vAlign w:val="center"/>
          </w:tcPr>
          <w:p w14:paraId="391C82BC" w14:textId="77777777" w:rsidR="00454A29" w:rsidRDefault="00454A29">
            <w:pPr>
              <w:pStyle w:val="ConsPlusNormal"/>
              <w:jc w:val="center"/>
            </w:pPr>
            <w:r>
              <w:t>Мероприятие 4.3.5. Реализация дополнительных общеобразовательных программам, в том числе с использованием дистанционных технологий для детей с ограниченными возможностями здоровья</w:t>
            </w:r>
          </w:p>
        </w:tc>
        <w:tc>
          <w:tcPr>
            <w:tcW w:w="1928" w:type="dxa"/>
            <w:vMerge w:val="restart"/>
            <w:vAlign w:val="center"/>
          </w:tcPr>
          <w:p w14:paraId="15D04516" w14:textId="77777777" w:rsidR="00454A29" w:rsidRDefault="00454A29">
            <w:pPr>
              <w:pStyle w:val="ConsPlusNormal"/>
              <w:jc w:val="center"/>
            </w:pPr>
            <w:r>
              <w:t>-</w:t>
            </w:r>
          </w:p>
        </w:tc>
        <w:tc>
          <w:tcPr>
            <w:tcW w:w="1644" w:type="dxa"/>
            <w:vMerge w:val="restart"/>
            <w:vAlign w:val="center"/>
          </w:tcPr>
          <w:p w14:paraId="71F707D9" w14:textId="77777777" w:rsidR="00454A29" w:rsidRDefault="00454A29">
            <w:pPr>
              <w:pStyle w:val="ConsPlusNormal"/>
              <w:jc w:val="center"/>
            </w:pPr>
            <w:r>
              <w:t>-</w:t>
            </w:r>
          </w:p>
        </w:tc>
        <w:tc>
          <w:tcPr>
            <w:tcW w:w="2041" w:type="dxa"/>
            <w:vMerge w:val="restart"/>
            <w:vAlign w:val="center"/>
          </w:tcPr>
          <w:p w14:paraId="2CF50C24" w14:textId="77777777" w:rsidR="00454A29" w:rsidRDefault="00454A29">
            <w:pPr>
              <w:pStyle w:val="ConsPlusNormal"/>
              <w:jc w:val="center"/>
            </w:pPr>
            <w:r>
              <w:t>-</w:t>
            </w:r>
          </w:p>
        </w:tc>
        <w:tc>
          <w:tcPr>
            <w:tcW w:w="2098" w:type="dxa"/>
            <w:vAlign w:val="center"/>
          </w:tcPr>
          <w:p w14:paraId="4FDF81BE" w14:textId="77777777" w:rsidR="00454A29" w:rsidRDefault="00454A29">
            <w:pPr>
              <w:pStyle w:val="ConsPlusNormal"/>
              <w:jc w:val="center"/>
            </w:pPr>
            <w:r>
              <w:t>Итого</w:t>
            </w:r>
          </w:p>
        </w:tc>
        <w:tc>
          <w:tcPr>
            <w:tcW w:w="1814" w:type="dxa"/>
            <w:vAlign w:val="center"/>
          </w:tcPr>
          <w:p w14:paraId="4C81267F" w14:textId="77777777" w:rsidR="00454A29" w:rsidRDefault="00454A29">
            <w:pPr>
              <w:pStyle w:val="ConsPlusNormal"/>
              <w:jc w:val="center"/>
            </w:pPr>
            <w:r>
              <w:t>0,00</w:t>
            </w:r>
          </w:p>
        </w:tc>
        <w:tc>
          <w:tcPr>
            <w:tcW w:w="1701" w:type="dxa"/>
            <w:vAlign w:val="center"/>
          </w:tcPr>
          <w:p w14:paraId="11AEB320" w14:textId="77777777" w:rsidR="00454A29" w:rsidRDefault="00454A29">
            <w:pPr>
              <w:pStyle w:val="ConsPlusNormal"/>
              <w:jc w:val="center"/>
            </w:pPr>
            <w:r>
              <w:t>0,00</w:t>
            </w:r>
          </w:p>
        </w:tc>
        <w:tc>
          <w:tcPr>
            <w:tcW w:w="1701" w:type="dxa"/>
            <w:vAlign w:val="center"/>
          </w:tcPr>
          <w:p w14:paraId="761A960F" w14:textId="77777777" w:rsidR="00454A29" w:rsidRDefault="00454A29">
            <w:pPr>
              <w:pStyle w:val="ConsPlusNormal"/>
              <w:jc w:val="center"/>
            </w:pPr>
            <w:r>
              <w:t>0,00</w:t>
            </w:r>
          </w:p>
        </w:tc>
        <w:tc>
          <w:tcPr>
            <w:tcW w:w="1701" w:type="dxa"/>
            <w:vAlign w:val="center"/>
          </w:tcPr>
          <w:p w14:paraId="74FBA991" w14:textId="77777777" w:rsidR="00454A29" w:rsidRDefault="00454A29">
            <w:pPr>
              <w:pStyle w:val="ConsPlusNormal"/>
              <w:jc w:val="center"/>
            </w:pPr>
            <w:r>
              <w:t>0,00</w:t>
            </w:r>
          </w:p>
        </w:tc>
        <w:tc>
          <w:tcPr>
            <w:tcW w:w="1701" w:type="dxa"/>
            <w:vAlign w:val="center"/>
          </w:tcPr>
          <w:p w14:paraId="75A52412" w14:textId="77777777" w:rsidR="00454A29" w:rsidRDefault="00454A29">
            <w:pPr>
              <w:pStyle w:val="ConsPlusNormal"/>
              <w:jc w:val="center"/>
            </w:pPr>
            <w:r>
              <w:t>0,00</w:t>
            </w:r>
          </w:p>
        </w:tc>
        <w:tc>
          <w:tcPr>
            <w:tcW w:w="1701" w:type="dxa"/>
            <w:vAlign w:val="center"/>
          </w:tcPr>
          <w:p w14:paraId="5B65C53E" w14:textId="77777777" w:rsidR="00454A29" w:rsidRDefault="00454A29">
            <w:pPr>
              <w:pStyle w:val="ConsPlusNormal"/>
              <w:jc w:val="center"/>
            </w:pPr>
            <w:r>
              <w:t>0,00</w:t>
            </w:r>
          </w:p>
        </w:tc>
        <w:tc>
          <w:tcPr>
            <w:tcW w:w="1701" w:type="dxa"/>
            <w:vAlign w:val="center"/>
          </w:tcPr>
          <w:p w14:paraId="6A4CBB5B" w14:textId="77777777" w:rsidR="00454A29" w:rsidRDefault="00454A29">
            <w:pPr>
              <w:pStyle w:val="ConsPlusNormal"/>
              <w:jc w:val="center"/>
            </w:pPr>
            <w:r>
              <w:t>0,00</w:t>
            </w:r>
          </w:p>
        </w:tc>
      </w:tr>
      <w:tr w:rsidR="00454A29" w14:paraId="60288239" w14:textId="77777777">
        <w:tc>
          <w:tcPr>
            <w:tcW w:w="964" w:type="dxa"/>
            <w:vMerge/>
          </w:tcPr>
          <w:p w14:paraId="0558B326" w14:textId="77777777" w:rsidR="00454A29" w:rsidRDefault="00454A29"/>
        </w:tc>
        <w:tc>
          <w:tcPr>
            <w:tcW w:w="2154" w:type="dxa"/>
            <w:vMerge/>
            <w:tcBorders>
              <w:top w:val="nil"/>
              <w:bottom w:val="nil"/>
            </w:tcBorders>
          </w:tcPr>
          <w:p w14:paraId="36DD7EA4" w14:textId="77777777" w:rsidR="00454A29" w:rsidRDefault="00454A29"/>
        </w:tc>
        <w:tc>
          <w:tcPr>
            <w:tcW w:w="2154" w:type="dxa"/>
            <w:vMerge/>
            <w:tcBorders>
              <w:top w:val="nil"/>
              <w:bottom w:val="nil"/>
            </w:tcBorders>
          </w:tcPr>
          <w:p w14:paraId="6A501824" w14:textId="77777777" w:rsidR="00454A29" w:rsidRDefault="00454A29"/>
        </w:tc>
        <w:tc>
          <w:tcPr>
            <w:tcW w:w="2665" w:type="dxa"/>
            <w:vMerge/>
          </w:tcPr>
          <w:p w14:paraId="1DBB109F" w14:textId="77777777" w:rsidR="00454A29" w:rsidRDefault="00454A29"/>
        </w:tc>
        <w:tc>
          <w:tcPr>
            <w:tcW w:w="2665" w:type="dxa"/>
            <w:vMerge/>
          </w:tcPr>
          <w:p w14:paraId="2C795AB0" w14:textId="77777777" w:rsidR="00454A29" w:rsidRDefault="00454A29"/>
        </w:tc>
        <w:tc>
          <w:tcPr>
            <w:tcW w:w="1928" w:type="dxa"/>
            <w:vMerge/>
          </w:tcPr>
          <w:p w14:paraId="4698CAE2" w14:textId="77777777" w:rsidR="00454A29" w:rsidRDefault="00454A29"/>
        </w:tc>
        <w:tc>
          <w:tcPr>
            <w:tcW w:w="1644" w:type="dxa"/>
            <w:vMerge/>
          </w:tcPr>
          <w:p w14:paraId="6EAC1BBD" w14:textId="77777777" w:rsidR="00454A29" w:rsidRDefault="00454A29"/>
        </w:tc>
        <w:tc>
          <w:tcPr>
            <w:tcW w:w="2041" w:type="dxa"/>
            <w:vMerge/>
          </w:tcPr>
          <w:p w14:paraId="5BB1011E" w14:textId="77777777" w:rsidR="00454A29" w:rsidRDefault="00454A29"/>
        </w:tc>
        <w:tc>
          <w:tcPr>
            <w:tcW w:w="2098" w:type="dxa"/>
            <w:vAlign w:val="center"/>
          </w:tcPr>
          <w:p w14:paraId="3084C5A0"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09E49EA" w14:textId="77777777" w:rsidR="00454A29" w:rsidRDefault="00454A29">
            <w:pPr>
              <w:pStyle w:val="ConsPlusNormal"/>
              <w:jc w:val="center"/>
            </w:pPr>
            <w:r>
              <w:t>0,00</w:t>
            </w:r>
          </w:p>
        </w:tc>
        <w:tc>
          <w:tcPr>
            <w:tcW w:w="1701" w:type="dxa"/>
            <w:vAlign w:val="center"/>
          </w:tcPr>
          <w:p w14:paraId="03867818" w14:textId="77777777" w:rsidR="00454A29" w:rsidRDefault="00454A29">
            <w:pPr>
              <w:pStyle w:val="ConsPlusNormal"/>
              <w:jc w:val="center"/>
            </w:pPr>
            <w:r>
              <w:t>0,00</w:t>
            </w:r>
          </w:p>
        </w:tc>
        <w:tc>
          <w:tcPr>
            <w:tcW w:w="1701" w:type="dxa"/>
            <w:vAlign w:val="center"/>
          </w:tcPr>
          <w:p w14:paraId="58B9DB5A" w14:textId="77777777" w:rsidR="00454A29" w:rsidRDefault="00454A29">
            <w:pPr>
              <w:pStyle w:val="ConsPlusNormal"/>
              <w:jc w:val="center"/>
            </w:pPr>
            <w:r>
              <w:t>0,00</w:t>
            </w:r>
          </w:p>
        </w:tc>
        <w:tc>
          <w:tcPr>
            <w:tcW w:w="1701" w:type="dxa"/>
            <w:vAlign w:val="center"/>
          </w:tcPr>
          <w:p w14:paraId="6D20F318" w14:textId="77777777" w:rsidR="00454A29" w:rsidRDefault="00454A29">
            <w:pPr>
              <w:pStyle w:val="ConsPlusNormal"/>
              <w:jc w:val="center"/>
            </w:pPr>
            <w:r>
              <w:t>0,00</w:t>
            </w:r>
          </w:p>
        </w:tc>
        <w:tc>
          <w:tcPr>
            <w:tcW w:w="1701" w:type="dxa"/>
            <w:vAlign w:val="center"/>
          </w:tcPr>
          <w:p w14:paraId="241AD309" w14:textId="77777777" w:rsidR="00454A29" w:rsidRDefault="00454A29">
            <w:pPr>
              <w:pStyle w:val="ConsPlusNormal"/>
              <w:jc w:val="center"/>
            </w:pPr>
            <w:r>
              <w:t>0,00</w:t>
            </w:r>
          </w:p>
        </w:tc>
        <w:tc>
          <w:tcPr>
            <w:tcW w:w="1701" w:type="dxa"/>
            <w:vAlign w:val="center"/>
          </w:tcPr>
          <w:p w14:paraId="341EC8BA" w14:textId="77777777" w:rsidR="00454A29" w:rsidRDefault="00454A29">
            <w:pPr>
              <w:pStyle w:val="ConsPlusNormal"/>
              <w:jc w:val="center"/>
            </w:pPr>
            <w:r>
              <w:t>0,00</w:t>
            </w:r>
          </w:p>
        </w:tc>
        <w:tc>
          <w:tcPr>
            <w:tcW w:w="1701" w:type="dxa"/>
            <w:vAlign w:val="center"/>
          </w:tcPr>
          <w:p w14:paraId="1C0753DA" w14:textId="77777777" w:rsidR="00454A29" w:rsidRDefault="00454A29">
            <w:pPr>
              <w:pStyle w:val="ConsPlusNormal"/>
              <w:jc w:val="center"/>
            </w:pPr>
            <w:r>
              <w:t>0,00</w:t>
            </w:r>
          </w:p>
        </w:tc>
      </w:tr>
      <w:tr w:rsidR="00454A29" w14:paraId="4EBFE4ED" w14:textId="77777777">
        <w:tc>
          <w:tcPr>
            <w:tcW w:w="964" w:type="dxa"/>
            <w:vMerge/>
          </w:tcPr>
          <w:p w14:paraId="0D18AF1C" w14:textId="77777777" w:rsidR="00454A29" w:rsidRDefault="00454A29"/>
        </w:tc>
        <w:tc>
          <w:tcPr>
            <w:tcW w:w="2154" w:type="dxa"/>
            <w:vMerge/>
            <w:tcBorders>
              <w:top w:val="nil"/>
              <w:bottom w:val="nil"/>
            </w:tcBorders>
          </w:tcPr>
          <w:p w14:paraId="070275F4" w14:textId="77777777" w:rsidR="00454A29" w:rsidRDefault="00454A29"/>
        </w:tc>
        <w:tc>
          <w:tcPr>
            <w:tcW w:w="2154" w:type="dxa"/>
            <w:vMerge/>
            <w:tcBorders>
              <w:top w:val="nil"/>
              <w:bottom w:val="nil"/>
            </w:tcBorders>
          </w:tcPr>
          <w:p w14:paraId="0473CEA3" w14:textId="77777777" w:rsidR="00454A29" w:rsidRDefault="00454A29"/>
        </w:tc>
        <w:tc>
          <w:tcPr>
            <w:tcW w:w="2665" w:type="dxa"/>
            <w:vMerge/>
          </w:tcPr>
          <w:p w14:paraId="69CAF125" w14:textId="77777777" w:rsidR="00454A29" w:rsidRDefault="00454A29"/>
        </w:tc>
        <w:tc>
          <w:tcPr>
            <w:tcW w:w="2665" w:type="dxa"/>
            <w:vMerge/>
          </w:tcPr>
          <w:p w14:paraId="2991FF8B" w14:textId="77777777" w:rsidR="00454A29" w:rsidRDefault="00454A29"/>
        </w:tc>
        <w:tc>
          <w:tcPr>
            <w:tcW w:w="1928" w:type="dxa"/>
            <w:vMerge/>
          </w:tcPr>
          <w:p w14:paraId="61054EF0" w14:textId="77777777" w:rsidR="00454A29" w:rsidRDefault="00454A29"/>
        </w:tc>
        <w:tc>
          <w:tcPr>
            <w:tcW w:w="1644" w:type="dxa"/>
            <w:vMerge/>
          </w:tcPr>
          <w:p w14:paraId="23B2260E" w14:textId="77777777" w:rsidR="00454A29" w:rsidRDefault="00454A29"/>
        </w:tc>
        <w:tc>
          <w:tcPr>
            <w:tcW w:w="2041" w:type="dxa"/>
            <w:vMerge/>
          </w:tcPr>
          <w:p w14:paraId="046AAAE6" w14:textId="77777777" w:rsidR="00454A29" w:rsidRDefault="00454A29"/>
        </w:tc>
        <w:tc>
          <w:tcPr>
            <w:tcW w:w="2098" w:type="dxa"/>
            <w:vAlign w:val="center"/>
          </w:tcPr>
          <w:p w14:paraId="0B2AFBCB" w14:textId="77777777" w:rsidR="00454A29" w:rsidRDefault="00454A29">
            <w:pPr>
              <w:pStyle w:val="ConsPlusNormal"/>
              <w:jc w:val="center"/>
            </w:pPr>
            <w:r>
              <w:t>Федеральный бюджет</w:t>
            </w:r>
          </w:p>
        </w:tc>
        <w:tc>
          <w:tcPr>
            <w:tcW w:w="1814" w:type="dxa"/>
            <w:vAlign w:val="center"/>
          </w:tcPr>
          <w:p w14:paraId="0B0A641B" w14:textId="77777777" w:rsidR="00454A29" w:rsidRDefault="00454A29">
            <w:pPr>
              <w:pStyle w:val="ConsPlusNormal"/>
              <w:jc w:val="center"/>
            </w:pPr>
            <w:r>
              <w:t>0,00</w:t>
            </w:r>
          </w:p>
        </w:tc>
        <w:tc>
          <w:tcPr>
            <w:tcW w:w="1701" w:type="dxa"/>
            <w:vAlign w:val="center"/>
          </w:tcPr>
          <w:p w14:paraId="28AF0C9E" w14:textId="77777777" w:rsidR="00454A29" w:rsidRDefault="00454A29">
            <w:pPr>
              <w:pStyle w:val="ConsPlusNormal"/>
              <w:jc w:val="center"/>
            </w:pPr>
            <w:r>
              <w:t>0,00</w:t>
            </w:r>
          </w:p>
        </w:tc>
        <w:tc>
          <w:tcPr>
            <w:tcW w:w="1701" w:type="dxa"/>
            <w:vAlign w:val="center"/>
          </w:tcPr>
          <w:p w14:paraId="5E83D4B3" w14:textId="77777777" w:rsidR="00454A29" w:rsidRDefault="00454A29">
            <w:pPr>
              <w:pStyle w:val="ConsPlusNormal"/>
              <w:jc w:val="center"/>
            </w:pPr>
            <w:r>
              <w:t>0,00</w:t>
            </w:r>
          </w:p>
        </w:tc>
        <w:tc>
          <w:tcPr>
            <w:tcW w:w="1701" w:type="dxa"/>
            <w:vAlign w:val="center"/>
          </w:tcPr>
          <w:p w14:paraId="0283C5ED" w14:textId="77777777" w:rsidR="00454A29" w:rsidRDefault="00454A29">
            <w:pPr>
              <w:pStyle w:val="ConsPlusNormal"/>
              <w:jc w:val="center"/>
            </w:pPr>
            <w:r>
              <w:t>0,00</w:t>
            </w:r>
          </w:p>
        </w:tc>
        <w:tc>
          <w:tcPr>
            <w:tcW w:w="1701" w:type="dxa"/>
            <w:vAlign w:val="center"/>
          </w:tcPr>
          <w:p w14:paraId="144CC1FC" w14:textId="77777777" w:rsidR="00454A29" w:rsidRDefault="00454A29">
            <w:pPr>
              <w:pStyle w:val="ConsPlusNormal"/>
              <w:jc w:val="center"/>
            </w:pPr>
            <w:r>
              <w:t>0,00</w:t>
            </w:r>
          </w:p>
        </w:tc>
        <w:tc>
          <w:tcPr>
            <w:tcW w:w="1701" w:type="dxa"/>
            <w:vAlign w:val="center"/>
          </w:tcPr>
          <w:p w14:paraId="5FBA8C75" w14:textId="77777777" w:rsidR="00454A29" w:rsidRDefault="00454A29">
            <w:pPr>
              <w:pStyle w:val="ConsPlusNormal"/>
              <w:jc w:val="center"/>
            </w:pPr>
            <w:r>
              <w:t>0,00</w:t>
            </w:r>
          </w:p>
        </w:tc>
        <w:tc>
          <w:tcPr>
            <w:tcW w:w="1701" w:type="dxa"/>
            <w:vAlign w:val="center"/>
          </w:tcPr>
          <w:p w14:paraId="12AB3FEB" w14:textId="77777777" w:rsidR="00454A29" w:rsidRDefault="00454A29">
            <w:pPr>
              <w:pStyle w:val="ConsPlusNormal"/>
              <w:jc w:val="center"/>
            </w:pPr>
            <w:r>
              <w:t>0,00</w:t>
            </w:r>
          </w:p>
        </w:tc>
      </w:tr>
      <w:tr w:rsidR="00454A29" w14:paraId="5BAEB295" w14:textId="77777777">
        <w:tc>
          <w:tcPr>
            <w:tcW w:w="964" w:type="dxa"/>
            <w:vMerge/>
          </w:tcPr>
          <w:p w14:paraId="32BE27AC" w14:textId="77777777" w:rsidR="00454A29" w:rsidRDefault="00454A29"/>
        </w:tc>
        <w:tc>
          <w:tcPr>
            <w:tcW w:w="2154" w:type="dxa"/>
            <w:vMerge/>
            <w:tcBorders>
              <w:top w:val="nil"/>
              <w:bottom w:val="nil"/>
            </w:tcBorders>
          </w:tcPr>
          <w:p w14:paraId="4404C794" w14:textId="77777777" w:rsidR="00454A29" w:rsidRDefault="00454A29"/>
        </w:tc>
        <w:tc>
          <w:tcPr>
            <w:tcW w:w="2154" w:type="dxa"/>
            <w:vMerge/>
            <w:tcBorders>
              <w:top w:val="nil"/>
              <w:bottom w:val="nil"/>
            </w:tcBorders>
          </w:tcPr>
          <w:p w14:paraId="0669474B" w14:textId="77777777" w:rsidR="00454A29" w:rsidRDefault="00454A29"/>
        </w:tc>
        <w:tc>
          <w:tcPr>
            <w:tcW w:w="2665" w:type="dxa"/>
            <w:vMerge/>
          </w:tcPr>
          <w:p w14:paraId="0FE0C983" w14:textId="77777777" w:rsidR="00454A29" w:rsidRDefault="00454A29"/>
        </w:tc>
        <w:tc>
          <w:tcPr>
            <w:tcW w:w="2665" w:type="dxa"/>
            <w:vMerge/>
          </w:tcPr>
          <w:p w14:paraId="3D9F6215" w14:textId="77777777" w:rsidR="00454A29" w:rsidRDefault="00454A29"/>
        </w:tc>
        <w:tc>
          <w:tcPr>
            <w:tcW w:w="1928" w:type="dxa"/>
            <w:vMerge/>
          </w:tcPr>
          <w:p w14:paraId="2682A203" w14:textId="77777777" w:rsidR="00454A29" w:rsidRDefault="00454A29"/>
        </w:tc>
        <w:tc>
          <w:tcPr>
            <w:tcW w:w="1644" w:type="dxa"/>
            <w:vMerge/>
          </w:tcPr>
          <w:p w14:paraId="7C8E1385" w14:textId="77777777" w:rsidR="00454A29" w:rsidRDefault="00454A29"/>
        </w:tc>
        <w:tc>
          <w:tcPr>
            <w:tcW w:w="2041" w:type="dxa"/>
            <w:vMerge/>
          </w:tcPr>
          <w:p w14:paraId="718FCBA0" w14:textId="77777777" w:rsidR="00454A29" w:rsidRDefault="00454A29"/>
        </w:tc>
        <w:tc>
          <w:tcPr>
            <w:tcW w:w="2098" w:type="dxa"/>
            <w:vAlign w:val="center"/>
          </w:tcPr>
          <w:p w14:paraId="3483B223" w14:textId="77777777" w:rsidR="00454A29" w:rsidRDefault="00454A29">
            <w:pPr>
              <w:pStyle w:val="ConsPlusNormal"/>
              <w:jc w:val="center"/>
            </w:pPr>
            <w:r>
              <w:t>Местные бюджеты</w:t>
            </w:r>
          </w:p>
        </w:tc>
        <w:tc>
          <w:tcPr>
            <w:tcW w:w="1814" w:type="dxa"/>
            <w:vAlign w:val="center"/>
          </w:tcPr>
          <w:p w14:paraId="3B55A9AE" w14:textId="77777777" w:rsidR="00454A29" w:rsidRDefault="00454A29">
            <w:pPr>
              <w:pStyle w:val="ConsPlusNormal"/>
              <w:jc w:val="center"/>
            </w:pPr>
            <w:r>
              <w:t>0,00</w:t>
            </w:r>
          </w:p>
        </w:tc>
        <w:tc>
          <w:tcPr>
            <w:tcW w:w="1701" w:type="dxa"/>
            <w:vAlign w:val="center"/>
          </w:tcPr>
          <w:p w14:paraId="605B3E31" w14:textId="77777777" w:rsidR="00454A29" w:rsidRDefault="00454A29">
            <w:pPr>
              <w:pStyle w:val="ConsPlusNormal"/>
              <w:jc w:val="center"/>
            </w:pPr>
            <w:r>
              <w:t>0,00</w:t>
            </w:r>
          </w:p>
        </w:tc>
        <w:tc>
          <w:tcPr>
            <w:tcW w:w="1701" w:type="dxa"/>
            <w:vAlign w:val="center"/>
          </w:tcPr>
          <w:p w14:paraId="276DD0AB" w14:textId="77777777" w:rsidR="00454A29" w:rsidRDefault="00454A29">
            <w:pPr>
              <w:pStyle w:val="ConsPlusNormal"/>
              <w:jc w:val="center"/>
            </w:pPr>
            <w:r>
              <w:t>0,00</w:t>
            </w:r>
          </w:p>
        </w:tc>
        <w:tc>
          <w:tcPr>
            <w:tcW w:w="1701" w:type="dxa"/>
            <w:vAlign w:val="center"/>
          </w:tcPr>
          <w:p w14:paraId="3AEAF50E" w14:textId="77777777" w:rsidR="00454A29" w:rsidRDefault="00454A29">
            <w:pPr>
              <w:pStyle w:val="ConsPlusNormal"/>
              <w:jc w:val="center"/>
            </w:pPr>
            <w:r>
              <w:t>0,00</w:t>
            </w:r>
          </w:p>
        </w:tc>
        <w:tc>
          <w:tcPr>
            <w:tcW w:w="1701" w:type="dxa"/>
            <w:vAlign w:val="center"/>
          </w:tcPr>
          <w:p w14:paraId="62C7F81F" w14:textId="77777777" w:rsidR="00454A29" w:rsidRDefault="00454A29">
            <w:pPr>
              <w:pStyle w:val="ConsPlusNormal"/>
              <w:jc w:val="center"/>
            </w:pPr>
            <w:r>
              <w:t>0,00</w:t>
            </w:r>
          </w:p>
        </w:tc>
        <w:tc>
          <w:tcPr>
            <w:tcW w:w="1701" w:type="dxa"/>
            <w:vAlign w:val="center"/>
          </w:tcPr>
          <w:p w14:paraId="2C869587" w14:textId="77777777" w:rsidR="00454A29" w:rsidRDefault="00454A29">
            <w:pPr>
              <w:pStyle w:val="ConsPlusNormal"/>
              <w:jc w:val="center"/>
            </w:pPr>
            <w:r>
              <w:t>0,00</w:t>
            </w:r>
          </w:p>
        </w:tc>
        <w:tc>
          <w:tcPr>
            <w:tcW w:w="1701" w:type="dxa"/>
            <w:vAlign w:val="center"/>
          </w:tcPr>
          <w:p w14:paraId="422334D5" w14:textId="77777777" w:rsidR="00454A29" w:rsidRDefault="00454A29">
            <w:pPr>
              <w:pStyle w:val="ConsPlusNormal"/>
              <w:jc w:val="center"/>
            </w:pPr>
            <w:r>
              <w:t>0,00</w:t>
            </w:r>
          </w:p>
        </w:tc>
      </w:tr>
      <w:tr w:rsidR="00454A29" w14:paraId="5AA91543" w14:textId="77777777">
        <w:tc>
          <w:tcPr>
            <w:tcW w:w="964" w:type="dxa"/>
            <w:vMerge/>
          </w:tcPr>
          <w:p w14:paraId="5805EAD9" w14:textId="77777777" w:rsidR="00454A29" w:rsidRDefault="00454A29"/>
        </w:tc>
        <w:tc>
          <w:tcPr>
            <w:tcW w:w="2154" w:type="dxa"/>
            <w:vMerge/>
            <w:tcBorders>
              <w:top w:val="nil"/>
              <w:bottom w:val="nil"/>
            </w:tcBorders>
          </w:tcPr>
          <w:p w14:paraId="760F762C" w14:textId="77777777" w:rsidR="00454A29" w:rsidRDefault="00454A29"/>
        </w:tc>
        <w:tc>
          <w:tcPr>
            <w:tcW w:w="2154" w:type="dxa"/>
            <w:vMerge/>
            <w:tcBorders>
              <w:top w:val="nil"/>
              <w:bottom w:val="nil"/>
            </w:tcBorders>
          </w:tcPr>
          <w:p w14:paraId="4A35730A" w14:textId="77777777" w:rsidR="00454A29" w:rsidRDefault="00454A29"/>
        </w:tc>
        <w:tc>
          <w:tcPr>
            <w:tcW w:w="2665" w:type="dxa"/>
            <w:vMerge/>
          </w:tcPr>
          <w:p w14:paraId="7F8B269D" w14:textId="77777777" w:rsidR="00454A29" w:rsidRDefault="00454A29"/>
        </w:tc>
        <w:tc>
          <w:tcPr>
            <w:tcW w:w="2665" w:type="dxa"/>
            <w:vMerge/>
          </w:tcPr>
          <w:p w14:paraId="18554907" w14:textId="77777777" w:rsidR="00454A29" w:rsidRDefault="00454A29"/>
        </w:tc>
        <w:tc>
          <w:tcPr>
            <w:tcW w:w="1928" w:type="dxa"/>
            <w:vMerge/>
          </w:tcPr>
          <w:p w14:paraId="1ADF4BEA" w14:textId="77777777" w:rsidR="00454A29" w:rsidRDefault="00454A29"/>
        </w:tc>
        <w:tc>
          <w:tcPr>
            <w:tcW w:w="1644" w:type="dxa"/>
            <w:vMerge/>
          </w:tcPr>
          <w:p w14:paraId="03701698" w14:textId="77777777" w:rsidR="00454A29" w:rsidRDefault="00454A29"/>
        </w:tc>
        <w:tc>
          <w:tcPr>
            <w:tcW w:w="2041" w:type="dxa"/>
            <w:vMerge/>
          </w:tcPr>
          <w:p w14:paraId="7E1F7CBD" w14:textId="77777777" w:rsidR="00454A29" w:rsidRDefault="00454A29"/>
        </w:tc>
        <w:tc>
          <w:tcPr>
            <w:tcW w:w="2098" w:type="dxa"/>
            <w:vAlign w:val="center"/>
          </w:tcPr>
          <w:p w14:paraId="19014F5B" w14:textId="77777777" w:rsidR="00454A29" w:rsidRDefault="00454A29">
            <w:pPr>
              <w:pStyle w:val="ConsPlusNormal"/>
              <w:jc w:val="center"/>
            </w:pPr>
            <w:r>
              <w:t>Внебюджетные средства</w:t>
            </w:r>
          </w:p>
        </w:tc>
        <w:tc>
          <w:tcPr>
            <w:tcW w:w="1814" w:type="dxa"/>
            <w:vAlign w:val="center"/>
          </w:tcPr>
          <w:p w14:paraId="624E10BA" w14:textId="77777777" w:rsidR="00454A29" w:rsidRDefault="00454A29">
            <w:pPr>
              <w:pStyle w:val="ConsPlusNormal"/>
              <w:jc w:val="center"/>
            </w:pPr>
            <w:r>
              <w:t>0,00</w:t>
            </w:r>
          </w:p>
        </w:tc>
        <w:tc>
          <w:tcPr>
            <w:tcW w:w="1701" w:type="dxa"/>
            <w:vAlign w:val="center"/>
          </w:tcPr>
          <w:p w14:paraId="67E49206" w14:textId="77777777" w:rsidR="00454A29" w:rsidRDefault="00454A29">
            <w:pPr>
              <w:pStyle w:val="ConsPlusNormal"/>
              <w:jc w:val="center"/>
            </w:pPr>
            <w:r>
              <w:t>0,00</w:t>
            </w:r>
          </w:p>
        </w:tc>
        <w:tc>
          <w:tcPr>
            <w:tcW w:w="1701" w:type="dxa"/>
            <w:vAlign w:val="center"/>
          </w:tcPr>
          <w:p w14:paraId="46C2E3F2" w14:textId="77777777" w:rsidR="00454A29" w:rsidRDefault="00454A29">
            <w:pPr>
              <w:pStyle w:val="ConsPlusNormal"/>
              <w:jc w:val="center"/>
            </w:pPr>
            <w:r>
              <w:t>0,00</w:t>
            </w:r>
          </w:p>
        </w:tc>
        <w:tc>
          <w:tcPr>
            <w:tcW w:w="1701" w:type="dxa"/>
            <w:vAlign w:val="center"/>
          </w:tcPr>
          <w:p w14:paraId="3DAF86BE" w14:textId="77777777" w:rsidR="00454A29" w:rsidRDefault="00454A29">
            <w:pPr>
              <w:pStyle w:val="ConsPlusNormal"/>
              <w:jc w:val="center"/>
            </w:pPr>
            <w:r>
              <w:t>0,00</w:t>
            </w:r>
          </w:p>
        </w:tc>
        <w:tc>
          <w:tcPr>
            <w:tcW w:w="1701" w:type="dxa"/>
            <w:vAlign w:val="center"/>
          </w:tcPr>
          <w:p w14:paraId="11D0F9F9" w14:textId="77777777" w:rsidR="00454A29" w:rsidRDefault="00454A29">
            <w:pPr>
              <w:pStyle w:val="ConsPlusNormal"/>
              <w:jc w:val="center"/>
            </w:pPr>
            <w:r>
              <w:t>0,00</w:t>
            </w:r>
          </w:p>
        </w:tc>
        <w:tc>
          <w:tcPr>
            <w:tcW w:w="1701" w:type="dxa"/>
            <w:vAlign w:val="center"/>
          </w:tcPr>
          <w:p w14:paraId="19127BDC" w14:textId="77777777" w:rsidR="00454A29" w:rsidRDefault="00454A29">
            <w:pPr>
              <w:pStyle w:val="ConsPlusNormal"/>
              <w:jc w:val="center"/>
            </w:pPr>
            <w:r>
              <w:t>0,00</w:t>
            </w:r>
          </w:p>
        </w:tc>
        <w:tc>
          <w:tcPr>
            <w:tcW w:w="1701" w:type="dxa"/>
            <w:vAlign w:val="center"/>
          </w:tcPr>
          <w:p w14:paraId="75265573" w14:textId="77777777" w:rsidR="00454A29" w:rsidRDefault="00454A29">
            <w:pPr>
              <w:pStyle w:val="ConsPlusNormal"/>
              <w:jc w:val="center"/>
            </w:pPr>
            <w:r>
              <w:t>0,00</w:t>
            </w:r>
          </w:p>
        </w:tc>
      </w:tr>
      <w:tr w:rsidR="00454A29" w14:paraId="7FB55815" w14:textId="77777777">
        <w:tc>
          <w:tcPr>
            <w:tcW w:w="964" w:type="dxa"/>
            <w:vMerge w:val="restart"/>
            <w:vAlign w:val="center"/>
          </w:tcPr>
          <w:p w14:paraId="23A1882E" w14:textId="77777777" w:rsidR="00454A29" w:rsidRDefault="00454A29">
            <w:pPr>
              <w:pStyle w:val="ConsPlusNormal"/>
              <w:jc w:val="center"/>
            </w:pPr>
            <w:r>
              <w:t>2.6.</w:t>
            </w:r>
          </w:p>
        </w:tc>
        <w:tc>
          <w:tcPr>
            <w:tcW w:w="2154" w:type="dxa"/>
            <w:vMerge w:val="restart"/>
            <w:tcBorders>
              <w:top w:val="nil"/>
              <w:bottom w:val="nil"/>
            </w:tcBorders>
            <w:vAlign w:val="center"/>
          </w:tcPr>
          <w:p w14:paraId="06F20237" w14:textId="77777777" w:rsidR="00454A29" w:rsidRDefault="00454A29">
            <w:pPr>
              <w:pStyle w:val="ConsPlusNormal"/>
            </w:pPr>
          </w:p>
        </w:tc>
        <w:tc>
          <w:tcPr>
            <w:tcW w:w="2154" w:type="dxa"/>
            <w:vMerge w:val="restart"/>
            <w:tcBorders>
              <w:top w:val="nil"/>
              <w:bottom w:val="nil"/>
            </w:tcBorders>
            <w:vAlign w:val="center"/>
          </w:tcPr>
          <w:p w14:paraId="0D4B9F9F" w14:textId="77777777" w:rsidR="00454A29" w:rsidRDefault="00454A29">
            <w:pPr>
              <w:pStyle w:val="ConsPlusNormal"/>
            </w:pPr>
          </w:p>
        </w:tc>
        <w:tc>
          <w:tcPr>
            <w:tcW w:w="2665" w:type="dxa"/>
            <w:vMerge w:val="restart"/>
            <w:vAlign w:val="center"/>
          </w:tcPr>
          <w:p w14:paraId="29374D9C" w14:textId="77777777" w:rsidR="00454A29" w:rsidRDefault="00454A29">
            <w:pPr>
              <w:pStyle w:val="ConsPlusNormal"/>
              <w:jc w:val="center"/>
            </w:pPr>
            <w:r>
              <w:t xml:space="preserve">Результат 6. Созданы детские технопарки, в том числе за счет федеральной поддержки </w:t>
            </w:r>
            <w:r>
              <w:lastRenderedPageBreak/>
              <w:t>детские технопарки "Кванториум"</w:t>
            </w:r>
          </w:p>
        </w:tc>
        <w:tc>
          <w:tcPr>
            <w:tcW w:w="2665" w:type="dxa"/>
            <w:vMerge w:val="restart"/>
            <w:vAlign w:val="center"/>
          </w:tcPr>
          <w:p w14:paraId="49A93203" w14:textId="77777777" w:rsidR="00454A29" w:rsidRDefault="00454A29">
            <w:pPr>
              <w:pStyle w:val="ConsPlusNormal"/>
              <w:jc w:val="center"/>
            </w:pPr>
            <w:r>
              <w:lastRenderedPageBreak/>
              <w:t xml:space="preserve">Мероприятие 4.3.6. Создание детских технопарков, в том числе за счет федеральной </w:t>
            </w:r>
            <w:r>
              <w:lastRenderedPageBreak/>
              <w:t>поддержки детских технопарков "Кванториум" (приобретение средств обучения, в т.ч. Высокотехнологического оборудования)</w:t>
            </w:r>
          </w:p>
        </w:tc>
        <w:tc>
          <w:tcPr>
            <w:tcW w:w="1928" w:type="dxa"/>
            <w:vMerge w:val="restart"/>
            <w:vAlign w:val="center"/>
          </w:tcPr>
          <w:p w14:paraId="7AF07CD8" w14:textId="77777777" w:rsidR="00454A29" w:rsidRDefault="00454A29">
            <w:pPr>
              <w:pStyle w:val="ConsPlusNormal"/>
              <w:jc w:val="center"/>
            </w:pPr>
            <w:r>
              <w:lastRenderedPageBreak/>
              <w:t>-</w:t>
            </w:r>
          </w:p>
        </w:tc>
        <w:tc>
          <w:tcPr>
            <w:tcW w:w="1644" w:type="dxa"/>
            <w:vMerge w:val="restart"/>
            <w:vAlign w:val="center"/>
          </w:tcPr>
          <w:p w14:paraId="76F26FEA" w14:textId="77777777" w:rsidR="00454A29" w:rsidRDefault="00454A29">
            <w:pPr>
              <w:pStyle w:val="ConsPlusNormal"/>
              <w:jc w:val="center"/>
            </w:pPr>
            <w:r>
              <w:t>-</w:t>
            </w:r>
          </w:p>
        </w:tc>
        <w:tc>
          <w:tcPr>
            <w:tcW w:w="2041" w:type="dxa"/>
            <w:vMerge w:val="restart"/>
            <w:vAlign w:val="center"/>
          </w:tcPr>
          <w:p w14:paraId="4DBC512E" w14:textId="77777777" w:rsidR="00454A29" w:rsidRDefault="00454A29">
            <w:pPr>
              <w:pStyle w:val="ConsPlusNormal"/>
              <w:jc w:val="center"/>
            </w:pPr>
            <w:r>
              <w:t>-</w:t>
            </w:r>
          </w:p>
        </w:tc>
        <w:tc>
          <w:tcPr>
            <w:tcW w:w="2098" w:type="dxa"/>
            <w:vAlign w:val="center"/>
          </w:tcPr>
          <w:p w14:paraId="4C831E36" w14:textId="77777777" w:rsidR="00454A29" w:rsidRDefault="00454A29">
            <w:pPr>
              <w:pStyle w:val="ConsPlusNormal"/>
              <w:jc w:val="center"/>
            </w:pPr>
            <w:r>
              <w:t>Итого</w:t>
            </w:r>
          </w:p>
        </w:tc>
        <w:tc>
          <w:tcPr>
            <w:tcW w:w="1814" w:type="dxa"/>
            <w:vAlign w:val="center"/>
          </w:tcPr>
          <w:p w14:paraId="5D2AE8EA" w14:textId="77777777" w:rsidR="00454A29" w:rsidRDefault="00454A29">
            <w:pPr>
              <w:pStyle w:val="ConsPlusNormal"/>
              <w:jc w:val="center"/>
            </w:pPr>
            <w:r>
              <w:t>0,00</w:t>
            </w:r>
          </w:p>
        </w:tc>
        <w:tc>
          <w:tcPr>
            <w:tcW w:w="1701" w:type="dxa"/>
            <w:vAlign w:val="center"/>
          </w:tcPr>
          <w:p w14:paraId="5236370B" w14:textId="77777777" w:rsidR="00454A29" w:rsidRDefault="00454A29">
            <w:pPr>
              <w:pStyle w:val="ConsPlusNormal"/>
              <w:jc w:val="center"/>
            </w:pPr>
            <w:r>
              <w:t>0,00</w:t>
            </w:r>
          </w:p>
        </w:tc>
        <w:tc>
          <w:tcPr>
            <w:tcW w:w="1701" w:type="dxa"/>
            <w:vAlign w:val="center"/>
          </w:tcPr>
          <w:p w14:paraId="04EA7944" w14:textId="77777777" w:rsidR="00454A29" w:rsidRDefault="00454A29">
            <w:pPr>
              <w:pStyle w:val="ConsPlusNormal"/>
              <w:jc w:val="center"/>
            </w:pPr>
            <w:r>
              <w:t>0,00</w:t>
            </w:r>
          </w:p>
        </w:tc>
        <w:tc>
          <w:tcPr>
            <w:tcW w:w="1701" w:type="dxa"/>
            <w:vAlign w:val="center"/>
          </w:tcPr>
          <w:p w14:paraId="323AD822" w14:textId="77777777" w:rsidR="00454A29" w:rsidRDefault="00454A29">
            <w:pPr>
              <w:pStyle w:val="ConsPlusNormal"/>
              <w:jc w:val="center"/>
            </w:pPr>
            <w:r>
              <w:t>0,00</w:t>
            </w:r>
          </w:p>
        </w:tc>
        <w:tc>
          <w:tcPr>
            <w:tcW w:w="1701" w:type="dxa"/>
            <w:vAlign w:val="center"/>
          </w:tcPr>
          <w:p w14:paraId="16824D32" w14:textId="77777777" w:rsidR="00454A29" w:rsidRDefault="00454A29">
            <w:pPr>
              <w:pStyle w:val="ConsPlusNormal"/>
              <w:jc w:val="center"/>
            </w:pPr>
            <w:r>
              <w:t>0,00</w:t>
            </w:r>
          </w:p>
        </w:tc>
        <w:tc>
          <w:tcPr>
            <w:tcW w:w="1701" w:type="dxa"/>
            <w:vAlign w:val="center"/>
          </w:tcPr>
          <w:p w14:paraId="1FD83D86" w14:textId="77777777" w:rsidR="00454A29" w:rsidRDefault="00454A29">
            <w:pPr>
              <w:pStyle w:val="ConsPlusNormal"/>
              <w:jc w:val="center"/>
            </w:pPr>
            <w:r>
              <w:t>0,00</w:t>
            </w:r>
          </w:p>
        </w:tc>
        <w:tc>
          <w:tcPr>
            <w:tcW w:w="1701" w:type="dxa"/>
            <w:vAlign w:val="center"/>
          </w:tcPr>
          <w:p w14:paraId="45BD06A9" w14:textId="77777777" w:rsidR="00454A29" w:rsidRDefault="00454A29">
            <w:pPr>
              <w:pStyle w:val="ConsPlusNormal"/>
              <w:jc w:val="center"/>
            </w:pPr>
            <w:r>
              <w:t>0,00</w:t>
            </w:r>
          </w:p>
        </w:tc>
      </w:tr>
      <w:tr w:rsidR="00454A29" w14:paraId="57AFF94E" w14:textId="77777777">
        <w:tc>
          <w:tcPr>
            <w:tcW w:w="964" w:type="dxa"/>
            <w:vMerge/>
          </w:tcPr>
          <w:p w14:paraId="6B0123E6" w14:textId="77777777" w:rsidR="00454A29" w:rsidRDefault="00454A29"/>
        </w:tc>
        <w:tc>
          <w:tcPr>
            <w:tcW w:w="2154" w:type="dxa"/>
            <w:vMerge/>
            <w:tcBorders>
              <w:top w:val="nil"/>
              <w:bottom w:val="nil"/>
            </w:tcBorders>
          </w:tcPr>
          <w:p w14:paraId="25CB1B94" w14:textId="77777777" w:rsidR="00454A29" w:rsidRDefault="00454A29"/>
        </w:tc>
        <w:tc>
          <w:tcPr>
            <w:tcW w:w="2154" w:type="dxa"/>
            <w:vMerge/>
            <w:tcBorders>
              <w:top w:val="nil"/>
              <w:bottom w:val="nil"/>
            </w:tcBorders>
          </w:tcPr>
          <w:p w14:paraId="7BEDBB54" w14:textId="77777777" w:rsidR="00454A29" w:rsidRDefault="00454A29"/>
        </w:tc>
        <w:tc>
          <w:tcPr>
            <w:tcW w:w="2665" w:type="dxa"/>
            <w:vMerge/>
          </w:tcPr>
          <w:p w14:paraId="6A38790E" w14:textId="77777777" w:rsidR="00454A29" w:rsidRDefault="00454A29"/>
        </w:tc>
        <w:tc>
          <w:tcPr>
            <w:tcW w:w="2665" w:type="dxa"/>
            <w:vMerge/>
          </w:tcPr>
          <w:p w14:paraId="1388EB86" w14:textId="77777777" w:rsidR="00454A29" w:rsidRDefault="00454A29"/>
        </w:tc>
        <w:tc>
          <w:tcPr>
            <w:tcW w:w="1928" w:type="dxa"/>
            <w:vMerge/>
          </w:tcPr>
          <w:p w14:paraId="06C03A91" w14:textId="77777777" w:rsidR="00454A29" w:rsidRDefault="00454A29"/>
        </w:tc>
        <w:tc>
          <w:tcPr>
            <w:tcW w:w="1644" w:type="dxa"/>
            <w:vMerge/>
          </w:tcPr>
          <w:p w14:paraId="179379B6" w14:textId="77777777" w:rsidR="00454A29" w:rsidRDefault="00454A29"/>
        </w:tc>
        <w:tc>
          <w:tcPr>
            <w:tcW w:w="2041" w:type="dxa"/>
            <w:vMerge/>
          </w:tcPr>
          <w:p w14:paraId="0FB0F4F7" w14:textId="77777777" w:rsidR="00454A29" w:rsidRDefault="00454A29"/>
        </w:tc>
        <w:tc>
          <w:tcPr>
            <w:tcW w:w="2098" w:type="dxa"/>
            <w:vAlign w:val="center"/>
          </w:tcPr>
          <w:p w14:paraId="12B263E7"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0AF42EC" w14:textId="77777777" w:rsidR="00454A29" w:rsidRDefault="00454A29">
            <w:pPr>
              <w:pStyle w:val="ConsPlusNormal"/>
              <w:jc w:val="center"/>
            </w:pPr>
            <w:r>
              <w:t>0,00</w:t>
            </w:r>
          </w:p>
        </w:tc>
        <w:tc>
          <w:tcPr>
            <w:tcW w:w="1701" w:type="dxa"/>
            <w:vAlign w:val="center"/>
          </w:tcPr>
          <w:p w14:paraId="3EA745CE" w14:textId="77777777" w:rsidR="00454A29" w:rsidRDefault="00454A29">
            <w:pPr>
              <w:pStyle w:val="ConsPlusNormal"/>
              <w:jc w:val="center"/>
            </w:pPr>
            <w:r>
              <w:t>0,00</w:t>
            </w:r>
          </w:p>
        </w:tc>
        <w:tc>
          <w:tcPr>
            <w:tcW w:w="1701" w:type="dxa"/>
            <w:vAlign w:val="center"/>
          </w:tcPr>
          <w:p w14:paraId="322DC328" w14:textId="77777777" w:rsidR="00454A29" w:rsidRDefault="00454A29">
            <w:pPr>
              <w:pStyle w:val="ConsPlusNormal"/>
              <w:jc w:val="center"/>
            </w:pPr>
            <w:r>
              <w:t>0,00</w:t>
            </w:r>
          </w:p>
        </w:tc>
        <w:tc>
          <w:tcPr>
            <w:tcW w:w="1701" w:type="dxa"/>
            <w:vAlign w:val="center"/>
          </w:tcPr>
          <w:p w14:paraId="20A4AEC6" w14:textId="77777777" w:rsidR="00454A29" w:rsidRDefault="00454A29">
            <w:pPr>
              <w:pStyle w:val="ConsPlusNormal"/>
              <w:jc w:val="center"/>
            </w:pPr>
            <w:r>
              <w:t>0,00</w:t>
            </w:r>
          </w:p>
        </w:tc>
        <w:tc>
          <w:tcPr>
            <w:tcW w:w="1701" w:type="dxa"/>
            <w:vAlign w:val="center"/>
          </w:tcPr>
          <w:p w14:paraId="68D1A237" w14:textId="77777777" w:rsidR="00454A29" w:rsidRDefault="00454A29">
            <w:pPr>
              <w:pStyle w:val="ConsPlusNormal"/>
              <w:jc w:val="center"/>
            </w:pPr>
            <w:r>
              <w:t>0,00</w:t>
            </w:r>
          </w:p>
        </w:tc>
        <w:tc>
          <w:tcPr>
            <w:tcW w:w="1701" w:type="dxa"/>
            <w:vAlign w:val="center"/>
          </w:tcPr>
          <w:p w14:paraId="4D491256" w14:textId="77777777" w:rsidR="00454A29" w:rsidRDefault="00454A29">
            <w:pPr>
              <w:pStyle w:val="ConsPlusNormal"/>
              <w:jc w:val="center"/>
            </w:pPr>
            <w:r>
              <w:t>0,00</w:t>
            </w:r>
          </w:p>
        </w:tc>
        <w:tc>
          <w:tcPr>
            <w:tcW w:w="1701" w:type="dxa"/>
            <w:vAlign w:val="center"/>
          </w:tcPr>
          <w:p w14:paraId="07515ED6" w14:textId="77777777" w:rsidR="00454A29" w:rsidRDefault="00454A29">
            <w:pPr>
              <w:pStyle w:val="ConsPlusNormal"/>
              <w:jc w:val="center"/>
            </w:pPr>
            <w:r>
              <w:t>0,00</w:t>
            </w:r>
          </w:p>
        </w:tc>
      </w:tr>
      <w:tr w:rsidR="00454A29" w14:paraId="4779D2F6" w14:textId="77777777">
        <w:tc>
          <w:tcPr>
            <w:tcW w:w="964" w:type="dxa"/>
            <w:vMerge/>
          </w:tcPr>
          <w:p w14:paraId="14FBFCB5" w14:textId="77777777" w:rsidR="00454A29" w:rsidRDefault="00454A29"/>
        </w:tc>
        <w:tc>
          <w:tcPr>
            <w:tcW w:w="2154" w:type="dxa"/>
            <w:vMerge/>
            <w:tcBorders>
              <w:top w:val="nil"/>
              <w:bottom w:val="nil"/>
            </w:tcBorders>
          </w:tcPr>
          <w:p w14:paraId="221A574A" w14:textId="77777777" w:rsidR="00454A29" w:rsidRDefault="00454A29"/>
        </w:tc>
        <w:tc>
          <w:tcPr>
            <w:tcW w:w="2154" w:type="dxa"/>
            <w:vMerge/>
            <w:tcBorders>
              <w:top w:val="nil"/>
              <w:bottom w:val="nil"/>
            </w:tcBorders>
          </w:tcPr>
          <w:p w14:paraId="679379D0" w14:textId="77777777" w:rsidR="00454A29" w:rsidRDefault="00454A29"/>
        </w:tc>
        <w:tc>
          <w:tcPr>
            <w:tcW w:w="2665" w:type="dxa"/>
            <w:vMerge/>
          </w:tcPr>
          <w:p w14:paraId="1FB508CA" w14:textId="77777777" w:rsidR="00454A29" w:rsidRDefault="00454A29"/>
        </w:tc>
        <w:tc>
          <w:tcPr>
            <w:tcW w:w="2665" w:type="dxa"/>
            <w:vMerge/>
          </w:tcPr>
          <w:p w14:paraId="7F1EFA41" w14:textId="77777777" w:rsidR="00454A29" w:rsidRDefault="00454A29"/>
        </w:tc>
        <w:tc>
          <w:tcPr>
            <w:tcW w:w="1928" w:type="dxa"/>
            <w:vMerge/>
          </w:tcPr>
          <w:p w14:paraId="62739DC0" w14:textId="77777777" w:rsidR="00454A29" w:rsidRDefault="00454A29"/>
        </w:tc>
        <w:tc>
          <w:tcPr>
            <w:tcW w:w="1644" w:type="dxa"/>
            <w:vMerge/>
          </w:tcPr>
          <w:p w14:paraId="0877BE9F" w14:textId="77777777" w:rsidR="00454A29" w:rsidRDefault="00454A29"/>
        </w:tc>
        <w:tc>
          <w:tcPr>
            <w:tcW w:w="2041" w:type="dxa"/>
            <w:vMerge/>
          </w:tcPr>
          <w:p w14:paraId="74D89481" w14:textId="77777777" w:rsidR="00454A29" w:rsidRDefault="00454A29"/>
        </w:tc>
        <w:tc>
          <w:tcPr>
            <w:tcW w:w="2098" w:type="dxa"/>
            <w:vAlign w:val="center"/>
          </w:tcPr>
          <w:p w14:paraId="33C6024A" w14:textId="77777777" w:rsidR="00454A29" w:rsidRDefault="00454A29">
            <w:pPr>
              <w:pStyle w:val="ConsPlusNormal"/>
              <w:jc w:val="center"/>
            </w:pPr>
            <w:r>
              <w:t>Федеральный бюджет</w:t>
            </w:r>
          </w:p>
        </w:tc>
        <w:tc>
          <w:tcPr>
            <w:tcW w:w="1814" w:type="dxa"/>
            <w:vAlign w:val="center"/>
          </w:tcPr>
          <w:p w14:paraId="4E529A3D" w14:textId="77777777" w:rsidR="00454A29" w:rsidRDefault="00454A29">
            <w:pPr>
              <w:pStyle w:val="ConsPlusNormal"/>
              <w:jc w:val="center"/>
            </w:pPr>
            <w:r>
              <w:t>0,00</w:t>
            </w:r>
          </w:p>
        </w:tc>
        <w:tc>
          <w:tcPr>
            <w:tcW w:w="1701" w:type="dxa"/>
            <w:vAlign w:val="center"/>
          </w:tcPr>
          <w:p w14:paraId="51F3E954" w14:textId="77777777" w:rsidR="00454A29" w:rsidRDefault="00454A29">
            <w:pPr>
              <w:pStyle w:val="ConsPlusNormal"/>
              <w:jc w:val="center"/>
            </w:pPr>
            <w:r>
              <w:t>0,00</w:t>
            </w:r>
          </w:p>
        </w:tc>
        <w:tc>
          <w:tcPr>
            <w:tcW w:w="1701" w:type="dxa"/>
            <w:vAlign w:val="center"/>
          </w:tcPr>
          <w:p w14:paraId="154B2D2F" w14:textId="77777777" w:rsidR="00454A29" w:rsidRDefault="00454A29">
            <w:pPr>
              <w:pStyle w:val="ConsPlusNormal"/>
              <w:jc w:val="center"/>
            </w:pPr>
            <w:r>
              <w:t>0,00</w:t>
            </w:r>
          </w:p>
        </w:tc>
        <w:tc>
          <w:tcPr>
            <w:tcW w:w="1701" w:type="dxa"/>
            <w:vAlign w:val="center"/>
          </w:tcPr>
          <w:p w14:paraId="00112C9C" w14:textId="77777777" w:rsidR="00454A29" w:rsidRDefault="00454A29">
            <w:pPr>
              <w:pStyle w:val="ConsPlusNormal"/>
              <w:jc w:val="center"/>
            </w:pPr>
            <w:r>
              <w:t>0,00</w:t>
            </w:r>
          </w:p>
        </w:tc>
        <w:tc>
          <w:tcPr>
            <w:tcW w:w="1701" w:type="dxa"/>
            <w:vAlign w:val="center"/>
          </w:tcPr>
          <w:p w14:paraId="2DE9098E" w14:textId="77777777" w:rsidR="00454A29" w:rsidRDefault="00454A29">
            <w:pPr>
              <w:pStyle w:val="ConsPlusNormal"/>
              <w:jc w:val="center"/>
            </w:pPr>
            <w:r>
              <w:t>0,00</w:t>
            </w:r>
          </w:p>
        </w:tc>
        <w:tc>
          <w:tcPr>
            <w:tcW w:w="1701" w:type="dxa"/>
            <w:vAlign w:val="center"/>
          </w:tcPr>
          <w:p w14:paraId="60205EDB" w14:textId="77777777" w:rsidR="00454A29" w:rsidRDefault="00454A29">
            <w:pPr>
              <w:pStyle w:val="ConsPlusNormal"/>
              <w:jc w:val="center"/>
            </w:pPr>
            <w:r>
              <w:t>0,00</w:t>
            </w:r>
          </w:p>
        </w:tc>
        <w:tc>
          <w:tcPr>
            <w:tcW w:w="1701" w:type="dxa"/>
            <w:vAlign w:val="center"/>
          </w:tcPr>
          <w:p w14:paraId="54E3EFF8" w14:textId="77777777" w:rsidR="00454A29" w:rsidRDefault="00454A29">
            <w:pPr>
              <w:pStyle w:val="ConsPlusNormal"/>
              <w:jc w:val="center"/>
            </w:pPr>
            <w:r>
              <w:t>0,00</w:t>
            </w:r>
          </w:p>
        </w:tc>
      </w:tr>
      <w:tr w:rsidR="00454A29" w14:paraId="383F1B5A" w14:textId="77777777">
        <w:tc>
          <w:tcPr>
            <w:tcW w:w="964" w:type="dxa"/>
            <w:vMerge/>
          </w:tcPr>
          <w:p w14:paraId="279F075A" w14:textId="77777777" w:rsidR="00454A29" w:rsidRDefault="00454A29"/>
        </w:tc>
        <w:tc>
          <w:tcPr>
            <w:tcW w:w="2154" w:type="dxa"/>
            <w:vMerge/>
            <w:tcBorders>
              <w:top w:val="nil"/>
              <w:bottom w:val="nil"/>
            </w:tcBorders>
          </w:tcPr>
          <w:p w14:paraId="1AE9D553" w14:textId="77777777" w:rsidR="00454A29" w:rsidRDefault="00454A29"/>
        </w:tc>
        <w:tc>
          <w:tcPr>
            <w:tcW w:w="2154" w:type="dxa"/>
            <w:vMerge/>
            <w:tcBorders>
              <w:top w:val="nil"/>
              <w:bottom w:val="nil"/>
            </w:tcBorders>
          </w:tcPr>
          <w:p w14:paraId="17A98B86" w14:textId="77777777" w:rsidR="00454A29" w:rsidRDefault="00454A29"/>
        </w:tc>
        <w:tc>
          <w:tcPr>
            <w:tcW w:w="2665" w:type="dxa"/>
            <w:vMerge/>
          </w:tcPr>
          <w:p w14:paraId="5E5A5A43" w14:textId="77777777" w:rsidR="00454A29" w:rsidRDefault="00454A29"/>
        </w:tc>
        <w:tc>
          <w:tcPr>
            <w:tcW w:w="2665" w:type="dxa"/>
            <w:vMerge/>
          </w:tcPr>
          <w:p w14:paraId="4B459A3A" w14:textId="77777777" w:rsidR="00454A29" w:rsidRDefault="00454A29"/>
        </w:tc>
        <w:tc>
          <w:tcPr>
            <w:tcW w:w="1928" w:type="dxa"/>
            <w:vMerge/>
          </w:tcPr>
          <w:p w14:paraId="483A6D66" w14:textId="77777777" w:rsidR="00454A29" w:rsidRDefault="00454A29"/>
        </w:tc>
        <w:tc>
          <w:tcPr>
            <w:tcW w:w="1644" w:type="dxa"/>
            <w:vMerge/>
          </w:tcPr>
          <w:p w14:paraId="0483C317" w14:textId="77777777" w:rsidR="00454A29" w:rsidRDefault="00454A29"/>
        </w:tc>
        <w:tc>
          <w:tcPr>
            <w:tcW w:w="2041" w:type="dxa"/>
            <w:vMerge/>
          </w:tcPr>
          <w:p w14:paraId="4DE00573" w14:textId="77777777" w:rsidR="00454A29" w:rsidRDefault="00454A29"/>
        </w:tc>
        <w:tc>
          <w:tcPr>
            <w:tcW w:w="2098" w:type="dxa"/>
            <w:vAlign w:val="center"/>
          </w:tcPr>
          <w:p w14:paraId="263DDA2E" w14:textId="77777777" w:rsidR="00454A29" w:rsidRDefault="00454A29">
            <w:pPr>
              <w:pStyle w:val="ConsPlusNormal"/>
              <w:jc w:val="center"/>
            </w:pPr>
            <w:r>
              <w:t>Местные бюджеты</w:t>
            </w:r>
          </w:p>
        </w:tc>
        <w:tc>
          <w:tcPr>
            <w:tcW w:w="1814" w:type="dxa"/>
            <w:vAlign w:val="center"/>
          </w:tcPr>
          <w:p w14:paraId="2DE7E28A" w14:textId="77777777" w:rsidR="00454A29" w:rsidRDefault="00454A29">
            <w:pPr>
              <w:pStyle w:val="ConsPlusNormal"/>
              <w:jc w:val="center"/>
            </w:pPr>
            <w:r>
              <w:t>0,00</w:t>
            </w:r>
          </w:p>
        </w:tc>
        <w:tc>
          <w:tcPr>
            <w:tcW w:w="1701" w:type="dxa"/>
            <w:vAlign w:val="center"/>
          </w:tcPr>
          <w:p w14:paraId="33EA9B14" w14:textId="77777777" w:rsidR="00454A29" w:rsidRDefault="00454A29">
            <w:pPr>
              <w:pStyle w:val="ConsPlusNormal"/>
              <w:jc w:val="center"/>
            </w:pPr>
            <w:r>
              <w:t>0,00</w:t>
            </w:r>
          </w:p>
        </w:tc>
        <w:tc>
          <w:tcPr>
            <w:tcW w:w="1701" w:type="dxa"/>
            <w:vAlign w:val="center"/>
          </w:tcPr>
          <w:p w14:paraId="4A4C2B07" w14:textId="77777777" w:rsidR="00454A29" w:rsidRDefault="00454A29">
            <w:pPr>
              <w:pStyle w:val="ConsPlusNormal"/>
              <w:jc w:val="center"/>
            </w:pPr>
            <w:r>
              <w:t>0,00</w:t>
            </w:r>
          </w:p>
        </w:tc>
        <w:tc>
          <w:tcPr>
            <w:tcW w:w="1701" w:type="dxa"/>
            <w:vAlign w:val="center"/>
          </w:tcPr>
          <w:p w14:paraId="671B806F" w14:textId="77777777" w:rsidR="00454A29" w:rsidRDefault="00454A29">
            <w:pPr>
              <w:pStyle w:val="ConsPlusNormal"/>
              <w:jc w:val="center"/>
            </w:pPr>
            <w:r>
              <w:t>0,00</w:t>
            </w:r>
          </w:p>
        </w:tc>
        <w:tc>
          <w:tcPr>
            <w:tcW w:w="1701" w:type="dxa"/>
            <w:vAlign w:val="center"/>
          </w:tcPr>
          <w:p w14:paraId="251B1AD0" w14:textId="77777777" w:rsidR="00454A29" w:rsidRDefault="00454A29">
            <w:pPr>
              <w:pStyle w:val="ConsPlusNormal"/>
              <w:jc w:val="center"/>
            </w:pPr>
            <w:r>
              <w:t>0,00</w:t>
            </w:r>
          </w:p>
        </w:tc>
        <w:tc>
          <w:tcPr>
            <w:tcW w:w="1701" w:type="dxa"/>
            <w:vAlign w:val="center"/>
          </w:tcPr>
          <w:p w14:paraId="1BE0540A" w14:textId="77777777" w:rsidR="00454A29" w:rsidRDefault="00454A29">
            <w:pPr>
              <w:pStyle w:val="ConsPlusNormal"/>
              <w:jc w:val="center"/>
            </w:pPr>
            <w:r>
              <w:t>0,00</w:t>
            </w:r>
          </w:p>
        </w:tc>
        <w:tc>
          <w:tcPr>
            <w:tcW w:w="1701" w:type="dxa"/>
            <w:vAlign w:val="center"/>
          </w:tcPr>
          <w:p w14:paraId="0804B923" w14:textId="77777777" w:rsidR="00454A29" w:rsidRDefault="00454A29">
            <w:pPr>
              <w:pStyle w:val="ConsPlusNormal"/>
              <w:jc w:val="center"/>
            </w:pPr>
            <w:r>
              <w:t>0,00</w:t>
            </w:r>
          </w:p>
        </w:tc>
      </w:tr>
      <w:tr w:rsidR="00454A29" w14:paraId="31AA9473" w14:textId="77777777">
        <w:tc>
          <w:tcPr>
            <w:tcW w:w="964" w:type="dxa"/>
            <w:vMerge/>
          </w:tcPr>
          <w:p w14:paraId="680928E7" w14:textId="77777777" w:rsidR="00454A29" w:rsidRDefault="00454A29"/>
        </w:tc>
        <w:tc>
          <w:tcPr>
            <w:tcW w:w="2154" w:type="dxa"/>
            <w:vMerge/>
            <w:tcBorders>
              <w:top w:val="nil"/>
              <w:bottom w:val="nil"/>
            </w:tcBorders>
          </w:tcPr>
          <w:p w14:paraId="4273249F" w14:textId="77777777" w:rsidR="00454A29" w:rsidRDefault="00454A29"/>
        </w:tc>
        <w:tc>
          <w:tcPr>
            <w:tcW w:w="2154" w:type="dxa"/>
            <w:vMerge/>
            <w:tcBorders>
              <w:top w:val="nil"/>
              <w:bottom w:val="nil"/>
            </w:tcBorders>
          </w:tcPr>
          <w:p w14:paraId="5650C785" w14:textId="77777777" w:rsidR="00454A29" w:rsidRDefault="00454A29"/>
        </w:tc>
        <w:tc>
          <w:tcPr>
            <w:tcW w:w="2665" w:type="dxa"/>
            <w:vMerge/>
          </w:tcPr>
          <w:p w14:paraId="74031866" w14:textId="77777777" w:rsidR="00454A29" w:rsidRDefault="00454A29"/>
        </w:tc>
        <w:tc>
          <w:tcPr>
            <w:tcW w:w="2665" w:type="dxa"/>
            <w:vMerge/>
          </w:tcPr>
          <w:p w14:paraId="35CBEE27" w14:textId="77777777" w:rsidR="00454A29" w:rsidRDefault="00454A29"/>
        </w:tc>
        <w:tc>
          <w:tcPr>
            <w:tcW w:w="1928" w:type="dxa"/>
            <w:vMerge/>
          </w:tcPr>
          <w:p w14:paraId="6B7C13A0" w14:textId="77777777" w:rsidR="00454A29" w:rsidRDefault="00454A29"/>
        </w:tc>
        <w:tc>
          <w:tcPr>
            <w:tcW w:w="1644" w:type="dxa"/>
            <w:vMerge/>
          </w:tcPr>
          <w:p w14:paraId="1209C994" w14:textId="77777777" w:rsidR="00454A29" w:rsidRDefault="00454A29"/>
        </w:tc>
        <w:tc>
          <w:tcPr>
            <w:tcW w:w="2041" w:type="dxa"/>
            <w:vMerge/>
          </w:tcPr>
          <w:p w14:paraId="1C86EE56" w14:textId="77777777" w:rsidR="00454A29" w:rsidRDefault="00454A29"/>
        </w:tc>
        <w:tc>
          <w:tcPr>
            <w:tcW w:w="2098" w:type="dxa"/>
            <w:vAlign w:val="center"/>
          </w:tcPr>
          <w:p w14:paraId="7F721C39" w14:textId="77777777" w:rsidR="00454A29" w:rsidRDefault="00454A29">
            <w:pPr>
              <w:pStyle w:val="ConsPlusNormal"/>
              <w:jc w:val="center"/>
            </w:pPr>
            <w:r>
              <w:t>Внебюджетные средства</w:t>
            </w:r>
          </w:p>
        </w:tc>
        <w:tc>
          <w:tcPr>
            <w:tcW w:w="1814" w:type="dxa"/>
            <w:vAlign w:val="center"/>
          </w:tcPr>
          <w:p w14:paraId="57B1C5BE" w14:textId="77777777" w:rsidR="00454A29" w:rsidRDefault="00454A29">
            <w:pPr>
              <w:pStyle w:val="ConsPlusNormal"/>
              <w:jc w:val="center"/>
            </w:pPr>
            <w:r>
              <w:t>0,00</w:t>
            </w:r>
          </w:p>
        </w:tc>
        <w:tc>
          <w:tcPr>
            <w:tcW w:w="1701" w:type="dxa"/>
            <w:vAlign w:val="center"/>
          </w:tcPr>
          <w:p w14:paraId="59FC00C9" w14:textId="77777777" w:rsidR="00454A29" w:rsidRDefault="00454A29">
            <w:pPr>
              <w:pStyle w:val="ConsPlusNormal"/>
              <w:jc w:val="center"/>
            </w:pPr>
            <w:r>
              <w:t>0,00</w:t>
            </w:r>
          </w:p>
        </w:tc>
        <w:tc>
          <w:tcPr>
            <w:tcW w:w="1701" w:type="dxa"/>
            <w:vAlign w:val="center"/>
          </w:tcPr>
          <w:p w14:paraId="33B6F50A" w14:textId="77777777" w:rsidR="00454A29" w:rsidRDefault="00454A29">
            <w:pPr>
              <w:pStyle w:val="ConsPlusNormal"/>
              <w:jc w:val="center"/>
            </w:pPr>
            <w:r>
              <w:t>0,00</w:t>
            </w:r>
          </w:p>
        </w:tc>
        <w:tc>
          <w:tcPr>
            <w:tcW w:w="1701" w:type="dxa"/>
            <w:vAlign w:val="center"/>
          </w:tcPr>
          <w:p w14:paraId="0CE34831" w14:textId="77777777" w:rsidR="00454A29" w:rsidRDefault="00454A29">
            <w:pPr>
              <w:pStyle w:val="ConsPlusNormal"/>
              <w:jc w:val="center"/>
            </w:pPr>
            <w:r>
              <w:t>0,00</w:t>
            </w:r>
          </w:p>
        </w:tc>
        <w:tc>
          <w:tcPr>
            <w:tcW w:w="1701" w:type="dxa"/>
            <w:vAlign w:val="center"/>
          </w:tcPr>
          <w:p w14:paraId="06554530" w14:textId="77777777" w:rsidR="00454A29" w:rsidRDefault="00454A29">
            <w:pPr>
              <w:pStyle w:val="ConsPlusNormal"/>
              <w:jc w:val="center"/>
            </w:pPr>
            <w:r>
              <w:t>0,00</w:t>
            </w:r>
          </w:p>
        </w:tc>
        <w:tc>
          <w:tcPr>
            <w:tcW w:w="1701" w:type="dxa"/>
            <w:vAlign w:val="center"/>
          </w:tcPr>
          <w:p w14:paraId="104BFD8F" w14:textId="77777777" w:rsidR="00454A29" w:rsidRDefault="00454A29">
            <w:pPr>
              <w:pStyle w:val="ConsPlusNormal"/>
              <w:jc w:val="center"/>
            </w:pPr>
            <w:r>
              <w:t>0,00</w:t>
            </w:r>
          </w:p>
        </w:tc>
        <w:tc>
          <w:tcPr>
            <w:tcW w:w="1701" w:type="dxa"/>
            <w:vAlign w:val="center"/>
          </w:tcPr>
          <w:p w14:paraId="4E4B167D" w14:textId="77777777" w:rsidR="00454A29" w:rsidRDefault="00454A29">
            <w:pPr>
              <w:pStyle w:val="ConsPlusNormal"/>
              <w:jc w:val="center"/>
            </w:pPr>
            <w:r>
              <w:t>0,00</w:t>
            </w:r>
          </w:p>
        </w:tc>
      </w:tr>
      <w:tr w:rsidR="00454A29" w14:paraId="50B1B6D3" w14:textId="77777777">
        <w:tc>
          <w:tcPr>
            <w:tcW w:w="964" w:type="dxa"/>
            <w:vMerge w:val="restart"/>
            <w:vAlign w:val="center"/>
          </w:tcPr>
          <w:p w14:paraId="780DCDD9" w14:textId="77777777" w:rsidR="00454A29" w:rsidRDefault="00454A29">
            <w:pPr>
              <w:pStyle w:val="ConsPlusNormal"/>
              <w:jc w:val="center"/>
            </w:pPr>
            <w:r>
              <w:t>2.7.</w:t>
            </w:r>
          </w:p>
        </w:tc>
        <w:tc>
          <w:tcPr>
            <w:tcW w:w="2154" w:type="dxa"/>
            <w:vMerge w:val="restart"/>
            <w:tcBorders>
              <w:top w:val="nil"/>
              <w:bottom w:val="nil"/>
            </w:tcBorders>
            <w:vAlign w:val="center"/>
          </w:tcPr>
          <w:p w14:paraId="449F0860" w14:textId="77777777" w:rsidR="00454A29" w:rsidRDefault="00454A29">
            <w:pPr>
              <w:pStyle w:val="ConsPlusNormal"/>
            </w:pPr>
          </w:p>
        </w:tc>
        <w:tc>
          <w:tcPr>
            <w:tcW w:w="2154" w:type="dxa"/>
            <w:vMerge w:val="restart"/>
            <w:tcBorders>
              <w:top w:val="nil"/>
              <w:bottom w:val="nil"/>
            </w:tcBorders>
            <w:vAlign w:val="center"/>
          </w:tcPr>
          <w:p w14:paraId="24111F2C" w14:textId="77777777" w:rsidR="00454A29" w:rsidRDefault="00454A29">
            <w:pPr>
              <w:pStyle w:val="ConsPlusNormal"/>
            </w:pPr>
          </w:p>
        </w:tc>
        <w:tc>
          <w:tcPr>
            <w:tcW w:w="2665" w:type="dxa"/>
            <w:vMerge w:val="restart"/>
            <w:vAlign w:val="center"/>
          </w:tcPr>
          <w:p w14:paraId="3FE59BB9" w14:textId="77777777" w:rsidR="00454A29" w:rsidRDefault="00454A29">
            <w:pPr>
              <w:pStyle w:val="ConsPlusNormal"/>
              <w:jc w:val="center"/>
            </w:pPr>
            <w:r>
              <w:t>Результат 7. Созданы детские мобильные технопарки "Кванториум" (для детей, проживающих в сельской местности и малых городах)</w:t>
            </w:r>
          </w:p>
        </w:tc>
        <w:tc>
          <w:tcPr>
            <w:tcW w:w="2665" w:type="dxa"/>
            <w:vMerge w:val="restart"/>
            <w:vAlign w:val="center"/>
          </w:tcPr>
          <w:p w14:paraId="6693DFA5" w14:textId="77777777" w:rsidR="00454A29" w:rsidRDefault="00454A29">
            <w:pPr>
              <w:pStyle w:val="ConsPlusNormal"/>
              <w:jc w:val="center"/>
            </w:pPr>
            <w:r>
              <w:t>Мероприятие 4.3.7. Создание мобильных технопарков "Кванториум" (приобретение средств обучения и перевозной автомобильной станции)</w:t>
            </w:r>
          </w:p>
        </w:tc>
        <w:tc>
          <w:tcPr>
            <w:tcW w:w="1928" w:type="dxa"/>
            <w:vMerge w:val="restart"/>
            <w:vAlign w:val="center"/>
          </w:tcPr>
          <w:p w14:paraId="51F7BC2B" w14:textId="77777777" w:rsidR="00454A29" w:rsidRDefault="00454A29">
            <w:pPr>
              <w:pStyle w:val="ConsPlusNormal"/>
              <w:jc w:val="center"/>
            </w:pPr>
            <w:r>
              <w:t>-</w:t>
            </w:r>
          </w:p>
        </w:tc>
        <w:tc>
          <w:tcPr>
            <w:tcW w:w="1644" w:type="dxa"/>
            <w:vMerge w:val="restart"/>
            <w:vAlign w:val="center"/>
          </w:tcPr>
          <w:p w14:paraId="27FAA7CC" w14:textId="77777777" w:rsidR="00454A29" w:rsidRDefault="00454A29">
            <w:pPr>
              <w:pStyle w:val="ConsPlusNormal"/>
              <w:jc w:val="center"/>
            </w:pPr>
            <w:r>
              <w:t>-</w:t>
            </w:r>
          </w:p>
        </w:tc>
        <w:tc>
          <w:tcPr>
            <w:tcW w:w="2041" w:type="dxa"/>
            <w:vMerge w:val="restart"/>
            <w:vAlign w:val="center"/>
          </w:tcPr>
          <w:p w14:paraId="5603FF58" w14:textId="77777777" w:rsidR="00454A29" w:rsidRDefault="00454A29">
            <w:pPr>
              <w:pStyle w:val="ConsPlusNormal"/>
              <w:jc w:val="center"/>
            </w:pPr>
            <w:r>
              <w:t>-</w:t>
            </w:r>
          </w:p>
        </w:tc>
        <w:tc>
          <w:tcPr>
            <w:tcW w:w="2098" w:type="dxa"/>
            <w:vAlign w:val="center"/>
          </w:tcPr>
          <w:p w14:paraId="7267C2AF" w14:textId="77777777" w:rsidR="00454A29" w:rsidRDefault="00454A29">
            <w:pPr>
              <w:pStyle w:val="ConsPlusNormal"/>
              <w:jc w:val="center"/>
            </w:pPr>
            <w:r>
              <w:t>Итого</w:t>
            </w:r>
          </w:p>
        </w:tc>
        <w:tc>
          <w:tcPr>
            <w:tcW w:w="1814" w:type="dxa"/>
            <w:vAlign w:val="center"/>
          </w:tcPr>
          <w:p w14:paraId="11A4AD1C" w14:textId="77777777" w:rsidR="00454A29" w:rsidRDefault="00454A29">
            <w:pPr>
              <w:pStyle w:val="ConsPlusNormal"/>
              <w:jc w:val="center"/>
            </w:pPr>
            <w:r>
              <w:t>3 149,34</w:t>
            </w:r>
          </w:p>
        </w:tc>
        <w:tc>
          <w:tcPr>
            <w:tcW w:w="1701" w:type="dxa"/>
            <w:vAlign w:val="center"/>
          </w:tcPr>
          <w:p w14:paraId="7591D69F" w14:textId="77777777" w:rsidR="00454A29" w:rsidRDefault="00454A29">
            <w:pPr>
              <w:pStyle w:val="ConsPlusNormal"/>
              <w:jc w:val="center"/>
            </w:pPr>
            <w:r>
              <w:t>0,00</w:t>
            </w:r>
          </w:p>
        </w:tc>
        <w:tc>
          <w:tcPr>
            <w:tcW w:w="1701" w:type="dxa"/>
            <w:vAlign w:val="center"/>
          </w:tcPr>
          <w:p w14:paraId="76E38E97" w14:textId="77777777" w:rsidR="00454A29" w:rsidRDefault="00454A29">
            <w:pPr>
              <w:pStyle w:val="ConsPlusNormal"/>
              <w:jc w:val="center"/>
            </w:pPr>
            <w:r>
              <w:t>0,00</w:t>
            </w:r>
          </w:p>
        </w:tc>
        <w:tc>
          <w:tcPr>
            <w:tcW w:w="1701" w:type="dxa"/>
            <w:vAlign w:val="center"/>
          </w:tcPr>
          <w:p w14:paraId="12E22860" w14:textId="77777777" w:rsidR="00454A29" w:rsidRDefault="00454A29">
            <w:pPr>
              <w:pStyle w:val="ConsPlusNormal"/>
              <w:jc w:val="center"/>
            </w:pPr>
            <w:r>
              <w:t>0,00</w:t>
            </w:r>
          </w:p>
        </w:tc>
        <w:tc>
          <w:tcPr>
            <w:tcW w:w="1701" w:type="dxa"/>
            <w:vAlign w:val="center"/>
          </w:tcPr>
          <w:p w14:paraId="0933A58C" w14:textId="77777777" w:rsidR="00454A29" w:rsidRDefault="00454A29">
            <w:pPr>
              <w:pStyle w:val="ConsPlusNormal"/>
              <w:jc w:val="center"/>
            </w:pPr>
            <w:r>
              <w:t>0,00</w:t>
            </w:r>
          </w:p>
        </w:tc>
        <w:tc>
          <w:tcPr>
            <w:tcW w:w="1701" w:type="dxa"/>
            <w:vAlign w:val="center"/>
          </w:tcPr>
          <w:p w14:paraId="1D62A7F4" w14:textId="77777777" w:rsidR="00454A29" w:rsidRDefault="00454A29">
            <w:pPr>
              <w:pStyle w:val="ConsPlusNormal"/>
              <w:jc w:val="center"/>
            </w:pPr>
            <w:r>
              <w:t>0,00</w:t>
            </w:r>
          </w:p>
        </w:tc>
        <w:tc>
          <w:tcPr>
            <w:tcW w:w="1701" w:type="dxa"/>
            <w:vAlign w:val="center"/>
          </w:tcPr>
          <w:p w14:paraId="6CD2090A" w14:textId="77777777" w:rsidR="00454A29" w:rsidRDefault="00454A29">
            <w:pPr>
              <w:pStyle w:val="ConsPlusNormal"/>
              <w:jc w:val="center"/>
            </w:pPr>
            <w:r>
              <w:t>0,00</w:t>
            </w:r>
          </w:p>
        </w:tc>
      </w:tr>
      <w:tr w:rsidR="00454A29" w14:paraId="6F9867DE" w14:textId="77777777">
        <w:tc>
          <w:tcPr>
            <w:tcW w:w="964" w:type="dxa"/>
            <w:vMerge/>
          </w:tcPr>
          <w:p w14:paraId="4CBF8F99" w14:textId="77777777" w:rsidR="00454A29" w:rsidRDefault="00454A29"/>
        </w:tc>
        <w:tc>
          <w:tcPr>
            <w:tcW w:w="2154" w:type="dxa"/>
            <w:vMerge/>
            <w:tcBorders>
              <w:top w:val="nil"/>
              <w:bottom w:val="nil"/>
            </w:tcBorders>
          </w:tcPr>
          <w:p w14:paraId="6BF4BD57" w14:textId="77777777" w:rsidR="00454A29" w:rsidRDefault="00454A29"/>
        </w:tc>
        <w:tc>
          <w:tcPr>
            <w:tcW w:w="2154" w:type="dxa"/>
            <w:vMerge/>
            <w:tcBorders>
              <w:top w:val="nil"/>
              <w:bottom w:val="nil"/>
            </w:tcBorders>
          </w:tcPr>
          <w:p w14:paraId="2710ADDD" w14:textId="77777777" w:rsidR="00454A29" w:rsidRDefault="00454A29"/>
        </w:tc>
        <w:tc>
          <w:tcPr>
            <w:tcW w:w="2665" w:type="dxa"/>
            <w:vMerge/>
          </w:tcPr>
          <w:p w14:paraId="45EAC97B" w14:textId="77777777" w:rsidR="00454A29" w:rsidRDefault="00454A29"/>
        </w:tc>
        <w:tc>
          <w:tcPr>
            <w:tcW w:w="2665" w:type="dxa"/>
            <w:vMerge/>
          </w:tcPr>
          <w:p w14:paraId="5B40577D" w14:textId="77777777" w:rsidR="00454A29" w:rsidRDefault="00454A29"/>
        </w:tc>
        <w:tc>
          <w:tcPr>
            <w:tcW w:w="1928" w:type="dxa"/>
            <w:vMerge/>
          </w:tcPr>
          <w:p w14:paraId="4E692E27" w14:textId="77777777" w:rsidR="00454A29" w:rsidRDefault="00454A29"/>
        </w:tc>
        <w:tc>
          <w:tcPr>
            <w:tcW w:w="1644" w:type="dxa"/>
            <w:vMerge/>
          </w:tcPr>
          <w:p w14:paraId="341C5C8B" w14:textId="77777777" w:rsidR="00454A29" w:rsidRDefault="00454A29"/>
        </w:tc>
        <w:tc>
          <w:tcPr>
            <w:tcW w:w="2041" w:type="dxa"/>
            <w:vMerge/>
          </w:tcPr>
          <w:p w14:paraId="3F171A30" w14:textId="77777777" w:rsidR="00454A29" w:rsidRDefault="00454A29"/>
        </w:tc>
        <w:tc>
          <w:tcPr>
            <w:tcW w:w="2098" w:type="dxa"/>
            <w:vAlign w:val="center"/>
          </w:tcPr>
          <w:p w14:paraId="7454672B"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506E49D" w14:textId="77777777" w:rsidR="00454A29" w:rsidRDefault="00454A29">
            <w:pPr>
              <w:pStyle w:val="ConsPlusNormal"/>
              <w:jc w:val="center"/>
            </w:pPr>
            <w:r>
              <w:t>3 149,34</w:t>
            </w:r>
          </w:p>
        </w:tc>
        <w:tc>
          <w:tcPr>
            <w:tcW w:w="1701" w:type="dxa"/>
            <w:vAlign w:val="center"/>
          </w:tcPr>
          <w:p w14:paraId="547D4EF3" w14:textId="77777777" w:rsidR="00454A29" w:rsidRDefault="00454A29">
            <w:pPr>
              <w:pStyle w:val="ConsPlusNormal"/>
              <w:jc w:val="center"/>
            </w:pPr>
            <w:r>
              <w:t>0,00</w:t>
            </w:r>
          </w:p>
        </w:tc>
        <w:tc>
          <w:tcPr>
            <w:tcW w:w="1701" w:type="dxa"/>
            <w:vAlign w:val="center"/>
          </w:tcPr>
          <w:p w14:paraId="664A9A0A" w14:textId="77777777" w:rsidR="00454A29" w:rsidRDefault="00454A29">
            <w:pPr>
              <w:pStyle w:val="ConsPlusNormal"/>
              <w:jc w:val="center"/>
            </w:pPr>
            <w:r>
              <w:t>0,00</w:t>
            </w:r>
          </w:p>
        </w:tc>
        <w:tc>
          <w:tcPr>
            <w:tcW w:w="1701" w:type="dxa"/>
            <w:vAlign w:val="center"/>
          </w:tcPr>
          <w:p w14:paraId="570462B3" w14:textId="77777777" w:rsidR="00454A29" w:rsidRDefault="00454A29">
            <w:pPr>
              <w:pStyle w:val="ConsPlusNormal"/>
              <w:jc w:val="center"/>
            </w:pPr>
            <w:r>
              <w:t>0,00</w:t>
            </w:r>
          </w:p>
        </w:tc>
        <w:tc>
          <w:tcPr>
            <w:tcW w:w="1701" w:type="dxa"/>
            <w:vAlign w:val="center"/>
          </w:tcPr>
          <w:p w14:paraId="5E4B4A89" w14:textId="77777777" w:rsidR="00454A29" w:rsidRDefault="00454A29">
            <w:pPr>
              <w:pStyle w:val="ConsPlusNormal"/>
              <w:jc w:val="center"/>
            </w:pPr>
            <w:r>
              <w:t>0,00</w:t>
            </w:r>
          </w:p>
        </w:tc>
        <w:tc>
          <w:tcPr>
            <w:tcW w:w="1701" w:type="dxa"/>
            <w:vAlign w:val="center"/>
          </w:tcPr>
          <w:p w14:paraId="09775DFD" w14:textId="77777777" w:rsidR="00454A29" w:rsidRDefault="00454A29">
            <w:pPr>
              <w:pStyle w:val="ConsPlusNormal"/>
              <w:jc w:val="center"/>
            </w:pPr>
            <w:r>
              <w:t>0,00</w:t>
            </w:r>
          </w:p>
        </w:tc>
        <w:tc>
          <w:tcPr>
            <w:tcW w:w="1701" w:type="dxa"/>
            <w:vAlign w:val="center"/>
          </w:tcPr>
          <w:p w14:paraId="435D5BD2" w14:textId="77777777" w:rsidR="00454A29" w:rsidRDefault="00454A29">
            <w:pPr>
              <w:pStyle w:val="ConsPlusNormal"/>
              <w:jc w:val="center"/>
            </w:pPr>
            <w:r>
              <w:t>0,00</w:t>
            </w:r>
          </w:p>
        </w:tc>
      </w:tr>
      <w:tr w:rsidR="00454A29" w14:paraId="0FF6C6AA" w14:textId="77777777">
        <w:tc>
          <w:tcPr>
            <w:tcW w:w="964" w:type="dxa"/>
            <w:vMerge/>
          </w:tcPr>
          <w:p w14:paraId="44D5B505" w14:textId="77777777" w:rsidR="00454A29" w:rsidRDefault="00454A29"/>
        </w:tc>
        <w:tc>
          <w:tcPr>
            <w:tcW w:w="2154" w:type="dxa"/>
            <w:vMerge/>
            <w:tcBorders>
              <w:top w:val="nil"/>
              <w:bottom w:val="nil"/>
            </w:tcBorders>
          </w:tcPr>
          <w:p w14:paraId="558E66F1" w14:textId="77777777" w:rsidR="00454A29" w:rsidRDefault="00454A29"/>
        </w:tc>
        <w:tc>
          <w:tcPr>
            <w:tcW w:w="2154" w:type="dxa"/>
            <w:vMerge/>
            <w:tcBorders>
              <w:top w:val="nil"/>
              <w:bottom w:val="nil"/>
            </w:tcBorders>
          </w:tcPr>
          <w:p w14:paraId="53101B7E" w14:textId="77777777" w:rsidR="00454A29" w:rsidRDefault="00454A29"/>
        </w:tc>
        <w:tc>
          <w:tcPr>
            <w:tcW w:w="2665" w:type="dxa"/>
            <w:vMerge/>
          </w:tcPr>
          <w:p w14:paraId="2BFB98DA" w14:textId="77777777" w:rsidR="00454A29" w:rsidRDefault="00454A29"/>
        </w:tc>
        <w:tc>
          <w:tcPr>
            <w:tcW w:w="2665" w:type="dxa"/>
            <w:vMerge/>
          </w:tcPr>
          <w:p w14:paraId="6E23A222" w14:textId="77777777" w:rsidR="00454A29" w:rsidRDefault="00454A29"/>
        </w:tc>
        <w:tc>
          <w:tcPr>
            <w:tcW w:w="1928" w:type="dxa"/>
            <w:vMerge/>
          </w:tcPr>
          <w:p w14:paraId="680FE25E" w14:textId="77777777" w:rsidR="00454A29" w:rsidRDefault="00454A29"/>
        </w:tc>
        <w:tc>
          <w:tcPr>
            <w:tcW w:w="1644" w:type="dxa"/>
            <w:vMerge/>
          </w:tcPr>
          <w:p w14:paraId="446C1F44" w14:textId="77777777" w:rsidR="00454A29" w:rsidRDefault="00454A29"/>
        </w:tc>
        <w:tc>
          <w:tcPr>
            <w:tcW w:w="2041" w:type="dxa"/>
            <w:vMerge/>
          </w:tcPr>
          <w:p w14:paraId="02F85BDC" w14:textId="77777777" w:rsidR="00454A29" w:rsidRDefault="00454A29"/>
        </w:tc>
        <w:tc>
          <w:tcPr>
            <w:tcW w:w="2098" w:type="dxa"/>
            <w:vAlign w:val="center"/>
          </w:tcPr>
          <w:p w14:paraId="0CE8A678" w14:textId="77777777" w:rsidR="00454A29" w:rsidRDefault="00454A29">
            <w:pPr>
              <w:pStyle w:val="ConsPlusNormal"/>
              <w:jc w:val="center"/>
            </w:pPr>
            <w:r>
              <w:t>Федеральный бюджет</w:t>
            </w:r>
          </w:p>
        </w:tc>
        <w:tc>
          <w:tcPr>
            <w:tcW w:w="1814" w:type="dxa"/>
            <w:vAlign w:val="center"/>
          </w:tcPr>
          <w:p w14:paraId="54470F21" w14:textId="77777777" w:rsidR="00454A29" w:rsidRDefault="00454A29">
            <w:pPr>
              <w:pStyle w:val="ConsPlusNormal"/>
              <w:jc w:val="center"/>
            </w:pPr>
            <w:r>
              <w:t>0,00</w:t>
            </w:r>
          </w:p>
        </w:tc>
        <w:tc>
          <w:tcPr>
            <w:tcW w:w="1701" w:type="dxa"/>
            <w:vAlign w:val="center"/>
          </w:tcPr>
          <w:p w14:paraId="451C4509" w14:textId="77777777" w:rsidR="00454A29" w:rsidRDefault="00454A29">
            <w:pPr>
              <w:pStyle w:val="ConsPlusNormal"/>
              <w:jc w:val="center"/>
            </w:pPr>
            <w:r>
              <w:t>0,00</w:t>
            </w:r>
          </w:p>
        </w:tc>
        <w:tc>
          <w:tcPr>
            <w:tcW w:w="1701" w:type="dxa"/>
            <w:vAlign w:val="center"/>
          </w:tcPr>
          <w:p w14:paraId="689155F0" w14:textId="77777777" w:rsidR="00454A29" w:rsidRDefault="00454A29">
            <w:pPr>
              <w:pStyle w:val="ConsPlusNormal"/>
              <w:jc w:val="center"/>
            </w:pPr>
            <w:r>
              <w:t>0,00</w:t>
            </w:r>
          </w:p>
        </w:tc>
        <w:tc>
          <w:tcPr>
            <w:tcW w:w="1701" w:type="dxa"/>
            <w:vAlign w:val="center"/>
          </w:tcPr>
          <w:p w14:paraId="2A9AD911" w14:textId="77777777" w:rsidR="00454A29" w:rsidRDefault="00454A29">
            <w:pPr>
              <w:pStyle w:val="ConsPlusNormal"/>
              <w:jc w:val="center"/>
            </w:pPr>
            <w:r>
              <w:t>0,00</w:t>
            </w:r>
          </w:p>
        </w:tc>
        <w:tc>
          <w:tcPr>
            <w:tcW w:w="1701" w:type="dxa"/>
            <w:vAlign w:val="center"/>
          </w:tcPr>
          <w:p w14:paraId="118624D7" w14:textId="77777777" w:rsidR="00454A29" w:rsidRDefault="00454A29">
            <w:pPr>
              <w:pStyle w:val="ConsPlusNormal"/>
              <w:jc w:val="center"/>
            </w:pPr>
            <w:r>
              <w:t>0,00</w:t>
            </w:r>
          </w:p>
        </w:tc>
        <w:tc>
          <w:tcPr>
            <w:tcW w:w="1701" w:type="dxa"/>
            <w:vAlign w:val="center"/>
          </w:tcPr>
          <w:p w14:paraId="62400067" w14:textId="77777777" w:rsidR="00454A29" w:rsidRDefault="00454A29">
            <w:pPr>
              <w:pStyle w:val="ConsPlusNormal"/>
              <w:jc w:val="center"/>
            </w:pPr>
            <w:r>
              <w:t>0,00</w:t>
            </w:r>
          </w:p>
        </w:tc>
        <w:tc>
          <w:tcPr>
            <w:tcW w:w="1701" w:type="dxa"/>
            <w:vAlign w:val="center"/>
          </w:tcPr>
          <w:p w14:paraId="4C5C6761" w14:textId="77777777" w:rsidR="00454A29" w:rsidRDefault="00454A29">
            <w:pPr>
              <w:pStyle w:val="ConsPlusNormal"/>
              <w:jc w:val="center"/>
            </w:pPr>
            <w:r>
              <w:t>0,00</w:t>
            </w:r>
          </w:p>
        </w:tc>
      </w:tr>
      <w:tr w:rsidR="00454A29" w14:paraId="432CE5B3" w14:textId="77777777">
        <w:tc>
          <w:tcPr>
            <w:tcW w:w="964" w:type="dxa"/>
            <w:vMerge/>
          </w:tcPr>
          <w:p w14:paraId="093013BF" w14:textId="77777777" w:rsidR="00454A29" w:rsidRDefault="00454A29"/>
        </w:tc>
        <w:tc>
          <w:tcPr>
            <w:tcW w:w="2154" w:type="dxa"/>
            <w:vMerge/>
            <w:tcBorders>
              <w:top w:val="nil"/>
              <w:bottom w:val="nil"/>
            </w:tcBorders>
          </w:tcPr>
          <w:p w14:paraId="14722B67" w14:textId="77777777" w:rsidR="00454A29" w:rsidRDefault="00454A29"/>
        </w:tc>
        <w:tc>
          <w:tcPr>
            <w:tcW w:w="2154" w:type="dxa"/>
            <w:vMerge/>
            <w:tcBorders>
              <w:top w:val="nil"/>
              <w:bottom w:val="nil"/>
            </w:tcBorders>
          </w:tcPr>
          <w:p w14:paraId="7AF7DDEA" w14:textId="77777777" w:rsidR="00454A29" w:rsidRDefault="00454A29"/>
        </w:tc>
        <w:tc>
          <w:tcPr>
            <w:tcW w:w="2665" w:type="dxa"/>
            <w:vMerge/>
          </w:tcPr>
          <w:p w14:paraId="12094F80" w14:textId="77777777" w:rsidR="00454A29" w:rsidRDefault="00454A29"/>
        </w:tc>
        <w:tc>
          <w:tcPr>
            <w:tcW w:w="2665" w:type="dxa"/>
            <w:vMerge/>
          </w:tcPr>
          <w:p w14:paraId="0A3B8DC9" w14:textId="77777777" w:rsidR="00454A29" w:rsidRDefault="00454A29"/>
        </w:tc>
        <w:tc>
          <w:tcPr>
            <w:tcW w:w="1928" w:type="dxa"/>
            <w:vMerge/>
          </w:tcPr>
          <w:p w14:paraId="29BB18E9" w14:textId="77777777" w:rsidR="00454A29" w:rsidRDefault="00454A29"/>
        </w:tc>
        <w:tc>
          <w:tcPr>
            <w:tcW w:w="1644" w:type="dxa"/>
            <w:vMerge/>
          </w:tcPr>
          <w:p w14:paraId="09B761AA" w14:textId="77777777" w:rsidR="00454A29" w:rsidRDefault="00454A29"/>
        </w:tc>
        <w:tc>
          <w:tcPr>
            <w:tcW w:w="2041" w:type="dxa"/>
            <w:vMerge/>
          </w:tcPr>
          <w:p w14:paraId="5B2A6104" w14:textId="77777777" w:rsidR="00454A29" w:rsidRDefault="00454A29"/>
        </w:tc>
        <w:tc>
          <w:tcPr>
            <w:tcW w:w="2098" w:type="dxa"/>
            <w:vAlign w:val="center"/>
          </w:tcPr>
          <w:p w14:paraId="03D8C161" w14:textId="77777777" w:rsidR="00454A29" w:rsidRDefault="00454A29">
            <w:pPr>
              <w:pStyle w:val="ConsPlusNormal"/>
              <w:jc w:val="center"/>
            </w:pPr>
            <w:r>
              <w:t>Местные бюджеты</w:t>
            </w:r>
          </w:p>
        </w:tc>
        <w:tc>
          <w:tcPr>
            <w:tcW w:w="1814" w:type="dxa"/>
            <w:vAlign w:val="center"/>
          </w:tcPr>
          <w:p w14:paraId="2D7F616F" w14:textId="77777777" w:rsidR="00454A29" w:rsidRDefault="00454A29">
            <w:pPr>
              <w:pStyle w:val="ConsPlusNormal"/>
              <w:jc w:val="center"/>
            </w:pPr>
            <w:r>
              <w:t>0,00</w:t>
            </w:r>
          </w:p>
        </w:tc>
        <w:tc>
          <w:tcPr>
            <w:tcW w:w="1701" w:type="dxa"/>
            <w:vAlign w:val="center"/>
          </w:tcPr>
          <w:p w14:paraId="0AC9A5D6" w14:textId="77777777" w:rsidR="00454A29" w:rsidRDefault="00454A29">
            <w:pPr>
              <w:pStyle w:val="ConsPlusNormal"/>
              <w:jc w:val="center"/>
            </w:pPr>
            <w:r>
              <w:t>0,00</w:t>
            </w:r>
          </w:p>
        </w:tc>
        <w:tc>
          <w:tcPr>
            <w:tcW w:w="1701" w:type="dxa"/>
            <w:vAlign w:val="center"/>
          </w:tcPr>
          <w:p w14:paraId="74EBB34B" w14:textId="77777777" w:rsidR="00454A29" w:rsidRDefault="00454A29">
            <w:pPr>
              <w:pStyle w:val="ConsPlusNormal"/>
              <w:jc w:val="center"/>
            </w:pPr>
            <w:r>
              <w:t>0,00</w:t>
            </w:r>
          </w:p>
        </w:tc>
        <w:tc>
          <w:tcPr>
            <w:tcW w:w="1701" w:type="dxa"/>
            <w:vAlign w:val="center"/>
          </w:tcPr>
          <w:p w14:paraId="114A3910" w14:textId="77777777" w:rsidR="00454A29" w:rsidRDefault="00454A29">
            <w:pPr>
              <w:pStyle w:val="ConsPlusNormal"/>
              <w:jc w:val="center"/>
            </w:pPr>
            <w:r>
              <w:t>0,00</w:t>
            </w:r>
          </w:p>
        </w:tc>
        <w:tc>
          <w:tcPr>
            <w:tcW w:w="1701" w:type="dxa"/>
            <w:vAlign w:val="center"/>
          </w:tcPr>
          <w:p w14:paraId="677BD52E" w14:textId="77777777" w:rsidR="00454A29" w:rsidRDefault="00454A29">
            <w:pPr>
              <w:pStyle w:val="ConsPlusNormal"/>
              <w:jc w:val="center"/>
            </w:pPr>
            <w:r>
              <w:t>0,00</w:t>
            </w:r>
          </w:p>
        </w:tc>
        <w:tc>
          <w:tcPr>
            <w:tcW w:w="1701" w:type="dxa"/>
            <w:vAlign w:val="center"/>
          </w:tcPr>
          <w:p w14:paraId="14AE32A9" w14:textId="77777777" w:rsidR="00454A29" w:rsidRDefault="00454A29">
            <w:pPr>
              <w:pStyle w:val="ConsPlusNormal"/>
              <w:jc w:val="center"/>
            </w:pPr>
            <w:r>
              <w:t>0,00</w:t>
            </w:r>
          </w:p>
        </w:tc>
        <w:tc>
          <w:tcPr>
            <w:tcW w:w="1701" w:type="dxa"/>
            <w:vAlign w:val="center"/>
          </w:tcPr>
          <w:p w14:paraId="79DA34EA" w14:textId="77777777" w:rsidR="00454A29" w:rsidRDefault="00454A29">
            <w:pPr>
              <w:pStyle w:val="ConsPlusNormal"/>
              <w:jc w:val="center"/>
            </w:pPr>
            <w:r>
              <w:t>0,00</w:t>
            </w:r>
          </w:p>
        </w:tc>
      </w:tr>
      <w:tr w:rsidR="00454A29" w14:paraId="46B120D9" w14:textId="77777777">
        <w:tc>
          <w:tcPr>
            <w:tcW w:w="964" w:type="dxa"/>
            <w:vMerge/>
          </w:tcPr>
          <w:p w14:paraId="2C74E510" w14:textId="77777777" w:rsidR="00454A29" w:rsidRDefault="00454A29"/>
        </w:tc>
        <w:tc>
          <w:tcPr>
            <w:tcW w:w="2154" w:type="dxa"/>
            <w:vMerge/>
            <w:tcBorders>
              <w:top w:val="nil"/>
              <w:bottom w:val="nil"/>
            </w:tcBorders>
          </w:tcPr>
          <w:p w14:paraId="1B8452E8" w14:textId="77777777" w:rsidR="00454A29" w:rsidRDefault="00454A29"/>
        </w:tc>
        <w:tc>
          <w:tcPr>
            <w:tcW w:w="2154" w:type="dxa"/>
            <w:vMerge/>
            <w:tcBorders>
              <w:top w:val="nil"/>
              <w:bottom w:val="nil"/>
            </w:tcBorders>
          </w:tcPr>
          <w:p w14:paraId="3E6D5BAF" w14:textId="77777777" w:rsidR="00454A29" w:rsidRDefault="00454A29"/>
        </w:tc>
        <w:tc>
          <w:tcPr>
            <w:tcW w:w="2665" w:type="dxa"/>
            <w:vMerge/>
          </w:tcPr>
          <w:p w14:paraId="04631468" w14:textId="77777777" w:rsidR="00454A29" w:rsidRDefault="00454A29"/>
        </w:tc>
        <w:tc>
          <w:tcPr>
            <w:tcW w:w="2665" w:type="dxa"/>
            <w:vMerge/>
          </w:tcPr>
          <w:p w14:paraId="6812865D" w14:textId="77777777" w:rsidR="00454A29" w:rsidRDefault="00454A29"/>
        </w:tc>
        <w:tc>
          <w:tcPr>
            <w:tcW w:w="1928" w:type="dxa"/>
            <w:vMerge/>
          </w:tcPr>
          <w:p w14:paraId="29B97A8C" w14:textId="77777777" w:rsidR="00454A29" w:rsidRDefault="00454A29"/>
        </w:tc>
        <w:tc>
          <w:tcPr>
            <w:tcW w:w="1644" w:type="dxa"/>
            <w:vMerge/>
          </w:tcPr>
          <w:p w14:paraId="4B9F21C1" w14:textId="77777777" w:rsidR="00454A29" w:rsidRDefault="00454A29"/>
        </w:tc>
        <w:tc>
          <w:tcPr>
            <w:tcW w:w="2041" w:type="dxa"/>
            <w:vMerge/>
          </w:tcPr>
          <w:p w14:paraId="32DEBB3C" w14:textId="77777777" w:rsidR="00454A29" w:rsidRDefault="00454A29"/>
        </w:tc>
        <w:tc>
          <w:tcPr>
            <w:tcW w:w="2098" w:type="dxa"/>
            <w:vAlign w:val="center"/>
          </w:tcPr>
          <w:p w14:paraId="25C1C9A3" w14:textId="77777777" w:rsidR="00454A29" w:rsidRDefault="00454A29">
            <w:pPr>
              <w:pStyle w:val="ConsPlusNormal"/>
              <w:jc w:val="center"/>
            </w:pPr>
            <w:r>
              <w:t>Внебюджетные средства</w:t>
            </w:r>
          </w:p>
        </w:tc>
        <w:tc>
          <w:tcPr>
            <w:tcW w:w="1814" w:type="dxa"/>
            <w:vAlign w:val="center"/>
          </w:tcPr>
          <w:p w14:paraId="166127B7" w14:textId="77777777" w:rsidR="00454A29" w:rsidRDefault="00454A29">
            <w:pPr>
              <w:pStyle w:val="ConsPlusNormal"/>
              <w:jc w:val="center"/>
            </w:pPr>
            <w:r>
              <w:t>0,00</w:t>
            </w:r>
          </w:p>
        </w:tc>
        <w:tc>
          <w:tcPr>
            <w:tcW w:w="1701" w:type="dxa"/>
            <w:vAlign w:val="center"/>
          </w:tcPr>
          <w:p w14:paraId="283D657C" w14:textId="77777777" w:rsidR="00454A29" w:rsidRDefault="00454A29">
            <w:pPr>
              <w:pStyle w:val="ConsPlusNormal"/>
              <w:jc w:val="center"/>
            </w:pPr>
            <w:r>
              <w:t>0,00</w:t>
            </w:r>
          </w:p>
        </w:tc>
        <w:tc>
          <w:tcPr>
            <w:tcW w:w="1701" w:type="dxa"/>
            <w:vAlign w:val="center"/>
          </w:tcPr>
          <w:p w14:paraId="566AFCE5" w14:textId="77777777" w:rsidR="00454A29" w:rsidRDefault="00454A29">
            <w:pPr>
              <w:pStyle w:val="ConsPlusNormal"/>
              <w:jc w:val="center"/>
            </w:pPr>
            <w:r>
              <w:t>0,00</w:t>
            </w:r>
          </w:p>
        </w:tc>
        <w:tc>
          <w:tcPr>
            <w:tcW w:w="1701" w:type="dxa"/>
            <w:vAlign w:val="center"/>
          </w:tcPr>
          <w:p w14:paraId="6174B588" w14:textId="77777777" w:rsidR="00454A29" w:rsidRDefault="00454A29">
            <w:pPr>
              <w:pStyle w:val="ConsPlusNormal"/>
              <w:jc w:val="center"/>
            </w:pPr>
            <w:r>
              <w:t>0,00</w:t>
            </w:r>
          </w:p>
        </w:tc>
        <w:tc>
          <w:tcPr>
            <w:tcW w:w="1701" w:type="dxa"/>
            <w:vAlign w:val="center"/>
          </w:tcPr>
          <w:p w14:paraId="5565022A" w14:textId="77777777" w:rsidR="00454A29" w:rsidRDefault="00454A29">
            <w:pPr>
              <w:pStyle w:val="ConsPlusNormal"/>
              <w:jc w:val="center"/>
            </w:pPr>
            <w:r>
              <w:t>0,00</w:t>
            </w:r>
          </w:p>
        </w:tc>
        <w:tc>
          <w:tcPr>
            <w:tcW w:w="1701" w:type="dxa"/>
            <w:vAlign w:val="center"/>
          </w:tcPr>
          <w:p w14:paraId="1F10E458" w14:textId="77777777" w:rsidR="00454A29" w:rsidRDefault="00454A29">
            <w:pPr>
              <w:pStyle w:val="ConsPlusNormal"/>
              <w:jc w:val="center"/>
            </w:pPr>
            <w:r>
              <w:t>0,00</w:t>
            </w:r>
          </w:p>
        </w:tc>
        <w:tc>
          <w:tcPr>
            <w:tcW w:w="1701" w:type="dxa"/>
            <w:vAlign w:val="center"/>
          </w:tcPr>
          <w:p w14:paraId="6614CAB3" w14:textId="77777777" w:rsidR="00454A29" w:rsidRDefault="00454A29">
            <w:pPr>
              <w:pStyle w:val="ConsPlusNormal"/>
              <w:jc w:val="center"/>
            </w:pPr>
            <w:r>
              <w:t>0,00</w:t>
            </w:r>
          </w:p>
        </w:tc>
      </w:tr>
      <w:tr w:rsidR="00454A29" w14:paraId="13CB5AF4" w14:textId="77777777">
        <w:tc>
          <w:tcPr>
            <w:tcW w:w="964" w:type="dxa"/>
            <w:vMerge w:val="restart"/>
            <w:vAlign w:val="center"/>
          </w:tcPr>
          <w:p w14:paraId="14460D49" w14:textId="77777777" w:rsidR="00454A29" w:rsidRDefault="00454A29">
            <w:pPr>
              <w:pStyle w:val="ConsPlusNormal"/>
              <w:jc w:val="center"/>
            </w:pPr>
            <w:r>
              <w:t>2.8.</w:t>
            </w:r>
          </w:p>
        </w:tc>
        <w:tc>
          <w:tcPr>
            <w:tcW w:w="2154" w:type="dxa"/>
            <w:vMerge w:val="restart"/>
            <w:tcBorders>
              <w:top w:val="nil"/>
              <w:bottom w:val="nil"/>
            </w:tcBorders>
            <w:vAlign w:val="center"/>
          </w:tcPr>
          <w:p w14:paraId="5E7864F0" w14:textId="77777777" w:rsidR="00454A29" w:rsidRDefault="00454A29">
            <w:pPr>
              <w:pStyle w:val="ConsPlusNormal"/>
            </w:pPr>
          </w:p>
        </w:tc>
        <w:tc>
          <w:tcPr>
            <w:tcW w:w="2154" w:type="dxa"/>
            <w:vMerge w:val="restart"/>
            <w:tcBorders>
              <w:top w:val="nil"/>
              <w:bottom w:val="nil"/>
            </w:tcBorders>
            <w:vAlign w:val="center"/>
          </w:tcPr>
          <w:p w14:paraId="4BC5269A" w14:textId="77777777" w:rsidR="00454A29" w:rsidRDefault="00454A29">
            <w:pPr>
              <w:pStyle w:val="ConsPlusNormal"/>
            </w:pPr>
          </w:p>
        </w:tc>
        <w:tc>
          <w:tcPr>
            <w:tcW w:w="2665" w:type="dxa"/>
            <w:vMerge w:val="restart"/>
            <w:vAlign w:val="center"/>
          </w:tcPr>
          <w:p w14:paraId="6566AC7F" w14:textId="77777777" w:rsidR="00454A29" w:rsidRDefault="00454A29">
            <w:pPr>
              <w:pStyle w:val="ConsPlusNormal"/>
              <w:jc w:val="center"/>
            </w:pPr>
            <w:r>
              <w:t xml:space="preserve">Результат 8. 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w:t>
            </w:r>
            <w:r>
              <w:lastRenderedPageBreak/>
              <w:t>российскими образовательными организациями, с участием не менее 250 детей и представителей молодежи из числа иностранных граждан.</w:t>
            </w:r>
          </w:p>
        </w:tc>
        <w:tc>
          <w:tcPr>
            <w:tcW w:w="2665" w:type="dxa"/>
            <w:vMerge w:val="restart"/>
            <w:vAlign w:val="center"/>
          </w:tcPr>
          <w:p w14:paraId="2EF47A13" w14:textId="77777777" w:rsidR="00454A29" w:rsidRDefault="00454A29">
            <w:pPr>
              <w:pStyle w:val="ConsPlusNormal"/>
              <w:jc w:val="center"/>
            </w:pPr>
            <w:r>
              <w:lastRenderedPageBreak/>
              <w:t xml:space="preserve">Мероприятие 4.3.8. Реализация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w:t>
            </w:r>
            <w:r>
              <w:lastRenderedPageBreak/>
              <w:t>образовательными организациями, с участием не менее 250 детей и представителей молодежи из числа иностранных граждан</w:t>
            </w:r>
          </w:p>
        </w:tc>
        <w:tc>
          <w:tcPr>
            <w:tcW w:w="1928" w:type="dxa"/>
            <w:vMerge w:val="restart"/>
            <w:vAlign w:val="center"/>
          </w:tcPr>
          <w:p w14:paraId="73FC00FE" w14:textId="77777777" w:rsidR="00454A29" w:rsidRDefault="00454A29">
            <w:pPr>
              <w:pStyle w:val="ConsPlusNormal"/>
              <w:jc w:val="center"/>
            </w:pPr>
            <w:r>
              <w:lastRenderedPageBreak/>
              <w:t>-</w:t>
            </w:r>
          </w:p>
        </w:tc>
        <w:tc>
          <w:tcPr>
            <w:tcW w:w="1644" w:type="dxa"/>
            <w:vMerge w:val="restart"/>
            <w:vAlign w:val="center"/>
          </w:tcPr>
          <w:p w14:paraId="25BF052A" w14:textId="77777777" w:rsidR="00454A29" w:rsidRDefault="00454A29">
            <w:pPr>
              <w:pStyle w:val="ConsPlusNormal"/>
              <w:jc w:val="center"/>
            </w:pPr>
            <w:r>
              <w:t>-</w:t>
            </w:r>
          </w:p>
        </w:tc>
        <w:tc>
          <w:tcPr>
            <w:tcW w:w="2041" w:type="dxa"/>
            <w:vMerge w:val="restart"/>
            <w:vAlign w:val="center"/>
          </w:tcPr>
          <w:p w14:paraId="2C35DD86" w14:textId="77777777" w:rsidR="00454A29" w:rsidRDefault="00454A29">
            <w:pPr>
              <w:pStyle w:val="ConsPlusNormal"/>
              <w:jc w:val="center"/>
            </w:pPr>
            <w:r>
              <w:t>-</w:t>
            </w:r>
          </w:p>
        </w:tc>
        <w:tc>
          <w:tcPr>
            <w:tcW w:w="2098" w:type="dxa"/>
            <w:vAlign w:val="center"/>
          </w:tcPr>
          <w:p w14:paraId="2980192D" w14:textId="77777777" w:rsidR="00454A29" w:rsidRDefault="00454A29">
            <w:pPr>
              <w:pStyle w:val="ConsPlusNormal"/>
              <w:jc w:val="center"/>
            </w:pPr>
            <w:r>
              <w:t>Итого</w:t>
            </w:r>
          </w:p>
        </w:tc>
        <w:tc>
          <w:tcPr>
            <w:tcW w:w="1814" w:type="dxa"/>
            <w:vAlign w:val="center"/>
          </w:tcPr>
          <w:p w14:paraId="32528F5E" w14:textId="77777777" w:rsidR="00454A29" w:rsidRDefault="00454A29">
            <w:pPr>
              <w:pStyle w:val="ConsPlusNormal"/>
              <w:jc w:val="center"/>
            </w:pPr>
            <w:r>
              <w:t>0,00</w:t>
            </w:r>
          </w:p>
        </w:tc>
        <w:tc>
          <w:tcPr>
            <w:tcW w:w="1701" w:type="dxa"/>
            <w:vAlign w:val="center"/>
          </w:tcPr>
          <w:p w14:paraId="2452CF95" w14:textId="77777777" w:rsidR="00454A29" w:rsidRDefault="00454A29">
            <w:pPr>
              <w:pStyle w:val="ConsPlusNormal"/>
              <w:jc w:val="center"/>
            </w:pPr>
            <w:r>
              <w:t>0,00</w:t>
            </w:r>
          </w:p>
        </w:tc>
        <w:tc>
          <w:tcPr>
            <w:tcW w:w="1701" w:type="dxa"/>
            <w:vAlign w:val="center"/>
          </w:tcPr>
          <w:p w14:paraId="17F25715" w14:textId="77777777" w:rsidR="00454A29" w:rsidRDefault="00454A29">
            <w:pPr>
              <w:pStyle w:val="ConsPlusNormal"/>
              <w:jc w:val="center"/>
            </w:pPr>
            <w:r>
              <w:t>0,00</w:t>
            </w:r>
          </w:p>
        </w:tc>
        <w:tc>
          <w:tcPr>
            <w:tcW w:w="1701" w:type="dxa"/>
            <w:vAlign w:val="center"/>
          </w:tcPr>
          <w:p w14:paraId="47036CD6" w14:textId="77777777" w:rsidR="00454A29" w:rsidRDefault="00454A29">
            <w:pPr>
              <w:pStyle w:val="ConsPlusNormal"/>
              <w:jc w:val="center"/>
            </w:pPr>
            <w:r>
              <w:t>0,00</w:t>
            </w:r>
          </w:p>
        </w:tc>
        <w:tc>
          <w:tcPr>
            <w:tcW w:w="1701" w:type="dxa"/>
            <w:vAlign w:val="center"/>
          </w:tcPr>
          <w:p w14:paraId="69732E06" w14:textId="77777777" w:rsidR="00454A29" w:rsidRDefault="00454A29">
            <w:pPr>
              <w:pStyle w:val="ConsPlusNormal"/>
              <w:jc w:val="center"/>
            </w:pPr>
            <w:r>
              <w:t>0,00</w:t>
            </w:r>
          </w:p>
        </w:tc>
        <w:tc>
          <w:tcPr>
            <w:tcW w:w="1701" w:type="dxa"/>
            <w:vAlign w:val="center"/>
          </w:tcPr>
          <w:p w14:paraId="02B985AF" w14:textId="77777777" w:rsidR="00454A29" w:rsidRDefault="00454A29">
            <w:pPr>
              <w:pStyle w:val="ConsPlusNormal"/>
              <w:jc w:val="center"/>
            </w:pPr>
            <w:r>
              <w:t>0,00</w:t>
            </w:r>
          </w:p>
        </w:tc>
        <w:tc>
          <w:tcPr>
            <w:tcW w:w="1701" w:type="dxa"/>
            <w:vAlign w:val="center"/>
          </w:tcPr>
          <w:p w14:paraId="224A3476" w14:textId="77777777" w:rsidR="00454A29" w:rsidRDefault="00454A29">
            <w:pPr>
              <w:pStyle w:val="ConsPlusNormal"/>
              <w:jc w:val="center"/>
            </w:pPr>
            <w:r>
              <w:t>0,00</w:t>
            </w:r>
          </w:p>
        </w:tc>
      </w:tr>
      <w:tr w:rsidR="00454A29" w14:paraId="51567089" w14:textId="77777777">
        <w:tc>
          <w:tcPr>
            <w:tcW w:w="964" w:type="dxa"/>
            <w:vMerge/>
          </w:tcPr>
          <w:p w14:paraId="7B6D0313" w14:textId="77777777" w:rsidR="00454A29" w:rsidRDefault="00454A29"/>
        </w:tc>
        <w:tc>
          <w:tcPr>
            <w:tcW w:w="2154" w:type="dxa"/>
            <w:vMerge/>
            <w:tcBorders>
              <w:top w:val="nil"/>
              <w:bottom w:val="nil"/>
            </w:tcBorders>
          </w:tcPr>
          <w:p w14:paraId="201BF833" w14:textId="77777777" w:rsidR="00454A29" w:rsidRDefault="00454A29"/>
        </w:tc>
        <w:tc>
          <w:tcPr>
            <w:tcW w:w="2154" w:type="dxa"/>
            <w:vMerge/>
            <w:tcBorders>
              <w:top w:val="nil"/>
              <w:bottom w:val="nil"/>
            </w:tcBorders>
          </w:tcPr>
          <w:p w14:paraId="6C0D7F96" w14:textId="77777777" w:rsidR="00454A29" w:rsidRDefault="00454A29"/>
        </w:tc>
        <w:tc>
          <w:tcPr>
            <w:tcW w:w="2665" w:type="dxa"/>
            <w:vMerge/>
          </w:tcPr>
          <w:p w14:paraId="5CE48D22" w14:textId="77777777" w:rsidR="00454A29" w:rsidRDefault="00454A29"/>
        </w:tc>
        <w:tc>
          <w:tcPr>
            <w:tcW w:w="2665" w:type="dxa"/>
            <w:vMerge/>
          </w:tcPr>
          <w:p w14:paraId="47074411" w14:textId="77777777" w:rsidR="00454A29" w:rsidRDefault="00454A29"/>
        </w:tc>
        <w:tc>
          <w:tcPr>
            <w:tcW w:w="1928" w:type="dxa"/>
            <w:vMerge/>
          </w:tcPr>
          <w:p w14:paraId="7CCB1D88" w14:textId="77777777" w:rsidR="00454A29" w:rsidRDefault="00454A29"/>
        </w:tc>
        <w:tc>
          <w:tcPr>
            <w:tcW w:w="1644" w:type="dxa"/>
            <w:vMerge/>
          </w:tcPr>
          <w:p w14:paraId="1738F70D" w14:textId="77777777" w:rsidR="00454A29" w:rsidRDefault="00454A29"/>
        </w:tc>
        <w:tc>
          <w:tcPr>
            <w:tcW w:w="2041" w:type="dxa"/>
            <w:vMerge/>
          </w:tcPr>
          <w:p w14:paraId="7F6A5EF2" w14:textId="77777777" w:rsidR="00454A29" w:rsidRDefault="00454A29"/>
        </w:tc>
        <w:tc>
          <w:tcPr>
            <w:tcW w:w="2098" w:type="dxa"/>
            <w:vAlign w:val="center"/>
          </w:tcPr>
          <w:p w14:paraId="2EC97715"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1EA1C33" w14:textId="77777777" w:rsidR="00454A29" w:rsidRDefault="00454A29">
            <w:pPr>
              <w:pStyle w:val="ConsPlusNormal"/>
              <w:jc w:val="center"/>
            </w:pPr>
            <w:r>
              <w:t>0,00</w:t>
            </w:r>
          </w:p>
        </w:tc>
        <w:tc>
          <w:tcPr>
            <w:tcW w:w="1701" w:type="dxa"/>
            <w:vAlign w:val="center"/>
          </w:tcPr>
          <w:p w14:paraId="0D489384" w14:textId="77777777" w:rsidR="00454A29" w:rsidRDefault="00454A29">
            <w:pPr>
              <w:pStyle w:val="ConsPlusNormal"/>
              <w:jc w:val="center"/>
            </w:pPr>
            <w:r>
              <w:t>0,00</w:t>
            </w:r>
          </w:p>
        </w:tc>
        <w:tc>
          <w:tcPr>
            <w:tcW w:w="1701" w:type="dxa"/>
            <w:vAlign w:val="center"/>
          </w:tcPr>
          <w:p w14:paraId="344FF145" w14:textId="77777777" w:rsidR="00454A29" w:rsidRDefault="00454A29">
            <w:pPr>
              <w:pStyle w:val="ConsPlusNormal"/>
              <w:jc w:val="center"/>
            </w:pPr>
            <w:r>
              <w:t>0,00</w:t>
            </w:r>
          </w:p>
        </w:tc>
        <w:tc>
          <w:tcPr>
            <w:tcW w:w="1701" w:type="dxa"/>
            <w:vAlign w:val="center"/>
          </w:tcPr>
          <w:p w14:paraId="79E7A504" w14:textId="77777777" w:rsidR="00454A29" w:rsidRDefault="00454A29">
            <w:pPr>
              <w:pStyle w:val="ConsPlusNormal"/>
              <w:jc w:val="center"/>
            </w:pPr>
            <w:r>
              <w:t>0,00</w:t>
            </w:r>
          </w:p>
        </w:tc>
        <w:tc>
          <w:tcPr>
            <w:tcW w:w="1701" w:type="dxa"/>
            <w:vAlign w:val="center"/>
          </w:tcPr>
          <w:p w14:paraId="46B28DEA" w14:textId="77777777" w:rsidR="00454A29" w:rsidRDefault="00454A29">
            <w:pPr>
              <w:pStyle w:val="ConsPlusNormal"/>
              <w:jc w:val="center"/>
            </w:pPr>
            <w:r>
              <w:t>0,00</w:t>
            </w:r>
          </w:p>
        </w:tc>
        <w:tc>
          <w:tcPr>
            <w:tcW w:w="1701" w:type="dxa"/>
            <w:vAlign w:val="center"/>
          </w:tcPr>
          <w:p w14:paraId="4AFB2B31" w14:textId="77777777" w:rsidR="00454A29" w:rsidRDefault="00454A29">
            <w:pPr>
              <w:pStyle w:val="ConsPlusNormal"/>
              <w:jc w:val="center"/>
            </w:pPr>
            <w:r>
              <w:t>0,00</w:t>
            </w:r>
          </w:p>
        </w:tc>
        <w:tc>
          <w:tcPr>
            <w:tcW w:w="1701" w:type="dxa"/>
            <w:vAlign w:val="center"/>
          </w:tcPr>
          <w:p w14:paraId="20B4C0D5" w14:textId="77777777" w:rsidR="00454A29" w:rsidRDefault="00454A29">
            <w:pPr>
              <w:pStyle w:val="ConsPlusNormal"/>
              <w:jc w:val="center"/>
            </w:pPr>
            <w:r>
              <w:t>0,00</w:t>
            </w:r>
          </w:p>
        </w:tc>
      </w:tr>
      <w:tr w:rsidR="00454A29" w14:paraId="0888ECC0" w14:textId="77777777">
        <w:tc>
          <w:tcPr>
            <w:tcW w:w="964" w:type="dxa"/>
            <w:vMerge/>
          </w:tcPr>
          <w:p w14:paraId="7C282AB5" w14:textId="77777777" w:rsidR="00454A29" w:rsidRDefault="00454A29"/>
        </w:tc>
        <w:tc>
          <w:tcPr>
            <w:tcW w:w="2154" w:type="dxa"/>
            <w:vMerge/>
            <w:tcBorders>
              <w:top w:val="nil"/>
              <w:bottom w:val="nil"/>
            </w:tcBorders>
          </w:tcPr>
          <w:p w14:paraId="2BFB5405" w14:textId="77777777" w:rsidR="00454A29" w:rsidRDefault="00454A29"/>
        </w:tc>
        <w:tc>
          <w:tcPr>
            <w:tcW w:w="2154" w:type="dxa"/>
            <w:vMerge/>
            <w:tcBorders>
              <w:top w:val="nil"/>
              <w:bottom w:val="nil"/>
            </w:tcBorders>
          </w:tcPr>
          <w:p w14:paraId="63D31DCE" w14:textId="77777777" w:rsidR="00454A29" w:rsidRDefault="00454A29"/>
        </w:tc>
        <w:tc>
          <w:tcPr>
            <w:tcW w:w="2665" w:type="dxa"/>
            <w:vMerge/>
          </w:tcPr>
          <w:p w14:paraId="352B4772" w14:textId="77777777" w:rsidR="00454A29" w:rsidRDefault="00454A29"/>
        </w:tc>
        <w:tc>
          <w:tcPr>
            <w:tcW w:w="2665" w:type="dxa"/>
            <w:vMerge/>
          </w:tcPr>
          <w:p w14:paraId="5860B18F" w14:textId="77777777" w:rsidR="00454A29" w:rsidRDefault="00454A29"/>
        </w:tc>
        <w:tc>
          <w:tcPr>
            <w:tcW w:w="1928" w:type="dxa"/>
            <w:vMerge/>
          </w:tcPr>
          <w:p w14:paraId="1088B04A" w14:textId="77777777" w:rsidR="00454A29" w:rsidRDefault="00454A29"/>
        </w:tc>
        <w:tc>
          <w:tcPr>
            <w:tcW w:w="1644" w:type="dxa"/>
            <w:vMerge/>
          </w:tcPr>
          <w:p w14:paraId="66DFCB97" w14:textId="77777777" w:rsidR="00454A29" w:rsidRDefault="00454A29"/>
        </w:tc>
        <w:tc>
          <w:tcPr>
            <w:tcW w:w="2041" w:type="dxa"/>
            <w:vMerge/>
          </w:tcPr>
          <w:p w14:paraId="32924F5A" w14:textId="77777777" w:rsidR="00454A29" w:rsidRDefault="00454A29"/>
        </w:tc>
        <w:tc>
          <w:tcPr>
            <w:tcW w:w="2098" w:type="dxa"/>
            <w:vAlign w:val="center"/>
          </w:tcPr>
          <w:p w14:paraId="31FAEDF6" w14:textId="77777777" w:rsidR="00454A29" w:rsidRDefault="00454A29">
            <w:pPr>
              <w:pStyle w:val="ConsPlusNormal"/>
              <w:jc w:val="center"/>
            </w:pPr>
            <w:r>
              <w:t>Федеральный бюджет</w:t>
            </w:r>
          </w:p>
        </w:tc>
        <w:tc>
          <w:tcPr>
            <w:tcW w:w="1814" w:type="dxa"/>
            <w:vAlign w:val="center"/>
          </w:tcPr>
          <w:p w14:paraId="0287CE0A" w14:textId="77777777" w:rsidR="00454A29" w:rsidRDefault="00454A29">
            <w:pPr>
              <w:pStyle w:val="ConsPlusNormal"/>
              <w:jc w:val="center"/>
            </w:pPr>
            <w:r>
              <w:t>0,00</w:t>
            </w:r>
          </w:p>
        </w:tc>
        <w:tc>
          <w:tcPr>
            <w:tcW w:w="1701" w:type="dxa"/>
            <w:vAlign w:val="center"/>
          </w:tcPr>
          <w:p w14:paraId="2EF7F6AD" w14:textId="77777777" w:rsidR="00454A29" w:rsidRDefault="00454A29">
            <w:pPr>
              <w:pStyle w:val="ConsPlusNormal"/>
              <w:jc w:val="center"/>
            </w:pPr>
            <w:r>
              <w:t>0,00</w:t>
            </w:r>
          </w:p>
        </w:tc>
        <w:tc>
          <w:tcPr>
            <w:tcW w:w="1701" w:type="dxa"/>
            <w:vAlign w:val="center"/>
          </w:tcPr>
          <w:p w14:paraId="79BF28A8" w14:textId="77777777" w:rsidR="00454A29" w:rsidRDefault="00454A29">
            <w:pPr>
              <w:pStyle w:val="ConsPlusNormal"/>
              <w:jc w:val="center"/>
            </w:pPr>
            <w:r>
              <w:t>0,00</w:t>
            </w:r>
          </w:p>
        </w:tc>
        <w:tc>
          <w:tcPr>
            <w:tcW w:w="1701" w:type="dxa"/>
            <w:vAlign w:val="center"/>
          </w:tcPr>
          <w:p w14:paraId="3587B5C2" w14:textId="77777777" w:rsidR="00454A29" w:rsidRDefault="00454A29">
            <w:pPr>
              <w:pStyle w:val="ConsPlusNormal"/>
              <w:jc w:val="center"/>
            </w:pPr>
            <w:r>
              <w:t>0,00</w:t>
            </w:r>
          </w:p>
        </w:tc>
        <w:tc>
          <w:tcPr>
            <w:tcW w:w="1701" w:type="dxa"/>
            <w:vAlign w:val="center"/>
          </w:tcPr>
          <w:p w14:paraId="3254AFB7" w14:textId="77777777" w:rsidR="00454A29" w:rsidRDefault="00454A29">
            <w:pPr>
              <w:pStyle w:val="ConsPlusNormal"/>
              <w:jc w:val="center"/>
            </w:pPr>
            <w:r>
              <w:t>0,00</w:t>
            </w:r>
          </w:p>
        </w:tc>
        <w:tc>
          <w:tcPr>
            <w:tcW w:w="1701" w:type="dxa"/>
            <w:vAlign w:val="center"/>
          </w:tcPr>
          <w:p w14:paraId="75E5C9F5" w14:textId="77777777" w:rsidR="00454A29" w:rsidRDefault="00454A29">
            <w:pPr>
              <w:pStyle w:val="ConsPlusNormal"/>
              <w:jc w:val="center"/>
            </w:pPr>
            <w:r>
              <w:t>0,00</w:t>
            </w:r>
          </w:p>
        </w:tc>
        <w:tc>
          <w:tcPr>
            <w:tcW w:w="1701" w:type="dxa"/>
            <w:vAlign w:val="center"/>
          </w:tcPr>
          <w:p w14:paraId="0B81AAFA" w14:textId="77777777" w:rsidR="00454A29" w:rsidRDefault="00454A29">
            <w:pPr>
              <w:pStyle w:val="ConsPlusNormal"/>
              <w:jc w:val="center"/>
            </w:pPr>
            <w:r>
              <w:t>0,00</w:t>
            </w:r>
          </w:p>
        </w:tc>
      </w:tr>
      <w:tr w:rsidR="00454A29" w14:paraId="6715C94C" w14:textId="77777777">
        <w:tc>
          <w:tcPr>
            <w:tcW w:w="964" w:type="dxa"/>
            <w:vMerge/>
          </w:tcPr>
          <w:p w14:paraId="07EF3082" w14:textId="77777777" w:rsidR="00454A29" w:rsidRDefault="00454A29"/>
        </w:tc>
        <w:tc>
          <w:tcPr>
            <w:tcW w:w="2154" w:type="dxa"/>
            <w:vMerge/>
            <w:tcBorders>
              <w:top w:val="nil"/>
              <w:bottom w:val="nil"/>
            </w:tcBorders>
          </w:tcPr>
          <w:p w14:paraId="7E24ABE3" w14:textId="77777777" w:rsidR="00454A29" w:rsidRDefault="00454A29"/>
        </w:tc>
        <w:tc>
          <w:tcPr>
            <w:tcW w:w="2154" w:type="dxa"/>
            <w:vMerge/>
            <w:tcBorders>
              <w:top w:val="nil"/>
              <w:bottom w:val="nil"/>
            </w:tcBorders>
          </w:tcPr>
          <w:p w14:paraId="5FE31A4D" w14:textId="77777777" w:rsidR="00454A29" w:rsidRDefault="00454A29"/>
        </w:tc>
        <w:tc>
          <w:tcPr>
            <w:tcW w:w="2665" w:type="dxa"/>
            <w:vMerge/>
          </w:tcPr>
          <w:p w14:paraId="2674D91C" w14:textId="77777777" w:rsidR="00454A29" w:rsidRDefault="00454A29"/>
        </w:tc>
        <w:tc>
          <w:tcPr>
            <w:tcW w:w="2665" w:type="dxa"/>
            <w:vMerge/>
          </w:tcPr>
          <w:p w14:paraId="6BB9D88B" w14:textId="77777777" w:rsidR="00454A29" w:rsidRDefault="00454A29"/>
        </w:tc>
        <w:tc>
          <w:tcPr>
            <w:tcW w:w="1928" w:type="dxa"/>
            <w:vMerge/>
          </w:tcPr>
          <w:p w14:paraId="53B53060" w14:textId="77777777" w:rsidR="00454A29" w:rsidRDefault="00454A29"/>
        </w:tc>
        <w:tc>
          <w:tcPr>
            <w:tcW w:w="1644" w:type="dxa"/>
            <w:vMerge/>
          </w:tcPr>
          <w:p w14:paraId="690DB1A8" w14:textId="77777777" w:rsidR="00454A29" w:rsidRDefault="00454A29"/>
        </w:tc>
        <w:tc>
          <w:tcPr>
            <w:tcW w:w="2041" w:type="dxa"/>
            <w:vMerge/>
          </w:tcPr>
          <w:p w14:paraId="4D65719E" w14:textId="77777777" w:rsidR="00454A29" w:rsidRDefault="00454A29"/>
        </w:tc>
        <w:tc>
          <w:tcPr>
            <w:tcW w:w="2098" w:type="dxa"/>
            <w:vAlign w:val="center"/>
          </w:tcPr>
          <w:p w14:paraId="47C49057" w14:textId="77777777" w:rsidR="00454A29" w:rsidRDefault="00454A29">
            <w:pPr>
              <w:pStyle w:val="ConsPlusNormal"/>
              <w:jc w:val="center"/>
            </w:pPr>
            <w:r>
              <w:t>Местные бюджеты</w:t>
            </w:r>
          </w:p>
        </w:tc>
        <w:tc>
          <w:tcPr>
            <w:tcW w:w="1814" w:type="dxa"/>
            <w:vAlign w:val="center"/>
          </w:tcPr>
          <w:p w14:paraId="5AE2408E" w14:textId="77777777" w:rsidR="00454A29" w:rsidRDefault="00454A29">
            <w:pPr>
              <w:pStyle w:val="ConsPlusNormal"/>
              <w:jc w:val="center"/>
            </w:pPr>
            <w:r>
              <w:t>0,00</w:t>
            </w:r>
          </w:p>
        </w:tc>
        <w:tc>
          <w:tcPr>
            <w:tcW w:w="1701" w:type="dxa"/>
            <w:vAlign w:val="center"/>
          </w:tcPr>
          <w:p w14:paraId="34D37774" w14:textId="77777777" w:rsidR="00454A29" w:rsidRDefault="00454A29">
            <w:pPr>
              <w:pStyle w:val="ConsPlusNormal"/>
              <w:jc w:val="center"/>
            </w:pPr>
            <w:r>
              <w:t>0,00</w:t>
            </w:r>
          </w:p>
        </w:tc>
        <w:tc>
          <w:tcPr>
            <w:tcW w:w="1701" w:type="dxa"/>
            <w:vAlign w:val="center"/>
          </w:tcPr>
          <w:p w14:paraId="2F9A7E40" w14:textId="77777777" w:rsidR="00454A29" w:rsidRDefault="00454A29">
            <w:pPr>
              <w:pStyle w:val="ConsPlusNormal"/>
              <w:jc w:val="center"/>
            </w:pPr>
            <w:r>
              <w:t>0,00</w:t>
            </w:r>
          </w:p>
        </w:tc>
        <w:tc>
          <w:tcPr>
            <w:tcW w:w="1701" w:type="dxa"/>
            <w:vAlign w:val="center"/>
          </w:tcPr>
          <w:p w14:paraId="54EA204F" w14:textId="77777777" w:rsidR="00454A29" w:rsidRDefault="00454A29">
            <w:pPr>
              <w:pStyle w:val="ConsPlusNormal"/>
              <w:jc w:val="center"/>
            </w:pPr>
            <w:r>
              <w:t>0,00</w:t>
            </w:r>
          </w:p>
        </w:tc>
        <w:tc>
          <w:tcPr>
            <w:tcW w:w="1701" w:type="dxa"/>
            <w:vAlign w:val="center"/>
          </w:tcPr>
          <w:p w14:paraId="34E66658" w14:textId="77777777" w:rsidR="00454A29" w:rsidRDefault="00454A29">
            <w:pPr>
              <w:pStyle w:val="ConsPlusNormal"/>
              <w:jc w:val="center"/>
            </w:pPr>
            <w:r>
              <w:t>0,00</w:t>
            </w:r>
          </w:p>
        </w:tc>
        <w:tc>
          <w:tcPr>
            <w:tcW w:w="1701" w:type="dxa"/>
            <w:vAlign w:val="center"/>
          </w:tcPr>
          <w:p w14:paraId="05F10A2D" w14:textId="77777777" w:rsidR="00454A29" w:rsidRDefault="00454A29">
            <w:pPr>
              <w:pStyle w:val="ConsPlusNormal"/>
              <w:jc w:val="center"/>
            </w:pPr>
            <w:r>
              <w:t>0,00</w:t>
            </w:r>
          </w:p>
        </w:tc>
        <w:tc>
          <w:tcPr>
            <w:tcW w:w="1701" w:type="dxa"/>
            <w:vAlign w:val="center"/>
          </w:tcPr>
          <w:p w14:paraId="0B200969" w14:textId="77777777" w:rsidR="00454A29" w:rsidRDefault="00454A29">
            <w:pPr>
              <w:pStyle w:val="ConsPlusNormal"/>
              <w:jc w:val="center"/>
            </w:pPr>
            <w:r>
              <w:t>0,00</w:t>
            </w:r>
          </w:p>
        </w:tc>
      </w:tr>
      <w:tr w:rsidR="00454A29" w14:paraId="2F4D58EB" w14:textId="77777777">
        <w:tc>
          <w:tcPr>
            <w:tcW w:w="964" w:type="dxa"/>
            <w:vMerge/>
          </w:tcPr>
          <w:p w14:paraId="49D865BD" w14:textId="77777777" w:rsidR="00454A29" w:rsidRDefault="00454A29"/>
        </w:tc>
        <w:tc>
          <w:tcPr>
            <w:tcW w:w="2154" w:type="dxa"/>
            <w:vMerge/>
            <w:tcBorders>
              <w:top w:val="nil"/>
              <w:bottom w:val="nil"/>
            </w:tcBorders>
          </w:tcPr>
          <w:p w14:paraId="0DC3EA8A" w14:textId="77777777" w:rsidR="00454A29" w:rsidRDefault="00454A29"/>
        </w:tc>
        <w:tc>
          <w:tcPr>
            <w:tcW w:w="2154" w:type="dxa"/>
            <w:vMerge/>
            <w:tcBorders>
              <w:top w:val="nil"/>
              <w:bottom w:val="nil"/>
            </w:tcBorders>
          </w:tcPr>
          <w:p w14:paraId="300972AC" w14:textId="77777777" w:rsidR="00454A29" w:rsidRDefault="00454A29"/>
        </w:tc>
        <w:tc>
          <w:tcPr>
            <w:tcW w:w="2665" w:type="dxa"/>
            <w:vMerge/>
          </w:tcPr>
          <w:p w14:paraId="7580EF59" w14:textId="77777777" w:rsidR="00454A29" w:rsidRDefault="00454A29"/>
        </w:tc>
        <w:tc>
          <w:tcPr>
            <w:tcW w:w="2665" w:type="dxa"/>
            <w:vMerge/>
          </w:tcPr>
          <w:p w14:paraId="6E6B1261" w14:textId="77777777" w:rsidR="00454A29" w:rsidRDefault="00454A29"/>
        </w:tc>
        <w:tc>
          <w:tcPr>
            <w:tcW w:w="1928" w:type="dxa"/>
            <w:vMerge/>
          </w:tcPr>
          <w:p w14:paraId="1CAD068E" w14:textId="77777777" w:rsidR="00454A29" w:rsidRDefault="00454A29"/>
        </w:tc>
        <w:tc>
          <w:tcPr>
            <w:tcW w:w="1644" w:type="dxa"/>
            <w:vMerge/>
          </w:tcPr>
          <w:p w14:paraId="34E13E0B" w14:textId="77777777" w:rsidR="00454A29" w:rsidRDefault="00454A29"/>
        </w:tc>
        <w:tc>
          <w:tcPr>
            <w:tcW w:w="2041" w:type="dxa"/>
            <w:vMerge/>
          </w:tcPr>
          <w:p w14:paraId="4015F846" w14:textId="77777777" w:rsidR="00454A29" w:rsidRDefault="00454A29"/>
        </w:tc>
        <w:tc>
          <w:tcPr>
            <w:tcW w:w="2098" w:type="dxa"/>
            <w:vAlign w:val="center"/>
          </w:tcPr>
          <w:p w14:paraId="25E26BD3" w14:textId="77777777" w:rsidR="00454A29" w:rsidRDefault="00454A29">
            <w:pPr>
              <w:pStyle w:val="ConsPlusNormal"/>
              <w:jc w:val="center"/>
            </w:pPr>
            <w:r>
              <w:t>Внебюджетные средства</w:t>
            </w:r>
          </w:p>
        </w:tc>
        <w:tc>
          <w:tcPr>
            <w:tcW w:w="1814" w:type="dxa"/>
            <w:vAlign w:val="center"/>
          </w:tcPr>
          <w:p w14:paraId="7A4F41AF" w14:textId="77777777" w:rsidR="00454A29" w:rsidRDefault="00454A29">
            <w:pPr>
              <w:pStyle w:val="ConsPlusNormal"/>
              <w:jc w:val="center"/>
            </w:pPr>
            <w:r>
              <w:t>0,00</w:t>
            </w:r>
          </w:p>
        </w:tc>
        <w:tc>
          <w:tcPr>
            <w:tcW w:w="1701" w:type="dxa"/>
            <w:vAlign w:val="center"/>
          </w:tcPr>
          <w:p w14:paraId="4D97D414" w14:textId="77777777" w:rsidR="00454A29" w:rsidRDefault="00454A29">
            <w:pPr>
              <w:pStyle w:val="ConsPlusNormal"/>
              <w:jc w:val="center"/>
            </w:pPr>
            <w:r>
              <w:t>0,00</w:t>
            </w:r>
          </w:p>
        </w:tc>
        <w:tc>
          <w:tcPr>
            <w:tcW w:w="1701" w:type="dxa"/>
            <w:vAlign w:val="center"/>
          </w:tcPr>
          <w:p w14:paraId="54AFE6B2" w14:textId="77777777" w:rsidR="00454A29" w:rsidRDefault="00454A29">
            <w:pPr>
              <w:pStyle w:val="ConsPlusNormal"/>
              <w:jc w:val="center"/>
            </w:pPr>
            <w:r>
              <w:t>0,00</w:t>
            </w:r>
          </w:p>
        </w:tc>
        <w:tc>
          <w:tcPr>
            <w:tcW w:w="1701" w:type="dxa"/>
            <w:vAlign w:val="center"/>
          </w:tcPr>
          <w:p w14:paraId="7B3215EC" w14:textId="77777777" w:rsidR="00454A29" w:rsidRDefault="00454A29">
            <w:pPr>
              <w:pStyle w:val="ConsPlusNormal"/>
              <w:jc w:val="center"/>
            </w:pPr>
            <w:r>
              <w:t>0,00</w:t>
            </w:r>
          </w:p>
        </w:tc>
        <w:tc>
          <w:tcPr>
            <w:tcW w:w="1701" w:type="dxa"/>
            <w:vAlign w:val="center"/>
          </w:tcPr>
          <w:p w14:paraId="4B800814" w14:textId="77777777" w:rsidR="00454A29" w:rsidRDefault="00454A29">
            <w:pPr>
              <w:pStyle w:val="ConsPlusNormal"/>
              <w:jc w:val="center"/>
            </w:pPr>
            <w:r>
              <w:t>0,00</w:t>
            </w:r>
          </w:p>
        </w:tc>
        <w:tc>
          <w:tcPr>
            <w:tcW w:w="1701" w:type="dxa"/>
            <w:vAlign w:val="center"/>
          </w:tcPr>
          <w:p w14:paraId="09C2BF29" w14:textId="77777777" w:rsidR="00454A29" w:rsidRDefault="00454A29">
            <w:pPr>
              <w:pStyle w:val="ConsPlusNormal"/>
              <w:jc w:val="center"/>
            </w:pPr>
            <w:r>
              <w:t>0,00</w:t>
            </w:r>
          </w:p>
        </w:tc>
        <w:tc>
          <w:tcPr>
            <w:tcW w:w="1701" w:type="dxa"/>
            <w:vAlign w:val="center"/>
          </w:tcPr>
          <w:p w14:paraId="0F2C3DD9" w14:textId="77777777" w:rsidR="00454A29" w:rsidRDefault="00454A29">
            <w:pPr>
              <w:pStyle w:val="ConsPlusNormal"/>
              <w:jc w:val="center"/>
            </w:pPr>
            <w:r>
              <w:t>0,00</w:t>
            </w:r>
          </w:p>
        </w:tc>
      </w:tr>
      <w:tr w:rsidR="00454A29" w14:paraId="7C46E635" w14:textId="77777777">
        <w:tc>
          <w:tcPr>
            <w:tcW w:w="964" w:type="dxa"/>
            <w:vMerge w:val="restart"/>
            <w:vAlign w:val="center"/>
          </w:tcPr>
          <w:p w14:paraId="4558F3DB" w14:textId="77777777" w:rsidR="00454A29" w:rsidRDefault="00454A29">
            <w:pPr>
              <w:pStyle w:val="ConsPlusNormal"/>
              <w:jc w:val="center"/>
            </w:pPr>
            <w:r>
              <w:t>2.9.</w:t>
            </w:r>
          </w:p>
        </w:tc>
        <w:tc>
          <w:tcPr>
            <w:tcW w:w="2154" w:type="dxa"/>
            <w:vMerge w:val="restart"/>
            <w:tcBorders>
              <w:top w:val="nil"/>
              <w:bottom w:val="nil"/>
            </w:tcBorders>
            <w:vAlign w:val="center"/>
          </w:tcPr>
          <w:p w14:paraId="008FF327" w14:textId="77777777" w:rsidR="00454A29" w:rsidRDefault="00454A29">
            <w:pPr>
              <w:pStyle w:val="ConsPlusNormal"/>
            </w:pPr>
          </w:p>
        </w:tc>
        <w:tc>
          <w:tcPr>
            <w:tcW w:w="2154" w:type="dxa"/>
            <w:vMerge w:val="restart"/>
            <w:tcBorders>
              <w:top w:val="nil"/>
              <w:bottom w:val="nil"/>
            </w:tcBorders>
            <w:vAlign w:val="center"/>
          </w:tcPr>
          <w:p w14:paraId="2D6FC36F" w14:textId="77777777" w:rsidR="00454A29" w:rsidRDefault="00454A29">
            <w:pPr>
              <w:pStyle w:val="ConsPlusNormal"/>
            </w:pPr>
          </w:p>
        </w:tc>
        <w:tc>
          <w:tcPr>
            <w:tcW w:w="2665" w:type="dxa"/>
            <w:vMerge w:val="restart"/>
            <w:vAlign w:val="center"/>
          </w:tcPr>
          <w:p w14:paraId="33A94FDE" w14:textId="77777777" w:rsidR="00454A29" w:rsidRDefault="00454A29">
            <w:pPr>
              <w:pStyle w:val="ConsPlusNormal"/>
              <w:jc w:val="center"/>
            </w:pPr>
            <w:r>
              <w:t>Результат 9. Создан региональный центр выявления, поддержки и развития способностей и талантов у детей и молодежи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Республике Саха (Якутия)</w:t>
            </w:r>
          </w:p>
        </w:tc>
        <w:tc>
          <w:tcPr>
            <w:tcW w:w="2665" w:type="dxa"/>
            <w:vMerge w:val="restart"/>
            <w:vAlign w:val="center"/>
          </w:tcPr>
          <w:p w14:paraId="0169D520" w14:textId="77777777" w:rsidR="00454A29" w:rsidRDefault="00454A29">
            <w:pPr>
              <w:pStyle w:val="ConsPlusNormal"/>
              <w:jc w:val="center"/>
            </w:pPr>
            <w:r>
              <w:t>Мероприятие 4.3.9. Создание центров выявления и поддержки одаренных детей (приобретение средств обучения, в т.ч. Высокотехнологичного оборудования)</w:t>
            </w:r>
          </w:p>
        </w:tc>
        <w:tc>
          <w:tcPr>
            <w:tcW w:w="1928" w:type="dxa"/>
            <w:vMerge w:val="restart"/>
            <w:vAlign w:val="center"/>
          </w:tcPr>
          <w:p w14:paraId="5421E3CF" w14:textId="77777777" w:rsidR="00454A29" w:rsidRDefault="00454A29">
            <w:pPr>
              <w:pStyle w:val="ConsPlusNormal"/>
              <w:jc w:val="center"/>
            </w:pPr>
            <w:r>
              <w:t>-</w:t>
            </w:r>
          </w:p>
        </w:tc>
        <w:tc>
          <w:tcPr>
            <w:tcW w:w="1644" w:type="dxa"/>
            <w:vMerge w:val="restart"/>
            <w:vAlign w:val="center"/>
          </w:tcPr>
          <w:p w14:paraId="332D60B8" w14:textId="77777777" w:rsidR="00454A29" w:rsidRDefault="00454A29">
            <w:pPr>
              <w:pStyle w:val="ConsPlusNormal"/>
              <w:jc w:val="center"/>
            </w:pPr>
            <w:r>
              <w:t>-</w:t>
            </w:r>
          </w:p>
        </w:tc>
        <w:tc>
          <w:tcPr>
            <w:tcW w:w="2041" w:type="dxa"/>
            <w:vMerge w:val="restart"/>
            <w:vAlign w:val="center"/>
          </w:tcPr>
          <w:p w14:paraId="6EE43860" w14:textId="77777777" w:rsidR="00454A29" w:rsidRDefault="00454A29">
            <w:pPr>
              <w:pStyle w:val="ConsPlusNormal"/>
              <w:jc w:val="center"/>
            </w:pPr>
            <w:r>
              <w:t>-</w:t>
            </w:r>
          </w:p>
        </w:tc>
        <w:tc>
          <w:tcPr>
            <w:tcW w:w="2098" w:type="dxa"/>
            <w:vAlign w:val="center"/>
          </w:tcPr>
          <w:p w14:paraId="4453AA4B" w14:textId="77777777" w:rsidR="00454A29" w:rsidRDefault="00454A29">
            <w:pPr>
              <w:pStyle w:val="ConsPlusNormal"/>
              <w:jc w:val="center"/>
            </w:pPr>
            <w:r>
              <w:t>Итого</w:t>
            </w:r>
          </w:p>
        </w:tc>
        <w:tc>
          <w:tcPr>
            <w:tcW w:w="1814" w:type="dxa"/>
            <w:vAlign w:val="center"/>
          </w:tcPr>
          <w:p w14:paraId="58B8DCFB" w14:textId="77777777" w:rsidR="00454A29" w:rsidRDefault="00454A29">
            <w:pPr>
              <w:pStyle w:val="ConsPlusNormal"/>
              <w:jc w:val="center"/>
            </w:pPr>
            <w:r>
              <w:t>0,00</w:t>
            </w:r>
          </w:p>
        </w:tc>
        <w:tc>
          <w:tcPr>
            <w:tcW w:w="1701" w:type="dxa"/>
            <w:vAlign w:val="center"/>
          </w:tcPr>
          <w:p w14:paraId="47026BF0" w14:textId="77777777" w:rsidR="00454A29" w:rsidRDefault="00454A29">
            <w:pPr>
              <w:pStyle w:val="ConsPlusNormal"/>
              <w:jc w:val="center"/>
            </w:pPr>
            <w:r>
              <w:t>3 154,98</w:t>
            </w:r>
          </w:p>
        </w:tc>
        <w:tc>
          <w:tcPr>
            <w:tcW w:w="1701" w:type="dxa"/>
            <w:vAlign w:val="center"/>
          </w:tcPr>
          <w:p w14:paraId="42F3BF76" w14:textId="77777777" w:rsidR="00454A29" w:rsidRDefault="00454A29">
            <w:pPr>
              <w:pStyle w:val="ConsPlusNormal"/>
              <w:jc w:val="center"/>
            </w:pPr>
            <w:r>
              <w:t>0,00</w:t>
            </w:r>
          </w:p>
        </w:tc>
        <w:tc>
          <w:tcPr>
            <w:tcW w:w="1701" w:type="dxa"/>
            <w:vAlign w:val="center"/>
          </w:tcPr>
          <w:p w14:paraId="1C04F394" w14:textId="77777777" w:rsidR="00454A29" w:rsidRDefault="00454A29">
            <w:pPr>
              <w:pStyle w:val="ConsPlusNormal"/>
              <w:jc w:val="center"/>
            </w:pPr>
            <w:r>
              <w:t>0,00</w:t>
            </w:r>
          </w:p>
        </w:tc>
        <w:tc>
          <w:tcPr>
            <w:tcW w:w="1701" w:type="dxa"/>
            <w:vAlign w:val="center"/>
          </w:tcPr>
          <w:p w14:paraId="050122DA" w14:textId="77777777" w:rsidR="00454A29" w:rsidRDefault="00454A29">
            <w:pPr>
              <w:pStyle w:val="ConsPlusNormal"/>
              <w:jc w:val="center"/>
            </w:pPr>
            <w:r>
              <w:t>0,00</w:t>
            </w:r>
          </w:p>
        </w:tc>
        <w:tc>
          <w:tcPr>
            <w:tcW w:w="1701" w:type="dxa"/>
            <w:vAlign w:val="center"/>
          </w:tcPr>
          <w:p w14:paraId="17A2AD82" w14:textId="77777777" w:rsidR="00454A29" w:rsidRDefault="00454A29">
            <w:pPr>
              <w:pStyle w:val="ConsPlusNormal"/>
              <w:jc w:val="center"/>
            </w:pPr>
            <w:r>
              <w:t>0,00</w:t>
            </w:r>
          </w:p>
        </w:tc>
        <w:tc>
          <w:tcPr>
            <w:tcW w:w="1701" w:type="dxa"/>
            <w:vAlign w:val="center"/>
          </w:tcPr>
          <w:p w14:paraId="56E7236D" w14:textId="77777777" w:rsidR="00454A29" w:rsidRDefault="00454A29">
            <w:pPr>
              <w:pStyle w:val="ConsPlusNormal"/>
              <w:jc w:val="center"/>
            </w:pPr>
            <w:r>
              <w:t>0,00</w:t>
            </w:r>
          </w:p>
        </w:tc>
      </w:tr>
      <w:tr w:rsidR="00454A29" w14:paraId="01A97CDA" w14:textId="77777777">
        <w:tc>
          <w:tcPr>
            <w:tcW w:w="964" w:type="dxa"/>
            <w:vMerge/>
          </w:tcPr>
          <w:p w14:paraId="46FA88BF" w14:textId="77777777" w:rsidR="00454A29" w:rsidRDefault="00454A29"/>
        </w:tc>
        <w:tc>
          <w:tcPr>
            <w:tcW w:w="2154" w:type="dxa"/>
            <w:vMerge/>
            <w:tcBorders>
              <w:top w:val="nil"/>
              <w:bottom w:val="nil"/>
            </w:tcBorders>
          </w:tcPr>
          <w:p w14:paraId="145CED38" w14:textId="77777777" w:rsidR="00454A29" w:rsidRDefault="00454A29"/>
        </w:tc>
        <w:tc>
          <w:tcPr>
            <w:tcW w:w="2154" w:type="dxa"/>
            <w:vMerge/>
            <w:tcBorders>
              <w:top w:val="nil"/>
              <w:bottom w:val="nil"/>
            </w:tcBorders>
          </w:tcPr>
          <w:p w14:paraId="4C052B0D" w14:textId="77777777" w:rsidR="00454A29" w:rsidRDefault="00454A29"/>
        </w:tc>
        <w:tc>
          <w:tcPr>
            <w:tcW w:w="2665" w:type="dxa"/>
            <w:vMerge/>
          </w:tcPr>
          <w:p w14:paraId="7D5163EA" w14:textId="77777777" w:rsidR="00454A29" w:rsidRDefault="00454A29"/>
        </w:tc>
        <w:tc>
          <w:tcPr>
            <w:tcW w:w="2665" w:type="dxa"/>
            <w:vMerge/>
          </w:tcPr>
          <w:p w14:paraId="3673122D" w14:textId="77777777" w:rsidR="00454A29" w:rsidRDefault="00454A29"/>
        </w:tc>
        <w:tc>
          <w:tcPr>
            <w:tcW w:w="1928" w:type="dxa"/>
            <w:vMerge/>
          </w:tcPr>
          <w:p w14:paraId="778D2016" w14:textId="77777777" w:rsidR="00454A29" w:rsidRDefault="00454A29"/>
        </w:tc>
        <w:tc>
          <w:tcPr>
            <w:tcW w:w="1644" w:type="dxa"/>
            <w:vMerge/>
          </w:tcPr>
          <w:p w14:paraId="7C14E0BA" w14:textId="77777777" w:rsidR="00454A29" w:rsidRDefault="00454A29"/>
        </w:tc>
        <w:tc>
          <w:tcPr>
            <w:tcW w:w="2041" w:type="dxa"/>
            <w:vMerge/>
          </w:tcPr>
          <w:p w14:paraId="47FE3FC6" w14:textId="77777777" w:rsidR="00454A29" w:rsidRDefault="00454A29"/>
        </w:tc>
        <w:tc>
          <w:tcPr>
            <w:tcW w:w="2098" w:type="dxa"/>
            <w:vAlign w:val="center"/>
          </w:tcPr>
          <w:p w14:paraId="7FE160AC"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446AD36" w14:textId="77777777" w:rsidR="00454A29" w:rsidRDefault="00454A29">
            <w:pPr>
              <w:pStyle w:val="ConsPlusNormal"/>
              <w:jc w:val="center"/>
            </w:pPr>
            <w:r>
              <w:t>0,00</w:t>
            </w:r>
          </w:p>
        </w:tc>
        <w:tc>
          <w:tcPr>
            <w:tcW w:w="1701" w:type="dxa"/>
            <w:vAlign w:val="center"/>
          </w:tcPr>
          <w:p w14:paraId="266F9482" w14:textId="77777777" w:rsidR="00454A29" w:rsidRDefault="00454A29">
            <w:pPr>
              <w:pStyle w:val="ConsPlusNormal"/>
              <w:jc w:val="center"/>
            </w:pPr>
            <w:r>
              <w:t>3 154,98</w:t>
            </w:r>
          </w:p>
        </w:tc>
        <w:tc>
          <w:tcPr>
            <w:tcW w:w="1701" w:type="dxa"/>
            <w:vAlign w:val="center"/>
          </w:tcPr>
          <w:p w14:paraId="21A1194B" w14:textId="77777777" w:rsidR="00454A29" w:rsidRDefault="00454A29">
            <w:pPr>
              <w:pStyle w:val="ConsPlusNormal"/>
              <w:jc w:val="center"/>
            </w:pPr>
            <w:r>
              <w:t>0,00</w:t>
            </w:r>
          </w:p>
        </w:tc>
        <w:tc>
          <w:tcPr>
            <w:tcW w:w="1701" w:type="dxa"/>
            <w:vAlign w:val="center"/>
          </w:tcPr>
          <w:p w14:paraId="3C541276" w14:textId="77777777" w:rsidR="00454A29" w:rsidRDefault="00454A29">
            <w:pPr>
              <w:pStyle w:val="ConsPlusNormal"/>
              <w:jc w:val="center"/>
            </w:pPr>
            <w:r>
              <w:t>0,00</w:t>
            </w:r>
          </w:p>
        </w:tc>
        <w:tc>
          <w:tcPr>
            <w:tcW w:w="1701" w:type="dxa"/>
            <w:vAlign w:val="center"/>
          </w:tcPr>
          <w:p w14:paraId="005505E6" w14:textId="77777777" w:rsidR="00454A29" w:rsidRDefault="00454A29">
            <w:pPr>
              <w:pStyle w:val="ConsPlusNormal"/>
              <w:jc w:val="center"/>
            </w:pPr>
            <w:r>
              <w:t>0,00</w:t>
            </w:r>
          </w:p>
        </w:tc>
        <w:tc>
          <w:tcPr>
            <w:tcW w:w="1701" w:type="dxa"/>
            <w:vAlign w:val="center"/>
          </w:tcPr>
          <w:p w14:paraId="58CFF18A" w14:textId="77777777" w:rsidR="00454A29" w:rsidRDefault="00454A29">
            <w:pPr>
              <w:pStyle w:val="ConsPlusNormal"/>
              <w:jc w:val="center"/>
            </w:pPr>
            <w:r>
              <w:t>0,00</w:t>
            </w:r>
          </w:p>
        </w:tc>
        <w:tc>
          <w:tcPr>
            <w:tcW w:w="1701" w:type="dxa"/>
            <w:vAlign w:val="center"/>
          </w:tcPr>
          <w:p w14:paraId="3C7222B0" w14:textId="77777777" w:rsidR="00454A29" w:rsidRDefault="00454A29">
            <w:pPr>
              <w:pStyle w:val="ConsPlusNormal"/>
              <w:jc w:val="center"/>
            </w:pPr>
            <w:r>
              <w:t>0,00</w:t>
            </w:r>
          </w:p>
        </w:tc>
      </w:tr>
      <w:tr w:rsidR="00454A29" w14:paraId="0D7C6667" w14:textId="77777777">
        <w:tc>
          <w:tcPr>
            <w:tcW w:w="964" w:type="dxa"/>
            <w:vMerge/>
          </w:tcPr>
          <w:p w14:paraId="5E277289" w14:textId="77777777" w:rsidR="00454A29" w:rsidRDefault="00454A29"/>
        </w:tc>
        <w:tc>
          <w:tcPr>
            <w:tcW w:w="2154" w:type="dxa"/>
            <w:vMerge/>
            <w:tcBorders>
              <w:top w:val="nil"/>
              <w:bottom w:val="nil"/>
            </w:tcBorders>
          </w:tcPr>
          <w:p w14:paraId="2A61EC94" w14:textId="77777777" w:rsidR="00454A29" w:rsidRDefault="00454A29"/>
        </w:tc>
        <w:tc>
          <w:tcPr>
            <w:tcW w:w="2154" w:type="dxa"/>
            <w:vMerge/>
            <w:tcBorders>
              <w:top w:val="nil"/>
              <w:bottom w:val="nil"/>
            </w:tcBorders>
          </w:tcPr>
          <w:p w14:paraId="09BDC3E8" w14:textId="77777777" w:rsidR="00454A29" w:rsidRDefault="00454A29"/>
        </w:tc>
        <w:tc>
          <w:tcPr>
            <w:tcW w:w="2665" w:type="dxa"/>
            <w:vMerge/>
          </w:tcPr>
          <w:p w14:paraId="50116276" w14:textId="77777777" w:rsidR="00454A29" w:rsidRDefault="00454A29"/>
        </w:tc>
        <w:tc>
          <w:tcPr>
            <w:tcW w:w="2665" w:type="dxa"/>
            <w:vMerge/>
          </w:tcPr>
          <w:p w14:paraId="45FB3823" w14:textId="77777777" w:rsidR="00454A29" w:rsidRDefault="00454A29"/>
        </w:tc>
        <w:tc>
          <w:tcPr>
            <w:tcW w:w="1928" w:type="dxa"/>
            <w:vMerge/>
          </w:tcPr>
          <w:p w14:paraId="51A56670" w14:textId="77777777" w:rsidR="00454A29" w:rsidRDefault="00454A29"/>
        </w:tc>
        <w:tc>
          <w:tcPr>
            <w:tcW w:w="1644" w:type="dxa"/>
            <w:vMerge/>
          </w:tcPr>
          <w:p w14:paraId="5157BAB7" w14:textId="77777777" w:rsidR="00454A29" w:rsidRDefault="00454A29"/>
        </w:tc>
        <w:tc>
          <w:tcPr>
            <w:tcW w:w="2041" w:type="dxa"/>
            <w:vMerge/>
          </w:tcPr>
          <w:p w14:paraId="2DA2EB21" w14:textId="77777777" w:rsidR="00454A29" w:rsidRDefault="00454A29"/>
        </w:tc>
        <w:tc>
          <w:tcPr>
            <w:tcW w:w="2098" w:type="dxa"/>
            <w:vAlign w:val="center"/>
          </w:tcPr>
          <w:p w14:paraId="5E231300" w14:textId="77777777" w:rsidR="00454A29" w:rsidRDefault="00454A29">
            <w:pPr>
              <w:pStyle w:val="ConsPlusNormal"/>
              <w:jc w:val="center"/>
            </w:pPr>
            <w:r>
              <w:t>Федеральный бюджет</w:t>
            </w:r>
          </w:p>
        </w:tc>
        <w:tc>
          <w:tcPr>
            <w:tcW w:w="1814" w:type="dxa"/>
            <w:vAlign w:val="center"/>
          </w:tcPr>
          <w:p w14:paraId="029CC1D1" w14:textId="77777777" w:rsidR="00454A29" w:rsidRDefault="00454A29">
            <w:pPr>
              <w:pStyle w:val="ConsPlusNormal"/>
              <w:jc w:val="center"/>
            </w:pPr>
            <w:r>
              <w:t>0,00</w:t>
            </w:r>
          </w:p>
        </w:tc>
        <w:tc>
          <w:tcPr>
            <w:tcW w:w="1701" w:type="dxa"/>
            <w:vAlign w:val="center"/>
          </w:tcPr>
          <w:p w14:paraId="52C42818" w14:textId="77777777" w:rsidR="00454A29" w:rsidRDefault="00454A29">
            <w:pPr>
              <w:pStyle w:val="ConsPlusNormal"/>
              <w:jc w:val="center"/>
            </w:pPr>
            <w:r>
              <w:t>0,00</w:t>
            </w:r>
          </w:p>
        </w:tc>
        <w:tc>
          <w:tcPr>
            <w:tcW w:w="1701" w:type="dxa"/>
            <w:vAlign w:val="center"/>
          </w:tcPr>
          <w:p w14:paraId="4A431143" w14:textId="77777777" w:rsidR="00454A29" w:rsidRDefault="00454A29">
            <w:pPr>
              <w:pStyle w:val="ConsPlusNormal"/>
              <w:jc w:val="center"/>
            </w:pPr>
            <w:r>
              <w:t>0,00</w:t>
            </w:r>
          </w:p>
        </w:tc>
        <w:tc>
          <w:tcPr>
            <w:tcW w:w="1701" w:type="dxa"/>
            <w:vAlign w:val="center"/>
          </w:tcPr>
          <w:p w14:paraId="09FA2171" w14:textId="77777777" w:rsidR="00454A29" w:rsidRDefault="00454A29">
            <w:pPr>
              <w:pStyle w:val="ConsPlusNormal"/>
              <w:jc w:val="center"/>
            </w:pPr>
            <w:r>
              <w:t>0,00</w:t>
            </w:r>
          </w:p>
        </w:tc>
        <w:tc>
          <w:tcPr>
            <w:tcW w:w="1701" w:type="dxa"/>
            <w:vAlign w:val="center"/>
          </w:tcPr>
          <w:p w14:paraId="5BE1A751" w14:textId="77777777" w:rsidR="00454A29" w:rsidRDefault="00454A29">
            <w:pPr>
              <w:pStyle w:val="ConsPlusNormal"/>
              <w:jc w:val="center"/>
            </w:pPr>
            <w:r>
              <w:t>0,00</w:t>
            </w:r>
          </w:p>
        </w:tc>
        <w:tc>
          <w:tcPr>
            <w:tcW w:w="1701" w:type="dxa"/>
            <w:vAlign w:val="center"/>
          </w:tcPr>
          <w:p w14:paraId="7ADCC243" w14:textId="77777777" w:rsidR="00454A29" w:rsidRDefault="00454A29">
            <w:pPr>
              <w:pStyle w:val="ConsPlusNormal"/>
              <w:jc w:val="center"/>
            </w:pPr>
            <w:r>
              <w:t>0,00</w:t>
            </w:r>
          </w:p>
        </w:tc>
        <w:tc>
          <w:tcPr>
            <w:tcW w:w="1701" w:type="dxa"/>
            <w:vAlign w:val="center"/>
          </w:tcPr>
          <w:p w14:paraId="02157D81" w14:textId="77777777" w:rsidR="00454A29" w:rsidRDefault="00454A29">
            <w:pPr>
              <w:pStyle w:val="ConsPlusNormal"/>
              <w:jc w:val="center"/>
            </w:pPr>
            <w:r>
              <w:t>0,00</w:t>
            </w:r>
          </w:p>
        </w:tc>
      </w:tr>
      <w:tr w:rsidR="00454A29" w14:paraId="293522FF" w14:textId="77777777">
        <w:tc>
          <w:tcPr>
            <w:tcW w:w="964" w:type="dxa"/>
            <w:vMerge/>
          </w:tcPr>
          <w:p w14:paraId="78713B28" w14:textId="77777777" w:rsidR="00454A29" w:rsidRDefault="00454A29"/>
        </w:tc>
        <w:tc>
          <w:tcPr>
            <w:tcW w:w="2154" w:type="dxa"/>
            <w:vMerge/>
            <w:tcBorders>
              <w:top w:val="nil"/>
              <w:bottom w:val="nil"/>
            </w:tcBorders>
          </w:tcPr>
          <w:p w14:paraId="2AF77826" w14:textId="77777777" w:rsidR="00454A29" w:rsidRDefault="00454A29"/>
        </w:tc>
        <w:tc>
          <w:tcPr>
            <w:tcW w:w="2154" w:type="dxa"/>
            <w:vMerge/>
            <w:tcBorders>
              <w:top w:val="nil"/>
              <w:bottom w:val="nil"/>
            </w:tcBorders>
          </w:tcPr>
          <w:p w14:paraId="72C92524" w14:textId="77777777" w:rsidR="00454A29" w:rsidRDefault="00454A29"/>
        </w:tc>
        <w:tc>
          <w:tcPr>
            <w:tcW w:w="2665" w:type="dxa"/>
            <w:vMerge/>
          </w:tcPr>
          <w:p w14:paraId="29A2C007" w14:textId="77777777" w:rsidR="00454A29" w:rsidRDefault="00454A29"/>
        </w:tc>
        <w:tc>
          <w:tcPr>
            <w:tcW w:w="2665" w:type="dxa"/>
            <w:vMerge/>
          </w:tcPr>
          <w:p w14:paraId="63ADA063" w14:textId="77777777" w:rsidR="00454A29" w:rsidRDefault="00454A29"/>
        </w:tc>
        <w:tc>
          <w:tcPr>
            <w:tcW w:w="1928" w:type="dxa"/>
            <w:vMerge/>
          </w:tcPr>
          <w:p w14:paraId="16EED99F" w14:textId="77777777" w:rsidR="00454A29" w:rsidRDefault="00454A29"/>
        </w:tc>
        <w:tc>
          <w:tcPr>
            <w:tcW w:w="1644" w:type="dxa"/>
            <w:vMerge/>
          </w:tcPr>
          <w:p w14:paraId="641F7290" w14:textId="77777777" w:rsidR="00454A29" w:rsidRDefault="00454A29"/>
        </w:tc>
        <w:tc>
          <w:tcPr>
            <w:tcW w:w="2041" w:type="dxa"/>
            <w:vMerge/>
          </w:tcPr>
          <w:p w14:paraId="257AFB4B" w14:textId="77777777" w:rsidR="00454A29" w:rsidRDefault="00454A29"/>
        </w:tc>
        <w:tc>
          <w:tcPr>
            <w:tcW w:w="2098" w:type="dxa"/>
            <w:vAlign w:val="center"/>
          </w:tcPr>
          <w:p w14:paraId="7A07452F" w14:textId="77777777" w:rsidR="00454A29" w:rsidRDefault="00454A29">
            <w:pPr>
              <w:pStyle w:val="ConsPlusNormal"/>
              <w:jc w:val="center"/>
            </w:pPr>
            <w:r>
              <w:t>Местные бюджеты</w:t>
            </w:r>
          </w:p>
        </w:tc>
        <w:tc>
          <w:tcPr>
            <w:tcW w:w="1814" w:type="dxa"/>
            <w:vAlign w:val="center"/>
          </w:tcPr>
          <w:p w14:paraId="03F60D38" w14:textId="77777777" w:rsidR="00454A29" w:rsidRDefault="00454A29">
            <w:pPr>
              <w:pStyle w:val="ConsPlusNormal"/>
              <w:jc w:val="center"/>
            </w:pPr>
            <w:r>
              <w:t>0,00</w:t>
            </w:r>
          </w:p>
        </w:tc>
        <w:tc>
          <w:tcPr>
            <w:tcW w:w="1701" w:type="dxa"/>
            <w:vAlign w:val="center"/>
          </w:tcPr>
          <w:p w14:paraId="1165DB9D" w14:textId="77777777" w:rsidR="00454A29" w:rsidRDefault="00454A29">
            <w:pPr>
              <w:pStyle w:val="ConsPlusNormal"/>
              <w:jc w:val="center"/>
            </w:pPr>
            <w:r>
              <w:t>0,00</w:t>
            </w:r>
          </w:p>
        </w:tc>
        <w:tc>
          <w:tcPr>
            <w:tcW w:w="1701" w:type="dxa"/>
            <w:vAlign w:val="center"/>
          </w:tcPr>
          <w:p w14:paraId="0BA6C757" w14:textId="77777777" w:rsidR="00454A29" w:rsidRDefault="00454A29">
            <w:pPr>
              <w:pStyle w:val="ConsPlusNormal"/>
              <w:jc w:val="center"/>
            </w:pPr>
            <w:r>
              <w:t>0,00</w:t>
            </w:r>
          </w:p>
        </w:tc>
        <w:tc>
          <w:tcPr>
            <w:tcW w:w="1701" w:type="dxa"/>
            <w:vAlign w:val="center"/>
          </w:tcPr>
          <w:p w14:paraId="183A1C04" w14:textId="77777777" w:rsidR="00454A29" w:rsidRDefault="00454A29">
            <w:pPr>
              <w:pStyle w:val="ConsPlusNormal"/>
              <w:jc w:val="center"/>
            </w:pPr>
            <w:r>
              <w:t>0,00</w:t>
            </w:r>
          </w:p>
        </w:tc>
        <w:tc>
          <w:tcPr>
            <w:tcW w:w="1701" w:type="dxa"/>
            <w:vAlign w:val="center"/>
          </w:tcPr>
          <w:p w14:paraId="08517CE7" w14:textId="77777777" w:rsidR="00454A29" w:rsidRDefault="00454A29">
            <w:pPr>
              <w:pStyle w:val="ConsPlusNormal"/>
              <w:jc w:val="center"/>
            </w:pPr>
            <w:r>
              <w:t>0,00</w:t>
            </w:r>
          </w:p>
        </w:tc>
        <w:tc>
          <w:tcPr>
            <w:tcW w:w="1701" w:type="dxa"/>
            <w:vAlign w:val="center"/>
          </w:tcPr>
          <w:p w14:paraId="39316D47" w14:textId="77777777" w:rsidR="00454A29" w:rsidRDefault="00454A29">
            <w:pPr>
              <w:pStyle w:val="ConsPlusNormal"/>
              <w:jc w:val="center"/>
            </w:pPr>
            <w:r>
              <w:t>0,00</w:t>
            </w:r>
          </w:p>
        </w:tc>
        <w:tc>
          <w:tcPr>
            <w:tcW w:w="1701" w:type="dxa"/>
            <w:vAlign w:val="center"/>
          </w:tcPr>
          <w:p w14:paraId="383A21F2" w14:textId="77777777" w:rsidR="00454A29" w:rsidRDefault="00454A29">
            <w:pPr>
              <w:pStyle w:val="ConsPlusNormal"/>
              <w:jc w:val="center"/>
            </w:pPr>
            <w:r>
              <w:t>0,00</w:t>
            </w:r>
          </w:p>
        </w:tc>
      </w:tr>
      <w:tr w:rsidR="00454A29" w14:paraId="12F40676" w14:textId="77777777">
        <w:tc>
          <w:tcPr>
            <w:tcW w:w="964" w:type="dxa"/>
            <w:vMerge/>
          </w:tcPr>
          <w:p w14:paraId="768C618E" w14:textId="77777777" w:rsidR="00454A29" w:rsidRDefault="00454A29"/>
        </w:tc>
        <w:tc>
          <w:tcPr>
            <w:tcW w:w="2154" w:type="dxa"/>
            <w:vMerge/>
            <w:tcBorders>
              <w:top w:val="nil"/>
              <w:bottom w:val="nil"/>
            </w:tcBorders>
          </w:tcPr>
          <w:p w14:paraId="02878B63" w14:textId="77777777" w:rsidR="00454A29" w:rsidRDefault="00454A29"/>
        </w:tc>
        <w:tc>
          <w:tcPr>
            <w:tcW w:w="2154" w:type="dxa"/>
            <w:vMerge/>
            <w:tcBorders>
              <w:top w:val="nil"/>
              <w:bottom w:val="nil"/>
            </w:tcBorders>
          </w:tcPr>
          <w:p w14:paraId="24FAFFC0" w14:textId="77777777" w:rsidR="00454A29" w:rsidRDefault="00454A29"/>
        </w:tc>
        <w:tc>
          <w:tcPr>
            <w:tcW w:w="2665" w:type="dxa"/>
            <w:vMerge/>
          </w:tcPr>
          <w:p w14:paraId="4C3237BA" w14:textId="77777777" w:rsidR="00454A29" w:rsidRDefault="00454A29"/>
        </w:tc>
        <w:tc>
          <w:tcPr>
            <w:tcW w:w="2665" w:type="dxa"/>
            <w:vMerge/>
          </w:tcPr>
          <w:p w14:paraId="3D90B648" w14:textId="77777777" w:rsidR="00454A29" w:rsidRDefault="00454A29"/>
        </w:tc>
        <w:tc>
          <w:tcPr>
            <w:tcW w:w="1928" w:type="dxa"/>
            <w:vMerge/>
          </w:tcPr>
          <w:p w14:paraId="73ADCE95" w14:textId="77777777" w:rsidR="00454A29" w:rsidRDefault="00454A29"/>
        </w:tc>
        <w:tc>
          <w:tcPr>
            <w:tcW w:w="1644" w:type="dxa"/>
            <w:vMerge/>
          </w:tcPr>
          <w:p w14:paraId="6DDB0F94" w14:textId="77777777" w:rsidR="00454A29" w:rsidRDefault="00454A29"/>
        </w:tc>
        <w:tc>
          <w:tcPr>
            <w:tcW w:w="2041" w:type="dxa"/>
            <w:vMerge/>
          </w:tcPr>
          <w:p w14:paraId="07F19EE0" w14:textId="77777777" w:rsidR="00454A29" w:rsidRDefault="00454A29"/>
        </w:tc>
        <w:tc>
          <w:tcPr>
            <w:tcW w:w="2098" w:type="dxa"/>
            <w:vAlign w:val="center"/>
          </w:tcPr>
          <w:p w14:paraId="5B689F76" w14:textId="77777777" w:rsidR="00454A29" w:rsidRDefault="00454A29">
            <w:pPr>
              <w:pStyle w:val="ConsPlusNormal"/>
              <w:jc w:val="center"/>
            </w:pPr>
            <w:r>
              <w:t>Внебюджетные средства</w:t>
            </w:r>
          </w:p>
        </w:tc>
        <w:tc>
          <w:tcPr>
            <w:tcW w:w="1814" w:type="dxa"/>
            <w:vAlign w:val="center"/>
          </w:tcPr>
          <w:p w14:paraId="57BA5286" w14:textId="77777777" w:rsidR="00454A29" w:rsidRDefault="00454A29">
            <w:pPr>
              <w:pStyle w:val="ConsPlusNormal"/>
              <w:jc w:val="center"/>
            </w:pPr>
            <w:r>
              <w:t>0,00</w:t>
            </w:r>
          </w:p>
        </w:tc>
        <w:tc>
          <w:tcPr>
            <w:tcW w:w="1701" w:type="dxa"/>
            <w:vAlign w:val="center"/>
          </w:tcPr>
          <w:p w14:paraId="21FCC4A9" w14:textId="77777777" w:rsidR="00454A29" w:rsidRDefault="00454A29">
            <w:pPr>
              <w:pStyle w:val="ConsPlusNormal"/>
              <w:jc w:val="center"/>
            </w:pPr>
            <w:r>
              <w:t>0,00</w:t>
            </w:r>
          </w:p>
        </w:tc>
        <w:tc>
          <w:tcPr>
            <w:tcW w:w="1701" w:type="dxa"/>
            <w:vAlign w:val="center"/>
          </w:tcPr>
          <w:p w14:paraId="79114309" w14:textId="77777777" w:rsidR="00454A29" w:rsidRDefault="00454A29">
            <w:pPr>
              <w:pStyle w:val="ConsPlusNormal"/>
              <w:jc w:val="center"/>
            </w:pPr>
            <w:r>
              <w:t>0,00</w:t>
            </w:r>
          </w:p>
        </w:tc>
        <w:tc>
          <w:tcPr>
            <w:tcW w:w="1701" w:type="dxa"/>
            <w:vAlign w:val="center"/>
          </w:tcPr>
          <w:p w14:paraId="2645A097" w14:textId="77777777" w:rsidR="00454A29" w:rsidRDefault="00454A29">
            <w:pPr>
              <w:pStyle w:val="ConsPlusNormal"/>
              <w:jc w:val="center"/>
            </w:pPr>
            <w:r>
              <w:t>0,00</w:t>
            </w:r>
          </w:p>
        </w:tc>
        <w:tc>
          <w:tcPr>
            <w:tcW w:w="1701" w:type="dxa"/>
            <w:vAlign w:val="center"/>
          </w:tcPr>
          <w:p w14:paraId="582E7F1F" w14:textId="77777777" w:rsidR="00454A29" w:rsidRDefault="00454A29">
            <w:pPr>
              <w:pStyle w:val="ConsPlusNormal"/>
              <w:jc w:val="center"/>
            </w:pPr>
            <w:r>
              <w:t>0,00</w:t>
            </w:r>
          </w:p>
        </w:tc>
        <w:tc>
          <w:tcPr>
            <w:tcW w:w="1701" w:type="dxa"/>
            <w:vAlign w:val="center"/>
          </w:tcPr>
          <w:p w14:paraId="0ACF9FEE" w14:textId="77777777" w:rsidR="00454A29" w:rsidRDefault="00454A29">
            <w:pPr>
              <w:pStyle w:val="ConsPlusNormal"/>
              <w:jc w:val="center"/>
            </w:pPr>
            <w:r>
              <w:t>0,00</w:t>
            </w:r>
          </w:p>
        </w:tc>
        <w:tc>
          <w:tcPr>
            <w:tcW w:w="1701" w:type="dxa"/>
            <w:vAlign w:val="center"/>
          </w:tcPr>
          <w:p w14:paraId="5A3734DE" w14:textId="77777777" w:rsidR="00454A29" w:rsidRDefault="00454A29">
            <w:pPr>
              <w:pStyle w:val="ConsPlusNormal"/>
              <w:jc w:val="center"/>
            </w:pPr>
            <w:r>
              <w:t>0,00</w:t>
            </w:r>
          </w:p>
        </w:tc>
      </w:tr>
      <w:tr w:rsidR="00454A29" w14:paraId="0FA05950" w14:textId="77777777">
        <w:tc>
          <w:tcPr>
            <w:tcW w:w="964" w:type="dxa"/>
            <w:vMerge w:val="restart"/>
            <w:vAlign w:val="center"/>
          </w:tcPr>
          <w:p w14:paraId="36A8A03B" w14:textId="77777777" w:rsidR="00454A29" w:rsidRDefault="00454A29">
            <w:pPr>
              <w:pStyle w:val="ConsPlusNormal"/>
              <w:jc w:val="center"/>
            </w:pPr>
            <w:r>
              <w:t>2.10.</w:t>
            </w:r>
          </w:p>
        </w:tc>
        <w:tc>
          <w:tcPr>
            <w:tcW w:w="2154" w:type="dxa"/>
            <w:vMerge w:val="restart"/>
            <w:tcBorders>
              <w:top w:val="nil"/>
              <w:bottom w:val="nil"/>
            </w:tcBorders>
            <w:vAlign w:val="center"/>
          </w:tcPr>
          <w:p w14:paraId="7E17B638" w14:textId="77777777" w:rsidR="00454A29" w:rsidRDefault="00454A29">
            <w:pPr>
              <w:pStyle w:val="ConsPlusNormal"/>
            </w:pPr>
          </w:p>
        </w:tc>
        <w:tc>
          <w:tcPr>
            <w:tcW w:w="2154" w:type="dxa"/>
            <w:vMerge w:val="restart"/>
            <w:tcBorders>
              <w:top w:val="nil"/>
              <w:bottom w:val="nil"/>
            </w:tcBorders>
            <w:vAlign w:val="center"/>
          </w:tcPr>
          <w:p w14:paraId="6EB68AC9" w14:textId="77777777" w:rsidR="00454A29" w:rsidRDefault="00454A29">
            <w:pPr>
              <w:pStyle w:val="ConsPlusNormal"/>
            </w:pPr>
          </w:p>
        </w:tc>
        <w:tc>
          <w:tcPr>
            <w:tcW w:w="2665" w:type="dxa"/>
            <w:vMerge w:val="restart"/>
            <w:vAlign w:val="center"/>
          </w:tcPr>
          <w:p w14:paraId="6BF73861" w14:textId="77777777" w:rsidR="00454A29" w:rsidRDefault="00454A29">
            <w:pPr>
              <w:pStyle w:val="ConsPlusNormal"/>
              <w:jc w:val="center"/>
            </w:pPr>
            <w:r>
              <w:t xml:space="preserve">Результат 10. Не менее чем 70% обучающихся организаций, осуществляющих образовательную деятельность по дополнительным общеобразовательным программам и </w:t>
            </w:r>
            <w:r>
              <w:lastRenderedPageBreak/>
              <w:t>расположенных в Республике Саха (Якутия), вовлечены в различные формы сопровождения, наставничества и шефства</w:t>
            </w:r>
          </w:p>
        </w:tc>
        <w:tc>
          <w:tcPr>
            <w:tcW w:w="2665" w:type="dxa"/>
            <w:vMerge w:val="restart"/>
            <w:vAlign w:val="center"/>
          </w:tcPr>
          <w:p w14:paraId="063AC8B8" w14:textId="77777777" w:rsidR="00454A29" w:rsidRDefault="00454A29">
            <w:pPr>
              <w:pStyle w:val="ConsPlusNormal"/>
              <w:jc w:val="center"/>
            </w:pPr>
            <w:r>
              <w:lastRenderedPageBreak/>
              <w:t xml:space="preserve">Мероприятие 4.3.10. Реализация различных форм сопровождения, наставничества и шефства для обучающихся организаций, осуществляющих образовательную деятельность по </w:t>
            </w:r>
            <w:r>
              <w:lastRenderedPageBreak/>
              <w:t>дополнительным общеобразовательным программам</w:t>
            </w:r>
          </w:p>
        </w:tc>
        <w:tc>
          <w:tcPr>
            <w:tcW w:w="1928" w:type="dxa"/>
            <w:vMerge w:val="restart"/>
            <w:vAlign w:val="center"/>
          </w:tcPr>
          <w:p w14:paraId="1832E87A" w14:textId="77777777" w:rsidR="00454A29" w:rsidRDefault="00454A29">
            <w:pPr>
              <w:pStyle w:val="ConsPlusNormal"/>
              <w:jc w:val="center"/>
            </w:pPr>
            <w:r>
              <w:lastRenderedPageBreak/>
              <w:t>-</w:t>
            </w:r>
          </w:p>
        </w:tc>
        <w:tc>
          <w:tcPr>
            <w:tcW w:w="1644" w:type="dxa"/>
            <w:vMerge w:val="restart"/>
            <w:vAlign w:val="center"/>
          </w:tcPr>
          <w:p w14:paraId="740D5B8C" w14:textId="77777777" w:rsidR="00454A29" w:rsidRDefault="00454A29">
            <w:pPr>
              <w:pStyle w:val="ConsPlusNormal"/>
              <w:jc w:val="center"/>
            </w:pPr>
            <w:r>
              <w:t>-</w:t>
            </w:r>
          </w:p>
        </w:tc>
        <w:tc>
          <w:tcPr>
            <w:tcW w:w="2041" w:type="dxa"/>
            <w:vMerge w:val="restart"/>
            <w:vAlign w:val="center"/>
          </w:tcPr>
          <w:p w14:paraId="3F7DF1C9" w14:textId="77777777" w:rsidR="00454A29" w:rsidRDefault="00454A29">
            <w:pPr>
              <w:pStyle w:val="ConsPlusNormal"/>
              <w:jc w:val="center"/>
            </w:pPr>
            <w:r>
              <w:t>-</w:t>
            </w:r>
          </w:p>
        </w:tc>
        <w:tc>
          <w:tcPr>
            <w:tcW w:w="2098" w:type="dxa"/>
            <w:vAlign w:val="center"/>
          </w:tcPr>
          <w:p w14:paraId="5DB18376" w14:textId="77777777" w:rsidR="00454A29" w:rsidRDefault="00454A29">
            <w:pPr>
              <w:pStyle w:val="ConsPlusNormal"/>
              <w:jc w:val="center"/>
            </w:pPr>
            <w:r>
              <w:t>Итого</w:t>
            </w:r>
          </w:p>
        </w:tc>
        <w:tc>
          <w:tcPr>
            <w:tcW w:w="1814" w:type="dxa"/>
            <w:vAlign w:val="center"/>
          </w:tcPr>
          <w:p w14:paraId="7E0D1EBB" w14:textId="77777777" w:rsidR="00454A29" w:rsidRDefault="00454A29">
            <w:pPr>
              <w:pStyle w:val="ConsPlusNormal"/>
              <w:jc w:val="center"/>
            </w:pPr>
            <w:r>
              <w:t>0,00</w:t>
            </w:r>
          </w:p>
        </w:tc>
        <w:tc>
          <w:tcPr>
            <w:tcW w:w="1701" w:type="dxa"/>
            <w:vAlign w:val="center"/>
          </w:tcPr>
          <w:p w14:paraId="5860D61B" w14:textId="77777777" w:rsidR="00454A29" w:rsidRDefault="00454A29">
            <w:pPr>
              <w:pStyle w:val="ConsPlusNormal"/>
              <w:jc w:val="center"/>
            </w:pPr>
            <w:r>
              <w:t>0,00</w:t>
            </w:r>
          </w:p>
        </w:tc>
        <w:tc>
          <w:tcPr>
            <w:tcW w:w="1701" w:type="dxa"/>
            <w:vAlign w:val="center"/>
          </w:tcPr>
          <w:p w14:paraId="1602B27C" w14:textId="77777777" w:rsidR="00454A29" w:rsidRDefault="00454A29">
            <w:pPr>
              <w:pStyle w:val="ConsPlusNormal"/>
              <w:jc w:val="center"/>
            </w:pPr>
            <w:r>
              <w:t>0,00</w:t>
            </w:r>
          </w:p>
        </w:tc>
        <w:tc>
          <w:tcPr>
            <w:tcW w:w="1701" w:type="dxa"/>
            <w:vAlign w:val="center"/>
          </w:tcPr>
          <w:p w14:paraId="00860F60" w14:textId="77777777" w:rsidR="00454A29" w:rsidRDefault="00454A29">
            <w:pPr>
              <w:pStyle w:val="ConsPlusNormal"/>
              <w:jc w:val="center"/>
            </w:pPr>
            <w:r>
              <w:t>0,00</w:t>
            </w:r>
          </w:p>
        </w:tc>
        <w:tc>
          <w:tcPr>
            <w:tcW w:w="1701" w:type="dxa"/>
            <w:vAlign w:val="center"/>
          </w:tcPr>
          <w:p w14:paraId="32087E90" w14:textId="77777777" w:rsidR="00454A29" w:rsidRDefault="00454A29">
            <w:pPr>
              <w:pStyle w:val="ConsPlusNormal"/>
              <w:jc w:val="center"/>
            </w:pPr>
            <w:r>
              <w:t>0,00</w:t>
            </w:r>
          </w:p>
        </w:tc>
        <w:tc>
          <w:tcPr>
            <w:tcW w:w="1701" w:type="dxa"/>
            <w:vAlign w:val="center"/>
          </w:tcPr>
          <w:p w14:paraId="0AEC25FF" w14:textId="77777777" w:rsidR="00454A29" w:rsidRDefault="00454A29">
            <w:pPr>
              <w:pStyle w:val="ConsPlusNormal"/>
              <w:jc w:val="center"/>
            </w:pPr>
            <w:r>
              <w:t>0,00</w:t>
            </w:r>
          </w:p>
        </w:tc>
        <w:tc>
          <w:tcPr>
            <w:tcW w:w="1701" w:type="dxa"/>
            <w:vAlign w:val="center"/>
          </w:tcPr>
          <w:p w14:paraId="207A51C9" w14:textId="77777777" w:rsidR="00454A29" w:rsidRDefault="00454A29">
            <w:pPr>
              <w:pStyle w:val="ConsPlusNormal"/>
              <w:jc w:val="center"/>
            </w:pPr>
            <w:r>
              <w:t>0,00</w:t>
            </w:r>
          </w:p>
        </w:tc>
      </w:tr>
      <w:tr w:rsidR="00454A29" w14:paraId="395B74DF" w14:textId="77777777">
        <w:tc>
          <w:tcPr>
            <w:tcW w:w="964" w:type="dxa"/>
            <w:vMerge/>
          </w:tcPr>
          <w:p w14:paraId="158F0042" w14:textId="77777777" w:rsidR="00454A29" w:rsidRDefault="00454A29"/>
        </w:tc>
        <w:tc>
          <w:tcPr>
            <w:tcW w:w="2154" w:type="dxa"/>
            <w:vMerge/>
            <w:tcBorders>
              <w:top w:val="nil"/>
              <w:bottom w:val="nil"/>
            </w:tcBorders>
          </w:tcPr>
          <w:p w14:paraId="2A09A9EC" w14:textId="77777777" w:rsidR="00454A29" w:rsidRDefault="00454A29"/>
        </w:tc>
        <w:tc>
          <w:tcPr>
            <w:tcW w:w="2154" w:type="dxa"/>
            <w:vMerge/>
            <w:tcBorders>
              <w:top w:val="nil"/>
              <w:bottom w:val="nil"/>
            </w:tcBorders>
          </w:tcPr>
          <w:p w14:paraId="4FC89EEF" w14:textId="77777777" w:rsidR="00454A29" w:rsidRDefault="00454A29"/>
        </w:tc>
        <w:tc>
          <w:tcPr>
            <w:tcW w:w="2665" w:type="dxa"/>
            <w:vMerge/>
          </w:tcPr>
          <w:p w14:paraId="5E861100" w14:textId="77777777" w:rsidR="00454A29" w:rsidRDefault="00454A29"/>
        </w:tc>
        <w:tc>
          <w:tcPr>
            <w:tcW w:w="2665" w:type="dxa"/>
            <w:vMerge/>
          </w:tcPr>
          <w:p w14:paraId="58470ACF" w14:textId="77777777" w:rsidR="00454A29" w:rsidRDefault="00454A29"/>
        </w:tc>
        <w:tc>
          <w:tcPr>
            <w:tcW w:w="1928" w:type="dxa"/>
            <w:vMerge/>
          </w:tcPr>
          <w:p w14:paraId="387690EC" w14:textId="77777777" w:rsidR="00454A29" w:rsidRDefault="00454A29"/>
        </w:tc>
        <w:tc>
          <w:tcPr>
            <w:tcW w:w="1644" w:type="dxa"/>
            <w:vMerge/>
          </w:tcPr>
          <w:p w14:paraId="37A292E3" w14:textId="77777777" w:rsidR="00454A29" w:rsidRDefault="00454A29"/>
        </w:tc>
        <w:tc>
          <w:tcPr>
            <w:tcW w:w="2041" w:type="dxa"/>
            <w:vMerge/>
          </w:tcPr>
          <w:p w14:paraId="72E9F08B" w14:textId="77777777" w:rsidR="00454A29" w:rsidRDefault="00454A29"/>
        </w:tc>
        <w:tc>
          <w:tcPr>
            <w:tcW w:w="2098" w:type="dxa"/>
            <w:vAlign w:val="center"/>
          </w:tcPr>
          <w:p w14:paraId="13BDFBC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A710816" w14:textId="77777777" w:rsidR="00454A29" w:rsidRDefault="00454A29">
            <w:pPr>
              <w:pStyle w:val="ConsPlusNormal"/>
              <w:jc w:val="center"/>
            </w:pPr>
            <w:r>
              <w:t>0,00</w:t>
            </w:r>
          </w:p>
        </w:tc>
        <w:tc>
          <w:tcPr>
            <w:tcW w:w="1701" w:type="dxa"/>
            <w:vAlign w:val="center"/>
          </w:tcPr>
          <w:p w14:paraId="5D502B6D" w14:textId="77777777" w:rsidR="00454A29" w:rsidRDefault="00454A29">
            <w:pPr>
              <w:pStyle w:val="ConsPlusNormal"/>
              <w:jc w:val="center"/>
            </w:pPr>
            <w:r>
              <w:t>0,00</w:t>
            </w:r>
          </w:p>
        </w:tc>
        <w:tc>
          <w:tcPr>
            <w:tcW w:w="1701" w:type="dxa"/>
            <w:vAlign w:val="center"/>
          </w:tcPr>
          <w:p w14:paraId="679EE31D" w14:textId="77777777" w:rsidR="00454A29" w:rsidRDefault="00454A29">
            <w:pPr>
              <w:pStyle w:val="ConsPlusNormal"/>
              <w:jc w:val="center"/>
            </w:pPr>
            <w:r>
              <w:t>0,00</w:t>
            </w:r>
          </w:p>
        </w:tc>
        <w:tc>
          <w:tcPr>
            <w:tcW w:w="1701" w:type="dxa"/>
            <w:vAlign w:val="center"/>
          </w:tcPr>
          <w:p w14:paraId="557BCCAA" w14:textId="77777777" w:rsidR="00454A29" w:rsidRDefault="00454A29">
            <w:pPr>
              <w:pStyle w:val="ConsPlusNormal"/>
              <w:jc w:val="center"/>
            </w:pPr>
            <w:r>
              <w:t>0,00</w:t>
            </w:r>
          </w:p>
        </w:tc>
        <w:tc>
          <w:tcPr>
            <w:tcW w:w="1701" w:type="dxa"/>
            <w:vAlign w:val="center"/>
          </w:tcPr>
          <w:p w14:paraId="09677CA3" w14:textId="77777777" w:rsidR="00454A29" w:rsidRDefault="00454A29">
            <w:pPr>
              <w:pStyle w:val="ConsPlusNormal"/>
              <w:jc w:val="center"/>
            </w:pPr>
            <w:r>
              <w:t>0,00</w:t>
            </w:r>
          </w:p>
        </w:tc>
        <w:tc>
          <w:tcPr>
            <w:tcW w:w="1701" w:type="dxa"/>
            <w:vAlign w:val="center"/>
          </w:tcPr>
          <w:p w14:paraId="62253BC0" w14:textId="77777777" w:rsidR="00454A29" w:rsidRDefault="00454A29">
            <w:pPr>
              <w:pStyle w:val="ConsPlusNormal"/>
              <w:jc w:val="center"/>
            </w:pPr>
            <w:r>
              <w:t>0,00</w:t>
            </w:r>
          </w:p>
        </w:tc>
        <w:tc>
          <w:tcPr>
            <w:tcW w:w="1701" w:type="dxa"/>
            <w:vAlign w:val="center"/>
          </w:tcPr>
          <w:p w14:paraId="497219FA" w14:textId="77777777" w:rsidR="00454A29" w:rsidRDefault="00454A29">
            <w:pPr>
              <w:pStyle w:val="ConsPlusNormal"/>
              <w:jc w:val="center"/>
            </w:pPr>
            <w:r>
              <w:t>0,00</w:t>
            </w:r>
          </w:p>
        </w:tc>
      </w:tr>
      <w:tr w:rsidR="00454A29" w14:paraId="149604A8" w14:textId="77777777">
        <w:tc>
          <w:tcPr>
            <w:tcW w:w="964" w:type="dxa"/>
            <w:vMerge/>
          </w:tcPr>
          <w:p w14:paraId="049F5BD1" w14:textId="77777777" w:rsidR="00454A29" w:rsidRDefault="00454A29"/>
        </w:tc>
        <w:tc>
          <w:tcPr>
            <w:tcW w:w="2154" w:type="dxa"/>
            <w:vMerge/>
            <w:tcBorders>
              <w:top w:val="nil"/>
              <w:bottom w:val="nil"/>
            </w:tcBorders>
          </w:tcPr>
          <w:p w14:paraId="70921B5E" w14:textId="77777777" w:rsidR="00454A29" w:rsidRDefault="00454A29"/>
        </w:tc>
        <w:tc>
          <w:tcPr>
            <w:tcW w:w="2154" w:type="dxa"/>
            <w:vMerge/>
            <w:tcBorders>
              <w:top w:val="nil"/>
              <w:bottom w:val="nil"/>
            </w:tcBorders>
          </w:tcPr>
          <w:p w14:paraId="3030D910" w14:textId="77777777" w:rsidR="00454A29" w:rsidRDefault="00454A29"/>
        </w:tc>
        <w:tc>
          <w:tcPr>
            <w:tcW w:w="2665" w:type="dxa"/>
            <w:vMerge/>
          </w:tcPr>
          <w:p w14:paraId="5D0414A6" w14:textId="77777777" w:rsidR="00454A29" w:rsidRDefault="00454A29"/>
        </w:tc>
        <w:tc>
          <w:tcPr>
            <w:tcW w:w="2665" w:type="dxa"/>
            <w:vMerge/>
          </w:tcPr>
          <w:p w14:paraId="00991C58" w14:textId="77777777" w:rsidR="00454A29" w:rsidRDefault="00454A29"/>
        </w:tc>
        <w:tc>
          <w:tcPr>
            <w:tcW w:w="1928" w:type="dxa"/>
            <w:vMerge/>
          </w:tcPr>
          <w:p w14:paraId="0CE10F00" w14:textId="77777777" w:rsidR="00454A29" w:rsidRDefault="00454A29"/>
        </w:tc>
        <w:tc>
          <w:tcPr>
            <w:tcW w:w="1644" w:type="dxa"/>
            <w:vMerge/>
          </w:tcPr>
          <w:p w14:paraId="31091ADD" w14:textId="77777777" w:rsidR="00454A29" w:rsidRDefault="00454A29"/>
        </w:tc>
        <w:tc>
          <w:tcPr>
            <w:tcW w:w="2041" w:type="dxa"/>
            <w:vMerge/>
          </w:tcPr>
          <w:p w14:paraId="4558678A" w14:textId="77777777" w:rsidR="00454A29" w:rsidRDefault="00454A29"/>
        </w:tc>
        <w:tc>
          <w:tcPr>
            <w:tcW w:w="2098" w:type="dxa"/>
            <w:vAlign w:val="center"/>
          </w:tcPr>
          <w:p w14:paraId="6B88F3C2" w14:textId="77777777" w:rsidR="00454A29" w:rsidRDefault="00454A29">
            <w:pPr>
              <w:pStyle w:val="ConsPlusNormal"/>
              <w:jc w:val="center"/>
            </w:pPr>
            <w:r>
              <w:t>Федеральный бюджет</w:t>
            </w:r>
          </w:p>
        </w:tc>
        <w:tc>
          <w:tcPr>
            <w:tcW w:w="1814" w:type="dxa"/>
            <w:vAlign w:val="center"/>
          </w:tcPr>
          <w:p w14:paraId="7FFC3ABB" w14:textId="77777777" w:rsidR="00454A29" w:rsidRDefault="00454A29">
            <w:pPr>
              <w:pStyle w:val="ConsPlusNormal"/>
              <w:jc w:val="center"/>
            </w:pPr>
            <w:r>
              <w:t>0,00</w:t>
            </w:r>
          </w:p>
        </w:tc>
        <w:tc>
          <w:tcPr>
            <w:tcW w:w="1701" w:type="dxa"/>
            <w:vAlign w:val="center"/>
          </w:tcPr>
          <w:p w14:paraId="0A660F73" w14:textId="77777777" w:rsidR="00454A29" w:rsidRDefault="00454A29">
            <w:pPr>
              <w:pStyle w:val="ConsPlusNormal"/>
              <w:jc w:val="center"/>
            </w:pPr>
            <w:r>
              <w:t>0,00</w:t>
            </w:r>
          </w:p>
        </w:tc>
        <w:tc>
          <w:tcPr>
            <w:tcW w:w="1701" w:type="dxa"/>
            <w:vAlign w:val="center"/>
          </w:tcPr>
          <w:p w14:paraId="086B5778" w14:textId="77777777" w:rsidR="00454A29" w:rsidRDefault="00454A29">
            <w:pPr>
              <w:pStyle w:val="ConsPlusNormal"/>
              <w:jc w:val="center"/>
            </w:pPr>
            <w:r>
              <w:t>0,00</w:t>
            </w:r>
          </w:p>
        </w:tc>
        <w:tc>
          <w:tcPr>
            <w:tcW w:w="1701" w:type="dxa"/>
            <w:vAlign w:val="center"/>
          </w:tcPr>
          <w:p w14:paraId="19073BE9" w14:textId="77777777" w:rsidR="00454A29" w:rsidRDefault="00454A29">
            <w:pPr>
              <w:pStyle w:val="ConsPlusNormal"/>
              <w:jc w:val="center"/>
            </w:pPr>
            <w:r>
              <w:t>0,00</w:t>
            </w:r>
          </w:p>
        </w:tc>
        <w:tc>
          <w:tcPr>
            <w:tcW w:w="1701" w:type="dxa"/>
            <w:vAlign w:val="center"/>
          </w:tcPr>
          <w:p w14:paraId="45921EA7" w14:textId="77777777" w:rsidR="00454A29" w:rsidRDefault="00454A29">
            <w:pPr>
              <w:pStyle w:val="ConsPlusNormal"/>
              <w:jc w:val="center"/>
            </w:pPr>
            <w:r>
              <w:t>0,00</w:t>
            </w:r>
          </w:p>
        </w:tc>
        <w:tc>
          <w:tcPr>
            <w:tcW w:w="1701" w:type="dxa"/>
            <w:vAlign w:val="center"/>
          </w:tcPr>
          <w:p w14:paraId="11AED1AD" w14:textId="77777777" w:rsidR="00454A29" w:rsidRDefault="00454A29">
            <w:pPr>
              <w:pStyle w:val="ConsPlusNormal"/>
              <w:jc w:val="center"/>
            </w:pPr>
            <w:r>
              <w:t>0,00</w:t>
            </w:r>
          </w:p>
        </w:tc>
        <w:tc>
          <w:tcPr>
            <w:tcW w:w="1701" w:type="dxa"/>
            <w:vAlign w:val="center"/>
          </w:tcPr>
          <w:p w14:paraId="7AAE87A0" w14:textId="77777777" w:rsidR="00454A29" w:rsidRDefault="00454A29">
            <w:pPr>
              <w:pStyle w:val="ConsPlusNormal"/>
              <w:jc w:val="center"/>
            </w:pPr>
            <w:r>
              <w:t>0,00</w:t>
            </w:r>
          </w:p>
        </w:tc>
      </w:tr>
      <w:tr w:rsidR="00454A29" w14:paraId="7A65C9D2" w14:textId="77777777">
        <w:tc>
          <w:tcPr>
            <w:tcW w:w="964" w:type="dxa"/>
            <w:vMerge/>
          </w:tcPr>
          <w:p w14:paraId="5A3D5A80" w14:textId="77777777" w:rsidR="00454A29" w:rsidRDefault="00454A29"/>
        </w:tc>
        <w:tc>
          <w:tcPr>
            <w:tcW w:w="2154" w:type="dxa"/>
            <w:vMerge/>
            <w:tcBorders>
              <w:top w:val="nil"/>
              <w:bottom w:val="nil"/>
            </w:tcBorders>
          </w:tcPr>
          <w:p w14:paraId="7EC5C68C" w14:textId="77777777" w:rsidR="00454A29" w:rsidRDefault="00454A29"/>
        </w:tc>
        <w:tc>
          <w:tcPr>
            <w:tcW w:w="2154" w:type="dxa"/>
            <w:vMerge/>
            <w:tcBorders>
              <w:top w:val="nil"/>
              <w:bottom w:val="nil"/>
            </w:tcBorders>
          </w:tcPr>
          <w:p w14:paraId="045EF833" w14:textId="77777777" w:rsidR="00454A29" w:rsidRDefault="00454A29"/>
        </w:tc>
        <w:tc>
          <w:tcPr>
            <w:tcW w:w="2665" w:type="dxa"/>
            <w:vMerge/>
          </w:tcPr>
          <w:p w14:paraId="4A64826F" w14:textId="77777777" w:rsidR="00454A29" w:rsidRDefault="00454A29"/>
        </w:tc>
        <w:tc>
          <w:tcPr>
            <w:tcW w:w="2665" w:type="dxa"/>
            <w:vMerge/>
          </w:tcPr>
          <w:p w14:paraId="0CECC839" w14:textId="77777777" w:rsidR="00454A29" w:rsidRDefault="00454A29"/>
        </w:tc>
        <w:tc>
          <w:tcPr>
            <w:tcW w:w="1928" w:type="dxa"/>
            <w:vMerge/>
          </w:tcPr>
          <w:p w14:paraId="72C9FBC2" w14:textId="77777777" w:rsidR="00454A29" w:rsidRDefault="00454A29"/>
        </w:tc>
        <w:tc>
          <w:tcPr>
            <w:tcW w:w="1644" w:type="dxa"/>
            <w:vMerge/>
          </w:tcPr>
          <w:p w14:paraId="49CC4580" w14:textId="77777777" w:rsidR="00454A29" w:rsidRDefault="00454A29"/>
        </w:tc>
        <w:tc>
          <w:tcPr>
            <w:tcW w:w="2041" w:type="dxa"/>
            <w:vMerge/>
          </w:tcPr>
          <w:p w14:paraId="3C931B70" w14:textId="77777777" w:rsidR="00454A29" w:rsidRDefault="00454A29"/>
        </w:tc>
        <w:tc>
          <w:tcPr>
            <w:tcW w:w="2098" w:type="dxa"/>
            <w:vAlign w:val="center"/>
          </w:tcPr>
          <w:p w14:paraId="72906CA7" w14:textId="77777777" w:rsidR="00454A29" w:rsidRDefault="00454A29">
            <w:pPr>
              <w:pStyle w:val="ConsPlusNormal"/>
              <w:jc w:val="center"/>
            </w:pPr>
            <w:r>
              <w:t>Местные бюджеты</w:t>
            </w:r>
          </w:p>
        </w:tc>
        <w:tc>
          <w:tcPr>
            <w:tcW w:w="1814" w:type="dxa"/>
            <w:vAlign w:val="center"/>
          </w:tcPr>
          <w:p w14:paraId="29A5421F" w14:textId="77777777" w:rsidR="00454A29" w:rsidRDefault="00454A29">
            <w:pPr>
              <w:pStyle w:val="ConsPlusNormal"/>
              <w:jc w:val="center"/>
            </w:pPr>
            <w:r>
              <w:t>0,00</w:t>
            </w:r>
          </w:p>
        </w:tc>
        <w:tc>
          <w:tcPr>
            <w:tcW w:w="1701" w:type="dxa"/>
            <w:vAlign w:val="center"/>
          </w:tcPr>
          <w:p w14:paraId="43E6780D" w14:textId="77777777" w:rsidR="00454A29" w:rsidRDefault="00454A29">
            <w:pPr>
              <w:pStyle w:val="ConsPlusNormal"/>
              <w:jc w:val="center"/>
            </w:pPr>
            <w:r>
              <w:t>0,00</w:t>
            </w:r>
          </w:p>
        </w:tc>
        <w:tc>
          <w:tcPr>
            <w:tcW w:w="1701" w:type="dxa"/>
            <w:vAlign w:val="center"/>
          </w:tcPr>
          <w:p w14:paraId="7B986DED" w14:textId="77777777" w:rsidR="00454A29" w:rsidRDefault="00454A29">
            <w:pPr>
              <w:pStyle w:val="ConsPlusNormal"/>
              <w:jc w:val="center"/>
            </w:pPr>
            <w:r>
              <w:t>0,00</w:t>
            </w:r>
          </w:p>
        </w:tc>
        <w:tc>
          <w:tcPr>
            <w:tcW w:w="1701" w:type="dxa"/>
            <w:vAlign w:val="center"/>
          </w:tcPr>
          <w:p w14:paraId="21BE09D2" w14:textId="77777777" w:rsidR="00454A29" w:rsidRDefault="00454A29">
            <w:pPr>
              <w:pStyle w:val="ConsPlusNormal"/>
              <w:jc w:val="center"/>
            </w:pPr>
            <w:r>
              <w:t>0,00</w:t>
            </w:r>
          </w:p>
        </w:tc>
        <w:tc>
          <w:tcPr>
            <w:tcW w:w="1701" w:type="dxa"/>
            <w:vAlign w:val="center"/>
          </w:tcPr>
          <w:p w14:paraId="128B8659" w14:textId="77777777" w:rsidR="00454A29" w:rsidRDefault="00454A29">
            <w:pPr>
              <w:pStyle w:val="ConsPlusNormal"/>
              <w:jc w:val="center"/>
            </w:pPr>
            <w:r>
              <w:t>0,00</w:t>
            </w:r>
          </w:p>
        </w:tc>
        <w:tc>
          <w:tcPr>
            <w:tcW w:w="1701" w:type="dxa"/>
            <w:vAlign w:val="center"/>
          </w:tcPr>
          <w:p w14:paraId="0DADBBA2" w14:textId="77777777" w:rsidR="00454A29" w:rsidRDefault="00454A29">
            <w:pPr>
              <w:pStyle w:val="ConsPlusNormal"/>
              <w:jc w:val="center"/>
            </w:pPr>
            <w:r>
              <w:t>0,00</w:t>
            </w:r>
          </w:p>
        </w:tc>
        <w:tc>
          <w:tcPr>
            <w:tcW w:w="1701" w:type="dxa"/>
            <w:vAlign w:val="center"/>
          </w:tcPr>
          <w:p w14:paraId="5D03EB46" w14:textId="77777777" w:rsidR="00454A29" w:rsidRDefault="00454A29">
            <w:pPr>
              <w:pStyle w:val="ConsPlusNormal"/>
              <w:jc w:val="center"/>
            </w:pPr>
            <w:r>
              <w:t>0,00</w:t>
            </w:r>
          </w:p>
        </w:tc>
      </w:tr>
      <w:tr w:rsidR="00454A29" w14:paraId="010C2C94" w14:textId="77777777">
        <w:tc>
          <w:tcPr>
            <w:tcW w:w="964" w:type="dxa"/>
            <w:vMerge/>
          </w:tcPr>
          <w:p w14:paraId="2DFC84FC" w14:textId="77777777" w:rsidR="00454A29" w:rsidRDefault="00454A29"/>
        </w:tc>
        <w:tc>
          <w:tcPr>
            <w:tcW w:w="2154" w:type="dxa"/>
            <w:vMerge/>
            <w:tcBorders>
              <w:top w:val="nil"/>
              <w:bottom w:val="nil"/>
            </w:tcBorders>
          </w:tcPr>
          <w:p w14:paraId="4B868F96" w14:textId="77777777" w:rsidR="00454A29" w:rsidRDefault="00454A29"/>
        </w:tc>
        <w:tc>
          <w:tcPr>
            <w:tcW w:w="2154" w:type="dxa"/>
            <w:vMerge/>
            <w:tcBorders>
              <w:top w:val="nil"/>
              <w:bottom w:val="nil"/>
            </w:tcBorders>
          </w:tcPr>
          <w:p w14:paraId="043F57BF" w14:textId="77777777" w:rsidR="00454A29" w:rsidRDefault="00454A29"/>
        </w:tc>
        <w:tc>
          <w:tcPr>
            <w:tcW w:w="2665" w:type="dxa"/>
            <w:vMerge/>
          </w:tcPr>
          <w:p w14:paraId="0D15DD3B" w14:textId="77777777" w:rsidR="00454A29" w:rsidRDefault="00454A29"/>
        </w:tc>
        <w:tc>
          <w:tcPr>
            <w:tcW w:w="2665" w:type="dxa"/>
            <w:vMerge/>
          </w:tcPr>
          <w:p w14:paraId="1AD4E5AC" w14:textId="77777777" w:rsidR="00454A29" w:rsidRDefault="00454A29"/>
        </w:tc>
        <w:tc>
          <w:tcPr>
            <w:tcW w:w="1928" w:type="dxa"/>
            <w:vMerge/>
          </w:tcPr>
          <w:p w14:paraId="747BA4AA" w14:textId="77777777" w:rsidR="00454A29" w:rsidRDefault="00454A29"/>
        </w:tc>
        <w:tc>
          <w:tcPr>
            <w:tcW w:w="1644" w:type="dxa"/>
            <w:vMerge/>
          </w:tcPr>
          <w:p w14:paraId="4668FBE7" w14:textId="77777777" w:rsidR="00454A29" w:rsidRDefault="00454A29"/>
        </w:tc>
        <w:tc>
          <w:tcPr>
            <w:tcW w:w="2041" w:type="dxa"/>
            <w:vMerge/>
          </w:tcPr>
          <w:p w14:paraId="4494A75B" w14:textId="77777777" w:rsidR="00454A29" w:rsidRDefault="00454A29"/>
        </w:tc>
        <w:tc>
          <w:tcPr>
            <w:tcW w:w="2098" w:type="dxa"/>
            <w:vAlign w:val="center"/>
          </w:tcPr>
          <w:p w14:paraId="15E5311E" w14:textId="77777777" w:rsidR="00454A29" w:rsidRDefault="00454A29">
            <w:pPr>
              <w:pStyle w:val="ConsPlusNormal"/>
              <w:jc w:val="center"/>
            </w:pPr>
            <w:r>
              <w:t>Внебюджетные средства</w:t>
            </w:r>
          </w:p>
        </w:tc>
        <w:tc>
          <w:tcPr>
            <w:tcW w:w="1814" w:type="dxa"/>
            <w:vAlign w:val="center"/>
          </w:tcPr>
          <w:p w14:paraId="149A0453" w14:textId="77777777" w:rsidR="00454A29" w:rsidRDefault="00454A29">
            <w:pPr>
              <w:pStyle w:val="ConsPlusNormal"/>
              <w:jc w:val="center"/>
            </w:pPr>
            <w:r>
              <w:t>0,00</w:t>
            </w:r>
          </w:p>
        </w:tc>
        <w:tc>
          <w:tcPr>
            <w:tcW w:w="1701" w:type="dxa"/>
            <w:vAlign w:val="center"/>
          </w:tcPr>
          <w:p w14:paraId="73A48F02" w14:textId="77777777" w:rsidR="00454A29" w:rsidRDefault="00454A29">
            <w:pPr>
              <w:pStyle w:val="ConsPlusNormal"/>
              <w:jc w:val="center"/>
            </w:pPr>
            <w:r>
              <w:t>0,00</w:t>
            </w:r>
          </w:p>
        </w:tc>
        <w:tc>
          <w:tcPr>
            <w:tcW w:w="1701" w:type="dxa"/>
            <w:vAlign w:val="center"/>
          </w:tcPr>
          <w:p w14:paraId="0B0F3C09" w14:textId="77777777" w:rsidR="00454A29" w:rsidRDefault="00454A29">
            <w:pPr>
              <w:pStyle w:val="ConsPlusNormal"/>
              <w:jc w:val="center"/>
            </w:pPr>
            <w:r>
              <w:t>0,00</w:t>
            </w:r>
          </w:p>
        </w:tc>
        <w:tc>
          <w:tcPr>
            <w:tcW w:w="1701" w:type="dxa"/>
            <w:vAlign w:val="center"/>
          </w:tcPr>
          <w:p w14:paraId="627EE5EE" w14:textId="77777777" w:rsidR="00454A29" w:rsidRDefault="00454A29">
            <w:pPr>
              <w:pStyle w:val="ConsPlusNormal"/>
              <w:jc w:val="center"/>
            </w:pPr>
            <w:r>
              <w:t>0,00</w:t>
            </w:r>
          </w:p>
        </w:tc>
        <w:tc>
          <w:tcPr>
            <w:tcW w:w="1701" w:type="dxa"/>
            <w:vAlign w:val="center"/>
          </w:tcPr>
          <w:p w14:paraId="3947D24C" w14:textId="77777777" w:rsidR="00454A29" w:rsidRDefault="00454A29">
            <w:pPr>
              <w:pStyle w:val="ConsPlusNormal"/>
              <w:jc w:val="center"/>
            </w:pPr>
            <w:r>
              <w:t>0,00</w:t>
            </w:r>
          </w:p>
        </w:tc>
        <w:tc>
          <w:tcPr>
            <w:tcW w:w="1701" w:type="dxa"/>
            <w:vAlign w:val="center"/>
          </w:tcPr>
          <w:p w14:paraId="135B8A99" w14:textId="77777777" w:rsidR="00454A29" w:rsidRDefault="00454A29">
            <w:pPr>
              <w:pStyle w:val="ConsPlusNormal"/>
              <w:jc w:val="center"/>
            </w:pPr>
            <w:r>
              <w:t>0,00</w:t>
            </w:r>
          </w:p>
        </w:tc>
        <w:tc>
          <w:tcPr>
            <w:tcW w:w="1701" w:type="dxa"/>
            <w:vAlign w:val="center"/>
          </w:tcPr>
          <w:p w14:paraId="39E0D305" w14:textId="77777777" w:rsidR="00454A29" w:rsidRDefault="00454A29">
            <w:pPr>
              <w:pStyle w:val="ConsPlusNormal"/>
              <w:jc w:val="center"/>
            </w:pPr>
            <w:r>
              <w:t>0,00</w:t>
            </w:r>
          </w:p>
        </w:tc>
      </w:tr>
      <w:tr w:rsidR="00454A29" w14:paraId="7AE426DF" w14:textId="77777777">
        <w:tc>
          <w:tcPr>
            <w:tcW w:w="964" w:type="dxa"/>
            <w:vMerge w:val="restart"/>
            <w:vAlign w:val="center"/>
          </w:tcPr>
          <w:p w14:paraId="4B16E15D" w14:textId="77777777" w:rsidR="00454A29" w:rsidRDefault="00454A29">
            <w:pPr>
              <w:pStyle w:val="ConsPlusNormal"/>
              <w:jc w:val="center"/>
            </w:pPr>
            <w:r>
              <w:t>2.11.</w:t>
            </w:r>
          </w:p>
        </w:tc>
        <w:tc>
          <w:tcPr>
            <w:tcW w:w="2154" w:type="dxa"/>
            <w:vMerge w:val="restart"/>
            <w:tcBorders>
              <w:top w:val="nil"/>
            </w:tcBorders>
            <w:vAlign w:val="center"/>
          </w:tcPr>
          <w:p w14:paraId="47D07E15" w14:textId="77777777" w:rsidR="00454A29" w:rsidRDefault="00454A29">
            <w:pPr>
              <w:pStyle w:val="ConsPlusNormal"/>
            </w:pPr>
          </w:p>
        </w:tc>
        <w:tc>
          <w:tcPr>
            <w:tcW w:w="2154" w:type="dxa"/>
            <w:vMerge w:val="restart"/>
            <w:tcBorders>
              <w:top w:val="nil"/>
            </w:tcBorders>
            <w:vAlign w:val="center"/>
          </w:tcPr>
          <w:p w14:paraId="2481D402" w14:textId="77777777" w:rsidR="00454A29" w:rsidRDefault="00454A29">
            <w:pPr>
              <w:pStyle w:val="ConsPlusNormal"/>
            </w:pPr>
          </w:p>
        </w:tc>
        <w:tc>
          <w:tcPr>
            <w:tcW w:w="2665" w:type="dxa"/>
            <w:vMerge w:val="restart"/>
            <w:vAlign w:val="center"/>
          </w:tcPr>
          <w:p w14:paraId="23AF052E" w14:textId="77777777" w:rsidR="00454A29" w:rsidRDefault="00454A29">
            <w:pPr>
              <w:pStyle w:val="ConsPlusNormal"/>
              <w:jc w:val="center"/>
            </w:pPr>
            <w:r>
              <w:t>Результат 11. Обучающимся 5 - 11 классов в Республике Саха (Якутия)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2665" w:type="dxa"/>
            <w:vMerge w:val="restart"/>
            <w:vAlign w:val="center"/>
          </w:tcPr>
          <w:p w14:paraId="0C666EE2" w14:textId="77777777" w:rsidR="00454A29" w:rsidRDefault="00454A29">
            <w:pPr>
              <w:pStyle w:val="ConsPlusNormal"/>
              <w:jc w:val="center"/>
            </w:pPr>
            <w:r>
              <w:t>Мероприятие 4.3.11. Внесение изменений в нормативно-правовую базу с целью предоставления возможностей 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программы</w:t>
            </w:r>
          </w:p>
        </w:tc>
        <w:tc>
          <w:tcPr>
            <w:tcW w:w="1928" w:type="dxa"/>
            <w:vMerge w:val="restart"/>
            <w:vAlign w:val="center"/>
          </w:tcPr>
          <w:p w14:paraId="50B89E48" w14:textId="77777777" w:rsidR="00454A29" w:rsidRDefault="00454A29">
            <w:pPr>
              <w:pStyle w:val="ConsPlusNormal"/>
              <w:jc w:val="center"/>
            </w:pPr>
            <w:r>
              <w:t>-</w:t>
            </w:r>
          </w:p>
        </w:tc>
        <w:tc>
          <w:tcPr>
            <w:tcW w:w="1644" w:type="dxa"/>
            <w:vMerge w:val="restart"/>
            <w:vAlign w:val="center"/>
          </w:tcPr>
          <w:p w14:paraId="559D0340" w14:textId="77777777" w:rsidR="00454A29" w:rsidRDefault="00454A29">
            <w:pPr>
              <w:pStyle w:val="ConsPlusNormal"/>
              <w:jc w:val="center"/>
            </w:pPr>
            <w:r>
              <w:t>-</w:t>
            </w:r>
          </w:p>
        </w:tc>
        <w:tc>
          <w:tcPr>
            <w:tcW w:w="2041" w:type="dxa"/>
            <w:vMerge w:val="restart"/>
            <w:vAlign w:val="center"/>
          </w:tcPr>
          <w:p w14:paraId="039298F4" w14:textId="77777777" w:rsidR="00454A29" w:rsidRDefault="00454A29">
            <w:pPr>
              <w:pStyle w:val="ConsPlusNormal"/>
              <w:jc w:val="center"/>
            </w:pPr>
            <w:r>
              <w:t>-</w:t>
            </w:r>
          </w:p>
        </w:tc>
        <w:tc>
          <w:tcPr>
            <w:tcW w:w="2098" w:type="dxa"/>
            <w:vAlign w:val="center"/>
          </w:tcPr>
          <w:p w14:paraId="2A026EEE" w14:textId="77777777" w:rsidR="00454A29" w:rsidRDefault="00454A29">
            <w:pPr>
              <w:pStyle w:val="ConsPlusNormal"/>
              <w:jc w:val="center"/>
            </w:pPr>
            <w:r>
              <w:t>Итого</w:t>
            </w:r>
          </w:p>
        </w:tc>
        <w:tc>
          <w:tcPr>
            <w:tcW w:w="1814" w:type="dxa"/>
            <w:vAlign w:val="center"/>
          </w:tcPr>
          <w:p w14:paraId="3A667355" w14:textId="77777777" w:rsidR="00454A29" w:rsidRDefault="00454A29">
            <w:pPr>
              <w:pStyle w:val="ConsPlusNormal"/>
              <w:jc w:val="center"/>
            </w:pPr>
            <w:r>
              <w:t>0,00</w:t>
            </w:r>
          </w:p>
        </w:tc>
        <w:tc>
          <w:tcPr>
            <w:tcW w:w="1701" w:type="dxa"/>
            <w:vAlign w:val="center"/>
          </w:tcPr>
          <w:p w14:paraId="076359AD" w14:textId="77777777" w:rsidR="00454A29" w:rsidRDefault="00454A29">
            <w:pPr>
              <w:pStyle w:val="ConsPlusNormal"/>
              <w:jc w:val="center"/>
            </w:pPr>
            <w:r>
              <w:t>0,00</w:t>
            </w:r>
          </w:p>
        </w:tc>
        <w:tc>
          <w:tcPr>
            <w:tcW w:w="1701" w:type="dxa"/>
            <w:vAlign w:val="center"/>
          </w:tcPr>
          <w:p w14:paraId="0973F481" w14:textId="77777777" w:rsidR="00454A29" w:rsidRDefault="00454A29">
            <w:pPr>
              <w:pStyle w:val="ConsPlusNormal"/>
              <w:jc w:val="center"/>
            </w:pPr>
            <w:r>
              <w:t>0,00</w:t>
            </w:r>
          </w:p>
        </w:tc>
        <w:tc>
          <w:tcPr>
            <w:tcW w:w="1701" w:type="dxa"/>
            <w:vAlign w:val="center"/>
          </w:tcPr>
          <w:p w14:paraId="4077A43F" w14:textId="77777777" w:rsidR="00454A29" w:rsidRDefault="00454A29">
            <w:pPr>
              <w:pStyle w:val="ConsPlusNormal"/>
              <w:jc w:val="center"/>
            </w:pPr>
            <w:r>
              <w:t>0,00</w:t>
            </w:r>
          </w:p>
        </w:tc>
        <w:tc>
          <w:tcPr>
            <w:tcW w:w="1701" w:type="dxa"/>
            <w:vAlign w:val="center"/>
          </w:tcPr>
          <w:p w14:paraId="48E4E53F" w14:textId="77777777" w:rsidR="00454A29" w:rsidRDefault="00454A29">
            <w:pPr>
              <w:pStyle w:val="ConsPlusNormal"/>
              <w:jc w:val="center"/>
            </w:pPr>
            <w:r>
              <w:t>0,00</w:t>
            </w:r>
          </w:p>
        </w:tc>
        <w:tc>
          <w:tcPr>
            <w:tcW w:w="1701" w:type="dxa"/>
            <w:vAlign w:val="center"/>
          </w:tcPr>
          <w:p w14:paraId="103B6BFE" w14:textId="77777777" w:rsidR="00454A29" w:rsidRDefault="00454A29">
            <w:pPr>
              <w:pStyle w:val="ConsPlusNormal"/>
              <w:jc w:val="center"/>
            </w:pPr>
            <w:r>
              <w:t>0,00</w:t>
            </w:r>
          </w:p>
        </w:tc>
        <w:tc>
          <w:tcPr>
            <w:tcW w:w="1701" w:type="dxa"/>
            <w:vAlign w:val="center"/>
          </w:tcPr>
          <w:p w14:paraId="52AABB66" w14:textId="77777777" w:rsidR="00454A29" w:rsidRDefault="00454A29">
            <w:pPr>
              <w:pStyle w:val="ConsPlusNormal"/>
              <w:jc w:val="center"/>
            </w:pPr>
            <w:r>
              <w:t>0,00</w:t>
            </w:r>
          </w:p>
        </w:tc>
      </w:tr>
      <w:tr w:rsidR="00454A29" w14:paraId="347F66F6" w14:textId="77777777">
        <w:tc>
          <w:tcPr>
            <w:tcW w:w="964" w:type="dxa"/>
            <w:vMerge/>
          </w:tcPr>
          <w:p w14:paraId="1DB42BA8" w14:textId="77777777" w:rsidR="00454A29" w:rsidRDefault="00454A29"/>
        </w:tc>
        <w:tc>
          <w:tcPr>
            <w:tcW w:w="2154" w:type="dxa"/>
            <w:vMerge/>
            <w:tcBorders>
              <w:top w:val="nil"/>
            </w:tcBorders>
          </w:tcPr>
          <w:p w14:paraId="23FB7C36" w14:textId="77777777" w:rsidR="00454A29" w:rsidRDefault="00454A29"/>
        </w:tc>
        <w:tc>
          <w:tcPr>
            <w:tcW w:w="2154" w:type="dxa"/>
            <w:vMerge/>
            <w:tcBorders>
              <w:top w:val="nil"/>
            </w:tcBorders>
          </w:tcPr>
          <w:p w14:paraId="01D8F598" w14:textId="77777777" w:rsidR="00454A29" w:rsidRDefault="00454A29"/>
        </w:tc>
        <w:tc>
          <w:tcPr>
            <w:tcW w:w="2665" w:type="dxa"/>
            <w:vMerge/>
          </w:tcPr>
          <w:p w14:paraId="7B5270C0" w14:textId="77777777" w:rsidR="00454A29" w:rsidRDefault="00454A29"/>
        </w:tc>
        <w:tc>
          <w:tcPr>
            <w:tcW w:w="2665" w:type="dxa"/>
            <w:vMerge/>
          </w:tcPr>
          <w:p w14:paraId="24BC8039" w14:textId="77777777" w:rsidR="00454A29" w:rsidRDefault="00454A29"/>
        </w:tc>
        <w:tc>
          <w:tcPr>
            <w:tcW w:w="1928" w:type="dxa"/>
            <w:vMerge/>
          </w:tcPr>
          <w:p w14:paraId="6E8FC8AC" w14:textId="77777777" w:rsidR="00454A29" w:rsidRDefault="00454A29"/>
        </w:tc>
        <w:tc>
          <w:tcPr>
            <w:tcW w:w="1644" w:type="dxa"/>
            <w:vMerge/>
          </w:tcPr>
          <w:p w14:paraId="1D1250A5" w14:textId="77777777" w:rsidR="00454A29" w:rsidRDefault="00454A29"/>
        </w:tc>
        <w:tc>
          <w:tcPr>
            <w:tcW w:w="2041" w:type="dxa"/>
            <w:vMerge/>
          </w:tcPr>
          <w:p w14:paraId="62AC7B9E" w14:textId="77777777" w:rsidR="00454A29" w:rsidRDefault="00454A29"/>
        </w:tc>
        <w:tc>
          <w:tcPr>
            <w:tcW w:w="2098" w:type="dxa"/>
            <w:vAlign w:val="center"/>
          </w:tcPr>
          <w:p w14:paraId="0E0F46A6"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B161782" w14:textId="77777777" w:rsidR="00454A29" w:rsidRDefault="00454A29">
            <w:pPr>
              <w:pStyle w:val="ConsPlusNormal"/>
              <w:jc w:val="center"/>
            </w:pPr>
            <w:r>
              <w:t>0,00</w:t>
            </w:r>
          </w:p>
        </w:tc>
        <w:tc>
          <w:tcPr>
            <w:tcW w:w="1701" w:type="dxa"/>
            <w:vAlign w:val="center"/>
          </w:tcPr>
          <w:p w14:paraId="1990C1D4" w14:textId="77777777" w:rsidR="00454A29" w:rsidRDefault="00454A29">
            <w:pPr>
              <w:pStyle w:val="ConsPlusNormal"/>
              <w:jc w:val="center"/>
            </w:pPr>
            <w:r>
              <w:t>0,00</w:t>
            </w:r>
          </w:p>
        </w:tc>
        <w:tc>
          <w:tcPr>
            <w:tcW w:w="1701" w:type="dxa"/>
            <w:vAlign w:val="center"/>
          </w:tcPr>
          <w:p w14:paraId="61688F32" w14:textId="77777777" w:rsidR="00454A29" w:rsidRDefault="00454A29">
            <w:pPr>
              <w:pStyle w:val="ConsPlusNormal"/>
              <w:jc w:val="center"/>
            </w:pPr>
            <w:r>
              <w:t>0,00</w:t>
            </w:r>
          </w:p>
        </w:tc>
        <w:tc>
          <w:tcPr>
            <w:tcW w:w="1701" w:type="dxa"/>
            <w:vAlign w:val="center"/>
          </w:tcPr>
          <w:p w14:paraId="034A5F50" w14:textId="77777777" w:rsidR="00454A29" w:rsidRDefault="00454A29">
            <w:pPr>
              <w:pStyle w:val="ConsPlusNormal"/>
              <w:jc w:val="center"/>
            </w:pPr>
            <w:r>
              <w:t>0,00</w:t>
            </w:r>
          </w:p>
        </w:tc>
        <w:tc>
          <w:tcPr>
            <w:tcW w:w="1701" w:type="dxa"/>
            <w:vAlign w:val="center"/>
          </w:tcPr>
          <w:p w14:paraId="573733FD" w14:textId="77777777" w:rsidR="00454A29" w:rsidRDefault="00454A29">
            <w:pPr>
              <w:pStyle w:val="ConsPlusNormal"/>
              <w:jc w:val="center"/>
            </w:pPr>
            <w:r>
              <w:t>0,00</w:t>
            </w:r>
          </w:p>
        </w:tc>
        <w:tc>
          <w:tcPr>
            <w:tcW w:w="1701" w:type="dxa"/>
            <w:vAlign w:val="center"/>
          </w:tcPr>
          <w:p w14:paraId="7BD24607" w14:textId="77777777" w:rsidR="00454A29" w:rsidRDefault="00454A29">
            <w:pPr>
              <w:pStyle w:val="ConsPlusNormal"/>
              <w:jc w:val="center"/>
            </w:pPr>
            <w:r>
              <w:t>0,00</w:t>
            </w:r>
          </w:p>
        </w:tc>
        <w:tc>
          <w:tcPr>
            <w:tcW w:w="1701" w:type="dxa"/>
            <w:vAlign w:val="center"/>
          </w:tcPr>
          <w:p w14:paraId="4CD57892" w14:textId="77777777" w:rsidR="00454A29" w:rsidRDefault="00454A29">
            <w:pPr>
              <w:pStyle w:val="ConsPlusNormal"/>
              <w:jc w:val="center"/>
            </w:pPr>
            <w:r>
              <w:t>0,00</w:t>
            </w:r>
          </w:p>
        </w:tc>
      </w:tr>
      <w:tr w:rsidR="00454A29" w14:paraId="2A283669" w14:textId="77777777">
        <w:tc>
          <w:tcPr>
            <w:tcW w:w="964" w:type="dxa"/>
            <w:vMerge/>
          </w:tcPr>
          <w:p w14:paraId="169DB0C1" w14:textId="77777777" w:rsidR="00454A29" w:rsidRDefault="00454A29"/>
        </w:tc>
        <w:tc>
          <w:tcPr>
            <w:tcW w:w="2154" w:type="dxa"/>
            <w:vMerge/>
            <w:tcBorders>
              <w:top w:val="nil"/>
            </w:tcBorders>
          </w:tcPr>
          <w:p w14:paraId="3A92973B" w14:textId="77777777" w:rsidR="00454A29" w:rsidRDefault="00454A29"/>
        </w:tc>
        <w:tc>
          <w:tcPr>
            <w:tcW w:w="2154" w:type="dxa"/>
            <w:vMerge/>
            <w:tcBorders>
              <w:top w:val="nil"/>
            </w:tcBorders>
          </w:tcPr>
          <w:p w14:paraId="24C09857" w14:textId="77777777" w:rsidR="00454A29" w:rsidRDefault="00454A29"/>
        </w:tc>
        <w:tc>
          <w:tcPr>
            <w:tcW w:w="2665" w:type="dxa"/>
            <w:vMerge/>
          </w:tcPr>
          <w:p w14:paraId="0BA0F649" w14:textId="77777777" w:rsidR="00454A29" w:rsidRDefault="00454A29"/>
        </w:tc>
        <w:tc>
          <w:tcPr>
            <w:tcW w:w="2665" w:type="dxa"/>
            <w:vMerge/>
          </w:tcPr>
          <w:p w14:paraId="3914F63B" w14:textId="77777777" w:rsidR="00454A29" w:rsidRDefault="00454A29"/>
        </w:tc>
        <w:tc>
          <w:tcPr>
            <w:tcW w:w="1928" w:type="dxa"/>
            <w:vMerge/>
          </w:tcPr>
          <w:p w14:paraId="7437199C" w14:textId="77777777" w:rsidR="00454A29" w:rsidRDefault="00454A29"/>
        </w:tc>
        <w:tc>
          <w:tcPr>
            <w:tcW w:w="1644" w:type="dxa"/>
            <w:vMerge/>
          </w:tcPr>
          <w:p w14:paraId="00DE7042" w14:textId="77777777" w:rsidR="00454A29" w:rsidRDefault="00454A29"/>
        </w:tc>
        <w:tc>
          <w:tcPr>
            <w:tcW w:w="2041" w:type="dxa"/>
            <w:vMerge/>
          </w:tcPr>
          <w:p w14:paraId="70854DBE" w14:textId="77777777" w:rsidR="00454A29" w:rsidRDefault="00454A29"/>
        </w:tc>
        <w:tc>
          <w:tcPr>
            <w:tcW w:w="2098" w:type="dxa"/>
            <w:vAlign w:val="center"/>
          </w:tcPr>
          <w:p w14:paraId="450473F3" w14:textId="77777777" w:rsidR="00454A29" w:rsidRDefault="00454A29">
            <w:pPr>
              <w:pStyle w:val="ConsPlusNormal"/>
              <w:jc w:val="center"/>
            </w:pPr>
            <w:r>
              <w:t>Федеральный бюджет</w:t>
            </w:r>
          </w:p>
        </w:tc>
        <w:tc>
          <w:tcPr>
            <w:tcW w:w="1814" w:type="dxa"/>
            <w:vAlign w:val="center"/>
          </w:tcPr>
          <w:p w14:paraId="56E1154E" w14:textId="77777777" w:rsidR="00454A29" w:rsidRDefault="00454A29">
            <w:pPr>
              <w:pStyle w:val="ConsPlusNormal"/>
              <w:jc w:val="center"/>
            </w:pPr>
            <w:r>
              <w:t>0,00</w:t>
            </w:r>
          </w:p>
        </w:tc>
        <w:tc>
          <w:tcPr>
            <w:tcW w:w="1701" w:type="dxa"/>
            <w:vAlign w:val="center"/>
          </w:tcPr>
          <w:p w14:paraId="13FB3DFC" w14:textId="77777777" w:rsidR="00454A29" w:rsidRDefault="00454A29">
            <w:pPr>
              <w:pStyle w:val="ConsPlusNormal"/>
              <w:jc w:val="center"/>
            </w:pPr>
            <w:r>
              <w:t>0,00</w:t>
            </w:r>
          </w:p>
        </w:tc>
        <w:tc>
          <w:tcPr>
            <w:tcW w:w="1701" w:type="dxa"/>
            <w:vAlign w:val="center"/>
          </w:tcPr>
          <w:p w14:paraId="2885AE8F" w14:textId="77777777" w:rsidR="00454A29" w:rsidRDefault="00454A29">
            <w:pPr>
              <w:pStyle w:val="ConsPlusNormal"/>
              <w:jc w:val="center"/>
            </w:pPr>
            <w:r>
              <w:t>0,00</w:t>
            </w:r>
          </w:p>
        </w:tc>
        <w:tc>
          <w:tcPr>
            <w:tcW w:w="1701" w:type="dxa"/>
            <w:vAlign w:val="center"/>
          </w:tcPr>
          <w:p w14:paraId="2B867EC4" w14:textId="77777777" w:rsidR="00454A29" w:rsidRDefault="00454A29">
            <w:pPr>
              <w:pStyle w:val="ConsPlusNormal"/>
              <w:jc w:val="center"/>
            </w:pPr>
            <w:r>
              <w:t>0,00</w:t>
            </w:r>
          </w:p>
        </w:tc>
        <w:tc>
          <w:tcPr>
            <w:tcW w:w="1701" w:type="dxa"/>
            <w:vAlign w:val="center"/>
          </w:tcPr>
          <w:p w14:paraId="61B9DE5F" w14:textId="77777777" w:rsidR="00454A29" w:rsidRDefault="00454A29">
            <w:pPr>
              <w:pStyle w:val="ConsPlusNormal"/>
              <w:jc w:val="center"/>
            </w:pPr>
            <w:r>
              <w:t>0,00</w:t>
            </w:r>
          </w:p>
        </w:tc>
        <w:tc>
          <w:tcPr>
            <w:tcW w:w="1701" w:type="dxa"/>
            <w:vAlign w:val="center"/>
          </w:tcPr>
          <w:p w14:paraId="3294D30E" w14:textId="77777777" w:rsidR="00454A29" w:rsidRDefault="00454A29">
            <w:pPr>
              <w:pStyle w:val="ConsPlusNormal"/>
              <w:jc w:val="center"/>
            </w:pPr>
            <w:r>
              <w:t>0,00</w:t>
            </w:r>
          </w:p>
        </w:tc>
        <w:tc>
          <w:tcPr>
            <w:tcW w:w="1701" w:type="dxa"/>
            <w:vAlign w:val="center"/>
          </w:tcPr>
          <w:p w14:paraId="1271932F" w14:textId="77777777" w:rsidR="00454A29" w:rsidRDefault="00454A29">
            <w:pPr>
              <w:pStyle w:val="ConsPlusNormal"/>
              <w:jc w:val="center"/>
            </w:pPr>
            <w:r>
              <w:t>0,00</w:t>
            </w:r>
          </w:p>
        </w:tc>
      </w:tr>
      <w:tr w:rsidR="00454A29" w14:paraId="6BC11E0C" w14:textId="77777777">
        <w:tc>
          <w:tcPr>
            <w:tcW w:w="964" w:type="dxa"/>
            <w:vMerge/>
          </w:tcPr>
          <w:p w14:paraId="63BC26CB" w14:textId="77777777" w:rsidR="00454A29" w:rsidRDefault="00454A29"/>
        </w:tc>
        <w:tc>
          <w:tcPr>
            <w:tcW w:w="2154" w:type="dxa"/>
            <w:vMerge/>
            <w:tcBorders>
              <w:top w:val="nil"/>
            </w:tcBorders>
          </w:tcPr>
          <w:p w14:paraId="442932FB" w14:textId="77777777" w:rsidR="00454A29" w:rsidRDefault="00454A29"/>
        </w:tc>
        <w:tc>
          <w:tcPr>
            <w:tcW w:w="2154" w:type="dxa"/>
            <w:vMerge/>
            <w:tcBorders>
              <w:top w:val="nil"/>
            </w:tcBorders>
          </w:tcPr>
          <w:p w14:paraId="7B959CF9" w14:textId="77777777" w:rsidR="00454A29" w:rsidRDefault="00454A29"/>
        </w:tc>
        <w:tc>
          <w:tcPr>
            <w:tcW w:w="2665" w:type="dxa"/>
            <w:vMerge/>
          </w:tcPr>
          <w:p w14:paraId="35B3FBD6" w14:textId="77777777" w:rsidR="00454A29" w:rsidRDefault="00454A29"/>
        </w:tc>
        <w:tc>
          <w:tcPr>
            <w:tcW w:w="2665" w:type="dxa"/>
            <w:vMerge/>
          </w:tcPr>
          <w:p w14:paraId="54D1127D" w14:textId="77777777" w:rsidR="00454A29" w:rsidRDefault="00454A29"/>
        </w:tc>
        <w:tc>
          <w:tcPr>
            <w:tcW w:w="1928" w:type="dxa"/>
            <w:vMerge/>
          </w:tcPr>
          <w:p w14:paraId="73BF25C4" w14:textId="77777777" w:rsidR="00454A29" w:rsidRDefault="00454A29"/>
        </w:tc>
        <w:tc>
          <w:tcPr>
            <w:tcW w:w="1644" w:type="dxa"/>
            <w:vMerge/>
          </w:tcPr>
          <w:p w14:paraId="0718C0AD" w14:textId="77777777" w:rsidR="00454A29" w:rsidRDefault="00454A29"/>
        </w:tc>
        <w:tc>
          <w:tcPr>
            <w:tcW w:w="2041" w:type="dxa"/>
            <w:vMerge/>
          </w:tcPr>
          <w:p w14:paraId="5BA452AF" w14:textId="77777777" w:rsidR="00454A29" w:rsidRDefault="00454A29"/>
        </w:tc>
        <w:tc>
          <w:tcPr>
            <w:tcW w:w="2098" w:type="dxa"/>
            <w:vAlign w:val="center"/>
          </w:tcPr>
          <w:p w14:paraId="4A04F95C" w14:textId="77777777" w:rsidR="00454A29" w:rsidRDefault="00454A29">
            <w:pPr>
              <w:pStyle w:val="ConsPlusNormal"/>
              <w:jc w:val="center"/>
            </w:pPr>
            <w:r>
              <w:t>Местные бюджеты</w:t>
            </w:r>
          </w:p>
        </w:tc>
        <w:tc>
          <w:tcPr>
            <w:tcW w:w="1814" w:type="dxa"/>
            <w:vAlign w:val="center"/>
          </w:tcPr>
          <w:p w14:paraId="3BDF2CF1" w14:textId="77777777" w:rsidR="00454A29" w:rsidRDefault="00454A29">
            <w:pPr>
              <w:pStyle w:val="ConsPlusNormal"/>
              <w:jc w:val="center"/>
            </w:pPr>
            <w:r>
              <w:t>0,00</w:t>
            </w:r>
          </w:p>
        </w:tc>
        <w:tc>
          <w:tcPr>
            <w:tcW w:w="1701" w:type="dxa"/>
            <w:vAlign w:val="center"/>
          </w:tcPr>
          <w:p w14:paraId="7BCBF050" w14:textId="77777777" w:rsidR="00454A29" w:rsidRDefault="00454A29">
            <w:pPr>
              <w:pStyle w:val="ConsPlusNormal"/>
              <w:jc w:val="center"/>
            </w:pPr>
            <w:r>
              <w:t>0,00</w:t>
            </w:r>
          </w:p>
        </w:tc>
        <w:tc>
          <w:tcPr>
            <w:tcW w:w="1701" w:type="dxa"/>
            <w:vAlign w:val="center"/>
          </w:tcPr>
          <w:p w14:paraId="59CF3A4D" w14:textId="77777777" w:rsidR="00454A29" w:rsidRDefault="00454A29">
            <w:pPr>
              <w:pStyle w:val="ConsPlusNormal"/>
              <w:jc w:val="center"/>
            </w:pPr>
            <w:r>
              <w:t>0,00</w:t>
            </w:r>
          </w:p>
        </w:tc>
        <w:tc>
          <w:tcPr>
            <w:tcW w:w="1701" w:type="dxa"/>
            <w:vAlign w:val="center"/>
          </w:tcPr>
          <w:p w14:paraId="7DFC84F2" w14:textId="77777777" w:rsidR="00454A29" w:rsidRDefault="00454A29">
            <w:pPr>
              <w:pStyle w:val="ConsPlusNormal"/>
              <w:jc w:val="center"/>
            </w:pPr>
            <w:r>
              <w:t>0,00</w:t>
            </w:r>
          </w:p>
        </w:tc>
        <w:tc>
          <w:tcPr>
            <w:tcW w:w="1701" w:type="dxa"/>
            <w:vAlign w:val="center"/>
          </w:tcPr>
          <w:p w14:paraId="5B85241C" w14:textId="77777777" w:rsidR="00454A29" w:rsidRDefault="00454A29">
            <w:pPr>
              <w:pStyle w:val="ConsPlusNormal"/>
              <w:jc w:val="center"/>
            </w:pPr>
            <w:r>
              <w:t>0,00</w:t>
            </w:r>
          </w:p>
        </w:tc>
        <w:tc>
          <w:tcPr>
            <w:tcW w:w="1701" w:type="dxa"/>
            <w:vAlign w:val="center"/>
          </w:tcPr>
          <w:p w14:paraId="1DC72B1A" w14:textId="77777777" w:rsidR="00454A29" w:rsidRDefault="00454A29">
            <w:pPr>
              <w:pStyle w:val="ConsPlusNormal"/>
              <w:jc w:val="center"/>
            </w:pPr>
            <w:r>
              <w:t>0,00</w:t>
            </w:r>
          </w:p>
        </w:tc>
        <w:tc>
          <w:tcPr>
            <w:tcW w:w="1701" w:type="dxa"/>
            <w:vAlign w:val="center"/>
          </w:tcPr>
          <w:p w14:paraId="7CCD519E" w14:textId="77777777" w:rsidR="00454A29" w:rsidRDefault="00454A29">
            <w:pPr>
              <w:pStyle w:val="ConsPlusNormal"/>
              <w:jc w:val="center"/>
            </w:pPr>
            <w:r>
              <w:t>0,00</w:t>
            </w:r>
          </w:p>
        </w:tc>
      </w:tr>
      <w:tr w:rsidR="00454A29" w14:paraId="3330D79E" w14:textId="77777777">
        <w:tc>
          <w:tcPr>
            <w:tcW w:w="964" w:type="dxa"/>
            <w:vMerge/>
          </w:tcPr>
          <w:p w14:paraId="6AAA91BE" w14:textId="77777777" w:rsidR="00454A29" w:rsidRDefault="00454A29"/>
        </w:tc>
        <w:tc>
          <w:tcPr>
            <w:tcW w:w="2154" w:type="dxa"/>
            <w:vMerge/>
            <w:tcBorders>
              <w:top w:val="nil"/>
            </w:tcBorders>
          </w:tcPr>
          <w:p w14:paraId="2CA608B5" w14:textId="77777777" w:rsidR="00454A29" w:rsidRDefault="00454A29"/>
        </w:tc>
        <w:tc>
          <w:tcPr>
            <w:tcW w:w="2154" w:type="dxa"/>
            <w:vMerge/>
            <w:tcBorders>
              <w:top w:val="nil"/>
            </w:tcBorders>
          </w:tcPr>
          <w:p w14:paraId="78A8C3B2" w14:textId="77777777" w:rsidR="00454A29" w:rsidRDefault="00454A29"/>
        </w:tc>
        <w:tc>
          <w:tcPr>
            <w:tcW w:w="2665" w:type="dxa"/>
            <w:vMerge/>
          </w:tcPr>
          <w:p w14:paraId="7D68697D" w14:textId="77777777" w:rsidR="00454A29" w:rsidRDefault="00454A29"/>
        </w:tc>
        <w:tc>
          <w:tcPr>
            <w:tcW w:w="2665" w:type="dxa"/>
            <w:vMerge/>
          </w:tcPr>
          <w:p w14:paraId="29A3DAEB" w14:textId="77777777" w:rsidR="00454A29" w:rsidRDefault="00454A29"/>
        </w:tc>
        <w:tc>
          <w:tcPr>
            <w:tcW w:w="1928" w:type="dxa"/>
            <w:vMerge/>
          </w:tcPr>
          <w:p w14:paraId="0E12429D" w14:textId="77777777" w:rsidR="00454A29" w:rsidRDefault="00454A29"/>
        </w:tc>
        <w:tc>
          <w:tcPr>
            <w:tcW w:w="1644" w:type="dxa"/>
            <w:vMerge/>
          </w:tcPr>
          <w:p w14:paraId="6D924152" w14:textId="77777777" w:rsidR="00454A29" w:rsidRDefault="00454A29"/>
        </w:tc>
        <w:tc>
          <w:tcPr>
            <w:tcW w:w="2041" w:type="dxa"/>
            <w:vMerge/>
          </w:tcPr>
          <w:p w14:paraId="1EE0E126" w14:textId="77777777" w:rsidR="00454A29" w:rsidRDefault="00454A29"/>
        </w:tc>
        <w:tc>
          <w:tcPr>
            <w:tcW w:w="2098" w:type="dxa"/>
            <w:vAlign w:val="center"/>
          </w:tcPr>
          <w:p w14:paraId="342A3A1C" w14:textId="77777777" w:rsidR="00454A29" w:rsidRDefault="00454A29">
            <w:pPr>
              <w:pStyle w:val="ConsPlusNormal"/>
              <w:jc w:val="center"/>
            </w:pPr>
            <w:r>
              <w:t>Внебюджетные средства</w:t>
            </w:r>
          </w:p>
        </w:tc>
        <w:tc>
          <w:tcPr>
            <w:tcW w:w="1814" w:type="dxa"/>
            <w:vAlign w:val="center"/>
          </w:tcPr>
          <w:p w14:paraId="53040CB4" w14:textId="77777777" w:rsidR="00454A29" w:rsidRDefault="00454A29">
            <w:pPr>
              <w:pStyle w:val="ConsPlusNormal"/>
              <w:jc w:val="center"/>
            </w:pPr>
            <w:r>
              <w:t>0,00</w:t>
            </w:r>
          </w:p>
        </w:tc>
        <w:tc>
          <w:tcPr>
            <w:tcW w:w="1701" w:type="dxa"/>
            <w:vAlign w:val="center"/>
          </w:tcPr>
          <w:p w14:paraId="5D6828A2" w14:textId="77777777" w:rsidR="00454A29" w:rsidRDefault="00454A29">
            <w:pPr>
              <w:pStyle w:val="ConsPlusNormal"/>
              <w:jc w:val="center"/>
            </w:pPr>
            <w:r>
              <w:t>0,00</w:t>
            </w:r>
          </w:p>
        </w:tc>
        <w:tc>
          <w:tcPr>
            <w:tcW w:w="1701" w:type="dxa"/>
            <w:vAlign w:val="center"/>
          </w:tcPr>
          <w:p w14:paraId="7FEBC77C" w14:textId="77777777" w:rsidR="00454A29" w:rsidRDefault="00454A29">
            <w:pPr>
              <w:pStyle w:val="ConsPlusNormal"/>
              <w:jc w:val="center"/>
            </w:pPr>
            <w:r>
              <w:t>0,00</w:t>
            </w:r>
          </w:p>
        </w:tc>
        <w:tc>
          <w:tcPr>
            <w:tcW w:w="1701" w:type="dxa"/>
            <w:vAlign w:val="center"/>
          </w:tcPr>
          <w:p w14:paraId="1350CAD3" w14:textId="77777777" w:rsidR="00454A29" w:rsidRDefault="00454A29">
            <w:pPr>
              <w:pStyle w:val="ConsPlusNormal"/>
              <w:jc w:val="center"/>
            </w:pPr>
            <w:r>
              <w:t>0,00</w:t>
            </w:r>
          </w:p>
        </w:tc>
        <w:tc>
          <w:tcPr>
            <w:tcW w:w="1701" w:type="dxa"/>
            <w:vAlign w:val="center"/>
          </w:tcPr>
          <w:p w14:paraId="1D81ADFD" w14:textId="77777777" w:rsidR="00454A29" w:rsidRDefault="00454A29">
            <w:pPr>
              <w:pStyle w:val="ConsPlusNormal"/>
              <w:jc w:val="center"/>
            </w:pPr>
            <w:r>
              <w:t>0,00</w:t>
            </w:r>
          </w:p>
        </w:tc>
        <w:tc>
          <w:tcPr>
            <w:tcW w:w="1701" w:type="dxa"/>
            <w:vAlign w:val="center"/>
          </w:tcPr>
          <w:p w14:paraId="12FC7245" w14:textId="77777777" w:rsidR="00454A29" w:rsidRDefault="00454A29">
            <w:pPr>
              <w:pStyle w:val="ConsPlusNormal"/>
              <w:jc w:val="center"/>
            </w:pPr>
            <w:r>
              <w:t>0,00</w:t>
            </w:r>
          </w:p>
        </w:tc>
        <w:tc>
          <w:tcPr>
            <w:tcW w:w="1701" w:type="dxa"/>
            <w:vAlign w:val="center"/>
          </w:tcPr>
          <w:p w14:paraId="79B86CBF" w14:textId="77777777" w:rsidR="00454A29" w:rsidRDefault="00454A29">
            <w:pPr>
              <w:pStyle w:val="ConsPlusNormal"/>
              <w:jc w:val="center"/>
            </w:pPr>
            <w:r>
              <w:t>0,00</w:t>
            </w:r>
          </w:p>
        </w:tc>
      </w:tr>
      <w:tr w:rsidR="00454A29" w14:paraId="30BD08C4" w14:textId="77777777">
        <w:tc>
          <w:tcPr>
            <w:tcW w:w="964" w:type="dxa"/>
            <w:vMerge w:val="restart"/>
            <w:vAlign w:val="center"/>
          </w:tcPr>
          <w:p w14:paraId="73CCA887" w14:textId="77777777" w:rsidR="00454A29" w:rsidRDefault="00454A29">
            <w:pPr>
              <w:pStyle w:val="ConsPlusNormal"/>
              <w:jc w:val="center"/>
            </w:pPr>
            <w:r>
              <w:t>3.</w:t>
            </w:r>
          </w:p>
        </w:tc>
        <w:tc>
          <w:tcPr>
            <w:tcW w:w="2154" w:type="dxa"/>
            <w:vMerge w:val="restart"/>
            <w:tcBorders>
              <w:bottom w:val="nil"/>
            </w:tcBorders>
            <w:vAlign w:val="center"/>
          </w:tcPr>
          <w:p w14:paraId="0D6A44F9" w14:textId="77777777" w:rsidR="00454A29" w:rsidRDefault="00454A29">
            <w:pPr>
              <w:pStyle w:val="ConsPlusNormal"/>
              <w:jc w:val="center"/>
            </w:pPr>
            <w:r>
              <w:t>Подпрограмма 3 "Профессиональное образование"</w:t>
            </w:r>
          </w:p>
        </w:tc>
        <w:tc>
          <w:tcPr>
            <w:tcW w:w="2154" w:type="dxa"/>
            <w:vMerge w:val="restart"/>
            <w:tcBorders>
              <w:bottom w:val="nil"/>
            </w:tcBorders>
            <w:vAlign w:val="center"/>
          </w:tcPr>
          <w:p w14:paraId="40E4B6BC" w14:textId="77777777" w:rsidR="00454A29" w:rsidRDefault="00454A29">
            <w:pPr>
              <w:pStyle w:val="ConsPlusNormal"/>
              <w:jc w:val="center"/>
            </w:pPr>
            <w:r>
              <w:t>Основное мероприятие 3.6. "Реализация регионального проекта "Цифровая образовательная среда"</w:t>
            </w:r>
          </w:p>
        </w:tc>
        <w:tc>
          <w:tcPr>
            <w:tcW w:w="10943" w:type="dxa"/>
            <w:gridSpan w:val="5"/>
            <w:vMerge w:val="restart"/>
            <w:vAlign w:val="center"/>
          </w:tcPr>
          <w:p w14:paraId="21431F91" w14:textId="77777777" w:rsidR="00454A29" w:rsidRDefault="00454A29">
            <w:pPr>
              <w:pStyle w:val="ConsPlusNormal"/>
              <w:jc w:val="center"/>
            </w:pPr>
            <w:r>
              <w:t>ВСЕГО</w:t>
            </w:r>
          </w:p>
        </w:tc>
        <w:tc>
          <w:tcPr>
            <w:tcW w:w="2098" w:type="dxa"/>
            <w:vAlign w:val="center"/>
          </w:tcPr>
          <w:p w14:paraId="271ECC47" w14:textId="77777777" w:rsidR="00454A29" w:rsidRDefault="00454A29">
            <w:pPr>
              <w:pStyle w:val="ConsPlusNormal"/>
              <w:jc w:val="center"/>
            </w:pPr>
            <w:r>
              <w:t>Итого</w:t>
            </w:r>
          </w:p>
        </w:tc>
        <w:tc>
          <w:tcPr>
            <w:tcW w:w="1814" w:type="dxa"/>
            <w:vAlign w:val="center"/>
          </w:tcPr>
          <w:p w14:paraId="638F8806" w14:textId="77777777" w:rsidR="00454A29" w:rsidRDefault="00454A29">
            <w:pPr>
              <w:pStyle w:val="ConsPlusNormal"/>
              <w:jc w:val="center"/>
            </w:pPr>
            <w:r>
              <w:t>2 437,01</w:t>
            </w:r>
          </w:p>
        </w:tc>
        <w:tc>
          <w:tcPr>
            <w:tcW w:w="1701" w:type="dxa"/>
            <w:vAlign w:val="center"/>
          </w:tcPr>
          <w:p w14:paraId="14622BEB" w14:textId="77777777" w:rsidR="00454A29" w:rsidRDefault="00454A29">
            <w:pPr>
              <w:pStyle w:val="ConsPlusNormal"/>
              <w:jc w:val="center"/>
            </w:pPr>
            <w:r>
              <w:t>1 656,89</w:t>
            </w:r>
          </w:p>
        </w:tc>
        <w:tc>
          <w:tcPr>
            <w:tcW w:w="1701" w:type="dxa"/>
            <w:vAlign w:val="center"/>
          </w:tcPr>
          <w:p w14:paraId="153B92C4" w14:textId="77777777" w:rsidR="00454A29" w:rsidRDefault="00454A29">
            <w:pPr>
              <w:pStyle w:val="ConsPlusNormal"/>
              <w:jc w:val="center"/>
            </w:pPr>
            <w:r>
              <w:t>205,90</w:t>
            </w:r>
          </w:p>
        </w:tc>
        <w:tc>
          <w:tcPr>
            <w:tcW w:w="1701" w:type="dxa"/>
            <w:vAlign w:val="center"/>
          </w:tcPr>
          <w:p w14:paraId="297A2C1E" w14:textId="77777777" w:rsidR="00454A29" w:rsidRDefault="00454A29">
            <w:pPr>
              <w:pStyle w:val="ConsPlusNormal"/>
              <w:jc w:val="center"/>
            </w:pPr>
            <w:r>
              <w:t>0,00</w:t>
            </w:r>
          </w:p>
        </w:tc>
        <w:tc>
          <w:tcPr>
            <w:tcW w:w="1701" w:type="dxa"/>
            <w:vAlign w:val="center"/>
          </w:tcPr>
          <w:p w14:paraId="4EFB363E" w14:textId="77777777" w:rsidR="00454A29" w:rsidRDefault="00454A29">
            <w:pPr>
              <w:pStyle w:val="ConsPlusNormal"/>
              <w:jc w:val="center"/>
            </w:pPr>
            <w:r>
              <w:t>0,00</w:t>
            </w:r>
          </w:p>
        </w:tc>
        <w:tc>
          <w:tcPr>
            <w:tcW w:w="1701" w:type="dxa"/>
            <w:vAlign w:val="center"/>
          </w:tcPr>
          <w:p w14:paraId="165CBCF8" w14:textId="77777777" w:rsidR="00454A29" w:rsidRDefault="00454A29">
            <w:pPr>
              <w:pStyle w:val="ConsPlusNormal"/>
              <w:jc w:val="center"/>
            </w:pPr>
            <w:r>
              <w:t>0,00</w:t>
            </w:r>
          </w:p>
        </w:tc>
        <w:tc>
          <w:tcPr>
            <w:tcW w:w="1701" w:type="dxa"/>
            <w:vAlign w:val="center"/>
          </w:tcPr>
          <w:p w14:paraId="7ECA44C4" w14:textId="77777777" w:rsidR="00454A29" w:rsidRDefault="00454A29">
            <w:pPr>
              <w:pStyle w:val="ConsPlusNormal"/>
              <w:jc w:val="center"/>
            </w:pPr>
            <w:r>
              <w:t>0,00</w:t>
            </w:r>
          </w:p>
        </w:tc>
      </w:tr>
      <w:tr w:rsidR="00454A29" w14:paraId="55B89A82" w14:textId="77777777">
        <w:tc>
          <w:tcPr>
            <w:tcW w:w="964" w:type="dxa"/>
            <w:vMerge/>
          </w:tcPr>
          <w:p w14:paraId="5F0620E4" w14:textId="77777777" w:rsidR="00454A29" w:rsidRDefault="00454A29"/>
        </w:tc>
        <w:tc>
          <w:tcPr>
            <w:tcW w:w="2154" w:type="dxa"/>
            <w:vMerge/>
            <w:tcBorders>
              <w:bottom w:val="nil"/>
            </w:tcBorders>
          </w:tcPr>
          <w:p w14:paraId="0928B4EE" w14:textId="77777777" w:rsidR="00454A29" w:rsidRDefault="00454A29"/>
        </w:tc>
        <w:tc>
          <w:tcPr>
            <w:tcW w:w="2154" w:type="dxa"/>
            <w:vMerge/>
            <w:tcBorders>
              <w:bottom w:val="nil"/>
            </w:tcBorders>
          </w:tcPr>
          <w:p w14:paraId="79B1C9BA" w14:textId="77777777" w:rsidR="00454A29" w:rsidRDefault="00454A29"/>
        </w:tc>
        <w:tc>
          <w:tcPr>
            <w:tcW w:w="10943" w:type="dxa"/>
            <w:gridSpan w:val="5"/>
            <w:vMerge/>
          </w:tcPr>
          <w:p w14:paraId="3494D869" w14:textId="77777777" w:rsidR="00454A29" w:rsidRDefault="00454A29"/>
        </w:tc>
        <w:tc>
          <w:tcPr>
            <w:tcW w:w="2098" w:type="dxa"/>
            <w:vAlign w:val="center"/>
          </w:tcPr>
          <w:p w14:paraId="4D3F0717"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5FFDA1F" w14:textId="77777777" w:rsidR="00454A29" w:rsidRDefault="00454A29">
            <w:pPr>
              <w:pStyle w:val="ConsPlusNormal"/>
              <w:jc w:val="center"/>
            </w:pPr>
            <w:r>
              <w:t>2 437,01</w:t>
            </w:r>
          </w:p>
        </w:tc>
        <w:tc>
          <w:tcPr>
            <w:tcW w:w="1701" w:type="dxa"/>
            <w:vAlign w:val="center"/>
          </w:tcPr>
          <w:p w14:paraId="435F85CB" w14:textId="77777777" w:rsidR="00454A29" w:rsidRDefault="00454A29">
            <w:pPr>
              <w:pStyle w:val="ConsPlusNormal"/>
              <w:jc w:val="center"/>
            </w:pPr>
            <w:r>
              <w:t>1 656,89</w:t>
            </w:r>
          </w:p>
        </w:tc>
        <w:tc>
          <w:tcPr>
            <w:tcW w:w="1701" w:type="dxa"/>
            <w:vAlign w:val="center"/>
          </w:tcPr>
          <w:p w14:paraId="429C8EDE" w14:textId="77777777" w:rsidR="00454A29" w:rsidRDefault="00454A29">
            <w:pPr>
              <w:pStyle w:val="ConsPlusNormal"/>
              <w:jc w:val="center"/>
            </w:pPr>
            <w:r>
              <w:t>205,90</w:t>
            </w:r>
          </w:p>
        </w:tc>
        <w:tc>
          <w:tcPr>
            <w:tcW w:w="1701" w:type="dxa"/>
            <w:vAlign w:val="center"/>
          </w:tcPr>
          <w:p w14:paraId="0B21B77D" w14:textId="77777777" w:rsidR="00454A29" w:rsidRDefault="00454A29">
            <w:pPr>
              <w:pStyle w:val="ConsPlusNormal"/>
              <w:jc w:val="center"/>
            </w:pPr>
            <w:r>
              <w:t>0,00</w:t>
            </w:r>
          </w:p>
        </w:tc>
        <w:tc>
          <w:tcPr>
            <w:tcW w:w="1701" w:type="dxa"/>
            <w:vAlign w:val="center"/>
          </w:tcPr>
          <w:p w14:paraId="2788EBE9" w14:textId="77777777" w:rsidR="00454A29" w:rsidRDefault="00454A29">
            <w:pPr>
              <w:pStyle w:val="ConsPlusNormal"/>
              <w:jc w:val="center"/>
            </w:pPr>
            <w:r>
              <w:t>0,00</w:t>
            </w:r>
          </w:p>
        </w:tc>
        <w:tc>
          <w:tcPr>
            <w:tcW w:w="1701" w:type="dxa"/>
            <w:vAlign w:val="center"/>
          </w:tcPr>
          <w:p w14:paraId="4ACF17A5" w14:textId="77777777" w:rsidR="00454A29" w:rsidRDefault="00454A29">
            <w:pPr>
              <w:pStyle w:val="ConsPlusNormal"/>
              <w:jc w:val="center"/>
            </w:pPr>
            <w:r>
              <w:t>0,00</w:t>
            </w:r>
          </w:p>
        </w:tc>
        <w:tc>
          <w:tcPr>
            <w:tcW w:w="1701" w:type="dxa"/>
            <w:vAlign w:val="center"/>
          </w:tcPr>
          <w:p w14:paraId="05CAF228" w14:textId="77777777" w:rsidR="00454A29" w:rsidRDefault="00454A29">
            <w:pPr>
              <w:pStyle w:val="ConsPlusNormal"/>
              <w:jc w:val="center"/>
            </w:pPr>
            <w:r>
              <w:t>0,00</w:t>
            </w:r>
          </w:p>
        </w:tc>
      </w:tr>
      <w:tr w:rsidR="00454A29" w14:paraId="78BCEB09" w14:textId="77777777">
        <w:tc>
          <w:tcPr>
            <w:tcW w:w="964" w:type="dxa"/>
            <w:vMerge/>
          </w:tcPr>
          <w:p w14:paraId="260C4CFD" w14:textId="77777777" w:rsidR="00454A29" w:rsidRDefault="00454A29"/>
        </w:tc>
        <w:tc>
          <w:tcPr>
            <w:tcW w:w="2154" w:type="dxa"/>
            <w:vMerge/>
            <w:tcBorders>
              <w:bottom w:val="nil"/>
            </w:tcBorders>
          </w:tcPr>
          <w:p w14:paraId="40F23EA2" w14:textId="77777777" w:rsidR="00454A29" w:rsidRDefault="00454A29"/>
        </w:tc>
        <w:tc>
          <w:tcPr>
            <w:tcW w:w="2154" w:type="dxa"/>
            <w:vMerge/>
            <w:tcBorders>
              <w:bottom w:val="nil"/>
            </w:tcBorders>
          </w:tcPr>
          <w:p w14:paraId="28599396" w14:textId="77777777" w:rsidR="00454A29" w:rsidRDefault="00454A29"/>
        </w:tc>
        <w:tc>
          <w:tcPr>
            <w:tcW w:w="10943" w:type="dxa"/>
            <w:gridSpan w:val="5"/>
            <w:vMerge/>
          </w:tcPr>
          <w:p w14:paraId="0F7FA6F4" w14:textId="77777777" w:rsidR="00454A29" w:rsidRDefault="00454A29"/>
        </w:tc>
        <w:tc>
          <w:tcPr>
            <w:tcW w:w="2098" w:type="dxa"/>
            <w:vAlign w:val="center"/>
          </w:tcPr>
          <w:p w14:paraId="2F34A0BB" w14:textId="77777777" w:rsidR="00454A29" w:rsidRDefault="00454A29">
            <w:pPr>
              <w:pStyle w:val="ConsPlusNormal"/>
              <w:jc w:val="center"/>
            </w:pPr>
            <w:r>
              <w:t>Федеральный бюджет</w:t>
            </w:r>
          </w:p>
        </w:tc>
        <w:tc>
          <w:tcPr>
            <w:tcW w:w="1814" w:type="dxa"/>
            <w:vAlign w:val="center"/>
          </w:tcPr>
          <w:p w14:paraId="1106E15B" w14:textId="77777777" w:rsidR="00454A29" w:rsidRDefault="00454A29">
            <w:pPr>
              <w:pStyle w:val="ConsPlusNormal"/>
              <w:jc w:val="center"/>
            </w:pPr>
            <w:r>
              <w:t>0,00</w:t>
            </w:r>
          </w:p>
        </w:tc>
        <w:tc>
          <w:tcPr>
            <w:tcW w:w="1701" w:type="dxa"/>
            <w:vAlign w:val="center"/>
          </w:tcPr>
          <w:p w14:paraId="5000151B" w14:textId="77777777" w:rsidR="00454A29" w:rsidRDefault="00454A29">
            <w:pPr>
              <w:pStyle w:val="ConsPlusNormal"/>
              <w:jc w:val="center"/>
            </w:pPr>
            <w:r>
              <w:t>0,00</w:t>
            </w:r>
          </w:p>
        </w:tc>
        <w:tc>
          <w:tcPr>
            <w:tcW w:w="1701" w:type="dxa"/>
            <w:vAlign w:val="center"/>
          </w:tcPr>
          <w:p w14:paraId="2E369DBA" w14:textId="77777777" w:rsidR="00454A29" w:rsidRDefault="00454A29">
            <w:pPr>
              <w:pStyle w:val="ConsPlusNormal"/>
              <w:jc w:val="center"/>
            </w:pPr>
            <w:r>
              <w:t>0,00</w:t>
            </w:r>
          </w:p>
        </w:tc>
        <w:tc>
          <w:tcPr>
            <w:tcW w:w="1701" w:type="dxa"/>
            <w:vAlign w:val="center"/>
          </w:tcPr>
          <w:p w14:paraId="004DB826" w14:textId="77777777" w:rsidR="00454A29" w:rsidRDefault="00454A29">
            <w:pPr>
              <w:pStyle w:val="ConsPlusNormal"/>
              <w:jc w:val="center"/>
            </w:pPr>
            <w:r>
              <w:t>0,00</w:t>
            </w:r>
          </w:p>
        </w:tc>
        <w:tc>
          <w:tcPr>
            <w:tcW w:w="1701" w:type="dxa"/>
            <w:vAlign w:val="center"/>
          </w:tcPr>
          <w:p w14:paraId="409E3989" w14:textId="77777777" w:rsidR="00454A29" w:rsidRDefault="00454A29">
            <w:pPr>
              <w:pStyle w:val="ConsPlusNormal"/>
              <w:jc w:val="center"/>
            </w:pPr>
            <w:r>
              <w:t>0,00</w:t>
            </w:r>
          </w:p>
        </w:tc>
        <w:tc>
          <w:tcPr>
            <w:tcW w:w="1701" w:type="dxa"/>
            <w:vAlign w:val="center"/>
          </w:tcPr>
          <w:p w14:paraId="11120B4D" w14:textId="77777777" w:rsidR="00454A29" w:rsidRDefault="00454A29">
            <w:pPr>
              <w:pStyle w:val="ConsPlusNormal"/>
              <w:jc w:val="center"/>
            </w:pPr>
            <w:r>
              <w:t>0,00</w:t>
            </w:r>
          </w:p>
        </w:tc>
        <w:tc>
          <w:tcPr>
            <w:tcW w:w="1701" w:type="dxa"/>
            <w:vAlign w:val="center"/>
          </w:tcPr>
          <w:p w14:paraId="7C483241" w14:textId="77777777" w:rsidR="00454A29" w:rsidRDefault="00454A29">
            <w:pPr>
              <w:pStyle w:val="ConsPlusNormal"/>
              <w:jc w:val="center"/>
            </w:pPr>
            <w:r>
              <w:t>0,00</w:t>
            </w:r>
          </w:p>
        </w:tc>
      </w:tr>
      <w:tr w:rsidR="00454A29" w14:paraId="69AB9236" w14:textId="77777777">
        <w:tc>
          <w:tcPr>
            <w:tcW w:w="964" w:type="dxa"/>
            <w:vMerge/>
          </w:tcPr>
          <w:p w14:paraId="0291A931" w14:textId="77777777" w:rsidR="00454A29" w:rsidRDefault="00454A29"/>
        </w:tc>
        <w:tc>
          <w:tcPr>
            <w:tcW w:w="2154" w:type="dxa"/>
            <w:vMerge/>
            <w:tcBorders>
              <w:bottom w:val="nil"/>
            </w:tcBorders>
          </w:tcPr>
          <w:p w14:paraId="29146617" w14:textId="77777777" w:rsidR="00454A29" w:rsidRDefault="00454A29"/>
        </w:tc>
        <w:tc>
          <w:tcPr>
            <w:tcW w:w="2154" w:type="dxa"/>
            <w:vMerge/>
            <w:tcBorders>
              <w:bottom w:val="nil"/>
            </w:tcBorders>
          </w:tcPr>
          <w:p w14:paraId="0E9D370F" w14:textId="77777777" w:rsidR="00454A29" w:rsidRDefault="00454A29"/>
        </w:tc>
        <w:tc>
          <w:tcPr>
            <w:tcW w:w="10943" w:type="dxa"/>
            <w:gridSpan w:val="5"/>
            <w:vMerge/>
          </w:tcPr>
          <w:p w14:paraId="4055F57E" w14:textId="77777777" w:rsidR="00454A29" w:rsidRDefault="00454A29"/>
        </w:tc>
        <w:tc>
          <w:tcPr>
            <w:tcW w:w="2098" w:type="dxa"/>
            <w:vAlign w:val="center"/>
          </w:tcPr>
          <w:p w14:paraId="3CB7C1B5" w14:textId="77777777" w:rsidR="00454A29" w:rsidRDefault="00454A29">
            <w:pPr>
              <w:pStyle w:val="ConsPlusNormal"/>
              <w:jc w:val="center"/>
            </w:pPr>
            <w:r>
              <w:t>Местные бюджеты</w:t>
            </w:r>
          </w:p>
        </w:tc>
        <w:tc>
          <w:tcPr>
            <w:tcW w:w="1814" w:type="dxa"/>
            <w:vAlign w:val="center"/>
          </w:tcPr>
          <w:p w14:paraId="708F1BE9" w14:textId="77777777" w:rsidR="00454A29" w:rsidRDefault="00454A29">
            <w:pPr>
              <w:pStyle w:val="ConsPlusNormal"/>
              <w:jc w:val="center"/>
            </w:pPr>
            <w:r>
              <w:t>0,00</w:t>
            </w:r>
          </w:p>
        </w:tc>
        <w:tc>
          <w:tcPr>
            <w:tcW w:w="1701" w:type="dxa"/>
            <w:vAlign w:val="center"/>
          </w:tcPr>
          <w:p w14:paraId="3D2EADB5" w14:textId="77777777" w:rsidR="00454A29" w:rsidRDefault="00454A29">
            <w:pPr>
              <w:pStyle w:val="ConsPlusNormal"/>
              <w:jc w:val="center"/>
            </w:pPr>
            <w:r>
              <w:t>0,00</w:t>
            </w:r>
          </w:p>
        </w:tc>
        <w:tc>
          <w:tcPr>
            <w:tcW w:w="1701" w:type="dxa"/>
            <w:vAlign w:val="center"/>
          </w:tcPr>
          <w:p w14:paraId="42CAE088" w14:textId="77777777" w:rsidR="00454A29" w:rsidRDefault="00454A29">
            <w:pPr>
              <w:pStyle w:val="ConsPlusNormal"/>
              <w:jc w:val="center"/>
            </w:pPr>
            <w:r>
              <w:t>0,00</w:t>
            </w:r>
          </w:p>
        </w:tc>
        <w:tc>
          <w:tcPr>
            <w:tcW w:w="1701" w:type="dxa"/>
            <w:vAlign w:val="center"/>
          </w:tcPr>
          <w:p w14:paraId="7C148AD5" w14:textId="77777777" w:rsidR="00454A29" w:rsidRDefault="00454A29">
            <w:pPr>
              <w:pStyle w:val="ConsPlusNormal"/>
              <w:jc w:val="center"/>
            </w:pPr>
            <w:r>
              <w:t>0,00</w:t>
            </w:r>
          </w:p>
        </w:tc>
        <w:tc>
          <w:tcPr>
            <w:tcW w:w="1701" w:type="dxa"/>
            <w:vAlign w:val="center"/>
          </w:tcPr>
          <w:p w14:paraId="3B1F0DE2" w14:textId="77777777" w:rsidR="00454A29" w:rsidRDefault="00454A29">
            <w:pPr>
              <w:pStyle w:val="ConsPlusNormal"/>
              <w:jc w:val="center"/>
            </w:pPr>
            <w:r>
              <w:t>0,00</w:t>
            </w:r>
          </w:p>
        </w:tc>
        <w:tc>
          <w:tcPr>
            <w:tcW w:w="1701" w:type="dxa"/>
            <w:vAlign w:val="center"/>
          </w:tcPr>
          <w:p w14:paraId="31645E5C" w14:textId="77777777" w:rsidR="00454A29" w:rsidRDefault="00454A29">
            <w:pPr>
              <w:pStyle w:val="ConsPlusNormal"/>
              <w:jc w:val="center"/>
            </w:pPr>
            <w:r>
              <w:t>0,00</w:t>
            </w:r>
          </w:p>
        </w:tc>
        <w:tc>
          <w:tcPr>
            <w:tcW w:w="1701" w:type="dxa"/>
            <w:vAlign w:val="center"/>
          </w:tcPr>
          <w:p w14:paraId="7284BF4B" w14:textId="77777777" w:rsidR="00454A29" w:rsidRDefault="00454A29">
            <w:pPr>
              <w:pStyle w:val="ConsPlusNormal"/>
              <w:jc w:val="center"/>
            </w:pPr>
            <w:r>
              <w:t>0,00</w:t>
            </w:r>
          </w:p>
        </w:tc>
      </w:tr>
      <w:tr w:rsidR="00454A29" w14:paraId="31C24C40" w14:textId="77777777">
        <w:tc>
          <w:tcPr>
            <w:tcW w:w="964" w:type="dxa"/>
            <w:vMerge/>
          </w:tcPr>
          <w:p w14:paraId="76150618" w14:textId="77777777" w:rsidR="00454A29" w:rsidRDefault="00454A29"/>
        </w:tc>
        <w:tc>
          <w:tcPr>
            <w:tcW w:w="2154" w:type="dxa"/>
            <w:vMerge/>
            <w:tcBorders>
              <w:bottom w:val="nil"/>
            </w:tcBorders>
          </w:tcPr>
          <w:p w14:paraId="1F97B6D0" w14:textId="77777777" w:rsidR="00454A29" w:rsidRDefault="00454A29"/>
        </w:tc>
        <w:tc>
          <w:tcPr>
            <w:tcW w:w="2154" w:type="dxa"/>
            <w:vMerge/>
            <w:tcBorders>
              <w:bottom w:val="nil"/>
            </w:tcBorders>
          </w:tcPr>
          <w:p w14:paraId="1A4D1937" w14:textId="77777777" w:rsidR="00454A29" w:rsidRDefault="00454A29"/>
        </w:tc>
        <w:tc>
          <w:tcPr>
            <w:tcW w:w="10943" w:type="dxa"/>
            <w:gridSpan w:val="5"/>
            <w:vMerge/>
          </w:tcPr>
          <w:p w14:paraId="1ACD09AE" w14:textId="77777777" w:rsidR="00454A29" w:rsidRDefault="00454A29"/>
        </w:tc>
        <w:tc>
          <w:tcPr>
            <w:tcW w:w="2098" w:type="dxa"/>
            <w:vAlign w:val="center"/>
          </w:tcPr>
          <w:p w14:paraId="46F9229D" w14:textId="77777777" w:rsidR="00454A29" w:rsidRDefault="00454A29">
            <w:pPr>
              <w:pStyle w:val="ConsPlusNormal"/>
              <w:jc w:val="center"/>
            </w:pPr>
            <w:r>
              <w:t>Внебюджетные средства</w:t>
            </w:r>
          </w:p>
        </w:tc>
        <w:tc>
          <w:tcPr>
            <w:tcW w:w="1814" w:type="dxa"/>
            <w:vAlign w:val="center"/>
          </w:tcPr>
          <w:p w14:paraId="5EB1C909" w14:textId="77777777" w:rsidR="00454A29" w:rsidRDefault="00454A29">
            <w:pPr>
              <w:pStyle w:val="ConsPlusNormal"/>
              <w:jc w:val="center"/>
            </w:pPr>
            <w:r>
              <w:t>0,00</w:t>
            </w:r>
          </w:p>
        </w:tc>
        <w:tc>
          <w:tcPr>
            <w:tcW w:w="1701" w:type="dxa"/>
            <w:vAlign w:val="center"/>
          </w:tcPr>
          <w:p w14:paraId="657A3C9A" w14:textId="77777777" w:rsidR="00454A29" w:rsidRDefault="00454A29">
            <w:pPr>
              <w:pStyle w:val="ConsPlusNormal"/>
              <w:jc w:val="center"/>
            </w:pPr>
            <w:r>
              <w:t>0,00</w:t>
            </w:r>
          </w:p>
        </w:tc>
        <w:tc>
          <w:tcPr>
            <w:tcW w:w="1701" w:type="dxa"/>
            <w:vAlign w:val="center"/>
          </w:tcPr>
          <w:p w14:paraId="1D73D416" w14:textId="77777777" w:rsidR="00454A29" w:rsidRDefault="00454A29">
            <w:pPr>
              <w:pStyle w:val="ConsPlusNormal"/>
              <w:jc w:val="center"/>
            </w:pPr>
            <w:r>
              <w:t>0,00</w:t>
            </w:r>
          </w:p>
        </w:tc>
        <w:tc>
          <w:tcPr>
            <w:tcW w:w="1701" w:type="dxa"/>
            <w:vAlign w:val="center"/>
          </w:tcPr>
          <w:p w14:paraId="7F9C184B" w14:textId="77777777" w:rsidR="00454A29" w:rsidRDefault="00454A29">
            <w:pPr>
              <w:pStyle w:val="ConsPlusNormal"/>
              <w:jc w:val="center"/>
            </w:pPr>
            <w:r>
              <w:t>0,00</w:t>
            </w:r>
          </w:p>
        </w:tc>
        <w:tc>
          <w:tcPr>
            <w:tcW w:w="1701" w:type="dxa"/>
            <w:vAlign w:val="center"/>
          </w:tcPr>
          <w:p w14:paraId="225D0051" w14:textId="77777777" w:rsidR="00454A29" w:rsidRDefault="00454A29">
            <w:pPr>
              <w:pStyle w:val="ConsPlusNormal"/>
              <w:jc w:val="center"/>
            </w:pPr>
            <w:r>
              <w:t>0,00</w:t>
            </w:r>
          </w:p>
        </w:tc>
        <w:tc>
          <w:tcPr>
            <w:tcW w:w="1701" w:type="dxa"/>
            <w:vAlign w:val="center"/>
          </w:tcPr>
          <w:p w14:paraId="64E1DBB2" w14:textId="77777777" w:rsidR="00454A29" w:rsidRDefault="00454A29">
            <w:pPr>
              <w:pStyle w:val="ConsPlusNormal"/>
              <w:jc w:val="center"/>
            </w:pPr>
            <w:r>
              <w:t>0,00</w:t>
            </w:r>
          </w:p>
        </w:tc>
        <w:tc>
          <w:tcPr>
            <w:tcW w:w="1701" w:type="dxa"/>
            <w:vAlign w:val="center"/>
          </w:tcPr>
          <w:p w14:paraId="47B62550" w14:textId="77777777" w:rsidR="00454A29" w:rsidRDefault="00454A29">
            <w:pPr>
              <w:pStyle w:val="ConsPlusNormal"/>
              <w:jc w:val="center"/>
            </w:pPr>
            <w:r>
              <w:t>0,00</w:t>
            </w:r>
          </w:p>
        </w:tc>
      </w:tr>
      <w:tr w:rsidR="00454A29" w14:paraId="4DFEC721" w14:textId="77777777">
        <w:tc>
          <w:tcPr>
            <w:tcW w:w="964" w:type="dxa"/>
            <w:vMerge w:val="restart"/>
            <w:vAlign w:val="center"/>
          </w:tcPr>
          <w:p w14:paraId="05F3F318" w14:textId="77777777" w:rsidR="00454A29" w:rsidRDefault="00454A29">
            <w:pPr>
              <w:pStyle w:val="ConsPlusNormal"/>
              <w:jc w:val="center"/>
            </w:pPr>
            <w:r>
              <w:t>3.1.</w:t>
            </w:r>
          </w:p>
        </w:tc>
        <w:tc>
          <w:tcPr>
            <w:tcW w:w="2154" w:type="dxa"/>
            <w:vMerge w:val="restart"/>
            <w:tcBorders>
              <w:top w:val="nil"/>
              <w:bottom w:val="nil"/>
            </w:tcBorders>
            <w:vAlign w:val="center"/>
          </w:tcPr>
          <w:p w14:paraId="7AC189E6" w14:textId="77777777" w:rsidR="00454A29" w:rsidRDefault="00454A29">
            <w:pPr>
              <w:pStyle w:val="ConsPlusNormal"/>
            </w:pPr>
          </w:p>
        </w:tc>
        <w:tc>
          <w:tcPr>
            <w:tcW w:w="2154" w:type="dxa"/>
            <w:vMerge w:val="restart"/>
            <w:tcBorders>
              <w:top w:val="nil"/>
              <w:bottom w:val="nil"/>
            </w:tcBorders>
            <w:vAlign w:val="center"/>
          </w:tcPr>
          <w:p w14:paraId="6DD446DF" w14:textId="77777777" w:rsidR="00454A29" w:rsidRDefault="00454A29">
            <w:pPr>
              <w:pStyle w:val="ConsPlusNormal"/>
            </w:pPr>
          </w:p>
        </w:tc>
        <w:tc>
          <w:tcPr>
            <w:tcW w:w="2665" w:type="dxa"/>
            <w:vMerge w:val="restart"/>
            <w:vAlign w:val="center"/>
          </w:tcPr>
          <w:p w14:paraId="03AFBED8" w14:textId="77777777" w:rsidR="00454A29" w:rsidRDefault="00454A29">
            <w:pPr>
              <w:pStyle w:val="ConsPlusNormal"/>
              <w:jc w:val="center"/>
            </w:pPr>
            <w:r>
              <w:t>Результат 1. В муниципальных образованиях Республики Саха (Якутия)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2665" w:type="dxa"/>
            <w:vMerge w:val="restart"/>
            <w:vAlign w:val="center"/>
          </w:tcPr>
          <w:p w14:paraId="08391241" w14:textId="77777777" w:rsidR="00454A29" w:rsidRDefault="00454A29">
            <w:pPr>
              <w:pStyle w:val="ConsPlusNormal"/>
              <w:jc w:val="center"/>
            </w:pPr>
            <w:r>
              <w:t>Мероприятие 3.6.1. 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оборудования)</w:t>
            </w:r>
          </w:p>
        </w:tc>
        <w:tc>
          <w:tcPr>
            <w:tcW w:w="1928" w:type="dxa"/>
            <w:vMerge w:val="restart"/>
            <w:vAlign w:val="center"/>
          </w:tcPr>
          <w:p w14:paraId="107DFA6B" w14:textId="77777777" w:rsidR="00454A29" w:rsidRDefault="00454A29">
            <w:pPr>
              <w:pStyle w:val="ConsPlusNormal"/>
              <w:jc w:val="center"/>
            </w:pPr>
            <w:r>
              <w:t>-</w:t>
            </w:r>
          </w:p>
        </w:tc>
        <w:tc>
          <w:tcPr>
            <w:tcW w:w="1644" w:type="dxa"/>
            <w:vMerge w:val="restart"/>
            <w:vAlign w:val="center"/>
          </w:tcPr>
          <w:p w14:paraId="4BFC9431" w14:textId="77777777" w:rsidR="00454A29" w:rsidRDefault="00454A29">
            <w:pPr>
              <w:pStyle w:val="ConsPlusNormal"/>
              <w:jc w:val="center"/>
            </w:pPr>
            <w:r>
              <w:t>-</w:t>
            </w:r>
          </w:p>
        </w:tc>
        <w:tc>
          <w:tcPr>
            <w:tcW w:w="2041" w:type="dxa"/>
            <w:vMerge w:val="restart"/>
            <w:vAlign w:val="center"/>
          </w:tcPr>
          <w:p w14:paraId="33CDF3EB" w14:textId="77777777" w:rsidR="00454A29" w:rsidRDefault="00454A29">
            <w:pPr>
              <w:pStyle w:val="ConsPlusNormal"/>
              <w:jc w:val="center"/>
            </w:pPr>
            <w:r>
              <w:t>-</w:t>
            </w:r>
          </w:p>
        </w:tc>
        <w:tc>
          <w:tcPr>
            <w:tcW w:w="2098" w:type="dxa"/>
            <w:vAlign w:val="center"/>
          </w:tcPr>
          <w:p w14:paraId="7F134939" w14:textId="77777777" w:rsidR="00454A29" w:rsidRDefault="00454A29">
            <w:pPr>
              <w:pStyle w:val="ConsPlusNormal"/>
              <w:jc w:val="center"/>
            </w:pPr>
            <w:r>
              <w:t>Итого</w:t>
            </w:r>
          </w:p>
        </w:tc>
        <w:tc>
          <w:tcPr>
            <w:tcW w:w="1814" w:type="dxa"/>
            <w:vAlign w:val="center"/>
          </w:tcPr>
          <w:p w14:paraId="21ECFB28" w14:textId="77777777" w:rsidR="00454A29" w:rsidRDefault="00454A29">
            <w:pPr>
              <w:pStyle w:val="ConsPlusNormal"/>
              <w:jc w:val="center"/>
            </w:pPr>
            <w:r>
              <w:t>2 304,36</w:t>
            </w:r>
          </w:p>
        </w:tc>
        <w:tc>
          <w:tcPr>
            <w:tcW w:w="1701" w:type="dxa"/>
            <w:vAlign w:val="center"/>
          </w:tcPr>
          <w:p w14:paraId="1B6BF34B" w14:textId="77777777" w:rsidR="00454A29" w:rsidRDefault="00454A29">
            <w:pPr>
              <w:pStyle w:val="ConsPlusNormal"/>
              <w:jc w:val="center"/>
            </w:pPr>
            <w:r>
              <w:t>1 533,09</w:t>
            </w:r>
          </w:p>
        </w:tc>
        <w:tc>
          <w:tcPr>
            <w:tcW w:w="1701" w:type="dxa"/>
            <w:vAlign w:val="center"/>
          </w:tcPr>
          <w:p w14:paraId="17613BD8" w14:textId="77777777" w:rsidR="00454A29" w:rsidRDefault="00454A29">
            <w:pPr>
              <w:pStyle w:val="ConsPlusNormal"/>
              <w:jc w:val="center"/>
            </w:pPr>
            <w:r>
              <w:t>0,00</w:t>
            </w:r>
          </w:p>
        </w:tc>
        <w:tc>
          <w:tcPr>
            <w:tcW w:w="1701" w:type="dxa"/>
            <w:vAlign w:val="center"/>
          </w:tcPr>
          <w:p w14:paraId="08419EC5" w14:textId="77777777" w:rsidR="00454A29" w:rsidRDefault="00454A29">
            <w:pPr>
              <w:pStyle w:val="ConsPlusNormal"/>
              <w:jc w:val="center"/>
            </w:pPr>
            <w:r>
              <w:t>0,00</w:t>
            </w:r>
          </w:p>
        </w:tc>
        <w:tc>
          <w:tcPr>
            <w:tcW w:w="1701" w:type="dxa"/>
            <w:vAlign w:val="center"/>
          </w:tcPr>
          <w:p w14:paraId="5874A21D" w14:textId="77777777" w:rsidR="00454A29" w:rsidRDefault="00454A29">
            <w:pPr>
              <w:pStyle w:val="ConsPlusNormal"/>
              <w:jc w:val="center"/>
            </w:pPr>
            <w:r>
              <w:t>0,00</w:t>
            </w:r>
          </w:p>
        </w:tc>
        <w:tc>
          <w:tcPr>
            <w:tcW w:w="1701" w:type="dxa"/>
            <w:vAlign w:val="center"/>
          </w:tcPr>
          <w:p w14:paraId="0D7C155E" w14:textId="77777777" w:rsidR="00454A29" w:rsidRDefault="00454A29">
            <w:pPr>
              <w:pStyle w:val="ConsPlusNormal"/>
              <w:jc w:val="center"/>
            </w:pPr>
            <w:r>
              <w:t>0,00</w:t>
            </w:r>
          </w:p>
        </w:tc>
        <w:tc>
          <w:tcPr>
            <w:tcW w:w="1701" w:type="dxa"/>
            <w:vAlign w:val="center"/>
          </w:tcPr>
          <w:p w14:paraId="6C4C8106" w14:textId="77777777" w:rsidR="00454A29" w:rsidRDefault="00454A29">
            <w:pPr>
              <w:pStyle w:val="ConsPlusNormal"/>
              <w:jc w:val="center"/>
            </w:pPr>
            <w:r>
              <w:t>0,00</w:t>
            </w:r>
          </w:p>
        </w:tc>
      </w:tr>
      <w:tr w:rsidR="00454A29" w14:paraId="3F544E37" w14:textId="77777777">
        <w:tc>
          <w:tcPr>
            <w:tcW w:w="964" w:type="dxa"/>
            <w:vMerge/>
          </w:tcPr>
          <w:p w14:paraId="422A11E2" w14:textId="77777777" w:rsidR="00454A29" w:rsidRDefault="00454A29"/>
        </w:tc>
        <w:tc>
          <w:tcPr>
            <w:tcW w:w="2154" w:type="dxa"/>
            <w:vMerge/>
            <w:tcBorders>
              <w:top w:val="nil"/>
              <w:bottom w:val="nil"/>
            </w:tcBorders>
          </w:tcPr>
          <w:p w14:paraId="62FCDD39" w14:textId="77777777" w:rsidR="00454A29" w:rsidRDefault="00454A29"/>
        </w:tc>
        <w:tc>
          <w:tcPr>
            <w:tcW w:w="2154" w:type="dxa"/>
            <w:vMerge/>
            <w:tcBorders>
              <w:top w:val="nil"/>
              <w:bottom w:val="nil"/>
            </w:tcBorders>
          </w:tcPr>
          <w:p w14:paraId="19BFB08C" w14:textId="77777777" w:rsidR="00454A29" w:rsidRDefault="00454A29"/>
        </w:tc>
        <w:tc>
          <w:tcPr>
            <w:tcW w:w="2665" w:type="dxa"/>
            <w:vMerge/>
          </w:tcPr>
          <w:p w14:paraId="69E4A05B" w14:textId="77777777" w:rsidR="00454A29" w:rsidRDefault="00454A29"/>
        </w:tc>
        <w:tc>
          <w:tcPr>
            <w:tcW w:w="2665" w:type="dxa"/>
            <w:vMerge/>
          </w:tcPr>
          <w:p w14:paraId="02E8B76D" w14:textId="77777777" w:rsidR="00454A29" w:rsidRDefault="00454A29"/>
        </w:tc>
        <w:tc>
          <w:tcPr>
            <w:tcW w:w="1928" w:type="dxa"/>
            <w:vMerge/>
          </w:tcPr>
          <w:p w14:paraId="34D18772" w14:textId="77777777" w:rsidR="00454A29" w:rsidRDefault="00454A29"/>
        </w:tc>
        <w:tc>
          <w:tcPr>
            <w:tcW w:w="1644" w:type="dxa"/>
            <w:vMerge/>
          </w:tcPr>
          <w:p w14:paraId="6545F8C1" w14:textId="77777777" w:rsidR="00454A29" w:rsidRDefault="00454A29"/>
        </w:tc>
        <w:tc>
          <w:tcPr>
            <w:tcW w:w="2041" w:type="dxa"/>
            <w:vMerge/>
          </w:tcPr>
          <w:p w14:paraId="4864FAE0" w14:textId="77777777" w:rsidR="00454A29" w:rsidRDefault="00454A29"/>
        </w:tc>
        <w:tc>
          <w:tcPr>
            <w:tcW w:w="2098" w:type="dxa"/>
            <w:vAlign w:val="center"/>
          </w:tcPr>
          <w:p w14:paraId="64F93964"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481B9F3F" w14:textId="77777777" w:rsidR="00454A29" w:rsidRDefault="00454A29">
            <w:pPr>
              <w:pStyle w:val="ConsPlusNormal"/>
              <w:jc w:val="center"/>
            </w:pPr>
            <w:r>
              <w:t>2 304,36</w:t>
            </w:r>
          </w:p>
        </w:tc>
        <w:tc>
          <w:tcPr>
            <w:tcW w:w="1701" w:type="dxa"/>
            <w:vAlign w:val="center"/>
          </w:tcPr>
          <w:p w14:paraId="66B91FA2" w14:textId="77777777" w:rsidR="00454A29" w:rsidRDefault="00454A29">
            <w:pPr>
              <w:pStyle w:val="ConsPlusNormal"/>
              <w:jc w:val="center"/>
            </w:pPr>
            <w:r>
              <w:t>1 533,09</w:t>
            </w:r>
          </w:p>
        </w:tc>
        <w:tc>
          <w:tcPr>
            <w:tcW w:w="1701" w:type="dxa"/>
            <w:vAlign w:val="center"/>
          </w:tcPr>
          <w:p w14:paraId="66FF6B55" w14:textId="77777777" w:rsidR="00454A29" w:rsidRDefault="00454A29">
            <w:pPr>
              <w:pStyle w:val="ConsPlusNormal"/>
              <w:jc w:val="center"/>
            </w:pPr>
            <w:r>
              <w:t>0,00</w:t>
            </w:r>
          </w:p>
        </w:tc>
        <w:tc>
          <w:tcPr>
            <w:tcW w:w="1701" w:type="dxa"/>
            <w:vAlign w:val="center"/>
          </w:tcPr>
          <w:p w14:paraId="6FC581C7" w14:textId="77777777" w:rsidR="00454A29" w:rsidRDefault="00454A29">
            <w:pPr>
              <w:pStyle w:val="ConsPlusNormal"/>
              <w:jc w:val="center"/>
            </w:pPr>
            <w:r>
              <w:t>0,00</w:t>
            </w:r>
          </w:p>
        </w:tc>
        <w:tc>
          <w:tcPr>
            <w:tcW w:w="1701" w:type="dxa"/>
            <w:vAlign w:val="center"/>
          </w:tcPr>
          <w:p w14:paraId="0710B0B3" w14:textId="77777777" w:rsidR="00454A29" w:rsidRDefault="00454A29">
            <w:pPr>
              <w:pStyle w:val="ConsPlusNormal"/>
              <w:jc w:val="center"/>
            </w:pPr>
            <w:r>
              <w:t>0,00</w:t>
            </w:r>
          </w:p>
        </w:tc>
        <w:tc>
          <w:tcPr>
            <w:tcW w:w="1701" w:type="dxa"/>
            <w:vAlign w:val="center"/>
          </w:tcPr>
          <w:p w14:paraId="26576AD1" w14:textId="77777777" w:rsidR="00454A29" w:rsidRDefault="00454A29">
            <w:pPr>
              <w:pStyle w:val="ConsPlusNormal"/>
              <w:jc w:val="center"/>
            </w:pPr>
            <w:r>
              <w:t>0,00</w:t>
            </w:r>
          </w:p>
        </w:tc>
        <w:tc>
          <w:tcPr>
            <w:tcW w:w="1701" w:type="dxa"/>
            <w:vAlign w:val="center"/>
          </w:tcPr>
          <w:p w14:paraId="02A998B7" w14:textId="77777777" w:rsidR="00454A29" w:rsidRDefault="00454A29">
            <w:pPr>
              <w:pStyle w:val="ConsPlusNormal"/>
              <w:jc w:val="center"/>
            </w:pPr>
            <w:r>
              <w:t>0,00</w:t>
            </w:r>
          </w:p>
        </w:tc>
      </w:tr>
      <w:tr w:rsidR="00454A29" w14:paraId="57C340C0" w14:textId="77777777">
        <w:tc>
          <w:tcPr>
            <w:tcW w:w="964" w:type="dxa"/>
            <w:vMerge/>
          </w:tcPr>
          <w:p w14:paraId="2049747E" w14:textId="77777777" w:rsidR="00454A29" w:rsidRDefault="00454A29"/>
        </w:tc>
        <w:tc>
          <w:tcPr>
            <w:tcW w:w="2154" w:type="dxa"/>
            <w:vMerge/>
            <w:tcBorders>
              <w:top w:val="nil"/>
              <w:bottom w:val="nil"/>
            </w:tcBorders>
          </w:tcPr>
          <w:p w14:paraId="3D06CE74" w14:textId="77777777" w:rsidR="00454A29" w:rsidRDefault="00454A29"/>
        </w:tc>
        <w:tc>
          <w:tcPr>
            <w:tcW w:w="2154" w:type="dxa"/>
            <w:vMerge/>
            <w:tcBorders>
              <w:top w:val="nil"/>
              <w:bottom w:val="nil"/>
            </w:tcBorders>
          </w:tcPr>
          <w:p w14:paraId="492B1953" w14:textId="77777777" w:rsidR="00454A29" w:rsidRDefault="00454A29"/>
        </w:tc>
        <w:tc>
          <w:tcPr>
            <w:tcW w:w="2665" w:type="dxa"/>
            <w:vMerge/>
          </w:tcPr>
          <w:p w14:paraId="15774F2F" w14:textId="77777777" w:rsidR="00454A29" w:rsidRDefault="00454A29"/>
        </w:tc>
        <w:tc>
          <w:tcPr>
            <w:tcW w:w="2665" w:type="dxa"/>
            <w:vMerge/>
          </w:tcPr>
          <w:p w14:paraId="1D25833C" w14:textId="77777777" w:rsidR="00454A29" w:rsidRDefault="00454A29"/>
        </w:tc>
        <w:tc>
          <w:tcPr>
            <w:tcW w:w="1928" w:type="dxa"/>
            <w:vMerge/>
          </w:tcPr>
          <w:p w14:paraId="43286160" w14:textId="77777777" w:rsidR="00454A29" w:rsidRDefault="00454A29"/>
        </w:tc>
        <w:tc>
          <w:tcPr>
            <w:tcW w:w="1644" w:type="dxa"/>
            <w:vMerge/>
          </w:tcPr>
          <w:p w14:paraId="7F2C6BC6" w14:textId="77777777" w:rsidR="00454A29" w:rsidRDefault="00454A29"/>
        </w:tc>
        <w:tc>
          <w:tcPr>
            <w:tcW w:w="2041" w:type="dxa"/>
            <w:vMerge/>
          </w:tcPr>
          <w:p w14:paraId="662F8B34" w14:textId="77777777" w:rsidR="00454A29" w:rsidRDefault="00454A29"/>
        </w:tc>
        <w:tc>
          <w:tcPr>
            <w:tcW w:w="2098" w:type="dxa"/>
            <w:vAlign w:val="center"/>
          </w:tcPr>
          <w:p w14:paraId="48FC48E5" w14:textId="77777777" w:rsidR="00454A29" w:rsidRDefault="00454A29">
            <w:pPr>
              <w:pStyle w:val="ConsPlusNormal"/>
              <w:jc w:val="center"/>
            </w:pPr>
            <w:r>
              <w:t>Федеральный бюджет</w:t>
            </w:r>
          </w:p>
        </w:tc>
        <w:tc>
          <w:tcPr>
            <w:tcW w:w="1814" w:type="dxa"/>
            <w:vAlign w:val="center"/>
          </w:tcPr>
          <w:p w14:paraId="11854E77" w14:textId="77777777" w:rsidR="00454A29" w:rsidRDefault="00454A29">
            <w:pPr>
              <w:pStyle w:val="ConsPlusNormal"/>
              <w:jc w:val="center"/>
            </w:pPr>
            <w:r>
              <w:t>0,00</w:t>
            </w:r>
          </w:p>
        </w:tc>
        <w:tc>
          <w:tcPr>
            <w:tcW w:w="1701" w:type="dxa"/>
            <w:vAlign w:val="center"/>
          </w:tcPr>
          <w:p w14:paraId="421FD378" w14:textId="77777777" w:rsidR="00454A29" w:rsidRDefault="00454A29">
            <w:pPr>
              <w:pStyle w:val="ConsPlusNormal"/>
              <w:jc w:val="center"/>
            </w:pPr>
            <w:r>
              <w:t>0,00</w:t>
            </w:r>
          </w:p>
        </w:tc>
        <w:tc>
          <w:tcPr>
            <w:tcW w:w="1701" w:type="dxa"/>
            <w:vAlign w:val="center"/>
          </w:tcPr>
          <w:p w14:paraId="5A006AD3" w14:textId="77777777" w:rsidR="00454A29" w:rsidRDefault="00454A29">
            <w:pPr>
              <w:pStyle w:val="ConsPlusNormal"/>
              <w:jc w:val="center"/>
            </w:pPr>
            <w:r>
              <w:t>0,00</w:t>
            </w:r>
          </w:p>
        </w:tc>
        <w:tc>
          <w:tcPr>
            <w:tcW w:w="1701" w:type="dxa"/>
            <w:vAlign w:val="center"/>
          </w:tcPr>
          <w:p w14:paraId="5D0EFE63" w14:textId="77777777" w:rsidR="00454A29" w:rsidRDefault="00454A29">
            <w:pPr>
              <w:pStyle w:val="ConsPlusNormal"/>
              <w:jc w:val="center"/>
            </w:pPr>
            <w:r>
              <w:t>0,00</w:t>
            </w:r>
          </w:p>
        </w:tc>
        <w:tc>
          <w:tcPr>
            <w:tcW w:w="1701" w:type="dxa"/>
            <w:vAlign w:val="center"/>
          </w:tcPr>
          <w:p w14:paraId="2341FEB9" w14:textId="77777777" w:rsidR="00454A29" w:rsidRDefault="00454A29">
            <w:pPr>
              <w:pStyle w:val="ConsPlusNormal"/>
              <w:jc w:val="center"/>
            </w:pPr>
            <w:r>
              <w:t>0,00</w:t>
            </w:r>
          </w:p>
        </w:tc>
        <w:tc>
          <w:tcPr>
            <w:tcW w:w="1701" w:type="dxa"/>
            <w:vAlign w:val="center"/>
          </w:tcPr>
          <w:p w14:paraId="35D5C21E" w14:textId="77777777" w:rsidR="00454A29" w:rsidRDefault="00454A29">
            <w:pPr>
              <w:pStyle w:val="ConsPlusNormal"/>
              <w:jc w:val="center"/>
            </w:pPr>
            <w:r>
              <w:t>0,00</w:t>
            </w:r>
          </w:p>
        </w:tc>
        <w:tc>
          <w:tcPr>
            <w:tcW w:w="1701" w:type="dxa"/>
            <w:vAlign w:val="center"/>
          </w:tcPr>
          <w:p w14:paraId="6484DA9A" w14:textId="77777777" w:rsidR="00454A29" w:rsidRDefault="00454A29">
            <w:pPr>
              <w:pStyle w:val="ConsPlusNormal"/>
              <w:jc w:val="center"/>
            </w:pPr>
            <w:r>
              <w:t>0,00</w:t>
            </w:r>
          </w:p>
        </w:tc>
      </w:tr>
      <w:tr w:rsidR="00454A29" w14:paraId="1DAA7CD3" w14:textId="77777777">
        <w:tc>
          <w:tcPr>
            <w:tcW w:w="964" w:type="dxa"/>
            <w:vMerge/>
          </w:tcPr>
          <w:p w14:paraId="7897FAC9" w14:textId="77777777" w:rsidR="00454A29" w:rsidRDefault="00454A29"/>
        </w:tc>
        <w:tc>
          <w:tcPr>
            <w:tcW w:w="2154" w:type="dxa"/>
            <w:vMerge/>
            <w:tcBorders>
              <w:top w:val="nil"/>
              <w:bottom w:val="nil"/>
            </w:tcBorders>
          </w:tcPr>
          <w:p w14:paraId="797CE694" w14:textId="77777777" w:rsidR="00454A29" w:rsidRDefault="00454A29"/>
        </w:tc>
        <w:tc>
          <w:tcPr>
            <w:tcW w:w="2154" w:type="dxa"/>
            <w:vMerge/>
            <w:tcBorders>
              <w:top w:val="nil"/>
              <w:bottom w:val="nil"/>
            </w:tcBorders>
          </w:tcPr>
          <w:p w14:paraId="47A6BBD1" w14:textId="77777777" w:rsidR="00454A29" w:rsidRDefault="00454A29"/>
        </w:tc>
        <w:tc>
          <w:tcPr>
            <w:tcW w:w="2665" w:type="dxa"/>
            <w:vMerge/>
          </w:tcPr>
          <w:p w14:paraId="62802B19" w14:textId="77777777" w:rsidR="00454A29" w:rsidRDefault="00454A29"/>
        </w:tc>
        <w:tc>
          <w:tcPr>
            <w:tcW w:w="2665" w:type="dxa"/>
            <w:vMerge/>
          </w:tcPr>
          <w:p w14:paraId="6A0246AE" w14:textId="77777777" w:rsidR="00454A29" w:rsidRDefault="00454A29"/>
        </w:tc>
        <w:tc>
          <w:tcPr>
            <w:tcW w:w="1928" w:type="dxa"/>
            <w:vMerge/>
          </w:tcPr>
          <w:p w14:paraId="745E70ED" w14:textId="77777777" w:rsidR="00454A29" w:rsidRDefault="00454A29"/>
        </w:tc>
        <w:tc>
          <w:tcPr>
            <w:tcW w:w="1644" w:type="dxa"/>
            <w:vMerge/>
          </w:tcPr>
          <w:p w14:paraId="661F2DA1" w14:textId="77777777" w:rsidR="00454A29" w:rsidRDefault="00454A29"/>
        </w:tc>
        <w:tc>
          <w:tcPr>
            <w:tcW w:w="2041" w:type="dxa"/>
            <w:vMerge/>
          </w:tcPr>
          <w:p w14:paraId="55266B4E" w14:textId="77777777" w:rsidR="00454A29" w:rsidRDefault="00454A29"/>
        </w:tc>
        <w:tc>
          <w:tcPr>
            <w:tcW w:w="2098" w:type="dxa"/>
            <w:vAlign w:val="center"/>
          </w:tcPr>
          <w:p w14:paraId="3DEF65CE" w14:textId="77777777" w:rsidR="00454A29" w:rsidRDefault="00454A29">
            <w:pPr>
              <w:pStyle w:val="ConsPlusNormal"/>
              <w:jc w:val="center"/>
            </w:pPr>
            <w:r>
              <w:t>Местные бюджеты</w:t>
            </w:r>
          </w:p>
        </w:tc>
        <w:tc>
          <w:tcPr>
            <w:tcW w:w="1814" w:type="dxa"/>
            <w:vAlign w:val="center"/>
          </w:tcPr>
          <w:p w14:paraId="24215AD7" w14:textId="77777777" w:rsidR="00454A29" w:rsidRDefault="00454A29">
            <w:pPr>
              <w:pStyle w:val="ConsPlusNormal"/>
              <w:jc w:val="center"/>
            </w:pPr>
            <w:r>
              <w:t>0,00</w:t>
            </w:r>
          </w:p>
        </w:tc>
        <w:tc>
          <w:tcPr>
            <w:tcW w:w="1701" w:type="dxa"/>
            <w:vAlign w:val="center"/>
          </w:tcPr>
          <w:p w14:paraId="2EA6BD21" w14:textId="77777777" w:rsidR="00454A29" w:rsidRDefault="00454A29">
            <w:pPr>
              <w:pStyle w:val="ConsPlusNormal"/>
              <w:jc w:val="center"/>
            </w:pPr>
            <w:r>
              <w:t>0,00</w:t>
            </w:r>
          </w:p>
        </w:tc>
        <w:tc>
          <w:tcPr>
            <w:tcW w:w="1701" w:type="dxa"/>
            <w:vAlign w:val="center"/>
          </w:tcPr>
          <w:p w14:paraId="4DB2585B" w14:textId="77777777" w:rsidR="00454A29" w:rsidRDefault="00454A29">
            <w:pPr>
              <w:pStyle w:val="ConsPlusNormal"/>
              <w:jc w:val="center"/>
            </w:pPr>
            <w:r>
              <w:t>0,00</w:t>
            </w:r>
          </w:p>
        </w:tc>
        <w:tc>
          <w:tcPr>
            <w:tcW w:w="1701" w:type="dxa"/>
            <w:vAlign w:val="center"/>
          </w:tcPr>
          <w:p w14:paraId="4DF46BD5" w14:textId="77777777" w:rsidR="00454A29" w:rsidRDefault="00454A29">
            <w:pPr>
              <w:pStyle w:val="ConsPlusNormal"/>
              <w:jc w:val="center"/>
            </w:pPr>
            <w:r>
              <w:t>0,00</w:t>
            </w:r>
          </w:p>
        </w:tc>
        <w:tc>
          <w:tcPr>
            <w:tcW w:w="1701" w:type="dxa"/>
            <w:vAlign w:val="center"/>
          </w:tcPr>
          <w:p w14:paraId="34D99CE0" w14:textId="77777777" w:rsidR="00454A29" w:rsidRDefault="00454A29">
            <w:pPr>
              <w:pStyle w:val="ConsPlusNormal"/>
              <w:jc w:val="center"/>
            </w:pPr>
            <w:r>
              <w:t>0,00</w:t>
            </w:r>
          </w:p>
        </w:tc>
        <w:tc>
          <w:tcPr>
            <w:tcW w:w="1701" w:type="dxa"/>
            <w:vAlign w:val="center"/>
          </w:tcPr>
          <w:p w14:paraId="1B6416B1" w14:textId="77777777" w:rsidR="00454A29" w:rsidRDefault="00454A29">
            <w:pPr>
              <w:pStyle w:val="ConsPlusNormal"/>
              <w:jc w:val="center"/>
            </w:pPr>
            <w:r>
              <w:t>0,00</w:t>
            </w:r>
          </w:p>
        </w:tc>
        <w:tc>
          <w:tcPr>
            <w:tcW w:w="1701" w:type="dxa"/>
            <w:vAlign w:val="center"/>
          </w:tcPr>
          <w:p w14:paraId="69C74B8E" w14:textId="77777777" w:rsidR="00454A29" w:rsidRDefault="00454A29">
            <w:pPr>
              <w:pStyle w:val="ConsPlusNormal"/>
              <w:jc w:val="center"/>
            </w:pPr>
            <w:r>
              <w:t>0,00</w:t>
            </w:r>
          </w:p>
        </w:tc>
      </w:tr>
      <w:tr w:rsidR="00454A29" w14:paraId="7CA80547" w14:textId="77777777">
        <w:tc>
          <w:tcPr>
            <w:tcW w:w="964" w:type="dxa"/>
            <w:vMerge/>
          </w:tcPr>
          <w:p w14:paraId="30837642" w14:textId="77777777" w:rsidR="00454A29" w:rsidRDefault="00454A29"/>
        </w:tc>
        <w:tc>
          <w:tcPr>
            <w:tcW w:w="2154" w:type="dxa"/>
            <w:vMerge/>
            <w:tcBorders>
              <w:top w:val="nil"/>
              <w:bottom w:val="nil"/>
            </w:tcBorders>
          </w:tcPr>
          <w:p w14:paraId="3E5C8005" w14:textId="77777777" w:rsidR="00454A29" w:rsidRDefault="00454A29"/>
        </w:tc>
        <w:tc>
          <w:tcPr>
            <w:tcW w:w="2154" w:type="dxa"/>
            <w:vMerge/>
            <w:tcBorders>
              <w:top w:val="nil"/>
              <w:bottom w:val="nil"/>
            </w:tcBorders>
          </w:tcPr>
          <w:p w14:paraId="7DA80293" w14:textId="77777777" w:rsidR="00454A29" w:rsidRDefault="00454A29"/>
        </w:tc>
        <w:tc>
          <w:tcPr>
            <w:tcW w:w="2665" w:type="dxa"/>
            <w:vMerge/>
          </w:tcPr>
          <w:p w14:paraId="3177BB89" w14:textId="77777777" w:rsidR="00454A29" w:rsidRDefault="00454A29"/>
        </w:tc>
        <w:tc>
          <w:tcPr>
            <w:tcW w:w="2665" w:type="dxa"/>
            <w:vMerge/>
          </w:tcPr>
          <w:p w14:paraId="5962539B" w14:textId="77777777" w:rsidR="00454A29" w:rsidRDefault="00454A29"/>
        </w:tc>
        <w:tc>
          <w:tcPr>
            <w:tcW w:w="1928" w:type="dxa"/>
            <w:vMerge/>
          </w:tcPr>
          <w:p w14:paraId="2C2E3D2C" w14:textId="77777777" w:rsidR="00454A29" w:rsidRDefault="00454A29"/>
        </w:tc>
        <w:tc>
          <w:tcPr>
            <w:tcW w:w="1644" w:type="dxa"/>
            <w:vMerge/>
          </w:tcPr>
          <w:p w14:paraId="04ED8EFD" w14:textId="77777777" w:rsidR="00454A29" w:rsidRDefault="00454A29"/>
        </w:tc>
        <w:tc>
          <w:tcPr>
            <w:tcW w:w="2041" w:type="dxa"/>
            <w:vMerge/>
          </w:tcPr>
          <w:p w14:paraId="289336C2" w14:textId="77777777" w:rsidR="00454A29" w:rsidRDefault="00454A29"/>
        </w:tc>
        <w:tc>
          <w:tcPr>
            <w:tcW w:w="2098" w:type="dxa"/>
            <w:vAlign w:val="center"/>
          </w:tcPr>
          <w:p w14:paraId="32A888D1" w14:textId="77777777" w:rsidR="00454A29" w:rsidRDefault="00454A29">
            <w:pPr>
              <w:pStyle w:val="ConsPlusNormal"/>
              <w:jc w:val="center"/>
            </w:pPr>
            <w:r>
              <w:t>Внебюджетные средства</w:t>
            </w:r>
          </w:p>
        </w:tc>
        <w:tc>
          <w:tcPr>
            <w:tcW w:w="1814" w:type="dxa"/>
            <w:vAlign w:val="center"/>
          </w:tcPr>
          <w:p w14:paraId="069599B0" w14:textId="77777777" w:rsidR="00454A29" w:rsidRDefault="00454A29">
            <w:pPr>
              <w:pStyle w:val="ConsPlusNormal"/>
              <w:jc w:val="center"/>
            </w:pPr>
            <w:r>
              <w:t>0,00</w:t>
            </w:r>
          </w:p>
        </w:tc>
        <w:tc>
          <w:tcPr>
            <w:tcW w:w="1701" w:type="dxa"/>
            <w:vAlign w:val="center"/>
          </w:tcPr>
          <w:p w14:paraId="3435ADA9" w14:textId="77777777" w:rsidR="00454A29" w:rsidRDefault="00454A29">
            <w:pPr>
              <w:pStyle w:val="ConsPlusNormal"/>
              <w:jc w:val="center"/>
            </w:pPr>
            <w:r>
              <w:t>0,00</w:t>
            </w:r>
          </w:p>
        </w:tc>
        <w:tc>
          <w:tcPr>
            <w:tcW w:w="1701" w:type="dxa"/>
            <w:vAlign w:val="center"/>
          </w:tcPr>
          <w:p w14:paraId="0A53F321" w14:textId="77777777" w:rsidR="00454A29" w:rsidRDefault="00454A29">
            <w:pPr>
              <w:pStyle w:val="ConsPlusNormal"/>
              <w:jc w:val="center"/>
            </w:pPr>
            <w:r>
              <w:t>0,00</w:t>
            </w:r>
          </w:p>
        </w:tc>
        <w:tc>
          <w:tcPr>
            <w:tcW w:w="1701" w:type="dxa"/>
            <w:vAlign w:val="center"/>
          </w:tcPr>
          <w:p w14:paraId="51A2FE72" w14:textId="77777777" w:rsidR="00454A29" w:rsidRDefault="00454A29">
            <w:pPr>
              <w:pStyle w:val="ConsPlusNormal"/>
              <w:jc w:val="center"/>
            </w:pPr>
            <w:r>
              <w:t>0,00</w:t>
            </w:r>
          </w:p>
        </w:tc>
        <w:tc>
          <w:tcPr>
            <w:tcW w:w="1701" w:type="dxa"/>
            <w:vAlign w:val="center"/>
          </w:tcPr>
          <w:p w14:paraId="750843DC" w14:textId="77777777" w:rsidR="00454A29" w:rsidRDefault="00454A29">
            <w:pPr>
              <w:pStyle w:val="ConsPlusNormal"/>
              <w:jc w:val="center"/>
            </w:pPr>
            <w:r>
              <w:t>0,00</w:t>
            </w:r>
          </w:p>
        </w:tc>
        <w:tc>
          <w:tcPr>
            <w:tcW w:w="1701" w:type="dxa"/>
            <w:vAlign w:val="center"/>
          </w:tcPr>
          <w:p w14:paraId="59205711" w14:textId="77777777" w:rsidR="00454A29" w:rsidRDefault="00454A29">
            <w:pPr>
              <w:pStyle w:val="ConsPlusNormal"/>
              <w:jc w:val="center"/>
            </w:pPr>
            <w:r>
              <w:t>0,00</w:t>
            </w:r>
          </w:p>
        </w:tc>
        <w:tc>
          <w:tcPr>
            <w:tcW w:w="1701" w:type="dxa"/>
            <w:vAlign w:val="center"/>
          </w:tcPr>
          <w:p w14:paraId="48B902AA" w14:textId="77777777" w:rsidR="00454A29" w:rsidRDefault="00454A29">
            <w:pPr>
              <w:pStyle w:val="ConsPlusNormal"/>
              <w:jc w:val="center"/>
            </w:pPr>
            <w:r>
              <w:t>0,00</w:t>
            </w:r>
          </w:p>
        </w:tc>
      </w:tr>
      <w:tr w:rsidR="00454A29" w14:paraId="7E43FA3F" w14:textId="77777777">
        <w:tc>
          <w:tcPr>
            <w:tcW w:w="964" w:type="dxa"/>
            <w:vMerge w:val="restart"/>
            <w:vAlign w:val="center"/>
          </w:tcPr>
          <w:p w14:paraId="54DF669C" w14:textId="77777777" w:rsidR="00454A29" w:rsidRDefault="00454A29">
            <w:pPr>
              <w:pStyle w:val="ConsPlusNormal"/>
              <w:jc w:val="center"/>
            </w:pPr>
            <w:r>
              <w:t>3.2.</w:t>
            </w:r>
          </w:p>
        </w:tc>
        <w:tc>
          <w:tcPr>
            <w:tcW w:w="2154" w:type="dxa"/>
            <w:vMerge w:val="restart"/>
            <w:tcBorders>
              <w:top w:val="nil"/>
              <w:bottom w:val="nil"/>
            </w:tcBorders>
            <w:vAlign w:val="center"/>
          </w:tcPr>
          <w:p w14:paraId="19704537" w14:textId="77777777" w:rsidR="00454A29" w:rsidRDefault="00454A29">
            <w:pPr>
              <w:pStyle w:val="ConsPlusNormal"/>
            </w:pPr>
          </w:p>
        </w:tc>
        <w:tc>
          <w:tcPr>
            <w:tcW w:w="2154" w:type="dxa"/>
            <w:vMerge w:val="restart"/>
            <w:tcBorders>
              <w:top w:val="nil"/>
              <w:bottom w:val="nil"/>
            </w:tcBorders>
            <w:vAlign w:val="center"/>
          </w:tcPr>
          <w:p w14:paraId="031C20F5" w14:textId="77777777" w:rsidR="00454A29" w:rsidRDefault="00454A29">
            <w:pPr>
              <w:pStyle w:val="ConsPlusNormal"/>
            </w:pPr>
          </w:p>
        </w:tc>
        <w:tc>
          <w:tcPr>
            <w:tcW w:w="2665" w:type="dxa"/>
            <w:vMerge w:val="restart"/>
            <w:vAlign w:val="center"/>
          </w:tcPr>
          <w:p w14:paraId="6928FF8A" w14:textId="77777777" w:rsidR="00454A29" w:rsidRDefault="00454A29">
            <w:pPr>
              <w:pStyle w:val="ConsPlusNormal"/>
              <w:jc w:val="center"/>
            </w:pPr>
            <w:r>
              <w:t>Результат 2. Созданы сети центров цифрового образования для детей "IT-куб"</w:t>
            </w:r>
          </w:p>
        </w:tc>
        <w:tc>
          <w:tcPr>
            <w:tcW w:w="2665" w:type="dxa"/>
            <w:vMerge w:val="restart"/>
            <w:vAlign w:val="center"/>
          </w:tcPr>
          <w:p w14:paraId="64E0353D" w14:textId="77777777" w:rsidR="00454A29" w:rsidRDefault="00454A29">
            <w:pPr>
              <w:pStyle w:val="ConsPlusNormal"/>
              <w:jc w:val="center"/>
            </w:pPr>
            <w:r>
              <w:t>Мероприятие 3.6.2. Создание сети центров цифрового образования для детей "IT-куб" (приобретение средств обучения)</w:t>
            </w:r>
          </w:p>
        </w:tc>
        <w:tc>
          <w:tcPr>
            <w:tcW w:w="1928" w:type="dxa"/>
            <w:vMerge w:val="restart"/>
            <w:vAlign w:val="center"/>
          </w:tcPr>
          <w:p w14:paraId="0867496B" w14:textId="77777777" w:rsidR="00454A29" w:rsidRDefault="00454A29">
            <w:pPr>
              <w:pStyle w:val="ConsPlusNormal"/>
              <w:jc w:val="center"/>
            </w:pPr>
            <w:r>
              <w:t>-</w:t>
            </w:r>
          </w:p>
        </w:tc>
        <w:tc>
          <w:tcPr>
            <w:tcW w:w="1644" w:type="dxa"/>
            <w:vMerge w:val="restart"/>
            <w:vAlign w:val="center"/>
          </w:tcPr>
          <w:p w14:paraId="7D7842B1" w14:textId="77777777" w:rsidR="00454A29" w:rsidRDefault="00454A29">
            <w:pPr>
              <w:pStyle w:val="ConsPlusNormal"/>
              <w:jc w:val="center"/>
            </w:pPr>
            <w:r>
              <w:t>-</w:t>
            </w:r>
          </w:p>
        </w:tc>
        <w:tc>
          <w:tcPr>
            <w:tcW w:w="2041" w:type="dxa"/>
            <w:vMerge w:val="restart"/>
            <w:vAlign w:val="center"/>
          </w:tcPr>
          <w:p w14:paraId="09A382AE" w14:textId="77777777" w:rsidR="00454A29" w:rsidRDefault="00454A29">
            <w:pPr>
              <w:pStyle w:val="ConsPlusNormal"/>
              <w:jc w:val="center"/>
            </w:pPr>
            <w:r>
              <w:t>-</w:t>
            </w:r>
          </w:p>
        </w:tc>
        <w:tc>
          <w:tcPr>
            <w:tcW w:w="2098" w:type="dxa"/>
            <w:vAlign w:val="center"/>
          </w:tcPr>
          <w:p w14:paraId="60D902C8" w14:textId="77777777" w:rsidR="00454A29" w:rsidRDefault="00454A29">
            <w:pPr>
              <w:pStyle w:val="ConsPlusNormal"/>
              <w:jc w:val="center"/>
            </w:pPr>
            <w:r>
              <w:t>Итого</w:t>
            </w:r>
          </w:p>
        </w:tc>
        <w:tc>
          <w:tcPr>
            <w:tcW w:w="1814" w:type="dxa"/>
            <w:vAlign w:val="center"/>
          </w:tcPr>
          <w:p w14:paraId="004CADFE" w14:textId="77777777" w:rsidR="00454A29" w:rsidRDefault="00454A29">
            <w:pPr>
              <w:pStyle w:val="ConsPlusNormal"/>
              <w:jc w:val="center"/>
            </w:pPr>
            <w:r>
              <w:t>132,65</w:t>
            </w:r>
          </w:p>
        </w:tc>
        <w:tc>
          <w:tcPr>
            <w:tcW w:w="1701" w:type="dxa"/>
            <w:vAlign w:val="center"/>
          </w:tcPr>
          <w:p w14:paraId="18BB9C01" w14:textId="77777777" w:rsidR="00454A29" w:rsidRDefault="00454A29">
            <w:pPr>
              <w:pStyle w:val="ConsPlusNormal"/>
              <w:jc w:val="center"/>
            </w:pPr>
            <w:r>
              <w:t>123,80</w:t>
            </w:r>
          </w:p>
        </w:tc>
        <w:tc>
          <w:tcPr>
            <w:tcW w:w="1701" w:type="dxa"/>
            <w:vAlign w:val="center"/>
          </w:tcPr>
          <w:p w14:paraId="705C84B7" w14:textId="77777777" w:rsidR="00454A29" w:rsidRDefault="00454A29">
            <w:pPr>
              <w:pStyle w:val="ConsPlusNormal"/>
              <w:jc w:val="center"/>
            </w:pPr>
            <w:r>
              <w:t>205,90</w:t>
            </w:r>
          </w:p>
        </w:tc>
        <w:tc>
          <w:tcPr>
            <w:tcW w:w="1701" w:type="dxa"/>
            <w:vAlign w:val="center"/>
          </w:tcPr>
          <w:p w14:paraId="285C4B16" w14:textId="77777777" w:rsidR="00454A29" w:rsidRDefault="00454A29">
            <w:pPr>
              <w:pStyle w:val="ConsPlusNormal"/>
              <w:jc w:val="center"/>
            </w:pPr>
            <w:r>
              <w:t>0,00</w:t>
            </w:r>
          </w:p>
        </w:tc>
        <w:tc>
          <w:tcPr>
            <w:tcW w:w="1701" w:type="dxa"/>
            <w:vAlign w:val="center"/>
          </w:tcPr>
          <w:p w14:paraId="77B9588A" w14:textId="77777777" w:rsidR="00454A29" w:rsidRDefault="00454A29">
            <w:pPr>
              <w:pStyle w:val="ConsPlusNormal"/>
              <w:jc w:val="center"/>
            </w:pPr>
            <w:r>
              <w:t>0,00</w:t>
            </w:r>
          </w:p>
        </w:tc>
        <w:tc>
          <w:tcPr>
            <w:tcW w:w="1701" w:type="dxa"/>
            <w:vAlign w:val="center"/>
          </w:tcPr>
          <w:p w14:paraId="1C86A643" w14:textId="77777777" w:rsidR="00454A29" w:rsidRDefault="00454A29">
            <w:pPr>
              <w:pStyle w:val="ConsPlusNormal"/>
              <w:jc w:val="center"/>
            </w:pPr>
            <w:r>
              <w:t>0,00</w:t>
            </w:r>
          </w:p>
        </w:tc>
        <w:tc>
          <w:tcPr>
            <w:tcW w:w="1701" w:type="dxa"/>
            <w:vAlign w:val="center"/>
          </w:tcPr>
          <w:p w14:paraId="74A52331" w14:textId="77777777" w:rsidR="00454A29" w:rsidRDefault="00454A29">
            <w:pPr>
              <w:pStyle w:val="ConsPlusNormal"/>
              <w:jc w:val="center"/>
            </w:pPr>
            <w:r>
              <w:t>0,00</w:t>
            </w:r>
          </w:p>
        </w:tc>
      </w:tr>
      <w:tr w:rsidR="00454A29" w14:paraId="108A1242" w14:textId="77777777">
        <w:tc>
          <w:tcPr>
            <w:tcW w:w="964" w:type="dxa"/>
            <w:vMerge/>
          </w:tcPr>
          <w:p w14:paraId="10E42F03" w14:textId="77777777" w:rsidR="00454A29" w:rsidRDefault="00454A29"/>
        </w:tc>
        <w:tc>
          <w:tcPr>
            <w:tcW w:w="2154" w:type="dxa"/>
            <w:vMerge/>
            <w:tcBorders>
              <w:top w:val="nil"/>
              <w:bottom w:val="nil"/>
            </w:tcBorders>
          </w:tcPr>
          <w:p w14:paraId="1CEC3DC4" w14:textId="77777777" w:rsidR="00454A29" w:rsidRDefault="00454A29"/>
        </w:tc>
        <w:tc>
          <w:tcPr>
            <w:tcW w:w="2154" w:type="dxa"/>
            <w:vMerge/>
            <w:tcBorders>
              <w:top w:val="nil"/>
              <w:bottom w:val="nil"/>
            </w:tcBorders>
          </w:tcPr>
          <w:p w14:paraId="2E0A3A1B" w14:textId="77777777" w:rsidR="00454A29" w:rsidRDefault="00454A29"/>
        </w:tc>
        <w:tc>
          <w:tcPr>
            <w:tcW w:w="2665" w:type="dxa"/>
            <w:vMerge/>
          </w:tcPr>
          <w:p w14:paraId="5963F699" w14:textId="77777777" w:rsidR="00454A29" w:rsidRDefault="00454A29"/>
        </w:tc>
        <w:tc>
          <w:tcPr>
            <w:tcW w:w="2665" w:type="dxa"/>
            <w:vMerge/>
          </w:tcPr>
          <w:p w14:paraId="6AF82EC9" w14:textId="77777777" w:rsidR="00454A29" w:rsidRDefault="00454A29"/>
        </w:tc>
        <w:tc>
          <w:tcPr>
            <w:tcW w:w="1928" w:type="dxa"/>
            <w:vMerge/>
          </w:tcPr>
          <w:p w14:paraId="4E27C1BD" w14:textId="77777777" w:rsidR="00454A29" w:rsidRDefault="00454A29"/>
        </w:tc>
        <w:tc>
          <w:tcPr>
            <w:tcW w:w="1644" w:type="dxa"/>
            <w:vMerge/>
          </w:tcPr>
          <w:p w14:paraId="66405F14" w14:textId="77777777" w:rsidR="00454A29" w:rsidRDefault="00454A29"/>
        </w:tc>
        <w:tc>
          <w:tcPr>
            <w:tcW w:w="2041" w:type="dxa"/>
            <w:vMerge/>
          </w:tcPr>
          <w:p w14:paraId="4E8C5FED" w14:textId="77777777" w:rsidR="00454A29" w:rsidRDefault="00454A29"/>
        </w:tc>
        <w:tc>
          <w:tcPr>
            <w:tcW w:w="2098" w:type="dxa"/>
            <w:vAlign w:val="center"/>
          </w:tcPr>
          <w:p w14:paraId="7A48E2E2"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934E57F" w14:textId="77777777" w:rsidR="00454A29" w:rsidRDefault="00454A29">
            <w:pPr>
              <w:pStyle w:val="ConsPlusNormal"/>
              <w:jc w:val="center"/>
            </w:pPr>
            <w:r>
              <w:t>132,65</w:t>
            </w:r>
          </w:p>
        </w:tc>
        <w:tc>
          <w:tcPr>
            <w:tcW w:w="1701" w:type="dxa"/>
            <w:vAlign w:val="center"/>
          </w:tcPr>
          <w:p w14:paraId="5D551A78" w14:textId="77777777" w:rsidR="00454A29" w:rsidRDefault="00454A29">
            <w:pPr>
              <w:pStyle w:val="ConsPlusNormal"/>
              <w:jc w:val="center"/>
            </w:pPr>
            <w:r>
              <w:t>123,80</w:t>
            </w:r>
          </w:p>
        </w:tc>
        <w:tc>
          <w:tcPr>
            <w:tcW w:w="1701" w:type="dxa"/>
            <w:vAlign w:val="center"/>
          </w:tcPr>
          <w:p w14:paraId="24E54590" w14:textId="77777777" w:rsidR="00454A29" w:rsidRDefault="00454A29">
            <w:pPr>
              <w:pStyle w:val="ConsPlusNormal"/>
              <w:jc w:val="center"/>
            </w:pPr>
            <w:r>
              <w:t>205,90</w:t>
            </w:r>
          </w:p>
        </w:tc>
        <w:tc>
          <w:tcPr>
            <w:tcW w:w="1701" w:type="dxa"/>
            <w:vAlign w:val="center"/>
          </w:tcPr>
          <w:p w14:paraId="0AAA623C" w14:textId="77777777" w:rsidR="00454A29" w:rsidRDefault="00454A29">
            <w:pPr>
              <w:pStyle w:val="ConsPlusNormal"/>
              <w:jc w:val="center"/>
            </w:pPr>
            <w:r>
              <w:t>0,00</w:t>
            </w:r>
          </w:p>
        </w:tc>
        <w:tc>
          <w:tcPr>
            <w:tcW w:w="1701" w:type="dxa"/>
            <w:vAlign w:val="center"/>
          </w:tcPr>
          <w:p w14:paraId="45873EC2" w14:textId="77777777" w:rsidR="00454A29" w:rsidRDefault="00454A29">
            <w:pPr>
              <w:pStyle w:val="ConsPlusNormal"/>
              <w:jc w:val="center"/>
            </w:pPr>
            <w:r>
              <w:t>0,00</w:t>
            </w:r>
          </w:p>
        </w:tc>
        <w:tc>
          <w:tcPr>
            <w:tcW w:w="1701" w:type="dxa"/>
            <w:vAlign w:val="center"/>
          </w:tcPr>
          <w:p w14:paraId="707F83B2" w14:textId="77777777" w:rsidR="00454A29" w:rsidRDefault="00454A29">
            <w:pPr>
              <w:pStyle w:val="ConsPlusNormal"/>
              <w:jc w:val="center"/>
            </w:pPr>
            <w:r>
              <w:t>0,00</w:t>
            </w:r>
          </w:p>
        </w:tc>
        <w:tc>
          <w:tcPr>
            <w:tcW w:w="1701" w:type="dxa"/>
            <w:vAlign w:val="center"/>
          </w:tcPr>
          <w:p w14:paraId="66EC4118" w14:textId="77777777" w:rsidR="00454A29" w:rsidRDefault="00454A29">
            <w:pPr>
              <w:pStyle w:val="ConsPlusNormal"/>
              <w:jc w:val="center"/>
            </w:pPr>
            <w:r>
              <w:t>0,00</w:t>
            </w:r>
          </w:p>
        </w:tc>
      </w:tr>
      <w:tr w:rsidR="00454A29" w14:paraId="4032E929" w14:textId="77777777">
        <w:tc>
          <w:tcPr>
            <w:tcW w:w="964" w:type="dxa"/>
            <w:vMerge/>
          </w:tcPr>
          <w:p w14:paraId="1BEB2DF8" w14:textId="77777777" w:rsidR="00454A29" w:rsidRDefault="00454A29"/>
        </w:tc>
        <w:tc>
          <w:tcPr>
            <w:tcW w:w="2154" w:type="dxa"/>
            <w:vMerge/>
            <w:tcBorders>
              <w:top w:val="nil"/>
              <w:bottom w:val="nil"/>
            </w:tcBorders>
          </w:tcPr>
          <w:p w14:paraId="284F3B38" w14:textId="77777777" w:rsidR="00454A29" w:rsidRDefault="00454A29"/>
        </w:tc>
        <w:tc>
          <w:tcPr>
            <w:tcW w:w="2154" w:type="dxa"/>
            <w:vMerge/>
            <w:tcBorders>
              <w:top w:val="nil"/>
              <w:bottom w:val="nil"/>
            </w:tcBorders>
          </w:tcPr>
          <w:p w14:paraId="029F88B2" w14:textId="77777777" w:rsidR="00454A29" w:rsidRDefault="00454A29"/>
        </w:tc>
        <w:tc>
          <w:tcPr>
            <w:tcW w:w="2665" w:type="dxa"/>
            <w:vMerge/>
          </w:tcPr>
          <w:p w14:paraId="3D4BD4BA" w14:textId="77777777" w:rsidR="00454A29" w:rsidRDefault="00454A29"/>
        </w:tc>
        <w:tc>
          <w:tcPr>
            <w:tcW w:w="2665" w:type="dxa"/>
            <w:vMerge/>
          </w:tcPr>
          <w:p w14:paraId="212CC907" w14:textId="77777777" w:rsidR="00454A29" w:rsidRDefault="00454A29"/>
        </w:tc>
        <w:tc>
          <w:tcPr>
            <w:tcW w:w="1928" w:type="dxa"/>
            <w:vMerge/>
          </w:tcPr>
          <w:p w14:paraId="4E28D9C6" w14:textId="77777777" w:rsidR="00454A29" w:rsidRDefault="00454A29"/>
        </w:tc>
        <w:tc>
          <w:tcPr>
            <w:tcW w:w="1644" w:type="dxa"/>
            <w:vMerge/>
          </w:tcPr>
          <w:p w14:paraId="10375EAB" w14:textId="77777777" w:rsidR="00454A29" w:rsidRDefault="00454A29"/>
        </w:tc>
        <w:tc>
          <w:tcPr>
            <w:tcW w:w="2041" w:type="dxa"/>
            <w:vMerge/>
          </w:tcPr>
          <w:p w14:paraId="37378284" w14:textId="77777777" w:rsidR="00454A29" w:rsidRDefault="00454A29"/>
        </w:tc>
        <w:tc>
          <w:tcPr>
            <w:tcW w:w="2098" w:type="dxa"/>
            <w:vAlign w:val="center"/>
          </w:tcPr>
          <w:p w14:paraId="6796C4DD" w14:textId="77777777" w:rsidR="00454A29" w:rsidRDefault="00454A29">
            <w:pPr>
              <w:pStyle w:val="ConsPlusNormal"/>
              <w:jc w:val="center"/>
            </w:pPr>
            <w:r>
              <w:t>Федеральный бюджет</w:t>
            </w:r>
          </w:p>
        </w:tc>
        <w:tc>
          <w:tcPr>
            <w:tcW w:w="1814" w:type="dxa"/>
            <w:vAlign w:val="center"/>
          </w:tcPr>
          <w:p w14:paraId="1E0B33FE" w14:textId="77777777" w:rsidR="00454A29" w:rsidRDefault="00454A29">
            <w:pPr>
              <w:pStyle w:val="ConsPlusNormal"/>
              <w:jc w:val="center"/>
            </w:pPr>
            <w:r>
              <w:t>0,00</w:t>
            </w:r>
          </w:p>
        </w:tc>
        <w:tc>
          <w:tcPr>
            <w:tcW w:w="1701" w:type="dxa"/>
            <w:vAlign w:val="center"/>
          </w:tcPr>
          <w:p w14:paraId="2ED66BB8" w14:textId="77777777" w:rsidR="00454A29" w:rsidRDefault="00454A29">
            <w:pPr>
              <w:pStyle w:val="ConsPlusNormal"/>
              <w:jc w:val="center"/>
            </w:pPr>
            <w:r>
              <w:t>0,00</w:t>
            </w:r>
          </w:p>
        </w:tc>
        <w:tc>
          <w:tcPr>
            <w:tcW w:w="1701" w:type="dxa"/>
            <w:vAlign w:val="center"/>
          </w:tcPr>
          <w:p w14:paraId="72EF4084" w14:textId="77777777" w:rsidR="00454A29" w:rsidRDefault="00454A29">
            <w:pPr>
              <w:pStyle w:val="ConsPlusNormal"/>
              <w:jc w:val="center"/>
            </w:pPr>
            <w:r>
              <w:t>0,00</w:t>
            </w:r>
          </w:p>
        </w:tc>
        <w:tc>
          <w:tcPr>
            <w:tcW w:w="1701" w:type="dxa"/>
            <w:vAlign w:val="center"/>
          </w:tcPr>
          <w:p w14:paraId="5F8AFD84" w14:textId="77777777" w:rsidR="00454A29" w:rsidRDefault="00454A29">
            <w:pPr>
              <w:pStyle w:val="ConsPlusNormal"/>
              <w:jc w:val="center"/>
            </w:pPr>
            <w:r>
              <w:t>0,00</w:t>
            </w:r>
          </w:p>
        </w:tc>
        <w:tc>
          <w:tcPr>
            <w:tcW w:w="1701" w:type="dxa"/>
            <w:vAlign w:val="center"/>
          </w:tcPr>
          <w:p w14:paraId="722C8AA4" w14:textId="77777777" w:rsidR="00454A29" w:rsidRDefault="00454A29">
            <w:pPr>
              <w:pStyle w:val="ConsPlusNormal"/>
              <w:jc w:val="center"/>
            </w:pPr>
            <w:r>
              <w:t>0,00</w:t>
            </w:r>
          </w:p>
        </w:tc>
        <w:tc>
          <w:tcPr>
            <w:tcW w:w="1701" w:type="dxa"/>
            <w:vAlign w:val="center"/>
          </w:tcPr>
          <w:p w14:paraId="31CF9FAE" w14:textId="77777777" w:rsidR="00454A29" w:rsidRDefault="00454A29">
            <w:pPr>
              <w:pStyle w:val="ConsPlusNormal"/>
              <w:jc w:val="center"/>
            </w:pPr>
            <w:r>
              <w:t>0,00</w:t>
            </w:r>
          </w:p>
        </w:tc>
        <w:tc>
          <w:tcPr>
            <w:tcW w:w="1701" w:type="dxa"/>
            <w:vAlign w:val="center"/>
          </w:tcPr>
          <w:p w14:paraId="052D917C" w14:textId="77777777" w:rsidR="00454A29" w:rsidRDefault="00454A29">
            <w:pPr>
              <w:pStyle w:val="ConsPlusNormal"/>
              <w:jc w:val="center"/>
            </w:pPr>
            <w:r>
              <w:t>0,00</w:t>
            </w:r>
          </w:p>
        </w:tc>
      </w:tr>
      <w:tr w:rsidR="00454A29" w14:paraId="66784AB3" w14:textId="77777777">
        <w:tc>
          <w:tcPr>
            <w:tcW w:w="964" w:type="dxa"/>
            <w:vMerge/>
          </w:tcPr>
          <w:p w14:paraId="7C279CB0" w14:textId="77777777" w:rsidR="00454A29" w:rsidRDefault="00454A29"/>
        </w:tc>
        <w:tc>
          <w:tcPr>
            <w:tcW w:w="2154" w:type="dxa"/>
            <w:vMerge/>
            <w:tcBorders>
              <w:top w:val="nil"/>
              <w:bottom w:val="nil"/>
            </w:tcBorders>
          </w:tcPr>
          <w:p w14:paraId="16B30121" w14:textId="77777777" w:rsidR="00454A29" w:rsidRDefault="00454A29"/>
        </w:tc>
        <w:tc>
          <w:tcPr>
            <w:tcW w:w="2154" w:type="dxa"/>
            <w:vMerge/>
            <w:tcBorders>
              <w:top w:val="nil"/>
              <w:bottom w:val="nil"/>
            </w:tcBorders>
          </w:tcPr>
          <w:p w14:paraId="6C3F05C2" w14:textId="77777777" w:rsidR="00454A29" w:rsidRDefault="00454A29"/>
        </w:tc>
        <w:tc>
          <w:tcPr>
            <w:tcW w:w="2665" w:type="dxa"/>
            <w:vMerge/>
          </w:tcPr>
          <w:p w14:paraId="48CCDB36" w14:textId="77777777" w:rsidR="00454A29" w:rsidRDefault="00454A29"/>
        </w:tc>
        <w:tc>
          <w:tcPr>
            <w:tcW w:w="2665" w:type="dxa"/>
            <w:vMerge/>
          </w:tcPr>
          <w:p w14:paraId="76028AA5" w14:textId="77777777" w:rsidR="00454A29" w:rsidRDefault="00454A29"/>
        </w:tc>
        <w:tc>
          <w:tcPr>
            <w:tcW w:w="1928" w:type="dxa"/>
            <w:vMerge/>
          </w:tcPr>
          <w:p w14:paraId="5A8DC896" w14:textId="77777777" w:rsidR="00454A29" w:rsidRDefault="00454A29"/>
        </w:tc>
        <w:tc>
          <w:tcPr>
            <w:tcW w:w="1644" w:type="dxa"/>
            <w:vMerge/>
          </w:tcPr>
          <w:p w14:paraId="0C550B05" w14:textId="77777777" w:rsidR="00454A29" w:rsidRDefault="00454A29"/>
        </w:tc>
        <w:tc>
          <w:tcPr>
            <w:tcW w:w="2041" w:type="dxa"/>
            <w:vMerge/>
          </w:tcPr>
          <w:p w14:paraId="35948134" w14:textId="77777777" w:rsidR="00454A29" w:rsidRDefault="00454A29"/>
        </w:tc>
        <w:tc>
          <w:tcPr>
            <w:tcW w:w="2098" w:type="dxa"/>
            <w:vAlign w:val="center"/>
          </w:tcPr>
          <w:p w14:paraId="1D2D7F2F" w14:textId="77777777" w:rsidR="00454A29" w:rsidRDefault="00454A29">
            <w:pPr>
              <w:pStyle w:val="ConsPlusNormal"/>
              <w:jc w:val="center"/>
            </w:pPr>
            <w:r>
              <w:t>Местные бюджеты</w:t>
            </w:r>
          </w:p>
        </w:tc>
        <w:tc>
          <w:tcPr>
            <w:tcW w:w="1814" w:type="dxa"/>
            <w:vAlign w:val="center"/>
          </w:tcPr>
          <w:p w14:paraId="7574F900" w14:textId="77777777" w:rsidR="00454A29" w:rsidRDefault="00454A29">
            <w:pPr>
              <w:pStyle w:val="ConsPlusNormal"/>
              <w:jc w:val="center"/>
            </w:pPr>
            <w:r>
              <w:t>0,00</w:t>
            </w:r>
          </w:p>
        </w:tc>
        <w:tc>
          <w:tcPr>
            <w:tcW w:w="1701" w:type="dxa"/>
            <w:vAlign w:val="center"/>
          </w:tcPr>
          <w:p w14:paraId="2381676B" w14:textId="77777777" w:rsidR="00454A29" w:rsidRDefault="00454A29">
            <w:pPr>
              <w:pStyle w:val="ConsPlusNormal"/>
              <w:jc w:val="center"/>
            </w:pPr>
            <w:r>
              <w:t>0,00</w:t>
            </w:r>
          </w:p>
        </w:tc>
        <w:tc>
          <w:tcPr>
            <w:tcW w:w="1701" w:type="dxa"/>
            <w:vAlign w:val="center"/>
          </w:tcPr>
          <w:p w14:paraId="3669356F" w14:textId="77777777" w:rsidR="00454A29" w:rsidRDefault="00454A29">
            <w:pPr>
              <w:pStyle w:val="ConsPlusNormal"/>
              <w:jc w:val="center"/>
            </w:pPr>
            <w:r>
              <w:t>0,00</w:t>
            </w:r>
          </w:p>
        </w:tc>
        <w:tc>
          <w:tcPr>
            <w:tcW w:w="1701" w:type="dxa"/>
            <w:vAlign w:val="center"/>
          </w:tcPr>
          <w:p w14:paraId="7D33BAB0" w14:textId="77777777" w:rsidR="00454A29" w:rsidRDefault="00454A29">
            <w:pPr>
              <w:pStyle w:val="ConsPlusNormal"/>
              <w:jc w:val="center"/>
            </w:pPr>
            <w:r>
              <w:t>0,00</w:t>
            </w:r>
          </w:p>
        </w:tc>
        <w:tc>
          <w:tcPr>
            <w:tcW w:w="1701" w:type="dxa"/>
            <w:vAlign w:val="center"/>
          </w:tcPr>
          <w:p w14:paraId="448DEA33" w14:textId="77777777" w:rsidR="00454A29" w:rsidRDefault="00454A29">
            <w:pPr>
              <w:pStyle w:val="ConsPlusNormal"/>
              <w:jc w:val="center"/>
            </w:pPr>
            <w:r>
              <w:t>0,00</w:t>
            </w:r>
          </w:p>
        </w:tc>
        <w:tc>
          <w:tcPr>
            <w:tcW w:w="1701" w:type="dxa"/>
            <w:vAlign w:val="center"/>
          </w:tcPr>
          <w:p w14:paraId="135E6E89" w14:textId="77777777" w:rsidR="00454A29" w:rsidRDefault="00454A29">
            <w:pPr>
              <w:pStyle w:val="ConsPlusNormal"/>
              <w:jc w:val="center"/>
            </w:pPr>
            <w:r>
              <w:t>0,00</w:t>
            </w:r>
          </w:p>
        </w:tc>
        <w:tc>
          <w:tcPr>
            <w:tcW w:w="1701" w:type="dxa"/>
            <w:vAlign w:val="center"/>
          </w:tcPr>
          <w:p w14:paraId="28C3469A" w14:textId="77777777" w:rsidR="00454A29" w:rsidRDefault="00454A29">
            <w:pPr>
              <w:pStyle w:val="ConsPlusNormal"/>
              <w:jc w:val="center"/>
            </w:pPr>
            <w:r>
              <w:t>0,00</w:t>
            </w:r>
          </w:p>
        </w:tc>
      </w:tr>
      <w:tr w:rsidR="00454A29" w14:paraId="071EB0B5" w14:textId="77777777">
        <w:tc>
          <w:tcPr>
            <w:tcW w:w="964" w:type="dxa"/>
            <w:vMerge/>
          </w:tcPr>
          <w:p w14:paraId="2FD69D2E" w14:textId="77777777" w:rsidR="00454A29" w:rsidRDefault="00454A29"/>
        </w:tc>
        <w:tc>
          <w:tcPr>
            <w:tcW w:w="2154" w:type="dxa"/>
            <w:vMerge/>
            <w:tcBorders>
              <w:top w:val="nil"/>
              <w:bottom w:val="nil"/>
            </w:tcBorders>
          </w:tcPr>
          <w:p w14:paraId="5758B39E" w14:textId="77777777" w:rsidR="00454A29" w:rsidRDefault="00454A29"/>
        </w:tc>
        <w:tc>
          <w:tcPr>
            <w:tcW w:w="2154" w:type="dxa"/>
            <w:vMerge/>
            <w:tcBorders>
              <w:top w:val="nil"/>
              <w:bottom w:val="nil"/>
            </w:tcBorders>
          </w:tcPr>
          <w:p w14:paraId="00EFA04D" w14:textId="77777777" w:rsidR="00454A29" w:rsidRDefault="00454A29"/>
        </w:tc>
        <w:tc>
          <w:tcPr>
            <w:tcW w:w="2665" w:type="dxa"/>
            <w:vMerge/>
          </w:tcPr>
          <w:p w14:paraId="03E54CAB" w14:textId="77777777" w:rsidR="00454A29" w:rsidRDefault="00454A29"/>
        </w:tc>
        <w:tc>
          <w:tcPr>
            <w:tcW w:w="2665" w:type="dxa"/>
            <w:vMerge/>
          </w:tcPr>
          <w:p w14:paraId="0EBAF36C" w14:textId="77777777" w:rsidR="00454A29" w:rsidRDefault="00454A29"/>
        </w:tc>
        <w:tc>
          <w:tcPr>
            <w:tcW w:w="1928" w:type="dxa"/>
            <w:vMerge/>
          </w:tcPr>
          <w:p w14:paraId="35193728" w14:textId="77777777" w:rsidR="00454A29" w:rsidRDefault="00454A29"/>
        </w:tc>
        <w:tc>
          <w:tcPr>
            <w:tcW w:w="1644" w:type="dxa"/>
            <w:vMerge/>
          </w:tcPr>
          <w:p w14:paraId="2365C797" w14:textId="77777777" w:rsidR="00454A29" w:rsidRDefault="00454A29"/>
        </w:tc>
        <w:tc>
          <w:tcPr>
            <w:tcW w:w="2041" w:type="dxa"/>
            <w:vMerge/>
          </w:tcPr>
          <w:p w14:paraId="12A6B18B" w14:textId="77777777" w:rsidR="00454A29" w:rsidRDefault="00454A29"/>
        </w:tc>
        <w:tc>
          <w:tcPr>
            <w:tcW w:w="2098" w:type="dxa"/>
            <w:vAlign w:val="center"/>
          </w:tcPr>
          <w:p w14:paraId="1FF5D220" w14:textId="77777777" w:rsidR="00454A29" w:rsidRDefault="00454A29">
            <w:pPr>
              <w:pStyle w:val="ConsPlusNormal"/>
              <w:jc w:val="center"/>
            </w:pPr>
            <w:r>
              <w:t>Внебюджетные средства</w:t>
            </w:r>
          </w:p>
        </w:tc>
        <w:tc>
          <w:tcPr>
            <w:tcW w:w="1814" w:type="dxa"/>
            <w:vAlign w:val="center"/>
          </w:tcPr>
          <w:p w14:paraId="348AEB0B" w14:textId="77777777" w:rsidR="00454A29" w:rsidRDefault="00454A29">
            <w:pPr>
              <w:pStyle w:val="ConsPlusNormal"/>
              <w:jc w:val="center"/>
            </w:pPr>
            <w:r>
              <w:t>0,00</w:t>
            </w:r>
          </w:p>
        </w:tc>
        <w:tc>
          <w:tcPr>
            <w:tcW w:w="1701" w:type="dxa"/>
            <w:vAlign w:val="center"/>
          </w:tcPr>
          <w:p w14:paraId="5067E188" w14:textId="77777777" w:rsidR="00454A29" w:rsidRDefault="00454A29">
            <w:pPr>
              <w:pStyle w:val="ConsPlusNormal"/>
              <w:jc w:val="center"/>
            </w:pPr>
            <w:r>
              <w:t>0,00</w:t>
            </w:r>
          </w:p>
        </w:tc>
        <w:tc>
          <w:tcPr>
            <w:tcW w:w="1701" w:type="dxa"/>
            <w:vAlign w:val="center"/>
          </w:tcPr>
          <w:p w14:paraId="3C4404C2" w14:textId="77777777" w:rsidR="00454A29" w:rsidRDefault="00454A29">
            <w:pPr>
              <w:pStyle w:val="ConsPlusNormal"/>
              <w:jc w:val="center"/>
            </w:pPr>
            <w:r>
              <w:t>0,00</w:t>
            </w:r>
          </w:p>
        </w:tc>
        <w:tc>
          <w:tcPr>
            <w:tcW w:w="1701" w:type="dxa"/>
            <w:vAlign w:val="center"/>
          </w:tcPr>
          <w:p w14:paraId="187764F7" w14:textId="77777777" w:rsidR="00454A29" w:rsidRDefault="00454A29">
            <w:pPr>
              <w:pStyle w:val="ConsPlusNormal"/>
              <w:jc w:val="center"/>
            </w:pPr>
            <w:r>
              <w:t>0,00</w:t>
            </w:r>
          </w:p>
        </w:tc>
        <w:tc>
          <w:tcPr>
            <w:tcW w:w="1701" w:type="dxa"/>
            <w:vAlign w:val="center"/>
          </w:tcPr>
          <w:p w14:paraId="37690D15" w14:textId="77777777" w:rsidR="00454A29" w:rsidRDefault="00454A29">
            <w:pPr>
              <w:pStyle w:val="ConsPlusNormal"/>
              <w:jc w:val="center"/>
            </w:pPr>
            <w:r>
              <w:t>0,00</w:t>
            </w:r>
          </w:p>
        </w:tc>
        <w:tc>
          <w:tcPr>
            <w:tcW w:w="1701" w:type="dxa"/>
            <w:vAlign w:val="center"/>
          </w:tcPr>
          <w:p w14:paraId="54279EB1" w14:textId="77777777" w:rsidR="00454A29" w:rsidRDefault="00454A29">
            <w:pPr>
              <w:pStyle w:val="ConsPlusNormal"/>
              <w:jc w:val="center"/>
            </w:pPr>
            <w:r>
              <w:t>0,00</w:t>
            </w:r>
          </w:p>
        </w:tc>
        <w:tc>
          <w:tcPr>
            <w:tcW w:w="1701" w:type="dxa"/>
            <w:vAlign w:val="center"/>
          </w:tcPr>
          <w:p w14:paraId="0EFFD1C2" w14:textId="77777777" w:rsidR="00454A29" w:rsidRDefault="00454A29">
            <w:pPr>
              <w:pStyle w:val="ConsPlusNormal"/>
              <w:jc w:val="center"/>
            </w:pPr>
            <w:r>
              <w:t>0,00</w:t>
            </w:r>
          </w:p>
        </w:tc>
      </w:tr>
      <w:tr w:rsidR="00454A29" w14:paraId="06DC1949" w14:textId="77777777">
        <w:tc>
          <w:tcPr>
            <w:tcW w:w="964" w:type="dxa"/>
            <w:vMerge w:val="restart"/>
            <w:vAlign w:val="center"/>
          </w:tcPr>
          <w:p w14:paraId="3F6DD031" w14:textId="77777777" w:rsidR="00454A29" w:rsidRDefault="00454A29">
            <w:pPr>
              <w:pStyle w:val="ConsPlusNormal"/>
              <w:jc w:val="center"/>
            </w:pPr>
            <w:r>
              <w:t>3.3.</w:t>
            </w:r>
          </w:p>
        </w:tc>
        <w:tc>
          <w:tcPr>
            <w:tcW w:w="2154" w:type="dxa"/>
            <w:vMerge w:val="restart"/>
            <w:tcBorders>
              <w:top w:val="nil"/>
              <w:bottom w:val="nil"/>
            </w:tcBorders>
            <w:vAlign w:val="center"/>
          </w:tcPr>
          <w:p w14:paraId="72D8C9BB" w14:textId="77777777" w:rsidR="00454A29" w:rsidRDefault="00454A29">
            <w:pPr>
              <w:pStyle w:val="ConsPlusNormal"/>
            </w:pPr>
          </w:p>
        </w:tc>
        <w:tc>
          <w:tcPr>
            <w:tcW w:w="2154" w:type="dxa"/>
            <w:vMerge w:val="restart"/>
            <w:tcBorders>
              <w:top w:val="nil"/>
              <w:bottom w:val="nil"/>
            </w:tcBorders>
            <w:vAlign w:val="center"/>
          </w:tcPr>
          <w:p w14:paraId="01BFF449" w14:textId="77777777" w:rsidR="00454A29" w:rsidRDefault="00454A29">
            <w:pPr>
              <w:pStyle w:val="ConsPlusNormal"/>
            </w:pPr>
          </w:p>
        </w:tc>
        <w:tc>
          <w:tcPr>
            <w:tcW w:w="2665" w:type="dxa"/>
            <w:vMerge w:val="restart"/>
            <w:vAlign w:val="center"/>
          </w:tcPr>
          <w:p w14:paraId="3C0B56FB" w14:textId="77777777" w:rsidR="00454A29" w:rsidRDefault="00454A29">
            <w:pPr>
              <w:pStyle w:val="ConsPlusNormal"/>
              <w:jc w:val="center"/>
            </w:pPr>
            <w:r>
              <w:t xml:space="preserve">Результат 3. В общеобразовательных </w:t>
            </w:r>
            <w:r>
              <w:lastRenderedPageBreak/>
              <w:t>организациях, расположенных на территории Республики Саха (Якутия), внедрены в основные общеобразовательные программы современные цифровые технологии</w:t>
            </w:r>
          </w:p>
        </w:tc>
        <w:tc>
          <w:tcPr>
            <w:tcW w:w="2665" w:type="dxa"/>
            <w:vMerge w:val="restart"/>
            <w:vAlign w:val="center"/>
          </w:tcPr>
          <w:p w14:paraId="1A14B973" w14:textId="77777777" w:rsidR="00454A29" w:rsidRDefault="00454A29">
            <w:pPr>
              <w:pStyle w:val="ConsPlusNormal"/>
              <w:jc w:val="center"/>
            </w:pPr>
            <w:r>
              <w:lastRenderedPageBreak/>
              <w:t xml:space="preserve">Мероприятие 3.6.3. Проведение эксперимента </w:t>
            </w:r>
            <w:r>
              <w:lastRenderedPageBreak/>
              <w:t>по внедрению в образовательную программу современных цифровых технологий в общеобразовательных организациях</w:t>
            </w:r>
          </w:p>
        </w:tc>
        <w:tc>
          <w:tcPr>
            <w:tcW w:w="1928" w:type="dxa"/>
            <w:vMerge w:val="restart"/>
            <w:vAlign w:val="center"/>
          </w:tcPr>
          <w:p w14:paraId="281B283A" w14:textId="77777777" w:rsidR="00454A29" w:rsidRDefault="00454A29">
            <w:pPr>
              <w:pStyle w:val="ConsPlusNormal"/>
              <w:jc w:val="center"/>
            </w:pPr>
            <w:r>
              <w:lastRenderedPageBreak/>
              <w:t>-</w:t>
            </w:r>
          </w:p>
        </w:tc>
        <w:tc>
          <w:tcPr>
            <w:tcW w:w="1644" w:type="dxa"/>
            <w:vMerge w:val="restart"/>
            <w:vAlign w:val="center"/>
          </w:tcPr>
          <w:p w14:paraId="34E2FC6F" w14:textId="77777777" w:rsidR="00454A29" w:rsidRDefault="00454A29">
            <w:pPr>
              <w:pStyle w:val="ConsPlusNormal"/>
              <w:jc w:val="center"/>
            </w:pPr>
            <w:r>
              <w:t>-</w:t>
            </w:r>
          </w:p>
        </w:tc>
        <w:tc>
          <w:tcPr>
            <w:tcW w:w="2041" w:type="dxa"/>
            <w:vMerge w:val="restart"/>
            <w:vAlign w:val="center"/>
          </w:tcPr>
          <w:p w14:paraId="02FAED1E" w14:textId="77777777" w:rsidR="00454A29" w:rsidRDefault="00454A29">
            <w:pPr>
              <w:pStyle w:val="ConsPlusNormal"/>
              <w:jc w:val="center"/>
            </w:pPr>
            <w:r>
              <w:t>-</w:t>
            </w:r>
          </w:p>
        </w:tc>
        <w:tc>
          <w:tcPr>
            <w:tcW w:w="2098" w:type="dxa"/>
            <w:vAlign w:val="center"/>
          </w:tcPr>
          <w:p w14:paraId="6F67539D" w14:textId="77777777" w:rsidR="00454A29" w:rsidRDefault="00454A29">
            <w:pPr>
              <w:pStyle w:val="ConsPlusNormal"/>
              <w:jc w:val="center"/>
            </w:pPr>
            <w:r>
              <w:t>Итого</w:t>
            </w:r>
          </w:p>
        </w:tc>
        <w:tc>
          <w:tcPr>
            <w:tcW w:w="1814" w:type="dxa"/>
            <w:vAlign w:val="center"/>
          </w:tcPr>
          <w:p w14:paraId="69FFA552" w14:textId="77777777" w:rsidR="00454A29" w:rsidRDefault="00454A29">
            <w:pPr>
              <w:pStyle w:val="ConsPlusNormal"/>
              <w:jc w:val="center"/>
            </w:pPr>
            <w:r>
              <w:t>0,00</w:t>
            </w:r>
          </w:p>
        </w:tc>
        <w:tc>
          <w:tcPr>
            <w:tcW w:w="1701" w:type="dxa"/>
            <w:vAlign w:val="center"/>
          </w:tcPr>
          <w:p w14:paraId="0F76324E" w14:textId="77777777" w:rsidR="00454A29" w:rsidRDefault="00454A29">
            <w:pPr>
              <w:pStyle w:val="ConsPlusNormal"/>
              <w:jc w:val="center"/>
            </w:pPr>
            <w:r>
              <w:t>0,00</w:t>
            </w:r>
          </w:p>
        </w:tc>
        <w:tc>
          <w:tcPr>
            <w:tcW w:w="1701" w:type="dxa"/>
            <w:vAlign w:val="center"/>
          </w:tcPr>
          <w:p w14:paraId="447482F2" w14:textId="77777777" w:rsidR="00454A29" w:rsidRDefault="00454A29">
            <w:pPr>
              <w:pStyle w:val="ConsPlusNormal"/>
              <w:jc w:val="center"/>
            </w:pPr>
            <w:r>
              <w:t>0,00</w:t>
            </w:r>
          </w:p>
        </w:tc>
        <w:tc>
          <w:tcPr>
            <w:tcW w:w="1701" w:type="dxa"/>
            <w:vAlign w:val="center"/>
          </w:tcPr>
          <w:p w14:paraId="44D068FD" w14:textId="77777777" w:rsidR="00454A29" w:rsidRDefault="00454A29">
            <w:pPr>
              <w:pStyle w:val="ConsPlusNormal"/>
              <w:jc w:val="center"/>
            </w:pPr>
            <w:r>
              <w:t>0,00</w:t>
            </w:r>
          </w:p>
        </w:tc>
        <w:tc>
          <w:tcPr>
            <w:tcW w:w="1701" w:type="dxa"/>
            <w:vAlign w:val="center"/>
          </w:tcPr>
          <w:p w14:paraId="0A587B0B" w14:textId="77777777" w:rsidR="00454A29" w:rsidRDefault="00454A29">
            <w:pPr>
              <w:pStyle w:val="ConsPlusNormal"/>
              <w:jc w:val="center"/>
            </w:pPr>
            <w:r>
              <w:t>0,00</w:t>
            </w:r>
          </w:p>
        </w:tc>
        <w:tc>
          <w:tcPr>
            <w:tcW w:w="1701" w:type="dxa"/>
            <w:vAlign w:val="center"/>
          </w:tcPr>
          <w:p w14:paraId="7F751342" w14:textId="77777777" w:rsidR="00454A29" w:rsidRDefault="00454A29">
            <w:pPr>
              <w:pStyle w:val="ConsPlusNormal"/>
              <w:jc w:val="center"/>
            </w:pPr>
            <w:r>
              <w:t>0,00</w:t>
            </w:r>
          </w:p>
        </w:tc>
        <w:tc>
          <w:tcPr>
            <w:tcW w:w="1701" w:type="dxa"/>
            <w:vAlign w:val="center"/>
          </w:tcPr>
          <w:p w14:paraId="4970C901" w14:textId="77777777" w:rsidR="00454A29" w:rsidRDefault="00454A29">
            <w:pPr>
              <w:pStyle w:val="ConsPlusNormal"/>
              <w:jc w:val="center"/>
            </w:pPr>
            <w:r>
              <w:t>0,00</w:t>
            </w:r>
          </w:p>
        </w:tc>
      </w:tr>
      <w:tr w:rsidR="00454A29" w14:paraId="3D1F7C3F" w14:textId="77777777">
        <w:tc>
          <w:tcPr>
            <w:tcW w:w="964" w:type="dxa"/>
            <w:vMerge/>
          </w:tcPr>
          <w:p w14:paraId="44C2CAE7" w14:textId="77777777" w:rsidR="00454A29" w:rsidRDefault="00454A29"/>
        </w:tc>
        <w:tc>
          <w:tcPr>
            <w:tcW w:w="2154" w:type="dxa"/>
            <w:vMerge/>
            <w:tcBorders>
              <w:top w:val="nil"/>
              <w:bottom w:val="nil"/>
            </w:tcBorders>
          </w:tcPr>
          <w:p w14:paraId="7FEEE165" w14:textId="77777777" w:rsidR="00454A29" w:rsidRDefault="00454A29"/>
        </w:tc>
        <w:tc>
          <w:tcPr>
            <w:tcW w:w="2154" w:type="dxa"/>
            <w:vMerge/>
            <w:tcBorders>
              <w:top w:val="nil"/>
              <w:bottom w:val="nil"/>
            </w:tcBorders>
          </w:tcPr>
          <w:p w14:paraId="0A49EBF6" w14:textId="77777777" w:rsidR="00454A29" w:rsidRDefault="00454A29"/>
        </w:tc>
        <w:tc>
          <w:tcPr>
            <w:tcW w:w="2665" w:type="dxa"/>
            <w:vMerge/>
          </w:tcPr>
          <w:p w14:paraId="50EDF10B" w14:textId="77777777" w:rsidR="00454A29" w:rsidRDefault="00454A29"/>
        </w:tc>
        <w:tc>
          <w:tcPr>
            <w:tcW w:w="2665" w:type="dxa"/>
            <w:vMerge/>
          </w:tcPr>
          <w:p w14:paraId="53450112" w14:textId="77777777" w:rsidR="00454A29" w:rsidRDefault="00454A29"/>
        </w:tc>
        <w:tc>
          <w:tcPr>
            <w:tcW w:w="1928" w:type="dxa"/>
            <w:vMerge/>
          </w:tcPr>
          <w:p w14:paraId="1946F3B9" w14:textId="77777777" w:rsidR="00454A29" w:rsidRDefault="00454A29"/>
        </w:tc>
        <w:tc>
          <w:tcPr>
            <w:tcW w:w="1644" w:type="dxa"/>
            <w:vMerge/>
          </w:tcPr>
          <w:p w14:paraId="5200AE10" w14:textId="77777777" w:rsidR="00454A29" w:rsidRDefault="00454A29"/>
        </w:tc>
        <w:tc>
          <w:tcPr>
            <w:tcW w:w="2041" w:type="dxa"/>
            <w:vMerge/>
          </w:tcPr>
          <w:p w14:paraId="7F227BF1" w14:textId="77777777" w:rsidR="00454A29" w:rsidRDefault="00454A29"/>
        </w:tc>
        <w:tc>
          <w:tcPr>
            <w:tcW w:w="2098" w:type="dxa"/>
            <w:vAlign w:val="center"/>
          </w:tcPr>
          <w:p w14:paraId="68F9CE79" w14:textId="77777777" w:rsidR="00454A29" w:rsidRDefault="00454A29">
            <w:pPr>
              <w:pStyle w:val="ConsPlusNormal"/>
              <w:jc w:val="center"/>
            </w:pPr>
            <w:r>
              <w:t xml:space="preserve">Государственный </w:t>
            </w:r>
            <w:r>
              <w:lastRenderedPageBreak/>
              <w:t>бюджет Республики Саха (Якутия)</w:t>
            </w:r>
          </w:p>
        </w:tc>
        <w:tc>
          <w:tcPr>
            <w:tcW w:w="1814" w:type="dxa"/>
            <w:vAlign w:val="center"/>
          </w:tcPr>
          <w:p w14:paraId="5272F6F6" w14:textId="77777777" w:rsidR="00454A29" w:rsidRDefault="00454A29">
            <w:pPr>
              <w:pStyle w:val="ConsPlusNormal"/>
              <w:jc w:val="center"/>
            </w:pPr>
            <w:r>
              <w:lastRenderedPageBreak/>
              <w:t>0,00</w:t>
            </w:r>
          </w:p>
        </w:tc>
        <w:tc>
          <w:tcPr>
            <w:tcW w:w="1701" w:type="dxa"/>
            <w:vAlign w:val="center"/>
          </w:tcPr>
          <w:p w14:paraId="1F7910A3" w14:textId="77777777" w:rsidR="00454A29" w:rsidRDefault="00454A29">
            <w:pPr>
              <w:pStyle w:val="ConsPlusNormal"/>
              <w:jc w:val="center"/>
            </w:pPr>
            <w:r>
              <w:t>0,00</w:t>
            </w:r>
          </w:p>
        </w:tc>
        <w:tc>
          <w:tcPr>
            <w:tcW w:w="1701" w:type="dxa"/>
            <w:vAlign w:val="center"/>
          </w:tcPr>
          <w:p w14:paraId="02800BD2" w14:textId="77777777" w:rsidR="00454A29" w:rsidRDefault="00454A29">
            <w:pPr>
              <w:pStyle w:val="ConsPlusNormal"/>
              <w:jc w:val="center"/>
            </w:pPr>
            <w:r>
              <w:t>0,00</w:t>
            </w:r>
          </w:p>
        </w:tc>
        <w:tc>
          <w:tcPr>
            <w:tcW w:w="1701" w:type="dxa"/>
            <w:vAlign w:val="center"/>
          </w:tcPr>
          <w:p w14:paraId="05521929" w14:textId="77777777" w:rsidR="00454A29" w:rsidRDefault="00454A29">
            <w:pPr>
              <w:pStyle w:val="ConsPlusNormal"/>
              <w:jc w:val="center"/>
            </w:pPr>
            <w:r>
              <w:t>0,00</w:t>
            </w:r>
          </w:p>
        </w:tc>
        <w:tc>
          <w:tcPr>
            <w:tcW w:w="1701" w:type="dxa"/>
            <w:vAlign w:val="center"/>
          </w:tcPr>
          <w:p w14:paraId="399BF145" w14:textId="77777777" w:rsidR="00454A29" w:rsidRDefault="00454A29">
            <w:pPr>
              <w:pStyle w:val="ConsPlusNormal"/>
              <w:jc w:val="center"/>
            </w:pPr>
            <w:r>
              <w:t>0,00</w:t>
            </w:r>
          </w:p>
        </w:tc>
        <w:tc>
          <w:tcPr>
            <w:tcW w:w="1701" w:type="dxa"/>
            <w:vAlign w:val="center"/>
          </w:tcPr>
          <w:p w14:paraId="2E83B774" w14:textId="77777777" w:rsidR="00454A29" w:rsidRDefault="00454A29">
            <w:pPr>
              <w:pStyle w:val="ConsPlusNormal"/>
              <w:jc w:val="center"/>
            </w:pPr>
            <w:r>
              <w:t>0,00</w:t>
            </w:r>
          </w:p>
        </w:tc>
        <w:tc>
          <w:tcPr>
            <w:tcW w:w="1701" w:type="dxa"/>
            <w:vAlign w:val="center"/>
          </w:tcPr>
          <w:p w14:paraId="0E21AE11" w14:textId="77777777" w:rsidR="00454A29" w:rsidRDefault="00454A29">
            <w:pPr>
              <w:pStyle w:val="ConsPlusNormal"/>
              <w:jc w:val="center"/>
            </w:pPr>
            <w:r>
              <w:t>0,00</w:t>
            </w:r>
          </w:p>
        </w:tc>
      </w:tr>
      <w:tr w:rsidR="00454A29" w14:paraId="482E9206" w14:textId="77777777">
        <w:tc>
          <w:tcPr>
            <w:tcW w:w="964" w:type="dxa"/>
            <w:vMerge/>
          </w:tcPr>
          <w:p w14:paraId="7BEE4DF5" w14:textId="77777777" w:rsidR="00454A29" w:rsidRDefault="00454A29"/>
        </w:tc>
        <w:tc>
          <w:tcPr>
            <w:tcW w:w="2154" w:type="dxa"/>
            <w:vMerge/>
            <w:tcBorders>
              <w:top w:val="nil"/>
              <w:bottom w:val="nil"/>
            </w:tcBorders>
          </w:tcPr>
          <w:p w14:paraId="00319E61" w14:textId="77777777" w:rsidR="00454A29" w:rsidRDefault="00454A29"/>
        </w:tc>
        <w:tc>
          <w:tcPr>
            <w:tcW w:w="2154" w:type="dxa"/>
            <w:vMerge/>
            <w:tcBorders>
              <w:top w:val="nil"/>
              <w:bottom w:val="nil"/>
            </w:tcBorders>
          </w:tcPr>
          <w:p w14:paraId="0A9591C9" w14:textId="77777777" w:rsidR="00454A29" w:rsidRDefault="00454A29"/>
        </w:tc>
        <w:tc>
          <w:tcPr>
            <w:tcW w:w="2665" w:type="dxa"/>
            <w:vMerge/>
          </w:tcPr>
          <w:p w14:paraId="27067562" w14:textId="77777777" w:rsidR="00454A29" w:rsidRDefault="00454A29"/>
        </w:tc>
        <w:tc>
          <w:tcPr>
            <w:tcW w:w="2665" w:type="dxa"/>
            <w:vMerge/>
          </w:tcPr>
          <w:p w14:paraId="3DD1FCA5" w14:textId="77777777" w:rsidR="00454A29" w:rsidRDefault="00454A29"/>
        </w:tc>
        <w:tc>
          <w:tcPr>
            <w:tcW w:w="1928" w:type="dxa"/>
            <w:vMerge/>
          </w:tcPr>
          <w:p w14:paraId="3BD61E8B" w14:textId="77777777" w:rsidR="00454A29" w:rsidRDefault="00454A29"/>
        </w:tc>
        <w:tc>
          <w:tcPr>
            <w:tcW w:w="1644" w:type="dxa"/>
            <w:vMerge/>
          </w:tcPr>
          <w:p w14:paraId="205E9F80" w14:textId="77777777" w:rsidR="00454A29" w:rsidRDefault="00454A29"/>
        </w:tc>
        <w:tc>
          <w:tcPr>
            <w:tcW w:w="2041" w:type="dxa"/>
            <w:vMerge/>
          </w:tcPr>
          <w:p w14:paraId="6919C5A4" w14:textId="77777777" w:rsidR="00454A29" w:rsidRDefault="00454A29"/>
        </w:tc>
        <w:tc>
          <w:tcPr>
            <w:tcW w:w="2098" w:type="dxa"/>
            <w:vAlign w:val="center"/>
          </w:tcPr>
          <w:p w14:paraId="1CC0241C" w14:textId="77777777" w:rsidR="00454A29" w:rsidRDefault="00454A29">
            <w:pPr>
              <w:pStyle w:val="ConsPlusNormal"/>
              <w:jc w:val="center"/>
            </w:pPr>
            <w:r>
              <w:t>Федеральный бюджет</w:t>
            </w:r>
          </w:p>
        </w:tc>
        <w:tc>
          <w:tcPr>
            <w:tcW w:w="1814" w:type="dxa"/>
            <w:vAlign w:val="center"/>
          </w:tcPr>
          <w:p w14:paraId="1235FF7F" w14:textId="77777777" w:rsidR="00454A29" w:rsidRDefault="00454A29">
            <w:pPr>
              <w:pStyle w:val="ConsPlusNormal"/>
              <w:jc w:val="center"/>
            </w:pPr>
            <w:r>
              <w:t>0,00</w:t>
            </w:r>
          </w:p>
        </w:tc>
        <w:tc>
          <w:tcPr>
            <w:tcW w:w="1701" w:type="dxa"/>
            <w:vAlign w:val="center"/>
          </w:tcPr>
          <w:p w14:paraId="3C975CE4" w14:textId="77777777" w:rsidR="00454A29" w:rsidRDefault="00454A29">
            <w:pPr>
              <w:pStyle w:val="ConsPlusNormal"/>
              <w:jc w:val="center"/>
            </w:pPr>
            <w:r>
              <w:t>0,00</w:t>
            </w:r>
          </w:p>
        </w:tc>
        <w:tc>
          <w:tcPr>
            <w:tcW w:w="1701" w:type="dxa"/>
            <w:vAlign w:val="center"/>
          </w:tcPr>
          <w:p w14:paraId="15D361AF" w14:textId="77777777" w:rsidR="00454A29" w:rsidRDefault="00454A29">
            <w:pPr>
              <w:pStyle w:val="ConsPlusNormal"/>
              <w:jc w:val="center"/>
            </w:pPr>
            <w:r>
              <w:t>0,00</w:t>
            </w:r>
          </w:p>
        </w:tc>
        <w:tc>
          <w:tcPr>
            <w:tcW w:w="1701" w:type="dxa"/>
            <w:vAlign w:val="center"/>
          </w:tcPr>
          <w:p w14:paraId="69573BA8" w14:textId="77777777" w:rsidR="00454A29" w:rsidRDefault="00454A29">
            <w:pPr>
              <w:pStyle w:val="ConsPlusNormal"/>
              <w:jc w:val="center"/>
            </w:pPr>
            <w:r>
              <w:t>0,00</w:t>
            </w:r>
          </w:p>
        </w:tc>
        <w:tc>
          <w:tcPr>
            <w:tcW w:w="1701" w:type="dxa"/>
            <w:vAlign w:val="center"/>
          </w:tcPr>
          <w:p w14:paraId="52988801" w14:textId="77777777" w:rsidR="00454A29" w:rsidRDefault="00454A29">
            <w:pPr>
              <w:pStyle w:val="ConsPlusNormal"/>
              <w:jc w:val="center"/>
            </w:pPr>
            <w:r>
              <w:t>0,00</w:t>
            </w:r>
          </w:p>
        </w:tc>
        <w:tc>
          <w:tcPr>
            <w:tcW w:w="1701" w:type="dxa"/>
            <w:vAlign w:val="center"/>
          </w:tcPr>
          <w:p w14:paraId="40A65E63" w14:textId="77777777" w:rsidR="00454A29" w:rsidRDefault="00454A29">
            <w:pPr>
              <w:pStyle w:val="ConsPlusNormal"/>
              <w:jc w:val="center"/>
            </w:pPr>
            <w:r>
              <w:t>0,00</w:t>
            </w:r>
          </w:p>
        </w:tc>
        <w:tc>
          <w:tcPr>
            <w:tcW w:w="1701" w:type="dxa"/>
            <w:vAlign w:val="center"/>
          </w:tcPr>
          <w:p w14:paraId="497FD581" w14:textId="77777777" w:rsidR="00454A29" w:rsidRDefault="00454A29">
            <w:pPr>
              <w:pStyle w:val="ConsPlusNormal"/>
              <w:jc w:val="center"/>
            </w:pPr>
            <w:r>
              <w:t>0,00</w:t>
            </w:r>
          </w:p>
        </w:tc>
      </w:tr>
      <w:tr w:rsidR="00454A29" w14:paraId="74BB6F56" w14:textId="77777777">
        <w:tc>
          <w:tcPr>
            <w:tcW w:w="964" w:type="dxa"/>
            <w:vMerge/>
          </w:tcPr>
          <w:p w14:paraId="3DA4DA0E" w14:textId="77777777" w:rsidR="00454A29" w:rsidRDefault="00454A29"/>
        </w:tc>
        <w:tc>
          <w:tcPr>
            <w:tcW w:w="2154" w:type="dxa"/>
            <w:vMerge/>
            <w:tcBorders>
              <w:top w:val="nil"/>
              <w:bottom w:val="nil"/>
            </w:tcBorders>
          </w:tcPr>
          <w:p w14:paraId="784E17CF" w14:textId="77777777" w:rsidR="00454A29" w:rsidRDefault="00454A29"/>
        </w:tc>
        <w:tc>
          <w:tcPr>
            <w:tcW w:w="2154" w:type="dxa"/>
            <w:vMerge/>
            <w:tcBorders>
              <w:top w:val="nil"/>
              <w:bottom w:val="nil"/>
            </w:tcBorders>
          </w:tcPr>
          <w:p w14:paraId="66F46066" w14:textId="77777777" w:rsidR="00454A29" w:rsidRDefault="00454A29"/>
        </w:tc>
        <w:tc>
          <w:tcPr>
            <w:tcW w:w="2665" w:type="dxa"/>
            <w:vMerge/>
          </w:tcPr>
          <w:p w14:paraId="4823212A" w14:textId="77777777" w:rsidR="00454A29" w:rsidRDefault="00454A29"/>
        </w:tc>
        <w:tc>
          <w:tcPr>
            <w:tcW w:w="2665" w:type="dxa"/>
            <w:vMerge/>
          </w:tcPr>
          <w:p w14:paraId="06BC289F" w14:textId="77777777" w:rsidR="00454A29" w:rsidRDefault="00454A29"/>
        </w:tc>
        <w:tc>
          <w:tcPr>
            <w:tcW w:w="1928" w:type="dxa"/>
            <w:vMerge/>
          </w:tcPr>
          <w:p w14:paraId="7B6EFF80" w14:textId="77777777" w:rsidR="00454A29" w:rsidRDefault="00454A29"/>
        </w:tc>
        <w:tc>
          <w:tcPr>
            <w:tcW w:w="1644" w:type="dxa"/>
            <w:vMerge/>
          </w:tcPr>
          <w:p w14:paraId="6C4CC3FD" w14:textId="77777777" w:rsidR="00454A29" w:rsidRDefault="00454A29"/>
        </w:tc>
        <w:tc>
          <w:tcPr>
            <w:tcW w:w="2041" w:type="dxa"/>
            <w:vMerge/>
          </w:tcPr>
          <w:p w14:paraId="5807AFBA" w14:textId="77777777" w:rsidR="00454A29" w:rsidRDefault="00454A29"/>
        </w:tc>
        <w:tc>
          <w:tcPr>
            <w:tcW w:w="2098" w:type="dxa"/>
            <w:vAlign w:val="center"/>
          </w:tcPr>
          <w:p w14:paraId="39ED6549" w14:textId="77777777" w:rsidR="00454A29" w:rsidRDefault="00454A29">
            <w:pPr>
              <w:pStyle w:val="ConsPlusNormal"/>
              <w:jc w:val="center"/>
            </w:pPr>
            <w:r>
              <w:t>Местные бюджеты</w:t>
            </w:r>
          </w:p>
        </w:tc>
        <w:tc>
          <w:tcPr>
            <w:tcW w:w="1814" w:type="dxa"/>
            <w:vAlign w:val="center"/>
          </w:tcPr>
          <w:p w14:paraId="63537EE1" w14:textId="77777777" w:rsidR="00454A29" w:rsidRDefault="00454A29">
            <w:pPr>
              <w:pStyle w:val="ConsPlusNormal"/>
              <w:jc w:val="center"/>
            </w:pPr>
            <w:r>
              <w:t>0,00</w:t>
            </w:r>
          </w:p>
        </w:tc>
        <w:tc>
          <w:tcPr>
            <w:tcW w:w="1701" w:type="dxa"/>
            <w:vAlign w:val="center"/>
          </w:tcPr>
          <w:p w14:paraId="15376405" w14:textId="77777777" w:rsidR="00454A29" w:rsidRDefault="00454A29">
            <w:pPr>
              <w:pStyle w:val="ConsPlusNormal"/>
              <w:jc w:val="center"/>
            </w:pPr>
            <w:r>
              <w:t>0,00</w:t>
            </w:r>
          </w:p>
        </w:tc>
        <w:tc>
          <w:tcPr>
            <w:tcW w:w="1701" w:type="dxa"/>
            <w:vAlign w:val="center"/>
          </w:tcPr>
          <w:p w14:paraId="0904C4F9" w14:textId="77777777" w:rsidR="00454A29" w:rsidRDefault="00454A29">
            <w:pPr>
              <w:pStyle w:val="ConsPlusNormal"/>
              <w:jc w:val="center"/>
            </w:pPr>
            <w:r>
              <w:t>0,00</w:t>
            </w:r>
          </w:p>
        </w:tc>
        <w:tc>
          <w:tcPr>
            <w:tcW w:w="1701" w:type="dxa"/>
            <w:vAlign w:val="center"/>
          </w:tcPr>
          <w:p w14:paraId="17053DEE" w14:textId="77777777" w:rsidR="00454A29" w:rsidRDefault="00454A29">
            <w:pPr>
              <w:pStyle w:val="ConsPlusNormal"/>
              <w:jc w:val="center"/>
            </w:pPr>
            <w:r>
              <w:t>0,00</w:t>
            </w:r>
          </w:p>
        </w:tc>
        <w:tc>
          <w:tcPr>
            <w:tcW w:w="1701" w:type="dxa"/>
            <w:vAlign w:val="center"/>
          </w:tcPr>
          <w:p w14:paraId="3F259326" w14:textId="77777777" w:rsidR="00454A29" w:rsidRDefault="00454A29">
            <w:pPr>
              <w:pStyle w:val="ConsPlusNormal"/>
              <w:jc w:val="center"/>
            </w:pPr>
            <w:r>
              <w:t>0,00</w:t>
            </w:r>
          </w:p>
        </w:tc>
        <w:tc>
          <w:tcPr>
            <w:tcW w:w="1701" w:type="dxa"/>
            <w:vAlign w:val="center"/>
          </w:tcPr>
          <w:p w14:paraId="1F8B01C8" w14:textId="77777777" w:rsidR="00454A29" w:rsidRDefault="00454A29">
            <w:pPr>
              <w:pStyle w:val="ConsPlusNormal"/>
              <w:jc w:val="center"/>
            </w:pPr>
            <w:r>
              <w:t>0,00</w:t>
            </w:r>
          </w:p>
        </w:tc>
        <w:tc>
          <w:tcPr>
            <w:tcW w:w="1701" w:type="dxa"/>
            <w:vAlign w:val="center"/>
          </w:tcPr>
          <w:p w14:paraId="32D01B7E" w14:textId="77777777" w:rsidR="00454A29" w:rsidRDefault="00454A29">
            <w:pPr>
              <w:pStyle w:val="ConsPlusNormal"/>
              <w:jc w:val="center"/>
            </w:pPr>
            <w:r>
              <w:t>0,00</w:t>
            </w:r>
          </w:p>
        </w:tc>
      </w:tr>
      <w:tr w:rsidR="00454A29" w14:paraId="2F4677AC" w14:textId="77777777">
        <w:tc>
          <w:tcPr>
            <w:tcW w:w="964" w:type="dxa"/>
            <w:vMerge/>
          </w:tcPr>
          <w:p w14:paraId="55AB29C8" w14:textId="77777777" w:rsidR="00454A29" w:rsidRDefault="00454A29"/>
        </w:tc>
        <w:tc>
          <w:tcPr>
            <w:tcW w:w="2154" w:type="dxa"/>
            <w:vMerge/>
            <w:tcBorders>
              <w:top w:val="nil"/>
              <w:bottom w:val="nil"/>
            </w:tcBorders>
          </w:tcPr>
          <w:p w14:paraId="226EBB18" w14:textId="77777777" w:rsidR="00454A29" w:rsidRDefault="00454A29"/>
        </w:tc>
        <w:tc>
          <w:tcPr>
            <w:tcW w:w="2154" w:type="dxa"/>
            <w:vMerge/>
            <w:tcBorders>
              <w:top w:val="nil"/>
              <w:bottom w:val="nil"/>
            </w:tcBorders>
          </w:tcPr>
          <w:p w14:paraId="0D0C4E9B" w14:textId="77777777" w:rsidR="00454A29" w:rsidRDefault="00454A29"/>
        </w:tc>
        <w:tc>
          <w:tcPr>
            <w:tcW w:w="2665" w:type="dxa"/>
            <w:vMerge/>
          </w:tcPr>
          <w:p w14:paraId="2C303D58" w14:textId="77777777" w:rsidR="00454A29" w:rsidRDefault="00454A29"/>
        </w:tc>
        <w:tc>
          <w:tcPr>
            <w:tcW w:w="2665" w:type="dxa"/>
            <w:vMerge/>
          </w:tcPr>
          <w:p w14:paraId="51AE12D0" w14:textId="77777777" w:rsidR="00454A29" w:rsidRDefault="00454A29"/>
        </w:tc>
        <w:tc>
          <w:tcPr>
            <w:tcW w:w="1928" w:type="dxa"/>
            <w:vMerge/>
          </w:tcPr>
          <w:p w14:paraId="1E149818" w14:textId="77777777" w:rsidR="00454A29" w:rsidRDefault="00454A29"/>
        </w:tc>
        <w:tc>
          <w:tcPr>
            <w:tcW w:w="1644" w:type="dxa"/>
            <w:vMerge/>
          </w:tcPr>
          <w:p w14:paraId="171BA517" w14:textId="77777777" w:rsidR="00454A29" w:rsidRDefault="00454A29"/>
        </w:tc>
        <w:tc>
          <w:tcPr>
            <w:tcW w:w="2041" w:type="dxa"/>
            <w:vMerge/>
          </w:tcPr>
          <w:p w14:paraId="1A992B11" w14:textId="77777777" w:rsidR="00454A29" w:rsidRDefault="00454A29"/>
        </w:tc>
        <w:tc>
          <w:tcPr>
            <w:tcW w:w="2098" w:type="dxa"/>
            <w:vAlign w:val="center"/>
          </w:tcPr>
          <w:p w14:paraId="0115D823" w14:textId="77777777" w:rsidR="00454A29" w:rsidRDefault="00454A29">
            <w:pPr>
              <w:pStyle w:val="ConsPlusNormal"/>
              <w:jc w:val="center"/>
            </w:pPr>
            <w:r>
              <w:t>Внебюджетные средства</w:t>
            </w:r>
          </w:p>
        </w:tc>
        <w:tc>
          <w:tcPr>
            <w:tcW w:w="1814" w:type="dxa"/>
            <w:vAlign w:val="center"/>
          </w:tcPr>
          <w:p w14:paraId="3E116997" w14:textId="77777777" w:rsidR="00454A29" w:rsidRDefault="00454A29">
            <w:pPr>
              <w:pStyle w:val="ConsPlusNormal"/>
              <w:jc w:val="center"/>
            </w:pPr>
            <w:r>
              <w:t>0,00</w:t>
            </w:r>
          </w:p>
        </w:tc>
        <w:tc>
          <w:tcPr>
            <w:tcW w:w="1701" w:type="dxa"/>
            <w:vAlign w:val="center"/>
          </w:tcPr>
          <w:p w14:paraId="3D0CAC82" w14:textId="77777777" w:rsidR="00454A29" w:rsidRDefault="00454A29">
            <w:pPr>
              <w:pStyle w:val="ConsPlusNormal"/>
              <w:jc w:val="center"/>
            </w:pPr>
            <w:r>
              <w:t>0,00</w:t>
            </w:r>
          </w:p>
        </w:tc>
        <w:tc>
          <w:tcPr>
            <w:tcW w:w="1701" w:type="dxa"/>
            <w:vAlign w:val="center"/>
          </w:tcPr>
          <w:p w14:paraId="2A42D6B0" w14:textId="77777777" w:rsidR="00454A29" w:rsidRDefault="00454A29">
            <w:pPr>
              <w:pStyle w:val="ConsPlusNormal"/>
              <w:jc w:val="center"/>
            </w:pPr>
            <w:r>
              <w:t>0,00</w:t>
            </w:r>
          </w:p>
        </w:tc>
        <w:tc>
          <w:tcPr>
            <w:tcW w:w="1701" w:type="dxa"/>
            <w:vAlign w:val="center"/>
          </w:tcPr>
          <w:p w14:paraId="6132E125" w14:textId="77777777" w:rsidR="00454A29" w:rsidRDefault="00454A29">
            <w:pPr>
              <w:pStyle w:val="ConsPlusNormal"/>
              <w:jc w:val="center"/>
            </w:pPr>
            <w:r>
              <w:t>0,00</w:t>
            </w:r>
          </w:p>
        </w:tc>
        <w:tc>
          <w:tcPr>
            <w:tcW w:w="1701" w:type="dxa"/>
            <w:vAlign w:val="center"/>
          </w:tcPr>
          <w:p w14:paraId="77F44605" w14:textId="77777777" w:rsidR="00454A29" w:rsidRDefault="00454A29">
            <w:pPr>
              <w:pStyle w:val="ConsPlusNormal"/>
              <w:jc w:val="center"/>
            </w:pPr>
            <w:r>
              <w:t>0,00</w:t>
            </w:r>
          </w:p>
        </w:tc>
        <w:tc>
          <w:tcPr>
            <w:tcW w:w="1701" w:type="dxa"/>
            <w:vAlign w:val="center"/>
          </w:tcPr>
          <w:p w14:paraId="712F1823" w14:textId="77777777" w:rsidR="00454A29" w:rsidRDefault="00454A29">
            <w:pPr>
              <w:pStyle w:val="ConsPlusNormal"/>
              <w:jc w:val="center"/>
            </w:pPr>
            <w:r>
              <w:t>0,00</w:t>
            </w:r>
          </w:p>
        </w:tc>
        <w:tc>
          <w:tcPr>
            <w:tcW w:w="1701" w:type="dxa"/>
            <w:vAlign w:val="center"/>
          </w:tcPr>
          <w:p w14:paraId="36BDED54" w14:textId="77777777" w:rsidR="00454A29" w:rsidRDefault="00454A29">
            <w:pPr>
              <w:pStyle w:val="ConsPlusNormal"/>
              <w:jc w:val="center"/>
            </w:pPr>
            <w:r>
              <w:t>0,00</w:t>
            </w:r>
          </w:p>
        </w:tc>
      </w:tr>
      <w:tr w:rsidR="00454A29" w14:paraId="6023B9C1" w14:textId="77777777">
        <w:tc>
          <w:tcPr>
            <w:tcW w:w="964" w:type="dxa"/>
            <w:vMerge w:val="restart"/>
            <w:vAlign w:val="center"/>
          </w:tcPr>
          <w:p w14:paraId="3D69D840" w14:textId="77777777" w:rsidR="00454A29" w:rsidRDefault="00454A29">
            <w:pPr>
              <w:pStyle w:val="ConsPlusNormal"/>
              <w:jc w:val="center"/>
            </w:pPr>
            <w:r>
              <w:t>3.4.</w:t>
            </w:r>
          </w:p>
        </w:tc>
        <w:tc>
          <w:tcPr>
            <w:tcW w:w="2154" w:type="dxa"/>
            <w:vMerge w:val="restart"/>
            <w:tcBorders>
              <w:top w:val="nil"/>
              <w:bottom w:val="nil"/>
            </w:tcBorders>
            <w:vAlign w:val="center"/>
          </w:tcPr>
          <w:p w14:paraId="2099F621" w14:textId="77777777" w:rsidR="00454A29" w:rsidRDefault="00454A29">
            <w:pPr>
              <w:pStyle w:val="ConsPlusNormal"/>
            </w:pPr>
          </w:p>
        </w:tc>
        <w:tc>
          <w:tcPr>
            <w:tcW w:w="2154" w:type="dxa"/>
            <w:vMerge w:val="restart"/>
            <w:tcBorders>
              <w:top w:val="nil"/>
              <w:bottom w:val="nil"/>
            </w:tcBorders>
            <w:vAlign w:val="center"/>
          </w:tcPr>
          <w:p w14:paraId="4D841286" w14:textId="77777777" w:rsidR="00454A29" w:rsidRDefault="00454A29">
            <w:pPr>
              <w:pStyle w:val="ConsPlusNormal"/>
            </w:pPr>
          </w:p>
        </w:tc>
        <w:tc>
          <w:tcPr>
            <w:tcW w:w="2665" w:type="dxa"/>
            <w:vMerge w:val="restart"/>
            <w:vAlign w:val="center"/>
          </w:tcPr>
          <w:p w14:paraId="5EC783E8" w14:textId="77777777" w:rsidR="00454A29" w:rsidRDefault="00454A29">
            <w:pPr>
              <w:pStyle w:val="ConsPlusNormal"/>
              <w:jc w:val="center"/>
            </w:pPr>
            <w:r>
              <w:t>Результат 4. В общеобразовательных организациях, расположенных на территории Республики Саха (Якутия), внедрены в основные общеобразовательные программы современные цифровые технологии</w:t>
            </w:r>
          </w:p>
        </w:tc>
        <w:tc>
          <w:tcPr>
            <w:tcW w:w="2665" w:type="dxa"/>
            <w:vMerge w:val="restart"/>
            <w:vAlign w:val="center"/>
          </w:tcPr>
          <w:p w14:paraId="271C4455" w14:textId="77777777" w:rsidR="00454A29" w:rsidRDefault="00454A29">
            <w:pPr>
              <w:pStyle w:val="ConsPlusNormal"/>
              <w:jc w:val="center"/>
            </w:pPr>
            <w:r>
              <w:t>Мероприятие 3.6.4. Внедрение в основные общеобразовательные программы современных цифровых технологий для обучающихся общеобразовательных организаций</w:t>
            </w:r>
          </w:p>
        </w:tc>
        <w:tc>
          <w:tcPr>
            <w:tcW w:w="1928" w:type="dxa"/>
            <w:vMerge w:val="restart"/>
            <w:vAlign w:val="center"/>
          </w:tcPr>
          <w:p w14:paraId="02763DAF" w14:textId="77777777" w:rsidR="00454A29" w:rsidRDefault="00454A29">
            <w:pPr>
              <w:pStyle w:val="ConsPlusNormal"/>
              <w:jc w:val="center"/>
            </w:pPr>
            <w:r>
              <w:t>-</w:t>
            </w:r>
          </w:p>
        </w:tc>
        <w:tc>
          <w:tcPr>
            <w:tcW w:w="1644" w:type="dxa"/>
            <w:vMerge w:val="restart"/>
            <w:vAlign w:val="center"/>
          </w:tcPr>
          <w:p w14:paraId="0D291D06" w14:textId="77777777" w:rsidR="00454A29" w:rsidRDefault="00454A29">
            <w:pPr>
              <w:pStyle w:val="ConsPlusNormal"/>
              <w:jc w:val="center"/>
            </w:pPr>
            <w:r>
              <w:t>-</w:t>
            </w:r>
          </w:p>
        </w:tc>
        <w:tc>
          <w:tcPr>
            <w:tcW w:w="2041" w:type="dxa"/>
            <w:vMerge w:val="restart"/>
            <w:vAlign w:val="center"/>
          </w:tcPr>
          <w:p w14:paraId="7D4B165E" w14:textId="77777777" w:rsidR="00454A29" w:rsidRDefault="00454A29">
            <w:pPr>
              <w:pStyle w:val="ConsPlusNormal"/>
              <w:jc w:val="center"/>
            </w:pPr>
            <w:r>
              <w:t>-</w:t>
            </w:r>
          </w:p>
        </w:tc>
        <w:tc>
          <w:tcPr>
            <w:tcW w:w="2098" w:type="dxa"/>
            <w:vAlign w:val="center"/>
          </w:tcPr>
          <w:p w14:paraId="44A604E8" w14:textId="77777777" w:rsidR="00454A29" w:rsidRDefault="00454A29">
            <w:pPr>
              <w:pStyle w:val="ConsPlusNormal"/>
              <w:jc w:val="center"/>
            </w:pPr>
            <w:r>
              <w:t>Итого</w:t>
            </w:r>
          </w:p>
        </w:tc>
        <w:tc>
          <w:tcPr>
            <w:tcW w:w="1814" w:type="dxa"/>
            <w:vAlign w:val="center"/>
          </w:tcPr>
          <w:p w14:paraId="30171113" w14:textId="77777777" w:rsidR="00454A29" w:rsidRDefault="00454A29">
            <w:pPr>
              <w:pStyle w:val="ConsPlusNormal"/>
              <w:jc w:val="center"/>
            </w:pPr>
            <w:r>
              <w:t>0,00</w:t>
            </w:r>
          </w:p>
        </w:tc>
        <w:tc>
          <w:tcPr>
            <w:tcW w:w="1701" w:type="dxa"/>
            <w:vAlign w:val="center"/>
          </w:tcPr>
          <w:p w14:paraId="7FF6C2BE" w14:textId="77777777" w:rsidR="00454A29" w:rsidRDefault="00454A29">
            <w:pPr>
              <w:pStyle w:val="ConsPlusNormal"/>
              <w:jc w:val="center"/>
            </w:pPr>
            <w:r>
              <w:t>0,00</w:t>
            </w:r>
          </w:p>
        </w:tc>
        <w:tc>
          <w:tcPr>
            <w:tcW w:w="1701" w:type="dxa"/>
            <w:vAlign w:val="center"/>
          </w:tcPr>
          <w:p w14:paraId="3899DFBF" w14:textId="77777777" w:rsidR="00454A29" w:rsidRDefault="00454A29">
            <w:pPr>
              <w:pStyle w:val="ConsPlusNormal"/>
              <w:jc w:val="center"/>
            </w:pPr>
            <w:r>
              <w:t>0,00</w:t>
            </w:r>
          </w:p>
        </w:tc>
        <w:tc>
          <w:tcPr>
            <w:tcW w:w="1701" w:type="dxa"/>
            <w:vAlign w:val="center"/>
          </w:tcPr>
          <w:p w14:paraId="02296B72" w14:textId="77777777" w:rsidR="00454A29" w:rsidRDefault="00454A29">
            <w:pPr>
              <w:pStyle w:val="ConsPlusNormal"/>
              <w:jc w:val="center"/>
            </w:pPr>
            <w:r>
              <w:t>0,00</w:t>
            </w:r>
          </w:p>
        </w:tc>
        <w:tc>
          <w:tcPr>
            <w:tcW w:w="1701" w:type="dxa"/>
            <w:vAlign w:val="center"/>
          </w:tcPr>
          <w:p w14:paraId="0A0BABB7" w14:textId="77777777" w:rsidR="00454A29" w:rsidRDefault="00454A29">
            <w:pPr>
              <w:pStyle w:val="ConsPlusNormal"/>
              <w:jc w:val="center"/>
            </w:pPr>
            <w:r>
              <w:t>0,00</w:t>
            </w:r>
          </w:p>
        </w:tc>
        <w:tc>
          <w:tcPr>
            <w:tcW w:w="1701" w:type="dxa"/>
            <w:vAlign w:val="center"/>
          </w:tcPr>
          <w:p w14:paraId="7CC740E7" w14:textId="77777777" w:rsidR="00454A29" w:rsidRDefault="00454A29">
            <w:pPr>
              <w:pStyle w:val="ConsPlusNormal"/>
              <w:jc w:val="center"/>
            </w:pPr>
            <w:r>
              <w:t>0,00</w:t>
            </w:r>
          </w:p>
        </w:tc>
        <w:tc>
          <w:tcPr>
            <w:tcW w:w="1701" w:type="dxa"/>
            <w:vAlign w:val="center"/>
          </w:tcPr>
          <w:p w14:paraId="0311E250" w14:textId="77777777" w:rsidR="00454A29" w:rsidRDefault="00454A29">
            <w:pPr>
              <w:pStyle w:val="ConsPlusNormal"/>
              <w:jc w:val="center"/>
            </w:pPr>
            <w:r>
              <w:t>0,00</w:t>
            </w:r>
          </w:p>
        </w:tc>
      </w:tr>
      <w:tr w:rsidR="00454A29" w14:paraId="591ACF80" w14:textId="77777777">
        <w:tc>
          <w:tcPr>
            <w:tcW w:w="964" w:type="dxa"/>
            <w:vMerge/>
          </w:tcPr>
          <w:p w14:paraId="5599FEC6" w14:textId="77777777" w:rsidR="00454A29" w:rsidRDefault="00454A29"/>
        </w:tc>
        <w:tc>
          <w:tcPr>
            <w:tcW w:w="2154" w:type="dxa"/>
            <w:vMerge/>
            <w:tcBorders>
              <w:top w:val="nil"/>
              <w:bottom w:val="nil"/>
            </w:tcBorders>
          </w:tcPr>
          <w:p w14:paraId="0FCFE4B9" w14:textId="77777777" w:rsidR="00454A29" w:rsidRDefault="00454A29"/>
        </w:tc>
        <w:tc>
          <w:tcPr>
            <w:tcW w:w="2154" w:type="dxa"/>
            <w:vMerge/>
            <w:tcBorders>
              <w:top w:val="nil"/>
              <w:bottom w:val="nil"/>
            </w:tcBorders>
          </w:tcPr>
          <w:p w14:paraId="35864B2C" w14:textId="77777777" w:rsidR="00454A29" w:rsidRDefault="00454A29"/>
        </w:tc>
        <w:tc>
          <w:tcPr>
            <w:tcW w:w="2665" w:type="dxa"/>
            <w:vMerge/>
          </w:tcPr>
          <w:p w14:paraId="7BFEB923" w14:textId="77777777" w:rsidR="00454A29" w:rsidRDefault="00454A29"/>
        </w:tc>
        <w:tc>
          <w:tcPr>
            <w:tcW w:w="2665" w:type="dxa"/>
            <w:vMerge/>
          </w:tcPr>
          <w:p w14:paraId="761171F7" w14:textId="77777777" w:rsidR="00454A29" w:rsidRDefault="00454A29"/>
        </w:tc>
        <w:tc>
          <w:tcPr>
            <w:tcW w:w="1928" w:type="dxa"/>
            <w:vMerge/>
          </w:tcPr>
          <w:p w14:paraId="164E137C" w14:textId="77777777" w:rsidR="00454A29" w:rsidRDefault="00454A29"/>
        </w:tc>
        <w:tc>
          <w:tcPr>
            <w:tcW w:w="1644" w:type="dxa"/>
            <w:vMerge/>
          </w:tcPr>
          <w:p w14:paraId="4C4E2E2C" w14:textId="77777777" w:rsidR="00454A29" w:rsidRDefault="00454A29"/>
        </w:tc>
        <w:tc>
          <w:tcPr>
            <w:tcW w:w="2041" w:type="dxa"/>
            <w:vMerge/>
          </w:tcPr>
          <w:p w14:paraId="6E4E3BAD" w14:textId="77777777" w:rsidR="00454A29" w:rsidRDefault="00454A29"/>
        </w:tc>
        <w:tc>
          <w:tcPr>
            <w:tcW w:w="2098" w:type="dxa"/>
            <w:vAlign w:val="center"/>
          </w:tcPr>
          <w:p w14:paraId="4A54590D"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0E935A5" w14:textId="77777777" w:rsidR="00454A29" w:rsidRDefault="00454A29">
            <w:pPr>
              <w:pStyle w:val="ConsPlusNormal"/>
              <w:jc w:val="center"/>
            </w:pPr>
            <w:r>
              <w:t>0,00</w:t>
            </w:r>
          </w:p>
        </w:tc>
        <w:tc>
          <w:tcPr>
            <w:tcW w:w="1701" w:type="dxa"/>
            <w:vAlign w:val="center"/>
          </w:tcPr>
          <w:p w14:paraId="2DBBC054" w14:textId="77777777" w:rsidR="00454A29" w:rsidRDefault="00454A29">
            <w:pPr>
              <w:pStyle w:val="ConsPlusNormal"/>
              <w:jc w:val="center"/>
            </w:pPr>
            <w:r>
              <w:t>0,00</w:t>
            </w:r>
          </w:p>
        </w:tc>
        <w:tc>
          <w:tcPr>
            <w:tcW w:w="1701" w:type="dxa"/>
            <w:vAlign w:val="center"/>
          </w:tcPr>
          <w:p w14:paraId="16CE11A3" w14:textId="77777777" w:rsidR="00454A29" w:rsidRDefault="00454A29">
            <w:pPr>
              <w:pStyle w:val="ConsPlusNormal"/>
              <w:jc w:val="center"/>
            </w:pPr>
            <w:r>
              <w:t>0,00</w:t>
            </w:r>
          </w:p>
        </w:tc>
        <w:tc>
          <w:tcPr>
            <w:tcW w:w="1701" w:type="dxa"/>
            <w:vAlign w:val="center"/>
          </w:tcPr>
          <w:p w14:paraId="7A8759C0" w14:textId="77777777" w:rsidR="00454A29" w:rsidRDefault="00454A29">
            <w:pPr>
              <w:pStyle w:val="ConsPlusNormal"/>
              <w:jc w:val="center"/>
            </w:pPr>
            <w:r>
              <w:t>0,00</w:t>
            </w:r>
          </w:p>
        </w:tc>
        <w:tc>
          <w:tcPr>
            <w:tcW w:w="1701" w:type="dxa"/>
            <w:vAlign w:val="center"/>
          </w:tcPr>
          <w:p w14:paraId="358B1C27" w14:textId="77777777" w:rsidR="00454A29" w:rsidRDefault="00454A29">
            <w:pPr>
              <w:pStyle w:val="ConsPlusNormal"/>
              <w:jc w:val="center"/>
            </w:pPr>
            <w:r>
              <w:t>0,00</w:t>
            </w:r>
          </w:p>
        </w:tc>
        <w:tc>
          <w:tcPr>
            <w:tcW w:w="1701" w:type="dxa"/>
            <w:vAlign w:val="center"/>
          </w:tcPr>
          <w:p w14:paraId="34C3D252" w14:textId="77777777" w:rsidR="00454A29" w:rsidRDefault="00454A29">
            <w:pPr>
              <w:pStyle w:val="ConsPlusNormal"/>
              <w:jc w:val="center"/>
            </w:pPr>
            <w:r>
              <w:t>0,00</w:t>
            </w:r>
          </w:p>
        </w:tc>
        <w:tc>
          <w:tcPr>
            <w:tcW w:w="1701" w:type="dxa"/>
            <w:vAlign w:val="center"/>
          </w:tcPr>
          <w:p w14:paraId="57685892" w14:textId="77777777" w:rsidR="00454A29" w:rsidRDefault="00454A29">
            <w:pPr>
              <w:pStyle w:val="ConsPlusNormal"/>
              <w:jc w:val="center"/>
            </w:pPr>
            <w:r>
              <w:t>0,00</w:t>
            </w:r>
          </w:p>
        </w:tc>
      </w:tr>
      <w:tr w:rsidR="00454A29" w14:paraId="55FAF1D6" w14:textId="77777777">
        <w:tc>
          <w:tcPr>
            <w:tcW w:w="964" w:type="dxa"/>
            <w:vMerge/>
          </w:tcPr>
          <w:p w14:paraId="74974201" w14:textId="77777777" w:rsidR="00454A29" w:rsidRDefault="00454A29"/>
        </w:tc>
        <w:tc>
          <w:tcPr>
            <w:tcW w:w="2154" w:type="dxa"/>
            <w:vMerge/>
            <w:tcBorders>
              <w:top w:val="nil"/>
              <w:bottom w:val="nil"/>
            </w:tcBorders>
          </w:tcPr>
          <w:p w14:paraId="69CC1EC4" w14:textId="77777777" w:rsidR="00454A29" w:rsidRDefault="00454A29"/>
        </w:tc>
        <w:tc>
          <w:tcPr>
            <w:tcW w:w="2154" w:type="dxa"/>
            <w:vMerge/>
            <w:tcBorders>
              <w:top w:val="nil"/>
              <w:bottom w:val="nil"/>
            </w:tcBorders>
          </w:tcPr>
          <w:p w14:paraId="56C52F86" w14:textId="77777777" w:rsidR="00454A29" w:rsidRDefault="00454A29"/>
        </w:tc>
        <w:tc>
          <w:tcPr>
            <w:tcW w:w="2665" w:type="dxa"/>
            <w:vMerge/>
          </w:tcPr>
          <w:p w14:paraId="65BD1E37" w14:textId="77777777" w:rsidR="00454A29" w:rsidRDefault="00454A29"/>
        </w:tc>
        <w:tc>
          <w:tcPr>
            <w:tcW w:w="2665" w:type="dxa"/>
            <w:vMerge/>
          </w:tcPr>
          <w:p w14:paraId="233D0B75" w14:textId="77777777" w:rsidR="00454A29" w:rsidRDefault="00454A29"/>
        </w:tc>
        <w:tc>
          <w:tcPr>
            <w:tcW w:w="1928" w:type="dxa"/>
            <w:vMerge/>
          </w:tcPr>
          <w:p w14:paraId="77ED5B6C" w14:textId="77777777" w:rsidR="00454A29" w:rsidRDefault="00454A29"/>
        </w:tc>
        <w:tc>
          <w:tcPr>
            <w:tcW w:w="1644" w:type="dxa"/>
            <w:vMerge/>
          </w:tcPr>
          <w:p w14:paraId="67D928DB" w14:textId="77777777" w:rsidR="00454A29" w:rsidRDefault="00454A29"/>
        </w:tc>
        <w:tc>
          <w:tcPr>
            <w:tcW w:w="2041" w:type="dxa"/>
            <w:vMerge/>
          </w:tcPr>
          <w:p w14:paraId="110145AF" w14:textId="77777777" w:rsidR="00454A29" w:rsidRDefault="00454A29"/>
        </w:tc>
        <w:tc>
          <w:tcPr>
            <w:tcW w:w="2098" w:type="dxa"/>
            <w:vAlign w:val="center"/>
          </w:tcPr>
          <w:p w14:paraId="78DB022B" w14:textId="77777777" w:rsidR="00454A29" w:rsidRDefault="00454A29">
            <w:pPr>
              <w:pStyle w:val="ConsPlusNormal"/>
              <w:jc w:val="center"/>
            </w:pPr>
            <w:r>
              <w:t>Федеральный бюджет</w:t>
            </w:r>
          </w:p>
        </w:tc>
        <w:tc>
          <w:tcPr>
            <w:tcW w:w="1814" w:type="dxa"/>
            <w:vAlign w:val="center"/>
          </w:tcPr>
          <w:p w14:paraId="04EF2349" w14:textId="77777777" w:rsidR="00454A29" w:rsidRDefault="00454A29">
            <w:pPr>
              <w:pStyle w:val="ConsPlusNormal"/>
              <w:jc w:val="center"/>
            </w:pPr>
            <w:r>
              <w:t>0,00</w:t>
            </w:r>
          </w:p>
        </w:tc>
        <w:tc>
          <w:tcPr>
            <w:tcW w:w="1701" w:type="dxa"/>
            <w:vAlign w:val="center"/>
          </w:tcPr>
          <w:p w14:paraId="65295E24" w14:textId="77777777" w:rsidR="00454A29" w:rsidRDefault="00454A29">
            <w:pPr>
              <w:pStyle w:val="ConsPlusNormal"/>
              <w:jc w:val="center"/>
            </w:pPr>
            <w:r>
              <w:t>0,00</w:t>
            </w:r>
          </w:p>
        </w:tc>
        <w:tc>
          <w:tcPr>
            <w:tcW w:w="1701" w:type="dxa"/>
            <w:vAlign w:val="center"/>
          </w:tcPr>
          <w:p w14:paraId="7F0D74E0" w14:textId="77777777" w:rsidR="00454A29" w:rsidRDefault="00454A29">
            <w:pPr>
              <w:pStyle w:val="ConsPlusNormal"/>
              <w:jc w:val="center"/>
            </w:pPr>
            <w:r>
              <w:t>0,00</w:t>
            </w:r>
          </w:p>
        </w:tc>
        <w:tc>
          <w:tcPr>
            <w:tcW w:w="1701" w:type="dxa"/>
            <w:vAlign w:val="center"/>
          </w:tcPr>
          <w:p w14:paraId="4249A17F" w14:textId="77777777" w:rsidR="00454A29" w:rsidRDefault="00454A29">
            <w:pPr>
              <w:pStyle w:val="ConsPlusNormal"/>
              <w:jc w:val="center"/>
            </w:pPr>
            <w:r>
              <w:t>0,00</w:t>
            </w:r>
          </w:p>
        </w:tc>
        <w:tc>
          <w:tcPr>
            <w:tcW w:w="1701" w:type="dxa"/>
            <w:vAlign w:val="center"/>
          </w:tcPr>
          <w:p w14:paraId="1DC5632D" w14:textId="77777777" w:rsidR="00454A29" w:rsidRDefault="00454A29">
            <w:pPr>
              <w:pStyle w:val="ConsPlusNormal"/>
              <w:jc w:val="center"/>
            </w:pPr>
            <w:r>
              <w:t>0,00</w:t>
            </w:r>
          </w:p>
        </w:tc>
        <w:tc>
          <w:tcPr>
            <w:tcW w:w="1701" w:type="dxa"/>
            <w:vAlign w:val="center"/>
          </w:tcPr>
          <w:p w14:paraId="387A6740" w14:textId="77777777" w:rsidR="00454A29" w:rsidRDefault="00454A29">
            <w:pPr>
              <w:pStyle w:val="ConsPlusNormal"/>
              <w:jc w:val="center"/>
            </w:pPr>
            <w:r>
              <w:t>0,00</w:t>
            </w:r>
          </w:p>
        </w:tc>
        <w:tc>
          <w:tcPr>
            <w:tcW w:w="1701" w:type="dxa"/>
            <w:vAlign w:val="center"/>
          </w:tcPr>
          <w:p w14:paraId="4AD7DB0A" w14:textId="77777777" w:rsidR="00454A29" w:rsidRDefault="00454A29">
            <w:pPr>
              <w:pStyle w:val="ConsPlusNormal"/>
              <w:jc w:val="center"/>
            </w:pPr>
            <w:r>
              <w:t>0,00</w:t>
            </w:r>
          </w:p>
        </w:tc>
      </w:tr>
      <w:tr w:rsidR="00454A29" w14:paraId="02AACA5C" w14:textId="77777777">
        <w:tc>
          <w:tcPr>
            <w:tcW w:w="964" w:type="dxa"/>
            <w:vMerge/>
          </w:tcPr>
          <w:p w14:paraId="171C8B77" w14:textId="77777777" w:rsidR="00454A29" w:rsidRDefault="00454A29"/>
        </w:tc>
        <w:tc>
          <w:tcPr>
            <w:tcW w:w="2154" w:type="dxa"/>
            <w:vMerge/>
            <w:tcBorders>
              <w:top w:val="nil"/>
              <w:bottom w:val="nil"/>
            </w:tcBorders>
          </w:tcPr>
          <w:p w14:paraId="3D1F1D36" w14:textId="77777777" w:rsidR="00454A29" w:rsidRDefault="00454A29"/>
        </w:tc>
        <w:tc>
          <w:tcPr>
            <w:tcW w:w="2154" w:type="dxa"/>
            <w:vMerge/>
            <w:tcBorders>
              <w:top w:val="nil"/>
              <w:bottom w:val="nil"/>
            </w:tcBorders>
          </w:tcPr>
          <w:p w14:paraId="6DB0774F" w14:textId="77777777" w:rsidR="00454A29" w:rsidRDefault="00454A29"/>
        </w:tc>
        <w:tc>
          <w:tcPr>
            <w:tcW w:w="2665" w:type="dxa"/>
            <w:vMerge/>
          </w:tcPr>
          <w:p w14:paraId="25DDF19C" w14:textId="77777777" w:rsidR="00454A29" w:rsidRDefault="00454A29"/>
        </w:tc>
        <w:tc>
          <w:tcPr>
            <w:tcW w:w="2665" w:type="dxa"/>
            <w:vMerge/>
          </w:tcPr>
          <w:p w14:paraId="4E8AB454" w14:textId="77777777" w:rsidR="00454A29" w:rsidRDefault="00454A29"/>
        </w:tc>
        <w:tc>
          <w:tcPr>
            <w:tcW w:w="1928" w:type="dxa"/>
            <w:vMerge/>
          </w:tcPr>
          <w:p w14:paraId="3A34DF5F" w14:textId="77777777" w:rsidR="00454A29" w:rsidRDefault="00454A29"/>
        </w:tc>
        <w:tc>
          <w:tcPr>
            <w:tcW w:w="1644" w:type="dxa"/>
            <w:vMerge/>
          </w:tcPr>
          <w:p w14:paraId="196A05B9" w14:textId="77777777" w:rsidR="00454A29" w:rsidRDefault="00454A29"/>
        </w:tc>
        <w:tc>
          <w:tcPr>
            <w:tcW w:w="2041" w:type="dxa"/>
            <w:vMerge/>
          </w:tcPr>
          <w:p w14:paraId="136A4541" w14:textId="77777777" w:rsidR="00454A29" w:rsidRDefault="00454A29"/>
        </w:tc>
        <w:tc>
          <w:tcPr>
            <w:tcW w:w="2098" w:type="dxa"/>
            <w:vAlign w:val="center"/>
          </w:tcPr>
          <w:p w14:paraId="6EEF872E" w14:textId="77777777" w:rsidR="00454A29" w:rsidRDefault="00454A29">
            <w:pPr>
              <w:pStyle w:val="ConsPlusNormal"/>
              <w:jc w:val="center"/>
            </w:pPr>
            <w:r>
              <w:t>Местные бюджеты</w:t>
            </w:r>
          </w:p>
        </w:tc>
        <w:tc>
          <w:tcPr>
            <w:tcW w:w="1814" w:type="dxa"/>
            <w:vAlign w:val="center"/>
          </w:tcPr>
          <w:p w14:paraId="7621F53B" w14:textId="77777777" w:rsidR="00454A29" w:rsidRDefault="00454A29">
            <w:pPr>
              <w:pStyle w:val="ConsPlusNormal"/>
              <w:jc w:val="center"/>
            </w:pPr>
            <w:r>
              <w:t>0,00</w:t>
            </w:r>
          </w:p>
        </w:tc>
        <w:tc>
          <w:tcPr>
            <w:tcW w:w="1701" w:type="dxa"/>
            <w:vAlign w:val="center"/>
          </w:tcPr>
          <w:p w14:paraId="0FC9CCA7" w14:textId="77777777" w:rsidR="00454A29" w:rsidRDefault="00454A29">
            <w:pPr>
              <w:pStyle w:val="ConsPlusNormal"/>
              <w:jc w:val="center"/>
            </w:pPr>
            <w:r>
              <w:t>0,00</w:t>
            </w:r>
          </w:p>
        </w:tc>
        <w:tc>
          <w:tcPr>
            <w:tcW w:w="1701" w:type="dxa"/>
            <w:vAlign w:val="center"/>
          </w:tcPr>
          <w:p w14:paraId="4BBCCBA7" w14:textId="77777777" w:rsidR="00454A29" w:rsidRDefault="00454A29">
            <w:pPr>
              <w:pStyle w:val="ConsPlusNormal"/>
              <w:jc w:val="center"/>
            </w:pPr>
            <w:r>
              <w:t>0,00</w:t>
            </w:r>
          </w:p>
        </w:tc>
        <w:tc>
          <w:tcPr>
            <w:tcW w:w="1701" w:type="dxa"/>
            <w:vAlign w:val="center"/>
          </w:tcPr>
          <w:p w14:paraId="24DDAD39" w14:textId="77777777" w:rsidR="00454A29" w:rsidRDefault="00454A29">
            <w:pPr>
              <w:pStyle w:val="ConsPlusNormal"/>
              <w:jc w:val="center"/>
            </w:pPr>
            <w:r>
              <w:t>0,00</w:t>
            </w:r>
          </w:p>
        </w:tc>
        <w:tc>
          <w:tcPr>
            <w:tcW w:w="1701" w:type="dxa"/>
            <w:vAlign w:val="center"/>
          </w:tcPr>
          <w:p w14:paraId="674B183B" w14:textId="77777777" w:rsidR="00454A29" w:rsidRDefault="00454A29">
            <w:pPr>
              <w:pStyle w:val="ConsPlusNormal"/>
              <w:jc w:val="center"/>
            </w:pPr>
            <w:r>
              <w:t>0,00</w:t>
            </w:r>
          </w:p>
        </w:tc>
        <w:tc>
          <w:tcPr>
            <w:tcW w:w="1701" w:type="dxa"/>
            <w:vAlign w:val="center"/>
          </w:tcPr>
          <w:p w14:paraId="46ED75EF" w14:textId="77777777" w:rsidR="00454A29" w:rsidRDefault="00454A29">
            <w:pPr>
              <w:pStyle w:val="ConsPlusNormal"/>
              <w:jc w:val="center"/>
            </w:pPr>
            <w:r>
              <w:t>0,00</w:t>
            </w:r>
          </w:p>
        </w:tc>
        <w:tc>
          <w:tcPr>
            <w:tcW w:w="1701" w:type="dxa"/>
            <w:vAlign w:val="center"/>
          </w:tcPr>
          <w:p w14:paraId="1ED23E3F" w14:textId="77777777" w:rsidR="00454A29" w:rsidRDefault="00454A29">
            <w:pPr>
              <w:pStyle w:val="ConsPlusNormal"/>
              <w:jc w:val="center"/>
            </w:pPr>
            <w:r>
              <w:t>0,00</w:t>
            </w:r>
          </w:p>
        </w:tc>
      </w:tr>
      <w:tr w:rsidR="00454A29" w14:paraId="54B989AD" w14:textId="77777777">
        <w:tc>
          <w:tcPr>
            <w:tcW w:w="964" w:type="dxa"/>
            <w:vMerge/>
          </w:tcPr>
          <w:p w14:paraId="6D21EC3B" w14:textId="77777777" w:rsidR="00454A29" w:rsidRDefault="00454A29"/>
        </w:tc>
        <w:tc>
          <w:tcPr>
            <w:tcW w:w="2154" w:type="dxa"/>
            <w:vMerge/>
            <w:tcBorders>
              <w:top w:val="nil"/>
              <w:bottom w:val="nil"/>
            </w:tcBorders>
          </w:tcPr>
          <w:p w14:paraId="49709835" w14:textId="77777777" w:rsidR="00454A29" w:rsidRDefault="00454A29"/>
        </w:tc>
        <w:tc>
          <w:tcPr>
            <w:tcW w:w="2154" w:type="dxa"/>
            <w:vMerge/>
            <w:tcBorders>
              <w:top w:val="nil"/>
              <w:bottom w:val="nil"/>
            </w:tcBorders>
          </w:tcPr>
          <w:p w14:paraId="7F8C1512" w14:textId="77777777" w:rsidR="00454A29" w:rsidRDefault="00454A29"/>
        </w:tc>
        <w:tc>
          <w:tcPr>
            <w:tcW w:w="2665" w:type="dxa"/>
            <w:vMerge/>
          </w:tcPr>
          <w:p w14:paraId="3C11625A" w14:textId="77777777" w:rsidR="00454A29" w:rsidRDefault="00454A29"/>
        </w:tc>
        <w:tc>
          <w:tcPr>
            <w:tcW w:w="2665" w:type="dxa"/>
            <w:vMerge/>
          </w:tcPr>
          <w:p w14:paraId="01F6F8A1" w14:textId="77777777" w:rsidR="00454A29" w:rsidRDefault="00454A29"/>
        </w:tc>
        <w:tc>
          <w:tcPr>
            <w:tcW w:w="1928" w:type="dxa"/>
            <w:vMerge/>
          </w:tcPr>
          <w:p w14:paraId="7AACFB79" w14:textId="77777777" w:rsidR="00454A29" w:rsidRDefault="00454A29"/>
        </w:tc>
        <w:tc>
          <w:tcPr>
            <w:tcW w:w="1644" w:type="dxa"/>
            <w:vMerge/>
          </w:tcPr>
          <w:p w14:paraId="593839A2" w14:textId="77777777" w:rsidR="00454A29" w:rsidRDefault="00454A29"/>
        </w:tc>
        <w:tc>
          <w:tcPr>
            <w:tcW w:w="2041" w:type="dxa"/>
            <w:vMerge/>
          </w:tcPr>
          <w:p w14:paraId="5D07E32D" w14:textId="77777777" w:rsidR="00454A29" w:rsidRDefault="00454A29"/>
        </w:tc>
        <w:tc>
          <w:tcPr>
            <w:tcW w:w="2098" w:type="dxa"/>
            <w:vAlign w:val="center"/>
          </w:tcPr>
          <w:p w14:paraId="12A321B2" w14:textId="77777777" w:rsidR="00454A29" w:rsidRDefault="00454A29">
            <w:pPr>
              <w:pStyle w:val="ConsPlusNormal"/>
              <w:jc w:val="center"/>
            </w:pPr>
            <w:r>
              <w:t>Внебюджетные средства</w:t>
            </w:r>
          </w:p>
        </w:tc>
        <w:tc>
          <w:tcPr>
            <w:tcW w:w="1814" w:type="dxa"/>
            <w:vAlign w:val="center"/>
          </w:tcPr>
          <w:p w14:paraId="1750762B" w14:textId="77777777" w:rsidR="00454A29" w:rsidRDefault="00454A29">
            <w:pPr>
              <w:pStyle w:val="ConsPlusNormal"/>
              <w:jc w:val="center"/>
            </w:pPr>
            <w:r>
              <w:t>0,00</w:t>
            </w:r>
          </w:p>
        </w:tc>
        <w:tc>
          <w:tcPr>
            <w:tcW w:w="1701" w:type="dxa"/>
            <w:vAlign w:val="center"/>
          </w:tcPr>
          <w:p w14:paraId="04D2148F" w14:textId="77777777" w:rsidR="00454A29" w:rsidRDefault="00454A29">
            <w:pPr>
              <w:pStyle w:val="ConsPlusNormal"/>
              <w:jc w:val="center"/>
            </w:pPr>
            <w:r>
              <w:t>0,00</w:t>
            </w:r>
          </w:p>
        </w:tc>
        <w:tc>
          <w:tcPr>
            <w:tcW w:w="1701" w:type="dxa"/>
            <w:vAlign w:val="center"/>
          </w:tcPr>
          <w:p w14:paraId="0A6B69A0" w14:textId="77777777" w:rsidR="00454A29" w:rsidRDefault="00454A29">
            <w:pPr>
              <w:pStyle w:val="ConsPlusNormal"/>
              <w:jc w:val="center"/>
            </w:pPr>
            <w:r>
              <w:t>0,00</w:t>
            </w:r>
          </w:p>
        </w:tc>
        <w:tc>
          <w:tcPr>
            <w:tcW w:w="1701" w:type="dxa"/>
            <w:vAlign w:val="center"/>
          </w:tcPr>
          <w:p w14:paraId="55BFD107" w14:textId="77777777" w:rsidR="00454A29" w:rsidRDefault="00454A29">
            <w:pPr>
              <w:pStyle w:val="ConsPlusNormal"/>
              <w:jc w:val="center"/>
            </w:pPr>
            <w:r>
              <w:t>0,00</w:t>
            </w:r>
          </w:p>
        </w:tc>
        <w:tc>
          <w:tcPr>
            <w:tcW w:w="1701" w:type="dxa"/>
            <w:vAlign w:val="center"/>
          </w:tcPr>
          <w:p w14:paraId="3AC2D255" w14:textId="77777777" w:rsidR="00454A29" w:rsidRDefault="00454A29">
            <w:pPr>
              <w:pStyle w:val="ConsPlusNormal"/>
              <w:jc w:val="center"/>
            </w:pPr>
            <w:r>
              <w:t>0,00</w:t>
            </w:r>
          </w:p>
        </w:tc>
        <w:tc>
          <w:tcPr>
            <w:tcW w:w="1701" w:type="dxa"/>
            <w:vAlign w:val="center"/>
          </w:tcPr>
          <w:p w14:paraId="5F0BEA15" w14:textId="77777777" w:rsidR="00454A29" w:rsidRDefault="00454A29">
            <w:pPr>
              <w:pStyle w:val="ConsPlusNormal"/>
              <w:jc w:val="center"/>
            </w:pPr>
            <w:r>
              <w:t>0,00</w:t>
            </w:r>
          </w:p>
        </w:tc>
        <w:tc>
          <w:tcPr>
            <w:tcW w:w="1701" w:type="dxa"/>
            <w:vAlign w:val="center"/>
          </w:tcPr>
          <w:p w14:paraId="67201459" w14:textId="77777777" w:rsidR="00454A29" w:rsidRDefault="00454A29">
            <w:pPr>
              <w:pStyle w:val="ConsPlusNormal"/>
              <w:jc w:val="center"/>
            </w:pPr>
            <w:r>
              <w:t>0,00</w:t>
            </w:r>
          </w:p>
        </w:tc>
      </w:tr>
      <w:tr w:rsidR="00454A29" w14:paraId="451453EF" w14:textId="77777777">
        <w:tc>
          <w:tcPr>
            <w:tcW w:w="964" w:type="dxa"/>
            <w:vMerge w:val="restart"/>
            <w:vAlign w:val="center"/>
          </w:tcPr>
          <w:p w14:paraId="6CE3888A" w14:textId="77777777" w:rsidR="00454A29" w:rsidRDefault="00454A29">
            <w:pPr>
              <w:pStyle w:val="ConsPlusNormal"/>
              <w:jc w:val="center"/>
            </w:pPr>
            <w:r>
              <w:t>3.5.</w:t>
            </w:r>
          </w:p>
        </w:tc>
        <w:tc>
          <w:tcPr>
            <w:tcW w:w="2154" w:type="dxa"/>
            <w:vMerge w:val="restart"/>
            <w:tcBorders>
              <w:top w:val="nil"/>
              <w:bottom w:val="nil"/>
            </w:tcBorders>
            <w:vAlign w:val="center"/>
          </w:tcPr>
          <w:p w14:paraId="6FF9F60A" w14:textId="77777777" w:rsidR="00454A29" w:rsidRDefault="00454A29">
            <w:pPr>
              <w:pStyle w:val="ConsPlusNormal"/>
            </w:pPr>
          </w:p>
        </w:tc>
        <w:tc>
          <w:tcPr>
            <w:tcW w:w="2154" w:type="dxa"/>
            <w:vMerge w:val="restart"/>
            <w:tcBorders>
              <w:top w:val="nil"/>
              <w:bottom w:val="nil"/>
            </w:tcBorders>
            <w:vAlign w:val="center"/>
          </w:tcPr>
          <w:p w14:paraId="6360CAA7" w14:textId="77777777" w:rsidR="00454A29" w:rsidRDefault="00454A29">
            <w:pPr>
              <w:pStyle w:val="ConsPlusNormal"/>
            </w:pPr>
          </w:p>
        </w:tc>
        <w:tc>
          <w:tcPr>
            <w:tcW w:w="2665" w:type="dxa"/>
            <w:vMerge w:val="restart"/>
            <w:vAlign w:val="center"/>
          </w:tcPr>
          <w:p w14:paraId="134B4D99" w14:textId="77777777" w:rsidR="00454A29" w:rsidRDefault="00454A29">
            <w:pPr>
              <w:pStyle w:val="ConsPlusNormal"/>
              <w:jc w:val="center"/>
            </w:pPr>
            <w:r>
              <w:t xml:space="preserve">Результат 5. Все образовательные организации Республики Саха (Якутия), реализующие основные и (или) дополнительные общеобразовательные программы, обновили информационное </w:t>
            </w:r>
            <w:r>
              <w:lastRenderedPageBreak/>
              <w:t>наполнение и функциональные возможности открытых и общедоступных информационных ресурсов (официальных сайтов в сети "Интернет")</w:t>
            </w:r>
          </w:p>
        </w:tc>
        <w:tc>
          <w:tcPr>
            <w:tcW w:w="2665" w:type="dxa"/>
            <w:vMerge w:val="restart"/>
            <w:vAlign w:val="center"/>
          </w:tcPr>
          <w:p w14:paraId="4AECB3C2" w14:textId="77777777" w:rsidR="00454A29" w:rsidRDefault="00454A29">
            <w:pPr>
              <w:pStyle w:val="ConsPlusNormal"/>
              <w:jc w:val="center"/>
            </w:pPr>
            <w:r>
              <w:lastRenderedPageBreak/>
              <w:t>Мероприятие 3.6.5. Обновление информационного наполнения и функциональных возможностей официальных сайтов образовательных организаций</w:t>
            </w:r>
          </w:p>
        </w:tc>
        <w:tc>
          <w:tcPr>
            <w:tcW w:w="1928" w:type="dxa"/>
            <w:vMerge w:val="restart"/>
            <w:vAlign w:val="center"/>
          </w:tcPr>
          <w:p w14:paraId="75B8F6C2" w14:textId="77777777" w:rsidR="00454A29" w:rsidRDefault="00454A29">
            <w:pPr>
              <w:pStyle w:val="ConsPlusNormal"/>
              <w:jc w:val="center"/>
            </w:pPr>
            <w:r>
              <w:t>-</w:t>
            </w:r>
          </w:p>
        </w:tc>
        <w:tc>
          <w:tcPr>
            <w:tcW w:w="1644" w:type="dxa"/>
            <w:vMerge w:val="restart"/>
            <w:vAlign w:val="center"/>
          </w:tcPr>
          <w:p w14:paraId="53DF7626" w14:textId="77777777" w:rsidR="00454A29" w:rsidRDefault="00454A29">
            <w:pPr>
              <w:pStyle w:val="ConsPlusNormal"/>
              <w:jc w:val="center"/>
            </w:pPr>
            <w:r>
              <w:t>-</w:t>
            </w:r>
          </w:p>
        </w:tc>
        <w:tc>
          <w:tcPr>
            <w:tcW w:w="2041" w:type="dxa"/>
            <w:vMerge w:val="restart"/>
            <w:vAlign w:val="center"/>
          </w:tcPr>
          <w:p w14:paraId="3EC46B71" w14:textId="77777777" w:rsidR="00454A29" w:rsidRDefault="00454A29">
            <w:pPr>
              <w:pStyle w:val="ConsPlusNormal"/>
              <w:jc w:val="center"/>
            </w:pPr>
            <w:r>
              <w:t>-</w:t>
            </w:r>
          </w:p>
        </w:tc>
        <w:tc>
          <w:tcPr>
            <w:tcW w:w="2098" w:type="dxa"/>
            <w:vAlign w:val="center"/>
          </w:tcPr>
          <w:p w14:paraId="105AAD83" w14:textId="77777777" w:rsidR="00454A29" w:rsidRDefault="00454A29">
            <w:pPr>
              <w:pStyle w:val="ConsPlusNormal"/>
              <w:jc w:val="center"/>
            </w:pPr>
            <w:r>
              <w:t>Итого</w:t>
            </w:r>
          </w:p>
        </w:tc>
        <w:tc>
          <w:tcPr>
            <w:tcW w:w="1814" w:type="dxa"/>
            <w:vAlign w:val="center"/>
          </w:tcPr>
          <w:p w14:paraId="01BF3DCE" w14:textId="77777777" w:rsidR="00454A29" w:rsidRDefault="00454A29">
            <w:pPr>
              <w:pStyle w:val="ConsPlusNormal"/>
              <w:jc w:val="center"/>
            </w:pPr>
            <w:r>
              <w:t>0,00</w:t>
            </w:r>
          </w:p>
        </w:tc>
        <w:tc>
          <w:tcPr>
            <w:tcW w:w="1701" w:type="dxa"/>
            <w:vAlign w:val="center"/>
          </w:tcPr>
          <w:p w14:paraId="20B2B8B1" w14:textId="77777777" w:rsidR="00454A29" w:rsidRDefault="00454A29">
            <w:pPr>
              <w:pStyle w:val="ConsPlusNormal"/>
              <w:jc w:val="center"/>
            </w:pPr>
            <w:r>
              <w:t>0,00</w:t>
            </w:r>
          </w:p>
        </w:tc>
        <w:tc>
          <w:tcPr>
            <w:tcW w:w="1701" w:type="dxa"/>
            <w:vAlign w:val="center"/>
          </w:tcPr>
          <w:p w14:paraId="03642244" w14:textId="77777777" w:rsidR="00454A29" w:rsidRDefault="00454A29">
            <w:pPr>
              <w:pStyle w:val="ConsPlusNormal"/>
              <w:jc w:val="center"/>
            </w:pPr>
            <w:r>
              <w:t>0,00</w:t>
            </w:r>
          </w:p>
        </w:tc>
        <w:tc>
          <w:tcPr>
            <w:tcW w:w="1701" w:type="dxa"/>
            <w:vAlign w:val="center"/>
          </w:tcPr>
          <w:p w14:paraId="33834B84" w14:textId="77777777" w:rsidR="00454A29" w:rsidRDefault="00454A29">
            <w:pPr>
              <w:pStyle w:val="ConsPlusNormal"/>
              <w:jc w:val="center"/>
            </w:pPr>
            <w:r>
              <w:t>0,00</w:t>
            </w:r>
          </w:p>
        </w:tc>
        <w:tc>
          <w:tcPr>
            <w:tcW w:w="1701" w:type="dxa"/>
            <w:vAlign w:val="center"/>
          </w:tcPr>
          <w:p w14:paraId="4EF4E55D" w14:textId="77777777" w:rsidR="00454A29" w:rsidRDefault="00454A29">
            <w:pPr>
              <w:pStyle w:val="ConsPlusNormal"/>
              <w:jc w:val="center"/>
            </w:pPr>
            <w:r>
              <w:t>0,00</w:t>
            </w:r>
          </w:p>
        </w:tc>
        <w:tc>
          <w:tcPr>
            <w:tcW w:w="1701" w:type="dxa"/>
            <w:vAlign w:val="center"/>
          </w:tcPr>
          <w:p w14:paraId="240FF588" w14:textId="77777777" w:rsidR="00454A29" w:rsidRDefault="00454A29">
            <w:pPr>
              <w:pStyle w:val="ConsPlusNormal"/>
              <w:jc w:val="center"/>
            </w:pPr>
            <w:r>
              <w:t>0,00</w:t>
            </w:r>
          </w:p>
        </w:tc>
        <w:tc>
          <w:tcPr>
            <w:tcW w:w="1701" w:type="dxa"/>
            <w:vAlign w:val="center"/>
          </w:tcPr>
          <w:p w14:paraId="134B2698" w14:textId="77777777" w:rsidR="00454A29" w:rsidRDefault="00454A29">
            <w:pPr>
              <w:pStyle w:val="ConsPlusNormal"/>
              <w:jc w:val="center"/>
            </w:pPr>
            <w:r>
              <w:t>0,00</w:t>
            </w:r>
          </w:p>
        </w:tc>
      </w:tr>
      <w:tr w:rsidR="00454A29" w14:paraId="7F53618B" w14:textId="77777777">
        <w:tc>
          <w:tcPr>
            <w:tcW w:w="964" w:type="dxa"/>
            <w:vMerge/>
          </w:tcPr>
          <w:p w14:paraId="37E4D2F0" w14:textId="77777777" w:rsidR="00454A29" w:rsidRDefault="00454A29"/>
        </w:tc>
        <w:tc>
          <w:tcPr>
            <w:tcW w:w="2154" w:type="dxa"/>
            <w:vMerge/>
            <w:tcBorders>
              <w:top w:val="nil"/>
              <w:bottom w:val="nil"/>
            </w:tcBorders>
          </w:tcPr>
          <w:p w14:paraId="607D163B" w14:textId="77777777" w:rsidR="00454A29" w:rsidRDefault="00454A29"/>
        </w:tc>
        <w:tc>
          <w:tcPr>
            <w:tcW w:w="2154" w:type="dxa"/>
            <w:vMerge/>
            <w:tcBorders>
              <w:top w:val="nil"/>
              <w:bottom w:val="nil"/>
            </w:tcBorders>
          </w:tcPr>
          <w:p w14:paraId="39CAB57E" w14:textId="77777777" w:rsidR="00454A29" w:rsidRDefault="00454A29"/>
        </w:tc>
        <w:tc>
          <w:tcPr>
            <w:tcW w:w="2665" w:type="dxa"/>
            <w:vMerge/>
          </w:tcPr>
          <w:p w14:paraId="30A1775E" w14:textId="77777777" w:rsidR="00454A29" w:rsidRDefault="00454A29"/>
        </w:tc>
        <w:tc>
          <w:tcPr>
            <w:tcW w:w="2665" w:type="dxa"/>
            <w:vMerge/>
          </w:tcPr>
          <w:p w14:paraId="3D6D2DC3" w14:textId="77777777" w:rsidR="00454A29" w:rsidRDefault="00454A29"/>
        </w:tc>
        <w:tc>
          <w:tcPr>
            <w:tcW w:w="1928" w:type="dxa"/>
            <w:vMerge/>
          </w:tcPr>
          <w:p w14:paraId="208158CD" w14:textId="77777777" w:rsidR="00454A29" w:rsidRDefault="00454A29"/>
        </w:tc>
        <w:tc>
          <w:tcPr>
            <w:tcW w:w="1644" w:type="dxa"/>
            <w:vMerge/>
          </w:tcPr>
          <w:p w14:paraId="1D38647A" w14:textId="77777777" w:rsidR="00454A29" w:rsidRDefault="00454A29"/>
        </w:tc>
        <w:tc>
          <w:tcPr>
            <w:tcW w:w="2041" w:type="dxa"/>
            <w:vMerge/>
          </w:tcPr>
          <w:p w14:paraId="1773520C" w14:textId="77777777" w:rsidR="00454A29" w:rsidRDefault="00454A29"/>
        </w:tc>
        <w:tc>
          <w:tcPr>
            <w:tcW w:w="2098" w:type="dxa"/>
            <w:vAlign w:val="center"/>
          </w:tcPr>
          <w:p w14:paraId="3E1F52E7"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2BC38C4" w14:textId="77777777" w:rsidR="00454A29" w:rsidRDefault="00454A29">
            <w:pPr>
              <w:pStyle w:val="ConsPlusNormal"/>
              <w:jc w:val="center"/>
            </w:pPr>
            <w:r>
              <w:t>0,00</w:t>
            </w:r>
          </w:p>
        </w:tc>
        <w:tc>
          <w:tcPr>
            <w:tcW w:w="1701" w:type="dxa"/>
            <w:vAlign w:val="center"/>
          </w:tcPr>
          <w:p w14:paraId="19DA90AC" w14:textId="77777777" w:rsidR="00454A29" w:rsidRDefault="00454A29">
            <w:pPr>
              <w:pStyle w:val="ConsPlusNormal"/>
              <w:jc w:val="center"/>
            </w:pPr>
            <w:r>
              <w:t>0,00</w:t>
            </w:r>
          </w:p>
        </w:tc>
        <w:tc>
          <w:tcPr>
            <w:tcW w:w="1701" w:type="dxa"/>
            <w:vAlign w:val="center"/>
          </w:tcPr>
          <w:p w14:paraId="70ECC550" w14:textId="77777777" w:rsidR="00454A29" w:rsidRDefault="00454A29">
            <w:pPr>
              <w:pStyle w:val="ConsPlusNormal"/>
              <w:jc w:val="center"/>
            </w:pPr>
            <w:r>
              <w:t>0,00</w:t>
            </w:r>
          </w:p>
        </w:tc>
        <w:tc>
          <w:tcPr>
            <w:tcW w:w="1701" w:type="dxa"/>
            <w:vAlign w:val="center"/>
          </w:tcPr>
          <w:p w14:paraId="465A7C0F" w14:textId="77777777" w:rsidR="00454A29" w:rsidRDefault="00454A29">
            <w:pPr>
              <w:pStyle w:val="ConsPlusNormal"/>
              <w:jc w:val="center"/>
            </w:pPr>
            <w:r>
              <w:t>0,00</w:t>
            </w:r>
          </w:p>
        </w:tc>
        <w:tc>
          <w:tcPr>
            <w:tcW w:w="1701" w:type="dxa"/>
            <w:vAlign w:val="center"/>
          </w:tcPr>
          <w:p w14:paraId="185617CE" w14:textId="77777777" w:rsidR="00454A29" w:rsidRDefault="00454A29">
            <w:pPr>
              <w:pStyle w:val="ConsPlusNormal"/>
              <w:jc w:val="center"/>
            </w:pPr>
            <w:r>
              <w:t>0,00</w:t>
            </w:r>
          </w:p>
        </w:tc>
        <w:tc>
          <w:tcPr>
            <w:tcW w:w="1701" w:type="dxa"/>
            <w:vAlign w:val="center"/>
          </w:tcPr>
          <w:p w14:paraId="39DBF0D6" w14:textId="77777777" w:rsidR="00454A29" w:rsidRDefault="00454A29">
            <w:pPr>
              <w:pStyle w:val="ConsPlusNormal"/>
              <w:jc w:val="center"/>
            </w:pPr>
            <w:r>
              <w:t>0,00</w:t>
            </w:r>
          </w:p>
        </w:tc>
        <w:tc>
          <w:tcPr>
            <w:tcW w:w="1701" w:type="dxa"/>
            <w:vAlign w:val="center"/>
          </w:tcPr>
          <w:p w14:paraId="45B301A8" w14:textId="77777777" w:rsidR="00454A29" w:rsidRDefault="00454A29">
            <w:pPr>
              <w:pStyle w:val="ConsPlusNormal"/>
              <w:jc w:val="center"/>
            </w:pPr>
            <w:r>
              <w:t>0,00</w:t>
            </w:r>
          </w:p>
        </w:tc>
      </w:tr>
      <w:tr w:rsidR="00454A29" w14:paraId="50EF1904" w14:textId="77777777">
        <w:tc>
          <w:tcPr>
            <w:tcW w:w="964" w:type="dxa"/>
            <w:vMerge/>
          </w:tcPr>
          <w:p w14:paraId="3CD217B1" w14:textId="77777777" w:rsidR="00454A29" w:rsidRDefault="00454A29"/>
        </w:tc>
        <w:tc>
          <w:tcPr>
            <w:tcW w:w="2154" w:type="dxa"/>
            <w:vMerge/>
            <w:tcBorders>
              <w:top w:val="nil"/>
              <w:bottom w:val="nil"/>
            </w:tcBorders>
          </w:tcPr>
          <w:p w14:paraId="62E3C76D" w14:textId="77777777" w:rsidR="00454A29" w:rsidRDefault="00454A29"/>
        </w:tc>
        <w:tc>
          <w:tcPr>
            <w:tcW w:w="2154" w:type="dxa"/>
            <w:vMerge/>
            <w:tcBorders>
              <w:top w:val="nil"/>
              <w:bottom w:val="nil"/>
            </w:tcBorders>
          </w:tcPr>
          <w:p w14:paraId="5766908A" w14:textId="77777777" w:rsidR="00454A29" w:rsidRDefault="00454A29"/>
        </w:tc>
        <w:tc>
          <w:tcPr>
            <w:tcW w:w="2665" w:type="dxa"/>
            <w:vMerge/>
          </w:tcPr>
          <w:p w14:paraId="14C3E636" w14:textId="77777777" w:rsidR="00454A29" w:rsidRDefault="00454A29"/>
        </w:tc>
        <w:tc>
          <w:tcPr>
            <w:tcW w:w="2665" w:type="dxa"/>
            <w:vMerge/>
          </w:tcPr>
          <w:p w14:paraId="3A63648F" w14:textId="77777777" w:rsidR="00454A29" w:rsidRDefault="00454A29"/>
        </w:tc>
        <w:tc>
          <w:tcPr>
            <w:tcW w:w="1928" w:type="dxa"/>
            <w:vMerge/>
          </w:tcPr>
          <w:p w14:paraId="12158B9B" w14:textId="77777777" w:rsidR="00454A29" w:rsidRDefault="00454A29"/>
        </w:tc>
        <w:tc>
          <w:tcPr>
            <w:tcW w:w="1644" w:type="dxa"/>
            <w:vMerge/>
          </w:tcPr>
          <w:p w14:paraId="5F9981FD" w14:textId="77777777" w:rsidR="00454A29" w:rsidRDefault="00454A29"/>
        </w:tc>
        <w:tc>
          <w:tcPr>
            <w:tcW w:w="2041" w:type="dxa"/>
            <w:vMerge/>
          </w:tcPr>
          <w:p w14:paraId="1F1CA818" w14:textId="77777777" w:rsidR="00454A29" w:rsidRDefault="00454A29"/>
        </w:tc>
        <w:tc>
          <w:tcPr>
            <w:tcW w:w="2098" w:type="dxa"/>
            <w:vAlign w:val="center"/>
          </w:tcPr>
          <w:p w14:paraId="29696AC0" w14:textId="77777777" w:rsidR="00454A29" w:rsidRDefault="00454A29">
            <w:pPr>
              <w:pStyle w:val="ConsPlusNormal"/>
              <w:jc w:val="center"/>
            </w:pPr>
            <w:r>
              <w:t>Федеральный бюджет</w:t>
            </w:r>
          </w:p>
        </w:tc>
        <w:tc>
          <w:tcPr>
            <w:tcW w:w="1814" w:type="dxa"/>
            <w:vAlign w:val="center"/>
          </w:tcPr>
          <w:p w14:paraId="4C310CE9" w14:textId="77777777" w:rsidR="00454A29" w:rsidRDefault="00454A29">
            <w:pPr>
              <w:pStyle w:val="ConsPlusNormal"/>
              <w:jc w:val="center"/>
            </w:pPr>
            <w:r>
              <w:t>0,00</w:t>
            </w:r>
          </w:p>
        </w:tc>
        <w:tc>
          <w:tcPr>
            <w:tcW w:w="1701" w:type="dxa"/>
            <w:vAlign w:val="center"/>
          </w:tcPr>
          <w:p w14:paraId="10C91339" w14:textId="77777777" w:rsidR="00454A29" w:rsidRDefault="00454A29">
            <w:pPr>
              <w:pStyle w:val="ConsPlusNormal"/>
              <w:jc w:val="center"/>
            </w:pPr>
            <w:r>
              <w:t>0,00</w:t>
            </w:r>
          </w:p>
        </w:tc>
        <w:tc>
          <w:tcPr>
            <w:tcW w:w="1701" w:type="dxa"/>
            <w:vAlign w:val="center"/>
          </w:tcPr>
          <w:p w14:paraId="0CF33D9D" w14:textId="77777777" w:rsidR="00454A29" w:rsidRDefault="00454A29">
            <w:pPr>
              <w:pStyle w:val="ConsPlusNormal"/>
              <w:jc w:val="center"/>
            </w:pPr>
            <w:r>
              <w:t>0,00</w:t>
            </w:r>
          </w:p>
        </w:tc>
        <w:tc>
          <w:tcPr>
            <w:tcW w:w="1701" w:type="dxa"/>
            <w:vAlign w:val="center"/>
          </w:tcPr>
          <w:p w14:paraId="6A8F6395" w14:textId="77777777" w:rsidR="00454A29" w:rsidRDefault="00454A29">
            <w:pPr>
              <w:pStyle w:val="ConsPlusNormal"/>
              <w:jc w:val="center"/>
            </w:pPr>
            <w:r>
              <w:t>0,00</w:t>
            </w:r>
          </w:p>
        </w:tc>
        <w:tc>
          <w:tcPr>
            <w:tcW w:w="1701" w:type="dxa"/>
            <w:vAlign w:val="center"/>
          </w:tcPr>
          <w:p w14:paraId="19EC4A23" w14:textId="77777777" w:rsidR="00454A29" w:rsidRDefault="00454A29">
            <w:pPr>
              <w:pStyle w:val="ConsPlusNormal"/>
              <w:jc w:val="center"/>
            </w:pPr>
            <w:r>
              <w:t>0,00</w:t>
            </w:r>
          </w:p>
        </w:tc>
        <w:tc>
          <w:tcPr>
            <w:tcW w:w="1701" w:type="dxa"/>
            <w:vAlign w:val="center"/>
          </w:tcPr>
          <w:p w14:paraId="18E4CF9F" w14:textId="77777777" w:rsidR="00454A29" w:rsidRDefault="00454A29">
            <w:pPr>
              <w:pStyle w:val="ConsPlusNormal"/>
              <w:jc w:val="center"/>
            </w:pPr>
            <w:r>
              <w:t>0,00</w:t>
            </w:r>
          </w:p>
        </w:tc>
        <w:tc>
          <w:tcPr>
            <w:tcW w:w="1701" w:type="dxa"/>
            <w:vAlign w:val="center"/>
          </w:tcPr>
          <w:p w14:paraId="1CFDD55D" w14:textId="77777777" w:rsidR="00454A29" w:rsidRDefault="00454A29">
            <w:pPr>
              <w:pStyle w:val="ConsPlusNormal"/>
              <w:jc w:val="center"/>
            </w:pPr>
            <w:r>
              <w:t>0,00</w:t>
            </w:r>
          </w:p>
        </w:tc>
      </w:tr>
      <w:tr w:rsidR="00454A29" w14:paraId="553482FC" w14:textId="77777777">
        <w:tc>
          <w:tcPr>
            <w:tcW w:w="964" w:type="dxa"/>
            <w:vMerge/>
          </w:tcPr>
          <w:p w14:paraId="7F9F8C2F" w14:textId="77777777" w:rsidR="00454A29" w:rsidRDefault="00454A29"/>
        </w:tc>
        <w:tc>
          <w:tcPr>
            <w:tcW w:w="2154" w:type="dxa"/>
            <w:vMerge/>
            <w:tcBorders>
              <w:top w:val="nil"/>
              <w:bottom w:val="nil"/>
            </w:tcBorders>
          </w:tcPr>
          <w:p w14:paraId="26D1F032" w14:textId="77777777" w:rsidR="00454A29" w:rsidRDefault="00454A29"/>
        </w:tc>
        <w:tc>
          <w:tcPr>
            <w:tcW w:w="2154" w:type="dxa"/>
            <w:vMerge/>
            <w:tcBorders>
              <w:top w:val="nil"/>
              <w:bottom w:val="nil"/>
            </w:tcBorders>
          </w:tcPr>
          <w:p w14:paraId="5EF87139" w14:textId="77777777" w:rsidR="00454A29" w:rsidRDefault="00454A29"/>
        </w:tc>
        <w:tc>
          <w:tcPr>
            <w:tcW w:w="2665" w:type="dxa"/>
            <w:vMerge/>
          </w:tcPr>
          <w:p w14:paraId="7C1C8759" w14:textId="77777777" w:rsidR="00454A29" w:rsidRDefault="00454A29"/>
        </w:tc>
        <w:tc>
          <w:tcPr>
            <w:tcW w:w="2665" w:type="dxa"/>
            <w:vMerge/>
          </w:tcPr>
          <w:p w14:paraId="6D8153E5" w14:textId="77777777" w:rsidR="00454A29" w:rsidRDefault="00454A29"/>
        </w:tc>
        <w:tc>
          <w:tcPr>
            <w:tcW w:w="1928" w:type="dxa"/>
            <w:vMerge/>
          </w:tcPr>
          <w:p w14:paraId="157C6E0E" w14:textId="77777777" w:rsidR="00454A29" w:rsidRDefault="00454A29"/>
        </w:tc>
        <w:tc>
          <w:tcPr>
            <w:tcW w:w="1644" w:type="dxa"/>
            <w:vMerge/>
          </w:tcPr>
          <w:p w14:paraId="6196DE49" w14:textId="77777777" w:rsidR="00454A29" w:rsidRDefault="00454A29"/>
        </w:tc>
        <w:tc>
          <w:tcPr>
            <w:tcW w:w="2041" w:type="dxa"/>
            <w:vMerge/>
          </w:tcPr>
          <w:p w14:paraId="73DA7022" w14:textId="77777777" w:rsidR="00454A29" w:rsidRDefault="00454A29"/>
        </w:tc>
        <w:tc>
          <w:tcPr>
            <w:tcW w:w="2098" w:type="dxa"/>
            <w:vAlign w:val="center"/>
          </w:tcPr>
          <w:p w14:paraId="1E0CAB7C" w14:textId="77777777" w:rsidR="00454A29" w:rsidRDefault="00454A29">
            <w:pPr>
              <w:pStyle w:val="ConsPlusNormal"/>
              <w:jc w:val="center"/>
            </w:pPr>
            <w:r>
              <w:t>Местные бюджеты</w:t>
            </w:r>
          </w:p>
        </w:tc>
        <w:tc>
          <w:tcPr>
            <w:tcW w:w="1814" w:type="dxa"/>
            <w:vAlign w:val="center"/>
          </w:tcPr>
          <w:p w14:paraId="671B7382" w14:textId="77777777" w:rsidR="00454A29" w:rsidRDefault="00454A29">
            <w:pPr>
              <w:pStyle w:val="ConsPlusNormal"/>
              <w:jc w:val="center"/>
            </w:pPr>
            <w:r>
              <w:t>0,00</w:t>
            </w:r>
          </w:p>
        </w:tc>
        <w:tc>
          <w:tcPr>
            <w:tcW w:w="1701" w:type="dxa"/>
            <w:vAlign w:val="center"/>
          </w:tcPr>
          <w:p w14:paraId="232B3CA9" w14:textId="77777777" w:rsidR="00454A29" w:rsidRDefault="00454A29">
            <w:pPr>
              <w:pStyle w:val="ConsPlusNormal"/>
              <w:jc w:val="center"/>
            </w:pPr>
            <w:r>
              <w:t>0,00</w:t>
            </w:r>
          </w:p>
        </w:tc>
        <w:tc>
          <w:tcPr>
            <w:tcW w:w="1701" w:type="dxa"/>
            <w:vAlign w:val="center"/>
          </w:tcPr>
          <w:p w14:paraId="4CC2F197" w14:textId="77777777" w:rsidR="00454A29" w:rsidRDefault="00454A29">
            <w:pPr>
              <w:pStyle w:val="ConsPlusNormal"/>
              <w:jc w:val="center"/>
            </w:pPr>
            <w:r>
              <w:t>0,00</w:t>
            </w:r>
          </w:p>
        </w:tc>
        <w:tc>
          <w:tcPr>
            <w:tcW w:w="1701" w:type="dxa"/>
            <w:vAlign w:val="center"/>
          </w:tcPr>
          <w:p w14:paraId="6DBB11A8" w14:textId="77777777" w:rsidR="00454A29" w:rsidRDefault="00454A29">
            <w:pPr>
              <w:pStyle w:val="ConsPlusNormal"/>
              <w:jc w:val="center"/>
            </w:pPr>
            <w:r>
              <w:t>0,00</w:t>
            </w:r>
          </w:p>
        </w:tc>
        <w:tc>
          <w:tcPr>
            <w:tcW w:w="1701" w:type="dxa"/>
            <w:vAlign w:val="center"/>
          </w:tcPr>
          <w:p w14:paraId="3CA15823" w14:textId="77777777" w:rsidR="00454A29" w:rsidRDefault="00454A29">
            <w:pPr>
              <w:pStyle w:val="ConsPlusNormal"/>
              <w:jc w:val="center"/>
            </w:pPr>
            <w:r>
              <w:t>0,00</w:t>
            </w:r>
          </w:p>
        </w:tc>
        <w:tc>
          <w:tcPr>
            <w:tcW w:w="1701" w:type="dxa"/>
            <w:vAlign w:val="center"/>
          </w:tcPr>
          <w:p w14:paraId="14BF052B" w14:textId="77777777" w:rsidR="00454A29" w:rsidRDefault="00454A29">
            <w:pPr>
              <w:pStyle w:val="ConsPlusNormal"/>
              <w:jc w:val="center"/>
            </w:pPr>
            <w:r>
              <w:t>0,00</w:t>
            </w:r>
          </w:p>
        </w:tc>
        <w:tc>
          <w:tcPr>
            <w:tcW w:w="1701" w:type="dxa"/>
            <w:vAlign w:val="center"/>
          </w:tcPr>
          <w:p w14:paraId="7F35FCE9" w14:textId="77777777" w:rsidR="00454A29" w:rsidRDefault="00454A29">
            <w:pPr>
              <w:pStyle w:val="ConsPlusNormal"/>
              <w:jc w:val="center"/>
            </w:pPr>
            <w:r>
              <w:t>0,00</w:t>
            </w:r>
          </w:p>
        </w:tc>
      </w:tr>
      <w:tr w:rsidR="00454A29" w14:paraId="50107A41" w14:textId="77777777">
        <w:tc>
          <w:tcPr>
            <w:tcW w:w="964" w:type="dxa"/>
            <w:vMerge/>
          </w:tcPr>
          <w:p w14:paraId="5A91DFA0" w14:textId="77777777" w:rsidR="00454A29" w:rsidRDefault="00454A29"/>
        </w:tc>
        <w:tc>
          <w:tcPr>
            <w:tcW w:w="2154" w:type="dxa"/>
            <w:vMerge/>
            <w:tcBorders>
              <w:top w:val="nil"/>
              <w:bottom w:val="nil"/>
            </w:tcBorders>
          </w:tcPr>
          <w:p w14:paraId="293CF46A" w14:textId="77777777" w:rsidR="00454A29" w:rsidRDefault="00454A29"/>
        </w:tc>
        <w:tc>
          <w:tcPr>
            <w:tcW w:w="2154" w:type="dxa"/>
            <w:vMerge/>
            <w:tcBorders>
              <w:top w:val="nil"/>
              <w:bottom w:val="nil"/>
            </w:tcBorders>
          </w:tcPr>
          <w:p w14:paraId="22794094" w14:textId="77777777" w:rsidR="00454A29" w:rsidRDefault="00454A29"/>
        </w:tc>
        <w:tc>
          <w:tcPr>
            <w:tcW w:w="2665" w:type="dxa"/>
            <w:vMerge/>
          </w:tcPr>
          <w:p w14:paraId="20AF3ED7" w14:textId="77777777" w:rsidR="00454A29" w:rsidRDefault="00454A29"/>
        </w:tc>
        <w:tc>
          <w:tcPr>
            <w:tcW w:w="2665" w:type="dxa"/>
            <w:vMerge/>
          </w:tcPr>
          <w:p w14:paraId="7E0A861C" w14:textId="77777777" w:rsidR="00454A29" w:rsidRDefault="00454A29"/>
        </w:tc>
        <w:tc>
          <w:tcPr>
            <w:tcW w:w="1928" w:type="dxa"/>
            <w:vMerge/>
          </w:tcPr>
          <w:p w14:paraId="74C7CF5D" w14:textId="77777777" w:rsidR="00454A29" w:rsidRDefault="00454A29"/>
        </w:tc>
        <w:tc>
          <w:tcPr>
            <w:tcW w:w="1644" w:type="dxa"/>
            <w:vMerge/>
          </w:tcPr>
          <w:p w14:paraId="306B11E8" w14:textId="77777777" w:rsidR="00454A29" w:rsidRDefault="00454A29"/>
        </w:tc>
        <w:tc>
          <w:tcPr>
            <w:tcW w:w="2041" w:type="dxa"/>
            <w:vMerge/>
          </w:tcPr>
          <w:p w14:paraId="169AB325" w14:textId="77777777" w:rsidR="00454A29" w:rsidRDefault="00454A29"/>
        </w:tc>
        <w:tc>
          <w:tcPr>
            <w:tcW w:w="2098" w:type="dxa"/>
            <w:vAlign w:val="center"/>
          </w:tcPr>
          <w:p w14:paraId="47D75F51" w14:textId="77777777" w:rsidR="00454A29" w:rsidRDefault="00454A29">
            <w:pPr>
              <w:pStyle w:val="ConsPlusNormal"/>
              <w:jc w:val="center"/>
            </w:pPr>
            <w:r>
              <w:t>Внебюджетные средства</w:t>
            </w:r>
          </w:p>
        </w:tc>
        <w:tc>
          <w:tcPr>
            <w:tcW w:w="1814" w:type="dxa"/>
            <w:vAlign w:val="center"/>
          </w:tcPr>
          <w:p w14:paraId="2C708E34" w14:textId="77777777" w:rsidR="00454A29" w:rsidRDefault="00454A29">
            <w:pPr>
              <w:pStyle w:val="ConsPlusNormal"/>
              <w:jc w:val="center"/>
            </w:pPr>
            <w:r>
              <w:t>0,00</w:t>
            </w:r>
          </w:p>
        </w:tc>
        <w:tc>
          <w:tcPr>
            <w:tcW w:w="1701" w:type="dxa"/>
            <w:vAlign w:val="center"/>
          </w:tcPr>
          <w:p w14:paraId="750C2A51" w14:textId="77777777" w:rsidR="00454A29" w:rsidRDefault="00454A29">
            <w:pPr>
              <w:pStyle w:val="ConsPlusNormal"/>
              <w:jc w:val="center"/>
            </w:pPr>
            <w:r>
              <w:t>0,00</w:t>
            </w:r>
          </w:p>
        </w:tc>
        <w:tc>
          <w:tcPr>
            <w:tcW w:w="1701" w:type="dxa"/>
            <w:vAlign w:val="center"/>
          </w:tcPr>
          <w:p w14:paraId="6EC065ED" w14:textId="77777777" w:rsidR="00454A29" w:rsidRDefault="00454A29">
            <w:pPr>
              <w:pStyle w:val="ConsPlusNormal"/>
              <w:jc w:val="center"/>
            </w:pPr>
            <w:r>
              <w:t>0,00</w:t>
            </w:r>
          </w:p>
        </w:tc>
        <w:tc>
          <w:tcPr>
            <w:tcW w:w="1701" w:type="dxa"/>
            <w:vAlign w:val="center"/>
          </w:tcPr>
          <w:p w14:paraId="661322B7" w14:textId="77777777" w:rsidR="00454A29" w:rsidRDefault="00454A29">
            <w:pPr>
              <w:pStyle w:val="ConsPlusNormal"/>
              <w:jc w:val="center"/>
            </w:pPr>
            <w:r>
              <w:t>0,00</w:t>
            </w:r>
          </w:p>
        </w:tc>
        <w:tc>
          <w:tcPr>
            <w:tcW w:w="1701" w:type="dxa"/>
            <w:vAlign w:val="center"/>
          </w:tcPr>
          <w:p w14:paraId="0727BCCC" w14:textId="77777777" w:rsidR="00454A29" w:rsidRDefault="00454A29">
            <w:pPr>
              <w:pStyle w:val="ConsPlusNormal"/>
              <w:jc w:val="center"/>
            </w:pPr>
            <w:r>
              <w:t>0,00</w:t>
            </w:r>
          </w:p>
        </w:tc>
        <w:tc>
          <w:tcPr>
            <w:tcW w:w="1701" w:type="dxa"/>
            <w:vAlign w:val="center"/>
          </w:tcPr>
          <w:p w14:paraId="1A828A52" w14:textId="77777777" w:rsidR="00454A29" w:rsidRDefault="00454A29">
            <w:pPr>
              <w:pStyle w:val="ConsPlusNormal"/>
              <w:jc w:val="center"/>
            </w:pPr>
            <w:r>
              <w:t>0,00</w:t>
            </w:r>
          </w:p>
        </w:tc>
        <w:tc>
          <w:tcPr>
            <w:tcW w:w="1701" w:type="dxa"/>
            <w:vAlign w:val="center"/>
          </w:tcPr>
          <w:p w14:paraId="1D0125B6" w14:textId="77777777" w:rsidR="00454A29" w:rsidRDefault="00454A29">
            <w:pPr>
              <w:pStyle w:val="ConsPlusNormal"/>
              <w:jc w:val="center"/>
            </w:pPr>
            <w:r>
              <w:t>0,00</w:t>
            </w:r>
          </w:p>
        </w:tc>
      </w:tr>
      <w:tr w:rsidR="00454A29" w14:paraId="3D0AF377" w14:textId="77777777">
        <w:tc>
          <w:tcPr>
            <w:tcW w:w="964" w:type="dxa"/>
            <w:vMerge w:val="restart"/>
            <w:vAlign w:val="center"/>
          </w:tcPr>
          <w:p w14:paraId="232EDFDD" w14:textId="77777777" w:rsidR="00454A29" w:rsidRDefault="00454A29">
            <w:pPr>
              <w:pStyle w:val="ConsPlusNormal"/>
              <w:jc w:val="center"/>
            </w:pPr>
            <w:r>
              <w:t>3.6.</w:t>
            </w:r>
          </w:p>
        </w:tc>
        <w:tc>
          <w:tcPr>
            <w:tcW w:w="2154" w:type="dxa"/>
            <w:vMerge w:val="restart"/>
            <w:tcBorders>
              <w:top w:val="nil"/>
              <w:bottom w:val="nil"/>
            </w:tcBorders>
            <w:vAlign w:val="center"/>
          </w:tcPr>
          <w:p w14:paraId="584EE95D" w14:textId="77777777" w:rsidR="00454A29" w:rsidRDefault="00454A29">
            <w:pPr>
              <w:pStyle w:val="ConsPlusNormal"/>
            </w:pPr>
          </w:p>
        </w:tc>
        <w:tc>
          <w:tcPr>
            <w:tcW w:w="2154" w:type="dxa"/>
            <w:vMerge w:val="restart"/>
            <w:tcBorders>
              <w:top w:val="nil"/>
              <w:bottom w:val="nil"/>
            </w:tcBorders>
            <w:vAlign w:val="center"/>
          </w:tcPr>
          <w:p w14:paraId="665B8AF2" w14:textId="77777777" w:rsidR="00454A29" w:rsidRDefault="00454A29">
            <w:pPr>
              <w:pStyle w:val="ConsPlusNormal"/>
            </w:pPr>
          </w:p>
        </w:tc>
        <w:tc>
          <w:tcPr>
            <w:tcW w:w="2665" w:type="dxa"/>
            <w:vMerge w:val="restart"/>
            <w:vAlign w:val="center"/>
          </w:tcPr>
          <w:p w14:paraId="60EE50E9" w14:textId="77777777" w:rsidR="00454A29" w:rsidRDefault="00454A29">
            <w:pPr>
              <w:pStyle w:val="ConsPlusNormal"/>
              <w:jc w:val="center"/>
            </w:pPr>
            <w:r>
              <w:t>Результат 6. Работники, привлекаемые к осуществлению образовательной деятельности, прошли повышение квалификации с целью повышения их компетенций в области современных технологий</w:t>
            </w:r>
          </w:p>
        </w:tc>
        <w:tc>
          <w:tcPr>
            <w:tcW w:w="2665" w:type="dxa"/>
            <w:vMerge w:val="restart"/>
            <w:vAlign w:val="center"/>
          </w:tcPr>
          <w:p w14:paraId="31A2E32C" w14:textId="77777777" w:rsidR="00454A29" w:rsidRDefault="00454A29">
            <w:pPr>
              <w:pStyle w:val="ConsPlusNormal"/>
              <w:jc w:val="center"/>
            </w:pPr>
            <w:r>
              <w:t xml:space="preserve">Мероприятие 3.6.6. Повышение квалификации работников, привлекаемых к осуществлению образовательной деятельности с целью повышения их компетенций в области современных технологий. Реализация программ профессиональной переподготовки руководителей образовательных организаций и органов исполнительной власти,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w:t>
            </w:r>
            <w:r>
              <w:lastRenderedPageBreak/>
              <w:t>образовательной среды</w:t>
            </w:r>
          </w:p>
        </w:tc>
        <w:tc>
          <w:tcPr>
            <w:tcW w:w="1928" w:type="dxa"/>
            <w:vMerge w:val="restart"/>
            <w:vAlign w:val="center"/>
          </w:tcPr>
          <w:p w14:paraId="50F1D15F" w14:textId="77777777" w:rsidR="00454A29" w:rsidRDefault="00454A29">
            <w:pPr>
              <w:pStyle w:val="ConsPlusNormal"/>
              <w:jc w:val="center"/>
            </w:pPr>
            <w:r>
              <w:lastRenderedPageBreak/>
              <w:t>-</w:t>
            </w:r>
          </w:p>
        </w:tc>
        <w:tc>
          <w:tcPr>
            <w:tcW w:w="1644" w:type="dxa"/>
            <w:vMerge w:val="restart"/>
            <w:vAlign w:val="center"/>
          </w:tcPr>
          <w:p w14:paraId="67FA00CD" w14:textId="77777777" w:rsidR="00454A29" w:rsidRDefault="00454A29">
            <w:pPr>
              <w:pStyle w:val="ConsPlusNormal"/>
              <w:jc w:val="center"/>
            </w:pPr>
            <w:r>
              <w:t>-</w:t>
            </w:r>
          </w:p>
        </w:tc>
        <w:tc>
          <w:tcPr>
            <w:tcW w:w="2041" w:type="dxa"/>
            <w:vMerge w:val="restart"/>
            <w:vAlign w:val="center"/>
          </w:tcPr>
          <w:p w14:paraId="7CFDA9C3" w14:textId="77777777" w:rsidR="00454A29" w:rsidRDefault="00454A29">
            <w:pPr>
              <w:pStyle w:val="ConsPlusNormal"/>
              <w:jc w:val="center"/>
            </w:pPr>
            <w:r>
              <w:t>-</w:t>
            </w:r>
          </w:p>
        </w:tc>
        <w:tc>
          <w:tcPr>
            <w:tcW w:w="2098" w:type="dxa"/>
            <w:vAlign w:val="center"/>
          </w:tcPr>
          <w:p w14:paraId="2A669042" w14:textId="77777777" w:rsidR="00454A29" w:rsidRDefault="00454A29">
            <w:pPr>
              <w:pStyle w:val="ConsPlusNormal"/>
              <w:jc w:val="center"/>
            </w:pPr>
            <w:r>
              <w:t>Итого</w:t>
            </w:r>
          </w:p>
        </w:tc>
        <w:tc>
          <w:tcPr>
            <w:tcW w:w="1814" w:type="dxa"/>
            <w:vAlign w:val="center"/>
          </w:tcPr>
          <w:p w14:paraId="3BB8F58A" w14:textId="77777777" w:rsidR="00454A29" w:rsidRDefault="00454A29">
            <w:pPr>
              <w:pStyle w:val="ConsPlusNormal"/>
              <w:jc w:val="center"/>
            </w:pPr>
            <w:r>
              <w:t>0,00</w:t>
            </w:r>
          </w:p>
        </w:tc>
        <w:tc>
          <w:tcPr>
            <w:tcW w:w="1701" w:type="dxa"/>
            <w:vAlign w:val="center"/>
          </w:tcPr>
          <w:p w14:paraId="41B08680" w14:textId="77777777" w:rsidR="00454A29" w:rsidRDefault="00454A29">
            <w:pPr>
              <w:pStyle w:val="ConsPlusNormal"/>
              <w:jc w:val="center"/>
            </w:pPr>
            <w:r>
              <w:t>0,00</w:t>
            </w:r>
          </w:p>
        </w:tc>
        <w:tc>
          <w:tcPr>
            <w:tcW w:w="1701" w:type="dxa"/>
            <w:vAlign w:val="center"/>
          </w:tcPr>
          <w:p w14:paraId="2C24AE66" w14:textId="77777777" w:rsidR="00454A29" w:rsidRDefault="00454A29">
            <w:pPr>
              <w:pStyle w:val="ConsPlusNormal"/>
              <w:jc w:val="center"/>
            </w:pPr>
            <w:r>
              <w:t>0,00</w:t>
            </w:r>
          </w:p>
        </w:tc>
        <w:tc>
          <w:tcPr>
            <w:tcW w:w="1701" w:type="dxa"/>
            <w:vAlign w:val="center"/>
          </w:tcPr>
          <w:p w14:paraId="164346FD" w14:textId="77777777" w:rsidR="00454A29" w:rsidRDefault="00454A29">
            <w:pPr>
              <w:pStyle w:val="ConsPlusNormal"/>
              <w:jc w:val="center"/>
            </w:pPr>
            <w:r>
              <w:t>0,00</w:t>
            </w:r>
          </w:p>
        </w:tc>
        <w:tc>
          <w:tcPr>
            <w:tcW w:w="1701" w:type="dxa"/>
            <w:vAlign w:val="center"/>
          </w:tcPr>
          <w:p w14:paraId="2E0719C6" w14:textId="77777777" w:rsidR="00454A29" w:rsidRDefault="00454A29">
            <w:pPr>
              <w:pStyle w:val="ConsPlusNormal"/>
              <w:jc w:val="center"/>
            </w:pPr>
            <w:r>
              <w:t>0,00</w:t>
            </w:r>
          </w:p>
        </w:tc>
        <w:tc>
          <w:tcPr>
            <w:tcW w:w="1701" w:type="dxa"/>
            <w:vAlign w:val="center"/>
          </w:tcPr>
          <w:p w14:paraId="61748DCE" w14:textId="77777777" w:rsidR="00454A29" w:rsidRDefault="00454A29">
            <w:pPr>
              <w:pStyle w:val="ConsPlusNormal"/>
              <w:jc w:val="center"/>
            </w:pPr>
            <w:r>
              <w:t>0,00</w:t>
            </w:r>
          </w:p>
        </w:tc>
        <w:tc>
          <w:tcPr>
            <w:tcW w:w="1701" w:type="dxa"/>
            <w:vAlign w:val="center"/>
          </w:tcPr>
          <w:p w14:paraId="4F70FF9C" w14:textId="77777777" w:rsidR="00454A29" w:rsidRDefault="00454A29">
            <w:pPr>
              <w:pStyle w:val="ConsPlusNormal"/>
              <w:jc w:val="center"/>
            </w:pPr>
            <w:r>
              <w:t>0,00</w:t>
            </w:r>
          </w:p>
        </w:tc>
      </w:tr>
      <w:tr w:rsidR="00454A29" w14:paraId="0B2EB94D" w14:textId="77777777">
        <w:tc>
          <w:tcPr>
            <w:tcW w:w="964" w:type="dxa"/>
            <w:vMerge/>
          </w:tcPr>
          <w:p w14:paraId="682AF65E" w14:textId="77777777" w:rsidR="00454A29" w:rsidRDefault="00454A29"/>
        </w:tc>
        <w:tc>
          <w:tcPr>
            <w:tcW w:w="2154" w:type="dxa"/>
            <w:vMerge/>
            <w:tcBorders>
              <w:top w:val="nil"/>
              <w:bottom w:val="nil"/>
            </w:tcBorders>
          </w:tcPr>
          <w:p w14:paraId="533A61B1" w14:textId="77777777" w:rsidR="00454A29" w:rsidRDefault="00454A29"/>
        </w:tc>
        <w:tc>
          <w:tcPr>
            <w:tcW w:w="2154" w:type="dxa"/>
            <w:vMerge/>
            <w:tcBorders>
              <w:top w:val="nil"/>
              <w:bottom w:val="nil"/>
            </w:tcBorders>
          </w:tcPr>
          <w:p w14:paraId="01C2B293" w14:textId="77777777" w:rsidR="00454A29" w:rsidRDefault="00454A29"/>
        </w:tc>
        <w:tc>
          <w:tcPr>
            <w:tcW w:w="2665" w:type="dxa"/>
            <w:vMerge/>
          </w:tcPr>
          <w:p w14:paraId="25495AC4" w14:textId="77777777" w:rsidR="00454A29" w:rsidRDefault="00454A29"/>
        </w:tc>
        <w:tc>
          <w:tcPr>
            <w:tcW w:w="2665" w:type="dxa"/>
            <w:vMerge/>
          </w:tcPr>
          <w:p w14:paraId="0A2BCEE0" w14:textId="77777777" w:rsidR="00454A29" w:rsidRDefault="00454A29"/>
        </w:tc>
        <w:tc>
          <w:tcPr>
            <w:tcW w:w="1928" w:type="dxa"/>
            <w:vMerge/>
          </w:tcPr>
          <w:p w14:paraId="4DAC1E4C" w14:textId="77777777" w:rsidR="00454A29" w:rsidRDefault="00454A29"/>
        </w:tc>
        <w:tc>
          <w:tcPr>
            <w:tcW w:w="1644" w:type="dxa"/>
            <w:vMerge/>
          </w:tcPr>
          <w:p w14:paraId="5F1328EB" w14:textId="77777777" w:rsidR="00454A29" w:rsidRDefault="00454A29"/>
        </w:tc>
        <w:tc>
          <w:tcPr>
            <w:tcW w:w="2041" w:type="dxa"/>
            <w:vMerge/>
          </w:tcPr>
          <w:p w14:paraId="7D159B01" w14:textId="77777777" w:rsidR="00454A29" w:rsidRDefault="00454A29"/>
        </w:tc>
        <w:tc>
          <w:tcPr>
            <w:tcW w:w="2098" w:type="dxa"/>
            <w:vAlign w:val="center"/>
          </w:tcPr>
          <w:p w14:paraId="40E87B2F"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1CAA3CD" w14:textId="77777777" w:rsidR="00454A29" w:rsidRDefault="00454A29">
            <w:pPr>
              <w:pStyle w:val="ConsPlusNormal"/>
              <w:jc w:val="center"/>
            </w:pPr>
            <w:r>
              <w:t>0,00</w:t>
            </w:r>
          </w:p>
        </w:tc>
        <w:tc>
          <w:tcPr>
            <w:tcW w:w="1701" w:type="dxa"/>
            <w:vAlign w:val="center"/>
          </w:tcPr>
          <w:p w14:paraId="45FAAE43" w14:textId="77777777" w:rsidR="00454A29" w:rsidRDefault="00454A29">
            <w:pPr>
              <w:pStyle w:val="ConsPlusNormal"/>
              <w:jc w:val="center"/>
            </w:pPr>
            <w:r>
              <w:t>0,00</w:t>
            </w:r>
          </w:p>
        </w:tc>
        <w:tc>
          <w:tcPr>
            <w:tcW w:w="1701" w:type="dxa"/>
            <w:vAlign w:val="center"/>
          </w:tcPr>
          <w:p w14:paraId="3CFC226C" w14:textId="77777777" w:rsidR="00454A29" w:rsidRDefault="00454A29">
            <w:pPr>
              <w:pStyle w:val="ConsPlusNormal"/>
              <w:jc w:val="center"/>
            </w:pPr>
            <w:r>
              <w:t>0,00</w:t>
            </w:r>
          </w:p>
        </w:tc>
        <w:tc>
          <w:tcPr>
            <w:tcW w:w="1701" w:type="dxa"/>
            <w:vAlign w:val="center"/>
          </w:tcPr>
          <w:p w14:paraId="2FC15A29" w14:textId="77777777" w:rsidR="00454A29" w:rsidRDefault="00454A29">
            <w:pPr>
              <w:pStyle w:val="ConsPlusNormal"/>
              <w:jc w:val="center"/>
            </w:pPr>
            <w:r>
              <w:t>0,00</w:t>
            </w:r>
          </w:p>
        </w:tc>
        <w:tc>
          <w:tcPr>
            <w:tcW w:w="1701" w:type="dxa"/>
            <w:vAlign w:val="center"/>
          </w:tcPr>
          <w:p w14:paraId="27AC90F7" w14:textId="77777777" w:rsidR="00454A29" w:rsidRDefault="00454A29">
            <w:pPr>
              <w:pStyle w:val="ConsPlusNormal"/>
              <w:jc w:val="center"/>
            </w:pPr>
            <w:r>
              <w:t>0,00</w:t>
            </w:r>
          </w:p>
        </w:tc>
        <w:tc>
          <w:tcPr>
            <w:tcW w:w="1701" w:type="dxa"/>
            <w:vAlign w:val="center"/>
          </w:tcPr>
          <w:p w14:paraId="224224CE" w14:textId="77777777" w:rsidR="00454A29" w:rsidRDefault="00454A29">
            <w:pPr>
              <w:pStyle w:val="ConsPlusNormal"/>
              <w:jc w:val="center"/>
            </w:pPr>
            <w:r>
              <w:t>0,00</w:t>
            </w:r>
          </w:p>
        </w:tc>
        <w:tc>
          <w:tcPr>
            <w:tcW w:w="1701" w:type="dxa"/>
            <w:vAlign w:val="center"/>
          </w:tcPr>
          <w:p w14:paraId="5E8ABAD7" w14:textId="77777777" w:rsidR="00454A29" w:rsidRDefault="00454A29">
            <w:pPr>
              <w:pStyle w:val="ConsPlusNormal"/>
              <w:jc w:val="center"/>
            </w:pPr>
            <w:r>
              <w:t>0,00</w:t>
            </w:r>
          </w:p>
        </w:tc>
      </w:tr>
      <w:tr w:rsidR="00454A29" w14:paraId="35A14045" w14:textId="77777777">
        <w:tc>
          <w:tcPr>
            <w:tcW w:w="964" w:type="dxa"/>
            <w:vMerge/>
          </w:tcPr>
          <w:p w14:paraId="1A8787BB" w14:textId="77777777" w:rsidR="00454A29" w:rsidRDefault="00454A29"/>
        </w:tc>
        <w:tc>
          <w:tcPr>
            <w:tcW w:w="2154" w:type="dxa"/>
            <w:vMerge/>
            <w:tcBorders>
              <w:top w:val="nil"/>
              <w:bottom w:val="nil"/>
            </w:tcBorders>
          </w:tcPr>
          <w:p w14:paraId="5C6ED2B8" w14:textId="77777777" w:rsidR="00454A29" w:rsidRDefault="00454A29"/>
        </w:tc>
        <w:tc>
          <w:tcPr>
            <w:tcW w:w="2154" w:type="dxa"/>
            <w:vMerge/>
            <w:tcBorders>
              <w:top w:val="nil"/>
              <w:bottom w:val="nil"/>
            </w:tcBorders>
          </w:tcPr>
          <w:p w14:paraId="2296C91E" w14:textId="77777777" w:rsidR="00454A29" w:rsidRDefault="00454A29"/>
        </w:tc>
        <w:tc>
          <w:tcPr>
            <w:tcW w:w="2665" w:type="dxa"/>
            <w:vMerge/>
          </w:tcPr>
          <w:p w14:paraId="0DAE496F" w14:textId="77777777" w:rsidR="00454A29" w:rsidRDefault="00454A29"/>
        </w:tc>
        <w:tc>
          <w:tcPr>
            <w:tcW w:w="2665" w:type="dxa"/>
            <w:vMerge/>
          </w:tcPr>
          <w:p w14:paraId="7243F060" w14:textId="77777777" w:rsidR="00454A29" w:rsidRDefault="00454A29"/>
        </w:tc>
        <w:tc>
          <w:tcPr>
            <w:tcW w:w="1928" w:type="dxa"/>
            <w:vMerge/>
          </w:tcPr>
          <w:p w14:paraId="336996E6" w14:textId="77777777" w:rsidR="00454A29" w:rsidRDefault="00454A29"/>
        </w:tc>
        <w:tc>
          <w:tcPr>
            <w:tcW w:w="1644" w:type="dxa"/>
            <w:vMerge/>
          </w:tcPr>
          <w:p w14:paraId="74CED17D" w14:textId="77777777" w:rsidR="00454A29" w:rsidRDefault="00454A29"/>
        </w:tc>
        <w:tc>
          <w:tcPr>
            <w:tcW w:w="2041" w:type="dxa"/>
            <w:vMerge/>
          </w:tcPr>
          <w:p w14:paraId="3D47A3BE" w14:textId="77777777" w:rsidR="00454A29" w:rsidRDefault="00454A29"/>
        </w:tc>
        <w:tc>
          <w:tcPr>
            <w:tcW w:w="2098" w:type="dxa"/>
            <w:vAlign w:val="center"/>
          </w:tcPr>
          <w:p w14:paraId="00618944" w14:textId="77777777" w:rsidR="00454A29" w:rsidRDefault="00454A29">
            <w:pPr>
              <w:pStyle w:val="ConsPlusNormal"/>
              <w:jc w:val="center"/>
            </w:pPr>
            <w:r>
              <w:t>Федеральный бюджет</w:t>
            </w:r>
          </w:p>
        </w:tc>
        <w:tc>
          <w:tcPr>
            <w:tcW w:w="1814" w:type="dxa"/>
            <w:vAlign w:val="center"/>
          </w:tcPr>
          <w:p w14:paraId="38DBB5FE" w14:textId="77777777" w:rsidR="00454A29" w:rsidRDefault="00454A29">
            <w:pPr>
              <w:pStyle w:val="ConsPlusNormal"/>
              <w:jc w:val="center"/>
            </w:pPr>
            <w:r>
              <w:t>0,00</w:t>
            </w:r>
          </w:p>
        </w:tc>
        <w:tc>
          <w:tcPr>
            <w:tcW w:w="1701" w:type="dxa"/>
            <w:vAlign w:val="center"/>
          </w:tcPr>
          <w:p w14:paraId="5FE1A545" w14:textId="77777777" w:rsidR="00454A29" w:rsidRDefault="00454A29">
            <w:pPr>
              <w:pStyle w:val="ConsPlusNormal"/>
              <w:jc w:val="center"/>
            </w:pPr>
            <w:r>
              <w:t>0,00</w:t>
            </w:r>
          </w:p>
        </w:tc>
        <w:tc>
          <w:tcPr>
            <w:tcW w:w="1701" w:type="dxa"/>
            <w:vAlign w:val="center"/>
          </w:tcPr>
          <w:p w14:paraId="6E8E21AE" w14:textId="77777777" w:rsidR="00454A29" w:rsidRDefault="00454A29">
            <w:pPr>
              <w:pStyle w:val="ConsPlusNormal"/>
              <w:jc w:val="center"/>
            </w:pPr>
            <w:r>
              <w:t>0,00</w:t>
            </w:r>
          </w:p>
        </w:tc>
        <w:tc>
          <w:tcPr>
            <w:tcW w:w="1701" w:type="dxa"/>
            <w:vAlign w:val="center"/>
          </w:tcPr>
          <w:p w14:paraId="5DAEF357" w14:textId="77777777" w:rsidR="00454A29" w:rsidRDefault="00454A29">
            <w:pPr>
              <w:pStyle w:val="ConsPlusNormal"/>
              <w:jc w:val="center"/>
            </w:pPr>
            <w:r>
              <w:t>0,00</w:t>
            </w:r>
          </w:p>
        </w:tc>
        <w:tc>
          <w:tcPr>
            <w:tcW w:w="1701" w:type="dxa"/>
            <w:vAlign w:val="center"/>
          </w:tcPr>
          <w:p w14:paraId="1BBA3670" w14:textId="77777777" w:rsidR="00454A29" w:rsidRDefault="00454A29">
            <w:pPr>
              <w:pStyle w:val="ConsPlusNormal"/>
              <w:jc w:val="center"/>
            </w:pPr>
            <w:r>
              <w:t>0,00</w:t>
            </w:r>
          </w:p>
        </w:tc>
        <w:tc>
          <w:tcPr>
            <w:tcW w:w="1701" w:type="dxa"/>
            <w:vAlign w:val="center"/>
          </w:tcPr>
          <w:p w14:paraId="51C71465" w14:textId="77777777" w:rsidR="00454A29" w:rsidRDefault="00454A29">
            <w:pPr>
              <w:pStyle w:val="ConsPlusNormal"/>
              <w:jc w:val="center"/>
            </w:pPr>
            <w:r>
              <w:t>0,00</w:t>
            </w:r>
          </w:p>
        </w:tc>
        <w:tc>
          <w:tcPr>
            <w:tcW w:w="1701" w:type="dxa"/>
            <w:vAlign w:val="center"/>
          </w:tcPr>
          <w:p w14:paraId="5D6638E3" w14:textId="77777777" w:rsidR="00454A29" w:rsidRDefault="00454A29">
            <w:pPr>
              <w:pStyle w:val="ConsPlusNormal"/>
              <w:jc w:val="center"/>
            </w:pPr>
            <w:r>
              <w:t>0,00</w:t>
            </w:r>
          </w:p>
        </w:tc>
      </w:tr>
      <w:tr w:rsidR="00454A29" w14:paraId="33547BFB" w14:textId="77777777">
        <w:tc>
          <w:tcPr>
            <w:tcW w:w="964" w:type="dxa"/>
            <w:vMerge/>
          </w:tcPr>
          <w:p w14:paraId="062B6ED0" w14:textId="77777777" w:rsidR="00454A29" w:rsidRDefault="00454A29"/>
        </w:tc>
        <w:tc>
          <w:tcPr>
            <w:tcW w:w="2154" w:type="dxa"/>
            <w:vMerge/>
            <w:tcBorders>
              <w:top w:val="nil"/>
              <w:bottom w:val="nil"/>
            </w:tcBorders>
          </w:tcPr>
          <w:p w14:paraId="4B46C993" w14:textId="77777777" w:rsidR="00454A29" w:rsidRDefault="00454A29"/>
        </w:tc>
        <w:tc>
          <w:tcPr>
            <w:tcW w:w="2154" w:type="dxa"/>
            <w:vMerge/>
            <w:tcBorders>
              <w:top w:val="nil"/>
              <w:bottom w:val="nil"/>
            </w:tcBorders>
          </w:tcPr>
          <w:p w14:paraId="75AFE617" w14:textId="77777777" w:rsidR="00454A29" w:rsidRDefault="00454A29"/>
        </w:tc>
        <w:tc>
          <w:tcPr>
            <w:tcW w:w="2665" w:type="dxa"/>
            <w:vMerge/>
          </w:tcPr>
          <w:p w14:paraId="781AEA73" w14:textId="77777777" w:rsidR="00454A29" w:rsidRDefault="00454A29"/>
        </w:tc>
        <w:tc>
          <w:tcPr>
            <w:tcW w:w="2665" w:type="dxa"/>
            <w:vMerge/>
          </w:tcPr>
          <w:p w14:paraId="3BA145C6" w14:textId="77777777" w:rsidR="00454A29" w:rsidRDefault="00454A29"/>
        </w:tc>
        <w:tc>
          <w:tcPr>
            <w:tcW w:w="1928" w:type="dxa"/>
            <w:vMerge/>
          </w:tcPr>
          <w:p w14:paraId="34FE8A7B" w14:textId="77777777" w:rsidR="00454A29" w:rsidRDefault="00454A29"/>
        </w:tc>
        <w:tc>
          <w:tcPr>
            <w:tcW w:w="1644" w:type="dxa"/>
            <w:vMerge/>
          </w:tcPr>
          <w:p w14:paraId="24136A73" w14:textId="77777777" w:rsidR="00454A29" w:rsidRDefault="00454A29"/>
        </w:tc>
        <w:tc>
          <w:tcPr>
            <w:tcW w:w="2041" w:type="dxa"/>
            <w:vMerge/>
          </w:tcPr>
          <w:p w14:paraId="17E7887C" w14:textId="77777777" w:rsidR="00454A29" w:rsidRDefault="00454A29"/>
        </w:tc>
        <w:tc>
          <w:tcPr>
            <w:tcW w:w="2098" w:type="dxa"/>
            <w:vAlign w:val="center"/>
          </w:tcPr>
          <w:p w14:paraId="286BB432" w14:textId="77777777" w:rsidR="00454A29" w:rsidRDefault="00454A29">
            <w:pPr>
              <w:pStyle w:val="ConsPlusNormal"/>
              <w:jc w:val="center"/>
            </w:pPr>
            <w:r>
              <w:t>Местные бюджеты</w:t>
            </w:r>
          </w:p>
        </w:tc>
        <w:tc>
          <w:tcPr>
            <w:tcW w:w="1814" w:type="dxa"/>
            <w:vAlign w:val="center"/>
          </w:tcPr>
          <w:p w14:paraId="46ECB004" w14:textId="77777777" w:rsidR="00454A29" w:rsidRDefault="00454A29">
            <w:pPr>
              <w:pStyle w:val="ConsPlusNormal"/>
              <w:jc w:val="center"/>
            </w:pPr>
            <w:r>
              <w:t>0,00</w:t>
            </w:r>
          </w:p>
        </w:tc>
        <w:tc>
          <w:tcPr>
            <w:tcW w:w="1701" w:type="dxa"/>
            <w:vAlign w:val="center"/>
          </w:tcPr>
          <w:p w14:paraId="012958BB" w14:textId="77777777" w:rsidR="00454A29" w:rsidRDefault="00454A29">
            <w:pPr>
              <w:pStyle w:val="ConsPlusNormal"/>
              <w:jc w:val="center"/>
            </w:pPr>
            <w:r>
              <w:t>0,00</w:t>
            </w:r>
          </w:p>
        </w:tc>
        <w:tc>
          <w:tcPr>
            <w:tcW w:w="1701" w:type="dxa"/>
            <w:vAlign w:val="center"/>
          </w:tcPr>
          <w:p w14:paraId="2A3DB828" w14:textId="77777777" w:rsidR="00454A29" w:rsidRDefault="00454A29">
            <w:pPr>
              <w:pStyle w:val="ConsPlusNormal"/>
              <w:jc w:val="center"/>
            </w:pPr>
            <w:r>
              <w:t>0,00</w:t>
            </w:r>
          </w:p>
        </w:tc>
        <w:tc>
          <w:tcPr>
            <w:tcW w:w="1701" w:type="dxa"/>
            <w:vAlign w:val="center"/>
          </w:tcPr>
          <w:p w14:paraId="1CCE8F2E" w14:textId="77777777" w:rsidR="00454A29" w:rsidRDefault="00454A29">
            <w:pPr>
              <w:pStyle w:val="ConsPlusNormal"/>
              <w:jc w:val="center"/>
            </w:pPr>
            <w:r>
              <w:t>0,00</w:t>
            </w:r>
          </w:p>
        </w:tc>
        <w:tc>
          <w:tcPr>
            <w:tcW w:w="1701" w:type="dxa"/>
            <w:vAlign w:val="center"/>
          </w:tcPr>
          <w:p w14:paraId="3B57A2FA" w14:textId="77777777" w:rsidR="00454A29" w:rsidRDefault="00454A29">
            <w:pPr>
              <w:pStyle w:val="ConsPlusNormal"/>
              <w:jc w:val="center"/>
            </w:pPr>
            <w:r>
              <w:t>0,00</w:t>
            </w:r>
          </w:p>
        </w:tc>
        <w:tc>
          <w:tcPr>
            <w:tcW w:w="1701" w:type="dxa"/>
            <w:vAlign w:val="center"/>
          </w:tcPr>
          <w:p w14:paraId="2C14290D" w14:textId="77777777" w:rsidR="00454A29" w:rsidRDefault="00454A29">
            <w:pPr>
              <w:pStyle w:val="ConsPlusNormal"/>
              <w:jc w:val="center"/>
            </w:pPr>
            <w:r>
              <w:t>0,00</w:t>
            </w:r>
          </w:p>
        </w:tc>
        <w:tc>
          <w:tcPr>
            <w:tcW w:w="1701" w:type="dxa"/>
            <w:vAlign w:val="center"/>
          </w:tcPr>
          <w:p w14:paraId="1C7799D0" w14:textId="77777777" w:rsidR="00454A29" w:rsidRDefault="00454A29">
            <w:pPr>
              <w:pStyle w:val="ConsPlusNormal"/>
              <w:jc w:val="center"/>
            </w:pPr>
            <w:r>
              <w:t>0,00</w:t>
            </w:r>
          </w:p>
        </w:tc>
      </w:tr>
      <w:tr w:rsidR="00454A29" w14:paraId="475CBA05" w14:textId="77777777">
        <w:tc>
          <w:tcPr>
            <w:tcW w:w="964" w:type="dxa"/>
            <w:vMerge/>
          </w:tcPr>
          <w:p w14:paraId="4B252799" w14:textId="77777777" w:rsidR="00454A29" w:rsidRDefault="00454A29"/>
        </w:tc>
        <w:tc>
          <w:tcPr>
            <w:tcW w:w="2154" w:type="dxa"/>
            <w:vMerge/>
            <w:tcBorders>
              <w:top w:val="nil"/>
              <w:bottom w:val="nil"/>
            </w:tcBorders>
          </w:tcPr>
          <w:p w14:paraId="6B6CE322" w14:textId="77777777" w:rsidR="00454A29" w:rsidRDefault="00454A29"/>
        </w:tc>
        <w:tc>
          <w:tcPr>
            <w:tcW w:w="2154" w:type="dxa"/>
            <w:vMerge/>
            <w:tcBorders>
              <w:top w:val="nil"/>
              <w:bottom w:val="nil"/>
            </w:tcBorders>
          </w:tcPr>
          <w:p w14:paraId="4B52854A" w14:textId="77777777" w:rsidR="00454A29" w:rsidRDefault="00454A29"/>
        </w:tc>
        <w:tc>
          <w:tcPr>
            <w:tcW w:w="2665" w:type="dxa"/>
            <w:vMerge/>
          </w:tcPr>
          <w:p w14:paraId="37D03E20" w14:textId="77777777" w:rsidR="00454A29" w:rsidRDefault="00454A29"/>
        </w:tc>
        <w:tc>
          <w:tcPr>
            <w:tcW w:w="2665" w:type="dxa"/>
            <w:vMerge/>
          </w:tcPr>
          <w:p w14:paraId="4AEC2E16" w14:textId="77777777" w:rsidR="00454A29" w:rsidRDefault="00454A29"/>
        </w:tc>
        <w:tc>
          <w:tcPr>
            <w:tcW w:w="1928" w:type="dxa"/>
            <w:vMerge/>
          </w:tcPr>
          <w:p w14:paraId="61B0E160" w14:textId="77777777" w:rsidR="00454A29" w:rsidRDefault="00454A29"/>
        </w:tc>
        <w:tc>
          <w:tcPr>
            <w:tcW w:w="1644" w:type="dxa"/>
            <w:vMerge/>
          </w:tcPr>
          <w:p w14:paraId="59C3027B" w14:textId="77777777" w:rsidR="00454A29" w:rsidRDefault="00454A29"/>
        </w:tc>
        <w:tc>
          <w:tcPr>
            <w:tcW w:w="2041" w:type="dxa"/>
            <w:vMerge/>
          </w:tcPr>
          <w:p w14:paraId="29430406" w14:textId="77777777" w:rsidR="00454A29" w:rsidRDefault="00454A29"/>
        </w:tc>
        <w:tc>
          <w:tcPr>
            <w:tcW w:w="2098" w:type="dxa"/>
            <w:vAlign w:val="center"/>
          </w:tcPr>
          <w:p w14:paraId="0AFE1DC5" w14:textId="77777777" w:rsidR="00454A29" w:rsidRDefault="00454A29">
            <w:pPr>
              <w:pStyle w:val="ConsPlusNormal"/>
              <w:jc w:val="center"/>
            </w:pPr>
            <w:r>
              <w:t>Внебюджетные средства</w:t>
            </w:r>
          </w:p>
        </w:tc>
        <w:tc>
          <w:tcPr>
            <w:tcW w:w="1814" w:type="dxa"/>
            <w:vAlign w:val="center"/>
          </w:tcPr>
          <w:p w14:paraId="51C8BBE6" w14:textId="77777777" w:rsidR="00454A29" w:rsidRDefault="00454A29">
            <w:pPr>
              <w:pStyle w:val="ConsPlusNormal"/>
              <w:jc w:val="center"/>
            </w:pPr>
            <w:r>
              <w:t>0,00</w:t>
            </w:r>
          </w:p>
        </w:tc>
        <w:tc>
          <w:tcPr>
            <w:tcW w:w="1701" w:type="dxa"/>
            <w:vAlign w:val="center"/>
          </w:tcPr>
          <w:p w14:paraId="1CDD3C46" w14:textId="77777777" w:rsidR="00454A29" w:rsidRDefault="00454A29">
            <w:pPr>
              <w:pStyle w:val="ConsPlusNormal"/>
              <w:jc w:val="center"/>
            </w:pPr>
            <w:r>
              <w:t>0,00</w:t>
            </w:r>
          </w:p>
        </w:tc>
        <w:tc>
          <w:tcPr>
            <w:tcW w:w="1701" w:type="dxa"/>
            <w:vAlign w:val="center"/>
          </w:tcPr>
          <w:p w14:paraId="6E5E1B79" w14:textId="77777777" w:rsidR="00454A29" w:rsidRDefault="00454A29">
            <w:pPr>
              <w:pStyle w:val="ConsPlusNormal"/>
              <w:jc w:val="center"/>
            </w:pPr>
            <w:r>
              <w:t>0,00</w:t>
            </w:r>
          </w:p>
        </w:tc>
        <w:tc>
          <w:tcPr>
            <w:tcW w:w="1701" w:type="dxa"/>
            <w:vAlign w:val="center"/>
          </w:tcPr>
          <w:p w14:paraId="2B50ED31" w14:textId="77777777" w:rsidR="00454A29" w:rsidRDefault="00454A29">
            <w:pPr>
              <w:pStyle w:val="ConsPlusNormal"/>
              <w:jc w:val="center"/>
            </w:pPr>
            <w:r>
              <w:t>0,00</w:t>
            </w:r>
          </w:p>
        </w:tc>
        <w:tc>
          <w:tcPr>
            <w:tcW w:w="1701" w:type="dxa"/>
            <w:vAlign w:val="center"/>
          </w:tcPr>
          <w:p w14:paraId="5AA82A92" w14:textId="77777777" w:rsidR="00454A29" w:rsidRDefault="00454A29">
            <w:pPr>
              <w:pStyle w:val="ConsPlusNormal"/>
              <w:jc w:val="center"/>
            </w:pPr>
            <w:r>
              <w:t>0,00</w:t>
            </w:r>
          </w:p>
        </w:tc>
        <w:tc>
          <w:tcPr>
            <w:tcW w:w="1701" w:type="dxa"/>
            <w:vAlign w:val="center"/>
          </w:tcPr>
          <w:p w14:paraId="0075FE9B" w14:textId="77777777" w:rsidR="00454A29" w:rsidRDefault="00454A29">
            <w:pPr>
              <w:pStyle w:val="ConsPlusNormal"/>
              <w:jc w:val="center"/>
            </w:pPr>
            <w:r>
              <w:t>0,00</w:t>
            </w:r>
          </w:p>
        </w:tc>
        <w:tc>
          <w:tcPr>
            <w:tcW w:w="1701" w:type="dxa"/>
            <w:vAlign w:val="center"/>
          </w:tcPr>
          <w:p w14:paraId="49B5326F" w14:textId="77777777" w:rsidR="00454A29" w:rsidRDefault="00454A29">
            <w:pPr>
              <w:pStyle w:val="ConsPlusNormal"/>
              <w:jc w:val="center"/>
            </w:pPr>
            <w:r>
              <w:t>0,00</w:t>
            </w:r>
          </w:p>
        </w:tc>
      </w:tr>
      <w:tr w:rsidR="00454A29" w14:paraId="3309E5E1" w14:textId="77777777">
        <w:tc>
          <w:tcPr>
            <w:tcW w:w="964" w:type="dxa"/>
            <w:vMerge w:val="restart"/>
            <w:vAlign w:val="center"/>
          </w:tcPr>
          <w:p w14:paraId="4B59341F" w14:textId="77777777" w:rsidR="00454A29" w:rsidRDefault="00454A29">
            <w:pPr>
              <w:pStyle w:val="ConsPlusNormal"/>
              <w:jc w:val="center"/>
            </w:pPr>
            <w:r>
              <w:t>3.7.</w:t>
            </w:r>
          </w:p>
        </w:tc>
        <w:tc>
          <w:tcPr>
            <w:tcW w:w="2154" w:type="dxa"/>
            <w:vMerge w:val="restart"/>
            <w:tcBorders>
              <w:top w:val="nil"/>
              <w:bottom w:val="nil"/>
            </w:tcBorders>
            <w:vAlign w:val="center"/>
          </w:tcPr>
          <w:p w14:paraId="38316F17" w14:textId="77777777" w:rsidR="00454A29" w:rsidRDefault="00454A29">
            <w:pPr>
              <w:pStyle w:val="ConsPlusNormal"/>
            </w:pPr>
          </w:p>
        </w:tc>
        <w:tc>
          <w:tcPr>
            <w:tcW w:w="2154" w:type="dxa"/>
            <w:vMerge w:val="restart"/>
            <w:tcBorders>
              <w:top w:val="nil"/>
              <w:bottom w:val="nil"/>
            </w:tcBorders>
            <w:vAlign w:val="center"/>
          </w:tcPr>
          <w:p w14:paraId="5B7F996C" w14:textId="77777777" w:rsidR="00454A29" w:rsidRDefault="00454A29">
            <w:pPr>
              <w:pStyle w:val="ConsPlusNormal"/>
            </w:pPr>
          </w:p>
        </w:tc>
        <w:tc>
          <w:tcPr>
            <w:tcW w:w="2665" w:type="dxa"/>
            <w:vMerge w:val="restart"/>
            <w:vAlign w:val="center"/>
          </w:tcPr>
          <w:p w14:paraId="492DBCCB" w14:textId="77777777" w:rsidR="00454A29" w:rsidRDefault="00454A29">
            <w:pPr>
              <w:pStyle w:val="ConsPlusNormal"/>
              <w:jc w:val="center"/>
            </w:pPr>
            <w:r>
              <w:t>Результат 7. Обеспечен свободный доступ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tc>
        <w:tc>
          <w:tcPr>
            <w:tcW w:w="2665" w:type="dxa"/>
            <w:vMerge w:val="restart"/>
            <w:vAlign w:val="center"/>
          </w:tcPr>
          <w:p w14:paraId="7AB09B8C" w14:textId="77777777" w:rsidR="00454A29" w:rsidRDefault="00454A29">
            <w:pPr>
              <w:pStyle w:val="ConsPlusNormal"/>
              <w:jc w:val="center"/>
            </w:pPr>
            <w:r>
              <w:t>Мероприятие 3.6.7. Обеспечение свободного доступа (бесплатный для пользователей) по принципу "одного окна" для всех 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p>
        </w:tc>
        <w:tc>
          <w:tcPr>
            <w:tcW w:w="1928" w:type="dxa"/>
            <w:vMerge w:val="restart"/>
            <w:vAlign w:val="center"/>
          </w:tcPr>
          <w:p w14:paraId="644C47F6" w14:textId="77777777" w:rsidR="00454A29" w:rsidRDefault="00454A29">
            <w:pPr>
              <w:pStyle w:val="ConsPlusNormal"/>
              <w:jc w:val="center"/>
            </w:pPr>
            <w:r>
              <w:t>-</w:t>
            </w:r>
          </w:p>
        </w:tc>
        <w:tc>
          <w:tcPr>
            <w:tcW w:w="1644" w:type="dxa"/>
            <w:vMerge w:val="restart"/>
            <w:vAlign w:val="center"/>
          </w:tcPr>
          <w:p w14:paraId="5D719D2E" w14:textId="77777777" w:rsidR="00454A29" w:rsidRDefault="00454A29">
            <w:pPr>
              <w:pStyle w:val="ConsPlusNormal"/>
              <w:jc w:val="center"/>
            </w:pPr>
            <w:r>
              <w:t>-</w:t>
            </w:r>
          </w:p>
        </w:tc>
        <w:tc>
          <w:tcPr>
            <w:tcW w:w="2041" w:type="dxa"/>
            <w:vMerge w:val="restart"/>
            <w:vAlign w:val="center"/>
          </w:tcPr>
          <w:p w14:paraId="6AA7CE5E" w14:textId="77777777" w:rsidR="00454A29" w:rsidRDefault="00454A29">
            <w:pPr>
              <w:pStyle w:val="ConsPlusNormal"/>
              <w:jc w:val="center"/>
            </w:pPr>
            <w:r>
              <w:t>-</w:t>
            </w:r>
          </w:p>
        </w:tc>
        <w:tc>
          <w:tcPr>
            <w:tcW w:w="2098" w:type="dxa"/>
            <w:vAlign w:val="center"/>
          </w:tcPr>
          <w:p w14:paraId="42A4D220" w14:textId="77777777" w:rsidR="00454A29" w:rsidRDefault="00454A29">
            <w:pPr>
              <w:pStyle w:val="ConsPlusNormal"/>
              <w:jc w:val="center"/>
            </w:pPr>
            <w:r>
              <w:t>Итого</w:t>
            </w:r>
          </w:p>
        </w:tc>
        <w:tc>
          <w:tcPr>
            <w:tcW w:w="1814" w:type="dxa"/>
            <w:vAlign w:val="center"/>
          </w:tcPr>
          <w:p w14:paraId="481DF7A2" w14:textId="77777777" w:rsidR="00454A29" w:rsidRDefault="00454A29">
            <w:pPr>
              <w:pStyle w:val="ConsPlusNormal"/>
              <w:jc w:val="center"/>
            </w:pPr>
            <w:r>
              <w:t>0,00</w:t>
            </w:r>
          </w:p>
        </w:tc>
        <w:tc>
          <w:tcPr>
            <w:tcW w:w="1701" w:type="dxa"/>
            <w:vAlign w:val="center"/>
          </w:tcPr>
          <w:p w14:paraId="40B1CBCE" w14:textId="77777777" w:rsidR="00454A29" w:rsidRDefault="00454A29">
            <w:pPr>
              <w:pStyle w:val="ConsPlusNormal"/>
              <w:jc w:val="center"/>
            </w:pPr>
            <w:r>
              <w:t>0,00</w:t>
            </w:r>
          </w:p>
        </w:tc>
        <w:tc>
          <w:tcPr>
            <w:tcW w:w="1701" w:type="dxa"/>
            <w:vAlign w:val="center"/>
          </w:tcPr>
          <w:p w14:paraId="7FE48263" w14:textId="77777777" w:rsidR="00454A29" w:rsidRDefault="00454A29">
            <w:pPr>
              <w:pStyle w:val="ConsPlusNormal"/>
              <w:jc w:val="center"/>
            </w:pPr>
            <w:r>
              <w:t>0,00</w:t>
            </w:r>
          </w:p>
        </w:tc>
        <w:tc>
          <w:tcPr>
            <w:tcW w:w="1701" w:type="dxa"/>
            <w:vAlign w:val="center"/>
          </w:tcPr>
          <w:p w14:paraId="7C6B0706" w14:textId="77777777" w:rsidR="00454A29" w:rsidRDefault="00454A29">
            <w:pPr>
              <w:pStyle w:val="ConsPlusNormal"/>
              <w:jc w:val="center"/>
            </w:pPr>
            <w:r>
              <w:t>0,00</w:t>
            </w:r>
          </w:p>
        </w:tc>
        <w:tc>
          <w:tcPr>
            <w:tcW w:w="1701" w:type="dxa"/>
            <w:vAlign w:val="center"/>
          </w:tcPr>
          <w:p w14:paraId="30F96326" w14:textId="77777777" w:rsidR="00454A29" w:rsidRDefault="00454A29">
            <w:pPr>
              <w:pStyle w:val="ConsPlusNormal"/>
              <w:jc w:val="center"/>
            </w:pPr>
            <w:r>
              <w:t>0,00</w:t>
            </w:r>
          </w:p>
        </w:tc>
        <w:tc>
          <w:tcPr>
            <w:tcW w:w="1701" w:type="dxa"/>
            <w:vAlign w:val="center"/>
          </w:tcPr>
          <w:p w14:paraId="6A5D66EB" w14:textId="77777777" w:rsidR="00454A29" w:rsidRDefault="00454A29">
            <w:pPr>
              <w:pStyle w:val="ConsPlusNormal"/>
              <w:jc w:val="center"/>
            </w:pPr>
            <w:r>
              <w:t>0,00</w:t>
            </w:r>
          </w:p>
        </w:tc>
        <w:tc>
          <w:tcPr>
            <w:tcW w:w="1701" w:type="dxa"/>
            <w:vAlign w:val="center"/>
          </w:tcPr>
          <w:p w14:paraId="1C423577" w14:textId="77777777" w:rsidR="00454A29" w:rsidRDefault="00454A29">
            <w:pPr>
              <w:pStyle w:val="ConsPlusNormal"/>
              <w:jc w:val="center"/>
            </w:pPr>
            <w:r>
              <w:t>0,00</w:t>
            </w:r>
          </w:p>
        </w:tc>
      </w:tr>
      <w:tr w:rsidR="00454A29" w14:paraId="720E7FB5" w14:textId="77777777">
        <w:tc>
          <w:tcPr>
            <w:tcW w:w="964" w:type="dxa"/>
            <w:vMerge/>
          </w:tcPr>
          <w:p w14:paraId="1DC4C5CD" w14:textId="77777777" w:rsidR="00454A29" w:rsidRDefault="00454A29"/>
        </w:tc>
        <w:tc>
          <w:tcPr>
            <w:tcW w:w="2154" w:type="dxa"/>
            <w:vMerge/>
            <w:tcBorders>
              <w:top w:val="nil"/>
              <w:bottom w:val="nil"/>
            </w:tcBorders>
          </w:tcPr>
          <w:p w14:paraId="20E513E1" w14:textId="77777777" w:rsidR="00454A29" w:rsidRDefault="00454A29"/>
        </w:tc>
        <w:tc>
          <w:tcPr>
            <w:tcW w:w="2154" w:type="dxa"/>
            <w:vMerge/>
            <w:tcBorders>
              <w:top w:val="nil"/>
              <w:bottom w:val="nil"/>
            </w:tcBorders>
          </w:tcPr>
          <w:p w14:paraId="0F386061" w14:textId="77777777" w:rsidR="00454A29" w:rsidRDefault="00454A29"/>
        </w:tc>
        <w:tc>
          <w:tcPr>
            <w:tcW w:w="2665" w:type="dxa"/>
            <w:vMerge/>
          </w:tcPr>
          <w:p w14:paraId="00D62137" w14:textId="77777777" w:rsidR="00454A29" w:rsidRDefault="00454A29"/>
        </w:tc>
        <w:tc>
          <w:tcPr>
            <w:tcW w:w="2665" w:type="dxa"/>
            <w:vMerge/>
          </w:tcPr>
          <w:p w14:paraId="31C4E265" w14:textId="77777777" w:rsidR="00454A29" w:rsidRDefault="00454A29"/>
        </w:tc>
        <w:tc>
          <w:tcPr>
            <w:tcW w:w="1928" w:type="dxa"/>
            <w:vMerge/>
          </w:tcPr>
          <w:p w14:paraId="692E04FF" w14:textId="77777777" w:rsidR="00454A29" w:rsidRDefault="00454A29"/>
        </w:tc>
        <w:tc>
          <w:tcPr>
            <w:tcW w:w="1644" w:type="dxa"/>
            <w:vMerge/>
          </w:tcPr>
          <w:p w14:paraId="25829AD8" w14:textId="77777777" w:rsidR="00454A29" w:rsidRDefault="00454A29"/>
        </w:tc>
        <w:tc>
          <w:tcPr>
            <w:tcW w:w="2041" w:type="dxa"/>
            <w:vMerge/>
          </w:tcPr>
          <w:p w14:paraId="1E7B175A" w14:textId="77777777" w:rsidR="00454A29" w:rsidRDefault="00454A29"/>
        </w:tc>
        <w:tc>
          <w:tcPr>
            <w:tcW w:w="2098" w:type="dxa"/>
            <w:vAlign w:val="center"/>
          </w:tcPr>
          <w:p w14:paraId="733BAB16"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31F7190" w14:textId="77777777" w:rsidR="00454A29" w:rsidRDefault="00454A29">
            <w:pPr>
              <w:pStyle w:val="ConsPlusNormal"/>
              <w:jc w:val="center"/>
            </w:pPr>
            <w:r>
              <w:t>0,00</w:t>
            </w:r>
          </w:p>
        </w:tc>
        <w:tc>
          <w:tcPr>
            <w:tcW w:w="1701" w:type="dxa"/>
            <w:vAlign w:val="center"/>
          </w:tcPr>
          <w:p w14:paraId="785483D7" w14:textId="77777777" w:rsidR="00454A29" w:rsidRDefault="00454A29">
            <w:pPr>
              <w:pStyle w:val="ConsPlusNormal"/>
              <w:jc w:val="center"/>
            </w:pPr>
            <w:r>
              <w:t>0,00</w:t>
            </w:r>
          </w:p>
        </w:tc>
        <w:tc>
          <w:tcPr>
            <w:tcW w:w="1701" w:type="dxa"/>
            <w:vAlign w:val="center"/>
          </w:tcPr>
          <w:p w14:paraId="5D52C9D6" w14:textId="77777777" w:rsidR="00454A29" w:rsidRDefault="00454A29">
            <w:pPr>
              <w:pStyle w:val="ConsPlusNormal"/>
              <w:jc w:val="center"/>
            </w:pPr>
            <w:r>
              <w:t>0,00</w:t>
            </w:r>
          </w:p>
        </w:tc>
        <w:tc>
          <w:tcPr>
            <w:tcW w:w="1701" w:type="dxa"/>
            <w:vAlign w:val="center"/>
          </w:tcPr>
          <w:p w14:paraId="4C1604F6" w14:textId="77777777" w:rsidR="00454A29" w:rsidRDefault="00454A29">
            <w:pPr>
              <w:pStyle w:val="ConsPlusNormal"/>
              <w:jc w:val="center"/>
            </w:pPr>
            <w:r>
              <w:t>0,00</w:t>
            </w:r>
          </w:p>
        </w:tc>
        <w:tc>
          <w:tcPr>
            <w:tcW w:w="1701" w:type="dxa"/>
            <w:vAlign w:val="center"/>
          </w:tcPr>
          <w:p w14:paraId="03C932A1" w14:textId="77777777" w:rsidR="00454A29" w:rsidRDefault="00454A29">
            <w:pPr>
              <w:pStyle w:val="ConsPlusNormal"/>
              <w:jc w:val="center"/>
            </w:pPr>
            <w:r>
              <w:t>0,00</w:t>
            </w:r>
          </w:p>
        </w:tc>
        <w:tc>
          <w:tcPr>
            <w:tcW w:w="1701" w:type="dxa"/>
            <w:vAlign w:val="center"/>
          </w:tcPr>
          <w:p w14:paraId="58A7F51F" w14:textId="77777777" w:rsidR="00454A29" w:rsidRDefault="00454A29">
            <w:pPr>
              <w:pStyle w:val="ConsPlusNormal"/>
              <w:jc w:val="center"/>
            </w:pPr>
            <w:r>
              <w:t>0,00</w:t>
            </w:r>
          </w:p>
        </w:tc>
        <w:tc>
          <w:tcPr>
            <w:tcW w:w="1701" w:type="dxa"/>
            <w:vAlign w:val="center"/>
          </w:tcPr>
          <w:p w14:paraId="3E738DAA" w14:textId="77777777" w:rsidR="00454A29" w:rsidRDefault="00454A29">
            <w:pPr>
              <w:pStyle w:val="ConsPlusNormal"/>
              <w:jc w:val="center"/>
            </w:pPr>
            <w:r>
              <w:t>0,00</w:t>
            </w:r>
          </w:p>
        </w:tc>
      </w:tr>
      <w:tr w:rsidR="00454A29" w14:paraId="5675CF5F" w14:textId="77777777">
        <w:tc>
          <w:tcPr>
            <w:tcW w:w="964" w:type="dxa"/>
            <w:vMerge/>
          </w:tcPr>
          <w:p w14:paraId="31463180" w14:textId="77777777" w:rsidR="00454A29" w:rsidRDefault="00454A29"/>
        </w:tc>
        <w:tc>
          <w:tcPr>
            <w:tcW w:w="2154" w:type="dxa"/>
            <w:vMerge/>
            <w:tcBorders>
              <w:top w:val="nil"/>
              <w:bottom w:val="nil"/>
            </w:tcBorders>
          </w:tcPr>
          <w:p w14:paraId="6CE5C0F5" w14:textId="77777777" w:rsidR="00454A29" w:rsidRDefault="00454A29"/>
        </w:tc>
        <w:tc>
          <w:tcPr>
            <w:tcW w:w="2154" w:type="dxa"/>
            <w:vMerge/>
            <w:tcBorders>
              <w:top w:val="nil"/>
              <w:bottom w:val="nil"/>
            </w:tcBorders>
          </w:tcPr>
          <w:p w14:paraId="45285F74" w14:textId="77777777" w:rsidR="00454A29" w:rsidRDefault="00454A29"/>
        </w:tc>
        <w:tc>
          <w:tcPr>
            <w:tcW w:w="2665" w:type="dxa"/>
            <w:vMerge/>
          </w:tcPr>
          <w:p w14:paraId="38E2C713" w14:textId="77777777" w:rsidR="00454A29" w:rsidRDefault="00454A29"/>
        </w:tc>
        <w:tc>
          <w:tcPr>
            <w:tcW w:w="2665" w:type="dxa"/>
            <w:vMerge/>
          </w:tcPr>
          <w:p w14:paraId="6EFBE6E3" w14:textId="77777777" w:rsidR="00454A29" w:rsidRDefault="00454A29"/>
        </w:tc>
        <w:tc>
          <w:tcPr>
            <w:tcW w:w="1928" w:type="dxa"/>
            <w:vMerge/>
          </w:tcPr>
          <w:p w14:paraId="50D57B24" w14:textId="77777777" w:rsidR="00454A29" w:rsidRDefault="00454A29"/>
        </w:tc>
        <w:tc>
          <w:tcPr>
            <w:tcW w:w="1644" w:type="dxa"/>
            <w:vMerge/>
          </w:tcPr>
          <w:p w14:paraId="28E1E47A" w14:textId="77777777" w:rsidR="00454A29" w:rsidRDefault="00454A29"/>
        </w:tc>
        <w:tc>
          <w:tcPr>
            <w:tcW w:w="2041" w:type="dxa"/>
            <w:vMerge/>
          </w:tcPr>
          <w:p w14:paraId="7D06F256" w14:textId="77777777" w:rsidR="00454A29" w:rsidRDefault="00454A29"/>
        </w:tc>
        <w:tc>
          <w:tcPr>
            <w:tcW w:w="2098" w:type="dxa"/>
            <w:vAlign w:val="center"/>
          </w:tcPr>
          <w:p w14:paraId="0E8BBB2A" w14:textId="77777777" w:rsidR="00454A29" w:rsidRDefault="00454A29">
            <w:pPr>
              <w:pStyle w:val="ConsPlusNormal"/>
              <w:jc w:val="center"/>
            </w:pPr>
            <w:r>
              <w:t>Федеральный бюджет</w:t>
            </w:r>
          </w:p>
        </w:tc>
        <w:tc>
          <w:tcPr>
            <w:tcW w:w="1814" w:type="dxa"/>
            <w:vAlign w:val="center"/>
          </w:tcPr>
          <w:p w14:paraId="2197FFB8" w14:textId="77777777" w:rsidR="00454A29" w:rsidRDefault="00454A29">
            <w:pPr>
              <w:pStyle w:val="ConsPlusNormal"/>
              <w:jc w:val="center"/>
            </w:pPr>
            <w:r>
              <w:t>0,00</w:t>
            </w:r>
          </w:p>
        </w:tc>
        <w:tc>
          <w:tcPr>
            <w:tcW w:w="1701" w:type="dxa"/>
            <w:vAlign w:val="center"/>
          </w:tcPr>
          <w:p w14:paraId="5F39F7EE" w14:textId="77777777" w:rsidR="00454A29" w:rsidRDefault="00454A29">
            <w:pPr>
              <w:pStyle w:val="ConsPlusNormal"/>
              <w:jc w:val="center"/>
            </w:pPr>
            <w:r>
              <w:t>0,00</w:t>
            </w:r>
          </w:p>
        </w:tc>
        <w:tc>
          <w:tcPr>
            <w:tcW w:w="1701" w:type="dxa"/>
            <w:vAlign w:val="center"/>
          </w:tcPr>
          <w:p w14:paraId="4DE9473E" w14:textId="77777777" w:rsidR="00454A29" w:rsidRDefault="00454A29">
            <w:pPr>
              <w:pStyle w:val="ConsPlusNormal"/>
              <w:jc w:val="center"/>
            </w:pPr>
            <w:r>
              <w:t>0,00</w:t>
            </w:r>
          </w:p>
        </w:tc>
        <w:tc>
          <w:tcPr>
            <w:tcW w:w="1701" w:type="dxa"/>
            <w:vAlign w:val="center"/>
          </w:tcPr>
          <w:p w14:paraId="095EF0F1" w14:textId="77777777" w:rsidR="00454A29" w:rsidRDefault="00454A29">
            <w:pPr>
              <w:pStyle w:val="ConsPlusNormal"/>
              <w:jc w:val="center"/>
            </w:pPr>
            <w:r>
              <w:t>0,00</w:t>
            </w:r>
          </w:p>
        </w:tc>
        <w:tc>
          <w:tcPr>
            <w:tcW w:w="1701" w:type="dxa"/>
            <w:vAlign w:val="center"/>
          </w:tcPr>
          <w:p w14:paraId="1A4DF1BE" w14:textId="77777777" w:rsidR="00454A29" w:rsidRDefault="00454A29">
            <w:pPr>
              <w:pStyle w:val="ConsPlusNormal"/>
              <w:jc w:val="center"/>
            </w:pPr>
            <w:r>
              <w:t>0,00</w:t>
            </w:r>
          </w:p>
        </w:tc>
        <w:tc>
          <w:tcPr>
            <w:tcW w:w="1701" w:type="dxa"/>
            <w:vAlign w:val="center"/>
          </w:tcPr>
          <w:p w14:paraId="3B3FD599" w14:textId="77777777" w:rsidR="00454A29" w:rsidRDefault="00454A29">
            <w:pPr>
              <w:pStyle w:val="ConsPlusNormal"/>
              <w:jc w:val="center"/>
            </w:pPr>
            <w:r>
              <w:t>0,00</w:t>
            </w:r>
          </w:p>
        </w:tc>
        <w:tc>
          <w:tcPr>
            <w:tcW w:w="1701" w:type="dxa"/>
            <w:vAlign w:val="center"/>
          </w:tcPr>
          <w:p w14:paraId="1AF224AD" w14:textId="77777777" w:rsidR="00454A29" w:rsidRDefault="00454A29">
            <w:pPr>
              <w:pStyle w:val="ConsPlusNormal"/>
              <w:jc w:val="center"/>
            </w:pPr>
            <w:r>
              <w:t>0,00</w:t>
            </w:r>
          </w:p>
        </w:tc>
      </w:tr>
      <w:tr w:rsidR="00454A29" w14:paraId="12177A2A" w14:textId="77777777">
        <w:tc>
          <w:tcPr>
            <w:tcW w:w="964" w:type="dxa"/>
            <w:vMerge/>
          </w:tcPr>
          <w:p w14:paraId="00A15724" w14:textId="77777777" w:rsidR="00454A29" w:rsidRDefault="00454A29"/>
        </w:tc>
        <w:tc>
          <w:tcPr>
            <w:tcW w:w="2154" w:type="dxa"/>
            <w:vMerge/>
            <w:tcBorders>
              <w:top w:val="nil"/>
              <w:bottom w:val="nil"/>
            </w:tcBorders>
          </w:tcPr>
          <w:p w14:paraId="4898BB92" w14:textId="77777777" w:rsidR="00454A29" w:rsidRDefault="00454A29"/>
        </w:tc>
        <w:tc>
          <w:tcPr>
            <w:tcW w:w="2154" w:type="dxa"/>
            <w:vMerge/>
            <w:tcBorders>
              <w:top w:val="nil"/>
              <w:bottom w:val="nil"/>
            </w:tcBorders>
          </w:tcPr>
          <w:p w14:paraId="2660B26C" w14:textId="77777777" w:rsidR="00454A29" w:rsidRDefault="00454A29"/>
        </w:tc>
        <w:tc>
          <w:tcPr>
            <w:tcW w:w="2665" w:type="dxa"/>
            <w:vMerge/>
          </w:tcPr>
          <w:p w14:paraId="66A9AB21" w14:textId="77777777" w:rsidR="00454A29" w:rsidRDefault="00454A29"/>
        </w:tc>
        <w:tc>
          <w:tcPr>
            <w:tcW w:w="2665" w:type="dxa"/>
            <w:vMerge/>
          </w:tcPr>
          <w:p w14:paraId="1616FF49" w14:textId="77777777" w:rsidR="00454A29" w:rsidRDefault="00454A29"/>
        </w:tc>
        <w:tc>
          <w:tcPr>
            <w:tcW w:w="1928" w:type="dxa"/>
            <w:vMerge/>
          </w:tcPr>
          <w:p w14:paraId="0B4C5563" w14:textId="77777777" w:rsidR="00454A29" w:rsidRDefault="00454A29"/>
        </w:tc>
        <w:tc>
          <w:tcPr>
            <w:tcW w:w="1644" w:type="dxa"/>
            <w:vMerge/>
          </w:tcPr>
          <w:p w14:paraId="0A745D7B" w14:textId="77777777" w:rsidR="00454A29" w:rsidRDefault="00454A29"/>
        </w:tc>
        <w:tc>
          <w:tcPr>
            <w:tcW w:w="2041" w:type="dxa"/>
            <w:vMerge/>
          </w:tcPr>
          <w:p w14:paraId="2D32F919" w14:textId="77777777" w:rsidR="00454A29" w:rsidRDefault="00454A29"/>
        </w:tc>
        <w:tc>
          <w:tcPr>
            <w:tcW w:w="2098" w:type="dxa"/>
            <w:vAlign w:val="center"/>
          </w:tcPr>
          <w:p w14:paraId="178AFD84" w14:textId="77777777" w:rsidR="00454A29" w:rsidRDefault="00454A29">
            <w:pPr>
              <w:pStyle w:val="ConsPlusNormal"/>
              <w:jc w:val="center"/>
            </w:pPr>
            <w:r>
              <w:t>Местные бюджеты</w:t>
            </w:r>
          </w:p>
        </w:tc>
        <w:tc>
          <w:tcPr>
            <w:tcW w:w="1814" w:type="dxa"/>
            <w:vAlign w:val="center"/>
          </w:tcPr>
          <w:p w14:paraId="4A2C64BA" w14:textId="77777777" w:rsidR="00454A29" w:rsidRDefault="00454A29">
            <w:pPr>
              <w:pStyle w:val="ConsPlusNormal"/>
              <w:jc w:val="center"/>
            </w:pPr>
            <w:r>
              <w:t>0,00</w:t>
            </w:r>
          </w:p>
        </w:tc>
        <w:tc>
          <w:tcPr>
            <w:tcW w:w="1701" w:type="dxa"/>
            <w:vAlign w:val="center"/>
          </w:tcPr>
          <w:p w14:paraId="2421211E" w14:textId="77777777" w:rsidR="00454A29" w:rsidRDefault="00454A29">
            <w:pPr>
              <w:pStyle w:val="ConsPlusNormal"/>
              <w:jc w:val="center"/>
            </w:pPr>
            <w:r>
              <w:t>0,00</w:t>
            </w:r>
          </w:p>
        </w:tc>
        <w:tc>
          <w:tcPr>
            <w:tcW w:w="1701" w:type="dxa"/>
            <w:vAlign w:val="center"/>
          </w:tcPr>
          <w:p w14:paraId="260044CE" w14:textId="77777777" w:rsidR="00454A29" w:rsidRDefault="00454A29">
            <w:pPr>
              <w:pStyle w:val="ConsPlusNormal"/>
              <w:jc w:val="center"/>
            </w:pPr>
            <w:r>
              <w:t>0,00</w:t>
            </w:r>
          </w:p>
        </w:tc>
        <w:tc>
          <w:tcPr>
            <w:tcW w:w="1701" w:type="dxa"/>
            <w:vAlign w:val="center"/>
          </w:tcPr>
          <w:p w14:paraId="735C628F" w14:textId="77777777" w:rsidR="00454A29" w:rsidRDefault="00454A29">
            <w:pPr>
              <w:pStyle w:val="ConsPlusNormal"/>
              <w:jc w:val="center"/>
            </w:pPr>
            <w:r>
              <w:t>0,00</w:t>
            </w:r>
          </w:p>
        </w:tc>
        <w:tc>
          <w:tcPr>
            <w:tcW w:w="1701" w:type="dxa"/>
            <w:vAlign w:val="center"/>
          </w:tcPr>
          <w:p w14:paraId="3A3DEBFB" w14:textId="77777777" w:rsidR="00454A29" w:rsidRDefault="00454A29">
            <w:pPr>
              <w:pStyle w:val="ConsPlusNormal"/>
              <w:jc w:val="center"/>
            </w:pPr>
            <w:r>
              <w:t>0,00</w:t>
            </w:r>
          </w:p>
        </w:tc>
        <w:tc>
          <w:tcPr>
            <w:tcW w:w="1701" w:type="dxa"/>
            <w:vAlign w:val="center"/>
          </w:tcPr>
          <w:p w14:paraId="7492C28A" w14:textId="77777777" w:rsidR="00454A29" w:rsidRDefault="00454A29">
            <w:pPr>
              <w:pStyle w:val="ConsPlusNormal"/>
              <w:jc w:val="center"/>
            </w:pPr>
            <w:r>
              <w:t>0,00</w:t>
            </w:r>
          </w:p>
        </w:tc>
        <w:tc>
          <w:tcPr>
            <w:tcW w:w="1701" w:type="dxa"/>
            <w:vAlign w:val="center"/>
          </w:tcPr>
          <w:p w14:paraId="3D3E177A" w14:textId="77777777" w:rsidR="00454A29" w:rsidRDefault="00454A29">
            <w:pPr>
              <w:pStyle w:val="ConsPlusNormal"/>
              <w:jc w:val="center"/>
            </w:pPr>
            <w:r>
              <w:t>0,00</w:t>
            </w:r>
          </w:p>
        </w:tc>
      </w:tr>
      <w:tr w:rsidR="00454A29" w14:paraId="63FBFBD4" w14:textId="77777777">
        <w:tc>
          <w:tcPr>
            <w:tcW w:w="964" w:type="dxa"/>
            <w:vMerge/>
          </w:tcPr>
          <w:p w14:paraId="29B664BE" w14:textId="77777777" w:rsidR="00454A29" w:rsidRDefault="00454A29"/>
        </w:tc>
        <w:tc>
          <w:tcPr>
            <w:tcW w:w="2154" w:type="dxa"/>
            <w:vMerge/>
            <w:tcBorders>
              <w:top w:val="nil"/>
              <w:bottom w:val="nil"/>
            </w:tcBorders>
          </w:tcPr>
          <w:p w14:paraId="55438B70" w14:textId="77777777" w:rsidR="00454A29" w:rsidRDefault="00454A29"/>
        </w:tc>
        <w:tc>
          <w:tcPr>
            <w:tcW w:w="2154" w:type="dxa"/>
            <w:vMerge/>
            <w:tcBorders>
              <w:top w:val="nil"/>
              <w:bottom w:val="nil"/>
            </w:tcBorders>
          </w:tcPr>
          <w:p w14:paraId="1B492D4B" w14:textId="77777777" w:rsidR="00454A29" w:rsidRDefault="00454A29"/>
        </w:tc>
        <w:tc>
          <w:tcPr>
            <w:tcW w:w="2665" w:type="dxa"/>
            <w:vMerge/>
          </w:tcPr>
          <w:p w14:paraId="615B5569" w14:textId="77777777" w:rsidR="00454A29" w:rsidRDefault="00454A29"/>
        </w:tc>
        <w:tc>
          <w:tcPr>
            <w:tcW w:w="2665" w:type="dxa"/>
            <w:vMerge/>
          </w:tcPr>
          <w:p w14:paraId="07E87BB5" w14:textId="77777777" w:rsidR="00454A29" w:rsidRDefault="00454A29"/>
        </w:tc>
        <w:tc>
          <w:tcPr>
            <w:tcW w:w="1928" w:type="dxa"/>
            <w:vMerge/>
          </w:tcPr>
          <w:p w14:paraId="7CDE8B11" w14:textId="77777777" w:rsidR="00454A29" w:rsidRDefault="00454A29"/>
        </w:tc>
        <w:tc>
          <w:tcPr>
            <w:tcW w:w="1644" w:type="dxa"/>
            <w:vMerge/>
          </w:tcPr>
          <w:p w14:paraId="008A13D9" w14:textId="77777777" w:rsidR="00454A29" w:rsidRDefault="00454A29"/>
        </w:tc>
        <w:tc>
          <w:tcPr>
            <w:tcW w:w="2041" w:type="dxa"/>
            <w:vMerge/>
          </w:tcPr>
          <w:p w14:paraId="4C282B4C" w14:textId="77777777" w:rsidR="00454A29" w:rsidRDefault="00454A29"/>
        </w:tc>
        <w:tc>
          <w:tcPr>
            <w:tcW w:w="2098" w:type="dxa"/>
            <w:vAlign w:val="center"/>
          </w:tcPr>
          <w:p w14:paraId="3C11D6AE" w14:textId="77777777" w:rsidR="00454A29" w:rsidRDefault="00454A29">
            <w:pPr>
              <w:pStyle w:val="ConsPlusNormal"/>
              <w:jc w:val="center"/>
            </w:pPr>
            <w:r>
              <w:t>Внебюджетные средства</w:t>
            </w:r>
          </w:p>
        </w:tc>
        <w:tc>
          <w:tcPr>
            <w:tcW w:w="1814" w:type="dxa"/>
            <w:vAlign w:val="center"/>
          </w:tcPr>
          <w:p w14:paraId="1365AEE0" w14:textId="77777777" w:rsidR="00454A29" w:rsidRDefault="00454A29">
            <w:pPr>
              <w:pStyle w:val="ConsPlusNormal"/>
              <w:jc w:val="center"/>
            </w:pPr>
            <w:r>
              <w:t>0,00</w:t>
            </w:r>
          </w:p>
        </w:tc>
        <w:tc>
          <w:tcPr>
            <w:tcW w:w="1701" w:type="dxa"/>
            <w:vAlign w:val="center"/>
          </w:tcPr>
          <w:p w14:paraId="3EF27CCD" w14:textId="77777777" w:rsidR="00454A29" w:rsidRDefault="00454A29">
            <w:pPr>
              <w:pStyle w:val="ConsPlusNormal"/>
              <w:jc w:val="center"/>
            </w:pPr>
            <w:r>
              <w:t>0,00</w:t>
            </w:r>
          </w:p>
        </w:tc>
        <w:tc>
          <w:tcPr>
            <w:tcW w:w="1701" w:type="dxa"/>
            <w:vAlign w:val="center"/>
          </w:tcPr>
          <w:p w14:paraId="77AA8B80" w14:textId="77777777" w:rsidR="00454A29" w:rsidRDefault="00454A29">
            <w:pPr>
              <w:pStyle w:val="ConsPlusNormal"/>
              <w:jc w:val="center"/>
            </w:pPr>
            <w:r>
              <w:t>0,00</w:t>
            </w:r>
          </w:p>
        </w:tc>
        <w:tc>
          <w:tcPr>
            <w:tcW w:w="1701" w:type="dxa"/>
            <w:vAlign w:val="center"/>
          </w:tcPr>
          <w:p w14:paraId="64B6B531" w14:textId="77777777" w:rsidR="00454A29" w:rsidRDefault="00454A29">
            <w:pPr>
              <w:pStyle w:val="ConsPlusNormal"/>
              <w:jc w:val="center"/>
            </w:pPr>
            <w:r>
              <w:t>0,00</w:t>
            </w:r>
          </w:p>
        </w:tc>
        <w:tc>
          <w:tcPr>
            <w:tcW w:w="1701" w:type="dxa"/>
            <w:vAlign w:val="center"/>
          </w:tcPr>
          <w:p w14:paraId="50521734" w14:textId="77777777" w:rsidR="00454A29" w:rsidRDefault="00454A29">
            <w:pPr>
              <w:pStyle w:val="ConsPlusNormal"/>
              <w:jc w:val="center"/>
            </w:pPr>
            <w:r>
              <w:t>0,00</w:t>
            </w:r>
          </w:p>
        </w:tc>
        <w:tc>
          <w:tcPr>
            <w:tcW w:w="1701" w:type="dxa"/>
            <w:vAlign w:val="center"/>
          </w:tcPr>
          <w:p w14:paraId="78511023" w14:textId="77777777" w:rsidR="00454A29" w:rsidRDefault="00454A29">
            <w:pPr>
              <w:pStyle w:val="ConsPlusNormal"/>
              <w:jc w:val="center"/>
            </w:pPr>
            <w:r>
              <w:t>0,00</w:t>
            </w:r>
          </w:p>
        </w:tc>
        <w:tc>
          <w:tcPr>
            <w:tcW w:w="1701" w:type="dxa"/>
            <w:vAlign w:val="center"/>
          </w:tcPr>
          <w:p w14:paraId="58E4FE48" w14:textId="77777777" w:rsidR="00454A29" w:rsidRDefault="00454A29">
            <w:pPr>
              <w:pStyle w:val="ConsPlusNormal"/>
              <w:jc w:val="center"/>
            </w:pPr>
            <w:r>
              <w:t>0,00</w:t>
            </w:r>
          </w:p>
        </w:tc>
      </w:tr>
      <w:tr w:rsidR="00454A29" w14:paraId="22CB9D9D" w14:textId="77777777">
        <w:tc>
          <w:tcPr>
            <w:tcW w:w="964" w:type="dxa"/>
            <w:vMerge w:val="restart"/>
            <w:vAlign w:val="center"/>
          </w:tcPr>
          <w:p w14:paraId="54F8CE87" w14:textId="77777777" w:rsidR="00454A29" w:rsidRDefault="00454A29">
            <w:pPr>
              <w:pStyle w:val="ConsPlusNormal"/>
              <w:jc w:val="center"/>
            </w:pPr>
            <w:r>
              <w:t>3.8.</w:t>
            </w:r>
          </w:p>
        </w:tc>
        <w:tc>
          <w:tcPr>
            <w:tcW w:w="2154" w:type="dxa"/>
            <w:vMerge w:val="restart"/>
            <w:tcBorders>
              <w:top w:val="nil"/>
            </w:tcBorders>
            <w:vAlign w:val="center"/>
          </w:tcPr>
          <w:p w14:paraId="6817FB10" w14:textId="77777777" w:rsidR="00454A29" w:rsidRDefault="00454A29">
            <w:pPr>
              <w:pStyle w:val="ConsPlusNormal"/>
            </w:pPr>
          </w:p>
        </w:tc>
        <w:tc>
          <w:tcPr>
            <w:tcW w:w="2154" w:type="dxa"/>
            <w:vMerge w:val="restart"/>
            <w:tcBorders>
              <w:top w:val="nil"/>
            </w:tcBorders>
            <w:vAlign w:val="center"/>
          </w:tcPr>
          <w:p w14:paraId="7B0795D6" w14:textId="77777777" w:rsidR="00454A29" w:rsidRDefault="00454A29">
            <w:pPr>
              <w:pStyle w:val="ConsPlusNormal"/>
            </w:pPr>
          </w:p>
        </w:tc>
        <w:tc>
          <w:tcPr>
            <w:tcW w:w="2665" w:type="dxa"/>
            <w:vMerge w:val="restart"/>
            <w:vAlign w:val="center"/>
          </w:tcPr>
          <w:p w14:paraId="6D0C2AB3" w14:textId="77777777" w:rsidR="00454A29" w:rsidRDefault="00454A29">
            <w:pPr>
              <w:pStyle w:val="ConsPlusNormal"/>
              <w:jc w:val="center"/>
            </w:pPr>
            <w:r>
              <w:t xml:space="preserve">Результат 8. Внедрена интеграционная платформа непрерывного образования (профессиональное обучение и дополнительное образование) и набор сервисов, </w:t>
            </w:r>
            <w:r>
              <w:lastRenderedPageBreak/>
              <w:t>обеспечивающих навигацию и поддержку граждан при выборе образовательных программ и организаций, осуществляющих образовательную деятельность</w:t>
            </w:r>
          </w:p>
        </w:tc>
        <w:tc>
          <w:tcPr>
            <w:tcW w:w="2665" w:type="dxa"/>
            <w:vMerge w:val="restart"/>
            <w:vAlign w:val="center"/>
          </w:tcPr>
          <w:p w14:paraId="06CF0DE4" w14:textId="77777777" w:rsidR="00454A29" w:rsidRDefault="00454A29">
            <w:pPr>
              <w:pStyle w:val="ConsPlusNormal"/>
              <w:jc w:val="center"/>
            </w:pPr>
            <w:r>
              <w:lastRenderedPageBreak/>
              <w:t xml:space="preserve">Мероприятие 3.6.8. Внедрение интеграционной платформы непрерывного образования (профессиональное обучение и дополнительное образование) и набор </w:t>
            </w:r>
            <w:r>
              <w:lastRenderedPageBreak/>
              <w:t>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w:t>
            </w:r>
          </w:p>
        </w:tc>
        <w:tc>
          <w:tcPr>
            <w:tcW w:w="1928" w:type="dxa"/>
            <w:vMerge w:val="restart"/>
            <w:vAlign w:val="center"/>
          </w:tcPr>
          <w:p w14:paraId="505496DB" w14:textId="77777777" w:rsidR="00454A29" w:rsidRDefault="00454A29">
            <w:pPr>
              <w:pStyle w:val="ConsPlusNormal"/>
              <w:jc w:val="center"/>
            </w:pPr>
            <w:r>
              <w:lastRenderedPageBreak/>
              <w:t>-</w:t>
            </w:r>
          </w:p>
        </w:tc>
        <w:tc>
          <w:tcPr>
            <w:tcW w:w="1644" w:type="dxa"/>
            <w:vMerge w:val="restart"/>
            <w:vAlign w:val="center"/>
          </w:tcPr>
          <w:p w14:paraId="582C1DC8" w14:textId="77777777" w:rsidR="00454A29" w:rsidRDefault="00454A29">
            <w:pPr>
              <w:pStyle w:val="ConsPlusNormal"/>
              <w:jc w:val="center"/>
            </w:pPr>
            <w:r>
              <w:t>-</w:t>
            </w:r>
          </w:p>
        </w:tc>
        <w:tc>
          <w:tcPr>
            <w:tcW w:w="2041" w:type="dxa"/>
            <w:vMerge w:val="restart"/>
            <w:vAlign w:val="center"/>
          </w:tcPr>
          <w:p w14:paraId="2F7F73C6" w14:textId="77777777" w:rsidR="00454A29" w:rsidRDefault="00454A29">
            <w:pPr>
              <w:pStyle w:val="ConsPlusNormal"/>
              <w:jc w:val="center"/>
            </w:pPr>
            <w:r>
              <w:t>-</w:t>
            </w:r>
          </w:p>
        </w:tc>
        <w:tc>
          <w:tcPr>
            <w:tcW w:w="2098" w:type="dxa"/>
            <w:vAlign w:val="center"/>
          </w:tcPr>
          <w:p w14:paraId="47893EE8" w14:textId="77777777" w:rsidR="00454A29" w:rsidRDefault="00454A29">
            <w:pPr>
              <w:pStyle w:val="ConsPlusNormal"/>
              <w:jc w:val="center"/>
            </w:pPr>
            <w:r>
              <w:t>Итого</w:t>
            </w:r>
          </w:p>
        </w:tc>
        <w:tc>
          <w:tcPr>
            <w:tcW w:w="1814" w:type="dxa"/>
            <w:vAlign w:val="center"/>
          </w:tcPr>
          <w:p w14:paraId="773F2B29" w14:textId="77777777" w:rsidR="00454A29" w:rsidRDefault="00454A29">
            <w:pPr>
              <w:pStyle w:val="ConsPlusNormal"/>
              <w:jc w:val="center"/>
            </w:pPr>
            <w:r>
              <w:t>0,00</w:t>
            </w:r>
          </w:p>
        </w:tc>
        <w:tc>
          <w:tcPr>
            <w:tcW w:w="1701" w:type="dxa"/>
            <w:vAlign w:val="center"/>
          </w:tcPr>
          <w:p w14:paraId="4D67BEC7" w14:textId="77777777" w:rsidR="00454A29" w:rsidRDefault="00454A29">
            <w:pPr>
              <w:pStyle w:val="ConsPlusNormal"/>
              <w:jc w:val="center"/>
            </w:pPr>
            <w:r>
              <w:t>0,00</w:t>
            </w:r>
          </w:p>
        </w:tc>
        <w:tc>
          <w:tcPr>
            <w:tcW w:w="1701" w:type="dxa"/>
            <w:vAlign w:val="center"/>
          </w:tcPr>
          <w:p w14:paraId="200EADF0" w14:textId="77777777" w:rsidR="00454A29" w:rsidRDefault="00454A29">
            <w:pPr>
              <w:pStyle w:val="ConsPlusNormal"/>
              <w:jc w:val="center"/>
            </w:pPr>
            <w:r>
              <w:t>0,00</w:t>
            </w:r>
          </w:p>
        </w:tc>
        <w:tc>
          <w:tcPr>
            <w:tcW w:w="1701" w:type="dxa"/>
            <w:vAlign w:val="center"/>
          </w:tcPr>
          <w:p w14:paraId="6E339B43" w14:textId="77777777" w:rsidR="00454A29" w:rsidRDefault="00454A29">
            <w:pPr>
              <w:pStyle w:val="ConsPlusNormal"/>
              <w:jc w:val="center"/>
            </w:pPr>
            <w:r>
              <w:t>0,00</w:t>
            </w:r>
          </w:p>
        </w:tc>
        <w:tc>
          <w:tcPr>
            <w:tcW w:w="1701" w:type="dxa"/>
            <w:vAlign w:val="center"/>
          </w:tcPr>
          <w:p w14:paraId="4CD859B1" w14:textId="77777777" w:rsidR="00454A29" w:rsidRDefault="00454A29">
            <w:pPr>
              <w:pStyle w:val="ConsPlusNormal"/>
              <w:jc w:val="center"/>
            </w:pPr>
            <w:r>
              <w:t>0,00</w:t>
            </w:r>
          </w:p>
        </w:tc>
        <w:tc>
          <w:tcPr>
            <w:tcW w:w="1701" w:type="dxa"/>
            <w:vAlign w:val="center"/>
          </w:tcPr>
          <w:p w14:paraId="22F5BAFC" w14:textId="77777777" w:rsidR="00454A29" w:rsidRDefault="00454A29">
            <w:pPr>
              <w:pStyle w:val="ConsPlusNormal"/>
              <w:jc w:val="center"/>
            </w:pPr>
            <w:r>
              <w:t>0,00</w:t>
            </w:r>
          </w:p>
        </w:tc>
        <w:tc>
          <w:tcPr>
            <w:tcW w:w="1701" w:type="dxa"/>
            <w:vAlign w:val="center"/>
          </w:tcPr>
          <w:p w14:paraId="48132DAA" w14:textId="77777777" w:rsidR="00454A29" w:rsidRDefault="00454A29">
            <w:pPr>
              <w:pStyle w:val="ConsPlusNormal"/>
              <w:jc w:val="center"/>
            </w:pPr>
            <w:r>
              <w:t>0,00</w:t>
            </w:r>
          </w:p>
        </w:tc>
      </w:tr>
      <w:tr w:rsidR="00454A29" w14:paraId="0C6AEA4A" w14:textId="77777777">
        <w:tc>
          <w:tcPr>
            <w:tcW w:w="964" w:type="dxa"/>
            <w:vMerge/>
          </w:tcPr>
          <w:p w14:paraId="786A551E" w14:textId="77777777" w:rsidR="00454A29" w:rsidRDefault="00454A29"/>
        </w:tc>
        <w:tc>
          <w:tcPr>
            <w:tcW w:w="2154" w:type="dxa"/>
            <w:vMerge/>
            <w:tcBorders>
              <w:top w:val="nil"/>
            </w:tcBorders>
          </w:tcPr>
          <w:p w14:paraId="22504BDF" w14:textId="77777777" w:rsidR="00454A29" w:rsidRDefault="00454A29"/>
        </w:tc>
        <w:tc>
          <w:tcPr>
            <w:tcW w:w="2154" w:type="dxa"/>
            <w:vMerge/>
            <w:tcBorders>
              <w:top w:val="nil"/>
            </w:tcBorders>
          </w:tcPr>
          <w:p w14:paraId="7D7B7A1B" w14:textId="77777777" w:rsidR="00454A29" w:rsidRDefault="00454A29"/>
        </w:tc>
        <w:tc>
          <w:tcPr>
            <w:tcW w:w="2665" w:type="dxa"/>
            <w:vMerge/>
          </w:tcPr>
          <w:p w14:paraId="050864AF" w14:textId="77777777" w:rsidR="00454A29" w:rsidRDefault="00454A29"/>
        </w:tc>
        <w:tc>
          <w:tcPr>
            <w:tcW w:w="2665" w:type="dxa"/>
            <w:vMerge/>
          </w:tcPr>
          <w:p w14:paraId="2E0B3F41" w14:textId="77777777" w:rsidR="00454A29" w:rsidRDefault="00454A29"/>
        </w:tc>
        <w:tc>
          <w:tcPr>
            <w:tcW w:w="1928" w:type="dxa"/>
            <w:vMerge/>
          </w:tcPr>
          <w:p w14:paraId="00866481" w14:textId="77777777" w:rsidR="00454A29" w:rsidRDefault="00454A29"/>
        </w:tc>
        <w:tc>
          <w:tcPr>
            <w:tcW w:w="1644" w:type="dxa"/>
            <w:vMerge/>
          </w:tcPr>
          <w:p w14:paraId="3ECA4BB5" w14:textId="77777777" w:rsidR="00454A29" w:rsidRDefault="00454A29"/>
        </w:tc>
        <w:tc>
          <w:tcPr>
            <w:tcW w:w="2041" w:type="dxa"/>
            <w:vMerge/>
          </w:tcPr>
          <w:p w14:paraId="71C723FC" w14:textId="77777777" w:rsidR="00454A29" w:rsidRDefault="00454A29"/>
        </w:tc>
        <w:tc>
          <w:tcPr>
            <w:tcW w:w="2098" w:type="dxa"/>
            <w:vAlign w:val="center"/>
          </w:tcPr>
          <w:p w14:paraId="7FBC7FEA"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D84407F" w14:textId="77777777" w:rsidR="00454A29" w:rsidRDefault="00454A29">
            <w:pPr>
              <w:pStyle w:val="ConsPlusNormal"/>
              <w:jc w:val="center"/>
            </w:pPr>
            <w:r>
              <w:t>0,00</w:t>
            </w:r>
          </w:p>
        </w:tc>
        <w:tc>
          <w:tcPr>
            <w:tcW w:w="1701" w:type="dxa"/>
            <w:vAlign w:val="center"/>
          </w:tcPr>
          <w:p w14:paraId="55AB3827" w14:textId="77777777" w:rsidR="00454A29" w:rsidRDefault="00454A29">
            <w:pPr>
              <w:pStyle w:val="ConsPlusNormal"/>
              <w:jc w:val="center"/>
            </w:pPr>
            <w:r>
              <w:t>0,00</w:t>
            </w:r>
          </w:p>
        </w:tc>
        <w:tc>
          <w:tcPr>
            <w:tcW w:w="1701" w:type="dxa"/>
            <w:vAlign w:val="center"/>
          </w:tcPr>
          <w:p w14:paraId="24961F4A" w14:textId="77777777" w:rsidR="00454A29" w:rsidRDefault="00454A29">
            <w:pPr>
              <w:pStyle w:val="ConsPlusNormal"/>
              <w:jc w:val="center"/>
            </w:pPr>
            <w:r>
              <w:t>0,00</w:t>
            </w:r>
          </w:p>
        </w:tc>
        <w:tc>
          <w:tcPr>
            <w:tcW w:w="1701" w:type="dxa"/>
            <w:vAlign w:val="center"/>
          </w:tcPr>
          <w:p w14:paraId="2E3B1BAC" w14:textId="77777777" w:rsidR="00454A29" w:rsidRDefault="00454A29">
            <w:pPr>
              <w:pStyle w:val="ConsPlusNormal"/>
              <w:jc w:val="center"/>
            </w:pPr>
            <w:r>
              <w:t>0,00</w:t>
            </w:r>
          </w:p>
        </w:tc>
        <w:tc>
          <w:tcPr>
            <w:tcW w:w="1701" w:type="dxa"/>
            <w:vAlign w:val="center"/>
          </w:tcPr>
          <w:p w14:paraId="2CA15B65" w14:textId="77777777" w:rsidR="00454A29" w:rsidRDefault="00454A29">
            <w:pPr>
              <w:pStyle w:val="ConsPlusNormal"/>
              <w:jc w:val="center"/>
            </w:pPr>
            <w:r>
              <w:t>0,00</w:t>
            </w:r>
          </w:p>
        </w:tc>
        <w:tc>
          <w:tcPr>
            <w:tcW w:w="1701" w:type="dxa"/>
            <w:vAlign w:val="center"/>
          </w:tcPr>
          <w:p w14:paraId="453BF73A" w14:textId="77777777" w:rsidR="00454A29" w:rsidRDefault="00454A29">
            <w:pPr>
              <w:pStyle w:val="ConsPlusNormal"/>
              <w:jc w:val="center"/>
            </w:pPr>
            <w:r>
              <w:t>0,00</w:t>
            </w:r>
          </w:p>
        </w:tc>
        <w:tc>
          <w:tcPr>
            <w:tcW w:w="1701" w:type="dxa"/>
            <w:vAlign w:val="center"/>
          </w:tcPr>
          <w:p w14:paraId="28883521" w14:textId="77777777" w:rsidR="00454A29" w:rsidRDefault="00454A29">
            <w:pPr>
              <w:pStyle w:val="ConsPlusNormal"/>
              <w:jc w:val="center"/>
            </w:pPr>
            <w:r>
              <w:t>0,00</w:t>
            </w:r>
          </w:p>
        </w:tc>
      </w:tr>
      <w:tr w:rsidR="00454A29" w14:paraId="79143CC6" w14:textId="77777777">
        <w:tc>
          <w:tcPr>
            <w:tcW w:w="964" w:type="dxa"/>
            <w:vMerge/>
          </w:tcPr>
          <w:p w14:paraId="7CAACE4E" w14:textId="77777777" w:rsidR="00454A29" w:rsidRDefault="00454A29"/>
        </w:tc>
        <w:tc>
          <w:tcPr>
            <w:tcW w:w="2154" w:type="dxa"/>
            <w:vMerge/>
            <w:tcBorders>
              <w:top w:val="nil"/>
            </w:tcBorders>
          </w:tcPr>
          <w:p w14:paraId="3FB973BB" w14:textId="77777777" w:rsidR="00454A29" w:rsidRDefault="00454A29"/>
        </w:tc>
        <w:tc>
          <w:tcPr>
            <w:tcW w:w="2154" w:type="dxa"/>
            <w:vMerge/>
            <w:tcBorders>
              <w:top w:val="nil"/>
            </w:tcBorders>
          </w:tcPr>
          <w:p w14:paraId="4899AE44" w14:textId="77777777" w:rsidR="00454A29" w:rsidRDefault="00454A29"/>
        </w:tc>
        <w:tc>
          <w:tcPr>
            <w:tcW w:w="2665" w:type="dxa"/>
            <w:vMerge/>
          </w:tcPr>
          <w:p w14:paraId="4ABF3EAB" w14:textId="77777777" w:rsidR="00454A29" w:rsidRDefault="00454A29"/>
        </w:tc>
        <w:tc>
          <w:tcPr>
            <w:tcW w:w="2665" w:type="dxa"/>
            <w:vMerge/>
          </w:tcPr>
          <w:p w14:paraId="25D40967" w14:textId="77777777" w:rsidR="00454A29" w:rsidRDefault="00454A29"/>
        </w:tc>
        <w:tc>
          <w:tcPr>
            <w:tcW w:w="1928" w:type="dxa"/>
            <w:vMerge/>
          </w:tcPr>
          <w:p w14:paraId="527981BE" w14:textId="77777777" w:rsidR="00454A29" w:rsidRDefault="00454A29"/>
        </w:tc>
        <w:tc>
          <w:tcPr>
            <w:tcW w:w="1644" w:type="dxa"/>
            <w:vMerge/>
          </w:tcPr>
          <w:p w14:paraId="1A734140" w14:textId="77777777" w:rsidR="00454A29" w:rsidRDefault="00454A29"/>
        </w:tc>
        <w:tc>
          <w:tcPr>
            <w:tcW w:w="2041" w:type="dxa"/>
            <w:vMerge/>
          </w:tcPr>
          <w:p w14:paraId="529AE4F4" w14:textId="77777777" w:rsidR="00454A29" w:rsidRDefault="00454A29"/>
        </w:tc>
        <w:tc>
          <w:tcPr>
            <w:tcW w:w="2098" w:type="dxa"/>
            <w:vAlign w:val="center"/>
          </w:tcPr>
          <w:p w14:paraId="1B4E4108" w14:textId="77777777" w:rsidR="00454A29" w:rsidRDefault="00454A29">
            <w:pPr>
              <w:pStyle w:val="ConsPlusNormal"/>
              <w:jc w:val="center"/>
            </w:pPr>
            <w:r>
              <w:t>Федеральный бюджет</w:t>
            </w:r>
          </w:p>
        </w:tc>
        <w:tc>
          <w:tcPr>
            <w:tcW w:w="1814" w:type="dxa"/>
            <w:vAlign w:val="center"/>
          </w:tcPr>
          <w:p w14:paraId="242181F6" w14:textId="77777777" w:rsidR="00454A29" w:rsidRDefault="00454A29">
            <w:pPr>
              <w:pStyle w:val="ConsPlusNormal"/>
              <w:jc w:val="center"/>
            </w:pPr>
            <w:r>
              <w:t>0,00</w:t>
            </w:r>
          </w:p>
        </w:tc>
        <w:tc>
          <w:tcPr>
            <w:tcW w:w="1701" w:type="dxa"/>
            <w:vAlign w:val="center"/>
          </w:tcPr>
          <w:p w14:paraId="34837ABB" w14:textId="77777777" w:rsidR="00454A29" w:rsidRDefault="00454A29">
            <w:pPr>
              <w:pStyle w:val="ConsPlusNormal"/>
              <w:jc w:val="center"/>
            </w:pPr>
            <w:r>
              <w:t>0,00</w:t>
            </w:r>
          </w:p>
        </w:tc>
        <w:tc>
          <w:tcPr>
            <w:tcW w:w="1701" w:type="dxa"/>
            <w:vAlign w:val="center"/>
          </w:tcPr>
          <w:p w14:paraId="330832E6" w14:textId="77777777" w:rsidR="00454A29" w:rsidRDefault="00454A29">
            <w:pPr>
              <w:pStyle w:val="ConsPlusNormal"/>
              <w:jc w:val="center"/>
            </w:pPr>
            <w:r>
              <w:t>0,00</w:t>
            </w:r>
          </w:p>
        </w:tc>
        <w:tc>
          <w:tcPr>
            <w:tcW w:w="1701" w:type="dxa"/>
            <w:vAlign w:val="center"/>
          </w:tcPr>
          <w:p w14:paraId="5C9568A9" w14:textId="77777777" w:rsidR="00454A29" w:rsidRDefault="00454A29">
            <w:pPr>
              <w:pStyle w:val="ConsPlusNormal"/>
              <w:jc w:val="center"/>
            </w:pPr>
            <w:r>
              <w:t>0,00</w:t>
            </w:r>
          </w:p>
        </w:tc>
        <w:tc>
          <w:tcPr>
            <w:tcW w:w="1701" w:type="dxa"/>
            <w:vAlign w:val="center"/>
          </w:tcPr>
          <w:p w14:paraId="6ADD03B1" w14:textId="77777777" w:rsidR="00454A29" w:rsidRDefault="00454A29">
            <w:pPr>
              <w:pStyle w:val="ConsPlusNormal"/>
              <w:jc w:val="center"/>
            </w:pPr>
            <w:r>
              <w:t>0,00</w:t>
            </w:r>
          </w:p>
        </w:tc>
        <w:tc>
          <w:tcPr>
            <w:tcW w:w="1701" w:type="dxa"/>
            <w:vAlign w:val="center"/>
          </w:tcPr>
          <w:p w14:paraId="3BE39782" w14:textId="77777777" w:rsidR="00454A29" w:rsidRDefault="00454A29">
            <w:pPr>
              <w:pStyle w:val="ConsPlusNormal"/>
              <w:jc w:val="center"/>
            </w:pPr>
            <w:r>
              <w:t>0,00</w:t>
            </w:r>
          </w:p>
        </w:tc>
        <w:tc>
          <w:tcPr>
            <w:tcW w:w="1701" w:type="dxa"/>
            <w:vAlign w:val="center"/>
          </w:tcPr>
          <w:p w14:paraId="253839F5" w14:textId="77777777" w:rsidR="00454A29" w:rsidRDefault="00454A29">
            <w:pPr>
              <w:pStyle w:val="ConsPlusNormal"/>
              <w:jc w:val="center"/>
            </w:pPr>
            <w:r>
              <w:t>0,00</w:t>
            </w:r>
          </w:p>
        </w:tc>
      </w:tr>
      <w:tr w:rsidR="00454A29" w14:paraId="22520119" w14:textId="77777777">
        <w:tc>
          <w:tcPr>
            <w:tcW w:w="964" w:type="dxa"/>
            <w:vMerge/>
          </w:tcPr>
          <w:p w14:paraId="186C70CB" w14:textId="77777777" w:rsidR="00454A29" w:rsidRDefault="00454A29"/>
        </w:tc>
        <w:tc>
          <w:tcPr>
            <w:tcW w:w="2154" w:type="dxa"/>
            <w:vMerge/>
            <w:tcBorders>
              <w:top w:val="nil"/>
            </w:tcBorders>
          </w:tcPr>
          <w:p w14:paraId="132FCEC6" w14:textId="77777777" w:rsidR="00454A29" w:rsidRDefault="00454A29"/>
        </w:tc>
        <w:tc>
          <w:tcPr>
            <w:tcW w:w="2154" w:type="dxa"/>
            <w:vMerge/>
            <w:tcBorders>
              <w:top w:val="nil"/>
            </w:tcBorders>
          </w:tcPr>
          <w:p w14:paraId="2C1C5028" w14:textId="77777777" w:rsidR="00454A29" w:rsidRDefault="00454A29"/>
        </w:tc>
        <w:tc>
          <w:tcPr>
            <w:tcW w:w="2665" w:type="dxa"/>
            <w:vMerge/>
          </w:tcPr>
          <w:p w14:paraId="553BDA48" w14:textId="77777777" w:rsidR="00454A29" w:rsidRDefault="00454A29"/>
        </w:tc>
        <w:tc>
          <w:tcPr>
            <w:tcW w:w="2665" w:type="dxa"/>
            <w:vMerge/>
          </w:tcPr>
          <w:p w14:paraId="7431EE7E" w14:textId="77777777" w:rsidR="00454A29" w:rsidRDefault="00454A29"/>
        </w:tc>
        <w:tc>
          <w:tcPr>
            <w:tcW w:w="1928" w:type="dxa"/>
            <w:vMerge/>
          </w:tcPr>
          <w:p w14:paraId="3A975F05" w14:textId="77777777" w:rsidR="00454A29" w:rsidRDefault="00454A29"/>
        </w:tc>
        <w:tc>
          <w:tcPr>
            <w:tcW w:w="1644" w:type="dxa"/>
            <w:vMerge/>
          </w:tcPr>
          <w:p w14:paraId="5C251769" w14:textId="77777777" w:rsidR="00454A29" w:rsidRDefault="00454A29"/>
        </w:tc>
        <w:tc>
          <w:tcPr>
            <w:tcW w:w="2041" w:type="dxa"/>
            <w:vMerge/>
          </w:tcPr>
          <w:p w14:paraId="15FFF3C2" w14:textId="77777777" w:rsidR="00454A29" w:rsidRDefault="00454A29"/>
        </w:tc>
        <w:tc>
          <w:tcPr>
            <w:tcW w:w="2098" w:type="dxa"/>
            <w:vAlign w:val="center"/>
          </w:tcPr>
          <w:p w14:paraId="17372070" w14:textId="77777777" w:rsidR="00454A29" w:rsidRDefault="00454A29">
            <w:pPr>
              <w:pStyle w:val="ConsPlusNormal"/>
              <w:jc w:val="center"/>
            </w:pPr>
            <w:r>
              <w:t>Местные бюджеты</w:t>
            </w:r>
          </w:p>
        </w:tc>
        <w:tc>
          <w:tcPr>
            <w:tcW w:w="1814" w:type="dxa"/>
            <w:vAlign w:val="center"/>
          </w:tcPr>
          <w:p w14:paraId="38E41CB0" w14:textId="77777777" w:rsidR="00454A29" w:rsidRDefault="00454A29">
            <w:pPr>
              <w:pStyle w:val="ConsPlusNormal"/>
              <w:jc w:val="center"/>
            </w:pPr>
            <w:r>
              <w:t>0,00</w:t>
            </w:r>
          </w:p>
        </w:tc>
        <w:tc>
          <w:tcPr>
            <w:tcW w:w="1701" w:type="dxa"/>
            <w:vAlign w:val="center"/>
          </w:tcPr>
          <w:p w14:paraId="222D6807" w14:textId="77777777" w:rsidR="00454A29" w:rsidRDefault="00454A29">
            <w:pPr>
              <w:pStyle w:val="ConsPlusNormal"/>
              <w:jc w:val="center"/>
            </w:pPr>
            <w:r>
              <w:t>0,00</w:t>
            </w:r>
          </w:p>
        </w:tc>
        <w:tc>
          <w:tcPr>
            <w:tcW w:w="1701" w:type="dxa"/>
            <w:vAlign w:val="center"/>
          </w:tcPr>
          <w:p w14:paraId="42FC9116" w14:textId="77777777" w:rsidR="00454A29" w:rsidRDefault="00454A29">
            <w:pPr>
              <w:pStyle w:val="ConsPlusNormal"/>
              <w:jc w:val="center"/>
            </w:pPr>
            <w:r>
              <w:t>0,00</w:t>
            </w:r>
          </w:p>
        </w:tc>
        <w:tc>
          <w:tcPr>
            <w:tcW w:w="1701" w:type="dxa"/>
            <w:vAlign w:val="center"/>
          </w:tcPr>
          <w:p w14:paraId="6E56C9D6" w14:textId="77777777" w:rsidR="00454A29" w:rsidRDefault="00454A29">
            <w:pPr>
              <w:pStyle w:val="ConsPlusNormal"/>
              <w:jc w:val="center"/>
            </w:pPr>
            <w:r>
              <w:t>0,00</w:t>
            </w:r>
          </w:p>
        </w:tc>
        <w:tc>
          <w:tcPr>
            <w:tcW w:w="1701" w:type="dxa"/>
            <w:vAlign w:val="center"/>
          </w:tcPr>
          <w:p w14:paraId="128A1693" w14:textId="77777777" w:rsidR="00454A29" w:rsidRDefault="00454A29">
            <w:pPr>
              <w:pStyle w:val="ConsPlusNormal"/>
              <w:jc w:val="center"/>
            </w:pPr>
            <w:r>
              <w:t>0,00</w:t>
            </w:r>
          </w:p>
        </w:tc>
        <w:tc>
          <w:tcPr>
            <w:tcW w:w="1701" w:type="dxa"/>
            <w:vAlign w:val="center"/>
          </w:tcPr>
          <w:p w14:paraId="5690B462" w14:textId="77777777" w:rsidR="00454A29" w:rsidRDefault="00454A29">
            <w:pPr>
              <w:pStyle w:val="ConsPlusNormal"/>
              <w:jc w:val="center"/>
            </w:pPr>
            <w:r>
              <w:t>0,00</w:t>
            </w:r>
          </w:p>
        </w:tc>
        <w:tc>
          <w:tcPr>
            <w:tcW w:w="1701" w:type="dxa"/>
            <w:vAlign w:val="center"/>
          </w:tcPr>
          <w:p w14:paraId="0864E92C" w14:textId="77777777" w:rsidR="00454A29" w:rsidRDefault="00454A29">
            <w:pPr>
              <w:pStyle w:val="ConsPlusNormal"/>
              <w:jc w:val="center"/>
            </w:pPr>
            <w:r>
              <w:t>0,00</w:t>
            </w:r>
          </w:p>
        </w:tc>
      </w:tr>
      <w:tr w:rsidR="00454A29" w14:paraId="322615F6" w14:textId="77777777">
        <w:tc>
          <w:tcPr>
            <w:tcW w:w="964" w:type="dxa"/>
            <w:vMerge/>
          </w:tcPr>
          <w:p w14:paraId="3F00D3D4" w14:textId="77777777" w:rsidR="00454A29" w:rsidRDefault="00454A29"/>
        </w:tc>
        <w:tc>
          <w:tcPr>
            <w:tcW w:w="2154" w:type="dxa"/>
            <w:vMerge/>
            <w:tcBorders>
              <w:top w:val="nil"/>
            </w:tcBorders>
          </w:tcPr>
          <w:p w14:paraId="1DCB4B40" w14:textId="77777777" w:rsidR="00454A29" w:rsidRDefault="00454A29"/>
        </w:tc>
        <w:tc>
          <w:tcPr>
            <w:tcW w:w="2154" w:type="dxa"/>
            <w:vMerge/>
            <w:tcBorders>
              <w:top w:val="nil"/>
            </w:tcBorders>
          </w:tcPr>
          <w:p w14:paraId="1B12AAEC" w14:textId="77777777" w:rsidR="00454A29" w:rsidRDefault="00454A29"/>
        </w:tc>
        <w:tc>
          <w:tcPr>
            <w:tcW w:w="2665" w:type="dxa"/>
            <w:vMerge/>
          </w:tcPr>
          <w:p w14:paraId="3633DCF4" w14:textId="77777777" w:rsidR="00454A29" w:rsidRDefault="00454A29"/>
        </w:tc>
        <w:tc>
          <w:tcPr>
            <w:tcW w:w="2665" w:type="dxa"/>
            <w:vMerge/>
          </w:tcPr>
          <w:p w14:paraId="7EB03F79" w14:textId="77777777" w:rsidR="00454A29" w:rsidRDefault="00454A29"/>
        </w:tc>
        <w:tc>
          <w:tcPr>
            <w:tcW w:w="1928" w:type="dxa"/>
            <w:vMerge/>
          </w:tcPr>
          <w:p w14:paraId="4A80060F" w14:textId="77777777" w:rsidR="00454A29" w:rsidRDefault="00454A29"/>
        </w:tc>
        <w:tc>
          <w:tcPr>
            <w:tcW w:w="1644" w:type="dxa"/>
            <w:vMerge/>
          </w:tcPr>
          <w:p w14:paraId="2C754617" w14:textId="77777777" w:rsidR="00454A29" w:rsidRDefault="00454A29"/>
        </w:tc>
        <w:tc>
          <w:tcPr>
            <w:tcW w:w="2041" w:type="dxa"/>
            <w:vMerge/>
          </w:tcPr>
          <w:p w14:paraId="2A0EB5A0" w14:textId="77777777" w:rsidR="00454A29" w:rsidRDefault="00454A29"/>
        </w:tc>
        <w:tc>
          <w:tcPr>
            <w:tcW w:w="2098" w:type="dxa"/>
            <w:vAlign w:val="center"/>
          </w:tcPr>
          <w:p w14:paraId="115A89BA" w14:textId="77777777" w:rsidR="00454A29" w:rsidRDefault="00454A29">
            <w:pPr>
              <w:pStyle w:val="ConsPlusNormal"/>
              <w:jc w:val="center"/>
            </w:pPr>
            <w:r>
              <w:t>Внебюджетные средства</w:t>
            </w:r>
          </w:p>
        </w:tc>
        <w:tc>
          <w:tcPr>
            <w:tcW w:w="1814" w:type="dxa"/>
            <w:vAlign w:val="center"/>
          </w:tcPr>
          <w:p w14:paraId="59626CCD" w14:textId="77777777" w:rsidR="00454A29" w:rsidRDefault="00454A29">
            <w:pPr>
              <w:pStyle w:val="ConsPlusNormal"/>
              <w:jc w:val="center"/>
            </w:pPr>
            <w:r>
              <w:t>0,00</w:t>
            </w:r>
          </w:p>
        </w:tc>
        <w:tc>
          <w:tcPr>
            <w:tcW w:w="1701" w:type="dxa"/>
            <w:vAlign w:val="center"/>
          </w:tcPr>
          <w:p w14:paraId="2FF4D236" w14:textId="77777777" w:rsidR="00454A29" w:rsidRDefault="00454A29">
            <w:pPr>
              <w:pStyle w:val="ConsPlusNormal"/>
              <w:jc w:val="center"/>
            </w:pPr>
            <w:r>
              <w:t>0,00</w:t>
            </w:r>
          </w:p>
        </w:tc>
        <w:tc>
          <w:tcPr>
            <w:tcW w:w="1701" w:type="dxa"/>
            <w:vAlign w:val="center"/>
          </w:tcPr>
          <w:p w14:paraId="5E311E02" w14:textId="77777777" w:rsidR="00454A29" w:rsidRDefault="00454A29">
            <w:pPr>
              <w:pStyle w:val="ConsPlusNormal"/>
              <w:jc w:val="center"/>
            </w:pPr>
            <w:r>
              <w:t>0,00</w:t>
            </w:r>
          </w:p>
        </w:tc>
        <w:tc>
          <w:tcPr>
            <w:tcW w:w="1701" w:type="dxa"/>
            <w:vAlign w:val="center"/>
          </w:tcPr>
          <w:p w14:paraId="1D591C01" w14:textId="77777777" w:rsidR="00454A29" w:rsidRDefault="00454A29">
            <w:pPr>
              <w:pStyle w:val="ConsPlusNormal"/>
              <w:jc w:val="center"/>
            </w:pPr>
            <w:r>
              <w:t>0,00</w:t>
            </w:r>
          </w:p>
        </w:tc>
        <w:tc>
          <w:tcPr>
            <w:tcW w:w="1701" w:type="dxa"/>
            <w:vAlign w:val="center"/>
          </w:tcPr>
          <w:p w14:paraId="7E940DB4" w14:textId="77777777" w:rsidR="00454A29" w:rsidRDefault="00454A29">
            <w:pPr>
              <w:pStyle w:val="ConsPlusNormal"/>
              <w:jc w:val="center"/>
            </w:pPr>
            <w:r>
              <w:t>0,00</w:t>
            </w:r>
          </w:p>
        </w:tc>
        <w:tc>
          <w:tcPr>
            <w:tcW w:w="1701" w:type="dxa"/>
            <w:vAlign w:val="center"/>
          </w:tcPr>
          <w:p w14:paraId="10DEAD34" w14:textId="77777777" w:rsidR="00454A29" w:rsidRDefault="00454A29">
            <w:pPr>
              <w:pStyle w:val="ConsPlusNormal"/>
              <w:jc w:val="center"/>
            </w:pPr>
            <w:r>
              <w:t>0,00</w:t>
            </w:r>
          </w:p>
        </w:tc>
        <w:tc>
          <w:tcPr>
            <w:tcW w:w="1701" w:type="dxa"/>
            <w:vAlign w:val="center"/>
          </w:tcPr>
          <w:p w14:paraId="49A74C47" w14:textId="77777777" w:rsidR="00454A29" w:rsidRDefault="00454A29">
            <w:pPr>
              <w:pStyle w:val="ConsPlusNormal"/>
              <w:jc w:val="center"/>
            </w:pPr>
            <w:r>
              <w:t>0,00</w:t>
            </w:r>
          </w:p>
        </w:tc>
      </w:tr>
      <w:tr w:rsidR="00454A29" w14:paraId="60179AAA" w14:textId="77777777">
        <w:tc>
          <w:tcPr>
            <w:tcW w:w="964" w:type="dxa"/>
            <w:vMerge w:val="restart"/>
            <w:vAlign w:val="center"/>
          </w:tcPr>
          <w:p w14:paraId="7A2553DB" w14:textId="77777777" w:rsidR="00454A29" w:rsidRDefault="00454A29">
            <w:pPr>
              <w:pStyle w:val="ConsPlusNormal"/>
              <w:jc w:val="center"/>
            </w:pPr>
            <w:r>
              <w:t>4.</w:t>
            </w:r>
          </w:p>
        </w:tc>
        <w:tc>
          <w:tcPr>
            <w:tcW w:w="2154" w:type="dxa"/>
            <w:vMerge w:val="restart"/>
            <w:tcBorders>
              <w:bottom w:val="nil"/>
            </w:tcBorders>
            <w:vAlign w:val="center"/>
          </w:tcPr>
          <w:p w14:paraId="050F026E" w14:textId="77777777" w:rsidR="00454A29" w:rsidRDefault="00454A29">
            <w:pPr>
              <w:pStyle w:val="ConsPlusNormal"/>
              <w:jc w:val="center"/>
            </w:pPr>
            <w:r>
              <w:t>Подпрограмма 3 "Профессиональное образование"</w:t>
            </w:r>
          </w:p>
        </w:tc>
        <w:tc>
          <w:tcPr>
            <w:tcW w:w="2154" w:type="dxa"/>
            <w:vMerge w:val="restart"/>
            <w:tcBorders>
              <w:bottom w:val="nil"/>
            </w:tcBorders>
            <w:vAlign w:val="center"/>
          </w:tcPr>
          <w:p w14:paraId="2BDCF1D5" w14:textId="77777777" w:rsidR="00454A29" w:rsidRDefault="00454A29">
            <w:pPr>
              <w:pStyle w:val="ConsPlusNormal"/>
              <w:jc w:val="center"/>
            </w:pPr>
            <w:r>
              <w:t>Основное мероприятие 3.7. "Реализация регионального проекта "Молодые профессионалы (Повышение конкурентоспособности профессионального образования)"</w:t>
            </w:r>
          </w:p>
        </w:tc>
        <w:tc>
          <w:tcPr>
            <w:tcW w:w="10943" w:type="dxa"/>
            <w:gridSpan w:val="5"/>
            <w:vMerge w:val="restart"/>
            <w:vAlign w:val="center"/>
          </w:tcPr>
          <w:p w14:paraId="563630E0" w14:textId="77777777" w:rsidR="00454A29" w:rsidRDefault="00454A29">
            <w:pPr>
              <w:pStyle w:val="ConsPlusNormal"/>
              <w:jc w:val="center"/>
            </w:pPr>
            <w:r>
              <w:t>ВСЕГО</w:t>
            </w:r>
          </w:p>
        </w:tc>
        <w:tc>
          <w:tcPr>
            <w:tcW w:w="2098" w:type="dxa"/>
            <w:vAlign w:val="center"/>
          </w:tcPr>
          <w:p w14:paraId="77FDD990" w14:textId="77777777" w:rsidR="00454A29" w:rsidRDefault="00454A29">
            <w:pPr>
              <w:pStyle w:val="ConsPlusNormal"/>
              <w:jc w:val="center"/>
            </w:pPr>
            <w:r>
              <w:t>Итого</w:t>
            </w:r>
          </w:p>
        </w:tc>
        <w:tc>
          <w:tcPr>
            <w:tcW w:w="1814" w:type="dxa"/>
            <w:vAlign w:val="center"/>
          </w:tcPr>
          <w:p w14:paraId="6090617F" w14:textId="77777777" w:rsidR="00454A29" w:rsidRDefault="00454A29">
            <w:pPr>
              <w:pStyle w:val="ConsPlusNormal"/>
              <w:jc w:val="center"/>
            </w:pPr>
            <w:r>
              <w:t>57 314,06</w:t>
            </w:r>
          </w:p>
        </w:tc>
        <w:tc>
          <w:tcPr>
            <w:tcW w:w="1701" w:type="dxa"/>
            <w:vAlign w:val="center"/>
          </w:tcPr>
          <w:p w14:paraId="1DF92C77" w14:textId="77777777" w:rsidR="00454A29" w:rsidRDefault="00454A29">
            <w:pPr>
              <w:pStyle w:val="ConsPlusNormal"/>
              <w:jc w:val="center"/>
            </w:pPr>
            <w:r>
              <w:t>0,00</w:t>
            </w:r>
          </w:p>
        </w:tc>
        <w:tc>
          <w:tcPr>
            <w:tcW w:w="1701" w:type="dxa"/>
            <w:vAlign w:val="center"/>
          </w:tcPr>
          <w:p w14:paraId="7B2B9736" w14:textId="77777777" w:rsidR="00454A29" w:rsidRDefault="00454A29">
            <w:pPr>
              <w:pStyle w:val="ConsPlusNormal"/>
              <w:jc w:val="center"/>
            </w:pPr>
            <w:r>
              <w:t>0,00</w:t>
            </w:r>
          </w:p>
        </w:tc>
        <w:tc>
          <w:tcPr>
            <w:tcW w:w="1701" w:type="dxa"/>
            <w:vAlign w:val="center"/>
          </w:tcPr>
          <w:p w14:paraId="5254E57B" w14:textId="77777777" w:rsidR="00454A29" w:rsidRDefault="00454A29">
            <w:pPr>
              <w:pStyle w:val="ConsPlusNormal"/>
              <w:jc w:val="center"/>
            </w:pPr>
            <w:r>
              <w:t>0,00</w:t>
            </w:r>
          </w:p>
        </w:tc>
        <w:tc>
          <w:tcPr>
            <w:tcW w:w="1701" w:type="dxa"/>
            <w:vAlign w:val="center"/>
          </w:tcPr>
          <w:p w14:paraId="1DF48B0F" w14:textId="77777777" w:rsidR="00454A29" w:rsidRDefault="00454A29">
            <w:pPr>
              <w:pStyle w:val="ConsPlusNormal"/>
              <w:jc w:val="center"/>
            </w:pPr>
            <w:r>
              <w:t>0,00</w:t>
            </w:r>
          </w:p>
        </w:tc>
        <w:tc>
          <w:tcPr>
            <w:tcW w:w="1701" w:type="dxa"/>
            <w:vAlign w:val="center"/>
          </w:tcPr>
          <w:p w14:paraId="49877D17" w14:textId="77777777" w:rsidR="00454A29" w:rsidRDefault="00454A29">
            <w:pPr>
              <w:pStyle w:val="ConsPlusNormal"/>
              <w:jc w:val="center"/>
            </w:pPr>
            <w:r>
              <w:t>0,00</w:t>
            </w:r>
          </w:p>
        </w:tc>
        <w:tc>
          <w:tcPr>
            <w:tcW w:w="1701" w:type="dxa"/>
            <w:vAlign w:val="center"/>
          </w:tcPr>
          <w:p w14:paraId="6DD6AF7F" w14:textId="77777777" w:rsidR="00454A29" w:rsidRDefault="00454A29">
            <w:pPr>
              <w:pStyle w:val="ConsPlusNormal"/>
              <w:jc w:val="center"/>
            </w:pPr>
            <w:r>
              <w:t>0,00</w:t>
            </w:r>
          </w:p>
        </w:tc>
      </w:tr>
      <w:tr w:rsidR="00454A29" w14:paraId="63887073" w14:textId="77777777">
        <w:tc>
          <w:tcPr>
            <w:tcW w:w="964" w:type="dxa"/>
            <w:vMerge/>
          </w:tcPr>
          <w:p w14:paraId="04954B98" w14:textId="77777777" w:rsidR="00454A29" w:rsidRDefault="00454A29"/>
        </w:tc>
        <w:tc>
          <w:tcPr>
            <w:tcW w:w="2154" w:type="dxa"/>
            <w:vMerge/>
            <w:tcBorders>
              <w:bottom w:val="nil"/>
            </w:tcBorders>
          </w:tcPr>
          <w:p w14:paraId="6E81C5E8" w14:textId="77777777" w:rsidR="00454A29" w:rsidRDefault="00454A29"/>
        </w:tc>
        <w:tc>
          <w:tcPr>
            <w:tcW w:w="2154" w:type="dxa"/>
            <w:vMerge/>
            <w:tcBorders>
              <w:bottom w:val="nil"/>
            </w:tcBorders>
          </w:tcPr>
          <w:p w14:paraId="03923E43" w14:textId="77777777" w:rsidR="00454A29" w:rsidRDefault="00454A29"/>
        </w:tc>
        <w:tc>
          <w:tcPr>
            <w:tcW w:w="10943" w:type="dxa"/>
            <w:gridSpan w:val="5"/>
            <w:vMerge/>
          </w:tcPr>
          <w:p w14:paraId="1C6B2FE3" w14:textId="77777777" w:rsidR="00454A29" w:rsidRDefault="00454A29"/>
        </w:tc>
        <w:tc>
          <w:tcPr>
            <w:tcW w:w="2098" w:type="dxa"/>
            <w:vAlign w:val="center"/>
          </w:tcPr>
          <w:p w14:paraId="5718DCFF"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FE3120D" w14:textId="77777777" w:rsidR="00454A29" w:rsidRDefault="00454A29">
            <w:pPr>
              <w:pStyle w:val="ConsPlusNormal"/>
              <w:jc w:val="center"/>
            </w:pPr>
            <w:r>
              <w:t>57 314,06</w:t>
            </w:r>
          </w:p>
        </w:tc>
        <w:tc>
          <w:tcPr>
            <w:tcW w:w="1701" w:type="dxa"/>
            <w:vAlign w:val="center"/>
          </w:tcPr>
          <w:p w14:paraId="753880BE" w14:textId="77777777" w:rsidR="00454A29" w:rsidRDefault="00454A29">
            <w:pPr>
              <w:pStyle w:val="ConsPlusNormal"/>
              <w:jc w:val="center"/>
            </w:pPr>
            <w:r>
              <w:t>0,00</w:t>
            </w:r>
          </w:p>
        </w:tc>
        <w:tc>
          <w:tcPr>
            <w:tcW w:w="1701" w:type="dxa"/>
            <w:vAlign w:val="center"/>
          </w:tcPr>
          <w:p w14:paraId="13AFFB54" w14:textId="77777777" w:rsidR="00454A29" w:rsidRDefault="00454A29">
            <w:pPr>
              <w:pStyle w:val="ConsPlusNormal"/>
              <w:jc w:val="center"/>
            </w:pPr>
            <w:r>
              <w:t>0,00</w:t>
            </w:r>
          </w:p>
        </w:tc>
        <w:tc>
          <w:tcPr>
            <w:tcW w:w="1701" w:type="dxa"/>
            <w:vAlign w:val="center"/>
          </w:tcPr>
          <w:p w14:paraId="61497432" w14:textId="77777777" w:rsidR="00454A29" w:rsidRDefault="00454A29">
            <w:pPr>
              <w:pStyle w:val="ConsPlusNormal"/>
              <w:jc w:val="center"/>
            </w:pPr>
            <w:r>
              <w:t>0,00</w:t>
            </w:r>
          </w:p>
        </w:tc>
        <w:tc>
          <w:tcPr>
            <w:tcW w:w="1701" w:type="dxa"/>
            <w:vAlign w:val="center"/>
          </w:tcPr>
          <w:p w14:paraId="59FB8239" w14:textId="77777777" w:rsidR="00454A29" w:rsidRDefault="00454A29">
            <w:pPr>
              <w:pStyle w:val="ConsPlusNormal"/>
              <w:jc w:val="center"/>
            </w:pPr>
            <w:r>
              <w:t>0,00</w:t>
            </w:r>
          </w:p>
        </w:tc>
        <w:tc>
          <w:tcPr>
            <w:tcW w:w="1701" w:type="dxa"/>
            <w:vAlign w:val="center"/>
          </w:tcPr>
          <w:p w14:paraId="20BF994E" w14:textId="77777777" w:rsidR="00454A29" w:rsidRDefault="00454A29">
            <w:pPr>
              <w:pStyle w:val="ConsPlusNormal"/>
              <w:jc w:val="center"/>
            </w:pPr>
            <w:r>
              <w:t>0,00</w:t>
            </w:r>
          </w:p>
        </w:tc>
        <w:tc>
          <w:tcPr>
            <w:tcW w:w="1701" w:type="dxa"/>
            <w:vAlign w:val="center"/>
          </w:tcPr>
          <w:p w14:paraId="7168FB95" w14:textId="77777777" w:rsidR="00454A29" w:rsidRDefault="00454A29">
            <w:pPr>
              <w:pStyle w:val="ConsPlusNormal"/>
              <w:jc w:val="center"/>
            </w:pPr>
            <w:r>
              <w:t>0,00</w:t>
            </w:r>
          </w:p>
        </w:tc>
      </w:tr>
      <w:tr w:rsidR="00454A29" w14:paraId="12A542EF" w14:textId="77777777">
        <w:tc>
          <w:tcPr>
            <w:tcW w:w="964" w:type="dxa"/>
            <w:vMerge/>
          </w:tcPr>
          <w:p w14:paraId="044EC638" w14:textId="77777777" w:rsidR="00454A29" w:rsidRDefault="00454A29"/>
        </w:tc>
        <w:tc>
          <w:tcPr>
            <w:tcW w:w="2154" w:type="dxa"/>
            <w:vMerge/>
            <w:tcBorders>
              <w:bottom w:val="nil"/>
            </w:tcBorders>
          </w:tcPr>
          <w:p w14:paraId="5D170F09" w14:textId="77777777" w:rsidR="00454A29" w:rsidRDefault="00454A29"/>
        </w:tc>
        <w:tc>
          <w:tcPr>
            <w:tcW w:w="2154" w:type="dxa"/>
            <w:vMerge/>
            <w:tcBorders>
              <w:bottom w:val="nil"/>
            </w:tcBorders>
          </w:tcPr>
          <w:p w14:paraId="58A8AB0D" w14:textId="77777777" w:rsidR="00454A29" w:rsidRDefault="00454A29"/>
        </w:tc>
        <w:tc>
          <w:tcPr>
            <w:tcW w:w="10943" w:type="dxa"/>
            <w:gridSpan w:val="5"/>
            <w:vMerge/>
          </w:tcPr>
          <w:p w14:paraId="59B7094F" w14:textId="77777777" w:rsidR="00454A29" w:rsidRDefault="00454A29"/>
        </w:tc>
        <w:tc>
          <w:tcPr>
            <w:tcW w:w="2098" w:type="dxa"/>
            <w:vAlign w:val="center"/>
          </w:tcPr>
          <w:p w14:paraId="5DECF1A4" w14:textId="77777777" w:rsidR="00454A29" w:rsidRDefault="00454A29">
            <w:pPr>
              <w:pStyle w:val="ConsPlusNormal"/>
              <w:jc w:val="center"/>
            </w:pPr>
            <w:r>
              <w:t>Федеральный бюджет</w:t>
            </w:r>
          </w:p>
        </w:tc>
        <w:tc>
          <w:tcPr>
            <w:tcW w:w="1814" w:type="dxa"/>
            <w:vAlign w:val="center"/>
          </w:tcPr>
          <w:p w14:paraId="65FF0787" w14:textId="77777777" w:rsidR="00454A29" w:rsidRDefault="00454A29">
            <w:pPr>
              <w:pStyle w:val="ConsPlusNormal"/>
              <w:jc w:val="center"/>
            </w:pPr>
            <w:r>
              <w:t>0,00</w:t>
            </w:r>
          </w:p>
        </w:tc>
        <w:tc>
          <w:tcPr>
            <w:tcW w:w="1701" w:type="dxa"/>
            <w:vAlign w:val="center"/>
          </w:tcPr>
          <w:p w14:paraId="03D0B5EA" w14:textId="77777777" w:rsidR="00454A29" w:rsidRDefault="00454A29">
            <w:pPr>
              <w:pStyle w:val="ConsPlusNormal"/>
              <w:jc w:val="center"/>
            </w:pPr>
            <w:r>
              <w:t>0,00</w:t>
            </w:r>
          </w:p>
        </w:tc>
        <w:tc>
          <w:tcPr>
            <w:tcW w:w="1701" w:type="dxa"/>
            <w:vAlign w:val="center"/>
          </w:tcPr>
          <w:p w14:paraId="78DF8CC0" w14:textId="77777777" w:rsidR="00454A29" w:rsidRDefault="00454A29">
            <w:pPr>
              <w:pStyle w:val="ConsPlusNormal"/>
              <w:jc w:val="center"/>
            </w:pPr>
            <w:r>
              <w:t>0,00</w:t>
            </w:r>
          </w:p>
        </w:tc>
        <w:tc>
          <w:tcPr>
            <w:tcW w:w="1701" w:type="dxa"/>
            <w:vAlign w:val="center"/>
          </w:tcPr>
          <w:p w14:paraId="33278B2D" w14:textId="77777777" w:rsidR="00454A29" w:rsidRDefault="00454A29">
            <w:pPr>
              <w:pStyle w:val="ConsPlusNormal"/>
              <w:jc w:val="center"/>
            </w:pPr>
            <w:r>
              <w:t>0,00</w:t>
            </w:r>
          </w:p>
        </w:tc>
        <w:tc>
          <w:tcPr>
            <w:tcW w:w="1701" w:type="dxa"/>
            <w:vAlign w:val="center"/>
          </w:tcPr>
          <w:p w14:paraId="0F1306B5" w14:textId="77777777" w:rsidR="00454A29" w:rsidRDefault="00454A29">
            <w:pPr>
              <w:pStyle w:val="ConsPlusNormal"/>
              <w:jc w:val="center"/>
            </w:pPr>
            <w:r>
              <w:t>0,00</w:t>
            </w:r>
          </w:p>
        </w:tc>
        <w:tc>
          <w:tcPr>
            <w:tcW w:w="1701" w:type="dxa"/>
            <w:vAlign w:val="center"/>
          </w:tcPr>
          <w:p w14:paraId="67F4FA8F" w14:textId="77777777" w:rsidR="00454A29" w:rsidRDefault="00454A29">
            <w:pPr>
              <w:pStyle w:val="ConsPlusNormal"/>
              <w:jc w:val="center"/>
            </w:pPr>
            <w:r>
              <w:t>0,00</w:t>
            </w:r>
          </w:p>
        </w:tc>
        <w:tc>
          <w:tcPr>
            <w:tcW w:w="1701" w:type="dxa"/>
            <w:vAlign w:val="center"/>
          </w:tcPr>
          <w:p w14:paraId="3C3D319E" w14:textId="77777777" w:rsidR="00454A29" w:rsidRDefault="00454A29">
            <w:pPr>
              <w:pStyle w:val="ConsPlusNormal"/>
              <w:jc w:val="center"/>
            </w:pPr>
            <w:r>
              <w:t>0,00</w:t>
            </w:r>
          </w:p>
        </w:tc>
      </w:tr>
      <w:tr w:rsidR="00454A29" w14:paraId="71556095" w14:textId="77777777">
        <w:tc>
          <w:tcPr>
            <w:tcW w:w="964" w:type="dxa"/>
            <w:vMerge/>
          </w:tcPr>
          <w:p w14:paraId="690577B4" w14:textId="77777777" w:rsidR="00454A29" w:rsidRDefault="00454A29"/>
        </w:tc>
        <w:tc>
          <w:tcPr>
            <w:tcW w:w="2154" w:type="dxa"/>
            <w:vMerge/>
            <w:tcBorders>
              <w:bottom w:val="nil"/>
            </w:tcBorders>
          </w:tcPr>
          <w:p w14:paraId="11CE2D07" w14:textId="77777777" w:rsidR="00454A29" w:rsidRDefault="00454A29"/>
        </w:tc>
        <w:tc>
          <w:tcPr>
            <w:tcW w:w="2154" w:type="dxa"/>
            <w:vMerge/>
            <w:tcBorders>
              <w:bottom w:val="nil"/>
            </w:tcBorders>
          </w:tcPr>
          <w:p w14:paraId="2DA229F4" w14:textId="77777777" w:rsidR="00454A29" w:rsidRDefault="00454A29"/>
        </w:tc>
        <w:tc>
          <w:tcPr>
            <w:tcW w:w="10943" w:type="dxa"/>
            <w:gridSpan w:val="5"/>
            <w:vMerge/>
          </w:tcPr>
          <w:p w14:paraId="41304943" w14:textId="77777777" w:rsidR="00454A29" w:rsidRDefault="00454A29"/>
        </w:tc>
        <w:tc>
          <w:tcPr>
            <w:tcW w:w="2098" w:type="dxa"/>
            <w:vAlign w:val="center"/>
          </w:tcPr>
          <w:p w14:paraId="74775E16" w14:textId="77777777" w:rsidR="00454A29" w:rsidRDefault="00454A29">
            <w:pPr>
              <w:pStyle w:val="ConsPlusNormal"/>
              <w:jc w:val="center"/>
            </w:pPr>
            <w:r>
              <w:t>Местные бюджеты</w:t>
            </w:r>
          </w:p>
        </w:tc>
        <w:tc>
          <w:tcPr>
            <w:tcW w:w="1814" w:type="dxa"/>
            <w:vAlign w:val="center"/>
          </w:tcPr>
          <w:p w14:paraId="22616E86" w14:textId="77777777" w:rsidR="00454A29" w:rsidRDefault="00454A29">
            <w:pPr>
              <w:pStyle w:val="ConsPlusNormal"/>
              <w:jc w:val="center"/>
            </w:pPr>
            <w:r>
              <w:t>0,00</w:t>
            </w:r>
          </w:p>
        </w:tc>
        <w:tc>
          <w:tcPr>
            <w:tcW w:w="1701" w:type="dxa"/>
            <w:vAlign w:val="center"/>
          </w:tcPr>
          <w:p w14:paraId="0ED9E053" w14:textId="77777777" w:rsidR="00454A29" w:rsidRDefault="00454A29">
            <w:pPr>
              <w:pStyle w:val="ConsPlusNormal"/>
              <w:jc w:val="center"/>
            </w:pPr>
            <w:r>
              <w:t>0,00</w:t>
            </w:r>
          </w:p>
        </w:tc>
        <w:tc>
          <w:tcPr>
            <w:tcW w:w="1701" w:type="dxa"/>
            <w:vAlign w:val="center"/>
          </w:tcPr>
          <w:p w14:paraId="577F9B3B" w14:textId="77777777" w:rsidR="00454A29" w:rsidRDefault="00454A29">
            <w:pPr>
              <w:pStyle w:val="ConsPlusNormal"/>
              <w:jc w:val="center"/>
            </w:pPr>
            <w:r>
              <w:t>0,00</w:t>
            </w:r>
          </w:p>
        </w:tc>
        <w:tc>
          <w:tcPr>
            <w:tcW w:w="1701" w:type="dxa"/>
            <w:vAlign w:val="center"/>
          </w:tcPr>
          <w:p w14:paraId="5573006C" w14:textId="77777777" w:rsidR="00454A29" w:rsidRDefault="00454A29">
            <w:pPr>
              <w:pStyle w:val="ConsPlusNormal"/>
              <w:jc w:val="center"/>
            </w:pPr>
            <w:r>
              <w:t>0,00</w:t>
            </w:r>
          </w:p>
        </w:tc>
        <w:tc>
          <w:tcPr>
            <w:tcW w:w="1701" w:type="dxa"/>
            <w:vAlign w:val="center"/>
          </w:tcPr>
          <w:p w14:paraId="37E40ED8" w14:textId="77777777" w:rsidR="00454A29" w:rsidRDefault="00454A29">
            <w:pPr>
              <w:pStyle w:val="ConsPlusNormal"/>
              <w:jc w:val="center"/>
            </w:pPr>
            <w:r>
              <w:t>0,00</w:t>
            </w:r>
          </w:p>
        </w:tc>
        <w:tc>
          <w:tcPr>
            <w:tcW w:w="1701" w:type="dxa"/>
            <w:vAlign w:val="center"/>
          </w:tcPr>
          <w:p w14:paraId="431A459E" w14:textId="77777777" w:rsidR="00454A29" w:rsidRDefault="00454A29">
            <w:pPr>
              <w:pStyle w:val="ConsPlusNormal"/>
              <w:jc w:val="center"/>
            </w:pPr>
            <w:r>
              <w:t>0,00</w:t>
            </w:r>
          </w:p>
        </w:tc>
        <w:tc>
          <w:tcPr>
            <w:tcW w:w="1701" w:type="dxa"/>
            <w:vAlign w:val="center"/>
          </w:tcPr>
          <w:p w14:paraId="61ED8D5F" w14:textId="77777777" w:rsidR="00454A29" w:rsidRDefault="00454A29">
            <w:pPr>
              <w:pStyle w:val="ConsPlusNormal"/>
              <w:jc w:val="center"/>
            </w:pPr>
            <w:r>
              <w:t>0,00</w:t>
            </w:r>
          </w:p>
        </w:tc>
      </w:tr>
      <w:tr w:rsidR="00454A29" w14:paraId="7475EF39" w14:textId="77777777">
        <w:tc>
          <w:tcPr>
            <w:tcW w:w="964" w:type="dxa"/>
            <w:vMerge/>
          </w:tcPr>
          <w:p w14:paraId="7367239F" w14:textId="77777777" w:rsidR="00454A29" w:rsidRDefault="00454A29"/>
        </w:tc>
        <w:tc>
          <w:tcPr>
            <w:tcW w:w="2154" w:type="dxa"/>
            <w:vMerge/>
            <w:tcBorders>
              <w:bottom w:val="nil"/>
            </w:tcBorders>
          </w:tcPr>
          <w:p w14:paraId="56CE6F64" w14:textId="77777777" w:rsidR="00454A29" w:rsidRDefault="00454A29"/>
        </w:tc>
        <w:tc>
          <w:tcPr>
            <w:tcW w:w="2154" w:type="dxa"/>
            <w:vMerge/>
            <w:tcBorders>
              <w:bottom w:val="nil"/>
            </w:tcBorders>
          </w:tcPr>
          <w:p w14:paraId="48942712" w14:textId="77777777" w:rsidR="00454A29" w:rsidRDefault="00454A29"/>
        </w:tc>
        <w:tc>
          <w:tcPr>
            <w:tcW w:w="10943" w:type="dxa"/>
            <w:gridSpan w:val="5"/>
            <w:vMerge/>
          </w:tcPr>
          <w:p w14:paraId="76ABABE9" w14:textId="77777777" w:rsidR="00454A29" w:rsidRDefault="00454A29"/>
        </w:tc>
        <w:tc>
          <w:tcPr>
            <w:tcW w:w="2098" w:type="dxa"/>
            <w:vAlign w:val="center"/>
          </w:tcPr>
          <w:p w14:paraId="32EF09B3" w14:textId="77777777" w:rsidR="00454A29" w:rsidRDefault="00454A29">
            <w:pPr>
              <w:pStyle w:val="ConsPlusNormal"/>
              <w:jc w:val="center"/>
            </w:pPr>
            <w:r>
              <w:t>Внебюджетные средства</w:t>
            </w:r>
          </w:p>
        </w:tc>
        <w:tc>
          <w:tcPr>
            <w:tcW w:w="1814" w:type="dxa"/>
            <w:vAlign w:val="center"/>
          </w:tcPr>
          <w:p w14:paraId="1753DBD7" w14:textId="77777777" w:rsidR="00454A29" w:rsidRDefault="00454A29">
            <w:pPr>
              <w:pStyle w:val="ConsPlusNormal"/>
              <w:jc w:val="center"/>
            </w:pPr>
            <w:r>
              <w:t>0,00</w:t>
            </w:r>
          </w:p>
        </w:tc>
        <w:tc>
          <w:tcPr>
            <w:tcW w:w="1701" w:type="dxa"/>
            <w:vAlign w:val="center"/>
          </w:tcPr>
          <w:p w14:paraId="07258959" w14:textId="77777777" w:rsidR="00454A29" w:rsidRDefault="00454A29">
            <w:pPr>
              <w:pStyle w:val="ConsPlusNormal"/>
              <w:jc w:val="center"/>
            </w:pPr>
            <w:r>
              <w:t>0,00</w:t>
            </w:r>
          </w:p>
        </w:tc>
        <w:tc>
          <w:tcPr>
            <w:tcW w:w="1701" w:type="dxa"/>
            <w:vAlign w:val="center"/>
          </w:tcPr>
          <w:p w14:paraId="4612BE53" w14:textId="77777777" w:rsidR="00454A29" w:rsidRDefault="00454A29">
            <w:pPr>
              <w:pStyle w:val="ConsPlusNormal"/>
              <w:jc w:val="center"/>
            </w:pPr>
            <w:r>
              <w:t>0,00</w:t>
            </w:r>
          </w:p>
        </w:tc>
        <w:tc>
          <w:tcPr>
            <w:tcW w:w="1701" w:type="dxa"/>
            <w:vAlign w:val="center"/>
          </w:tcPr>
          <w:p w14:paraId="581C4952" w14:textId="77777777" w:rsidR="00454A29" w:rsidRDefault="00454A29">
            <w:pPr>
              <w:pStyle w:val="ConsPlusNormal"/>
              <w:jc w:val="center"/>
            </w:pPr>
            <w:r>
              <w:t>0,00</w:t>
            </w:r>
          </w:p>
        </w:tc>
        <w:tc>
          <w:tcPr>
            <w:tcW w:w="1701" w:type="dxa"/>
            <w:vAlign w:val="center"/>
          </w:tcPr>
          <w:p w14:paraId="5035C074" w14:textId="77777777" w:rsidR="00454A29" w:rsidRDefault="00454A29">
            <w:pPr>
              <w:pStyle w:val="ConsPlusNormal"/>
              <w:jc w:val="center"/>
            </w:pPr>
            <w:r>
              <w:t>0,00</w:t>
            </w:r>
          </w:p>
        </w:tc>
        <w:tc>
          <w:tcPr>
            <w:tcW w:w="1701" w:type="dxa"/>
            <w:vAlign w:val="center"/>
          </w:tcPr>
          <w:p w14:paraId="39251109" w14:textId="77777777" w:rsidR="00454A29" w:rsidRDefault="00454A29">
            <w:pPr>
              <w:pStyle w:val="ConsPlusNormal"/>
              <w:jc w:val="center"/>
            </w:pPr>
            <w:r>
              <w:t>0,00</w:t>
            </w:r>
          </w:p>
        </w:tc>
        <w:tc>
          <w:tcPr>
            <w:tcW w:w="1701" w:type="dxa"/>
            <w:vAlign w:val="center"/>
          </w:tcPr>
          <w:p w14:paraId="5E0B5983" w14:textId="77777777" w:rsidR="00454A29" w:rsidRDefault="00454A29">
            <w:pPr>
              <w:pStyle w:val="ConsPlusNormal"/>
              <w:jc w:val="center"/>
            </w:pPr>
            <w:r>
              <w:t>0,00</w:t>
            </w:r>
          </w:p>
        </w:tc>
      </w:tr>
      <w:tr w:rsidR="00454A29" w14:paraId="39F47E34" w14:textId="77777777">
        <w:tc>
          <w:tcPr>
            <w:tcW w:w="964" w:type="dxa"/>
            <w:vMerge w:val="restart"/>
            <w:vAlign w:val="center"/>
          </w:tcPr>
          <w:p w14:paraId="6B67487A" w14:textId="77777777" w:rsidR="00454A29" w:rsidRDefault="00454A29">
            <w:pPr>
              <w:pStyle w:val="ConsPlusNormal"/>
              <w:jc w:val="center"/>
            </w:pPr>
            <w:r>
              <w:t>4.1.</w:t>
            </w:r>
          </w:p>
        </w:tc>
        <w:tc>
          <w:tcPr>
            <w:tcW w:w="2154" w:type="dxa"/>
            <w:vMerge w:val="restart"/>
            <w:tcBorders>
              <w:top w:val="nil"/>
              <w:bottom w:val="nil"/>
            </w:tcBorders>
            <w:vAlign w:val="center"/>
          </w:tcPr>
          <w:p w14:paraId="74546A60" w14:textId="77777777" w:rsidR="00454A29" w:rsidRDefault="00454A29">
            <w:pPr>
              <w:pStyle w:val="ConsPlusNormal"/>
            </w:pPr>
          </w:p>
        </w:tc>
        <w:tc>
          <w:tcPr>
            <w:tcW w:w="2154" w:type="dxa"/>
            <w:vMerge w:val="restart"/>
            <w:tcBorders>
              <w:top w:val="nil"/>
              <w:bottom w:val="nil"/>
            </w:tcBorders>
            <w:vAlign w:val="center"/>
          </w:tcPr>
          <w:p w14:paraId="6581E107" w14:textId="77777777" w:rsidR="00454A29" w:rsidRDefault="00454A29">
            <w:pPr>
              <w:pStyle w:val="ConsPlusNormal"/>
            </w:pPr>
          </w:p>
        </w:tc>
        <w:tc>
          <w:tcPr>
            <w:tcW w:w="2665" w:type="dxa"/>
            <w:vMerge w:val="restart"/>
            <w:vAlign w:val="center"/>
          </w:tcPr>
          <w:p w14:paraId="42A2C8FF" w14:textId="77777777" w:rsidR="00454A29" w:rsidRDefault="00454A29">
            <w:pPr>
              <w:pStyle w:val="ConsPlusNormal"/>
              <w:jc w:val="center"/>
            </w:pPr>
            <w:r>
              <w:t>Результат 1. Функционирует не менее 1 центра опережающей профессиональной подготовки</w:t>
            </w:r>
          </w:p>
        </w:tc>
        <w:tc>
          <w:tcPr>
            <w:tcW w:w="2665" w:type="dxa"/>
            <w:vMerge w:val="restart"/>
            <w:vAlign w:val="center"/>
          </w:tcPr>
          <w:p w14:paraId="7A05B759" w14:textId="77777777" w:rsidR="00454A29" w:rsidRDefault="00454A29">
            <w:pPr>
              <w:pStyle w:val="ConsPlusNormal"/>
              <w:jc w:val="center"/>
            </w:pPr>
            <w:r>
              <w:t>Мероприятие 3.7.1. Создание центра опережающей профессиональной подготовки (приобретение средств обучения)</w:t>
            </w:r>
          </w:p>
        </w:tc>
        <w:tc>
          <w:tcPr>
            <w:tcW w:w="1928" w:type="dxa"/>
            <w:vMerge w:val="restart"/>
            <w:vAlign w:val="center"/>
          </w:tcPr>
          <w:p w14:paraId="4857D3EF" w14:textId="77777777" w:rsidR="00454A29" w:rsidRDefault="00454A29">
            <w:pPr>
              <w:pStyle w:val="ConsPlusNormal"/>
              <w:jc w:val="center"/>
            </w:pPr>
            <w:r>
              <w:t>-</w:t>
            </w:r>
          </w:p>
        </w:tc>
        <w:tc>
          <w:tcPr>
            <w:tcW w:w="1644" w:type="dxa"/>
            <w:vMerge w:val="restart"/>
            <w:vAlign w:val="center"/>
          </w:tcPr>
          <w:p w14:paraId="6C6A4260" w14:textId="77777777" w:rsidR="00454A29" w:rsidRDefault="00454A29">
            <w:pPr>
              <w:pStyle w:val="ConsPlusNormal"/>
              <w:jc w:val="center"/>
            </w:pPr>
            <w:r>
              <w:t>-</w:t>
            </w:r>
          </w:p>
        </w:tc>
        <w:tc>
          <w:tcPr>
            <w:tcW w:w="2041" w:type="dxa"/>
            <w:vMerge w:val="restart"/>
            <w:vAlign w:val="center"/>
          </w:tcPr>
          <w:p w14:paraId="438152D0" w14:textId="77777777" w:rsidR="00454A29" w:rsidRDefault="00454A29">
            <w:pPr>
              <w:pStyle w:val="ConsPlusNormal"/>
              <w:jc w:val="center"/>
            </w:pPr>
            <w:r>
              <w:t>-</w:t>
            </w:r>
          </w:p>
        </w:tc>
        <w:tc>
          <w:tcPr>
            <w:tcW w:w="2098" w:type="dxa"/>
            <w:vAlign w:val="center"/>
          </w:tcPr>
          <w:p w14:paraId="5352CBCE" w14:textId="77777777" w:rsidR="00454A29" w:rsidRDefault="00454A29">
            <w:pPr>
              <w:pStyle w:val="ConsPlusNormal"/>
              <w:jc w:val="center"/>
            </w:pPr>
            <w:r>
              <w:t>Итого</w:t>
            </w:r>
          </w:p>
        </w:tc>
        <w:tc>
          <w:tcPr>
            <w:tcW w:w="1814" w:type="dxa"/>
            <w:vAlign w:val="center"/>
          </w:tcPr>
          <w:p w14:paraId="2A617A4D" w14:textId="77777777" w:rsidR="00454A29" w:rsidRDefault="00454A29">
            <w:pPr>
              <w:pStyle w:val="ConsPlusNormal"/>
              <w:jc w:val="center"/>
            </w:pPr>
            <w:r>
              <w:t>57 314,06</w:t>
            </w:r>
          </w:p>
        </w:tc>
        <w:tc>
          <w:tcPr>
            <w:tcW w:w="1701" w:type="dxa"/>
            <w:vAlign w:val="center"/>
          </w:tcPr>
          <w:p w14:paraId="789D94FD" w14:textId="77777777" w:rsidR="00454A29" w:rsidRDefault="00454A29">
            <w:pPr>
              <w:pStyle w:val="ConsPlusNormal"/>
              <w:jc w:val="center"/>
            </w:pPr>
            <w:r>
              <w:t>0,00</w:t>
            </w:r>
          </w:p>
        </w:tc>
        <w:tc>
          <w:tcPr>
            <w:tcW w:w="1701" w:type="dxa"/>
            <w:vAlign w:val="center"/>
          </w:tcPr>
          <w:p w14:paraId="5069B6E1" w14:textId="77777777" w:rsidR="00454A29" w:rsidRDefault="00454A29">
            <w:pPr>
              <w:pStyle w:val="ConsPlusNormal"/>
              <w:jc w:val="center"/>
            </w:pPr>
            <w:r>
              <w:t>0,00</w:t>
            </w:r>
          </w:p>
        </w:tc>
        <w:tc>
          <w:tcPr>
            <w:tcW w:w="1701" w:type="dxa"/>
            <w:vAlign w:val="center"/>
          </w:tcPr>
          <w:p w14:paraId="0299B114" w14:textId="77777777" w:rsidR="00454A29" w:rsidRDefault="00454A29">
            <w:pPr>
              <w:pStyle w:val="ConsPlusNormal"/>
              <w:jc w:val="center"/>
            </w:pPr>
            <w:r>
              <w:t>0,00</w:t>
            </w:r>
          </w:p>
        </w:tc>
        <w:tc>
          <w:tcPr>
            <w:tcW w:w="1701" w:type="dxa"/>
            <w:vAlign w:val="center"/>
          </w:tcPr>
          <w:p w14:paraId="5D2B0FD9" w14:textId="77777777" w:rsidR="00454A29" w:rsidRDefault="00454A29">
            <w:pPr>
              <w:pStyle w:val="ConsPlusNormal"/>
              <w:jc w:val="center"/>
            </w:pPr>
            <w:r>
              <w:t>0,00</w:t>
            </w:r>
          </w:p>
        </w:tc>
        <w:tc>
          <w:tcPr>
            <w:tcW w:w="1701" w:type="dxa"/>
            <w:vAlign w:val="center"/>
          </w:tcPr>
          <w:p w14:paraId="580BF1E4" w14:textId="77777777" w:rsidR="00454A29" w:rsidRDefault="00454A29">
            <w:pPr>
              <w:pStyle w:val="ConsPlusNormal"/>
              <w:jc w:val="center"/>
            </w:pPr>
            <w:r>
              <w:t>0,00</w:t>
            </w:r>
          </w:p>
        </w:tc>
        <w:tc>
          <w:tcPr>
            <w:tcW w:w="1701" w:type="dxa"/>
            <w:vAlign w:val="center"/>
          </w:tcPr>
          <w:p w14:paraId="5D4BA48C" w14:textId="77777777" w:rsidR="00454A29" w:rsidRDefault="00454A29">
            <w:pPr>
              <w:pStyle w:val="ConsPlusNormal"/>
              <w:jc w:val="center"/>
            </w:pPr>
            <w:r>
              <w:t>0,00</w:t>
            </w:r>
          </w:p>
        </w:tc>
      </w:tr>
      <w:tr w:rsidR="00454A29" w14:paraId="12451130" w14:textId="77777777">
        <w:tc>
          <w:tcPr>
            <w:tcW w:w="964" w:type="dxa"/>
            <w:vMerge/>
          </w:tcPr>
          <w:p w14:paraId="739A6794" w14:textId="77777777" w:rsidR="00454A29" w:rsidRDefault="00454A29"/>
        </w:tc>
        <w:tc>
          <w:tcPr>
            <w:tcW w:w="2154" w:type="dxa"/>
            <w:vMerge/>
            <w:tcBorders>
              <w:top w:val="nil"/>
              <w:bottom w:val="nil"/>
            </w:tcBorders>
          </w:tcPr>
          <w:p w14:paraId="05849F0A" w14:textId="77777777" w:rsidR="00454A29" w:rsidRDefault="00454A29"/>
        </w:tc>
        <w:tc>
          <w:tcPr>
            <w:tcW w:w="2154" w:type="dxa"/>
            <w:vMerge/>
            <w:tcBorders>
              <w:top w:val="nil"/>
              <w:bottom w:val="nil"/>
            </w:tcBorders>
          </w:tcPr>
          <w:p w14:paraId="4BD6094A" w14:textId="77777777" w:rsidR="00454A29" w:rsidRDefault="00454A29"/>
        </w:tc>
        <w:tc>
          <w:tcPr>
            <w:tcW w:w="2665" w:type="dxa"/>
            <w:vMerge/>
          </w:tcPr>
          <w:p w14:paraId="6D2F40BC" w14:textId="77777777" w:rsidR="00454A29" w:rsidRDefault="00454A29"/>
        </w:tc>
        <w:tc>
          <w:tcPr>
            <w:tcW w:w="2665" w:type="dxa"/>
            <w:vMerge/>
          </w:tcPr>
          <w:p w14:paraId="48D358DE" w14:textId="77777777" w:rsidR="00454A29" w:rsidRDefault="00454A29"/>
        </w:tc>
        <w:tc>
          <w:tcPr>
            <w:tcW w:w="1928" w:type="dxa"/>
            <w:vMerge/>
          </w:tcPr>
          <w:p w14:paraId="6F051E21" w14:textId="77777777" w:rsidR="00454A29" w:rsidRDefault="00454A29"/>
        </w:tc>
        <w:tc>
          <w:tcPr>
            <w:tcW w:w="1644" w:type="dxa"/>
            <w:vMerge/>
          </w:tcPr>
          <w:p w14:paraId="3261BDE4" w14:textId="77777777" w:rsidR="00454A29" w:rsidRDefault="00454A29"/>
        </w:tc>
        <w:tc>
          <w:tcPr>
            <w:tcW w:w="2041" w:type="dxa"/>
            <w:vMerge/>
          </w:tcPr>
          <w:p w14:paraId="6ABEAEDD" w14:textId="77777777" w:rsidR="00454A29" w:rsidRDefault="00454A29"/>
        </w:tc>
        <w:tc>
          <w:tcPr>
            <w:tcW w:w="2098" w:type="dxa"/>
            <w:vAlign w:val="center"/>
          </w:tcPr>
          <w:p w14:paraId="304748BA"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9BDC563" w14:textId="77777777" w:rsidR="00454A29" w:rsidRDefault="00454A29">
            <w:pPr>
              <w:pStyle w:val="ConsPlusNormal"/>
              <w:jc w:val="center"/>
            </w:pPr>
            <w:r>
              <w:t>57 314,06</w:t>
            </w:r>
          </w:p>
        </w:tc>
        <w:tc>
          <w:tcPr>
            <w:tcW w:w="1701" w:type="dxa"/>
            <w:vAlign w:val="center"/>
          </w:tcPr>
          <w:p w14:paraId="404A3B2F" w14:textId="77777777" w:rsidR="00454A29" w:rsidRDefault="00454A29">
            <w:pPr>
              <w:pStyle w:val="ConsPlusNormal"/>
              <w:jc w:val="center"/>
            </w:pPr>
            <w:r>
              <w:t>0,00</w:t>
            </w:r>
          </w:p>
        </w:tc>
        <w:tc>
          <w:tcPr>
            <w:tcW w:w="1701" w:type="dxa"/>
            <w:vAlign w:val="center"/>
          </w:tcPr>
          <w:p w14:paraId="7ACD5A34" w14:textId="77777777" w:rsidR="00454A29" w:rsidRDefault="00454A29">
            <w:pPr>
              <w:pStyle w:val="ConsPlusNormal"/>
              <w:jc w:val="center"/>
            </w:pPr>
            <w:r>
              <w:t>0,00</w:t>
            </w:r>
          </w:p>
        </w:tc>
        <w:tc>
          <w:tcPr>
            <w:tcW w:w="1701" w:type="dxa"/>
            <w:vAlign w:val="center"/>
          </w:tcPr>
          <w:p w14:paraId="330A7ED1" w14:textId="77777777" w:rsidR="00454A29" w:rsidRDefault="00454A29">
            <w:pPr>
              <w:pStyle w:val="ConsPlusNormal"/>
              <w:jc w:val="center"/>
            </w:pPr>
            <w:r>
              <w:t>0,00</w:t>
            </w:r>
          </w:p>
        </w:tc>
        <w:tc>
          <w:tcPr>
            <w:tcW w:w="1701" w:type="dxa"/>
            <w:vAlign w:val="center"/>
          </w:tcPr>
          <w:p w14:paraId="34AFF091" w14:textId="77777777" w:rsidR="00454A29" w:rsidRDefault="00454A29">
            <w:pPr>
              <w:pStyle w:val="ConsPlusNormal"/>
              <w:jc w:val="center"/>
            </w:pPr>
            <w:r>
              <w:t>0,00</w:t>
            </w:r>
          </w:p>
        </w:tc>
        <w:tc>
          <w:tcPr>
            <w:tcW w:w="1701" w:type="dxa"/>
            <w:vAlign w:val="center"/>
          </w:tcPr>
          <w:p w14:paraId="5CACBFF1" w14:textId="77777777" w:rsidR="00454A29" w:rsidRDefault="00454A29">
            <w:pPr>
              <w:pStyle w:val="ConsPlusNormal"/>
              <w:jc w:val="center"/>
            </w:pPr>
            <w:r>
              <w:t>0,00</w:t>
            </w:r>
          </w:p>
        </w:tc>
        <w:tc>
          <w:tcPr>
            <w:tcW w:w="1701" w:type="dxa"/>
            <w:vAlign w:val="center"/>
          </w:tcPr>
          <w:p w14:paraId="6A4C7583" w14:textId="77777777" w:rsidR="00454A29" w:rsidRDefault="00454A29">
            <w:pPr>
              <w:pStyle w:val="ConsPlusNormal"/>
              <w:jc w:val="center"/>
            </w:pPr>
            <w:r>
              <w:t>0,00</w:t>
            </w:r>
          </w:p>
        </w:tc>
      </w:tr>
      <w:tr w:rsidR="00454A29" w14:paraId="4405D24F" w14:textId="77777777">
        <w:tc>
          <w:tcPr>
            <w:tcW w:w="964" w:type="dxa"/>
            <w:vMerge/>
          </w:tcPr>
          <w:p w14:paraId="7EB115CE" w14:textId="77777777" w:rsidR="00454A29" w:rsidRDefault="00454A29"/>
        </w:tc>
        <w:tc>
          <w:tcPr>
            <w:tcW w:w="2154" w:type="dxa"/>
            <w:vMerge/>
            <w:tcBorders>
              <w:top w:val="nil"/>
              <w:bottom w:val="nil"/>
            </w:tcBorders>
          </w:tcPr>
          <w:p w14:paraId="6A9E88F4" w14:textId="77777777" w:rsidR="00454A29" w:rsidRDefault="00454A29"/>
        </w:tc>
        <w:tc>
          <w:tcPr>
            <w:tcW w:w="2154" w:type="dxa"/>
            <w:vMerge/>
            <w:tcBorders>
              <w:top w:val="nil"/>
              <w:bottom w:val="nil"/>
            </w:tcBorders>
          </w:tcPr>
          <w:p w14:paraId="5EF8E210" w14:textId="77777777" w:rsidR="00454A29" w:rsidRDefault="00454A29"/>
        </w:tc>
        <w:tc>
          <w:tcPr>
            <w:tcW w:w="2665" w:type="dxa"/>
            <w:vMerge/>
          </w:tcPr>
          <w:p w14:paraId="0D056F76" w14:textId="77777777" w:rsidR="00454A29" w:rsidRDefault="00454A29"/>
        </w:tc>
        <w:tc>
          <w:tcPr>
            <w:tcW w:w="2665" w:type="dxa"/>
            <w:vMerge/>
          </w:tcPr>
          <w:p w14:paraId="2491A7B5" w14:textId="77777777" w:rsidR="00454A29" w:rsidRDefault="00454A29"/>
        </w:tc>
        <w:tc>
          <w:tcPr>
            <w:tcW w:w="1928" w:type="dxa"/>
            <w:vMerge/>
          </w:tcPr>
          <w:p w14:paraId="02DB9A2F" w14:textId="77777777" w:rsidR="00454A29" w:rsidRDefault="00454A29"/>
        </w:tc>
        <w:tc>
          <w:tcPr>
            <w:tcW w:w="1644" w:type="dxa"/>
            <w:vMerge/>
          </w:tcPr>
          <w:p w14:paraId="3DB69EDE" w14:textId="77777777" w:rsidR="00454A29" w:rsidRDefault="00454A29"/>
        </w:tc>
        <w:tc>
          <w:tcPr>
            <w:tcW w:w="2041" w:type="dxa"/>
            <w:vMerge/>
          </w:tcPr>
          <w:p w14:paraId="21F9816B" w14:textId="77777777" w:rsidR="00454A29" w:rsidRDefault="00454A29"/>
        </w:tc>
        <w:tc>
          <w:tcPr>
            <w:tcW w:w="2098" w:type="dxa"/>
            <w:vAlign w:val="center"/>
          </w:tcPr>
          <w:p w14:paraId="7BE6BD62" w14:textId="77777777" w:rsidR="00454A29" w:rsidRDefault="00454A29">
            <w:pPr>
              <w:pStyle w:val="ConsPlusNormal"/>
              <w:jc w:val="center"/>
            </w:pPr>
            <w:r>
              <w:t>Федеральный бюджет</w:t>
            </w:r>
          </w:p>
        </w:tc>
        <w:tc>
          <w:tcPr>
            <w:tcW w:w="1814" w:type="dxa"/>
            <w:vAlign w:val="center"/>
          </w:tcPr>
          <w:p w14:paraId="5DFC5ECC" w14:textId="77777777" w:rsidR="00454A29" w:rsidRDefault="00454A29">
            <w:pPr>
              <w:pStyle w:val="ConsPlusNormal"/>
              <w:jc w:val="center"/>
            </w:pPr>
            <w:r>
              <w:t>0,00</w:t>
            </w:r>
          </w:p>
        </w:tc>
        <w:tc>
          <w:tcPr>
            <w:tcW w:w="1701" w:type="dxa"/>
            <w:vAlign w:val="center"/>
          </w:tcPr>
          <w:p w14:paraId="35CD9E3D" w14:textId="77777777" w:rsidR="00454A29" w:rsidRDefault="00454A29">
            <w:pPr>
              <w:pStyle w:val="ConsPlusNormal"/>
              <w:jc w:val="center"/>
            </w:pPr>
            <w:r>
              <w:t>0,00</w:t>
            </w:r>
          </w:p>
        </w:tc>
        <w:tc>
          <w:tcPr>
            <w:tcW w:w="1701" w:type="dxa"/>
            <w:vAlign w:val="center"/>
          </w:tcPr>
          <w:p w14:paraId="2C3C53BE" w14:textId="77777777" w:rsidR="00454A29" w:rsidRDefault="00454A29">
            <w:pPr>
              <w:pStyle w:val="ConsPlusNormal"/>
              <w:jc w:val="center"/>
            </w:pPr>
            <w:r>
              <w:t>0,00</w:t>
            </w:r>
          </w:p>
        </w:tc>
        <w:tc>
          <w:tcPr>
            <w:tcW w:w="1701" w:type="dxa"/>
            <w:vAlign w:val="center"/>
          </w:tcPr>
          <w:p w14:paraId="216561BD" w14:textId="77777777" w:rsidR="00454A29" w:rsidRDefault="00454A29">
            <w:pPr>
              <w:pStyle w:val="ConsPlusNormal"/>
              <w:jc w:val="center"/>
            </w:pPr>
            <w:r>
              <w:t>0,00</w:t>
            </w:r>
          </w:p>
        </w:tc>
        <w:tc>
          <w:tcPr>
            <w:tcW w:w="1701" w:type="dxa"/>
            <w:vAlign w:val="center"/>
          </w:tcPr>
          <w:p w14:paraId="49634E9A" w14:textId="77777777" w:rsidR="00454A29" w:rsidRDefault="00454A29">
            <w:pPr>
              <w:pStyle w:val="ConsPlusNormal"/>
              <w:jc w:val="center"/>
            </w:pPr>
            <w:r>
              <w:t>0,00</w:t>
            </w:r>
          </w:p>
        </w:tc>
        <w:tc>
          <w:tcPr>
            <w:tcW w:w="1701" w:type="dxa"/>
            <w:vAlign w:val="center"/>
          </w:tcPr>
          <w:p w14:paraId="01CB339B" w14:textId="77777777" w:rsidR="00454A29" w:rsidRDefault="00454A29">
            <w:pPr>
              <w:pStyle w:val="ConsPlusNormal"/>
              <w:jc w:val="center"/>
            </w:pPr>
            <w:r>
              <w:t>0,00</w:t>
            </w:r>
          </w:p>
        </w:tc>
        <w:tc>
          <w:tcPr>
            <w:tcW w:w="1701" w:type="dxa"/>
            <w:vAlign w:val="center"/>
          </w:tcPr>
          <w:p w14:paraId="6B8763A0" w14:textId="77777777" w:rsidR="00454A29" w:rsidRDefault="00454A29">
            <w:pPr>
              <w:pStyle w:val="ConsPlusNormal"/>
              <w:jc w:val="center"/>
            </w:pPr>
            <w:r>
              <w:t>0,00</w:t>
            </w:r>
          </w:p>
        </w:tc>
      </w:tr>
      <w:tr w:rsidR="00454A29" w14:paraId="6555507B" w14:textId="77777777">
        <w:tc>
          <w:tcPr>
            <w:tcW w:w="964" w:type="dxa"/>
            <w:vMerge/>
          </w:tcPr>
          <w:p w14:paraId="2E6201BC" w14:textId="77777777" w:rsidR="00454A29" w:rsidRDefault="00454A29"/>
        </w:tc>
        <w:tc>
          <w:tcPr>
            <w:tcW w:w="2154" w:type="dxa"/>
            <w:vMerge/>
            <w:tcBorders>
              <w:top w:val="nil"/>
              <w:bottom w:val="nil"/>
            </w:tcBorders>
          </w:tcPr>
          <w:p w14:paraId="00E94565" w14:textId="77777777" w:rsidR="00454A29" w:rsidRDefault="00454A29"/>
        </w:tc>
        <w:tc>
          <w:tcPr>
            <w:tcW w:w="2154" w:type="dxa"/>
            <w:vMerge/>
            <w:tcBorders>
              <w:top w:val="nil"/>
              <w:bottom w:val="nil"/>
            </w:tcBorders>
          </w:tcPr>
          <w:p w14:paraId="1017DABB" w14:textId="77777777" w:rsidR="00454A29" w:rsidRDefault="00454A29"/>
        </w:tc>
        <w:tc>
          <w:tcPr>
            <w:tcW w:w="2665" w:type="dxa"/>
            <w:vMerge/>
          </w:tcPr>
          <w:p w14:paraId="7E2F03C2" w14:textId="77777777" w:rsidR="00454A29" w:rsidRDefault="00454A29"/>
        </w:tc>
        <w:tc>
          <w:tcPr>
            <w:tcW w:w="2665" w:type="dxa"/>
            <w:vMerge/>
          </w:tcPr>
          <w:p w14:paraId="6CB02E49" w14:textId="77777777" w:rsidR="00454A29" w:rsidRDefault="00454A29"/>
        </w:tc>
        <w:tc>
          <w:tcPr>
            <w:tcW w:w="1928" w:type="dxa"/>
            <w:vMerge/>
          </w:tcPr>
          <w:p w14:paraId="3DEC920B" w14:textId="77777777" w:rsidR="00454A29" w:rsidRDefault="00454A29"/>
        </w:tc>
        <w:tc>
          <w:tcPr>
            <w:tcW w:w="1644" w:type="dxa"/>
            <w:vMerge/>
          </w:tcPr>
          <w:p w14:paraId="37AB7CA6" w14:textId="77777777" w:rsidR="00454A29" w:rsidRDefault="00454A29"/>
        </w:tc>
        <w:tc>
          <w:tcPr>
            <w:tcW w:w="2041" w:type="dxa"/>
            <w:vMerge/>
          </w:tcPr>
          <w:p w14:paraId="48D9BF2D" w14:textId="77777777" w:rsidR="00454A29" w:rsidRDefault="00454A29"/>
        </w:tc>
        <w:tc>
          <w:tcPr>
            <w:tcW w:w="2098" w:type="dxa"/>
            <w:vAlign w:val="center"/>
          </w:tcPr>
          <w:p w14:paraId="6487F723" w14:textId="77777777" w:rsidR="00454A29" w:rsidRDefault="00454A29">
            <w:pPr>
              <w:pStyle w:val="ConsPlusNormal"/>
              <w:jc w:val="center"/>
            </w:pPr>
            <w:r>
              <w:t>Местные бюджеты</w:t>
            </w:r>
          </w:p>
        </w:tc>
        <w:tc>
          <w:tcPr>
            <w:tcW w:w="1814" w:type="dxa"/>
            <w:vAlign w:val="center"/>
          </w:tcPr>
          <w:p w14:paraId="4F20F918" w14:textId="77777777" w:rsidR="00454A29" w:rsidRDefault="00454A29">
            <w:pPr>
              <w:pStyle w:val="ConsPlusNormal"/>
              <w:jc w:val="center"/>
            </w:pPr>
            <w:r>
              <w:t>0,00</w:t>
            </w:r>
          </w:p>
        </w:tc>
        <w:tc>
          <w:tcPr>
            <w:tcW w:w="1701" w:type="dxa"/>
            <w:vAlign w:val="center"/>
          </w:tcPr>
          <w:p w14:paraId="3F00DF77" w14:textId="77777777" w:rsidR="00454A29" w:rsidRDefault="00454A29">
            <w:pPr>
              <w:pStyle w:val="ConsPlusNormal"/>
              <w:jc w:val="center"/>
            </w:pPr>
            <w:r>
              <w:t>0,00</w:t>
            </w:r>
          </w:p>
        </w:tc>
        <w:tc>
          <w:tcPr>
            <w:tcW w:w="1701" w:type="dxa"/>
            <w:vAlign w:val="center"/>
          </w:tcPr>
          <w:p w14:paraId="1F89B897" w14:textId="77777777" w:rsidR="00454A29" w:rsidRDefault="00454A29">
            <w:pPr>
              <w:pStyle w:val="ConsPlusNormal"/>
              <w:jc w:val="center"/>
            </w:pPr>
            <w:r>
              <w:t>0,00</w:t>
            </w:r>
          </w:p>
        </w:tc>
        <w:tc>
          <w:tcPr>
            <w:tcW w:w="1701" w:type="dxa"/>
            <w:vAlign w:val="center"/>
          </w:tcPr>
          <w:p w14:paraId="017B42F7" w14:textId="77777777" w:rsidR="00454A29" w:rsidRDefault="00454A29">
            <w:pPr>
              <w:pStyle w:val="ConsPlusNormal"/>
              <w:jc w:val="center"/>
            </w:pPr>
            <w:r>
              <w:t>0,00</w:t>
            </w:r>
          </w:p>
        </w:tc>
        <w:tc>
          <w:tcPr>
            <w:tcW w:w="1701" w:type="dxa"/>
            <w:vAlign w:val="center"/>
          </w:tcPr>
          <w:p w14:paraId="70C4A37E" w14:textId="77777777" w:rsidR="00454A29" w:rsidRDefault="00454A29">
            <w:pPr>
              <w:pStyle w:val="ConsPlusNormal"/>
              <w:jc w:val="center"/>
            </w:pPr>
            <w:r>
              <w:t>0,00</w:t>
            </w:r>
          </w:p>
        </w:tc>
        <w:tc>
          <w:tcPr>
            <w:tcW w:w="1701" w:type="dxa"/>
            <w:vAlign w:val="center"/>
          </w:tcPr>
          <w:p w14:paraId="42C10798" w14:textId="77777777" w:rsidR="00454A29" w:rsidRDefault="00454A29">
            <w:pPr>
              <w:pStyle w:val="ConsPlusNormal"/>
              <w:jc w:val="center"/>
            </w:pPr>
            <w:r>
              <w:t>0,00</w:t>
            </w:r>
          </w:p>
        </w:tc>
        <w:tc>
          <w:tcPr>
            <w:tcW w:w="1701" w:type="dxa"/>
            <w:vAlign w:val="center"/>
          </w:tcPr>
          <w:p w14:paraId="024D2A1D" w14:textId="77777777" w:rsidR="00454A29" w:rsidRDefault="00454A29">
            <w:pPr>
              <w:pStyle w:val="ConsPlusNormal"/>
              <w:jc w:val="center"/>
            </w:pPr>
            <w:r>
              <w:t>0,00</w:t>
            </w:r>
          </w:p>
        </w:tc>
      </w:tr>
      <w:tr w:rsidR="00454A29" w14:paraId="30F7D246" w14:textId="77777777">
        <w:tc>
          <w:tcPr>
            <w:tcW w:w="964" w:type="dxa"/>
            <w:vMerge/>
          </w:tcPr>
          <w:p w14:paraId="14FD7680" w14:textId="77777777" w:rsidR="00454A29" w:rsidRDefault="00454A29"/>
        </w:tc>
        <w:tc>
          <w:tcPr>
            <w:tcW w:w="2154" w:type="dxa"/>
            <w:vMerge/>
            <w:tcBorders>
              <w:top w:val="nil"/>
              <w:bottom w:val="nil"/>
            </w:tcBorders>
          </w:tcPr>
          <w:p w14:paraId="5AB7C19F" w14:textId="77777777" w:rsidR="00454A29" w:rsidRDefault="00454A29"/>
        </w:tc>
        <w:tc>
          <w:tcPr>
            <w:tcW w:w="2154" w:type="dxa"/>
            <w:vMerge/>
            <w:tcBorders>
              <w:top w:val="nil"/>
              <w:bottom w:val="nil"/>
            </w:tcBorders>
          </w:tcPr>
          <w:p w14:paraId="568BE8A5" w14:textId="77777777" w:rsidR="00454A29" w:rsidRDefault="00454A29"/>
        </w:tc>
        <w:tc>
          <w:tcPr>
            <w:tcW w:w="2665" w:type="dxa"/>
            <w:vMerge/>
          </w:tcPr>
          <w:p w14:paraId="5068F3C2" w14:textId="77777777" w:rsidR="00454A29" w:rsidRDefault="00454A29"/>
        </w:tc>
        <w:tc>
          <w:tcPr>
            <w:tcW w:w="2665" w:type="dxa"/>
            <w:vMerge/>
          </w:tcPr>
          <w:p w14:paraId="655C2FF1" w14:textId="77777777" w:rsidR="00454A29" w:rsidRDefault="00454A29"/>
        </w:tc>
        <w:tc>
          <w:tcPr>
            <w:tcW w:w="1928" w:type="dxa"/>
            <w:vMerge/>
          </w:tcPr>
          <w:p w14:paraId="1CA821EB" w14:textId="77777777" w:rsidR="00454A29" w:rsidRDefault="00454A29"/>
        </w:tc>
        <w:tc>
          <w:tcPr>
            <w:tcW w:w="1644" w:type="dxa"/>
            <w:vMerge/>
          </w:tcPr>
          <w:p w14:paraId="792A0763" w14:textId="77777777" w:rsidR="00454A29" w:rsidRDefault="00454A29"/>
        </w:tc>
        <w:tc>
          <w:tcPr>
            <w:tcW w:w="2041" w:type="dxa"/>
            <w:vMerge/>
          </w:tcPr>
          <w:p w14:paraId="5C6A6B0E" w14:textId="77777777" w:rsidR="00454A29" w:rsidRDefault="00454A29"/>
        </w:tc>
        <w:tc>
          <w:tcPr>
            <w:tcW w:w="2098" w:type="dxa"/>
            <w:vAlign w:val="center"/>
          </w:tcPr>
          <w:p w14:paraId="7999EF4B" w14:textId="77777777" w:rsidR="00454A29" w:rsidRDefault="00454A29">
            <w:pPr>
              <w:pStyle w:val="ConsPlusNormal"/>
              <w:jc w:val="center"/>
            </w:pPr>
            <w:r>
              <w:t xml:space="preserve">Внебюджетные </w:t>
            </w:r>
            <w:r>
              <w:lastRenderedPageBreak/>
              <w:t>средства</w:t>
            </w:r>
          </w:p>
        </w:tc>
        <w:tc>
          <w:tcPr>
            <w:tcW w:w="1814" w:type="dxa"/>
            <w:vAlign w:val="center"/>
          </w:tcPr>
          <w:p w14:paraId="217E1013" w14:textId="77777777" w:rsidR="00454A29" w:rsidRDefault="00454A29">
            <w:pPr>
              <w:pStyle w:val="ConsPlusNormal"/>
              <w:jc w:val="center"/>
            </w:pPr>
            <w:r>
              <w:lastRenderedPageBreak/>
              <w:t>0,00</w:t>
            </w:r>
          </w:p>
        </w:tc>
        <w:tc>
          <w:tcPr>
            <w:tcW w:w="1701" w:type="dxa"/>
            <w:vAlign w:val="center"/>
          </w:tcPr>
          <w:p w14:paraId="7C3B7E3E" w14:textId="77777777" w:rsidR="00454A29" w:rsidRDefault="00454A29">
            <w:pPr>
              <w:pStyle w:val="ConsPlusNormal"/>
              <w:jc w:val="center"/>
            </w:pPr>
            <w:r>
              <w:t>0,00</w:t>
            </w:r>
          </w:p>
        </w:tc>
        <w:tc>
          <w:tcPr>
            <w:tcW w:w="1701" w:type="dxa"/>
            <w:vAlign w:val="center"/>
          </w:tcPr>
          <w:p w14:paraId="11670C75" w14:textId="77777777" w:rsidR="00454A29" w:rsidRDefault="00454A29">
            <w:pPr>
              <w:pStyle w:val="ConsPlusNormal"/>
              <w:jc w:val="center"/>
            </w:pPr>
            <w:r>
              <w:t>0,00</w:t>
            </w:r>
          </w:p>
        </w:tc>
        <w:tc>
          <w:tcPr>
            <w:tcW w:w="1701" w:type="dxa"/>
            <w:vAlign w:val="center"/>
          </w:tcPr>
          <w:p w14:paraId="3955A8C4" w14:textId="77777777" w:rsidR="00454A29" w:rsidRDefault="00454A29">
            <w:pPr>
              <w:pStyle w:val="ConsPlusNormal"/>
              <w:jc w:val="center"/>
            </w:pPr>
            <w:r>
              <w:t>0,00</w:t>
            </w:r>
          </w:p>
        </w:tc>
        <w:tc>
          <w:tcPr>
            <w:tcW w:w="1701" w:type="dxa"/>
            <w:vAlign w:val="center"/>
          </w:tcPr>
          <w:p w14:paraId="26382CE3" w14:textId="77777777" w:rsidR="00454A29" w:rsidRDefault="00454A29">
            <w:pPr>
              <w:pStyle w:val="ConsPlusNormal"/>
              <w:jc w:val="center"/>
            </w:pPr>
            <w:r>
              <w:t>0,00</w:t>
            </w:r>
          </w:p>
        </w:tc>
        <w:tc>
          <w:tcPr>
            <w:tcW w:w="1701" w:type="dxa"/>
            <w:vAlign w:val="center"/>
          </w:tcPr>
          <w:p w14:paraId="541ED775" w14:textId="77777777" w:rsidR="00454A29" w:rsidRDefault="00454A29">
            <w:pPr>
              <w:pStyle w:val="ConsPlusNormal"/>
              <w:jc w:val="center"/>
            </w:pPr>
            <w:r>
              <w:t>0,00</w:t>
            </w:r>
          </w:p>
        </w:tc>
        <w:tc>
          <w:tcPr>
            <w:tcW w:w="1701" w:type="dxa"/>
            <w:vAlign w:val="center"/>
          </w:tcPr>
          <w:p w14:paraId="3E3C78EC" w14:textId="77777777" w:rsidR="00454A29" w:rsidRDefault="00454A29">
            <w:pPr>
              <w:pStyle w:val="ConsPlusNormal"/>
              <w:jc w:val="center"/>
            </w:pPr>
            <w:r>
              <w:t>0,00</w:t>
            </w:r>
          </w:p>
        </w:tc>
      </w:tr>
      <w:tr w:rsidR="00454A29" w14:paraId="52D61A07" w14:textId="77777777">
        <w:tc>
          <w:tcPr>
            <w:tcW w:w="964" w:type="dxa"/>
            <w:vMerge w:val="restart"/>
            <w:vAlign w:val="center"/>
          </w:tcPr>
          <w:p w14:paraId="2E4A876B" w14:textId="77777777" w:rsidR="00454A29" w:rsidRDefault="00454A29">
            <w:pPr>
              <w:pStyle w:val="ConsPlusNormal"/>
              <w:jc w:val="center"/>
            </w:pPr>
            <w:r>
              <w:t>4.2.</w:t>
            </w:r>
          </w:p>
        </w:tc>
        <w:tc>
          <w:tcPr>
            <w:tcW w:w="2154" w:type="dxa"/>
            <w:vMerge w:val="restart"/>
            <w:tcBorders>
              <w:top w:val="nil"/>
              <w:bottom w:val="nil"/>
            </w:tcBorders>
            <w:vAlign w:val="center"/>
          </w:tcPr>
          <w:p w14:paraId="7C39F25A" w14:textId="77777777" w:rsidR="00454A29" w:rsidRDefault="00454A29">
            <w:pPr>
              <w:pStyle w:val="ConsPlusNormal"/>
            </w:pPr>
          </w:p>
        </w:tc>
        <w:tc>
          <w:tcPr>
            <w:tcW w:w="2154" w:type="dxa"/>
            <w:vMerge w:val="restart"/>
            <w:tcBorders>
              <w:top w:val="nil"/>
              <w:bottom w:val="nil"/>
            </w:tcBorders>
            <w:vAlign w:val="center"/>
          </w:tcPr>
          <w:p w14:paraId="561368C5" w14:textId="77777777" w:rsidR="00454A29" w:rsidRDefault="00454A29">
            <w:pPr>
              <w:pStyle w:val="ConsPlusNormal"/>
            </w:pPr>
          </w:p>
        </w:tc>
        <w:tc>
          <w:tcPr>
            <w:tcW w:w="2665" w:type="dxa"/>
            <w:vMerge w:val="restart"/>
            <w:vAlign w:val="center"/>
          </w:tcPr>
          <w:p w14:paraId="41A733FE" w14:textId="77777777" w:rsidR="00454A29" w:rsidRDefault="00454A29">
            <w:pPr>
              <w:pStyle w:val="ConsPlusNormal"/>
              <w:jc w:val="center"/>
            </w:pPr>
            <w:r>
              <w:t>Результат 2. Функционируют не менее 50 мастерских, оснащенных современной материально-технической базой по одной из компетенций</w:t>
            </w:r>
          </w:p>
        </w:tc>
        <w:tc>
          <w:tcPr>
            <w:tcW w:w="2665" w:type="dxa"/>
            <w:vMerge w:val="restart"/>
            <w:vAlign w:val="center"/>
          </w:tcPr>
          <w:p w14:paraId="46827CBA" w14:textId="77777777" w:rsidR="00454A29" w:rsidRDefault="00454A29">
            <w:pPr>
              <w:pStyle w:val="ConsPlusNormal"/>
              <w:jc w:val="center"/>
            </w:pPr>
            <w:r>
              <w:t>Мероприятие 3.7.2. Создание мастерских, оснащенных современной материально-технической базой по одной из компетенций (приобретение средств обучения)</w:t>
            </w:r>
          </w:p>
        </w:tc>
        <w:tc>
          <w:tcPr>
            <w:tcW w:w="1928" w:type="dxa"/>
            <w:vMerge w:val="restart"/>
            <w:vAlign w:val="center"/>
          </w:tcPr>
          <w:p w14:paraId="16F7C32A" w14:textId="77777777" w:rsidR="00454A29" w:rsidRDefault="00454A29">
            <w:pPr>
              <w:pStyle w:val="ConsPlusNormal"/>
              <w:jc w:val="center"/>
            </w:pPr>
            <w:r>
              <w:t>-</w:t>
            </w:r>
          </w:p>
        </w:tc>
        <w:tc>
          <w:tcPr>
            <w:tcW w:w="1644" w:type="dxa"/>
            <w:vMerge w:val="restart"/>
            <w:vAlign w:val="center"/>
          </w:tcPr>
          <w:p w14:paraId="3A06E2B2" w14:textId="77777777" w:rsidR="00454A29" w:rsidRDefault="00454A29">
            <w:pPr>
              <w:pStyle w:val="ConsPlusNormal"/>
              <w:jc w:val="center"/>
            </w:pPr>
            <w:r>
              <w:t>-</w:t>
            </w:r>
          </w:p>
        </w:tc>
        <w:tc>
          <w:tcPr>
            <w:tcW w:w="2041" w:type="dxa"/>
            <w:vMerge w:val="restart"/>
            <w:vAlign w:val="center"/>
          </w:tcPr>
          <w:p w14:paraId="3533A899" w14:textId="77777777" w:rsidR="00454A29" w:rsidRDefault="00454A29">
            <w:pPr>
              <w:pStyle w:val="ConsPlusNormal"/>
              <w:jc w:val="center"/>
            </w:pPr>
            <w:r>
              <w:t>-</w:t>
            </w:r>
          </w:p>
        </w:tc>
        <w:tc>
          <w:tcPr>
            <w:tcW w:w="2098" w:type="dxa"/>
            <w:vAlign w:val="center"/>
          </w:tcPr>
          <w:p w14:paraId="19D7B892" w14:textId="77777777" w:rsidR="00454A29" w:rsidRDefault="00454A29">
            <w:pPr>
              <w:pStyle w:val="ConsPlusNormal"/>
              <w:jc w:val="center"/>
            </w:pPr>
            <w:r>
              <w:t>Итого</w:t>
            </w:r>
          </w:p>
        </w:tc>
        <w:tc>
          <w:tcPr>
            <w:tcW w:w="1814" w:type="dxa"/>
            <w:vAlign w:val="center"/>
          </w:tcPr>
          <w:p w14:paraId="03D07B5B" w14:textId="77777777" w:rsidR="00454A29" w:rsidRDefault="00454A29">
            <w:pPr>
              <w:pStyle w:val="ConsPlusNormal"/>
              <w:jc w:val="center"/>
            </w:pPr>
            <w:r>
              <w:t>0,00</w:t>
            </w:r>
          </w:p>
        </w:tc>
        <w:tc>
          <w:tcPr>
            <w:tcW w:w="1701" w:type="dxa"/>
            <w:vAlign w:val="center"/>
          </w:tcPr>
          <w:p w14:paraId="7018FC04" w14:textId="77777777" w:rsidR="00454A29" w:rsidRDefault="00454A29">
            <w:pPr>
              <w:pStyle w:val="ConsPlusNormal"/>
              <w:jc w:val="center"/>
            </w:pPr>
            <w:r>
              <w:t>0,00</w:t>
            </w:r>
          </w:p>
        </w:tc>
        <w:tc>
          <w:tcPr>
            <w:tcW w:w="1701" w:type="dxa"/>
            <w:vAlign w:val="center"/>
          </w:tcPr>
          <w:p w14:paraId="09891ADF" w14:textId="77777777" w:rsidR="00454A29" w:rsidRDefault="00454A29">
            <w:pPr>
              <w:pStyle w:val="ConsPlusNormal"/>
              <w:jc w:val="center"/>
            </w:pPr>
            <w:r>
              <w:t>0,00</w:t>
            </w:r>
          </w:p>
        </w:tc>
        <w:tc>
          <w:tcPr>
            <w:tcW w:w="1701" w:type="dxa"/>
            <w:vAlign w:val="center"/>
          </w:tcPr>
          <w:p w14:paraId="6BD88266" w14:textId="77777777" w:rsidR="00454A29" w:rsidRDefault="00454A29">
            <w:pPr>
              <w:pStyle w:val="ConsPlusNormal"/>
              <w:jc w:val="center"/>
            </w:pPr>
            <w:r>
              <w:t>0,00</w:t>
            </w:r>
          </w:p>
        </w:tc>
        <w:tc>
          <w:tcPr>
            <w:tcW w:w="1701" w:type="dxa"/>
            <w:vAlign w:val="center"/>
          </w:tcPr>
          <w:p w14:paraId="6C0F7565" w14:textId="77777777" w:rsidR="00454A29" w:rsidRDefault="00454A29">
            <w:pPr>
              <w:pStyle w:val="ConsPlusNormal"/>
              <w:jc w:val="center"/>
            </w:pPr>
            <w:r>
              <w:t>0,00</w:t>
            </w:r>
          </w:p>
        </w:tc>
        <w:tc>
          <w:tcPr>
            <w:tcW w:w="1701" w:type="dxa"/>
            <w:vAlign w:val="center"/>
          </w:tcPr>
          <w:p w14:paraId="281784BA" w14:textId="77777777" w:rsidR="00454A29" w:rsidRDefault="00454A29">
            <w:pPr>
              <w:pStyle w:val="ConsPlusNormal"/>
              <w:jc w:val="center"/>
            </w:pPr>
            <w:r>
              <w:t>0,00</w:t>
            </w:r>
          </w:p>
        </w:tc>
        <w:tc>
          <w:tcPr>
            <w:tcW w:w="1701" w:type="dxa"/>
            <w:vAlign w:val="center"/>
          </w:tcPr>
          <w:p w14:paraId="294B8FBD" w14:textId="77777777" w:rsidR="00454A29" w:rsidRDefault="00454A29">
            <w:pPr>
              <w:pStyle w:val="ConsPlusNormal"/>
              <w:jc w:val="center"/>
            </w:pPr>
            <w:r>
              <w:t>0,00</w:t>
            </w:r>
          </w:p>
        </w:tc>
      </w:tr>
      <w:tr w:rsidR="00454A29" w14:paraId="7BCD61C9" w14:textId="77777777">
        <w:tc>
          <w:tcPr>
            <w:tcW w:w="964" w:type="dxa"/>
            <w:vMerge/>
          </w:tcPr>
          <w:p w14:paraId="7AB16C9C" w14:textId="77777777" w:rsidR="00454A29" w:rsidRDefault="00454A29"/>
        </w:tc>
        <w:tc>
          <w:tcPr>
            <w:tcW w:w="2154" w:type="dxa"/>
            <w:vMerge/>
            <w:tcBorders>
              <w:top w:val="nil"/>
              <w:bottom w:val="nil"/>
            </w:tcBorders>
          </w:tcPr>
          <w:p w14:paraId="03A0965C" w14:textId="77777777" w:rsidR="00454A29" w:rsidRDefault="00454A29"/>
        </w:tc>
        <w:tc>
          <w:tcPr>
            <w:tcW w:w="2154" w:type="dxa"/>
            <w:vMerge/>
            <w:tcBorders>
              <w:top w:val="nil"/>
              <w:bottom w:val="nil"/>
            </w:tcBorders>
          </w:tcPr>
          <w:p w14:paraId="42B4FA4C" w14:textId="77777777" w:rsidR="00454A29" w:rsidRDefault="00454A29"/>
        </w:tc>
        <w:tc>
          <w:tcPr>
            <w:tcW w:w="2665" w:type="dxa"/>
            <w:vMerge/>
          </w:tcPr>
          <w:p w14:paraId="33F31C43" w14:textId="77777777" w:rsidR="00454A29" w:rsidRDefault="00454A29"/>
        </w:tc>
        <w:tc>
          <w:tcPr>
            <w:tcW w:w="2665" w:type="dxa"/>
            <w:vMerge/>
          </w:tcPr>
          <w:p w14:paraId="10900A56" w14:textId="77777777" w:rsidR="00454A29" w:rsidRDefault="00454A29"/>
        </w:tc>
        <w:tc>
          <w:tcPr>
            <w:tcW w:w="1928" w:type="dxa"/>
            <w:vMerge/>
          </w:tcPr>
          <w:p w14:paraId="00E95079" w14:textId="77777777" w:rsidR="00454A29" w:rsidRDefault="00454A29"/>
        </w:tc>
        <w:tc>
          <w:tcPr>
            <w:tcW w:w="1644" w:type="dxa"/>
            <w:vMerge/>
          </w:tcPr>
          <w:p w14:paraId="11C0F386" w14:textId="77777777" w:rsidR="00454A29" w:rsidRDefault="00454A29"/>
        </w:tc>
        <w:tc>
          <w:tcPr>
            <w:tcW w:w="2041" w:type="dxa"/>
            <w:vMerge/>
          </w:tcPr>
          <w:p w14:paraId="324B0CAF" w14:textId="77777777" w:rsidR="00454A29" w:rsidRDefault="00454A29"/>
        </w:tc>
        <w:tc>
          <w:tcPr>
            <w:tcW w:w="2098" w:type="dxa"/>
            <w:vAlign w:val="center"/>
          </w:tcPr>
          <w:p w14:paraId="043272FA"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1E71910A" w14:textId="77777777" w:rsidR="00454A29" w:rsidRDefault="00454A29">
            <w:pPr>
              <w:pStyle w:val="ConsPlusNormal"/>
              <w:jc w:val="center"/>
            </w:pPr>
            <w:r>
              <w:t>0,00</w:t>
            </w:r>
          </w:p>
        </w:tc>
        <w:tc>
          <w:tcPr>
            <w:tcW w:w="1701" w:type="dxa"/>
            <w:vAlign w:val="center"/>
          </w:tcPr>
          <w:p w14:paraId="05D5EEE9" w14:textId="77777777" w:rsidR="00454A29" w:rsidRDefault="00454A29">
            <w:pPr>
              <w:pStyle w:val="ConsPlusNormal"/>
              <w:jc w:val="center"/>
            </w:pPr>
            <w:r>
              <w:t>0,00</w:t>
            </w:r>
          </w:p>
        </w:tc>
        <w:tc>
          <w:tcPr>
            <w:tcW w:w="1701" w:type="dxa"/>
            <w:vAlign w:val="center"/>
          </w:tcPr>
          <w:p w14:paraId="7B3B1A4C" w14:textId="77777777" w:rsidR="00454A29" w:rsidRDefault="00454A29">
            <w:pPr>
              <w:pStyle w:val="ConsPlusNormal"/>
              <w:jc w:val="center"/>
            </w:pPr>
            <w:r>
              <w:t>0,00</w:t>
            </w:r>
          </w:p>
        </w:tc>
        <w:tc>
          <w:tcPr>
            <w:tcW w:w="1701" w:type="dxa"/>
            <w:vAlign w:val="center"/>
          </w:tcPr>
          <w:p w14:paraId="256CE044" w14:textId="77777777" w:rsidR="00454A29" w:rsidRDefault="00454A29">
            <w:pPr>
              <w:pStyle w:val="ConsPlusNormal"/>
              <w:jc w:val="center"/>
            </w:pPr>
            <w:r>
              <w:t>0,00</w:t>
            </w:r>
          </w:p>
        </w:tc>
        <w:tc>
          <w:tcPr>
            <w:tcW w:w="1701" w:type="dxa"/>
            <w:vAlign w:val="center"/>
          </w:tcPr>
          <w:p w14:paraId="5CE45C4E" w14:textId="77777777" w:rsidR="00454A29" w:rsidRDefault="00454A29">
            <w:pPr>
              <w:pStyle w:val="ConsPlusNormal"/>
              <w:jc w:val="center"/>
            </w:pPr>
            <w:r>
              <w:t>0,00</w:t>
            </w:r>
          </w:p>
        </w:tc>
        <w:tc>
          <w:tcPr>
            <w:tcW w:w="1701" w:type="dxa"/>
            <w:vAlign w:val="center"/>
          </w:tcPr>
          <w:p w14:paraId="3FB600BD" w14:textId="77777777" w:rsidR="00454A29" w:rsidRDefault="00454A29">
            <w:pPr>
              <w:pStyle w:val="ConsPlusNormal"/>
              <w:jc w:val="center"/>
            </w:pPr>
            <w:r>
              <w:t>0,00</w:t>
            </w:r>
          </w:p>
        </w:tc>
        <w:tc>
          <w:tcPr>
            <w:tcW w:w="1701" w:type="dxa"/>
            <w:vAlign w:val="center"/>
          </w:tcPr>
          <w:p w14:paraId="44473BC9" w14:textId="77777777" w:rsidR="00454A29" w:rsidRDefault="00454A29">
            <w:pPr>
              <w:pStyle w:val="ConsPlusNormal"/>
              <w:jc w:val="center"/>
            </w:pPr>
            <w:r>
              <w:t>0,00</w:t>
            </w:r>
          </w:p>
        </w:tc>
      </w:tr>
      <w:tr w:rsidR="00454A29" w14:paraId="2C0CA4B4" w14:textId="77777777">
        <w:tc>
          <w:tcPr>
            <w:tcW w:w="964" w:type="dxa"/>
            <w:vMerge/>
          </w:tcPr>
          <w:p w14:paraId="112D5F13" w14:textId="77777777" w:rsidR="00454A29" w:rsidRDefault="00454A29"/>
        </w:tc>
        <w:tc>
          <w:tcPr>
            <w:tcW w:w="2154" w:type="dxa"/>
            <w:vMerge/>
            <w:tcBorders>
              <w:top w:val="nil"/>
              <w:bottom w:val="nil"/>
            </w:tcBorders>
          </w:tcPr>
          <w:p w14:paraId="14A5038B" w14:textId="77777777" w:rsidR="00454A29" w:rsidRDefault="00454A29"/>
        </w:tc>
        <w:tc>
          <w:tcPr>
            <w:tcW w:w="2154" w:type="dxa"/>
            <w:vMerge/>
            <w:tcBorders>
              <w:top w:val="nil"/>
              <w:bottom w:val="nil"/>
            </w:tcBorders>
          </w:tcPr>
          <w:p w14:paraId="1985A259" w14:textId="77777777" w:rsidR="00454A29" w:rsidRDefault="00454A29"/>
        </w:tc>
        <w:tc>
          <w:tcPr>
            <w:tcW w:w="2665" w:type="dxa"/>
            <w:vMerge/>
          </w:tcPr>
          <w:p w14:paraId="36B1E24F" w14:textId="77777777" w:rsidR="00454A29" w:rsidRDefault="00454A29"/>
        </w:tc>
        <w:tc>
          <w:tcPr>
            <w:tcW w:w="2665" w:type="dxa"/>
            <w:vMerge/>
          </w:tcPr>
          <w:p w14:paraId="6143D075" w14:textId="77777777" w:rsidR="00454A29" w:rsidRDefault="00454A29"/>
        </w:tc>
        <w:tc>
          <w:tcPr>
            <w:tcW w:w="1928" w:type="dxa"/>
            <w:vMerge/>
          </w:tcPr>
          <w:p w14:paraId="01A0F798" w14:textId="77777777" w:rsidR="00454A29" w:rsidRDefault="00454A29"/>
        </w:tc>
        <w:tc>
          <w:tcPr>
            <w:tcW w:w="1644" w:type="dxa"/>
            <w:vMerge/>
          </w:tcPr>
          <w:p w14:paraId="17472297" w14:textId="77777777" w:rsidR="00454A29" w:rsidRDefault="00454A29"/>
        </w:tc>
        <w:tc>
          <w:tcPr>
            <w:tcW w:w="2041" w:type="dxa"/>
            <w:vMerge/>
          </w:tcPr>
          <w:p w14:paraId="1F06C051" w14:textId="77777777" w:rsidR="00454A29" w:rsidRDefault="00454A29"/>
        </w:tc>
        <w:tc>
          <w:tcPr>
            <w:tcW w:w="2098" w:type="dxa"/>
            <w:vAlign w:val="center"/>
          </w:tcPr>
          <w:p w14:paraId="610CB103" w14:textId="77777777" w:rsidR="00454A29" w:rsidRDefault="00454A29">
            <w:pPr>
              <w:pStyle w:val="ConsPlusNormal"/>
              <w:jc w:val="center"/>
            </w:pPr>
            <w:r>
              <w:t>Федеральный бюджет</w:t>
            </w:r>
          </w:p>
        </w:tc>
        <w:tc>
          <w:tcPr>
            <w:tcW w:w="1814" w:type="dxa"/>
            <w:vAlign w:val="center"/>
          </w:tcPr>
          <w:p w14:paraId="3EEFB085" w14:textId="77777777" w:rsidR="00454A29" w:rsidRDefault="00454A29">
            <w:pPr>
              <w:pStyle w:val="ConsPlusNormal"/>
              <w:jc w:val="center"/>
            </w:pPr>
            <w:r>
              <w:t>0,00</w:t>
            </w:r>
          </w:p>
        </w:tc>
        <w:tc>
          <w:tcPr>
            <w:tcW w:w="1701" w:type="dxa"/>
            <w:vAlign w:val="center"/>
          </w:tcPr>
          <w:p w14:paraId="0C53BA2F" w14:textId="77777777" w:rsidR="00454A29" w:rsidRDefault="00454A29">
            <w:pPr>
              <w:pStyle w:val="ConsPlusNormal"/>
              <w:jc w:val="center"/>
            </w:pPr>
            <w:r>
              <w:t>0,00</w:t>
            </w:r>
          </w:p>
        </w:tc>
        <w:tc>
          <w:tcPr>
            <w:tcW w:w="1701" w:type="dxa"/>
            <w:vAlign w:val="center"/>
          </w:tcPr>
          <w:p w14:paraId="031A44B7" w14:textId="77777777" w:rsidR="00454A29" w:rsidRDefault="00454A29">
            <w:pPr>
              <w:pStyle w:val="ConsPlusNormal"/>
              <w:jc w:val="center"/>
            </w:pPr>
            <w:r>
              <w:t>0,00</w:t>
            </w:r>
          </w:p>
        </w:tc>
        <w:tc>
          <w:tcPr>
            <w:tcW w:w="1701" w:type="dxa"/>
            <w:vAlign w:val="center"/>
          </w:tcPr>
          <w:p w14:paraId="21CAD755" w14:textId="77777777" w:rsidR="00454A29" w:rsidRDefault="00454A29">
            <w:pPr>
              <w:pStyle w:val="ConsPlusNormal"/>
              <w:jc w:val="center"/>
            </w:pPr>
            <w:r>
              <w:t>0,00</w:t>
            </w:r>
          </w:p>
        </w:tc>
        <w:tc>
          <w:tcPr>
            <w:tcW w:w="1701" w:type="dxa"/>
            <w:vAlign w:val="center"/>
          </w:tcPr>
          <w:p w14:paraId="7DB389DB" w14:textId="77777777" w:rsidR="00454A29" w:rsidRDefault="00454A29">
            <w:pPr>
              <w:pStyle w:val="ConsPlusNormal"/>
              <w:jc w:val="center"/>
            </w:pPr>
            <w:r>
              <w:t>0,00</w:t>
            </w:r>
          </w:p>
        </w:tc>
        <w:tc>
          <w:tcPr>
            <w:tcW w:w="1701" w:type="dxa"/>
            <w:vAlign w:val="center"/>
          </w:tcPr>
          <w:p w14:paraId="6BBC8D51" w14:textId="77777777" w:rsidR="00454A29" w:rsidRDefault="00454A29">
            <w:pPr>
              <w:pStyle w:val="ConsPlusNormal"/>
              <w:jc w:val="center"/>
            </w:pPr>
            <w:r>
              <w:t>0,00</w:t>
            </w:r>
          </w:p>
        </w:tc>
        <w:tc>
          <w:tcPr>
            <w:tcW w:w="1701" w:type="dxa"/>
            <w:vAlign w:val="center"/>
          </w:tcPr>
          <w:p w14:paraId="3B8658E2" w14:textId="77777777" w:rsidR="00454A29" w:rsidRDefault="00454A29">
            <w:pPr>
              <w:pStyle w:val="ConsPlusNormal"/>
              <w:jc w:val="center"/>
            </w:pPr>
            <w:r>
              <w:t>0,00</w:t>
            </w:r>
          </w:p>
        </w:tc>
      </w:tr>
      <w:tr w:rsidR="00454A29" w14:paraId="74964251" w14:textId="77777777">
        <w:tc>
          <w:tcPr>
            <w:tcW w:w="964" w:type="dxa"/>
            <w:vMerge/>
          </w:tcPr>
          <w:p w14:paraId="7C17559E" w14:textId="77777777" w:rsidR="00454A29" w:rsidRDefault="00454A29"/>
        </w:tc>
        <w:tc>
          <w:tcPr>
            <w:tcW w:w="2154" w:type="dxa"/>
            <w:vMerge/>
            <w:tcBorders>
              <w:top w:val="nil"/>
              <w:bottom w:val="nil"/>
            </w:tcBorders>
          </w:tcPr>
          <w:p w14:paraId="263C9280" w14:textId="77777777" w:rsidR="00454A29" w:rsidRDefault="00454A29"/>
        </w:tc>
        <w:tc>
          <w:tcPr>
            <w:tcW w:w="2154" w:type="dxa"/>
            <w:vMerge/>
            <w:tcBorders>
              <w:top w:val="nil"/>
              <w:bottom w:val="nil"/>
            </w:tcBorders>
          </w:tcPr>
          <w:p w14:paraId="7CCCF4F7" w14:textId="77777777" w:rsidR="00454A29" w:rsidRDefault="00454A29"/>
        </w:tc>
        <w:tc>
          <w:tcPr>
            <w:tcW w:w="2665" w:type="dxa"/>
            <w:vMerge/>
          </w:tcPr>
          <w:p w14:paraId="5DDE97F9" w14:textId="77777777" w:rsidR="00454A29" w:rsidRDefault="00454A29"/>
        </w:tc>
        <w:tc>
          <w:tcPr>
            <w:tcW w:w="2665" w:type="dxa"/>
            <w:vMerge/>
          </w:tcPr>
          <w:p w14:paraId="3F790931" w14:textId="77777777" w:rsidR="00454A29" w:rsidRDefault="00454A29"/>
        </w:tc>
        <w:tc>
          <w:tcPr>
            <w:tcW w:w="1928" w:type="dxa"/>
            <w:vMerge/>
          </w:tcPr>
          <w:p w14:paraId="21627F8F" w14:textId="77777777" w:rsidR="00454A29" w:rsidRDefault="00454A29"/>
        </w:tc>
        <w:tc>
          <w:tcPr>
            <w:tcW w:w="1644" w:type="dxa"/>
            <w:vMerge/>
          </w:tcPr>
          <w:p w14:paraId="5AC453DC" w14:textId="77777777" w:rsidR="00454A29" w:rsidRDefault="00454A29"/>
        </w:tc>
        <w:tc>
          <w:tcPr>
            <w:tcW w:w="2041" w:type="dxa"/>
            <w:vMerge/>
          </w:tcPr>
          <w:p w14:paraId="38D200A1" w14:textId="77777777" w:rsidR="00454A29" w:rsidRDefault="00454A29"/>
        </w:tc>
        <w:tc>
          <w:tcPr>
            <w:tcW w:w="2098" w:type="dxa"/>
            <w:vAlign w:val="center"/>
          </w:tcPr>
          <w:p w14:paraId="6B6EF4EE" w14:textId="77777777" w:rsidR="00454A29" w:rsidRDefault="00454A29">
            <w:pPr>
              <w:pStyle w:val="ConsPlusNormal"/>
              <w:jc w:val="center"/>
            </w:pPr>
            <w:r>
              <w:t>Местные бюджеты</w:t>
            </w:r>
          </w:p>
        </w:tc>
        <w:tc>
          <w:tcPr>
            <w:tcW w:w="1814" w:type="dxa"/>
            <w:vAlign w:val="center"/>
          </w:tcPr>
          <w:p w14:paraId="1AB74380" w14:textId="77777777" w:rsidR="00454A29" w:rsidRDefault="00454A29">
            <w:pPr>
              <w:pStyle w:val="ConsPlusNormal"/>
              <w:jc w:val="center"/>
            </w:pPr>
            <w:r>
              <w:t>0,00</w:t>
            </w:r>
          </w:p>
        </w:tc>
        <w:tc>
          <w:tcPr>
            <w:tcW w:w="1701" w:type="dxa"/>
            <w:vAlign w:val="center"/>
          </w:tcPr>
          <w:p w14:paraId="03A554DA" w14:textId="77777777" w:rsidR="00454A29" w:rsidRDefault="00454A29">
            <w:pPr>
              <w:pStyle w:val="ConsPlusNormal"/>
              <w:jc w:val="center"/>
            </w:pPr>
            <w:r>
              <w:t>0,00</w:t>
            </w:r>
          </w:p>
        </w:tc>
        <w:tc>
          <w:tcPr>
            <w:tcW w:w="1701" w:type="dxa"/>
            <w:vAlign w:val="center"/>
          </w:tcPr>
          <w:p w14:paraId="78B4F061" w14:textId="77777777" w:rsidR="00454A29" w:rsidRDefault="00454A29">
            <w:pPr>
              <w:pStyle w:val="ConsPlusNormal"/>
              <w:jc w:val="center"/>
            </w:pPr>
            <w:r>
              <w:t>0,00</w:t>
            </w:r>
          </w:p>
        </w:tc>
        <w:tc>
          <w:tcPr>
            <w:tcW w:w="1701" w:type="dxa"/>
            <w:vAlign w:val="center"/>
          </w:tcPr>
          <w:p w14:paraId="5076BA7D" w14:textId="77777777" w:rsidR="00454A29" w:rsidRDefault="00454A29">
            <w:pPr>
              <w:pStyle w:val="ConsPlusNormal"/>
              <w:jc w:val="center"/>
            </w:pPr>
            <w:r>
              <w:t>0,00</w:t>
            </w:r>
          </w:p>
        </w:tc>
        <w:tc>
          <w:tcPr>
            <w:tcW w:w="1701" w:type="dxa"/>
            <w:vAlign w:val="center"/>
          </w:tcPr>
          <w:p w14:paraId="75DD33FC" w14:textId="77777777" w:rsidR="00454A29" w:rsidRDefault="00454A29">
            <w:pPr>
              <w:pStyle w:val="ConsPlusNormal"/>
              <w:jc w:val="center"/>
            </w:pPr>
            <w:r>
              <w:t>0,00</w:t>
            </w:r>
          </w:p>
        </w:tc>
        <w:tc>
          <w:tcPr>
            <w:tcW w:w="1701" w:type="dxa"/>
            <w:vAlign w:val="center"/>
          </w:tcPr>
          <w:p w14:paraId="42203DF0" w14:textId="77777777" w:rsidR="00454A29" w:rsidRDefault="00454A29">
            <w:pPr>
              <w:pStyle w:val="ConsPlusNormal"/>
              <w:jc w:val="center"/>
            </w:pPr>
            <w:r>
              <w:t>0,00</w:t>
            </w:r>
          </w:p>
        </w:tc>
        <w:tc>
          <w:tcPr>
            <w:tcW w:w="1701" w:type="dxa"/>
            <w:vAlign w:val="center"/>
          </w:tcPr>
          <w:p w14:paraId="69F4EF89" w14:textId="77777777" w:rsidR="00454A29" w:rsidRDefault="00454A29">
            <w:pPr>
              <w:pStyle w:val="ConsPlusNormal"/>
              <w:jc w:val="center"/>
            </w:pPr>
            <w:r>
              <w:t>0,00</w:t>
            </w:r>
          </w:p>
        </w:tc>
      </w:tr>
      <w:tr w:rsidR="00454A29" w14:paraId="20F636E5" w14:textId="77777777">
        <w:tc>
          <w:tcPr>
            <w:tcW w:w="964" w:type="dxa"/>
            <w:vMerge/>
          </w:tcPr>
          <w:p w14:paraId="437B1EAD" w14:textId="77777777" w:rsidR="00454A29" w:rsidRDefault="00454A29"/>
        </w:tc>
        <w:tc>
          <w:tcPr>
            <w:tcW w:w="2154" w:type="dxa"/>
            <w:vMerge/>
            <w:tcBorders>
              <w:top w:val="nil"/>
              <w:bottom w:val="nil"/>
            </w:tcBorders>
          </w:tcPr>
          <w:p w14:paraId="6554B96C" w14:textId="77777777" w:rsidR="00454A29" w:rsidRDefault="00454A29"/>
        </w:tc>
        <w:tc>
          <w:tcPr>
            <w:tcW w:w="2154" w:type="dxa"/>
            <w:vMerge/>
            <w:tcBorders>
              <w:top w:val="nil"/>
              <w:bottom w:val="nil"/>
            </w:tcBorders>
          </w:tcPr>
          <w:p w14:paraId="7E5A579F" w14:textId="77777777" w:rsidR="00454A29" w:rsidRDefault="00454A29"/>
        </w:tc>
        <w:tc>
          <w:tcPr>
            <w:tcW w:w="2665" w:type="dxa"/>
            <w:vMerge/>
          </w:tcPr>
          <w:p w14:paraId="6AE06479" w14:textId="77777777" w:rsidR="00454A29" w:rsidRDefault="00454A29"/>
        </w:tc>
        <w:tc>
          <w:tcPr>
            <w:tcW w:w="2665" w:type="dxa"/>
            <w:vMerge/>
          </w:tcPr>
          <w:p w14:paraId="3D7B5D95" w14:textId="77777777" w:rsidR="00454A29" w:rsidRDefault="00454A29"/>
        </w:tc>
        <w:tc>
          <w:tcPr>
            <w:tcW w:w="1928" w:type="dxa"/>
            <w:vMerge/>
          </w:tcPr>
          <w:p w14:paraId="40C1FF0F" w14:textId="77777777" w:rsidR="00454A29" w:rsidRDefault="00454A29"/>
        </w:tc>
        <w:tc>
          <w:tcPr>
            <w:tcW w:w="1644" w:type="dxa"/>
            <w:vMerge/>
          </w:tcPr>
          <w:p w14:paraId="6D62CBCC" w14:textId="77777777" w:rsidR="00454A29" w:rsidRDefault="00454A29"/>
        </w:tc>
        <w:tc>
          <w:tcPr>
            <w:tcW w:w="2041" w:type="dxa"/>
            <w:vMerge/>
          </w:tcPr>
          <w:p w14:paraId="023139CA" w14:textId="77777777" w:rsidR="00454A29" w:rsidRDefault="00454A29"/>
        </w:tc>
        <w:tc>
          <w:tcPr>
            <w:tcW w:w="2098" w:type="dxa"/>
            <w:vAlign w:val="center"/>
          </w:tcPr>
          <w:p w14:paraId="3582A46B" w14:textId="77777777" w:rsidR="00454A29" w:rsidRDefault="00454A29">
            <w:pPr>
              <w:pStyle w:val="ConsPlusNormal"/>
              <w:jc w:val="center"/>
            </w:pPr>
            <w:r>
              <w:t>Внебюджетные средства</w:t>
            </w:r>
          </w:p>
        </w:tc>
        <w:tc>
          <w:tcPr>
            <w:tcW w:w="1814" w:type="dxa"/>
            <w:vAlign w:val="center"/>
          </w:tcPr>
          <w:p w14:paraId="6FEA72E3" w14:textId="77777777" w:rsidR="00454A29" w:rsidRDefault="00454A29">
            <w:pPr>
              <w:pStyle w:val="ConsPlusNormal"/>
              <w:jc w:val="center"/>
            </w:pPr>
            <w:r>
              <w:t>0,00</w:t>
            </w:r>
          </w:p>
        </w:tc>
        <w:tc>
          <w:tcPr>
            <w:tcW w:w="1701" w:type="dxa"/>
            <w:vAlign w:val="center"/>
          </w:tcPr>
          <w:p w14:paraId="10467364" w14:textId="77777777" w:rsidR="00454A29" w:rsidRDefault="00454A29">
            <w:pPr>
              <w:pStyle w:val="ConsPlusNormal"/>
              <w:jc w:val="center"/>
            </w:pPr>
            <w:r>
              <w:t>0,00</w:t>
            </w:r>
          </w:p>
        </w:tc>
        <w:tc>
          <w:tcPr>
            <w:tcW w:w="1701" w:type="dxa"/>
            <w:vAlign w:val="center"/>
          </w:tcPr>
          <w:p w14:paraId="79C57FCB" w14:textId="77777777" w:rsidR="00454A29" w:rsidRDefault="00454A29">
            <w:pPr>
              <w:pStyle w:val="ConsPlusNormal"/>
              <w:jc w:val="center"/>
            </w:pPr>
            <w:r>
              <w:t>0,00</w:t>
            </w:r>
          </w:p>
        </w:tc>
        <w:tc>
          <w:tcPr>
            <w:tcW w:w="1701" w:type="dxa"/>
            <w:vAlign w:val="center"/>
          </w:tcPr>
          <w:p w14:paraId="28C47EFE" w14:textId="77777777" w:rsidR="00454A29" w:rsidRDefault="00454A29">
            <w:pPr>
              <w:pStyle w:val="ConsPlusNormal"/>
              <w:jc w:val="center"/>
            </w:pPr>
            <w:r>
              <w:t>0,00</w:t>
            </w:r>
          </w:p>
        </w:tc>
        <w:tc>
          <w:tcPr>
            <w:tcW w:w="1701" w:type="dxa"/>
            <w:vAlign w:val="center"/>
          </w:tcPr>
          <w:p w14:paraId="15488DA6" w14:textId="77777777" w:rsidR="00454A29" w:rsidRDefault="00454A29">
            <w:pPr>
              <w:pStyle w:val="ConsPlusNormal"/>
              <w:jc w:val="center"/>
            </w:pPr>
            <w:r>
              <w:t>0,00</w:t>
            </w:r>
          </w:p>
        </w:tc>
        <w:tc>
          <w:tcPr>
            <w:tcW w:w="1701" w:type="dxa"/>
            <w:vAlign w:val="center"/>
          </w:tcPr>
          <w:p w14:paraId="1B6ED5B3" w14:textId="77777777" w:rsidR="00454A29" w:rsidRDefault="00454A29">
            <w:pPr>
              <w:pStyle w:val="ConsPlusNormal"/>
              <w:jc w:val="center"/>
            </w:pPr>
            <w:r>
              <w:t>0,00</w:t>
            </w:r>
          </w:p>
        </w:tc>
        <w:tc>
          <w:tcPr>
            <w:tcW w:w="1701" w:type="dxa"/>
            <w:vAlign w:val="center"/>
          </w:tcPr>
          <w:p w14:paraId="0608F6F1" w14:textId="77777777" w:rsidR="00454A29" w:rsidRDefault="00454A29">
            <w:pPr>
              <w:pStyle w:val="ConsPlusNormal"/>
              <w:jc w:val="center"/>
            </w:pPr>
            <w:r>
              <w:t>0,00</w:t>
            </w:r>
          </w:p>
        </w:tc>
      </w:tr>
      <w:tr w:rsidR="00454A29" w14:paraId="07DF0C75" w14:textId="77777777">
        <w:tc>
          <w:tcPr>
            <w:tcW w:w="964" w:type="dxa"/>
            <w:vMerge w:val="restart"/>
            <w:vAlign w:val="center"/>
          </w:tcPr>
          <w:p w14:paraId="20A4C3A3" w14:textId="77777777" w:rsidR="00454A29" w:rsidRDefault="00454A29">
            <w:pPr>
              <w:pStyle w:val="ConsPlusNormal"/>
              <w:jc w:val="center"/>
            </w:pPr>
            <w:r>
              <w:t>4.3.</w:t>
            </w:r>
          </w:p>
        </w:tc>
        <w:tc>
          <w:tcPr>
            <w:tcW w:w="2154" w:type="dxa"/>
            <w:vMerge w:val="restart"/>
            <w:tcBorders>
              <w:top w:val="nil"/>
              <w:bottom w:val="nil"/>
            </w:tcBorders>
            <w:vAlign w:val="center"/>
          </w:tcPr>
          <w:p w14:paraId="6BF212E3" w14:textId="77777777" w:rsidR="00454A29" w:rsidRDefault="00454A29">
            <w:pPr>
              <w:pStyle w:val="ConsPlusNormal"/>
            </w:pPr>
          </w:p>
        </w:tc>
        <w:tc>
          <w:tcPr>
            <w:tcW w:w="2154" w:type="dxa"/>
            <w:vMerge w:val="restart"/>
            <w:tcBorders>
              <w:top w:val="nil"/>
              <w:bottom w:val="nil"/>
            </w:tcBorders>
            <w:vAlign w:val="center"/>
          </w:tcPr>
          <w:p w14:paraId="40CB8407" w14:textId="77777777" w:rsidR="00454A29" w:rsidRDefault="00454A29">
            <w:pPr>
              <w:pStyle w:val="ConsPlusNormal"/>
            </w:pPr>
          </w:p>
        </w:tc>
        <w:tc>
          <w:tcPr>
            <w:tcW w:w="2665" w:type="dxa"/>
            <w:vMerge w:val="restart"/>
            <w:vAlign w:val="center"/>
          </w:tcPr>
          <w:p w14:paraId="5A94DA3B" w14:textId="77777777" w:rsidR="00454A29" w:rsidRDefault="00454A29">
            <w:pPr>
              <w:pStyle w:val="ConsPlusNormal"/>
              <w:jc w:val="center"/>
            </w:pPr>
            <w:r>
              <w:t>Результат 3. Не менее 25% обучающихся организаций, осуществляющих образовательную деятельность по образовательным программам среднего профессионального образования на территории, проходят аттестацию с использованием механизма демонстрационного экзамена</w:t>
            </w:r>
          </w:p>
        </w:tc>
        <w:tc>
          <w:tcPr>
            <w:tcW w:w="2665" w:type="dxa"/>
            <w:vMerge w:val="restart"/>
            <w:vAlign w:val="center"/>
          </w:tcPr>
          <w:p w14:paraId="1B84F389" w14:textId="77777777" w:rsidR="00454A29" w:rsidRDefault="00454A29">
            <w:pPr>
              <w:pStyle w:val="ConsPlusNormal"/>
              <w:jc w:val="center"/>
            </w:pPr>
            <w:r>
              <w:t>Мероприятие 3.7.3. Внедрение итоговой аттестации в форме демонстрационного экзамена в образовательных организациях, осуществляющих образовательную деятельность по образовательным программам среднего профессионального образования</w:t>
            </w:r>
          </w:p>
        </w:tc>
        <w:tc>
          <w:tcPr>
            <w:tcW w:w="1928" w:type="dxa"/>
            <w:vMerge w:val="restart"/>
            <w:vAlign w:val="center"/>
          </w:tcPr>
          <w:p w14:paraId="567F8A09" w14:textId="77777777" w:rsidR="00454A29" w:rsidRDefault="00454A29">
            <w:pPr>
              <w:pStyle w:val="ConsPlusNormal"/>
              <w:jc w:val="center"/>
            </w:pPr>
            <w:r>
              <w:t>-</w:t>
            </w:r>
          </w:p>
        </w:tc>
        <w:tc>
          <w:tcPr>
            <w:tcW w:w="1644" w:type="dxa"/>
            <w:vMerge w:val="restart"/>
            <w:vAlign w:val="center"/>
          </w:tcPr>
          <w:p w14:paraId="75DF6F1B" w14:textId="77777777" w:rsidR="00454A29" w:rsidRDefault="00454A29">
            <w:pPr>
              <w:pStyle w:val="ConsPlusNormal"/>
              <w:jc w:val="center"/>
            </w:pPr>
            <w:r>
              <w:t>-</w:t>
            </w:r>
          </w:p>
        </w:tc>
        <w:tc>
          <w:tcPr>
            <w:tcW w:w="2041" w:type="dxa"/>
            <w:vMerge w:val="restart"/>
            <w:vAlign w:val="center"/>
          </w:tcPr>
          <w:p w14:paraId="17B657F8" w14:textId="77777777" w:rsidR="00454A29" w:rsidRDefault="00454A29">
            <w:pPr>
              <w:pStyle w:val="ConsPlusNormal"/>
              <w:jc w:val="center"/>
            </w:pPr>
            <w:r>
              <w:t>-</w:t>
            </w:r>
          </w:p>
        </w:tc>
        <w:tc>
          <w:tcPr>
            <w:tcW w:w="2098" w:type="dxa"/>
            <w:vAlign w:val="center"/>
          </w:tcPr>
          <w:p w14:paraId="495993FE" w14:textId="77777777" w:rsidR="00454A29" w:rsidRDefault="00454A29">
            <w:pPr>
              <w:pStyle w:val="ConsPlusNormal"/>
              <w:jc w:val="center"/>
            </w:pPr>
            <w:r>
              <w:t>Итого</w:t>
            </w:r>
          </w:p>
        </w:tc>
        <w:tc>
          <w:tcPr>
            <w:tcW w:w="1814" w:type="dxa"/>
            <w:vAlign w:val="center"/>
          </w:tcPr>
          <w:p w14:paraId="0C8F5B62" w14:textId="77777777" w:rsidR="00454A29" w:rsidRDefault="00454A29">
            <w:pPr>
              <w:pStyle w:val="ConsPlusNormal"/>
              <w:jc w:val="center"/>
            </w:pPr>
            <w:r>
              <w:t>0,00</w:t>
            </w:r>
          </w:p>
        </w:tc>
        <w:tc>
          <w:tcPr>
            <w:tcW w:w="1701" w:type="dxa"/>
            <w:vAlign w:val="center"/>
          </w:tcPr>
          <w:p w14:paraId="72B1657D" w14:textId="77777777" w:rsidR="00454A29" w:rsidRDefault="00454A29">
            <w:pPr>
              <w:pStyle w:val="ConsPlusNormal"/>
              <w:jc w:val="center"/>
            </w:pPr>
            <w:r>
              <w:t>0,00</w:t>
            </w:r>
          </w:p>
        </w:tc>
        <w:tc>
          <w:tcPr>
            <w:tcW w:w="1701" w:type="dxa"/>
            <w:vAlign w:val="center"/>
          </w:tcPr>
          <w:p w14:paraId="1A8F50AB" w14:textId="77777777" w:rsidR="00454A29" w:rsidRDefault="00454A29">
            <w:pPr>
              <w:pStyle w:val="ConsPlusNormal"/>
              <w:jc w:val="center"/>
            </w:pPr>
            <w:r>
              <w:t>0,00</w:t>
            </w:r>
          </w:p>
        </w:tc>
        <w:tc>
          <w:tcPr>
            <w:tcW w:w="1701" w:type="dxa"/>
            <w:vAlign w:val="center"/>
          </w:tcPr>
          <w:p w14:paraId="07166519" w14:textId="77777777" w:rsidR="00454A29" w:rsidRDefault="00454A29">
            <w:pPr>
              <w:pStyle w:val="ConsPlusNormal"/>
              <w:jc w:val="center"/>
            </w:pPr>
            <w:r>
              <w:t>0,00</w:t>
            </w:r>
          </w:p>
        </w:tc>
        <w:tc>
          <w:tcPr>
            <w:tcW w:w="1701" w:type="dxa"/>
            <w:vAlign w:val="center"/>
          </w:tcPr>
          <w:p w14:paraId="013133AC" w14:textId="77777777" w:rsidR="00454A29" w:rsidRDefault="00454A29">
            <w:pPr>
              <w:pStyle w:val="ConsPlusNormal"/>
              <w:jc w:val="center"/>
            </w:pPr>
            <w:r>
              <w:t>0,00</w:t>
            </w:r>
          </w:p>
        </w:tc>
        <w:tc>
          <w:tcPr>
            <w:tcW w:w="1701" w:type="dxa"/>
            <w:vAlign w:val="center"/>
          </w:tcPr>
          <w:p w14:paraId="5797FAD1" w14:textId="77777777" w:rsidR="00454A29" w:rsidRDefault="00454A29">
            <w:pPr>
              <w:pStyle w:val="ConsPlusNormal"/>
              <w:jc w:val="center"/>
            </w:pPr>
            <w:r>
              <w:t>0,00</w:t>
            </w:r>
          </w:p>
        </w:tc>
        <w:tc>
          <w:tcPr>
            <w:tcW w:w="1701" w:type="dxa"/>
            <w:vAlign w:val="center"/>
          </w:tcPr>
          <w:p w14:paraId="7C7DF9A4" w14:textId="77777777" w:rsidR="00454A29" w:rsidRDefault="00454A29">
            <w:pPr>
              <w:pStyle w:val="ConsPlusNormal"/>
              <w:jc w:val="center"/>
            </w:pPr>
            <w:r>
              <w:t>0,00</w:t>
            </w:r>
          </w:p>
        </w:tc>
      </w:tr>
      <w:tr w:rsidR="00454A29" w14:paraId="3428F2ED" w14:textId="77777777">
        <w:tc>
          <w:tcPr>
            <w:tcW w:w="964" w:type="dxa"/>
            <w:vMerge/>
          </w:tcPr>
          <w:p w14:paraId="12ED8BFF" w14:textId="77777777" w:rsidR="00454A29" w:rsidRDefault="00454A29"/>
        </w:tc>
        <w:tc>
          <w:tcPr>
            <w:tcW w:w="2154" w:type="dxa"/>
            <w:vMerge/>
            <w:tcBorders>
              <w:top w:val="nil"/>
              <w:bottom w:val="nil"/>
            </w:tcBorders>
          </w:tcPr>
          <w:p w14:paraId="3E205E8C" w14:textId="77777777" w:rsidR="00454A29" w:rsidRDefault="00454A29"/>
        </w:tc>
        <w:tc>
          <w:tcPr>
            <w:tcW w:w="2154" w:type="dxa"/>
            <w:vMerge/>
            <w:tcBorders>
              <w:top w:val="nil"/>
              <w:bottom w:val="nil"/>
            </w:tcBorders>
          </w:tcPr>
          <w:p w14:paraId="7AD80170" w14:textId="77777777" w:rsidR="00454A29" w:rsidRDefault="00454A29"/>
        </w:tc>
        <w:tc>
          <w:tcPr>
            <w:tcW w:w="2665" w:type="dxa"/>
            <w:vMerge/>
          </w:tcPr>
          <w:p w14:paraId="4BBC2B0F" w14:textId="77777777" w:rsidR="00454A29" w:rsidRDefault="00454A29"/>
        </w:tc>
        <w:tc>
          <w:tcPr>
            <w:tcW w:w="2665" w:type="dxa"/>
            <w:vMerge/>
          </w:tcPr>
          <w:p w14:paraId="0CCCC494" w14:textId="77777777" w:rsidR="00454A29" w:rsidRDefault="00454A29"/>
        </w:tc>
        <w:tc>
          <w:tcPr>
            <w:tcW w:w="1928" w:type="dxa"/>
            <w:vMerge/>
          </w:tcPr>
          <w:p w14:paraId="269E2B59" w14:textId="77777777" w:rsidR="00454A29" w:rsidRDefault="00454A29"/>
        </w:tc>
        <w:tc>
          <w:tcPr>
            <w:tcW w:w="1644" w:type="dxa"/>
            <w:vMerge/>
          </w:tcPr>
          <w:p w14:paraId="1CF1B70C" w14:textId="77777777" w:rsidR="00454A29" w:rsidRDefault="00454A29"/>
        </w:tc>
        <w:tc>
          <w:tcPr>
            <w:tcW w:w="2041" w:type="dxa"/>
            <w:vMerge/>
          </w:tcPr>
          <w:p w14:paraId="0008064E" w14:textId="77777777" w:rsidR="00454A29" w:rsidRDefault="00454A29"/>
        </w:tc>
        <w:tc>
          <w:tcPr>
            <w:tcW w:w="2098" w:type="dxa"/>
            <w:vAlign w:val="center"/>
          </w:tcPr>
          <w:p w14:paraId="4EE681A0"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C07C62B" w14:textId="77777777" w:rsidR="00454A29" w:rsidRDefault="00454A29">
            <w:pPr>
              <w:pStyle w:val="ConsPlusNormal"/>
              <w:jc w:val="center"/>
            </w:pPr>
            <w:r>
              <w:t>0,00</w:t>
            </w:r>
          </w:p>
        </w:tc>
        <w:tc>
          <w:tcPr>
            <w:tcW w:w="1701" w:type="dxa"/>
            <w:vAlign w:val="center"/>
          </w:tcPr>
          <w:p w14:paraId="514A4E70" w14:textId="77777777" w:rsidR="00454A29" w:rsidRDefault="00454A29">
            <w:pPr>
              <w:pStyle w:val="ConsPlusNormal"/>
              <w:jc w:val="center"/>
            </w:pPr>
            <w:r>
              <w:t>0,00</w:t>
            </w:r>
          </w:p>
        </w:tc>
        <w:tc>
          <w:tcPr>
            <w:tcW w:w="1701" w:type="dxa"/>
            <w:vAlign w:val="center"/>
          </w:tcPr>
          <w:p w14:paraId="2AB01168" w14:textId="77777777" w:rsidR="00454A29" w:rsidRDefault="00454A29">
            <w:pPr>
              <w:pStyle w:val="ConsPlusNormal"/>
              <w:jc w:val="center"/>
            </w:pPr>
            <w:r>
              <w:t>0,00</w:t>
            </w:r>
          </w:p>
        </w:tc>
        <w:tc>
          <w:tcPr>
            <w:tcW w:w="1701" w:type="dxa"/>
            <w:vAlign w:val="center"/>
          </w:tcPr>
          <w:p w14:paraId="3F9879C7" w14:textId="77777777" w:rsidR="00454A29" w:rsidRDefault="00454A29">
            <w:pPr>
              <w:pStyle w:val="ConsPlusNormal"/>
              <w:jc w:val="center"/>
            </w:pPr>
            <w:r>
              <w:t>0,00</w:t>
            </w:r>
          </w:p>
        </w:tc>
        <w:tc>
          <w:tcPr>
            <w:tcW w:w="1701" w:type="dxa"/>
            <w:vAlign w:val="center"/>
          </w:tcPr>
          <w:p w14:paraId="5784AD92" w14:textId="77777777" w:rsidR="00454A29" w:rsidRDefault="00454A29">
            <w:pPr>
              <w:pStyle w:val="ConsPlusNormal"/>
              <w:jc w:val="center"/>
            </w:pPr>
            <w:r>
              <w:t>0,00</w:t>
            </w:r>
          </w:p>
        </w:tc>
        <w:tc>
          <w:tcPr>
            <w:tcW w:w="1701" w:type="dxa"/>
            <w:vAlign w:val="center"/>
          </w:tcPr>
          <w:p w14:paraId="1803918F" w14:textId="77777777" w:rsidR="00454A29" w:rsidRDefault="00454A29">
            <w:pPr>
              <w:pStyle w:val="ConsPlusNormal"/>
              <w:jc w:val="center"/>
            </w:pPr>
            <w:r>
              <w:t>0,00</w:t>
            </w:r>
          </w:p>
        </w:tc>
        <w:tc>
          <w:tcPr>
            <w:tcW w:w="1701" w:type="dxa"/>
            <w:vAlign w:val="center"/>
          </w:tcPr>
          <w:p w14:paraId="5BF3D46B" w14:textId="77777777" w:rsidR="00454A29" w:rsidRDefault="00454A29">
            <w:pPr>
              <w:pStyle w:val="ConsPlusNormal"/>
              <w:jc w:val="center"/>
            </w:pPr>
            <w:r>
              <w:t>0,00</w:t>
            </w:r>
          </w:p>
        </w:tc>
      </w:tr>
      <w:tr w:rsidR="00454A29" w14:paraId="66189306" w14:textId="77777777">
        <w:tc>
          <w:tcPr>
            <w:tcW w:w="964" w:type="dxa"/>
            <w:vMerge/>
          </w:tcPr>
          <w:p w14:paraId="21FC30B6" w14:textId="77777777" w:rsidR="00454A29" w:rsidRDefault="00454A29"/>
        </w:tc>
        <w:tc>
          <w:tcPr>
            <w:tcW w:w="2154" w:type="dxa"/>
            <w:vMerge/>
            <w:tcBorders>
              <w:top w:val="nil"/>
              <w:bottom w:val="nil"/>
            </w:tcBorders>
          </w:tcPr>
          <w:p w14:paraId="62E57BF3" w14:textId="77777777" w:rsidR="00454A29" w:rsidRDefault="00454A29"/>
        </w:tc>
        <w:tc>
          <w:tcPr>
            <w:tcW w:w="2154" w:type="dxa"/>
            <w:vMerge/>
            <w:tcBorders>
              <w:top w:val="nil"/>
              <w:bottom w:val="nil"/>
            </w:tcBorders>
          </w:tcPr>
          <w:p w14:paraId="18D0FE35" w14:textId="77777777" w:rsidR="00454A29" w:rsidRDefault="00454A29"/>
        </w:tc>
        <w:tc>
          <w:tcPr>
            <w:tcW w:w="2665" w:type="dxa"/>
            <w:vMerge/>
          </w:tcPr>
          <w:p w14:paraId="24B5046F" w14:textId="77777777" w:rsidR="00454A29" w:rsidRDefault="00454A29"/>
        </w:tc>
        <w:tc>
          <w:tcPr>
            <w:tcW w:w="2665" w:type="dxa"/>
            <w:vMerge/>
          </w:tcPr>
          <w:p w14:paraId="4F77CD3F" w14:textId="77777777" w:rsidR="00454A29" w:rsidRDefault="00454A29"/>
        </w:tc>
        <w:tc>
          <w:tcPr>
            <w:tcW w:w="1928" w:type="dxa"/>
            <w:vMerge/>
          </w:tcPr>
          <w:p w14:paraId="4209C932" w14:textId="77777777" w:rsidR="00454A29" w:rsidRDefault="00454A29"/>
        </w:tc>
        <w:tc>
          <w:tcPr>
            <w:tcW w:w="1644" w:type="dxa"/>
            <w:vMerge/>
          </w:tcPr>
          <w:p w14:paraId="0C785ECE" w14:textId="77777777" w:rsidR="00454A29" w:rsidRDefault="00454A29"/>
        </w:tc>
        <w:tc>
          <w:tcPr>
            <w:tcW w:w="2041" w:type="dxa"/>
            <w:vMerge/>
          </w:tcPr>
          <w:p w14:paraId="00D9BDEF" w14:textId="77777777" w:rsidR="00454A29" w:rsidRDefault="00454A29"/>
        </w:tc>
        <w:tc>
          <w:tcPr>
            <w:tcW w:w="2098" w:type="dxa"/>
            <w:vAlign w:val="center"/>
          </w:tcPr>
          <w:p w14:paraId="3C583D09" w14:textId="77777777" w:rsidR="00454A29" w:rsidRDefault="00454A29">
            <w:pPr>
              <w:pStyle w:val="ConsPlusNormal"/>
              <w:jc w:val="center"/>
            </w:pPr>
            <w:r>
              <w:t>Федеральный бюджет</w:t>
            </w:r>
          </w:p>
        </w:tc>
        <w:tc>
          <w:tcPr>
            <w:tcW w:w="1814" w:type="dxa"/>
            <w:vAlign w:val="center"/>
          </w:tcPr>
          <w:p w14:paraId="202A597D" w14:textId="77777777" w:rsidR="00454A29" w:rsidRDefault="00454A29">
            <w:pPr>
              <w:pStyle w:val="ConsPlusNormal"/>
              <w:jc w:val="center"/>
            </w:pPr>
            <w:r>
              <w:t>0,00</w:t>
            </w:r>
          </w:p>
        </w:tc>
        <w:tc>
          <w:tcPr>
            <w:tcW w:w="1701" w:type="dxa"/>
            <w:vAlign w:val="center"/>
          </w:tcPr>
          <w:p w14:paraId="13B7DFD6" w14:textId="77777777" w:rsidR="00454A29" w:rsidRDefault="00454A29">
            <w:pPr>
              <w:pStyle w:val="ConsPlusNormal"/>
              <w:jc w:val="center"/>
            </w:pPr>
            <w:r>
              <w:t>0,00</w:t>
            </w:r>
          </w:p>
        </w:tc>
        <w:tc>
          <w:tcPr>
            <w:tcW w:w="1701" w:type="dxa"/>
            <w:vAlign w:val="center"/>
          </w:tcPr>
          <w:p w14:paraId="1012DCE7" w14:textId="77777777" w:rsidR="00454A29" w:rsidRDefault="00454A29">
            <w:pPr>
              <w:pStyle w:val="ConsPlusNormal"/>
              <w:jc w:val="center"/>
            </w:pPr>
            <w:r>
              <w:t>0,00</w:t>
            </w:r>
          </w:p>
        </w:tc>
        <w:tc>
          <w:tcPr>
            <w:tcW w:w="1701" w:type="dxa"/>
            <w:vAlign w:val="center"/>
          </w:tcPr>
          <w:p w14:paraId="3EB13A52" w14:textId="77777777" w:rsidR="00454A29" w:rsidRDefault="00454A29">
            <w:pPr>
              <w:pStyle w:val="ConsPlusNormal"/>
              <w:jc w:val="center"/>
            </w:pPr>
            <w:r>
              <w:t>0,00</w:t>
            </w:r>
          </w:p>
        </w:tc>
        <w:tc>
          <w:tcPr>
            <w:tcW w:w="1701" w:type="dxa"/>
            <w:vAlign w:val="center"/>
          </w:tcPr>
          <w:p w14:paraId="301742AB" w14:textId="77777777" w:rsidR="00454A29" w:rsidRDefault="00454A29">
            <w:pPr>
              <w:pStyle w:val="ConsPlusNormal"/>
              <w:jc w:val="center"/>
            </w:pPr>
            <w:r>
              <w:t>0,00</w:t>
            </w:r>
          </w:p>
        </w:tc>
        <w:tc>
          <w:tcPr>
            <w:tcW w:w="1701" w:type="dxa"/>
            <w:vAlign w:val="center"/>
          </w:tcPr>
          <w:p w14:paraId="07655CA9" w14:textId="77777777" w:rsidR="00454A29" w:rsidRDefault="00454A29">
            <w:pPr>
              <w:pStyle w:val="ConsPlusNormal"/>
              <w:jc w:val="center"/>
            </w:pPr>
            <w:r>
              <w:t>0,00</w:t>
            </w:r>
          </w:p>
        </w:tc>
        <w:tc>
          <w:tcPr>
            <w:tcW w:w="1701" w:type="dxa"/>
            <w:vAlign w:val="center"/>
          </w:tcPr>
          <w:p w14:paraId="56A07E42" w14:textId="77777777" w:rsidR="00454A29" w:rsidRDefault="00454A29">
            <w:pPr>
              <w:pStyle w:val="ConsPlusNormal"/>
              <w:jc w:val="center"/>
            </w:pPr>
            <w:r>
              <w:t>0,00</w:t>
            </w:r>
          </w:p>
        </w:tc>
      </w:tr>
      <w:tr w:rsidR="00454A29" w14:paraId="17EC8477" w14:textId="77777777">
        <w:tc>
          <w:tcPr>
            <w:tcW w:w="964" w:type="dxa"/>
            <w:vMerge/>
          </w:tcPr>
          <w:p w14:paraId="57CD4058" w14:textId="77777777" w:rsidR="00454A29" w:rsidRDefault="00454A29"/>
        </w:tc>
        <w:tc>
          <w:tcPr>
            <w:tcW w:w="2154" w:type="dxa"/>
            <w:vMerge/>
            <w:tcBorders>
              <w:top w:val="nil"/>
              <w:bottom w:val="nil"/>
            </w:tcBorders>
          </w:tcPr>
          <w:p w14:paraId="782A50C6" w14:textId="77777777" w:rsidR="00454A29" w:rsidRDefault="00454A29"/>
        </w:tc>
        <w:tc>
          <w:tcPr>
            <w:tcW w:w="2154" w:type="dxa"/>
            <w:vMerge/>
            <w:tcBorders>
              <w:top w:val="nil"/>
              <w:bottom w:val="nil"/>
            </w:tcBorders>
          </w:tcPr>
          <w:p w14:paraId="0A69AFD9" w14:textId="77777777" w:rsidR="00454A29" w:rsidRDefault="00454A29"/>
        </w:tc>
        <w:tc>
          <w:tcPr>
            <w:tcW w:w="2665" w:type="dxa"/>
            <w:vMerge/>
          </w:tcPr>
          <w:p w14:paraId="138BCB50" w14:textId="77777777" w:rsidR="00454A29" w:rsidRDefault="00454A29"/>
        </w:tc>
        <w:tc>
          <w:tcPr>
            <w:tcW w:w="2665" w:type="dxa"/>
            <w:vMerge/>
          </w:tcPr>
          <w:p w14:paraId="7503675E" w14:textId="77777777" w:rsidR="00454A29" w:rsidRDefault="00454A29"/>
        </w:tc>
        <w:tc>
          <w:tcPr>
            <w:tcW w:w="1928" w:type="dxa"/>
            <w:vMerge/>
          </w:tcPr>
          <w:p w14:paraId="1EA180E7" w14:textId="77777777" w:rsidR="00454A29" w:rsidRDefault="00454A29"/>
        </w:tc>
        <w:tc>
          <w:tcPr>
            <w:tcW w:w="1644" w:type="dxa"/>
            <w:vMerge/>
          </w:tcPr>
          <w:p w14:paraId="34DAEC38" w14:textId="77777777" w:rsidR="00454A29" w:rsidRDefault="00454A29"/>
        </w:tc>
        <w:tc>
          <w:tcPr>
            <w:tcW w:w="2041" w:type="dxa"/>
            <w:vMerge/>
          </w:tcPr>
          <w:p w14:paraId="4DA4F310" w14:textId="77777777" w:rsidR="00454A29" w:rsidRDefault="00454A29"/>
        </w:tc>
        <w:tc>
          <w:tcPr>
            <w:tcW w:w="2098" w:type="dxa"/>
            <w:vAlign w:val="center"/>
          </w:tcPr>
          <w:p w14:paraId="4C0D9B08" w14:textId="77777777" w:rsidR="00454A29" w:rsidRDefault="00454A29">
            <w:pPr>
              <w:pStyle w:val="ConsPlusNormal"/>
              <w:jc w:val="center"/>
            </w:pPr>
            <w:r>
              <w:t>Местные бюджеты</w:t>
            </w:r>
          </w:p>
        </w:tc>
        <w:tc>
          <w:tcPr>
            <w:tcW w:w="1814" w:type="dxa"/>
            <w:vAlign w:val="center"/>
          </w:tcPr>
          <w:p w14:paraId="4101632A" w14:textId="77777777" w:rsidR="00454A29" w:rsidRDefault="00454A29">
            <w:pPr>
              <w:pStyle w:val="ConsPlusNormal"/>
              <w:jc w:val="center"/>
            </w:pPr>
            <w:r>
              <w:t>0,00</w:t>
            </w:r>
          </w:p>
        </w:tc>
        <w:tc>
          <w:tcPr>
            <w:tcW w:w="1701" w:type="dxa"/>
            <w:vAlign w:val="center"/>
          </w:tcPr>
          <w:p w14:paraId="6D461341" w14:textId="77777777" w:rsidR="00454A29" w:rsidRDefault="00454A29">
            <w:pPr>
              <w:pStyle w:val="ConsPlusNormal"/>
              <w:jc w:val="center"/>
            </w:pPr>
            <w:r>
              <w:t>0,00</w:t>
            </w:r>
          </w:p>
        </w:tc>
        <w:tc>
          <w:tcPr>
            <w:tcW w:w="1701" w:type="dxa"/>
            <w:vAlign w:val="center"/>
          </w:tcPr>
          <w:p w14:paraId="345D8C04" w14:textId="77777777" w:rsidR="00454A29" w:rsidRDefault="00454A29">
            <w:pPr>
              <w:pStyle w:val="ConsPlusNormal"/>
              <w:jc w:val="center"/>
            </w:pPr>
            <w:r>
              <w:t>0,00</w:t>
            </w:r>
          </w:p>
        </w:tc>
        <w:tc>
          <w:tcPr>
            <w:tcW w:w="1701" w:type="dxa"/>
            <w:vAlign w:val="center"/>
          </w:tcPr>
          <w:p w14:paraId="03D14269" w14:textId="77777777" w:rsidR="00454A29" w:rsidRDefault="00454A29">
            <w:pPr>
              <w:pStyle w:val="ConsPlusNormal"/>
              <w:jc w:val="center"/>
            </w:pPr>
            <w:r>
              <w:t>0,00</w:t>
            </w:r>
          </w:p>
        </w:tc>
        <w:tc>
          <w:tcPr>
            <w:tcW w:w="1701" w:type="dxa"/>
            <w:vAlign w:val="center"/>
          </w:tcPr>
          <w:p w14:paraId="0DED582A" w14:textId="77777777" w:rsidR="00454A29" w:rsidRDefault="00454A29">
            <w:pPr>
              <w:pStyle w:val="ConsPlusNormal"/>
              <w:jc w:val="center"/>
            </w:pPr>
            <w:r>
              <w:t>0,00</w:t>
            </w:r>
          </w:p>
        </w:tc>
        <w:tc>
          <w:tcPr>
            <w:tcW w:w="1701" w:type="dxa"/>
            <w:vAlign w:val="center"/>
          </w:tcPr>
          <w:p w14:paraId="655C0891" w14:textId="77777777" w:rsidR="00454A29" w:rsidRDefault="00454A29">
            <w:pPr>
              <w:pStyle w:val="ConsPlusNormal"/>
              <w:jc w:val="center"/>
            </w:pPr>
            <w:r>
              <w:t>0,00</w:t>
            </w:r>
          </w:p>
        </w:tc>
        <w:tc>
          <w:tcPr>
            <w:tcW w:w="1701" w:type="dxa"/>
            <w:vAlign w:val="center"/>
          </w:tcPr>
          <w:p w14:paraId="16C17D31" w14:textId="77777777" w:rsidR="00454A29" w:rsidRDefault="00454A29">
            <w:pPr>
              <w:pStyle w:val="ConsPlusNormal"/>
              <w:jc w:val="center"/>
            </w:pPr>
            <w:r>
              <w:t>0,00</w:t>
            </w:r>
          </w:p>
        </w:tc>
      </w:tr>
      <w:tr w:rsidR="00454A29" w14:paraId="7FECDFAC" w14:textId="77777777">
        <w:tc>
          <w:tcPr>
            <w:tcW w:w="964" w:type="dxa"/>
            <w:vMerge/>
          </w:tcPr>
          <w:p w14:paraId="67A27D87" w14:textId="77777777" w:rsidR="00454A29" w:rsidRDefault="00454A29"/>
        </w:tc>
        <w:tc>
          <w:tcPr>
            <w:tcW w:w="2154" w:type="dxa"/>
            <w:vMerge/>
            <w:tcBorders>
              <w:top w:val="nil"/>
              <w:bottom w:val="nil"/>
            </w:tcBorders>
          </w:tcPr>
          <w:p w14:paraId="5FB69C00" w14:textId="77777777" w:rsidR="00454A29" w:rsidRDefault="00454A29"/>
        </w:tc>
        <w:tc>
          <w:tcPr>
            <w:tcW w:w="2154" w:type="dxa"/>
            <w:vMerge/>
            <w:tcBorders>
              <w:top w:val="nil"/>
              <w:bottom w:val="nil"/>
            </w:tcBorders>
          </w:tcPr>
          <w:p w14:paraId="7B8BA4C8" w14:textId="77777777" w:rsidR="00454A29" w:rsidRDefault="00454A29"/>
        </w:tc>
        <w:tc>
          <w:tcPr>
            <w:tcW w:w="2665" w:type="dxa"/>
            <w:vMerge/>
          </w:tcPr>
          <w:p w14:paraId="373D855E" w14:textId="77777777" w:rsidR="00454A29" w:rsidRDefault="00454A29"/>
        </w:tc>
        <w:tc>
          <w:tcPr>
            <w:tcW w:w="2665" w:type="dxa"/>
            <w:vMerge/>
          </w:tcPr>
          <w:p w14:paraId="4E32329A" w14:textId="77777777" w:rsidR="00454A29" w:rsidRDefault="00454A29"/>
        </w:tc>
        <w:tc>
          <w:tcPr>
            <w:tcW w:w="1928" w:type="dxa"/>
            <w:vMerge/>
          </w:tcPr>
          <w:p w14:paraId="76CC1469" w14:textId="77777777" w:rsidR="00454A29" w:rsidRDefault="00454A29"/>
        </w:tc>
        <w:tc>
          <w:tcPr>
            <w:tcW w:w="1644" w:type="dxa"/>
            <w:vMerge/>
          </w:tcPr>
          <w:p w14:paraId="0E37F184" w14:textId="77777777" w:rsidR="00454A29" w:rsidRDefault="00454A29"/>
        </w:tc>
        <w:tc>
          <w:tcPr>
            <w:tcW w:w="2041" w:type="dxa"/>
            <w:vMerge/>
          </w:tcPr>
          <w:p w14:paraId="133901B0" w14:textId="77777777" w:rsidR="00454A29" w:rsidRDefault="00454A29"/>
        </w:tc>
        <w:tc>
          <w:tcPr>
            <w:tcW w:w="2098" w:type="dxa"/>
            <w:vAlign w:val="center"/>
          </w:tcPr>
          <w:p w14:paraId="0D028147" w14:textId="77777777" w:rsidR="00454A29" w:rsidRDefault="00454A29">
            <w:pPr>
              <w:pStyle w:val="ConsPlusNormal"/>
              <w:jc w:val="center"/>
            </w:pPr>
            <w:r>
              <w:t>Внебюджетные средства</w:t>
            </w:r>
          </w:p>
        </w:tc>
        <w:tc>
          <w:tcPr>
            <w:tcW w:w="1814" w:type="dxa"/>
            <w:vAlign w:val="center"/>
          </w:tcPr>
          <w:p w14:paraId="34262715" w14:textId="77777777" w:rsidR="00454A29" w:rsidRDefault="00454A29">
            <w:pPr>
              <w:pStyle w:val="ConsPlusNormal"/>
              <w:jc w:val="center"/>
            </w:pPr>
            <w:r>
              <w:t>0,00</w:t>
            </w:r>
          </w:p>
        </w:tc>
        <w:tc>
          <w:tcPr>
            <w:tcW w:w="1701" w:type="dxa"/>
            <w:vAlign w:val="center"/>
          </w:tcPr>
          <w:p w14:paraId="36B62380" w14:textId="77777777" w:rsidR="00454A29" w:rsidRDefault="00454A29">
            <w:pPr>
              <w:pStyle w:val="ConsPlusNormal"/>
              <w:jc w:val="center"/>
            </w:pPr>
            <w:r>
              <w:t>0,00</w:t>
            </w:r>
          </w:p>
        </w:tc>
        <w:tc>
          <w:tcPr>
            <w:tcW w:w="1701" w:type="dxa"/>
            <w:vAlign w:val="center"/>
          </w:tcPr>
          <w:p w14:paraId="047CBB4C" w14:textId="77777777" w:rsidR="00454A29" w:rsidRDefault="00454A29">
            <w:pPr>
              <w:pStyle w:val="ConsPlusNormal"/>
              <w:jc w:val="center"/>
            </w:pPr>
            <w:r>
              <w:t>0,00</w:t>
            </w:r>
          </w:p>
        </w:tc>
        <w:tc>
          <w:tcPr>
            <w:tcW w:w="1701" w:type="dxa"/>
            <w:vAlign w:val="center"/>
          </w:tcPr>
          <w:p w14:paraId="402A0543" w14:textId="77777777" w:rsidR="00454A29" w:rsidRDefault="00454A29">
            <w:pPr>
              <w:pStyle w:val="ConsPlusNormal"/>
              <w:jc w:val="center"/>
            </w:pPr>
            <w:r>
              <w:t>0,00</w:t>
            </w:r>
          </w:p>
        </w:tc>
        <w:tc>
          <w:tcPr>
            <w:tcW w:w="1701" w:type="dxa"/>
            <w:vAlign w:val="center"/>
          </w:tcPr>
          <w:p w14:paraId="2718AD17" w14:textId="77777777" w:rsidR="00454A29" w:rsidRDefault="00454A29">
            <w:pPr>
              <w:pStyle w:val="ConsPlusNormal"/>
              <w:jc w:val="center"/>
            </w:pPr>
            <w:r>
              <w:t>0,00</w:t>
            </w:r>
          </w:p>
        </w:tc>
        <w:tc>
          <w:tcPr>
            <w:tcW w:w="1701" w:type="dxa"/>
            <w:vAlign w:val="center"/>
          </w:tcPr>
          <w:p w14:paraId="78B50559" w14:textId="77777777" w:rsidR="00454A29" w:rsidRDefault="00454A29">
            <w:pPr>
              <w:pStyle w:val="ConsPlusNormal"/>
              <w:jc w:val="center"/>
            </w:pPr>
            <w:r>
              <w:t>0,00</w:t>
            </w:r>
          </w:p>
        </w:tc>
        <w:tc>
          <w:tcPr>
            <w:tcW w:w="1701" w:type="dxa"/>
            <w:vAlign w:val="center"/>
          </w:tcPr>
          <w:p w14:paraId="539B17CC" w14:textId="77777777" w:rsidR="00454A29" w:rsidRDefault="00454A29">
            <w:pPr>
              <w:pStyle w:val="ConsPlusNormal"/>
              <w:jc w:val="center"/>
            </w:pPr>
            <w:r>
              <w:t>0,00</w:t>
            </w:r>
          </w:p>
        </w:tc>
      </w:tr>
      <w:tr w:rsidR="00454A29" w14:paraId="0C030177" w14:textId="77777777">
        <w:tc>
          <w:tcPr>
            <w:tcW w:w="964" w:type="dxa"/>
            <w:vMerge w:val="restart"/>
            <w:vAlign w:val="center"/>
          </w:tcPr>
          <w:p w14:paraId="3D4DBF46" w14:textId="77777777" w:rsidR="00454A29" w:rsidRDefault="00454A29">
            <w:pPr>
              <w:pStyle w:val="ConsPlusNormal"/>
              <w:jc w:val="center"/>
            </w:pPr>
            <w:r>
              <w:t>4.4.</w:t>
            </w:r>
          </w:p>
        </w:tc>
        <w:tc>
          <w:tcPr>
            <w:tcW w:w="2154" w:type="dxa"/>
            <w:vMerge w:val="restart"/>
            <w:tcBorders>
              <w:top w:val="nil"/>
              <w:bottom w:val="nil"/>
            </w:tcBorders>
            <w:vAlign w:val="center"/>
          </w:tcPr>
          <w:p w14:paraId="6AAFA895" w14:textId="77777777" w:rsidR="00454A29" w:rsidRDefault="00454A29">
            <w:pPr>
              <w:pStyle w:val="ConsPlusNormal"/>
            </w:pPr>
          </w:p>
        </w:tc>
        <w:tc>
          <w:tcPr>
            <w:tcW w:w="2154" w:type="dxa"/>
            <w:vMerge w:val="restart"/>
            <w:tcBorders>
              <w:top w:val="nil"/>
              <w:bottom w:val="nil"/>
            </w:tcBorders>
            <w:vAlign w:val="center"/>
          </w:tcPr>
          <w:p w14:paraId="6FE35942" w14:textId="77777777" w:rsidR="00454A29" w:rsidRDefault="00454A29">
            <w:pPr>
              <w:pStyle w:val="ConsPlusNormal"/>
            </w:pPr>
          </w:p>
        </w:tc>
        <w:tc>
          <w:tcPr>
            <w:tcW w:w="2665" w:type="dxa"/>
            <w:vMerge w:val="restart"/>
            <w:vAlign w:val="center"/>
          </w:tcPr>
          <w:p w14:paraId="7FE41FD9" w14:textId="77777777" w:rsidR="00454A29" w:rsidRDefault="00454A29">
            <w:pPr>
              <w:pStyle w:val="ConsPlusNormal"/>
              <w:jc w:val="center"/>
            </w:pPr>
            <w:r>
              <w:t xml:space="preserve">Результат 4. Не менее 200 </w:t>
            </w:r>
            <w:r>
              <w:lastRenderedPageBreak/>
              <w:t>преподавателей (мастеров производственного обучения) прошли повышение квалификации по программам, основанным на опыте Союза Ворлдскиллс Россия, из них не менее 10 тыс. преподавателей (мастеров производственного обучения) сертифицированы в качестве экспертов Ворлдскиллс</w:t>
            </w:r>
          </w:p>
        </w:tc>
        <w:tc>
          <w:tcPr>
            <w:tcW w:w="2665" w:type="dxa"/>
            <w:vMerge w:val="restart"/>
            <w:vAlign w:val="center"/>
          </w:tcPr>
          <w:p w14:paraId="6DA6D72B" w14:textId="77777777" w:rsidR="00454A29" w:rsidRDefault="00454A29">
            <w:pPr>
              <w:pStyle w:val="ConsPlusNormal"/>
              <w:jc w:val="center"/>
            </w:pPr>
            <w:r>
              <w:lastRenderedPageBreak/>
              <w:t xml:space="preserve">Мероприятие 3.7.4. </w:t>
            </w:r>
            <w:r>
              <w:lastRenderedPageBreak/>
              <w:t>Повышение квалификации по программам, основанным на опыте Союза Ворлдскиллс Россия, из них не менее 50 преподавателей (мастеров производственного обучения) сертифицированы в качестве экспертов Ворлдскиллс)</w:t>
            </w:r>
          </w:p>
        </w:tc>
        <w:tc>
          <w:tcPr>
            <w:tcW w:w="1928" w:type="dxa"/>
            <w:vMerge w:val="restart"/>
            <w:vAlign w:val="center"/>
          </w:tcPr>
          <w:p w14:paraId="349978E5" w14:textId="77777777" w:rsidR="00454A29" w:rsidRDefault="00454A29">
            <w:pPr>
              <w:pStyle w:val="ConsPlusNormal"/>
              <w:jc w:val="center"/>
            </w:pPr>
            <w:r>
              <w:lastRenderedPageBreak/>
              <w:t>-</w:t>
            </w:r>
          </w:p>
        </w:tc>
        <w:tc>
          <w:tcPr>
            <w:tcW w:w="1644" w:type="dxa"/>
            <w:vMerge w:val="restart"/>
            <w:vAlign w:val="center"/>
          </w:tcPr>
          <w:p w14:paraId="7EBFAECC" w14:textId="77777777" w:rsidR="00454A29" w:rsidRDefault="00454A29">
            <w:pPr>
              <w:pStyle w:val="ConsPlusNormal"/>
              <w:jc w:val="center"/>
            </w:pPr>
            <w:r>
              <w:t>-</w:t>
            </w:r>
          </w:p>
        </w:tc>
        <w:tc>
          <w:tcPr>
            <w:tcW w:w="2041" w:type="dxa"/>
            <w:vMerge w:val="restart"/>
            <w:vAlign w:val="center"/>
          </w:tcPr>
          <w:p w14:paraId="1AA1BE80" w14:textId="77777777" w:rsidR="00454A29" w:rsidRDefault="00454A29">
            <w:pPr>
              <w:pStyle w:val="ConsPlusNormal"/>
              <w:jc w:val="center"/>
            </w:pPr>
            <w:r>
              <w:t>-</w:t>
            </w:r>
          </w:p>
        </w:tc>
        <w:tc>
          <w:tcPr>
            <w:tcW w:w="2098" w:type="dxa"/>
            <w:vAlign w:val="center"/>
          </w:tcPr>
          <w:p w14:paraId="4A15E7AD" w14:textId="77777777" w:rsidR="00454A29" w:rsidRDefault="00454A29">
            <w:pPr>
              <w:pStyle w:val="ConsPlusNormal"/>
              <w:jc w:val="center"/>
            </w:pPr>
            <w:r>
              <w:t>Итого</w:t>
            </w:r>
          </w:p>
        </w:tc>
        <w:tc>
          <w:tcPr>
            <w:tcW w:w="1814" w:type="dxa"/>
            <w:vAlign w:val="center"/>
          </w:tcPr>
          <w:p w14:paraId="4565B402" w14:textId="77777777" w:rsidR="00454A29" w:rsidRDefault="00454A29">
            <w:pPr>
              <w:pStyle w:val="ConsPlusNormal"/>
              <w:jc w:val="center"/>
            </w:pPr>
            <w:r>
              <w:t>0,00</w:t>
            </w:r>
          </w:p>
        </w:tc>
        <w:tc>
          <w:tcPr>
            <w:tcW w:w="1701" w:type="dxa"/>
            <w:vAlign w:val="center"/>
          </w:tcPr>
          <w:p w14:paraId="69B79A99" w14:textId="77777777" w:rsidR="00454A29" w:rsidRDefault="00454A29">
            <w:pPr>
              <w:pStyle w:val="ConsPlusNormal"/>
              <w:jc w:val="center"/>
            </w:pPr>
            <w:r>
              <w:t>0,00</w:t>
            </w:r>
          </w:p>
        </w:tc>
        <w:tc>
          <w:tcPr>
            <w:tcW w:w="1701" w:type="dxa"/>
            <w:vAlign w:val="center"/>
          </w:tcPr>
          <w:p w14:paraId="43B2D2AC" w14:textId="77777777" w:rsidR="00454A29" w:rsidRDefault="00454A29">
            <w:pPr>
              <w:pStyle w:val="ConsPlusNormal"/>
              <w:jc w:val="center"/>
            </w:pPr>
            <w:r>
              <w:t>0,00</w:t>
            </w:r>
          </w:p>
        </w:tc>
        <w:tc>
          <w:tcPr>
            <w:tcW w:w="1701" w:type="dxa"/>
            <w:vAlign w:val="center"/>
          </w:tcPr>
          <w:p w14:paraId="3E48EA53" w14:textId="77777777" w:rsidR="00454A29" w:rsidRDefault="00454A29">
            <w:pPr>
              <w:pStyle w:val="ConsPlusNormal"/>
              <w:jc w:val="center"/>
            </w:pPr>
            <w:r>
              <w:t>0,00</w:t>
            </w:r>
          </w:p>
        </w:tc>
        <w:tc>
          <w:tcPr>
            <w:tcW w:w="1701" w:type="dxa"/>
            <w:vAlign w:val="center"/>
          </w:tcPr>
          <w:p w14:paraId="0E5243D4" w14:textId="77777777" w:rsidR="00454A29" w:rsidRDefault="00454A29">
            <w:pPr>
              <w:pStyle w:val="ConsPlusNormal"/>
              <w:jc w:val="center"/>
            </w:pPr>
            <w:r>
              <w:t>0,00</w:t>
            </w:r>
          </w:p>
        </w:tc>
        <w:tc>
          <w:tcPr>
            <w:tcW w:w="1701" w:type="dxa"/>
            <w:vAlign w:val="center"/>
          </w:tcPr>
          <w:p w14:paraId="0500CF0C" w14:textId="77777777" w:rsidR="00454A29" w:rsidRDefault="00454A29">
            <w:pPr>
              <w:pStyle w:val="ConsPlusNormal"/>
              <w:jc w:val="center"/>
            </w:pPr>
            <w:r>
              <w:t>0,00</w:t>
            </w:r>
          </w:p>
        </w:tc>
        <w:tc>
          <w:tcPr>
            <w:tcW w:w="1701" w:type="dxa"/>
            <w:vAlign w:val="center"/>
          </w:tcPr>
          <w:p w14:paraId="0B13A73A" w14:textId="77777777" w:rsidR="00454A29" w:rsidRDefault="00454A29">
            <w:pPr>
              <w:pStyle w:val="ConsPlusNormal"/>
              <w:jc w:val="center"/>
            </w:pPr>
            <w:r>
              <w:t>0,00</w:t>
            </w:r>
          </w:p>
        </w:tc>
      </w:tr>
      <w:tr w:rsidR="00454A29" w14:paraId="3E120D17" w14:textId="77777777">
        <w:tc>
          <w:tcPr>
            <w:tcW w:w="964" w:type="dxa"/>
            <w:vMerge/>
          </w:tcPr>
          <w:p w14:paraId="6A5BD7D8" w14:textId="77777777" w:rsidR="00454A29" w:rsidRDefault="00454A29"/>
        </w:tc>
        <w:tc>
          <w:tcPr>
            <w:tcW w:w="2154" w:type="dxa"/>
            <w:vMerge/>
            <w:tcBorders>
              <w:top w:val="nil"/>
              <w:bottom w:val="nil"/>
            </w:tcBorders>
          </w:tcPr>
          <w:p w14:paraId="60745A59" w14:textId="77777777" w:rsidR="00454A29" w:rsidRDefault="00454A29"/>
        </w:tc>
        <w:tc>
          <w:tcPr>
            <w:tcW w:w="2154" w:type="dxa"/>
            <w:vMerge/>
            <w:tcBorders>
              <w:top w:val="nil"/>
              <w:bottom w:val="nil"/>
            </w:tcBorders>
          </w:tcPr>
          <w:p w14:paraId="6ABB0336" w14:textId="77777777" w:rsidR="00454A29" w:rsidRDefault="00454A29"/>
        </w:tc>
        <w:tc>
          <w:tcPr>
            <w:tcW w:w="2665" w:type="dxa"/>
            <w:vMerge/>
          </w:tcPr>
          <w:p w14:paraId="23772AA0" w14:textId="77777777" w:rsidR="00454A29" w:rsidRDefault="00454A29"/>
        </w:tc>
        <w:tc>
          <w:tcPr>
            <w:tcW w:w="2665" w:type="dxa"/>
            <w:vMerge/>
          </w:tcPr>
          <w:p w14:paraId="2DAB0734" w14:textId="77777777" w:rsidR="00454A29" w:rsidRDefault="00454A29"/>
        </w:tc>
        <w:tc>
          <w:tcPr>
            <w:tcW w:w="1928" w:type="dxa"/>
            <w:vMerge/>
          </w:tcPr>
          <w:p w14:paraId="15402FE2" w14:textId="77777777" w:rsidR="00454A29" w:rsidRDefault="00454A29"/>
        </w:tc>
        <w:tc>
          <w:tcPr>
            <w:tcW w:w="1644" w:type="dxa"/>
            <w:vMerge/>
          </w:tcPr>
          <w:p w14:paraId="5A79AA58" w14:textId="77777777" w:rsidR="00454A29" w:rsidRDefault="00454A29"/>
        </w:tc>
        <w:tc>
          <w:tcPr>
            <w:tcW w:w="2041" w:type="dxa"/>
            <w:vMerge/>
          </w:tcPr>
          <w:p w14:paraId="0888E97C" w14:textId="77777777" w:rsidR="00454A29" w:rsidRDefault="00454A29"/>
        </w:tc>
        <w:tc>
          <w:tcPr>
            <w:tcW w:w="2098" w:type="dxa"/>
            <w:vAlign w:val="center"/>
          </w:tcPr>
          <w:p w14:paraId="0771E2A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711321B" w14:textId="77777777" w:rsidR="00454A29" w:rsidRDefault="00454A29">
            <w:pPr>
              <w:pStyle w:val="ConsPlusNormal"/>
              <w:jc w:val="center"/>
            </w:pPr>
            <w:r>
              <w:t>0,00</w:t>
            </w:r>
          </w:p>
        </w:tc>
        <w:tc>
          <w:tcPr>
            <w:tcW w:w="1701" w:type="dxa"/>
            <w:vAlign w:val="center"/>
          </w:tcPr>
          <w:p w14:paraId="29BBFEF1" w14:textId="77777777" w:rsidR="00454A29" w:rsidRDefault="00454A29">
            <w:pPr>
              <w:pStyle w:val="ConsPlusNormal"/>
              <w:jc w:val="center"/>
            </w:pPr>
            <w:r>
              <w:t>0,00</w:t>
            </w:r>
          </w:p>
        </w:tc>
        <w:tc>
          <w:tcPr>
            <w:tcW w:w="1701" w:type="dxa"/>
            <w:vAlign w:val="center"/>
          </w:tcPr>
          <w:p w14:paraId="2C3021D1" w14:textId="77777777" w:rsidR="00454A29" w:rsidRDefault="00454A29">
            <w:pPr>
              <w:pStyle w:val="ConsPlusNormal"/>
              <w:jc w:val="center"/>
            </w:pPr>
            <w:r>
              <w:t>0,00</w:t>
            </w:r>
          </w:p>
        </w:tc>
        <w:tc>
          <w:tcPr>
            <w:tcW w:w="1701" w:type="dxa"/>
            <w:vAlign w:val="center"/>
          </w:tcPr>
          <w:p w14:paraId="4D8E2697" w14:textId="77777777" w:rsidR="00454A29" w:rsidRDefault="00454A29">
            <w:pPr>
              <w:pStyle w:val="ConsPlusNormal"/>
              <w:jc w:val="center"/>
            </w:pPr>
            <w:r>
              <w:t>0,00</w:t>
            </w:r>
          </w:p>
        </w:tc>
        <w:tc>
          <w:tcPr>
            <w:tcW w:w="1701" w:type="dxa"/>
            <w:vAlign w:val="center"/>
          </w:tcPr>
          <w:p w14:paraId="616B5CA0" w14:textId="77777777" w:rsidR="00454A29" w:rsidRDefault="00454A29">
            <w:pPr>
              <w:pStyle w:val="ConsPlusNormal"/>
              <w:jc w:val="center"/>
            </w:pPr>
            <w:r>
              <w:t>0,00</w:t>
            </w:r>
          </w:p>
        </w:tc>
        <w:tc>
          <w:tcPr>
            <w:tcW w:w="1701" w:type="dxa"/>
            <w:vAlign w:val="center"/>
          </w:tcPr>
          <w:p w14:paraId="6ECD43EF" w14:textId="77777777" w:rsidR="00454A29" w:rsidRDefault="00454A29">
            <w:pPr>
              <w:pStyle w:val="ConsPlusNormal"/>
              <w:jc w:val="center"/>
            </w:pPr>
            <w:r>
              <w:t>0,00</w:t>
            </w:r>
          </w:p>
        </w:tc>
        <w:tc>
          <w:tcPr>
            <w:tcW w:w="1701" w:type="dxa"/>
            <w:vAlign w:val="center"/>
          </w:tcPr>
          <w:p w14:paraId="53B4118C" w14:textId="77777777" w:rsidR="00454A29" w:rsidRDefault="00454A29">
            <w:pPr>
              <w:pStyle w:val="ConsPlusNormal"/>
              <w:jc w:val="center"/>
            </w:pPr>
            <w:r>
              <w:t>0,00</w:t>
            </w:r>
          </w:p>
        </w:tc>
      </w:tr>
      <w:tr w:rsidR="00454A29" w14:paraId="7C78E83D" w14:textId="77777777">
        <w:tc>
          <w:tcPr>
            <w:tcW w:w="964" w:type="dxa"/>
            <w:vMerge/>
          </w:tcPr>
          <w:p w14:paraId="558CEE0A" w14:textId="77777777" w:rsidR="00454A29" w:rsidRDefault="00454A29"/>
        </w:tc>
        <w:tc>
          <w:tcPr>
            <w:tcW w:w="2154" w:type="dxa"/>
            <w:vMerge/>
            <w:tcBorders>
              <w:top w:val="nil"/>
              <w:bottom w:val="nil"/>
            </w:tcBorders>
          </w:tcPr>
          <w:p w14:paraId="1A94E8CD" w14:textId="77777777" w:rsidR="00454A29" w:rsidRDefault="00454A29"/>
        </w:tc>
        <w:tc>
          <w:tcPr>
            <w:tcW w:w="2154" w:type="dxa"/>
            <w:vMerge/>
            <w:tcBorders>
              <w:top w:val="nil"/>
              <w:bottom w:val="nil"/>
            </w:tcBorders>
          </w:tcPr>
          <w:p w14:paraId="5DB3BAEA" w14:textId="77777777" w:rsidR="00454A29" w:rsidRDefault="00454A29"/>
        </w:tc>
        <w:tc>
          <w:tcPr>
            <w:tcW w:w="2665" w:type="dxa"/>
            <w:vMerge/>
          </w:tcPr>
          <w:p w14:paraId="531696EC" w14:textId="77777777" w:rsidR="00454A29" w:rsidRDefault="00454A29"/>
        </w:tc>
        <w:tc>
          <w:tcPr>
            <w:tcW w:w="2665" w:type="dxa"/>
            <w:vMerge/>
          </w:tcPr>
          <w:p w14:paraId="24A8B580" w14:textId="77777777" w:rsidR="00454A29" w:rsidRDefault="00454A29"/>
        </w:tc>
        <w:tc>
          <w:tcPr>
            <w:tcW w:w="1928" w:type="dxa"/>
            <w:vMerge/>
          </w:tcPr>
          <w:p w14:paraId="7747BA33" w14:textId="77777777" w:rsidR="00454A29" w:rsidRDefault="00454A29"/>
        </w:tc>
        <w:tc>
          <w:tcPr>
            <w:tcW w:w="1644" w:type="dxa"/>
            <w:vMerge/>
          </w:tcPr>
          <w:p w14:paraId="15BF3A67" w14:textId="77777777" w:rsidR="00454A29" w:rsidRDefault="00454A29"/>
        </w:tc>
        <w:tc>
          <w:tcPr>
            <w:tcW w:w="2041" w:type="dxa"/>
            <w:vMerge/>
          </w:tcPr>
          <w:p w14:paraId="64304F44" w14:textId="77777777" w:rsidR="00454A29" w:rsidRDefault="00454A29"/>
        </w:tc>
        <w:tc>
          <w:tcPr>
            <w:tcW w:w="2098" w:type="dxa"/>
            <w:vAlign w:val="center"/>
          </w:tcPr>
          <w:p w14:paraId="2C5DD958" w14:textId="77777777" w:rsidR="00454A29" w:rsidRDefault="00454A29">
            <w:pPr>
              <w:pStyle w:val="ConsPlusNormal"/>
              <w:jc w:val="center"/>
            </w:pPr>
            <w:r>
              <w:t>Федеральный бюджет</w:t>
            </w:r>
          </w:p>
        </w:tc>
        <w:tc>
          <w:tcPr>
            <w:tcW w:w="1814" w:type="dxa"/>
            <w:vAlign w:val="center"/>
          </w:tcPr>
          <w:p w14:paraId="2767BF31" w14:textId="77777777" w:rsidR="00454A29" w:rsidRDefault="00454A29">
            <w:pPr>
              <w:pStyle w:val="ConsPlusNormal"/>
              <w:jc w:val="center"/>
            </w:pPr>
            <w:r>
              <w:t>0,00</w:t>
            </w:r>
          </w:p>
        </w:tc>
        <w:tc>
          <w:tcPr>
            <w:tcW w:w="1701" w:type="dxa"/>
            <w:vAlign w:val="center"/>
          </w:tcPr>
          <w:p w14:paraId="521E7372" w14:textId="77777777" w:rsidR="00454A29" w:rsidRDefault="00454A29">
            <w:pPr>
              <w:pStyle w:val="ConsPlusNormal"/>
              <w:jc w:val="center"/>
            </w:pPr>
            <w:r>
              <w:t>0,00</w:t>
            </w:r>
          </w:p>
        </w:tc>
        <w:tc>
          <w:tcPr>
            <w:tcW w:w="1701" w:type="dxa"/>
            <w:vAlign w:val="center"/>
          </w:tcPr>
          <w:p w14:paraId="753FC28A" w14:textId="77777777" w:rsidR="00454A29" w:rsidRDefault="00454A29">
            <w:pPr>
              <w:pStyle w:val="ConsPlusNormal"/>
              <w:jc w:val="center"/>
            </w:pPr>
            <w:r>
              <w:t>0,00</w:t>
            </w:r>
          </w:p>
        </w:tc>
        <w:tc>
          <w:tcPr>
            <w:tcW w:w="1701" w:type="dxa"/>
            <w:vAlign w:val="center"/>
          </w:tcPr>
          <w:p w14:paraId="2A171814" w14:textId="77777777" w:rsidR="00454A29" w:rsidRDefault="00454A29">
            <w:pPr>
              <w:pStyle w:val="ConsPlusNormal"/>
              <w:jc w:val="center"/>
            </w:pPr>
            <w:r>
              <w:t>0,00</w:t>
            </w:r>
          </w:p>
        </w:tc>
        <w:tc>
          <w:tcPr>
            <w:tcW w:w="1701" w:type="dxa"/>
            <w:vAlign w:val="center"/>
          </w:tcPr>
          <w:p w14:paraId="53037920" w14:textId="77777777" w:rsidR="00454A29" w:rsidRDefault="00454A29">
            <w:pPr>
              <w:pStyle w:val="ConsPlusNormal"/>
              <w:jc w:val="center"/>
            </w:pPr>
            <w:r>
              <w:t>0,00</w:t>
            </w:r>
          </w:p>
        </w:tc>
        <w:tc>
          <w:tcPr>
            <w:tcW w:w="1701" w:type="dxa"/>
            <w:vAlign w:val="center"/>
          </w:tcPr>
          <w:p w14:paraId="474AB3DD" w14:textId="77777777" w:rsidR="00454A29" w:rsidRDefault="00454A29">
            <w:pPr>
              <w:pStyle w:val="ConsPlusNormal"/>
              <w:jc w:val="center"/>
            </w:pPr>
            <w:r>
              <w:t>0,00</w:t>
            </w:r>
          </w:p>
        </w:tc>
        <w:tc>
          <w:tcPr>
            <w:tcW w:w="1701" w:type="dxa"/>
            <w:vAlign w:val="center"/>
          </w:tcPr>
          <w:p w14:paraId="17E30D10" w14:textId="77777777" w:rsidR="00454A29" w:rsidRDefault="00454A29">
            <w:pPr>
              <w:pStyle w:val="ConsPlusNormal"/>
              <w:jc w:val="center"/>
            </w:pPr>
            <w:r>
              <w:t>0,00</w:t>
            </w:r>
          </w:p>
        </w:tc>
      </w:tr>
      <w:tr w:rsidR="00454A29" w14:paraId="06674525" w14:textId="77777777">
        <w:tc>
          <w:tcPr>
            <w:tcW w:w="964" w:type="dxa"/>
            <w:vMerge/>
          </w:tcPr>
          <w:p w14:paraId="45726CAA" w14:textId="77777777" w:rsidR="00454A29" w:rsidRDefault="00454A29"/>
        </w:tc>
        <w:tc>
          <w:tcPr>
            <w:tcW w:w="2154" w:type="dxa"/>
            <w:vMerge/>
            <w:tcBorders>
              <w:top w:val="nil"/>
              <w:bottom w:val="nil"/>
            </w:tcBorders>
          </w:tcPr>
          <w:p w14:paraId="51BF7D04" w14:textId="77777777" w:rsidR="00454A29" w:rsidRDefault="00454A29"/>
        </w:tc>
        <w:tc>
          <w:tcPr>
            <w:tcW w:w="2154" w:type="dxa"/>
            <w:vMerge/>
            <w:tcBorders>
              <w:top w:val="nil"/>
              <w:bottom w:val="nil"/>
            </w:tcBorders>
          </w:tcPr>
          <w:p w14:paraId="3A2BD254" w14:textId="77777777" w:rsidR="00454A29" w:rsidRDefault="00454A29"/>
        </w:tc>
        <w:tc>
          <w:tcPr>
            <w:tcW w:w="2665" w:type="dxa"/>
            <w:vMerge/>
          </w:tcPr>
          <w:p w14:paraId="3E30AC1E" w14:textId="77777777" w:rsidR="00454A29" w:rsidRDefault="00454A29"/>
        </w:tc>
        <w:tc>
          <w:tcPr>
            <w:tcW w:w="2665" w:type="dxa"/>
            <w:vMerge/>
          </w:tcPr>
          <w:p w14:paraId="6C47DF4D" w14:textId="77777777" w:rsidR="00454A29" w:rsidRDefault="00454A29"/>
        </w:tc>
        <w:tc>
          <w:tcPr>
            <w:tcW w:w="1928" w:type="dxa"/>
            <w:vMerge/>
          </w:tcPr>
          <w:p w14:paraId="1C4E7619" w14:textId="77777777" w:rsidR="00454A29" w:rsidRDefault="00454A29"/>
        </w:tc>
        <w:tc>
          <w:tcPr>
            <w:tcW w:w="1644" w:type="dxa"/>
            <w:vMerge/>
          </w:tcPr>
          <w:p w14:paraId="091570EE" w14:textId="77777777" w:rsidR="00454A29" w:rsidRDefault="00454A29"/>
        </w:tc>
        <w:tc>
          <w:tcPr>
            <w:tcW w:w="2041" w:type="dxa"/>
            <w:vMerge/>
          </w:tcPr>
          <w:p w14:paraId="169A17C1" w14:textId="77777777" w:rsidR="00454A29" w:rsidRDefault="00454A29"/>
        </w:tc>
        <w:tc>
          <w:tcPr>
            <w:tcW w:w="2098" w:type="dxa"/>
            <w:vAlign w:val="center"/>
          </w:tcPr>
          <w:p w14:paraId="308E10EB" w14:textId="77777777" w:rsidR="00454A29" w:rsidRDefault="00454A29">
            <w:pPr>
              <w:pStyle w:val="ConsPlusNormal"/>
              <w:jc w:val="center"/>
            </w:pPr>
            <w:r>
              <w:t>Местные бюджеты</w:t>
            </w:r>
          </w:p>
        </w:tc>
        <w:tc>
          <w:tcPr>
            <w:tcW w:w="1814" w:type="dxa"/>
            <w:vAlign w:val="center"/>
          </w:tcPr>
          <w:p w14:paraId="552BDDFD" w14:textId="77777777" w:rsidR="00454A29" w:rsidRDefault="00454A29">
            <w:pPr>
              <w:pStyle w:val="ConsPlusNormal"/>
              <w:jc w:val="center"/>
            </w:pPr>
            <w:r>
              <w:t>0,00</w:t>
            </w:r>
          </w:p>
        </w:tc>
        <w:tc>
          <w:tcPr>
            <w:tcW w:w="1701" w:type="dxa"/>
            <w:vAlign w:val="center"/>
          </w:tcPr>
          <w:p w14:paraId="0EF00BDA" w14:textId="77777777" w:rsidR="00454A29" w:rsidRDefault="00454A29">
            <w:pPr>
              <w:pStyle w:val="ConsPlusNormal"/>
              <w:jc w:val="center"/>
            </w:pPr>
            <w:r>
              <w:t>0,00</w:t>
            </w:r>
          </w:p>
        </w:tc>
        <w:tc>
          <w:tcPr>
            <w:tcW w:w="1701" w:type="dxa"/>
            <w:vAlign w:val="center"/>
          </w:tcPr>
          <w:p w14:paraId="2A0374FA" w14:textId="77777777" w:rsidR="00454A29" w:rsidRDefault="00454A29">
            <w:pPr>
              <w:pStyle w:val="ConsPlusNormal"/>
              <w:jc w:val="center"/>
            </w:pPr>
            <w:r>
              <w:t>0,00</w:t>
            </w:r>
          </w:p>
        </w:tc>
        <w:tc>
          <w:tcPr>
            <w:tcW w:w="1701" w:type="dxa"/>
            <w:vAlign w:val="center"/>
          </w:tcPr>
          <w:p w14:paraId="61AB58EF" w14:textId="77777777" w:rsidR="00454A29" w:rsidRDefault="00454A29">
            <w:pPr>
              <w:pStyle w:val="ConsPlusNormal"/>
              <w:jc w:val="center"/>
            </w:pPr>
            <w:r>
              <w:t>0,00</w:t>
            </w:r>
          </w:p>
        </w:tc>
        <w:tc>
          <w:tcPr>
            <w:tcW w:w="1701" w:type="dxa"/>
            <w:vAlign w:val="center"/>
          </w:tcPr>
          <w:p w14:paraId="057FB8EC" w14:textId="77777777" w:rsidR="00454A29" w:rsidRDefault="00454A29">
            <w:pPr>
              <w:pStyle w:val="ConsPlusNormal"/>
              <w:jc w:val="center"/>
            </w:pPr>
            <w:r>
              <w:t>0,00</w:t>
            </w:r>
          </w:p>
        </w:tc>
        <w:tc>
          <w:tcPr>
            <w:tcW w:w="1701" w:type="dxa"/>
            <w:vAlign w:val="center"/>
          </w:tcPr>
          <w:p w14:paraId="0FE5DF06" w14:textId="77777777" w:rsidR="00454A29" w:rsidRDefault="00454A29">
            <w:pPr>
              <w:pStyle w:val="ConsPlusNormal"/>
              <w:jc w:val="center"/>
            </w:pPr>
            <w:r>
              <w:t>0,00</w:t>
            </w:r>
          </w:p>
        </w:tc>
        <w:tc>
          <w:tcPr>
            <w:tcW w:w="1701" w:type="dxa"/>
            <w:vAlign w:val="center"/>
          </w:tcPr>
          <w:p w14:paraId="00A99FE2" w14:textId="77777777" w:rsidR="00454A29" w:rsidRDefault="00454A29">
            <w:pPr>
              <w:pStyle w:val="ConsPlusNormal"/>
              <w:jc w:val="center"/>
            </w:pPr>
            <w:r>
              <w:t>0,00</w:t>
            </w:r>
          </w:p>
        </w:tc>
      </w:tr>
      <w:tr w:rsidR="00454A29" w14:paraId="799D0D84" w14:textId="77777777">
        <w:tc>
          <w:tcPr>
            <w:tcW w:w="964" w:type="dxa"/>
            <w:vMerge/>
          </w:tcPr>
          <w:p w14:paraId="42D45E14" w14:textId="77777777" w:rsidR="00454A29" w:rsidRDefault="00454A29"/>
        </w:tc>
        <w:tc>
          <w:tcPr>
            <w:tcW w:w="2154" w:type="dxa"/>
            <w:vMerge/>
            <w:tcBorders>
              <w:top w:val="nil"/>
              <w:bottom w:val="nil"/>
            </w:tcBorders>
          </w:tcPr>
          <w:p w14:paraId="682A0F18" w14:textId="77777777" w:rsidR="00454A29" w:rsidRDefault="00454A29"/>
        </w:tc>
        <w:tc>
          <w:tcPr>
            <w:tcW w:w="2154" w:type="dxa"/>
            <w:vMerge/>
            <w:tcBorders>
              <w:top w:val="nil"/>
              <w:bottom w:val="nil"/>
            </w:tcBorders>
          </w:tcPr>
          <w:p w14:paraId="309206E7" w14:textId="77777777" w:rsidR="00454A29" w:rsidRDefault="00454A29"/>
        </w:tc>
        <w:tc>
          <w:tcPr>
            <w:tcW w:w="2665" w:type="dxa"/>
            <w:vMerge/>
          </w:tcPr>
          <w:p w14:paraId="6D1F9712" w14:textId="77777777" w:rsidR="00454A29" w:rsidRDefault="00454A29"/>
        </w:tc>
        <w:tc>
          <w:tcPr>
            <w:tcW w:w="2665" w:type="dxa"/>
            <w:vMerge/>
          </w:tcPr>
          <w:p w14:paraId="6FF36E7E" w14:textId="77777777" w:rsidR="00454A29" w:rsidRDefault="00454A29"/>
        </w:tc>
        <w:tc>
          <w:tcPr>
            <w:tcW w:w="1928" w:type="dxa"/>
            <w:vMerge/>
          </w:tcPr>
          <w:p w14:paraId="68E2D9C6" w14:textId="77777777" w:rsidR="00454A29" w:rsidRDefault="00454A29"/>
        </w:tc>
        <w:tc>
          <w:tcPr>
            <w:tcW w:w="1644" w:type="dxa"/>
            <w:vMerge/>
          </w:tcPr>
          <w:p w14:paraId="61C96076" w14:textId="77777777" w:rsidR="00454A29" w:rsidRDefault="00454A29"/>
        </w:tc>
        <w:tc>
          <w:tcPr>
            <w:tcW w:w="2041" w:type="dxa"/>
            <w:vMerge/>
          </w:tcPr>
          <w:p w14:paraId="05867F6A" w14:textId="77777777" w:rsidR="00454A29" w:rsidRDefault="00454A29"/>
        </w:tc>
        <w:tc>
          <w:tcPr>
            <w:tcW w:w="2098" w:type="dxa"/>
            <w:vAlign w:val="center"/>
          </w:tcPr>
          <w:p w14:paraId="13D2B23E" w14:textId="77777777" w:rsidR="00454A29" w:rsidRDefault="00454A29">
            <w:pPr>
              <w:pStyle w:val="ConsPlusNormal"/>
              <w:jc w:val="center"/>
            </w:pPr>
            <w:r>
              <w:t>Внебюджетные средства</w:t>
            </w:r>
          </w:p>
        </w:tc>
        <w:tc>
          <w:tcPr>
            <w:tcW w:w="1814" w:type="dxa"/>
            <w:vAlign w:val="center"/>
          </w:tcPr>
          <w:p w14:paraId="150CB8DC" w14:textId="77777777" w:rsidR="00454A29" w:rsidRDefault="00454A29">
            <w:pPr>
              <w:pStyle w:val="ConsPlusNormal"/>
              <w:jc w:val="center"/>
            </w:pPr>
            <w:r>
              <w:t>0,00</w:t>
            </w:r>
          </w:p>
        </w:tc>
        <w:tc>
          <w:tcPr>
            <w:tcW w:w="1701" w:type="dxa"/>
            <w:vAlign w:val="center"/>
          </w:tcPr>
          <w:p w14:paraId="241C9C93" w14:textId="77777777" w:rsidR="00454A29" w:rsidRDefault="00454A29">
            <w:pPr>
              <w:pStyle w:val="ConsPlusNormal"/>
              <w:jc w:val="center"/>
            </w:pPr>
            <w:r>
              <w:t>0,00</w:t>
            </w:r>
          </w:p>
        </w:tc>
        <w:tc>
          <w:tcPr>
            <w:tcW w:w="1701" w:type="dxa"/>
            <w:vAlign w:val="center"/>
          </w:tcPr>
          <w:p w14:paraId="78AF8645" w14:textId="77777777" w:rsidR="00454A29" w:rsidRDefault="00454A29">
            <w:pPr>
              <w:pStyle w:val="ConsPlusNormal"/>
              <w:jc w:val="center"/>
            </w:pPr>
            <w:r>
              <w:t>0,00</w:t>
            </w:r>
          </w:p>
        </w:tc>
        <w:tc>
          <w:tcPr>
            <w:tcW w:w="1701" w:type="dxa"/>
            <w:vAlign w:val="center"/>
          </w:tcPr>
          <w:p w14:paraId="00BF013A" w14:textId="77777777" w:rsidR="00454A29" w:rsidRDefault="00454A29">
            <w:pPr>
              <w:pStyle w:val="ConsPlusNormal"/>
              <w:jc w:val="center"/>
            </w:pPr>
            <w:r>
              <w:t>0,00</w:t>
            </w:r>
          </w:p>
        </w:tc>
        <w:tc>
          <w:tcPr>
            <w:tcW w:w="1701" w:type="dxa"/>
            <w:vAlign w:val="center"/>
          </w:tcPr>
          <w:p w14:paraId="3A9EC0CC" w14:textId="77777777" w:rsidR="00454A29" w:rsidRDefault="00454A29">
            <w:pPr>
              <w:pStyle w:val="ConsPlusNormal"/>
              <w:jc w:val="center"/>
            </w:pPr>
            <w:r>
              <w:t>0,00</w:t>
            </w:r>
          </w:p>
        </w:tc>
        <w:tc>
          <w:tcPr>
            <w:tcW w:w="1701" w:type="dxa"/>
            <w:vAlign w:val="center"/>
          </w:tcPr>
          <w:p w14:paraId="77572AD3" w14:textId="77777777" w:rsidR="00454A29" w:rsidRDefault="00454A29">
            <w:pPr>
              <w:pStyle w:val="ConsPlusNormal"/>
              <w:jc w:val="center"/>
            </w:pPr>
            <w:r>
              <w:t>0,00</w:t>
            </w:r>
          </w:p>
        </w:tc>
        <w:tc>
          <w:tcPr>
            <w:tcW w:w="1701" w:type="dxa"/>
            <w:vAlign w:val="center"/>
          </w:tcPr>
          <w:p w14:paraId="6612C85A" w14:textId="77777777" w:rsidR="00454A29" w:rsidRDefault="00454A29">
            <w:pPr>
              <w:pStyle w:val="ConsPlusNormal"/>
              <w:jc w:val="center"/>
            </w:pPr>
            <w:r>
              <w:t>0,00</w:t>
            </w:r>
          </w:p>
        </w:tc>
      </w:tr>
      <w:tr w:rsidR="00454A29" w14:paraId="44F406EA" w14:textId="77777777">
        <w:tc>
          <w:tcPr>
            <w:tcW w:w="964" w:type="dxa"/>
            <w:vMerge w:val="restart"/>
            <w:vAlign w:val="center"/>
          </w:tcPr>
          <w:p w14:paraId="191C8594" w14:textId="77777777" w:rsidR="00454A29" w:rsidRDefault="00454A29">
            <w:pPr>
              <w:pStyle w:val="ConsPlusNormal"/>
              <w:jc w:val="center"/>
            </w:pPr>
            <w:r>
              <w:t>4.5.</w:t>
            </w:r>
          </w:p>
        </w:tc>
        <w:tc>
          <w:tcPr>
            <w:tcW w:w="2154" w:type="dxa"/>
            <w:vMerge w:val="restart"/>
            <w:tcBorders>
              <w:top w:val="nil"/>
              <w:bottom w:val="nil"/>
            </w:tcBorders>
            <w:vAlign w:val="center"/>
          </w:tcPr>
          <w:p w14:paraId="763D45B8" w14:textId="77777777" w:rsidR="00454A29" w:rsidRDefault="00454A29">
            <w:pPr>
              <w:pStyle w:val="ConsPlusNormal"/>
            </w:pPr>
          </w:p>
        </w:tc>
        <w:tc>
          <w:tcPr>
            <w:tcW w:w="2154" w:type="dxa"/>
            <w:vMerge w:val="restart"/>
            <w:tcBorders>
              <w:top w:val="nil"/>
              <w:bottom w:val="nil"/>
            </w:tcBorders>
            <w:vAlign w:val="center"/>
          </w:tcPr>
          <w:p w14:paraId="27A8A493" w14:textId="77777777" w:rsidR="00454A29" w:rsidRDefault="00454A29">
            <w:pPr>
              <w:pStyle w:val="ConsPlusNormal"/>
            </w:pPr>
          </w:p>
        </w:tc>
        <w:tc>
          <w:tcPr>
            <w:tcW w:w="2665" w:type="dxa"/>
            <w:vMerge w:val="restart"/>
            <w:vAlign w:val="center"/>
          </w:tcPr>
          <w:p w14:paraId="0BBE5148" w14:textId="77777777" w:rsidR="00454A29" w:rsidRDefault="00454A29">
            <w:pPr>
              <w:pStyle w:val="ConsPlusNormal"/>
              <w:jc w:val="center"/>
            </w:pPr>
            <w:r>
              <w:t>Результат 5. Во всех субъектах внедрены программы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tc>
        <w:tc>
          <w:tcPr>
            <w:tcW w:w="2665" w:type="dxa"/>
            <w:vMerge w:val="restart"/>
            <w:vAlign w:val="center"/>
          </w:tcPr>
          <w:p w14:paraId="1F40DB46" w14:textId="77777777" w:rsidR="00454A29" w:rsidRDefault="00454A29">
            <w:pPr>
              <w:pStyle w:val="ConsPlusNormal"/>
              <w:jc w:val="center"/>
            </w:pPr>
            <w:r>
              <w:t>Мероприятие 3.7.5. Внедрение программы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tc>
        <w:tc>
          <w:tcPr>
            <w:tcW w:w="1928" w:type="dxa"/>
            <w:vMerge w:val="restart"/>
            <w:vAlign w:val="center"/>
          </w:tcPr>
          <w:p w14:paraId="1628D50A" w14:textId="77777777" w:rsidR="00454A29" w:rsidRDefault="00454A29">
            <w:pPr>
              <w:pStyle w:val="ConsPlusNormal"/>
              <w:jc w:val="center"/>
            </w:pPr>
            <w:r>
              <w:t>-</w:t>
            </w:r>
          </w:p>
        </w:tc>
        <w:tc>
          <w:tcPr>
            <w:tcW w:w="1644" w:type="dxa"/>
            <w:vMerge w:val="restart"/>
            <w:vAlign w:val="center"/>
          </w:tcPr>
          <w:p w14:paraId="3781947C" w14:textId="77777777" w:rsidR="00454A29" w:rsidRDefault="00454A29">
            <w:pPr>
              <w:pStyle w:val="ConsPlusNormal"/>
              <w:jc w:val="center"/>
            </w:pPr>
            <w:r>
              <w:t>-</w:t>
            </w:r>
          </w:p>
        </w:tc>
        <w:tc>
          <w:tcPr>
            <w:tcW w:w="2041" w:type="dxa"/>
            <w:vMerge w:val="restart"/>
            <w:vAlign w:val="center"/>
          </w:tcPr>
          <w:p w14:paraId="012A2734" w14:textId="77777777" w:rsidR="00454A29" w:rsidRDefault="00454A29">
            <w:pPr>
              <w:pStyle w:val="ConsPlusNormal"/>
              <w:jc w:val="center"/>
            </w:pPr>
            <w:r>
              <w:t>-</w:t>
            </w:r>
          </w:p>
        </w:tc>
        <w:tc>
          <w:tcPr>
            <w:tcW w:w="2098" w:type="dxa"/>
            <w:vAlign w:val="center"/>
          </w:tcPr>
          <w:p w14:paraId="492E9450" w14:textId="77777777" w:rsidR="00454A29" w:rsidRDefault="00454A29">
            <w:pPr>
              <w:pStyle w:val="ConsPlusNormal"/>
              <w:jc w:val="center"/>
            </w:pPr>
            <w:r>
              <w:t>Итого</w:t>
            </w:r>
          </w:p>
        </w:tc>
        <w:tc>
          <w:tcPr>
            <w:tcW w:w="1814" w:type="dxa"/>
            <w:vAlign w:val="center"/>
          </w:tcPr>
          <w:p w14:paraId="1AFC912A" w14:textId="77777777" w:rsidR="00454A29" w:rsidRDefault="00454A29">
            <w:pPr>
              <w:pStyle w:val="ConsPlusNormal"/>
              <w:jc w:val="center"/>
            </w:pPr>
            <w:r>
              <w:t>0,00</w:t>
            </w:r>
          </w:p>
        </w:tc>
        <w:tc>
          <w:tcPr>
            <w:tcW w:w="1701" w:type="dxa"/>
            <w:vAlign w:val="center"/>
          </w:tcPr>
          <w:p w14:paraId="6659BDDD" w14:textId="77777777" w:rsidR="00454A29" w:rsidRDefault="00454A29">
            <w:pPr>
              <w:pStyle w:val="ConsPlusNormal"/>
              <w:jc w:val="center"/>
            </w:pPr>
            <w:r>
              <w:t>0,00</w:t>
            </w:r>
          </w:p>
        </w:tc>
        <w:tc>
          <w:tcPr>
            <w:tcW w:w="1701" w:type="dxa"/>
            <w:vAlign w:val="center"/>
          </w:tcPr>
          <w:p w14:paraId="1BD5BDAD" w14:textId="77777777" w:rsidR="00454A29" w:rsidRDefault="00454A29">
            <w:pPr>
              <w:pStyle w:val="ConsPlusNormal"/>
              <w:jc w:val="center"/>
            </w:pPr>
            <w:r>
              <w:t>0,00</w:t>
            </w:r>
          </w:p>
        </w:tc>
        <w:tc>
          <w:tcPr>
            <w:tcW w:w="1701" w:type="dxa"/>
            <w:vAlign w:val="center"/>
          </w:tcPr>
          <w:p w14:paraId="71DA4905" w14:textId="77777777" w:rsidR="00454A29" w:rsidRDefault="00454A29">
            <w:pPr>
              <w:pStyle w:val="ConsPlusNormal"/>
              <w:jc w:val="center"/>
            </w:pPr>
            <w:r>
              <w:t>0,00</w:t>
            </w:r>
          </w:p>
        </w:tc>
        <w:tc>
          <w:tcPr>
            <w:tcW w:w="1701" w:type="dxa"/>
            <w:vAlign w:val="center"/>
          </w:tcPr>
          <w:p w14:paraId="5E304757" w14:textId="77777777" w:rsidR="00454A29" w:rsidRDefault="00454A29">
            <w:pPr>
              <w:pStyle w:val="ConsPlusNormal"/>
              <w:jc w:val="center"/>
            </w:pPr>
            <w:r>
              <w:t>0,00</w:t>
            </w:r>
          </w:p>
        </w:tc>
        <w:tc>
          <w:tcPr>
            <w:tcW w:w="1701" w:type="dxa"/>
            <w:vAlign w:val="center"/>
          </w:tcPr>
          <w:p w14:paraId="7D2DBEA0" w14:textId="77777777" w:rsidR="00454A29" w:rsidRDefault="00454A29">
            <w:pPr>
              <w:pStyle w:val="ConsPlusNormal"/>
              <w:jc w:val="center"/>
            </w:pPr>
            <w:r>
              <w:t>0,00</w:t>
            </w:r>
          </w:p>
        </w:tc>
        <w:tc>
          <w:tcPr>
            <w:tcW w:w="1701" w:type="dxa"/>
            <w:vAlign w:val="center"/>
          </w:tcPr>
          <w:p w14:paraId="5EF70126" w14:textId="77777777" w:rsidR="00454A29" w:rsidRDefault="00454A29">
            <w:pPr>
              <w:pStyle w:val="ConsPlusNormal"/>
              <w:jc w:val="center"/>
            </w:pPr>
            <w:r>
              <w:t>0,00</w:t>
            </w:r>
          </w:p>
        </w:tc>
      </w:tr>
      <w:tr w:rsidR="00454A29" w14:paraId="0F41370A" w14:textId="77777777">
        <w:tc>
          <w:tcPr>
            <w:tcW w:w="964" w:type="dxa"/>
            <w:vMerge/>
          </w:tcPr>
          <w:p w14:paraId="60BA1F5D" w14:textId="77777777" w:rsidR="00454A29" w:rsidRDefault="00454A29"/>
        </w:tc>
        <w:tc>
          <w:tcPr>
            <w:tcW w:w="2154" w:type="dxa"/>
            <w:vMerge/>
            <w:tcBorders>
              <w:top w:val="nil"/>
              <w:bottom w:val="nil"/>
            </w:tcBorders>
          </w:tcPr>
          <w:p w14:paraId="5F522340" w14:textId="77777777" w:rsidR="00454A29" w:rsidRDefault="00454A29"/>
        </w:tc>
        <w:tc>
          <w:tcPr>
            <w:tcW w:w="2154" w:type="dxa"/>
            <w:vMerge/>
            <w:tcBorders>
              <w:top w:val="nil"/>
              <w:bottom w:val="nil"/>
            </w:tcBorders>
          </w:tcPr>
          <w:p w14:paraId="6D1F40BD" w14:textId="77777777" w:rsidR="00454A29" w:rsidRDefault="00454A29"/>
        </w:tc>
        <w:tc>
          <w:tcPr>
            <w:tcW w:w="2665" w:type="dxa"/>
            <w:vMerge/>
          </w:tcPr>
          <w:p w14:paraId="6303817A" w14:textId="77777777" w:rsidR="00454A29" w:rsidRDefault="00454A29"/>
        </w:tc>
        <w:tc>
          <w:tcPr>
            <w:tcW w:w="2665" w:type="dxa"/>
            <w:vMerge/>
          </w:tcPr>
          <w:p w14:paraId="188B180A" w14:textId="77777777" w:rsidR="00454A29" w:rsidRDefault="00454A29"/>
        </w:tc>
        <w:tc>
          <w:tcPr>
            <w:tcW w:w="1928" w:type="dxa"/>
            <w:vMerge/>
          </w:tcPr>
          <w:p w14:paraId="2B25EEA2" w14:textId="77777777" w:rsidR="00454A29" w:rsidRDefault="00454A29"/>
        </w:tc>
        <w:tc>
          <w:tcPr>
            <w:tcW w:w="1644" w:type="dxa"/>
            <w:vMerge/>
          </w:tcPr>
          <w:p w14:paraId="69407CC3" w14:textId="77777777" w:rsidR="00454A29" w:rsidRDefault="00454A29"/>
        </w:tc>
        <w:tc>
          <w:tcPr>
            <w:tcW w:w="2041" w:type="dxa"/>
            <w:vMerge/>
          </w:tcPr>
          <w:p w14:paraId="69FF42B8" w14:textId="77777777" w:rsidR="00454A29" w:rsidRDefault="00454A29"/>
        </w:tc>
        <w:tc>
          <w:tcPr>
            <w:tcW w:w="2098" w:type="dxa"/>
            <w:vAlign w:val="center"/>
          </w:tcPr>
          <w:p w14:paraId="00AF6CAE"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4E90EE6" w14:textId="77777777" w:rsidR="00454A29" w:rsidRDefault="00454A29">
            <w:pPr>
              <w:pStyle w:val="ConsPlusNormal"/>
              <w:jc w:val="center"/>
            </w:pPr>
            <w:r>
              <w:t>0,00</w:t>
            </w:r>
          </w:p>
        </w:tc>
        <w:tc>
          <w:tcPr>
            <w:tcW w:w="1701" w:type="dxa"/>
            <w:vAlign w:val="center"/>
          </w:tcPr>
          <w:p w14:paraId="5BED7687" w14:textId="77777777" w:rsidR="00454A29" w:rsidRDefault="00454A29">
            <w:pPr>
              <w:pStyle w:val="ConsPlusNormal"/>
              <w:jc w:val="center"/>
            </w:pPr>
            <w:r>
              <w:t>0,00</w:t>
            </w:r>
          </w:p>
        </w:tc>
        <w:tc>
          <w:tcPr>
            <w:tcW w:w="1701" w:type="dxa"/>
            <w:vAlign w:val="center"/>
          </w:tcPr>
          <w:p w14:paraId="3FE910B4" w14:textId="77777777" w:rsidR="00454A29" w:rsidRDefault="00454A29">
            <w:pPr>
              <w:pStyle w:val="ConsPlusNormal"/>
              <w:jc w:val="center"/>
            </w:pPr>
            <w:r>
              <w:t>0,00</w:t>
            </w:r>
          </w:p>
        </w:tc>
        <w:tc>
          <w:tcPr>
            <w:tcW w:w="1701" w:type="dxa"/>
            <w:vAlign w:val="center"/>
          </w:tcPr>
          <w:p w14:paraId="6B32A64D" w14:textId="77777777" w:rsidR="00454A29" w:rsidRDefault="00454A29">
            <w:pPr>
              <w:pStyle w:val="ConsPlusNormal"/>
              <w:jc w:val="center"/>
            </w:pPr>
            <w:r>
              <w:t>0,00</w:t>
            </w:r>
          </w:p>
        </w:tc>
        <w:tc>
          <w:tcPr>
            <w:tcW w:w="1701" w:type="dxa"/>
            <w:vAlign w:val="center"/>
          </w:tcPr>
          <w:p w14:paraId="1122BACE" w14:textId="77777777" w:rsidR="00454A29" w:rsidRDefault="00454A29">
            <w:pPr>
              <w:pStyle w:val="ConsPlusNormal"/>
              <w:jc w:val="center"/>
            </w:pPr>
            <w:r>
              <w:t>0,00</w:t>
            </w:r>
          </w:p>
        </w:tc>
        <w:tc>
          <w:tcPr>
            <w:tcW w:w="1701" w:type="dxa"/>
            <w:vAlign w:val="center"/>
          </w:tcPr>
          <w:p w14:paraId="7C653AC9" w14:textId="77777777" w:rsidR="00454A29" w:rsidRDefault="00454A29">
            <w:pPr>
              <w:pStyle w:val="ConsPlusNormal"/>
              <w:jc w:val="center"/>
            </w:pPr>
            <w:r>
              <w:t>0,00</w:t>
            </w:r>
          </w:p>
        </w:tc>
        <w:tc>
          <w:tcPr>
            <w:tcW w:w="1701" w:type="dxa"/>
            <w:vAlign w:val="center"/>
          </w:tcPr>
          <w:p w14:paraId="528D3BF0" w14:textId="77777777" w:rsidR="00454A29" w:rsidRDefault="00454A29">
            <w:pPr>
              <w:pStyle w:val="ConsPlusNormal"/>
              <w:jc w:val="center"/>
            </w:pPr>
            <w:r>
              <w:t>0,00</w:t>
            </w:r>
          </w:p>
        </w:tc>
      </w:tr>
      <w:tr w:rsidR="00454A29" w14:paraId="47CE6D6D" w14:textId="77777777">
        <w:tc>
          <w:tcPr>
            <w:tcW w:w="964" w:type="dxa"/>
            <w:vMerge/>
          </w:tcPr>
          <w:p w14:paraId="53E92DBC" w14:textId="77777777" w:rsidR="00454A29" w:rsidRDefault="00454A29"/>
        </w:tc>
        <w:tc>
          <w:tcPr>
            <w:tcW w:w="2154" w:type="dxa"/>
            <w:vMerge/>
            <w:tcBorders>
              <w:top w:val="nil"/>
              <w:bottom w:val="nil"/>
            </w:tcBorders>
          </w:tcPr>
          <w:p w14:paraId="338C5A7E" w14:textId="77777777" w:rsidR="00454A29" w:rsidRDefault="00454A29"/>
        </w:tc>
        <w:tc>
          <w:tcPr>
            <w:tcW w:w="2154" w:type="dxa"/>
            <w:vMerge/>
            <w:tcBorders>
              <w:top w:val="nil"/>
              <w:bottom w:val="nil"/>
            </w:tcBorders>
          </w:tcPr>
          <w:p w14:paraId="2A785B68" w14:textId="77777777" w:rsidR="00454A29" w:rsidRDefault="00454A29"/>
        </w:tc>
        <w:tc>
          <w:tcPr>
            <w:tcW w:w="2665" w:type="dxa"/>
            <w:vMerge/>
          </w:tcPr>
          <w:p w14:paraId="66577122" w14:textId="77777777" w:rsidR="00454A29" w:rsidRDefault="00454A29"/>
        </w:tc>
        <w:tc>
          <w:tcPr>
            <w:tcW w:w="2665" w:type="dxa"/>
            <w:vMerge/>
          </w:tcPr>
          <w:p w14:paraId="439C02B6" w14:textId="77777777" w:rsidR="00454A29" w:rsidRDefault="00454A29"/>
        </w:tc>
        <w:tc>
          <w:tcPr>
            <w:tcW w:w="1928" w:type="dxa"/>
            <w:vMerge/>
          </w:tcPr>
          <w:p w14:paraId="5320E665" w14:textId="77777777" w:rsidR="00454A29" w:rsidRDefault="00454A29"/>
        </w:tc>
        <w:tc>
          <w:tcPr>
            <w:tcW w:w="1644" w:type="dxa"/>
            <w:vMerge/>
          </w:tcPr>
          <w:p w14:paraId="30338835" w14:textId="77777777" w:rsidR="00454A29" w:rsidRDefault="00454A29"/>
        </w:tc>
        <w:tc>
          <w:tcPr>
            <w:tcW w:w="2041" w:type="dxa"/>
            <w:vMerge/>
          </w:tcPr>
          <w:p w14:paraId="43FD3916" w14:textId="77777777" w:rsidR="00454A29" w:rsidRDefault="00454A29"/>
        </w:tc>
        <w:tc>
          <w:tcPr>
            <w:tcW w:w="2098" w:type="dxa"/>
            <w:vAlign w:val="center"/>
          </w:tcPr>
          <w:p w14:paraId="6483E70B" w14:textId="77777777" w:rsidR="00454A29" w:rsidRDefault="00454A29">
            <w:pPr>
              <w:pStyle w:val="ConsPlusNormal"/>
              <w:jc w:val="center"/>
            </w:pPr>
            <w:r>
              <w:t>Федеральный бюджет</w:t>
            </w:r>
          </w:p>
        </w:tc>
        <w:tc>
          <w:tcPr>
            <w:tcW w:w="1814" w:type="dxa"/>
            <w:vAlign w:val="center"/>
          </w:tcPr>
          <w:p w14:paraId="334379F9" w14:textId="77777777" w:rsidR="00454A29" w:rsidRDefault="00454A29">
            <w:pPr>
              <w:pStyle w:val="ConsPlusNormal"/>
              <w:jc w:val="center"/>
            </w:pPr>
            <w:r>
              <w:t>0,00</w:t>
            </w:r>
          </w:p>
        </w:tc>
        <w:tc>
          <w:tcPr>
            <w:tcW w:w="1701" w:type="dxa"/>
            <w:vAlign w:val="center"/>
          </w:tcPr>
          <w:p w14:paraId="3EAB0B4A" w14:textId="77777777" w:rsidR="00454A29" w:rsidRDefault="00454A29">
            <w:pPr>
              <w:pStyle w:val="ConsPlusNormal"/>
              <w:jc w:val="center"/>
            </w:pPr>
            <w:r>
              <w:t>0,00</w:t>
            </w:r>
          </w:p>
        </w:tc>
        <w:tc>
          <w:tcPr>
            <w:tcW w:w="1701" w:type="dxa"/>
            <w:vAlign w:val="center"/>
          </w:tcPr>
          <w:p w14:paraId="42DCFAD0" w14:textId="77777777" w:rsidR="00454A29" w:rsidRDefault="00454A29">
            <w:pPr>
              <w:pStyle w:val="ConsPlusNormal"/>
              <w:jc w:val="center"/>
            </w:pPr>
            <w:r>
              <w:t>0,00</w:t>
            </w:r>
          </w:p>
        </w:tc>
        <w:tc>
          <w:tcPr>
            <w:tcW w:w="1701" w:type="dxa"/>
            <w:vAlign w:val="center"/>
          </w:tcPr>
          <w:p w14:paraId="328ECABD" w14:textId="77777777" w:rsidR="00454A29" w:rsidRDefault="00454A29">
            <w:pPr>
              <w:pStyle w:val="ConsPlusNormal"/>
              <w:jc w:val="center"/>
            </w:pPr>
            <w:r>
              <w:t>0,00</w:t>
            </w:r>
          </w:p>
        </w:tc>
        <w:tc>
          <w:tcPr>
            <w:tcW w:w="1701" w:type="dxa"/>
            <w:vAlign w:val="center"/>
          </w:tcPr>
          <w:p w14:paraId="2B0491F3" w14:textId="77777777" w:rsidR="00454A29" w:rsidRDefault="00454A29">
            <w:pPr>
              <w:pStyle w:val="ConsPlusNormal"/>
              <w:jc w:val="center"/>
            </w:pPr>
            <w:r>
              <w:t>0,00</w:t>
            </w:r>
          </w:p>
        </w:tc>
        <w:tc>
          <w:tcPr>
            <w:tcW w:w="1701" w:type="dxa"/>
            <w:vAlign w:val="center"/>
          </w:tcPr>
          <w:p w14:paraId="695FD038" w14:textId="77777777" w:rsidR="00454A29" w:rsidRDefault="00454A29">
            <w:pPr>
              <w:pStyle w:val="ConsPlusNormal"/>
              <w:jc w:val="center"/>
            </w:pPr>
            <w:r>
              <w:t>0,00</w:t>
            </w:r>
          </w:p>
        </w:tc>
        <w:tc>
          <w:tcPr>
            <w:tcW w:w="1701" w:type="dxa"/>
            <w:vAlign w:val="center"/>
          </w:tcPr>
          <w:p w14:paraId="1BC3F659" w14:textId="77777777" w:rsidR="00454A29" w:rsidRDefault="00454A29">
            <w:pPr>
              <w:pStyle w:val="ConsPlusNormal"/>
              <w:jc w:val="center"/>
            </w:pPr>
            <w:r>
              <w:t>0,00</w:t>
            </w:r>
          </w:p>
        </w:tc>
      </w:tr>
      <w:tr w:rsidR="00454A29" w14:paraId="54ACAB95" w14:textId="77777777">
        <w:tc>
          <w:tcPr>
            <w:tcW w:w="964" w:type="dxa"/>
            <w:vMerge/>
          </w:tcPr>
          <w:p w14:paraId="5548D82C" w14:textId="77777777" w:rsidR="00454A29" w:rsidRDefault="00454A29"/>
        </w:tc>
        <w:tc>
          <w:tcPr>
            <w:tcW w:w="2154" w:type="dxa"/>
            <w:vMerge/>
            <w:tcBorders>
              <w:top w:val="nil"/>
              <w:bottom w:val="nil"/>
            </w:tcBorders>
          </w:tcPr>
          <w:p w14:paraId="6699E733" w14:textId="77777777" w:rsidR="00454A29" w:rsidRDefault="00454A29"/>
        </w:tc>
        <w:tc>
          <w:tcPr>
            <w:tcW w:w="2154" w:type="dxa"/>
            <w:vMerge/>
            <w:tcBorders>
              <w:top w:val="nil"/>
              <w:bottom w:val="nil"/>
            </w:tcBorders>
          </w:tcPr>
          <w:p w14:paraId="394779DA" w14:textId="77777777" w:rsidR="00454A29" w:rsidRDefault="00454A29"/>
        </w:tc>
        <w:tc>
          <w:tcPr>
            <w:tcW w:w="2665" w:type="dxa"/>
            <w:vMerge/>
          </w:tcPr>
          <w:p w14:paraId="061A705F" w14:textId="77777777" w:rsidR="00454A29" w:rsidRDefault="00454A29"/>
        </w:tc>
        <w:tc>
          <w:tcPr>
            <w:tcW w:w="2665" w:type="dxa"/>
            <w:vMerge/>
          </w:tcPr>
          <w:p w14:paraId="3F55ADA0" w14:textId="77777777" w:rsidR="00454A29" w:rsidRDefault="00454A29"/>
        </w:tc>
        <w:tc>
          <w:tcPr>
            <w:tcW w:w="1928" w:type="dxa"/>
            <w:vMerge/>
          </w:tcPr>
          <w:p w14:paraId="54F2A70B" w14:textId="77777777" w:rsidR="00454A29" w:rsidRDefault="00454A29"/>
        </w:tc>
        <w:tc>
          <w:tcPr>
            <w:tcW w:w="1644" w:type="dxa"/>
            <w:vMerge/>
          </w:tcPr>
          <w:p w14:paraId="7BFF3B9E" w14:textId="77777777" w:rsidR="00454A29" w:rsidRDefault="00454A29"/>
        </w:tc>
        <w:tc>
          <w:tcPr>
            <w:tcW w:w="2041" w:type="dxa"/>
            <w:vMerge/>
          </w:tcPr>
          <w:p w14:paraId="099F0873" w14:textId="77777777" w:rsidR="00454A29" w:rsidRDefault="00454A29"/>
        </w:tc>
        <w:tc>
          <w:tcPr>
            <w:tcW w:w="2098" w:type="dxa"/>
            <w:vAlign w:val="center"/>
          </w:tcPr>
          <w:p w14:paraId="3513D48F" w14:textId="77777777" w:rsidR="00454A29" w:rsidRDefault="00454A29">
            <w:pPr>
              <w:pStyle w:val="ConsPlusNormal"/>
              <w:jc w:val="center"/>
            </w:pPr>
            <w:r>
              <w:t>Местные бюджеты</w:t>
            </w:r>
          </w:p>
        </w:tc>
        <w:tc>
          <w:tcPr>
            <w:tcW w:w="1814" w:type="dxa"/>
            <w:vAlign w:val="center"/>
          </w:tcPr>
          <w:p w14:paraId="54CE2EF1" w14:textId="77777777" w:rsidR="00454A29" w:rsidRDefault="00454A29">
            <w:pPr>
              <w:pStyle w:val="ConsPlusNormal"/>
              <w:jc w:val="center"/>
            </w:pPr>
            <w:r>
              <w:t>0,00</w:t>
            </w:r>
          </w:p>
        </w:tc>
        <w:tc>
          <w:tcPr>
            <w:tcW w:w="1701" w:type="dxa"/>
            <w:vAlign w:val="center"/>
          </w:tcPr>
          <w:p w14:paraId="04EBA7D9" w14:textId="77777777" w:rsidR="00454A29" w:rsidRDefault="00454A29">
            <w:pPr>
              <w:pStyle w:val="ConsPlusNormal"/>
              <w:jc w:val="center"/>
            </w:pPr>
            <w:r>
              <w:t>0,00</w:t>
            </w:r>
          </w:p>
        </w:tc>
        <w:tc>
          <w:tcPr>
            <w:tcW w:w="1701" w:type="dxa"/>
            <w:vAlign w:val="center"/>
          </w:tcPr>
          <w:p w14:paraId="5F92F092" w14:textId="77777777" w:rsidR="00454A29" w:rsidRDefault="00454A29">
            <w:pPr>
              <w:pStyle w:val="ConsPlusNormal"/>
              <w:jc w:val="center"/>
            </w:pPr>
            <w:r>
              <w:t>0,00</w:t>
            </w:r>
          </w:p>
        </w:tc>
        <w:tc>
          <w:tcPr>
            <w:tcW w:w="1701" w:type="dxa"/>
            <w:vAlign w:val="center"/>
          </w:tcPr>
          <w:p w14:paraId="2323E87C" w14:textId="77777777" w:rsidR="00454A29" w:rsidRDefault="00454A29">
            <w:pPr>
              <w:pStyle w:val="ConsPlusNormal"/>
              <w:jc w:val="center"/>
            </w:pPr>
            <w:r>
              <w:t>0,00</w:t>
            </w:r>
          </w:p>
        </w:tc>
        <w:tc>
          <w:tcPr>
            <w:tcW w:w="1701" w:type="dxa"/>
            <w:vAlign w:val="center"/>
          </w:tcPr>
          <w:p w14:paraId="339A8F8D" w14:textId="77777777" w:rsidR="00454A29" w:rsidRDefault="00454A29">
            <w:pPr>
              <w:pStyle w:val="ConsPlusNormal"/>
              <w:jc w:val="center"/>
            </w:pPr>
            <w:r>
              <w:t>0,00</w:t>
            </w:r>
          </w:p>
        </w:tc>
        <w:tc>
          <w:tcPr>
            <w:tcW w:w="1701" w:type="dxa"/>
            <w:vAlign w:val="center"/>
          </w:tcPr>
          <w:p w14:paraId="4B81D808" w14:textId="77777777" w:rsidR="00454A29" w:rsidRDefault="00454A29">
            <w:pPr>
              <w:pStyle w:val="ConsPlusNormal"/>
              <w:jc w:val="center"/>
            </w:pPr>
            <w:r>
              <w:t>0,00</w:t>
            </w:r>
          </w:p>
        </w:tc>
        <w:tc>
          <w:tcPr>
            <w:tcW w:w="1701" w:type="dxa"/>
            <w:vAlign w:val="center"/>
          </w:tcPr>
          <w:p w14:paraId="4F499381" w14:textId="77777777" w:rsidR="00454A29" w:rsidRDefault="00454A29">
            <w:pPr>
              <w:pStyle w:val="ConsPlusNormal"/>
              <w:jc w:val="center"/>
            </w:pPr>
            <w:r>
              <w:t>0,00</w:t>
            </w:r>
          </w:p>
        </w:tc>
      </w:tr>
      <w:tr w:rsidR="00454A29" w14:paraId="59493F1D" w14:textId="77777777">
        <w:tc>
          <w:tcPr>
            <w:tcW w:w="964" w:type="dxa"/>
            <w:vMerge/>
          </w:tcPr>
          <w:p w14:paraId="7F3F464C" w14:textId="77777777" w:rsidR="00454A29" w:rsidRDefault="00454A29"/>
        </w:tc>
        <w:tc>
          <w:tcPr>
            <w:tcW w:w="2154" w:type="dxa"/>
            <w:vMerge/>
            <w:tcBorders>
              <w:top w:val="nil"/>
              <w:bottom w:val="nil"/>
            </w:tcBorders>
          </w:tcPr>
          <w:p w14:paraId="3978C347" w14:textId="77777777" w:rsidR="00454A29" w:rsidRDefault="00454A29"/>
        </w:tc>
        <w:tc>
          <w:tcPr>
            <w:tcW w:w="2154" w:type="dxa"/>
            <w:vMerge/>
            <w:tcBorders>
              <w:top w:val="nil"/>
              <w:bottom w:val="nil"/>
            </w:tcBorders>
          </w:tcPr>
          <w:p w14:paraId="68E84365" w14:textId="77777777" w:rsidR="00454A29" w:rsidRDefault="00454A29"/>
        </w:tc>
        <w:tc>
          <w:tcPr>
            <w:tcW w:w="2665" w:type="dxa"/>
            <w:vMerge/>
          </w:tcPr>
          <w:p w14:paraId="316E7A45" w14:textId="77777777" w:rsidR="00454A29" w:rsidRDefault="00454A29"/>
        </w:tc>
        <w:tc>
          <w:tcPr>
            <w:tcW w:w="2665" w:type="dxa"/>
            <w:vMerge/>
          </w:tcPr>
          <w:p w14:paraId="76557737" w14:textId="77777777" w:rsidR="00454A29" w:rsidRDefault="00454A29"/>
        </w:tc>
        <w:tc>
          <w:tcPr>
            <w:tcW w:w="1928" w:type="dxa"/>
            <w:vMerge/>
          </w:tcPr>
          <w:p w14:paraId="47CB6421" w14:textId="77777777" w:rsidR="00454A29" w:rsidRDefault="00454A29"/>
        </w:tc>
        <w:tc>
          <w:tcPr>
            <w:tcW w:w="1644" w:type="dxa"/>
            <w:vMerge/>
          </w:tcPr>
          <w:p w14:paraId="60CD163C" w14:textId="77777777" w:rsidR="00454A29" w:rsidRDefault="00454A29"/>
        </w:tc>
        <w:tc>
          <w:tcPr>
            <w:tcW w:w="2041" w:type="dxa"/>
            <w:vMerge/>
          </w:tcPr>
          <w:p w14:paraId="36DAEA3E" w14:textId="77777777" w:rsidR="00454A29" w:rsidRDefault="00454A29"/>
        </w:tc>
        <w:tc>
          <w:tcPr>
            <w:tcW w:w="2098" w:type="dxa"/>
            <w:vAlign w:val="center"/>
          </w:tcPr>
          <w:p w14:paraId="07591C53" w14:textId="77777777" w:rsidR="00454A29" w:rsidRDefault="00454A29">
            <w:pPr>
              <w:pStyle w:val="ConsPlusNormal"/>
              <w:jc w:val="center"/>
            </w:pPr>
            <w:r>
              <w:t>Внебюджетные средства</w:t>
            </w:r>
          </w:p>
        </w:tc>
        <w:tc>
          <w:tcPr>
            <w:tcW w:w="1814" w:type="dxa"/>
            <w:vAlign w:val="center"/>
          </w:tcPr>
          <w:p w14:paraId="00A060CA" w14:textId="77777777" w:rsidR="00454A29" w:rsidRDefault="00454A29">
            <w:pPr>
              <w:pStyle w:val="ConsPlusNormal"/>
              <w:jc w:val="center"/>
            </w:pPr>
            <w:r>
              <w:t>0,00</w:t>
            </w:r>
          </w:p>
        </w:tc>
        <w:tc>
          <w:tcPr>
            <w:tcW w:w="1701" w:type="dxa"/>
            <w:vAlign w:val="center"/>
          </w:tcPr>
          <w:p w14:paraId="23ADE78C" w14:textId="77777777" w:rsidR="00454A29" w:rsidRDefault="00454A29">
            <w:pPr>
              <w:pStyle w:val="ConsPlusNormal"/>
              <w:jc w:val="center"/>
            </w:pPr>
            <w:r>
              <w:t>0,00</w:t>
            </w:r>
          </w:p>
        </w:tc>
        <w:tc>
          <w:tcPr>
            <w:tcW w:w="1701" w:type="dxa"/>
            <w:vAlign w:val="center"/>
          </w:tcPr>
          <w:p w14:paraId="6198A83F" w14:textId="77777777" w:rsidR="00454A29" w:rsidRDefault="00454A29">
            <w:pPr>
              <w:pStyle w:val="ConsPlusNormal"/>
              <w:jc w:val="center"/>
            </w:pPr>
            <w:r>
              <w:t>0,00</w:t>
            </w:r>
          </w:p>
        </w:tc>
        <w:tc>
          <w:tcPr>
            <w:tcW w:w="1701" w:type="dxa"/>
            <w:vAlign w:val="center"/>
          </w:tcPr>
          <w:p w14:paraId="387B5BAE" w14:textId="77777777" w:rsidR="00454A29" w:rsidRDefault="00454A29">
            <w:pPr>
              <w:pStyle w:val="ConsPlusNormal"/>
              <w:jc w:val="center"/>
            </w:pPr>
            <w:r>
              <w:t>0,00</w:t>
            </w:r>
          </w:p>
        </w:tc>
        <w:tc>
          <w:tcPr>
            <w:tcW w:w="1701" w:type="dxa"/>
            <w:vAlign w:val="center"/>
          </w:tcPr>
          <w:p w14:paraId="6F78FBD3" w14:textId="77777777" w:rsidR="00454A29" w:rsidRDefault="00454A29">
            <w:pPr>
              <w:pStyle w:val="ConsPlusNormal"/>
              <w:jc w:val="center"/>
            </w:pPr>
            <w:r>
              <w:t>0,00</w:t>
            </w:r>
          </w:p>
        </w:tc>
        <w:tc>
          <w:tcPr>
            <w:tcW w:w="1701" w:type="dxa"/>
            <w:vAlign w:val="center"/>
          </w:tcPr>
          <w:p w14:paraId="0F61B0C9" w14:textId="77777777" w:rsidR="00454A29" w:rsidRDefault="00454A29">
            <w:pPr>
              <w:pStyle w:val="ConsPlusNormal"/>
              <w:jc w:val="center"/>
            </w:pPr>
            <w:r>
              <w:t>0,00</w:t>
            </w:r>
          </w:p>
        </w:tc>
        <w:tc>
          <w:tcPr>
            <w:tcW w:w="1701" w:type="dxa"/>
            <w:vAlign w:val="center"/>
          </w:tcPr>
          <w:p w14:paraId="31C7CE7C" w14:textId="77777777" w:rsidR="00454A29" w:rsidRDefault="00454A29">
            <w:pPr>
              <w:pStyle w:val="ConsPlusNormal"/>
              <w:jc w:val="center"/>
            </w:pPr>
            <w:r>
              <w:t>0,00</w:t>
            </w:r>
          </w:p>
        </w:tc>
      </w:tr>
      <w:tr w:rsidR="00454A29" w14:paraId="1D44D856" w14:textId="77777777">
        <w:tc>
          <w:tcPr>
            <w:tcW w:w="964" w:type="dxa"/>
            <w:vMerge w:val="restart"/>
            <w:vAlign w:val="center"/>
          </w:tcPr>
          <w:p w14:paraId="6A073418" w14:textId="77777777" w:rsidR="00454A29" w:rsidRDefault="00454A29">
            <w:pPr>
              <w:pStyle w:val="ConsPlusNormal"/>
              <w:jc w:val="center"/>
            </w:pPr>
            <w:r>
              <w:t>4.6.</w:t>
            </w:r>
          </w:p>
        </w:tc>
        <w:tc>
          <w:tcPr>
            <w:tcW w:w="2154" w:type="dxa"/>
            <w:vMerge w:val="restart"/>
            <w:tcBorders>
              <w:top w:val="nil"/>
              <w:bottom w:val="nil"/>
            </w:tcBorders>
            <w:vAlign w:val="center"/>
          </w:tcPr>
          <w:p w14:paraId="31666086" w14:textId="77777777" w:rsidR="00454A29" w:rsidRDefault="00454A29">
            <w:pPr>
              <w:pStyle w:val="ConsPlusNormal"/>
            </w:pPr>
          </w:p>
        </w:tc>
        <w:tc>
          <w:tcPr>
            <w:tcW w:w="2154" w:type="dxa"/>
            <w:vMerge w:val="restart"/>
            <w:tcBorders>
              <w:top w:val="nil"/>
              <w:bottom w:val="nil"/>
            </w:tcBorders>
            <w:vAlign w:val="center"/>
          </w:tcPr>
          <w:p w14:paraId="3F91CC6C" w14:textId="77777777" w:rsidR="00454A29" w:rsidRDefault="00454A29">
            <w:pPr>
              <w:pStyle w:val="ConsPlusNormal"/>
            </w:pPr>
          </w:p>
        </w:tc>
        <w:tc>
          <w:tcPr>
            <w:tcW w:w="2665" w:type="dxa"/>
            <w:vMerge w:val="restart"/>
            <w:vAlign w:val="center"/>
          </w:tcPr>
          <w:p w14:paraId="575C199C" w14:textId="77777777" w:rsidR="00454A29" w:rsidRDefault="00454A29">
            <w:pPr>
              <w:pStyle w:val="ConsPlusNormal"/>
              <w:jc w:val="center"/>
            </w:pPr>
            <w:r>
              <w:t xml:space="preserve">Результат 6. Реализуются мероприятия по </w:t>
            </w:r>
            <w:r>
              <w:lastRenderedPageBreak/>
              <w:t>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tc>
        <w:tc>
          <w:tcPr>
            <w:tcW w:w="2665" w:type="dxa"/>
            <w:vMerge w:val="restart"/>
            <w:vAlign w:val="center"/>
          </w:tcPr>
          <w:p w14:paraId="034F4F5D" w14:textId="77777777" w:rsidR="00454A29" w:rsidRDefault="00454A29">
            <w:pPr>
              <w:pStyle w:val="ConsPlusNormal"/>
              <w:jc w:val="center"/>
            </w:pPr>
            <w:r>
              <w:lastRenderedPageBreak/>
              <w:t xml:space="preserve">Мероприятие 3.7.6. Ежегодное проведение </w:t>
            </w:r>
            <w:r>
              <w:lastRenderedPageBreak/>
              <w:t>чемпионата "Абилимпикс" по профессиональному мастерству среди инвалидов и лиц с ограниченными возможностями здоровья</w:t>
            </w:r>
          </w:p>
        </w:tc>
        <w:tc>
          <w:tcPr>
            <w:tcW w:w="1928" w:type="dxa"/>
            <w:vMerge w:val="restart"/>
            <w:vAlign w:val="center"/>
          </w:tcPr>
          <w:p w14:paraId="14A46686" w14:textId="77777777" w:rsidR="00454A29" w:rsidRDefault="00454A29">
            <w:pPr>
              <w:pStyle w:val="ConsPlusNormal"/>
              <w:jc w:val="center"/>
            </w:pPr>
            <w:r>
              <w:lastRenderedPageBreak/>
              <w:t>-</w:t>
            </w:r>
          </w:p>
        </w:tc>
        <w:tc>
          <w:tcPr>
            <w:tcW w:w="1644" w:type="dxa"/>
            <w:vMerge w:val="restart"/>
            <w:vAlign w:val="center"/>
          </w:tcPr>
          <w:p w14:paraId="01FDDDF4" w14:textId="77777777" w:rsidR="00454A29" w:rsidRDefault="00454A29">
            <w:pPr>
              <w:pStyle w:val="ConsPlusNormal"/>
              <w:jc w:val="center"/>
            </w:pPr>
            <w:r>
              <w:t>-</w:t>
            </w:r>
          </w:p>
        </w:tc>
        <w:tc>
          <w:tcPr>
            <w:tcW w:w="2041" w:type="dxa"/>
            <w:vMerge w:val="restart"/>
            <w:vAlign w:val="center"/>
          </w:tcPr>
          <w:p w14:paraId="033897C3" w14:textId="77777777" w:rsidR="00454A29" w:rsidRDefault="00454A29">
            <w:pPr>
              <w:pStyle w:val="ConsPlusNormal"/>
              <w:jc w:val="center"/>
            </w:pPr>
            <w:r>
              <w:t>-</w:t>
            </w:r>
          </w:p>
        </w:tc>
        <w:tc>
          <w:tcPr>
            <w:tcW w:w="2098" w:type="dxa"/>
            <w:vAlign w:val="center"/>
          </w:tcPr>
          <w:p w14:paraId="2D22B736" w14:textId="77777777" w:rsidR="00454A29" w:rsidRDefault="00454A29">
            <w:pPr>
              <w:pStyle w:val="ConsPlusNormal"/>
              <w:jc w:val="center"/>
            </w:pPr>
            <w:r>
              <w:t>Итого</w:t>
            </w:r>
          </w:p>
        </w:tc>
        <w:tc>
          <w:tcPr>
            <w:tcW w:w="1814" w:type="dxa"/>
            <w:vAlign w:val="center"/>
          </w:tcPr>
          <w:p w14:paraId="27DB52E7" w14:textId="77777777" w:rsidR="00454A29" w:rsidRDefault="00454A29">
            <w:pPr>
              <w:pStyle w:val="ConsPlusNormal"/>
              <w:jc w:val="center"/>
            </w:pPr>
            <w:r>
              <w:t>0,00</w:t>
            </w:r>
          </w:p>
        </w:tc>
        <w:tc>
          <w:tcPr>
            <w:tcW w:w="1701" w:type="dxa"/>
            <w:vAlign w:val="center"/>
          </w:tcPr>
          <w:p w14:paraId="24083446" w14:textId="77777777" w:rsidR="00454A29" w:rsidRDefault="00454A29">
            <w:pPr>
              <w:pStyle w:val="ConsPlusNormal"/>
              <w:jc w:val="center"/>
            </w:pPr>
            <w:r>
              <w:t>0,00</w:t>
            </w:r>
          </w:p>
        </w:tc>
        <w:tc>
          <w:tcPr>
            <w:tcW w:w="1701" w:type="dxa"/>
            <w:vAlign w:val="center"/>
          </w:tcPr>
          <w:p w14:paraId="69CA186D" w14:textId="77777777" w:rsidR="00454A29" w:rsidRDefault="00454A29">
            <w:pPr>
              <w:pStyle w:val="ConsPlusNormal"/>
              <w:jc w:val="center"/>
            </w:pPr>
            <w:r>
              <w:t>0,00</w:t>
            </w:r>
          </w:p>
        </w:tc>
        <w:tc>
          <w:tcPr>
            <w:tcW w:w="1701" w:type="dxa"/>
            <w:vAlign w:val="center"/>
          </w:tcPr>
          <w:p w14:paraId="0917F3E1" w14:textId="77777777" w:rsidR="00454A29" w:rsidRDefault="00454A29">
            <w:pPr>
              <w:pStyle w:val="ConsPlusNormal"/>
              <w:jc w:val="center"/>
            </w:pPr>
            <w:r>
              <w:t>0,00</w:t>
            </w:r>
          </w:p>
        </w:tc>
        <w:tc>
          <w:tcPr>
            <w:tcW w:w="1701" w:type="dxa"/>
            <w:vAlign w:val="center"/>
          </w:tcPr>
          <w:p w14:paraId="76F3AFE3" w14:textId="77777777" w:rsidR="00454A29" w:rsidRDefault="00454A29">
            <w:pPr>
              <w:pStyle w:val="ConsPlusNormal"/>
              <w:jc w:val="center"/>
            </w:pPr>
            <w:r>
              <w:t>0,00</w:t>
            </w:r>
          </w:p>
        </w:tc>
        <w:tc>
          <w:tcPr>
            <w:tcW w:w="1701" w:type="dxa"/>
            <w:vAlign w:val="center"/>
          </w:tcPr>
          <w:p w14:paraId="7DAF9DA8" w14:textId="77777777" w:rsidR="00454A29" w:rsidRDefault="00454A29">
            <w:pPr>
              <w:pStyle w:val="ConsPlusNormal"/>
              <w:jc w:val="center"/>
            </w:pPr>
            <w:r>
              <w:t>0,00</w:t>
            </w:r>
          </w:p>
        </w:tc>
        <w:tc>
          <w:tcPr>
            <w:tcW w:w="1701" w:type="dxa"/>
            <w:vAlign w:val="center"/>
          </w:tcPr>
          <w:p w14:paraId="55404285" w14:textId="77777777" w:rsidR="00454A29" w:rsidRDefault="00454A29">
            <w:pPr>
              <w:pStyle w:val="ConsPlusNormal"/>
              <w:jc w:val="center"/>
            </w:pPr>
            <w:r>
              <w:t>0,00</w:t>
            </w:r>
          </w:p>
        </w:tc>
      </w:tr>
      <w:tr w:rsidR="00454A29" w14:paraId="784D8CC0" w14:textId="77777777">
        <w:tc>
          <w:tcPr>
            <w:tcW w:w="964" w:type="dxa"/>
            <w:vMerge/>
          </w:tcPr>
          <w:p w14:paraId="752C23EB" w14:textId="77777777" w:rsidR="00454A29" w:rsidRDefault="00454A29"/>
        </w:tc>
        <w:tc>
          <w:tcPr>
            <w:tcW w:w="2154" w:type="dxa"/>
            <w:vMerge/>
            <w:tcBorders>
              <w:top w:val="nil"/>
              <w:bottom w:val="nil"/>
            </w:tcBorders>
          </w:tcPr>
          <w:p w14:paraId="396AF5EB" w14:textId="77777777" w:rsidR="00454A29" w:rsidRDefault="00454A29"/>
        </w:tc>
        <w:tc>
          <w:tcPr>
            <w:tcW w:w="2154" w:type="dxa"/>
            <w:vMerge/>
            <w:tcBorders>
              <w:top w:val="nil"/>
              <w:bottom w:val="nil"/>
            </w:tcBorders>
          </w:tcPr>
          <w:p w14:paraId="57690279" w14:textId="77777777" w:rsidR="00454A29" w:rsidRDefault="00454A29"/>
        </w:tc>
        <w:tc>
          <w:tcPr>
            <w:tcW w:w="2665" w:type="dxa"/>
            <w:vMerge/>
          </w:tcPr>
          <w:p w14:paraId="7290CE72" w14:textId="77777777" w:rsidR="00454A29" w:rsidRDefault="00454A29"/>
        </w:tc>
        <w:tc>
          <w:tcPr>
            <w:tcW w:w="2665" w:type="dxa"/>
            <w:vMerge/>
          </w:tcPr>
          <w:p w14:paraId="384CDA3C" w14:textId="77777777" w:rsidR="00454A29" w:rsidRDefault="00454A29"/>
        </w:tc>
        <w:tc>
          <w:tcPr>
            <w:tcW w:w="1928" w:type="dxa"/>
            <w:vMerge/>
          </w:tcPr>
          <w:p w14:paraId="775CFC25" w14:textId="77777777" w:rsidR="00454A29" w:rsidRDefault="00454A29"/>
        </w:tc>
        <w:tc>
          <w:tcPr>
            <w:tcW w:w="1644" w:type="dxa"/>
            <w:vMerge/>
          </w:tcPr>
          <w:p w14:paraId="45421B2A" w14:textId="77777777" w:rsidR="00454A29" w:rsidRDefault="00454A29"/>
        </w:tc>
        <w:tc>
          <w:tcPr>
            <w:tcW w:w="2041" w:type="dxa"/>
            <w:vMerge/>
          </w:tcPr>
          <w:p w14:paraId="141900B0" w14:textId="77777777" w:rsidR="00454A29" w:rsidRDefault="00454A29"/>
        </w:tc>
        <w:tc>
          <w:tcPr>
            <w:tcW w:w="2098" w:type="dxa"/>
            <w:vAlign w:val="center"/>
          </w:tcPr>
          <w:p w14:paraId="1E3C1F08" w14:textId="77777777" w:rsidR="00454A29" w:rsidRDefault="00454A29">
            <w:pPr>
              <w:pStyle w:val="ConsPlusNormal"/>
              <w:jc w:val="center"/>
            </w:pPr>
            <w:r>
              <w:t xml:space="preserve">Государственный </w:t>
            </w:r>
            <w:r>
              <w:lastRenderedPageBreak/>
              <w:t>бюджет Республики Саха (Якутия)</w:t>
            </w:r>
          </w:p>
        </w:tc>
        <w:tc>
          <w:tcPr>
            <w:tcW w:w="1814" w:type="dxa"/>
            <w:vAlign w:val="center"/>
          </w:tcPr>
          <w:p w14:paraId="037F2723" w14:textId="77777777" w:rsidR="00454A29" w:rsidRDefault="00454A29">
            <w:pPr>
              <w:pStyle w:val="ConsPlusNormal"/>
              <w:jc w:val="center"/>
            </w:pPr>
            <w:r>
              <w:lastRenderedPageBreak/>
              <w:t>0,00</w:t>
            </w:r>
          </w:p>
        </w:tc>
        <w:tc>
          <w:tcPr>
            <w:tcW w:w="1701" w:type="dxa"/>
            <w:vAlign w:val="center"/>
          </w:tcPr>
          <w:p w14:paraId="400D2A27" w14:textId="77777777" w:rsidR="00454A29" w:rsidRDefault="00454A29">
            <w:pPr>
              <w:pStyle w:val="ConsPlusNormal"/>
              <w:jc w:val="center"/>
            </w:pPr>
            <w:r>
              <w:t>0,00</w:t>
            </w:r>
          </w:p>
        </w:tc>
        <w:tc>
          <w:tcPr>
            <w:tcW w:w="1701" w:type="dxa"/>
            <w:vAlign w:val="center"/>
          </w:tcPr>
          <w:p w14:paraId="5416FC19" w14:textId="77777777" w:rsidR="00454A29" w:rsidRDefault="00454A29">
            <w:pPr>
              <w:pStyle w:val="ConsPlusNormal"/>
              <w:jc w:val="center"/>
            </w:pPr>
            <w:r>
              <w:t>0,00</w:t>
            </w:r>
          </w:p>
        </w:tc>
        <w:tc>
          <w:tcPr>
            <w:tcW w:w="1701" w:type="dxa"/>
            <w:vAlign w:val="center"/>
          </w:tcPr>
          <w:p w14:paraId="10D2346F" w14:textId="77777777" w:rsidR="00454A29" w:rsidRDefault="00454A29">
            <w:pPr>
              <w:pStyle w:val="ConsPlusNormal"/>
              <w:jc w:val="center"/>
            </w:pPr>
            <w:r>
              <w:t>0,00</w:t>
            </w:r>
          </w:p>
        </w:tc>
        <w:tc>
          <w:tcPr>
            <w:tcW w:w="1701" w:type="dxa"/>
            <w:vAlign w:val="center"/>
          </w:tcPr>
          <w:p w14:paraId="6B3248A2" w14:textId="77777777" w:rsidR="00454A29" w:rsidRDefault="00454A29">
            <w:pPr>
              <w:pStyle w:val="ConsPlusNormal"/>
              <w:jc w:val="center"/>
            </w:pPr>
            <w:r>
              <w:t>0,00</w:t>
            </w:r>
          </w:p>
        </w:tc>
        <w:tc>
          <w:tcPr>
            <w:tcW w:w="1701" w:type="dxa"/>
            <w:vAlign w:val="center"/>
          </w:tcPr>
          <w:p w14:paraId="0319658B" w14:textId="77777777" w:rsidR="00454A29" w:rsidRDefault="00454A29">
            <w:pPr>
              <w:pStyle w:val="ConsPlusNormal"/>
              <w:jc w:val="center"/>
            </w:pPr>
            <w:r>
              <w:t>0,00</w:t>
            </w:r>
          </w:p>
        </w:tc>
        <w:tc>
          <w:tcPr>
            <w:tcW w:w="1701" w:type="dxa"/>
            <w:vAlign w:val="center"/>
          </w:tcPr>
          <w:p w14:paraId="00592E30" w14:textId="77777777" w:rsidR="00454A29" w:rsidRDefault="00454A29">
            <w:pPr>
              <w:pStyle w:val="ConsPlusNormal"/>
              <w:jc w:val="center"/>
            </w:pPr>
            <w:r>
              <w:t>0,00</w:t>
            </w:r>
          </w:p>
        </w:tc>
      </w:tr>
      <w:tr w:rsidR="00454A29" w14:paraId="49A7C260" w14:textId="77777777">
        <w:tc>
          <w:tcPr>
            <w:tcW w:w="964" w:type="dxa"/>
            <w:vMerge/>
          </w:tcPr>
          <w:p w14:paraId="521DA41E" w14:textId="77777777" w:rsidR="00454A29" w:rsidRDefault="00454A29"/>
        </w:tc>
        <w:tc>
          <w:tcPr>
            <w:tcW w:w="2154" w:type="dxa"/>
            <w:vMerge/>
            <w:tcBorders>
              <w:top w:val="nil"/>
              <w:bottom w:val="nil"/>
            </w:tcBorders>
          </w:tcPr>
          <w:p w14:paraId="562E0503" w14:textId="77777777" w:rsidR="00454A29" w:rsidRDefault="00454A29"/>
        </w:tc>
        <w:tc>
          <w:tcPr>
            <w:tcW w:w="2154" w:type="dxa"/>
            <w:vMerge/>
            <w:tcBorders>
              <w:top w:val="nil"/>
              <w:bottom w:val="nil"/>
            </w:tcBorders>
          </w:tcPr>
          <w:p w14:paraId="3E83366E" w14:textId="77777777" w:rsidR="00454A29" w:rsidRDefault="00454A29"/>
        </w:tc>
        <w:tc>
          <w:tcPr>
            <w:tcW w:w="2665" w:type="dxa"/>
            <w:vMerge/>
          </w:tcPr>
          <w:p w14:paraId="4ACBFAD8" w14:textId="77777777" w:rsidR="00454A29" w:rsidRDefault="00454A29"/>
        </w:tc>
        <w:tc>
          <w:tcPr>
            <w:tcW w:w="2665" w:type="dxa"/>
            <w:vMerge/>
          </w:tcPr>
          <w:p w14:paraId="0E6304FE" w14:textId="77777777" w:rsidR="00454A29" w:rsidRDefault="00454A29"/>
        </w:tc>
        <w:tc>
          <w:tcPr>
            <w:tcW w:w="1928" w:type="dxa"/>
            <w:vMerge/>
          </w:tcPr>
          <w:p w14:paraId="07C3338F" w14:textId="77777777" w:rsidR="00454A29" w:rsidRDefault="00454A29"/>
        </w:tc>
        <w:tc>
          <w:tcPr>
            <w:tcW w:w="1644" w:type="dxa"/>
            <w:vMerge/>
          </w:tcPr>
          <w:p w14:paraId="669D99A9" w14:textId="77777777" w:rsidR="00454A29" w:rsidRDefault="00454A29"/>
        </w:tc>
        <w:tc>
          <w:tcPr>
            <w:tcW w:w="2041" w:type="dxa"/>
            <w:vMerge/>
          </w:tcPr>
          <w:p w14:paraId="471CE8BF" w14:textId="77777777" w:rsidR="00454A29" w:rsidRDefault="00454A29"/>
        </w:tc>
        <w:tc>
          <w:tcPr>
            <w:tcW w:w="2098" w:type="dxa"/>
            <w:vAlign w:val="center"/>
          </w:tcPr>
          <w:p w14:paraId="3B19C6FF" w14:textId="77777777" w:rsidR="00454A29" w:rsidRDefault="00454A29">
            <w:pPr>
              <w:pStyle w:val="ConsPlusNormal"/>
              <w:jc w:val="center"/>
            </w:pPr>
            <w:r>
              <w:t>Федеральный бюджет</w:t>
            </w:r>
          </w:p>
        </w:tc>
        <w:tc>
          <w:tcPr>
            <w:tcW w:w="1814" w:type="dxa"/>
            <w:vAlign w:val="center"/>
          </w:tcPr>
          <w:p w14:paraId="66F3F5C8" w14:textId="77777777" w:rsidR="00454A29" w:rsidRDefault="00454A29">
            <w:pPr>
              <w:pStyle w:val="ConsPlusNormal"/>
              <w:jc w:val="center"/>
            </w:pPr>
            <w:r>
              <w:t>0,00</w:t>
            </w:r>
          </w:p>
        </w:tc>
        <w:tc>
          <w:tcPr>
            <w:tcW w:w="1701" w:type="dxa"/>
            <w:vAlign w:val="center"/>
          </w:tcPr>
          <w:p w14:paraId="3828EEFF" w14:textId="77777777" w:rsidR="00454A29" w:rsidRDefault="00454A29">
            <w:pPr>
              <w:pStyle w:val="ConsPlusNormal"/>
              <w:jc w:val="center"/>
            </w:pPr>
            <w:r>
              <w:t>0,00</w:t>
            </w:r>
          </w:p>
        </w:tc>
        <w:tc>
          <w:tcPr>
            <w:tcW w:w="1701" w:type="dxa"/>
            <w:vAlign w:val="center"/>
          </w:tcPr>
          <w:p w14:paraId="15657159" w14:textId="77777777" w:rsidR="00454A29" w:rsidRDefault="00454A29">
            <w:pPr>
              <w:pStyle w:val="ConsPlusNormal"/>
              <w:jc w:val="center"/>
            </w:pPr>
            <w:r>
              <w:t>0,00</w:t>
            </w:r>
          </w:p>
        </w:tc>
        <w:tc>
          <w:tcPr>
            <w:tcW w:w="1701" w:type="dxa"/>
            <w:vAlign w:val="center"/>
          </w:tcPr>
          <w:p w14:paraId="6FBA2C76" w14:textId="77777777" w:rsidR="00454A29" w:rsidRDefault="00454A29">
            <w:pPr>
              <w:pStyle w:val="ConsPlusNormal"/>
              <w:jc w:val="center"/>
            </w:pPr>
            <w:r>
              <w:t>0,00</w:t>
            </w:r>
          </w:p>
        </w:tc>
        <w:tc>
          <w:tcPr>
            <w:tcW w:w="1701" w:type="dxa"/>
            <w:vAlign w:val="center"/>
          </w:tcPr>
          <w:p w14:paraId="54488F7F" w14:textId="77777777" w:rsidR="00454A29" w:rsidRDefault="00454A29">
            <w:pPr>
              <w:pStyle w:val="ConsPlusNormal"/>
              <w:jc w:val="center"/>
            </w:pPr>
            <w:r>
              <w:t>0,00</w:t>
            </w:r>
          </w:p>
        </w:tc>
        <w:tc>
          <w:tcPr>
            <w:tcW w:w="1701" w:type="dxa"/>
            <w:vAlign w:val="center"/>
          </w:tcPr>
          <w:p w14:paraId="7EB5D2E0" w14:textId="77777777" w:rsidR="00454A29" w:rsidRDefault="00454A29">
            <w:pPr>
              <w:pStyle w:val="ConsPlusNormal"/>
              <w:jc w:val="center"/>
            </w:pPr>
            <w:r>
              <w:t>0,00</w:t>
            </w:r>
          </w:p>
        </w:tc>
        <w:tc>
          <w:tcPr>
            <w:tcW w:w="1701" w:type="dxa"/>
            <w:vAlign w:val="center"/>
          </w:tcPr>
          <w:p w14:paraId="2067D01E" w14:textId="77777777" w:rsidR="00454A29" w:rsidRDefault="00454A29">
            <w:pPr>
              <w:pStyle w:val="ConsPlusNormal"/>
              <w:jc w:val="center"/>
            </w:pPr>
            <w:r>
              <w:t>0,00</w:t>
            </w:r>
          </w:p>
        </w:tc>
      </w:tr>
      <w:tr w:rsidR="00454A29" w14:paraId="66C5F4A8" w14:textId="77777777">
        <w:tc>
          <w:tcPr>
            <w:tcW w:w="964" w:type="dxa"/>
            <w:vMerge/>
          </w:tcPr>
          <w:p w14:paraId="43D8AE8C" w14:textId="77777777" w:rsidR="00454A29" w:rsidRDefault="00454A29"/>
        </w:tc>
        <w:tc>
          <w:tcPr>
            <w:tcW w:w="2154" w:type="dxa"/>
            <w:vMerge/>
            <w:tcBorders>
              <w:top w:val="nil"/>
              <w:bottom w:val="nil"/>
            </w:tcBorders>
          </w:tcPr>
          <w:p w14:paraId="6AAD0A3F" w14:textId="77777777" w:rsidR="00454A29" w:rsidRDefault="00454A29"/>
        </w:tc>
        <w:tc>
          <w:tcPr>
            <w:tcW w:w="2154" w:type="dxa"/>
            <w:vMerge/>
            <w:tcBorders>
              <w:top w:val="nil"/>
              <w:bottom w:val="nil"/>
            </w:tcBorders>
          </w:tcPr>
          <w:p w14:paraId="0B6F077B" w14:textId="77777777" w:rsidR="00454A29" w:rsidRDefault="00454A29"/>
        </w:tc>
        <w:tc>
          <w:tcPr>
            <w:tcW w:w="2665" w:type="dxa"/>
            <w:vMerge/>
          </w:tcPr>
          <w:p w14:paraId="3D7E9F13" w14:textId="77777777" w:rsidR="00454A29" w:rsidRDefault="00454A29"/>
        </w:tc>
        <w:tc>
          <w:tcPr>
            <w:tcW w:w="2665" w:type="dxa"/>
            <w:vMerge/>
          </w:tcPr>
          <w:p w14:paraId="3DA967E1" w14:textId="77777777" w:rsidR="00454A29" w:rsidRDefault="00454A29"/>
        </w:tc>
        <w:tc>
          <w:tcPr>
            <w:tcW w:w="1928" w:type="dxa"/>
            <w:vMerge/>
          </w:tcPr>
          <w:p w14:paraId="2703039F" w14:textId="77777777" w:rsidR="00454A29" w:rsidRDefault="00454A29"/>
        </w:tc>
        <w:tc>
          <w:tcPr>
            <w:tcW w:w="1644" w:type="dxa"/>
            <w:vMerge/>
          </w:tcPr>
          <w:p w14:paraId="39AEBF48" w14:textId="77777777" w:rsidR="00454A29" w:rsidRDefault="00454A29"/>
        </w:tc>
        <w:tc>
          <w:tcPr>
            <w:tcW w:w="2041" w:type="dxa"/>
            <w:vMerge/>
          </w:tcPr>
          <w:p w14:paraId="7FED02CC" w14:textId="77777777" w:rsidR="00454A29" w:rsidRDefault="00454A29"/>
        </w:tc>
        <w:tc>
          <w:tcPr>
            <w:tcW w:w="2098" w:type="dxa"/>
            <w:vAlign w:val="center"/>
          </w:tcPr>
          <w:p w14:paraId="42913D8D" w14:textId="77777777" w:rsidR="00454A29" w:rsidRDefault="00454A29">
            <w:pPr>
              <w:pStyle w:val="ConsPlusNormal"/>
              <w:jc w:val="center"/>
            </w:pPr>
            <w:r>
              <w:t>Местные бюджеты</w:t>
            </w:r>
          </w:p>
        </w:tc>
        <w:tc>
          <w:tcPr>
            <w:tcW w:w="1814" w:type="dxa"/>
            <w:vAlign w:val="center"/>
          </w:tcPr>
          <w:p w14:paraId="58F3245C" w14:textId="77777777" w:rsidR="00454A29" w:rsidRDefault="00454A29">
            <w:pPr>
              <w:pStyle w:val="ConsPlusNormal"/>
              <w:jc w:val="center"/>
            </w:pPr>
            <w:r>
              <w:t>0,00</w:t>
            </w:r>
          </w:p>
        </w:tc>
        <w:tc>
          <w:tcPr>
            <w:tcW w:w="1701" w:type="dxa"/>
            <w:vAlign w:val="center"/>
          </w:tcPr>
          <w:p w14:paraId="02C6CAF9" w14:textId="77777777" w:rsidR="00454A29" w:rsidRDefault="00454A29">
            <w:pPr>
              <w:pStyle w:val="ConsPlusNormal"/>
              <w:jc w:val="center"/>
            </w:pPr>
            <w:r>
              <w:t>0,00</w:t>
            </w:r>
          </w:p>
        </w:tc>
        <w:tc>
          <w:tcPr>
            <w:tcW w:w="1701" w:type="dxa"/>
            <w:vAlign w:val="center"/>
          </w:tcPr>
          <w:p w14:paraId="1F655500" w14:textId="77777777" w:rsidR="00454A29" w:rsidRDefault="00454A29">
            <w:pPr>
              <w:pStyle w:val="ConsPlusNormal"/>
              <w:jc w:val="center"/>
            </w:pPr>
            <w:r>
              <w:t>0,00</w:t>
            </w:r>
          </w:p>
        </w:tc>
        <w:tc>
          <w:tcPr>
            <w:tcW w:w="1701" w:type="dxa"/>
            <w:vAlign w:val="center"/>
          </w:tcPr>
          <w:p w14:paraId="0D7AB0BB" w14:textId="77777777" w:rsidR="00454A29" w:rsidRDefault="00454A29">
            <w:pPr>
              <w:pStyle w:val="ConsPlusNormal"/>
              <w:jc w:val="center"/>
            </w:pPr>
            <w:r>
              <w:t>0,00</w:t>
            </w:r>
          </w:p>
        </w:tc>
        <w:tc>
          <w:tcPr>
            <w:tcW w:w="1701" w:type="dxa"/>
            <w:vAlign w:val="center"/>
          </w:tcPr>
          <w:p w14:paraId="36DAA43D" w14:textId="77777777" w:rsidR="00454A29" w:rsidRDefault="00454A29">
            <w:pPr>
              <w:pStyle w:val="ConsPlusNormal"/>
              <w:jc w:val="center"/>
            </w:pPr>
            <w:r>
              <w:t>0,00</w:t>
            </w:r>
          </w:p>
        </w:tc>
        <w:tc>
          <w:tcPr>
            <w:tcW w:w="1701" w:type="dxa"/>
            <w:vAlign w:val="center"/>
          </w:tcPr>
          <w:p w14:paraId="7CDB9BBD" w14:textId="77777777" w:rsidR="00454A29" w:rsidRDefault="00454A29">
            <w:pPr>
              <w:pStyle w:val="ConsPlusNormal"/>
              <w:jc w:val="center"/>
            </w:pPr>
            <w:r>
              <w:t>0,00</w:t>
            </w:r>
          </w:p>
        </w:tc>
        <w:tc>
          <w:tcPr>
            <w:tcW w:w="1701" w:type="dxa"/>
            <w:vAlign w:val="center"/>
          </w:tcPr>
          <w:p w14:paraId="0FF28ADD" w14:textId="77777777" w:rsidR="00454A29" w:rsidRDefault="00454A29">
            <w:pPr>
              <w:pStyle w:val="ConsPlusNormal"/>
              <w:jc w:val="center"/>
            </w:pPr>
            <w:r>
              <w:t>0,00</w:t>
            </w:r>
          </w:p>
        </w:tc>
      </w:tr>
      <w:tr w:rsidR="00454A29" w14:paraId="54F9D957" w14:textId="77777777">
        <w:tc>
          <w:tcPr>
            <w:tcW w:w="964" w:type="dxa"/>
            <w:vMerge/>
          </w:tcPr>
          <w:p w14:paraId="5347CFF5" w14:textId="77777777" w:rsidR="00454A29" w:rsidRDefault="00454A29"/>
        </w:tc>
        <w:tc>
          <w:tcPr>
            <w:tcW w:w="2154" w:type="dxa"/>
            <w:vMerge/>
            <w:tcBorders>
              <w:top w:val="nil"/>
              <w:bottom w:val="nil"/>
            </w:tcBorders>
          </w:tcPr>
          <w:p w14:paraId="0501DEAC" w14:textId="77777777" w:rsidR="00454A29" w:rsidRDefault="00454A29"/>
        </w:tc>
        <w:tc>
          <w:tcPr>
            <w:tcW w:w="2154" w:type="dxa"/>
            <w:vMerge/>
            <w:tcBorders>
              <w:top w:val="nil"/>
              <w:bottom w:val="nil"/>
            </w:tcBorders>
          </w:tcPr>
          <w:p w14:paraId="33C818D8" w14:textId="77777777" w:rsidR="00454A29" w:rsidRDefault="00454A29"/>
        </w:tc>
        <w:tc>
          <w:tcPr>
            <w:tcW w:w="2665" w:type="dxa"/>
            <w:vMerge/>
          </w:tcPr>
          <w:p w14:paraId="1E6DDE54" w14:textId="77777777" w:rsidR="00454A29" w:rsidRDefault="00454A29"/>
        </w:tc>
        <w:tc>
          <w:tcPr>
            <w:tcW w:w="2665" w:type="dxa"/>
            <w:vMerge/>
          </w:tcPr>
          <w:p w14:paraId="77F6F768" w14:textId="77777777" w:rsidR="00454A29" w:rsidRDefault="00454A29"/>
        </w:tc>
        <w:tc>
          <w:tcPr>
            <w:tcW w:w="1928" w:type="dxa"/>
            <w:vMerge/>
          </w:tcPr>
          <w:p w14:paraId="587E4824" w14:textId="77777777" w:rsidR="00454A29" w:rsidRDefault="00454A29"/>
        </w:tc>
        <w:tc>
          <w:tcPr>
            <w:tcW w:w="1644" w:type="dxa"/>
            <w:vMerge/>
          </w:tcPr>
          <w:p w14:paraId="7FA2748D" w14:textId="77777777" w:rsidR="00454A29" w:rsidRDefault="00454A29"/>
        </w:tc>
        <w:tc>
          <w:tcPr>
            <w:tcW w:w="2041" w:type="dxa"/>
            <w:vMerge/>
          </w:tcPr>
          <w:p w14:paraId="165E3F82" w14:textId="77777777" w:rsidR="00454A29" w:rsidRDefault="00454A29"/>
        </w:tc>
        <w:tc>
          <w:tcPr>
            <w:tcW w:w="2098" w:type="dxa"/>
            <w:vAlign w:val="center"/>
          </w:tcPr>
          <w:p w14:paraId="38B7227D" w14:textId="77777777" w:rsidR="00454A29" w:rsidRDefault="00454A29">
            <w:pPr>
              <w:pStyle w:val="ConsPlusNormal"/>
              <w:jc w:val="center"/>
            </w:pPr>
            <w:r>
              <w:t>Внебюджетные средства</w:t>
            </w:r>
          </w:p>
        </w:tc>
        <w:tc>
          <w:tcPr>
            <w:tcW w:w="1814" w:type="dxa"/>
            <w:vAlign w:val="center"/>
          </w:tcPr>
          <w:p w14:paraId="64B2DB17" w14:textId="77777777" w:rsidR="00454A29" w:rsidRDefault="00454A29">
            <w:pPr>
              <w:pStyle w:val="ConsPlusNormal"/>
              <w:jc w:val="center"/>
            </w:pPr>
            <w:r>
              <w:t>0,00</w:t>
            </w:r>
          </w:p>
        </w:tc>
        <w:tc>
          <w:tcPr>
            <w:tcW w:w="1701" w:type="dxa"/>
            <w:vAlign w:val="center"/>
          </w:tcPr>
          <w:p w14:paraId="3C8BFEB6" w14:textId="77777777" w:rsidR="00454A29" w:rsidRDefault="00454A29">
            <w:pPr>
              <w:pStyle w:val="ConsPlusNormal"/>
              <w:jc w:val="center"/>
            </w:pPr>
            <w:r>
              <w:t>0,00</w:t>
            </w:r>
          </w:p>
        </w:tc>
        <w:tc>
          <w:tcPr>
            <w:tcW w:w="1701" w:type="dxa"/>
            <w:vAlign w:val="center"/>
          </w:tcPr>
          <w:p w14:paraId="61B76189" w14:textId="77777777" w:rsidR="00454A29" w:rsidRDefault="00454A29">
            <w:pPr>
              <w:pStyle w:val="ConsPlusNormal"/>
              <w:jc w:val="center"/>
            </w:pPr>
            <w:r>
              <w:t>0,00</w:t>
            </w:r>
          </w:p>
        </w:tc>
        <w:tc>
          <w:tcPr>
            <w:tcW w:w="1701" w:type="dxa"/>
            <w:vAlign w:val="center"/>
          </w:tcPr>
          <w:p w14:paraId="5325A14E" w14:textId="77777777" w:rsidR="00454A29" w:rsidRDefault="00454A29">
            <w:pPr>
              <w:pStyle w:val="ConsPlusNormal"/>
              <w:jc w:val="center"/>
            </w:pPr>
            <w:r>
              <w:t>0,00</w:t>
            </w:r>
          </w:p>
        </w:tc>
        <w:tc>
          <w:tcPr>
            <w:tcW w:w="1701" w:type="dxa"/>
            <w:vAlign w:val="center"/>
          </w:tcPr>
          <w:p w14:paraId="65AA13B0" w14:textId="77777777" w:rsidR="00454A29" w:rsidRDefault="00454A29">
            <w:pPr>
              <w:pStyle w:val="ConsPlusNormal"/>
              <w:jc w:val="center"/>
            </w:pPr>
            <w:r>
              <w:t>0,00</w:t>
            </w:r>
          </w:p>
        </w:tc>
        <w:tc>
          <w:tcPr>
            <w:tcW w:w="1701" w:type="dxa"/>
            <w:vAlign w:val="center"/>
          </w:tcPr>
          <w:p w14:paraId="48C2256C" w14:textId="77777777" w:rsidR="00454A29" w:rsidRDefault="00454A29">
            <w:pPr>
              <w:pStyle w:val="ConsPlusNormal"/>
              <w:jc w:val="center"/>
            </w:pPr>
            <w:r>
              <w:t>0,00</w:t>
            </w:r>
          </w:p>
        </w:tc>
        <w:tc>
          <w:tcPr>
            <w:tcW w:w="1701" w:type="dxa"/>
            <w:vAlign w:val="center"/>
          </w:tcPr>
          <w:p w14:paraId="5B227BF2" w14:textId="77777777" w:rsidR="00454A29" w:rsidRDefault="00454A29">
            <w:pPr>
              <w:pStyle w:val="ConsPlusNormal"/>
              <w:jc w:val="center"/>
            </w:pPr>
            <w:r>
              <w:t>0,00</w:t>
            </w:r>
          </w:p>
        </w:tc>
      </w:tr>
      <w:tr w:rsidR="00454A29" w14:paraId="6811E177" w14:textId="77777777">
        <w:tc>
          <w:tcPr>
            <w:tcW w:w="964" w:type="dxa"/>
            <w:vMerge w:val="restart"/>
            <w:vAlign w:val="center"/>
          </w:tcPr>
          <w:p w14:paraId="1013C410" w14:textId="77777777" w:rsidR="00454A29" w:rsidRDefault="00454A29">
            <w:pPr>
              <w:pStyle w:val="ConsPlusNormal"/>
              <w:jc w:val="center"/>
            </w:pPr>
            <w:r>
              <w:t>4.7.</w:t>
            </w:r>
          </w:p>
        </w:tc>
        <w:tc>
          <w:tcPr>
            <w:tcW w:w="2154" w:type="dxa"/>
            <w:vMerge w:val="restart"/>
            <w:tcBorders>
              <w:top w:val="nil"/>
            </w:tcBorders>
            <w:vAlign w:val="center"/>
          </w:tcPr>
          <w:p w14:paraId="61554B0A" w14:textId="77777777" w:rsidR="00454A29" w:rsidRDefault="00454A29">
            <w:pPr>
              <w:pStyle w:val="ConsPlusNormal"/>
            </w:pPr>
          </w:p>
        </w:tc>
        <w:tc>
          <w:tcPr>
            <w:tcW w:w="2154" w:type="dxa"/>
            <w:vMerge w:val="restart"/>
            <w:tcBorders>
              <w:top w:val="nil"/>
            </w:tcBorders>
            <w:vAlign w:val="center"/>
          </w:tcPr>
          <w:p w14:paraId="202CA570" w14:textId="77777777" w:rsidR="00454A29" w:rsidRDefault="00454A29">
            <w:pPr>
              <w:pStyle w:val="ConsPlusNormal"/>
            </w:pPr>
          </w:p>
        </w:tc>
        <w:tc>
          <w:tcPr>
            <w:tcW w:w="2665" w:type="dxa"/>
            <w:vMerge w:val="restart"/>
            <w:vAlign w:val="center"/>
          </w:tcPr>
          <w:p w14:paraId="6BD37541" w14:textId="77777777" w:rsidR="00454A29" w:rsidRDefault="00454A29">
            <w:pPr>
              <w:pStyle w:val="ConsPlusNormal"/>
              <w:jc w:val="center"/>
            </w:pPr>
            <w:r>
              <w:t>Результат 7. Не менее 70% обучающихся организаций, осуществляющих образовательную деятельность по образовательным программам среднего профессионального образования, вовлечены в различные формы наставничества</w:t>
            </w:r>
          </w:p>
        </w:tc>
        <w:tc>
          <w:tcPr>
            <w:tcW w:w="2665" w:type="dxa"/>
            <w:vMerge w:val="restart"/>
            <w:vAlign w:val="center"/>
          </w:tcPr>
          <w:p w14:paraId="2A4627F7" w14:textId="77777777" w:rsidR="00454A29" w:rsidRDefault="00454A29">
            <w:pPr>
              <w:pStyle w:val="ConsPlusNormal"/>
              <w:jc w:val="center"/>
            </w:pPr>
            <w:r>
              <w:t>Мероприятие 3.7.7. Не менее 70% обучающихся организаций, осуществляющих образовательную деятельность по образовательным программам среднего профессионального образования на территории Республики Саха (Якутия), вовлечены в различные формы наставничества</w:t>
            </w:r>
          </w:p>
        </w:tc>
        <w:tc>
          <w:tcPr>
            <w:tcW w:w="1928" w:type="dxa"/>
            <w:vMerge w:val="restart"/>
            <w:vAlign w:val="center"/>
          </w:tcPr>
          <w:p w14:paraId="6077F131" w14:textId="77777777" w:rsidR="00454A29" w:rsidRDefault="00454A29">
            <w:pPr>
              <w:pStyle w:val="ConsPlusNormal"/>
              <w:jc w:val="center"/>
            </w:pPr>
            <w:r>
              <w:t>-</w:t>
            </w:r>
          </w:p>
        </w:tc>
        <w:tc>
          <w:tcPr>
            <w:tcW w:w="1644" w:type="dxa"/>
            <w:vMerge w:val="restart"/>
            <w:vAlign w:val="center"/>
          </w:tcPr>
          <w:p w14:paraId="746CC30F" w14:textId="77777777" w:rsidR="00454A29" w:rsidRDefault="00454A29">
            <w:pPr>
              <w:pStyle w:val="ConsPlusNormal"/>
              <w:jc w:val="center"/>
            </w:pPr>
            <w:r>
              <w:t>-</w:t>
            </w:r>
          </w:p>
        </w:tc>
        <w:tc>
          <w:tcPr>
            <w:tcW w:w="2041" w:type="dxa"/>
            <w:vMerge w:val="restart"/>
            <w:vAlign w:val="center"/>
          </w:tcPr>
          <w:p w14:paraId="0B8403A0" w14:textId="77777777" w:rsidR="00454A29" w:rsidRDefault="00454A29">
            <w:pPr>
              <w:pStyle w:val="ConsPlusNormal"/>
              <w:jc w:val="center"/>
            </w:pPr>
            <w:r>
              <w:t>-</w:t>
            </w:r>
          </w:p>
        </w:tc>
        <w:tc>
          <w:tcPr>
            <w:tcW w:w="2098" w:type="dxa"/>
            <w:vAlign w:val="center"/>
          </w:tcPr>
          <w:p w14:paraId="628BB743" w14:textId="77777777" w:rsidR="00454A29" w:rsidRDefault="00454A29">
            <w:pPr>
              <w:pStyle w:val="ConsPlusNormal"/>
              <w:jc w:val="center"/>
            </w:pPr>
            <w:r>
              <w:t>Итого</w:t>
            </w:r>
          </w:p>
        </w:tc>
        <w:tc>
          <w:tcPr>
            <w:tcW w:w="1814" w:type="dxa"/>
            <w:vAlign w:val="center"/>
          </w:tcPr>
          <w:p w14:paraId="250270A4" w14:textId="77777777" w:rsidR="00454A29" w:rsidRDefault="00454A29">
            <w:pPr>
              <w:pStyle w:val="ConsPlusNormal"/>
              <w:jc w:val="center"/>
            </w:pPr>
            <w:r>
              <w:t>0,00</w:t>
            </w:r>
          </w:p>
        </w:tc>
        <w:tc>
          <w:tcPr>
            <w:tcW w:w="1701" w:type="dxa"/>
            <w:vAlign w:val="center"/>
          </w:tcPr>
          <w:p w14:paraId="69A7FB3F" w14:textId="77777777" w:rsidR="00454A29" w:rsidRDefault="00454A29">
            <w:pPr>
              <w:pStyle w:val="ConsPlusNormal"/>
              <w:jc w:val="center"/>
            </w:pPr>
            <w:r>
              <w:t>0,00</w:t>
            </w:r>
          </w:p>
        </w:tc>
        <w:tc>
          <w:tcPr>
            <w:tcW w:w="1701" w:type="dxa"/>
            <w:vAlign w:val="center"/>
          </w:tcPr>
          <w:p w14:paraId="6C5E9E83" w14:textId="77777777" w:rsidR="00454A29" w:rsidRDefault="00454A29">
            <w:pPr>
              <w:pStyle w:val="ConsPlusNormal"/>
              <w:jc w:val="center"/>
            </w:pPr>
            <w:r>
              <w:t>0,00</w:t>
            </w:r>
          </w:p>
        </w:tc>
        <w:tc>
          <w:tcPr>
            <w:tcW w:w="1701" w:type="dxa"/>
            <w:vAlign w:val="center"/>
          </w:tcPr>
          <w:p w14:paraId="04F406BF" w14:textId="77777777" w:rsidR="00454A29" w:rsidRDefault="00454A29">
            <w:pPr>
              <w:pStyle w:val="ConsPlusNormal"/>
              <w:jc w:val="center"/>
            </w:pPr>
            <w:r>
              <w:t>0,00</w:t>
            </w:r>
          </w:p>
        </w:tc>
        <w:tc>
          <w:tcPr>
            <w:tcW w:w="1701" w:type="dxa"/>
            <w:vAlign w:val="center"/>
          </w:tcPr>
          <w:p w14:paraId="20B38A4E" w14:textId="77777777" w:rsidR="00454A29" w:rsidRDefault="00454A29">
            <w:pPr>
              <w:pStyle w:val="ConsPlusNormal"/>
              <w:jc w:val="center"/>
            </w:pPr>
            <w:r>
              <w:t>0,00</w:t>
            </w:r>
          </w:p>
        </w:tc>
        <w:tc>
          <w:tcPr>
            <w:tcW w:w="1701" w:type="dxa"/>
            <w:vAlign w:val="center"/>
          </w:tcPr>
          <w:p w14:paraId="22CD9FAA" w14:textId="77777777" w:rsidR="00454A29" w:rsidRDefault="00454A29">
            <w:pPr>
              <w:pStyle w:val="ConsPlusNormal"/>
              <w:jc w:val="center"/>
            </w:pPr>
            <w:r>
              <w:t>0,00</w:t>
            </w:r>
          </w:p>
        </w:tc>
        <w:tc>
          <w:tcPr>
            <w:tcW w:w="1701" w:type="dxa"/>
            <w:vAlign w:val="center"/>
          </w:tcPr>
          <w:p w14:paraId="4573019E" w14:textId="77777777" w:rsidR="00454A29" w:rsidRDefault="00454A29">
            <w:pPr>
              <w:pStyle w:val="ConsPlusNormal"/>
              <w:jc w:val="center"/>
            </w:pPr>
            <w:r>
              <w:t>0,00</w:t>
            </w:r>
          </w:p>
        </w:tc>
      </w:tr>
      <w:tr w:rsidR="00454A29" w14:paraId="7414D468" w14:textId="77777777">
        <w:tc>
          <w:tcPr>
            <w:tcW w:w="964" w:type="dxa"/>
            <w:vMerge/>
          </w:tcPr>
          <w:p w14:paraId="11036E9F" w14:textId="77777777" w:rsidR="00454A29" w:rsidRDefault="00454A29"/>
        </w:tc>
        <w:tc>
          <w:tcPr>
            <w:tcW w:w="2154" w:type="dxa"/>
            <w:vMerge/>
            <w:tcBorders>
              <w:top w:val="nil"/>
            </w:tcBorders>
          </w:tcPr>
          <w:p w14:paraId="4BB77BD0" w14:textId="77777777" w:rsidR="00454A29" w:rsidRDefault="00454A29"/>
        </w:tc>
        <w:tc>
          <w:tcPr>
            <w:tcW w:w="2154" w:type="dxa"/>
            <w:vMerge/>
            <w:tcBorders>
              <w:top w:val="nil"/>
            </w:tcBorders>
          </w:tcPr>
          <w:p w14:paraId="5915C14A" w14:textId="77777777" w:rsidR="00454A29" w:rsidRDefault="00454A29"/>
        </w:tc>
        <w:tc>
          <w:tcPr>
            <w:tcW w:w="2665" w:type="dxa"/>
            <w:vMerge/>
          </w:tcPr>
          <w:p w14:paraId="32A50ED9" w14:textId="77777777" w:rsidR="00454A29" w:rsidRDefault="00454A29"/>
        </w:tc>
        <w:tc>
          <w:tcPr>
            <w:tcW w:w="2665" w:type="dxa"/>
            <w:vMerge/>
          </w:tcPr>
          <w:p w14:paraId="013761F1" w14:textId="77777777" w:rsidR="00454A29" w:rsidRDefault="00454A29"/>
        </w:tc>
        <w:tc>
          <w:tcPr>
            <w:tcW w:w="1928" w:type="dxa"/>
            <w:vMerge/>
          </w:tcPr>
          <w:p w14:paraId="44B51C7D" w14:textId="77777777" w:rsidR="00454A29" w:rsidRDefault="00454A29"/>
        </w:tc>
        <w:tc>
          <w:tcPr>
            <w:tcW w:w="1644" w:type="dxa"/>
            <w:vMerge/>
          </w:tcPr>
          <w:p w14:paraId="7312BB41" w14:textId="77777777" w:rsidR="00454A29" w:rsidRDefault="00454A29"/>
        </w:tc>
        <w:tc>
          <w:tcPr>
            <w:tcW w:w="2041" w:type="dxa"/>
            <w:vMerge/>
          </w:tcPr>
          <w:p w14:paraId="30A69BBC" w14:textId="77777777" w:rsidR="00454A29" w:rsidRDefault="00454A29"/>
        </w:tc>
        <w:tc>
          <w:tcPr>
            <w:tcW w:w="2098" w:type="dxa"/>
            <w:vAlign w:val="center"/>
          </w:tcPr>
          <w:p w14:paraId="02B13D2A"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4841AC5" w14:textId="77777777" w:rsidR="00454A29" w:rsidRDefault="00454A29">
            <w:pPr>
              <w:pStyle w:val="ConsPlusNormal"/>
              <w:jc w:val="center"/>
            </w:pPr>
            <w:r>
              <w:t>0,00</w:t>
            </w:r>
          </w:p>
        </w:tc>
        <w:tc>
          <w:tcPr>
            <w:tcW w:w="1701" w:type="dxa"/>
            <w:vAlign w:val="center"/>
          </w:tcPr>
          <w:p w14:paraId="3B03DF58" w14:textId="77777777" w:rsidR="00454A29" w:rsidRDefault="00454A29">
            <w:pPr>
              <w:pStyle w:val="ConsPlusNormal"/>
              <w:jc w:val="center"/>
            </w:pPr>
            <w:r>
              <w:t>0,00</w:t>
            </w:r>
          </w:p>
        </w:tc>
        <w:tc>
          <w:tcPr>
            <w:tcW w:w="1701" w:type="dxa"/>
            <w:vAlign w:val="center"/>
          </w:tcPr>
          <w:p w14:paraId="1E9C1367" w14:textId="77777777" w:rsidR="00454A29" w:rsidRDefault="00454A29">
            <w:pPr>
              <w:pStyle w:val="ConsPlusNormal"/>
              <w:jc w:val="center"/>
            </w:pPr>
            <w:r>
              <w:t>0,00</w:t>
            </w:r>
          </w:p>
        </w:tc>
        <w:tc>
          <w:tcPr>
            <w:tcW w:w="1701" w:type="dxa"/>
            <w:vAlign w:val="center"/>
          </w:tcPr>
          <w:p w14:paraId="64A1277D" w14:textId="77777777" w:rsidR="00454A29" w:rsidRDefault="00454A29">
            <w:pPr>
              <w:pStyle w:val="ConsPlusNormal"/>
              <w:jc w:val="center"/>
            </w:pPr>
            <w:r>
              <w:t>0,00</w:t>
            </w:r>
          </w:p>
        </w:tc>
        <w:tc>
          <w:tcPr>
            <w:tcW w:w="1701" w:type="dxa"/>
            <w:vAlign w:val="center"/>
          </w:tcPr>
          <w:p w14:paraId="1574D4C8" w14:textId="77777777" w:rsidR="00454A29" w:rsidRDefault="00454A29">
            <w:pPr>
              <w:pStyle w:val="ConsPlusNormal"/>
              <w:jc w:val="center"/>
            </w:pPr>
            <w:r>
              <w:t>0,00</w:t>
            </w:r>
          </w:p>
        </w:tc>
        <w:tc>
          <w:tcPr>
            <w:tcW w:w="1701" w:type="dxa"/>
            <w:vAlign w:val="center"/>
          </w:tcPr>
          <w:p w14:paraId="3E13C57D" w14:textId="77777777" w:rsidR="00454A29" w:rsidRDefault="00454A29">
            <w:pPr>
              <w:pStyle w:val="ConsPlusNormal"/>
              <w:jc w:val="center"/>
            </w:pPr>
            <w:r>
              <w:t>0,00</w:t>
            </w:r>
          </w:p>
        </w:tc>
        <w:tc>
          <w:tcPr>
            <w:tcW w:w="1701" w:type="dxa"/>
            <w:vAlign w:val="center"/>
          </w:tcPr>
          <w:p w14:paraId="178C152B" w14:textId="77777777" w:rsidR="00454A29" w:rsidRDefault="00454A29">
            <w:pPr>
              <w:pStyle w:val="ConsPlusNormal"/>
              <w:jc w:val="center"/>
            </w:pPr>
            <w:r>
              <w:t>0,00</w:t>
            </w:r>
          </w:p>
        </w:tc>
      </w:tr>
      <w:tr w:rsidR="00454A29" w14:paraId="38E0D29E" w14:textId="77777777">
        <w:tc>
          <w:tcPr>
            <w:tcW w:w="964" w:type="dxa"/>
            <w:vMerge/>
          </w:tcPr>
          <w:p w14:paraId="5E25860D" w14:textId="77777777" w:rsidR="00454A29" w:rsidRDefault="00454A29"/>
        </w:tc>
        <w:tc>
          <w:tcPr>
            <w:tcW w:w="2154" w:type="dxa"/>
            <w:vMerge/>
            <w:tcBorders>
              <w:top w:val="nil"/>
            </w:tcBorders>
          </w:tcPr>
          <w:p w14:paraId="60948CB1" w14:textId="77777777" w:rsidR="00454A29" w:rsidRDefault="00454A29"/>
        </w:tc>
        <w:tc>
          <w:tcPr>
            <w:tcW w:w="2154" w:type="dxa"/>
            <w:vMerge/>
            <w:tcBorders>
              <w:top w:val="nil"/>
            </w:tcBorders>
          </w:tcPr>
          <w:p w14:paraId="3DE658B0" w14:textId="77777777" w:rsidR="00454A29" w:rsidRDefault="00454A29"/>
        </w:tc>
        <w:tc>
          <w:tcPr>
            <w:tcW w:w="2665" w:type="dxa"/>
            <w:vMerge/>
          </w:tcPr>
          <w:p w14:paraId="48E5317A" w14:textId="77777777" w:rsidR="00454A29" w:rsidRDefault="00454A29"/>
        </w:tc>
        <w:tc>
          <w:tcPr>
            <w:tcW w:w="2665" w:type="dxa"/>
            <w:vMerge/>
          </w:tcPr>
          <w:p w14:paraId="1BA7F17C" w14:textId="77777777" w:rsidR="00454A29" w:rsidRDefault="00454A29"/>
        </w:tc>
        <w:tc>
          <w:tcPr>
            <w:tcW w:w="1928" w:type="dxa"/>
            <w:vMerge/>
          </w:tcPr>
          <w:p w14:paraId="14E7E58F" w14:textId="77777777" w:rsidR="00454A29" w:rsidRDefault="00454A29"/>
        </w:tc>
        <w:tc>
          <w:tcPr>
            <w:tcW w:w="1644" w:type="dxa"/>
            <w:vMerge/>
          </w:tcPr>
          <w:p w14:paraId="1F5E6BAE" w14:textId="77777777" w:rsidR="00454A29" w:rsidRDefault="00454A29"/>
        </w:tc>
        <w:tc>
          <w:tcPr>
            <w:tcW w:w="2041" w:type="dxa"/>
            <w:vMerge/>
          </w:tcPr>
          <w:p w14:paraId="0455A5B1" w14:textId="77777777" w:rsidR="00454A29" w:rsidRDefault="00454A29"/>
        </w:tc>
        <w:tc>
          <w:tcPr>
            <w:tcW w:w="2098" w:type="dxa"/>
            <w:vAlign w:val="center"/>
          </w:tcPr>
          <w:p w14:paraId="64C2229B" w14:textId="77777777" w:rsidR="00454A29" w:rsidRDefault="00454A29">
            <w:pPr>
              <w:pStyle w:val="ConsPlusNormal"/>
              <w:jc w:val="center"/>
            </w:pPr>
            <w:r>
              <w:t>Федеральный бюджет</w:t>
            </w:r>
          </w:p>
        </w:tc>
        <w:tc>
          <w:tcPr>
            <w:tcW w:w="1814" w:type="dxa"/>
            <w:vAlign w:val="center"/>
          </w:tcPr>
          <w:p w14:paraId="06B69411" w14:textId="77777777" w:rsidR="00454A29" w:rsidRDefault="00454A29">
            <w:pPr>
              <w:pStyle w:val="ConsPlusNormal"/>
              <w:jc w:val="center"/>
            </w:pPr>
            <w:r>
              <w:t>0,00</w:t>
            </w:r>
          </w:p>
        </w:tc>
        <w:tc>
          <w:tcPr>
            <w:tcW w:w="1701" w:type="dxa"/>
            <w:vAlign w:val="center"/>
          </w:tcPr>
          <w:p w14:paraId="255AF80A" w14:textId="77777777" w:rsidR="00454A29" w:rsidRDefault="00454A29">
            <w:pPr>
              <w:pStyle w:val="ConsPlusNormal"/>
              <w:jc w:val="center"/>
            </w:pPr>
            <w:r>
              <w:t>0,00</w:t>
            </w:r>
          </w:p>
        </w:tc>
        <w:tc>
          <w:tcPr>
            <w:tcW w:w="1701" w:type="dxa"/>
            <w:vAlign w:val="center"/>
          </w:tcPr>
          <w:p w14:paraId="2DEA6363" w14:textId="77777777" w:rsidR="00454A29" w:rsidRDefault="00454A29">
            <w:pPr>
              <w:pStyle w:val="ConsPlusNormal"/>
              <w:jc w:val="center"/>
            </w:pPr>
            <w:r>
              <w:t>0,00</w:t>
            </w:r>
          </w:p>
        </w:tc>
        <w:tc>
          <w:tcPr>
            <w:tcW w:w="1701" w:type="dxa"/>
            <w:vAlign w:val="center"/>
          </w:tcPr>
          <w:p w14:paraId="13F398F2" w14:textId="77777777" w:rsidR="00454A29" w:rsidRDefault="00454A29">
            <w:pPr>
              <w:pStyle w:val="ConsPlusNormal"/>
              <w:jc w:val="center"/>
            </w:pPr>
            <w:r>
              <w:t>0,00</w:t>
            </w:r>
          </w:p>
        </w:tc>
        <w:tc>
          <w:tcPr>
            <w:tcW w:w="1701" w:type="dxa"/>
            <w:vAlign w:val="center"/>
          </w:tcPr>
          <w:p w14:paraId="033F3670" w14:textId="77777777" w:rsidR="00454A29" w:rsidRDefault="00454A29">
            <w:pPr>
              <w:pStyle w:val="ConsPlusNormal"/>
              <w:jc w:val="center"/>
            </w:pPr>
            <w:r>
              <w:t>0,00</w:t>
            </w:r>
          </w:p>
        </w:tc>
        <w:tc>
          <w:tcPr>
            <w:tcW w:w="1701" w:type="dxa"/>
            <w:vAlign w:val="center"/>
          </w:tcPr>
          <w:p w14:paraId="2B1814D8" w14:textId="77777777" w:rsidR="00454A29" w:rsidRDefault="00454A29">
            <w:pPr>
              <w:pStyle w:val="ConsPlusNormal"/>
              <w:jc w:val="center"/>
            </w:pPr>
            <w:r>
              <w:t>0,00</w:t>
            </w:r>
          </w:p>
        </w:tc>
        <w:tc>
          <w:tcPr>
            <w:tcW w:w="1701" w:type="dxa"/>
            <w:vAlign w:val="center"/>
          </w:tcPr>
          <w:p w14:paraId="55E4781D" w14:textId="77777777" w:rsidR="00454A29" w:rsidRDefault="00454A29">
            <w:pPr>
              <w:pStyle w:val="ConsPlusNormal"/>
              <w:jc w:val="center"/>
            </w:pPr>
            <w:r>
              <w:t>0,00</w:t>
            </w:r>
          </w:p>
        </w:tc>
      </w:tr>
      <w:tr w:rsidR="00454A29" w14:paraId="0166A181" w14:textId="77777777">
        <w:tc>
          <w:tcPr>
            <w:tcW w:w="964" w:type="dxa"/>
            <w:vMerge/>
          </w:tcPr>
          <w:p w14:paraId="23FCC853" w14:textId="77777777" w:rsidR="00454A29" w:rsidRDefault="00454A29"/>
        </w:tc>
        <w:tc>
          <w:tcPr>
            <w:tcW w:w="2154" w:type="dxa"/>
            <w:vMerge/>
            <w:tcBorders>
              <w:top w:val="nil"/>
            </w:tcBorders>
          </w:tcPr>
          <w:p w14:paraId="339DD239" w14:textId="77777777" w:rsidR="00454A29" w:rsidRDefault="00454A29"/>
        </w:tc>
        <w:tc>
          <w:tcPr>
            <w:tcW w:w="2154" w:type="dxa"/>
            <w:vMerge/>
            <w:tcBorders>
              <w:top w:val="nil"/>
            </w:tcBorders>
          </w:tcPr>
          <w:p w14:paraId="4896A5C7" w14:textId="77777777" w:rsidR="00454A29" w:rsidRDefault="00454A29"/>
        </w:tc>
        <w:tc>
          <w:tcPr>
            <w:tcW w:w="2665" w:type="dxa"/>
            <w:vMerge/>
          </w:tcPr>
          <w:p w14:paraId="5662B1A9" w14:textId="77777777" w:rsidR="00454A29" w:rsidRDefault="00454A29"/>
        </w:tc>
        <w:tc>
          <w:tcPr>
            <w:tcW w:w="2665" w:type="dxa"/>
            <w:vMerge/>
          </w:tcPr>
          <w:p w14:paraId="23468F97" w14:textId="77777777" w:rsidR="00454A29" w:rsidRDefault="00454A29"/>
        </w:tc>
        <w:tc>
          <w:tcPr>
            <w:tcW w:w="1928" w:type="dxa"/>
            <w:vMerge/>
          </w:tcPr>
          <w:p w14:paraId="64FF5C9C" w14:textId="77777777" w:rsidR="00454A29" w:rsidRDefault="00454A29"/>
        </w:tc>
        <w:tc>
          <w:tcPr>
            <w:tcW w:w="1644" w:type="dxa"/>
            <w:vMerge/>
          </w:tcPr>
          <w:p w14:paraId="3390B4D3" w14:textId="77777777" w:rsidR="00454A29" w:rsidRDefault="00454A29"/>
        </w:tc>
        <w:tc>
          <w:tcPr>
            <w:tcW w:w="2041" w:type="dxa"/>
            <w:vMerge/>
          </w:tcPr>
          <w:p w14:paraId="5175C88F" w14:textId="77777777" w:rsidR="00454A29" w:rsidRDefault="00454A29"/>
        </w:tc>
        <w:tc>
          <w:tcPr>
            <w:tcW w:w="2098" w:type="dxa"/>
            <w:vAlign w:val="center"/>
          </w:tcPr>
          <w:p w14:paraId="2E9C01D9" w14:textId="77777777" w:rsidR="00454A29" w:rsidRDefault="00454A29">
            <w:pPr>
              <w:pStyle w:val="ConsPlusNormal"/>
              <w:jc w:val="center"/>
            </w:pPr>
            <w:r>
              <w:t>Местные бюджеты</w:t>
            </w:r>
          </w:p>
        </w:tc>
        <w:tc>
          <w:tcPr>
            <w:tcW w:w="1814" w:type="dxa"/>
            <w:vAlign w:val="center"/>
          </w:tcPr>
          <w:p w14:paraId="31FFAAE3" w14:textId="77777777" w:rsidR="00454A29" w:rsidRDefault="00454A29">
            <w:pPr>
              <w:pStyle w:val="ConsPlusNormal"/>
              <w:jc w:val="center"/>
            </w:pPr>
            <w:r>
              <w:t>0,00</w:t>
            </w:r>
          </w:p>
        </w:tc>
        <w:tc>
          <w:tcPr>
            <w:tcW w:w="1701" w:type="dxa"/>
            <w:vAlign w:val="center"/>
          </w:tcPr>
          <w:p w14:paraId="384BA420" w14:textId="77777777" w:rsidR="00454A29" w:rsidRDefault="00454A29">
            <w:pPr>
              <w:pStyle w:val="ConsPlusNormal"/>
              <w:jc w:val="center"/>
            </w:pPr>
            <w:r>
              <w:t>0,00</w:t>
            </w:r>
          </w:p>
        </w:tc>
        <w:tc>
          <w:tcPr>
            <w:tcW w:w="1701" w:type="dxa"/>
            <w:vAlign w:val="center"/>
          </w:tcPr>
          <w:p w14:paraId="48E43B69" w14:textId="77777777" w:rsidR="00454A29" w:rsidRDefault="00454A29">
            <w:pPr>
              <w:pStyle w:val="ConsPlusNormal"/>
              <w:jc w:val="center"/>
            </w:pPr>
            <w:r>
              <w:t>0,00</w:t>
            </w:r>
          </w:p>
        </w:tc>
        <w:tc>
          <w:tcPr>
            <w:tcW w:w="1701" w:type="dxa"/>
            <w:vAlign w:val="center"/>
          </w:tcPr>
          <w:p w14:paraId="76C81889" w14:textId="77777777" w:rsidR="00454A29" w:rsidRDefault="00454A29">
            <w:pPr>
              <w:pStyle w:val="ConsPlusNormal"/>
              <w:jc w:val="center"/>
            </w:pPr>
            <w:r>
              <w:t>0,00</w:t>
            </w:r>
          </w:p>
        </w:tc>
        <w:tc>
          <w:tcPr>
            <w:tcW w:w="1701" w:type="dxa"/>
            <w:vAlign w:val="center"/>
          </w:tcPr>
          <w:p w14:paraId="75624776" w14:textId="77777777" w:rsidR="00454A29" w:rsidRDefault="00454A29">
            <w:pPr>
              <w:pStyle w:val="ConsPlusNormal"/>
              <w:jc w:val="center"/>
            </w:pPr>
            <w:r>
              <w:t>0,00</w:t>
            </w:r>
          </w:p>
        </w:tc>
        <w:tc>
          <w:tcPr>
            <w:tcW w:w="1701" w:type="dxa"/>
            <w:vAlign w:val="center"/>
          </w:tcPr>
          <w:p w14:paraId="565C7845" w14:textId="77777777" w:rsidR="00454A29" w:rsidRDefault="00454A29">
            <w:pPr>
              <w:pStyle w:val="ConsPlusNormal"/>
              <w:jc w:val="center"/>
            </w:pPr>
            <w:r>
              <w:t>0,00</w:t>
            </w:r>
          </w:p>
        </w:tc>
        <w:tc>
          <w:tcPr>
            <w:tcW w:w="1701" w:type="dxa"/>
            <w:vAlign w:val="center"/>
          </w:tcPr>
          <w:p w14:paraId="347ED964" w14:textId="77777777" w:rsidR="00454A29" w:rsidRDefault="00454A29">
            <w:pPr>
              <w:pStyle w:val="ConsPlusNormal"/>
              <w:jc w:val="center"/>
            </w:pPr>
            <w:r>
              <w:t>0,00</w:t>
            </w:r>
          </w:p>
        </w:tc>
      </w:tr>
      <w:tr w:rsidR="00454A29" w14:paraId="281D6998" w14:textId="77777777">
        <w:tc>
          <w:tcPr>
            <w:tcW w:w="964" w:type="dxa"/>
            <w:vMerge/>
          </w:tcPr>
          <w:p w14:paraId="594E92FA" w14:textId="77777777" w:rsidR="00454A29" w:rsidRDefault="00454A29"/>
        </w:tc>
        <w:tc>
          <w:tcPr>
            <w:tcW w:w="2154" w:type="dxa"/>
            <w:vMerge/>
            <w:tcBorders>
              <w:top w:val="nil"/>
            </w:tcBorders>
          </w:tcPr>
          <w:p w14:paraId="366954BE" w14:textId="77777777" w:rsidR="00454A29" w:rsidRDefault="00454A29"/>
        </w:tc>
        <w:tc>
          <w:tcPr>
            <w:tcW w:w="2154" w:type="dxa"/>
            <w:vMerge/>
            <w:tcBorders>
              <w:top w:val="nil"/>
            </w:tcBorders>
          </w:tcPr>
          <w:p w14:paraId="01E4CCC0" w14:textId="77777777" w:rsidR="00454A29" w:rsidRDefault="00454A29"/>
        </w:tc>
        <w:tc>
          <w:tcPr>
            <w:tcW w:w="2665" w:type="dxa"/>
            <w:vMerge/>
          </w:tcPr>
          <w:p w14:paraId="418F9F6B" w14:textId="77777777" w:rsidR="00454A29" w:rsidRDefault="00454A29"/>
        </w:tc>
        <w:tc>
          <w:tcPr>
            <w:tcW w:w="2665" w:type="dxa"/>
            <w:vMerge/>
          </w:tcPr>
          <w:p w14:paraId="3DE39228" w14:textId="77777777" w:rsidR="00454A29" w:rsidRDefault="00454A29"/>
        </w:tc>
        <w:tc>
          <w:tcPr>
            <w:tcW w:w="1928" w:type="dxa"/>
            <w:vMerge/>
          </w:tcPr>
          <w:p w14:paraId="5E6AE18B" w14:textId="77777777" w:rsidR="00454A29" w:rsidRDefault="00454A29"/>
        </w:tc>
        <w:tc>
          <w:tcPr>
            <w:tcW w:w="1644" w:type="dxa"/>
            <w:vMerge/>
          </w:tcPr>
          <w:p w14:paraId="455B899B" w14:textId="77777777" w:rsidR="00454A29" w:rsidRDefault="00454A29"/>
        </w:tc>
        <w:tc>
          <w:tcPr>
            <w:tcW w:w="2041" w:type="dxa"/>
            <w:vMerge/>
          </w:tcPr>
          <w:p w14:paraId="63BADFAA" w14:textId="77777777" w:rsidR="00454A29" w:rsidRDefault="00454A29"/>
        </w:tc>
        <w:tc>
          <w:tcPr>
            <w:tcW w:w="2098" w:type="dxa"/>
            <w:vAlign w:val="center"/>
          </w:tcPr>
          <w:p w14:paraId="13236D3A" w14:textId="77777777" w:rsidR="00454A29" w:rsidRDefault="00454A29">
            <w:pPr>
              <w:pStyle w:val="ConsPlusNormal"/>
              <w:jc w:val="center"/>
            </w:pPr>
            <w:r>
              <w:t>Внебюджетные средства</w:t>
            </w:r>
          </w:p>
        </w:tc>
        <w:tc>
          <w:tcPr>
            <w:tcW w:w="1814" w:type="dxa"/>
            <w:vAlign w:val="center"/>
          </w:tcPr>
          <w:p w14:paraId="51221632" w14:textId="77777777" w:rsidR="00454A29" w:rsidRDefault="00454A29">
            <w:pPr>
              <w:pStyle w:val="ConsPlusNormal"/>
              <w:jc w:val="center"/>
            </w:pPr>
            <w:r>
              <w:t>0,00</w:t>
            </w:r>
          </w:p>
        </w:tc>
        <w:tc>
          <w:tcPr>
            <w:tcW w:w="1701" w:type="dxa"/>
            <w:vAlign w:val="center"/>
          </w:tcPr>
          <w:p w14:paraId="23BA6AFC" w14:textId="77777777" w:rsidR="00454A29" w:rsidRDefault="00454A29">
            <w:pPr>
              <w:pStyle w:val="ConsPlusNormal"/>
              <w:jc w:val="center"/>
            </w:pPr>
            <w:r>
              <w:t>0,00</w:t>
            </w:r>
          </w:p>
        </w:tc>
        <w:tc>
          <w:tcPr>
            <w:tcW w:w="1701" w:type="dxa"/>
            <w:vAlign w:val="center"/>
          </w:tcPr>
          <w:p w14:paraId="41A711D3" w14:textId="77777777" w:rsidR="00454A29" w:rsidRDefault="00454A29">
            <w:pPr>
              <w:pStyle w:val="ConsPlusNormal"/>
              <w:jc w:val="center"/>
            </w:pPr>
            <w:r>
              <w:t>0,00</w:t>
            </w:r>
          </w:p>
        </w:tc>
        <w:tc>
          <w:tcPr>
            <w:tcW w:w="1701" w:type="dxa"/>
            <w:vAlign w:val="center"/>
          </w:tcPr>
          <w:p w14:paraId="4163A20B" w14:textId="77777777" w:rsidR="00454A29" w:rsidRDefault="00454A29">
            <w:pPr>
              <w:pStyle w:val="ConsPlusNormal"/>
              <w:jc w:val="center"/>
            </w:pPr>
            <w:r>
              <w:t>0,00</w:t>
            </w:r>
          </w:p>
        </w:tc>
        <w:tc>
          <w:tcPr>
            <w:tcW w:w="1701" w:type="dxa"/>
            <w:vAlign w:val="center"/>
          </w:tcPr>
          <w:p w14:paraId="264C6A65" w14:textId="77777777" w:rsidR="00454A29" w:rsidRDefault="00454A29">
            <w:pPr>
              <w:pStyle w:val="ConsPlusNormal"/>
              <w:jc w:val="center"/>
            </w:pPr>
            <w:r>
              <w:t>0,00</w:t>
            </w:r>
          </w:p>
        </w:tc>
        <w:tc>
          <w:tcPr>
            <w:tcW w:w="1701" w:type="dxa"/>
            <w:vAlign w:val="center"/>
          </w:tcPr>
          <w:p w14:paraId="5C9A7BD5" w14:textId="77777777" w:rsidR="00454A29" w:rsidRDefault="00454A29">
            <w:pPr>
              <w:pStyle w:val="ConsPlusNormal"/>
              <w:jc w:val="center"/>
            </w:pPr>
            <w:r>
              <w:t>0,00</w:t>
            </w:r>
          </w:p>
        </w:tc>
        <w:tc>
          <w:tcPr>
            <w:tcW w:w="1701" w:type="dxa"/>
            <w:vAlign w:val="center"/>
          </w:tcPr>
          <w:p w14:paraId="2D8D7DBC" w14:textId="77777777" w:rsidR="00454A29" w:rsidRDefault="00454A29">
            <w:pPr>
              <w:pStyle w:val="ConsPlusNormal"/>
              <w:jc w:val="center"/>
            </w:pPr>
            <w:r>
              <w:t>0,00</w:t>
            </w:r>
          </w:p>
        </w:tc>
      </w:tr>
      <w:tr w:rsidR="00454A29" w14:paraId="4AE6CC28" w14:textId="77777777">
        <w:tc>
          <w:tcPr>
            <w:tcW w:w="964" w:type="dxa"/>
            <w:vMerge w:val="restart"/>
            <w:vAlign w:val="center"/>
          </w:tcPr>
          <w:p w14:paraId="0B68ACF6" w14:textId="77777777" w:rsidR="00454A29" w:rsidRDefault="00454A29">
            <w:pPr>
              <w:pStyle w:val="ConsPlusNormal"/>
              <w:jc w:val="center"/>
            </w:pPr>
            <w:r>
              <w:t>5.</w:t>
            </w:r>
          </w:p>
        </w:tc>
        <w:tc>
          <w:tcPr>
            <w:tcW w:w="2154" w:type="dxa"/>
            <w:vMerge w:val="restart"/>
            <w:tcBorders>
              <w:bottom w:val="nil"/>
            </w:tcBorders>
            <w:vAlign w:val="center"/>
          </w:tcPr>
          <w:p w14:paraId="49C00A72" w14:textId="77777777" w:rsidR="00454A29" w:rsidRDefault="00454A29">
            <w:pPr>
              <w:pStyle w:val="ConsPlusNormal"/>
              <w:jc w:val="center"/>
            </w:pPr>
            <w:r>
              <w:t xml:space="preserve">Подпрограмма 2 "Общее образование: Образование, </w:t>
            </w:r>
            <w:r>
              <w:lastRenderedPageBreak/>
              <w:t>открытое в будущее"</w:t>
            </w:r>
          </w:p>
        </w:tc>
        <w:tc>
          <w:tcPr>
            <w:tcW w:w="2154" w:type="dxa"/>
            <w:vMerge w:val="restart"/>
            <w:tcBorders>
              <w:bottom w:val="nil"/>
            </w:tcBorders>
            <w:vAlign w:val="center"/>
          </w:tcPr>
          <w:p w14:paraId="675D9047" w14:textId="77777777" w:rsidR="00454A29" w:rsidRDefault="00454A29">
            <w:pPr>
              <w:pStyle w:val="ConsPlusNormal"/>
              <w:jc w:val="center"/>
            </w:pPr>
            <w:r>
              <w:lastRenderedPageBreak/>
              <w:t xml:space="preserve">Основное мероприятие 2.6. "Реализация регионального </w:t>
            </w:r>
            <w:r>
              <w:lastRenderedPageBreak/>
              <w:t>проекта "Поддержка семей, имеющих детей"</w:t>
            </w:r>
          </w:p>
        </w:tc>
        <w:tc>
          <w:tcPr>
            <w:tcW w:w="10943" w:type="dxa"/>
            <w:gridSpan w:val="5"/>
            <w:vMerge w:val="restart"/>
            <w:vAlign w:val="center"/>
          </w:tcPr>
          <w:p w14:paraId="0B74DDF8" w14:textId="77777777" w:rsidR="00454A29" w:rsidRDefault="00454A29">
            <w:pPr>
              <w:pStyle w:val="ConsPlusNormal"/>
              <w:jc w:val="center"/>
            </w:pPr>
            <w:r>
              <w:lastRenderedPageBreak/>
              <w:t>ВСЕГО</w:t>
            </w:r>
          </w:p>
        </w:tc>
        <w:tc>
          <w:tcPr>
            <w:tcW w:w="2098" w:type="dxa"/>
            <w:vAlign w:val="center"/>
          </w:tcPr>
          <w:p w14:paraId="1D743555" w14:textId="77777777" w:rsidR="00454A29" w:rsidRDefault="00454A29">
            <w:pPr>
              <w:pStyle w:val="ConsPlusNormal"/>
              <w:jc w:val="center"/>
            </w:pPr>
            <w:r>
              <w:t>Итого</w:t>
            </w:r>
          </w:p>
        </w:tc>
        <w:tc>
          <w:tcPr>
            <w:tcW w:w="1814" w:type="dxa"/>
            <w:vAlign w:val="center"/>
          </w:tcPr>
          <w:p w14:paraId="0E2EC73D" w14:textId="77777777" w:rsidR="00454A29" w:rsidRDefault="00454A29">
            <w:pPr>
              <w:pStyle w:val="ConsPlusNormal"/>
              <w:jc w:val="center"/>
            </w:pPr>
            <w:r>
              <w:t>0,00</w:t>
            </w:r>
          </w:p>
        </w:tc>
        <w:tc>
          <w:tcPr>
            <w:tcW w:w="1701" w:type="dxa"/>
            <w:vAlign w:val="center"/>
          </w:tcPr>
          <w:p w14:paraId="339E1BF8" w14:textId="77777777" w:rsidR="00454A29" w:rsidRDefault="00454A29">
            <w:pPr>
              <w:pStyle w:val="ConsPlusNormal"/>
              <w:jc w:val="center"/>
            </w:pPr>
            <w:r>
              <w:t>0,00</w:t>
            </w:r>
          </w:p>
        </w:tc>
        <w:tc>
          <w:tcPr>
            <w:tcW w:w="1701" w:type="dxa"/>
            <w:vAlign w:val="center"/>
          </w:tcPr>
          <w:p w14:paraId="53A3C465" w14:textId="77777777" w:rsidR="00454A29" w:rsidRDefault="00454A29">
            <w:pPr>
              <w:pStyle w:val="ConsPlusNormal"/>
              <w:jc w:val="center"/>
            </w:pPr>
            <w:r>
              <w:t>0,00</w:t>
            </w:r>
          </w:p>
        </w:tc>
        <w:tc>
          <w:tcPr>
            <w:tcW w:w="1701" w:type="dxa"/>
            <w:vAlign w:val="center"/>
          </w:tcPr>
          <w:p w14:paraId="4CB24596" w14:textId="77777777" w:rsidR="00454A29" w:rsidRDefault="00454A29">
            <w:pPr>
              <w:pStyle w:val="ConsPlusNormal"/>
              <w:jc w:val="center"/>
            </w:pPr>
            <w:r>
              <w:t>0,00</w:t>
            </w:r>
          </w:p>
        </w:tc>
        <w:tc>
          <w:tcPr>
            <w:tcW w:w="1701" w:type="dxa"/>
            <w:vAlign w:val="center"/>
          </w:tcPr>
          <w:p w14:paraId="6E245EBC" w14:textId="77777777" w:rsidR="00454A29" w:rsidRDefault="00454A29">
            <w:pPr>
              <w:pStyle w:val="ConsPlusNormal"/>
              <w:jc w:val="center"/>
            </w:pPr>
            <w:r>
              <w:t>0,00</w:t>
            </w:r>
          </w:p>
        </w:tc>
        <w:tc>
          <w:tcPr>
            <w:tcW w:w="1701" w:type="dxa"/>
            <w:vAlign w:val="center"/>
          </w:tcPr>
          <w:p w14:paraId="04534AEF" w14:textId="77777777" w:rsidR="00454A29" w:rsidRDefault="00454A29">
            <w:pPr>
              <w:pStyle w:val="ConsPlusNormal"/>
              <w:jc w:val="center"/>
            </w:pPr>
            <w:r>
              <w:t>0,00</w:t>
            </w:r>
          </w:p>
        </w:tc>
        <w:tc>
          <w:tcPr>
            <w:tcW w:w="1701" w:type="dxa"/>
            <w:vAlign w:val="center"/>
          </w:tcPr>
          <w:p w14:paraId="0A6E7763" w14:textId="77777777" w:rsidR="00454A29" w:rsidRDefault="00454A29">
            <w:pPr>
              <w:pStyle w:val="ConsPlusNormal"/>
              <w:jc w:val="center"/>
            </w:pPr>
            <w:r>
              <w:t>0,00</w:t>
            </w:r>
          </w:p>
        </w:tc>
      </w:tr>
      <w:tr w:rsidR="00454A29" w14:paraId="07842385" w14:textId="77777777">
        <w:tc>
          <w:tcPr>
            <w:tcW w:w="964" w:type="dxa"/>
            <w:vMerge/>
          </w:tcPr>
          <w:p w14:paraId="13330768" w14:textId="77777777" w:rsidR="00454A29" w:rsidRDefault="00454A29"/>
        </w:tc>
        <w:tc>
          <w:tcPr>
            <w:tcW w:w="2154" w:type="dxa"/>
            <w:vMerge/>
            <w:tcBorders>
              <w:bottom w:val="nil"/>
            </w:tcBorders>
          </w:tcPr>
          <w:p w14:paraId="27AFD156" w14:textId="77777777" w:rsidR="00454A29" w:rsidRDefault="00454A29"/>
        </w:tc>
        <w:tc>
          <w:tcPr>
            <w:tcW w:w="2154" w:type="dxa"/>
            <w:vMerge/>
            <w:tcBorders>
              <w:bottom w:val="nil"/>
            </w:tcBorders>
          </w:tcPr>
          <w:p w14:paraId="1EFE9EB2" w14:textId="77777777" w:rsidR="00454A29" w:rsidRDefault="00454A29"/>
        </w:tc>
        <w:tc>
          <w:tcPr>
            <w:tcW w:w="10943" w:type="dxa"/>
            <w:gridSpan w:val="5"/>
            <w:vMerge/>
          </w:tcPr>
          <w:p w14:paraId="291ACCF6" w14:textId="77777777" w:rsidR="00454A29" w:rsidRDefault="00454A29"/>
        </w:tc>
        <w:tc>
          <w:tcPr>
            <w:tcW w:w="2098" w:type="dxa"/>
            <w:vAlign w:val="center"/>
          </w:tcPr>
          <w:p w14:paraId="0435B8FC"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1C065731" w14:textId="77777777" w:rsidR="00454A29" w:rsidRDefault="00454A29">
            <w:pPr>
              <w:pStyle w:val="ConsPlusNormal"/>
              <w:jc w:val="center"/>
            </w:pPr>
            <w:r>
              <w:t>0,00</w:t>
            </w:r>
          </w:p>
        </w:tc>
        <w:tc>
          <w:tcPr>
            <w:tcW w:w="1701" w:type="dxa"/>
            <w:vAlign w:val="center"/>
          </w:tcPr>
          <w:p w14:paraId="3A4BBCC1" w14:textId="77777777" w:rsidR="00454A29" w:rsidRDefault="00454A29">
            <w:pPr>
              <w:pStyle w:val="ConsPlusNormal"/>
              <w:jc w:val="center"/>
            </w:pPr>
            <w:r>
              <w:t>0,00</w:t>
            </w:r>
          </w:p>
        </w:tc>
        <w:tc>
          <w:tcPr>
            <w:tcW w:w="1701" w:type="dxa"/>
            <w:vAlign w:val="center"/>
          </w:tcPr>
          <w:p w14:paraId="06951CAC" w14:textId="77777777" w:rsidR="00454A29" w:rsidRDefault="00454A29">
            <w:pPr>
              <w:pStyle w:val="ConsPlusNormal"/>
              <w:jc w:val="center"/>
            </w:pPr>
            <w:r>
              <w:t>0,00</w:t>
            </w:r>
          </w:p>
        </w:tc>
        <w:tc>
          <w:tcPr>
            <w:tcW w:w="1701" w:type="dxa"/>
            <w:vAlign w:val="center"/>
          </w:tcPr>
          <w:p w14:paraId="21799CD2" w14:textId="77777777" w:rsidR="00454A29" w:rsidRDefault="00454A29">
            <w:pPr>
              <w:pStyle w:val="ConsPlusNormal"/>
              <w:jc w:val="center"/>
            </w:pPr>
            <w:r>
              <w:t>0,00</w:t>
            </w:r>
          </w:p>
        </w:tc>
        <w:tc>
          <w:tcPr>
            <w:tcW w:w="1701" w:type="dxa"/>
            <w:vAlign w:val="center"/>
          </w:tcPr>
          <w:p w14:paraId="5181EFD1" w14:textId="77777777" w:rsidR="00454A29" w:rsidRDefault="00454A29">
            <w:pPr>
              <w:pStyle w:val="ConsPlusNormal"/>
              <w:jc w:val="center"/>
            </w:pPr>
            <w:r>
              <w:t>0,00</w:t>
            </w:r>
          </w:p>
        </w:tc>
        <w:tc>
          <w:tcPr>
            <w:tcW w:w="1701" w:type="dxa"/>
            <w:vAlign w:val="center"/>
          </w:tcPr>
          <w:p w14:paraId="00DA025E" w14:textId="77777777" w:rsidR="00454A29" w:rsidRDefault="00454A29">
            <w:pPr>
              <w:pStyle w:val="ConsPlusNormal"/>
              <w:jc w:val="center"/>
            </w:pPr>
            <w:r>
              <w:t>0,00</w:t>
            </w:r>
          </w:p>
        </w:tc>
        <w:tc>
          <w:tcPr>
            <w:tcW w:w="1701" w:type="dxa"/>
            <w:vAlign w:val="center"/>
          </w:tcPr>
          <w:p w14:paraId="469970AB" w14:textId="77777777" w:rsidR="00454A29" w:rsidRDefault="00454A29">
            <w:pPr>
              <w:pStyle w:val="ConsPlusNormal"/>
              <w:jc w:val="center"/>
            </w:pPr>
            <w:r>
              <w:t>0,00</w:t>
            </w:r>
          </w:p>
        </w:tc>
      </w:tr>
      <w:tr w:rsidR="00454A29" w14:paraId="6D094F05" w14:textId="77777777">
        <w:tc>
          <w:tcPr>
            <w:tcW w:w="964" w:type="dxa"/>
            <w:vMerge/>
          </w:tcPr>
          <w:p w14:paraId="73536A9F" w14:textId="77777777" w:rsidR="00454A29" w:rsidRDefault="00454A29"/>
        </w:tc>
        <w:tc>
          <w:tcPr>
            <w:tcW w:w="2154" w:type="dxa"/>
            <w:vMerge/>
            <w:tcBorders>
              <w:bottom w:val="nil"/>
            </w:tcBorders>
          </w:tcPr>
          <w:p w14:paraId="622E56A3" w14:textId="77777777" w:rsidR="00454A29" w:rsidRDefault="00454A29"/>
        </w:tc>
        <w:tc>
          <w:tcPr>
            <w:tcW w:w="2154" w:type="dxa"/>
            <w:vMerge/>
            <w:tcBorders>
              <w:bottom w:val="nil"/>
            </w:tcBorders>
          </w:tcPr>
          <w:p w14:paraId="26BE953E" w14:textId="77777777" w:rsidR="00454A29" w:rsidRDefault="00454A29"/>
        </w:tc>
        <w:tc>
          <w:tcPr>
            <w:tcW w:w="10943" w:type="dxa"/>
            <w:gridSpan w:val="5"/>
            <w:vMerge/>
          </w:tcPr>
          <w:p w14:paraId="78701FD2" w14:textId="77777777" w:rsidR="00454A29" w:rsidRDefault="00454A29"/>
        </w:tc>
        <w:tc>
          <w:tcPr>
            <w:tcW w:w="2098" w:type="dxa"/>
            <w:vAlign w:val="center"/>
          </w:tcPr>
          <w:p w14:paraId="0081B341" w14:textId="77777777" w:rsidR="00454A29" w:rsidRDefault="00454A29">
            <w:pPr>
              <w:pStyle w:val="ConsPlusNormal"/>
              <w:jc w:val="center"/>
            </w:pPr>
            <w:r>
              <w:t>Федеральный бюджет</w:t>
            </w:r>
          </w:p>
        </w:tc>
        <w:tc>
          <w:tcPr>
            <w:tcW w:w="1814" w:type="dxa"/>
            <w:vAlign w:val="center"/>
          </w:tcPr>
          <w:p w14:paraId="0AC670C0" w14:textId="77777777" w:rsidR="00454A29" w:rsidRDefault="00454A29">
            <w:pPr>
              <w:pStyle w:val="ConsPlusNormal"/>
              <w:jc w:val="center"/>
            </w:pPr>
            <w:r>
              <w:t>0,00</w:t>
            </w:r>
          </w:p>
        </w:tc>
        <w:tc>
          <w:tcPr>
            <w:tcW w:w="1701" w:type="dxa"/>
            <w:vAlign w:val="center"/>
          </w:tcPr>
          <w:p w14:paraId="79E028B3" w14:textId="77777777" w:rsidR="00454A29" w:rsidRDefault="00454A29">
            <w:pPr>
              <w:pStyle w:val="ConsPlusNormal"/>
              <w:jc w:val="center"/>
            </w:pPr>
            <w:r>
              <w:t>0,00</w:t>
            </w:r>
          </w:p>
        </w:tc>
        <w:tc>
          <w:tcPr>
            <w:tcW w:w="1701" w:type="dxa"/>
            <w:vAlign w:val="center"/>
          </w:tcPr>
          <w:p w14:paraId="27865427" w14:textId="77777777" w:rsidR="00454A29" w:rsidRDefault="00454A29">
            <w:pPr>
              <w:pStyle w:val="ConsPlusNormal"/>
              <w:jc w:val="center"/>
            </w:pPr>
            <w:r>
              <w:t>0,00</w:t>
            </w:r>
          </w:p>
        </w:tc>
        <w:tc>
          <w:tcPr>
            <w:tcW w:w="1701" w:type="dxa"/>
            <w:vAlign w:val="center"/>
          </w:tcPr>
          <w:p w14:paraId="67571470" w14:textId="77777777" w:rsidR="00454A29" w:rsidRDefault="00454A29">
            <w:pPr>
              <w:pStyle w:val="ConsPlusNormal"/>
              <w:jc w:val="center"/>
            </w:pPr>
            <w:r>
              <w:t>0,00</w:t>
            </w:r>
          </w:p>
        </w:tc>
        <w:tc>
          <w:tcPr>
            <w:tcW w:w="1701" w:type="dxa"/>
            <w:vAlign w:val="center"/>
          </w:tcPr>
          <w:p w14:paraId="12B7F657" w14:textId="77777777" w:rsidR="00454A29" w:rsidRDefault="00454A29">
            <w:pPr>
              <w:pStyle w:val="ConsPlusNormal"/>
              <w:jc w:val="center"/>
            </w:pPr>
            <w:r>
              <w:t>0,00</w:t>
            </w:r>
          </w:p>
        </w:tc>
        <w:tc>
          <w:tcPr>
            <w:tcW w:w="1701" w:type="dxa"/>
            <w:vAlign w:val="center"/>
          </w:tcPr>
          <w:p w14:paraId="36721F6E" w14:textId="77777777" w:rsidR="00454A29" w:rsidRDefault="00454A29">
            <w:pPr>
              <w:pStyle w:val="ConsPlusNormal"/>
              <w:jc w:val="center"/>
            </w:pPr>
            <w:r>
              <w:t>0,00</w:t>
            </w:r>
          </w:p>
        </w:tc>
        <w:tc>
          <w:tcPr>
            <w:tcW w:w="1701" w:type="dxa"/>
            <w:vAlign w:val="center"/>
          </w:tcPr>
          <w:p w14:paraId="532C7ECD" w14:textId="77777777" w:rsidR="00454A29" w:rsidRDefault="00454A29">
            <w:pPr>
              <w:pStyle w:val="ConsPlusNormal"/>
              <w:jc w:val="center"/>
            </w:pPr>
            <w:r>
              <w:t>0,00</w:t>
            </w:r>
          </w:p>
        </w:tc>
      </w:tr>
      <w:tr w:rsidR="00454A29" w14:paraId="2488ABA7" w14:textId="77777777">
        <w:tc>
          <w:tcPr>
            <w:tcW w:w="964" w:type="dxa"/>
            <w:vMerge/>
          </w:tcPr>
          <w:p w14:paraId="192956C6" w14:textId="77777777" w:rsidR="00454A29" w:rsidRDefault="00454A29"/>
        </w:tc>
        <w:tc>
          <w:tcPr>
            <w:tcW w:w="2154" w:type="dxa"/>
            <w:vMerge/>
            <w:tcBorders>
              <w:bottom w:val="nil"/>
            </w:tcBorders>
          </w:tcPr>
          <w:p w14:paraId="61F2A964" w14:textId="77777777" w:rsidR="00454A29" w:rsidRDefault="00454A29"/>
        </w:tc>
        <w:tc>
          <w:tcPr>
            <w:tcW w:w="2154" w:type="dxa"/>
            <w:vMerge/>
            <w:tcBorders>
              <w:bottom w:val="nil"/>
            </w:tcBorders>
          </w:tcPr>
          <w:p w14:paraId="35595BC3" w14:textId="77777777" w:rsidR="00454A29" w:rsidRDefault="00454A29"/>
        </w:tc>
        <w:tc>
          <w:tcPr>
            <w:tcW w:w="10943" w:type="dxa"/>
            <w:gridSpan w:val="5"/>
            <w:vMerge/>
          </w:tcPr>
          <w:p w14:paraId="40221A09" w14:textId="77777777" w:rsidR="00454A29" w:rsidRDefault="00454A29"/>
        </w:tc>
        <w:tc>
          <w:tcPr>
            <w:tcW w:w="2098" w:type="dxa"/>
            <w:vAlign w:val="center"/>
          </w:tcPr>
          <w:p w14:paraId="774DAF12" w14:textId="77777777" w:rsidR="00454A29" w:rsidRDefault="00454A29">
            <w:pPr>
              <w:pStyle w:val="ConsPlusNormal"/>
              <w:jc w:val="center"/>
            </w:pPr>
            <w:r>
              <w:t>Местные бюджеты</w:t>
            </w:r>
          </w:p>
        </w:tc>
        <w:tc>
          <w:tcPr>
            <w:tcW w:w="1814" w:type="dxa"/>
            <w:vAlign w:val="center"/>
          </w:tcPr>
          <w:p w14:paraId="7A4243A4" w14:textId="77777777" w:rsidR="00454A29" w:rsidRDefault="00454A29">
            <w:pPr>
              <w:pStyle w:val="ConsPlusNormal"/>
              <w:jc w:val="center"/>
            </w:pPr>
            <w:r>
              <w:t>0,00</w:t>
            </w:r>
          </w:p>
        </w:tc>
        <w:tc>
          <w:tcPr>
            <w:tcW w:w="1701" w:type="dxa"/>
            <w:vAlign w:val="center"/>
          </w:tcPr>
          <w:p w14:paraId="5B29DF64" w14:textId="77777777" w:rsidR="00454A29" w:rsidRDefault="00454A29">
            <w:pPr>
              <w:pStyle w:val="ConsPlusNormal"/>
              <w:jc w:val="center"/>
            </w:pPr>
            <w:r>
              <w:t>0,00</w:t>
            </w:r>
          </w:p>
        </w:tc>
        <w:tc>
          <w:tcPr>
            <w:tcW w:w="1701" w:type="dxa"/>
            <w:vAlign w:val="center"/>
          </w:tcPr>
          <w:p w14:paraId="706BE00F" w14:textId="77777777" w:rsidR="00454A29" w:rsidRDefault="00454A29">
            <w:pPr>
              <w:pStyle w:val="ConsPlusNormal"/>
              <w:jc w:val="center"/>
            </w:pPr>
            <w:r>
              <w:t>0,00</w:t>
            </w:r>
          </w:p>
        </w:tc>
        <w:tc>
          <w:tcPr>
            <w:tcW w:w="1701" w:type="dxa"/>
            <w:vAlign w:val="center"/>
          </w:tcPr>
          <w:p w14:paraId="757F8C64" w14:textId="77777777" w:rsidR="00454A29" w:rsidRDefault="00454A29">
            <w:pPr>
              <w:pStyle w:val="ConsPlusNormal"/>
              <w:jc w:val="center"/>
            </w:pPr>
            <w:r>
              <w:t>0,00</w:t>
            </w:r>
          </w:p>
        </w:tc>
        <w:tc>
          <w:tcPr>
            <w:tcW w:w="1701" w:type="dxa"/>
            <w:vAlign w:val="center"/>
          </w:tcPr>
          <w:p w14:paraId="3939DCBA" w14:textId="77777777" w:rsidR="00454A29" w:rsidRDefault="00454A29">
            <w:pPr>
              <w:pStyle w:val="ConsPlusNormal"/>
              <w:jc w:val="center"/>
            </w:pPr>
            <w:r>
              <w:t>0,00</w:t>
            </w:r>
          </w:p>
        </w:tc>
        <w:tc>
          <w:tcPr>
            <w:tcW w:w="1701" w:type="dxa"/>
            <w:vAlign w:val="center"/>
          </w:tcPr>
          <w:p w14:paraId="7BD5A3E8" w14:textId="77777777" w:rsidR="00454A29" w:rsidRDefault="00454A29">
            <w:pPr>
              <w:pStyle w:val="ConsPlusNormal"/>
              <w:jc w:val="center"/>
            </w:pPr>
            <w:r>
              <w:t>0,00</w:t>
            </w:r>
          </w:p>
        </w:tc>
        <w:tc>
          <w:tcPr>
            <w:tcW w:w="1701" w:type="dxa"/>
            <w:vAlign w:val="center"/>
          </w:tcPr>
          <w:p w14:paraId="4DFE0167" w14:textId="77777777" w:rsidR="00454A29" w:rsidRDefault="00454A29">
            <w:pPr>
              <w:pStyle w:val="ConsPlusNormal"/>
              <w:jc w:val="center"/>
            </w:pPr>
            <w:r>
              <w:t>0,00</w:t>
            </w:r>
          </w:p>
        </w:tc>
      </w:tr>
      <w:tr w:rsidR="00454A29" w14:paraId="21078BA2" w14:textId="77777777">
        <w:tc>
          <w:tcPr>
            <w:tcW w:w="964" w:type="dxa"/>
            <w:vMerge/>
          </w:tcPr>
          <w:p w14:paraId="2A2DFA57" w14:textId="77777777" w:rsidR="00454A29" w:rsidRDefault="00454A29"/>
        </w:tc>
        <w:tc>
          <w:tcPr>
            <w:tcW w:w="2154" w:type="dxa"/>
            <w:vMerge/>
            <w:tcBorders>
              <w:bottom w:val="nil"/>
            </w:tcBorders>
          </w:tcPr>
          <w:p w14:paraId="40E998D2" w14:textId="77777777" w:rsidR="00454A29" w:rsidRDefault="00454A29"/>
        </w:tc>
        <w:tc>
          <w:tcPr>
            <w:tcW w:w="2154" w:type="dxa"/>
            <w:vMerge/>
            <w:tcBorders>
              <w:bottom w:val="nil"/>
            </w:tcBorders>
          </w:tcPr>
          <w:p w14:paraId="5C98997D" w14:textId="77777777" w:rsidR="00454A29" w:rsidRDefault="00454A29"/>
        </w:tc>
        <w:tc>
          <w:tcPr>
            <w:tcW w:w="10943" w:type="dxa"/>
            <w:gridSpan w:val="5"/>
            <w:vMerge/>
          </w:tcPr>
          <w:p w14:paraId="65452B25" w14:textId="77777777" w:rsidR="00454A29" w:rsidRDefault="00454A29"/>
        </w:tc>
        <w:tc>
          <w:tcPr>
            <w:tcW w:w="2098" w:type="dxa"/>
            <w:vAlign w:val="center"/>
          </w:tcPr>
          <w:p w14:paraId="2995295F" w14:textId="77777777" w:rsidR="00454A29" w:rsidRDefault="00454A29">
            <w:pPr>
              <w:pStyle w:val="ConsPlusNormal"/>
              <w:jc w:val="center"/>
            </w:pPr>
            <w:r>
              <w:t>Внебюджетные средства</w:t>
            </w:r>
          </w:p>
        </w:tc>
        <w:tc>
          <w:tcPr>
            <w:tcW w:w="1814" w:type="dxa"/>
            <w:vAlign w:val="center"/>
          </w:tcPr>
          <w:p w14:paraId="5A60EFCF" w14:textId="77777777" w:rsidR="00454A29" w:rsidRDefault="00454A29">
            <w:pPr>
              <w:pStyle w:val="ConsPlusNormal"/>
              <w:jc w:val="center"/>
            </w:pPr>
            <w:r>
              <w:t>0,00</w:t>
            </w:r>
          </w:p>
        </w:tc>
        <w:tc>
          <w:tcPr>
            <w:tcW w:w="1701" w:type="dxa"/>
            <w:vAlign w:val="center"/>
          </w:tcPr>
          <w:p w14:paraId="53DCD148" w14:textId="77777777" w:rsidR="00454A29" w:rsidRDefault="00454A29">
            <w:pPr>
              <w:pStyle w:val="ConsPlusNormal"/>
              <w:jc w:val="center"/>
            </w:pPr>
            <w:r>
              <w:t>0,00</w:t>
            </w:r>
          </w:p>
        </w:tc>
        <w:tc>
          <w:tcPr>
            <w:tcW w:w="1701" w:type="dxa"/>
            <w:vAlign w:val="center"/>
          </w:tcPr>
          <w:p w14:paraId="5955A560" w14:textId="77777777" w:rsidR="00454A29" w:rsidRDefault="00454A29">
            <w:pPr>
              <w:pStyle w:val="ConsPlusNormal"/>
              <w:jc w:val="center"/>
            </w:pPr>
            <w:r>
              <w:t>0,00</w:t>
            </w:r>
          </w:p>
        </w:tc>
        <w:tc>
          <w:tcPr>
            <w:tcW w:w="1701" w:type="dxa"/>
            <w:vAlign w:val="center"/>
          </w:tcPr>
          <w:p w14:paraId="45B63522" w14:textId="77777777" w:rsidR="00454A29" w:rsidRDefault="00454A29">
            <w:pPr>
              <w:pStyle w:val="ConsPlusNormal"/>
              <w:jc w:val="center"/>
            </w:pPr>
            <w:r>
              <w:t>0,00</w:t>
            </w:r>
          </w:p>
        </w:tc>
        <w:tc>
          <w:tcPr>
            <w:tcW w:w="1701" w:type="dxa"/>
            <w:vAlign w:val="center"/>
          </w:tcPr>
          <w:p w14:paraId="7A212A59" w14:textId="77777777" w:rsidR="00454A29" w:rsidRDefault="00454A29">
            <w:pPr>
              <w:pStyle w:val="ConsPlusNormal"/>
              <w:jc w:val="center"/>
            </w:pPr>
            <w:r>
              <w:t>0,00</w:t>
            </w:r>
          </w:p>
        </w:tc>
        <w:tc>
          <w:tcPr>
            <w:tcW w:w="1701" w:type="dxa"/>
            <w:vAlign w:val="center"/>
          </w:tcPr>
          <w:p w14:paraId="65627FBB" w14:textId="77777777" w:rsidR="00454A29" w:rsidRDefault="00454A29">
            <w:pPr>
              <w:pStyle w:val="ConsPlusNormal"/>
              <w:jc w:val="center"/>
            </w:pPr>
            <w:r>
              <w:t>0,00</w:t>
            </w:r>
          </w:p>
        </w:tc>
        <w:tc>
          <w:tcPr>
            <w:tcW w:w="1701" w:type="dxa"/>
            <w:vAlign w:val="center"/>
          </w:tcPr>
          <w:p w14:paraId="0ECB1C40" w14:textId="77777777" w:rsidR="00454A29" w:rsidRDefault="00454A29">
            <w:pPr>
              <w:pStyle w:val="ConsPlusNormal"/>
              <w:jc w:val="center"/>
            </w:pPr>
            <w:r>
              <w:t>0,00</w:t>
            </w:r>
          </w:p>
        </w:tc>
      </w:tr>
      <w:tr w:rsidR="00454A29" w14:paraId="3A161D7E" w14:textId="77777777">
        <w:tc>
          <w:tcPr>
            <w:tcW w:w="964" w:type="dxa"/>
            <w:vMerge w:val="restart"/>
            <w:vAlign w:val="center"/>
          </w:tcPr>
          <w:p w14:paraId="39848B29" w14:textId="77777777" w:rsidR="00454A29" w:rsidRDefault="00454A29">
            <w:pPr>
              <w:pStyle w:val="ConsPlusNormal"/>
              <w:jc w:val="center"/>
            </w:pPr>
            <w:r>
              <w:t>5.1.</w:t>
            </w:r>
          </w:p>
        </w:tc>
        <w:tc>
          <w:tcPr>
            <w:tcW w:w="2154" w:type="dxa"/>
            <w:vMerge w:val="restart"/>
            <w:tcBorders>
              <w:top w:val="nil"/>
              <w:bottom w:val="nil"/>
            </w:tcBorders>
            <w:vAlign w:val="center"/>
          </w:tcPr>
          <w:p w14:paraId="2CDB7E69" w14:textId="77777777" w:rsidR="00454A29" w:rsidRDefault="00454A29">
            <w:pPr>
              <w:pStyle w:val="ConsPlusNormal"/>
            </w:pPr>
          </w:p>
        </w:tc>
        <w:tc>
          <w:tcPr>
            <w:tcW w:w="2154" w:type="dxa"/>
            <w:vMerge w:val="restart"/>
            <w:tcBorders>
              <w:top w:val="nil"/>
              <w:bottom w:val="nil"/>
            </w:tcBorders>
            <w:vAlign w:val="center"/>
          </w:tcPr>
          <w:p w14:paraId="7B8D45CD" w14:textId="77777777" w:rsidR="00454A29" w:rsidRDefault="00454A29">
            <w:pPr>
              <w:pStyle w:val="ConsPlusNormal"/>
            </w:pPr>
          </w:p>
        </w:tc>
        <w:tc>
          <w:tcPr>
            <w:tcW w:w="2665" w:type="dxa"/>
            <w:vMerge w:val="restart"/>
            <w:vAlign w:val="center"/>
          </w:tcPr>
          <w:p w14:paraId="75BBCA7F" w14:textId="77777777" w:rsidR="00454A29" w:rsidRDefault="00454A29">
            <w:pPr>
              <w:pStyle w:val="ConsPlusNormal"/>
              <w:jc w:val="center"/>
            </w:pPr>
            <w:r>
              <w:t>Результат 1. Оказано не менее 8400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 к 2024 году</w:t>
            </w:r>
          </w:p>
        </w:tc>
        <w:tc>
          <w:tcPr>
            <w:tcW w:w="2665" w:type="dxa"/>
            <w:vMerge w:val="restart"/>
            <w:vAlign w:val="center"/>
          </w:tcPr>
          <w:p w14:paraId="4054623F" w14:textId="77777777" w:rsidR="00454A29" w:rsidRDefault="00454A29">
            <w:pPr>
              <w:pStyle w:val="ConsPlusNormal"/>
              <w:jc w:val="center"/>
            </w:pPr>
            <w:r>
              <w:t>Мероприятие 2.6.1.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в свои семьи детей, оставшихся без попечения родителей, в том числе с привлечением НКО</w:t>
            </w:r>
          </w:p>
        </w:tc>
        <w:tc>
          <w:tcPr>
            <w:tcW w:w="1928" w:type="dxa"/>
            <w:vMerge w:val="restart"/>
            <w:vAlign w:val="center"/>
          </w:tcPr>
          <w:p w14:paraId="0049EB53" w14:textId="77777777" w:rsidR="00454A29" w:rsidRDefault="00454A29">
            <w:pPr>
              <w:pStyle w:val="ConsPlusNormal"/>
              <w:jc w:val="center"/>
            </w:pPr>
            <w:r>
              <w:t>-</w:t>
            </w:r>
          </w:p>
        </w:tc>
        <w:tc>
          <w:tcPr>
            <w:tcW w:w="1644" w:type="dxa"/>
            <w:vMerge w:val="restart"/>
            <w:vAlign w:val="center"/>
          </w:tcPr>
          <w:p w14:paraId="2ED579DD" w14:textId="77777777" w:rsidR="00454A29" w:rsidRDefault="00454A29">
            <w:pPr>
              <w:pStyle w:val="ConsPlusNormal"/>
              <w:jc w:val="center"/>
            </w:pPr>
            <w:r>
              <w:t>-</w:t>
            </w:r>
          </w:p>
        </w:tc>
        <w:tc>
          <w:tcPr>
            <w:tcW w:w="2041" w:type="dxa"/>
            <w:vMerge w:val="restart"/>
            <w:vAlign w:val="center"/>
          </w:tcPr>
          <w:p w14:paraId="4EB0DB4B" w14:textId="77777777" w:rsidR="00454A29" w:rsidRDefault="00454A29">
            <w:pPr>
              <w:pStyle w:val="ConsPlusNormal"/>
              <w:jc w:val="center"/>
            </w:pPr>
            <w:r>
              <w:t>-</w:t>
            </w:r>
          </w:p>
        </w:tc>
        <w:tc>
          <w:tcPr>
            <w:tcW w:w="2098" w:type="dxa"/>
            <w:vAlign w:val="center"/>
          </w:tcPr>
          <w:p w14:paraId="71D9A376" w14:textId="77777777" w:rsidR="00454A29" w:rsidRDefault="00454A29">
            <w:pPr>
              <w:pStyle w:val="ConsPlusNormal"/>
              <w:jc w:val="center"/>
            </w:pPr>
            <w:r>
              <w:t>Итого</w:t>
            </w:r>
          </w:p>
        </w:tc>
        <w:tc>
          <w:tcPr>
            <w:tcW w:w="1814" w:type="dxa"/>
            <w:vAlign w:val="center"/>
          </w:tcPr>
          <w:p w14:paraId="4560D031" w14:textId="77777777" w:rsidR="00454A29" w:rsidRDefault="00454A29">
            <w:pPr>
              <w:pStyle w:val="ConsPlusNormal"/>
              <w:jc w:val="center"/>
            </w:pPr>
            <w:r>
              <w:t>0,00</w:t>
            </w:r>
          </w:p>
        </w:tc>
        <w:tc>
          <w:tcPr>
            <w:tcW w:w="1701" w:type="dxa"/>
            <w:vAlign w:val="center"/>
          </w:tcPr>
          <w:p w14:paraId="2E1FB80D" w14:textId="77777777" w:rsidR="00454A29" w:rsidRDefault="00454A29">
            <w:pPr>
              <w:pStyle w:val="ConsPlusNormal"/>
              <w:jc w:val="center"/>
            </w:pPr>
            <w:r>
              <w:t>0,00</w:t>
            </w:r>
          </w:p>
        </w:tc>
        <w:tc>
          <w:tcPr>
            <w:tcW w:w="1701" w:type="dxa"/>
            <w:vAlign w:val="center"/>
          </w:tcPr>
          <w:p w14:paraId="11E492CF" w14:textId="77777777" w:rsidR="00454A29" w:rsidRDefault="00454A29">
            <w:pPr>
              <w:pStyle w:val="ConsPlusNormal"/>
              <w:jc w:val="center"/>
            </w:pPr>
            <w:r>
              <w:t>0,00</w:t>
            </w:r>
          </w:p>
        </w:tc>
        <w:tc>
          <w:tcPr>
            <w:tcW w:w="1701" w:type="dxa"/>
            <w:vAlign w:val="center"/>
          </w:tcPr>
          <w:p w14:paraId="08E0B8A3" w14:textId="77777777" w:rsidR="00454A29" w:rsidRDefault="00454A29">
            <w:pPr>
              <w:pStyle w:val="ConsPlusNormal"/>
              <w:jc w:val="center"/>
            </w:pPr>
            <w:r>
              <w:t>0,00</w:t>
            </w:r>
          </w:p>
        </w:tc>
        <w:tc>
          <w:tcPr>
            <w:tcW w:w="1701" w:type="dxa"/>
            <w:vAlign w:val="center"/>
          </w:tcPr>
          <w:p w14:paraId="301809DA" w14:textId="77777777" w:rsidR="00454A29" w:rsidRDefault="00454A29">
            <w:pPr>
              <w:pStyle w:val="ConsPlusNormal"/>
              <w:jc w:val="center"/>
            </w:pPr>
            <w:r>
              <w:t>0,00</w:t>
            </w:r>
          </w:p>
        </w:tc>
        <w:tc>
          <w:tcPr>
            <w:tcW w:w="1701" w:type="dxa"/>
            <w:vAlign w:val="center"/>
          </w:tcPr>
          <w:p w14:paraId="253EB25C" w14:textId="77777777" w:rsidR="00454A29" w:rsidRDefault="00454A29">
            <w:pPr>
              <w:pStyle w:val="ConsPlusNormal"/>
              <w:jc w:val="center"/>
            </w:pPr>
            <w:r>
              <w:t>0,00</w:t>
            </w:r>
          </w:p>
        </w:tc>
        <w:tc>
          <w:tcPr>
            <w:tcW w:w="1701" w:type="dxa"/>
            <w:vAlign w:val="center"/>
          </w:tcPr>
          <w:p w14:paraId="714D35CE" w14:textId="77777777" w:rsidR="00454A29" w:rsidRDefault="00454A29">
            <w:pPr>
              <w:pStyle w:val="ConsPlusNormal"/>
              <w:jc w:val="center"/>
            </w:pPr>
            <w:r>
              <w:t>0,00</w:t>
            </w:r>
          </w:p>
        </w:tc>
      </w:tr>
      <w:tr w:rsidR="00454A29" w14:paraId="6F147137" w14:textId="77777777">
        <w:tc>
          <w:tcPr>
            <w:tcW w:w="964" w:type="dxa"/>
            <w:vMerge/>
          </w:tcPr>
          <w:p w14:paraId="7D7635C6" w14:textId="77777777" w:rsidR="00454A29" w:rsidRDefault="00454A29"/>
        </w:tc>
        <w:tc>
          <w:tcPr>
            <w:tcW w:w="2154" w:type="dxa"/>
            <w:vMerge/>
            <w:tcBorders>
              <w:top w:val="nil"/>
              <w:bottom w:val="nil"/>
            </w:tcBorders>
          </w:tcPr>
          <w:p w14:paraId="3AF9E650" w14:textId="77777777" w:rsidR="00454A29" w:rsidRDefault="00454A29"/>
        </w:tc>
        <w:tc>
          <w:tcPr>
            <w:tcW w:w="2154" w:type="dxa"/>
            <w:vMerge/>
            <w:tcBorders>
              <w:top w:val="nil"/>
              <w:bottom w:val="nil"/>
            </w:tcBorders>
          </w:tcPr>
          <w:p w14:paraId="20056ECB" w14:textId="77777777" w:rsidR="00454A29" w:rsidRDefault="00454A29"/>
        </w:tc>
        <w:tc>
          <w:tcPr>
            <w:tcW w:w="2665" w:type="dxa"/>
            <w:vMerge/>
          </w:tcPr>
          <w:p w14:paraId="0B783286" w14:textId="77777777" w:rsidR="00454A29" w:rsidRDefault="00454A29"/>
        </w:tc>
        <w:tc>
          <w:tcPr>
            <w:tcW w:w="2665" w:type="dxa"/>
            <w:vMerge/>
          </w:tcPr>
          <w:p w14:paraId="1D36EAD1" w14:textId="77777777" w:rsidR="00454A29" w:rsidRDefault="00454A29"/>
        </w:tc>
        <w:tc>
          <w:tcPr>
            <w:tcW w:w="1928" w:type="dxa"/>
            <w:vMerge/>
          </w:tcPr>
          <w:p w14:paraId="5EDB06E0" w14:textId="77777777" w:rsidR="00454A29" w:rsidRDefault="00454A29"/>
        </w:tc>
        <w:tc>
          <w:tcPr>
            <w:tcW w:w="1644" w:type="dxa"/>
            <w:vMerge/>
          </w:tcPr>
          <w:p w14:paraId="13A3AD00" w14:textId="77777777" w:rsidR="00454A29" w:rsidRDefault="00454A29"/>
        </w:tc>
        <w:tc>
          <w:tcPr>
            <w:tcW w:w="2041" w:type="dxa"/>
            <w:vMerge/>
          </w:tcPr>
          <w:p w14:paraId="09308284" w14:textId="77777777" w:rsidR="00454A29" w:rsidRDefault="00454A29"/>
        </w:tc>
        <w:tc>
          <w:tcPr>
            <w:tcW w:w="2098" w:type="dxa"/>
            <w:vAlign w:val="center"/>
          </w:tcPr>
          <w:p w14:paraId="250BA732"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4B19E734" w14:textId="77777777" w:rsidR="00454A29" w:rsidRDefault="00454A29">
            <w:pPr>
              <w:pStyle w:val="ConsPlusNormal"/>
              <w:jc w:val="center"/>
            </w:pPr>
            <w:r>
              <w:t>0,00</w:t>
            </w:r>
          </w:p>
        </w:tc>
        <w:tc>
          <w:tcPr>
            <w:tcW w:w="1701" w:type="dxa"/>
            <w:vAlign w:val="center"/>
          </w:tcPr>
          <w:p w14:paraId="3BC79F04" w14:textId="77777777" w:rsidR="00454A29" w:rsidRDefault="00454A29">
            <w:pPr>
              <w:pStyle w:val="ConsPlusNormal"/>
              <w:jc w:val="center"/>
            </w:pPr>
            <w:r>
              <w:t>0,00</w:t>
            </w:r>
          </w:p>
        </w:tc>
        <w:tc>
          <w:tcPr>
            <w:tcW w:w="1701" w:type="dxa"/>
            <w:vAlign w:val="center"/>
          </w:tcPr>
          <w:p w14:paraId="742C3038" w14:textId="77777777" w:rsidR="00454A29" w:rsidRDefault="00454A29">
            <w:pPr>
              <w:pStyle w:val="ConsPlusNormal"/>
              <w:jc w:val="center"/>
            </w:pPr>
            <w:r>
              <w:t>0,00</w:t>
            </w:r>
          </w:p>
        </w:tc>
        <w:tc>
          <w:tcPr>
            <w:tcW w:w="1701" w:type="dxa"/>
            <w:vAlign w:val="center"/>
          </w:tcPr>
          <w:p w14:paraId="5E42D764" w14:textId="77777777" w:rsidR="00454A29" w:rsidRDefault="00454A29">
            <w:pPr>
              <w:pStyle w:val="ConsPlusNormal"/>
              <w:jc w:val="center"/>
            </w:pPr>
            <w:r>
              <w:t>0,00</w:t>
            </w:r>
          </w:p>
        </w:tc>
        <w:tc>
          <w:tcPr>
            <w:tcW w:w="1701" w:type="dxa"/>
            <w:vAlign w:val="center"/>
          </w:tcPr>
          <w:p w14:paraId="454E0BB1" w14:textId="77777777" w:rsidR="00454A29" w:rsidRDefault="00454A29">
            <w:pPr>
              <w:pStyle w:val="ConsPlusNormal"/>
              <w:jc w:val="center"/>
            </w:pPr>
            <w:r>
              <w:t>0,00</w:t>
            </w:r>
          </w:p>
        </w:tc>
        <w:tc>
          <w:tcPr>
            <w:tcW w:w="1701" w:type="dxa"/>
            <w:vAlign w:val="center"/>
          </w:tcPr>
          <w:p w14:paraId="5E236283" w14:textId="77777777" w:rsidR="00454A29" w:rsidRDefault="00454A29">
            <w:pPr>
              <w:pStyle w:val="ConsPlusNormal"/>
              <w:jc w:val="center"/>
            </w:pPr>
            <w:r>
              <w:t>0,00</w:t>
            </w:r>
          </w:p>
        </w:tc>
        <w:tc>
          <w:tcPr>
            <w:tcW w:w="1701" w:type="dxa"/>
            <w:vAlign w:val="center"/>
          </w:tcPr>
          <w:p w14:paraId="0E8713EF" w14:textId="77777777" w:rsidR="00454A29" w:rsidRDefault="00454A29">
            <w:pPr>
              <w:pStyle w:val="ConsPlusNormal"/>
              <w:jc w:val="center"/>
            </w:pPr>
            <w:r>
              <w:t>0,00</w:t>
            </w:r>
          </w:p>
        </w:tc>
      </w:tr>
      <w:tr w:rsidR="00454A29" w14:paraId="60F8185B" w14:textId="77777777">
        <w:tc>
          <w:tcPr>
            <w:tcW w:w="964" w:type="dxa"/>
            <w:vMerge/>
          </w:tcPr>
          <w:p w14:paraId="7E48506D" w14:textId="77777777" w:rsidR="00454A29" w:rsidRDefault="00454A29"/>
        </w:tc>
        <w:tc>
          <w:tcPr>
            <w:tcW w:w="2154" w:type="dxa"/>
            <w:vMerge/>
            <w:tcBorders>
              <w:top w:val="nil"/>
              <w:bottom w:val="nil"/>
            </w:tcBorders>
          </w:tcPr>
          <w:p w14:paraId="374252C5" w14:textId="77777777" w:rsidR="00454A29" w:rsidRDefault="00454A29"/>
        </w:tc>
        <w:tc>
          <w:tcPr>
            <w:tcW w:w="2154" w:type="dxa"/>
            <w:vMerge/>
            <w:tcBorders>
              <w:top w:val="nil"/>
              <w:bottom w:val="nil"/>
            </w:tcBorders>
          </w:tcPr>
          <w:p w14:paraId="066E1C12" w14:textId="77777777" w:rsidR="00454A29" w:rsidRDefault="00454A29"/>
        </w:tc>
        <w:tc>
          <w:tcPr>
            <w:tcW w:w="2665" w:type="dxa"/>
            <w:vMerge/>
          </w:tcPr>
          <w:p w14:paraId="4937A379" w14:textId="77777777" w:rsidR="00454A29" w:rsidRDefault="00454A29"/>
        </w:tc>
        <w:tc>
          <w:tcPr>
            <w:tcW w:w="2665" w:type="dxa"/>
            <w:vMerge/>
          </w:tcPr>
          <w:p w14:paraId="768736FD" w14:textId="77777777" w:rsidR="00454A29" w:rsidRDefault="00454A29"/>
        </w:tc>
        <w:tc>
          <w:tcPr>
            <w:tcW w:w="1928" w:type="dxa"/>
            <w:vMerge/>
          </w:tcPr>
          <w:p w14:paraId="3C55868A" w14:textId="77777777" w:rsidR="00454A29" w:rsidRDefault="00454A29"/>
        </w:tc>
        <w:tc>
          <w:tcPr>
            <w:tcW w:w="1644" w:type="dxa"/>
            <w:vMerge/>
          </w:tcPr>
          <w:p w14:paraId="38173513" w14:textId="77777777" w:rsidR="00454A29" w:rsidRDefault="00454A29"/>
        </w:tc>
        <w:tc>
          <w:tcPr>
            <w:tcW w:w="2041" w:type="dxa"/>
            <w:vMerge/>
          </w:tcPr>
          <w:p w14:paraId="6D5BE4AE" w14:textId="77777777" w:rsidR="00454A29" w:rsidRDefault="00454A29"/>
        </w:tc>
        <w:tc>
          <w:tcPr>
            <w:tcW w:w="2098" w:type="dxa"/>
            <w:vAlign w:val="center"/>
          </w:tcPr>
          <w:p w14:paraId="7960CBB0" w14:textId="77777777" w:rsidR="00454A29" w:rsidRDefault="00454A29">
            <w:pPr>
              <w:pStyle w:val="ConsPlusNormal"/>
              <w:jc w:val="center"/>
            </w:pPr>
            <w:r>
              <w:t>Федеральный бюджет</w:t>
            </w:r>
          </w:p>
        </w:tc>
        <w:tc>
          <w:tcPr>
            <w:tcW w:w="1814" w:type="dxa"/>
            <w:vAlign w:val="center"/>
          </w:tcPr>
          <w:p w14:paraId="11730F1C" w14:textId="77777777" w:rsidR="00454A29" w:rsidRDefault="00454A29">
            <w:pPr>
              <w:pStyle w:val="ConsPlusNormal"/>
              <w:jc w:val="center"/>
            </w:pPr>
            <w:r>
              <w:t>0,00</w:t>
            </w:r>
          </w:p>
        </w:tc>
        <w:tc>
          <w:tcPr>
            <w:tcW w:w="1701" w:type="dxa"/>
            <w:vAlign w:val="center"/>
          </w:tcPr>
          <w:p w14:paraId="06175581" w14:textId="77777777" w:rsidR="00454A29" w:rsidRDefault="00454A29">
            <w:pPr>
              <w:pStyle w:val="ConsPlusNormal"/>
              <w:jc w:val="center"/>
            </w:pPr>
            <w:r>
              <w:t>0,00</w:t>
            </w:r>
          </w:p>
        </w:tc>
        <w:tc>
          <w:tcPr>
            <w:tcW w:w="1701" w:type="dxa"/>
            <w:vAlign w:val="center"/>
          </w:tcPr>
          <w:p w14:paraId="4837EF68" w14:textId="77777777" w:rsidR="00454A29" w:rsidRDefault="00454A29">
            <w:pPr>
              <w:pStyle w:val="ConsPlusNormal"/>
              <w:jc w:val="center"/>
            </w:pPr>
            <w:r>
              <w:t>0,00</w:t>
            </w:r>
          </w:p>
        </w:tc>
        <w:tc>
          <w:tcPr>
            <w:tcW w:w="1701" w:type="dxa"/>
            <w:vAlign w:val="center"/>
          </w:tcPr>
          <w:p w14:paraId="24E855CE" w14:textId="77777777" w:rsidR="00454A29" w:rsidRDefault="00454A29">
            <w:pPr>
              <w:pStyle w:val="ConsPlusNormal"/>
              <w:jc w:val="center"/>
            </w:pPr>
            <w:r>
              <w:t>0,00</w:t>
            </w:r>
          </w:p>
        </w:tc>
        <w:tc>
          <w:tcPr>
            <w:tcW w:w="1701" w:type="dxa"/>
            <w:vAlign w:val="center"/>
          </w:tcPr>
          <w:p w14:paraId="00307E55" w14:textId="77777777" w:rsidR="00454A29" w:rsidRDefault="00454A29">
            <w:pPr>
              <w:pStyle w:val="ConsPlusNormal"/>
              <w:jc w:val="center"/>
            </w:pPr>
            <w:r>
              <w:t>0,00</w:t>
            </w:r>
          </w:p>
        </w:tc>
        <w:tc>
          <w:tcPr>
            <w:tcW w:w="1701" w:type="dxa"/>
            <w:vAlign w:val="center"/>
          </w:tcPr>
          <w:p w14:paraId="5F6B22B9" w14:textId="77777777" w:rsidR="00454A29" w:rsidRDefault="00454A29">
            <w:pPr>
              <w:pStyle w:val="ConsPlusNormal"/>
              <w:jc w:val="center"/>
            </w:pPr>
            <w:r>
              <w:t>0,00</w:t>
            </w:r>
          </w:p>
        </w:tc>
        <w:tc>
          <w:tcPr>
            <w:tcW w:w="1701" w:type="dxa"/>
            <w:vAlign w:val="center"/>
          </w:tcPr>
          <w:p w14:paraId="2C1FF49E" w14:textId="77777777" w:rsidR="00454A29" w:rsidRDefault="00454A29">
            <w:pPr>
              <w:pStyle w:val="ConsPlusNormal"/>
              <w:jc w:val="center"/>
            </w:pPr>
            <w:r>
              <w:t>0,00</w:t>
            </w:r>
          </w:p>
        </w:tc>
      </w:tr>
      <w:tr w:rsidR="00454A29" w14:paraId="3BB909F1" w14:textId="77777777">
        <w:tc>
          <w:tcPr>
            <w:tcW w:w="964" w:type="dxa"/>
            <w:vMerge/>
          </w:tcPr>
          <w:p w14:paraId="28CB356D" w14:textId="77777777" w:rsidR="00454A29" w:rsidRDefault="00454A29"/>
        </w:tc>
        <w:tc>
          <w:tcPr>
            <w:tcW w:w="2154" w:type="dxa"/>
            <w:vMerge/>
            <w:tcBorders>
              <w:top w:val="nil"/>
              <w:bottom w:val="nil"/>
            </w:tcBorders>
          </w:tcPr>
          <w:p w14:paraId="16CD4C53" w14:textId="77777777" w:rsidR="00454A29" w:rsidRDefault="00454A29"/>
        </w:tc>
        <w:tc>
          <w:tcPr>
            <w:tcW w:w="2154" w:type="dxa"/>
            <w:vMerge/>
            <w:tcBorders>
              <w:top w:val="nil"/>
              <w:bottom w:val="nil"/>
            </w:tcBorders>
          </w:tcPr>
          <w:p w14:paraId="5CF5C8B1" w14:textId="77777777" w:rsidR="00454A29" w:rsidRDefault="00454A29"/>
        </w:tc>
        <w:tc>
          <w:tcPr>
            <w:tcW w:w="2665" w:type="dxa"/>
            <w:vMerge/>
          </w:tcPr>
          <w:p w14:paraId="5C212583" w14:textId="77777777" w:rsidR="00454A29" w:rsidRDefault="00454A29"/>
        </w:tc>
        <w:tc>
          <w:tcPr>
            <w:tcW w:w="2665" w:type="dxa"/>
            <w:vMerge/>
          </w:tcPr>
          <w:p w14:paraId="7EA8EC0D" w14:textId="77777777" w:rsidR="00454A29" w:rsidRDefault="00454A29"/>
        </w:tc>
        <w:tc>
          <w:tcPr>
            <w:tcW w:w="1928" w:type="dxa"/>
            <w:vMerge/>
          </w:tcPr>
          <w:p w14:paraId="3174AA48" w14:textId="77777777" w:rsidR="00454A29" w:rsidRDefault="00454A29"/>
        </w:tc>
        <w:tc>
          <w:tcPr>
            <w:tcW w:w="1644" w:type="dxa"/>
            <w:vMerge/>
          </w:tcPr>
          <w:p w14:paraId="63B553DC" w14:textId="77777777" w:rsidR="00454A29" w:rsidRDefault="00454A29"/>
        </w:tc>
        <w:tc>
          <w:tcPr>
            <w:tcW w:w="2041" w:type="dxa"/>
            <w:vMerge/>
          </w:tcPr>
          <w:p w14:paraId="3E5F189B" w14:textId="77777777" w:rsidR="00454A29" w:rsidRDefault="00454A29"/>
        </w:tc>
        <w:tc>
          <w:tcPr>
            <w:tcW w:w="2098" w:type="dxa"/>
            <w:vAlign w:val="center"/>
          </w:tcPr>
          <w:p w14:paraId="613FCB8C" w14:textId="77777777" w:rsidR="00454A29" w:rsidRDefault="00454A29">
            <w:pPr>
              <w:pStyle w:val="ConsPlusNormal"/>
              <w:jc w:val="center"/>
            </w:pPr>
            <w:r>
              <w:t>Местные бюджеты</w:t>
            </w:r>
          </w:p>
        </w:tc>
        <w:tc>
          <w:tcPr>
            <w:tcW w:w="1814" w:type="dxa"/>
            <w:vAlign w:val="center"/>
          </w:tcPr>
          <w:p w14:paraId="6770A082" w14:textId="77777777" w:rsidR="00454A29" w:rsidRDefault="00454A29">
            <w:pPr>
              <w:pStyle w:val="ConsPlusNormal"/>
              <w:jc w:val="center"/>
            </w:pPr>
            <w:r>
              <w:t>0,00</w:t>
            </w:r>
          </w:p>
        </w:tc>
        <w:tc>
          <w:tcPr>
            <w:tcW w:w="1701" w:type="dxa"/>
            <w:vAlign w:val="center"/>
          </w:tcPr>
          <w:p w14:paraId="66CA9595" w14:textId="77777777" w:rsidR="00454A29" w:rsidRDefault="00454A29">
            <w:pPr>
              <w:pStyle w:val="ConsPlusNormal"/>
              <w:jc w:val="center"/>
            </w:pPr>
            <w:r>
              <w:t>0,00</w:t>
            </w:r>
          </w:p>
        </w:tc>
        <w:tc>
          <w:tcPr>
            <w:tcW w:w="1701" w:type="dxa"/>
            <w:vAlign w:val="center"/>
          </w:tcPr>
          <w:p w14:paraId="04D966B9" w14:textId="77777777" w:rsidR="00454A29" w:rsidRDefault="00454A29">
            <w:pPr>
              <w:pStyle w:val="ConsPlusNormal"/>
              <w:jc w:val="center"/>
            </w:pPr>
            <w:r>
              <w:t>0,00</w:t>
            </w:r>
          </w:p>
        </w:tc>
        <w:tc>
          <w:tcPr>
            <w:tcW w:w="1701" w:type="dxa"/>
            <w:vAlign w:val="center"/>
          </w:tcPr>
          <w:p w14:paraId="234688C5" w14:textId="77777777" w:rsidR="00454A29" w:rsidRDefault="00454A29">
            <w:pPr>
              <w:pStyle w:val="ConsPlusNormal"/>
              <w:jc w:val="center"/>
            </w:pPr>
            <w:r>
              <w:t>0,00</w:t>
            </w:r>
          </w:p>
        </w:tc>
        <w:tc>
          <w:tcPr>
            <w:tcW w:w="1701" w:type="dxa"/>
            <w:vAlign w:val="center"/>
          </w:tcPr>
          <w:p w14:paraId="63F9C4EE" w14:textId="77777777" w:rsidR="00454A29" w:rsidRDefault="00454A29">
            <w:pPr>
              <w:pStyle w:val="ConsPlusNormal"/>
              <w:jc w:val="center"/>
            </w:pPr>
            <w:r>
              <w:t>0,00</w:t>
            </w:r>
          </w:p>
        </w:tc>
        <w:tc>
          <w:tcPr>
            <w:tcW w:w="1701" w:type="dxa"/>
            <w:vAlign w:val="center"/>
          </w:tcPr>
          <w:p w14:paraId="0004D6BA" w14:textId="77777777" w:rsidR="00454A29" w:rsidRDefault="00454A29">
            <w:pPr>
              <w:pStyle w:val="ConsPlusNormal"/>
              <w:jc w:val="center"/>
            </w:pPr>
            <w:r>
              <w:t>0,00</w:t>
            </w:r>
          </w:p>
        </w:tc>
        <w:tc>
          <w:tcPr>
            <w:tcW w:w="1701" w:type="dxa"/>
            <w:vAlign w:val="center"/>
          </w:tcPr>
          <w:p w14:paraId="54AE3F23" w14:textId="77777777" w:rsidR="00454A29" w:rsidRDefault="00454A29">
            <w:pPr>
              <w:pStyle w:val="ConsPlusNormal"/>
              <w:jc w:val="center"/>
            </w:pPr>
            <w:r>
              <w:t>0,00</w:t>
            </w:r>
          </w:p>
        </w:tc>
      </w:tr>
      <w:tr w:rsidR="00454A29" w14:paraId="34FD0C56" w14:textId="77777777">
        <w:tc>
          <w:tcPr>
            <w:tcW w:w="964" w:type="dxa"/>
            <w:vMerge/>
          </w:tcPr>
          <w:p w14:paraId="44BF3D4A" w14:textId="77777777" w:rsidR="00454A29" w:rsidRDefault="00454A29"/>
        </w:tc>
        <w:tc>
          <w:tcPr>
            <w:tcW w:w="2154" w:type="dxa"/>
            <w:vMerge/>
            <w:tcBorders>
              <w:top w:val="nil"/>
              <w:bottom w:val="nil"/>
            </w:tcBorders>
          </w:tcPr>
          <w:p w14:paraId="779F1872" w14:textId="77777777" w:rsidR="00454A29" w:rsidRDefault="00454A29"/>
        </w:tc>
        <w:tc>
          <w:tcPr>
            <w:tcW w:w="2154" w:type="dxa"/>
            <w:vMerge/>
            <w:tcBorders>
              <w:top w:val="nil"/>
              <w:bottom w:val="nil"/>
            </w:tcBorders>
          </w:tcPr>
          <w:p w14:paraId="2D79C214" w14:textId="77777777" w:rsidR="00454A29" w:rsidRDefault="00454A29"/>
        </w:tc>
        <w:tc>
          <w:tcPr>
            <w:tcW w:w="2665" w:type="dxa"/>
            <w:vMerge/>
          </w:tcPr>
          <w:p w14:paraId="33174C10" w14:textId="77777777" w:rsidR="00454A29" w:rsidRDefault="00454A29"/>
        </w:tc>
        <w:tc>
          <w:tcPr>
            <w:tcW w:w="2665" w:type="dxa"/>
            <w:vMerge/>
          </w:tcPr>
          <w:p w14:paraId="1FCDD0A4" w14:textId="77777777" w:rsidR="00454A29" w:rsidRDefault="00454A29"/>
        </w:tc>
        <w:tc>
          <w:tcPr>
            <w:tcW w:w="1928" w:type="dxa"/>
            <w:vMerge/>
          </w:tcPr>
          <w:p w14:paraId="35C9DA5A" w14:textId="77777777" w:rsidR="00454A29" w:rsidRDefault="00454A29"/>
        </w:tc>
        <w:tc>
          <w:tcPr>
            <w:tcW w:w="1644" w:type="dxa"/>
            <w:vMerge/>
          </w:tcPr>
          <w:p w14:paraId="1BCA8012" w14:textId="77777777" w:rsidR="00454A29" w:rsidRDefault="00454A29"/>
        </w:tc>
        <w:tc>
          <w:tcPr>
            <w:tcW w:w="2041" w:type="dxa"/>
            <w:vMerge/>
          </w:tcPr>
          <w:p w14:paraId="429FF00E" w14:textId="77777777" w:rsidR="00454A29" w:rsidRDefault="00454A29"/>
        </w:tc>
        <w:tc>
          <w:tcPr>
            <w:tcW w:w="2098" w:type="dxa"/>
            <w:vAlign w:val="center"/>
          </w:tcPr>
          <w:p w14:paraId="0CC927CC" w14:textId="77777777" w:rsidR="00454A29" w:rsidRDefault="00454A29">
            <w:pPr>
              <w:pStyle w:val="ConsPlusNormal"/>
              <w:jc w:val="center"/>
            </w:pPr>
            <w:r>
              <w:t>Внебюджетные средства</w:t>
            </w:r>
          </w:p>
        </w:tc>
        <w:tc>
          <w:tcPr>
            <w:tcW w:w="1814" w:type="dxa"/>
            <w:vAlign w:val="center"/>
          </w:tcPr>
          <w:p w14:paraId="1C08875E" w14:textId="77777777" w:rsidR="00454A29" w:rsidRDefault="00454A29">
            <w:pPr>
              <w:pStyle w:val="ConsPlusNormal"/>
              <w:jc w:val="center"/>
            </w:pPr>
            <w:r>
              <w:t>0,00</w:t>
            </w:r>
          </w:p>
        </w:tc>
        <w:tc>
          <w:tcPr>
            <w:tcW w:w="1701" w:type="dxa"/>
            <w:vAlign w:val="center"/>
          </w:tcPr>
          <w:p w14:paraId="0E3DD4DA" w14:textId="77777777" w:rsidR="00454A29" w:rsidRDefault="00454A29">
            <w:pPr>
              <w:pStyle w:val="ConsPlusNormal"/>
              <w:jc w:val="center"/>
            </w:pPr>
            <w:r>
              <w:t>0,00</w:t>
            </w:r>
          </w:p>
        </w:tc>
        <w:tc>
          <w:tcPr>
            <w:tcW w:w="1701" w:type="dxa"/>
            <w:vAlign w:val="center"/>
          </w:tcPr>
          <w:p w14:paraId="751B6F68" w14:textId="77777777" w:rsidR="00454A29" w:rsidRDefault="00454A29">
            <w:pPr>
              <w:pStyle w:val="ConsPlusNormal"/>
              <w:jc w:val="center"/>
            </w:pPr>
            <w:r>
              <w:t>0,00</w:t>
            </w:r>
          </w:p>
        </w:tc>
        <w:tc>
          <w:tcPr>
            <w:tcW w:w="1701" w:type="dxa"/>
            <w:vAlign w:val="center"/>
          </w:tcPr>
          <w:p w14:paraId="388DDC2C" w14:textId="77777777" w:rsidR="00454A29" w:rsidRDefault="00454A29">
            <w:pPr>
              <w:pStyle w:val="ConsPlusNormal"/>
              <w:jc w:val="center"/>
            </w:pPr>
            <w:r>
              <w:t>0,00</w:t>
            </w:r>
          </w:p>
        </w:tc>
        <w:tc>
          <w:tcPr>
            <w:tcW w:w="1701" w:type="dxa"/>
            <w:vAlign w:val="center"/>
          </w:tcPr>
          <w:p w14:paraId="35445356" w14:textId="77777777" w:rsidR="00454A29" w:rsidRDefault="00454A29">
            <w:pPr>
              <w:pStyle w:val="ConsPlusNormal"/>
              <w:jc w:val="center"/>
            </w:pPr>
            <w:r>
              <w:t>0,00</w:t>
            </w:r>
          </w:p>
        </w:tc>
        <w:tc>
          <w:tcPr>
            <w:tcW w:w="1701" w:type="dxa"/>
            <w:vAlign w:val="center"/>
          </w:tcPr>
          <w:p w14:paraId="193DCB6F" w14:textId="77777777" w:rsidR="00454A29" w:rsidRDefault="00454A29">
            <w:pPr>
              <w:pStyle w:val="ConsPlusNormal"/>
              <w:jc w:val="center"/>
            </w:pPr>
            <w:r>
              <w:t>0,00</w:t>
            </w:r>
          </w:p>
        </w:tc>
        <w:tc>
          <w:tcPr>
            <w:tcW w:w="1701" w:type="dxa"/>
            <w:vAlign w:val="center"/>
          </w:tcPr>
          <w:p w14:paraId="72B215D9" w14:textId="77777777" w:rsidR="00454A29" w:rsidRDefault="00454A29">
            <w:pPr>
              <w:pStyle w:val="ConsPlusNormal"/>
              <w:jc w:val="center"/>
            </w:pPr>
            <w:r>
              <w:t>0,00</w:t>
            </w:r>
          </w:p>
        </w:tc>
      </w:tr>
      <w:tr w:rsidR="00454A29" w14:paraId="39EBCE20" w14:textId="77777777">
        <w:tc>
          <w:tcPr>
            <w:tcW w:w="964" w:type="dxa"/>
            <w:vMerge w:val="restart"/>
            <w:vAlign w:val="center"/>
          </w:tcPr>
          <w:p w14:paraId="6ACF054C" w14:textId="77777777" w:rsidR="00454A29" w:rsidRDefault="00454A29">
            <w:pPr>
              <w:pStyle w:val="ConsPlusNormal"/>
              <w:jc w:val="center"/>
            </w:pPr>
            <w:r>
              <w:t>5.2.</w:t>
            </w:r>
          </w:p>
        </w:tc>
        <w:tc>
          <w:tcPr>
            <w:tcW w:w="2154" w:type="dxa"/>
            <w:vMerge w:val="restart"/>
            <w:tcBorders>
              <w:top w:val="nil"/>
            </w:tcBorders>
            <w:vAlign w:val="center"/>
          </w:tcPr>
          <w:p w14:paraId="230B2E72" w14:textId="77777777" w:rsidR="00454A29" w:rsidRDefault="00454A29">
            <w:pPr>
              <w:pStyle w:val="ConsPlusNormal"/>
            </w:pPr>
          </w:p>
        </w:tc>
        <w:tc>
          <w:tcPr>
            <w:tcW w:w="2154" w:type="dxa"/>
            <w:vMerge w:val="restart"/>
            <w:tcBorders>
              <w:top w:val="nil"/>
            </w:tcBorders>
            <w:vAlign w:val="center"/>
          </w:tcPr>
          <w:p w14:paraId="7F018C60" w14:textId="77777777" w:rsidR="00454A29" w:rsidRDefault="00454A29">
            <w:pPr>
              <w:pStyle w:val="ConsPlusNormal"/>
            </w:pPr>
          </w:p>
        </w:tc>
        <w:tc>
          <w:tcPr>
            <w:tcW w:w="2665" w:type="dxa"/>
            <w:vMerge w:val="restart"/>
            <w:vAlign w:val="center"/>
          </w:tcPr>
          <w:p w14:paraId="79732B38" w14:textId="77777777" w:rsidR="00454A29" w:rsidRDefault="00454A29">
            <w:pPr>
              <w:pStyle w:val="ConsPlusNormal"/>
              <w:jc w:val="center"/>
            </w:pPr>
            <w:r>
              <w:t xml:space="preserve">Результат 2. Разработана и внедрена в Республике Саха (Якутия) целевая модель информационно-просветительской поддержки родителей, </w:t>
            </w:r>
            <w:r>
              <w:lastRenderedPageBreak/>
              <w:t>включающая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tc>
        <w:tc>
          <w:tcPr>
            <w:tcW w:w="2665" w:type="dxa"/>
            <w:vMerge w:val="restart"/>
            <w:vAlign w:val="center"/>
          </w:tcPr>
          <w:p w14:paraId="524DF65C" w14:textId="77777777" w:rsidR="00454A29" w:rsidRDefault="00454A29">
            <w:pPr>
              <w:pStyle w:val="ConsPlusNormal"/>
              <w:jc w:val="center"/>
            </w:pPr>
            <w:r>
              <w:lastRenderedPageBreak/>
              <w:t xml:space="preserve">Мероприятие 2.6.2. Разработка и внедрение в Республике Саха (Якутия) целевой модели информационно-просветительской </w:t>
            </w:r>
            <w:r>
              <w:lastRenderedPageBreak/>
              <w:t>поддержки родителей, включающей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tc>
        <w:tc>
          <w:tcPr>
            <w:tcW w:w="1928" w:type="dxa"/>
            <w:vMerge w:val="restart"/>
            <w:vAlign w:val="center"/>
          </w:tcPr>
          <w:p w14:paraId="13F0FA5F" w14:textId="77777777" w:rsidR="00454A29" w:rsidRDefault="00454A29">
            <w:pPr>
              <w:pStyle w:val="ConsPlusNormal"/>
              <w:jc w:val="center"/>
            </w:pPr>
            <w:r>
              <w:lastRenderedPageBreak/>
              <w:t>-</w:t>
            </w:r>
          </w:p>
        </w:tc>
        <w:tc>
          <w:tcPr>
            <w:tcW w:w="1644" w:type="dxa"/>
            <w:vMerge w:val="restart"/>
            <w:vAlign w:val="center"/>
          </w:tcPr>
          <w:p w14:paraId="1EC1C4E9" w14:textId="77777777" w:rsidR="00454A29" w:rsidRDefault="00454A29">
            <w:pPr>
              <w:pStyle w:val="ConsPlusNormal"/>
              <w:jc w:val="center"/>
            </w:pPr>
            <w:r>
              <w:t>-</w:t>
            </w:r>
          </w:p>
        </w:tc>
        <w:tc>
          <w:tcPr>
            <w:tcW w:w="2041" w:type="dxa"/>
            <w:vMerge w:val="restart"/>
            <w:vAlign w:val="center"/>
          </w:tcPr>
          <w:p w14:paraId="0AABF38B" w14:textId="77777777" w:rsidR="00454A29" w:rsidRDefault="00454A29">
            <w:pPr>
              <w:pStyle w:val="ConsPlusNormal"/>
              <w:jc w:val="center"/>
            </w:pPr>
            <w:r>
              <w:t>-</w:t>
            </w:r>
          </w:p>
        </w:tc>
        <w:tc>
          <w:tcPr>
            <w:tcW w:w="2098" w:type="dxa"/>
            <w:vAlign w:val="center"/>
          </w:tcPr>
          <w:p w14:paraId="01AAC742" w14:textId="77777777" w:rsidR="00454A29" w:rsidRDefault="00454A29">
            <w:pPr>
              <w:pStyle w:val="ConsPlusNormal"/>
              <w:jc w:val="center"/>
            </w:pPr>
            <w:r>
              <w:t>Итого</w:t>
            </w:r>
          </w:p>
        </w:tc>
        <w:tc>
          <w:tcPr>
            <w:tcW w:w="1814" w:type="dxa"/>
            <w:vAlign w:val="center"/>
          </w:tcPr>
          <w:p w14:paraId="0FAAE574" w14:textId="77777777" w:rsidR="00454A29" w:rsidRDefault="00454A29">
            <w:pPr>
              <w:pStyle w:val="ConsPlusNormal"/>
              <w:jc w:val="center"/>
            </w:pPr>
            <w:r>
              <w:t>0,00</w:t>
            </w:r>
          </w:p>
        </w:tc>
        <w:tc>
          <w:tcPr>
            <w:tcW w:w="1701" w:type="dxa"/>
            <w:vAlign w:val="center"/>
          </w:tcPr>
          <w:p w14:paraId="2A3148A5" w14:textId="77777777" w:rsidR="00454A29" w:rsidRDefault="00454A29">
            <w:pPr>
              <w:pStyle w:val="ConsPlusNormal"/>
              <w:jc w:val="center"/>
            </w:pPr>
            <w:r>
              <w:t>0,00</w:t>
            </w:r>
          </w:p>
        </w:tc>
        <w:tc>
          <w:tcPr>
            <w:tcW w:w="1701" w:type="dxa"/>
            <w:vAlign w:val="center"/>
          </w:tcPr>
          <w:p w14:paraId="3FBCA095" w14:textId="77777777" w:rsidR="00454A29" w:rsidRDefault="00454A29">
            <w:pPr>
              <w:pStyle w:val="ConsPlusNormal"/>
              <w:jc w:val="center"/>
            </w:pPr>
            <w:r>
              <w:t>0,00</w:t>
            </w:r>
          </w:p>
        </w:tc>
        <w:tc>
          <w:tcPr>
            <w:tcW w:w="1701" w:type="dxa"/>
            <w:vAlign w:val="center"/>
          </w:tcPr>
          <w:p w14:paraId="42694846" w14:textId="77777777" w:rsidR="00454A29" w:rsidRDefault="00454A29">
            <w:pPr>
              <w:pStyle w:val="ConsPlusNormal"/>
              <w:jc w:val="center"/>
            </w:pPr>
            <w:r>
              <w:t>0,00</w:t>
            </w:r>
          </w:p>
        </w:tc>
        <w:tc>
          <w:tcPr>
            <w:tcW w:w="1701" w:type="dxa"/>
            <w:vAlign w:val="center"/>
          </w:tcPr>
          <w:p w14:paraId="5C067E98" w14:textId="77777777" w:rsidR="00454A29" w:rsidRDefault="00454A29">
            <w:pPr>
              <w:pStyle w:val="ConsPlusNormal"/>
              <w:jc w:val="center"/>
            </w:pPr>
            <w:r>
              <w:t>0,00</w:t>
            </w:r>
          </w:p>
        </w:tc>
        <w:tc>
          <w:tcPr>
            <w:tcW w:w="1701" w:type="dxa"/>
            <w:vAlign w:val="center"/>
          </w:tcPr>
          <w:p w14:paraId="00336CE8" w14:textId="77777777" w:rsidR="00454A29" w:rsidRDefault="00454A29">
            <w:pPr>
              <w:pStyle w:val="ConsPlusNormal"/>
              <w:jc w:val="center"/>
            </w:pPr>
            <w:r>
              <w:t>0,00</w:t>
            </w:r>
          </w:p>
        </w:tc>
        <w:tc>
          <w:tcPr>
            <w:tcW w:w="1701" w:type="dxa"/>
            <w:vAlign w:val="center"/>
          </w:tcPr>
          <w:p w14:paraId="4FE5B208" w14:textId="77777777" w:rsidR="00454A29" w:rsidRDefault="00454A29">
            <w:pPr>
              <w:pStyle w:val="ConsPlusNormal"/>
              <w:jc w:val="center"/>
            </w:pPr>
            <w:r>
              <w:t>0,00</w:t>
            </w:r>
          </w:p>
        </w:tc>
      </w:tr>
      <w:tr w:rsidR="00454A29" w14:paraId="449D9091" w14:textId="77777777">
        <w:tc>
          <w:tcPr>
            <w:tcW w:w="964" w:type="dxa"/>
            <w:vMerge/>
          </w:tcPr>
          <w:p w14:paraId="264F7519" w14:textId="77777777" w:rsidR="00454A29" w:rsidRDefault="00454A29"/>
        </w:tc>
        <w:tc>
          <w:tcPr>
            <w:tcW w:w="2154" w:type="dxa"/>
            <w:vMerge/>
            <w:tcBorders>
              <w:top w:val="nil"/>
            </w:tcBorders>
          </w:tcPr>
          <w:p w14:paraId="514C00E5" w14:textId="77777777" w:rsidR="00454A29" w:rsidRDefault="00454A29"/>
        </w:tc>
        <w:tc>
          <w:tcPr>
            <w:tcW w:w="2154" w:type="dxa"/>
            <w:vMerge/>
            <w:tcBorders>
              <w:top w:val="nil"/>
            </w:tcBorders>
          </w:tcPr>
          <w:p w14:paraId="6BCB2F99" w14:textId="77777777" w:rsidR="00454A29" w:rsidRDefault="00454A29"/>
        </w:tc>
        <w:tc>
          <w:tcPr>
            <w:tcW w:w="2665" w:type="dxa"/>
            <w:vMerge/>
          </w:tcPr>
          <w:p w14:paraId="6CEDFBB0" w14:textId="77777777" w:rsidR="00454A29" w:rsidRDefault="00454A29"/>
        </w:tc>
        <w:tc>
          <w:tcPr>
            <w:tcW w:w="2665" w:type="dxa"/>
            <w:vMerge/>
          </w:tcPr>
          <w:p w14:paraId="00DD7991" w14:textId="77777777" w:rsidR="00454A29" w:rsidRDefault="00454A29"/>
        </w:tc>
        <w:tc>
          <w:tcPr>
            <w:tcW w:w="1928" w:type="dxa"/>
            <w:vMerge/>
          </w:tcPr>
          <w:p w14:paraId="4B8D4F12" w14:textId="77777777" w:rsidR="00454A29" w:rsidRDefault="00454A29"/>
        </w:tc>
        <w:tc>
          <w:tcPr>
            <w:tcW w:w="1644" w:type="dxa"/>
            <w:vMerge/>
          </w:tcPr>
          <w:p w14:paraId="071F4381" w14:textId="77777777" w:rsidR="00454A29" w:rsidRDefault="00454A29"/>
        </w:tc>
        <w:tc>
          <w:tcPr>
            <w:tcW w:w="2041" w:type="dxa"/>
            <w:vMerge/>
          </w:tcPr>
          <w:p w14:paraId="556D6243" w14:textId="77777777" w:rsidR="00454A29" w:rsidRDefault="00454A29"/>
        </w:tc>
        <w:tc>
          <w:tcPr>
            <w:tcW w:w="2098" w:type="dxa"/>
            <w:vAlign w:val="center"/>
          </w:tcPr>
          <w:p w14:paraId="605F793B"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49BAC4EB" w14:textId="77777777" w:rsidR="00454A29" w:rsidRDefault="00454A29">
            <w:pPr>
              <w:pStyle w:val="ConsPlusNormal"/>
              <w:jc w:val="center"/>
            </w:pPr>
            <w:r>
              <w:t>0,00</w:t>
            </w:r>
          </w:p>
        </w:tc>
        <w:tc>
          <w:tcPr>
            <w:tcW w:w="1701" w:type="dxa"/>
            <w:vAlign w:val="center"/>
          </w:tcPr>
          <w:p w14:paraId="1D214836" w14:textId="77777777" w:rsidR="00454A29" w:rsidRDefault="00454A29">
            <w:pPr>
              <w:pStyle w:val="ConsPlusNormal"/>
              <w:jc w:val="center"/>
            </w:pPr>
            <w:r>
              <w:t>0,00</w:t>
            </w:r>
          </w:p>
        </w:tc>
        <w:tc>
          <w:tcPr>
            <w:tcW w:w="1701" w:type="dxa"/>
            <w:vAlign w:val="center"/>
          </w:tcPr>
          <w:p w14:paraId="20DBF51E" w14:textId="77777777" w:rsidR="00454A29" w:rsidRDefault="00454A29">
            <w:pPr>
              <w:pStyle w:val="ConsPlusNormal"/>
              <w:jc w:val="center"/>
            </w:pPr>
            <w:r>
              <w:t>0,00</w:t>
            </w:r>
          </w:p>
        </w:tc>
        <w:tc>
          <w:tcPr>
            <w:tcW w:w="1701" w:type="dxa"/>
            <w:vAlign w:val="center"/>
          </w:tcPr>
          <w:p w14:paraId="31574DE6" w14:textId="77777777" w:rsidR="00454A29" w:rsidRDefault="00454A29">
            <w:pPr>
              <w:pStyle w:val="ConsPlusNormal"/>
              <w:jc w:val="center"/>
            </w:pPr>
            <w:r>
              <w:t>0,00</w:t>
            </w:r>
          </w:p>
        </w:tc>
        <w:tc>
          <w:tcPr>
            <w:tcW w:w="1701" w:type="dxa"/>
            <w:vAlign w:val="center"/>
          </w:tcPr>
          <w:p w14:paraId="7D544DC3" w14:textId="77777777" w:rsidR="00454A29" w:rsidRDefault="00454A29">
            <w:pPr>
              <w:pStyle w:val="ConsPlusNormal"/>
              <w:jc w:val="center"/>
            </w:pPr>
            <w:r>
              <w:t>0,00</w:t>
            </w:r>
          </w:p>
        </w:tc>
        <w:tc>
          <w:tcPr>
            <w:tcW w:w="1701" w:type="dxa"/>
            <w:vAlign w:val="center"/>
          </w:tcPr>
          <w:p w14:paraId="2638308C" w14:textId="77777777" w:rsidR="00454A29" w:rsidRDefault="00454A29">
            <w:pPr>
              <w:pStyle w:val="ConsPlusNormal"/>
              <w:jc w:val="center"/>
            </w:pPr>
            <w:r>
              <w:t>0,00</w:t>
            </w:r>
          </w:p>
        </w:tc>
        <w:tc>
          <w:tcPr>
            <w:tcW w:w="1701" w:type="dxa"/>
            <w:vAlign w:val="center"/>
          </w:tcPr>
          <w:p w14:paraId="54AB2454" w14:textId="77777777" w:rsidR="00454A29" w:rsidRDefault="00454A29">
            <w:pPr>
              <w:pStyle w:val="ConsPlusNormal"/>
              <w:jc w:val="center"/>
            </w:pPr>
            <w:r>
              <w:t>0,00</w:t>
            </w:r>
          </w:p>
        </w:tc>
      </w:tr>
      <w:tr w:rsidR="00454A29" w14:paraId="21E8801F" w14:textId="77777777">
        <w:tc>
          <w:tcPr>
            <w:tcW w:w="964" w:type="dxa"/>
            <w:vMerge/>
          </w:tcPr>
          <w:p w14:paraId="6BBFF3A6" w14:textId="77777777" w:rsidR="00454A29" w:rsidRDefault="00454A29"/>
        </w:tc>
        <w:tc>
          <w:tcPr>
            <w:tcW w:w="2154" w:type="dxa"/>
            <w:vMerge/>
            <w:tcBorders>
              <w:top w:val="nil"/>
            </w:tcBorders>
          </w:tcPr>
          <w:p w14:paraId="3DF31380" w14:textId="77777777" w:rsidR="00454A29" w:rsidRDefault="00454A29"/>
        </w:tc>
        <w:tc>
          <w:tcPr>
            <w:tcW w:w="2154" w:type="dxa"/>
            <w:vMerge/>
            <w:tcBorders>
              <w:top w:val="nil"/>
            </w:tcBorders>
          </w:tcPr>
          <w:p w14:paraId="313FFA6E" w14:textId="77777777" w:rsidR="00454A29" w:rsidRDefault="00454A29"/>
        </w:tc>
        <w:tc>
          <w:tcPr>
            <w:tcW w:w="2665" w:type="dxa"/>
            <w:vMerge/>
          </w:tcPr>
          <w:p w14:paraId="7E771B22" w14:textId="77777777" w:rsidR="00454A29" w:rsidRDefault="00454A29"/>
        </w:tc>
        <w:tc>
          <w:tcPr>
            <w:tcW w:w="2665" w:type="dxa"/>
            <w:vMerge/>
          </w:tcPr>
          <w:p w14:paraId="3A58EB00" w14:textId="77777777" w:rsidR="00454A29" w:rsidRDefault="00454A29"/>
        </w:tc>
        <w:tc>
          <w:tcPr>
            <w:tcW w:w="1928" w:type="dxa"/>
            <w:vMerge/>
          </w:tcPr>
          <w:p w14:paraId="003C3E63" w14:textId="77777777" w:rsidR="00454A29" w:rsidRDefault="00454A29"/>
        </w:tc>
        <w:tc>
          <w:tcPr>
            <w:tcW w:w="1644" w:type="dxa"/>
            <w:vMerge/>
          </w:tcPr>
          <w:p w14:paraId="22321836" w14:textId="77777777" w:rsidR="00454A29" w:rsidRDefault="00454A29"/>
        </w:tc>
        <w:tc>
          <w:tcPr>
            <w:tcW w:w="2041" w:type="dxa"/>
            <w:vMerge/>
          </w:tcPr>
          <w:p w14:paraId="76D78497" w14:textId="77777777" w:rsidR="00454A29" w:rsidRDefault="00454A29"/>
        </w:tc>
        <w:tc>
          <w:tcPr>
            <w:tcW w:w="2098" w:type="dxa"/>
            <w:vAlign w:val="center"/>
          </w:tcPr>
          <w:p w14:paraId="45068D31" w14:textId="77777777" w:rsidR="00454A29" w:rsidRDefault="00454A29">
            <w:pPr>
              <w:pStyle w:val="ConsPlusNormal"/>
              <w:jc w:val="center"/>
            </w:pPr>
            <w:r>
              <w:t xml:space="preserve">Федеральный </w:t>
            </w:r>
            <w:r>
              <w:lastRenderedPageBreak/>
              <w:t>бюджет</w:t>
            </w:r>
          </w:p>
        </w:tc>
        <w:tc>
          <w:tcPr>
            <w:tcW w:w="1814" w:type="dxa"/>
            <w:vAlign w:val="center"/>
          </w:tcPr>
          <w:p w14:paraId="27635FDA" w14:textId="77777777" w:rsidR="00454A29" w:rsidRDefault="00454A29">
            <w:pPr>
              <w:pStyle w:val="ConsPlusNormal"/>
              <w:jc w:val="center"/>
            </w:pPr>
            <w:r>
              <w:lastRenderedPageBreak/>
              <w:t>0,00</w:t>
            </w:r>
          </w:p>
        </w:tc>
        <w:tc>
          <w:tcPr>
            <w:tcW w:w="1701" w:type="dxa"/>
            <w:vAlign w:val="center"/>
          </w:tcPr>
          <w:p w14:paraId="2A60F9E0" w14:textId="77777777" w:rsidR="00454A29" w:rsidRDefault="00454A29">
            <w:pPr>
              <w:pStyle w:val="ConsPlusNormal"/>
              <w:jc w:val="center"/>
            </w:pPr>
            <w:r>
              <w:t>0,00</w:t>
            </w:r>
          </w:p>
        </w:tc>
        <w:tc>
          <w:tcPr>
            <w:tcW w:w="1701" w:type="dxa"/>
            <w:vAlign w:val="center"/>
          </w:tcPr>
          <w:p w14:paraId="655ECB62" w14:textId="77777777" w:rsidR="00454A29" w:rsidRDefault="00454A29">
            <w:pPr>
              <w:pStyle w:val="ConsPlusNormal"/>
              <w:jc w:val="center"/>
            </w:pPr>
            <w:r>
              <w:t>0,00</w:t>
            </w:r>
          </w:p>
        </w:tc>
        <w:tc>
          <w:tcPr>
            <w:tcW w:w="1701" w:type="dxa"/>
            <w:vAlign w:val="center"/>
          </w:tcPr>
          <w:p w14:paraId="00AD539C" w14:textId="77777777" w:rsidR="00454A29" w:rsidRDefault="00454A29">
            <w:pPr>
              <w:pStyle w:val="ConsPlusNormal"/>
              <w:jc w:val="center"/>
            </w:pPr>
            <w:r>
              <w:t>0,00</w:t>
            </w:r>
          </w:p>
        </w:tc>
        <w:tc>
          <w:tcPr>
            <w:tcW w:w="1701" w:type="dxa"/>
            <w:vAlign w:val="center"/>
          </w:tcPr>
          <w:p w14:paraId="146D3575" w14:textId="77777777" w:rsidR="00454A29" w:rsidRDefault="00454A29">
            <w:pPr>
              <w:pStyle w:val="ConsPlusNormal"/>
              <w:jc w:val="center"/>
            </w:pPr>
            <w:r>
              <w:t>0,00</w:t>
            </w:r>
          </w:p>
        </w:tc>
        <w:tc>
          <w:tcPr>
            <w:tcW w:w="1701" w:type="dxa"/>
            <w:vAlign w:val="center"/>
          </w:tcPr>
          <w:p w14:paraId="3CA87C4F" w14:textId="77777777" w:rsidR="00454A29" w:rsidRDefault="00454A29">
            <w:pPr>
              <w:pStyle w:val="ConsPlusNormal"/>
              <w:jc w:val="center"/>
            </w:pPr>
            <w:r>
              <w:t>0,00</w:t>
            </w:r>
          </w:p>
        </w:tc>
        <w:tc>
          <w:tcPr>
            <w:tcW w:w="1701" w:type="dxa"/>
            <w:vAlign w:val="center"/>
          </w:tcPr>
          <w:p w14:paraId="26B5A786" w14:textId="77777777" w:rsidR="00454A29" w:rsidRDefault="00454A29">
            <w:pPr>
              <w:pStyle w:val="ConsPlusNormal"/>
              <w:jc w:val="center"/>
            </w:pPr>
            <w:r>
              <w:t>0,00</w:t>
            </w:r>
          </w:p>
        </w:tc>
      </w:tr>
      <w:tr w:rsidR="00454A29" w14:paraId="1212120D" w14:textId="77777777">
        <w:tc>
          <w:tcPr>
            <w:tcW w:w="964" w:type="dxa"/>
            <w:vMerge/>
          </w:tcPr>
          <w:p w14:paraId="6F87E0D4" w14:textId="77777777" w:rsidR="00454A29" w:rsidRDefault="00454A29"/>
        </w:tc>
        <w:tc>
          <w:tcPr>
            <w:tcW w:w="2154" w:type="dxa"/>
            <w:vMerge/>
            <w:tcBorders>
              <w:top w:val="nil"/>
            </w:tcBorders>
          </w:tcPr>
          <w:p w14:paraId="4AC90E5D" w14:textId="77777777" w:rsidR="00454A29" w:rsidRDefault="00454A29"/>
        </w:tc>
        <w:tc>
          <w:tcPr>
            <w:tcW w:w="2154" w:type="dxa"/>
            <w:vMerge/>
            <w:tcBorders>
              <w:top w:val="nil"/>
            </w:tcBorders>
          </w:tcPr>
          <w:p w14:paraId="1E38EE9D" w14:textId="77777777" w:rsidR="00454A29" w:rsidRDefault="00454A29"/>
        </w:tc>
        <w:tc>
          <w:tcPr>
            <w:tcW w:w="2665" w:type="dxa"/>
            <w:vMerge/>
          </w:tcPr>
          <w:p w14:paraId="0926B4EF" w14:textId="77777777" w:rsidR="00454A29" w:rsidRDefault="00454A29"/>
        </w:tc>
        <w:tc>
          <w:tcPr>
            <w:tcW w:w="2665" w:type="dxa"/>
            <w:vMerge/>
          </w:tcPr>
          <w:p w14:paraId="2CF7FBA2" w14:textId="77777777" w:rsidR="00454A29" w:rsidRDefault="00454A29"/>
        </w:tc>
        <w:tc>
          <w:tcPr>
            <w:tcW w:w="1928" w:type="dxa"/>
            <w:vMerge/>
          </w:tcPr>
          <w:p w14:paraId="407D4247" w14:textId="77777777" w:rsidR="00454A29" w:rsidRDefault="00454A29"/>
        </w:tc>
        <w:tc>
          <w:tcPr>
            <w:tcW w:w="1644" w:type="dxa"/>
            <w:vMerge/>
          </w:tcPr>
          <w:p w14:paraId="20648220" w14:textId="77777777" w:rsidR="00454A29" w:rsidRDefault="00454A29"/>
        </w:tc>
        <w:tc>
          <w:tcPr>
            <w:tcW w:w="2041" w:type="dxa"/>
            <w:vMerge/>
          </w:tcPr>
          <w:p w14:paraId="4AE0C16B" w14:textId="77777777" w:rsidR="00454A29" w:rsidRDefault="00454A29"/>
        </w:tc>
        <w:tc>
          <w:tcPr>
            <w:tcW w:w="2098" w:type="dxa"/>
            <w:vAlign w:val="center"/>
          </w:tcPr>
          <w:p w14:paraId="2B68FDC3" w14:textId="77777777" w:rsidR="00454A29" w:rsidRDefault="00454A29">
            <w:pPr>
              <w:pStyle w:val="ConsPlusNormal"/>
              <w:jc w:val="center"/>
            </w:pPr>
            <w:r>
              <w:t>Местные бюджеты</w:t>
            </w:r>
          </w:p>
        </w:tc>
        <w:tc>
          <w:tcPr>
            <w:tcW w:w="1814" w:type="dxa"/>
            <w:vAlign w:val="center"/>
          </w:tcPr>
          <w:p w14:paraId="75DBFE26" w14:textId="77777777" w:rsidR="00454A29" w:rsidRDefault="00454A29">
            <w:pPr>
              <w:pStyle w:val="ConsPlusNormal"/>
              <w:jc w:val="center"/>
            </w:pPr>
            <w:r>
              <w:t>0,00</w:t>
            </w:r>
          </w:p>
        </w:tc>
        <w:tc>
          <w:tcPr>
            <w:tcW w:w="1701" w:type="dxa"/>
            <w:vAlign w:val="center"/>
          </w:tcPr>
          <w:p w14:paraId="13B1EF9E" w14:textId="77777777" w:rsidR="00454A29" w:rsidRDefault="00454A29">
            <w:pPr>
              <w:pStyle w:val="ConsPlusNormal"/>
              <w:jc w:val="center"/>
            </w:pPr>
            <w:r>
              <w:t>0,00</w:t>
            </w:r>
          </w:p>
        </w:tc>
        <w:tc>
          <w:tcPr>
            <w:tcW w:w="1701" w:type="dxa"/>
            <w:vAlign w:val="center"/>
          </w:tcPr>
          <w:p w14:paraId="2C4244F6" w14:textId="77777777" w:rsidR="00454A29" w:rsidRDefault="00454A29">
            <w:pPr>
              <w:pStyle w:val="ConsPlusNormal"/>
              <w:jc w:val="center"/>
            </w:pPr>
            <w:r>
              <w:t>0,00</w:t>
            </w:r>
          </w:p>
        </w:tc>
        <w:tc>
          <w:tcPr>
            <w:tcW w:w="1701" w:type="dxa"/>
            <w:vAlign w:val="center"/>
          </w:tcPr>
          <w:p w14:paraId="055C4C90" w14:textId="77777777" w:rsidR="00454A29" w:rsidRDefault="00454A29">
            <w:pPr>
              <w:pStyle w:val="ConsPlusNormal"/>
              <w:jc w:val="center"/>
            </w:pPr>
            <w:r>
              <w:t>0,00</w:t>
            </w:r>
          </w:p>
        </w:tc>
        <w:tc>
          <w:tcPr>
            <w:tcW w:w="1701" w:type="dxa"/>
            <w:vAlign w:val="center"/>
          </w:tcPr>
          <w:p w14:paraId="40F1F6D2" w14:textId="77777777" w:rsidR="00454A29" w:rsidRDefault="00454A29">
            <w:pPr>
              <w:pStyle w:val="ConsPlusNormal"/>
              <w:jc w:val="center"/>
            </w:pPr>
            <w:r>
              <w:t>0,00</w:t>
            </w:r>
          </w:p>
        </w:tc>
        <w:tc>
          <w:tcPr>
            <w:tcW w:w="1701" w:type="dxa"/>
            <w:vAlign w:val="center"/>
          </w:tcPr>
          <w:p w14:paraId="1D96AD35" w14:textId="77777777" w:rsidR="00454A29" w:rsidRDefault="00454A29">
            <w:pPr>
              <w:pStyle w:val="ConsPlusNormal"/>
              <w:jc w:val="center"/>
            </w:pPr>
            <w:r>
              <w:t>0,00</w:t>
            </w:r>
          </w:p>
        </w:tc>
        <w:tc>
          <w:tcPr>
            <w:tcW w:w="1701" w:type="dxa"/>
            <w:vAlign w:val="center"/>
          </w:tcPr>
          <w:p w14:paraId="387F98B4" w14:textId="77777777" w:rsidR="00454A29" w:rsidRDefault="00454A29">
            <w:pPr>
              <w:pStyle w:val="ConsPlusNormal"/>
              <w:jc w:val="center"/>
            </w:pPr>
            <w:r>
              <w:t>0,00</w:t>
            </w:r>
          </w:p>
        </w:tc>
      </w:tr>
      <w:tr w:rsidR="00454A29" w14:paraId="548067CE" w14:textId="77777777">
        <w:tc>
          <w:tcPr>
            <w:tcW w:w="964" w:type="dxa"/>
            <w:vMerge/>
          </w:tcPr>
          <w:p w14:paraId="5A4B3C56" w14:textId="77777777" w:rsidR="00454A29" w:rsidRDefault="00454A29"/>
        </w:tc>
        <w:tc>
          <w:tcPr>
            <w:tcW w:w="2154" w:type="dxa"/>
            <w:vMerge/>
            <w:tcBorders>
              <w:top w:val="nil"/>
            </w:tcBorders>
          </w:tcPr>
          <w:p w14:paraId="13569140" w14:textId="77777777" w:rsidR="00454A29" w:rsidRDefault="00454A29"/>
        </w:tc>
        <w:tc>
          <w:tcPr>
            <w:tcW w:w="2154" w:type="dxa"/>
            <w:vMerge/>
            <w:tcBorders>
              <w:top w:val="nil"/>
            </w:tcBorders>
          </w:tcPr>
          <w:p w14:paraId="7B0F0E33" w14:textId="77777777" w:rsidR="00454A29" w:rsidRDefault="00454A29"/>
        </w:tc>
        <w:tc>
          <w:tcPr>
            <w:tcW w:w="2665" w:type="dxa"/>
            <w:vMerge/>
          </w:tcPr>
          <w:p w14:paraId="0BA0C573" w14:textId="77777777" w:rsidR="00454A29" w:rsidRDefault="00454A29"/>
        </w:tc>
        <w:tc>
          <w:tcPr>
            <w:tcW w:w="2665" w:type="dxa"/>
            <w:vMerge/>
          </w:tcPr>
          <w:p w14:paraId="31C37743" w14:textId="77777777" w:rsidR="00454A29" w:rsidRDefault="00454A29"/>
        </w:tc>
        <w:tc>
          <w:tcPr>
            <w:tcW w:w="1928" w:type="dxa"/>
            <w:vMerge/>
          </w:tcPr>
          <w:p w14:paraId="32C31ECE" w14:textId="77777777" w:rsidR="00454A29" w:rsidRDefault="00454A29"/>
        </w:tc>
        <w:tc>
          <w:tcPr>
            <w:tcW w:w="1644" w:type="dxa"/>
            <w:vMerge/>
          </w:tcPr>
          <w:p w14:paraId="02819A09" w14:textId="77777777" w:rsidR="00454A29" w:rsidRDefault="00454A29"/>
        </w:tc>
        <w:tc>
          <w:tcPr>
            <w:tcW w:w="2041" w:type="dxa"/>
            <w:vMerge/>
          </w:tcPr>
          <w:p w14:paraId="40FEEC8A" w14:textId="77777777" w:rsidR="00454A29" w:rsidRDefault="00454A29"/>
        </w:tc>
        <w:tc>
          <w:tcPr>
            <w:tcW w:w="2098" w:type="dxa"/>
            <w:vAlign w:val="center"/>
          </w:tcPr>
          <w:p w14:paraId="0EC5367E" w14:textId="77777777" w:rsidR="00454A29" w:rsidRDefault="00454A29">
            <w:pPr>
              <w:pStyle w:val="ConsPlusNormal"/>
              <w:jc w:val="center"/>
            </w:pPr>
            <w:r>
              <w:t>Внебюджетные средства</w:t>
            </w:r>
          </w:p>
        </w:tc>
        <w:tc>
          <w:tcPr>
            <w:tcW w:w="1814" w:type="dxa"/>
            <w:vAlign w:val="center"/>
          </w:tcPr>
          <w:p w14:paraId="3EC82769" w14:textId="77777777" w:rsidR="00454A29" w:rsidRDefault="00454A29">
            <w:pPr>
              <w:pStyle w:val="ConsPlusNormal"/>
              <w:jc w:val="center"/>
            </w:pPr>
            <w:r>
              <w:t>0,00</w:t>
            </w:r>
          </w:p>
        </w:tc>
        <w:tc>
          <w:tcPr>
            <w:tcW w:w="1701" w:type="dxa"/>
            <w:vAlign w:val="center"/>
          </w:tcPr>
          <w:p w14:paraId="1F9CC45C" w14:textId="77777777" w:rsidR="00454A29" w:rsidRDefault="00454A29">
            <w:pPr>
              <w:pStyle w:val="ConsPlusNormal"/>
              <w:jc w:val="center"/>
            </w:pPr>
            <w:r>
              <w:t>0,00</w:t>
            </w:r>
          </w:p>
        </w:tc>
        <w:tc>
          <w:tcPr>
            <w:tcW w:w="1701" w:type="dxa"/>
            <w:vAlign w:val="center"/>
          </w:tcPr>
          <w:p w14:paraId="5C25AF66" w14:textId="77777777" w:rsidR="00454A29" w:rsidRDefault="00454A29">
            <w:pPr>
              <w:pStyle w:val="ConsPlusNormal"/>
              <w:jc w:val="center"/>
            </w:pPr>
            <w:r>
              <w:t>0,00</w:t>
            </w:r>
          </w:p>
        </w:tc>
        <w:tc>
          <w:tcPr>
            <w:tcW w:w="1701" w:type="dxa"/>
            <w:vAlign w:val="center"/>
          </w:tcPr>
          <w:p w14:paraId="2CC6BBD1" w14:textId="77777777" w:rsidR="00454A29" w:rsidRDefault="00454A29">
            <w:pPr>
              <w:pStyle w:val="ConsPlusNormal"/>
              <w:jc w:val="center"/>
            </w:pPr>
            <w:r>
              <w:t>0,00</w:t>
            </w:r>
          </w:p>
        </w:tc>
        <w:tc>
          <w:tcPr>
            <w:tcW w:w="1701" w:type="dxa"/>
            <w:vAlign w:val="center"/>
          </w:tcPr>
          <w:p w14:paraId="5F1FF9A5" w14:textId="77777777" w:rsidR="00454A29" w:rsidRDefault="00454A29">
            <w:pPr>
              <w:pStyle w:val="ConsPlusNormal"/>
              <w:jc w:val="center"/>
            </w:pPr>
            <w:r>
              <w:t>0,00</w:t>
            </w:r>
          </w:p>
        </w:tc>
        <w:tc>
          <w:tcPr>
            <w:tcW w:w="1701" w:type="dxa"/>
            <w:vAlign w:val="center"/>
          </w:tcPr>
          <w:p w14:paraId="68B91C09" w14:textId="77777777" w:rsidR="00454A29" w:rsidRDefault="00454A29">
            <w:pPr>
              <w:pStyle w:val="ConsPlusNormal"/>
              <w:jc w:val="center"/>
            </w:pPr>
            <w:r>
              <w:t>0,00</w:t>
            </w:r>
          </w:p>
        </w:tc>
        <w:tc>
          <w:tcPr>
            <w:tcW w:w="1701" w:type="dxa"/>
            <w:vAlign w:val="center"/>
          </w:tcPr>
          <w:p w14:paraId="20757118" w14:textId="77777777" w:rsidR="00454A29" w:rsidRDefault="00454A29">
            <w:pPr>
              <w:pStyle w:val="ConsPlusNormal"/>
              <w:jc w:val="center"/>
            </w:pPr>
            <w:r>
              <w:t>0,00</w:t>
            </w:r>
          </w:p>
        </w:tc>
      </w:tr>
      <w:tr w:rsidR="00454A29" w14:paraId="71FEC94D" w14:textId="77777777">
        <w:tc>
          <w:tcPr>
            <w:tcW w:w="964" w:type="dxa"/>
            <w:vMerge w:val="restart"/>
            <w:vAlign w:val="center"/>
          </w:tcPr>
          <w:p w14:paraId="5D1B2B9E" w14:textId="77777777" w:rsidR="00454A29" w:rsidRDefault="00454A29">
            <w:pPr>
              <w:pStyle w:val="ConsPlusNormal"/>
              <w:jc w:val="center"/>
            </w:pPr>
            <w:r>
              <w:t>6.</w:t>
            </w:r>
          </w:p>
        </w:tc>
        <w:tc>
          <w:tcPr>
            <w:tcW w:w="2154" w:type="dxa"/>
            <w:vMerge w:val="restart"/>
            <w:tcBorders>
              <w:bottom w:val="nil"/>
            </w:tcBorders>
            <w:vAlign w:val="center"/>
          </w:tcPr>
          <w:p w14:paraId="766527CF" w14:textId="77777777" w:rsidR="00454A29" w:rsidRDefault="00454A29">
            <w:pPr>
              <w:pStyle w:val="ConsPlusNormal"/>
              <w:jc w:val="center"/>
            </w:pPr>
            <w:r>
              <w:t>Подпрограмма 7 "Учительский рост"</w:t>
            </w:r>
          </w:p>
        </w:tc>
        <w:tc>
          <w:tcPr>
            <w:tcW w:w="2154" w:type="dxa"/>
            <w:vMerge w:val="restart"/>
            <w:tcBorders>
              <w:bottom w:val="nil"/>
            </w:tcBorders>
            <w:vAlign w:val="center"/>
          </w:tcPr>
          <w:p w14:paraId="21B5211E" w14:textId="77777777" w:rsidR="00454A29" w:rsidRDefault="00454A29">
            <w:pPr>
              <w:pStyle w:val="ConsPlusNormal"/>
              <w:jc w:val="center"/>
            </w:pPr>
            <w:r>
              <w:t>Основное мероприятие 7.3. "Реализация регионального проекта "Учитель будущего"</w:t>
            </w:r>
          </w:p>
        </w:tc>
        <w:tc>
          <w:tcPr>
            <w:tcW w:w="10943" w:type="dxa"/>
            <w:gridSpan w:val="5"/>
            <w:vMerge w:val="restart"/>
            <w:vAlign w:val="center"/>
          </w:tcPr>
          <w:p w14:paraId="3CC44B8C" w14:textId="77777777" w:rsidR="00454A29" w:rsidRDefault="00454A29">
            <w:pPr>
              <w:pStyle w:val="ConsPlusNormal"/>
              <w:jc w:val="center"/>
            </w:pPr>
            <w:r>
              <w:t>ВСЕГО</w:t>
            </w:r>
          </w:p>
        </w:tc>
        <w:tc>
          <w:tcPr>
            <w:tcW w:w="2098" w:type="dxa"/>
            <w:vAlign w:val="center"/>
          </w:tcPr>
          <w:p w14:paraId="519316EB" w14:textId="77777777" w:rsidR="00454A29" w:rsidRDefault="00454A29">
            <w:pPr>
              <w:pStyle w:val="ConsPlusNormal"/>
              <w:jc w:val="center"/>
            </w:pPr>
            <w:r>
              <w:t>Итого</w:t>
            </w:r>
          </w:p>
        </w:tc>
        <w:tc>
          <w:tcPr>
            <w:tcW w:w="1814" w:type="dxa"/>
            <w:vAlign w:val="center"/>
          </w:tcPr>
          <w:p w14:paraId="12E32624" w14:textId="77777777" w:rsidR="00454A29" w:rsidRDefault="00454A29">
            <w:pPr>
              <w:pStyle w:val="ConsPlusNormal"/>
              <w:jc w:val="center"/>
            </w:pPr>
            <w:r>
              <w:t>0,00</w:t>
            </w:r>
          </w:p>
        </w:tc>
        <w:tc>
          <w:tcPr>
            <w:tcW w:w="1701" w:type="dxa"/>
            <w:vAlign w:val="center"/>
          </w:tcPr>
          <w:p w14:paraId="2F3AF4B7" w14:textId="77777777" w:rsidR="00454A29" w:rsidRDefault="00454A29">
            <w:pPr>
              <w:pStyle w:val="ConsPlusNormal"/>
              <w:jc w:val="center"/>
            </w:pPr>
            <w:r>
              <w:t>0,00</w:t>
            </w:r>
          </w:p>
        </w:tc>
        <w:tc>
          <w:tcPr>
            <w:tcW w:w="1701" w:type="dxa"/>
            <w:vAlign w:val="center"/>
          </w:tcPr>
          <w:p w14:paraId="03CAEED2" w14:textId="77777777" w:rsidR="00454A29" w:rsidRDefault="00454A29">
            <w:pPr>
              <w:pStyle w:val="ConsPlusNormal"/>
              <w:jc w:val="center"/>
            </w:pPr>
            <w:r>
              <w:t>0,00</w:t>
            </w:r>
          </w:p>
        </w:tc>
        <w:tc>
          <w:tcPr>
            <w:tcW w:w="1701" w:type="dxa"/>
            <w:vAlign w:val="center"/>
          </w:tcPr>
          <w:p w14:paraId="1B3895B4" w14:textId="77777777" w:rsidR="00454A29" w:rsidRDefault="00454A29">
            <w:pPr>
              <w:pStyle w:val="ConsPlusNormal"/>
              <w:jc w:val="center"/>
            </w:pPr>
            <w:r>
              <w:t>0,00</w:t>
            </w:r>
          </w:p>
        </w:tc>
        <w:tc>
          <w:tcPr>
            <w:tcW w:w="1701" w:type="dxa"/>
            <w:vAlign w:val="center"/>
          </w:tcPr>
          <w:p w14:paraId="64D3E2B2" w14:textId="77777777" w:rsidR="00454A29" w:rsidRDefault="00454A29">
            <w:pPr>
              <w:pStyle w:val="ConsPlusNormal"/>
              <w:jc w:val="center"/>
            </w:pPr>
            <w:r>
              <w:t>0,00</w:t>
            </w:r>
          </w:p>
        </w:tc>
        <w:tc>
          <w:tcPr>
            <w:tcW w:w="1701" w:type="dxa"/>
            <w:vAlign w:val="center"/>
          </w:tcPr>
          <w:p w14:paraId="2FACAB5E" w14:textId="77777777" w:rsidR="00454A29" w:rsidRDefault="00454A29">
            <w:pPr>
              <w:pStyle w:val="ConsPlusNormal"/>
              <w:jc w:val="center"/>
            </w:pPr>
            <w:r>
              <w:t>0,00</w:t>
            </w:r>
          </w:p>
        </w:tc>
        <w:tc>
          <w:tcPr>
            <w:tcW w:w="1701" w:type="dxa"/>
            <w:vAlign w:val="center"/>
          </w:tcPr>
          <w:p w14:paraId="0E3713C9" w14:textId="77777777" w:rsidR="00454A29" w:rsidRDefault="00454A29">
            <w:pPr>
              <w:pStyle w:val="ConsPlusNormal"/>
              <w:jc w:val="center"/>
            </w:pPr>
            <w:r>
              <w:t>0,00</w:t>
            </w:r>
          </w:p>
        </w:tc>
      </w:tr>
      <w:tr w:rsidR="00454A29" w14:paraId="49E16728" w14:textId="77777777">
        <w:tc>
          <w:tcPr>
            <w:tcW w:w="964" w:type="dxa"/>
            <w:vMerge/>
          </w:tcPr>
          <w:p w14:paraId="567D9385" w14:textId="77777777" w:rsidR="00454A29" w:rsidRDefault="00454A29"/>
        </w:tc>
        <w:tc>
          <w:tcPr>
            <w:tcW w:w="2154" w:type="dxa"/>
            <w:vMerge/>
            <w:tcBorders>
              <w:bottom w:val="nil"/>
            </w:tcBorders>
          </w:tcPr>
          <w:p w14:paraId="2A913B98" w14:textId="77777777" w:rsidR="00454A29" w:rsidRDefault="00454A29"/>
        </w:tc>
        <w:tc>
          <w:tcPr>
            <w:tcW w:w="2154" w:type="dxa"/>
            <w:vMerge/>
            <w:tcBorders>
              <w:bottom w:val="nil"/>
            </w:tcBorders>
          </w:tcPr>
          <w:p w14:paraId="20A80DBD" w14:textId="77777777" w:rsidR="00454A29" w:rsidRDefault="00454A29"/>
        </w:tc>
        <w:tc>
          <w:tcPr>
            <w:tcW w:w="10943" w:type="dxa"/>
            <w:gridSpan w:val="5"/>
            <w:vMerge/>
          </w:tcPr>
          <w:p w14:paraId="6A23C521" w14:textId="77777777" w:rsidR="00454A29" w:rsidRDefault="00454A29"/>
        </w:tc>
        <w:tc>
          <w:tcPr>
            <w:tcW w:w="2098" w:type="dxa"/>
            <w:vAlign w:val="center"/>
          </w:tcPr>
          <w:p w14:paraId="794E690A"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0208D9B" w14:textId="77777777" w:rsidR="00454A29" w:rsidRDefault="00454A29">
            <w:pPr>
              <w:pStyle w:val="ConsPlusNormal"/>
              <w:jc w:val="center"/>
            </w:pPr>
            <w:r>
              <w:t>0,00</w:t>
            </w:r>
          </w:p>
        </w:tc>
        <w:tc>
          <w:tcPr>
            <w:tcW w:w="1701" w:type="dxa"/>
            <w:vAlign w:val="center"/>
          </w:tcPr>
          <w:p w14:paraId="0BE55F95" w14:textId="77777777" w:rsidR="00454A29" w:rsidRDefault="00454A29">
            <w:pPr>
              <w:pStyle w:val="ConsPlusNormal"/>
              <w:jc w:val="center"/>
            </w:pPr>
            <w:r>
              <w:t>0,00</w:t>
            </w:r>
          </w:p>
        </w:tc>
        <w:tc>
          <w:tcPr>
            <w:tcW w:w="1701" w:type="dxa"/>
            <w:vAlign w:val="center"/>
          </w:tcPr>
          <w:p w14:paraId="79909CA9" w14:textId="77777777" w:rsidR="00454A29" w:rsidRDefault="00454A29">
            <w:pPr>
              <w:pStyle w:val="ConsPlusNormal"/>
              <w:jc w:val="center"/>
            </w:pPr>
            <w:r>
              <w:t>0,00</w:t>
            </w:r>
          </w:p>
        </w:tc>
        <w:tc>
          <w:tcPr>
            <w:tcW w:w="1701" w:type="dxa"/>
            <w:vAlign w:val="center"/>
          </w:tcPr>
          <w:p w14:paraId="3BD6EED0" w14:textId="77777777" w:rsidR="00454A29" w:rsidRDefault="00454A29">
            <w:pPr>
              <w:pStyle w:val="ConsPlusNormal"/>
              <w:jc w:val="center"/>
            </w:pPr>
            <w:r>
              <w:t>0,00</w:t>
            </w:r>
          </w:p>
        </w:tc>
        <w:tc>
          <w:tcPr>
            <w:tcW w:w="1701" w:type="dxa"/>
            <w:vAlign w:val="center"/>
          </w:tcPr>
          <w:p w14:paraId="3F947F4C" w14:textId="77777777" w:rsidR="00454A29" w:rsidRDefault="00454A29">
            <w:pPr>
              <w:pStyle w:val="ConsPlusNormal"/>
              <w:jc w:val="center"/>
            </w:pPr>
            <w:r>
              <w:t>0,00</w:t>
            </w:r>
          </w:p>
        </w:tc>
        <w:tc>
          <w:tcPr>
            <w:tcW w:w="1701" w:type="dxa"/>
            <w:vAlign w:val="center"/>
          </w:tcPr>
          <w:p w14:paraId="3EE4695E" w14:textId="77777777" w:rsidR="00454A29" w:rsidRDefault="00454A29">
            <w:pPr>
              <w:pStyle w:val="ConsPlusNormal"/>
              <w:jc w:val="center"/>
            </w:pPr>
            <w:r>
              <w:t>0,00</w:t>
            </w:r>
          </w:p>
        </w:tc>
        <w:tc>
          <w:tcPr>
            <w:tcW w:w="1701" w:type="dxa"/>
            <w:vAlign w:val="center"/>
          </w:tcPr>
          <w:p w14:paraId="5BAAFE0F" w14:textId="77777777" w:rsidR="00454A29" w:rsidRDefault="00454A29">
            <w:pPr>
              <w:pStyle w:val="ConsPlusNormal"/>
              <w:jc w:val="center"/>
            </w:pPr>
            <w:r>
              <w:t>0,00</w:t>
            </w:r>
          </w:p>
        </w:tc>
      </w:tr>
      <w:tr w:rsidR="00454A29" w14:paraId="297642F7" w14:textId="77777777">
        <w:tc>
          <w:tcPr>
            <w:tcW w:w="964" w:type="dxa"/>
            <w:vMerge/>
          </w:tcPr>
          <w:p w14:paraId="673F3DF9" w14:textId="77777777" w:rsidR="00454A29" w:rsidRDefault="00454A29"/>
        </w:tc>
        <w:tc>
          <w:tcPr>
            <w:tcW w:w="2154" w:type="dxa"/>
            <w:vMerge/>
            <w:tcBorders>
              <w:bottom w:val="nil"/>
            </w:tcBorders>
          </w:tcPr>
          <w:p w14:paraId="00396E80" w14:textId="77777777" w:rsidR="00454A29" w:rsidRDefault="00454A29"/>
        </w:tc>
        <w:tc>
          <w:tcPr>
            <w:tcW w:w="2154" w:type="dxa"/>
            <w:vMerge/>
            <w:tcBorders>
              <w:bottom w:val="nil"/>
            </w:tcBorders>
          </w:tcPr>
          <w:p w14:paraId="3650CD56" w14:textId="77777777" w:rsidR="00454A29" w:rsidRDefault="00454A29"/>
        </w:tc>
        <w:tc>
          <w:tcPr>
            <w:tcW w:w="10943" w:type="dxa"/>
            <w:gridSpan w:val="5"/>
            <w:vMerge/>
          </w:tcPr>
          <w:p w14:paraId="54E235DB" w14:textId="77777777" w:rsidR="00454A29" w:rsidRDefault="00454A29"/>
        </w:tc>
        <w:tc>
          <w:tcPr>
            <w:tcW w:w="2098" w:type="dxa"/>
            <w:vAlign w:val="center"/>
          </w:tcPr>
          <w:p w14:paraId="05390414" w14:textId="77777777" w:rsidR="00454A29" w:rsidRDefault="00454A29">
            <w:pPr>
              <w:pStyle w:val="ConsPlusNormal"/>
              <w:jc w:val="center"/>
            </w:pPr>
            <w:r>
              <w:t>Федеральный бюджет</w:t>
            </w:r>
          </w:p>
        </w:tc>
        <w:tc>
          <w:tcPr>
            <w:tcW w:w="1814" w:type="dxa"/>
            <w:vAlign w:val="center"/>
          </w:tcPr>
          <w:p w14:paraId="775E2DDB" w14:textId="77777777" w:rsidR="00454A29" w:rsidRDefault="00454A29">
            <w:pPr>
              <w:pStyle w:val="ConsPlusNormal"/>
              <w:jc w:val="center"/>
            </w:pPr>
            <w:r>
              <w:t>0,00</w:t>
            </w:r>
          </w:p>
        </w:tc>
        <w:tc>
          <w:tcPr>
            <w:tcW w:w="1701" w:type="dxa"/>
            <w:vAlign w:val="center"/>
          </w:tcPr>
          <w:p w14:paraId="73122C68" w14:textId="77777777" w:rsidR="00454A29" w:rsidRDefault="00454A29">
            <w:pPr>
              <w:pStyle w:val="ConsPlusNormal"/>
              <w:jc w:val="center"/>
            </w:pPr>
            <w:r>
              <w:t>0,00</w:t>
            </w:r>
          </w:p>
        </w:tc>
        <w:tc>
          <w:tcPr>
            <w:tcW w:w="1701" w:type="dxa"/>
            <w:vAlign w:val="center"/>
          </w:tcPr>
          <w:p w14:paraId="1B3E89BE" w14:textId="77777777" w:rsidR="00454A29" w:rsidRDefault="00454A29">
            <w:pPr>
              <w:pStyle w:val="ConsPlusNormal"/>
              <w:jc w:val="center"/>
            </w:pPr>
            <w:r>
              <w:t>0,00</w:t>
            </w:r>
          </w:p>
        </w:tc>
        <w:tc>
          <w:tcPr>
            <w:tcW w:w="1701" w:type="dxa"/>
            <w:vAlign w:val="center"/>
          </w:tcPr>
          <w:p w14:paraId="49371085" w14:textId="77777777" w:rsidR="00454A29" w:rsidRDefault="00454A29">
            <w:pPr>
              <w:pStyle w:val="ConsPlusNormal"/>
              <w:jc w:val="center"/>
            </w:pPr>
            <w:r>
              <w:t>0,00</w:t>
            </w:r>
          </w:p>
        </w:tc>
        <w:tc>
          <w:tcPr>
            <w:tcW w:w="1701" w:type="dxa"/>
            <w:vAlign w:val="center"/>
          </w:tcPr>
          <w:p w14:paraId="608197A1" w14:textId="77777777" w:rsidR="00454A29" w:rsidRDefault="00454A29">
            <w:pPr>
              <w:pStyle w:val="ConsPlusNormal"/>
              <w:jc w:val="center"/>
            </w:pPr>
            <w:r>
              <w:t>0,00</w:t>
            </w:r>
          </w:p>
        </w:tc>
        <w:tc>
          <w:tcPr>
            <w:tcW w:w="1701" w:type="dxa"/>
            <w:vAlign w:val="center"/>
          </w:tcPr>
          <w:p w14:paraId="66A2E91B" w14:textId="77777777" w:rsidR="00454A29" w:rsidRDefault="00454A29">
            <w:pPr>
              <w:pStyle w:val="ConsPlusNormal"/>
              <w:jc w:val="center"/>
            </w:pPr>
            <w:r>
              <w:t>0,00</w:t>
            </w:r>
          </w:p>
        </w:tc>
        <w:tc>
          <w:tcPr>
            <w:tcW w:w="1701" w:type="dxa"/>
            <w:vAlign w:val="center"/>
          </w:tcPr>
          <w:p w14:paraId="12D5A70C" w14:textId="77777777" w:rsidR="00454A29" w:rsidRDefault="00454A29">
            <w:pPr>
              <w:pStyle w:val="ConsPlusNormal"/>
              <w:jc w:val="center"/>
            </w:pPr>
            <w:r>
              <w:t>0,00</w:t>
            </w:r>
          </w:p>
        </w:tc>
      </w:tr>
      <w:tr w:rsidR="00454A29" w14:paraId="489B8BB9" w14:textId="77777777">
        <w:tc>
          <w:tcPr>
            <w:tcW w:w="964" w:type="dxa"/>
            <w:vMerge/>
          </w:tcPr>
          <w:p w14:paraId="38F3BBC6" w14:textId="77777777" w:rsidR="00454A29" w:rsidRDefault="00454A29"/>
        </w:tc>
        <w:tc>
          <w:tcPr>
            <w:tcW w:w="2154" w:type="dxa"/>
            <w:vMerge/>
            <w:tcBorders>
              <w:bottom w:val="nil"/>
            </w:tcBorders>
          </w:tcPr>
          <w:p w14:paraId="79775DB0" w14:textId="77777777" w:rsidR="00454A29" w:rsidRDefault="00454A29"/>
        </w:tc>
        <w:tc>
          <w:tcPr>
            <w:tcW w:w="2154" w:type="dxa"/>
            <w:vMerge/>
            <w:tcBorders>
              <w:bottom w:val="nil"/>
            </w:tcBorders>
          </w:tcPr>
          <w:p w14:paraId="73522311" w14:textId="77777777" w:rsidR="00454A29" w:rsidRDefault="00454A29"/>
        </w:tc>
        <w:tc>
          <w:tcPr>
            <w:tcW w:w="10943" w:type="dxa"/>
            <w:gridSpan w:val="5"/>
            <w:vMerge/>
          </w:tcPr>
          <w:p w14:paraId="31184660" w14:textId="77777777" w:rsidR="00454A29" w:rsidRDefault="00454A29"/>
        </w:tc>
        <w:tc>
          <w:tcPr>
            <w:tcW w:w="2098" w:type="dxa"/>
            <w:vAlign w:val="center"/>
          </w:tcPr>
          <w:p w14:paraId="0B50ACD1" w14:textId="77777777" w:rsidR="00454A29" w:rsidRDefault="00454A29">
            <w:pPr>
              <w:pStyle w:val="ConsPlusNormal"/>
              <w:jc w:val="center"/>
            </w:pPr>
            <w:r>
              <w:t>Местные бюджеты</w:t>
            </w:r>
          </w:p>
        </w:tc>
        <w:tc>
          <w:tcPr>
            <w:tcW w:w="1814" w:type="dxa"/>
            <w:vAlign w:val="center"/>
          </w:tcPr>
          <w:p w14:paraId="31027C88" w14:textId="77777777" w:rsidR="00454A29" w:rsidRDefault="00454A29">
            <w:pPr>
              <w:pStyle w:val="ConsPlusNormal"/>
              <w:jc w:val="center"/>
            </w:pPr>
            <w:r>
              <w:t>0,00</w:t>
            </w:r>
          </w:p>
        </w:tc>
        <w:tc>
          <w:tcPr>
            <w:tcW w:w="1701" w:type="dxa"/>
            <w:vAlign w:val="center"/>
          </w:tcPr>
          <w:p w14:paraId="4770467F" w14:textId="77777777" w:rsidR="00454A29" w:rsidRDefault="00454A29">
            <w:pPr>
              <w:pStyle w:val="ConsPlusNormal"/>
              <w:jc w:val="center"/>
            </w:pPr>
            <w:r>
              <w:t>0,00</w:t>
            </w:r>
          </w:p>
        </w:tc>
        <w:tc>
          <w:tcPr>
            <w:tcW w:w="1701" w:type="dxa"/>
            <w:vAlign w:val="center"/>
          </w:tcPr>
          <w:p w14:paraId="394D4EDA" w14:textId="77777777" w:rsidR="00454A29" w:rsidRDefault="00454A29">
            <w:pPr>
              <w:pStyle w:val="ConsPlusNormal"/>
              <w:jc w:val="center"/>
            </w:pPr>
            <w:r>
              <w:t>0,00</w:t>
            </w:r>
          </w:p>
        </w:tc>
        <w:tc>
          <w:tcPr>
            <w:tcW w:w="1701" w:type="dxa"/>
            <w:vAlign w:val="center"/>
          </w:tcPr>
          <w:p w14:paraId="65D6DD6E" w14:textId="77777777" w:rsidR="00454A29" w:rsidRDefault="00454A29">
            <w:pPr>
              <w:pStyle w:val="ConsPlusNormal"/>
              <w:jc w:val="center"/>
            </w:pPr>
            <w:r>
              <w:t>0,00</w:t>
            </w:r>
          </w:p>
        </w:tc>
        <w:tc>
          <w:tcPr>
            <w:tcW w:w="1701" w:type="dxa"/>
            <w:vAlign w:val="center"/>
          </w:tcPr>
          <w:p w14:paraId="7EF9B5CD" w14:textId="77777777" w:rsidR="00454A29" w:rsidRDefault="00454A29">
            <w:pPr>
              <w:pStyle w:val="ConsPlusNormal"/>
              <w:jc w:val="center"/>
            </w:pPr>
            <w:r>
              <w:t>0,00</w:t>
            </w:r>
          </w:p>
        </w:tc>
        <w:tc>
          <w:tcPr>
            <w:tcW w:w="1701" w:type="dxa"/>
            <w:vAlign w:val="center"/>
          </w:tcPr>
          <w:p w14:paraId="4CC06871" w14:textId="77777777" w:rsidR="00454A29" w:rsidRDefault="00454A29">
            <w:pPr>
              <w:pStyle w:val="ConsPlusNormal"/>
              <w:jc w:val="center"/>
            </w:pPr>
            <w:r>
              <w:t>0,00</w:t>
            </w:r>
          </w:p>
        </w:tc>
        <w:tc>
          <w:tcPr>
            <w:tcW w:w="1701" w:type="dxa"/>
            <w:vAlign w:val="center"/>
          </w:tcPr>
          <w:p w14:paraId="0C739158" w14:textId="77777777" w:rsidR="00454A29" w:rsidRDefault="00454A29">
            <w:pPr>
              <w:pStyle w:val="ConsPlusNormal"/>
              <w:jc w:val="center"/>
            </w:pPr>
            <w:r>
              <w:t>0,00</w:t>
            </w:r>
          </w:p>
        </w:tc>
      </w:tr>
      <w:tr w:rsidR="00454A29" w14:paraId="1187A141" w14:textId="77777777">
        <w:tc>
          <w:tcPr>
            <w:tcW w:w="964" w:type="dxa"/>
            <w:vMerge/>
          </w:tcPr>
          <w:p w14:paraId="124C1F3D" w14:textId="77777777" w:rsidR="00454A29" w:rsidRDefault="00454A29"/>
        </w:tc>
        <w:tc>
          <w:tcPr>
            <w:tcW w:w="2154" w:type="dxa"/>
            <w:vMerge/>
            <w:tcBorders>
              <w:bottom w:val="nil"/>
            </w:tcBorders>
          </w:tcPr>
          <w:p w14:paraId="0D571146" w14:textId="77777777" w:rsidR="00454A29" w:rsidRDefault="00454A29"/>
        </w:tc>
        <w:tc>
          <w:tcPr>
            <w:tcW w:w="2154" w:type="dxa"/>
            <w:vMerge/>
            <w:tcBorders>
              <w:bottom w:val="nil"/>
            </w:tcBorders>
          </w:tcPr>
          <w:p w14:paraId="603E610D" w14:textId="77777777" w:rsidR="00454A29" w:rsidRDefault="00454A29"/>
        </w:tc>
        <w:tc>
          <w:tcPr>
            <w:tcW w:w="10943" w:type="dxa"/>
            <w:gridSpan w:val="5"/>
            <w:vMerge/>
          </w:tcPr>
          <w:p w14:paraId="541E1985" w14:textId="77777777" w:rsidR="00454A29" w:rsidRDefault="00454A29"/>
        </w:tc>
        <w:tc>
          <w:tcPr>
            <w:tcW w:w="2098" w:type="dxa"/>
            <w:vAlign w:val="center"/>
          </w:tcPr>
          <w:p w14:paraId="21C5EF71" w14:textId="77777777" w:rsidR="00454A29" w:rsidRDefault="00454A29">
            <w:pPr>
              <w:pStyle w:val="ConsPlusNormal"/>
              <w:jc w:val="center"/>
            </w:pPr>
            <w:r>
              <w:t>Внебюджетные средства</w:t>
            </w:r>
          </w:p>
        </w:tc>
        <w:tc>
          <w:tcPr>
            <w:tcW w:w="1814" w:type="dxa"/>
            <w:vAlign w:val="center"/>
          </w:tcPr>
          <w:p w14:paraId="417F79A6" w14:textId="77777777" w:rsidR="00454A29" w:rsidRDefault="00454A29">
            <w:pPr>
              <w:pStyle w:val="ConsPlusNormal"/>
              <w:jc w:val="center"/>
            </w:pPr>
            <w:r>
              <w:t>0,00</w:t>
            </w:r>
          </w:p>
        </w:tc>
        <w:tc>
          <w:tcPr>
            <w:tcW w:w="1701" w:type="dxa"/>
            <w:vAlign w:val="center"/>
          </w:tcPr>
          <w:p w14:paraId="526AA69A" w14:textId="77777777" w:rsidR="00454A29" w:rsidRDefault="00454A29">
            <w:pPr>
              <w:pStyle w:val="ConsPlusNormal"/>
              <w:jc w:val="center"/>
            </w:pPr>
            <w:r>
              <w:t>0,00</w:t>
            </w:r>
          </w:p>
        </w:tc>
        <w:tc>
          <w:tcPr>
            <w:tcW w:w="1701" w:type="dxa"/>
            <w:vAlign w:val="center"/>
          </w:tcPr>
          <w:p w14:paraId="60863EDB" w14:textId="77777777" w:rsidR="00454A29" w:rsidRDefault="00454A29">
            <w:pPr>
              <w:pStyle w:val="ConsPlusNormal"/>
              <w:jc w:val="center"/>
            </w:pPr>
            <w:r>
              <w:t>0,00</w:t>
            </w:r>
          </w:p>
        </w:tc>
        <w:tc>
          <w:tcPr>
            <w:tcW w:w="1701" w:type="dxa"/>
            <w:vAlign w:val="center"/>
          </w:tcPr>
          <w:p w14:paraId="19263A64" w14:textId="77777777" w:rsidR="00454A29" w:rsidRDefault="00454A29">
            <w:pPr>
              <w:pStyle w:val="ConsPlusNormal"/>
              <w:jc w:val="center"/>
            </w:pPr>
            <w:r>
              <w:t>0,00</w:t>
            </w:r>
          </w:p>
        </w:tc>
        <w:tc>
          <w:tcPr>
            <w:tcW w:w="1701" w:type="dxa"/>
            <w:vAlign w:val="center"/>
          </w:tcPr>
          <w:p w14:paraId="6A9AD835" w14:textId="77777777" w:rsidR="00454A29" w:rsidRDefault="00454A29">
            <w:pPr>
              <w:pStyle w:val="ConsPlusNormal"/>
              <w:jc w:val="center"/>
            </w:pPr>
            <w:r>
              <w:t>0,00</w:t>
            </w:r>
          </w:p>
        </w:tc>
        <w:tc>
          <w:tcPr>
            <w:tcW w:w="1701" w:type="dxa"/>
            <w:vAlign w:val="center"/>
          </w:tcPr>
          <w:p w14:paraId="516546D7" w14:textId="77777777" w:rsidR="00454A29" w:rsidRDefault="00454A29">
            <w:pPr>
              <w:pStyle w:val="ConsPlusNormal"/>
              <w:jc w:val="center"/>
            </w:pPr>
            <w:r>
              <w:t>0,00</w:t>
            </w:r>
          </w:p>
        </w:tc>
        <w:tc>
          <w:tcPr>
            <w:tcW w:w="1701" w:type="dxa"/>
            <w:vAlign w:val="center"/>
          </w:tcPr>
          <w:p w14:paraId="355B7AED" w14:textId="77777777" w:rsidR="00454A29" w:rsidRDefault="00454A29">
            <w:pPr>
              <w:pStyle w:val="ConsPlusNormal"/>
              <w:jc w:val="center"/>
            </w:pPr>
            <w:r>
              <w:t>0,00</w:t>
            </w:r>
          </w:p>
        </w:tc>
      </w:tr>
      <w:tr w:rsidR="00454A29" w14:paraId="03F4B089" w14:textId="77777777">
        <w:tc>
          <w:tcPr>
            <w:tcW w:w="964" w:type="dxa"/>
            <w:vMerge w:val="restart"/>
            <w:vAlign w:val="center"/>
          </w:tcPr>
          <w:p w14:paraId="1B41F536" w14:textId="77777777" w:rsidR="00454A29" w:rsidRDefault="00454A29">
            <w:pPr>
              <w:pStyle w:val="ConsPlusNormal"/>
              <w:jc w:val="center"/>
            </w:pPr>
            <w:r>
              <w:t>6.1.</w:t>
            </w:r>
          </w:p>
        </w:tc>
        <w:tc>
          <w:tcPr>
            <w:tcW w:w="2154" w:type="dxa"/>
            <w:vMerge w:val="restart"/>
            <w:tcBorders>
              <w:top w:val="nil"/>
              <w:bottom w:val="nil"/>
            </w:tcBorders>
            <w:vAlign w:val="center"/>
          </w:tcPr>
          <w:p w14:paraId="4C68CDBE" w14:textId="77777777" w:rsidR="00454A29" w:rsidRDefault="00454A29">
            <w:pPr>
              <w:pStyle w:val="ConsPlusNormal"/>
            </w:pPr>
          </w:p>
        </w:tc>
        <w:tc>
          <w:tcPr>
            <w:tcW w:w="2154" w:type="dxa"/>
            <w:vMerge w:val="restart"/>
            <w:tcBorders>
              <w:top w:val="nil"/>
              <w:bottom w:val="nil"/>
            </w:tcBorders>
            <w:vAlign w:val="center"/>
          </w:tcPr>
          <w:p w14:paraId="6BA9C38B" w14:textId="77777777" w:rsidR="00454A29" w:rsidRDefault="00454A29">
            <w:pPr>
              <w:pStyle w:val="ConsPlusNormal"/>
            </w:pPr>
          </w:p>
        </w:tc>
        <w:tc>
          <w:tcPr>
            <w:tcW w:w="2665" w:type="dxa"/>
            <w:vMerge w:val="restart"/>
            <w:vAlign w:val="center"/>
          </w:tcPr>
          <w:p w14:paraId="6ABF9D4F" w14:textId="77777777" w:rsidR="00454A29" w:rsidRDefault="00454A29">
            <w:pPr>
              <w:pStyle w:val="ConsPlusNormal"/>
              <w:jc w:val="center"/>
            </w:pPr>
            <w:r>
              <w:t xml:space="preserve">Результат 1. Внедрена система аттестации руководителей </w:t>
            </w:r>
            <w:r>
              <w:lastRenderedPageBreak/>
              <w:t>общеобразовательных организаций</w:t>
            </w:r>
          </w:p>
        </w:tc>
        <w:tc>
          <w:tcPr>
            <w:tcW w:w="2665" w:type="dxa"/>
            <w:vMerge w:val="restart"/>
            <w:vAlign w:val="center"/>
          </w:tcPr>
          <w:p w14:paraId="5402DC9B" w14:textId="77777777" w:rsidR="00454A29" w:rsidRDefault="00454A29">
            <w:pPr>
              <w:pStyle w:val="ConsPlusNormal"/>
              <w:jc w:val="center"/>
            </w:pPr>
            <w:r>
              <w:lastRenderedPageBreak/>
              <w:t xml:space="preserve">Мероприятие 7.3.1. Формирование кадрового резерва руководителей </w:t>
            </w:r>
            <w:r>
              <w:lastRenderedPageBreak/>
              <w:t>образовательных организаций в количестве не менее 10 процентов от общего числа руководителей образовательных организаций</w:t>
            </w:r>
          </w:p>
        </w:tc>
        <w:tc>
          <w:tcPr>
            <w:tcW w:w="1928" w:type="dxa"/>
            <w:vMerge w:val="restart"/>
            <w:vAlign w:val="center"/>
          </w:tcPr>
          <w:p w14:paraId="0CD5F849" w14:textId="77777777" w:rsidR="00454A29" w:rsidRDefault="00454A29">
            <w:pPr>
              <w:pStyle w:val="ConsPlusNormal"/>
              <w:jc w:val="center"/>
            </w:pPr>
            <w:r>
              <w:lastRenderedPageBreak/>
              <w:t>-</w:t>
            </w:r>
          </w:p>
        </w:tc>
        <w:tc>
          <w:tcPr>
            <w:tcW w:w="1644" w:type="dxa"/>
            <w:vMerge w:val="restart"/>
            <w:vAlign w:val="center"/>
          </w:tcPr>
          <w:p w14:paraId="07A2B10F" w14:textId="77777777" w:rsidR="00454A29" w:rsidRDefault="00454A29">
            <w:pPr>
              <w:pStyle w:val="ConsPlusNormal"/>
              <w:jc w:val="center"/>
            </w:pPr>
            <w:r>
              <w:t>-</w:t>
            </w:r>
          </w:p>
        </w:tc>
        <w:tc>
          <w:tcPr>
            <w:tcW w:w="2041" w:type="dxa"/>
            <w:vMerge w:val="restart"/>
            <w:vAlign w:val="center"/>
          </w:tcPr>
          <w:p w14:paraId="076F4A32" w14:textId="77777777" w:rsidR="00454A29" w:rsidRDefault="00454A29">
            <w:pPr>
              <w:pStyle w:val="ConsPlusNormal"/>
              <w:jc w:val="center"/>
            </w:pPr>
            <w:r>
              <w:t>-</w:t>
            </w:r>
          </w:p>
        </w:tc>
        <w:tc>
          <w:tcPr>
            <w:tcW w:w="2098" w:type="dxa"/>
            <w:vAlign w:val="center"/>
          </w:tcPr>
          <w:p w14:paraId="537E070D" w14:textId="77777777" w:rsidR="00454A29" w:rsidRDefault="00454A29">
            <w:pPr>
              <w:pStyle w:val="ConsPlusNormal"/>
              <w:jc w:val="center"/>
            </w:pPr>
            <w:r>
              <w:t>Итого</w:t>
            </w:r>
          </w:p>
        </w:tc>
        <w:tc>
          <w:tcPr>
            <w:tcW w:w="1814" w:type="dxa"/>
            <w:vAlign w:val="center"/>
          </w:tcPr>
          <w:p w14:paraId="24E161FB" w14:textId="77777777" w:rsidR="00454A29" w:rsidRDefault="00454A29">
            <w:pPr>
              <w:pStyle w:val="ConsPlusNormal"/>
              <w:jc w:val="center"/>
            </w:pPr>
            <w:r>
              <w:t>0,00</w:t>
            </w:r>
          </w:p>
        </w:tc>
        <w:tc>
          <w:tcPr>
            <w:tcW w:w="1701" w:type="dxa"/>
            <w:vAlign w:val="center"/>
          </w:tcPr>
          <w:p w14:paraId="75788F01" w14:textId="77777777" w:rsidR="00454A29" w:rsidRDefault="00454A29">
            <w:pPr>
              <w:pStyle w:val="ConsPlusNormal"/>
              <w:jc w:val="center"/>
            </w:pPr>
            <w:r>
              <w:t>0,00</w:t>
            </w:r>
          </w:p>
        </w:tc>
        <w:tc>
          <w:tcPr>
            <w:tcW w:w="1701" w:type="dxa"/>
            <w:vAlign w:val="center"/>
          </w:tcPr>
          <w:p w14:paraId="2D131BBD" w14:textId="77777777" w:rsidR="00454A29" w:rsidRDefault="00454A29">
            <w:pPr>
              <w:pStyle w:val="ConsPlusNormal"/>
              <w:jc w:val="center"/>
            </w:pPr>
            <w:r>
              <w:t>0,00</w:t>
            </w:r>
          </w:p>
        </w:tc>
        <w:tc>
          <w:tcPr>
            <w:tcW w:w="1701" w:type="dxa"/>
            <w:vAlign w:val="center"/>
          </w:tcPr>
          <w:p w14:paraId="511BFD99" w14:textId="77777777" w:rsidR="00454A29" w:rsidRDefault="00454A29">
            <w:pPr>
              <w:pStyle w:val="ConsPlusNormal"/>
              <w:jc w:val="center"/>
            </w:pPr>
            <w:r>
              <w:t>0,00</w:t>
            </w:r>
          </w:p>
        </w:tc>
        <w:tc>
          <w:tcPr>
            <w:tcW w:w="1701" w:type="dxa"/>
            <w:vAlign w:val="center"/>
          </w:tcPr>
          <w:p w14:paraId="39DCAB8D" w14:textId="77777777" w:rsidR="00454A29" w:rsidRDefault="00454A29">
            <w:pPr>
              <w:pStyle w:val="ConsPlusNormal"/>
              <w:jc w:val="center"/>
            </w:pPr>
            <w:r>
              <w:t>0,00</w:t>
            </w:r>
          </w:p>
        </w:tc>
        <w:tc>
          <w:tcPr>
            <w:tcW w:w="1701" w:type="dxa"/>
            <w:vAlign w:val="center"/>
          </w:tcPr>
          <w:p w14:paraId="61AE1950" w14:textId="77777777" w:rsidR="00454A29" w:rsidRDefault="00454A29">
            <w:pPr>
              <w:pStyle w:val="ConsPlusNormal"/>
              <w:jc w:val="center"/>
            </w:pPr>
            <w:r>
              <w:t>0,00</w:t>
            </w:r>
          </w:p>
        </w:tc>
        <w:tc>
          <w:tcPr>
            <w:tcW w:w="1701" w:type="dxa"/>
            <w:vAlign w:val="center"/>
          </w:tcPr>
          <w:p w14:paraId="6F0DEAC6" w14:textId="77777777" w:rsidR="00454A29" w:rsidRDefault="00454A29">
            <w:pPr>
              <w:pStyle w:val="ConsPlusNormal"/>
              <w:jc w:val="center"/>
            </w:pPr>
            <w:r>
              <w:t>0,00</w:t>
            </w:r>
          </w:p>
        </w:tc>
      </w:tr>
      <w:tr w:rsidR="00454A29" w14:paraId="2F47BAD7" w14:textId="77777777">
        <w:tc>
          <w:tcPr>
            <w:tcW w:w="964" w:type="dxa"/>
            <w:vMerge/>
          </w:tcPr>
          <w:p w14:paraId="5D251BF5" w14:textId="77777777" w:rsidR="00454A29" w:rsidRDefault="00454A29"/>
        </w:tc>
        <w:tc>
          <w:tcPr>
            <w:tcW w:w="2154" w:type="dxa"/>
            <w:vMerge/>
            <w:tcBorders>
              <w:top w:val="nil"/>
              <w:bottom w:val="nil"/>
            </w:tcBorders>
          </w:tcPr>
          <w:p w14:paraId="73AE7BF0" w14:textId="77777777" w:rsidR="00454A29" w:rsidRDefault="00454A29"/>
        </w:tc>
        <w:tc>
          <w:tcPr>
            <w:tcW w:w="2154" w:type="dxa"/>
            <w:vMerge/>
            <w:tcBorders>
              <w:top w:val="nil"/>
              <w:bottom w:val="nil"/>
            </w:tcBorders>
          </w:tcPr>
          <w:p w14:paraId="07D5A2A6" w14:textId="77777777" w:rsidR="00454A29" w:rsidRDefault="00454A29"/>
        </w:tc>
        <w:tc>
          <w:tcPr>
            <w:tcW w:w="2665" w:type="dxa"/>
            <w:vMerge/>
          </w:tcPr>
          <w:p w14:paraId="29CD628B" w14:textId="77777777" w:rsidR="00454A29" w:rsidRDefault="00454A29"/>
        </w:tc>
        <w:tc>
          <w:tcPr>
            <w:tcW w:w="2665" w:type="dxa"/>
            <w:vMerge/>
          </w:tcPr>
          <w:p w14:paraId="474A36BA" w14:textId="77777777" w:rsidR="00454A29" w:rsidRDefault="00454A29"/>
        </w:tc>
        <w:tc>
          <w:tcPr>
            <w:tcW w:w="1928" w:type="dxa"/>
            <w:vMerge/>
          </w:tcPr>
          <w:p w14:paraId="05225B4F" w14:textId="77777777" w:rsidR="00454A29" w:rsidRDefault="00454A29"/>
        </w:tc>
        <w:tc>
          <w:tcPr>
            <w:tcW w:w="1644" w:type="dxa"/>
            <w:vMerge/>
          </w:tcPr>
          <w:p w14:paraId="1215A218" w14:textId="77777777" w:rsidR="00454A29" w:rsidRDefault="00454A29"/>
        </w:tc>
        <w:tc>
          <w:tcPr>
            <w:tcW w:w="2041" w:type="dxa"/>
            <w:vMerge/>
          </w:tcPr>
          <w:p w14:paraId="62F835A1" w14:textId="77777777" w:rsidR="00454A29" w:rsidRDefault="00454A29"/>
        </w:tc>
        <w:tc>
          <w:tcPr>
            <w:tcW w:w="2098" w:type="dxa"/>
            <w:vAlign w:val="center"/>
          </w:tcPr>
          <w:p w14:paraId="672E4331" w14:textId="77777777" w:rsidR="00454A29" w:rsidRDefault="00454A29">
            <w:pPr>
              <w:pStyle w:val="ConsPlusNormal"/>
              <w:jc w:val="center"/>
            </w:pPr>
            <w:r>
              <w:t xml:space="preserve">Государственный бюджет Республики </w:t>
            </w:r>
            <w:r>
              <w:lastRenderedPageBreak/>
              <w:t>Саха (Якутия)</w:t>
            </w:r>
          </w:p>
        </w:tc>
        <w:tc>
          <w:tcPr>
            <w:tcW w:w="1814" w:type="dxa"/>
            <w:vAlign w:val="center"/>
          </w:tcPr>
          <w:p w14:paraId="74D4A99B" w14:textId="77777777" w:rsidR="00454A29" w:rsidRDefault="00454A29">
            <w:pPr>
              <w:pStyle w:val="ConsPlusNormal"/>
              <w:jc w:val="center"/>
            </w:pPr>
            <w:r>
              <w:lastRenderedPageBreak/>
              <w:t>0,00</w:t>
            </w:r>
          </w:p>
        </w:tc>
        <w:tc>
          <w:tcPr>
            <w:tcW w:w="1701" w:type="dxa"/>
            <w:vAlign w:val="center"/>
          </w:tcPr>
          <w:p w14:paraId="1D7B9459" w14:textId="77777777" w:rsidR="00454A29" w:rsidRDefault="00454A29">
            <w:pPr>
              <w:pStyle w:val="ConsPlusNormal"/>
              <w:jc w:val="center"/>
            </w:pPr>
            <w:r>
              <w:t>0,00</w:t>
            </w:r>
          </w:p>
        </w:tc>
        <w:tc>
          <w:tcPr>
            <w:tcW w:w="1701" w:type="dxa"/>
            <w:vAlign w:val="center"/>
          </w:tcPr>
          <w:p w14:paraId="28F6E9AF" w14:textId="77777777" w:rsidR="00454A29" w:rsidRDefault="00454A29">
            <w:pPr>
              <w:pStyle w:val="ConsPlusNormal"/>
              <w:jc w:val="center"/>
            </w:pPr>
            <w:r>
              <w:t>0,00</w:t>
            </w:r>
          </w:p>
        </w:tc>
        <w:tc>
          <w:tcPr>
            <w:tcW w:w="1701" w:type="dxa"/>
            <w:vAlign w:val="center"/>
          </w:tcPr>
          <w:p w14:paraId="236F9FC4" w14:textId="77777777" w:rsidR="00454A29" w:rsidRDefault="00454A29">
            <w:pPr>
              <w:pStyle w:val="ConsPlusNormal"/>
              <w:jc w:val="center"/>
            </w:pPr>
            <w:r>
              <w:t>0,00</w:t>
            </w:r>
          </w:p>
        </w:tc>
        <w:tc>
          <w:tcPr>
            <w:tcW w:w="1701" w:type="dxa"/>
            <w:vAlign w:val="center"/>
          </w:tcPr>
          <w:p w14:paraId="0C50D6BB" w14:textId="77777777" w:rsidR="00454A29" w:rsidRDefault="00454A29">
            <w:pPr>
              <w:pStyle w:val="ConsPlusNormal"/>
              <w:jc w:val="center"/>
            </w:pPr>
            <w:r>
              <w:t>0,00</w:t>
            </w:r>
          </w:p>
        </w:tc>
        <w:tc>
          <w:tcPr>
            <w:tcW w:w="1701" w:type="dxa"/>
            <w:vAlign w:val="center"/>
          </w:tcPr>
          <w:p w14:paraId="144A8413" w14:textId="77777777" w:rsidR="00454A29" w:rsidRDefault="00454A29">
            <w:pPr>
              <w:pStyle w:val="ConsPlusNormal"/>
              <w:jc w:val="center"/>
            </w:pPr>
            <w:r>
              <w:t>0,00</w:t>
            </w:r>
          </w:p>
        </w:tc>
        <w:tc>
          <w:tcPr>
            <w:tcW w:w="1701" w:type="dxa"/>
            <w:vAlign w:val="center"/>
          </w:tcPr>
          <w:p w14:paraId="09B992F7" w14:textId="77777777" w:rsidR="00454A29" w:rsidRDefault="00454A29">
            <w:pPr>
              <w:pStyle w:val="ConsPlusNormal"/>
              <w:jc w:val="center"/>
            </w:pPr>
            <w:r>
              <w:t>0,00</w:t>
            </w:r>
          </w:p>
        </w:tc>
      </w:tr>
      <w:tr w:rsidR="00454A29" w14:paraId="6AE502B4" w14:textId="77777777">
        <w:tc>
          <w:tcPr>
            <w:tcW w:w="964" w:type="dxa"/>
            <w:vMerge/>
          </w:tcPr>
          <w:p w14:paraId="6DD78AEA" w14:textId="77777777" w:rsidR="00454A29" w:rsidRDefault="00454A29"/>
        </w:tc>
        <w:tc>
          <w:tcPr>
            <w:tcW w:w="2154" w:type="dxa"/>
            <w:vMerge/>
            <w:tcBorders>
              <w:top w:val="nil"/>
              <w:bottom w:val="nil"/>
            </w:tcBorders>
          </w:tcPr>
          <w:p w14:paraId="00F937C9" w14:textId="77777777" w:rsidR="00454A29" w:rsidRDefault="00454A29"/>
        </w:tc>
        <w:tc>
          <w:tcPr>
            <w:tcW w:w="2154" w:type="dxa"/>
            <w:vMerge/>
            <w:tcBorders>
              <w:top w:val="nil"/>
              <w:bottom w:val="nil"/>
            </w:tcBorders>
          </w:tcPr>
          <w:p w14:paraId="73DDC866" w14:textId="77777777" w:rsidR="00454A29" w:rsidRDefault="00454A29"/>
        </w:tc>
        <w:tc>
          <w:tcPr>
            <w:tcW w:w="2665" w:type="dxa"/>
            <w:vMerge/>
          </w:tcPr>
          <w:p w14:paraId="1E5DDB9B" w14:textId="77777777" w:rsidR="00454A29" w:rsidRDefault="00454A29"/>
        </w:tc>
        <w:tc>
          <w:tcPr>
            <w:tcW w:w="2665" w:type="dxa"/>
            <w:vMerge/>
          </w:tcPr>
          <w:p w14:paraId="11BE9391" w14:textId="77777777" w:rsidR="00454A29" w:rsidRDefault="00454A29"/>
        </w:tc>
        <w:tc>
          <w:tcPr>
            <w:tcW w:w="1928" w:type="dxa"/>
            <w:vMerge/>
          </w:tcPr>
          <w:p w14:paraId="572FD560" w14:textId="77777777" w:rsidR="00454A29" w:rsidRDefault="00454A29"/>
        </w:tc>
        <w:tc>
          <w:tcPr>
            <w:tcW w:w="1644" w:type="dxa"/>
            <w:vMerge/>
          </w:tcPr>
          <w:p w14:paraId="6119AA73" w14:textId="77777777" w:rsidR="00454A29" w:rsidRDefault="00454A29"/>
        </w:tc>
        <w:tc>
          <w:tcPr>
            <w:tcW w:w="2041" w:type="dxa"/>
            <w:vMerge/>
          </w:tcPr>
          <w:p w14:paraId="30ACF12B" w14:textId="77777777" w:rsidR="00454A29" w:rsidRDefault="00454A29"/>
        </w:tc>
        <w:tc>
          <w:tcPr>
            <w:tcW w:w="2098" w:type="dxa"/>
            <w:vAlign w:val="center"/>
          </w:tcPr>
          <w:p w14:paraId="75ACCDF8" w14:textId="77777777" w:rsidR="00454A29" w:rsidRDefault="00454A29">
            <w:pPr>
              <w:pStyle w:val="ConsPlusNormal"/>
              <w:jc w:val="center"/>
            </w:pPr>
            <w:r>
              <w:t>Федеральный бюджет</w:t>
            </w:r>
          </w:p>
        </w:tc>
        <w:tc>
          <w:tcPr>
            <w:tcW w:w="1814" w:type="dxa"/>
            <w:vAlign w:val="center"/>
          </w:tcPr>
          <w:p w14:paraId="01668AA6" w14:textId="77777777" w:rsidR="00454A29" w:rsidRDefault="00454A29">
            <w:pPr>
              <w:pStyle w:val="ConsPlusNormal"/>
              <w:jc w:val="center"/>
            </w:pPr>
            <w:r>
              <w:t>0,00</w:t>
            </w:r>
          </w:p>
        </w:tc>
        <w:tc>
          <w:tcPr>
            <w:tcW w:w="1701" w:type="dxa"/>
            <w:vAlign w:val="center"/>
          </w:tcPr>
          <w:p w14:paraId="55E1B6FA" w14:textId="77777777" w:rsidR="00454A29" w:rsidRDefault="00454A29">
            <w:pPr>
              <w:pStyle w:val="ConsPlusNormal"/>
              <w:jc w:val="center"/>
            </w:pPr>
            <w:r>
              <w:t>0,00</w:t>
            </w:r>
          </w:p>
        </w:tc>
        <w:tc>
          <w:tcPr>
            <w:tcW w:w="1701" w:type="dxa"/>
            <w:vAlign w:val="center"/>
          </w:tcPr>
          <w:p w14:paraId="4F358942" w14:textId="77777777" w:rsidR="00454A29" w:rsidRDefault="00454A29">
            <w:pPr>
              <w:pStyle w:val="ConsPlusNormal"/>
              <w:jc w:val="center"/>
            </w:pPr>
            <w:r>
              <w:t>0,00</w:t>
            </w:r>
          </w:p>
        </w:tc>
        <w:tc>
          <w:tcPr>
            <w:tcW w:w="1701" w:type="dxa"/>
            <w:vAlign w:val="center"/>
          </w:tcPr>
          <w:p w14:paraId="53DF989E" w14:textId="77777777" w:rsidR="00454A29" w:rsidRDefault="00454A29">
            <w:pPr>
              <w:pStyle w:val="ConsPlusNormal"/>
              <w:jc w:val="center"/>
            </w:pPr>
            <w:r>
              <w:t>0,00</w:t>
            </w:r>
          </w:p>
        </w:tc>
        <w:tc>
          <w:tcPr>
            <w:tcW w:w="1701" w:type="dxa"/>
            <w:vAlign w:val="center"/>
          </w:tcPr>
          <w:p w14:paraId="43EED7F7" w14:textId="77777777" w:rsidR="00454A29" w:rsidRDefault="00454A29">
            <w:pPr>
              <w:pStyle w:val="ConsPlusNormal"/>
              <w:jc w:val="center"/>
            </w:pPr>
            <w:r>
              <w:t>0,00</w:t>
            </w:r>
          </w:p>
        </w:tc>
        <w:tc>
          <w:tcPr>
            <w:tcW w:w="1701" w:type="dxa"/>
            <w:vAlign w:val="center"/>
          </w:tcPr>
          <w:p w14:paraId="3CDFEE28" w14:textId="77777777" w:rsidR="00454A29" w:rsidRDefault="00454A29">
            <w:pPr>
              <w:pStyle w:val="ConsPlusNormal"/>
              <w:jc w:val="center"/>
            </w:pPr>
            <w:r>
              <w:t>0,00</w:t>
            </w:r>
          </w:p>
        </w:tc>
        <w:tc>
          <w:tcPr>
            <w:tcW w:w="1701" w:type="dxa"/>
            <w:vAlign w:val="center"/>
          </w:tcPr>
          <w:p w14:paraId="75C03CAF" w14:textId="77777777" w:rsidR="00454A29" w:rsidRDefault="00454A29">
            <w:pPr>
              <w:pStyle w:val="ConsPlusNormal"/>
              <w:jc w:val="center"/>
            </w:pPr>
            <w:r>
              <w:t>0,00</w:t>
            </w:r>
          </w:p>
        </w:tc>
      </w:tr>
      <w:tr w:rsidR="00454A29" w14:paraId="56358976" w14:textId="77777777">
        <w:tc>
          <w:tcPr>
            <w:tcW w:w="964" w:type="dxa"/>
            <w:vMerge/>
          </w:tcPr>
          <w:p w14:paraId="6EA59A6A" w14:textId="77777777" w:rsidR="00454A29" w:rsidRDefault="00454A29"/>
        </w:tc>
        <w:tc>
          <w:tcPr>
            <w:tcW w:w="2154" w:type="dxa"/>
            <w:vMerge/>
            <w:tcBorders>
              <w:top w:val="nil"/>
              <w:bottom w:val="nil"/>
            </w:tcBorders>
          </w:tcPr>
          <w:p w14:paraId="6221CB6B" w14:textId="77777777" w:rsidR="00454A29" w:rsidRDefault="00454A29"/>
        </w:tc>
        <w:tc>
          <w:tcPr>
            <w:tcW w:w="2154" w:type="dxa"/>
            <w:vMerge/>
            <w:tcBorders>
              <w:top w:val="nil"/>
              <w:bottom w:val="nil"/>
            </w:tcBorders>
          </w:tcPr>
          <w:p w14:paraId="4585ABE6" w14:textId="77777777" w:rsidR="00454A29" w:rsidRDefault="00454A29"/>
        </w:tc>
        <w:tc>
          <w:tcPr>
            <w:tcW w:w="2665" w:type="dxa"/>
            <w:vMerge/>
          </w:tcPr>
          <w:p w14:paraId="34208334" w14:textId="77777777" w:rsidR="00454A29" w:rsidRDefault="00454A29"/>
        </w:tc>
        <w:tc>
          <w:tcPr>
            <w:tcW w:w="2665" w:type="dxa"/>
            <w:vMerge/>
          </w:tcPr>
          <w:p w14:paraId="5E5623E7" w14:textId="77777777" w:rsidR="00454A29" w:rsidRDefault="00454A29"/>
        </w:tc>
        <w:tc>
          <w:tcPr>
            <w:tcW w:w="1928" w:type="dxa"/>
            <w:vMerge/>
          </w:tcPr>
          <w:p w14:paraId="29AC2FBC" w14:textId="77777777" w:rsidR="00454A29" w:rsidRDefault="00454A29"/>
        </w:tc>
        <w:tc>
          <w:tcPr>
            <w:tcW w:w="1644" w:type="dxa"/>
            <w:vMerge/>
          </w:tcPr>
          <w:p w14:paraId="4DAFF877" w14:textId="77777777" w:rsidR="00454A29" w:rsidRDefault="00454A29"/>
        </w:tc>
        <w:tc>
          <w:tcPr>
            <w:tcW w:w="2041" w:type="dxa"/>
            <w:vMerge/>
          </w:tcPr>
          <w:p w14:paraId="72DBDDC5" w14:textId="77777777" w:rsidR="00454A29" w:rsidRDefault="00454A29"/>
        </w:tc>
        <w:tc>
          <w:tcPr>
            <w:tcW w:w="2098" w:type="dxa"/>
            <w:vAlign w:val="center"/>
          </w:tcPr>
          <w:p w14:paraId="77D7C806" w14:textId="77777777" w:rsidR="00454A29" w:rsidRDefault="00454A29">
            <w:pPr>
              <w:pStyle w:val="ConsPlusNormal"/>
              <w:jc w:val="center"/>
            </w:pPr>
            <w:r>
              <w:t>Местные бюджеты</w:t>
            </w:r>
          </w:p>
        </w:tc>
        <w:tc>
          <w:tcPr>
            <w:tcW w:w="1814" w:type="dxa"/>
            <w:vAlign w:val="center"/>
          </w:tcPr>
          <w:p w14:paraId="2C2178F4" w14:textId="77777777" w:rsidR="00454A29" w:rsidRDefault="00454A29">
            <w:pPr>
              <w:pStyle w:val="ConsPlusNormal"/>
              <w:jc w:val="center"/>
            </w:pPr>
            <w:r>
              <w:t>0,00</w:t>
            </w:r>
          </w:p>
        </w:tc>
        <w:tc>
          <w:tcPr>
            <w:tcW w:w="1701" w:type="dxa"/>
            <w:vAlign w:val="center"/>
          </w:tcPr>
          <w:p w14:paraId="1B29FC57" w14:textId="77777777" w:rsidR="00454A29" w:rsidRDefault="00454A29">
            <w:pPr>
              <w:pStyle w:val="ConsPlusNormal"/>
              <w:jc w:val="center"/>
            </w:pPr>
            <w:r>
              <w:t>0,00</w:t>
            </w:r>
          </w:p>
        </w:tc>
        <w:tc>
          <w:tcPr>
            <w:tcW w:w="1701" w:type="dxa"/>
            <w:vAlign w:val="center"/>
          </w:tcPr>
          <w:p w14:paraId="34C244F6" w14:textId="77777777" w:rsidR="00454A29" w:rsidRDefault="00454A29">
            <w:pPr>
              <w:pStyle w:val="ConsPlusNormal"/>
              <w:jc w:val="center"/>
            </w:pPr>
            <w:r>
              <w:t>0,00</w:t>
            </w:r>
          </w:p>
        </w:tc>
        <w:tc>
          <w:tcPr>
            <w:tcW w:w="1701" w:type="dxa"/>
            <w:vAlign w:val="center"/>
          </w:tcPr>
          <w:p w14:paraId="1BDC636B" w14:textId="77777777" w:rsidR="00454A29" w:rsidRDefault="00454A29">
            <w:pPr>
              <w:pStyle w:val="ConsPlusNormal"/>
              <w:jc w:val="center"/>
            </w:pPr>
            <w:r>
              <w:t>0,00</w:t>
            </w:r>
          </w:p>
        </w:tc>
        <w:tc>
          <w:tcPr>
            <w:tcW w:w="1701" w:type="dxa"/>
            <w:vAlign w:val="center"/>
          </w:tcPr>
          <w:p w14:paraId="70DEAF5F" w14:textId="77777777" w:rsidR="00454A29" w:rsidRDefault="00454A29">
            <w:pPr>
              <w:pStyle w:val="ConsPlusNormal"/>
              <w:jc w:val="center"/>
            </w:pPr>
            <w:r>
              <w:t>0,00</w:t>
            </w:r>
          </w:p>
        </w:tc>
        <w:tc>
          <w:tcPr>
            <w:tcW w:w="1701" w:type="dxa"/>
            <w:vAlign w:val="center"/>
          </w:tcPr>
          <w:p w14:paraId="29FAD5DC" w14:textId="77777777" w:rsidR="00454A29" w:rsidRDefault="00454A29">
            <w:pPr>
              <w:pStyle w:val="ConsPlusNormal"/>
              <w:jc w:val="center"/>
            </w:pPr>
            <w:r>
              <w:t>0,00</w:t>
            </w:r>
          </w:p>
        </w:tc>
        <w:tc>
          <w:tcPr>
            <w:tcW w:w="1701" w:type="dxa"/>
            <w:vAlign w:val="center"/>
          </w:tcPr>
          <w:p w14:paraId="16EB26A0" w14:textId="77777777" w:rsidR="00454A29" w:rsidRDefault="00454A29">
            <w:pPr>
              <w:pStyle w:val="ConsPlusNormal"/>
              <w:jc w:val="center"/>
            </w:pPr>
            <w:r>
              <w:t>0,00</w:t>
            </w:r>
          </w:p>
        </w:tc>
      </w:tr>
      <w:tr w:rsidR="00454A29" w14:paraId="4EF2C9C8" w14:textId="77777777">
        <w:tc>
          <w:tcPr>
            <w:tcW w:w="964" w:type="dxa"/>
            <w:vMerge/>
          </w:tcPr>
          <w:p w14:paraId="5EE75CB1" w14:textId="77777777" w:rsidR="00454A29" w:rsidRDefault="00454A29"/>
        </w:tc>
        <w:tc>
          <w:tcPr>
            <w:tcW w:w="2154" w:type="dxa"/>
            <w:vMerge/>
            <w:tcBorders>
              <w:top w:val="nil"/>
              <w:bottom w:val="nil"/>
            </w:tcBorders>
          </w:tcPr>
          <w:p w14:paraId="6CDBD08F" w14:textId="77777777" w:rsidR="00454A29" w:rsidRDefault="00454A29"/>
        </w:tc>
        <w:tc>
          <w:tcPr>
            <w:tcW w:w="2154" w:type="dxa"/>
            <w:vMerge/>
            <w:tcBorders>
              <w:top w:val="nil"/>
              <w:bottom w:val="nil"/>
            </w:tcBorders>
          </w:tcPr>
          <w:p w14:paraId="47DCEB1F" w14:textId="77777777" w:rsidR="00454A29" w:rsidRDefault="00454A29"/>
        </w:tc>
        <w:tc>
          <w:tcPr>
            <w:tcW w:w="2665" w:type="dxa"/>
            <w:vMerge/>
          </w:tcPr>
          <w:p w14:paraId="0134D0C5" w14:textId="77777777" w:rsidR="00454A29" w:rsidRDefault="00454A29"/>
        </w:tc>
        <w:tc>
          <w:tcPr>
            <w:tcW w:w="2665" w:type="dxa"/>
            <w:vMerge/>
          </w:tcPr>
          <w:p w14:paraId="6239B423" w14:textId="77777777" w:rsidR="00454A29" w:rsidRDefault="00454A29"/>
        </w:tc>
        <w:tc>
          <w:tcPr>
            <w:tcW w:w="1928" w:type="dxa"/>
            <w:vMerge/>
          </w:tcPr>
          <w:p w14:paraId="5AC080C0" w14:textId="77777777" w:rsidR="00454A29" w:rsidRDefault="00454A29"/>
        </w:tc>
        <w:tc>
          <w:tcPr>
            <w:tcW w:w="1644" w:type="dxa"/>
            <w:vMerge/>
          </w:tcPr>
          <w:p w14:paraId="2618297B" w14:textId="77777777" w:rsidR="00454A29" w:rsidRDefault="00454A29"/>
        </w:tc>
        <w:tc>
          <w:tcPr>
            <w:tcW w:w="2041" w:type="dxa"/>
            <w:vMerge/>
          </w:tcPr>
          <w:p w14:paraId="07FC2476" w14:textId="77777777" w:rsidR="00454A29" w:rsidRDefault="00454A29"/>
        </w:tc>
        <w:tc>
          <w:tcPr>
            <w:tcW w:w="2098" w:type="dxa"/>
            <w:vAlign w:val="center"/>
          </w:tcPr>
          <w:p w14:paraId="6F0F6EFF" w14:textId="77777777" w:rsidR="00454A29" w:rsidRDefault="00454A29">
            <w:pPr>
              <w:pStyle w:val="ConsPlusNormal"/>
              <w:jc w:val="center"/>
            </w:pPr>
            <w:r>
              <w:t>Внебюджетные средства</w:t>
            </w:r>
          </w:p>
        </w:tc>
        <w:tc>
          <w:tcPr>
            <w:tcW w:w="1814" w:type="dxa"/>
            <w:vAlign w:val="center"/>
          </w:tcPr>
          <w:p w14:paraId="3E222C51" w14:textId="77777777" w:rsidR="00454A29" w:rsidRDefault="00454A29">
            <w:pPr>
              <w:pStyle w:val="ConsPlusNormal"/>
              <w:jc w:val="center"/>
            </w:pPr>
            <w:r>
              <w:t>0,00</w:t>
            </w:r>
          </w:p>
        </w:tc>
        <w:tc>
          <w:tcPr>
            <w:tcW w:w="1701" w:type="dxa"/>
            <w:vAlign w:val="center"/>
          </w:tcPr>
          <w:p w14:paraId="400AE6AF" w14:textId="77777777" w:rsidR="00454A29" w:rsidRDefault="00454A29">
            <w:pPr>
              <w:pStyle w:val="ConsPlusNormal"/>
              <w:jc w:val="center"/>
            </w:pPr>
            <w:r>
              <w:t>0,00</w:t>
            </w:r>
          </w:p>
        </w:tc>
        <w:tc>
          <w:tcPr>
            <w:tcW w:w="1701" w:type="dxa"/>
            <w:vAlign w:val="center"/>
          </w:tcPr>
          <w:p w14:paraId="7D409772" w14:textId="77777777" w:rsidR="00454A29" w:rsidRDefault="00454A29">
            <w:pPr>
              <w:pStyle w:val="ConsPlusNormal"/>
              <w:jc w:val="center"/>
            </w:pPr>
            <w:r>
              <w:t>0,00</w:t>
            </w:r>
          </w:p>
        </w:tc>
        <w:tc>
          <w:tcPr>
            <w:tcW w:w="1701" w:type="dxa"/>
            <w:vAlign w:val="center"/>
          </w:tcPr>
          <w:p w14:paraId="31FEE262" w14:textId="77777777" w:rsidR="00454A29" w:rsidRDefault="00454A29">
            <w:pPr>
              <w:pStyle w:val="ConsPlusNormal"/>
              <w:jc w:val="center"/>
            </w:pPr>
            <w:r>
              <w:t>0,00</w:t>
            </w:r>
          </w:p>
        </w:tc>
        <w:tc>
          <w:tcPr>
            <w:tcW w:w="1701" w:type="dxa"/>
            <w:vAlign w:val="center"/>
          </w:tcPr>
          <w:p w14:paraId="1A3F87B8" w14:textId="77777777" w:rsidR="00454A29" w:rsidRDefault="00454A29">
            <w:pPr>
              <w:pStyle w:val="ConsPlusNormal"/>
              <w:jc w:val="center"/>
            </w:pPr>
            <w:r>
              <w:t>0,00</w:t>
            </w:r>
          </w:p>
        </w:tc>
        <w:tc>
          <w:tcPr>
            <w:tcW w:w="1701" w:type="dxa"/>
            <w:vAlign w:val="center"/>
          </w:tcPr>
          <w:p w14:paraId="12466794" w14:textId="77777777" w:rsidR="00454A29" w:rsidRDefault="00454A29">
            <w:pPr>
              <w:pStyle w:val="ConsPlusNormal"/>
              <w:jc w:val="center"/>
            </w:pPr>
            <w:r>
              <w:t>0,00</w:t>
            </w:r>
          </w:p>
        </w:tc>
        <w:tc>
          <w:tcPr>
            <w:tcW w:w="1701" w:type="dxa"/>
            <w:vAlign w:val="center"/>
          </w:tcPr>
          <w:p w14:paraId="3200420D" w14:textId="77777777" w:rsidR="00454A29" w:rsidRDefault="00454A29">
            <w:pPr>
              <w:pStyle w:val="ConsPlusNormal"/>
              <w:jc w:val="center"/>
            </w:pPr>
            <w:r>
              <w:t>0,00</w:t>
            </w:r>
          </w:p>
        </w:tc>
      </w:tr>
      <w:tr w:rsidR="00454A29" w14:paraId="5F789D38" w14:textId="77777777">
        <w:tc>
          <w:tcPr>
            <w:tcW w:w="964" w:type="dxa"/>
            <w:vMerge w:val="restart"/>
            <w:vAlign w:val="center"/>
          </w:tcPr>
          <w:p w14:paraId="5333EE6C" w14:textId="77777777" w:rsidR="00454A29" w:rsidRDefault="00454A29">
            <w:pPr>
              <w:pStyle w:val="ConsPlusNormal"/>
              <w:jc w:val="center"/>
            </w:pPr>
            <w:r>
              <w:t>6.2.</w:t>
            </w:r>
          </w:p>
        </w:tc>
        <w:tc>
          <w:tcPr>
            <w:tcW w:w="2154" w:type="dxa"/>
            <w:vMerge w:val="restart"/>
            <w:tcBorders>
              <w:top w:val="nil"/>
              <w:bottom w:val="nil"/>
            </w:tcBorders>
            <w:vAlign w:val="center"/>
          </w:tcPr>
          <w:p w14:paraId="0A4E8D3D" w14:textId="77777777" w:rsidR="00454A29" w:rsidRDefault="00454A29">
            <w:pPr>
              <w:pStyle w:val="ConsPlusNormal"/>
            </w:pPr>
          </w:p>
        </w:tc>
        <w:tc>
          <w:tcPr>
            <w:tcW w:w="2154" w:type="dxa"/>
            <w:vMerge w:val="restart"/>
            <w:tcBorders>
              <w:top w:val="nil"/>
              <w:bottom w:val="nil"/>
            </w:tcBorders>
            <w:vAlign w:val="center"/>
          </w:tcPr>
          <w:p w14:paraId="028D1523" w14:textId="77777777" w:rsidR="00454A29" w:rsidRDefault="00454A29">
            <w:pPr>
              <w:pStyle w:val="ConsPlusNormal"/>
            </w:pPr>
          </w:p>
        </w:tc>
        <w:tc>
          <w:tcPr>
            <w:tcW w:w="2665" w:type="dxa"/>
            <w:vMerge w:val="restart"/>
            <w:vAlign w:val="center"/>
          </w:tcPr>
          <w:p w14:paraId="79708720" w14:textId="77777777" w:rsidR="00454A29" w:rsidRDefault="00454A29">
            <w:pPr>
              <w:pStyle w:val="ConsPlusNormal"/>
            </w:pPr>
          </w:p>
        </w:tc>
        <w:tc>
          <w:tcPr>
            <w:tcW w:w="2665" w:type="dxa"/>
            <w:vMerge w:val="restart"/>
            <w:vAlign w:val="center"/>
          </w:tcPr>
          <w:p w14:paraId="6CFCC54B" w14:textId="77777777" w:rsidR="00454A29" w:rsidRDefault="00454A29">
            <w:pPr>
              <w:pStyle w:val="ConsPlusNormal"/>
              <w:jc w:val="center"/>
            </w:pPr>
            <w:r>
              <w:t>Мероприятие 7.3.2. Организация повышения квалификации управленческих команд (руководителей и заместителей руководителей) не менее 10 процентов общеобразовательных организаций Республики Саха (Якутия)</w:t>
            </w:r>
          </w:p>
        </w:tc>
        <w:tc>
          <w:tcPr>
            <w:tcW w:w="1928" w:type="dxa"/>
            <w:vMerge w:val="restart"/>
            <w:vAlign w:val="center"/>
          </w:tcPr>
          <w:p w14:paraId="3829C9F4" w14:textId="77777777" w:rsidR="00454A29" w:rsidRDefault="00454A29">
            <w:pPr>
              <w:pStyle w:val="ConsPlusNormal"/>
              <w:jc w:val="center"/>
            </w:pPr>
            <w:r>
              <w:t>-</w:t>
            </w:r>
          </w:p>
        </w:tc>
        <w:tc>
          <w:tcPr>
            <w:tcW w:w="1644" w:type="dxa"/>
            <w:vMerge w:val="restart"/>
            <w:vAlign w:val="center"/>
          </w:tcPr>
          <w:p w14:paraId="36356B49" w14:textId="77777777" w:rsidR="00454A29" w:rsidRDefault="00454A29">
            <w:pPr>
              <w:pStyle w:val="ConsPlusNormal"/>
              <w:jc w:val="center"/>
            </w:pPr>
            <w:r>
              <w:t>-</w:t>
            </w:r>
          </w:p>
        </w:tc>
        <w:tc>
          <w:tcPr>
            <w:tcW w:w="2041" w:type="dxa"/>
            <w:vMerge w:val="restart"/>
            <w:vAlign w:val="center"/>
          </w:tcPr>
          <w:p w14:paraId="3A619A99" w14:textId="77777777" w:rsidR="00454A29" w:rsidRDefault="00454A29">
            <w:pPr>
              <w:pStyle w:val="ConsPlusNormal"/>
              <w:jc w:val="center"/>
            </w:pPr>
            <w:r>
              <w:t>-</w:t>
            </w:r>
          </w:p>
        </w:tc>
        <w:tc>
          <w:tcPr>
            <w:tcW w:w="2098" w:type="dxa"/>
            <w:vAlign w:val="center"/>
          </w:tcPr>
          <w:p w14:paraId="4D74B992" w14:textId="77777777" w:rsidR="00454A29" w:rsidRDefault="00454A29">
            <w:pPr>
              <w:pStyle w:val="ConsPlusNormal"/>
              <w:jc w:val="center"/>
            </w:pPr>
            <w:r>
              <w:t>Итого</w:t>
            </w:r>
          </w:p>
        </w:tc>
        <w:tc>
          <w:tcPr>
            <w:tcW w:w="1814" w:type="dxa"/>
            <w:vAlign w:val="center"/>
          </w:tcPr>
          <w:p w14:paraId="11FFF5A7" w14:textId="77777777" w:rsidR="00454A29" w:rsidRDefault="00454A29">
            <w:pPr>
              <w:pStyle w:val="ConsPlusNormal"/>
              <w:jc w:val="center"/>
            </w:pPr>
            <w:r>
              <w:t>0,00</w:t>
            </w:r>
          </w:p>
        </w:tc>
        <w:tc>
          <w:tcPr>
            <w:tcW w:w="1701" w:type="dxa"/>
            <w:vAlign w:val="center"/>
          </w:tcPr>
          <w:p w14:paraId="237FB274" w14:textId="77777777" w:rsidR="00454A29" w:rsidRDefault="00454A29">
            <w:pPr>
              <w:pStyle w:val="ConsPlusNormal"/>
              <w:jc w:val="center"/>
            </w:pPr>
            <w:r>
              <w:t>0,00</w:t>
            </w:r>
          </w:p>
        </w:tc>
        <w:tc>
          <w:tcPr>
            <w:tcW w:w="1701" w:type="dxa"/>
            <w:vAlign w:val="center"/>
          </w:tcPr>
          <w:p w14:paraId="74EDDB1D" w14:textId="77777777" w:rsidR="00454A29" w:rsidRDefault="00454A29">
            <w:pPr>
              <w:pStyle w:val="ConsPlusNormal"/>
              <w:jc w:val="center"/>
            </w:pPr>
            <w:r>
              <w:t>0,00</w:t>
            </w:r>
          </w:p>
        </w:tc>
        <w:tc>
          <w:tcPr>
            <w:tcW w:w="1701" w:type="dxa"/>
            <w:vAlign w:val="center"/>
          </w:tcPr>
          <w:p w14:paraId="63FBD29B" w14:textId="77777777" w:rsidR="00454A29" w:rsidRDefault="00454A29">
            <w:pPr>
              <w:pStyle w:val="ConsPlusNormal"/>
              <w:jc w:val="center"/>
            </w:pPr>
            <w:r>
              <w:t>0,00</w:t>
            </w:r>
          </w:p>
        </w:tc>
        <w:tc>
          <w:tcPr>
            <w:tcW w:w="1701" w:type="dxa"/>
            <w:vAlign w:val="center"/>
          </w:tcPr>
          <w:p w14:paraId="4ECB73E0" w14:textId="77777777" w:rsidR="00454A29" w:rsidRDefault="00454A29">
            <w:pPr>
              <w:pStyle w:val="ConsPlusNormal"/>
              <w:jc w:val="center"/>
            </w:pPr>
            <w:r>
              <w:t>0,00</w:t>
            </w:r>
          </w:p>
        </w:tc>
        <w:tc>
          <w:tcPr>
            <w:tcW w:w="1701" w:type="dxa"/>
            <w:vAlign w:val="center"/>
          </w:tcPr>
          <w:p w14:paraId="6E2943F8" w14:textId="77777777" w:rsidR="00454A29" w:rsidRDefault="00454A29">
            <w:pPr>
              <w:pStyle w:val="ConsPlusNormal"/>
              <w:jc w:val="center"/>
            </w:pPr>
            <w:r>
              <w:t>0,00</w:t>
            </w:r>
          </w:p>
        </w:tc>
        <w:tc>
          <w:tcPr>
            <w:tcW w:w="1701" w:type="dxa"/>
            <w:vAlign w:val="center"/>
          </w:tcPr>
          <w:p w14:paraId="40217B01" w14:textId="77777777" w:rsidR="00454A29" w:rsidRDefault="00454A29">
            <w:pPr>
              <w:pStyle w:val="ConsPlusNormal"/>
              <w:jc w:val="center"/>
            </w:pPr>
            <w:r>
              <w:t>0,00</w:t>
            </w:r>
          </w:p>
        </w:tc>
      </w:tr>
      <w:tr w:rsidR="00454A29" w14:paraId="2BD9A745" w14:textId="77777777">
        <w:tc>
          <w:tcPr>
            <w:tcW w:w="964" w:type="dxa"/>
            <w:vMerge/>
          </w:tcPr>
          <w:p w14:paraId="31344E9A" w14:textId="77777777" w:rsidR="00454A29" w:rsidRDefault="00454A29"/>
        </w:tc>
        <w:tc>
          <w:tcPr>
            <w:tcW w:w="2154" w:type="dxa"/>
            <w:vMerge/>
            <w:tcBorders>
              <w:top w:val="nil"/>
              <w:bottom w:val="nil"/>
            </w:tcBorders>
          </w:tcPr>
          <w:p w14:paraId="3EB83AF1" w14:textId="77777777" w:rsidR="00454A29" w:rsidRDefault="00454A29"/>
        </w:tc>
        <w:tc>
          <w:tcPr>
            <w:tcW w:w="2154" w:type="dxa"/>
            <w:vMerge/>
            <w:tcBorders>
              <w:top w:val="nil"/>
              <w:bottom w:val="nil"/>
            </w:tcBorders>
          </w:tcPr>
          <w:p w14:paraId="3CBA16F4" w14:textId="77777777" w:rsidR="00454A29" w:rsidRDefault="00454A29"/>
        </w:tc>
        <w:tc>
          <w:tcPr>
            <w:tcW w:w="2665" w:type="dxa"/>
            <w:vMerge/>
          </w:tcPr>
          <w:p w14:paraId="4A0F5B97" w14:textId="77777777" w:rsidR="00454A29" w:rsidRDefault="00454A29"/>
        </w:tc>
        <w:tc>
          <w:tcPr>
            <w:tcW w:w="2665" w:type="dxa"/>
            <w:vMerge/>
          </w:tcPr>
          <w:p w14:paraId="4A399E99" w14:textId="77777777" w:rsidR="00454A29" w:rsidRDefault="00454A29"/>
        </w:tc>
        <w:tc>
          <w:tcPr>
            <w:tcW w:w="1928" w:type="dxa"/>
            <w:vMerge/>
          </w:tcPr>
          <w:p w14:paraId="1F863F42" w14:textId="77777777" w:rsidR="00454A29" w:rsidRDefault="00454A29"/>
        </w:tc>
        <w:tc>
          <w:tcPr>
            <w:tcW w:w="1644" w:type="dxa"/>
            <w:vMerge/>
          </w:tcPr>
          <w:p w14:paraId="7C357B20" w14:textId="77777777" w:rsidR="00454A29" w:rsidRDefault="00454A29"/>
        </w:tc>
        <w:tc>
          <w:tcPr>
            <w:tcW w:w="2041" w:type="dxa"/>
            <w:vMerge/>
          </w:tcPr>
          <w:p w14:paraId="2AC164A6" w14:textId="77777777" w:rsidR="00454A29" w:rsidRDefault="00454A29"/>
        </w:tc>
        <w:tc>
          <w:tcPr>
            <w:tcW w:w="2098" w:type="dxa"/>
            <w:vAlign w:val="center"/>
          </w:tcPr>
          <w:p w14:paraId="583F0F0B"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630F191" w14:textId="77777777" w:rsidR="00454A29" w:rsidRDefault="00454A29">
            <w:pPr>
              <w:pStyle w:val="ConsPlusNormal"/>
              <w:jc w:val="center"/>
            </w:pPr>
            <w:r>
              <w:t>0,00</w:t>
            </w:r>
          </w:p>
        </w:tc>
        <w:tc>
          <w:tcPr>
            <w:tcW w:w="1701" w:type="dxa"/>
            <w:vAlign w:val="center"/>
          </w:tcPr>
          <w:p w14:paraId="1EAFEF9D" w14:textId="77777777" w:rsidR="00454A29" w:rsidRDefault="00454A29">
            <w:pPr>
              <w:pStyle w:val="ConsPlusNormal"/>
              <w:jc w:val="center"/>
            </w:pPr>
            <w:r>
              <w:t>0,00</w:t>
            </w:r>
          </w:p>
        </w:tc>
        <w:tc>
          <w:tcPr>
            <w:tcW w:w="1701" w:type="dxa"/>
            <w:vAlign w:val="center"/>
          </w:tcPr>
          <w:p w14:paraId="5E882CC1" w14:textId="77777777" w:rsidR="00454A29" w:rsidRDefault="00454A29">
            <w:pPr>
              <w:pStyle w:val="ConsPlusNormal"/>
              <w:jc w:val="center"/>
            </w:pPr>
            <w:r>
              <w:t>0,00</w:t>
            </w:r>
          </w:p>
        </w:tc>
        <w:tc>
          <w:tcPr>
            <w:tcW w:w="1701" w:type="dxa"/>
            <w:vAlign w:val="center"/>
          </w:tcPr>
          <w:p w14:paraId="2929D656" w14:textId="77777777" w:rsidR="00454A29" w:rsidRDefault="00454A29">
            <w:pPr>
              <w:pStyle w:val="ConsPlusNormal"/>
              <w:jc w:val="center"/>
            </w:pPr>
            <w:r>
              <w:t>0,00</w:t>
            </w:r>
          </w:p>
        </w:tc>
        <w:tc>
          <w:tcPr>
            <w:tcW w:w="1701" w:type="dxa"/>
            <w:vAlign w:val="center"/>
          </w:tcPr>
          <w:p w14:paraId="45105C23" w14:textId="77777777" w:rsidR="00454A29" w:rsidRDefault="00454A29">
            <w:pPr>
              <w:pStyle w:val="ConsPlusNormal"/>
              <w:jc w:val="center"/>
            </w:pPr>
            <w:r>
              <w:t>0,00</w:t>
            </w:r>
          </w:p>
        </w:tc>
        <w:tc>
          <w:tcPr>
            <w:tcW w:w="1701" w:type="dxa"/>
            <w:vAlign w:val="center"/>
          </w:tcPr>
          <w:p w14:paraId="1FAB7BB7" w14:textId="77777777" w:rsidR="00454A29" w:rsidRDefault="00454A29">
            <w:pPr>
              <w:pStyle w:val="ConsPlusNormal"/>
              <w:jc w:val="center"/>
            </w:pPr>
            <w:r>
              <w:t>0,00</w:t>
            </w:r>
          </w:p>
        </w:tc>
        <w:tc>
          <w:tcPr>
            <w:tcW w:w="1701" w:type="dxa"/>
            <w:vAlign w:val="center"/>
          </w:tcPr>
          <w:p w14:paraId="10B5DC85" w14:textId="77777777" w:rsidR="00454A29" w:rsidRDefault="00454A29">
            <w:pPr>
              <w:pStyle w:val="ConsPlusNormal"/>
              <w:jc w:val="center"/>
            </w:pPr>
            <w:r>
              <w:t>0,00</w:t>
            </w:r>
          </w:p>
        </w:tc>
      </w:tr>
      <w:tr w:rsidR="00454A29" w14:paraId="3358A52E" w14:textId="77777777">
        <w:tc>
          <w:tcPr>
            <w:tcW w:w="964" w:type="dxa"/>
            <w:vMerge/>
          </w:tcPr>
          <w:p w14:paraId="57F2CA72" w14:textId="77777777" w:rsidR="00454A29" w:rsidRDefault="00454A29"/>
        </w:tc>
        <w:tc>
          <w:tcPr>
            <w:tcW w:w="2154" w:type="dxa"/>
            <w:vMerge/>
            <w:tcBorders>
              <w:top w:val="nil"/>
              <w:bottom w:val="nil"/>
            </w:tcBorders>
          </w:tcPr>
          <w:p w14:paraId="184D6317" w14:textId="77777777" w:rsidR="00454A29" w:rsidRDefault="00454A29"/>
        </w:tc>
        <w:tc>
          <w:tcPr>
            <w:tcW w:w="2154" w:type="dxa"/>
            <w:vMerge/>
            <w:tcBorders>
              <w:top w:val="nil"/>
              <w:bottom w:val="nil"/>
            </w:tcBorders>
          </w:tcPr>
          <w:p w14:paraId="6BDF1D81" w14:textId="77777777" w:rsidR="00454A29" w:rsidRDefault="00454A29"/>
        </w:tc>
        <w:tc>
          <w:tcPr>
            <w:tcW w:w="2665" w:type="dxa"/>
            <w:vMerge/>
          </w:tcPr>
          <w:p w14:paraId="697BC7E2" w14:textId="77777777" w:rsidR="00454A29" w:rsidRDefault="00454A29"/>
        </w:tc>
        <w:tc>
          <w:tcPr>
            <w:tcW w:w="2665" w:type="dxa"/>
            <w:vMerge/>
          </w:tcPr>
          <w:p w14:paraId="4CB02A34" w14:textId="77777777" w:rsidR="00454A29" w:rsidRDefault="00454A29"/>
        </w:tc>
        <w:tc>
          <w:tcPr>
            <w:tcW w:w="1928" w:type="dxa"/>
            <w:vMerge/>
          </w:tcPr>
          <w:p w14:paraId="1D4FE575" w14:textId="77777777" w:rsidR="00454A29" w:rsidRDefault="00454A29"/>
        </w:tc>
        <w:tc>
          <w:tcPr>
            <w:tcW w:w="1644" w:type="dxa"/>
            <w:vMerge/>
          </w:tcPr>
          <w:p w14:paraId="1D2287CE" w14:textId="77777777" w:rsidR="00454A29" w:rsidRDefault="00454A29"/>
        </w:tc>
        <w:tc>
          <w:tcPr>
            <w:tcW w:w="2041" w:type="dxa"/>
            <w:vMerge/>
          </w:tcPr>
          <w:p w14:paraId="50C0BC8E" w14:textId="77777777" w:rsidR="00454A29" w:rsidRDefault="00454A29"/>
        </w:tc>
        <w:tc>
          <w:tcPr>
            <w:tcW w:w="2098" w:type="dxa"/>
            <w:vAlign w:val="center"/>
          </w:tcPr>
          <w:p w14:paraId="0D0E81CF" w14:textId="77777777" w:rsidR="00454A29" w:rsidRDefault="00454A29">
            <w:pPr>
              <w:pStyle w:val="ConsPlusNormal"/>
              <w:jc w:val="center"/>
            </w:pPr>
            <w:r>
              <w:t>Федеральный бюджет</w:t>
            </w:r>
          </w:p>
        </w:tc>
        <w:tc>
          <w:tcPr>
            <w:tcW w:w="1814" w:type="dxa"/>
            <w:vAlign w:val="center"/>
          </w:tcPr>
          <w:p w14:paraId="00969D19" w14:textId="77777777" w:rsidR="00454A29" w:rsidRDefault="00454A29">
            <w:pPr>
              <w:pStyle w:val="ConsPlusNormal"/>
              <w:jc w:val="center"/>
            </w:pPr>
            <w:r>
              <w:t>0,00</w:t>
            </w:r>
          </w:p>
        </w:tc>
        <w:tc>
          <w:tcPr>
            <w:tcW w:w="1701" w:type="dxa"/>
            <w:vAlign w:val="center"/>
          </w:tcPr>
          <w:p w14:paraId="2D1572B8" w14:textId="77777777" w:rsidR="00454A29" w:rsidRDefault="00454A29">
            <w:pPr>
              <w:pStyle w:val="ConsPlusNormal"/>
              <w:jc w:val="center"/>
            </w:pPr>
            <w:r>
              <w:t>0,00</w:t>
            </w:r>
          </w:p>
        </w:tc>
        <w:tc>
          <w:tcPr>
            <w:tcW w:w="1701" w:type="dxa"/>
            <w:vAlign w:val="center"/>
          </w:tcPr>
          <w:p w14:paraId="2ADEBDE2" w14:textId="77777777" w:rsidR="00454A29" w:rsidRDefault="00454A29">
            <w:pPr>
              <w:pStyle w:val="ConsPlusNormal"/>
              <w:jc w:val="center"/>
            </w:pPr>
            <w:r>
              <w:t>0,00</w:t>
            </w:r>
          </w:p>
        </w:tc>
        <w:tc>
          <w:tcPr>
            <w:tcW w:w="1701" w:type="dxa"/>
            <w:vAlign w:val="center"/>
          </w:tcPr>
          <w:p w14:paraId="3E275F8E" w14:textId="77777777" w:rsidR="00454A29" w:rsidRDefault="00454A29">
            <w:pPr>
              <w:pStyle w:val="ConsPlusNormal"/>
              <w:jc w:val="center"/>
            </w:pPr>
            <w:r>
              <w:t>0,00</w:t>
            </w:r>
          </w:p>
        </w:tc>
        <w:tc>
          <w:tcPr>
            <w:tcW w:w="1701" w:type="dxa"/>
            <w:vAlign w:val="center"/>
          </w:tcPr>
          <w:p w14:paraId="0789A19E" w14:textId="77777777" w:rsidR="00454A29" w:rsidRDefault="00454A29">
            <w:pPr>
              <w:pStyle w:val="ConsPlusNormal"/>
              <w:jc w:val="center"/>
            </w:pPr>
            <w:r>
              <w:t>0,00</w:t>
            </w:r>
          </w:p>
        </w:tc>
        <w:tc>
          <w:tcPr>
            <w:tcW w:w="1701" w:type="dxa"/>
            <w:vAlign w:val="center"/>
          </w:tcPr>
          <w:p w14:paraId="4609F015" w14:textId="77777777" w:rsidR="00454A29" w:rsidRDefault="00454A29">
            <w:pPr>
              <w:pStyle w:val="ConsPlusNormal"/>
              <w:jc w:val="center"/>
            </w:pPr>
            <w:r>
              <w:t>0,00</w:t>
            </w:r>
          </w:p>
        </w:tc>
        <w:tc>
          <w:tcPr>
            <w:tcW w:w="1701" w:type="dxa"/>
            <w:vAlign w:val="center"/>
          </w:tcPr>
          <w:p w14:paraId="064C2CA0" w14:textId="77777777" w:rsidR="00454A29" w:rsidRDefault="00454A29">
            <w:pPr>
              <w:pStyle w:val="ConsPlusNormal"/>
              <w:jc w:val="center"/>
            </w:pPr>
            <w:r>
              <w:t>0,00</w:t>
            </w:r>
          </w:p>
        </w:tc>
      </w:tr>
      <w:tr w:rsidR="00454A29" w14:paraId="1296A7C6" w14:textId="77777777">
        <w:tc>
          <w:tcPr>
            <w:tcW w:w="964" w:type="dxa"/>
            <w:vMerge/>
          </w:tcPr>
          <w:p w14:paraId="6AC5B23F" w14:textId="77777777" w:rsidR="00454A29" w:rsidRDefault="00454A29"/>
        </w:tc>
        <w:tc>
          <w:tcPr>
            <w:tcW w:w="2154" w:type="dxa"/>
            <w:vMerge/>
            <w:tcBorders>
              <w:top w:val="nil"/>
              <w:bottom w:val="nil"/>
            </w:tcBorders>
          </w:tcPr>
          <w:p w14:paraId="3D54013D" w14:textId="77777777" w:rsidR="00454A29" w:rsidRDefault="00454A29"/>
        </w:tc>
        <w:tc>
          <w:tcPr>
            <w:tcW w:w="2154" w:type="dxa"/>
            <w:vMerge/>
            <w:tcBorders>
              <w:top w:val="nil"/>
              <w:bottom w:val="nil"/>
            </w:tcBorders>
          </w:tcPr>
          <w:p w14:paraId="5AC05FCB" w14:textId="77777777" w:rsidR="00454A29" w:rsidRDefault="00454A29"/>
        </w:tc>
        <w:tc>
          <w:tcPr>
            <w:tcW w:w="2665" w:type="dxa"/>
            <w:vMerge/>
          </w:tcPr>
          <w:p w14:paraId="2127D866" w14:textId="77777777" w:rsidR="00454A29" w:rsidRDefault="00454A29"/>
        </w:tc>
        <w:tc>
          <w:tcPr>
            <w:tcW w:w="2665" w:type="dxa"/>
            <w:vMerge/>
          </w:tcPr>
          <w:p w14:paraId="10A578E1" w14:textId="77777777" w:rsidR="00454A29" w:rsidRDefault="00454A29"/>
        </w:tc>
        <w:tc>
          <w:tcPr>
            <w:tcW w:w="1928" w:type="dxa"/>
            <w:vMerge/>
          </w:tcPr>
          <w:p w14:paraId="371B0F94" w14:textId="77777777" w:rsidR="00454A29" w:rsidRDefault="00454A29"/>
        </w:tc>
        <w:tc>
          <w:tcPr>
            <w:tcW w:w="1644" w:type="dxa"/>
            <w:vMerge/>
          </w:tcPr>
          <w:p w14:paraId="24317151" w14:textId="77777777" w:rsidR="00454A29" w:rsidRDefault="00454A29"/>
        </w:tc>
        <w:tc>
          <w:tcPr>
            <w:tcW w:w="2041" w:type="dxa"/>
            <w:vMerge/>
          </w:tcPr>
          <w:p w14:paraId="17D4EE05" w14:textId="77777777" w:rsidR="00454A29" w:rsidRDefault="00454A29"/>
        </w:tc>
        <w:tc>
          <w:tcPr>
            <w:tcW w:w="2098" w:type="dxa"/>
            <w:vAlign w:val="center"/>
          </w:tcPr>
          <w:p w14:paraId="5EBBF521" w14:textId="77777777" w:rsidR="00454A29" w:rsidRDefault="00454A29">
            <w:pPr>
              <w:pStyle w:val="ConsPlusNormal"/>
              <w:jc w:val="center"/>
            </w:pPr>
            <w:r>
              <w:t>Местные бюджеты</w:t>
            </w:r>
          </w:p>
        </w:tc>
        <w:tc>
          <w:tcPr>
            <w:tcW w:w="1814" w:type="dxa"/>
            <w:vAlign w:val="center"/>
          </w:tcPr>
          <w:p w14:paraId="6BB7DF7B" w14:textId="77777777" w:rsidR="00454A29" w:rsidRDefault="00454A29">
            <w:pPr>
              <w:pStyle w:val="ConsPlusNormal"/>
              <w:jc w:val="center"/>
            </w:pPr>
            <w:r>
              <w:t>0,00</w:t>
            </w:r>
          </w:p>
        </w:tc>
        <w:tc>
          <w:tcPr>
            <w:tcW w:w="1701" w:type="dxa"/>
            <w:vAlign w:val="center"/>
          </w:tcPr>
          <w:p w14:paraId="0805727D" w14:textId="77777777" w:rsidR="00454A29" w:rsidRDefault="00454A29">
            <w:pPr>
              <w:pStyle w:val="ConsPlusNormal"/>
              <w:jc w:val="center"/>
            </w:pPr>
            <w:r>
              <w:t>0,00</w:t>
            </w:r>
          </w:p>
        </w:tc>
        <w:tc>
          <w:tcPr>
            <w:tcW w:w="1701" w:type="dxa"/>
            <w:vAlign w:val="center"/>
          </w:tcPr>
          <w:p w14:paraId="5405E22D" w14:textId="77777777" w:rsidR="00454A29" w:rsidRDefault="00454A29">
            <w:pPr>
              <w:pStyle w:val="ConsPlusNormal"/>
              <w:jc w:val="center"/>
            </w:pPr>
            <w:r>
              <w:t>0,00</w:t>
            </w:r>
          </w:p>
        </w:tc>
        <w:tc>
          <w:tcPr>
            <w:tcW w:w="1701" w:type="dxa"/>
            <w:vAlign w:val="center"/>
          </w:tcPr>
          <w:p w14:paraId="00C2BE1B" w14:textId="77777777" w:rsidR="00454A29" w:rsidRDefault="00454A29">
            <w:pPr>
              <w:pStyle w:val="ConsPlusNormal"/>
              <w:jc w:val="center"/>
            </w:pPr>
            <w:r>
              <w:t>0,00</w:t>
            </w:r>
          </w:p>
        </w:tc>
        <w:tc>
          <w:tcPr>
            <w:tcW w:w="1701" w:type="dxa"/>
            <w:vAlign w:val="center"/>
          </w:tcPr>
          <w:p w14:paraId="4A03B88C" w14:textId="77777777" w:rsidR="00454A29" w:rsidRDefault="00454A29">
            <w:pPr>
              <w:pStyle w:val="ConsPlusNormal"/>
              <w:jc w:val="center"/>
            </w:pPr>
            <w:r>
              <w:t>0,00</w:t>
            </w:r>
          </w:p>
        </w:tc>
        <w:tc>
          <w:tcPr>
            <w:tcW w:w="1701" w:type="dxa"/>
            <w:vAlign w:val="center"/>
          </w:tcPr>
          <w:p w14:paraId="0BCBA92E" w14:textId="77777777" w:rsidR="00454A29" w:rsidRDefault="00454A29">
            <w:pPr>
              <w:pStyle w:val="ConsPlusNormal"/>
              <w:jc w:val="center"/>
            </w:pPr>
            <w:r>
              <w:t>0,00</w:t>
            </w:r>
          </w:p>
        </w:tc>
        <w:tc>
          <w:tcPr>
            <w:tcW w:w="1701" w:type="dxa"/>
            <w:vAlign w:val="center"/>
          </w:tcPr>
          <w:p w14:paraId="1F26123E" w14:textId="77777777" w:rsidR="00454A29" w:rsidRDefault="00454A29">
            <w:pPr>
              <w:pStyle w:val="ConsPlusNormal"/>
              <w:jc w:val="center"/>
            </w:pPr>
            <w:r>
              <w:t>0,00</w:t>
            </w:r>
          </w:p>
        </w:tc>
      </w:tr>
      <w:tr w:rsidR="00454A29" w14:paraId="32640FDD" w14:textId="77777777">
        <w:tc>
          <w:tcPr>
            <w:tcW w:w="964" w:type="dxa"/>
            <w:vMerge/>
          </w:tcPr>
          <w:p w14:paraId="38AF02D7" w14:textId="77777777" w:rsidR="00454A29" w:rsidRDefault="00454A29"/>
        </w:tc>
        <w:tc>
          <w:tcPr>
            <w:tcW w:w="2154" w:type="dxa"/>
            <w:vMerge/>
            <w:tcBorders>
              <w:top w:val="nil"/>
              <w:bottom w:val="nil"/>
            </w:tcBorders>
          </w:tcPr>
          <w:p w14:paraId="2D0CB684" w14:textId="77777777" w:rsidR="00454A29" w:rsidRDefault="00454A29"/>
        </w:tc>
        <w:tc>
          <w:tcPr>
            <w:tcW w:w="2154" w:type="dxa"/>
            <w:vMerge/>
            <w:tcBorders>
              <w:top w:val="nil"/>
              <w:bottom w:val="nil"/>
            </w:tcBorders>
          </w:tcPr>
          <w:p w14:paraId="5BC2B992" w14:textId="77777777" w:rsidR="00454A29" w:rsidRDefault="00454A29"/>
        </w:tc>
        <w:tc>
          <w:tcPr>
            <w:tcW w:w="2665" w:type="dxa"/>
            <w:vMerge/>
          </w:tcPr>
          <w:p w14:paraId="58560B27" w14:textId="77777777" w:rsidR="00454A29" w:rsidRDefault="00454A29"/>
        </w:tc>
        <w:tc>
          <w:tcPr>
            <w:tcW w:w="2665" w:type="dxa"/>
            <w:vMerge/>
          </w:tcPr>
          <w:p w14:paraId="77F6AD55" w14:textId="77777777" w:rsidR="00454A29" w:rsidRDefault="00454A29"/>
        </w:tc>
        <w:tc>
          <w:tcPr>
            <w:tcW w:w="1928" w:type="dxa"/>
            <w:vMerge/>
          </w:tcPr>
          <w:p w14:paraId="4D6491BC" w14:textId="77777777" w:rsidR="00454A29" w:rsidRDefault="00454A29"/>
        </w:tc>
        <w:tc>
          <w:tcPr>
            <w:tcW w:w="1644" w:type="dxa"/>
            <w:vMerge/>
          </w:tcPr>
          <w:p w14:paraId="2637BCE1" w14:textId="77777777" w:rsidR="00454A29" w:rsidRDefault="00454A29"/>
        </w:tc>
        <w:tc>
          <w:tcPr>
            <w:tcW w:w="2041" w:type="dxa"/>
            <w:vMerge/>
          </w:tcPr>
          <w:p w14:paraId="4355C693" w14:textId="77777777" w:rsidR="00454A29" w:rsidRDefault="00454A29"/>
        </w:tc>
        <w:tc>
          <w:tcPr>
            <w:tcW w:w="2098" w:type="dxa"/>
            <w:vAlign w:val="center"/>
          </w:tcPr>
          <w:p w14:paraId="4CAFD024" w14:textId="77777777" w:rsidR="00454A29" w:rsidRDefault="00454A29">
            <w:pPr>
              <w:pStyle w:val="ConsPlusNormal"/>
              <w:jc w:val="center"/>
            </w:pPr>
            <w:r>
              <w:t>Внебюджетные средства</w:t>
            </w:r>
          </w:p>
        </w:tc>
        <w:tc>
          <w:tcPr>
            <w:tcW w:w="1814" w:type="dxa"/>
            <w:vAlign w:val="center"/>
          </w:tcPr>
          <w:p w14:paraId="0FD0CDA6" w14:textId="77777777" w:rsidR="00454A29" w:rsidRDefault="00454A29">
            <w:pPr>
              <w:pStyle w:val="ConsPlusNormal"/>
              <w:jc w:val="center"/>
            </w:pPr>
            <w:r>
              <w:t>0,00</w:t>
            </w:r>
          </w:p>
        </w:tc>
        <w:tc>
          <w:tcPr>
            <w:tcW w:w="1701" w:type="dxa"/>
            <w:vAlign w:val="center"/>
          </w:tcPr>
          <w:p w14:paraId="586E013E" w14:textId="77777777" w:rsidR="00454A29" w:rsidRDefault="00454A29">
            <w:pPr>
              <w:pStyle w:val="ConsPlusNormal"/>
              <w:jc w:val="center"/>
            </w:pPr>
            <w:r>
              <w:t>0,00</w:t>
            </w:r>
          </w:p>
        </w:tc>
        <w:tc>
          <w:tcPr>
            <w:tcW w:w="1701" w:type="dxa"/>
            <w:vAlign w:val="center"/>
          </w:tcPr>
          <w:p w14:paraId="0F327A3F" w14:textId="77777777" w:rsidR="00454A29" w:rsidRDefault="00454A29">
            <w:pPr>
              <w:pStyle w:val="ConsPlusNormal"/>
              <w:jc w:val="center"/>
            </w:pPr>
            <w:r>
              <w:t>0,00</w:t>
            </w:r>
          </w:p>
        </w:tc>
        <w:tc>
          <w:tcPr>
            <w:tcW w:w="1701" w:type="dxa"/>
            <w:vAlign w:val="center"/>
          </w:tcPr>
          <w:p w14:paraId="1E888ABF" w14:textId="77777777" w:rsidR="00454A29" w:rsidRDefault="00454A29">
            <w:pPr>
              <w:pStyle w:val="ConsPlusNormal"/>
              <w:jc w:val="center"/>
            </w:pPr>
            <w:r>
              <w:t>0,00</w:t>
            </w:r>
          </w:p>
        </w:tc>
        <w:tc>
          <w:tcPr>
            <w:tcW w:w="1701" w:type="dxa"/>
            <w:vAlign w:val="center"/>
          </w:tcPr>
          <w:p w14:paraId="773F7C47" w14:textId="77777777" w:rsidR="00454A29" w:rsidRDefault="00454A29">
            <w:pPr>
              <w:pStyle w:val="ConsPlusNormal"/>
              <w:jc w:val="center"/>
            </w:pPr>
            <w:r>
              <w:t>0,00</w:t>
            </w:r>
          </w:p>
        </w:tc>
        <w:tc>
          <w:tcPr>
            <w:tcW w:w="1701" w:type="dxa"/>
            <w:vAlign w:val="center"/>
          </w:tcPr>
          <w:p w14:paraId="598FA727" w14:textId="77777777" w:rsidR="00454A29" w:rsidRDefault="00454A29">
            <w:pPr>
              <w:pStyle w:val="ConsPlusNormal"/>
              <w:jc w:val="center"/>
            </w:pPr>
            <w:r>
              <w:t>0,00</w:t>
            </w:r>
          </w:p>
        </w:tc>
        <w:tc>
          <w:tcPr>
            <w:tcW w:w="1701" w:type="dxa"/>
            <w:vAlign w:val="center"/>
          </w:tcPr>
          <w:p w14:paraId="770C6AA4" w14:textId="77777777" w:rsidR="00454A29" w:rsidRDefault="00454A29">
            <w:pPr>
              <w:pStyle w:val="ConsPlusNormal"/>
              <w:jc w:val="center"/>
            </w:pPr>
            <w:r>
              <w:t>0,00</w:t>
            </w:r>
          </w:p>
        </w:tc>
      </w:tr>
      <w:tr w:rsidR="00454A29" w14:paraId="7E30FB76" w14:textId="77777777">
        <w:tc>
          <w:tcPr>
            <w:tcW w:w="964" w:type="dxa"/>
            <w:vMerge w:val="restart"/>
            <w:vAlign w:val="center"/>
          </w:tcPr>
          <w:p w14:paraId="43C1558C" w14:textId="77777777" w:rsidR="00454A29" w:rsidRDefault="00454A29">
            <w:pPr>
              <w:pStyle w:val="ConsPlusNormal"/>
              <w:jc w:val="center"/>
            </w:pPr>
            <w:r>
              <w:t>6.3.</w:t>
            </w:r>
          </w:p>
        </w:tc>
        <w:tc>
          <w:tcPr>
            <w:tcW w:w="2154" w:type="dxa"/>
            <w:vMerge w:val="restart"/>
            <w:tcBorders>
              <w:top w:val="nil"/>
              <w:bottom w:val="nil"/>
            </w:tcBorders>
            <w:vAlign w:val="center"/>
          </w:tcPr>
          <w:p w14:paraId="6AFBA18A" w14:textId="77777777" w:rsidR="00454A29" w:rsidRDefault="00454A29">
            <w:pPr>
              <w:pStyle w:val="ConsPlusNormal"/>
            </w:pPr>
          </w:p>
        </w:tc>
        <w:tc>
          <w:tcPr>
            <w:tcW w:w="2154" w:type="dxa"/>
            <w:vMerge w:val="restart"/>
            <w:tcBorders>
              <w:top w:val="nil"/>
              <w:bottom w:val="nil"/>
            </w:tcBorders>
            <w:vAlign w:val="center"/>
          </w:tcPr>
          <w:p w14:paraId="5271287D" w14:textId="77777777" w:rsidR="00454A29" w:rsidRDefault="00454A29">
            <w:pPr>
              <w:pStyle w:val="ConsPlusNormal"/>
            </w:pPr>
          </w:p>
        </w:tc>
        <w:tc>
          <w:tcPr>
            <w:tcW w:w="2665" w:type="dxa"/>
            <w:vMerge w:val="restart"/>
            <w:vAlign w:val="center"/>
          </w:tcPr>
          <w:p w14:paraId="5A2B18E7" w14:textId="77777777" w:rsidR="00454A29" w:rsidRDefault="00454A29">
            <w:pPr>
              <w:pStyle w:val="ConsPlusNormal"/>
              <w:jc w:val="center"/>
            </w:pPr>
            <w:r>
              <w:t>Результат 2. Реализован комплекс мер для непрерывного и планомерного повышения квалификации педагогических работников</w:t>
            </w:r>
          </w:p>
        </w:tc>
        <w:tc>
          <w:tcPr>
            <w:tcW w:w="2665" w:type="dxa"/>
            <w:vMerge w:val="restart"/>
            <w:vAlign w:val="center"/>
          </w:tcPr>
          <w:p w14:paraId="4267396C" w14:textId="77777777" w:rsidR="00454A29" w:rsidRDefault="00454A29">
            <w:pPr>
              <w:pStyle w:val="ConsPlusNormal"/>
              <w:jc w:val="center"/>
            </w:pPr>
            <w:r>
              <w:t>Мероприятие 7.3.3. Внедрение механизмов стимулирования участия педагогических работников в работе профессиональных ассоциаций и сообществ</w:t>
            </w:r>
          </w:p>
        </w:tc>
        <w:tc>
          <w:tcPr>
            <w:tcW w:w="1928" w:type="dxa"/>
            <w:vMerge w:val="restart"/>
            <w:vAlign w:val="center"/>
          </w:tcPr>
          <w:p w14:paraId="0D12C678" w14:textId="77777777" w:rsidR="00454A29" w:rsidRDefault="00454A29">
            <w:pPr>
              <w:pStyle w:val="ConsPlusNormal"/>
              <w:jc w:val="center"/>
            </w:pPr>
            <w:r>
              <w:t>-</w:t>
            </w:r>
          </w:p>
        </w:tc>
        <w:tc>
          <w:tcPr>
            <w:tcW w:w="1644" w:type="dxa"/>
            <w:vMerge w:val="restart"/>
            <w:vAlign w:val="center"/>
          </w:tcPr>
          <w:p w14:paraId="2454A217" w14:textId="77777777" w:rsidR="00454A29" w:rsidRDefault="00454A29">
            <w:pPr>
              <w:pStyle w:val="ConsPlusNormal"/>
              <w:jc w:val="center"/>
            </w:pPr>
            <w:r>
              <w:t>-</w:t>
            </w:r>
          </w:p>
        </w:tc>
        <w:tc>
          <w:tcPr>
            <w:tcW w:w="2041" w:type="dxa"/>
            <w:vMerge w:val="restart"/>
            <w:vAlign w:val="center"/>
          </w:tcPr>
          <w:p w14:paraId="5DDB248B" w14:textId="77777777" w:rsidR="00454A29" w:rsidRDefault="00454A29">
            <w:pPr>
              <w:pStyle w:val="ConsPlusNormal"/>
              <w:jc w:val="center"/>
            </w:pPr>
            <w:r>
              <w:t>-</w:t>
            </w:r>
          </w:p>
        </w:tc>
        <w:tc>
          <w:tcPr>
            <w:tcW w:w="2098" w:type="dxa"/>
            <w:vAlign w:val="center"/>
          </w:tcPr>
          <w:p w14:paraId="3B15E0AF" w14:textId="77777777" w:rsidR="00454A29" w:rsidRDefault="00454A29">
            <w:pPr>
              <w:pStyle w:val="ConsPlusNormal"/>
              <w:jc w:val="center"/>
            </w:pPr>
            <w:r>
              <w:t>Итого</w:t>
            </w:r>
          </w:p>
        </w:tc>
        <w:tc>
          <w:tcPr>
            <w:tcW w:w="1814" w:type="dxa"/>
            <w:vAlign w:val="center"/>
          </w:tcPr>
          <w:p w14:paraId="51595A89" w14:textId="77777777" w:rsidR="00454A29" w:rsidRDefault="00454A29">
            <w:pPr>
              <w:pStyle w:val="ConsPlusNormal"/>
              <w:jc w:val="center"/>
            </w:pPr>
            <w:r>
              <w:t>0,00</w:t>
            </w:r>
          </w:p>
        </w:tc>
        <w:tc>
          <w:tcPr>
            <w:tcW w:w="1701" w:type="dxa"/>
            <w:vAlign w:val="center"/>
          </w:tcPr>
          <w:p w14:paraId="6BF3261D" w14:textId="77777777" w:rsidR="00454A29" w:rsidRDefault="00454A29">
            <w:pPr>
              <w:pStyle w:val="ConsPlusNormal"/>
              <w:jc w:val="center"/>
            </w:pPr>
            <w:r>
              <w:t>0,00</w:t>
            </w:r>
          </w:p>
        </w:tc>
        <w:tc>
          <w:tcPr>
            <w:tcW w:w="1701" w:type="dxa"/>
            <w:vAlign w:val="center"/>
          </w:tcPr>
          <w:p w14:paraId="6A0A1966" w14:textId="77777777" w:rsidR="00454A29" w:rsidRDefault="00454A29">
            <w:pPr>
              <w:pStyle w:val="ConsPlusNormal"/>
              <w:jc w:val="center"/>
            </w:pPr>
            <w:r>
              <w:t>0,00</w:t>
            </w:r>
          </w:p>
        </w:tc>
        <w:tc>
          <w:tcPr>
            <w:tcW w:w="1701" w:type="dxa"/>
            <w:vAlign w:val="center"/>
          </w:tcPr>
          <w:p w14:paraId="207D496E" w14:textId="77777777" w:rsidR="00454A29" w:rsidRDefault="00454A29">
            <w:pPr>
              <w:pStyle w:val="ConsPlusNormal"/>
              <w:jc w:val="center"/>
            </w:pPr>
            <w:r>
              <w:t>0,00</w:t>
            </w:r>
          </w:p>
        </w:tc>
        <w:tc>
          <w:tcPr>
            <w:tcW w:w="1701" w:type="dxa"/>
            <w:vAlign w:val="center"/>
          </w:tcPr>
          <w:p w14:paraId="0176BF9B" w14:textId="77777777" w:rsidR="00454A29" w:rsidRDefault="00454A29">
            <w:pPr>
              <w:pStyle w:val="ConsPlusNormal"/>
              <w:jc w:val="center"/>
            </w:pPr>
            <w:r>
              <w:t>0,00</w:t>
            </w:r>
          </w:p>
        </w:tc>
        <w:tc>
          <w:tcPr>
            <w:tcW w:w="1701" w:type="dxa"/>
            <w:vAlign w:val="center"/>
          </w:tcPr>
          <w:p w14:paraId="43A14B17" w14:textId="77777777" w:rsidR="00454A29" w:rsidRDefault="00454A29">
            <w:pPr>
              <w:pStyle w:val="ConsPlusNormal"/>
              <w:jc w:val="center"/>
            </w:pPr>
            <w:r>
              <w:t>0,00</w:t>
            </w:r>
          </w:p>
        </w:tc>
        <w:tc>
          <w:tcPr>
            <w:tcW w:w="1701" w:type="dxa"/>
            <w:vAlign w:val="center"/>
          </w:tcPr>
          <w:p w14:paraId="1DCA8A86" w14:textId="77777777" w:rsidR="00454A29" w:rsidRDefault="00454A29">
            <w:pPr>
              <w:pStyle w:val="ConsPlusNormal"/>
              <w:jc w:val="center"/>
            </w:pPr>
            <w:r>
              <w:t>0,00</w:t>
            </w:r>
          </w:p>
        </w:tc>
      </w:tr>
      <w:tr w:rsidR="00454A29" w14:paraId="60127B7B" w14:textId="77777777">
        <w:tc>
          <w:tcPr>
            <w:tcW w:w="964" w:type="dxa"/>
            <w:vMerge/>
          </w:tcPr>
          <w:p w14:paraId="382BD454" w14:textId="77777777" w:rsidR="00454A29" w:rsidRDefault="00454A29"/>
        </w:tc>
        <w:tc>
          <w:tcPr>
            <w:tcW w:w="2154" w:type="dxa"/>
            <w:vMerge/>
            <w:tcBorders>
              <w:top w:val="nil"/>
              <w:bottom w:val="nil"/>
            </w:tcBorders>
          </w:tcPr>
          <w:p w14:paraId="047D7B1A" w14:textId="77777777" w:rsidR="00454A29" w:rsidRDefault="00454A29"/>
        </w:tc>
        <w:tc>
          <w:tcPr>
            <w:tcW w:w="2154" w:type="dxa"/>
            <w:vMerge/>
            <w:tcBorders>
              <w:top w:val="nil"/>
              <w:bottom w:val="nil"/>
            </w:tcBorders>
          </w:tcPr>
          <w:p w14:paraId="5CE84D17" w14:textId="77777777" w:rsidR="00454A29" w:rsidRDefault="00454A29"/>
        </w:tc>
        <w:tc>
          <w:tcPr>
            <w:tcW w:w="2665" w:type="dxa"/>
            <w:vMerge/>
          </w:tcPr>
          <w:p w14:paraId="56E2517B" w14:textId="77777777" w:rsidR="00454A29" w:rsidRDefault="00454A29"/>
        </w:tc>
        <w:tc>
          <w:tcPr>
            <w:tcW w:w="2665" w:type="dxa"/>
            <w:vMerge/>
          </w:tcPr>
          <w:p w14:paraId="435CCBA0" w14:textId="77777777" w:rsidR="00454A29" w:rsidRDefault="00454A29"/>
        </w:tc>
        <w:tc>
          <w:tcPr>
            <w:tcW w:w="1928" w:type="dxa"/>
            <w:vMerge/>
          </w:tcPr>
          <w:p w14:paraId="59FCA133" w14:textId="77777777" w:rsidR="00454A29" w:rsidRDefault="00454A29"/>
        </w:tc>
        <w:tc>
          <w:tcPr>
            <w:tcW w:w="1644" w:type="dxa"/>
            <w:vMerge/>
          </w:tcPr>
          <w:p w14:paraId="4BC106D4" w14:textId="77777777" w:rsidR="00454A29" w:rsidRDefault="00454A29"/>
        </w:tc>
        <w:tc>
          <w:tcPr>
            <w:tcW w:w="2041" w:type="dxa"/>
            <w:vMerge/>
          </w:tcPr>
          <w:p w14:paraId="472FE309" w14:textId="77777777" w:rsidR="00454A29" w:rsidRDefault="00454A29"/>
        </w:tc>
        <w:tc>
          <w:tcPr>
            <w:tcW w:w="2098" w:type="dxa"/>
            <w:vAlign w:val="center"/>
          </w:tcPr>
          <w:p w14:paraId="132598F4"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4698376" w14:textId="77777777" w:rsidR="00454A29" w:rsidRDefault="00454A29">
            <w:pPr>
              <w:pStyle w:val="ConsPlusNormal"/>
              <w:jc w:val="center"/>
            </w:pPr>
            <w:r>
              <w:t>0,00</w:t>
            </w:r>
          </w:p>
        </w:tc>
        <w:tc>
          <w:tcPr>
            <w:tcW w:w="1701" w:type="dxa"/>
            <w:vAlign w:val="center"/>
          </w:tcPr>
          <w:p w14:paraId="7EE50FE5" w14:textId="77777777" w:rsidR="00454A29" w:rsidRDefault="00454A29">
            <w:pPr>
              <w:pStyle w:val="ConsPlusNormal"/>
              <w:jc w:val="center"/>
            </w:pPr>
            <w:r>
              <w:t>0,00</w:t>
            </w:r>
          </w:p>
        </w:tc>
        <w:tc>
          <w:tcPr>
            <w:tcW w:w="1701" w:type="dxa"/>
            <w:vAlign w:val="center"/>
          </w:tcPr>
          <w:p w14:paraId="349FAFB7" w14:textId="77777777" w:rsidR="00454A29" w:rsidRDefault="00454A29">
            <w:pPr>
              <w:pStyle w:val="ConsPlusNormal"/>
              <w:jc w:val="center"/>
            </w:pPr>
            <w:r>
              <w:t>0,00</w:t>
            </w:r>
          </w:p>
        </w:tc>
        <w:tc>
          <w:tcPr>
            <w:tcW w:w="1701" w:type="dxa"/>
            <w:vAlign w:val="center"/>
          </w:tcPr>
          <w:p w14:paraId="6D24CC21" w14:textId="77777777" w:rsidR="00454A29" w:rsidRDefault="00454A29">
            <w:pPr>
              <w:pStyle w:val="ConsPlusNormal"/>
              <w:jc w:val="center"/>
            </w:pPr>
            <w:r>
              <w:t>0,00</w:t>
            </w:r>
          </w:p>
        </w:tc>
        <w:tc>
          <w:tcPr>
            <w:tcW w:w="1701" w:type="dxa"/>
            <w:vAlign w:val="center"/>
          </w:tcPr>
          <w:p w14:paraId="37B80739" w14:textId="77777777" w:rsidR="00454A29" w:rsidRDefault="00454A29">
            <w:pPr>
              <w:pStyle w:val="ConsPlusNormal"/>
              <w:jc w:val="center"/>
            </w:pPr>
            <w:r>
              <w:t>0,00</w:t>
            </w:r>
          </w:p>
        </w:tc>
        <w:tc>
          <w:tcPr>
            <w:tcW w:w="1701" w:type="dxa"/>
            <w:vAlign w:val="center"/>
          </w:tcPr>
          <w:p w14:paraId="29F9EBA7" w14:textId="77777777" w:rsidR="00454A29" w:rsidRDefault="00454A29">
            <w:pPr>
              <w:pStyle w:val="ConsPlusNormal"/>
              <w:jc w:val="center"/>
            </w:pPr>
            <w:r>
              <w:t>0,00</w:t>
            </w:r>
          </w:p>
        </w:tc>
        <w:tc>
          <w:tcPr>
            <w:tcW w:w="1701" w:type="dxa"/>
            <w:vAlign w:val="center"/>
          </w:tcPr>
          <w:p w14:paraId="73D22641" w14:textId="77777777" w:rsidR="00454A29" w:rsidRDefault="00454A29">
            <w:pPr>
              <w:pStyle w:val="ConsPlusNormal"/>
              <w:jc w:val="center"/>
            </w:pPr>
            <w:r>
              <w:t>0,00</w:t>
            </w:r>
          </w:p>
        </w:tc>
      </w:tr>
      <w:tr w:rsidR="00454A29" w14:paraId="0C017E14" w14:textId="77777777">
        <w:tc>
          <w:tcPr>
            <w:tcW w:w="964" w:type="dxa"/>
            <w:vMerge/>
          </w:tcPr>
          <w:p w14:paraId="4017FEDE" w14:textId="77777777" w:rsidR="00454A29" w:rsidRDefault="00454A29"/>
        </w:tc>
        <w:tc>
          <w:tcPr>
            <w:tcW w:w="2154" w:type="dxa"/>
            <w:vMerge/>
            <w:tcBorders>
              <w:top w:val="nil"/>
              <w:bottom w:val="nil"/>
            </w:tcBorders>
          </w:tcPr>
          <w:p w14:paraId="739954AD" w14:textId="77777777" w:rsidR="00454A29" w:rsidRDefault="00454A29"/>
        </w:tc>
        <w:tc>
          <w:tcPr>
            <w:tcW w:w="2154" w:type="dxa"/>
            <w:vMerge/>
            <w:tcBorders>
              <w:top w:val="nil"/>
              <w:bottom w:val="nil"/>
            </w:tcBorders>
          </w:tcPr>
          <w:p w14:paraId="5C525C5E" w14:textId="77777777" w:rsidR="00454A29" w:rsidRDefault="00454A29"/>
        </w:tc>
        <w:tc>
          <w:tcPr>
            <w:tcW w:w="2665" w:type="dxa"/>
            <w:vMerge/>
          </w:tcPr>
          <w:p w14:paraId="5EAE7529" w14:textId="77777777" w:rsidR="00454A29" w:rsidRDefault="00454A29"/>
        </w:tc>
        <w:tc>
          <w:tcPr>
            <w:tcW w:w="2665" w:type="dxa"/>
            <w:vMerge/>
          </w:tcPr>
          <w:p w14:paraId="65D19F20" w14:textId="77777777" w:rsidR="00454A29" w:rsidRDefault="00454A29"/>
        </w:tc>
        <w:tc>
          <w:tcPr>
            <w:tcW w:w="1928" w:type="dxa"/>
            <w:vMerge/>
          </w:tcPr>
          <w:p w14:paraId="35D28AC8" w14:textId="77777777" w:rsidR="00454A29" w:rsidRDefault="00454A29"/>
        </w:tc>
        <w:tc>
          <w:tcPr>
            <w:tcW w:w="1644" w:type="dxa"/>
            <w:vMerge/>
          </w:tcPr>
          <w:p w14:paraId="6922F3AB" w14:textId="77777777" w:rsidR="00454A29" w:rsidRDefault="00454A29"/>
        </w:tc>
        <w:tc>
          <w:tcPr>
            <w:tcW w:w="2041" w:type="dxa"/>
            <w:vMerge/>
          </w:tcPr>
          <w:p w14:paraId="7CEADF3A" w14:textId="77777777" w:rsidR="00454A29" w:rsidRDefault="00454A29"/>
        </w:tc>
        <w:tc>
          <w:tcPr>
            <w:tcW w:w="2098" w:type="dxa"/>
            <w:vAlign w:val="center"/>
          </w:tcPr>
          <w:p w14:paraId="5982BACA" w14:textId="77777777" w:rsidR="00454A29" w:rsidRDefault="00454A29">
            <w:pPr>
              <w:pStyle w:val="ConsPlusNormal"/>
              <w:jc w:val="center"/>
            </w:pPr>
            <w:r>
              <w:t>Федеральный бюджет</w:t>
            </w:r>
          </w:p>
        </w:tc>
        <w:tc>
          <w:tcPr>
            <w:tcW w:w="1814" w:type="dxa"/>
            <w:vAlign w:val="center"/>
          </w:tcPr>
          <w:p w14:paraId="0744C801" w14:textId="77777777" w:rsidR="00454A29" w:rsidRDefault="00454A29">
            <w:pPr>
              <w:pStyle w:val="ConsPlusNormal"/>
              <w:jc w:val="center"/>
            </w:pPr>
            <w:r>
              <w:t>0,00</w:t>
            </w:r>
          </w:p>
        </w:tc>
        <w:tc>
          <w:tcPr>
            <w:tcW w:w="1701" w:type="dxa"/>
            <w:vAlign w:val="center"/>
          </w:tcPr>
          <w:p w14:paraId="74B98210" w14:textId="77777777" w:rsidR="00454A29" w:rsidRDefault="00454A29">
            <w:pPr>
              <w:pStyle w:val="ConsPlusNormal"/>
              <w:jc w:val="center"/>
            </w:pPr>
            <w:r>
              <w:t>0,00</w:t>
            </w:r>
          </w:p>
        </w:tc>
        <w:tc>
          <w:tcPr>
            <w:tcW w:w="1701" w:type="dxa"/>
            <w:vAlign w:val="center"/>
          </w:tcPr>
          <w:p w14:paraId="0BBF8665" w14:textId="77777777" w:rsidR="00454A29" w:rsidRDefault="00454A29">
            <w:pPr>
              <w:pStyle w:val="ConsPlusNormal"/>
              <w:jc w:val="center"/>
            </w:pPr>
            <w:r>
              <w:t>0,00</w:t>
            </w:r>
          </w:p>
        </w:tc>
        <w:tc>
          <w:tcPr>
            <w:tcW w:w="1701" w:type="dxa"/>
            <w:vAlign w:val="center"/>
          </w:tcPr>
          <w:p w14:paraId="4D93776E" w14:textId="77777777" w:rsidR="00454A29" w:rsidRDefault="00454A29">
            <w:pPr>
              <w:pStyle w:val="ConsPlusNormal"/>
              <w:jc w:val="center"/>
            </w:pPr>
            <w:r>
              <w:t>0,00</w:t>
            </w:r>
          </w:p>
        </w:tc>
        <w:tc>
          <w:tcPr>
            <w:tcW w:w="1701" w:type="dxa"/>
            <w:vAlign w:val="center"/>
          </w:tcPr>
          <w:p w14:paraId="2D598D48" w14:textId="77777777" w:rsidR="00454A29" w:rsidRDefault="00454A29">
            <w:pPr>
              <w:pStyle w:val="ConsPlusNormal"/>
              <w:jc w:val="center"/>
            </w:pPr>
            <w:r>
              <w:t>0,00</w:t>
            </w:r>
          </w:p>
        </w:tc>
        <w:tc>
          <w:tcPr>
            <w:tcW w:w="1701" w:type="dxa"/>
            <w:vAlign w:val="center"/>
          </w:tcPr>
          <w:p w14:paraId="5F8DC039" w14:textId="77777777" w:rsidR="00454A29" w:rsidRDefault="00454A29">
            <w:pPr>
              <w:pStyle w:val="ConsPlusNormal"/>
              <w:jc w:val="center"/>
            </w:pPr>
            <w:r>
              <w:t>0,00</w:t>
            </w:r>
          </w:p>
        </w:tc>
        <w:tc>
          <w:tcPr>
            <w:tcW w:w="1701" w:type="dxa"/>
            <w:vAlign w:val="center"/>
          </w:tcPr>
          <w:p w14:paraId="5C1425F8" w14:textId="77777777" w:rsidR="00454A29" w:rsidRDefault="00454A29">
            <w:pPr>
              <w:pStyle w:val="ConsPlusNormal"/>
              <w:jc w:val="center"/>
            </w:pPr>
            <w:r>
              <w:t>0,00</w:t>
            </w:r>
          </w:p>
        </w:tc>
      </w:tr>
      <w:tr w:rsidR="00454A29" w14:paraId="319DDFC3" w14:textId="77777777">
        <w:tc>
          <w:tcPr>
            <w:tcW w:w="964" w:type="dxa"/>
            <w:vMerge/>
          </w:tcPr>
          <w:p w14:paraId="304E76B8" w14:textId="77777777" w:rsidR="00454A29" w:rsidRDefault="00454A29"/>
        </w:tc>
        <w:tc>
          <w:tcPr>
            <w:tcW w:w="2154" w:type="dxa"/>
            <w:vMerge/>
            <w:tcBorders>
              <w:top w:val="nil"/>
              <w:bottom w:val="nil"/>
            </w:tcBorders>
          </w:tcPr>
          <w:p w14:paraId="4D2D4630" w14:textId="77777777" w:rsidR="00454A29" w:rsidRDefault="00454A29"/>
        </w:tc>
        <w:tc>
          <w:tcPr>
            <w:tcW w:w="2154" w:type="dxa"/>
            <w:vMerge/>
            <w:tcBorders>
              <w:top w:val="nil"/>
              <w:bottom w:val="nil"/>
            </w:tcBorders>
          </w:tcPr>
          <w:p w14:paraId="5CEA7501" w14:textId="77777777" w:rsidR="00454A29" w:rsidRDefault="00454A29"/>
        </w:tc>
        <w:tc>
          <w:tcPr>
            <w:tcW w:w="2665" w:type="dxa"/>
            <w:vMerge/>
          </w:tcPr>
          <w:p w14:paraId="299791D7" w14:textId="77777777" w:rsidR="00454A29" w:rsidRDefault="00454A29"/>
        </w:tc>
        <w:tc>
          <w:tcPr>
            <w:tcW w:w="2665" w:type="dxa"/>
            <w:vMerge/>
          </w:tcPr>
          <w:p w14:paraId="36C29CDA" w14:textId="77777777" w:rsidR="00454A29" w:rsidRDefault="00454A29"/>
        </w:tc>
        <w:tc>
          <w:tcPr>
            <w:tcW w:w="1928" w:type="dxa"/>
            <w:vMerge/>
          </w:tcPr>
          <w:p w14:paraId="6308366D" w14:textId="77777777" w:rsidR="00454A29" w:rsidRDefault="00454A29"/>
        </w:tc>
        <w:tc>
          <w:tcPr>
            <w:tcW w:w="1644" w:type="dxa"/>
            <w:vMerge/>
          </w:tcPr>
          <w:p w14:paraId="4D1CEEA1" w14:textId="77777777" w:rsidR="00454A29" w:rsidRDefault="00454A29"/>
        </w:tc>
        <w:tc>
          <w:tcPr>
            <w:tcW w:w="2041" w:type="dxa"/>
            <w:vMerge/>
          </w:tcPr>
          <w:p w14:paraId="69FB7A11" w14:textId="77777777" w:rsidR="00454A29" w:rsidRDefault="00454A29"/>
        </w:tc>
        <w:tc>
          <w:tcPr>
            <w:tcW w:w="2098" w:type="dxa"/>
            <w:vAlign w:val="center"/>
          </w:tcPr>
          <w:p w14:paraId="6F86C75F" w14:textId="77777777" w:rsidR="00454A29" w:rsidRDefault="00454A29">
            <w:pPr>
              <w:pStyle w:val="ConsPlusNormal"/>
              <w:jc w:val="center"/>
            </w:pPr>
            <w:r>
              <w:t>Местные бюджеты</w:t>
            </w:r>
          </w:p>
        </w:tc>
        <w:tc>
          <w:tcPr>
            <w:tcW w:w="1814" w:type="dxa"/>
            <w:vAlign w:val="center"/>
          </w:tcPr>
          <w:p w14:paraId="209B889E" w14:textId="77777777" w:rsidR="00454A29" w:rsidRDefault="00454A29">
            <w:pPr>
              <w:pStyle w:val="ConsPlusNormal"/>
              <w:jc w:val="center"/>
            </w:pPr>
            <w:r>
              <w:t>0,00</w:t>
            </w:r>
          </w:p>
        </w:tc>
        <w:tc>
          <w:tcPr>
            <w:tcW w:w="1701" w:type="dxa"/>
            <w:vAlign w:val="center"/>
          </w:tcPr>
          <w:p w14:paraId="09D4C7AE" w14:textId="77777777" w:rsidR="00454A29" w:rsidRDefault="00454A29">
            <w:pPr>
              <w:pStyle w:val="ConsPlusNormal"/>
              <w:jc w:val="center"/>
            </w:pPr>
            <w:r>
              <w:t>0,00</w:t>
            </w:r>
          </w:p>
        </w:tc>
        <w:tc>
          <w:tcPr>
            <w:tcW w:w="1701" w:type="dxa"/>
            <w:vAlign w:val="center"/>
          </w:tcPr>
          <w:p w14:paraId="42FD0D1E" w14:textId="77777777" w:rsidR="00454A29" w:rsidRDefault="00454A29">
            <w:pPr>
              <w:pStyle w:val="ConsPlusNormal"/>
              <w:jc w:val="center"/>
            </w:pPr>
            <w:r>
              <w:t>0,00</w:t>
            </w:r>
          </w:p>
        </w:tc>
        <w:tc>
          <w:tcPr>
            <w:tcW w:w="1701" w:type="dxa"/>
            <w:vAlign w:val="center"/>
          </w:tcPr>
          <w:p w14:paraId="00ED0681" w14:textId="77777777" w:rsidR="00454A29" w:rsidRDefault="00454A29">
            <w:pPr>
              <w:pStyle w:val="ConsPlusNormal"/>
              <w:jc w:val="center"/>
            </w:pPr>
            <w:r>
              <w:t>0,00</w:t>
            </w:r>
          </w:p>
        </w:tc>
        <w:tc>
          <w:tcPr>
            <w:tcW w:w="1701" w:type="dxa"/>
            <w:vAlign w:val="center"/>
          </w:tcPr>
          <w:p w14:paraId="201F24BC" w14:textId="77777777" w:rsidR="00454A29" w:rsidRDefault="00454A29">
            <w:pPr>
              <w:pStyle w:val="ConsPlusNormal"/>
              <w:jc w:val="center"/>
            </w:pPr>
            <w:r>
              <w:t>0,00</w:t>
            </w:r>
          </w:p>
        </w:tc>
        <w:tc>
          <w:tcPr>
            <w:tcW w:w="1701" w:type="dxa"/>
            <w:vAlign w:val="center"/>
          </w:tcPr>
          <w:p w14:paraId="65D0F7AB" w14:textId="77777777" w:rsidR="00454A29" w:rsidRDefault="00454A29">
            <w:pPr>
              <w:pStyle w:val="ConsPlusNormal"/>
              <w:jc w:val="center"/>
            </w:pPr>
            <w:r>
              <w:t>0,00</w:t>
            </w:r>
          </w:p>
        </w:tc>
        <w:tc>
          <w:tcPr>
            <w:tcW w:w="1701" w:type="dxa"/>
            <w:vAlign w:val="center"/>
          </w:tcPr>
          <w:p w14:paraId="1CBA4961" w14:textId="77777777" w:rsidR="00454A29" w:rsidRDefault="00454A29">
            <w:pPr>
              <w:pStyle w:val="ConsPlusNormal"/>
              <w:jc w:val="center"/>
            </w:pPr>
            <w:r>
              <w:t>0,00</w:t>
            </w:r>
          </w:p>
        </w:tc>
      </w:tr>
      <w:tr w:rsidR="00454A29" w14:paraId="6DA0E3EA" w14:textId="77777777">
        <w:tc>
          <w:tcPr>
            <w:tcW w:w="964" w:type="dxa"/>
            <w:vMerge/>
          </w:tcPr>
          <w:p w14:paraId="109E074C" w14:textId="77777777" w:rsidR="00454A29" w:rsidRDefault="00454A29"/>
        </w:tc>
        <w:tc>
          <w:tcPr>
            <w:tcW w:w="2154" w:type="dxa"/>
            <w:vMerge/>
            <w:tcBorders>
              <w:top w:val="nil"/>
              <w:bottom w:val="nil"/>
            </w:tcBorders>
          </w:tcPr>
          <w:p w14:paraId="198A9EB7" w14:textId="77777777" w:rsidR="00454A29" w:rsidRDefault="00454A29"/>
        </w:tc>
        <w:tc>
          <w:tcPr>
            <w:tcW w:w="2154" w:type="dxa"/>
            <w:vMerge/>
            <w:tcBorders>
              <w:top w:val="nil"/>
              <w:bottom w:val="nil"/>
            </w:tcBorders>
          </w:tcPr>
          <w:p w14:paraId="75F79D7B" w14:textId="77777777" w:rsidR="00454A29" w:rsidRDefault="00454A29"/>
        </w:tc>
        <w:tc>
          <w:tcPr>
            <w:tcW w:w="2665" w:type="dxa"/>
            <w:vMerge/>
          </w:tcPr>
          <w:p w14:paraId="37617111" w14:textId="77777777" w:rsidR="00454A29" w:rsidRDefault="00454A29"/>
        </w:tc>
        <w:tc>
          <w:tcPr>
            <w:tcW w:w="2665" w:type="dxa"/>
            <w:vMerge/>
          </w:tcPr>
          <w:p w14:paraId="303B7CE8" w14:textId="77777777" w:rsidR="00454A29" w:rsidRDefault="00454A29"/>
        </w:tc>
        <w:tc>
          <w:tcPr>
            <w:tcW w:w="1928" w:type="dxa"/>
            <w:vMerge/>
          </w:tcPr>
          <w:p w14:paraId="7533A10D" w14:textId="77777777" w:rsidR="00454A29" w:rsidRDefault="00454A29"/>
        </w:tc>
        <w:tc>
          <w:tcPr>
            <w:tcW w:w="1644" w:type="dxa"/>
            <w:vMerge/>
          </w:tcPr>
          <w:p w14:paraId="58B66895" w14:textId="77777777" w:rsidR="00454A29" w:rsidRDefault="00454A29"/>
        </w:tc>
        <w:tc>
          <w:tcPr>
            <w:tcW w:w="2041" w:type="dxa"/>
            <w:vMerge/>
          </w:tcPr>
          <w:p w14:paraId="68D6F584" w14:textId="77777777" w:rsidR="00454A29" w:rsidRDefault="00454A29"/>
        </w:tc>
        <w:tc>
          <w:tcPr>
            <w:tcW w:w="2098" w:type="dxa"/>
            <w:vAlign w:val="center"/>
          </w:tcPr>
          <w:p w14:paraId="1995BD8B" w14:textId="77777777" w:rsidR="00454A29" w:rsidRDefault="00454A29">
            <w:pPr>
              <w:pStyle w:val="ConsPlusNormal"/>
              <w:jc w:val="center"/>
            </w:pPr>
            <w:r>
              <w:t xml:space="preserve">Внебюджетные </w:t>
            </w:r>
            <w:r>
              <w:lastRenderedPageBreak/>
              <w:t>средства</w:t>
            </w:r>
          </w:p>
        </w:tc>
        <w:tc>
          <w:tcPr>
            <w:tcW w:w="1814" w:type="dxa"/>
            <w:vAlign w:val="center"/>
          </w:tcPr>
          <w:p w14:paraId="20954940" w14:textId="77777777" w:rsidR="00454A29" w:rsidRDefault="00454A29">
            <w:pPr>
              <w:pStyle w:val="ConsPlusNormal"/>
              <w:jc w:val="center"/>
            </w:pPr>
            <w:r>
              <w:lastRenderedPageBreak/>
              <w:t>0,00</w:t>
            </w:r>
          </w:p>
        </w:tc>
        <w:tc>
          <w:tcPr>
            <w:tcW w:w="1701" w:type="dxa"/>
            <w:vAlign w:val="center"/>
          </w:tcPr>
          <w:p w14:paraId="1A27E83B" w14:textId="77777777" w:rsidR="00454A29" w:rsidRDefault="00454A29">
            <w:pPr>
              <w:pStyle w:val="ConsPlusNormal"/>
              <w:jc w:val="center"/>
            </w:pPr>
            <w:r>
              <w:t>0,00</w:t>
            </w:r>
          </w:p>
        </w:tc>
        <w:tc>
          <w:tcPr>
            <w:tcW w:w="1701" w:type="dxa"/>
            <w:vAlign w:val="center"/>
          </w:tcPr>
          <w:p w14:paraId="0804D9F5" w14:textId="77777777" w:rsidR="00454A29" w:rsidRDefault="00454A29">
            <w:pPr>
              <w:pStyle w:val="ConsPlusNormal"/>
              <w:jc w:val="center"/>
            </w:pPr>
            <w:r>
              <w:t>0,00</w:t>
            </w:r>
          </w:p>
        </w:tc>
        <w:tc>
          <w:tcPr>
            <w:tcW w:w="1701" w:type="dxa"/>
            <w:vAlign w:val="center"/>
          </w:tcPr>
          <w:p w14:paraId="3D2A3A29" w14:textId="77777777" w:rsidR="00454A29" w:rsidRDefault="00454A29">
            <w:pPr>
              <w:pStyle w:val="ConsPlusNormal"/>
              <w:jc w:val="center"/>
            </w:pPr>
            <w:r>
              <w:t>0,00</w:t>
            </w:r>
          </w:p>
        </w:tc>
        <w:tc>
          <w:tcPr>
            <w:tcW w:w="1701" w:type="dxa"/>
            <w:vAlign w:val="center"/>
          </w:tcPr>
          <w:p w14:paraId="18060C8A" w14:textId="77777777" w:rsidR="00454A29" w:rsidRDefault="00454A29">
            <w:pPr>
              <w:pStyle w:val="ConsPlusNormal"/>
              <w:jc w:val="center"/>
            </w:pPr>
            <w:r>
              <w:t>0,00</w:t>
            </w:r>
          </w:p>
        </w:tc>
        <w:tc>
          <w:tcPr>
            <w:tcW w:w="1701" w:type="dxa"/>
            <w:vAlign w:val="center"/>
          </w:tcPr>
          <w:p w14:paraId="3B1BD536" w14:textId="77777777" w:rsidR="00454A29" w:rsidRDefault="00454A29">
            <w:pPr>
              <w:pStyle w:val="ConsPlusNormal"/>
              <w:jc w:val="center"/>
            </w:pPr>
            <w:r>
              <w:t>0,00</w:t>
            </w:r>
          </w:p>
        </w:tc>
        <w:tc>
          <w:tcPr>
            <w:tcW w:w="1701" w:type="dxa"/>
            <w:vAlign w:val="center"/>
          </w:tcPr>
          <w:p w14:paraId="35CF529B" w14:textId="77777777" w:rsidR="00454A29" w:rsidRDefault="00454A29">
            <w:pPr>
              <w:pStyle w:val="ConsPlusNormal"/>
              <w:jc w:val="center"/>
            </w:pPr>
            <w:r>
              <w:t>0,00</w:t>
            </w:r>
          </w:p>
        </w:tc>
      </w:tr>
      <w:tr w:rsidR="00454A29" w14:paraId="54AD3EA8" w14:textId="77777777">
        <w:tc>
          <w:tcPr>
            <w:tcW w:w="964" w:type="dxa"/>
            <w:vMerge w:val="restart"/>
            <w:vAlign w:val="center"/>
          </w:tcPr>
          <w:p w14:paraId="50547F85" w14:textId="77777777" w:rsidR="00454A29" w:rsidRDefault="00454A29">
            <w:pPr>
              <w:pStyle w:val="ConsPlusNormal"/>
              <w:jc w:val="center"/>
            </w:pPr>
            <w:r>
              <w:t>6.4.</w:t>
            </w:r>
          </w:p>
        </w:tc>
        <w:tc>
          <w:tcPr>
            <w:tcW w:w="2154" w:type="dxa"/>
            <w:vMerge w:val="restart"/>
            <w:tcBorders>
              <w:top w:val="nil"/>
              <w:bottom w:val="nil"/>
            </w:tcBorders>
            <w:vAlign w:val="center"/>
          </w:tcPr>
          <w:p w14:paraId="54ACE05D" w14:textId="77777777" w:rsidR="00454A29" w:rsidRDefault="00454A29">
            <w:pPr>
              <w:pStyle w:val="ConsPlusNormal"/>
            </w:pPr>
          </w:p>
        </w:tc>
        <w:tc>
          <w:tcPr>
            <w:tcW w:w="2154" w:type="dxa"/>
            <w:vMerge w:val="restart"/>
            <w:tcBorders>
              <w:top w:val="nil"/>
              <w:bottom w:val="nil"/>
            </w:tcBorders>
            <w:vAlign w:val="center"/>
          </w:tcPr>
          <w:p w14:paraId="072841D4" w14:textId="77777777" w:rsidR="00454A29" w:rsidRDefault="00454A29">
            <w:pPr>
              <w:pStyle w:val="ConsPlusNormal"/>
            </w:pPr>
          </w:p>
        </w:tc>
        <w:tc>
          <w:tcPr>
            <w:tcW w:w="2665" w:type="dxa"/>
            <w:vMerge w:val="restart"/>
            <w:vAlign w:val="center"/>
          </w:tcPr>
          <w:p w14:paraId="2E722707" w14:textId="77777777" w:rsidR="00454A29" w:rsidRDefault="00454A29">
            <w:pPr>
              <w:pStyle w:val="ConsPlusNormal"/>
              <w:jc w:val="center"/>
            </w:pPr>
            <w:r>
              <w:t>Результат 3. Не менее 50%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w:t>
            </w:r>
          </w:p>
        </w:tc>
        <w:tc>
          <w:tcPr>
            <w:tcW w:w="2665" w:type="dxa"/>
            <w:vMerge w:val="restart"/>
            <w:vAlign w:val="center"/>
          </w:tcPr>
          <w:p w14:paraId="6C4FF62E" w14:textId="77777777" w:rsidR="00454A29" w:rsidRDefault="00454A29">
            <w:pPr>
              <w:pStyle w:val="ConsPlusNormal"/>
              <w:jc w:val="center"/>
            </w:pPr>
            <w:r>
              <w:t>Мероприятие 7.3.4. Создание центров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 (приобретение мебели, оборудования)</w:t>
            </w:r>
          </w:p>
        </w:tc>
        <w:tc>
          <w:tcPr>
            <w:tcW w:w="1928" w:type="dxa"/>
            <w:vMerge w:val="restart"/>
            <w:vAlign w:val="center"/>
          </w:tcPr>
          <w:p w14:paraId="52A43D38" w14:textId="77777777" w:rsidR="00454A29" w:rsidRDefault="00454A29">
            <w:pPr>
              <w:pStyle w:val="ConsPlusNormal"/>
              <w:jc w:val="center"/>
            </w:pPr>
            <w:r>
              <w:t>-</w:t>
            </w:r>
          </w:p>
        </w:tc>
        <w:tc>
          <w:tcPr>
            <w:tcW w:w="1644" w:type="dxa"/>
            <w:vMerge w:val="restart"/>
            <w:vAlign w:val="center"/>
          </w:tcPr>
          <w:p w14:paraId="01CD6696" w14:textId="77777777" w:rsidR="00454A29" w:rsidRDefault="00454A29">
            <w:pPr>
              <w:pStyle w:val="ConsPlusNormal"/>
              <w:jc w:val="center"/>
            </w:pPr>
            <w:r>
              <w:t>-</w:t>
            </w:r>
          </w:p>
        </w:tc>
        <w:tc>
          <w:tcPr>
            <w:tcW w:w="2041" w:type="dxa"/>
            <w:vMerge w:val="restart"/>
            <w:vAlign w:val="center"/>
          </w:tcPr>
          <w:p w14:paraId="3FE548C8" w14:textId="77777777" w:rsidR="00454A29" w:rsidRDefault="00454A29">
            <w:pPr>
              <w:pStyle w:val="ConsPlusNormal"/>
              <w:jc w:val="center"/>
            </w:pPr>
            <w:r>
              <w:t>-</w:t>
            </w:r>
          </w:p>
        </w:tc>
        <w:tc>
          <w:tcPr>
            <w:tcW w:w="2098" w:type="dxa"/>
            <w:vAlign w:val="center"/>
          </w:tcPr>
          <w:p w14:paraId="5A25F4A7" w14:textId="77777777" w:rsidR="00454A29" w:rsidRDefault="00454A29">
            <w:pPr>
              <w:pStyle w:val="ConsPlusNormal"/>
              <w:jc w:val="center"/>
            </w:pPr>
            <w:r>
              <w:t>Итого</w:t>
            </w:r>
          </w:p>
        </w:tc>
        <w:tc>
          <w:tcPr>
            <w:tcW w:w="1814" w:type="dxa"/>
            <w:vAlign w:val="center"/>
          </w:tcPr>
          <w:p w14:paraId="7D278CE5" w14:textId="77777777" w:rsidR="00454A29" w:rsidRDefault="00454A29">
            <w:pPr>
              <w:pStyle w:val="ConsPlusNormal"/>
              <w:jc w:val="center"/>
            </w:pPr>
            <w:r>
              <w:t>0,00</w:t>
            </w:r>
          </w:p>
        </w:tc>
        <w:tc>
          <w:tcPr>
            <w:tcW w:w="1701" w:type="dxa"/>
            <w:vAlign w:val="center"/>
          </w:tcPr>
          <w:p w14:paraId="71553269" w14:textId="77777777" w:rsidR="00454A29" w:rsidRDefault="00454A29">
            <w:pPr>
              <w:pStyle w:val="ConsPlusNormal"/>
              <w:jc w:val="center"/>
            </w:pPr>
            <w:r>
              <w:t>0,00</w:t>
            </w:r>
          </w:p>
        </w:tc>
        <w:tc>
          <w:tcPr>
            <w:tcW w:w="1701" w:type="dxa"/>
            <w:vAlign w:val="center"/>
          </w:tcPr>
          <w:p w14:paraId="6C7BE4D9" w14:textId="77777777" w:rsidR="00454A29" w:rsidRDefault="00454A29">
            <w:pPr>
              <w:pStyle w:val="ConsPlusNormal"/>
              <w:jc w:val="center"/>
            </w:pPr>
            <w:r>
              <w:t>0,00</w:t>
            </w:r>
          </w:p>
        </w:tc>
        <w:tc>
          <w:tcPr>
            <w:tcW w:w="1701" w:type="dxa"/>
            <w:vAlign w:val="center"/>
          </w:tcPr>
          <w:p w14:paraId="680738AA" w14:textId="77777777" w:rsidR="00454A29" w:rsidRDefault="00454A29">
            <w:pPr>
              <w:pStyle w:val="ConsPlusNormal"/>
              <w:jc w:val="center"/>
            </w:pPr>
            <w:r>
              <w:t>0,00</w:t>
            </w:r>
          </w:p>
        </w:tc>
        <w:tc>
          <w:tcPr>
            <w:tcW w:w="1701" w:type="dxa"/>
            <w:vAlign w:val="center"/>
          </w:tcPr>
          <w:p w14:paraId="7815B7E2" w14:textId="77777777" w:rsidR="00454A29" w:rsidRDefault="00454A29">
            <w:pPr>
              <w:pStyle w:val="ConsPlusNormal"/>
              <w:jc w:val="center"/>
            </w:pPr>
            <w:r>
              <w:t>0,00</w:t>
            </w:r>
          </w:p>
        </w:tc>
        <w:tc>
          <w:tcPr>
            <w:tcW w:w="1701" w:type="dxa"/>
            <w:vAlign w:val="center"/>
          </w:tcPr>
          <w:p w14:paraId="743C490B" w14:textId="77777777" w:rsidR="00454A29" w:rsidRDefault="00454A29">
            <w:pPr>
              <w:pStyle w:val="ConsPlusNormal"/>
              <w:jc w:val="center"/>
            </w:pPr>
            <w:r>
              <w:t>0,00</w:t>
            </w:r>
          </w:p>
        </w:tc>
        <w:tc>
          <w:tcPr>
            <w:tcW w:w="1701" w:type="dxa"/>
            <w:vAlign w:val="center"/>
          </w:tcPr>
          <w:p w14:paraId="47CB1339" w14:textId="77777777" w:rsidR="00454A29" w:rsidRDefault="00454A29">
            <w:pPr>
              <w:pStyle w:val="ConsPlusNormal"/>
              <w:jc w:val="center"/>
            </w:pPr>
            <w:r>
              <w:t>0,00</w:t>
            </w:r>
          </w:p>
        </w:tc>
      </w:tr>
      <w:tr w:rsidR="00454A29" w14:paraId="49F90A87" w14:textId="77777777">
        <w:tc>
          <w:tcPr>
            <w:tcW w:w="964" w:type="dxa"/>
            <w:vMerge/>
          </w:tcPr>
          <w:p w14:paraId="1549A1C7" w14:textId="77777777" w:rsidR="00454A29" w:rsidRDefault="00454A29"/>
        </w:tc>
        <w:tc>
          <w:tcPr>
            <w:tcW w:w="2154" w:type="dxa"/>
            <w:vMerge/>
            <w:tcBorders>
              <w:top w:val="nil"/>
              <w:bottom w:val="nil"/>
            </w:tcBorders>
          </w:tcPr>
          <w:p w14:paraId="44D0149A" w14:textId="77777777" w:rsidR="00454A29" w:rsidRDefault="00454A29"/>
        </w:tc>
        <w:tc>
          <w:tcPr>
            <w:tcW w:w="2154" w:type="dxa"/>
            <w:vMerge/>
            <w:tcBorders>
              <w:top w:val="nil"/>
              <w:bottom w:val="nil"/>
            </w:tcBorders>
          </w:tcPr>
          <w:p w14:paraId="7DB33275" w14:textId="77777777" w:rsidR="00454A29" w:rsidRDefault="00454A29"/>
        </w:tc>
        <w:tc>
          <w:tcPr>
            <w:tcW w:w="2665" w:type="dxa"/>
            <w:vMerge/>
          </w:tcPr>
          <w:p w14:paraId="5EA39C87" w14:textId="77777777" w:rsidR="00454A29" w:rsidRDefault="00454A29"/>
        </w:tc>
        <w:tc>
          <w:tcPr>
            <w:tcW w:w="2665" w:type="dxa"/>
            <w:vMerge/>
          </w:tcPr>
          <w:p w14:paraId="45B8C1C8" w14:textId="77777777" w:rsidR="00454A29" w:rsidRDefault="00454A29"/>
        </w:tc>
        <w:tc>
          <w:tcPr>
            <w:tcW w:w="1928" w:type="dxa"/>
            <w:vMerge/>
          </w:tcPr>
          <w:p w14:paraId="5BEEEE38" w14:textId="77777777" w:rsidR="00454A29" w:rsidRDefault="00454A29"/>
        </w:tc>
        <w:tc>
          <w:tcPr>
            <w:tcW w:w="1644" w:type="dxa"/>
            <w:vMerge/>
          </w:tcPr>
          <w:p w14:paraId="7835CF01" w14:textId="77777777" w:rsidR="00454A29" w:rsidRDefault="00454A29"/>
        </w:tc>
        <w:tc>
          <w:tcPr>
            <w:tcW w:w="2041" w:type="dxa"/>
            <w:vMerge/>
          </w:tcPr>
          <w:p w14:paraId="43535273" w14:textId="77777777" w:rsidR="00454A29" w:rsidRDefault="00454A29"/>
        </w:tc>
        <w:tc>
          <w:tcPr>
            <w:tcW w:w="2098" w:type="dxa"/>
            <w:vAlign w:val="center"/>
          </w:tcPr>
          <w:p w14:paraId="6E8ECDA2"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773A11B" w14:textId="77777777" w:rsidR="00454A29" w:rsidRDefault="00454A29">
            <w:pPr>
              <w:pStyle w:val="ConsPlusNormal"/>
              <w:jc w:val="center"/>
            </w:pPr>
            <w:r>
              <w:t>0,00</w:t>
            </w:r>
          </w:p>
        </w:tc>
        <w:tc>
          <w:tcPr>
            <w:tcW w:w="1701" w:type="dxa"/>
            <w:vAlign w:val="center"/>
          </w:tcPr>
          <w:p w14:paraId="29F88052" w14:textId="77777777" w:rsidR="00454A29" w:rsidRDefault="00454A29">
            <w:pPr>
              <w:pStyle w:val="ConsPlusNormal"/>
              <w:jc w:val="center"/>
            </w:pPr>
            <w:r>
              <w:t>0,00</w:t>
            </w:r>
          </w:p>
        </w:tc>
        <w:tc>
          <w:tcPr>
            <w:tcW w:w="1701" w:type="dxa"/>
            <w:vAlign w:val="center"/>
          </w:tcPr>
          <w:p w14:paraId="3D5F98D7" w14:textId="77777777" w:rsidR="00454A29" w:rsidRDefault="00454A29">
            <w:pPr>
              <w:pStyle w:val="ConsPlusNormal"/>
              <w:jc w:val="center"/>
            </w:pPr>
            <w:r>
              <w:t>0,00</w:t>
            </w:r>
          </w:p>
        </w:tc>
        <w:tc>
          <w:tcPr>
            <w:tcW w:w="1701" w:type="dxa"/>
            <w:vAlign w:val="center"/>
          </w:tcPr>
          <w:p w14:paraId="17773BC9" w14:textId="77777777" w:rsidR="00454A29" w:rsidRDefault="00454A29">
            <w:pPr>
              <w:pStyle w:val="ConsPlusNormal"/>
              <w:jc w:val="center"/>
            </w:pPr>
            <w:r>
              <w:t>0,00</w:t>
            </w:r>
          </w:p>
        </w:tc>
        <w:tc>
          <w:tcPr>
            <w:tcW w:w="1701" w:type="dxa"/>
            <w:vAlign w:val="center"/>
          </w:tcPr>
          <w:p w14:paraId="543D5307" w14:textId="77777777" w:rsidR="00454A29" w:rsidRDefault="00454A29">
            <w:pPr>
              <w:pStyle w:val="ConsPlusNormal"/>
              <w:jc w:val="center"/>
            </w:pPr>
            <w:r>
              <w:t>0,00</w:t>
            </w:r>
          </w:p>
        </w:tc>
        <w:tc>
          <w:tcPr>
            <w:tcW w:w="1701" w:type="dxa"/>
            <w:vAlign w:val="center"/>
          </w:tcPr>
          <w:p w14:paraId="4FA7188C" w14:textId="77777777" w:rsidR="00454A29" w:rsidRDefault="00454A29">
            <w:pPr>
              <w:pStyle w:val="ConsPlusNormal"/>
              <w:jc w:val="center"/>
            </w:pPr>
            <w:r>
              <w:t>0,00</w:t>
            </w:r>
          </w:p>
        </w:tc>
        <w:tc>
          <w:tcPr>
            <w:tcW w:w="1701" w:type="dxa"/>
            <w:vAlign w:val="center"/>
          </w:tcPr>
          <w:p w14:paraId="58658701" w14:textId="77777777" w:rsidR="00454A29" w:rsidRDefault="00454A29">
            <w:pPr>
              <w:pStyle w:val="ConsPlusNormal"/>
              <w:jc w:val="center"/>
            </w:pPr>
            <w:r>
              <w:t>0,00</w:t>
            </w:r>
          </w:p>
        </w:tc>
      </w:tr>
      <w:tr w:rsidR="00454A29" w14:paraId="59EA507D" w14:textId="77777777">
        <w:tc>
          <w:tcPr>
            <w:tcW w:w="964" w:type="dxa"/>
            <w:vMerge/>
          </w:tcPr>
          <w:p w14:paraId="7215BCB9" w14:textId="77777777" w:rsidR="00454A29" w:rsidRDefault="00454A29"/>
        </w:tc>
        <w:tc>
          <w:tcPr>
            <w:tcW w:w="2154" w:type="dxa"/>
            <w:vMerge/>
            <w:tcBorders>
              <w:top w:val="nil"/>
              <w:bottom w:val="nil"/>
            </w:tcBorders>
          </w:tcPr>
          <w:p w14:paraId="46F603B0" w14:textId="77777777" w:rsidR="00454A29" w:rsidRDefault="00454A29"/>
        </w:tc>
        <w:tc>
          <w:tcPr>
            <w:tcW w:w="2154" w:type="dxa"/>
            <w:vMerge/>
            <w:tcBorders>
              <w:top w:val="nil"/>
              <w:bottom w:val="nil"/>
            </w:tcBorders>
          </w:tcPr>
          <w:p w14:paraId="66F841CA" w14:textId="77777777" w:rsidR="00454A29" w:rsidRDefault="00454A29"/>
        </w:tc>
        <w:tc>
          <w:tcPr>
            <w:tcW w:w="2665" w:type="dxa"/>
            <w:vMerge/>
          </w:tcPr>
          <w:p w14:paraId="5D00CDD4" w14:textId="77777777" w:rsidR="00454A29" w:rsidRDefault="00454A29"/>
        </w:tc>
        <w:tc>
          <w:tcPr>
            <w:tcW w:w="2665" w:type="dxa"/>
            <w:vMerge/>
          </w:tcPr>
          <w:p w14:paraId="02E529FE" w14:textId="77777777" w:rsidR="00454A29" w:rsidRDefault="00454A29"/>
        </w:tc>
        <w:tc>
          <w:tcPr>
            <w:tcW w:w="1928" w:type="dxa"/>
            <w:vMerge/>
          </w:tcPr>
          <w:p w14:paraId="2C889EEF" w14:textId="77777777" w:rsidR="00454A29" w:rsidRDefault="00454A29"/>
        </w:tc>
        <w:tc>
          <w:tcPr>
            <w:tcW w:w="1644" w:type="dxa"/>
            <w:vMerge/>
          </w:tcPr>
          <w:p w14:paraId="1046105E" w14:textId="77777777" w:rsidR="00454A29" w:rsidRDefault="00454A29"/>
        </w:tc>
        <w:tc>
          <w:tcPr>
            <w:tcW w:w="2041" w:type="dxa"/>
            <w:vMerge/>
          </w:tcPr>
          <w:p w14:paraId="6AEEB2F3" w14:textId="77777777" w:rsidR="00454A29" w:rsidRDefault="00454A29"/>
        </w:tc>
        <w:tc>
          <w:tcPr>
            <w:tcW w:w="2098" w:type="dxa"/>
            <w:vAlign w:val="center"/>
          </w:tcPr>
          <w:p w14:paraId="6253F515" w14:textId="77777777" w:rsidR="00454A29" w:rsidRDefault="00454A29">
            <w:pPr>
              <w:pStyle w:val="ConsPlusNormal"/>
              <w:jc w:val="center"/>
            </w:pPr>
            <w:r>
              <w:t>Федеральный бюджет</w:t>
            </w:r>
          </w:p>
        </w:tc>
        <w:tc>
          <w:tcPr>
            <w:tcW w:w="1814" w:type="dxa"/>
            <w:vAlign w:val="center"/>
          </w:tcPr>
          <w:p w14:paraId="49EE1A8B" w14:textId="77777777" w:rsidR="00454A29" w:rsidRDefault="00454A29">
            <w:pPr>
              <w:pStyle w:val="ConsPlusNormal"/>
              <w:jc w:val="center"/>
            </w:pPr>
            <w:r>
              <w:t>0,00</w:t>
            </w:r>
          </w:p>
        </w:tc>
        <w:tc>
          <w:tcPr>
            <w:tcW w:w="1701" w:type="dxa"/>
            <w:vAlign w:val="center"/>
          </w:tcPr>
          <w:p w14:paraId="4E7D2042" w14:textId="77777777" w:rsidR="00454A29" w:rsidRDefault="00454A29">
            <w:pPr>
              <w:pStyle w:val="ConsPlusNormal"/>
              <w:jc w:val="center"/>
            </w:pPr>
            <w:r>
              <w:t>0,00</w:t>
            </w:r>
          </w:p>
        </w:tc>
        <w:tc>
          <w:tcPr>
            <w:tcW w:w="1701" w:type="dxa"/>
            <w:vAlign w:val="center"/>
          </w:tcPr>
          <w:p w14:paraId="314B750B" w14:textId="77777777" w:rsidR="00454A29" w:rsidRDefault="00454A29">
            <w:pPr>
              <w:pStyle w:val="ConsPlusNormal"/>
              <w:jc w:val="center"/>
            </w:pPr>
            <w:r>
              <w:t>0,00</w:t>
            </w:r>
          </w:p>
        </w:tc>
        <w:tc>
          <w:tcPr>
            <w:tcW w:w="1701" w:type="dxa"/>
            <w:vAlign w:val="center"/>
          </w:tcPr>
          <w:p w14:paraId="36D60482" w14:textId="77777777" w:rsidR="00454A29" w:rsidRDefault="00454A29">
            <w:pPr>
              <w:pStyle w:val="ConsPlusNormal"/>
              <w:jc w:val="center"/>
            </w:pPr>
            <w:r>
              <w:t>0,00</w:t>
            </w:r>
          </w:p>
        </w:tc>
        <w:tc>
          <w:tcPr>
            <w:tcW w:w="1701" w:type="dxa"/>
            <w:vAlign w:val="center"/>
          </w:tcPr>
          <w:p w14:paraId="4B77BD14" w14:textId="77777777" w:rsidR="00454A29" w:rsidRDefault="00454A29">
            <w:pPr>
              <w:pStyle w:val="ConsPlusNormal"/>
              <w:jc w:val="center"/>
            </w:pPr>
            <w:r>
              <w:t>0,00</w:t>
            </w:r>
          </w:p>
        </w:tc>
        <w:tc>
          <w:tcPr>
            <w:tcW w:w="1701" w:type="dxa"/>
            <w:vAlign w:val="center"/>
          </w:tcPr>
          <w:p w14:paraId="4B9D778A" w14:textId="77777777" w:rsidR="00454A29" w:rsidRDefault="00454A29">
            <w:pPr>
              <w:pStyle w:val="ConsPlusNormal"/>
              <w:jc w:val="center"/>
            </w:pPr>
            <w:r>
              <w:t>0,00</w:t>
            </w:r>
          </w:p>
        </w:tc>
        <w:tc>
          <w:tcPr>
            <w:tcW w:w="1701" w:type="dxa"/>
            <w:vAlign w:val="center"/>
          </w:tcPr>
          <w:p w14:paraId="72FFC9B6" w14:textId="77777777" w:rsidR="00454A29" w:rsidRDefault="00454A29">
            <w:pPr>
              <w:pStyle w:val="ConsPlusNormal"/>
              <w:jc w:val="center"/>
            </w:pPr>
            <w:r>
              <w:t>0,00</w:t>
            </w:r>
          </w:p>
        </w:tc>
      </w:tr>
      <w:tr w:rsidR="00454A29" w14:paraId="05BEA4C6" w14:textId="77777777">
        <w:tc>
          <w:tcPr>
            <w:tcW w:w="964" w:type="dxa"/>
            <w:vMerge/>
          </w:tcPr>
          <w:p w14:paraId="0D1EB18A" w14:textId="77777777" w:rsidR="00454A29" w:rsidRDefault="00454A29"/>
        </w:tc>
        <w:tc>
          <w:tcPr>
            <w:tcW w:w="2154" w:type="dxa"/>
            <w:vMerge/>
            <w:tcBorders>
              <w:top w:val="nil"/>
              <w:bottom w:val="nil"/>
            </w:tcBorders>
          </w:tcPr>
          <w:p w14:paraId="6D8DC4B6" w14:textId="77777777" w:rsidR="00454A29" w:rsidRDefault="00454A29"/>
        </w:tc>
        <w:tc>
          <w:tcPr>
            <w:tcW w:w="2154" w:type="dxa"/>
            <w:vMerge/>
            <w:tcBorders>
              <w:top w:val="nil"/>
              <w:bottom w:val="nil"/>
            </w:tcBorders>
          </w:tcPr>
          <w:p w14:paraId="72C06231" w14:textId="77777777" w:rsidR="00454A29" w:rsidRDefault="00454A29"/>
        </w:tc>
        <w:tc>
          <w:tcPr>
            <w:tcW w:w="2665" w:type="dxa"/>
            <w:vMerge/>
          </w:tcPr>
          <w:p w14:paraId="5983D72D" w14:textId="77777777" w:rsidR="00454A29" w:rsidRDefault="00454A29"/>
        </w:tc>
        <w:tc>
          <w:tcPr>
            <w:tcW w:w="2665" w:type="dxa"/>
            <w:vMerge/>
          </w:tcPr>
          <w:p w14:paraId="31E2D069" w14:textId="77777777" w:rsidR="00454A29" w:rsidRDefault="00454A29"/>
        </w:tc>
        <w:tc>
          <w:tcPr>
            <w:tcW w:w="1928" w:type="dxa"/>
            <w:vMerge/>
          </w:tcPr>
          <w:p w14:paraId="656217AC" w14:textId="77777777" w:rsidR="00454A29" w:rsidRDefault="00454A29"/>
        </w:tc>
        <w:tc>
          <w:tcPr>
            <w:tcW w:w="1644" w:type="dxa"/>
            <w:vMerge/>
          </w:tcPr>
          <w:p w14:paraId="7F32FEEB" w14:textId="77777777" w:rsidR="00454A29" w:rsidRDefault="00454A29"/>
        </w:tc>
        <w:tc>
          <w:tcPr>
            <w:tcW w:w="2041" w:type="dxa"/>
            <w:vMerge/>
          </w:tcPr>
          <w:p w14:paraId="626A6A9D" w14:textId="77777777" w:rsidR="00454A29" w:rsidRDefault="00454A29"/>
        </w:tc>
        <w:tc>
          <w:tcPr>
            <w:tcW w:w="2098" w:type="dxa"/>
            <w:vAlign w:val="center"/>
          </w:tcPr>
          <w:p w14:paraId="278902F2" w14:textId="77777777" w:rsidR="00454A29" w:rsidRDefault="00454A29">
            <w:pPr>
              <w:pStyle w:val="ConsPlusNormal"/>
              <w:jc w:val="center"/>
            </w:pPr>
            <w:r>
              <w:t>Местные бюджеты</w:t>
            </w:r>
          </w:p>
        </w:tc>
        <w:tc>
          <w:tcPr>
            <w:tcW w:w="1814" w:type="dxa"/>
            <w:vAlign w:val="center"/>
          </w:tcPr>
          <w:p w14:paraId="4E42C5B2" w14:textId="77777777" w:rsidR="00454A29" w:rsidRDefault="00454A29">
            <w:pPr>
              <w:pStyle w:val="ConsPlusNormal"/>
              <w:jc w:val="center"/>
            </w:pPr>
            <w:r>
              <w:t>0,00</w:t>
            </w:r>
          </w:p>
        </w:tc>
        <w:tc>
          <w:tcPr>
            <w:tcW w:w="1701" w:type="dxa"/>
            <w:vAlign w:val="center"/>
          </w:tcPr>
          <w:p w14:paraId="72A717F3" w14:textId="77777777" w:rsidR="00454A29" w:rsidRDefault="00454A29">
            <w:pPr>
              <w:pStyle w:val="ConsPlusNormal"/>
              <w:jc w:val="center"/>
            </w:pPr>
            <w:r>
              <w:t>0,00</w:t>
            </w:r>
          </w:p>
        </w:tc>
        <w:tc>
          <w:tcPr>
            <w:tcW w:w="1701" w:type="dxa"/>
            <w:vAlign w:val="center"/>
          </w:tcPr>
          <w:p w14:paraId="0F4EC0C3" w14:textId="77777777" w:rsidR="00454A29" w:rsidRDefault="00454A29">
            <w:pPr>
              <w:pStyle w:val="ConsPlusNormal"/>
              <w:jc w:val="center"/>
            </w:pPr>
            <w:r>
              <w:t>0,00</w:t>
            </w:r>
          </w:p>
        </w:tc>
        <w:tc>
          <w:tcPr>
            <w:tcW w:w="1701" w:type="dxa"/>
            <w:vAlign w:val="center"/>
          </w:tcPr>
          <w:p w14:paraId="5B45B980" w14:textId="77777777" w:rsidR="00454A29" w:rsidRDefault="00454A29">
            <w:pPr>
              <w:pStyle w:val="ConsPlusNormal"/>
              <w:jc w:val="center"/>
            </w:pPr>
            <w:r>
              <w:t>0,00</w:t>
            </w:r>
          </w:p>
        </w:tc>
        <w:tc>
          <w:tcPr>
            <w:tcW w:w="1701" w:type="dxa"/>
            <w:vAlign w:val="center"/>
          </w:tcPr>
          <w:p w14:paraId="1CEA5A57" w14:textId="77777777" w:rsidR="00454A29" w:rsidRDefault="00454A29">
            <w:pPr>
              <w:pStyle w:val="ConsPlusNormal"/>
              <w:jc w:val="center"/>
            </w:pPr>
            <w:r>
              <w:t>0,00</w:t>
            </w:r>
          </w:p>
        </w:tc>
        <w:tc>
          <w:tcPr>
            <w:tcW w:w="1701" w:type="dxa"/>
            <w:vAlign w:val="center"/>
          </w:tcPr>
          <w:p w14:paraId="6598723A" w14:textId="77777777" w:rsidR="00454A29" w:rsidRDefault="00454A29">
            <w:pPr>
              <w:pStyle w:val="ConsPlusNormal"/>
              <w:jc w:val="center"/>
            </w:pPr>
            <w:r>
              <w:t>0,00</w:t>
            </w:r>
          </w:p>
        </w:tc>
        <w:tc>
          <w:tcPr>
            <w:tcW w:w="1701" w:type="dxa"/>
            <w:vAlign w:val="center"/>
          </w:tcPr>
          <w:p w14:paraId="246304DF" w14:textId="77777777" w:rsidR="00454A29" w:rsidRDefault="00454A29">
            <w:pPr>
              <w:pStyle w:val="ConsPlusNormal"/>
              <w:jc w:val="center"/>
            </w:pPr>
            <w:r>
              <w:t>0,00</w:t>
            </w:r>
          </w:p>
        </w:tc>
      </w:tr>
      <w:tr w:rsidR="00454A29" w14:paraId="66D64AF8" w14:textId="77777777">
        <w:tc>
          <w:tcPr>
            <w:tcW w:w="964" w:type="dxa"/>
            <w:vMerge/>
          </w:tcPr>
          <w:p w14:paraId="7DC3F786" w14:textId="77777777" w:rsidR="00454A29" w:rsidRDefault="00454A29"/>
        </w:tc>
        <w:tc>
          <w:tcPr>
            <w:tcW w:w="2154" w:type="dxa"/>
            <w:vMerge/>
            <w:tcBorders>
              <w:top w:val="nil"/>
              <w:bottom w:val="nil"/>
            </w:tcBorders>
          </w:tcPr>
          <w:p w14:paraId="61FBC757" w14:textId="77777777" w:rsidR="00454A29" w:rsidRDefault="00454A29"/>
        </w:tc>
        <w:tc>
          <w:tcPr>
            <w:tcW w:w="2154" w:type="dxa"/>
            <w:vMerge/>
            <w:tcBorders>
              <w:top w:val="nil"/>
              <w:bottom w:val="nil"/>
            </w:tcBorders>
          </w:tcPr>
          <w:p w14:paraId="131B3198" w14:textId="77777777" w:rsidR="00454A29" w:rsidRDefault="00454A29"/>
        </w:tc>
        <w:tc>
          <w:tcPr>
            <w:tcW w:w="2665" w:type="dxa"/>
            <w:vMerge/>
          </w:tcPr>
          <w:p w14:paraId="154A57A8" w14:textId="77777777" w:rsidR="00454A29" w:rsidRDefault="00454A29"/>
        </w:tc>
        <w:tc>
          <w:tcPr>
            <w:tcW w:w="2665" w:type="dxa"/>
            <w:vMerge/>
          </w:tcPr>
          <w:p w14:paraId="60118DCA" w14:textId="77777777" w:rsidR="00454A29" w:rsidRDefault="00454A29"/>
        </w:tc>
        <w:tc>
          <w:tcPr>
            <w:tcW w:w="1928" w:type="dxa"/>
            <w:vMerge/>
          </w:tcPr>
          <w:p w14:paraId="1C795C58" w14:textId="77777777" w:rsidR="00454A29" w:rsidRDefault="00454A29"/>
        </w:tc>
        <w:tc>
          <w:tcPr>
            <w:tcW w:w="1644" w:type="dxa"/>
            <w:vMerge/>
          </w:tcPr>
          <w:p w14:paraId="76D86D43" w14:textId="77777777" w:rsidR="00454A29" w:rsidRDefault="00454A29"/>
        </w:tc>
        <w:tc>
          <w:tcPr>
            <w:tcW w:w="2041" w:type="dxa"/>
            <w:vMerge/>
          </w:tcPr>
          <w:p w14:paraId="67E4A69D" w14:textId="77777777" w:rsidR="00454A29" w:rsidRDefault="00454A29"/>
        </w:tc>
        <w:tc>
          <w:tcPr>
            <w:tcW w:w="2098" w:type="dxa"/>
            <w:vAlign w:val="center"/>
          </w:tcPr>
          <w:p w14:paraId="49D8B7DE" w14:textId="77777777" w:rsidR="00454A29" w:rsidRDefault="00454A29">
            <w:pPr>
              <w:pStyle w:val="ConsPlusNormal"/>
              <w:jc w:val="center"/>
            </w:pPr>
            <w:r>
              <w:t>Внебюджетные средства</w:t>
            </w:r>
          </w:p>
        </w:tc>
        <w:tc>
          <w:tcPr>
            <w:tcW w:w="1814" w:type="dxa"/>
            <w:vAlign w:val="center"/>
          </w:tcPr>
          <w:p w14:paraId="1A128988" w14:textId="77777777" w:rsidR="00454A29" w:rsidRDefault="00454A29">
            <w:pPr>
              <w:pStyle w:val="ConsPlusNormal"/>
              <w:jc w:val="center"/>
            </w:pPr>
            <w:r>
              <w:t>0,00</w:t>
            </w:r>
          </w:p>
        </w:tc>
        <w:tc>
          <w:tcPr>
            <w:tcW w:w="1701" w:type="dxa"/>
            <w:vAlign w:val="center"/>
          </w:tcPr>
          <w:p w14:paraId="5432DDA1" w14:textId="77777777" w:rsidR="00454A29" w:rsidRDefault="00454A29">
            <w:pPr>
              <w:pStyle w:val="ConsPlusNormal"/>
              <w:jc w:val="center"/>
            </w:pPr>
            <w:r>
              <w:t>0,00</w:t>
            </w:r>
          </w:p>
        </w:tc>
        <w:tc>
          <w:tcPr>
            <w:tcW w:w="1701" w:type="dxa"/>
            <w:vAlign w:val="center"/>
          </w:tcPr>
          <w:p w14:paraId="3E6D3E4F" w14:textId="77777777" w:rsidR="00454A29" w:rsidRDefault="00454A29">
            <w:pPr>
              <w:pStyle w:val="ConsPlusNormal"/>
              <w:jc w:val="center"/>
            </w:pPr>
            <w:r>
              <w:t>0,00</w:t>
            </w:r>
          </w:p>
        </w:tc>
        <w:tc>
          <w:tcPr>
            <w:tcW w:w="1701" w:type="dxa"/>
            <w:vAlign w:val="center"/>
          </w:tcPr>
          <w:p w14:paraId="7FFC27D9" w14:textId="77777777" w:rsidR="00454A29" w:rsidRDefault="00454A29">
            <w:pPr>
              <w:pStyle w:val="ConsPlusNormal"/>
              <w:jc w:val="center"/>
            </w:pPr>
            <w:r>
              <w:t>0,00</w:t>
            </w:r>
          </w:p>
        </w:tc>
        <w:tc>
          <w:tcPr>
            <w:tcW w:w="1701" w:type="dxa"/>
            <w:vAlign w:val="center"/>
          </w:tcPr>
          <w:p w14:paraId="0791B728" w14:textId="77777777" w:rsidR="00454A29" w:rsidRDefault="00454A29">
            <w:pPr>
              <w:pStyle w:val="ConsPlusNormal"/>
              <w:jc w:val="center"/>
            </w:pPr>
            <w:r>
              <w:t>0,00</w:t>
            </w:r>
          </w:p>
        </w:tc>
        <w:tc>
          <w:tcPr>
            <w:tcW w:w="1701" w:type="dxa"/>
            <w:vAlign w:val="center"/>
          </w:tcPr>
          <w:p w14:paraId="7C2C2ECD" w14:textId="77777777" w:rsidR="00454A29" w:rsidRDefault="00454A29">
            <w:pPr>
              <w:pStyle w:val="ConsPlusNormal"/>
              <w:jc w:val="center"/>
            </w:pPr>
            <w:r>
              <w:t>0,00</w:t>
            </w:r>
          </w:p>
        </w:tc>
        <w:tc>
          <w:tcPr>
            <w:tcW w:w="1701" w:type="dxa"/>
            <w:vAlign w:val="center"/>
          </w:tcPr>
          <w:p w14:paraId="460C744B" w14:textId="77777777" w:rsidR="00454A29" w:rsidRDefault="00454A29">
            <w:pPr>
              <w:pStyle w:val="ConsPlusNormal"/>
              <w:jc w:val="center"/>
            </w:pPr>
            <w:r>
              <w:t>0,00</w:t>
            </w:r>
          </w:p>
        </w:tc>
      </w:tr>
      <w:tr w:rsidR="00454A29" w14:paraId="16176DB9" w14:textId="77777777">
        <w:tc>
          <w:tcPr>
            <w:tcW w:w="964" w:type="dxa"/>
            <w:vMerge w:val="restart"/>
            <w:vAlign w:val="center"/>
          </w:tcPr>
          <w:p w14:paraId="4606F13F" w14:textId="77777777" w:rsidR="00454A29" w:rsidRDefault="00454A29">
            <w:pPr>
              <w:pStyle w:val="ConsPlusNormal"/>
              <w:jc w:val="center"/>
            </w:pPr>
            <w:r>
              <w:t>6.5.</w:t>
            </w:r>
          </w:p>
        </w:tc>
        <w:tc>
          <w:tcPr>
            <w:tcW w:w="2154" w:type="dxa"/>
            <w:vMerge w:val="restart"/>
            <w:tcBorders>
              <w:top w:val="nil"/>
              <w:bottom w:val="nil"/>
            </w:tcBorders>
            <w:vAlign w:val="center"/>
          </w:tcPr>
          <w:p w14:paraId="1361DFF9" w14:textId="77777777" w:rsidR="00454A29" w:rsidRDefault="00454A29">
            <w:pPr>
              <w:pStyle w:val="ConsPlusNormal"/>
            </w:pPr>
          </w:p>
        </w:tc>
        <w:tc>
          <w:tcPr>
            <w:tcW w:w="2154" w:type="dxa"/>
            <w:vMerge w:val="restart"/>
            <w:tcBorders>
              <w:top w:val="nil"/>
              <w:bottom w:val="nil"/>
            </w:tcBorders>
            <w:vAlign w:val="center"/>
          </w:tcPr>
          <w:p w14:paraId="2CD9FE05" w14:textId="77777777" w:rsidR="00454A29" w:rsidRDefault="00454A29">
            <w:pPr>
              <w:pStyle w:val="ConsPlusNormal"/>
            </w:pPr>
          </w:p>
        </w:tc>
        <w:tc>
          <w:tcPr>
            <w:tcW w:w="2665" w:type="dxa"/>
            <w:vMerge w:val="restart"/>
            <w:vAlign w:val="center"/>
          </w:tcPr>
          <w:p w14:paraId="41F2BFE3" w14:textId="77777777" w:rsidR="00454A29" w:rsidRDefault="00454A29">
            <w:pPr>
              <w:pStyle w:val="ConsPlusNormal"/>
              <w:jc w:val="center"/>
            </w:pPr>
            <w:r>
              <w:t>Результат 4. Не менее 10% педагогических работников системы общего и дополнительного образования детей прошли добровольную независимую оценку профессиональной квалификации</w:t>
            </w:r>
          </w:p>
        </w:tc>
        <w:tc>
          <w:tcPr>
            <w:tcW w:w="2665" w:type="dxa"/>
            <w:vMerge w:val="restart"/>
            <w:vAlign w:val="center"/>
          </w:tcPr>
          <w:p w14:paraId="18B8388A" w14:textId="77777777" w:rsidR="00454A29" w:rsidRDefault="00454A29">
            <w:pPr>
              <w:pStyle w:val="ConsPlusNormal"/>
              <w:jc w:val="center"/>
            </w:pPr>
            <w:r>
              <w:t>Мероприятие 7.3.5. Проведение процедур независимой оценки квалификаций педагогических работников общеобразовательных организаций Республики Саха (Якутия)</w:t>
            </w:r>
          </w:p>
        </w:tc>
        <w:tc>
          <w:tcPr>
            <w:tcW w:w="1928" w:type="dxa"/>
            <w:vMerge w:val="restart"/>
            <w:vAlign w:val="center"/>
          </w:tcPr>
          <w:p w14:paraId="6E5DCE23" w14:textId="77777777" w:rsidR="00454A29" w:rsidRDefault="00454A29">
            <w:pPr>
              <w:pStyle w:val="ConsPlusNormal"/>
              <w:jc w:val="center"/>
            </w:pPr>
            <w:r>
              <w:t>-</w:t>
            </w:r>
          </w:p>
        </w:tc>
        <w:tc>
          <w:tcPr>
            <w:tcW w:w="1644" w:type="dxa"/>
            <w:vMerge w:val="restart"/>
            <w:vAlign w:val="center"/>
          </w:tcPr>
          <w:p w14:paraId="1FBA03E9" w14:textId="77777777" w:rsidR="00454A29" w:rsidRDefault="00454A29">
            <w:pPr>
              <w:pStyle w:val="ConsPlusNormal"/>
              <w:jc w:val="center"/>
            </w:pPr>
            <w:r>
              <w:t>-</w:t>
            </w:r>
          </w:p>
        </w:tc>
        <w:tc>
          <w:tcPr>
            <w:tcW w:w="2041" w:type="dxa"/>
            <w:vMerge w:val="restart"/>
            <w:vAlign w:val="center"/>
          </w:tcPr>
          <w:p w14:paraId="3E34CA66" w14:textId="77777777" w:rsidR="00454A29" w:rsidRDefault="00454A29">
            <w:pPr>
              <w:pStyle w:val="ConsPlusNormal"/>
              <w:jc w:val="center"/>
            </w:pPr>
            <w:r>
              <w:t>-</w:t>
            </w:r>
          </w:p>
        </w:tc>
        <w:tc>
          <w:tcPr>
            <w:tcW w:w="2098" w:type="dxa"/>
            <w:vAlign w:val="center"/>
          </w:tcPr>
          <w:p w14:paraId="0A459335" w14:textId="77777777" w:rsidR="00454A29" w:rsidRDefault="00454A29">
            <w:pPr>
              <w:pStyle w:val="ConsPlusNormal"/>
              <w:jc w:val="center"/>
            </w:pPr>
            <w:r>
              <w:t>Итого</w:t>
            </w:r>
          </w:p>
        </w:tc>
        <w:tc>
          <w:tcPr>
            <w:tcW w:w="1814" w:type="dxa"/>
            <w:vAlign w:val="center"/>
          </w:tcPr>
          <w:p w14:paraId="2A2D1E2A" w14:textId="77777777" w:rsidR="00454A29" w:rsidRDefault="00454A29">
            <w:pPr>
              <w:pStyle w:val="ConsPlusNormal"/>
              <w:jc w:val="center"/>
            </w:pPr>
            <w:r>
              <w:t>0,00</w:t>
            </w:r>
          </w:p>
        </w:tc>
        <w:tc>
          <w:tcPr>
            <w:tcW w:w="1701" w:type="dxa"/>
            <w:vAlign w:val="center"/>
          </w:tcPr>
          <w:p w14:paraId="1FEAF6CB" w14:textId="77777777" w:rsidR="00454A29" w:rsidRDefault="00454A29">
            <w:pPr>
              <w:pStyle w:val="ConsPlusNormal"/>
              <w:jc w:val="center"/>
            </w:pPr>
            <w:r>
              <w:t>0,00</w:t>
            </w:r>
          </w:p>
        </w:tc>
        <w:tc>
          <w:tcPr>
            <w:tcW w:w="1701" w:type="dxa"/>
            <w:vAlign w:val="center"/>
          </w:tcPr>
          <w:p w14:paraId="140A92CE" w14:textId="77777777" w:rsidR="00454A29" w:rsidRDefault="00454A29">
            <w:pPr>
              <w:pStyle w:val="ConsPlusNormal"/>
              <w:jc w:val="center"/>
            </w:pPr>
            <w:r>
              <w:t>0,00</w:t>
            </w:r>
          </w:p>
        </w:tc>
        <w:tc>
          <w:tcPr>
            <w:tcW w:w="1701" w:type="dxa"/>
            <w:vAlign w:val="center"/>
          </w:tcPr>
          <w:p w14:paraId="74AEA021" w14:textId="77777777" w:rsidR="00454A29" w:rsidRDefault="00454A29">
            <w:pPr>
              <w:pStyle w:val="ConsPlusNormal"/>
              <w:jc w:val="center"/>
            </w:pPr>
            <w:r>
              <w:t>0,00</w:t>
            </w:r>
          </w:p>
        </w:tc>
        <w:tc>
          <w:tcPr>
            <w:tcW w:w="1701" w:type="dxa"/>
            <w:vAlign w:val="center"/>
          </w:tcPr>
          <w:p w14:paraId="6A421423" w14:textId="77777777" w:rsidR="00454A29" w:rsidRDefault="00454A29">
            <w:pPr>
              <w:pStyle w:val="ConsPlusNormal"/>
              <w:jc w:val="center"/>
            </w:pPr>
            <w:r>
              <w:t>0,00</w:t>
            </w:r>
          </w:p>
        </w:tc>
        <w:tc>
          <w:tcPr>
            <w:tcW w:w="1701" w:type="dxa"/>
            <w:vAlign w:val="center"/>
          </w:tcPr>
          <w:p w14:paraId="040B7030" w14:textId="77777777" w:rsidR="00454A29" w:rsidRDefault="00454A29">
            <w:pPr>
              <w:pStyle w:val="ConsPlusNormal"/>
              <w:jc w:val="center"/>
            </w:pPr>
            <w:r>
              <w:t>0,00</w:t>
            </w:r>
          </w:p>
        </w:tc>
        <w:tc>
          <w:tcPr>
            <w:tcW w:w="1701" w:type="dxa"/>
            <w:vAlign w:val="center"/>
          </w:tcPr>
          <w:p w14:paraId="45DBA360" w14:textId="77777777" w:rsidR="00454A29" w:rsidRDefault="00454A29">
            <w:pPr>
              <w:pStyle w:val="ConsPlusNormal"/>
              <w:jc w:val="center"/>
            </w:pPr>
            <w:r>
              <w:t>0,00</w:t>
            </w:r>
          </w:p>
        </w:tc>
      </w:tr>
      <w:tr w:rsidR="00454A29" w14:paraId="6996168D" w14:textId="77777777">
        <w:tc>
          <w:tcPr>
            <w:tcW w:w="964" w:type="dxa"/>
            <w:vMerge/>
          </w:tcPr>
          <w:p w14:paraId="1BD90F80" w14:textId="77777777" w:rsidR="00454A29" w:rsidRDefault="00454A29"/>
        </w:tc>
        <w:tc>
          <w:tcPr>
            <w:tcW w:w="2154" w:type="dxa"/>
            <w:vMerge/>
            <w:tcBorders>
              <w:top w:val="nil"/>
              <w:bottom w:val="nil"/>
            </w:tcBorders>
          </w:tcPr>
          <w:p w14:paraId="71346B4D" w14:textId="77777777" w:rsidR="00454A29" w:rsidRDefault="00454A29"/>
        </w:tc>
        <w:tc>
          <w:tcPr>
            <w:tcW w:w="2154" w:type="dxa"/>
            <w:vMerge/>
            <w:tcBorders>
              <w:top w:val="nil"/>
              <w:bottom w:val="nil"/>
            </w:tcBorders>
          </w:tcPr>
          <w:p w14:paraId="030565F5" w14:textId="77777777" w:rsidR="00454A29" w:rsidRDefault="00454A29"/>
        </w:tc>
        <w:tc>
          <w:tcPr>
            <w:tcW w:w="2665" w:type="dxa"/>
            <w:vMerge/>
          </w:tcPr>
          <w:p w14:paraId="01251A96" w14:textId="77777777" w:rsidR="00454A29" w:rsidRDefault="00454A29"/>
        </w:tc>
        <w:tc>
          <w:tcPr>
            <w:tcW w:w="2665" w:type="dxa"/>
            <w:vMerge/>
          </w:tcPr>
          <w:p w14:paraId="077990EA" w14:textId="77777777" w:rsidR="00454A29" w:rsidRDefault="00454A29"/>
        </w:tc>
        <w:tc>
          <w:tcPr>
            <w:tcW w:w="1928" w:type="dxa"/>
            <w:vMerge/>
          </w:tcPr>
          <w:p w14:paraId="5DB90FC1" w14:textId="77777777" w:rsidR="00454A29" w:rsidRDefault="00454A29"/>
        </w:tc>
        <w:tc>
          <w:tcPr>
            <w:tcW w:w="1644" w:type="dxa"/>
            <w:vMerge/>
          </w:tcPr>
          <w:p w14:paraId="1F9E5961" w14:textId="77777777" w:rsidR="00454A29" w:rsidRDefault="00454A29"/>
        </w:tc>
        <w:tc>
          <w:tcPr>
            <w:tcW w:w="2041" w:type="dxa"/>
            <w:vMerge/>
          </w:tcPr>
          <w:p w14:paraId="18D7AA5E" w14:textId="77777777" w:rsidR="00454A29" w:rsidRDefault="00454A29"/>
        </w:tc>
        <w:tc>
          <w:tcPr>
            <w:tcW w:w="2098" w:type="dxa"/>
            <w:vAlign w:val="center"/>
          </w:tcPr>
          <w:p w14:paraId="24AFA09B"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0B12697" w14:textId="77777777" w:rsidR="00454A29" w:rsidRDefault="00454A29">
            <w:pPr>
              <w:pStyle w:val="ConsPlusNormal"/>
              <w:jc w:val="center"/>
            </w:pPr>
            <w:r>
              <w:t>0,00</w:t>
            </w:r>
          </w:p>
        </w:tc>
        <w:tc>
          <w:tcPr>
            <w:tcW w:w="1701" w:type="dxa"/>
            <w:vAlign w:val="center"/>
          </w:tcPr>
          <w:p w14:paraId="27221EE3" w14:textId="77777777" w:rsidR="00454A29" w:rsidRDefault="00454A29">
            <w:pPr>
              <w:pStyle w:val="ConsPlusNormal"/>
              <w:jc w:val="center"/>
            </w:pPr>
            <w:r>
              <w:t>0,00</w:t>
            </w:r>
          </w:p>
        </w:tc>
        <w:tc>
          <w:tcPr>
            <w:tcW w:w="1701" w:type="dxa"/>
            <w:vAlign w:val="center"/>
          </w:tcPr>
          <w:p w14:paraId="6307AE80" w14:textId="77777777" w:rsidR="00454A29" w:rsidRDefault="00454A29">
            <w:pPr>
              <w:pStyle w:val="ConsPlusNormal"/>
              <w:jc w:val="center"/>
            </w:pPr>
            <w:r>
              <w:t>0,00</w:t>
            </w:r>
          </w:p>
        </w:tc>
        <w:tc>
          <w:tcPr>
            <w:tcW w:w="1701" w:type="dxa"/>
            <w:vAlign w:val="center"/>
          </w:tcPr>
          <w:p w14:paraId="38BE4725" w14:textId="77777777" w:rsidR="00454A29" w:rsidRDefault="00454A29">
            <w:pPr>
              <w:pStyle w:val="ConsPlusNormal"/>
              <w:jc w:val="center"/>
            </w:pPr>
            <w:r>
              <w:t>0,00</w:t>
            </w:r>
          </w:p>
        </w:tc>
        <w:tc>
          <w:tcPr>
            <w:tcW w:w="1701" w:type="dxa"/>
            <w:vAlign w:val="center"/>
          </w:tcPr>
          <w:p w14:paraId="76BC221E" w14:textId="77777777" w:rsidR="00454A29" w:rsidRDefault="00454A29">
            <w:pPr>
              <w:pStyle w:val="ConsPlusNormal"/>
              <w:jc w:val="center"/>
            </w:pPr>
            <w:r>
              <w:t>0,00</w:t>
            </w:r>
          </w:p>
        </w:tc>
        <w:tc>
          <w:tcPr>
            <w:tcW w:w="1701" w:type="dxa"/>
            <w:vAlign w:val="center"/>
          </w:tcPr>
          <w:p w14:paraId="2A75C446" w14:textId="77777777" w:rsidR="00454A29" w:rsidRDefault="00454A29">
            <w:pPr>
              <w:pStyle w:val="ConsPlusNormal"/>
              <w:jc w:val="center"/>
            </w:pPr>
            <w:r>
              <w:t>0,00</w:t>
            </w:r>
          </w:p>
        </w:tc>
        <w:tc>
          <w:tcPr>
            <w:tcW w:w="1701" w:type="dxa"/>
            <w:vAlign w:val="center"/>
          </w:tcPr>
          <w:p w14:paraId="02F77026" w14:textId="77777777" w:rsidR="00454A29" w:rsidRDefault="00454A29">
            <w:pPr>
              <w:pStyle w:val="ConsPlusNormal"/>
              <w:jc w:val="center"/>
            </w:pPr>
            <w:r>
              <w:t>0,00</w:t>
            </w:r>
          </w:p>
        </w:tc>
      </w:tr>
      <w:tr w:rsidR="00454A29" w14:paraId="4EBC6EEC" w14:textId="77777777">
        <w:tc>
          <w:tcPr>
            <w:tcW w:w="964" w:type="dxa"/>
            <w:vMerge/>
          </w:tcPr>
          <w:p w14:paraId="3DEC1AA2" w14:textId="77777777" w:rsidR="00454A29" w:rsidRDefault="00454A29"/>
        </w:tc>
        <w:tc>
          <w:tcPr>
            <w:tcW w:w="2154" w:type="dxa"/>
            <w:vMerge/>
            <w:tcBorders>
              <w:top w:val="nil"/>
              <w:bottom w:val="nil"/>
            </w:tcBorders>
          </w:tcPr>
          <w:p w14:paraId="25C6898D" w14:textId="77777777" w:rsidR="00454A29" w:rsidRDefault="00454A29"/>
        </w:tc>
        <w:tc>
          <w:tcPr>
            <w:tcW w:w="2154" w:type="dxa"/>
            <w:vMerge/>
            <w:tcBorders>
              <w:top w:val="nil"/>
              <w:bottom w:val="nil"/>
            </w:tcBorders>
          </w:tcPr>
          <w:p w14:paraId="4C97B1C0" w14:textId="77777777" w:rsidR="00454A29" w:rsidRDefault="00454A29"/>
        </w:tc>
        <w:tc>
          <w:tcPr>
            <w:tcW w:w="2665" w:type="dxa"/>
            <w:vMerge/>
          </w:tcPr>
          <w:p w14:paraId="728AF02F" w14:textId="77777777" w:rsidR="00454A29" w:rsidRDefault="00454A29"/>
        </w:tc>
        <w:tc>
          <w:tcPr>
            <w:tcW w:w="2665" w:type="dxa"/>
            <w:vMerge/>
          </w:tcPr>
          <w:p w14:paraId="572D2852" w14:textId="77777777" w:rsidR="00454A29" w:rsidRDefault="00454A29"/>
        </w:tc>
        <w:tc>
          <w:tcPr>
            <w:tcW w:w="1928" w:type="dxa"/>
            <w:vMerge/>
          </w:tcPr>
          <w:p w14:paraId="7A70A555" w14:textId="77777777" w:rsidR="00454A29" w:rsidRDefault="00454A29"/>
        </w:tc>
        <w:tc>
          <w:tcPr>
            <w:tcW w:w="1644" w:type="dxa"/>
            <w:vMerge/>
          </w:tcPr>
          <w:p w14:paraId="4E839C06" w14:textId="77777777" w:rsidR="00454A29" w:rsidRDefault="00454A29"/>
        </w:tc>
        <w:tc>
          <w:tcPr>
            <w:tcW w:w="2041" w:type="dxa"/>
            <w:vMerge/>
          </w:tcPr>
          <w:p w14:paraId="2A056C9F" w14:textId="77777777" w:rsidR="00454A29" w:rsidRDefault="00454A29"/>
        </w:tc>
        <w:tc>
          <w:tcPr>
            <w:tcW w:w="2098" w:type="dxa"/>
            <w:vAlign w:val="center"/>
          </w:tcPr>
          <w:p w14:paraId="2D24CC75" w14:textId="77777777" w:rsidR="00454A29" w:rsidRDefault="00454A29">
            <w:pPr>
              <w:pStyle w:val="ConsPlusNormal"/>
              <w:jc w:val="center"/>
            </w:pPr>
            <w:r>
              <w:t>Федеральный бюджет</w:t>
            </w:r>
          </w:p>
        </w:tc>
        <w:tc>
          <w:tcPr>
            <w:tcW w:w="1814" w:type="dxa"/>
            <w:vAlign w:val="center"/>
          </w:tcPr>
          <w:p w14:paraId="77C45CEC" w14:textId="77777777" w:rsidR="00454A29" w:rsidRDefault="00454A29">
            <w:pPr>
              <w:pStyle w:val="ConsPlusNormal"/>
              <w:jc w:val="center"/>
            </w:pPr>
            <w:r>
              <w:t>0,00</w:t>
            </w:r>
          </w:p>
        </w:tc>
        <w:tc>
          <w:tcPr>
            <w:tcW w:w="1701" w:type="dxa"/>
            <w:vAlign w:val="center"/>
          </w:tcPr>
          <w:p w14:paraId="432DC152" w14:textId="77777777" w:rsidR="00454A29" w:rsidRDefault="00454A29">
            <w:pPr>
              <w:pStyle w:val="ConsPlusNormal"/>
              <w:jc w:val="center"/>
            </w:pPr>
            <w:r>
              <w:t>0,00</w:t>
            </w:r>
          </w:p>
        </w:tc>
        <w:tc>
          <w:tcPr>
            <w:tcW w:w="1701" w:type="dxa"/>
            <w:vAlign w:val="center"/>
          </w:tcPr>
          <w:p w14:paraId="4D5E3CBB" w14:textId="77777777" w:rsidR="00454A29" w:rsidRDefault="00454A29">
            <w:pPr>
              <w:pStyle w:val="ConsPlusNormal"/>
              <w:jc w:val="center"/>
            </w:pPr>
            <w:r>
              <w:t>0,00</w:t>
            </w:r>
          </w:p>
        </w:tc>
        <w:tc>
          <w:tcPr>
            <w:tcW w:w="1701" w:type="dxa"/>
            <w:vAlign w:val="center"/>
          </w:tcPr>
          <w:p w14:paraId="334CB8E3" w14:textId="77777777" w:rsidR="00454A29" w:rsidRDefault="00454A29">
            <w:pPr>
              <w:pStyle w:val="ConsPlusNormal"/>
              <w:jc w:val="center"/>
            </w:pPr>
            <w:r>
              <w:t>0,00</w:t>
            </w:r>
          </w:p>
        </w:tc>
        <w:tc>
          <w:tcPr>
            <w:tcW w:w="1701" w:type="dxa"/>
            <w:vAlign w:val="center"/>
          </w:tcPr>
          <w:p w14:paraId="215DA5F9" w14:textId="77777777" w:rsidR="00454A29" w:rsidRDefault="00454A29">
            <w:pPr>
              <w:pStyle w:val="ConsPlusNormal"/>
              <w:jc w:val="center"/>
            </w:pPr>
            <w:r>
              <w:t>0,00</w:t>
            </w:r>
          </w:p>
        </w:tc>
        <w:tc>
          <w:tcPr>
            <w:tcW w:w="1701" w:type="dxa"/>
            <w:vAlign w:val="center"/>
          </w:tcPr>
          <w:p w14:paraId="20B4FC34" w14:textId="77777777" w:rsidR="00454A29" w:rsidRDefault="00454A29">
            <w:pPr>
              <w:pStyle w:val="ConsPlusNormal"/>
              <w:jc w:val="center"/>
            </w:pPr>
            <w:r>
              <w:t>0,00</w:t>
            </w:r>
          </w:p>
        </w:tc>
        <w:tc>
          <w:tcPr>
            <w:tcW w:w="1701" w:type="dxa"/>
            <w:vAlign w:val="center"/>
          </w:tcPr>
          <w:p w14:paraId="5A3C19F3" w14:textId="77777777" w:rsidR="00454A29" w:rsidRDefault="00454A29">
            <w:pPr>
              <w:pStyle w:val="ConsPlusNormal"/>
              <w:jc w:val="center"/>
            </w:pPr>
            <w:r>
              <w:t>0,00</w:t>
            </w:r>
          </w:p>
        </w:tc>
      </w:tr>
      <w:tr w:rsidR="00454A29" w14:paraId="07F5545F" w14:textId="77777777">
        <w:tc>
          <w:tcPr>
            <w:tcW w:w="964" w:type="dxa"/>
            <w:vMerge/>
          </w:tcPr>
          <w:p w14:paraId="2DF81FF0" w14:textId="77777777" w:rsidR="00454A29" w:rsidRDefault="00454A29"/>
        </w:tc>
        <w:tc>
          <w:tcPr>
            <w:tcW w:w="2154" w:type="dxa"/>
            <w:vMerge/>
            <w:tcBorders>
              <w:top w:val="nil"/>
              <w:bottom w:val="nil"/>
            </w:tcBorders>
          </w:tcPr>
          <w:p w14:paraId="22EE099D" w14:textId="77777777" w:rsidR="00454A29" w:rsidRDefault="00454A29"/>
        </w:tc>
        <w:tc>
          <w:tcPr>
            <w:tcW w:w="2154" w:type="dxa"/>
            <w:vMerge/>
            <w:tcBorders>
              <w:top w:val="nil"/>
              <w:bottom w:val="nil"/>
            </w:tcBorders>
          </w:tcPr>
          <w:p w14:paraId="20F39431" w14:textId="77777777" w:rsidR="00454A29" w:rsidRDefault="00454A29"/>
        </w:tc>
        <w:tc>
          <w:tcPr>
            <w:tcW w:w="2665" w:type="dxa"/>
            <w:vMerge/>
          </w:tcPr>
          <w:p w14:paraId="3B88F291" w14:textId="77777777" w:rsidR="00454A29" w:rsidRDefault="00454A29"/>
        </w:tc>
        <w:tc>
          <w:tcPr>
            <w:tcW w:w="2665" w:type="dxa"/>
            <w:vMerge/>
          </w:tcPr>
          <w:p w14:paraId="0FCE8B8E" w14:textId="77777777" w:rsidR="00454A29" w:rsidRDefault="00454A29"/>
        </w:tc>
        <w:tc>
          <w:tcPr>
            <w:tcW w:w="1928" w:type="dxa"/>
            <w:vMerge/>
          </w:tcPr>
          <w:p w14:paraId="01CC8920" w14:textId="77777777" w:rsidR="00454A29" w:rsidRDefault="00454A29"/>
        </w:tc>
        <w:tc>
          <w:tcPr>
            <w:tcW w:w="1644" w:type="dxa"/>
            <w:vMerge/>
          </w:tcPr>
          <w:p w14:paraId="1EB54F7E" w14:textId="77777777" w:rsidR="00454A29" w:rsidRDefault="00454A29"/>
        </w:tc>
        <w:tc>
          <w:tcPr>
            <w:tcW w:w="2041" w:type="dxa"/>
            <w:vMerge/>
          </w:tcPr>
          <w:p w14:paraId="2CB75777" w14:textId="77777777" w:rsidR="00454A29" w:rsidRDefault="00454A29"/>
        </w:tc>
        <w:tc>
          <w:tcPr>
            <w:tcW w:w="2098" w:type="dxa"/>
            <w:vAlign w:val="center"/>
          </w:tcPr>
          <w:p w14:paraId="10A32DAD" w14:textId="77777777" w:rsidR="00454A29" w:rsidRDefault="00454A29">
            <w:pPr>
              <w:pStyle w:val="ConsPlusNormal"/>
              <w:jc w:val="center"/>
            </w:pPr>
            <w:r>
              <w:t>Местные бюджеты</w:t>
            </w:r>
          </w:p>
        </w:tc>
        <w:tc>
          <w:tcPr>
            <w:tcW w:w="1814" w:type="dxa"/>
            <w:vAlign w:val="center"/>
          </w:tcPr>
          <w:p w14:paraId="5F1BF739" w14:textId="77777777" w:rsidR="00454A29" w:rsidRDefault="00454A29">
            <w:pPr>
              <w:pStyle w:val="ConsPlusNormal"/>
              <w:jc w:val="center"/>
            </w:pPr>
            <w:r>
              <w:t>0,00</w:t>
            </w:r>
          </w:p>
        </w:tc>
        <w:tc>
          <w:tcPr>
            <w:tcW w:w="1701" w:type="dxa"/>
            <w:vAlign w:val="center"/>
          </w:tcPr>
          <w:p w14:paraId="4EE83A72" w14:textId="77777777" w:rsidR="00454A29" w:rsidRDefault="00454A29">
            <w:pPr>
              <w:pStyle w:val="ConsPlusNormal"/>
              <w:jc w:val="center"/>
            </w:pPr>
            <w:r>
              <w:t>0,00</w:t>
            </w:r>
          </w:p>
        </w:tc>
        <w:tc>
          <w:tcPr>
            <w:tcW w:w="1701" w:type="dxa"/>
            <w:vAlign w:val="center"/>
          </w:tcPr>
          <w:p w14:paraId="3E17011B" w14:textId="77777777" w:rsidR="00454A29" w:rsidRDefault="00454A29">
            <w:pPr>
              <w:pStyle w:val="ConsPlusNormal"/>
              <w:jc w:val="center"/>
            </w:pPr>
            <w:r>
              <w:t>0,00</w:t>
            </w:r>
          </w:p>
        </w:tc>
        <w:tc>
          <w:tcPr>
            <w:tcW w:w="1701" w:type="dxa"/>
            <w:vAlign w:val="center"/>
          </w:tcPr>
          <w:p w14:paraId="13922C8C" w14:textId="77777777" w:rsidR="00454A29" w:rsidRDefault="00454A29">
            <w:pPr>
              <w:pStyle w:val="ConsPlusNormal"/>
              <w:jc w:val="center"/>
            </w:pPr>
            <w:r>
              <w:t>0,00</w:t>
            </w:r>
          </w:p>
        </w:tc>
        <w:tc>
          <w:tcPr>
            <w:tcW w:w="1701" w:type="dxa"/>
            <w:vAlign w:val="center"/>
          </w:tcPr>
          <w:p w14:paraId="69C3B220" w14:textId="77777777" w:rsidR="00454A29" w:rsidRDefault="00454A29">
            <w:pPr>
              <w:pStyle w:val="ConsPlusNormal"/>
              <w:jc w:val="center"/>
            </w:pPr>
            <w:r>
              <w:t>0,00</w:t>
            </w:r>
          </w:p>
        </w:tc>
        <w:tc>
          <w:tcPr>
            <w:tcW w:w="1701" w:type="dxa"/>
            <w:vAlign w:val="center"/>
          </w:tcPr>
          <w:p w14:paraId="13956978" w14:textId="77777777" w:rsidR="00454A29" w:rsidRDefault="00454A29">
            <w:pPr>
              <w:pStyle w:val="ConsPlusNormal"/>
              <w:jc w:val="center"/>
            </w:pPr>
            <w:r>
              <w:t>0,00</w:t>
            </w:r>
          </w:p>
        </w:tc>
        <w:tc>
          <w:tcPr>
            <w:tcW w:w="1701" w:type="dxa"/>
            <w:vAlign w:val="center"/>
          </w:tcPr>
          <w:p w14:paraId="65FBCD06" w14:textId="77777777" w:rsidR="00454A29" w:rsidRDefault="00454A29">
            <w:pPr>
              <w:pStyle w:val="ConsPlusNormal"/>
              <w:jc w:val="center"/>
            </w:pPr>
            <w:r>
              <w:t>0,00</w:t>
            </w:r>
          </w:p>
        </w:tc>
      </w:tr>
      <w:tr w:rsidR="00454A29" w14:paraId="43043D73" w14:textId="77777777">
        <w:tc>
          <w:tcPr>
            <w:tcW w:w="964" w:type="dxa"/>
            <w:vMerge/>
          </w:tcPr>
          <w:p w14:paraId="69B27748" w14:textId="77777777" w:rsidR="00454A29" w:rsidRDefault="00454A29"/>
        </w:tc>
        <w:tc>
          <w:tcPr>
            <w:tcW w:w="2154" w:type="dxa"/>
            <w:vMerge/>
            <w:tcBorders>
              <w:top w:val="nil"/>
              <w:bottom w:val="nil"/>
            </w:tcBorders>
          </w:tcPr>
          <w:p w14:paraId="7E96FCE3" w14:textId="77777777" w:rsidR="00454A29" w:rsidRDefault="00454A29"/>
        </w:tc>
        <w:tc>
          <w:tcPr>
            <w:tcW w:w="2154" w:type="dxa"/>
            <w:vMerge/>
            <w:tcBorders>
              <w:top w:val="nil"/>
              <w:bottom w:val="nil"/>
            </w:tcBorders>
          </w:tcPr>
          <w:p w14:paraId="01709AB6" w14:textId="77777777" w:rsidR="00454A29" w:rsidRDefault="00454A29"/>
        </w:tc>
        <w:tc>
          <w:tcPr>
            <w:tcW w:w="2665" w:type="dxa"/>
            <w:vMerge/>
          </w:tcPr>
          <w:p w14:paraId="57EBF089" w14:textId="77777777" w:rsidR="00454A29" w:rsidRDefault="00454A29"/>
        </w:tc>
        <w:tc>
          <w:tcPr>
            <w:tcW w:w="2665" w:type="dxa"/>
            <w:vMerge/>
          </w:tcPr>
          <w:p w14:paraId="1177AF5C" w14:textId="77777777" w:rsidR="00454A29" w:rsidRDefault="00454A29"/>
        </w:tc>
        <w:tc>
          <w:tcPr>
            <w:tcW w:w="1928" w:type="dxa"/>
            <w:vMerge/>
          </w:tcPr>
          <w:p w14:paraId="378F1777" w14:textId="77777777" w:rsidR="00454A29" w:rsidRDefault="00454A29"/>
        </w:tc>
        <w:tc>
          <w:tcPr>
            <w:tcW w:w="1644" w:type="dxa"/>
            <w:vMerge/>
          </w:tcPr>
          <w:p w14:paraId="07840F2B" w14:textId="77777777" w:rsidR="00454A29" w:rsidRDefault="00454A29"/>
        </w:tc>
        <w:tc>
          <w:tcPr>
            <w:tcW w:w="2041" w:type="dxa"/>
            <w:vMerge/>
          </w:tcPr>
          <w:p w14:paraId="70469D6A" w14:textId="77777777" w:rsidR="00454A29" w:rsidRDefault="00454A29"/>
        </w:tc>
        <w:tc>
          <w:tcPr>
            <w:tcW w:w="2098" w:type="dxa"/>
            <w:vAlign w:val="center"/>
          </w:tcPr>
          <w:p w14:paraId="6011DF92" w14:textId="77777777" w:rsidR="00454A29" w:rsidRDefault="00454A29">
            <w:pPr>
              <w:pStyle w:val="ConsPlusNormal"/>
              <w:jc w:val="center"/>
            </w:pPr>
            <w:r>
              <w:t>Внебюджетные средства</w:t>
            </w:r>
          </w:p>
        </w:tc>
        <w:tc>
          <w:tcPr>
            <w:tcW w:w="1814" w:type="dxa"/>
            <w:vAlign w:val="center"/>
          </w:tcPr>
          <w:p w14:paraId="28BACBD1" w14:textId="77777777" w:rsidR="00454A29" w:rsidRDefault="00454A29">
            <w:pPr>
              <w:pStyle w:val="ConsPlusNormal"/>
              <w:jc w:val="center"/>
            </w:pPr>
            <w:r>
              <w:t>0,00</w:t>
            </w:r>
          </w:p>
        </w:tc>
        <w:tc>
          <w:tcPr>
            <w:tcW w:w="1701" w:type="dxa"/>
            <w:vAlign w:val="center"/>
          </w:tcPr>
          <w:p w14:paraId="2129DA5C" w14:textId="77777777" w:rsidR="00454A29" w:rsidRDefault="00454A29">
            <w:pPr>
              <w:pStyle w:val="ConsPlusNormal"/>
              <w:jc w:val="center"/>
            </w:pPr>
            <w:r>
              <w:t>0,00</w:t>
            </w:r>
          </w:p>
        </w:tc>
        <w:tc>
          <w:tcPr>
            <w:tcW w:w="1701" w:type="dxa"/>
            <w:vAlign w:val="center"/>
          </w:tcPr>
          <w:p w14:paraId="5DAAAF32" w14:textId="77777777" w:rsidR="00454A29" w:rsidRDefault="00454A29">
            <w:pPr>
              <w:pStyle w:val="ConsPlusNormal"/>
              <w:jc w:val="center"/>
            </w:pPr>
            <w:r>
              <w:t>0,00</w:t>
            </w:r>
          </w:p>
        </w:tc>
        <w:tc>
          <w:tcPr>
            <w:tcW w:w="1701" w:type="dxa"/>
            <w:vAlign w:val="center"/>
          </w:tcPr>
          <w:p w14:paraId="780FFEB5" w14:textId="77777777" w:rsidR="00454A29" w:rsidRDefault="00454A29">
            <w:pPr>
              <w:pStyle w:val="ConsPlusNormal"/>
              <w:jc w:val="center"/>
            </w:pPr>
            <w:r>
              <w:t>0,00</w:t>
            </w:r>
          </w:p>
        </w:tc>
        <w:tc>
          <w:tcPr>
            <w:tcW w:w="1701" w:type="dxa"/>
            <w:vAlign w:val="center"/>
          </w:tcPr>
          <w:p w14:paraId="18AB5506" w14:textId="77777777" w:rsidR="00454A29" w:rsidRDefault="00454A29">
            <w:pPr>
              <w:pStyle w:val="ConsPlusNormal"/>
              <w:jc w:val="center"/>
            </w:pPr>
            <w:r>
              <w:t>0,00</w:t>
            </w:r>
          </w:p>
        </w:tc>
        <w:tc>
          <w:tcPr>
            <w:tcW w:w="1701" w:type="dxa"/>
            <w:vAlign w:val="center"/>
          </w:tcPr>
          <w:p w14:paraId="7FE996FA" w14:textId="77777777" w:rsidR="00454A29" w:rsidRDefault="00454A29">
            <w:pPr>
              <w:pStyle w:val="ConsPlusNormal"/>
              <w:jc w:val="center"/>
            </w:pPr>
            <w:r>
              <w:t>0,00</w:t>
            </w:r>
          </w:p>
        </w:tc>
        <w:tc>
          <w:tcPr>
            <w:tcW w:w="1701" w:type="dxa"/>
            <w:vAlign w:val="center"/>
          </w:tcPr>
          <w:p w14:paraId="3F51DFD1" w14:textId="77777777" w:rsidR="00454A29" w:rsidRDefault="00454A29">
            <w:pPr>
              <w:pStyle w:val="ConsPlusNormal"/>
              <w:jc w:val="center"/>
            </w:pPr>
            <w:r>
              <w:t>0,00</w:t>
            </w:r>
          </w:p>
        </w:tc>
      </w:tr>
      <w:tr w:rsidR="00454A29" w14:paraId="321D4C30" w14:textId="77777777">
        <w:tc>
          <w:tcPr>
            <w:tcW w:w="964" w:type="dxa"/>
            <w:vMerge w:val="restart"/>
            <w:vAlign w:val="center"/>
          </w:tcPr>
          <w:p w14:paraId="14B64D88" w14:textId="77777777" w:rsidR="00454A29" w:rsidRDefault="00454A29">
            <w:pPr>
              <w:pStyle w:val="ConsPlusNormal"/>
              <w:jc w:val="center"/>
            </w:pPr>
            <w:r>
              <w:t>6.6.</w:t>
            </w:r>
          </w:p>
        </w:tc>
        <w:tc>
          <w:tcPr>
            <w:tcW w:w="2154" w:type="dxa"/>
            <w:vMerge w:val="restart"/>
            <w:tcBorders>
              <w:top w:val="nil"/>
            </w:tcBorders>
            <w:vAlign w:val="center"/>
          </w:tcPr>
          <w:p w14:paraId="30C90B56" w14:textId="77777777" w:rsidR="00454A29" w:rsidRDefault="00454A29">
            <w:pPr>
              <w:pStyle w:val="ConsPlusNormal"/>
            </w:pPr>
          </w:p>
        </w:tc>
        <w:tc>
          <w:tcPr>
            <w:tcW w:w="2154" w:type="dxa"/>
            <w:vMerge w:val="restart"/>
            <w:tcBorders>
              <w:top w:val="nil"/>
            </w:tcBorders>
            <w:vAlign w:val="center"/>
          </w:tcPr>
          <w:p w14:paraId="2BC4AD2C" w14:textId="77777777" w:rsidR="00454A29" w:rsidRDefault="00454A29">
            <w:pPr>
              <w:pStyle w:val="ConsPlusNormal"/>
            </w:pPr>
          </w:p>
        </w:tc>
        <w:tc>
          <w:tcPr>
            <w:tcW w:w="2665" w:type="dxa"/>
            <w:vMerge w:val="restart"/>
            <w:vAlign w:val="center"/>
          </w:tcPr>
          <w:p w14:paraId="33343D0A" w14:textId="77777777" w:rsidR="00454A29" w:rsidRDefault="00454A29">
            <w:pPr>
              <w:pStyle w:val="ConsPlusNormal"/>
              <w:jc w:val="center"/>
            </w:pPr>
            <w:r>
              <w:t xml:space="preserve">Результат 5. Не менее 70% учителей в возрасте до 35 лет вовлечены в различные формы </w:t>
            </w:r>
            <w:r>
              <w:lastRenderedPageBreak/>
              <w:t>поддержки и сопровождения в первые три года работы</w:t>
            </w:r>
          </w:p>
        </w:tc>
        <w:tc>
          <w:tcPr>
            <w:tcW w:w="2665" w:type="dxa"/>
            <w:vMerge w:val="restart"/>
            <w:vAlign w:val="center"/>
          </w:tcPr>
          <w:p w14:paraId="76166A1E" w14:textId="77777777" w:rsidR="00454A29" w:rsidRDefault="00454A29">
            <w:pPr>
              <w:pStyle w:val="ConsPlusNormal"/>
              <w:jc w:val="center"/>
            </w:pPr>
            <w:r>
              <w:lastRenderedPageBreak/>
              <w:t xml:space="preserve">Мероприятие 7.3.6. Организация профессиональных конкурсов для молодых </w:t>
            </w:r>
            <w:r>
              <w:lastRenderedPageBreak/>
              <w:t>педагогов до 35 лет.</w:t>
            </w:r>
          </w:p>
        </w:tc>
        <w:tc>
          <w:tcPr>
            <w:tcW w:w="1928" w:type="dxa"/>
            <w:vMerge w:val="restart"/>
            <w:vAlign w:val="center"/>
          </w:tcPr>
          <w:p w14:paraId="54F1F7A9" w14:textId="77777777" w:rsidR="00454A29" w:rsidRDefault="00454A29">
            <w:pPr>
              <w:pStyle w:val="ConsPlusNormal"/>
              <w:jc w:val="center"/>
            </w:pPr>
            <w:r>
              <w:lastRenderedPageBreak/>
              <w:t>-</w:t>
            </w:r>
          </w:p>
        </w:tc>
        <w:tc>
          <w:tcPr>
            <w:tcW w:w="1644" w:type="dxa"/>
            <w:vMerge w:val="restart"/>
            <w:vAlign w:val="center"/>
          </w:tcPr>
          <w:p w14:paraId="61B6E47C" w14:textId="77777777" w:rsidR="00454A29" w:rsidRDefault="00454A29">
            <w:pPr>
              <w:pStyle w:val="ConsPlusNormal"/>
              <w:jc w:val="center"/>
            </w:pPr>
            <w:r>
              <w:t>-</w:t>
            </w:r>
          </w:p>
        </w:tc>
        <w:tc>
          <w:tcPr>
            <w:tcW w:w="2041" w:type="dxa"/>
            <w:vMerge w:val="restart"/>
            <w:vAlign w:val="center"/>
          </w:tcPr>
          <w:p w14:paraId="40685DEF" w14:textId="77777777" w:rsidR="00454A29" w:rsidRDefault="00454A29">
            <w:pPr>
              <w:pStyle w:val="ConsPlusNormal"/>
              <w:jc w:val="center"/>
            </w:pPr>
            <w:r>
              <w:t>-</w:t>
            </w:r>
          </w:p>
        </w:tc>
        <w:tc>
          <w:tcPr>
            <w:tcW w:w="2098" w:type="dxa"/>
            <w:vAlign w:val="center"/>
          </w:tcPr>
          <w:p w14:paraId="7EE88172" w14:textId="77777777" w:rsidR="00454A29" w:rsidRDefault="00454A29">
            <w:pPr>
              <w:pStyle w:val="ConsPlusNormal"/>
              <w:jc w:val="center"/>
            </w:pPr>
            <w:r>
              <w:t>Итого</w:t>
            </w:r>
          </w:p>
        </w:tc>
        <w:tc>
          <w:tcPr>
            <w:tcW w:w="1814" w:type="dxa"/>
            <w:vAlign w:val="center"/>
          </w:tcPr>
          <w:p w14:paraId="38BAFAA2" w14:textId="77777777" w:rsidR="00454A29" w:rsidRDefault="00454A29">
            <w:pPr>
              <w:pStyle w:val="ConsPlusNormal"/>
              <w:jc w:val="center"/>
            </w:pPr>
            <w:r>
              <w:t>0,00</w:t>
            </w:r>
          </w:p>
        </w:tc>
        <w:tc>
          <w:tcPr>
            <w:tcW w:w="1701" w:type="dxa"/>
            <w:vAlign w:val="center"/>
          </w:tcPr>
          <w:p w14:paraId="782DFB61" w14:textId="77777777" w:rsidR="00454A29" w:rsidRDefault="00454A29">
            <w:pPr>
              <w:pStyle w:val="ConsPlusNormal"/>
              <w:jc w:val="center"/>
            </w:pPr>
            <w:r>
              <w:t>0,00</w:t>
            </w:r>
          </w:p>
        </w:tc>
        <w:tc>
          <w:tcPr>
            <w:tcW w:w="1701" w:type="dxa"/>
            <w:vAlign w:val="center"/>
          </w:tcPr>
          <w:p w14:paraId="1711B2F9" w14:textId="77777777" w:rsidR="00454A29" w:rsidRDefault="00454A29">
            <w:pPr>
              <w:pStyle w:val="ConsPlusNormal"/>
              <w:jc w:val="center"/>
            </w:pPr>
            <w:r>
              <w:t>0,00</w:t>
            </w:r>
          </w:p>
        </w:tc>
        <w:tc>
          <w:tcPr>
            <w:tcW w:w="1701" w:type="dxa"/>
            <w:vAlign w:val="center"/>
          </w:tcPr>
          <w:p w14:paraId="1D0BC251" w14:textId="77777777" w:rsidR="00454A29" w:rsidRDefault="00454A29">
            <w:pPr>
              <w:pStyle w:val="ConsPlusNormal"/>
              <w:jc w:val="center"/>
            </w:pPr>
            <w:r>
              <w:t>0,00</w:t>
            </w:r>
          </w:p>
        </w:tc>
        <w:tc>
          <w:tcPr>
            <w:tcW w:w="1701" w:type="dxa"/>
            <w:vAlign w:val="center"/>
          </w:tcPr>
          <w:p w14:paraId="672A5851" w14:textId="77777777" w:rsidR="00454A29" w:rsidRDefault="00454A29">
            <w:pPr>
              <w:pStyle w:val="ConsPlusNormal"/>
              <w:jc w:val="center"/>
            </w:pPr>
            <w:r>
              <w:t>0,00</w:t>
            </w:r>
          </w:p>
        </w:tc>
        <w:tc>
          <w:tcPr>
            <w:tcW w:w="1701" w:type="dxa"/>
            <w:vAlign w:val="center"/>
          </w:tcPr>
          <w:p w14:paraId="5E8B12C9" w14:textId="77777777" w:rsidR="00454A29" w:rsidRDefault="00454A29">
            <w:pPr>
              <w:pStyle w:val="ConsPlusNormal"/>
              <w:jc w:val="center"/>
            </w:pPr>
            <w:r>
              <w:t>0,00</w:t>
            </w:r>
          </w:p>
        </w:tc>
        <w:tc>
          <w:tcPr>
            <w:tcW w:w="1701" w:type="dxa"/>
            <w:vAlign w:val="center"/>
          </w:tcPr>
          <w:p w14:paraId="185C906C" w14:textId="77777777" w:rsidR="00454A29" w:rsidRDefault="00454A29">
            <w:pPr>
              <w:pStyle w:val="ConsPlusNormal"/>
              <w:jc w:val="center"/>
            </w:pPr>
            <w:r>
              <w:t>0,00</w:t>
            </w:r>
          </w:p>
        </w:tc>
      </w:tr>
      <w:tr w:rsidR="00454A29" w14:paraId="3F1C2884" w14:textId="77777777">
        <w:tc>
          <w:tcPr>
            <w:tcW w:w="964" w:type="dxa"/>
            <w:vMerge/>
          </w:tcPr>
          <w:p w14:paraId="290095D2" w14:textId="77777777" w:rsidR="00454A29" w:rsidRDefault="00454A29"/>
        </w:tc>
        <w:tc>
          <w:tcPr>
            <w:tcW w:w="2154" w:type="dxa"/>
            <w:vMerge/>
            <w:tcBorders>
              <w:top w:val="nil"/>
            </w:tcBorders>
          </w:tcPr>
          <w:p w14:paraId="16805E9A" w14:textId="77777777" w:rsidR="00454A29" w:rsidRDefault="00454A29"/>
        </w:tc>
        <w:tc>
          <w:tcPr>
            <w:tcW w:w="2154" w:type="dxa"/>
            <w:vMerge/>
            <w:tcBorders>
              <w:top w:val="nil"/>
            </w:tcBorders>
          </w:tcPr>
          <w:p w14:paraId="55B9EE18" w14:textId="77777777" w:rsidR="00454A29" w:rsidRDefault="00454A29"/>
        </w:tc>
        <w:tc>
          <w:tcPr>
            <w:tcW w:w="2665" w:type="dxa"/>
            <w:vMerge/>
          </w:tcPr>
          <w:p w14:paraId="58EFF8BE" w14:textId="77777777" w:rsidR="00454A29" w:rsidRDefault="00454A29"/>
        </w:tc>
        <w:tc>
          <w:tcPr>
            <w:tcW w:w="2665" w:type="dxa"/>
            <w:vMerge/>
          </w:tcPr>
          <w:p w14:paraId="09266BB1" w14:textId="77777777" w:rsidR="00454A29" w:rsidRDefault="00454A29"/>
        </w:tc>
        <w:tc>
          <w:tcPr>
            <w:tcW w:w="1928" w:type="dxa"/>
            <w:vMerge/>
          </w:tcPr>
          <w:p w14:paraId="21FE1089" w14:textId="77777777" w:rsidR="00454A29" w:rsidRDefault="00454A29"/>
        </w:tc>
        <w:tc>
          <w:tcPr>
            <w:tcW w:w="1644" w:type="dxa"/>
            <w:vMerge/>
          </w:tcPr>
          <w:p w14:paraId="2ACD2A31" w14:textId="77777777" w:rsidR="00454A29" w:rsidRDefault="00454A29"/>
        </w:tc>
        <w:tc>
          <w:tcPr>
            <w:tcW w:w="2041" w:type="dxa"/>
            <w:vMerge/>
          </w:tcPr>
          <w:p w14:paraId="1BD86C26" w14:textId="77777777" w:rsidR="00454A29" w:rsidRDefault="00454A29"/>
        </w:tc>
        <w:tc>
          <w:tcPr>
            <w:tcW w:w="2098" w:type="dxa"/>
            <w:vAlign w:val="center"/>
          </w:tcPr>
          <w:p w14:paraId="58B9B92E"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8020F92" w14:textId="77777777" w:rsidR="00454A29" w:rsidRDefault="00454A29">
            <w:pPr>
              <w:pStyle w:val="ConsPlusNormal"/>
              <w:jc w:val="center"/>
            </w:pPr>
            <w:r>
              <w:t>0,00</w:t>
            </w:r>
          </w:p>
        </w:tc>
        <w:tc>
          <w:tcPr>
            <w:tcW w:w="1701" w:type="dxa"/>
            <w:vAlign w:val="center"/>
          </w:tcPr>
          <w:p w14:paraId="321C4987" w14:textId="77777777" w:rsidR="00454A29" w:rsidRDefault="00454A29">
            <w:pPr>
              <w:pStyle w:val="ConsPlusNormal"/>
              <w:jc w:val="center"/>
            </w:pPr>
            <w:r>
              <w:t>0,00</w:t>
            </w:r>
          </w:p>
        </w:tc>
        <w:tc>
          <w:tcPr>
            <w:tcW w:w="1701" w:type="dxa"/>
            <w:vAlign w:val="center"/>
          </w:tcPr>
          <w:p w14:paraId="023D92B1" w14:textId="77777777" w:rsidR="00454A29" w:rsidRDefault="00454A29">
            <w:pPr>
              <w:pStyle w:val="ConsPlusNormal"/>
              <w:jc w:val="center"/>
            </w:pPr>
            <w:r>
              <w:t>0,00</w:t>
            </w:r>
          </w:p>
        </w:tc>
        <w:tc>
          <w:tcPr>
            <w:tcW w:w="1701" w:type="dxa"/>
            <w:vAlign w:val="center"/>
          </w:tcPr>
          <w:p w14:paraId="0F315131" w14:textId="77777777" w:rsidR="00454A29" w:rsidRDefault="00454A29">
            <w:pPr>
              <w:pStyle w:val="ConsPlusNormal"/>
              <w:jc w:val="center"/>
            </w:pPr>
            <w:r>
              <w:t>0,00</w:t>
            </w:r>
          </w:p>
        </w:tc>
        <w:tc>
          <w:tcPr>
            <w:tcW w:w="1701" w:type="dxa"/>
            <w:vAlign w:val="center"/>
          </w:tcPr>
          <w:p w14:paraId="720483D1" w14:textId="77777777" w:rsidR="00454A29" w:rsidRDefault="00454A29">
            <w:pPr>
              <w:pStyle w:val="ConsPlusNormal"/>
              <w:jc w:val="center"/>
            </w:pPr>
            <w:r>
              <w:t>0,00</w:t>
            </w:r>
          </w:p>
        </w:tc>
        <w:tc>
          <w:tcPr>
            <w:tcW w:w="1701" w:type="dxa"/>
            <w:vAlign w:val="center"/>
          </w:tcPr>
          <w:p w14:paraId="3241D08E" w14:textId="77777777" w:rsidR="00454A29" w:rsidRDefault="00454A29">
            <w:pPr>
              <w:pStyle w:val="ConsPlusNormal"/>
              <w:jc w:val="center"/>
            </w:pPr>
            <w:r>
              <w:t>0,00</w:t>
            </w:r>
          </w:p>
        </w:tc>
        <w:tc>
          <w:tcPr>
            <w:tcW w:w="1701" w:type="dxa"/>
            <w:vAlign w:val="center"/>
          </w:tcPr>
          <w:p w14:paraId="21EA9328" w14:textId="77777777" w:rsidR="00454A29" w:rsidRDefault="00454A29">
            <w:pPr>
              <w:pStyle w:val="ConsPlusNormal"/>
              <w:jc w:val="center"/>
            </w:pPr>
            <w:r>
              <w:t>0,00</w:t>
            </w:r>
          </w:p>
        </w:tc>
      </w:tr>
      <w:tr w:rsidR="00454A29" w14:paraId="45CC3DAD" w14:textId="77777777">
        <w:tc>
          <w:tcPr>
            <w:tcW w:w="964" w:type="dxa"/>
            <w:vMerge/>
          </w:tcPr>
          <w:p w14:paraId="364B38A1" w14:textId="77777777" w:rsidR="00454A29" w:rsidRDefault="00454A29"/>
        </w:tc>
        <w:tc>
          <w:tcPr>
            <w:tcW w:w="2154" w:type="dxa"/>
            <w:vMerge/>
            <w:tcBorders>
              <w:top w:val="nil"/>
            </w:tcBorders>
          </w:tcPr>
          <w:p w14:paraId="7EC848CF" w14:textId="77777777" w:rsidR="00454A29" w:rsidRDefault="00454A29"/>
        </w:tc>
        <w:tc>
          <w:tcPr>
            <w:tcW w:w="2154" w:type="dxa"/>
            <w:vMerge/>
            <w:tcBorders>
              <w:top w:val="nil"/>
            </w:tcBorders>
          </w:tcPr>
          <w:p w14:paraId="649E229C" w14:textId="77777777" w:rsidR="00454A29" w:rsidRDefault="00454A29"/>
        </w:tc>
        <w:tc>
          <w:tcPr>
            <w:tcW w:w="2665" w:type="dxa"/>
            <w:vMerge/>
          </w:tcPr>
          <w:p w14:paraId="21A2ACCA" w14:textId="77777777" w:rsidR="00454A29" w:rsidRDefault="00454A29"/>
        </w:tc>
        <w:tc>
          <w:tcPr>
            <w:tcW w:w="2665" w:type="dxa"/>
            <w:vMerge/>
          </w:tcPr>
          <w:p w14:paraId="78CB8D5B" w14:textId="77777777" w:rsidR="00454A29" w:rsidRDefault="00454A29"/>
        </w:tc>
        <w:tc>
          <w:tcPr>
            <w:tcW w:w="1928" w:type="dxa"/>
            <w:vMerge/>
          </w:tcPr>
          <w:p w14:paraId="33FAE34E" w14:textId="77777777" w:rsidR="00454A29" w:rsidRDefault="00454A29"/>
        </w:tc>
        <w:tc>
          <w:tcPr>
            <w:tcW w:w="1644" w:type="dxa"/>
            <w:vMerge/>
          </w:tcPr>
          <w:p w14:paraId="3AEEFBEE" w14:textId="77777777" w:rsidR="00454A29" w:rsidRDefault="00454A29"/>
        </w:tc>
        <w:tc>
          <w:tcPr>
            <w:tcW w:w="2041" w:type="dxa"/>
            <w:vMerge/>
          </w:tcPr>
          <w:p w14:paraId="7D43B612" w14:textId="77777777" w:rsidR="00454A29" w:rsidRDefault="00454A29"/>
        </w:tc>
        <w:tc>
          <w:tcPr>
            <w:tcW w:w="2098" w:type="dxa"/>
            <w:vAlign w:val="center"/>
          </w:tcPr>
          <w:p w14:paraId="29ACBDDC" w14:textId="77777777" w:rsidR="00454A29" w:rsidRDefault="00454A29">
            <w:pPr>
              <w:pStyle w:val="ConsPlusNormal"/>
              <w:jc w:val="center"/>
            </w:pPr>
            <w:r>
              <w:t>Федеральный бюджет</w:t>
            </w:r>
          </w:p>
        </w:tc>
        <w:tc>
          <w:tcPr>
            <w:tcW w:w="1814" w:type="dxa"/>
            <w:vAlign w:val="center"/>
          </w:tcPr>
          <w:p w14:paraId="62FC7B5C" w14:textId="77777777" w:rsidR="00454A29" w:rsidRDefault="00454A29">
            <w:pPr>
              <w:pStyle w:val="ConsPlusNormal"/>
              <w:jc w:val="center"/>
            </w:pPr>
            <w:r>
              <w:t>0,00</w:t>
            </w:r>
          </w:p>
        </w:tc>
        <w:tc>
          <w:tcPr>
            <w:tcW w:w="1701" w:type="dxa"/>
            <w:vAlign w:val="center"/>
          </w:tcPr>
          <w:p w14:paraId="0B155B7B" w14:textId="77777777" w:rsidR="00454A29" w:rsidRDefault="00454A29">
            <w:pPr>
              <w:pStyle w:val="ConsPlusNormal"/>
              <w:jc w:val="center"/>
            </w:pPr>
            <w:r>
              <w:t>0,00</w:t>
            </w:r>
          </w:p>
        </w:tc>
        <w:tc>
          <w:tcPr>
            <w:tcW w:w="1701" w:type="dxa"/>
            <w:vAlign w:val="center"/>
          </w:tcPr>
          <w:p w14:paraId="4D63361B" w14:textId="77777777" w:rsidR="00454A29" w:rsidRDefault="00454A29">
            <w:pPr>
              <w:pStyle w:val="ConsPlusNormal"/>
              <w:jc w:val="center"/>
            </w:pPr>
            <w:r>
              <w:t>0,00</w:t>
            </w:r>
          </w:p>
        </w:tc>
        <w:tc>
          <w:tcPr>
            <w:tcW w:w="1701" w:type="dxa"/>
            <w:vAlign w:val="center"/>
          </w:tcPr>
          <w:p w14:paraId="721F7B07" w14:textId="77777777" w:rsidR="00454A29" w:rsidRDefault="00454A29">
            <w:pPr>
              <w:pStyle w:val="ConsPlusNormal"/>
              <w:jc w:val="center"/>
            </w:pPr>
            <w:r>
              <w:t>0,00</w:t>
            </w:r>
          </w:p>
        </w:tc>
        <w:tc>
          <w:tcPr>
            <w:tcW w:w="1701" w:type="dxa"/>
            <w:vAlign w:val="center"/>
          </w:tcPr>
          <w:p w14:paraId="3CBFB7D9" w14:textId="77777777" w:rsidR="00454A29" w:rsidRDefault="00454A29">
            <w:pPr>
              <w:pStyle w:val="ConsPlusNormal"/>
              <w:jc w:val="center"/>
            </w:pPr>
            <w:r>
              <w:t>0,00</w:t>
            </w:r>
          </w:p>
        </w:tc>
        <w:tc>
          <w:tcPr>
            <w:tcW w:w="1701" w:type="dxa"/>
            <w:vAlign w:val="center"/>
          </w:tcPr>
          <w:p w14:paraId="21FCE6DC" w14:textId="77777777" w:rsidR="00454A29" w:rsidRDefault="00454A29">
            <w:pPr>
              <w:pStyle w:val="ConsPlusNormal"/>
              <w:jc w:val="center"/>
            </w:pPr>
            <w:r>
              <w:t>0,00</w:t>
            </w:r>
          </w:p>
        </w:tc>
        <w:tc>
          <w:tcPr>
            <w:tcW w:w="1701" w:type="dxa"/>
            <w:vAlign w:val="center"/>
          </w:tcPr>
          <w:p w14:paraId="7E315664" w14:textId="77777777" w:rsidR="00454A29" w:rsidRDefault="00454A29">
            <w:pPr>
              <w:pStyle w:val="ConsPlusNormal"/>
              <w:jc w:val="center"/>
            </w:pPr>
            <w:r>
              <w:t>0,00</w:t>
            </w:r>
          </w:p>
        </w:tc>
      </w:tr>
      <w:tr w:rsidR="00454A29" w14:paraId="74E985D8" w14:textId="77777777">
        <w:tc>
          <w:tcPr>
            <w:tcW w:w="964" w:type="dxa"/>
            <w:vMerge/>
          </w:tcPr>
          <w:p w14:paraId="4766FFB9" w14:textId="77777777" w:rsidR="00454A29" w:rsidRDefault="00454A29"/>
        </w:tc>
        <w:tc>
          <w:tcPr>
            <w:tcW w:w="2154" w:type="dxa"/>
            <w:vMerge/>
            <w:tcBorders>
              <w:top w:val="nil"/>
            </w:tcBorders>
          </w:tcPr>
          <w:p w14:paraId="556D28EF" w14:textId="77777777" w:rsidR="00454A29" w:rsidRDefault="00454A29"/>
        </w:tc>
        <w:tc>
          <w:tcPr>
            <w:tcW w:w="2154" w:type="dxa"/>
            <w:vMerge/>
            <w:tcBorders>
              <w:top w:val="nil"/>
            </w:tcBorders>
          </w:tcPr>
          <w:p w14:paraId="57C832AA" w14:textId="77777777" w:rsidR="00454A29" w:rsidRDefault="00454A29"/>
        </w:tc>
        <w:tc>
          <w:tcPr>
            <w:tcW w:w="2665" w:type="dxa"/>
            <w:vMerge/>
          </w:tcPr>
          <w:p w14:paraId="364C756E" w14:textId="77777777" w:rsidR="00454A29" w:rsidRDefault="00454A29"/>
        </w:tc>
        <w:tc>
          <w:tcPr>
            <w:tcW w:w="2665" w:type="dxa"/>
            <w:vMerge/>
          </w:tcPr>
          <w:p w14:paraId="2E41D65A" w14:textId="77777777" w:rsidR="00454A29" w:rsidRDefault="00454A29"/>
        </w:tc>
        <w:tc>
          <w:tcPr>
            <w:tcW w:w="1928" w:type="dxa"/>
            <w:vMerge/>
          </w:tcPr>
          <w:p w14:paraId="2EC908EC" w14:textId="77777777" w:rsidR="00454A29" w:rsidRDefault="00454A29"/>
        </w:tc>
        <w:tc>
          <w:tcPr>
            <w:tcW w:w="1644" w:type="dxa"/>
            <w:vMerge/>
          </w:tcPr>
          <w:p w14:paraId="7168117C" w14:textId="77777777" w:rsidR="00454A29" w:rsidRDefault="00454A29"/>
        </w:tc>
        <w:tc>
          <w:tcPr>
            <w:tcW w:w="2041" w:type="dxa"/>
            <w:vMerge/>
          </w:tcPr>
          <w:p w14:paraId="4073B463" w14:textId="77777777" w:rsidR="00454A29" w:rsidRDefault="00454A29"/>
        </w:tc>
        <w:tc>
          <w:tcPr>
            <w:tcW w:w="2098" w:type="dxa"/>
            <w:vAlign w:val="center"/>
          </w:tcPr>
          <w:p w14:paraId="31DC1B00" w14:textId="77777777" w:rsidR="00454A29" w:rsidRDefault="00454A29">
            <w:pPr>
              <w:pStyle w:val="ConsPlusNormal"/>
              <w:jc w:val="center"/>
            </w:pPr>
            <w:r>
              <w:t>Местные бюджеты</w:t>
            </w:r>
          </w:p>
        </w:tc>
        <w:tc>
          <w:tcPr>
            <w:tcW w:w="1814" w:type="dxa"/>
            <w:vAlign w:val="center"/>
          </w:tcPr>
          <w:p w14:paraId="64048B17" w14:textId="77777777" w:rsidR="00454A29" w:rsidRDefault="00454A29">
            <w:pPr>
              <w:pStyle w:val="ConsPlusNormal"/>
              <w:jc w:val="center"/>
            </w:pPr>
            <w:r>
              <w:t>0,00</w:t>
            </w:r>
          </w:p>
        </w:tc>
        <w:tc>
          <w:tcPr>
            <w:tcW w:w="1701" w:type="dxa"/>
            <w:vAlign w:val="center"/>
          </w:tcPr>
          <w:p w14:paraId="1D58E51F" w14:textId="77777777" w:rsidR="00454A29" w:rsidRDefault="00454A29">
            <w:pPr>
              <w:pStyle w:val="ConsPlusNormal"/>
              <w:jc w:val="center"/>
            </w:pPr>
            <w:r>
              <w:t>0,00</w:t>
            </w:r>
          </w:p>
        </w:tc>
        <w:tc>
          <w:tcPr>
            <w:tcW w:w="1701" w:type="dxa"/>
            <w:vAlign w:val="center"/>
          </w:tcPr>
          <w:p w14:paraId="765AA216" w14:textId="77777777" w:rsidR="00454A29" w:rsidRDefault="00454A29">
            <w:pPr>
              <w:pStyle w:val="ConsPlusNormal"/>
              <w:jc w:val="center"/>
            </w:pPr>
            <w:r>
              <w:t>0,00</w:t>
            </w:r>
          </w:p>
        </w:tc>
        <w:tc>
          <w:tcPr>
            <w:tcW w:w="1701" w:type="dxa"/>
            <w:vAlign w:val="center"/>
          </w:tcPr>
          <w:p w14:paraId="0E091F4E" w14:textId="77777777" w:rsidR="00454A29" w:rsidRDefault="00454A29">
            <w:pPr>
              <w:pStyle w:val="ConsPlusNormal"/>
              <w:jc w:val="center"/>
            </w:pPr>
            <w:r>
              <w:t>0,00</w:t>
            </w:r>
          </w:p>
        </w:tc>
        <w:tc>
          <w:tcPr>
            <w:tcW w:w="1701" w:type="dxa"/>
            <w:vAlign w:val="center"/>
          </w:tcPr>
          <w:p w14:paraId="0F02A9D0" w14:textId="77777777" w:rsidR="00454A29" w:rsidRDefault="00454A29">
            <w:pPr>
              <w:pStyle w:val="ConsPlusNormal"/>
              <w:jc w:val="center"/>
            </w:pPr>
            <w:r>
              <w:t>0,00</w:t>
            </w:r>
          </w:p>
        </w:tc>
        <w:tc>
          <w:tcPr>
            <w:tcW w:w="1701" w:type="dxa"/>
            <w:vAlign w:val="center"/>
          </w:tcPr>
          <w:p w14:paraId="7439460F" w14:textId="77777777" w:rsidR="00454A29" w:rsidRDefault="00454A29">
            <w:pPr>
              <w:pStyle w:val="ConsPlusNormal"/>
              <w:jc w:val="center"/>
            </w:pPr>
            <w:r>
              <w:t>0,00</w:t>
            </w:r>
          </w:p>
        </w:tc>
        <w:tc>
          <w:tcPr>
            <w:tcW w:w="1701" w:type="dxa"/>
            <w:vAlign w:val="center"/>
          </w:tcPr>
          <w:p w14:paraId="5441A1D0" w14:textId="77777777" w:rsidR="00454A29" w:rsidRDefault="00454A29">
            <w:pPr>
              <w:pStyle w:val="ConsPlusNormal"/>
              <w:jc w:val="center"/>
            </w:pPr>
            <w:r>
              <w:t>0,00</w:t>
            </w:r>
          </w:p>
        </w:tc>
      </w:tr>
      <w:tr w:rsidR="00454A29" w14:paraId="2259779F" w14:textId="77777777">
        <w:tc>
          <w:tcPr>
            <w:tcW w:w="964" w:type="dxa"/>
            <w:vMerge/>
          </w:tcPr>
          <w:p w14:paraId="3DC0B524" w14:textId="77777777" w:rsidR="00454A29" w:rsidRDefault="00454A29"/>
        </w:tc>
        <w:tc>
          <w:tcPr>
            <w:tcW w:w="2154" w:type="dxa"/>
            <w:vMerge/>
            <w:tcBorders>
              <w:top w:val="nil"/>
            </w:tcBorders>
          </w:tcPr>
          <w:p w14:paraId="24F201B8" w14:textId="77777777" w:rsidR="00454A29" w:rsidRDefault="00454A29"/>
        </w:tc>
        <w:tc>
          <w:tcPr>
            <w:tcW w:w="2154" w:type="dxa"/>
            <w:vMerge/>
            <w:tcBorders>
              <w:top w:val="nil"/>
            </w:tcBorders>
          </w:tcPr>
          <w:p w14:paraId="7338A8F0" w14:textId="77777777" w:rsidR="00454A29" w:rsidRDefault="00454A29"/>
        </w:tc>
        <w:tc>
          <w:tcPr>
            <w:tcW w:w="2665" w:type="dxa"/>
            <w:vMerge/>
          </w:tcPr>
          <w:p w14:paraId="5FB5E8C3" w14:textId="77777777" w:rsidR="00454A29" w:rsidRDefault="00454A29"/>
        </w:tc>
        <w:tc>
          <w:tcPr>
            <w:tcW w:w="2665" w:type="dxa"/>
            <w:vMerge/>
          </w:tcPr>
          <w:p w14:paraId="60AF5821" w14:textId="77777777" w:rsidR="00454A29" w:rsidRDefault="00454A29"/>
        </w:tc>
        <w:tc>
          <w:tcPr>
            <w:tcW w:w="1928" w:type="dxa"/>
            <w:vMerge/>
          </w:tcPr>
          <w:p w14:paraId="41D4DB48" w14:textId="77777777" w:rsidR="00454A29" w:rsidRDefault="00454A29"/>
        </w:tc>
        <w:tc>
          <w:tcPr>
            <w:tcW w:w="1644" w:type="dxa"/>
            <w:vMerge/>
          </w:tcPr>
          <w:p w14:paraId="1DED2536" w14:textId="77777777" w:rsidR="00454A29" w:rsidRDefault="00454A29"/>
        </w:tc>
        <w:tc>
          <w:tcPr>
            <w:tcW w:w="2041" w:type="dxa"/>
            <w:vMerge/>
          </w:tcPr>
          <w:p w14:paraId="2DB94A1B" w14:textId="77777777" w:rsidR="00454A29" w:rsidRDefault="00454A29"/>
        </w:tc>
        <w:tc>
          <w:tcPr>
            <w:tcW w:w="2098" w:type="dxa"/>
            <w:vAlign w:val="center"/>
          </w:tcPr>
          <w:p w14:paraId="385CBE35" w14:textId="77777777" w:rsidR="00454A29" w:rsidRDefault="00454A29">
            <w:pPr>
              <w:pStyle w:val="ConsPlusNormal"/>
              <w:jc w:val="center"/>
            </w:pPr>
            <w:r>
              <w:t>Внебюджетные средства</w:t>
            </w:r>
          </w:p>
        </w:tc>
        <w:tc>
          <w:tcPr>
            <w:tcW w:w="1814" w:type="dxa"/>
            <w:vAlign w:val="center"/>
          </w:tcPr>
          <w:p w14:paraId="58F9CD45" w14:textId="77777777" w:rsidR="00454A29" w:rsidRDefault="00454A29">
            <w:pPr>
              <w:pStyle w:val="ConsPlusNormal"/>
              <w:jc w:val="center"/>
            </w:pPr>
            <w:r>
              <w:t>0,00</w:t>
            </w:r>
          </w:p>
        </w:tc>
        <w:tc>
          <w:tcPr>
            <w:tcW w:w="1701" w:type="dxa"/>
            <w:vAlign w:val="center"/>
          </w:tcPr>
          <w:p w14:paraId="0244BDFE" w14:textId="77777777" w:rsidR="00454A29" w:rsidRDefault="00454A29">
            <w:pPr>
              <w:pStyle w:val="ConsPlusNormal"/>
              <w:jc w:val="center"/>
            </w:pPr>
            <w:r>
              <w:t>0,00</w:t>
            </w:r>
          </w:p>
        </w:tc>
        <w:tc>
          <w:tcPr>
            <w:tcW w:w="1701" w:type="dxa"/>
            <w:vAlign w:val="center"/>
          </w:tcPr>
          <w:p w14:paraId="2239584C" w14:textId="77777777" w:rsidR="00454A29" w:rsidRDefault="00454A29">
            <w:pPr>
              <w:pStyle w:val="ConsPlusNormal"/>
              <w:jc w:val="center"/>
            </w:pPr>
            <w:r>
              <w:t>0,00</w:t>
            </w:r>
          </w:p>
        </w:tc>
        <w:tc>
          <w:tcPr>
            <w:tcW w:w="1701" w:type="dxa"/>
            <w:vAlign w:val="center"/>
          </w:tcPr>
          <w:p w14:paraId="0CFD16BC" w14:textId="77777777" w:rsidR="00454A29" w:rsidRDefault="00454A29">
            <w:pPr>
              <w:pStyle w:val="ConsPlusNormal"/>
              <w:jc w:val="center"/>
            </w:pPr>
            <w:r>
              <w:t>0,00</w:t>
            </w:r>
          </w:p>
        </w:tc>
        <w:tc>
          <w:tcPr>
            <w:tcW w:w="1701" w:type="dxa"/>
            <w:vAlign w:val="center"/>
          </w:tcPr>
          <w:p w14:paraId="645DDA79" w14:textId="77777777" w:rsidR="00454A29" w:rsidRDefault="00454A29">
            <w:pPr>
              <w:pStyle w:val="ConsPlusNormal"/>
              <w:jc w:val="center"/>
            </w:pPr>
            <w:r>
              <w:t>0,00</w:t>
            </w:r>
          </w:p>
        </w:tc>
        <w:tc>
          <w:tcPr>
            <w:tcW w:w="1701" w:type="dxa"/>
            <w:vAlign w:val="center"/>
          </w:tcPr>
          <w:p w14:paraId="7F934C4A" w14:textId="77777777" w:rsidR="00454A29" w:rsidRDefault="00454A29">
            <w:pPr>
              <w:pStyle w:val="ConsPlusNormal"/>
              <w:jc w:val="center"/>
            </w:pPr>
            <w:r>
              <w:t>0,00</w:t>
            </w:r>
          </w:p>
        </w:tc>
        <w:tc>
          <w:tcPr>
            <w:tcW w:w="1701" w:type="dxa"/>
            <w:vAlign w:val="center"/>
          </w:tcPr>
          <w:p w14:paraId="50E2A825" w14:textId="77777777" w:rsidR="00454A29" w:rsidRDefault="00454A29">
            <w:pPr>
              <w:pStyle w:val="ConsPlusNormal"/>
              <w:jc w:val="center"/>
            </w:pPr>
            <w:r>
              <w:t>0,00</w:t>
            </w:r>
          </w:p>
        </w:tc>
      </w:tr>
      <w:tr w:rsidR="00454A29" w14:paraId="3DF54A06" w14:textId="77777777">
        <w:tc>
          <w:tcPr>
            <w:tcW w:w="964" w:type="dxa"/>
            <w:vMerge w:val="restart"/>
            <w:vAlign w:val="center"/>
          </w:tcPr>
          <w:p w14:paraId="5D4EE2FB" w14:textId="77777777" w:rsidR="00454A29" w:rsidRDefault="00454A29">
            <w:pPr>
              <w:pStyle w:val="ConsPlusNormal"/>
              <w:jc w:val="center"/>
            </w:pPr>
            <w:r>
              <w:t>7.</w:t>
            </w:r>
          </w:p>
        </w:tc>
        <w:tc>
          <w:tcPr>
            <w:tcW w:w="2154" w:type="dxa"/>
            <w:vMerge w:val="restart"/>
            <w:tcBorders>
              <w:bottom w:val="nil"/>
            </w:tcBorders>
            <w:vAlign w:val="center"/>
          </w:tcPr>
          <w:p w14:paraId="36669751" w14:textId="77777777" w:rsidR="00454A29" w:rsidRDefault="00454A29">
            <w:pPr>
              <w:pStyle w:val="ConsPlusNormal"/>
              <w:jc w:val="center"/>
            </w:pPr>
            <w:r>
              <w:t>Подпрограмма 3 "Профессиональное образование"</w:t>
            </w:r>
          </w:p>
        </w:tc>
        <w:tc>
          <w:tcPr>
            <w:tcW w:w="2154" w:type="dxa"/>
            <w:vMerge w:val="restart"/>
            <w:tcBorders>
              <w:bottom w:val="nil"/>
            </w:tcBorders>
            <w:vAlign w:val="center"/>
          </w:tcPr>
          <w:p w14:paraId="18C7D9FE" w14:textId="77777777" w:rsidR="00454A29" w:rsidRDefault="00454A29">
            <w:pPr>
              <w:pStyle w:val="ConsPlusNormal"/>
              <w:jc w:val="center"/>
            </w:pPr>
            <w:r>
              <w:t>Основное мероприятие 3.9. "Реализация регионального проекта "Экспорт образования"</w:t>
            </w:r>
          </w:p>
        </w:tc>
        <w:tc>
          <w:tcPr>
            <w:tcW w:w="10943" w:type="dxa"/>
            <w:gridSpan w:val="5"/>
            <w:vMerge w:val="restart"/>
            <w:vAlign w:val="center"/>
          </w:tcPr>
          <w:p w14:paraId="46029767" w14:textId="77777777" w:rsidR="00454A29" w:rsidRDefault="00454A29">
            <w:pPr>
              <w:pStyle w:val="ConsPlusNormal"/>
              <w:jc w:val="center"/>
            </w:pPr>
            <w:r>
              <w:t>ВСЕГО</w:t>
            </w:r>
          </w:p>
        </w:tc>
        <w:tc>
          <w:tcPr>
            <w:tcW w:w="2098" w:type="dxa"/>
            <w:vAlign w:val="center"/>
          </w:tcPr>
          <w:p w14:paraId="6C7711BF" w14:textId="77777777" w:rsidR="00454A29" w:rsidRDefault="00454A29">
            <w:pPr>
              <w:pStyle w:val="ConsPlusNormal"/>
              <w:jc w:val="center"/>
            </w:pPr>
            <w:r>
              <w:t>Итого</w:t>
            </w:r>
          </w:p>
        </w:tc>
        <w:tc>
          <w:tcPr>
            <w:tcW w:w="1814" w:type="dxa"/>
            <w:vAlign w:val="center"/>
          </w:tcPr>
          <w:p w14:paraId="2EF0C998" w14:textId="77777777" w:rsidR="00454A29" w:rsidRDefault="00454A29">
            <w:pPr>
              <w:pStyle w:val="ConsPlusNormal"/>
              <w:jc w:val="center"/>
            </w:pPr>
            <w:r>
              <w:t>0,00</w:t>
            </w:r>
          </w:p>
        </w:tc>
        <w:tc>
          <w:tcPr>
            <w:tcW w:w="1701" w:type="dxa"/>
            <w:vAlign w:val="center"/>
          </w:tcPr>
          <w:p w14:paraId="667293C6" w14:textId="77777777" w:rsidR="00454A29" w:rsidRDefault="00454A29">
            <w:pPr>
              <w:pStyle w:val="ConsPlusNormal"/>
              <w:jc w:val="center"/>
            </w:pPr>
            <w:r>
              <w:t>0,00</w:t>
            </w:r>
          </w:p>
        </w:tc>
        <w:tc>
          <w:tcPr>
            <w:tcW w:w="1701" w:type="dxa"/>
            <w:vAlign w:val="center"/>
          </w:tcPr>
          <w:p w14:paraId="549BFEAD" w14:textId="77777777" w:rsidR="00454A29" w:rsidRDefault="00454A29">
            <w:pPr>
              <w:pStyle w:val="ConsPlusNormal"/>
              <w:jc w:val="center"/>
            </w:pPr>
            <w:r>
              <w:t>0,00</w:t>
            </w:r>
          </w:p>
        </w:tc>
        <w:tc>
          <w:tcPr>
            <w:tcW w:w="1701" w:type="dxa"/>
            <w:vAlign w:val="center"/>
          </w:tcPr>
          <w:p w14:paraId="7F861453" w14:textId="77777777" w:rsidR="00454A29" w:rsidRDefault="00454A29">
            <w:pPr>
              <w:pStyle w:val="ConsPlusNormal"/>
              <w:jc w:val="center"/>
            </w:pPr>
            <w:r>
              <w:t>0,00</w:t>
            </w:r>
          </w:p>
        </w:tc>
        <w:tc>
          <w:tcPr>
            <w:tcW w:w="1701" w:type="dxa"/>
            <w:vAlign w:val="center"/>
          </w:tcPr>
          <w:p w14:paraId="55C6C06B" w14:textId="77777777" w:rsidR="00454A29" w:rsidRDefault="00454A29">
            <w:pPr>
              <w:pStyle w:val="ConsPlusNormal"/>
              <w:jc w:val="center"/>
            </w:pPr>
            <w:r>
              <w:t>0,00</w:t>
            </w:r>
          </w:p>
        </w:tc>
        <w:tc>
          <w:tcPr>
            <w:tcW w:w="1701" w:type="dxa"/>
            <w:vAlign w:val="center"/>
          </w:tcPr>
          <w:p w14:paraId="44D0A3E9" w14:textId="77777777" w:rsidR="00454A29" w:rsidRDefault="00454A29">
            <w:pPr>
              <w:pStyle w:val="ConsPlusNormal"/>
              <w:jc w:val="center"/>
            </w:pPr>
            <w:r>
              <w:t>0,00</w:t>
            </w:r>
          </w:p>
        </w:tc>
        <w:tc>
          <w:tcPr>
            <w:tcW w:w="1701" w:type="dxa"/>
            <w:vAlign w:val="center"/>
          </w:tcPr>
          <w:p w14:paraId="132CEFB9" w14:textId="77777777" w:rsidR="00454A29" w:rsidRDefault="00454A29">
            <w:pPr>
              <w:pStyle w:val="ConsPlusNormal"/>
              <w:jc w:val="center"/>
            </w:pPr>
            <w:r>
              <w:t>0,00</w:t>
            </w:r>
          </w:p>
        </w:tc>
      </w:tr>
      <w:tr w:rsidR="00454A29" w14:paraId="428C886B" w14:textId="77777777">
        <w:tc>
          <w:tcPr>
            <w:tcW w:w="964" w:type="dxa"/>
            <w:vMerge/>
          </w:tcPr>
          <w:p w14:paraId="06259C67" w14:textId="77777777" w:rsidR="00454A29" w:rsidRDefault="00454A29"/>
        </w:tc>
        <w:tc>
          <w:tcPr>
            <w:tcW w:w="2154" w:type="dxa"/>
            <w:vMerge/>
            <w:tcBorders>
              <w:bottom w:val="nil"/>
            </w:tcBorders>
          </w:tcPr>
          <w:p w14:paraId="6BEDD52F" w14:textId="77777777" w:rsidR="00454A29" w:rsidRDefault="00454A29"/>
        </w:tc>
        <w:tc>
          <w:tcPr>
            <w:tcW w:w="2154" w:type="dxa"/>
            <w:vMerge/>
            <w:tcBorders>
              <w:bottom w:val="nil"/>
            </w:tcBorders>
          </w:tcPr>
          <w:p w14:paraId="1E186E01" w14:textId="77777777" w:rsidR="00454A29" w:rsidRDefault="00454A29"/>
        </w:tc>
        <w:tc>
          <w:tcPr>
            <w:tcW w:w="10943" w:type="dxa"/>
            <w:gridSpan w:val="5"/>
            <w:vMerge/>
          </w:tcPr>
          <w:p w14:paraId="2A40CEA4" w14:textId="77777777" w:rsidR="00454A29" w:rsidRDefault="00454A29"/>
        </w:tc>
        <w:tc>
          <w:tcPr>
            <w:tcW w:w="2098" w:type="dxa"/>
            <w:vAlign w:val="center"/>
          </w:tcPr>
          <w:p w14:paraId="13443ED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C2BD96F" w14:textId="77777777" w:rsidR="00454A29" w:rsidRDefault="00454A29">
            <w:pPr>
              <w:pStyle w:val="ConsPlusNormal"/>
              <w:jc w:val="center"/>
            </w:pPr>
            <w:r>
              <w:t>0,00</w:t>
            </w:r>
          </w:p>
        </w:tc>
        <w:tc>
          <w:tcPr>
            <w:tcW w:w="1701" w:type="dxa"/>
            <w:vAlign w:val="center"/>
          </w:tcPr>
          <w:p w14:paraId="79413F8D" w14:textId="77777777" w:rsidR="00454A29" w:rsidRDefault="00454A29">
            <w:pPr>
              <w:pStyle w:val="ConsPlusNormal"/>
              <w:jc w:val="center"/>
            </w:pPr>
            <w:r>
              <w:t>0,00</w:t>
            </w:r>
          </w:p>
        </w:tc>
        <w:tc>
          <w:tcPr>
            <w:tcW w:w="1701" w:type="dxa"/>
            <w:vAlign w:val="center"/>
          </w:tcPr>
          <w:p w14:paraId="57300852" w14:textId="77777777" w:rsidR="00454A29" w:rsidRDefault="00454A29">
            <w:pPr>
              <w:pStyle w:val="ConsPlusNormal"/>
              <w:jc w:val="center"/>
            </w:pPr>
            <w:r>
              <w:t>0,00</w:t>
            </w:r>
          </w:p>
        </w:tc>
        <w:tc>
          <w:tcPr>
            <w:tcW w:w="1701" w:type="dxa"/>
            <w:vAlign w:val="center"/>
          </w:tcPr>
          <w:p w14:paraId="68BC149E" w14:textId="77777777" w:rsidR="00454A29" w:rsidRDefault="00454A29">
            <w:pPr>
              <w:pStyle w:val="ConsPlusNormal"/>
              <w:jc w:val="center"/>
            </w:pPr>
            <w:r>
              <w:t>0,00</w:t>
            </w:r>
          </w:p>
        </w:tc>
        <w:tc>
          <w:tcPr>
            <w:tcW w:w="1701" w:type="dxa"/>
            <w:vAlign w:val="center"/>
          </w:tcPr>
          <w:p w14:paraId="126FE1A5" w14:textId="77777777" w:rsidR="00454A29" w:rsidRDefault="00454A29">
            <w:pPr>
              <w:pStyle w:val="ConsPlusNormal"/>
              <w:jc w:val="center"/>
            </w:pPr>
            <w:r>
              <w:t>0,00</w:t>
            </w:r>
          </w:p>
        </w:tc>
        <w:tc>
          <w:tcPr>
            <w:tcW w:w="1701" w:type="dxa"/>
            <w:vAlign w:val="center"/>
          </w:tcPr>
          <w:p w14:paraId="69302E29" w14:textId="77777777" w:rsidR="00454A29" w:rsidRDefault="00454A29">
            <w:pPr>
              <w:pStyle w:val="ConsPlusNormal"/>
              <w:jc w:val="center"/>
            </w:pPr>
            <w:r>
              <w:t>0,00</w:t>
            </w:r>
          </w:p>
        </w:tc>
        <w:tc>
          <w:tcPr>
            <w:tcW w:w="1701" w:type="dxa"/>
            <w:vAlign w:val="center"/>
          </w:tcPr>
          <w:p w14:paraId="7867D613" w14:textId="77777777" w:rsidR="00454A29" w:rsidRDefault="00454A29">
            <w:pPr>
              <w:pStyle w:val="ConsPlusNormal"/>
              <w:jc w:val="center"/>
            </w:pPr>
            <w:r>
              <w:t>0,00</w:t>
            </w:r>
          </w:p>
        </w:tc>
      </w:tr>
      <w:tr w:rsidR="00454A29" w14:paraId="1526A3B1" w14:textId="77777777">
        <w:tc>
          <w:tcPr>
            <w:tcW w:w="964" w:type="dxa"/>
            <w:vMerge/>
          </w:tcPr>
          <w:p w14:paraId="245A51E8" w14:textId="77777777" w:rsidR="00454A29" w:rsidRDefault="00454A29"/>
        </w:tc>
        <w:tc>
          <w:tcPr>
            <w:tcW w:w="2154" w:type="dxa"/>
            <w:vMerge/>
            <w:tcBorders>
              <w:bottom w:val="nil"/>
            </w:tcBorders>
          </w:tcPr>
          <w:p w14:paraId="3804ED60" w14:textId="77777777" w:rsidR="00454A29" w:rsidRDefault="00454A29"/>
        </w:tc>
        <w:tc>
          <w:tcPr>
            <w:tcW w:w="2154" w:type="dxa"/>
            <w:vMerge/>
            <w:tcBorders>
              <w:bottom w:val="nil"/>
            </w:tcBorders>
          </w:tcPr>
          <w:p w14:paraId="30134947" w14:textId="77777777" w:rsidR="00454A29" w:rsidRDefault="00454A29"/>
        </w:tc>
        <w:tc>
          <w:tcPr>
            <w:tcW w:w="10943" w:type="dxa"/>
            <w:gridSpan w:val="5"/>
            <w:vMerge/>
          </w:tcPr>
          <w:p w14:paraId="6EEEF49E" w14:textId="77777777" w:rsidR="00454A29" w:rsidRDefault="00454A29"/>
        </w:tc>
        <w:tc>
          <w:tcPr>
            <w:tcW w:w="2098" w:type="dxa"/>
            <w:vAlign w:val="center"/>
          </w:tcPr>
          <w:p w14:paraId="602B4AB5" w14:textId="77777777" w:rsidR="00454A29" w:rsidRDefault="00454A29">
            <w:pPr>
              <w:pStyle w:val="ConsPlusNormal"/>
              <w:jc w:val="center"/>
            </w:pPr>
            <w:r>
              <w:t>Федеральный бюджет</w:t>
            </w:r>
          </w:p>
        </w:tc>
        <w:tc>
          <w:tcPr>
            <w:tcW w:w="1814" w:type="dxa"/>
            <w:vAlign w:val="center"/>
          </w:tcPr>
          <w:p w14:paraId="77DDDE96" w14:textId="77777777" w:rsidR="00454A29" w:rsidRDefault="00454A29">
            <w:pPr>
              <w:pStyle w:val="ConsPlusNormal"/>
              <w:jc w:val="center"/>
            </w:pPr>
            <w:r>
              <w:t>0,00</w:t>
            </w:r>
          </w:p>
        </w:tc>
        <w:tc>
          <w:tcPr>
            <w:tcW w:w="1701" w:type="dxa"/>
            <w:vAlign w:val="center"/>
          </w:tcPr>
          <w:p w14:paraId="15B122B8" w14:textId="77777777" w:rsidR="00454A29" w:rsidRDefault="00454A29">
            <w:pPr>
              <w:pStyle w:val="ConsPlusNormal"/>
              <w:jc w:val="center"/>
            </w:pPr>
            <w:r>
              <w:t>0,00</w:t>
            </w:r>
          </w:p>
        </w:tc>
        <w:tc>
          <w:tcPr>
            <w:tcW w:w="1701" w:type="dxa"/>
            <w:vAlign w:val="center"/>
          </w:tcPr>
          <w:p w14:paraId="478DBAFE" w14:textId="77777777" w:rsidR="00454A29" w:rsidRDefault="00454A29">
            <w:pPr>
              <w:pStyle w:val="ConsPlusNormal"/>
              <w:jc w:val="center"/>
            </w:pPr>
            <w:r>
              <w:t>0,00</w:t>
            </w:r>
          </w:p>
        </w:tc>
        <w:tc>
          <w:tcPr>
            <w:tcW w:w="1701" w:type="dxa"/>
            <w:vAlign w:val="center"/>
          </w:tcPr>
          <w:p w14:paraId="234B8D6C" w14:textId="77777777" w:rsidR="00454A29" w:rsidRDefault="00454A29">
            <w:pPr>
              <w:pStyle w:val="ConsPlusNormal"/>
              <w:jc w:val="center"/>
            </w:pPr>
            <w:r>
              <w:t>0,00</w:t>
            </w:r>
          </w:p>
        </w:tc>
        <w:tc>
          <w:tcPr>
            <w:tcW w:w="1701" w:type="dxa"/>
            <w:vAlign w:val="center"/>
          </w:tcPr>
          <w:p w14:paraId="247D3856" w14:textId="77777777" w:rsidR="00454A29" w:rsidRDefault="00454A29">
            <w:pPr>
              <w:pStyle w:val="ConsPlusNormal"/>
              <w:jc w:val="center"/>
            </w:pPr>
            <w:r>
              <w:t>0,00</w:t>
            </w:r>
          </w:p>
        </w:tc>
        <w:tc>
          <w:tcPr>
            <w:tcW w:w="1701" w:type="dxa"/>
            <w:vAlign w:val="center"/>
          </w:tcPr>
          <w:p w14:paraId="72E6F562" w14:textId="77777777" w:rsidR="00454A29" w:rsidRDefault="00454A29">
            <w:pPr>
              <w:pStyle w:val="ConsPlusNormal"/>
              <w:jc w:val="center"/>
            </w:pPr>
            <w:r>
              <w:t>0,00</w:t>
            </w:r>
          </w:p>
        </w:tc>
        <w:tc>
          <w:tcPr>
            <w:tcW w:w="1701" w:type="dxa"/>
            <w:vAlign w:val="center"/>
          </w:tcPr>
          <w:p w14:paraId="2160AF02" w14:textId="77777777" w:rsidR="00454A29" w:rsidRDefault="00454A29">
            <w:pPr>
              <w:pStyle w:val="ConsPlusNormal"/>
              <w:jc w:val="center"/>
            </w:pPr>
            <w:r>
              <w:t>0,00</w:t>
            </w:r>
          </w:p>
        </w:tc>
      </w:tr>
      <w:tr w:rsidR="00454A29" w14:paraId="55BAF23F" w14:textId="77777777">
        <w:tc>
          <w:tcPr>
            <w:tcW w:w="964" w:type="dxa"/>
            <w:vMerge/>
          </w:tcPr>
          <w:p w14:paraId="0662671D" w14:textId="77777777" w:rsidR="00454A29" w:rsidRDefault="00454A29"/>
        </w:tc>
        <w:tc>
          <w:tcPr>
            <w:tcW w:w="2154" w:type="dxa"/>
            <w:vMerge/>
            <w:tcBorders>
              <w:bottom w:val="nil"/>
            </w:tcBorders>
          </w:tcPr>
          <w:p w14:paraId="081A84A7" w14:textId="77777777" w:rsidR="00454A29" w:rsidRDefault="00454A29"/>
        </w:tc>
        <w:tc>
          <w:tcPr>
            <w:tcW w:w="2154" w:type="dxa"/>
            <w:vMerge/>
            <w:tcBorders>
              <w:bottom w:val="nil"/>
            </w:tcBorders>
          </w:tcPr>
          <w:p w14:paraId="7C5FA839" w14:textId="77777777" w:rsidR="00454A29" w:rsidRDefault="00454A29"/>
        </w:tc>
        <w:tc>
          <w:tcPr>
            <w:tcW w:w="10943" w:type="dxa"/>
            <w:gridSpan w:val="5"/>
            <w:vMerge/>
          </w:tcPr>
          <w:p w14:paraId="7CC57D54" w14:textId="77777777" w:rsidR="00454A29" w:rsidRDefault="00454A29"/>
        </w:tc>
        <w:tc>
          <w:tcPr>
            <w:tcW w:w="2098" w:type="dxa"/>
            <w:vAlign w:val="center"/>
          </w:tcPr>
          <w:p w14:paraId="3F65EBA3" w14:textId="77777777" w:rsidR="00454A29" w:rsidRDefault="00454A29">
            <w:pPr>
              <w:pStyle w:val="ConsPlusNormal"/>
              <w:jc w:val="center"/>
            </w:pPr>
            <w:r>
              <w:t>Местные бюджеты</w:t>
            </w:r>
          </w:p>
        </w:tc>
        <w:tc>
          <w:tcPr>
            <w:tcW w:w="1814" w:type="dxa"/>
            <w:vAlign w:val="center"/>
          </w:tcPr>
          <w:p w14:paraId="440DAA40" w14:textId="77777777" w:rsidR="00454A29" w:rsidRDefault="00454A29">
            <w:pPr>
              <w:pStyle w:val="ConsPlusNormal"/>
              <w:jc w:val="center"/>
            </w:pPr>
            <w:r>
              <w:t>0,00</w:t>
            </w:r>
          </w:p>
        </w:tc>
        <w:tc>
          <w:tcPr>
            <w:tcW w:w="1701" w:type="dxa"/>
            <w:vAlign w:val="center"/>
          </w:tcPr>
          <w:p w14:paraId="5B493184" w14:textId="77777777" w:rsidR="00454A29" w:rsidRDefault="00454A29">
            <w:pPr>
              <w:pStyle w:val="ConsPlusNormal"/>
              <w:jc w:val="center"/>
            </w:pPr>
            <w:r>
              <w:t>0,00</w:t>
            </w:r>
          </w:p>
        </w:tc>
        <w:tc>
          <w:tcPr>
            <w:tcW w:w="1701" w:type="dxa"/>
            <w:vAlign w:val="center"/>
          </w:tcPr>
          <w:p w14:paraId="21FD6DBF" w14:textId="77777777" w:rsidR="00454A29" w:rsidRDefault="00454A29">
            <w:pPr>
              <w:pStyle w:val="ConsPlusNormal"/>
              <w:jc w:val="center"/>
            </w:pPr>
            <w:r>
              <w:t>0,00</w:t>
            </w:r>
          </w:p>
        </w:tc>
        <w:tc>
          <w:tcPr>
            <w:tcW w:w="1701" w:type="dxa"/>
            <w:vAlign w:val="center"/>
          </w:tcPr>
          <w:p w14:paraId="1267F53B" w14:textId="77777777" w:rsidR="00454A29" w:rsidRDefault="00454A29">
            <w:pPr>
              <w:pStyle w:val="ConsPlusNormal"/>
              <w:jc w:val="center"/>
            </w:pPr>
            <w:r>
              <w:t>0,00</w:t>
            </w:r>
          </w:p>
        </w:tc>
        <w:tc>
          <w:tcPr>
            <w:tcW w:w="1701" w:type="dxa"/>
            <w:vAlign w:val="center"/>
          </w:tcPr>
          <w:p w14:paraId="39379ECB" w14:textId="77777777" w:rsidR="00454A29" w:rsidRDefault="00454A29">
            <w:pPr>
              <w:pStyle w:val="ConsPlusNormal"/>
              <w:jc w:val="center"/>
            </w:pPr>
            <w:r>
              <w:t>0,00</w:t>
            </w:r>
          </w:p>
        </w:tc>
        <w:tc>
          <w:tcPr>
            <w:tcW w:w="1701" w:type="dxa"/>
            <w:vAlign w:val="center"/>
          </w:tcPr>
          <w:p w14:paraId="25D39ABA" w14:textId="77777777" w:rsidR="00454A29" w:rsidRDefault="00454A29">
            <w:pPr>
              <w:pStyle w:val="ConsPlusNormal"/>
              <w:jc w:val="center"/>
            </w:pPr>
            <w:r>
              <w:t>0,00</w:t>
            </w:r>
          </w:p>
        </w:tc>
        <w:tc>
          <w:tcPr>
            <w:tcW w:w="1701" w:type="dxa"/>
            <w:vAlign w:val="center"/>
          </w:tcPr>
          <w:p w14:paraId="41E3A843" w14:textId="77777777" w:rsidR="00454A29" w:rsidRDefault="00454A29">
            <w:pPr>
              <w:pStyle w:val="ConsPlusNormal"/>
              <w:jc w:val="center"/>
            </w:pPr>
            <w:r>
              <w:t>0,00</w:t>
            </w:r>
          </w:p>
        </w:tc>
      </w:tr>
      <w:tr w:rsidR="00454A29" w14:paraId="539F857B" w14:textId="77777777">
        <w:tc>
          <w:tcPr>
            <w:tcW w:w="964" w:type="dxa"/>
            <w:vMerge/>
          </w:tcPr>
          <w:p w14:paraId="7FEC47E7" w14:textId="77777777" w:rsidR="00454A29" w:rsidRDefault="00454A29"/>
        </w:tc>
        <w:tc>
          <w:tcPr>
            <w:tcW w:w="2154" w:type="dxa"/>
            <w:vMerge/>
            <w:tcBorders>
              <w:bottom w:val="nil"/>
            </w:tcBorders>
          </w:tcPr>
          <w:p w14:paraId="268F7423" w14:textId="77777777" w:rsidR="00454A29" w:rsidRDefault="00454A29"/>
        </w:tc>
        <w:tc>
          <w:tcPr>
            <w:tcW w:w="2154" w:type="dxa"/>
            <w:vMerge/>
            <w:tcBorders>
              <w:bottom w:val="nil"/>
            </w:tcBorders>
          </w:tcPr>
          <w:p w14:paraId="68672912" w14:textId="77777777" w:rsidR="00454A29" w:rsidRDefault="00454A29"/>
        </w:tc>
        <w:tc>
          <w:tcPr>
            <w:tcW w:w="10943" w:type="dxa"/>
            <w:gridSpan w:val="5"/>
            <w:vMerge/>
          </w:tcPr>
          <w:p w14:paraId="589F86E2" w14:textId="77777777" w:rsidR="00454A29" w:rsidRDefault="00454A29"/>
        </w:tc>
        <w:tc>
          <w:tcPr>
            <w:tcW w:w="2098" w:type="dxa"/>
            <w:vAlign w:val="center"/>
          </w:tcPr>
          <w:p w14:paraId="7B0662CA" w14:textId="77777777" w:rsidR="00454A29" w:rsidRDefault="00454A29">
            <w:pPr>
              <w:pStyle w:val="ConsPlusNormal"/>
              <w:jc w:val="center"/>
            </w:pPr>
            <w:r>
              <w:t>Внебюджетные средства</w:t>
            </w:r>
          </w:p>
        </w:tc>
        <w:tc>
          <w:tcPr>
            <w:tcW w:w="1814" w:type="dxa"/>
            <w:vAlign w:val="center"/>
          </w:tcPr>
          <w:p w14:paraId="3F08E5A8" w14:textId="77777777" w:rsidR="00454A29" w:rsidRDefault="00454A29">
            <w:pPr>
              <w:pStyle w:val="ConsPlusNormal"/>
              <w:jc w:val="center"/>
            </w:pPr>
            <w:r>
              <w:t>0,00</w:t>
            </w:r>
          </w:p>
        </w:tc>
        <w:tc>
          <w:tcPr>
            <w:tcW w:w="1701" w:type="dxa"/>
            <w:vAlign w:val="center"/>
          </w:tcPr>
          <w:p w14:paraId="535F24B0" w14:textId="77777777" w:rsidR="00454A29" w:rsidRDefault="00454A29">
            <w:pPr>
              <w:pStyle w:val="ConsPlusNormal"/>
              <w:jc w:val="center"/>
            </w:pPr>
            <w:r>
              <w:t>0,00</w:t>
            </w:r>
          </w:p>
        </w:tc>
        <w:tc>
          <w:tcPr>
            <w:tcW w:w="1701" w:type="dxa"/>
            <w:vAlign w:val="center"/>
          </w:tcPr>
          <w:p w14:paraId="040F58CC" w14:textId="77777777" w:rsidR="00454A29" w:rsidRDefault="00454A29">
            <w:pPr>
              <w:pStyle w:val="ConsPlusNormal"/>
              <w:jc w:val="center"/>
            </w:pPr>
            <w:r>
              <w:t>0,00</w:t>
            </w:r>
          </w:p>
        </w:tc>
        <w:tc>
          <w:tcPr>
            <w:tcW w:w="1701" w:type="dxa"/>
            <w:vAlign w:val="center"/>
          </w:tcPr>
          <w:p w14:paraId="5BCE29F4" w14:textId="77777777" w:rsidR="00454A29" w:rsidRDefault="00454A29">
            <w:pPr>
              <w:pStyle w:val="ConsPlusNormal"/>
              <w:jc w:val="center"/>
            </w:pPr>
            <w:r>
              <w:t>0,00</w:t>
            </w:r>
          </w:p>
        </w:tc>
        <w:tc>
          <w:tcPr>
            <w:tcW w:w="1701" w:type="dxa"/>
            <w:vAlign w:val="center"/>
          </w:tcPr>
          <w:p w14:paraId="0F2C570D" w14:textId="77777777" w:rsidR="00454A29" w:rsidRDefault="00454A29">
            <w:pPr>
              <w:pStyle w:val="ConsPlusNormal"/>
              <w:jc w:val="center"/>
            </w:pPr>
            <w:r>
              <w:t>0,00</w:t>
            </w:r>
          </w:p>
        </w:tc>
        <w:tc>
          <w:tcPr>
            <w:tcW w:w="1701" w:type="dxa"/>
            <w:vAlign w:val="center"/>
          </w:tcPr>
          <w:p w14:paraId="3314464B" w14:textId="77777777" w:rsidR="00454A29" w:rsidRDefault="00454A29">
            <w:pPr>
              <w:pStyle w:val="ConsPlusNormal"/>
              <w:jc w:val="center"/>
            </w:pPr>
            <w:r>
              <w:t>0,00</w:t>
            </w:r>
          </w:p>
        </w:tc>
        <w:tc>
          <w:tcPr>
            <w:tcW w:w="1701" w:type="dxa"/>
            <w:vAlign w:val="center"/>
          </w:tcPr>
          <w:p w14:paraId="2BD98A68" w14:textId="77777777" w:rsidR="00454A29" w:rsidRDefault="00454A29">
            <w:pPr>
              <w:pStyle w:val="ConsPlusNormal"/>
              <w:jc w:val="center"/>
            </w:pPr>
            <w:r>
              <w:t>0,00</w:t>
            </w:r>
          </w:p>
        </w:tc>
      </w:tr>
      <w:tr w:rsidR="00454A29" w14:paraId="070AE4F0" w14:textId="77777777">
        <w:tc>
          <w:tcPr>
            <w:tcW w:w="964" w:type="dxa"/>
            <w:vMerge w:val="restart"/>
            <w:vAlign w:val="center"/>
          </w:tcPr>
          <w:p w14:paraId="29D0A763" w14:textId="77777777" w:rsidR="00454A29" w:rsidRDefault="00454A29">
            <w:pPr>
              <w:pStyle w:val="ConsPlusNormal"/>
              <w:jc w:val="center"/>
            </w:pPr>
            <w:r>
              <w:t>7.1.</w:t>
            </w:r>
          </w:p>
        </w:tc>
        <w:tc>
          <w:tcPr>
            <w:tcW w:w="2154" w:type="dxa"/>
            <w:vMerge w:val="restart"/>
            <w:tcBorders>
              <w:top w:val="nil"/>
              <w:bottom w:val="nil"/>
            </w:tcBorders>
            <w:vAlign w:val="center"/>
          </w:tcPr>
          <w:p w14:paraId="44B2436D" w14:textId="77777777" w:rsidR="00454A29" w:rsidRDefault="00454A29">
            <w:pPr>
              <w:pStyle w:val="ConsPlusNormal"/>
            </w:pPr>
          </w:p>
        </w:tc>
        <w:tc>
          <w:tcPr>
            <w:tcW w:w="2154" w:type="dxa"/>
            <w:vMerge w:val="restart"/>
            <w:tcBorders>
              <w:top w:val="nil"/>
              <w:bottom w:val="nil"/>
            </w:tcBorders>
            <w:vAlign w:val="center"/>
          </w:tcPr>
          <w:p w14:paraId="05D18ADC" w14:textId="77777777" w:rsidR="00454A29" w:rsidRDefault="00454A29">
            <w:pPr>
              <w:pStyle w:val="ConsPlusNormal"/>
            </w:pPr>
          </w:p>
        </w:tc>
        <w:tc>
          <w:tcPr>
            <w:tcW w:w="2665" w:type="dxa"/>
            <w:vMerge w:val="restart"/>
            <w:tcBorders>
              <w:bottom w:val="nil"/>
            </w:tcBorders>
            <w:vAlign w:val="center"/>
          </w:tcPr>
          <w:p w14:paraId="52C8E0BA" w14:textId="77777777" w:rsidR="00454A29" w:rsidRDefault="00454A29">
            <w:pPr>
              <w:pStyle w:val="ConsPlusNormal"/>
              <w:jc w:val="center"/>
            </w:pPr>
            <w:r>
              <w:t>Результат 1. Увеличение доли иностранных граждан, обучающихся в образовательных организациях высшего образования и научных организациях</w:t>
            </w:r>
          </w:p>
        </w:tc>
        <w:tc>
          <w:tcPr>
            <w:tcW w:w="2665" w:type="dxa"/>
            <w:vMerge w:val="restart"/>
            <w:vAlign w:val="center"/>
          </w:tcPr>
          <w:p w14:paraId="7F62325B" w14:textId="77777777" w:rsidR="00454A29" w:rsidRDefault="00454A29">
            <w:pPr>
              <w:pStyle w:val="ConsPlusNormal"/>
              <w:jc w:val="center"/>
            </w:pPr>
            <w:r>
              <w:t xml:space="preserve">Мероприятие 3.9.1. Информационное, экспертное и организационно-техническое сопровождение информационной системы, созданной в целях обеспечения привлечения иностранных граждан для обучения и трудоустройства на территории РФ, </w:t>
            </w:r>
            <w:r>
              <w:lastRenderedPageBreak/>
              <w:t>содержащая удобные средства навигации по российским образовательным организациям высшего образования и научным организациям</w:t>
            </w:r>
          </w:p>
        </w:tc>
        <w:tc>
          <w:tcPr>
            <w:tcW w:w="1928" w:type="dxa"/>
            <w:vMerge w:val="restart"/>
            <w:vAlign w:val="center"/>
          </w:tcPr>
          <w:p w14:paraId="7532D7BF" w14:textId="77777777" w:rsidR="00454A29" w:rsidRDefault="00454A29">
            <w:pPr>
              <w:pStyle w:val="ConsPlusNormal"/>
              <w:jc w:val="center"/>
            </w:pPr>
            <w:r>
              <w:lastRenderedPageBreak/>
              <w:t>-</w:t>
            </w:r>
          </w:p>
        </w:tc>
        <w:tc>
          <w:tcPr>
            <w:tcW w:w="1644" w:type="dxa"/>
            <w:vMerge w:val="restart"/>
            <w:vAlign w:val="center"/>
          </w:tcPr>
          <w:p w14:paraId="3A8BC2FB" w14:textId="77777777" w:rsidR="00454A29" w:rsidRDefault="00454A29">
            <w:pPr>
              <w:pStyle w:val="ConsPlusNormal"/>
              <w:jc w:val="center"/>
            </w:pPr>
            <w:r>
              <w:t>-</w:t>
            </w:r>
          </w:p>
        </w:tc>
        <w:tc>
          <w:tcPr>
            <w:tcW w:w="2041" w:type="dxa"/>
            <w:vMerge w:val="restart"/>
            <w:vAlign w:val="center"/>
          </w:tcPr>
          <w:p w14:paraId="1EC3F61F" w14:textId="77777777" w:rsidR="00454A29" w:rsidRDefault="00454A29">
            <w:pPr>
              <w:pStyle w:val="ConsPlusNormal"/>
              <w:jc w:val="center"/>
            </w:pPr>
            <w:r>
              <w:t>-</w:t>
            </w:r>
          </w:p>
        </w:tc>
        <w:tc>
          <w:tcPr>
            <w:tcW w:w="2098" w:type="dxa"/>
            <w:vAlign w:val="center"/>
          </w:tcPr>
          <w:p w14:paraId="5EC5BC0E" w14:textId="77777777" w:rsidR="00454A29" w:rsidRDefault="00454A29">
            <w:pPr>
              <w:pStyle w:val="ConsPlusNormal"/>
              <w:jc w:val="center"/>
            </w:pPr>
            <w:r>
              <w:t>Итого</w:t>
            </w:r>
          </w:p>
        </w:tc>
        <w:tc>
          <w:tcPr>
            <w:tcW w:w="1814" w:type="dxa"/>
            <w:vAlign w:val="center"/>
          </w:tcPr>
          <w:p w14:paraId="62CC5926" w14:textId="77777777" w:rsidR="00454A29" w:rsidRDefault="00454A29">
            <w:pPr>
              <w:pStyle w:val="ConsPlusNormal"/>
              <w:jc w:val="center"/>
            </w:pPr>
            <w:r>
              <w:t>0,00</w:t>
            </w:r>
          </w:p>
        </w:tc>
        <w:tc>
          <w:tcPr>
            <w:tcW w:w="1701" w:type="dxa"/>
            <w:vAlign w:val="center"/>
          </w:tcPr>
          <w:p w14:paraId="5484EE81" w14:textId="77777777" w:rsidR="00454A29" w:rsidRDefault="00454A29">
            <w:pPr>
              <w:pStyle w:val="ConsPlusNormal"/>
              <w:jc w:val="center"/>
            </w:pPr>
            <w:r>
              <w:t>0,00</w:t>
            </w:r>
          </w:p>
        </w:tc>
        <w:tc>
          <w:tcPr>
            <w:tcW w:w="1701" w:type="dxa"/>
            <w:vAlign w:val="center"/>
          </w:tcPr>
          <w:p w14:paraId="0ABEB3B1" w14:textId="77777777" w:rsidR="00454A29" w:rsidRDefault="00454A29">
            <w:pPr>
              <w:pStyle w:val="ConsPlusNormal"/>
              <w:jc w:val="center"/>
            </w:pPr>
            <w:r>
              <w:t>0,00</w:t>
            </w:r>
          </w:p>
        </w:tc>
        <w:tc>
          <w:tcPr>
            <w:tcW w:w="1701" w:type="dxa"/>
            <w:vAlign w:val="center"/>
          </w:tcPr>
          <w:p w14:paraId="51004532" w14:textId="77777777" w:rsidR="00454A29" w:rsidRDefault="00454A29">
            <w:pPr>
              <w:pStyle w:val="ConsPlusNormal"/>
              <w:jc w:val="center"/>
            </w:pPr>
            <w:r>
              <w:t>0,00</w:t>
            </w:r>
          </w:p>
        </w:tc>
        <w:tc>
          <w:tcPr>
            <w:tcW w:w="1701" w:type="dxa"/>
            <w:vAlign w:val="center"/>
          </w:tcPr>
          <w:p w14:paraId="126B7C56" w14:textId="77777777" w:rsidR="00454A29" w:rsidRDefault="00454A29">
            <w:pPr>
              <w:pStyle w:val="ConsPlusNormal"/>
              <w:jc w:val="center"/>
            </w:pPr>
            <w:r>
              <w:t>0,00</w:t>
            </w:r>
          </w:p>
        </w:tc>
        <w:tc>
          <w:tcPr>
            <w:tcW w:w="1701" w:type="dxa"/>
            <w:vAlign w:val="center"/>
          </w:tcPr>
          <w:p w14:paraId="408DBBAB" w14:textId="77777777" w:rsidR="00454A29" w:rsidRDefault="00454A29">
            <w:pPr>
              <w:pStyle w:val="ConsPlusNormal"/>
              <w:jc w:val="center"/>
            </w:pPr>
            <w:r>
              <w:t>0,00</w:t>
            </w:r>
          </w:p>
        </w:tc>
        <w:tc>
          <w:tcPr>
            <w:tcW w:w="1701" w:type="dxa"/>
            <w:vAlign w:val="center"/>
          </w:tcPr>
          <w:p w14:paraId="18657374" w14:textId="77777777" w:rsidR="00454A29" w:rsidRDefault="00454A29">
            <w:pPr>
              <w:pStyle w:val="ConsPlusNormal"/>
              <w:jc w:val="center"/>
            </w:pPr>
            <w:r>
              <w:t>0,00</w:t>
            </w:r>
          </w:p>
        </w:tc>
      </w:tr>
      <w:tr w:rsidR="00454A29" w14:paraId="760ED36E" w14:textId="77777777">
        <w:tc>
          <w:tcPr>
            <w:tcW w:w="964" w:type="dxa"/>
            <w:vMerge/>
          </w:tcPr>
          <w:p w14:paraId="47FD7CB7" w14:textId="77777777" w:rsidR="00454A29" w:rsidRDefault="00454A29"/>
        </w:tc>
        <w:tc>
          <w:tcPr>
            <w:tcW w:w="2154" w:type="dxa"/>
            <w:vMerge/>
            <w:tcBorders>
              <w:top w:val="nil"/>
              <w:bottom w:val="nil"/>
            </w:tcBorders>
          </w:tcPr>
          <w:p w14:paraId="62A654CA" w14:textId="77777777" w:rsidR="00454A29" w:rsidRDefault="00454A29"/>
        </w:tc>
        <w:tc>
          <w:tcPr>
            <w:tcW w:w="2154" w:type="dxa"/>
            <w:vMerge/>
            <w:tcBorders>
              <w:top w:val="nil"/>
              <w:bottom w:val="nil"/>
            </w:tcBorders>
          </w:tcPr>
          <w:p w14:paraId="220FC132" w14:textId="77777777" w:rsidR="00454A29" w:rsidRDefault="00454A29"/>
        </w:tc>
        <w:tc>
          <w:tcPr>
            <w:tcW w:w="2665" w:type="dxa"/>
            <w:vMerge/>
            <w:tcBorders>
              <w:bottom w:val="nil"/>
            </w:tcBorders>
          </w:tcPr>
          <w:p w14:paraId="51735FA6" w14:textId="77777777" w:rsidR="00454A29" w:rsidRDefault="00454A29"/>
        </w:tc>
        <w:tc>
          <w:tcPr>
            <w:tcW w:w="2665" w:type="dxa"/>
            <w:vMerge/>
          </w:tcPr>
          <w:p w14:paraId="52293DE4" w14:textId="77777777" w:rsidR="00454A29" w:rsidRDefault="00454A29"/>
        </w:tc>
        <w:tc>
          <w:tcPr>
            <w:tcW w:w="1928" w:type="dxa"/>
            <w:vMerge/>
          </w:tcPr>
          <w:p w14:paraId="133844D3" w14:textId="77777777" w:rsidR="00454A29" w:rsidRDefault="00454A29"/>
        </w:tc>
        <w:tc>
          <w:tcPr>
            <w:tcW w:w="1644" w:type="dxa"/>
            <w:vMerge/>
          </w:tcPr>
          <w:p w14:paraId="70B502D4" w14:textId="77777777" w:rsidR="00454A29" w:rsidRDefault="00454A29"/>
        </w:tc>
        <w:tc>
          <w:tcPr>
            <w:tcW w:w="2041" w:type="dxa"/>
            <w:vMerge/>
          </w:tcPr>
          <w:p w14:paraId="6B3A7759" w14:textId="77777777" w:rsidR="00454A29" w:rsidRDefault="00454A29"/>
        </w:tc>
        <w:tc>
          <w:tcPr>
            <w:tcW w:w="2098" w:type="dxa"/>
            <w:vAlign w:val="center"/>
          </w:tcPr>
          <w:p w14:paraId="3D0186BF"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E9B1923" w14:textId="77777777" w:rsidR="00454A29" w:rsidRDefault="00454A29">
            <w:pPr>
              <w:pStyle w:val="ConsPlusNormal"/>
              <w:jc w:val="center"/>
            </w:pPr>
            <w:r>
              <w:t>0,00</w:t>
            </w:r>
          </w:p>
        </w:tc>
        <w:tc>
          <w:tcPr>
            <w:tcW w:w="1701" w:type="dxa"/>
            <w:vAlign w:val="center"/>
          </w:tcPr>
          <w:p w14:paraId="1F20460F" w14:textId="77777777" w:rsidR="00454A29" w:rsidRDefault="00454A29">
            <w:pPr>
              <w:pStyle w:val="ConsPlusNormal"/>
              <w:jc w:val="center"/>
            </w:pPr>
            <w:r>
              <w:t>0,00</w:t>
            </w:r>
          </w:p>
        </w:tc>
        <w:tc>
          <w:tcPr>
            <w:tcW w:w="1701" w:type="dxa"/>
            <w:vAlign w:val="center"/>
          </w:tcPr>
          <w:p w14:paraId="342C681E" w14:textId="77777777" w:rsidR="00454A29" w:rsidRDefault="00454A29">
            <w:pPr>
              <w:pStyle w:val="ConsPlusNormal"/>
              <w:jc w:val="center"/>
            </w:pPr>
            <w:r>
              <w:t>0,00</w:t>
            </w:r>
          </w:p>
        </w:tc>
        <w:tc>
          <w:tcPr>
            <w:tcW w:w="1701" w:type="dxa"/>
            <w:vAlign w:val="center"/>
          </w:tcPr>
          <w:p w14:paraId="26A3295B" w14:textId="77777777" w:rsidR="00454A29" w:rsidRDefault="00454A29">
            <w:pPr>
              <w:pStyle w:val="ConsPlusNormal"/>
              <w:jc w:val="center"/>
            </w:pPr>
            <w:r>
              <w:t>0,00</w:t>
            </w:r>
          </w:p>
        </w:tc>
        <w:tc>
          <w:tcPr>
            <w:tcW w:w="1701" w:type="dxa"/>
            <w:vAlign w:val="center"/>
          </w:tcPr>
          <w:p w14:paraId="5C765575" w14:textId="77777777" w:rsidR="00454A29" w:rsidRDefault="00454A29">
            <w:pPr>
              <w:pStyle w:val="ConsPlusNormal"/>
              <w:jc w:val="center"/>
            </w:pPr>
            <w:r>
              <w:t>0,00</w:t>
            </w:r>
          </w:p>
        </w:tc>
        <w:tc>
          <w:tcPr>
            <w:tcW w:w="1701" w:type="dxa"/>
            <w:vAlign w:val="center"/>
          </w:tcPr>
          <w:p w14:paraId="42B95BB2" w14:textId="77777777" w:rsidR="00454A29" w:rsidRDefault="00454A29">
            <w:pPr>
              <w:pStyle w:val="ConsPlusNormal"/>
              <w:jc w:val="center"/>
            </w:pPr>
            <w:r>
              <w:t>0,00</w:t>
            </w:r>
          </w:p>
        </w:tc>
        <w:tc>
          <w:tcPr>
            <w:tcW w:w="1701" w:type="dxa"/>
            <w:vAlign w:val="center"/>
          </w:tcPr>
          <w:p w14:paraId="5BFF8E9C" w14:textId="77777777" w:rsidR="00454A29" w:rsidRDefault="00454A29">
            <w:pPr>
              <w:pStyle w:val="ConsPlusNormal"/>
              <w:jc w:val="center"/>
            </w:pPr>
            <w:r>
              <w:t>0,00</w:t>
            </w:r>
          </w:p>
        </w:tc>
      </w:tr>
      <w:tr w:rsidR="00454A29" w14:paraId="07903C24" w14:textId="77777777">
        <w:tc>
          <w:tcPr>
            <w:tcW w:w="964" w:type="dxa"/>
            <w:vMerge/>
          </w:tcPr>
          <w:p w14:paraId="31D21E38" w14:textId="77777777" w:rsidR="00454A29" w:rsidRDefault="00454A29"/>
        </w:tc>
        <w:tc>
          <w:tcPr>
            <w:tcW w:w="2154" w:type="dxa"/>
            <w:vMerge/>
            <w:tcBorders>
              <w:top w:val="nil"/>
              <w:bottom w:val="nil"/>
            </w:tcBorders>
          </w:tcPr>
          <w:p w14:paraId="64DE1C8A" w14:textId="77777777" w:rsidR="00454A29" w:rsidRDefault="00454A29"/>
        </w:tc>
        <w:tc>
          <w:tcPr>
            <w:tcW w:w="2154" w:type="dxa"/>
            <w:vMerge/>
            <w:tcBorders>
              <w:top w:val="nil"/>
              <w:bottom w:val="nil"/>
            </w:tcBorders>
          </w:tcPr>
          <w:p w14:paraId="37F9BDF0" w14:textId="77777777" w:rsidR="00454A29" w:rsidRDefault="00454A29"/>
        </w:tc>
        <w:tc>
          <w:tcPr>
            <w:tcW w:w="2665" w:type="dxa"/>
            <w:vMerge/>
            <w:tcBorders>
              <w:bottom w:val="nil"/>
            </w:tcBorders>
          </w:tcPr>
          <w:p w14:paraId="02F877EF" w14:textId="77777777" w:rsidR="00454A29" w:rsidRDefault="00454A29"/>
        </w:tc>
        <w:tc>
          <w:tcPr>
            <w:tcW w:w="2665" w:type="dxa"/>
            <w:vMerge/>
          </w:tcPr>
          <w:p w14:paraId="111DB3D7" w14:textId="77777777" w:rsidR="00454A29" w:rsidRDefault="00454A29"/>
        </w:tc>
        <w:tc>
          <w:tcPr>
            <w:tcW w:w="1928" w:type="dxa"/>
            <w:vMerge/>
          </w:tcPr>
          <w:p w14:paraId="3B88F26F" w14:textId="77777777" w:rsidR="00454A29" w:rsidRDefault="00454A29"/>
        </w:tc>
        <w:tc>
          <w:tcPr>
            <w:tcW w:w="1644" w:type="dxa"/>
            <w:vMerge/>
          </w:tcPr>
          <w:p w14:paraId="0FC96711" w14:textId="77777777" w:rsidR="00454A29" w:rsidRDefault="00454A29"/>
        </w:tc>
        <w:tc>
          <w:tcPr>
            <w:tcW w:w="2041" w:type="dxa"/>
            <w:vMerge/>
          </w:tcPr>
          <w:p w14:paraId="3C83A961" w14:textId="77777777" w:rsidR="00454A29" w:rsidRDefault="00454A29"/>
        </w:tc>
        <w:tc>
          <w:tcPr>
            <w:tcW w:w="2098" w:type="dxa"/>
            <w:vAlign w:val="center"/>
          </w:tcPr>
          <w:p w14:paraId="2205BC8A" w14:textId="77777777" w:rsidR="00454A29" w:rsidRDefault="00454A29">
            <w:pPr>
              <w:pStyle w:val="ConsPlusNormal"/>
              <w:jc w:val="center"/>
            </w:pPr>
            <w:r>
              <w:t>Федеральный бюджет</w:t>
            </w:r>
          </w:p>
        </w:tc>
        <w:tc>
          <w:tcPr>
            <w:tcW w:w="1814" w:type="dxa"/>
            <w:vAlign w:val="center"/>
          </w:tcPr>
          <w:p w14:paraId="511ECCDA" w14:textId="77777777" w:rsidR="00454A29" w:rsidRDefault="00454A29">
            <w:pPr>
              <w:pStyle w:val="ConsPlusNormal"/>
              <w:jc w:val="center"/>
            </w:pPr>
            <w:r>
              <w:t>0,00</w:t>
            </w:r>
          </w:p>
        </w:tc>
        <w:tc>
          <w:tcPr>
            <w:tcW w:w="1701" w:type="dxa"/>
            <w:vAlign w:val="center"/>
          </w:tcPr>
          <w:p w14:paraId="25A5B56B" w14:textId="77777777" w:rsidR="00454A29" w:rsidRDefault="00454A29">
            <w:pPr>
              <w:pStyle w:val="ConsPlusNormal"/>
              <w:jc w:val="center"/>
            </w:pPr>
            <w:r>
              <w:t>0,00</w:t>
            </w:r>
          </w:p>
        </w:tc>
        <w:tc>
          <w:tcPr>
            <w:tcW w:w="1701" w:type="dxa"/>
            <w:vAlign w:val="center"/>
          </w:tcPr>
          <w:p w14:paraId="612D84C3" w14:textId="77777777" w:rsidR="00454A29" w:rsidRDefault="00454A29">
            <w:pPr>
              <w:pStyle w:val="ConsPlusNormal"/>
              <w:jc w:val="center"/>
            </w:pPr>
            <w:r>
              <w:t>0,00</w:t>
            </w:r>
          </w:p>
        </w:tc>
        <w:tc>
          <w:tcPr>
            <w:tcW w:w="1701" w:type="dxa"/>
            <w:vAlign w:val="center"/>
          </w:tcPr>
          <w:p w14:paraId="2A4B2434" w14:textId="77777777" w:rsidR="00454A29" w:rsidRDefault="00454A29">
            <w:pPr>
              <w:pStyle w:val="ConsPlusNormal"/>
              <w:jc w:val="center"/>
            </w:pPr>
            <w:r>
              <w:t>0,00</w:t>
            </w:r>
          </w:p>
        </w:tc>
        <w:tc>
          <w:tcPr>
            <w:tcW w:w="1701" w:type="dxa"/>
            <w:vAlign w:val="center"/>
          </w:tcPr>
          <w:p w14:paraId="1FB89FEE" w14:textId="77777777" w:rsidR="00454A29" w:rsidRDefault="00454A29">
            <w:pPr>
              <w:pStyle w:val="ConsPlusNormal"/>
              <w:jc w:val="center"/>
            </w:pPr>
            <w:r>
              <w:t>0,00</w:t>
            </w:r>
          </w:p>
        </w:tc>
        <w:tc>
          <w:tcPr>
            <w:tcW w:w="1701" w:type="dxa"/>
            <w:vAlign w:val="center"/>
          </w:tcPr>
          <w:p w14:paraId="08DC3A6A" w14:textId="77777777" w:rsidR="00454A29" w:rsidRDefault="00454A29">
            <w:pPr>
              <w:pStyle w:val="ConsPlusNormal"/>
              <w:jc w:val="center"/>
            </w:pPr>
            <w:r>
              <w:t>0,00</w:t>
            </w:r>
          </w:p>
        </w:tc>
        <w:tc>
          <w:tcPr>
            <w:tcW w:w="1701" w:type="dxa"/>
            <w:vAlign w:val="center"/>
          </w:tcPr>
          <w:p w14:paraId="03B9BCE4" w14:textId="77777777" w:rsidR="00454A29" w:rsidRDefault="00454A29">
            <w:pPr>
              <w:pStyle w:val="ConsPlusNormal"/>
              <w:jc w:val="center"/>
            </w:pPr>
            <w:r>
              <w:t>0,00</w:t>
            </w:r>
          </w:p>
        </w:tc>
      </w:tr>
      <w:tr w:rsidR="00454A29" w14:paraId="7DCCFBB3" w14:textId="77777777">
        <w:tc>
          <w:tcPr>
            <w:tcW w:w="964" w:type="dxa"/>
            <w:vMerge/>
          </w:tcPr>
          <w:p w14:paraId="435FE53A" w14:textId="77777777" w:rsidR="00454A29" w:rsidRDefault="00454A29"/>
        </w:tc>
        <w:tc>
          <w:tcPr>
            <w:tcW w:w="2154" w:type="dxa"/>
            <w:vMerge/>
            <w:tcBorders>
              <w:top w:val="nil"/>
              <w:bottom w:val="nil"/>
            </w:tcBorders>
          </w:tcPr>
          <w:p w14:paraId="50E9CC18" w14:textId="77777777" w:rsidR="00454A29" w:rsidRDefault="00454A29"/>
        </w:tc>
        <w:tc>
          <w:tcPr>
            <w:tcW w:w="2154" w:type="dxa"/>
            <w:vMerge/>
            <w:tcBorders>
              <w:top w:val="nil"/>
              <w:bottom w:val="nil"/>
            </w:tcBorders>
          </w:tcPr>
          <w:p w14:paraId="34478F62" w14:textId="77777777" w:rsidR="00454A29" w:rsidRDefault="00454A29"/>
        </w:tc>
        <w:tc>
          <w:tcPr>
            <w:tcW w:w="2665" w:type="dxa"/>
            <w:vMerge/>
            <w:tcBorders>
              <w:bottom w:val="nil"/>
            </w:tcBorders>
          </w:tcPr>
          <w:p w14:paraId="38547433" w14:textId="77777777" w:rsidR="00454A29" w:rsidRDefault="00454A29"/>
        </w:tc>
        <w:tc>
          <w:tcPr>
            <w:tcW w:w="2665" w:type="dxa"/>
            <w:vMerge/>
          </w:tcPr>
          <w:p w14:paraId="1AFA9AF3" w14:textId="77777777" w:rsidR="00454A29" w:rsidRDefault="00454A29"/>
        </w:tc>
        <w:tc>
          <w:tcPr>
            <w:tcW w:w="1928" w:type="dxa"/>
            <w:vMerge/>
          </w:tcPr>
          <w:p w14:paraId="1B172EA0" w14:textId="77777777" w:rsidR="00454A29" w:rsidRDefault="00454A29"/>
        </w:tc>
        <w:tc>
          <w:tcPr>
            <w:tcW w:w="1644" w:type="dxa"/>
            <w:vMerge/>
          </w:tcPr>
          <w:p w14:paraId="63647B80" w14:textId="77777777" w:rsidR="00454A29" w:rsidRDefault="00454A29"/>
        </w:tc>
        <w:tc>
          <w:tcPr>
            <w:tcW w:w="2041" w:type="dxa"/>
            <w:vMerge/>
          </w:tcPr>
          <w:p w14:paraId="20E2D35D" w14:textId="77777777" w:rsidR="00454A29" w:rsidRDefault="00454A29"/>
        </w:tc>
        <w:tc>
          <w:tcPr>
            <w:tcW w:w="2098" w:type="dxa"/>
            <w:vAlign w:val="center"/>
          </w:tcPr>
          <w:p w14:paraId="38D365E9" w14:textId="77777777" w:rsidR="00454A29" w:rsidRDefault="00454A29">
            <w:pPr>
              <w:pStyle w:val="ConsPlusNormal"/>
              <w:jc w:val="center"/>
            </w:pPr>
            <w:r>
              <w:t>Местные бюджеты</w:t>
            </w:r>
          </w:p>
        </w:tc>
        <w:tc>
          <w:tcPr>
            <w:tcW w:w="1814" w:type="dxa"/>
            <w:vAlign w:val="center"/>
          </w:tcPr>
          <w:p w14:paraId="20F96E4B" w14:textId="77777777" w:rsidR="00454A29" w:rsidRDefault="00454A29">
            <w:pPr>
              <w:pStyle w:val="ConsPlusNormal"/>
              <w:jc w:val="center"/>
            </w:pPr>
            <w:r>
              <w:t>0,00</w:t>
            </w:r>
          </w:p>
        </w:tc>
        <w:tc>
          <w:tcPr>
            <w:tcW w:w="1701" w:type="dxa"/>
            <w:vAlign w:val="center"/>
          </w:tcPr>
          <w:p w14:paraId="1C08F423" w14:textId="77777777" w:rsidR="00454A29" w:rsidRDefault="00454A29">
            <w:pPr>
              <w:pStyle w:val="ConsPlusNormal"/>
              <w:jc w:val="center"/>
            </w:pPr>
            <w:r>
              <w:t>0,00</w:t>
            </w:r>
          </w:p>
        </w:tc>
        <w:tc>
          <w:tcPr>
            <w:tcW w:w="1701" w:type="dxa"/>
            <w:vAlign w:val="center"/>
          </w:tcPr>
          <w:p w14:paraId="1E8AA1BB" w14:textId="77777777" w:rsidR="00454A29" w:rsidRDefault="00454A29">
            <w:pPr>
              <w:pStyle w:val="ConsPlusNormal"/>
              <w:jc w:val="center"/>
            </w:pPr>
            <w:r>
              <w:t>0,00</w:t>
            </w:r>
          </w:p>
        </w:tc>
        <w:tc>
          <w:tcPr>
            <w:tcW w:w="1701" w:type="dxa"/>
            <w:vAlign w:val="center"/>
          </w:tcPr>
          <w:p w14:paraId="476B538E" w14:textId="77777777" w:rsidR="00454A29" w:rsidRDefault="00454A29">
            <w:pPr>
              <w:pStyle w:val="ConsPlusNormal"/>
              <w:jc w:val="center"/>
            </w:pPr>
            <w:r>
              <w:t>0,00</w:t>
            </w:r>
          </w:p>
        </w:tc>
        <w:tc>
          <w:tcPr>
            <w:tcW w:w="1701" w:type="dxa"/>
            <w:vAlign w:val="center"/>
          </w:tcPr>
          <w:p w14:paraId="7B715981" w14:textId="77777777" w:rsidR="00454A29" w:rsidRDefault="00454A29">
            <w:pPr>
              <w:pStyle w:val="ConsPlusNormal"/>
              <w:jc w:val="center"/>
            </w:pPr>
            <w:r>
              <w:t>0,00</w:t>
            </w:r>
          </w:p>
        </w:tc>
        <w:tc>
          <w:tcPr>
            <w:tcW w:w="1701" w:type="dxa"/>
            <w:vAlign w:val="center"/>
          </w:tcPr>
          <w:p w14:paraId="4683B1C8" w14:textId="77777777" w:rsidR="00454A29" w:rsidRDefault="00454A29">
            <w:pPr>
              <w:pStyle w:val="ConsPlusNormal"/>
              <w:jc w:val="center"/>
            </w:pPr>
            <w:r>
              <w:t>0,00</w:t>
            </w:r>
          </w:p>
        </w:tc>
        <w:tc>
          <w:tcPr>
            <w:tcW w:w="1701" w:type="dxa"/>
            <w:vAlign w:val="center"/>
          </w:tcPr>
          <w:p w14:paraId="454832AD" w14:textId="77777777" w:rsidR="00454A29" w:rsidRDefault="00454A29">
            <w:pPr>
              <w:pStyle w:val="ConsPlusNormal"/>
              <w:jc w:val="center"/>
            </w:pPr>
            <w:r>
              <w:t>0,00</w:t>
            </w:r>
          </w:p>
        </w:tc>
      </w:tr>
      <w:tr w:rsidR="00454A29" w14:paraId="4076B496" w14:textId="77777777">
        <w:tc>
          <w:tcPr>
            <w:tcW w:w="964" w:type="dxa"/>
            <w:vMerge/>
          </w:tcPr>
          <w:p w14:paraId="3BE0EE99" w14:textId="77777777" w:rsidR="00454A29" w:rsidRDefault="00454A29"/>
        </w:tc>
        <w:tc>
          <w:tcPr>
            <w:tcW w:w="2154" w:type="dxa"/>
            <w:vMerge/>
            <w:tcBorders>
              <w:top w:val="nil"/>
              <w:bottom w:val="nil"/>
            </w:tcBorders>
          </w:tcPr>
          <w:p w14:paraId="3F2E4510" w14:textId="77777777" w:rsidR="00454A29" w:rsidRDefault="00454A29"/>
        </w:tc>
        <w:tc>
          <w:tcPr>
            <w:tcW w:w="2154" w:type="dxa"/>
            <w:vMerge/>
            <w:tcBorders>
              <w:top w:val="nil"/>
              <w:bottom w:val="nil"/>
            </w:tcBorders>
          </w:tcPr>
          <w:p w14:paraId="6D1C5CB6" w14:textId="77777777" w:rsidR="00454A29" w:rsidRDefault="00454A29"/>
        </w:tc>
        <w:tc>
          <w:tcPr>
            <w:tcW w:w="2665" w:type="dxa"/>
            <w:vMerge/>
            <w:tcBorders>
              <w:bottom w:val="nil"/>
            </w:tcBorders>
          </w:tcPr>
          <w:p w14:paraId="741DB384" w14:textId="77777777" w:rsidR="00454A29" w:rsidRDefault="00454A29"/>
        </w:tc>
        <w:tc>
          <w:tcPr>
            <w:tcW w:w="2665" w:type="dxa"/>
            <w:vMerge/>
          </w:tcPr>
          <w:p w14:paraId="327CC378" w14:textId="77777777" w:rsidR="00454A29" w:rsidRDefault="00454A29"/>
        </w:tc>
        <w:tc>
          <w:tcPr>
            <w:tcW w:w="1928" w:type="dxa"/>
            <w:vMerge/>
          </w:tcPr>
          <w:p w14:paraId="77639773" w14:textId="77777777" w:rsidR="00454A29" w:rsidRDefault="00454A29"/>
        </w:tc>
        <w:tc>
          <w:tcPr>
            <w:tcW w:w="1644" w:type="dxa"/>
            <w:vMerge/>
          </w:tcPr>
          <w:p w14:paraId="42B61435" w14:textId="77777777" w:rsidR="00454A29" w:rsidRDefault="00454A29"/>
        </w:tc>
        <w:tc>
          <w:tcPr>
            <w:tcW w:w="2041" w:type="dxa"/>
            <w:vMerge/>
          </w:tcPr>
          <w:p w14:paraId="5E3211CA" w14:textId="77777777" w:rsidR="00454A29" w:rsidRDefault="00454A29"/>
        </w:tc>
        <w:tc>
          <w:tcPr>
            <w:tcW w:w="2098" w:type="dxa"/>
            <w:vAlign w:val="center"/>
          </w:tcPr>
          <w:p w14:paraId="41E158BC" w14:textId="77777777" w:rsidR="00454A29" w:rsidRDefault="00454A29">
            <w:pPr>
              <w:pStyle w:val="ConsPlusNormal"/>
              <w:jc w:val="center"/>
            </w:pPr>
            <w:r>
              <w:t>Внебюджетные средства</w:t>
            </w:r>
          </w:p>
        </w:tc>
        <w:tc>
          <w:tcPr>
            <w:tcW w:w="1814" w:type="dxa"/>
            <w:vAlign w:val="center"/>
          </w:tcPr>
          <w:p w14:paraId="7D1602C7" w14:textId="77777777" w:rsidR="00454A29" w:rsidRDefault="00454A29">
            <w:pPr>
              <w:pStyle w:val="ConsPlusNormal"/>
              <w:jc w:val="center"/>
            </w:pPr>
            <w:r>
              <w:t>0,00</w:t>
            </w:r>
          </w:p>
        </w:tc>
        <w:tc>
          <w:tcPr>
            <w:tcW w:w="1701" w:type="dxa"/>
            <w:vAlign w:val="center"/>
          </w:tcPr>
          <w:p w14:paraId="50758E5E" w14:textId="77777777" w:rsidR="00454A29" w:rsidRDefault="00454A29">
            <w:pPr>
              <w:pStyle w:val="ConsPlusNormal"/>
              <w:jc w:val="center"/>
            </w:pPr>
            <w:r>
              <w:t>0,00</w:t>
            </w:r>
          </w:p>
        </w:tc>
        <w:tc>
          <w:tcPr>
            <w:tcW w:w="1701" w:type="dxa"/>
            <w:vAlign w:val="center"/>
          </w:tcPr>
          <w:p w14:paraId="48E39293" w14:textId="77777777" w:rsidR="00454A29" w:rsidRDefault="00454A29">
            <w:pPr>
              <w:pStyle w:val="ConsPlusNormal"/>
              <w:jc w:val="center"/>
            </w:pPr>
            <w:r>
              <w:t>0,00</w:t>
            </w:r>
          </w:p>
        </w:tc>
        <w:tc>
          <w:tcPr>
            <w:tcW w:w="1701" w:type="dxa"/>
            <w:vAlign w:val="center"/>
          </w:tcPr>
          <w:p w14:paraId="5D7AF6DB" w14:textId="77777777" w:rsidR="00454A29" w:rsidRDefault="00454A29">
            <w:pPr>
              <w:pStyle w:val="ConsPlusNormal"/>
              <w:jc w:val="center"/>
            </w:pPr>
            <w:r>
              <w:t>0,00</w:t>
            </w:r>
          </w:p>
        </w:tc>
        <w:tc>
          <w:tcPr>
            <w:tcW w:w="1701" w:type="dxa"/>
            <w:vAlign w:val="center"/>
          </w:tcPr>
          <w:p w14:paraId="515D0726" w14:textId="77777777" w:rsidR="00454A29" w:rsidRDefault="00454A29">
            <w:pPr>
              <w:pStyle w:val="ConsPlusNormal"/>
              <w:jc w:val="center"/>
            </w:pPr>
            <w:r>
              <w:t>0,00</w:t>
            </w:r>
          </w:p>
        </w:tc>
        <w:tc>
          <w:tcPr>
            <w:tcW w:w="1701" w:type="dxa"/>
            <w:vAlign w:val="center"/>
          </w:tcPr>
          <w:p w14:paraId="78E8239A" w14:textId="77777777" w:rsidR="00454A29" w:rsidRDefault="00454A29">
            <w:pPr>
              <w:pStyle w:val="ConsPlusNormal"/>
              <w:jc w:val="center"/>
            </w:pPr>
            <w:r>
              <w:t>0,00</w:t>
            </w:r>
          </w:p>
        </w:tc>
        <w:tc>
          <w:tcPr>
            <w:tcW w:w="1701" w:type="dxa"/>
            <w:vAlign w:val="center"/>
          </w:tcPr>
          <w:p w14:paraId="7CAAD33D" w14:textId="77777777" w:rsidR="00454A29" w:rsidRDefault="00454A29">
            <w:pPr>
              <w:pStyle w:val="ConsPlusNormal"/>
              <w:jc w:val="center"/>
            </w:pPr>
            <w:r>
              <w:t>0,00</w:t>
            </w:r>
          </w:p>
        </w:tc>
      </w:tr>
      <w:tr w:rsidR="00454A29" w14:paraId="1E2ED01B" w14:textId="77777777">
        <w:tc>
          <w:tcPr>
            <w:tcW w:w="964" w:type="dxa"/>
            <w:vMerge w:val="restart"/>
            <w:vAlign w:val="center"/>
          </w:tcPr>
          <w:p w14:paraId="24FAA7D9" w14:textId="77777777" w:rsidR="00454A29" w:rsidRDefault="00454A29">
            <w:pPr>
              <w:pStyle w:val="ConsPlusNormal"/>
              <w:jc w:val="center"/>
            </w:pPr>
            <w:r>
              <w:t>7.2.</w:t>
            </w:r>
          </w:p>
        </w:tc>
        <w:tc>
          <w:tcPr>
            <w:tcW w:w="2154" w:type="dxa"/>
            <w:vMerge w:val="restart"/>
            <w:tcBorders>
              <w:top w:val="nil"/>
              <w:bottom w:val="nil"/>
            </w:tcBorders>
            <w:vAlign w:val="center"/>
          </w:tcPr>
          <w:p w14:paraId="3F060301" w14:textId="77777777" w:rsidR="00454A29" w:rsidRDefault="00454A29">
            <w:pPr>
              <w:pStyle w:val="ConsPlusNormal"/>
            </w:pPr>
          </w:p>
        </w:tc>
        <w:tc>
          <w:tcPr>
            <w:tcW w:w="2154" w:type="dxa"/>
            <w:vMerge w:val="restart"/>
            <w:tcBorders>
              <w:top w:val="nil"/>
              <w:bottom w:val="nil"/>
            </w:tcBorders>
            <w:vAlign w:val="center"/>
          </w:tcPr>
          <w:p w14:paraId="64AE08AA" w14:textId="77777777" w:rsidR="00454A29" w:rsidRDefault="00454A29">
            <w:pPr>
              <w:pStyle w:val="ConsPlusNormal"/>
            </w:pPr>
          </w:p>
        </w:tc>
        <w:tc>
          <w:tcPr>
            <w:tcW w:w="2665" w:type="dxa"/>
            <w:vMerge w:val="restart"/>
            <w:tcBorders>
              <w:top w:val="nil"/>
              <w:bottom w:val="nil"/>
            </w:tcBorders>
            <w:vAlign w:val="center"/>
          </w:tcPr>
          <w:p w14:paraId="038F50A8" w14:textId="77777777" w:rsidR="00454A29" w:rsidRDefault="00454A29">
            <w:pPr>
              <w:pStyle w:val="ConsPlusNormal"/>
            </w:pPr>
          </w:p>
        </w:tc>
        <w:tc>
          <w:tcPr>
            <w:tcW w:w="2665" w:type="dxa"/>
            <w:vMerge w:val="restart"/>
            <w:vAlign w:val="center"/>
          </w:tcPr>
          <w:p w14:paraId="2C15E9EA" w14:textId="77777777" w:rsidR="00454A29" w:rsidRDefault="00454A29">
            <w:pPr>
              <w:pStyle w:val="ConsPlusNormal"/>
              <w:jc w:val="center"/>
            </w:pPr>
            <w:r>
              <w:t>Мероприятие 3.9.2. Проведение работы по регулярному обновлению версий официального сайта в сети "Интернет" на иностранных языках, ориентированные на запросы иностранных абитуриентов и студентов</w:t>
            </w:r>
          </w:p>
        </w:tc>
        <w:tc>
          <w:tcPr>
            <w:tcW w:w="1928" w:type="dxa"/>
            <w:vMerge w:val="restart"/>
            <w:vAlign w:val="center"/>
          </w:tcPr>
          <w:p w14:paraId="5FBB8847" w14:textId="77777777" w:rsidR="00454A29" w:rsidRDefault="00454A29">
            <w:pPr>
              <w:pStyle w:val="ConsPlusNormal"/>
              <w:jc w:val="center"/>
            </w:pPr>
            <w:r>
              <w:t>-</w:t>
            </w:r>
          </w:p>
        </w:tc>
        <w:tc>
          <w:tcPr>
            <w:tcW w:w="1644" w:type="dxa"/>
            <w:vMerge w:val="restart"/>
            <w:vAlign w:val="center"/>
          </w:tcPr>
          <w:p w14:paraId="3867F691" w14:textId="77777777" w:rsidR="00454A29" w:rsidRDefault="00454A29">
            <w:pPr>
              <w:pStyle w:val="ConsPlusNormal"/>
              <w:jc w:val="center"/>
            </w:pPr>
            <w:r>
              <w:t>-</w:t>
            </w:r>
          </w:p>
        </w:tc>
        <w:tc>
          <w:tcPr>
            <w:tcW w:w="2041" w:type="dxa"/>
            <w:vMerge w:val="restart"/>
            <w:vAlign w:val="center"/>
          </w:tcPr>
          <w:p w14:paraId="076AEC4D" w14:textId="77777777" w:rsidR="00454A29" w:rsidRDefault="00454A29">
            <w:pPr>
              <w:pStyle w:val="ConsPlusNormal"/>
              <w:jc w:val="center"/>
            </w:pPr>
            <w:r>
              <w:t>-</w:t>
            </w:r>
          </w:p>
        </w:tc>
        <w:tc>
          <w:tcPr>
            <w:tcW w:w="2098" w:type="dxa"/>
            <w:vAlign w:val="center"/>
          </w:tcPr>
          <w:p w14:paraId="2BF7EE5C" w14:textId="77777777" w:rsidR="00454A29" w:rsidRDefault="00454A29">
            <w:pPr>
              <w:pStyle w:val="ConsPlusNormal"/>
              <w:jc w:val="center"/>
            </w:pPr>
            <w:r>
              <w:t>Итого</w:t>
            </w:r>
          </w:p>
        </w:tc>
        <w:tc>
          <w:tcPr>
            <w:tcW w:w="1814" w:type="dxa"/>
            <w:vAlign w:val="center"/>
          </w:tcPr>
          <w:p w14:paraId="61801596" w14:textId="77777777" w:rsidR="00454A29" w:rsidRDefault="00454A29">
            <w:pPr>
              <w:pStyle w:val="ConsPlusNormal"/>
              <w:jc w:val="center"/>
            </w:pPr>
            <w:r>
              <w:t>0,00</w:t>
            </w:r>
          </w:p>
        </w:tc>
        <w:tc>
          <w:tcPr>
            <w:tcW w:w="1701" w:type="dxa"/>
            <w:vAlign w:val="center"/>
          </w:tcPr>
          <w:p w14:paraId="09C9175A" w14:textId="77777777" w:rsidR="00454A29" w:rsidRDefault="00454A29">
            <w:pPr>
              <w:pStyle w:val="ConsPlusNormal"/>
              <w:jc w:val="center"/>
            </w:pPr>
            <w:r>
              <w:t>0,00</w:t>
            </w:r>
          </w:p>
        </w:tc>
        <w:tc>
          <w:tcPr>
            <w:tcW w:w="1701" w:type="dxa"/>
            <w:vAlign w:val="center"/>
          </w:tcPr>
          <w:p w14:paraId="029194D7" w14:textId="77777777" w:rsidR="00454A29" w:rsidRDefault="00454A29">
            <w:pPr>
              <w:pStyle w:val="ConsPlusNormal"/>
              <w:jc w:val="center"/>
            </w:pPr>
            <w:r>
              <w:t>0,00</w:t>
            </w:r>
          </w:p>
        </w:tc>
        <w:tc>
          <w:tcPr>
            <w:tcW w:w="1701" w:type="dxa"/>
            <w:vAlign w:val="center"/>
          </w:tcPr>
          <w:p w14:paraId="2607B7FA" w14:textId="77777777" w:rsidR="00454A29" w:rsidRDefault="00454A29">
            <w:pPr>
              <w:pStyle w:val="ConsPlusNormal"/>
              <w:jc w:val="center"/>
            </w:pPr>
            <w:r>
              <w:t>0,00</w:t>
            </w:r>
          </w:p>
        </w:tc>
        <w:tc>
          <w:tcPr>
            <w:tcW w:w="1701" w:type="dxa"/>
            <w:vAlign w:val="center"/>
          </w:tcPr>
          <w:p w14:paraId="1129AA52" w14:textId="77777777" w:rsidR="00454A29" w:rsidRDefault="00454A29">
            <w:pPr>
              <w:pStyle w:val="ConsPlusNormal"/>
              <w:jc w:val="center"/>
            </w:pPr>
            <w:r>
              <w:t>0,00</w:t>
            </w:r>
          </w:p>
        </w:tc>
        <w:tc>
          <w:tcPr>
            <w:tcW w:w="1701" w:type="dxa"/>
            <w:vAlign w:val="center"/>
          </w:tcPr>
          <w:p w14:paraId="0677D4A0" w14:textId="77777777" w:rsidR="00454A29" w:rsidRDefault="00454A29">
            <w:pPr>
              <w:pStyle w:val="ConsPlusNormal"/>
              <w:jc w:val="center"/>
            </w:pPr>
            <w:r>
              <w:t>0,00</w:t>
            </w:r>
          </w:p>
        </w:tc>
        <w:tc>
          <w:tcPr>
            <w:tcW w:w="1701" w:type="dxa"/>
            <w:vAlign w:val="center"/>
          </w:tcPr>
          <w:p w14:paraId="3E24A084" w14:textId="77777777" w:rsidR="00454A29" w:rsidRDefault="00454A29">
            <w:pPr>
              <w:pStyle w:val="ConsPlusNormal"/>
              <w:jc w:val="center"/>
            </w:pPr>
            <w:r>
              <w:t>0,00</w:t>
            </w:r>
          </w:p>
        </w:tc>
      </w:tr>
      <w:tr w:rsidR="00454A29" w14:paraId="70BB2010" w14:textId="77777777">
        <w:tc>
          <w:tcPr>
            <w:tcW w:w="964" w:type="dxa"/>
            <w:vMerge/>
          </w:tcPr>
          <w:p w14:paraId="04F261B8" w14:textId="77777777" w:rsidR="00454A29" w:rsidRDefault="00454A29"/>
        </w:tc>
        <w:tc>
          <w:tcPr>
            <w:tcW w:w="2154" w:type="dxa"/>
            <w:vMerge/>
            <w:tcBorders>
              <w:top w:val="nil"/>
              <w:bottom w:val="nil"/>
            </w:tcBorders>
          </w:tcPr>
          <w:p w14:paraId="619B9560" w14:textId="77777777" w:rsidR="00454A29" w:rsidRDefault="00454A29"/>
        </w:tc>
        <w:tc>
          <w:tcPr>
            <w:tcW w:w="2154" w:type="dxa"/>
            <w:vMerge/>
            <w:tcBorders>
              <w:top w:val="nil"/>
              <w:bottom w:val="nil"/>
            </w:tcBorders>
          </w:tcPr>
          <w:p w14:paraId="28BE734C" w14:textId="77777777" w:rsidR="00454A29" w:rsidRDefault="00454A29"/>
        </w:tc>
        <w:tc>
          <w:tcPr>
            <w:tcW w:w="2665" w:type="dxa"/>
            <w:vMerge/>
            <w:tcBorders>
              <w:top w:val="nil"/>
              <w:bottom w:val="nil"/>
            </w:tcBorders>
          </w:tcPr>
          <w:p w14:paraId="2D59E1E8" w14:textId="77777777" w:rsidR="00454A29" w:rsidRDefault="00454A29"/>
        </w:tc>
        <w:tc>
          <w:tcPr>
            <w:tcW w:w="2665" w:type="dxa"/>
            <w:vMerge/>
          </w:tcPr>
          <w:p w14:paraId="6C3C5D11" w14:textId="77777777" w:rsidR="00454A29" w:rsidRDefault="00454A29"/>
        </w:tc>
        <w:tc>
          <w:tcPr>
            <w:tcW w:w="1928" w:type="dxa"/>
            <w:vMerge/>
          </w:tcPr>
          <w:p w14:paraId="62CB4292" w14:textId="77777777" w:rsidR="00454A29" w:rsidRDefault="00454A29"/>
        </w:tc>
        <w:tc>
          <w:tcPr>
            <w:tcW w:w="1644" w:type="dxa"/>
            <w:vMerge/>
          </w:tcPr>
          <w:p w14:paraId="2AC5BC5F" w14:textId="77777777" w:rsidR="00454A29" w:rsidRDefault="00454A29"/>
        </w:tc>
        <w:tc>
          <w:tcPr>
            <w:tcW w:w="2041" w:type="dxa"/>
            <w:vMerge/>
          </w:tcPr>
          <w:p w14:paraId="7ED86079" w14:textId="77777777" w:rsidR="00454A29" w:rsidRDefault="00454A29"/>
        </w:tc>
        <w:tc>
          <w:tcPr>
            <w:tcW w:w="2098" w:type="dxa"/>
            <w:vAlign w:val="center"/>
          </w:tcPr>
          <w:p w14:paraId="4DFA0B9A"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C9BE05A" w14:textId="77777777" w:rsidR="00454A29" w:rsidRDefault="00454A29">
            <w:pPr>
              <w:pStyle w:val="ConsPlusNormal"/>
              <w:jc w:val="center"/>
            </w:pPr>
            <w:r>
              <w:t>0,00</w:t>
            </w:r>
          </w:p>
        </w:tc>
        <w:tc>
          <w:tcPr>
            <w:tcW w:w="1701" w:type="dxa"/>
            <w:vAlign w:val="center"/>
          </w:tcPr>
          <w:p w14:paraId="52FA8229" w14:textId="77777777" w:rsidR="00454A29" w:rsidRDefault="00454A29">
            <w:pPr>
              <w:pStyle w:val="ConsPlusNormal"/>
              <w:jc w:val="center"/>
            </w:pPr>
            <w:r>
              <w:t>0,00</w:t>
            </w:r>
          </w:p>
        </w:tc>
        <w:tc>
          <w:tcPr>
            <w:tcW w:w="1701" w:type="dxa"/>
            <w:vAlign w:val="center"/>
          </w:tcPr>
          <w:p w14:paraId="6F6031D6" w14:textId="77777777" w:rsidR="00454A29" w:rsidRDefault="00454A29">
            <w:pPr>
              <w:pStyle w:val="ConsPlusNormal"/>
              <w:jc w:val="center"/>
            </w:pPr>
            <w:r>
              <w:t>0,00</w:t>
            </w:r>
          </w:p>
        </w:tc>
        <w:tc>
          <w:tcPr>
            <w:tcW w:w="1701" w:type="dxa"/>
            <w:vAlign w:val="center"/>
          </w:tcPr>
          <w:p w14:paraId="5864E1DE" w14:textId="77777777" w:rsidR="00454A29" w:rsidRDefault="00454A29">
            <w:pPr>
              <w:pStyle w:val="ConsPlusNormal"/>
              <w:jc w:val="center"/>
            </w:pPr>
            <w:r>
              <w:t>0,00</w:t>
            </w:r>
          </w:p>
        </w:tc>
        <w:tc>
          <w:tcPr>
            <w:tcW w:w="1701" w:type="dxa"/>
            <w:vAlign w:val="center"/>
          </w:tcPr>
          <w:p w14:paraId="3139D6B1" w14:textId="77777777" w:rsidR="00454A29" w:rsidRDefault="00454A29">
            <w:pPr>
              <w:pStyle w:val="ConsPlusNormal"/>
              <w:jc w:val="center"/>
            </w:pPr>
            <w:r>
              <w:t>0,00</w:t>
            </w:r>
          </w:p>
        </w:tc>
        <w:tc>
          <w:tcPr>
            <w:tcW w:w="1701" w:type="dxa"/>
            <w:vAlign w:val="center"/>
          </w:tcPr>
          <w:p w14:paraId="12EE245D" w14:textId="77777777" w:rsidR="00454A29" w:rsidRDefault="00454A29">
            <w:pPr>
              <w:pStyle w:val="ConsPlusNormal"/>
              <w:jc w:val="center"/>
            </w:pPr>
            <w:r>
              <w:t>0,00</w:t>
            </w:r>
          </w:p>
        </w:tc>
        <w:tc>
          <w:tcPr>
            <w:tcW w:w="1701" w:type="dxa"/>
            <w:vAlign w:val="center"/>
          </w:tcPr>
          <w:p w14:paraId="54F5B204" w14:textId="77777777" w:rsidR="00454A29" w:rsidRDefault="00454A29">
            <w:pPr>
              <w:pStyle w:val="ConsPlusNormal"/>
              <w:jc w:val="center"/>
            </w:pPr>
            <w:r>
              <w:t>0,00</w:t>
            </w:r>
          </w:p>
        </w:tc>
      </w:tr>
      <w:tr w:rsidR="00454A29" w14:paraId="7449B9E6" w14:textId="77777777">
        <w:tc>
          <w:tcPr>
            <w:tcW w:w="964" w:type="dxa"/>
            <w:vMerge/>
          </w:tcPr>
          <w:p w14:paraId="55C9F322" w14:textId="77777777" w:rsidR="00454A29" w:rsidRDefault="00454A29"/>
        </w:tc>
        <w:tc>
          <w:tcPr>
            <w:tcW w:w="2154" w:type="dxa"/>
            <w:vMerge/>
            <w:tcBorders>
              <w:top w:val="nil"/>
              <w:bottom w:val="nil"/>
            </w:tcBorders>
          </w:tcPr>
          <w:p w14:paraId="3F8139CA" w14:textId="77777777" w:rsidR="00454A29" w:rsidRDefault="00454A29"/>
        </w:tc>
        <w:tc>
          <w:tcPr>
            <w:tcW w:w="2154" w:type="dxa"/>
            <w:vMerge/>
            <w:tcBorders>
              <w:top w:val="nil"/>
              <w:bottom w:val="nil"/>
            </w:tcBorders>
          </w:tcPr>
          <w:p w14:paraId="5B92DD70" w14:textId="77777777" w:rsidR="00454A29" w:rsidRDefault="00454A29"/>
        </w:tc>
        <w:tc>
          <w:tcPr>
            <w:tcW w:w="2665" w:type="dxa"/>
            <w:vMerge/>
            <w:tcBorders>
              <w:top w:val="nil"/>
              <w:bottom w:val="nil"/>
            </w:tcBorders>
          </w:tcPr>
          <w:p w14:paraId="2C45F079" w14:textId="77777777" w:rsidR="00454A29" w:rsidRDefault="00454A29"/>
        </w:tc>
        <w:tc>
          <w:tcPr>
            <w:tcW w:w="2665" w:type="dxa"/>
            <w:vMerge/>
          </w:tcPr>
          <w:p w14:paraId="1227232F" w14:textId="77777777" w:rsidR="00454A29" w:rsidRDefault="00454A29"/>
        </w:tc>
        <w:tc>
          <w:tcPr>
            <w:tcW w:w="1928" w:type="dxa"/>
            <w:vMerge/>
          </w:tcPr>
          <w:p w14:paraId="027D71A8" w14:textId="77777777" w:rsidR="00454A29" w:rsidRDefault="00454A29"/>
        </w:tc>
        <w:tc>
          <w:tcPr>
            <w:tcW w:w="1644" w:type="dxa"/>
            <w:vMerge/>
          </w:tcPr>
          <w:p w14:paraId="217DFA9F" w14:textId="77777777" w:rsidR="00454A29" w:rsidRDefault="00454A29"/>
        </w:tc>
        <w:tc>
          <w:tcPr>
            <w:tcW w:w="2041" w:type="dxa"/>
            <w:vMerge/>
          </w:tcPr>
          <w:p w14:paraId="79046F44" w14:textId="77777777" w:rsidR="00454A29" w:rsidRDefault="00454A29"/>
        </w:tc>
        <w:tc>
          <w:tcPr>
            <w:tcW w:w="2098" w:type="dxa"/>
            <w:vAlign w:val="center"/>
          </w:tcPr>
          <w:p w14:paraId="3A2D7BD0" w14:textId="77777777" w:rsidR="00454A29" w:rsidRDefault="00454A29">
            <w:pPr>
              <w:pStyle w:val="ConsPlusNormal"/>
              <w:jc w:val="center"/>
            </w:pPr>
            <w:r>
              <w:t>Федеральный бюджет</w:t>
            </w:r>
          </w:p>
        </w:tc>
        <w:tc>
          <w:tcPr>
            <w:tcW w:w="1814" w:type="dxa"/>
            <w:vAlign w:val="center"/>
          </w:tcPr>
          <w:p w14:paraId="7DF3BAFE" w14:textId="77777777" w:rsidR="00454A29" w:rsidRDefault="00454A29">
            <w:pPr>
              <w:pStyle w:val="ConsPlusNormal"/>
              <w:jc w:val="center"/>
            </w:pPr>
            <w:r>
              <w:t>0,00</w:t>
            </w:r>
          </w:p>
        </w:tc>
        <w:tc>
          <w:tcPr>
            <w:tcW w:w="1701" w:type="dxa"/>
            <w:vAlign w:val="center"/>
          </w:tcPr>
          <w:p w14:paraId="0A5999B6" w14:textId="77777777" w:rsidR="00454A29" w:rsidRDefault="00454A29">
            <w:pPr>
              <w:pStyle w:val="ConsPlusNormal"/>
              <w:jc w:val="center"/>
            </w:pPr>
            <w:r>
              <w:t>0,00</w:t>
            </w:r>
          </w:p>
        </w:tc>
        <w:tc>
          <w:tcPr>
            <w:tcW w:w="1701" w:type="dxa"/>
            <w:vAlign w:val="center"/>
          </w:tcPr>
          <w:p w14:paraId="2A6AA346" w14:textId="77777777" w:rsidR="00454A29" w:rsidRDefault="00454A29">
            <w:pPr>
              <w:pStyle w:val="ConsPlusNormal"/>
              <w:jc w:val="center"/>
            </w:pPr>
            <w:r>
              <w:t>0,00</w:t>
            </w:r>
          </w:p>
        </w:tc>
        <w:tc>
          <w:tcPr>
            <w:tcW w:w="1701" w:type="dxa"/>
            <w:vAlign w:val="center"/>
          </w:tcPr>
          <w:p w14:paraId="58068B32" w14:textId="77777777" w:rsidR="00454A29" w:rsidRDefault="00454A29">
            <w:pPr>
              <w:pStyle w:val="ConsPlusNormal"/>
              <w:jc w:val="center"/>
            </w:pPr>
            <w:r>
              <w:t>0,00</w:t>
            </w:r>
          </w:p>
        </w:tc>
        <w:tc>
          <w:tcPr>
            <w:tcW w:w="1701" w:type="dxa"/>
            <w:vAlign w:val="center"/>
          </w:tcPr>
          <w:p w14:paraId="0E16E40B" w14:textId="77777777" w:rsidR="00454A29" w:rsidRDefault="00454A29">
            <w:pPr>
              <w:pStyle w:val="ConsPlusNormal"/>
              <w:jc w:val="center"/>
            </w:pPr>
            <w:r>
              <w:t>0,00</w:t>
            </w:r>
          </w:p>
        </w:tc>
        <w:tc>
          <w:tcPr>
            <w:tcW w:w="1701" w:type="dxa"/>
            <w:vAlign w:val="center"/>
          </w:tcPr>
          <w:p w14:paraId="1F373C89" w14:textId="77777777" w:rsidR="00454A29" w:rsidRDefault="00454A29">
            <w:pPr>
              <w:pStyle w:val="ConsPlusNormal"/>
              <w:jc w:val="center"/>
            </w:pPr>
            <w:r>
              <w:t>0,00</w:t>
            </w:r>
          </w:p>
        </w:tc>
        <w:tc>
          <w:tcPr>
            <w:tcW w:w="1701" w:type="dxa"/>
            <w:vAlign w:val="center"/>
          </w:tcPr>
          <w:p w14:paraId="251A12A3" w14:textId="77777777" w:rsidR="00454A29" w:rsidRDefault="00454A29">
            <w:pPr>
              <w:pStyle w:val="ConsPlusNormal"/>
              <w:jc w:val="center"/>
            </w:pPr>
            <w:r>
              <w:t>0,00</w:t>
            </w:r>
          </w:p>
        </w:tc>
      </w:tr>
      <w:tr w:rsidR="00454A29" w14:paraId="777EA487" w14:textId="77777777">
        <w:tc>
          <w:tcPr>
            <w:tcW w:w="964" w:type="dxa"/>
            <w:vMerge/>
          </w:tcPr>
          <w:p w14:paraId="4B6D9FB8" w14:textId="77777777" w:rsidR="00454A29" w:rsidRDefault="00454A29"/>
        </w:tc>
        <w:tc>
          <w:tcPr>
            <w:tcW w:w="2154" w:type="dxa"/>
            <w:vMerge/>
            <w:tcBorders>
              <w:top w:val="nil"/>
              <w:bottom w:val="nil"/>
            </w:tcBorders>
          </w:tcPr>
          <w:p w14:paraId="479536BA" w14:textId="77777777" w:rsidR="00454A29" w:rsidRDefault="00454A29"/>
        </w:tc>
        <w:tc>
          <w:tcPr>
            <w:tcW w:w="2154" w:type="dxa"/>
            <w:vMerge/>
            <w:tcBorders>
              <w:top w:val="nil"/>
              <w:bottom w:val="nil"/>
            </w:tcBorders>
          </w:tcPr>
          <w:p w14:paraId="42615217" w14:textId="77777777" w:rsidR="00454A29" w:rsidRDefault="00454A29"/>
        </w:tc>
        <w:tc>
          <w:tcPr>
            <w:tcW w:w="2665" w:type="dxa"/>
            <w:vMerge/>
            <w:tcBorders>
              <w:top w:val="nil"/>
              <w:bottom w:val="nil"/>
            </w:tcBorders>
          </w:tcPr>
          <w:p w14:paraId="2A971200" w14:textId="77777777" w:rsidR="00454A29" w:rsidRDefault="00454A29"/>
        </w:tc>
        <w:tc>
          <w:tcPr>
            <w:tcW w:w="2665" w:type="dxa"/>
            <w:vMerge/>
          </w:tcPr>
          <w:p w14:paraId="009A5515" w14:textId="77777777" w:rsidR="00454A29" w:rsidRDefault="00454A29"/>
        </w:tc>
        <w:tc>
          <w:tcPr>
            <w:tcW w:w="1928" w:type="dxa"/>
            <w:vMerge/>
          </w:tcPr>
          <w:p w14:paraId="3BBEBA41" w14:textId="77777777" w:rsidR="00454A29" w:rsidRDefault="00454A29"/>
        </w:tc>
        <w:tc>
          <w:tcPr>
            <w:tcW w:w="1644" w:type="dxa"/>
            <w:vMerge/>
          </w:tcPr>
          <w:p w14:paraId="1EFC2F3A" w14:textId="77777777" w:rsidR="00454A29" w:rsidRDefault="00454A29"/>
        </w:tc>
        <w:tc>
          <w:tcPr>
            <w:tcW w:w="2041" w:type="dxa"/>
            <w:vMerge/>
          </w:tcPr>
          <w:p w14:paraId="4BAC7A51" w14:textId="77777777" w:rsidR="00454A29" w:rsidRDefault="00454A29"/>
        </w:tc>
        <w:tc>
          <w:tcPr>
            <w:tcW w:w="2098" w:type="dxa"/>
            <w:vAlign w:val="center"/>
          </w:tcPr>
          <w:p w14:paraId="32DD62BF" w14:textId="77777777" w:rsidR="00454A29" w:rsidRDefault="00454A29">
            <w:pPr>
              <w:pStyle w:val="ConsPlusNormal"/>
              <w:jc w:val="center"/>
            </w:pPr>
            <w:r>
              <w:t>Местные бюджеты</w:t>
            </w:r>
          </w:p>
        </w:tc>
        <w:tc>
          <w:tcPr>
            <w:tcW w:w="1814" w:type="dxa"/>
            <w:vAlign w:val="center"/>
          </w:tcPr>
          <w:p w14:paraId="722213BF" w14:textId="77777777" w:rsidR="00454A29" w:rsidRDefault="00454A29">
            <w:pPr>
              <w:pStyle w:val="ConsPlusNormal"/>
              <w:jc w:val="center"/>
            </w:pPr>
            <w:r>
              <w:t>0,00</w:t>
            </w:r>
          </w:p>
        </w:tc>
        <w:tc>
          <w:tcPr>
            <w:tcW w:w="1701" w:type="dxa"/>
            <w:vAlign w:val="center"/>
          </w:tcPr>
          <w:p w14:paraId="205C88D7" w14:textId="77777777" w:rsidR="00454A29" w:rsidRDefault="00454A29">
            <w:pPr>
              <w:pStyle w:val="ConsPlusNormal"/>
              <w:jc w:val="center"/>
            </w:pPr>
            <w:r>
              <w:t>0,00</w:t>
            </w:r>
          </w:p>
        </w:tc>
        <w:tc>
          <w:tcPr>
            <w:tcW w:w="1701" w:type="dxa"/>
            <w:vAlign w:val="center"/>
          </w:tcPr>
          <w:p w14:paraId="18FA5CBA" w14:textId="77777777" w:rsidR="00454A29" w:rsidRDefault="00454A29">
            <w:pPr>
              <w:pStyle w:val="ConsPlusNormal"/>
              <w:jc w:val="center"/>
            </w:pPr>
            <w:r>
              <w:t>0,00</w:t>
            </w:r>
          </w:p>
        </w:tc>
        <w:tc>
          <w:tcPr>
            <w:tcW w:w="1701" w:type="dxa"/>
            <w:vAlign w:val="center"/>
          </w:tcPr>
          <w:p w14:paraId="57C3FD06" w14:textId="77777777" w:rsidR="00454A29" w:rsidRDefault="00454A29">
            <w:pPr>
              <w:pStyle w:val="ConsPlusNormal"/>
              <w:jc w:val="center"/>
            </w:pPr>
            <w:r>
              <w:t>0,00</w:t>
            </w:r>
          </w:p>
        </w:tc>
        <w:tc>
          <w:tcPr>
            <w:tcW w:w="1701" w:type="dxa"/>
            <w:vAlign w:val="center"/>
          </w:tcPr>
          <w:p w14:paraId="14CEA487" w14:textId="77777777" w:rsidR="00454A29" w:rsidRDefault="00454A29">
            <w:pPr>
              <w:pStyle w:val="ConsPlusNormal"/>
              <w:jc w:val="center"/>
            </w:pPr>
            <w:r>
              <w:t>0,00</w:t>
            </w:r>
          </w:p>
        </w:tc>
        <w:tc>
          <w:tcPr>
            <w:tcW w:w="1701" w:type="dxa"/>
            <w:vAlign w:val="center"/>
          </w:tcPr>
          <w:p w14:paraId="568A7E3F" w14:textId="77777777" w:rsidR="00454A29" w:rsidRDefault="00454A29">
            <w:pPr>
              <w:pStyle w:val="ConsPlusNormal"/>
              <w:jc w:val="center"/>
            </w:pPr>
            <w:r>
              <w:t>0,00</w:t>
            </w:r>
          </w:p>
        </w:tc>
        <w:tc>
          <w:tcPr>
            <w:tcW w:w="1701" w:type="dxa"/>
            <w:vAlign w:val="center"/>
          </w:tcPr>
          <w:p w14:paraId="1A1A215D" w14:textId="77777777" w:rsidR="00454A29" w:rsidRDefault="00454A29">
            <w:pPr>
              <w:pStyle w:val="ConsPlusNormal"/>
              <w:jc w:val="center"/>
            </w:pPr>
            <w:r>
              <w:t>0,00</w:t>
            </w:r>
          </w:p>
        </w:tc>
      </w:tr>
      <w:tr w:rsidR="00454A29" w14:paraId="2CC61326" w14:textId="77777777">
        <w:tc>
          <w:tcPr>
            <w:tcW w:w="964" w:type="dxa"/>
            <w:vMerge/>
          </w:tcPr>
          <w:p w14:paraId="507AD4A4" w14:textId="77777777" w:rsidR="00454A29" w:rsidRDefault="00454A29"/>
        </w:tc>
        <w:tc>
          <w:tcPr>
            <w:tcW w:w="2154" w:type="dxa"/>
            <w:vMerge/>
            <w:tcBorders>
              <w:top w:val="nil"/>
              <w:bottom w:val="nil"/>
            </w:tcBorders>
          </w:tcPr>
          <w:p w14:paraId="133C6C53" w14:textId="77777777" w:rsidR="00454A29" w:rsidRDefault="00454A29"/>
        </w:tc>
        <w:tc>
          <w:tcPr>
            <w:tcW w:w="2154" w:type="dxa"/>
            <w:vMerge/>
            <w:tcBorders>
              <w:top w:val="nil"/>
              <w:bottom w:val="nil"/>
            </w:tcBorders>
          </w:tcPr>
          <w:p w14:paraId="10147057" w14:textId="77777777" w:rsidR="00454A29" w:rsidRDefault="00454A29"/>
        </w:tc>
        <w:tc>
          <w:tcPr>
            <w:tcW w:w="2665" w:type="dxa"/>
            <w:vMerge/>
            <w:tcBorders>
              <w:top w:val="nil"/>
              <w:bottom w:val="nil"/>
            </w:tcBorders>
          </w:tcPr>
          <w:p w14:paraId="7B267851" w14:textId="77777777" w:rsidR="00454A29" w:rsidRDefault="00454A29"/>
        </w:tc>
        <w:tc>
          <w:tcPr>
            <w:tcW w:w="2665" w:type="dxa"/>
            <w:vMerge/>
          </w:tcPr>
          <w:p w14:paraId="0DE2BCE8" w14:textId="77777777" w:rsidR="00454A29" w:rsidRDefault="00454A29"/>
        </w:tc>
        <w:tc>
          <w:tcPr>
            <w:tcW w:w="1928" w:type="dxa"/>
            <w:vMerge/>
          </w:tcPr>
          <w:p w14:paraId="4E75BEF6" w14:textId="77777777" w:rsidR="00454A29" w:rsidRDefault="00454A29"/>
        </w:tc>
        <w:tc>
          <w:tcPr>
            <w:tcW w:w="1644" w:type="dxa"/>
            <w:vMerge/>
          </w:tcPr>
          <w:p w14:paraId="162BC36E" w14:textId="77777777" w:rsidR="00454A29" w:rsidRDefault="00454A29"/>
        </w:tc>
        <w:tc>
          <w:tcPr>
            <w:tcW w:w="2041" w:type="dxa"/>
            <w:vMerge/>
          </w:tcPr>
          <w:p w14:paraId="27F50132" w14:textId="77777777" w:rsidR="00454A29" w:rsidRDefault="00454A29"/>
        </w:tc>
        <w:tc>
          <w:tcPr>
            <w:tcW w:w="2098" w:type="dxa"/>
            <w:vAlign w:val="center"/>
          </w:tcPr>
          <w:p w14:paraId="7D3B9169" w14:textId="77777777" w:rsidR="00454A29" w:rsidRDefault="00454A29">
            <w:pPr>
              <w:pStyle w:val="ConsPlusNormal"/>
              <w:jc w:val="center"/>
            </w:pPr>
            <w:r>
              <w:t>Внебюджетные средства</w:t>
            </w:r>
          </w:p>
        </w:tc>
        <w:tc>
          <w:tcPr>
            <w:tcW w:w="1814" w:type="dxa"/>
            <w:vAlign w:val="center"/>
          </w:tcPr>
          <w:p w14:paraId="71465676" w14:textId="77777777" w:rsidR="00454A29" w:rsidRDefault="00454A29">
            <w:pPr>
              <w:pStyle w:val="ConsPlusNormal"/>
              <w:jc w:val="center"/>
            </w:pPr>
            <w:r>
              <w:t>0,00</w:t>
            </w:r>
          </w:p>
        </w:tc>
        <w:tc>
          <w:tcPr>
            <w:tcW w:w="1701" w:type="dxa"/>
            <w:vAlign w:val="center"/>
          </w:tcPr>
          <w:p w14:paraId="326FEDAC" w14:textId="77777777" w:rsidR="00454A29" w:rsidRDefault="00454A29">
            <w:pPr>
              <w:pStyle w:val="ConsPlusNormal"/>
              <w:jc w:val="center"/>
            </w:pPr>
            <w:r>
              <w:t>0,00</w:t>
            </w:r>
          </w:p>
        </w:tc>
        <w:tc>
          <w:tcPr>
            <w:tcW w:w="1701" w:type="dxa"/>
            <w:vAlign w:val="center"/>
          </w:tcPr>
          <w:p w14:paraId="0AFD9C41" w14:textId="77777777" w:rsidR="00454A29" w:rsidRDefault="00454A29">
            <w:pPr>
              <w:pStyle w:val="ConsPlusNormal"/>
              <w:jc w:val="center"/>
            </w:pPr>
            <w:r>
              <w:t>0,00</w:t>
            </w:r>
          </w:p>
        </w:tc>
        <w:tc>
          <w:tcPr>
            <w:tcW w:w="1701" w:type="dxa"/>
            <w:vAlign w:val="center"/>
          </w:tcPr>
          <w:p w14:paraId="3E602901" w14:textId="77777777" w:rsidR="00454A29" w:rsidRDefault="00454A29">
            <w:pPr>
              <w:pStyle w:val="ConsPlusNormal"/>
              <w:jc w:val="center"/>
            </w:pPr>
            <w:r>
              <w:t>0,00</w:t>
            </w:r>
          </w:p>
        </w:tc>
        <w:tc>
          <w:tcPr>
            <w:tcW w:w="1701" w:type="dxa"/>
            <w:vAlign w:val="center"/>
          </w:tcPr>
          <w:p w14:paraId="0A11D878" w14:textId="77777777" w:rsidR="00454A29" w:rsidRDefault="00454A29">
            <w:pPr>
              <w:pStyle w:val="ConsPlusNormal"/>
              <w:jc w:val="center"/>
            </w:pPr>
            <w:r>
              <w:t>0,00</w:t>
            </w:r>
          </w:p>
        </w:tc>
        <w:tc>
          <w:tcPr>
            <w:tcW w:w="1701" w:type="dxa"/>
            <w:vAlign w:val="center"/>
          </w:tcPr>
          <w:p w14:paraId="69AA238C" w14:textId="77777777" w:rsidR="00454A29" w:rsidRDefault="00454A29">
            <w:pPr>
              <w:pStyle w:val="ConsPlusNormal"/>
              <w:jc w:val="center"/>
            </w:pPr>
            <w:r>
              <w:t>0,00</w:t>
            </w:r>
          </w:p>
        </w:tc>
        <w:tc>
          <w:tcPr>
            <w:tcW w:w="1701" w:type="dxa"/>
            <w:vAlign w:val="center"/>
          </w:tcPr>
          <w:p w14:paraId="3F22954A" w14:textId="77777777" w:rsidR="00454A29" w:rsidRDefault="00454A29">
            <w:pPr>
              <w:pStyle w:val="ConsPlusNormal"/>
              <w:jc w:val="center"/>
            </w:pPr>
            <w:r>
              <w:t>0,00</w:t>
            </w:r>
          </w:p>
        </w:tc>
      </w:tr>
      <w:tr w:rsidR="00454A29" w14:paraId="5343EA55" w14:textId="77777777">
        <w:tc>
          <w:tcPr>
            <w:tcW w:w="964" w:type="dxa"/>
            <w:vMerge w:val="restart"/>
            <w:vAlign w:val="center"/>
          </w:tcPr>
          <w:p w14:paraId="45D9556C" w14:textId="77777777" w:rsidR="00454A29" w:rsidRDefault="00454A29">
            <w:pPr>
              <w:pStyle w:val="ConsPlusNormal"/>
              <w:jc w:val="center"/>
            </w:pPr>
            <w:r>
              <w:t>7.3.</w:t>
            </w:r>
          </w:p>
        </w:tc>
        <w:tc>
          <w:tcPr>
            <w:tcW w:w="2154" w:type="dxa"/>
            <w:vMerge w:val="restart"/>
            <w:tcBorders>
              <w:top w:val="nil"/>
              <w:bottom w:val="nil"/>
            </w:tcBorders>
            <w:vAlign w:val="center"/>
          </w:tcPr>
          <w:p w14:paraId="3DAEE80D" w14:textId="77777777" w:rsidR="00454A29" w:rsidRDefault="00454A29">
            <w:pPr>
              <w:pStyle w:val="ConsPlusNormal"/>
            </w:pPr>
          </w:p>
        </w:tc>
        <w:tc>
          <w:tcPr>
            <w:tcW w:w="2154" w:type="dxa"/>
            <w:vMerge w:val="restart"/>
            <w:tcBorders>
              <w:top w:val="nil"/>
              <w:bottom w:val="nil"/>
            </w:tcBorders>
            <w:vAlign w:val="center"/>
          </w:tcPr>
          <w:p w14:paraId="7A091010" w14:textId="77777777" w:rsidR="00454A29" w:rsidRDefault="00454A29">
            <w:pPr>
              <w:pStyle w:val="ConsPlusNormal"/>
            </w:pPr>
          </w:p>
        </w:tc>
        <w:tc>
          <w:tcPr>
            <w:tcW w:w="2665" w:type="dxa"/>
            <w:vMerge w:val="restart"/>
            <w:tcBorders>
              <w:top w:val="nil"/>
              <w:bottom w:val="nil"/>
            </w:tcBorders>
            <w:vAlign w:val="center"/>
          </w:tcPr>
          <w:p w14:paraId="48BA31BE" w14:textId="77777777" w:rsidR="00454A29" w:rsidRDefault="00454A29">
            <w:pPr>
              <w:pStyle w:val="ConsPlusNormal"/>
            </w:pPr>
          </w:p>
        </w:tc>
        <w:tc>
          <w:tcPr>
            <w:tcW w:w="2665" w:type="dxa"/>
            <w:vMerge w:val="restart"/>
            <w:vAlign w:val="center"/>
          </w:tcPr>
          <w:p w14:paraId="2A1330A6" w14:textId="77777777" w:rsidR="00454A29" w:rsidRDefault="00454A29">
            <w:pPr>
              <w:pStyle w:val="ConsPlusNormal"/>
              <w:jc w:val="center"/>
            </w:pPr>
            <w:r>
              <w:t xml:space="preserve">Мероприятие 3.9.3. Проведение информационной кампании по привлечению иностранных граждан к обучению в организациях, осуществляющих образовательную деятельность по программам высшего образования, в том числе на условиях целевого </w:t>
            </w:r>
            <w:r>
              <w:lastRenderedPageBreak/>
              <w:t>обучения. Программа "Welcome to Yakutsk"</w:t>
            </w:r>
          </w:p>
        </w:tc>
        <w:tc>
          <w:tcPr>
            <w:tcW w:w="1928" w:type="dxa"/>
            <w:vMerge w:val="restart"/>
            <w:vAlign w:val="center"/>
          </w:tcPr>
          <w:p w14:paraId="3D3E15FD" w14:textId="77777777" w:rsidR="00454A29" w:rsidRDefault="00454A29">
            <w:pPr>
              <w:pStyle w:val="ConsPlusNormal"/>
              <w:jc w:val="center"/>
            </w:pPr>
            <w:r>
              <w:lastRenderedPageBreak/>
              <w:t>-</w:t>
            </w:r>
          </w:p>
        </w:tc>
        <w:tc>
          <w:tcPr>
            <w:tcW w:w="1644" w:type="dxa"/>
            <w:vMerge w:val="restart"/>
            <w:vAlign w:val="center"/>
          </w:tcPr>
          <w:p w14:paraId="11DE61E8" w14:textId="77777777" w:rsidR="00454A29" w:rsidRDefault="00454A29">
            <w:pPr>
              <w:pStyle w:val="ConsPlusNormal"/>
              <w:jc w:val="center"/>
            </w:pPr>
            <w:r>
              <w:t>-</w:t>
            </w:r>
          </w:p>
        </w:tc>
        <w:tc>
          <w:tcPr>
            <w:tcW w:w="2041" w:type="dxa"/>
            <w:vMerge w:val="restart"/>
            <w:vAlign w:val="center"/>
          </w:tcPr>
          <w:p w14:paraId="1B5EB057" w14:textId="77777777" w:rsidR="00454A29" w:rsidRDefault="00454A29">
            <w:pPr>
              <w:pStyle w:val="ConsPlusNormal"/>
              <w:jc w:val="center"/>
            </w:pPr>
            <w:r>
              <w:t>-</w:t>
            </w:r>
          </w:p>
        </w:tc>
        <w:tc>
          <w:tcPr>
            <w:tcW w:w="2098" w:type="dxa"/>
            <w:vAlign w:val="center"/>
          </w:tcPr>
          <w:p w14:paraId="1A9FAFC8" w14:textId="77777777" w:rsidR="00454A29" w:rsidRDefault="00454A29">
            <w:pPr>
              <w:pStyle w:val="ConsPlusNormal"/>
              <w:jc w:val="center"/>
            </w:pPr>
            <w:r>
              <w:t>Итого</w:t>
            </w:r>
          </w:p>
        </w:tc>
        <w:tc>
          <w:tcPr>
            <w:tcW w:w="1814" w:type="dxa"/>
            <w:vAlign w:val="center"/>
          </w:tcPr>
          <w:p w14:paraId="7B274BA4" w14:textId="77777777" w:rsidR="00454A29" w:rsidRDefault="00454A29">
            <w:pPr>
              <w:pStyle w:val="ConsPlusNormal"/>
              <w:jc w:val="center"/>
            </w:pPr>
            <w:r>
              <w:t>0,00</w:t>
            </w:r>
          </w:p>
        </w:tc>
        <w:tc>
          <w:tcPr>
            <w:tcW w:w="1701" w:type="dxa"/>
            <w:vAlign w:val="center"/>
          </w:tcPr>
          <w:p w14:paraId="2D8DD76D" w14:textId="77777777" w:rsidR="00454A29" w:rsidRDefault="00454A29">
            <w:pPr>
              <w:pStyle w:val="ConsPlusNormal"/>
              <w:jc w:val="center"/>
            </w:pPr>
            <w:r>
              <w:t>0,00</w:t>
            </w:r>
          </w:p>
        </w:tc>
        <w:tc>
          <w:tcPr>
            <w:tcW w:w="1701" w:type="dxa"/>
            <w:vAlign w:val="center"/>
          </w:tcPr>
          <w:p w14:paraId="358E4C63" w14:textId="77777777" w:rsidR="00454A29" w:rsidRDefault="00454A29">
            <w:pPr>
              <w:pStyle w:val="ConsPlusNormal"/>
              <w:jc w:val="center"/>
            </w:pPr>
            <w:r>
              <w:t>0,00</w:t>
            </w:r>
          </w:p>
        </w:tc>
        <w:tc>
          <w:tcPr>
            <w:tcW w:w="1701" w:type="dxa"/>
            <w:vAlign w:val="center"/>
          </w:tcPr>
          <w:p w14:paraId="2F153900" w14:textId="77777777" w:rsidR="00454A29" w:rsidRDefault="00454A29">
            <w:pPr>
              <w:pStyle w:val="ConsPlusNormal"/>
              <w:jc w:val="center"/>
            </w:pPr>
            <w:r>
              <w:t>0,00</w:t>
            </w:r>
          </w:p>
        </w:tc>
        <w:tc>
          <w:tcPr>
            <w:tcW w:w="1701" w:type="dxa"/>
            <w:vAlign w:val="center"/>
          </w:tcPr>
          <w:p w14:paraId="5C386FF8" w14:textId="77777777" w:rsidR="00454A29" w:rsidRDefault="00454A29">
            <w:pPr>
              <w:pStyle w:val="ConsPlusNormal"/>
              <w:jc w:val="center"/>
            </w:pPr>
            <w:r>
              <w:t>0,00</w:t>
            </w:r>
          </w:p>
        </w:tc>
        <w:tc>
          <w:tcPr>
            <w:tcW w:w="1701" w:type="dxa"/>
            <w:vAlign w:val="center"/>
          </w:tcPr>
          <w:p w14:paraId="7C2C550E" w14:textId="77777777" w:rsidR="00454A29" w:rsidRDefault="00454A29">
            <w:pPr>
              <w:pStyle w:val="ConsPlusNormal"/>
              <w:jc w:val="center"/>
            </w:pPr>
            <w:r>
              <w:t>0,00</w:t>
            </w:r>
          </w:p>
        </w:tc>
        <w:tc>
          <w:tcPr>
            <w:tcW w:w="1701" w:type="dxa"/>
            <w:vAlign w:val="center"/>
          </w:tcPr>
          <w:p w14:paraId="4BC803BB" w14:textId="77777777" w:rsidR="00454A29" w:rsidRDefault="00454A29">
            <w:pPr>
              <w:pStyle w:val="ConsPlusNormal"/>
              <w:jc w:val="center"/>
            </w:pPr>
            <w:r>
              <w:t>0,00</w:t>
            </w:r>
          </w:p>
        </w:tc>
      </w:tr>
      <w:tr w:rsidR="00454A29" w14:paraId="38AC39EF" w14:textId="77777777">
        <w:tc>
          <w:tcPr>
            <w:tcW w:w="964" w:type="dxa"/>
            <w:vMerge/>
          </w:tcPr>
          <w:p w14:paraId="6F81B111" w14:textId="77777777" w:rsidR="00454A29" w:rsidRDefault="00454A29"/>
        </w:tc>
        <w:tc>
          <w:tcPr>
            <w:tcW w:w="2154" w:type="dxa"/>
            <w:vMerge/>
            <w:tcBorders>
              <w:top w:val="nil"/>
              <w:bottom w:val="nil"/>
            </w:tcBorders>
          </w:tcPr>
          <w:p w14:paraId="5D72D27C" w14:textId="77777777" w:rsidR="00454A29" w:rsidRDefault="00454A29"/>
        </w:tc>
        <w:tc>
          <w:tcPr>
            <w:tcW w:w="2154" w:type="dxa"/>
            <w:vMerge/>
            <w:tcBorders>
              <w:top w:val="nil"/>
              <w:bottom w:val="nil"/>
            </w:tcBorders>
          </w:tcPr>
          <w:p w14:paraId="1901BBE3" w14:textId="77777777" w:rsidR="00454A29" w:rsidRDefault="00454A29"/>
        </w:tc>
        <w:tc>
          <w:tcPr>
            <w:tcW w:w="2665" w:type="dxa"/>
            <w:vMerge/>
            <w:tcBorders>
              <w:top w:val="nil"/>
              <w:bottom w:val="nil"/>
            </w:tcBorders>
          </w:tcPr>
          <w:p w14:paraId="7291A8F6" w14:textId="77777777" w:rsidR="00454A29" w:rsidRDefault="00454A29"/>
        </w:tc>
        <w:tc>
          <w:tcPr>
            <w:tcW w:w="2665" w:type="dxa"/>
            <w:vMerge/>
          </w:tcPr>
          <w:p w14:paraId="590BD9BB" w14:textId="77777777" w:rsidR="00454A29" w:rsidRDefault="00454A29"/>
        </w:tc>
        <w:tc>
          <w:tcPr>
            <w:tcW w:w="1928" w:type="dxa"/>
            <w:vMerge/>
          </w:tcPr>
          <w:p w14:paraId="36ACB838" w14:textId="77777777" w:rsidR="00454A29" w:rsidRDefault="00454A29"/>
        </w:tc>
        <w:tc>
          <w:tcPr>
            <w:tcW w:w="1644" w:type="dxa"/>
            <w:vMerge/>
          </w:tcPr>
          <w:p w14:paraId="1B241BA8" w14:textId="77777777" w:rsidR="00454A29" w:rsidRDefault="00454A29"/>
        </w:tc>
        <w:tc>
          <w:tcPr>
            <w:tcW w:w="2041" w:type="dxa"/>
            <w:vMerge/>
          </w:tcPr>
          <w:p w14:paraId="5345B14E" w14:textId="77777777" w:rsidR="00454A29" w:rsidRDefault="00454A29"/>
        </w:tc>
        <w:tc>
          <w:tcPr>
            <w:tcW w:w="2098" w:type="dxa"/>
            <w:vAlign w:val="center"/>
          </w:tcPr>
          <w:p w14:paraId="33AFDCCC"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CB64151" w14:textId="77777777" w:rsidR="00454A29" w:rsidRDefault="00454A29">
            <w:pPr>
              <w:pStyle w:val="ConsPlusNormal"/>
              <w:jc w:val="center"/>
            </w:pPr>
            <w:r>
              <w:t>0,00</w:t>
            </w:r>
          </w:p>
        </w:tc>
        <w:tc>
          <w:tcPr>
            <w:tcW w:w="1701" w:type="dxa"/>
            <w:vAlign w:val="center"/>
          </w:tcPr>
          <w:p w14:paraId="76F4BE01" w14:textId="77777777" w:rsidR="00454A29" w:rsidRDefault="00454A29">
            <w:pPr>
              <w:pStyle w:val="ConsPlusNormal"/>
              <w:jc w:val="center"/>
            </w:pPr>
            <w:r>
              <w:t>0,00</w:t>
            </w:r>
          </w:p>
        </w:tc>
        <w:tc>
          <w:tcPr>
            <w:tcW w:w="1701" w:type="dxa"/>
            <w:vAlign w:val="center"/>
          </w:tcPr>
          <w:p w14:paraId="262A16B0" w14:textId="77777777" w:rsidR="00454A29" w:rsidRDefault="00454A29">
            <w:pPr>
              <w:pStyle w:val="ConsPlusNormal"/>
              <w:jc w:val="center"/>
            </w:pPr>
            <w:r>
              <w:t>0,00</w:t>
            </w:r>
          </w:p>
        </w:tc>
        <w:tc>
          <w:tcPr>
            <w:tcW w:w="1701" w:type="dxa"/>
            <w:vAlign w:val="center"/>
          </w:tcPr>
          <w:p w14:paraId="37B52E30" w14:textId="77777777" w:rsidR="00454A29" w:rsidRDefault="00454A29">
            <w:pPr>
              <w:pStyle w:val="ConsPlusNormal"/>
              <w:jc w:val="center"/>
            </w:pPr>
            <w:r>
              <w:t>0,00</w:t>
            </w:r>
          </w:p>
        </w:tc>
        <w:tc>
          <w:tcPr>
            <w:tcW w:w="1701" w:type="dxa"/>
            <w:vAlign w:val="center"/>
          </w:tcPr>
          <w:p w14:paraId="3CB9AF85" w14:textId="77777777" w:rsidR="00454A29" w:rsidRDefault="00454A29">
            <w:pPr>
              <w:pStyle w:val="ConsPlusNormal"/>
              <w:jc w:val="center"/>
            </w:pPr>
            <w:r>
              <w:t>0,00</w:t>
            </w:r>
          </w:p>
        </w:tc>
        <w:tc>
          <w:tcPr>
            <w:tcW w:w="1701" w:type="dxa"/>
            <w:vAlign w:val="center"/>
          </w:tcPr>
          <w:p w14:paraId="3A8F511E" w14:textId="77777777" w:rsidR="00454A29" w:rsidRDefault="00454A29">
            <w:pPr>
              <w:pStyle w:val="ConsPlusNormal"/>
              <w:jc w:val="center"/>
            </w:pPr>
            <w:r>
              <w:t>0,00</w:t>
            </w:r>
          </w:p>
        </w:tc>
        <w:tc>
          <w:tcPr>
            <w:tcW w:w="1701" w:type="dxa"/>
            <w:vAlign w:val="center"/>
          </w:tcPr>
          <w:p w14:paraId="2727B089" w14:textId="77777777" w:rsidR="00454A29" w:rsidRDefault="00454A29">
            <w:pPr>
              <w:pStyle w:val="ConsPlusNormal"/>
              <w:jc w:val="center"/>
            </w:pPr>
            <w:r>
              <w:t>0,00</w:t>
            </w:r>
          </w:p>
        </w:tc>
      </w:tr>
      <w:tr w:rsidR="00454A29" w14:paraId="6FD9ED23" w14:textId="77777777">
        <w:tc>
          <w:tcPr>
            <w:tcW w:w="964" w:type="dxa"/>
            <w:vMerge/>
          </w:tcPr>
          <w:p w14:paraId="42374836" w14:textId="77777777" w:rsidR="00454A29" w:rsidRDefault="00454A29"/>
        </w:tc>
        <w:tc>
          <w:tcPr>
            <w:tcW w:w="2154" w:type="dxa"/>
            <w:vMerge/>
            <w:tcBorders>
              <w:top w:val="nil"/>
              <w:bottom w:val="nil"/>
            </w:tcBorders>
          </w:tcPr>
          <w:p w14:paraId="5DDA16E8" w14:textId="77777777" w:rsidR="00454A29" w:rsidRDefault="00454A29"/>
        </w:tc>
        <w:tc>
          <w:tcPr>
            <w:tcW w:w="2154" w:type="dxa"/>
            <w:vMerge/>
            <w:tcBorders>
              <w:top w:val="nil"/>
              <w:bottom w:val="nil"/>
            </w:tcBorders>
          </w:tcPr>
          <w:p w14:paraId="12ADB393" w14:textId="77777777" w:rsidR="00454A29" w:rsidRDefault="00454A29"/>
        </w:tc>
        <w:tc>
          <w:tcPr>
            <w:tcW w:w="2665" w:type="dxa"/>
            <w:vMerge/>
            <w:tcBorders>
              <w:top w:val="nil"/>
              <w:bottom w:val="nil"/>
            </w:tcBorders>
          </w:tcPr>
          <w:p w14:paraId="2CCEDA75" w14:textId="77777777" w:rsidR="00454A29" w:rsidRDefault="00454A29"/>
        </w:tc>
        <w:tc>
          <w:tcPr>
            <w:tcW w:w="2665" w:type="dxa"/>
            <w:vMerge/>
          </w:tcPr>
          <w:p w14:paraId="169F7BFE" w14:textId="77777777" w:rsidR="00454A29" w:rsidRDefault="00454A29"/>
        </w:tc>
        <w:tc>
          <w:tcPr>
            <w:tcW w:w="1928" w:type="dxa"/>
            <w:vMerge/>
          </w:tcPr>
          <w:p w14:paraId="7F648FAB" w14:textId="77777777" w:rsidR="00454A29" w:rsidRDefault="00454A29"/>
        </w:tc>
        <w:tc>
          <w:tcPr>
            <w:tcW w:w="1644" w:type="dxa"/>
            <w:vMerge/>
          </w:tcPr>
          <w:p w14:paraId="4FE88F80" w14:textId="77777777" w:rsidR="00454A29" w:rsidRDefault="00454A29"/>
        </w:tc>
        <w:tc>
          <w:tcPr>
            <w:tcW w:w="2041" w:type="dxa"/>
            <w:vMerge/>
          </w:tcPr>
          <w:p w14:paraId="27D60F6C" w14:textId="77777777" w:rsidR="00454A29" w:rsidRDefault="00454A29"/>
        </w:tc>
        <w:tc>
          <w:tcPr>
            <w:tcW w:w="2098" w:type="dxa"/>
            <w:vAlign w:val="center"/>
          </w:tcPr>
          <w:p w14:paraId="5A1A679E" w14:textId="77777777" w:rsidR="00454A29" w:rsidRDefault="00454A29">
            <w:pPr>
              <w:pStyle w:val="ConsPlusNormal"/>
              <w:jc w:val="center"/>
            </w:pPr>
            <w:r>
              <w:t>Федеральный бюджет</w:t>
            </w:r>
          </w:p>
        </w:tc>
        <w:tc>
          <w:tcPr>
            <w:tcW w:w="1814" w:type="dxa"/>
            <w:vAlign w:val="center"/>
          </w:tcPr>
          <w:p w14:paraId="4205F9E1" w14:textId="77777777" w:rsidR="00454A29" w:rsidRDefault="00454A29">
            <w:pPr>
              <w:pStyle w:val="ConsPlusNormal"/>
              <w:jc w:val="center"/>
            </w:pPr>
            <w:r>
              <w:t>0,00</w:t>
            </w:r>
          </w:p>
        </w:tc>
        <w:tc>
          <w:tcPr>
            <w:tcW w:w="1701" w:type="dxa"/>
            <w:vAlign w:val="center"/>
          </w:tcPr>
          <w:p w14:paraId="7A5012A3" w14:textId="77777777" w:rsidR="00454A29" w:rsidRDefault="00454A29">
            <w:pPr>
              <w:pStyle w:val="ConsPlusNormal"/>
              <w:jc w:val="center"/>
            </w:pPr>
            <w:r>
              <w:t>0,00</w:t>
            </w:r>
          </w:p>
        </w:tc>
        <w:tc>
          <w:tcPr>
            <w:tcW w:w="1701" w:type="dxa"/>
            <w:vAlign w:val="center"/>
          </w:tcPr>
          <w:p w14:paraId="6CE7F89D" w14:textId="77777777" w:rsidR="00454A29" w:rsidRDefault="00454A29">
            <w:pPr>
              <w:pStyle w:val="ConsPlusNormal"/>
              <w:jc w:val="center"/>
            </w:pPr>
            <w:r>
              <w:t>0,00</w:t>
            </w:r>
          </w:p>
        </w:tc>
        <w:tc>
          <w:tcPr>
            <w:tcW w:w="1701" w:type="dxa"/>
            <w:vAlign w:val="center"/>
          </w:tcPr>
          <w:p w14:paraId="1A39938D" w14:textId="77777777" w:rsidR="00454A29" w:rsidRDefault="00454A29">
            <w:pPr>
              <w:pStyle w:val="ConsPlusNormal"/>
              <w:jc w:val="center"/>
            </w:pPr>
            <w:r>
              <w:t>0,00</w:t>
            </w:r>
          </w:p>
        </w:tc>
        <w:tc>
          <w:tcPr>
            <w:tcW w:w="1701" w:type="dxa"/>
            <w:vAlign w:val="center"/>
          </w:tcPr>
          <w:p w14:paraId="2DDE4D15" w14:textId="77777777" w:rsidR="00454A29" w:rsidRDefault="00454A29">
            <w:pPr>
              <w:pStyle w:val="ConsPlusNormal"/>
              <w:jc w:val="center"/>
            </w:pPr>
            <w:r>
              <w:t>0,00</w:t>
            </w:r>
          </w:p>
        </w:tc>
        <w:tc>
          <w:tcPr>
            <w:tcW w:w="1701" w:type="dxa"/>
            <w:vAlign w:val="center"/>
          </w:tcPr>
          <w:p w14:paraId="443FF5B2" w14:textId="77777777" w:rsidR="00454A29" w:rsidRDefault="00454A29">
            <w:pPr>
              <w:pStyle w:val="ConsPlusNormal"/>
              <w:jc w:val="center"/>
            </w:pPr>
            <w:r>
              <w:t>0,00</w:t>
            </w:r>
          </w:p>
        </w:tc>
        <w:tc>
          <w:tcPr>
            <w:tcW w:w="1701" w:type="dxa"/>
            <w:vAlign w:val="center"/>
          </w:tcPr>
          <w:p w14:paraId="64C18A0C" w14:textId="77777777" w:rsidR="00454A29" w:rsidRDefault="00454A29">
            <w:pPr>
              <w:pStyle w:val="ConsPlusNormal"/>
              <w:jc w:val="center"/>
            </w:pPr>
            <w:r>
              <w:t>0,00</w:t>
            </w:r>
          </w:p>
        </w:tc>
      </w:tr>
      <w:tr w:rsidR="00454A29" w14:paraId="57DA959F" w14:textId="77777777">
        <w:tc>
          <w:tcPr>
            <w:tcW w:w="964" w:type="dxa"/>
            <w:vMerge/>
          </w:tcPr>
          <w:p w14:paraId="166B3E72" w14:textId="77777777" w:rsidR="00454A29" w:rsidRDefault="00454A29"/>
        </w:tc>
        <w:tc>
          <w:tcPr>
            <w:tcW w:w="2154" w:type="dxa"/>
            <w:vMerge/>
            <w:tcBorders>
              <w:top w:val="nil"/>
              <w:bottom w:val="nil"/>
            </w:tcBorders>
          </w:tcPr>
          <w:p w14:paraId="2B475017" w14:textId="77777777" w:rsidR="00454A29" w:rsidRDefault="00454A29"/>
        </w:tc>
        <w:tc>
          <w:tcPr>
            <w:tcW w:w="2154" w:type="dxa"/>
            <w:vMerge/>
            <w:tcBorders>
              <w:top w:val="nil"/>
              <w:bottom w:val="nil"/>
            </w:tcBorders>
          </w:tcPr>
          <w:p w14:paraId="69D8506E" w14:textId="77777777" w:rsidR="00454A29" w:rsidRDefault="00454A29"/>
        </w:tc>
        <w:tc>
          <w:tcPr>
            <w:tcW w:w="2665" w:type="dxa"/>
            <w:vMerge/>
            <w:tcBorders>
              <w:top w:val="nil"/>
              <w:bottom w:val="nil"/>
            </w:tcBorders>
          </w:tcPr>
          <w:p w14:paraId="2A927024" w14:textId="77777777" w:rsidR="00454A29" w:rsidRDefault="00454A29"/>
        </w:tc>
        <w:tc>
          <w:tcPr>
            <w:tcW w:w="2665" w:type="dxa"/>
            <w:vMerge/>
          </w:tcPr>
          <w:p w14:paraId="4EE4E94C" w14:textId="77777777" w:rsidR="00454A29" w:rsidRDefault="00454A29"/>
        </w:tc>
        <w:tc>
          <w:tcPr>
            <w:tcW w:w="1928" w:type="dxa"/>
            <w:vMerge/>
          </w:tcPr>
          <w:p w14:paraId="3ED6E8BE" w14:textId="77777777" w:rsidR="00454A29" w:rsidRDefault="00454A29"/>
        </w:tc>
        <w:tc>
          <w:tcPr>
            <w:tcW w:w="1644" w:type="dxa"/>
            <w:vMerge/>
          </w:tcPr>
          <w:p w14:paraId="55AB9C96" w14:textId="77777777" w:rsidR="00454A29" w:rsidRDefault="00454A29"/>
        </w:tc>
        <w:tc>
          <w:tcPr>
            <w:tcW w:w="2041" w:type="dxa"/>
            <w:vMerge/>
          </w:tcPr>
          <w:p w14:paraId="33A2FEFC" w14:textId="77777777" w:rsidR="00454A29" w:rsidRDefault="00454A29"/>
        </w:tc>
        <w:tc>
          <w:tcPr>
            <w:tcW w:w="2098" w:type="dxa"/>
            <w:vAlign w:val="center"/>
          </w:tcPr>
          <w:p w14:paraId="0F1CD0E2" w14:textId="77777777" w:rsidR="00454A29" w:rsidRDefault="00454A29">
            <w:pPr>
              <w:pStyle w:val="ConsPlusNormal"/>
              <w:jc w:val="center"/>
            </w:pPr>
            <w:r>
              <w:t>Местные бюджеты</w:t>
            </w:r>
          </w:p>
        </w:tc>
        <w:tc>
          <w:tcPr>
            <w:tcW w:w="1814" w:type="dxa"/>
            <w:vAlign w:val="center"/>
          </w:tcPr>
          <w:p w14:paraId="5F861E94" w14:textId="77777777" w:rsidR="00454A29" w:rsidRDefault="00454A29">
            <w:pPr>
              <w:pStyle w:val="ConsPlusNormal"/>
              <w:jc w:val="center"/>
            </w:pPr>
            <w:r>
              <w:t>0,00</w:t>
            </w:r>
          </w:p>
        </w:tc>
        <w:tc>
          <w:tcPr>
            <w:tcW w:w="1701" w:type="dxa"/>
            <w:vAlign w:val="center"/>
          </w:tcPr>
          <w:p w14:paraId="3750019D" w14:textId="77777777" w:rsidR="00454A29" w:rsidRDefault="00454A29">
            <w:pPr>
              <w:pStyle w:val="ConsPlusNormal"/>
              <w:jc w:val="center"/>
            </w:pPr>
            <w:r>
              <w:t>0,00</w:t>
            </w:r>
          </w:p>
        </w:tc>
        <w:tc>
          <w:tcPr>
            <w:tcW w:w="1701" w:type="dxa"/>
            <w:vAlign w:val="center"/>
          </w:tcPr>
          <w:p w14:paraId="135AA274" w14:textId="77777777" w:rsidR="00454A29" w:rsidRDefault="00454A29">
            <w:pPr>
              <w:pStyle w:val="ConsPlusNormal"/>
              <w:jc w:val="center"/>
            </w:pPr>
            <w:r>
              <w:t>0,00</w:t>
            </w:r>
          </w:p>
        </w:tc>
        <w:tc>
          <w:tcPr>
            <w:tcW w:w="1701" w:type="dxa"/>
            <w:vAlign w:val="center"/>
          </w:tcPr>
          <w:p w14:paraId="1716FB62" w14:textId="77777777" w:rsidR="00454A29" w:rsidRDefault="00454A29">
            <w:pPr>
              <w:pStyle w:val="ConsPlusNormal"/>
              <w:jc w:val="center"/>
            </w:pPr>
            <w:r>
              <w:t>0,00</w:t>
            </w:r>
          </w:p>
        </w:tc>
        <w:tc>
          <w:tcPr>
            <w:tcW w:w="1701" w:type="dxa"/>
            <w:vAlign w:val="center"/>
          </w:tcPr>
          <w:p w14:paraId="67B69DC4" w14:textId="77777777" w:rsidR="00454A29" w:rsidRDefault="00454A29">
            <w:pPr>
              <w:pStyle w:val="ConsPlusNormal"/>
              <w:jc w:val="center"/>
            </w:pPr>
            <w:r>
              <w:t>0,00</w:t>
            </w:r>
          </w:p>
        </w:tc>
        <w:tc>
          <w:tcPr>
            <w:tcW w:w="1701" w:type="dxa"/>
            <w:vAlign w:val="center"/>
          </w:tcPr>
          <w:p w14:paraId="63CF46C3" w14:textId="77777777" w:rsidR="00454A29" w:rsidRDefault="00454A29">
            <w:pPr>
              <w:pStyle w:val="ConsPlusNormal"/>
              <w:jc w:val="center"/>
            </w:pPr>
            <w:r>
              <w:t>0,00</w:t>
            </w:r>
          </w:p>
        </w:tc>
        <w:tc>
          <w:tcPr>
            <w:tcW w:w="1701" w:type="dxa"/>
            <w:vAlign w:val="center"/>
          </w:tcPr>
          <w:p w14:paraId="21DA8986" w14:textId="77777777" w:rsidR="00454A29" w:rsidRDefault="00454A29">
            <w:pPr>
              <w:pStyle w:val="ConsPlusNormal"/>
              <w:jc w:val="center"/>
            </w:pPr>
            <w:r>
              <w:t>0,00</w:t>
            </w:r>
          </w:p>
        </w:tc>
      </w:tr>
      <w:tr w:rsidR="00454A29" w14:paraId="730920BD" w14:textId="77777777">
        <w:tc>
          <w:tcPr>
            <w:tcW w:w="964" w:type="dxa"/>
            <w:vMerge/>
          </w:tcPr>
          <w:p w14:paraId="77AADA96" w14:textId="77777777" w:rsidR="00454A29" w:rsidRDefault="00454A29"/>
        </w:tc>
        <w:tc>
          <w:tcPr>
            <w:tcW w:w="2154" w:type="dxa"/>
            <w:vMerge/>
            <w:tcBorders>
              <w:top w:val="nil"/>
              <w:bottom w:val="nil"/>
            </w:tcBorders>
          </w:tcPr>
          <w:p w14:paraId="7090A6EC" w14:textId="77777777" w:rsidR="00454A29" w:rsidRDefault="00454A29"/>
        </w:tc>
        <w:tc>
          <w:tcPr>
            <w:tcW w:w="2154" w:type="dxa"/>
            <w:vMerge/>
            <w:tcBorders>
              <w:top w:val="nil"/>
              <w:bottom w:val="nil"/>
            </w:tcBorders>
          </w:tcPr>
          <w:p w14:paraId="7860A471" w14:textId="77777777" w:rsidR="00454A29" w:rsidRDefault="00454A29"/>
        </w:tc>
        <w:tc>
          <w:tcPr>
            <w:tcW w:w="2665" w:type="dxa"/>
            <w:vMerge/>
            <w:tcBorders>
              <w:top w:val="nil"/>
              <w:bottom w:val="nil"/>
            </w:tcBorders>
          </w:tcPr>
          <w:p w14:paraId="2E9174DE" w14:textId="77777777" w:rsidR="00454A29" w:rsidRDefault="00454A29"/>
        </w:tc>
        <w:tc>
          <w:tcPr>
            <w:tcW w:w="2665" w:type="dxa"/>
            <w:vMerge/>
          </w:tcPr>
          <w:p w14:paraId="1D3D3F31" w14:textId="77777777" w:rsidR="00454A29" w:rsidRDefault="00454A29"/>
        </w:tc>
        <w:tc>
          <w:tcPr>
            <w:tcW w:w="1928" w:type="dxa"/>
            <w:vMerge/>
          </w:tcPr>
          <w:p w14:paraId="51AE0CC6" w14:textId="77777777" w:rsidR="00454A29" w:rsidRDefault="00454A29"/>
        </w:tc>
        <w:tc>
          <w:tcPr>
            <w:tcW w:w="1644" w:type="dxa"/>
            <w:vMerge/>
          </w:tcPr>
          <w:p w14:paraId="1D2CD6D5" w14:textId="77777777" w:rsidR="00454A29" w:rsidRDefault="00454A29"/>
        </w:tc>
        <w:tc>
          <w:tcPr>
            <w:tcW w:w="2041" w:type="dxa"/>
            <w:vMerge/>
          </w:tcPr>
          <w:p w14:paraId="5C3A671E" w14:textId="77777777" w:rsidR="00454A29" w:rsidRDefault="00454A29"/>
        </w:tc>
        <w:tc>
          <w:tcPr>
            <w:tcW w:w="2098" w:type="dxa"/>
            <w:vAlign w:val="center"/>
          </w:tcPr>
          <w:p w14:paraId="4792DD83" w14:textId="77777777" w:rsidR="00454A29" w:rsidRDefault="00454A29">
            <w:pPr>
              <w:pStyle w:val="ConsPlusNormal"/>
              <w:jc w:val="center"/>
            </w:pPr>
            <w:r>
              <w:t>Внебюджетные средства</w:t>
            </w:r>
          </w:p>
        </w:tc>
        <w:tc>
          <w:tcPr>
            <w:tcW w:w="1814" w:type="dxa"/>
            <w:vAlign w:val="center"/>
          </w:tcPr>
          <w:p w14:paraId="6848CED7" w14:textId="77777777" w:rsidR="00454A29" w:rsidRDefault="00454A29">
            <w:pPr>
              <w:pStyle w:val="ConsPlusNormal"/>
              <w:jc w:val="center"/>
            </w:pPr>
            <w:r>
              <w:t>0,00</w:t>
            </w:r>
          </w:p>
        </w:tc>
        <w:tc>
          <w:tcPr>
            <w:tcW w:w="1701" w:type="dxa"/>
            <w:vAlign w:val="center"/>
          </w:tcPr>
          <w:p w14:paraId="4C340FA8" w14:textId="77777777" w:rsidR="00454A29" w:rsidRDefault="00454A29">
            <w:pPr>
              <w:pStyle w:val="ConsPlusNormal"/>
              <w:jc w:val="center"/>
            </w:pPr>
            <w:r>
              <w:t>0,00</w:t>
            </w:r>
          </w:p>
        </w:tc>
        <w:tc>
          <w:tcPr>
            <w:tcW w:w="1701" w:type="dxa"/>
            <w:vAlign w:val="center"/>
          </w:tcPr>
          <w:p w14:paraId="04497C0C" w14:textId="77777777" w:rsidR="00454A29" w:rsidRDefault="00454A29">
            <w:pPr>
              <w:pStyle w:val="ConsPlusNormal"/>
              <w:jc w:val="center"/>
            </w:pPr>
            <w:r>
              <w:t>0,00</w:t>
            </w:r>
          </w:p>
        </w:tc>
        <w:tc>
          <w:tcPr>
            <w:tcW w:w="1701" w:type="dxa"/>
            <w:vAlign w:val="center"/>
          </w:tcPr>
          <w:p w14:paraId="12288DF0" w14:textId="77777777" w:rsidR="00454A29" w:rsidRDefault="00454A29">
            <w:pPr>
              <w:pStyle w:val="ConsPlusNormal"/>
              <w:jc w:val="center"/>
            </w:pPr>
            <w:r>
              <w:t>0,00</w:t>
            </w:r>
          </w:p>
        </w:tc>
        <w:tc>
          <w:tcPr>
            <w:tcW w:w="1701" w:type="dxa"/>
            <w:vAlign w:val="center"/>
          </w:tcPr>
          <w:p w14:paraId="38D9DECB" w14:textId="77777777" w:rsidR="00454A29" w:rsidRDefault="00454A29">
            <w:pPr>
              <w:pStyle w:val="ConsPlusNormal"/>
              <w:jc w:val="center"/>
            </w:pPr>
            <w:r>
              <w:t>0,00</w:t>
            </w:r>
          </w:p>
        </w:tc>
        <w:tc>
          <w:tcPr>
            <w:tcW w:w="1701" w:type="dxa"/>
            <w:vAlign w:val="center"/>
          </w:tcPr>
          <w:p w14:paraId="1944EAD7" w14:textId="77777777" w:rsidR="00454A29" w:rsidRDefault="00454A29">
            <w:pPr>
              <w:pStyle w:val="ConsPlusNormal"/>
              <w:jc w:val="center"/>
            </w:pPr>
            <w:r>
              <w:t>0,00</w:t>
            </w:r>
          </w:p>
        </w:tc>
        <w:tc>
          <w:tcPr>
            <w:tcW w:w="1701" w:type="dxa"/>
            <w:vAlign w:val="center"/>
          </w:tcPr>
          <w:p w14:paraId="03F1EC76" w14:textId="77777777" w:rsidR="00454A29" w:rsidRDefault="00454A29">
            <w:pPr>
              <w:pStyle w:val="ConsPlusNormal"/>
              <w:jc w:val="center"/>
            </w:pPr>
            <w:r>
              <w:t>0,00</w:t>
            </w:r>
          </w:p>
        </w:tc>
      </w:tr>
      <w:tr w:rsidR="00454A29" w14:paraId="1B7010B7" w14:textId="77777777">
        <w:tc>
          <w:tcPr>
            <w:tcW w:w="964" w:type="dxa"/>
            <w:vMerge w:val="restart"/>
            <w:vAlign w:val="center"/>
          </w:tcPr>
          <w:p w14:paraId="4039E381" w14:textId="77777777" w:rsidR="00454A29" w:rsidRDefault="00454A29">
            <w:pPr>
              <w:pStyle w:val="ConsPlusNormal"/>
              <w:jc w:val="center"/>
            </w:pPr>
            <w:r>
              <w:t>7.4.</w:t>
            </w:r>
          </w:p>
        </w:tc>
        <w:tc>
          <w:tcPr>
            <w:tcW w:w="2154" w:type="dxa"/>
            <w:vMerge w:val="restart"/>
            <w:tcBorders>
              <w:top w:val="nil"/>
              <w:bottom w:val="nil"/>
            </w:tcBorders>
            <w:vAlign w:val="center"/>
          </w:tcPr>
          <w:p w14:paraId="07D9949F" w14:textId="77777777" w:rsidR="00454A29" w:rsidRDefault="00454A29">
            <w:pPr>
              <w:pStyle w:val="ConsPlusNormal"/>
            </w:pPr>
          </w:p>
        </w:tc>
        <w:tc>
          <w:tcPr>
            <w:tcW w:w="2154" w:type="dxa"/>
            <w:vMerge w:val="restart"/>
            <w:tcBorders>
              <w:top w:val="nil"/>
              <w:bottom w:val="nil"/>
            </w:tcBorders>
            <w:vAlign w:val="center"/>
          </w:tcPr>
          <w:p w14:paraId="4127598D" w14:textId="77777777" w:rsidR="00454A29" w:rsidRDefault="00454A29">
            <w:pPr>
              <w:pStyle w:val="ConsPlusNormal"/>
            </w:pPr>
          </w:p>
        </w:tc>
        <w:tc>
          <w:tcPr>
            <w:tcW w:w="2665" w:type="dxa"/>
            <w:vMerge w:val="restart"/>
            <w:tcBorders>
              <w:top w:val="nil"/>
              <w:bottom w:val="nil"/>
            </w:tcBorders>
            <w:vAlign w:val="center"/>
          </w:tcPr>
          <w:p w14:paraId="1DA33C22" w14:textId="77777777" w:rsidR="00454A29" w:rsidRDefault="00454A29">
            <w:pPr>
              <w:pStyle w:val="ConsPlusNormal"/>
            </w:pPr>
          </w:p>
        </w:tc>
        <w:tc>
          <w:tcPr>
            <w:tcW w:w="2665" w:type="dxa"/>
            <w:vMerge w:val="restart"/>
            <w:vAlign w:val="center"/>
          </w:tcPr>
          <w:p w14:paraId="1A46A9E3" w14:textId="77777777" w:rsidR="00454A29" w:rsidRDefault="00454A29">
            <w:pPr>
              <w:pStyle w:val="ConsPlusNormal"/>
              <w:jc w:val="center"/>
            </w:pPr>
            <w:r>
              <w:t>Мероприятие 3.9.4. Обучение иностранных граждан в летних и зимних школах, в том числе на базе летних оздоровительных лагерей</w:t>
            </w:r>
          </w:p>
        </w:tc>
        <w:tc>
          <w:tcPr>
            <w:tcW w:w="1928" w:type="dxa"/>
            <w:vMerge w:val="restart"/>
            <w:vAlign w:val="center"/>
          </w:tcPr>
          <w:p w14:paraId="23F03286" w14:textId="77777777" w:rsidR="00454A29" w:rsidRDefault="00454A29">
            <w:pPr>
              <w:pStyle w:val="ConsPlusNormal"/>
              <w:jc w:val="center"/>
            </w:pPr>
            <w:r>
              <w:t>-</w:t>
            </w:r>
          </w:p>
        </w:tc>
        <w:tc>
          <w:tcPr>
            <w:tcW w:w="1644" w:type="dxa"/>
            <w:vMerge w:val="restart"/>
            <w:vAlign w:val="center"/>
          </w:tcPr>
          <w:p w14:paraId="50CEF5FA" w14:textId="77777777" w:rsidR="00454A29" w:rsidRDefault="00454A29">
            <w:pPr>
              <w:pStyle w:val="ConsPlusNormal"/>
              <w:jc w:val="center"/>
            </w:pPr>
            <w:r>
              <w:t>-</w:t>
            </w:r>
          </w:p>
        </w:tc>
        <w:tc>
          <w:tcPr>
            <w:tcW w:w="2041" w:type="dxa"/>
            <w:vMerge w:val="restart"/>
            <w:vAlign w:val="center"/>
          </w:tcPr>
          <w:p w14:paraId="2EBF539C" w14:textId="77777777" w:rsidR="00454A29" w:rsidRDefault="00454A29">
            <w:pPr>
              <w:pStyle w:val="ConsPlusNormal"/>
              <w:jc w:val="center"/>
            </w:pPr>
            <w:r>
              <w:t>-</w:t>
            </w:r>
          </w:p>
        </w:tc>
        <w:tc>
          <w:tcPr>
            <w:tcW w:w="2098" w:type="dxa"/>
            <w:vAlign w:val="center"/>
          </w:tcPr>
          <w:p w14:paraId="7CF74EB3" w14:textId="77777777" w:rsidR="00454A29" w:rsidRDefault="00454A29">
            <w:pPr>
              <w:pStyle w:val="ConsPlusNormal"/>
              <w:jc w:val="center"/>
            </w:pPr>
            <w:r>
              <w:t>Итого</w:t>
            </w:r>
          </w:p>
        </w:tc>
        <w:tc>
          <w:tcPr>
            <w:tcW w:w="1814" w:type="dxa"/>
            <w:vAlign w:val="center"/>
          </w:tcPr>
          <w:p w14:paraId="369330B9" w14:textId="77777777" w:rsidR="00454A29" w:rsidRDefault="00454A29">
            <w:pPr>
              <w:pStyle w:val="ConsPlusNormal"/>
              <w:jc w:val="center"/>
            </w:pPr>
            <w:r>
              <w:t>0,00</w:t>
            </w:r>
          </w:p>
        </w:tc>
        <w:tc>
          <w:tcPr>
            <w:tcW w:w="1701" w:type="dxa"/>
            <w:vAlign w:val="center"/>
          </w:tcPr>
          <w:p w14:paraId="47C1013F" w14:textId="77777777" w:rsidR="00454A29" w:rsidRDefault="00454A29">
            <w:pPr>
              <w:pStyle w:val="ConsPlusNormal"/>
              <w:jc w:val="center"/>
            </w:pPr>
            <w:r>
              <w:t>0,00</w:t>
            </w:r>
          </w:p>
        </w:tc>
        <w:tc>
          <w:tcPr>
            <w:tcW w:w="1701" w:type="dxa"/>
            <w:vAlign w:val="center"/>
          </w:tcPr>
          <w:p w14:paraId="5259B822" w14:textId="77777777" w:rsidR="00454A29" w:rsidRDefault="00454A29">
            <w:pPr>
              <w:pStyle w:val="ConsPlusNormal"/>
              <w:jc w:val="center"/>
            </w:pPr>
            <w:r>
              <w:t>0,00</w:t>
            </w:r>
          </w:p>
        </w:tc>
        <w:tc>
          <w:tcPr>
            <w:tcW w:w="1701" w:type="dxa"/>
            <w:vAlign w:val="center"/>
          </w:tcPr>
          <w:p w14:paraId="56F9DFEB" w14:textId="77777777" w:rsidR="00454A29" w:rsidRDefault="00454A29">
            <w:pPr>
              <w:pStyle w:val="ConsPlusNormal"/>
              <w:jc w:val="center"/>
            </w:pPr>
            <w:r>
              <w:t>0,00</w:t>
            </w:r>
          </w:p>
        </w:tc>
        <w:tc>
          <w:tcPr>
            <w:tcW w:w="1701" w:type="dxa"/>
            <w:vAlign w:val="center"/>
          </w:tcPr>
          <w:p w14:paraId="4B1025F8" w14:textId="77777777" w:rsidR="00454A29" w:rsidRDefault="00454A29">
            <w:pPr>
              <w:pStyle w:val="ConsPlusNormal"/>
              <w:jc w:val="center"/>
            </w:pPr>
            <w:r>
              <w:t>0,00</w:t>
            </w:r>
          </w:p>
        </w:tc>
        <w:tc>
          <w:tcPr>
            <w:tcW w:w="1701" w:type="dxa"/>
            <w:vAlign w:val="center"/>
          </w:tcPr>
          <w:p w14:paraId="458D6EA4" w14:textId="77777777" w:rsidR="00454A29" w:rsidRDefault="00454A29">
            <w:pPr>
              <w:pStyle w:val="ConsPlusNormal"/>
              <w:jc w:val="center"/>
            </w:pPr>
            <w:r>
              <w:t>0,00</w:t>
            </w:r>
          </w:p>
        </w:tc>
        <w:tc>
          <w:tcPr>
            <w:tcW w:w="1701" w:type="dxa"/>
            <w:vAlign w:val="center"/>
          </w:tcPr>
          <w:p w14:paraId="5DDA515C" w14:textId="77777777" w:rsidR="00454A29" w:rsidRDefault="00454A29">
            <w:pPr>
              <w:pStyle w:val="ConsPlusNormal"/>
              <w:jc w:val="center"/>
            </w:pPr>
            <w:r>
              <w:t>0,00</w:t>
            </w:r>
          </w:p>
        </w:tc>
      </w:tr>
      <w:tr w:rsidR="00454A29" w14:paraId="08ED1FFE" w14:textId="77777777">
        <w:tc>
          <w:tcPr>
            <w:tcW w:w="964" w:type="dxa"/>
            <w:vMerge/>
          </w:tcPr>
          <w:p w14:paraId="353DEB3D" w14:textId="77777777" w:rsidR="00454A29" w:rsidRDefault="00454A29"/>
        </w:tc>
        <w:tc>
          <w:tcPr>
            <w:tcW w:w="2154" w:type="dxa"/>
            <w:vMerge/>
            <w:tcBorders>
              <w:top w:val="nil"/>
              <w:bottom w:val="nil"/>
            </w:tcBorders>
          </w:tcPr>
          <w:p w14:paraId="237643D3" w14:textId="77777777" w:rsidR="00454A29" w:rsidRDefault="00454A29"/>
        </w:tc>
        <w:tc>
          <w:tcPr>
            <w:tcW w:w="2154" w:type="dxa"/>
            <w:vMerge/>
            <w:tcBorders>
              <w:top w:val="nil"/>
              <w:bottom w:val="nil"/>
            </w:tcBorders>
          </w:tcPr>
          <w:p w14:paraId="0B14C621" w14:textId="77777777" w:rsidR="00454A29" w:rsidRDefault="00454A29"/>
        </w:tc>
        <w:tc>
          <w:tcPr>
            <w:tcW w:w="2665" w:type="dxa"/>
            <w:vMerge/>
            <w:tcBorders>
              <w:top w:val="nil"/>
              <w:bottom w:val="nil"/>
            </w:tcBorders>
          </w:tcPr>
          <w:p w14:paraId="3701969D" w14:textId="77777777" w:rsidR="00454A29" w:rsidRDefault="00454A29"/>
        </w:tc>
        <w:tc>
          <w:tcPr>
            <w:tcW w:w="2665" w:type="dxa"/>
            <w:vMerge/>
          </w:tcPr>
          <w:p w14:paraId="52FBC878" w14:textId="77777777" w:rsidR="00454A29" w:rsidRDefault="00454A29"/>
        </w:tc>
        <w:tc>
          <w:tcPr>
            <w:tcW w:w="1928" w:type="dxa"/>
            <w:vMerge/>
          </w:tcPr>
          <w:p w14:paraId="20468FB8" w14:textId="77777777" w:rsidR="00454A29" w:rsidRDefault="00454A29"/>
        </w:tc>
        <w:tc>
          <w:tcPr>
            <w:tcW w:w="1644" w:type="dxa"/>
            <w:vMerge/>
          </w:tcPr>
          <w:p w14:paraId="4E043D71" w14:textId="77777777" w:rsidR="00454A29" w:rsidRDefault="00454A29"/>
        </w:tc>
        <w:tc>
          <w:tcPr>
            <w:tcW w:w="2041" w:type="dxa"/>
            <w:vMerge/>
          </w:tcPr>
          <w:p w14:paraId="13B5E95A" w14:textId="77777777" w:rsidR="00454A29" w:rsidRDefault="00454A29"/>
        </w:tc>
        <w:tc>
          <w:tcPr>
            <w:tcW w:w="2098" w:type="dxa"/>
            <w:vAlign w:val="center"/>
          </w:tcPr>
          <w:p w14:paraId="44C5D83E"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505A55A" w14:textId="77777777" w:rsidR="00454A29" w:rsidRDefault="00454A29">
            <w:pPr>
              <w:pStyle w:val="ConsPlusNormal"/>
              <w:jc w:val="center"/>
            </w:pPr>
            <w:r>
              <w:t>0,00</w:t>
            </w:r>
          </w:p>
        </w:tc>
        <w:tc>
          <w:tcPr>
            <w:tcW w:w="1701" w:type="dxa"/>
            <w:vAlign w:val="center"/>
          </w:tcPr>
          <w:p w14:paraId="74A55DEF" w14:textId="77777777" w:rsidR="00454A29" w:rsidRDefault="00454A29">
            <w:pPr>
              <w:pStyle w:val="ConsPlusNormal"/>
              <w:jc w:val="center"/>
            </w:pPr>
            <w:r>
              <w:t>0,00</w:t>
            </w:r>
          </w:p>
        </w:tc>
        <w:tc>
          <w:tcPr>
            <w:tcW w:w="1701" w:type="dxa"/>
            <w:vAlign w:val="center"/>
          </w:tcPr>
          <w:p w14:paraId="07119DED" w14:textId="77777777" w:rsidR="00454A29" w:rsidRDefault="00454A29">
            <w:pPr>
              <w:pStyle w:val="ConsPlusNormal"/>
              <w:jc w:val="center"/>
            </w:pPr>
            <w:r>
              <w:t>0,00</w:t>
            </w:r>
          </w:p>
        </w:tc>
        <w:tc>
          <w:tcPr>
            <w:tcW w:w="1701" w:type="dxa"/>
            <w:vAlign w:val="center"/>
          </w:tcPr>
          <w:p w14:paraId="49E44991" w14:textId="77777777" w:rsidR="00454A29" w:rsidRDefault="00454A29">
            <w:pPr>
              <w:pStyle w:val="ConsPlusNormal"/>
              <w:jc w:val="center"/>
            </w:pPr>
            <w:r>
              <w:t>0,00</w:t>
            </w:r>
          </w:p>
        </w:tc>
        <w:tc>
          <w:tcPr>
            <w:tcW w:w="1701" w:type="dxa"/>
            <w:vAlign w:val="center"/>
          </w:tcPr>
          <w:p w14:paraId="55E7098E" w14:textId="77777777" w:rsidR="00454A29" w:rsidRDefault="00454A29">
            <w:pPr>
              <w:pStyle w:val="ConsPlusNormal"/>
              <w:jc w:val="center"/>
            </w:pPr>
            <w:r>
              <w:t>0,00</w:t>
            </w:r>
          </w:p>
        </w:tc>
        <w:tc>
          <w:tcPr>
            <w:tcW w:w="1701" w:type="dxa"/>
            <w:vAlign w:val="center"/>
          </w:tcPr>
          <w:p w14:paraId="1B666A2D" w14:textId="77777777" w:rsidR="00454A29" w:rsidRDefault="00454A29">
            <w:pPr>
              <w:pStyle w:val="ConsPlusNormal"/>
              <w:jc w:val="center"/>
            </w:pPr>
            <w:r>
              <w:t>0,00</w:t>
            </w:r>
          </w:p>
        </w:tc>
        <w:tc>
          <w:tcPr>
            <w:tcW w:w="1701" w:type="dxa"/>
            <w:vAlign w:val="center"/>
          </w:tcPr>
          <w:p w14:paraId="4303EECE" w14:textId="77777777" w:rsidR="00454A29" w:rsidRDefault="00454A29">
            <w:pPr>
              <w:pStyle w:val="ConsPlusNormal"/>
              <w:jc w:val="center"/>
            </w:pPr>
            <w:r>
              <w:t>0,00</w:t>
            </w:r>
          </w:p>
        </w:tc>
      </w:tr>
      <w:tr w:rsidR="00454A29" w14:paraId="2D938B7C" w14:textId="77777777">
        <w:tc>
          <w:tcPr>
            <w:tcW w:w="964" w:type="dxa"/>
            <w:vMerge/>
          </w:tcPr>
          <w:p w14:paraId="0BF10DDF" w14:textId="77777777" w:rsidR="00454A29" w:rsidRDefault="00454A29"/>
        </w:tc>
        <w:tc>
          <w:tcPr>
            <w:tcW w:w="2154" w:type="dxa"/>
            <w:vMerge/>
            <w:tcBorders>
              <w:top w:val="nil"/>
              <w:bottom w:val="nil"/>
            </w:tcBorders>
          </w:tcPr>
          <w:p w14:paraId="39ADD923" w14:textId="77777777" w:rsidR="00454A29" w:rsidRDefault="00454A29"/>
        </w:tc>
        <w:tc>
          <w:tcPr>
            <w:tcW w:w="2154" w:type="dxa"/>
            <w:vMerge/>
            <w:tcBorders>
              <w:top w:val="nil"/>
              <w:bottom w:val="nil"/>
            </w:tcBorders>
          </w:tcPr>
          <w:p w14:paraId="5D6FE53C" w14:textId="77777777" w:rsidR="00454A29" w:rsidRDefault="00454A29"/>
        </w:tc>
        <w:tc>
          <w:tcPr>
            <w:tcW w:w="2665" w:type="dxa"/>
            <w:vMerge/>
            <w:tcBorders>
              <w:top w:val="nil"/>
              <w:bottom w:val="nil"/>
            </w:tcBorders>
          </w:tcPr>
          <w:p w14:paraId="28BA209D" w14:textId="77777777" w:rsidR="00454A29" w:rsidRDefault="00454A29"/>
        </w:tc>
        <w:tc>
          <w:tcPr>
            <w:tcW w:w="2665" w:type="dxa"/>
            <w:vMerge/>
          </w:tcPr>
          <w:p w14:paraId="0781FD82" w14:textId="77777777" w:rsidR="00454A29" w:rsidRDefault="00454A29"/>
        </w:tc>
        <w:tc>
          <w:tcPr>
            <w:tcW w:w="1928" w:type="dxa"/>
            <w:vMerge/>
          </w:tcPr>
          <w:p w14:paraId="20E708DE" w14:textId="77777777" w:rsidR="00454A29" w:rsidRDefault="00454A29"/>
        </w:tc>
        <w:tc>
          <w:tcPr>
            <w:tcW w:w="1644" w:type="dxa"/>
            <w:vMerge/>
          </w:tcPr>
          <w:p w14:paraId="5A4BFFAB" w14:textId="77777777" w:rsidR="00454A29" w:rsidRDefault="00454A29"/>
        </w:tc>
        <w:tc>
          <w:tcPr>
            <w:tcW w:w="2041" w:type="dxa"/>
            <w:vMerge/>
          </w:tcPr>
          <w:p w14:paraId="309C26DA" w14:textId="77777777" w:rsidR="00454A29" w:rsidRDefault="00454A29"/>
        </w:tc>
        <w:tc>
          <w:tcPr>
            <w:tcW w:w="2098" w:type="dxa"/>
            <w:vAlign w:val="center"/>
          </w:tcPr>
          <w:p w14:paraId="718B49F7" w14:textId="77777777" w:rsidR="00454A29" w:rsidRDefault="00454A29">
            <w:pPr>
              <w:pStyle w:val="ConsPlusNormal"/>
              <w:jc w:val="center"/>
            </w:pPr>
            <w:r>
              <w:t>Федеральный бюджет</w:t>
            </w:r>
          </w:p>
        </w:tc>
        <w:tc>
          <w:tcPr>
            <w:tcW w:w="1814" w:type="dxa"/>
            <w:vAlign w:val="center"/>
          </w:tcPr>
          <w:p w14:paraId="07A18198" w14:textId="77777777" w:rsidR="00454A29" w:rsidRDefault="00454A29">
            <w:pPr>
              <w:pStyle w:val="ConsPlusNormal"/>
              <w:jc w:val="center"/>
            </w:pPr>
            <w:r>
              <w:t>0,00</w:t>
            </w:r>
          </w:p>
        </w:tc>
        <w:tc>
          <w:tcPr>
            <w:tcW w:w="1701" w:type="dxa"/>
            <w:vAlign w:val="center"/>
          </w:tcPr>
          <w:p w14:paraId="59F5573E" w14:textId="77777777" w:rsidR="00454A29" w:rsidRDefault="00454A29">
            <w:pPr>
              <w:pStyle w:val="ConsPlusNormal"/>
              <w:jc w:val="center"/>
            </w:pPr>
            <w:r>
              <w:t>0,00</w:t>
            </w:r>
          </w:p>
        </w:tc>
        <w:tc>
          <w:tcPr>
            <w:tcW w:w="1701" w:type="dxa"/>
            <w:vAlign w:val="center"/>
          </w:tcPr>
          <w:p w14:paraId="3420DA1D" w14:textId="77777777" w:rsidR="00454A29" w:rsidRDefault="00454A29">
            <w:pPr>
              <w:pStyle w:val="ConsPlusNormal"/>
              <w:jc w:val="center"/>
            </w:pPr>
            <w:r>
              <w:t>0,00</w:t>
            </w:r>
          </w:p>
        </w:tc>
        <w:tc>
          <w:tcPr>
            <w:tcW w:w="1701" w:type="dxa"/>
            <w:vAlign w:val="center"/>
          </w:tcPr>
          <w:p w14:paraId="6B5C5649" w14:textId="77777777" w:rsidR="00454A29" w:rsidRDefault="00454A29">
            <w:pPr>
              <w:pStyle w:val="ConsPlusNormal"/>
              <w:jc w:val="center"/>
            </w:pPr>
            <w:r>
              <w:t>0,00</w:t>
            </w:r>
          </w:p>
        </w:tc>
        <w:tc>
          <w:tcPr>
            <w:tcW w:w="1701" w:type="dxa"/>
            <w:vAlign w:val="center"/>
          </w:tcPr>
          <w:p w14:paraId="506720DC" w14:textId="77777777" w:rsidR="00454A29" w:rsidRDefault="00454A29">
            <w:pPr>
              <w:pStyle w:val="ConsPlusNormal"/>
              <w:jc w:val="center"/>
            </w:pPr>
            <w:r>
              <w:t>0,00</w:t>
            </w:r>
          </w:p>
        </w:tc>
        <w:tc>
          <w:tcPr>
            <w:tcW w:w="1701" w:type="dxa"/>
            <w:vAlign w:val="center"/>
          </w:tcPr>
          <w:p w14:paraId="1F6478F5" w14:textId="77777777" w:rsidR="00454A29" w:rsidRDefault="00454A29">
            <w:pPr>
              <w:pStyle w:val="ConsPlusNormal"/>
              <w:jc w:val="center"/>
            </w:pPr>
            <w:r>
              <w:t>0,00</w:t>
            </w:r>
          </w:p>
        </w:tc>
        <w:tc>
          <w:tcPr>
            <w:tcW w:w="1701" w:type="dxa"/>
            <w:vAlign w:val="center"/>
          </w:tcPr>
          <w:p w14:paraId="6C810B18" w14:textId="77777777" w:rsidR="00454A29" w:rsidRDefault="00454A29">
            <w:pPr>
              <w:pStyle w:val="ConsPlusNormal"/>
              <w:jc w:val="center"/>
            </w:pPr>
            <w:r>
              <w:t>0,00</w:t>
            </w:r>
          </w:p>
        </w:tc>
      </w:tr>
      <w:tr w:rsidR="00454A29" w14:paraId="388E1747" w14:textId="77777777">
        <w:tc>
          <w:tcPr>
            <w:tcW w:w="964" w:type="dxa"/>
            <w:vMerge/>
          </w:tcPr>
          <w:p w14:paraId="105ADFF4" w14:textId="77777777" w:rsidR="00454A29" w:rsidRDefault="00454A29"/>
        </w:tc>
        <w:tc>
          <w:tcPr>
            <w:tcW w:w="2154" w:type="dxa"/>
            <w:vMerge/>
            <w:tcBorders>
              <w:top w:val="nil"/>
              <w:bottom w:val="nil"/>
            </w:tcBorders>
          </w:tcPr>
          <w:p w14:paraId="094E4732" w14:textId="77777777" w:rsidR="00454A29" w:rsidRDefault="00454A29"/>
        </w:tc>
        <w:tc>
          <w:tcPr>
            <w:tcW w:w="2154" w:type="dxa"/>
            <w:vMerge/>
            <w:tcBorders>
              <w:top w:val="nil"/>
              <w:bottom w:val="nil"/>
            </w:tcBorders>
          </w:tcPr>
          <w:p w14:paraId="1B0DFB72" w14:textId="77777777" w:rsidR="00454A29" w:rsidRDefault="00454A29"/>
        </w:tc>
        <w:tc>
          <w:tcPr>
            <w:tcW w:w="2665" w:type="dxa"/>
            <w:vMerge/>
            <w:tcBorders>
              <w:top w:val="nil"/>
              <w:bottom w:val="nil"/>
            </w:tcBorders>
          </w:tcPr>
          <w:p w14:paraId="0273F353" w14:textId="77777777" w:rsidR="00454A29" w:rsidRDefault="00454A29"/>
        </w:tc>
        <w:tc>
          <w:tcPr>
            <w:tcW w:w="2665" w:type="dxa"/>
            <w:vMerge/>
          </w:tcPr>
          <w:p w14:paraId="354A5F64" w14:textId="77777777" w:rsidR="00454A29" w:rsidRDefault="00454A29"/>
        </w:tc>
        <w:tc>
          <w:tcPr>
            <w:tcW w:w="1928" w:type="dxa"/>
            <w:vMerge/>
          </w:tcPr>
          <w:p w14:paraId="013A4791" w14:textId="77777777" w:rsidR="00454A29" w:rsidRDefault="00454A29"/>
        </w:tc>
        <w:tc>
          <w:tcPr>
            <w:tcW w:w="1644" w:type="dxa"/>
            <w:vMerge/>
          </w:tcPr>
          <w:p w14:paraId="33D82DB0" w14:textId="77777777" w:rsidR="00454A29" w:rsidRDefault="00454A29"/>
        </w:tc>
        <w:tc>
          <w:tcPr>
            <w:tcW w:w="2041" w:type="dxa"/>
            <w:vMerge/>
          </w:tcPr>
          <w:p w14:paraId="075D92A2" w14:textId="77777777" w:rsidR="00454A29" w:rsidRDefault="00454A29"/>
        </w:tc>
        <w:tc>
          <w:tcPr>
            <w:tcW w:w="2098" w:type="dxa"/>
            <w:vAlign w:val="center"/>
          </w:tcPr>
          <w:p w14:paraId="2BCEF9BA" w14:textId="77777777" w:rsidR="00454A29" w:rsidRDefault="00454A29">
            <w:pPr>
              <w:pStyle w:val="ConsPlusNormal"/>
              <w:jc w:val="center"/>
            </w:pPr>
            <w:r>
              <w:t>Местные бюджеты</w:t>
            </w:r>
          </w:p>
        </w:tc>
        <w:tc>
          <w:tcPr>
            <w:tcW w:w="1814" w:type="dxa"/>
            <w:vAlign w:val="center"/>
          </w:tcPr>
          <w:p w14:paraId="3E4F1E7D" w14:textId="77777777" w:rsidR="00454A29" w:rsidRDefault="00454A29">
            <w:pPr>
              <w:pStyle w:val="ConsPlusNormal"/>
              <w:jc w:val="center"/>
            </w:pPr>
            <w:r>
              <w:t>0,00</w:t>
            </w:r>
          </w:p>
        </w:tc>
        <w:tc>
          <w:tcPr>
            <w:tcW w:w="1701" w:type="dxa"/>
            <w:vAlign w:val="center"/>
          </w:tcPr>
          <w:p w14:paraId="7C516F4B" w14:textId="77777777" w:rsidR="00454A29" w:rsidRDefault="00454A29">
            <w:pPr>
              <w:pStyle w:val="ConsPlusNormal"/>
              <w:jc w:val="center"/>
            </w:pPr>
            <w:r>
              <w:t>0,00</w:t>
            </w:r>
          </w:p>
        </w:tc>
        <w:tc>
          <w:tcPr>
            <w:tcW w:w="1701" w:type="dxa"/>
            <w:vAlign w:val="center"/>
          </w:tcPr>
          <w:p w14:paraId="5B279C83" w14:textId="77777777" w:rsidR="00454A29" w:rsidRDefault="00454A29">
            <w:pPr>
              <w:pStyle w:val="ConsPlusNormal"/>
              <w:jc w:val="center"/>
            </w:pPr>
            <w:r>
              <w:t>0,00</w:t>
            </w:r>
          </w:p>
        </w:tc>
        <w:tc>
          <w:tcPr>
            <w:tcW w:w="1701" w:type="dxa"/>
            <w:vAlign w:val="center"/>
          </w:tcPr>
          <w:p w14:paraId="19AC28A1" w14:textId="77777777" w:rsidR="00454A29" w:rsidRDefault="00454A29">
            <w:pPr>
              <w:pStyle w:val="ConsPlusNormal"/>
              <w:jc w:val="center"/>
            </w:pPr>
            <w:r>
              <w:t>0,00</w:t>
            </w:r>
          </w:p>
        </w:tc>
        <w:tc>
          <w:tcPr>
            <w:tcW w:w="1701" w:type="dxa"/>
            <w:vAlign w:val="center"/>
          </w:tcPr>
          <w:p w14:paraId="7C9F768F" w14:textId="77777777" w:rsidR="00454A29" w:rsidRDefault="00454A29">
            <w:pPr>
              <w:pStyle w:val="ConsPlusNormal"/>
              <w:jc w:val="center"/>
            </w:pPr>
            <w:r>
              <w:t>0,00</w:t>
            </w:r>
          </w:p>
        </w:tc>
        <w:tc>
          <w:tcPr>
            <w:tcW w:w="1701" w:type="dxa"/>
            <w:vAlign w:val="center"/>
          </w:tcPr>
          <w:p w14:paraId="0C94567F" w14:textId="77777777" w:rsidR="00454A29" w:rsidRDefault="00454A29">
            <w:pPr>
              <w:pStyle w:val="ConsPlusNormal"/>
              <w:jc w:val="center"/>
            </w:pPr>
            <w:r>
              <w:t>0,00</w:t>
            </w:r>
          </w:p>
        </w:tc>
        <w:tc>
          <w:tcPr>
            <w:tcW w:w="1701" w:type="dxa"/>
            <w:vAlign w:val="center"/>
          </w:tcPr>
          <w:p w14:paraId="31C6F412" w14:textId="77777777" w:rsidR="00454A29" w:rsidRDefault="00454A29">
            <w:pPr>
              <w:pStyle w:val="ConsPlusNormal"/>
              <w:jc w:val="center"/>
            </w:pPr>
            <w:r>
              <w:t>0,00</w:t>
            </w:r>
          </w:p>
        </w:tc>
      </w:tr>
      <w:tr w:rsidR="00454A29" w14:paraId="122A88F7" w14:textId="77777777">
        <w:tc>
          <w:tcPr>
            <w:tcW w:w="964" w:type="dxa"/>
            <w:vMerge/>
          </w:tcPr>
          <w:p w14:paraId="3E1FD63C" w14:textId="77777777" w:rsidR="00454A29" w:rsidRDefault="00454A29"/>
        </w:tc>
        <w:tc>
          <w:tcPr>
            <w:tcW w:w="2154" w:type="dxa"/>
            <w:vMerge/>
            <w:tcBorders>
              <w:top w:val="nil"/>
              <w:bottom w:val="nil"/>
            </w:tcBorders>
          </w:tcPr>
          <w:p w14:paraId="666A94A9" w14:textId="77777777" w:rsidR="00454A29" w:rsidRDefault="00454A29"/>
        </w:tc>
        <w:tc>
          <w:tcPr>
            <w:tcW w:w="2154" w:type="dxa"/>
            <w:vMerge/>
            <w:tcBorders>
              <w:top w:val="nil"/>
              <w:bottom w:val="nil"/>
            </w:tcBorders>
          </w:tcPr>
          <w:p w14:paraId="21D60192" w14:textId="77777777" w:rsidR="00454A29" w:rsidRDefault="00454A29"/>
        </w:tc>
        <w:tc>
          <w:tcPr>
            <w:tcW w:w="2665" w:type="dxa"/>
            <w:vMerge/>
            <w:tcBorders>
              <w:top w:val="nil"/>
              <w:bottom w:val="nil"/>
            </w:tcBorders>
          </w:tcPr>
          <w:p w14:paraId="2A070047" w14:textId="77777777" w:rsidR="00454A29" w:rsidRDefault="00454A29"/>
        </w:tc>
        <w:tc>
          <w:tcPr>
            <w:tcW w:w="2665" w:type="dxa"/>
            <w:vMerge/>
          </w:tcPr>
          <w:p w14:paraId="69A26D25" w14:textId="77777777" w:rsidR="00454A29" w:rsidRDefault="00454A29"/>
        </w:tc>
        <w:tc>
          <w:tcPr>
            <w:tcW w:w="1928" w:type="dxa"/>
            <w:vMerge/>
          </w:tcPr>
          <w:p w14:paraId="17421DFA" w14:textId="77777777" w:rsidR="00454A29" w:rsidRDefault="00454A29"/>
        </w:tc>
        <w:tc>
          <w:tcPr>
            <w:tcW w:w="1644" w:type="dxa"/>
            <w:vMerge/>
          </w:tcPr>
          <w:p w14:paraId="5E84CB1F" w14:textId="77777777" w:rsidR="00454A29" w:rsidRDefault="00454A29"/>
        </w:tc>
        <w:tc>
          <w:tcPr>
            <w:tcW w:w="2041" w:type="dxa"/>
            <w:vMerge/>
          </w:tcPr>
          <w:p w14:paraId="27715328" w14:textId="77777777" w:rsidR="00454A29" w:rsidRDefault="00454A29"/>
        </w:tc>
        <w:tc>
          <w:tcPr>
            <w:tcW w:w="2098" w:type="dxa"/>
            <w:vAlign w:val="center"/>
          </w:tcPr>
          <w:p w14:paraId="418FF8C7" w14:textId="77777777" w:rsidR="00454A29" w:rsidRDefault="00454A29">
            <w:pPr>
              <w:pStyle w:val="ConsPlusNormal"/>
              <w:jc w:val="center"/>
            </w:pPr>
            <w:r>
              <w:t>Внебюджетные средства</w:t>
            </w:r>
          </w:p>
        </w:tc>
        <w:tc>
          <w:tcPr>
            <w:tcW w:w="1814" w:type="dxa"/>
            <w:vAlign w:val="center"/>
          </w:tcPr>
          <w:p w14:paraId="4B47BC90" w14:textId="77777777" w:rsidR="00454A29" w:rsidRDefault="00454A29">
            <w:pPr>
              <w:pStyle w:val="ConsPlusNormal"/>
              <w:jc w:val="center"/>
            </w:pPr>
            <w:r>
              <w:t>0,00</w:t>
            </w:r>
          </w:p>
        </w:tc>
        <w:tc>
          <w:tcPr>
            <w:tcW w:w="1701" w:type="dxa"/>
            <w:vAlign w:val="center"/>
          </w:tcPr>
          <w:p w14:paraId="1A19CB17" w14:textId="77777777" w:rsidR="00454A29" w:rsidRDefault="00454A29">
            <w:pPr>
              <w:pStyle w:val="ConsPlusNormal"/>
              <w:jc w:val="center"/>
            </w:pPr>
            <w:r>
              <w:t>0,00</w:t>
            </w:r>
          </w:p>
        </w:tc>
        <w:tc>
          <w:tcPr>
            <w:tcW w:w="1701" w:type="dxa"/>
            <w:vAlign w:val="center"/>
          </w:tcPr>
          <w:p w14:paraId="6A90DE9C" w14:textId="77777777" w:rsidR="00454A29" w:rsidRDefault="00454A29">
            <w:pPr>
              <w:pStyle w:val="ConsPlusNormal"/>
              <w:jc w:val="center"/>
            </w:pPr>
            <w:r>
              <w:t>0,00</w:t>
            </w:r>
          </w:p>
        </w:tc>
        <w:tc>
          <w:tcPr>
            <w:tcW w:w="1701" w:type="dxa"/>
            <w:vAlign w:val="center"/>
          </w:tcPr>
          <w:p w14:paraId="52B8FBC9" w14:textId="77777777" w:rsidR="00454A29" w:rsidRDefault="00454A29">
            <w:pPr>
              <w:pStyle w:val="ConsPlusNormal"/>
              <w:jc w:val="center"/>
            </w:pPr>
            <w:r>
              <w:t>0,00</w:t>
            </w:r>
          </w:p>
        </w:tc>
        <w:tc>
          <w:tcPr>
            <w:tcW w:w="1701" w:type="dxa"/>
            <w:vAlign w:val="center"/>
          </w:tcPr>
          <w:p w14:paraId="1DA02431" w14:textId="77777777" w:rsidR="00454A29" w:rsidRDefault="00454A29">
            <w:pPr>
              <w:pStyle w:val="ConsPlusNormal"/>
              <w:jc w:val="center"/>
            </w:pPr>
            <w:r>
              <w:t>0,00</w:t>
            </w:r>
          </w:p>
        </w:tc>
        <w:tc>
          <w:tcPr>
            <w:tcW w:w="1701" w:type="dxa"/>
            <w:vAlign w:val="center"/>
          </w:tcPr>
          <w:p w14:paraId="23991AEF" w14:textId="77777777" w:rsidR="00454A29" w:rsidRDefault="00454A29">
            <w:pPr>
              <w:pStyle w:val="ConsPlusNormal"/>
              <w:jc w:val="center"/>
            </w:pPr>
            <w:r>
              <w:t>0,00</w:t>
            </w:r>
          </w:p>
        </w:tc>
        <w:tc>
          <w:tcPr>
            <w:tcW w:w="1701" w:type="dxa"/>
            <w:vAlign w:val="center"/>
          </w:tcPr>
          <w:p w14:paraId="43AAFFF7" w14:textId="77777777" w:rsidR="00454A29" w:rsidRDefault="00454A29">
            <w:pPr>
              <w:pStyle w:val="ConsPlusNormal"/>
              <w:jc w:val="center"/>
            </w:pPr>
            <w:r>
              <w:t>0,00</w:t>
            </w:r>
          </w:p>
        </w:tc>
      </w:tr>
      <w:tr w:rsidR="00454A29" w14:paraId="2908123E" w14:textId="77777777">
        <w:tc>
          <w:tcPr>
            <w:tcW w:w="964" w:type="dxa"/>
            <w:vMerge w:val="restart"/>
            <w:vAlign w:val="center"/>
          </w:tcPr>
          <w:p w14:paraId="04D5243B" w14:textId="77777777" w:rsidR="00454A29" w:rsidRDefault="00454A29">
            <w:pPr>
              <w:pStyle w:val="ConsPlusNormal"/>
              <w:jc w:val="center"/>
            </w:pPr>
            <w:r>
              <w:t>7.5.</w:t>
            </w:r>
          </w:p>
        </w:tc>
        <w:tc>
          <w:tcPr>
            <w:tcW w:w="2154" w:type="dxa"/>
            <w:vMerge w:val="restart"/>
            <w:tcBorders>
              <w:top w:val="nil"/>
              <w:bottom w:val="nil"/>
            </w:tcBorders>
            <w:vAlign w:val="center"/>
          </w:tcPr>
          <w:p w14:paraId="7FDB9D42" w14:textId="77777777" w:rsidR="00454A29" w:rsidRDefault="00454A29">
            <w:pPr>
              <w:pStyle w:val="ConsPlusNormal"/>
            </w:pPr>
          </w:p>
        </w:tc>
        <w:tc>
          <w:tcPr>
            <w:tcW w:w="2154" w:type="dxa"/>
            <w:vMerge w:val="restart"/>
            <w:tcBorders>
              <w:top w:val="nil"/>
              <w:bottom w:val="nil"/>
            </w:tcBorders>
            <w:vAlign w:val="center"/>
          </w:tcPr>
          <w:p w14:paraId="272CE52A" w14:textId="77777777" w:rsidR="00454A29" w:rsidRDefault="00454A29">
            <w:pPr>
              <w:pStyle w:val="ConsPlusNormal"/>
            </w:pPr>
          </w:p>
        </w:tc>
        <w:tc>
          <w:tcPr>
            <w:tcW w:w="2665" w:type="dxa"/>
            <w:vMerge w:val="restart"/>
            <w:tcBorders>
              <w:top w:val="nil"/>
              <w:bottom w:val="nil"/>
            </w:tcBorders>
            <w:vAlign w:val="center"/>
          </w:tcPr>
          <w:p w14:paraId="00603D3A" w14:textId="77777777" w:rsidR="00454A29" w:rsidRDefault="00454A29">
            <w:pPr>
              <w:pStyle w:val="ConsPlusNormal"/>
            </w:pPr>
          </w:p>
        </w:tc>
        <w:tc>
          <w:tcPr>
            <w:tcW w:w="2665" w:type="dxa"/>
            <w:vMerge w:val="restart"/>
            <w:vAlign w:val="center"/>
          </w:tcPr>
          <w:p w14:paraId="071979B2" w14:textId="77777777" w:rsidR="00454A29" w:rsidRDefault="00454A29">
            <w:pPr>
              <w:pStyle w:val="ConsPlusNormal"/>
              <w:jc w:val="center"/>
            </w:pPr>
            <w:r>
              <w:t>Мероприятие 3.9.5. Реализация учебных дисциплин, курсов (модулей) на иностранном языке преподавателями организаций, осуществляющих образовательную деятельность по образовательным программам высшего образования и дополнительным профессиональным программам</w:t>
            </w:r>
          </w:p>
        </w:tc>
        <w:tc>
          <w:tcPr>
            <w:tcW w:w="1928" w:type="dxa"/>
            <w:vMerge w:val="restart"/>
            <w:vAlign w:val="center"/>
          </w:tcPr>
          <w:p w14:paraId="775E47CD" w14:textId="77777777" w:rsidR="00454A29" w:rsidRDefault="00454A29">
            <w:pPr>
              <w:pStyle w:val="ConsPlusNormal"/>
              <w:jc w:val="center"/>
            </w:pPr>
            <w:r>
              <w:t>-</w:t>
            </w:r>
          </w:p>
        </w:tc>
        <w:tc>
          <w:tcPr>
            <w:tcW w:w="1644" w:type="dxa"/>
            <w:vMerge w:val="restart"/>
            <w:vAlign w:val="center"/>
          </w:tcPr>
          <w:p w14:paraId="76F57D25" w14:textId="77777777" w:rsidR="00454A29" w:rsidRDefault="00454A29">
            <w:pPr>
              <w:pStyle w:val="ConsPlusNormal"/>
              <w:jc w:val="center"/>
            </w:pPr>
            <w:r>
              <w:t>-</w:t>
            </w:r>
          </w:p>
        </w:tc>
        <w:tc>
          <w:tcPr>
            <w:tcW w:w="2041" w:type="dxa"/>
            <w:vMerge w:val="restart"/>
            <w:vAlign w:val="center"/>
          </w:tcPr>
          <w:p w14:paraId="42CEE4E9" w14:textId="77777777" w:rsidR="00454A29" w:rsidRDefault="00454A29">
            <w:pPr>
              <w:pStyle w:val="ConsPlusNormal"/>
              <w:jc w:val="center"/>
            </w:pPr>
            <w:r>
              <w:t>-</w:t>
            </w:r>
          </w:p>
        </w:tc>
        <w:tc>
          <w:tcPr>
            <w:tcW w:w="2098" w:type="dxa"/>
            <w:vAlign w:val="center"/>
          </w:tcPr>
          <w:p w14:paraId="16308AD9" w14:textId="77777777" w:rsidR="00454A29" w:rsidRDefault="00454A29">
            <w:pPr>
              <w:pStyle w:val="ConsPlusNormal"/>
              <w:jc w:val="center"/>
            </w:pPr>
            <w:r>
              <w:t>Итого</w:t>
            </w:r>
          </w:p>
        </w:tc>
        <w:tc>
          <w:tcPr>
            <w:tcW w:w="1814" w:type="dxa"/>
            <w:vAlign w:val="center"/>
          </w:tcPr>
          <w:p w14:paraId="5F4B7641" w14:textId="77777777" w:rsidR="00454A29" w:rsidRDefault="00454A29">
            <w:pPr>
              <w:pStyle w:val="ConsPlusNormal"/>
              <w:jc w:val="center"/>
            </w:pPr>
            <w:r>
              <w:t>0,00</w:t>
            </w:r>
          </w:p>
        </w:tc>
        <w:tc>
          <w:tcPr>
            <w:tcW w:w="1701" w:type="dxa"/>
            <w:vAlign w:val="center"/>
          </w:tcPr>
          <w:p w14:paraId="6D048A21" w14:textId="77777777" w:rsidR="00454A29" w:rsidRDefault="00454A29">
            <w:pPr>
              <w:pStyle w:val="ConsPlusNormal"/>
              <w:jc w:val="center"/>
            </w:pPr>
            <w:r>
              <w:t>0,00</w:t>
            </w:r>
          </w:p>
        </w:tc>
        <w:tc>
          <w:tcPr>
            <w:tcW w:w="1701" w:type="dxa"/>
            <w:vAlign w:val="center"/>
          </w:tcPr>
          <w:p w14:paraId="6234111E" w14:textId="77777777" w:rsidR="00454A29" w:rsidRDefault="00454A29">
            <w:pPr>
              <w:pStyle w:val="ConsPlusNormal"/>
              <w:jc w:val="center"/>
            </w:pPr>
            <w:r>
              <w:t>0,00</w:t>
            </w:r>
          </w:p>
        </w:tc>
        <w:tc>
          <w:tcPr>
            <w:tcW w:w="1701" w:type="dxa"/>
            <w:vAlign w:val="center"/>
          </w:tcPr>
          <w:p w14:paraId="028192EE" w14:textId="77777777" w:rsidR="00454A29" w:rsidRDefault="00454A29">
            <w:pPr>
              <w:pStyle w:val="ConsPlusNormal"/>
              <w:jc w:val="center"/>
            </w:pPr>
            <w:r>
              <w:t>0,00</w:t>
            </w:r>
          </w:p>
        </w:tc>
        <w:tc>
          <w:tcPr>
            <w:tcW w:w="1701" w:type="dxa"/>
            <w:vAlign w:val="center"/>
          </w:tcPr>
          <w:p w14:paraId="3FEE5E92" w14:textId="77777777" w:rsidR="00454A29" w:rsidRDefault="00454A29">
            <w:pPr>
              <w:pStyle w:val="ConsPlusNormal"/>
              <w:jc w:val="center"/>
            </w:pPr>
            <w:r>
              <w:t>0,00</w:t>
            </w:r>
          </w:p>
        </w:tc>
        <w:tc>
          <w:tcPr>
            <w:tcW w:w="1701" w:type="dxa"/>
            <w:vAlign w:val="center"/>
          </w:tcPr>
          <w:p w14:paraId="36AEE407" w14:textId="77777777" w:rsidR="00454A29" w:rsidRDefault="00454A29">
            <w:pPr>
              <w:pStyle w:val="ConsPlusNormal"/>
              <w:jc w:val="center"/>
            </w:pPr>
            <w:r>
              <w:t>0,00</w:t>
            </w:r>
          </w:p>
        </w:tc>
        <w:tc>
          <w:tcPr>
            <w:tcW w:w="1701" w:type="dxa"/>
            <w:vAlign w:val="center"/>
          </w:tcPr>
          <w:p w14:paraId="6E6EBAFB" w14:textId="77777777" w:rsidR="00454A29" w:rsidRDefault="00454A29">
            <w:pPr>
              <w:pStyle w:val="ConsPlusNormal"/>
              <w:jc w:val="center"/>
            </w:pPr>
            <w:r>
              <w:t>0,00</w:t>
            </w:r>
          </w:p>
        </w:tc>
      </w:tr>
      <w:tr w:rsidR="00454A29" w14:paraId="199DDA4F" w14:textId="77777777">
        <w:tc>
          <w:tcPr>
            <w:tcW w:w="964" w:type="dxa"/>
            <w:vMerge/>
          </w:tcPr>
          <w:p w14:paraId="35B08D18" w14:textId="77777777" w:rsidR="00454A29" w:rsidRDefault="00454A29"/>
        </w:tc>
        <w:tc>
          <w:tcPr>
            <w:tcW w:w="2154" w:type="dxa"/>
            <w:vMerge/>
            <w:tcBorders>
              <w:top w:val="nil"/>
              <w:bottom w:val="nil"/>
            </w:tcBorders>
          </w:tcPr>
          <w:p w14:paraId="5121B0E1" w14:textId="77777777" w:rsidR="00454A29" w:rsidRDefault="00454A29"/>
        </w:tc>
        <w:tc>
          <w:tcPr>
            <w:tcW w:w="2154" w:type="dxa"/>
            <w:vMerge/>
            <w:tcBorders>
              <w:top w:val="nil"/>
              <w:bottom w:val="nil"/>
            </w:tcBorders>
          </w:tcPr>
          <w:p w14:paraId="148B7571" w14:textId="77777777" w:rsidR="00454A29" w:rsidRDefault="00454A29"/>
        </w:tc>
        <w:tc>
          <w:tcPr>
            <w:tcW w:w="2665" w:type="dxa"/>
            <w:vMerge/>
            <w:tcBorders>
              <w:top w:val="nil"/>
              <w:bottom w:val="nil"/>
            </w:tcBorders>
          </w:tcPr>
          <w:p w14:paraId="45253163" w14:textId="77777777" w:rsidR="00454A29" w:rsidRDefault="00454A29"/>
        </w:tc>
        <w:tc>
          <w:tcPr>
            <w:tcW w:w="2665" w:type="dxa"/>
            <w:vMerge/>
          </w:tcPr>
          <w:p w14:paraId="3EE48BCA" w14:textId="77777777" w:rsidR="00454A29" w:rsidRDefault="00454A29"/>
        </w:tc>
        <w:tc>
          <w:tcPr>
            <w:tcW w:w="1928" w:type="dxa"/>
            <w:vMerge/>
          </w:tcPr>
          <w:p w14:paraId="60D3A2A4" w14:textId="77777777" w:rsidR="00454A29" w:rsidRDefault="00454A29"/>
        </w:tc>
        <w:tc>
          <w:tcPr>
            <w:tcW w:w="1644" w:type="dxa"/>
            <w:vMerge/>
          </w:tcPr>
          <w:p w14:paraId="32135AC0" w14:textId="77777777" w:rsidR="00454A29" w:rsidRDefault="00454A29"/>
        </w:tc>
        <w:tc>
          <w:tcPr>
            <w:tcW w:w="2041" w:type="dxa"/>
            <w:vMerge/>
          </w:tcPr>
          <w:p w14:paraId="2B8D442E" w14:textId="77777777" w:rsidR="00454A29" w:rsidRDefault="00454A29"/>
        </w:tc>
        <w:tc>
          <w:tcPr>
            <w:tcW w:w="2098" w:type="dxa"/>
            <w:vAlign w:val="center"/>
          </w:tcPr>
          <w:p w14:paraId="657D56AD"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14730D02" w14:textId="77777777" w:rsidR="00454A29" w:rsidRDefault="00454A29">
            <w:pPr>
              <w:pStyle w:val="ConsPlusNormal"/>
              <w:jc w:val="center"/>
            </w:pPr>
            <w:r>
              <w:t>0,00</w:t>
            </w:r>
          </w:p>
        </w:tc>
        <w:tc>
          <w:tcPr>
            <w:tcW w:w="1701" w:type="dxa"/>
            <w:vAlign w:val="center"/>
          </w:tcPr>
          <w:p w14:paraId="1CC6B742" w14:textId="77777777" w:rsidR="00454A29" w:rsidRDefault="00454A29">
            <w:pPr>
              <w:pStyle w:val="ConsPlusNormal"/>
              <w:jc w:val="center"/>
            </w:pPr>
            <w:r>
              <w:t>0,00</w:t>
            </w:r>
          </w:p>
        </w:tc>
        <w:tc>
          <w:tcPr>
            <w:tcW w:w="1701" w:type="dxa"/>
            <w:vAlign w:val="center"/>
          </w:tcPr>
          <w:p w14:paraId="0E7114EE" w14:textId="77777777" w:rsidR="00454A29" w:rsidRDefault="00454A29">
            <w:pPr>
              <w:pStyle w:val="ConsPlusNormal"/>
              <w:jc w:val="center"/>
            </w:pPr>
            <w:r>
              <w:t>0,00</w:t>
            </w:r>
          </w:p>
        </w:tc>
        <w:tc>
          <w:tcPr>
            <w:tcW w:w="1701" w:type="dxa"/>
            <w:vAlign w:val="center"/>
          </w:tcPr>
          <w:p w14:paraId="233C998C" w14:textId="77777777" w:rsidR="00454A29" w:rsidRDefault="00454A29">
            <w:pPr>
              <w:pStyle w:val="ConsPlusNormal"/>
              <w:jc w:val="center"/>
            </w:pPr>
            <w:r>
              <w:t>0,00</w:t>
            </w:r>
          </w:p>
        </w:tc>
        <w:tc>
          <w:tcPr>
            <w:tcW w:w="1701" w:type="dxa"/>
            <w:vAlign w:val="center"/>
          </w:tcPr>
          <w:p w14:paraId="66DB5457" w14:textId="77777777" w:rsidR="00454A29" w:rsidRDefault="00454A29">
            <w:pPr>
              <w:pStyle w:val="ConsPlusNormal"/>
              <w:jc w:val="center"/>
            </w:pPr>
            <w:r>
              <w:t>0,00</w:t>
            </w:r>
          </w:p>
        </w:tc>
        <w:tc>
          <w:tcPr>
            <w:tcW w:w="1701" w:type="dxa"/>
            <w:vAlign w:val="center"/>
          </w:tcPr>
          <w:p w14:paraId="073F8E90" w14:textId="77777777" w:rsidR="00454A29" w:rsidRDefault="00454A29">
            <w:pPr>
              <w:pStyle w:val="ConsPlusNormal"/>
              <w:jc w:val="center"/>
            </w:pPr>
            <w:r>
              <w:t>0,00</w:t>
            </w:r>
          </w:p>
        </w:tc>
        <w:tc>
          <w:tcPr>
            <w:tcW w:w="1701" w:type="dxa"/>
            <w:vAlign w:val="center"/>
          </w:tcPr>
          <w:p w14:paraId="2C4CCE94" w14:textId="77777777" w:rsidR="00454A29" w:rsidRDefault="00454A29">
            <w:pPr>
              <w:pStyle w:val="ConsPlusNormal"/>
              <w:jc w:val="center"/>
            </w:pPr>
            <w:r>
              <w:t>0,00</w:t>
            </w:r>
          </w:p>
        </w:tc>
      </w:tr>
      <w:tr w:rsidR="00454A29" w14:paraId="5B93E70C" w14:textId="77777777">
        <w:tc>
          <w:tcPr>
            <w:tcW w:w="964" w:type="dxa"/>
            <w:vMerge/>
          </w:tcPr>
          <w:p w14:paraId="57CCDAAB" w14:textId="77777777" w:rsidR="00454A29" w:rsidRDefault="00454A29"/>
        </w:tc>
        <w:tc>
          <w:tcPr>
            <w:tcW w:w="2154" w:type="dxa"/>
            <w:vMerge/>
            <w:tcBorders>
              <w:top w:val="nil"/>
              <w:bottom w:val="nil"/>
            </w:tcBorders>
          </w:tcPr>
          <w:p w14:paraId="68EDC762" w14:textId="77777777" w:rsidR="00454A29" w:rsidRDefault="00454A29"/>
        </w:tc>
        <w:tc>
          <w:tcPr>
            <w:tcW w:w="2154" w:type="dxa"/>
            <w:vMerge/>
            <w:tcBorders>
              <w:top w:val="nil"/>
              <w:bottom w:val="nil"/>
            </w:tcBorders>
          </w:tcPr>
          <w:p w14:paraId="0506DEB6" w14:textId="77777777" w:rsidR="00454A29" w:rsidRDefault="00454A29"/>
        </w:tc>
        <w:tc>
          <w:tcPr>
            <w:tcW w:w="2665" w:type="dxa"/>
            <w:vMerge/>
            <w:tcBorders>
              <w:top w:val="nil"/>
              <w:bottom w:val="nil"/>
            </w:tcBorders>
          </w:tcPr>
          <w:p w14:paraId="739A9301" w14:textId="77777777" w:rsidR="00454A29" w:rsidRDefault="00454A29"/>
        </w:tc>
        <w:tc>
          <w:tcPr>
            <w:tcW w:w="2665" w:type="dxa"/>
            <w:vMerge/>
          </w:tcPr>
          <w:p w14:paraId="0C06719F" w14:textId="77777777" w:rsidR="00454A29" w:rsidRDefault="00454A29"/>
        </w:tc>
        <w:tc>
          <w:tcPr>
            <w:tcW w:w="1928" w:type="dxa"/>
            <w:vMerge/>
          </w:tcPr>
          <w:p w14:paraId="6E4195BC" w14:textId="77777777" w:rsidR="00454A29" w:rsidRDefault="00454A29"/>
        </w:tc>
        <w:tc>
          <w:tcPr>
            <w:tcW w:w="1644" w:type="dxa"/>
            <w:vMerge/>
          </w:tcPr>
          <w:p w14:paraId="651A373E" w14:textId="77777777" w:rsidR="00454A29" w:rsidRDefault="00454A29"/>
        </w:tc>
        <w:tc>
          <w:tcPr>
            <w:tcW w:w="2041" w:type="dxa"/>
            <w:vMerge/>
          </w:tcPr>
          <w:p w14:paraId="39C63FBB" w14:textId="77777777" w:rsidR="00454A29" w:rsidRDefault="00454A29"/>
        </w:tc>
        <w:tc>
          <w:tcPr>
            <w:tcW w:w="2098" w:type="dxa"/>
            <w:vAlign w:val="center"/>
          </w:tcPr>
          <w:p w14:paraId="0587CC98" w14:textId="77777777" w:rsidR="00454A29" w:rsidRDefault="00454A29">
            <w:pPr>
              <w:pStyle w:val="ConsPlusNormal"/>
              <w:jc w:val="center"/>
            </w:pPr>
            <w:r>
              <w:t>Федеральный бюджет</w:t>
            </w:r>
          </w:p>
        </w:tc>
        <w:tc>
          <w:tcPr>
            <w:tcW w:w="1814" w:type="dxa"/>
            <w:vAlign w:val="center"/>
          </w:tcPr>
          <w:p w14:paraId="45C086A9" w14:textId="77777777" w:rsidR="00454A29" w:rsidRDefault="00454A29">
            <w:pPr>
              <w:pStyle w:val="ConsPlusNormal"/>
              <w:jc w:val="center"/>
            </w:pPr>
            <w:r>
              <w:t>0,00</w:t>
            </w:r>
          </w:p>
        </w:tc>
        <w:tc>
          <w:tcPr>
            <w:tcW w:w="1701" w:type="dxa"/>
            <w:vAlign w:val="center"/>
          </w:tcPr>
          <w:p w14:paraId="05FAD804" w14:textId="77777777" w:rsidR="00454A29" w:rsidRDefault="00454A29">
            <w:pPr>
              <w:pStyle w:val="ConsPlusNormal"/>
              <w:jc w:val="center"/>
            </w:pPr>
            <w:r>
              <w:t>0,00</w:t>
            </w:r>
          </w:p>
        </w:tc>
        <w:tc>
          <w:tcPr>
            <w:tcW w:w="1701" w:type="dxa"/>
            <w:vAlign w:val="center"/>
          </w:tcPr>
          <w:p w14:paraId="033DC409" w14:textId="77777777" w:rsidR="00454A29" w:rsidRDefault="00454A29">
            <w:pPr>
              <w:pStyle w:val="ConsPlusNormal"/>
              <w:jc w:val="center"/>
            </w:pPr>
            <w:r>
              <w:t>0,00</w:t>
            </w:r>
          </w:p>
        </w:tc>
        <w:tc>
          <w:tcPr>
            <w:tcW w:w="1701" w:type="dxa"/>
            <w:vAlign w:val="center"/>
          </w:tcPr>
          <w:p w14:paraId="739631AF" w14:textId="77777777" w:rsidR="00454A29" w:rsidRDefault="00454A29">
            <w:pPr>
              <w:pStyle w:val="ConsPlusNormal"/>
              <w:jc w:val="center"/>
            </w:pPr>
            <w:r>
              <w:t>0,00</w:t>
            </w:r>
          </w:p>
        </w:tc>
        <w:tc>
          <w:tcPr>
            <w:tcW w:w="1701" w:type="dxa"/>
            <w:vAlign w:val="center"/>
          </w:tcPr>
          <w:p w14:paraId="63FCEB0E" w14:textId="77777777" w:rsidR="00454A29" w:rsidRDefault="00454A29">
            <w:pPr>
              <w:pStyle w:val="ConsPlusNormal"/>
              <w:jc w:val="center"/>
            </w:pPr>
            <w:r>
              <w:t>0,00</w:t>
            </w:r>
          </w:p>
        </w:tc>
        <w:tc>
          <w:tcPr>
            <w:tcW w:w="1701" w:type="dxa"/>
            <w:vAlign w:val="center"/>
          </w:tcPr>
          <w:p w14:paraId="78D258D1" w14:textId="77777777" w:rsidR="00454A29" w:rsidRDefault="00454A29">
            <w:pPr>
              <w:pStyle w:val="ConsPlusNormal"/>
              <w:jc w:val="center"/>
            </w:pPr>
            <w:r>
              <w:t>0,00</w:t>
            </w:r>
          </w:p>
        </w:tc>
        <w:tc>
          <w:tcPr>
            <w:tcW w:w="1701" w:type="dxa"/>
            <w:vAlign w:val="center"/>
          </w:tcPr>
          <w:p w14:paraId="38A636DF" w14:textId="77777777" w:rsidR="00454A29" w:rsidRDefault="00454A29">
            <w:pPr>
              <w:pStyle w:val="ConsPlusNormal"/>
              <w:jc w:val="center"/>
            </w:pPr>
            <w:r>
              <w:t>0,00</w:t>
            </w:r>
          </w:p>
        </w:tc>
      </w:tr>
      <w:tr w:rsidR="00454A29" w14:paraId="2500C240" w14:textId="77777777">
        <w:tc>
          <w:tcPr>
            <w:tcW w:w="964" w:type="dxa"/>
            <w:vMerge/>
          </w:tcPr>
          <w:p w14:paraId="54138FA0" w14:textId="77777777" w:rsidR="00454A29" w:rsidRDefault="00454A29"/>
        </w:tc>
        <w:tc>
          <w:tcPr>
            <w:tcW w:w="2154" w:type="dxa"/>
            <w:vMerge/>
            <w:tcBorders>
              <w:top w:val="nil"/>
              <w:bottom w:val="nil"/>
            </w:tcBorders>
          </w:tcPr>
          <w:p w14:paraId="0D79C5EB" w14:textId="77777777" w:rsidR="00454A29" w:rsidRDefault="00454A29"/>
        </w:tc>
        <w:tc>
          <w:tcPr>
            <w:tcW w:w="2154" w:type="dxa"/>
            <w:vMerge/>
            <w:tcBorders>
              <w:top w:val="nil"/>
              <w:bottom w:val="nil"/>
            </w:tcBorders>
          </w:tcPr>
          <w:p w14:paraId="13AA8537" w14:textId="77777777" w:rsidR="00454A29" w:rsidRDefault="00454A29"/>
        </w:tc>
        <w:tc>
          <w:tcPr>
            <w:tcW w:w="2665" w:type="dxa"/>
            <w:vMerge/>
            <w:tcBorders>
              <w:top w:val="nil"/>
              <w:bottom w:val="nil"/>
            </w:tcBorders>
          </w:tcPr>
          <w:p w14:paraId="0FC55557" w14:textId="77777777" w:rsidR="00454A29" w:rsidRDefault="00454A29"/>
        </w:tc>
        <w:tc>
          <w:tcPr>
            <w:tcW w:w="2665" w:type="dxa"/>
            <w:vMerge/>
          </w:tcPr>
          <w:p w14:paraId="2067B396" w14:textId="77777777" w:rsidR="00454A29" w:rsidRDefault="00454A29"/>
        </w:tc>
        <w:tc>
          <w:tcPr>
            <w:tcW w:w="1928" w:type="dxa"/>
            <w:vMerge/>
          </w:tcPr>
          <w:p w14:paraId="4561582F" w14:textId="77777777" w:rsidR="00454A29" w:rsidRDefault="00454A29"/>
        </w:tc>
        <w:tc>
          <w:tcPr>
            <w:tcW w:w="1644" w:type="dxa"/>
            <w:vMerge/>
          </w:tcPr>
          <w:p w14:paraId="4280E2FC" w14:textId="77777777" w:rsidR="00454A29" w:rsidRDefault="00454A29"/>
        </w:tc>
        <w:tc>
          <w:tcPr>
            <w:tcW w:w="2041" w:type="dxa"/>
            <w:vMerge/>
          </w:tcPr>
          <w:p w14:paraId="6590A434" w14:textId="77777777" w:rsidR="00454A29" w:rsidRDefault="00454A29"/>
        </w:tc>
        <w:tc>
          <w:tcPr>
            <w:tcW w:w="2098" w:type="dxa"/>
            <w:vAlign w:val="center"/>
          </w:tcPr>
          <w:p w14:paraId="78F843BE" w14:textId="77777777" w:rsidR="00454A29" w:rsidRDefault="00454A29">
            <w:pPr>
              <w:pStyle w:val="ConsPlusNormal"/>
              <w:jc w:val="center"/>
            </w:pPr>
            <w:r>
              <w:t>Местные бюджеты</w:t>
            </w:r>
          </w:p>
        </w:tc>
        <w:tc>
          <w:tcPr>
            <w:tcW w:w="1814" w:type="dxa"/>
            <w:vAlign w:val="center"/>
          </w:tcPr>
          <w:p w14:paraId="674BBC98" w14:textId="77777777" w:rsidR="00454A29" w:rsidRDefault="00454A29">
            <w:pPr>
              <w:pStyle w:val="ConsPlusNormal"/>
              <w:jc w:val="center"/>
            </w:pPr>
            <w:r>
              <w:t>0,00</w:t>
            </w:r>
          </w:p>
        </w:tc>
        <w:tc>
          <w:tcPr>
            <w:tcW w:w="1701" w:type="dxa"/>
            <w:vAlign w:val="center"/>
          </w:tcPr>
          <w:p w14:paraId="5F8EF4B3" w14:textId="77777777" w:rsidR="00454A29" w:rsidRDefault="00454A29">
            <w:pPr>
              <w:pStyle w:val="ConsPlusNormal"/>
              <w:jc w:val="center"/>
            </w:pPr>
            <w:r>
              <w:t>0,00</w:t>
            </w:r>
          </w:p>
        </w:tc>
        <w:tc>
          <w:tcPr>
            <w:tcW w:w="1701" w:type="dxa"/>
            <w:vAlign w:val="center"/>
          </w:tcPr>
          <w:p w14:paraId="0A4E5CEF" w14:textId="77777777" w:rsidR="00454A29" w:rsidRDefault="00454A29">
            <w:pPr>
              <w:pStyle w:val="ConsPlusNormal"/>
              <w:jc w:val="center"/>
            </w:pPr>
            <w:r>
              <w:t>0,00</w:t>
            </w:r>
          </w:p>
        </w:tc>
        <w:tc>
          <w:tcPr>
            <w:tcW w:w="1701" w:type="dxa"/>
            <w:vAlign w:val="center"/>
          </w:tcPr>
          <w:p w14:paraId="7B4FF17F" w14:textId="77777777" w:rsidR="00454A29" w:rsidRDefault="00454A29">
            <w:pPr>
              <w:pStyle w:val="ConsPlusNormal"/>
              <w:jc w:val="center"/>
            </w:pPr>
            <w:r>
              <w:t>0,00</w:t>
            </w:r>
          </w:p>
        </w:tc>
        <w:tc>
          <w:tcPr>
            <w:tcW w:w="1701" w:type="dxa"/>
            <w:vAlign w:val="center"/>
          </w:tcPr>
          <w:p w14:paraId="44F08993" w14:textId="77777777" w:rsidR="00454A29" w:rsidRDefault="00454A29">
            <w:pPr>
              <w:pStyle w:val="ConsPlusNormal"/>
              <w:jc w:val="center"/>
            </w:pPr>
            <w:r>
              <w:t>0,00</w:t>
            </w:r>
          </w:p>
        </w:tc>
        <w:tc>
          <w:tcPr>
            <w:tcW w:w="1701" w:type="dxa"/>
            <w:vAlign w:val="center"/>
          </w:tcPr>
          <w:p w14:paraId="5ADAB0BB" w14:textId="77777777" w:rsidR="00454A29" w:rsidRDefault="00454A29">
            <w:pPr>
              <w:pStyle w:val="ConsPlusNormal"/>
              <w:jc w:val="center"/>
            </w:pPr>
            <w:r>
              <w:t>0,00</w:t>
            </w:r>
          </w:p>
        </w:tc>
        <w:tc>
          <w:tcPr>
            <w:tcW w:w="1701" w:type="dxa"/>
            <w:vAlign w:val="center"/>
          </w:tcPr>
          <w:p w14:paraId="12BAD818" w14:textId="77777777" w:rsidR="00454A29" w:rsidRDefault="00454A29">
            <w:pPr>
              <w:pStyle w:val="ConsPlusNormal"/>
              <w:jc w:val="center"/>
            </w:pPr>
            <w:r>
              <w:t>0,00</w:t>
            </w:r>
          </w:p>
        </w:tc>
      </w:tr>
      <w:tr w:rsidR="00454A29" w14:paraId="7CE5B390" w14:textId="77777777">
        <w:tc>
          <w:tcPr>
            <w:tcW w:w="964" w:type="dxa"/>
            <w:vMerge/>
          </w:tcPr>
          <w:p w14:paraId="2928C733" w14:textId="77777777" w:rsidR="00454A29" w:rsidRDefault="00454A29"/>
        </w:tc>
        <w:tc>
          <w:tcPr>
            <w:tcW w:w="2154" w:type="dxa"/>
            <w:vMerge/>
            <w:tcBorders>
              <w:top w:val="nil"/>
              <w:bottom w:val="nil"/>
            </w:tcBorders>
          </w:tcPr>
          <w:p w14:paraId="1C6EC0FA" w14:textId="77777777" w:rsidR="00454A29" w:rsidRDefault="00454A29"/>
        </w:tc>
        <w:tc>
          <w:tcPr>
            <w:tcW w:w="2154" w:type="dxa"/>
            <w:vMerge/>
            <w:tcBorders>
              <w:top w:val="nil"/>
              <w:bottom w:val="nil"/>
            </w:tcBorders>
          </w:tcPr>
          <w:p w14:paraId="5FEDFB4E" w14:textId="77777777" w:rsidR="00454A29" w:rsidRDefault="00454A29"/>
        </w:tc>
        <w:tc>
          <w:tcPr>
            <w:tcW w:w="2665" w:type="dxa"/>
            <w:vMerge/>
            <w:tcBorders>
              <w:top w:val="nil"/>
              <w:bottom w:val="nil"/>
            </w:tcBorders>
          </w:tcPr>
          <w:p w14:paraId="47CEB9ED" w14:textId="77777777" w:rsidR="00454A29" w:rsidRDefault="00454A29"/>
        </w:tc>
        <w:tc>
          <w:tcPr>
            <w:tcW w:w="2665" w:type="dxa"/>
            <w:vMerge/>
          </w:tcPr>
          <w:p w14:paraId="60BF83B9" w14:textId="77777777" w:rsidR="00454A29" w:rsidRDefault="00454A29"/>
        </w:tc>
        <w:tc>
          <w:tcPr>
            <w:tcW w:w="1928" w:type="dxa"/>
            <w:vMerge/>
          </w:tcPr>
          <w:p w14:paraId="2E2D4D1D" w14:textId="77777777" w:rsidR="00454A29" w:rsidRDefault="00454A29"/>
        </w:tc>
        <w:tc>
          <w:tcPr>
            <w:tcW w:w="1644" w:type="dxa"/>
            <w:vMerge/>
          </w:tcPr>
          <w:p w14:paraId="1AF42382" w14:textId="77777777" w:rsidR="00454A29" w:rsidRDefault="00454A29"/>
        </w:tc>
        <w:tc>
          <w:tcPr>
            <w:tcW w:w="2041" w:type="dxa"/>
            <w:vMerge/>
          </w:tcPr>
          <w:p w14:paraId="23030121" w14:textId="77777777" w:rsidR="00454A29" w:rsidRDefault="00454A29"/>
        </w:tc>
        <w:tc>
          <w:tcPr>
            <w:tcW w:w="2098" w:type="dxa"/>
            <w:vAlign w:val="center"/>
          </w:tcPr>
          <w:p w14:paraId="454F0CBB" w14:textId="77777777" w:rsidR="00454A29" w:rsidRDefault="00454A29">
            <w:pPr>
              <w:pStyle w:val="ConsPlusNormal"/>
              <w:jc w:val="center"/>
            </w:pPr>
            <w:r>
              <w:t>Внебюджетные средства</w:t>
            </w:r>
          </w:p>
        </w:tc>
        <w:tc>
          <w:tcPr>
            <w:tcW w:w="1814" w:type="dxa"/>
            <w:vAlign w:val="center"/>
          </w:tcPr>
          <w:p w14:paraId="04A82F30" w14:textId="77777777" w:rsidR="00454A29" w:rsidRDefault="00454A29">
            <w:pPr>
              <w:pStyle w:val="ConsPlusNormal"/>
              <w:jc w:val="center"/>
            </w:pPr>
            <w:r>
              <w:t>0,00</w:t>
            </w:r>
          </w:p>
        </w:tc>
        <w:tc>
          <w:tcPr>
            <w:tcW w:w="1701" w:type="dxa"/>
            <w:vAlign w:val="center"/>
          </w:tcPr>
          <w:p w14:paraId="43270254" w14:textId="77777777" w:rsidR="00454A29" w:rsidRDefault="00454A29">
            <w:pPr>
              <w:pStyle w:val="ConsPlusNormal"/>
              <w:jc w:val="center"/>
            </w:pPr>
            <w:r>
              <w:t>0,00</w:t>
            </w:r>
          </w:p>
        </w:tc>
        <w:tc>
          <w:tcPr>
            <w:tcW w:w="1701" w:type="dxa"/>
            <w:vAlign w:val="center"/>
          </w:tcPr>
          <w:p w14:paraId="4A912BB4" w14:textId="77777777" w:rsidR="00454A29" w:rsidRDefault="00454A29">
            <w:pPr>
              <w:pStyle w:val="ConsPlusNormal"/>
              <w:jc w:val="center"/>
            </w:pPr>
            <w:r>
              <w:t>0,00</w:t>
            </w:r>
          </w:p>
        </w:tc>
        <w:tc>
          <w:tcPr>
            <w:tcW w:w="1701" w:type="dxa"/>
            <w:vAlign w:val="center"/>
          </w:tcPr>
          <w:p w14:paraId="3E467467" w14:textId="77777777" w:rsidR="00454A29" w:rsidRDefault="00454A29">
            <w:pPr>
              <w:pStyle w:val="ConsPlusNormal"/>
              <w:jc w:val="center"/>
            </w:pPr>
            <w:r>
              <w:t>0,00</w:t>
            </w:r>
          </w:p>
        </w:tc>
        <w:tc>
          <w:tcPr>
            <w:tcW w:w="1701" w:type="dxa"/>
            <w:vAlign w:val="center"/>
          </w:tcPr>
          <w:p w14:paraId="2FEC6F5B" w14:textId="77777777" w:rsidR="00454A29" w:rsidRDefault="00454A29">
            <w:pPr>
              <w:pStyle w:val="ConsPlusNormal"/>
              <w:jc w:val="center"/>
            </w:pPr>
            <w:r>
              <w:t>0,00</w:t>
            </w:r>
          </w:p>
        </w:tc>
        <w:tc>
          <w:tcPr>
            <w:tcW w:w="1701" w:type="dxa"/>
            <w:vAlign w:val="center"/>
          </w:tcPr>
          <w:p w14:paraId="1C78CB08" w14:textId="77777777" w:rsidR="00454A29" w:rsidRDefault="00454A29">
            <w:pPr>
              <w:pStyle w:val="ConsPlusNormal"/>
              <w:jc w:val="center"/>
            </w:pPr>
            <w:r>
              <w:t>0,00</w:t>
            </w:r>
          </w:p>
        </w:tc>
        <w:tc>
          <w:tcPr>
            <w:tcW w:w="1701" w:type="dxa"/>
            <w:vAlign w:val="center"/>
          </w:tcPr>
          <w:p w14:paraId="6111A4A2" w14:textId="77777777" w:rsidR="00454A29" w:rsidRDefault="00454A29">
            <w:pPr>
              <w:pStyle w:val="ConsPlusNormal"/>
              <w:jc w:val="center"/>
            </w:pPr>
            <w:r>
              <w:t>0,00</w:t>
            </w:r>
          </w:p>
        </w:tc>
      </w:tr>
      <w:tr w:rsidR="00454A29" w14:paraId="37099B21" w14:textId="77777777">
        <w:tc>
          <w:tcPr>
            <w:tcW w:w="964" w:type="dxa"/>
            <w:vMerge w:val="restart"/>
            <w:vAlign w:val="center"/>
          </w:tcPr>
          <w:p w14:paraId="13269DEA" w14:textId="77777777" w:rsidR="00454A29" w:rsidRDefault="00454A29">
            <w:pPr>
              <w:pStyle w:val="ConsPlusNormal"/>
              <w:jc w:val="center"/>
            </w:pPr>
            <w:r>
              <w:t>7.6.</w:t>
            </w:r>
          </w:p>
        </w:tc>
        <w:tc>
          <w:tcPr>
            <w:tcW w:w="2154" w:type="dxa"/>
            <w:vMerge w:val="restart"/>
            <w:tcBorders>
              <w:top w:val="nil"/>
              <w:bottom w:val="nil"/>
            </w:tcBorders>
            <w:vAlign w:val="center"/>
          </w:tcPr>
          <w:p w14:paraId="4B84E490" w14:textId="77777777" w:rsidR="00454A29" w:rsidRDefault="00454A29">
            <w:pPr>
              <w:pStyle w:val="ConsPlusNormal"/>
              <w:jc w:val="center"/>
            </w:pPr>
            <w:r>
              <w:t xml:space="preserve">Подпрограмма 3 </w:t>
            </w:r>
            <w:r>
              <w:lastRenderedPageBreak/>
              <w:t>"Профессиональное образование"</w:t>
            </w:r>
          </w:p>
        </w:tc>
        <w:tc>
          <w:tcPr>
            <w:tcW w:w="2154" w:type="dxa"/>
            <w:vMerge w:val="restart"/>
            <w:tcBorders>
              <w:top w:val="nil"/>
              <w:bottom w:val="nil"/>
            </w:tcBorders>
            <w:vAlign w:val="center"/>
          </w:tcPr>
          <w:p w14:paraId="444137E3" w14:textId="77777777" w:rsidR="00454A29" w:rsidRDefault="00454A29">
            <w:pPr>
              <w:pStyle w:val="ConsPlusNormal"/>
            </w:pPr>
          </w:p>
        </w:tc>
        <w:tc>
          <w:tcPr>
            <w:tcW w:w="2665" w:type="dxa"/>
            <w:vMerge w:val="restart"/>
            <w:tcBorders>
              <w:top w:val="nil"/>
              <w:bottom w:val="nil"/>
            </w:tcBorders>
            <w:vAlign w:val="center"/>
          </w:tcPr>
          <w:p w14:paraId="1509D58F" w14:textId="77777777" w:rsidR="00454A29" w:rsidRDefault="00454A29">
            <w:pPr>
              <w:pStyle w:val="ConsPlusNormal"/>
            </w:pPr>
          </w:p>
        </w:tc>
        <w:tc>
          <w:tcPr>
            <w:tcW w:w="2665" w:type="dxa"/>
            <w:vMerge w:val="restart"/>
            <w:vAlign w:val="center"/>
          </w:tcPr>
          <w:p w14:paraId="35529D7A" w14:textId="77777777" w:rsidR="00454A29" w:rsidRDefault="00454A29">
            <w:pPr>
              <w:pStyle w:val="ConsPlusNormal"/>
              <w:jc w:val="center"/>
            </w:pPr>
            <w:r>
              <w:t xml:space="preserve">Мероприятие 3.9.6. </w:t>
            </w:r>
            <w:r>
              <w:lastRenderedPageBreak/>
              <w:t>Проектирование, строительство и реконструкция студенческих городков для иностранных и иногородних обучающихся и научно-педагогических работников</w:t>
            </w:r>
          </w:p>
        </w:tc>
        <w:tc>
          <w:tcPr>
            <w:tcW w:w="5613" w:type="dxa"/>
            <w:gridSpan w:val="3"/>
            <w:vMerge w:val="restart"/>
            <w:vAlign w:val="center"/>
          </w:tcPr>
          <w:p w14:paraId="3D701295" w14:textId="77777777" w:rsidR="00454A29" w:rsidRDefault="00454A29">
            <w:pPr>
              <w:pStyle w:val="ConsPlusNormal"/>
              <w:jc w:val="center"/>
            </w:pPr>
            <w:r>
              <w:lastRenderedPageBreak/>
              <w:t>Всего</w:t>
            </w:r>
          </w:p>
        </w:tc>
        <w:tc>
          <w:tcPr>
            <w:tcW w:w="2098" w:type="dxa"/>
            <w:vAlign w:val="center"/>
          </w:tcPr>
          <w:p w14:paraId="0F85BFFD" w14:textId="77777777" w:rsidR="00454A29" w:rsidRDefault="00454A29">
            <w:pPr>
              <w:pStyle w:val="ConsPlusNormal"/>
              <w:jc w:val="center"/>
            </w:pPr>
            <w:r>
              <w:t>Итого</w:t>
            </w:r>
          </w:p>
        </w:tc>
        <w:tc>
          <w:tcPr>
            <w:tcW w:w="1814" w:type="dxa"/>
            <w:vAlign w:val="center"/>
          </w:tcPr>
          <w:p w14:paraId="192308EE" w14:textId="77777777" w:rsidR="00454A29" w:rsidRDefault="00454A29">
            <w:pPr>
              <w:pStyle w:val="ConsPlusNormal"/>
              <w:jc w:val="center"/>
            </w:pPr>
            <w:r>
              <w:t>0,00</w:t>
            </w:r>
          </w:p>
        </w:tc>
        <w:tc>
          <w:tcPr>
            <w:tcW w:w="1701" w:type="dxa"/>
            <w:vAlign w:val="center"/>
          </w:tcPr>
          <w:p w14:paraId="701A58E4" w14:textId="77777777" w:rsidR="00454A29" w:rsidRDefault="00454A29">
            <w:pPr>
              <w:pStyle w:val="ConsPlusNormal"/>
              <w:jc w:val="center"/>
            </w:pPr>
            <w:r>
              <w:t>0,00</w:t>
            </w:r>
          </w:p>
        </w:tc>
        <w:tc>
          <w:tcPr>
            <w:tcW w:w="1701" w:type="dxa"/>
            <w:vAlign w:val="center"/>
          </w:tcPr>
          <w:p w14:paraId="3DD11924" w14:textId="77777777" w:rsidR="00454A29" w:rsidRDefault="00454A29">
            <w:pPr>
              <w:pStyle w:val="ConsPlusNormal"/>
              <w:jc w:val="center"/>
            </w:pPr>
            <w:r>
              <w:t>0,00</w:t>
            </w:r>
          </w:p>
        </w:tc>
        <w:tc>
          <w:tcPr>
            <w:tcW w:w="1701" w:type="dxa"/>
            <w:vAlign w:val="center"/>
          </w:tcPr>
          <w:p w14:paraId="19BE4CBA" w14:textId="77777777" w:rsidR="00454A29" w:rsidRDefault="00454A29">
            <w:pPr>
              <w:pStyle w:val="ConsPlusNormal"/>
              <w:jc w:val="center"/>
            </w:pPr>
            <w:r>
              <w:t>0,00</w:t>
            </w:r>
          </w:p>
        </w:tc>
        <w:tc>
          <w:tcPr>
            <w:tcW w:w="1701" w:type="dxa"/>
            <w:vAlign w:val="center"/>
          </w:tcPr>
          <w:p w14:paraId="34923C76" w14:textId="77777777" w:rsidR="00454A29" w:rsidRDefault="00454A29">
            <w:pPr>
              <w:pStyle w:val="ConsPlusNormal"/>
              <w:jc w:val="center"/>
            </w:pPr>
            <w:r>
              <w:t>0,00</w:t>
            </w:r>
          </w:p>
        </w:tc>
        <w:tc>
          <w:tcPr>
            <w:tcW w:w="1701" w:type="dxa"/>
            <w:vAlign w:val="center"/>
          </w:tcPr>
          <w:p w14:paraId="692639E1" w14:textId="77777777" w:rsidR="00454A29" w:rsidRDefault="00454A29">
            <w:pPr>
              <w:pStyle w:val="ConsPlusNormal"/>
              <w:jc w:val="center"/>
            </w:pPr>
            <w:r>
              <w:t>0,00</w:t>
            </w:r>
          </w:p>
        </w:tc>
        <w:tc>
          <w:tcPr>
            <w:tcW w:w="1701" w:type="dxa"/>
            <w:vAlign w:val="center"/>
          </w:tcPr>
          <w:p w14:paraId="7A8763B9" w14:textId="77777777" w:rsidR="00454A29" w:rsidRDefault="00454A29">
            <w:pPr>
              <w:pStyle w:val="ConsPlusNormal"/>
              <w:jc w:val="center"/>
            </w:pPr>
            <w:r>
              <w:t>0,00</w:t>
            </w:r>
          </w:p>
        </w:tc>
      </w:tr>
      <w:tr w:rsidR="00454A29" w14:paraId="7BAEDADA" w14:textId="77777777">
        <w:tc>
          <w:tcPr>
            <w:tcW w:w="964" w:type="dxa"/>
            <w:vMerge/>
          </w:tcPr>
          <w:p w14:paraId="069122A0" w14:textId="77777777" w:rsidR="00454A29" w:rsidRDefault="00454A29"/>
        </w:tc>
        <w:tc>
          <w:tcPr>
            <w:tcW w:w="2154" w:type="dxa"/>
            <w:vMerge/>
            <w:tcBorders>
              <w:top w:val="nil"/>
              <w:bottom w:val="nil"/>
            </w:tcBorders>
          </w:tcPr>
          <w:p w14:paraId="08E9FB3E" w14:textId="77777777" w:rsidR="00454A29" w:rsidRDefault="00454A29"/>
        </w:tc>
        <w:tc>
          <w:tcPr>
            <w:tcW w:w="2154" w:type="dxa"/>
            <w:vMerge/>
            <w:tcBorders>
              <w:top w:val="nil"/>
              <w:bottom w:val="nil"/>
            </w:tcBorders>
          </w:tcPr>
          <w:p w14:paraId="135825F5" w14:textId="77777777" w:rsidR="00454A29" w:rsidRDefault="00454A29"/>
        </w:tc>
        <w:tc>
          <w:tcPr>
            <w:tcW w:w="2665" w:type="dxa"/>
            <w:vMerge/>
            <w:tcBorders>
              <w:top w:val="nil"/>
              <w:bottom w:val="nil"/>
            </w:tcBorders>
          </w:tcPr>
          <w:p w14:paraId="37B4F6D4" w14:textId="77777777" w:rsidR="00454A29" w:rsidRDefault="00454A29"/>
        </w:tc>
        <w:tc>
          <w:tcPr>
            <w:tcW w:w="2665" w:type="dxa"/>
            <w:vMerge/>
          </w:tcPr>
          <w:p w14:paraId="346E0027" w14:textId="77777777" w:rsidR="00454A29" w:rsidRDefault="00454A29"/>
        </w:tc>
        <w:tc>
          <w:tcPr>
            <w:tcW w:w="5613" w:type="dxa"/>
            <w:gridSpan w:val="3"/>
            <w:vMerge/>
          </w:tcPr>
          <w:p w14:paraId="7B08A989" w14:textId="77777777" w:rsidR="00454A29" w:rsidRDefault="00454A29"/>
        </w:tc>
        <w:tc>
          <w:tcPr>
            <w:tcW w:w="2098" w:type="dxa"/>
            <w:vAlign w:val="center"/>
          </w:tcPr>
          <w:p w14:paraId="165CF704"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77D0CE1" w14:textId="77777777" w:rsidR="00454A29" w:rsidRDefault="00454A29">
            <w:pPr>
              <w:pStyle w:val="ConsPlusNormal"/>
              <w:jc w:val="center"/>
            </w:pPr>
            <w:r>
              <w:t>0,00</w:t>
            </w:r>
          </w:p>
        </w:tc>
        <w:tc>
          <w:tcPr>
            <w:tcW w:w="1701" w:type="dxa"/>
            <w:vAlign w:val="center"/>
          </w:tcPr>
          <w:p w14:paraId="6363BE98" w14:textId="77777777" w:rsidR="00454A29" w:rsidRDefault="00454A29">
            <w:pPr>
              <w:pStyle w:val="ConsPlusNormal"/>
              <w:jc w:val="center"/>
            </w:pPr>
            <w:r>
              <w:t>0,00</w:t>
            </w:r>
          </w:p>
        </w:tc>
        <w:tc>
          <w:tcPr>
            <w:tcW w:w="1701" w:type="dxa"/>
            <w:vAlign w:val="center"/>
          </w:tcPr>
          <w:p w14:paraId="0493C987" w14:textId="77777777" w:rsidR="00454A29" w:rsidRDefault="00454A29">
            <w:pPr>
              <w:pStyle w:val="ConsPlusNormal"/>
              <w:jc w:val="center"/>
            </w:pPr>
            <w:r>
              <w:t>0,00</w:t>
            </w:r>
          </w:p>
        </w:tc>
        <w:tc>
          <w:tcPr>
            <w:tcW w:w="1701" w:type="dxa"/>
            <w:vAlign w:val="center"/>
          </w:tcPr>
          <w:p w14:paraId="34A700A2" w14:textId="77777777" w:rsidR="00454A29" w:rsidRDefault="00454A29">
            <w:pPr>
              <w:pStyle w:val="ConsPlusNormal"/>
              <w:jc w:val="center"/>
            </w:pPr>
            <w:r>
              <w:t>0,00</w:t>
            </w:r>
          </w:p>
        </w:tc>
        <w:tc>
          <w:tcPr>
            <w:tcW w:w="1701" w:type="dxa"/>
            <w:vAlign w:val="center"/>
          </w:tcPr>
          <w:p w14:paraId="05D0105C" w14:textId="77777777" w:rsidR="00454A29" w:rsidRDefault="00454A29">
            <w:pPr>
              <w:pStyle w:val="ConsPlusNormal"/>
              <w:jc w:val="center"/>
            </w:pPr>
            <w:r>
              <w:t>0,00</w:t>
            </w:r>
          </w:p>
        </w:tc>
        <w:tc>
          <w:tcPr>
            <w:tcW w:w="1701" w:type="dxa"/>
            <w:vAlign w:val="center"/>
          </w:tcPr>
          <w:p w14:paraId="1A10542B" w14:textId="77777777" w:rsidR="00454A29" w:rsidRDefault="00454A29">
            <w:pPr>
              <w:pStyle w:val="ConsPlusNormal"/>
              <w:jc w:val="center"/>
            </w:pPr>
            <w:r>
              <w:t>0,00</w:t>
            </w:r>
          </w:p>
        </w:tc>
        <w:tc>
          <w:tcPr>
            <w:tcW w:w="1701" w:type="dxa"/>
            <w:vAlign w:val="center"/>
          </w:tcPr>
          <w:p w14:paraId="7F79B8AE" w14:textId="77777777" w:rsidR="00454A29" w:rsidRDefault="00454A29">
            <w:pPr>
              <w:pStyle w:val="ConsPlusNormal"/>
              <w:jc w:val="center"/>
            </w:pPr>
            <w:r>
              <w:t>0,00</w:t>
            </w:r>
          </w:p>
        </w:tc>
      </w:tr>
      <w:tr w:rsidR="00454A29" w14:paraId="24C0842A" w14:textId="77777777">
        <w:tc>
          <w:tcPr>
            <w:tcW w:w="964" w:type="dxa"/>
            <w:vMerge/>
          </w:tcPr>
          <w:p w14:paraId="7E0ECFE8" w14:textId="77777777" w:rsidR="00454A29" w:rsidRDefault="00454A29"/>
        </w:tc>
        <w:tc>
          <w:tcPr>
            <w:tcW w:w="2154" w:type="dxa"/>
            <w:vMerge/>
            <w:tcBorders>
              <w:top w:val="nil"/>
              <w:bottom w:val="nil"/>
            </w:tcBorders>
          </w:tcPr>
          <w:p w14:paraId="194AFB15" w14:textId="77777777" w:rsidR="00454A29" w:rsidRDefault="00454A29"/>
        </w:tc>
        <w:tc>
          <w:tcPr>
            <w:tcW w:w="2154" w:type="dxa"/>
            <w:vMerge/>
            <w:tcBorders>
              <w:top w:val="nil"/>
              <w:bottom w:val="nil"/>
            </w:tcBorders>
          </w:tcPr>
          <w:p w14:paraId="6C8F1B95" w14:textId="77777777" w:rsidR="00454A29" w:rsidRDefault="00454A29"/>
        </w:tc>
        <w:tc>
          <w:tcPr>
            <w:tcW w:w="2665" w:type="dxa"/>
            <w:vMerge/>
            <w:tcBorders>
              <w:top w:val="nil"/>
              <w:bottom w:val="nil"/>
            </w:tcBorders>
          </w:tcPr>
          <w:p w14:paraId="492223DB" w14:textId="77777777" w:rsidR="00454A29" w:rsidRDefault="00454A29"/>
        </w:tc>
        <w:tc>
          <w:tcPr>
            <w:tcW w:w="2665" w:type="dxa"/>
            <w:vMerge/>
          </w:tcPr>
          <w:p w14:paraId="3DC664CC" w14:textId="77777777" w:rsidR="00454A29" w:rsidRDefault="00454A29"/>
        </w:tc>
        <w:tc>
          <w:tcPr>
            <w:tcW w:w="5613" w:type="dxa"/>
            <w:gridSpan w:val="3"/>
            <w:vMerge/>
          </w:tcPr>
          <w:p w14:paraId="7F15B096" w14:textId="77777777" w:rsidR="00454A29" w:rsidRDefault="00454A29"/>
        </w:tc>
        <w:tc>
          <w:tcPr>
            <w:tcW w:w="2098" w:type="dxa"/>
            <w:vAlign w:val="center"/>
          </w:tcPr>
          <w:p w14:paraId="7E245975" w14:textId="77777777" w:rsidR="00454A29" w:rsidRDefault="00454A29">
            <w:pPr>
              <w:pStyle w:val="ConsPlusNormal"/>
              <w:jc w:val="center"/>
            </w:pPr>
            <w:r>
              <w:t>Федеральный бюджет</w:t>
            </w:r>
          </w:p>
        </w:tc>
        <w:tc>
          <w:tcPr>
            <w:tcW w:w="1814" w:type="dxa"/>
            <w:vAlign w:val="center"/>
          </w:tcPr>
          <w:p w14:paraId="5388DE28" w14:textId="77777777" w:rsidR="00454A29" w:rsidRDefault="00454A29">
            <w:pPr>
              <w:pStyle w:val="ConsPlusNormal"/>
              <w:jc w:val="center"/>
            </w:pPr>
            <w:r>
              <w:t>0,00</w:t>
            </w:r>
          </w:p>
        </w:tc>
        <w:tc>
          <w:tcPr>
            <w:tcW w:w="1701" w:type="dxa"/>
            <w:vAlign w:val="center"/>
          </w:tcPr>
          <w:p w14:paraId="44BF79BA" w14:textId="77777777" w:rsidR="00454A29" w:rsidRDefault="00454A29">
            <w:pPr>
              <w:pStyle w:val="ConsPlusNormal"/>
              <w:jc w:val="center"/>
            </w:pPr>
            <w:r>
              <w:t>0,00</w:t>
            </w:r>
          </w:p>
        </w:tc>
        <w:tc>
          <w:tcPr>
            <w:tcW w:w="1701" w:type="dxa"/>
            <w:vAlign w:val="center"/>
          </w:tcPr>
          <w:p w14:paraId="00AD9C35" w14:textId="77777777" w:rsidR="00454A29" w:rsidRDefault="00454A29">
            <w:pPr>
              <w:pStyle w:val="ConsPlusNormal"/>
              <w:jc w:val="center"/>
            </w:pPr>
            <w:r>
              <w:t>0,00</w:t>
            </w:r>
          </w:p>
        </w:tc>
        <w:tc>
          <w:tcPr>
            <w:tcW w:w="1701" w:type="dxa"/>
            <w:vAlign w:val="center"/>
          </w:tcPr>
          <w:p w14:paraId="1F4E433F" w14:textId="77777777" w:rsidR="00454A29" w:rsidRDefault="00454A29">
            <w:pPr>
              <w:pStyle w:val="ConsPlusNormal"/>
              <w:jc w:val="center"/>
            </w:pPr>
            <w:r>
              <w:t>0,00</w:t>
            </w:r>
          </w:p>
        </w:tc>
        <w:tc>
          <w:tcPr>
            <w:tcW w:w="1701" w:type="dxa"/>
            <w:vAlign w:val="center"/>
          </w:tcPr>
          <w:p w14:paraId="18767EE3" w14:textId="77777777" w:rsidR="00454A29" w:rsidRDefault="00454A29">
            <w:pPr>
              <w:pStyle w:val="ConsPlusNormal"/>
              <w:jc w:val="center"/>
            </w:pPr>
            <w:r>
              <w:t>0,00</w:t>
            </w:r>
          </w:p>
        </w:tc>
        <w:tc>
          <w:tcPr>
            <w:tcW w:w="1701" w:type="dxa"/>
            <w:vAlign w:val="center"/>
          </w:tcPr>
          <w:p w14:paraId="14EE95E2" w14:textId="77777777" w:rsidR="00454A29" w:rsidRDefault="00454A29">
            <w:pPr>
              <w:pStyle w:val="ConsPlusNormal"/>
              <w:jc w:val="center"/>
            </w:pPr>
            <w:r>
              <w:t>0,00</w:t>
            </w:r>
          </w:p>
        </w:tc>
        <w:tc>
          <w:tcPr>
            <w:tcW w:w="1701" w:type="dxa"/>
            <w:vAlign w:val="center"/>
          </w:tcPr>
          <w:p w14:paraId="1FF8BEE8" w14:textId="77777777" w:rsidR="00454A29" w:rsidRDefault="00454A29">
            <w:pPr>
              <w:pStyle w:val="ConsPlusNormal"/>
              <w:jc w:val="center"/>
            </w:pPr>
            <w:r>
              <w:t>0,00</w:t>
            </w:r>
          </w:p>
        </w:tc>
      </w:tr>
      <w:tr w:rsidR="00454A29" w14:paraId="51D2559A" w14:textId="77777777">
        <w:tc>
          <w:tcPr>
            <w:tcW w:w="964" w:type="dxa"/>
            <w:vMerge/>
          </w:tcPr>
          <w:p w14:paraId="089B1218" w14:textId="77777777" w:rsidR="00454A29" w:rsidRDefault="00454A29"/>
        </w:tc>
        <w:tc>
          <w:tcPr>
            <w:tcW w:w="2154" w:type="dxa"/>
            <w:vMerge/>
            <w:tcBorders>
              <w:top w:val="nil"/>
              <w:bottom w:val="nil"/>
            </w:tcBorders>
          </w:tcPr>
          <w:p w14:paraId="4011E1D9" w14:textId="77777777" w:rsidR="00454A29" w:rsidRDefault="00454A29"/>
        </w:tc>
        <w:tc>
          <w:tcPr>
            <w:tcW w:w="2154" w:type="dxa"/>
            <w:vMerge/>
            <w:tcBorders>
              <w:top w:val="nil"/>
              <w:bottom w:val="nil"/>
            </w:tcBorders>
          </w:tcPr>
          <w:p w14:paraId="091209BB" w14:textId="77777777" w:rsidR="00454A29" w:rsidRDefault="00454A29"/>
        </w:tc>
        <w:tc>
          <w:tcPr>
            <w:tcW w:w="2665" w:type="dxa"/>
            <w:vMerge/>
            <w:tcBorders>
              <w:top w:val="nil"/>
              <w:bottom w:val="nil"/>
            </w:tcBorders>
          </w:tcPr>
          <w:p w14:paraId="140BF618" w14:textId="77777777" w:rsidR="00454A29" w:rsidRDefault="00454A29"/>
        </w:tc>
        <w:tc>
          <w:tcPr>
            <w:tcW w:w="2665" w:type="dxa"/>
            <w:vMerge/>
          </w:tcPr>
          <w:p w14:paraId="29ECC22C" w14:textId="77777777" w:rsidR="00454A29" w:rsidRDefault="00454A29"/>
        </w:tc>
        <w:tc>
          <w:tcPr>
            <w:tcW w:w="5613" w:type="dxa"/>
            <w:gridSpan w:val="3"/>
            <w:vMerge/>
          </w:tcPr>
          <w:p w14:paraId="7AE1E873" w14:textId="77777777" w:rsidR="00454A29" w:rsidRDefault="00454A29"/>
        </w:tc>
        <w:tc>
          <w:tcPr>
            <w:tcW w:w="2098" w:type="dxa"/>
            <w:vAlign w:val="center"/>
          </w:tcPr>
          <w:p w14:paraId="479F7525" w14:textId="77777777" w:rsidR="00454A29" w:rsidRDefault="00454A29">
            <w:pPr>
              <w:pStyle w:val="ConsPlusNormal"/>
              <w:jc w:val="center"/>
            </w:pPr>
            <w:r>
              <w:t>Местные бюджеты</w:t>
            </w:r>
          </w:p>
        </w:tc>
        <w:tc>
          <w:tcPr>
            <w:tcW w:w="1814" w:type="dxa"/>
            <w:vAlign w:val="center"/>
          </w:tcPr>
          <w:p w14:paraId="4B5DDF89" w14:textId="77777777" w:rsidR="00454A29" w:rsidRDefault="00454A29">
            <w:pPr>
              <w:pStyle w:val="ConsPlusNormal"/>
              <w:jc w:val="center"/>
            </w:pPr>
            <w:r>
              <w:t>0,00</w:t>
            </w:r>
          </w:p>
        </w:tc>
        <w:tc>
          <w:tcPr>
            <w:tcW w:w="1701" w:type="dxa"/>
            <w:vAlign w:val="center"/>
          </w:tcPr>
          <w:p w14:paraId="6B557577" w14:textId="77777777" w:rsidR="00454A29" w:rsidRDefault="00454A29">
            <w:pPr>
              <w:pStyle w:val="ConsPlusNormal"/>
              <w:jc w:val="center"/>
            </w:pPr>
            <w:r>
              <w:t>0,00</w:t>
            </w:r>
          </w:p>
        </w:tc>
        <w:tc>
          <w:tcPr>
            <w:tcW w:w="1701" w:type="dxa"/>
            <w:vAlign w:val="center"/>
          </w:tcPr>
          <w:p w14:paraId="4888493F" w14:textId="77777777" w:rsidR="00454A29" w:rsidRDefault="00454A29">
            <w:pPr>
              <w:pStyle w:val="ConsPlusNormal"/>
              <w:jc w:val="center"/>
            </w:pPr>
            <w:r>
              <w:t>0,00</w:t>
            </w:r>
          </w:p>
        </w:tc>
        <w:tc>
          <w:tcPr>
            <w:tcW w:w="1701" w:type="dxa"/>
            <w:vAlign w:val="center"/>
          </w:tcPr>
          <w:p w14:paraId="2F6EC8D5" w14:textId="77777777" w:rsidR="00454A29" w:rsidRDefault="00454A29">
            <w:pPr>
              <w:pStyle w:val="ConsPlusNormal"/>
              <w:jc w:val="center"/>
            </w:pPr>
            <w:r>
              <w:t>0,00</w:t>
            </w:r>
          </w:p>
        </w:tc>
        <w:tc>
          <w:tcPr>
            <w:tcW w:w="1701" w:type="dxa"/>
            <w:vAlign w:val="center"/>
          </w:tcPr>
          <w:p w14:paraId="481B7024" w14:textId="77777777" w:rsidR="00454A29" w:rsidRDefault="00454A29">
            <w:pPr>
              <w:pStyle w:val="ConsPlusNormal"/>
              <w:jc w:val="center"/>
            </w:pPr>
            <w:r>
              <w:t>0,00</w:t>
            </w:r>
          </w:p>
        </w:tc>
        <w:tc>
          <w:tcPr>
            <w:tcW w:w="1701" w:type="dxa"/>
            <w:vAlign w:val="center"/>
          </w:tcPr>
          <w:p w14:paraId="5FA9E9F8" w14:textId="77777777" w:rsidR="00454A29" w:rsidRDefault="00454A29">
            <w:pPr>
              <w:pStyle w:val="ConsPlusNormal"/>
              <w:jc w:val="center"/>
            </w:pPr>
            <w:r>
              <w:t>0,00</w:t>
            </w:r>
          </w:p>
        </w:tc>
        <w:tc>
          <w:tcPr>
            <w:tcW w:w="1701" w:type="dxa"/>
            <w:vAlign w:val="center"/>
          </w:tcPr>
          <w:p w14:paraId="1481C795" w14:textId="77777777" w:rsidR="00454A29" w:rsidRDefault="00454A29">
            <w:pPr>
              <w:pStyle w:val="ConsPlusNormal"/>
              <w:jc w:val="center"/>
            </w:pPr>
            <w:r>
              <w:t>0,00</w:t>
            </w:r>
          </w:p>
        </w:tc>
      </w:tr>
      <w:tr w:rsidR="00454A29" w14:paraId="251EC966" w14:textId="77777777">
        <w:tc>
          <w:tcPr>
            <w:tcW w:w="964" w:type="dxa"/>
            <w:vMerge/>
          </w:tcPr>
          <w:p w14:paraId="0D2AD0D0" w14:textId="77777777" w:rsidR="00454A29" w:rsidRDefault="00454A29"/>
        </w:tc>
        <w:tc>
          <w:tcPr>
            <w:tcW w:w="2154" w:type="dxa"/>
            <w:vMerge/>
            <w:tcBorders>
              <w:top w:val="nil"/>
              <w:bottom w:val="nil"/>
            </w:tcBorders>
          </w:tcPr>
          <w:p w14:paraId="3E996333" w14:textId="77777777" w:rsidR="00454A29" w:rsidRDefault="00454A29"/>
        </w:tc>
        <w:tc>
          <w:tcPr>
            <w:tcW w:w="2154" w:type="dxa"/>
            <w:vMerge/>
            <w:tcBorders>
              <w:top w:val="nil"/>
              <w:bottom w:val="nil"/>
            </w:tcBorders>
          </w:tcPr>
          <w:p w14:paraId="1D7F78BE" w14:textId="77777777" w:rsidR="00454A29" w:rsidRDefault="00454A29"/>
        </w:tc>
        <w:tc>
          <w:tcPr>
            <w:tcW w:w="2665" w:type="dxa"/>
            <w:vMerge/>
            <w:tcBorders>
              <w:top w:val="nil"/>
              <w:bottom w:val="nil"/>
            </w:tcBorders>
          </w:tcPr>
          <w:p w14:paraId="3E47C300" w14:textId="77777777" w:rsidR="00454A29" w:rsidRDefault="00454A29"/>
        </w:tc>
        <w:tc>
          <w:tcPr>
            <w:tcW w:w="2665" w:type="dxa"/>
            <w:vMerge/>
          </w:tcPr>
          <w:p w14:paraId="6210B6C2" w14:textId="77777777" w:rsidR="00454A29" w:rsidRDefault="00454A29"/>
        </w:tc>
        <w:tc>
          <w:tcPr>
            <w:tcW w:w="5613" w:type="dxa"/>
            <w:gridSpan w:val="3"/>
            <w:vMerge/>
          </w:tcPr>
          <w:p w14:paraId="36400F90" w14:textId="77777777" w:rsidR="00454A29" w:rsidRDefault="00454A29"/>
        </w:tc>
        <w:tc>
          <w:tcPr>
            <w:tcW w:w="2098" w:type="dxa"/>
            <w:vAlign w:val="center"/>
          </w:tcPr>
          <w:p w14:paraId="52A1CE0B" w14:textId="77777777" w:rsidR="00454A29" w:rsidRDefault="00454A29">
            <w:pPr>
              <w:pStyle w:val="ConsPlusNormal"/>
              <w:jc w:val="center"/>
            </w:pPr>
            <w:r>
              <w:t>Внебюджетные средства</w:t>
            </w:r>
          </w:p>
        </w:tc>
        <w:tc>
          <w:tcPr>
            <w:tcW w:w="1814" w:type="dxa"/>
            <w:vAlign w:val="center"/>
          </w:tcPr>
          <w:p w14:paraId="246A67D2" w14:textId="77777777" w:rsidR="00454A29" w:rsidRDefault="00454A29">
            <w:pPr>
              <w:pStyle w:val="ConsPlusNormal"/>
              <w:jc w:val="center"/>
            </w:pPr>
            <w:r>
              <w:t>0,00</w:t>
            </w:r>
          </w:p>
        </w:tc>
        <w:tc>
          <w:tcPr>
            <w:tcW w:w="1701" w:type="dxa"/>
            <w:vAlign w:val="center"/>
          </w:tcPr>
          <w:p w14:paraId="211DA561" w14:textId="77777777" w:rsidR="00454A29" w:rsidRDefault="00454A29">
            <w:pPr>
              <w:pStyle w:val="ConsPlusNormal"/>
              <w:jc w:val="center"/>
            </w:pPr>
            <w:r>
              <w:t>0,00</w:t>
            </w:r>
          </w:p>
        </w:tc>
        <w:tc>
          <w:tcPr>
            <w:tcW w:w="1701" w:type="dxa"/>
            <w:vAlign w:val="center"/>
          </w:tcPr>
          <w:p w14:paraId="095E35A9" w14:textId="77777777" w:rsidR="00454A29" w:rsidRDefault="00454A29">
            <w:pPr>
              <w:pStyle w:val="ConsPlusNormal"/>
              <w:jc w:val="center"/>
            </w:pPr>
            <w:r>
              <w:t>0,00</w:t>
            </w:r>
          </w:p>
        </w:tc>
        <w:tc>
          <w:tcPr>
            <w:tcW w:w="1701" w:type="dxa"/>
            <w:vAlign w:val="center"/>
          </w:tcPr>
          <w:p w14:paraId="7E3D4971" w14:textId="77777777" w:rsidR="00454A29" w:rsidRDefault="00454A29">
            <w:pPr>
              <w:pStyle w:val="ConsPlusNormal"/>
              <w:jc w:val="center"/>
            </w:pPr>
            <w:r>
              <w:t>0,00</w:t>
            </w:r>
          </w:p>
        </w:tc>
        <w:tc>
          <w:tcPr>
            <w:tcW w:w="1701" w:type="dxa"/>
            <w:vAlign w:val="center"/>
          </w:tcPr>
          <w:p w14:paraId="103764F9" w14:textId="77777777" w:rsidR="00454A29" w:rsidRDefault="00454A29">
            <w:pPr>
              <w:pStyle w:val="ConsPlusNormal"/>
              <w:jc w:val="center"/>
            </w:pPr>
            <w:r>
              <w:t>0,00</w:t>
            </w:r>
          </w:p>
        </w:tc>
        <w:tc>
          <w:tcPr>
            <w:tcW w:w="1701" w:type="dxa"/>
            <w:vAlign w:val="center"/>
          </w:tcPr>
          <w:p w14:paraId="38294DBE" w14:textId="77777777" w:rsidR="00454A29" w:rsidRDefault="00454A29">
            <w:pPr>
              <w:pStyle w:val="ConsPlusNormal"/>
              <w:jc w:val="center"/>
            </w:pPr>
            <w:r>
              <w:t>0,00</w:t>
            </w:r>
          </w:p>
        </w:tc>
        <w:tc>
          <w:tcPr>
            <w:tcW w:w="1701" w:type="dxa"/>
            <w:vAlign w:val="center"/>
          </w:tcPr>
          <w:p w14:paraId="23984F16" w14:textId="77777777" w:rsidR="00454A29" w:rsidRDefault="00454A29">
            <w:pPr>
              <w:pStyle w:val="ConsPlusNormal"/>
              <w:jc w:val="center"/>
            </w:pPr>
            <w:r>
              <w:t>0,00</w:t>
            </w:r>
          </w:p>
        </w:tc>
      </w:tr>
      <w:tr w:rsidR="00454A29" w14:paraId="27A5354E" w14:textId="77777777">
        <w:tc>
          <w:tcPr>
            <w:tcW w:w="964" w:type="dxa"/>
            <w:vMerge w:val="restart"/>
            <w:vAlign w:val="center"/>
          </w:tcPr>
          <w:p w14:paraId="29210FB2" w14:textId="77777777" w:rsidR="00454A29" w:rsidRDefault="00454A29">
            <w:pPr>
              <w:pStyle w:val="ConsPlusNormal"/>
              <w:jc w:val="center"/>
            </w:pPr>
            <w:r>
              <w:t>7.6.1.</w:t>
            </w:r>
          </w:p>
        </w:tc>
        <w:tc>
          <w:tcPr>
            <w:tcW w:w="2154" w:type="dxa"/>
            <w:vMerge/>
            <w:tcBorders>
              <w:top w:val="nil"/>
              <w:bottom w:val="nil"/>
            </w:tcBorders>
          </w:tcPr>
          <w:p w14:paraId="7463D7A2" w14:textId="77777777" w:rsidR="00454A29" w:rsidRDefault="00454A29"/>
        </w:tc>
        <w:tc>
          <w:tcPr>
            <w:tcW w:w="2154" w:type="dxa"/>
            <w:vMerge/>
            <w:tcBorders>
              <w:top w:val="nil"/>
              <w:bottom w:val="nil"/>
            </w:tcBorders>
          </w:tcPr>
          <w:p w14:paraId="355455FE" w14:textId="77777777" w:rsidR="00454A29" w:rsidRDefault="00454A29"/>
        </w:tc>
        <w:tc>
          <w:tcPr>
            <w:tcW w:w="2665" w:type="dxa"/>
            <w:vMerge/>
            <w:tcBorders>
              <w:top w:val="nil"/>
              <w:bottom w:val="nil"/>
            </w:tcBorders>
          </w:tcPr>
          <w:p w14:paraId="7F73B9BA" w14:textId="77777777" w:rsidR="00454A29" w:rsidRDefault="00454A29"/>
        </w:tc>
        <w:tc>
          <w:tcPr>
            <w:tcW w:w="2665" w:type="dxa"/>
            <w:vMerge/>
          </w:tcPr>
          <w:p w14:paraId="15A90737" w14:textId="77777777" w:rsidR="00454A29" w:rsidRDefault="00454A29"/>
        </w:tc>
        <w:tc>
          <w:tcPr>
            <w:tcW w:w="1928" w:type="dxa"/>
            <w:vMerge w:val="restart"/>
            <w:vAlign w:val="center"/>
          </w:tcPr>
          <w:p w14:paraId="1086792A" w14:textId="77777777" w:rsidR="00454A29" w:rsidRDefault="00454A29">
            <w:pPr>
              <w:pStyle w:val="ConsPlusNormal"/>
              <w:jc w:val="center"/>
            </w:pPr>
            <w:r>
              <w:t>ГО "город Якутск"</w:t>
            </w:r>
          </w:p>
        </w:tc>
        <w:tc>
          <w:tcPr>
            <w:tcW w:w="1644" w:type="dxa"/>
            <w:vMerge w:val="restart"/>
            <w:vAlign w:val="center"/>
          </w:tcPr>
          <w:p w14:paraId="11E2EBDF" w14:textId="77777777" w:rsidR="00454A29" w:rsidRDefault="00454A29">
            <w:pPr>
              <w:pStyle w:val="ConsPlusNormal"/>
              <w:jc w:val="center"/>
            </w:pPr>
            <w:r>
              <w:t>г. Якутск</w:t>
            </w:r>
          </w:p>
        </w:tc>
        <w:tc>
          <w:tcPr>
            <w:tcW w:w="2041" w:type="dxa"/>
            <w:vMerge w:val="restart"/>
            <w:vAlign w:val="center"/>
          </w:tcPr>
          <w:p w14:paraId="497F728C" w14:textId="77777777" w:rsidR="00454A29" w:rsidRDefault="00454A29">
            <w:pPr>
              <w:pStyle w:val="ConsPlusNormal"/>
              <w:jc w:val="center"/>
            </w:pPr>
            <w:r>
              <w:t>ФГАОУ ВО "Северо-Восточный федеральный университет им. М.К. Аммосова"</w:t>
            </w:r>
          </w:p>
        </w:tc>
        <w:tc>
          <w:tcPr>
            <w:tcW w:w="2098" w:type="dxa"/>
            <w:vAlign w:val="center"/>
          </w:tcPr>
          <w:p w14:paraId="395A48F7" w14:textId="77777777" w:rsidR="00454A29" w:rsidRDefault="00454A29">
            <w:pPr>
              <w:pStyle w:val="ConsPlusNormal"/>
              <w:jc w:val="center"/>
            </w:pPr>
            <w:r>
              <w:t>Итого</w:t>
            </w:r>
          </w:p>
        </w:tc>
        <w:tc>
          <w:tcPr>
            <w:tcW w:w="1814" w:type="dxa"/>
            <w:vAlign w:val="center"/>
          </w:tcPr>
          <w:p w14:paraId="57ADF8FB" w14:textId="77777777" w:rsidR="00454A29" w:rsidRDefault="00454A29">
            <w:pPr>
              <w:pStyle w:val="ConsPlusNormal"/>
              <w:jc w:val="center"/>
            </w:pPr>
            <w:r>
              <w:t>х</w:t>
            </w:r>
          </w:p>
        </w:tc>
        <w:tc>
          <w:tcPr>
            <w:tcW w:w="1701" w:type="dxa"/>
            <w:vAlign w:val="center"/>
          </w:tcPr>
          <w:p w14:paraId="48359970" w14:textId="77777777" w:rsidR="00454A29" w:rsidRDefault="00454A29">
            <w:pPr>
              <w:pStyle w:val="ConsPlusNormal"/>
              <w:jc w:val="center"/>
            </w:pPr>
            <w:r>
              <w:t>х</w:t>
            </w:r>
          </w:p>
        </w:tc>
        <w:tc>
          <w:tcPr>
            <w:tcW w:w="1701" w:type="dxa"/>
            <w:vAlign w:val="center"/>
          </w:tcPr>
          <w:p w14:paraId="4B4C38E0" w14:textId="77777777" w:rsidR="00454A29" w:rsidRDefault="00454A29">
            <w:pPr>
              <w:pStyle w:val="ConsPlusNormal"/>
              <w:jc w:val="center"/>
            </w:pPr>
            <w:r>
              <w:t>х</w:t>
            </w:r>
          </w:p>
        </w:tc>
        <w:tc>
          <w:tcPr>
            <w:tcW w:w="1701" w:type="dxa"/>
            <w:vAlign w:val="center"/>
          </w:tcPr>
          <w:p w14:paraId="462EC563" w14:textId="77777777" w:rsidR="00454A29" w:rsidRDefault="00454A29">
            <w:pPr>
              <w:pStyle w:val="ConsPlusNormal"/>
              <w:jc w:val="center"/>
            </w:pPr>
            <w:r>
              <w:t>х</w:t>
            </w:r>
          </w:p>
        </w:tc>
        <w:tc>
          <w:tcPr>
            <w:tcW w:w="1701" w:type="dxa"/>
            <w:vAlign w:val="center"/>
          </w:tcPr>
          <w:p w14:paraId="0B5742E8" w14:textId="77777777" w:rsidR="00454A29" w:rsidRDefault="00454A29">
            <w:pPr>
              <w:pStyle w:val="ConsPlusNormal"/>
              <w:jc w:val="center"/>
            </w:pPr>
            <w:r>
              <w:t>х</w:t>
            </w:r>
          </w:p>
        </w:tc>
        <w:tc>
          <w:tcPr>
            <w:tcW w:w="1701" w:type="dxa"/>
            <w:vAlign w:val="center"/>
          </w:tcPr>
          <w:p w14:paraId="2DAE6CE3" w14:textId="77777777" w:rsidR="00454A29" w:rsidRDefault="00454A29">
            <w:pPr>
              <w:pStyle w:val="ConsPlusNormal"/>
              <w:jc w:val="center"/>
            </w:pPr>
            <w:r>
              <w:t>х</w:t>
            </w:r>
          </w:p>
        </w:tc>
        <w:tc>
          <w:tcPr>
            <w:tcW w:w="1701" w:type="dxa"/>
            <w:vAlign w:val="center"/>
          </w:tcPr>
          <w:p w14:paraId="1794198F" w14:textId="77777777" w:rsidR="00454A29" w:rsidRDefault="00454A29">
            <w:pPr>
              <w:pStyle w:val="ConsPlusNormal"/>
              <w:jc w:val="center"/>
            </w:pPr>
            <w:r>
              <w:t>х</w:t>
            </w:r>
          </w:p>
        </w:tc>
      </w:tr>
      <w:tr w:rsidR="00454A29" w14:paraId="3BC24E28" w14:textId="77777777">
        <w:tc>
          <w:tcPr>
            <w:tcW w:w="964" w:type="dxa"/>
            <w:vMerge/>
          </w:tcPr>
          <w:p w14:paraId="07FAA737" w14:textId="77777777" w:rsidR="00454A29" w:rsidRDefault="00454A29"/>
        </w:tc>
        <w:tc>
          <w:tcPr>
            <w:tcW w:w="2154" w:type="dxa"/>
            <w:vMerge/>
            <w:tcBorders>
              <w:top w:val="nil"/>
              <w:bottom w:val="nil"/>
            </w:tcBorders>
          </w:tcPr>
          <w:p w14:paraId="35ED8D19" w14:textId="77777777" w:rsidR="00454A29" w:rsidRDefault="00454A29"/>
        </w:tc>
        <w:tc>
          <w:tcPr>
            <w:tcW w:w="2154" w:type="dxa"/>
            <w:vMerge/>
            <w:tcBorders>
              <w:top w:val="nil"/>
              <w:bottom w:val="nil"/>
            </w:tcBorders>
          </w:tcPr>
          <w:p w14:paraId="754AC0AF" w14:textId="77777777" w:rsidR="00454A29" w:rsidRDefault="00454A29"/>
        </w:tc>
        <w:tc>
          <w:tcPr>
            <w:tcW w:w="2665" w:type="dxa"/>
            <w:vMerge/>
            <w:tcBorders>
              <w:top w:val="nil"/>
              <w:bottom w:val="nil"/>
            </w:tcBorders>
          </w:tcPr>
          <w:p w14:paraId="4FCEFA27" w14:textId="77777777" w:rsidR="00454A29" w:rsidRDefault="00454A29"/>
        </w:tc>
        <w:tc>
          <w:tcPr>
            <w:tcW w:w="2665" w:type="dxa"/>
            <w:vMerge/>
          </w:tcPr>
          <w:p w14:paraId="525F7851" w14:textId="77777777" w:rsidR="00454A29" w:rsidRDefault="00454A29"/>
        </w:tc>
        <w:tc>
          <w:tcPr>
            <w:tcW w:w="1928" w:type="dxa"/>
            <w:vMerge/>
          </w:tcPr>
          <w:p w14:paraId="3397A693" w14:textId="77777777" w:rsidR="00454A29" w:rsidRDefault="00454A29"/>
        </w:tc>
        <w:tc>
          <w:tcPr>
            <w:tcW w:w="1644" w:type="dxa"/>
            <w:vMerge/>
          </w:tcPr>
          <w:p w14:paraId="5BDE2580" w14:textId="77777777" w:rsidR="00454A29" w:rsidRDefault="00454A29"/>
        </w:tc>
        <w:tc>
          <w:tcPr>
            <w:tcW w:w="2041" w:type="dxa"/>
            <w:vMerge/>
          </w:tcPr>
          <w:p w14:paraId="74518001" w14:textId="77777777" w:rsidR="00454A29" w:rsidRDefault="00454A29"/>
        </w:tc>
        <w:tc>
          <w:tcPr>
            <w:tcW w:w="2098" w:type="dxa"/>
            <w:vAlign w:val="center"/>
          </w:tcPr>
          <w:p w14:paraId="75A8A4C4"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1C5DD86" w14:textId="77777777" w:rsidR="00454A29" w:rsidRDefault="00454A29">
            <w:pPr>
              <w:pStyle w:val="ConsPlusNormal"/>
              <w:jc w:val="center"/>
            </w:pPr>
            <w:r>
              <w:t>х</w:t>
            </w:r>
          </w:p>
        </w:tc>
        <w:tc>
          <w:tcPr>
            <w:tcW w:w="1701" w:type="dxa"/>
            <w:vAlign w:val="center"/>
          </w:tcPr>
          <w:p w14:paraId="7ED0544A" w14:textId="77777777" w:rsidR="00454A29" w:rsidRDefault="00454A29">
            <w:pPr>
              <w:pStyle w:val="ConsPlusNormal"/>
              <w:jc w:val="center"/>
            </w:pPr>
            <w:r>
              <w:t>х</w:t>
            </w:r>
          </w:p>
        </w:tc>
        <w:tc>
          <w:tcPr>
            <w:tcW w:w="1701" w:type="dxa"/>
            <w:vAlign w:val="center"/>
          </w:tcPr>
          <w:p w14:paraId="193E8954" w14:textId="77777777" w:rsidR="00454A29" w:rsidRDefault="00454A29">
            <w:pPr>
              <w:pStyle w:val="ConsPlusNormal"/>
              <w:jc w:val="center"/>
            </w:pPr>
            <w:r>
              <w:t>х</w:t>
            </w:r>
          </w:p>
        </w:tc>
        <w:tc>
          <w:tcPr>
            <w:tcW w:w="1701" w:type="dxa"/>
            <w:vAlign w:val="center"/>
          </w:tcPr>
          <w:p w14:paraId="0F272B78" w14:textId="77777777" w:rsidR="00454A29" w:rsidRDefault="00454A29">
            <w:pPr>
              <w:pStyle w:val="ConsPlusNormal"/>
              <w:jc w:val="center"/>
            </w:pPr>
            <w:r>
              <w:t>х</w:t>
            </w:r>
          </w:p>
        </w:tc>
        <w:tc>
          <w:tcPr>
            <w:tcW w:w="1701" w:type="dxa"/>
            <w:vAlign w:val="center"/>
          </w:tcPr>
          <w:p w14:paraId="6CBB46CD" w14:textId="77777777" w:rsidR="00454A29" w:rsidRDefault="00454A29">
            <w:pPr>
              <w:pStyle w:val="ConsPlusNormal"/>
              <w:jc w:val="center"/>
            </w:pPr>
            <w:r>
              <w:t>х</w:t>
            </w:r>
          </w:p>
        </w:tc>
        <w:tc>
          <w:tcPr>
            <w:tcW w:w="1701" w:type="dxa"/>
            <w:vAlign w:val="center"/>
          </w:tcPr>
          <w:p w14:paraId="679806C1" w14:textId="77777777" w:rsidR="00454A29" w:rsidRDefault="00454A29">
            <w:pPr>
              <w:pStyle w:val="ConsPlusNormal"/>
              <w:jc w:val="center"/>
            </w:pPr>
            <w:r>
              <w:t>х</w:t>
            </w:r>
          </w:p>
        </w:tc>
        <w:tc>
          <w:tcPr>
            <w:tcW w:w="1701" w:type="dxa"/>
            <w:vAlign w:val="center"/>
          </w:tcPr>
          <w:p w14:paraId="4E4803B0" w14:textId="77777777" w:rsidR="00454A29" w:rsidRDefault="00454A29">
            <w:pPr>
              <w:pStyle w:val="ConsPlusNormal"/>
              <w:jc w:val="center"/>
            </w:pPr>
            <w:r>
              <w:t>х</w:t>
            </w:r>
          </w:p>
        </w:tc>
      </w:tr>
      <w:tr w:rsidR="00454A29" w14:paraId="66217EEA" w14:textId="77777777">
        <w:tc>
          <w:tcPr>
            <w:tcW w:w="964" w:type="dxa"/>
            <w:vMerge/>
          </w:tcPr>
          <w:p w14:paraId="283D187E" w14:textId="77777777" w:rsidR="00454A29" w:rsidRDefault="00454A29"/>
        </w:tc>
        <w:tc>
          <w:tcPr>
            <w:tcW w:w="2154" w:type="dxa"/>
            <w:vMerge/>
            <w:tcBorders>
              <w:top w:val="nil"/>
              <w:bottom w:val="nil"/>
            </w:tcBorders>
          </w:tcPr>
          <w:p w14:paraId="4AE169F2" w14:textId="77777777" w:rsidR="00454A29" w:rsidRDefault="00454A29"/>
        </w:tc>
        <w:tc>
          <w:tcPr>
            <w:tcW w:w="2154" w:type="dxa"/>
            <w:vMerge/>
            <w:tcBorders>
              <w:top w:val="nil"/>
              <w:bottom w:val="nil"/>
            </w:tcBorders>
          </w:tcPr>
          <w:p w14:paraId="44AA5064" w14:textId="77777777" w:rsidR="00454A29" w:rsidRDefault="00454A29"/>
        </w:tc>
        <w:tc>
          <w:tcPr>
            <w:tcW w:w="2665" w:type="dxa"/>
            <w:vMerge/>
            <w:tcBorders>
              <w:top w:val="nil"/>
              <w:bottom w:val="nil"/>
            </w:tcBorders>
          </w:tcPr>
          <w:p w14:paraId="54DAE03F" w14:textId="77777777" w:rsidR="00454A29" w:rsidRDefault="00454A29"/>
        </w:tc>
        <w:tc>
          <w:tcPr>
            <w:tcW w:w="2665" w:type="dxa"/>
            <w:vMerge/>
          </w:tcPr>
          <w:p w14:paraId="6BD9BB82" w14:textId="77777777" w:rsidR="00454A29" w:rsidRDefault="00454A29"/>
        </w:tc>
        <w:tc>
          <w:tcPr>
            <w:tcW w:w="1928" w:type="dxa"/>
            <w:vMerge/>
          </w:tcPr>
          <w:p w14:paraId="1AFB5647" w14:textId="77777777" w:rsidR="00454A29" w:rsidRDefault="00454A29"/>
        </w:tc>
        <w:tc>
          <w:tcPr>
            <w:tcW w:w="1644" w:type="dxa"/>
            <w:vMerge/>
          </w:tcPr>
          <w:p w14:paraId="37299292" w14:textId="77777777" w:rsidR="00454A29" w:rsidRDefault="00454A29"/>
        </w:tc>
        <w:tc>
          <w:tcPr>
            <w:tcW w:w="2041" w:type="dxa"/>
            <w:vMerge/>
          </w:tcPr>
          <w:p w14:paraId="50E8CE65" w14:textId="77777777" w:rsidR="00454A29" w:rsidRDefault="00454A29"/>
        </w:tc>
        <w:tc>
          <w:tcPr>
            <w:tcW w:w="2098" w:type="dxa"/>
            <w:vAlign w:val="center"/>
          </w:tcPr>
          <w:p w14:paraId="0E42CCFD" w14:textId="77777777" w:rsidR="00454A29" w:rsidRDefault="00454A29">
            <w:pPr>
              <w:pStyle w:val="ConsPlusNormal"/>
              <w:jc w:val="center"/>
            </w:pPr>
            <w:r>
              <w:t>Федеральный бюджет</w:t>
            </w:r>
          </w:p>
        </w:tc>
        <w:tc>
          <w:tcPr>
            <w:tcW w:w="1814" w:type="dxa"/>
            <w:vAlign w:val="center"/>
          </w:tcPr>
          <w:p w14:paraId="33BEC6A6" w14:textId="77777777" w:rsidR="00454A29" w:rsidRDefault="00454A29">
            <w:pPr>
              <w:pStyle w:val="ConsPlusNormal"/>
              <w:jc w:val="center"/>
            </w:pPr>
            <w:r>
              <w:t>х</w:t>
            </w:r>
          </w:p>
        </w:tc>
        <w:tc>
          <w:tcPr>
            <w:tcW w:w="1701" w:type="dxa"/>
            <w:vAlign w:val="center"/>
          </w:tcPr>
          <w:p w14:paraId="38D7A5BF" w14:textId="77777777" w:rsidR="00454A29" w:rsidRDefault="00454A29">
            <w:pPr>
              <w:pStyle w:val="ConsPlusNormal"/>
              <w:jc w:val="center"/>
            </w:pPr>
            <w:r>
              <w:t>х</w:t>
            </w:r>
          </w:p>
        </w:tc>
        <w:tc>
          <w:tcPr>
            <w:tcW w:w="1701" w:type="dxa"/>
            <w:vAlign w:val="center"/>
          </w:tcPr>
          <w:p w14:paraId="43FE6940" w14:textId="77777777" w:rsidR="00454A29" w:rsidRDefault="00454A29">
            <w:pPr>
              <w:pStyle w:val="ConsPlusNormal"/>
              <w:jc w:val="center"/>
            </w:pPr>
            <w:r>
              <w:t>х</w:t>
            </w:r>
          </w:p>
        </w:tc>
        <w:tc>
          <w:tcPr>
            <w:tcW w:w="1701" w:type="dxa"/>
            <w:vAlign w:val="center"/>
          </w:tcPr>
          <w:p w14:paraId="1218A66D" w14:textId="77777777" w:rsidR="00454A29" w:rsidRDefault="00454A29">
            <w:pPr>
              <w:pStyle w:val="ConsPlusNormal"/>
              <w:jc w:val="center"/>
            </w:pPr>
            <w:r>
              <w:t>х</w:t>
            </w:r>
          </w:p>
        </w:tc>
        <w:tc>
          <w:tcPr>
            <w:tcW w:w="1701" w:type="dxa"/>
            <w:vAlign w:val="center"/>
          </w:tcPr>
          <w:p w14:paraId="56B565D5" w14:textId="77777777" w:rsidR="00454A29" w:rsidRDefault="00454A29">
            <w:pPr>
              <w:pStyle w:val="ConsPlusNormal"/>
              <w:jc w:val="center"/>
            </w:pPr>
            <w:r>
              <w:t>х</w:t>
            </w:r>
          </w:p>
        </w:tc>
        <w:tc>
          <w:tcPr>
            <w:tcW w:w="1701" w:type="dxa"/>
            <w:vAlign w:val="center"/>
          </w:tcPr>
          <w:p w14:paraId="08108C1A" w14:textId="77777777" w:rsidR="00454A29" w:rsidRDefault="00454A29">
            <w:pPr>
              <w:pStyle w:val="ConsPlusNormal"/>
              <w:jc w:val="center"/>
            </w:pPr>
            <w:r>
              <w:t>х</w:t>
            </w:r>
          </w:p>
        </w:tc>
        <w:tc>
          <w:tcPr>
            <w:tcW w:w="1701" w:type="dxa"/>
            <w:vAlign w:val="center"/>
          </w:tcPr>
          <w:p w14:paraId="7DDB6E40" w14:textId="77777777" w:rsidR="00454A29" w:rsidRDefault="00454A29">
            <w:pPr>
              <w:pStyle w:val="ConsPlusNormal"/>
              <w:jc w:val="center"/>
            </w:pPr>
            <w:r>
              <w:t>х</w:t>
            </w:r>
          </w:p>
        </w:tc>
      </w:tr>
      <w:tr w:rsidR="00454A29" w14:paraId="35EEED65" w14:textId="77777777">
        <w:tc>
          <w:tcPr>
            <w:tcW w:w="964" w:type="dxa"/>
            <w:vMerge/>
          </w:tcPr>
          <w:p w14:paraId="2E0EC5FA" w14:textId="77777777" w:rsidR="00454A29" w:rsidRDefault="00454A29"/>
        </w:tc>
        <w:tc>
          <w:tcPr>
            <w:tcW w:w="2154" w:type="dxa"/>
            <w:vMerge/>
            <w:tcBorders>
              <w:top w:val="nil"/>
              <w:bottom w:val="nil"/>
            </w:tcBorders>
          </w:tcPr>
          <w:p w14:paraId="07CDE20A" w14:textId="77777777" w:rsidR="00454A29" w:rsidRDefault="00454A29"/>
        </w:tc>
        <w:tc>
          <w:tcPr>
            <w:tcW w:w="2154" w:type="dxa"/>
            <w:vMerge/>
            <w:tcBorders>
              <w:top w:val="nil"/>
              <w:bottom w:val="nil"/>
            </w:tcBorders>
          </w:tcPr>
          <w:p w14:paraId="0065416D" w14:textId="77777777" w:rsidR="00454A29" w:rsidRDefault="00454A29"/>
        </w:tc>
        <w:tc>
          <w:tcPr>
            <w:tcW w:w="2665" w:type="dxa"/>
            <w:vMerge/>
            <w:tcBorders>
              <w:top w:val="nil"/>
              <w:bottom w:val="nil"/>
            </w:tcBorders>
          </w:tcPr>
          <w:p w14:paraId="478B9105" w14:textId="77777777" w:rsidR="00454A29" w:rsidRDefault="00454A29"/>
        </w:tc>
        <w:tc>
          <w:tcPr>
            <w:tcW w:w="2665" w:type="dxa"/>
            <w:vMerge/>
          </w:tcPr>
          <w:p w14:paraId="50473CEA" w14:textId="77777777" w:rsidR="00454A29" w:rsidRDefault="00454A29"/>
        </w:tc>
        <w:tc>
          <w:tcPr>
            <w:tcW w:w="1928" w:type="dxa"/>
            <w:vMerge/>
          </w:tcPr>
          <w:p w14:paraId="57F8CBE7" w14:textId="77777777" w:rsidR="00454A29" w:rsidRDefault="00454A29"/>
        </w:tc>
        <w:tc>
          <w:tcPr>
            <w:tcW w:w="1644" w:type="dxa"/>
            <w:vMerge/>
          </w:tcPr>
          <w:p w14:paraId="7EB33029" w14:textId="77777777" w:rsidR="00454A29" w:rsidRDefault="00454A29"/>
        </w:tc>
        <w:tc>
          <w:tcPr>
            <w:tcW w:w="2041" w:type="dxa"/>
            <w:vMerge/>
          </w:tcPr>
          <w:p w14:paraId="3B4B8D88" w14:textId="77777777" w:rsidR="00454A29" w:rsidRDefault="00454A29"/>
        </w:tc>
        <w:tc>
          <w:tcPr>
            <w:tcW w:w="2098" w:type="dxa"/>
            <w:vAlign w:val="center"/>
          </w:tcPr>
          <w:p w14:paraId="5C815EF7" w14:textId="77777777" w:rsidR="00454A29" w:rsidRDefault="00454A29">
            <w:pPr>
              <w:pStyle w:val="ConsPlusNormal"/>
              <w:jc w:val="center"/>
            </w:pPr>
            <w:r>
              <w:t>Местные бюджеты</w:t>
            </w:r>
          </w:p>
        </w:tc>
        <w:tc>
          <w:tcPr>
            <w:tcW w:w="1814" w:type="dxa"/>
            <w:vAlign w:val="center"/>
          </w:tcPr>
          <w:p w14:paraId="6A250B49" w14:textId="77777777" w:rsidR="00454A29" w:rsidRDefault="00454A29">
            <w:pPr>
              <w:pStyle w:val="ConsPlusNormal"/>
              <w:jc w:val="center"/>
            </w:pPr>
            <w:r>
              <w:t>х</w:t>
            </w:r>
          </w:p>
        </w:tc>
        <w:tc>
          <w:tcPr>
            <w:tcW w:w="1701" w:type="dxa"/>
            <w:vAlign w:val="center"/>
          </w:tcPr>
          <w:p w14:paraId="2A2EDC64" w14:textId="77777777" w:rsidR="00454A29" w:rsidRDefault="00454A29">
            <w:pPr>
              <w:pStyle w:val="ConsPlusNormal"/>
              <w:jc w:val="center"/>
            </w:pPr>
            <w:r>
              <w:t>х</w:t>
            </w:r>
          </w:p>
        </w:tc>
        <w:tc>
          <w:tcPr>
            <w:tcW w:w="1701" w:type="dxa"/>
            <w:vAlign w:val="center"/>
          </w:tcPr>
          <w:p w14:paraId="62C9BF3E" w14:textId="77777777" w:rsidR="00454A29" w:rsidRDefault="00454A29">
            <w:pPr>
              <w:pStyle w:val="ConsPlusNormal"/>
              <w:jc w:val="center"/>
            </w:pPr>
            <w:r>
              <w:t>х</w:t>
            </w:r>
          </w:p>
        </w:tc>
        <w:tc>
          <w:tcPr>
            <w:tcW w:w="1701" w:type="dxa"/>
            <w:vAlign w:val="center"/>
          </w:tcPr>
          <w:p w14:paraId="70BAA256" w14:textId="77777777" w:rsidR="00454A29" w:rsidRDefault="00454A29">
            <w:pPr>
              <w:pStyle w:val="ConsPlusNormal"/>
              <w:jc w:val="center"/>
            </w:pPr>
            <w:r>
              <w:t>х</w:t>
            </w:r>
          </w:p>
        </w:tc>
        <w:tc>
          <w:tcPr>
            <w:tcW w:w="1701" w:type="dxa"/>
            <w:vAlign w:val="center"/>
          </w:tcPr>
          <w:p w14:paraId="42F29DE6" w14:textId="77777777" w:rsidR="00454A29" w:rsidRDefault="00454A29">
            <w:pPr>
              <w:pStyle w:val="ConsPlusNormal"/>
              <w:jc w:val="center"/>
            </w:pPr>
            <w:r>
              <w:t>х</w:t>
            </w:r>
          </w:p>
        </w:tc>
        <w:tc>
          <w:tcPr>
            <w:tcW w:w="1701" w:type="dxa"/>
            <w:vAlign w:val="center"/>
          </w:tcPr>
          <w:p w14:paraId="70A066AE" w14:textId="77777777" w:rsidR="00454A29" w:rsidRDefault="00454A29">
            <w:pPr>
              <w:pStyle w:val="ConsPlusNormal"/>
              <w:jc w:val="center"/>
            </w:pPr>
            <w:r>
              <w:t>х</w:t>
            </w:r>
          </w:p>
        </w:tc>
        <w:tc>
          <w:tcPr>
            <w:tcW w:w="1701" w:type="dxa"/>
            <w:vAlign w:val="center"/>
          </w:tcPr>
          <w:p w14:paraId="54901127" w14:textId="77777777" w:rsidR="00454A29" w:rsidRDefault="00454A29">
            <w:pPr>
              <w:pStyle w:val="ConsPlusNormal"/>
              <w:jc w:val="center"/>
            </w:pPr>
            <w:r>
              <w:t>х</w:t>
            </w:r>
          </w:p>
        </w:tc>
      </w:tr>
      <w:tr w:rsidR="00454A29" w14:paraId="1F475877" w14:textId="77777777">
        <w:tc>
          <w:tcPr>
            <w:tcW w:w="964" w:type="dxa"/>
            <w:vMerge/>
          </w:tcPr>
          <w:p w14:paraId="2A160892" w14:textId="77777777" w:rsidR="00454A29" w:rsidRDefault="00454A29"/>
        </w:tc>
        <w:tc>
          <w:tcPr>
            <w:tcW w:w="2154" w:type="dxa"/>
            <w:vMerge/>
            <w:tcBorders>
              <w:top w:val="nil"/>
              <w:bottom w:val="nil"/>
            </w:tcBorders>
          </w:tcPr>
          <w:p w14:paraId="2A538A74" w14:textId="77777777" w:rsidR="00454A29" w:rsidRDefault="00454A29"/>
        </w:tc>
        <w:tc>
          <w:tcPr>
            <w:tcW w:w="2154" w:type="dxa"/>
            <w:vMerge/>
            <w:tcBorders>
              <w:top w:val="nil"/>
              <w:bottom w:val="nil"/>
            </w:tcBorders>
          </w:tcPr>
          <w:p w14:paraId="61F34D92" w14:textId="77777777" w:rsidR="00454A29" w:rsidRDefault="00454A29"/>
        </w:tc>
        <w:tc>
          <w:tcPr>
            <w:tcW w:w="2665" w:type="dxa"/>
            <w:vMerge/>
            <w:tcBorders>
              <w:top w:val="nil"/>
              <w:bottom w:val="nil"/>
            </w:tcBorders>
          </w:tcPr>
          <w:p w14:paraId="4DF3B42D" w14:textId="77777777" w:rsidR="00454A29" w:rsidRDefault="00454A29"/>
        </w:tc>
        <w:tc>
          <w:tcPr>
            <w:tcW w:w="2665" w:type="dxa"/>
            <w:vMerge/>
          </w:tcPr>
          <w:p w14:paraId="19540FE5" w14:textId="77777777" w:rsidR="00454A29" w:rsidRDefault="00454A29"/>
        </w:tc>
        <w:tc>
          <w:tcPr>
            <w:tcW w:w="1928" w:type="dxa"/>
            <w:vMerge/>
          </w:tcPr>
          <w:p w14:paraId="48F28D19" w14:textId="77777777" w:rsidR="00454A29" w:rsidRDefault="00454A29"/>
        </w:tc>
        <w:tc>
          <w:tcPr>
            <w:tcW w:w="1644" w:type="dxa"/>
            <w:vMerge/>
          </w:tcPr>
          <w:p w14:paraId="1C1BC7CF" w14:textId="77777777" w:rsidR="00454A29" w:rsidRDefault="00454A29"/>
        </w:tc>
        <w:tc>
          <w:tcPr>
            <w:tcW w:w="2041" w:type="dxa"/>
            <w:vMerge/>
          </w:tcPr>
          <w:p w14:paraId="70CD0DDD" w14:textId="77777777" w:rsidR="00454A29" w:rsidRDefault="00454A29"/>
        </w:tc>
        <w:tc>
          <w:tcPr>
            <w:tcW w:w="2098" w:type="dxa"/>
            <w:vAlign w:val="center"/>
          </w:tcPr>
          <w:p w14:paraId="0599C3EF" w14:textId="77777777" w:rsidR="00454A29" w:rsidRDefault="00454A29">
            <w:pPr>
              <w:pStyle w:val="ConsPlusNormal"/>
              <w:jc w:val="center"/>
            </w:pPr>
            <w:r>
              <w:t>Внебюджетные средства</w:t>
            </w:r>
          </w:p>
        </w:tc>
        <w:tc>
          <w:tcPr>
            <w:tcW w:w="1814" w:type="dxa"/>
            <w:vAlign w:val="center"/>
          </w:tcPr>
          <w:p w14:paraId="76FE69FC" w14:textId="77777777" w:rsidR="00454A29" w:rsidRDefault="00454A29">
            <w:pPr>
              <w:pStyle w:val="ConsPlusNormal"/>
              <w:jc w:val="center"/>
            </w:pPr>
            <w:r>
              <w:t>х</w:t>
            </w:r>
          </w:p>
        </w:tc>
        <w:tc>
          <w:tcPr>
            <w:tcW w:w="1701" w:type="dxa"/>
            <w:vAlign w:val="center"/>
          </w:tcPr>
          <w:p w14:paraId="1934D14D" w14:textId="77777777" w:rsidR="00454A29" w:rsidRDefault="00454A29">
            <w:pPr>
              <w:pStyle w:val="ConsPlusNormal"/>
              <w:jc w:val="center"/>
            </w:pPr>
            <w:r>
              <w:t>х</w:t>
            </w:r>
          </w:p>
        </w:tc>
        <w:tc>
          <w:tcPr>
            <w:tcW w:w="1701" w:type="dxa"/>
            <w:vAlign w:val="center"/>
          </w:tcPr>
          <w:p w14:paraId="1A4E280E" w14:textId="77777777" w:rsidR="00454A29" w:rsidRDefault="00454A29">
            <w:pPr>
              <w:pStyle w:val="ConsPlusNormal"/>
              <w:jc w:val="center"/>
            </w:pPr>
            <w:r>
              <w:t>х</w:t>
            </w:r>
          </w:p>
        </w:tc>
        <w:tc>
          <w:tcPr>
            <w:tcW w:w="1701" w:type="dxa"/>
            <w:vAlign w:val="center"/>
          </w:tcPr>
          <w:p w14:paraId="43635396" w14:textId="77777777" w:rsidR="00454A29" w:rsidRDefault="00454A29">
            <w:pPr>
              <w:pStyle w:val="ConsPlusNormal"/>
              <w:jc w:val="center"/>
            </w:pPr>
            <w:r>
              <w:t>х</w:t>
            </w:r>
          </w:p>
        </w:tc>
        <w:tc>
          <w:tcPr>
            <w:tcW w:w="1701" w:type="dxa"/>
            <w:vAlign w:val="center"/>
          </w:tcPr>
          <w:p w14:paraId="548A8BAA" w14:textId="77777777" w:rsidR="00454A29" w:rsidRDefault="00454A29">
            <w:pPr>
              <w:pStyle w:val="ConsPlusNormal"/>
              <w:jc w:val="center"/>
            </w:pPr>
            <w:r>
              <w:t>х</w:t>
            </w:r>
          </w:p>
        </w:tc>
        <w:tc>
          <w:tcPr>
            <w:tcW w:w="1701" w:type="dxa"/>
            <w:vAlign w:val="center"/>
          </w:tcPr>
          <w:p w14:paraId="621CE15B" w14:textId="77777777" w:rsidR="00454A29" w:rsidRDefault="00454A29">
            <w:pPr>
              <w:pStyle w:val="ConsPlusNormal"/>
              <w:jc w:val="center"/>
            </w:pPr>
            <w:r>
              <w:t>х</w:t>
            </w:r>
          </w:p>
        </w:tc>
        <w:tc>
          <w:tcPr>
            <w:tcW w:w="1701" w:type="dxa"/>
            <w:vAlign w:val="center"/>
          </w:tcPr>
          <w:p w14:paraId="08FE4FC8" w14:textId="77777777" w:rsidR="00454A29" w:rsidRDefault="00454A29">
            <w:pPr>
              <w:pStyle w:val="ConsPlusNormal"/>
              <w:jc w:val="center"/>
            </w:pPr>
            <w:r>
              <w:t>х</w:t>
            </w:r>
          </w:p>
        </w:tc>
      </w:tr>
      <w:tr w:rsidR="00454A29" w14:paraId="7E867957" w14:textId="77777777">
        <w:tc>
          <w:tcPr>
            <w:tcW w:w="964" w:type="dxa"/>
            <w:vMerge w:val="restart"/>
            <w:vAlign w:val="center"/>
          </w:tcPr>
          <w:p w14:paraId="0F199889" w14:textId="77777777" w:rsidR="00454A29" w:rsidRDefault="00454A29">
            <w:pPr>
              <w:pStyle w:val="ConsPlusNormal"/>
              <w:jc w:val="center"/>
            </w:pPr>
            <w:r>
              <w:t>7.6.2.</w:t>
            </w:r>
          </w:p>
        </w:tc>
        <w:tc>
          <w:tcPr>
            <w:tcW w:w="2154" w:type="dxa"/>
            <w:vMerge/>
            <w:tcBorders>
              <w:top w:val="nil"/>
              <w:bottom w:val="nil"/>
            </w:tcBorders>
          </w:tcPr>
          <w:p w14:paraId="63FD884C" w14:textId="77777777" w:rsidR="00454A29" w:rsidRDefault="00454A29"/>
        </w:tc>
        <w:tc>
          <w:tcPr>
            <w:tcW w:w="2154" w:type="dxa"/>
            <w:vMerge/>
            <w:tcBorders>
              <w:top w:val="nil"/>
              <w:bottom w:val="nil"/>
            </w:tcBorders>
          </w:tcPr>
          <w:p w14:paraId="1062C539" w14:textId="77777777" w:rsidR="00454A29" w:rsidRDefault="00454A29"/>
        </w:tc>
        <w:tc>
          <w:tcPr>
            <w:tcW w:w="2665" w:type="dxa"/>
            <w:vMerge/>
            <w:tcBorders>
              <w:top w:val="nil"/>
              <w:bottom w:val="nil"/>
            </w:tcBorders>
          </w:tcPr>
          <w:p w14:paraId="3834C79E" w14:textId="77777777" w:rsidR="00454A29" w:rsidRDefault="00454A29"/>
        </w:tc>
        <w:tc>
          <w:tcPr>
            <w:tcW w:w="2665" w:type="dxa"/>
            <w:vMerge/>
          </w:tcPr>
          <w:p w14:paraId="5BDABCCE" w14:textId="77777777" w:rsidR="00454A29" w:rsidRDefault="00454A29"/>
        </w:tc>
        <w:tc>
          <w:tcPr>
            <w:tcW w:w="1928" w:type="dxa"/>
            <w:vMerge w:val="restart"/>
            <w:vAlign w:val="center"/>
          </w:tcPr>
          <w:p w14:paraId="718A24D1" w14:textId="77777777" w:rsidR="00454A29" w:rsidRDefault="00454A29">
            <w:pPr>
              <w:pStyle w:val="ConsPlusNormal"/>
              <w:jc w:val="center"/>
            </w:pPr>
            <w:r>
              <w:t>ГО "город Якутск"</w:t>
            </w:r>
          </w:p>
        </w:tc>
        <w:tc>
          <w:tcPr>
            <w:tcW w:w="1644" w:type="dxa"/>
            <w:vMerge w:val="restart"/>
            <w:vAlign w:val="center"/>
          </w:tcPr>
          <w:p w14:paraId="5BB35B0A" w14:textId="77777777" w:rsidR="00454A29" w:rsidRDefault="00454A29">
            <w:pPr>
              <w:pStyle w:val="ConsPlusNormal"/>
              <w:jc w:val="center"/>
            </w:pPr>
            <w:r>
              <w:t>г. Якутск</w:t>
            </w:r>
          </w:p>
        </w:tc>
        <w:tc>
          <w:tcPr>
            <w:tcW w:w="2041" w:type="dxa"/>
            <w:vMerge w:val="restart"/>
            <w:vAlign w:val="center"/>
          </w:tcPr>
          <w:p w14:paraId="0AB864E1" w14:textId="77777777" w:rsidR="00454A29" w:rsidRDefault="00454A29">
            <w:pPr>
              <w:pStyle w:val="ConsPlusNormal"/>
              <w:jc w:val="center"/>
            </w:pPr>
            <w:r>
              <w:t>ФГБОУ ВО "Арктический государственный институт культуры и искусства"</w:t>
            </w:r>
          </w:p>
        </w:tc>
        <w:tc>
          <w:tcPr>
            <w:tcW w:w="2098" w:type="dxa"/>
            <w:vAlign w:val="center"/>
          </w:tcPr>
          <w:p w14:paraId="5F02C1D6" w14:textId="77777777" w:rsidR="00454A29" w:rsidRDefault="00454A29">
            <w:pPr>
              <w:pStyle w:val="ConsPlusNormal"/>
              <w:jc w:val="center"/>
            </w:pPr>
            <w:r>
              <w:t>Итого</w:t>
            </w:r>
          </w:p>
        </w:tc>
        <w:tc>
          <w:tcPr>
            <w:tcW w:w="1814" w:type="dxa"/>
            <w:vAlign w:val="center"/>
          </w:tcPr>
          <w:p w14:paraId="07D30E21" w14:textId="77777777" w:rsidR="00454A29" w:rsidRDefault="00454A29">
            <w:pPr>
              <w:pStyle w:val="ConsPlusNormal"/>
              <w:jc w:val="center"/>
            </w:pPr>
            <w:r>
              <w:t>х</w:t>
            </w:r>
          </w:p>
        </w:tc>
        <w:tc>
          <w:tcPr>
            <w:tcW w:w="1701" w:type="dxa"/>
            <w:vAlign w:val="center"/>
          </w:tcPr>
          <w:p w14:paraId="46D1C43B" w14:textId="77777777" w:rsidR="00454A29" w:rsidRDefault="00454A29">
            <w:pPr>
              <w:pStyle w:val="ConsPlusNormal"/>
              <w:jc w:val="center"/>
            </w:pPr>
            <w:r>
              <w:t>х</w:t>
            </w:r>
          </w:p>
        </w:tc>
        <w:tc>
          <w:tcPr>
            <w:tcW w:w="1701" w:type="dxa"/>
            <w:vAlign w:val="center"/>
          </w:tcPr>
          <w:p w14:paraId="7861E6C5" w14:textId="77777777" w:rsidR="00454A29" w:rsidRDefault="00454A29">
            <w:pPr>
              <w:pStyle w:val="ConsPlusNormal"/>
              <w:jc w:val="center"/>
            </w:pPr>
            <w:r>
              <w:t>х</w:t>
            </w:r>
          </w:p>
        </w:tc>
        <w:tc>
          <w:tcPr>
            <w:tcW w:w="1701" w:type="dxa"/>
            <w:vAlign w:val="center"/>
          </w:tcPr>
          <w:p w14:paraId="5EDEFD83" w14:textId="77777777" w:rsidR="00454A29" w:rsidRDefault="00454A29">
            <w:pPr>
              <w:pStyle w:val="ConsPlusNormal"/>
              <w:jc w:val="center"/>
            </w:pPr>
            <w:r>
              <w:t>х</w:t>
            </w:r>
          </w:p>
        </w:tc>
        <w:tc>
          <w:tcPr>
            <w:tcW w:w="1701" w:type="dxa"/>
            <w:vAlign w:val="center"/>
          </w:tcPr>
          <w:p w14:paraId="2BB084CD" w14:textId="77777777" w:rsidR="00454A29" w:rsidRDefault="00454A29">
            <w:pPr>
              <w:pStyle w:val="ConsPlusNormal"/>
              <w:jc w:val="center"/>
            </w:pPr>
            <w:r>
              <w:t>х</w:t>
            </w:r>
          </w:p>
        </w:tc>
        <w:tc>
          <w:tcPr>
            <w:tcW w:w="1701" w:type="dxa"/>
            <w:vAlign w:val="center"/>
          </w:tcPr>
          <w:p w14:paraId="2DE369C4" w14:textId="77777777" w:rsidR="00454A29" w:rsidRDefault="00454A29">
            <w:pPr>
              <w:pStyle w:val="ConsPlusNormal"/>
              <w:jc w:val="center"/>
            </w:pPr>
            <w:r>
              <w:t>х</w:t>
            </w:r>
          </w:p>
        </w:tc>
        <w:tc>
          <w:tcPr>
            <w:tcW w:w="1701" w:type="dxa"/>
            <w:vAlign w:val="center"/>
          </w:tcPr>
          <w:p w14:paraId="085D4E03" w14:textId="77777777" w:rsidR="00454A29" w:rsidRDefault="00454A29">
            <w:pPr>
              <w:pStyle w:val="ConsPlusNormal"/>
              <w:jc w:val="center"/>
            </w:pPr>
            <w:r>
              <w:t>х</w:t>
            </w:r>
          </w:p>
        </w:tc>
      </w:tr>
      <w:tr w:rsidR="00454A29" w14:paraId="7BB62A1F" w14:textId="77777777">
        <w:tc>
          <w:tcPr>
            <w:tcW w:w="964" w:type="dxa"/>
            <w:vMerge/>
          </w:tcPr>
          <w:p w14:paraId="07E9FDEA" w14:textId="77777777" w:rsidR="00454A29" w:rsidRDefault="00454A29"/>
        </w:tc>
        <w:tc>
          <w:tcPr>
            <w:tcW w:w="2154" w:type="dxa"/>
            <w:vMerge/>
            <w:tcBorders>
              <w:top w:val="nil"/>
              <w:bottom w:val="nil"/>
            </w:tcBorders>
          </w:tcPr>
          <w:p w14:paraId="36BE9E80" w14:textId="77777777" w:rsidR="00454A29" w:rsidRDefault="00454A29"/>
        </w:tc>
        <w:tc>
          <w:tcPr>
            <w:tcW w:w="2154" w:type="dxa"/>
            <w:vMerge/>
            <w:tcBorders>
              <w:top w:val="nil"/>
              <w:bottom w:val="nil"/>
            </w:tcBorders>
          </w:tcPr>
          <w:p w14:paraId="49D35995" w14:textId="77777777" w:rsidR="00454A29" w:rsidRDefault="00454A29"/>
        </w:tc>
        <w:tc>
          <w:tcPr>
            <w:tcW w:w="2665" w:type="dxa"/>
            <w:vMerge/>
            <w:tcBorders>
              <w:top w:val="nil"/>
              <w:bottom w:val="nil"/>
            </w:tcBorders>
          </w:tcPr>
          <w:p w14:paraId="4C20951A" w14:textId="77777777" w:rsidR="00454A29" w:rsidRDefault="00454A29"/>
        </w:tc>
        <w:tc>
          <w:tcPr>
            <w:tcW w:w="2665" w:type="dxa"/>
            <w:vMerge/>
          </w:tcPr>
          <w:p w14:paraId="1904D679" w14:textId="77777777" w:rsidR="00454A29" w:rsidRDefault="00454A29"/>
        </w:tc>
        <w:tc>
          <w:tcPr>
            <w:tcW w:w="1928" w:type="dxa"/>
            <w:vMerge/>
          </w:tcPr>
          <w:p w14:paraId="69A49321" w14:textId="77777777" w:rsidR="00454A29" w:rsidRDefault="00454A29"/>
        </w:tc>
        <w:tc>
          <w:tcPr>
            <w:tcW w:w="1644" w:type="dxa"/>
            <w:vMerge/>
          </w:tcPr>
          <w:p w14:paraId="69AD5B83" w14:textId="77777777" w:rsidR="00454A29" w:rsidRDefault="00454A29"/>
        </w:tc>
        <w:tc>
          <w:tcPr>
            <w:tcW w:w="2041" w:type="dxa"/>
            <w:vMerge/>
          </w:tcPr>
          <w:p w14:paraId="3A9C9A77" w14:textId="77777777" w:rsidR="00454A29" w:rsidRDefault="00454A29"/>
        </w:tc>
        <w:tc>
          <w:tcPr>
            <w:tcW w:w="2098" w:type="dxa"/>
            <w:vAlign w:val="center"/>
          </w:tcPr>
          <w:p w14:paraId="24DE93F6"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9DEF7D9" w14:textId="77777777" w:rsidR="00454A29" w:rsidRDefault="00454A29">
            <w:pPr>
              <w:pStyle w:val="ConsPlusNormal"/>
              <w:jc w:val="center"/>
            </w:pPr>
            <w:r>
              <w:t>х</w:t>
            </w:r>
          </w:p>
        </w:tc>
        <w:tc>
          <w:tcPr>
            <w:tcW w:w="1701" w:type="dxa"/>
            <w:vAlign w:val="center"/>
          </w:tcPr>
          <w:p w14:paraId="49D6EB24" w14:textId="77777777" w:rsidR="00454A29" w:rsidRDefault="00454A29">
            <w:pPr>
              <w:pStyle w:val="ConsPlusNormal"/>
              <w:jc w:val="center"/>
            </w:pPr>
            <w:r>
              <w:t>х</w:t>
            </w:r>
          </w:p>
        </w:tc>
        <w:tc>
          <w:tcPr>
            <w:tcW w:w="1701" w:type="dxa"/>
            <w:vAlign w:val="center"/>
          </w:tcPr>
          <w:p w14:paraId="55079D77" w14:textId="77777777" w:rsidR="00454A29" w:rsidRDefault="00454A29">
            <w:pPr>
              <w:pStyle w:val="ConsPlusNormal"/>
              <w:jc w:val="center"/>
            </w:pPr>
            <w:r>
              <w:t>х</w:t>
            </w:r>
          </w:p>
        </w:tc>
        <w:tc>
          <w:tcPr>
            <w:tcW w:w="1701" w:type="dxa"/>
            <w:vAlign w:val="center"/>
          </w:tcPr>
          <w:p w14:paraId="2030D2D2" w14:textId="77777777" w:rsidR="00454A29" w:rsidRDefault="00454A29">
            <w:pPr>
              <w:pStyle w:val="ConsPlusNormal"/>
              <w:jc w:val="center"/>
            </w:pPr>
            <w:r>
              <w:t>х</w:t>
            </w:r>
          </w:p>
        </w:tc>
        <w:tc>
          <w:tcPr>
            <w:tcW w:w="1701" w:type="dxa"/>
            <w:vAlign w:val="center"/>
          </w:tcPr>
          <w:p w14:paraId="0C148E0C" w14:textId="77777777" w:rsidR="00454A29" w:rsidRDefault="00454A29">
            <w:pPr>
              <w:pStyle w:val="ConsPlusNormal"/>
              <w:jc w:val="center"/>
            </w:pPr>
            <w:r>
              <w:t>х</w:t>
            </w:r>
          </w:p>
        </w:tc>
        <w:tc>
          <w:tcPr>
            <w:tcW w:w="1701" w:type="dxa"/>
            <w:vAlign w:val="center"/>
          </w:tcPr>
          <w:p w14:paraId="0B9A07FA" w14:textId="77777777" w:rsidR="00454A29" w:rsidRDefault="00454A29">
            <w:pPr>
              <w:pStyle w:val="ConsPlusNormal"/>
              <w:jc w:val="center"/>
            </w:pPr>
            <w:r>
              <w:t>х</w:t>
            </w:r>
          </w:p>
        </w:tc>
        <w:tc>
          <w:tcPr>
            <w:tcW w:w="1701" w:type="dxa"/>
            <w:vAlign w:val="center"/>
          </w:tcPr>
          <w:p w14:paraId="2F30BC57" w14:textId="77777777" w:rsidR="00454A29" w:rsidRDefault="00454A29">
            <w:pPr>
              <w:pStyle w:val="ConsPlusNormal"/>
              <w:jc w:val="center"/>
            </w:pPr>
            <w:r>
              <w:t>х</w:t>
            </w:r>
          </w:p>
        </w:tc>
      </w:tr>
      <w:tr w:rsidR="00454A29" w14:paraId="267FFC77" w14:textId="77777777">
        <w:tc>
          <w:tcPr>
            <w:tcW w:w="964" w:type="dxa"/>
            <w:vMerge/>
          </w:tcPr>
          <w:p w14:paraId="167AE345" w14:textId="77777777" w:rsidR="00454A29" w:rsidRDefault="00454A29"/>
        </w:tc>
        <w:tc>
          <w:tcPr>
            <w:tcW w:w="2154" w:type="dxa"/>
            <w:vMerge/>
            <w:tcBorders>
              <w:top w:val="nil"/>
              <w:bottom w:val="nil"/>
            </w:tcBorders>
          </w:tcPr>
          <w:p w14:paraId="036D9939" w14:textId="77777777" w:rsidR="00454A29" w:rsidRDefault="00454A29"/>
        </w:tc>
        <w:tc>
          <w:tcPr>
            <w:tcW w:w="2154" w:type="dxa"/>
            <w:vMerge/>
            <w:tcBorders>
              <w:top w:val="nil"/>
              <w:bottom w:val="nil"/>
            </w:tcBorders>
          </w:tcPr>
          <w:p w14:paraId="1E9BDA4E" w14:textId="77777777" w:rsidR="00454A29" w:rsidRDefault="00454A29"/>
        </w:tc>
        <w:tc>
          <w:tcPr>
            <w:tcW w:w="2665" w:type="dxa"/>
            <w:vMerge/>
            <w:tcBorders>
              <w:top w:val="nil"/>
              <w:bottom w:val="nil"/>
            </w:tcBorders>
          </w:tcPr>
          <w:p w14:paraId="5C129775" w14:textId="77777777" w:rsidR="00454A29" w:rsidRDefault="00454A29"/>
        </w:tc>
        <w:tc>
          <w:tcPr>
            <w:tcW w:w="2665" w:type="dxa"/>
            <w:vMerge/>
          </w:tcPr>
          <w:p w14:paraId="50495B63" w14:textId="77777777" w:rsidR="00454A29" w:rsidRDefault="00454A29"/>
        </w:tc>
        <w:tc>
          <w:tcPr>
            <w:tcW w:w="1928" w:type="dxa"/>
            <w:vMerge/>
          </w:tcPr>
          <w:p w14:paraId="2943D6C8" w14:textId="77777777" w:rsidR="00454A29" w:rsidRDefault="00454A29"/>
        </w:tc>
        <w:tc>
          <w:tcPr>
            <w:tcW w:w="1644" w:type="dxa"/>
            <w:vMerge/>
          </w:tcPr>
          <w:p w14:paraId="2A938D20" w14:textId="77777777" w:rsidR="00454A29" w:rsidRDefault="00454A29"/>
        </w:tc>
        <w:tc>
          <w:tcPr>
            <w:tcW w:w="2041" w:type="dxa"/>
            <w:vMerge/>
          </w:tcPr>
          <w:p w14:paraId="7999CFA0" w14:textId="77777777" w:rsidR="00454A29" w:rsidRDefault="00454A29"/>
        </w:tc>
        <w:tc>
          <w:tcPr>
            <w:tcW w:w="2098" w:type="dxa"/>
            <w:vAlign w:val="center"/>
          </w:tcPr>
          <w:p w14:paraId="1CBF2683" w14:textId="77777777" w:rsidR="00454A29" w:rsidRDefault="00454A29">
            <w:pPr>
              <w:pStyle w:val="ConsPlusNormal"/>
              <w:jc w:val="center"/>
            </w:pPr>
            <w:r>
              <w:t>Федеральный бюджет</w:t>
            </w:r>
          </w:p>
        </w:tc>
        <w:tc>
          <w:tcPr>
            <w:tcW w:w="1814" w:type="dxa"/>
            <w:vAlign w:val="center"/>
          </w:tcPr>
          <w:p w14:paraId="6C352CF4" w14:textId="77777777" w:rsidR="00454A29" w:rsidRDefault="00454A29">
            <w:pPr>
              <w:pStyle w:val="ConsPlusNormal"/>
              <w:jc w:val="center"/>
            </w:pPr>
            <w:r>
              <w:t>х</w:t>
            </w:r>
          </w:p>
        </w:tc>
        <w:tc>
          <w:tcPr>
            <w:tcW w:w="1701" w:type="dxa"/>
            <w:vAlign w:val="center"/>
          </w:tcPr>
          <w:p w14:paraId="4F0A83C7" w14:textId="77777777" w:rsidR="00454A29" w:rsidRDefault="00454A29">
            <w:pPr>
              <w:pStyle w:val="ConsPlusNormal"/>
              <w:jc w:val="center"/>
            </w:pPr>
            <w:r>
              <w:t>х</w:t>
            </w:r>
          </w:p>
        </w:tc>
        <w:tc>
          <w:tcPr>
            <w:tcW w:w="1701" w:type="dxa"/>
            <w:vAlign w:val="center"/>
          </w:tcPr>
          <w:p w14:paraId="616E3BF0" w14:textId="77777777" w:rsidR="00454A29" w:rsidRDefault="00454A29">
            <w:pPr>
              <w:pStyle w:val="ConsPlusNormal"/>
              <w:jc w:val="center"/>
            </w:pPr>
            <w:r>
              <w:t>х</w:t>
            </w:r>
          </w:p>
        </w:tc>
        <w:tc>
          <w:tcPr>
            <w:tcW w:w="1701" w:type="dxa"/>
            <w:vAlign w:val="center"/>
          </w:tcPr>
          <w:p w14:paraId="5CFE4D70" w14:textId="77777777" w:rsidR="00454A29" w:rsidRDefault="00454A29">
            <w:pPr>
              <w:pStyle w:val="ConsPlusNormal"/>
              <w:jc w:val="center"/>
            </w:pPr>
            <w:r>
              <w:t>х</w:t>
            </w:r>
          </w:p>
        </w:tc>
        <w:tc>
          <w:tcPr>
            <w:tcW w:w="1701" w:type="dxa"/>
            <w:vAlign w:val="center"/>
          </w:tcPr>
          <w:p w14:paraId="22EDA711" w14:textId="77777777" w:rsidR="00454A29" w:rsidRDefault="00454A29">
            <w:pPr>
              <w:pStyle w:val="ConsPlusNormal"/>
              <w:jc w:val="center"/>
            </w:pPr>
            <w:r>
              <w:t>х</w:t>
            </w:r>
          </w:p>
        </w:tc>
        <w:tc>
          <w:tcPr>
            <w:tcW w:w="1701" w:type="dxa"/>
            <w:vAlign w:val="center"/>
          </w:tcPr>
          <w:p w14:paraId="122F07CD" w14:textId="77777777" w:rsidR="00454A29" w:rsidRDefault="00454A29">
            <w:pPr>
              <w:pStyle w:val="ConsPlusNormal"/>
              <w:jc w:val="center"/>
            </w:pPr>
            <w:r>
              <w:t>х</w:t>
            </w:r>
          </w:p>
        </w:tc>
        <w:tc>
          <w:tcPr>
            <w:tcW w:w="1701" w:type="dxa"/>
            <w:vAlign w:val="center"/>
          </w:tcPr>
          <w:p w14:paraId="314B0809" w14:textId="77777777" w:rsidR="00454A29" w:rsidRDefault="00454A29">
            <w:pPr>
              <w:pStyle w:val="ConsPlusNormal"/>
              <w:jc w:val="center"/>
            </w:pPr>
            <w:r>
              <w:t>х</w:t>
            </w:r>
          </w:p>
        </w:tc>
      </w:tr>
      <w:tr w:rsidR="00454A29" w14:paraId="190174A4" w14:textId="77777777">
        <w:tc>
          <w:tcPr>
            <w:tcW w:w="964" w:type="dxa"/>
            <w:vMerge/>
          </w:tcPr>
          <w:p w14:paraId="170527BE" w14:textId="77777777" w:rsidR="00454A29" w:rsidRDefault="00454A29"/>
        </w:tc>
        <w:tc>
          <w:tcPr>
            <w:tcW w:w="2154" w:type="dxa"/>
            <w:vMerge/>
            <w:tcBorders>
              <w:top w:val="nil"/>
              <w:bottom w:val="nil"/>
            </w:tcBorders>
          </w:tcPr>
          <w:p w14:paraId="3BD25494" w14:textId="77777777" w:rsidR="00454A29" w:rsidRDefault="00454A29"/>
        </w:tc>
        <w:tc>
          <w:tcPr>
            <w:tcW w:w="2154" w:type="dxa"/>
            <w:vMerge/>
            <w:tcBorders>
              <w:top w:val="nil"/>
              <w:bottom w:val="nil"/>
            </w:tcBorders>
          </w:tcPr>
          <w:p w14:paraId="0F038038" w14:textId="77777777" w:rsidR="00454A29" w:rsidRDefault="00454A29"/>
        </w:tc>
        <w:tc>
          <w:tcPr>
            <w:tcW w:w="2665" w:type="dxa"/>
            <w:vMerge/>
            <w:tcBorders>
              <w:top w:val="nil"/>
              <w:bottom w:val="nil"/>
            </w:tcBorders>
          </w:tcPr>
          <w:p w14:paraId="145A9EA4" w14:textId="77777777" w:rsidR="00454A29" w:rsidRDefault="00454A29"/>
        </w:tc>
        <w:tc>
          <w:tcPr>
            <w:tcW w:w="2665" w:type="dxa"/>
            <w:vMerge/>
          </w:tcPr>
          <w:p w14:paraId="7384B930" w14:textId="77777777" w:rsidR="00454A29" w:rsidRDefault="00454A29"/>
        </w:tc>
        <w:tc>
          <w:tcPr>
            <w:tcW w:w="1928" w:type="dxa"/>
            <w:vMerge/>
          </w:tcPr>
          <w:p w14:paraId="45C16ECF" w14:textId="77777777" w:rsidR="00454A29" w:rsidRDefault="00454A29"/>
        </w:tc>
        <w:tc>
          <w:tcPr>
            <w:tcW w:w="1644" w:type="dxa"/>
            <w:vMerge/>
          </w:tcPr>
          <w:p w14:paraId="28C4C528" w14:textId="77777777" w:rsidR="00454A29" w:rsidRDefault="00454A29"/>
        </w:tc>
        <w:tc>
          <w:tcPr>
            <w:tcW w:w="2041" w:type="dxa"/>
            <w:vMerge/>
          </w:tcPr>
          <w:p w14:paraId="1FCC4DB9" w14:textId="77777777" w:rsidR="00454A29" w:rsidRDefault="00454A29"/>
        </w:tc>
        <w:tc>
          <w:tcPr>
            <w:tcW w:w="2098" w:type="dxa"/>
            <w:vAlign w:val="center"/>
          </w:tcPr>
          <w:p w14:paraId="7BCE82E7" w14:textId="77777777" w:rsidR="00454A29" w:rsidRDefault="00454A29">
            <w:pPr>
              <w:pStyle w:val="ConsPlusNormal"/>
              <w:jc w:val="center"/>
            </w:pPr>
            <w:r>
              <w:t>Местные бюджеты</w:t>
            </w:r>
          </w:p>
        </w:tc>
        <w:tc>
          <w:tcPr>
            <w:tcW w:w="1814" w:type="dxa"/>
            <w:vAlign w:val="center"/>
          </w:tcPr>
          <w:p w14:paraId="3C80C9CF" w14:textId="77777777" w:rsidR="00454A29" w:rsidRDefault="00454A29">
            <w:pPr>
              <w:pStyle w:val="ConsPlusNormal"/>
              <w:jc w:val="center"/>
            </w:pPr>
            <w:r>
              <w:t>х</w:t>
            </w:r>
          </w:p>
        </w:tc>
        <w:tc>
          <w:tcPr>
            <w:tcW w:w="1701" w:type="dxa"/>
            <w:vAlign w:val="center"/>
          </w:tcPr>
          <w:p w14:paraId="33CAE7A3" w14:textId="77777777" w:rsidR="00454A29" w:rsidRDefault="00454A29">
            <w:pPr>
              <w:pStyle w:val="ConsPlusNormal"/>
              <w:jc w:val="center"/>
            </w:pPr>
            <w:r>
              <w:t>х</w:t>
            </w:r>
          </w:p>
        </w:tc>
        <w:tc>
          <w:tcPr>
            <w:tcW w:w="1701" w:type="dxa"/>
            <w:vAlign w:val="center"/>
          </w:tcPr>
          <w:p w14:paraId="0A251F1A" w14:textId="77777777" w:rsidR="00454A29" w:rsidRDefault="00454A29">
            <w:pPr>
              <w:pStyle w:val="ConsPlusNormal"/>
              <w:jc w:val="center"/>
            </w:pPr>
            <w:r>
              <w:t>х</w:t>
            </w:r>
          </w:p>
        </w:tc>
        <w:tc>
          <w:tcPr>
            <w:tcW w:w="1701" w:type="dxa"/>
            <w:vAlign w:val="center"/>
          </w:tcPr>
          <w:p w14:paraId="4D26D57A" w14:textId="77777777" w:rsidR="00454A29" w:rsidRDefault="00454A29">
            <w:pPr>
              <w:pStyle w:val="ConsPlusNormal"/>
              <w:jc w:val="center"/>
            </w:pPr>
            <w:r>
              <w:t>х</w:t>
            </w:r>
          </w:p>
        </w:tc>
        <w:tc>
          <w:tcPr>
            <w:tcW w:w="1701" w:type="dxa"/>
            <w:vAlign w:val="center"/>
          </w:tcPr>
          <w:p w14:paraId="65D88987" w14:textId="77777777" w:rsidR="00454A29" w:rsidRDefault="00454A29">
            <w:pPr>
              <w:pStyle w:val="ConsPlusNormal"/>
              <w:jc w:val="center"/>
            </w:pPr>
            <w:r>
              <w:t>х</w:t>
            </w:r>
          </w:p>
        </w:tc>
        <w:tc>
          <w:tcPr>
            <w:tcW w:w="1701" w:type="dxa"/>
            <w:vAlign w:val="center"/>
          </w:tcPr>
          <w:p w14:paraId="3F20E293" w14:textId="77777777" w:rsidR="00454A29" w:rsidRDefault="00454A29">
            <w:pPr>
              <w:pStyle w:val="ConsPlusNormal"/>
              <w:jc w:val="center"/>
            </w:pPr>
            <w:r>
              <w:t>х</w:t>
            </w:r>
          </w:p>
        </w:tc>
        <w:tc>
          <w:tcPr>
            <w:tcW w:w="1701" w:type="dxa"/>
            <w:vAlign w:val="center"/>
          </w:tcPr>
          <w:p w14:paraId="6BA0F5C5" w14:textId="77777777" w:rsidR="00454A29" w:rsidRDefault="00454A29">
            <w:pPr>
              <w:pStyle w:val="ConsPlusNormal"/>
              <w:jc w:val="center"/>
            </w:pPr>
            <w:r>
              <w:t>х</w:t>
            </w:r>
          </w:p>
        </w:tc>
      </w:tr>
      <w:tr w:rsidR="00454A29" w14:paraId="33A974BF" w14:textId="77777777">
        <w:tc>
          <w:tcPr>
            <w:tcW w:w="964" w:type="dxa"/>
            <w:vMerge/>
          </w:tcPr>
          <w:p w14:paraId="67E4649C" w14:textId="77777777" w:rsidR="00454A29" w:rsidRDefault="00454A29"/>
        </w:tc>
        <w:tc>
          <w:tcPr>
            <w:tcW w:w="2154" w:type="dxa"/>
            <w:vMerge/>
            <w:tcBorders>
              <w:top w:val="nil"/>
              <w:bottom w:val="nil"/>
            </w:tcBorders>
          </w:tcPr>
          <w:p w14:paraId="3FF494E1" w14:textId="77777777" w:rsidR="00454A29" w:rsidRDefault="00454A29"/>
        </w:tc>
        <w:tc>
          <w:tcPr>
            <w:tcW w:w="2154" w:type="dxa"/>
            <w:vMerge/>
            <w:tcBorders>
              <w:top w:val="nil"/>
              <w:bottom w:val="nil"/>
            </w:tcBorders>
          </w:tcPr>
          <w:p w14:paraId="25005E45" w14:textId="77777777" w:rsidR="00454A29" w:rsidRDefault="00454A29"/>
        </w:tc>
        <w:tc>
          <w:tcPr>
            <w:tcW w:w="2665" w:type="dxa"/>
            <w:vMerge/>
            <w:tcBorders>
              <w:top w:val="nil"/>
              <w:bottom w:val="nil"/>
            </w:tcBorders>
          </w:tcPr>
          <w:p w14:paraId="1A2D5170" w14:textId="77777777" w:rsidR="00454A29" w:rsidRDefault="00454A29"/>
        </w:tc>
        <w:tc>
          <w:tcPr>
            <w:tcW w:w="2665" w:type="dxa"/>
            <w:vMerge/>
          </w:tcPr>
          <w:p w14:paraId="5799FD65" w14:textId="77777777" w:rsidR="00454A29" w:rsidRDefault="00454A29"/>
        </w:tc>
        <w:tc>
          <w:tcPr>
            <w:tcW w:w="1928" w:type="dxa"/>
            <w:vMerge/>
          </w:tcPr>
          <w:p w14:paraId="499ADF03" w14:textId="77777777" w:rsidR="00454A29" w:rsidRDefault="00454A29"/>
        </w:tc>
        <w:tc>
          <w:tcPr>
            <w:tcW w:w="1644" w:type="dxa"/>
            <w:vMerge/>
          </w:tcPr>
          <w:p w14:paraId="556A4F54" w14:textId="77777777" w:rsidR="00454A29" w:rsidRDefault="00454A29"/>
        </w:tc>
        <w:tc>
          <w:tcPr>
            <w:tcW w:w="2041" w:type="dxa"/>
            <w:vMerge/>
          </w:tcPr>
          <w:p w14:paraId="6A72302A" w14:textId="77777777" w:rsidR="00454A29" w:rsidRDefault="00454A29"/>
        </w:tc>
        <w:tc>
          <w:tcPr>
            <w:tcW w:w="2098" w:type="dxa"/>
            <w:vAlign w:val="center"/>
          </w:tcPr>
          <w:p w14:paraId="39AEB59E" w14:textId="77777777" w:rsidR="00454A29" w:rsidRDefault="00454A29">
            <w:pPr>
              <w:pStyle w:val="ConsPlusNormal"/>
              <w:jc w:val="center"/>
            </w:pPr>
            <w:r>
              <w:t>Внебюджетные средства</w:t>
            </w:r>
          </w:p>
        </w:tc>
        <w:tc>
          <w:tcPr>
            <w:tcW w:w="1814" w:type="dxa"/>
            <w:vAlign w:val="center"/>
          </w:tcPr>
          <w:p w14:paraId="7E7A399F" w14:textId="77777777" w:rsidR="00454A29" w:rsidRDefault="00454A29">
            <w:pPr>
              <w:pStyle w:val="ConsPlusNormal"/>
              <w:jc w:val="center"/>
            </w:pPr>
            <w:r>
              <w:t>х</w:t>
            </w:r>
          </w:p>
        </w:tc>
        <w:tc>
          <w:tcPr>
            <w:tcW w:w="1701" w:type="dxa"/>
            <w:vAlign w:val="center"/>
          </w:tcPr>
          <w:p w14:paraId="3201970D" w14:textId="77777777" w:rsidR="00454A29" w:rsidRDefault="00454A29">
            <w:pPr>
              <w:pStyle w:val="ConsPlusNormal"/>
              <w:jc w:val="center"/>
            </w:pPr>
            <w:r>
              <w:t>х</w:t>
            </w:r>
          </w:p>
        </w:tc>
        <w:tc>
          <w:tcPr>
            <w:tcW w:w="1701" w:type="dxa"/>
            <w:vAlign w:val="center"/>
          </w:tcPr>
          <w:p w14:paraId="020CA52B" w14:textId="77777777" w:rsidR="00454A29" w:rsidRDefault="00454A29">
            <w:pPr>
              <w:pStyle w:val="ConsPlusNormal"/>
              <w:jc w:val="center"/>
            </w:pPr>
            <w:r>
              <w:t>х</w:t>
            </w:r>
          </w:p>
        </w:tc>
        <w:tc>
          <w:tcPr>
            <w:tcW w:w="1701" w:type="dxa"/>
            <w:vAlign w:val="center"/>
          </w:tcPr>
          <w:p w14:paraId="3A291520" w14:textId="77777777" w:rsidR="00454A29" w:rsidRDefault="00454A29">
            <w:pPr>
              <w:pStyle w:val="ConsPlusNormal"/>
              <w:jc w:val="center"/>
            </w:pPr>
            <w:r>
              <w:t>х</w:t>
            </w:r>
          </w:p>
        </w:tc>
        <w:tc>
          <w:tcPr>
            <w:tcW w:w="1701" w:type="dxa"/>
            <w:vAlign w:val="center"/>
          </w:tcPr>
          <w:p w14:paraId="551C3070" w14:textId="77777777" w:rsidR="00454A29" w:rsidRDefault="00454A29">
            <w:pPr>
              <w:pStyle w:val="ConsPlusNormal"/>
              <w:jc w:val="center"/>
            </w:pPr>
            <w:r>
              <w:t>х</w:t>
            </w:r>
          </w:p>
        </w:tc>
        <w:tc>
          <w:tcPr>
            <w:tcW w:w="1701" w:type="dxa"/>
            <w:vAlign w:val="center"/>
          </w:tcPr>
          <w:p w14:paraId="357B11EE" w14:textId="77777777" w:rsidR="00454A29" w:rsidRDefault="00454A29">
            <w:pPr>
              <w:pStyle w:val="ConsPlusNormal"/>
              <w:jc w:val="center"/>
            </w:pPr>
            <w:r>
              <w:t>х</w:t>
            </w:r>
          </w:p>
        </w:tc>
        <w:tc>
          <w:tcPr>
            <w:tcW w:w="1701" w:type="dxa"/>
            <w:vAlign w:val="center"/>
          </w:tcPr>
          <w:p w14:paraId="4D6B97C0" w14:textId="77777777" w:rsidR="00454A29" w:rsidRDefault="00454A29">
            <w:pPr>
              <w:pStyle w:val="ConsPlusNormal"/>
              <w:jc w:val="center"/>
            </w:pPr>
            <w:r>
              <w:t>х</w:t>
            </w:r>
          </w:p>
        </w:tc>
      </w:tr>
      <w:tr w:rsidR="00454A29" w14:paraId="0581BEFF" w14:textId="77777777">
        <w:tc>
          <w:tcPr>
            <w:tcW w:w="964" w:type="dxa"/>
            <w:vMerge w:val="restart"/>
            <w:vAlign w:val="center"/>
          </w:tcPr>
          <w:p w14:paraId="06F08E9E" w14:textId="77777777" w:rsidR="00454A29" w:rsidRDefault="00454A29">
            <w:pPr>
              <w:pStyle w:val="ConsPlusNormal"/>
              <w:jc w:val="center"/>
            </w:pPr>
            <w:r>
              <w:t>7.6.3.</w:t>
            </w:r>
          </w:p>
        </w:tc>
        <w:tc>
          <w:tcPr>
            <w:tcW w:w="2154" w:type="dxa"/>
            <w:vMerge/>
            <w:tcBorders>
              <w:top w:val="nil"/>
              <w:bottom w:val="nil"/>
            </w:tcBorders>
          </w:tcPr>
          <w:p w14:paraId="559C04F6" w14:textId="77777777" w:rsidR="00454A29" w:rsidRDefault="00454A29"/>
        </w:tc>
        <w:tc>
          <w:tcPr>
            <w:tcW w:w="2154" w:type="dxa"/>
            <w:vMerge/>
            <w:tcBorders>
              <w:top w:val="nil"/>
              <w:bottom w:val="nil"/>
            </w:tcBorders>
          </w:tcPr>
          <w:p w14:paraId="5D7728BB" w14:textId="77777777" w:rsidR="00454A29" w:rsidRDefault="00454A29"/>
        </w:tc>
        <w:tc>
          <w:tcPr>
            <w:tcW w:w="2665" w:type="dxa"/>
            <w:vMerge/>
            <w:tcBorders>
              <w:top w:val="nil"/>
              <w:bottom w:val="nil"/>
            </w:tcBorders>
          </w:tcPr>
          <w:p w14:paraId="3F628632" w14:textId="77777777" w:rsidR="00454A29" w:rsidRDefault="00454A29"/>
        </w:tc>
        <w:tc>
          <w:tcPr>
            <w:tcW w:w="2665" w:type="dxa"/>
            <w:vMerge/>
          </w:tcPr>
          <w:p w14:paraId="41C2F418" w14:textId="77777777" w:rsidR="00454A29" w:rsidRDefault="00454A29"/>
        </w:tc>
        <w:tc>
          <w:tcPr>
            <w:tcW w:w="1928" w:type="dxa"/>
            <w:vMerge w:val="restart"/>
            <w:vAlign w:val="center"/>
          </w:tcPr>
          <w:p w14:paraId="6F1B24F1" w14:textId="77777777" w:rsidR="00454A29" w:rsidRDefault="00454A29">
            <w:pPr>
              <w:pStyle w:val="ConsPlusNormal"/>
              <w:jc w:val="center"/>
            </w:pPr>
            <w:r>
              <w:t>ГО "город Якутск"</w:t>
            </w:r>
          </w:p>
        </w:tc>
        <w:tc>
          <w:tcPr>
            <w:tcW w:w="1644" w:type="dxa"/>
            <w:vMerge w:val="restart"/>
            <w:vAlign w:val="center"/>
          </w:tcPr>
          <w:p w14:paraId="7F6524C9" w14:textId="77777777" w:rsidR="00454A29" w:rsidRDefault="00454A29">
            <w:pPr>
              <w:pStyle w:val="ConsPlusNormal"/>
              <w:jc w:val="center"/>
            </w:pPr>
            <w:r>
              <w:t>г. Якутск</w:t>
            </w:r>
          </w:p>
        </w:tc>
        <w:tc>
          <w:tcPr>
            <w:tcW w:w="2041" w:type="dxa"/>
            <w:vMerge w:val="restart"/>
            <w:vAlign w:val="center"/>
          </w:tcPr>
          <w:p w14:paraId="6641414E" w14:textId="77777777" w:rsidR="00454A29" w:rsidRDefault="00454A29">
            <w:pPr>
              <w:pStyle w:val="ConsPlusNormal"/>
              <w:jc w:val="center"/>
            </w:pPr>
            <w:r>
              <w:t>ФГБОУ ВО "Якутская государственная сельскохозяйственная академия"</w:t>
            </w:r>
          </w:p>
        </w:tc>
        <w:tc>
          <w:tcPr>
            <w:tcW w:w="2098" w:type="dxa"/>
            <w:vAlign w:val="center"/>
          </w:tcPr>
          <w:p w14:paraId="70734B23" w14:textId="77777777" w:rsidR="00454A29" w:rsidRDefault="00454A29">
            <w:pPr>
              <w:pStyle w:val="ConsPlusNormal"/>
              <w:jc w:val="center"/>
            </w:pPr>
            <w:r>
              <w:t>Итого</w:t>
            </w:r>
          </w:p>
        </w:tc>
        <w:tc>
          <w:tcPr>
            <w:tcW w:w="1814" w:type="dxa"/>
            <w:vAlign w:val="center"/>
          </w:tcPr>
          <w:p w14:paraId="12167CF2" w14:textId="77777777" w:rsidR="00454A29" w:rsidRDefault="00454A29">
            <w:pPr>
              <w:pStyle w:val="ConsPlusNormal"/>
              <w:jc w:val="center"/>
            </w:pPr>
            <w:r>
              <w:t>х</w:t>
            </w:r>
          </w:p>
        </w:tc>
        <w:tc>
          <w:tcPr>
            <w:tcW w:w="1701" w:type="dxa"/>
            <w:vAlign w:val="center"/>
          </w:tcPr>
          <w:p w14:paraId="03C413E1" w14:textId="77777777" w:rsidR="00454A29" w:rsidRDefault="00454A29">
            <w:pPr>
              <w:pStyle w:val="ConsPlusNormal"/>
              <w:jc w:val="center"/>
            </w:pPr>
            <w:r>
              <w:t>х</w:t>
            </w:r>
          </w:p>
        </w:tc>
        <w:tc>
          <w:tcPr>
            <w:tcW w:w="1701" w:type="dxa"/>
            <w:vAlign w:val="center"/>
          </w:tcPr>
          <w:p w14:paraId="143B488D" w14:textId="77777777" w:rsidR="00454A29" w:rsidRDefault="00454A29">
            <w:pPr>
              <w:pStyle w:val="ConsPlusNormal"/>
              <w:jc w:val="center"/>
            </w:pPr>
            <w:r>
              <w:t>х</w:t>
            </w:r>
          </w:p>
        </w:tc>
        <w:tc>
          <w:tcPr>
            <w:tcW w:w="1701" w:type="dxa"/>
            <w:vAlign w:val="center"/>
          </w:tcPr>
          <w:p w14:paraId="415B0A56" w14:textId="77777777" w:rsidR="00454A29" w:rsidRDefault="00454A29">
            <w:pPr>
              <w:pStyle w:val="ConsPlusNormal"/>
              <w:jc w:val="center"/>
            </w:pPr>
            <w:r>
              <w:t>х</w:t>
            </w:r>
          </w:p>
        </w:tc>
        <w:tc>
          <w:tcPr>
            <w:tcW w:w="1701" w:type="dxa"/>
            <w:vAlign w:val="center"/>
          </w:tcPr>
          <w:p w14:paraId="5CA85929" w14:textId="77777777" w:rsidR="00454A29" w:rsidRDefault="00454A29">
            <w:pPr>
              <w:pStyle w:val="ConsPlusNormal"/>
              <w:jc w:val="center"/>
            </w:pPr>
            <w:r>
              <w:t>х</w:t>
            </w:r>
          </w:p>
        </w:tc>
        <w:tc>
          <w:tcPr>
            <w:tcW w:w="1701" w:type="dxa"/>
            <w:vAlign w:val="center"/>
          </w:tcPr>
          <w:p w14:paraId="41716485" w14:textId="77777777" w:rsidR="00454A29" w:rsidRDefault="00454A29">
            <w:pPr>
              <w:pStyle w:val="ConsPlusNormal"/>
              <w:jc w:val="center"/>
            </w:pPr>
            <w:r>
              <w:t>х</w:t>
            </w:r>
          </w:p>
        </w:tc>
        <w:tc>
          <w:tcPr>
            <w:tcW w:w="1701" w:type="dxa"/>
            <w:vAlign w:val="center"/>
          </w:tcPr>
          <w:p w14:paraId="362A0800" w14:textId="77777777" w:rsidR="00454A29" w:rsidRDefault="00454A29">
            <w:pPr>
              <w:pStyle w:val="ConsPlusNormal"/>
              <w:jc w:val="center"/>
            </w:pPr>
            <w:r>
              <w:t>х</w:t>
            </w:r>
          </w:p>
        </w:tc>
      </w:tr>
      <w:tr w:rsidR="00454A29" w14:paraId="780F3F12" w14:textId="77777777">
        <w:tc>
          <w:tcPr>
            <w:tcW w:w="964" w:type="dxa"/>
            <w:vMerge/>
          </w:tcPr>
          <w:p w14:paraId="5D88EBB1" w14:textId="77777777" w:rsidR="00454A29" w:rsidRDefault="00454A29"/>
        </w:tc>
        <w:tc>
          <w:tcPr>
            <w:tcW w:w="2154" w:type="dxa"/>
            <w:vMerge/>
            <w:tcBorders>
              <w:top w:val="nil"/>
              <w:bottom w:val="nil"/>
            </w:tcBorders>
          </w:tcPr>
          <w:p w14:paraId="68C6C1D6" w14:textId="77777777" w:rsidR="00454A29" w:rsidRDefault="00454A29"/>
        </w:tc>
        <w:tc>
          <w:tcPr>
            <w:tcW w:w="2154" w:type="dxa"/>
            <w:vMerge/>
            <w:tcBorders>
              <w:top w:val="nil"/>
              <w:bottom w:val="nil"/>
            </w:tcBorders>
          </w:tcPr>
          <w:p w14:paraId="2C071519" w14:textId="77777777" w:rsidR="00454A29" w:rsidRDefault="00454A29"/>
        </w:tc>
        <w:tc>
          <w:tcPr>
            <w:tcW w:w="2665" w:type="dxa"/>
            <w:vMerge/>
            <w:tcBorders>
              <w:top w:val="nil"/>
              <w:bottom w:val="nil"/>
            </w:tcBorders>
          </w:tcPr>
          <w:p w14:paraId="26C11835" w14:textId="77777777" w:rsidR="00454A29" w:rsidRDefault="00454A29"/>
        </w:tc>
        <w:tc>
          <w:tcPr>
            <w:tcW w:w="2665" w:type="dxa"/>
            <w:vMerge/>
          </w:tcPr>
          <w:p w14:paraId="58CA5E9A" w14:textId="77777777" w:rsidR="00454A29" w:rsidRDefault="00454A29"/>
        </w:tc>
        <w:tc>
          <w:tcPr>
            <w:tcW w:w="1928" w:type="dxa"/>
            <w:vMerge/>
          </w:tcPr>
          <w:p w14:paraId="669C205F" w14:textId="77777777" w:rsidR="00454A29" w:rsidRDefault="00454A29"/>
        </w:tc>
        <w:tc>
          <w:tcPr>
            <w:tcW w:w="1644" w:type="dxa"/>
            <w:vMerge/>
          </w:tcPr>
          <w:p w14:paraId="0E92C1F8" w14:textId="77777777" w:rsidR="00454A29" w:rsidRDefault="00454A29"/>
        </w:tc>
        <w:tc>
          <w:tcPr>
            <w:tcW w:w="2041" w:type="dxa"/>
            <w:vMerge/>
          </w:tcPr>
          <w:p w14:paraId="2F27F853" w14:textId="77777777" w:rsidR="00454A29" w:rsidRDefault="00454A29"/>
        </w:tc>
        <w:tc>
          <w:tcPr>
            <w:tcW w:w="2098" w:type="dxa"/>
            <w:vAlign w:val="center"/>
          </w:tcPr>
          <w:p w14:paraId="2B6E4898"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40E3AAC9" w14:textId="77777777" w:rsidR="00454A29" w:rsidRDefault="00454A29">
            <w:pPr>
              <w:pStyle w:val="ConsPlusNormal"/>
              <w:jc w:val="center"/>
            </w:pPr>
            <w:r>
              <w:t>х</w:t>
            </w:r>
          </w:p>
        </w:tc>
        <w:tc>
          <w:tcPr>
            <w:tcW w:w="1701" w:type="dxa"/>
            <w:vAlign w:val="center"/>
          </w:tcPr>
          <w:p w14:paraId="791BCA5E" w14:textId="77777777" w:rsidR="00454A29" w:rsidRDefault="00454A29">
            <w:pPr>
              <w:pStyle w:val="ConsPlusNormal"/>
              <w:jc w:val="center"/>
            </w:pPr>
            <w:r>
              <w:t>х</w:t>
            </w:r>
          </w:p>
        </w:tc>
        <w:tc>
          <w:tcPr>
            <w:tcW w:w="1701" w:type="dxa"/>
            <w:vAlign w:val="center"/>
          </w:tcPr>
          <w:p w14:paraId="3A2F60D3" w14:textId="77777777" w:rsidR="00454A29" w:rsidRDefault="00454A29">
            <w:pPr>
              <w:pStyle w:val="ConsPlusNormal"/>
              <w:jc w:val="center"/>
            </w:pPr>
            <w:r>
              <w:t>х</w:t>
            </w:r>
          </w:p>
        </w:tc>
        <w:tc>
          <w:tcPr>
            <w:tcW w:w="1701" w:type="dxa"/>
            <w:vAlign w:val="center"/>
          </w:tcPr>
          <w:p w14:paraId="46A24F0D" w14:textId="77777777" w:rsidR="00454A29" w:rsidRDefault="00454A29">
            <w:pPr>
              <w:pStyle w:val="ConsPlusNormal"/>
              <w:jc w:val="center"/>
            </w:pPr>
            <w:r>
              <w:t>х</w:t>
            </w:r>
          </w:p>
        </w:tc>
        <w:tc>
          <w:tcPr>
            <w:tcW w:w="1701" w:type="dxa"/>
            <w:vAlign w:val="center"/>
          </w:tcPr>
          <w:p w14:paraId="5BBF7BBD" w14:textId="77777777" w:rsidR="00454A29" w:rsidRDefault="00454A29">
            <w:pPr>
              <w:pStyle w:val="ConsPlusNormal"/>
              <w:jc w:val="center"/>
            </w:pPr>
            <w:r>
              <w:t>х</w:t>
            </w:r>
          </w:p>
        </w:tc>
        <w:tc>
          <w:tcPr>
            <w:tcW w:w="1701" w:type="dxa"/>
            <w:vAlign w:val="center"/>
          </w:tcPr>
          <w:p w14:paraId="5BFAEF94" w14:textId="77777777" w:rsidR="00454A29" w:rsidRDefault="00454A29">
            <w:pPr>
              <w:pStyle w:val="ConsPlusNormal"/>
              <w:jc w:val="center"/>
            </w:pPr>
            <w:r>
              <w:t>х</w:t>
            </w:r>
          </w:p>
        </w:tc>
        <w:tc>
          <w:tcPr>
            <w:tcW w:w="1701" w:type="dxa"/>
            <w:vAlign w:val="center"/>
          </w:tcPr>
          <w:p w14:paraId="44C5EC83" w14:textId="77777777" w:rsidR="00454A29" w:rsidRDefault="00454A29">
            <w:pPr>
              <w:pStyle w:val="ConsPlusNormal"/>
              <w:jc w:val="center"/>
            </w:pPr>
            <w:r>
              <w:t>х</w:t>
            </w:r>
          </w:p>
        </w:tc>
      </w:tr>
      <w:tr w:rsidR="00454A29" w14:paraId="2BE77DAD" w14:textId="77777777">
        <w:tc>
          <w:tcPr>
            <w:tcW w:w="964" w:type="dxa"/>
            <w:vMerge/>
          </w:tcPr>
          <w:p w14:paraId="7BF37B70" w14:textId="77777777" w:rsidR="00454A29" w:rsidRDefault="00454A29"/>
        </w:tc>
        <w:tc>
          <w:tcPr>
            <w:tcW w:w="2154" w:type="dxa"/>
            <w:vMerge/>
            <w:tcBorders>
              <w:top w:val="nil"/>
              <w:bottom w:val="nil"/>
            </w:tcBorders>
          </w:tcPr>
          <w:p w14:paraId="46D37917" w14:textId="77777777" w:rsidR="00454A29" w:rsidRDefault="00454A29"/>
        </w:tc>
        <w:tc>
          <w:tcPr>
            <w:tcW w:w="2154" w:type="dxa"/>
            <w:vMerge/>
            <w:tcBorders>
              <w:top w:val="nil"/>
              <w:bottom w:val="nil"/>
            </w:tcBorders>
          </w:tcPr>
          <w:p w14:paraId="39D93582" w14:textId="77777777" w:rsidR="00454A29" w:rsidRDefault="00454A29"/>
        </w:tc>
        <w:tc>
          <w:tcPr>
            <w:tcW w:w="2665" w:type="dxa"/>
            <w:vMerge/>
            <w:tcBorders>
              <w:top w:val="nil"/>
              <w:bottom w:val="nil"/>
            </w:tcBorders>
          </w:tcPr>
          <w:p w14:paraId="5CE68102" w14:textId="77777777" w:rsidR="00454A29" w:rsidRDefault="00454A29"/>
        </w:tc>
        <w:tc>
          <w:tcPr>
            <w:tcW w:w="2665" w:type="dxa"/>
            <w:vMerge/>
          </w:tcPr>
          <w:p w14:paraId="11F02031" w14:textId="77777777" w:rsidR="00454A29" w:rsidRDefault="00454A29"/>
        </w:tc>
        <w:tc>
          <w:tcPr>
            <w:tcW w:w="1928" w:type="dxa"/>
            <w:vMerge/>
          </w:tcPr>
          <w:p w14:paraId="440FB1F2" w14:textId="77777777" w:rsidR="00454A29" w:rsidRDefault="00454A29"/>
        </w:tc>
        <w:tc>
          <w:tcPr>
            <w:tcW w:w="1644" w:type="dxa"/>
            <w:vMerge/>
          </w:tcPr>
          <w:p w14:paraId="292A68F5" w14:textId="77777777" w:rsidR="00454A29" w:rsidRDefault="00454A29"/>
        </w:tc>
        <w:tc>
          <w:tcPr>
            <w:tcW w:w="2041" w:type="dxa"/>
            <w:vMerge/>
          </w:tcPr>
          <w:p w14:paraId="5B0942E3" w14:textId="77777777" w:rsidR="00454A29" w:rsidRDefault="00454A29"/>
        </w:tc>
        <w:tc>
          <w:tcPr>
            <w:tcW w:w="2098" w:type="dxa"/>
            <w:vAlign w:val="center"/>
          </w:tcPr>
          <w:p w14:paraId="0D57EE09" w14:textId="77777777" w:rsidR="00454A29" w:rsidRDefault="00454A29">
            <w:pPr>
              <w:pStyle w:val="ConsPlusNormal"/>
              <w:jc w:val="center"/>
            </w:pPr>
            <w:r>
              <w:t>Федеральный бюджет</w:t>
            </w:r>
          </w:p>
        </w:tc>
        <w:tc>
          <w:tcPr>
            <w:tcW w:w="1814" w:type="dxa"/>
            <w:vAlign w:val="center"/>
          </w:tcPr>
          <w:p w14:paraId="01539482" w14:textId="77777777" w:rsidR="00454A29" w:rsidRDefault="00454A29">
            <w:pPr>
              <w:pStyle w:val="ConsPlusNormal"/>
              <w:jc w:val="center"/>
            </w:pPr>
            <w:r>
              <w:t>х</w:t>
            </w:r>
          </w:p>
        </w:tc>
        <w:tc>
          <w:tcPr>
            <w:tcW w:w="1701" w:type="dxa"/>
            <w:vAlign w:val="center"/>
          </w:tcPr>
          <w:p w14:paraId="7E74EC68" w14:textId="77777777" w:rsidR="00454A29" w:rsidRDefault="00454A29">
            <w:pPr>
              <w:pStyle w:val="ConsPlusNormal"/>
              <w:jc w:val="center"/>
            </w:pPr>
            <w:r>
              <w:t>х</w:t>
            </w:r>
          </w:p>
        </w:tc>
        <w:tc>
          <w:tcPr>
            <w:tcW w:w="1701" w:type="dxa"/>
            <w:vAlign w:val="center"/>
          </w:tcPr>
          <w:p w14:paraId="669E3FED" w14:textId="77777777" w:rsidR="00454A29" w:rsidRDefault="00454A29">
            <w:pPr>
              <w:pStyle w:val="ConsPlusNormal"/>
              <w:jc w:val="center"/>
            </w:pPr>
            <w:r>
              <w:t>х</w:t>
            </w:r>
          </w:p>
        </w:tc>
        <w:tc>
          <w:tcPr>
            <w:tcW w:w="1701" w:type="dxa"/>
            <w:vAlign w:val="center"/>
          </w:tcPr>
          <w:p w14:paraId="60074CEC" w14:textId="77777777" w:rsidR="00454A29" w:rsidRDefault="00454A29">
            <w:pPr>
              <w:pStyle w:val="ConsPlusNormal"/>
              <w:jc w:val="center"/>
            </w:pPr>
            <w:r>
              <w:t>х</w:t>
            </w:r>
          </w:p>
        </w:tc>
        <w:tc>
          <w:tcPr>
            <w:tcW w:w="1701" w:type="dxa"/>
            <w:vAlign w:val="center"/>
          </w:tcPr>
          <w:p w14:paraId="131EF42C" w14:textId="77777777" w:rsidR="00454A29" w:rsidRDefault="00454A29">
            <w:pPr>
              <w:pStyle w:val="ConsPlusNormal"/>
              <w:jc w:val="center"/>
            </w:pPr>
            <w:r>
              <w:t>х</w:t>
            </w:r>
          </w:p>
        </w:tc>
        <w:tc>
          <w:tcPr>
            <w:tcW w:w="1701" w:type="dxa"/>
            <w:vAlign w:val="center"/>
          </w:tcPr>
          <w:p w14:paraId="2589E7D2" w14:textId="77777777" w:rsidR="00454A29" w:rsidRDefault="00454A29">
            <w:pPr>
              <w:pStyle w:val="ConsPlusNormal"/>
              <w:jc w:val="center"/>
            </w:pPr>
            <w:r>
              <w:t>х</w:t>
            </w:r>
          </w:p>
        </w:tc>
        <w:tc>
          <w:tcPr>
            <w:tcW w:w="1701" w:type="dxa"/>
            <w:vAlign w:val="center"/>
          </w:tcPr>
          <w:p w14:paraId="368F20BB" w14:textId="77777777" w:rsidR="00454A29" w:rsidRDefault="00454A29">
            <w:pPr>
              <w:pStyle w:val="ConsPlusNormal"/>
              <w:jc w:val="center"/>
            </w:pPr>
            <w:r>
              <w:t>х</w:t>
            </w:r>
          </w:p>
        </w:tc>
      </w:tr>
      <w:tr w:rsidR="00454A29" w14:paraId="14D2DEE3" w14:textId="77777777">
        <w:tc>
          <w:tcPr>
            <w:tcW w:w="964" w:type="dxa"/>
            <w:vMerge/>
          </w:tcPr>
          <w:p w14:paraId="6ACD2438" w14:textId="77777777" w:rsidR="00454A29" w:rsidRDefault="00454A29"/>
        </w:tc>
        <w:tc>
          <w:tcPr>
            <w:tcW w:w="2154" w:type="dxa"/>
            <w:vMerge/>
            <w:tcBorders>
              <w:top w:val="nil"/>
              <w:bottom w:val="nil"/>
            </w:tcBorders>
          </w:tcPr>
          <w:p w14:paraId="5AF37865" w14:textId="77777777" w:rsidR="00454A29" w:rsidRDefault="00454A29"/>
        </w:tc>
        <w:tc>
          <w:tcPr>
            <w:tcW w:w="2154" w:type="dxa"/>
            <w:vMerge/>
            <w:tcBorders>
              <w:top w:val="nil"/>
              <w:bottom w:val="nil"/>
            </w:tcBorders>
          </w:tcPr>
          <w:p w14:paraId="495EA4DD" w14:textId="77777777" w:rsidR="00454A29" w:rsidRDefault="00454A29"/>
        </w:tc>
        <w:tc>
          <w:tcPr>
            <w:tcW w:w="2665" w:type="dxa"/>
            <w:vMerge/>
            <w:tcBorders>
              <w:top w:val="nil"/>
              <w:bottom w:val="nil"/>
            </w:tcBorders>
          </w:tcPr>
          <w:p w14:paraId="4EE79AE2" w14:textId="77777777" w:rsidR="00454A29" w:rsidRDefault="00454A29"/>
        </w:tc>
        <w:tc>
          <w:tcPr>
            <w:tcW w:w="2665" w:type="dxa"/>
            <w:vMerge/>
          </w:tcPr>
          <w:p w14:paraId="262DBFD2" w14:textId="77777777" w:rsidR="00454A29" w:rsidRDefault="00454A29"/>
        </w:tc>
        <w:tc>
          <w:tcPr>
            <w:tcW w:w="1928" w:type="dxa"/>
            <w:vMerge/>
          </w:tcPr>
          <w:p w14:paraId="4424AE76" w14:textId="77777777" w:rsidR="00454A29" w:rsidRDefault="00454A29"/>
        </w:tc>
        <w:tc>
          <w:tcPr>
            <w:tcW w:w="1644" w:type="dxa"/>
            <w:vMerge/>
          </w:tcPr>
          <w:p w14:paraId="4E45B02B" w14:textId="77777777" w:rsidR="00454A29" w:rsidRDefault="00454A29"/>
        </w:tc>
        <w:tc>
          <w:tcPr>
            <w:tcW w:w="2041" w:type="dxa"/>
            <w:vMerge/>
          </w:tcPr>
          <w:p w14:paraId="62845083" w14:textId="77777777" w:rsidR="00454A29" w:rsidRDefault="00454A29"/>
        </w:tc>
        <w:tc>
          <w:tcPr>
            <w:tcW w:w="2098" w:type="dxa"/>
            <w:vAlign w:val="center"/>
          </w:tcPr>
          <w:p w14:paraId="0911AB34" w14:textId="77777777" w:rsidR="00454A29" w:rsidRDefault="00454A29">
            <w:pPr>
              <w:pStyle w:val="ConsPlusNormal"/>
              <w:jc w:val="center"/>
            </w:pPr>
            <w:r>
              <w:t>Местные бюджеты</w:t>
            </w:r>
          </w:p>
        </w:tc>
        <w:tc>
          <w:tcPr>
            <w:tcW w:w="1814" w:type="dxa"/>
            <w:vAlign w:val="center"/>
          </w:tcPr>
          <w:p w14:paraId="05E195CD" w14:textId="77777777" w:rsidR="00454A29" w:rsidRDefault="00454A29">
            <w:pPr>
              <w:pStyle w:val="ConsPlusNormal"/>
              <w:jc w:val="center"/>
            </w:pPr>
            <w:r>
              <w:t>х</w:t>
            </w:r>
          </w:p>
        </w:tc>
        <w:tc>
          <w:tcPr>
            <w:tcW w:w="1701" w:type="dxa"/>
            <w:vAlign w:val="center"/>
          </w:tcPr>
          <w:p w14:paraId="3A3C9DE2" w14:textId="77777777" w:rsidR="00454A29" w:rsidRDefault="00454A29">
            <w:pPr>
              <w:pStyle w:val="ConsPlusNormal"/>
              <w:jc w:val="center"/>
            </w:pPr>
            <w:r>
              <w:t>х</w:t>
            </w:r>
          </w:p>
        </w:tc>
        <w:tc>
          <w:tcPr>
            <w:tcW w:w="1701" w:type="dxa"/>
            <w:vAlign w:val="center"/>
          </w:tcPr>
          <w:p w14:paraId="4281BAB9" w14:textId="77777777" w:rsidR="00454A29" w:rsidRDefault="00454A29">
            <w:pPr>
              <w:pStyle w:val="ConsPlusNormal"/>
              <w:jc w:val="center"/>
            </w:pPr>
            <w:r>
              <w:t>х</w:t>
            </w:r>
          </w:p>
        </w:tc>
        <w:tc>
          <w:tcPr>
            <w:tcW w:w="1701" w:type="dxa"/>
            <w:vAlign w:val="center"/>
          </w:tcPr>
          <w:p w14:paraId="05E519F6" w14:textId="77777777" w:rsidR="00454A29" w:rsidRDefault="00454A29">
            <w:pPr>
              <w:pStyle w:val="ConsPlusNormal"/>
              <w:jc w:val="center"/>
            </w:pPr>
            <w:r>
              <w:t>х</w:t>
            </w:r>
          </w:p>
        </w:tc>
        <w:tc>
          <w:tcPr>
            <w:tcW w:w="1701" w:type="dxa"/>
            <w:vAlign w:val="center"/>
          </w:tcPr>
          <w:p w14:paraId="4121A22C" w14:textId="77777777" w:rsidR="00454A29" w:rsidRDefault="00454A29">
            <w:pPr>
              <w:pStyle w:val="ConsPlusNormal"/>
              <w:jc w:val="center"/>
            </w:pPr>
            <w:r>
              <w:t>х</w:t>
            </w:r>
          </w:p>
        </w:tc>
        <w:tc>
          <w:tcPr>
            <w:tcW w:w="1701" w:type="dxa"/>
            <w:vAlign w:val="center"/>
          </w:tcPr>
          <w:p w14:paraId="4257477A" w14:textId="77777777" w:rsidR="00454A29" w:rsidRDefault="00454A29">
            <w:pPr>
              <w:pStyle w:val="ConsPlusNormal"/>
              <w:jc w:val="center"/>
            </w:pPr>
            <w:r>
              <w:t>х</w:t>
            </w:r>
          </w:p>
        </w:tc>
        <w:tc>
          <w:tcPr>
            <w:tcW w:w="1701" w:type="dxa"/>
            <w:vAlign w:val="center"/>
          </w:tcPr>
          <w:p w14:paraId="295DF6D4" w14:textId="77777777" w:rsidR="00454A29" w:rsidRDefault="00454A29">
            <w:pPr>
              <w:pStyle w:val="ConsPlusNormal"/>
              <w:jc w:val="center"/>
            </w:pPr>
            <w:r>
              <w:t>х</w:t>
            </w:r>
          </w:p>
        </w:tc>
      </w:tr>
      <w:tr w:rsidR="00454A29" w14:paraId="13AA093F" w14:textId="77777777">
        <w:tc>
          <w:tcPr>
            <w:tcW w:w="964" w:type="dxa"/>
            <w:vMerge/>
          </w:tcPr>
          <w:p w14:paraId="78BD62F5" w14:textId="77777777" w:rsidR="00454A29" w:rsidRDefault="00454A29"/>
        </w:tc>
        <w:tc>
          <w:tcPr>
            <w:tcW w:w="2154" w:type="dxa"/>
            <w:vMerge/>
            <w:tcBorders>
              <w:top w:val="nil"/>
              <w:bottom w:val="nil"/>
            </w:tcBorders>
          </w:tcPr>
          <w:p w14:paraId="148A4F90" w14:textId="77777777" w:rsidR="00454A29" w:rsidRDefault="00454A29"/>
        </w:tc>
        <w:tc>
          <w:tcPr>
            <w:tcW w:w="2154" w:type="dxa"/>
            <w:vMerge/>
            <w:tcBorders>
              <w:top w:val="nil"/>
              <w:bottom w:val="nil"/>
            </w:tcBorders>
          </w:tcPr>
          <w:p w14:paraId="191AF2D9" w14:textId="77777777" w:rsidR="00454A29" w:rsidRDefault="00454A29"/>
        </w:tc>
        <w:tc>
          <w:tcPr>
            <w:tcW w:w="2665" w:type="dxa"/>
            <w:vMerge/>
            <w:tcBorders>
              <w:top w:val="nil"/>
              <w:bottom w:val="nil"/>
            </w:tcBorders>
          </w:tcPr>
          <w:p w14:paraId="39E336C4" w14:textId="77777777" w:rsidR="00454A29" w:rsidRDefault="00454A29"/>
        </w:tc>
        <w:tc>
          <w:tcPr>
            <w:tcW w:w="2665" w:type="dxa"/>
            <w:vMerge/>
          </w:tcPr>
          <w:p w14:paraId="5CB8BF10" w14:textId="77777777" w:rsidR="00454A29" w:rsidRDefault="00454A29"/>
        </w:tc>
        <w:tc>
          <w:tcPr>
            <w:tcW w:w="1928" w:type="dxa"/>
            <w:vMerge/>
          </w:tcPr>
          <w:p w14:paraId="3686BC0E" w14:textId="77777777" w:rsidR="00454A29" w:rsidRDefault="00454A29"/>
        </w:tc>
        <w:tc>
          <w:tcPr>
            <w:tcW w:w="1644" w:type="dxa"/>
            <w:vMerge/>
          </w:tcPr>
          <w:p w14:paraId="69E9267F" w14:textId="77777777" w:rsidR="00454A29" w:rsidRDefault="00454A29"/>
        </w:tc>
        <w:tc>
          <w:tcPr>
            <w:tcW w:w="2041" w:type="dxa"/>
            <w:vMerge/>
          </w:tcPr>
          <w:p w14:paraId="3076C5EE" w14:textId="77777777" w:rsidR="00454A29" w:rsidRDefault="00454A29"/>
        </w:tc>
        <w:tc>
          <w:tcPr>
            <w:tcW w:w="2098" w:type="dxa"/>
            <w:vAlign w:val="center"/>
          </w:tcPr>
          <w:p w14:paraId="57941599" w14:textId="77777777" w:rsidR="00454A29" w:rsidRDefault="00454A29">
            <w:pPr>
              <w:pStyle w:val="ConsPlusNormal"/>
              <w:jc w:val="center"/>
            </w:pPr>
            <w:r>
              <w:t>Внебюджетные средства</w:t>
            </w:r>
          </w:p>
        </w:tc>
        <w:tc>
          <w:tcPr>
            <w:tcW w:w="1814" w:type="dxa"/>
            <w:vAlign w:val="center"/>
          </w:tcPr>
          <w:p w14:paraId="670D7C20" w14:textId="77777777" w:rsidR="00454A29" w:rsidRDefault="00454A29">
            <w:pPr>
              <w:pStyle w:val="ConsPlusNormal"/>
              <w:jc w:val="center"/>
            </w:pPr>
            <w:r>
              <w:t>х</w:t>
            </w:r>
          </w:p>
        </w:tc>
        <w:tc>
          <w:tcPr>
            <w:tcW w:w="1701" w:type="dxa"/>
            <w:vAlign w:val="center"/>
          </w:tcPr>
          <w:p w14:paraId="0B5FC6E6" w14:textId="77777777" w:rsidR="00454A29" w:rsidRDefault="00454A29">
            <w:pPr>
              <w:pStyle w:val="ConsPlusNormal"/>
              <w:jc w:val="center"/>
            </w:pPr>
            <w:r>
              <w:t>х</w:t>
            </w:r>
          </w:p>
        </w:tc>
        <w:tc>
          <w:tcPr>
            <w:tcW w:w="1701" w:type="dxa"/>
            <w:vAlign w:val="center"/>
          </w:tcPr>
          <w:p w14:paraId="745E0EEA" w14:textId="77777777" w:rsidR="00454A29" w:rsidRDefault="00454A29">
            <w:pPr>
              <w:pStyle w:val="ConsPlusNormal"/>
              <w:jc w:val="center"/>
            </w:pPr>
            <w:r>
              <w:t>х</w:t>
            </w:r>
          </w:p>
        </w:tc>
        <w:tc>
          <w:tcPr>
            <w:tcW w:w="1701" w:type="dxa"/>
            <w:vAlign w:val="center"/>
          </w:tcPr>
          <w:p w14:paraId="576F0B09" w14:textId="77777777" w:rsidR="00454A29" w:rsidRDefault="00454A29">
            <w:pPr>
              <w:pStyle w:val="ConsPlusNormal"/>
              <w:jc w:val="center"/>
            </w:pPr>
            <w:r>
              <w:t>х</w:t>
            </w:r>
          </w:p>
        </w:tc>
        <w:tc>
          <w:tcPr>
            <w:tcW w:w="1701" w:type="dxa"/>
            <w:vAlign w:val="center"/>
          </w:tcPr>
          <w:p w14:paraId="5A0744FD" w14:textId="77777777" w:rsidR="00454A29" w:rsidRDefault="00454A29">
            <w:pPr>
              <w:pStyle w:val="ConsPlusNormal"/>
              <w:jc w:val="center"/>
            </w:pPr>
            <w:r>
              <w:t>х</w:t>
            </w:r>
          </w:p>
        </w:tc>
        <w:tc>
          <w:tcPr>
            <w:tcW w:w="1701" w:type="dxa"/>
            <w:vAlign w:val="center"/>
          </w:tcPr>
          <w:p w14:paraId="63EE8D40" w14:textId="77777777" w:rsidR="00454A29" w:rsidRDefault="00454A29">
            <w:pPr>
              <w:pStyle w:val="ConsPlusNormal"/>
              <w:jc w:val="center"/>
            </w:pPr>
            <w:r>
              <w:t>х</w:t>
            </w:r>
          </w:p>
        </w:tc>
        <w:tc>
          <w:tcPr>
            <w:tcW w:w="1701" w:type="dxa"/>
            <w:vAlign w:val="center"/>
          </w:tcPr>
          <w:p w14:paraId="51ADCD4E" w14:textId="77777777" w:rsidR="00454A29" w:rsidRDefault="00454A29">
            <w:pPr>
              <w:pStyle w:val="ConsPlusNormal"/>
              <w:jc w:val="center"/>
            </w:pPr>
            <w:r>
              <w:t>х</w:t>
            </w:r>
          </w:p>
        </w:tc>
      </w:tr>
      <w:tr w:rsidR="00454A29" w14:paraId="7FA6542C" w14:textId="77777777">
        <w:tc>
          <w:tcPr>
            <w:tcW w:w="964" w:type="dxa"/>
            <w:vMerge w:val="restart"/>
            <w:vAlign w:val="center"/>
          </w:tcPr>
          <w:p w14:paraId="7D317C8A" w14:textId="77777777" w:rsidR="00454A29" w:rsidRDefault="00454A29">
            <w:pPr>
              <w:pStyle w:val="ConsPlusNormal"/>
              <w:jc w:val="center"/>
            </w:pPr>
            <w:r>
              <w:t>7.6.4.</w:t>
            </w:r>
          </w:p>
        </w:tc>
        <w:tc>
          <w:tcPr>
            <w:tcW w:w="2154" w:type="dxa"/>
            <w:vMerge/>
            <w:tcBorders>
              <w:top w:val="nil"/>
              <w:bottom w:val="nil"/>
            </w:tcBorders>
          </w:tcPr>
          <w:p w14:paraId="6E83C559" w14:textId="77777777" w:rsidR="00454A29" w:rsidRDefault="00454A29"/>
        </w:tc>
        <w:tc>
          <w:tcPr>
            <w:tcW w:w="2154" w:type="dxa"/>
            <w:vMerge/>
            <w:tcBorders>
              <w:top w:val="nil"/>
              <w:bottom w:val="nil"/>
            </w:tcBorders>
          </w:tcPr>
          <w:p w14:paraId="5036D40D" w14:textId="77777777" w:rsidR="00454A29" w:rsidRDefault="00454A29"/>
        </w:tc>
        <w:tc>
          <w:tcPr>
            <w:tcW w:w="2665" w:type="dxa"/>
            <w:vMerge/>
            <w:tcBorders>
              <w:top w:val="nil"/>
              <w:bottom w:val="nil"/>
            </w:tcBorders>
          </w:tcPr>
          <w:p w14:paraId="6271E624" w14:textId="77777777" w:rsidR="00454A29" w:rsidRDefault="00454A29"/>
        </w:tc>
        <w:tc>
          <w:tcPr>
            <w:tcW w:w="2665" w:type="dxa"/>
            <w:vMerge/>
          </w:tcPr>
          <w:p w14:paraId="4696D0BD" w14:textId="77777777" w:rsidR="00454A29" w:rsidRDefault="00454A29"/>
        </w:tc>
        <w:tc>
          <w:tcPr>
            <w:tcW w:w="1928" w:type="dxa"/>
            <w:vMerge w:val="restart"/>
            <w:vAlign w:val="center"/>
          </w:tcPr>
          <w:p w14:paraId="22D2BE73" w14:textId="77777777" w:rsidR="00454A29" w:rsidRDefault="00454A29">
            <w:pPr>
              <w:pStyle w:val="ConsPlusNormal"/>
              <w:jc w:val="center"/>
            </w:pPr>
            <w:r>
              <w:t>ГО "город Якутск"</w:t>
            </w:r>
          </w:p>
        </w:tc>
        <w:tc>
          <w:tcPr>
            <w:tcW w:w="1644" w:type="dxa"/>
            <w:vMerge w:val="restart"/>
            <w:vAlign w:val="center"/>
          </w:tcPr>
          <w:p w14:paraId="09E108D0" w14:textId="77777777" w:rsidR="00454A29" w:rsidRDefault="00454A29">
            <w:pPr>
              <w:pStyle w:val="ConsPlusNormal"/>
              <w:jc w:val="center"/>
            </w:pPr>
            <w:r>
              <w:t>г. Якутск</w:t>
            </w:r>
          </w:p>
        </w:tc>
        <w:tc>
          <w:tcPr>
            <w:tcW w:w="2041" w:type="dxa"/>
            <w:vMerge w:val="restart"/>
            <w:vAlign w:val="center"/>
          </w:tcPr>
          <w:p w14:paraId="191BCE89" w14:textId="77777777" w:rsidR="00454A29" w:rsidRDefault="00454A29">
            <w:pPr>
              <w:pStyle w:val="ConsPlusNormal"/>
              <w:jc w:val="center"/>
            </w:pPr>
            <w:r>
              <w:t>ГБУ ВО "Высшая школа музыки им. И.И. Босикова"</w:t>
            </w:r>
          </w:p>
        </w:tc>
        <w:tc>
          <w:tcPr>
            <w:tcW w:w="2098" w:type="dxa"/>
            <w:vAlign w:val="center"/>
          </w:tcPr>
          <w:p w14:paraId="5ACF0F5F" w14:textId="77777777" w:rsidR="00454A29" w:rsidRDefault="00454A29">
            <w:pPr>
              <w:pStyle w:val="ConsPlusNormal"/>
              <w:jc w:val="center"/>
            </w:pPr>
            <w:r>
              <w:t>Итого</w:t>
            </w:r>
          </w:p>
        </w:tc>
        <w:tc>
          <w:tcPr>
            <w:tcW w:w="1814" w:type="dxa"/>
            <w:vAlign w:val="center"/>
          </w:tcPr>
          <w:p w14:paraId="548D92CA" w14:textId="77777777" w:rsidR="00454A29" w:rsidRDefault="00454A29">
            <w:pPr>
              <w:pStyle w:val="ConsPlusNormal"/>
              <w:jc w:val="center"/>
            </w:pPr>
            <w:r>
              <w:t>х</w:t>
            </w:r>
          </w:p>
        </w:tc>
        <w:tc>
          <w:tcPr>
            <w:tcW w:w="1701" w:type="dxa"/>
            <w:vAlign w:val="center"/>
          </w:tcPr>
          <w:p w14:paraId="56454312" w14:textId="77777777" w:rsidR="00454A29" w:rsidRDefault="00454A29">
            <w:pPr>
              <w:pStyle w:val="ConsPlusNormal"/>
              <w:jc w:val="center"/>
            </w:pPr>
            <w:r>
              <w:t>х</w:t>
            </w:r>
          </w:p>
        </w:tc>
        <w:tc>
          <w:tcPr>
            <w:tcW w:w="1701" w:type="dxa"/>
            <w:vAlign w:val="center"/>
          </w:tcPr>
          <w:p w14:paraId="3A2AF4C3" w14:textId="77777777" w:rsidR="00454A29" w:rsidRDefault="00454A29">
            <w:pPr>
              <w:pStyle w:val="ConsPlusNormal"/>
              <w:jc w:val="center"/>
            </w:pPr>
            <w:r>
              <w:t>х</w:t>
            </w:r>
          </w:p>
        </w:tc>
        <w:tc>
          <w:tcPr>
            <w:tcW w:w="1701" w:type="dxa"/>
            <w:vAlign w:val="center"/>
          </w:tcPr>
          <w:p w14:paraId="1CFCB3E9" w14:textId="77777777" w:rsidR="00454A29" w:rsidRDefault="00454A29">
            <w:pPr>
              <w:pStyle w:val="ConsPlusNormal"/>
              <w:jc w:val="center"/>
            </w:pPr>
            <w:r>
              <w:t>х</w:t>
            </w:r>
          </w:p>
        </w:tc>
        <w:tc>
          <w:tcPr>
            <w:tcW w:w="1701" w:type="dxa"/>
            <w:vAlign w:val="center"/>
          </w:tcPr>
          <w:p w14:paraId="258EA7AB" w14:textId="77777777" w:rsidR="00454A29" w:rsidRDefault="00454A29">
            <w:pPr>
              <w:pStyle w:val="ConsPlusNormal"/>
              <w:jc w:val="center"/>
            </w:pPr>
            <w:r>
              <w:t>х</w:t>
            </w:r>
          </w:p>
        </w:tc>
        <w:tc>
          <w:tcPr>
            <w:tcW w:w="1701" w:type="dxa"/>
            <w:vAlign w:val="center"/>
          </w:tcPr>
          <w:p w14:paraId="6CC32389" w14:textId="77777777" w:rsidR="00454A29" w:rsidRDefault="00454A29">
            <w:pPr>
              <w:pStyle w:val="ConsPlusNormal"/>
              <w:jc w:val="center"/>
            </w:pPr>
            <w:r>
              <w:t>х</w:t>
            </w:r>
          </w:p>
        </w:tc>
        <w:tc>
          <w:tcPr>
            <w:tcW w:w="1701" w:type="dxa"/>
            <w:vAlign w:val="center"/>
          </w:tcPr>
          <w:p w14:paraId="15372580" w14:textId="77777777" w:rsidR="00454A29" w:rsidRDefault="00454A29">
            <w:pPr>
              <w:pStyle w:val="ConsPlusNormal"/>
              <w:jc w:val="center"/>
            </w:pPr>
            <w:r>
              <w:t>х</w:t>
            </w:r>
          </w:p>
        </w:tc>
      </w:tr>
      <w:tr w:rsidR="00454A29" w14:paraId="2D8E6473" w14:textId="77777777">
        <w:tc>
          <w:tcPr>
            <w:tcW w:w="964" w:type="dxa"/>
            <w:vMerge/>
          </w:tcPr>
          <w:p w14:paraId="2AF8106D" w14:textId="77777777" w:rsidR="00454A29" w:rsidRDefault="00454A29"/>
        </w:tc>
        <w:tc>
          <w:tcPr>
            <w:tcW w:w="2154" w:type="dxa"/>
            <w:vMerge/>
            <w:tcBorders>
              <w:top w:val="nil"/>
              <w:bottom w:val="nil"/>
            </w:tcBorders>
          </w:tcPr>
          <w:p w14:paraId="099AE391" w14:textId="77777777" w:rsidR="00454A29" w:rsidRDefault="00454A29"/>
        </w:tc>
        <w:tc>
          <w:tcPr>
            <w:tcW w:w="2154" w:type="dxa"/>
            <w:vMerge/>
            <w:tcBorders>
              <w:top w:val="nil"/>
              <w:bottom w:val="nil"/>
            </w:tcBorders>
          </w:tcPr>
          <w:p w14:paraId="1618ED79" w14:textId="77777777" w:rsidR="00454A29" w:rsidRDefault="00454A29"/>
        </w:tc>
        <w:tc>
          <w:tcPr>
            <w:tcW w:w="2665" w:type="dxa"/>
            <w:vMerge/>
            <w:tcBorders>
              <w:top w:val="nil"/>
              <w:bottom w:val="nil"/>
            </w:tcBorders>
          </w:tcPr>
          <w:p w14:paraId="555AEC7C" w14:textId="77777777" w:rsidR="00454A29" w:rsidRDefault="00454A29"/>
        </w:tc>
        <w:tc>
          <w:tcPr>
            <w:tcW w:w="2665" w:type="dxa"/>
            <w:vMerge/>
          </w:tcPr>
          <w:p w14:paraId="1C2F2D5C" w14:textId="77777777" w:rsidR="00454A29" w:rsidRDefault="00454A29"/>
        </w:tc>
        <w:tc>
          <w:tcPr>
            <w:tcW w:w="1928" w:type="dxa"/>
            <w:vMerge/>
          </w:tcPr>
          <w:p w14:paraId="58EBF3DE" w14:textId="77777777" w:rsidR="00454A29" w:rsidRDefault="00454A29"/>
        </w:tc>
        <w:tc>
          <w:tcPr>
            <w:tcW w:w="1644" w:type="dxa"/>
            <w:vMerge/>
          </w:tcPr>
          <w:p w14:paraId="6EF7767E" w14:textId="77777777" w:rsidR="00454A29" w:rsidRDefault="00454A29"/>
        </w:tc>
        <w:tc>
          <w:tcPr>
            <w:tcW w:w="2041" w:type="dxa"/>
            <w:vMerge/>
          </w:tcPr>
          <w:p w14:paraId="2689C0BA" w14:textId="77777777" w:rsidR="00454A29" w:rsidRDefault="00454A29"/>
        </w:tc>
        <w:tc>
          <w:tcPr>
            <w:tcW w:w="2098" w:type="dxa"/>
            <w:vAlign w:val="center"/>
          </w:tcPr>
          <w:p w14:paraId="0DB36A47"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700DCF1" w14:textId="77777777" w:rsidR="00454A29" w:rsidRDefault="00454A29">
            <w:pPr>
              <w:pStyle w:val="ConsPlusNormal"/>
              <w:jc w:val="center"/>
            </w:pPr>
            <w:r>
              <w:t>х</w:t>
            </w:r>
          </w:p>
        </w:tc>
        <w:tc>
          <w:tcPr>
            <w:tcW w:w="1701" w:type="dxa"/>
            <w:vAlign w:val="center"/>
          </w:tcPr>
          <w:p w14:paraId="3728D767" w14:textId="77777777" w:rsidR="00454A29" w:rsidRDefault="00454A29">
            <w:pPr>
              <w:pStyle w:val="ConsPlusNormal"/>
              <w:jc w:val="center"/>
            </w:pPr>
            <w:r>
              <w:t>х</w:t>
            </w:r>
          </w:p>
        </w:tc>
        <w:tc>
          <w:tcPr>
            <w:tcW w:w="1701" w:type="dxa"/>
            <w:vAlign w:val="center"/>
          </w:tcPr>
          <w:p w14:paraId="34DC59B1" w14:textId="77777777" w:rsidR="00454A29" w:rsidRDefault="00454A29">
            <w:pPr>
              <w:pStyle w:val="ConsPlusNormal"/>
              <w:jc w:val="center"/>
            </w:pPr>
            <w:r>
              <w:t>х</w:t>
            </w:r>
          </w:p>
        </w:tc>
        <w:tc>
          <w:tcPr>
            <w:tcW w:w="1701" w:type="dxa"/>
            <w:vAlign w:val="center"/>
          </w:tcPr>
          <w:p w14:paraId="0469BBE3" w14:textId="77777777" w:rsidR="00454A29" w:rsidRDefault="00454A29">
            <w:pPr>
              <w:pStyle w:val="ConsPlusNormal"/>
              <w:jc w:val="center"/>
            </w:pPr>
            <w:r>
              <w:t>х</w:t>
            </w:r>
          </w:p>
        </w:tc>
        <w:tc>
          <w:tcPr>
            <w:tcW w:w="1701" w:type="dxa"/>
            <w:vAlign w:val="center"/>
          </w:tcPr>
          <w:p w14:paraId="6759AC1C" w14:textId="77777777" w:rsidR="00454A29" w:rsidRDefault="00454A29">
            <w:pPr>
              <w:pStyle w:val="ConsPlusNormal"/>
              <w:jc w:val="center"/>
            </w:pPr>
            <w:r>
              <w:t>х</w:t>
            </w:r>
          </w:p>
        </w:tc>
        <w:tc>
          <w:tcPr>
            <w:tcW w:w="1701" w:type="dxa"/>
            <w:vAlign w:val="center"/>
          </w:tcPr>
          <w:p w14:paraId="762C944C" w14:textId="77777777" w:rsidR="00454A29" w:rsidRDefault="00454A29">
            <w:pPr>
              <w:pStyle w:val="ConsPlusNormal"/>
              <w:jc w:val="center"/>
            </w:pPr>
            <w:r>
              <w:t>х</w:t>
            </w:r>
          </w:p>
        </w:tc>
        <w:tc>
          <w:tcPr>
            <w:tcW w:w="1701" w:type="dxa"/>
            <w:vAlign w:val="center"/>
          </w:tcPr>
          <w:p w14:paraId="2742178E" w14:textId="77777777" w:rsidR="00454A29" w:rsidRDefault="00454A29">
            <w:pPr>
              <w:pStyle w:val="ConsPlusNormal"/>
              <w:jc w:val="center"/>
            </w:pPr>
            <w:r>
              <w:t>х</w:t>
            </w:r>
          </w:p>
        </w:tc>
      </w:tr>
      <w:tr w:rsidR="00454A29" w14:paraId="0EC271B3" w14:textId="77777777">
        <w:tc>
          <w:tcPr>
            <w:tcW w:w="964" w:type="dxa"/>
            <w:vMerge/>
          </w:tcPr>
          <w:p w14:paraId="4AB05CA7" w14:textId="77777777" w:rsidR="00454A29" w:rsidRDefault="00454A29"/>
        </w:tc>
        <w:tc>
          <w:tcPr>
            <w:tcW w:w="2154" w:type="dxa"/>
            <w:vMerge/>
            <w:tcBorders>
              <w:top w:val="nil"/>
              <w:bottom w:val="nil"/>
            </w:tcBorders>
          </w:tcPr>
          <w:p w14:paraId="6ADF5A71" w14:textId="77777777" w:rsidR="00454A29" w:rsidRDefault="00454A29"/>
        </w:tc>
        <w:tc>
          <w:tcPr>
            <w:tcW w:w="2154" w:type="dxa"/>
            <w:vMerge/>
            <w:tcBorders>
              <w:top w:val="nil"/>
              <w:bottom w:val="nil"/>
            </w:tcBorders>
          </w:tcPr>
          <w:p w14:paraId="159D90D9" w14:textId="77777777" w:rsidR="00454A29" w:rsidRDefault="00454A29"/>
        </w:tc>
        <w:tc>
          <w:tcPr>
            <w:tcW w:w="2665" w:type="dxa"/>
            <w:vMerge/>
            <w:tcBorders>
              <w:top w:val="nil"/>
              <w:bottom w:val="nil"/>
            </w:tcBorders>
          </w:tcPr>
          <w:p w14:paraId="58CA889B" w14:textId="77777777" w:rsidR="00454A29" w:rsidRDefault="00454A29"/>
        </w:tc>
        <w:tc>
          <w:tcPr>
            <w:tcW w:w="2665" w:type="dxa"/>
            <w:vMerge/>
          </w:tcPr>
          <w:p w14:paraId="6CE78FDA" w14:textId="77777777" w:rsidR="00454A29" w:rsidRDefault="00454A29"/>
        </w:tc>
        <w:tc>
          <w:tcPr>
            <w:tcW w:w="1928" w:type="dxa"/>
            <w:vMerge/>
          </w:tcPr>
          <w:p w14:paraId="0A868D78" w14:textId="77777777" w:rsidR="00454A29" w:rsidRDefault="00454A29"/>
        </w:tc>
        <w:tc>
          <w:tcPr>
            <w:tcW w:w="1644" w:type="dxa"/>
            <w:vMerge/>
          </w:tcPr>
          <w:p w14:paraId="66EDDE07" w14:textId="77777777" w:rsidR="00454A29" w:rsidRDefault="00454A29"/>
        </w:tc>
        <w:tc>
          <w:tcPr>
            <w:tcW w:w="2041" w:type="dxa"/>
            <w:vMerge/>
          </w:tcPr>
          <w:p w14:paraId="4E6B9D8A" w14:textId="77777777" w:rsidR="00454A29" w:rsidRDefault="00454A29"/>
        </w:tc>
        <w:tc>
          <w:tcPr>
            <w:tcW w:w="2098" w:type="dxa"/>
            <w:vAlign w:val="center"/>
          </w:tcPr>
          <w:p w14:paraId="11879FA9" w14:textId="77777777" w:rsidR="00454A29" w:rsidRDefault="00454A29">
            <w:pPr>
              <w:pStyle w:val="ConsPlusNormal"/>
              <w:jc w:val="center"/>
            </w:pPr>
            <w:r>
              <w:t>Федеральный бюджет</w:t>
            </w:r>
          </w:p>
        </w:tc>
        <w:tc>
          <w:tcPr>
            <w:tcW w:w="1814" w:type="dxa"/>
            <w:vAlign w:val="center"/>
          </w:tcPr>
          <w:p w14:paraId="1B04D8C9" w14:textId="77777777" w:rsidR="00454A29" w:rsidRDefault="00454A29">
            <w:pPr>
              <w:pStyle w:val="ConsPlusNormal"/>
              <w:jc w:val="center"/>
            </w:pPr>
            <w:r>
              <w:t>х</w:t>
            </w:r>
          </w:p>
        </w:tc>
        <w:tc>
          <w:tcPr>
            <w:tcW w:w="1701" w:type="dxa"/>
            <w:vAlign w:val="center"/>
          </w:tcPr>
          <w:p w14:paraId="23FD47F3" w14:textId="77777777" w:rsidR="00454A29" w:rsidRDefault="00454A29">
            <w:pPr>
              <w:pStyle w:val="ConsPlusNormal"/>
              <w:jc w:val="center"/>
            </w:pPr>
            <w:r>
              <w:t>х</w:t>
            </w:r>
          </w:p>
        </w:tc>
        <w:tc>
          <w:tcPr>
            <w:tcW w:w="1701" w:type="dxa"/>
            <w:vAlign w:val="center"/>
          </w:tcPr>
          <w:p w14:paraId="46BE0035" w14:textId="77777777" w:rsidR="00454A29" w:rsidRDefault="00454A29">
            <w:pPr>
              <w:pStyle w:val="ConsPlusNormal"/>
              <w:jc w:val="center"/>
            </w:pPr>
            <w:r>
              <w:t>х</w:t>
            </w:r>
          </w:p>
        </w:tc>
        <w:tc>
          <w:tcPr>
            <w:tcW w:w="1701" w:type="dxa"/>
            <w:vAlign w:val="center"/>
          </w:tcPr>
          <w:p w14:paraId="021ABD4F" w14:textId="77777777" w:rsidR="00454A29" w:rsidRDefault="00454A29">
            <w:pPr>
              <w:pStyle w:val="ConsPlusNormal"/>
              <w:jc w:val="center"/>
            </w:pPr>
            <w:r>
              <w:t>х</w:t>
            </w:r>
          </w:p>
        </w:tc>
        <w:tc>
          <w:tcPr>
            <w:tcW w:w="1701" w:type="dxa"/>
            <w:vAlign w:val="center"/>
          </w:tcPr>
          <w:p w14:paraId="56DD412F" w14:textId="77777777" w:rsidR="00454A29" w:rsidRDefault="00454A29">
            <w:pPr>
              <w:pStyle w:val="ConsPlusNormal"/>
              <w:jc w:val="center"/>
            </w:pPr>
            <w:r>
              <w:t>х</w:t>
            </w:r>
          </w:p>
        </w:tc>
        <w:tc>
          <w:tcPr>
            <w:tcW w:w="1701" w:type="dxa"/>
            <w:vAlign w:val="center"/>
          </w:tcPr>
          <w:p w14:paraId="011A9ED8" w14:textId="77777777" w:rsidR="00454A29" w:rsidRDefault="00454A29">
            <w:pPr>
              <w:pStyle w:val="ConsPlusNormal"/>
              <w:jc w:val="center"/>
            </w:pPr>
            <w:r>
              <w:t>х</w:t>
            </w:r>
          </w:p>
        </w:tc>
        <w:tc>
          <w:tcPr>
            <w:tcW w:w="1701" w:type="dxa"/>
            <w:vAlign w:val="center"/>
          </w:tcPr>
          <w:p w14:paraId="754C64C3" w14:textId="77777777" w:rsidR="00454A29" w:rsidRDefault="00454A29">
            <w:pPr>
              <w:pStyle w:val="ConsPlusNormal"/>
              <w:jc w:val="center"/>
            </w:pPr>
            <w:r>
              <w:t>х</w:t>
            </w:r>
          </w:p>
        </w:tc>
      </w:tr>
      <w:tr w:rsidR="00454A29" w14:paraId="20E90269" w14:textId="77777777">
        <w:tc>
          <w:tcPr>
            <w:tcW w:w="964" w:type="dxa"/>
            <w:vMerge/>
          </w:tcPr>
          <w:p w14:paraId="54908B69" w14:textId="77777777" w:rsidR="00454A29" w:rsidRDefault="00454A29"/>
        </w:tc>
        <w:tc>
          <w:tcPr>
            <w:tcW w:w="2154" w:type="dxa"/>
            <w:vMerge/>
            <w:tcBorders>
              <w:top w:val="nil"/>
              <w:bottom w:val="nil"/>
            </w:tcBorders>
          </w:tcPr>
          <w:p w14:paraId="48411B81" w14:textId="77777777" w:rsidR="00454A29" w:rsidRDefault="00454A29"/>
        </w:tc>
        <w:tc>
          <w:tcPr>
            <w:tcW w:w="2154" w:type="dxa"/>
            <w:vMerge/>
            <w:tcBorders>
              <w:top w:val="nil"/>
              <w:bottom w:val="nil"/>
            </w:tcBorders>
          </w:tcPr>
          <w:p w14:paraId="04C8EDF9" w14:textId="77777777" w:rsidR="00454A29" w:rsidRDefault="00454A29"/>
        </w:tc>
        <w:tc>
          <w:tcPr>
            <w:tcW w:w="2665" w:type="dxa"/>
            <w:vMerge/>
            <w:tcBorders>
              <w:top w:val="nil"/>
              <w:bottom w:val="nil"/>
            </w:tcBorders>
          </w:tcPr>
          <w:p w14:paraId="2B5E0F39" w14:textId="77777777" w:rsidR="00454A29" w:rsidRDefault="00454A29"/>
        </w:tc>
        <w:tc>
          <w:tcPr>
            <w:tcW w:w="2665" w:type="dxa"/>
            <w:vMerge/>
          </w:tcPr>
          <w:p w14:paraId="527AC629" w14:textId="77777777" w:rsidR="00454A29" w:rsidRDefault="00454A29"/>
        </w:tc>
        <w:tc>
          <w:tcPr>
            <w:tcW w:w="1928" w:type="dxa"/>
            <w:vMerge/>
          </w:tcPr>
          <w:p w14:paraId="4B110589" w14:textId="77777777" w:rsidR="00454A29" w:rsidRDefault="00454A29"/>
        </w:tc>
        <w:tc>
          <w:tcPr>
            <w:tcW w:w="1644" w:type="dxa"/>
            <w:vMerge/>
          </w:tcPr>
          <w:p w14:paraId="670E2F29" w14:textId="77777777" w:rsidR="00454A29" w:rsidRDefault="00454A29"/>
        </w:tc>
        <w:tc>
          <w:tcPr>
            <w:tcW w:w="2041" w:type="dxa"/>
            <w:vMerge/>
          </w:tcPr>
          <w:p w14:paraId="2634224B" w14:textId="77777777" w:rsidR="00454A29" w:rsidRDefault="00454A29"/>
        </w:tc>
        <w:tc>
          <w:tcPr>
            <w:tcW w:w="2098" w:type="dxa"/>
            <w:vAlign w:val="center"/>
          </w:tcPr>
          <w:p w14:paraId="39146E63" w14:textId="77777777" w:rsidR="00454A29" w:rsidRDefault="00454A29">
            <w:pPr>
              <w:pStyle w:val="ConsPlusNormal"/>
              <w:jc w:val="center"/>
            </w:pPr>
            <w:r>
              <w:t>Местные бюджеты</w:t>
            </w:r>
          </w:p>
        </w:tc>
        <w:tc>
          <w:tcPr>
            <w:tcW w:w="1814" w:type="dxa"/>
            <w:vAlign w:val="center"/>
          </w:tcPr>
          <w:p w14:paraId="5FDBAF51" w14:textId="77777777" w:rsidR="00454A29" w:rsidRDefault="00454A29">
            <w:pPr>
              <w:pStyle w:val="ConsPlusNormal"/>
              <w:jc w:val="center"/>
            </w:pPr>
            <w:r>
              <w:t>х</w:t>
            </w:r>
          </w:p>
        </w:tc>
        <w:tc>
          <w:tcPr>
            <w:tcW w:w="1701" w:type="dxa"/>
            <w:vAlign w:val="center"/>
          </w:tcPr>
          <w:p w14:paraId="09E1B116" w14:textId="77777777" w:rsidR="00454A29" w:rsidRDefault="00454A29">
            <w:pPr>
              <w:pStyle w:val="ConsPlusNormal"/>
              <w:jc w:val="center"/>
            </w:pPr>
            <w:r>
              <w:t>х</w:t>
            </w:r>
          </w:p>
        </w:tc>
        <w:tc>
          <w:tcPr>
            <w:tcW w:w="1701" w:type="dxa"/>
            <w:vAlign w:val="center"/>
          </w:tcPr>
          <w:p w14:paraId="325359BB" w14:textId="77777777" w:rsidR="00454A29" w:rsidRDefault="00454A29">
            <w:pPr>
              <w:pStyle w:val="ConsPlusNormal"/>
              <w:jc w:val="center"/>
            </w:pPr>
            <w:r>
              <w:t>х</w:t>
            </w:r>
          </w:p>
        </w:tc>
        <w:tc>
          <w:tcPr>
            <w:tcW w:w="1701" w:type="dxa"/>
            <w:vAlign w:val="center"/>
          </w:tcPr>
          <w:p w14:paraId="42A63260" w14:textId="77777777" w:rsidR="00454A29" w:rsidRDefault="00454A29">
            <w:pPr>
              <w:pStyle w:val="ConsPlusNormal"/>
              <w:jc w:val="center"/>
            </w:pPr>
            <w:r>
              <w:t>х</w:t>
            </w:r>
          </w:p>
        </w:tc>
        <w:tc>
          <w:tcPr>
            <w:tcW w:w="1701" w:type="dxa"/>
            <w:vAlign w:val="center"/>
          </w:tcPr>
          <w:p w14:paraId="7CE765BD" w14:textId="77777777" w:rsidR="00454A29" w:rsidRDefault="00454A29">
            <w:pPr>
              <w:pStyle w:val="ConsPlusNormal"/>
              <w:jc w:val="center"/>
            </w:pPr>
            <w:r>
              <w:t>х</w:t>
            </w:r>
          </w:p>
        </w:tc>
        <w:tc>
          <w:tcPr>
            <w:tcW w:w="1701" w:type="dxa"/>
            <w:vAlign w:val="center"/>
          </w:tcPr>
          <w:p w14:paraId="5436EDD5" w14:textId="77777777" w:rsidR="00454A29" w:rsidRDefault="00454A29">
            <w:pPr>
              <w:pStyle w:val="ConsPlusNormal"/>
              <w:jc w:val="center"/>
            </w:pPr>
            <w:r>
              <w:t>х</w:t>
            </w:r>
          </w:p>
        </w:tc>
        <w:tc>
          <w:tcPr>
            <w:tcW w:w="1701" w:type="dxa"/>
            <w:vAlign w:val="center"/>
          </w:tcPr>
          <w:p w14:paraId="5A4EED0D" w14:textId="77777777" w:rsidR="00454A29" w:rsidRDefault="00454A29">
            <w:pPr>
              <w:pStyle w:val="ConsPlusNormal"/>
              <w:jc w:val="center"/>
            </w:pPr>
            <w:r>
              <w:t>х</w:t>
            </w:r>
          </w:p>
        </w:tc>
      </w:tr>
      <w:tr w:rsidR="00454A29" w14:paraId="6C387C51" w14:textId="77777777">
        <w:tc>
          <w:tcPr>
            <w:tcW w:w="964" w:type="dxa"/>
            <w:vMerge/>
          </w:tcPr>
          <w:p w14:paraId="260E4532" w14:textId="77777777" w:rsidR="00454A29" w:rsidRDefault="00454A29"/>
        </w:tc>
        <w:tc>
          <w:tcPr>
            <w:tcW w:w="2154" w:type="dxa"/>
            <w:vMerge/>
            <w:tcBorders>
              <w:top w:val="nil"/>
              <w:bottom w:val="nil"/>
            </w:tcBorders>
          </w:tcPr>
          <w:p w14:paraId="0C815AD8" w14:textId="77777777" w:rsidR="00454A29" w:rsidRDefault="00454A29"/>
        </w:tc>
        <w:tc>
          <w:tcPr>
            <w:tcW w:w="2154" w:type="dxa"/>
            <w:vMerge/>
            <w:tcBorders>
              <w:top w:val="nil"/>
              <w:bottom w:val="nil"/>
            </w:tcBorders>
          </w:tcPr>
          <w:p w14:paraId="5986D57A" w14:textId="77777777" w:rsidR="00454A29" w:rsidRDefault="00454A29"/>
        </w:tc>
        <w:tc>
          <w:tcPr>
            <w:tcW w:w="2665" w:type="dxa"/>
            <w:vMerge/>
            <w:tcBorders>
              <w:top w:val="nil"/>
              <w:bottom w:val="nil"/>
            </w:tcBorders>
          </w:tcPr>
          <w:p w14:paraId="24B88E53" w14:textId="77777777" w:rsidR="00454A29" w:rsidRDefault="00454A29"/>
        </w:tc>
        <w:tc>
          <w:tcPr>
            <w:tcW w:w="2665" w:type="dxa"/>
            <w:vMerge/>
          </w:tcPr>
          <w:p w14:paraId="5738DA4C" w14:textId="77777777" w:rsidR="00454A29" w:rsidRDefault="00454A29"/>
        </w:tc>
        <w:tc>
          <w:tcPr>
            <w:tcW w:w="1928" w:type="dxa"/>
            <w:vMerge/>
          </w:tcPr>
          <w:p w14:paraId="3B1B6EC6" w14:textId="77777777" w:rsidR="00454A29" w:rsidRDefault="00454A29"/>
        </w:tc>
        <w:tc>
          <w:tcPr>
            <w:tcW w:w="1644" w:type="dxa"/>
            <w:vMerge/>
          </w:tcPr>
          <w:p w14:paraId="2675819D" w14:textId="77777777" w:rsidR="00454A29" w:rsidRDefault="00454A29"/>
        </w:tc>
        <w:tc>
          <w:tcPr>
            <w:tcW w:w="2041" w:type="dxa"/>
            <w:vMerge/>
          </w:tcPr>
          <w:p w14:paraId="04FA3C28" w14:textId="77777777" w:rsidR="00454A29" w:rsidRDefault="00454A29"/>
        </w:tc>
        <w:tc>
          <w:tcPr>
            <w:tcW w:w="2098" w:type="dxa"/>
            <w:vAlign w:val="center"/>
          </w:tcPr>
          <w:p w14:paraId="0EE26F06" w14:textId="77777777" w:rsidR="00454A29" w:rsidRDefault="00454A29">
            <w:pPr>
              <w:pStyle w:val="ConsPlusNormal"/>
              <w:jc w:val="center"/>
            </w:pPr>
            <w:r>
              <w:t>Внебюджетные средства</w:t>
            </w:r>
          </w:p>
        </w:tc>
        <w:tc>
          <w:tcPr>
            <w:tcW w:w="1814" w:type="dxa"/>
            <w:vAlign w:val="center"/>
          </w:tcPr>
          <w:p w14:paraId="1FC9FE44" w14:textId="77777777" w:rsidR="00454A29" w:rsidRDefault="00454A29">
            <w:pPr>
              <w:pStyle w:val="ConsPlusNormal"/>
              <w:jc w:val="center"/>
            </w:pPr>
            <w:r>
              <w:t>х</w:t>
            </w:r>
          </w:p>
        </w:tc>
        <w:tc>
          <w:tcPr>
            <w:tcW w:w="1701" w:type="dxa"/>
            <w:vAlign w:val="center"/>
          </w:tcPr>
          <w:p w14:paraId="232C3C50" w14:textId="77777777" w:rsidR="00454A29" w:rsidRDefault="00454A29">
            <w:pPr>
              <w:pStyle w:val="ConsPlusNormal"/>
              <w:jc w:val="center"/>
            </w:pPr>
            <w:r>
              <w:t>х</w:t>
            </w:r>
          </w:p>
        </w:tc>
        <w:tc>
          <w:tcPr>
            <w:tcW w:w="1701" w:type="dxa"/>
            <w:vAlign w:val="center"/>
          </w:tcPr>
          <w:p w14:paraId="73129915" w14:textId="77777777" w:rsidR="00454A29" w:rsidRDefault="00454A29">
            <w:pPr>
              <w:pStyle w:val="ConsPlusNormal"/>
              <w:jc w:val="center"/>
            </w:pPr>
            <w:r>
              <w:t>х</w:t>
            </w:r>
          </w:p>
        </w:tc>
        <w:tc>
          <w:tcPr>
            <w:tcW w:w="1701" w:type="dxa"/>
            <w:vAlign w:val="center"/>
          </w:tcPr>
          <w:p w14:paraId="2B87BA88" w14:textId="77777777" w:rsidR="00454A29" w:rsidRDefault="00454A29">
            <w:pPr>
              <w:pStyle w:val="ConsPlusNormal"/>
              <w:jc w:val="center"/>
            </w:pPr>
            <w:r>
              <w:t>х</w:t>
            </w:r>
          </w:p>
        </w:tc>
        <w:tc>
          <w:tcPr>
            <w:tcW w:w="1701" w:type="dxa"/>
            <w:vAlign w:val="center"/>
          </w:tcPr>
          <w:p w14:paraId="110BCFA5" w14:textId="77777777" w:rsidR="00454A29" w:rsidRDefault="00454A29">
            <w:pPr>
              <w:pStyle w:val="ConsPlusNormal"/>
              <w:jc w:val="center"/>
            </w:pPr>
            <w:r>
              <w:t>х</w:t>
            </w:r>
          </w:p>
        </w:tc>
        <w:tc>
          <w:tcPr>
            <w:tcW w:w="1701" w:type="dxa"/>
            <w:vAlign w:val="center"/>
          </w:tcPr>
          <w:p w14:paraId="0D29B76C" w14:textId="77777777" w:rsidR="00454A29" w:rsidRDefault="00454A29">
            <w:pPr>
              <w:pStyle w:val="ConsPlusNormal"/>
              <w:jc w:val="center"/>
            </w:pPr>
            <w:r>
              <w:t>х</w:t>
            </w:r>
          </w:p>
        </w:tc>
        <w:tc>
          <w:tcPr>
            <w:tcW w:w="1701" w:type="dxa"/>
            <w:vAlign w:val="center"/>
          </w:tcPr>
          <w:p w14:paraId="146E72D8" w14:textId="77777777" w:rsidR="00454A29" w:rsidRDefault="00454A29">
            <w:pPr>
              <w:pStyle w:val="ConsPlusNormal"/>
              <w:jc w:val="center"/>
            </w:pPr>
            <w:r>
              <w:t>х</w:t>
            </w:r>
          </w:p>
        </w:tc>
      </w:tr>
      <w:tr w:rsidR="00454A29" w14:paraId="06918E41" w14:textId="77777777">
        <w:tc>
          <w:tcPr>
            <w:tcW w:w="964" w:type="dxa"/>
            <w:vMerge w:val="restart"/>
            <w:vAlign w:val="center"/>
          </w:tcPr>
          <w:p w14:paraId="4E0623F0" w14:textId="77777777" w:rsidR="00454A29" w:rsidRDefault="00454A29">
            <w:pPr>
              <w:pStyle w:val="ConsPlusNormal"/>
              <w:jc w:val="center"/>
            </w:pPr>
            <w:r>
              <w:t>7.6.5.</w:t>
            </w:r>
          </w:p>
        </w:tc>
        <w:tc>
          <w:tcPr>
            <w:tcW w:w="2154" w:type="dxa"/>
            <w:vMerge/>
            <w:tcBorders>
              <w:top w:val="nil"/>
              <w:bottom w:val="nil"/>
            </w:tcBorders>
          </w:tcPr>
          <w:p w14:paraId="5C9D9969" w14:textId="77777777" w:rsidR="00454A29" w:rsidRDefault="00454A29"/>
        </w:tc>
        <w:tc>
          <w:tcPr>
            <w:tcW w:w="2154" w:type="dxa"/>
            <w:vMerge/>
            <w:tcBorders>
              <w:top w:val="nil"/>
              <w:bottom w:val="nil"/>
            </w:tcBorders>
          </w:tcPr>
          <w:p w14:paraId="25132837" w14:textId="77777777" w:rsidR="00454A29" w:rsidRDefault="00454A29"/>
        </w:tc>
        <w:tc>
          <w:tcPr>
            <w:tcW w:w="2665" w:type="dxa"/>
            <w:vMerge/>
            <w:tcBorders>
              <w:top w:val="nil"/>
              <w:bottom w:val="nil"/>
            </w:tcBorders>
          </w:tcPr>
          <w:p w14:paraId="6AFA7C00" w14:textId="77777777" w:rsidR="00454A29" w:rsidRDefault="00454A29"/>
        </w:tc>
        <w:tc>
          <w:tcPr>
            <w:tcW w:w="2665" w:type="dxa"/>
            <w:vMerge/>
          </w:tcPr>
          <w:p w14:paraId="26740AC8" w14:textId="77777777" w:rsidR="00454A29" w:rsidRDefault="00454A29"/>
        </w:tc>
        <w:tc>
          <w:tcPr>
            <w:tcW w:w="1928" w:type="dxa"/>
            <w:vMerge w:val="restart"/>
            <w:vAlign w:val="center"/>
          </w:tcPr>
          <w:p w14:paraId="4CCE5B05" w14:textId="77777777" w:rsidR="00454A29" w:rsidRDefault="00454A29">
            <w:pPr>
              <w:pStyle w:val="ConsPlusNormal"/>
              <w:jc w:val="center"/>
            </w:pPr>
            <w:r>
              <w:t>МР "Чурапчинский улус (район)"</w:t>
            </w:r>
          </w:p>
        </w:tc>
        <w:tc>
          <w:tcPr>
            <w:tcW w:w="1644" w:type="dxa"/>
            <w:vMerge w:val="restart"/>
            <w:vAlign w:val="center"/>
          </w:tcPr>
          <w:p w14:paraId="2386A9C8" w14:textId="77777777" w:rsidR="00454A29" w:rsidRDefault="00454A29">
            <w:pPr>
              <w:pStyle w:val="ConsPlusNormal"/>
              <w:jc w:val="center"/>
            </w:pPr>
            <w:r>
              <w:t>с. Чурапча</w:t>
            </w:r>
          </w:p>
        </w:tc>
        <w:tc>
          <w:tcPr>
            <w:tcW w:w="2041" w:type="dxa"/>
            <w:vAlign w:val="center"/>
          </w:tcPr>
          <w:p w14:paraId="002C24C4" w14:textId="77777777" w:rsidR="00454A29" w:rsidRDefault="00454A29">
            <w:pPr>
              <w:pStyle w:val="ConsPlusNormal"/>
              <w:jc w:val="center"/>
            </w:pPr>
            <w:r>
              <w:t xml:space="preserve">ФГБОУ ВО "Чурапчинский государственный институт физической </w:t>
            </w:r>
            <w:r>
              <w:lastRenderedPageBreak/>
              <w:t>культуры и спорта"</w:t>
            </w:r>
          </w:p>
        </w:tc>
        <w:tc>
          <w:tcPr>
            <w:tcW w:w="2098" w:type="dxa"/>
            <w:vAlign w:val="center"/>
          </w:tcPr>
          <w:p w14:paraId="388B3524" w14:textId="77777777" w:rsidR="00454A29" w:rsidRDefault="00454A29">
            <w:pPr>
              <w:pStyle w:val="ConsPlusNormal"/>
              <w:jc w:val="center"/>
            </w:pPr>
            <w:r>
              <w:lastRenderedPageBreak/>
              <w:t>Итого</w:t>
            </w:r>
          </w:p>
        </w:tc>
        <w:tc>
          <w:tcPr>
            <w:tcW w:w="1814" w:type="dxa"/>
            <w:vAlign w:val="center"/>
          </w:tcPr>
          <w:p w14:paraId="4F8279EC" w14:textId="77777777" w:rsidR="00454A29" w:rsidRDefault="00454A29">
            <w:pPr>
              <w:pStyle w:val="ConsPlusNormal"/>
              <w:jc w:val="center"/>
            </w:pPr>
            <w:r>
              <w:t>х</w:t>
            </w:r>
          </w:p>
        </w:tc>
        <w:tc>
          <w:tcPr>
            <w:tcW w:w="1701" w:type="dxa"/>
            <w:vAlign w:val="center"/>
          </w:tcPr>
          <w:p w14:paraId="5B8C44C6" w14:textId="77777777" w:rsidR="00454A29" w:rsidRDefault="00454A29">
            <w:pPr>
              <w:pStyle w:val="ConsPlusNormal"/>
              <w:jc w:val="center"/>
            </w:pPr>
            <w:r>
              <w:t>х</w:t>
            </w:r>
          </w:p>
        </w:tc>
        <w:tc>
          <w:tcPr>
            <w:tcW w:w="1701" w:type="dxa"/>
            <w:vAlign w:val="center"/>
          </w:tcPr>
          <w:p w14:paraId="2F374B4E" w14:textId="77777777" w:rsidR="00454A29" w:rsidRDefault="00454A29">
            <w:pPr>
              <w:pStyle w:val="ConsPlusNormal"/>
              <w:jc w:val="center"/>
            </w:pPr>
            <w:r>
              <w:t>х</w:t>
            </w:r>
          </w:p>
        </w:tc>
        <w:tc>
          <w:tcPr>
            <w:tcW w:w="1701" w:type="dxa"/>
            <w:vAlign w:val="center"/>
          </w:tcPr>
          <w:p w14:paraId="7750ADF9" w14:textId="77777777" w:rsidR="00454A29" w:rsidRDefault="00454A29">
            <w:pPr>
              <w:pStyle w:val="ConsPlusNormal"/>
              <w:jc w:val="center"/>
            </w:pPr>
            <w:r>
              <w:t>х</w:t>
            </w:r>
          </w:p>
        </w:tc>
        <w:tc>
          <w:tcPr>
            <w:tcW w:w="1701" w:type="dxa"/>
            <w:vAlign w:val="center"/>
          </w:tcPr>
          <w:p w14:paraId="6D2F23F6" w14:textId="77777777" w:rsidR="00454A29" w:rsidRDefault="00454A29">
            <w:pPr>
              <w:pStyle w:val="ConsPlusNormal"/>
              <w:jc w:val="center"/>
            </w:pPr>
            <w:r>
              <w:t>х</w:t>
            </w:r>
          </w:p>
        </w:tc>
        <w:tc>
          <w:tcPr>
            <w:tcW w:w="1701" w:type="dxa"/>
            <w:vAlign w:val="center"/>
          </w:tcPr>
          <w:p w14:paraId="448393F8" w14:textId="77777777" w:rsidR="00454A29" w:rsidRDefault="00454A29">
            <w:pPr>
              <w:pStyle w:val="ConsPlusNormal"/>
              <w:jc w:val="center"/>
            </w:pPr>
            <w:r>
              <w:t>х</w:t>
            </w:r>
          </w:p>
        </w:tc>
        <w:tc>
          <w:tcPr>
            <w:tcW w:w="1701" w:type="dxa"/>
            <w:vAlign w:val="center"/>
          </w:tcPr>
          <w:p w14:paraId="06D077D3" w14:textId="77777777" w:rsidR="00454A29" w:rsidRDefault="00454A29">
            <w:pPr>
              <w:pStyle w:val="ConsPlusNormal"/>
              <w:jc w:val="center"/>
            </w:pPr>
            <w:r>
              <w:t>х</w:t>
            </w:r>
          </w:p>
        </w:tc>
      </w:tr>
      <w:tr w:rsidR="00454A29" w14:paraId="37CAAEFF" w14:textId="77777777">
        <w:tc>
          <w:tcPr>
            <w:tcW w:w="964" w:type="dxa"/>
            <w:vMerge/>
          </w:tcPr>
          <w:p w14:paraId="190B1AB9" w14:textId="77777777" w:rsidR="00454A29" w:rsidRDefault="00454A29"/>
        </w:tc>
        <w:tc>
          <w:tcPr>
            <w:tcW w:w="2154" w:type="dxa"/>
            <w:vMerge/>
            <w:tcBorders>
              <w:top w:val="nil"/>
              <w:bottom w:val="nil"/>
            </w:tcBorders>
          </w:tcPr>
          <w:p w14:paraId="5A0CED25" w14:textId="77777777" w:rsidR="00454A29" w:rsidRDefault="00454A29"/>
        </w:tc>
        <w:tc>
          <w:tcPr>
            <w:tcW w:w="2154" w:type="dxa"/>
            <w:vMerge/>
            <w:tcBorders>
              <w:top w:val="nil"/>
              <w:bottom w:val="nil"/>
            </w:tcBorders>
          </w:tcPr>
          <w:p w14:paraId="3CF27849" w14:textId="77777777" w:rsidR="00454A29" w:rsidRDefault="00454A29"/>
        </w:tc>
        <w:tc>
          <w:tcPr>
            <w:tcW w:w="2665" w:type="dxa"/>
            <w:vMerge/>
            <w:tcBorders>
              <w:top w:val="nil"/>
              <w:bottom w:val="nil"/>
            </w:tcBorders>
          </w:tcPr>
          <w:p w14:paraId="3CFD6C2D" w14:textId="77777777" w:rsidR="00454A29" w:rsidRDefault="00454A29"/>
        </w:tc>
        <w:tc>
          <w:tcPr>
            <w:tcW w:w="2665" w:type="dxa"/>
            <w:vMerge/>
          </w:tcPr>
          <w:p w14:paraId="612BC426" w14:textId="77777777" w:rsidR="00454A29" w:rsidRDefault="00454A29"/>
        </w:tc>
        <w:tc>
          <w:tcPr>
            <w:tcW w:w="1928" w:type="dxa"/>
            <w:vMerge/>
          </w:tcPr>
          <w:p w14:paraId="6710E2C8" w14:textId="77777777" w:rsidR="00454A29" w:rsidRDefault="00454A29"/>
        </w:tc>
        <w:tc>
          <w:tcPr>
            <w:tcW w:w="1644" w:type="dxa"/>
            <w:vMerge/>
          </w:tcPr>
          <w:p w14:paraId="0DD911F6" w14:textId="77777777" w:rsidR="00454A29" w:rsidRDefault="00454A29"/>
        </w:tc>
        <w:tc>
          <w:tcPr>
            <w:tcW w:w="2041" w:type="dxa"/>
            <w:vAlign w:val="center"/>
          </w:tcPr>
          <w:p w14:paraId="5B92D525" w14:textId="77777777" w:rsidR="00454A29" w:rsidRDefault="00454A29">
            <w:pPr>
              <w:pStyle w:val="ConsPlusNormal"/>
            </w:pPr>
          </w:p>
        </w:tc>
        <w:tc>
          <w:tcPr>
            <w:tcW w:w="2098" w:type="dxa"/>
            <w:vAlign w:val="center"/>
          </w:tcPr>
          <w:p w14:paraId="2B07D0EC"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5E6B776" w14:textId="77777777" w:rsidR="00454A29" w:rsidRDefault="00454A29">
            <w:pPr>
              <w:pStyle w:val="ConsPlusNormal"/>
              <w:jc w:val="center"/>
            </w:pPr>
            <w:r>
              <w:t>х</w:t>
            </w:r>
          </w:p>
        </w:tc>
        <w:tc>
          <w:tcPr>
            <w:tcW w:w="1701" w:type="dxa"/>
            <w:vAlign w:val="center"/>
          </w:tcPr>
          <w:p w14:paraId="5F191FE1" w14:textId="77777777" w:rsidR="00454A29" w:rsidRDefault="00454A29">
            <w:pPr>
              <w:pStyle w:val="ConsPlusNormal"/>
              <w:jc w:val="center"/>
            </w:pPr>
            <w:r>
              <w:t>х</w:t>
            </w:r>
          </w:p>
        </w:tc>
        <w:tc>
          <w:tcPr>
            <w:tcW w:w="1701" w:type="dxa"/>
            <w:vAlign w:val="center"/>
          </w:tcPr>
          <w:p w14:paraId="61E8D7CC" w14:textId="77777777" w:rsidR="00454A29" w:rsidRDefault="00454A29">
            <w:pPr>
              <w:pStyle w:val="ConsPlusNormal"/>
              <w:jc w:val="center"/>
            </w:pPr>
            <w:r>
              <w:t>х</w:t>
            </w:r>
          </w:p>
        </w:tc>
        <w:tc>
          <w:tcPr>
            <w:tcW w:w="1701" w:type="dxa"/>
            <w:vAlign w:val="center"/>
          </w:tcPr>
          <w:p w14:paraId="3CAB9DE1" w14:textId="77777777" w:rsidR="00454A29" w:rsidRDefault="00454A29">
            <w:pPr>
              <w:pStyle w:val="ConsPlusNormal"/>
              <w:jc w:val="center"/>
            </w:pPr>
            <w:r>
              <w:t>х</w:t>
            </w:r>
          </w:p>
        </w:tc>
        <w:tc>
          <w:tcPr>
            <w:tcW w:w="1701" w:type="dxa"/>
            <w:vAlign w:val="center"/>
          </w:tcPr>
          <w:p w14:paraId="1ED48261" w14:textId="77777777" w:rsidR="00454A29" w:rsidRDefault="00454A29">
            <w:pPr>
              <w:pStyle w:val="ConsPlusNormal"/>
              <w:jc w:val="center"/>
            </w:pPr>
            <w:r>
              <w:t>х</w:t>
            </w:r>
          </w:p>
        </w:tc>
        <w:tc>
          <w:tcPr>
            <w:tcW w:w="1701" w:type="dxa"/>
            <w:vAlign w:val="center"/>
          </w:tcPr>
          <w:p w14:paraId="599A7B35" w14:textId="77777777" w:rsidR="00454A29" w:rsidRDefault="00454A29">
            <w:pPr>
              <w:pStyle w:val="ConsPlusNormal"/>
              <w:jc w:val="center"/>
            </w:pPr>
            <w:r>
              <w:t>х</w:t>
            </w:r>
          </w:p>
        </w:tc>
        <w:tc>
          <w:tcPr>
            <w:tcW w:w="1701" w:type="dxa"/>
            <w:vAlign w:val="center"/>
          </w:tcPr>
          <w:p w14:paraId="16759465" w14:textId="77777777" w:rsidR="00454A29" w:rsidRDefault="00454A29">
            <w:pPr>
              <w:pStyle w:val="ConsPlusNormal"/>
              <w:jc w:val="center"/>
            </w:pPr>
            <w:r>
              <w:t>х</w:t>
            </w:r>
          </w:p>
        </w:tc>
      </w:tr>
      <w:tr w:rsidR="00454A29" w14:paraId="44974969" w14:textId="77777777">
        <w:tc>
          <w:tcPr>
            <w:tcW w:w="964" w:type="dxa"/>
            <w:vMerge/>
          </w:tcPr>
          <w:p w14:paraId="75A85156" w14:textId="77777777" w:rsidR="00454A29" w:rsidRDefault="00454A29"/>
        </w:tc>
        <w:tc>
          <w:tcPr>
            <w:tcW w:w="2154" w:type="dxa"/>
            <w:vMerge/>
            <w:tcBorders>
              <w:top w:val="nil"/>
              <w:bottom w:val="nil"/>
            </w:tcBorders>
          </w:tcPr>
          <w:p w14:paraId="5545553D" w14:textId="77777777" w:rsidR="00454A29" w:rsidRDefault="00454A29"/>
        </w:tc>
        <w:tc>
          <w:tcPr>
            <w:tcW w:w="2154" w:type="dxa"/>
            <w:vMerge/>
            <w:tcBorders>
              <w:top w:val="nil"/>
              <w:bottom w:val="nil"/>
            </w:tcBorders>
          </w:tcPr>
          <w:p w14:paraId="5FE3EEE2" w14:textId="77777777" w:rsidR="00454A29" w:rsidRDefault="00454A29"/>
        </w:tc>
        <w:tc>
          <w:tcPr>
            <w:tcW w:w="2665" w:type="dxa"/>
            <w:vMerge/>
            <w:tcBorders>
              <w:top w:val="nil"/>
              <w:bottom w:val="nil"/>
            </w:tcBorders>
          </w:tcPr>
          <w:p w14:paraId="46503941" w14:textId="77777777" w:rsidR="00454A29" w:rsidRDefault="00454A29"/>
        </w:tc>
        <w:tc>
          <w:tcPr>
            <w:tcW w:w="2665" w:type="dxa"/>
            <w:vMerge/>
          </w:tcPr>
          <w:p w14:paraId="0EB154B3" w14:textId="77777777" w:rsidR="00454A29" w:rsidRDefault="00454A29"/>
        </w:tc>
        <w:tc>
          <w:tcPr>
            <w:tcW w:w="1928" w:type="dxa"/>
            <w:vMerge/>
          </w:tcPr>
          <w:p w14:paraId="440B0196" w14:textId="77777777" w:rsidR="00454A29" w:rsidRDefault="00454A29"/>
        </w:tc>
        <w:tc>
          <w:tcPr>
            <w:tcW w:w="1644" w:type="dxa"/>
            <w:vMerge/>
          </w:tcPr>
          <w:p w14:paraId="7548B7EC" w14:textId="77777777" w:rsidR="00454A29" w:rsidRDefault="00454A29"/>
        </w:tc>
        <w:tc>
          <w:tcPr>
            <w:tcW w:w="2041" w:type="dxa"/>
            <w:vAlign w:val="center"/>
          </w:tcPr>
          <w:p w14:paraId="01C4D02D" w14:textId="77777777" w:rsidR="00454A29" w:rsidRDefault="00454A29">
            <w:pPr>
              <w:pStyle w:val="ConsPlusNormal"/>
            </w:pPr>
          </w:p>
        </w:tc>
        <w:tc>
          <w:tcPr>
            <w:tcW w:w="2098" w:type="dxa"/>
            <w:vAlign w:val="center"/>
          </w:tcPr>
          <w:p w14:paraId="7672F023" w14:textId="77777777" w:rsidR="00454A29" w:rsidRDefault="00454A29">
            <w:pPr>
              <w:pStyle w:val="ConsPlusNormal"/>
              <w:jc w:val="center"/>
            </w:pPr>
            <w:r>
              <w:t>Федеральный бюджет</w:t>
            </w:r>
          </w:p>
        </w:tc>
        <w:tc>
          <w:tcPr>
            <w:tcW w:w="1814" w:type="dxa"/>
            <w:vAlign w:val="center"/>
          </w:tcPr>
          <w:p w14:paraId="32736BD9" w14:textId="77777777" w:rsidR="00454A29" w:rsidRDefault="00454A29">
            <w:pPr>
              <w:pStyle w:val="ConsPlusNormal"/>
              <w:jc w:val="center"/>
            </w:pPr>
            <w:r>
              <w:t>х</w:t>
            </w:r>
          </w:p>
        </w:tc>
        <w:tc>
          <w:tcPr>
            <w:tcW w:w="1701" w:type="dxa"/>
            <w:vAlign w:val="center"/>
          </w:tcPr>
          <w:p w14:paraId="10FD3B6D" w14:textId="77777777" w:rsidR="00454A29" w:rsidRDefault="00454A29">
            <w:pPr>
              <w:pStyle w:val="ConsPlusNormal"/>
              <w:jc w:val="center"/>
            </w:pPr>
            <w:r>
              <w:t>х</w:t>
            </w:r>
          </w:p>
        </w:tc>
        <w:tc>
          <w:tcPr>
            <w:tcW w:w="1701" w:type="dxa"/>
            <w:vAlign w:val="center"/>
          </w:tcPr>
          <w:p w14:paraId="5DDD8509" w14:textId="77777777" w:rsidR="00454A29" w:rsidRDefault="00454A29">
            <w:pPr>
              <w:pStyle w:val="ConsPlusNormal"/>
              <w:jc w:val="center"/>
            </w:pPr>
            <w:r>
              <w:t>х</w:t>
            </w:r>
          </w:p>
        </w:tc>
        <w:tc>
          <w:tcPr>
            <w:tcW w:w="1701" w:type="dxa"/>
            <w:vAlign w:val="center"/>
          </w:tcPr>
          <w:p w14:paraId="16458C34" w14:textId="77777777" w:rsidR="00454A29" w:rsidRDefault="00454A29">
            <w:pPr>
              <w:pStyle w:val="ConsPlusNormal"/>
              <w:jc w:val="center"/>
            </w:pPr>
            <w:r>
              <w:t>х</w:t>
            </w:r>
          </w:p>
        </w:tc>
        <w:tc>
          <w:tcPr>
            <w:tcW w:w="1701" w:type="dxa"/>
            <w:vAlign w:val="center"/>
          </w:tcPr>
          <w:p w14:paraId="052069E1" w14:textId="77777777" w:rsidR="00454A29" w:rsidRDefault="00454A29">
            <w:pPr>
              <w:pStyle w:val="ConsPlusNormal"/>
              <w:jc w:val="center"/>
            </w:pPr>
            <w:r>
              <w:t>х</w:t>
            </w:r>
          </w:p>
        </w:tc>
        <w:tc>
          <w:tcPr>
            <w:tcW w:w="1701" w:type="dxa"/>
            <w:vAlign w:val="center"/>
          </w:tcPr>
          <w:p w14:paraId="478A9F0D" w14:textId="77777777" w:rsidR="00454A29" w:rsidRDefault="00454A29">
            <w:pPr>
              <w:pStyle w:val="ConsPlusNormal"/>
              <w:jc w:val="center"/>
            </w:pPr>
            <w:r>
              <w:t>х</w:t>
            </w:r>
          </w:p>
        </w:tc>
        <w:tc>
          <w:tcPr>
            <w:tcW w:w="1701" w:type="dxa"/>
            <w:vAlign w:val="center"/>
          </w:tcPr>
          <w:p w14:paraId="2C04860C" w14:textId="77777777" w:rsidR="00454A29" w:rsidRDefault="00454A29">
            <w:pPr>
              <w:pStyle w:val="ConsPlusNormal"/>
              <w:jc w:val="center"/>
            </w:pPr>
            <w:r>
              <w:t>х</w:t>
            </w:r>
          </w:p>
        </w:tc>
      </w:tr>
      <w:tr w:rsidR="00454A29" w14:paraId="4AAD2BE5" w14:textId="77777777">
        <w:tc>
          <w:tcPr>
            <w:tcW w:w="964" w:type="dxa"/>
            <w:vMerge/>
          </w:tcPr>
          <w:p w14:paraId="7AE80CD2" w14:textId="77777777" w:rsidR="00454A29" w:rsidRDefault="00454A29"/>
        </w:tc>
        <w:tc>
          <w:tcPr>
            <w:tcW w:w="2154" w:type="dxa"/>
            <w:vMerge/>
            <w:tcBorders>
              <w:top w:val="nil"/>
              <w:bottom w:val="nil"/>
            </w:tcBorders>
          </w:tcPr>
          <w:p w14:paraId="3340BFAA" w14:textId="77777777" w:rsidR="00454A29" w:rsidRDefault="00454A29"/>
        </w:tc>
        <w:tc>
          <w:tcPr>
            <w:tcW w:w="2154" w:type="dxa"/>
            <w:vMerge/>
            <w:tcBorders>
              <w:top w:val="nil"/>
              <w:bottom w:val="nil"/>
            </w:tcBorders>
          </w:tcPr>
          <w:p w14:paraId="56059B79" w14:textId="77777777" w:rsidR="00454A29" w:rsidRDefault="00454A29"/>
        </w:tc>
        <w:tc>
          <w:tcPr>
            <w:tcW w:w="2665" w:type="dxa"/>
            <w:vMerge/>
            <w:tcBorders>
              <w:top w:val="nil"/>
              <w:bottom w:val="nil"/>
            </w:tcBorders>
          </w:tcPr>
          <w:p w14:paraId="302A4C12" w14:textId="77777777" w:rsidR="00454A29" w:rsidRDefault="00454A29"/>
        </w:tc>
        <w:tc>
          <w:tcPr>
            <w:tcW w:w="2665" w:type="dxa"/>
            <w:vMerge/>
          </w:tcPr>
          <w:p w14:paraId="61B52395" w14:textId="77777777" w:rsidR="00454A29" w:rsidRDefault="00454A29"/>
        </w:tc>
        <w:tc>
          <w:tcPr>
            <w:tcW w:w="1928" w:type="dxa"/>
            <w:vMerge/>
          </w:tcPr>
          <w:p w14:paraId="7D22EB2F" w14:textId="77777777" w:rsidR="00454A29" w:rsidRDefault="00454A29"/>
        </w:tc>
        <w:tc>
          <w:tcPr>
            <w:tcW w:w="1644" w:type="dxa"/>
            <w:vMerge/>
          </w:tcPr>
          <w:p w14:paraId="3FA56508" w14:textId="77777777" w:rsidR="00454A29" w:rsidRDefault="00454A29"/>
        </w:tc>
        <w:tc>
          <w:tcPr>
            <w:tcW w:w="2041" w:type="dxa"/>
            <w:vAlign w:val="center"/>
          </w:tcPr>
          <w:p w14:paraId="4721C098" w14:textId="77777777" w:rsidR="00454A29" w:rsidRDefault="00454A29">
            <w:pPr>
              <w:pStyle w:val="ConsPlusNormal"/>
            </w:pPr>
          </w:p>
        </w:tc>
        <w:tc>
          <w:tcPr>
            <w:tcW w:w="2098" w:type="dxa"/>
            <w:vAlign w:val="center"/>
          </w:tcPr>
          <w:p w14:paraId="74E65524" w14:textId="77777777" w:rsidR="00454A29" w:rsidRDefault="00454A29">
            <w:pPr>
              <w:pStyle w:val="ConsPlusNormal"/>
              <w:jc w:val="center"/>
            </w:pPr>
            <w:r>
              <w:t>Местные бюджеты</w:t>
            </w:r>
          </w:p>
        </w:tc>
        <w:tc>
          <w:tcPr>
            <w:tcW w:w="1814" w:type="dxa"/>
            <w:vAlign w:val="center"/>
          </w:tcPr>
          <w:p w14:paraId="435D42AF" w14:textId="77777777" w:rsidR="00454A29" w:rsidRDefault="00454A29">
            <w:pPr>
              <w:pStyle w:val="ConsPlusNormal"/>
              <w:jc w:val="center"/>
            </w:pPr>
            <w:r>
              <w:t>х</w:t>
            </w:r>
          </w:p>
        </w:tc>
        <w:tc>
          <w:tcPr>
            <w:tcW w:w="1701" w:type="dxa"/>
            <w:vAlign w:val="center"/>
          </w:tcPr>
          <w:p w14:paraId="6BD4101C" w14:textId="77777777" w:rsidR="00454A29" w:rsidRDefault="00454A29">
            <w:pPr>
              <w:pStyle w:val="ConsPlusNormal"/>
              <w:jc w:val="center"/>
            </w:pPr>
            <w:r>
              <w:t>х</w:t>
            </w:r>
          </w:p>
        </w:tc>
        <w:tc>
          <w:tcPr>
            <w:tcW w:w="1701" w:type="dxa"/>
            <w:vAlign w:val="center"/>
          </w:tcPr>
          <w:p w14:paraId="417AE886" w14:textId="77777777" w:rsidR="00454A29" w:rsidRDefault="00454A29">
            <w:pPr>
              <w:pStyle w:val="ConsPlusNormal"/>
              <w:jc w:val="center"/>
            </w:pPr>
            <w:r>
              <w:t>х</w:t>
            </w:r>
          </w:p>
        </w:tc>
        <w:tc>
          <w:tcPr>
            <w:tcW w:w="1701" w:type="dxa"/>
            <w:vAlign w:val="center"/>
          </w:tcPr>
          <w:p w14:paraId="23373B51" w14:textId="77777777" w:rsidR="00454A29" w:rsidRDefault="00454A29">
            <w:pPr>
              <w:pStyle w:val="ConsPlusNormal"/>
              <w:jc w:val="center"/>
            </w:pPr>
            <w:r>
              <w:t>х</w:t>
            </w:r>
          </w:p>
        </w:tc>
        <w:tc>
          <w:tcPr>
            <w:tcW w:w="1701" w:type="dxa"/>
            <w:vAlign w:val="center"/>
          </w:tcPr>
          <w:p w14:paraId="18EB55B7" w14:textId="77777777" w:rsidR="00454A29" w:rsidRDefault="00454A29">
            <w:pPr>
              <w:pStyle w:val="ConsPlusNormal"/>
              <w:jc w:val="center"/>
            </w:pPr>
            <w:r>
              <w:t>х</w:t>
            </w:r>
          </w:p>
        </w:tc>
        <w:tc>
          <w:tcPr>
            <w:tcW w:w="1701" w:type="dxa"/>
            <w:vAlign w:val="center"/>
          </w:tcPr>
          <w:p w14:paraId="1744054E" w14:textId="77777777" w:rsidR="00454A29" w:rsidRDefault="00454A29">
            <w:pPr>
              <w:pStyle w:val="ConsPlusNormal"/>
              <w:jc w:val="center"/>
            </w:pPr>
            <w:r>
              <w:t>х</w:t>
            </w:r>
          </w:p>
        </w:tc>
        <w:tc>
          <w:tcPr>
            <w:tcW w:w="1701" w:type="dxa"/>
            <w:vAlign w:val="center"/>
          </w:tcPr>
          <w:p w14:paraId="278C412D" w14:textId="77777777" w:rsidR="00454A29" w:rsidRDefault="00454A29">
            <w:pPr>
              <w:pStyle w:val="ConsPlusNormal"/>
              <w:jc w:val="center"/>
            </w:pPr>
            <w:r>
              <w:t>х</w:t>
            </w:r>
          </w:p>
        </w:tc>
      </w:tr>
      <w:tr w:rsidR="00454A29" w14:paraId="13D36948" w14:textId="77777777">
        <w:tc>
          <w:tcPr>
            <w:tcW w:w="964" w:type="dxa"/>
            <w:vMerge/>
          </w:tcPr>
          <w:p w14:paraId="7079D425" w14:textId="77777777" w:rsidR="00454A29" w:rsidRDefault="00454A29"/>
        </w:tc>
        <w:tc>
          <w:tcPr>
            <w:tcW w:w="2154" w:type="dxa"/>
            <w:vMerge/>
            <w:tcBorders>
              <w:top w:val="nil"/>
              <w:bottom w:val="nil"/>
            </w:tcBorders>
          </w:tcPr>
          <w:p w14:paraId="0CCC751F" w14:textId="77777777" w:rsidR="00454A29" w:rsidRDefault="00454A29"/>
        </w:tc>
        <w:tc>
          <w:tcPr>
            <w:tcW w:w="2154" w:type="dxa"/>
            <w:vMerge/>
            <w:tcBorders>
              <w:top w:val="nil"/>
              <w:bottom w:val="nil"/>
            </w:tcBorders>
          </w:tcPr>
          <w:p w14:paraId="1AB5EC79" w14:textId="77777777" w:rsidR="00454A29" w:rsidRDefault="00454A29"/>
        </w:tc>
        <w:tc>
          <w:tcPr>
            <w:tcW w:w="2665" w:type="dxa"/>
            <w:vMerge/>
            <w:tcBorders>
              <w:top w:val="nil"/>
              <w:bottom w:val="nil"/>
            </w:tcBorders>
          </w:tcPr>
          <w:p w14:paraId="503D9900" w14:textId="77777777" w:rsidR="00454A29" w:rsidRDefault="00454A29"/>
        </w:tc>
        <w:tc>
          <w:tcPr>
            <w:tcW w:w="2665" w:type="dxa"/>
            <w:vMerge/>
          </w:tcPr>
          <w:p w14:paraId="662373EF" w14:textId="77777777" w:rsidR="00454A29" w:rsidRDefault="00454A29"/>
        </w:tc>
        <w:tc>
          <w:tcPr>
            <w:tcW w:w="1928" w:type="dxa"/>
            <w:vMerge/>
          </w:tcPr>
          <w:p w14:paraId="792376FB" w14:textId="77777777" w:rsidR="00454A29" w:rsidRDefault="00454A29"/>
        </w:tc>
        <w:tc>
          <w:tcPr>
            <w:tcW w:w="1644" w:type="dxa"/>
            <w:vMerge/>
          </w:tcPr>
          <w:p w14:paraId="60986F3F" w14:textId="77777777" w:rsidR="00454A29" w:rsidRDefault="00454A29"/>
        </w:tc>
        <w:tc>
          <w:tcPr>
            <w:tcW w:w="2041" w:type="dxa"/>
            <w:vAlign w:val="center"/>
          </w:tcPr>
          <w:p w14:paraId="52F0ABA9" w14:textId="77777777" w:rsidR="00454A29" w:rsidRDefault="00454A29">
            <w:pPr>
              <w:pStyle w:val="ConsPlusNormal"/>
            </w:pPr>
          </w:p>
        </w:tc>
        <w:tc>
          <w:tcPr>
            <w:tcW w:w="2098" w:type="dxa"/>
            <w:vAlign w:val="center"/>
          </w:tcPr>
          <w:p w14:paraId="75F6622F" w14:textId="77777777" w:rsidR="00454A29" w:rsidRDefault="00454A29">
            <w:pPr>
              <w:pStyle w:val="ConsPlusNormal"/>
              <w:jc w:val="center"/>
            </w:pPr>
            <w:r>
              <w:t>Внебюджетные средства</w:t>
            </w:r>
          </w:p>
        </w:tc>
        <w:tc>
          <w:tcPr>
            <w:tcW w:w="1814" w:type="dxa"/>
            <w:vAlign w:val="center"/>
          </w:tcPr>
          <w:p w14:paraId="0821A594" w14:textId="77777777" w:rsidR="00454A29" w:rsidRDefault="00454A29">
            <w:pPr>
              <w:pStyle w:val="ConsPlusNormal"/>
              <w:jc w:val="center"/>
            </w:pPr>
            <w:r>
              <w:t>х</w:t>
            </w:r>
          </w:p>
        </w:tc>
        <w:tc>
          <w:tcPr>
            <w:tcW w:w="1701" w:type="dxa"/>
            <w:vAlign w:val="center"/>
          </w:tcPr>
          <w:p w14:paraId="0DD9E607" w14:textId="77777777" w:rsidR="00454A29" w:rsidRDefault="00454A29">
            <w:pPr>
              <w:pStyle w:val="ConsPlusNormal"/>
              <w:jc w:val="center"/>
            </w:pPr>
            <w:r>
              <w:t>х</w:t>
            </w:r>
          </w:p>
        </w:tc>
        <w:tc>
          <w:tcPr>
            <w:tcW w:w="1701" w:type="dxa"/>
            <w:vAlign w:val="center"/>
          </w:tcPr>
          <w:p w14:paraId="7B5A440D" w14:textId="77777777" w:rsidR="00454A29" w:rsidRDefault="00454A29">
            <w:pPr>
              <w:pStyle w:val="ConsPlusNormal"/>
              <w:jc w:val="center"/>
            </w:pPr>
            <w:r>
              <w:t>х</w:t>
            </w:r>
          </w:p>
        </w:tc>
        <w:tc>
          <w:tcPr>
            <w:tcW w:w="1701" w:type="dxa"/>
            <w:vAlign w:val="center"/>
          </w:tcPr>
          <w:p w14:paraId="50F198B0" w14:textId="77777777" w:rsidR="00454A29" w:rsidRDefault="00454A29">
            <w:pPr>
              <w:pStyle w:val="ConsPlusNormal"/>
              <w:jc w:val="center"/>
            </w:pPr>
            <w:r>
              <w:t>х</w:t>
            </w:r>
          </w:p>
        </w:tc>
        <w:tc>
          <w:tcPr>
            <w:tcW w:w="1701" w:type="dxa"/>
            <w:vAlign w:val="center"/>
          </w:tcPr>
          <w:p w14:paraId="5F7B7C6A" w14:textId="77777777" w:rsidR="00454A29" w:rsidRDefault="00454A29">
            <w:pPr>
              <w:pStyle w:val="ConsPlusNormal"/>
              <w:jc w:val="center"/>
            </w:pPr>
            <w:r>
              <w:t>х</w:t>
            </w:r>
          </w:p>
        </w:tc>
        <w:tc>
          <w:tcPr>
            <w:tcW w:w="1701" w:type="dxa"/>
            <w:vAlign w:val="center"/>
          </w:tcPr>
          <w:p w14:paraId="1F60DE9A" w14:textId="77777777" w:rsidR="00454A29" w:rsidRDefault="00454A29">
            <w:pPr>
              <w:pStyle w:val="ConsPlusNormal"/>
              <w:jc w:val="center"/>
            </w:pPr>
            <w:r>
              <w:t>х</w:t>
            </w:r>
          </w:p>
        </w:tc>
        <w:tc>
          <w:tcPr>
            <w:tcW w:w="1701" w:type="dxa"/>
            <w:vAlign w:val="center"/>
          </w:tcPr>
          <w:p w14:paraId="62488998" w14:textId="77777777" w:rsidR="00454A29" w:rsidRDefault="00454A29">
            <w:pPr>
              <w:pStyle w:val="ConsPlusNormal"/>
              <w:jc w:val="center"/>
            </w:pPr>
            <w:r>
              <w:t>х</w:t>
            </w:r>
          </w:p>
        </w:tc>
      </w:tr>
      <w:tr w:rsidR="00454A29" w14:paraId="2A854D37" w14:textId="77777777">
        <w:tc>
          <w:tcPr>
            <w:tcW w:w="964" w:type="dxa"/>
            <w:vMerge w:val="restart"/>
            <w:vAlign w:val="center"/>
          </w:tcPr>
          <w:p w14:paraId="307AB990" w14:textId="77777777" w:rsidR="00454A29" w:rsidRDefault="00454A29">
            <w:pPr>
              <w:pStyle w:val="ConsPlusNormal"/>
              <w:jc w:val="center"/>
            </w:pPr>
            <w:r>
              <w:t>7.7.</w:t>
            </w:r>
          </w:p>
        </w:tc>
        <w:tc>
          <w:tcPr>
            <w:tcW w:w="2154" w:type="dxa"/>
            <w:vMerge w:val="restart"/>
            <w:tcBorders>
              <w:top w:val="nil"/>
            </w:tcBorders>
            <w:vAlign w:val="center"/>
          </w:tcPr>
          <w:p w14:paraId="6F2D8AF2" w14:textId="77777777" w:rsidR="00454A29" w:rsidRDefault="00454A29">
            <w:pPr>
              <w:pStyle w:val="ConsPlusNormal"/>
            </w:pPr>
          </w:p>
        </w:tc>
        <w:tc>
          <w:tcPr>
            <w:tcW w:w="2154" w:type="dxa"/>
            <w:vMerge w:val="restart"/>
            <w:tcBorders>
              <w:top w:val="nil"/>
              <w:bottom w:val="nil"/>
            </w:tcBorders>
            <w:vAlign w:val="center"/>
          </w:tcPr>
          <w:p w14:paraId="41386A9D" w14:textId="77777777" w:rsidR="00454A29" w:rsidRDefault="00454A29">
            <w:pPr>
              <w:pStyle w:val="ConsPlusNormal"/>
            </w:pPr>
          </w:p>
        </w:tc>
        <w:tc>
          <w:tcPr>
            <w:tcW w:w="2665" w:type="dxa"/>
            <w:vMerge w:val="restart"/>
            <w:tcBorders>
              <w:top w:val="nil"/>
              <w:bottom w:val="nil"/>
            </w:tcBorders>
            <w:vAlign w:val="center"/>
          </w:tcPr>
          <w:p w14:paraId="2C5ED6E3" w14:textId="77777777" w:rsidR="00454A29" w:rsidRDefault="00454A29">
            <w:pPr>
              <w:pStyle w:val="ConsPlusNormal"/>
            </w:pPr>
          </w:p>
        </w:tc>
        <w:tc>
          <w:tcPr>
            <w:tcW w:w="2665" w:type="dxa"/>
            <w:vMerge w:val="restart"/>
            <w:vAlign w:val="center"/>
          </w:tcPr>
          <w:p w14:paraId="4D6691BD" w14:textId="77777777" w:rsidR="00454A29" w:rsidRDefault="00454A29">
            <w:pPr>
              <w:pStyle w:val="ConsPlusNormal"/>
              <w:jc w:val="center"/>
            </w:pPr>
            <w:r>
              <w:t>Мероприятие 3.9.7. Осуществление отбора иностранных граждан по итогам международных и российских олимпиад и конкурсов</w:t>
            </w:r>
          </w:p>
        </w:tc>
        <w:tc>
          <w:tcPr>
            <w:tcW w:w="1928" w:type="dxa"/>
            <w:vMerge w:val="restart"/>
            <w:vAlign w:val="center"/>
          </w:tcPr>
          <w:p w14:paraId="72F1E03D" w14:textId="77777777" w:rsidR="00454A29" w:rsidRDefault="00454A29">
            <w:pPr>
              <w:pStyle w:val="ConsPlusNormal"/>
              <w:jc w:val="center"/>
            </w:pPr>
            <w:r>
              <w:t>-</w:t>
            </w:r>
          </w:p>
        </w:tc>
        <w:tc>
          <w:tcPr>
            <w:tcW w:w="1644" w:type="dxa"/>
            <w:vMerge w:val="restart"/>
            <w:vAlign w:val="center"/>
          </w:tcPr>
          <w:p w14:paraId="44348988" w14:textId="77777777" w:rsidR="00454A29" w:rsidRDefault="00454A29">
            <w:pPr>
              <w:pStyle w:val="ConsPlusNormal"/>
              <w:jc w:val="center"/>
            </w:pPr>
            <w:r>
              <w:t>-</w:t>
            </w:r>
          </w:p>
        </w:tc>
        <w:tc>
          <w:tcPr>
            <w:tcW w:w="2041" w:type="dxa"/>
            <w:vMerge w:val="restart"/>
            <w:vAlign w:val="center"/>
          </w:tcPr>
          <w:p w14:paraId="2E8D0C89" w14:textId="77777777" w:rsidR="00454A29" w:rsidRDefault="00454A29">
            <w:pPr>
              <w:pStyle w:val="ConsPlusNormal"/>
              <w:jc w:val="center"/>
            </w:pPr>
            <w:r>
              <w:t>-</w:t>
            </w:r>
          </w:p>
        </w:tc>
        <w:tc>
          <w:tcPr>
            <w:tcW w:w="2098" w:type="dxa"/>
            <w:vAlign w:val="center"/>
          </w:tcPr>
          <w:p w14:paraId="7426AD59" w14:textId="77777777" w:rsidR="00454A29" w:rsidRDefault="00454A29">
            <w:pPr>
              <w:pStyle w:val="ConsPlusNormal"/>
              <w:jc w:val="center"/>
            </w:pPr>
            <w:r>
              <w:t>Итого</w:t>
            </w:r>
          </w:p>
        </w:tc>
        <w:tc>
          <w:tcPr>
            <w:tcW w:w="1814" w:type="dxa"/>
            <w:vAlign w:val="center"/>
          </w:tcPr>
          <w:p w14:paraId="0AD51769" w14:textId="77777777" w:rsidR="00454A29" w:rsidRDefault="00454A29">
            <w:pPr>
              <w:pStyle w:val="ConsPlusNormal"/>
              <w:jc w:val="center"/>
            </w:pPr>
            <w:r>
              <w:t>0,00</w:t>
            </w:r>
          </w:p>
        </w:tc>
        <w:tc>
          <w:tcPr>
            <w:tcW w:w="1701" w:type="dxa"/>
            <w:vAlign w:val="center"/>
          </w:tcPr>
          <w:p w14:paraId="2BEFD629" w14:textId="77777777" w:rsidR="00454A29" w:rsidRDefault="00454A29">
            <w:pPr>
              <w:pStyle w:val="ConsPlusNormal"/>
              <w:jc w:val="center"/>
            </w:pPr>
            <w:r>
              <w:t>0,00</w:t>
            </w:r>
          </w:p>
        </w:tc>
        <w:tc>
          <w:tcPr>
            <w:tcW w:w="1701" w:type="dxa"/>
            <w:vAlign w:val="center"/>
          </w:tcPr>
          <w:p w14:paraId="2AF7B385" w14:textId="77777777" w:rsidR="00454A29" w:rsidRDefault="00454A29">
            <w:pPr>
              <w:pStyle w:val="ConsPlusNormal"/>
              <w:jc w:val="center"/>
            </w:pPr>
            <w:r>
              <w:t>0,00</w:t>
            </w:r>
          </w:p>
        </w:tc>
        <w:tc>
          <w:tcPr>
            <w:tcW w:w="1701" w:type="dxa"/>
            <w:vAlign w:val="center"/>
          </w:tcPr>
          <w:p w14:paraId="7BAEB9DF" w14:textId="77777777" w:rsidR="00454A29" w:rsidRDefault="00454A29">
            <w:pPr>
              <w:pStyle w:val="ConsPlusNormal"/>
              <w:jc w:val="center"/>
            </w:pPr>
            <w:r>
              <w:t>0,00</w:t>
            </w:r>
          </w:p>
        </w:tc>
        <w:tc>
          <w:tcPr>
            <w:tcW w:w="1701" w:type="dxa"/>
            <w:vAlign w:val="center"/>
          </w:tcPr>
          <w:p w14:paraId="791DA7EE" w14:textId="77777777" w:rsidR="00454A29" w:rsidRDefault="00454A29">
            <w:pPr>
              <w:pStyle w:val="ConsPlusNormal"/>
              <w:jc w:val="center"/>
            </w:pPr>
            <w:r>
              <w:t>0,00</w:t>
            </w:r>
          </w:p>
        </w:tc>
        <w:tc>
          <w:tcPr>
            <w:tcW w:w="1701" w:type="dxa"/>
            <w:vAlign w:val="center"/>
          </w:tcPr>
          <w:p w14:paraId="01C0427C" w14:textId="77777777" w:rsidR="00454A29" w:rsidRDefault="00454A29">
            <w:pPr>
              <w:pStyle w:val="ConsPlusNormal"/>
              <w:jc w:val="center"/>
            </w:pPr>
            <w:r>
              <w:t>0,00</w:t>
            </w:r>
          </w:p>
        </w:tc>
        <w:tc>
          <w:tcPr>
            <w:tcW w:w="1701" w:type="dxa"/>
            <w:vAlign w:val="center"/>
          </w:tcPr>
          <w:p w14:paraId="47C34D9D" w14:textId="77777777" w:rsidR="00454A29" w:rsidRDefault="00454A29">
            <w:pPr>
              <w:pStyle w:val="ConsPlusNormal"/>
              <w:jc w:val="center"/>
            </w:pPr>
            <w:r>
              <w:t>0,00</w:t>
            </w:r>
          </w:p>
        </w:tc>
      </w:tr>
      <w:tr w:rsidR="00454A29" w14:paraId="745A3D47" w14:textId="77777777">
        <w:tc>
          <w:tcPr>
            <w:tcW w:w="964" w:type="dxa"/>
            <w:vMerge/>
          </w:tcPr>
          <w:p w14:paraId="56F004E8" w14:textId="77777777" w:rsidR="00454A29" w:rsidRDefault="00454A29"/>
        </w:tc>
        <w:tc>
          <w:tcPr>
            <w:tcW w:w="2154" w:type="dxa"/>
            <w:vMerge/>
            <w:tcBorders>
              <w:top w:val="nil"/>
            </w:tcBorders>
          </w:tcPr>
          <w:p w14:paraId="50F90E86" w14:textId="77777777" w:rsidR="00454A29" w:rsidRDefault="00454A29"/>
        </w:tc>
        <w:tc>
          <w:tcPr>
            <w:tcW w:w="2154" w:type="dxa"/>
            <w:vMerge/>
            <w:tcBorders>
              <w:top w:val="nil"/>
              <w:bottom w:val="nil"/>
            </w:tcBorders>
          </w:tcPr>
          <w:p w14:paraId="7DAF0723" w14:textId="77777777" w:rsidR="00454A29" w:rsidRDefault="00454A29"/>
        </w:tc>
        <w:tc>
          <w:tcPr>
            <w:tcW w:w="2665" w:type="dxa"/>
            <w:vMerge/>
            <w:tcBorders>
              <w:top w:val="nil"/>
              <w:bottom w:val="nil"/>
            </w:tcBorders>
          </w:tcPr>
          <w:p w14:paraId="3EB1CF76" w14:textId="77777777" w:rsidR="00454A29" w:rsidRDefault="00454A29"/>
        </w:tc>
        <w:tc>
          <w:tcPr>
            <w:tcW w:w="2665" w:type="dxa"/>
            <w:vMerge/>
          </w:tcPr>
          <w:p w14:paraId="4670C48C" w14:textId="77777777" w:rsidR="00454A29" w:rsidRDefault="00454A29"/>
        </w:tc>
        <w:tc>
          <w:tcPr>
            <w:tcW w:w="1928" w:type="dxa"/>
            <w:vMerge/>
          </w:tcPr>
          <w:p w14:paraId="6F31112A" w14:textId="77777777" w:rsidR="00454A29" w:rsidRDefault="00454A29"/>
        </w:tc>
        <w:tc>
          <w:tcPr>
            <w:tcW w:w="1644" w:type="dxa"/>
            <w:vMerge/>
          </w:tcPr>
          <w:p w14:paraId="486C5E16" w14:textId="77777777" w:rsidR="00454A29" w:rsidRDefault="00454A29"/>
        </w:tc>
        <w:tc>
          <w:tcPr>
            <w:tcW w:w="2041" w:type="dxa"/>
            <w:vMerge/>
          </w:tcPr>
          <w:p w14:paraId="00624624" w14:textId="77777777" w:rsidR="00454A29" w:rsidRDefault="00454A29"/>
        </w:tc>
        <w:tc>
          <w:tcPr>
            <w:tcW w:w="2098" w:type="dxa"/>
            <w:vAlign w:val="center"/>
          </w:tcPr>
          <w:p w14:paraId="552985E1"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501E86D" w14:textId="77777777" w:rsidR="00454A29" w:rsidRDefault="00454A29">
            <w:pPr>
              <w:pStyle w:val="ConsPlusNormal"/>
              <w:jc w:val="center"/>
            </w:pPr>
            <w:r>
              <w:t>0,00</w:t>
            </w:r>
          </w:p>
        </w:tc>
        <w:tc>
          <w:tcPr>
            <w:tcW w:w="1701" w:type="dxa"/>
            <w:vAlign w:val="center"/>
          </w:tcPr>
          <w:p w14:paraId="253E5DBD" w14:textId="77777777" w:rsidR="00454A29" w:rsidRDefault="00454A29">
            <w:pPr>
              <w:pStyle w:val="ConsPlusNormal"/>
              <w:jc w:val="center"/>
            </w:pPr>
            <w:r>
              <w:t>0,00</w:t>
            </w:r>
          </w:p>
        </w:tc>
        <w:tc>
          <w:tcPr>
            <w:tcW w:w="1701" w:type="dxa"/>
            <w:vAlign w:val="center"/>
          </w:tcPr>
          <w:p w14:paraId="649EE1B7" w14:textId="77777777" w:rsidR="00454A29" w:rsidRDefault="00454A29">
            <w:pPr>
              <w:pStyle w:val="ConsPlusNormal"/>
              <w:jc w:val="center"/>
            </w:pPr>
            <w:r>
              <w:t>0,00</w:t>
            </w:r>
          </w:p>
        </w:tc>
        <w:tc>
          <w:tcPr>
            <w:tcW w:w="1701" w:type="dxa"/>
            <w:vAlign w:val="center"/>
          </w:tcPr>
          <w:p w14:paraId="3E462350" w14:textId="77777777" w:rsidR="00454A29" w:rsidRDefault="00454A29">
            <w:pPr>
              <w:pStyle w:val="ConsPlusNormal"/>
              <w:jc w:val="center"/>
            </w:pPr>
            <w:r>
              <w:t>0,00</w:t>
            </w:r>
          </w:p>
        </w:tc>
        <w:tc>
          <w:tcPr>
            <w:tcW w:w="1701" w:type="dxa"/>
            <w:vAlign w:val="center"/>
          </w:tcPr>
          <w:p w14:paraId="23C59B3E" w14:textId="77777777" w:rsidR="00454A29" w:rsidRDefault="00454A29">
            <w:pPr>
              <w:pStyle w:val="ConsPlusNormal"/>
              <w:jc w:val="center"/>
            </w:pPr>
            <w:r>
              <w:t>0,00</w:t>
            </w:r>
          </w:p>
        </w:tc>
        <w:tc>
          <w:tcPr>
            <w:tcW w:w="1701" w:type="dxa"/>
            <w:vAlign w:val="center"/>
          </w:tcPr>
          <w:p w14:paraId="6EE15191" w14:textId="77777777" w:rsidR="00454A29" w:rsidRDefault="00454A29">
            <w:pPr>
              <w:pStyle w:val="ConsPlusNormal"/>
              <w:jc w:val="center"/>
            </w:pPr>
            <w:r>
              <w:t>0,00</w:t>
            </w:r>
          </w:p>
        </w:tc>
        <w:tc>
          <w:tcPr>
            <w:tcW w:w="1701" w:type="dxa"/>
            <w:vAlign w:val="center"/>
          </w:tcPr>
          <w:p w14:paraId="550322C8" w14:textId="77777777" w:rsidR="00454A29" w:rsidRDefault="00454A29">
            <w:pPr>
              <w:pStyle w:val="ConsPlusNormal"/>
              <w:jc w:val="center"/>
            </w:pPr>
            <w:r>
              <w:t>0,00</w:t>
            </w:r>
          </w:p>
        </w:tc>
      </w:tr>
      <w:tr w:rsidR="00454A29" w14:paraId="6090BF54" w14:textId="77777777">
        <w:tc>
          <w:tcPr>
            <w:tcW w:w="964" w:type="dxa"/>
            <w:vMerge/>
          </w:tcPr>
          <w:p w14:paraId="44EDB8D7" w14:textId="77777777" w:rsidR="00454A29" w:rsidRDefault="00454A29"/>
        </w:tc>
        <w:tc>
          <w:tcPr>
            <w:tcW w:w="2154" w:type="dxa"/>
            <w:vMerge/>
            <w:tcBorders>
              <w:top w:val="nil"/>
            </w:tcBorders>
          </w:tcPr>
          <w:p w14:paraId="6ED8E73F" w14:textId="77777777" w:rsidR="00454A29" w:rsidRDefault="00454A29"/>
        </w:tc>
        <w:tc>
          <w:tcPr>
            <w:tcW w:w="2154" w:type="dxa"/>
            <w:vMerge/>
            <w:tcBorders>
              <w:top w:val="nil"/>
              <w:bottom w:val="nil"/>
            </w:tcBorders>
          </w:tcPr>
          <w:p w14:paraId="122C3F3F" w14:textId="77777777" w:rsidR="00454A29" w:rsidRDefault="00454A29"/>
        </w:tc>
        <w:tc>
          <w:tcPr>
            <w:tcW w:w="2665" w:type="dxa"/>
            <w:vMerge/>
            <w:tcBorders>
              <w:top w:val="nil"/>
              <w:bottom w:val="nil"/>
            </w:tcBorders>
          </w:tcPr>
          <w:p w14:paraId="468301F8" w14:textId="77777777" w:rsidR="00454A29" w:rsidRDefault="00454A29"/>
        </w:tc>
        <w:tc>
          <w:tcPr>
            <w:tcW w:w="2665" w:type="dxa"/>
            <w:vMerge/>
          </w:tcPr>
          <w:p w14:paraId="2AEF55C5" w14:textId="77777777" w:rsidR="00454A29" w:rsidRDefault="00454A29"/>
        </w:tc>
        <w:tc>
          <w:tcPr>
            <w:tcW w:w="1928" w:type="dxa"/>
            <w:vMerge/>
          </w:tcPr>
          <w:p w14:paraId="3ABA35C4" w14:textId="77777777" w:rsidR="00454A29" w:rsidRDefault="00454A29"/>
        </w:tc>
        <w:tc>
          <w:tcPr>
            <w:tcW w:w="1644" w:type="dxa"/>
            <w:vMerge/>
          </w:tcPr>
          <w:p w14:paraId="14AD79D2" w14:textId="77777777" w:rsidR="00454A29" w:rsidRDefault="00454A29"/>
        </w:tc>
        <w:tc>
          <w:tcPr>
            <w:tcW w:w="2041" w:type="dxa"/>
            <w:vMerge/>
          </w:tcPr>
          <w:p w14:paraId="5E272A0E" w14:textId="77777777" w:rsidR="00454A29" w:rsidRDefault="00454A29"/>
        </w:tc>
        <w:tc>
          <w:tcPr>
            <w:tcW w:w="2098" w:type="dxa"/>
            <w:vAlign w:val="center"/>
          </w:tcPr>
          <w:p w14:paraId="1F8540D7" w14:textId="77777777" w:rsidR="00454A29" w:rsidRDefault="00454A29">
            <w:pPr>
              <w:pStyle w:val="ConsPlusNormal"/>
              <w:jc w:val="center"/>
            </w:pPr>
            <w:r>
              <w:t>Федеральный бюджет</w:t>
            </w:r>
          </w:p>
        </w:tc>
        <w:tc>
          <w:tcPr>
            <w:tcW w:w="1814" w:type="dxa"/>
            <w:vAlign w:val="center"/>
          </w:tcPr>
          <w:p w14:paraId="56154535" w14:textId="77777777" w:rsidR="00454A29" w:rsidRDefault="00454A29">
            <w:pPr>
              <w:pStyle w:val="ConsPlusNormal"/>
              <w:jc w:val="center"/>
            </w:pPr>
            <w:r>
              <w:t>0,00</w:t>
            </w:r>
          </w:p>
        </w:tc>
        <w:tc>
          <w:tcPr>
            <w:tcW w:w="1701" w:type="dxa"/>
            <w:vAlign w:val="center"/>
          </w:tcPr>
          <w:p w14:paraId="090CD893" w14:textId="77777777" w:rsidR="00454A29" w:rsidRDefault="00454A29">
            <w:pPr>
              <w:pStyle w:val="ConsPlusNormal"/>
              <w:jc w:val="center"/>
            </w:pPr>
            <w:r>
              <w:t>0,00</w:t>
            </w:r>
          </w:p>
        </w:tc>
        <w:tc>
          <w:tcPr>
            <w:tcW w:w="1701" w:type="dxa"/>
            <w:vAlign w:val="center"/>
          </w:tcPr>
          <w:p w14:paraId="4CDD3C78" w14:textId="77777777" w:rsidR="00454A29" w:rsidRDefault="00454A29">
            <w:pPr>
              <w:pStyle w:val="ConsPlusNormal"/>
              <w:jc w:val="center"/>
            </w:pPr>
            <w:r>
              <w:t>0,00</w:t>
            </w:r>
          </w:p>
        </w:tc>
        <w:tc>
          <w:tcPr>
            <w:tcW w:w="1701" w:type="dxa"/>
            <w:vAlign w:val="center"/>
          </w:tcPr>
          <w:p w14:paraId="5E65A2DB" w14:textId="77777777" w:rsidR="00454A29" w:rsidRDefault="00454A29">
            <w:pPr>
              <w:pStyle w:val="ConsPlusNormal"/>
              <w:jc w:val="center"/>
            </w:pPr>
            <w:r>
              <w:t>0,00</w:t>
            </w:r>
          </w:p>
        </w:tc>
        <w:tc>
          <w:tcPr>
            <w:tcW w:w="1701" w:type="dxa"/>
            <w:vAlign w:val="center"/>
          </w:tcPr>
          <w:p w14:paraId="7C258E89" w14:textId="77777777" w:rsidR="00454A29" w:rsidRDefault="00454A29">
            <w:pPr>
              <w:pStyle w:val="ConsPlusNormal"/>
              <w:jc w:val="center"/>
            </w:pPr>
            <w:r>
              <w:t>0,00</w:t>
            </w:r>
          </w:p>
        </w:tc>
        <w:tc>
          <w:tcPr>
            <w:tcW w:w="1701" w:type="dxa"/>
            <w:vAlign w:val="center"/>
          </w:tcPr>
          <w:p w14:paraId="47DA1BF3" w14:textId="77777777" w:rsidR="00454A29" w:rsidRDefault="00454A29">
            <w:pPr>
              <w:pStyle w:val="ConsPlusNormal"/>
              <w:jc w:val="center"/>
            </w:pPr>
            <w:r>
              <w:t>0,00</w:t>
            </w:r>
          </w:p>
        </w:tc>
        <w:tc>
          <w:tcPr>
            <w:tcW w:w="1701" w:type="dxa"/>
            <w:vAlign w:val="center"/>
          </w:tcPr>
          <w:p w14:paraId="156F0EA0" w14:textId="77777777" w:rsidR="00454A29" w:rsidRDefault="00454A29">
            <w:pPr>
              <w:pStyle w:val="ConsPlusNormal"/>
              <w:jc w:val="center"/>
            </w:pPr>
            <w:r>
              <w:t>0,00</w:t>
            </w:r>
          </w:p>
        </w:tc>
      </w:tr>
      <w:tr w:rsidR="00454A29" w14:paraId="6B41D645" w14:textId="77777777">
        <w:tc>
          <w:tcPr>
            <w:tcW w:w="964" w:type="dxa"/>
            <w:vMerge/>
          </w:tcPr>
          <w:p w14:paraId="2C08E3FE" w14:textId="77777777" w:rsidR="00454A29" w:rsidRDefault="00454A29"/>
        </w:tc>
        <w:tc>
          <w:tcPr>
            <w:tcW w:w="2154" w:type="dxa"/>
            <w:vMerge/>
            <w:tcBorders>
              <w:top w:val="nil"/>
            </w:tcBorders>
          </w:tcPr>
          <w:p w14:paraId="6C1F3F05" w14:textId="77777777" w:rsidR="00454A29" w:rsidRDefault="00454A29"/>
        </w:tc>
        <w:tc>
          <w:tcPr>
            <w:tcW w:w="2154" w:type="dxa"/>
            <w:vMerge/>
            <w:tcBorders>
              <w:top w:val="nil"/>
              <w:bottom w:val="nil"/>
            </w:tcBorders>
          </w:tcPr>
          <w:p w14:paraId="05C1820E" w14:textId="77777777" w:rsidR="00454A29" w:rsidRDefault="00454A29"/>
        </w:tc>
        <w:tc>
          <w:tcPr>
            <w:tcW w:w="2665" w:type="dxa"/>
            <w:vMerge/>
            <w:tcBorders>
              <w:top w:val="nil"/>
              <w:bottom w:val="nil"/>
            </w:tcBorders>
          </w:tcPr>
          <w:p w14:paraId="6BA70177" w14:textId="77777777" w:rsidR="00454A29" w:rsidRDefault="00454A29"/>
        </w:tc>
        <w:tc>
          <w:tcPr>
            <w:tcW w:w="2665" w:type="dxa"/>
            <w:vMerge/>
          </w:tcPr>
          <w:p w14:paraId="00F01CC8" w14:textId="77777777" w:rsidR="00454A29" w:rsidRDefault="00454A29"/>
        </w:tc>
        <w:tc>
          <w:tcPr>
            <w:tcW w:w="1928" w:type="dxa"/>
            <w:vMerge/>
          </w:tcPr>
          <w:p w14:paraId="168CE386" w14:textId="77777777" w:rsidR="00454A29" w:rsidRDefault="00454A29"/>
        </w:tc>
        <w:tc>
          <w:tcPr>
            <w:tcW w:w="1644" w:type="dxa"/>
            <w:vMerge/>
          </w:tcPr>
          <w:p w14:paraId="36014E5E" w14:textId="77777777" w:rsidR="00454A29" w:rsidRDefault="00454A29"/>
        </w:tc>
        <w:tc>
          <w:tcPr>
            <w:tcW w:w="2041" w:type="dxa"/>
            <w:vMerge/>
          </w:tcPr>
          <w:p w14:paraId="6B284473" w14:textId="77777777" w:rsidR="00454A29" w:rsidRDefault="00454A29"/>
        </w:tc>
        <w:tc>
          <w:tcPr>
            <w:tcW w:w="2098" w:type="dxa"/>
            <w:vAlign w:val="center"/>
          </w:tcPr>
          <w:p w14:paraId="02D6DF46" w14:textId="77777777" w:rsidR="00454A29" w:rsidRDefault="00454A29">
            <w:pPr>
              <w:pStyle w:val="ConsPlusNormal"/>
              <w:jc w:val="center"/>
            </w:pPr>
            <w:r>
              <w:t>Местные бюджеты</w:t>
            </w:r>
          </w:p>
        </w:tc>
        <w:tc>
          <w:tcPr>
            <w:tcW w:w="1814" w:type="dxa"/>
            <w:vAlign w:val="center"/>
          </w:tcPr>
          <w:p w14:paraId="08403EB3" w14:textId="77777777" w:rsidR="00454A29" w:rsidRDefault="00454A29">
            <w:pPr>
              <w:pStyle w:val="ConsPlusNormal"/>
              <w:jc w:val="center"/>
            </w:pPr>
            <w:r>
              <w:t>0,00</w:t>
            </w:r>
          </w:p>
        </w:tc>
        <w:tc>
          <w:tcPr>
            <w:tcW w:w="1701" w:type="dxa"/>
            <w:vAlign w:val="center"/>
          </w:tcPr>
          <w:p w14:paraId="23B20A56" w14:textId="77777777" w:rsidR="00454A29" w:rsidRDefault="00454A29">
            <w:pPr>
              <w:pStyle w:val="ConsPlusNormal"/>
              <w:jc w:val="center"/>
            </w:pPr>
            <w:r>
              <w:t>0,00</w:t>
            </w:r>
          </w:p>
        </w:tc>
        <w:tc>
          <w:tcPr>
            <w:tcW w:w="1701" w:type="dxa"/>
            <w:vAlign w:val="center"/>
          </w:tcPr>
          <w:p w14:paraId="00433D49" w14:textId="77777777" w:rsidR="00454A29" w:rsidRDefault="00454A29">
            <w:pPr>
              <w:pStyle w:val="ConsPlusNormal"/>
              <w:jc w:val="center"/>
            </w:pPr>
            <w:r>
              <w:t>0,00</w:t>
            </w:r>
          </w:p>
        </w:tc>
        <w:tc>
          <w:tcPr>
            <w:tcW w:w="1701" w:type="dxa"/>
            <w:vAlign w:val="center"/>
          </w:tcPr>
          <w:p w14:paraId="2E92B8A7" w14:textId="77777777" w:rsidR="00454A29" w:rsidRDefault="00454A29">
            <w:pPr>
              <w:pStyle w:val="ConsPlusNormal"/>
              <w:jc w:val="center"/>
            </w:pPr>
            <w:r>
              <w:t>0,00</w:t>
            </w:r>
          </w:p>
        </w:tc>
        <w:tc>
          <w:tcPr>
            <w:tcW w:w="1701" w:type="dxa"/>
            <w:vAlign w:val="center"/>
          </w:tcPr>
          <w:p w14:paraId="4DC2B76C" w14:textId="77777777" w:rsidR="00454A29" w:rsidRDefault="00454A29">
            <w:pPr>
              <w:pStyle w:val="ConsPlusNormal"/>
              <w:jc w:val="center"/>
            </w:pPr>
            <w:r>
              <w:t>0,00</w:t>
            </w:r>
          </w:p>
        </w:tc>
        <w:tc>
          <w:tcPr>
            <w:tcW w:w="1701" w:type="dxa"/>
            <w:vAlign w:val="center"/>
          </w:tcPr>
          <w:p w14:paraId="42038529" w14:textId="77777777" w:rsidR="00454A29" w:rsidRDefault="00454A29">
            <w:pPr>
              <w:pStyle w:val="ConsPlusNormal"/>
              <w:jc w:val="center"/>
            </w:pPr>
            <w:r>
              <w:t>0,00</w:t>
            </w:r>
          </w:p>
        </w:tc>
        <w:tc>
          <w:tcPr>
            <w:tcW w:w="1701" w:type="dxa"/>
            <w:vAlign w:val="center"/>
          </w:tcPr>
          <w:p w14:paraId="1C184CAA" w14:textId="77777777" w:rsidR="00454A29" w:rsidRDefault="00454A29">
            <w:pPr>
              <w:pStyle w:val="ConsPlusNormal"/>
              <w:jc w:val="center"/>
            </w:pPr>
            <w:r>
              <w:t>0,00</w:t>
            </w:r>
          </w:p>
        </w:tc>
      </w:tr>
      <w:tr w:rsidR="00454A29" w14:paraId="42CCC24B" w14:textId="77777777">
        <w:tc>
          <w:tcPr>
            <w:tcW w:w="964" w:type="dxa"/>
            <w:vMerge/>
          </w:tcPr>
          <w:p w14:paraId="57C5FDF7" w14:textId="77777777" w:rsidR="00454A29" w:rsidRDefault="00454A29"/>
        </w:tc>
        <w:tc>
          <w:tcPr>
            <w:tcW w:w="2154" w:type="dxa"/>
            <w:vMerge/>
            <w:tcBorders>
              <w:top w:val="nil"/>
            </w:tcBorders>
          </w:tcPr>
          <w:p w14:paraId="61ACD1F5" w14:textId="77777777" w:rsidR="00454A29" w:rsidRDefault="00454A29"/>
        </w:tc>
        <w:tc>
          <w:tcPr>
            <w:tcW w:w="2154" w:type="dxa"/>
            <w:vMerge/>
            <w:tcBorders>
              <w:top w:val="nil"/>
              <w:bottom w:val="nil"/>
            </w:tcBorders>
          </w:tcPr>
          <w:p w14:paraId="3DFF8D0E" w14:textId="77777777" w:rsidR="00454A29" w:rsidRDefault="00454A29"/>
        </w:tc>
        <w:tc>
          <w:tcPr>
            <w:tcW w:w="2665" w:type="dxa"/>
            <w:vMerge/>
            <w:tcBorders>
              <w:top w:val="nil"/>
              <w:bottom w:val="nil"/>
            </w:tcBorders>
          </w:tcPr>
          <w:p w14:paraId="0FD31EE4" w14:textId="77777777" w:rsidR="00454A29" w:rsidRDefault="00454A29"/>
        </w:tc>
        <w:tc>
          <w:tcPr>
            <w:tcW w:w="2665" w:type="dxa"/>
            <w:vMerge/>
          </w:tcPr>
          <w:p w14:paraId="3154CB46" w14:textId="77777777" w:rsidR="00454A29" w:rsidRDefault="00454A29"/>
        </w:tc>
        <w:tc>
          <w:tcPr>
            <w:tcW w:w="1928" w:type="dxa"/>
            <w:vMerge/>
          </w:tcPr>
          <w:p w14:paraId="1D0709FC" w14:textId="77777777" w:rsidR="00454A29" w:rsidRDefault="00454A29"/>
        </w:tc>
        <w:tc>
          <w:tcPr>
            <w:tcW w:w="1644" w:type="dxa"/>
            <w:vMerge/>
          </w:tcPr>
          <w:p w14:paraId="3216BBF3" w14:textId="77777777" w:rsidR="00454A29" w:rsidRDefault="00454A29"/>
        </w:tc>
        <w:tc>
          <w:tcPr>
            <w:tcW w:w="2041" w:type="dxa"/>
            <w:vMerge/>
          </w:tcPr>
          <w:p w14:paraId="2D3523FB" w14:textId="77777777" w:rsidR="00454A29" w:rsidRDefault="00454A29"/>
        </w:tc>
        <w:tc>
          <w:tcPr>
            <w:tcW w:w="2098" w:type="dxa"/>
            <w:vAlign w:val="center"/>
          </w:tcPr>
          <w:p w14:paraId="6AB231B1" w14:textId="77777777" w:rsidR="00454A29" w:rsidRDefault="00454A29">
            <w:pPr>
              <w:pStyle w:val="ConsPlusNormal"/>
              <w:jc w:val="center"/>
            </w:pPr>
            <w:r>
              <w:t>Внебюджетные средства</w:t>
            </w:r>
          </w:p>
        </w:tc>
        <w:tc>
          <w:tcPr>
            <w:tcW w:w="1814" w:type="dxa"/>
            <w:vAlign w:val="center"/>
          </w:tcPr>
          <w:p w14:paraId="51294784" w14:textId="77777777" w:rsidR="00454A29" w:rsidRDefault="00454A29">
            <w:pPr>
              <w:pStyle w:val="ConsPlusNormal"/>
              <w:jc w:val="center"/>
            </w:pPr>
            <w:r>
              <w:t>0,00</w:t>
            </w:r>
          </w:p>
        </w:tc>
        <w:tc>
          <w:tcPr>
            <w:tcW w:w="1701" w:type="dxa"/>
            <w:vAlign w:val="center"/>
          </w:tcPr>
          <w:p w14:paraId="37A9623A" w14:textId="77777777" w:rsidR="00454A29" w:rsidRDefault="00454A29">
            <w:pPr>
              <w:pStyle w:val="ConsPlusNormal"/>
              <w:jc w:val="center"/>
            </w:pPr>
            <w:r>
              <w:t>0,00</w:t>
            </w:r>
          </w:p>
        </w:tc>
        <w:tc>
          <w:tcPr>
            <w:tcW w:w="1701" w:type="dxa"/>
            <w:vAlign w:val="center"/>
          </w:tcPr>
          <w:p w14:paraId="782A2BA6" w14:textId="77777777" w:rsidR="00454A29" w:rsidRDefault="00454A29">
            <w:pPr>
              <w:pStyle w:val="ConsPlusNormal"/>
              <w:jc w:val="center"/>
            </w:pPr>
            <w:r>
              <w:t>0,00</w:t>
            </w:r>
          </w:p>
        </w:tc>
        <w:tc>
          <w:tcPr>
            <w:tcW w:w="1701" w:type="dxa"/>
            <w:vAlign w:val="center"/>
          </w:tcPr>
          <w:p w14:paraId="04D984AE" w14:textId="77777777" w:rsidR="00454A29" w:rsidRDefault="00454A29">
            <w:pPr>
              <w:pStyle w:val="ConsPlusNormal"/>
              <w:jc w:val="center"/>
            </w:pPr>
            <w:r>
              <w:t>0,00</w:t>
            </w:r>
          </w:p>
        </w:tc>
        <w:tc>
          <w:tcPr>
            <w:tcW w:w="1701" w:type="dxa"/>
            <w:vAlign w:val="center"/>
          </w:tcPr>
          <w:p w14:paraId="27C3C6FA" w14:textId="77777777" w:rsidR="00454A29" w:rsidRDefault="00454A29">
            <w:pPr>
              <w:pStyle w:val="ConsPlusNormal"/>
              <w:jc w:val="center"/>
            </w:pPr>
            <w:r>
              <w:t>0,00</w:t>
            </w:r>
          </w:p>
        </w:tc>
        <w:tc>
          <w:tcPr>
            <w:tcW w:w="1701" w:type="dxa"/>
            <w:vAlign w:val="center"/>
          </w:tcPr>
          <w:p w14:paraId="1CB52E67" w14:textId="77777777" w:rsidR="00454A29" w:rsidRDefault="00454A29">
            <w:pPr>
              <w:pStyle w:val="ConsPlusNormal"/>
              <w:jc w:val="center"/>
            </w:pPr>
            <w:r>
              <w:t>0,00</w:t>
            </w:r>
          </w:p>
        </w:tc>
        <w:tc>
          <w:tcPr>
            <w:tcW w:w="1701" w:type="dxa"/>
            <w:vAlign w:val="center"/>
          </w:tcPr>
          <w:p w14:paraId="6DC1E721" w14:textId="77777777" w:rsidR="00454A29" w:rsidRDefault="00454A29">
            <w:pPr>
              <w:pStyle w:val="ConsPlusNormal"/>
              <w:jc w:val="center"/>
            </w:pPr>
            <w:r>
              <w:t>0,00</w:t>
            </w:r>
          </w:p>
        </w:tc>
      </w:tr>
      <w:tr w:rsidR="00454A29" w14:paraId="15B5B25A" w14:textId="77777777">
        <w:tc>
          <w:tcPr>
            <w:tcW w:w="964" w:type="dxa"/>
            <w:vMerge w:val="restart"/>
            <w:vAlign w:val="center"/>
          </w:tcPr>
          <w:p w14:paraId="444680E7" w14:textId="77777777" w:rsidR="00454A29" w:rsidRDefault="00454A29">
            <w:pPr>
              <w:pStyle w:val="ConsPlusNormal"/>
              <w:jc w:val="center"/>
            </w:pPr>
            <w:r>
              <w:t>7.8.</w:t>
            </w:r>
          </w:p>
        </w:tc>
        <w:tc>
          <w:tcPr>
            <w:tcW w:w="2154" w:type="dxa"/>
            <w:vMerge/>
            <w:tcBorders>
              <w:top w:val="nil"/>
            </w:tcBorders>
          </w:tcPr>
          <w:p w14:paraId="5FCBE699" w14:textId="77777777" w:rsidR="00454A29" w:rsidRDefault="00454A29"/>
        </w:tc>
        <w:tc>
          <w:tcPr>
            <w:tcW w:w="2154" w:type="dxa"/>
            <w:vMerge w:val="restart"/>
            <w:tcBorders>
              <w:top w:val="nil"/>
            </w:tcBorders>
            <w:vAlign w:val="center"/>
          </w:tcPr>
          <w:p w14:paraId="2C5A5CC4" w14:textId="77777777" w:rsidR="00454A29" w:rsidRDefault="00454A29">
            <w:pPr>
              <w:pStyle w:val="ConsPlusNormal"/>
            </w:pPr>
          </w:p>
        </w:tc>
        <w:tc>
          <w:tcPr>
            <w:tcW w:w="2665" w:type="dxa"/>
            <w:vMerge w:val="restart"/>
            <w:tcBorders>
              <w:top w:val="nil"/>
            </w:tcBorders>
            <w:vAlign w:val="center"/>
          </w:tcPr>
          <w:p w14:paraId="21A5953C" w14:textId="77777777" w:rsidR="00454A29" w:rsidRDefault="00454A29">
            <w:pPr>
              <w:pStyle w:val="ConsPlusNormal"/>
            </w:pPr>
          </w:p>
        </w:tc>
        <w:tc>
          <w:tcPr>
            <w:tcW w:w="2665" w:type="dxa"/>
            <w:vMerge w:val="restart"/>
            <w:vAlign w:val="center"/>
          </w:tcPr>
          <w:p w14:paraId="685AE3F4" w14:textId="77777777" w:rsidR="00454A29" w:rsidRDefault="00454A29">
            <w:pPr>
              <w:pStyle w:val="ConsPlusNormal"/>
              <w:jc w:val="center"/>
            </w:pPr>
            <w:r>
              <w:t xml:space="preserve">Мероприятие 3.9.8. Работа по международной аккредитации 5 образовательных программ высшего образования, по востребованным </w:t>
            </w:r>
            <w:r>
              <w:lastRenderedPageBreak/>
              <w:t>(дефицитным) направлениям подготовки, специальностям</w:t>
            </w:r>
          </w:p>
        </w:tc>
        <w:tc>
          <w:tcPr>
            <w:tcW w:w="1928" w:type="dxa"/>
            <w:vMerge w:val="restart"/>
            <w:vAlign w:val="center"/>
          </w:tcPr>
          <w:p w14:paraId="01E7FA96" w14:textId="77777777" w:rsidR="00454A29" w:rsidRDefault="00454A29">
            <w:pPr>
              <w:pStyle w:val="ConsPlusNormal"/>
              <w:jc w:val="center"/>
            </w:pPr>
            <w:r>
              <w:lastRenderedPageBreak/>
              <w:t>-</w:t>
            </w:r>
          </w:p>
        </w:tc>
        <w:tc>
          <w:tcPr>
            <w:tcW w:w="1644" w:type="dxa"/>
            <w:vMerge w:val="restart"/>
            <w:vAlign w:val="center"/>
          </w:tcPr>
          <w:p w14:paraId="3B84F208" w14:textId="77777777" w:rsidR="00454A29" w:rsidRDefault="00454A29">
            <w:pPr>
              <w:pStyle w:val="ConsPlusNormal"/>
              <w:jc w:val="center"/>
            </w:pPr>
            <w:r>
              <w:t>-</w:t>
            </w:r>
          </w:p>
        </w:tc>
        <w:tc>
          <w:tcPr>
            <w:tcW w:w="2041" w:type="dxa"/>
            <w:vMerge w:val="restart"/>
            <w:vAlign w:val="center"/>
          </w:tcPr>
          <w:p w14:paraId="7645F6D2" w14:textId="77777777" w:rsidR="00454A29" w:rsidRDefault="00454A29">
            <w:pPr>
              <w:pStyle w:val="ConsPlusNormal"/>
              <w:jc w:val="center"/>
            </w:pPr>
            <w:r>
              <w:t>-</w:t>
            </w:r>
          </w:p>
        </w:tc>
        <w:tc>
          <w:tcPr>
            <w:tcW w:w="2098" w:type="dxa"/>
            <w:vAlign w:val="center"/>
          </w:tcPr>
          <w:p w14:paraId="751AC5EE" w14:textId="77777777" w:rsidR="00454A29" w:rsidRDefault="00454A29">
            <w:pPr>
              <w:pStyle w:val="ConsPlusNormal"/>
              <w:jc w:val="center"/>
            </w:pPr>
            <w:r>
              <w:t>Итого</w:t>
            </w:r>
          </w:p>
        </w:tc>
        <w:tc>
          <w:tcPr>
            <w:tcW w:w="1814" w:type="dxa"/>
            <w:vAlign w:val="center"/>
          </w:tcPr>
          <w:p w14:paraId="1F282E2E" w14:textId="77777777" w:rsidR="00454A29" w:rsidRDefault="00454A29">
            <w:pPr>
              <w:pStyle w:val="ConsPlusNormal"/>
              <w:jc w:val="center"/>
            </w:pPr>
            <w:r>
              <w:t>0,00</w:t>
            </w:r>
          </w:p>
        </w:tc>
        <w:tc>
          <w:tcPr>
            <w:tcW w:w="1701" w:type="dxa"/>
            <w:vAlign w:val="center"/>
          </w:tcPr>
          <w:p w14:paraId="638051C8" w14:textId="77777777" w:rsidR="00454A29" w:rsidRDefault="00454A29">
            <w:pPr>
              <w:pStyle w:val="ConsPlusNormal"/>
              <w:jc w:val="center"/>
            </w:pPr>
            <w:r>
              <w:t>0,00</w:t>
            </w:r>
          </w:p>
        </w:tc>
        <w:tc>
          <w:tcPr>
            <w:tcW w:w="1701" w:type="dxa"/>
            <w:vAlign w:val="center"/>
          </w:tcPr>
          <w:p w14:paraId="4CCE52E7" w14:textId="77777777" w:rsidR="00454A29" w:rsidRDefault="00454A29">
            <w:pPr>
              <w:pStyle w:val="ConsPlusNormal"/>
              <w:jc w:val="center"/>
            </w:pPr>
            <w:r>
              <w:t>0,00</w:t>
            </w:r>
          </w:p>
        </w:tc>
        <w:tc>
          <w:tcPr>
            <w:tcW w:w="1701" w:type="dxa"/>
            <w:vAlign w:val="center"/>
          </w:tcPr>
          <w:p w14:paraId="224F3B51" w14:textId="77777777" w:rsidR="00454A29" w:rsidRDefault="00454A29">
            <w:pPr>
              <w:pStyle w:val="ConsPlusNormal"/>
              <w:jc w:val="center"/>
            </w:pPr>
            <w:r>
              <w:t>0,00</w:t>
            </w:r>
          </w:p>
        </w:tc>
        <w:tc>
          <w:tcPr>
            <w:tcW w:w="1701" w:type="dxa"/>
            <w:vAlign w:val="center"/>
          </w:tcPr>
          <w:p w14:paraId="54A34C45" w14:textId="77777777" w:rsidR="00454A29" w:rsidRDefault="00454A29">
            <w:pPr>
              <w:pStyle w:val="ConsPlusNormal"/>
              <w:jc w:val="center"/>
            </w:pPr>
            <w:r>
              <w:t>0,00</w:t>
            </w:r>
          </w:p>
        </w:tc>
        <w:tc>
          <w:tcPr>
            <w:tcW w:w="1701" w:type="dxa"/>
            <w:vAlign w:val="center"/>
          </w:tcPr>
          <w:p w14:paraId="17B1D59A" w14:textId="77777777" w:rsidR="00454A29" w:rsidRDefault="00454A29">
            <w:pPr>
              <w:pStyle w:val="ConsPlusNormal"/>
              <w:jc w:val="center"/>
            </w:pPr>
            <w:r>
              <w:t>0,00</w:t>
            </w:r>
          </w:p>
        </w:tc>
        <w:tc>
          <w:tcPr>
            <w:tcW w:w="1701" w:type="dxa"/>
            <w:vAlign w:val="center"/>
          </w:tcPr>
          <w:p w14:paraId="1C5C22F4" w14:textId="77777777" w:rsidR="00454A29" w:rsidRDefault="00454A29">
            <w:pPr>
              <w:pStyle w:val="ConsPlusNormal"/>
              <w:jc w:val="center"/>
            </w:pPr>
            <w:r>
              <w:t>0,00</w:t>
            </w:r>
          </w:p>
        </w:tc>
      </w:tr>
      <w:tr w:rsidR="00454A29" w14:paraId="1DF9A991" w14:textId="77777777">
        <w:tc>
          <w:tcPr>
            <w:tcW w:w="964" w:type="dxa"/>
            <w:vMerge/>
          </w:tcPr>
          <w:p w14:paraId="7687D3A6" w14:textId="77777777" w:rsidR="00454A29" w:rsidRDefault="00454A29"/>
        </w:tc>
        <w:tc>
          <w:tcPr>
            <w:tcW w:w="2154" w:type="dxa"/>
            <w:vMerge/>
            <w:tcBorders>
              <w:top w:val="nil"/>
            </w:tcBorders>
          </w:tcPr>
          <w:p w14:paraId="53CF86E8" w14:textId="77777777" w:rsidR="00454A29" w:rsidRDefault="00454A29"/>
        </w:tc>
        <w:tc>
          <w:tcPr>
            <w:tcW w:w="2154" w:type="dxa"/>
            <w:vMerge/>
            <w:tcBorders>
              <w:top w:val="nil"/>
            </w:tcBorders>
          </w:tcPr>
          <w:p w14:paraId="5B775902" w14:textId="77777777" w:rsidR="00454A29" w:rsidRDefault="00454A29"/>
        </w:tc>
        <w:tc>
          <w:tcPr>
            <w:tcW w:w="2665" w:type="dxa"/>
            <w:vMerge/>
            <w:tcBorders>
              <w:top w:val="nil"/>
            </w:tcBorders>
          </w:tcPr>
          <w:p w14:paraId="0C9E7CB1" w14:textId="77777777" w:rsidR="00454A29" w:rsidRDefault="00454A29"/>
        </w:tc>
        <w:tc>
          <w:tcPr>
            <w:tcW w:w="2665" w:type="dxa"/>
            <w:vMerge/>
          </w:tcPr>
          <w:p w14:paraId="37225969" w14:textId="77777777" w:rsidR="00454A29" w:rsidRDefault="00454A29"/>
        </w:tc>
        <w:tc>
          <w:tcPr>
            <w:tcW w:w="1928" w:type="dxa"/>
            <w:vMerge/>
          </w:tcPr>
          <w:p w14:paraId="3BCCD315" w14:textId="77777777" w:rsidR="00454A29" w:rsidRDefault="00454A29"/>
        </w:tc>
        <w:tc>
          <w:tcPr>
            <w:tcW w:w="1644" w:type="dxa"/>
            <w:vMerge/>
          </w:tcPr>
          <w:p w14:paraId="3BCAA079" w14:textId="77777777" w:rsidR="00454A29" w:rsidRDefault="00454A29"/>
        </w:tc>
        <w:tc>
          <w:tcPr>
            <w:tcW w:w="2041" w:type="dxa"/>
            <w:vMerge/>
          </w:tcPr>
          <w:p w14:paraId="677B259C" w14:textId="77777777" w:rsidR="00454A29" w:rsidRDefault="00454A29"/>
        </w:tc>
        <w:tc>
          <w:tcPr>
            <w:tcW w:w="2098" w:type="dxa"/>
            <w:vAlign w:val="center"/>
          </w:tcPr>
          <w:p w14:paraId="7A5EC1D6"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03F2BBA" w14:textId="77777777" w:rsidR="00454A29" w:rsidRDefault="00454A29">
            <w:pPr>
              <w:pStyle w:val="ConsPlusNormal"/>
              <w:jc w:val="center"/>
            </w:pPr>
            <w:r>
              <w:t>0,00</w:t>
            </w:r>
          </w:p>
        </w:tc>
        <w:tc>
          <w:tcPr>
            <w:tcW w:w="1701" w:type="dxa"/>
            <w:vAlign w:val="center"/>
          </w:tcPr>
          <w:p w14:paraId="327D3126" w14:textId="77777777" w:rsidR="00454A29" w:rsidRDefault="00454A29">
            <w:pPr>
              <w:pStyle w:val="ConsPlusNormal"/>
              <w:jc w:val="center"/>
            </w:pPr>
            <w:r>
              <w:t>0,00</w:t>
            </w:r>
          </w:p>
        </w:tc>
        <w:tc>
          <w:tcPr>
            <w:tcW w:w="1701" w:type="dxa"/>
            <w:vAlign w:val="center"/>
          </w:tcPr>
          <w:p w14:paraId="07D34996" w14:textId="77777777" w:rsidR="00454A29" w:rsidRDefault="00454A29">
            <w:pPr>
              <w:pStyle w:val="ConsPlusNormal"/>
              <w:jc w:val="center"/>
            </w:pPr>
            <w:r>
              <w:t>0,00</w:t>
            </w:r>
          </w:p>
        </w:tc>
        <w:tc>
          <w:tcPr>
            <w:tcW w:w="1701" w:type="dxa"/>
            <w:vAlign w:val="center"/>
          </w:tcPr>
          <w:p w14:paraId="4FBABD9B" w14:textId="77777777" w:rsidR="00454A29" w:rsidRDefault="00454A29">
            <w:pPr>
              <w:pStyle w:val="ConsPlusNormal"/>
              <w:jc w:val="center"/>
            </w:pPr>
            <w:r>
              <w:t>0,00</w:t>
            </w:r>
          </w:p>
        </w:tc>
        <w:tc>
          <w:tcPr>
            <w:tcW w:w="1701" w:type="dxa"/>
            <w:vAlign w:val="center"/>
          </w:tcPr>
          <w:p w14:paraId="4A08D367" w14:textId="77777777" w:rsidR="00454A29" w:rsidRDefault="00454A29">
            <w:pPr>
              <w:pStyle w:val="ConsPlusNormal"/>
              <w:jc w:val="center"/>
            </w:pPr>
            <w:r>
              <w:t>0,00</w:t>
            </w:r>
          </w:p>
        </w:tc>
        <w:tc>
          <w:tcPr>
            <w:tcW w:w="1701" w:type="dxa"/>
            <w:vAlign w:val="center"/>
          </w:tcPr>
          <w:p w14:paraId="4FA2E611" w14:textId="77777777" w:rsidR="00454A29" w:rsidRDefault="00454A29">
            <w:pPr>
              <w:pStyle w:val="ConsPlusNormal"/>
              <w:jc w:val="center"/>
            </w:pPr>
            <w:r>
              <w:t>0,00</w:t>
            </w:r>
          </w:p>
        </w:tc>
        <w:tc>
          <w:tcPr>
            <w:tcW w:w="1701" w:type="dxa"/>
            <w:vAlign w:val="center"/>
          </w:tcPr>
          <w:p w14:paraId="3760F73D" w14:textId="77777777" w:rsidR="00454A29" w:rsidRDefault="00454A29">
            <w:pPr>
              <w:pStyle w:val="ConsPlusNormal"/>
              <w:jc w:val="center"/>
            </w:pPr>
            <w:r>
              <w:t>0,00</w:t>
            </w:r>
          </w:p>
        </w:tc>
      </w:tr>
      <w:tr w:rsidR="00454A29" w14:paraId="68C83B5C" w14:textId="77777777">
        <w:tc>
          <w:tcPr>
            <w:tcW w:w="964" w:type="dxa"/>
            <w:vMerge/>
          </w:tcPr>
          <w:p w14:paraId="0DEAE151" w14:textId="77777777" w:rsidR="00454A29" w:rsidRDefault="00454A29"/>
        </w:tc>
        <w:tc>
          <w:tcPr>
            <w:tcW w:w="2154" w:type="dxa"/>
            <w:vMerge/>
            <w:tcBorders>
              <w:top w:val="nil"/>
            </w:tcBorders>
          </w:tcPr>
          <w:p w14:paraId="06D29867" w14:textId="77777777" w:rsidR="00454A29" w:rsidRDefault="00454A29"/>
        </w:tc>
        <w:tc>
          <w:tcPr>
            <w:tcW w:w="2154" w:type="dxa"/>
            <w:vMerge/>
            <w:tcBorders>
              <w:top w:val="nil"/>
            </w:tcBorders>
          </w:tcPr>
          <w:p w14:paraId="582D4ED4" w14:textId="77777777" w:rsidR="00454A29" w:rsidRDefault="00454A29"/>
        </w:tc>
        <w:tc>
          <w:tcPr>
            <w:tcW w:w="2665" w:type="dxa"/>
            <w:vMerge/>
            <w:tcBorders>
              <w:top w:val="nil"/>
            </w:tcBorders>
          </w:tcPr>
          <w:p w14:paraId="5D3609AF" w14:textId="77777777" w:rsidR="00454A29" w:rsidRDefault="00454A29"/>
        </w:tc>
        <w:tc>
          <w:tcPr>
            <w:tcW w:w="2665" w:type="dxa"/>
            <w:vMerge/>
          </w:tcPr>
          <w:p w14:paraId="7D1E6346" w14:textId="77777777" w:rsidR="00454A29" w:rsidRDefault="00454A29"/>
        </w:tc>
        <w:tc>
          <w:tcPr>
            <w:tcW w:w="1928" w:type="dxa"/>
            <w:vMerge/>
          </w:tcPr>
          <w:p w14:paraId="11D3796E" w14:textId="77777777" w:rsidR="00454A29" w:rsidRDefault="00454A29"/>
        </w:tc>
        <w:tc>
          <w:tcPr>
            <w:tcW w:w="1644" w:type="dxa"/>
            <w:vMerge/>
          </w:tcPr>
          <w:p w14:paraId="78E63451" w14:textId="77777777" w:rsidR="00454A29" w:rsidRDefault="00454A29"/>
        </w:tc>
        <w:tc>
          <w:tcPr>
            <w:tcW w:w="2041" w:type="dxa"/>
            <w:vMerge/>
          </w:tcPr>
          <w:p w14:paraId="327212F2" w14:textId="77777777" w:rsidR="00454A29" w:rsidRDefault="00454A29"/>
        </w:tc>
        <w:tc>
          <w:tcPr>
            <w:tcW w:w="2098" w:type="dxa"/>
            <w:vAlign w:val="center"/>
          </w:tcPr>
          <w:p w14:paraId="5D4D89C8" w14:textId="77777777" w:rsidR="00454A29" w:rsidRDefault="00454A29">
            <w:pPr>
              <w:pStyle w:val="ConsPlusNormal"/>
              <w:jc w:val="center"/>
            </w:pPr>
            <w:r>
              <w:t>Федеральный бюджет</w:t>
            </w:r>
          </w:p>
        </w:tc>
        <w:tc>
          <w:tcPr>
            <w:tcW w:w="1814" w:type="dxa"/>
            <w:vAlign w:val="center"/>
          </w:tcPr>
          <w:p w14:paraId="02AB9C85" w14:textId="77777777" w:rsidR="00454A29" w:rsidRDefault="00454A29">
            <w:pPr>
              <w:pStyle w:val="ConsPlusNormal"/>
              <w:jc w:val="center"/>
            </w:pPr>
            <w:r>
              <w:t>0,00</w:t>
            </w:r>
          </w:p>
        </w:tc>
        <w:tc>
          <w:tcPr>
            <w:tcW w:w="1701" w:type="dxa"/>
            <w:vAlign w:val="center"/>
          </w:tcPr>
          <w:p w14:paraId="0CA04C26" w14:textId="77777777" w:rsidR="00454A29" w:rsidRDefault="00454A29">
            <w:pPr>
              <w:pStyle w:val="ConsPlusNormal"/>
              <w:jc w:val="center"/>
            </w:pPr>
            <w:r>
              <w:t>0,00</w:t>
            </w:r>
          </w:p>
        </w:tc>
        <w:tc>
          <w:tcPr>
            <w:tcW w:w="1701" w:type="dxa"/>
            <w:vAlign w:val="center"/>
          </w:tcPr>
          <w:p w14:paraId="7C95F943" w14:textId="77777777" w:rsidR="00454A29" w:rsidRDefault="00454A29">
            <w:pPr>
              <w:pStyle w:val="ConsPlusNormal"/>
              <w:jc w:val="center"/>
            </w:pPr>
            <w:r>
              <w:t>0,00</w:t>
            </w:r>
          </w:p>
        </w:tc>
        <w:tc>
          <w:tcPr>
            <w:tcW w:w="1701" w:type="dxa"/>
            <w:vAlign w:val="center"/>
          </w:tcPr>
          <w:p w14:paraId="20887DA9" w14:textId="77777777" w:rsidR="00454A29" w:rsidRDefault="00454A29">
            <w:pPr>
              <w:pStyle w:val="ConsPlusNormal"/>
              <w:jc w:val="center"/>
            </w:pPr>
            <w:r>
              <w:t>0,00</w:t>
            </w:r>
          </w:p>
        </w:tc>
        <w:tc>
          <w:tcPr>
            <w:tcW w:w="1701" w:type="dxa"/>
            <w:vAlign w:val="center"/>
          </w:tcPr>
          <w:p w14:paraId="2F49908A" w14:textId="77777777" w:rsidR="00454A29" w:rsidRDefault="00454A29">
            <w:pPr>
              <w:pStyle w:val="ConsPlusNormal"/>
              <w:jc w:val="center"/>
            </w:pPr>
            <w:r>
              <w:t>0,00</w:t>
            </w:r>
          </w:p>
        </w:tc>
        <w:tc>
          <w:tcPr>
            <w:tcW w:w="1701" w:type="dxa"/>
            <w:vAlign w:val="center"/>
          </w:tcPr>
          <w:p w14:paraId="343AD74C" w14:textId="77777777" w:rsidR="00454A29" w:rsidRDefault="00454A29">
            <w:pPr>
              <w:pStyle w:val="ConsPlusNormal"/>
              <w:jc w:val="center"/>
            </w:pPr>
            <w:r>
              <w:t>0,00</w:t>
            </w:r>
          </w:p>
        </w:tc>
        <w:tc>
          <w:tcPr>
            <w:tcW w:w="1701" w:type="dxa"/>
            <w:vAlign w:val="center"/>
          </w:tcPr>
          <w:p w14:paraId="50625E4B" w14:textId="77777777" w:rsidR="00454A29" w:rsidRDefault="00454A29">
            <w:pPr>
              <w:pStyle w:val="ConsPlusNormal"/>
              <w:jc w:val="center"/>
            </w:pPr>
            <w:r>
              <w:t>0,00</w:t>
            </w:r>
          </w:p>
        </w:tc>
      </w:tr>
      <w:tr w:rsidR="00454A29" w14:paraId="5F6D50A1" w14:textId="77777777">
        <w:tc>
          <w:tcPr>
            <w:tcW w:w="964" w:type="dxa"/>
            <w:vMerge/>
          </w:tcPr>
          <w:p w14:paraId="649A29A3" w14:textId="77777777" w:rsidR="00454A29" w:rsidRDefault="00454A29"/>
        </w:tc>
        <w:tc>
          <w:tcPr>
            <w:tcW w:w="2154" w:type="dxa"/>
            <w:vMerge/>
            <w:tcBorders>
              <w:top w:val="nil"/>
            </w:tcBorders>
          </w:tcPr>
          <w:p w14:paraId="093C3DAA" w14:textId="77777777" w:rsidR="00454A29" w:rsidRDefault="00454A29"/>
        </w:tc>
        <w:tc>
          <w:tcPr>
            <w:tcW w:w="2154" w:type="dxa"/>
            <w:vMerge/>
            <w:tcBorders>
              <w:top w:val="nil"/>
            </w:tcBorders>
          </w:tcPr>
          <w:p w14:paraId="6716685D" w14:textId="77777777" w:rsidR="00454A29" w:rsidRDefault="00454A29"/>
        </w:tc>
        <w:tc>
          <w:tcPr>
            <w:tcW w:w="2665" w:type="dxa"/>
            <w:vMerge/>
            <w:tcBorders>
              <w:top w:val="nil"/>
            </w:tcBorders>
          </w:tcPr>
          <w:p w14:paraId="61AEAE2C" w14:textId="77777777" w:rsidR="00454A29" w:rsidRDefault="00454A29"/>
        </w:tc>
        <w:tc>
          <w:tcPr>
            <w:tcW w:w="2665" w:type="dxa"/>
            <w:vMerge/>
          </w:tcPr>
          <w:p w14:paraId="055CA787" w14:textId="77777777" w:rsidR="00454A29" w:rsidRDefault="00454A29"/>
        </w:tc>
        <w:tc>
          <w:tcPr>
            <w:tcW w:w="1928" w:type="dxa"/>
            <w:vMerge/>
          </w:tcPr>
          <w:p w14:paraId="4E939BD7" w14:textId="77777777" w:rsidR="00454A29" w:rsidRDefault="00454A29"/>
        </w:tc>
        <w:tc>
          <w:tcPr>
            <w:tcW w:w="1644" w:type="dxa"/>
            <w:vMerge/>
          </w:tcPr>
          <w:p w14:paraId="0FCE70FB" w14:textId="77777777" w:rsidR="00454A29" w:rsidRDefault="00454A29"/>
        </w:tc>
        <w:tc>
          <w:tcPr>
            <w:tcW w:w="2041" w:type="dxa"/>
            <w:vMerge/>
          </w:tcPr>
          <w:p w14:paraId="7DD119E8" w14:textId="77777777" w:rsidR="00454A29" w:rsidRDefault="00454A29"/>
        </w:tc>
        <w:tc>
          <w:tcPr>
            <w:tcW w:w="2098" w:type="dxa"/>
            <w:vAlign w:val="center"/>
          </w:tcPr>
          <w:p w14:paraId="59DBD97B" w14:textId="77777777" w:rsidR="00454A29" w:rsidRDefault="00454A29">
            <w:pPr>
              <w:pStyle w:val="ConsPlusNormal"/>
              <w:jc w:val="center"/>
            </w:pPr>
            <w:r>
              <w:t>Местные бюджеты</w:t>
            </w:r>
          </w:p>
        </w:tc>
        <w:tc>
          <w:tcPr>
            <w:tcW w:w="1814" w:type="dxa"/>
            <w:vAlign w:val="center"/>
          </w:tcPr>
          <w:p w14:paraId="62333BCB" w14:textId="77777777" w:rsidR="00454A29" w:rsidRDefault="00454A29">
            <w:pPr>
              <w:pStyle w:val="ConsPlusNormal"/>
              <w:jc w:val="center"/>
            </w:pPr>
            <w:r>
              <w:t>0,00</w:t>
            </w:r>
          </w:p>
        </w:tc>
        <w:tc>
          <w:tcPr>
            <w:tcW w:w="1701" w:type="dxa"/>
            <w:vAlign w:val="center"/>
          </w:tcPr>
          <w:p w14:paraId="6289BB1A" w14:textId="77777777" w:rsidR="00454A29" w:rsidRDefault="00454A29">
            <w:pPr>
              <w:pStyle w:val="ConsPlusNormal"/>
              <w:jc w:val="center"/>
            </w:pPr>
            <w:r>
              <w:t>0,00</w:t>
            </w:r>
          </w:p>
        </w:tc>
        <w:tc>
          <w:tcPr>
            <w:tcW w:w="1701" w:type="dxa"/>
            <w:vAlign w:val="center"/>
          </w:tcPr>
          <w:p w14:paraId="58DBC4E9" w14:textId="77777777" w:rsidR="00454A29" w:rsidRDefault="00454A29">
            <w:pPr>
              <w:pStyle w:val="ConsPlusNormal"/>
              <w:jc w:val="center"/>
            </w:pPr>
            <w:r>
              <w:t>0,00</w:t>
            </w:r>
          </w:p>
        </w:tc>
        <w:tc>
          <w:tcPr>
            <w:tcW w:w="1701" w:type="dxa"/>
            <w:vAlign w:val="center"/>
          </w:tcPr>
          <w:p w14:paraId="021E1124" w14:textId="77777777" w:rsidR="00454A29" w:rsidRDefault="00454A29">
            <w:pPr>
              <w:pStyle w:val="ConsPlusNormal"/>
              <w:jc w:val="center"/>
            </w:pPr>
            <w:r>
              <w:t>0,00</w:t>
            </w:r>
          </w:p>
        </w:tc>
        <w:tc>
          <w:tcPr>
            <w:tcW w:w="1701" w:type="dxa"/>
            <w:vAlign w:val="center"/>
          </w:tcPr>
          <w:p w14:paraId="5684342B" w14:textId="77777777" w:rsidR="00454A29" w:rsidRDefault="00454A29">
            <w:pPr>
              <w:pStyle w:val="ConsPlusNormal"/>
              <w:jc w:val="center"/>
            </w:pPr>
            <w:r>
              <w:t>0,00</w:t>
            </w:r>
          </w:p>
        </w:tc>
        <w:tc>
          <w:tcPr>
            <w:tcW w:w="1701" w:type="dxa"/>
            <w:vAlign w:val="center"/>
          </w:tcPr>
          <w:p w14:paraId="28D24844" w14:textId="77777777" w:rsidR="00454A29" w:rsidRDefault="00454A29">
            <w:pPr>
              <w:pStyle w:val="ConsPlusNormal"/>
              <w:jc w:val="center"/>
            </w:pPr>
            <w:r>
              <w:t>0,00</w:t>
            </w:r>
          </w:p>
        </w:tc>
        <w:tc>
          <w:tcPr>
            <w:tcW w:w="1701" w:type="dxa"/>
            <w:vAlign w:val="center"/>
          </w:tcPr>
          <w:p w14:paraId="262B1FBD" w14:textId="77777777" w:rsidR="00454A29" w:rsidRDefault="00454A29">
            <w:pPr>
              <w:pStyle w:val="ConsPlusNormal"/>
              <w:jc w:val="center"/>
            </w:pPr>
            <w:r>
              <w:t>0,00</w:t>
            </w:r>
          </w:p>
        </w:tc>
      </w:tr>
      <w:tr w:rsidR="00454A29" w14:paraId="245BEA99" w14:textId="77777777">
        <w:tc>
          <w:tcPr>
            <w:tcW w:w="964" w:type="dxa"/>
            <w:vMerge/>
          </w:tcPr>
          <w:p w14:paraId="7FBB0873" w14:textId="77777777" w:rsidR="00454A29" w:rsidRDefault="00454A29"/>
        </w:tc>
        <w:tc>
          <w:tcPr>
            <w:tcW w:w="2154" w:type="dxa"/>
            <w:vMerge/>
            <w:tcBorders>
              <w:top w:val="nil"/>
            </w:tcBorders>
          </w:tcPr>
          <w:p w14:paraId="45402D6C" w14:textId="77777777" w:rsidR="00454A29" w:rsidRDefault="00454A29"/>
        </w:tc>
        <w:tc>
          <w:tcPr>
            <w:tcW w:w="2154" w:type="dxa"/>
            <w:vMerge/>
            <w:tcBorders>
              <w:top w:val="nil"/>
            </w:tcBorders>
          </w:tcPr>
          <w:p w14:paraId="4A1B55A3" w14:textId="77777777" w:rsidR="00454A29" w:rsidRDefault="00454A29"/>
        </w:tc>
        <w:tc>
          <w:tcPr>
            <w:tcW w:w="2665" w:type="dxa"/>
            <w:vMerge/>
            <w:tcBorders>
              <w:top w:val="nil"/>
            </w:tcBorders>
          </w:tcPr>
          <w:p w14:paraId="15B11A0C" w14:textId="77777777" w:rsidR="00454A29" w:rsidRDefault="00454A29"/>
        </w:tc>
        <w:tc>
          <w:tcPr>
            <w:tcW w:w="2665" w:type="dxa"/>
            <w:vMerge/>
          </w:tcPr>
          <w:p w14:paraId="4640EAF1" w14:textId="77777777" w:rsidR="00454A29" w:rsidRDefault="00454A29"/>
        </w:tc>
        <w:tc>
          <w:tcPr>
            <w:tcW w:w="1928" w:type="dxa"/>
            <w:vMerge/>
          </w:tcPr>
          <w:p w14:paraId="4381FC50" w14:textId="77777777" w:rsidR="00454A29" w:rsidRDefault="00454A29"/>
        </w:tc>
        <w:tc>
          <w:tcPr>
            <w:tcW w:w="1644" w:type="dxa"/>
            <w:vMerge/>
          </w:tcPr>
          <w:p w14:paraId="6CB95DF4" w14:textId="77777777" w:rsidR="00454A29" w:rsidRDefault="00454A29"/>
        </w:tc>
        <w:tc>
          <w:tcPr>
            <w:tcW w:w="2041" w:type="dxa"/>
            <w:vMerge/>
          </w:tcPr>
          <w:p w14:paraId="1E565221" w14:textId="77777777" w:rsidR="00454A29" w:rsidRDefault="00454A29"/>
        </w:tc>
        <w:tc>
          <w:tcPr>
            <w:tcW w:w="2098" w:type="dxa"/>
            <w:vAlign w:val="center"/>
          </w:tcPr>
          <w:p w14:paraId="70997275" w14:textId="77777777" w:rsidR="00454A29" w:rsidRDefault="00454A29">
            <w:pPr>
              <w:pStyle w:val="ConsPlusNormal"/>
              <w:jc w:val="center"/>
            </w:pPr>
            <w:r>
              <w:t>Внебюджетные средства</w:t>
            </w:r>
          </w:p>
        </w:tc>
        <w:tc>
          <w:tcPr>
            <w:tcW w:w="1814" w:type="dxa"/>
            <w:vAlign w:val="center"/>
          </w:tcPr>
          <w:p w14:paraId="49C8F4BB" w14:textId="77777777" w:rsidR="00454A29" w:rsidRDefault="00454A29">
            <w:pPr>
              <w:pStyle w:val="ConsPlusNormal"/>
              <w:jc w:val="center"/>
            </w:pPr>
            <w:r>
              <w:t>0,00</w:t>
            </w:r>
          </w:p>
        </w:tc>
        <w:tc>
          <w:tcPr>
            <w:tcW w:w="1701" w:type="dxa"/>
            <w:vAlign w:val="center"/>
          </w:tcPr>
          <w:p w14:paraId="3D617816" w14:textId="77777777" w:rsidR="00454A29" w:rsidRDefault="00454A29">
            <w:pPr>
              <w:pStyle w:val="ConsPlusNormal"/>
              <w:jc w:val="center"/>
            </w:pPr>
            <w:r>
              <w:t>0,00</w:t>
            </w:r>
          </w:p>
        </w:tc>
        <w:tc>
          <w:tcPr>
            <w:tcW w:w="1701" w:type="dxa"/>
            <w:vAlign w:val="center"/>
          </w:tcPr>
          <w:p w14:paraId="5F48A8C6" w14:textId="77777777" w:rsidR="00454A29" w:rsidRDefault="00454A29">
            <w:pPr>
              <w:pStyle w:val="ConsPlusNormal"/>
              <w:jc w:val="center"/>
            </w:pPr>
            <w:r>
              <w:t>0,00</w:t>
            </w:r>
          </w:p>
        </w:tc>
        <w:tc>
          <w:tcPr>
            <w:tcW w:w="1701" w:type="dxa"/>
            <w:vAlign w:val="center"/>
          </w:tcPr>
          <w:p w14:paraId="017FAA65" w14:textId="77777777" w:rsidR="00454A29" w:rsidRDefault="00454A29">
            <w:pPr>
              <w:pStyle w:val="ConsPlusNormal"/>
              <w:jc w:val="center"/>
            </w:pPr>
            <w:r>
              <w:t>0,00</w:t>
            </w:r>
          </w:p>
        </w:tc>
        <w:tc>
          <w:tcPr>
            <w:tcW w:w="1701" w:type="dxa"/>
            <w:vAlign w:val="center"/>
          </w:tcPr>
          <w:p w14:paraId="19B89ED7" w14:textId="77777777" w:rsidR="00454A29" w:rsidRDefault="00454A29">
            <w:pPr>
              <w:pStyle w:val="ConsPlusNormal"/>
              <w:jc w:val="center"/>
            </w:pPr>
            <w:r>
              <w:t>0,00</w:t>
            </w:r>
          </w:p>
        </w:tc>
        <w:tc>
          <w:tcPr>
            <w:tcW w:w="1701" w:type="dxa"/>
            <w:vAlign w:val="center"/>
          </w:tcPr>
          <w:p w14:paraId="5AB24FC8" w14:textId="77777777" w:rsidR="00454A29" w:rsidRDefault="00454A29">
            <w:pPr>
              <w:pStyle w:val="ConsPlusNormal"/>
              <w:jc w:val="center"/>
            </w:pPr>
            <w:r>
              <w:t>0,00</w:t>
            </w:r>
          </w:p>
        </w:tc>
        <w:tc>
          <w:tcPr>
            <w:tcW w:w="1701" w:type="dxa"/>
            <w:vAlign w:val="center"/>
          </w:tcPr>
          <w:p w14:paraId="05ABA169" w14:textId="77777777" w:rsidR="00454A29" w:rsidRDefault="00454A29">
            <w:pPr>
              <w:pStyle w:val="ConsPlusNormal"/>
              <w:jc w:val="center"/>
            </w:pPr>
            <w:r>
              <w:t>0,00</w:t>
            </w:r>
          </w:p>
        </w:tc>
      </w:tr>
      <w:tr w:rsidR="00454A29" w14:paraId="719A0C9B" w14:textId="77777777">
        <w:tc>
          <w:tcPr>
            <w:tcW w:w="964" w:type="dxa"/>
            <w:vMerge w:val="restart"/>
            <w:vAlign w:val="center"/>
          </w:tcPr>
          <w:p w14:paraId="7543C4EC" w14:textId="77777777" w:rsidR="00454A29" w:rsidRDefault="00454A29">
            <w:pPr>
              <w:pStyle w:val="ConsPlusNormal"/>
              <w:jc w:val="center"/>
            </w:pPr>
            <w:r>
              <w:t>8</w:t>
            </w:r>
          </w:p>
        </w:tc>
        <w:tc>
          <w:tcPr>
            <w:tcW w:w="2154" w:type="dxa"/>
            <w:vMerge w:val="restart"/>
            <w:vAlign w:val="center"/>
          </w:tcPr>
          <w:p w14:paraId="43E68DAA" w14:textId="77777777" w:rsidR="00454A29" w:rsidRDefault="00454A29">
            <w:pPr>
              <w:pStyle w:val="ConsPlusNormal"/>
            </w:pPr>
          </w:p>
        </w:tc>
        <w:tc>
          <w:tcPr>
            <w:tcW w:w="2154" w:type="dxa"/>
            <w:vMerge w:val="restart"/>
            <w:vAlign w:val="center"/>
          </w:tcPr>
          <w:p w14:paraId="7ED59D61" w14:textId="77777777" w:rsidR="00454A29" w:rsidRDefault="00454A29">
            <w:pPr>
              <w:pStyle w:val="ConsPlusNormal"/>
              <w:jc w:val="center"/>
            </w:pPr>
            <w:r>
              <w:t>Основное мероприятие 3.8. "Реализация регионального проекта "Социальные лифты для каждого"</w:t>
            </w:r>
          </w:p>
        </w:tc>
        <w:tc>
          <w:tcPr>
            <w:tcW w:w="10943" w:type="dxa"/>
            <w:gridSpan w:val="5"/>
            <w:vMerge w:val="restart"/>
            <w:vAlign w:val="center"/>
          </w:tcPr>
          <w:p w14:paraId="64037E48" w14:textId="77777777" w:rsidR="00454A29" w:rsidRDefault="00454A29">
            <w:pPr>
              <w:pStyle w:val="ConsPlusNormal"/>
              <w:jc w:val="center"/>
            </w:pPr>
            <w:r>
              <w:t>ВСЕГО</w:t>
            </w:r>
          </w:p>
        </w:tc>
        <w:tc>
          <w:tcPr>
            <w:tcW w:w="2098" w:type="dxa"/>
            <w:vAlign w:val="center"/>
          </w:tcPr>
          <w:p w14:paraId="75108DA9" w14:textId="77777777" w:rsidR="00454A29" w:rsidRDefault="00454A29">
            <w:pPr>
              <w:pStyle w:val="ConsPlusNormal"/>
              <w:jc w:val="center"/>
            </w:pPr>
            <w:r>
              <w:t>Итого</w:t>
            </w:r>
          </w:p>
        </w:tc>
        <w:tc>
          <w:tcPr>
            <w:tcW w:w="1814" w:type="dxa"/>
            <w:vAlign w:val="center"/>
          </w:tcPr>
          <w:p w14:paraId="17176FC1" w14:textId="77777777" w:rsidR="00454A29" w:rsidRDefault="00454A29">
            <w:pPr>
              <w:pStyle w:val="ConsPlusNormal"/>
              <w:jc w:val="center"/>
            </w:pPr>
            <w:r>
              <w:t>0,00</w:t>
            </w:r>
          </w:p>
        </w:tc>
        <w:tc>
          <w:tcPr>
            <w:tcW w:w="1701" w:type="dxa"/>
            <w:vAlign w:val="center"/>
          </w:tcPr>
          <w:p w14:paraId="7926ED31" w14:textId="77777777" w:rsidR="00454A29" w:rsidRDefault="00454A29">
            <w:pPr>
              <w:pStyle w:val="ConsPlusNormal"/>
              <w:jc w:val="center"/>
            </w:pPr>
            <w:r>
              <w:t>0,00</w:t>
            </w:r>
          </w:p>
        </w:tc>
        <w:tc>
          <w:tcPr>
            <w:tcW w:w="1701" w:type="dxa"/>
            <w:vAlign w:val="center"/>
          </w:tcPr>
          <w:p w14:paraId="656665D6" w14:textId="77777777" w:rsidR="00454A29" w:rsidRDefault="00454A29">
            <w:pPr>
              <w:pStyle w:val="ConsPlusNormal"/>
              <w:jc w:val="center"/>
            </w:pPr>
            <w:r>
              <w:t>0,00</w:t>
            </w:r>
          </w:p>
        </w:tc>
        <w:tc>
          <w:tcPr>
            <w:tcW w:w="1701" w:type="dxa"/>
            <w:vAlign w:val="center"/>
          </w:tcPr>
          <w:p w14:paraId="245DB875" w14:textId="77777777" w:rsidR="00454A29" w:rsidRDefault="00454A29">
            <w:pPr>
              <w:pStyle w:val="ConsPlusNormal"/>
              <w:jc w:val="center"/>
            </w:pPr>
            <w:r>
              <w:t>0,00</w:t>
            </w:r>
          </w:p>
        </w:tc>
        <w:tc>
          <w:tcPr>
            <w:tcW w:w="1701" w:type="dxa"/>
            <w:vAlign w:val="center"/>
          </w:tcPr>
          <w:p w14:paraId="3A7A21B1" w14:textId="77777777" w:rsidR="00454A29" w:rsidRDefault="00454A29">
            <w:pPr>
              <w:pStyle w:val="ConsPlusNormal"/>
              <w:jc w:val="center"/>
            </w:pPr>
            <w:r>
              <w:t>0,00</w:t>
            </w:r>
          </w:p>
        </w:tc>
        <w:tc>
          <w:tcPr>
            <w:tcW w:w="1701" w:type="dxa"/>
            <w:vAlign w:val="center"/>
          </w:tcPr>
          <w:p w14:paraId="7A6B5E30" w14:textId="77777777" w:rsidR="00454A29" w:rsidRDefault="00454A29">
            <w:pPr>
              <w:pStyle w:val="ConsPlusNormal"/>
              <w:jc w:val="center"/>
            </w:pPr>
            <w:r>
              <w:t>0,00</w:t>
            </w:r>
          </w:p>
        </w:tc>
        <w:tc>
          <w:tcPr>
            <w:tcW w:w="1701" w:type="dxa"/>
            <w:vAlign w:val="center"/>
          </w:tcPr>
          <w:p w14:paraId="04093DF2" w14:textId="77777777" w:rsidR="00454A29" w:rsidRDefault="00454A29">
            <w:pPr>
              <w:pStyle w:val="ConsPlusNormal"/>
              <w:jc w:val="center"/>
            </w:pPr>
            <w:r>
              <w:t>0,00</w:t>
            </w:r>
          </w:p>
        </w:tc>
      </w:tr>
      <w:tr w:rsidR="00454A29" w14:paraId="35894F39" w14:textId="77777777">
        <w:tc>
          <w:tcPr>
            <w:tcW w:w="964" w:type="dxa"/>
            <w:vMerge/>
          </w:tcPr>
          <w:p w14:paraId="3DE29024" w14:textId="77777777" w:rsidR="00454A29" w:rsidRDefault="00454A29"/>
        </w:tc>
        <w:tc>
          <w:tcPr>
            <w:tcW w:w="2154" w:type="dxa"/>
            <w:vMerge/>
          </w:tcPr>
          <w:p w14:paraId="37C09C68" w14:textId="77777777" w:rsidR="00454A29" w:rsidRDefault="00454A29"/>
        </w:tc>
        <w:tc>
          <w:tcPr>
            <w:tcW w:w="2154" w:type="dxa"/>
            <w:vMerge/>
          </w:tcPr>
          <w:p w14:paraId="733D07C3" w14:textId="77777777" w:rsidR="00454A29" w:rsidRDefault="00454A29"/>
        </w:tc>
        <w:tc>
          <w:tcPr>
            <w:tcW w:w="10943" w:type="dxa"/>
            <w:gridSpan w:val="5"/>
            <w:vMerge/>
          </w:tcPr>
          <w:p w14:paraId="075FB6B5" w14:textId="77777777" w:rsidR="00454A29" w:rsidRDefault="00454A29"/>
        </w:tc>
        <w:tc>
          <w:tcPr>
            <w:tcW w:w="2098" w:type="dxa"/>
            <w:vAlign w:val="center"/>
          </w:tcPr>
          <w:p w14:paraId="7DF102C2"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203D7D8" w14:textId="77777777" w:rsidR="00454A29" w:rsidRDefault="00454A29">
            <w:pPr>
              <w:pStyle w:val="ConsPlusNormal"/>
              <w:jc w:val="center"/>
            </w:pPr>
            <w:r>
              <w:t>0,00</w:t>
            </w:r>
          </w:p>
        </w:tc>
        <w:tc>
          <w:tcPr>
            <w:tcW w:w="1701" w:type="dxa"/>
            <w:vAlign w:val="center"/>
          </w:tcPr>
          <w:p w14:paraId="087C4D9E" w14:textId="77777777" w:rsidR="00454A29" w:rsidRDefault="00454A29">
            <w:pPr>
              <w:pStyle w:val="ConsPlusNormal"/>
              <w:jc w:val="center"/>
            </w:pPr>
            <w:r>
              <w:t>0,00</w:t>
            </w:r>
          </w:p>
        </w:tc>
        <w:tc>
          <w:tcPr>
            <w:tcW w:w="1701" w:type="dxa"/>
            <w:vAlign w:val="center"/>
          </w:tcPr>
          <w:p w14:paraId="23BA5934" w14:textId="77777777" w:rsidR="00454A29" w:rsidRDefault="00454A29">
            <w:pPr>
              <w:pStyle w:val="ConsPlusNormal"/>
              <w:jc w:val="center"/>
            </w:pPr>
            <w:r>
              <w:t>0,00</w:t>
            </w:r>
          </w:p>
        </w:tc>
        <w:tc>
          <w:tcPr>
            <w:tcW w:w="1701" w:type="dxa"/>
            <w:vAlign w:val="center"/>
          </w:tcPr>
          <w:p w14:paraId="3EFCD936" w14:textId="77777777" w:rsidR="00454A29" w:rsidRDefault="00454A29">
            <w:pPr>
              <w:pStyle w:val="ConsPlusNormal"/>
              <w:jc w:val="center"/>
            </w:pPr>
            <w:r>
              <w:t>0,00</w:t>
            </w:r>
          </w:p>
        </w:tc>
        <w:tc>
          <w:tcPr>
            <w:tcW w:w="1701" w:type="dxa"/>
            <w:vAlign w:val="center"/>
          </w:tcPr>
          <w:p w14:paraId="0525C4BD" w14:textId="77777777" w:rsidR="00454A29" w:rsidRDefault="00454A29">
            <w:pPr>
              <w:pStyle w:val="ConsPlusNormal"/>
              <w:jc w:val="center"/>
            </w:pPr>
            <w:r>
              <w:t>0,00</w:t>
            </w:r>
          </w:p>
        </w:tc>
        <w:tc>
          <w:tcPr>
            <w:tcW w:w="1701" w:type="dxa"/>
            <w:vAlign w:val="center"/>
          </w:tcPr>
          <w:p w14:paraId="14F92B27" w14:textId="77777777" w:rsidR="00454A29" w:rsidRDefault="00454A29">
            <w:pPr>
              <w:pStyle w:val="ConsPlusNormal"/>
              <w:jc w:val="center"/>
            </w:pPr>
            <w:r>
              <w:t>0,00</w:t>
            </w:r>
          </w:p>
        </w:tc>
        <w:tc>
          <w:tcPr>
            <w:tcW w:w="1701" w:type="dxa"/>
            <w:vAlign w:val="center"/>
          </w:tcPr>
          <w:p w14:paraId="35F93C41" w14:textId="77777777" w:rsidR="00454A29" w:rsidRDefault="00454A29">
            <w:pPr>
              <w:pStyle w:val="ConsPlusNormal"/>
              <w:jc w:val="center"/>
            </w:pPr>
            <w:r>
              <w:t>0,00</w:t>
            </w:r>
          </w:p>
        </w:tc>
      </w:tr>
      <w:tr w:rsidR="00454A29" w14:paraId="2349AE1E" w14:textId="77777777">
        <w:tc>
          <w:tcPr>
            <w:tcW w:w="964" w:type="dxa"/>
            <w:vMerge/>
          </w:tcPr>
          <w:p w14:paraId="6FB10DBA" w14:textId="77777777" w:rsidR="00454A29" w:rsidRDefault="00454A29"/>
        </w:tc>
        <w:tc>
          <w:tcPr>
            <w:tcW w:w="2154" w:type="dxa"/>
            <w:vMerge/>
          </w:tcPr>
          <w:p w14:paraId="76689878" w14:textId="77777777" w:rsidR="00454A29" w:rsidRDefault="00454A29"/>
        </w:tc>
        <w:tc>
          <w:tcPr>
            <w:tcW w:w="2154" w:type="dxa"/>
            <w:vMerge/>
          </w:tcPr>
          <w:p w14:paraId="25AE3632" w14:textId="77777777" w:rsidR="00454A29" w:rsidRDefault="00454A29"/>
        </w:tc>
        <w:tc>
          <w:tcPr>
            <w:tcW w:w="10943" w:type="dxa"/>
            <w:gridSpan w:val="5"/>
            <w:vMerge/>
          </w:tcPr>
          <w:p w14:paraId="2761E6B8" w14:textId="77777777" w:rsidR="00454A29" w:rsidRDefault="00454A29"/>
        </w:tc>
        <w:tc>
          <w:tcPr>
            <w:tcW w:w="2098" w:type="dxa"/>
            <w:vAlign w:val="center"/>
          </w:tcPr>
          <w:p w14:paraId="71DCF06A" w14:textId="77777777" w:rsidR="00454A29" w:rsidRDefault="00454A29">
            <w:pPr>
              <w:pStyle w:val="ConsPlusNormal"/>
              <w:jc w:val="center"/>
            </w:pPr>
            <w:r>
              <w:t>Федеральный бюджет</w:t>
            </w:r>
          </w:p>
        </w:tc>
        <w:tc>
          <w:tcPr>
            <w:tcW w:w="1814" w:type="dxa"/>
            <w:vAlign w:val="center"/>
          </w:tcPr>
          <w:p w14:paraId="44000EF7" w14:textId="77777777" w:rsidR="00454A29" w:rsidRDefault="00454A29">
            <w:pPr>
              <w:pStyle w:val="ConsPlusNormal"/>
              <w:jc w:val="center"/>
            </w:pPr>
            <w:r>
              <w:t>0,00</w:t>
            </w:r>
          </w:p>
        </w:tc>
        <w:tc>
          <w:tcPr>
            <w:tcW w:w="1701" w:type="dxa"/>
            <w:vAlign w:val="center"/>
          </w:tcPr>
          <w:p w14:paraId="514AE854" w14:textId="77777777" w:rsidR="00454A29" w:rsidRDefault="00454A29">
            <w:pPr>
              <w:pStyle w:val="ConsPlusNormal"/>
              <w:jc w:val="center"/>
            </w:pPr>
            <w:r>
              <w:t>0,00</w:t>
            </w:r>
          </w:p>
        </w:tc>
        <w:tc>
          <w:tcPr>
            <w:tcW w:w="1701" w:type="dxa"/>
            <w:vAlign w:val="center"/>
          </w:tcPr>
          <w:p w14:paraId="41BFCD1C" w14:textId="77777777" w:rsidR="00454A29" w:rsidRDefault="00454A29">
            <w:pPr>
              <w:pStyle w:val="ConsPlusNormal"/>
              <w:jc w:val="center"/>
            </w:pPr>
            <w:r>
              <w:t>0,00</w:t>
            </w:r>
          </w:p>
        </w:tc>
        <w:tc>
          <w:tcPr>
            <w:tcW w:w="1701" w:type="dxa"/>
            <w:vAlign w:val="center"/>
          </w:tcPr>
          <w:p w14:paraId="762C88E7" w14:textId="77777777" w:rsidR="00454A29" w:rsidRDefault="00454A29">
            <w:pPr>
              <w:pStyle w:val="ConsPlusNormal"/>
              <w:jc w:val="center"/>
            </w:pPr>
            <w:r>
              <w:t>0,00</w:t>
            </w:r>
          </w:p>
        </w:tc>
        <w:tc>
          <w:tcPr>
            <w:tcW w:w="1701" w:type="dxa"/>
            <w:vAlign w:val="center"/>
          </w:tcPr>
          <w:p w14:paraId="258D0F0A" w14:textId="77777777" w:rsidR="00454A29" w:rsidRDefault="00454A29">
            <w:pPr>
              <w:pStyle w:val="ConsPlusNormal"/>
              <w:jc w:val="center"/>
            </w:pPr>
            <w:r>
              <w:t>0,00</w:t>
            </w:r>
          </w:p>
        </w:tc>
        <w:tc>
          <w:tcPr>
            <w:tcW w:w="1701" w:type="dxa"/>
            <w:vAlign w:val="center"/>
          </w:tcPr>
          <w:p w14:paraId="2F86B5B2" w14:textId="77777777" w:rsidR="00454A29" w:rsidRDefault="00454A29">
            <w:pPr>
              <w:pStyle w:val="ConsPlusNormal"/>
              <w:jc w:val="center"/>
            </w:pPr>
            <w:r>
              <w:t>0,00</w:t>
            </w:r>
          </w:p>
        </w:tc>
        <w:tc>
          <w:tcPr>
            <w:tcW w:w="1701" w:type="dxa"/>
            <w:vAlign w:val="center"/>
          </w:tcPr>
          <w:p w14:paraId="5DF536F1" w14:textId="77777777" w:rsidR="00454A29" w:rsidRDefault="00454A29">
            <w:pPr>
              <w:pStyle w:val="ConsPlusNormal"/>
              <w:jc w:val="center"/>
            </w:pPr>
            <w:r>
              <w:t>0,00</w:t>
            </w:r>
          </w:p>
        </w:tc>
      </w:tr>
      <w:tr w:rsidR="00454A29" w14:paraId="430E3C82" w14:textId="77777777">
        <w:tc>
          <w:tcPr>
            <w:tcW w:w="964" w:type="dxa"/>
            <w:vMerge/>
          </w:tcPr>
          <w:p w14:paraId="5CA98452" w14:textId="77777777" w:rsidR="00454A29" w:rsidRDefault="00454A29"/>
        </w:tc>
        <w:tc>
          <w:tcPr>
            <w:tcW w:w="2154" w:type="dxa"/>
            <w:vMerge/>
          </w:tcPr>
          <w:p w14:paraId="6E462C4E" w14:textId="77777777" w:rsidR="00454A29" w:rsidRDefault="00454A29"/>
        </w:tc>
        <w:tc>
          <w:tcPr>
            <w:tcW w:w="2154" w:type="dxa"/>
            <w:vMerge/>
          </w:tcPr>
          <w:p w14:paraId="151EA978" w14:textId="77777777" w:rsidR="00454A29" w:rsidRDefault="00454A29"/>
        </w:tc>
        <w:tc>
          <w:tcPr>
            <w:tcW w:w="10943" w:type="dxa"/>
            <w:gridSpan w:val="5"/>
            <w:vMerge/>
          </w:tcPr>
          <w:p w14:paraId="54582142" w14:textId="77777777" w:rsidR="00454A29" w:rsidRDefault="00454A29"/>
        </w:tc>
        <w:tc>
          <w:tcPr>
            <w:tcW w:w="2098" w:type="dxa"/>
            <w:vAlign w:val="center"/>
          </w:tcPr>
          <w:p w14:paraId="5400B173" w14:textId="77777777" w:rsidR="00454A29" w:rsidRDefault="00454A29">
            <w:pPr>
              <w:pStyle w:val="ConsPlusNormal"/>
              <w:jc w:val="center"/>
            </w:pPr>
            <w:r>
              <w:t>Местные бюджеты</w:t>
            </w:r>
          </w:p>
        </w:tc>
        <w:tc>
          <w:tcPr>
            <w:tcW w:w="1814" w:type="dxa"/>
            <w:vAlign w:val="center"/>
          </w:tcPr>
          <w:p w14:paraId="39A465C4" w14:textId="77777777" w:rsidR="00454A29" w:rsidRDefault="00454A29">
            <w:pPr>
              <w:pStyle w:val="ConsPlusNormal"/>
              <w:jc w:val="center"/>
            </w:pPr>
            <w:r>
              <w:t>0,00</w:t>
            </w:r>
          </w:p>
        </w:tc>
        <w:tc>
          <w:tcPr>
            <w:tcW w:w="1701" w:type="dxa"/>
            <w:vAlign w:val="center"/>
          </w:tcPr>
          <w:p w14:paraId="72E0D3A3" w14:textId="77777777" w:rsidR="00454A29" w:rsidRDefault="00454A29">
            <w:pPr>
              <w:pStyle w:val="ConsPlusNormal"/>
              <w:jc w:val="center"/>
            </w:pPr>
            <w:r>
              <w:t>0,00</w:t>
            </w:r>
          </w:p>
        </w:tc>
        <w:tc>
          <w:tcPr>
            <w:tcW w:w="1701" w:type="dxa"/>
            <w:vAlign w:val="center"/>
          </w:tcPr>
          <w:p w14:paraId="36240056" w14:textId="77777777" w:rsidR="00454A29" w:rsidRDefault="00454A29">
            <w:pPr>
              <w:pStyle w:val="ConsPlusNormal"/>
              <w:jc w:val="center"/>
            </w:pPr>
            <w:r>
              <w:t>0,00</w:t>
            </w:r>
          </w:p>
        </w:tc>
        <w:tc>
          <w:tcPr>
            <w:tcW w:w="1701" w:type="dxa"/>
            <w:vAlign w:val="center"/>
          </w:tcPr>
          <w:p w14:paraId="1E2DC148" w14:textId="77777777" w:rsidR="00454A29" w:rsidRDefault="00454A29">
            <w:pPr>
              <w:pStyle w:val="ConsPlusNormal"/>
              <w:jc w:val="center"/>
            </w:pPr>
            <w:r>
              <w:t>0,00</w:t>
            </w:r>
          </w:p>
        </w:tc>
        <w:tc>
          <w:tcPr>
            <w:tcW w:w="1701" w:type="dxa"/>
            <w:vAlign w:val="center"/>
          </w:tcPr>
          <w:p w14:paraId="5C5C990F" w14:textId="77777777" w:rsidR="00454A29" w:rsidRDefault="00454A29">
            <w:pPr>
              <w:pStyle w:val="ConsPlusNormal"/>
              <w:jc w:val="center"/>
            </w:pPr>
            <w:r>
              <w:t>0,00</w:t>
            </w:r>
          </w:p>
        </w:tc>
        <w:tc>
          <w:tcPr>
            <w:tcW w:w="1701" w:type="dxa"/>
            <w:vAlign w:val="center"/>
          </w:tcPr>
          <w:p w14:paraId="6768AD3D" w14:textId="77777777" w:rsidR="00454A29" w:rsidRDefault="00454A29">
            <w:pPr>
              <w:pStyle w:val="ConsPlusNormal"/>
              <w:jc w:val="center"/>
            </w:pPr>
            <w:r>
              <w:t>0,00</w:t>
            </w:r>
          </w:p>
        </w:tc>
        <w:tc>
          <w:tcPr>
            <w:tcW w:w="1701" w:type="dxa"/>
            <w:vAlign w:val="center"/>
          </w:tcPr>
          <w:p w14:paraId="35CAE05E" w14:textId="77777777" w:rsidR="00454A29" w:rsidRDefault="00454A29">
            <w:pPr>
              <w:pStyle w:val="ConsPlusNormal"/>
              <w:jc w:val="center"/>
            </w:pPr>
            <w:r>
              <w:t>0,00</w:t>
            </w:r>
          </w:p>
        </w:tc>
      </w:tr>
      <w:tr w:rsidR="00454A29" w14:paraId="50231BA6" w14:textId="77777777">
        <w:tc>
          <w:tcPr>
            <w:tcW w:w="964" w:type="dxa"/>
            <w:vMerge/>
          </w:tcPr>
          <w:p w14:paraId="14341036" w14:textId="77777777" w:rsidR="00454A29" w:rsidRDefault="00454A29"/>
        </w:tc>
        <w:tc>
          <w:tcPr>
            <w:tcW w:w="2154" w:type="dxa"/>
            <w:vMerge/>
          </w:tcPr>
          <w:p w14:paraId="2C5E97F3" w14:textId="77777777" w:rsidR="00454A29" w:rsidRDefault="00454A29"/>
        </w:tc>
        <w:tc>
          <w:tcPr>
            <w:tcW w:w="2154" w:type="dxa"/>
            <w:vMerge/>
          </w:tcPr>
          <w:p w14:paraId="43F7FED3" w14:textId="77777777" w:rsidR="00454A29" w:rsidRDefault="00454A29"/>
        </w:tc>
        <w:tc>
          <w:tcPr>
            <w:tcW w:w="10943" w:type="dxa"/>
            <w:gridSpan w:val="5"/>
            <w:vMerge/>
          </w:tcPr>
          <w:p w14:paraId="1BF7AB50" w14:textId="77777777" w:rsidR="00454A29" w:rsidRDefault="00454A29"/>
        </w:tc>
        <w:tc>
          <w:tcPr>
            <w:tcW w:w="2098" w:type="dxa"/>
            <w:vAlign w:val="center"/>
          </w:tcPr>
          <w:p w14:paraId="0773DA8E" w14:textId="77777777" w:rsidR="00454A29" w:rsidRDefault="00454A29">
            <w:pPr>
              <w:pStyle w:val="ConsPlusNormal"/>
              <w:jc w:val="center"/>
            </w:pPr>
            <w:r>
              <w:t>Внебюджетные средства</w:t>
            </w:r>
          </w:p>
        </w:tc>
        <w:tc>
          <w:tcPr>
            <w:tcW w:w="1814" w:type="dxa"/>
            <w:vAlign w:val="center"/>
          </w:tcPr>
          <w:p w14:paraId="02943FCC" w14:textId="77777777" w:rsidR="00454A29" w:rsidRDefault="00454A29">
            <w:pPr>
              <w:pStyle w:val="ConsPlusNormal"/>
              <w:jc w:val="center"/>
            </w:pPr>
            <w:r>
              <w:t>0,00</w:t>
            </w:r>
          </w:p>
        </w:tc>
        <w:tc>
          <w:tcPr>
            <w:tcW w:w="1701" w:type="dxa"/>
            <w:vAlign w:val="center"/>
          </w:tcPr>
          <w:p w14:paraId="0C603028" w14:textId="77777777" w:rsidR="00454A29" w:rsidRDefault="00454A29">
            <w:pPr>
              <w:pStyle w:val="ConsPlusNormal"/>
              <w:jc w:val="center"/>
            </w:pPr>
            <w:r>
              <w:t>0,00</w:t>
            </w:r>
          </w:p>
        </w:tc>
        <w:tc>
          <w:tcPr>
            <w:tcW w:w="1701" w:type="dxa"/>
            <w:vAlign w:val="center"/>
          </w:tcPr>
          <w:p w14:paraId="6124271A" w14:textId="77777777" w:rsidR="00454A29" w:rsidRDefault="00454A29">
            <w:pPr>
              <w:pStyle w:val="ConsPlusNormal"/>
              <w:jc w:val="center"/>
            </w:pPr>
            <w:r>
              <w:t>0,00</w:t>
            </w:r>
          </w:p>
        </w:tc>
        <w:tc>
          <w:tcPr>
            <w:tcW w:w="1701" w:type="dxa"/>
            <w:vAlign w:val="center"/>
          </w:tcPr>
          <w:p w14:paraId="42FD0699" w14:textId="77777777" w:rsidR="00454A29" w:rsidRDefault="00454A29">
            <w:pPr>
              <w:pStyle w:val="ConsPlusNormal"/>
              <w:jc w:val="center"/>
            </w:pPr>
            <w:r>
              <w:t>0,00</w:t>
            </w:r>
          </w:p>
        </w:tc>
        <w:tc>
          <w:tcPr>
            <w:tcW w:w="1701" w:type="dxa"/>
            <w:vAlign w:val="center"/>
          </w:tcPr>
          <w:p w14:paraId="7FF2F74A" w14:textId="77777777" w:rsidR="00454A29" w:rsidRDefault="00454A29">
            <w:pPr>
              <w:pStyle w:val="ConsPlusNormal"/>
              <w:jc w:val="center"/>
            </w:pPr>
            <w:r>
              <w:t>0,00</w:t>
            </w:r>
          </w:p>
        </w:tc>
        <w:tc>
          <w:tcPr>
            <w:tcW w:w="1701" w:type="dxa"/>
            <w:vAlign w:val="center"/>
          </w:tcPr>
          <w:p w14:paraId="2705DEAD" w14:textId="77777777" w:rsidR="00454A29" w:rsidRDefault="00454A29">
            <w:pPr>
              <w:pStyle w:val="ConsPlusNormal"/>
              <w:jc w:val="center"/>
            </w:pPr>
            <w:r>
              <w:t>0,00</w:t>
            </w:r>
          </w:p>
        </w:tc>
        <w:tc>
          <w:tcPr>
            <w:tcW w:w="1701" w:type="dxa"/>
            <w:vAlign w:val="center"/>
          </w:tcPr>
          <w:p w14:paraId="273C5204" w14:textId="77777777" w:rsidR="00454A29" w:rsidRDefault="00454A29">
            <w:pPr>
              <w:pStyle w:val="ConsPlusNormal"/>
              <w:jc w:val="center"/>
            </w:pPr>
            <w:r>
              <w:t>0,00</w:t>
            </w:r>
          </w:p>
        </w:tc>
      </w:tr>
      <w:tr w:rsidR="00454A29" w14:paraId="607A69AA" w14:textId="77777777">
        <w:tc>
          <w:tcPr>
            <w:tcW w:w="964" w:type="dxa"/>
            <w:vMerge w:val="restart"/>
            <w:vAlign w:val="center"/>
          </w:tcPr>
          <w:p w14:paraId="6DE891FC" w14:textId="77777777" w:rsidR="00454A29" w:rsidRDefault="00454A29">
            <w:pPr>
              <w:pStyle w:val="ConsPlusNormal"/>
              <w:jc w:val="center"/>
            </w:pPr>
            <w:r>
              <w:t>8.1.</w:t>
            </w:r>
          </w:p>
        </w:tc>
        <w:tc>
          <w:tcPr>
            <w:tcW w:w="2154" w:type="dxa"/>
            <w:vMerge/>
          </w:tcPr>
          <w:p w14:paraId="0E3552DB" w14:textId="77777777" w:rsidR="00454A29" w:rsidRDefault="00454A29"/>
        </w:tc>
        <w:tc>
          <w:tcPr>
            <w:tcW w:w="2154" w:type="dxa"/>
            <w:vMerge/>
          </w:tcPr>
          <w:p w14:paraId="2EB85B06" w14:textId="77777777" w:rsidR="00454A29" w:rsidRDefault="00454A29"/>
        </w:tc>
        <w:tc>
          <w:tcPr>
            <w:tcW w:w="2665" w:type="dxa"/>
            <w:vMerge w:val="restart"/>
            <w:vAlign w:val="center"/>
          </w:tcPr>
          <w:p w14:paraId="7188C93F" w14:textId="77777777" w:rsidR="00454A29" w:rsidRDefault="00454A29">
            <w:pPr>
              <w:pStyle w:val="ConsPlusNormal"/>
              <w:jc w:val="center"/>
            </w:pPr>
            <w:r>
              <w:t>Результат 1. Обеспечено проведение не менее 35 конкурсов в целях предоставления гражданам возможностей для профессионального и карьерного роста с охватом не менее 11 тысяч граждан</w:t>
            </w:r>
          </w:p>
        </w:tc>
        <w:tc>
          <w:tcPr>
            <w:tcW w:w="2665" w:type="dxa"/>
            <w:vMerge w:val="restart"/>
            <w:vAlign w:val="center"/>
          </w:tcPr>
          <w:p w14:paraId="279D6E73" w14:textId="77777777" w:rsidR="00454A29" w:rsidRDefault="00454A29">
            <w:pPr>
              <w:pStyle w:val="ConsPlusNormal"/>
              <w:jc w:val="center"/>
            </w:pPr>
            <w:r>
              <w:t>Мероприятие 3.8.1. Проведение республиканских конкурсов профессионального и карьерного роста</w:t>
            </w:r>
          </w:p>
        </w:tc>
        <w:tc>
          <w:tcPr>
            <w:tcW w:w="1928" w:type="dxa"/>
            <w:vMerge w:val="restart"/>
            <w:vAlign w:val="center"/>
          </w:tcPr>
          <w:p w14:paraId="5DA2EF4B" w14:textId="77777777" w:rsidR="00454A29" w:rsidRDefault="00454A29">
            <w:pPr>
              <w:pStyle w:val="ConsPlusNormal"/>
              <w:jc w:val="center"/>
            </w:pPr>
            <w:r>
              <w:t>-</w:t>
            </w:r>
          </w:p>
        </w:tc>
        <w:tc>
          <w:tcPr>
            <w:tcW w:w="1644" w:type="dxa"/>
            <w:vMerge w:val="restart"/>
            <w:vAlign w:val="center"/>
          </w:tcPr>
          <w:p w14:paraId="4EC2EEF4" w14:textId="77777777" w:rsidR="00454A29" w:rsidRDefault="00454A29">
            <w:pPr>
              <w:pStyle w:val="ConsPlusNormal"/>
              <w:jc w:val="center"/>
            </w:pPr>
            <w:r>
              <w:t>-</w:t>
            </w:r>
          </w:p>
        </w:tc>
        <w:tc>
          <w:tcPr>
            <w:tcW w:w="2041" w:type="dxa"/>
            <w:vMerge w:val="restart"/>
            <w:vAlign w:val="center"/>
          </w:tcPr>
          <w:p w14:paraId="2755F742" w14:textId="77777777" w:rsidR="00454A29" w:rsidRDefault="00454A29">
            <w:pPr>
              <w:pStyle w:val="ConsPlusNormal"/>
              <w:jc w:val="center"/>
            </w:pPr>
            <w:r>
              <w:t>-</w:t>
            </w:r>
          </w:p>
        </w:tc>
        <w:tc>
          <w:tcPr>
            <w:tcW w:w="2098" w:type="dxa"/>
            <w:vAlign w:val="center"/>
          </w:tcPr>
          <w:p w14:paraId="27FB790B" w14:textId="77777777" w:rsidR="00454A29" w:rsidRDefault="00454A29">
            <w:pPr>
              <w:pStyle w:val="ConsPlusNormal"/>
              <w:jc w:val="center"/>
            </w:pPr>
            <w:r>
              <w:t>Итого</w:t>
            </w:r>
          </w:p>
        </w:tc>
        <w:tc>
          <w:tcPr>
            <w:tcW w:w="1814" w:type="dxa"/>
            <w:vAlign w:val="center"/>
          </w:tcPr>
          <w:p w14:paraId="755F5B35" w14:textId="77777777" w:rsidR="00454A29" w:rsidRDefault="00454A29">
            <w:pPr>
              <w:pStyle w:val="ConsPlusNormal"/>
              <w:jc w:val="center"/>
            </w:pPr>
            <w:r>
              <w:t>0,00</w:t>
            </w:r>
          </w:p>
        </w:tc>
        <w:tc>
          <w:tcPr>
            <w:tcW w:w="1701" w:type="dxa"/>
            <w:vAlign w:val="center"/>
          </w:tcPr>
          <w:p w14:paraId="663AF3A4" w14:textId="77777777" w:rsidR="00454A29" w:rsidRDefault="00454A29">
            <w:pPr>
              <w:pStyle w:val="ConsPlusNormal"/>
              <w:jc w:val="center"/>
            </w:pPr>
            <w:r>
              <w:t>0,00</w:t>
            </w:r>
          </w:p>
        </w:tc>
        <w:tc>
          <w:tcPr>
            <w:tcW w:w="1701" w:type="dxa"/>
            <w:vAlign w:val="center"/>
          </w:tcPr>
          <w:p w14:paraId="7EA1D049" w14:textId="77777777" w:rsidR="00454A29" w:rsidRDefault="00454A29">
            <w:pPr>
              <w:pStyle w:val="ConsPlusNormal"/>
              <w:jc w:val="center"/>
            </w:pPr>
            <w:r>
              <w:t>0,00</w:t>
            </w:r>
          </w:p>
        </w:tc>
        <w:tc>
          <w:tcPr>
            <w:tcW w:w="1701" w:type="dxa"/>
            <w:vAlign w:val="center"/>
          </w:tcPr>
          <w:p w14:paraId="20C08E70" w14:textId="77777777" w:rsidR="00454A29" w:rsidRDefault="00454A29">
            <w:pPr>
              <w:pStyle w:val="ConsPlusNormal"/>
              <w:jc w:val="center"/>
            </w:pPr>
            <w:r>
              <w:t>0,00</w:t>
            </w:r>
          </w:p>
        </w:tc>
        <w:tc>
          <w:tcPr>
            <w:tcW w:w="1701" w:type="dxa"/>
            <w:vAlign w:val="center"/>
          </w:tcPr>
          <w:p w14:paraId="1625135D" w14:textId="77777777" w:rsidR="00454A29" w:rsidRDefault="00454A29">
            <w:pPr>
              <w:pStyle w:val="ConsPlusNormal"/>
              <w:jc w:val="center"/>
            </w:pPr>
            <w:r>
              <w:t>0,00</w:t>
            </w:r>
          </w:p>
        </w:tc>
        <w:tc>
          <w:tcPr>
            <w:tcW w:w="1701" w:type="dxa"/>
            <w:vAlign w:val="center"/>
          </w:tcPr>
          <w:p w14:paraId="2764A4DD" w14:textId="77777777" w:rsidR="00454A29" w:rsidRDefault="00454A29">
            <w:pPr>
              <w:pStyle w:val="ConsPlusNormal"/>
              <w:jc w:val="center"/>
            </w:pPr>
            <w:r>
              <w:t>0,00</w:t>
            </w:r>
          </w:p>
        </w:tc>
        <w:tc>
          <w:tcPr>
            <w:tcW w:w="1701" w:type="dxa"/>
            <w:vAlign w:val="center"/>
          </w:tcPr>
          <w:p w14:paraId="5B15701A" w14:textId="77777777" w:rsidR="00454A29" w:rsidRDefault="00454A29">
            <w:pPr>
              <w:pStyle w:val="ConsPlusNormal"/>
              <w:jc w:val="center"/>
            </w:pPr>
            <w:r>
              <w:t>0,00</w:t>
            </w:r>
          </w:p>
        </w:tc>
      </w:tr>
      <w:tr w:rsidR="00454A29" w14:paraId="07FF6B3A" w14:textId="77777777">
        <w:tc>
          <w:tcPr>
            <w:tcW w:w="964" w:type="dxa"/>
            <w:vMerge/>
          </w:tcPr>
          <w:p w14:paraId="53347EE4" w14:textId="77777777" w:rsidR="00454A29" w:rsidRDefault="00454A29"/>
        </w:tc>
        <w:tc>
          <w:tcPr>
            <w:tcW w:w="2154" w:type="dxa"/>
            <w:vMerge/>
          </w:tcPr>
          <w:p w14:paraId="1FF4CC65" w14:textId="77777777" w:rsidR="00454A29" w:rsidRDefault="00454A29"/>
        </w:tc>
        <w:tc>
          <w:tcPr>
            <w:tcW w:w="2154" w:type="dxa"/>
            <w:vMerge/>
          </w:tcPr>
          <w:p w14:paraId="0D51F0D2" w14:textId="77777777" w:rsidR="00454A29" w:rsidRDefault="00454A29"/>
        </w:tc>
        <w:tc>
          <w:tcPr>
            <w:tcW w:w="2665" w:type="dxa"/>
            <w:vMerge/>
          </w:tcPr>
          <w:p w14:paraId="1B906FA0" w14:textId="77777777" w:rsidR="00454A29" w:rsidRDefault="00454A29"/>
        </w:tc>
        <w:tc>
          <w:tcPr>
            <w:tcW w:w="2665" w:type="dxa"/>
            <w:vMerge/>
          </w:tcPr>
          <w:p w14:paraId="0F16FD9B" w14:textId="77777777" w:rsidR="00454A29" w:rsidRDefault="00454A29"/>
        </w:tc>
        <w:tc>
          <w:tcPr>
            <w:tcW w:w="1928" w:type="dxa"/>
            <w:vMerge/>
          </w:tcPr>
          <w:p w14:paraId="000BEACB" w14:textId="77777777" w:rsidR="00454A29" w:rsidRDefault="00454A29"/>
        </w:tc>
        <w:tc>
          <w:tcPr>
            <w:tcW w:w="1644" w:type="dxa"/>
            <w:vMerge/>
          </w:tcPr>
          <w:p w14:paraId="643B2C29" w14:textId="77777777" w:rsidR="00454A29" w:rsidRDefault="00454A29"/>
        </w:tc>
        <w:tc>
          <w:tcPr>
            <w:tcW w:w="2041" w:type="dxa"/>
            <w:vMerge/>
          </w:tcPr>
          <w:p w14:paraId="4D1A0680" w14:textId="77777777" w:rsidR="00454A29" w:rsidRDefault="00454A29"/>
        </w:tc>
        <w:tc>
          <w:tcPr>
            <w:tcW w:w="2098" w:type="dxa"/>
            <w:vAlign w:val="center"/>
          </w:tcPr>
          <w:p w14:paraId="7A78294C"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ED54FC7" w14:textId="77777777" w:rsidR="00454A29" w:rsidRDefault="00454A29">
            <w:pPr>
              <w:pStyle w:val="ConsPlusNormal"/>
              <w:jc w:val="center"/>
            </w:pPr>
            <w:r>
              <w:t>0,00</w:t>
            </w:r>
          </w:p>
        </w:tc>
        <w:tc>
          <w:tcPr>
            <w:tcW w:w="1701" w:type="dxa"/>
            <w:vAlign w:val="center"/>
          </w:tcPr>
          <w:p w14:paraId="08627936" w14:textId="77777777" w:rsidR="00454A29" w:rsidRDefault="00454A29">
            <w:pPr>
              <w:pStyle w:val="ConsPlusNormal"/>
              <w:jc w:val="center"/>
            </w:pPr>
            <w:r>
              <w:t>0,00</w:t>
            </w:r>
          </w:p>
        </w:tc>
        <w:tc>
          <w:tcPr>
            <w:tcW w:w="1701" w:type="dxa"/>
            <w:vAlign w:val="center"/>
          </w:tcPr>
          <w:p w14:paraId="44D0C018" w14:textId="77777777" w:rsidR="00454A29" w:rsidRDefault="00454A29">
            <w:pPr>
              <w:pStyle w:val="ConsPlusNormal"/>
              <w:jc w:val="center"/>
            </w:pPr>
            <w:r>
              <w:t>0,00</w:t>
            </w:r>
          </w:p>
        </w:tc>
        <w:tc>
          <w:tcPr>
            <w:tcW w:w="1701" w:type="dxa"/>
            <w:vAlign w:val="center"/>
          </w:tcPr>
          <w:p w14:paraId="17662A65" w14:textId="77777777" w:rsidR="00454A29" w:rsidRDefault="00454A29">
            <w:pPr>
              <w:pStyle w:val="ConsPlusNormal"/>
              <w:jc w:val="center"/>
            </w:pPr>
            <w:r>
              <w:t>0,00</w:t>
            </w:r>
          </w:p>
        </w:tc>
        <w:tc>
          <w:tcPr>
            <w:tcW w:w="1701" w:type="dxa"/>
            <w:vAlign w:val="center"/>
          </w:tcPr>
          <w:p w14:paraId="457517B8" w14:textId="77777777" w:rsidR="00454A29" w:rsidRDefault="00454A29">
            <w:pPr>
              <w:pStyle w:val="ConsPlusNormal"/>
              <w:jc w:val="center"/>
            </w:pPr>
            <w:r>
              <w:t>0,00</w:t>
            </w:r>
          </w:p>
        </w:tc>
        <w:tc>
          <w:tcPr>
            <w:tcW w:w="1701" w:type="dxa"/>
            <w:vAlign w:val="center"/>
          </w:tcPr>
          <w:p w14:paraId="381BBC12" w14:textId="77777777" w:rsidR="00454A29" w:rsidRDefault="00454A29">
            <w:pPr>
              <w:pStyle w:val="ConsPlusNormal"/>
              <w:jc w:val="center"/>
            </w:pPr>
            <w:r>
              <w:t>0,00</w:t>
            </w:r>
          </w:p>
        </w:tc>
        <w:tc>
          <w:tcPr>
            <w:tcW w:w="1701" w:type="dxa"/>
            <w:vAlign w:val="center"/>
          </w:tcPr>
          <w:p w14:paraId="1B0ACA4B" w14:textId="77777777" w:rsidR="00454A29" w:rsidRDefault="00454A29">
            <w:pPr>
              <w:pStyle w:val="ConsPlusNormal"/>
              <w:jc w:val="center"/>
            </w:pPr>
            <w:r>
              <w:t>0,00</w:t>
            </w:r>
          </w:p>
        </w:tc>
      </w:tr>
      <w:tr w:rsidR="00454A29" w14:paraId="2115FCB8" w14:textId="77777777">
        <w:tc>
          <w:tcPr>
            <w:tcW w:w="964" w:type="dxa"/>
            <w:vMerge/>
          </w:tcPr>
          <w:p w14:paraId="6CC14A96" w14:textId="77777777" w:rsidR="00454A29" w:rsidRDefault="00454A29"/>
        </w:tc>
        <w:tc>
          <w:tcPr>
            <w:tcW w:w="2154" w:type="dxa"/>
            <w:vMerge/>
          </w:tcPr>
          <w:p w14:paraId="4E575760" w14:textId="77777777" w:rsidR="00454A29" w:rsidRDefault="00454A29"/>
        </w:tc>
        <w:tc>
          <w:tcPr>
            <w:tcW w:w="2154" w:type="dxa"/>
            <w:vMerge/>
          </w:tcPr>
          <w:p w14:paraId="07BFD386" w14:textId="77777777" w:rsidR="00454A29" w:rsidRDefault="00454A29"/>
        </w:tc>
        <w:tc>
          <w:tcPr>
            <w:tcW w:w="2665" w:type="dxa"/>
            <w:vMerge/>
          </w:tcPr>
          <w:p w14:paraId="65226065" w14:textId="77777777" w:rsidR="00454A29" w:rsidRDefault="00454A29"/>
        </w:tc>
        <w:tc>
          <w:tcPr>
            <w:tcW w:w="2665" w:type="dxa"/>
            <w:vMerge/>
          </w:tcPr>
          <w:p w14:paraId="72D8DCAD" w14:textId="77777777" w:rsidR="00454A29" w:rsidRDefault="00454A29"/>
        </w:tc>
        <w:tc>
          <w:tcPr>
            <w:tcW w:w="1928" w:type="dxa"/>
            <w:vMerge/>
          </w:tcPr>
          <w:p w14:paraId="0496DED3" w14:textId="77777777" w:rsidR="00454A29" w:rsidRDefault="00454A29"/>
        </w:tc>
        <w:tc>
          <w:tcPr>
            <w:tcW w:w="1644" w:type="dxa"/>
            <w:vMerge/>
          </w:tcPr>
          <w:p w14:paraId="2AEEEF70" w14:textId="77777777" w:rsidR="00454A29" w:rsidRDefault="00454A29"/>
        </w:tc>
        <w:tc>
          <w:tcPr>
            <w:tcW w:w="2041" w:type="dxa"/>
            <w:vMerge/>
          </w:tcPr>
          <w:p w14:paraId="2B646AAA" w14:textId="77777777" w:rsidR="00454A29" w:rsidRDefault="00454A29"/>
        </w:tc>
        <w:tc>
          <w:tcPr>
            <w:tcW w:w="2098" w:type="dxa"/>
            <w:vAlign w:val="center"/>
          </w:tcPr>
          <w:p w14:paraId="465CC078" w14:textId="77777777" w:rsidR="00454A29" w:rsidRDefault="00454A29">
            <w:pPr>
              <w:pStyle w:val="ConsPlusNormal"/>
              <w:jc w:val="center"/>
            </w:pPr>
            <w:r>
              <w:t>Федеральный бюджет</w:t>
            </w:r>
          </w:p>
        </w:tc>
        <w:tc>
          <w:tcPr>
            <w:tcW w:w="1814" w:type="dxa"/>
            <w:vAlign w:val="center"/>
          </w:tcPr>
          <w:p w14:paraId="6F5084B9" w14:textId="77777777" w:rsidR="00454A29" w:rsidRDefault="00454A29">
            <w:pPr>
              <w:pStyle w:val="ConsPlusNormal"/>
              <w:jc w:val="center"/>
            </w:pPr>
            <w:r>
              <w:t>0,00</w:t>
            </w:r>
          </w:p>
        </w:tc>
        <w:tc>
          <w:tcPr>
            <w:tcW w:w="1701" w:type="dxa"/>
            <w:vAlign w:val="center"/>
          </w:tcPr>
          <w:p w14:paraId="7F0091D5" w14:textId="77777777" w:rsidR="00454A29" w:rsidRDefault="00454A29">
            <w:pPr>
              <w:pStyle w:val="ConsPlusNormal"/>
              <w:jc w:val="center"/>
            </w:pPr>
            <w:r>
              <w:t>0,00</w:t>
            </w:r>
          </w:p>
        </w:tc>
        <w:tc>
          <w:tcPr>
            <w:tcW w:w="1701" w:type="dxa"/>
            <w:vAlign w:val="center"/>
          </w:tcPr>
          <w:p w14:paraId="53E7967B" w14:textId="77777777" w:rsidR="00454A29" w:rsidRDefault="00454A29">
            <w:pPr>
              <w:pStyle w:val="ConsPlusNormal"/>
              <w:jc w:val="center"/>
            </w:pPr>
            <w:r>
              <w:t>0,00</w:t>
            </w:r>
          </w:p>
        </w:tc>
        <w:tc>
          <w:tcPr>
            <w:tcW w:w="1701" w:type="dxa"/>
            <w:vAlign w:val="center"/>
          </w:tcPr>
          <w:p w14:paraId="7684E17E" w14:textId="77777777" w:rsidR="00454A29" w:rsidRDefault="00454A29">
            <w:pPr>
              <w:pStyle w:val="ConsPlusNormal"/>
              <w:jc w:val="center"/>
            </w:pPr>
            <w:r>
              <w:t>0,00</w:t>
            </w:r>
          </w:p>
        </w:tc>
        <w:tc>
          <w:tcPr>
            <w:tcW w:w="1701" w:type="dxa"/>
            <w:vAlign w:val="center"/>
          </w:tcPr>
          <w:p w14:paraId="62CBA5CB" w14:textId="77777777" w:rsidR="00454A29" w:rsidRDefault="00454A29">
            <w:pPr>
              <w:pStyle w:val="ConsPlusNormal"/>
              <w:jc w:val="center"/>
            </w:pPr>
            <w:r>
              <w:t>0,00</w:t>
            </w:r>
          </w:p>
        </w:tc>
        <w:tc>
          <w:tcPr>
            <w:tcW w:w="1701" w:type="dxa"/>
            <w:vAlign w:val="center"/>
          </w:tcPr>
          <w:p w14:paraId="39A442E0" w14:textId="77777777" w:rsidR="00454A29" w:rsidRDefault="00454A29">
            <w:pPr>
              <w:pStyle w:val="ConsPlusNormal"/>
              <w:jc w:val="center"/>
            </w:pPr>
            <w:r>
              <w:t>0,00</w:t>
            </w:r>
          </w:p>
        </w:tc>
        <w:tc>
          <w:tcPr>
            <w:tcW w:w="1701" w:type="dxa"/>
            <w:vAlign w:val="center"/>
          </w:tcPr>
          <w:p w14:paraId="6DA654F4" w14:textId="77777777" w:rsidR="00454A29" w:rsidRDefault="00454A29">
            <w:pPr>
              <w:pStyle w:val="ConsPlusNormal"/>
              <w:jc w:val="center"/>
            </w:pPr>
            <w:r>
              <w:t>0,00</w:t>
            </w:r>
          </w:p>
        </w:tc>
      </w:tr>
      <w:tr w:rsidR="00454A29" w14:paraId="41A2DD23" w14:textId="77777777">
        <w:tc>
          <w:tcPr>
            <w:tcW w:w="964" w:type="dxa"/>
            <w:vMerge/>
          </w:tcPr>
          <w:p w14:paraId="638CDDDB" w14:textId="77777777" w:rsidR="00454A29" w:rsidRDefault="00454A29"/>
        </w:tc>
        <w:tc>
          <w:tcPr>
            <w:tcW w:w="2154" w:type="dxa"/>
            <w:vMerge/>
          </w:tcPr>
          <w:p w14:paraId="2E28118C" w14:textId="77777777" w:rsidR="00454A29" w:rsidRDefault="00454A29"/>
        </w:tc>
        <w:tc>
          <w:tcPr>
            <w:tcW w:w="2154" w:type="dxa"/>
            <w:vMerge/>
          </w:tcPr>
          <w:p w14:paraId="5235EC6B" w14:textId="77777777" w:rsidR="00454A29" w:rsidRDefault="00454A29"/>
        </w:tc>
        <w:tc>
          <w:tcPr>
            <w:tcW w:w="2665" w:type="dxa"/>
            <w:vMerge/>
          </w:tcPr>
          <w:p w14:paraId="79BBA66D" w14:textId="77777777" w:rsidR="00454A29" w:rsidRDefault="00454A29"/>
        </w:tc>
        <w:tc>
          <w:tcPr>
            <w:tcW w:w="2665" w:type="dxa"/>
            <w:vMerge/>
          </w:tcPr>
          <w:p w14:paraId="2EEC9078" w14:textId="77777777" w:rsidR="00454A29" w:rsidRDefault="00454A29"/>
        </w:tc>
        <w:tc>
          <w:tcPr>
            <w:tcW w:w="1928" w:type="dxa"/>
            <w:vMerge/>
          </w:tcPr>
          <w:p w14:paraId="446F2296" w14:textId="77777777" w:rsidR="00454A29" w:rsidRDefault="00454A29"/>
        </w:tc>
        <w:tc>
          <w:tcPr>
            <w:tcW w:w="1644" w:type="dxa"/>
            <w:vMerge/>
          </w:tcPr>
          <w:p w14:paraId="768EA9E8" w14:textId="77777777" w:rsidR="00454A29" w:rsidRDefault="00454A29"/>
        </w:tc>
        <w:tc>
          <w:tcPr>
            <w:tcW w:w="2041" w:type="dxa"/>
            <w:vMerge/>
          </w:tcPr>
          <w:p w14:paraId="5A192C2E" w14:textId="77777777" w:rsidR="00454A29" w:rsidRDefault="00454A29"/>
        </w:tc>
        <w:tc>
          <w:tcPr>
            <w:tcW w:w="2098" w:type="dxa"/>
            <w:vAlign w:val="center"/>
          </w:tcPr>
          <w:p w14:paraId="12C0C724" w14:textId="77777777" w:rsidR="00454A29" w:rsidRDefault="00454A29">
            <w:pPr>
              <w:pStyle w:val="ConsPlusNormal"/>
              <w:jc w:val="center"/>
            </w:pPr>
            <w:r>
              <w:t>Местные бюджеты</w:t>
            </w:r>
          </w:p>
        </w:tc>
        <w:tc>
          <w:tcPr>
            <w:tcW w:w="1814" w:type="dxa"/>
            <w:vAlign w:val="center"/>
          </w:tcPr>
          <w:p w14:paraId="08A46F2C" w14:textId="77777777" w:rsidR="00454A29" w:rsidRDefault="00454A29">
            <w:pPr>
              <w:pStyle w:val="ConsPlusNormal"/>
              <w:jc w:val="center"/>
            </w:pPr>
            <w:r>
              <w:t>0,00</w:t>
            </w:r>
          </w:p>
        </w:tc>
        <w:tc>
          <w:tcPr>
            <w:tcW w:w="1701" w:type="dxa"/>
            <w:vAlign w:val="center"/>
          </w:tcPr>
          <w:p w14:paraId="27499C37" w14:textId="77777777" w:rsidR="00454A29" w:rsidRDefault="00454A29">
            <w:pPr>
              <w:pStyle w:val="ConsPlusNormal"/>
              <w:jc w:val="center"/>
            </w:pPr>
            <w:r>
              <w:t>0,00</w:t>
            </w:r>
          </w:p>
        </w:tc>
        <w:tc>
          <w:tcPr>
            <w:tcW w:w="1701" w:type="dxa"/>
            <w:vAlign w:val="center"/>
          </w:tcPr>
          <w:p w14:paraId="4DFAAA6B" w14:textId="77777777" w:rsidR="00454A29" w:rsidRDefault="00454A29">
            <w:pPr>
              <w:pStyle w:val="ConsPlusNormal"/>
              <w:jc w:val="center"/>
            </w:pPr>
            <w:r>
              <w:t>0,00</w:t>
            </w:r>
          </w:p>
        </w:tc>
        <w:tc>
          <w:tcPr>
            <w:tcW w:w="1701" w:type="dxa"/>
            <w:vAlign w:val="center"/>
          </w:tcPr>
          <w:p w14:paraId="2468ACCE" w14:textId="77777777" w:rsidR="00454A29" w:rsidRDefault="00454A29">
            <w:pPr>
              <w:pStyle w:val="ConsPlusNormal"/>
              <w:jc w:val="center"/>
            </w:pPr>
            <w:r>
              <w:t>0,00</w:t>
            </w:r>
          </w:p>
        </w:tc>
        <w:tc>
          <w:tcPr>
            <w:tcW w:w="1701" w:type="dxa"/>
            <w:vAlign w:val="center"/>
          </w:tcPr>
          <w:p w14:paraId="5EBA1DD2" w14:textId="77777777" w:rsidR="00454A29" w:rsidRDefault="00454A29">
            <w:pPr>
              <w:pStyle w:val="ConsPlusNormal"/>
              <w:jc w:val="center"/>
            </w:pPr>
            <w:r>
              <w:t>0,00</w:t>
            </w:r>
          </w:p>
        </w:tc>
        <w:tc>
          <w:tcPr>
            <w:tcW w:w="1701" w:type="dxa"/>
            <w:vAlign w:val="center"/>
          </w:tcPr>
          <w:p w14:paraId="2516E9F7" w14:textId="77777777" w:rsidR="00454A29" w:rsidRDefault="00454A29">
            <w:pPr>
              <w:pStyle w:val="ConsPlusNormal"/>
              <w:jc w:val="center"/>
            </w:pPr>
            <w:r>
              <w:t>0,00</w:t>
            </w:r>
          </w:p>
        </w:tc>
        <w:tc>
          <w:tcPr>
            <w:tcW w:w="1701" w:type="dxa"/>
            <w:vAlign w:val="center"/>
          </w:tcPr>
          <w:p w14:paraId="7B1A790D" w14:textId="77777777" w:rsidR="00454A29" w:rsidRDefault="00454A29">
            <w:pPr>
              <w:pStyle w:val="ConsPlusNormal"/>
              <w:jc w:val="center"/>
            </w:pPr>
            <w:r>
              <w:t>0,00</w:t>
            </w:r>
          </w:p>
        </w:tc>
      </w:tr>
      <w:tr w:rsidR="00454A29" w14:paraId="1BA1E40F" w14:textId="77777777">
        <w:tc>
          <w:tcPr>
            <w:tcW w:w="964" w:type="dxa"/>
            <w:vMerge/>
          </w:tcPr>
          <w:p w14:paraId="200A5378" w14:textId="77777777" w:rsidR="00454A29" w:rsidRDefault="00454A29"/>
        </w:tc>
        <w:tc>
          <w:tcPr>
            <w:tcW w:w="2154" w:type="dxa"/>
            <w:vMerge/>
          </w:tcPr>
          <w:p w14:paraId="4730EE92" w14:textId="77777777" w:rsidR="00454A29" w:rsidRDefault="00454A29"/>
        </w:tc>
        <w:tc>
          <w:tcPr>
            <w:tcW w:w="2154" w:type="dxa"/>
            <w:vMerge/>
          </w:tcPr>
          <w:p w14:paraId="3B3D37EC" w14:textId="77777777" w:rsidR="00454A29" w:rsidRDefault="00454A29"/>
        </w:tc>
        <w:tc>
          <w:tcPr>
            <w:tcW w:w="2665" w:type="dxa"/>
            <w:vMerge/>
          </w:tcPr>
          <w:p w14:paraId="36972D41" w14:textId="77777777" w:rsidR="00454A29" w:rsidRDefault="00454A29"/>
        </w:tc>
        <w:tc>
          <w:tcPr>
            <w:tcW w:w="2665" w:type="dxa"/>
            <w:vMerge/>
          </w:tcPr>
          <w:p w14:paraId="60AFEC41" w14:textId="77777777" w:rsidR="00454A29" w:rsidRDefault="00454A29"/>
        </w:tc>
        <w:tc>
          <w:tcPr>
            <w:tcW w:w="1928" w:type="dxa"/>
            <w:vMerge/>
          </w:tcPr>
          <w:p w14:paraId="58076B0E" w14:textId="77777777" w:rsidR="00454A29" w:rsidRDefault="00454A29"/>
        </w:tc>
        <w:tc>
          <w:tcPr>
            <w:tcW w:w="1644" w:type="dxa"/>
            <w:vMerge/>
          </w:tcPr>
          <w:p w14:paraId="2FA2D213" w14:textId="77777777" w:rsidR="00454A29" w:rsidRDefault="00454A29"/>
        </w:tc>
        <w:tc>
          <w:tcPr>
            <w:tcW w:w="2041" w:type="dxa"/>
            <w:vMerge/>
          </w:tcPr>
          <w:p w14:paraId="14620284" w14:textId="77777777" w:rsidR="00454A29" w:rsidRDefault="00454A29"/>
        </w:tc>
        <w:tc>
          <w:tcPr>
            <w:tcW w:w="2098" w:type="dxa"/>
            <w:vAlign w:val="center"/>
          </w:tcPr>
          <w:p w14:paraId="0F072CBE" w14:textId="77777777" w:rsidR="00454A29" w:rsidRDefault="00454A29">
            <w:pPr>
              <w:pStyle w:val="ConsPlusNormal"/>
              <w:jc w:val="center"/>
            </w:pPr>
            <w:r>
              <w:t>Внебюджетные средства</w:t>
            </w:r>
          </w:p>
        </w:tc>
        <w:tc>
          <w:tcPr>
            <w:tcW w:w="1814" w:type="dxa"/>
            <w:vAlign w:val="center"/>
          </w:tcPr>
          <w:p w14:paraId="214C1DA3" w14:textId="77777777" w:rsidR="00454A29" w:rsidRDefault="00454A29">
            <w:pPr>
              <w:pStyle w:val="ConsPlusNormal"/>
              <w:jc w:val="center"/>
            </w:pPr>
            <w:r>
              <w:t>0,00</w:t>
            </w:r>
          </w:p>
        </w:tc>
        <w:tc>
          <w:tcPr>
            <w:tcW w:w="1701" w:type="dxa"/>
            <w:vAlign w:val="center"/>
          </w:tcPr>
          <w:p w14:paraId="0019BAEE" w14:textId="77777777" w:rsidR="00454A29" w:rsidRDefault="00454A29">
            <w:pPr>
              <w:pStyle w:val="ConsPlusNormal"/>
              <w:jc w:val="center"/>
            </w:pPr>
            <w:r>
              <w:t>0,00</w:t>
            </w:r>
          </w:p>
        </w:tc>
        <w:tc>
          <w:tcPr>
            <w:tcW w:w="1701" w:type="dxa"/>
            <w:vAlign w:val="center"/>
          </w:tcPr>
          <w:p w14:paraId="7624DF3A" w14:textId="77777777" w:rsidR="00454A29" w:rsidRDefault="00454A29">
            <w:pPr>
              <w:pStyle w:val="ConsPlusNormal"/>
              <w:jc w:val="center"/>
            </w:pPr>
            <w:r>
              <w:t>0,00</w:t>
            </w:r>
          </w:p>
        </w:tc>
        <w:tc>
          <w:tcPr>
            <w:tcW w:w="1701" w:type="dxa"/>
            <w:vAlign w:val="center"/>
          </w:tcPr>
          <w:p w14:paraId="7F9498B2" w14:textId="77777777" w:rsidR="00454A29" w:rsidRDefault="00454A29">
            <w:pPr>
              <w:pStyle w:val="ConsPlusNormal"/>
              <w:jc w:val="center"/>
            </w:pPr>
            <w:r>
              <w:t>0,00</w:t>
            </w:r>
          </w:p>
        </w:tc>
        <w:tc>
          <w:tcPr>
            <w:tcW w:w="1701" w:type="dxa"/>
            <w:vAlign w:val="center"/>
          </w:tcPr>
          <w:p w14:paraId="02B2F069" w14:textId="77777777" w:rsidR="00454A29" w:rsidRDefault="00454A29">
            <w:pPr>
              <w:pStyle w:val="ConsPlusNormal"/>
              <w:jc w:val="center"/>
            </w:pPr>
            <w:r>
              <w:t>0,00</w:t>
            </w:r>
          </w:p>
        </w:tc>
        <w:tc>
          <w:tcPr>
            <w:tcW w:w="1701" w:type="dxa"/>
            <w:vAlign w:val="center"/>
          </w:tcPr>
          <w:p w14:paraId="25BD967B" w14:textId="77777777" w:rsidR="00454A29" w:rsidRDefault="00454A29">
            <w:pPr>
              <w:pStyle w:val="ConsPlusNormal"/>
              <w:jc w:val="center"/>
            </w:pPr>
            <w:r>
              <w:t>0,00</w:t>
            </w:r>
          </w:p>
        </w:tc>
        <w:tc>
          <w:tcPr>
            <w:tcW w:w="1701" w:type="dxa"/>
            <w:vAlign w:val="center"/>
          </w:tcPr>
          <w:p w14:paraId="7542B836" w14:textId="77777777" w:rsidR="00454A29" w:rsidRDefault="00454A29">
            <w:pPr>
              <w:pStyle w:val="ConsPlusNormal"/>
              <w:jc w:val="center"/>
            </w:pPr>
            <w:r>
              <w:t>0,00</w:t>
            </w:r>
          </w:p>
        </w:tc>
      </w:tr>
      <w:tr w:rsidR="00454A29" w14:paraId="439B26FB" w14:textId="77777777">
        <w:tc>
          <w:tcPr>
            <w:tcW w:w="964" w:type="dxa"/>
            <w:vMerge w:val="restart"/>
            <w:vAlign w:val="center"/>
          </w:tcPr>
          <w:p w14:paraId="2CB6D16B" w14:textId="77777777" w:rsidR="00454A29" w:rsidRDefault="00454A29">
            <w:pPr>
              <w:pStyle w:val="ConsPlusNormal"/>
              <w:jc w:val="center"/>
            </w:pPr>
            <w:r>
              <w:t>9.</w:t>
            </w:r>
          </w:p>
        </w:tc>
        <w:tc>
          <w:tcPr>
            <w:tcW w:w="2154" w:type="dxa"/>
            <w:vMerge w:val="restart"/>
            <w:tcBorders>
              <w:bottom w:val="nil"/>
            </w:tcBorders>
            <w:vAlign w:val="center"/>
          </w:tcPr>
          <w:p w14:paraId="7C8CB1A9" w14:textId="77777777" w:rsidR="00454A29" w:rsidRDefault="00454A29">
            <w:pPr>
              <w:pStyle w:val="ConsPlusNormal"/>
              <w:jc w:val="center"/>
            </w:pPr>
            <w:r>
              <w:t xml:space="preserve">Подпрограмма 3 "Профессиональное </w:t>
            </w:r>
            <w:r>
              <w:lastRenderedPageBreak/>
              <w:t>образование"</w:t>
            </w:r>
          </w:p>
        </w:tc>
        <w:tc>
          <w:tcPr>
            <w:tcW w:w="2154" w:type="dxa"/>
            <w:vMerge w:val="restart"/>
            <w:tcBorders>
              <w:bottom w:val="nil"/>
            </w:tcBorders>
            <w:vAlign w:val="center"/>
          </w:tcPr>
          <w:p w14:paraId="3C889EA6" w14:textId="77777777" w:rsidR="00454A29" w:rsidRDefault="00454A29">
            <w:pPr>
              <w:pStyle w:val="ConsPlusNormal"/>
              <w:jc w:val="center"/>
            </w:pPr>
            <w:r>
              <w:lastRenderedPageBreak/>
              <w:t xml:space="preserve">Основное мероприятие 3.10. </w:t>
            </w:r>
            <w:r>
              <w:lastRenderedPageBreak/>
              <w:t>"Реализация регионального проекта "Новые возможности для каждого"</w:t>
            </w:r>
          </w:p>
        </w:tc>
        <w:tc>
          <w:tcPr>
            <w:tcW w:w="10943" w:type="dxa"/>
            <w:gridSpan w:val="5"/>
            <w:vMerge w:val="restart"/>
            <w:vAlign w:val="center"/>
          </w:tcPr>
          <w:p w14:paraId="603B22B1" w14:textId="77777777" w:rsidR="00454A29" w:rsidRDefault="00454A29">
            <w:pPr>
              <w:pStyle w:val="ConsPlusNormal"/>
              <w:jc w:val="center"/>
            </w:pPr>
            <w:r>
              <w:lastRenderedPageBreak/>
              <w:t>ВСЕГО</w:t>
            </w:r>
          </w:p>
        </w:tc>
        <w:tc>
          <w:tcPr>
            <w:tcW w:w="2098" w:type="dxa"/>
            <w:vAlign w:val="center"/>
          </w:tcPr>
          <w:p w14:paraId="57AEB8B7" w14:textId="77777777" w:rsidR="00454A29" w:rsidRDefault="00454A29">
            <w:pPr>
              <w:pStyle w:val="ConsPlusNormal"/>
              <w:jc w:val="center"/>
            </w:pPr>
            <w:r>
              <w:t>Итого</w:t>
            </w:r>
          </w:p>
        </w:tc>
        <w:tc>
          <w:tcPr>
            <w:tcW w:w="1814" w:type="dxa"/>
            <w:vAlign w:val="center"/>
          </w:tcPr>
          <w:p w14:paraId="64F12B35" w14:textId="77777777" w:rsidR="00454A29" w:rsidRDefault="00454A29">
            <w:pPr>
              <w:pStyle w:val="ConsPlusNormal"/>
              <w:jc w:val="center"/>
            </w:pPr>
            <w:r>
              <w:t>0,00</w:t>
            </w:r>
          </w:p>
        </w:tc>
        <w:tc>
          <w:tcPr>
            <w:tcW w:w="1701" w:type="dxa"/>
            <w:vAlign w:val="center"/>
          </w:tcPr>
          <w:p w14:paraId="13136B38" w14:textId="77777777" w:rsidR="00454A29" w:rsidRDefault="00454A29">
            <w:pPr>
              <w:pStyle w:val="ConsPlusNormal"/>
              <w:jc w:val="center"/>
            </w:pPr>
            <w:r>
              <w:t>0,00</w:t>
            </w:r>
          </w:p>
        </w:tc>
        <w:tc>
          <w:tcPr>
            <w:tcW w:w="1701" w:type="dxa"/>
            <w:vAlign w:val="center"/>
          </w:tcPr>
          <w:p w14:paraId="6B050A73" w14:textId="77777777" w:rsidR="00454A29" w:rsidRDefault="00454A29">
            <w:pPr>
              <w:pStyle w:val="ConsPlusNormal"/>
              <w:jc w:val="center"/>
            </w:pPr>
            <w:r>
              <w:t>0,00</w:t>
            </w:r>
          </w:p>
        </w:tc>
        <w:tc>
          <w:tcPr>
            <w:tcW w:w="1701" w:type="dxa"/>
            <w:vAlign w:val="center"/>
          </w:tcPr>
          <w:p w14:paraId="3B6EC614" w14:textId="77777777" w:rsidR="00454A29" w:rsidRDefault="00454A29">
            <w:pPr>
              <w:pStyle w:val="ConsPlusNormal"/>
              <w:jc w:val="center"/>
            </w:pPr>
            <w:r>
              <w:t>0,00</w:t>
            </w:r>
          </w:p>
        </w:tc>
        <w:tc>
          <w:tcPr>
            <w:tcW w:w="1701" w:type="dxa"/>
            <w:vAlign w:val="center"/>
          </w:tcPr>
          <w:p w14:paraId="23B1C11D" w14:textId="77777777" w:rsidR="00454A29" w:rsidRDefault="00454A29">
            <w:pPr>
              <w:pStyle w:val="ConsPlusNormal"/>
              <w:jc w:val="center"/>
            </w:pPr>
            <w:r>
              <w:t>0,00</w:t>
            </w:r>
          </w:p>
        </w:tc>
        <w:tc>
          <w:tcPr>
            <w:tcW w:w="1701" w:type="dxa"/>
            <w:vAlign w:val="center"/>
          </w:tcPr>
          <w:p w14:paraId="754A32D3" w14:textId="77777777" w:rsidR="00454A29" w:rsidRDefault="00454A29">
            <w:pPr>
              <w:pStyle w:val="ConsPlusNormal"/>
              <w:jc w:val="center"/>
            </w:pPr>
            <w:r>
              <w:t>0,00</w:t>
            </w:r>
          </w:p>
        </w:tc>
        <w:tc>
          <w:tcPr>
            <w:tcW w:w="1701" w:type="dxa"/>
            <w:vAlign w:val="center"/>
          </w:tcPr>
          <w:p w14:paraId="3A8CB8D2" w14:textId="77777777" w:rsidR="00454A29" w:rsidRDefault="00454A29">
            <w:pPr>
              <w:pStyle w:val="ConsPlusNormal"/>
              <w:jc w:val="center"/>
            </w:pPr>
            <w:r>
              <w:t>0,00</w:t>
            </w:r>
          </w:p>
        </w:tc>
      </w:tr>
      <w:tr w:rsidR="00454A29" w14:paraId="39E188C1" w14:textId="77777777">
        <w:tc>
          <w:tcPr>
            <w:tcW w:w="964" w:type="dxa"/>
            <w:vMerge/>
          </w:tcPr>
          <w:p w14:paraId="32334B18" w14:textId="77777777" w:rsidR="00454A29" w:rsidRDefault="00454A29"/>
        </w:tc>
        <w:tc>
          <w:tcPr>
            <w:tcW w:w="2154" w:type="dxa"/>
            <w:vMerge/>
            <w:tcBorders>
              <w:bottom w:val="nil"/>
            </w:tcBorders>
          </w:tcPr>
          <w:p w14:paraId="74D49E60" w14:textId="77777777" w:rsidR="00454A29" w:rsidRDefault="00454A29"/>
        </w:tc>
        <w:tc>
          <w:tcPr>
            <w:tcW w:w="2154" w:type="dxa"/>
            <w:vMerge/>
            <w:tcBorders>
              <w:bottom w:val="nil"/>
            </w:tcBorders>
          </w:tcPr>
          <w:p w14:paraId="1BCCADBB" w14:textId="77777777" w:rsidR="00454A29" w:rsidRDefault="00454A29"/>
        </w:tc>
        <w:tc>
          <w:tcPr>
            <w:tcW w:w="10943" w:type="dxa"/>
            <w:gridSpan w:val="5"/>
            <w:vMerge/>
          </w:tcPr>
          <w:p w14:paraId="1631A54B" w14:textId="77777777" w:rsidR="00454A29" w:rsidRDefault="00454A29"/>
        </w:tc>
        <w:tc>
          <w:tcPr>
            <w:tcW w:w="2098" w:type="dxa"/>
            <w:vAlign w:val="center"/>
          </w:tcPr>
          <w:p w14:paraId="099EF73B" w14:textId="77777777" w:rsidR="00454A29" w:rsidRDefault="00454A29">
            <w:pPr>
              <w:pStyle w:val="ConsPlusNormal"/>
              <w:jc w:val="center"/>
            </w:pPr>
            <w:r>
              <w:t xml:space="preserve">Государственный </w:t>
            </w:r>
            <w:r>
              <w:lastRenderedPageBreak/>
              <w:t>бюджет Республики Саха (Якутия)</w:t>
            </w:r>
          </w:p>
        </w:tc>
        <w:tc>
          <w:tcPr>
            <w:tcW w:w="1814" w:type="dxa"/>
            <w:vAlign w:val="center"/>
          </w:tcPr>
          <w:p w14:paraId="327F42C3" w14:textId="77777777" w:rsidR="00454A29" w:rsidRDefault="00454A29">
            <w:pPr>
              <w:pStyle w:val="ConsPlusNormal"/>
              <w:jc w:val="center"/>
            </w:pPr>
            <w:r>
              <w:lastRenderedPageBreak/>
              <w:t>0,00</w:t>
            </w:r>
          </w:p>
        </w:tc>
        <w:tc>
          <w:tcPr>
            <w:tcW w:w="1701" w:type="dxa"/>
            <w:vAlign w:val="center"/>
          </w:tcPr>
          <w:p w14:paraId="573112BF" w14:textId="77777777" w:rsidR="00454A29" w:rsidRDefault="00454A29">
            <w:pPr>
              <w:pStyle w:val="ConsPlusNormal"/>
              <w:jc w:val="center"/>
            </w:pPr>
            <w:r>
              <w:t>0,00</w:t>
            </w:r>
          </w:p>
        </w:tc>
        <w:tc>
          <w:tcPr>
            <w:tcW w:w="1701" w:type="dxa"/>
            <w:vAlign w:val="center"/>
          </w:tcPr>
          <w:p w14:paraId="10A91669" w14:textId="77777777" w:rsidR="00454A29" w:rsidRDefault="00454A29">
            <w:pPr>
              <w:pStyle w:val="ConsPlusNormal"/>
              <w:jc w:val="center"/>
            </w:pPr>
            <w:r>
              <w:t>0,00</w:t>
            </w:r>
          </w:p>
        </w:tc>
        <w:tc>
          <w:tcPr>
            <w:tcW w:w="1701" w:type="dxa"/>
            <w:vAlign w:val="center"/>
          </w:tcPr>
          <w:p w14:paraId="41CD78A3" w14:textId="77777777" w:rsidR="00454A29" w:rsidRDefault="00454A29">
            <w:pPr>
              <w:pStyle w:val="ConsPlusNormal"/>
              <w:jc w:val="center"/>
            </w:pPr>
            <w:r>
              <w:t>0,00</w:t>
            </w:r>
          </w:p>
        </w:tc>
        <w:tc>
          <w:tcPr>
            <w:tcW w:w="1701" w:type="dxa"/>
            <w:vAlign w:val="center"/>
          </w:tcPr>
          <w:p w14:paraId="0299CB6D" w14:textId="77777777" w:rsidR="00454A29" w:rsidRDefault="00454A29">
            <w:pPr>
              <w:pStyle w:val="ConsPlusNormal"/>
              <w:jc w:val="center"/>
            </w:pPr>
            <w:r>
              <w:t>0,00</w:t>
            </w:r>
          </w:p>
        </w:tc>
        <w:tc>
          <w:tcPr>
            <w:tcW w:w="1701" w:type="dxa"/>
            <w:vAlign w:val="center"/>
          </w:tcPr>
          <w:p w14:paraId="611DCFA4" w14:textId="77777777" w:rsidR="00454A29" w:rsidRDefault="00454A29">
            <w:pPr>
              <w:pStyle w:val="ConsPlusNormal"/>
              <w:jc w:val="center"/>
            </w:pPr>
            <w:r>
              <w:t>0,00</w:t>
            </w:r>
          </w:p>
        </w:tc>
        <w:tc>
          <w:tcPr>
            <w:tcW w:w="1701" w:type="dxa"/>
            <w:vAlign w:val="center"/>
          </w:tcPr>
          <w:p w14:paraId="4FB3A584" w14:textId="77777777" w:rsidR="00454A29" w:rsidRDefault="00454A29">
            <w:pPr>
              <w:pStyle w:val="ConsPlusNormal"/>
              <w:jc w:val="center"/>
            </w:pPr>
            <w:r>
              <w:t>0,00</w:t>
            </w:r>
          </w:p>
        </w:tc>
      </w:tr>
      <w:tr w:rsidR="00454A29" w14:paraId="1DE4140C" w14:textId="77777777">
        <w:tc>
          <w:tcPr>
            <w:tcW w:w="964" w:type="dxa"/>
            <w:vMerge/>
          </w:tcPr>
          <w:p w14:paraId="1C4818C0" w14:textId="77777777" w:rsidR="00454A29" w:rsidRDefault="00454A29"/>
        </w:tc>
        <w:tc>
          <w:tcPr>
            <w:tcW w:w="2154" w:type="dxa"/>
            <w:vMerge/>
            <w:tcBorders>
              <w:bottom w:val="nil"/>
            </w:tcBorders>
          </w:tcPr>
          <w:p w14:paraId="14EA3FEA" w14:textId="77777777" w:rsidR="00454A29" w:rsidRDefault="00454A29"/>
        </w:tc>
        <w:tc>
          <w:tcPr>
            <w:tcW w:w="2154" w:type="dxa"/>
            <w:vMerge/>
            <w:tcBorders>
              <w:bottom w:val="nil"/>
            </w:tcBorders>
          </w:tcPr>
          <w:p w14:paraId="79A2B664" w14:textId="77777777" w:rsidR="00454A29" w:rsidRDefault="00454A29"/>
        </w:tc>
        <w:tc>
          <w:tcPr>
            <w:tcW w:w="10943" w:type="dxa"/>
            <w:gridSpan w:val="5"/>
            <w:vMerge/>
          </w:tcPr>
          <w:p w14:paraId="723C17FB" w14:textId="77777777" w:rsidR="00454A29" w:rsidRDefault="00454A29"/>
        </w:tc>
        <w:tc>
          <w:tcPr>
            <w:tcW w:w="2098" w:type="dxa"/>
            <w:vAlign w:val="center"/>
          </w:tcPr>
          <w:p w14:paraId="0670E98E" w14:textId="77777777" w:rsidR="00454A29" w:rsidRDefault="00454A29">
            <w:pPr>
              <w:pStyle w:val="ConsPlusNormal"/>
              <w:jc w:val="center"/>
            </w:pPr>
            <w:r>
              <w:t>Федеральный бюджет</w:t>
            </w:r>
          </w:p>
        </w:tc>
        <w:tc>
          <w:tcPr>
            <w:tcW w:w="1814" w:type="dxa"/>
            <w:vAlign w:val="center"/>
          </w:tcPr>
          <w:p w14:paraId="34BC9952" w14:textId="77777777" w:rsidR="00454A29" w:rsidRDefault="00454A29">
            <w:pPr>
              <w:pStyle w:val="ConsPlusNormal"/>
              <w:jc w:val="center"/>
            </w:pPr>
            <w:r>
              <w:t>0,00</w:t>
            </w:r>
          </w:p>
        </w:tc>
        <w:tc>
          <w:tcPr>
            <w:tcW w:w="1701" w:type="dxa"/>
            <w:vAlign w:val="center"/>
          </w:tcPr>
          <w:p w14:paraId="4252A320" w14:textId="77777777" w:rsidR="00454A29" w:rsidRDefault="00454A29">
            <w:pPr>
              <w:pStyle w:val="ConsPlusNormal"/>
              <w:jc w:val="center"/>
            </w:pPr>
            <w:r>
              <w:t>0,00</w:t>
            </w:r>
          </w:p>
        </w:tc>
        <w:tc>
          <w:tcPr>
            <w:tcW w:w="1701" w:type="dxa"/>
            <w:vAlign w:val="center"/>
          </w:tcPr>
          <w:p w14:paraId="7748CF46" w14:textId="77777777" w:rsidR="00454A29" w:rsidRDefault="00454A29">
            <w:pPr>
              <w:pStyle w:val="ConsPlusNormal"/>
              <w:jc w:val="center"/>
            </w:pPr>
            <w:r>
              <w:t>0,00</w:t>
            </w:r>
          </w:p>
        </w:tc>
        <w:tc>
          <w:tcPr>
            <w:tcW w:w="1701" w:type="dxa"/>
            <w:vAlign w:val="center"/>
          </w:tcPr>
          <w:p w14:paraId="3F44A9AA" w14:textId="77777777" w:rsidR="00454A29" w:rsidRDefault="00454A29">
            <w:pPr>
              <w:pStyle w:val="ConsPlusNormal"/>
              <w:jc w:val="center"/>
            </w:pPr>
            <w:r>
              <w:t>0,00</w:t>
            </w:r>
          </w:p>
        </w:tc>
        <w:tc>
          <w:tcPr>
            <w:tcW w:w="1701" w:type="dxa"/>
            <w:vAlign w:val="center"/>
          </w:tcPr>
          <w:p w14:paraId="482DB4B3" w14:textId="77777777" w:rsidR="00454A29" w:rsidRDefault="00454A29">
            <w:pPr>
              <w:pStyle w:val="ConsPlusNormal"/>
              <w:jc w:val="center"/>
            </w:pPr>
            <w:r>
              <w:t>0,00</w:t>
            </w:r>
          </w:p>
        </w:tc>
        <w:tc>
          <w:tcPr>
            <w:tcW w:w="1701" w:type="dxa"/>
            <w:vAlign w:val="center"/>
          </w:tcPr>
          <w:p w14:paraId="1C7A1DFB" w14:textId="77777777" w:rsidR="00454A29" w:rsidRDefault="00454A29">
            <w:pPr>
              <w:pStyle w:val="ConsPlusNormal"/>
              <w:jc w:val="center"/>
            </w:pPr>
            <w:r>
              <w:t>0,00</w:t>
            </w:r>
          </w:p>
        </w:tc>
        <w:tc>
          <w:tcPr>
            <w:tcW w:w="1701" w:type="dxa"/>
            <w:vAlign w:val="center"/>
          </w:tcPr>
          <w:p w14:paraId="13DCEFB1" w14:textId="77777777" w:rsidR="00454A29" w:rsidRDefault="00454A29">
            <w:pPr>
              <w:pStyle w:val="ConsPlusNormal"/>
              <w:jc w:val="center"/>
            </w:pPr>
            <w:r>
              <w:t>0,00</w:t>
            </w:r>
          </w:p>
        </w:tc>
      </w:tr>
      <w:tr w:rsidR="00454A29" w14:paraId="54FBB8E7" w14:textId="77777777">
        <w:tc>
          <w:tcPr>
            <w:tcW w:w="964" w:type="dxa"/>
            <w:vMerge/>
          </w:tcPr>
          <w:p w14:paraId="51E1D36B" w14:textId="77777777" w:rsidR="00454A29" w:rsidRDefault="00454A29"/>
        </w:tc>
        <w:tc>
          <w:tcPr>
            <w:tcW w:w="2154" w:type="dxa"/>
            <w:vMerge/>
            <w:tcBorders>
              <w:bottom w:val="nil"/>
            </w:tcBorders>
          </w:tcPr>
          <w:p w14:paraId="5F789F83" w14:textId="77777777" w:rsidR="00454A29" w:rsidRDefault="00454A29"/>
        </w:tc>
        <w:tc>
          <w:tcPr>
            <w:tcW w:w="2154" w:type="dxa"/>
            <w:vMerge/>
            <w:tcBorders>
              <w:bottom w:val="nil"/>
            </w:tcBorders>
          </w:tcPr>
          <w:p w14:paraId="318C5728" w14:textId="77777777" w:rsidR="00454A29" w:rsidRDefault="00454A29"/>
        </w:tc>
        <w:tc>
          <w:tcPr>
            <w:tcW w:w="10943" w:type="dxa"/>
            <w:gridSpan w:val="5"/>
            <w:vMerge/>
          </w:tcPr>
          <w:p w14:paraId="6FF868F4" w14:textId="77777777" w:rsidR="00454A29" w:rsidRDefault="00454A29"/>
        </w:tc>
        <w:tc>
          <w:tcPr>
            <w:tcW w:w="2098" w:type="dxa"/>
            <w:vAlign w:val="center"/>
          </w:tcPr>
          <w:p w14:paraId="27DF4729" w14:textId="77777777" w:rsidR="00454A29" w:rsidRDefault="00454A29">
            <w:pPr>
              <w:pStyle w:val="ConsPlusNormal"/>
              <w:jc w:val="center"/>
            </w:pPr>
            <w:r>
              <w:t>Местные бюджеты</w:t>
            </w:r>
          </w:p>
        </w:tc>
        <w:tc>
          <w:tcPr>
            <w:tcW w:w="1814" w:type="dxa"/>
            <w:vAlign w:val="center"/>
          </w:tcPr>
          <w:p w14:paraId="3BB9C6BD" w14:textId="77777777" w:rsidR="00454A29" w:rsidRDefault="00454A29">
            <w:pPr>
              <w:pStyle w:val="ConsPlusNormal"/>
              <w:jc w:val="center"/>
            </w:pPr>
            <w:r>
              <w:t>0,00</w:t>
            </w:r>
          </w:p>
        </w:tc>
        <w:tc>
          <w:tcPr>
            <w:tcW w:w="1701" w:type="dxa"/>
            <w:vAlign w:val="center"/>
          </w:tcPr>
          <w:p w14:paraId="610A0824" w14:textId="77777777" w:rsidR="00454A29" w:rsidRDefault="00454A29">
            <w:pPr>
              <w:pStyle w:val="ConsPlusNormal"/>
              <w:jc w:val="center"/>
            </w:pPr>
            <w:r>
              <w:t>0,00</w:t>
            </w:r>
          </w:p>
        </w:tc>
        <w:tc>
          <w:tcPr>
            <w:tcW w:w="1701" w:type="dxa"/>
            <w:vAlign w:val="center"/>
          </w:tcPr>
          <w:p w14:paraId="58E731DB" w14:textId="77777777" w:rsidR="00454A29" w:rsidRDefault="00454A29">
            <w:pPr>
              <w:pStyle w:val="ConsPlusNormal"/>
              <w:jc w:val="center"/>
            </w:pPr>
            <w:r>
              <w:t>0,00</w:t>
            </w:r>
          </w:p>
        </w:tc>
        <w:tc>
          <w:tcPr>
            <w:tcW w:w="1701" w:type="dxa"/>
            <w:vAlign w:val="center"/>
          </w:tcPr>
          <w:p w14:paraId="3870842A" w14:textId="77777777" w:rsidR="00454A29" w:rsidRDefault="00454A29">
            <w:pPr>
              <w:pStyle w:val="ConsPlusNormal"/>
              <w:jc w:val="center"/>
            </w:pPr>
            <w:r>
              <w:t>0,00</w:t>
            </w:r>
          </w:p>
        </w:tc>
        <w:tc>
          <w:tcPr>
            <w:tcW w:w="1701" w:type="dxa"/>
            <w:vAlign w:val="center"/>
          </w:tcPr>
          <w:p w14:paraId="4F8AFE6C" w14:textId="77777777" w:rsidR="00454A29" w:rsidRDefault="00454A29">
            <w:pPr>
              <w:pStyle w:val="ConsPlusNormal"/>
              <w:jc w:val="center"/>
            </w:pPr>
            <w:r>
              <w:t>0,00</w:t>
            </w:r>
          </w:p>
        </w:tc>
        <w:tc>
          <w:tcPr>
            <w:tcW w:w="1701" w:type="dxa"/>
            <w:vAlign w:val="center"/>
          </w:tcPr>
          <w:p w14:paraId="224F53CC" w14:textId="77777777" w:rsidR="00454A29" w:rsidRDefault="00454A29">
            <w:pPr>
              <w:pStyle w:val="ConsPlusNormal"/>
              <w:jc w:val="center"/>
            </w:pPr>
            <w:r>
              <w:t>0,00</w:t>
            </w:r>
          </w:p>
        </w:tc>
        <w:tc>
          <w:tcPr>
            <w:tcW w:w="1701" w:type="dxa"/>
            <w:vAlign w:val="center"/>
          </w:tcPr>
          <w:p w14:paraId="584E756D" w14:textId="77777777" w:rsidR="00454A29" w:rsidRDefault="00454A29">
            <w:pPr>
              <w:pStyle w:val="ConsPlusNormal"/>
              <w:jc w:val="center"/>
            </w:pPr>
            <w:r>
              <w:t>0,00</w:t>
            </w:r>
          </w:p>
        </w:tc>
      </w:tr>
      <w:tr w:rsidR="00454A29" w14:paraId="4EC3293A" w14:textId="77777777">
        <w:tc>
          <w:tcPr>
            <w:tcW w:w="964" w:type="dxa"/>
            <w:vMerge/>
          </w:tcPr>
          <w:p w14:paraId="57F15BBF" w14:textId="77777777" w:rsidR="00454A29" w:rsidRDefault="00454A29"/>
        </w:tc>
        <w:tc>
          <w:tcPr>
            <w:tcW w:w="2154" w:type="dxa"/>
            <w:vMerge/>
            <w:tcBorders>
              <w:bottom w:val="nil"/>
            </w:tcBorders>
          </w:tcPr>
          <w:p w14:paraId="61598274" w14:textId="77777777" w:rsidR="00454A29" w:rsidRDefault="00454A29"/>
        </w:tc>
        <w:tc>
          <w:tcPr>
            <w:tcW w:w="2154" w:type="dxa"/>
            <w:vMerge/>
            <w:tcBorders>
              <w:bottom w:val="nil"/>
            </w:tcBorders>
          </w:tcPr>
          <w:p w14:paraId="41EE94B3" w14:textId="77777777" w:rsidR="00454A29" w:rsidRDefault="00454A29"/>
        </w:tc>
        <w:tc>
          <w:tcPr>
            <w:tcW w:w="10943" w:type="dxa"/>
            <w:gridSpan w:val="5"/>
            <w:vMerge/>
          </w:tcPr>
          <w:p w14:paraId="78CB7AD4" w14:textId="77777777" w:rsidR="00454A29" w:rsidRDefault="00454A29"/>
        </w:tc>
        <w:tc>
          <w:tcPr>
            <w:tcW w:w="2098" w:type="dxa"/>
            <w:vAlign w:val="center"/>
          </w:tcPr>
          <w:p w14:paraId="3134151F" w14:textId="77777777" w:rsidR="00454A29" w:rsidRDefault="00454A29">
            <w:pPr>
              <w:pStyle w:val="ConsPlusNormal"/>
              <w:jc w:val="center"/>
            </w:pPr>
            <w:r>
              <w:t>Внебюджетные средства</w:t>
            </w:r>
          </w:p>
        </w:tc>
        <w:tc>
          <w:tcPr>
            <w:tcW w:w="1814" w:type="dxa"/>
            <w:vAlign w:val="center"/>
          </w:tcPr>
          <w:p w14:paraId="361B14B6" w14:textId="77777777" w:rsidR="00454A29" w:rsidRDefault="00454A29">
            <w:pPr>
              <w:pStyle w:val="ConsPlusNormal"/>
              <w:jc w:val="center"/>
            </w:pPr>
            <w:r>
              <w:t>0,00</w:t>
            </w:r>
          </w:p>
        </w:tc>
        <w:tc>
          <w:tcPr>
            <w:tcW w:w="1701" w:type="dxa"/>
            <w:vAlign w:val="center"/>
          </w:tcPr>
          <w:p w14:paraId="47F66AC6" w14:textId="77777777" w:rsidR="00454A29" w:rsidRDefault="00454A29">
            <w:pPr>
              <w:pStyle w:val="ConsPlusNormal"/>
              <w:jc w:val="center"/>
            </w:pPr>
            <w:r>
              <w:t>0,00</w:t>
            </w:r>
          </w:p>
        </w:tc>
        <w:tc>
          <w:tcPr>
            <w:tcW w:w="1701" w:type="dxa"/>
            <w:vAlign w:val="center"/>
          </w:tcPr>
          <w:p w14:paraId="536B13E8" w14:textId="77777777" w:rsidR="00454A29" w:rsidRDefault="00454A29">
            <w:pPr>
              <w:pStyle w:val="ConsPlusNormal"/>
              <w:jc w:val="center"/>
            </w:pPr>
            <w:r>
              <w:t>0,00</w:t>
            </w:r>
          </w:p>
        </w:tc>
        <w:tc>
          <w:tcPr>
            <w:tcW w:w="1701" w:type="dxa"/>
            <w:vAlign w:val="center"/>
          </w:tcPr>
          <w:p w14:paraId="4DE78D49" w14:textId="77777777" w:rsidR="00454A29" w:rsidRDefault="00454A29">
            <w:pPr>
              <w:pStyle w:val="ConsPlusNormal"/>
              <w:jc w:val="center"/>
            </w:pPr>
            <w:r>
              <w:t>0,00</w:t>
            </w:r>
          </w:p>
        </w:tc>
        <w:tc>
          <w:tcPr>
            <w:tcW w:w="1701" w:type="dxa"/>
            <w:vAlign w:val="center"/>
          </w:tcPr>
          <w:p w14:paraId="472419D6" w14:textId="77777777" w:rsidR="00454A29" w:rsidRDefault="00454A29">
            <w:pPr>
              <w:pStyle w:val="ConsPlusNormal"/>
              <w:jc w:val="center"/>
            </w:pPr>
            <w:r>
              <w:t>0,00</w:t>
            </w:r>
          </w:p>
        </w:tc>
        <w:tc>
          <w:tcPr>
            <w:tcW w:w="1701" w:type="dxa"/>
            <w:vAlign w:val="center"/>
          </w:tcPr>
          <w:p w14:paraId="4F000B4C" w14:textId="77777777" w:rsidR="00454A29" w:rsidRDefault="00454A29">
            <w:pPr>
              <w:pStyle w:val="ConsPlusNormal"/>
              <w:jc w:val="center"/>
            </w:pPr>
            <w:r>
              <w:t>0,00</w:t>
            </w:r>
          </w:p>
        </w:tc>
        <w:tc>
          <w:tcPr>
            <w:tcW w:w="1701" w:type="dxa"/>
            <w:vAlign w:val="center"/>
          </w:tcPr>
          <w:p w14:paraId="4FBE334E" w14:textId="77777777" w:rsidR="00454A29" w:rsidRDefault="00454A29">
            <w:pPr>
              <w:pStyle w:val="ConsPlusNormal"/>
              <w:jc w:val="center"/>
            </w:pPr>
            <w:r>
              <w:t>0,00</w:t>
            </w:r>
          </w:p>
        </w:tc>
      </w:tr>
      <w:tr w:rsidR="00454A29" w14:paraId="15F99CC9" w14:textId="77777777">
        <w:tc>
          <w:tcPr>
            <w:tcW w:w="964" w:type="dxa"/>
            <w:vMerge w:val="restart"/>
            <w:vAlign w:val="center"/>
          </w:tcPr>
          <w:p w14:paraId="30117382" w14:textId="77777777" w:rsidR="00454A29" w:rsidRDefault="00454A29">
            <w:pPr>
              <w:pStyle w:val="ConsPlusNormal"/>
              <w:jc w:val="center"/>
            </w:pPr>
            <w:r>
              <w:t>9.1.</w:t>
            </w:r>
          </w:p>
        </w:tc>
        <w:tc>
          <w:tcPr>
            <w:tcW w:w="2154" w:type="dxa"/>
            <w:vMerge w:val="restart"/>
            <w:tcBorders>
              <w:top w:val="nil"/>
              <w:bottom w:val="nil"/>
            </w:tcBorders>
            <w:vAlign w:val="center"/>
          </w:tcPr>
          <w:p w14:paraId="2889091C" w14:textId="77777777" w:rsidR="00454A29" w:rsidRDefault="00454A29">
            <w:pPr>
              <w:pStyle w:val="ConsPlusNormal"/>
            </w:pPr>
          </w:p>
        </w:tc>
        <w:tc>
          <w:tcPr>
            <w:tcW w:w="2154" w:type="dxa"/>
            <w:vMerge w:val="restart"/>
            <w:tcBorders>
              <w:top w:val="nil"/>
              <w:bottom w:val="nil"/>
            </w:tcBorders>
            <w:vAlign w:val="center"/>
          </w:tcPr>
          <w:p w14:paraId="2C2F4A92" w14:textId="77777777" w:rsidR="00454A29" w:rsidRDefault="00454A29">
            <w:pPr>
              <w:pStyle w:val="ConsPlusNormal"/>
            </w:pPr>
          </w:p>
        </w:tc>
        <w:tc>
          <w:tcPr>
            <w:tcW w:w="2665" w:type="dxa"/>
            <w:vMerge w:val="restart"/>
            <w:vAlign w:val="center"/>
          </w:tcPr>
          <w:p w14:paraId="2D4C7CE3" w14:textId="77777777" w:rsidR="00454A29" w:rsidRDefault="00454A29">
            <w:pPr>
              <w:pStyle w:val="ConsPlusNormal"/>
              <w:jc w:val="center"/>
            </w:pPr>
            <w:r>
              <w:t>Результат 1. Подготовлены не менее 50,5 тыс. чел.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среднего профессионального образования, дополнительного профессионального образования</w:t>
            </w:r>
          </w:p>
        </w:tc>
        <w:tc>
          <w:tcPr>
            <w:tcW w:w="2665" w:type="dxa"/>
            <w:vMerge w:val="restart"/>
            <w:vAlign w:val="center"/>
          </w:tcPr>
          <w:p w14:paraId="6A5FCCA1" w14:textId="77777777" w:rsidR="00454A29" w:rsidRDefault="00454A29">
            <w:pPr>
              <w:pStyle w:val="ConsPlusNormal"/>
              <w:jc w:val="center"/>
            </w:pPr>
            <w:r>
              <w:t>Мероприятие 3.10.1. Подготовка научно-педагогических работников и работников организаций-работодателей к реализации современных программ непрерывного образования</w:t>
            </w:r>
          </w:p>
        </w:tc>
        <w:tc>
          <w:tcPr>
            <w:tcW w:w="1928" w:type="dxa"/>
            <w:vMerge w:val="restart"/>
            <w:vAlign w:val="center"/>
          </w:tcPr>
          <w:p w14:paraId="783A3738" w14:textId="77777777" w:rsidR="00454A29" w:rsidRDefault="00454A29">
            <w:pPr>
              <w:pStyle w:val="ConsPlusNormal"/>
              <w:jc w:val="center"/>
            </w:pPr>
            <w:r>
              <w:t>-</w:t>
            </w:r>
          </w:p>
        </w:tc>
        <w:tc>
          <w:tcPr>
            <w:tcW w:w="1644" w:type="dxa"/>
            <w:vMerge w:val="restart"/>
            <w:vAlign w:val="center"/>
          </w:tcPr>
          <w:p w14:paraId="6C654D69" w14:textId="77777777" w:rsidR="00454A29" w:rsidRDefault="00454A29">
            <w:pPr>
              <w:pStyle w:val="ConsPlusNormal"/>
              <w:jc w:val="center"/>
            </w:pPr>
            <w:r>
              <w:t>-</w:t>
            </w:r>
          </w:p>
        </w:tc>
        <w:tc>
          <w:tcPr>
            <w:tcW w:w="2041" w:type="dxa"/>
            <w:vMerge w:val="restart"/>
            <w:vAlign w:val="center"/>
          </w:tcPr>
          <w:p w14:paraId="0557AEE8" w14:textId="77777777" w:rsidR="00454A29" w:rsidRDefault="00454A29">
            <w:pPr>
              <w:pStyle w:val="ConsPlusNormal"/>
              <w:jc w:val="center"/>
            </w:pPr>
            <w:r>
              <w:t>-</w:t>
            </w:r>
          </w:p>
        </w:tc>
        <w:tc>
          <w:tcPr>
            <w:tcW w:w="2098" w:type="dxa"/>
            <w:vAlign w:val="center"/>
          </w:tcPr>
          <w:p w14:paraId="0FDDB434" w14:textId="77777777" w:rsidR="00454A29" w:rsidRDefault="00454A29">
            <w:pPr>
              <w:pStyle w:val="ConsPlusNormal"/>
              <w:jc w:val="center"/>
            </w:pPr>
            <w:r>
              <w:t>Итого</w:t>
            </w:r>
          </w:p>
        </w:tc>
        <w:tc>
          <w:tcPr>
            <w:tcW w:w="1814" w:type="dxa"/>
            <w:vAlign w:val="center"/>
          </w:tcPr>
          <w:p w14:paraId="4756F207" w14:textId="77777777" w:rsidR="00454A29" w:rsidRDefault="00454A29">
            <w:pPr>
              <w:pStyle w:val="ConsPlusNormal"/>
              <w:jc w:val="center"/>
            </w:pPr>
            <w:r>
              <w:t>0,00</w:t>
            </w:r>
          </w:p>
        </w:tc>
        <w:tc>
          <w:tcPr>
            <w:tcW w:w="1701" w:type="dxa"/>
            <w:vAlign w:val="center"/>
          </w:tcPr>
          <w:p w14:paraId="6D8FC6CA" w14:textId="77777777" w:rsidR="00454A29" w:rsidRDefault="00454A29">
            <w:pPr>
              <w:pStyle w:val="ConsPlusNormal"/>
              <w:jc w:val="center"/>
            </w:pPr>
            <w:r>
              <w:t>0,00</w:t>
            </w:r>
          </w:p>
        </w:tc>
        <w:tc>
          <w:tcPr>
            <w:tcW w:w="1701" w:type="dxa"/>
            <w:vAlign w:val="center"/>
          </w:tcPr>
          <w:p w14:paraId="3FCA21D4" w14:textId="77777777" w:rsidR="00454A29" w:rsidRDefault="00454A29">
            <w:pPr>
              <w:pStyle w:val="ConsPlusNormal"/>
              <w:jc w:val="center"/>
            </w:pPr>
            <w:r>
              <w:t>0,00</w:t>
            </w:r>
          </w:p>
        </w:tc>
        <w:tc>
          <w:tcPr>
            <w:tcW w:w="1701" w:type="dxa"/>
            <w:vAlign w:val="center"/>
          </w:tcPr>
          <w:p w14:paraId="488091F7" w14:textId="77777777" w:rsidR="00454A29" w:rsidRDefault="00454A29">
            <w:pPr>
              <w:pStyle w:val="ConsPlusNormal"/>
              <w:jc w:val="center"/>
            </w:pPr>
            <w:r>
              <w:t>0,00</w:t>
            </w:r>
          </w:p>
        </w:tc>
        <w:tc>
          <w:tcPr>
            <w:tcW w:w="1701" w:type="dxa"/>
            <w:vAlign w:val="center"/>
          </w:tcPr>
          <w:p w14:paraId="076C834E" w14:textId="77777777" w:rsidR="00454A29" w:rsidRDefault="00454A29">
            <w:pPr>
              <w:pStyle w:val="ConsPlusNormal"/>
              <w:jc w:val="center"/>
            </w:pPr>
            <w:r>
              <w:t>0,00</w:t>
            </w:r>
          </w:p>
        </w:tc>
        <w:tc>
          <w:tcPr>
            <w:tcW w:w="1701" w:type="dxa"/>
            <w:vAlign w:val="center"/>
          </w:tcPr>
          <w:p w14:paraId="68F60141" w14:textId="77777777" w:rsidR="00454A29" w:rsidRDefault="00454A29">
            <w:pPr>
              <w:pStyle w:val="ConsPlusNormal"/>
              <w:jc w:val="center"/>
            </w:pPr>
            <w:r>
              <w:t>0,00</w:t>
            </w:r>
          </w:p>
        </w:tc>
        <w:tc>
          <w:tcPr>
            <w:tcW w:w="1701" w:type="dxa"/>
            <w:vAlign w:val="center"/>
          </w:tcPr>
          <w:p w14:paraId="409B041D" w14:textId="77777777" w:rsidR="00454A29" w:rsidRDefault="00454A29">
            <w:pPr>
              <w:pStyle w:val="ConsPlusNormal"/>
              <w:jc w:val="center"/>
            </w:pPr>
            <w:r>
              <w:t>0,00</w:t>
            </w:r>
          </w:p>
        </w:tc>
      </w:tr>
      <w:tr w:rsidR="00454A29" w14:paraId="494E954E" w14:textId="77777777">
        <w:tc>
          <w:tcPr>
            <w:tcW w:w="964" w:type="dxa"/>
            <w:vMerge/>
          </w:tcPr>
          <w:p w14:paraId="2400931A" w14:textId="77777777" w:rsidR="00454A29" w:rsidRDefault="00454A29"/>
        </w:tc>
        <w:tc>
          <w:tcPr>
            <w:tcW w:w="2154" w:type="dxa"/>
            <w:vMerge/>
            <w:tcBorders>
              <w:top w:val="nil"/>
              <w:bottom w:val="nil"/>
            </w:tcBorders>
          </w:tcPr>
          <w:p w14:paraId="45181C3E" w14:textId="77777777" w:rsidR="00454A29" w:rsidRDefault="00454A29"/>
        </w:tc>
        <w:tc>
          <w:tcPr>
            <w:tcW w:w="2154" w:type="dxa"/>
            <w:vMerge/>
            <w:tcBorders>
              <w:top w:val="nil"/>
              <w:bottom w:val="nil"/>
            </w:tcBorders>
          </w:tcPr>
          <w:p w14:paraId="49006185" w14:textId="77777777" w:rsidR="00454A29" w:rsidRDefault="00454A29"/>
        </w:tc>
        <w:tc>
          <w:tcPr>
            <w:tcW w:w="2665" w:type="dxa"/>
            <w:vMerge/>
          </w:tcPr>
          <w:p w14:paraId="2EAA13D8" w14:textId="77777777" w:rsidR="00454A29" w:rsidRDefault="00454A29"/>
        </w:tc>
        <w:tc>
          <w:tcPr>
            <w:tcW w:w="2665" w:type="dxa"/>
            <w:vMerge/>
          </w:tcPr>
          <w:p w14:paraId="4DC807DB" w14:textId="77777777" w:rsidR="00454A29" w:rsidRDefault="00454A29"/>
        </w:tc>
        <w:tc>
          <w:tcPr>
            <w:tcW w:w="1928" w:type="dxa"/>
            <w:vMerge/>
          </w:tcPr>
          <w:p w14:paraId="0DE233DA" w14:textId="77777777" w:rsidR="00454A29" w:rsidRDefault="00454A29"/>
        </w:tc>
        <w:tc>
          <w:tcPr>
            <w:tcW w:w="1644" w:type="dxa"/>
            <w:vMerge/>
          </w:tcPr>
          <w:p w14:paraId="39EBFD20" w14:textId="77777777" w:rsidR="00454A29" w:rsidRDefault="00454A29"/>
        </w:tc>
        <w:tc>
          <w:tcPr>
            <w:tcW w:w="2041" w:type="dxa"/>
            <w:vMerge/>
          </w:tcPr>
          <w:p w14:paraId="2D5A80AE" w14:textId="77777777" w:rsidR="00454A29" w:rsidRDefault="00454A29"/>
        </w:tc>
        <w:tc>
          <w:tcPr>
            <w:tcW w:w="2098" w:type="dxa"/>
            <w:vAlign w:val="center"/>
          </w:tcPr>
          <w:p w14:paraId="040754B4"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849276D" w14:textId="77777777" w:rsidR="00454A29" w:rsidRDefault="00454A29">
            <w:pPr>
              <w:pStyle w:val="ConsPlusNormal"/>
              <w:jc w:val="center"/>
            </w:pPr>
            <w:r>
              <w:t>0,00</w:t>
            </w:r>
          </w:p>
        </w:tc>
        <w:tc>
          <w:tcPr>
            <w:tcW w:w="1701" w:type="dxa"/>
            <w:vAlign w:val="center"/>
          </w:tcPr>
          <w:p w14:paraId="197A569E" w14:textId="77777777" w:rsidR="00454A29" w:rsidRDefault="00454A29">
            <w:pPr>
              <w:pStyle w:val="ConsPlusNormal"/>
              <w:jc w:val="center"/>
            </w:pPr>
            <w:r>
              <w:t>0,00</w:t>
            </w:r>
          </w:p>
        </w:tc>
        <w:tc>
          <w:tcPr>
            <w:tcW w:w="1701" w:type="dxa"/>
            <w:vAlign w:val="center"/>
          </w:tcPr>
          <w:p w14:paraId="0559B2F5" w14:textId="77777777" w:rsidR="00454A29" w:rsidRDefault="00454A29">
            <w:pPr>
              <w:pStyle w:val="ConsPlusNormal"/>
              <w:jc w:val="center"/>
            </w:pPr>
            <w:r>
              <w:t>0,00</w:t>
            </w:r>
          </w:p>
        </w:tc>
        <w:tc>
          <w:tcPr>
            <w:tcW w:w="1701" w:type="dxa"/>
            <w:vAlign w:val="center"/>
          </w:tcPr>
          <w:p w14:paraId="5D332663" w14:textId="77777777" w:rsidR="00454A29" w:rsidRDefault="00454A29">
            <w:pPr>
              <w:pStyle w:val="ConsPlusNormal"/>
              <w:jc w:val="center"/>
            </w:pPr>
            <w:r>
              <w:t>0,00</w:t>
            </w:r>
          </w:p>
        </w:tc>
        <w:tc>
          <w:tcPr>
            <w:tcW w:w="1701" w:type="dxa"/>
            <w:vAlign w:val="center"/>
          </w:tcPr>
          <w:p w14:paraId="0E548573" w14:textId="77777777" w:rsidR="00454A29" w:rsidRDefault="00454A29">
            <w:pPr>
              <w:pStyle w:val="ConsPlusNormal"/>
              <w:jc w:val="center"/>
            </w:pPr>
            <w:r>
              <w:t>0,00</w:t>
            </w:r>
          </w:p>
        </w:tc>
        <w:tc>
          <w:tcPr>
            <w:tcW w:w="1701" w:type="dxa"/>
            <w:vAlign w:val="center"/>
          </w:tcPr>
          <w:p w14:paraId="5B904C51" w14:textId="77777777" w:rsidR="00454A29" w:rsidRDefault="00454A29">
            <w:pPr>
              <w:pStyle w:val="ConsPlusNormal"/>
              <w:jc w:val="center"/>
            </w:pPr>
            <w:r>
              <w:t>0,00</w:t>
            </w:r>
          </w:p>
        </w:tc>
        <w:tc>
          <w:tcPr>
            <w:tcW w:w="1701" w:type="dxa"/>
            <w:vAlign w:val="center"/>
          </w:tcPr>
          <w:p w14:paraId="49CC9A77" w14:textId="77777777" w:rsidR="00454A29" w:rsidRDefault="00454A29">
            <w:pPr>
              <w:pStyle w:val="ConsPlusNormal"/>
              <w:jc w:val="center"/>
            </w:pPr>
            <w:r>
              <w:t>0,00</w:t>
            </w:r>
          </w:p>
        </w:tc>
      </w:tr>
      <w:tr w:rsidR="00454A29" w14:paraId="791321AA" w14:textId="77777777">
        <w:tc>
          <w:tcPr>
            <w:tcW w:w="964" w:type="dxa"/>
            <w:vMerge/>
          </w:tcPr>
          <w:p w14:paraId="66C2B583" w14:textId="77777777" w:rsidR="00454A29" w:rsidRDefault="00454A29"/>
        </w:tc>
        <w:tc>
          <w:tcPr>
            <w:tcW w:w="2154" w:type="dxa"/>
            <w:vMerge/>
            <w:tcBorders>
              <w:top w:val="nil"/>
              <w:bottom w:val="nil"/>
            </w:tcBorders>
          </w:tcPr>
          <w:p w14:paraId="56BA5D2C" w14:textId="77777777" w:rsidR="00454A29" w:rsidRDefault="00454A29"/>
        </w:tc>
        <w:tc>
          <w:tcPr>
            <w:tcW w:w="2154" w:type="dxa"/>
            <w:vMerge/>
            <w:tcBorders>
              <w:top w:val="nil"/>
              <w:bottom w:val="nil"/>
            </w:tcBorders>
          </w:tcPr>
          <w:p w14:paraId="4695411E" w14:textId="77777777" w:rsidR="00454A29" w:rsidRDefault="00454A29"/>
        </w:tc>
        <w:tc>
          <w:tcPr>
            <w:tcW w:w="2665" w:type="dxa"/>
            <w:vMerge/>
          </w:tcPr>
          <w:p w14:paraId="66EFF775" w14:textId="77777777" w:rsidR="00454A29" w:rsidRDefault="00454A29"/>
        </w:tc>
        <w:tc>
          <w:tcPr>
            <w:tcW w:w="2665" w:type="dxa"/>
            <w:vMerge/>
          </w:tcPr>
          <w:p w14:paraId="1EF5425C" w14:textId="77777777" w:rsidR="00454A29" w:rsidRDefault="00454A29"/>
        </w:tc>
        <w:tc>
          <w:tcPr>
            <w:tcW w:w="1928" w:type="dxa"/>
            <w:vMerge/>
          </w:tcPr>
          <w:p w14:paraId="41FF8AC1" w14:textId="77777777" w:rsidR="00454A29" w:rsidRDefault="00454A29"/>
        </w:tc>
        <w:tc>
          <w:tcPr>
            <w:tcW w:w="1644" w:type="dxa"/>
            <w:vMerge/>
          </w:tcPr>
          <w:p w14:paraId="037AE4F6" w14:textId="77777777" w:rsidR="00454A29" w:rsidRDefault="00454A29"/>
        </w:tc>
        <w:tc>
          <w:tcPr>
            <w:tcW w:w="2041" w:type="dxa"/>
            <w:vMerge/>
          </w:tcPr>
          <w:p w14:paraId="1CAE527D" w14:textId="77777777" w:rsidR="00454A29" w:rsidRDefault="00454A29"/>
        </w:tc>
        <w:tc>
          <w:tcPr>
            <w:tcW w:w="2098" w:type="dxa"/>
            <w:vAlign w:val="center"/>
          </w:tcPr>
          <w:p w14:paraId="669F43D3" w14:textId="77777777" w:rsidR="00454A29" w:rsidRDefault="00454A29">
            <w:pPr>
              <w:pStyle w:val="ConsPlusNormal"/>
              <w:jc w:val="center"/>
            </w:pPr>
            <w:r>
              <w:t>Федеральный бюджет</w:t>
            </w:r>
          </w:p>
        </w:tc>
        <w:tc>
          <w:tcPr>
            <w:tcW w:w="1814" w:type="dxa"/>
            <w:vAlign w:val="center"/>
          </w:tcPr>
          <w:p w14:paraId="06F9DB42" w14:textId="77777777" w:rsidR="00454A29" w:rsidRDefault="00454A29">
            <w:pPr>
              <w:pStyle w:val="ConsPlusNormal"/>
              <w:jc w:val="center"/>
            </w:pPr>
            <w:r>
              <w:t>0,00</w:t>
            </w:r>
          </w:p>
        </w:tc>
        <w:tc>
          <w:tcPr>
            <w:tcW w:w="1701" w:type="dxa"/>
            <w:vAlign w:val="center"/>
          </w:tcPr>
          <w:p w14:paraId="3A5D3224" w14:textId="77777777" w:rsidR="00454A29" w:rsidRDefault="00454A29">
            <w:pPr>
              <w:pStyle w:val="ConsPlusNormal"/>
              <w:jc w:val="center"/>
            </w:pPr>
            <w:r>
              <w:t>0,00</w:t>
            </w:r>
          </w:p>
        </w:tc>
        <w:tc>
          <w:tcPr>
            <w:tcW w:w="1701" w:type="dxa"/>
            <w:vAlign w:val="center"/>
          </w:tcPr>
          <w:p w14:paraId="24596DA4" w14:textId="77777777" w:rsidR="00454A29" w:rsidRDefault="00454A29">
            <w:pPr>
              <w:pStyle w:val="ConsPlusNormal"/>
              <w:jc w:val="center"/>
            </w:pPr>
            <w:r>
              <w:t>0,00</w:t>
            </w:r>
          </w:p>
        </w:tc>
        <w:tc>
          <w:tcPr>
            <w:tcW w:w="1701" w:type="dxa"/>
            <w:vAlign w:val="center"/>
          </w:tcPr>
          <w:p w14:paraId="15CFE8E6" w14:textId="77777777" w:rsidR="00454A29" w:rsidRDefault="00454A29">
            <w:pPr>
              <w:pStyle w:val="ConsPlusNormal"/>
              <w:jc w:val="center"/>
            </w:pPr>
            <w:r>
              <w:t>0,00</w:t>
            </w:r>
          </w:p>
        </w:tc>
        <w:tc>
          <w:tcPr>
            <w:tcW w:w="1701" w:type="dxa"/>
            <w:vAlign w:val="center"/>
          </w:tcPr>
          <w:p w14:paraId="64267B7F" w14:textId="77777777" w:rsidR="00454A29" w:rsidRDefault="00454A29">
            <w:pPr>
              <w:pStyle w:val="ConsPlusNormal"/>
              <w:jc w:val="center"/>
            </w:pPr>
            <w:r>
              <w:t>0,00</w:t>
            </w:r>
          </w:p>
        </w:tc>
        <w:tc>
          <w:tcPr>
            <w:tcW w:w="1701" w:type="dxa"/>
            <w:vAlign w:val="center"/>
          </w:tcPr>
          <w:p w14:paraId="335C9CF7" w14:textId="77777777" w:rsidR="00454A29" w:rsidRDefault="00454A29">
            <w:pPr>
              <w:pStyle w:val="ConsPlusNormal"/>
              <w:jc w:val="center"/>
            </w:pPr>
            <w:r>
              <w:t>0,00</w:t>
            </w:r>
          </w:p>
        </w:tc>
        <w:tc>
          <w:tcPr>
            <w:tcW w:w="1701" w:type="dxa"/>
            <w:vAlign w:val="center"/>
          </w:tcPr>
          <w:p w14:paraId="02FE83CE" w14:textId="77777777" w:rsidR="00454A29" w:rsidRDefault="00454A29">
            <w:pPr>
              <w:pStyle w:val="ConsPlusNormal"/>
              <w:jc w:val="center"/>
            </w:pPr>
            <w:r>
              <w:t>0,00</w:t>
            </w:r>
          </w:p>
        </w:tc>
      </w:tr>
      <w:tr w:rsidR="00454A29" w14:paraId="6D72C974" w14:textId="77777777">
        <w:tc>
          <w:tcPr>
            <w:tcW w:w="964" w:type="dxa"/>
            <w:vMerge/>
          </w:tcPr>
          <w:p w14:paraId="6DFF80ED" w14:textId="77777777" w:rsidR="00454A29" w:rsidRDefault="00454A29"/>
        </w:tc>
        <w:tc>
          <w:tcPr>
            <w:tcW w:w="2154" w:type="dxa"/>
            <w:vMerge/>
            <w:tcBorders>
              <w:top w:val="nil"/>
              <w:bottom w:val="nil"/>
            </w:tcBorders>
          </w:tcPr>
          <w:p w14:paraId="7E01F2EA" w14:textId="77777777" w:rsidR="00454A29" w:rsidRDefault="00454A29"/>
        </w:tc>
        <w:tc>
          <w:tcPr>
            <w:tcW w:w="2154" w:type="dxa"/>
            <w:vMerge/>
            <w:tcBorders>
              <w:top w:val="nil"/>
              <w:bottom w:val="nil"/>
            </w:tcBorders>
          </w:tcPr>
          <w:p w14:paraId="2BD0EDB9" w14:textId="77777777" w:rsidR="00454A29" w:rsidRDefault="00454A29"/>
        </w:tc>
        <w:tc>
          <w:tcPr>
            <w:tcW w:w="2665" w:type="dxa"/>
            <w:vMerge/>
          </w:tcPr>
          <w:p w14:paraId="093CAFA5" w14:textId="77777777" w:rsidR="00454A29" w:rsidRDefault="00454A29"/>
        </w:tc>
        <w:tc>
          <w:tcPr>
            <w:tcW w:w="2665" w:type="dxa"/>
            <w:vMerge/>
          </w:tcPr>
          <w:p w14:paraId="782B13D2" w14:textId="77777777" w:rsidR="00454A29" w:rsidRDefault="00454A29"/>
        </w:tc>
        <w:tc>
          <w:tcPr>
            <w:tcW w:w="1928" w:type="dxa"/>
            <w:vMerge/>
          </w:tcPr>
          <w:p w14:paraId="27A4590D" w14:textId="77777777" w:rsidR="00454A29" w:rsidRDefault="00454A29"/>
        </w:tc>
        <w:tc>
          <w:tcPr>
            <w:tcW w:w="1644" w:type="dxa"/>
            <w:vMerge/>
          </w:tcPr>
          <w:p w14:paraId="66F901A4" w14:textId="77777777" w:rsidR="00454A29" w:rsidRDefault="00454A29"/>
        </w:tc>
        <w:tc>
          <w:tcPr>
            <w:tcW w:w="2041" w:type="dxa"/>
            <w:vMerge/>
          </w:tcPr>
          <w:p w14:paraId="79C0DA13" w14:textId="77777777" w:rsidR="00454A29" w:rsidRDefault="00454A29"/>
        </w:tc>
        <w:tc>
          <w:tcPr>
            <w:tcW w:w="2098" w:type="dxa"/>
            <w:vAlign w:val="center"/>
          </w:tcPr>
          <w:p w14:paraId="767B0183" w14:textId="77777777" w:rsidR="00454A29" w:rsidRDefault="00454A29">
            <w:pPr>
              <w:pStyle w:val="ConsPlusNormal"/>
              <w:jc w:val="center"/>
            </w:pPr>
            <w:r>
              <w:t>Местные бюджеты</w:t>
            </w:r>
          </w:p>
        </w:tc>
        <w:tc>
          <w:tcPr>
            <w:tcW w:w="1814" w:type="dxa"/>
            <w:vAlign w:val="center"/>
          </w:tcPr>
          <w:p w14:paraId="67F5ED1B" w14:textId="77777777" w:rsidR="00454A29" w:rsidRDefault="00454A29">
            <w:pPr>
              <w:pStyle w:val="ConsPlusNormal"/>
              <w:jc w:val="center"/>
            </w:pPr>
            <w:r>
              <w:t>0,00</w:t>
            </w:r>
          </w:p>
        </w:tc>
        <w:tc>
          <w:tcPr>
            <w:tcW w:w="1701" w:type="dxa"/>
            <w:vAlign w:val="center"/>
          </w:tcPr>
          <w:p w14:paraId="60962203" w14:textId="77777777" w:rsidR="00454A29" w:rsidRDefault="00454A29">
            <w:pPr>
              <w:pStyle w:val="ConsPlusNormal"/>
              <w:jc w:val="center"/>
            </w:pPr>
            <w:r>
              <w:t>0,00</w:t>
            </w:r>
          </w:p>
        </w:tc>
        <w:tc>
          <w:tcPr>
            <w:tcW w:w="1701" w:type="dxa"/>
            <w:vAlign w:val="center"/>
          </w:tcPr>
          <w:p w14:paraId="7AA3BAEE" w14:textId="77777777" w:rsidR="00454A29" w:rsidRDefault="00454A29">
            <w:pPr>
              <w:pStyle w:val="ConsPlusNormal"/>
              <w:jc w:val="center"/>
            </w:pPr>
            <w:r>
              <w:t>0,00</w:t>
            </w:r>
          </w:p>
        </w:tc>
        <w:tc>
          <w:tcPr>
            <w:tcW w:w="1701" w:type="dxa"/>
            <w:vAlign w:val="center"/>
          </w:tcPr>
          <w:p w14:paraId="7647479A" w14:textId="77777777" w:rsidR="00454A29" w:rsidRDefault="00454A29">
            <w:pPr>
              <w:pStyle w:val="ConsPlusNormal"/>
              <w:jc w:val="center"/>
            </w:pPr>
            <w:r>
              <w:t>0,00</w:t>
            </w:r>
          </w:p>
        </w:tc>
        <w:tc>
          <w:tcPr>
            <w:tcW w:w="1701" w:type="dxa"/>
            <w:vAlign w:val="center"/>
          </w:tcPr>
          <w:p w14:paraId="2792C4A0" w14:textId="77777777" w:rsidR="00454A29" w:rsidRDefault="00454A29">
            <w:pPr>
              <w:pStyle w:val="ConsPlusNormal"/>
              <w:jc w:val="center"/>
            </w:pPr>
            <w:r>
              <w:t>0,00</w:t>
            </w:r>
          </w:p>
        </w:tc>
        <w:tc>
          <w:tcPr>
            <w:tcW w:w="1701" w:type="dxa"/>
            <w:vAlign w:val="center"/>
          </w:tcPr>
          <w:p w14:paraId="448DF455" w14:textId="77777777" w:rsidR="00454A29" w:rsidRDefault="00454A29">
            <w:pPr>
              <w:pStyle w:val="ConsPlusNormal"/>
              <w:jc w:val="center"/>
            </w:pPr>
            <w:r>
              <w:t>0,00</w:t>
            </w:r>
          </w:p>
        </w:tc>
        <w:tc>
          <w:tcPr>
            <w:tcW w:w="1701" w:type="dxa"/>
            <w:vAlign w:val="center"/>
          </w:tcPr>
          <w:p w14:paraId="14E3424A" w14:textId="77777777" w:rsidR="00454A29" w:rsidRDefault="00454A29">
            <w:pPr>
              <w:pStyle w:val="ConsPlusNormal"/>
              <w:jc w:val="center"/>
            </w:pPr>
            <w:r>
              <w:t>0,00</w:t>
            </w:r>
          </w:p>
        </w:tc>
      </w:tr>
      <w:tr w:rsidR="00454A29" w14:paraId="1226E92E" w14:textId="77777777">
        <w:tc>
          <w:tcPr>
            <w:tcW w:w="964" w:type="dxa"/>
            <w:vMerge/>
          </w:tcPr>
          <w:p w14:paraId="67A7464C" w14:textId="77777777" w:rsidR="00454A29" w:rsidRDefault="00454A29"/>
        </w:tc>
        <w:tc>
          <w:tcPr>
            <w:tcW w:w="2154" w:type="dxa"/>
            <w:vMerge/>
            <w:tcBorders>
              <w:top w:val="nil"/>
              <w:bottom w:val="nil"/>
            </w:tcBorders>
          </w:tcPr>
          <w:p w14:paraId="1740C5D3" w14:textId="77777777" w:rsidR="00454A29" w:rsidRDefault="00454A29"/>
        </w:tc>
        <w:tc>
          <w:tcPr>
            <w:tcW w:w="2154" w:type="dxa"/>
            <w:vMerge/>
            <w:tcBorders>
              <w:top w:val="nil"/>
              <w:bottom w:val="nil"/>
            </w:tcBorders>
          </w:tcPr>
          <w:p w14:paraId="2AF1FEEE" w14:textId="77777777" w:rsidR="00454A29" w:rsidRDefault="00454A29"/>
        </w:tc>
        <w:tc>
          <w:tcPr>
            <w:tcW w:w="2665" w:type="dxa"/>
            <w:vMerge/>
          </w:tcPr>
          <w:p w14:paraId="20CDAAAF" w14:textId="77777777" w:rsidR="00454A29" w:rsidRDefault="00454A29"/>
        </w:tc>
        <w:tc>
          <w:tcPr>
            <w:tcW w:w="2665" w:type="dxa"/>
            <w:vMerge/>
          </w:tcPr>
          <w:p w14:paraId="0D19B439" w14:textId="77777777" w:rsidR="00454A29" w:rsidRDefault="00454A29"/>
        </w:tc>
        <w:tc>
          <w:tcPr>
            <w:tcW w:w="1928" w:type="dxa"/>
            <w:vMerge/>
          </w:tcPr>
          <w:p w14:paraId="2E23AE79" w14:textId="77777777" w:rsidR="00454A29" w:rsidRDefault="00454A29"/>
        </w:tc>
        <w:tc>
          <w:tcPr>
            <w:tcW w:w="1644" w:type="dxa"/>
            <w:vMerge/>
          </w:tcPr>
          <w:p w14:paraId="29E9218A" w14:textId="77777777" w:rsidR="00454A29" w:rsidRDefault="00454A29"/>
        </w:tc>
        <w:tc>
          <w:tcPr>
            <w:tcW w:w="2041" w:type="dxa"/>
            <w:vMerge/>
          </w:tcPr>
          <w:p w14:paraId="6FB86CD8" w14:textId="77777777" w:rsidR="00454A29" w:rsidRDefault="00454A29"/>
        </w:tc>
        <w:tc>
          <w:tcPr>
            <w:tcW w:w="2098" w:type="dxa"/>
            <w:vAlign w:val="center"/>
          </w:tcPr>
          <w:p w14:paraId="11347FC6" w14:textId="77777777" w:rsidR="00454A29" w:rsidRDefault="00454A29">
            <w:pPr>
              <w:pStyle w:val="ConsPlusNormal"/>
              <w:jc w:val="center"/>
            </w:pPr>
            <w:r>
              <w:t>Внебюджетные средства</w:t>
            </w:r>
          </w:p>
        </w:tc>
        <w:tc>
          <w:tcPr>
            <w:tcW w:w="1814" w:type="dxa"/>
            <w:vAlign w:val="center"/>
          </w:tcPr>
          <w:p w14:paraId="26169896" w14:textId="77777777" w:rsidR="00454A29" w:rsidRDefault="00454A29">
            <w:pPr>
              <w:pStyle w:val="ConsPlusNormal"/>
              <w:jc w:val="center"/>
            </w:pPr>
            <w:r>
              <w:t>0,00</w:t>
            </w:r>
          </w:p>
        </w:tc>
        <w:tc>
          <w:tcPr>
            <w:tcW w:w="1701" w:type="dxa"/>
            <w:vAlign w:val="center"/>
          </w:tcPr>
          <w:p w14:paraId="4BE87B2C" w14:textId="77777777" w:rsidR="00454A29" w:rsidRDefault="00454A29">
            <w:pPr>
              <w:pStyle w:val="ConsPlusNormal"/>
              <w:jc w:val="center"/>
            </w:pPr>
            <w:r>
              <w:t>0,00</w:t>
            </w:r>
          </w:p>
        </w:tc>
        <w:tc>
          <w:tcPr>
            <w:tcW w:w="1701" w:type="dxa"/>
            <w:vAlign w:val="center"/>
          </w:tcPr>
          <w:p w14:paraId="30CA282B" w14:textId="77777777" w:rsidR="00454A29" w:rsidRDefault="00454A29">
            <w:pPr>
              <w:pStyle w:val="ConsPlusNormal"/>
              <w:jc w:val="center"/>
            </w:pPr>
            <w:r>
              <w:t>0,00</w:t>
            </w:r>
          </w:p>
        </w:tc>
        <w:tc>
          <w:tcPr>
            <w:tcW w:w="1701" w:type="dxa"/>
            <w:vAlign w:val="center"/>
          </w:tcPr>
          <w:p w14:paraId="5673C3A6" w14:textId="77777777" w:rsidR="00454A29" w:rsidRDefault="00454A29">
            <w:pPr>
              <w:pStyle w:val="ConsPlusNormal"/>
              <w:jc w:val="center"/>
            </w:pPr>
            <w:r>
              <w:t>0,00</w:t>
            </w:r>
          </w:p>
        </w:tc>
        <w:tc>
          <w:tcPr>
            <w:tcW w:w="1701" w:type="dxa"/>
            <w:vAlign w:val="center"/>
          </w:tcPr>
          <w:p w14:paraId="3225A2D4" w14:textId="77777777" w:rsidR="00454A29" w:rsidRDefault="00454A29">
            <w:pPr>
              <w:pStyle w:val="ConsPlusNormal"/>
              <w:jc w:val="center"/>
            </w:pPr>
            <w:r>
              <w:t>0,00</w:t>
            </w:r>
          </w:p>
        </w:tc>
        <w:tc>
          <w:tcPr>
            <w:tcW w:w="1701" w:type="dxa"/>
            <w:vAlign w:val="center"/>
          </w:tcPr>
          <w:p w14:paraId="68E46B97" w14:textId="77777777" w:rsidR="00454A29" w:rsidRDefault="00454A29">
            <w:pPr>
              <w:pStyle w:val="ConsPlusNormal"/>
              <w:jc w:val="center"/>
            </w:pPr>
            <w:r>
              <w:t>0,00</w:t>
            </w:r>
          </w:p>
        </w:tc>
        <w:tc>
          <w:tcPr>
            <w:tcW w:w="1701" w:type="dxa"/>
            <w:vAlign w:val="center"/>
          </w:tcPr>
          <w:p w14:paraId="1E007220" w14:textId="77777777" w:rsidR="00454A29" w:rsidRDefault="00454A29">
            <w:pPr>
              <w:pStyle w:val="ConsPlusNormal"/>
              <w:jc w:val="center"/>
            </w:pPr>
            <w:r>
              <w:t>0,00</w:t>
            </w:r>
          </w:p>
        </w:tc>
      </w:tr>
      <w:tr w:rsidR="00454A29" w14:paraId="7DF91E39" w14:textId="77777777">
        <w:tc>
          <w:tcPr>
            <w:tcW w:w="964" w:type="dxa"/>
            <w:vMerge w:val="restart"/>
            <w:vAlign w:val="center"/>
          </w:tcPr>
          <w:p w14:paraId="79CC3BFC" w14:textId="77777777" w:rsidR="00454A29" w:rsidRDefault="00454A29">
            <w:pPr>
              <w:pStyle w:val="ConsPlusNormal"/>
              <w:jc w:val="center"/>
            </w:pPr>
            <w:r>
              <w:t>9.2.</w:t>
            </w:r>
          </w:p>
        </w:tc>
        <w:tc>
          <w:tcPr>
            <w:tcW w:w="2154" w:type="dxa"/>
            <w:vMerge w:val="restart"/>
            <w:tcBorders>
              <w:top w:val="nil"/>
              <w:bottom w:val="nil"/>
            </w:tcBorders>
            <w:vAlign w:val="center"/>
          </w:tcPr>
          <w:p w14:paraId="2B262E2E" w14:textId="77777777" w:rsidR="00454A29" w:rsidRDefault="00454A29">
            <w:pPr>
              <w:pStyle w:val="ConsPlusNormal"/>
            </w:pPr>
          </w:p>
        </w:tc>
        <w:tc>
          <w:tcPr>
            <w:tcW w:w="2154" w:type="dxa"/>
            <w:vMerge w:val="restart"/>
            <w:tcBorders>
              <w:top w:val="nil"/>
              <w:bottom w:val="nil"/>
            </w:tcBorders>
            <w:vAlign w:val="center"/>
          </w:tcPr>
          <w:p w14:paraId="72C66975" w14:textId="77777777" w:rsidR="00454A29" w:rsidRDefault="00454A29">
            <w:pPr>
              <w:pStyle w:val="ConsPlusNormal"/>
            </w:pPr>
          </w:p>
        </w:tc>
        <w:tc>
          <w:tcPr>
            <w:tcW w:w="2665" w:type="dxa"/>
            <w:vMerge/>
          </w:tcPr>
          <w:p w14:paraId="40C8AA09" w14:textId="77777777" w:rsidR="00454A29" w:rsidRDefault="00454A29"/>
        </w:tc>
        <w:tc>
          <w:tcPr>
            <w:tcW w:w="2665" w:type="dxa"/>
            <w:vMerge w:val="restart"/>
            <w:vAlign w:val="center"/>
          </w:tcPr>
          <w:p w14:paraId="6D2FF0E9" w14:textId="77777777" w:rsidR="00454A29" w:rsidRDefault="00454A29">
            <w:pPr>
              <w:pStyle w:val="ConsPlusNormal"/>
              <w:jc w:val="center"/>
            </w:pPr>
            <w:r>
              <w:t xml:space="preserve">Мероприятие 3.10.2. Участие научно-педагогических работников образовательных организаций высшего образования в реализации программ непрерывного образования </w:t>
            </w:r>
            <w:r>
              <w:lastRenderedPageBreak/>
              <w:t>(дополнительных образовательных программ и программ профессионального обучения)</w:t>
            </w:r>
          </w:p>
        </w:tc>
        <w:tc>
          <w:tcPr>
            <w:tcW w:w="1928" w:type="dxa"/>
            <w:vMerge w:val="restart"/>
            <w:vAlign w:val="center"/>
          </w:tcPr>
          <w:p w14:paraId="633A0C16" w14:textId="77777777" w:rsidR="00454A29" w:rsidRDefault="00454A29">
            <w:pPr>
              <w:pStyle w:val="ConsPlusNormal"/>
              <w:jc w:val="center"/>
            </w:pPr>
            <w:r>
              <w:lastRenderedPageBreak/>
              <w:t>-</w:t>
            </w:r>
          </w:p>
        </w:tc>
        <w:tc>
          <w:tcPr>
            <w:tcW w:w="1644" w:type="dxa"/>
            <w:vMerge w:val="restart"/>
            <w:vAlign w:val="center"/>
          </w:tcPr>
          <w:p w14:paraId="44EE8222" w14:textId="77777777" w:rsidR="00454A29" w:rsidRDefault="00454A29">
            <w:pPr>
              <w:pStyle w:val="ConsPlusNormal"/>
              <w:jc w:val="center"/>
            </w:pPr>
            <w:r>
              <w:t>-</w:t>
            </w:r>
          </w:p>
        </w:tc>
        <w:tc>
          <w:tcPr>
            <w:tcW w:w="2041" w:type="dxa"/>
            <w:vMerge w:val="restart"/>
            <w:vAlign w:val="center"/>
          </w:tcPr>
          <w:p w14:paraId="0D031989" w14:textId="77777777" w:rsidR="00454A29" w:rsidRDefault="00454A29">
            <w:pPr>
              <w:pStyle w:val="ConsPlusNormal"/>
              <w:jc w:val="center"/>
            </w:pPr>
            <w:r>
              <w:t>-</w:t>
            </w:r>
          </w:p>
        </w:tc>
        <w:tc>
          <w:tcPr>
            <w:tcW w:w="2098" w:type="dxa"/>
            <w:vAlign w:val="center"/>
          </w:tcPr>
          <w:p w14:paraId="4AF765AD" w14:textId="77777777" w:rsidR="00454A29" w:rsidRDefault="00454A29">
            <w:pPr>
              <w:pStyle w:val="ConsPlusNormal"/>
              <w:jc w:val="center"/>
            </w:pPr>
            <w:r>
              <w:t>Итого</w:t>
            </w:r>
          </w:p>
        </w:tc>
        <w:tc>
          <w:tcPr>
            <w:tcW w:w="1814" w:type="dxa"/>
            <w:vAlign w:val="center"/>
          </w:tcPr>
          <w:p w14:paraId="10046D93" w14:textId="77777777" w:rsidR="00454A29" w:rsidRDefault="00454A29">
            <w:pPr>
              <w:pStyle w:val="ConsPlusNormal"/>
              <w:jc w:val="center"/>
            </w:pPr>
            <w:r>
              <w:t>0,00</w:t>
            </w:r>
          </w:p>
        </w:tc>
        <w:tc>
          <w:tcPr>
            <w:tcW w:w="1701" w:type="dxa"/>
            <w:vAlign w:val="center"/>
          </w:tcPr>
          <w:p w14:paraId="14EC5E12" w14:textId="77777777" w:rsidR="00454A29" w:rsidRDefault="00454A29">
            <w:pPr>
              <w:pStyle w:val="ConsPlusNormal"/>
              <w:jc w:val="center"/>
            </w:pPr>
            <w:r>
              <w:t>0,00</w:t>
            </w:r>
          </w:p>
        </w:tc>
        <w:tc>
          <w:tcPr>
            <w:tcW w:w="1701" w:type="dxa"/>
            <w:vAlign w:val="center"/>
          </w:tcPr>
          <w:p w14:paraId="4AE19ED2" w14:textId="77777777" w:rsidR="00454A29" w:rsidRDefault="00454A29">
            <w:pPr>
              <w:pStyle w:val="ConsPlusNormal"/>
              <w:jc w:val="center"/>
            </w:pPr>
            <w:r>
              <w:t>0,00</w:t>
            </w:r>
          </w:p>
        </w:tc>
        <w:tc>
          <w:tcPr>
            <w:tcW w:w="1701" w:type="dxa"/>
            <w:vAlign w:val="center"/>
          </w:tcPr>
          <w:p w14:paraId="4C96C6AA" w14:textId="77777777" w:rsidR="00454A29" w:rsidRDefault="00454A29">
            <w:pPr>
              <w:pStyle w:val="ConsPlusNormal"/>
              <w:jc w:val="center"/>
            </w:pPr>
            <w:r>
              <w:t>0,00</w:t>
            </w:r>
          </w:p>
        </w:tc>
        <w:tc>
          <w:tcPr>
            <w:tcW w:w="1701" w:type="dxa"/>
            <w:vAlign w:val="center"/>
          </w:tcPr>
          <w:p w14:paraId="4F504292" w14:textId="77777777" w:rsidR="00454A29" w:rsidRDefault="00454A29">
            <w:pPr>
              <w:pStyle w:val="ConsPlusNormal"/>
              <w:jc w:val="center"/>
            </w:pPr>
            <w:r>
              <w:t>0,00</w:t>
            </w:r>
          </w:p>
        </w:tc>
        <w:tc>
          <w:tcPr>
            <w:tcW w:w="1701" w:type="dxa"/>
            <w:vAlign w:val="center"/>
          </w:tcPr>
          <w:p w14:paraId="5516BA92" w14:textId="77777777" w:rsidR="00454A29" w:rsidRDefault="00454A29">
            <w:pPr>
              <w:pStyle w:val="ConsPlusNormal"/>
              <w:jc w:val="center"/>
            </w:pPr>
            <w:r>
              <w:t>0,00</w:t>
            </w:r>
          </w:p>
        </w:tc>
        <w:tc>
          <w:tcPr>
            <w:tcW w:w="1701" w:type="dxa"/>
            <w:vAlign w:val="center"/>
          </w:tcPr>
          <w:p w14:paraId="64006394" w14:textId="77777777" w:rsidR="00454A29" w:rsidRDefault="00454A29">
            <w:pPr>
              <w:pStyle w:val="ConsPlusNormal"/>
              <w:jc w:val="center"/>
            </w:pPr>
            <w:r>
              <w:t>0,00</w:t>
            </w:r>
          </w:p>
        </w:tc>
      </w:tr>
      <w:tr w:rsidR="00454A29" w14:paraId="3CCD0465" w14:textId="77777777">
        <w:tc>
          <w:tcPr>
            <w:tcW w:w="964" w:type="dxa"/>
            <w:vMerge/>
          </w:tcPr>
          <w:p w14:paraId="59095B67" w14:textId="77777777" w:rsidR="00454A29" w:rsidRDefault="00454A29"/>
        </w:tc>
        <w:tc>
          <w:tcPr>
            <w:tcW w:w="2154" w:type="dxa"/>
            <w:vMerge/>
            <w:tcBorders>
              <w:top w:val="nil"/>
              <w:bottom w:val="nil"/>
            </w:tcBorders>
          </w:tcPr>
          <w:p w14:paraId="5704716F" w14:textId="77777777" w:rsidR="00454A29" w:rsidRDefault="00454A29"/>
        </w:tc>
        <w:tc>
          <w:tcPr>
            <w:tcW w:w="2154" w:type="dxa"/>
            <w:vMerge/>
            <w:tcBorders>
              <w:top w:val="nil"/>
              <w:bottom w:val="nil"/>
            </w:tcBorders>
          </w:tcPr>
          <w:p w14:paraId="60808231" w14:textId="77777777" w:rsidR="00454A29" w:rsidRDefault="00454A29"/>
        </w:tc>
        <w:tc>
          <w:tcPr>
            <w:tcW w:w="2665" w:type="dxa"/>
            <w:vMerge/>
          </w:tcPr>
          <w:p w14:paraId="3D0F8DF5" w14:textId="77777777" w:rsidR="00454A29" w:rsidRDefault="00454A29"/>
        </w:tc>
        <w:tc>
          <w:tcPr>
            <w:tcW w:w="2665" w:type="dxa"/>
            <w:vMerge/>
          </w:tcPr>
          <w:p w14:paraId="18C5C905" w14:textId="77777777" w:rsidR="00454A29" w:rsidRDefault="00454A29"/>
        </w:tc>
        <w:tc>
          <w:tcPr>
            <w:tcW w:w="1928" w:type="dxa"/>
            <w:vMerge/>
          </w:tcPr>
          <w:p w14:paraId="76BD968F" w14:textId="77777777" w:rsidR="00454A29" w:rsidRDefault="00454A29"/>
        </w:tc>
        <w:tc>
          <w:tcPr>
            <w:tcW w:w="1644" w:type="dxa"/>
            <w:vMerge/>
          </w:tcPr>
          <w:p w14:paraId="6245F2AB" w14:textId="77777777" w:rsidR="00454A29" w:rsidRDefault="00454A29"/>
        </w:tc>
        <w:tc>
          <w:tcPr>
            <w:tcW w:w="2041" w:type="dxa"/>
            <w:vMerge/>
          </w:tcPr>
          <w:p w14:paraId="307B7ABD" w14:textId="77777777" w:rsidR="00454A29" w:rsidRDefault="00454A29"/>
        </w:tc>
        <w:tc>
          <w:tcPr>
            <w:tcW w:w="2098" w:type="dxa"/>
            <w:vAlign w:val="center"/>
          </w:tcPr>
          <w:p w14:paraId="0C207EBA"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5AA65C8" w14:textId="77777777" w:rsidR="00454A29" w:rsidRDefault="00454A29">
            <w:pPr>
              <w:pStyle w:val="ConsPlusNormal"/>
              <w:jc w:val="center"/>
            </w:pPr>
            <w:r>
              <w:t>0,00</w:t>
            </w:r>
          </w:p>
        </w:tc>
        <w:tc>
          <w:tcPr>
            <w:tcW w:w="1701" w:type="dxa"/>
            <w:vAlign w:val="center"/>
          </w:tcPr>
          <w:p w14:paraId="050F9D0D" w14:textId="77777777" w:rsidR="00454A29" w:rsidRDefault="00454A29">
            <w:pPr>
              <w:pStyle w:val="ConsPlusNormal"/>
              <w:jc w:val="center"/>
            </w:pPr>
            <w:r>
              <w:t>0,00</w:t>
            </w:r>
          </w:p>
        </w:tc>
        <w:tc>
          <w:tcPr>
            <w:tcW w:w="1701" w:type="dxa"/>
            <w:vAlign w:val="center"/>
          </w:tcPr>
          <w:p w14:paraId="4308A4B5" w14:textId="77777777" w:rsidR="00454A29" w:rsidRDefault="00454A29">
            <w:pPr>
              <w:pStyle w:val="ConsPlusNormal"/>
              <w:jc w:val="center"/>
            </w:pPr>
            <w:r>
              <w:t>0,00</w:t>
            </w:r>
          </w:p>
        </w:tc>
        <w:tc>
          <w:tcPr>
            <w:tcW w:w="1701" w:type="dxa"/>
            <w:vAlign w:val="center"/>
          </w:tcPr>
          <w:p w14:paraId="3DA39B4E" w14:textId="77777777" w:rsidR="00454A29" w:rsidRDefault="00454A29">
            <w:pPr>
              <w:pStyle w:val="ConsPlusNormal"/>
              <w:jc w:val="center"/>
            </w:pPr>
            <w:r>
              <w:t>0,00</w:t>
            </w:r>
          </w:p>
        </w:tc>
        <w:tc>
          <w:tcPr>
            <w:tcW w:w="1701" w:type="dxa"/>
            <w:vAlign w:val="center"/>
          </w:tcPr>
          <w:p w14:paraId="4889DA39" w14:textId="77777777" w:rsidR="00454A29" w:rsidRDefault="00454A29">
            <w:pPr>
              <w:pStyle w:val="ConsPlusNormal"/>
              <w:jc w:val="center"/>
            </w:pPr>
            <w:r>
              <w:t>0,00</w:t>
            </w:r>
          </w:p>
        </w:tc>
        <w:tc>
          <w:tcPr>
            <w:tcW w:w="1701" w:type="dxa"/>
            <w:vAlign w:val="center"/>
          </w:tcPr>
          <w:p w14:paraId="6B85A335" w14:textId="77777777" w:rsidR="00454A29" w:rsidRDefault="00454A29">
            <w:pPr>
              <w:pStyle w:val="ConsPlusNormal"/>
              <w:jc w:val="center"/>
            </w:pPr>
            <w:r>
              <w:t>0,00</w:t>
            </w:r>
          </w:p>
        </w:tc>
        <w:tc>
          <w:tcPr>
            <w:tcW w:w="1701" w:type="dxa"/>
            <w:vAlign w:val="center"/>
          </w:tcPr>
          <w:p w14:paraId="00D314AE" w14:textId="77777777" w:rsidR="00454A29" w:rsidRDefault="00454A29">
            <w:pPr>
              <w:pStyle w:val="ConsPlusNormal"/>
              <w:jc w:val="center"/>
            </w:pPr>
            <w:r>
              <w:t>0,00</w:t>
            </w:r>
          </w:p>
        </w:tc>
      </w:tr>
      <w:tr w:rsidR="00454A29" w14:paraId="18665498" w14:textId="77777777">
        <w:tc>
          <w:tcPr>
            <w:tcW w:w="964" w:type="dxa"/>
            <w:vMerge/>
          </w:tcPr>
          <w:p w14:paraId="202E5E7A" w14:textId="77777777" w:rsidR="00454A29" w:rsidRDefault="00454A29"/>
        </w:tc>
        <w:tc>
          <w:tcPr>
            <w:tcW w:w="2154" w:type="dxa"/>
            <w:vMerge/>
            <w:tcBorders>
              <w:top w:val="nil"/>
              <w:bottom w:val="nil"/>
            </w:tcBorders>
          </w:tcPr>
          <w:p w14:paraId="2DEB2DB6" w14:textId="77777777" w:rsidR="00454A29" w:rsidRDefault="00454A29"/>
        </w:tc>
        <w:tc>
          <w:tcPr>
            <w:tcW w:w="2154" w:type="dxa"/>
            <w:vMerge/>
            <w:tcBorders>
              <w:top w:val="nil"/>
              <w:bottom w:val="nil"/>
            </w:tcBorders>
          </w:tcPr>
          <w:p w14:paraId="32456C38" w14:textId="77777777" w:rsidR="00454A29" w:rsidRDefault="00454A29"/>
        </w:tc>
        <w:tc>
          <w:tcPr>
            <w:tcW w:w="2665" w:type="dxa"/>
            <w:vMerge/>
          </w:tcPr>
          <w:p w14:paraId="2C5576AA" w14:textId="77777777" w:rsidR="00454A29" w:rsidRDefault="00454A29"/>
        </w:tc>
        <w:tc>
          <w:tcPr>
            <w:tcW w:w="2665" w:type="dxa"/>
            <w:vMerge/>
          </w:tcPr>
          <w:p w14:paraId="65B614D3" w14:textId="77777777" w:rsidR="00454A29" w:rsidRDefault="00454A29"/>
        </w:tc>
        <w:tc>
          <w:tcPr>
            <w:tcW w:w="1928" w:type="dxa"/>
            <w:vMerge/>
          </w:tcPr>
          <w:p w14:paraId="1549BDEB" w14:textId="77777777" w:rsidR="00454A29" w:rsidRDefault="00454A29"/>
        </w:tc>
        <w:tc>
          <w:tcPr>
            <w:tcW w:w="1644" w:type="dxa"/>
            <w:vMerge/>
          </w:tcPr>
          <w:p w14:paraId="49079CFD" w14:textId="77777777" w:rsidR="00454A29" w:rsidRDefault="00454A29"/>
        </w:tc>
        <w:tc>
          <w:tcPr>
            <w:tcW w:w="2041" w:type="dxa"/>
            <w:vMerge/>
          </w:tcPr>
          <w:p w14:paraId="441E6DBA" w14:textId="77777777" w:rsidR="00454A29" w:rsidRDefault="00454A29"/>
        </w:tc>
        <w:tc>
          <w:tcPr>
            <w:tcW w:w="2098" w:type="dxa"/>
            <w:vAlign w:val="center"/>
          </w:tcPr>
          <w:p w14:paraId="5E644DE9" w14:textId="77777777" w:rsidR="00454A29" w:rsidRDefault="00454A29">
            <w:pPr>
              <w:pStyle w:val="ConsPlusNormal"/>
              <w:jc w:val="center"/>
            </w:pPr>
            <w:r>
              <w:t>Федеральный бюджет</w:t>
            </w:r>
          </w:p>
        </w:tc>
        <w:tc>
          <w:tcPr>
            <w:tcW w:w="1814" w:type="dxa"/>
            <w:vAlign w:val="center"/>
          </w:tcPr>
          <w:p w14:paraId="490DDF93" w14:textId="77777777" w:rsidR="00454A29" w:rsidRDefault="00454A29">
            <w:pPr>
              <w:pStyle w:val="ConsPlusNormal"/>
              <w:jc w:val="center"/>
            </w:pPr>
            <w:r>
              <w:t>0,00</w:t>
            </w:r>
          </w:p>
        </w:tc>
        <w:tc>
          <w:tcPr>
            <w:tcW w:w="1701" w:type="dxa"/>
            <w:vAlign w:val="center"/>
          </w:tcPr>
          <w:p w14:paraId="3446F4E0" w14:textId="77777777" w:rsidR="00454A29" w:rsidRDefault="00454A29">
            <w:pPr>
              <w:pStyle w:val="ConsPlusNormal"/>
              <w:jc w:val="center"/>
            </w:pPr>
            <w:r>
              <w:t>0,00</w:t>
            </w:r>
          </w:p>
        </w:tc>
        <w:tc>
          <w:tcPr>
            <w:tcW w:w="1701" w:type="dxa"/>
            <w:vAlign w:val="center"/>
          </w:tcPr>
          <w:p w14:paraId="212D137D" w14:textId="77777777" w:rsidR="00454A29" w:rsidRDefault="00454A29">
            <w:pPr>
              <w:pStyle w:val="ConsPlusNormal"/>
              <w:jc w:val="center"/>
            </w:pPr>
            <w:r>
              <w:t>0,00</w:t>
            </w:r>
          </w:p>
        </w:tc>
        <w:tc>
          <w:tcPr>
            <w:tcW w:w="1701" w:type="dxa"/>
            <w:vAlign w:val="center"/>
          </w:tcPr>
          <w:p w14:paraId="59515B48" w14:textId="77777777" w:rsidR="00454A29" w:rsidRDefault="00454A29">
            <w:pPr>
              <w:pStyle w:val="ConsPlusNormal"/>
              <w:jc w:val="center"/>
            </w:pPr>
            <w:r>
              <w:t>0,00</w:t>
            </w:r>
          </w:p>
        </w:tc>
        <w:tc>
          <w:tcPr>
            <w:tcW w:w="1701" w:type="dxa"/>
            <w:vAlign w:val="center"/>
          </w:tcPr>
          <w:p w14:paraId="2127ADD4" w14:textId="77777777" w:rsidR="00454A29" w:rsidRDefault="00454A29">
            <w:pPr>
              <w:pStyle w:val="ConsPlusNormal"/>
              <w:jc w:val="center"/>
            </w:pPr>
            <w:r>
              <w:t>0,00</w:t>
            </w:r>
          </w:p>
        </w:tc>
        <w:tc>
          <w:tcPr>
            <w:tcW w:w="1701" w:type="dxa"/>
            <w:vAlign w:val="center"/>
          </w:tcPr>
          <w:p w14:paraId="0A445B3C" w14:textId="77777777" w:rsidR="00454A29" w:rsidRDefault="00454A29">
            <w:pPr>
              <w:pStyle w:val="ConsPlusNormal"/>
              <w:jc w:val="center"/>
            </w:pPr>
            <w:r>
              <w:t>0,00</w:t>
            </w:r>
          </w:p>
        </w:tc>
        <w:tc>
          <w:tcPr>
            <w:tcW w:w="1701" w:type="dxa"/>
            <w:vAlign w:val="center"/>
          </w:tcPr>
          <w:p w14:paraId="7B6CCFA1" w14:textId="77777777" w:rsidR="00454A29" w:rsidRDefault="00454A29">
            <w:pPr>
              <w:pStyle w:val="ConsPlusNormal"/>
              <w:jc w:val="center"/>
            </w:pPr>
            <w:r>
              <w:t>0,00</w:t>
            </w:r>
          </w:p>
        </w:tc>
      </w:tr>
      <w:tr w:rsidR="00454A29" w14:paraId="3A691EEB" w14:textId="77777777">
        <w:tc>
          <w:tcPr>
            <w:tcW w:w="964" w:type="dxa"/>
            <w:vMerge/>
          </w:tcPr>
          <w:p w14:paraId="28C7FD7F" w14:textId="77777777" w:rsidR="00454A29" w:rsidRDefault="00454A29"/>
        </w:tc>
        <w:tc>
          <w:tcPr>
            <w:tcW w:w="2154" w:type="dxa"/>
            <w:vMerge/>
            <w:tcBorders>
              <w:top w:val="nil"/>
              <w:bottom w:val="nil"/>
            </w:tcBorders>
          </w:tcPr>
          <w:p w14:paraId="1B54C668" w14:textId="77777777" w:rsidR="00454A29" w:rsidRDefault="00454A29"/>
        </w:tc>
        <w:tc>
          <w:tcPr>
            <w:tcW w:w="2154" w:type="dxa"/>
            <w:vMerge/>
            <w:tcBorders>
              <w:top w:val="nil"/>
              <w:bottom w:val="nil"/>
            </w:tcBorders>
          </w:tcPr>
          <w:p w14:paraId="1E4C5262" w14:textId="77777777" w:rsidR="00454A29" w:rsidRDefault="00454A29"/>
        </w:tc>
        <w:tc>
          <w:tcPr>
            <w:tcW w:w="2665" w:type="dxa"/>
            <w:vMerge/>
          </w:tcPr>
          <w:p w14:paraId="710141D4" w14:textId="77777777" w:rsidR="00454A29" w:rsidRDefault="00454A29"/>
        </w:tc>
        <w:tc>
          <w:tcPr>
            <w:tcW w:w="2665" w:type="dxa"/>
            <w:vMerge/>
          </w:tcPr>
          <w:p w14:paraId="5847661D" w14:textId="77777777" w:rsidR="00454A29" w:rsidRDefault="00454A29"/>
        </w:tc>
        <w:tc>
          <w:tcPr>
            <w:tcW w:w="1928" w:type="dxa"/>
            <w:vMerge/>
          </w:tcPr>
          <w:p w14:paraId="4625495E" w14:textId="77777777" w:rsidR="00454A29" w:rsidRDefault="00454A29"/>
        </w:tc>
        <w:tc>
          <w:tcPr>
            <w:tcW w:w="1644" w:type="dxa"/>
            <w:vMerge/>
          </w:tcPr>
          <w:p w14:paraId="1F7C6508" w14:textId="77777777" w:rsidR="00454A29" w:rsidRDefault="00454A29"/>
        </w:tc>
        <w:tc>
          <w:tcPr>
            <w:tcW w:w="2041" w:type="dxa"/>
            <w:vMerge/>
          </w:tcPr>
          <w:p w14:paraId="023C9B22" w14:textId="77777777" w:rsidR="00454A29" w:rsidRDefault="00454A29"/>
        </w:tc>
        <w:tc>
          <w:tcPr>
            <w:tcW w:w="2098" w:type="dxa"/>
            <w:vAlign w:val="center"/>
          </w:tcPr>
          <w:p w14:paraId="6A1815CE" w14:textId="77777777" w:rsidR="00454A29" w:rsidRDefault="00454A29">
            <w:pPr>
              <w:pStyle w:val="ConsPlusNormal"/>
              <w:jc w:val="center"/>
            </w:pPr>
            <w:r>
              <w:t>Местные бюджеты</w:t>
            </w:r>
          </w:p>
        </w:tc>
        <w:tc>
          <w:tcPr>
            <w:tcW w:w="1814" w:type="dxa"/>
            <w:vAlign w:val="center"/>
          </w:tcPr>
          <w:p w14:paraId="3909715B" w14:textId="77777777" w:rsidR="00454A29" w:rsidRDefault="00454A29">
            <w:pPr>
              <w:pStyle w:val="ConsPlusNormal"/>
              <w:jc w:val="center"/>
            </w:pPr>
            <w:r>
              <w:t>0,00</w:t>
            </w:r>
          </w:p>
        </w:tc>
        <w:tc>
          <w:tcPr>
            <w:tcW w:w="1701" w:type="dxa"/>
            <w:vAlign w:val="center"/>
          </w:tcPr>
          <w:p w14:paraId="3A4E81A8" w14:textId="77777777" w:rsidR="00454A29" w:rsidRDefault="00454A29">
            <w:pPr>
              <w:pStyle w:val="ConsPlusNormal"/>
              <w:jc w:val="center"/>
            </w:pPr>
            <w:r>
              <w:t>0,00</w:t>
            </w:r>
          </w:p>
        </w:tc>
        <w:tc>
          <w:tcPr>
            <w:tcW w:w="1701" w:type="dxa"/>
            <w:vAlign w:val="center"/>
          </w:tcPr>
          <w:p w14:paraId="70D0DC73" w14:textId="77777777" w:rsidR="00454A29" w:rsidRDefault="00454A29">
            <w:pPr>
              <w:pStyle w:val="ConsPlusNormal"/>
              <w:jc w:val="center"/>
            </w:pPr>
            <w:r>
              <w:t>0,00</w:t>
            </w:r>
          </w:p>
        </w:tc>
        <w:tc>
          <w:tcPr>
            <w:tcW w:w="1701" w:type="dxa"/>
            <w:vAlign w:val="center"/>
          </w:tcPr>
          <w:p w14:paraId="17A6207D" w14:textId="77777777" w:rsidR="00454A29" w:rsidRDefault="00454A29">
            <w:pPr>
              <w:pStyle w:val="ConsPlusNormal"/>
              <w:jc w:val="center"/>
            </w:pPr>
            <w:r>
              <w:t>0,00</w:t>
            </w:r>
          </w:p>
        </w:tc>
        <w:tc>
          <w:tcPr>
            <w:tcW w:w="1701" w:type="dxa"/>
            <w:vAlign w:val="center"/>
          </w:tcPr>
          <w:p w14:paraId="5B3926DD" w14:textId="77777777" w:rsidR="00454A29" w:rsidRDefault="00454A29">
            <w:pPr>
              <w:pStyle w:val="ConsPlusNormal"/>
              <w:jc w:val="center"/>
            </w:pPr>
            <w:r>
              <w:t>0,00</w:t>
            </w:r>
          </w:p>
        </w:tc>
        <w:tc>
          <w:tcPr>
            <w:tcW w:w="1701" w:type="dxa"/>
            <w:vAlign w:val="center"/>
          </w:tcPr>
          <w:p w14:paraId="3A94C2C1" w14:textId="77777777" w:rsidR="00454A29" w:rsidRDefault="00454A29">
            <w:pPr>
              <w:pStyle w:val="ConsPlusNormal"/>
              <w:jc w:val="center"/>
            </w:pPr>
            <w:r>
              <w:t>0,00</w:t>
            </w:r>
          </w:p>
        </w:tc>
        <w:tc>
          <w:tcPr>
            <w:tcW w:w="1701" w:type="dxa"/>
            <w:vAlign w:val="center"/>
          </w:tcPr>
          <w:p w14:paraId="7800311D" w14:textId="77777777" w:rsidR="00454A29" w:rsidRDefault="00454A29">
            <w:pPr>
              <w:pStyle w:val="ConsPlusNormal"/>
              <w:jc w:val="center"/>
            </w:pPr>
            <w:r>
              <w:t>0,00</w:t>
            </w:r>
          </w:p>
        </w:tc>
      </w:tr>
      <w:tr w:rsidR="00454A29" w14:paraId="6AC74D11" w14:textId="77777777">
        <w:tc>
          <w:tcPr>
            <w:tcW w:w="964" w:type="dxa"/>
            <w:vMerge/>
          </w:tcPr>
          <w:p w14:paraId="6DD40119" w14:textId="77777777" w:rsidR="00454A29" w:rsidRDefault="00454A29"/>
        </w:tc>
        <w:tc>
          <w:tcPr>
            <w:tcW w:w="2154" w:type="dxa"/>
            <w:vMerge/>
            <w:tcBorders>
              <w:top w:val="nil"/>
              <w:bottom w:val="nil"/>
            </w:tcBorders>
          </w:tcPr>
          <w:p w14:paraId="793B1337" w14:textId="77777777" w:rsidR="00454A29" w:rsidRDefault="00454A29"/>
        </w:tc>
        <w:tc>
          <w:tcPr>
            <w:tcW w:w="2154" w:type="dxa"/>
            <w:vMerge/>
            <w:tcBorders>
              <w:top w:val="nil"/>
              <w:bottom w:val="nil"/>
            </w:tcBorders>
          </w:tcPr>
          <w:p w14:paraId="6A5D1DFD" w14:textId="77777777" w:rsidR="00454A29" w:rsidRDefault="00454A29"/>
        </w:tc>
        <w:tc>
          <w:tcPr>
            <w:tcW w:w="2665" w:type="dxa"/>
            <w:vMerge/>
          </w:tcPr>
          <w:p w14:paraId="11545A3D" w14:textId="77777777" w:rsidR="00454A29" w:rsidRDefault="00454A29"/>
        </w:tc>
        <w:tc>
          <w:tcPr>
            <w:tcW w:w="2665" w:type="dxa"/>
            <w:vMerge/>
          </w:tcPr>
          <w:p w14:paraId="6C169C24" w14:textId="77777777" w:rsidR="00454A29" w:rsidRDefault="00454A29"/>
        </w:tc>
        <w:tc>
          <w:tcPr>
            <w:tcW w:w="1928" w:type="dxa"/>
            <w:vMerge/>
          </w:tcPr>
          <w:p w14:paraId="3A7103F2" w14:textId="77777777" w:rsidR="00454A29" w:rsidRDefault="00454A29"/>
        </w:tc>
        <w:tc>
          <w:tcPr>
            <w:tcW w:w="1644" w:type="dxa"/>
            <w:vMerge/>
          </w:tcPr>
          <w:p w14:paraId="1CB11FED" w14:textId="77777777" w:rsidR="00454A29" w:rsidRDefault="00454A29"/>
        </w:tc>
        <w:tc>
          <w:tcPr>
            <w:tcW w:w="2041" w:type="dxa"/>
            <w:vMerge/>
          </w:tcPr>
          <w:p w14:paraId="522285BD" w14:textId="77777777" w:rsidR="00454A29" w:rsidRDefault="00454A29"/>
        </w:tc>
        <w:tc>
          <w:tcPr>
            <w:tcW w:w="2098" w:type="dxa"/>
            <w:vAlign w:val="center"/>
          </w:tcPr>
          <w:p w14:paraId="117177CF" w14:textId="77777777" w:rsidR="00454A29" w:rsidRDefault="00454A29">
            <w:pPr>
              <w:pStyle w:val="ConsPlusNormal"/>
              <w:jc w:val="center"/>
            </w:pPr>
            <w:r>
              <w:t>Внебюджетные средства</w:t>
            </w:r>
          </w:p>
        </w:tc>
        <w:tc>
          <w:tcPr>
            <w:tcW w:w="1814" w:type="dxa"/>
            <w:vAlign w:val="center"/>
          </w:tcPr>
          <w:p w14:paraId="490DF300" w14:textId="77777777" w:rsidR="00454A29" w:rsidRDefault="00454A29">
            <w:pPr>
              <w:pStyle w:val="ConsPlusNormal"/>
              <w:jc w:val="center"/>
            </w:pPr>
            <w:r>
              <w:t>0,00</w:t>
            </w:r>
          </w:p>
        </w:tc>
        <w:tc>
          <w:tcPr>
            <w:tcW w:w="1701" w:type="dxa"/>
            <w:vAlign w:val="center"/>
          </w:tcPr>
          <w:p w14:paraId="373026AF" w14:textId="77777777" w:rsidR="00454A29" w:rsidRDefault="00454A29">
            <w:pPr>
              <w:pStyle w:val="ConsPlusNormal"/>
              <w:jc w:val="center"/>
            </w:pPr>
            <w:r>
              <w:t>0,00</w:t>
            </w:r>
          </w:p>
        </w:tc>
        <w:tc>
          <w:tcPr>
            <w:tcW w:w="1701" w:type="dxa"/>
            <w:vAlign w:val="center"/>
          </w:tcPr>
          <w:p w14:paraId="4D48DFB0" w14:textId="77777777" w:rsidR="00454A29" w:rsidRDefault="00454A29">
            <w:pPr>
              <w:pStyle w:val="ConsPlusNormal"/>
              <w:jc w:val="center"/>
            </w:pPr>
            <w:r>
              <w:t>0,00</w:t>
            </w:r>
          </w:p>
        </w:tc>
        <w:tc>
          <w:tcPr>
            <w:tcW w:w="1701" w:type="dxa"/>
            <w:vAlign w:val="center"/>
          </w:tcPr>
          <w:p w14:paraId="7FBA5427" w14:textId="77777777" w:rsidR="00454A29" w:rsidRDefault="00454A29">
            <w:pPr>
              <w:pStyle w:val="ConsPlusNormal"/>
              <w:jc w:val="center"/>
            </w:pPr>
            <w:r>
              <w:t>0,00</w:t>
            </w:r>
          </w:p>
        </w:tc>
        <w:tc>
          <w:tcPr>
            <w:tcW w:w="1701" w:type="dxa"/>
            <w:vAlign w:val="center"/>
          </w:tcPr>
          <w:p w14:paraId="2A3B479E" w14:textId="77777777" w:rsidR="00454A29" w:rsidRDefault="00454A29">
            <w:pPr>
              <w:pStyle w:val="ConsPlusNormal"/>
              <w:jc w:val="center"/>
            </w:pPr>
            <w:r>
              <w:t>0,00</w:t>
            </w:r>
          </w:p>
        </w:tc>
        <w:tc>
          <w:tcPr>
            <w:tcW w:w="1701" w:type="dxa"/>
            <w:vAlign w:val="center"/>
          </w:tcPr>
          <w:p w14:paraId="3F373E28" w14:textId="77777777" w:rsidR="00454A29" w:rsidRDefault="00454A29">
            <w:pPr>
              <w:pStyle w:val="ConsPlusNormal"/>
              <w:jc w:val="center"/>
            </w:pPr>
            <w:r>
              <w:t>0,00</w:t>
            </w:r>
          </w:p>
        </w:tc>
        <w:tc>
          <w:tcPr>
            <w:tcW w:w="1701" w:type="dxa"/>
            <w:vAlign w:val="center"/>
          </w:tcPr>
          <w:p w14:paraId="4558627E" w14:textId="77777777" w:rsidR="00454A29" w:rsidRDefault="00454A29">
            <w:pPr>
              <w:pStyle w:val="ConsPlusNormal"/>
              <w:jc w:val="center"/>
            </w:pPr>
            <w:r>
              <w:t>0,00</w:t>
            </w:r>
          </w:p>
        </w:tc>
      </w:tr>
      <w:tr w:rsidR="00454A29" w14:paraId="4D507F99" w14:textId="77777777">
        <w:tc>
          <w:tcPr>
            <w:tcW w:w="964" w:type="dxa"/>
            <w:vMerge w:val="restart"/>
            <w:vAlign w:val="center"/>
          </w:tcPr>
          <w:p w14:paraId="7AE48872" w14:textId="77777777" w:rsidR="00454A29" w:rsidRDefault="00454A29">
            <w:pPr>
              <w:pStyle w:val="ConsPlusNormal"/>
              <w:jc w:val="center"/>
            </w:pPr>
            <w:r>
              <w:t>9.3.</w:t>
            </w:r>
          </w:p>
        </w:tc>
        <w:tc>
          <w:tcPr>
            <w:tcW w:w="2154" w:type="dxa"/>
            <w:vMerge w:val="restart"/>
            <w:tcBorders>
              <w:top w:val="nil"/>
            </w:tcBorders>
            <w:vAlign w:val="center"/>
          </w:tcPr>
          <w:p w14:paraId="2C53869C" w14:textId="77777777" w:rsidR="00454A29" w:rsidRDefault="00454A29">
            <w:pPr>
              <w:pStyle w:val="ConsPlusNormal"/>
            </w:pPr>
          </w:p>
        </w:tc>
        <w:tc>
          <w:tcPr>
            <w:tcW w:w="2154" w:type="dxa"/>
            <w:vMerge w:val="restart"/>
            <w:tcBorders>
              <w:top w:val="nil"/>
            </w:tcBorders>
            <w:vAlign w:val="center"/>
          </w:tcPr>
          <w:p w14:paraId="1B5FD8A1" w14:textId="77777777" w:rsidR="00454A29" w:rsidRDefault="00454A29">
            <w:pPr>
              <w:pStyle w:val="ConsPlusNormal"/>
            </w:pPr>
          </w:p>
        </w:tc>
        <w:tc>
          <w:tcPr>
            <w:tcW w:w="2665" w:type="dxa"/>
            <w:vMerge/>
          </w:tcPr>
          <w:p w14:paraId="470656AE" w14:textId="77777777" w:rsidR="00454A29" w:rsidRDefault="00454A29"/>
        </w:tc>
        <w:tc>
          <w:tcPr>
            <w:tcW w:w="2665" w:type="dxa"/>
            <w:vMerge w:val="restart"/>
            <w:vAlign w:val="center"/>
          </w:tcPr>
          <w:p w14:paraId="593821E8" w14:textId="77777777" w:rsidR="00454A29" w:rsidRDefault="00454A29">
            <w:pPr>
              <w:pStyle w:val="ConsPlusNormal"/>
              <w:jc w:val="center"/>
            </w:pPr>
            <w:r>
              <w:t>Мероприятие 3.10.3. Обучение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реализующих дополнительные образовательные программы и программы профессионального обучения</w:t>
            </w:r>
          </w:p>
        </w:tc>
        <w:tc>
          <w:tcPr>
            <w:tcW w:w="1928" w:type="dxa"/>
            <w:vMerge w:val="restart"/>
            <w:vAlign w:val="center"/>
          </w:tcPr>
          <w:p w14:paraId="5979B32C" w14:textId="77777777" w:rsidR="00454A29" w:rsidRDefault="00454A29">
            <w:pPr>
              <w:pStyle w:val="ConsPlusNormal"/>
              <w:jc w:val="center"/>
            </w:pPr>
            <w:r>
              <w:t>-</w:t>
            </w:r>
          </w:p>
        </w:tc>
        <w:tc>
          <w:tcPr>
            <w:tcW w:w="1644" w:type="dxa"/>
            <w:vMerge w:val="restart"/>
            <w:vAlign w:val="center"/>
          </w:tcPr>
          <w:p w14:paraId="2CDB7C6C" w14:textId="77777777" w:rsidR="00454A29" w:rsidRDefault="00454A29">
            <w:pPr>
              <w:pStyle w:val="ConsPlusNormal"/>
              <w:jc w:val="center"/>
            </w:pPr>
            <w:r>
              <w:t>-</w:t>
            </w:r>
          </w:p>
        </w:tc>
        <w:tc>
          <w:tcPr>
            <w:tcW w:w="2041" w:type="dxa"/>
            <w:vMerge w:val="restart"/>
            <w:vAlign w:val="center"/>
          </w:tcPr>
          <w:p w14:paraId="7B41021D" w14:textId="77777777" w:rsidR="00454A29" w:rsidRDefault="00454A29">
            <w:pPr>
              <w:pStyle w:val="ConsPlusNormal"/>
              <w:jc w:val="center"/>
            </w:pPr>
            <w:r>
              <w:t>-</w:t>
            </w:r>
          </w:p>
        </w:tc>
        <w:tc>
          <w:tcPr>
            <w:tcW w:w="2098" w:type="dxa"/>
            <w:vAlign w:val="center"/>
          </w:tcPr>
          <w:p w14:paraId="07FB0C4C" w14:textId="77777777" w:rsidR="00454A29" w:rsidRDefault="00454A29">
            <w:pPr>
              <w:pStyle w:val="ConsPlusNormal"/>
              <w:jc w:val="center"/>
            </w:pPr>
            <w:r>
              <w:t>Итого</w:t>
            </w:r>
          </w:p>
        </w:tc>
        <w:tc>
          <w:tcPr>
            <w:tcW w:w="1814" w:type="dxa"/>
            <w:vAlign w:val="center"/>
          </w:tcPr>
          <w:p w14:paraId="45137987" w14:textId="77777777" w:rsidR="00454A29" w:rsidRDefault="00454A29">
            <w:pPr>
              <w:pStyle w:val="ConsPlusNormal"/>
              <w:jc w:val="center"/>
            </w:pPr>
            <w:r>
              <w:t>0,00</w:t>
            </w:r>
          </w:p>
        </w:tc>
        <w:tc>
          <w:tcPr>
            <w:tcW w:w="1701" w:type="dxa"/>
            <w:vAlign w:val="center"/>
          </w:tcPr>
          <w:p w14:paraId="172A198B" w14:textId="77777777" w:rsidR="00454A29" w:rsidRDefault="00454A29">
            <w:pPr>
              <w:pStyle w:val="ConsPlusNormal"/>
              <w:jc w:val="center"/>
            </w:pPr>
            <w:r>
              <w:t>0,00</w:t>
            </w:r>
          </w:p>
        </w:tc>
        <w:tc>
          <w:tcPr>
            <w:tcW w:w="1701" w:type="dxa"/>
            <w:vAlign w:val="center"/>
          </w:tcPr>
          <w:p w14:paraId="4522B9BF" w14:textId="77777777" w:rsidR="00454A29" w:rsidRDefault="00454A29">
            <w:pPr>
              <w:pStyle w:val="ConsPlusNormal"/>
              <w:jc w:val="center"/>
            </w:pPr>
            <w:r>
              <w:t>0,00</w:t>
            </w:r>
          </w:p>
        </w:tc>
        <w:tc>
          <w:tcPr>
            <w:tcW w:w="1701" w:type="dxa"/>
            <w:vAlign w:val="center"/>
          </w:tcPr>
          <w:p w14:paraId="603C9C77" w14:textId="77777777" w:rsidR="00454A29" w:rsidRDefault="00454A29">
            <w:pPr>
              <w:pStyle w:val="ConsPlusNormal"/>
              <w:jc w:val="center"/>
            </w:pPr>
            <w:r>
              <w:t>0,00</w:t>
            </w:r>
          </w:p>
        </w:tc>
        <w:tc>
          <w:tcPr>
            <w:tcW w:w="1701" w:type="dxa"/>
            <w:vAlign w:val="center"/>
          </w:tcPr>
          <w:p w14:paraId="104B7765" w14:textId="77777777" w:rsidR="00454A29" w:rsidRDefault="00454A29">
            <w:pPr>
              <w:pStyle w:val="ConsPlusNormal"/>
              <w:jc w:val="center"/>
            </w:pPr>
            <w:r>
              <w:t>0,00</w:t>
            </w:r>
          </w:p>
        </w:tc>
        <w:tc>
          <w:tcPr>
            <w:tcW w:w="1701" w:type="dxa"/>
            <w:vAlign w:val="center"/>
          </w:tcPr>
          <w:p w14:paraId="3A302254" w14:textId="77777777" w:rsidR="00454A29" w:rsidRDefault="00454A29">
            <w:pPr>
              <w:pStyle w:val="ConsPlusNormal"/>
              <w:jc w:val="center"/>
            </w:pPr>
            <w:r>
              <w:t>0,00</w:t>
            </w:r>
          </w:p>
        </w:tc>
        <w:tc>
          <w:tcPr>
            <w:tcW w:w="1701" w:type="dxa"/>
            <w:vAlign w:val="center"/>
          </w:tcPr>
          <w:p w14:paraId="63A1B2AD" w14:textId="77777777" w:rsidR="00454A29" w:rsidRDefault="00454A29">
            <w:pPr>
              <w:pStyle w:val="ConsPlusNormal"/>
              <w:jc w:val="center"/>
            </w:pPr>
            <w:r>
              <w:t>0,00</w:t>
            </w:r>
          </w:p>
        </w:tc>
      </w:tr>
      <w:tr w:rsidR="00454A29" w14:paraId="0F0C75E2" w14:textId="77777777">
        <w:tc>
          <w:tcPr>
            <w:tcW w:w="964" w:type="dxa"/>
            <w:vMerge/>
          </w:tcPr>
          <w:p w14:paraId="243BE7E0" w14:textId="77777777" w:rsidR="00454A29" w:rsidRDefault="00454A29"/>
        </w:tc>
        <w:tc>
          <w:tcPr>
            <w:tcW w:w="2154" w:type="dxa"/>
            <w:vMerge/>
            <w:tcBorders>
              <w:top w:val="nil"/>
            </w:tcBorders>
          </w:tcPr>
          <w:p w14:paraId="293B474E" w14:textId="77777777" w:rsidR="00454A29" w:rsidRDefault="00454A29"/>
        </w:tc>
        <w:tc>
          <w:tcPr>
            <w:tcW w:w="2154" w:type="dxa"/>
            <w:vMerge/>
            <w:tcBorders>
              <w:top w:val="nil"/>
            </w:tcBorders>
          </w:tcPr>
          <w:p w14:paraId="622B4763" w14:textId="77777777" w:rsidR="00454A29" w:rsidRDefault="00454A29"/>
        </w:tc>
        <w:tc>
          <w:tcPr>
            <w:tcW w:w="2665" w:type="dxa"/>
            <w:vMerge/>
          </w:tcPr>
          <w:p w14:paraId="315E88D1" w14:textId="77777777" w:rsidR="00454A29" w:rsidRDefault="00454A29"/>
        </w:tc>
        <w:tc>
          <w:tcPr>
            <w:tcW w:w="2665" w:type="dxa"/>
            <w:vMerge/>
          </w:tcPr>
          <w:p w14:paraId="12B38A54" w14:textId="77777777" w:rsidR="00454A29" w:rsidRDefault="00454A29"/>
        </w:tc>
        <w:tc>
          <w:tcPr>
            <w:tcW w:w="1928" w:type="dxa"/>
            <w:vMerge/>
          </w:tcPr>
          <w:p w14:paraId="0CCE682C" w14:textId="77777777" w:rsidR="00454A29" w:rsidRDefault="00454A29"/>
        </w:tc>
        <w:tc>
          <w:tcPr>
            <w:tcW w:w="1644" w:type="dxa"/>
            <w:vMerge/>
          </w:tcPr>
          <w:p w14:paraId="657F278A" w14:textId="77777777" w:rsidR="00454A29" w:rsidRDefault="00454A29"/>
        </w:tc>
        <w:tc>
          <w:tcPr>
            <w:tcW w:w="2041" w:type="dxa"/>
            <w:vMerge/>
          </w:tcPr>
          <w:p w14:paraId="5A1CC4E1" w14:textId="77777777" w:rsidR="00454A29" w:rsidRDefault="00454A29"/>
        </w:tc>
        <w:tc>
          <w:tcPr>
            <w:tcW w:w="2098" w:type="dxa"/>
            <w:vAlign w:val="center"/>
          </w:tcPr>
          <w:p w14:paraId="1CB9CD3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1F02C340" w14:textId="77777777" w:rsidR="00454A29" w:rsidRDefault="00454A29">
            <w:pPr>
              <w:pStyle w:val="ConsPlusNormal"/>
              <w:jc w:val="center"/>
            </w:pPr>
            <w:r>
              <w:t>0,00</w:t>
            </w:r>
          </w:p>
        </w:tc>
        <w:tc>
          <w:tcPr>
            <w:tcW w:w="1701" w:type="dxa"/>
            <w:vAlign w:val="center"/>
          </w:tcPr>
          <w:p w14:paraId="480922ED" w14:textId="77777777" w:rsidR="00454A29" w:rsidRDefault="00454A29">
            <w:pPr>
              <w:pStyle w:val="ConsPlusNormal"/>
              <w:jc w:val="center"/>
            </w:pPr>
            <w:r>
              <w:t>0,00</w:t>
            </w:r>
          </w:p>
        </w:tc>
        <w:tc>
          <w:tcPr>
            <w:tcW w:w="1701" w:type="dxa"/>
            <w:vAlign w:val="center"/>
          </w:tcPr>
          <w:p w14:paraId="218DAC2D" w14:textId="77777777" w:rsidR="00454A29" w:rsidRDefault="00454A29">
            <w:pPr>
              <w:pStyle w:val="ConsPlusNormal"/>
              <w:jc w:val="center"/>
            </w:pPr>
            <w:r>
              <w:t>0,00</w:t>
            </w:r>
          </w:p>
        </w:tc>
        <w:tc>
          <w:tcPr>
            <w:tcW w:w="1701" w:type="dxa"/>
            <w:vAlign w:val="center"/>
          </w:tcPr>
          <w:p w14:paraId="5312F82A" w14:textId="77777777" w:rsidR="00454A29" w:rsidRDefault="00454A29">
            <w:pPr>
              <w:pStyle w:val="ConsPlusNormal"/>
              <w:jc w:val="center"/>
            </w:pPr>
            <w:r>
              <w:t>0,00</w:t>
            </w:r>
          </w:p>
        </w:tc>
        <w:tc>
          <w:tcPr>
            <w:tcW w:w="1701" w:type="dxa"/>
            <w:vAlign w:val="center"/>
          </w:tcPr>
          <w:p w14:paraId="19C7377B" w14:textId="77777777" w:rsidR="00454A29" w:rsidRDefault="00454A29">
            <w:pPr>
              <w:pStyle w:val="ConsPlusNormal"/>
              <w:jc w:val="center"/>
            </w:pPr>
            <w:r>
              <w:t>0,00</w:t>
            </w:r>
          </w:p>
        </w:tc>
        <w:tc>
          <w:tcPr>
            <w:tcW w:w="1701" w:type="dxa"/>
            <w:vAlign w:val="center"/>
          </w:tcPr>
          <w:p w14:paraId="0AA82375" w14:textId="77777777" w:rsidR="00454A29" w:rsidRDefault="00454A29">
            <w:pPr>
              <w:pStyle w:val="ConsPlusNormal"/>
              <w:jc w:val="center"/>
            </w:pPr>
            <w:r>
              <w:t>0,00</w:t>
            </w:r>
          </w:p>
        </w:tc>
        <w:tc>
          <w:tcPr>
            <w:tcW w:w="1701" w:type="dxa"/>
            <w:vAlign w:val="center"/>
          </w:tcPr>
          <w:p w14:paraId="6F64F4B3" w14:textId="77777777" w:rsidR="00454A29" w:rsidRDefault="00454A29">
            <w:pPr>
              <w:pStyle w:val="ConsPlusNormal"/>
              <w:jc w:val="center"/>
            </w:pPr>
            <w:r>
              <w:t>0,00</w:t>
            </w:r>
          </w:p>
        </w:tc>
      </w:tr>
      <w:tr w:rsidR="00454A29" w14:paraId="38912DA0" w14:textId="77777777">
        <w:tc>
          <w:tcPr>
            <w:tcW w:w="964" w:type="dxa"/>
            <w:vMerge/>
          </w:tcPr>
          <w:p w14:paraId="6C132682" w14:textId="77777777" w:rsidR="00454A29" w:rsidRDefault="00454A29"/>
        </w:tc>
        <w:tc>
          <w:tcPr>
            <w:tcW w:w="2154" w:type="dxa"/>
            <w:vMerge/>
            <w:tcBorders>
              <w:top w:val="nil"/>
            </w:tcBorders>
          </w:tcPr>
          <w:p w14:paraId="35B9270A" w14:textId="77777777" w:rsidR="00454A29" w:rsidRDefault="00454A29"/>
        </w:tc>
        <w:tc>
          <w:tcPr>
            <w:tcW w:w="2154" w:type="dxa"/>
            <w:vMerge/>
            <w:tcBorders>
              <w:top w:val="nil"/>
            </w:tcBorders>
          </w:tcPr>
          <w:p w14:paraId="1B1B6DFF" w14:textId="77777777" w:rsidR="00454A29" w:rsidRDefault="00454A29"/>
        </w:tc>
        <w:tc>
          <w:tcPr>
            <w:tcW w:w="2665" w:type="dxa"/>
            <w:vMerge/>
          </w:tcPr>
          <w:p w14:paraId="06578E6E" w14:textId="77777777" w:rsidR="00454A29" w:rsidRDefault="00454A29"/>
        </w:tc>
        <w:tc>
          <w:tcPr>
            <w:tcW w:w="2665" w:type="dxa"/>
            <w:vMerge/>
          </w:tcPr>
          <w:p w14:paraId="67FFCDAD" w14:textId="77777777" w:rsidR="00454A29" w:rsidRDefault="00454A29"/>
        </w:tc>
        <w:tc>
          <w:tcPr>
            <w:tcW w:w="1928" w:type="dxa"/>
            <w:vMerge/>
          </w:tcPr>
          <w:p w14:paraId="5B825D22" w14:textId="77777777" w:rsidR="00454A29" w:rsidRDefault="00454A29"/>
        </w:tc>
        <w:tc>
          <w:tcPr>
            <w:tcW w:w="1644" w:type="dxa"/>
            <w:vMerge/>
          </w:tcPr>
          <w:p w14:paraId="333BC1C9" w14:textId="77777777" w:rsidR="00454A29" w:rsidRDefault="00454A29"/>
        </w:tc>
        <w:tc>
          <w:tcPr>
            <w:tcW w:w="2041" w:type="dxa"/>
            <w:vMerge/>
          </w:tcPr>
          <w:p w14:paraId="16860D18" w14:textId="77777777" w:rsidR="00454A29" w:rsidRDefault="00454A29"/>
        </w:tc>
        <w:tc>
          <w:tcPr>
            <w:tcW w:w="2098" w:type="dxa"/>
            <w:vAlign w:val="center"/>
          </w:tcPr>
          <w:p w14:paraId="2FB119BA" w14:textId="77777777" w:rsidR="00454A29" w:rsidRDefault="00454A29">
            <w:pPr>
              <w:pStyle w:val="ConsPlusNormal"/>
              <w:jc w:val="center"/>
            </w:pPr>
            <w:r>
              <w:t>Федеральный бюджет</w:t>
            </w:r>
          </w:p>
        </w:tc>
        <w:tc>
          <w:tcPr>
            <w:tcW w:w="1814" w:type="dxa"/>
            <w:vAlign w:val="center"/>
          </w:tcPr>
          <w:p w14:paraId="3834BD67" w14:textId="77777777" w:rsidR="00454A29" w:rsidRDefault="00454A29">
            <w:pPr>
              <w:pStyle w:val="ConsPlusNormal"/>
              <w:jc w:val="center"/>
            </w:pPr>
            <w:r>
              <w:t>0,00</w:t>
            </w:r>
          </w:p>
        </w:tc>
        <w:tc>
          <w:tcPr>
            <w:tcW w:w="1701" w:type="dxa"/>
            <w:vAlign w:val="center"/>
          </w:tcPr>
          <w:p w14:paraId="5A52E12C" w14:textId="77777777" w:rsidR="00454A29" w:rsidRDefault="00454A29">
            <w:pPr>
              <w:pStyle w:val="ConsPlusNormal"/>
              <w:jc w:val="center"/>
            </w:pPr>
            <w:r>
              <w:t>0,00</w:t>
            </w:r>
          </w:p>
        </w:tc>
        <w:tc>
          <w:tcPr>
            <w:tcW w:w="1701" w:type="dxa"/>
            <w:vAlign w:val="center"/>
          </w:tcPr>
          <w:p w14:paraId="38953D23" w14:textId="77777777" w:rsidR="00454A29" w:rsidRDefault="00454A29">
            <w:pPr>
              <w:pStyle w:val="ConsPlusNormal"/>
              <w:jc w:val="center"/>
            </w:pPr>
            <w:r>
              <w:t>0,00</w:t>
            </w:r>
          </w:p>
        </w:tc>
        <w:tc>
          <w:tcPr>
            <w:tcW w:w="1701" w:type="dxa"/>
            <w:vAlign w:val="center"/>
          </w:tcPr>
          <w:p w14:paraId="50572D9F" w14:textId="77777777" w:rsidR="00454A29" w:rsidRDefault="00454A29">
            <w:pPr>
              <w:pStyle w:val="ConsPlusNormal"/>
              <w:jc w:val="center"/>
            </w:pPr>
            <w:r>
              <w:t>0,00</w:t>
            </w:r>
          </w:p>
        </w:tc>
        <w:tc>
          <w:tcPr>
            <w:tcW w:w="1701" w:type="dxa"/>
            <w:vAlign w:val="center"/>
          </w:tcPr>
          <w:p w14:paraId="3B7E18A9" w14:textId="77777777" w:rsidR="00454A29" w:rsidRDefault="00454A29">
            <w:pPr>
              <w:pStyle w:val="ConsPlusNormal"/>
              <w:jc w:val="center"/>
            </w:pPr>
            <w:r>
              <w:t>0,00</w:t>
            </w:r>
          </w:p>
        </w:tc>
        <w:tc>
          <w:tcPr>
            <w:tcW w:w="1701" w:type="dxa"/>
            <w:vAlign w:val="center"/>
          </w:tcPr>
          <w:p w14:paraId="6F84D472" w14:textId="77777777" w:rsidR="00454A29" w:rsidRDefault="00454A29">
            <w:pPr>
              <w:pStyle w:val="ConsPlusNormal"/>
              <w:jc w:val="center"/>
            </w:pPr>
            <w:r>
              <w:t>0,00</w:t>
            </w:r>
          </w:p>
        </w:tc>
        <w:tc>
          <w:tcPr>
            <w:tcW w:w="1701" w:type="dxa"/>
            <w:vAlign w:val="center"/>
          </w:tcPr>
          <w:p w14:paraId="55D71D70" w14:textId="77777777" w:rsidR="00454A29" w:rsidRDefault="00454A29">
            <w:pPr>
              <w:pStyle w:val="ConsPlusNormal"/>
              <w:jc w:val="center"/>
            </w:pPr>
            <w:r>
              <w:t>0,00</w:t>
            </w:r>
          </w:p>
        </w:tc>
      </w:tr>
      <w:tr w:rsidR="00454A29" w14:paraId="7FBAED9E" w14:textId="77777777">
        <w:tc>
          <w:tcPr>
            <w:tcW w:w="964" w:type="dxa"/>
            <w:vMerge/>
          </w:tcPr>
          <w:p w14:paraId="34902818" w14:textId="77777777" w:rsidR="00454A29" w:rsidRDefault="00454A29"/>
        </w:tc>
        <w:tc>
          <w:tcPr>
            <w:tcW w:w="2154" w:type="dxa"/>
            <w:vMerge/>
            <w:tcBorders>
              <w:top w:val="nil"/>
            </w:tcBorders>
          </w:tcPr>
          <w:p w14:paraId="195EF9D0" w14:textId="77777777" w:rsidR="00454A29" w:rsidRDefault="00454A29"/>
        </w:tc>
        <w:tc>
          <w:tcPr>
            <w:tcW w:w="2154" w:type="dxa"/>
            <w:vMerge/>
            <w:tcBorders>
              <w:top w:val="nil"/>
            </w:tcBorders>
          </w:tcPr>
          <w:p w14:paraId="6BA252E9" w14:textId="77777777" w:rsidR="00454A29" w:rsidRDefault="00454A29"/>
        </w:tc>
        <w:tc>
          <w:tcPr>
            <w:tcW w:w="2665" w:type="dxa"/>
            <w:vMerge/>
          </w:tcPr>
          <w:p w14:paraId="4D53B73E" w14:textId="77777777" w:rsidR="00454A29" w:rsidRDefault="00454A29"/>
        </w:tc>
        <w:tc>
          <w:tcPr>
            <w:tcW w:w="2665" w:type="dxa"/>
            <w:vMerge/>
          </w:tcPr>
          <w:p w14:paraId="1FA9B671" w14:textId="77777777" w:rsidR="00454A29" w:rsidRDefault="00454A29"/>
        </w:tc>
        <w:tc>
          <w:tcPr>
            <w:tcW w:w="1928" w:type="dxa"/>
            <w:vMerge/>
          </w:tcPr>
          <w:p w14:paraId="4CC8DCA0" w14:textId="77777777" w:rsidR="00454A29" w:rsidRDefault="00454A29"/>
        </w:tc>
        <w:tc>
          <w:tcPr>
            <w:tcW w:w="1644" w:type="dxa"/>
            <w:vMerge/>
          </w:tcPr>
          <w:p w14:paraId="50C4BC38" w14:textId="77777777" w:rsidR="00454A29" w:rsidRDefault="00454A29"/>
        </w:tc>
        <w:tc>
          <w:tcPr>
            <w:tcW w:w="2041" w:type="dxa"/>
            <w:vMerge/>
          </w:tcPr>
          <w:p w14:paraId="26757EDF" w14:textId="77777777" w:rsidR="00454A29" w:rsidRDefault="00454A29"/>
        </w:tc>
        <w:tc>
          <w:tcPr>
            <w:tcW w:w="2098" w:type="dxa"/>
            <w:vAlign w:val="center"/>
          </w:tcPr>
          <w:p w14:paraId="0490F247" w14:textId="77777777" w:rsidR="00454A29" w:rsidRDefault="00454A29">
            <w:pPr>
              <w:pStyle w:val="ConsPlusNormal"/>
              <w:jc w:val="center"/>
            </w:pPr>
            <w:r>
              <w:t>Местные бюджеты</w:t>
            </w:r>
          </w:p>
        </w:tc>
        <w:tc>
          <w:tcPr>
            <w:tcW w:w="1814" w:type="dxa"/>
            <w:vAlign w:val="center"/>
          </w:tcPr>
          <w:p w14:paraId="47AB4949" w14:textId="77777777" w:rsidR="00454A29" w:rsidRDefault="00454A29">
            <w:pPr>
              <w:pStyle w:val="ConsPlusNormal"/>
              <w:jc w:val="center"/>
            </w:pPr>
            <w:r>
              <w:t>0,00</w:t>
            </w:r>
          </w:p>
        </w:tc>
        <w:tc>
          <w:tcPr>
            <w:tcW w:w="1701" w:type="dxa"/>
            <w:vAlign w:val="center"/>
          </w:tcPr>
          <w:p w14:paraId="112757E7" w14:textId="77777777" w:rsidR="00454A29" w:rsidRDefault="00454A29">
            <w:pPr>
              <w:pStyle w:val="ConsPlusNormal"/>
              <w:jc w:val="center"/>
            </w:pPr>
            <w:r>
              <w:t>0,00</w:t>
            </w:r>
          </w:p>
        </w:tc>
        <w:tc>
          <w:tcPr>
            <w:tcW w:w="1701" w:type="dxa"/>
            <w:vAlign w:val="center"/>
          </w:tcPr>
          <w:p w14:paraId="2D63FF5A" w14:textId="77777777" w:rsidR="00454A29" w:rsidRDefault="00454A29">
            <w:pPr>
              <w:pStyle w:val="ConsPlusNormal"/>
              <w:jc w:val="center"/>
            </w:pPr>
            <w:r>
              <w:t>0,00</w:t>
            </w:r>
          </w:p>
        </w:tc>
        <w:tc>
          <w:tcPr>
            <w:tcW w:w="1701" w:type="dxa"/>
            <w:vAlign w:val="center"/>
          </w:tcPr>
          <w:p w14:paraId="7047EFA4" w14:textId="77777777" w:rsidR="00454A29" w:rsidRDefault="00454A29">
            <w:pPr>
              <w:pStyle w:val="ConsPlusNormal"/>
              <w:jc w:val="center"/>
            </w:pPr>
            <w:r>
              <w:t>0,00</w:t>
            </w:r>
          </w:p>
        </w:tc>
        <w:tc>
          <w:tcPr>
            <w:tcW w:w="1701" w:type="dxa"/>
            <w:vAlign w:val="center"/>
          </w:tcPr>
          <w:p w14:paraId="12C15F84" w14:textId="77777777" w:rsidR="00454A29" w:rsidRDefault="00454A29">
            <w:pPr>
              <w:pStyle w:val="ConsPlusNormal"/>
              <w:jc w:val="center"/>
            </w:pPr>
            <w:r>
              <w:t>0,00</w:t>
            </w:r>
          </w:p>
        </w:tc>
        <w:tc>
          <w:tcPr>
            <w:tcW w:w="1701" w:type="dxa"/>
            <w:vAlign w:val="center"/>
          </w:tcPr>
          <w:p w14:paraId="1F7A0506" w14:textId="77777777" w:rsidR="00454A29" w:rsidRDefault="00454A29">
            <w:pPr>
              <w:pStyle w:val="ConsPlusNormal"/>
              <w:jc w:val="center"/>
            </w:pPr>
            <w:r>
              <w:t>0,00</w:t>
            </w:r>
          </w:p>
        </w:tc>
        <w:tc>
          <w:tcPr>
            <w:tcW w:w="1701" w:type="dxa"/>
            <w:vAlign w:val="center"/>
          </w:tcPr>
          <w:p w14:paraId="271F8841" w14:textId="77777777" w:rsidR="00454A29" w:rsidRDefault="00454A29">
            <w:pPr>
              <w:pStyle w:val="ConsPlusNormal"/>
              <w:jc w:val="center"/>
            </w:pPr>
            <w:r>
              <w:t>0,00</w:t>
            </w:r>
          </w:p>
        </w:tc>
      </w:tr>
      <w:tr w:rsidR="00454A29" w14:paraId="3FBA8B79" w14:textId="77777777">
        <w:tc>
          <w:tcPr>
            <w:tcW w:w="964" w:type="dxa"/>
            <w:vMerge/>
          </w:tcPr>
          <w:p w14:paraId="413AB598" w14:textId="77777777" w:rsidR="00454A29" w:rsidRDefault="00454A29"/>
        </w:tc>
        <w:tc>
          <w:tcPr>
            <w:tcW w:w="2154" w:type="dxa"/>
            <w:vMerge/>
            <w:tcBorders>
              <w:top w:val="nil"/>
            </w:tcBorders>
          </w:tcPr>
          <w:p w14:paraId="045550FA" w14:textId="77777777" w:rsidR="00454A29" w:rsidRDefault="00454A29"/>
        </w:tc>
        <w:tc>
          <w:tcPr>
            <w:tcW w:w="2154" w:type="dxa"/>
            <w:vMerge/>
            <w:tcBorders>
              <w:top w:val="nil"/>
            </w:tcBorders>
          </w:tcPr>
          <w:p w14:paraId="5810489B" w14:textId="77777777" w:rsidR="00454A29" w:rsidRDefault="00454A29"/>
        </w:tc>
        <w:tc>
          <w:tcPr>
            <w:tcW w:w="2665" w:type="dxa"/>
            <w:vMerge/>
          </w:tcPr>
          <w:p w14:paraId="03BE4E95" w14:textId="77777777" w:rsidR="00454A29" w:rsidRDefault="00454A29"/>
        </w:tc>
        <w:tc>
          <w:tcPr>
            <w:tcW w:w="2665" w:type="dxa"/>
            <w:vMerge/>
          </w:tcPr>
          <w:p w14:paraId="36D96FAA" w14:textId="77777777" w:rsidR="00454A29" w:rsidRDefault="00454A29"/>
        </w:tc>
        <w:tc>
          <w:tcPr>
            <w:tcW w:w="1928" w:type="dxa"/>
            <w:vMerge/>
          </w:tcPr>
          <w:p w14:paraId="4E9D95D0" w14:textId="77777777" w:rsidR="00454A29" w:rsidRDefault="00454A29"/>
        </w:tc>
        <w:tc>
          <w:tcPr>
            <w:tcW w:w="1644" w:type="dxa"/>
            <w:vMerge/>
          </w:tcPr>
          <w:p w14:paraId="0E892A3A" w14:textId="77777777" w:rsidR="00454A29" w:rsidRDefault="00454A29"/>
        </w:tc>
        <w:tc>
          <w:tcPr>
            <w:tcW w:w="2041" w:type="dxa"/>
            <w:vMerge/>
          </w:tcPr>
          <w:p w14:paraId="3F25A87F" w14:textId="77777777" w:rsidR="00454A29" w:rsidRDefault="00454A29"/>
        </w:tc>
        <w:tc>
          <w:tcPr>
            <w:tcW w:w="2098" w:type="dxa"/>
            <w:vAlign w:val="center"/>
          </w:tcPr>
          <w:p w14:paraId="22BDD72C" w14:textId="77777777" w:rsidR="00454A29" w:rsidRDefault="00454A29">
            <w:pPr>
              <w:pStyle w:val="ConsPlusNormal"/>
              <w:jc w:val="center"/>
            </w:pPr>
            <w:r>
              <w:t>Внебюджетные средства</w:t>
            </w:r>
          </w:p>
        </w:tc>
        <w:tc>
          <w:tcPr>
            <w:tcW w:w="1814" w:type="dxa"/>
            <w:vAlign w:val="center"/>
          </w:tcPr>
          <w:p w14:paraId="67F46DF3" w14:textId="77777777" w:rsidR="00454A29" w:rsidRDefault="00454A29">
            <w:pPr>
              <w:pStyle w:val="ConsPlusNormal"/>
              <w:jc w:val="center"/>
            </w:pPr>
            <w:r>
              <w:t>0,00</w:t>
            </w:r>
          </w:p>
        </w:tc>
        <w:tc>
          <w:tcPr>
            <w:tcW w:w="1701" w:type="dxa"/>
            <w:vAlign w:val="center"/>
          </w:tcPr>
          <w:p w14:paraId="272B019C" w14:textId="77777777" w:rsidR="00454A29" w:rsidRDefault="00454A29">
            <w:pPr>
              <w:pStyle w:val="ConsPlusNormal"/>
              <w:jc w:val="center"/>
            </w:pPr>
            <w:r>
              <w:t>0,00</w:t>
            </w:r>
          </w:p>
        </w:tc>
        <w:tc>
          <w:tcPr>
            <w:tcW w:w="1701" w:type="dxa"/>
            <w:vAlign w:val="center"/>
          </w:tcPr>
          <w:p w14:paraId="37E97A97" w14:textId="77777777" w:rsidR="00454A29" w:rsidRDefault="00454A29">
            <w:pPr>
              <w:pStyle w:val="ConsPlusNormal"/>
              <w:jc w:val="center"/>
            </w:pPr>
            <w:r>
              <w:t>0,00</w:t>
            </w:r>
          </w:p>
        </w:tc>
        <w:tc>
          <w:tcPr>
            <w:tcW w:w="1701" w:type="dxa"/>
            <w:vAlign w:val="center"/>
          </w:tcPr>
          <w:p w14:paraId="1310C02F" w14:textId="77777777" w:rsidR="00454A29" w:rsidRDefault="00454A29">
            <w:pPr>
              <w:pStyle w:val="ConsPlusNormal"/>
              <w:jc w:val="center"/>
            </w:pPr>
            <w:r>
              <w:t>0,00</w:t>
            </w:r>
          </w:p>
        </w:tc>
        <w:tc>
          <w:tcPr>
            <w:tcW w:w="1701" w:type="dxa"/>
            <w:vAlign w:val="center"/>
          </w:tcPr>
          <w:p w14:paraId="04A98FF0" w14:textId="77777777" w:rsidR="00454A29" w:rsidRDefault="00454A29">
            <w:pPr>
              <w:pStyle w:val="ConsPlusNormal"/>
              <w:jc w:val="center"/>
            </w:pPr>
            <w:r>
              <w:t>0,00</w:t>
            </w:r>
          </w:p>
        </w:tc>
        <w:tc>
          <w:tcPr>
            <w:tcW w:w="1701" w:type="dxa"/>
            <w:vAlign w:val="center"/>
          </w:tcPr>
          <w:p w14:paraId="78039AE3" w14:textId="77777777" w:rsidR="00454A29" w:rsidRDefault="00454A29">
            <w:pPr>
              <w:pStyle w:val="ConsPlusNormal"/>
              <w:jc w:val="center"/>
            </w:pPr>
            <w:r>
              <w:t>0,00</w:t>
            </w:r>
          </w:p>
        </w:tc>
        <w:tc>
          <w:tcPr>
            <w:tcW w:w="1701" w:type="dxa"/>
            <w:vAlign w:val="center"/>
          </w:tcPr>
          <w:p w14:paraId="3D59F937" w14:textId="77777777" w:rsidR="00454A29" w:rsidRDefault="00454A29">
            <w:pPr>
              <w:pStyle w:val="ConsPlusNormal"/>
              <w:jc w:val="center"/>
            </w:pPr>
            <w:r>
              <w:t>0,00</w:t>
            </w:r>
          </w:p>
        </w:tc>
      </w:tr>
      <w:tr w:rsidR="00454A29" w14:paraId="542C7E3D" w14:textId="77777777">
        <w:tc>
          <w:tcPr>
            <w:tcW w:w="964" w:type="dxa"/>
            <w:vMerge w:val="restart"/>
            <w:vAlign w:val="center"/>
          </w:tcPr>
          <w:p w14:paraId="72856849" w14:textId="77777777" w:rsidR="00454A29" w:rsidRDefault="00454A29">
            <w:pPr>
              <w:pStyle w:val="ConsPlusNormal"/>
              <w:jc w:val="center"/>
            </w:pPr>
            <w:r>
              <w:t>10.</w:t>
            </w:r>
          </w:p>
        </w:tc>
        <w:tc>
          <w:tcPr>
            <w:tcW w:w="2154" w:type="dxa"/>
            <w:vMerge w:val="restart"/>
            <w:tcBorders>
              <w:bottom w:val="nil"/>
            </w:tcBorders>
            <w:vAlign w:val="center"/>
          </w:tcPr>
          <w:p w14:paraId="02FEB5BB" w14:textId="77777777" w:rsidR="00454A29" w:rsidRDefault="00454A29">
            <w:pPr>
              <w:pStyle w:val="ConsPlusNormal"/>
              <w:jc w:val="center"/>
            </w:pPr>
            <w:r>
              <w:t>Подпрограмма 3 "Профессиональное образование"</w:t>
            </w:r>
          </w:p>
        </w:tc>
        <w:tc>
          <w:tcPr>
            <w:tcW w:w="2154" w:type="dxa"/>
            <w:vMerge w:val="restart"/>
            <w:tcBorders>
              <w:bottom w:val="nil"/>
            </w:tcBorders>
            <w:vAlign w:val="center"/>
          </w:tcPr>
          <w:p w14:paraId="008E6822" w14:textId="77777777" w:rsidR="00454A29" w:rsidRDefault="00454A29">
            <w:pPr>
              <w:pStyle w:val="ConsPlusNormal"/>
              <w:jc w:val="center"/>
            </w:pPr>
            <w:r>
              <w:t>Основное мероприятие 3.11. "Реализация регионального проекта "Кадры для цифровой экономики"</w:t>
            </w:r>
          </w:p>
        </w:tc>
        <w:tc>
          <w:tcPr>
            <w:tcW w:w="10943" w:type="dxa"/>
            <w:gridSpan w:val="5"/>
            <w:vMerge w:val="restart"/>
            <w:vAlign w:val="center"/>
          </w:tcPr>
          <w:p w14:paraId="723D7F5F" w14:textId="77777777" w:rsidR="00454A29" w:rsidRDefault="00454A29">
            <w:pPr>
              <w:pStyle w:val="ConsPlusNormal"/>
              <w:jc w:val="center"/>
            </w:pPr>
            <w:r>
              <w:t>ВСЕГО</w:t>
            </w:r>
          </w:p>
        </w:tc>
        <w:tc>
          <w:tcPr>
            <w:tcW w:w="2098" w:type="dxa"/>
            <w:vAlign w:val="center"/>
          </w:tcPr>
          <w:p w14:paraId="3C4C57FE" w14:textId="77777777" w:rsidR="00454A29" w:rsidRDefault="00454A29">
            <w:pPr>
              <w:pStyle w:val="ConsPlusNormal"/>
              <w:jc w:val="center"/>
            </w:pPr>
            <w:r>
              <w:t>Итого</w:t>
            </w:r>
          </w:p>
        </w:tc>
        <w:tc>
          <w:tcPr>
            <w:tcW w:w="1814" w:type="dxa"/>
            <w:vAlign w:val="center"/>
          </w:tcPr>
          <w:p w14:paraId="57D87514" w14:textId="77777777" w:rsidR="00454A29" w:rsidRDefault="00454A29">
            <w:pPr>
              <w:pStyle w:val="ConsPlusNormal"/>
              <w:jc w:val="center"/>
            </w:pPr>
            <w:r>
              <w:t>0,00</w:t>
            </w:r>
          </w:p>
        </w:tc>
        <w:tc>
          <w:tcPr>
            <w:tcW w:w="1701" w:type="dxa"/>
            <w:vAlign w:val="center"/>
          </w:tcPr>
          <w:p w14:paraId="261056E2" w14:textId="77777777" w:rsidR="00454A29" w:rsidRDefault="00454A29">
            <w:pPr>
              <w:pStyle w:val="ConsPlusNormal"/>
              <w:jc w:val="center"/>
            </w:pPr>
            <w:r>
              <w:t>0,00</w:t>
            </w:r>
          </w:p>
        </w:tc>
        <w:tc>
          <w:tcPr>
            <w:tcW w:w="1701" w:type="dxa"/>
            <w:vAlign w:val="center"/>
          </w:tcPr>
          <w:p w14:paraId="5BE1F50A" w14:textId="77777777" w:rsidR="00454A29" w:rsidRDefault="00454A29">
            <w:pPr>
              <w:pStyle w:val="ConsPlusNormal"/>
              <w:jc w:val="center"/>
            </w:pPr>
            <w:r>
              <w:t>0,00</w:t>
            </w:r>
          </w:p>
        </w:tc>
        <w:tc>
          <w:tcPr>
            <w:tcW w:w="1701" w:type="dxa"/>
            <w:vAlign w:val="center"/>
          </w:tcPr>
          <w:p w14:paraId="068271C7" w14:textId="77777777" w:rsidR="00454A29" w:rsidRDefault="00454A29">
            <w:pPr>
              <w:pStyle w:val="ConsPlusNormal"/>
              <w:jc w:val="center"/>
            </w:pPr>
            <w:r>
              <w:t>0,00</w:t>
            </w:r>
          </w:p>
        </w:tc>
        <w:tc>
          <w:tcPr>
            <w:tcW w:w="1701" w:type="dxa"/>
            <w:vAlign w:val="center"/>
          </w:tcPr>
          <w:p w14:paraId="55539D68" w14:textId="77777777" w:rsidR="00454A29" w:rsidRDefault="00454A29">
            <w:pPr>
              <w:pStyle w:val="ConsPlusNormal"/>
              <w:jc w:val="center"/>
            </w:pPr>
            <w:r>
              <w:t>0,00</w:t>
            </w:r>
          </w:p>
        </w:tc>
        <w:tc>
          <w:tcPr>
            <w:tcW w:w="1701" w:type="dxa"/>
            <w:vAlign w:val="center"/>
          </w:tcPr>
          <w:p w14:paraId="03CA8EE1" w14:textId="77777777" w:rsidR="00454A29" w:rsidRDefault="00454A29">
            <w:pPr>
              <w:pStyle w:val="ConsPlusNormal"/>
              <w:jc w:val="center"/>
            </w:pPr>
            <w:r>
              <w:t>0,00</w:t>
            </w:r>
          </w:p>
        </w:tc>
        <w:tc>
          <w:tcPr>
            <w:tcW w:w="1701" w:type="dxa"/>
            <w:vAlign w:val="center"/>
          </w:tcPr>
          <w:p w14:paraId="0CD7F707" w14:textId="77777777" w:rsidR="00454A29" w:rsidRDefault="00454A29">
            <w:pPr>
              <w:pStyle w:val="ConsPlusNormal"/>
              <w:jc w:val="center"/>
            </w:pPr>
            <w:r>
              <w:t>0,00</w:t>
            </w:r>
          </w:p>
        </w:tc>
      </w:tr>
      <w:tr w:rsidR="00454A29" w14:paraId="4DA42C32" w14:textId="77777777">
        <w:tc>
          <w:tcPr>
            <w:tcW w:w="964" w:type="dxa"/>
            <w:vMerge/>
          </w:tcPr>
          <w:p w14:paraId="49F3DAED" w14:textId="77777777" w:rsidR="00454A29" w:rsidRDefault="00454A29"/>
        </w:tc>
        <w:tc>
          <w:tcPr>
            <w:tcW w:w="2154" w:type="dxa"/>
            <w:vMerge/>
            <w:tcBorders>
              <w:bottom w:val="nil"/>
            </w:tcBorders>
          </w:tcPr>
          <w:p w14:paraId="2B229E1A" w14:textId="77777777" w:rsidR="00454A29" w:rsidRDefault="00454A29"/>
        </w:tc>
        <w:tc>
          <w:tcPr>
            <w:tcW w:w="2154" w:type="dxa"/>
            <w:vMerge/>
            <w:tcBorders>
              <w:bottom w:val="nil"/>
            </w:tcBorders>
          </w:tcPr>
          <w:p w14:paraId="6A18036A" w14:textId="77777777" w:rsidR="00454A29" w:rsidRDefault="00454A29"/>
        </w:tc>
        <w:tc>
          <w:tcPr>
            <w:tcW w:w="10943" w:type="dxa"/>
            <w:gridSpan w:val="5"/>
            <w:vMerge/>
          </w:tcPr>
          <w:p w14:paraId="3647EDA6" w14:textId="77777777" w:rsidR="00454A29" w:rsidRDefault="00454A29"/>
        </w:tc>
        <w:tc>
          <w:tcPr>
            <w:tcW w:w="2098" w:type="dxa"/>
            <w:vAlign w:val="center"/>
          </w:tcPr>
          <w:p w14:paraId="0074C19D"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1A346261" w14:textId="77777777" w:rsidR="00454A29" w:rsidRDefault="00454A29">
            <w:pPr>
              <w:pStyle w:val="ConsPlusNormal"/>
              <w:jc w:val="center"/>
            </w:pPr>
            <w:r>
              <w:t>0,00</w:t>
            </w:r>
          </w:p>
        </w:tc>
        <w:tc>
          <w:tcPr>
            <w:tcW w:w="1701" w:type="dxa"/>
            <w:vAlign w:val="center"/>
          </w:tcPr>
          <w:p w14:paraId="66AEDB82" w14:textId="77777777" w:rsidR="00454A29" w:rsidRDefault="00454A29">
            <w:pPr>
              <w:pStyle w:val="ConsPlusNormal"/>
              <w:jc w:val="center"/>
            </w:pPr>
            <w:r>
              <w:t>0,00</w:t>
            </w:r>
          </w:p>
        </w:tc>
        <w:tc>
          <w:tcPr>
            <w:tcW w:w="1701" w:type="dxa"/>
            <w:vAlign w:val="center"/>
          </w:tcPr>
          <w:p w14:paraId="5D27FF60" w14:textId="77777777" w:rsidR="00454A29" w:rsidRDefault="00454A29">
            <w:pPr>
              <w:pStyle w:val="ConsPlusNormal"/>
              <w:jc w:val="center"/>
            </w:pPr>
            <w:r>
              <w:t>0,00</w:t>
            </w:r>
          </w:p>
        </w:tc>
        <w:tc>
          <w:tcPr>
            <w:tcW w:w="1701" w:type="dxa"/>
            <w:vAlign w:val="center"/>
          </w:tcPr>
          <w:p w14:paraId="627CF2AB" w14:textId="77777777" w:rsidR="00454A29" w:rsidRDefault="00454A29">
            <w:pPr>
              <w:pStyle w:val="ConsPlusNormal"/>
              <w:jc w:val="center"/>
            </w:pPr>
            <w:r>
              <w:t>0,00</w:t>
            </w:r>
          </w:p>
        </w:tc>
        <w:tc>
          <w:tcPr>
            <w:tcW w:w="1701" w:type="dxa"/>
            <w:vAlign w:val="center"/>
          </w:tcPr>
          <w:p w14:paraId="6E76806E" w14:textId="77777777" w:rsidR="00454A29" w:rsidRDefault="00454A29">
            <w:pPr>
              <w:pStyle w:val="ConsPlusNormal"/>
              <w:jc w:val="center"/>
            </w:pPr>
            <w:r>
              <w:t>0,00</w:t>
            </w:r>
          </w:p>
        </w:tc>
        <w:tc>
          <w:tcPr>
            <w:tcW w:w="1701" w:type="dxa"/>
            <w:vAlign w:val="center"/>
          </w:tcPr>
          <w:p w14:paraId="5329F4E5" w14:textId="77777777" w:rsidR="00454A29" w:rsidRDefault="00454A29">
            <w:pPr>
              <w:pStyle w:val="ConsPlusNormal"/>
              <w:jc w:val="center"/>
            </w:pPr>
            <w:r>
              <w:t>0,00</w:t>
            </w:r>
          </w:p>
        </w:tc>
        <w:tc>
          <w:tcPr>
            <w:tcW w:w="1701" w:type="dxa"/>
            <w:vAlign w:val="center"/>
          </w:tcPr>
          <w:p w14:paraId="0BA4D5A1" w14:textId="77777777" w:rsidR="00454A29" w:rsidRDefault="00454A29">
            <w:pPr>
              <w:pStyle w:val="ConsPlusNormal"/>
              <w:jc w:val="center"/>
            </w:pPr>
            <w:r>
              <w:t>0,00</w:t>
            </w:r>
          </w:p>
        </w:tc>
      </w:tr>
      <w:tr w:rsidR="00454A29" w14:paraId="18A15C83" w14:textId="77777777">
        <w:tc>
          <w:tcPr>
            <w:tcW w:w="964" w:type="dxa"/>
            <w:vMerge/>
          </w:tcPr>
          <w:p w14:paraId="2E406889" w14:textId="77777777" w:rsidR="00454A29" w:rsidRDefault="00454A29"/>
        </w:tc>
        <w:tc>
          <w:tcPr>
            <w:tcW w:w="2154" w:type="dxa"/>
            <w:vMerge/>
            <w:tcBorders>
              <w:bottom w:val="nil"/>
            </w:tcBorders>
          </w:tcPr>
          <w:p w14:paraId="77F71899" w14:textId="77777777" w:rsidR="00454A29" w:rsidRDefault="00454A29"/>
        </w:tc>
        <w:tc>
          <w:tcPr>
            <w:tcW w:w="2154" w:type="dxa"/>
            <w:vMerge/>
            <w:tcBorders>
              <w:bottom w:val="nil"/>
            </w:tcBorders>
          </w:tcPr>
          <w:p w14:paraId="5D7794B3" w14:textId="77777777" w:rsidR="00454A29" w:rsidRDefault="00454A29"/>
        </w:tc>
        <w:tc>
          <w:tcPr>
            <w:tcW w:w="10943" w:type="dxa"/>
            <w:gridSpan w:val="5"/>
            <w:vMerge/>
          </w:tcPr>
          <w:p w14:paraId="4F907F41" w14:textId="77777777" w:rsidR="00454A29" w:rsidRDefault="00454A29"/>
        </w:tc>
        <w:tc>
          <w:tcPr>
            <w:tcW w:w="2098" w:type="dxa"/>
            <w:vAlign w:val="center"/>
          </w:tcPr>
          <w:p w14:paraId="756EAD7D" w14:textId="77777777" w:rsidR="00454A29" w:rsidRDefault="00454A29">
            <w:pPr>
              <w:pStyle w:val="ConsPlusNormal"/>
              <w:jc w:val="center"/>
            </w:pPr>
            <w:r>
              <w:t>Федеральный бюджет</w:t>
            </w:r>
          </w:p>
        </w:tc>
        <w:tc>
          <w:tcPr>
            <w:tcW w:w="1814" w:type="dxa"/>
            <w:vAlign w:val="center"/>
          </w:tcPr>
          <w:p w14:paraId="32027C30" w14:textId="77777777" w:rsidR="00454A29" w:rsidRDefault="00454A29">
            <w:pPr>
              <w:pStyle w:val="ConsPlusNormal"/>
              <w:jc w:val="center"/>
            </w:pPr>
            <w:r>
              <w:t>0,00</w:t>
            </w:r>
          </w:p>
        </w:tc>
        <w:tc>
          <w:tcPr>
            <w:tcW w:w="1701" w:type="dxa"/>
            <w:vAlign w:val="center"/>
          </w:tcPr>
          <w:p w14:paraId="246306F2" w14:textId="77777777" w:rsidR="00454A29" w:rsidRDefault="00454A29">
            <w:pPr>
              <w:pStyle w:val="ConsPlusNormal"/>
              <w:jc w:val="center"/>
            </w:pPr>
            <w:r>
              <w:t>0,00</w:t>
            </w:r>
          </w:p>
        </w:tc>
        <w:tc>
          <w:tcPr>
            <w:tcW w:w="1701" w:type="dxa"/>
            <w:vAlign w:val="center"/>
          </w:tcPr>
          <w:p w14:paraId="060E2CA9" w14:textId="77777777" w:rsidR="00454A29" w:rsidRDefault="00454A29">
            <w:pPr>
              <w:pStyle w:val="ConsPlusNormal"/>
              <w:jc w:val="center"/>
            </w:pPr>
            <w:r>
              <w:t>0,00</w:t>
            </w:r>
          </w:p>
        </w:tc>
        <w:tc>
          <w:tcPr>
            <w:tcW w:w="1701" w:type="dxa"/>
            <w:vAlign w:val="center"/>
          </w:tcPr>
          <w:p w14:paraId="68D41274" w14:textId="77777777" w:rsidR="00454A29" w:rsidRDefault="00454A29">
            <w:pPr>
              <w:pStyle w:val="ConsPlusNormal"/>
              <w:jc w:val="center"/>
            </w:pPr>
            <w:r>
              <w:t>0,00</w:t>
            </w:r>
          </w:p>
        </w:tc>
        <w:tc>
          <w:tcPr>
            <w:tcW w:w="1701" w:type="dxa"/>
            <w:vAlign w:val="center"/>
          </w:tcPr>
          <w:p w14:paraId="2AD4DBC9" w14:textId="77777777" w:rsidR="00454A29" w:rsidRDefault="00454A29">
            <w:pPr>
              <w:pStyle w:val="ConsPlusNormal"/>
              <w:jc w:val="center"/>
            </w:pPr>
            <w:r>
              <w:t>0,00</w:t>
            </w:r>
          </w:p>
        </w:tc>
        <w:tc>
          <w:tcPr>
            <w:tcW w:w="1701" w:type="dxa"/>
            <w:vAlign w:val="center"/>
          </w:tcPr>
          <w:p w14:paraId="43007A39" w14:textId="77777777" w:rsidR="00454A29" w:rsidRDefault="00454A29">
            <w:pPr>
              <w:pStyle w:val="ConsPlusNormal"/>
              <w:jc w:val="center"/>
            </w:pPr>
            <w:r>
              <w:t>0,00</w:t>
            </w:r>
          </w:p>
        </w:tc>
        <w:tc>
          <w:tcPr>
            <w:tcW w:w="1701" w:type="dxa"/>
            <w:vAlign w:val="center"/>
          </w:tcPr>
          <w:p w14:paraId="045DAC23" w14:textId="77777777" w:rsidR="00454A29" w:rsidRDefault="00454A29">
            <w:pPr>
              <w:pStyle w:val="ConsPlusNormal"/>
              <w:jc w:val="center"/>
            </w:pPr>
            <w:r>
              <w:t>0,00</w:t>
            </w:r>
          </w:p>
        </w:tc>
      </w:tr>
      <w:tr w:rsidR="00454A29" w14:paraId="6E0EB5DA" w14:textId="77777777">
        <w:tc>
          <w:tcPr>
            <w:tcW w:w="964" w:type="dxa"/>
            <w:vMerge/>
          </w:tcPr>
          <w:p w14:paraId="0166BDFF" w14:textId="77777777" w:rsidR="00454A29" w:rsidRDefault="00454A29"/>
        </w:tc>
        <w:tc>
          <w:tcPr>
            <w:tcW w:w="2154" w:type="dxa"/>
            <w:vMerge/>
            <w:tcBorders>
              <w:bottom w:val="nil"/>
            </w:tcBorders>
          </w:tcPr>
          <w:p w14:paraId="5D93A026" w14:textId="77777777" w:rsidR="00454A29" w:rsidRDefault="00454A29"/>
        </w:tc>
        <w:tc>
          <w:tcPr>
            <w:tcW w:w="2154" w:type="dxa"/>
            <w:vMerge/>
            <w:tcBorders>
              <w:bottom w:val="nil"/>
            </w:tcBorders>
          </w:tcPr>
          <w:p w14:paraId="0373BAB6" w14:textId="77777777" w:rsidR="00454A29" w:rsidRDefault="00454A29"/>
        </w:tc>
        <w:tc>
          <w:tcPr>
            <w:tcW w:w="10943" w:type="dxa"/>
            <w:gridSpan w:val="5"/>
            <w:vMerge/>
          </w:tcPr>
          <w:p w14:paraId="09CE7C16" w14:textId="77777777" w:rsidR="00454A29" w:rsidRDefault="00454A29"/>
        </w:tc>
        <w:tc>
          <w:tcPr>
            <w:tcW w:w="2098" w:type="dxa"/>
            <w:vAlign w:val="center"/>
          </w:tcPr>
          <w:p w14:paraId="517B12A9" w14:textId="77777777" w:rsidR="00454A29" w:rsidRDefault="00454A29">
            <w:pPr>
              <w:pStyle w:val="ConsPlusNormal"/>
              <w:jc w:val="center"/>
            </w:pPr>
            <w:r>
              <w:t>Местные бюджеты</w:t>
            </w:r>
          </w:p>
        </w:tc>
        <w:tc>
          <w:tcPr>
            <w:tcW w:w="1814" w:type="dxa"/>
            <w:vAlign w:val="center"/>
          </w:tcPr>
          <w:p w14:paraId="7987BFD9" w14:textId="77777777" w:rsidR="00454A29" w:rsidRDefault="00454A29">
            <w:pPr>
              <w:pStyle w:val="ConsPlusNormal"/>
              <w:jc w:val="center"/>
            </w:pPr>
            <w:r>
              <w:t>0,00</w:t>
            </w:r>
          </w:p>
        </w:tc>
        <w:tc>
          <w:tcPr>
            <w:tcW w:w="1701" w:type="dxa"/>
            <w:vAlign w:val="center"/>
          </w:tcPr>
          <w:p w14:paraId="67D7DB98" w14:textId="77777777" w:rsidR="00454A29" w:rsidRDefault="00454A29">
            <w:pPr>
              <w:pStyle w:val="ConsPlusNormal"/>
              <w:jc w:val="center"/>
            </w:pPr>
            <w:r>
              <w:t>0,00</w:t>
            </w:r>
          </w:p>
        </w:tc>
        <w:tc>
          <w:tcPr>
            <w:tcW w:w="1701" w:type="dxa"/>
            <w:vAlign w:val="center"/>
          </w:tcPr>
          <w:p w14:paraId="5F10487C" w14:textId="77777777" w:rsidR="00454A29" w:rsidRDefault="00454A29">
            <w:pPr>
              <w:pStyle w:val="ConsPlusNormal"/>
              <w:jc w:val="center"/>
            </w:pPr>
            <w:r>
              <w:t>0,00</w:t>
            </w:r>
          </w:p>
        </w:tc>
        <w:tc>
          <w:tcPr>
            <w:tcW w:w="1701" w:type="dxa"/>
            <w:vAlign w:val="center"/>
          </w:tcPr>
          <w:p w14:paraId="0EB996F7" w14:textId="77777777" w:rsidR="00454A29" w:rsidRDefault="00454A29">
            <w:pPr>
              <w:pStyle w:val="ConsPlusNormal"/>
              <w:jc w:val="center"/>
            </w:pPr>
            <w:r>
              <w:t>0,00</w:t>
            </w:r>
          </w:p>
        </w:tc>
        <w:tc>
          <w:tcPr>
            <w:tcW w:w="1701" w:type="dxa"/>
            <w:vAlign w:val="center"/>
          </w:tcPr>
          <w:p w14:paraId="00E13403" w14:textId="77777777" w:rsidR="00454A29" w:rsidRDefault="00454A29">
            <w:pPr>
              <w:pStyle w:val="ConsPlusNormal"/>
              <w:jc w:val="center"/>
            </w:pPr>
            <w:r>
              <w:t>0,00</w:t>
            </w:r>
          </w:p>
        </w:tc>
        <w:tc>
          <w:tcPr>
            <w:tcW w:w="1701" w:type="dxa"/>
            <w:vAlign w:val="center"/>
          </w:tcPr>
          <w:p w14:paraId="5A9505FE" w14:textId="77777777" w:rsidR="00454A29" w:rsidRDefault="00454A29">
            <w:pPr>
              <w:pStyle w:val="ConsPlusNormal"/>
              <w:jc w:val="center"/>
            </w:pPr>
            <w:r>
              <w:t>0,00</w:t>
            </w:r>
          </w:p>
        </w:tc>
        <w:tc>
          <w:tcPr>
            <w:tcW w:w="1701" w:type="dxa"/>
            <w:vAlign w:val="center"/>
          </w:tcPr>
          <w:p w14:paraId="2213D63D" w14:textId="77777777" w:rsidR="00454A29" w:rsidRDefault="00454A29">
            <w:pPr>
              <w:pStyle w:val="ConsPlusNormal"/>
              <w:jc w:val="center"/>
            </w:pPr>
            <w:r>
              <w:t>0,00</w:t>
            </w:r>
          </w:p>
        </w:tc>
      </w:tr>
      <w:tr w:rsidR="00454A29" w14:paraId="35AAC0C5" w14:textId="77777777">
        <w:tc>
          <w:tcPr>
            <w:tcW w:w="964" w:type="dxa"/>
            <w:vMerge/>
          </w:tcPr>
          <w:p w14:paraId="45636847" w14:textId="77777777" w:rsidR="00454A29" w:rsidRDefault="00454A29"/>
        </w:tc>
        <w:tc>
          <w:tcPr>
            <w:tcW w:w="2154" w:type="dxa"/>
            <w:vMerge/>
            <w:tcBorders>
              <w:bottom w:val="nil"/>
            </w:tcBorders>
          </w:tcPr>
          <w:p w14:paraId="11A43DD8" w14:textId="77777777" w:rsidR="00454A29" w:rsidRDefault="00454A29"/>
        </w:tc>
        <w:tc>
          <w:tcPr>
            <w:tcW w:w="2154" w:type="dxa"/>
            <w:vMerge/>
            <w:tcBorders>
              <w:bottom w:val="nil"/>
            </w:tcBorders>
          </w:tcPr>
          <w:p w14:paraId="64E536F9" w14:textId="77777777" w:rsidR="00454A29" w:rsidRDefault="00454A29"/>
        </w:tc>
        <w:tc>
          <w:tcPr>
            <w:tcW w:w="10943" w:type="dxa"/>
            <w:gridSpan w:val="5"/>
            <w:vMerge/>
          </w:tcPr>
          <w:p w14:paraId="487ACE71" w14:textId="77777777" w:rsidR="00454A29" w:rsidRDefault="00454A29"/>
        </w:tc>
        <w:tc>
          <w:tcPr>
            <w:tcW w:w="2098" w:type="dxa"/>
            <w:vAlign w:val="center"/>
          </w:tcPr>
          <w:p w14:paraId="2A4E92AE" w14:textId="77777777" w:rsidR="00454A29" w:rsidRDefault="00454A29">
            <w:pPr>
              <w:pStyle w:val="ConsPlusNormal"/>
              <w:jc w:val="center"/>
            </w:pPr>
            <w:r>
              <w:t>Внебюджетные средства</w:t>
            </w:r>
          </w:p>
        </w:tc>
        <w:tc>
          <w:tcPr>
            <w:tcW w:w="1814" w:type="dxa"/>
            <w:vAlign w:val="center"/>
          </w:tcPr>
          <w:p w14:paraId="235DD795" w14:textId="77777777" w:rsidR="00454A29" w:rsidRDefault="00454A29">
            <w:pPr>
              <w:pStyle w:val="ConsPlusNormal"/>
              <w:jc w:val="center"/>
            </w:pPr>
            <w:r>
              <w:t>0,00</w:t>
            </w:r>
          </w:p>
        </w:tc>
        <w:tc>
          <w:tcPr>
            <w:tcW w:w="1701" w:type="dxa"/>
            <w:vAlign w:val="center"/>
          </w:tcPr>
          <w:p w14:paraId="622435B6" w14:textId="77777777" w:rsidR="00454A29" w:rsidRDefault="00454A29">
            <w:pPr>
              <w:pStyle w:val="ConsPlusNormal"/>
              <w:jc w:val="center"/>
            </w:pPr>
            <w:r>
              <w:t>0,00</w:t>
            </w:r>
          </w:p>
        </w:tc>
        <w:tc>
          <w:tcPr>
            <w:tcW w:w="1701" w:type="dxa"/>
            <w:vAlign w:val="center"/>
          </w:tcPr>
          <w:p w14:paraId="222D6501" w14:textId="77777777" w:rsidR="00454A29" w:rsidRDefault="00454A29">
            <w:pPr>
              <w:pStyle w:val="ConsPlusNormal"/>
              <w:jc w:val="center"/>
            </w:pPr>
            <w:r>
              <w:t>0,00</w:t>
            </w:r>
          </w:p>
        </w:tc>
        <w:tc>
          <w:tcPr>
            <w:tcW w:w="1701" w:type="dxa"/>
            <w:vAlign w:val="center"/>
          </w:tcPr>
          <w:p w14:paraId="4288A1B1" w14:textId="77777777" w:rsidR="00454A29" w:rsidRDefault="00454A29">
            <w:pPr>
              <w:pStyle w:val="ConsPlusNormal"/>
              <w:jc w:val="center"/>
            </w:pPr>
            <w:r>
              <w:t>0,00</w:t>
            </w:r>
          </w:p>
        </w:tc>
        <w:tc>
          <w:tcPr>
            <w:tcW w:w="1701" w:type="dxa"/>
            <w:vAlign w:val="center"/>
          </w:tcPr>
          <w:p w14:paraId="0EAFE456" w14:textId="77777777" w:rsidR="00454A29" w:rsidRDefault="00454A29">
            <w:pPr>
              <w:pStyle w:val="ConsPlusNormal"/>
              <w:jc w:val="center"/>
            </w:pPr>
            <w:r>
              <w:t>0,00</w:t>
            </w:r>
          </w:p>
        </w:tc>
        <w:tc>
          <w:tcPr>
            <w:tcW w:w="1701" w:type="dxa"/>
            <w:vAlign w:val="center"/>
          </w:tcPr>
          <w:p w14:paraId="0CD77357" w14:textId="77777777" w:rsidR="00454A29" w:rsidRDefault="00454A29">
            <w:pPr>
              <w:pStyle w:val="ConsPlusNormal"/>
              <w:jc w:val="center"/>
            </w:pPr>
            <w:r>
              <w:t>0,00</w:t>
            </w:r>
          </w:p>
        </w:tc>
        <w:tc>
          <w:tcPr>
            <w:tcW w:w="1701" w:type="dxa"/>
            <w:vAlign w:val="center"/>
          </w:tcPr>
          <w:p w14:paraId="407077A5" w14:textId="77777777" w:rsidR="00454A29" w:rsidRDefault="00454A29">
            <w:pPr>
              <w:pStyle w:val="ConsPlusNormal"/>
              <w:jc w:val="center"/>
            </w:pPr>
            <w:r>
              <w:t>0,00</w:t>
            </w:r>
          </w:p>
        </w:tc>
      </w:tr>
      <w:tr w:rsidR="00454A29" w14:paraId="4C199E9A" w14:textId="77777777">
        <w:tc>
          <w:tcPr>
            <w:tcW w:w="964" w:type="dxa"/>
            <w:vMerge w:val="restart"/>
            <w:vAlign w:val="center"/>
          </w:tcPr>
          <w:p w14:paraId="72B21882" w14:textId="77777777" w:rsidR="00454A29" w:rsidRDefault="00454A29">
            <w:pPr>
              <w:pStyle w:val="ConsPlusNormal"/>
              <w:jc w:val="center"/>
            </w:pPr>
            <w:r>
              <w:t>10.1.</w:t>
            </w:r>
          </w:p>
        </w:tc>
        <w:tc>
          <w:tcPr>
            <w:tcW w:w="2154" w:type="dxa"/>
            <w:vMerge w:val="restart"/>
            <w:tcBorders>
              <w:top w:val="nil"/>
              <w:bottom w:val="nil"/>
            </w:tcBorders>
            <w:vAlign w:val="center"/>
          </w:tcPr>
          <w:p w14:paraId="3563365A" w14:textId="77777777" w:rsidR="00454A29" w:rsidRDefault="00454A29">
            <w:pPr>
              <w:pStyle w:val="ConsPlusNormal"/>
            </w:pPr>
          </w:p>
        </w:tc>
        <w:tc>
          <w:tcPr>
            <w:tcW w:w="2154" w:type="dxa"/>
            <w:vMerge w:val="restart"/>
            <w:tcBorders>
              <w:top w:val="nil"/>
              <w:bottom w:val="nil"/>
            </w:tcBorders>
            <w:vAlign w:val="center"/>
          </w:tcPr>
          <w:p w14:paraId="3A28EFBD" w14:textId="77777777" w:rsidR="00454A29" w:rsidRDefault="00454A29">
            <w:pPr>
              <w:pStyle w:val="ConsPlusNormal"/>
            </w:pPr>
          </w:p>
        </w:tc>
        <w:tc>
          <w:tcPr>
            <w:tcW w:w="2665" w:type="dxa"/>
            <w:vMerge w:val="restart"/>
            <w:vAlign w:val="center"/>
          </w:tcPr>
          <w:p w14:paraId="4F8205B8" w14:textId="77777777" w:rsidR="00454A29" w:rsidRDefault="00454A29">
            <w:pPr>
              <w:pStyle w:val="ConsPlusNormal"/>
              <w:jc w:val="center"/>
            </w:pPr>
            <w:r>
              <w:t>Результат 1. Обеспечение высококвалифицированными кадрами цифровой экономики</w:t>
            </w:r>
          </w:p>
        </w:tc>
        <w:tc>
          <w:tcPr>
            <w:tcW w:w="2665" w:type="dxa"/>
            <w:vMerge w:val="restart"/>
            <w:vAlign w:val="center"/>
          </w:tcPr>
          <w:p w14:paraId="4A223870" w14:textId="77777777" w:rsidR="00454A29" w:rsidRDefault="00454A29">
            <w:pPr>
              <w:pStyle w:val="ConsPlusNormal"/>
              <w:jc w:val="center"/>
            </w:pPr>
            <w:r>
              <w:t>Мероприятие 3.11.1. Обеспечение подготовки высококвалифицированных кадров для цифровой экономики</w:t>
            </w:r>
          </w:p>
        </w:tc>
        <w:tc>
          <w:tcPr>
            <w:tcW w:w="1928" w:type="dxa"/>
            <w:vMerge w:val="restart"/>
            <w:vAlign w:val="center"/>
          </w:tcPr>
          <w:p w14:paraId="1DDBFD4D" w14:textId="77777777" w:rsidR="00454A29" w:rsidRDefault="00454A29">
            <w:pPr>
              <w:pStyle w:val="ConsPlusNormal"/>
              <w:jc w:val="center"/>
            </w:pPr>
            <w:r>
              <w:t>-</w:t>
            </w:r>
          </w:p>
        </w:tc>
        <w:tc>
          <w:tcPr>
            <w:tcW w:w="1644" w:type="dxa"/>
            <w:vMerge w:val="restart"/>
            <w:vAlign w:val="center"/>
          </w:tcPr>
          <w:p w14:paraId="1B9139EF" w14:textId="77777777" w:rsidR="00454A29" w:rsidRDefault="00454A29">
            <w:pPr>
              <w:pStyle w:val="ConsPlusNormal"/>
              <w:jc w:val="center"/>
            </w:pPr>
            <w:r>
              <w:t>-</w:t>
            </w:r>
          </w:p>
        </w:tc>
        <w:tc>
          <w:tcPr>
            <w:tcW w:w="2041" w:type="dxa"/>
            <w:vMerge w:val="restart"/>
            <w:vAlign w:val="center"/>
          </w:tcPr>
          <w:p w14:paraId="2D6839D3" w14:textId="77777777" w:rsidR="00454A29" w:rsidRDefault="00454A29">
            <w:pPr>
              <w:pStyle w:val="ConsPlusNormal"/>
              <w:jc w:val="center"/>
            </w:pPr>
            <w:r>
              <w:t>-</w:t>
            </w:r>
          </w:p>
        </w:tc>
        <w:tc>
          <w:tcPr>
            <w:tcW w:w="2098" w:type="dxa"/>
            <w:vAlign w:val="center"/>
          </w:tcPr>
          <w:p w14:paraId="127F2FBE" w14:textId="77777777" w:rsidR="00454A29" w:rsidRDefault="00454A29">
            <w:pPr>
              <w:pStyle w:val="ConsPlusNormal"/>
              <w:jc w:val="center"/>
            </w:pPr>
            <w:r>
              <w:t>Итого</w:t>
            </w:r>
          </w:p>
        </w:tc>
        <w:tc>
          <w:tcPr>
            <w:tcW w:w="1814" w:type="dxa"/>
            <w:vAlign w:val="center"/>
          </w:tcPr>
          <w:p w14:paraId="34574891" w14:textId="77777777" w:rsidR="00454A29" w:rsidRDefault="00454A29">
            <w:pPr>
              <w:pStyle w:val="ConsPlusNormal"/>
              <w:jc w:val="center"/>
            </w:pPr>
            <w:r>
              <w:t>0,00</w:t>
            </w:r>
          </w:p>
        </w:tc>
        <w:tc>
          <w:tcPr>
            <w:tcW w:w="1701" w:type="dxa"/>
            <w:vAlign w:val="center"/>
          </w:tcPr>
          <w:p w14:paraId="1387B387" w14:textId="77777777" w:rsidR="00454A29" w:rsidRDefault="00454A29">
            <w:pPr>
              <w:pStyle w:val="ConsPlusNormal"/>
              <w:jc w:val="center"/>
            </w:pPr>
            <w:r>
              <w:t>0,00</w:t>
            </w:r>
          </w:p>
        </w:tc>
        <w:tc>
          <w:tcPr>
            <w:tcW w:w="1701" w:type="dxa"/>
            <w:vAlign w:val="center"/>
          </w:tcPr>
          <w:p w14:paraId="57FEF525" w14:textId="77777777" w:rsidR="00454A29" w:rsidRDefault="00454A29">
            <w:pPr>
              <w:pStyle w:val="ConsPlusNormal"/>
              <w:jc w:val="center"/>
            </w:pPr>
            <w:r>
              <w:t>0,00</w:t>
            </w:r>
          </w:p>
        </w:tc>
        <w:tc>
          <w:tcPr>
            <w:tcW w:w="1701" w:type="dxa"/>
            <w:vAlign w:val="center"/>
          </w:tcPr>
          <w:p w14:paraId="6B0F61A2" w14:textId="77777777" w:rsidR="00454A29" w:rsidRDefault="00454A29">
            <w:pPr>
              <w:pStyle w:val="ConsPlusNormal"/>
              <w:jc w:val="center"/>
            </w:pPr>
            <w:r>
              <w:t>0,00</w:t>
            </w:r>
          </w:p>
        </w:tc>
        <w:tc>
          <w:tcPr>
            <w:tcW w:w="1701" w:type="dxa"/>
            <w:vAlign w:val="center"/>
          </w:tcPr>
          <w:p w14:paraId="482171D9" w14:textId="77777777" w:rsidR="00454A29" w:rsidRDefault="00454A29">
            <w:pPr>
              <w:pStyle w:val="ConsPlusNormal"/>
              <w:jc w:val="center"/>
            </w:pPr>
            <w:r>
              <w:t>0,00</w:t>
            </w:r>
          </w:p>
        </w:tc>
        <w:tc>
          <w:tcPr>
            <w:tcW w:w="1701" w:type="dxa"/>
            <w:vAlign w:val="center"/>
          </w:tcPr>
          <w:p w14:paraId="46195E2F" w14:textId="77777777" w:rsidR="00454A29" w:rsidRDefault="00454A29">
            <w:pPr>
              <w:pStyle w:val="ConsPlusNormal"/>
              <w:jc w:val="center"/>
            </w:pPr>
            <w:r>
              <w:t>0,00</w:t>
            </w:r>
          </w:p>
        </w:tc>
        <w:tc>
          <w:tcPr>
            <w:tcW w:w="1701" w:type="dxa"/>
            <w:vAlign w:val="center"/>
          </w:tcPr>
          <w:p w14:paraId="563F0E6F" w14:textId="77777777" w:rsidR="00454A29" w:rsidRDefault="00454A29">
            <w:pPr>
              <w:pStyle w:val="ConsPlusNormal"/>
              <w:jc w:val="center"/>
            </w:pPr>
            <w:r>
              <w:t>0,00</w:t>
            </w:r>
          </w:p>
        </w:tc>
      </w:tr>
      <w:tr w:rsidR="00454A29" w14:paraId="59F8FB58" w14:textId="77777777">
        <w:tc>
          <w:tcPr>
            <w:tcW w:w="964" w:type="dxa"/>
            <w:vMerge/>
          </w:tcPr>
          <w:p w14:paraId="0DE65177" w14:textId="77777777" w:rsidR="00454A29" w:rsidRDefault="00454A29"/>
        </w:tc>
        <w:tc>
          <w:tcPr>
            <w:tcW w:w="2154" w:type="dxa"/>
            <w:vMerge/>
            <w:tcBorders>
              <w:top w:val="nil"/>
              <w:bottom w:val="nil"/>
            </w:tcBorders>
          </w:tcPr>
          <w:p w14:paraId="57CFFBB3" w14:textId="77777777" w:rsidR="00454A29" w:rsidRDefault="00454A29"/>
        </w:tc>
        <w:tc>
          <w:tcPr>
            <w:tcW w:w="2154" w:type="dxa"/>
            <w:vMerge/>
            <w:tcBorders>
              <w:top w:val="nil"/>
              <w:bottom w:val="nil"/>
            </w:tcBorders>
          </w:tcPr>
          <w:p w14:paraId="60F7E814" w14:textId="77777777" w:rsidR="00454A29" w:rsidRDefault="00454A29"/>
        </w:tc>
        <w:tc>
          <w:tcPr>
            <w:tcW w:w="2665" w:type="dxa"/>
            <w:vMerge/>
          </w:tcPr>
          <w:p w14:paraId="218F303E" w14:textId="77777777" w:rsidR="00454A29" w:rsidRDefault="00454A29"/>
        </w:tc>
        <w:tc>
          <w:tcPr>
            <w:tcW w:w="2665" w:type="dxa"/>
            <w:vMerge/>
          </w:tcPr>
          <w:p w14:paraId="0D3A805C" w14:textId="77777777" w:rsidR="00454A29" w:rsidRDefault="00454A29"/>
        </w:tc>
        <w:tc>
          <w:tcPr>
            <w:tcW w:w="1928" w:type="dxa"/>
            <w:vMerge/>
          </w:tcPr>
          <w:p w14:paraId="185B07FD" w14:textId="77777777" w:rsidR="00454A29" w:rsidRDefault="00454A29"/>
        </w:tc>
        <w:tc>
          <w:tcPr>
            <w:tcW w:w="1644" w:type="dxa"/>
            <w:vMerge/>
          </w:tcPr>
          <w:p w14:paraId="774E4215" w14:textId="77777777" w:rsidR="00454A29" w:rsidRDefault="00454A29"/>
        </w:tc>
        <w:tc>
          <w:tcPr>
            <w:tcW w:w="2041" w:type="dxa"/>
            <w:vMerge/>
          </w:tcPr>
          <w:p w14:paraId="104A2348" w14:textId="77777777" w:rsidR="00454A29" w:rsidRDefault="00454A29"/>
        </w:tc>
        <w:tc>
          <w:tcPr>
            <w:tcW w:w="2098" w:type="dxa"/>
            <w:vAlign w:val="center"/>
          </w:tcPr>
          <w:p w14:paraId="07383A2E"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131CB2F5" w14:textId="77777777" w:rsidR="00454A29" w:rsidRDefault="00454A29">
            <w:pPr>
              <w:pStyle w:val="ConsPlusNormal"/>
              <w:jc w:val="center"/>
            </w:pPr>
            <w:r>
              <w:t>0,00</w:t>
            </w:r>
          </w:p>
        </w:tc>
        <w:tc>
          <w:tcPr>
            <w:tcW w:w="1701" w:type="dxa"/>
            <w:vAlign w:val="center"/>
          </w:tcPr>
          <w:p w14:paraId="4F0A15FA" w14:textId="77777777" w:rsidR="00454A29" w:rsidRDefault="00454A29">
            <w:pPr>
              <w:pStyle w:val="ConsPlusNormal"/>
              <w:jc w:val="center"/>
            </w:pPr>
            <w:r>
              <w:t>0,00</w:t>
            </w:r>
          </w:p>
        </w:tc>
        <w:tc>
          <w:tcPr>
            <w:tcW w:w="1701" w:type="dxa"/>
            <w:vAlign w:val="center"/>
          </w:tcPr>
          <w:p w14:paraId="50FA01C5" w14:textId="77777777" w:rsidR="00454A29" w:rsidRDefault="00454A29">
            <w:pPr>
              <w:pStyle w:val="ConsPlusNormal"/>
              <w:jc w:val="center"/>
            </w:pPr>
            <w:r>
              <w:t>0,00</w:t>
            </w:r>
          </w:p>
        </w:tc>
        <w:tc>
          <w:tcPr>
            <w:tcW w:w="1701" w:type="dxa"/>
            <w:vAlign w:val="center"/>
          </w:tcPr>
          <w:p w14:paraId="2222B643" w14:textId="77777777" w:rsidR="00454A29" w:rsidRDefault="00454A29">
            <w:pPr>
              <w:pStyle w:val="ConsPlusNormal"/>
              <w:jc w:val="center"/>
            </w:pPr>
            <w:r>
              <w:t>0,00</w:t>
            </w:r>
          </w:p>
        </w:tc>
        <w:tc>
          <w:tcPr>
            <w:tcW w:w="1701" w:type="dxa"/>
            <w:vAlign w:val="center"/>
          </w:tcPr>
          <w:p w14:paraId="28B6FE0F" w14:textId="77777777" w:rsidR="00454A29" w:rsidRDefault="00454A29">
            <w:pPr>
              <w:pStyle w:val="ConsPlusNormal"/>
              <w:jc w:val="center"/>
            </w:pPr>
            <w:r>
              <w:t>0,00</w:t>
            </w:r>
          </w:p>
        </w:tc>
        <w:tc>
          <w:tcPr>
            <w:tcW w:w="1701" w:type="dxa"/>
            <w:vAlign w:val="center"/>
          </w:tcPr>
          <w:p w14:paraId="0F3D5780" w14:textId="77777777" w:rsidR="00454A29" w:rsidRDefault="00454A29">
            <w:pPr>
              <w:pStyle w:val="ConsPlusNormal"/>
              <w:jc w:val="center"/>
            </w:pPr>
            <w:r>
              <w:t>0,00</w:t>
            </w:r>
          </w:p>
        </w:tc>
        <w:tc>
          <w:tcPr>
            <w:tcW w:w="1701" w:type="dxa"/>
            <w:vAlign w:val="center"/>
          </w:tcPr>
          <w:p w14:paraId="3F527901" w14:textId="77777777" w:rsidR="00454A29" w:rsidRDefault="00454A29">
            <w:pPr>
              <w:pStyle w:val="ConsPlusNormal"/>
              <w:jc w:val="center"/>
            </w:pPr>
            <w:r>
              <w:t>0,00</w:t>
            </w:r>
          </w:p>
        </w:tc>
      </w:tr>
      <w:tr w:rsidR="00454A29" w14:paraId="758E213E" w14:textId="77777777">
        <w:tc>
          <w:tcPr>
            <w:tcW w:w="964" w:type="dxa"/>
            <w:vMerge/>
          </w:tcPr>
          <w:p w14:paraId="3FCF52F5" w14:textId="77777777" w:rsidR="00454A29" w:rsidRDefault="00454A29"/>
        </w:tc>
        <w:tc>
          <w:tcPr>
            <w:tcW w:w="2154" w:type="dxa"/>
            <w:vMerge/>
            <w:tcBorders>
              <w:top w:val="nil"/>
              <w:bottom w:val="nil"/>
            </w:tcBorders>
          </w:tcPr>
          <w:p w14:paraId="0FAE61BD" w14:textId="77777777" w:rsidR="00454A29" w:rsidRDefault="00454A29"/>
        </w:tc>
        <w:tc>
          <w:tcPr>
            <w:tcW w:w="2154" w:type="dxa"/>
            <w:vMerge/>
            <w:tcBorders>
              <w:top w:val="nil"/>
              <w:bottom w:val="nil"/>
            </w:tcBorders>
          </w:tcPr>
          <w:p w14:paraId="2FE8563E" w14:textId="77777777" w:rsidR="00454A29" w:rsidRDefault="00454A29"/>
        </w:tc>
        <w:tc>
          <w:tcPr>
            <w:tcW w:w="2665" w:type="dxa"/>
            <w:vMerge/>
          </w:tcPr>
          <w:p w14:paraId="7F416668" w14:textId="77777777" w:rsidR="00454A29" w:rsidRDefault="00454A29"/>
        </w:tc>
        <w:tc>
          <w:tcPr>
            <w:tcW w:w="2665" w:type="dxa"/>
            <w:vMerge/>
          </w:tcPr>
          <w:p w14:paraId="0B02947A" w14:textId="77777777" w:rsidR="00454A29" w:rsidRDefault="00454A29"/>
        </w:tc>
        <w:tc>
          <w:tcPr>
            <w:tcW w:w="1928" w:type="dxa"/>
            <w:vMerge/>
          </w:tcPr>
          <w:p w14:paraId="7D06C6FC" w14:textId="77777777" w:rsidR="00454A29" w:rsidRDefault="00454A29"/>
        </w:tc>
        <w:tc>
          <w:tcPr>
            <w:tcW w:w="1644" w:type="dxa"/>
            <w:vMerge/>
          </w:tcPr>
          <w:p w14:paraId="080CBA5F" w14:textId="77777777" w:rsidR="00454A29" w:rsidRDefault="00454A29"/>
        </w:tc>
        <w:tc>
          <w:tcPr>
            <w:tcW w:w="2041" w:type="dxa"/>
            <w:vMerge/>
          </w:tcPr>
          <w:p w14:paraId="6B5675B2" w14:textId="77777777" w:rsidR="00454A29" w:rsidRDefault="00454A29"/>
        </w:tc>
        <w:tc>
          <w:tcPr>
            <w:tcW w:w="2098" w:type="dxa"/>
            <w:vAlign w:val="center"/>
          </w:tcPr>
          <w:p w14:paraId="6EEE2DCA" w14:textId="77777777" w:rsidR="00454A29" w:rsidRDefault="00454A29">
            <w:pPr>
              <w:pStyle w:val="ConsPlusNormal"/>
              <w:jc w:val="center"/>
            </w:pPr>
            <w:r>
              <w:t>Федеральный бюджет</w:t>
            </w:r>
          </w:p>
        </w:tc>
        <w:tc>
          <w:tcPr>
            <w:tcW w:w="1814" w:type="dxa"/>
            <w:vAlign w:val="center"/>
          </w:tcPr>
          <w:p w14:paraId="425F8F9A" w14:textId="77777777" w:rsidR="00454A29" w:rsidRDefault="00454A29">
            <w:pPr>
              <w:pStyle w:val="ConsPlusNormal"/>
              <w:jc w:val="center"/>
            </w:pPr>
            <w:r>
              <w:t>0,00</w:t>
            </w:r>
          </w:p>
        </w:tc>
        <w:tc>
          <w:tcPr>
            <w:tcW w:w="1701" w:type="dxa"/>
            <w:vAlign w:val="center"/>
          </w:tcPr>
          <w:p w14:paraId="6714CC1A" w14:textId="77777777" w:rsidR="00454A29" w:rsidRDefault="00454A29">
            <w:pPr>
              <w:pStyle w:val="ConsPlusNormal"/>
              <w:jc w:val="center"/>
            </w:pPr>
            <w:r>
              <w:t>0,00</w:t>
            </w:r>
          </w:p>
        </w:tc>
        <w:tc>
          <w:tcPr>
            <w:tcW w:w="1701" w:type="dxa"/>
            <w:vAlign w:val="center"/>
          </w:tcPr>
          <w:p w14:paraId="23E6F463" w14:textId="77777777" w:rsidR="00454A29" w:rsidRDefault="00454A29">
            <w:pPr>
              <w:pStyle w:val="ConsPlusNormal"/>
              <w:jc w:val="center"/>
            </w:pPr>
            <w:r>
              <w:t>0,00</w:t>
            </w:r>
          </w:p>
        </w:tc>
        <w:tc>
          <w:tcPr>
            <w:tcW w:w="1701" w:type="dxa"/>
            <w:vAlign w:val="center"/>
          </w:tcPr>
          <w:p w14:paraId="6E3A45DD" w14:textId="77777777" w:rsidR="00454A29" w:rsidRDefault="00454A29">
            <w:pPr>
              <w:pStyle w:val="ConsPlusNormal"/>
              <w:jc w:val="center"/>
            </w:pPr>
            <w:r>
              <w:t>0,00</w:t>
            </w:r>
          </w:p>
        </w:tc>
        <w:tc>
          <w:tcPr>
            <w:tcW w:w="1701" w:type="dxa"/>
            <w:vAlign w:val="center"/>
          </w:tcPr>
          <w:p w14:paraId="4C972F90" w14:textId="77777777" w:rsidR="00454A29" w:rsidRDefault="00454A29">
            <w:pPr>
              <w:pStyle w:val="ConsPlusNormal"/>
              <w:jc w:val="center"/>
            </w:pPr>
            <w:r>
              <w:t>0,00</w:t>
            </w:r>
          </w:p>
        </w:tc>
        <w:tc>
          <w:tcPr>
            <w:tcW w:w="1701" w:type="dxa"/>
            <w:vAlign w:val="center"/>
          </w:tcPr>
          <w:p w14:paraId="5F087FF3" w14:textId="77777777" w:rsidR="00454A29" w:rsidRDefault="00454A29">
            <w:pPr>
              <w:pStyle w:val="ConsPlusNormal"/>
              <w:jc w:val="center"/>
            </w:pPr>
            <w:r>
              <w:t>0,00</w:t>
            </w:r>
          </w:p>
        </w:tc>
        <w:tc>
          <w:tcPr>
            <w:tcW w:w="1701" w:type="dxa"/>
            <w:vAlign w:val="center"/>
          </w:tcPr>
          <w:p w14:paraId="642188E8" w14:textId="77777777" w:rsidR="00454A29" w:rsidRDefault="00454A29">
            <w:pPr>
              <w:pStyle w:val="ConsPlusNormal"/>
              <w:jc w:val="center"/>
            </w:pPr>
            <w:r>
              <w:t>0,00</w:t>
            </w:r>
          </w:p>
        </w:tc>
      </w:tr>
      <w:tr w:rsidR="00454A29" w14:paraId="6535D070" w14:textId="77777777">
        <w:tc>
          <w:tcPr>
            <w:tcW w:w="964" w:type="dxa"/>
            <w:vMerge/>
          </w:tcPr>
          <w:p w14:paraId="689E361E" w14:textId="77777777" w:rsidR="00454A29" w:rsidRDefault="00454A29"/>
        </w:tc>
        <w:tc>
          <w:tcPr>
            <w:tcW w:w="2154" w:type="dxa"/>
            <w:vMerge/>
            <w:tcBorders>
              <w:top w:val="nil"/>
              <w:bottom w:val="nil"/>
            </w:tcBorders>
          </w:tcPr>
          <w:p w14:paraId="188EFAA3" w14:textId="77777777" w:rsidR="00454A29" w:rsidRDefault="00454A29"/>
        </w:tc>
        <w:tc>
          <w:tcPr>
            <w:tcW w:w="2154" w:type="dxa"/>
            <w:vMerge/>
            <w:tcBorders>
              <w:top w:val="nil"/>
              <w:bottom w:val="nil"/>
            </w:tcBorders>
          </w:tcPr>
          <w:p w14:paraId="4031FB9B" w14:textId="77777777" w:rsidR="00454A29" w:rsidRDefault="00454A29"/>
        </w:tc>
        <w:tc>
          <w:tcPr>
            <w:tcW w:w="2665" w:type="dxa"/>
            <w:vMerge/>
          </w:tcPr>
          <w:p w14:paraId="588E5295" w14:textId="77777777" w:rsidR="00454A29" w:rsidRDefault="00454A29"/>
        </w:tc>
        <w:tc>
          <w:tcPr>
            <w:tcW w:w="2665" w:type="dxa"/>
            <w:vMerge/>
          </w:tcPr>
          <w:p w14:paraId="6702FFD5" w14:textId="77777777" w:rsidR="00454A29" w:rsidRDefault="00454A29"/>
        </w:tc>
        <w:tc>
          <w:tcPr>
            <w:tcW w:w="1928" w:type="dxa"/>
            <w:vMerge/>
          </w:tcPr>
          <w:p w14:paraId="791D892F" w14:textId="77777777" w:rsidR="00454A29" w:rsidRDefault="00454A29"/>
        </w:tc>
        <w:tc>
          <w:tcPr>
            <w:tcW w:w="1644" w:type="dxa"/>
            <w:vMerge/>
          </w:tcPr>
          <w:p w14:paraId="7D24C51C" w14:textId="77777777" w:rsidR="00454A29" w:rsidRDefault="00454A29"/>
        </w:tc>
        <w:tc>
          <w:tcPr>
            <w:tcW w:w="2041" w:type="dxa"/>
            <w:vMerge/>
          </w:tcPr>
          <w:p w14:paraId="06AAB8E3" w14:textId="77777777" w:rsidR="00454A29" w:rsidRDefault="00454A29"/>
        </w:tc>
        <w:tc>
          <w:tcPr>
            <w:tcW w:w="2098" w:type="dxa"/>
            <w:vAlign w:val="center"/>
          </w:tcPr>
          <w:p w14:paraId="5E839DBA" w14:textId="77777777" w:rsidR="00454A29" w:rsidRDefault="00454A29">
            <w:pPr>
              <w:pStyle w:val="ConsPlusNormal"/>
              <w:jc w:val="center"/>
            </w:pPr>
            <w:r>
              <w:t>Местные бюджеты</w:t>
            </w:r>
          </w:p>
        </w:tc>
        <w:tc>
          <w:tcPr>
            <w:tcW w:w="1814" w:type="dxa"/>
            <w:vAlign w:val="center"/>
          </w:tcPr>
          <w:p w14:paraId="7A46CA6C" w14:textId="77777777" w:rsidR="00454A29" w:rsidRDefault="00454A29">
            <w:pPr>
              <w:pStyle w:val="ConsPlusNormal"/>
              <w:jc w:val="center"/>
            </w:pPr>
            <w:r>
              <w:t>0,00</w:t>
            </w:r>
          </w:p>
        </w:tc>
        <w:tc>
          <w:tcPr>
            <w:tcW w:w="1701" w:type="dxa"/>
            <w:vAlign w:val="center"/>
          </w:tcPr>
          <w:p w14:paraId="08D099FB" w14:textId="77777777" w:rsidR="00454A29" w:rsidRDefault="00454A29">
            <w:pPr>
              <w:pStyle w:val="ConsPlusNormal"/>
              <w:jc w:val="center"/>
            </w:pPr>
            <w:r>
              <w:t>0,00</w:t>
            </w:r>
          </w:p>
        </w:tc>
        <w:tc>
          <w:tcPr>
            <w:tcW w:w="1701" w:type="dxa"/>
            <w:vAlign w:val="center"/>
          </w:tcPr>
          <w:p w14:paraId="45AFF8B1" w14:textId="77777777" w:rsidR="00454A29" w:rsidRDefault="00454A29">
            <w:pPr>
              <w:pStyle w:val="ConsPlusNormal"/>
              <w:jc w:val="center"/>
            </w:pPr>
            <w:r>
              <w:t>0,00</w:t>
            </w:r>
          </w:p>
        </w:tc>
        <w:tc>
          <w:tcPr>
            <w:tcW w:w="1701" w:type="dxa"/>
            <w:vAlign w:val="center"/>
          </w:tcPr>
          <w:p w14:paraId="0AE47539" w14:textId="77777777" w:rsidR="00454A29" w:rsidRDefault="00454A29">
            <w:pPr>
              <w:pStyle w:val="ConsPlusNormal"/>
              <w:jc w:val="center"/>
            </w:pPr>
            <w:r>
              <w:t>0,00</w:t>
            </w:r>
          </w:p>
        </w:tc>
        <w:tc>
          <w:tcPr>
            <w:tcW w:w="1701" w:type="dxa"/>
            <w:vAlign w:val="center"/>
          </w:tcPr>
          <w:p w14:paraId="7971B3CA" w14:textId="77777777" w:rsidR="00454A29" w:rsidRDefault="00454A29">
            <w:pPr>
              <w:pStyle w:val="ConsPlusNormal"/>
              <w:jc w:val="center"/>
            </w:pPr>
            <w:r>
              <w:t>0,00</w:t>
            </w:r>
          </w:p>
        </w:tc>
        <w:tc>
          <w:tcPr>
            <w:tcW w:w="1701" w:type="dxa"/>
            <w:vAlign w:val="center"/>
          </w:tcPr>
          <w:p w14:paraId="1A0B5368" w14:textId="77777777" w:rsidR="00454A29" w:rsidRDefault="00454A29">
            <w:pPr>
              <w:pStyle w:val="ConsPlusNormal"/>
              <w:jc w:val="center"/>
            </w:pPr>
            <w:r>
              <w:t>0,00</w:t>
            </w:r>
          </w:p>
        </w:tc>
        <w:tc>
          <w:tcPr>
            <w:tcW w:w="1701" w:type="dxa"/>
            <w:vAlign w:val="center"/>
          </w:tcPr>
          <w:p w14:paraId="3F8B7C8C" w14:textId="77777777" w:rsidR="00454A29" w:rsidRDefault="00454A29">
            <w:pPr>
              <w:pStyle w:val="ConsPlusNormal"/>
              <w:jc w:val="center"/>
            </w:pPr>
            <w:r>
              <w:t>0,00</w:t>
            </w:r>
          </w:p>
        </w:tc>
      </w:tr>
      <w:tr w:rsidR="00454A29" w14:paraId="5C5F20AB" w14:textId="77777777">
        <w:tc>
          <w:tcPr>
            <w:tcW w:w="964" w:type="dxa"/>
            <w:vMerge/>
          </w:tcPr>
          <w:p w14:paraId="5C8A40C3" w14:textId="77777777" w:rsidR="00454A29" w:rsidRDefault="00454A29"/>
        </w:tc>
        <w:tc>
          <w:tcPr>
            <w:tcW w:w="2154" w:type="dxa"/>
            <w:vMerge/>
            <w:tcBorders>
              <w:top w:val="nil"/>
              <w:bottom w:val="nil"/>
            </w:tcBorders>
          </w:tcPr>
          <w:p w14:paraId="3EE35E25" w14:textId="77777777" w:rsidR="00454A29" w:rsidRDefault="00454A29"/>
        </w:tc>
        <w:tc>
          <w:tcPr>
            <w:tcW w:w="2154" w:type="dxa"/>
            <w:vMerge/>
            <w:tcBorders>
              <w:top w:val="nil"/>
              <w:bottom w:val="nil"/>
            </w:tcBorders>
          </w:tcPr>
          <w:p w14:paraId="339F7B19" w14:textId="77777777" w:rsidR="00454A29" w:rsidRDefault="00454A29"/>
        </w:tc>
        <w:tc>
          <w:tcPr>
            <w:tcW w:w="2665" w:type="dxa"/>
            <w:vMerge/>
          </w:tcPr>
          <w:p w14:paraId="084236C4" w14:textId="77777777" w:rsidR="00454A29" w:rsidRDefault="00454A29"/>
        </w:tc>
        <w:tc>
          <w:tcPr>
            <w:tcW w:w="2665" w:type="dxa"/>
            <w:vMerge/>
          </w:tcPr>
          <w:p w14:paraId="6F3BB805" w14:textId="77777777" w:rsidR="00454A29" w:rsidRDefault="00454A29"/>
        </w:tc>
        <w:tc>
          <w:tcPr>
            <w:tcW w:w="1928" w:type="dxa"/>
            <w:vMerge/>
          </w:tcPr>
          <w:p w14:paraId="610F8835" w14:textId="77777777" w:rsidR="00454A29" w:rsidRDefault="00454A29"/>
        </w:tc>
        <w:tc>
          <w:tcPr>
            <w:tcW w:w="1644" w:type="dxa"/>
            <w:vMerge/>
          </w:tcPr>
          <w:p w14:paraId="2BE944C7" w14:textId="77777777" w:rsidR="00454A29" w:rsidRDefault="00454A29"/>
        </w:tc>
        <w:tc>
          <w:tcPr>
            <w:tcW w:w="2041" w:type="dxa"/>
            <w:vMerge/>
          </w:tcPr>
          <w:p w14:paraId="2F0052DF" w14:textId="77777777" w:rsidR="00454A29" w:rsidRDefault="00454A29"/>
        </w:tc>
        <w:tc>
          <w:tcPr>
            <w:tcW w:w="2098" w:type="dxa"/>
            <w:vAlign w:val="center"/>
          </w:tcPr>
          <w:p w14:paraId="3A7800EA" w14:textId="77777777" w:rsidR="00454A29" w:rsidRDefault="00454A29">
            <w:pPr>
              <w:pStyle w:val="ConsPlusNormal"/>
              <w:jc w:val="center"/>
            </w:pPr>
            <w:r>
              <w:t>Внебюджетные средства</w:t>
            </w:r>
          </w:p>
        </w:tc>
        <w:tc>
          <w:tcPr>
            <w:tcW w:w="1814" w:type="dxa"/>
            <w:vAlign w:val="center"/>
          </w:tcPr>
          <w:p w14:paraId="28C7EAEC" w14:textId="77777777" w:rsidR="00454A29" w:rsidRDefault="00454A29">
            <w:pPr>
              <w:pStyle w:val="ConsPlusNormal"/>
              <w:jc w:val="center"/>
            </w:pPr>
            <w:r>
              <w:t>0,00</w:t>
            </w:r>
          </w:p>
        </w:tc>
        <w:tc>
          <w:tcPr>
            <w:tcW w:w="1701" w:type="dxa"/>
            <w:vAlign w:val="center"/>
          </w:tcPr>
          <w:p w14:paraId="188C3861" w14:textId="77777777" w:rsidR="00454A29" w:rsidRDefault="00454A29">
            <w:pPr>
              <w:pStyle w:val="ConsPlusNormal"/>
              <w:jc w:val="center"/>
            </w:pPr>
            <w:r>
              <w:t>0,00</w:t>
            </w:r>
          </w:p>
        </w:tc>
        <w:tc>
          <w:tcPr>
            <w:tcW w:w="1701" w:type="dxa"/>
            <w:vAlign w:val="center"/>
          </w:tcPr>
          <w:p w14:paraId="565B9024" w14:textId="77777777" w:rsidR="00454A29" w:rsidRDefault="00454A29">
            <w:pPr>
              <w:pStyle w:val="ConsPlusNormal"/>
              <w:jc w:val="center"/>
            </w:pPr>
            <w:r>
              <w:t>0,00</w:t>
            </w:r>
          </w:p>
        </w:tc>
        <w:tc>
          <w:tcPr>
            <w:tcW w:w="1701" w:type="dxa"/>
            <w:vAlign w:val="center"/>
          </w:tcPr>
          <w:p w14:paraId="11B5AA0B" w14:textId="77777777" w:rsidR="00454A29" w:rsidRDefault="00454A29">
            <w:pPr>
              <w:pStyle w:val="ConsPlusNormal"/>
              <w:jc w:val="center"/>
            </w:pPr>
            <w:r>
              <w:t>0,00</w:t>
            </w:r>
          </w:p>
        </w:tc>
        <w:tc>
          <w:tcPr>
            <w:tcW w:w="1701" w:type="dxa"/>
            <w:vAlign w:val="center"/>
          </w:tcPr>
          <w:p w14:paraId="0149303B" w14:textId="77777777" w:rsidR="00454A29" w:rsidRDefault="00454A29">
            <w:pPr>
              <w:pStyle w:val="ConsPlusNormal"/>
              <w:jc w:val="center"/>
            </w:pPr>
            <w:r>
              <w:t>0,00</w:t>
            </w:r>
          </w:p>
        </w:tc>
        <w:tc>
          <w:tcPr>
            <w:tcW w:w="1701" w:type="dxa"/>
            <w:vAlign w:val="center"/>
          </w:tcPr>
          <w:p w14:paraId="6FCBFECE" w14:textId="77777777" w:rsidR="00454A29" w:rsidRDefault="00454A29">
            <w:pPr>
              <w:pStyle w:val="ConsPlusNormal"/>
              <w:jc w:val="center"/>
            </w:pPr>
            <w:r>
              <w:t>0,00</w:t>
            </w:r>
          </w:p>
        </w:tc>
        <w:tc>
          <w:tcPr>
            <w:tcW w:w="1701" w:type="dxa"/>
            <w:vAlign w:val="center"/>
          </w:tcPr>
          <w:p w14:paraId="7FFB0797" w14:textId="77777777" w:rsidR="00454A29" w:rsidRDefault="00454A29">
            <w:pPr>
              <w:pStyle w:val="ConsPlusNormal"/>
              <w:jc w:val="center"/>
            </w:pPr>
            <w:r>
              <w:t>0,00</w:t>
            </w:r>
          </w:p>
        </w:tc>
      </w:tr>
      <w:tr w:rsidR="00454A29" w14:paraId="124E0835" w14:textId="77777777">
        <w:tc>
          <w:tcPr>
            <w:tcW w:w="964" w:type="dxa"/>
            <w:vMerge w:val="restart"/>
            <w:vAlign w:val="center"/>
          </w:tcPr>
          <w:p w14:paraId="487520DA" w14:textId="77777777" w:rsidR="00454A29" w:rsidRDefault="00454A29">
            <w:pPr>
              <w:pStyle w:val="ConsPlusNormal"/>
              <w:jc w:val="center"/>
            </w:pPr>
            <w:r>
              <w:t>10.2.</w:t>
            </w:r>
          </w:p>
        </w:tc>
        <w:tc>
          <w:tcPr>
            <w:tcW w:w="2154" w:type="dxa"/>
            <w:vMerge w:val="restart"/>
            <w:tcBorders>
              <w:top w:val="nil"/>
              <w:bottom w:val="nil"/>
            </w:tcBorders>
            <w:vAlign w:val="center"/>
          </w:tcPr>
          <w:p w14:paraId="507A3824" w14:textId="77777777" w:rsidR="00454A29" w:rsidRDefault="00454A29">
            <w:pPr>
              <w:pStyle w:val="ConsPlusNormal"/>
            </w:pPr>
          </w:p>
        </w:tc>
        <w:tc>
          <w:tcPr>
            <w:tcW w:w="2154" w:type="dxa"/>
            <w:vMerge w:val="restart"/>
            <w:tcBorders>
              <w:top w:val="nil"/>
              <w:bottom w:val="nil"/>
            </w:tcBorders>
            <w:vAlign w:val="center"/>
          </w:tcPr>
          <w:p w14:paraId="7BC89AF6" w14:textId="77777777" w:rsidR="00454A29" w:rsidRDefault="00454A29">
            <w:pPr>
              <w:pStyle w:val="ConsPlusNormal"/>
            </w:pPr>
          </w:p>
        </w:tc>
        <w:tc>
          <w:tcPr>
            <w:tcW w:w="2665" w:type="dxa"/>
            <w:vMerge/>
          </w:tcPr>
          <w:p w14:paraId="59EDC00F" w14:textId="77777777" w:rsidR="00454A29" w:rsidRDefault="00454A29"/>
        </w:tc>
        <w:tc>
          <w:tcPr>
            <w:tcW w:w="2665" w:type="dxa"/>
            <w:vMerge w:val="restart"/>
            <w:vAlign w:val="center"/>
          </w:tcPr>
          <w:p w14:paraId="10EDE07C" w14:textId="77777777" w:rsidR="00454A29" w:rsidRDefault="00454A29">
            <w:pPr>
              <w:pStyle w:val="ConsPlusNormal"/>
              <w:jc w:val="center"/>
            </w:pPr>
            <w:r>
              <w:t xml:space="preserve">Мероприятие 3.11.2. Создание и поддержка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в рамках федерального проекта "Кадры для цифровой экономики" национальной программы "Цифровая экономика" государственной программы Российской </w:t>
            </w:r>
            <w:r>
              <w:lastRenderedPageBreak/>
              <w:t>Федерации "Развитие образования"</w:t>
            </w:r>
          </w:p>
        </w:tc>
        <w:tc>
          <w:tcPr>
            <w:tcW w:w="1928" w:type="dxa"/>
            <w:vMerge w:val="restart"/>
            <w:vAlign w:val="center"/>
          </w:tcPr>
          <w:p w14:paraId="10C9B124" w14:textId="77777777" w:rsidR="00454A29" w:rsidRDefault="00454A29">
            <w:pPr>
              <w:pStyle w:val="ConsPlusNormal"/>
              <w:jc w:val="center"/>
            </w:pPr>
            <w:r>
              <w:lastRenderedPageBreak/>
              <w:t>-</w:t>
            </w:r>
          </w:p>
        </w:tc>
        <w:tc>
          <w:tcPr>
            <w:tcW w:w="1644" w:type="dxa"/>
            <w:vMerge w:val="restart"/>
            <w:vAlign w:val="center"/>
          </w:tcPr>
          <w:p w14:paraId="249D7F7B" w14:textId="77777777" w:rsidR="00454A29" w:rsidRDefault="00454A29">
            <w:pPr>
              <w:pStyle w:val="ConsPlusNormal"/>
              <w:jc w:val="center"/>
            </w:pPr>
            <w:r>
              <w:t>-</w:t>
            </w:r>
          </w:p>
        </w:tc>
        <w:tc>
          <w:tcPr>
            <w:tcW w:w="2041" w:type="dxa"/>
            <w:vMerge w:val="restart"/>
            <w:vAlign w:val="center"/>
          </w:tcPr>
          <w:p w14:paraId="49305D83" w14:textId="77777777" w:rsidR="00454A29" w:rsidRDefault="00454A29">
            <w:pPr>
              <w:pStyle w:val="ConsPlusNormal"/>
              <w:jc w:val="center"/>
            </w:pPr>
            <w:r>
              <w:t>-</w:t>
            </w:r>
          </w:p>
        </w:tc>
        <w:tc>
          <w:tcPr>
            <w:tcW w:w="2098" w:type="dxa"/>
            <w:vAlign w:val="center"/>
          </w:tcPr>
          <w:p w14:paraId="5F803D89" w14:textId="77777777" w:rsidR="00454A29" w:rsidRDefault="00454A29">
            <w:pPr>
              <w:pStyle w:val="ConsPlusNormal"/>
              <w:jc w:val="center"/>
            </w:pPr>
            <w:r>
              <w:t>Итого</w:t>
            </w:r>
          </w:p>
        </w:tc>
        <w:tc>
          <w:tcPr>
            <w:tcW w:w="1814" w:type="dxa"/>
            <w:vAlign w:val="center"/>
          </w:tcPr>
          <w:p w14:paraId="55C58D88" w14:textId="77777777" w:rsidR="00454A29" w:rsidRDefault="00454A29">
            <w:pPr>
              <w:pStyle w:val="ConsPlusNormal"/>
              <w:jc w:val="center"/>
            </w:pPr>
            <w:r>
              <w:t>0,00</w:t>
            </w:r>
          </w:p>
        </w:tc>
        <w:tc>
          <w:tcPr>
            <w:tcW w:w="1701" w:type="dxa"/>
            <w:vAlign w:val="center"/>
          </w:tcPr>
          <w:p w14:paraId="16D36F4E" w14:textId="77777777" w:rsidR="00454A29" w:rsidRDefault="00454A29">
            <w:pPr>
              <w:pStyle w:val="ConsPlusNormal"/>
              <w:jc w:val="center"/>
            </w:pPr>
            <w:r>
              <w:t>0,00</w:t>
            </w:r>
          </w:p>
        </w:tc>
        <w:tc>
          <w:tcPr>
            <w:tcW w:w="1701" w:type="dxa"/>
            <w:vAlign w:val="center"/>
          </w:tcPr>
          <w:p w14:paraId="4861AF18" w14:textId="77777777" w:rsidR="00454A29" w:rsidRDefault="00454A29">
            <w:pPr>
              <w:pStyle w:val="ConsPlusNormal"/>
              <w:jc w:val="center"/>
            </w:pPr>
            <w:r>
              <w:t>0,00</w:t>
            </w:r>
          </w:p>
        </w:tc>
        <w:tc>
          <w:tcPr>
            <w:tcW w:w="1701" w:type="dxa"/>
            <w:vAlign w:val="center"/>
          </w:tcPr>
          <w:p w14:paraId="6687088E" w14:textId="77777777" w:rsidR="00454A29" w:rsidRDefault="00454A29">
            <w:pPr>
              <w:pStyle w:val="ConsPlusNormal"/>
              <w:jc w:val="center"/>
            </w:pPr>
            <w:r>
              <w:t>0,00</w:t>
            </w:r>
          </w:p>
        </w:tc>
        <w:tc>
          <w:tcPr>
            <w:tcW w:w="1701" w:type="dxa"/>
            <w:vAlign w:val="center"/>
          </w:tcPr>
          <w:p w14:paraId="65600B72" w14:textId="77777777" w:rsidR="00454A29" w:rsidRDefault="00454A29">
            <w:pPr>
              <w:pStyle w:val="ConsPlusNormal"/>
              <w:jc w:val="center"/>
            </w:pPr>
            <w:r>
              <w:t>0,00</w:t>
            </w:r>
          </w:p>
        </w:tc>
        <w:tc>
          <w:tcPr>
            <w:tcW w:w="1701" w:type="dxa"/>
            <w:vAlign w:val="center"/>
          </w:tcPr>
          <w:p w14:paraId="30A408C7" w14:textId="77777777" w:rsidR="00454A29" w:rsidRDefault="00454A29">
            <w:pPr>
              <w:pStyle w:val="ConsPlusNormal"/>
              <w:jc w:val="center"/>
            </w:pPr>
            <w:r>
              <w:t>0,00</w:t>
            </w:r>
          </w:p>
        </w:tc>
        <w:tc>
          <w:tcPr>
            <w:tcW w:w="1701" w:type="dxa"/>
            <w:vAlign w:val="center"/>
          </w:tcPr>
          <w:p w14:paraId="1FF19782" w14:textId="77777777" w:rsidR="00454A29" w:rsidRDefault="00454A29">
            <w:pPr>
              <w:pStyle w:val="ConsPlusNormal"/>
              <w:jc w:val="center"/>
            </w:pPr>
            <w:r>
              <w:t>0,00</w:t>
            </w:r>
          </w:p>
        </w:tc>
      </w:tr>
      <w:tr w:rsidR="00454A29" w14:paraId="2147087A" w14:textId="77777777">
        <w:tc>
          <w:tcPr>
            <w:tcW w:w="964" w:type="dxa"/>
            <w:vMerge/>
          </w:tcPr>
          <w:p w14:paraId="569D92A6" w14:textId="77777777" w:rsidR="00454A29" w:rsidRDefault="00454A29"/>
        </w:tc>
        <w:tc>
          <w:tcPr>
            <w:tcW w:w="2154" w:type="dxa"/>
            <w:vMerge/>
            <w:tcBorders>
              <w:top w:val="nil"/>
              <w:bottom w:val="nil"/>
            </w:tcBorders>
          </w:tcPr>
          <w:p w14:paraId="760FC963" w14:textId="77777777" w:rsidR="00454A29" w:rsidRDefault="00454A29"/>
        </w:tc>
        <w:tc>
          <w:tcPr>
            <w:tcW w:w="2154" w:type="dxa"/>
            <w:vMerge/>
            <w:tcBorders>
              <w:top w:val="nil"/>
              <w:bottom w:val="nil"/>
            </w:tcBorders>
          </w:tcPr>
          <w:p w14:paraId="56ADC80F" w14:textId="77777777" w:rsidR="00454A29" w:rsidRDefault="00454A29"/>
        </w:tc>
        <w:tc>
          <w:tcPr>
            <w:tcW w:w="2665" w:type="dxa"/>
            <w:vMerge/>
          </w:tcPr>
          <w:p w14:paraId="63E0D345" w14:textId="77777777" w:rsidR="00454A29" w:rsidRDefault="00454A29"/>
        </w:tc>
        <w:tc>
          <w:tcPr>
            <w:tcW w:w="2665" w:type="dxa"/>
            <w:vMerge/>
          </w:tcPr>
          <w:p w14:paraId="4315E684" w14:textId="77777777" w:rsidR="00454A29" w:rsidRDefault="00454A29"/>
        </w:tc>
        <w:tc>
          <w:tcPr>
            <w:tcW w:w="1928" w:type="dxa"/>
            <w:vMerge/>
          </w:tcPr>
          <w:p w14:paraId="3A3937BC" w14:textId="77777777" w:rsidR="00454A29" w:rsidRDefault="00454A29"/>
        </w:tc>
        <w:tc>
          <w:tcPr>
            <w:tcW w:w="1644" w:type="dxa"/>
            <w:vMerge/>
          </w:tcPr>
          <w:p w14:paraId="401C02B6" w14:textId="77777777" w:rsidR="00454A29" w:rsidRDefault="00454A29"/>
        </w:tc>
        <w:tc>
          <w:tcPr>
            <w:tcW w:w="2041" w:type="dxa"/>
            <w:vMerge/>
          </w:tcPr>
          <w:p w14:paraId="0DA0CAAD" w14:textId="77777777" w:rsidR="00454A29" w:rsidRDefault="00454A29"/>
        </w:tc>
        <w:tc>
          <w:tcPr>
            <w:tcW w:w="2098" w:type="dxa"/>
            <w:vAlign w:val="center"/>
          </w:tcPr>
          <w:p w14:paraId="6C8BF80E"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0B82D8B" w14:textId="77777777" w:rsidR="00454A29" w:rsidRDefault="00454A29">
            <w:pPr>
              <w:pStyle w:val="ConsPlusNormal"/>
              <w:jc w:val="center"/>
            </w:pPr>
            <w:r>
              <w:t>0,00</w:t>
            </w:r>
          </w:p>
        </w:tc>
        <w:tc>
          <w:tcPr>
            <w:tcW w:w="1701" w:type="dxa"/>
            <w:vAlign w:val="center"/>
          </w:tcPr>
          <w:p w14:paraId="44B7FC19" w14:textId="77777777" w:rsidR="00454A29" w:rsidRDefault="00454A29">
            <w:pPr>
              <w:pStyle w:val="ConsPlusNormal"/>
              <w:jc w:val="center"/>
            </w:pPr>
            <w:r>
              <w:t>0,00</w:t>
            </w:r>
          </w:p>
        </w:tc>
        <w:tc>
          <w:tcPr>
            <w:tcW w:w="1701" w:type="dxa"/>
            <w:vAlign w:val="center"/>
          </w:tcPr>
          <w:p w14:paraId="614F1350" w14:textId="77777777" w:rsidR="00454A29" w:rsidRDefault="00454A29">
            <w:pPr>
              <w:pStyle w:val="ConsPlusNormal"/>
              <w:jc w:val="center"/>
            </w:pPr>
            <w:r>
              <w:t>0,00</w:t>
            </w:r>
          </w:p>
        </w:tc>
        <w:tc>
          <w:tcPr>
            <w:tcW w:w="1701" w:type="dxa"/>
            <w:vAlign w:val="center"/>
          </w:tcPr>
          <w:p w14:paraId="31A4C1CD" w14:textId="77777777" w:rsidR="00454A29" w:rsidRDefault="00454A29">
            <w:pPr>
              <w:pStyle w:val="ConsPlusNormal"/>
              <w:jc w:val="center"/>
            </w:pPr>
            <w:r>
              <w:t>0,00</w:t>
            </w:r>
          </w:p>
        </w:tc>
        <w:tc>
          <w:tcPr>
            <w:tcW w:w="1701" w:type="dxa"/>
            <w:vAlign w:val="center"/>
          </w:tcPr>
          <w:p w14:paraId="18AB91DE" w14:textId="77777777" w:rsidR="00454A29" w:rsidRDefault="00454A29">
            <w:pPr>
              <w:pStyle w:val="ConsPlusNormal"/>
              <w:jc w:val="center"/>
            </w:pPr>
            <w:r>
              <w:t>0,00</w:t>
            </w:r>
          </w:p>
        </w:tc>
        <w:tc>
          <w:tcPr>
            <w:tcW w:w="1701" w:type="dxa"/>
            <w:vAlign w:val="center"/>
          </w:tcPr>
          <w:p w14:paraId="0907B490" w14:textId="77777777" w:rsidR="00454A29" w:rsidRDefault="00454A29">
            <w:pPr>
              <w:pStyle w:val="ConsPlusNormal"/>
              <w:jc w:val="center"/>
            </w:pPr>
            <w:r>
              <w:t>0,00</w:t>
            </w:r>
          </w:p>
        </w:tc>
        <w:tc>
          <w:tcPr>
            <w:tcW w:w="1701" w:type="dxa"/>
            <w:vAlign w:val="center"/>
          </w:tcPr>
          <w:p w14:paraId="07A6B3A9" w14:textId="77777777" w:rsidR="00454A29" w:rsidRDefault="00454A29">
            <w:pPr>
              <w:pStyle w:val="ConsPlusNormal"/>
              <w:jc w:val="center"/>
            </w:pPr>
            <w:r>
              <w:t>0,00</w:t>
            </w:r>
          </w:p>
        </w:tc>
      </w:tr>
      <w:tr w:rsidR="00454A29" w14:paraId="149EF506" w14:textId="77777777">
        <w:tc>
          <w:tcPr>
            <w:tcW w:w="964" w:type="dxa"/>
            <w:vMerge/>
          </w:tcPr>
          <w:p w14:paraId="3D1CFEFF" w14:textId="77777777" w:rsidR="00454A29" w:rsidRDefault="00454A29"/>
        </w:tc>
        <w:tc>
          <w:tcPr>
            <w:tcW w:w="2154" w:type="dxa"/>
            <w:vMerge/>
            <w:tcBorders>
              <w:top w:val="nil"/>
              <w:bottom w:val="nil"/>
            </w:tcBorders>
          </w:tcPr>
          <w:p w14:paraId="1C6F4BD7" w14:textId="77777777" w:rsidR="00454A29" w:rsidRDefault="00454A29"/>
        </w:tc>
        <w:tc>
          <w:tcPr>
            <w:tcW w:w="2154" w:type="dxa"/>
            <w:vMerge/>
            <w:tcBorders>
              <w:top w:val="nil"/>
              <w:bottom w:val="nil"/>
            </w:tcBorders>
          </w:tcPr>
          <w:p w14:paraId="74BD2A5B" w14:textId="77777777" w:rsidR="00454A29" w:rsidRDefault="00454A29"/>
        </w:tc>
        <w:tc>
          <w:tcPr>
            <w:tcW w:w="2665" w:type="dxa"/>
            <w:vMerge/>
          </w:tcPr>
          <w:p w14:paraId="180EC831" w14:textId="77777777" w:rsidR="00454A29" w:rsidRDefault="00454A29"/>
        </w:tc>
        <w:tc>
          <w:tcPr>
            <w:tcW w:w="2665" w:type="dxa"/>
            <w:vMerge/>
          </w:tcPr>
          <w:p w14:paraId="0A22BF45" w14:textId="77777777" w:rsidR="00454A29" w:rsidRDefault="00454A29"/>
        </w:tc>
        <w:tc>
          <w:tcPr>
            <w:tcW w:w="1928" w:type="dxa"/>
            <w:vMerge/>
          </w:tcPr>
          <w:p w14:paraId="721067C5" w14:textId="77777777" w:rsidR="00454A29" w:rsidRDefault="00454A29"/>
        </w:tc>
        <w:tc>
          <w:tcPr>
            <w:tcW w:w="1644" w:type="dxa"/>
            <w:vMerge/>
          </w:tcPr>
          <w:p w14:paraId="7A69E91F" w14:textId="77777777" w:rsidR="00454A29" w:rsidRDefault="00454A29"/>
        </w:tc>
        <w:tc>
          <w:tcPr>
            <w:tcW w:w="2041" w:type="dxa"/>
            <w:vMerge/>
          </w:tcPr>
          <w:p w14:paraId="4C215481" w14:textId="77777777" w:rsidR="00454A29" w:rsidRDefault="00454A29"/>
        </w:tc>
        <w:tc>
          <w:tcPr>
            <w:tcW w:w="2098" w:type="dxa"/>
            <w:vAlign w:val="center"/>
          </w:tcPr>
          <w:p w14:paraId="35B3B7A6" w14:textId="77777777" w:rsidR="00454A29" w:rsidRDefault="00454A29">
            <w:pPr>
              <w:pStyle w:val="ConsPlusNormal"/>
              <w:jc w:val="center"/>
            </w:pPr>
            <w:r>
              <w:t>Федеральный бюджет</w:t>
            </w:r>
          </w:p>
        </w:tc>
        <w:tc>
          <w:tcPr>
            <w:tcW w:w="1814" w:type="dxa"/>
            <w:vAlign w:val="center"/>
          </w:tcPr>
          <w:p w14:paraId="4A992C87" w14:textId="77777777" w:rsidR="00454A29" w:rsidRDefault="00454A29">
            <w:pPr>
              <w:pStyle w:val="ConsPlusNormal"/>
              <w:jc w:val="center"/>
            </w:pPr>
            <w:r>
              <w:t>0,00</w:t>
            </w:r>
          </w:p>
        </w:tc>
        <w:tc>
          <w:tcPr>
            <w:tcW w:w="1701" w:type="dxa"/>
            <w:vAlign w:val="center"/>
          </w:tcPr>
          <w:p w14:paraId="714E0CFC" w14:textId="77777777" w:rsidR="00454A29" w:rsidRDefault="00454A29">
            <w:pPr>
              <w:pStyle w:val="ConsPlusNormal"/>
              <w:jc w:val="center"/>
            </w:pPr>
            <w:r>
              <w:t>0,00</w:t>
            </w:r>
          </w:p>
        </w:tc>
        <w:tc>
          <w:tcPr>
            <w:tcW w:w="1701" w:type="dxa"/>
            <w:vAlign w:val="center"/>
          </w:tcPr>
          <w:p w14:paraId="5A55067F" w14:textId="77777777" w:rsidR="00454A29" w:rsidRDefault="00454A29">
            <w:pPr>
              <w:pStyle w:val="ConsPlusNormal"/>
              <w:jc w:val="center"/>
            </w:pPr>
            <w:r>
              <w:t>0,00</w:t>
            </w:r>
          </w:p>
        </w:tc>
        <w:tc>
          <w:tcPr>
            <w:tcW w:w="1701" w:type="dxa"/>
            <w:vAlign w:val="center"/>
          </w:tcPr>
          <w:p w14:paraId="0AE72628" w14:textId="77777777" w:rsidR="00454A29" w:rsidRDefault="00454A29">
            <w:pPr>
              <w:pStyle w:val="ConsPlusNormal"/>
              <w:jc w:val="center"/>
            </w:pPr>
            <w:r>
              <w:t>0,00</w:t>
            </w:r>
          </w:p>
        </w:tc>
        <w:tc>
          <w:tcPr>
            <w:tcW w:w="1701" w:type="dxa"/>
            <w:vAlign w:val="center"/>
          </w:tcPr>
          <w:p w14:paraId="60AF9536" w14:textId="77777777" w:rsidR="00454A29" w:rsidRDefault="00454A29">
            <w:pPr>
              <w:pStyle w:val="ConsPlusNormal"/>
              <w:jc w:val="center"/>
            </w:pPr>
            <w:r>
              <w:t>0,00</w:t>
            </w:r>
          </w:p>
        </w:tc>
        <w:tc>
          <w:tcPr>
            <w:tcW w:w="1701" w:type="dxa"/>
            <w:vAlign w:val="center"/>
          </w:tcPr>
          <w:p w14:paraId="4AFC19CD" w14:textId="77777777" w:rsidR="00454A29" w:rsidRDefault="00454A29">
            <w:pPr>
              <w:pStyle w:val="ConsPlusNormal"/>
              <w:jc w:val="center"/>
            </w:pPr>
            <w:r>
              <w:t>0,00</w:t>
            </w:r>
          </w:p>
        </w:tc>
        <w:tc>
          <w:tcPr>
            <w:tcW w:w="1701" w:type="dxa"/>
            <w:vAlign w:val="center"/>
          </w:tcPr>
          <w:p w14:paraId="44769780" w14:textId="77777777" w:rsidR="00454A29" w:rsidRDefault="00454A29">
            <w:pPr>
              <w:pStyle w:val="ConsPlusNormal"/>
              <w:jc w:val="center"/>
            </w:pPr>
            <w:r>
              <w:t>0,00</w:t>
            </w:r>
          </w:p>
        </w:tc>
      </w:tr>
      <w:tr w:rsidR="00454A29" w14:paraId="65657D9E" w14:textId="77777777">
        <w:tc>
          <w:tcPr>
            <w:tcW w:w="964" w:type="dxa"/>
            <w:vMerge/>
          </w:tcPr>
          <w:p w14:paraId="312AB3C2" w14:textId="77777777" w:rsidR="00454A29" w:rsidRDefault="00454A29"/>
        </w:tc>
        <w:tc>
          <w:tcPr>
            <w:tcW w:w="2154" w:type="dxa"/>
            <w:vMerge/>
            <w:tcBorders>
              <w:top w:val="nil"/>
              <w:bottom w:val="nil"/>
            </w:tcBorders>
          </w:tcPr>
          <w:p w14:paraId="4E3EE561" w14:textId="77777777" w:rsidR="00454A29" w:rsidRDefault="00454A29"/>
        </w:tc>
        <w:tc>
          <w:tcPr>
            <w:tcW w:w="2154" w:type="dxa"/>
            <w:vMerge/>
            <w:tcBorders>
              <w:top w:val="nil"/>
              <w:bottom w:val="nil"/>
            </w:tcBorders>
          </w:tcPr>
          <w:p w14:paraId="5DF29427" w14:textId="77777777" w:rsidR="00454A29" w:rsidRDefault="00454A29"/>
        </w:tc>
        <w:tc>
          <w:tcPr>
            <w:tcW w:w="2665" w:type="dxa"/>
            <w:vMerge/>
          </w:tcPr>
          <w:p w14:paraId="3E2A74CF" w14:textId="77777777" w:rsidR="00454A29" w:rsidRDefault="00454A29"/>
        </w:tc>
        <w:tc>
          <w:tcPr>
            <w:tcW w:w="2665" w:type="dxa"/>
            <w:vMerge/>
          </w:tcPr>
          <w:p w14:paraId="7DCFFE77" w14:textId="77777777" w:rsidR="00454A29" w:rsidRDefault="00454A29"/>
        </w:tc>
        <w:tc>
          <w:tcPr>
            <w:tcW w:w="1928" w:type="dxa"/>
            <w:vMerge/>
          </w:tcPr>
          <w:p w14:paraId="2F621032" w14:textId="77777777" w:rsidR="00454A29" w:rsidRDefault="00454A29"/>
        </w:tc>
        <w:tc>
          <w:tcPr>
            <w:tcW w:w="1644" w:type="dxa"/>
            <w:vMerge/>
          </w:tcPr>
          <w:p w14:paraId="60141678" w14:textId="77777777" w:rsidR="00454A29" w:rsidRDefault="00454A29"/>
        </w:tc>
        <w:tc>
          <w:tcPr>
            <w:tcW w:w="2041" w:type="dxa"/>
            <w:vMerge/>
          </w:tcPr>
          <w:p w14:paraId="7DAEDE4B" w14:textId="77777777" w:rsidR="00454A29" w:rsidRDefault="00454A29"/>
        </w:tc>
        <w:tc>
          <w:tcPr>
            <w:tcW w:w="2098" w:type="dxa"/>
            <w:vAlign w:val="center"/>
          </w:tcPr>
          <w:p w14:paraId="3892E83F" w14:textId="77777777" w:rsidR="00454A29" w:rsidRDefault="00454A29">
            <w:pPr>
              <w:pStyle w:val="ConsPlusNormal"/>
              <w:jc w:val="center"/>
            </w:pPr>
            <w:r>
              <w:t>Местные бюджеты</w:t>
            </w:r>
          </w:p>
        </w:tc>
        <w:tc>
          <w:tcPr>
            <w:tcW w:w="1814" w:type="dxa"/>
            <w:vAlign w:val="center"/>
          </w:tcPr>
          <w:p w14:paraId="76E47C3F" w14:textId="77777777" w:rsidR="00454A29" w:rsidRDefault="00454A29">
            <w:pPr>
              <w:pStyle w:val="ConsPlusNormal"/>
              <w:jc w:val="center"/>
            </w:pPr>
            <w:r>
              <w:t>0,00</w:t>
            </w:r>
          </w:p>
        </w:tc>
        <w:tc>
          <w:tcPr>
            <w:tcW w:w="1701" w:type="dxa"/>
            <w:vAlign w:val="center"/>
          </w:tcPr>
          <w:p w14:paraId="367F620A" w14:textId="77777777" w:rsidR="00454A29" w:rsidRDefault="00454A29">
            <w:pPr>
              <w:pStyle w:val="ConsPlusNormal"/>
              <w:jc w:val="center"/>
            </w:pPr>
            <w:r>
              <w:t>0,00</w:t>
            </w:r>
          </w:p>
        </w:tc>
        <w:tc>
          <w:tcPr>
            <w:tcW w:w="1701" w:type="dxa"/>
            <w:vAlign w:val="center"/>
          </w:tcPr>
          <w:p w14:paraId="4FE0FBDD" w14:textId="77777777" w:rsidR="00454A29" w:rsidRDefault="00454A29">
            <w:pPr>
              <w:pStyle w:val="ConsPlusNormal"/>
              <w:jc w:val="center"/>
            </w:pPr>
            <w:r>
              <w:t>0,00</w:t>
            </w:r>
          </w:p>
        </w:tc>
        <w:tc>
          <w:tcPr>
            <w:tcW w:w="1701" w:type="dxa"/>
            <w:vAlign w:val="center"/>
          </w:tcPr>
          <w:p w14:paraId="052B2C26" w14:textId="77777777" w:rsidR="00454A29" w:rsidRDefault="00454A29">
            <w:pPr>
              <w:pStyle w:val="ConsPlusNormal"/>
              <w:jc w:val="center"/>
            </w:pPr>
            <w:r>
              <w:t>0,00</w:t>
            </w:r>
          </w:p>
        </w:tc>
        <w:tc>
          <w:tcPr>
            <w:tcW w:w="1701" w:type="dxa"/>
            <w:vAlign w:val="center"/>
          </w:tcPr>
          <w:p w14:paraId="64495FA1" w14:textId="77777777" w:rsidR="00454A29" w:rsidRDefault="00454A29">
            <w:pPr>
              <w:pStyle w:val="ConsPlusNormal"/>
              <w:jc w:val="center"/>
            </w:pPr>
            <w:r>
              <w:t>0,00</w:t>
            </w:r>
          </w:p>
        </w:tc>
        <w:tc>
          <w:tcPr>
            <w:tcW w:w="1701" w:type="dxa"/>
            <w:vAlign w:val="center"/>
          </w:tcPr>
          <w:p w14:paraId="6DE69BAC" w14:textId="77777777" w:rsidR="00454A29" w:rsidRDefault="00454A29">
            <w:pPr>
              <w:pStyle w:val="ConsPlusNormal"/>
              <w:jc w:val="center"/>
            </w:pPr>
            <w:r>
              <w:t>0,00</w:t>
            </w:r>
          </w:p>
        </w:tc>
        <w:tc>
          <w:tcPr>
            <w:tcW w:w="1701" w:type="dxa"/>
            <w:vAlign w:val="center"/>
          </w:tcPr>
          <w:p w14:paraId="42EEFCD0" w14:textId="77777777" w:rsidR="00454A29" w:rsidRDefault="00454A29">
            <w:pPr>
              <w:pStyle w:val="ConsPlusNormal"/>
              <w:jc w:val="center"/>
            </w:pPr>
            <w:r>
              <w:t>0,00</w:t>
            </w:r>
          </w:p>
        </w:tc>
      </w:tr>
      <w:tr w:rsidR="00454A29" w14:paraId="143D0AE3" w14:textId="77777777">
        <w:tc>
          <w:tcPr>
            <w:tcW w:w="964" w:type="dxa"/>
            <w:vMerge/>
          </w:tcPr>
          <w:p w14:paraId="0191103C" w14:textId="77777777" w:rsidR="00454A29" w:rsidRDefault="00454A29"/>
        </w:tc>
        <w:tc>
          <w:tcPr>
            <w:tcW w:w="2154" w:type="dxa"/>
            <w:vMerge/>
            <w:tcBorders>
              <w:top w:val="nil"/>
              <w:bottom w:val="nil"/>
            </w:tcBorders>
          </w:tcPr>
          <w:p w14:paraId="35288E9C" w14:textId="77777777" w:rsidR="00454A29" w:rsidRDefault="00454A29"/>
        </w:tc>
        <w:tc>
          <w:tcPr>
            <w:tcW w:w="2154" w:type="dxa"/>
            <w:vMerge/>
            <w:tcBorders>
              <w:top w:val="nil"/>
              <w:bottom w:val="nil"/>
            </w:tcBorders>
          </w:tcPr>
          <w:p w14:paraId="6FF3D515" w14:textId="77777777" w:rsidR="00454A29" w:rsidRDefault="00454A29"/>
        </w:tc>
        <w:tc>
          <w:tcPr>
            <w:tcW w:w="2665" w:type="dxa"/>
            <w:vMerge/>
          </w:tcPr>
          <w:p w14:paraId="784266DF" w14:textId="77777777" w:rsidR="00454A29" w:rsidRDefault="00454A29"/>
        </w:tc>
        <w:tc>
          <w:tcPr>
            <w:tcW w:w="2665" w:type="dxa"/>
            <w:vMerge/>
          </w:tcPr>
          <w:p w14:paraId="26717253" w14:textId="77777777" w:rsidR="00454A29" w:rsidRDefault="00454A29"/>
        </w:tc>
        <w:tc>
          <w:tcPr>
            <w:tcW w:w="1928" w:type="dxa"/>
            <w:vMerge/>
          </w:tcPr>
          <w:p w14:paraId="693B909F" w14:textId="77777777" w:rsidR="00454A29" w:rsidRDefault="00454A29"/>
        </w:tc>
        <w:tc>
          <w:tcPr>
            <w:tcW w:w="1644" w:type="dxa"/>
            <w:vMerge/>
          </w:tcPr>
          <w:p w14:paraId="2D2825FD" w14:textId="77777777" w:rsidR="00454A29" w:rsidRDefault="00454A29"/>
        </w:tc>
        <w:tc>
          <w:tcPr>
            <w:tcW w:w="2041" w:type="dxa"/>
            <w:vMerge/>
          </w:tcPr>
          <w:p w14:paraId="784628E8" w14:textId="77777777" w:rsidR="00454A29" w:rsidRDefault="00454A29"/>
        </w:tc>
        <w:tc>
          <w:tcPr>
            <w:tcW w:w="2098" w:type="dxa"/>
            <w:vAlign w:val="center"/>
          </w:tcPr>
          <w:p w14:paraId="369C4FDB" w14:textId="77777777" w:rsidR="00454A29" w:rsidRDefault="00454A29">
            <w:pPr>
              <w:pStyle w:val="ConsPlusNormal"/>
              <w:jc w:val="center"/>
            </w:pPr>
            <w:r>
              <w:t>Внебюджетные средства</w:t>
            </w:r>
          </w:p>
        </w:tc>
        <w:tc>
          <w:tcPr>
            <w:tcW w:w="1814" w:type="dxa"/>
            <w:vAlign w:val="center"/>
          </w:tcPr>
          <w:p w14:paraId="25B05CE7" w14:textId="77777777" w:rsidR="00454A29" w:rsidRDefault="00454A29">
            <w:pPr>
              <w:pStyle w:val="ConsPlusNormal"/>
              <w:jc w:val="center"/>
            </w:pPr>
            <w:r>
              <w:t>0,00</w:t>
            </w:r>
          </w:p>
        </w:tc>
        <w:tc>
          <w:tcPr>
            <w:tcW w:w="1701" w:type="dxa"/>
            <w:vAlign w:val="center"/>
          </w:tcPr>
          <w:p w14:paraId="79E8C34F" w14:textId="77777777" w:rsidR="00454A29" w:rsidRDefault="00454A29">
            <w:pPr>
              <w:pStyle w:val="ConsPlusNormal"/>
              <w:jc w:val="center"/>
            </w:pPr>
            <w:r>
              <w:t>0,00</w:t>
            </w:r>
          </w:p>
        </w:tc>
        <w:tc>
          <w:tcPr>
            <w:tcW w:w="1701" w:type="dxa"/>
            <w:vAlign w:val="center"/>
          </w:tcPr>
          <w:p w14:paraId="7199B325" w14:textId="77777777" w:rsidR="00454A29" w:rsidRDefault="00454A29">
            <w:pPr>
              <w:pStyle w:val="ConsPlusNormal"/>
              <w:jc w:val="center"/>
            </w:pPr>
            <w:r>
              <w:t>0,00</w:t>
            </w:r>
          </w:p>
        </w:tc>
        <w:tc>
          <w:tcPr>
            <w:tcW w:w="1701" w:type="dxa"/>
            <w:vAlign w:val="center"/>
          </w:tcPr>
          <w:p w14:paraId="307A7F9D" w14:textId="77777777" w:rsidR="00454A29" w:rsidRDefault="00454A29">
            <w:pPr>
              <w:pStyle w:val="ConsPlusNormal"/>
              <w:jc w:val="center"/>
            </w:pPr>
            <w:r>
              <w:t>0,00</w:t>
            </w:r>
          </w:p>
        </w:tc>
        <w:tc>
          <w:tcPr>
            <w:tcW w:w="1701" w:type="dxa"/>
            <w:vAlign w:val="center"/>
          </w:tcPr>
          <w:p w14:paraId="667E7689" w14:textId="77777777" w:rsidR="00454A29" w:rsidRDefault="00454A29">
            <w:pPr>
              <w:pStyle w:val="ConsPlusNormal"/>
              <w:jc w:val="center"/>
            </w:pPr>
            <w:r>
              <w:t>0,00</w:t>
            </w:r>
          </w:p>
        </w:tc>
        <w:tc>
          <w:tcPr>
            <w:tcW w:w="1701" w:type="dxa"/>
            <w:vAlign w:val="center"/>
          </w:tcPr>
          <w:p w14:paraId="1C965112" w14:textId="77777777" w:rsidR="00454A29" w:rsidRDefault="00454A29">
            <w:pPr>
              <w:pStyle w:val="ConsPlusNormal"/>
              <w:jc w:val="center"/>
            </w:pPr>
            <w:r>
              <w:t>0,00</w:t>
            </w:r>
          </w:p>
        </w:tc>
        <w:tc>
          <w:tcPr>
            <w:tcW w:w="1701" w:type="dxa"/>
            <w:vAlign w:val="center"/>
          </w:tcPr>
          <w:p w14:paraId="4DB0D736" w14:textId="77777777" w:rsidR="00454A29" w:rsidRDefault="00454A29">
            <w:pPr>
              <w:pStyle w:val="ConsPlusNormal"/>
              <w:jc w:val="center"/>
            </w:pPr>
            <w:r>
              <w:t>0,00</w:t>
            </w:r>
          </w:p>
        </w:tc>
      </w:tr>
      <w:tr w:rsidR="00454A29" w14:paraId="16A2DEAB" w14:textId="77777777">
        <w:tc>
          <w:tcPr>
            <w:tcW w:w="964" w:type="dxa"/>
            <w:vMerge w:val="restart"/>
            <w:vAlign w:val="center"/>
          </w:tcPr>
          <w:p w14:paraId="04D758E5" w14:textId="77777777" w:rsidR="00454A29" w:rsidRDefault="00454A29">
            <w:pPr>
              <w:pStyle w:val="ConsPlusNormal"/>
              <w:jc w:val="center"/>
            </w:pPr>
            <w:r>
              <w:t>10.3.</w:t>
            </w:r>
          </w:p>
        </w:tc>
        <w:tc>
          <w:tcPr>
            <w:tcW w:w="2154" w:type="dxa"/>
            <w:vMerge w:val="restart"/>
            <w:tcBorders>
              <w:top w:val="nil"/>
              <w:bottom w:val="nil"/>
            </w:tcBorders>
            <w:vAlign w:val="center"/>
          </w:tcPr>
          <w:p w14:paraId="547A0608" w14:textId="77777777" w:rsidR="00454A29" w:rsidRDefault="00454A29">
            <w:pPr>
              <w:pStyle w:val="ConsPlusNormal"/>
            </w:pPr>
          </w:p>
        </w:tc>
        <w:tc>
          <w:tcPr>
            <w:tcW w:w="2154" w:type="dxa"/>
            <w:vMerge w:val="restart"/>
            <w:tcBorders>
              <w:top w:val="nil"/>
              <w:bottom w:val="nil"/>
            </w:tcBorders>
            <w:vAlign w:val="center"/>
          </w:tcPr>
          <w:p w14:paraId="68464DA0" w14:textId="77777777" w:rsidR="00454A29" w:rsidRDefault="00454A29">
            <w:pPr>
              <w:pStyle w:val="ConsPlusNormal"/>
            </w:pPr>
          </w:p>
        </w:tc>
        <w:tc>
          <w:tcPr>
            <w:tcW w:w="2665" w:type="dxa"/>
            <w:vMerge/>
          </w:tcPr>
          <w:p w14:paraId="6C1CE277" w14:textId="77777777" w:rsidR="00454A29" w:rsidRDefault="00454A29"/>
        </w:tc>
        <w:tc>
          <w:tcPr>
            <w:tcW w:w="2665" w:type="dxa"/>
            <w:vMerge w:val="restart"/>
            <w:vAlign w:val="center"/>
          </w:tcPr>
          <w:p w14:paraId="2B28EC4A" w14:textId="77777777" w:rsidR="00454A29" w:rsidRDefault="00454A29">
            <w:pPr>
              <w:pStyle w:val="ConsPlusNormal"/>
              <w:jc w:val="center"/>
            </w:pPr>
            <w:r>
              <w:t>Мероприятие 3.11.3. Проведение тематических смен в сезонных лагерях для школьников по передовым направлениям дискретной математики, информатики, цифровых технологий в рамках федерального проекта "Кадры для цифровой экономики" национальной программы "Цифровая экономика" государственной программы Российской Федерации "Развитие образования"</w:t>
            </w:r>
          </w:p>
        </w:tc>
        <w:tc>
          <w:tcPr>
            <w:tcW w:w="1928" w:type="dxa"/>
            <w:vMerge w:val="restart"/>
            <w:vAlign w:val="center"/>
          </w:tcPr>
          <w:p w14:paraId="5BFD8C80" w14:textId="77777777" w:rsidR="00454A29" w:rsidRDefault="00454A29">
            <w:pPr>
              <w:pStyle w:val="ConsPlusNormal"/>
              <w:jc w:val="center"/>
            </w:pPr>
            <w:r>
              <w:t>-</w:t>
            </w:r>
          </w:p>
        </w:tc>
        <w:tc>
          <w:tcPr>
            <w:tcW w:w="1644" w:type="dxa"/>
            <w:vMerge w:val="restart"/>
            <w:vAlign w:val="center"/>
          </w:tcPr>
          <w:p w14:paraId="2903FE7E" w14:textId="77777777" w:rsidR="00454A29" w:rsidRDefault="00454A29">
            <w:pPr>
              <w:pStyle w:val="ConsPlusNormal"/>
              <w:jc w:val="center"/>
            </w:pPr>
            <w:r>
              <w:t>-</w:t>
            </w:r>
          </w:p>
        </w:tc>
        <w:tc>
          <w:tcPr>
            <w:tcW w:w="2041" w:type="dxa"/>
            <w:vMerge w:val="restart"/>
            <w:vAlign w:val="center"/>
          </w:tcPr>
          <w:p w14:paraId="1946E225" w14:textId="77777777" w:rsidR="00454A29" w:rsidRDefault="00454A29">
            <w:pPr>
              <w:pStyle w:val="ConsPlusNormal"/>
              <w:jc w:val="center"/>
            </w:pPr>
            <w:r>
              <w:t>-</w:t>
            </w:r>
          </w:p>
        </w:tc>
        <w:tc>
          <w:tcPr>
            <w:tcW w:w="2098" w:type="dxa"/>
            <w:vAlign w:val="center"/>
          </w:tcPr>
          <w:p w14:paraId="4F5E6C06" w14:textId="77777777" w:rsidR="00454A29" w:rsidRDefault="00454A29">
            <w:pPr>
              <w:pStyle w:val="ConsPlusNormal"/>
              <w:jc w:val="center"/>
            </w:pPr>
            <w:r>
              <w:t>Итого</w:t>
            </w:r>
          </w:p>
        </w:tc>
        <w:tc>
          <w:tcPr>
            <w:tcW w:w="1814" w:type="dxa"/>
            <w:vAlign w:val="center"/>
          </w:tcPr>
          <w:p w14:paraId="74630010" w14:textId="77777777" w:rsidR="00454A29" w:rsidRDefault="00454A29">
            <w:pPr>
              <w:pStyle w:val="ConsPlusNormal"/>
              <w:jc w:val="center"/>
            </w:pPr>
            <w:r>
              <w:t>0,00</w:t>
            </w:r>
          </w:p>
        </w:tc>
        <w:tc>
          <w:tcPr>
            <w:tcW w:w="1701" w:type="dxa"/>
            <w:vAlign w:val="center"/>
          </w:tcPr>
          <w:p w14:paraId="15065682" w14:textId="77777777" w:rsidR="00454A29" w:rsidRDefault="00454A29">
            <w:pPr>
              <w:pStyle w:val="ConsPlusNormal"/>
              <w:jc w:val="center"/>
            </w:pPr>
            <w:r>
              <w:t>0,00</w:t>
            </w:r>
          </w:p>
        </w:tc>
        <w:tc>
          <w:tcPr>
            <w:tcW w:w="1701" w:type="dxa"/>
            <w:vAlign w:val="center"/>
          </w:tcPr>
          <w:p w14:paraId="2F3173E6" w14:textId="77777777" w:rsidR="00454A29" w:rsidRDefault="00454A29">
            <w:pPr>
              <w:pStyle w:val="ConsPlusNormal"/>
              <w:jc w:val="center"/>
            </w:pPr>
            <w:r>
              <w:t>0,00</w:t>
            </w:r>
          </w:p>
        </w:tc>
        <w:tc>
          <w:tcPr>
            <w:tcW w:w="1701" w:type="dxa"/>
            <w:vAlign w:val="center"/>
          </w:tcPr>
          <w:p w14:paraId="1737FAA6" w14:textId="77777777" w:rsidR="00454A29" w:rsidRDefault="00454A29">
            <w:pPr>
              <w:pStyle w:val="ConsPlusNormal"/>
              <w:jc w:val="center"/>
            </w:pPr>
            <w:r>
              <w:t>0,00</w:t>
            </w:r>
          </w:p>
        </w:tc>
        <w:tc>
          <w:tcPr>
            <w:tcW w:w="1701" w:type="dxa"/>
            <w:vAlign w:val="center"/>
          </w:tcPr>
          <w:p w14:paraId="59977FB4" w14:textId="77777777" w:rsidR="00454A29" w:rsidRDefault="00454A29">
            <w:pPr>
              <w:pStyle w:val="ConsPlusNormal"/>
              <w:jc w:val="center"/>
            </w:pPr>
            <w:r>
              <w:t>0,00</w:t>
            </w:r>
          </w:p>
        </w:tc>
        <w:tc>
          <w:tcPr>
            <w:tcW w:w="1701" w:type="dxa"/>
            <w:vAlign w:val="center"/>
          </w:tcPr>
          <w:p w14:paraId="240B0E95" w14:textId="77777777" w:rsidR="00454A29" w:rsidRDefault="00454A29">
            <w:pPr>
              <w:pStyle w:val="ConsPlusNormal"/>
              <w:jc w:val="center"/>
            </w:pPr>
            <w:r>
              <w:t>0,00</w:t>
            </w:r>
          </w:p>
        </w:tc>
        <w:tc>
          <w:tcPr>
            <w:tcW w:w="1701" w:type="dxa"/>
            <w:vAlign w:val="center"/>
          </w:tcPr>
          <w:p w14:paraId="573B3D13" w14:textId="77777777" w:rsidR="00454A29" w:rsidRDefault="00454A29">
            <w:pPr>
              <w:pStyle w:val="ConsPlusNormal"/>
              <w:jc w:val="center"/>
            </w:pPr>
            <w:r>
              <w:t>0,00</w:t>
            </w:r>
          </w:p>
        </w:tc>
      </w:tr>
      <w:tr w:rsidR="00454A29" w14:paraId="519E31CF" w14:textId="77777777">
        <w:tc>
          <w:tcPr>
            <w:tcW w:w="964" w:type="dxa"/>
            <w:vMerge/>
          </w:tcPr>
          <w:p w14:paraId="0144F4A8" w14:textId="77777777" w:rsidR="00454A29" w:rsidRDefault="00454A29"/>
        </w:tc>
        <w:tc>
          <w:tcPr>
            <w:tcW w:w="2154" w:type="dxa"/>
            <w:vMerge/>
            <w:tcBorders>
              <w:top w:val="nil"/>
              <w:bottom w:val="nil"/>
            </w:tcBorders>
          </w:tcPr>
          <w:p w14:paraId="4D6A7CCA" w14:textId="77777777" w:rsidR="00454A29" w:rsidRDefault="00454A29"/>
        </w:tc>
        <w:tc>
          <w:tcPr>
            <w:tcW w:w="2154" w:type="dxa"/>
            <w:vMerge/>
            <w:tcBorders>
              <w:top w:val="nil"/>
              <w:bottom w:val="nil"/>
            </w:tcBorders>
          </w:tcPr>
          <w:p w14:paraId="09422E39" w14:textId="77777777" w:rsidR="00454A29" w:rsidRDefault="00454A29"/>
        </w:tc>
        <w:tc>
          <w:tcPr>
            <w:tcW w:w="2665" w:type="dxa"/>
            <w:vMerge/>
          </w:tcPr>
          <w:p w14:paraId="4AF401AB" w14:textId="77777777" w:rsidR="00454A29" w:rsidRDefault="00454A29"/>
        </w:tc>
        <w:tc>
          <w:tcPr>
            <w:tcW w:w="2665" w:type="dxa"/>
            <w:vMerge/>
          </w:tcPr>
          <w:p w14:paraId="0DF0E979" w14:textId="77777777" w:rsidR="00454A29" w:rsidRDefault="00454A29"/>
        </w:tc>
        <w:tc>
          <w:tcPr>
            <w:tcW w:w="1928" w:type="dxa"/>
            <w:vMerge/>
          </w:tcPr>
          <w:p w14:paraId="6E396D18" w14:textId="77777777" w:rsidR="00454A29" w:rsidRDefault="00454A29"/>
        </w:tc>
        <w:tc>
          <w:tcPr>
            <w:tcW w:w="1644" w:type="dxa"/>
            <w:vMerge/>
          </w:tcPr>
          <w:p w14:paraId="2C1B1D05" w14:textId="77777777" w:rsidR="00454A29" w:rsidRDefault="00454A29"/>
        </w:tc>
        <w:tc>
          <w:tcPr>
            <w:tcW w:w="2041" w:type="dxa"/>
            <w:vMerge/>
          </w:tcPr>
          <w:p w14:paraId="2735007D" w14:textId="77777777" w:rsidR="00454A29" w:rsidRDefault="00454A29"/>
        </w:tc>
        <w:tc>
          <w:tcPr>
            <w:tcW w:w="2098" w:type="dxa"/>
            <w:vAlign w:val="center"/>
          </w:tcPr>
          <w:p w14:paraId="376093AD"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F0E2CA4" w14:textId="77777777" w:rsidR="00454A29" w:rsidRDefault="00454A29">
            <w:pPr>
              <w:pStyle w:val="ConsPlusNormal"/>
              <w:jc w:val="center"/>
            </w:pPr>
            <w:r>
              <w:t>0,00</w:t>
            </w:r>
          </w:p>
        </w:tc>
        <w:tc>
          <w:tcPr>
            <w:tcW w:w="1701" w:type="dxa"/>
            <w:vAlign w:val="center"/>
          </w:tcPr>
          <w:p w14:paraId="2DD34C6C" w14:textId="77777777" w:rsidR="00454A29" w:rsidRDefault="00454A29">
            <w:pPr>
              <w:pStyle w:val="ConsPlusNormal"/>
              <w:jc w:val="center"/>
            </w:pPr>
            <w:r>
              <w:t>0,00</w:t>
            </w:r>
          </w:p>
        </w:tc>
        <w:tc>
          <w:tcPr>
            <w:tcW w:w="1701" w:type="dxa"/>
            <w:vAlign w:val="center"/>
          </w:tcPr>
          <w:p w14:paraId="1E279198" w14:textId="77777777" w:rsidR="00454A29" w:rsidRDefault="00454A29">
            <w:pPr>
              <w:pStyle w:val="ConsPlusNormal"/>
              <w:jc w:val="center"/>
            </w:pPr>
            <w:r>
              <w:t>0,00</w:t>
            </w:r>
          </w:p>
        </w:tc>
        <w:tc>
          <w:tcPr>
            <w:tcW w:w="1701" w:type="dxa"/>
            <w:vAlign w:val="center"/>
          </w:tcPr>
          <w:p w14:paraId="6F093D32" w14:textId="77777777" w:rsidR="00454A29" w:rsidRDefault="00454A29">
            <w:pPr>
              <w:pStyle w:val="ConsPlusNormal"/>
              <w:jc w:val="center"/>
            </w:pPr>
            <w:r>
              <w:t>0,00</w:t>
            </w:r>
          </w:p>
        </w:tc>
        <w:tc>
          <w:tcPr>
            <w:tcW w:w="1701" w:type="dxa"/>
            <w:vAlign w:val="center"/>
          </w:tcPr>
          <w:p w14:paraId="507DA438" w14:textId="77777777" w:rsidR="00454A29" w:rsidRDefault="00454A29">
            <w:pPr>
              <w:pStyle w:val="ConsPlusNormal"/>
              <w:jc w:val="center"/>
            </w:pPr>
            <w:r>
              <w:t>0,00</w:t>
            </w:r>
          </w:p>
        </w:tc>
        <w:tc>
          <w:tcPr>
            <w:tcW w:w="1701" w:type="dxa"/>
            <w:vAlign w:val="center"/>
          </w:tcPr>
          <w:p w14:paraId="7F11D853" w14:textId="77777777" w:rsidR="00454A29" w:rsidRDefault="00454A29">
            <w:pPr>
              <w:pStyle w:val="ConsPlusNormal"/>
              <w:jc w:val="center"/>
            </w:pPr>
            <w:r>
              <w:t>0,00</w:t>
            </w:r>
          </w:p>
        </w:tc>
        <w:tc>
          <w:tcPr>
            <w:tcW w:w="1701" w:type="dxa"/>
            <w:vAlign w:val="center"/>
          </w:tcPr>
          <w:p w14:paraId="6AA4DC24" w14:textId="77777777" w:rsidR="00454A29" w:rsidRDefault="00454A29">
            <w:pPr>
              <w:pStyle w:val="ConsPlusNormal"/>
              <w:jc w:val="center"/>
            </w:pPr>
            <w:r>
              <w:t>0,00</w:t>
            </w:r>
          </w:p>
        </w:tc>
      </w:tr>
      <w:tr w:rsidR="00454A29" w14:paraId="5E0364A9" w14:textId="77777777">
        <w:tc>
          <w:tcPr>
            <w:tcW w:w="964" w:type="dxa"/>
            <w:vMerge/>
          </w:tcPr>
          <w:p w14:paraId="3CE9BF25" w14:textId="77777777" w:rsidR="00454A29" w:rsidRDefault="00454A29"/>
        </w:tc>
        <w:tc>
          <w:tcPr>
            <w:tcW w:w="2154" w:type="dxa"/>
            <w:vMerge/>
            <w:tcBorders>
              <w:top w:val="nil"/>
              <w:bottom w:val="nil"/>
            </w:tcBorders>
          </w:tcPr>
          <w:p w14:paraId="6E56CC53" w14:textId="77777777" w:rsidR="00454A29" w:rsidRDefault="00454A29"/>
        </w:tc>
        <w:tc>
          <w:tcPr>
            <w:tcW w:w="2154" w:type="dxa"/>
            <w:vMerge/>
            <w:tcBorders>
              <w:top w:val="nil"/>
              <w:bottom w:val="nil"/>
            </w:tcBorders>
          </w:tcPr>
          <w:p w14:paraId="12E97CD9" w14:textId="77777777" w:rsidR="00454A29" w:rsidRDefault="00454A29"/>
        </w:tc>
        <w:tc>
          <w:tcPr>
            <w:tcW w:w="2665" w:type="dxa"/>
            <w:vMerge/>
          </w:tcPr>
          <w:p w14:paraId="22674B81" w14:textId="77777777" w:rsidR="00454A29" w:rsidRDefault="00454A29"/>
        </w:tc>
        <w:tc>
          <w:tcPr>
            <w:tcW w:w="2665" w:type="dxa"/>
            <w:vMerge/>
          </w:tcPr>
          <w:p w14:paraId="6FC84FF4" w14:textId="77777777" w:rsidR="00454A29" w:rsidRDefault="00454A29"/>
        </w:tc>
        <w:tc>
          <w:tcPr>
            <w:tcW w:w="1928" w:type="dxa"/>
            <w:vMerge/>
          </w:tcPr>
          <w:p w14:paraId="72B03767" w14:textId="77777777" w:rsidR="00454A29" w:rsidRDefault="00454A29"/>
        </w:tc>
        <w:tc>
          <w:tcPr>
            <w:tcW w:w="1644" w:type="dxa"/>
            <w:vMerge/>
          </w:tcPr>
          <w:p w14:paraId="6D4A5CAE" w14:textId="77777777" w:rsidR="00454A29" w:rsidRDefault="00454A29"/>
        </w:tc>
        <w:tc>
          <w:tcPr>
            <w:tcW w:w="2041" w:type="dxa"/>
            <w:vMerge/>
          </w:tcPr>
          <w:p w14:paraId="58D27F90" w14:textId="77777777" w:rsidR="00454A29" w:rsidRDefault="00454A29"/>
        </w:tc>
        <w:tc>
          <w:tcPr>
            <w:tcW w:w="2098" w:type="dxa"/>
            <w:vAlign w:val="center"/>
          </w:tcPr>
          <w:p w14:paraId="1E749700" w14:textId="77777777" w:rsidR="00454A29" w:rsidRDefault="00454A29">
            <w:pPr>
              <w:pStyle w:val="ConsPlusNormal"/>
              <w:jc w:val="center"/>
            </w:pPr>
            <w:r>
              <w:t>Федеральный бюджет</w:t>
            </w:r>
          </w:p>
        </w:tc>
        <w:tc>
          <w:tcPr>
            <w:tcW w:w="1814" w:type="dxa"/>
            <w:vAlign w:val="center"/>
          </w:tcPr>
          <w:p w14:paraId="79D18CC0" w14:textId="77777777" w:rsidR="00454A29" w:rsidRDefault="00454A29">
            <w:pPr>
              <w:pStyle w:val="ConsPlusNormal"/>
              <w:jc w:val="center"/>
            </w:pPr>
            <w:r>
              <w:t>0,00</w:t>
            </w:r>
          </w:p>
        </w:tc>
        <w:tc>
          <w:tcPr>
            <w:tcW w:w="1701" w:type="dxa"/>
            <w:vAlign w:val="center"/>
          </w:tcPr>
          <w:p w14:paraId="771192F7" w14:textId="77777777" w:rsidR="00454A29" w:rsidRDefault="00454A29">
            <w:pPr>
              <w:pStyle w:val="ConsPlusNormal"/>
              <w:jc w:val="center"/>
            </w:pPr>
            <w:r>
              <w:t>0,00</w:t>
            </w:r>
          </w:p>
        </w:tc>
        <w:tc>
          <w:tcPr>
            <w:tcW w:w="1701" w:type="dxa"/>
            <w:vAlign w:val="center"/>
          </w:tcPr>
          <w:p w14:paraId="783FF940" w14:textId="77777777" w:rsidR="00454A29" w:rsidRDefault="00454A29">
            <w:pPr>
              <w:pStyle w:val="ConsPlusNormal"/>
              <w:jc w:val="center"/>
            </w:pPr>
            <w:r>
              <w:t>0,00</w:t>
            </w:r>
          </w:p>
        </w:tc>
        <w:tc>
          <w:tcPr>
            <w:tcW w:w="1701" w:type="dxa"/>
            <w:vAlign w:val="center"/>
          </w:tcPr>
          <w:p w14:paraId="4949FF44" w14:textId="77777777" w:rsidR="00454A29" w:rsidRDefault="00454A29">
            <w:pPr>
              <w:pStyle w:val="ConsPlusNormal"/>
              <w:jc w:val="center"/>
            </w:pPr>
            <w:r>
              <w:t>0,00</w:t>
            </w:r>
          </w:p>
        </w:tc>
        <w:tc>
          <w:tcPr>
            <w:tcW w:w="1701" w:type="dxa"/>
            <w:vAlign w:val="center"/>
          </w:tcPr>
          <w:p w14:paraId="36D2A6A6" w14:textId="77777777" w:rsidR="00454A29" w:rsidRDefault="00454A29">
            <w:pPr>
              <w:pStyle w:val="ConsPlusNormal"/>
              <w:jc w:val="center"/>
            </w:pPr>
            <w:r>
              <w:t>0,00</w:t>
            </w:r>
          </w:p>
        </w:tc>
        <w:tc>
          <w:tcPr>
            <w:tcW w:w="1701" w:type="dxa"/>
            <w:vAlign w:val="center"/>
          </w:tcPr>
          <w:p w14:paraId="4A500B11" w14:textId="77777777" w:rsidR="00454A29" w:rsidRDefault="00454A29">
            <w:pPr>
              <w:pStyle w:val="ConsPlusNormal"/>
              <w:jc w:val="center"/>
            </w:pPr>
            <w:r>
              <w:t>0,00</w:t>
            </w:r>
          </w:p>
        </w:tc>
        <w:tc>
          <w:tcPr>
            <w:tcW w:w="1701" w:type="dxa"/>
            <w:vAlign w:val="center"/>
          </w:tcPr>
          <w:p w14:paraId="7BC56011" w14:textId="77777777" w:rsidR="00454A29" w:rsidRDefault="00454A29">
            <w:pPr>
              <w:pStyle w:val="ConsPlusNormal"/>
              <w:jc w:val="center"/>
            </w:pPr>
            <w:r>
              <w:t>0,00</w:t>
            </w:r>
          </w:p>
        </w:tc>
      </w:tr>
      <w:tr w:rsidR="00454A29" w14:paraId="42ACD4FB" w14:textId="77777777">
        <w:tc>
          <w:tcPr>
            <w:tcW w:w="964" w:type="dxa"/>
            <w:vMerge/>
          </w:tcPr>
          <w:p w14:paraId="4339843B" w14:textId="77777777" w:rsidR="00454A29" w:rsidRDefault="00454A29"/>
        </w:tc>
        <w:tc>
          <w:tcPr>
            <w:tcW w:w="2154" w:type="dxa"/>
            <w:vMerge/>
            <w:tcBorders>
              <w:top w:val="nil"/>
              <w:bottom w:val="nil"/>
            </w:tcBorders>
          </w:tcPr>
          <w:p w14:paraId="1092A74D" w14:textId="77777777" w:rsidR="00454A29" w:rsidRDefault="00454A29"/>
        </w:tc>
        <w:tc>
          <w:tcPr>
            <w:tcW w:w="2154" w:type="dxa"/>
            <w:vMerge/>
            <w:tcBorders>
              <w:top w:val="nil"/>
              <w:bottom w:val="nil"/>
            </w:tcBorders>
          </w:tcPr>
          <w:p w14:paraId="6528DC9C" w14:textId="77777777" w:rsidR="00454A29" w:rsidRDefault="00454A29"/>
        </w:tc>
        <w:tc>
          <w:tcPr>
            <w:tcW w:w="2665" w:type="dxa"/>
            <w:vMerge/>
          </w:tcPr>
          <w:p w14:paraId="6BA429E1" w14:textId="77777777" w:rsidR="00454A29" w:rsidRDefault="00454A29"/>
        </w:tc>
        <w:tc>
          <w:tcPr>
            <w:tcW w:w="2665" w:type="dxa"/>
            <w:vMerge/>
          </w:tcPr>
          <w:p w14:paraId="13E79B72" w14:textId="77777777" w:rsidR="00454A29" w:rsidRDefault="00454A29"/>
        </w:tc>
        <w:tc>
          <w:tcPr>
            <w:tcW w:w="1928" w:type="dxa"/>
            <w:vMerge/>
          </w:tcPr>
          <w:p w14:paraId="37431DE3" w14:textId="77777777" w:rsidR="00454A29" w:rsidRDefault="00454A29"/>
        </w:tc>
        <w:tc>
          <w:tcPr>
            <w:tcW w:w="1644" w:type="dxa"/>
            <w:vMerge/>
          </w:tcPr>
          <w:p w14:paraId="24DE4D28" w14:textId="77777777" w:rsidR="00454A29" w:rsidRDefault="00454A29"/>
        </w:tc>
        <w:tc>
          <w:tcPr>
            <w:tcW w:w="2041" w:type="dxa"/>
            <w:vMerge/>
          </w:tcPr>
          <w:p w14:paraId="7F42BA24" w14:textId="77777777" w:rsidR="00454A29" w:rsidRDefault="00454A29"/>
        </w:tc>
        <w:tc>
          <w:tcPr>
            <w:tcW w:w="2098" w:type="dxa"/>
            <w:vAlign w:val="center"/>
          </w:tcPr>
          <w:p w14:paraId="3DEBE346" w14:textId="77777777" w:rsidR="00454A29" w:rsidRDefault="00454A29">
            <w:pPr>
              <w:pStyle w:val="ConsPlusNormal"/>
              <w:jc w:val="center"/>
            </w:pPr>
            <w:r>
              <w:t>Местные бюджеты</w:t>
            </w:r>
          </w:p>
        </w:tc>
        <w:tc>
          <w:tcPr>
            <w:tcW w:w="1814" w:type="dxa"/>
            <w:vAlign w:val="center"/>
          </w:tcPr>
          <w:p w14:paraId="1D7AD95C" w14:textId="77777777" w:rsidR="00454A29" w:rsidRDefault="00454A29">
            <w:pPr>
              <w:pStyle w:val="ConsPlusNormal"/>
              <w:jc w:val="center"/>
            </w:pPr>
            <w:r>
              <w:t>0,00</w:t>
            </w:r>
          </w:p>
        </w:tc>
        <w:tc>
          <w:tcPr>
            <w:tcW w:w="1701" w:type="dxa"/>
            <w:vAlign w:val="center"/>
          </w:tcPr>
          <w:p w14:paraId="0CF16B9A" w14:textId="77777777" w:rsidR="00454A29" w:rsidRDefault="00454A29">
            <w:pPr>
              <w:pStyle w:val="ConsPlusNormal"/>
              <w:jc w:val="center"/>
            </w:pPr>
            <w:r>
              <w:t>0,00</w:t>
            </w:r>
          </w:p>
        </w:tc>
        <w:tc>
          <w:tcPr>
            <w:tcW w:w="1701" w:type="dxa"/>
            <w:vAlign w:val="center"/>
          </w:tcPr>
          <w:p w14:paraId="24B9A9DF" w14:textId="77777777" w:rsidR="00454A29" w:rsidRDefault="00454A29">
            <w:pPr>
              <w:pStyle w:val="ConsPlusNormal"/>
              <w:jc w:val="center"/>
            </w:pPr>
            <w:r>
              <w:t>0,00</w:t>
            </w:r>
          </w:p>
        </w:tc>
        <w:tc>
          <w:tcPr>
            <w:tcW w:w="1701" w:type="dxa"/>
            <w:vAlign w:val="center"/>
          </w:tcPr>
          <w:p w14:paraId="01B688F6" w14:textId="77777777" w:rsidR="00454A29" w:rsidRDefault="00454A29">
            <w:pPr>
              <w:pStyle w:val="ConsPlusNormal"/>
              <w:jc w:val="center"/>
            </w:pPr>
            <w:r>
              <w:t>0,00</w:t>
            </w:r>
          </w:p>
        </w:tc>
        <w:tc>
          <w:tcPr>
            <w:tcW w:w="1701" w:type="dxa"/>
            <w:vAlign w:val="center"/>
          </w:tcPr>
          <w:p w14:paraId="52B0FAA4" w14:textId="77777777" w:rsidR="00454A29" w:rsidRDefault="00454A29">
            <w:pPr>
              <w:pStyle w:val="ConsPlusNormal"/>
              <w:jc w:val="center"/>
            </w:pPr>
            <w:r>
              <w:t>0,00</w:t>
            </w:r>
          </w:p>
        </w:tc>
        <w:tc>
          <w:tcPr>
            <w:tcW w:w="1701" w:type="dxa"/>
            <w:vAlign w:val="center"/>
          </w:tcPr>
          <w:p w14:paraId="6A8C4509" w14:textId="77777777" w:rsidR="00454A29" w:rsidRDefault="00454A29">
            <w:pPr>
              <w:pStyle w:val="ConsPlusNormal"/>
              <w:jc w:val="center"/>
            </w:pPr>
            <w:r>
              <w:t>0,00</w:t>
            </w:r>
          </w:p>
        </w:tc>
        <w:tc>
          <w:tcPr>
            <w:tcW w:w="1701" w:type="dxa"/>
            <w:vAlign w:val="center"/>
          </w:tcPr>
          <w:p w14:paraId="22416AD9" w14:textId="77777777" w:rsidR="00454A29" w:rsidRDefault="00454A29">
            <w:pPr>
              <w:pStyle w:val="ConsPlusNormal"/>
              <w:jc w:val="center"/>
            </w:pPr>
            <w:r>
              <w:t>0,00</w:t>
            </w:r>
          </w:p>
        </w:tc>
      </w:tr>
      <w:tr w:rsidR="00454A29" w14:paraId="317CBB96" w14:textId="77777777">
        <w:tc>
          <w:tcPr>
            <w:tcW w:w="964" w:type="dxa"/>
            <w:vMerge/>
          </w:tcPr>
          <w:p w14:paraId="7B738C54" w14:textId="77777777" w:rsidR="00454A29" w:rsidRDefault="00454A29"/>
        </w:tc>
        <w:tc>
          <w:tcPr>
            <w:tcW w:w="2154" w:type="dxa"/>
            <w:vMerge/>
            <w:tcBorders>
              <w:top w:val="nil"/>
              <w:bottom w:val="nil"/>
            </w:tcBorders>
          </w:tcPr>
          <w:p w14:paraId="1ADB68FB" w14:textId="77777777" w:rsidR="00454A29" w:rsidRDefault="00454A29"/>
        </w:tc>
        <w:tc>
          <w:tcPr>
            <w:tcW w:w="2154" w:type="dxa"/>
            <w:vMerge/>
            <w:tcBorders>
              <w:top w:val="nil"/>
              <w:bottom w:val="nil"/>
            </w:tcBorders>
          </w:tcPr>
          <w:p w14:paraId="6E571F66" w14:textId="77777777" w:rsidR="00454A29" w:rsidRDefault="00454A29"/>
        </w:tc>
        <w:tc>
          <w:tcPr>
            <w:tcW w:w="2665" w:type="dxa"/>
            <w:vMerge/>
          </w:tcPr>
          <w:p w14:paraId="1F5C916E" w14:textId="77777777" w:rsidR="00454A29" w:rsidRDefault="00454A29"/>
        </w:tc>
        <w:tc>
          <w:tcPr>
            <w:tcW w:w="2665" w:type="dxa"/>
            <w:vMerge/>
          </w:tcPr>
          <w:p w14:paraId="3D43E8BA" w14:textId="77777777" w:rsidR="00454A29" w:rsidRDefault="00454A29"/>
        </w:tc>
        <w:tc>
          <w:tcPr>
            <w:tcW w:w="1928" w:type="dxa"/>
            <w:vMerge/>
          </w:tcPr>
          <w:p w14:paraId="7143F126" w14:textId="77777777" w:rsidR="00454A29" w:rsidRDefault="00454A29"/>
        </w:tc>
        <w:tc>
          <w:tcPr>
            <w:tcW w:w="1644" w:type="dxa"/>
            <w:vMerge/>
          </w:tcPr>
          <w:p w14:paraId="568726E1" w14:textId="77777777" w:rsidR="00454A29" w:rsidRDefault="00454A29"/>
        </w:tc>
        <w:tc>
          <w:tcPr>
            <w:tcW w:w="2041" w:type="dxa"/>
            <w:vMerge/>
          </w:tcPr>
          <w:p w14:paraId="19EB6B1E" w14:textId="77777777" w:rsidR="00454A29" w:rsidRDefault="00454A29"/>
        </w:tc>
        <w:tc>
          <w:tcPr>
            <w:tcW w:w="2098" w:type="dxa"/>
            <w:vAlign w:val="center"/>
          </w:tcPr>
          <w:p w14:paraId="77792E85" w14:textId="77777777" w:rsidR="00454A29" w:rsidRDefault="00454A29">
            <w:pPr>
              <w:pStyle w:val="ConsPlusNormal"/>
              <w:jc w:val="center"/>
            </w:pPr>
            <w:r>
              <w:t>Внебюджетные средства</w:t>
            </w:r>
          </w:p>
        </w:tc>
        <w:tc>
          <w:tcPr>
            <w:tcW w:w="1814" w:type="dxa"/>
            <w:vAlign w:val="center"/>
          </w:tcPr>
          <w:p w14:paraId="7EFA8F3C" w14:textId="77777777" w:rsidR="00454A29" w:rsidRDefault="00454A29">
            <w:pPr>
              <w:pStyle w:val="ConsPlusNormal"/>
              <w:jc w:val="center"/>
            </w:pPr>
            <w:r>
              <w:t>0,00</w:t>
            </w:r>
          </w:p>
        </w:tc>
        <w:tc>
          <w:tcPr>
            <w:tcW w:w="1701" w:type="dxa"/>
            <w:vAlign w:val="center"/>
          </w:tcPr>
          <w:p w14:paraId="6D55F8CA" w14:textId="77777777" w:rsidR="00454A29" w:rsidRDefault="00454A29">
            <w:pPr>
              <w:pStyle w:val="ConsPlusNormal"/>
              <w:jc w:val="center"/>
            </w:pPr>
            <w:r>
              <w:t>0,00</w:t>
            </w:r>
          </w:p>
        </w:tc>
        <w:tc>
          <w:tcPr>
            <w:tcW w:w="1701" w:type="dxa"/>
            <w:vAlign w:val="center"/>
          </w:tcPr>
          <w:p w14:paraId="1636514D" w14:textId="77777777" w:rsidR="00454A29" w:rsidRDefault="00454A29">
            <w:pPr>
              <w:pStyle w:val="ConsPlusNormal"/>
              <w:jc w:val="center"/>
            </w:pPr>
            <w:r>
              <w:t>0,00</w:t>
            </w:r>
          </w:p>
        </w:tc>
        <w:tc>
          <w:tcPr>
            <w:tcW w:w="1701" w:type="dxa"/>
            <w:vAlign w:val="center"/>
          </w:tcPr>
          <w:p w14:paraId="3CD9AA73" w14:textId="77777777" w:rsidR="00454A29" w:rsidRDefault="00454A29">
            <w:pPr>
              <w:pStyle w:val="ConsPlusNormal"/>
              <w:jc w:val="center"/>
            </w:pPr>
            <w:r>
              <w:t>0,00</w:t>
            </w:r>
          </w:p>
        </w:tc>
        <w:tc>
          <w:tcPr>
            <w:tcW w:w="1701" w:type="dxa"/>
            <w:vAlign w:val="center"/>
          </w:tcPr>
          <w:p w14:paraId="056CCF74" w14:textId="77777777" w:rsidR="00454A29" w:rsidRDefault="00454A29">
            <w:pPr>
              <w:pStyle w:val="ConsPlusNormal"/>
              <w:jc w:val="center"/>
            </w:pPr>
            <w:r>
              <w:t>0,00</w:t>
            </w:r>
          </w:p>
        </w:tc>
        <w:tc>
          <w:tcPr>
            <w:tcW w:w="1701" w:type="dxa"/>
            <w:vAlign w:val="center"/>
          </w:tcPr>
          <w:p w14:paraId="3A5F482B" w14:textId="77777777" w:rsidR="00454A29" w:rsidRDefault="00454A29">
            <w:pPr>
              <w:pStyle w:val="ConsPlusNormal"/>
              <w:jc w:val="center"/>
            </w:pPr>
            <w:r>
              <w:t>0,00</w:t>
            </w:r>
          </w:p>
        </w:tc>
        <w:tc>
          <w:tcPr>
            <w:tcW w:w="1701" w:type="dxa"/>
            <w:vAlign w:val="center"/>
          </w:tcPr>
          <w:p w14:paraId="746067D8" w14:textId="77777777" w:rsidR="00454A29" w:rsidRDefault="00454A29">
            <w:pPr>
              <w:pStyle w:val="ConsPlusNormal"/>
              <w:jc w:val="center"/>
            </w:pPr>
            <w:r>
              <w:t>0,00</w:t>
            </w:r>
          </w:p>
        </w:tc>
      </w:tr>
      <w:tr w:rsidR="00454A29" w14:paraId="7C7BB955" w14:textId="77777777">
        <w:tc>
          <w:tcPr>
            <w:tcW w:w="964" w:type="dxa"/>
            <w:vMerge w:val="restart"/>
            <w:vAlign w:val="center"/>
          </w:tcPr>
          <w:p w14:paraId="1935358C" w14:textId="77777777" w:rsidR="00454A29" w:rsidRDefault="00454A29">
            <w:pPr>
              <w:pStyle w:val="ConsPlusNormal"/>
              <w:jc w:val="center"/>
            </w:pPr>
            <w:r>
              <w:t>10.4.</w:t>
            </w:r>
          </w:p>
        </w:tc>
        <w:tc>
          <w:tcPr>
            <w:tcW w:w="2154" w:type="dxa"/>
            <w:vMerge w:val="restart"/>
            <w:tcBorders>
              <w:top w:val="nil"/>
            </w:tcBorders>
            <w:vAlign w:val="center"/>
          </w:tcPr>
          <w:p w14:paraId="2953FD59" w14:textId="77777777" w:rsidR="00454A29" w:rsidRDefault="00454A29">
            <w:pPr>
              <w:pStyle w:val="ConsPlusNormal"/>
            </w:pPr>
          </w:p>
        </w:tc>
        <w:tc>
          <w:tcPr>
            <w:tcW w:w="2154" w:type="dxa"/>
            <w:vMerge w:val="restart"/>
            <w:tcBorders>
              <w:top w:val="nil"/>
            </w:tcBorders>
            <w:vAlign w:val="center"/>
          </w:tcPr>
          <w:p w14:paraId="162B0FBC" w14:textId="77777777" w:rsidR="00454A29" w:rsidRDefault="00454A29">
            <w:pPr>
              <w:pStyle w:val="ConsPlusNormal"/>
            </w:pPr>
          </w:p>
        </w:tc>
        <w:tc>
          <w:tcPr>
            <w:tcW w:w="2665" w:type="dxa"/>
            <w:vMerge/>
          </w:tcPr>
          <w:p w14:paraId="0D074EF4" w14:textId="77777777" w:rsidR="00454A29" w:rsidRDefault="00454A29"/>
        </w:tc>
        <w:tc>
          <w:tcPr>
            <w:tcW w:w="2665" w:type="dxa"/>
            <w:vMerge w:val="restart"/>
            <w:vAlign w:val="center"/>
          </w:tcPr>
          <w:p w14:paraId="6C6CAE32" w14:textId="77777777" w:rsidR="00454A29" w:rsidRDefault="00454A29">
            <w:pPr>
              <w:pStyle w:val="ConsPlusNormal"/>
              <w:jc w:val="center"/>
            </w:pPr>
            <w:r>
              <w:t xml:space="preserve">Мероприятие 3.11.4. 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w:t>
            </w:r>
            <w:r>
              <w:lastRenderedPageBreak/>
              <w:t>преподавании предметных областей "Математика", "Информатика" и "Технология" в рамках федерального проекта "Кадры для цифровой экономики" национальной программы "Цифровая экономика" государственной программы Российской Федерации "Развитие образования"</w:t>
            </w:r>
          </w:p>
        </w:tc>
        <w:tc>
          <w:tcPr>
            <w:tcW w:w="1928" w:type="dxa"/>
            <w:vMerge w:val="restart"/>
            <w:vAlign w:val="center"/>
          </w:tcPr>
          <w:p w14:paraId="20639FEA" w14:textId="77777777" w:rsidR="00454A29" w:rsidRDefault="00454A29">
            <w:pPr>
              <w:pStyle w:val="ConsPlusNormal"/>
              <w:jc w:val="center"/>
            </w:pPr>
            <w:r>
              <w:lastRenderedPageBreak/>
              <w:t>-</w:t>
            </w:r>
          </w:p>
        </w:tc>
        <w:tc>
          <w:tcPr>
            <w:tcW w:w="1644" w:type="dxa"/>
            <w:vMerge w:val="restart"/>
            <w:vAlign w:val="center"/>
          </w:tcPr>
          <w:p w14:paraId="28FA8F47" w14:textId="77777777" w:rsidR="00454A29" w:rsidRDefault="00454A29">
            <w:pPr>
              <w:pStyle w:val="ConsPlusNormal"/>
              <w:jc w:val="center"/>
            </w:pPr>
            <w:r>
              <w:t>-</w:t>
            </w:r>
          </w:p>
        </w:tc>
        <w:tc>
          <w:tcPr>
            <w:tcW w:w="2041" w:type="dxa"/>
            <w:vMerge w:val="restart"/>
            <w:vAlign w:val="center"/>
          </w:tcPr>
          <w:p w14:paraId="2F576445" w14:textId="77777777" w:rsidR="00454A29" w:rsidRDefault="00454A29">
            <w:pPr>
              <w:pStyle w:val="ConsPlusNormal"/>
              <w:jc w:val="center"/>
            </w:pPr>
            <w:r>
              <w:t>-</w:t>
            </w:r>
          </w:p>
        </w:tc>
        <w:tc>
          <w:tcPr>
            <w:tcW w:w="2098" w:type="dxa"/>
            <w:vAlign w:val="center"/>
          </w:tcPr>
          <w:p w14:paraId="46AE7DDD" w14:textId="77777777" w:rsidR="00454A29" w:rsidRDefault="00454A29">
            <w:pPr>
              <w:pStyle w:val="ConsPlusNormal"/>
              <w:jc w:val="center"/>
            </w:pPr>
            <w:r>
              <w:t>Итого</w:t>
            </w:r>
          </w:p>
        </w:tc>
        <w:tc>
          <w:tcPr>
            <w:tcW w:w="1814" w:type="dxa"/>
            <w:vAlign w:val="center"/>
          </w:tcPr>
          <w:p w14:paraId="2F1F561C" w14:textId="77777777" w:rsidR="00454A29" w:rsidRDefault="00454A29">
            <w:pPr>
              <w:pStyle w:val="ConsPlusNormal"/>
              <w:jc w:val="center"/>
            </w:pPr>
            <w:r>
              <w:t>0,00</w:t>
            </w:r>
          </w:p>
        </w:tc>
        <w:tc>
          <w:tcPr>
            <w:tcW w:w="1701" w:type="dxa"/>
            <w:vAlign w:val="center"/>
          </w:tcPr>
          <w:p w14:paraId="60374D4E" w14:textId="77777777" w:rsidR="00454A29" w:rsidRDefault="00454A29">
            <w:pPr>
              <w:pStyle w:val="ConsPlusNormal"/>
              <w:jc w:val="center"/>
            </w:pPr>
            <w:r>
              <w:t>0,00</w:t>
            </w:r>
          </w:p>
        </w:tc>
        <w:tc>
          <w:tcPr>
            <w:tcW w:w="1701" w:type="dxa"/>
            <w:vAlign w:val="center"/>
          </w:tcPr>
          <w:p w14:paraId="449DA112" w14:textId="77777777" w:rsidR="00454A29" w:rsidRDefault="00454A29">
            <w:pPr>
              <w:pStyle w:val="ConsPlusNormal"/>
              <w:jc w:val="center"/>
            </w:pPr>
            <w:r>
              <w:t>0,00</w:t>
            </w:r>
          </w:p>
        </w:tc>
        <w:tc>
          <w:tcPr>
            <w:tcW w:w="1701" w:type="dxa"/>
            <w:vAlign w:val="center"/>
          </w:tcPr>
          <w:p w14:paraId="6E39136A" w14:textId="77777777" w:rsidR="00454A29" w:rsidRDefault="00454A29">
            <w:pPr>
              <w:pStyle w:val="ConsPlusNormal"/>
              <w:jc w:val="center"/>
            </w:pPr>
            <w:r>
              <w:t>0,00</w:t>
            </w:r>
          </w:p>
        </w:tc>
        <w:tc>
          <w:tcPr>
            <w:tcW w:w="1701" w:type="dxa"/>
            <w:vAlign w:val="center"/>
          </w:tcPr>
          <w:p w14:paraId="1EAACE95" w14:textId="77777777" w:rsidR="00454A29" w:rsidRDefault="00454A29">
            <w:pPr>
              <w:pStyle w:val="ConsPlusNormal"/>
              <w:jc w:val="center"/>
            </w:pPr>
            <w:r>
              <w:t>0,00</w:t>
            </w:r>
          </w:p>
        </w:tc>
        <w:tc>
          <w:tcPr>
            <w:tcW w:w="1701" w:type="dxa"/>
            <w:vAlign w:val="center"/>
          </w:tcPr>
          <w:p w14:paraId="19C3F463" w14:textId="77777777" w:rsidR="00454A29" w:rsidRDefault="00454A29">
            <w:pPr>
              <w:pStyle w:val="ConsPlusNormal"/>
              <w:jc w:val="center"/>
            </w:pPr>
            <w:r>
              <w:t>0,00</w:t>
            </w:r>
          </w:p>
        </w:tc>
        <w:tc>
          <w:tcPr>
            <w:tcW w:w="1701" w:type="dxa"/>
            <w:vAlign w:val="center"/>
          </w:tcPr>
          <w:p w14:paraId="0D832DAB" w14:textId="77777777" w:rsidR="00454A29" w:rsidRDefault="00454A29">
            <w:pPr>
              <w:pStyle w:val="ConsPlusNormal"/>
              <w:jc w:val="center"/>
            </w:pPr>
            <w:r>
              <w:t>0,00</w:t>
            </w:r>
          </w:p>
        </w:tc>
      </w:tr>
      <w:tr w:rsidR="00454A29" w14:paraId="27F9C795" w14:textId="77777777">
        <w:tc>
          <w:tcPr>
            <w:tcW w:w="964" w:type="dxa"/>
            <w:vMerge/>
          </w:tcPr>
          <w:p w14:paraId="3181E545" w14:textId="77777777" w:rsidR="00454A29" w:rsidRDefault="00454A29"/>
        </w:tc>
        <w:tc>
          <w:tcPr>
            <w:tcW w:w="2154" w:type="dxa"/>
            <w:vMerge/>
            <w:tcBorders>
              <w:top w:val="nil"/>
            </w:tcBorders>
          </w:tcPr>
          <w:p w14:paraId="5F45576A" w14:textId="77777777" w:rsidR="00454A29" w:rsidRDefault="00454A29"/>
        </w:tc>
        <w:tc>
          <w:tcPr>
            <w:tcW w:w="2154" w:type="dxa"/>
            <w:vMerge/>
            <w:tcBorders>
              <w:top w:val="nil"/>
            </w:tcBorders>
          </w:tcPr>
          <w:p w14:paraId="02376510" w14:textId="77777777" w:rsidR="00454A29" w:rsidRDefault="00454A29"/>
        </w:tc>
        <w:tc>
          <w:tcPr>
            <w:tcW w:w="2665" w:type="dxa"/>
            <w:vMerge/>
          </w:tcPr>
          <w:p w14:paraId="222CCB57" w14:textId="77777777" w:rsidR="00454A29" w:rsidRDefault="00454A29"/>
        </w:tc>
        <w:tc>
          <w:tcPr>
            <w:tcW w:w="2665" w:type="dxa"/>
            <w:vMerge/>
          </w:tcPr>
          <w:p w14:paraId="2B8188BF" w14:textId="77777777" w:rsidR="00454A29" w:rsidRDefault="00454A29"/>
        </w:tc>
        <w:tc>
          <w:tcPr>
            <w:tcW w:w="1928" w:type="dxa"/>
            <w:vMerge/>
          </w:tcPr>
          <w:p w14:paraId="2367E473" w14:textId="77777777" w:rsidR="00454A29" w:rsidRDefault="00454A29"/>
        </w:tc>
        <w:tc>
          <w:tcPr>
            <w:tcW w:w="1644" w:type="dxa"/>
            <w:vMerge/>
          </w:tcPr>
          <w:p w14:paraId="63B3DA2E" w14:textId="77777777" w:rsidR="00454A29" w:rsidRDefault="00454A29"/>
        </w:tc>
        <w:tc>
          <w:tcPr>
            <w:tcW w:w="2041" w:type="dxa"/>
            <w:vMerge/>
          </w:tcPr>
          <w:p w14:paraId="05C5FEB7" w14:textId="77777777" w:rsidR="00454A29" w:rsidRDefault="00454A29"/>
        </w:tc>
        <w:tc>
          <w:tcPr>
            <w:tcW w:w="2098" w:type="dxa"/>
            <w:vAlign w:val="center"/>
          </w:tcPr>
          <w:p w14:paraId="17C96A74"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505B1EB" w14:textId="77777777" w:rsidR="00454A29" w:rsidRDefault="00454A29">
            <w:pPr>
              <w:pStyle w:val="ConsPlusNormal"/>
              <w:jc w:val="center"/>
            </w:pPr>
            <w:r>
              <w:t>0,00</w:t>
            </w:r>
          </w:p>
        </w:tc>
        <w:tc>
          <w:tcPr>
            <w:tcW w:w="1701" w:type="dxa"/>
            <w:vAlign w:val="center"/>
          </w:tcPr>
          <w:p w14:paraId="66874CAD" w14:textId="77777777" w:rsidR="00454A29" w:rsidRDefault="00454A29">
            <w:pPr>
              <w:pStyle w:val="ConsPlusNormal"/>
              <w:jc w:val="center"/>
            </w:pPr>
            <w:r>
              <w:t>0,00</w:t>
            </w:r>
          </w:p>
        </w:tc>
        <w:tc>
          <w:tcPr>
            <w:tcW w:w="1701" w:type="dxa"/>
            <w:vAlign w:val="center"/>
          </w:tcPr>
          <w:p w14:paraId="6F956D8C" w14:textId="77777777" w:rsidR="00454A29" w:rsidRDefault="00454A29">
            <w:pPr>
              <w:pStyle w:val="ConsPlusNormal"/>
              <w:jc w:val="center"/>
            </w:pPr>
            <w:r>
              <w:t>0,00</w:t>
            </w:r>
          </w:p>
        </w:tc>
        <w:tc>
          <w:tcPr>
            <w:tcW w:w="1701" w:type="dxa"/>
            <w:vAlign w:val="center"/>
          </w:tcPr>
          <w:p w14:paraId="529898DB" w14:textId="77777777" w:rsidR="00454A29" w:rsidRDefault="00454A29">
            <w:pPr>
              <w:pStyle w:val="ConsPlusNormal"/>
              <w:jc w:val="center"/>
            </w:pPr>
            <w:r>
              <w:t>0,00</w:t>
            </w:r>
          </w:p>
        </w:tc>
        <w:tc>
          <w:tcPr>
            <w:tcW w:w="1701" w:type="dxa"/>
            <w:vAlign w:val="center"/>
          </w:tcPr>
          <w:p w14:paraId="432CF348" w14:textId="77777777" w:rsidR="00454A29" w:rsidRDefault="00454A29">
            <w:pPr>
              <w:pStyle w:val="ConsPlusNormal"/>
              <w:jc w:val="center"/>
            </w:pPr>
            <w:r>
              <w:t>0,00</w:t>
            </w:r>
          </w:p>
        </w:tc>
        <w:tc>
          <w:tcPr>
            <w:tcW w:w="1701" w:type="dxa"/>
            <w:vAlign w:val="center"/>
          </w:tcPr>
          <w:p w14:paraId="2E7DF650" w14:textId="77777777" w:rsidR="00454A29" w:rsidRDefault="00454A29">
            <w:pPr>
              <w:pStyle w:val="ConsPlusNormal"/>
              <w:jc w:val="center"/>
            </w:pPr>
            <w:r>
              <w:t>0,00</w:t>
            </w:r>
          </w:p>
        </w:tc>
        <w:tc>
          <w:tcPr>
            <w:tcW w:w="1701" w:type="dxa"/>
            <w:vAlign w:val="center"/>
          </w:tcPr>
          <w:p w14:paraId="315F16C8" w14:textId="77777777" w:rsidR="00454A29" w:rsidRDefault="00454A29">
            <w:pPr>
              <w:pStyle w:val="ConsPlusNormal"/>
              <w:jc w:val="center"/>
            </w:pPr>
            <w:r>
              <w:t>0,00</w:t>
            </w:r>
          </w:p>
        </w:tc>
      </w:tr>
      <w:tr w:rsidR="00454A29" w14:paraId="49841D03" w14:textId="77777777">
        <w:tc>
          <w:tcPr>
            <w:tcW w:w="964" w:type="dxa"/>
            <w:vMerge/>
          </w:tcPr>
          <w:p w14:paraId="346A5933" w14:textId="77777777" w:rsidR="00454A29" w:rsidRDefault="00454A29"/>
        </w:tc>
        <w:tc>
          <w:tcPr>
            <w:tcW w:w="2154" w:type="dxa"/>
            <w:vMerge/>
            <w:tcBorders>
              <w:top w:val="nil"/>
            </w:tcBorders>
          </w:tcPr>
          <w:p w14:paraId="6EECCA99" w14:textId="77777777" w:rsidR="00454A29" w:rsidRDefault="00454A29"/>
        </w:tc>
        <w:tc>
          <w:tcPr>
            <w:tcW w:w="2154" w:type="dxa"/>
            <w:vMerge/>
            <w:tcBorders>
              <w:top w:val="nil"/>
            </w:tcBorders>
          </w:tcPr>
          <w:p w14:paraId="0D253DF4" w14:textId="77777777" w:rsidR="00454A29" w:rsidRDefault="00454A29"/>
        </w:tc>
        <w:tc>
          <w:tcPr>
            <w:tcW w:w="2665" w:type="dxa"/>
            <w:vMerge/>
          </w:tcPr>
          <w:p w14:paraId="68C6828B" w14:textId="77777777" w:rsidR="00454A29" w:rsidRDefault="00454A29"/>
        </w:tc>
        <w:tc>
          <w:tcPr>
            <w:tcW w:w="2665" w:type="dxa"/>
            <w:vMerge/>
          </w:tcPr>
          <w:p w14:paraId="228B0496" w14:textId="77777777" w:rsidR="00454A29" w:rsidRDefault="00454A29"/>
        </w:tc>
        <w:tc>
          <w:tcPr>
            <w:tcW w:w="1928" w:type="dxa"/>
            <w:vMerge/>
          </w:tcPr>
          <w:p w14:paraId="4A3BAC28" w14:textId="77777777" w:rsidR="00454A29" w:rsidRDefault="00454A29"/>
        </w:tc>
        <w:tc>
          <w:tcPr>
            <w:tcW w:w="1644" w:type="dxa"/>
            <w:vMerge/>
          </w:tcPr>
          <w:p w14:paraId="6E48672D" w14:textId="77777777" w:rsidR="00454A29" w:rsidRDefault="00454A29"/>
        </w:tc>
        <w:tc>
          <w:tcPr>
            <w:tcW w:w="2041" w:type="dxa"/>
            <w:vMerge/>
          </w:tcPr>
          <w:p w14:paraId="6AAB11B8" w14:textId="77777777" w:rsidR="00454A29" w:rsidRDefault="00454A29"/>
        </w:tc>
        <w:tc>
          <w:tcPr>
            <w:tcW w:w="2098" w:type="dxa"/>
            <w:vAlign w:val="center"/>
          </w:tcPr>
          <w:p w14:paraId="3FD3C118" w14:textId="77777777" w:rsidR="00454A29" w:rsidRDefault="00454A29">
            <w:pPr>
              <w:pStyle w:val="ConsPlusNormal"/>
              <w:jc w:val="center"/>
            </w:pPr>
            <w:r>
              <w:t>Федеральный бюджет</w:t>
            </w:r>
          </w:p>
        </w:tc>
        <w:tc>
          <w:tcPr>
            <w:tcW w:w="1814" w:type="dxa"/>
            <w:vAlign w:val="center"/>
          </w:tcPr>
          <w:p w14:paraId="39A39C39" w14:textId="77777777" w:rsidR="00454A29" w:rsidRDefault="00454A29">
            <w:pPr>
              <w:pStyle w:val="ConsPlusNormal"/>
              <w:jc w:val="center"/>
            </w:pPr>
            <w:r>
              <w:t>0,00</w:t>
            </w:r>
          </w:p>
        </w:tc>
        <w:tc>
          <w:tcPr>
            <w:tcW w:w="1701" w:type="dxa"/>
            <w:vAlign w:val="center"/>
          </w:tcPr>
          <w:p w14:paraId="54ACFCC4" w14:textId="77777777" w:rsidR="00454A29" w:rsidRDefault="00454A29">
            <w:pPr>
              <w:pStyle w:val="ConsPlusNormal"/>
              <w:jc w:val="center"/>
            </w:pPr>
            <w:r>
              <w:t>0,00</w:t>
            </w:r>
          </w:p>
        </w:tc>
        <w:tc>
          <w:tcPr>
            <w:tcW w:w="1701" w:type="dxa"/>
            <w:vAlign w:val="center"/>
          </w:tcPr>
          <w:p w14:paraId="0B69BEAD" w14:textId="77777777" w:rsidR="00454A29" w:rsidRDefault="00454A29">
            <w:pPr>
              <w:pStyle w:val="ConsPlusNormal"/>
              <w:jc w:val="center"/>
            </w:pPr>
            <w:r>
              <w:t>0,00</w:t>
            </w:r>
          </w:p>
        </w:tc>
        <w:tc>
          <w:tcPr>
            <w:tcW w:w="1701" w:type="dxa"/>
            <w:vAlign w:val="center"/>
          </w:tcPr>
          <w:p w14:paraId="72C4B3A8" w14:textId="77777777" w:rsidR="00454A29" w:rsidRDefault="00454A29">
            <w:pPr>
              <w:pStyle w:val="ConsPlusNormal"/>
              <w:jc w:val="center"/>
            </w:pPr>
            <w:r>
              <w:t>0,00</w:t>
            </w:r>
          </w:p>
        </w:tc>
        <w:tc>
          <w:tcPr>
            <w:tcW w:w="1701" w:type="dxa"/>
            <w:vAlign w:val="center"/>
          </w:tcPr>
          <w:p w14:paraId="7F2D38CD" w14:textId="77777777" w:rsidR="00454A29" w:rsidRDefault="00454A29">
            <w:pPr>
              <w:pStyle w:val="ConsPlusNormal"/>
              <w:jc w:val="center"/>
            </w:pPr>
            <w:r>
              <w:t>0,00</w:t>
            </w:r>
          </w:p>
        </w:tc>
        <w:tc>
          <w:tcPr>
            <w:tcW w:w="1701" w:type="dxa"/>
            <w:vAlign w:val="center"/>
          </w:tcPr>
          <w:p w14:paraId="04E90B95" w14:textId="77777777" w:rsidR="00454A29" w:rsidRDefault="00454A29">
            <w:pPr>
              <w:pStyle w:val="ConsPlusNormal"/>
              <w:jc w:val="center"/>
            </w:pPr>
            <w:r>
              <w:t>0,00</w:t>
            </w:r>
          </w:p>
        </w:tc>
        <w:tc>
          <w:tcPr>
            <w:tcW w:w="1701" w:type="dxa"/>
            <w:vAlign w:val="center"/>
          </w:tcPr>
          <w:p w14:paraId="7B6E1763" w14:textId="77777777" w:rsidR="00454A29" w:rsidRDefault="00454A29">
            <w:pPr>
              <w:pStyle w:val="ConsPlusNormal"/>
              <w:jc w:val="center"/>
            </w:pPr>
            <w:r>
              <w:t>0,00</w:t>
            </w:r>
          </w:p>
        </w:tc>
      </w:tr>
      <w:tr w:rsidR="00454A29" w14:paraId="60382CC2" w14:textId="77777777">
        <w:tc>
          <w:tcPr>
            <w:tcW w:w="964" w:type="dxa"/>
            <w:vMerge/>
          </w:tcPr>
          <w:p w14:paraId="6C59D33B" w14:textId="77777777" w:rsidR="00454A29" w:rsidRDefault="00454A29"/>
        </w:tc>
        <w:tc>
          <w:tcPr>
            <w:tcW w:w="2154" w:type="dxa"/>
            <w:vMerge/>
            <w:tcBorders>
              <w:top w:val="nil"/>
            </w:tcBorders>
          </w:tcPr>
          <w:p w14:paraId="4D0961CA" w14:textId="77777777" w:rsidR="00454A29" w:rsidRDefault="00454A29"/>
        </w:tc>
        <w:tc>
          <w:tcPr>
            <w:tcW w:w="2154" w:type="dxa"/>
            <w:vMerge/>
            <w:tcBorders>
              <w:top w:val="nil"/>
            </w:tcBorders>
          </w:tcPr>
          <w:p w14:paraId="7BF956D3" w14:textId="77777777" w:rsidR="00454A29" w:rsidRDefault="00454A29"/>
        </w:tc>
        <w:tc>
          <w:tcPr>
            <w:tcW w:w="2665" w:type="dxa"/>
            <w:vMerge/>
          </w:tcPr>
          <w:p w14:paraId="2784D1B1" w14:textId="77777777" w:rsidR="00454A29" w:rsidRDefault="00454A29"/>
        </w:tc>
        <w:tc>
          <w:tcPr>
            <w:tcW w:w="2665" w:type="dxa"/>
            <w:vMerge/>
          </w:tcPr>
          <w:p w14:paraId="2D6D42A7" w14:textId="77777777" w:rsidR="00454A29" w:rsidRDefault="00454A29"/>
        </w:tc>
        <w:tc>
          <w:tcPr>
            <w:tcW w:w="1928" w:type="dxa"/>
            <w:vMerge/>
          </w:tcPr>
          <w:p w14:paraId="53A2C1DB" w14:textId="77777777" w:rsidR="00454A29" w:rsidRDefault="00454A29"/>
        </w:tc>
        <w:tc>
          <w:tcPr>
            <w:tcW w:w="1644" w:type="dxa"/>
            <w:vMerge/>
          </w:tcPr>
          <w:p w14:paraId="25F3C973" w14:textId="77777777" w:rsidR="00454A29" w:rsidRDefault="00454A29"/>
        </w:tc>
        <w:tc>
          <w:tcPr>
            <w:tcW w:w="2041" w:type="dxa"/>
            <w:vMerge/>
          </w:tcPr>
          <w:p w14:paraId="148400EB" w14:textId="77777777" w:rsidR="00454A29" w:rsidRDefault="00454A29"/>
        </w:tc>
        <w:tc>
          <w:tcPr>
            <w:tcW w:w="2098" w:type="dxa"/>
            <w:vAlign w:val="center"/>
          </w:tcPr>
          <w:p w14:paraId="2723FD6E" w14:textId="77777777" w:rsidR="00454A29" w:rsidRDefault="00454A29">
            <w:pPr>
              <w:pStyle w:val="ConsPlusNormal"/>
              <w:jc w:val="center"/>
            </w:pPr>
            <w:r>
              <w:t>Местные бюджеты</w:t>
            </w:r>
          </w:p>
        </w:tc>
        <w:tc>
          <w:tcPr>
            <w:tcW w:w="1814" w:type="dxa"/>
            <w:vAlign w:val="center"/>
          </w:tcPr>
          <w:p w14:paraId="2ABE386F" w14:textId="77777777" w:rsidR="00454A29" w:rsidRDefault="00454A29">
            <w:pPr>
              <w:pStyle w:val="ConsPlusNormal"/>
              <w:jc w:val="center"/>
            </w:pPr>
            <w:r>
              <w:t>0,00</w:t>
            </w:r>
          </w:p>
        </w:tc>
        <w:tc>
          <w:tcPr>
            <w:tcW w:w="1701" w:type="dxa"/>
            <w:vAlign w:val="center"/>
          </w:tcPr>
          <w:p w14:paraId="5E87BB23" w14:textId="77777777" w:rsidR="00454A29" w:rsidRDefault="00454A29">
            <w:pPr>
              <w:pStyle w:val="ConsPlusNormal"/>
              <w:jc w:val="center"/>
            </w:pPr>
            <w:r>
              <w:t>0,00</w:t>
            </w:r>
          </w:p>
        </w:tc>
        <w:tc>
          <w:tcPr>
            <w:tcW w:w="1701" w:type="dxa"/>
            <w:vAlign w:val="center"/>
          </w:tcPr>
          <w:p w14:paraId="18230C21" w14:textId="77777777" w:rsidR="00454A29" w:rsidRDefault="00454A29">
            <w:pPr>
              <w:pStyle w:val="ConsPlusNormal"/>
              <w:jc w:val="center"/>
            </w:pPr>
            <w:r>
              <w:t>0,00</w:t>
            </w:r>
          </w:p>
        </w:tc>
        <w:tc>
          <w:tcPr>
            <w:tcW w:w="1701" w:type="dxa"/>
            <w:vAlign w:val="center"/>
          </w:tcPr>
          <w:p w14:paraId="1394FC5F" w14:textId="77777777" w:rsidR="00454A29" w:rsidRDefault="00454A29">
            <w:pPr>
              <w:pStyle w:val="ConsPlusNormal"/>
              <w:jc w:val="center"/>
            </w:pPr>
            <w:r>
              <w:t>0,00</w:t>
            </w:r>
          </w:p>
        </w:tc>
        <w:tc>
          <w:tcPr>
            <w:tcW w:w="1701" w:type="dxa"/>
            <w:vAlign w:val="center"/>
          </w:tcPr>
          <w:p w14:paraId="55A28CB2" w14:textId="77777777" w:rsidR="00454A29" w:rsidRDefault="00454A29">
            <w:pPr>
              <w:pStyle w:val="ConsPlusNormal"/>
              <w:jc w:val="center"/>
            </w:pPr>
            <w:r>
              <w:t>0,00</w:t>
            </w:r>
          </w:p>
        </w:tc>
        <w:tc>
          <w:tcPr>
            <w:tcW w:w="1701" w:type="dxa"/>
            <w:vAlign w:val="center"/>
          </w:tcPr>
          <w:p w14:paraId="57FC6DBE" w14:textId="77777777" w:rsidR="00454A29" w:rsidRDefault="00454A29">
            <w:pPr>
              <w:pStyle w:val="ConsPlusNormal"/>
              <w:jc w:val="center"/>
            </w:pPr>
            <w:r>
              <w:t>0,00</w:t>
            </w:r>
          </w:p>
        </w:tc>
        <w:tc>
          <w:tcPr>
            <w:tcW w:w="1701" w:type="dxa"/>
            <w:vAlign w:val="center"/>
          </w:tcPr>
          <w:p w14:paraId="0A0AED24" w14:textId="77777777" w:rsidR="00454A29" w:rsidRDefault="00454A29">
            <w:pPr>
              <w:pStyle w:val="ConsPlusNormal"/>
              <w:jc w:val="center"/>
            </w:pPr>
            <w:r>
              <w:t>0,00</w:t>
            </w:r>
          </w:p>
        </w:tc>
      </w:tr>
      <w:tr w:rsidR="00454A29" w14:paraId="6B2CBB65" w14:textId="77777777">
        <w:tc>
          <w:tcPr>
            <w:tcW w:w="964" w:type="dxa"/>
            <w:vMerge/>
          </w:tcPr>
          <w:p w14:paraId="6619EE88" w14:textId="77777777" w:rsidR="00454A29" w:rsidRDefault="00454A29"/>
        </w:tc>
        <w:tc>
          <w:tcPr>
            <w:tcW w:w="2154" w:type="dxa"/>
            <w:vMerge/>
            <w:tcBorders>
              <w:top w:val="nil"/>
            </w:tcBorders>
          </w:tcPr>
          <w:p w14:paraId="0BE0D25E" w14:textId="77777777" w:rsidR="00454A29" w:rsidRDefault="00454A29"/>
        </w:tc>
        <w:tc>
          <w:tcPr>
            <w:tcW w:w="2154" w:type="dxa"/>
            <w:vMerge/>
            <w:tcBorders>
              <w:top w:val="nil"/>
            </w:tcBorders>
          </w:tcPr>
          <w:p w14:paraId="4AF31665" w14:textId="77777777" w:rsidR="00454A29" w:rsidRDefault="00454A29"/>
        </w:tc>
        <w:tc>
          <w:tcPr>
            <w:tcW w:w="2665" w:type="dxa"/>
            <w:vMerge/>
          </w:tcPr>
          <w:p w14:paraId="6AAF0E02" w14:textId="77777777" w:rsidR="00454A29" w:rsidRDefault="00454A29"/>
        </w:tc>
        <w:tc>
          <w:tcPr>
            <w:tcW w:w="2665" w:type="dxa"/>
            <w:vMerge/>
          </w:tcPr>
          <w:p w14:paraId="58B96374" w14:textId="77777777" w:rsidR="00454A29" w:rsidRDefault="00454A29"/>
        </w:tc>
        <w:tc>
          <w:tcPr>
            <w:tcW w:w="1928" w:type="dxa"/>
            <w:vMerge/>
          </w:tcPr>
          <w:p w14:paraId="5B29353A" w14:textId="77777777" w:rsidR="00454A29" w:rsidRDefault="00454A29"/>
        </w:tc>
        <w:tc>
          <w:tcPr>
            <w:tcW w:w="1644" w:type="dxa"/>
            <w:vMerge/>
          </w:tcPr>
          <w:p w14:paraId="56EBD4F9" w14:textId="77777777" w:rsidR="00454A29" w:rsidRDefault="00454A29"/>
        </w:tc>
        <w:tc>
          <w:tcPr>
            <w:tcW w:w="2041" w:type="dxa"/>
            <w:vMerge/>
          </w:tcPr>
          <w:p w14:paraId="30564BAB" w14:textId="77777777" w:rsidR="00454A29" w:rsidRDefault="00454A29"/>
        </w:tc>
        <w:tc>
          <w:tcPr>
            <w:tcW w:w="2098" w:type="dxa"/>
            <w:vAlign w:val="center"/>
          </w:tcPr>
          <w:p w14:paraId="79A1B895" w14:textId="77777777" w:rsidR="00454A29" w:rsidRDefault="00454A29">
            <w:pPr>
              <w:pStyle w:val="ConsPlusNormal"/>
              <w:jc w:val="center"/>
            </w:pPr>
            <w:r>
              <w:t>Внебюджетные средства</w:t>
            </w:r>
          </w:p>
        </w:tc>
        <w:tc>
          <w:tcPr>
            <w:tcW w:w="1814" w:type="dxa"/>
            <w:vAlign w:val="center"/>
          </w:tcPr>
          <w:p w14:paraId="4C3327AF" w14:textId="77777777" w:rsidR="00454A29" w:rsidRDefault="00454A29">
            <w:pPr>
              <w:pStyle w:val="ConsPlusNormal"/>
              <w:jc w:val="center"/>
            </w:pPr>
            <w:r>
              <w:t>0,00</w:t>
            </w:r>
          </w:p>
        </w:tc>
        <w:tc>
          <w:tcPr>
            <w:tcW w:w="1701" w:type="dxa"/>
            <w:vAlign w:val="center"/>
          </w:tcPr>
          <w:p w14:paraId="618652A4" w14:textId="77777777" w:rsidR="00454A29" w:rsidRDefault="00454A29">
            <w:pPr>
              <w:pStyle w:val="ConsPlusNormal"/>
              <w:jc w:val="center"/>
            </w:pPr>
            <w:r>
              <w:t>0,00</w:t>
            </w:r>
          </w:p>
        </w:tc>
        <w:tc>
          <w:tcPr>
            <w:tcW w:w="1701" w:type="dxa"/>
            <w:vAlign w:val="center"/>
          </w:tcPr>
          <w:p w14:paraId="791D5742" w14:textId="77777777" w:rsidR="00454A29" w:rsidRDefault="00454A29">
            <w:pPr>
              <w:pStyle w:val="ConsPlusNormal"/>
              <w:jc w:val="center"/>
            </w:pPr>
            <w:r>
              <w:t>0,00</w:t>
            </w:r>
          </w:p>
        </w:tc>
        <w:tc>
          <w:tcPr>
            <w:tcW w:w="1701" w:type="dxa"/>
            <w:vAlign w:val="center"/>
          </w:tcPr>
          <w:p w14:paraId="75A97E94" w14:textId="77777777" w:rsidR="00454A29" w:rsidRDefault="00454A29">
            <w:pPr>
              <w:pStyle w:val="ConsPlusNormal"/>
              <w:jc w:val="center"/>
            </w:pPr>
            <w:r>
              <w:t>0,00</w:t>
            </w:r>
          </w:p>
        </w:tc>
        <w:tc>
          <w:tcPr>
            <w:tcW w:w="1701" w:type="dxa"/>
            <w:vAlign w:val="center"/>
          </w:tcPr>
          <w:p w14:paraId="0269DA7F" w14:textId="77777777" w:rsidR="00454A29" w:rsidRDefault="00454A29">
            <w:pPr>
              <w:pStyle w:val="ConsPlusNormal"/>
              <w:jc w:val="center"/>
            </w:pPr>
            <w:r>
              <w:t>0,00</w:t>
            </w:r>
          </w:p>
        </w:tc>
        <w:tc>
          <w:tcPr>
            <w:tcW w:w="1701" w:type="dxa"/>
            <w:vAlign w:val="center"/>
          </w:tcPr>
          <w:p w14:paraId="31EFEED0" w14:textId="77777777" w:rsidR="00454A29" w:rsidRDefault="00454A29">
            <w:pPr>
              <w:pStyle w:val="ConsPlusNormal"/>
              <w:jc w:val="center"/>
            </w:pPr>
            <w:r>
              <w:t>0,00</w:t>
            </w:r>
          </w:p>
        </w:tc>
        <w:tc>
          <w:tcPr>
            <w:tcW w:w="1701" w:type="dxa"/>
            <w:vAlign w:val="center"/>
          </w:tcPr>
          <w:p w14:paraId="5CA96FA4" w14:textId="77777777" w:rsidR="00454A29" w:rsidRDefault="00454A29">
            <w:pPr>
              <w:pStyle w:val="ConsPlusNormal"/>
              <w:jc w:val="center"/>
            </w:pPr>
            <w:r>
              <w:t>0,00</w:t>
            </w:r>
          </w:p>
        </w:tc>
      </w:tr>
      <w:tr w:rsidR="00454A29" w14:paraId="091FB62C" w14:textId="77777777">
        <w:tc>
          <w:tcPr>
            <w:tcW w:w="964" w:type="dxa"/>
            <w:vMerge w:val="restart"/>
            <w:vAlign w:val="center"/>
          </w:tcPr>
          <w:p w14:paraId="2E1E0336" w14:textId="77777777" w:rsidR="00454A29" w:rsidRDefault="00454A29">
            <w:pPr>
              <w:pStyle w:val="ConsPlusNormal"/>
              <w:jc w:val="center"/>
            </w:pPr>
            <w:r>
              <w:t>11</w:t>
            </w:r>
          </w:p>
        </w:tc>
        <w:tc>
          <w:tcPr>
            <w:tcW w:w="2154" w:type="dxa"/>
            <w:vMerge w:val="restart"/>
            <w:tcBorders>
              <w:bottom w:val="nil"/>
            </w:tcBorders>
            <w:vAlign w:val="center"/>
          </w:tcPr>
          <w:p w14:paraId="506DE949" w14:textId="77777777" w:rsidR="00454A29" w:rsidRDefault="00454A29">
            <w:pPr>
              <w:pStyle w:val="ConsPlusNormal"/>
              <w:jc w:val="center"/>
            </w:pPr>
            <w:r>
              <w:t>Подпрограмма 10 "Укрепление материально-технической базы организаций образования"</w:t>
            </w:r>
          </w:p>
        </w:tc>
        <w:tc>
          <w:tcPr>
            <w:tcW w:w="2154" w:type="dxa"/>
            <w:vMerge w:val="restart"/>
            <w:tcBorders>
              <w:bottom w:val="nil"/>
            </w:tcBorders>
            <w:vAlign w:val="center"/>
          </w:tcPr>
          <w:p w14:paraId="239B77FA" w14:textId="77777777" w:rsidR="00454A29" w:rsidRDefault="00454A29">
            <w:pPr>
              <w:pStyle w:val="ConsPlusNormal"/>
              <w:jc w:val="center"/>
            </w:pPr>
            <w:r>
              <w:t>Основное мероприятие 10.7. "Реализация регионального проекта "Содействие занятости женщин - создание условий дошкольного образования для детей в возрасте до 3 лет"</w:t>
            </w:r>
          </w:p>
        </w:tc>
        <w:tc>
          <w:tcPr>
            <w:tcW w:w="10943" w:type="dxa"/>
            <w:gridSpan w:val="5"/>
            <w:vMerge w:val="restart"/>
            <w:vAlign w:val="center"/>
          </w:tcPr>
          <w:p w14:paraId="1E567F39" w14:textId="77777777" w:rsidR="00454A29" w:rsidRDefault="00454A29">
            <w:pPr>
              <w:pStyle w:val="ConsPlusNormal"/>
              <w:jc w:val="center"/>
            </w:pPr>
            <w:r>
              <w:t>ВСЕГО</w:t>
            </w:r>
          </w:p>
        </w:tc>
        <w:tc>
          <w:tcPr>
            <w:tcW w:w="2098" w:type="dxa"/>
            <w:vAlign w:val="center"/>
          </w:tcPr>
          <w:p w14:paraId="775B7988" w14:textId="77777777" w:rsidR="00454A29" w:rsidRDefault="00454A29">
            <w:pPr>
              <w:pStyle w:val="ConsPlusNormal"/>
              <w:jc w:val="center"/>
            </w:pPr>
            <w:r>
              <w:t>Итого</w:t>
            </w:r>
          </w:p>
        </w:tc>
        <w:tc>
          <w:tcPr>
            <w:tcW w:w="1814" w:type="dxa"/>
            <w:vAlign w:val="center"/>
          </w:tcPr>
          <w:p w14:paraId="0B524FB8" w14:textId="77777777" w:rsidR="00454A29" w:rsidRDefault="00454A29">
            <w:pPr>
              <w:pStyle w:val="ConsPlusNormal"/>
              <w:jc w:val="center"/>
            </w:pPr>
            <w:r>
              <w:t>552 371,16</w:t>
            </w:r>
          </w:p>
        </w:tc>
        <w:tc>
          <w:tcPr>
            <w:tcW w:w="1701" w:type="dxa"/>
            <w:vAlign w:val="center"/>
          </w:tcPr>
          <w:p w14:paraId="6FC8FC50" w14:textId="77777777" w:rsidR="00454A29" w:rsidRDefault="00454A29">
            <w:pPr>
              <w:pStyle w:val="ConsPlusNormal"/>
              <w:jc w:val="center"/>
            </w:pPr>
            <w:r>
              <w:t>975 056,51</w:t>
            </w:r>
          </w:p>
        </w:tc>
        <w:tc>
          <w:tcPr>
            <w:tcW w:w="1701" w:type="dxa"/>
            <w:vAlign w:val="center"/>
          </w:tcPr>
          <w:p w14:paraId="0C848B4B" w14:textId="77777777" w:rsidR="00454A29" w:rsidRDefault="00454A29">
            <w:pPr>
              <w:pStyle w:val="ConsPlusNormal"/>
              <w:jc w:val="center"/>
            </w:pPr>
            <w:r>
              <w:t>0,00</w:t>
            </w:r>
          </w:p>
        </w:tc>
        <w:tc>
          <w:tcPr>
            <w:tcW w:w="1701" w:type="dxa"/>
            <w:vAlign w:val="center"/>
          </w:tcPr>
          <w:p w14:paraId="53E06408" w14:textId="77777777" w:rsidR="00454A29" w:rsidRDefault="00454A29">
            <w:pPr>
              <w:pStyle w:val="ConsPlusNormal"/>
              <w:jc w:val="center"/>
            </w:pPr>
            <w:r>
              <w:t>0,00</w:t>
            </w:r>
          </w:p>
        </w:tc>
        <w:tc>
          <w:tcPr>
            <w:tcW w:w="1701" w:type="dxa"/>
            <w:vAlign w:val="center"/>
          </w:tcPr>
          <w:p w14:paraId="626A720D" w14:textId="77777777" w:rsidR="00454A29" w:rsidRDefault="00454A29">
            <w:pPr>
              <w:pStyle w:val="ConsPlusNormal"/>
              <w:jc w:val="center"/>
            </w:pPr>
            <w:r>
              <w:t>0,00</w:t>
            </w:r>
          </w:p>
        </w:tc>
        <w:tc>
          <w:tcPr>
            <w:tcW w:w="1701" w:type="dxa"/>
            <w:vAlign w:val="center"/>
          </w:tcPr>
          <w:p w14:paraId="28A65330" w14:textId="77777777" w:rsidR="00454A29" w:rsidRDefault="00454A29">
            <w:pPr>
              <w:pStyle w:val="ConsPlusNormal"/>
              <w:jc w:val="center"/>
            </w:pPr>
            <w:r>
              <w:t>0,00</w:t>
            </w:r>
          </w:p>
        </w:tc>
        <w:tc>
          <w:tcPr>
            <w:tcW w:w="1701" w:type="dxa"/>
            <w:vAlign w:val="center"/>
          </w:tcPr>
          <w:p w14:paraId="0FD21296" w14:textId="77777777" w:rsidR="00454A29" w:rsidRDefault="00454A29">
            <w:pPr>
              <w:pStyle w:val="ConsPlusNormal"/>
              <w:jc w:val="center"/>
            </w:pPr>
            <w:r>
              <w:t>0,00</w:t>
            </w:r>
          </w:p>
        </w:tc>
      </w:tr>
      <w:tr w:rsidR="00454A29" w14:paraId="5496F93B" w14:textId="77777777">
        <w:tc>
          <w:tcPr>
            <w:tcW w:w="964" w:type="dxa"/>
            <w:vMerge/>
          </w:tcPr>
          <w:p w14:paraId="209C79DF" w14:textId="77777777" w:rsidR="00454A29" w:rsidRDefault="00454A29"/>
        </w:tc>
        <w:tc>
          <w:tcPr>
            <w:tcW w:w="2154" w:type="dxa"/>
            <w:vMerge/>
            <w:tcBorders>
              <w:bottom w:val="nil"/>
            </w:tcBorders>
          </w:tcPr>
          <w:p w14:paraId="2DFC2938" w14:textId="77777777" w:rsidR="00454A29" w:rsidRDefault="00454A29"/>
        </w:tc>
        <w:tc>
          <w:tcPr>
            <w:tcW w:w="2154" w:type="dxa"/>
            <w:vMerge/>
            <w:tcBorders>
              <w:bottom w:val="nil"/>
            </w:tcBorders>
          </w:tcPr>
          <w:p w14:paraId="3DC60E94" w14:textId="77777777" w:rsidR="00454A29" w:rsidRDefault="00454A29"/>
        </w:tc>
        <w:tc>
          <w:tcPr>
            <w:tcW w:w="10943" w:type="dxa"/>
            <w:gridSpan w:val="5"/>
            <w:vMerge/>
          </w:tcPr>
          <w:p w14:paraId="722A174F" w14:textId="77777777" w:rsidR="00454A29" w:rsidRDefault="00454A29"/>
        </w:tc>
        <w:tc>
          <w:tcPr>
            <w:tcW w:w="2098" w:type="dxa"/>
            <w:vAlign w:val="center"/>
          </w:tcPr>
          <w:p w14:paraId="53CD1FD8"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F4B7BE7" w14:textId="77777777" w:rsidR="00454A29" w:rsidRDefault="00454A29">
            <w:pPr>
              <w:pStyle w:val="ConsPlusNormal"/>
              <w:jc w:val="center"/>
            </w:pPr>
            <w:r>
              <w:t>5 477,97</w:t>
            </w:r>
          </w:p>
        </w:tc>
        <w:tc>
          <w:tcPr>
            <w:tcW w:w="1701" w:type="dxa"/>
            <w:vAlign w:val="center"/>
          </w:tcPr>
          <w:p w14:paraId="0DDD5657" w14:textId="77777777" w:rsidR="00454A29" w:rsidRDefault="00454A29">
            <w:pPr>
              <w:pStyle w:val="ConsPlusNormal"/>
              <w:jc w:val="center"/>
            </w:pPr>
            <w:r>
              <w:t>9 694,09</w:t>
            </w:r>
          </w:p>
        </w:tc>
        <w:tc>
          <w:tcPr>
            <w:tcW w:w="1701" w:type="dxa"/>
            <w:vAlign w:val="center"/>
          </w:tcPr>
          <w:p w14:paraId="7F46002C" w14:textId="77777777" w:rsidR="00454A29" w:rsidRDefault="00454A29">
            <w:pPr>
              <w:pStyle w:val="ConsPlusNormal"/>
              <w:jc w:val="center"/>
            </w:pPr>
            <w:r>
              <w:t>0,00</w:t>
            </w:r>
          </w:p>
        </w:tc>
        <w:tc>
          <w:tcPr>
            <w:tcW w:w="1701" w:type="dxa"/>
            <w:vAlign w:val="center"/>
          </w:tcPr>
          <w:p w14:paraId="3B819D82" w14:textId="77777777" w:rsidR="00454A29" w:rsidRDefault="00454A29">
            <w:pPr>
              <w:pStyle w:val="ConsPlusNormal"/>
              <w:jc w:val="center"/>
            </w:pPr>
            <w:r>
              <w:t>0,00</w:t>
            </w:r>
          </w:p>
        </w:tc>
        <w:tc>
          <w:tcPr>
            <w:tcW w:w="1701" w:type="dxa"/>
            <w:vAlign w:val="center"/>
          </w:tcPr>
          <w:p w14:paraId="76845213" w14:textId="77777777" w:rsidR="00454A29" w:rsidRDefault="00454A29">
            <w:pPr>
              <w:pStyle w:val="ConsPlusNormal"/>
              <w:jc w:val="center"/>
            </w:pPr>
            <w:r>
              <w:t>0,00</w:t>
            </w:r>
          </w:p>
        </w:tc>
        <w:tc>
          <w:tcPr>
            <w:tcW w:w="1701" w:type="dxa"/>
            <w:vAlign w:val="center"/>
          </w:tcPr>
          <w:p w14:paraId="4D4D988A" w14:textId="77777777" w:rsidR="00454A29" w:rsidRDefault="00454A29">
            <w:pPr>
              <w:pStyle w:val="ConsPlusNormal"/>
              <w:jc w:val="center"/>
            </w:pPr>
            <w:r>
              <w:t>0,00</w:t>
            </w:r>
          </w:p>
        </w:tc>
        <w:tc>
          <w:tcPr>
            <w:tcW w:w="1701" w:type="dxa"/>
            <w:vAlign w:val="center"/>
          </w:tcPr>
          <w:p w14:paraId="34E1C6DE" w14:textId="77777777" w:rsidR="00454A29" w:rsidRDefault="00454A29">
            <w:pPr>
              <w:pStyle w:val="ConsPlusNormal"/>
              <w:jc w:val="center"/>
            </w:pPr>
            <w:r>
              <w:t>0,00</w:t>
            </w:r>
          </w:p>
        </w:tc>
      </w:tr>
      <w:tr w:rsidR="00454A29" w14:paraId="439BE5F2" w14:textId="77777777">
        <w:tc>
          <w:tcPr>
            <w:tcW w:w="964" w:type="dxa"/>
            <w:vMerge/>
          </w:tcPr>
          <w:p w14:paraId="3EE42A52" w14:textId="77777777" w:rsidR="00454A29" w:rsidRDefault="00454A29"/>
        </w:tc>
        <w:tc>
          <w:tcPr>
            <w:tcW w:w="2154" w:type="dxa"/>
            <w:vMerge/>
            <w:tcBorders>
              <w:bottom w:val="nil"/>
            </w:tcBorders>
          </w:tcPr>
          <w:p w14:paraId="5238561E" w14:textId="77777777" w:rsidR="00454A29" w:rsidRDefault="00454A29"/>
        </w:tc>
        <w:tc>
          <w:tcPr>
            <w:tcW w:w="2154" w:type="dxa"/>
            <w:vMerge/>
            <w:tcBorders>
              <w:bottom w:val="nil"/>
            </w:tcBorders>
          </w:tcPr>
          <w:p w14:paraId="564C9DEE" w14:textId="77777777" w:rsidR="00454A29" w:rsidRDefault="00454A29"/>
        </w:tc>
        <w:tc>
          <w:tcPr>
            <w:tcW w:w="10943" w:type="dxa"/>
            <w:gridSpan w:val="5"/>
            <w:vMerge/>
          </w:tcPr>
          <w:p w14:paraId="545395EA" w14:textId="77777777" w:rsidR="00454A29" w:rsidRDefault="00454A29"/>
        </w:tc>
        <w:tc>
          <w:tcPr>
            <w:tcW w:w="2098" w:type="dxa"/>
            <w:vAlign w:val="center"/>
          </w:tcPr>
          <w:p w14:paraId="25AB25C6" w14:textId="77777777" w:rsidR="00454A29" w:rsidRDefault="00454A29">
            <w:pPr>
              <w:pStyle w:val="ConsPlusNormal"/>
              <w:jc w:val="center"/>
            </w:pPr>
            <w:r>
              <w:t>Федеральный бюджет</w:t>
            </w:r>
          </w:p>
        </w:tc>
        <w:tc>
          <w:tcPr>
            <w:tcW w:w="1814" w:type="dxa"/>
            <w:vAlign w:val="center"/>
          </w:tcPr>
          <w:p w14:paraId="31D4E8C2" w14:textId="77777777" w:rsidR="00454A29" w:rsidRDefault="00454A29">
            <w:pPr>
              <w:pStyle w:val="ConsPlusNormal"/>
              <w:jc w:val="center"/>
            </w:pPr>
            <w:r>
              <w:t>542 318,73</w:t>
            </w:r>
          </w:p>
        </w:tc>
        <w:tc>
          <w:tcPr>
            <w:tcW w:w="1701" w:type="dxa"/>
            <w:vAlign w:val="center"/>
          </w:tcPr>
          <w:p w14:paraId="4FF22D6C" w14:textId="77777777" w:rsidR="00454A29" w:rsidRDefault="00454A29">
            <w:pPr>
              <w:pStyle w:val="ConsPlusNormal"/>
              <w:jc w:val="center"/>
            </w:pPr>
            <w:r>
              <w:t>959 715,68</w:t>
            </w:r>
          </w:p>
        </w:tc>
        <w:tc>
          <w:tcPr>
            <w:tcW w:w="1701" w:type="dxa"/>
            <w:vAlign w:val="center"/>
          </w:tcPr>
          <w:p w14:paraId="18C56500" w14:textId="77777777" w:rsidR="00454A29" w:rsidRDefault="00454A29">
            <w:pPr>
              <w:pStyle w:val="ConsPlusNormal"/>
              <w:jc w:val="center"/>
            </w:pPr>
            <w:r>
              <w:t>0,00</w:t>
            </w:r>
          </w:p>
        </w:tc>
        <w:tc>
          <w:tcPr>
            <w:tcW w:w="1701" w:type="dxa"/>
            <w:vAlign w:val="center"/>
          </w:tcPr>
          <w:p w14:paraId="67C05F87" w14:textId="77777777" w:rsidR="00454A29" w:rsidRDefault="00454A29">
            <w:pPr>
              <w:pStyle w:val="ConsPlusNormal"/>
              <w:jc w:val="center"/>
            </w:pPr>
            <w:r>
              <w:t>0,00</w:t>
            </w:r>
          </w:p>
        </w:tc>
        <w:tc>
          <w:tcPr>
            <w:tcW w:w="1701" w:type="dxa"/>
            <w:vAlign w:val="center"/>
          </w:tcPr>
          <w:p w14:paraId="5A1DB687" w14:textId="77777777" w:rsidR="00454A29" w:rsidRDefault="00454A29">
            <w:pPr>
              <w:pStyle w:val="ConsPlusNormal"/>
              <w:jc w:val="center"/>
            </w:pPr>
            <w:r>
              <w:t>0,00</w:t>
            </w:r>
          </w:p>
        </w:tc>
        <w:tc>
          <w:tcPr>
            <w:tcW w:w="1701" w:type="dxa"/>
            <w:vAlign w:val="center"/>
          </w:tcPr>
          <w:p w14:paraId="40F035E1" w14:textId="77777777" w:rsidR="00454A29" w:rsidRDefault="00454A29">
            <w:pPr>
              <w:pStyle w:val="ConsPlusNormal"/>
              <w:jc w:val="center"/>
            </w:pPr>
            <w:r>
              <w:t>0,00</w:t>
            </w:r>
          </w:p>
        </w:tc>
        <w:tc>
          <w:tcPr>
            <w:tcW w:w="1701" w:type="dxa"/>
            <w:vAlign w:val="center"/>
          </w:tcPr>
          <w:p w14:paraId="5A4FD499" w14:textId="77777777" w:rsidR="00454A29" w:rsidRDefault="00454A29">
            <w:pPr>
              <w:pStyle w:val="ConsPlusNormal"/>
              <w:jc w:val="center"/>
            </w:pPr>
            <w:r>
              <w:t>0,00</w:t>
            </w:r>
          </w:p>
        </w:tc>
      </w:tr>
      <w:tr w:rsidR="00454A29" w14:paraId="77AFFA47" w14:textId="77777777">
        <w:tc>
          <w:tcPr>
            <w:tcW w:w="964" w:type="dxa"/>
            <w:vMerge/>
          </w:tcPr>
          <w:p w14:paraId="4ED15220" w14:textId="77777777" w:rsidR="00454A29" w:rsidRDefault="00454A29"/>
        </w:tc>
        <w:tc>
          <w:tcPr>
            <w:tcW w:w="2154" w:type="dxa"/>
            <w:vMerge/>
            <w:tcBorders>
              <w:bottom w:val="nil"/>
            </w:tcBorders>
          </w:tcPr>
          <w:p w14:paraId="4F486DF7" w14:textId="77777777" w:rsidR="00454A29" w:rsidRDefault="00454A29"/>
        </w:tc>
        <w:tc>
          <w:tcPr>
            <w:tcW w:w="2154" w:type="dxa"/>
            <w:vMerge/>
            <w:tcBorders>
              <w:bottom w:val="nil"/>
            </w:tcBorders>
          </w:tcPr>
          <w:p w14:paraId="28AF7C7E" w14:textId="77777777" w:rsidR="00454A29" w:rsidRDefault="00454A29"/>
        </w:tc>
        <w:tc>
          <w:tcPr>
            <w:tcW w:w="10943" w:type="dxa"/>
            <w:gridSpan w:val="5"/>
            <w:vMerge/>
          </w:tcPr>
          <w:p w14:paraId="6F47A67E" w14:textId="77777777" w:rsidR="00454A29" w:rsidRDefault="00454A29"/>
        </w:tc>
        <w:tc>
          <w:tcPr>
            <w:tcW w:w="2098" w:type="dxa"/>
            <w:vAlign w:val="center"/>
          </w:tcPr>
          <w:p w14:paraId="2ACB1CDF" w14:textId="77777777" w:rsidR="00454A29" w:rsidRDefault="00454A29">
            <w:pPr>
              <w:pStyle w:val="ConsPlusNormal"/>
              <w:jc w:val="center"/>
            </w:pPr>
            <w:r>
              <w:t>Местные бюджеты</w:t>
            </w:r>
          </w:p>
        </w:tc>
        <w:tc>
          <w:tcPr>
            <w:tcW w:w="1814" w:type="dxa"/>
            <w:vAlign w:val="center"/>
          </w:tcPr>
          <w:p w14:paraId="4D1F5C78" w14:textId="77777777" w:rsidR="00454A29" w:rsidRDefault="00454A29">
            <w:pPr>
              <w:pStyle w:val="ConsPlusNormal"/>
              <w:jc w:val="center"/>
            </w:pPr>
            <w:r>
              <w:t>4 574,46</w:t>
            </w:r>
          </w:p>
        </w:tc>
        <w:tc>
          <w:tcPr>
            <w:tcW w:w="1701" w:type="dxa"/>
            <w:vAlign w:val="center"/>
          </w:tcPr>
          <w:p w14:paraId="472B500B" w14:textId="77777777" w:rsidR="00454A29" w:rsidRDefault="00454A29">
            <w:pPr>
              <w:pStyle w:val="ConsPlusNormal"/>
              <w:jc w:val="center"/>
            </w:pPr>
            <w:r>
              <w:t>5 646,74</w:t>
            </w:r>
          </w:p>
        </w:tc>
        <w:tc>
          <w:tcPr>
            <w:tcW w:w="1701" w:type="dxa"/>
            <w:vAlign w:val="center"/>
          </w:tcPr>
          <w:p w14:paraId="63AA97C7" w14:textId="77777777" w:rsidR="00454A29" w:rsidRDefault="00454A29">
            <w:pPr>
              <w:pStyle w:val="ConsPlusNormal"/>
              <w:jc w:val="center"/>
            </w:pPr>
            <w:r>
              <w:t>0,00</w:t>
            </w:r>
          </w:p>
        </w:tc>
        <w:tc>
          <w:tcPr>
            <w:tcW w:w="1701" w:type="dxa"/>
            <w:vAlign w:val="center"/>
          </w:tcPr>
          <w:p w14:paraId="228D88B5" w14:textId="77777777" w:rsidR="00454A29" w:rsidRDefault="00454A29">
            <w:pPr>
              <w:pStyle w:val="ConsPlusNormal"/>
              <w:jc w:val="center"/>
            </w:pPr>
            <w:r>
              <w:t>0,00</w:t>
            </w:r>
          </w:p>
        </w:tc>
        <w:tc>
          <w:tcPr>
            <w:tcW w:w="1701" w:type="dxa"/>
            <w:vAlign w:val="center"/>
          </w:tcPr>
          <w:p w14:paraId="2AC2524F" w14:textId="77777777" w:rsidR="00454A29" w:rsidRDefault="00454A29">
            <w:pPr>
              <w:pStyle w:val="ConsPlusNormal"/>
              <w:jc w:val="center"/>
            </w:pPr>
            <w:r>
              <w:t>0,00</w:t>
            </w:r>
          </w:p>
        </w:tc>
        <w:tc>
          <w:tcPr>
            <w:tcW w:w="1701" w:type="dxa"/>
            <w:vAlign w:val="center"/>
          </w:tcPr>
          <w:p w14:paraId="7BDC7045" w14:textId="77777777" w:rsidR="00454A29" w:rsidRDefault="00454A29">
            <w:pPr>
              <w:pStyle w:val="ConsPlusNormal"/>
              <w:jc w:val="center"/>
            </w:pPr>
            <w:r>
              <w:t>0,00</w:t>
            </w:r>
          </w:p>
        </w:tc>
        <w:tc>
          <w:tcPr>
            <w:tcW w:w="1701" w:type="dxa"/>
            <w:vAlign w:val="center"/>
          </w:tcPr>
          <w:p w14:paraId="52CC0385" w14:textId="77777777" w:rsidR="00454A29" w:rsidRDefault="00454A29">
            <w:pPr>
              <w:pStyle w:val="ConsPlusNormal"/>
              <w:jc w:val="center"/>
            </w:pPr>
            <w:r>
              <w:t>0,00</w:t>
            </w:r>
          </w:p>
        </w:tc>
      </w:tr>
      <w:tr w:rsidR="00454A29" w14:paraId="48D30E5D" w14:textId="77777777">
        <w:tc>
          <w:tcPr>
            <w:tcW w:w="964" w:type="dxa"/>
            <w:vMerge/>
          </w:tcPr>
          <w:p w14:paraId="35216463" w14:textId="77777777" w:rsidR="00454A29" w:rsidRDefault="00454A29"/>
        </w:tc>
        <w:tc>
          <w:tcPr>
            <w:tcW w:w="2154" w:type="dxa"/>
            <w:vMerge/>
            <w:tcBorders>
              <w:bottom w:val="nil"/>
            </w:tcBorders>
          </w:tcPr>
          <w:p w14:paraId="5D1507B3" w14:textId="77777777" w:rsidR="00454A29" w:rsidRDefault="00454A29"/>
        </w:tc>
        <w:tc>
          <w:tcPr>
            <w:tcW w:w="2154" w:type="dxa"/>
            <w:vMerge/>
            <w:tcBorders>
              <w:bottom w:val="nil"/>
            </w:tcBorders>
          </w:tcPr>
          <w:p w14:paraId="0AD540C9" w14:textId="77777777" w:rsidR="00454A29" w:rsidRDefault="00454A29"/>
        </w:tc>
        <w:tc>
          <w:tcPr>
            <w:tcW w:w="10943" w:type="dxa"/>
            <w:gridSpan w:val="5"/>
            <w:vMerge/>
          </w:tcPr>
          <w:p w14:paraId="322321EF" w14:textId="77777777" w:rsidR="00454A29" w:rsidRDefault="00454A29"/>
        </w:tc>
        <w:tc>
          <w:tcPr>
            <w:tcW w:w="2098" w:type="dxa"/>
            <w:vAlign w:val="center"/>
          </w:tcPr>
          <w:p w14:paraId="08D9892C" w14:textId="77777777" w:rsidR="00454A29" w:rsidRDefault="00454A29">
            <w:pPr>
              <w:pStyle w:val="ConsPlusNormal"/>
              <w:jc w:val="center"/>
            </w:pPr>
            <w:r>
              <w:t>Внебюджетные средства</w:t>
            </w:r>
          </w:p>
        </w:tc>
        <w:tc>
          <w:tcPr>
            <w:tcW w:w="1814" w:type="dxa"/>
            <w:vAlign w:val="center"/>
          </w:tcPr>
          <w:p w14:paraId="1C700B11" w14:textId="77777777" w:rsidR="00454A29" w:rsidRDefault="00454A29">
            <w:pPr>
              <w:pStyle w:val="ConsPlusNormal"/>
              <w:jc w:val="center"/>
            </w:pPr>
            <w:r>
              <w:t>0,00</w:t>
            </w:r>
          </w:p>
        </w:tc>
        <w:tc>
          <w:tcPr>
            <w:tcW w:w="1701" w:type="dxa"/>
            <w:vAlign w:val="center"/>
          </w:tcPr>
          <w:p w14:paraId="116559DB" w14:textId="77777777" w:rsidR="00454A29" w:rsidRDefault="00454A29">
            <w:pPr>
              <w:pStyle w:val="ConsPlusNormal"/>
              <w:jc w:val="center"/>
            </w:pPr>
            <w:r>
              <w:t>0,00</w:t>
            </w:r>
          </w:p>
        </w:tc>
        <w:tc>
          <w:tcPr>
            <w:tcW w:w="1701" w:type="dxa"/>
            <w:vAlign w:val="center"/>
          </w:tcPr>
          <w:p w14:paraId="7834CF64" w14:textId="77777777" w:rsidR="00454A29" w:rsidRDefault="00454A29">
            <w:pPr>
              <w:pStyle w:val="ConsPlusNormal"/>
              <w:jc w:val="center"/>
            </w:pPr>
            <w:r>
              <w:t>0,00</w:t>
            </w:r>
          </w:p>
        </w:tc>
        <w:tc>
          <w:tcPr>
            <w:tcW w:w="1701" w:type="dxa"/>
            <w:vAlign w:val="center"/>
          </w:tcPr>
          <w:p w14:paraId="1D052F4F" w14:textId="77777777" w:rsidR="00454A29" w:rsidRDefault="00454A29">
            <w:pPr>
              <w:pStyle w:val="ConsPlusNormal"/>
              <w:jc w:val="center"/>
            </w:pPr>
            <w:r>
              <w:t>0,00</w:t>
            </w:r>
          </w:p>
        </w:tc>
        <w:tc>
          <w:tcPr>
            <w:tcW w:w="1701" w:type="dxa"/>
            <w:vAlign w:val="center"/>
          </w:tcPr>
          <w:p w14:paraId="6AF4A677" w14:textId="77777777" w:rsidR="00454A29" w:rsidRDefault="00454A29">
            <w:pPr>
              <w:pStyle w:val="ConsPlusNormal"/>
              <w:jc w:val="center"/>
            </w:pPr>
            <w:r>
              <w:t>0,00</w:t>
            </w:r>
          </w:p>
        </w:tc>
        <w:tc>
          <w:tcPr>
            <w:tcW w:w="1701" w:type="dxa"/>
            <w:vAlign w:val="center"/>
          </w:tcPr>
          <w:p w14:paraId="46A308FC" w14:textId="77777777" w:rsidR="00454A29" w:rsidRDefault="00454A29">
            <w:pPr>
              <w:pStyle w:val="ConsPlusNormal"/>
              <w:jc w:val="center"/>
            </w:pPr>
            <w:r>
              <w:t>0,00</w:t>
            </w:r>
          </w:p>
        </w:tc>
        <w:tc>
          <w:tcPr>
            <w:tcW w:w="1701" w:type="dxa"/>
            <w:vAlign w:val="center"/>
          </w:tcPr>
          <w:p w14:paraId="779C78CB" w14:textId="77777777" w:rsidR="00454A29" w:rsidRDefault="00454A29">
            <w:pPr>
              <w:pStyle w:val="ConsPlusNormal"/>
              <w:jc w:val="center"/>
            </w:pPr>
            <w:r>
              <w:t>0,00</w:t>
            </w:r>
          </w:p>
        </w:tc>
      </w:tr>
      <w:tr w:rsidR="00454A29" w14:paraId="7CB4C1E1" w14:textId="77777777">
        <w:tc>
          <w:tcPr>
            <w:tcW w:w="964" w:type="dxa"/>
            <w:vMerge w:val="restart"/>
            <w:vAlign w:val="center"/>
          </w:tcPr>
          <w:p w14:paraId="63DAE11F" w14:textId="77777777" w:rsidR="00454A29" w:rsidRDefault="00454A29">
            <w:pPr>
              <w:pStyle w:val="ConsPlusNormal"/>
              <w:jc w:val="center"/>
            </w:pPr>
            <w:r>
              <w:t>11.1.</w:t>
            </w:r>
          </w:p>
        </w:tc>
        <w:tc>
          <w:tcPr>
            <w:tcW w:w="2154" w:type="dxa"/>
            <w:vMerge w:val="restart"/>
            <w:tcBorders>
              <w:top w:val="nil"/>
              <w:bottom w:val="nil"/>
            </w:tcBorders>
            <w:vAlign w:val="center"/>
          </w:tcPr>
          <w:p w14:paraId="5EFB4C35" w14:textId="77777777" w:rsidR="00454A29" w:rsidRDefault="00454A29">
            <w:pPr>
              <w:pStyle w:val="ConsPlusNormal"/>
            </w:pPr>
          </w:p>
        </w:tc>
        <w:tc>
          <w:tcPr>
            <w:tcW w:w="2154" w:type="dxa"/>
            <w:vMerge w:val="restart"/>
            <w:tcBorders>
              <w:top w:val="nil"/>
              <w:bottom w:val="nil"/>
            </w:tcBorders>
            <w:vAlign w:val="center"/>
          </w:tcPr>
          <w:p w14:paraId="69A7874F" w14:textId="77777777" w:rsidR="00454A29" w:rsidRDefault="00454A29">
            <w:pPr>
              <w:pStyle w:val="ConsPlusNormal"/>
            </w:pPr>
          </w:p>
        </w:tc>
        <w:tc>
          <w:tcPr>
            <w:tcW w:w="2665" w:type="dxa"/>
            <w:vMerge w:val="restart"/>
            <w:tcBorders>
              <w:bottom w:val="nil"/>
            </w:tcBorders>
            <w:vAlign w:val="center"/>
          </w:tcPr>
          <w:p w14:paraId="5AFEDDC7" w14:textId="77777777" w:rsidR="00454A29" w:rsidRDefault="00454A29">
            <w:pPr>
              <w:pStyle w:val="ConsPlusNormal"/>
              <w:jc w:val="center"/>
            </w:pPr>
            <w:r>
              <w:t xml:space="preserve">Результат 1. Создано не менее 1287 дополнительных мест для детей в возрасте от 2 </w:t>
            </w:r>
            <w:r>
              <w:lastRenderedPageBreak/>
              <w:t>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665" w:type="dxa"/>
            <w:vMerge w:val="restart"/>
            <w:tcBorders>
              <w:bottom w:val="nil"/>
            </w:tcBorders>
            <w:vAlign w:val="center"/>
          </w:tcPr>
          <w:p w14:paraId="7E8F13B3" w14:textId="77777777" w:rsidR="00454A29" w:rsidRDefault="00454A29">
            <w:pPr>
              <w:pStyle w:val="ConsPlusNormal"/>
              <w:jc w:val="center"/>
            </w:pPr>
            <w:r>
              <w:lastRenderedPageBreak/>
              <w:t xml:space="preserve">Мероприятие 10.7.1 "Создание дополнительных мест для детей в возрасте от 2 </w:t>
            </w:r>
            <w:r>
              <w:lastRenderedPageBreak/>
              <w:t>месяцев до 3 лет в образовательных организаций, осуществляющих образовательную деятельность по образовательным программам дошкольного образования" (в рамках мероприятия "Создание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tc>
        <w:tc>
          <w:tcPr>
            <w:tcW w:w="5613" w:type="dxa"/>
            <w:gridSpan w:val="3"/>
            <w:vMerge w:val="restart"/>
            <w:vAlign w:val="center"/>
          </w:tcPr>
          <w:p w14:paraId="51F3B642" w14:textId="77777777" w:rsidR="00454A29" w:rsidRDefault="00454A29">
            <w:pPr>
              <w:pStyle w:val="ConsPlusNormal"/>
              <w:jc w:val="center"/>
            </w:pPr>
            <w:r>
              <w:lastRenderedPageBreak/>
              <w:t>Всего</w:t>
            </w:r>
          </w:p>
        </w:tc>
        <w:tc>
          <w:tcPr>
            <w:tcW w:w="2098" w:type="dxa"/>
            <w:vAlign w:val="center"/>
          </w:tcPr>
          <w:p w14:paraId="0DA3E21D" w14:textId="77777777" w:rsidR="00454A29" w:rsidRDefault="00454A29">
            <w:pPr>
              <w:pStyle w:val="ConsPlusNormal"/>
              <w:jc w:val="center"/>
            </w:pPr>
            <w:r>
              <w:t>Итого</w:t>
            </w:r>
          </w:p>
        </w:tc>
        <w:tc>
          <w:tcPr>
            <w:tcW w:w="1814" w:type="dxa"/>
            <w:vAlign w:val="center"/>
          </w:tcPr>
          <w:p w14:paraId="632627BC" w14:textId="77777777" w:rsidR="00454A29" w:rsidRDefault="00454A29">
            <w:pPr>
              <w:pStyle w:val="ConsPlusNormal"/>
              <w:jc w:val="center"/>
            </w:pPr>
            <w:r>
              <w:t>0,00</w:t>
            </w:r>
          </w:p>
        </w:tc>
        <w:tc>
          <w:tcPr>
            <w:tcW w:w="1701" w:type="dxa"/>
            <w:vAlign w:val="center"/>
          </w:tcPr>
          <w:p w14:paraId="49CF2FC9" w14:textId="77777777" w:rsidR="00454A29" w:rsidRDefault="00454A29">
            <w:pPr>
              <w:pStyle w:val="ConsPlusNormal"/>
              <w:jc w:val="center"/>
            </w:pPr>
            <w:r>
              <w:t>0,00</w:t>
            </w:r>
          </w:p>
        </w:tc>
        <w:tc>
          <w:tcPr>
            <w:tcW w:w="1701" w:type="dxa"/>
            <w:vAlign w:val="center"/>
          </w:tcPr>
          <w:p w14:paraId="2C691FB7" w14:textId="77777777" w:rsidR="00454A29" w:rsidRDefault="00454A29">
            <w:pPr>
              <w:pStyle w:val="ConsPlusNormal"/>
              <w:jc w:val="center"/>
            </w:pPr>
            <w:r>
              <w:t>0,00</w:t>
            </w:r>
          </w:p>
        </w:tc>
        <w:tc>
          <w:tcPr>
            <w:tcW w:w="1701" w:type="dxa"/>
            <w:vAlign w:val="center"/>
          </w:tcPr>
          <w:p w14:paraId="57F28652" w14:textId="77777777" w:rsidR="00454A29" w:rsidRDefault="00454A29">
            <w:pPr>
              <w:pStyle w:val="ConsPlusNormal"/>
              <w:jc w:val="center"/>
            </w:pPr>
            <w:r>
              <w:t>0,00</w:t>
            </w:r>
          </w:p>
        </w:tc>
        <w:tc>
          <w:tcPr>
            <w:tcW w:w="1701" w:type="dxa"/>
            <w:vAlign w:val="center"/>
          </w:tcPr>
          <w:p w14:paraId="0E17E5A3" w14:textId="77777777" w:rsidR="00454A29" w:rsidRDefault="00454A29">
            <w:pPr>
              <w:pStyle w:val="ConsPlusNormal"/>
              <w:jc w:val="center"/>
            </w:pPr>
            <w:r>
              <w:t>0,00</w:t>
            </w:r>
          </w:p>
        </w:tc>
        <w:tc>
          <w:tcPr>
            <w:tcW w:w="1701" w:type="dxa"/>
            <w:vAlign w:val="center"/>
          </w:tcPr>
          <w:p w14:paraId="45D15CA1" w14:textId="77777777" w:rsidR="00454A29" w:rsidRDefault="00454A29">
            <w:pPr>
              <w:pStyle w:val="ConsPlusNormal"/>
              <w:jc w:val="center"/>
            </w:pPr>
            <w:r>
              <w:t>0,00</w:t>
            </w:r>
          </w:p>
        </w:tc>
        <w:tc>
          <w:tcPr>
            <w:tcW w:w="1701" w:type="dxa"/>
            <w:vAlign w:val="center"/>
          </w:tcPr>
          <w:p w14:paraId="0BDB7218" w14:textId="77777777" w:rsidR="00454A29" w:rsidRDefault="00454A29">
            <w:pPr>
              <w:pStyle w:val="ConsPlusNormal"/>
              <w:jc w:val="center"/>
            </w:pPr>
            <w:r>
              <w:t>0,00</w:t>
            </w:r>
          </w:p>
        </w:tc>
      </w:tr>
      <w:tr w:rsidR="00454A29" w14:paraId="4CCB298E" w14:textId="77777777">
        <w:tc>
          <w:tcPr>
            <w:tcW w:w="964" w:type="dxa"/>
            <w:vMerge/>
          </w:tcPr>
          <w:p w14:paraId="3D7ED9A9" w14:textId="77777777" w:rsidR="00454A29" w:rsidRDefault="00454A29"/>
        </w:tc>
        <w:tc>
          <w:tcPr>
            <w:tcW w:w="2154" w:type="dxa"/>
            <w:vMerge/>
            <w:tcBorders>
              <w:top w:val="nil"/>
              <w:bottom w:val="nil"/>
            </w:tcBorders>
          </w:tcPr>
          <w:p w14:paraId="46710B3A" w14:textId="77777777" w:rsidR="00454A29" w:rsidRDefault="00454A29"/>
        </w:tc>
        <w:tc>
          <w:tcPr>
            <w:tcW w:w="2154" w:type="dxa"/>
            <w:vMerge/>
            <w:tcBorders>
              <w:top w:val="nil"/>
              <w:bottom w:val="nil"/>
            </w:tcBorders>
          </w:tcPr>
          <w:p w14:paraId="79C879F2" w14:textId="77777777" w:rsidR="00454A29" w:rsidRDefault="00454A29"/>
        </w:tc>
        <w:tc>
          <w:tcPr>
            <w:tcW w:w="2665" w:type="dxa"/>
            <w:vMerge/>
            <w:tcBorders>
              <w:bottom w:val="nil"/>
            </w:tcBorders>
          </w:tcPr>
          <w:p w14:paraId="1AFB3CDE" w14:textId="77777777" w:rsidR="00454A29" w:rsidRDefault="00454A29"/>
        </w:tc>
        <w:tc>
          <w:tcPr>
            <w:tcW w:w="2665" w:type="dxa"/>
            <w:vMerge/>
            <w:tcBorders>
              <w:bottom w:val="nil"/>
            </w:tcBorders>
          </w:tcPr>
          <w:p w14:paraId="335ABF2E" w14:textId="77777777" w:rsidR="00454A29" w:rsidRDefault="00454A29"/>
        </w:tc>
        <w:tc>
          <w:tcPr>
            <w:tcW w:w="5613" w:type="dxa"/>
            <w:gridSpan w:val="3"/>
            <w:vMerge/>
          </w:tcPr>
          <w:p w14:paraId="3B6519D5" w14:textId="77777777" w:rsidR="00454A29" w:rsidRDefault="00454A29"/>
        </w:tc>
        <w:tc>
          <w:tcPr>
            <w:tcW w:w="2098" w:type="dxa"/>
            <w:vAlign w:val="center"/>
          </w:tcPr>
          <w:p w14:paraId="309CDD37"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CDF62D9" w14:textId="77777777" w:rsidR="00454A29" w:rsidRDefault="00454A29">
            <w:pPr>
              <w:pStyle w:val="ConsPlusNormal"/>
              <w:jc w:val="center"/>
            </w:pPr>
            <w:r>
              <w:t>0,00</w:t>
            </w:r>
          </w:p>
        </w:tc>
        <w:tc>
          <w:tcPr>
            <w:tcW w:w="1701" w:type="dxa"/>
            <w:vAlign w:val="center"/>
          </w:tcPr>
          <w:p w14:paraId="70DFC677" w14:textId="77777777" w:rsidR="00454A29" w:rsidRDefault="00454A29">
            <w:pPr>
              <w:pStyle w:val="ConsPlusNormal"/>
              <w:jc w:val="center"/>
            </w:pPr>
            <w:r>
              <w:t>0,00</w:t>
            </w:r>
          </w:p>
        </w:tc>
        <w:tc>
          <w:tcPr>
            <w:tcW w:w="1701" w:type="dxa"/>
            <w:vAlign w:val="center"/>
          </w:tcPr>
          <w:p w14:paraId="53CDC6CE" w14:textId="77777777" w:rsidR="00454A29" w:rsidRDefault="00454A29">
            <w:pPr>
              <w:pStyle w:val="ConsPlusNormal"/>
              <w:jc w:val="center"/>
            </w:pPr>
            <w:r>
              <w:t>0,00</w:t>
            </w:r>
          </w:p>
        </w:tc>
        <w:tc>
          <w:tcPr>
            <w:tcW w:w="1701" w:type="dxa"/>
            <w:vAlign w:val="center"/>
          </w:tcPr>
          <w:p w14:paraId="1850A52E" w14:textId="77777777" w:rsidR="00454A29" w:rsidRDefault="00454A29">
            <w:pPr>
              <w:pStyle w:val="ConsPlusNormal"/>
              <w:jc w:val="center"/>
            </w:pPr>
            <w:r>
              <w:t>0,00</w:t>
            </w:r>
          </w:p>
        </w:tc>
        <w:tc>
          <w:tcPr>
            <w:tcW w:w="1701" w:type="dxa"/>
            <w:vAlign w:val="center"/>
          </w:tcPr>
          <w:p w14:paraId="68DD8F1B" w14:textId="77777777" w:rsidR="00454A29" w:rsidRDefault="00454A29">
            <w:pPr>
              <w:pStyle w:val="ConsPlusNormal"/>
              <w:jc w:val="center"/>
            </w:pPr>
            <w:r>
              <w:t>0,00</w:t>
            </w:r>
          </w:p>
        </w:tc>
        <w:tc>
          <w:tcPr>
            <w:tcW w:w="1701" w:type="dxa"/>
            <w:vAlign w:val="center"/>
          </w:tcPr>
          <w:p w14:paraId="16C7DDE5" w14:textId="77777777" w:rsidR="00454A29" w:rsidRDefault="00454A29">
            <w:pPr>
              <w:pStyle w:val="ConsPlusNormal"/>
              <w:jc w:val="center"/>
            </w:pPr>
            <w:r>
              <w:t>0,00</w:t>
            </w:r>
          </w:p>
        </w:tc>
        <w:tc>
          <w:tcPr>
            <w:tcW w:w="1701" w:type="dxa"/>
            <w:vAlign w:val="center"/>
          </w:tcPr>
          <w:p w14:paraId="0C9860ED" w14:textId="77777777" w:rsidR="00454A29" w:rsidRDefault="00454A29">
            <w:pPr>
              <w:pStyle w:val="ConsPlusNormal"/>
              <w:jc w:val="center"/>
            </w:pPr>
            <w:r>
              <w:t>0,00</w:t>
            </w:r>
          </w:p>
        </w:tc>
      </w:tr>
      <w:tr w:rsidR="00454A29" w14:paraId="569D65A6" w14:textId="77777777">
        <w:tc>
          <w:tcPr>
            <w:tcW w:w="964" w:type="dxa"/>
            <w:vMerge/>
          </w:tcPr>
          <w:p w14:paraId="2906150A" w14:textId="77777777" w:rsidR="00454A29" w:rsidRDefault="00454A29"/>
        </w:tc>
        <w:tc>
          <w:tcPr>
            <w:tcW w:w="2154" w:type="dxa"/>
            <w:vMerge/>
            <w:tcBorders>
              <w:top w:val="nil"/>
              <w:bottom w:val="nil"/>
            </w:tcBorders>
          </w:tcPr>
          <w:p w14:paraId="6961DC0C" w14:textId="77777777" w:rsidR="00454A29" w:rsidRDefault="00454A29"/>
        </w:tc>
        <w:tc>
          <w:tcPr>
            <w:tcW w:w="2154" w:type="dxa"/>
            <w:vMerge/>
            <w:tcBorders>
              <w:top w:val="nil"/>
              <w:bottom w:val="nil"/>
            </w:tcBorders>
          </w:tcPr>
          <w:p w14:paraId="6A43BA22" w14:textId="77777777" w:rsidR="00454A29" w:rsidRDefault="00454A29"/>
        </w:tc>
        <w:tc>
          <w:tcPr>
            <w:tcW w:w="2665" w:type="dxa"/>
            <w:vMerge/>
            <w:tcBorders>
              <w:bottom w:val="nil"/>
            </w:tcBorders>
          </w:tcPr>
          <w:p w14:paraId="43489B45" w14:textId="77777777" w:rsidR="00454A29" w:rsidRDefault="00454A29"/>
        </w:tc>
        <w:tc>
          <w:tcPr>
            <w:tcW w:w="2665" w:type="dxa"/>
            <w:vMerge/>
            <w:tcBorders>
              <w:bottom w:val="nil"/>
            </w:tcBorders>
          </w:tcPr>
          <w:p w14:paraId="537975A4" w14:textId="77777777" w:rsidR="00454A29" w:rsidRDefault="00454A29"/>
        </w:tc>
        <w:tc>
          <w:tcPr>
            <w:tcW w:w="5613" w:type="dxa"/>
            <w:gridSpan w:val="3"/>
            <w:vMerge/>
          </w:tcPr>
          <w:p w14:paraId="75A2EAAB" w14:textId="77777777" w:rsidR="00454A29" w:rsidRDefault="00454A29"/>
        </w:tc>
        <w:tc>
          <w:tcPr>
            <w:tcW w:w="2098" w:type="dxa"/>
            <w:vAlign w:val="center"/>
          </w:tcPr>
          <w:p w14:paraId="06119703" w14:textId="77777777" w:rsidR="00454A29" w:rsidRDefault="00454A29">
            <w:pPr>
              <w:pStyle w:val="ConsPlusNormal"/>
              <w:jc w:val="center"/>
            </w:pPr>
            <w:r>
              <w:t>Федеральный бюджет</w:t>
            </w:r>
          </w:p>
        </w:tc>
        <w:tc>
          <w:tcPr>
            <w:tcW w:w="1814" w:type="dxa"/>
            <w:vAlign w:val="center"/>
          </w:tcPr>
          <w:p w14:paraId="6BDB0F5A" w14:textId="77777777" w:rsidR="00454A29" w:rsidRDefault="00454A29">
            <w:pPr>
              <w:pStyle w:val="ConsPlusNormal"/>
              <w:jc w:val="center"/>
            </w:pPr>
            <w:r>
              <w:t>0,00</w:t>
            </w:r>
          </w:p>
        </w:tc>
        <w:tc>
          <w:tcPr>
            <w:tcW w:w="1701" w:type="dxa"/>
            <w:vAlign w:val="center"/>
          </w:tcPr>
          <w:p w14:paraId="4DE8D18D" w14:textId="77777777" w:rsidR="00454A29" w:rsidRDefault="00454A29">
            <w:pPr>
              <w:pStyle w:val="ConsPlusNormal"/>
              <w:jc w:val="center"/>
            </w:pPr>
            <w:r>
              <w:t>0,00</w:t>
            </w:r>
          </w:p>
        </w:tc>
        <w:tc>
          <w:tcPr>
            <w:tcW w:w="1701" w:type="dxa"/>
            <w:vAlign w:val="center"/>
          </w:tcPr>
          <w:p w14:paraId="77BBF0C0" w14:textId="77777777" w:rsidR="00454A29" w:rsidRDefault="00454A29">
            <w:pPr>
              <w:pStyle w:val="ConsPlusNormal"/>
              <w:jc w:val="center"/>
            </w:pPr>
            <w:r>
              <w:t>0,00</w:t>
            </w:r>
          </w:p>
        </w:tc>
        <w:tc>
          <w:tcPr>
            <w:tcW w:w="1701" w:type="dxa"/>
            <w:vAlign w:val="center"/>
          </w:tcPr>
          <w:p w14:paraId="000FF07D" w14:textId="77777777" w:rsidR="00454A29" w:rsidRDefault="00454A29">
            <w:pPr>
              <w:pStyle w:val="ConsPlusNormal"/>
              <w:jc w:val="center"/>
            </w:pPr>
            <w:r>
              <w:t>0,00</w:t>
            </w:r>
          </w:p>
        </w:tc>
        <w:tc>
          <w:tcPr>
            <w:tcW w:w="1701" w:type="dxa"/>
            <w:vAlign w:val="center"/>
          </w:tcPr>
          <w:p w14:paraId="7E898CE6" w14:textId="77777777" w:rsidR="00454A29" w:rsidRDefault="00454A29">
            <w:pPr>
              <w:pStyle w:val="ConsPlusNormal"/>
              <w:jc w:val="center"/>
            </w:pPr>
            <w:r>
              <w:t>0,00</w:t>
            </w:r>
          </w:p>
        </w:tc>
        <w:tc>
          <w:tcPr>
            <w:tcW w:w="1701" w:type="dxa"/>
            <w:vAlign w:val="center"/>
          </w:tcPr>
          <w:p w14:paraId="7DEF5B2C" w14:textId="77777777" w:rsidR="00454A29" w:rsidRDefault="00454A29">
            <w:pPr>
              <w:pStyle w:val="ConsPlusNormal"/>
              <w:jc w:val="center"/>
            </w:pPr>
            <w:r>
              <w:t>0,00</w:t>
            </w:r>
          </w:p>
        </w:tc>
        <w:tc>
          <w:tcPr>
            <w:tcW w:w="1701" w:type="dxa"/>
            <w:vAlign w:val="center"/>
          </w:tcPr>
          <w:p w14:paraId="6289AC21" w14:textId="77777777" w:rsidR="00454A29" w:rsidRDefault="00454A29">
            <w:pPr>
              <w:pStyle w:val="ConsPlusNormal"/>
              <w:jc w:val="center"/>
            </w:pPr>
            <w:r>
              <w:t>0,00</w:t>
            </w:r>
          </w:p>
        </w:tc>
      </w:tr>
      <w:tr w:rsidR="00454A29" w14:paraId="56A0060F" w14:textId="77777777">
        <w:tc>
          <w:tcPr>
            <w:tcW w:w="964" w:type="dxa"/>
            <w:vMerge/>
          </w:tcPr>
          <w:p w14:paraId="6F516E37" w14:textId="77777777" w:rsidR="00454A29" w:rsidRDefault="00454A29"/>
        </w:tc>
        <w:tc>
          <w:tcPr>
            <w:tcW w:w="2154" w:type="dxa"/>
            <w:vMerge/>
            <w:tcBorders>
              <w:top w:val="nil"/>
              <w:bottom w:val="nil"/>
            </w:tcBorders>
          </w:tcPr>
          <w:p w14:paraId="21FE16D0" w14:textId="77777777" w:rsidR="00454A29" w:rsidRDefault="00454A29"/>
        </w:tc>
        <w:tc>
          <w:tcPr>
            <w:tcW w:w="2154" w:type="dxa"/>
            <w:vMerge/>
            <w:tcBorders>
              <w:top w:val="nil"/>
              <w:bottom w:val="nil"/>
            </w:tcBorders>
          </w:tcPr>
          <w:p w14:paraId="2BBDF385" w14:textId="77777777" w:rsidR="00454A29" w:rsidRDefault="00454A29"/>
        </w:tc>
        <w:tc>
          <w:tcPr>
            <w:tcW w:w="2665" w:type="dxa"/>
            <w:vMerge/>
            <w:tcBorders>
              <w:bottom w:val="nil"/>
            </w:tcBorders>
          </w:tcPr>
          <w:p w14:paraId="3133F382" w14:textId="77777777" w:rsidR="00454A29" w:rsidRDefault="00454A29"/>
        </w:tc>
        <w:tc>
          <w:tcPr>
            <w:tcW w:w="2665" w:type="dxa"/>
            <w:vMerge/>
            <w:tcBorders>
              <w:bottom w:val="nil"/>
            </w:tcBorders>
          </w:tcPr>
          <w:p w14:paraId="311192ED" w14:textId="77777777" w:rsidR="00454A29" w:rsidRDefault="00454A29"/>
        </w:tc>
        <w:tc>
          <w:tcPr>
            <w:tcW w:w="5613" w:type="dxa"/>
            <w:gridSpan w:val="3"/>
            <w:vMerge/>
          </w:tcPr>
          <w:p w14:paraId="0A3E59A1" w14:textId="77777777" w:rsidR="00454A29" w:rsidRDefault="00454A29"/>
        </w:tc>
        <w:tc>
          <w:tcPr>
            <w:tcW w:w="2098" w:type="dxa"/>
            <w:vAlign w:val="center"/>
          </w:tcPr>
          <w:p w14:paraId="15012C90" w14:textId="77777777" w:rsidR="00454A29" w:rsidRDefault="00454A29">
            <w:pPr>
              <w:pStyle w:val="ConsPlusNormal"/>
              <w:jc w:val="center"/>
            </w:pPr>
            <w:r>
              <w:t>Местные бюджеты</w:t>
            </w:r>
          </w:p>
        </w:tc>
        <w:tc>
          <w:tcPr>
            <w:tcW w:w="1814" w:type="dxa"/>
            <w:vAlign w:val="center"/>
          </w:tcPr>
          <w:p w14:paraId="69175731" w14:textId="77777777" w:rsidR="00454A29" w:rsidRDefault="00454A29">
            <w:pPr>
              <w:pStyle w:val="ConsPlusNormal"/>
              <w:jc w:val="center"/>
            </w:pPr>
            <w:r>
              <w:t>0,00</w:t>
            </w:r>
          </w:p>
        </w:tc>
        <w:tc>
          <w:tcPr>
            <w:tcW w:w="1701" w:type="dxa"/>
            <w:vAlign w:val="center"/>
          </w:tcPr>
          <w:p w14:paraId="3F78EC8F" w14:textId="77777777" w:rsidR="00454A29" w:rsidRDefault="00454A29">
            <w:pPr>
              <w:pStyle w:val="ConsPlusNormal"/>
              <w:jc w:val="center"/>
            </w:pPr>
            <w:r>
              <w:t>0,00</w:t>
            </w:r>
          </w:p>
        </w:tc>
        <w:tc>
          <w:tcPr>
            <w:tcW w:w="1701" w:type="dxa"/>
            <w:vAlign w:val="center"/>
          </w:tcPr>
          <w:p w14:paraId="1D180A29" w14:textId="77777777" w:rsidR="00454A29" w:rsidRDefault="00454A29">
            <w:pPr>
              <w:pStyle w:val="ConsPlusNormal"/>
              <w:jc w:val="center"/>
            </w:pPr>
            <w:r>
              <w:t>0,00</w:t>
            </w:r>
          </w:p>
        </w:tc>
        <w:tc>
          <w:tcPr>
            <w:tcW w:w="1701" w:type="dxa"/>
            <w:vAlign w:val="center"/>
          </w:tcPr>
          <w:p w14:paraId="3E4A8310" w14:textId="77777777" w:rsidR="00454A29" w:rsidRDefault="00454A29">
            <w:pPr>
              <w:pStyle w:val="ConsPlusNormal"/>
              <w:jc w:val="center"/>
            </w:pPr>
            <w:r>
              <w:t>0,00</w:t>
            </w:r>
          </w:p>
        </w:tc>
        <w:tc>
          <w:tcPr>
            <w:tcW w:w="1701" w:type="dxa"/>
            <w:vAlign w:val="center"/>
          </w:tcPr>
          <w:p w14:paraId="4B92D12E" w14:textId="77777777" w:rsidR="00454A29" w:rsidRDefault="00454A29">
            <w:pPr>
              <w:pStyle w:val="ConsPlusNormal"/>
              <w:jc w:val="center"/>
            </w:pPr>
            <w:r>
              <w:t>0,00</w:t>
            </w:r>
          </w:p>
        </w:tc>
        <w:tc>
          <w:tcPr>
            <w:tcW w:w="1701" w:type="dxa"/>
            <w:vAlign w:val="center"/>
          </w:tcPr>
          <w:p w14:paraId="5A6FBFC8" w14:textId="77777777" w:rsidR="00454A29" w:rsidRDefault="00454A29">
            <w:pPr>
              <w:pStyle w:val="ConsPlusNormal"/>
              <w:jc w:val="center"/>
            </w:pPr>
            <w:r>
              <w:t>0,00</w:t>
            </w:r>
          </w:p>
        </w:tc>
        <w:tc>
          <w:tcPr>
            <w:tcW w:w="1701" w:type="dxa"/>
            <w:vAlign w:val="center"/>
          </w:tcPr>
          <w:p w14:paraId="0C1D2EFB" w14:textId="77777777" w:rsidR="00454A29" w:rsidRDefault="00454A29">
            <w:pPr>
              <w:pStyle w:val="ConsPlusNormal"/>
              <w:jc w:val="center"/>
            </w:pPr>
            <w:r>
              <w:t>0,00</w:t>
            </w:r>
          </w:p>
        </w:tc>
      </w:tr>
      <w:tr w:rsidR="00454A29" w14:paraId="4A29BC1D" w14:textId="77777777">
        <w:tc>
          <w:tcPr>
            <w:tcW w:w="964" w:type="dxa"/>
            <w:vMerge/>
          </w:tcPr>
          <w:p w14:paraId="5415541A" w14:textId="77777777" w:rsidR="00454A29" w:rsidRDefault="00454A29"/>
        </w:tc>
        <w:tc>
          <w:tcPr>
            <w:tcW w:w="2154" w:type="dxa"/>
            <w:vMerge/>
            <w:tcBorders>
              <w:top w:val="nil"/>
              <w:bottom w:val="nil"/>
            </w:tcBorders>
          </w:tcPr>
          <w:p w14:paraId="51483D70" w14:textId="77777777" w:rsidR="00454A29" w:rsidRDefault="00454A29"/>
        </w:tc>
        <w:tc>
          <w:tcPr>
            <w:tcW w:w="2154" w:type="dxa"/>
            <w:vMerge/>
            <w:tcBorders>
              <w:top w:val="nil"/>
              <w:bottom w:val="nil"/>
            </w:tcBorders>
          </w:tcPr>
          <w:p w14:paraId="5B69E347" w14:textId="77777777" w:rsidR="00454A29" w:rsidRDefault="00454A29"/>
        </w:tc>
        <w:tc>
          <w:tcPr>
            <w:tcW w:w="2665" w:type="dxa"/>
            <w:vMerge/>
            <w:tcBorders>
              <w:bottom w:val="nil"/>
            </w:tcBorders>
          </w:tcPr>
          <w:p w14:paraId="084102B9" w14:textId="77777777" w:rsidR="00454A29" w:rsidRDefault="00454A29"/>
        </w:tc>
        <w:tc>
          <w:tcPr>
            <w:tcW w:w="2665" w:type="dxa"/>
            <w:vMerge/>
            <w:tcBorders>
              <w:bottom w:val="nil"/>
            </w:tcBorders>
          </w:tcPr>
          <w:p w14:paraId="41122436" w14:textId="77777777" w:rsidR="00454A29" w:rsidRDefault="00454A29"/>
        </w:tc>
        <w:tc>
          <w:tcPr>
            <w:tcW w:w="5613" w:type="dxa"/>
            <w:gridSpan w:val="3"/>
            <w:vMerge/>
          </w:tcPr>
          <w:p w14:paraId="7003FD83" w14:textId="77777777" w:rsidR="00454A29" w:rsidRDefault="00454A29"/>
        </w:tc>
        <w:tc>
          <w:tcPr>
            <w:tcW w:w="2098" w:type="dxa"/>
            <w:vAlign w:val="center"/>
          </w:tcPr>
          <w:p w14:paraId="642178E2" w14:textId="77777777" w:rsidR="00454A29" w:rsidRDefault="00454A29">
            <w:pPr>
              <w:pStyle w:val="ConsPlusNormal"/>
              <w:jc w:val="center"/>
            </w:pPr>
            <w:r>
              <w:t>Внебюджетные средства</w:t>
            </w:r>
          </w:p>
        </w:tc>
        <w:tc>
          <w:tcPr>
            <w:tcW w:w="1814" w:type="dxa"/>
            <w:vAlign w:val="center"/>
          </w:tcPr>
          <w:p w14:paraId="73275E53" w14:textId="77777777" w:rsidR="00454A29" w:rsidRDefault="00454A29">
            <w:pPr>
              <w:pStyle w:val="ConsPlusNormal"/>
              <w:jc w:val="center"/>
            </w:pPr>
            <w:r>
              <w:t>0,00</w:t>
            </w:r>
          </w:p>
        </w:tc>
        <w:tc>
          <w:tcPr>
            <w:tcW w:w="1701" w:type="dxa"/>
            <w:vAlign w:val="center"/>
          </w:tcPr>
          <w:p w14:paraId="485A8964" w14:textId="77777777" w:rsidR="00454A29" w:rsidRDefault="00454A29">
            <w:pPr>
              <w:pStyle w:val="ConsPlusNormal"/>
              <w:jc w:val="center"/>
            </w:pPr>
            <w:r>
              <w:t>0,00</w:t>
            </w:r>
          </w:p>
        </w:tc>
        <w:tc>
          <w:tcPr>
            <w:tcW w:w="1701" w:type="dxa"/>
            <w:vAlign w:val="center"/>
          </w:tcPr>
          <w:p w14:paraId="5455A941" w14:textId="77777777" w:rsidR="00454A29" w:rsidRDefault="00454A29">
            <w:pPr>
              <w:pStyle w:val="ConsPlusNormal"/>
              <w:jc w:val="center"/>
            </w:pPr>
            <w:r>
              <w:t>0,00</w:t>
            </w:r>
          </w:p>
        </w:tc>
        <w:tc>
          <w:tcPr>
            <w:tcW w:w="1701" w:type="dxa"/>
            <w:vAlign w:val="center"/>
          </w:tcPr>
          <w:p w14:paraId="754AF9FA" w14:textId="77777777" w:rsidR="00454A29" w:rsidRDefault="00454A29">
            <w:pPr>
              <w:pStyle w:val="ConsPlusNormal"/>
              <w:jc w:val="center"/>
            </w:pPr>
            <w:r>
              <w:t>0,00</w:t>
            </w:r>
          </w:p>
        </w:tc>
        <w:tc>
          <w:tcPr>
            <w:tcW w:w="1701" w:type="dxa"/>
            <w:vAlign w:val="center"/>
          </w:tcPr>
          <w:p w14:paraId="5864E414" w14:textId="77777777" w:rsidR="00454A29" w:rsidRDefault="00454A29">
            <w:pPr>
              <w:pStyle w:val="ConsPlusNormal"/>
              <w:jc w:val="center"/>
            </w:pPr>
            <w:r>
              <w:t>0,00</w:t>
            </w:r>
          </w:p>
        </w:tc>
        <w:tc>
          <w:tcPr>
            <w:tcW w:w="1701" w:type="dxa"/>
            <w:vAlign w:val="center"/>
          </w:tcPr>
          <w:p w14:paraId="318EC1A3" w14:textId="77777777" w:rsidR="00454A29" w:rsidRDefault="00454A29">
            <w:pPr>
              <w:pStyle w:val="ConsPlusNormal"/>
              <w:jc w:val="center"/>
            </w:pPr>
            <w:r>
              <w:t>0,00</w:t>
            </w:r>
          </w:p>
        </w:tc>
        <w:tc>
          <w:tcPr>
            <w:tcW w:w="1701" w:type="dxa"/>
            <w:vAlign w:val="center"/>
          </w:tcPr>
          <w:p w14:paraId="4CA7530B" w14:textId="77777777" w:rsidR="00454A29" w:rsidRDefault="00454A29">
            <w:pPr>
              <w:pStyle w:val="ConsPlusNormal"/>
              <w:jc w:val="center"/>
            </w:pPr>
            <w:r>
              <w:t>0,00</w:t>
            </w:r>
          </w:p>
        </w:tc>
      </w:tr>
      <w:tr w:rsidR="00454A29" w14:paraId="3F9E8FFB" w14:textId="77777777">
        <w:tc>
          <w:tcPr>
            <w:tcW w:w="964" w:type="dxa"/>
            <w:vMerge w:val="restart"/>
            <w:vAlign w:val="center"/>
          </w:tcPr>
          <w:p w14:paraId="3E228CB0" w14:textId="77777777" w:rsidR="00454A29" w:rsidRDefault="00454A29">
            <w:pPr>
              <w:pStyle w:val="ConsPlusNormal"/>
              <w:jc w:val="center"/>
            </w:pPr>
            <w:r>
              <w:t>11.1.1.</w:t>
            </w:r>
          </w:p>
        </w:tc>
        <w:tc>
          <w:tcPr>
            <w:tcW w:w="2154" w:type="dxa"/>
            <w:vMerge w:val="restart"/>
            <w:tcBorders>
              <w:top w:val="nil"/>
              <w:bottom w:val="nil"/>
            </w:tcBorders>
            <w:vAlign w:val="center"/>
          </w:tcPr>
          <w:p w14:paraId="4E7C01D8" w14:textId="77777777" w:rsidR="00454A29" w:rsidRDefault="00454A29">
            <w:pPr>
              <w:pStyle w:val="ConsPlusNormal"/>
            </w:pPr>
          </w:p>
        </w:tc>
        <w:tc>
          <w:tcPr>
            <w:tcW w:w="2154" w:type="dxa"/>
            <w:vMerge w:val="restart"/>
            <w:tcBorders>
              <w:top w:val="nil"/>
              <w:bottom w:val="nil"/>
            </w:tcBorders>
            <w:vAlign w:val="center"/>
          </w:tcPr>
          <w:p w14:paraId="065FA75F" w14:textId="77777777" w:rsidR="00454A29" w:rsidRDefault="00454A29">
            <w:pPr>
              <w:pStyle w:val="ConsPlusNormal"/>
            </w:pPr>
          </w:p>
        </w:tc>
        <w:tc>
          <w:tcPr>
            <w:tcW w:w="2665" w:type="dxa"/>
            <w:vMerge w:val="restart"/>
            <w:tcBorders>
              <w:top w:val="nil"/>
              <w:bottom w:val="nil"/>
            </w:tcBorders>
            <w:vAlign w:val="center"/>
          </w:tcPr>
          <w:p w14:paraId="1EA48A35" w14:textId="77777777" w:rsidR="00454A29" w:rsidRDefault="00454A29">
            <w:pPr>
              <w:pStyle w:val="ConsPlusNormal"/>
            </w:pPr>
          </w:p>
        </w:tc>
        <w:tc>
          <w:tcPr>
            <w:tcW w:w="2665" w:type="dxa"/>
            <w:vMerge w:val="restart"/>
            <w:tcBorders>
              <w:top w:val="nil"/>
              <w:bottom w:val="nil"/>
            </w:tcBorders>
            <w:vAlign w:val="center"/>
          </w:tcPr>
          <w:p w14:paraId="2956CA8D" w14:textId="77777777" w:rsidR="00454A29" w:rsidRDefault="00454A29">
            <w:pPr>
              <w:pStyle w:val="ConsPlusNormal"/>
            </w:pPr>
          </w:p>
        </w:tc>
        <w:tc>
          <w:tcPr>
            <w:tcW w:w="1928" w:type="dxa"/>
            <w:vMerge w:val="restart"/>
            <w:vAlign w:val="center"/>
          </w:tcPr>
          <w:p w14:paraId="01A55F04" w14:textId="77777777" w:rsidR="00454A29" w:rsidRDefault="00454A29">
            <w:pPr>
              <w:pStyle w:val="ConsPlusNormal"/>
              <w:jc w:val="center"/>
            </w:pPr>
            <w:r>
              <w:t>ГО "город Якутск"</w:t>
            </w:r>
          </w:p>
        </w:tc>
        <w:tc>
          <w:tcPr>
            <w:tcW w:w="1644" w:type="dxa"/>
            <w:vMerge w:val="restart"/>
            <w:vAlign w:val="center"/>
          </w:tcPr>
          <w:p w14:paraId="403ABD1F" w14:textId="77777777" w:rsidR="00454A29" w:rsidRDefault="00454A29">
            <w:pPr>
              <w:pStyle w:val="ConsPlusNormal"/>
              <w:jc w:val="center"/>
            </w:pPr>
            <w:r>
              <w:t>г. Якутск</w:t>
            </w:r>
          </w:p>
        </w:tc>
        <w:tc>
          <w:tcPr>
            <w:tcW w:w="2041" w:type="dxa"/>
            <w:vMerge w:val="restart"/>
            <w:vAlign w:val="center"/>
          </w:tcPr>
          <w:p w14:paraId="28762F99" w14:textId="77777777" w:rsidR="00454A29" w:rsidRDefault="00454A29">
            <w:pPr>
              <w:pStyle w:val="ConsPlusNormal"/>
              <w:jc w:val="center"/>
            </w:pPr>
            <w:r>
              <w:t>Приобретение первого этажа в многоквартирном доме по ул. Билибина, 19, г. Якутска под группы детского сада N 20 "Надежда"</w:t>
            </w:r>
          </w:p>
        </w:tc>
        <w:tc>
          <w:tcPr>
            <w:tcW w:w="2098" w:type="dxa"/>
            <w:vAlign w:val="center"/>
          </w:tcPr>
          <w:p w14:paraId="590CBDA6" w14:textId="77777777" w:rsidR="00454A29" w:rsidRDefault="00454A29">
            <w:pPr>
              <w:pStyle w:val="ConsPlusNormal"/>
              <w:jc w:val="center"/>
            </w:pPr>
            <w:r>
              <w:t>Итого</w:t>
            </w:r>
          </w:p>
        </w:tc>
        <w:tc>
          <w:tcPr>
            <w:tcW w:w="1814" w:type="dxa"/>
            <w:vAlign w:val="center"/>
          </w:tcPr>
          <w:p w14:paraId="58D46491" w14:textId="77777777" w:rsidR="00454A29" w:rsidRDefault="00454A29">
            <w:pPr>
              <w:pStyle w:val="ConsPlusNormal"/>
              <w:jc w:val="center"/>
            </w:pPr>
            <w:r>
              <w:t>0,00</w:t>
            </w:r>
          </w:p>
        </w:tc>
        <w:tc>
          <w:tcPr>
            <w:tcW w:w="1701" w:type="dxa"/>
            <w:vAlign w:val="center"/>
          </w:tcPr>
          <w:p w14:paraId="6722F1A7" w14:textId="77777777" w:rsidR="00454A29" w:rsidRDefault="00454A29">
            <w:pPr>
              <w:pStyle w:val="ConsPlusNormal"/>
              <w:jc w:val="center"/>
            </w:pPr>
            <w:r>
              <w:t>0,00</w:t>
            </w:r>
          </w:p>
        </w:tc>
        <w:tc>
          <w:tcPr>
            <w:tcW w:w="1701" w:type="dxa"/>
            <w:vAlign w:val="center"/>
          </w:tcPr>
          <w:p w14:paraId="429D91D9" w14:textId="77777777" w:rsidR="00454A29" w:rsidRDefault="00454A29">
            <w:pPr>
              <w:pStyle w:val="ConsPlusNormal"/>
              <w:jc w:val="center"/>
            </w:pPr>
            <w:r>
              <w:t>0,00</w:t>
            </w:r>
          </w:p>
        </w:tc>
        <w:tc>
          <w:tcPr>
            <w:tcW w:w="1701" w:type="dxa"/>
            <w:vAlign w:val="center"/>
          </w:tcPr>
          <w:p w14:paraId="31F1072D" w14:textId="77777777" w:rsidR="00454A29" w:rsidRDefault="00454A29">
            <w:pPr>
              <w:pStyle w:val="ConsPlusNormal"/>
              <w:jc w:val="center"/>
            </w:pPr>
            <w:r>
              <w:t>0,00</w:t>
            </w:r>
          </w:p>
        </w:tc>
        <w:tc>
          <w:tcPr>
            <w:tcW w:w="1701" w:type="dxa"/>
            <w:vAlign w:val="center"/>
          </w:tcPr>
          <w:p w14:paraId="06AD1EEB" w14:textId="77777777" w:rsidR="00454A29" w:rsidRDefault="00454A29">
            <w:pPr>
              <w:pStyle w:val="ConsPlusNormal"/>
              <w:jc w:val="center"/>
            </w:pPr>
            <w:r>
              <w:t>0,00</w:t>
            </w:r>
          </w:p>
        </w:tc>
        <w:tc>
          <w:tcPr>
            <w:tcW w:w="1701" w:type="dxa"/>
            <w:vAlign w:val="center"/>
          </w:tcPr>
          <w:p w14:paraId="3A87E17B" w14:textId="77777777" w:rsidR="00454A29" w:rsidRDefault="00454A29">
            <w:pPr>
              <w:pStyle w:val="ConsPlusNormal"/>
              <w:jc w:val="center"/>
            </w:pPr>
            <w:r>
              <w:t>0,00</w:t>
            </w:r>
          </w:p>
        </w:tc>
        <w:tc>
          <w:tcPr>
            <w:tcW w:w="1701" w:type="dxa"/>
            <w:vAlign w:val="center"/>
          </w:tcPr>
          <w:p w14:paraId="09E209CC" w14:textId="77777777" w:rsidR="00454A29" w:rsidRDefault="00454A29">
            <w:pPr>
              <w:pStyle w:val="ConsPlusNormal"/>
              <w:jc w:val="center"/>
            </w:pPr>
            <w:r>
              <w:t>0,00</w:t>
            </w:r>
          </w:p>
        </w:tc>
      </w:tr>
      <w:tr w:rsidR="00454A29" w14:paraId="2E36D2CC" w14:textId="77777777">
        <w:tc>
          <w:tcPr>
            <w:tcW w:w="964" w:type="dxa"/>
            <w:vMerge/>
          </w:tcPr>
          <w:p w14:paraId="410664DA" w14:textId="77777777" w:rsidR="00454A29" w:rsidRDefault="00454A29"/>
        </w:tc>
        <w:tc>
          <w:tcPr>
            <w:tcW w:w="2154" w:type="dxa"/>
            <w:vMerge/>
            <w:tcBorders>
              <w:top w:val="nil"/>
              <w:bottom w:val="nil"/>
            </w:tcBorders>
          </w:tcPr>
          <w:p w14:paraId="2D57E2C7" w14:textId="77777777" w:rsidR="00454A29" w:rsidRDefault="00454A29"/>
        </w:tc>
        <w:tc>
          <w:tcPr>
            <w:tcW w:w="2154" w:type="dxa"/>
            <w:vMerge/>
            <w:tcBorders>
              <w:top w:val="nil"/>
              <w:bottom w:val="nil"/>
            </w:tcBorders>
          </w:tcPr>
          <w:p w14:paraId="1FA3AF22" w14:textId="77777777" w:rsidR="00454A29" w:rsidRDefault="00454A29"/>
        </w:tc>
        <w:tc>
          <w:tcPr>
            <w:tcW w:w="2665" w:type="dxa"/>
            <w:vMerge/>
            <w:tcBorders>
              <w:top w:val="nil"/>
              <w:bottom w:val="nil"/>
            </w:tcBorders>
          </w:tcPr>
          <w:p w14:paraId="65825FB9" w14:textId="77777777" w:rsidR="00454A29" w:rsidRDefault="00454A29"/>
        </w:tc>
        <w:tc>
          <w:tcPr>
            <w:tcW w:w="2665" w:type="dxa"/>
            <w:vMerge/>
            <w:tcBorders>
              <w:top w:val="nil"/>
              <w:bottom w:val="nil"/>
            </w:tcBorders>
          </w:tcPr>
          <w:p w14:paraId="559F3B22" w14:textId="77777777" w:rsidR="00454A29" w:rsidRDefault="00454A29"/>
        </w:tc>
        <w:tc>
          <w:tcPr>
            <w:tcW w:w="1928" w:type="dxa"/>
            <w:vMerge/>
          </w:tcPr>
          <w:p w14:paraId="58AC7C04" w14:textId="77777777" w:rsidR="00454A29" w:rsidRDefault="00454A29"/>
        </w:tc>
        <w:tc>
          <w:tcPr>
            <w:tcW w:w="1644" w:type="dxa"/>
            <w:vMerge/>
          </w:tcPr>
          <w:p w14:paraId="6C1E782C" w14:textId="77777777" w:rsidR="00454A29" w:rsidRDefault="00454A29"/>
        </w:tc>
        <w:tc>
          <w:tcPr>
            <w:tcW w:w="2041" w:type="dxa"/>
            <w:vMerge/>
          </w:tcPr>
          <w:p w14:paraId="67F51E34" w14:textId="77777777" w:rsidR="00454A29" w:rsidRDefault="00454A29"/>
        </w:tc>
        <w:tc>
          <w:tcPr>
            <w:tcW w:w="2098" w:type="dxa"/>
            <w:vAlign w:val="center"/>
          </w:tcPr>
          <w:p w14:paraId="4194923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BBA6CAB" w14:textId="77777777" w:rsidR="00454A29" w:rsidRDefault="00454A29">
            <w:pPr>
              <w:pStyle w:val="ConsPlusNormal"/>
              <w:jc w:val="center"/>
            </w:pPr>
            <w:r>
              <w:t>0,00</w:t>
            </w:r>
          </w:p>
        </w:tc>
        <w:tc>
          <w:tcPr>
            <w:tcW w:w="1701" w:type="dxa"/>
            <w:vAlign w:val="center"/>
          </w:tcPr>
          <w:p w14:paraId="39E7E5C4" w14:textId="77777777" w:rsidR="00454A29" w:rsidRDefault="00454A29">
            <w:pPr>
              <w:pStyle w:val="ConsPlusNormal"/>
              <w:jc w:val="center"/>
            </w:pPr>
            <w:r>
              <w:t>0,00</w:t>
            </w:r>
          </w:p>
        </w:tc>
        <w:tc>
          <w:tcPr>
            <w:tcW w:w="1701" w:type="dxa"/>
            <w:vAlign w:val="center"/>
          </w:tcPr>
          <w:p w14:paraId="10665D9B" w14:textId="77777777" w:rsidR="00454A29" w:rsidRDefault="00454A29">
            <w:pPr>
              <w:pStyle w:val="ConsPlusNormal"/>
              <w:jc w:val="center"/>
            </w:pPr>
            <w:r>
              <w:t>0,00</w:t>
            </w:r>
          </w:p>
        </w:tc>
        <w:tc>
          <w:tcPr>
            <w:tcW w:w="1701" w:type="dxa"/>
            <w:vAlign w:val="center"/>
          </w:tcPr>
          <w:p w14:paraId="4221CF23" w14:textId="77777777" w:rsidR="00454A29" w:rsidRDefault="00454A29">
            <w:pPr>
              <w:pStyle w:val="ConsPlusNormal"/>
              <w:jc w:val="center"/>
            </w:pPr>
            <w:r>
              <w:t>0,00</w:t>
            </w:r>
          </w:p>
        </w:tc>
        <w:tc>
          <w:tcPr>
            <w:tcW w:w="1701" w:type="dxa"/>
            <w:vAlign w:val="center"/>
          </w:tcPr>
          <w:p w14:paraId="261444AA" w14:textId="77777777" w:rsidR="00454A29" w:rsidRDefault="00454A29">
            <w:pPr>
              <w:pStyle w:val="ConsPlusNormal"/>
              <w:jc w:val="center"/>
            </w:pPr>
            <w:r>
              <w:t>0,00</w:t>
            </w:r>
          </w:p>
        </w:tc>
        <w:tc>
          <w:tcPr>
            <w:tcW w:w="1701" w:type="dxa"/>
            <w:vAlign w:val="center"/>
          </w:tcPr>
          <w:p w14:paraId="729AE427" w14:textId="77777777" w:rsidR="00454A29" w:rsidRDefault="00454A29">
            <w:pPr>
              <w:pStyle w:val="ConsPlusNormal"/>
              <w:jc w:val="center"/>
            </w:pPr>
            <w:r>
              <w:t>0,00</w:t>
            </w:r>
          </w:p>
        </w:tc>
        <w:tc>
          <w:tcPr>
            <w:tcW w:w="1701" w:type="dxa"/>
            <w:vAlign w:val="center"/>
          </w:tcPr>
          <w:p w14:paraId="3B2FA76D" w14:textId="77777777" w:rsidR="00454A29" w:rsidRDefault="00454A29">
            <w:pPr>
              <w:pStyle w:val="ConsPlusNormal"/>
              <w:jc w:val="center"/>
            </w:pPr>
            <w:r>
              <w:t>0,00</w:t>
            </w:r>
          </w:p>
        </w:tc>
      </w:tr>
      <w:tr w:rsidR="00454A29" w14:paraId="2FB47B77" w14:textId="77777777">
        <w:tc>
          <w:tcPr>
            <w:tcW w:w="964" w:type="dxa"/>
            <w:vMerge/>
          </w:tcPr>
          <w:p w14:paraId="0841998E" w14:textId="77777777" w:rsidR="00454A29" w:rsidRDefault="00454A29"/>
        </w:tc>
        <w:tc>
          <w:tcPr>
            <w:tcW w:w="2154" w:type="dxa"/>
            <w:vMerge/>
            <w:tcBorders>
              <w:top w:val="nil"/>
              <w:bottom w:val="nil"/>
            </w:tcBorders>
          </w:tcPr>
          <w:p w14:paraId="57AC8DF6" w14:textId="77777777" w:rsidR="00454A29" w:rsidRDefault="00454A29"/>
        </w:tc>
        <w:tc>
          <w:tcPr>
            <w:tcW w:w="2154" w:type="dxa"/>
            <w:vMerge/>
            <w:tcBorders>
              <w:top w:val="nil"/>
              <w:bottom w:val="nil"/>
            </w:tcBorders>
          </w:tcPr>
          <w:p w14:paraId="11CF0B1C" w14:textId="77777777" w:rsidR="00454A29" w:rsidRDefault="00454A29"/>
        </w:tc>
        <w:tc>
          <w:tcPr>
            <w:tcW w:w="2665" w:type="dxa"/>
            <w:vMerge/>
            <w:tcBorders>
              <w:top w:val="nil"/>
              <w:bottom w:val="nil"/>
            </w:tcBorders>
          </w:tcPr>
          <w:p w14:paraId="4EE9E47F" w14:textId="77777777" w:rsidR="00454A29" w:rsidRDefault="00454A29"/>
        </w:tc>
        <w:tc>
          <w:tcPr>
            <w:tcW w:w="2665" w:type="dxa"/>
            <w:vMerge/>
            <w:tcBorders>
              <w:top w:val="nil"/>
              <w:bottom w:val="nil"/>
            </w:tcBorders>
          </w:tcPr>
          <w:p w14:paraId="7DEFC63B" w14:textId="77777777" w:rsidR="00454A29" w:rsidRDefault="00454A29"/>
        </w:tc>
        <w:tc>
          <w:tcPr>
            <w:tcW w:w="1928" w:type="dxa"/>
            <w:vMerge/>
          </w:tcPr>
          <w:p w14:paraId="7294CD6D" w14:textId="77777777" w:rsidR="00454A29" w:rsidRDefault="00454A29"/>
        </w:tc>
        <w:tc>
          <w:tcPr>
            <w:tcW w:w="1644" w:type="dxa"/>
            <w:vMerge/>
          </w:tcPr>
          <w:p w14:paraId="5199C283" w14:textId="77777777" w:rsidR="00454A29" w:rsidRDefault="00454A29"/>
        </w:tc>
        <w:tc>
          <w:tcPr>
            <w:tcW w:w="2041" w:type="dxa"/>
            <w:vMerge/>
          </w:tcPr>
          <w:p w14:paraId="12C7F56F" w14:textId="77777777" w:rsidR="00454A29" w:rsidRDefault="00454A29"/>
        </w:tc>
        <w:tc>
          <w:tcPr>
            <w:tcW w:w="2098" w:type="dxa"/>
            <w:vAlign w:val="center"/>
          </w:tcPr>
          <w:p w14:paraId="1C1F4EA3" w14:textId="77777777" w:rsidR="00454A29" w:rsidRDefault="00454A29">
            <w:pPr>
              <w:pStyle w:val="ConsPlusNormal"/>
              <w:jc w:val="center"/>
            </w:pPr>
            <w:r>
              <w:t>Федеральный бюджет</w:t>
            </w:r>
          </w:p>
        </w:tc>
        <w:tc>
          <w:tcPr>
            <w:tcW w:w="1814" w:type="dxa"/>
            <w:vAlign w:val="center"/>
          </w:tcPr>
          <w:p w14:paraId="7818763D" w14:textId="77777777" w:rsidR="00454A29" w:rsidRDefault="00454A29">
            <w:pPr>
              <w:pStyle w:val="ConsPlusNormal"/>
              <w:jc w:val="center"/>
            </w:pPr>
            <w:r>
              <w:t>0,00</w:t>
            </w:r>
          </w:p>
        </w:tc>
        <w:tc>
          <w:tcPr>
            <w:tcW w:w="1701" w:type="dxa"/>
            <w:vAlign w:val="center"/>
          </w:tcPr>
          <w:p w14:paraId="5D7CF6BF" w14:textId="77777777" w:rsidR="00454A29" w:rsidRDefault="00454A29">
            <w:pPr>
              <w:pStyle w:val="ConsPlusNormal"/>
              <w:jc w:val="center"/>
            </w:pPr>
            <w:r>
              <w:t>0,00</w:t>
            </w:r>
          </w:p>
        </w:tc>
        <w:tc>
          <w:tcPr>
            <w:tcW w:w="1701" w:type="dxa"/>
            <w:vAlign w:val="center"/>
          </w:tcPr>
          <w:p w14:paraId="1E12EF81" w14:textId="77777777" w:rsidR="00454A29" w:rsidRDefault="00454A29">
            <w:pPr>
              <w:pStyle w:val="ConsPlusNormal"/>
              <w:jc w:val="center"/>
            </w:pPr>
            <w:r>
              <w:t>0,00</w:t>
            </w:r>
          </w:p>
        </w:tc>
        <w:tc>
          <w:tcPr>
            <w:tcW w:w="1701" w:type="dxa"/>
            <w:vAlign w:val="center"/>
          </w:tcPr>
          <w:p w14:paraId="577AF3D7" w14:textId="77777777" w:rsidR="00454A29" w:rsidRDefault="00454A29">
            <w:pPr>
              <w:pStyle w:val="ConsPlusNormal"/>
              <w:jc w:val="center"/>
            </w:pPr>
            <w:r>
              <w:t>0,00</w:t>
            </w:r>
          </w:p>
        </w:tc>
        <w:tc>
          <w:tcPr>
            <w:tcW w:w="1701" w:type="dxa"/>
            <w:vAlign w:val="center"/>
          </w:tcPr>
          <w:p w14:paraId="22E95FFD" w14:textId="77777777" w:rsidR="00454A29" w:rsidRDefault="00454A29">
            <w:pPr>
              <w:pStyle w:val="ConsPlusNormal"/>
              <w:jc w:val="center"/>
            </w:pPr>
            <w:r>
              <w:t>0,00</w:t>
            </w:r>
          </w:p>
        </w:tc>
        <w:tc>
          <w:tcPr>
            <w:tcW w:w="1701" w:type="dxa"/>
            <w:vAlign w:val="center"/>
          </w:tcPr>
          <w:p w14:paraId="6E14416D" w14:textId="77777777" w:rsidR="00454A29" w:rsidRDefault="00454A29">
            <w:pPr>
              <w:pStyle w:val="ConsPlusNormal"/>
              <w:jc w:val="center"/>
            </w:pPr>
            <w:r>
              <w:t>0,00</w:t>
            </w:r>
          </w:p>
        </w:tc>
        <w:tc>
          <w:tcPr>
            <w:tcW w:w="1701" w:type="dxa"/>
            <w:vAlign w:val="center"/>
          </w:tcPr>
          <w:p w14:paraId="1A1EEE9B" w14:textId="77777777" w:rsidR="00454A29" w:rsidRDefault="00454A29">
            <w:pPr>
              <w:pStyle w:val="ConsPlusNormal"/>
              <w:jc w:val="center"/>
            </w:pPr>
            <w:r>
              <w:t>0,00</w:t>
            </w:r>
          </w:p>
        </w:tc>
      </w:tr>
      <w:tr w:rsidR="00454A29" w14:paraId="7CCC0B4C" w14:textId="77777777">
        <w:tc>
          <w:tcPr>
            <w:tcW w:w="964" w:type="dxa"/>
            <w:vMerge/>
          </w:tcPr>
          <w:p w14:paraId="39F13ED3" w14:textId="77777777" w:rsidR="00454A29" w:rsidRDefault="00454A29"/>
        </w:tc>
        <w:tc>
          <w:tcPr>
            <w:tcW w:w="2154" w:type="dxa"/>
            <w:vMerge/>
            <w:tcBorders>
              <w:top w:val="nil"/>
              <w:bottom w:val="nil"/>
            </w:tcBorders>
          </w:tcPr>
          <w:p w14:paraId="77040023" w14:textId="77777777" w:rsidR="00454A29" w:rsidRDefault="00454A29"/>
        </w:tc>
        <w:tc>
          <w:tcPr>
            <w:tcW w:w="2154" w:type="dxa"/>
            <w:vMerge/>
            <w:tcBorders>
              <w:top w:val="nil"/>
              <w:bottom w:val="nil"/>
            </w:tcBorders>
          </w:tcPr>
          <w:p w14:paraId="6F863699" w14:textId="77777777" w:rsidR="00454A29" w:rsidRDefault="00454A29"/>
        </w:tc>
        <w:tc>
          <w:tcPr>
            <w:tcW w:w="2665" w:type="dxa"/>
            <w:vMerge/>
            <w:tcBorders>
              <w:top w:val="nil"/>
              <w:bottom w:val="nil"/>
            </w:tcBorders>
          </w:tcPr>
          <w:p w14:paraId="0AE97D67" w14:textId="77777777" w:rsidR="00454A29" w:rsidRDefault="00454A29"/>
        </w:tc>
        <w:tc>
          <w:tcPr>
            <w:tcW w:w="2665" w:type="dxa"/>
            <w:vMerge/>
            <w:tcBorders>
              <w:top w:val="nil"/>
              <w:bottom w:val="nil"/>
            </w:tcBorders>
          </w:tcPr>
          <w:p w14:paraId="3A7C8899" w14:textId="77777777" w:rsidR="00454A29" w:rsidRDefault="00454A29"/>
        </w:tc>
        <w:tc>
          <w:tcPr>
            <w:tcW w:w="1928" w:type="dxa"/>
            <w:vMerge/>
          </w:tcPr>
          <w:p w14:paraId="5691278D" w14:textId="77777777" w:rsidR="00454A29" w:rsidRDefault="00454A29"/>
        </w:tc>
        <w:tc>
          <w:tcPr>
            <w:tcW w:w="1644" w:type="dxa"/>
            <w:vMerge/>
          </w:tcPr>
          <w:p w14:paraId="19A7417D" w14:textId="77777777" w:rsidR="00454A29" w:rsidRDefault="00454A29"/>
        </w:tc>
        <w:tc>
          <w:tcPr>
            <w:tcW w:w="2041" w:type="dxa"/>
            <w:vMerge/>
          </w:tcPr>
          <w:p w14:paraId="40881627" w14:textId="77777777" w:rsidR="00454A29" w:rsidRDefault="00454A29"/>
        </w:tc>
        <w:tc>
          <w:tcPr>
            <w:tcW w:w="2098" w:type="dxa"/>
            <w:vAlign w:val="center"/>
          </w:tcPr>
          <w:p w14:paraId="3FC6A36B" w14:textId="77777777" w:rsidR="00454A29" w:rsidRDefault="00454A29">
            <w:pPr>
              <w:pStyle w:val="ConsPlusNormal"/>
              <w:jc w:val="center"/>
            </w:pPr>
            <w:r>
              <w:t>Местные бюджеты</w:t>
            </w:r>
          </w:p>
        </w:tc>
        <w:tc>
          <w:tcPr>
            <w:tcW w:w="1814" w:type="dxa"/>
            <w:vAlign w:val="center"/>
          </w:tcPr>
          <w:p w14:paraId="42782420" w14:textId="77777777" w:rsidR="00454A29" w:rsidRDefault="00454A29">
            <w:pPr>
              <w:pStyle w:val="ConsPlusNormal"/>
              <w:jc w:val="center"/>
            </w:pPr>
            <w:r>
              <w:t>0,00</w:t>
            </w:r>
          </w:p>
        </w:tc>
        <w:tc>
          <w:tcPr>
            <w:tcW w:w="1701" w:type="dxa"/>
            <w:vAlign w:val="center"/>
          </w:tcPr>
          <w:p w14:paraId="160EBAD1" w14:textId="77777777" w:rsidR="00454A29" w:rsidRDefault="00454A29">
            <w:pPr>
              <w:pStyle w:val="ConsPlusNormal"/>
              <w:jc w:val="center"/>
            </w:pPr>
            <w:r>
              <w:t>0,00</w:t>
            </w:r>
          </w:p>
        </w:tc>
        <w:tc>
          <w:tcPr>
            <w:tcW w:w="1701" w:type="dxa"/>
            <w:vAlign w:val="center"/>
          </w:tcPr>
          <w:p w14:paraId="4E219993" w14:textId="77777777" w:rsidR="00454A29" w:rsidRDefault="00454A29">
            <w:pPr>
              <w:pStyle w:val="ConsPlusNormal"/>
              <w:jc w:val="center"/>
            </w:pPr>
            <w:r>
              <w:t>0,00</w:t>
            </w:r>
          </w:p>
        </w:tc>
        <w:tc>
          <w:tcPr>
            <w:tcW w:w="1701" w:type="dxa"/>
            <w:vAlign w:val="center"/>
          </w:tcPr>
          <w:p w14:paraId="7A0D7856" w14:textId="77777777" w:rsidR="00454A29" w:rsidRDefault="00454A29">
            <w:pPr>
              <w:pStyle w:val="ConsPlusNormal"/>
              <w:jc w:val="center"/>
            </w:pPr>
            <w:r>
              <w:t>0,00</w:t>
            </w:r>
          </w:p>
        </w:tc>
        <w:tc>
          <w:tcPr>
            <w:tcW w:w="1701" w:type="dxa"/>
            <w:vAlign w:val="center"/>
          </w:tcPr>
          <w:p w14:paraId="71CE7692" w14:textId="77777777" w:rsidR="00454A29" w:rsidRDefault="00454A29">
            <w:pPr>
              <w:pStyle w:val="ConsPlusNormal"/>
              <w:jc w:val="center"/>
            </w:pPr>
            <w:r>
              <w:t>0,00</w:t>
            </w:r>
          </w:p>
        </w:tc>
        <w:tc>
          <w:tcPr>
            <w:tcW w:w="1701" w:type="dxa"/>
            <w:vAlign w:val="center"/>
          </w:tcPr>
          <w:p w14:paraId="18A7BEA5" w14:textId="77777777" w:rsidR="00454A29" w:rsidRDefault="00454A29">
            <w:pPr>
              <w:pStyle w:val="ConsPlusNormal"/>
              <w:jc w:val="center"/>
            </w:pPr>
            <w:r>
              <w:t>0,00</w:t>
            </w:r>
          </w:p>
        </w:tc>
        <w:tc>
          <w:tcPr>
            <w:tcW w:w="1701" w:type="dxa"/>
            <w:vAlign w:val="center"/>
          </w:tcPr>
          <w:p w14:paraId="7649804D" w14:textId="77777777" w:rsidR="00454A29" w:rsidRDefault="00454A29">
            <w:pPr>
              <w:pStyle w:val="ConsPlusNormal"/>
              <w:jc w:val="center"/>
            </w:pPr>
            <w:r>
              <w:t>0,00</w:t>
            </w:r>
          </w:p>
        </w:tc>
      </w:tr>
      <w:tr w:rsidR="00454A29" w14:paraId="6E52576F" w14:textId="77777777">
        <w:tc>
          <w:tcPr>
            <w:tcW w:w="964" w:type="dxa"/>
            <w:vMerge/>
          </w:tcPr>
          <w:p w14:paraId="3ADA503B" w14:textId="77777777" w:rsidR="00454A29" w:rsidRDefault="00454A29"/>
        </w:tc>
        <w:tc>
          <w:tcPr>
            <w:tcW w:w="2154" w:type="dxa"/>
            <w:vMerge/>
            <w:tcBorders>
              <w:top w:val="nil"/>
              <w:bottom w:val="nil"/>
            </w:tcBorders>
          </w:tcPr>
          <w:p w14:paraId="6444B761" w14:textId="77777777" w:rsidR="00454A29" w:rsidRDefault="00454A29"/>
        </w:tc>
        <w:tc>
          <w:tcPr>
            <w:tcW w:w="2154" w:type="dxa"/>
            <w:vMerge/>
            <w:tcBorders>
              <w:top w:val="nil"/>
              <w:bottom w:val="nil"/>
            </w:tcBorders>
          </w:tcPr>
          <w:p w14:paraId="3B3BFD2C" w14:textId="77777777" w:rsidR="00454A29" w:rsidRDefault="00454A29"/>
        </w:tc>
        <w:tc>
          <w:tcPr>
            <w:tcW w:w="2665" w:type="dxa"/>
            <w:vMerge/>
            <w:tcBorders>
              <w:top w:val="nil"/>
              <w:bottom w:val="nil"/>
            </w:tcBorders>
          </w:tcPr>
          <w:p w14:paraId="076C6145" w14:textId="77777777" w:rsidR="00454A29" w:rsidRDefault="00454A29"/>
        </w:tc>
        <w:tc>
          <w:tcPr>
            <w:tcW w:w="2665" w:type="dxa"/>
            <w:vMerge/>
            <w:tcBorders>
              <w:top w:val="nil"/>
              <w:bottom w:val="nil"/>
            </w:tcBorders>
          </w:tcPr>
          <w:p w14:paraId="63DC5733" w14:textId="77777777" w:rsidR="00454A29" w:rsidRDefault="00454A29"/>
        </w:tc>
        <w:tc>
          <w:tcPr>
            <w:tcW w:w="1928" w:type="dxa"/>
            <w:vMerge/>
          </w:tcPr>
          <w:p w14:paraId="170A3624" w14:textId="77777777" w:rsidR="00454A29" w:rsidRDefault="00454A29"/>
        </w:tc>
        <w:tc>
          <w:tcPr>
            <w:tcW w:w="1644" w:type="dxa"/>
            <w:vMerge/>
          </w:tcPr>
          <w:p w14:paraId="7DCBCB28" w14:textId="77777777" w:rsidR="00454A29" w:rsidRDefault="00454A29"/>
        </w:tc>
        <w:tc>
          <w:tcPr>
            <w:tcW w:w="2041" w:type="dxa"/>
            <w:vMerge/>
          </w:tcPr>
          <w:p w14:paraId="0E3DB3B2" w14:textId="77777777" w:rsidR="00454A29" w:rsidRDefault="00454A29"/>
        </w:tc>
        <w:tc>
          <w:tcPr>
            <w:tcW w:w="2098" w:type="dxa"/>
            <w:vAlign w:val="center"/>
          </w:tcPr>
          <w:p w14:paraId="7023785F" w14:textId="77777777" w:rsidR="00454A29" w:rsidRDefault="00454A29">
            <w:pPr>
              <w:pStyle w:val="ConsPlusNormal"/>
              <w:jc w:val="center"/>
            </w:pPr>
            <w:r>
              <w:t>Внебюджетные средства</w:t>
            </w:r>
          </w:p>
        </w:tc>
        <w:tc>
          <w:tcPr>
            <w:tcW w:w="1814" w:type="dxa"/>
            <w:vAlign w:val="center"/>
          </w:tcPr>
          <w:p w14:paraId="1BCDC402" w14:textId="77777777" w:rsidR="00454A29" w:rsidRDefault="00454A29">
            <w:pPr>
              <w:pStyle w:val="ConsPlusNormal"/>
              <w:jc w:val="center"/>
            </w:pPr>
            <w:r>
              <w:t>0,00</w:t>
            </w:r>
          </w:p>
        </w:tc>
        <w:tc>
          <w:tcPr>
            <w:tcW w:w="1701" w:type="dxa"/>
            <w:vAlign w:val="center"/>
          </w:tcPr>
          <w:p w14:paraId="3FE53EFE" w14:textId="77777777" w:rsidR="00454A29" w:rsidRDefault="00454A29">
            <w:pPr>
              <w:pStyle w:val="ConsPlusNormal"/>
              <w:jc w:val="center"/>
            </w:pPr>
            <w:r>
              <w:t>0,00</w:t>
            </w:r>
          </w:p>
        </w:tc>
        <w:tc>
          <w:tcPr>
            <w:tcW w:w="1701" w:type="dxa"/>
            <w:vAlign w:val="center"/>
          </w:tcPr>
          <w:p w14:paraId="58AE6DF0" w14:textId="77777777" w:rsidR="00454A29" w:rsidRDefault="00454A29">
            <w:pPr>
              <w:pStyle w:val="ConsPlusNormal"/>
              <w:jc w:val="center"/>
            </w:pPr>
            <w:r>
              <w:t>0,00</w:t>
            </w:r>
          </w:p>
        </w:tc>
        <w:tc>
          <w:tcPr>
            <w:tcW w:w="1701" w:type="dxa"/>
            <w:vAlign w:val="center"/>
          </w:tcPr>
          <w:p w14:paraId="36BC7DF5" w14:textId="77777777" w:rsidR="00454A29" w:rsidRDefault="00454A29">
            <w:pPr>
              <w:pStyle w:val="ConsPlusNormal"/>
              <w:jc w:val="center"/>
            </w:pPr>
            <w:r>
              <w:t>0,00</w:t>
            </w:r>
          </w:p>
        </w:tc>
        <w:tc>
          <w:tcPr>
            <w:tcW w:w="1701" w:type="dxa"/>
            <w:vAlign w:val="center"/>
          </w:tcPr>
          <w:p w14:paraId="7838FDD0" w14:textId="77777777" w:rsidR="00454A29" w:rsidRDefault="00454A29">
            <w:pPr>
              <w:pStyle w:val="ConsPlusNormal"/>
              <w:jc w:val="center"/>
            </w:pPr>
            <w:r>
              <w:t>0,00</w:t>
            </w:r>
          </w:p>
        </w:tc>
        <w:tc>
          <w:tcPr>
            <w:tcW w:w="1701" w:type="dxa"/>
            <w:vAlign w:val="center"/>
          </w:tcPr>
          <w:p w14:paraId="3D6DFE49" w14:textId="77777777" w:rsidR="00454A29" w:rsidRDefault="00454A29">
            <w:pPr>
              <w:pStyle w:val="ConsPlusNormal"/>
              <w:jc w:val="center"/>
            </w:pPr>
            <w:r>
              <w:t>0,00</w:t>
            </w:r>
          </w:p>
        </w:tc>
        <w:tc>
          <w:tcPr>
            <w:tcW w:w="1701" w:type="dxa"/>
            <w:vAlign w:val="center"/>
          </w:tcPr>
          <w:p w14:paraId="3FC11BBF" w14:textId="77777777" w:rsidR="00454A29" w:rsidRDefault="00454A29">
            <w:pPr>
              <w:pStyle w:val="ConsPlusNormal"/>
              <w:jc w:val="center"/>
            </w:pPr>
            <w:r>
              <w:t>0,00</w:t>
            </w:r>
          </w:p>
        </w:tc>
      </w:tr>
      <w:tr w:rsidR="00454A29" w14:paraId="20764DE9" w14:textId="77777777">
        <w:tc>
          <w:tcPr>
            <w:tcW w:w="964" w:type="dxa"/>
            <w:vMerge w:val="restart"/>
            <w:vAlign w:val="center"/>
          </w:tcPr>
          <w:p w14:paraId="67F1307D" w14:textId="77777777" w:rsidR="00454A29" w:rsidRDefault="00454A29">
            <w:pPr>
              <w:pStyle w:val="ConsPlusNormal"/>
              <w:jc w:val="center"/>
            </w:pPr>
            <w:r>
              <w:t>11.1.2.</w:t>
            </w:r>
          </w:p>
        </w:tc>
        <w:tc>
          <w:tcPr>
            <w:tcW w:w="2154" w:type="dxa"/>
            <w:vMerge w:val="restart"/>
            <w:tcBorders>
              <w:top w:val="nil"/>
              <w:bottom w:val="nil"/>
            </w:tcBorders>
            <w:vAlign w:val="center"/>
          </w:tcPr>
          <w:p w14:paraId="2ADE0C4B" w14:textId="77777777" w:rsidR="00454A29" w:rsidRDefault="00454A29">
            <w:pPr>
              <w:pStyle w:val="ConsPlusNormal"/>
            </w:pPr>
          </w:p>
        </w:tc>
        <w:tc>
          <w:tcPr>
            <w:tcW w:w="2154" w:type="dxa"/>
            <w:vMerge w:val="restart"/>
            <w:tcBorders>
              <w:top w:val="nil"/>
              <w:bottom w:val="nil"/>
            </w:tcBorders>
            <w:vAlign w:val="center"/>
          </w:tcPr>
          <w:p w14:paraId="238A6DC4" w14:textId="77777777" w:rsidR="00454A29" w:rsidRDefault="00454A29">
            <w:pPr>
              <w:pStyle w:val="ConsPlusNormal"/>
            </w:pPr>
          </w:p>
        </w:tc>
        <w:tc>
          <w:tcPr>
            <w:tcW w:w="2665" w:type="dxa"/>
            <w:vMerge w:val="restart"/>
            <w:tcBorders>
              <w:top w:val="nil"/>
              <w:bottom w:val="nil"/>
            </w:tcBorders>
            <w:vAlign w:val="center"/>
          </w:tcPr>
          <w:p w14:paraId="10A1CDD9" w14:textId="77777777" w:rsidR="00454A29" w:rsidRDefault="00454A29">
            <w:pPr>
              <w:pStyle w:val="ConsPlusNormal"/>
            </w:pPr>
          </w:p>
        </w:tc>
        <w:tc>
          <w:tcPr>
            <w:tcW w:w="2665" w:type="dxa"/>
            <w:vMerge w:val="restart"/>
            <w:tcBorders>
              <w:top w:val="nil"/>
              <w:bottom w:val="nil"/>
            </w:tcBorders>
            <w:vAlign w:val="center"/>
          </w:tcPr>
          <w:p w14:paraId="2A62C8E9" w14:textId="77777777" w:rsidR="00454A29" w:rsidRDefault="00454A29">
            <w:pPr>
              <w:pStyle w:val="ConsPlusNormal"/>
            </w:pPr>
          </w:p>
        </w:tc>
        <w:tc>
          <w:tcPr>
            <w:tcW w:w="1928" w:type="dxa"/>
            <w:vMerge w:val="restart"/>
            <w:vAlign w:val="center"/>
          </w:tcPr>
          <w:p w14:paraId="2AC26CA3" w14:textId="77777777" w:rsidR="00454A29" w:rsidRDefault="00454A29">
            <w:pPr>
              <w:pStyle w:val="ConsPlusNormal"/>
              <w:jc w:val="center"/>
            </w:pPr>
            <w:r>
              <w:t>ГО "город Якутск"</w:t>
            </w:r>
          </w:p>
        </w:tc>
        <w:tc>
          <w:tcPr>
            <w:tcW w:w="1644" w:type="dxa"/>
            <w:vMerge w:val="restart"/>
            <w:vAlign w:val="center"/>
          </w:tcPr>
          <w:p w14:paraId="7FCE6275" w14:textId="77777777" w:rsidR="00454A29" w:rsidRDefault="00454A29">
            <w:pPr>
              <w:pStyle w:val="ConsPlusNormal"/>
              <w:jc w:val="center"/>
            </w:pPr>
            <w:r>
              <w:t>г. Якутск</w:t>
            </w:r>
          </w:p>
        </w:tc>
        <w:tc>
          <w:tcPr>
            <w:tcW w:w="2041" w:type="dxa"/>
            <w:vMerge w:val="restart"/>
            <w:vAlign w:val="center"/>
          </w:tcPr>
          <w:p w14:paraId="2BA41A04" w14:textId="77777777" w:rsidR="00454A29" w:rsidRDefault="00454A29">
            <w:pPr>
              <w:pStyle w:val="ConsPlusNormal"/>
              <w:jc w:val="center"/>
            </w:pPr>
            <w:r>
              <w:t>Приобретение первого этажа в многоквартирном доме под "Детский сад на 80 мест в 203 мкр. г. Якутска"</w:t>
            </w:r>
          </w:p>
        </w:tc>
        <w:tc>
          <w:tcPr>
            <w:tcW w:w="2098" w:type="dxa"/>
            <w:vAlign w:val="center"/>
          </w:tcPr>
          <w:p w14:paraId="5186DA80" w14:textId="77777777" w:rsidR="00454A29" w:rsidRDefault="00454A29">
            <w:pPr>
              <w:pStyle w:val="ConsPlusNormal"/>
              <w:jc w:val="center"/>
            </w:pPr>
            <w:r>
              <w:t>Итого</w:t>
            </w:r>
          </w:p>
        </w:tc>
        <w:tc>
          <w:tcPr>
            <w:tcW w:w="1814" w:type="dxa"/>
            <w:vAlign w:val="center"/>
          </w:tcPr>
          <w:p w14:paraId="3D79528B" w14:textId="77777777" w:rsidR="00454A29" w:rsidRDefault="00454A29">
            <w:pPr>
              <w:pStyle w:val="ConsPlusNormal"/>
              <w:jc w:val="center"/>
            </w:pPr>
            <w:r>
              <w:t>0,00</w:t>
            </w:r>
          </w:p>
        </w:tc>
        <w:tc>
          <w:tcPr>
            <w:tcW w:w="1701" w:type="dxa"/>
            <w:vAlign w:val="center"/>
          </w:tcPr>
          <w:p w14:paraId="72606381" w14:textId="77777777" w:rsidR="00454A29" w:rsidRDefault="00454A29">
            <w:pPr>
              <w:pStyle w:val="ConsPlusNormal"/>
              <w:jc w:val="center"/>
            </w:pPr>
            <w:r>
              <w:t>0,00</w:t>
            </w:r>
          </w:p>
        </w:tc>
        <w:tc>
          <w:tcPr>
            <w:tcW w:w="1701" w:type="dxa"/>
            <w:vAlign w:val="center"/>
          </w:tcPr>
          <w:p w14:paraId="76D630DD" w14:textId="77777777" w:rsidR="00454A29" w:rsidRDefault="00454A29">
            <w:pPr>
              <w:pStyle w:val="ConsPlusNormal"/>
              <w:jc w:val="center"/>
            </w:pPr>
            <w:r>
              <w:t>0,00</w:t>
            </w:r>
          </w:p>
        </w:tc>
        <w:tc>
          <w:tcPr>
            <w:tcW w:w="1701" w:type="dxa"/>
            <w:vAlign w:val="center"/>
          </w:tcPr>
          <w:p w14:paraId="121D88CC" w14:textId="77777777" w:rsidR="00454A29" w:rsidRDefault="00454A29">
            <w:pPr>
              <w:pStyle w:val="ConsPlusNormal"/>
              <w:jc w:val="center"/>
            </w:pPr>
            <w:r>
              <w:t>0,00</w:t>
            </w:r>
          </w:p>
        </w:tc>
        <w:tc>
          <w:tcPr>
            <w:tcW w:w="1701" w:type="dxa"/>
            <w:vAlign w:val="center"/>
          </w:tcPr>
          <w:p w14:paraId="1215ACFD" w14:textId="77777777" w:rsidR="00454A29" w:rsidRDefault="00454A29">
            <w:pPr>
              <w:pStyle w:val="ConsPlusNormal"/>
              <w:jc w:val="center"/>
            </w:pPr>
            <w:r>
              <w:t>0,00</w:t>
            </w:r>
          </w:p>
        </w:tc>
        <w:tc>
          <w:tcPr>
            <w:tcW w:w="1701" w:type="dxa"/>
            <w:vAlign w:val="center"/>
          </w:tcPr>
          <w:p w14:paraId="649A2632" w14:textId="77777777" w:rsidR="00454A29" w:rsidRDefault="00454A29">
            <w:pPr>
              <w:pStyle w:val="ConsPlusNormal"/>
              <w:jc w:val="center"/>
            </w:pPr>
            <w:r>
              <w:t>0,00</w:t>
            </w:r>
          </w:p>
        </w:tc>
        <w:tc>
          <w:tcPr>
            <w:tcW w:w="1701" w:type="dxa"/>
            <w:vAlign w:val="center"/>
          </w:tcPr>
          <w:p w14:paraId="08B84687" w14:textId="77777777" w:rsidR="00454A29" w:rsidRDefault="00454A29">
            <w:pPr>
              <w:pStyle w:val="ConsPlusNormal"/>
              <w:jc w:val="center"/>
            </w:pPr>
            <w:r>
              <w:t>0,00</w:t>
            </w:r>
          </w:p>
        </w:tc>
      </w:tr>
      <w:tr w:rsidR="00454A29" w14:paraId="3CE5AA11" w14:textId="77777777">
        <w:tc>
          <w:tcPr>
            <w:tcW w:w="964" w:type="dxa"/>
            <w:vMerge/>
          </w:tcPr>
          <w:p w14:paraId="7597A534" w14:textId="77777777" w:rsidR="00454A29" w:rsidRDefault="00454A29"/>
        </w:tc>
        <w:tc>
          <w:tcPr>
            <w:tcW w:w="2154" w:type="dxa"/>
            <w:vMerge/>
            <w:tcBorders>
              <w:top w:val="nil"/>
              <w:bottom w:val="nil"/>
            </w:tcBorders>
          </w:tcPr>
          <w:p w14:paraId="55A9B99F" w14:textId="77777777" w:rsidR="00454A29" w:rsidRDefault="00454A29"/>
        </w:tc>
        <w:tc>
          <w:tcPr>
            <w:tcW w:w="2154" w:type="dxa"/>
            <w:vMerge/>
            <w:tcBorders>
              <w:top w:val="nil"/>
              <w:bottom w:val="nil"/>
            </w:tcBorders>
          </w:tcPr>
          <w:p w14:paraId="6B42DACE" w14:textId="77777777" w:rsidR="00454A29" w:rsidRDefault="00454A29"/>
        </w:tc>
        <w:tc>
          <w:tcPr>
            <w:tcW w:w="2665" w:type="dxa"/>
            <w:vMerge/>
            <w:tcBorders>
              <w:top w:val="nil"/>
              <w:bottom w:val="nil"/>
            </w:tcBorders>
          </w:tcPr>
          <w:p w14:paraId="7ED10D10" w14:textId="77777777" w:rsidR="00454A29" w:rsidRDefault="00454A29"/>
        </w:tc>
        <w:tc>
          <w:tcPr>
            <w:tcW w:w="2665" w:type="dxa"/>
            <w:vMerge/>
            <w:tcBorders>
              <w:top w:val="nil"/>
              <w:bottom w:val="nil"/>
            </w:tcBorders>
          </w:tcPr>
          <w:p w14:paraId="34EF254F" w14:textId="77777777" w:rsidR="00454A29" w:rsidRDefault="00454A29"/>
        </w:tc>
        <w:tc>
          <w:tcPr>
            <w:tcW w:w="1928" w:type="dxa"/>
            <w:vMerge/>
          </w:tcPr>
          <w:p w14:paraId="55772356" w14:textId="77777777" w:rsidR="00454A29" w:rsidRDefault="00454A29"/>
        </w:tc>
        <w:tc>
          <w:tcPr>
            <w:tcW w:w="1644" w:type="dxa"/>
            <w:vMerge/>
          </w:tcPr>
          <w:p w14:paraId="569379B3" w14:textId="77777777" w:rsidR="00454A29" w:rsidRDefault="00454A29"/>
        </w:tc>
        <w:tc>
          <w:tcPr>
            <w:tcW w:w="2041" w:type="dxa"/>
            <w:vMerge/>
          </w:tcPr>
          <w:p w14:paraId="72B0B199" w14:textId="77777777" w:rsidR="00454A29" w:rsidRDefault="00454A29"/>
        </w:tc>
        <w:tc>
          <w:tcPr>
            <w:tcW w:w="2098" w:type="dxa"/>
            <w:vAlign w:val="center"/>
          </w:tcPr>
          <w:p w14:paraId="7F9A382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A696737" w14:textId="77777777" w:rsidR="00454A29" w:rsidRDefault="00454A29">
            <w:pPr>
              <w:pStyle w:val="ConsPlusNormal"/>
              <w:jc w:val="center"/>
            </w:pPr>
            <w:r>
              <w:t>0,00</w:t>
            </w:r>
          </w:p>
        </w:tc>
        <w:tc>
          <w:tcPr>
            <w:tcW w:w="1701" w:type="dxa"/>
            <w:vAlign w:val="center"/>
          </w:tcPr>
          <w:p w14:paraId="18A99F98" w14:textId="77777777" w:rsidR="00454A29" w:rsidRDefault="00454A29">
            <w:pPr>
              <w:pStyle w:val="ConsPlusNormal"/>
              <w:jc w:val="center"/>
            </w:pPr>
            <w:r>
              <w:t>0,00</w:t>
            </w:r>
          </w:p>
        </w:tc>
        <w:tc>
          <w:tcPr>
            <w:tcW w:w="1701" w:type="dxa"/>
            <w:vAlign w:val="center"/>
          </w:tcPr>
          <w:p w14:paraId="3E5C524D" w14:textId="77777777" w:rsidR="00454A29" w:rsidRDefault="00454A29">
            <w:pPr>
              <w:pStyle w:val="ConsPlusNormal"/>
              <w:jc w:val="center"/>
            </w:pPr>
            <w:r>
              <w:t>0,00</w:t>
            </w:r>
          </w:p>
        </w:tc>
        <w:tc>
          <w:tcPr>
            <w:tcW w:w="1701" w:type="dxa"/>
            <w:vAlign w:val="center"/>
          </w:tcPr>
          <w:p w14:paraId="76CE23C5" w14:textId="77777777" w:rsidR="00454A29" w:rsidRDefault="00454A29">
            <w:pPr>
              <w:pStyle w:val="ConsPlusNormal"/>
              <w:jc w:val="center"/>
            </w:pPr>
            <w:r>
              <w:t>0,00</w:t>
            </w:r>
          </w:p>
        </w:tc>
        <w:tc>
          <w:tcPr>
            <w:tcW w:w="1701" w:type="dxa"/>
            <w:vAlign w:val="center"/>
          </w:tcPr>
          <w:p w14:paraId="5D3F2790" w14:textId="77777777" w:rsidR="00454A29" w:rsidRDefault="00454A29">
            <w:pPr>
              <w:pStyle w:val="ConsPlusNormal"/>
              <w:jc w:val="center"/>
            </w:pPr>
            <w:r>
              <w:t>0,00</w:t>
            </w:r>
          </w:p>
        </w:tc>
        <w:tc>
          <w:tcPr>
            <w:tcW w:w="1701" w:type="dxa"/>
            <w:vAlign w:val="center"/>
          </w:tcPr>
          <w:p w14:paraId="5ADDA7D6" w14:textId="77777777" w:rsidR="00454A29" w:rsidRDefault="00454A29">
            <w:pPr>
              <w:pStyle w:val="ConsPlusNormal"/>
              <w:jc w:val="center"/>
            </w:pPr>
            <w:r>
              <w:t>0,00</w:t>
            </w:r>
          </w:p>
        </w:tc>
        <w:tc>
          <w:tcPr>
            <w:tcW w:w="1701" w:type="dxa"/>
            <w:vAlign w:val="center"/>
          </w:tcPr>
          <w:p w14:paraId="047CA57F" w14:textId="77777777" w:rsidR="00454A29" w:rsidRDefault="00454A29">
            <w:pPr>
              <w:pStyle w:val="ConsPlusNormal"/>
              <w:jc w:val="center"/>
            </w:pPr>
            <w:r>
              <w:t>0,00</w:t>
            </w:r>
          </w:p>
        </w:tc>
      </w:tr>
      <w:tr w:rsidR="00454A29" w14:paraId="242C263F" w14:textId="77777777">
        <w:tc>
          <w:tcPr>
            <w:tcW w:w="964" w:type="dxa"/>
            <w:vMerge/>
          </w:tcPr>
          <w:p w14:paraId="51BA191A" w14:textId="77777777" w:rsidR="00454A29" w:rsidRDefault="00454A29"/>
        </w:tc>
        <w:tc>
          <w:tcPr>
            <w:tcW w:w="2154" w:type="dxa"/>
            <w:vMerge/>
            <w:tcBorders>
              <w:top w:val="nil"/>
              <w:bottom w:val="nil"/>
            </w:tcBorders>
          </w:tcPr>
          <w:p w14:paraId="6B61ECDC" w14:textId="77777777" w:rsidR="00454A29" w:rsidRDefault="00454A29"/>
        </w:tc>
        <w:tc>
          <w:tcPr>
            <w:tcW w:w="2154" w:type="dxa"/>
            <w:vMerge/>
            <w:tcBorders>
              <w:top w:val="nil"/>
              <w:bottom w:val="nil"/>
            </w:tcBorders>
          </w:tcPr>
          <w:p w14:paraId="26C89BC6" w14:textId="77777777" w:rsidR="00454A29" w:rsidRDefault="00454A29"/>
        </w:tc>
        <w:tc>
          <w:tcPr>
            <w:tcW w:w="2665" w:type="dxa"/>
            <w:vMerge/>
            <w:tcBorders>
              <w:top w:val="nil"/>
              <w:bottom w:val="nil"/>
            </w:tcBorders>
          </w:tcPr>
          <w:p w14:paraId="790CCB79" w14:textId="77777777" w:rsidR="00454A29" w:rsidRDefault="00454A29"/>
        </w:tc>
        <w:tc>
          <w:tcPr>
            <w:tcW w:w="2665" w:type="dxa"/>
            <w:vMerge/>
            <w:tcBorders>
              <w:top w:val="nil"/>
              <w:bottom w:val="nil"/>
            </w:tcBorders>
          </w:tcPr>
          <w:p w14:paraId="7AE6EB45" w14:textId="77777777" w:rsidR="00454A29" w:rsidRDefault="00454A29"/>
        </w:tc>
        <w:tc>
          <w:tcPr>
            <w:tcW w:w="1928" w:type="dxa"/>
            <w:vMerge/>
          </w:tcPr>
          <w:p w14:paraId="07DCC243" w14:textId="77777777" w:rsidR="00454A29" w:rsidRDefault="00454A29"/>
        </w:tc>
        <w:tc>
          <w:tcPr>
            <w:tcW w:w="1644" w:type="dxa"/>
            <w:vMerge/>
          </w:tcPr>
          <w:p w14:paraId="3B15321F" w14:textId="77777777" w:rsidR="00454A29" w:rsidRDefault="00454A29"/>
        </w:tc>
        <w:tc>
          <w:tcPr>
            <w:tcW w:w="2041" w:type="dxa"/>
            <w:vMerge/>
          </w:tcPr>
          <w:p w14:paraId="3730A86D" w14:textId="77777777" w:rsidR="00454A29" w:rsidRDefault="00454A29"/>
        </w:tc>
        <w:tc>
          <w:tcPr>
            <w:tcW w:w="2098" w:type="dxa"/>
            <w:vAlign w:val="center"/>
          </w:tcPr>
          <w:p w14:paraId="60BA3D48" w14:textId="77777777" w:rsidR="00454A29" w:rsidRDefault="00454A29">
            <w:pPr>
              <w:pStyle w:val="ConsPlusNormal"/>
              <w:jc w:val="center"/>
            </w:pPr>
            <w:r>
              <w:t>Федеральный бюджет</w:t>
            </w:r>
          </w:p>
        </w:tc>
        <w:tc>
          <w:tcPr>
            <w:tcW w:w="1814" w:type="dxa"/>
            <w:vAlign w:val="center"/>
          </w:tcPr>
          <w:p w14:paraId="63CDCB45" w14:textId="77777777" w:rsidR="00454A29" w:rsidRDefault="00454A29">
            <w:pPr>
              <w:pStyle w:val="ConsPlusNormal"/>
              <w:jc w:val="center"/>
            </w:pPr>
            <w:r>
              <w:t>0,00</w:t>
            </w:r>
          </w:p>
        </w:tc>
        <w:tc>
          <w:tcPr>
            <w:tcW w:w="1701" w:type="dxa"/>
            <w:vAlign w:val="center"/>
          </w:tcPr>
          <w:p w14:paraId="68FC0748" w14:textId="77777777" w:rsidR="00454A29" w:rsidRDefault="00454A29">
            <w:pPr>
              <w:pStyle w:val="ConsPlusNormal"/>
              <w:jc w:val="center"/>
            </w:pPr>
            <w:r>
              <w:t>0,00</w:t>
            </w:r>
          </w:p>
        </w:tc>
        <w:tc>
          <w:tcPr>
            <w:tcW w:w="1701" w:type="dxa"/>
            <w:vAlign w:val="center"/>
          </w:tcPr>
          <w:p w14:paraId="27B0409B" w14:textId="77777777" w:rsidR="00454A29" w:rsidRDefault="00454A29">
            <w:pPr>
              <w:pStyle w:val="ConsPlusNormal"/>
              <w:jc w:val="center"/>
            </w:pPr>
            <w:r>
              <w:t>0,00</w:t>
            </w:r>
          </w:p>
        </w:tc>
        <w:tc>
          <w:tcPr>
            <w:tcW w:w="1701" w:type="dxa"/>
            <w:vAlign w:val="center"/>
          </w:tcPr>
          <w:p w14:paraId="2FAB3FEB" w14:textId="77777777" w:rsidR="00454A29" w:rsidRDefault="00454A29">
            <w:pPr>
              <w:pStyle w:val="ConsPlusNormal"/>
              <w:jc w:val="center"/>
            </w:pPr>
            <w:r>
              <w:t>0,00</w:t>
            </w:r>
          </w:p>
        </w:tc>
        <w:tc>
          <w:tcPr>
            <w:tcW w:w="1701" w:type="dxa"/>
            <w:vAlign w:val="center"/>
          </w:tcPr>
          <w:p w14:paraId="57BFEA65" w14:textId="77777777" w:rsidR="00454A29" w:rsidRDefault="00454A29">
            <w:pPr>
              <w:pStyle w:val="ConsPlusNormal"/>
              <w:jc w:val="center"/>
            </w:pPr>
            <w:r>
              <w:t>0,00</w:t>
            </w:r>
          </w:p>
        </w:tc>
        <w:tc>
          <w:tcPr>
            <w:tcW w:w="1701" w:type="dxa"/>
            <w:vAlign w:val="center"/>
          </w:tcPr>
          <w:p w14:paraId="788FFE3A" w14:textId="77777777" w:rsidR="00454A29" w:rsidRDefault="00454A29">
            <w:pPr>
              <w:pStyle w:val="ConsPlusNormal"/>
              <w:jc w:val="center"/>
            </w:pPr>
            <w:r>
              <w:t>0,00</w:t>
            </w:r>
          </w:p>
        </w:tc>
        <w:tc>
          <w:tcPr>
            <w:tcW w:w="1701" w:type="dxa"/>
            <w:vAlign w:val="center"/>
          </w:tcPr>
          <w:p w14:paraId="4718F998" w14:textId="77777777" w:rsidR="00454A29" w:rsidRDefault="00454A29">
            <w:pPr>
              <w:pStyle w:val="ConsPlusNormal"/>
              <w:jc w:val="center"/>
            </w:pPr>
            <w:r>
              <w:t>0,00</w:t>
            </w:r>
          </w:p>
        </w:tc>
      </w:tr>
      <w:tr w:rsidR="00454A29" w14:paraId="6C62C18B" w14:textId="77777777">
        <w:tc>
          <w:tcPr>
            <w:tcW w:w="964" w:type="dxa"/>
            <w:vMerge/>
          </w:tcPr>
          <w:p w14:paraId="4CC3F330" w14:textId="77777777" w:rsidR="00454A29" w:rsidRDefault="00454A29"/>
        </w:tc>
        <w:tc>
          <w:tcPr>
            <w:tcW w:w="2154" w:type="dxa"/>
            <w:vMerge/>
            <w:tcBorders>
              <w:top w:val="nil"/>
              <w:bottom w:val="nil"/>
            </w:tcBorders>
          </w:tcPr>
          <w:p w14:paraId="14554A0A" w14:textId="77777777" w:rsidR="00454A29" w:rsidRDefault="00454A29"/>
        </w:tc>
        <w:tc>
          <w:tcPr>
            <w:tcW w:w="2154" w:type="dxa"/>
            <w:vMerge/>
            <w:tcBorders>
              <w:top w:val="nil"/>
              <w:bottom w:val="nil"/>
            </w:tcBorders>
          </w:tcPr>
          <w:p w14:paraId="27060DB1" w14:textId="77777777" w:rsidR="00454A29" w:rsidRDefault="00454A29"/>
        </w:tc>
        <w:tc>
          <w:tcPr>
            <w:tcW w:w="2665" w:type="dxa"/>
            <w:vMerge/>
            <w:tcBorders>
              <w:top w:val="nil"/>
              <w:bottom w:val="nil"/>
            </w:tcBorders>
          </w:tcPr>
          <w:p w14:paraId="2E4811A6" w14:textId="77777777" w:rsidR="00454A29" w:rsidRDefault="00454A29"/>
        </w:tc>
        <w:tc>
          <w:tcPr>
            <w:tcW w:w="2665" w:type="dxa"/>
            <w:vMerge/>
            <w:tcBorders>
              <w:top w:val="nil"/>
              <w:bottom w:val="nil"/>
            </w:tcBorders>
          </w:tcPr>
          <w:p w14:paraId="1DD9D8AF" w14:textId="77777777" w:rsidR="00454A29" w:rsidRDefault="00454A29"/>
        </w:tc>
        <w:tc>
          <w:tcPr>
            <w:tcW w:w="1928" w:type="dxa"/>
            <w:vMerge/>
          </w:tcPr>
          <w:p w14:paraId="495A8113" w14:textId="77777777" w:rsidR="00454A29" w:rsidRDefault="00454A29"/>
        </w:tc>
        <w:tc>
          <w:tcPr>
            <w:tcW w:w="1644" w:type="dxa"/>
            <w:vMerge/>
          </w:tcPr>
          <w:p w14:paraId="30168507" w14:textId="77777777" w:rsidR="00454A29" w:rsidRDefault="00454A29"/>
        </w:tc>
        <w:tc>
          <w:tcPr>
            <w:tcW w:w="2041" w:type="dxa"/>
            <w:vMerge/>
          </w:tcPr>
          <w:p w14:paraId="6AFA3030" w14:textId="77777777" w:rsidR="00454A29" w:rsidRDefault="00454A29"/>
        </w:tc>
        <w:tc>
          <w:tcPr>
            <w:tcW w:w="2098" w:type="dxa"/>
            <w:vAlign w:val="center"/>
          </w:tcPr>
          <w:p w14:paraId="1B1788B1" w14:textId="77777777" w:rsidR="00454A29" w:rsidRDefault="00454A29">
            <w:pPr>
              <w:pStyle w:val="ConsPlusNormal"/>
              <w:jc w:val="center"/>
            </w:pPr>
            <w:r>
              <w:t>Местные бюджеты</w:t>
            </w:r>
          </w:p>
        </w:tc>
        <w:tc>
          <w:tcPr>
            <w:tcW w:w="1814" w:type="dxa"/>
            <w:vAlign w:val="center"/>
          </w:tcPr>
          <w:p w14:paraId="70E3AD76" w14:textId="77777777" w:rsidR="00454A29" w:rsidRDefault="00454A29">
            <w:pPr>
              <w:pStyle w:val="ConsPlusNormal"/>
              <w:jc w:val="center"/>
            </w:pPr>
            <w:r>
              <w:t>0,00</w:t>
            </w:r>
          </w:p>
        </w:tc>
        <w:tc>
          <w:tcPr>
            <w:tcW w:w="1701" w:type="dxa"/>
            <w:vAlign w:val="center"/>
          </w:tcPr>
          <w:p w14:paraId="69828CCA" w14:textId="77777777" w:rsidR="00454A29" w:rsidRDefault="00454A29">
            <w:pPr>
              <w:pStyle w:val="ConsPlusNormal"/>
              <w:jc w:val="center"/>
            </w:pPr>
            <w:r>
              <w:t>0,00</w:t>
            </w:r>
          </w:p>
        </w:tc>
        <w:tc>
          <w:tcPr>
            <w:tcW w:w="1701" w:type="dxa"/>
            <w:vAlign w:val="center"/>
          </w:tcPr>
          <w:p w14:paraId="50600436" w14:textId="77777777" w:rsidR="00454A29" w:rsidRDefault="00454A29">
            <w:pPr>
              <w:pStyle w:val="ConsPlusNormal"/>
              <w:jc w:val="center"/>
            </w:pPr>
            <w:r>
              <w:t>0,00</w:t>
            </w:r>
          </w:p>
        </w:tc>
        <w:tc>
          <w:tcPr>
            <w:tcW w:w="1701" w:type="dxa"/>
            <w:vAlign w:val="center"/>
          </w:tcPr>
          <w:p w14:paraId="0E8E7BDD" w14:textId="77777777" w:rsidR="00454A29" w:rsidRDefault="00454A29">
            <w:pPr>
              <w:pStyle w:val="ConsPlusNormal"/>
              <w:jc w:val="center"/>
            </w:pPr>
            <w:r>
              <w:t>0,00</w:t>
            </w:r>
          </w:p>
        </w:tc>
        <w:tc>
          <w:tcPr>
            <w:tcW w:w="1701" w:type="dxa"/>
            <w:vAlign w:val="center"/>
          </w:tcPr>
          <w:p w14:paraId="0B328483" w14:textId="77777777" w:rsidR="00454A29" w:rsidRDefault="00454A29">
            <w:pPr>
              <w:pStyle w:val="ConsPlusNormal"/>
              <w:jc w:val="center"/>
            </w:pPr>
            <w:r>
              <w:t>0,00</w:t>
            </w:r>
          </w:p>
        </w:tc>
        <w:tc>
          <w:tcPr>
            <w:tcW w:w="1701" w:type="dxa"/>
            <w:vAlign w:val="center"/>
          </w:tcPr>
          <w:p w14:paraId="2C12440C" w14:textId="77777777" w:rsidR="00454A29" w:rsidRDefault="00454A29">
            <w:pPr>
              <w:pStyle w:val="ConsPlusNormal"/>
              <w:jc w:val="center"/>
            </w:pPr>
            <w:r>
              <w:t>0,00</w:t>
            </w:r>
          </w:p>
        </w:tc>
        <w:tc>
          <w:tcPr>
            <w:tcW w:w="1701" w:type="dxa"/>
            <w:vAlign w:val="center"/>
          </w:tcPr>
          <w:p w14:paraId="53C94B83" w14:textId="77777777" w:rsidR="00454A29" w:rsidRDefault="00454A29">
            <w:pPr>
              <w:pStyle w:val="ConsPlusNormal"/>
              <w:jc w:val="center"/>
            </w:pPr>
            <w:r>
              <w:t>0,00</w:t>
            </w:r>
          </w:p>
        </w:tc>
      </w:tr>
      <w:tr w:rsidR="00454A29" w14:paraId="30F04960" w14:textId="77777777">
        <w:tc>
          <w:tcPr>
            <w:tcW w:w="964" w:type="dxa"/>
            <w:vMerge/>
          </w:tcPr>
          <w:p w14:paraId="23A7F359" w14:textId="77777777" w:rsidR="00454A29" w:rsidRDefault="00454A29"/>
        </w:tc>
        <w:tc>
          <w:tcPr>
            <w:tcW w:w="2154" w:type="dxa"/>
            <w:vMerge/>
            <w:tcBorders>
              <w:top w:val="nil"/>
              <w:bottom w:val="nil"/>
            </w:tcBorders>
          </w:tcPr>
          <w:p w14:paraId="7D2F6EED" w14:textId="77777777" w:rsidR="00454A29" w:rsidRDefault="00454A29"/>
        </w:tc>
        <w:tc>
          <w:tcPr>
            <w:tcW w:w="2154" w:type="dxa"/>
            <w:vMerge/>
            <w:tcBorders>
              <w:top w:val="nil"/>
              <w:bottom w:val="nil"/>
            </w:tcBorders>
          </w:tcPr>
          <w:p w14:paraId="1FBF72E2" w14:textId="77777777" w:rsidR="00454A29" w:rsidRDefault="00454A29"/>
        </w:tc>
        <w:tc>
          <w:tcPr>
            <w:tcW w:w="2665" w:type="dxa"/>
            <w:vMerge/>
            <w:tcBorders>
              <w:top w:val="nil"/>
              <w:bottom w:val="nil"/>
            </w:tcBorders>
          </w:tcPr>
          <w:p w14:paraId="0EA71A73" w14:textId="77777777" w:rsidR="00454A29" w:rsidRDefault="00454A29"/>
        </w:tc>
        <w:tc>
          <w:tcPr>
            <w:tcW w:w="2665" w:type="dxa"/>
            <w:vMerge/>
            <w:tcBorders>
              <w:top w:val="nil"/>
              <w:bottom w:val="nil"/>
            </w:tcBorders>
          </w:tcPr>
          <w:p w14:paraId="3BAE7928" w14:textId="77777777" w:rsidR="00454A29" w:rsidRDefault="00454A29"/>
        </w:tc>
        <w:tc>
          <w:tcPr>
            <w:tcW w:w="1928" w:type="dxa"/>
            <w:vMerge/>
          </w:tcPr>
          <w:p w14:paraId="2F6AC308" w14:textId="77777777" w:rsidR="00454A29" w:rsidRDefault="00454A29"/>
        </w:tc>
        <w:tc>
          <w:tcPr>
            <w:tcW w:w="1644" w:type="dxa"/>
            <w:vMerge/>
          </w:tcPr>
          <w:p w14:paraId="2DC8D908" w14:textId="77777777" w:rsidR="00454A29" w:rsidRDefault="00454A29"/>
        </w:tc>
        <w:tc>
          <w:tcPr>
            <w:tcW w:w="2041" w:type="dxa"/>
            <w:vMerge/>
          </w:tcPr>
          <w:p w14:paraId="0D3ADA8E" w14:textId="77777777" w:rsidR="00454A29" w:rsidRDefault="00454A29"/>
        </w:tc>
        <w:tc>
          <w:tcPr>
            <w:tcW w:w="2098" w:type="dxa"/>
            <w:vAlign w:val="center"/>
          </w:tcPr>
          <w:p w14:paraId="25DF3A7A" w14:textId="77777777" w:rsidR="00454A29" w:rsidRDefault="00454A29">
            <w:pPr>
              <w:pStyle w:val="ConsPlusNormal"/>
              <w:jc w:val="center"/>
            </w:pPr>
            <w:r>
              <w:t>Внебюджетные средства</w:t>
            </w:r>
          </w:p>
        </w:tc>
        <w:tc>
          <w:tcPr>
            <w:tcW w:w="1814" w:type="dxa"/>
            <w:vAlign w:val="center"/>
          </w:tcPr>
          <w:p w14:paraId="7FD31955" w14:textId="77777777" w:rsidR="00454A29" w:rsidRDefault="00454A29">
            <w:pPr>
              <w:pStyle w:val="ConsPlusNormal"/>
              <w:jc w:val="center"/>
            </w:pPr>
            <w:r>
              <w:t>0,00</w:t>
            </w:r>
          </w:p>
        </w:tc>
        <w:tc>
          <w:tcPr>
            <w:tcW w:w="1701" w:type="dxa"/>
            <w:vAlign w:val="center"/>
          </w:tcPr>
          <w:p w14:paraId="607FC8DD" w14:textId="77777777" w:rsidR="00454A29" w:rsidRDefault="00454A29">
            <w:pPr>
              <w:pStyle w:val="ConsPlusNormal"/>
              <w:jc w:val="center"/>
            </w:pPr>
            <w:r>
              <w:t>0,00</w:t>
            </w:r>
          </w:p>
        </w:tc>
        <w:tc>
          <w:tcPr>
            <w:tcW w:w="1701" w:type="dxa"/>
            <w:vAlign w:val="center"/>
          </w:tcPr>
          <w:p w14:paraId="2149B136" w14:textId="77777777" w:rsidR="00454A29" w:rsidRDefault="00454A29">
            <w:pPr>
              <w:pStyle w:val="ConsPlusNormal"/>
              <w:jc w:val="center"/>
            </w:pPr>
            <w:r>
              <w:t>0,00</w:t>
            </w:r>
          </w:p>
        </w:tc>
        <w:tc>
          <w:tcPr>
            <w:tcW w:w="1701" w:type="dxa"/>
            <w:vAlign w:val="center"/>
          </w:tcPr>
          <w:p w14:paraId="23201FD0" w14:textId="77777777" w:rsidR="00454A29" w:rsidRDefault="00454A29">
            <w:pPr>
              <w:pStyle w:val="ConsPlusNormal"/>
              <w:jc w:val="center"/>
            </w:pPr>
            <w:r>
              <w:t>0,00</w:t>
            </w:r>
          </w:p>
        </w:tc>
        <w:tc>
          <w:tcPr>
            <w:tcW w:w="1701" w:type="dxa"/>
            <w:vAlign w:val="center"/>
          </w:tcPr>
          <w:p w14:paraId="22713512" w14:textId="77777777" w:rsidR="00454A29" w:rsidRDefault="00454A29">
            <w:pPr>
              <w:pStyle w:val="ConsPlusNormal"/>
              <w:jc w:val="center"/>
            </w:pPr>
            <w:r>
              <w:t>0,00</w:t>
            </w:r>
          </w:p>
        </w:tc>
        <w:tc>
          <w:tcPr>
            <w:tcW w:w="1701" w:type="dxa"/>
            <w:vAlign w:val="center"/>
          </w:tcPr>
          <w:p w14:paraId="6C0DCA74" w14:textId="77777777" w:rsidR="00454A29" w:rsidRDefault="00454A29">
            <w:pPr>
              <w:pStyle w:val="ConsPlusNormal"/>
              <w:jc w:val="center"/>
            </w:pPr>
            <w:r>
              <w:t>0,00</w:t>
            </w:r>
          </w:p>
        </w:tc>
        <w:tc>
          <w:tcPr>
            <w:tcW w:w="1701" w:type="dxa"/>
            <w:vAlign w:val="center"/>
          </w:tcPr>
          <w:p w14:paraId="681CB8F4" w14:textId="77777777" w:rsidR="00454A29" w:rsidRDefault="00454A29">
            <w:pPr>
              <w:pStyle w:val="ConsPlusNormal"/>
              <w:jc w:val="center"/>
            </w:pPr>
            <w:r>
              <w:t>0,00</w:t>
            </w:r>
          </w:p>
        </w:tc>
      </w:tr>
      <w:tr w:rsidR="00454A29" w14:paraId="0EEFCE2A" w14:textId="77777777">
        <w:tc>
          <w:tcPr>
            <w:tcW w:w="964" w:type="dxa"/>
            <w:vMerge w:val="restart"/>
            <w:vAlign w:val="center"/>
          </w:tcPr>
          <w:p w14:paraId="0D3BAE76" w14:textId="77777777" w:rsidR="00454A29" w:rsidRDefault="00454A29">
            <w:pPr>
              <w:pStyle w:val="ConsPlusNormal"/>
              <w:jc w:val="center"/>
            </w:pPr>
            <w:r>
              <w:t>11.1.3.</w:t>
            </w:r>
          </w:p>
        </w:tc>
        <w:tc>
          <w:tcPr>
            <w:tcW w:w="2154" w:type="dxa"/>
            <w:vMerge w:val="restart"/>
            <w:tcBorders>
              <w:top w:val="nil"/>
              <w:bottom w:val="nil"/>
            </w:tcBorders>
            <w:vAlign w:val="center"/>
          </w:tcPr>
          <w:p w14:paraId="45A09C64" w14:textId="77777777" w:rsidR="00454A29" w:rsidRDefault="00454A29">
            <w:pPr>
              <w:pStyle w:val="ConsPlusNormal"/>
            </w:pPr>
          </w:p>
        </w:tc>
        <w:tc>
          <w:tcPr>
            <w:tcW w:w="2154" w:type="dxa"/>
            <w:vMerge w:val="restart"/>
            <w:tcBorders>
              <w:top w:val="nil"/>
              <w:bottom w:val="nil"/>
            </w:tcBorders>
            <w:vAlign w:val="center"/>
          </w:tcPr>
          <w:p w14:paraId="3D9C72A8" w14:textId="77777777" w:rsidR="00454A29" w:rsidRDefault="00454A29">
            <w:pPr>
              <w:pStyle w:val="ConsPlusNormal"/>
            </w:pPr>
          </w:p>
        </w:tc>
        <w:tc>
          <w:tcPr>
            <w:tcW w:w="2665" w:type="dxa"/>
            <w:vMerge w:val="restart"/>
            <w:tcBorders>
              <w:top w:val="nil"/>
              <w:bottom w:val="nil"/>
            </w:tcBorders>
            <w:vAlign w:val="center"/>
          </w:tcPr>
          <w:p w14:paraId="35E77810" w14:textId="77777777" w:rsidR="00454A29" w:rsidRDefault="00454A29">
            <w:pPr>
              <w:pStyle w:val="ConsPlusNormal"/>
            </w:pPr>
          </w:p>
        </w:tc>
        <w:tc>
          <w:tcPr>
            <w:tcW w:w="2665" w:type="dxa"/>
            <w:vMerge w:val="restart"/>
            <w:tcBorders>
              <w:top w:val="nil"/>
              <w:bottom w:val="nil"/>
            </w:tcBorders>
            <w:vAlign w:val="center"/>
          </w:tcPr>
          <w:p w14:paraId="0BF5E046" w14:textId="77777777" w:rsidR="00454A29" w:rsidRDefault="00454A29">
            <w:pPr>
              <w:pStyle w:val="ConsPlusNormal"/>
            </w:pPr>
          </w:p>
        </w:tc>
        <w:tc>
          <w:tcPr>
            <w:tcW w:w="1928" w:type="dxa"/>
            <w:vMerge w:val="restart"/>
            <w:vAlign w:val="center"/>
          </w:tcPr>
          <w:p w14:paraId="72A98477" w14:textId="77777777" w:rsidR="00454A29" w:rsidRDefault="00454A29">
            <w:pPr>
              <w:pStyle w:val="ConsPlusNormal"/>
              <w:jc w:val="center"/>
            </w:pPr>
            <w:r>
              <w:t>ГО "город Якутск"</w:t>
            </w:r>
          </w:p>
        </w:tc>
        <w:tc>
          <w:tcPr>
            <w:tcW w:w="1644" w:type="dxa"/>
            <w:vMerge w:val="restart"/>
            <w:vAlign w:val="center"/>
          </w:tcPr>
          <w:p w14:paraId="6C4BBB6B" w14:textId="77777777" w:rsidR="00454A29" w:rsidRDefault="00454A29">
            <w:pPr>
              <w:pStyle w:val="ConsPlusNormal"/>
              <w:jc w:val="center"/>
            </w:pPr>
            <w:r>
              <w:t>г. Якутск</w:t>
            </w:r>
          </w:p>
        </w:tc>
        <w:tc>
          <w:tcPr>
            <w:tcW w:w="2041" w:type="dxa"/>
            <w:vMerge w:val="restart"/>
            <w:vAlign w:val="center"/>
          </w:tcPr>
          <w:p w14:paraId="3061F12E" w14:textId="77777777" w:rsidR="00454A29" w:rsidRDefault="00454A29">
            <w:pPr>
              <w:pStyle w:val="ConsPlusNormal"/>
              <w:jc w:val="center"/>
            </w:pPr>
            <w:r>
              <w:t>Приобретение первого этажа в многоквартирном доме по ул. Халтурина, 22/2, г. Якутска под группы детского сада - ясли</w:t>
            </w:r>
          </w:p>
        </w:tc>
        <w:tc>
          <w:tcPr>
            <w:tcW w:w="2098" w:type="dxa"/>
            <w:vAlign w:val="center"/>
          </w:tcPr>
          <w:p w14:paraId="386E4E8C" w14:textId="77777777" w:rsidR="00454A29" w:rsidRDefault="00454A29">
            <w:pPr>
              <w:pStyle w:val="ConsPlusNormal"/>
              <w:jc w:val="center"/>
            </w:pPr>
            <w:r>
              <w:t>Итого</w:t>
            </w:r>
          </w:p>
        </w:tc>
        <w:tc>
          <w:tcPr>
            <w:tcW w:w="1814" w:type="dxa"/>
            <w:vAlign w:val="center"/>
          </w:tcPr>
          <w:p w14:paraId="7AC82CB8" w14:textId="77777777" w:rsidR="00454A29" w:rsidRDefault="00454A29">
            <w:pPr>
              <w:pStyle w:val="ConsPlusNormal"/>
              <w:jc w:val="center"/>
            </w:pPr>
            <w:r>
              <w:t>0,00</w:t>
            </w:r>
          </w:p>
        </w:tc>
        <w:tc>
          <w:tcPr>
            <w:tcW w:w="1701" w:type="dxa"/>
            <w:vAlign w:val="center"/>
          </w:tcPr>
          <w:p w14:paraId="6C688334" w14:textId="77777777" w:rsidR="00454A29" w:rsidRDefault="00454A29">
            <w:pPr>
              <w:pStyle w:val="ConsPlusNormal"/>
              <w:jc w:val="center"/>
            </w:pPr>
            <w:r>
              <w:t>0,00</w:t>
            </w:r>
          </w:p>
        </w:tc>
        <w:tc>
          <w:tcPr>
            <w:tcW w:w="1701" w:type="dxa"/>
            <w:vAlign w:val="center"/>
          </w:tcPr>
          <w:p w14:paraId="007E658B" w14:textId="77777777" w:rsidR="00454A29" w:rsidRDefault="00454A29">
            <w:pPr>
              <w:pStyle w:val="ConsPlusNormal"/>
              <w:jc w:val="center"/>
            </w:pPr>
            <w:r>
              <w:t>0,00</w:t>
            </w:r>
          </w:p>
        </w:tc>
        <w:tc>
          <w:tcPr>
            <w:tcW w:w="1701" w:type="dxa"/>
            <w:vAlign w:val="center"/>
          </w:tcPr>
          <w:p w14:paraId="0C0A3E85" w14:textId="77777777" w:rsidR="00454A29" w:rsidRDefault="00454A29">
            <w:pPr>
              <w:pStyle w:val="ConsPlusNormal"/>
              <w:jc w:val="center"/>
            </w:pPr>
            <w:r>
              <w:t>0,00</w:t>
            </w:r>
          </w:p>
        </w:tc>
        <w:tc>
          <w:tcPr>
            <w:tcW w:w="1701" w:type="dxa"/>
            <w:vAlign w:val="center"/>
          </w:tcPr>
          <w:p w14:paraId="000D3090" w14:textId="77777777" w:rsidR="00454A29" w:rsidRDefault="00454A29">
            <w:pPr>
              <w:pStyle w:val="ConsPlusNormal"/>
              <w:jc w:val="center"/>
            </w:pPr>
            <w:r>
              <w:t>0,00</w:t>
            </w:r>
          </w:p>
        </w:tc>
        <w:tc>
          <w:tcPr>
            <w:tcW w:w="1701" w:type="dxa"/>
            <w:vAlign w:val="center"/>
          </w:tcPr>
          <w:p w14:paraId="150CC4CB" w14:textId="77777777" w:rsidR="00454A29" w:rsidRDefault="00454A29">
            <w:pPr>
              <w:pStyle w:val="ConsPlusNormal"/>
              <w:jc w:val="center"/>
            </w:pPr>
            <w:r>
              <w:t>0,00</w:t>
            </w:r>
          </w:p>
        </w:tc>
        <w:tc>
          <w:tcPr>
            <w:tcW w:w="1701" w:type="dxa"/>
            <w:vAlign w:val="center"/>
          </w:tcPr>
          <w:p w14:paraId="25E64B9F" w14:textId="77777777" w:rsidR="00454A29" w:rsidRDefault="00454A29">
            <w:pPr>
              <w:pStyle w:val="ConsPlusNormal"/>
              <w:jc w:val="center"/>
            </w:pPr>
            <w:r>
              <w:t>0,00</w:t>
            </w:r>
          </w:p>
        </w:tc>
      </w:tr>
      <w:tr w:rsidR="00454A29" w14:paraId="303571C3" w14:textId="77777777">
        <w:tc>
          <w:tcPr>
            <w:tcW w:w="964" w:type="dxa"/>
            <w:vMerge/>
          </w:tcPr>
          <w:p w14:paraId="20C4DE2D" w14:textId="77777777" w:rsidR="00454A29" w:rsidRDefault="00454A29"/>
        </w:tc>
        <w:tc>
          <w:tcPr>
            <w:tcW w:w="2154" w:type="dxa"/>
            <w:vMerge/>
            <w:tcBorders>
              <w:top w:val="nil"/>
              <w:bottom w:val="nil"/>
            </w:tcBorders>
          </w:tcPr>
          <w:p w14:paraId="3B8C31AD" w14:textId="77777777" w:rsidR="00454A29" w:rsidRDefault="00454A29"/>
        </w:tc>
        <w:tc>
          <w:tcPr>
            <w:tcW w:w="2154" w:type="dxa"/>
            <w:vMerge/>
            <w:tcBorders>
              <w:top w:val="nil"/>
              <w:bottom w:val="nil"/>
            </w:tcBorders>
          </w:tcPr>
          <w:p w14:paraId="0C5A7EB6" w14:textId="77777777" w:rsidR="00454A29" w:rsidRDefault="00454A29"/>
        </w:tc>
        <w:tc>
          <w:tcPr>
            <w:tcW w:w="2665" w:type="dxa"/>
            <w:vMerge/>
            <w:tcBorders>
              <w:top w:val="nil"/>
              <w:bottom w:val="nil"/>
            </w:tcBorders>
          </w:tcPr>
          <w:p w14:paraId="06BBBCD3" w14:textId="77777777" w:rsidR="00454A29" w:rsidRDefault="00454A29"/>
        </w:tc>
        <w:tc>
          <w:tcPr>
            <w:tcW w:w="2665" w:type="dxa"/>
            <w:vMerge/>
            <w:tcBorders>
              <w:top w:val="nil"/>
              <w:bottom w:val="nil"/>
            </w:tcBorders>
          </w:tcPr>
          <w:p w14:paraId="6B47A0AC" w14:textId="77777777" w:rsidR="00454A29" w:rsidRDefault="00454A29"/>
        </w:tc>
        <w:tc>
          <w:tcPr>
            <w:tcW w:w="1928" w:type="dxa"/>
            <w:vMerge/>
          </w:tcPr>
          <w:p w14:paraId="35EBE544" w14:textId="77777777" w:rsidR="00454A29" w:rsidRDefault="00454A29"/>
        </w:tc>
        <w:tc>
          <w:tcPr>
            <w:tcW w:w="1644" w:type="dxa"/>
            <w:vMerge/>
          </w:tcPr>
          <w:p w14:paraId="35C72211" w14:textId="77777777" w:rsidR="00454A29" w:rsidRDefault="00454A29"/>
        </w:tc>
        <w:tc>
          <w:tcPr>
            <w:tcW w:w="2041" w:type="dxa"/>
            <w:vMerge/>
          </w:tcPr>
          <w:p w14:paraId="3372C124" w14:textId="77777777" w:rsidR="00454A29" w:rsidRDefault="00454A29"/>
        </w:tc>
        <w:tc>
          <w:tcPr>
            <w:tcW w:w="2098" w:type="dxa"/>
            <w:vAlign w:val="center"/>
          </w:tcPr>
          <w:p w14:paraId="5468492F"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FCC7860" w14:textId="77777777" w:rsidR="00454A29" w:rsidRDefault="00454A29">
            <w:pPr>
              <w:pStyle w:val="ConsPlusNormal"/>
              <w:jc w:val="center"/>
            </w:pPr>
            <w:r>
              <w:t>0,00</w:t>
            </w:r>
          </w:p>
        </w:tc>
        <w:tc>
          <w:tcPr>
            <w:tcW w:w="1701" w:type="dxa"/>
            <w:vAlign w:val="center"/>
          </w:tcPr>
          <w:p w14:paraId="2232CEB9" w14:textId="77777777" w:rsidR="00454A29" w:rsidRDefault="00454A29">
            <w:pPr>
              <w:pStyle w:val="ConsPlusNormal"/>
              <w:jc w:val="center"/>
            </w:pPr>
            <w:r>
              <w:t>0,00</w:t>
            </w:r>
          </w:p>
        </w:tc>
        <w:tc>
          <w:tcPr>
            <w:tcW w:w="1701" w:type="dxa"/>
            <w:vAlign w:val="center"/>
          </w:tcPr>
          <w:p w14:paraId="12314C80" w14:textId="77777777" w:rsidR="00454A29" w:rsidRDefault="00454A29">
            <w:pPr>
              <w:pStyle w:val="ConsPlusNormal"/>
              <w:jc w:val="center"/>
            </w:pPr>
            <w:r>
              <w:t>0,00</w:t>
            </w:r>
          </w:p>
        </w:tc>
        <w:tc>
          <w:tcPr>
            <w:tcW w:w="1701" w:type="dxa"/>
            <w:vAlign w:val="center"/>
          </w:tcPr>
          <w:p w14:paraId="0850944F" w14:textId="77777777" w:rsidR="00454A29" w:rsidRDefault="00454A29">
            <w:pPr>
              <w:pStyle w:val="ConsPlusNormal"/>
              <w:jc w:val="center"/>
            </w:pPr>
            <w:r>
              <w:t>0,00</w:t>
            </w:r>
          </w:p>
        </w:tc>
        <w:tc>
          <w:tcPr>
            <w:tcW w:w="1701" w:type="dxa"/>
            <w:vAlign w:val="center"/>
          </w:tcPr>
          <w:p w14:paraId="16564AF5" w14:textId="77777777" w:rsidR="00454A29" w:rsidRDefault="00454A29">
            <w:pPr>
              <w:pStyle w:val="ConsPlusNormal"/>
              <w:jc w:val="center"/>
            </w:pPr>
            <w:r>
              <w:t>0,00</w:t>
            </w:r>
          </w:p>
        </w:tc>
        <w:tc>
          <w:tcPr>
            <w:tcW w:w="1701" w:type="dxa"/>
            <w:vAlign w:val="center"/>
          </w:tcPr>
          <w:p w14:paraId="07864B96" w14:textId="77777777" w:rsidR="00454A29" w:rsidRDefault="00454A29">
            <w:pPr>
              <w:pStyle w:val="ConsPlusNormal"/>
              <w:jc w:val="center"/>
            </w:pPr>
            <w:r>
              <w:t>0,00</w:t>
            </w:r>
          </w:p>
        </w:tc>
        <w:tc>
          <w:tcPr>
            <w:tcW w:w="1701" w:type="dxa"/>
            <w:vAlign w:val="center"/>
          </w:tcPr>
          <w:p w14:paraId="460E5DE8" w14:textId="77777777" w:rsidR="00454A29" w:rsidRDefault="00454A29">
            <w:pPr>
              <w:pStyle w:val="ConsPlusNormal"/>
              <w:jc w:val="center"/>
            </w:pPr>
            <w:r>
              <w:t>0,00</w:t>
            </w:r>
          </w:p>
        </w:tc>
      </w:tr>
      <w:tr w:rsidR="00454A29" w14:paraId="24BECD55" w14:textId="77777777">
        <w:tc>
          <w:tcPr>
            <w:tcW w:w="964" w:type="dxa"/>
            <w:vMerge/>
          </w:tcPr>
          <w:p w14:paraId="0D5A0F93" w14:textId="77777777" w:rsidR="00454A29" w:rsidRDefault="00454A29"/>
        </w:tc>
        <w:tc>
          <w:tcPr>
            <w:tcW w:w="2154" w:type="dxa"/>
            <w:vMerge/>
            <w:tcBorders>
              <w:top w:val="nil"/>
              <w:bottom w:val="nil"/>
            </w:tcBorders>
          </w:tcPr>
          <w:p w14:paraId="531423B0" w14:textId="77777777" w:rsidR="00454A29" w:rsidRDefault="00454A29"/>
        </w:tc>
        <w:tc>
          <w:tcPr>
            <w:tcW w:w="2154" w:type="dxa"/>
            <w:vMerge/>
            <w:tcBorders>
              <w:top w:val="nil"/>
              <w:bottom w:val="nil"/>
            </w:tcBorders>
          </w:tcPr>
          <w:p w14:paraId="46A9F400" w14:textId="77777777" w:rsidR="00454A29" w:rsidRDefault="00454A29"/>
        </w:tc>
        <w:tc>
          <w:tcPr>
            <w:tcW w:w="2665" w:type="dxa"/>
            <w:vMerge/>
            <w:tcBorders>
              <w:top w:val="nil"/>
              <w:bottom w:val="nil"/>
            </w:tcBorders>
          </w:tcPr>
          <w:p w14:paraId="01026E68" w14:textId="77777777" w:rsidR="00454A29" w:rsidRDefault="00454A29"/>
        </w:tc>
        <w:tc>
          <w:tcPr>
            <w:tcW w:w="2665" w:type="dxa"/>
            <w:vMerge/>
            <w:tcBorders>
              <w:top w:val="nil"/>
              <w:bottom w:val="nil"/>
            </w:tcBorders>
          </w:tcPr>
          <w:p w14:paraId="55524D6B" w14:textId="77777777" w:rsidR="00454A29" w:rsidRDefault="00454A29"/>
        </w:tc>
        <w:tc>
          <w:tcPr>
            <w:tcW w:w="1928" w:type="dxa"/>
            <w:vMerge/>
          </w:tcPr>
          <w:p w14:paraId="5170E035" w14:textId="77777777" w:rsidR="00454A29" w:rsidRDefault="00454A29"/>
        </w:tc>
        <w:tc>
          <w:tcPr>
            <w:tcW w:w="1644" w:type="dxa"/>
            <w:vMerge/>
          </w:tcPr>
          <w:p w14:paraId="72562A7E" w14:textId="77777777" w:rsidR="00454A29" w:rsidRDefault="00454A29"/>
        </w:tc>
        <w:tc>
          <w:tcPr>
            <w:tcW w:w="2041" w:type="dxa"/>
            <w:vMerge/>
          </w:tcPr>
          <w:p w14:paraId="6EA90A6C" w14:textId="77777777" w:rsidR="00454A29" w:rsidRDefault="00454A29"/>
        </w:tc>
        <w:tc>
          <w:tcPr>
            <w:tcW w:w="2098" w:type="dxa"/>
            <w:vAlign w:val="center"/>
          </w:tcPr>
          <w:p w14:paraId="6601CBBD" w14:textId="77777777" w:rsidR="00454A29" w:rsidRDefault="00454A29">
            <w:pPr>
              <w:pStyle w:val="ConsPlusNormal"/>
              <w:jc w:val="center"/>
            </w:pPr>
            <w:r>
              <w:t>Федеральный бюджет</w:t>
            </w:r>
          </w:p>
        </w:tc>
        <w:tc>
          <w:tcPr>
            <w:tcW w:w="1814" w:type="dxa"/>
            <w:vAlign w:val="center"/>
          </w:tcPr>
          <w:p w14:paraId="6DF21143" w14:textId="77777777" w:rsidR="00454A29" w:rsidRDefault="00454A29">
            <w:pPr>
              <w:pStyle w:val="ConsPlusNormal"/>
              <w:jc w:val="center"/>
            </w:pPr>
            <w:r>
              <w:t>0,00</w:t>
            </w:r>
          </w:p>
        </w:tc>
        <w:tc>
          <w:tcPr>
            <w:tcW w:w="1701" w:type="dxa"/>
            <w:vAlign w:val="center"/>
          </w:tcPr>
          <w:p w14:paraId="7A8D1DFD" w14:textId="77777777" w:rsidR="00454A29" w:rsidRDefault="00454A29">
            <w:pPr>
              <w:pStyle w:val="ConsPlusNormal"/>
              <w:jc w:val="center"/>
            </w:pPr>
            <w:r>
              <w:t>0,00</w:t>
            </w:r>
          </w:p>
        </w:tc>
        <w:tc>
          <w:tcPr>
            <w:tcW w:w="1701" w:type="dxa"/>
            <w:vAlign w:val="center"/>
          </w:tcPr>
          <w:p w14:paraId="12C46D6C" w14:textId="77777777" w:rsidR="00454A29" w:rsidRDefault="00454A29">
            <w:pPr>
              <w:pStyle w:val="ConsPlusNormal"/>
              <w:jc w:val="center"/>
            </w:pPr>
            <w:r>
              <w:t>0,00</w:t>
            </w:r>
          </w:p>
        </w:tc>
        <w:tc>
          <w:tcPr>
            <w:tcW w:w="1701" w:type="dxa"/>
            <w:vAlign w:val="center"/>
          </w:tcPr>
          <w:p w14:paraId="14A67B1D" w14:textId="77777777" w:rsidR="00454A29" w:rsidRDefault="00454A29">
            <w:pPr>
              <w:pStyle w:val="ConsPlusNormal"/>
              <w:jc w:val="center"/>
            </w:pPr>
            <w:r>
              <w:t>0,00</w:t>
            </w:r>
          </w:p>
        </w:tc>
        <w:tc>
          <w:tcPr>
            <w:tcW w:w="1701" w:type="dxa"/>
            <w:vAlign w:val="center"/>
          </w:tcPr>
          <w:p w14:paraId="51CDC7D3" w14:textId="77777777" w:rsidR="00454A29" w:rsidRDefault="00454A29">
            <w:pPr>
              <w:pStyle w:val="ConsPlusNormal"/>
              <w:jc w:val="center"/>
            </w:pPr>
            <w:r>
              <w:t>0,00</w:t>
            </w:r>
          </w:p>
        </w:tc>
        <w:tc>
          <w:tcPr>
            <w:tcW w:w="1701" w:type="dxa"/>
            <w:vAlign w:val="center"/>
          </w:tcPr>
          <w:p w14:paraId="5E77BDA5" w14:textId="77777777" w:rsidR="00454A29" w:rsidRDefault="00454A29">
            <w:pPr>
              <w:pStyle w:val="ConsPlusNormal"/>
              <w:jc w:val="center"/>
            </w:pPr>
            <w:r>
              <w:t>0,00</w:t>
            </w:r>
          </w:p>
        </w:tc>
        <w:tc>
          <w:tcPr>
            <w:tcW w:w="1701" w:type="dxa"/>
            <w:vAlign w:val="center"/>
          </w:tcPr>
          <w:p w14:paraId="32B35489" w14:textId="77777777" w:rsidR="00454A29" w:rsidRDefault="00454A29">
            <w:pPr>
              <w:pStyle w:val="ConsPlusNormal"/>
              <w:jc w:val="center"/>
            </w:pPr>
            <w:r>
              <w:t>0,00</w:t>
            </w:r>
          </w:p>
        </w:tc>
      </w:tr>
      <w:tr w:rsidR="00454A29" w14:paraId="0A625874" w14:textId="77777777">
        <w:tc>
          <w:tcPr>
            <w:tcW w:w="964" w:type="dxa"/>
            <w:vMerge/>
          </w:tcPr>
          <w:p w14:paraId="46D80D3F" w14:textId="77777777" w:rsidR="00454A29" w:rsidRDefault="00454A29"/>
        </w:tc>
        <w:tc>
          <w:tcPr>
            <w:tcW w:w="2154" w:type="dxa"/>
            <w:vMerge/>
            <w:tcBorders>
              <w:top w:val="nil"/>
              <w:bottom w:val="nil"/>
            </w:tcBorders>
          </w:tcPr>
          <w:p w14:paraId="6980FBC8" w14:textId="77777777" w:rsidR="00454A29" w:rsidRDefault="00454A29"/>
        </w:tc>
        <w:tc>
          <w:tcPr>
            <w:tcW w:w="2154" w:type="dxa"/>
            <w:vMerge/>
            <w:tcBorders>
              <w:top w:val="nil"/>
              <w:bottom w:val="nil"/>
            </w:tcBorders>
          </w:tcPr>
          <w:p w14:paraId="144815F4" w14:textId="77777777" w:rsidR="00454A29" w:rsidRDefault="00454A29"/>
        </w:tc>
        <w:tc>
          <w:tcPr>
            <w:tcW w:w="2665" w:type="dxa"/>
            <w:vMerge/>
            <w:tcBorders>
              <w:top w:val="nil"/>
              <w:bottom w:val="nil"/>
            </w:tcBorders>
          </w:tcPr>
          <w:p w14:paraId="2C7EF381" w14:textId="77777777" w:rsidR="00454A29" w:rsidRDefault="00454A29"/>
        </w:tc>
        <w:tc>
          <w:tcPr>
            <w:tcW w:w="2665" w:type="dxa"/>
            <w:vMerge/>
            <w:tcBorders>
              <w:top w:val="nil"/>
              <w:bottom w:val="nil"/>
            </w:tcBorders>
          </w:tcPr>
          <w:p w14:paraId="1D5068BE" w14:textId="77777777" w:rsidR="00454A29" w:rsidRDefault="00454A29"/>
        </w:tc>
        <w:tc>
          <w:tcPr>
            <w:tcW w:w="1928" w:type="dxa"/>
            <w:vMerge/>
          </w:tcPr>
          <w:p w14:paraId="30CF0270" w14:textId="77777777" w:rsidR="00454A29" w:rsidRDefault="00454A29"/>
        </w:tc>
        <w:tc>
          <w:tcPr>
            <w:tcW w:w="1644" w:type="dxa"/>
            <w:vMerge/>
          </w:tcPr>
          <w:p w14:paraId="109D4C1F" w14:textId="77777777" w:rsidR="00454A29" w:rsidRDefault="00454A29"/>
        </w:tc>
        <w:tc>
          <w:tcPr>
            <w:tcW w:w="2041" w:type="dxa"/>
            <w:vMerge/>
          </w:tcPr>
          <w:p w14:paraId="7D7DF509" w14:textId="77777777" w:rsidR="00454A29" w:rsidRDefault="00454A29"/>
        </w:tc>
        <w:tc>
          <w:tcPr>
            <w:tcW w:w="2098" w:type="dxa"/>
            <w:vAlign w:val="center"/>
          </w:tcPr>
          <w:p w14:paraId="642E47D0" w14:textId="77777777" w:rsidR="00454A29" w:rsidRDefault="00454A29">
            <w:pPr>
              <w:pStyle w:val="ConsPlusNormal"/>
              <w:jc w:val="center"/>
            </w:pPr>
            <w:r>
              <w:t>Местные бюджеты</w:t>
            </w:r>
          </w:p>
        </w:tc>
        <w:tc>
          <w:tcPr>
            <w:tcW w:w="1814" w:type="dxa"/>
            <w:vAlign w:val="center"/>
          </w:tcPr>
          <w:p w14:paraId="5E85E5FB" w14:textId="77777777" w:rsidR="00454A29" w:rsidRDefault="00454A29">
            <w:pPr>
              <w:pStyle w:val="ConsPlusNormal"/>
              <w:jc w:val="center"/>
            </w:pPr>
            <w:r>
              <w:t>0,00</w:t>
            </w:r>
          </w:p>
        </w:tc>
        <w:tc>
          <w:tcPr>
            <w:tcW w:w="1701" w:type="dxa"/>
            <w:vAlign w:val="center"/>
          </w:tcPr>
          <w:p w14:paraId="51D4ABD8" w14:textId="77777777" w:rsidR="00454A29" w:rsidRDefault="00454A29">
            <w:pPr>
              <w:pStyle w:val="ConsPlusNormal"/>
              <w:jc w:val="center"/>
            </w:pPr>
            <w:r>
              <w:t>0,00</w:t>
            </w:r>
          </w:p>
        </w:tc>
        <w:tc>
          <w:tcPr>
            <w:tcW w:w="1701" w:type="dxa"/>
            <w:vAlign w:val="center"/>
          </w:tcPr>
          <w:p w14:paraId="66D15941" w14:textId="77777777" w:rsidR="00454A29" w:rsidRDefault="00454A29">
            <w:pPr>
              <w:pStyle w:val="ConsPlusNormal"/>
              <w:jc w:val="center"/>
            </w:pPr>
            <w:r>
              <w:t>0,00</w:t>
            </w:r>
          </w:p>
        </w:tc>
        <w:tc>
          <w:tcPr>
            <w:tcW w:w="1701" w:type="dxa"/>
            <w:vAlign w:val="center"/>
          </w:tcPr>
          <w:p w14:paraId="085A0003" w14:textId="77777777" w:rsidR="00454A29" w:rsidRDefault="00454A29">
            <w:pPr>
              <w:pStyle w:val="ConsPlusNormal"/>
              <w:jc w:val="center"/>
            </w:pPr>
            <w:r>
              <w:t>0,00</w:t>
            </w:r>
          </w:p>
        </w:tc>
        <w:tc>
          <w:tcPr>
            <w:tcW w:w="1701" w:type="dxa"/>
            <w:vAlign w:val="center"/>
          </w:tcPr>
          <w:p w14:paraId="7FBF2E0E" w14:textId="77777777" w:rsidR="00454A29" w:rsidRDefault="00454A29">
            <w:pPr>
              <w:pStyle w:val="ConsPlusNormal"/>
              <w:jc w:val="center"/>
            </w:pPr>
            <w:r>
              <w:t>0,00</w:t>
            </w:r>
          </w:p>
        </w:tc>
        <w:tc>
          <w:tcPr>
            <w:tcW w:w="1701" w:type="dxa"/>
            <w:vAlign w:val="center"/>
          </w:tcPr>
          <w:p w14:paraId="6456CD6A" w14:textId="77777777" w:rsidR="00454A29" w:rsidRDefault="00454A29">
            <w:pPr>
              <w:pStyle w:val="ConsPlusNormal"/>
              <w:jc w:val="center"/>
            </w:pPr>
            <w:r>
              <w:t>0,00</w:t>
            </w:r>
          </w:p>
        </w:tc>
        <w:tc>
          <w:tcPr>
            <w:tcW w:w="1701" w:type="dxa"/>
            <w:vAlign w:val="center"/>
          </w:tcPr>
          <w:p w14:paraId="71133EEF" w14:textId="77777777" w:rsidR="00454A29" w:rsidRDefault="00454A29">
            <w:pPr>
              <w:pStyle w:val="ConsPlusNormal"/>
              <w:jc w:val="center"/>
            </w:pPr>
            <w:r>
              <w:t>0,00</w:t>
            </w:r>
          </w:p>
        </w:tc>
      </w:tr>
      <w:tr w:rsidR="00454A29" w14:paraId="275B498F" w14:textId="77777777">
        <w:tc>
          <w:tcPr>
            <w:tcW w:w="964" w:type="dxa"/>
            <w:vMerge/>
          </w:tcPr>
          <w:p w14:paraId="79E816E7" w14:textId="77777777" w:rsidR="00454A29" w:rsidRDefault="00454A29"/>
        </w:tc>
        <w:tc>
          <w:tcPr>
            <w:tcW w:w="2154" w:type="dxa"/>
            <w:vMerge/>
            <w:tcBorders>
              <w:top w:val="nil"/>
              <w:bottom w:val="nil"/>
            </w:tcBorders>
          </w:tcPr>
          <w:p w14:paraId="57C3A808" w14:textId="77777777" w:rsidR="00454A29" w:rsidRDefault="00454A29"/>
        </w:tc>
        <w:tc>
          <w:tcPr>
            <w:tcW w:w="2154" w:type="dxa"/>
            <w:vMerge/>
            <w:tcBorders>
              <w:top w:val="nil"/>
              <w:bottom w:val="nil"/>
            </w:tcBorders>
          </w:tcPr>
          <w:p w14:paraId="08122E86" w14:textId="77777777" w:rsidR="00454A29" w:rsidRDefault="00454A29"/>
        </w:tc>
        <w:tc>
          <w:tcPr>
            <w:tcW w:w="2665" w:type="dxa"/>
            <w:vMerge/>
            <w:tcBorders>
              <w:top w:val="nil"/>
              <w:bottom w:val="nil"/>
            </w:tcBorders>
          </w:tcPr>
          <w:p w14:paraId="3C8F8892" w14:textId="77777777" w:rsidR="00454A29" w:rsidRDefault="00454A29"/>
        </w:tc>
        <w:tc>
          <w:tcPr>
            <w:tcW w:w="2665" w:type="dxa"/>
            <w:vMerge/>
            <w:tcBorders>
              <w:top w:val="nil"/>
              <w:bottom w:val="nil"/>
            </w:tcBorders>
          </w:tcPr>
          <w:p w14:paraId="69772439" w14:textId="77777777" w:rsidR="00454A29" w:rsidRDefault="00454A29"/>
        </w:tc>
        <w:tc>
          <w:tcPr>
            <w:tcW w:w="1928" w:type="dxa"/>
            <w:vMerge/>
          </w:tcPr>
          <w:p w14:paraId="1AB5A116" w14:textId="77777777" w:rsidR="00454A29" w:rsidRDefault="00454A29"/>
        </w:tc>
        <w:tc>
          <w:tcPr>
            <w:tcW w:w="1644" w:type="dxa"/>
            <w:vMerge/>
          </w:tcPr>
          <w:p w14:paraId="44F17E91" w14:textId="77777777" w:rsidR="00454A29" w:rsidRDefault="00454A29"/>
        </w:tc>
        <w:tc>
          <w:tcPr>
            <w:tcW w:w="2041" w:type="dxa"/>
            <w:vMerge/>
          </w:tcPr>
          <w:p w14:paraId="7F9155A4" w14:textId="77777777" w:rsidR="00454A29" w:rsidRDefault="00454A29"/>
        </w:tc>
        <w:tc>
          <w:tcPr>
            <w:tcW w:w="2098" w:type="dxa"/>
            <w:vAlign w:val="center"/>
          </w:tcPr>
          <w:p w14:paraId="058F7409" w14:textId="77777777" w:rsidR="00454A29" w:rsidRDefault="00454A29">
            <w:pPr>
              <w:pStyle w:val="ConsPlusNormal"/>
              <w:jc w:val="center"/>
            </w:pPr>
            <w:r>
              <w:t>Внебюджетные средства</w:t>
            </w:r>
          </w:p>
        </w:tc>
        <w:tc>
          <w:tcPr>
            <w:tcW w:w="1814" w:type="dxa"/>
            <w:vAlign w:val="center"/>
          </w:tcPr>
          <w:p w14:paraId="6B632FB2" w14:textId="77777777" w:rsidR="00454A29" w:rsidRDefault="00454A29">
            <w:pPr>
              <w:pStyle w:val="ConsPlusNormal"/>
              <w:jc w:val="center"/>
            </w:pPr>
            <w:r>
              <w:t>0,00</w:t>
            </w:r>
          </w:p>
        </w:tc>
        <w:tc>
          <w:tcPr>
            <w:tcW w:w="1701" w:type="dxa"/>
            <w:vAlign w:val="center"/>
          </w:tcPr>
          <w:p w14:paraId="5729A2DE" w14:textId="77777777" w:rsidR="00454A29" w:rsidRDefault="00454A29">
            <w:pPr>
              <w:pStyle w:val="ConsPlusNormal"/>
              <w:jc w:val="center"/>
            </w:pPr>
            <w:r>
              <w:t>0,00</w:t>
            </w:r>
          </w:p>
        </w:tc>
        <w:tc>
          <w:tcPr>
            <w:tcW w:w="1701" w:type="dxa"/>
            <w:vAlign w:val="center"/>
          </w:tcPr>
          <w:p w14:paraId="735A0B5E" w14:textId="77777777" w:rsidR="00454A29" w:rsidRDefault="00454A29">
            <w:pPr>
              <w:pStyle w:val="ConsPlusNormal"/>
              <w:jc w:val="center"/>
            </w:pPr>
            <w:r>
              <w:t>0,00</w:t>
            </w:r>
          </w:p>
        </w:tc>
        <w:tc>
          <w:tcPr>
            <w:tcW w:w="1701" w:type="dxa"/>
            <w:vAlign w:val="center"/>
          </w:tcPr>
          <w:p w14:paraId="6073047E" w14:textId="77777777" w:rsidR="00454A29" w:rsidRDefault="00454A29">
            <w:pPr>
              <w:pStyle w:val="ConsPlusNormal"/>
              <w:jc w:val="center"/>
            </w:pPr>
            <w:r>
              <w:t>0,00</w:t>
            </w:r>
          </w:p>
        </w:tc>
        <w:tc>
          <w:tcPr>
            <w:tcW w:w="1701" w:type="dxa"/>
            <w:vAlign w:val="center"/>
          </w:tcPr>
          <w:p w14:paraId="37802C9E" w14:textId="77777777" w:rsidR="00454A29" w:rsidRDefault="00454A29">
            <w:pPr>
              <w:pStyle w:val="ConsPlusNormal"/>
              <w:jc w:val="center"/>
            </w:pPr>
            <w:r>
              <w:t>0,00</w:t>
            </w:r>
          </w:p>
        </w:tc>
        <w:tc>
          <w:tcPr>
            <w:tcW w:w="1701" w:type="dxa"/>
            <w:vAlign w:val="center"/>
          </w:tcPr>
          <w:p w14:paraId="4B3C70E1" w14:textId="77777777" w:rsidR="00454A29" w:rsidRDefault="00454A29">
            <w:pPr>
              <w:pStyle w:val="ConsPlusNormal"/>
              <w:jc w:val="center"/>
            </w:pPr>
            <w:r>
              <w:t>0,00</w:t>
            </w:r>
          </w:p>
        </w:tc>
        <w:tc>
          <w:tcPr>
            <w:tcW w:w="1701" w:type="dxa"/>
            <w:vAlign w:val="center"/>
          </w:tcPr>
          <w:p w14:paraId="68C34C84" w14:textId="77777777" w:rsidR="00454A29" w:rsidRDefault="00454A29">
            <w:pPr>
              <w:pStyle w:val="ConsPlusNormal"/>
              <w:jc w:val="center"/>
            </w:pPr>
            <w:r>
              <w:t>0,00</w:t>
            </w:r>
          </w:p>
        </w:tc>
      </w:tr>
      <w:tr w:rsidR="00454A29" w14:paraId="14BC59B4" w14:textId="77777777">
        <w:tc>
          <w:tcPr>
            <w:tcW w:w="964" w:type="dxa"/>
            <w:vMerge w:val="restart"/>
            <w:vAlign w:val="center"/>
          </w:tcPr>
          <w:p w14:paraId="7421B21C" w14:textId="77777777" w:rsidR="00454A29" w:rsidRDefault="00454A29">
            <w:pPr>
              <w:pStyle w:val="ConsPlusNormal"/>
              <w:jc w:val="center"/>
            </w:pPr>
            <w:r>
              <w:t>11.1.4.</w:t>
            </w:r>
          </w:p>
        </w:tc>
        <w:tc>
          <w:tcPr>
            <w:tcW w:w="2154" w:type="dxa"/>
            <w:vMerge w:val="restart"/>
            <w:tcBorders>
              <w:top w:val="nil"/>
              <w:bottom w:val="nil"/>
            </w:tcBorders>
            <w:vAlign w:val="center"/>
          </w:tcPr>
          <w:p w14:paraId="4BBAE118" w14:textId="77777777" w:rsidR="00454A29" w:rsidRDefault="00454A29">
            <w:pPr>
              <w:pStyle w:val="ConsPlusNormal"/>
            </w:pPr>
          </w:p>
        </w:tc>
        <w:tc>
          <w:tcPr>
            <w:tcW w:w="2154" w:type="dxa"/>
            <w:vMerge w:val="restart"/>
            <w:tcBorders>
              <w:top w:val="nil"/>
              <w:bottom w:val="nil"/>
            </w:tcBorders>
            <w:vAlign w:val="center"/>
          </w:tcPr>
          <w:p w14:paraId="5B5A388C" w14:textId="77777777" w:rsidR="00454A29" w:rsidRDefault="00454A29">
            <w:pPr>
              <w:pStyle w:val="ConsPlusNormal"/>
            </w:pPr>
          </w:p>
        </w:tc>
        <w:tc>
          <w:tcPr>
            <w:tcW w:w="2665" w:type="dxa"/>
            <w:vMerge w:val="restart"/>
            <w:tcBorders>
              <w:top w:val="nil"/>
              <w:bottom w:val="nil"/>
            </w:tcBorders>
            <w:vAlign w:val="center"/>
          </w:tcPr>
          <w:p w14:paraId="2F38431A" w14:textId="77777777" w:rsidR="00454A29" w:rsidRDefault="00454A29">
            <w:pPr>
              <w:pStyle w:val="ConsPlusNormal"/>
            </w:pPr>
          </w:p>
        </w:tc>
        <w:tc>
          <w:tcPr>
            <w:tcW w:w="2665" w:type="dxa"/>
            <w:vMerge w:val="restart"/>
            <w:tcBorders>
              <w:top w:val="nil"/>
              <w:bottom w:val="nil"/>
            </w:tcBorders>
            <w:vAlign w:val="center"/>
          </w:tcPr>
          <w:p w14:paraId="1C731A09" w14:textId="77777777" w:rsidR="00454A29" w:rsidRDefault="00454A29">
            <w:pPr>
              <w:pStyle w:val="ConsPlusNormal"/>
            </w:pPr>
          </w:p>
        </w:tc>
        <w:tc>
          <w:tcPr>
            <w:tcW w:w="1928" w:type="dxa"/>
            <w:vMerge w:val="restart"/>
            <w:vAlign w:val="center"/>
          </w:tcPr>
          <w:p w14:paraId="06BA79BB" w14:textId="77777777" w:rsidR="00454A29" w:rsidRDefault="00454A29">
            <w:pPr>
              <w:pStyle w:val="ConsPlusNormal"/>
              <w:jc w:val="center"/>
            </w:pPr>
            <w:r>
              <w:t>ГО "город Якутск"</w:t>
            </w:r>
          </w:p>
        </w:tc>
        <w:tc>
          <w:tcPr>
            <w:tcW w:w="1644" w:type="dxa"/>
            <w:vMerge w:val="restart"/>
            <w:vAlign w:val="center"/>
          </w:tcPr>
          <w:p w14:paraId="3ADC9FB9" w14:textId="77777777" w:rsidR="00454A29" w:rsidRDefault="00454A29">
            <w:pPr>
              <w:pStyle w:val="ConsPlusNormal"/>
              <w:jc w:val="center"/>
            </w:pPr>
            <w:r>
              <w:t>с. Хатассы. г. Якутск</w:t>
            </w:r>
          </w:p>
        </w:tc>
        <w:tc>
          <w:tcPr>
            <w:tcW w:w="2041" w:type="dxa"/>
            <w:vMerge w:val="restart"/>
            <w:vAlign w:val="center"/>
          </w:tcPr>
          <w:p w14:paraId="3CE85D2A" w14:textId="77777777" w:rsidR="00454A29" w:rsidRDefault="00454A29">
            <w:pPr>
              <w:pStyle w:val="ConsPlusNormal"/>
              <w:jc w:val="center"/>
            </w:pPr>
            <w:r>
              <w:t xml:space="preserve">Реконструкция административного здания под детский сад с ясельными </w:t>
            </w:r>
            <w:r>
              <w:lastRenderedPageBreak/>
              <w:t>группами на 120 мест по ул. Новая, 1/3</w:t>
            </w:r>
          </w:p>
        </w:tc>
        <w:tc>
          <w:tcPr>
            <w:tcW w:w="2098" w:type="dxa"/>
            <w:vAlign w:val="center"/>
          </w:tcPr>
          <w:p w14:paraId="394AEFBF" w14:textId="77777777" w:rsidR="00454A29" w:rsidRDefault="00454A29">
            <w:pPr>
              <w:pStyle w:val="ConsPlusNormal"/>
              <w:jc w:val="center"/>
            </w:pPr>
            <w:r>
              <w:lastRenderedPageBreak/>
              <w:t>Итого</w:t>
            </w:r>
          </w:p>
        </w:tc>
        <w:tc>
          <w:tcPr>
            <w:tcW w:w="1814" w:type="dxa"/>
            <w:vAlign w:val="center"/>
          </w:tcPr>
          <w:p w14:paraId="0ADC43EA" w14:textId="77777777" w:rsidR="00454A29" w:rsidRDefault="00454A29">
            <w:pPr>
              <w:pStyle w:val="ConsPlusNormal"/>
              <w:jc w:val="center"/>
            </w:pPr>
            <w:r>
              <w:t>0,00</w:t>
            </w:r>
          </w:p>
        </w:tc>
        <w:tc>
          <w:tcPr>
            <w:tcW w:w="1701" w:type="dxa"/>
            <w:vAlign w:val="center"/>
          </w:tcPr>
          <w:p w14:paraId="3F260D19" w14:textId="77777777" w:rsidR="00454A29" w:rsidRDefault="00454A29">
            <w:pPr>
              <w:pStyle w:val="ConsPlusNormal"/>
              <w:jc w:val="center"/>
            </w:pPr>
            <w:r>
              <w:t>0,00</w:t>
            </w:r>
          </w:p>
        </w:tc>
        <w:tc>
          <w:tcPr>
            <w:tcW w:w="1701" w:type="dxa"/>
            <w:vAlign w:val="center"/>
          </w:tcPr>
          <w:p w14:paraId="31D14E8D" w14:textId="77777777" w:rsidR="00454A29" w:rsidRDefault="00454A29">
            <w:pPr>
              <w:pStyle w:val="ConsPlusNormal"/>
              <w:jc w:val="center"/>
            </w:pPr>
            <w:r>
              <w:t>0,00</w:t>
            </w:r>
          </w:p>
        </w:tc>
        <w:tc>
          <w:tcPr>
            <w:tcW w:w="1701" w:type="dxa"/>
            <w:vAlign w:val="center"/>
          </w:tcPr>
          <w:p w14:paraId="45BF423A" w14:textId="77777777" w:rsidR="00454A29" w:rsidRDefault="00454A29">
            <w:pPr>
              <w:pStyle w:val="ConsPlusNormal"/>
              <w:jc w:val="center"/>
            </w:pPr>
            <w:r>
              <w:t>0,00</w:t>
            </w:r>
          </w:p>
        </w:tc>
        <w:tc>
          <w:tcPr>
            <w:tcW w:w="1701" w:type="dxa"/>
            <w:vAlign w:val="center"/>
          </w:tcPr>
          <w:p w14:paraId="555C7E17" w14:textId="77777777" w:rsidR="00454A29" w:rsidRDefault="00454A29">
            <w:pPr>
              <w:pStyle w:val="ConsPlusNormal"/>
              <w:jc w:val="center"/>
            </w:pPr>
            <w:r>
              <w:t>0,00</w:t>
            </w:r>
          </w:p>
        </w:tc>
        <w:tc>
          <w:tcPr>
            <w:tcW w:w="1701" w:type="dxa"/>
            <w:vAlign w:val="center"/>
          </w:tcPr>
          <w:p w14:paraId="585E1C15" w14:textId="77777777" w:rsidR="00454A29" w:rsidRDefault="00454A29">
            <w:pPr>
              <w:pStyle w:val="ConsPlusNormal"/>
              <w:jc w:val="center"/>
            </w:pPr>
            <w:r>
              <w:t>0,00</w:t>
            </w:r>
          </w:p>
        </w:tc>
        <w:tc>
          <w:tcPr>
            <w:tcW w:w="1701" w:type="dxa"/>
            <w:vAlign w:val="center"/>
          </w:tcPr>
          <w:p w14:paraId="2D6848C4" w14:textId="77777777" w:rsidR="00454A29" w:rsidRDefault="00454A29">
            <w:pPr>
              <w:pStyle w:val="ConsPlusNormal"/>
              <w:jc w:val="center"/>
            </w:pPr>
            <w:r>
              <w:t>0,00</w:t>
            </w:r>
          </w:p>
        </w:tc>
      </w:tr>
      <w:tr w:rsidR="00454A29" w14:paraId="6B45056A" w14:textId="77777777">
        <w:tc>
          <w:tcPr>
            <w:tcW w:w="964" w:type="dxa"/>
            <w:vMerge/>
          </w:tcPr>
          <w:p w14:paraId="18CA0158" w14:textId="77777777" w:rsidR="00454A29" w:rsidRDefault="00454A29"/>
        </w:tc>
        <w:tc>
          <w:tcPr>
            <w:tcW w:w="2154" w:type="dxa"/>
            <w:vMerge/>
            <w:tcBorders>
              <w:top w:val="nil"/>
              <w:bottom w:val="nil"/>
            </w:tcBorders>
          </w:tcPr>
          <w:p w14:paraId="18A2543A" w14:textId="77777777" w:rsidR="00454A29" w:rsidRDefault="00454A29"/>
        </w:tc>
        <w:tc>
          <w:tcPr>
            <w:tcW w:w="2154" w:type="dxa"/>
            <w:vMerge/>
            <w:tcBorders>
              <w:top w:val="nil"/>
              <w:bottom w:val="nil"/>
            </w:tcBorders>
          </w:tcPr>
          <w:p w14:paraId="268604F2" w14:textId="77777777" w:rsidR="00454A29" w:rsidRDefault="00454A29"/>
        </w:tc>
        <w:tc>
          <w:tcPr>
            <w:tcW w:w="2665" w:type="dxa"/>
            <w:vMerge/>
            <w:tcBorders>
              <w:top w:val="nil"/>
              <w:bottom w:val="nil"/>
            </w:tcBorders>
          </w:tcPr>
          <w:p w14:paraId="7E788383" w14:textId="77777777" w:rsidR="00454A29" w:rsidRDefault="00454A29"/>
        </w:tc>
        <w:tc>
          <w:tcPr>
            <w:tcW w:w="2665" w:type="dxa"/>
            <w:vMerge/>
            <w:tcBorders>
              <w:top w:val="nil"/>
              <w:bottom w:val="nil"/>
            </w:tcBorders>
          </w:tcPr>
          <w:p w14:paraId="705A435B" w14:textId="77777777" w:rsidR="00454A29" w:rsidRDefault="00454A29"/>
        </w:tc>
        <w:tc>
          <w:tcPr>
            <w:tcW w:w="1928" w:type="dxa"/>
            <w:vMerge/>
          </w:tcPr>
          <w:p w14:paraId="51D6E32F" w14:textId="77777777" w:rsidR="00454A29" w:rsidRDefault="00454A29"/>
        </w:tc>
        <w:tc>
          <w:tcPr>
            <w:tcW w:w="1644" w:type="dxa"/>
            <w:vMerge/>
          </w:tcPr>
          <w:p w14:paraId="3BD655EB" w14:textId="77777777" w:rsidR="00454A29" w:rsidRDefault="00454A29"/>
        </w:tc>
        <w:tc>
          <w:tcPr>
            <w:tcW w:w="2041" w:type="dxa"/>
            <w:vMerge/>
          </w:tcPr>
          <w:p w14:paraId="28AAFC07" w14:textId="77777777" w:rsidR="00454A29" w:rsidRDefault="00454A29"/>
        </w:tc>
        <w:tc>
          <w:tcPr>
            <w:tcW w:w="2098" w:type="dxa"/>
            <w:vAlign w:val="center"/>
          </w:tcPr>
          <w:p w14:paraId="4293625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B30C6F3" w14:textId="77777777" w:rsidR="00454A29" w:rsidRDefault="00454A29">
            <w:pPr>
              <w:pStyle w:val="ConsPlusNormal"/>
              <w:jc w:val="center"/>
            </w:pPr>
            <w:r>
              <w:t>0,00</w:t>
            </w:r>
          </w:p>
        </w:tc>
        <w:tc>
          <w:tcPr>
            <w:tcW w:w="1701" w:type="dxa"/>
            <w:vAlign w:val="center"/>
          </w:tcPr>
          <w:p w14:paraId="094D3139" w14:textId="77777777" w:rsidR="00454A29" w:rsidRDefault="00454A29">
            <w:pPr>
              <w:pStyle w:val="ConsPlusNormal"/>
              <w:jc w:val="center"/>
            </w:pPr>
            <w:r>
              <w:t>0,00</w:t>
            </w:r>
          </w:p>
        </w:tc>
        <w:tc>
          <w:tcPr>
            <w:tcW w:w="1701" w:type="dxa"/>
            <w:vAlign w:val="center"/>
          </w:tcPr>
          <w:p w14:paraId="7165FC1F" w14:textId="77777777" w:rsidR="00454A29" w:rsidRDefault="00454A29">
            <w:pPr>
              <w:pStyle w:val="ConsPlusNormal"/>
              <w:jc w:val="center"/>
            </w:pPr>
            <w:r>
              <w:t>0,00</w:t>
            </w:r>
          </w:p>
        </w:tc>
        <w:tc>
          <w:tcPr>
            <w:tcW w:w="1701" w:type="dxa"/>
            <w:vAlign w:val="center"/>
          </w:tcPr>
          <w:p w14:paraId="708615BD" w14:textId="77777777" w:rsidR="00454A29" w:rsidRDefault="00454A29">
            <w:pPr>
              <w:pStyle w:val="ConsPlusNormal"/>
              <w:jc w:val="center"/>
            </w:pPr>
            <w:r>
              <w:t>0,00</w:t>
            </w:r>
          </w:p>
        </w:tc>
        <w:tc>
          <w:tcPr>
            <w:tcW w:w="1701" w:type="dxa"/>
            <w:vAlign w:val="center"/>
          </w:tcPr>
          <w:p w14:paraId="62FCE3D3" w14:textId="77777777" w:rsidR="00454A29" w:rsidRDefault="00454A29">
            <w:pPr>
              <w:pStyle w:val="ConsPlusNormal"/>
              <w:jc w:val="center"/>
            </w:pPr>
            <w:r>
              <w:t>0,00</w:t>
            </w:r>
          </w:p>
        </w:tc>
        <w:tc>
          <w:tcPr>
            <w:tcW w:w="1701" w:type="dxa"/>
            <w:vAlign w:val="center"/>
          </w:tcPr>
          <w:p w14:paraId="1ABD12B6" w14:textId="77777777" w:rsidR="00454A29" w:rsidRDefault="00454A29">
            <w:pPr>
              <w:pStyle w:val="ConsPlusNormal"/>
              <w:jc w:val="center"/>
            </w:pPr>
            <w:r>
              <w:t>0,00</w:t>
            </w:r>
          </w:p>
        </w:tc>
        <w:tc>
          <w:tcPr>
            <w:tcW w:w="1701" w:type="dxa"/>
            <w:vAlign w:val="center"/>
          </w:tcPr>
          <w:p w14:paraId="628389A9" w14:textId="77777777" w:rsidR="00454A29" w:rsidRDefault="00454A29">
            <w:pPr>
              <w:pStyle w:val="ConsPlusNormal"/>
              <w:jc w:val="center"/>
            </w:pPr>
            <w:r>
              <w:t>0,00</w:t>
            </w:r>
          </w:p>
        </w:tc>
      </w:tr>
      <w:tr w:rsidR="00454A29" w14:paraId="1BEDC00A" w14:textId="77777777">
        <w:tc>
          <w:tcPr>
            <w:tcW w:w="964" w:type="dxa"/>
            <w:vMerge/>
          </w:tcPr>
          <w:p w14:paraId="51ED985C" w14:textId="77777777" w:rsidR="00454A29" w:rsidRDefault="00454A29"/>
        </w:tc>
        <w:tc>
          <w:tcPr>
            <w:tcW w:w="2154" w:type="dxa"/>
            <w:vMerge/>
            <w:tcBorders>
              <w:top w:val="nil"/>
              <w:bottom w:val="nil"/>
            </w:tcBorders>
          </w:tcPr>
          <w:p w14:paraId="22FAEE25" w14:textId="77777777" w:rsidR="00454A29" w:rsidRDefault="00454A29"/>
        </w:tc>
        <w:tc>
          <w:tcPr>
            <w:tcW w:w="2154" w:type="dxa"/>
            <w:vMerge/>
            <w:tcBorders>
              <w:top w:val="nil"/>
              <w:bottom w:val="nil"/>
            </w:tcBorders>
          </w:tcPr>
          <w:p w14:paraId="0F8ECA6D" w14:textId="77777777" w:rsidR="00454A29" w:rsidRDefault="00454A29"/>
        </w:tc>
        <w:tc>
          <w:tcPr>
            <w:tcW w:w="2665" w:type="dxa"/>
            <w:vMerge/>
            <w:tcBorders>
              <w:top w:val="nil"/>
              <w:bottom w:val="nil"/>
            </w:tcBorders>
          </w:tcPr>
          <w:p w14:paraId="73F867EC" w14:textId="77777777" w:rsidR="00454A29" w:rsidRDefault="00454A29"/>
        </w:tc>
        <w:tc>
          <w:tcPr>
            <w:tcW w:w="2665" w:type="dxa"/>
            <w:vMerge/>
            <w:tcBorders>
              <w:top w:val="nil"/>
              <w:bottom w:val="nil"/>
            </w:tcBorders>
          </w:tcPr>
          <w:p w14:paraId="1BB7CF02" w14:textId="77777777" w:rsidR="00454A29" w:rsidRDefault="00454A29"/>
        </w:tc>
        <w:tc>
          <w:tcPr>
            <w:tcW w:w="1928" w:type="dxa"/>
            <w:vMerge/>
          </w:tcPr>
          <w:p w14:paraId="758D4662" w14:textId="77777777" w:rsidR="00454A29" w:rsidRDefault="00454A29"/>
        </w:tc>
        <w:tc>
          <w:tcPr>
            <w:tcW w:w="1644" w:type="dxa"/>
            <w:vMerge/>
          </w:tcPr>
          <w:p w14:paraId="47D20274" w14:textId="77777777" w:rsidR="00454A29" w:rsidRDefault="00454A29"/>
        </w:tc>
        <w:tc>
          <w:tcPr>
            <w:tcW w:w="2041" w:type="dxa"/>
            <w:vMerge/>
          </w:tcPr>
          <w:p w14:paraId="5EB508DC" w14:textId="77777777" w:rsidR="00454A29" w:rsidRDefault="00454A29"/>
        </w:tc>
        <w:tc>
          <w:tcPr>
            <w:tcW w:w="2098" w:type="dxa"/>
            <w:vAlign w:val="center"/>
          </w:tcPr>
          <w:p w14:paraId="6221CF43" w14:textId="77777777" w:rsidR="00454A29" w:rsidRDefault="00454A29">
            <w:pPr>
              <w:pStyle w:val="ConsPlusNormal"/>
              <w:jc w:val="center"/>
            </w:pPr>
            <w:r>
              <w:t>Федеральный бюджет</w:t>
            </w:r>
          </w:p>
        </w:tc>
        <w:tc>
          <w:tcPr>
            <w:tcW w:w="1814" w:type="dxa"/>
            <w:vAlign w:val="center"/>
          </w:tcPr>
          <w:p w14:paraId="46193A65" w14:textId="77777777" w:rsidR="00454A29" w:rsidRDefault="00454A29">
            <w:pPr>
              <w:pStyle w:val="ConsPlusNormal"/>
              <w:jc w:val="center"/>
            </w:pPr>
            <w:r>
              <w:t>0,00</w:t>
            </w:r>
          </w:p>
        </w:tc>
        <w:tc>
          <w:tcPr>
            <w:tcW w:w="1701" w:type="dxa"/>
            <w:vAlign w:val="center"/>
          </w:tcPr>
          <w:p w14:paraId="50E21499" w14:textId="77777777" w:rsidR="00454A29" w:rsidRDefault="00454A29">
            <w:pPr>
              <w:pStyle w:val="ConsPlusNormal"/>
              <w:jc w:val="center"/>
            </w:pPr>
            <w:r>
              <w:t>0,00</w:t>
            </w:r>
          </w:p>
        </w:tc>
        <w:tc>
          <w:tcPr>
            <w:tcW w:w="1701" w:type="dxa"/>
            <w:vAlign w:val="center"/>
          </w:tcPr>
          <w:p w14:paraId="0C3D1E9B" w14:textId="77777777" w:rsidR="00454A29" w:rsidRDefault="00454A29">
            <w:pPr>
              <w:pStyle w:val="ConsPlusNormal"/>
              <w:jc w:val="center"/>
            </w:pPr>
            <w:r>
              <w:t>0,00</w:t>
            </w:r>
          </w:p>
        </w:tc>
        <w:tc>
          <w:tcPr>
            <w:tcW w:w="1701" w:type="dxa"/>
            <w:vAlign w:val="center"/>
          </w:tcPr>
          <w:p w14:paraId="1FCBDECD" w14:textId="77777777" w:rsidR="00454A29" w:rsidRDefault="00454A29">
            <w:pPr>
              <w:pStyle w:val="ConsPlusNormal"/>
              <w:jc w:val="center"/>
            </w:pPr>
            <w:r>
              <w:t>0,00</w:t>
            </w:r>
          </w:p>
        </w:tc>
        <w:tc>
          <w:tcPr>
            <w:tcW w:w="1701" w:type="dxa"/>
            <w:vAlign w:val="center"/>
          </w:tcPr>
          <w:p w14:paraId="6B2F24AE" w14:textId="77777777" w:rsidR="00454A29" w:rsidRDefault="00454A29">
            <w:pPr>
              <w:pStyle w:val="ConsPlusNormal"/>
              <w:jc w:val="center"/>
            </w:pPr>
            <w:r>
              <w:t>0,00</w:t>
            </w:r>
          </w:p>
        </w:tc>
        <w:tc>
          <w:tcPr>
            <w:tcW w:w="1701" w:type="dxa"/>
            <w:vAlign w:val="center"/>
          </w:tcPr>
          <w:p w14:paraId="0A9F089F" w14:textId="77777777" w:rsidR="00454A29" w:rsidRDefault="00454A29">
            <w:pPr>
              <w:pStyle w:val="ConsPlusNormal"/>
              <w:jc w:val="center"/>
            </w:pPr>
            <w:r>
              <w:t>0,00</w:t>
            </w:r>
          </w:p>
        </w:tc>
        <w:tc>
          <w:tcPr>
            <w:tcW w:w="1701" w:type="dxa"/>
            <w:vAlign w:val="center"/>
          </w:tcPr>
          <w:p w14:paraId="121A7456" w14:textId="77777777" w:rsidR="00454A29" w:rsidRDefault="00454A29">
            <w:pPr>
              <w:pStyle w:val="ConsPlusNormal"/>
              <w:jc w:val="center"/>
            </w:pPr>
            <w:r>
              <w:t>0,00</w:t>
            </w:r>
          </w:p>
        </w:tc>
      </w:tr>
      <w:tr w:rsidR="00454A29" w14:paraId="75DEFAF1" w14:textId="77777777">
        <w:tc>
          <w:tcPr>
            <w:tcW w:w="964" w:type="dxa"/>
            <w:vMerge/>
          </w:tcPr>
          <w:p w14:paraId="0AED0D56" w14:textId="77777777" w:rsidR="00454A29" w:rsidRDefault="00454A29"/>
        </w:tc>
        <w:tc>
          <w:tcPr>
            <w:tcW w:w="2154" w:type="dxa"/>
            <w:vMerge/>
            <w:tcBorders>
              <w:top w:val="nil"/>
              <w:bottom w:val="nil"/>
            </w:tcBorders>
          </w:tcPr>
          <w:p w14:paraId="43255D94" w14:textId="77777777" w:rsidR="00454A29" w:rsidRDefault="00454A29"/>
        </w:tc>
        <w:tc>
          <w:tcPr>
            <w:tcW w:w="2154" w:type="dxa"/>
            <w:vMerge/>
            <w:tcBorders>
              <w:top w:val="nil"/>
              <w:bottom w:val="nil"/>
            </w:tcBorders>
          </w:tcPr>
          <w:p w14:paraId="0B83DF98" w14:textId="77777777" w:rsidR="00454A29" w:rsidRDefault="00454A29"/>
        </w:tc>
        <w:tc>
          <w:tcPr>
            <w:tcW w:w="2665" w:type="dxa"/>
            <w:vMerge/>
            <w:tcBorders>
              <w:top w:val="nil"/>
              <w:bottom w:val="nil"/>
            </w:tcBorders>
          </w:tcPr>
          <w:p w14:paraId="5D25821D" w14:textId="77777777" w:rsidR="00454A29" w:rsidRDefault="00454A29"/>
        </w:tc>
        <w:tc>
          <w:tcPr>
            <w:tcW w:w="2665" w:type="dxa"/>
            <w:vMerge/>
            <w:tcBorders>
              <w:top w:val="nil"/>
              <w:bottom w:val="nil"/>
            </w:tcBorders>
          </w:tcPr>
          <w:p w14:paraId="02FD7FB6" w14:textId="77777777" w:rsidR="00454A29" w:rsidRDefault="00454A29"/>
        </w:tc>
        <w:tc>
          <w:tcPr>
            <w:tcW w:w="1928" w:type="dxa"/>
            <w:vMerge/>
          </w:tcPr>
          <w:p w14:paraId="52190F2E" w14:textId="77777777" w:rsidR="00454A29" w:rsidRDefault="00454A29"/>
        </w:tc>
        <w:tc>
          <w:tcPr>
            <w:tcW w:w="1644" w:type="dxa"/>
            <w:vMerge/>
          </w:tcPr>
          <w:p w14:paraId="26683C0B" w14:textId="77777777" w:rsidR="00454A29" w:rsidRDefault="00454A29"/>
        </w:tc>
        <w:tc>
          <w:tcPr>
            <w:tcW w:w="2041" w:type="dxa"/>
            <w:vMerge/>
          </w:tcPr>
          <w:p w14:paraId="07D444CC" w14:textId="77777777" w:rsidR="00454A29" w:rsidRDefault="00454A29"/>
        </w:tc>
        <w:tc>
          <w:tcPr>
            <w:tcW w:w="2098" w:type="dxa"/>
            <w:vAlign w:val="center"/>
          </w:tcPr>
          <w:p w14:paraId="755FEE91" w14:textId="77777777" w:rsidR="00454A29" w:rsidRDefault="00454A29">
            <w:pPr>
              <w:pStyle w:val="ConsPlusNormal"/>
              <w:jc w:val="center"/>
            </w:pPr>
            <w:r>
              <w:t>Местные бюджеты</w:t>
            </w:r>
          </w:p>
        </w:tc>
        <w:tc>
          <w:tcPr>
            <w:tcW w:w="1814" w:type="dxa"/>
            <w:vAlign w:val="center"/>
          </w:tcPr>
          <w:p w14:paraId="7C50342C" w14:textId="77777777" w:rsidR="00454A29" w:rsidRDefault="00454A29">
            <w:pPr>
              <w:pStyle w:val="ConsPlusNormal"/>
              <w:jc w:val="center"/>
            </w:pPr>
            <w:r>
              <w:t>0,00</w:t>
            </w:r>
          </w:p>
        </w:tc>
        <w:tc>
          <w:tcPr>
            <w:tcW w:w="1701" w:type="dxa"/>
            <w:vAlign w:val="center"/>
          </w:tcPr>
          <w:p w14:paraId="2BEE73CC" w14:textId="77777777" w:rsidR="00454A29" w:rsidRDefault="00454A29">
            <w:pPr>
              <w:pStyle w:val="ConsPlusNormal"/>
              <w:jc w:val="center"/>
            </w:pPr>
            <w:r>
              <w:t>0,00</w:t>
            </w:r>
          </w:p>
        </w:tc>
        <w:tc>
          <w:tcPr>
            <w:tcW w:w="1701" w:type="dxa"/>
            <w:vAlign w:val="center"/>
          </w:tcPr>
          <w:p w14:paraId="75DD1DAA" w14:textId="77777777" w:rsidR="00454A29" w:rsidRDefault="00454A29">
            <w:pPr>
              <w:pStyle w:val="ConsPlusNormal"/>
              <w:jc w:val="center"/>
            </w:pPr>
            <w:r>
              <w:t>0,00</w:t>
            </w:r>
          </w:p>
        </w:tc>
        <w:tc>
          <w:tcPr>
            <w:tcW w:w="1701" w:type="dxa"/>
            <w:vAlign w:val="center"/>
          </w:tcPr>
          <w:p w14:paraId="3EC80AAE" w14:textId="77777777" w:rsidR="00454A29" w:rsidRDefault="00454A29">
            <w:pPr>
              <w:pStyle w:val="ConsPlusNormal"/>
              <w:jc w:val="center"/>
            </w:pPr>
            <w:r>
              <w:t>0,00</w:t>
            </w:r>
          </w:p>
        </w:tc>
        <w:tc>
          <w:tcPr>
            <w:tcW w:w="1701" w:type="dxa"/>
            <w:vAlign w:val="center"/>
          </w:tcPr>
          <w:p w14:paraId="1B4E7BDF" w14:textId="77777777" w:rsidR="00454A29" w:rsidRDefault="00454A29">
            <w:pPr>
              <w:pStyle w:val="ConsPlusNormal"/>
              <w:jc w:val="center"/>
            </w:pPr>
            <w:r>
              <w:t>0,00</w:t>
            </w:r>
          </w:p>
        </w:tc>
        <w:tc>
          <w:tcPr>
            <w:tcW w:w="1701" w:type="dxa"/>
            <w:vAlign w:val="center"/>
          </w:tcPr>
          <w:p w14:paraId="2CF2D881" w14:textId="77777777" w:rsidR="00454A29" w:rsidRDefault="00454A29">
            <w:pPr>
              <w:pStyle w:val="ConsPlusNormal"/>
              <w:jc w:val="center"/>
            </w:pPr>
            <w:r>
              <w:t>0,00</w:t>
            </w:r>
          </w:p>
        </w:tc>
        <w:tc>
          <w:tcPr>
            <w:tcW w:w="1701" w:type="dxa"/>
            <w:vAlign w:val="center"/>
          </w:tcPr>
          <w:p w14:paraId="7B689311" w14:textId="77777777" w:rsidR="00454A29" w:rsidRDefault="00454A29">
            <w:pPr>
              <w:pStyle w:val="ConsPlusNormal"/>
              <w:jc w:val="center"/>
            </w:pPr>
            <w:r>
              <w:t>0,00</w:t>
            </w:r>
          </w:p>
        </w:tc>
      </w:tr>
      <w:tr w:rsidR="00454A29" w14:paraId="41154C52" w14:textId="77777777">
        <w:tc>
          <w:tcPr>
            <w:tcW w:w="964" w:type="dxa"/>
            <w:vMerge/>
          </w:tcPr>
          <w:p w14:paraId="064DF4DA" w14:textId="77777777" w:rsidR="00454A29" w:rsidRDefault="00454A29"/>
        </w:tc>
        <w:tc>
          <w:tcPr>
            <w:tcW w:w="2154" w:type="dxa"/>
            <w:vMerge/>
            <w:tcBorders>
              <w:top w:val="nil"/>
              <w:bottom w:val="nil"/>
            </w:tcBorders>
          </w:tcPr>
          <w:p w14:paraId="77B70810" w14:textId="77777777" w:rsidR="00454A29" w:rsidRDefault="00454A29"/>
        </w:tc>
        <w:tc>
          <w:tcPr>
            <w:tcW w:w="2154" w:type="dxa"/>
            <w:vMerge/>
            <w:tcBorders>
              <w:top w:val="nil"/>
              <w:bottom w:val="nil"/>
            </w:tcBorders>
          </w:tcPr>
          <w:p w14:paraId="43BD48D8" w14:textId="77777777" w:rsidR="00454A29" w:rsidRDefault="00454A29"/>
        </w:tc>
        <w:tc>
          <w:tcPr>
            <w:tcW w:w="2665" w:type="dxa"/>
            <w:vMerge/>
            <w:tcBorders>
              <w:top w:val="nil"/>
              <w:bottom w:val="nil"/>
            </w:tcBorders>
          </w:tcPr>
          <w:p w14:paraId="4FA06A33" w14:textId="77777777" w:rsidR="00454A29" w:rsidRDefault="00454A29"/>
        </w:tc>
        <w:tc>
          <w:tcPr>
            <w:tcW w:w="2665" w:type="dxa"/>
            <w:vMerge/>
            <w:tcBorders>
              <w:top w:val="nil"/>
              <w:bottom w:val="nil"/>
            </w:tcBorders>
          </w:tcPr>
          <w:p w14:paraId="5816F74D" w14:textId="77777777" w:rsidR="00454A29" w:rsidRDefault="00454A29"/>
        </w:tc>
        <w:tc>
          <w:tcPr>
            <w:tcW w:w="1928" w:type="dxa"/>
            <w:vMerge/>
          </w:tcPr>
          <w:p w14:paraId="041A1779" w14:textId="77777777" w:rsidR="00454A29" w:rsidRDefault="00454A29"/>
        </w:tc>
        <w:tc>
          <w:tcPr>
            <w:tcW w:w="1644" w:type="dxa"/>
            <w:vMerge/>
          </w:tcPr>
          <w:p w14:paraId="78032FE8" w14:textId="77777777" w:rsidR="00454A29" w:rsidRDefault="00454A29"/>
        </w:tc>
        <w:tc>
          <w:tcPr>
            <w:tcW w:w="2041" w:type="dxa"/>
            <w:vMerge/>
          </w:tcPr>
          <w:p w14:paraId="2D51C4E7" w14:textId="77777777" w:rsidR="00454A29" w:rsidRDefault="00454A29"/>
        </w:tc>
        <w:tc>
          <w:tcPr>
            <w:tcW w:w="2098" w:type="dxa"/>
            <w:vAlign w:val="center"/>
          </w:tcPr>
          <w:p w14:paraId="34FBA1DE" w14:textId="77777777" w:rsidR="00454A29" w:rsidRDefault="00454A29">
            <w:pPr>
              <w:pStyle w:val="ConsPlusNormal"/>
              <w:jc w:val="center"/>
            </w:pPr>
            <w:r>
              <w:t>Внебюджетные средства</w:t>
            </w:r>
          </w:p>
        </w:tc>
        <w:tc>
          <w:tcPr>
            <w:tcW w:w="1814" w:type="dxa"/>
            <w:vAlign w:val="center"/>
          </w:tcPr>
          <w:p w14:paraId="347D9438" w14:textId="77777777" w:rsidR="00454A29" w:rsidRDefault="00454A29">
            <w:pPr>
              <w:pStyle w:val="ConsPlusNormal"/>
              <w:jc w:val="center"/>
            </w:pPr>
            <w:r>
              <w:t>0,00</w:t>
            </w:r>
          </w:p>
        </w:tc>
        <w:tc>
          <w:tcPr>
            <w:tcW w:w="1701" w:type="dxa"/>
            <w:vAlign w:val="center"/>
          </w:tcPr>
          <w:p w14:paraId="50AC08A0" w14:textId="77777777" w:rsidR="00454A29" w:rsidRDefault="00454A29">
            <w:pPr>
              <w:pStyle w:val="ConsPlusNormal"/>
              <w:jc w:val="center"/>
            </w:pPr>
            <w:r>
              <w:t>0,00</w:t>
            </w:r>
          </w:p>
        </w:tc>
        <w:tc>
          <w:tcPr>
            <w:tcW w:w="1701" w:type="dxa"/>
            <w:vAlign w:val="center"/>
          </w:tcPr>
          <w:p w14:paraId="72D3CB9F" w14:textId="77777777" w:rsidR="00454A29" w:rsidRDefault="00454A29">
            <w:pPr>
              <w:pStyle w:val="ConsPlusNormal"/>
              <w:jc w:val="center"/>
            </w:pPr>
            <w:r>
              <w:t>0,00</w:t>
            </w:r>
          </w:p>
        </w:tc>
        <w:tc>
          <w:tcPr>
            <w:tcW w:w="1701" w:type="dxa"/>
            <w:vAlign w:val="center"/>
          </w:tcPr>
          <w:p w14:paraId="42378960" w14:textId="77777777" w:rsidR="00454A29" w:rsidRDefault="00454A29">
            <w:pPr>
              <w:pStyle w:val="ConsPlusNormal"/>
              <w:jc w:val="center"/>
            </w:pPr>
            <w:r>
              <w:t>0,00</w:t>
            </w:r>
          </w:p>
        </w:tc>
        <w:tc>
          <w:tcPr>
            <w:tcW w:w="1701" w:type="dxa"/>
            <w:vAlign w:val="center"/>
          </w:tcPr>
          <w:p w14:paraId="679DF007" w14:textId="77777777" w:rsidR="00454A29" w:rsidRDefault="00454A29">
            <w:pPr>
              <w:pStyle w:val="ConsPlusNormal"/>
              <w:jc w:val="center"/>
            </w:pPr>
            <w:r>
              <w:t>0,00</w:t>
            </w:r>
          </w:p>
        </w:tc>
        <w:tc>
          <w:tcPr>
            <w:tcW w:w="1701" w:type="dxa"/>
            <w:vAlign w:val="center"/>
          </w:tcPr>
          <w:p w14:paraId="310E39AD" w14:textId="77777777" w:rsidR="00454A29" w:rsidRDefault="00454A29">
            <w:pPr>
              <w:pStyle w:val="ConsPlusNormal"/>
              <w:jc w:val="center"/>
            </w:pPr>
            <w:r>
              <w:t>0,00</w:t>
            </w:r>
          </w:p>
        </w:tc>
        <w:tc>
          <w:tcPr>
            <w:tcW w:w="1701" w:type="dxa"/>
            <w:vAlign w:val="center"/>
          </w:tcPr>
          <w:p w14:paraId="09C7625D" w14:textId="77777777" w:rsidR="00454A29" w:rsidRDefault="00454A29">
            <w:pPr>
              <w:pStyle w:val="ConsPlusNormal"/>
              <w:jc w:val="center"/>
            </w:pPr>
            <w:r>
              <w:t>0,00</w:t>
            </w:r>
          </w:p>
        </w:tc>
      </w:tr>
      <w:tr w:rsidR="00454A29" w14:paraId="79CECC7D" w14:textId="77777777">
        <w:tc>
          <w:tcPr>
            <w:tcW w:w="964" w:type="dxa"/>
            <w:vMerge w:val="restart"/>
            <w:vAlign w:val="center"/>
          </w:tcPr>
          <w:p w14:paraId="691DCB04" w14:textId="77777777" w:rsidR="00454A29" w:rsidRDefault="00454A29">
            <w:pPr>
              <w:pStyle w:val="ConsPlusNormal"/>
              <w:jc w:val="center"/>
            </w:pPr>
            <w:r>
              <w:t>11.1.5.</w:t>
            </w:r>
          </w:p>
        </w:tc>
        <w:tc>
          <w:tcPr>
            <w:tcW w:w="2154" w:type="dxa"/>
            <w:vMerge w:val="restart"/>
            <w:tcBorders>
              <w:top w:val="nil"/>
              <w:bottom w:val="nil"/>
            </w:tcBorders>
            <w:vAlign w:val="center"/>
          </w:tcPr>
          <w:p w14:paraId="37024181" w14:textId="77777777" w:rsidR="00454A29" w:rsidRDefault="00454A29">
            <w:pPr>
              <w:pStyle w:val="ConsPlusNormal"/>
            </w:pPr>
          </w:p>
        </w:tc>
        <w:tc>
          <w:tcPr>
            <w:tcW w:w="2154" w:type="dxa"/>
            <w:vMerge w:val="restart"/>
            <w:tcBorders>
              <w:top w:val="nil"/>
              <w:bottom w:val="nil"/>
            </w:tcBorders>
            <w:vAlign w:val="center"/>
          </w:tcPr>
          <w:p w14:paraId="6C97BEAA" w14:textId="77777777" w:rsidR="00454A29" w:rsidRDefault="00454A29">
            <w:pPr>
              <w:pStyle w:val="ConsPlusNormal"/>
            </w:pPr>
          </w:p>
        </w:tc>
        <w:tc>
          <w:tcPr>
            <w:tcW w:w="2665" w:type="dxa"/>
            <w:vMerge w:val="restart"/>
            <w:tcBorders>
              <w:top w:val="nil"/>
              <w:bottom w:val="nil"/>
            </w:tcBorders>
            <w:vAlign w:val="center"/>
          </w:tcPr>
          <w:p w14:paraId="147A6091" w14:textId="77777777" w:rsidR="00454A29" w:rsidRDefault="00454A29">
            <w:pPr>
              <w:pStyle w:val="ConsPlusNormal"/>
            </w:pPr>
          </w:p>
        </w:tc>
        <w:tc>
          <w:tcPr>
            <w:tcW w:w="2665" w:type="dxa"/>
            <w:vMerge w:val="restart"/>
            <w:tcBorders>
              <w:top w:val="nil"/>
              <w:bottom w:val="nil"/>
            </w:tcBorders>
            <w:vAlign w:val="center"/>
          </w:tcPr>
          <w:p w14:paraId="35D7683A" w14:textId="77777777" w:rsidR="00454A29" w:rsidRDefault="00454A29">
            <w:pPr>
              <w:pStyle w:val="ConsPlusNormal"/>
            </w:pPr>
          </w:p>
        </w:tc>
        <w:tc>
          <w:tcPr>
            <w:tcW w:w="1928" w:type="dxa"/>
            <w:vMerge w:val="restart"/>
            <w:vAlign w:val="center"/>
          </w:tcPr>
          <w:p w14:paraId="23C652D6" w14:textId="77777777" w:rsidR="00454A29" w:rsidRDefault="00454A29">
            <w:pPr>
              <w:pStyle w:val="ConsPlusNormal"/>
              <w:jc w:val="center"/>
            </w:pPr>
            <w:r>
              <w:t>ГО "город Якутск"</w:t>
            </w:r>
          </w:p>
        </w:tc>
        <w:tc>
          <w:tcPr>
            <w:tcW w:w="1644" w:type="dxa"/>
            <w:vMerge w:val="restart"/>
            <w:vAlign w:val="center"/>
          </w:tcPr>
          <w:p w14:paraId="0A64A673" w14:textId="77777777" w:rsidR="00454A29" w:rsidRDefault="00454A29">
            <w:pPr>
              <w:pStyle w:val="ConsPlusNormal"/>
              <w:jc w:val="center"/>
            </w:pPr>
            <w:r>
              <w:t>г. Якутск</w:t>
            </w:r>
          </w:p>
        </w:tc>
        <w:tc>
          <w:tcPr>
            <w:tcW w:w="2041" w:type="dxa"/>
            <w:vMerge w:val="restart"/>
            <w:vAlign w:val="center"/>
          </w:tcPr>
          <w:p w14:paraId="525240EC" w14:textId="77777777" w:rsidR="00454A29" w:rsidRDefault="00454A29">
            <w:pPr>
              <w:pStyle w:val="ConsPlusNormal"/>
              <w:jc w:val="center"/>
            </w:pPr>
            <w:r>
              <w:t>Приобретение (строительство, реконструкция) детского сада - ясли с размещением дополнительных ясельных групп на 83 места</w:t>
            </w:r>
          </w:p>
        </w:tc>
        <w:tc>
          <w:tcPr>
            <w:tcW w:w="2098" w:type="dxa"/>
            <w:vAlign w:val="center"/>
          </w:tcPr>
          <w:p w14:paraId="389191F3" w14:textId="77777777" w:rsidR="00454A29" w:rsidRDefault="00454A29">
            <w:pPr>
              <w:pStyle w:val="ConsPlusNormal"/>
              <w:jc w:val="center"/>
            </w:pPr>
            <w:r>
              <w:t>Итого</w:t>
            </w:r>
          </w:p>
        </w:tc>
        <w:tc>
          <w:tcPr>
            <w:tcW w:w="1814" w:type="dxa"/>
            <w:vAlign w:val="center"/>
          </w:tcPr>
          <w:p w14:paraId="4398E68D" w14:textId="77777777" w:rsidR="00454A29" w:rsidRDefault="00454A29">
            <w:pPr>
              <w:pStyle w:val="ConsPlusNormal"/>
              <w:jc w:val="center"/>
            </w:pPr>
            <w:r>
              <w:t>0,00</w:t>
            </w:r>
          </w:p>
        </w:tc>
        <w:tc>
          <w:tcPr>
            <w:tcW w:w="1701" w:type="dxa"/>
            <w:vAlign w:val="center"/>
          </w:tcPr>
          <w:p w14:paraId="5BD18FCE" w14:textId="77777777" w:rsidR="00454A29" w:rsidRDefault="00454A29">
            <w:pPr>
              <w:pStyle w:val="ConsPlusNormal"/>
              <w:jc w:val="center"/>
            </w:pPr>
            <w:r>
              <w:t>0,00</w:t>
            </w:r>
          </w:p>
        </w:tc>
        <w:tc>
          <w:tcPr>
            <w:tcW w:w="1701" w:type="dxa"/>
            <w:vAlign w:val="center"/>
          </w:tcPr>
          <w:p w14:paraId="1186B0D9" w14:textId="77777777" w:rsidR="00454A29" w:rsidRDefault="00454A29">
            <w:pPr>
              <w:pStyle w:val="ConsPlusNormal"/>
              <w:jc w:val="center"/>
            </w:pPr>
            <w:r>
              <w:t>0,00</w:t>
            </w:r>
          </w:p>
        </w:tc>
        <w:tc>
          <w:tcPr>
            <w:tcW w:w="1701" w:type="dxa"/>
            <w:vAlign w:val="center"/>
          </w:tcPr>
          <w:p w14:paraId="773B3498" w14:textId="77777777" w:rsidR="00454A29" w:rsidRDefault="00454A29">
            <w:pPr>
              <w:pStyle w:val="ConsPlusNormal"/>
              <w:jc w:val="center"/>
            </w:pPr>
            <w:r>
              <w:t>0,00</w:t>
            </w:r>
          </w:p>
        </w:tc>
        <w:tc>
          <w:tcPr>
            <w:tcW w:w="1701" w:type="dxa"/>
            <w:vAlign w:val="center"/>
          </w:tcPr>
          <w:p w14:paraId="355D9B2A" w14:textId="77777777" w:rsidR="00454A29" w:rsidRDefault="00454A29">
            <w:pPr>
              <w:pStyle w:val="ConsPlusNormal"/>
              <w:jc w:val="center"/>
            </w:pPr>
            <w:r>
              <w:t>0,00</w:t>
            </w:r>
          </w:p>
        </w:tc>
        <w:tc>
          <w:tcPr>
            <w:tcW w:w="1701" w:type="dxa"/>
            <w:vAlign w:val="center"/>
          </w:tcPr>
          <w:p w14:paraId="63165C1E" w14:textId="77777777" w:rsidR="00454A29" w:rsidRDefault="00454A29">
            <w:pPr>
              <w:pStyle w:val="ConsPlusNormal"/>
              <w:jc w:val="center"/>
            </w:pPr>
            <w:r>
              <w:t>0,00</w:t>
            </w:r>
          </w:p>
        </w:tc>
        <w:tc>
          <w:tcPr>
            <w:tcW w:w="1701" w:type="dxa"/>
            <w:vAlign w:val="center"/>
          </w:tcPr>
          <w:p w14:paraId="6BD8DE23" w14:textId="77777777" w:rsidR="00454A29" w:rsidRDefault="00454A29">
            <w:pPr>
              <w:pStyle w:val="ConsPlusNormal"/>
              <w:jc w:val="center"/>
            </w:pPr>
            <w:r>
              <w:t>0,00</w:t>
            </w:r>
          </w:p>
        </w:tc>
      </w:tr>
      <w:tr w:rsidR="00454A29" w14:paraId="4CF618BF" w14:textId="77777777">
        <w:tc>
          <w:tcPr>
            <w:tcW w:w="964" w:type="dxa"/>
            <w:vMerge/>
          </w:tcPr>
          <w:p w14:paraId="0D87C748" w14:textId="77777777" w:rsidR="00454A29" w:rsidRDefault="00454A29"/>
        </w:tc>
        <w:tc>
          <w:tcPr>
            <w:tcW w:w="2154" w:type="dxa"/>
            <w:vMerge/>
            <w:tcBorders>
              <w:top w:val="nil"/>
              <w:bottom w:val="nil"/>
            </w:tcBorders>
          </w:tcPr>
          <w:p w14:paraId="2CF4CFFA" w14:textId="77777777" w:rsidR="00454A29" w:rsidRDefault="00454A29"/>
        </w:tc>
        <w:tc>
          <w:tcPr>
            <w:tcW w:w="2154" w:type="dxa"/>
            <w:vMerge/>
            <w:tcBorders>
              <w:top w:val="nil"/>
              <w:bottom w:val="nil"/>
            </w:tcBorders>
          </w:tcPr>
          <w:p w14:paraId="46DB73D9" w14:textId="77777777" w:rsidR="00454A29" w:rsidRDefault="00454A29"/>
        </w:tc>
        <w:tc>
          <w:tcPr>
            <w:tcW w:w="2665" w:type="dxa"/>
            <w:vMerge/>
            <w:tcBorders>
              <w:top w:val="nil"/>
              <w:bottom w:val="nil"/>
            </w:tcBorders>
          </w:tcPr>
          <w:p w14:paraId="6BF8375A" w14:textId="77777777" w:rsidR="00454A29" w:rsidRDefault="00454A29"/>
        </w:tc>
        <w:tc>
          <w:tcPr>
            <w:tcW w:w="2665" w:type="dxa"/>
            <w:vMerge/>
            <w:tcBorders>
              <w:top w:val="nil"/>
              <w:bottom w:val="nil"/>
            </w:tcBorders>
          </w:tcPr>
          <w:p w14:paraId="2C706AA3" w14:textId="77777777" w:rsidR="00454A29" w:rsidRDefault="00454A29"/>
        </w:tc>
        <w:tc>
          <w:tcPr>
            <w:tcW w:w="1928" w:type="dxa"/>
            <w:vMerge/>
          </w:tcPr>
          <w:p w14:paraId="6FB7BB44" w14:textId="77777777" w:rsidR="00454A29" w:rsidRDefault="00454A29"/>
        </w:tc>
        <w:tc>
          <w:tcPr>
            <w:tcW w:w="1644" w:type="dxa"/>
            <w:vMerge/>
          </w:tcPr>
          <w:p w14:paraId="7698078D" w14:textId="77777777" w:rsidR="00454A29" w:rsidRDefault="00454A29"/>
        </w:tc>
        <w:tc>
          <w:tcPr>
            <w:tcW w:w="2041" w:type="dxa"/>
            <w:vMerge/>
          </w:tcPr>
          <w:p w14:paraId="4166A322" w14:textId="77777777" w:rsidR="00454A29" w:rsidRDefault="00454A29"/>
        </w:tc>
        <w:tc>
          <w:tcPr>
            <w:tcW w:w="2098" w:type="dxa"/>
            <w:vAlign w:val="center"/>
          </w:tcPr>
          <w:p w14:paraId="198D3362"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8F8FCE2" w14:textId="77777777" w:rsidR="00454A29" w:rsidRDefault="00454A29">
            <w:pPr>
              <w:pStyle w:val="ConsPlusNormal"/>
              <w:jc w:val="center"/>
            </w:pPr>
            <w:r>
              <w:t>0,00</w:t>
            </w:r>
          </w:p>
        </w:tc>
        <w:tc>
          <w:tcPr>
            <w:tcW w:w="1701" w:type="dxa"/>
            <w:vAlign w:val="center"/>
          </w:tcPr>
          <w:p w14:paraId="630A527A" w14:textId="77777777" w:rsidR="00454A29" w:rsidRDefault="00454A29">
            <w:pPr>
              <w:pStyle w:val="ConsPlusNormal"/>
              <w:jc w:val="center"/>
            </w:pPr>
            <w:r>
              <w:t>0,00</w:t>
            </w:r>
          </w:p>
        </w:tc>
        <w:tc>
          <w:tcPr>
            <w:tcW w:w="1701" w:type="dxa"/>
            <w:vAlign w:val="center"/>
          </w:tcPr>
          <w:p w14:paraId="1E0AED23" w14:textId="77777777" w:rsidR="00454A29" w:rsidRDefault="00454A29">
            <w:pPr>
              <w:pStyle w:val="ConsPlusNormal"/>
              <w:jc w:val="center"/>
            </w:pPr>
            <w:r>
              <w:t>0,00</w:t>
            </w:r>
          </w:p>
        </w:tc>
        <w:tc>
          <w:tcPr>
            <w:tcW w:w="1701" w:type="dxa"/>
            <w:vAlign w:val="center"/>
          </w:tcPr>
          <w:p w14:paraId="243810E3" w14:textId="77777777" w:rsidR="00454A29" w:rsidRDefault="00454A29">
            <w:pPr>
              <w:pStyle w:val="ConsPlusNormal"/>
              <w:jc w:val="center"/>
            </w:pPr>
            <w:r>
              <w:t>0,00</w:t>
            </w:r>
          </w:p>
        </w:tc>
        <w:tc>
          <w:tcPr>
            <w:tcW w:w="1701" w:type="dxa"/>
            <w:vAlign w:val="center"/>
          </w:tcPr>
          <w:p w14:paraId="15EC9EA6" w14:textId="77777777" w:rsidR="00454A29" w:rsidRDefault="00454A29">
            <w:pPr>
              <w:pStyle w:val="ConsPlusNormal"/>
              <w:jc w:val="center"/>
            </w:pPr>
            <w:r>
              <w:t>0,00</w:t>
            </w:r>
          </w:p>
        </w:tc>
        <w:tc>
          <w:tcPr>
            <w:tcW w:w="1701" w:type="dxa"/>
            <w:vAlign w:val="center"/>
          </w:tcPr>
          <w:p w14:paraId="318EF30A" w14:textId="77777777" w:rsidR="00454A29" w:rsidRDefault="00454A29">
            <w:pPr>
              <w:pStyle w:val="ConsPlusNormal"/>
              <w:jc w:val="center"/>
            </w:pPr>
            <w:r>
              <w:t>0,00</w:t>
            </w:r>
          </w:p>
        </w:tc>
        <w:tc>
          <w:tcPr>
            <w:tcW w:w="1701" w:type="dxa"/>
            <w:vAlign w:val="center"/>
          </w:tcPr>
          <w:p w14:paraId="540E8AF7" w14:textId="77777777" w:rsidR="00454A29" w:rsidRDefault="00454A29">
            <w:pPr>
              <w:pStyle w:val="ConsPlusNormal"/>
              <w:jc w:val="center"/>
            </w:pPr>
            <w:r>
              <w:t>0,00</w:t>
            </w:r>
          </w:p>
        </w:tc>
      </w:tr>
      <w:tr w:rsidR="00454A29" w14:paraId="573B9C14" w14:textId="77777777">
        <w:tc>
          <w:tcPr>
            <w:tcW w:w="964" w:type="dxa"/>
            <w:vMerge/>
          </w:tcPr>
          <w:p w14:paraId="18202A43" w14:textId="77777777" w:rsidR="00454A29" w:rsidRDefault="00454A29"/>
        </w:tc>
        <w:tc>
          <w:tcPr>
            <w:tcW w:w="2154" w:type="dxa"/>
            <w:vMerge/>
            <w:tcBorders>
              <w:top w:val="nil"/>
              <w:bottom w:val="nil"/>
            </w:tcBorders>
          </w:tcPr>
          <w:p w14:paraId="2501FBC5" w14:textId="77777777" w:rsidR="00454A29" w:rsidRDefault="00454A29"/>
        </w:tc>
        <w:tc>
          <w:tcPr>
            <w:tcW w:w="2154" w:type="dxa"/>
            <w:vMerge/>
            <w:tcBorders>
              <w:top w:val="nil"/>
              <w:bottom w:val="nil"/>
            </w:tcBorders>
          </w:tcPr>
          <w:p w14:paraId="58248D94" w14:textId="77777777" w:rsidR="00454A29" w:rsidRDefault="00454A29"/>
        </w:tc>
        <w:tc>
          <w:tcPr>
            <w:tcW w:w="2665" w:type="dxa"/>
            <w:vMerge/>
            <w:tcBorders>
              <w:top w:val="nil"/>
              <w:bottom w:val="nil"/>
            </w:tcBorders>
          </w:tcPr>
          <w:p w14:paraId="0D585EE1" w14:textId="77777777" w:rsidR="00454A29" w:rsidRDefault="00454A29"/>
        </w:tc>
        <w:tc>
          <w:tcPr>
            <w:tcW w:w="2665" w:type="dxa"/>
            <w:vMerge/>
            <w:tcBorders>
              <w:top w:val="nil"/>
              <w:bottom w:val="nil"/>
            </w:tcBorders>
          </w:tcPr>
          <w:p w14:paraId="123C97BC" w14:textId="77777777" w:rsidR="00454A29" w:rsidRDefault="00454A29"/>
        </w:tc>
        <w:tc>
          <w:tcPr>
            <w:tcW w:w="1928" w:type="dxa"/>
            <w:vMerge/>
          </w:tcPr>
          <w:p w14:paraId="3995D167" w14:textId="77777777" w:rsidR="00454A29" w:rsidRDefault="00454A29"/>
        </w:tc>
        <w:tc>
          <w:tcPr>
            <w:tcW w:w="1644" w:type="dxa"/>
            <w:vMerge/>
          </w:tcPr>
          <w:p w14:paraId="438F288C" w14:textId="77777777" w:rsidR="00454A29" w:rsidRDefault="00454A29"/>
        </w:tc>
        <w:tc>
          <w:tcPr>
            <w:tcW w:w="2041" w:type="dxa"/>
            <w:vMerge/>
          </w:tcPr>
          <w:p w14:paraId="66134B50" w14:textId="77777777" w:rsidR="00454A29" w:rsidRDefault="00454A29"/>
        </w:tc>
        <w:tc>
          <w:tcPr>
            <w:tcW w:w="2098" w:type="dxa"/>
            <w:vAlign w:val="center"/>
          </w:tcPr>
          <w:p w14:paraId="0D3D2EB5" w14:textId="77777777" w:rsidR="00454A29" w:rsidRDefault="00454A29">
            <w:pPr>
              <w:pStyle w:val="ConsPlusNormal"/>
              <w:jc w:val="center"/>
            </w:pPr>
            <w:r>
              <w:t>Федеральный бюджет</w:t>
            </w:r>
          </w:p>
        </w:tc>
        <w:tc>
          <w:tcPr>
            <w:tcW w:w="1814" w:type="dxa"/>
            <w:vAlign w:val="center"/>
          </w:tcPr>
          <w:p w14:paraId="7F3585C8" w14:textId="77777777" w:rsidR="00454A29" w:rsidRDefault="00454A29">
            <w:pPr>
              <w:pStyle w:val="ConsPlusNormal"/>
              <w:jc w:val="center"/>
            </w:pPr>
            <w:r>
              <w:t>0,00</w:t>
            </w:r>
          </w:p>
        </w:tc>
        <w:tc>
          <w:tcPr>
            <w:tcW w:w="1701" w:type="dxa"/>
            <w:vAlign w:val="center"/>
          </w:tcPr>
          <w:p w14:paraId="435A340E" w14:textId="77777777" w:rsidR="00454A29" w:rsidRDefault="00454A29">
            <w:pPr>
              <w:pStyle w:val="ConsPlusNormal"/>
              <w:jc w:val="center"/>
            </w:pPr>
            <w:r>
              <w:t>0,00</w:t>
            </w:r>
          </w:p>
        </w:tc>
        <w:tc>
          <w:tcPr>
            <w:tcW w:w="1701" w:type="dxa"/>
            <w:vAlign w:val="center"/>
          </w:tcPr>
          <w:p w14:paraId="768BD439" w14:textId="77777777" w:rsidR="00454A29" w:rsidRDefault="00454A29">
            <w:pPr>
              <w:pStyle w:val="ConsPlusNormal"/>
              <w:jc w:val="center"/>
            </w:pPr>
            <w:r>
              <w:t>0,00</w:t>
            </w:r>
          </w:p>
        </w:tc>
        <w:tc>
          <w:tcPr>
            <w:tcW w:w="1701" w:type="dxa"/>
            <w:vAlign w:val="center"/>
          </w:tcPr>
          <w:p w14:paraId="6D59986C" w14:textId="77777777" w:rsidR="00454A29" w:rsidRDefault="00454A29">
            <w:pPr>
              <w:pStyle w:val="ConsPlusNormal"/>
              <w:jc w:val="center"/>
            </w:pPr>
            <w:r>
              <w:t>0,00</w:t>
            </w:r>
          </w:p>
        </w:tc>
        <w:tc>
          <w:tcPr>
            <w:tcW w:w="1701" w:type="dxa"/>
            <w:vAlign w:val="center"/>
          </w:tcPr>
          <w:p w14:paraId="2139620B" w14:textId="77777777" w:rsidR="00454A29" w:rsidRDefault="00454A29">
            <w:pPr>
              <w:pStyle w:val="ConsPlusNormal"/>
              <w:jc w:val="center"/>
            </w:pPr>
            <w:r>
              <w:t>0,00</w:t>
            </w:r>
          </w:p>
        </w:tc>
        <w:tc>
          <w:tcPr>
            <w:tcW w:w="1701" w:type="dxa"/>
            <w:vAlign w:val="center"/>
          </w:tcPr>
          <w:p w14:paraId="31730EBF" w14:textId="77777777" w:rsidR="00454A29" w:rsidRDefault="00454A29">
            <w:pPr>
              <w:pStyle w:val="ConsPlusNormal"/>
              <w:jc w:val="center"/>
            </w:pPr>
            <w:r>
              <w:t>0,00</w:t>
            </w:r>
          </w:p>
        </w:tc>
        <w:tc>
          <w:tcPr>
            <w:tcW w:w="1701" w:type="dxa"/>
            <w:vAlign w:val="center"/>
          </w:tcPr>
          <w:p w14:paraId="26098B8E" w14:textId="77777777" w:rsidR="00454A29" w:rsidRDefault="00454A29">
            <w:pPr>
              <w:pStyle w:val="ConsPlusNormal"/>
              <w:jc w:val="center"/>
            </w:pPr>
            <w:r>
              <w:t>0,00</w:t>
            </w:r>
          </w:p>
        </w:tc>
      </w:tr>
      <w:tr w:rsidR="00454A29" w14:paraId="7D9C45C6" w14:textId="77777777">
        <w:tc>
          <w:tcPr>
            <w:tcW w:w="964" w:type="dxa"/>
            <w:vMerge/>
          </w:tcPr>
          <w:p w14:paraId="24DF8EC6" w14:textId="77777777" w:rsidR="00454A29" w:rsidRDefault="00454A29"/>
        </w:tc>
        <w:tc>
          <w:tcPr>
            <w:tcW w:w="2154" w:type="dxa"/>
            <w:vMerge/>
            <w:tcBorders>
              <w:top w:val="nil"/>
              <w:bottom w:val="nil"/>
            </w:tcBorders>
          </w:tcPr>
          <w:p w14:paraId="2F74FDCC" w14:textId="77777777" w:rsidR="00454A29" w:rsidRDefault="00454A29"/>
        </w:tc>
        <w:tc>
          <w:tcPr>
            <w:tcW w:w="2154" w:type="dxa"/>
            <w:vMerge/>
            <w:tcBorders>
              <w:top w:val="nil"/>
              <w:bottom w:val="nil"/>
            </w:tcBorders>
          </w:tcPr>
          <w:p w14:paraId="363959F8" w14:textId="77777777" w:rsidR="00454A29" w:rsidRDefault="00454A29"/>
        </w:tc>
        <w:tc>
          <w:tcPr>
            <w:tcW w:w="2665" w:type="dxa"/>
            <w:vMerge/>
            <w:tcBorders>
              <w:top w:val="nil"/>
              <w:bottom w:val="nil"/>
            </w:tcBorders>
          </w:tcPr>
          <w:p w14:paraId="513D5749" w14:textId="77777777" w:rsidR="00454A29" w:rsidRDefault="00454A29"/>
        </w:tc>
        <w:tc>
          <w:tcPr>
            <w:tcW w:w="2665" w:type="dxa"/>
            <w:vMerge/>
            <w:tcBorders>
              <w:top w:val="nil"/>
              <w:bottom w:val="nil"/>
            </w:tcBorders>
          </w:tcPr>
          <w:p w14:paraId="394A5D58" w14:textId="77777777" w:rsidR="00454A29" w:rsidRDefault="00454A29"/>
        </w:tc>
        <w:tc>
          <w:tcPr>
            <w:tcW w:w="1928" w:type="dxa"/>
            <w:vMerge/>
          </w:tcPr>
          <w:p w14:paraId="74EBB9EE" w14:textId="77777777" w:rsidR="00454A29" w:rsidRDefault="00454A29"/>
        </w:tc>
        <w:tc>
          <w:tcPr>
            <w:tcW w:w="1644" w:type="dxa"/>
            <w:vMerge/>
          </w:tcPr>
          <w:p w14:paraId="1248CBCF" w14:textId="77777777" w:rsidR="00454A29" w:rsidRDefault="00454A29"/>
        </w:tc>
        <w:tc>
          <w:tcPr>
            <w:tcW w:w="2041" w:type="dxa"/>
            <w:vMerge/>
          </w:tcPr>
          <w:p w14:paraId="0DBF90DB" w14:textId="77777777" w:rsidR="00454A29" w:rsidRDefault="00454A29"/>
        </w:tc>
        <w:tc>
          <w:tcPr>
            <w:tcW w:w="2098" w:type="dxa"/>
            <w:vAlign w:val="center"/>
          </w:tcPr>
          <w:p w14:paraId="0924CE12" w14:textId="77777777" w:rsidR="00454A29" w:rsidRDefault="00454A29">
            <w:pPr>
              <w:pStyle w:val="ConsPlusNormal"/>
              <w:jc w:val="center"/>
            </w:pPr>
            <w:r>
              <w:t>Местные бюджеты</w:t>
            </w:r>
          </w:p>
        </w:tc>
        <w:tc>
          <w:tcPr>
            <w:tcW w:w="1814" w:type="dxa"/>
            <w:vAlign w:val="center"/>
          </w:tcPr>
          <w:p w14:paraId="640237F8" w14:textId="77777777" w:rsidR="00454A29" w:rsidRDefault="00454A29">
            <w:pPr>
              <w:pStyle w:val="ConsPlusNormal"/>
              <w:jc w:val="center"/>
            </w:pPr>
            <w:r>
              <w:t>0,00</w:t>
            </w:r>
          </w:p>
        </w:tc>
        <w:tc>
          <w:tcPr>
            <w:tcW w:w="1701" w:type="dxa"/>
            <w:vAlign w:val="center"/>
          </w:tcPr>
          <w:p w14:paraId="4429FE1C" w14:textId="77777777" w:rsidR="00454A29" w:rsidRDefault="00454A29">
            <w:pPr>
              <w:pStyle w:val="ConsPlusNormal"/>
              <w:jc w:val="center"/>
            </w:pPr>
            <w:r>
              <w:t>0,00</w:t>
            </w:r>
          </w:p>
        </w:tc>
        <w:tc>
          <w:tcPr>
            <w:tcW w:w="1701" w:type="dxa"/>
            <w:vAlign w:val="center"/>
          </w:tcPr>
          <w:p w14:paraId="1A0649EC" w14:textId="77777777" w:rsidR="00454A29" w:rsidRDefault="00454A29">
            <w:pPr>
              <w:pStyle w:val="ConsPlusNormal"/>
              <w:jc w:val="center"/>
            </w:pPr>
            <w:r>
              <w:t>0,00</w:t>
            </w:r>
          </w:p>
        </w:tc>
        <w:tc>
          <w:tcPr>
            <w:tcW w:w="1701" w:type="dxa"/>
            <w:vAlign w:val="center"/>
          </w:tcPr>
          <w:p w14:paraId="7E4E9CBA" w14:textId="77777777" w:rsidR="00454A29" w:rsidRDefault="00454A29">
            <w:pPr>
              <w:pStyle w:val="ConsPlusNormal"/>
              <w:jc w:val="center"/>
            </w:pPr>
            <w:r>
              <w:t>0,00</w:t>
            </w:r>
          </w:p>
        </w:tc>
        <w:tc>
          <w:tcPr>
            <w:tcW w:w="1701" w:type="dxa"/>
            <w:vAlign w:val="center"/>
          </w:tcPr>
          <w:p w14:paraId="28DF7C0A" w14:textId="77777777" w:rsidR="00454A29" w:rsidRDefault="00454A29">
            <w:pPr>
              <w:pStyle w:val="ConsPlusNormal"/>
              <w:jc w:val="center"/>
            </w:pPr>
            <w:r>
              <w:t>0,00</w:t>
            </w:r>
          </w:p>
        </w:tc>
        <w:tc>
          <w:tcPr>
            <w:tcW w:w="1701" w:type="dxa"/>
            <w:vAlign w:val="center"/>
          </w:tcPr>
          <w:p w14:paraId="20A657D6" w14:textId="77777777" w:rsidR="00454A29" w:rsidRDefault="00454A29">
            <w:pPr>
              <w:pStyle w:val="ConsPlusNormal"/>
              <w:jc w:val="center"/>
            </w:pPr>
            <w:r>
              <w:t>0,00</w:t>
            </w:r>
          </w:p>
        </w:tc>
        <w:tc>
          <w:tcPr>
            <w:tcW w:w="1701" w:type="dxa"/>
            <w:vAlign w:val="center"/>
          </w:tcPr>
          <w:p w14:paraId="28847C2B" w14:textId="77777777" w:rsidR="00454A29" w:rsidRDefault="00454A29">
            <w:pPr>
              <w:pStyle w:val="ConsPlusNormal"/>
              <w:jc w:val="center"/>
            </w:pPr>
            <w:r>
              <w:t>0,00</w:t>
            </w:r>
          </w:p>
        </w:tc>
      </w:tr>
      <w:tr w:rsidR="00454A29" w14:paraId="53859BF5" w14:textId="77777777">
        <w:tc>
          <w:tcPr>
            <w:tcW w:w="964" w:type="dxa"/>
            <w:vMerge/>
          </w:tcPr>
          <w:p w14:paraId="6F2DBA0F" w14:textId="77777777" w:rsidR="00454A29" w:rsidRDefault="00454A29"/>
        </w:tc>
        <w:tc>
          <w:tcPr>
            <w:tcW w:w="2154" w:type="dxa"/>
            <w:vMerge/>
            <w:tcBorders>
              <w:top w:val="nil"/>
              <w:bottom w:val="nil"/>
            </w:tcBorders>
          </w:tcPr>
          <w:p w14:paraId="4847B87A" w14:textId="77777777" w:rsidR="00454A29" w:rsidRDefault="00454A29"/>
        </w:tc>
        <w:tc>
          <w:tcPr>
            <w:tcW w:w="2154" w:type="dxa"/>
            <w:vMerge/>
            <w:tcBorders>
              <w:top w:val="nil"/>
              <w:bottom w:val="nil"/>
            </w:tcBorders>
          </w:tcPr>
          <w:p w14:paraId="027CF0DF" w14:textId="77777777" w:rsidR="00454A29" w:rsidRDefault="00454A29"/>
        </w:tc>
        <w:tc>
          <w:tcPr>
            <w:tcW w:w="2665" w:type="dxa"/>
            <w:vMerge/>
            <w:tcBorders>
              <w:top w:val="nil"/>
              <w:bottom w:val="nil"/>
            </w:tcBorders>
          </w:tcPr>
          <w:p w14:paraId="0E31589B" w14:textId="77777777" w:rsidR="00454A29" w:rsidRDefault="00454A29"/>
        </w:tc>
        <w:tc>
          <w:tcPr>
            <w:tcW w:w="2665" w:type="dxa"/>
            <w:vMerge/>
            <w:tcBorders>
              <w:top w:val="nil"/>
              <w:bottom w:val="nil"/>
            </w:tcBorders>
          </w:tcPr>
          <w:p w14:paraId="1620F1A1" w14:textId="77777777" w:rsidR="00454A29" w:rsidRDefault="00454A29"/>
        </w:tc>
        <w:tc>
          <w:tcPr>
            <w:tcW w:w="1928" w:type="dxa"/>
            <w:vMerge/>
          </w:tcPr>
          <w:p w14:paraId="08E26444" w14:textId="77777777" w:rsidR="00454A29" w:rsidRDefault="00454A29"/>
        </w:tc>
        <w:tc>
          <w:tcPr>
            <w:tcW w:w="1644" w:type="dxa"/>
            <w:vMerge/>
          </w:tcPr>
          <w:p w14:paraId="702D2FB6" w14:textId="77777777" w:rsidR="00454A29" w:rsidRDefault="00454A29"/>
        </w:tc>
        <w:tc>
          <w:tcPr>
            <w:tcW w:w="2041" w:type="dxa"/>
            <w:vMerge/>
          </w:tcPr>
          <w:p w14:paraId="108C3D00" w14:textId="77777777" w:rsidR="00454A29" w:rsidRDefault="00454A29"/>
        </w:tc>
        <w:tc>
          <w:tcPr>
            <w:tcW w:w="2098" w:type="dxa"/>
            <w:vAlign w:val="center"/>
          </w:tcPr>
          <w:p w14:paraId="6F0CE16B" w14:textId="77777777" w:rsidR="00454A29" w:rsidRDefault="00454A29">
            <w:pPr>
              <w:pStyle w:val="ConsPlusNormal"/>
              <w:jc w:val="center"/>
            </w:pPr>
            <w:r>
              <w:t>Внебюджетные средства</w:t>
            </w:r>
          </w:p>
        </w:tc>
        <w:tc>
          <w:tcPr>
            <w:tcW w:w="1814" w:type="dxa"/>
            <w:vAlign w:val="center"/>
          </w:tcPr>
          <w:p w14:paraId="5C30BD75" w14:textId="77777777" w:rsidR="00454A29" w:rsidRDefault="00454A29">
            <w:pPr>
              <w:pStyle w:val="ConsPlusNormal"/>
              <w:jc w:val="center"/>
            </w:pPr>
            <w:r>
              <w:t>0,00</w:t>
            </w:r>
          </w:p>
        </w:tc>
        <w:tc>
          <w:tcPr>
            <w:tcW w:w="1701" w:type="dxa"/>
            <w:vAlign w:val="center"/>
          </w:tcPr>
          <w:p w14:paraId="54E10772" w14:textId="77777777" w:rsidR="00454A29" w:rsidRDefault="00454A29">
            <w:pPr>
              <w:pStyle w:val="ConsPlusNormal"/>
              <w:jc w:val="center"/>
            </w:pPr>
            <w:r>
              <w:t>0,00</w:t>
            </w:r>
          </w:p>
        </w:tc>
        <w:tc>
          <w:tcPr>
            <w:tcW w:w="1701" w:type="dxa"/>
            <w:vAlign w:val="center"/>
          </w:tcPr>
          <w:p w14:paraId="57E7875D" w14:textId="77777777" w:rsidR="00454A29" w:rsidRDefault="00454A29">
            <w:pPr>
              <w:pStyle w:val="ConsPlusNormal"/>
              <w:jc w:val="center"/>
            </w:pPr>
            <w:r>
              <w:t>0,00</w:t>
            </w:r>
          </w:p>
        </w:tc>
        <w:tc>
          <w:tcPr>
            <w:tcW w:w="1701" w:type="dxa"/>
            <w:vAlign w:val="center"/>
          </w:tcPr>
          <w:p w14:paraId="6840EAA7" w14:textId="77777777" w:rsidR="00454A29" w:rsidRDefault="00454A29">
            <w:pPr>
              <w:pStyle w:val="ConsPlusNormal"/>
              <w:jc w:val="center"/>
            </w:pPr>
            <w:r>
              <w:t>0,00</w:t>
            </w:r>
          </w:p>
        </w:tc>
        <w:tc>
          <w:tcPr>
            <w:tcW w:w="1701" w:type="dxa"/>
            <w:vAlign w:val="center"/>
          </w:tcPr>
          <w:p w14:paraId="1D76E9C7" w14:textId="77777777" w:rsidR="00454A29" w:rsidRDefault="00454A29">
            <w:pPr>
              <w:pStyle w:val="ConsPlusNormal"/>
              <w:jc w:val="center"/>
            </w:pPr>
            <w:r>
              <w:t>0,00</w:t>
            </w:r>
          </w:p>
        </w:tc>
        <w:tc>
          <w:tcPr>
            <w:tcW w:w="1701" w:type="dxa"/>
            <w:vAlign w:val="center"/>
          </w:tcPr>
          <w:p w14:paraId="75F33A5A" w14:textId="77777777" w:rsidR="00454A29" w:rsidRDefault="00454A29">
            <w:pPr>
              <w:pStyle w:val="ConsPlusNormal"/>
              <w:jc w:val="center"/>
            </w:pPr>
            <w:r>
              <w:t>0,00</w:t>
            </w:r>
          </w:p>
        </w:tc>
        <w:tc>
          <w:tcPr>
            <w:tcW w:w="1701" w:type="dxa"/>
            <w:vAlign w:val="center"/>
          </w:tcPr>
          <w:p w14:paraId="0F127E57" w14:textId="77777777" w:rsidR="00454A29" w:rsidRDefault="00454A29">
            <w:pPr>
              <w:pStyle w:val="ConsPlusNormal"/>
              <w:jc w:val="center"/>
            </w:pPr>
            <w:r>
              <w:t>0,00</w:t>
            </w:r>
          </w:p>
        </w:tc>
      </w:tr>
      <w:tr w:rsidR="00454A29" w14:paraId="22EF2DD9" w14:textId="77777777">
        <w:tc>
          <w:tcPr>
            <w:tcW w:w="964" w:type="dxa"/>
            <w:vMerge w:val="restart"/>
            <w:vAlign w:val="center"/>
          </w:tcPr>
          <w:p w14:paraId="47BCE35D" w14:textId="77777777" w:rsidR="00454A29" w:rsidRDefault="00454A29">
            <w:pPr>
              <w:pStyle w:val="ConsPlusNormal"/>
              <w:jc w:val="center"/>
            </w:pPr>
            <w:r>
              <w:t>11.1.6.</w:t>
            </w:r>
          </w:p>
        </w:tc>
        <w:tc>
          <w:tcPr>
            <w:tcW w:w="2154" w:type="dxa"/>
            <w:vMerge w:val="restart"/>
            <w:tcBorders>
              <w:top w:val="nil"/>
              <w:bottom w:val="nil"/>
            </w:tcBorders>
            <w:vAlign w:val="center"/>
          </w:tcPr>
          <w:p w14:paraId="346B4D10" w14:textId="77777777" w:rsidR="00454A29" w:rsidRDefault="00454A29">
            <w:pPr>
              <w:pStyle w:val="ConsPlusNormal"/>
            </w:pPr>
          </w:p>
        </w:tc>
        <w:tc>
          <w:tcPr>
            <w:tcW w:w="2154" w:type="dxa"/>
            <w:vMerge w:val="restart"/>
            <w:tcBorders>
              <w:top w:val="nil"/>
              <w:bottom w:val="nil"/>
            </w:tcBorders>
            <w:vAlign w:val="center"/>
          </w:tcPr>
          <w:p w14:paraId="13783655" w14:textId="77777777" w:rsidR="00454A29" w:rsidRDefault="00454A29">
            <w:pPr>
              <w:pStyle w:val="ConsPlusNormal"/>
            </w:pPr>
          </w:p>
        </w:tc>
        <w:tc>
          <w:tcPr>
            <w:tcW w:w="2665" w:type="dxa"/>
            <w:vMerge w:val="restart"/>
            <w:tcBorders>
              <w:top w:val="nil"/>
              <w:bottom w:val="nil"/>
            </w:tcBorders>
            <w:vAlign w:val="center"/>
          </w:tcPr>
          <w:p w14:paraId="05C9145A" w14:textId="77777777" w:rsidR="00454A29" w:rsidRDefault="00454A29">
            <w:pPr>
              <w:pStyle w:val="ConsPlusNormal"/>
            </w:pPr>
          </w:p>
        </w:tc>
        <w:tc>
          <w:tcPr>
            <w:tcW w:w="2665" w:type="dxa"/>
            <w:vMerge w:val="restart"/>
            <w:tcBorders>
              <w:top w:val="nil"/>
              <w:bottom w:val="nil"/>
            </w:tcBorders>
            <w:vAlign w:val="center"/>
          </w:tcPr>
          <w:p w14:paraId="0E1E8063" w14:textId="77777777" w:rsidR="00454A29" w:rsidRDefault="00454A29">
            <w:pPr>
              <w:pStyle w:val="ConsPlusNormal"/>
            </w:pPr>
          </w:p>
        </w:tc>
        <w:tc>
          <w:tcPr>
            <w:tcW w:w="1928" w:type="dxa"/>
            <w:vMerge w:val="restart"/>
            <w:vAlign w:val="center"/>
          </w:tcPr>
          <w:p w14:paraId="43301894" w14:textId="77777777" w:rsidR="00454A29" w:rsidRDefault="00454A29">
            <w:pPr>
              <w:pStyle w:val="ConsPlusNormal"/>
              <w:jc w:val="center"/>
            </w:pPr>
            <w:r>
              <w:t>МР "Хангаласский улус"</w:t>
            </w:r>
          </w:p>
        </w:tc>
        <w:tc>
          <w:tcPr>
            <w:tcW w:w="1644" w:type="dxa"/>
            <w:vMerge w:val="restart"/>
            <w:vAlign w:val="center"/>
          </w:tcPr>
          <w:p w14:paraId="272BAB9A" w14:textId="77777777" w:rsidR="00454A29" w:rsidRDefault="00454A29">
            <w:pPr>
              <w:pStyle w:val="ConsPlusNormal"/>
              <w:jc w:val="center"/>
            </w:pPr>
            <w:r>
              <w:t>г. Покровск</w:t>
            </w:r>
          </w:p>
        </w:tc>
        <w:tc>
          <w:tcPr>
            <w:tcW w:w="2041" w:type="dxa"/>
            <w:vMerge w:val="restart"/>
            <w:vAlign w:val="center"/>
          </w:tcPr>
          <w:p w14:paraId="5162F182" w14:textId="77777777" w:rsidR="00454A29" w:rsidRDefault="00454A29">
            <w:pPr>
              <w:pStyle w:val="ConsPlusNormal"/>
              <w:jc w:val="center"/>
            </w:pPr>
            <w:r>
              <w:t>Строительство детского сада на 240 мест</w:t>
            </w:r>
          </w:p>
        </w:tc>
        <w:tc>
          <w:tcPr>
            <w:tcW w:w="2098" w:type="dxa"/>
            <w:vAlign w:val="center"/>
          </w:tcPr>
          <w:p w14:paraId="5BD7FBC4" w14:textId="77777777" w:rsidR="00454A29" w:rsidRDefault="00454A29">
            <w:pPr>
              <w:pStyle w:val="ConsPlusNormal"/>
              <w:jc w:val="center"/>
            </w:pPr>
            <w:r>
              <w:t>Итого</w:t>
            </w:r>
          </w:p>
        </w:tc>
        <w:tc>
          <w:tcPr>
            <w:tcW w:w="1814" w:type="dxa"/>
            <w:vAlign w:val="center"/>
          </w:tcPr>
          <w:p w14:paraId="07E26B7E" w14:textId="77777777" w:rsidR="00454A29" w:rsidRDefault="00454A29">
            <w:pPr>
              <w:pStyle w:val="ConsPlusNormal"/>
              <w:jc w:val="center"/>
            </w:pPr>
            <w:r>
              <w:t>0,00</w:t>
            </w:r>
          </w:p>
        </w:tc>
        <w:tc>
          <w:tcPr>
            <w:tcW w:w="1701" w:type="dxa"/>
            <w:vAlign w:val="center"/>
          </w:tcPr>
          <w:p w14:paraId="144279B9" w14:textId="77777777" w:rsidR="00454A29" w:rsidRDefault="00454A29">
            <w:pPr>
              <w:pStyle w:val="ConsPlusNormal"/>
              <w:jc w:val="center"/>
            </w:pPr>
            <w:r>
              <w:t>0,00</w:t>
            </w:r>
          </w:p>
        </w:tc>
        <w:tc>
          <w:tcPr>
            <w:tcW w:w="1701" w:type="dxa"/>
            <w:vAlign w:val="center"/>
          </w:tcPr>
          <w:p w14:paraId="5544637B" w14:textId="77777777" w:rsidR="00454A29" w:rsidRDefault="00454A29">
            <w:pPr>
              <w:pStyle w:val="ConsPlusNormal"/>
              <w:jc w:val="center"/>
            </w:pPr>
            <w:r>
              <w:t>0,00</w:t>
            </w:r>
          </w:p>
        </w:tc>
        <w:tc>
          <w:tcPr>
            <w:tcW w:w="1701" w:type="dxa"/>
            <w:vAlign w:val="center"/>
          </w:tcPr>
          <w:p w14:paraId="3BA94525" w14:textId="77777777" w:rsidR="00454A29" w:rsidRDefault="00454A29">
            <w:pPr>
              <w:pStyle w:val="ConsPlusNormal"/>
              <w:jc w:val="center"/>
            </w:pPr>
            <w:r>
              <w:t>0,00</w:t>
            </w:r>
          </w:p>
        </w:tc>
        <w:tc>
          <w:tcPr>
            <w:tcW w:w="1701" w:type="dxa"/>
            <w:vAlign w:val="center"/>
          </w:tcPr>
          <w:p w14:paraId="67CE5FA6" w14:textId="77777777" w:rsidR="00454A29" w:rsidRDefault="00454A29">
            <w:pPr>
              <w:pStyle w:val="ConsPlusNormal"/>
              <w:jc w:val="center"/>
            </w:pPr>
            <w:r>
              <w:t>0,00</w:t>
            </w:r>
          </w:p>
        </w:tc>
        <w:tc>
          <w:tcPr>
            <w:tcW w:w="1701" w:type="dxa"/>
            <w:vAlign w:val="center"/>
          </w:tcPr>
          <w:p w14:paraId="733860E2" w14:textId="77777777" w:rsidR="00454A29" w:rsidRDefault="00454A29">
            <w:pPr>
              <w:pStyle w:val="ConsPlusNormal"/>
              <w:jc w:val="center"/>
            </w:pPr>
            <w:r>
              <w:t>0,00</w:t>
            </w:r>
          </w:p>
        </w:tc>
        <w:tc>
          <w:tcPr>
            <w:tcW w:w="1701" w:type="dxa"/>
            <w:vAlign w:val="center"/>
          </w:tcPr>
          <w:p w14:paraId="54E9A86D" w14:textId="77777777" w:rsidR="00454A29" w:rsidRDefault="00454A29">
            <w:pPr>
              <w:pStyle w:val="ConsPlusNormal"/>
              <w:jc w:val="center"/>
            </w:pPr>
            <w:r>
              <w:t>0,00</w:t>
            </w:r>
          </w:p>
        </w:tc>
      </w:tr>
      <w:tr w:rsidR="00454A29" w14:paraId="22BC6C1F" w14:textId="77777777">
        <w:tc>
          <w:tcPr>
            <w:tcW w:w="964" w:type="dxa"/>
            <w:vMerge/>
          </w:tcPr>
          <w:p w14:paraId="4CBEA5EA" w14:textId="77777777" w:rsidR="00454A29" w:rsidRDefault="00454A29"/>
        </w:tc>
        <w:tc>
          <w:tcPr>
            <w:tcW w:w="2154" w:type="dxa"/>
            <w:vMerge/>
            <w:tcBorders>
              <w:top w:val="nil"/>
              <w:bottom w:val="nil"/>
            </w:tcBorders>
          </w:tcPr>
          <w:p w14:paraId="48EFD1CE" w14:textId="77777777" w:rsidR="00454A29" w:rsidRDefault="00454A29"/>
        </w:tc>
        <w:tc>
          <w:tcPr>
            <w:tcW w:w="2154" w:type="dxa"/>
            <w:vMerge/>
            <w:tcBorders>
              <w:top w:val="nil"/>
              <w:bottom w:val="nil"/>
            </w:tcBorders>
          </w:tcPr>
          <w:p w14:paraId="3350B6D6" w14:textId="77777777" w:rsidR="00454A29" w:rsidRDefault="00454A29"/>
        </w:tc>
        <w:tc>
          <w:tcPr>
            <w:tcW w:w="2665" w:type="dxa"/>
            <w:vMerge/>
            <w:tcBorders>
              <w:top w:val="nil"/>
              <w:bottom w:val="nil"/>
            </w:tcBorders>
          </w:tcPr>
          <w:p w14:paraId="3A82F1E8" w14:textId="77777777" w:rsidR="00454A29" w:rsidRDefault="00454A29"/>
        </w:tc>
        <w:tc>
          <w:tcPr>
            <w:tcW w:w="2665" w:type="dxa"/>
            <w:vMerge/>
            <w:tcBorders>
              <w:top w:val="nil"/>
              <w:bottom w:val="nil"/>
            </w:tcBorders>
          </w:tcPr>
          <w:p w14:paraId="4C8713AB" w14:textId="77777777" w:rsidR="00454A29" w:rsidRDefault="00454A29"/>
        </w:tc>
        <w:tc>
          <w:tcPr>
            <w:tcW w:w="1928" w:type="dxa"/>
            <w:vMerge/>
          </w:tcPr>
          <w:p w14:paraId="750A5E69" w14:textId="77777777" w:rsidR="00454A29" w:rsidRDefault="00454A29"/>
        </w:tc>
        <w:tc>
          <w:tcPr>
            <w:tcW w:w="1644" w:type="dxa"/>
            <w:vMerge/>
          </w:tcPr>
          <w:p w14:paraId="29D4D370" w14:textId="77777777" w:rsidR="00454A29" w:rsidRDefault="00454A29"/>
        </w:tc>
        <w:tc>
          <w:tcPr>
            <w:tcW w:w="2041" w:type="dxa"/>
            <w:vMerge/>
          </w:tcPr>
          <w:p w14:paraId="64C03BBD" w14:textId="77777777" w:rsidR="00454A29" w:rsidRDefault="00454A29"/>
        </w:tc>
        <w:tc>
          <w:tcPr>
            <w:tcW w:w="2098" w:type="dxa"/>
            <w:vAlign w:val="center"/>
          </w:tcPr>
          <w:p w14:paraId="3DC0A983"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333D6FD" w14:textId="77777777" w:rsidR="00454A29" w:rsidRDefault="00454A29">
            <w:pPr>
              <w:pStyle w:val="ConsPlusNormal"/>
              <w:jc w:val="center"/>
            </w:pPr>
            <w:r>
              <w:t>0,00</w:t>
            </w:r>
          </w:p>
        </w:tc>
        <w:tc>
          <w:tcPr>
            <w:tcW w:w="1701" w:type="dxa"/>
            <w:vAlign w:val="center"/>
          </w:tcPr>
          <w:p w14:paraId="16CB7DEE" w14:textId="77777777" w:rsidR="00454A29" w:rsidRDefault="00454A29">
            <w:pPr>
              <w:pStyle w:val="ConsPlusNormal"/>
              <w:jc w:val="center"/>
            </w:pPr>
            <w:r>
              <w:t>0,00</w:t>
            </w:r>
          </w:p>
        </w:tc>
        <w:tc>
          <w:tcPr>
            <w:tcW w:w="1701" w:type="dxa"/>
            <w:vAlign w:val="center"/>
          </w:tcPr>
          <w:p w14:paraId="17AADB05" w14:textId="77777777" w:rsidR="00454A29" w:rsidRDefault="00454A29">
            <w:pPr>
              <w:pStyle w:val="ConsPlusNormal"/>
              <w:jc w:val="center"/>
            </w:pPr>
            <w:r>
              <w:t>0,00</w:t>
            </w:r>
          </w:p>
        </w:tc>
        <w:tc>
          <w:tcPr>
            <w:tcW w:w="1701" w:type="dxa"/>
            <w:vAlign w:val="center"/>
          </w:tcPr>
          <w:p w14:paraId="10A11434" w14:textId="77777777" w:rsidR="00454A29" w:rsidRDefault="00454A29">
            <w:pPr>
              <w:pStyle w:val="ConsPlusNormal"/>
              <w:jc w:val="center"/>
            </w:pPr>
            <w:r>
              <w:t>0,00</w:t>
            </w:r>
          </w:p>
        </w:tc>
        <w:tc>
          <w:tcPr>
            <w:tcW w:w="1701" w:type="dxa"/>
            <w:vAlign w:val="center"/>
          </w:tcPr>
          <w:p w14:paraId="0E90CA03" w14:textId="77777777" w:rsidR="00454A29" w:rsidRDefault="00454A29">
            <w:pPr>
              <w:pStyle w:val="ConsPlusNormal"/>
              <w:jc w:val="center"/>
            </w:pPr>
            <w:r>
              <w:t>0,00</w:t>
            </w:r>
          </w:p>
        </w:tc>
        <w:tc>
          <w:tcPr>
            <w:tcW w:w="1701" w:type="dxa"/>
            <w:vAlign w:val="center"/>
          </w:tcPr>
          <w:p w14:paraId="63A294A1" w14:textId="77777777" w:rsidR="00454A29" w:rsidRDefault="00454A29">
            <w:pPr>
              <w:pStyle w:val="ConsPlusNormal"/>
              <w:jc w:val="center"/>
            </w:pPr>
            <w:r>
              <w:t>0,00</w:t>
            </w:r>
          </w:p>
        </w:tc>
        <w:tc>
          <w:tcPr>
            <w:tcW w:w="1701" w:type="dxa"/>
            <w:vAlign w:val="center"/>
          </w:tcPr>
          <w:p w14:paraId="6F2CBF86" w14:textId="77777777" w:rsidR="00454A29" w:rsidRDefault="00454A29">
            <w:pPr>
              <w:pStyle w:val="ConsPlusNormal"/>
              <w:jc w:val="center"/>
            </w:pPr>
            <w:r>
              <w:t>0,00</w:t>
            </w:r>
          </w:p>
        </w:tc>
      </w:tr>
      <w:tr w:rsidR="00454A29" w14:paraId="136ED85A" w14:textId="77777777">
        <w:tc>
          <w:tcPr>
            <w:tcW w:w="964" w:type="dxa"/>
            <w:vMerge/>
          </w:tcPr>
          <w:p w14:paraId="318C9F3B" w14:textId="77777777" w:rsidR="00454A29" w:rsidRDefault="00454A29"/>
        </w:tc>
        <w:tc>
          <w:tcPr>
            <w:tcW w:w="2154" w:type="dxa"/>
            <w:vMerge/>
            <w:tcBorders>
              <w:top w:val="nil"/>
              <w:bottom w:val="nil"/>
            </w:tcBorders>
          </w:tcPr>
          <w:p w14:paraId="7AC55639" w14:textId="77777777" w:rsidR="00454A29" w:rsidRDefault="00454A29"/>
        </w:tc>
        <w:tc>
          <w:tcPr>
            <w:tcW w:w="2154" w:type="dxa"/>
            <w:vMerge/>
            <w:tcBorders>
              <w:top w:val="nil"/>
              <w:bottom w:val="nil"/>
            </w:tcBorders>
          </w:tcPr>
          <w:p w14:paraId="7F89C6F5" w14:textId="77777777" w:rsidR="00454A29" w:rsidRDefault="00454A29"/>
        </w:tc>
        <w:tc>
          <w:tcPr>
            <w:tcW w:w="2665" w:type="dxa"/>
            <w:vMerge/>
            <w:tcBorders>
              <w:top w:val="nil"/>
              <w:bottom w:val="nil"/>
            </w:tcBorders>
          </w:tcPr>
          <w:p w14:paraId="63A2A7C0" w14:textId="77777777" w:rsidR="00454A29" w:rsidRDefault="00454A29"/>
        </w:tc>
        <w:tc>
          <w:tcPr>
            <w:tcW w:w="2665" w:type="dxa"/>
            <w:vMerge/>
            <w:tcBorders>
              <w:top w:val="nil"/>
              <w:bottom w:val="nil"/>
            </w:tcBorders>
          </w:tcPr>
          <w:p w14:paraId="720A6F9A" w14:textId="77777777" w:rsidR="00454A29" w:rsidRDefault="00454A29"/>
        </w:tc>
        <w:tc>
          <w:tcPr>
            <w:tcW w:w="1928" w:type="dxa"/>
            <w:vMerge/>
          </w:tcPr>
          <w:p w14:paraId="156854A5" w14:textId="77777777" w:rsidR="00454A29" w:rsidRDefault="00454A29"/>
        </w:tc>
        <w:tc>
          <w:tcPr>
            <w:tcW w:w="1644" w:type="dxa"/>
            <w:vMerge/>
          </w:tcPr>
          <w:p w14:paraId="5E83EE6B" w14:textId="77777777" w:rsidR="00454A29" w:rsidRDefault="00454A29"/>
        </w:tc>
        <w:tc>
          <w:tcPr>
            <w:tcW w:w="2041" w:type="dxa"/>
            <w:vMerge/>
          </w:tcPr>
          <w:p w14:paraId="065E6CB8" w14:textId="77777777" w:rsidR="00454A29" w:rsidRDefault="00454A29"/>
        </w:tc>
        <w:tc>
          <w:tcPr>
            <w:tcW w:w="2098" w:type="dxa"/>
            <w:vAlign w:val="center"/>
          </w:tcPr>
          <w:p w14:paraId="6F7D8D42" w14:textId="77777777" w:rsidR="00454A29" w:rsidRDefault="00454A29">
            <w:pPr>
              <w:pStyle w:val="ConsPlusNormal"/>
              <w:jc w:val="center"/>
            </w:pPr>
            <w:r>
              <w:t>Федеральный бюджет</w:t>
            </w:r>
          </w:p>
        </w:tc>
        <w:tc>
          <w:tcPr>
            <w:tcW w:w="1814" w:type="dxa"/>
            <w:vAlign w:val="center"/>
          </w:tcPr>
          <w:p w14:paraId="3EA10294" w14:textId="77777777" w:rsidR="00454A29" w:rsidRDefault="00454A29">
            <w:pPr>
              <w:pStyle w:val="ConsPlusNormal"/>
              <w:jc w:val="center"/>
            </w:pPr>
            <w:r>
              <w:t>0,00</w:t>
            </w:r>
          </w:p>
        </w:tc>
        <w:tc>
          <w:tcPr>
            <w:tcW w:w="1701" w:type="dxa"/>
            <w:vAlign w:val="center"/>
          </w:tcPr>
          <w:p w14:paraId="41ECCD4B" w14:textId="77777777" w:rsidR="00454A29" w:rsidRDefault="00454A29">
            <w:pPr>
              <w:pStyle w:val="ConsPlusNormal"/>
              <w:jc w:val="center"/>
            </w:pPr>
            <w:r>
              <w:t>0,00</w:t>
            </w:r>
          </w:p>
        </w:tc>
        <w:tc>
          <w:tcPr>
            <w:tcW w:w="1701" w:type="dxa"/>
            <w:vAlign w:val="center"/>
          </w:tcPr>
          <w:p w14:paraId="348C94CE" w14:textId="77777777" w:rsidR="00454A29" w:rsidRDefault="00454A29">
            <w:pPr>
              <w:pStyle w:val="ConsPlusNormal"/>
              <w:jc w:val="center"/>
            </w:pPr>
            <w:r>
              <w:t>0,00</w:t>
            </w:r>
          </w:p>
        </w:tc>
        <w:tc>
          <w:tcPr>
            <w:tcW w:w="1701" w:type="dxa"/>
            <w:vAlign w:val="center"/>
          </w:tcPr>
          <w:p w14:paraId="10358585" w14:textId="77777777" w:rsidR="00454A29" w:rsidRDefault="00454A29">
            <w:pPr>
              <w:pStyle w:val="ConsPlusNormal"/>
              <w:jc w:val="center"/>
            </w:pPr>
            <w:r>
              <w:t>0,00</w:t>
            </w:r>
          </w:p>
        </w:tc>
        <w:tc>
          <w:tcPr>
            <w:tcW w:w="1701" w:type="dxa"/>
            <w:vAlign w:val="center"/>
          </w:tcPr>
          <w:p w14:paraId="704FFB42" w14:textId="77777777" w:rsidR="00454A29" w:rsidRDefault="00454A29">
            <w:pPr>
              <w:pStyle w:val="ConsPlusNormal"/>
              <w:jc w:val="center"/>
            </w:pPr>
            <w:r>
              <w:t>0,00</w:t>
            </w:r>
          </w:p>
        </w:tc>
        <w:tc>
          <w:tcPr>
            <w:tcW w:w="1701" w:type="dxa"/>
            <w:vAlign w:val="center"/>
          </w:tcPr>
          <w:p w14:paraId="4766F8CE" w14:textId="77777777" w:rsidR="00454A29" w:rsidRDefault="00454A29">
            <w:pPr>
              <w:pStyle w:val="ConsPlusNormal"/>
              <w:jc w:val="center"/>
            </w:pPr>
            <w:r>
              <w:t>0,00</w:t>
            </w:r>
          </w:p>
        </w:tc>
        <w:tc>
          <w:tcPr>
            <w:tcW w:w="1701" w:type="dxa"/>
            <w:vAlign w:val="center"/>
          </w:tcPr>
          <w:p w14:paraId="5463CAFB" w14:textId="77777777" w:rsidR="00454A29" w:rsidRDefault="00454A29">
            <w:pPr>
              <w:pStyle w:val="ConsPlusNormal"/>
              <w:jc w:val="center"/>
            </w:pPr>
            <w:r>
              <w:t>0,00</w:t>
            </w:r>
          </w:p>
        </w:tc>
      </w:tr>
      <w:tr w:rsidR="00454A29" w14:paraId="3132C037" w14:textId="77777777">
        <w:tc>
          <w:tcPr>
            <w:tcW w:w="964" w:type="dxa"/>
            <w:vMerge/>
          </w:tcPr>
          <w:p w14:paraId="1E6EAE05" w14:textId="77777777" w:rsidR="00454A29" w:rsidRDefault="00454A29"/>
        </w:tc>
        <w:tc>
          <w:tcPr>
            <w:tcW w:w="2154" w:type="dxa"/>
            <w:vMerge/>
            <w:tcBorders>
              <w:top w:val="nil"/>
              <w:bottom w:val="nil"/>
            </w:tcBorders>
          </w:tcPr>
          <w:p w14:paraId="1716A792" w14:textId="77777777" w:rsidR="00454A29" w:rsidRDefault="00454A29"/>
        </w:tc>
        <w:tc>
          <w:tcPr>
            <w:tcW w:w="2154" w:type="dxa"/>
            <w:vMerge/>
            <w:tcBorders>
              <w:top w:val="nil"/>
              <w:bottom w:val="nil"/>
            </w:tcBorders>
          </w:tcPr>
          <w:p w14:paraId="5B2756E4" w14:textId="77777777" w:rsidR="00454A29" w:rsidRDefault="00454A29"/>
        </w:tc>
        <w:tc>
          <w:tcPr>
            <w:tcW w:w="2665" w:type="dxa"/>
            <w:vMerge/>
            <w:tcBorders>
              <w:top w:val="nil"/>
              <w:bottom w:val="nil"/>
            </w:tcBorders>
          </w:tcPr>
          <w:p w14:paraId="0F3D5447" w14:textId="77777777" w:rsidR="00454A29" w:rsidRDefault="00454A29"/>
        </w:tc>
        <w:tc>
          <w:tcPr>
            <w:tcW w:w="2665" w:type="dxa"/>
            <w:vMerge/>
            <w:tcBorders>
              <w:top w:val="nil"/>
              <w:bottom w:val="nil"/>
            </w:tcBorders>
          </w:tcPr>
          <w:p w14:paraId="3ED6ED67" w14:textId="77777777" w:rsidR="00454A29" w:rsidRDefault="00454A29"/>
        </w:tc>
        <w:tc>
          <w:tcPr>
            <w:tcW w:w="1928" w:type="dxa"/>
            <w:vMerge/>
          </w:tcPr>
          <w:p w14:paraId="565E5871" w14:textId="77777777" w:rsidR="00454A29" w:rsidRDefault="00454A29"/>
        </w:tc>
        <w:tc>
          <w:tcPr>
            <w:tcW w:w="1644" w:type="dxa"/>
            <w:vMerge/>
          </w:tcPr>
          <w:p w14:paraId="7C73C096" w14:textId="77777777" w:rsidR="00454A29" w:rsidRDefault="00454A29"/>
        </w:tc>
        <w:tc>
          <w:tcPr>
            <w:tcW w:w="2041" w:type="dxa"/>
            <w:vMerge/>
          </w:tcPr>
          <w:p w14:paraId="7FB03D04" w14:textId="77777777" w:rsidR="00454A29" w:rsidRDefault="00454A29"/>
        </w:tc>
        <w:tc>
          <w:tcPr>
            <w:tcW w:w="2098" w:type="dxa"/>
            <w:vAlign w:val="center"/>
          </w:tcPr>
          <w:p w14:paraId="2721AC7A" w14:textId="77777777" w:rsidR="00454A29" w:rsidRDefault="00454A29">
            <w:pPr>
              <w:pStyle w:val="ConsPlusNormal"/>
              <w:jc w:val="center"/>
            </w:pPr>
            <w:r>
              <w:t>Местные бюджеты</w:t>
            </w:r>
          </w:p>
        </w:tc>
        <w:tc>
          <w:tcPr>
            <w:tcW w:w="1814" w:type="dxa"/>
            <w:vAlign w:val="center"/>
          </w:tcPr>
          <w:p w14:paraId="51E29F0F" w14:textId="77777777" w:rsidR="00454A29" w:rsidRDefault="00454A29">
            <w:pPr>
              <w:pStyle w:val="ConsPlusNormal"/>
              <w:jc w:val="center"/>
            </w:pPr>
            <w:r>
              <w:t>0,00</w:t>
            </w:r>
          </w:p>
        </w:tc>
        <w:tc>
          <w:tcPr>
            <w:tcW w:w="1701" w:type="dxa"/>
            <w:vAlign w:val="center"/>
          </w:tcPr>
          <w:p w14:paraId="7DFCDB03" w14:textId="77777777" w:rsidR="00454A29" w:rsidRDefault="00454A29">
            <w:pPr>
              <w:pStyle w:val="ConsPlusNormal"/>
              <w:jc w:val="center"/>
            </w:pPr>
            <w:r>
              <w:t>0,00</w:t>
            </w:r>
          </w:p>
        </w:tc>
        <w:tc>
          <w:tcPr>
            <w:tcW w:w="1701" w:type="dxa"/>
            <w:vAlign w:val="center"/>
          </w:tcPr>
          <w:p w14:paraId="686AF6C0" w14:textId="77777777" w:rsidR="00454A29" w:rsidRDefault="00454A29">
            <w:pPr>
              <w:pStyle w:val="ConsPlusNormal"/>
              <w:jc w:val="center"/>
            </w:pPr>
            <w:r>
              <w:t>0,00</w:t>
            </w:r>
          </w:p>
        </w:tc>
        <w:tc>
          <w:tcPr>
            <w:tcW w:w="1701" w:type="dxa"/>
            <w:vAlign w:val="center"/>
          </w:tcPr>
          <w:p w14:paraId="6A891CE8" w14:textId="77777777" w:rsidR="00454A29" w:rsidRDefault="00454A29">
            <w:pPr>
              <w:pStyle w:val="ConsPlusNormal"/>
              <w:jc w:val="center"/>
            </w:pPr>
            <w:r>
              <w:t>0,00</w:t>
            </w:r>
          </w:p>
        </w:tc>
        <w:tc>
          <w:tcPr>
            <w:tcW w:w="1701" w:type="dxa"/>
            <w:vAlign w:val="center"/>
          </w:tcPr>
          <w:p w14:paraId="2926E579" w14:textId="77777777" w:rsidR="00454A29" w:rsidRDefault="00454A29">
            <w:pPr>
              <w:pStyle w:val="ConsPlusNormal"/>
              <w:jc w:val="center"/>
            </w:pPr>
            <w:r>
              <w:t>0,00</w:t>
            </w:r>
          </w:p>
        </w:tc>
        <w:tc>
          <w:tcPr>
            <w:tcW w:w="1701" w:type="dxa"/>
            <w:vAlign w:val="center"/>
          </w:tcPr>
          <w:p w14:paraId="543E09BB" w14:textId="77777777" w:rsidR="00454A29" w:rsidRDefault="00454A29">
            <w:pPr>
              <w:pStyle w:val="ConsPlusNormal"/>
              <w:jc w:val="center"/>
            </w:pPr>
            <w:r>
              <w:t>0,00</w:t>
            </w:r>
          </w:p>
        </w:tc>
        <w:tc>
          <w:tcPr>
            <w:tcW w:w="1701" w:type="dxa"/>
            <w:vAlign w:val="center"/>
          </w:tcPr>
          <w:p w14:paraId="6B081C4E" w14:textId="77777777" w:rsidR="00454A29" w:rsidRDefault="00454A29">
            <w:pPr>
              <w:pStyle w:val="ConsPlusNormal"/>
              <w:jc w:val="center"/>
            </w:pPr>
            <w:r>
              <w:t>0,00</w:t>
            </w:r>
          </w:p>
        </w:tc>
      </w:tr>
      <w:tr w:rsidR="00454A29" w14:paraId="7B475F72" w14:textId="77777777">
        <w:tc>
          <w:tcPr>
            <w:tcW w:w="964" w:type="dxa"/>
            <w:vMerge/>
          </w:tcPr>
          <w:p w14:paraId="0304DCC5" w14:textId="77777777" w:rsidR="00454A29" w:rsidRDefault="00454A29"/>
        </w:tc>
        <w:tc>
          <w:tcPr>
            <w:tcW w:w="2154" w:type="dxa"/>
            <w:vMerge/>
            <w:tcBorders>
              <w:top w:val="nil"/>
              <w:bottom w:val="nil"/>
            </w:tcBorders>
          </w:tcPr>
          <w:p w14:paraId="6C961C6C" w14:textId="77777777" w:rsidR="00454A29" w:rsidRDefault="00454A29"/>
        </w:tc>
        <w:tc>
          <w:tcPr>
            <w:tcW w:w="2154" w:type="dxa"/>
            <w:vMerge/>
            <w:tcBorders>
              <w:top w:val="nil"/>
              <w:bottom w:val="nil"/>
            </w:tcBorders>
          </w:tcPr>
          <w:p w14:paraId="55CD578B" w14:textId="77777777" w:rsidR="00454A29" w:rsidRDefault="00454A29"/>
        </w:tc>
        <w:tc>
          <w:tcPr>
            <w:tcW w:w="2665" w:type="dxa"/>
            <w:vMerge/>
            <w:tcBorders>
              <w:top w:val="nil"/>
              <w:bottom w:val="nil"/>
            </w:tcBorders>
          </w:tcPr>
          <w:p w14:paraId="41A44716" w14:textId="77777777" w:rsidR="00454A29" w:rsidRDefault="00454A29"/>
        </w:tc>
        <w:tc>
          <w:tcPr>
            <w:tcW w:w="2665" w:type="dxa"/>
            <w:vMerge/>
            <w:tcBorders>
              <w:top w:val="nil"/>
              <w:bottom w:val="nil"/>
            </w:tcBorders>
          </w:tcPr>
          <w:p w14:paraId="5647FDCB" w14:textId="77777777" w:rsidR="00454A29" w:rsidRDefault="00454A29"/>
        </w:tc>
        <w:tc>
          <w:tcPr>
            <w:tcW w:w="1928" w:type="dxa"/>
            <w:vMerge/>
          </w:tcPr>
          <w:p w14:paraId="22E036AE" w14:textId="77777777" w:rsidR="00454A29" w:rsidRDefault="00454A29"/>
        </w:tc>
        <w:tc>
          <w:tcPr>
            <w:tcW w:w="1644" w:type="dxa"/>
            <w:vMerge/>
          </w:tcPr>
          <w:p w14:paraId="0E9E7433" w14:textId="77777777" w:rsidR="00454A29" w:rsidRDefault="00454A29"/>
        </w:tc>
        <w:tc>
          <w:tcPr>
            <w:tcW w:w="2041" w:type="dxa"/>
            <w:vMerge/>
          </w:tcPr>
          <w:p w14:paraId="6FDC8AD6" w14:textId="77777777" w:rsidR="00454A29" w:rsidRDefault="00454A29"/>
        </w:tc>
        <w:tc>
          <w:tcPr>
            <w:tcW w:w="2098" w:type="dxa"/>
            <w:vAlign w:val="center"/>
          </w:tcPr>
          <w:p w14:paraId="7AC72A6D" w14:textId="77777777" w:rsidR="00454A29" w:rsidRDefault="00454A29">
            <w:pPr>
              <w:pStyle w:val="ConsPlusNormal"/>
              <w:jc w:val="center"/>
            </w:pPr>
            <w:r>
              <w:t>Внебюджетные средства</w:t>
            </w:r>
          </w:p>
        </w:tc>
        <w:tc>
          <w:tcPr>
            <w:tcW w:w="1814" w:type="dxa"/>
            <w:vAlign w:val="center"/>
          </w:tcPr>
          <w:p w14:paraId="45B38D03" w14:textId="77777777" w:rsidR="00454A29" w:rsidRDefault="00454A29">
            <w:pPr>
              <w:pStyle w:val="ConsPlusNormal"/>
              <w:jc w:val="center"/>
            </w:pPr>
            <w:r>
              <w:t>0,00</w:t>
            </w:r>
          </w:p>
        </w:tc>
        <w:tc>
          <w:tcPr>
            <w:tcW w:w="1701" w:type="dxa"/>
            <w:vAlign w:val="center"/>
          </w:tcPr>
          <w:p w14:paraId="143577D8" w14:textId="77777777" w:rsidR="00454A29" w:rsidRDefault="00454A29">
            <w:pPr>
              <w:pStyle w:val="ConsPlusNormal"/>
              <w:jc w:val="center"/>
            </w:pPr>
            <w:r>
              <w:t>0,00</w:t>
            </w:r>
          </w:p>
        </w:tc>
        <w:tc>
          <w:tcPr>
            <w:tcW w:w="1701" w:type="dxa"/>
            <w:vAlign w:val="center"/>
          </w:tcPr>
          <w:p w14:paraId="62436572" w14:textId="77777777" w:rsidR="00454A29" w:rsidRDefault="00454A29">
            <w:pPr>
              <w:pStyle w:val="ConsPlusNormal"/>
              <w:jc w:val="center"/>
            </w:pPr>
            <w:r>
              <w:t>0,00</w:t>
            </w:r>
          </w:p>
        </w:tc>
        <w:tc>
          <w:tcPr>
            <w:tcW w:w="1701" w:type="dxa"/>
            <w:vAlign w:val="center"/>
          </w:tcPr>
          <w:p w14:paraId="4E97A74C" w14:textId="77777777" w:rsidR="00454A29" w:rsidRDefault="00454A29">
            <w:pPr>
              <w:pStyle w:val="ConsPlusNormal"/>
              <w:jc w:val="center"/>
            </w:pPr>
            <w:r>
              <w:t>0,00</w:t>
            </w:r>
          </w:p>
        </w:tc>
        <w:tc>
          <w:tcPr>
            <w:tcW w:w="1701" w:type="dxa"/>
            <w:vAlign w:val="center"/>
          </w:tcPr>
          <w:p w14:paraId="2AF9E321" w14:textId="77777777" w:rsidR="00454A29" w:rsidRDefault="00454A29">
            <w:pPr>
              <w:pStyle w:val="ConsPlusNormal"/>
              <w:jc w:val="center"/>
            </w:pPr>
            <w:r>
              <w:t>0,00</w:t>
            </w:r>
          </w:p>
        </w:tc>
        <w:tc>
          <w:tcPr>
            <w:tcW w:w="1701" w:type="dxa"/>
            <w:vAlign w:val="center"/>
          </w:tcPr>
          <w:p w14:paraId="4F8B3EA1" w14:textId="77777777" w:rsidR="00454A29" w:rsidRDefault="00454A29">
            <w:pPr>
              <w:pStyle w:val="ConsPlusNormal"/>
              <w:jc w:val="center"/>
            </w:pPr>
            <w:r>
              <w:t>0,00</w:t>
            </w:r>
          </w:p>
        </w:tc>
        <w:tc>
          <w:tcPr>
            <w:tcW w:w="1701" w:type="dxa"/>
            <w:vAlign w:val="center"/>
          </w:tcPr>
          <w:p w14:paraId="2BEE97EE" w14:textId="77777777" w:rsidR="00454A29" w:rsidRDefault="00454A29">
            <w:pPr>
              <w:pStyle w:val="ConsPlusNormal"/>
              <w:jc w:val="center"/>
            </w:pPr>
            <w:r>
              <w:t>0,00</w:t>
            </w:r>
          </w:p>
        </w:tc>
      </w:tr>
      <w:tr w:rsidR="00454A29" w14:paraId="09279ED2" w14:textId="77777777">
        <w:tc>
          <w:tcPr>
            <w:tcW w:w="964" w:type="dxa"/>
            <w:vMerge w:val="restart"/>
            <w:vAlign w:val="center"/>
          </w:tcPr>
          <w:p w14:paraId="7C259E62" w14:textId="77777777" w:rsidR="00454A29" w:rsidRDefault="00454A29">
            <w:pPr>
              <w:pStyle w:val="ConsPlusNormal"/>
              <w:jc w:val="center"/>
            </w:pPr>
            <w:r>
              <w:lastRenderedPageBreak/>
              <w:t>11.1.7.</w:t>
            </w:r>
          </w:p>
        </w:tc>
        <w:tc>
          <w:tcPr>
            <w:tcW w:w="2154" w:type="dxa"/>
            <w:vMerge w:val="restart"/>
            <w:tcBorders>
              <w:top w:val="nil"/>
              <w:bottom w:val="nil"/>
            </w:tcBorders>
            <w:vAlign w:val="center"/>
          </w:tcPr>
          <w:p w14:paraId="4A3A0D1D" w14:textId="77777777" w:rsidR="00454A29" w:rsidRDefault="00454A29">
            <w:pPr>
              <w:pStyle w:val="ConsPlusNormal"/>
            </w:pPr>
          </w:p>
        </w:tc>
        <w:tc>
          <w:tcPr>
            <w:tcW w:w="2154" w:type="dxa"/>
            <w:vMerge w:val="restart"/>
            <w:tcBorders>
              <w:top w:val="nil"/>
              <w:bottom w:val="nil"/>
            </w:tcBorders>
            <w:vAlign w:val="center"/>
          </w:tcPr>
          <w:p w14:paraId="3015E096" w14:textId="77777777" w:rsidR="00454A29" w:rsidRDefault="00454A29">
            <w:pPr>
              <w:pStyle w:val="ConsPlusNormal"/>
            </w:pPr>
          </w:p>
        </w:tc>
        <w:tc>
          <w:tcPr>
            <w:tcW w:w="2665" w:type="dxa"/>
            <w:vMerge w:val="restart"/>
            <w:tcBorders>
              <w:top w:val="nil"/>
              <w:bottom w:val="nil"/>
            </w:tcBorders>
            <w:vAlign w:val="center"/>
          </w:tcPr>
          <w:p w14:paraId="5255A62B" w14:textId="77777777" w:rsidR="00454A29" w:rsidRDefault="00454A29">
            <w:pPr>
              <w:pStyle w:val="ConsPlusNormal"/>
            </w:pPr>
          </w:p>
        </w:tc>
        <w:tc>
          <w:tcPr>
            <w:tcW w:w="2665" w:type="dxa"/>
            <w:vMerge w:val="restart"/>
            <w:tcBorders>
              <w:top w:val="nil"/>
              <w:bottom w:val="nil"/>
            </w:tcBorders>
            <w:vAlign w:val="center"/>
          </w:tcPr>
          <w:p w14:paraId="3AD4AAFE" w14:textId="77777777" w:rsidR="00454A29" w:rsidRDefault="00454A29">
            <w:pPr>
              <w:pStyle w:val="ConsPlusNormal"/>
            </w:pPr>
          </w:p>
        </w:tc>
        <w:tc>
          <w:tcPr>
            <w:tcW w:w="1928" w:type="dxa"/>
            <w:vMerge w:val="restart"/>
            <w:vAlign w:val="center"/>
          </w:tcPr>
          <w:p w14:paraId="0BB0B748" w14:textId="77777777" w:rsidR="00454A29" w:rsidRDefault="00454A29">
            <w:pPr>
              <w:pStyle w:val="ConsPlusNormal"/>
              <w:jc w:val="center"/>
            </w:pPr>
            <w:r>
              <w:t>МР "Оленекский эвенкийский национальный район"</w:t>
            </w:r>
          </w:p>
        </w:tc>
        <w:tc>
          <w:tcPr>
            <w:tcW w:w="1644" w:type="dxa"/>
            <w:vMerge w:val="restart"/>
            <w:vAlign w:val="center"/>
          </w:tcPr>
          <w:p w14:paraId="1573F2F1" w14:textId="77777777" w:rsidR="00454A29" w:rsidRDefault="00454A29">
            <w:pPr>
              <w:pStyle w:val="ConsPlusNormal"/>
              <w:jc w:val="center"/>
            </w:pPr>
            <w:r>
              <w:t>с. Оленек</w:t>
            </w:r>
          </w:p>
        </w:tc>
        <w:tc>
          <w:tcPr>
            <w:tcW w:w="2041" w:type="dxa"/>
            <w:vMerge w:val="restart"/>
            <w:vAlign w:val="center"/>
          </w:tcPr>
          <w:p w14:paraId="1C3BBA5B" w14:textId="77777777" w:rsidR="00454A29" w:rsidRDefault="00454A29">
            <w:pPr>
              <w:pStyle w:val="ConsPlusNormal"/>
              <w:jc w:val="center"/>
            </w:pPr>
            <w:r>
              <w:t>Приобретение детского сада на 98 мест</w:t>
            </w:r>
          </w:p>
        </w:tc>
        <w:tc>
          <w:tcPr>
            <w:tcW w:w="2098" w:type="dxa"/>
            <w:vAlign w:val="center"/>
          </w:tcPr>
          <w:p w14:paraId="3A68EE61" w14:textId="77777777" w:rsidR="00454A29" w:rsidRDefault="00454A29">
            <w:pPr>
              <w:pStyle w:val="ConsPlusNormal"/>
              <w:jc w:val="center"/>
            </w:pPr>
            <w:r>
              <w:t>Итого</w:t>
            </w:r>
          </w:p>
        </w:tc>
        <w:tc>
          <w:tcPr>
            <w:tcW w:w="1814" w:type="dxa"/>
            <w:vAlign w:val="center"/>
          </w:tcPr>
          <w:p w14:paraId="668DD75A" w14:textId="77777777" w:rsidR="00454A29" w:rsidRDefault="00454A29">
            <w:pPr>
              <w:pStyle w:val="ConsPlusNormal"/>
              <w:jc w:val="center"/>
            </w:pPr>
            <w:r>
              <w:t>0,00</w:t>
            </w:r>
          </w:p>
        </w:tc>
        <w:tc>
          <w:tcPr>
            <w:tcW w:w="1701" w:type="dxa"/>
            <w:vAlign w:val="center"/>
          </w:tcPr>
          <w:p w14:paraId="6A8B88E9" w14:textId="77777777" w:rsidR="00454A29" w:rsidRDefault="00454A29">
            <w:pPr>
              <w:pStyle w:val="ConsPlusNormal"/>
              <w:jc w:val="center"/>
            </w:pPr>
            <w:r>
              <w:t>0,00</w:t>
            </w:r>
          </w:p>
        </w:tc>
        <w:tc>
          <w:tcPr>
            <w:tcW w:w="1701" w:type="dxa"/>
            <w:vAlign w:val="center"/>
          </w:tcPr>
          <w:p w14:paraId="06103E18" w14:textId="77777777" w:rsidR="00454A29" w:rsidRDefault="00454A29">
            <w:pPr>
              <w:pStyle w:val="ConsPlusNormal"/>
              <w:jc w:val="center"/>
            </w:pPr>
            <w:r>
              <w:t>0,00</w:t>
            </w:r>
          </w:p>
        </w:tc>
        <w:tc>
          <w:tcPr>
            <w:tcW w:w="1701" w:type="dxa"/>
            <w:vAlign w:val="center"/>
          </w:tcPr>
          <w:p w14:paraId="382AE454" w14:textId="77777777" w:rsidR="00454A29" w:rsidRDefault="00454A29">
            <w:pPr>
              <w:pStyle w:val="ConsPlusNormal"/>
              <w:jc w:val="center"/>
            </w:pPr>
            <w:r>
              <w:t>0,00</w:t>
            </w:r>
          </w:p>
        </w:tc>
        <w:tc>
          <w:tcPr>
            <w:tcW w:w="1701" w:type="dxa"/>
            <w:vAlign w:val="center"/>
          </w:tcPr>
          <w:p w14:paraId="60863A8A" w14:textId="77777777" w:rsidR="00454A29" w:rsidRDefault="00454A29">
            <w:pPr>
              <w:pStyle w:val="ConsPlusNormal"/>
              <w:jc w:val="center"/>
            </w:pPr>
            <w:r>
              <w:t>0,00</w:t>
            </w:r>
          </w:p>
        </w:tc>
        <w:tc>
          <w:tcPr>
            <w:tcW w:w="1701" w:type="dxa"/>
            <w:vAlign w:val="center"/>
          </w:tcPr>
          <w:p w14:paraId="188099AD" w14:textId="77777777" w:rsidR="00454A29" w:rsidRDefault="00454A29">
            <w:pPr>
              <w:pStyle w:val="ConsPlusNormal"/>
              <w:jc w:val="center"/>
            </w:pPr>
            <w:r>
              <w:t>0,00</w:t>
            </w:r>
          </w:p>
        </w:tc>
        <w:tc>
          <w:tcPr>
            <w:tcW w:w="1701" w:type="dxa"/>
            <w:vAlign w:val="center"/>
          </w:tcPr>
          <w:p w14:paraId="189437A6" w14:textId="77777777" w:rsidR="00454A29" w:rsidRDefault="00454A29">
            <w:pPr>
              <w:pStyle w:val="ConsPlusNormal"/>
              <w:jc w:val="center"/>
            </w:pPr>
            <w:r>
              <w:t>0,00</w:t>
            </w:r>
          </w:p>
        </w:tc>
      </w:tr>
      <w:tr w:rsidR="00454A29" w14:paraId="524E37A7" w14:textId="77777777">
        <w:tc>
          <w:tcPr>
            <w:tcW w:w="964" w:type="dxa"/>
            <w:vMerge/>
          </w:tcPr>
          <w:p w14:paraId="500484A7" w14:textId="77777777" w:rsidR="00454A29" w:rsidRDefault="00454A29"/>
        </w:tc>
        <w:tc>
          <w:tcPr>
            <w:tcW w:w="2154" w:type="dxa"/>
            <w:vMerge/>
            <w:tcBorders>
              <w:top w:val="nil"/>
              <w:bottom w:val="nil"/>
            </w:tcBorders>
          </w:tcPr>
          <w:p w14:paraId="5861D481" w14:textId="77777777" w:rsidR="00454A29" w:rsidRDefault="00454A29"/>
        </w:tc>
        <w:tc>
          <w:tcPr>
            <w:tcW w:w="2154" w:type="dxa"/>
            <w:vMerge/>
            <w:tcBorders>
              <w:top w:val="nil"/>
              <w:bottom w:val="nil"/>
            </w:tcBorders>
          </w:tcPr>
          <w:p w14:paraId="3C2250E6" w14:textId="77777777" w:rsidR="00454A29" w:rsidRDefault="00454A29"/>
        </w:tc>
        <w:tc>
          <w:tcPr>
            <w:tcW w:w="2665" w:type="dxa"/>
            <w:vMerge/>
            <w:tcBorders>
              <w:top w:val="nil"/>
              <w:bottom w:val="nil"/>
            </w:tcBorders>
          </w:tcPr>
          <w:p w14:paraId="0B8660F3" w14:textId="77777777" w:rsidR="00454A29" w:rsidRDefault="00454A29"/>
        </w:tc>
        <w:tc>
          <w:tcPr>
            <w:tcW w:w="2665" w:type="dxa"/>
            <w:vMerge/>
            <w:tcBorders>
              <w:top w:val="nil"/>
              <w:bottom w:val="nil"/>
            </w:tcBorders>
          </w:tcPr>
          <w:p w14:paraId="3D41F224" w14:textId="77777777" w:rsidR="00454A29" w:rsidRDefault="00454A29"/>
        </w:tc>
        <w:tc>
          <w:tcPr>
            <w:tcW w:w="1928" w:type="dxa"/>
            <w:vMerge/>
          </w:tcPr>
          <w:p w14:paraId="25F31AD5" w14:textId="77777777" w:rsidR="00454A29" w:rsidRDefault="00454A29"/>
        </w:tc>
        <w:tc>
          <w:tcPr>
            <w:tcW w:w="1644" w:type="dxa"/>
            <w:vMerge/>
          </w:tcPr>
          <w:p w14:paraId="7A59295A" w14:textId="77777777" w:rsidR="00454A29" w:rsidRDefault="00454A29"/>
        </w:tc>
        <w:tc>
          <w:tcPr>
            <w:tcW w:w="2041" w:type="dxa"/>
            <w:vMerge/>
          </w:tcPr>
          <w:p w14:paraId="499468F1" w14:textId="77777777" w:rsidR="00454A29" w:rsidRDefault="00454A29"/>
        </w:tc>
        <w:tc>
          <w:tcPr>
            <w:tcW w:w="2098" w:type="dxa"/>
            <w:vAlign w:val="center"/>
          </w:tcPr>
          <w:p w14:paraId="5D8ABA25"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E13FA0E" w14:textId="77777777" w:rsidR="00454A29" w:rsidRDefault="00454A29">
            <w:pPr>
              <w:pStyle w:val="ConsPlusNormal"/>
              <w:jc w:val="center"/>
            </w:pPr>
            <w:r>
              <w:t>0,00</w:t>
            </w:r>
          </w:p>
        </w:tc>
        <w:tc>
          <w:tcPr>
            <w:tcW w:w="1701" w:type="dxa"/>
            <w:vAlign w:val="center"/>
          </w:tcPr>
          <w:p w14:paraId="4F6CB20B" w14:textId="77777777" w:rsidR="00454A29" w:rsidRDefault="00454A29">
            <w:pPr>
              <w:pStyle w:val="ConsPlusNormal"/>
              <w:jc w:val="center"/>
            </w:pPr>
            <w:r>
              <w:t>0,00</w:t>
            </w:r>
          </w:p>
        </w:tc>
        <w:tc>
          <w:tcPr>
            <w:tcW w:w="1701" w:type="dxa"/>
            <w:vAlign w:val="center"/>
          </w:tcPr>
          <w:p w14:paraId="17F72A5D" w14:textId="77777777" w:rsidR="00454A29" w:rsidRDefault="00454A29">
            <w:pPr>
              <w:pStyle w:val="ConsPlusNormal"/>
              <w:jc w:val="center"/>
            </w:pPr>
            <w:r>
              <w:t>0,00</w:t>
            </w:r>
          </w:p>
        </w:tc>
        <w:tc>
          <w:tcPr>
            <w:tcW w:w="1701" w:type="dxa"/>
            <w:vAlign w:val="center"/>
          </w:tcPr>
          <w:p w14:paraId="0020E783" w14:textId="77777777" w:rsidR="00454A29" w:rsidRDefault="00454A29">
            <w:pPr>
              <w:pStyle w:val="ConsPlusNormal"/>
              <w:jc w:val="center"/>
            </w:pPr>
            <w:r>
              <w:t>0,00</w:t>
            </w:r>
          </w:p>
        </w:tc>
        <w:tc>
          <w:tcPr>
            <w:tcW w:w="1701" w:type="dxa"/>
            <w:vAlign w:val="center"/>
          </w:tcPr>
          <w:p w14:paraId="095E4923" w14:textId="77777777" w:rsidR="00454A29" w:rsidRDefault="00454A29">
            <w:pPr>
              <w:pStyle w:val="ConsPlusNormal"/>
              <w:jc w:val="center"/>
            </w:pPr>
            <w:r>
              <w:t>0,00</w:t>
            </w:r>
          </w:p>
        </w:tc>
        <w:tc>
          <w:tcPr>
            <w:tcW w:w="1701" w:type="dxa"/>
            <w:vAlign w:val="center"/>
          </w:tcPr>
          <w:p w14:paraId="01286E34" w14:textId="77777777" w:rsidR="00454A29" w:rsidRDefault="00454A29">
            <w:pPr>
              <w:pStyle w:val="ConsPlusNormal"/>
              <w:jc w:val="center"/>
            </w:pPr>
            <w:r>
              <w:t>0,00</w:t>
            </w:r>
          </w:p>
        </w:tc>
        <w:tc>
          <w:tcPr>
            <w:tcW w:w="1701" w:type="dxa"/>
            <w:vAlign w:val="center"/>
          </w:tcPr>
          <w:p w14:paraId="0718825F" w14:textId="77777777" w:rsidR="00454A29" w:rsidRDefault="00454A29">
            <w:pPr>
              <w:pStyle w:val="ConsPlusNormal"/>
              <w:jc w:val="center"/>
            </w:pPr>
            <w:r>
              <w:t>0,00</w:t>
            </w:r>
          </w:p>
        </w:tc>
      </w:tr>
      <w:tr w:rsidR="00454A29" w14:paraId="5D4192D9" w14:textId="77777777">
        <w:tc>
          <w:tcPr>
            <w:tcW w:w="964" w:type="dxa"/>
            <w:vMerge/>
          </w:tcPr>
          <w:p w14:paraId="1DB9E880" w14:textId="77777777" w:rsidR="00454A29" w:rsidRDefault="00454A29"/>
        </w:tc>
        <w:tc>
          <w:tcPr>
            <w:tcW w:w="2154" w:type="dxa"/>
            <w:vMerge/>
            <w:tcBorders>
              <w:top w:val="nil"/>
              <w:bottom w:val="nil"/>
            </w:tcBorders>
          </w:tcPr>
          <w:p w14:paraId="0019397D" w14:textId="77777777" w:rsidR="00454A29" w:rsidRDefault="00454A29"/>
        </w:tc>
        <w:tc>
          <w:tcPr>
            <w:tcW w:w="2154" w:type="dxa"/>
            <w:vMerge/>
            <w:tcBorders>
              <w:top w:val="nil"/>
              <w:bottom w:val="nil"/>
            </w:tcBorders>
          </w:tcPr>
          <w:p w14:paraId="62BF32B8" w14:textId="77777777" w:rsidR="00454A29" w:rsidRDefault="00454A29"/>
        </w:tc>
        <w:tc>
          <w:tcPr>
            <w:tcW w:w="2665" w:type="dxa"/>
            <w:vMerge/>
            <w:tcBorders>
              <w:top w:val="nil"/>
              <w:bottom w:val="nil"/>
            </w:tcBorders>
          </w:tcPr>
          <w:p w14:paraId="5C09B388" w14:textId="77777777" w:rsidR="00454A29" w:rsidRDefault="00454A29"/>
        </w:tc>
        <w:tc>
          <w:tcPr>
            <w:tcW w:w="2665" w:type="dxa"/>
            <w:vMerge/>
            <w:tcBorders>
              <w:top w:val="nil"/>
              <w:bottom w:val="nil"/>
            </w:tcBorders>
          </w:tcPr>
          <w:p w14:paraId="7B394517" w14:textId="77777777" w:rsidR="00454A29" w:rsidRDefault="00454A29"/>
        </w:tc>
        <w:tc>
          <w:tcPr>
            <w:tcW w:w="1928" w:type="dxa"/>
            <w:vMerge/>
          </w:tcPr>
          <w:p w14:paraId="5F1C77A5" w14:textId="77777777" w:rsidR="00454A29" w:rsidRDefault="00454A29"/>
        </w:tc>
        <w:tc>
          <w:tcPr>
            <w:tcW w:w="1644" w:type="dxa"/>
            <w:vMerge/>
          </w:tcPr>
          <w:p w14:paraId="6226CB2F" w14:textId="77777777" w:rsidR="00454A29" w:rsidRDefault="00454A29"/>
        </w:tc>
        <w:tc>
          <w:tcPr>
            <w:tcW w:w="2041" w:type="dxa"/>
            <w:vMerge/>
          </w:tcPr>
          <w:p w14:paraId="054DA68A" w14:textId="77777777" w:rsidR="00454A29" w:rsidRDefault="00454A29"/>
        </w:tc>
        <w:tc>
          <w:tcPr>
            <w:tcW w:w="2098" w:type="dxa"/>
            <w:vAlign w:val="center"/>
          </w:tcPr>
          <w:p w14:paraId="0EFAB528" w14:textId="77777777" w:rsidR="00454A29" w:rsidRDefault="00454A29">
            <w:pPr>
              <w:pStyle w:val="ConsPlusNormal"/>
              <w:jc w:val="center"/>
            </w:pPr>
            <w:r>
              <w:t>Федеральный бюджет</w:t>
            </w:r>
          </w:p>
        </w:tc>
        <w:tc>
          <w:tcPr>
            <w:tcW w:w="1814" w:type="dxa"/>
            <w:vAlign w:val="center"/>
          </w:tcPr>
          <w:p w14:paraId="43047BC6" w14:textId="77777777" w:rsidR="00454A29" w:rsidRDefault="00454A29">
            <w:pPr>
              <w:pStyle w:val="ConsPlusNormal"/>
              <w:jc w:val="center"/>
            </w:pPr>
            <w:r>
              <w:t>0,00</w:t>
            </w:r>
          </w:p>
        </w:tc>
        <w:tc>
          <w:tcPr>
            <w:tcW w:w="1701" w:type="dxa"/>
            <w:vAlign w:val="center"/>
          </w:tcPr>
          <w:p w14:paraId="1E0D3645" w14:textId="77777777" w:rsidR="00454A29" w:rsidRDefault="00454A29">
            <w:pPr>
              <w:pStyle w:val="ConsPlusNormal"/>
              <w:jc w:val="center"/>
            </w:pPr>
            <w:r>
              <w:t>0,00</w:t>
            </w:r>
          </w:p>
        </w:tc>
        <w:tc>
          <w:tcPr>
            <w:tcW w:w="1701" w:type="dxa"/>
            <w:vAlign w:val="center"/>
          </w:tcPr>
          <w:p w14:paraId="7BE7B8A6" w14:textId="77777777" w:rsidR="00454A29" w:rsidRDefault="00454A29">
            <w:pPr>
              <w:pStyle w:val="ConsPlusNormal"/>
              <w:jc w:val="center"/>
            </w:pPr>
            <w:r>
              <w:t>0,00</w:t>
            </w:r>
          </w:p>
        </w:tc>
        <w:tc>
          <w:tcPr>
            <w:tcW w:w="1701" w:type="dxa"/>
            <w:vAlign w:val="center"/>
          </w:tcPr>
          <w:p w14:paraId="03A3B25E" w14:textId="77777777" w:rsidR="00454A29" w:rsidRDefault="00454A29">
            <w:pPr>
              <w:pStyle w:val="ConsPlusNormal"/>
              <w:jc w:val="center"/>
            </w:pPr>
            <w:r>
              <w:t>0,00</w:t>
            </w:r>
          </w:p>
        </w:tc>
        <w:tc>
          <w:tcPr>
            <w:tcW w:w="1701" w:type="dxa"/>
            <w:vAlign w:val="center"/>
          </w:tcPr>
          <w:p w14:paraId="39FE6F94" w14:textId="77777777" w:rsidR="00454A29" w:rsidRDefault="00454A29">
            <w:pPr>
              <w:pStyle w:val="ConsPlusNormal"/>
              <w:jc w:val="center"/>
            </w:pPr>
            <w:r>
              <w:t>0,00</w:t>
            </w:r>
          </w:p>
        </w:tc>
        <w:tc>
          <w:tcPr>
            <w:tcW w:w="1701" w:type="dxa"/>
            <w:vAlign w:val="center"/>
          </w:tcPr>
          <w:p w14:paraId="710B59C7" w14:textId="77777777" w:rsidR="00454A29" w:rsidRDefault="00454A29">
            <w:pPr>
              <w:pStyle w:val="ConsPlusNormal"/>
              <w:jc w:val="center"/>
            </w:pPr>
            <w:r>
              <w:t>0,00</w:t>
            </w:r>
          </w:p>
        </w:tc>
        <w:tc>
          <w:tcPr>
            <w:tcW w:w="1701" w:type="dxa"/>
            <w:vAlign w:val="center"/>
          </w:tcPr>
          <w:p w14:paraId="5B801F67" w14:textId="77777777" w:rsidR="00454A29" w:rsidRDefault="00454A29">
            <w:pPr>
              <w:pStyle w:val="ConsPlusNormal"/>
              <w:jc w:val="center"/>
            </w:pPr>
            <w:r>
              <w:t>0,00</w:t>
            </w:r>
          </w:p>
        </w:tc>
      </w:tr>
      <w:tr w:rsidR="00454A29" w14:paraId="7F0E4546" w14:textId="77777777">
        <w:tc>
          <w:tcPr>
            <w:tcW w:w="964" w:type="dxa"/>
            <w:vMerge/>
          </w:tcPr>
          <w:p w14:paraId="37AB8645" w14:textId="77777777" w:rsidR="00454A29" w:rsidRDefault="00454A29"/>
        </w:tc>
        <w:tc>
          <w:tcPr>
            <w:tcW w:w="2154" w:type="dxa"/>
            <w:vMerge/>
            <w:tcBorders>
              <w:top w:val="nil"/>
              <w:bottom w:val="nil"/>
            </w:tcBorders>
          </w:tcPr>
          <w:p w14:paraId="4A4ACD12" w14:textId="77777777" w:rsidR="00454A29" w:rsidRDefault="00454A29"/>
        </w:tc>
        <w:tc>
          <w:tcPr>
            <w:tcW w:w="2154" w:type="dxa"/>
            <w:vMerge/>
            <w:tcBorders>
              <w:top w:val="nil"/>
              <w:bottom w:val="nil"/>
            </w:tcBorders>
          </w:tcPr>
          <w:p w14:paraId="32AA1ABC" w14:textId="77777777" w:rsidR="00454A29" w:rsidRDefault="00454A29"/>
        </w:tc>
        <w:tc>
          <w:tcPr>
            <w:tcW w:w="2665" w:type="dxa"/>
            <w:vMerge/>
            <w:tcBorders>
              <w:top w:val="nil"/>
              <w:bottom w:val="nil"/>
            </w:tcBorders>
          </w:tcPr>
          <w:p w14:paraId="42D0670D" w14:textId="77777777" w:rsidR="00454A29" w:rsidRDefault="00454A29"/>
        </w:tc>
        <w:tc>
          <w:tcPr>
            <w:tcW w:w="2665" w:type="dxa"/>
            <w:vMerge/>
            <w:tcBorders>
              <w:top w:val="nil"/>
              <w:bottom w:val="nil"/>
            </w:tcBorders>
          </w:tcPr>
          <w:p w14:paraId="500E45DF" w14:textId="77777777" w:rsidR="00454A29" w:rsidRDefault="00454A29"/>
        </w:tc>
        <w:tc>
          <w:tcPr>
            <w:tcW w:w="1928" w:type="dxa"/>
            <w:vMerge/>
          </w:tcPr>
          <w:p w14:paraId="4E9B6848" w14:textId="77777777" w:rsidR="00454A29" w:rsidRDefault="00454A29"/>
        </w:tc>
        <w:tc>
          <w:tcPr>
            <w:tcW w:w="1644" w:type="dxa"/>
            <w:vMerge/>
          </w:tcPr>
          <w:p w14:paraId="3AFC7E0E" w14:textId="77777777" w:rsidR="00454A29" w:rsidRDefault="00454A29"/>
        </w:tc>
        <w:tc>
          <w:tcPr>
            <w:tcW w:w="2041" w:type="dxa"/>
            <w:vMerge/>
          </w:tcPr>
          <w:p w14:paraId="037CA825" w14:textId="77777777" w:rsidR="00454A29" w:rsidRDefault="00454A29"/>
        </w:tc>
        <w:tc>
          <w:tcPr>
            <w:tcW w:w="2098" w:type="dxa"/>
            <w:vAlign w:val="center"/>
          </w:tcPr>
          <w:p w14:paraId="604B4ABD" w14:textId="77777777" w:rsidR="00454A29" w:rsidRDefault="00454A29">
            <w:pPr>
              <w:pStyle w:val="ConsPlusNormal"/>
              <w:jc w:val="center"/>
            </w:pPr>
            <w:r>
              <w:t>Местные бюджеты</w:t>
            </w:r>
          </w:p>
        </w:tc>
        <w:tc>
          <w:tcPr>
            <w:tcW w:w="1814" w:type="dxa"/>
            <w:vAlign w:val="center"/>
          </w:tcPr>
          <w:p w14:paraId="437F1073" w14:textId="77777777" w:rsidR="00454A29" w:rsidRDefault="00454A29">
            <w:pPr>
              <w:pStyle w:val="ConsPlusNormal"/>
              <w:jc w:val="center"/>
            </w:pPr>
            <w:r>
              <w:t>0,00</w:t>
            </w:r>
          </w:p>
        </w:tc>
        <w:tc>
          <w:tcPr>
            <w:tcW w:w="1701" w:type="dxa"/>
            <w:vAlign w:val="center"/>
          </w:tcPr>
          <w:p w14:paraId="7CA6D2CE" w14:textId="77777777" w:rsidR="00454A29" w:rsidRDefault="00454A29">
            <w:pPr>
              <w:pStyle w:val="ConsPlusNormal"/>
              <w:jc w:val="center"/>
            </w:pPr>
            <w:r>
              <w:t>0,00</w:t>
            </w:r>
          </w:p>
        </w:tc>
        <w:tc>
          <w:tcPr>
            <w:tcW w:w="1701" w:type="dxa"/>
            <w:vAlign w:val="center"/>
          </w:tcPr>
          <w:p w14:paraId="26F23088" w14:textId="77777777" w:rsidR="00454A29" w:rsidRDefault="00454A29">
            <w:pPr>
              <w:pStyle w:val="ConsPlusNormal"/>
              <w:jc w:val="center"/>
            </w:pPr>
            <w:r>
              <w:t>0,00</w:t>
            </w:r>
          </w:p>
        </w:tc>
        <w:tc>
          <w:tcPr>
            <w:tcW w:w="1701" w:type="dxa"/>
            <w:vAlign w:val="center"/>
          </w:tcPr>
          <w:p w14:paraId="343CA973" w14:textId="77777777" w:rsidR="00454A29" w:rsidRDefault="00454A29">
            <w:pPr>
              <w:pStyle w:val="ConsPlusNormal"/>
              <w:jc w:val="center"/>
            </w:pPr>
            <w:r>
              <w:t>0,00</w:t>
            </w:r>
          </w:p>
        </w:tc>
        <w:tc>
          <w:tcPr>
            <w:tcW w:w="1701" w:type="dxa"/>
            <w:vAlign w:val="center"/>
          </w:tcPr>
          <w:p w14:paraId="163D64AA" w14:textId="77777777" w:rsidR="00454A29" w:rsidRDefault="00454A29">
            <w:pPr>
              <w:pStyle w:val="ConsPlusNormal"/>
              <w:jc w:val="center"/>
            </w:pPr>
            <w:r>
              <w:t>0,00</w:t>
            </w:r>
          </w:p>
        </w:tc>
        <w:tc>
          <w:tcPr>
            <w:tcW w:w="1701" w:type="dxa"/>
            <w:vAlign w:val="center"/>
          </w:tcPr>
          <w:p w14:paraId="4C4B96F6" w14:textId="77777777" w:rsidR="00454A29" w:rsidRDefault="00454A29">
            <w:pPr>
              <w:pStyle w:val="ConsPlusNormal"/>
              <w:jc w:val="center"/>
            </w:pPr>
            <w:r>
              <w:t>0,00</w:t>
            </w:r>
          </w:p>
        </w:tc>
        <w:tc>
          <w:tcPr>
            <w:tcW w:w="1701" w:type="dxa"/>
            <w:vAlign w:val="center"/>
          </w:tcPr>
          <w:p w14:paraId="0AEB46F8" w14:textId="77777777" w:rsidR="00454A29" w:rsidRDefault="00454A29">
            <w:pPr>
              <w:pStyle w:val="ConsPlusNormal"/>
              <w:jc w:val="center"/>
            </w:pPr>
            <w:r>
              <w:t>0,00</w:t>
            </w:r>
          </w:p>
        </w:tc>
      </w:tr>
      <w:tr w:rsidR="00454A29" w14:paraId="27FDB9F0" w14:textId="77777777">
        <w:tc>
          <w:tcPr>
            <w:tcW w:w="964" w:type="dxa"/>
            <w:vMerge/>
          </w:tcPr>
          <w:p w14:paraId="61847C93" w14:textId="77777777" w:rsidR="00454A29" w:rsidRDefault="00454A29"/>
        </w:tc>
        <w:tc>
          <w:tcPr>
            <w:tcW w:w="2154" w:type="dxa"/>
            <w:vMerge/>
            <w:tcBorders>
              <w:top w:val="nil"/>
              <w:bottom w:val="nil"/>
            </w:tcBorders>
          </w:tcPr>
          <w:p w14:paraId="32ABEDD8" w14:textId="77777777" w:rsidR="00454A29" w:rsidRDefault="00454A29"/>
        </w:tc>
        <w:tc>
          <w:tcPr>
            <w:tcW w:w="2154" w:type="dxa"/>
            <w:vMerge/>
            <w:tcBorders>
              <w:top w:val="nil"/>
              <w:bottom w:val="nil"/>
            </w:tcBorders>
          </w:tcPr>
          <w:p w14:paraId="08D0342A" w14:textId="77777777" w:rsidR="00454A29" w:rsidRDefault="00454A29"/>
        </w:tc>
        <w:tc>
          <w:tcPr>
            <w:tcW w:w="2665" w:type="dxa"/>
            <w:vMerge/>
            <w:tcBorders>
              <w:top w:val="nil"/>
              <w:bottom w:val="nil"/>
            </w:tcBorders>
          </w:tcPr>
          <w:p w14:paraId="366DE7AE" w14:textId="77777777" w:rsidR="00454A29" w:rsidRDefault="00454A29"/>
        </w:tc>
        <w:tc>
          <w:tcPr>
            <w:tcW w:w="2665" w:type="dxa"/>
            <w:vMerge/>
            <w:tcBorders>
              <w:top w:val="nil"/>
              <w:bottom w:val="nil"/>
            </w:tcBorders>
          </w:tcPr>
          <w:p w14:paraId="315DCF6F" w14:textId="77777777" w:rsidR="00454A29" w:rsidRDefault="00454A29"/>
        </w:tc>
        <w:tc>
          <w:tcPr>
            <w:tcW w:w="1928" w:type="dxa"/>
            <w:vMerge/>
          </w:tcPr>
          <w:p w14:paraId="76EBAB44" w14:textId="77777777" w:rsidR="00454A29" w:rsidRDefault="00454A29"/>
        </w:tc>
        <w:tc>
          <w:tcPr>
            <w:tcW w:w="1644" w:type="dxa"/>
            <w:vMerge/>
          </w:tcPr>
          <w:p w14:paraId="4A1636A8" w14:textId="77777777" w:rsidR="00454A29" w:rsidRDefault="00454A29"/>
        </w:tc>
        <w:tc>
          <w:tcPr>
            <w:tcW w:w="2041" w:type="dxa"/>
            <w:vMerge/>
          </w:tcPr>
          <w:p w14:paraId="513B94AF" w14:textId="77777777" w:rsidR="00454A29" w:rsidRDefault="00454A29"/>
        </w:tc>
        <w:tc>
          <w:tcPr>
            <w:tcW w:w="2098" w:type="dxa"/>
            <w:vAlign w:val="center"/>
          </w:tcPr>
          <w:p w14:paraId="75C3EC9D" w14:textId="77777777" w:rsidR="00454A29" w:rsidRDefault="00454A29">
            <w:pPr>
              <w:pStyle w:val="ConsPlusNormal"/>
              <w:jc w:val="center"/>
            </w:pPr>
            <w:r>
              <w:t>Внебюджетные средства</w:t>
            </w:r>
          </w:p>
        </w:tc>
        <w:tc>
          <w:tcPr>
            <w:tcW w:w="1814" w:type="dxa"/>
            <w:vAlign w:val="center"/>
          </w:tcPr>
          <w:p w14:paraId="78594A94" w14:textId="77777777" w:rsidR="00454A29" w:rsidRDefault="00454A29">
            <w:pPr>
              <w:pStyle w:val="ConsPlusNormal"/>
              <w:jc w:val="center"/>
            </w:pPr>
            <w:r>
              <w:t>0,00</w:t>
            </w:r>
          </w:p>
        </w:tc>
        <w:tc>
          <w:tcPr>
            <w:tcW w:w="1701" w:type="dxa"/>
            <w:vAlign w:val="center"/>
          </w:tcPr>
          <w:p w14:paraId="148F003C" w14:textId="77777777" w:rsidR="00454A29" w:rsidRDefault="00454A29">
            <w:pPr>
              <w:pStyle w:val="ConsPlusNormal"/>
              <w:jc w:val="center"/>
            </w:pPr>
            <w:r>
              <w:t>0,00</w:t>
            </w:r>
          </w:p>
        </w:tc>
        <w:tc>
          <w:tcPr>
            <w:tcW w:w="1701" w:type="dxa"/>
            <w:vAlign w:val="center"/>
          </w:tcPr>
          <w:p w14:paraId="4D08CA00" w14:textId="77777777" w:rsidR="00454A29" w:rsidRDefault="00454A29">
            <w:pPr>
              <w:pStyle w:val="ConsPlusNormal"/>
              <w:jc w:val="center"/>
            </w:pPr>
            <w:r>
              <w:t>0,00</w:t>
            </w:r>
          </w:p>
        </w:tc>
        <w:tc>
          <w:tcPr>
            <w:tcW w:w="1701" w:type="dxa"/>
            <w:vAlign w:val="center"/>
          </w:tcPr>
          <w:p w14:paraId="653A316C" w14:textId="77777777" w:rsidR="00454A29" w:rsidRDefault="00454A29">
            <w:pPr>
              <w:pStyle w:val="ConsPlusNormal"/>
              <w:jc w:val="center"/>
            </w:pPr>
            <w:r>
              <w:t>0,00</w:t>
            </w:r>
          </w:p>
        </w:tc>
        <w:tc>
          <w:tcPr>
            <w:tcW w:w="1701" w:type="dxa"/>
            <w:vAlign w:val="center"/>
          </w:tcPr>
          <w:p w14:paraId="0486EAC2" w14:textId="77777777" w:rsidR="00454A29" w:rsidRDefault="00454A29">
            <w:pPr>
              <w:pStyle w:val="ConsPlusNormal"/>
              <w:jc w:val="center"/>
            </w:pPr>
            <w:r>
              <w:t>0,00</w:t>
            </w:r>
          </w:p>
        </w:tc>
        <w:tc>
          <w:tcPr>
            <w:tcW w:w="1701" w:type="dxa"/>
            <w:vAlign w:val="center"/>
          </w:tcPr>
          <w:p w14:paraId="46E8C4E1" w14:textId="77777777" w:rsidR="00454A29" w:rsidRDefault="00454A29">
            <w:pPr>
              <w:pStyle w:val="ConsPlusNormal"/>
              <w:jc w:val="center"/>
            </w:pPr>
            <w:r>
              <w:t>0,00</w:t>
            </w:r>
          </w:p>
        </w:tc>
        <w:tc>
          <w:tcPr>
            <w:tcW w:w="1701" w:type="dxa"/>
            <w:vAlign w:val="center"/>
          </w:tcPr>
          <w:p w14:paraId="6AD5D29D" w14:textId="77777777" w:rsidR="00454A29" w:rsidRDefault="00454A29">
            <w:pPr>
              <w:pStyle w:val="ConsPlusNormal"/>
              <w:jc w:val="center"/>
            </w:pPr>
            <w:r>
              <w:t>0,00</w:t>
            </w:r>
          </w:p>
        </w:tc>
      </w:tr>
      <w:tr w:rsidR="00454A29" w14:paraId="48258EFA" w14:textId="77777777">
        <w:tc>
          <w:tcPr>
            <w:tcW w:w="964" w:type="dxa"/>
            <w:vMerge w:val="restart"/>
            <w:vAlign w:val="center"/>
          </w:tcPr>
          <w:p w14:paraId="4BD2EB0D" w14:textId="77777777" w:rsidR="00454A29" w:rsidRDefault="00454A29">
            <w:pPr>
              <w:pStyle w:val="ConsPlusNormal"/>
              <w:jc w:val="center"/>
            </w:pPr>
            <w:r>
              <w:t>11.1.8.</w:t>
            </w:r>
          </w:p>
        </w:tc>
        <w:tc>
          <w:tcPr>
            <w:tcW w:w="2154" w:type="dxa"/>
            <w:vMerge w:val="restart"/>
            <w:tcBorders>
              <w:top w:val="nil"/>
              <w:bottom w:val="nil"/>
            </w:tcBorders>
            <w:vAlign w:val="center"/>
          </w:tcPr>
          <w:p w14:paraId="75903AC5" w14:textId="77777777" w:rsidR="00454A29" w:rsidRDefault="00454A29">
            <w:pPr>
              <w:pStyle w:val="ConsPlusNormal"/>
            </w:pPr>
          </w:p>
        </w:tc>
        <w:tc>
          <w:tcPr>
            <w:tcW w:w="2154" w:type="dxa"/>
            <w:vMerge w:val="restart"/>
            <w:tcBorders>
              <w:top w:val="nil"/>
              <w:bottom w:val="nil"/>
            </w:tcBorders>
            <w:vAlign w:val="center"/>
          </w:tcPr>
          <w:p w14:paraId="392B8ABB" w14:textId="77777777" w:rsidR="00454A29" w:rsidRDefault="00454A29">
            <w:pPr>
              <w:pStyle w:val="ConsPlusNormal"/>
            </w:pPr>
          </w:p>
        </w:tc>
        <w:tc>
          <w:tcPr>
            <w:tcW w:w="2665" w:type="dxa"/>
            <w:vMerge w:val="restart"/>
            <w:tcBorders>
              <w:top w:val="nil"/>
              <w:bottom w:val="nil"/>
            </w:tcBorders>
            <w:vAlign w:val="center"/>
          </w:tcPr>
          <w:p w14:paraId="567608D1" w14:textId="77777777" w:rsidR="00454A29" w:rsidRDefault="00454A29">
            <w:pPr>
              <w:pStyle w:val="ConsPlusNormal"/>
            </w:pPr>
          </w:p>
        </w:tc>
        <w:tc>
          <w:tcPr>
            <w:tcW w:w="2665" w:type="dxa"/>
            <w:vMerge w:val="restart"/>
            <w:tcBorders>
              <w:top w:val="nil"/>
              <w:bottom w:val="nil"/>
            </w:tcBorders>
            <w:vAlign w:val="center"/>
          </w:tcPr>
          <w:p w14:paraId="093D0E73" w14:textId="77777777" w:rsidR="00454A29" w:rsidRDefault="00454A29">
            <w:pPr>
              <w:pStyle w:val="ConsPlusNormal"/>
            </w:pPr>
          </w:p>
        </w:tc>
        <w:tc>
          <w:tcPr>
            <w:tcW w:w="1928" w:type="dxa"/>
            <w:vMerge w:val="restart"/>
            <w:vAlign w:val="center"/>
          </w:tcPr>
          <w:p w14:paraId="06600110" w14:textId="77777777" w:rsidR="00454A29" w:rsidRDefault="00454A29">
            <w:pPr>
              <w:pStyle w:val="ConsPlusNormal"/>
              <w:jc w:val="center"/>
            </w:pPr>
            <w:r>
              <w:t>МР "Верхневилюйский улус (район)</w:t>
            </w:r>
          </w:p>
        </w:tc>
        <w:tc>
          <w:tcPr>
            <w:tcW w:w="1644" w:type="dxa"/>
            <w:vMerge w:val="restart"/>
            <w:vAlign w:val="center"/>
          </w:tcPr>
          <w:p w14:paraId="2C156787" w14:textId="77777777" w:rsidR="00454A29" w:rsidRDefault="00454A29">
            <w:pPr>
              <w:pStyle w:val="ConsPlusNormal"/>
              <w:jc w:val="center"/>
            </w:pPr>
            <w:r>
              <w:t>с. Хоро</w:t>
            </w:r>
          </w:p>
        </w:tc>
        <w:tc>
          <w:tcPr>
            <w:tcW w:w="2041" w:type="dxa"/>
            <w:vMerge w:val="restart"/>
            <w:vAlign w:val="center"/>
          </w:tcPr>
          <w:p w14:paraId="4C318008" w14:textId="77777777" w:rsidR="00454A29" w:rsidRDefault="00454A29">
            <w:pPr>
              <w:pStyle w:val="ConsPlusNormal"/>
              <w:jc w:val="center"/>
            </w:pPr>
            <w:r>
              <w:t>Строительство детского сада на 75 мест</w:t>
            </w:r>
          </w:p>
        </w:tc>
        <w:tc>
          <w:tcPr>
            <w:tcW w:w="2098" w:type="dxa"/>
            <w:vAlign w:val="center"/>
          </w:tcPr>
          <w:p w14:paraId="22099284" w14:textId="77777777" w:rsidR="00454A29" w:rsidRDefault="00454A29">
            <w:pPr>
              <w:pStyle w:val="ConsPlusNormal"/>
              <w:jc w:val="center"/>
            </w:pPr>
            <w:r>
              <w:t>Итого</w:t>
            </w:r>
          </w:p>
        </w:tc>
        <w:tc>
          <w:tcPr>
            <w:tcW w:w="1814" w:type="dxa"/>
            <w:vAlign w:val="center"/>
          </w:tcPr>
          <w:p w14:paraId="6446A319" w14:textId="77777777" w:rsidR="00454A29" w:rsidRDefault="00454A29">
            <w:pPr>
              <w:pStyle w:val="ConsPlusNormal"/>
              <w:jc w:val="center"/>
            </w:pPr>
            <w:r>
              <w:t>0,00</w:t>
            </w:r>
          </w:p>
        </w:tc>
        <w:tc>
          <w:tcPr>
            <w:tcW w:w="1701" w:type="dxa"/>
            <w:vAlign w:val="center"/>
          </w:tcPr>
          <w:p w14:paraId="04EBEB6C" w14:textId="77777777" w:rsidR="00454A29" w:rsidRDefault="00454A29">
            <w:pPr>
              <w:pStyle w:val="ConsPlusNormal"/>
              <w:jc w:val="center"/>
            </w:pPr>
            <w:r>
              <w:t>0,00</w:t>
            </w:r>
          </w:p>
        </w:tc>
        <w:tc>
          <w:tcPr>
            <w:tcW w:w="1701" w:type="dxa"/>
            <w:vAlign w:val="center"/>
          </w:tcPr>
          <w:p w14:paraId="69B352F1" w14:textId="77777777" w:rsidR="00454A29" w:rsidRDefault="00454A29">
            <w:pPr>
              <w:pStyle w:val="ConsPlusNormal"/>
              <w:jc w:val="center"/>
            </w:pPr>
            <w:r>
              <w:t>0,00</w:t>
            </w:r>
          </w:p>
        </w:tc>
        <w:tc>
          <w:tcPr>
            <w:tcW w:w="1701" w:type="dxa"/>
            <w:vAlign w:val="center"/>
          </w:tcPr>
          <w:p w14:paraId="1F81D70C" w14:textId="77777777" w:rsidR="00454A29" w:rsidRDefault="00454A29">
            <w:pPr>
              <w:pStyle w:val="ConsPlusNormal"/>
              <w:jc w:val="center"/>
            </w:pPr>
            <w:r>
              <w:t>0,00</w:t>
            </w:r>
          </w:p>
        </w:tc>
        <w:tc>
          <w:tcPr>
            <w:tcW w:w="1701" w:type="dxa"/>
            <w:vAlign w:val="center"/>
          </w:tcPr>
          <w:p w14:paraId="5323A5A0" w14:textId="77777777" w:rsidR="00454A29" w:rsidRDefault="00454A29">
            <w:pPr>
              <w:pStyle w:val="ConsPlusNormal"/>
              <w:jc w:val="center"/>
            </w:pPr>
            <w:r>
              <w:t>0,00</w:t>
            </w:r>
          </w:p>
        </w:tc>
        <w:tc>
          <w:tcPr>
            <w:tcW w:w="1701" w:type="dxa"/>
            <w:vAlign w:val="center"/>
          </w:tcPr>
          <w:p w14:paraId="1995C2CB" w14:textId="77777777" w:rsidR="00454A29" w:rsidRDefault="00454A29">
            <w:pPr>
              <w:pStyle w:val="ConsPlusNormal"/>
              <w:jc w:val="center"/>
            </w:pPr>
            <w:r>
              <w:t>0,00</w:t>
            </w:r>
          </w:p>
        </w:tc>
        <w:tc>
          <w:tcPr>
            <w:tcW w:w="1701" w:type="dxa"/>
            <w:vAlign w:val="center"/>
          </w:tcPr>
          <w:p w14:paraId="215EAD28" w14:textId="77777777" w:rsidR="00454A29" w:rsidRDefault="00454A29">
            <w:pPr>
              <w:pStyle w:val="ConsPlusNormal"/>
              <w:jc w:val="center"/>
            </w:pPr>
            <w:r>
              <w:t>0,00</w:t>
            </w:r>
          </w:p>
        </w:tc>
      </w:tr>
      <w:tr w:rsidR="00454A29" w14:paraId="451442C6" w14:textId="77777777">
        <w:tc>
          <w:tcPr>
            <w:tcW w:w="964" w:type="dxa"/>
            <w:vMerge/>
          </w:tcPr>
          <w:p w14:paraId="63EAF68B" w14:textId="77777777" w:rsidR="00454A29" w:rsidRDefault="00454A29"/>
        </w:tc>
        <w:tc>
          <w:tcPr>
            <w:tcW w:w="2154" w:type="dxa"/>
            <w:vMerge/>
            <w:tcBorders>
              <w:top w:val="nil"/>
              <w:bottom w:val="nil"/>
            </w:tcBorders>
          </w:tcPr>
          <w:p w14:paraId="480117A6" w14:textId="77777777" w:rsidR="00454A29" w:rsidRDefault="00454A29"/>
        </w:tc>
        <w:tc>
          <w:tcPr>
            <w:tcW w:w="2154" w:type="dxa"/>
            <w:vMerge/>
            <w:tcBorders>
              <w:top w:val="nil"/>
              <w:bottom w:val="nil"/>
            </w:tcBorders>
          </w:tcPr>
          <w:p w14:paraId="6CF51D62" w14:textId="77777777" w:rsidR="00454A29" w:rsidRDefault="00454A29"/>
        </w:tc>
        <w:tc>
          <w:tcPr>
            <w:tcW w:w="2665" w:type="dxa"/>
            <w:vMerge/>
            <w:tcBorders>
              <w:top w:val="nil"/>
              <w:bottom w:val="nil"/>
            </w:tcBorders>
          </w:tcPr>
          <w:p w14:paraId="12752FE4" w14:textId="77777777" w:rsidR="00454A29" w:rsidRDefault="00454A29"/>
        </w:tc>
        <w:tc>
          <w:tcPr>
            <w:tcW w:w="2665" w:type="dxa"/>
            <w:vMerge/>
            <w:tcBorders>
              <w:top w:val="nil"/>
              <w:bottom w:val="nil"/>
            </w:tcBorders>
          </w:tcPr>
          <w:p w14:paraId="34BAF7E6" w14:textId="77777777" w:rsidR="00454A29" w:rsidRDefault="00454A29"/>
        </w:tc>
        <w:tc>
          <w:tcPr>
            <w:tcW w:w="1928" w:type="dxa"/>
            <w:vMerge/>
          </w:tcPr>
          <w:p w14:paraId="03C503A2" w14:textId="77777777" w:rsidR="00454A29" w:rsidRDefault="00454A29"/>
        </w:tc>
        <w:tc>
          <w:tcPr>
            <w:tcW w:w="1644" w:type="dxa"/>
            <w:vMerge/>
          </w:tcPr>
          <w:p w14:paraId="3828FF7F" w14:textId="77777777" w:rsidR="00454A29" w:rsidRDefault="00454A29"/>
        </w:tc>
        <w:tc>
          <w:tcPr>
            <w:tcW w:w="2041" w:type="dxa"/>
            <w:vMerge/>
          </w:tcPr>
          <w:p w14:paraId="17DE73F8" w14:textId="77777777" w:rsidR="00454A29" w:rsidRDefault="00454A29"/>
        </w:tc>
        <w:tc>
          <w:tcPr>
            <w:tcW w:w="2098" w:type="dxa"/>
            <w:vAlign w:val="center"/>
          </w:tcPr>
          <w:p w14:paraId="4C13B9D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BCDA1FC" w14:textId="77777777" w:rsidR="00454A29" w:rsidRDefault="00454A29">
            <w:pPr>
              <w:pStyle w:val="ConsPlusNormal"/>
              <w:jc w:val="center"/>
            </w:pPr>
            <w:r>
              <w:t>0,00</w:t>
            </w:r>
          </w:p>
        </w:tc>
        <w:tc>
          <w:tcPr>
            <w:tcW w:w="1701" w:type="dxa"/>
            <w:vAlign w:val="center"/>
          </w:tcPr>
          <w:p w14:paraId="0ACC0675" w14:textId="77777777" w:rsidR="00454A29" w:rsidRDefault="00454A29">
            <w:pPr>
              <w:pStyle w:val="ConsPlusNormal"/>
              <w:jc w:val="center"/>
            </w:pPr>
            <w:r>
              <w:t>0,00</w:t>
            </w:r>
          </w:p>
        </w:tc>
        <w:tc>
          <w:tcPr>
            <w:tcW w:w="1701" w:type="dxa"/>
            <w:vAlign w:val="center"/>
          </w:tcPr>
          <w:p w14:paraId="50207C09" w14:textId="77777777" w:rsidR="00454A29" w:rsidRDefault="00454A29">
            <w:pPr>
              <w:pStyle w:val="ConsPlusNormal"/>
              <w:jc w:val="center"/>
            </w:pPr>
            <w:r>
              <w:t>0,00</w:t>
            </w:r>
          </w:p>
        </w:tc>
        <w:tc>
          <w:tcPr>
            <w:tcW w:w="1701" w:type="dxa"/>
            <w:vAlign w:val="center"/>
          </w:tcPr>
          <w:p w14:paraId="094354B1" w14:textId="77777777" w:rsidR="00454A29" w:rsidRDefault="00454A29">
            <w:pPr>
              <w:pStyle w:val="ConsPlusNormal"/>
              <w:jc w:val="center"/>
            </w:pPr>
            <w:r>
              <w:t>0,00</w:t>
            </w:r>
          </w:p>
        </w:tc>
        <w:tc>
          <w:tcPr>
            <w:tcW w:w="1701" w:type="dxa"/>
            <w:vAlign w:val="center"/>
          </w:tcPr>
          <w:p w14:paraId="7714C198" w14:textId="77777777" w:rsidR="00454A29" w:rsidRDefault="00454A29">
            <w:pPr>
              <w:pStyle w:val="ConsPlusNormal"/>
              <w:jc w:val="center"/>
            </w:pPr>
            <w:r>
              <w:t>0,00</w:t>
            </w:r>
          </w:p>
        </w:tc>
        <w:tc>
          <w:tcPr>
            <w:tcW w:w="1701" w:type="dxa"/>
            <w:vAlign w:val="center"/>
          </w:tcPr>
          <w:p w14:paraId="7253E65E" w14:textId="77777777" w:rsidR="00454A29" w:rsidRDefault="00454A29">
            <w:pPr>
              <w:pStyle w:val="ConsPlusNormal"/>
              <w:jc w:val="center"/>
            </w:pPr>
            <w:r>
              <w:t>0,00</w:t>
            </w:r>
          </w:p>
        </w:tc>
        <w:tc>
          <w:tcPr>
            <w:tcW w:w="1701" w:type="dxa"/>
            <w:vAlign w:val="center"/>
          </w:tcPr>
          <w:p w14:paraId="17B9919F" w14:textId="77777777" w:rsidR="00454A29" w:rsidRDefault="00454A29">
            <w:pPr>
              <w:pStyle w:val="ConsPlusNormal"/>
              <w:jc w:val="center"/>
            </w:pPr>
            <w:r>
              <w:t>0,00</w:t>
            </w:r>
          </w:p>
        </w:tc>
      </w:tr>
      <w:tr w:rsidR="00454A29" w14:paraId="65DA7AA9" w14:textId="77777777">
        <w:tc>
          <w:tcPr>
            <w:tcW w:w="964" w:type="dxa"/>
            <w:vMerge/>
          </w:tcPr>
          <w:p w14:paraId="355280BE" w14:textId="77777777" w:rsidR="00454A29" w:rsidRDefault="00454A29"/>
        </w:tc>
        <w:tc>
          <w:tcPr>
            <w:tcW w:w="2154" w:type="dxa"/>
            <w:vMerge/>
            <w:tcBorders>
              <w:top w:val="nil"/>
              <w:bottom w:val="nil"/>
            </w:tcBorders>
          </w:tcPr>
          <w:p w14:paraId="3921D88F" w14:textId="77777777" w:rsidR="00454A29" w:rsidRDefault="00454A29"/>
        </w:tc>
        <w:tc>
          <w:tcPr>
            <w:tcW w:w="2154" w:type="dxa"/>
            <w:vMerge/>
            <w:tcBorders>
              <w:top w:val="nil"/>
              <w:bottom w:val="nil"/>
            </w:tcBorders>
          </w:tcPr>
          <w:p w14:paraId="627DB020" w14:textId="77777777" w:rsidR="00454A29" w:rsidRDefault="00454A29"/>
        </w:tc>
        <w:tc>
          <w:tcPr>
            <w:tcW w:w="2665" w:type="dxa"/>
            <w:vMerge/>
            <w:tcBorders>
              <w:top w:val="nil"/>
              <w:bottom w:val="nil"/>
            </w:tcBorders>
          </w:tcPr>
          <w:p w14:paraId="0ADAB516" w14:textId="77777777" w:rsidR="00454A29" w:rsidRDefault="00454A29"/>
        </w:tc>
        <w:tc>
          <w:tcPr>
            <w:tcW w:w="2665" w:type="dxa"/>
            <w:vMerge/>
            <w:tcBorders>
              <w:top w:val="nil"/>
              <w:bottom w:val="nil"/>
            </w:tcBorders>
          </w:tcPr>
          <w:p w14:paraId="0361D155" w14:textId="77777777" w:rsidR="00454A29" w:rsidRDefault="00454A29"/>
        </w:tc>
        <w:tc>
          <w:tcPr>
            <w:tcW w:w="1928" w:type="dxa"/>
            <w:vMerge/>
          </w:tcPr>
          <w:p w14:paraId="5AA8502A" w14:textId="77777777" w:rsidR="00454A29" w:rsidRDefault="00454A29"/>
        </w:tc>
        <w:tc>
          <w:tcPr>
            <w:tcW w:w="1644" w:type="dxa"/>
            <w:vMerge/>
          </w:tcPr>
          <w:p w14:paraId="0618547F" w14:textId="77777777" w:rsidR="00454A29" w:rsidRDefault="00454A29"/>
        </w:tc>
        <w:tc>
          <w:tcPr>
            <w:tcW w:w="2041" w:type="dxa"/>
            <w:vMerge/>
          </w:tcPr>
          <w:p w14:paraId="6E6E3B90" w14:textId="77777777" w:rsidR="00454A29" w:rsidRDefault="00454A29"/>
        </w:tc>
        <w:tc>
          <w:tcPr>
            <w:tcW w:w="2098" w:type="dxa"/>
            <w:vAlign w:val="center"/>
          </w:tcPr>
          <w:p w14:paraId="15F002B2" w14:textId="77777777" w:rsidR="00454A29" w:rsidRDefault="00454A29">
            <w:pPr>
              <w:pStyle w:val="ConsPlusNormal"/>
              <w:jc w:val="center"/>
            </w:pPr>
            <w:r>
              <w:t>Федеральный бюджет</w:t>
            </w:r>
          </w:p>
        </w:tc>
        <w:tc>
          <w:tcPr>
            <w:tcW w:w="1814" w:type="dxa"/>
            <w:vAlign w:val="center"/>
          </w:tcPr>
          <w:p w14:paraId="33A4120C" w14:textId="77777777" w:rsidR="00454A29" w:rsidRDefault="00454A29">
            <w:pPr>
              <w:pStyle w:val="ConsPlusNormal"/>
              <w:jc w:val="center"/>
            </w:pPr>
            <w:r>
              <w:t>0,00</w:t>
            </w:r>
          </w:p>
        </w:tc>
        <w:tc>
          <w:tcPr>
            <w:tcW w:w="1701" w:type="dxa"/>
            <w:vAlign w:val="center"/>
          </w:tcPr>
          <w:p w14:paraId="385536B8" w14:textId="77777777" w:rsidR="00454A29" w:rsidRDefault="00454A29">
            <w:pPr>
              <w:pStyle w:val="ConsPlusNormal"/>
              <w:jc w:val="center"/>
            </w:pPr>
            <w:r>
              <w:t>0,00</w:t>
            </w:r>
          </w:p>
        </w:tc>
        <w:tc>
          <w:tcPr>
            <w:tcW w:w="1701" w:type="dxa"/>
            <w:vAlign w:val="center"/>
          </w:tcPr>
          <w:p w14:paraId="3820FAF3" w14:textId="77777777" w:rsidR="00454A29" w:rsidRDefault="00454A29">
            <w:pPr>
              <w:pStyle w:val="ConsPlusNormal"/>
              <w:jc w:val="center"/>
            </w:pPr>
            <w:r>
              <w:t>0,00</w:t>
            </w:r>
          </w:p>
        </w:tc>
        <w:tc>
          <w:tcPr>
            <w:tcW w:w="1701" w:type="dxa"/>
            <w:vAlign w:val="center"/>
          </w:tcPr>
          <w:p w14:paraId="64480867" w14:textId="77777777" w:rsidR="00454A29" w:rsidRDefault="00454A29">
            <w:pPr>
              <w:pStyle w:val="ConsPlusNormal"/>
              <w:jc w:val="center"/>
            </w:pPr>
            <w:r>
              <w:t>0,00</w:t>
            </w:r>
          </w:p>
        </w:tc>
        <w:tc>
          <w:tcPr>
            <w:tcW w:w="1701" w:type="dxa"/>
            <w:vAlign w:val="center"/>
          </w:tcPr>
          <w:p w14:paraId="3A77463D" w14:textId="77777777" w:rsidR="00454A29" w:rsidRDefault="00454A29">
            <w:pPr>
              <w:pStyle w:val="ConsPlusNormal"/>
              <w:jc w:val="center"/>
            </w:pPr>
            <w:r>
              <w:t>0,00</w:t>
            </w:r>
          </w:p>
        </w:tc>
        <w:tc>
          <w:tcPr>
            <w:tcW w:w="1701" w:type="dxa"/>
            <w:vAlign w:val="center"/>
          </w:tcPr>
          <w:p w14:paraId="0CCE5E71" w14:textId="77777777" w:rsidR="00454A29" w:rsidRDefault="00454A29">
            <w:pPr>
              <w:pStyle w:val="ConsPlusNormal"/>
              <w:jc w:val="center"/>
            </w:pPr>
            <w:r>
              <w:t>0,00</w:t>
            </w:r>
          </w:p>
        </w:tc>
        <w:tc>
          <w:tcPr>
            <w:tcW w:w="1701" w:type="dxa"/>
            <w:vAlign w:val="center"/>
          </w:tcPr>
          <w:p w14:paraId="6409C514" w14:textId="77777777" w:rsidR="00454A29" w:rsidRDefault="00454A29">
            <w:pPr>
              <w:pStyle w:val="ConsPlusNormal"/>
              <w:jc w:val="center"/>
            </w:pPr>
            <w:r>
              <w:t>0,00</w:t>
            </w:r>
          </w:p>
        </w:tc>
      </w:tr>
      <w:tr w:rsidR="00454A29" w14:paraId="58D4FB13" w14:textId="77777777">
        <w:tc>
          <w:tcPr>
            <w:tcW w:w="964" w:type="dxa"/>
            <w:vMerge/>
          </w:tcPr>
          <w:p w14:paraId="09A0A2E7" w14:textId="77777777" w:rsidR="00454A29" w:rsidRDefault="00454A29"/>
        </w:tc>
        <w:tc>
          <w:tcPr>
            <w:tcW w:w="2154" w:type="dxa"/>
            <w:vMerge/>
            <w:tcBorders>
              <w:top w:val="nil"/>
              <w:bottom w:val="nil"/>
            </w:tcBorders>
          </w:tcPr>
          <w:p w14:paraId="729634E8" w14:textId="77777777" w:rsidR="00454A29" w:rsidRDefault="00454A29"/>
        </w:tc>
        <w:tc>
          <w:tcPr>
            <w:tcW w:w="2154" w:type="dxa"/>
            <w:vMerge/>
            <w:tcBorders>
              <w:top w:val="nil"/>
              <w:bottom w:val="nil"/>
            </w:tcBorders>
          </w:tcPr>
          <w:p w14:paraId="0778A2F1" w14:textId="77777777" w:rsidR="00454A29" w:rsidRDefault="00454A29"/>
        </w:tc>
        <w:tc>
          <w:tcPr>
            <w:tcW w:w="2665" w:type="dxa"/>
            <w:vMerge/>
            <w:tcBorders>
              <w:top w:val="nil"/>
              <w:bottom w:val="nil"/>
            </w:tcBorders>
          </w:tcPr>
          <w:p w14:paraId="3A0FB85D" w14:textId="77777777" w:rsidR="00454A29" w:rsidRDefault="00454A29"/>
        </w:tc>
        <w:tc>
          <w:tcPr>
            <w:tcW w:w="2665" w:type="dxa"/>
            <w:vMerge/>
            <w:tcBorders>
              <w:top w:val="nil"/>
              <w:bottom w:val="nil"/>
            </w:tcBorders>
          </w:tcPr>
          <w:p w14:paraId="0820A633" w14:textId="77777777" w:rsidR="00454A29" w:rsidRDefault="00454A29"/>
        </w:tc>
        <w:tc>
          <w:tcPr>
            <w:tcW w:w="1928" w:type="dxa"/>
            <w:vMerge/>
          </w:tcPr>
          <w:p w14:paraId="6794A0E8" w14:textId="77777777" w:rsidR="00454A29" w:rsidRDefault="00454A29"/>
        </w:tc>
        <w:tc>
          <w:tcPr>
            <w:tcW w:w="1644" w:type="dxa"/>
            <w:vMerge/>
          </w:tcPr>
          <w:p w14:paraId="4BEDCED4" w14:textId="77777777" w:rsidR="00454A29" w:rsidRDefault="00454A29"/>
        </w:tc>
        <w:tc>
          <w:tcPr>
            <w:tcW w:w="2041" w:type="dxa"/>
            <w:vMerge/>
          </w:tcPr>
          <w:p w14:paraId="7D248017" w14:textId="77777777" w:rsidR="00454A29" w:rsidRDefault="00454A29"/>
        </w:tc>
        <w:tc>
          <w:tcPr>
            <w:tcW w:w="2098" w:type="dxa"/>
            <w:vAlign w:val="center"/>
          </w:tcPr>
          <w:p w14:paraId="7C52F3D4" w14:textId="77777777" w:rsidR="00454A29" w:rsidRDefault="00454A29">
            <w:pPr>
              <w:pStyle w:val="ConsPlusNormal"/>
              <w:jc w:val="center"/>
            </w:pPr>
            <w:r>
              <w:t>Местные бюджеты</w:t>
            </w:r>
          </w:p>
        </w:tc>
        <w:tc>
          <w:tcPr>
            <w:tcW w:w="1814" w:type="dxa"/>
            <w:vAlign w:val="center"/>
          </w:tcPr>
          <w:p w14:paraId="1561076D" w14:textId="77777777" w:rsidR="00454A29" w:rsidRDefault="00454A29">
            <w:pPr>
              <w:pStyle w:val="ConsPlusNormal"/>
              <w:jc w:val="center"/>
            </w:pPr>
            <w:r>
              <w:t>0,00</w:t>
            </w:r>
          </w:p>
        </w:tc>
        <w:tc>
          <w:tcPr>
            <w:tcW w:w="1701" w:type="dxa"/>
            <w:vAlign w:val="center"/>
          </w:tcPr>
          <w:p w14:paraId="46669A5E" w14:textId="77777777" w:rsidR="00454A29" w:rsidRDefault="00454A29">
            <w:pPr>
              <w:pStyle w:val="ConsPlusNormal"/>
              <w:jc w:val="center"/>
            </w:pPr>
            <w:r>
              <w:t>0,00</w:t>
            </w:r>
          </w:p>
        </w:tc>
        <w:tc>
          <w:tcPr>
            <w:tcW w:w="1701" w:type="dxa"/>
            <w:vAlign w:val="center"/>
          </w:tcPr>
          <w:p w14:paraId="693CE3B5" w14:textId="77777777" w:rsidR="00454A29" w:rsidRDefault="00454A29">
            <w:pPr>
              <w:pStyle w:val="ConsPlusNormal"/>
              <w:jc w:val="center"/>
            </w:pPr>
            <w:r>
              <w:t>0,00</w:t>
            </w:r>
          </w:p>
        </w:tc>
        <w:tc>
          <w:tcPr>
            <w:tcW w:w="1701" w:type="dxa"/>
            <w:vAlign w:val="center"/>
          </w:tcPr>
          <w:p w14:paraId="5FF8959B" w14:textId="77777777" w:rsidR="00454A29" w:rsidRDefault="00454A29">
            <w:pPr>
              <w:pStyle w:val="ConsPlusNormal"/>
              <w:jc w:val="center"/>
            </w:pPr>
            <w:r>
              <w:t>0,00</w:t>
            </w:r>
          </w:p>
        </w:tc>
        <w:tc>
          <w:tcPr>
            <w:tcW w:w="1701" w:type="dxa"/>
            <w:vAlign w:val="center"/>
          </w:tcPr>
          <w:p w14:paraId="5E904901" w14:textId="77777777" w:rsidR="00454A29" w:rsidRDefault="00454A29">
            <w:pPr>
              <w:pStyle w:val="ConsPlusNormal"/>
              <w:jc w:val="center"/>
            </w:pPr>
            <w:r>
              <w:t>0,00</w:t>
            </w:r>
          </w:p>
        </w:tc>
        <w:tc>
          <w:tcPr>
            <w:tcW w:w="1701" w:type="dxa"/>
            <w:vAlign w:val="center"/>
          </w:tcPr>
          <w:p w14:paraId="604D8234" w14:textId="77777777" w:rsidR="00454A29" w:rsidRDefault="00454A29">
            <w:pPr>
              <w:pStyle w:val="ConsPlusNormal"/>
              <w:jc w:val="center"/>
            </w:pPr>
            <w:r>
              <w:t>0,00</w:t>
            </w:r>
          </w:p>
        </w:tc>
        <w:tc>
          <w:tcPr>
            <w:tcW w:w="1701" w:type="dxa"/>
            <w:vAlign w:val="center"/>
          </w:tcPr>
          <w:p w14:paraId="1888F2BD" w14:textId="77777777" w:rsidR="00454A29" w:rsidRDefault="00454A29">
            <w:pPr>
              <w:pStyle w:val="ConsPlusNormal"/>
              <w:jc w:val="center"/>
            </w:pPr>
            <w:r>
              <w:t>0,00</w:t>
            </w:r>
          </w:p>
        </w:tc>
      </w:tr>
      <w:tr w:rsidR="00454A29" w14:paraId="0DC7E27D" w14:textId="77777777">
        <w:tc>
          <w:tcPr>
            <w:tcW w:w="964" w:type="dxa"/>
            <w:vMerge/>
          </w:tcPr>
          <w:p w14:paraId="7DB0ED80" w14:textId="77777777" w:rsidR="00454A29" w:rsidRDefault="00454A29"/>
        </w:tc>
        <w:tc>
          <w:tcPr>
            <w:tcW w:w="2154" w:type="dxa"/>
            <w:vMerge/>
            <w:tcBorders>
              <w:top w:val="nil"/>
              <w:bottom w:val="nil"/>
            </w:tcBorders>
          </w:tcPr>
          <w:p w14:paraId="07945365" w14:textId="77777777" w:rsidR="00454A29" w:rsidRDefault="00454A29"/>
        </w:tc>
        <w:tc>
          <w:tcPr>
            <w:tcW w:w="2154" w:type="dxa"/>
            <w:vMerge/>
            <w:tcBorders>
              <w:top w:val="nil"/>
              <w:bottom w:val="nil"/>
            </w:tcBorders>
          </w:tcPr>
          <w:p w14:paraId="605001F6" w14:textId="77777777" w:rsidR="00454A29" w:rsidRDefault="00454A29"/>
        </w:tc>
        <w:tc>
          <w:tcPr>
            <w:tcW w:w="2665" w:type="dxa"/>
            <w:vMerge/>
            <w:tcBorders>
              <w:top w:val="nil"/>
              <w:bottom w:val="nil"/>
            </w:tcBorders>
          </w:tcPr>
          <w:p w14:paraId="78682403" w14:textId="77777777" w:rsidR="00454A29" w:rsidRDefault="00454A29"/>
        </w:tc>
        <w:tc>
          <w:tcPr>
            <w:tcW w:w="2665" w:type="dxa"/>
            <w:vMerge/>
            <w:tcBorders>
              <w:top w:val="nil"/>
              <w:bottom w:val="nil"/>
            </w:tcBorders>
          </w:tcPr>
          <w:p w14:paraId="4E3A8BA3" w14:textId="77777777" w:rsidR="00454A29" w:rsidRDefault="00454A29"/>
        </w:tc>
        <w:tc>
          <w:tcPr>
            <w:tcW w:w="1928" w:type="dxa"/>
            <w:vMerge/>
          </w:tcPr>
          <w:p w14:paraId="370BD27E" w14:textId="77777777" w:rsidR="00454A29" w:rsidRDefault="00454A29"/>
        </w:tc>
        <w:tc>
          <w:tcPr>
            <w:tcW w:w="1644" w:type="dxa"/>
            <w:vMerge/>
          </w:tcPr>
          <w:p w14:paraId="5B97034A" w14:textId="77777777" w:rsidR="00454A29" w:rsidRDefault="00454A29"/>
        </w:tc>
        <w:tc>
          <w:tcPr>
            <w:tcW w:w="2041" w:type="dxa"/>
            <w:vMerge/>
          </w:tcPr>
          <w:p w14:paraId="4B660DB7" w14:textId="77777777" w:rsidR="00454A29" w:rsidRDefault="00454A29"/>
        </w:tc>
        <w:tc>
          <w:tcPr>
            <w:tcW w:w="2098" w:type="dxa"/>
            <w:vAlign w:val="center"/>
          </w:tcPr>
          <w:p w14:paraId="25290B89" w14:textId="77777777" w:rsidR="00454A29" w:rsidRDefault="00454A29">
            <w:pPr>
              <w:pStyle w:val="ConsPlusNormal"/>
              <w:jc w:val="center"/>
            </w:pPr>
            <w:r>
              <w:t>Внебюджетные средства</w:t>
            </w:r>
          </w:p>
        </w:tc>
        <w:tc>
          <w:tcPr>
            <w:tcW w:w="1814" w:type="dxa"/>
            <w:vAlign w:val="center"/>
          </w:tcPr>
          <w:p w14:paraId="32AC4962" w14:textId="77777777" w:rsidR="00454A29" w:rsidRDefault="00454A29">
            <w:pPr>
              <w:pStyle w:val="ConsPlusNormal"/>
              <w:jc w:val="center"/>
            </w:pPr>
            <w:r>
              <w:t>0,00</w:t>
            </w:r>
          </w:p>
        </w:tc>
        <w:tc>
          <w:tcPr>
            <w:tcW w:w="1701" w:type="dxa"/>
            <w:vAlign w:val="center"/>
          </w:tcPr>
          <w:p w14:paraId="1687FA70" w14:textId="77777777" w:rsidR="00454A29" w:rsidRDefault="00454A29">
            <w:pPr>
              <w:pStyle w:val="ConsPlusNormal"/>
              <w:jc w:val="center"/>
            </w:pPr>
            <w:r>
              <w:t>0,00</w:t>
            </w:r>
          </w:p>
        </w:tc>
        <w:tc>
          <w:tcPr>
            <w:tcW w:w="1701" w:type="dxa"/>
            <w:vAlign w:val="center"/>
          </w:tcPr>
          <w:p w14:paraId="799F5940" w14:textId="77777777" w:rsidR="00454A29" w:rsidRDefault="00454A29">
            <w:pPr>
              <w:pStyle w:val="ConsPlusNormal"/>
              <w:jc w:val="center"/>
            </w:pPr>
            <w:r>
              <w:t>0,00</w:t>
            </w:r>
          </w:p>
        </w:tc>
        <w:tc>
          <w:tcPr>
            <w:tcW w:w="1701" w:type="dxa"/>
            <w:vAlign w:val="center"/>
          </w:tcPr>
          <w:p w14:paraId="712FDFC9" w14:textId="77777777" w:rsidR="00454A29" w:rsidRDefault="00454A29">
            <w:pPr>
              <w:pStyle w:val="ConsPlusNormal"/>
              <w:jc w:val="center"/>
            </w:pPr>
            <w:r>
              <w:t>0,00</w:t>
            </w:r>
          </w:p>
        </w:tc>
        <w:tc>
          <w:tcPr>
            <w:tcW w:w="1701" w:type="dxa"/>
            <w:vAlign w:val="center"/>
          </w:tcPr>
          <w:p w14:paraId="54A925D1" w14:textId="77777777" w:rsidR="00454A29" w:rsidRDefault="00454A29">
            <w:pPr>
              <w:pStyle w:val="ConsPlusNormal"/>
              <w:jc w:val="center"/>
            </w:pPr>
            <w:r>
              <w:t>0,00</w:t>
            </w:r>
          </w:p>
        </w:tc>
        <w:tc>
          <w:tcPr>
            <w:tcW w:w="1701" w:type="dxa"/>
            <w:vAlign w:val="center"/>
          </w:tcPr>
          <w:p w14:paraId="781CB03E" w14:textId="77777777" w:rsidR="00454A29" w:rsidRDefault="00454A29">
            <w:pPr>
              <w:pStyle w:val="ConsPlusNormal"/>
              <w:jc w:val="center"/>
            </w:pPr>
            <w:r>
              <w:t>0,00</w:t>
            </w:r>
          </w:p>
        </w:tc>
        <w:tc>
          <w:tcPr>
            <w:tcW w:w="1701" w:type="dxa"/>
            <w:vAlign w:val="center"/>
          </w:tcPr>
          <w:p w14:paraId="7FA23B3F" w14:textId="77777777" w:rsidR="00454A29" w:rsidRDefault="00454A29">
            <w:pPr>
              <w:pStyle w:val="ConsPlusNormal"/>
              <w:jc w:val="center"/>
            </w:pPr>
            <w:r>
              <w:t>0,00</w:t>
            </w:r>
          </w:p>
        </w:tc>
      </w:tr>
      <w:tr w:rsidR="00454A29" w14:paraId="0FCB979B" w14:textId="77777777">
        <w:tc>
          <w:tcPr>
            <w:tcW w:w="964" w:type="dxa"/>
            <w:vMerge w:val="restart"/>
            <w:vAlign w:val="center"/>
          </w:tcPr>
          <w:p w14:paraId="48489FF7" w14:textId="77777777" w:rsidR="00454A29" w:rsidRDefault="00454A29">
            <w:pPr>
              <w:pStyle w:val="ConsPlusNormal"/>
              <w:jc w:val="center"/>
            </w:pPr>
            <w:r>
              <w:t>11.1.9.</w:t>
            </w:r>
          </w:p>
        </w:tc>
        <w:tc>
          <w:tcPr>
            <w:tcW w:w="2154" w:type="dxa"/>
            <w:vMerge w:val="restart"/>
            <w:tcBorders>
              <w:top w:val="nil"/>
              <w:bottom w:val="nil"/>
            </w:tcBorders>
            <w:vAlign w:val="center"/>
          </w:tcPr>
          <w:p w14:paraId="252D964E" w14:textId="77777777" w:rsidR="00454A29" w:rsidRDefault="00454A29">
            <w:pPr>
              <w:pStyle w:val="ConsPlusNormal"/>
            </w:pPr>
          </w:p>
        </w:tc>
        <w:tc>
          <w:tcPr>
            <w:tcW w:w="2154" w:type="dxa"/>
            <w:vMerge w:val="restart"/>
            <w:tcBorders>
              <w:top w:val="nil"/>
              <w:bottom w:val="nil"/>
            </w:tcBorders>
            <w:vAlign w:val="center"/>
          </w:tcPr>
          <w:p w14:paraId="60EC046D" w14:textId="77777777" w:rsidR="00454A29" w:rsidRDefault="00454A29">
            <w:pPr>
              <w:pStyle w:val="ConsPlusNormal"/>
            </w:pPr>
          </w:p>
        </w:tc>
        <w:tc>
          <w:tcPr>
            <w:tcW w:w="2665" w:type="dxa"/>
            <w:vMerge w:val="restart"/>
            <w:tcBorders>
              <w:top w:val="nil"/>
              <w:bottom w:val="nil"/>
            </w:tcBorders>
            <w:vAlign w:val="center"/>
          </w:tcPr>
          <w:p w14:paraId="5972BE7C" w14:textId="77777777" w:rsidR="00454A29" w:rsidRDefault="00454A29">
            <w:pPr>
              <w:pStyle w:val="ConsPlusNormal"/>
            </w:pPr>
          </w:p>
        </w:tc>
        <w:tc>
          <w:tcPr>
            <w:tcW w:w="2665" w:type="dxa"/>
            <w:vMerge w:val="restart"/>
            <w:tcBorders>
              <w:top w:val="nil"/>
              <w:bottom w:val="nil"/>
            </w:tcBorders>
            <w:vAlign w:val="center"/>
          </w:tcPr>
          <w:p w14:paraId="220282AD" w14:textId="77777777" w:rsidR="00454A29" w:rsidRDefault="00454A29">
            <w:pPr>
              <w:pStyle w:val="ConsPlusNormal"/>
            </w:pPr>
          </w:p>
        </w:tc>
        <w:tc>
          <w:tcPr>
            <w:tcW w:w="1928" w:type="dxa"/>
            <w:vMerge w:val="restart"/>
            <w:vAlign w:val="center"/>
          </w:tcPr>
          <w:p w14:paraId="555BE257" w14:textId="77777777" w:rsidR="00454A29" w:rsidRDefault="00454A29">
            <w:pPr>
              <w:pStyle w:val="ConsPlusNormal"/>
              <w:jc w:val="center"/>
            </w:pPr>
            <w:r>
              <w:t>МО "Намский улус"</w:t>
            </w:r>
          </w:p>
        </w:tc>
        <w:tc>
          <w:tcPr>
            <w:tcW w:w="1644" w:type="dxa"/>
            <w:vMerge w:val="restart"/>
            <w:vAlign w:val="center"/>
          </w:tcPr>
          <w:p w14:paraId="410705FD" w14:textId="77777777" w:rsidR="00454A29" w:rsidRDefault="00454A29">
            <w:pPr>
              <w:pStyle w:val="ConsPlusNormal"/>
              <w:jc w:val="center"/>
            </w:pPr>
            <w:r>
              <w:t>с. Намцы</w:t>
            </w:r>
          </w:p>
        </w:tc>
        <w:tc>
          <w:tcPr>
            <w:tcW w:w="2041" w:type="dxa"/>
            <w:vMerge w:val="restart"/>
            <w:vAlign w:val="center"/>
          </w:tcPr>
          <w:p w14:paraId="457D8158" w14:textId="77777777" w:rsidR="00454A29" w:rsidRDefault="00454A29">
            <w:pPr>
              <w:pStyle w:val="ConsPlusNormal"/>
              <w:jc w:val="center"/>
            </w:pPr>
            <w:r>
              <w:t>Строительство детского сада на 98 мест</w:t>
            </w:r>
          </w:p>
        </w:tc>
        <w:tc>
          <w:tcPr>
            <w:tcW w:w="2098" w:type="dxa"/>
            <w:vAlign w:val="center"/>
          </w:tcPr>
          <w:p w14:paraId="7AD7DCEA" w14:textId="77777777" w:rsidR="00454A29" w:rsidRDefault="00454A29">
            <w:pPr>
              <w:pStyle w:val="ConsPlusNormal"/>
              <w:jc w:val="center"/>
            </w:pPr>
            <w:r>
              <w:t>Итого</w:t>
            </w:r>
          </w:p>
        </w:tc>
        <w:tc>
          <w:tcPr>
            <w:tcW w:w="1814" w:type="dxa"/>
            <w:vAlign w:val="center"/>
          </w:tcPr>
          <w:p w14:paraId="4642F5F1" w14:textId="77777777" w:rsidR="00454A29" w:rsidRDefault="00454A29">
            <w:pPr>
              <w:pStyle w:val="ConsPlusNormal"/>
              <w:jc w:val="center"/>
            </w:pPr>
            <w:r>
              <w:t>0,00</w:t>
            </w:r>
          </w:p>
        </w:tc>
        <w:tc>
          <w:tcPr>
            <w:tcW w:w="1701" w:type="dxa"/>
            <w:vAlign w:val="center"/>
          </w:tcPr>
          <w:p w14:paraId="11E1FEFD" w14:textId="77777777" w:rsidR="00454A29" w:rsidRDefault="00454A29">
            <w:pPr>
              <w:pStyle w:val="ConsPlusNormal"/>
              <w:jc w:val="center"/>
            </w:pPr>
            <w:r>
              <w:t>0,00</w:t>
            </w:r>
          </w:p>
        </w:tc>
        <w:tc>
          <w:tcPr>
            <w:tcW w:w="1701" w:type="dxa"/>
            <w:vAlign w:val="center"/>
          </w:tcPr>
          <w:p w14:paraId="25FFDA9F" w14:textId="77777777" w:rsidR="00454A29" w:rsidRDefault="00454A29">
            <w:pPr>
              <w:pStyle w:val="ConsPlusNormal"/>
              <w:jc w:val="center"/>
            </w:pPr>
            <w:r>
              <w:t>0,00</w:t>
            </w:r>
          </w:p>
        </w:tc>
        <w:tc>
          <w:tcPr>
            <w:tcW w:w="1701" w:type="dxa"/>
            <w:vAlign w:val="center"/>
          </w:tcPr>
          <w:p w14:paraId="6372CDC4" w14:textId="77777777" w:rsidR="00454A29" w:rsidRDefault="00454A29">
            <w:pPr>
              <w:pStyle w:val="ConsPlusNormal"/>
              <w:jc w:val="center"/>
            </w:pPr>
            <w:r>
              <w:t>0,00</w:t>
            </w:r>
          </w:p>
        </w:tc>
        <w:tc>
          <w:tcPr>
            <w:tcW w:w="1701" w:type="dxa"/>
            <w:vAlign w:val="center"/>
          </w:tcPr>
          <w:p w14:paraId="464CC766" w14:textId="77777777" w:rsidR="00454A29" w:rsidRDefault="00454A29">
            <w:pPr>
              <w:pStyle w:val="ConsPlusNormal"/>
              <w:jc w:val="center"/>
            </w:pPr>
            <w:r>
              <w:t>0,00</w:t>
            </w:r>
          </w:p>
        </w:tc>
        <w:tc>
          <w:tcPr>
            <w:tcW w:w="1701" w:type="dxa"/>
            <w:vAlign w:val="center"/>
          </w:tcPr>
          <w:p w14:paraId="0A8A5CD0" w14:textId="77777777" w:rsidR="00454A29" w:rsidRDefault="00454A29">
            <w:pPr>
              <w:pStyle w:val="ConsPlusNormal"/>
              <w:jc w:val="center"/>
            </w:pPr>
            <w:r>
              <w:t>0,00</w:t>
            </w:r>
          </w:p>
        </w:tc>
        <w:tc>
          <w:tcPr>
            <w:tcW w:w="1701" w:type="dxa"/>
            <w:vAlign w:val="center"/>
          </w:tcPr>
          <w:p w14:paraId="79175959" w14:textId="77777777" w:rsidR="00454A29" w:rsidRDefault="00454A29">
            <w:pPr>
              <w:pStyle w:val="ConsPlusNormal"/>
              <w:jc w:val="center"/>
            </w:pPr>
            <w:r>
              <w:t>0,00</w:t>
            </w:r>
          </w:p>
        </w:tc>
      </w:tr>
      <w:tr w:rsidR="00454A29" w14:paraId="056CB95F" w14:textId="77777777">
        <w:tc>
          <w:tcPr>
            <w:tcW w:w="964" w:type="dxa"/>
            <w:vMerge/>
          </w:tcPr>
          <w:p w14:paraId="1083DAEC" w14:textId="77777777" w:rsidR="00454A29" w:rsidRDefault="00454A29"/>
        </w:tc>
        <w:tc>
          <w:tcPr>
            <w:tcW w:w="2154" w:type="dxa"/>
            <w:vMerge/>
            <w:tcBorders>
              <w:top w:val="nil"/>
              <w:bottom w:val="nil"/>
            </w:tcBorders>
          </w:tcPr>
          <w:p w14:paraId="2D723965" w14:textId="77777777" w:rsidR="00454A29" w:rsidRDefault="00454A29"/>
        </w:tc>
        <w:tc>
          <w:tcPr>
            <w:tcW w:w="2154" w:type="dxa"/>
            <w:vMerge/>
            <w:tcBorders>
              <w:top w:val="nil"/>
              <w:bottom w:val="nil"/>
            </w:tcBorders>
          </w:tcPr>
          <w:p w14:paraId="1210B13C" w14:textId="77777777" w:rsidR="00454A29" w:rsidRDefault="00454A29"/>
        </w:tc>
        <w:tc>
          <w:tcPr>
            <w:tcW w:w="2665" w:type="dxa"/>
            <w:vMerge/>
            <w:tcBorders>
              <w:top w:val="nil"/>
              <w:bottom w:val="nil"/>
            </w:tcBorders>
          </w:tcPr>
          <w:p w14:paraId="256C0099" w14:textId="77777777" w:rsidR="00454A29" w:rsidRDefault="00454A29"/>
        </w:tc>
        <w:tc>
          <w:tcPr>
            <w:tcW w:w="2665" w:type="dxa"/>
            <w:vMerge/>
            <w:tcBorders>
              <w:top w:val="nil"/>
              <w:bottom w:val="nil"/>
            </w:tcBorders>
          </w:tcPr>
          <w:p w14:paraId="3B5FB118" w14:textId="77777777" w:rsidR="00454A29" w:rsidRDefault="00454A29"/>
        </w:tc>
        <w:tc>
          <w:tcPr>
            <w:tcW w:w="1928" w:type="dxa"/>
            <w:vMerge/>
          </w:tcPr>
          <w:p w14:paraId="6119B272" w14:textId="77777777" w:rsidR="00454A29" w:rsidRDefault="00454A29"/>
        </w:tc>
        <w:tc>
          <w:tcPr>
            <w:tcW w:w="1644" w:type="dxa"/>
            <w:vMerge/>
          </w:tcPr>
          <w:p w14:paraId="31DF9941" w14:textId="77777777" w:rsidR="00454A29" w:rsidRDefault="00454A29"/>
        </w:tc>
        <w:tc>
          <w:tcPr>
            <w:tcW w:w="2041" w:type="dxa"/>
            <w:vMerge/>
          </w:tcPr>
          <w:p w14:paraId="6A072448" w14:textId="77777777" w:rsidR="00454A29" w:rsidRDefault="00454A29"/>
        </w:tc>
        <w:tc>
          <w:tcPr>
            <w:tcW w:w="2098" w:type="dxa"/>
            <w:vAlign w:val="center"/>
          </w:tcPr>
          <w:p w14:paraId="2F07DDE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5BD901DE" w14:textId="77777777" w:rsidR="00454A29" w:rsidRDefault="00454A29">
            <w:pPr>
              <w:pStyle w:val="ConsPlusNormal"/>
              <w:jc w:val="center"/>
            </w:pPr>
            <w:r>
              <w:t>0,00</w:t>
            </w:r>
          </w:p>
        </w:tc>
        <w:tc>
          <w:tcPr>
            <w:tcW w:w="1701" w:type="dxa"/>
            <w:vAlign w:val="center"/>
          </w:tcPr>
          <w:p w14:paraId="2F2993C4" w14:textId="77777777" w:rsidR="00454A29" w:rsidRDefault="00454A29">
            <w:pPr>
              <w:pStyle w:val="ConsPlusNormal"/>
              <w:jc w:val="center"/>
            </w:pPr>
            <w:r>
              <w:t>0,00</w:t>
            </w:r>
          </w:p>
        </w:tc>
        <w:tc>
          <w:tcPr>
            <w:tcW w:w="1701" w:type="dxa"/>
            <w:vAlign w:val="center"/>
          </w:tcPr>
          <w:p w14:paraId="6916922E" w14:textId="77777777" w:rsidR="00454A29" w:rsidRDefault="00454A29">
            <w:pPr>
              <w:pStyle w:val="ConsPlusNormal"/>
              <w:jc w:val="center"/>
            </w:pPr>
            <w:r>
              <w:t>0,00</w:t>
            </w:r>
          </w:p>
        </w:tc>
        <w:tc>
          <w:tcPr>
            <w:tcW w:w="1701" w:type="dxa"/>
            <w:vAlign w:val="center"/>
          </w:tcPr>
          <w:p w14:paraId="21F2CF98" w14:textId="77777777" w:rsidR="00454A29" w:rsidRDefault="00454A29">
            <w:pPr>
              <w:pStyle w:val="ConsPlusNormal"/>
              <w:jc w:val="center"/>
            </w:pPr>
            <w:r>
              <w:t>0,00</w:t>
            </w:r>
          </w:p>
        </w:tc>
        <w:tc>
          <w:tcPr>
            <w:tcW w:w="1701" w:type="dxa"/>
            <w:vAlign w:val="center"/>
          </w:tcPr>
          <w:p w14:paraId="7B12CEBC" w14:textId="77777777" w:rsidR="00454A29" w:rsidRDefault="00454A29">
            <w:pPr>
              <w:pStyle w:val="ConsPlusNormal"/>
              <w:jc w:val="center"/>
            </w:pPr>
            <w:r>
              <w:t>0,00</w:t>
            </w:r>
          </w:p>
        </w:tc>
        <w:tc>
          <w:tcPr>
            <w:tcW w:w="1701" w:type="dxa"/>
            <w:vAlign w:val="center"/>
          </w:tcPr>
          <w:p w14:paraId="1B91FE4E" w14:textId="77777777" w:rsidR="00454A29" w:rsidRDefault="00454A29">
            <w:pPr>
              <w:pStyle w:val="ConsPlusNormal"/>
              <w:jc w:val="center"/>
            </w:pPr>
            <w:r>
              <w:t>0,00</w:t>
            </w:r>
          </w:p>
        </w:tc>
        <w:tc>
          <w:tcPr>
            <w:tcW w:w="1701" w:type="dxa"/>
            <w:vAlign w:val="center"/>
          </w:tcPr>
          <w:p w14:paraId="4AD5C17D" w14:textId="77777777" w:rsidR="00454A29" w:rsidRDefault="00454A29">
            <w:pPr>
              <w:pStyle w:val="ConsPlusNormal"/>
              <w:jc w:val="center"/>
            </w:pPr>
            <w:r>
              <w:t>0,00</w:t>
            </w:r>
          </w:p>
        </w:tc>
      </w:tr>
      <w:tr w:rsidR="00454A29" w14:paraId="206D7092" w14:textId="77777777">
        <w:tc>
          <w:tcPr>
            <w:tcW w:w="964" w:type="dxa"/>
            <w:vMerge/>
          </w:tcPr>
          <w:p w14:paraId="371026A3" w14:textId="77777777" w:rsidR="00454A29" w:rsidRDefault="00454A29"/>
        </w:tc>
        <w:tc>
          <w:tcPr>
            <w:tcW w:w="2154" w:type="dxa"/>
            <w:vMerge/>
            <w:tcBorders>
              <w:top w:val="nil"/>
              <w:bottom w:val="nil"/>
            </w:tcBorders>
          </w:tcPr>
          <w:p w14:paraId="01A70CBE" w14:textId="77777777" w:rsidR="00454A29" w:rsidRDefault="00454A29"/>
        </w:tc>
        <w:tc>
          <w:tcPr>
            <w:tcW w:w="2154" w:type="dxa"/>
            <w:vMerge/>
            <w:tcBorders>
              <w:top w:val="nil"/>
              <w:bottom w:val="nil"/>
            </w:tcBorders>
          </w:tcPr>
          <w:p w14:paraId="00A07A1E" w14:textId="77777777" w:rsidR="00454A29" w:rsidRDefault="00454A29"/>
        </w:tc>
        <w:tc>
          <w:tcPr>
            <w:tcW w:w="2665" w:type="dxa"/>
            <w:vMerge/>
            <w:tcBorders>
              <w:top w:val="nil"/>
              <w:bottom w:val="nil"/>
            </w:tcBorders>
          </w:tcPr>
          <w:p w14:paraId="27798101" w14:textId="77777777" w:rsidR="00454A29" w:rsidRDefault="00454A29"/>
        </w:tc>
        <w:tc>
          <w:tcPr>
            <w:tcW w:w="2665" w:type="dxa"/>
            <w:vMerge/>
            <w:tcBorders>
              <w:top w:val="nil"/>
              <w:bottom w:val="nil"/>
            </w:tcBorders>
          </w:tcPr>
          <w:p w14:paraId="7B56D9DD" w14:textId="77777777" w:rsidR="00454A29" w:rsidRDefault="00454A29"/>
        </w:tc>
        <w:tc>
          <w:tcPr>
            <w:tcW w:w="1928" w:type="dxa"/>
            <w:vMerge/>
          </w:tcPr>
          <w:p w14:paraId="4DF0E450" w14:textId="77777777" w:rsidR="00454A29" w:rsidRDefault="00454A29"/>
        </w:tc>
        <w:tc>
          <w:tcPr>
            <w:tcW w:w="1644" w:type="dxa"/>
            <w:vMerge/>
          </w:tcPr>
          <w:p w14:paraId="2D73BE62" w14:textId="77777777" w:rsidR="00454A29" w:rsidRDefault="00454A29"/>
        </w:tc>
        <w:tc>
          <w:tcPr>
            <w:tcW w:w="2041" w:type="dxa"/>
            <w:vMerge/>
          </w:tcPr>
          <w:p w14:paraId="4C5B8FF7" w14:textId="77777777" w:rsidR="00454A29" w:rsidRDefault="00454A29"/>
        </w:tc>
        <w:tc>
          <w:tcPr>
            <w:tcW w:w="2098" w:type="dxa"/>
            <w:vAlign w:val="center"/>
          </w:tcPr>
          <w:p w14:paraId="6FAED2D1" w14:textId="77777777" w:rsidR="00454A29" w:rsidRDefault="00454A29">
            <w:pPr>
              <w:pStyle w:val="ConsPlusNormal"/>
              <w:jc w:val="center"/>
            </w:pPr>
            <w:r>
              <w:t>Федеральный бюджет</w:t>
            </w:r>
          </w:p>
        </w:tc>
        <w:tc>
          <w:tcPr>
            <w:tcW w:w="1814" w:type="dxa"/>
            <w:vAlign w:val="center"/>
          </w:tcPr>
          <w:p w14:paraId="20DA7ED5" w14:textId="77777777" w:rsidR="00454A29" w:rsidRDefault="00454A29">
            <w:pPr>
              <w:pStyle w:val="ConsPlusNormal"/>
              <w:jc w:val="center"/>
            </w:pPr>
            <w:r>
              <w:t>0,00</w:t>
            </w:r>
          </w:p>
        </w:tc>
        <w:tc>
          <w:tcPr>
            <w:tcW w:w="1701" w:type="dxa"/>
            <w:vAlign w:val="center"/>
          </w:tcPr>
          <w:p w14:paraId="79408239" w14:textId="77777777" w:rsidR="00454A29" w:rsidRDefault="00454A29">
            <w:pPr>
              <w:pStyle w:val="ConsPlusNormal"/>
              <w:jc w:val="center"/>
            </w:pPr>
            <w:r>
              <w:t>0,00</w:t>
            </w:r>
          </w:p>
        </w:tc>
        <w:tc>
          <w:tcPr>
            <w:tcW w:w="1701" w:type="dxa"/>
            <w:vAlign w:val="center"/>
          </w:tcPr>
          <w:p w14:paraId="3AD0C489" w14:textId="77777777" w:rsidR="00454A29" w:rsidRDefault="00454A29">
            <w:pPr>
              <w:pStyle w:val="ConsPlusNormal"/>
              <w:jc w:val="center"/>
            </w:pPr>
            <w:r>
              <w:t>0,00</w:t>
            </w:r>
          </w:p>
        </w:tc>
        <w:tc>
          <w:tcPr>
            <w:tcW w:w="1701" w:type="dxa"/>
            <w:vAlign w:val="center"/>
          </w:tcPr>
          <w:p w14:paraId="7610911C" w14:textId="77777777" w:rsidR="00454A29" w:rsidRDefault="00454A29">
            <w:pPr>
              <w:pStyle w:val="ConsPlusNormal"/>
              <w:jc w:val="center"/>
            </w:pPr>
            <w:r>
              <w:t>0,00</w:t>
            </w:r>
          </w:p>
        </w:tc>
        <w:tc>
          <w:tcPr>
            <w:tcW w:w="1701" w:type="dxa"/>
            <w:vAlign w:val="center"/>
          </w:tcPr>
          <w:p w14:paraId="749BDB1A" w14:textId="77777777" w:rsidR="00454A29" w:rsidRDefault="00454A29">
            <w:pPr>
              <w:pStyle w:val="ConsPlusNormal"/>
              <w:jc w:val="center"/>
            </w:pPr>
            <w:r>
              <w:t>0,00</w:t>
            </w:r>
          </w:p>
        </w:tc>
        <w:tc>
          <w:tcPr>
            <w:tcW w:w="1701" w:type="dxa"/>
            <w:vAlign w:val="center"/>
          </w:tcPr>
          <w:p w14:paraId="1A315F12" w14:textId="77777777" w:rsidR="00454A29" w:rsidRDefault="00454A29">
            <w:pPr>
              <w:pStyle w:val="ConsPlusNormal"/>
              <w:jc w:val="center"/>
            </w:pPr>
            <w:r>
              <w:t>0,00</w:t>
            </w:r>
          </w:p>
        </w:tc>
        <w:tc>
          <w:tcPr>
            <w:tcW w:w="1701" w:type="dxa"/>
            <w:vAlign w:val="center"/>
          </w:tcPr>
          <w:p w14:paraId="7318FB4B" w14:textId="77777777" w:rsidR="00454A29" w:rsidRDefault="00454A29">
            <w:pPr>
              <w:pStyle w:val="ConsPlusNormal"/>
              <w:jc w:val="center"/>
            </w:pPr>
            <w:r>
              <w:t>0,00</w:t>
            </w:r>
          </w:p>
        </w:tc>
      </w:tr>
      <w:tr w:rsidR="00454A29" w14:paraId="469E1628" w14:textId="77777777">
        <w:tc>
          <w:tcPr>
            <w:tcW w:w="964" w:type="dxa"/>
            <w:vMerge/>
          </w:tcPr>
          <w:p w14:paraId="2184627D" w14:textId="77777777" w:rsidR="00454A29" w:rsidRDefault="00454A29"/>
        </w:tc>
        <w:tc>
          <w:tcPr>
            <w:tcW w:w="2154" w:type="dxa"/>
            <w:vMerge/>
            <w:tcBorders>
              <w:top w:val="nil"/>
              <w:bottom w:val="nil"/>
            </w:tcBorders>
          </w:tcPr>
          <w:p w14:paraId="6EC319E4" w14:textId="77777777" w:rsidR="00454A29" w:rsidRDefault="00454A29"/>
        </w:tc>
        <w:tc>
          <w:tcPr>
            <w:tcW w:w="2154" w:type="dxa"/>
            <w:vMerge/>
            <w:tcBorders>
              <w:top w:val="nil"/>
              <w:bottom w:val="nil"/>
            </w:tcBorders>
          </w:tcPr>
          <w:p w14:paraId="4DC540C7" w14:textId="77777777" w:rsidR="00454A29" w:rsidRDefault="00454A29"/>
        </w:tc>
        <w:tc>
          <w:tcPr>
            <w:tcW w:w="2665" w:type="dxa"/>
            <w:vMerge/>
            <w:tcBorders>
              <w:top w:val="nil"/>
              <w:bottom w:val="nil"/>
            </w:tcBorders>
          </w:tcPr>
          <w:p w14:paraId="2353035D" w14:textId="77777777" w:rsidR="00454A29" w:rsidRDefault="00454A29"/>
        </w:tc>
        <w:tc>
          <w:tcPr>
            <w:tcW w:w="2665" w:type="dxa"/>
            <w:vMerge/>
            <w:tcBorders>
              <w:top w:val="nil"/>
              <w:bottom w:val="nil"/>
            </w:tcBorders>
          </w:tcPr>
          <w:p w14:paraId="42B4BDEF" w14:textId="77777777" w:rsidR="00454A29" w:rsidRDefault="00454A29"/>
        </w:tc>
        <w:tc>
          <w:tcPr>
            <w:tcW w:w="1928" w:type="dxa"/>
            <w:vMerge/>
          </w:tcPr>
          <w:p w14:paraId="2AE747AD" w14:textId="77777777" w:rsidR="00454A29" w:rsidRDefault="00454A29"/>
        </w:tc>
        <w:tc>
          <w:tcPr>
            <w:tcW w:w="1644" w:type="dxa"/>
            <w:vMerge/>
          </w:tcPr>
          <w:p w14:paraId="05B58720" w14:textId="77777777" w:rsidR="00454A29" w:rsidRDefault="00454A29"/>
        </w:tc>
        <w:tc>
          <w:tcPr>
            <w:tcW w:w="2041" w:type="dxa"/>
            <w:vMerge/>
          </w:tcPr>
          <w:p w14:paraId="200D90D9" w14:textId="77777777" w:rsidR="00454A29" w:rsidRDefault="00454A29"/>
        </w:tc>
        <w:tc>
          <w:tcPr>
            <w:tcW w:w="2098" w:type="dxa"/>
            <w:vAlign w:val="center"/>
          </w:tcPr>
          <w:p w14:paraId="437A8D7A" w14:textId="77777777" w:rsidR="00454A29" w:rsidRDefault="00454A29">
            <w:pPr>
              <w:pStyle w:val="ConsPlusNormal"/>
              <w:jc w:val="center"/>
            </w:pPr>
            <w:r>
              <w:t>Местные бюджеты</w:t>
            </w:r>
          </w:p>
        </w:tc>
        <w:tc>
          <w:tcPr>
            <w:tcW w:w="1814" w:type="dxa"/>
            <w:vAlign w:val="center"/>
          </w:tcPr>
          <w:p w14:paraId="4F926772" w14:textId="77777777" w:rsidR="00454A29" w:rsidRDefault="00454A29">
            <w:pPr>
              <w:pStyle w:val="ConsPlusNormal"/>
              <w:jc w:val="center"/>
            </w:pPr>
            <w:r>
              <w:t>0,00</w:t>
            </w:r>
          </w:p>
        </w:tc>
        <w:tc>
          <w:tcPr>
            <w:tcW w:w="1701" w:type="dxa"/>
            <w:vAlign w:val="center"/>
          </w:tcPr>
          <w:p w14:paraId="3E97705B" w14:textId="77777777" w:rsidR="00454A29" w:rsidRDefault="00454A29">
            <w:pPr>
              <w:pStyle w:val="ConsPlusNormal"/>
              <w:jc w:val="center"/>
            </w:pPr>
            <w:r>
              <w:t>0,00</w:t>
            </w:r>
          </w:p>
        </w:tc>
        <w:tc>
          <w:tcPr>
            <w:tcW w:w="1701" w:type="dxa"/>
            <w:vAlign w:val="center"/>
          </w:tcPr>
          <w:p w14:paraId="52BE3B22" w14:textId="77777777" w:rsidR="00454A29" w:rsidRDefault="00454A29">
            <w:pPr>
              <w:pStyle w:val="ConsPlusNormal"/>
              <w:jc w:val="center"/>
            </w:pPr>
            <w:r>
              <w:t>0,00</w:t>
            </w:r>
          </w:p>
        </w:tc>
        <w:tc>
          <w:tcPr>
            <w:tcW w:w="1701" w:type="dxa"/>
            <w:vAlign w:val="center"/>
          </w:tcPr>
          <w:p w14:paraId="66EF6CA7" w14:textId="77777777" w:rsidR="00454A29" w:rsidRDefault="00454A29">
            <w:pPr>
              <w:pStyle w:val="ConsPlusNormal"/>
              <w:jc w:val="center"/>
            </w:pPr>
            <w:r>
              <w:t>0,00</w:t>
            </w:r>
          </w:p>
        </w:tc>
        <w:tc>
          <w:tcPr>
            <w:tcW w:w="1701" w:type="dxa"/>
            <w:vAlign w:val="center"/>
          </w:tcPr>
          <w:p w14:paraId="0A2832B0" w14:textId="77777777" w:rsidR="00454A29" w:rsidRDefault="00454A29">
            <w:pPr>
              <w:pStyle w:val="ConsPlusNormal"/>
              <w:jc w:val="center"/>
            </w:pPr>
            <w:r>
              <w:t>0,00</w:t>
            </w:r>
          </w:p>
        </w:tc>
        <w:tc>
          <w:tcPr>
            <w:tcW w:w="1701" w:type="dxa"/>
            <w:vAlign w:val="center"/>
          </w:tcPr>
          <w:p w14:paraId="432D529E" w14:textId="77777777" w:rsidR="00454A29" w:rsidRDefault="00454A29">
            <w:pPr>
              <w:pStyle w:val="ConsPlusNormal"/>
              <w:jc w:val="center"/>
            </w:pPr>
            <w:r>
              <w:t>0,00</w:t>
            </w:r>
          </w:p>
        </w:tc>
        <w:tc>
          <w:tcPr>
            <w:tcW w:w="1701" w:type="dxa"/>
            <w:vAlign w:val="center"/>
          </w:tcPr>
          <w:p w14:paraId="3CC75895" w14:textId="77777777" w:rsidR="00454A29" w:rsidRDefault="00454A29">
            <w:pPr>
              <w:pStyle w:val="ConsPlusNormal"/>
              <w:jc w:val="center"/>
            </w:pPr>
            <w:r>
              <w:t>0,00</w:t>
            </w:r>
          </w:p>
        </w:tc>
      </w:tr>
      <w:tr w:rsidR="00454A29" w14:paraId="20E475AE" w14:textId="77777777">
        <w:tc>
          <w:tcPr>
            <w:tcW w:w="964" w:type="dxa"/>
            <w:vMerge/>
          </w:tcPr>
          <w:p w14:paraId="39C4E80E" w14:textId="77777777" w:rsidR="00454A29" w:rsidRDefault="00454A29"/>
        </w:tc>
        <w:tc>
          <w:tcPr>
            <w:tcW w:w="2154" w:type="dxa"/>
            <w:vMerge/>
            <w:tcBorders>
              <w:top w:val="nil"/>
              <w:bottom w:val="nil"/>
            </w:tcBorders>
          </w:tcPr>
          <w:p w14:paraId="52072DA9" w14:textId="77777777" w:rsidR="00454A29" w:rsidRDefault="00454A29"/>
        </w:tc>
        <w:tc>
          <w:tcPr>
            <w:tcW w:w="2154" w:type="dxa"/>
            <w:vMerge/>
            <w:tcBorders>
              <w:top w:val="nil"/>
              <w:bottom w:val="nil"/>
            </w:tcBorders>
          </w:tcPr>
          <w:p w14:paraId="786F9EA8" w14:textId="77777777" w:rsidR="00454A29" w:rsidRDefault="00454A29"/>
        </w:tc>
        <w:tc>
          <w:tcPr>
            <w:tcW w:w="2665" w:type="dxa"/>
            <w:vMerge/>
            <w:tcBorders>
              <w:top w:val="nil"/>
              <w:bottom w:val="nil"/>
            </w:tcBorders>
          </w:tcPr>
          <w:p w14:paraId="6D26934E" w14:textId="77777777" w:rsidR="00454A29" w:rsidRDefault="00454A29"/>
        </w:tc>
        <w:tc>
          <w:tcPr>
            <w:tcW w:w="2665" w:type="dxa"/>
            <w:vMerge/>
            <w:tcBorders>
              <w:top w:val="nil"/>
              <w:bottom w:val="nil"/>
            </w:tcBorders>
          </w:tcPr>
          <w:p w14:paraId="7BEE1656" w14:textId="77777777" w:rsidR="00454A29" w:rsidRDefault="00454A29"/>
        </w:tc>
        <w:tc>
          <w:tcPr>
            <w:tcW w:w="1928" w:type="dxa"/>
            <w:vMerge/>
          </w:tcPr>
          <w:p w14:paraId="77DBDCF2" w14:textId="77777777" w:rsidR="00454A29" w:rsidRDefault="00454A29"/>
        </w:tc>
        <w:tc>
          <w:tcPr>
            <w:tcW w:w="1644" w:type="dxa"/>
            <w:vMerge/>
          </w:tcPr>
          <w:p w14:paraId="48B82BEC" w14:textId="77777777" w:rsidR="00454A29" w:rsidRDefault="00454A29"/>
        </w:tc>
        <w:tc>
          <w:tcPr>
            <w:tcW w:w="2041" w:type="dxa"/>
            <w:vMerge/>
          </w:tcPr>
          <w:p w14:paraId="5C79C7E3" w14:textId="77777777" w:rsidR="00454A29" w:rsidRDefault="00454A29"/>
        </w:tc>
        <w:tc>
          <w:tcPr>
            <w:tcW w:w="2098" w:type="dxa"/>
            <w:vAlign w:val="center"/>
          </w:tcPr>
          <w:p w14:paraId="46F6306C" w14:textId="77777777" w:rsidR="00454A29" w:rsidRDefault="00454A29">
            <w:pPr>
              <w:pStyle w:val="ConsPlusNormal"/>
              <w:jc w:val="center"/>
            </w:pPr>
            <w:r>
              <w:t>Внебюджетные средства</w:t>
            </w:r>
          </w:p>
        </w:tc>
        <w:tc>
          <w:tcPr>
            <w:tcW w:w="1814" w:type="dxa"/>
            <w:vAlign w:val="center"/>
          </w:tcPr>
          <w:p w14:paraId="6DAC7AB8" w14:textId="77777777" w:rsidR="00454A29" w:rsidRDefault="00454A29">
            <w:pPr>
              <w:pStyle w:val="ConsPlusNormal"/>
              <w:jc w:val="center"/>
            </w:pPr>
            <w:r>
              <w:t>0,00</w:t>
            </w:r>
          </w:p>
        </w:tc>
        <w:tc>
          <w:tcPr>
            <w:tcW w:w="1701" w:type="dxa"/>
            <w:vAlign w:val="center"/>
          </w:tcPr>
          <w:p w14:paraId="0CECDCBC" w14:textId="77777777" w:rsidR="00454A29" w:rsidRDefault="00454A29">
            <w:pPr>
              <w:pStyle w:val="ConsPlusNormal"/>
              <w:jc w:val="center"/>
            </w:pPr>
            <w:r>
              <w:t>0,00</w:t>
            </w:r>
          </w:p>
        </w:tc>
        <w:tc>
          <w:tcPr>
            <w:tcW w:w="1701" w:type="dxa"/>
            <w:vAlign w:val="center"/>
          </w:tcPr>
          <w:p w14:paraId="75DCBD62" w14:textId="77777777" w:rsidR="00454A29" w:rsidRDefault="00454A29">
            <w:pPr>
              <w:pStyle w:val="ConsPlusNormal"/>
              <w:jc w:val="center"/>
            </w:pPr>
            <w:r>
              <w:t>0,00</w:t>
            </w:r>
          </w:p>
        </w:tc>
        <w:tc>
          <w:tcPr>
            <w:tcW w:w="1701" w:type="dxa"/>
            <w:vAlign w:val="center"/>
          </w:tcPr>
          <w:p w14:paraId="305A556F" w14:textId="77777777" w:rsidR="00454A29" w:rsidRDefault="00454A29">
            <w:pPr>
              <w:pStyle w:val="ConsPlusNormal"/>
              <w:jc w:val="center"/>
            </w:pPr>
            <w:r>
              <w:t>0,00</w:t>
            </w:r>
          </w:p>
        </w:tc>
        <w:tc>
          <w:tcPr>
            <w:tcW w:w="1701" w:type="dxa"/>
            <w:vAlign w:val="center"/>
          </w:tcPr>
          <w:p w14:paraId="148C4E7B" w14:textId="77777777" w:rsidR="00454A29" w:rsidRDefault="00454A29">
            <w:pPr>
              <w:pStyle w:val="ConsPlusNormal"/>
              <w:jc w:val="center"/>
            </w:pPr>
            <w:r>
              <w:t>0,00</w:t>
            </w:r>
          </w:p>
        </w:tc>
        <w:tc>
          <w:tcPr>
            <w:tcW w:w="1701" w:type="dxa"/>
            <w:vAlign w:val="center"/>
          </w:tcPr>
          <w:p w14:paraId="65AB7F47" w14:textId="77777777" w:rsidR="00454A29" w:rsidRDefault="00454A29">
            <w:pPr>
              <w:pStyle w:val="ConsPlusNormal"/>
              <w:jc w:val="center"/>
            </w:pPr>
            <w:r>
              <w:t>0,00</w:t>
            </w:r>
          </w:p>
        </w:tc>
        <w:tc>
          <w:tcPr>
            <w:tcW w:w="1701" w:type="dxa"/>
            <w:vAlign w:val="center"/>
          </w:tcPr>
          <w:p w14:paraId="7F3EA247" w14:textId="77777777" w:rsidR="00454A29" w:rsidRDefault="00454A29">
            <w:pPr>
              <w:pStyle w:val="ConsPlusNormal"/>
              <w:jc w:val="center"/>
            </w:pPr>
            <w:r>
              <w:t>0,00</w:t>
            </w:r>
          </w:p>
        </w:tc>
      </w:tr>
      <w:tr w:rsidR="00454A29" w14:paraId="200F910F" w14:textId="77777777">
        <w:tc>
          <w:tcPr>
            <w:tcW w:w="964" w:type="dxa"/>
            <w:vMerge w:val="restart"/>
            <w:vAlign w:val="center"/>
          </w:tcPr>
          <w:p w14:paraId="77835FA9" w14:textId="77777777" w:rsidR="00454A29" w:rsidRDefault="00454A29">
            <w:pPr>
              <w:pStyle w:val="ConsPlusNormal"/>
              <w:jc w:val="center"/>
            </w:pPr>
            <w:r>
              <w:t>11.1.10.</w:t>
            </w:r>
          </w:p>
        </w:tc>
        <w:tc>
          <w:tcPr>
            <w:tcW w:w="2154" w:type="dxa"/>
            <w:vMerge w:val="restart"/>
            <w:tcBorders>
              <w:top w:val="nil"/>
              <w:bottom w:val="nil"/>
            </w:tcBorders>
            <w:vAlign w:val="center"/>
          </w:tcPr>
          <w:p w14:paraId="05F9D33B" w14:textId="77777777" w:rsidR="00454A29" w:rsidRDefault="00454A29">
            <w:pPr>
              <w:pStyle w:val="ConsPlusNormal"/>
            </w:pPr>
          </w:p>
        </w:tc>
        <w:tc>
          <w:tcPr>
            <w:tcW w:w="2154" w:type="dxa"/>
            <w:vMerge w:val="restart"/>
            <w:tcBorders>
              <w:top w:val="nil"/>
              <w:bottom w:val="nil"/>
            </w:tcBorders>
            <w:vAlign w:val="center"/>
          </w:tcPr>
          <w:p w14:paraId="5C292339" w14:textId="77777777" w:rsidR="00454A29" w:rsidRDefault="00454A29">
            <w:pPr>
              <w:pStyle w:val="ConsPlusNormal"/>
            </w:pPr>
          </w:p>
        </w:tc>
        <w:tc>
          <w:tcPr>
            <w:tcW w:w="2665" w:type="dxa"/>
            <w:vMerge w:val="restart"/>
            <w:tcBorders>
              <w:top w:val="nil"/>
              <w:bottom w:val="nil"/>
            </w:tcBorders>
            <w:vAlign w:val="center"/>
          </w:tcPr>
          <w:p w14:paraId="313922AA" w14:textId="77777777" w:rsidR="00454A29" w:rsidRDefault="00454A29">
            <w:pPr>
              <w:pStyle w:val="ConsPlusNormal"/>
            </w:pPr>
          </w:p>
        </w:tc>
        <w:tc>
          <w:tcPr>
            <w:tcW w:w="2665" w:type="dxa"/>
            <w:vMerge w:val="restart"/>
            <w:tcBorders>
              <w:top w:val="nil"/>
              <w:bottom w:val="nil"/>
            </w:tcBorders>
            <w:vAlign w:val="center"/>
          </w:tcPr>
          <w:p w14:paraId="77F3AF3E" w14:textId="77777777" w:rsidR="00454A29" w:rsidRDefault="00454A29">
            <w:pPr>
              <w:pStyle w:val="ConsPlusNormal"/>
            </w:pPr>
          </w:p>
        </w:tc>
        <w:tc>
          <w:tcPr>
            <w:tcW w:w="1928" w:type="dxa"/>
            <w:vMerge w:val="restart"/>
            <w:vAlign w:val="center"/>
          </w:tcPr>
          <w:p w14:paraId="5A96D568" w14:textId="77777777" w:rsidR="00454A29" w:rsidRDefault="00454A29">
            <w:pPr>
              <w:pStyle w:val="ConsPlusNormal"/>
              <w:jc w:val="center"/>
            </w:pPr>
            <w:r>
              <w:t>МР "Таттинский улус"</w:t>
            </w:r>
          </w:p>
        </w:tc>
        <w:tc>
          <w:tcPr>
            <w:tcW w:w="1644" w:type="dxa"/>
            <w:vMerge w:val="restart"/>
            <w:vAlign w:val="center"/>
          </w:tcPr>
          <w:p w14:paraId="6785E898" w14:textId="77777777" w:rsidR="00454A29" w:rsidRDefault="00454A29">
            <w:pPr>
              <w:pStyle w:val="ConsPlusNormal"/>
              <w:jc w:val="center"/>
            </w:pPr>
            <w:r>
              <w:t>с. Ытык-Кюель</w:t>
            </w:r>
          </w:p>
        </w:tc>
        <w:tc>
          <w:tcPr>
            <w:tcW w:w="2041" w:type="dxa"/>
            <w:vMerge w:val="restart"/>
            <w:vAlign w:val="center"/>
          </w:tcPr>
          <w:p w14:paraId="17390C0D" w14:textId="77777777" w:rsidR="00454A29" w:rsidRDefault="00454A29">
            <w:pPr>
              <w:pStyle w:val="ConsPlusNormal"/>
              <w:jc w:val="center"/>
            </w:pPr>
            <w:r>
              <w:t>Строительство детского сада на 98 мест</w:t>
            </w:r>
          </w:p>
        </w:tc>
        <w:tc>
          <w:tcPr>
            <w:tcW w:w="2098" w:type="dxa"/>
            <w:vAlign w:val="center"/>
          </w:tcPr>
          <w:p w14:paraId="029019BB" w14:textId="77777777" w:rsidR="00454A29" w:rsidRDefault="00454A29">
            <w:pPr>
              <w:pStyle w:val="ConsPlusNormal"/>
              <w:jc w:val="center"/>
            </w:pPr>
            <w:r>
              <w:t>Итого</w:t>
            </w:r>
          </w:p>
        </w:tc>
        <w:tc>
          <w:tcPr>
            <w:tcW w:w="1814" w:type="dxa"/>
            <w:vAlign w:val="center"/>
          </w:tcPr>
          <w:p w14:paraId="6D37C797" w14:textId="77777777" w:rsidR="00454A29" w:rsidRDefault="00454A29">
            <w:pPr>
              <w:pStyle w:val="ConsPlusNormal"/>
              <w:jc w:val="center"/>
            </w:pPr>
            <w:r>
              <w:t>0,00</w:t>
            </w:r>
          </w:p>
        </w:tc>
        <w:tc>
          <w:tcPr>
            <w:tcW w:w="1701" w:type="dxa"/>
            <w:vAlign w:val="center"/>
          </w:tcPr>
          <w:p w14:paraId="0FF0CF97" w14:textId="77777777" w:rsidR="00454A29" w:rsidRDefault="00454A29">
            <w:pPr>
              <w:pStyle w:val="ConsPlusNormal"/>
              <w:jc w:val="center"/>
            </w:pPr>
            <w:r>
              <w:t>0,00</w:t>
            </w:r>
          </w:p>
        </w:tc>
        <w:tc>
          <w:tcPr>
            <w:tcW w:w="1701" w:type="dxa"/>
            <w:vAlign w:val="center"/>
          </w:tcPr>
          <w:p w14:paraId="24589545" w14:textId="77777777" w:rsidR="00454A29" w:rsidRDefault="00454A29">
            <w:pPr>
              <w:pStyle w:val="ConsPlusNormal"/>
              <w:jc w:val="center"/>
            </w:pPr>
            <w:r>
              <w:t>0,00</w:t>
            </w:r>
          </w:p>
        </w:tc>
        <w:tc>
          <w:tcPr>
            <w:tcW w:w="1701" w:type="dxa"/>
            <w:vAlign w:val="center"/>
          </w:tcPr>
          <w:p w14:paraId="7563417E" w14:textId="77777777" w:rsidR="00454A29" w:rsidRDefault="00454A29">
            <w:pPr>
              <w:pStyle w:val="ConsPlusNormal"/>
              <w:jc w:val="center"/>
            </w:pPr>
            <w:r>
              <w:t>0,00</w:t>
            </w:r>
          </w:p>
        </w:tc>
        <w:tc>
          <w:tcPr>
            <w:tcW w:w="1701" w:type="dxa"/>
            <w:vAlign w:val="center"/>
          </w:tcPr>
          <w:p w14:paraId="7BD47F46" w14:textId="77777777" w:rsidR="00454A29" w:rsidRDefault="00454A29">
            <w:pPr>
              <w:pStyle w:val="ConsPlusNormal"/>
              <w:jc w:val="center"/>
            </w:pPr>
            <w:r>
              <w:t>0,00</w:t>
            </w:r>
          </w:p>
        </w:tc>
        <w:tc>
          <w:tcPr>
            <w:tcW w:w="1701" w:type="dxa"/>
            <w:vAlign w:val="center"/>
          </w:tcPr>
          <w:p w14:paraId="22238E0D" w14:textId="77777777" w:rsidR="00454A29" w:rsidRDefault="00454A29">
            <w:pPr>
              <w:pStyle w:val="ConsPlusNormal"/>
              <w:jc w:val="center"/>
            </w:pPr>
            <w:r>
              <w:t>0,00</w:t>
            </w:r>
          </w:p>
        </w:tc>
        <w:tc>
          <w:tcPr>
            <w:tcW w:w="1701" w:type="dxa"/>
            <w:vAlign w:val="center"/>
          </w:tcPr>
          <w:p w14:paraId="490D58AC" w14:textId="77777777" w:rsidR="00454A29" w:rsidRDefault="00454A29">
            <w:pPr>
              <w:pStyle w:val="ConsPlusNormal"/>
              <w:jc w:val="center"/>
            </w:pPr>
            <w:r>
              <w:t>0,00</w:t>
            </w:r>
          </w:p>
        </w:tc>
      </w:tr>
      <w:tr w:rsidR="00454A29" w14:paraId="784AECDC" w14:textId="77777777">
        <w:tc>
          <w:tcPr>
            <w:tcW w:w="964" w:type="dxa"/>
            <w:vMerge/>
          </w:tcPr>
          <w:p w14:paraId="103CA65F" w14:textId="77777777" w:rsidR="00454A29" w:rsidRDefault="00454A29"/>
        </w:tc>
        <w:tc>
          <w:tcPr>
            <w:tcW w:w="2154" w:type="dxa"/>
            <w:vMerge/>
            <w:tcBorders>
              <w:top w:val="nil"/>
              <w:bottom w:val="nil"/>
            </w:tcBorders>
          </w:tcPr>
          <w:p w14:paraId="01C74DA7" w14:textId="77777777" w:rsidR="00454A29" w:rsidRDefault="00454A29"/>
        </w:tc>
        <w:tc>
          <w:tcPr>
            <w:tcW w:w="2154" w:type="dxa"/>
            <w:vMerge/>
            <w:tcBorders>
              <w:top w:val="nil"/>
              <w:bottom w:val="nil"/>
            </w:tcBorders>
          </w:tcPr>
          <w:p w14:paraId="55FAA98D" w14:textId="77777777" w:rsidR="00454A29" w:rsidRDefault="00454A29"/>
        </w:tc>
        <w:tc>
          <w:tcPr>
            <w:tcW w:w="2665" w:type="dxa"/>
            <w:vMerge/>
            <w:tcBorders>
              <w:top w:val="nil"/>
              <w:bottom w:val="nil"/>
            </w:tcBorders>
          </w:tcPr>
          <w:p w14:paraId="0C4774AC" w14:textId="77777777" w:rsidR="00454A29" w:rsidRDefault="00454A29"/>
        </w:tc>
        <w:tc>
          <w:tcPr>
            <w:tcW w:w="2665" w:type="dxa"/>
            <w:vMerge/>
            <w:tcBorders>
              <w:top w:val="nil"/>
              <w:bottom w:val="nil"/>
            </w:tcBorders>
          </w:tcPr>
          <w:p w14:paraId="2C53AAED" w14:textId="77777777" w:rsidR="00454A29" w:rsidRDefault="00454A29"/>
        </w:tc>
        <w:tc>
          <w:tcPr>
            <w:tcW w:w="1928" w:type="dxa"/>
            <w:vMerge/>
          </w:tcPr>
          <w:p w14:paraId="20D101AB" w14:textId="77777777" w:rsidR="00454A29" w:rsidRDefault="00454A29"/>
        </w:tc>
        <w:tc>
          <w:tcPr>
            <w:tcW w:w="1644" w:type="dxa"/>
            <w:vMerge/>
          </w:tcPr>
          <w:p w14:paraId="0D39C01C" w14:textId="77777777" w:rsidR="00454A29" w:rsidRDefault="00454A29"/>
        </w:tc>
        <w:tc>
          <w:tcPr>
            <w:tcW w:w="2041" w:type="dxa"/>
            <w:vMerge/>
          </w:tcPr>
          <w:p w14:paraId="7B8BB47B" w14:textId="77777777" w:rsidR="00454A29" w:rsidRDefault="00454A29"/>
        </w:tc>
        <w:tc>
          <w:tcPr>
            <w:tcW w:w="2098" w:type="dxa"/>
            <w:vAlign w:val="center"/>
          </w:tcPr>
          <w:p w14:paraId="3997C95F"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F151090" w14:textId="77777777" w:rsidR="00454A29" w:rsidRDefault="00454A29">
            <w:pPr>
              <w:pStyle w:val="ConsPlusNormal"/>
              <w:jc w:val="center"/>
            </w:pPr>
            <w:r>
              <w:t>0,00</w:t>
            </w:r>
          </w:p>
        </w:tc>
        <w:tc>
          <w:tcPr>
            <w:tcW w:w="1701" w:type="dxa"/>
            <w:vAlign w:val="center"/>
          </w:tcPr>
          <w:p w14:paraId="36292FFE" w14:textId="77777777" w:rsidR="00454A29" w:rsidRDefault="00454A29">
            <w:pPr>
              <w:pStyle w:val="ConsPlusNormal"/>
              <w:jc w:val="center"/>
            </w:pPr>
            <w:r>
              <w:t>0,00</w:t>
            </w:r>
          </w:p>
        </w:tc>
        <w:tc>
          <w:tcPr>
            <w:tcW w:w="1701" w:type="dxa"/>
            <w:vAlign w:val="center"/>
          </w:tcPr>
          <w:p w14:paraId="6522E848" w14:textId="77777777" w:rsidR="00454A29" w:rsidRDefault="00454A29">
            <w:pPr>
              <w:pStyle w:val="ConsPlusNormal"/>
              <w:jc w:val="center"/>
            </w:pPr>
            <w:r>
              <w:t>0,00</w:t>
            </w:r>
          </w:p>
        </w:tc>
        <w:tc>
          <w:tcPr>
            <w:tcW w:w="1701" w:type="dxa"/>
            <w:vAlign w:val="center"/>
          </w:tcPr>
          <w:p w14:paraId="0735F72A" w14:textId="77777777" w:rsidR="00454A29" w:rsidRDefault="00454A29">
            <w:pPr>
              <w:pStyle w:val="ConsPlusNormal"/>
              <w:jc w:val="center"/>
            </w:pPr>
            <w:r>
              <w:t>0,00</w:t>
            </w:r>
          </w:p>
        </w:tc>
        <w:tc>
          <w:tcPr>
            <w:tcW w:w="1701" w:type="dxa"/>
            <w:vAlign w:val="center"/>
          </w:tcPr>
          <w:p w14:paraId="3C57B40A" w14:textId="77777777" w:rsidR="00454A29" w:rsidRDefault="00454A29">
            <w:pPr>
              <w:pStyle w:val="ConsPlusNormal"/>
              <w:jc w:val="center"/>
            </w:pPr>
            <w:r>
              <w:t>0,00</w:t>
            </w:r>
          </w:p>
        </w:tc>
        <w:tc>
          <w:tcPr>
            <w:tcW w:w="1701" w:type="dxa"/>
            <w:vAlign w:val="center"/>
          </w:tcPr>
          <w:p w14:paraId="0BA2BCCD" w14:textId="77777777" w:rsidR="00454A29" w:rsidRDefault="00454A29">
            <w:pPr>
              <w:pStyle w:val="ConsPlusNormal"/>
              <w:jc w:val="center"/>
            </w:pPr>
            <w:r>
              <w:t>0,00</w:t>
            </w:r>
          </w:p>
        </w:tc>
        <w:tc>
          <w:tcPr>
            <w:tcW w:w="1701" w:type="dxa"/>
            <w:vAlign w:val="center"/>
          </w:tcPr>
          <w:p w14:paraId="7D31BDCA" w14:textId="77777777" w:rsidR="00454A29" w:rsidRDefault="00454A29">
            <w:pPr>
              <w:pStyle w:val="ConsPlusNormal"/>
              <w:jc w:val="center"/>
            </w:pPr>
            <w:r>
              <w:t>0,00</w:t>
            </w:r>
          </w:p>
        </w:tc>
      </w:tr>
      <w:tr w:rsidR="00454A29" w14:paraId="4751DB94" w14:textId="77777777">
        <w:tc>
          <w:tcPr>
            <w:tcW w:w="964" w:type="dxa"/>
            <w:vMerge/>
          </w:tcPr>
          <w:p w14:paraId="6D6DA523" w14:textId="77777777" w:rsidR="00454A29" w:rsidRDefault="00454A29"/>
        </w:tc>
        <w:tc>
          <w:tcPr>
            <w:tcW w:w="2154" w:type="dxa"/>
            <w:vMerge/>
            <w:tcBorders>
              <w:top w:val="nil"/>
              <w:bottom w:val="nil"/>
            </w:tcBorders>
          </w:tcPr>
          <w:p w14:paraId="22651B3D" w14:textId="77777777" w:rsidR="00454A29" w:rsidRDefault="00454A29"/>
        </w:tc>
        <w:tc>
          <w:tcPr>
            <w:tcW w:w="2154" w:type="dxa"/>
            <w:vMerge/>
            <w:tcBorders>
              <w:top w:val="nil"/>
              <w:bottom w:val="nil"/>
            </w:tcBorders>
          </w:tcPr>
          <w:p w14:paraId="1BD2BFD0" w14:textId="77777777" w:rsidR="00454A29" w:rsidRDefault="00454A29"/>
        </w:tc>
        <w:tc>
          <w:tcPr>
            <w:tcW w:w="2665" w:type="dxa"/>
            <w:vMerge/>
            <w:tcBorders>
              <w:top w:val="nil"/>
              <w:bottom w:val="nil"/>
            </w:tcBorders>
          </w:tcPr>
          <w:p w14:paraId="7F15616E" w14:textId="77777777" w:rsidR="00454A29" w:rsidRDefault="00454A29"/>
        </w:tc>
        <w:tc>
          <w:tcPr>
            <w:tcW w:w="2665" w:type="dxa"/>
            <w:vMerge/>
            <w:tcBorders>
              <w:top w:val="nil"/>
              <w:bottom w:val="nil"/>
            </w:tcBorders>
          </w:tcPr>
          <w:p w14:paraId="7247B51D" w14:textId="77777777" w:rsidR="00454A29" w:rsidRDefault="00454A29"/>
        </w:tc>
        <w:tc>
          <w:tcPr>
            <w:tcW w:w="1928" w:type="dxa"/>
            <w:vMerge/>
          </w:tcPr>
          <w:p w14:paraId="43FC18FD" w14:textId="77777777" w:rsidR="00454A29" w:rsidRDefault="00454A29"/>
        </w:tc>
        <w:tc>
          <w:tcPr>
            <w:tcW w:w="1644" w:type="dxa"/>
            <w:vMerge/>
          </w:tcPr>
          <w:p w14:paraId="39577AB3" w14:textId="77777777" w:rsidR="00454A29" w:rsidRDefault="00454A29"/>
        </w:tc>
        <w:tc>
          <w:tcPr>
            <w:tcW w:w="2041" w:type="dxa"/>
            <w:vMerge/>
          </w:tcPr>
          <w:p w14:paraId="6C0B083B" w14:textId="77777777" w:rsidR="00454A29" w:rsidRDefault="00454A29"/>
        </w:tc>
        <w:tc>
          <w:tcPr>
            <w:tcW w:w="2098" w:type="dxa"/>
            <w:vAlign w:val="center"/>
          </w:tcPr>
          <w:p w14:paraId="7E47AC27" w14:textId="77777777" w:rsidR="00454A29" w:rsidRDefault="00454A29">
            <w:pPr>
              <w:pStyle w:val="ConsPlusNormal"/>
              <w:jc w:val="center"/>
            </w:pPr>
            <w:r>
              <w:t>Федеральный бюджет</w:t>
            </w:r>
          </w:p>
        </w:tc>
        <w:tc>
          <w:tcPr>
            <w:tcW w:w="1814" w:type="dxa"/>
            <w:vAlign w:val="center"/>
          </w:tcPr>
          <w:p w14:paraId="1EA44397" w14:textId="77777777" w:rsidR="00454A29" w:rsidRDefault="00454A29">
            <w:pPr>
              <w:pStyle w:val="ConsPlusNormal"/>
              <w:jc w:val="center"/>
            </w:pPr>
            <w:r>
              <w:t>0,00</w:t>
            </w:r>
          </w:p>
        </w:tc>
        <w:tc>
          <w:tcPr>
            <w:tcW w:w="1701" w:type="dxa"/>
            <w:vAlign w:val="center"/>
          </w:tcPr>
          <w:p w14:paraId="1EC1AF3B" w14:textId="77777777" w:rsidR="00454A29" w:rsidRDefault="00454A29">
            <w:pPr>
              <w:pStyle w:val="ConsPlusNormal"/>
              <w:jc w:val="center"/>
            </w:pPr>
            <w:r>
              <w:t>0,00</w:t>
            </w:r>
          </w:p>
        </w:tc>
        <w:tc>
          <w:tcPr>
            <w:tcW w:w="1701" w:type="dxa"/>
            <w:vAlign w:val="center"/>
          </w:tcPr>
          <w:p w14:paraId="076C26D4" w14:textId="77777777" w:rsidR="00454A29" w:rsidRDefault="00454A29">
            <w:pPr>
              <w:pStyle w:val="ConsPlusNormal"/>
              <w:jc w:val="center"/>
            </w:pPr>
            <w:r>
              <w:t>0,00</w:t>
            </w:r>
          </w:p>
        </w:tc>
        <w:tc>
          <w:tcPr>
            <w:tcW w:w="1701" w:type="dxa"/>
            <w:vAlign w:val="center"/>
          </w:tcPr>
          <w:p w14:paraId="5B1A55ED" w14:textId="77777777" w:rsidR="00454A29" w:rsidRDefault="00454A29">
            <w:pPr>
              <w:pStyle w:val="ConsPlusNormal"/>
              <w:jc w:val="center"/>
            </w:pPr>
            <w:r>
              <w:t>0,00</w:t>
            </w:r>
          </w:p>
        </w:tc>
        <w:tc>
          <w:tcPr>
            <w:tcW w:w="1701" w:type="dxa"/>
            <w:vAlign w:val="center"/>
          </w:tcPr>
          <w:p w14:paraId="1C5F46CF" w14:textId="77777777" w:rsidR="00454A29" w:rsidRDefault="00454A29">
            <w:pPr>
              <w:pStyle w:val="ConsPlusNormal"/>
              <w:jc w:val="center"/>
            </w:pPr>
            <w:r>
              <w:t>0,00</w:t>
            </w:r>
          </w:p>
        </w:tc>
        <w:tc>
          <w:tcPr>
            <w:tcW w:w="1701" w:type="dxa"/>
            <w:vAlign w:val="center"/>
          </w:tcPr>
          <w:p w14:paraId="0E2C2149" w14:textId="77777777" w:rsidR="00454A29" w:rsidRDefault="00454A29">
            <w:pPr>
              <w:pStyle w:val="ConsPlusNormal"/>
              <w:jc w:val="center"/>
            </w:pPr>
            <w:r>
              <w:t>0,00</w:t>
            </w:r>
          </w:p>
        </w:tc>
        <w:tc>
          <w:tcPr>
            <w:tcW w:w="1701" w:type="dxa"/>
            <w:vAlign w:val="center"/>
          </w:tcPr>
          <w:p w14:paraId="4E0595D5" w14:textId="77777777" w:rsidR="00454A29" w:rsidRDefault="00454A29">
            <w:pPr>
              <w:pStyle w:val="ConsPlusNormal"/>
              <w:jc w:val="center"/>
            </w:pPr>
            <w:r>
              <w:t>0,00</w:t>
            </w:r>
          </w:p>
        </w:tc>
      </w:tr>
      <w:tr w:rsidR="00454A29" w14:paraId="3983089C" w14:textId="77777777">
        <w:tc>
          <w:tcPr>
            <w:tcW w:w="964" w:type="dxa"/>
            <w:vMerge/>
          </w:tcPr>
          <w:p w14:paraId="2A619662" w14:textId="77777777" w:rsidR="00454A29" w:rsidRDefault="00454A29"/>
        </w:tc>
        <w:tc>
          <w:tcPr>
            <w:tcW w:w="2154" w:type="dxa"/>
            <w:vMerge/>
            <w:tcBorders>
              <w:top w:val="nil"/>
              <w:bottom w:val="nil"/>
            </w:tcBorders>
          </w:tcPr>
          <w:p w14:paraId="7CD2EA5D" w14:textId="77777777" w:rsidR="00454A29" w:rsidRDefault="00454A29"/>
        </w:tc>
        <w:tc>
          <w:tcPr>
            <w:tcW w:w="2154" w:type="dxa"/>
            <w:vMerge/>
            <w:tcBorders>
              <w:top w:val="nil"/>
              <w:bottom w:val="nil"/>
            </w:tcBorders>
          </w:tcPr>
          <w:p w14:paraId="4275FDE7" w14:textId="77777777" w:rsidR="00454A29" w:rsidRDefault="00454A29"/>
        </w:tc>
        <w:tc>
          <w:tcPr>
            <w:tcW w:w="2665" w:type="dxa"/>
            <w:vMerge/>
            <w:tcBorders>
              <w:top w:val="nil"/>
              <w:bottom w:val="nil"/>
            </w:tcBorders>
          </w:tcPr>
          <w:p w14:paraId="439A542B" w14:textId="77777777" w:rsidR="00454A29" w:rsidRDefault="00454A29"/>
        </w:tc>
        <w:tc>
          <w:tcPr>
            <w:tcW w:w="2665" w:type="dxa"/>
            <w:vMerge/>
            <w:tcBorders>
              <w:top w:val="nil"/>
              <w:bottom w:val="nil"/>
            </w:tcBorders>
          </w:tcPr>
          <w:p w14:paraId="129BD9E1" w14:textId="77777777" w:rsidR="00454A29" w:rsidRDefault="00454A29"/>
        </w:tc>
        <w:tc>
          <w:tcPr>
            <w:tcW w:w="1928" w:type="dxa"/>
            <w:vMerge/>
          </w:tcPr>
          <w:p w14:paraId="00024191" w14:textId="77777777" w:rsidR="00454A29" w:rsidRDefault="00454A29"/>
        </w:tc>
        <w:tc>
          <w:tcPr>
            <w:tcW w:w="1644" w:type="dxa"/>
            <w:vMerge/>
          </w:tcPr>
          <w:p w14:paraId="719A0D52" w14:textId="77777777" w:rsidR="00454A29" w:rsidRDefault="00454A29"/>
        </w:tc>
        <w:tc>
          <w:tcPr>
            <w:tcW w:w="2041" w:type="dxa"/>
            <w:vMerge/>
          </w:tcPr>
          <w:p w14:paraId="3DFE0517" w14:textId="77777777" w:rsidR="00454A29" w:rsidRDefault="00454A29"/>
        </w:tc>
        <w:tc>
          <w:tcPr>
            <w:tcW w:w="2098" w:type="dxa"/>
            <w:vAlign w:val="center"/>
          </w:tcPr>
          <w:p w14:paraId="5516262F" w14:textId="77777777" w:rsidR="00454A29" w:rsidRDefault="00454A29">
            <w:pPr>
              <w:pStyle w:val="ConsPlusNormal"/>
              <w:jc w:val="center"/>
            </w:pPr>
            <w:r>
              <w:t>Местные бюджеты</w:t>
            </w:r>
          </w:p>
        </w:tc>
        <w:tc>
          <w:tcPr>
            <w:tcW w:w="1814" w:type="dxa"/>
            <w:vAlign w:val="center"/>
          </w:tcPr>
          <w:p w14:paraId="4DC3C951" w14:textId="77777777" w:rsidR="00454A29" w:rsidRDefault="00454A29">
            <w:pPr>
              <w:pStyle w:val="ConsPlusNormal"/>
              <w:jc w:val="center"/>
            </w:pPr>
            <w:r>
              <w:t>0,00</w:t>
            </w:r>
          </w:p>
        </w:tc>
        <w:tc>
          <w:tcPr>
            <w:tcW w:w="1701" w:type="dxa"/>
            <w:vAlign w:val="center"/>
          </w:tcPr>
          <w:p w14:paraId="6B0F0602" w14:textId="77777777" w:rsidR="00454A29" w:rsidRDefault="00454A29">
            <w:pPr>
              <w:pStyle w:val="ConsPlusNormal"/>
              <w:jc w:val="center"/>
            </w:pPr>
            <w:r>
              <w:t>0,00</w:t>
            </w:r>
          </w:p>
        </w:tc>
        <w:tc>
          <w:tcPr>
            <w:tcW w:w="1701" w:type="dxa"/>
            <w:vAlign w:val="center"/>
          </w:tcPr>
          <w:p w14:paraId="3A6675E9" w14:textId="77777777" w:rsidR="00454A29" w:rsidRDefault="00454A29">
            <w:pPr>
              <w:pStyle w:val="ConsPlusNormal"/>
              <w:jc w:val="center"/>
            </w:pPr>
            <w:r>
              <w:t>0,00</w:t>
            </w:r>
          </w:p>
        </w:tc>
        <w:tc>
          <w:tcPr>
            <w:tcW w:w="1701" w:type="dxa"/>
            <w:vAlign w:val="center"/>
          </w:tcPr>
          <w:p w14:paraId="07C636CD" w14:textId="77777777" w:rsidR="00454A29" w:rsidRDefault="00454A29">
            <w:pPr>
              <w:pStyle w:val="ConsPlusNormal"/>
              <w:jc w:val="center"/>
            </w:pPr>
            <w:r>
              <w:t>0,00</w:t>
            </w:r>
          </w:p>
        </w:tc>
        <w:tc>
          <w:tcPr>
            <w:tcW w:w="1701" w:type="dxa"/>
            <w:vAlign w:val="center"/>
          </w:tcPr>
          <w:p w14:paraId="5A311111" w14:textId="77777777" w:rsidR="00454A29" w:rsidRDefault="00454A29">
            <w:pPr>
              <w:pStyle w:val="ConsPlusNormal"/>
              <w:jc w:val="center"/>
            </w:pPr>
            <w:r>
              <w:t>0,00</w:t>
            </w:r>
          </w:p>
        </w:tc>
        <w:tc>
          <w:tcPr>
            <w:tcW w:w="1701" w:type="dxa"/>
            <w:vAlign w:val="center"/>
          </w:tcPr>
          <w:p w14:paraId="276894AA" w14:textId="77777777" w:rsidR="00454A29" w:rsidRDefault="00454A29">
            <w:pPr>
              <w:pStyle w:val="ConsPlusNormal"/>
              <w:jc w:val="center"/>
            </w:pPr>
            <w:r>
              <w:t>0,00</w:t>
            </w:r>
          </w:p>
        </w:tc>
        <w:tc>
          <w:tcPr>
            <w:tcW w:w="1701" w:type="dxa"/>
            <w:vAlign w:val="center"/>
          </w:tcPr>
          <w:p w14:paraId="721C0F47" w14:textId="77777777" w:rsidR="00454A29" w:rsidRDefault="00454A29">
            <w:pPr>
              <w:pStyle w:val="ConsPlusNormal"/>
              <w:jc w:val="center"/>
            </w:pPr>
            <w:r>
              <w:t>0,00</w:t>
            </w:r>
          </w:p>
        </w:tc>
      </w:tr>
      <w:tr w:rsidR="00454A29" w14:paraId="2F0C5740" w14:textId="77777777">
        <w:tc>
          <w:tcPr>
            <w:tcW w:w="964" w:type="dxa"/>
            <w:vMerge/>
          </w:tcPr>
          <w:p w14:paraId="72EE1F36" w14:textId="77777777" w:rsidR="00454A29" w:rsidRDefault="00454A29"/>
        </w:tc>
        <w:tc>
          <w:tcPr>
            <w:tcW w:w="2154" w:type="dxa"/>
            <w:vMerge/>
            <w:tcBorders>
              <w:top w:val="nil"/>
              <w:bottom w:val="nil"/>
            </w:tcBorders>
          </w:tcPr>
          <w:p w14:paraId="343052F4" w14:textId="77777777" w:rsidR="00454A29" w:rsidRDefault="00454A29"/>
        </w:tc>
        <w:tc>
          <w:tcPr>
            <w:tcW w:w="2154" w:type="dxa"/>
            <w:vMerge/>
            <w:tcBorders>
              <w:top w:val="nil"/>
              <w:bottom w:val="nil"/>
            </w:tcBorders>
          </w:tcPr>
          <w:p w14:paraId="3CEB29B1" w14:textId="77777777" w:rsidR="00454A29" w:rsidRDefault="00454A29"/>
        </w:tc>
        <w:tc>
          <w:tcPr>
            <w:tcW w:w="2665" w:type="dxa"/>
            <w:vMerge/>
            <w:tcBorders>
              <w:top w:val="nil"/>
              <w:bottom w:val="nil"/>
            </w:tcBorders>
          </w:tcPr>
          <w:p w14:paraId="24AB36FB" w14:textId="77777777" w:rsidR="00454A29" w:rsidRDefault="00454A29"/>
        </w:tc>
        <w:tc>
          <w:tcPr>
            <w:tcW w:w="2665" w:type="dxa"/>
            <w:vMerge/>
            <w:tcBorders>
              <w:top w:val="nil"/>
              <w:bottom w:val="nil"/>
            </w:tcBorders>
          </w:tcPr>
          <w:p w14:paraId="57690031" w14:textId="77777777" w:rsidR="00454A29" w:rsidRDefault="00454A29"/>
        </w:tc>
        <w:tc>
          <w:tcPr>
            <w:tcW w:w="1928" w:type="dxa"/>
            <w:vMerge/>
          </w:tcPr>
          <w:p w14:paraId="72393CCD" w14:textId="77777777" w:rsidR="00454A29" w:rsidRDefault="00454A29"/>
        </w:tc>
        <w:tc>
          <w:tcPr>
            <w:tcW w:w="1644" w:type="dxa"/>
            <w:vMerge/>
          </w:tcPr>
          <w:p w14:paraId="18DE7EFC" w14:textId="77777777" w:rsidR="00454A29" w:rsidRDefault="00454A29"/>
        </w:tc>
        <w:tc>
          <w:tcPr>
            <w:tcW w:w="2041" w:type="dxa"/>
            <w:vMerge/>
          </w:tcPr>
          <w:p w14:paraId="2ABA3C6D" w14:textId="77777777" w:rsidR="00454A29" w:rsidRDefault="00454A29"/>
        </w:tc>
        <w:tc>
          <w:tcPr>
            <w:tcW w:w="2098" w:type="dxa"/>
            <w:vAlign w:val="center"/>
          </w:tcPr>
          <w:p w14:paraId="45ACE1E3" w14:textId="77777777" w:rsidR="00454A29" w:rsidRDefault="00454A29">
            <w:pPr>
              <w:pStyle w:val="ConsPlusNormal"/>
              <w:jc w:val="center"/>
            </w:pPr>
            <w:r>
              <w:t>Внебюджетные средства</w:t>
            </w:r>
          </w:p>
        </w:tc>
        <w:tc>
          <w:tcPr>
            <w:tcW w:w="1814" w:type="dxa"/>
            <w:vAlign w:val="center"/>
          </w:tcPr>
          <w:p w14:paraId="14629576" w14:textId="77777777" w:rsidR="00454A29" w:rsidRDefault="00454A29">
            <w:pPr>
              <w:pStyle w:val="ConsPlusNormal"/>
              <w:jc w:val="center"/>
            </w:pPr>
            <w:r>
              <w:t>0,00</w:t>
            </w:r>
          </w:p>
        </w:tc>
        <w:tc>
          <w:tcPr>
            <w:tcW w:w="1701" w:type="dxa"/>
            <w:vAlign w:val="center"/>
          </w:tcPr>
          <w:p w14:paraId="250C9B19" w14:textId="77777777" w:rsidR="00454A29" w:rsidRDefault="00454A29">
            <w:pPr>
              <w:pStyle w:val="ConsPlusNormal"/>
              <w:jc w:val="center"/>
            </w:pPr>
            <w:r>
              <w:t>0,00</w:t>
            </w:r>
          </w:p>
        </w:tc>
        <w:tc>
          <w:tcPr>
            <w:tcW w:w="1701" w:type="dxa"/>
            <w:vAlign w:val="center"/>
          </w:tcPr>
          <w:p w14:paraId="6FA6CFA4" w14:textId="77777777" w:rsidR="00454A29" w:rsidRDefault="00454A29">
            <w:pPr>
              <w:pStyle w:val="ConsPlusNormal"/>
              <w:jc w:val="center"/>
            </w:pPr>
            <w:r>
              <w:t>0,00</w:t>
            </w:r>
          </w:p>
        </w:tc>
        <w:tc>
          <w:tcPr>
            <w:tcW w:w="1701" w:type="dxa"/>
            <w:vAlign w:val="center"/>
          </w:tcPr>
          <w:p w14:paraId="6D78C44E" w14:textId="77777777" w:rsidR="00454A29" w:rsidRDefault="00454A29">
            <w:pPr>
              <w:pStyle w:val="ConsPlusNormal"/>
              <w:jc w:val="center"/>
            </w:pPr>
            <w:r>
              <w:t>0,00</w:t>
            </w:r>
          </w:p>
        </w:tc>
        <w:tc>
          <w:tcPr>
            <w:tcW w:w="1701" w:type="dxa"/>
            <w:vAlign w:val="center"/>
          </w:tcPr>
          <w:p w14:paraId="4D0FDCBF" w14:textId="77777777" w:rsidR="00454A29" w:rsidRDefault="00454A29">
            <w:pPr>
              <w:pStyle w:val="ConsPlusNormal"/>
              <w:jc w:val="center"/>
            </w:pPr>
            <w:r>
              <w:t>0,00</w:t>
            </w:r>
          </w:p>
        </w:tc>
        <w:tc>
          <w:tcPr>
            <w:tcW w:w="1701" w:type="dxa"/>
            <w:vAlign w:val="center"/>
          </w:tcPr>
          <w:p w14:paraId="74946154" w14:textId="77777777" w:rsidR="00454A29" w:rsidRDefault="00454A29">
            <w:pPr>
              <w:pStyle w:val="ConsPlusNormal"/>
              <w:jc w:val="center"/>
            </w:pPr>
            <w:r>
              <w:t>0,00</w:t>
            </w:r>
          </w:p>
        </w:tc>
        <w:tc>
          <w:tcPr>
            <w:tcW w:w="1701" w:type="dxa"/>
            <w:vAlign w:val="center"/>
          </w:tcPr>
          <w:p w14:paraId="7B66BA77" w14:textId="77777777" w:rsidR="00454A29" w:rsidRDefault="00454A29">
            <w:pPr>
              <w:pStyle w:val="ConsPlusNormal"/>
              <w:jc w:val="center"/>
            </w:pPr>
            <w:r>
              <w:t>0,00</w:t>
            </w:r>
          </w:p>
        </w:tc>
      </w:tr>
      <w:tr w:rsidR="00454A29" w14:paraId="3A1FE1CC" w14:textId="77777777">
        <w:tc>
          <w:tcPr>
            <w:tcW w:w="964" w:type="dxa"/>
            <w:vMerge w:val="restart"/>
            <w:vAlign w:val="center"/>
          </w:tcPr>
          <w:p w14:paraId="077BFB02" w14:textId="77777777" w:rsidR="00454A29" w:rsidRDefault="00454A29">
            <w:pPr>
              <w:pStyle w:val="ConsPlusNormal"/>
              <w:jc w:val="center"/>
            </w:pPr>
            <w:r>
              <w:t>11.1.11.</w:t>
            </w:r>
          </w:p>
        </w:tc>
        <w:tc>
          <w:tcPr>
            <w:tcW w:w="2154" w:type="dxa"/>
            <w:vMerge w:val="restart"/>
            <w:tcBorders>
              <w:top w:val="nil"/>
              <w:bottom w:val="nil"/>
            </w:tcBorders>
            <w:vAlign w:val="center"/>
          </w:tcPr>
          <w:p w14:paraId="3A593D84" w14:textId="77777777" w:rsidR="00454A29" w:rsidRDefault="00454A29">
            <w:pPr>
              <w:pStyle w:val="ConsPlusNormal"/>
            </w:pPr>
          </w:p>
        </w:tc>
        <w:tc>
          <w:tcPr>
            <w:tcW w:w="2154" w:type="dxa"/>
            <w:vMerge w:val="restart"/>
            <w:tcBorders>
              <w:top w:val="nil"/>
              <w:bottom w:val="nil"/>
            </w:tcBorders>
            <w:vAlign w:val="center"/>
          </w:tcPr>
          <w:p w14:paraId="0C99B6DD" w14:textId="77777777" w:rsidR="00454A29" w:rsidRDefault="00454A29">
            <w:pPr>
              <w:pStyle w:val="ConsPlusNormal"/>
            </w:pPr>
          </w:p>
        </w:tc>
        <w:tc>
          <w:tcPr>
            <w:tcW w:w="2665" w:type="dxa"/>
            <w:vMerge w:val="restart"/>
            <w:tcBorders>
              <w:top w:val="nil"/>
              <w:bottom w:val="nil"/>
            </w:tcBorders>
            <w:vAlign w:val="center"/>
          </w:tcPr>
          <w:p w14:paraId="000901D3" w14:textId="77777777" w:rsidR="00454A29" w:rsidRDefault="00454A29">
            <w:pPr>
              <w:pStyle w:val="ConsPlusNormal"/>
            </w:pPr>
          </w:p>
        </w:tc>
        <w:tc>
          <w:tcPr>
            <w:tcW w:w="2665" w:type="dxa"/>
            <w:vMerge w:val="restart"/>
            <w:tcBorders>
              <w:top w:val="nil"/>
              <w:bottom w:val="nil"/>
            </w:tcBorders>
            <w:vAlign w:val="center"/>
          </w:tcPr>
          <w:p w14:paraId="74979E57" w14:textId="77777777" w:rsidR="00454A29" w:rsidRDefault="00454A29">
            <w:pPr>
              <w:pStyle w:val="ConsPlusNormal"/>
            </w:pPr>
          </w:p>
        </w:tc>
        <w:tc>
          <w:tcPr>
            <w:tcW w:w="1928" w:type="dxa"/>
            <w:vMerge w:val="restart"/>
            <w:vAlign w:val="center"/>
          </w:tcPr>
          <w:p w14:paraId="77A273A1" w14:textId="77777777" w:rsidR="00454A29" w:rsidRDefault="00454A29">
            <w:pPr>
              <w:pStyle w:val="ConsPlusNormal"/>
              <w:jc w:val="center"/>
            </w:pPr>
            <w:r>
              <w:t>МР "Горный улус"</w:t>
            </w:r>
          </w:p>
        </w:tc>
        <w:tc>
          <w:tcPr>
            <w:tcW w:w="1644" w:type="dxa"/>
            <w:vMerge w:val="restart"/>
            <w:vAlign w:val="center"/>
          </w:tcPr>
          <w:p w14:paraId="2E3AD110" w14:textId="77777777" w:rsidR="00454A29" w:rsidRDefault="00454A29">
            <w:pPr>
              <w:pStyle w:val="ConsPlusNormal"/>
              <w:jc w:val="center"/>
            </w:pPr>
            <w:r>
              <w:t>с. Бердигестях</w:t>
            </w:r>
          </w:p>
        </w:tc>
        <w:tc>
          <w:tcPr>
            <w:tcW w:w="2041" w:type="dxa"/>
            <w:vMerge w:val="restart"/>
            <w:vAlign w:val="center"/>
          </w:tcPr>
          <w:p w14:paraId="21732A1B" w14:textId="77777777" w:rsidR="00454A29" w:rsidRDefault="00454A29">
            <w:pPr>
              <w:pStyle w:val="ConsPlusNormal"/>
              <w:jc w:val="center"/>
            </w:pPr>
            <w:r>
              <w:t>Строительство детского сада на 98 мест</w:t>
            </w:r>
          </w:p>
        </w:tc>
        <w:tc>
          <w:tcPr>
            <w:tcW w:w="2098" w:type="dxa"/>
            <w:vAlign w:val="center"/>
          </w:tcPr>
          <w:p w14:paraId="5A2318BC" w14:textId="77777777" w:rsidR="00454A29" w:rsidRDefault="00454A29">
            <w:pPr>
              <w:pStyle w:val="ConsPlusNormal"/>
              <w:jc w:val="center"/>
            </w:pPr>
            <w:r>
              <w:t>Итого</w:t>
            </w:r>
          </w:p>
        </w:tc>
        <w:tc>
          <w:tcPr>
            <w:tcW w:w="1814" w:type="dxa"/>
            <w:vAlign w:val="center"/>
          </w:tcPr>
          <w:p w14:paraId="0F78D6B7" w14:textId="77777777" w:rsidR="00454A29" w:rsidRDefault="00454A29">
            <w:pPr>
              <w:pStyle w:val="ConsPlusNormal"/>
              <w:jc w:val="center"/>
            </w:pPr>
            <w:r>
              <w:t>0,00</w:t>
            </w:r>
          </w:p>
        </w:tc>
        <w:tc>
          <w:tcPr>
            <w:tcW w:w="1701" w:type="dxa"/>
            <w:vAlign w:val="center"/>
          </w:tcPr>
          <w:p w14:paraId="29D1EBF8" w14:textId="77777777" w:rsidR="00454A29" w:rsidRDefault="00454A29">
            <w:pPr>
              <w:pStyle w:val="ConsPlusNormal"/>
              <w:jc w:val="center"/>
            </w:pPr>
            <w:r>
              <w:t>0,00</w:t>
            </w:r>
          </w:p>
        </w:tc>
        <w:tc>
          <w:tcPr>
            <w:tcW w:w="1701" w:type="dxa"/>
            <w:vAlign w:val="center"/>
          </w:tcPr>
          <w:p w14:paraId="7556597D" w14:textId="77777777" w:rsidR="00454A29" w:rsidRDefault="00454A29">
            <w:pPr>
              <w:pStyle w:val="ConsPlusNormal"/>
              <w:jc w:val="center"/>
            </w:pPr>
            <w:r>
              <w:t>0,00</w:t>
            </w:r>
          </w:p>
        </w:tc>
        <w:tc>
          <w:tcPr>
            <w:tcW w:w="1701" w:type="dxa"/>
            <w:vAlign w:val="center"/>
          </w:tcPr>
          <w:p w14:paraId="0CB40CCB" w14:textId="77777777" w:rsidR="00454A29" w:rsidRDefault="00454A29">
            <w:pPr>
              <w:pStyle w:val="ConsPlusNormal"/>
              <w:jc w:val="center"/>
            </w:pPr>
            <w:r>
              <w:t>0,00</w:t>
            </w:r>
          </w:p>
        </w:tc>
        <w:tc>
          <w:tcPr>
            <w:tcW w:w="1701" w:type="dxa"/>
            <w:vAlign w:val="center"/>
          </w:tcPr>
          <w:p w14:paraId="725B8F4D" w14:textId="77777777" w:rsidR="00454A29" w:rsidRDefault="00454A29">
            <w:pPr>
              <w:pStyle w:val="ConsPlusNormal"/>
              <w:jc w:val="center"/>
            </w:pPr>
            <w:r>
              <w:t>0,00</w:t>
            </w:r>
          </w:p>
        </w:tc>
        <w:tc>
          <w:tcPr>
            <w:tcW w:w="1701" w:type="dxa"/>
            <w:vAlign w:val="center"/>
          </w:tcPr>
          <w:p w14:paraId="3D9568B8" w14:textId="77777777" w:rsidR="00454A29" w:rsidRDefault="00454A29">
            <w:pPr>
              <w:pStyle w:val="ConsPlusNormal"/>
              <w:jc w:val="center"/>
            </w:pPr>
            <w:r>
              <w:t>0,00</w:t>
            </w:r>
          </w:p>
        </w:tc>
        <w:tc>
          <w:tcPr>
            <w:tcW w:w="1701" w:type="dxa"/>
            <w:vAlign w:val="center"/>
          </w:tcPr>
          <w:p w14:paraId="27DF3C7A" w14:textId="77777777" w:rsidR="00454A29" w:rsidRDefault="00454A29">
            <w:pPr>
              <w:pStyle w:val="ConsPlusNormal"/>
              <w:jc w:val="center"/>
            </w:pPr>
            <w:r>
              <w:t>0,00</w:t>
            </w:r>
          </w:p>
        </w:tc>
      </w:tr>
      <w:tr w:rsidR="00454A29" w14:paraId="7FEB3A31" w14:textId="77777777">
        <w:tc>
          <w:tcPr>
            <w:tcW w:w="964" w:type="dxa"/>
            <w:vMerge/>
          </w:tcPr>
          <w:p w14:paraId="742621E7" w14:textId="77777777" w:rsidR="00454A29" w:rsidRDefault="00454A29"/>
        </w:tc>
        <w:tc>
          <w:tcPr>
            <w:tcW w:w="2154" w:type="dxa"/>
            <w:vMerge/>
            <w:tcBorders>
              <w:top w:val="nil"/>
              <w:bottom w:val="nil"/>
            </w:tcBorders>
          </w:tcPr>
          <w:p w14:paraId="75EF901A" w14:textId="77777777" w:rsidR="00454A29" w:rsidRDefault="00454A29"/>
        </w:tc>
        <w:tc>
          <w:tcPr>
            <w:tcW w:w="2154" w:type="dxa"/>
            <w:vMerge/>
            <w:tcBorders>
              <w:top w:val="nil"/>
              <w:bottom w:val="nil"/>
            </w:tcBorders>
          </w:tcPr>
          <w:p w14:paraId="027838F3" w14:textId="77777777" w:rsidR="00454A29" w:rsidRDefault="00454A29"/>
        </w:tc>
        <w:tc>
          <w:tcPr>
            <w:tcW w:w="2665" w:type="dxa"/>
            <w:vMerge/>
            <w:tcBorders>
              <w:top w:val="nil"/>
              <w:bottom w:val="nil"/>
            </w:tcBorders>
          </w:tcPr>
          <w:p w14:paraId="592D6D5C" w14:textId="77777777" w:rsidR="00454A29" w:rsidRDefault="00454A29"/>
        </w:tc>
        <w:tc>
          <w:tcPr>
            <w:tcW w:w="2665" w:type="dxa"/>
            <w:vMerge/>
            <w:tcBorders>
              <w:top w:val="nil"/>
              <w:bottom w:val="nil"/>
            </w:tcBorders>
          </w:tcPr>
          <w:p w14:paraId="3EC94D46" w14:textId="77777777" w:rsidR="00454A29" w:rsidRDefault="00454A29"/>
        </w:tc>
        <w:tc>
          <w:tcPr>
            <w:tcW w:w="1928" w:type="dxa"/>
            <w:vMerge/>
          </w:tcPr>
          <w:p w14:paraId="4BA641A8" w14:textId="77777777" w:rsidR="00454A29" w:rsidRDefault="00454A29"/>
        </w:tc>
        <w:tc>
          <w:tcPr>
            <w:tcW w:w="1644" w:type="dxa"/>
            <w:vMerge/>
          </w:tcPr>
          <w:p w14:paraId="4431B1F5" w14:textId="77777777" w:rsidR="00454A29" w:rsidRDefault="00454A29"/>
        </w:tc>
        <w:tc>
          <w:tcPr>
            <w:tcW w:w="2041" w:type="dxa"/>
            <w:vMerge/>
          </w:tcPr>
          <w:p w14:paraId="4184DB5F" w14:textId="77777777" w:rsidR="00454A29" w:rsidRDefault="00454A29"/>
        </w:tc>
        <w:tc>
          <w:tcPr>
            <w:tcW w:w="2098" w:type="dxa"/>
            <w:vAlign w:val="center"/>
          </w:tcPr>
          <w:p w14:paraId="20E09D69"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64038D13" w14:textId="77777777" w:rsidR="00454A29" w:rsidRDefault="00454A29">
            <w:pPr>
              <w:pStyle w:val="ConsPlusNormal"/>
              <w:jc w:val="center"/>
            </w:pPr>
            <w:r>
              <w:t>0,00</w:t>
            </w:r>
          </w:p>
        </w:tc>
        <w:tc>
          <w:tcPr>
            <w:tcW w:w="1701" w:type="dxa"/>
            <w:vAlign w:val="center"/>
          </w:tcPr>
          <w:p w14:paraId="7747FA20" w14:textId="77777777" w:rsidR="00454A29" w:rsidRDefault="00454A29">
            <w:pPr>
              <w:pStyle w:val="ConsPlusNormal"/>
              <w:jc w:val="center"/>
            </w:pPr>
            <w:r>
              <w:t>0,00</w:t>
            </w:r>
          </w:p>
        </w:tc>
        <w:tc>
          <w:tcPr>
            <w:tcW w:w="1701" w:type="dxa"/>
            <w:vAlign w:val="center"/>
          </w:tcPr>
          <w:p w14:paraId="1F5390DE" w14:textId="77777777" w:rsidR="00454A29" w:rsidRDefault="00454A29">
            <w:pPr>
              <w:pStyle w:val="ConsPlusNormal"/>
              <w:jc w:val="center"/>
            </w:pPr>
            <w:r>
              <w:t>0,00</w:t>
            </w:r>
          </w:p>
        </w:tc>
        <w:tc>
          <w:tcPr>
            <w:tcW w:w="1701" w:type="dxa"/>
            <w:vAlign w:val="center"/>
          </w:tcPr>
          <w:p w14:paraId="63E95635" w14:textId="77777777" w:rsidR="00454A29" w:rsidRDefault="00454A29">
            <w:pPr>
              <w:pStyle w:val="ConsPlusNormal"/>
              <w:jc w:val="center"/>
            </w:pPr>
            <w:r>
              <w:t>0,00</w:t>
            </w:r>
          </w:p>
        </w:tc>
        <w:tc>
          <w:tcPr>
            <w:tcW w:w="1701" w:type="dxa"/>
            <w:vAlign w:val="center"/>
          </w:tcPr>
          <w:p w14:paraId="099D2CFD" w14:textId="77777777" w:rsidR="00454A29" w:rsidRDefault="00454A29">
            <w:pPr>
              <w:pStyle w:val="ConsPlusNormal"/>
              <w:jc w:val="center"/>
            </w:pPr>
            <w:r>
              <w:t>0,00</w:t>
            </w:r>
          </w:p>
        </w:tc>
        <w:tc>
          <w:tcPr>
            <w:tcW w:w="1701" w:type="dxa"/>
            <w:vAlign w:val="center"/>
          </w:tcPr>
          <w:p w14:paraId="6DD39171" w14:textId="77777777" w:rsidR="00454A29" w:rsidRDefault="00454A29">
            <w:pPr>
              <w:pStyle w:val="ConsPlusNormal"/>
              <w:jc w:val="center"/>
            </w:pPr>
            <w:r>
              <w:t>0,00</w:t>
            </w:r>
          </w:p>
        </w:tc>
        <w:tc>
          <w:tcPr>
            <w:tcW w:w="1701" w:type="dxa"/>
            <w:vAlign w:val="center"/>
          </w:tcPr>
          <w:p w14:paraId="687F8A58" w14:textId="77777777" w:rsidR="00454A29" w:rsidRDefault="00454A29">
            <w:pPr>
              <w:pStyle w:val="ConsPlusNormal"/>
              <w:jc w:val="center"/>
            </w:pPr>
            <w:r>
              <w:t>0,00</w:t>
            </w:r>
          </w:p>
        </w:tc>
      </w:tr>
      <w:tr w:rsidR="00454A29" w14:paraId="1425DA27" w14:textId="77777777">
        <w:tc>
          <w:tcPr>
            <w:tcW w:w="964" w:type="dxa"/>
            <w:vMerge/>
          </w:tcPr>
          <w:p w14:paraId="7E245D09" w14:textId="77777777" w:rsidR="00454A29" w:rsidRDefault="00454A29"/>
        </w:tc>
        <w:tc>
          <w:tcPr>
            <w:tcW w:w="2154" w:type="dxa"/>
            <w:vMerge/>
            <w:tcBorders>
              <w:top w:val="nil"/>
              <w:bottom w:val="nil"/>
            </w:tcBorders>
          </w:tcPr>
          <w:p w14:paraId="5412308F" w14:textId="77777777" w:rsidR="00454A29" w:rsidRDefault="00454A29"/>
        </w:tc>
        <w:tc>
          <w:tcPr>
            <w:tcW w:w="2154" w:type="dxa"/>
            <w:vMerge/>
            <w:tcBorders>
              <w:top w:val="nil"/>
              <w:bottom w:val="nil"/>
            </w:tcBorders>
          </w:tcPr>
          <w:p w14:paraId="58DDB564" w14:textId="77777777" w:rsidR="00454A29" w:rsidRDefault="00454A29"/>
        </w:tc>
        <w:tc>
          <w:tcPr>
            <w:tcW w:w="2665" w:type="dxa"/>
            <w:vMerge/>
            <w:tcBorders>
              <w:top w:val="nil"/>
              <w:bottom w:val="nil"/>
            </w:tcBorders>
          </w:tcPr>
          <w:p w14:paraId="4C849631" w14:textId="77777777" w:rsidR="00454A29" w:rsidRDefault="00454A29"/>
        </w:tc>
        <w:tc>
          <w:tcPr>
            <w:tcW w:w="2665" w:type="dxa"/>
            <w:vMerge/>
            <w:tcBorders>
              <w:top w:val="nil"/>
              <w:bottom w:val="nil"/>
            </w:tcBorders>
          </w:tcPr>
          <w:p w14:paraId="1582BFFA" w14:textId="77777777" w:rsidR="00454A29" w:rsidRDefault="00454A29"/>
        </w:tc>
        <w:tc>
          <w:tcPr>
            <w:tcW w:w="1928" w:type="dxa"/>
            <w:vMerge/>
          </w:tcPr>
          <w:p w14:paraId="540B9C0E" w14:textId="77777777" w:rsidR="00454A29" w:rsidRDefault="00454A29"/>
        </w:tc>
        <w:tc>
          <w:tcPr>
            <w:tcW w:w="1644" w:type="dxa"/>
            <w:vMerge/>
          </w:tcPr>
          <w:p w14:paraId="5C6EB4CD" w14:textId="77777777" w:rsidR="00454A29" w:rsidRDefault="00454A29"/>
        </w:tc>
        <w:tc>
          <w:tcPr>
            <w:tcW w:w="2041" w:type="dxa"/>
            <w:vMerge/>
          </w:tcPr>
          <w:p w14:paraId="1E1B1602" w14:textId="77777777" w:rsidR="00454A29" w:rsidRDefault="00454A29"/>
        </w:tc>
        <w:tc>
          <w:tcPr>
            <w:tcW w:w="2098" w:type="dxa"/>
            <w:vAlign w:val="center"/>
          </w:tcPr>
          <w:p w14:paraId="10281608" w14:textId="77777777" w:rsidR="00454A29" w:rsidRDefault="00454A29">
            <w:pPr>
              <w:pStyle w:val="ConsPlusNormal"/>
              <w:jc w:val="center"/>
            </w:pPr>
            <w:r>
              <w:t>Федеральный бюджет</w:t>
            </w:r>
          </w:p>
        </w:tc>
        <w:tc>
          <w:tcPr>
            <w:tcW w:w="1814" w:type="dxa"/>
            <w:vAlign w:val="center"/>
          </w:tcPr>
          <w:p w14:paraId="6CE1F96F" w14:textId="77777777" w:rsidR="00454A29" w:rsidRDefault="00454A29">
            <w:pPr>
              <w:pStyle w:val="ConsPlusNormal"/>
              <w:jc w:val="center"/>
            </w:pPr>
            <w:r>
              <w:t>0,00</w:t>
            </w:r>
          </w:p>
        </w:tc>
        <w:tc>
          <w:tcPr>
            <w:tcW w:w="1701" w:type="dxa"/>
            <w:vAlign w:val="center"/>
          </w:tcPr>
          <w:p w14:paraId="342B10EF" w14:textId="77777777" w:rsidR="00454A29" w:rsidRDefault="00454A29">
            <w:pPr>
              <w:pStyle w:val="ConsPlusNormal"/>
              <w:jc w:val="center"/>
            </w:pPr>
            <w:r>
              <w:t>0,00</w:t>
            </w:r>
          </w:p>
        </w:tc>
        <w:tc>
          <w:tcPr>
            <w:tcW w:w="1701" w:type="dxa"/>
            <w:vAlign w:val="center"/>
          </w:tcPr>
          <w:p w14:paraId="7335732B" w14:textId="77777777" w:rsidR="00454A29" w:rsidRDefault="00454A29">
            <w:pPr>
              <w:pStyle w:val="ConsPlusNormal"/>
              <w:jc w:val="center"/>
            </w:pPr>
            <w:r>
              <w:t>0,00</w:t>
            </w:r>
          </w:p>
        </w:tc>
        <w:tc>
          <w:tcPr>
            <w:tcW w:w="1701" w:type="dxa"/>
            <w:vAlign w:val="center"/>
          </w:tcPr>
          <w:p w14:paraId="64902A5C" w14:textId="77777777" w:rsidR="00454A29" w:rsidRDefault="00454A29">
            <w:pPr>
              <w:pStyle w:val="ConsPlusNormal"/>
              <w:jc w:val="center"/>
            </w:pPr>
            <w:r>
              <w:t>0,00</w:t>
            </w:r>
          </w:p>
        </w:tc>
        <w:tc>
          <w:tcPr>
            <w:tcW w:w="1701" w:type="dxa"/>
            <w:vAlign w:val="center"/>
          </w:tcPr>
          <w:p w14:paraId="09B60170" w14:textId="77777777" w:rsidR="00454A29" w:rsidRDefault="00454A29">
            <w:pPr>
              <w:pStyle w:val="ConsPlusNormal"/>
              <w:jc w:val="center"/>
            </w:pPr>
            <w:r>
              <w:t>0,00</w:t>
            </w:r>
          </w:p>
        </w:tc>
        <w:tc>
          <w:tcPr>
            <w:tcW w:w="1701" w:type="dxa"/>
            <w:vAlign w:val="center"/>
          </w:tcPr>
          <w:p w14:paraId="2661DC63" w14:textId="77777777" w:rsidR="00454A29" w:rsidRDefault="00454A29">
            <w:pPr>
              <w:pStyle w:val="ConsPlusNormal"/>
              <w:jc w:val="center"/>
            </w:pPr>
            <w:r>
              <w:t>0,00</w:t>
            </w:r>
          </w:p>
        </w:tc>
        <w:tc>
          <w:tcPr>
            <w:tcW w:w="1701" w:type="dxa"/>
            <w:vAlign w:val="center"/>
          </w:tcPr>
          <w:p w14:paraId="13508C5F" w14:textId="77777777" w:rsidR="00454A29" w:rsidRDefault="00454A29">
            <w:pPr>
              <w:pStyle w:val="ConsPlusNormal"/>
              <w:jc w:val="center"/>
            </w:pPr>
            <w:r>
              <w:t>0,00</w:t>
            </w:r>
          </w:p>
        </w:tc>
      </w:tr>
      <w:tr w:rsidR="00454A29" w14:paraId="77DF9FA1" w14:textId="77777777">
        <w:tc>
          <w:tcPr>
            <w:tcW w:w="964" w:type="dxa"/>
            <w:vMerge/>
          </w:tcPr>
          <w:p w14:paraId="0B2EC225" w14:textId="77777777" w:rsidR="00454A29" w:rsidRDefault="00454A29"/>
        </w:tc>
        <w:tc>
          <w:tcPr>
            <w:tcW w:w="2154" w:type="dxa"/>
            <w:vMerge/>
            <w:tcBorders>
              <w:top w:val="nil"/>
              <w:bottom w:val="nil"/>
            </w:tcBorders>
          </w:tcPr>
          <w:p w14:paraId="1BDAACDB" w14:textId="77777777" w:rsidR="00454A29" w:rsidRDefault="00454A29"/>
        </w:tc>
        <w:tc>
          <w:tcPr>
            <w:tcW w:w="2154" w:type="dxa"/>
            <w:vMerge/>
            <w:tcBorders>
              <w:top w:val="nil"/>
              <w:bottom w:val="nil"/>
            </w:tcBorders>
          </w:tcPr>
          <w:p w14:paraId="2F2615DE" w14:textId="77777777" w:rsidR="00454A29" w:rsidRDefault="00454A29"/>
        </w:tc>
        <w:tc>
          <w:tcPr>
            <w:tcW w:w="2665" w:type="dxa"/>
            <w:vMerge/>
            <w:tcBorders>
              <w:top w:val="nil"/>
              <w:bottom w:val="nil"/>
            </w:tcBorders>
          </w:tcPr>
          <w:p w14:paraId="6321A3FD" w14:textId="77777777" w:rsidR="00454A29" w:rsidRDefault="00454A29"/>
        </w:tc>
        <w:tc>
          <w:tcPr>
            <w:tcW w:w="2665" w:type="dxa"/>
            <w:vMerge/>
            <w:tcBorders>
              <w:top w:val="nil"/>
              <w:bottom w:val="nil"/>
            </w:tcBorders>
          </w:tcPr>
          <w:p w14:paraId="1C9CFF8C" w14:textId="77777777" w:rsidR="00454A29" w:rsidRDefault="00454A29"/>
        </w:tc>
        <w:tc>
          <w:tcPr>
            <w:tcW w:w="1928" w:type="dxa"/>
            <w:vMerge/>
          </w:tcPr>
          <w:p w14:paraId="4E046125" w14:textId="77777777" w:rsidR="00454A29" w:rsidRDefault="00454A29"/>
        </w:tc>
        <w:tc>
          <w:tcPr>
            <w:tcW w:w="1644" w:type="dxa"/>
            <w:vMerge/>
          </w:tcPr>
          <w:p w14:paraId="190FA6A1" w14:textId="77777777" w:rsidR="00454A29" w:rsidRDefault="00454A29"/>
        </w:tc>
        <w:tc>
          <w:tcPr>
            <w:tcW w:w="2041" w:type="dxa"/>
            <w:vMerge/>
          </w:tcPr>
          <w:p w14:paraId="08782E55" w14:textId="77777777" w:rsidR="00454A29" w:rsidRDefault="00454A29"/>
        </w:tc>
        <w:tc>
          <w:tcPr>
            <w:tcW w:w="2098" w:type="dxa"/>
            <w:vAlign w:val="center"/>
          </w:tcPr>
          <w:p w14:paraId="05961D11" w14:textId="77777777" w:rsidR="00454A29" w:rsidRDefault="00454A29">
            <w:pPr>
              <w:pStyle w:val="ConsPlusNormal"/>
              <w:jc w:val="center"/>
            </w:pPr>
            <w:r>
              <w:t>Местные бюджеты</w:t>
            </w:r>
          </w:p>
        </w:tc>
        <w:tc>
          <w:tcPr>
            <w:tcW w:w="1814" w:type="dxa"/>
            <w:vAlign w:val="center"/>
          </w:tcPr>
          <w:p w14:paraId="6AE5D2C4" w14:textId="77777777" w:rsidR="00454A29" w:rsidRDefault="00454A29">
            <w:pPr>
              <w:pStyle w:val="ConsPlusNormal"/>
              <w:jc w:val="center"/>
            </w:pPr>
            <w:r>
              <w:t>0,00</w:t>
            </w:r>
          </w:p>
        </w:tc>
        <w:tc>
          <w:tcPr>
            <w:tcW w:w="1701" w:type="dxa"/>
            <w:vAlign w:val="center"/>
          </w:tcPr>
          <w:p w14:paraId="0DD38EE2" w14:textId="77777777" w:rsidR="00454A29" w:rsidRDefault="00454A29">
            <w:pPr>
              <w:pStyle w:val="ConsPlusNormal"/>
              <w:jc w:val="center"/>
            </w:pPr>
            <w:r>
              <w:t>0,00</w:t>
            </w:r>
          </w:p>
        </w:tc>
        <w:tc>
          <w:tcPr>
            <w:tcW w:w="1701" w:type="dxa"/>
            <w:vAlign w:val="center"/>
          </w:tcPr>
          <w:p w14:paraId="081D3A50" w14:textId="77777777" w:rsidR="00454A29" w:rsidRDefault="00454A29">
            <w:pPr>
              <w:pStyle w:val="ConsPlusNormal"/>
              <w:jc w:val="center"/>
            </w:pPr>
            <w:r>
              <w:t>0,00</w:t>
            </w:r>
          </w:p>
        </w:tc>
        <w:tc>
          <w:tcPr>
            <w:tcW w:w="1701" w:type="dxa"/>
            <w:vAlign w:val="center"/>
          </w:tcPr>
          <w:p w14:paraId="6452CA1B" w14:textId="77777777" w:rsidR="00454A29" w:rsidRDefault="00454A29">
            <w:pPr>
              <w:pStyle w:val="ConsPlusNormal"/>
              <w:jc w:val="center"/>
            </w:pPr>
            <w:r>
              <w:t>0,00</w:t>
            </w:r>
          </w:p>
        </w:tc>
        <w:tc>
          <w:tcPr>
            <w:tcW w:w="1701" w:type="dxa"/>
            <w:vAlign w:val="center"/>
          </w:tcPr>
          <w:p w14:paraId="57204CBE" w14:textId="77777777" w:rsidR="00454A29" w:rsidRDefault="00454A29">
            <w:pPr>
              <w:pStyle w:val="ConsPlusNormal"/>
              <w:jc w:val="center"/>
            </w:pPr>
            <w:r>
              <w:t>0,00</w:t>
            </w:r>
          </w:p>
        </w:tc>
        <w:tc>
          <w:tcPr>
            <w:tcW w:w="1701" w:type="dxa"/>
            <w:vAlign w:val="center"/>
          </w:tcPr>
          <w:p w14:paraId="0D2CF430" w14:textId="77777777" w:rsidR="00454A29" w:rsidRDefault="00454A29">
            <w:pPr>
              <w:pStyle w:val="ConsPlusNormal"/>
              <w:jc w:val="center"/>
            </w:pPr>
            <w:r>
              <w:t>0,00</w:t>
            </w:r>
          </w:p>
        </w:tc>
        <w:tc>
          <w:tcPr>
            <w:tcW w:w="1701" w:type="dxa"/>
            <w:vAlign w:val="center"/>
          </w:tcPr>
          <w:p w14:paraId="10A07CC7" w14:textId="77777777" w:rsidR="00454A29" w:rsidRDefault="00454A29">
            <w:pPr>
              <w:pStyle w:val="ConsPlusNormal"/>
              <w:jc w:val="center"/>
            </w:pPr>
            <w:r>
              <w:t>0,00</w:t>
            </w:r>
          </w:p>
        </w:tc>
      </w:tr>
      <w:tr w:rsidR="00454A29" w14:paraId="1936ED14" w14:textId="77777777">
        <w:tc>
          <w:tcPr>
            <w:tcW w:w="964" w:type="dxa"/>
            <w:vMerge/>
          </w:tcPr>
          <w:p w14:paraId="58FBCC50" w14:textId="77777777" w:rsidR="00454A29" w:rsidRDefault="00454A29"/>
        </w:tc>
        <w:tc>
          <w:tcPr>
            <w:tcW w:w="2154" w:type="dxa"/>
            <w:vMerge/>
            <w:tcBorders>
              <w:top w:val="nil"/>
              <w:bottom w:val="nil"/>
            </w:tcBorders>
          </w:tcPr>
          <w:p w14:paraId="4ED9F766" w14:textId="77777777" w:rsidR="00454A29" w:rsidRDefault="00454A29"/>
        </w:tc>
        <w:tc>
          <w:tcPr>
            <w:tcW w:w="2154" w:type="dxa"/>
            <w:vMerge/>
            <w:tcBorders>
              <w:top w:val="nil"/>
              <w:bottom w:val="nil"/>
            </w:tcBorders>
          </w:tcPr>
          <w:p w14:paraId="1AF4D1D5" w14:textId="77777777" w:rsidR="00454A29" w:rsidRDefault="00454A29"/>
        </w:tc>
        <w:tc>
          <w:tcPr>
            <w:tcW w:w="2665" w:type="dxa"/>
            <w:vMerge/>
            <w:tcBorders>
              <w:top w:val="nil"/>
              <w:bottom w:val="nil"/>
            </w:tcBorders>
          </w:tcPr>
          <w:p w14:paraId="3D22A0AF" w14:textId="77777777" w:rsidR="00454A29" w:rsidRDefault="00454A29"/>
        </w:tc>
        <w:tc>
          <w:tcPr>
            <w:tcW w:w="2665" w:type="dxa"/>
            <w:vMerge/>
            <w:tcBorders>
              <w:top w:val="nil"/>
              <w:bottom w:val="nil"/>
            </w:tcBorders>
          </w:tcPr>
          <w:p w14:paraId="747B3E46" w14:textId="77777777" w:rsidR="00454A29" w:rsidRDefault="00454A29"/>
        </w:tc>
        <w:tc>
          <w:tcPr>
            <w:tcW w:w="1928" w:type="dxa"/>
            <w:vMerge/>
          </w:tcPr>
          <w:p w14:paraId="3711086E" w14:textId="77777777" w:rsidR="00454A29" w:rsidRDefault="00454A29"/>
        </w:tc>
        <w:tc>
          <w:tcPr>
            <w:tcW w:w="1644" w:type="dxa"/>
            <w:vMerge/>
          </w:tcPr>
          <w:p w14:paraId="237D2753" w14:textId="77777777" w:rsidR="00454A29" w:rsidRDefault="00454A29"/>
        </w:tc>
        <w:tc>
          <w:tcPr>
            <w:tcW w:w="2041" w:type="dxa"/>
            <w:vMerge/>
          </w:tcPr>
          <w:p w14:paraId="135A59F2" w14:textId="77777777" w:rsidR="00454A29" w:rsidRDefault="00454A29"/>
        </w:tc>
        <w:tc>
          <w:tcPr>
            <w:tcW w:w="2098" w:type="dxa"/>
            <w:vAlign w:val="center"/>
          </w:tcPr>
          <w:p w14:paraId="0C3954A3" w14:textId="77777777" w:rsidR="00454A29" w:rsidRDefault="00454A29">
            <w:pPr>
              <w:pStyle w:val="ConsPlusNormal"/>
              <w:jc w:val="center"/>
            </w:pPr>
            <w:r>
              <w:t>Внебюджетные средства</w:t>
            </w:r>
          </w:p>
        </w:tc>
        <w:tc>
          <w:tcPr>
            <w:tcW w:w="1814" w:type="dxa"/>
            <w:vAlign w:val="center"/>
          </w:tcPr>
          <w:p w14:paraId="0E709BC7" w14:textId="77777777" w:rsidR="00454A29" w:rsidRDefault="00454A29">
            <w:pPr>
              <w:pStyle w:val="ConsPlusNormal"/>
              <w:jc w:val="center"/>
            </w:pPr>
            <w:r>
              <w:t>0,00</w:t>
            </w:r>
          </w:p>
        </w:tc>
        <w:tc>
          <w:tcPr>
            <w:tcW w:w="1701" w:type="dxa"/>
            <w:vAlign w:val="center"/>
          </w:tcPr>
          <w:p w14:paraId="1114DB5E" w14:textId="77777777" w:rsidR="00454A29" w:rsidRDefault="00454A29">
            <w:pPr>
              <w:pStyle w:val="ConsPlusNormal"/>
              <w:jc w:val="center"/>
            </w:pPr>
            <w:r>
              <w:t>0,00</w:t>
            </w:r>
          </w:p>
        </w:tc>
        <w:tc>
          <w:tcPr>
            <w:tcW w:w="1701" w:type="dxa"/>
            <w:vAlign w:val="center"/>
          </w:tcPr>
          <w:p w14:paraId="68304FDB" w14:textId="77777777" w:rsidR="00454A29" w:rsidRDefault="00454A29">
            <w:pPr>
              <w:pStyle w:val="ConsPlusNormal"/>
              <w:jc w:val="center"/>
            </w:pPr>
            <w:r>
              <w:t>0,00</w:t>
            </w:r>
          </w:p>
        </w:tc>
        <w:tc>
          <w:tcPr>
            <w:tcW w:w="1701" w:type="dxa"/>
            <w:vAlign w:val="center"/>
          </w:tcPr>
          <w:p w14:paraId="207472EE" w14:textId="77777777" w:rsidR="00454A29" w:rsidRDefault="00454A29">
            <w:pPr>
              <w:pStyle w:val="ConsPlusNormal"/>
              <w:jc w:val="center"/>
            </w:pPr>
            <w:r>
              <w:t>0,00</w:t>
            </w:r>
          </w:p>
        </w:tc>
        <w:tc>
          <w:tcPr>
            <w:tcW w:w="1701" w:type="dxa"/>
            <w:vAlign w:val="center"/>
          </w:tcPr>
          <w:p w14:paraId="2E69DD4B" w14:textId="77777777" w:rsidR="00454A29" w:rsidRDefault="00454A29">
            <w:pPr>
              <w:pStyle w:val="ConsPlusNormal"/>
              <w:jc w:val="center"/>
            </w:pPr>
            <w:r>
              <w:t>0,00</w:t>
            </w:r>
          </w:p>
        </w:tc>
        <w:tc>
          <w:tcPr>
            <w:tcW w:w="1701" w:type="dxa"/>
            <w:vAlign w:val="center"/>
          </w:tcPr>
          <w:p w14:paraId="2E5B4F01" w14:textId="77777777" w:rsidR="00454A29" w:rsidRDefault="00454A29">
            <w:pPr>
              <w:pStyle w:val="ConsPlusNormal"/>
              <w:jc w:val="center"/>
            </w:pPr>
            <w:r>
              <w:t>0,00</w:t>
            </w:r>
          </w:p>
        </w:tc>
        <w:tc>
          <w:tcPr>
            <w:tcW w:w="1701" w:type="dxa"/>
            <w:vAlign w:val="center"/>
          </w:tcPr>
          <w:p w14:paraId="7FF29B26" w14:textId="77777777" w:rsidR="00454A29" w:rsidRDefault="00454A29">
            <w:pPr>
              <w:pStyle w:val="ConsPlusNormal"/>
              <w:jc w:val="center"/>
            </w:pPr>
            <w:r>
              <w:t>0,00</w:t>
            </w:r>
          </w:p>
        </w:tc>
      </w:tr>
      <w:tr w:rsidR="00454A29" w14:paraId="6DF469AF" w14:textId="77777777">
        <w:tc>
          <w:tcPr>
            <w:tcW w:w="964" w:type="dxa"/>
            <w:vMerge w:val="restart"/>
            <w:vAlign w:val="center"/>
          </w:tcPr>
          <w:p w14:paraId="6B31DDDF" w14:textId="77777777" w:rsidR="00454A29" w:rsidRDefault="00454A29">
            <w:pPr>
              <w:pStyle w:val="ConsPlusNormal"/>
              <w:jc w:val="center"/>
            </w:pPr>
            <w:r>
              <w:t>11.1.12.</w:t>
            </w:r>
          </w:p>
        </w:tc>
        <w:tc>
          <w:tcPr>
            <w:tcW w:w="2154" w:type="dxa"/>
            <w:vMerge w:val="restart"/>
            <w:tcBorders>
              <w:top w:val="nil"/>
              <w:bottom w:val="nil"/>
            </w:tcBorders>
            <w:vAlign w:val="center"/>
          </w:tcPr>
          <w:p w14:paraId="7319AA65" w14:textId="77777777" w:rsidR="00454A29" w:rsidRDefault="00454A29">
            <w:pPr>
              <w:pStyle w:val="ConsPlusNormal"/>
            </w:pPr>
          </w:p>
        </w:tc>
        <w:tc>
          <w:tcPr>
            <w:tcW w:w="2154" w:type="dxa"/>
            <w:vMerge w:val="restart"/>
            <w:tcBorders>
              <w:top w:val="nil"/>
              <w:bottom w:val="nil"/>
            </w:tcBorders>
            <w:vAlign w:val="center"/>
          </w:tcPr>
          <w:p w14:paraId="3AAAE498" w14:textId="77777777" w:rsidR="00454A29" w:rsidRDefault="00454A29">
            <w:pPr>
              <w:pStyle w:val="ConsPlusNormal"/>
            </w:pPr>
          </w:p>
        </w:tc>
        <w:tc>
          <w:tcPr>
            <w:tcW w:w="2665" w:type="dxa"/>
            <w:vMerge w:val="restart"/>
            <w:tcBorders>
              <w:top w:val="nil"/>
            </w:tcBorders>
            <w:vAlign w:val="center"/>
          </w:tcPr>
          <w:p w14:paraId="49107775" w14:textId="77777777" w:rsidR="00454A29" w:rsidRDefault="00454A29">
            <w:pPr>
              <w:pStyle w:val="ConsPlusNormal"/>
            </w:pPr>
          </w:p>
        </w:tc>
        <w:tc>
          <w:tcPr>
            <w:tcW w:w="2665" w:type="dxa"/>
            <w:vMerge w:val="restart"/>
            <w:tcBorders>
              <w:top w:val="nil"/>
            </w:tcBorders>
            <w:vAlign w:val="center"/>
          </w:tcPr>
          <w:p w14:paraId="17C38DFC" w14:textId="77777777" w:rsidR="00454A29" w:rsidRDefault="00454A29">
            <w:pPr>
              <w:pStyle w:val="ConsPlusNormal"/>
            </w:pPr>
          </w:p>
        </w:tc>
        <w:tc>
          <w:tcPr>
            <w:tcW w:w="1928" w:type="dxa"/>
            <w:vMerge w:val="restart"/>
            <w:vAlign w:val="center"/>
          </w:tcPr>
          <w:p w14:paraId="442AC527" w14:textId="77777777" w:rsidR="00454A29" w:rsidRDefault="00454A29">
            <w:pPr>
              <w:pStyle w:val="ConsPlusNormal"/>
              <w:jc w:val="center"/>
            </w:pPr>
            <w:r>
              <w:t>МР "Томпонский район"</w:t>
            </w:r>
          </w:p>
        </w:tc>
        <w:tc>
          <w:tcPr>
            <w:tcW w:w="1644" w:type="dxa"/>
            <w:vMerge w:val="restart"/>
            <w:vAlign w:val="center"/>
          </w:tcPr>
          <w:p w14:paraId="37DA4362" w14:textId="77777777" w:rsidR="00454A29" w:rsidRDefault="00454A29">
            <w:pPr>
              <w:pStyle w:val="ConsPlusNormal"/>
              <w:jc w:val="center"/>
            </w:pPr>
            <w:r>
              <w:t>с. Тополиное</w:t>
            </w:r>
          </w:p>
        </w:tc>
        <w:tc>
          <w:tcPr>
            <w:tcW w:w="2041" w:type="dxa"/>
            <w:vMerge w:val="restart"/>
            <w:vAlign w:val="center"/>
          </w:tcPr>
          <w:p w14:paraId="4B57D4C0" w14:textId="77777777" w:rsidR="00454A29" w:rsidRDefault="00454A29">
            <w:pPr>
              <w:pStyle w:val="ConsPlusNormal"/>
              <w:jc w:val="center"/>
            </w:pPr>
            <w:r>
              <w:t xml:space="preserve">Приобретение детского сада на 75 </w:t>
            </w:r>
            <w:r>
              <w:lastRenderedPageBreak/>
              <w:t>мест</w:t>
            </w:r>
          </w:p>
        </w:tc>
        <w:tc>
          <w:tcPr>
            <w:tcW w:w="2098" w:type="dxa"/>
            <w:vAlign w:val="center"/>
          </w:tcPr>
          <w:p w14:paraId="0389B4E7" w14:textId="77777777" w:rsidR="00454A29" w:rsidRDefault="00454A29">
            <w:pPr>
              <w:pStyle w:val="ConsPlusNormal"/>
              <w:jc w:val="center"/>
            </w:pPr>
            <w:r>
              <w:lastRenderedPageBreak/>
              <w:t>Итого</w:t>
            </w:r>
          </w:p>
        </w:tc>
        <w:tc>
          <w:tcPr>
            <w:tcW w:w="1814" w:type="dxa"/>
            <w:vAlign w:val="center"/>
          </w:tcPr>
          <w:p w14:paraId="54EDABA7" w14:textId="77777777" w:rsidR="00454A29" w:rsidRDefault="00454A29">
            <w:pPr>
              <w:pStyle w:val="ConsPlusNormal"/>
              <w:jc w:val="center"/>
            </w:pPr>
            <w:r>
              <w:t>0,00</w:t>
            </w:r>
          </w:p>
        </w:tc>
        <w:tc>
          <w:tcPr>
            <w:tcW w:w="1701" w:type="dxa"/>
            <w:vAlign w:val="center"/>
          </w:tcPr>
          <w:p w14:paraId="3CDF062D" w14:textId="77777777" w:rsidR="00454A29" w:rsidRDefault="00454A29">
            <w:pPr>
              <w:pStyle w:val="ConsPlusNormal"/>
              <w:jc w:val="center"/>
            </w:pPr>
            <w:r>
              <w:t>0,00</w:t>
            </w:r>
          </w:p>
        </w:tc>
        <w:tc>
          <w:tcPr>
            <w:tcW w:w="1701" w:type="dxa"/>
            <w:vAlign w:val="center"/>
          </w:tcPr>
          <w:p w14:paraId="52FCC463" w14:textId="77777777" w:rsidR="00454A29" w:rsidRDefault="00454A29">
            <w:pPr>
              <w:pStyle w:val="ConsPlusNormal"/>
              <w:jc w:val="center"/>
            </w:pPr>
            <w:r>
              <w:t>0,00</w:t>
            </w:r>
          </w:p>
        </w:tc>
        <w:tc>
          <w:tcPr>
            <w:tcW w:w="1701" w:type="dxa"/>
            <w:vAlign w:val="center"/>
          </w:tcPr>
          <w:p w14:paraId="4606F437" w14:textId="77777777" w:rsidR="00454A29" w:rsidRDefault="00454A29">
            <w:pPr>
              <w:pStyle w:val="ConsPlusNormal"/>
              <w:jc w:val="center"/>
            </w:pPr>
            <w:r>
              <w:t>0,00</w:t>
            </w:r>
          </w:p>
        </w:tc>
        <w:tc>
          <w:tcPr>
            <w:tcW w:w="1701" w:type="dxa"/>
            <w:vAlign w:val="center"/>
          </w:tcPr>
          <w:p w14:paraId="13D3AB30" w14:textId="77777777" w:rsidR="00454A29" w:rsidRDefault="00454A29">
            <w:pPr>
              <w:pStyle w:val="ConsPlusNormal"/>
              <w:jc w:val="center"/>
            </w:pPr>
            <w:r>
              <w:t>0,00</w:t>
            </w:r>
          </w:p>
        </w:tc>
        <w:tc>
          <w:tcPr>
            <w:tcW w:w="1701" w:type="dxa"/>
            <w:vAlign w:val="center"/>
          </w:tcPr>
          <w:p w14:paraId="3A5B15AC" w14:textId="77777777" w:rsidR="00454A29" w:rsidRDefault="00454A29">
            <w:pPr>
              <w:pStyle w:val="ConsPlusNormal"/>
              <w:jc w:val="center"/>
            </w:pPr>
            <w:r>
              <w:t>0,00</w:t>
            </w:r>
          </w:p>
        </w:tc>
        <w:tc>
          <w:tcPr>
            <w:tcW w:w="1701" w:type="dxa"/>
            <w:vAlign w:val="center"/>
          </w:tcPr>
          <w:p w14:paraId="535B3B07" w14:textId="77777777" w:rsidR="00454A29" w:rsidRDefault="00454A29">
            <w:pPr>
              <w:pStyle w:val="ConsPlusNormal"/>
              <w:jc w:val="center"/>
            </w:pPr>
            <w:r>
              <w:t>0,00</w:t>
            </w:r>
          </w:p>
        </w:tc>
      </w:tr>
      <w:tr w:rsidR="00454A29" w14:paraId="0284546C" w14:textId="77777777">
        <w:tc>
          <w:tcPr>
            <w:tcW w:w="964" w:type="dxa"/>
            <w:vMerge/>
          </w:tcPr>
          <w:p w14:paraId="54875F3A" w14:textId="77777777" w:rsidR="00454A29" w:rsidRDefault="00454A29"/>
        </w:tc>
        <w:tc>
          <w:tcPr>
            <w:tcW w:w="2154" w:type="dxa"/>
            <w:vMerge/>
            <w:tcBorders>
              <w:top w:val="nil"/>
              <w:bottom w:val="nil"/>
            </w:tcBorders>
          </w:tcPr>
          <w:p w14:paraId="685D0943" w14:textId="77777777" w:rsidR="00454A29" w:rsidRDefault="00454A29"/>
        </w:tc>
        <w:tc>
          <w:tcPr>
            <w:tcW w:w="2154" w:type="dxa"/>
            <w:vMerge/>
            <w:tcBorders>
              <w:top w:val="nil"/>
              <w:bottom w:val="nil"/>
            </w:tcBorders>
          </w:tcPr>
          <w:p w14:paraId="54393D55" w14:textId="77777777" w:rsidR="00454A29" w:rsidRDefault="00454A29"/>
        </w:tc>
        <w:tc>
          <w:tcPr>
            <w:tcW w:w="2665" w:type="dxa"/>
            <w:vMerge/>
            <w:tcBorders>
              <w:top w:val="nil"/>
            </w:tcBorders>
          </w:tcPr>
          <w:p w14:paraId="32F2D898" w14:textId="77777777" w:rsidR="00454A29" w:rsidRDefault="00454A29"/>
        </w:tc>
        <w:tc>
          <w:tcPr>
            <w:tcW w:w="2665" w:type="dxa"/>
            <w:vMerge/>
            <w:tcBorders>
              <w:top w:val="nil"/>
            </w:tcBorders>
          </w:tcPr>
          <w:p w14:paraId="296C1C95" w14:textId="77777777" w:rsidR="00454A29" w:rsidRDefault="00454A29"/>
        </w:tc>
        <w:tc>
          <w:tcPr>
            <w:tcW w:w="1928" w:type="dxa"/>
            <w:vMerge/>
          </w:tcPr>
          <w:p w14:paraId="3391400B" w14:textId="77777777" w:rsidR="00454A29" w:rsidRDefault="00454A29"/>
        </w:tc>
        <w:tc>
          <w:tcPr>
            <w:tcW w:w="1644" w:type="dxa"/>
            <w:vMerge/>
          </w:tcPr>
          <w:p w14:paraId="6652BD83" w14:textId="77777777" w:rsidR="00454A29" w:rsidRDefault="00454A29"/>
        </w:tc>
        <w:tc>
          <w:tcPr>
            <w:tcW w:w="2041" w:type="dxa"/>
            <w:vMerge/>
          </w:tcPr>
          <w:p w14:paraId="0F3D2A6D" w14:textId="77777777" w:rsidR="00454A29" w:rsidRDefault="00454A29"/>
        </w:tc>
        <w:tc>
          <w:tcPr>
            <w:tcW w:w="2098" w:type="dxa"/>
            <w:vAlign w:val="center"/>
          </w:tcPr>
          <w:p w14:paraId="3891574A" w14:textId="77777777" w:rsidR="00454A29" w:rsidRDefault="00454A29">
            <w:pPr>
              <w:pStyle w:val="ConsPlusNormal"/>
              <w:jc w:val="center"/>
            </w:pPr>
            <w:r>
              <w:t xml:space="preserve">Государственный </w:t>
            </w:r>
            <w:r>
              <w:lastRenderedPageBreak/>
              <w:t>бюджет Республики Саха (Якутия)</w:t>
            </w:r>
          </w:p>
        </w:tc>
        <w:tc>
          <w:tcPr>
            <w:tcW w:w="1814" w:type="dxa"/>
            <w:vAlign w:val="center"/>
          </w:tcPr>
          <w:p w14:paraId="3ACE747F" w14:textId="77777777" w:rsidR="00454A29" w:rsidRDefault="00454A29">
            <w:pPr>
              <w:pStyle w:val="ConsPlusNormal"/>
              <w:jc w:val="center"/>
            </w:pPr>
            <w:r>
              <w:lastRenderedPageBreak/>
              <w:t>0,00</w:t>
            </w:r>
          </w:p>
        </w:tc>
        <w:tc>
          <w:tcPr>
            <w:tcW w:w="1701" w:type="dxa"/>
            <w:vAlign w:val="center"/>
          </w:tcPr>
          <w:p w14:paraId="1D57F1F9" w14:textId="77777777" w:rsidR="00454A29" w:rsidRDefault="00454A29">
            <w:pPr>
              <w:pStyle w:val="ConsPlusNormal"/>
              <w:jc w:val="center"/>
            </w:pPr>
            <w:r>
              <w:t>0,00</w:t>
            </w:r>
          </w:p>
        </w:tc>
        <w:tc>
          <w:tcPr>
            <w:tcW w:w="1701" w:type="dxa"/>
            <w:vAlign w:val="center"/>
          </w:tcPr>
          <w:p w14:paraId="51EA9C05" w14:textId="77777777" w:rsidR="00454A29" w:rsidRDefault="00454A29">
            <w:pPr>
              <w:pStyle w:val="ConsPlusNormal"/>
              <w:jc w:val="center"/>
            </w:pPr>
            <w:r>
              <w:t>0,00</w:t>
            </w:r>
          </w:p>
        </w:tc>
        <w:tc>
          <w:tcPr>
            <w:tcW w:w="1701" w:type="dxa"/>
            <w:vAlign w:val="center"/>
          </w:tcPr>
          <w:p w14:paraId="30705F5B" w14:textId="77777777" w:rsidR="00454A29" w:rsidRDefault="00454A29">
            <w:pPr>
              <w:pStyle w:val="ConsPlusNormal"/>
              <w:jc w:val="center"/>
            </w:pPr>
            <w:r>
              <w:t>0,00</w:t>
            </w:r>
          </w:p>
        </w:tc>
        <w:tc>
          <w:tcPr>
            <w:tcW w:w="1701" w:type="dxa"/>
            <w:vAlign w:val="center"/>
          </w:tcPr>
          <w:p w14:paraId="62070358" w14:textId="77777777" w:rsidR="00454A29" w:rsidRDefault="00454A29">
            <w:pPr>
              <w:pStyle w:val="ConsPlusNormal"/>
              <w:jc w:val="center"/>
            </w:pPr>
            <w:r>
              <w:t>0,00</w:t>
            </w:r>
          </w:p>
        </w:tc>
        <w:tc>
          <w:tcPr>
            <w:tcW w:w="1701" w:type="dxa"/>
            <w:vAlign w:val="center"/>
          </w:tcPr>
          <w:p w14:paraId="42182647" w14:textId="77777777" w:rsidR="00454A29" w:rsidRDefault="00454A29">
            <w:pPr>
              <w:pStyle w:val="ConsPlusNormal"/>
              <w:jc w:val="center"/>
            </w:pPr>
            <w:r>
              <w:t>0,00</w:t>
            </w:r>
          </w:p>
        </w:tc>
        <w:tc>
          <w:tcPr>
            <w:tcW w:w="1701" w:type="dxa"/>
            <w:vAlign w:val="center"/>
          </w:tcPr>
          <w:p w14:paraId="33814D6E" w14:textId="77777777" w:rsidR="00454A29" w:rsidRDefault="00454A29">
            <w:pPr>
              <w:pStyle w:val="ConsPlusNormal"/>
              <w:jc w:val="center"/>
            </w:pPr>
            <w:r>
              <w:t>0,00</w:t>
            </w:r>
          </w:p>
        </w:tc>
      </w:tr>
      <w:tr w:rsidR="00454A29" w14:paraId="54B24071" w14:textId="77777777">
        <w:tc>
          <w:tcPr>
            <w:tcW w:w="964" w:type="dxa"/>
            <w:vMerge/>
          </w:tcPr>
          <w:p w14:paraId="29A77672" w14:textId="77777777" w:rsidR="00454A29" w:rsidRDefault="00454A29"/>
        </w:tc>
        <w:tc>
          <w:tcPr>
            <w:tcW w:w="2154" w:type="dxa"/>
            <w:vMerge/>
            <w:tcBorders>
              <w:top w:val="nil"/>
              <w:bottom w:val="nil"/>
            </w:tcBorders>
          </w:tcPr>
          <w:p w14:paraId="1877CAA3" w14:textId="77777777" w:rsidR="00454A29" w:rsidRDefault="00454A29"/>
        </w:tc>
        <w:tc>
          <w:tcPr>
            <w:tcW w:w="2154" w:type="dxa"/>
            <w:vMerge/>
            <w:tcBorders>
              <w:top w:val="nil"/>
              <w:bottom w:val="nil"/>
            </w:tcBorders>
          </w:tcPr>
          <w:p w14:paraId="46A583D0" w14:textId="77777777" w:rsidR="00454A29" w:rsidRDefault="00454A29"/>
        </w:tc>
        <w:tc>
          <w:tcPr>
            <w:tcW w:w="2665" w:type="dxa"/>
            <w:vMerge/>
            <w:tcBorders>
              <w:top w:val="nil"/>
            </w:tcBorders>
          </w:tcPr>
          <w:p w14:paraId="56BEB008" w14:textId="77777777" w:rsidR="00454A29" w:rsidRDefault="00454A29"/>
        </w:tc>
        <w:tc>
          <w:tcPr>
            <w:tcW w:w="2665" w:type="dxa"/>
            <w:vMerge/>
            <w:tcBorders>
              <w:top w:val="nil"/>
            </w:tcBorders>
          </w:tcPr>
          <w:p w14:paraId="6C740B34" w14:textId="77777777" w:rsidR="00454A29" w:rsidRDefault="00454A29"/>
        </w:tc>
        <w:tc>
          <w:tcPr>
            <w:tcW w:w="1928" w:type="dxa"/>
            <w:vMerge/>
          </w:tcPr>
          <w:p w14:paraId="3ADEC419" w14:textId="77777777" w:rsidR="00454A29" w:rsidRDefault="00454A29"/>
        </w:tc>
        <w:tc>
          <w:tcPr>
            <w:tcW w:w="1644" w:type="dxa"/>
            <w:vMerge/>
          </w:tcPr>
          <w:p w14:paraId="0F15D6D1" w14:textId="77777777" w:rsidR="00454A29" w:rsidRDefault="00454A29"/>
        </w:tc>
        <w:tc>
          <w:tcPr>
            <w:tcW w:w="2041" w:type="dxa"/>
            <w:vMerge/>
          </w:tcPr>
          <w:p w14:paraId="53DEBA56" w14:textId="77777777" w:rsidR="00454A29" w:rsidRDefault="00454A29"/>
        </w:tc>
        <w:tc>
          <w:tcPr>
            <w:tcW w:w="2098" w:type="dxa"/>
            <w:vAlign w:val="center"/>
          </w:tcPr>
          <w:p w14:paraId="229F47BE" w14:textId="77777777" w:rsidR="00454A29" w:rsidRDefault="00454A29">
            <w:pPr>
              <w:pStyle w:val="ConsPlusNormal"/>
              <w:jc w:val="center"/>
            </w:pPr>
            <w:r>
              <w:t>Федеральный бюджет</w:t>
            </w:r>
          </w:p>
        </w:tc>
        <w:tc>
          <w:tcPr>
            <w:tcW w:w="1814" w:type="dxa"/>
            <w:vAlign w:val="center"/>
          </w:tcPr>
          <w:p w14:paraId="538FF6F9" w14:textId="77777777" w:rsidR="00454A29" w:rsidRDefault="00454A29">
            <w:pPr>
              <w:pStyle w:val="ConsPlusNormal"/>
              <w:jc w:val="center"/>
            </w:pPr>
            <w:r>
              <w:t>0,00</w:t>
            </w:r>
          </w:p>
        </w:tc>
        <w:tc>
          <w:tcPr>
            <w:tcW w:w="1701" w:type="dxa"/>
            <w:vAlign w:val="center"/>
          </w:tcPr>
          <w:p w14:paraId="55029C13" w14:textId="77777777" w:rsidR="00454A29" w:rsidRDefault="00454A29">
            <w:pPr>
              <w:pStyle w:val="ConsPlusNormal"/>
              <w:jc w:val="center"/>
            </w:pPr>
            <w:r>
              <w:t>0,00</w:t>
            </w:r>
          </w:p>
        </w:tc>
        <w:tc>
          <w:tcPr>
            <w:tcW w:w="1701" w:type="dxa"/>
            <w:vAlign w:val="center"/>
          </w:tcPr>
          <w:p w14:paraId="602A7B23" w14:textId="77777777" w:rsidR="00454A29" w:rsidRDefault="00454A29">
            <w:pPr>
              <w:pStyle w:val="ConsPlusNormal"/>
              <w:jc w:val="center"/>
            </w:pPr>
            <w:r>
              <w:t>0,00</w:t>
            </w:r>
          </w:p>
        </w:tc>
        <w:tc>
          <w:tcPr>
            <w:tcW w:w="1701" w:type="dxa"/>
            <w:vAlign w:val="center"/>
          </w:tcPr>
          <w:p w14:paraId="58C2DFAE" w14:textId="77777777" w:rsidR="00454A29" w:rsidRDefault="00454A29">
            <w:pPr>
              <w:pStyle w:val="ConsPlusNormal"/>
              <w:jc w:val="center"/>
            </w:pPr>
            <w:r>
              <w:t>0,00</w:t>
            </w:r>
          </w:p>
        </w:tc>
        <w:tc>
          <w:tcPr>
            <w:tcW w:w="1701" w:type="dxa"/>
            <w:vAlign w:val="center"/>
          </w:tcPr>
          <w:p w14:paraId="470BFA9D" w14:textId="77777777" w:rsidR="00454A29" w:rsidRDefault="00454A29">
            <w:pPr>
              <w:pStyle w:val="ConsPlusNormal"/>
              <w:jc w:val="center"/>
            </w:pPr>
            <w:r>
              <w:t>0,00</w:t>
            </w:r>
          </w:p>
        </w:tc>
        <w:tc>
          <w:tcPr>
            <w:tcW w:w="1701" w:type="dxa"/>
            <w:vAlign w:val="center"/>
          </w:tcPr>
          <w:p w14:paraId="319A4229" w14:textId="77777777" w:rsidR="00454A29" w:rsidRDefault="00454A29">
            <w:pPr>
              <w:pStyle w:val="ConsPlusNormal"/>
              <w:jc w:val="center"/>
            </w:pPr>
            <w:r>
              <w:t>0,00</w:t>
            </w:r>
          </w:p>
        </w:tc>
        <w:tc>
          <w:tcPr>
            <w:tcW w:w="1701" w:type="dxa"/>
            <w:vAlign w:val="center"/>
          </w:tcPr>
          <w:p w14:paraId="05E8F2AB" w14:textId="77777777" w:rsidR="00454A29" w:rsidRDefault="00454A29">
            <w:pPr>
              <w:pStyle w:val="ConsPlusNormal"/>
              <w:jc w:val="center"/>
            </w:pPr>
            <w:r>
              <w:t>0,00</w:t>
            </w:r>
          </w:p>
        </w:tc>
      </w:tr>
      <w:tr w:rsidR="00454A29" w14:paraId="77179376" w14:textId="77777777">
        <w:tc>
          <w:tcPr>
            <w:tcW w:w="964" w:type="dxa"/>
            <w:vMerge/>
          </w:tcPr>
          <w:p w14:paraId="555F2357" w14:textId="77777777" w:rsidR="00454A29" w:rsidRDefault="00454A29"/>
        </w:tc>
        <w:tc>
          <w:tcPr>
            <w:tcW w:w="2154" w:type="dxa"/>
            <w:vMerge/>
            <w:tcBorders>
              <w:top w:val="nil"/>
              <w:bottom w:val="nil"/>
            </w:tcBorders>
          </w:tcPr>
          <w:p w14:paraId="3DDB96D9" w14:textId="77777777" w:rsidR="00454A29" w:rsidRDefault="00454A29"/>
        </w:tc>
        <w:tc>
          <w:tcPr>
            <w:tcW w:w="2154" w:type="dxa"/>
            <w:vMerge/>
            <w:tcBorders>
              <w:top w:val="nil"/>
              <w:bottom w:val="nil"/>
            </w:tcBorders>
          </w:tcPr>
          <w:p w14:paraId="2C36DF4C" w14:textId="77777777" w:rsidR="00454A29" w:rsidRDefault="00454A29"/>
        </w:tc>
        <w:tc>
          <w:tcPr>
            <w:tcW w:w="2665" w:type="dxa"/>
            <w:vMerge/>
            <w:tcBorders>
              <w:top w:val="nil"/>
            </w:tcBorders>
          </w:tcPr>
          <w:p w14:paraId="50211FA1" w14:textId="77777777" w:rsidR="00454A29" w:rsidRDefault="00454A29"/>
        </w:tc>
        <w:tc>
          <w:tcPr>
            <w:tcW w:w="2665" w:type="dxa"/>
            <w:vMerge/>
            <w:tcBorders>
              <w:top w:val="nil"/>
            </w:tcBorders>
          </w:tcPr>
          <w:p w14:paraId="21C74619" w14:textId="77777777" w:rsidR="00454A29" w:rsidRDefault="00454A29"/>
        </w:tc>
        <w:tc>
          <w:tcPr>
            <w:tcW w:w="1928" w:type="dxa"/>
            <w:vMerge/>
          </w:tcPr>
          <w:p w14:paraId="74D8E20E" w14:textId="77777777" w:rsidR="00454A29" w:rsidRDefault="00454A29"/>
        </w:tc>
        <w:tc>
          <w:tcPr>
            <w:tcW w:w="1644" w:type="dxa"/>
            <w:vMerge/>
          </w:tcPr>
          <w:p w14:paraId="3F651D09" w14:textId="77777777" w:rsidR="00454A29" w:rsidRDefault="00454A29"/>
        </w:tc>
        <w:tc>
          <w:tcPr>
            <w:tcW w:w="2041" w:type="dxa"/>
            <w:vMerge/>
          </w:tcPr>
          <w:p w14:paraId="2517B61E" w14:textId="77777777" w:rsidR="00454A29" w:rsidRDefault="00454A29"/>
        </w:tc>
        <w:tc>
          <w:tcPr>
            <w:tcW w:w="2098" w:type="dxa"/>
            <w:vAlign w:val="center"/>
          </w:tcPr>
          <w:p w14:paraId="19B25A31" w14:textId="77777777" w:rsidR="00454A29" w:rsidRDefault="00454A29">
            <w:pPr>
              <w:pStyle w:val="ConsPlusNormal"/>
              <w:jc w:val="center"/>
            </w:pPr>
            <w:r>
              <w:t>Местные бюджеты</w:t>
            </w:r>
          </w:p>
        </w:tc>
        <w:tc>
          <w:tcPr>
            <w:tcW w:w="1814" w:type="dxa"/>
            <w:vAlign w:val="center"/>
          </w:tcPr>
          <w:p w14:paraId="6A3AD39A" w14:textId="77777777" w:rsidR="00454A29" w:rsidRDefault="00454A29">
            <w:pPr>
              <w:pStyle w:val="ConsPlusNormal"/>
              <w:jc w:val="center"/>
            </w:pPr>
            <w:r>
              <w:t>0,00</w:t>
            </w:r>
          </w:p>
        </w:tc>
        <w:tc>
          <w:tcPr>
            <w:tcW w:w="1701" w:type="dxa"/>
            <w:vAlign w:val="center"/>
          </w:tcPr>
          <w:p w14:paraId="6DD4B7EC" w14:textId="77777777" w:rsidR="00454A29" w:rsidRDefault="00454A29">
            <w:pPr>
              <w:pStyle w:val="ConsPlusNormal"/>
              <w:jc w:val="center"/>
            </w:pPr>
            <w:r>
              <w:t>0,00</w:t>
            </w:r>
          </w:p>
        </w:tc>
        <w:tc>
          <w:tcPr>
            <w:tcW w:w="1701" w:type="dxa"/>
            <w:vAlign w:val="center"/>
          </w:tcPr>
          <w:p w14:paraId="14A0D80A" w14:textId="77777777" w:rsidR="00454A29" w:rsidRDefault="00454A29">
            <w:pPr>
              <w:pStyle w:val="ConsPlusNormal"/>
              <w:jc w:val="center"/>
            </w:pPr>
            <w:r>
              <w:t>0,00</w:t>
            </w:r>
          </w:p>
        </w:tc>
        <w:tc>
          <w:tcPr>
            <w:tcW w:w="1701" w:type="dxa"/>
            <w:vAlign w:val="center"/>
          </w:tcPr>
          <w:p w14:paraId="798CC27C" w14:textId="77777777" w:rsidR="00454A29" w:rsidRDefault="00454A29">
            <w:pPr>
              <w:pStyle w:val="ConsPlusNormal"/>
              <w:jc w:val="center"/>
            </w:pPr>
            <w:r>
              <w:t>0,00</w:t>
            </w:r>
          </w:p>
        </w:tc>
        <w:tc>
          <w:tcPr>
            <w:tcW w:w="1701" w:type="dxa"/>
            <w:vAlign w:val="center"/>
          </w:tcPr>
          <w:p w14:paraId="280DFA7F" w14:textId="77777777" w:rsidR="00454A29" w:rsidRDefault="00454A29">
            <w:pPr>
              <w:pStyle w:val="ConsPlusNormal"/>
              <w:jc w:val="center"/>
            </w:pPr>
            <w:r>
              <w:t>0,00</w:t>
            </w:r>
          </w:p>
        </w:tc>
        <w:tc>
          <w:tcPr>
            <w:tcW w:w="1701" w:type="dxa"/>
            <w:vAlign w:val="center"/>
          </w:tcPr>
          <w:p w14:paraId="3B4F9FE5" w14:textId="77777777" w:rsidR="00454A29" w:rsidRDefault="00454A29">
            <w:pPr>
              <w:pStyle w:val="ConsPlusNormal"/>
              <w:jc w:val="center"/>
            </w:pPr>
            <w:r>
              <w:t>0,00</w:t>
            </w:r>
          </w:p>
        </w:tc>
        <w:tc>
          <w:tcPr>
            <w:tcW w:w="1701" w:type="dxa"/>
            <w:vAlign w:val="center"/>
          </w:tcPr>
          <w:p w14:paraId="78B5F226" w14:textId="77777777" w:rsidR="00454A29" w:rsidRDefault="00454A29">
            <w:pPr>
              <w:pStyle w:val="ConsPlusNormal"/>
              <w:jc w:val="center"/>
            </w:pPr>
            <w:r>
              <w:t>0,00</w:t>
            </w:r>
          </w:p>
        </w:tc>
      </w:tr>
      <w:tr w:rsidR="00454A29" w14:paraId="1AD8F12E" w14:textId="77777777">
        <w:tc>
          <w:tcPr>
            <w:tcW w:w="964" w:type="dxa"/>
            <w:vMerge/>
          </w:tcPr>
          <w:p w14:paraId="5E811937" w14:textId="77777777" w:rsidR="00454A29" w:rsidRDefault="00454A29"/>
        </w:tc>
        <w:tc>
          <w:tcPr>
            <w:tcW w:w="2154" w:type="dxa"/>
            <w:vMerge/>
            <w:tcBorders>
              <w:top w:val="nil"/>
              <w:bottom w:val="nil"/>
            </w:tcBorders>
          </w:tcPr>
          <w:p w14:paraId="19B13CDB" w14:textId="77777777" w:rsidR="00454A29" w:rsidRDefault="00454A29"/>
        </w:tc>
        <w:tc>
          <w:tcPr>
            <w:tcW w:w="2154" w:type="dxa"/>
            <w:vMerge/>
            <w:tcBorders>
              <w:top w:val="nil"/>
              <w:bottom w:val="nil"/>
            </w:tcBorders>
          </w:tcPr>
          <w:p w14:paraId="3F786A49" w14:textId="77777777" w:rsidR="00454A29" w:rsidRDefault="00454A29"/>
        </w:tc>
        <w:tc>
          <w:tcPr>
            <w:tcW w:w="2665" w:type="dxa"/>
            <w:vMerge/>
            <w:tcBorders>
              <w:top w:val="nil"/>
            </w:tcBorders>
          </w:tcPr>
          <w:p w14:paraId="09924C5D" w14:textId="77777777" w:rsidR="00454A29" w:rsidRDefault="00454A29"/>
        </w:tc>
        <w:tc>
          <w:tcPr>
            <w:tcW w:w="2665" w:type="dxa"/>
            <w:vMerge/>
            <w:tcBorders>
              <w:top w:val="nil"/>
            </w:tcBorders>
          </w:tcPr>
          <w:p w14:paraId="4C883718" w14:textId="77777777" w:rsidR="00454A29" w:rsidRDefault="00454A29"/>
        </w:tc>
        <w:tc>
          <w:tcPr>
            <w:tcW w:w="1928" w:type="dxa"/>
            <w:vMerge/>
          </w:tcPr>
          <w:p w14:paraId="20B66D1C" w14:textId="77777777" w:rsidR="00454A29" w:rsidRDefault="00454A29"/>
        </w:tc>
        <w:tc>
          <w:tcPr>
            <w:tcW w:w="1644" w:type="dxa"/>
            <w:vMerge/>
          </w:tcPr>
          <w:p w14:paraId="11849966" w14:textId="77777777" w:rsidR="00454A29" w:rsidRDefault="00454A29"/>
        </w:tc>
        <w:tc>
          <w:tcPr>
            <w:tcW w:w="2041" w:type="dxa"/>
            <w:vMerge/>
          </w:tcPr>
          <w:p w14:paraId="26FDA9CF" w14:textId="77777777" w:rsidR="00454A29" w:rsidRDefault="00454A29"/>
        </w:tc>
        <w:tc>
          <w:tcPr>
            <w:tcW w:w="2098" w:type="dxa"/>
            <w:vAlign w:val="center"/>
          </w:tcPr>
          <w:p w14:paraId="6C68362D" w14:textId="77777777" w:rsidR="00454A29" w:rsidRDefault="00454A29">
            <w:pPr>
              <w:pStyle w:val="ConsPlusNormal"/>
              <w:jc w:val="center"/>
            </w:pPr>
            <w:r>
              <w:t>Внебюджетные средства</w:t>
            </w:r>
          </w:p>
        </w:tc>
        <w:tc>
          <w:tcPr>
            <w:tcW w:w="1814" w:type="dxa"/>
            <w:vAlign w:val="center"/>
          </w:tcPr>
          <w:p w14:paraId="74F33D3A" w14:textId="77777777" w:rsidR="00454A29" w:rsidRDefault="00454A29">
            <w:pPr>
              <w:pStyle w:val="ConsPlusNormal"/>
              <w:jc w:val="center"/>
            </w:pPr>
            <w:r>
              <w:t>0,00</w:t>
            </w:r>
          </w:p>
        </w:tc>
        <w:tc>
          <w:tcPr>
            <w:tcW w:w="1701" w:type="dxa"/>
            <w:vAlign w:val="center"/>
          </w:tcPr>
          <w:p w14:paraId="3280D507" w14:textId="77777777" w:rsidR="00454A29" w:rsidRDefault="00454A29">
            <w:pPr>
              <w:pStyle w:val="ConsPlusNormal"/>
              <w:jc w:val="center"/>
            </w:pPr>
            <w:r>
              <w:t>0,00</w:t>
            </w:r>
          </w:p>
        </w:tc>
        <w:tc>
          <w:tcPr>
            <w:tcW w:w="1701" w:type="dxa"/>
            <w:vAlign w:val="center"/>
          </w:tcPr>
          <w:p w14:paraId="13794A3B" w14:textId="77777777" w:rsidR="00454A29" w:rsidRDefault="00454A29">
            <w:pPr>
              <w:pStyle w:val="ConsPlusNormal"/>
              <w:jc w:val="center"/>
            </w:pPr>
            <w:r>
              <w:t>0,00</w:t>
            </w:r>
          </w:p>
        </w:tc>
        <w:tc>
          <w:tcPr>
            <w:tcW w:w="1701" w:type="dxa"/>
            <w:vAlign w:val="center"/>
          </w:tcPr>
          <w:p w14:paraId="2F21875C" w14:textId="77777777" w:rsidR="00454A29" w:rsidRDefault="00454A29">
            <w:pPr>
              <w:pStyle w:val="ConsPlusNormal"/>
              <w:jc w:val="center"/>
            </w:pPr>
            <w:r>
              <w:t>0,00</w:t>
            </w:r>
          </w:p>
        </w:tc>
        <w:tc>
          <w:tcPr>
            <w:tcW w:w="1701" w:type="dxa"/>
            <w:vAlign w:val="center"/>
          </w:tcPr>
          <w:p w14:paraId="3452AAAA" w14:textId="77777777" w:rsidR="00454A29" w:rsidRDefault="00454A29">
            <w:pPr>
              <w:pStyle w:val="ConsPlusNormal"/>
              <w:jc w:val="center"/>
            </w:pPr>
            <w:r>
              <w:t>0,00</w:t>
            </w:r>
          </w:p>
        </w:tc>
        <w:tc>
          <w:tcPr>
            <w:tcW w:w="1701" w:type="dxa"/>
            <w:vAlign w:val="center"/>
          </w:tcPr>
          <w:p w14:paraId="626A1838" w14:textId="77777777" w:rsidR="00454A29" w:rsidRDefault="00454A29">
            <w:pPr>
              <w:pStyle w:val="ConsPlusNormal"/>
              <w:jc w:val="center"/>
            </w:pPr>
            <w:r>
              <w:t>0,00</w:t>
            </w:r>
          </w:p>
        </w:tc>
        <w:tc>
          <w:tcPr>
            <w:tcW w:w="1701" w:type="dxa"/>
            <w:vAlign w:val="center"/>
          </w:tcPr>
          <w:p w14:paraId="1B2FFBBB" w14:textId="77777777" w:rsidR="00454A29" w:rsidRDefault="00454A29">
            <w:pPr>
              <w:pStyle w:val="ConsPlusNormal"/>
              <w:jc w:val="center"/>
            </w:pPr>
            <w:r>
              <w:t>0,00</w:t>
            </w:r>
          </w:p>
        </w:tc>
      </w:tr>
      <w:tr w:rsidR="00454A29" w14:paraId="2B54F7D4" w14:textId="77777777">
        <w:tc>
          <w:tcPr>
            <w:tcW w:w="964" w:type="dxa"/>
            <w:vMerge w:val="restart"/>
            <w:vAlign w:val="center"/>
          </w:tcPr>
          <w:p w14:paraId="0FA926B0" w14:textId="77777777" w:rsidR="00454A29" w:rsidRDefault="00454A29">
            <w:pPr>
              <w:pStyle w:val="ConsPlusNormal"/>
              <w:jc w:val="center"/>
            </w:pPr>
            <w:r>
              <w:t>11.2.</w:t>
            </w:r>
          </w:p>
        </w:tc>
        <w:tc>
          <w:tcPr>
            <w:tcW w:w="2154" w:type="dxa"/>
            <w:vMerge w:val="restart"/>
            <w:tcBorders>
              <w:top w:val="nil"/>
              <w:bottom w:val="nil"/>
            </w:tcBorders>
            <w:vAlign w:val="center"/>
          </w:tcPr>
          <w:p w14:paraId="673DF185" w14:textId="77777777" w:rsidR="00454A29" w:rsidRDefault="00454A29">
            <w:pPr>
              <w:pStyle w:val="ConsPlusNormal"/>
            </w:pPr>
          </w:p>
        </w:tc>
        <w:tc>
          <w:tcPr>
            <w:tcW w:w="2154" w:type="dxa"/>
            <w:vMerge w:val="restart"/>
            <w:tcBorders>
              <w:top w:val="nil"/>
              <w:bottom w:val="nil"/>
            </w:tcBorders>
            <w:vAlign w:val="center"/>
          </w:tcPr>
          <w:p w14:paraId="4E677560" w14:textId="77777777" w:rsidR="00454A29" w:rsidRDefault="00454A29">
            <w:pPr>
              <w:pStyle w:val="ConsPlusNormal"/>
            </w:pPr>
          </w:p>
        </w:tc>
        <w:tc>
          <w:tcPr>
            <w:tcW w:w="2665" w:type="dxa"/>
            <w:vMerge w:val="restart"/>
            <w:vAlign w:val="center"/>
          </w:tcPr>
          <w:p w14:paraId="720EB997" w14:textId="77777777" w:rsidR="00454A29" w:rsidRDefault="00454A29">
            <w:pPr>
              <w:pStyle w:val="ConsPlusNormal"/>
              <w:jc w:val="center"/>
            </w:pPr>
            <w:r>
              <w:t>Результат 2. Создано не менее 1728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665" w:type="dxa"/>
            <w:vMerge w:val="restart"/>
            <w:tcBorders>
              <w:bottom w:val="nil"/>
            </w:tcBorders>
            <w:vAlign w:val="center"/>
          </w:tcPr>
          <w:p w14:paraId="39F2CE44" w14:textId="77777777" w:rsidR="00454A29" w:rsidRDefault="00454A29">
            <w:pPr>
              <w:pStyle w:val="ConsPlusNormal"/>
              <w:jc w:val="center"/>
            </w:pPr>
            <w:r>
              <w:t xml:space="preserve">Мероприятие 10.7.2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мероприятия "Создание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w:t>
            </w:r>
            <w:r>
              <w:lastRenderedPageBreak/>
              <w:t>образовательным программам дошкольного образования, для детей в возрасте до трех лет")</w:t>
            </w:r>
          </w:p>
        </w:tc>
        <w:tc>
          <w:tcPr>
            <w:tcW w:w="5613" w:type="dxa"/>
            <w:gridSpan w:val="3"/>
            <w:vMerge w:val="restart"/>
            <w:vAlign w:val="center"/>
          </w:tcPr>
          <w:p w14:paraId="32DFDCA6" w14:textId="77777777" w:rsidR="00454A29" w:rsidRDefault="00454A29">
            <w:pPr>
              <w:pStyle w:val="ConsPlusNormal"/>
              <w:jc w:val="center"/>
            </w:pPr>
            <w:r>
              <w:lastRenderedPageBreak/>
              <w:t>Всего</w:t>
            </w:r>
          </w:p>
        </w:tc>
        <w:tc>
          <w:tcPr>
            <w:tcW w:w="2098" w:type="dxa"/>
            <w:vAlign w:val="center"/>
          </w:tcPr>
          <w:p w14:paraId="51208CE4" w14:textId="77777777" w:rsidR="00454A29" w:rsidRDefault="00454A29">
            <w:pPr>
              <w:pStyle w:val="ConsPlusNormal"/>
              <w:jc w:val="center"/>
            </w:pPr>
            <w:r>
              <w:t>Итого</w:t>
            </w:r>
          </w:p>
        </w:tc>
        <w:tc>
          <w:tcPr>
            <w:tcW w:w="1814" w:type="dxa"/>
            <w:vAlign w:val="center"/>
          </w:tcPr>
          <w:p w14:paraId="68C9F6B2" w14:textId="77777777" w:rsidR="00454A29" w:rsidRDefault="00454A29">
            <w:pPr>
              <w:pStyle w:val="ConsPlusNormal"/>
              <w:jc w:val="center"/>
            </w:pPr>
            <w:r>
              <w:t>552 371,16</w:t>
            </w:r>
          </w:p>
        </w:tc>
        <w:tc>
          <w:tcPr>
            <w:tcW w:w="1701" w:type="dxa"/>
            <w:vAlign w:val="center"/>
          </w:tcPr>
          <w:p w14:paraId="2709EBC6" w14:textId="77777777" w:rsidR="00454A29" w:rsidRDefault="00454A29">
            <w:pPr>
              <w:pStyle w:val="ConsPlusNormal"/>
              <w:jc w:val="center"/>
            </w:pPr>
            <w:r>
              <w:t>975 056,51</w:t>
            </w:r>
          </w:p>
        </w:tc>
        <w:tc>
          <w:tcPr>
            <w:tcW w:w="1701" w:type="dxa"/>
            <w:vAlign w:val="center"/>
          </w:tcPr>
          <w:p w14:paraId="42A6CDFE" w14:textId="77777777" w:rsidR="00454A29" w:rsidRDefault="00454A29">
            <w:pPr>
              <w:pStyle w:val="ConsPlusNormal"/>
              <w:jc w:val="center"/>
            </w:pPr>
            <w:r>
              <w:t>0,00</w:t>
            </w:r>
          </w:p>
        </w:tc>
        <w:tc>
          <w:tcPr>
            <w:tcW w:w="1701" w:type="dxa"/>
            <w:vAlign w:val="center"/>
          </w:tcPr>
          <w:p w14:paraId="1439528E" w14:textId="77777777" w:rsidR="00454A29" w:rsidRDefault="00454A29">
            <w:pPr>
              <w:pStyle w:val="ConsPlusNormal"/>
              <w:jc w:val="center"/>
            </w:pPr>
            <w:r>
              <w:t>0,00</w:t>
            </w:r>
          </w:p>
        </w:tc>
        <w:tc>
          <w:tcPr>
            <w:tcW w:w="1701" w:type="dxa"/>
            <w:vAlign w:val="center"/>
          </w:tcPr>
          <w:p w14:paraId="7620DDC9" w14:textId="77777777" w:rsidR="00454A29" w:rsidRDefault="00454A29">
            <w:pPr>
              <w:pStyle w:val="ConsPlusNormal"/>
              <w:jc w:val="center"/>
            </w:pPr>
            <w:r>
              <w:t>0,00</w:t>
            </w:r>
          </w:p>
        </w:tc>
        <w:tc>
          <w:tcPr>
            <w:tcW w:w="1701" w:type="dxa"/>
            <w:vAlign w:val="center"/>
          </w:tcPr>
          <w:p w14:paraId="65E95DCE" w14:textId="77777777" w:rsidR="00454A29" w:rsidRDefault="00454A29">
            <w:pPr>
              <w:pStyle w:val="ConsPlusNormal"/>
              <w:jc w:val="center"/>
            </w:pPr>
            <w:r>
              <w:t>0,00</w:t>
            </w:r>
          </w:p>
        </w:tc>
        <w:tc>
          <w:tcPr>
            <w:tcW w:w="1701" w:type="dxa"/>
            <w:vAlign w:val="center"/>
          </w:tcPr>
          <w:p w14:paraId="44C0965B" w14:textId="77777777" w:rsidR="00454A29" w:rsidRDefault="00454A29">
            <w:pPr>
              <w:pStyle w:val="ConsPlusNormal"/>
              <w:jc w:val="center"/>
            </w:pPr>
            <w:r>
              <w:t>0,00</w:t>
            </w:r>
          </w:p>
        </w:tc>
      </w:tr>
      <w:tr w:rsidR="00454A29" w14:paraId="62DDFFA0" w14:textId="77777777">
        <w:tc>
          <w:tcPr>
            <w:tcW w:w="964" w:type="dxa"/>
            <w:vMerge/>
          </w:tcPr>
          <w:p w14:paraId="75B44087" w14:textId="77777777" w:rsidR="00454A29" w:rsidRDefault="00454A29"/>
        </w:tc>
        <w:tc>
          <w:tcPr>
            <w:tcW w:w="2154" w:type="dxa"/>
            <w:vMerge/>
            <w:tcBorders>
              <w:top w:val="nil"/>
              <w:bottom w:val="nil"/>
            </w:tcBorders>
          </w:tcPr>
          <w:p w14:paraId="1F1C63F2" w14:textId="77777777" w:rsidR="00454A29" w:rsidRDefault="00454A29"/>
        </w:tc>
        <w:tc>
          <w:tcPr>
            <w:tcW w:w="2154" w:type="dxa"/>
            <w:vMerge/>
            <w:tcBorders>
              <w:top w:val="nil"/>
              <w:bottom w:val="nil"/>
            </w:tcBorders>
          </w:tcPr>
          <w:p w14:paraId="1F32F9C8" w14:textId="77777777" w:rsidR="00454A29" w:rsidRDefault="00454A29"/>
        </w:tc>
        <w:tc>
          <w:tcPr>
            <w:tcW w:w="2665" w:type="dxa"/>
            <w:vMerge/>
          </w:tcPr>
          <w:p w14:paraId="01A53059" w14:textId="77777777" w:rsidR="00454A29" w:rsidRDefault="00454A29"/>
        </w:tc>
        <w:tc>
          <w:tcPr>
            <w:tcW w:w="2665" w:type="dxa"/>
            <w:vMerge/>
            <w:tcBorders>
              <w:bottom w:val="nil"/>
            </w:tcBorders>
          </w:tcPr>
          <w:p w14:paraId="393C6CC5" w14:textId="77777777" w:rsidR="00454A29" w:rsidRDefault="00454A29"/>
        </w:tc>
        <w:tc>
          <w:tcPr>
            <w:tcW w:w="5613" w:type="dxa"/>
            <w:gridSpan w:val="3"/>
            <w:vMerge/>
          </w:tcPr>
          <w:p w14:paraId="5E25A260" w14:textId="77777777" w:rsidR="00454A29" w:rsidRDefault="00454A29"/>
        </w:tc>
        <w:tc>
          <w:tcPr>
            <w:tcW w:w="2098" w:type="dxa"/>
            <w:vAlign w:val="center"/>
          </w:tcPr>
          <w:p w14:paraId="64D315E3"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10FB9D94" w14:textId="77777777" w:rsidR="00454A29" w:rsidRDefault="00454A29">
            <w:pPr>
              <w:pStyle w:val="ConsPlusNormal"/>
              <w:jc w:val="center"/>
            </w:pPr>
            <w:r>
              <w:t>5 477,97</w:t>
            </w:r>
          </w:p>
        </w:tc>
        <w:tc>
          <w:tcPr>
            <w:tcW w:w="1701" w:type="dxa"/>
            <w:vAlign w:val="center"/>
          </w:tcPr>
          <w:p w14:paraId="1FD8F0C3" w14:textId="77777777" w:rsidR="00454A29" w:rsidRDefault="00454A29">
            <w:pPr>
              <w:pStyle w:val="ConsPlusNormal"/>
              <w:jc w:val="center"/>
            </w:pPr>
            <w:r>
              <w:t>9 694,09</w:t>
            </w:r>
          </w:p>
        </w:tc>
        <w:tc>
          <w:tcPr>
            <w:tcW w:w="1701" w:type="dxa"/>
            <w:vAlign w:val="center"/>
          </w:tcPr>
          <w:p w14:paraId="609932F1" w14:textId="77777777" w:rsidR="00454A29" w:rsidRDefault="00454A29">
            <w:pPr>
              <w:pStyle w:val="ConsPlusNormal"/>
              <w:jc w:val="center"/>
            </w:pPr>
            <w:r>
              <w:t>0,00</w:t>
            </w:r>
          </w:p>
        </w:tc>
        <w:tc>
          <w:tcPr>
            <w:tcW w:w="1701" w:type="dxa"/>
            <w:vAlign w:val="center"/>
          </w:tcPr>
          <w:p w14:paraId="70443A0A" w14:textId="77777777" w:rsidR="00454A29" w:rsidRDefault="00454A29">
            <w:pPr>
              <w:pStyle w:val="ConsPlusNormal"/>
              <w:jc w:val="center"/>
            </w:pPr>
            <w:r>
              <w:t>0,00</w:t>
            </w:r>
          </w:p>
        </w:tc>
        <w:tc>
          <w:tcPr>
            <w:tcW w:w="1701" w:type="dxa"/>
            <w:vAlign w:val="center"/>
          </w:tcPr>
          <w:p w14:paraId="04738075" w14:textId="77777777" w:rsidR="00454A29" w:rsidRDefault="00454A29">
            <w:pPr>
              <w:pStyle w:val="ConsPlusNormal"/>
              <w:jc w:val="center"/>
            </w:pPr>
            <w:r>
              <w:t>0,00</w:t>
            </w:r>
          </w:p>
        </w:tc>
        <w:tc>
          <w:tcPr>
            <w:tcW w:w="1701" w:type="dxa"/>
            <w:vAlign w:val="center"/>
          </w:tcPr>
          <w:p w14:paraId="5E13AE7E" w14:textId="77777777" w:rsidR="00454A29" w:rsidRDefault="00454A29">
            <w:pPr>
              <w:pStyle w:val="ConsPlusNormal"/>
              <w:jc w:val="center"/>
            </w:pPr>
            <w:r>
              <w:t>0,00</w:t>
            </w:r>
          </w:p>
        </w:tc>
        <w:tc>
          <w:tcPr>
            <w:tcW w:w="1701" w:type="dxa"/>
            <w:vAlign w:val="center"/>
          </w:tcPr>
          <w:p w14:paraId="3419F523" w14:textId="77777777" w:rsidR="00454A29" w:rsidRDefault="00454A29">
            <w:pPr>
              <w:pStyle w:val="ConsPlusNormal"/>
              <w:jc w:val="center"/>
            </w:pPr>
            <w:r>
              <w:t>0,00</w:t>
            </w:r>
          </w:p>
        </w:tc>
      </w:tr>
      <w:tr w:rsidR="00454A29" w14:paraId="7B07A6D2" w14:textId="77777777">
        <w:tc>
          <w:tcPr>
            <w:tcW w:w="964" w:type="dxa"/>
            <w:vMerge/>
          </w:tcPr>
          <w:p w14:paraId="79A49B00" w14:textId="77777777" w:rsidR="00454A29" w:rsidRDefault="00454A29"/>
        </w:tc>
        <w:tc>
          <w:tcPr>
            <w:tcW w:w="2154" w:type="dxa"/>
            <w:vMerge/>
            <w:tcBorders>
              <w:top w:val="nil"/>
              <w:bottom w:val="nil"/>
            </w:tcBorders>
          </w:tcPr>
          <w:p w14:paraId="3ADB5532" w14:textId="77777777" w:rsidR="00454A29" w:rsidRDefault="00454A29"/>
        </w:tc>
        <w:tc>
          <w:tcPr>
            <w:tcW w:w="2154" w:type="dxa"/>
            <w:vMerge/>
            <w:tcBorders>
              <w:top w:val="nil"/>
              <w:bottom w:val="nil"/>
            </w:tcBorders>
          </w:tcPr>
          <w:p w14:paraId="0B60454B" w14:textId="77777777" w:rsidR="00454A29" w:rsidRDefault="00454A29"/>
        </w:tc>
        <w:tc>
          <w:tcPr>
            <w:tcW w:w="2665" w:type="dxa"/>
            <w:vMerge/>
          </w:tcPr>
          <w:p w14:paraId="074F17D4" w14:textId="77777777" w:rsidR="00454A29" w:rsidRDefault="00454A29"/>
        </w:tc>
        <w:tc>
          <w:tcPr>
            <w:tcW w:w="2665" w:type="dxa"/>
            <w:vMerge/>
            <w:tcBorders>
              <w:bottom w:val="nil"/>
            </w:tcBorders>
          </w:tcPr>
          <w:p w14:paraId="0051E1BB" w14:textId="77777777" w:rsidR="00454A29" w:rsidRDefault="00454A29"/>
        </w:tc>
        <w:tc>
          <w:tcPr>
            <w:tcW w:w="5613" w:type="dxa"/>
            <w:gridSpan w:val="3"/>
            <w:vMerge/>
          </w:tcPr>
          <w:p w14:paraId="604D81DF" w14:textId="77777777" w:rsidR="00454A29" w:rsidRDefault="00454A29"/>
        </w:tc>
        <w:tc>
          <w:tcPr>
            <w:tcW w:w="2098" w:type="dxa"/>
            <w:vAlign w:val="center"/>
          </w:tcPr>
          <w:p w14:paraId="187C3809" w14:textId="77777777" w:rsidR="00454A29" w:rsidRDefault="00454A29">
            <w:pPr>
              <w:pStyle w:val="ConsPlusNormal"/>
              <w:jc w:val="center"/>
            </w:pPr>
            <w:r>
              <w:t>Федеральный бюджет</w:t>
            </w:r>
          </w:p>
        </w:tc>
        <w:tc>
          <w:tcPr>
            <w:tcW w:w="1814" w:type="dxa"/>
            <w:vAlign w:val="center"/>
          </w:tcPr>
          <w:p w14:paraId="707E61F8" w14:textId="77777777" w:rsidR="00454A29" w:rsidRDefault="00454A29">
            <w:pPr>
              <w:pStyle w:val="ConsPlusNormal"/>
              <w:jc w:val="center"/>
            </w:pPr>
            <w:r>
              <w:t>542 318,73</w:t>
            </w:r>
          </w:p>
        </w:tc>
        <w:tc>
          <w:tcPr>
            <w:tcW w:w="1701" w:type="dxa"/>
            <w:vAlign w:val="center"/>
          </w:tcPr>
          <w:p w14:paraId="3B8169D8" w14:textId="77777777" w:rsidR="00454A29" w:rsidRDefault="00454A29">
            <w:pPr>
              <w:pStyle w:val="ConsPlusNormal"/>
              <w:jc w:val="center"/>
            </w:pPr>
            <w:r>
              <w:t>959 715,68</w:t>
            </w:r>
          </w:p>
        </w:tc>
        <w:tc>
          <w:tcPr>
            <w:tcW w:w="1701" w:type="dxa"/>
            <w:vAlign w:val="center"/>
          </w:tcPr>
          <w:p w14:paraId="6EC65BF5" w14:textId="77777777" w:rsidR="00454A29" w:rsidRDefault="00454A29">
            <w:pPr>
              <w:pStyle w:val="ConsPlusNormal"/>
              <w:jc w:val="center"/>
            </w:pPr>
            <w:r>
              <w:t>0,00</w:t>
            </w:r>
          </w:p>
        </w:tc>
        <w:tc>
          <w:tcPr>
            <w:tcW w:w="1701" w:type="dxa"/>
            <w:vAlign w:val="center"/>
          </w:tcPr>
          <w:p w14:paraId="4AC2B3B3" w14:textId="77777777" w:rsidR="00454A29" w:rsidRDefault="00454A29">
            <w:pPr>
              <w:pStyle w:val="ConsPlusNormal"/>
              <w:jc w:val="center"/>
            </w:pPr>
            <w:r>
              <w:t>0,00</w:t>
            </w:r>
          </w:p>
        </w:tc>
        <w:tc>
          <w:tcPr>
            <w:tcW w:w="1701" w:type="dxa"/>
            <w:vAlign w:val="center"/>
          </w:tcPr>
          <w:p w14:paraId="2A74B0DF" w14:textId="77777777" w:rsidR="00454A29" w:rsidRDefault="00454A29">
            <w:pPr>
              <w:pStyle w:val="ConsPlusNormal"/>
              <w:jc w:val="center"/>
            </w:pPr>
            <w:r>
              <w:t>0,00</w:t>
            </w:r>
          </w:p>
        </w:tc>
        <w:tc>
          <w:tcPr>
            <w:tcW w:w="1701" w:type="dxa"/>
            <w:vAlign w:val="center"/>
          </w:tcPr>
          <w:p w14:paraId="59B2227E" w14:textId="77777777" w:rsidR="00454A29" w:rsidRDefault="00454A29">
            <w:pPr>
              <w:pStyle w:val="ConsPlusNormal"/>
              <w:jc w:val="center"/>
            </w:pPr>
            <w:r>
              <w:t>0,00</w:t>
            </w:r>
          </w:p>
        </w:tc>
        <w:tc>
          <w:tcPr>
            <w:tcW w:w="1701" w:type="dxa"/>
            <w:vAlign w:val="center"/>
          </w:tcPr>
          <w:p w14:paraId="21E2208E" w14:textId="77777777" w:rsidR="00454A29" w:rsidRDefault="00454A29">
            <w:pPr>
              <w:pStyle w:val="ConsPlusNormal"/>
              <w:jc w:val="center"/>
            </w:pPr>
            <w:r>
              <w:t>0,00</w:t>
            </w:r>
          </w:p>
        </w:tc>
      </w:tr>
      <w:tr w:rsidR="00454A29" w14:paraId="6B18E920" w14:textId="77777777">
        <w:tc>
          <w:tcPr>
            <w:tcW w:w="964" w:type="dxa"/>
            <w:vMerge/>
          </w:tcPr>
          <w:p w14:paraId="6F97D22D" w14:textId="77777777" w:rsidR="00454A29" w:rsidRDefault="00454A29"/>
        </w:tc>
        <w:tc>
          <w:tcPr>
            <w:tcW w:w="2154" w:type="dxa"/>
            <w:vMerge/>
            <w:tcBorders>
              <w:top w:val="nil"/>
              <w:bottom w:val="nil"/>
            </w:tcBorders>
          </w:tcPr>
          <w:p w14:paraId="2E670D59" w14:textId="77777777" w:rsidR="00454A29" w:rsidRDefault="00454A29"/>
        </w:tc>
        <w:tc>
          <w:tcPr>
            <w:tcW w:w="2154" w:type="dxa"/>
            <w:vMerge/>
            <w:tcBorders>
              <w:top w:val="nil"/>
              <w:bottom w:val="nil"/>
            </w:tcBorders>
          </w:tcPr>
          <w:p w14:paraId="4277D2B1" w14:textId="77777777" w:rsidR="00454A29" w:rsidRDefault="00454A29"/>
        </w:tc>
        <w:tc>
          <w:tcPr>
            <w:tcW w:w="2665" w:type="dxa"/>
            <w:vMerge/>
          </w:tcPr>
          <w:p w14:paraId="09DAB575" w14:textId="77777777" w:rsidR="00454A29" w:rsidRDefault="00454A29"/>
        </w:tc>
        <w:tc>
          <w:tcPr>
            <w:tcW w:w="2665" w:type="dxa"/>
            <w:vMerge/>
            <w:tcBorders>
              <w:bottom w:val="nil"/>
            </w:tcBorders>
          </w:tcPr>
          <w:p w14:paraId="26700539" w14:textId="77777777" w:rsidR="00454A29" w:rsidRDefault="00454A29"/>
        </w:tc>
        <w:tc>
          <w:tcPr>
            <w:tcW w:w="5613" w:type="dxa"/>
            <w:gridSpan w:val="3"/>
            <w:vMerge/>
          </w:tcPr>
          <w:p w14:paraId="32852CA1" w14:textId="77777777" w:rsidR="00454A29" w:rsidRDefault="00454A29"/>
        </w:tc>
        <w:tc>
          <w:tcPr>
            <w:tcW w:w="2098" w:type="dxa"/>
            <w:vAlign w:val="center"/>
          </w:tcPr>
          <w:p w14:paraId="3A0DFCEC" w14:textId="77777777" w:rsidR="00454A29" w:rsidRDefault="00454A29">
            <w:pPr>
              <w:pStyle w:val="ConsPlusNormal"/>
              <w:jc w:val="center"/>
            </w:pPr>
            <w:r>
              <w:t>Местные бюджеты</w:t>
            </w:r>
          </w:p>
        </w:tc>
        <w:tc>
          <w:tcPr>
            <w:tcW w:w="1814" w:type="dxa"/>
            <w:vAlign w:val="center"/>
          </w:tcPr>
          <w:p w14:paraId="45ACBACF" w14:textId="77777777" w:rsidR="00454A29" w:rsidRDefault="00454A29">
            <w:pPr>
              <w:pStyle w:val="ConsPlusNormal"/>
              <w:jc w:val="center"/>
            </w:pPr>
            <w:r>
              <w:t>4 574,46</w:t>
            </w:r>
          </w:p>
        </w:tc>
        <w:tc>
          <w:tcPr>
            <w:tcW w:w="1701" w:type="dxa"/>
            <w:vAlign w:val="center"/>
          </w:tcPr>
          <w:p w14:paraId="0E875F35" w14:textId="77777777" w:rsidR="00454A29" w:rsidRDefault="00454A29">
            <w:pPr>
              <w:pStyle w:val="ConsPlusNormal"/>
              <w:jc w:val="center"/>
            </w:pPr>
            <w:r>
              <w:t>5 646,74</w:t>
            </w:r>
          </w:p>
        </w:tc>
        <w:tc>
          <w:tcPr>
            <w:tcW w:w="1701" w:type="dxa"/>
            <w:vAlign w:val="center"/>
          </w:tcPr>
          <w:p w14:paraId="7A5C3D15" w14:textId="77777777" w:rsidR="00454A29" w:rsidRDefault="00454A29">
            <w:pPr>
              <w:pStyle w:val="ConsPlusNormal"/>
              <w:jc w:val="center"/>
            </w:pPr>
            <w:r>
              <w:t>0,00</w:t>
            </w:r>
          </w:p>
        </w:tc>
        <w:tc>
          <w:tcPr>
            <w:tcW w:w="1701" w:type="dxa"/>
            <w:vAlign w:val="center"/>
          </w:tcPr>
          <w:p w14:paraId="3FA03DBF" w14:textId="77777777" w:rsidR="00454A29" w:rsidRDefault="00454A29">
            <w:pPr>
              <w:pStyle w:val="ConsPlusNormal"/>
              <w:jc w:val="center"/>
            </w:pPr>
            <w:r>
              <w:t>0,00</w:t>
            </w:r>
          </w:p>
        </w:tc>
        <w:tc>
          <w:tcPr>
            <w:tcW w:w="1701" w:type="dxa"/>
            <w:vAlign w:val="center"/>
          </w:tcPr>
          <w:p w14:paraId="016DB09E" w14:textId="77777777" w:rsidR="00454A29" w:rsidRDefault="00454A29">
            <w:pPr>
              <w:pStyle w:val="ConsPlusNormal"/>
              <w:jc w:val="center"/>
            </w:pPr>
            <w:r>
              <w:t>0,00</w:t>
            </w:r>
          </w:p>
        </w:tc>
        <w:tc>
          <w:tcPr>
            <w:tcW w:w="1701" w:type="dxa"/>
            <w:vAlign w:val="center"/>
          </w:tcPr>
          <w:p w14:paraId="681D43E9" w14:textId="77777777" w:rsidR="00454A29" w:rsidRDefault="00454A29">
            <w:pPr>
              <w:pStyle w:val="ConsPlusNormal"/>
              <w:jc w:val="center"/>
            </w:pPr>
            <w:r>
              <w:t>0,00</w:t>
            </w:r>
          </w:p>
        </w:tc>
        <w:tc>
          <w:tcPr>
            <w:tcW w:w="1701" w:type="dxa"/>
            <w:vAlign w:val="center"/>
          </w:tcPr>
          <w:p w14:paraId="45C3296C" w14:textId="77777777" w:rsidR="00454A29" w:rsidRDefault="00454A29">
            <w:pPr>
              <w:pStyle w:val="ConsPlusNormal"/>
              <w:jc w:val="center"/>
            </w:pPr>
            <w:r>
              <w:t>0,00</w:t>
            </w:r>
          </w:p>
        </w:tc>
      </w:tr>
      <w:tr w:rsidR="00454A29" w14:paraId="12EAE48F" w14:textId="77777777">
        <w:tc>
          <w:tcPr>
            <w:tcW w:w="964" w:type="dxa"/>
            <w:vMerge/>
          </w:tcPr>
          <w:p w14:paraId="35B4691C" w14:textId="77777777" w:rsidR="00454A29" w:rsidRDefault="00454A29"/>
        </w:tc>
        <w:tc>
          <w:tcPr>
            <w:tcW w:w="2154" w:type="dxa"/>
            <w:vMerge/>
            <w:tcBorders>
              <w:top w:val="nil"/>
              <w:bottom w:val="nil"/>
            </w:tcBorders>
          </w:tcPr>
          <w:p w14:paraId="65313402" w14:textId="77777777" w:rsidR="00454A29" w:rsidRDefault="00454A29"/>
        </w:tc>
        <w:tc>
          <w:tcPr>
            <w:tcW w:w="2154" w:type="dxa"/>
            <w:vMerge/>
            <w:tcBorders>
              <w:top w:val="nil"/>
              <w:bottom w:val="nil"/>
            </w:tcBorders>
          </w:tcPr>
          <w:p w14:paraId="2BA50C97" w14:textId="77777777" w:rsidR="00454A29" w:rsidRDefault="00454A29"/>
        </w:tc>
        <w:tc>
          <w:tcPr>
            <w:tcW w:w="2665" w:type="dxa"/>
            <w:vMerge/>
          </w:tcPr>
          <w:p w14:paraId="75E0CADA" w14:textId="77777777" w:rsidR="00454A29" w:rsidRDefault="00454A29"/>
        </w:tc>
        <w:tc>
          <w:tcPr>
            <w:tcW w:w="2665" w:type="dxa"/>
            <w:vMerge/>
            <w:tcBorders>
              <w:bottom w:val="nil"/>
            </w:tcBorders>
          </w:tcPr>
          <w:p w14:paraId="4BD310C5" w14:textId="77777777" w:rsidR="00454A29" w:rsidRDefault="00454A29"/>
        </w:tc>
        <w:tc>
          <w:tcPr>
            <w:tcW w:w="5613" w:type="dxa"/>
            <w:gridSpan w:val="3"/>
            <w:vMerge/>
          </w:tcPr>
          <w:p w14:paraId="7B372DE7" w14:textId="77777777" w:rsidR="00454A29" w:rsidRDefault="00454A29"/>
        </w:tc>
        <w:tc>
          <w:tcPr>
            <w:tcW w:w="2098" w:type="dxa"/>
            <w:vAlign w:val="center"/>
          </w:tcPr>
          <w:p w14:paraId="0EE8FD0B" w14:textId="77777777" w:rsidR="00454A29" w:rsidRDefault="00454A29">
            <w:pPr>
              <w:pStyle w:val="ConsPlusNormal"/>
              <w:jc w:val="center"/>
            </w:pPr>
            <w:r>
              <w:t>Внебюджетные средства</w:t>
            </w:r>
          </w:p>
        </w:tc>
        <w:tc>
          <w:tcPr>
            <w:tcW w:w="1814" w:type="dxa"/>
            <w:vAlign w:val="center"/>
          </w:tcPr>
          <w:p w14:paraId="1B4047DF" w14:textId="77777777" w:rsidR="00454A29" w:rsidRDefault="00454A29">
            <w:pPr>
              <w:pStyle w:val="ConsPlusNormal"/>
              <w:jc w:val="center"/>
            </w:pPr>
            <w:r>
              <w:t>0,00</w:t>
            </w:r>
          </w:p>
        </w:tc>
        <w:tc>
          <w:tcPr>
            <w:tcW w:w="1701" w:type="dxa"/>
            <w:vAlign w:val="center"/>
          </w:tcPr>
          <w:p w14:paraId="0C11E452" w14:textId="77777777" w:rsidR="00454A29" w:rsidRDefault="00454A29">
            <w:pPr>
              <w:pStyle w:val="ConsPlusNormal"/>
              <w:jc w:val="center"/>
            </w:pPr>
            <w:r>
              <w:t>0,00</w:t>
            </w:r>
          </w:p>
        </w:tc>
        <w:tc>
          <w:tcPr>
            <w:tcW w:w="1701" w:type="dxa"/>
            <w:vAlign w:val="center"/>
          </w:tcPr>
          <w:p w14:paraId="2570DB02" w14:textId="77777777" w:rsidR="00454A29" w:rsidRDefault="00454A29">
            <w:pPr>
              <w:pStyle w:val="ConsPlusNormal"/>
              <w:jc w:val="center"/>
            </w:pPr>
            <w:r>
              <w:t>0,00</w:t>
            </w:r>
          </w:p>
        </w:tc>
        <w:tc>
          <w:tcPr>
            <w:tcW w:w="1701" w:type="dxa"/>
            <w:vAlign w:val="center"/>
          </w:tcPr>
          <w:p w14:paraId="758E9E8F" w14:textId="77777777" w:rsidR="00454A29" w:rsidRDefault="00454A29">
            <w:pPr>
              <w:pStyle w:val="ConsPlusNormal"/>
              <w:jc w:val="center"/>
            </w:pPr>
            <w:r>
              <w:t>0,00</w:t>
            </w:r>
          </w:p>
        </w:tc>
        <w:tc>
          <w:tcPr>
            <w:tcW w:w="1701" w:type="dxa"/>
            <w:vAlign w:val="center"/>
          </w:tcPr>
          <w:p w14:paraId="7B65D50C" w14:textId="77777777" w:rsidR="00454A29" w:rsidRDefault="00454A29">
            <w:pPr>
              <w:pStyle w:val="ConsPlusNormal"/>
              <w:jc w:val="center"/>
            </w:pPr>
            <w:r>
              <w:t>0,00</w:t>
            </w:r>
          </w:p>
        </w:tc>
        <w:tc>
          <w:tcPr>
            <w:tcW w:w="1701" w:type="dxa"/>
            <w:vAlign w:val="center"/>
          </w:tcPr>
          <w:p w14:paraId="0CAB2C5E" w14:textId="77777777" w:rsidR="00454A29" w:rsidRDefault="00454A29">
            <w:pPr>
              <w:pStyle w:val="ConsPlusNormal"/>
              <w:jc w:val="center"/>
            </w:pPr>
            <w:r>
              <w:t>0,00</w:t>
            </w:r>
          </w:p>
        </w:tc>
        <w:tc>
          <w:tcPr>
            <w:tcW w:w="1701" w:type="dxa"/>
            <w:vAlign w:val="center"/>
          </w:tcPr>
          <w:p w14:paraId="1DD1C122" w14:textId="77777777" w:rsidR="00454A29" w:rsidRDefault="00454A29">
            <w:pPr>
              <w:pStyle w:val="ConsPlusNormal"/>
              <w:jc w:val="center"/>
            </w:pPr>
            <w:r>
              <w:t>0,00</w:t>
            </w:r>
          </w:p>
        </w:tc>
      </w:tr>
      <w:tr w:rsidR="00454A29" w14:paraId="54D03761" w14:textId="77777777">
        <w:tc>
          <w:tcPr>
            <w:tcW w:w="964" w:type="dxa"/>
            <w:vMerge w:val="restart"/>
            <w:vAlign w:val="center"/>
          </w:tcPr>
          <w:p w14:paraId="584F060F" w14:textId="77777777" w:rsidR="00454A29" w:rsidRDefault="00454A29">
            <w:pPr>
              <w:pStyle w:val="ConsPlusNormal"/>
              <w:jc w:val="center"/>
            </w:pPr>
            <w:r>
              <w:t>11.2.1.</w:t>
            </w:r>
          </w:p>
        </w:tc>
        <w:tc>
          <w:tcPr>
            <w:tcW w:w="2154" w:type="dxa"/>
            <w:vMerge w:val="restart"/>
            <w:tcBorders>
              <w:top w:val="nil"/>
              <w:bottom w:val="nil"/>
            </w:tcBorders>
            <w:vAlign w:val="center"/>
          </w:tcPr>
          <w:p w14:paraId="6AA84B8F" w14:textId="77777777" w:rsidR="00454A29" w:rsidRDefault="00454A29">
            <w:pPr>
              <w:pStyle w:val="ConsPlusNormal"/>
            </w:pPr>
          </w:p>
        </w:tc>
        <w:tc>
          <w:tcPr>
            <w:tcW w:w="2154" w:type="dxa"/>
            <w:vMerge w:val="restart"/>
            <w:tcBorders>
              <w:top w:val="nil"/>
              <w:bottom w:val="nil"/>
            </w:tcBorders>
            <w:vAlign w:val="center"/>
          </w:tcPr>
          <w:p w14:paraId="55678C2F" w14:textId="77777777" w:rsidR="00454A29" w:rsidRDefault="00454A29">
            <w:pPr>
              <w:pStyle w:val="ConsPlusNormal"/>
            </w:pPr>
          </w:p>
        </w:tc>
        <w:tc>
          <w:tcPr>
            <w:tcW w:w="2665" w:type="dxa"/>
            <w:vMerge/>
          </w:tcPr>
          <w:p w14:paraId="0079BBBF" w14:textId="77777777" w:rsidR="00454A29" w:rsidRDefault="00454A29"/>
        </w:tc>
        <w:tc>
          <w:tcPr>
            <w:tcW w:w="2665" w:type="dxa"/>
            <w:vMerge/>
            <w:tcBorders>
              <w:bottom w:val="nil"/>
            </w:tcBorders>
          </w:tcPr>
          <w:p w14:paraId="59244B9A" w14:textId="77777777" w:rsidR="00454A29" w:rsidRDefault="00454A29"/>
        </w:tc>
        <w:tc>
          <w:tcPr>
            <w:tcW w:w="1928" w:type="dxa"/>
            <w:vMerge w:val="restart"/>
            <w:vAlign w:val="center"/>
          </w:tcPr>
          <w:p w14:paraId="60753C25" w14:textId="77777777" w:rsidR="00454A29" w:rsidRDefault="00454A29">
            <w:pPr>
              <w:pStyle w:val="ConsPlusNormal"/>
              <w:jc w:val="center"/>
            </w:pPr>
            <w:r>
              <w:t>МР "Олекминский район"</w:t>
            </w:r>
          </w:p>
        </w:tc>
        <w:tc>
          <w:tcPr>
            <w:tcW w:w="1644" w:type="dxa"/>
            <w:vMerge w:val="restart"/>
            <w:vAlign w:val="center"/>
          </w:tcPr>
          <w:p w14:paraId="0C913DA6" w14:textId="77777777" w:rsidR="00454A29" w:rsidRDefault="00454A29">
            <w:pPr>
              <w:pStyle w:val="ConsPlusNormal"/>
              <w:jc w:val="center"/>
            </w:pPr>
            <w:r>
              <w:t>г. Олекминск</w:t>
            </w:r>
          </w:p>
        </w:tc>
        <w:tc>
          <w:tcPr>
            <w:tcW w:w="2041" w:type="dxa"/>
            <w:vMerge w:val="restart"/>
            <w:vAlign w:val="center"/>
          </w:tcPr>
          <w:p w14:paraId="3AF6B37D" w14:textId="77777777" w:rsidR="00454A29" w:rsidRDefault="00454A29">
            <w:pPr>
              <w:pStyle w:val="ConsPlusNormal"/>
              <w:jc w:val="center"/>
            </w:pPr>
            <w:r>
              <w:t>Строительство детского сада на 240 мест</w:t>
            </w:r>
          </w:p>
        </w:tc>
        <w:tc>
          <w:tcPr>
            <w:tcW w:w="2098" w:type="dxa"/>
            <w:vAlign w:val="center"/>
          </w:tcPr>
          <w:p w14:paraId="2550A65E" w14:textId="77777777" w:rsidR="00454A29" w:rsidRDefault="00454A29">
            <w:pPr>
              <w:pStyle w:val="ConsPlusNormal"/>
              <w:jc w:val="center"/>
            </w:pPr>
            <w:r>
              <w:t>Итого</w:t>
            </w:r>
          </w:p>
        </w:tc>
        <w:tc>
          <w:tcPr>
            <w:tcW w:w="1814" w:type="dxa"/>
            <w:vAlign w:val="center"/>
          </w:tcPr>
          <w:p w14:paraId="220B2377" w14:textId="77777777" w:rsidR="00454A29" w:rsidRDefault="00454A29">
            <w:pPr>
              <w:pStyle w:val="ConsPlusNormal"/>
              <w:jc w:val="center"/>
            </w:pPr>
            <w:r>
              <w:t>129 313,99</w:t>
            </w:r>
          </w:p>
        </w:tc>
        <w:tc>
          <w:tcPr>
            <w:tcW w:w="1701" w:type="dxa"/>
            <w:vAlign w:val="center"/>
          </w:tcPr>
          <w:p w14:paraId="205C525E" w14:textId="77777777" w:rsidR="00454A29" w:rsidRDefault="00454A29">
            <w:pPr>
              <w:pStyle w:val="ConsPlusNormal"/>
              <w:jc w:val="center"/>
            </w:pPr>
            <w:r>
              <w:t>193 970,98</w:t>
            </w:r>
          </w:p>
        </w:tc>
        <w:tc>
          <w:tcPr>
            <w:tcW w:w="1701" w:type="dxa"/>
            <w:vAlign w:val="center"/>
          </w:tcPr>
          <w:p w14:paraId="10D0943A" w14:textId="77777777" w:rsidR="00454A29" w:rsidRDefault="00454A29">
            <w:pPr>
              <w:pStyle w:val="ConsPlusNormal"/>
              <w:jc w:val="center"/>
            </w:pPr>
            <w:r>
              <w:t>0,00</w:t>
            </w:r>
          </w:p>
        </w:tc>
        <w:tc>
          <w:tcPr>
            <w:tcW w:w="1701" w:type="dxa"/>
            <w:vAlign w:val="center"/>
          </w:tcPr>
          <w:p w14:paraId="2CD331C4" w14:textId="77777777" w:rsidR="00454A29" w:rsidRDefault="00454A29">
            <w:pPr>
              <w:pStyle w:val="ConsPlusNormal"/>
              <w:jc w:val="center"/>
            </w:pPr>
            <w:r>
              <w:t>х</w:t>
            </w:r>
          </w:p>
        </w:tc>
        <w:tc>
          <w:tcPr>
            <w:tcW w:w="1701" w:type="dxa"/>
            <w:vAlign w:val="center"/>
          </w:tcPr>
          <w:p w14:paraId="3D28E4A0" w14:textId="77777777" w:rsidR="00454A29" w:rsidRDefault="00454A29">
            <w:pPr>
              <w:pStyle w:val="ConsPlusNormal"/>
              <w:jc w:val="center"/>
            </w:pPr>
            <w:r>
              <w:t>х</w:t>
            </w:r>
          </w:p>
        </w:tc>
        <w:tc>
          <w:tcPr>
            <w:tcW w:w="1701" w:type="dxa"/>
            <w:vAlign w:val="center"/>
          </w:tcPr>
          <w:p w14:paraId="64D79F58" w14:textId="77777777" w:rsidR="00454A29" w:rsidRDefault="00454A29">
            <w:pPr>
              <w:pStyle w:val="ConsPlusNormal"/>
              <w:jc w:val="center"/>
            </w:pPr>
            <w:r>
              <w:t>х</w:t>
            </w:r>
          </w:p>
        </w:tc>
        <w:tc>
          <w:tcPr>
            <w:tcW w:w="1701" w:type="dxa"/>
            <w:vAlign w:val="center"/>
          </w:tcPr>
          <w:p w14:paraId="3F08EF46" w14:textId="77777777" w:rsidR="00454A29" w:rsidRDefault="00454A29">
            <w:pPr>
              <w:pStyle w:val="ConsPlusNormal"/>
              <w:jc w:val="center"/>
            </w:pPr>
            <w:r>
              <w:t>х</w:t>
            </w:r>
          </w:p>
        </w:tc>
      </w:tr>
      <w:tr w:rsidR="00454A29" w14:paraId="01CC671F" w14:textId="77777777">
        <w:tc>
          <w:tcPr>
            <w:tcW w:w="964" w:type="dxa"/>
            <w:vMerge/>
          </w:tcPr>
          <w:p w14:paraId="52E9741B" w14:textId="77777777" w:rsidR="00454A29" w:rsidRDefault="00454A29"/>
        </w:tc>
        <w:tc>
          <w:tcPr>
            <w:tcW w:w="2154" w:type="dxa"/>
            <w:vMerge/>
            <w:tcBorders>
              <w:top w:val="nil"/>
              <w:bottom w:val="nil"/>
            </w:tcBorders>
          </w:tcPr>
          <w:p w14:paraId="611810EA" w14:textId="77777777" w:rsidR="00454A29" w:rsidRDefault="00454A29"/>
        </w:tc>
        <w:tc>
          <w:tcPr>
            <w:tcW w:w="2154" w:type="dxa"/>
            <w:vMerge/>
            <w:tcBorders>
              <w:top w:val="nil"/>
              <w:bottom w:val="nil"/>
            </w:tcBorders>
          </w:tcPr>
          <w:p w14:paraId="734DCA6E" w14:textId="77777777" w:rsidR="00454A29" w:rsidRDefault="00454A29"/>
        </w:tc>
        <w:tc>
          <w:tcPr>
            <w:tcW w:w="2665" w:type="dxa"/>
            <w:vMerge/>
          </w:tcPr>
          <w:p w14:paraId="0A5BCD9C" w14:textId="77777777" w:rsidR="00454A29" w:rsidRDefault="00454A29"/>
        </w:tc>
        <w:tc>
          <w:tcPr>
            <w:tcW w:w="2665" w:type="dxa"/>
            <w:vMerge/>
            <w:tcBorders>
              <w:bottom w:val="nil"/>
            </w:tcBorders>
          </w:tcPr>
          <w:p w14:paraId="7EEB7FA8" w14:textId="77777777" w:rsidR="00454A29" w:rsidRDefault="00454A29"/>
        </w:tc>
        <w:tc>
          <w:tcPr>
            <w:tcW w:w="1928" w:type="dxa"/>
            <w:vMerge/>
          </w:tcPr>
          <w:p w14:paraId="2B8D53C2" w14:textId="77777777" w:rsidR="00454A29" w:rsidRDefault="00454A29"/>
        </w:tc>
        <w:tc>
          <w:tcPr>
            <w:tcW w:w="1644" w:type="dxa"/>
            <w:vMerge/>
          </w:tcPr>
          <w:p w14:paraId="67D2F98A" w14:textId="77777777" w:rsidR="00454A29" w:rsidRDefault="00454A29"/>
        </w:tc>
        <w:tc>
          <w:tcPr>
            <w:tcW w:w="2041" w:type="dxa"/>
            <w:vMerge/>
          </w:tcPr>
          <w:p w14:paraId="23BC0896" w14:textId="77777777" w:rsidR="00454A29" w:rsidRDefault="00454A29"/>
        </w:tc>
        <w:tc>
          <w:tcPr>
            <w:tcW w:w="2098" w:type="dxa"/>
            <w:vAlign w:val="center"/>
          </w:tcPr>
          <w:p w14:paraId="7FA23A14"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D9B1E6F" w14:textId="77777777" w:rsidR="00454A29" w:rsidRDefault="00454A29">
            <w:pPr>
              <w:pStyle w:val="ConsPlusNormal"/>
              <w:jc w:val="center"/>
            </w:pPr>
            <w:r>
              <w:t>1 280,21</w:t>
            </w:r>
          </w:p>
        </w:tc>
        <w:tc>
          <w:tcPr>
            <w:tcW w:w="1701" w:type="dxa"/>
            <w:vAlign w:val="center"/>
          </w:tcPr>
          <w:p w14:paraId="12EB43E5" w14:textId="77777777" w:rsidR="00454A29" w:rsidRDefault="00454A29">
            <w:pPr>
              <w:pStyle w:val="ConsPlusNormal"/>
              <w:jc w:val="center"/>
            </w:pPr>
            <w:r>
              <w:t>1 920,31</w:t>
            </w:r>
          </w:p>
        </w:tc>
        <w:tc>
          <w:tcPr>
            <w:tcW w:w="1701" w:type="dxa"/>
            <w:vAlign w:val="center"/>
          </w:tcPr>
          <w:p w14:paraId="66986B2D" w14:textId="77777777" w:rsidR="00454A29" w:rsidRDefault="00454A29">
            <w:pPr>
              <w:pStyle w:val="ConsPlusNormal"/>
              <w:jc w:val="center"/>
            </w:pPr>
            <w:r>
              <w:t>0,00</w:t>
            </w:r>
          </w:p>
        </w:tc>
        <w:tc>
          <w:tcPr>
            <w:tcW w:w="1701" w:type="dxa"/>
            <w:vAlign w:val="center"/>
          </w:tcPr>
          <w:p w14:paraId="00548607" w14:textId="77777777" w:rsidR="00454A29" w:rsidRDefault="00454A29">
            <w:pPr>
              <w:pStyle w:val="ConsPlusNormal"/>
              <w:jc w:val="center"/>
            </w:pPr>
            <w:r>
              <w:t>х</w:t>
            </w:r>
          </w:p>
        </w:tc>
        <w:tc>
          <w:tcPr>
            <w:tcW w:w="1701" w:type="dxa"/>
            <w:vAlign w:val="center"/>
          </w:tcPr>
          <w:p w14:paraId="45A66481" w14:textId="77777777" w:rsidR="00454A29" w:rsidRDefault="00454A29">
            <w:pPr>
              <w:pStyle w:val="ConsPlusNormal"/>
              <w:jc w:val="center"/>
            </w:pPr>
            <w:r>
              <w:t>х</w:t>
            </w:r>
          </w:p>
        </w:tc>
        <w:tc>
          <w:tcPr>
            <w:tcW w:w="1701" w:type="dxa"/>
            <w:vAlign w:val="center"/>
          </w:tcPr>
          <w:p w14:paraId="1B6A77EB" w14:textId="77777777" w:rsidR="00454A29" w:rsidRDefault="00454A29">
            <w:pPr>
              <w:pStyle w:val="ConsPlusNormal"/>
              <w:jc w:val="center"/>
            </w:pPr>
            <w:r>
              <w:t>х</w:t>
            </w:r>
          </w:p>
        </w:tc>
        <w:tc>
          <w:tcPr>
            <w:tcW w:w="1701" w:type="dxa"/>
            <w:vAlign w:val="center"/>
          </w:tcPr>
          <w:p w14:paraId="5E872612" w14:textId="77777777" w:rsidR="00454A29" w:rsidRDefault="00454A29">
            <w:pPr>
              <w:pStyle w:val="ConsPlusNormal"/>
              <w:jc w:val="center"/>
            </w:pPr>
            <w:r>
              <w:t>х</w:t>
            </w:r>
          </w:p>
        </w:tc>
      </w:tr>
      <w:tr w:rsidR="00454A29" w14:paraId="5E7B5286" w14:textId="77777777">
        <w:tc>
          <w:tcPr>
            <w:tcW w:w="964" w:type="dxa"/>
            <w:vMerge/>
          </w:tcPr>
          <w:p w14:paraId="199CB6ED" w14:textId="77777777" w:rsidR="00454A29" w:rsidRDefault="00454A29"/>
        </w:tc>
        <w:tc>
          <w:tcPr>
            <w:tcW w:w="2154" w:type="dxa"/>
            <w:vMerge/>
            <w:tcBorders>
              <w:top w:val="nil"/>
              <w:bottom w:val="nil"/>
            </w:tcBorders>
          </w:tcPr>
          <w:p w14:paraId="2C227173" w14:textId="77777777" w:rsidR="00454A29" w:rsidRDefault="00454A29"/>
        </w:tc>
        <w:tc>
          <w:tcPr>
            <w:tcW w:w="2154" w:type="dxa"/>
            <w:vMerge/>
            <w:tcBorders>
              <w:top w:val="nil"/>
              <w:bottom w:val="nil"/>
            </w:tcBorders>
          </w:tcPr>
          <w:p w14:paraId="406720F8" w14:textId="77777777" w:rsidR="00454A29" w:rsidRDefault="00454A29"/>
        </w:tc>
        <w:tc>
          <w:tcPr>
            <w:tcW w:w="2665" w:type="dxa"/>
            <w:vMerge/>
          </w:tcPr>
          <w:p w14:paraId="4F689BEA" w14:textId="77777777" w:rsidR="00454A29" w:rsidRDefault="00454A29"/>
        </w:tc>
        <w:tc>
          <w:tcPr>
            <w:tcW w:w="2665" w:type="dxa"/>
            <w:vMerge/>
            <w:tcBorders>
              <w:bottom w:val="nil"/>
            </w:tcBorders>
          </w:tcPr>
          <w:p w14:paraId="7B324755" w14:textId="77777777" w:rsidR="00454A29" w:rsidRDefault="00454A29"/>
        </w:tc>
        <w:tc>
          <w:tcPr>
            <w:tcW w:w="1928" w:type="dxa"/>
            <w:vMerge/>
          </w:tcPr>
          <w:p w14:paraId="52E77439" w14:textId="77777777" w:rsidR="00454A29" w:rsidRDefault="00454A29"/>
        </w:tc>
        <w:tc>
          <w:tcPr>
            <w:tcW w:w="1644" w:type="dxa"/>
            <w:vMerge/>
          </w:tcPr>
          <w:p w14:paraId="1462A1BA" w14:textId="77777777" w:rsidR="00454A29" w:rsidRDefault="00454A29"/>
        </w:tc>
        <w:tc>
          <w:tcPr>
            <w:tcW w:w="2041" w:type="dxa"/>
            <w:vMerge/>
          </w:tcPr>
          <w:p w14:paraId="26E30914" w14:textId="77777777" w:rsidR="00454A29" w:rsidRDefault="00454A29"/>
        </w:tc>
        <w:tc>
          <w:tcPr>
            <w:tcW w:w="2098" w:type="dxa"/>
            <w:vAlign w:val="center"/>
          </w:tcPr>
          <w:p w14:paraId="6EE01A0E" w14:textId="77777777" w:rsidR="00454A29" w:rsidRDefault="00454A29">
            <w:pPr>
              <w:pStyle w:val="ConsPlusNormal"/>
              <w:jc w:val="center"/>
            </w:pPr>
            <w:r>
              <w:t>Федеральный бюджет</w:t>
            </w:r>
          </w:p>
        </w:tc>
        <w:tc>
          <w:tcPr>
            <w:tcW w:w="1814" w:type="dxa"/>
            <w:vAlign w:val="center"/>
          </w:tcPr>
          <w:p w14:paraId="26548A77" w14:textId="77777777" w:rsidR="00454A29" w:rsidRDefault="00454A29">
            <w:pPr>
              <w:pStyle w:val="ConsPlusNormal"/>
              <w:jc w:val="center"/>
            </w:pPr>
            <w:r>
              <w:t>126 740,64</w:t>
            </w:r>
          </w:p>
        </w:tc>
        <w:tc>
          <w:tcPr>
            <w:tcW w:w="1701" w:type="dxa"/>
            <w:vAlign w:val="center"/>
          </w:tcPr>
          <w:p w14:paraId="1450C8FB" w14:textId="77777777" w:rsidR="00454A29" w:rsidRDefault="00454A29">
            <w:pPr>
              <w:pStyle w:val="ConsPlusNormal"/>
              <w:jc w:val="center"/>
            </w:pPr>
            <w:r>
              <w:t>190 110,96</w:t>
            </w:r>
          </w:p>
        </w:tc>
        <w:tc>
          <w:tcPr>
            <w:tcW w:w="1701" w:type="dxa"/>
            <w:vAlign w:val="center"/>
          </w:tcPr>
          <w:p w14:paraId="7A3AFF2D" w14:textId="77777777" w:rsidR="00454A29" w:rsidRDefault="00454A29">
            <w:pPr>
              <w:pStyle w:val="ConsPlusNormal"/>
              <w:jc w:val="center"/>
            </w:pPr>
            <w:r>
              <w:t>0,00</w:t>
            </w:r>
          </w:p>
        </w:tc>
        <w:tc>
          <w:tcPr>
            <w:tcW w:w="1701" w:type="dxa"/>
            <w:vAlign w:val="center"/>
          </w:tcPr>
          <w:p w14:paraId="445C51D1" w14:textId="77777777" w:rsidR="00454A29" w:rsidRDefault="00454A29">
            <w:pPr>
              <w:pStyle w:val="ConsPlusNormal"/>
              <w:jc w:val="center"/>
            </w:pPr>
            <w:r>
              <w:t>х</w:t>
            </w:r>
          </w:p>
        </w:tc>
        <w:tc>
          <w:tcPr>
            <w:tcW w:w="1701" w:type="dxa"/>
            <w:vAlign w:val="center"/>
          </w:tcPr>
          <w:p w14:paraId="24BB8B21" w14:textId="77777777" w:rsidR="00454A29" w:rsidRDefault="00454A29">
            <w:pPr>
              <w:pStyle w:val="ConsPlusNormal"/>
              <w:jc w:val="center"/>
            </w:pPr>
            <w:r>
              <w:t>х</w:t>
            </w:r>
          </w:p>
        </w:tc>
        <w:tc>
          <w:tcPr>
            <w:tcW w:w="1701" w:type="dxa"/>
            <w:vAlign w:val="center"/>
          </w:tcPr>
          <w:p w14:paraId="49D54069" w14:textId="77777777" w:rsidR="00454A29" w:rsidRDefault="00454A29">
            <w:pPr>
              <w:pStyle w:val="ConsPlusNormal"/>
              <w:jc w:val="center"/>
            </w:pPr>
            <w:r>
              <w:t>х</w:t>
            </w:r>
          </w:p>
        </w:tc>
        <w:tc>
          <w:tcPr>
            <w:tcW w:w="1701" w:type="dxa"/>
            <w:vAlign w:val="center"/>
          </w:tcPr>
          <w:p w14:paraId="1514EAAB" w14:textId="77777777" w:rsidR="00454A29" w:rsidRDefault="00454A29">
            <w:pPr>
              <w:pStyle w:val="ConsPlusNormal"/>
              <w:jc w:val="center"/>
            </w:pPr>
            <w:r>
              <w:t>х</w:t>
            </w:r>
          </w:p>
        </w:tc>
      </w:tr>
      <w:tr w:rsidR="00454A29" w14:paraId="3B552B5B" w14:textId="77777777">
        <w:tc>
          <w:tcPr>
            <w:tcW w:w="964" w:type="dxa"/>
            <w:vMerge/>
          </w:tcPr>
          <w:p w14:paraId="3C19C58F" w14:textId="77777777" w:rsidR="00454A29" w:rsidRDefault="00454A29"/>
        </w:tc>
        <w:tc>
          <w:tcPr>
            <w:tcW w:w="2154" w:type="dxa"/>
            <w:vMerge/>
            <w:tcBorders>
              <w:top w:val="nil"/>
              <w:bottom w:val="nil"/>
            </w:tcBorders>
          </w:tcPr>
          <w:p w14:paraId="43BCC17C" w14:textId="77777777" w:rsidR="00454A29" w:rsidRDefault="00454A29"/>
        </w:tc>
        <w:tc>
          <w:tcPr>
            <w:tcW w:w="2154" w:type="dxa"/>
            <w:vMerge/>
            <w:tcBorders>
              <w:top w:val="nil"/>
              <w:bottom w:val="nil"/>
            </w:tcBorders>
          </w:tcPr>
          <w:p w14:paraId="3B579747" w14:textId="77777777" w:rsidR="00454A29" w:rsidRDefault="00454A29"/>
        </w:tc>
        <w:tc>
          <w:tcPr>
            <w:tcW w:w="2665" w:type="dxa"/>
            <w:vMerge/>
          </w:tcPr>
          <w:p w14:paraId="2A53417B" w14:textId="77777777" w:rsidR="00454A29" w:rsidRDefault="00454A29"/>
        </w:tc>
        <w:tc>
          <w:tcPr>
            <w:tcW w:w="2665" w:type="dxa"/>
            <w:vMerge/>
            <w:tcBorders>
              <w:bottom w:val="nil"/>
            </w:tcBorders>
          </w:tcPr>
          <w:p w14:paraId="5703D87C" w14:textId="77777777" w:rsidR="00454A29" w:rsidRDefault="00454A29"/>
        </w:tc>
        <w:tc>
          <w:tcPr>
            <w:tcW w:w="1928" w:type="dxa"/>
            <w:vMerge/>
          </w:tcPr>
          <w:p w14:paraId="4994EDDB" w14:textId="77777777" w:rsidR="00454A29" w:rsidRDefault="00454A29"/>
        </w:tc>
        <w:tc>
          <w:tcPr>
            <w:tcW w:w="1644" w:type="dxa"/>
            <w:vMerge/>
          </w:tcPr>
          <w:p w14:paraId="7175B81B" w14:textId="77777777" w:rsidR="00454A29" w:rsidRDefault="00454A29"/>
        </w:tc>
        <w:tc>
          <w:tcPr>
            <w:tcW w:w="2041" w:type="dxa"/>
            <w:vMerge/>
          </w:tcPr>
          <w:p w14:paraId="4C24E3F0" w14:textId="77777777" w:rsidR="00454A29" w:rsidRDefault="00454A29"/>
        </w:tc>
        <w:tc>
          <w:tcPr>
            <w:tcW w:w="2098" w:type="dxa"/>
            <w:vAlign w:val="center"/>
          </w:tcPr>
          <w:p w14:paraId="3E49390B" w14:textId="77777777" w:rsidR="00454A29" w:rsidRDefault="00454A29">
            <w:pPr>
              <w:pStyle w:val="ConsPlusNormal"/>
              <w:jc w:val="center"/>
            </w:pPr>
            <w:r>
              <w:t>Местные бюджеты</w:t>
            </w:r>
          </w:p>
        </w:tc>
        <w:tc>
          <w:tcPr>
            <w:tcW w:w="1814" w:type="dxa"/>
            <w:vAlign w:val="center"/>
          </w:tcPr>
          <w:p w14:paraId="1A1E2015" w14:textId="77777777" w:rsidR="00454A29" w:rsidRDefault="00454A29">
            <w:pPr>
              <w:pStyle w:val="ConsPlusNormal"/>
              <w:jc w:val="center"/>
            </w:pPr>
            <w:r>
              <w:t>1 293,14</w:t>
            </w:r>
          </w:p>
        </w:tc>
        <w:tc>
          <w:tcPr>
            <w:tcW w:w="1701" w:type="dxa"/>
            <w:vAlign w:val="center"/>
          </w:tcPr>
          <w:p w14:paraId="10C18B3E" w14:textId="77777777" w:rsidR="00454A29" w:rsidRDefault="00454A29">
            <w:pPr>
              <w:pStyle w:val="ConsPlusNormal"/>
              <w:jc w:val="center"/>
            </w:pPr>
            <w:r>
              <w:t>1 939,71</w:t>
            </w:r>
          </w:p>
        </w:tc>
        <w:tc>
          <w:tcPr>
            <w:tcW w:w="1701" w:type="dxa"/>
            <w:vAlign w:val="center"/>
          </w:tcPr>
          <w:p w14:paraId="6C07732E" w14:textId="77777777" w:rsidR="00454A29" w:rsidRDefault="00454A29">
            <w:pPr>
              <w:pStyle w:val="ConsPlusNormal"/>
              <w:jc w:val="center"/>
            </w:pPr>
            <w:r>
              <w:t>0,00</w:t>
            </w:r>
          </w:p>
        </w:tc>
        <w:tc>
          <w:tcPr>
            <w:tcW w:w="1701" w:type="dxa"/>
            <w:vAlign w:val="center"/>
          </w:tcPr>
          <w:p w14:paraId="74DAAB9C" w14:textId="77777777" w:rsidR="00454A29" w:rsidRDefault="00454A29">
            <w:pPr>
              <w:pStyle w:val="ConsPlusNormal"/>
              <w:jc w:val="center"/>
            </w:pPr>
            <w:r>
              <w:t>х</w:t>
            </w:r>
          </w:p>
        </w:tc>
        <w:tc>
          <w:tcPr>
            <w:tcW w:w="1701" w:type="dxa"/>
            <w:vAlign w:val="center"/>
          </w:tcPr>
          <w:p w14:paraId="03F68247" w14:textId="77777777" w:rsidR="00454A29" w:rsidRDefault="00454A29">
            <w:pPr>
              <w:pStyle w:val="ConsPlusNormal"/>
              <w:jc w:val="center"/>
            </w:pPr>
            <w:r>
              <w:t>х</w:t>
            </w:r>
          </w:p>
        </w:tc>
        <w:tc>
          <w:tcPr>
            <w:tcW w:w="1701" w:type="dxa"/>
            <w:vAlign w:val="center"/>
          </w:tcPr>
          <w:p w14:paraId="22F081FC" w14:textId="77777777" w:rsidR="00454A29" w:rsidRDefault="00454A29">
            <w:pPr>
              <w:pStyle w:val="ConsPlusNormal"/>
              <w:jc w:val="center"/>
            </w:pPr>
            <w:r>
              <w:t>х</w:t>
            </w:r>
          </w:p>
        </w:tc>
        <w:tc>
          <w:tcPr>
            <w:tcW w:w="1701" w:type="dxa"/>
            <w:vAlign w:val="center"/>
          </w:tcPr>
          <w:p w14:paraId="7FB7701E" w14:textId="77777777" w:rsidR="00454A29" w:rsidRDefault="00454A29">
            <w:pPr>
              <w:pStyle w:val="ConsPlusNormal"/>
              <w:jc w:val="center"/>
            </w:pPr>
            <w:r>
              <w:t>х</w:t>
            </w:r>
          </w:p>
        </w:tc>
      </w:tr>
      <w:tr w:rsidR="00454A29" w14:paraId="7B628209" w14:textId="77777777">
        <w:tc>
          <w:tcPr>
            <w:tcW w:w="964" w:type="dxa"/>
            <w:vMerge/>
          </w:tcPr>
          <w:p w14:paraId="4D6D10A8" w14:textId="77777777" w:rsidR="00454A29" w:rsidRDefault="00454A29"/>
        </w:tc>
        <w:tc>
          <w:tcPr>
            <w:tcW w:w="2154" w:type="dxa"/>
            <w:vMerge/>
            <w:tcBorders>
              <w:top w:val="nil"/>
              <w:bottom w:val="nil"/>
            </w:tcBorders>
          </w:tcPr>
          <w:p w14:paraId="6C24EB9F" w14:textId="77777777" w:rsidR="00454A29" w:rsidRDefault="00454A29"/>
        </w:tc>
        <w:tc>
          <w:tcPr>
            <w:tcW w:w="2154" w:type="dxa"/>
            <w:vMerge/>
            <w:tcBorders>
              <w:top w:val="nil"/>
              <w:bottom w:val="nil"/>
            </w:tcBorders>
          </w:tcPr>
          <w:p w14:paraId="5F7036DC" w14:textId="77777777" w:rsidR="00454A29" w:rsidRDefault="00454A29"/>
        </w:tc>
        <w:tc>
          <w:tcPr>
            <w:tcW w:w="2665" w:type="dxa"/>
            <w:vMerge/>
          </w:tcPr>
          <w:p w14:paraId="6EF578C0" w14:textId="77777777" w:rsidR="00454A29" w:rsidRDefault="00454A29"/>
        </w:tc>
        <w:tc>
          <w:tcPr>
            <w:tcW w:w="2665" w:type="dxa"/>
            <w:vMerge/>
            <w:tcBorders>
              <w:bottom w:val="nil"/>
            </w:tcBorders>
          </w:tcPr>
          <w:p w14:paraId="5A264DFE" w14:textId="77777777" w:rsidR="00454A29" w:rsidRDefault="00454A29"/>
        </w:tc>
        <w:tc>
          <w:tcPr>
            <w:tcW w:w="1928" w:type="dxa"/>
            <w:vMerge/>
          </w:tcPr>
          <w:p w14:paraId="0A8AE703" w14:textId="77777777" w:rsidR="00454A29" w:rsidRDefault="00454A29"/>
        </w:tc>
        <w:tc>
          <w:tcPr>
            <w:tcW w:w="1644" w:type="dxa"/>
            <w:vMerge/>
          </w:tcPr>
          <w:p w14:paraId="0DCD1A7C" w14:textId="77777777" w:rsidR="00454A29" w:rsidRDefault="00454A29"/>
        </w:tc>
        <w:tc>
          <w:tcPr>
            <w:tcW w:w="2041" w:type="dxa"/>
            <w:vMerge/>
          </w:tcPr>
          <w:p w14:paraId="107DC9F6" w14:textId="77777777" w:rsidR="00454A29" w:rsidRDefault="00454A29"/>
        </w:tc>
        <w:tc>
          <w:tcPr>
            <w:tcW w:w="2098" w:type="dxa"/>
            <w:vAlign w:val="center"/>
          </w:tcPr>
          <w:p w14:paraId="44B99DB6" w14:textId="77777777" w:rsidR="00454A29" w:rsidRDefault="00454A29">
            <w:pPr>
              <w:pStyle w:val="ConsPlusNormal"/>
              <w:jc w:val="center"/>
            </w:pPr>
            <w:r>
              <w:t>Внебюджетные средства</w:t>
            </w:r>
          </w:p>
        </w:tc>
        <w:tc>
          <w:tcPr>
            <w:tcW w:w="1814" w:type="dxa"/>
            <w:vAlign w:val="center"/>
          </w:tcPr>
          <w:p w14:paraId="1FE42390" w14:textId="77777777" w:rsidR="00454A29" w:rsidRDefault="00454A29">
            <w:pPr>
              <w:pStyle w:val="ConsPlusNormal"/>
              <w:jc w:val="center"/>
            </w:pPr>
            <w:r>
              <w:t>0,00</w:t>
            </w:r>
          </w:p>
        </w:tc>
        <w:tc>
          <w:tcPr>
            <w:tcW w:w="1701" w:type="dxa"/>
            <w:vAlign w:val="center"/>
          </w:tcPr>
          <w:p w14:paraId="0E3519FE" w14:textId="77777777" w:rsidR="00454A29" w:rsidRDefault="00454A29">
            <w:pPr>
              <w:pStyle w:val="ConsPlusNormal"/>
              <w:jc w:val="center"/>
            </w:pPr>
            <w:r>
              <w:t>0,00</w:t>
            </w:r>
          </w:p>
        </w:tc>
        <w:tc>
          <w:tcPr>
            <w:tcW w:w="1701" w:type="dxa"/>
            <w:vAlign w:val="center"/>
          </w:tcPr>
          <w:p w14:paraId="2632CE1C" w14:textId="77777777" w:rsidR="00454A29" w:rsidRDefault="00454A29">
            <w:pPr>
              <w:pStyle w:val="ConsPlusNormal"/>
              <w:jc w:val="center"/>
            </w:pPr>
            <w:r>
              <w:t>0,00</w:t>
            </w:r>
          </w:p>
        </w:tc>
        <w:tc>
          <w:tcPr>
            <w:tcW w:w="1701" w:type="dxa"/>
            <w:vAlign w:val="center"/>
          </w:tcPr>
          <w:p w14:paraId="0619E1CA" w14:textId="77777777" w:rsidR="00454A29" w:rsidRDefault="00454A29">
            <w:pPr>
              <w:pStyle w:val="ConsPlusNormal"/>
              <w:jc w:val="center"/>
            </w:pPr>
            <w:r>
              <w:t>х</w:t>
            </w:r>
          </w:p>
        </w:tc>
        <w:tc>
          <w:tcPr>
            <w:tcW w:w="1701" w:type="dxa"/>
            <w:vAlign w:val="center"/>
          </w:tcPr>
          <w:p w14:paraId="29F7BF27" w14:textId="77777777" w:rsidR="00454A29" w:rsidRDefault="00454A29">
            <w:pPr>
              <w:pStyle w:val="ConsPlusNormal"/>
              <w:jc w:val="center"/>
            </w:pPr>
            <w:r>
              <w:t>х</w:t>
            </w:r>
          </w:p>
        </w:tc>
        <w:tc>
          <w:tcPr>
            <w:tcW w:w="1701" w:type="dxa"/>
            <w:vAlign w:val="center"/>
          </w:tcPr>
          <w:p w14:paraId="206CFA8F" w14:textId="77777777" w:rsidR="00454A29" w:rsidRDefault="00454A29">
            <w:pPr>
              <w:pStyle w:val="ConsPlusNormal"/>
              <w:jc w:val="center"/>
            </w:pPr>
            <w:r>
              <w:t>х</w:t>
            </w:r>
          </w:p>
        </w:tc>
        <w:tc>
          <w:tcPr>
            <w:tcW w:w="1701" w:type="dxa"/>
            <w:vAlign w:val="center"/>
          </w:tcPr>
          <w:p w14:paraId="0FD50D0E" w14:textId="77777777" w:rsidR="00454A29" w:rsidRDefault="00454A29">
            <w:pPr>
              <w:pStyle w:val="ConsPlusNormal"/>
              <w:jc w:val="center"/>
            </w:pPr>
            <w:r>
              <w:t>х</w:t>
            </w:r>
          </w:p>
        </w:tc>
      </w:tr>
      <w:tr w:rsidR="00454A29" w14:paraId="43BC3A14" w14:textId="77777777">
        <w:tc>
          <w:tcPr>
            <w:tcW w:w="964" w:type="dxa"/>
            <w:vMerge w:val="restart"/>
            <w:vAlign w:val="center"/>
          </w:tcPr>
          <w:p w14:paraId="0D239D11" w14:textId="77777777" w:rsidR="00454A29" w:rsidRDefault="00454A29">
            <w:pPr>
              <w:pStyle w:val="ConsPlusNormal"/>
              <w:jc w:val="center"/>
            </w:pPr>
            <w:r>
              <w:t>11.2.2.</w:t>
            </w:r>
          </w:p>
        </w:tc>
        <w:tc>
          <w:tcPr>
            <w:tcW w:w="2154" w:type="dxa"/>
            <w:vMerge w:val="restart"/>
            <w:tcBorders>
              <w:top w:val="nil"/>
              <w:bottom w:val="nil"/>
            </w:tcBorders>
            <w:vAlign w:val="center"/>
          </w:tcPr>
          <w:p w14:paraId="2A4D4A27" w14:textId="77777777" w:rsidR="00454A29" w:rsidRDefault="00454A29">
            <w:pPr>
              <w:pStyle w:val="ConsPlusNormal"/>
            </w:pPr>
          </w:p>
        </w:tc>
        <w:tc>
          <w:tcPr>
            <w:tcW w:w="2154" w:type="dxa"/>
            <w:vMerge w:val="restart"/>
            <w:tcBorders>
              <w:top w:val="nil"/>
              <w:bottom w:val="nil"/>
            </w:tcBorders>
            <w:vAlign w:val="center"/>
          </w:tcPr>
          <w:p w14:paraId="72227DC0" w14:textId="77777777" w:rsidR="00454A29" w:rsidRDefault="00454A29">
            <w:pPr>
              <w:pStyle w:val="ConsPlusNormal"/>
            </w:pPr>
          </w:p>
        </w:tc>
        <w:tc>
          <w:tcPr>
            <w:tcW w:w="2665" w:type="dxa"/>
            <w:vMerge/>
          </w:tcPr>
          <w:p w14:paraId="303F28CF" w14:textId="77777777" w:rsidR="00454A29" w:rsidRDefault="00454A29"/>
        </w:tc>
        <w:tc>
          <w:tcPr>
            <w:tcW w:w="2665" w:type="dxa"/>
            <w:vMerge w:val="restart"/>
            <w:tcBorders>
              <w:top w:val="nil"/>
              <w:bottom w:val="nil"/>
            </w:tcBorders>
            <w:vAlign w:val="center"/>
          </w:tcPr>
          <w:p w14:paraId="020D62FF" w14:textId="77777777" w:rsidR="00454A29" w:rsidRDefault="00454A29">
            <w:pPr>
              <w:pStyle w:val="ConsPlusNormal"/>
            </w:pPr>
          </w:p>
        </w:tc>
        <w:tc>
          <w:tcPr>
            <w:tcW w:w="1928" w:type="dxa"/>
            <w:vMerge w:val="restart"/>
            <w:vAlign w:val="center"/>
          </w:tcPr>
          <w:p w14:paraId="569B834A" w14:textId="77777777" w:rsidR="00454A29" w:rsidRDefault="00454A29">
            <w:pPr>
              <w:pStyle w:val="ConsPlusNormal"/>
              <w:jc w:val="center"/>
            </w:pPr>
            <w:r>
              <w:t>ГО "город Якутск"</w:t>
            </w:r>
          </w:p>
        </w:tc>
        <w:tc>
          <w:tcPr>
            <w:tcW w:w="1644" w:type="dxa"/>
            <w:vMerge w:val="restart"/>
            <w:vAlign w:val="center"/>
          </w:tcPr>
          <w:p w14:paraId="27087FA2" w14:textId="77777777" w:rsidR="00454A29" w:rsidRDefault="00454A29">
            <w:pPr>
              <w:pStyle w:val="ConsPlusNormal"/>
              <w:jc w:val="center"/>
            </w:pPr>
            <w:r>
              <w:t>г. Якутск</w:t>
            </w:r>
          </w:p>
        </w:tc>
        <w:tc>
          <w:tcPr>
            <w:tcW w:w="2041" w:type="dxa"/>
            <w:vMerge w:val="restart"/>
            <w:vAlign w:val="center"/>
          </w:tcPr>
          <w:p w14:paraId="0C153ADA" w14:textId="77777777" w:rsidR="00454A29" w:rsidRDefault="00454A29">
            <w:pPr>
              <w:pStyle w:val="ConsPlusNormal"/>
              <w:jc w:val="center"/>
            </w:pPr>
            <w:r>
              <w:t>Приобретение детского сада на 240 мест</w:t>
            </w:r>
          </w:p>
        </w:tc>
        <w:tc>
          <w:tcPr>
            <w:tcW w:w="2098" w:type="dxa"/>
            <w:vAlign w:val="center"/>
          </w:tcPr>
          <w:p w14:paraId="257F7E3C" w14:textId="77777777" w:rsidR="00454A29" w:rsidRDefault="00454A29">
            <w:pPr>
              <w:pStyle w:val="ConsPlusNormal"/>
              <w:jc w:val="center"/>
            </w:pPr>
            <w:r>
              <w:t>Итого</w:t>
            </w:r>
          </w:p>
        </w:tc>
        <w:tc>
          <w:tcPr>
            <w:tcW w:w="1814" w:type="dxa"/>
            <w:vAlign w:val="center"/>
          </w:tcPr>
          <w:p w14:paraId="271A90C0" w14:textId="77777777" w:rsidR="00454A29" w:rsidRDefault="00454A29">
            <w:pPr>
              <w:pStyle w:val="ConsPlusNormal"/>
              <w:jc w:val="center"/>
            </w:pPr>
            <w:r>
              <w:t>61 692,41</w:t>
            </w:r>
          </w:p>
        </w:tc>
        <w:tc>
          <w:tcPr>
            <w:tcW w:w="1701" w:type="dxa"/>
            <w:vAlign w:val="center"/>
          </w:tcPr>
          <w:p w14:paraId="412FDE22" w14:textId="77777777" w:rsidR="00454A29" w:rsidRDefault="00454A29">
            <w:pPr>
              <w:pStyle w:val="ConsPlusNormal"/>
              <w:jc w:val="center"/>
            </w:pPr>
            <w:r>
              <w:t>124 390,48</w:t>
            </w:r>
          </w:p>
        </w:tc>
        <w:tc>
          <w:tcPr>
            <w:tcW w:w="1701" w:type="dxa"/>
            <w:vAlign w:val="center"/>
          </w:tcPr>
          <w:p w14:paraId="646983A9" w14:textId="77777777" w:rsidR="00454A29" w:rsidRDefault="00454A29">
            <w:pPr>
              <w:pStyle w:val="ConsPlusNormal"/>
              <w:jc w:val="center"/>
            </w:pPr>
            <w:r>
              <w:t>0,00</w:t>
            </w:r>
          </w:p>
        </w:tc>
        <w:tc>
          <w:tcPr>
            <w:tcW w:w="1701" w:type="dxa"/>
            <w:vAlign w:val="center"/>
          </w:tcPr>
          <w:p w14:paraId="3EECC4E9" w14:textId="77777777" w:rsidR="00454A29" w:rsidRDefault="00454A29">
            <w:pPr>
              <w:pStyle w:val="ConsPlusNormal"/>
              <w:jc w:val="center"/>
            </w:pPr>
            <w:r>
              <w:t>х</w:t>
            </w:r>
          </w:p>
        </w:tc>
        <w:tc>
          <w:tcPr>
            <w:tcW w:w="1701" w:type="dxa"/>
            <w:vAlign w:val="center"/>
          </w:tcPr>
          <w:p w14:paraId="1C4AE24F" w14:textId="77777777" w:rsidR="00454A29" w:rsidRDefault="00454A29">
            <w:pPr>
              <w:pStyle w:val="ConsPlusNormal"/>
              <w:jc w:val="center"/>
            </w:pPr>
            <w:r>
              <w:t>х</w:t>
            </w:r>
          </w:p>
        </w:tc>
        <w:tc>
          <w:tcPr>
            <w:tcW w:w="1701" w:type="dxa"/>
            <w:vAlign w:val="center"/>
          </w:tcPr>
          <w:p w14:paraId="7FD8A4FF" w14:textId="77777777" w:rsidR="00454A29" w:rsidRDefault="00454A29">
            <w:pPr>
              <w:pStyle w:val="ConsPlusNormal"/>
              <w:jc w:val="center"/>
            </w:pPr>
            <w:r>
              <w:t>х</w:t>
            </w:r>
          </w:p>
        </w:tc>
        <w:tc>
          <w:tcPr>
            <w:tcW w:w="1701" w:type="dxa"/>
            <w:vAlign w:val="center"/>
          </w:tcPr>
          <w:p w14:paraId="353EC299" w14:textId="77777777" w:rsidR="00454A29" w:rsidRDefault="00454A29">
            <w:pPr>
              <w:pStyle w:val="ConsPlusNormal"/>
              <w:jc w:val="center"/>
            </w:pPr>
            <w:r>
              <w:t>х</w:t>
            </w:r>
          </w:p>
        </w:tc>
      </w:tr>
      <w:tr w:rsidR="00454A29" w14:paraId="7EA9B36E" w14:textId="77777777">
        <w:tc>
          <w:tcPr>
            <w:tcW w:w="964" w:type="dxa"/>
            <w:vMerge/>
          </w:tcPr>
          <w:p w14:paraId="270CEA95" w14:textId="77777777" w:rsidR="00454A29" w:rsidRDefault="00454A29"/>
        </w:tc>
        <w:tc>
          <w:tcPr>
            <w:tcW w:w="2154" w:type="dxa"/>
            <w:vMerge/>
            <w:tcBorders>
              <w:top w:val="nil"/>
              <w:bottom w:val="nil"/>
            </w:tcBorders>
          </w:tcPr>
          <w:p w14:paraId="35901D63" w14:textId="77777777" w:rsidR="00454A29" w:rsidRDefault="00454A29"/>
        </w:tc>
        <w:tc>
          <w:tcPr>
            <w:tcW w:w="2154" w:type="dxa"/>
            <w:vMerge/>
            <w:tcBorders>
              <w:top w:val="nil"/>
              <w:bottom w:val="nil"/>
            </w:tcBorders>
          </w:tcPr>
          <w:p w14:paraId="74C42ED6" w14:textId="77777777" w:rsidR="00454A29" w:rsidRDefault="00454A29"/>
        </w:tc>
        <w:tc>
          <w:tcPr>
            <w:tcW w:w="2665" w:type="dxa"/>
            <w:vMerge/>
          </w:tcPr>
          <w:p w14:paraId="2545B9B6" w14:textId="77777777" w:rsidR="00454A29" w:rsidRDefault="00454A29"/>
        </w:tc>
        <w:tc>
          <w:tcPr>
            <w:tcW w:w="2665" w:type="dxa"/>
            <w:vMerge/>
            <w:tcBorders>
              <w:top w:val="nil"/>
              <w:bottom w:val="nil"/>
            </w:tcBorders>
          </w:tcPr>
          <w:p w14:paraId="7EF2393B" w14:textId="77777777" w:rsidR="00454A29" w:rsidRDefault="00454A29"/>
        </w:tc>
        <w:tc>
          <w:tcPr>
            <w:tcW w:w="1928" w:type="dxa"/>
            <w:vMerge/>
          </w:tcPr>
          <w:p w14:paraId="2D8A7C87" w14:textId="77777777" w:rsidR="00454A29" w:rsidRDefault="00454A29"/>
        </w:tc>
        <w:tc>
          <w:tcPr>
            <w:tcW w:w="1644" w:type="dxa"/>
            <w:vMerge/>
          </w:tcPr>
          <w:p w14:paraId="34D816B1" w14:textId="77777777" w:rsidR="00454A29" w:rsidRDefault="00454A29"/>
        </w:tc>
        <w:tc>
          <w:tcPr>
            <w:tcW w:w="2041" w:type="dxa"/>
            <w:vMerge/>
          </w:tcPr>
          <w:p w14:paraId="60EB615C" w14:textId="77777777" w:rsidR="00454A29" w:rsidRDefault="00454A29"/>
        </w:tc>
        <w:tc>
          <w:tcPr>
            <w:tcW w:w="2098" w:type="dxa"/>
            <w:vAlign w:val="center"/>
          </w:tcPr>
          <w:p w14:paraId="4102F730"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9D1D471" w14:textId="77777777" w:rsidR="00454A29" w:rsidRDefault="00454A29">
            <w:pPr>
              <w:pStyle w:val="ConsPlusNormal"/>
              <w:jc w:val="center"/>
            </w:pPr>
            <w:r>
              <w:t>1 823,48</w:t>
            </w:r>
          </w:p>
        </w:tc>
        <w:tc>
          <w:tcPr>
            <w:tcW w:w="1701" w:type="dxa"/>
            <w:vAlign w:val="center"/>
          </w:tcPr>
          <w:p w14:paraId="71CFAB05" w14:textId="77777777" w:rsidR="00454A29" w:rsidRDefault="00454A29">
            <w:pPr>
              <w:pStyle w:val="ConsPlusNormal"/>
              <w:jc w:val="center"/>
            </w:pPr>
            <w:r>
              <w:t>1 243,90</w:t>
            </w:r>
          </w:p>
        </w:tc>
        <w:tc>
          <w:tcPr>
            <w:tcW w:w="1701" w:type="dxa"/>
            <w:vAlign w:val="center"/>
          </w:tcPr>
          <w:p w14:paraId="46E0D2F5" w14:textId="77777777" w:rsidR="00454A29" w:rsidRDefault="00454A29">
            <w:pPr>
              <w:pStyle w:val="ConsPlusNormal"/>
              <w:jc w:val="center"/>
            </w:pPr>
            <w:r>
              <w:t>0,00</w:t>
            </w:r>
          </w:p>
        </w:tc>
        <w:tc>
          <w:tcPr>
            <w:tcW w:w="1701" w:type="dxa"/>
            <w:vAlign w:val="center"/>
          </w:tcPr>
          <w:p w14:paraId="3A09C976" w14:textId="77777777" w:rsidR="00454A29" w:rsidRDefault="00454A29">
            <w:pPr>
              <w:pStyle w:val="ConsPlusNormal"/>
              <w:jc w:val="center"/>
            </w:pPr>
            <w:r>
              <w:t>х</w:t>
            </w:r>
          </w:p>
        </w:tc>
        <w:tc>
          <w:tcPr>
            <w:tcW w:w="1701" w:type="dxa"/>
            <w:vAlign w:val="center"/>
          </w:tcPr>
          <w:p w14:paraId="24828025" w14:textId="77777777" w:rsidR="00454A29" w:rsidRDefault="00454A29">
            <w:pPr>
              <w:pStyle w:val="ConsPlusNormal"/>
              <w:jc w:val="center"/>
            </w:pPr>
            <w:r>
              <w:t>х</w:t>
            </w:r>
          </w:p>
        </w:tc>
        <w:tc>
          <w:tcPr>
            <w:tcW w:w="1701" w:type="dxa"/>
            <w:vAlign w:val="center"/>
          </w:tcPr>
          <w:p w14:paraId="3D7AE1D6" w14:textId="77777777" w:rsidR="00454A29" w:rsidRDefault="00454A29">
            <w:pPr>
              <w:pStyle w:val="ConsPlusNormal"/>
              <w:jc w:val="center"/>
            </w:pPr>
            <w:r>
              <w:t>х</w:t>
            </w:r>
          </w:p>
        </w:tc>
        <w:tc>
          <w:tcPr>
            <w:tcW w:w="1701" w:type="dxa"/>
            <w:vAlign w:val="center"/>
          </w:tcPr>
          <w:p w14:paraId="2E3692C7" w14:textId="77777777" w:rsidR="00454A29" w:rsidRDefault="00454A29">
            <w:pPr>
              <w:pStyle w:val="ConsPlusNormal"/>
              <w:jc w:val="center"/>
            </w:pPr>
            <w:r>
              <w:t>х</w:t>
            </w:r>
          </w:p>
        </w:tc>
      </w:tr>
      <w:tr w:rsidR="00454A29" w14:paraId="014890C2" w14:textId="77777777">
        <w:tc>
          <w:tcPr>
            <w:tcW w:w="964" w:type="dxa"/>
            <w:vMerge/>
          </w:tcPr>
          <w:p w14:paraId="4F558CAE" w14:textId="77777777" w:rsidR="00454A29" w:rsidRDefault="00454A29"/>
        </w:tc>
        <w:tc>
          <w:tcPr>
            <w:tcW w:w="2154" w:type="dxa"/>
            <w:vMerge/>
            <w:tcBorders>
              <w:top w:val="nil"/>
              <w:bottom w:val="nil"/>
            </w:tcBorders>
          </w:tcPr>
          <w:p w14:paraId="2002C3A8" w14:textId="77777777" w:rsidR="00454A29" w:rsidRDefault="00454A29"/>
        </w:tc>
        <w:tc>
          <w:tcPr>
            <w:tcW w:w="2154" w:type="dxa"/>
            <w:vMerge/>
            <w:tcBorders>
              <w:top w:val="nil"/>
              <w:bottom w:val="nil"/>
            </w:tcBorders>
          </w:tcPr>
          <w:p w14:paraId="2518D2B5" w14:textId="77777777" w:rsidR="00454A29" w:rsidRDefault="00454A29"/>
        </w:tc>
        <w:tc>
          <w:tcPr>
            <w:tcW w:w="2665" w:type="dxa"/>
            <w:vMerge/>
          </w:tcPr>
          <w:p w14:paraId="445838F4" w14:textId="77777777" w:rsidR="00454A29" w:rsidRDefault="00454A29"/>
        </w:tc>
        <w:tc>
          <w:tcPr>
            <w:tcW w:w="2665" w:type="dxa"/>
            <w:vMerge/>
            <w:tcBorders>
              <w:top w:val="nil"/>
              <w:bottom w:val="nil"/>
            </w:tcBorders>
          </w:tcPr>
          <w:p w14:paraId="078DC242" w14:textId="77777777" w:rsidR="00454A29" w:rsidRDefault="00454A29"/>
        </w:tc>
        <w:tc>
          <w:tcPr>
            <w:tcW w:w="1928" w:type="dxa"/>
            <w:vMerge/>
          </w:tcPr>
          <w:p w14:paraId="64621ABE" w14:textId="77777777" w:rsidR="00454A29" w:rsidRDefault="00454A29"/>
        </w:tc>
        <w:tc>
          <w:tcPr>
            <w:tcW w:w="1644" w:type="dxa"/>
            <w:vMerge/>
          </w:tcPr>
          <w:p w14:paraId="22A8D0C7" w14:textId="77777777" w:rsidR="00454A29" w:rsidRDefault="00454A29"/>
        </w:tc>
        <w:tc>
          <w:tcPr>
            <w:tcW w:w="2041" w:type="dxa"/>
            <w:vMerge/>
          </w:tcPr>
          <w:p w14:paraId="415E2F65" w14:textId="77777777" w:rsidR="00454A29" w:rsidRDefault="00454A29"/>
        </w:tc>
        <w:tc>
          <w:tcPr>
            <w:tcW w:w="2098" w:type="dxa"/>
            <w:vAlign w:val="center"/>
          </w:tcPr>
          <w:p w14:paraId="554D0C02" w14:textId="77777777" w:rsidR="00454A29" w:rsidRDefault="00454A29">
            <w:pPr>
              <w:pStyle w:val="ConsPlusNormal"/>
              <w:jc w:val="center"/>
            </w:pPr>
            <w:r>
              <w:t>Федеральный бюджет</w:t>
            </w:r>
          </w:p>
        </w:tc>
        <w:tc>
          <w:tcPr>
            <w:tcW w:w="1814" w:type="dxa"/>
            <w:vAlign w:val="center"/>
          </w:tcPr>
          <w:p w14:paraId="07D28C29" w14:textId="77777777" w:rsidR="00454A29" w:rsidRDefault="00454A29">
            <w:pPr>
              <w:pStyle w:val="ConsPlusNormal"/>
              <w:jc w:val="center"/>
            </w:pPr>
            <w:r>
              <w:t>59 868,93</w:t>
            </w:r>
          </w:p>
        </w:tc>
        <w:tc>
          <w:tcPr>
            <w:tcW w:w="1701" w:type="dxa"/>
            <w:vAlign w:val="center"/>
          </w:tcPr>
          <w:p w14:paraId="3357B5CC" w14:textId="77777777" w:rsidR="00454A29" w:rsidRDefault="00454A29">
            <w:pPr>
              <w:pStyle w:val="ConsPlusNormal"/>
              <w:jc w:val="center"/>
            </w:pPr>
            <w:r>
              <w:t>123 146,58</w:t>
            </w:r>
          </w:p>
        </w:tc>
        <w:tc>
          <w:tcPr>
            <w:tcW w:w="1701" w:type="dxa"/>
            <w:vAlign w:val="center"/>
          </w:tcPr>
          <w:p w14:paraId="46E60FBA" w14:textId="77777777" w:rsidR="00454A29" w:rsidRDefault="00454A29">
            <w:pPr>
              <w:pStyle w:val="ConsPlusNormal"/>
              <w:jc w:val="center"/>
            </w:pPr>
            <w:r>
              <w:t>0,00</w:t>
            </w:r>
          </w:p>
        </w:tc>
        <w:tc>
          <w:tcPr>
            <w:tcW w:w="1701" w:type="dxa"/>
            <w:vAlign w:val="center"/>
          </w:tcPr>
          <w:p w14:paraId="02F62A64" w14:textId="77777777" w:rsidR="00454A29" w:rsidRDefault="00454A29">
            <w:pPr>
              <w:pStyle w:val="ConsPlusNormal"/>
              <w:jc w:val="center"/>
            </w:pPr>
            <w:r>
              <w:t>х</w:t>
            </w:r>
          </w:p>
        </w:tc>
        <w:tc>
          <w:tcPr>
            <w:tcW w:w="1701" w:type="dxa"/>
            <w:vAlign w:val="center"/>
          </w:tcPr>
          <w:p w14:paraId="38C4ED4F" w14:textId="77777777" w:rsidR="00454A29" w:rsidRDefault="00454A29">
            <w:pPr>
              <w:pStyle w:val="ConsPlusNormal"/>
              <w:jc w:val="center"/>
            </w:pPr>
            <w:r>
              <w:t>х</w:t>
            </w:r>
          </w:p>
        </w:tc>
        <w:tc>
          <w:tcPr>
            <w:tcW w:w="1701" w:type="dxa"/>
            <w:vAlign w:val="center"/>
          </w:tcPr>
          <w:p w14:paraId="75D0C544" w14:textId="77777777" w:rsidR="00454A29" w:rsidRDefault="00454A29">
            <w:pPr>
              <w:pStyle w:val="ConsPlusNormal"/>
              <w:jc w:val="center"/>
            </w:pPr>
            <w:r>
              <w:t>х</w:t>
            </w:r>
          </w:p>
        </w:tc>
        <w:tc>
          <w:tcPr>
            <w:tcW w:w="1701" w:type="dxa"/>
            <w:vAlign w:val="center"/>
          </w:tcPr>
          <w:p w14:paraId="652CC32D" w14:textId="77777777" w:rsidR="00454A29" w:rsidRDefault="00454A29">
            <w:pPr>
              <w:pStyle w:val="ConsPlusNormal"/>
              <w:jc w:val="center"/>
            </w:pPr>
            <w:r>
              <w:t>х</w:t>
            </w:r>
          </w:p>
        </w:tc>
      </w:tr>
      <w:tr w:rsidR="00454A29" w14:paraId="1E2F21E2" w14:textId="77777777">
        <w:tc>
          <w:tcPr>
            <w:tcW w:w="964" w:type="dxa"/>
            <w:vMerge/>
          </w:tcPr>
          <w:p w14:paraId="57E61C2C" w14:textId="77777777" w:rsidR="00454A29" w:rsidRDefault="00454A29"/>
        </w:tc>
        <w:tc>
          <w:tcPr>
            <w:tcW w:w="2154" w:type="dxa"/>
            <w:vMerge/>
            <w:tcBorders>
              <w:top w:val="nil"/>
              <w:bottom w:val="nil"/>
            </w:tcBorders>
          </w:tcPr>
          <w:p w14:paraId="31D39895" w14:textId="77777777" w:rsidR="00454A29" w:rsidRDefault="00454A29"/>
        </w:tc>
        <w:tc>
          <w:tcPr>
            <w:tcW w:w="2154" w:type="dxa"/>
            <w:vMerge/>
            <w:tcBorders>
              <w:top w:val="nil"/>
              <w:bottom w:val="nil"/>
            </w:tcBorders>
          </w:tcPr>
          <w:p w14:paraId="1D914DD8" w14:textId="77777777" w:rsidR="00454A29" w:rsidRDefault="00454A29"/>
        </w:tc>
        <w:tc>
          <w:tcPr>
            <w:tcW w:w="2665" w:type="dxa"/>
            <w:vMerge/>
          </w:tcPr>
          <w:p w14:paraId="6A641668" w14:textId="77777777" w:rsidR="00454A29" w:rsidRDefault="00454A29"/>
        </w:tc>
        <w:tc>
          <w:tcPr>
            <w:tcW w:w="2665" w:type="dxa"/>
            <w:vMerge/>
            <w:tcBorders>
              <w:top w:val="nil"/>
              <w:bottom w:val="nil"/>
            </w:tcBorders>
          </w:tcPr>
          <w:p w14:paraId="1CBC83CD" w14:textId="77777777" w:rsidR="00454A29" w:rsidRDefault="00454A29"/>
        </w:tc>
        <w:tc>
          <w:tcPr>
            <w:tcW w:w="1928" w:type="dxa"/>
            <w:vMerge/>
          </w:tcPr>
          <w:p w14:paraId="07191828" w14:textId="77777777" w:rsidR="00454A29" w:rsidRDefault="00454A29"/>
        </w:tc>
        <w:tc>
          <w:tcPr>
            <w:tcW w:w="1644" w:type="dxa"/>
            <w:vMerge/>
          </w:tcPr>
          <w:p w14:paraId="68C07159" w14:textId="77777777" w:rsidR="00454A29" w:rsidRDefault="00454A29"/>
        </w:tc>
        <w:tc>
          <w:tcPr>
            <w:tcW w:w="2041" w:type="dxa"/>
            <w:vMerge/>
          </w:tcPr>
          <w:p w14:paraId="39C953BA" w14:textId="77777777" w:rsidR="00454A29" w:rsidRDefault="00454A29"/>
        </w:tc>
        <w:tc>
          <w:tcPr>
            <w:tcW w:w="2098" w:type="dxa"/>
            <w:vAlign w:val="center"/>
          </w:tcPr>
          <w:p w14:paraId="7B9DCBBA" w14:textId="77777777" w:rsidR="00454A29" w:rsidRDefault="00454A29">
            <w:pPr>
              <w:pStyle w:val="ConsPlusNormal"/>
              <w:jc w:val="center"/>
            </w:pPr>
            <w:r>
              <w:t>Местные бюджеты</w:t>
            </w:r>
          </w:p>
        </w:tc>
        <w:tc>
          <w:tcPr>
            <w:tcW w:w="1814" w:type="dxa"/>
            <w:vAlign w:val="center"/>
          </w:tcPr>
          <w:p w14:paraId="6F9D9182" w14:textId="77777777" w:rsidR="00454A29" w:rsidRDefault="00454A29">
            <w:pPr>
              <w:pStyle w:val="ConsPlusNormal"/>
              <w:jc w:val="center"/>
            </w:pPr>
            <w:r>
              <w:t>0,00</w:t>
            </w:r>
          </w:p>
        </w:tc>
        <w:tc>
          <w:tcPr>
            <w:tcW w:w="1701" w:type="dxa"/>
            <w:vAlign w:val="center"/>
          </w:tcPr>
          <w:p w14:paraId="0AE41AA5" w14:textId="77777777" w:rsidR="00454A29" w:rsidRDefault="00454A29">
            <w:pPr>
              <w:pStyle w:val="ConsPlusNormal"/>
              <w:jc w:val="center"/>
            </w:pPr>
            <w:r>
              <w:t>х</w:t>
            </w:r>
          </w:p>
        </w:tc>
        <w:tc>
          <w:tcPr>
            <w:tcW w:w="1701" w:type="dxa"/>
            <w:vAlign w:val="center"/>
          </w:tcPr>
          <w:p w14:paraId="6BDEED80" w14:textId="77777777" w:rsidR="00454A29" w:rsidRDefault="00454A29">
            <w:pPr>
              <w:pStyle w:val="ConsPlusNormal"/>
              <w:jc w:val="center"/>
            </w:pPr>
            <w:r>
              <w:t>0,00</w:t>
            </w:r>
          </w:p>
        </w:tc>
        <w:tc>
          <w:tcPr>
            <w:tcW w:w="1701" w:type="dxa"/>
            <w:vAlign w:val="center"/>
          </w:tcPr>
          <w:p w14:paraId="624A453A" w14:textId="77777777" w:rsidR="00454A29" w:rsidRDefault="00454A29">
            <w:pPr>
              <w:pStyle w:val="ConsPlusNormal"/>
              <w:jc w:val="center"/>
            </w:pPr>
            <w:r>
              <w:t>х</w:t>
            </w:r>
          </w:p>
        </w:tc>
        <w:tc>
          <w:tcPr>
            <w:tcW w:w="1701" w:type="dxa"/>
            <w:vAlign w:val="center"/>
          </w:tcPr>
          <w:p w14:paraId="564EBA7B" w14:textId="77777777" w:rsidR="00454A29" w:rsidRDefault="00454A29">
            <w:pPr>
              <w:pStyle w:val="ConsPlusNormal"/>
              <w:jc w:val="center"/>
            </w:pPr>
            <w:r>
              <w:t>х</w:t>
            </w:r>
          </w:p>
        </w:tc>
        <w:tc>
          <w:tcPr>
            <w:tcW w:w="1701" w:type="dxa"/>
            <w:vAlign w:val="center"/>
          </w:tcPr>
          <w:p w14:paraId="2554D68E" w14:textId="77777777" w:rsidR="00454A29" w:rsidRDefault="00454A29">
            <w:pPr>
              <w:pStyle w:val="ConsPlusNormal"/>
              <w:jc w:val="center"/>
            </w:pPr>
            <w:r>
              <w:t>х</w:t>
            </w:r>
          </w:p>
        </w:tc>
        <w:tc>
          <w:tcPr>
            <w:tcW w:w="1701" w:type="dxa"/>
            <w:vAlign w:val="center"/>
          </w:tcPr>
          <w:p w14:paraId="42B7BF35" w14:textId="77777777" w:rsidR="00454A29" w:rsidRDefault="00454A29">
            <w:pPr>
              <w:pStyle w:val="ConsPlusNormal"/>
              <w:jc w:val="center"/>
            </w:pPr>
            <w:r>
              <w:t>х</w:t>
            </w:r>
          </w:p>
        </w:tc>
      </w:tr>
      <w:tr w:rsidR="00454A29" w14:paraId="1F0C7488" w14:textId="77777777">
        <w:tc>
          <w:tcPr>
            <w:tcW w:w="964" w:type="dxa"/>
            <w:vMerge/>
          </w:tcPr>
          <w:p w14:paraId="11339579" w14:textId="77777777" w:rsidR="00454A29" w:rsidRDefault="00454A29"/>
        </w:tc>
        <w:tc>
          <w:tcPr>
            <w:tcW w:w="2154" w:type="dxa"/>
            <w:vMerge/>
            <w:tcBorders>
              <w:top w:val="nil"/>
              <w:bottom w:val="nil"/>
            </w:tcBorders>
          </w:tcPr>
          <w:p w14:paraId="02FA098B" w14:textId="77777777" w:rsidR="00454A29" w:rsidRDefault="00454A29"/>
        </w:tc>
        <w:tc>
          <w:tcPr>
            <w:tcW w:w="2154" w:type="dxa"/>
            <w:vMerge/>
            <w:tcBorders>
              <w:top w:val="nil"/>
              <w:bottom w:val="nil"/>
            </w:tcBorders>
          </w:tcPr>
          <w:p w14:paraId="4D4CD104" w14:textId="77777777" w:rsidR="00454A29" w:rsidRDefault="00454A29"/>
        </w:tc>
        <w:tc>
          <w:tcPr>
            <w:tcW w:w="2665" w:type="dxa"/>
            <w:vMerge/>
          </w:tcPr>
          <w:p w14:paraId="16FB7727" w14:textId="77777777" w:rsidR="00454A29" w:rsidRDefault="00454A29"/>
        </w:tc>
        <w:tc>
          <w:tcPr>
            <w:tcW w:w="2665" w:type="dxa"/>
            <w:vMerge/>
            <w:tcBorders>
              <w:top w:val="nil"/>
              <w:bottom w:val="nil"/>
            </w:tcBorders>
          </w:tcPr>
          <w:p w14:paraId="4816BE7A" w14:textId="77777777" w:rsidR="00454A29" w:rsidRDefault="00454A29"/>
        </w:tc>
        <w:tc>
          <w:tcPr>
            <w:tcW w:w="1928" w:type="dxa"/>
            <w:vMerge/>
          </w:tcPr>
          <w:p w14:paraId="2B9627B6" w14:textId="77777777" w:rsidR="00454A29" w:rsidRDefault="00454A29"/>
        </w:tc>
        <w:tc>
          <w:tcPr>
            <w:tcW w:w="1644" w:type="dxa"/>
            <w:vMerge/>
          </w:tcPr>
          <w:p w14:paraId="3A7E3F58" w14:textId="77777777" w:rsidR="00454A29" w:rsidRDefault="00454A29"/>
        </w:tc>
        <w:tc>
          <w:tcPr>
            <w:tcW w:w="2041" w:type="dxa"/>
            <w:vMerge/>
          </w:tcPr>
          <w:p w14:paraId="1850DEB9" w14:textId="77777777" w:rsidR="00454A29" w:rsidRDefault="00454A29"/>
        </w:tc>
        <w:tc>
          <w:tcPr>
            <w:tcW w:w="2098" w:type="dxa"/>
            <w:vAlign w:val="center"/>
          </w:tcPr>
          <w:p w14:paraId="717D2B2E" w14:textId="77777777" w:rsidR="00454A29" w:rsidRDefault="00454A29">
            <w:pPr>
              <w:pStyle w:val="ConsPlusNormal"/>
              <w:jc w:val="center"/>
            </w:pPr>
            <w:r>
              <w:t>Внебюджетные средства</w:t>
            </w:r>
          </w:p>
        </w:tc>
        <w:tc>
          <w:tcPr>
            <w:tcW w:w="1814" w:type="dxa"/>
            <w:vAlign w:val="center"/>
          </w:tcPr>
          <w:p w14:paraId="69EE8AF4" w14:textId="77777777" w:rsidR="00454A29" w:rsidRDefault="00454A29">
            <w:pPr>
              <w:pStyle w:val="ConsPlusNormal"/>
              <w:jc w:val="center"/>
            </w:pPr>
            <w:r>
              <w:t>0,00</w:t>
            </w:r>
          </w:p>
        </w:tc>
        <w:tc>
          <w:tcPr>
            <w:tcW w:w="1701" w:type="dxa"/>
            <w:vAlign w:val="center"/>
          </w:tcPr>
          <w:p w14:paraId="7F55AD98" w14:textId="77777777" w:rsidR="00454A29" w:rsidRDefault="00454A29">
            <w:pPr>
              <w:pStyle w:val="ConsPlusNormal"/>
              <w:jc w:val="center"/>
            </w:pPr>
            <w:r>
              <w:t>х</w:t>
            </w:r>
          </w:p>
        </w:tc>
        <w:tc>
          <w:tcPr>
            <w:tcW w:w="1701" w:type="dxa"/>
            <w:vAlign w:val="center"/>
          </w:tcPr>
          <w:p w14:paraId="14F1A332" w14:textId="77777777" w:rsidR="00454A29" w:rsidRDefault="00454A29">
            <w:pPr>
              <w:pStyle w:val="ConsPlusNormal"/>
              <w:jc w:val="center"/>
            </w:pPr>
            <w:r>
              <w:t>0,00</w:t>
            </w:r>
          </w:p>
        </w:tc>
        <w:tc>
          <w:tcPr>
            <w:tcW w:w="1701" w:type="dxa"/>
            <w:vAlign w:val="center"/>
          </w:tcPr>
          <w:p w14:paraId="150E7C20" w14:textId="77777777" w:rsidR="00454A29" w:rsidRDefault="00454A29">
            <w:pPr>
              <w:pStyle w:val="ConsPlusNormal"/>
              <w:jc w:val="center"/>
            </w:pPr>
            <w:r>
              <w:t>х</w:t>
            </w:r>
          </w:p>
        </w:tc>
        <w:tc>
          <w:tcPr>
            <w:tcW w:w="1701" w:type="dxa"/>
            <w:vAlign w:val="center"/>
          </w:tcPr>
          <w:p w14:paraId="67BC8BA0" w14:textId="77777777" w:rsidR="00454A29" w:rsidRDefault="00454A29">
            <w:pPr>
              <w:pStyle w:val="ConsPlusNormal"/>
              <w:jc w:val="center"/>
            </w:pPr>
            <w:r>
              <w:t>х</w:t>
            </w:r>
          </w:p>
        </w:tc>
        <w:tc>
          <w:tcPr>
            <w:tcW w:w="1701" w:type="dxa"/>
            <w:vAlign w:val="center"/>
          </w:tcPr>
          <w:p w14:paraId="47455536" w14:textId="77777777" w:rsidR="00454A29" w:rsidRDefault="00454A29">
            <w:pPr>
              <w:pStyle w:val="ConsPlusNormal"/>
              <w:jc w:val="center"/>
            </w:pPr>
            <w:r>
              <w:t>х</w:t>
            </w:r>
          </w:p>
        </w:tc>
        <w:tc>
          <w:tcPr>
            <w:tcW w:w="1701" w:type="dxa"/>
            <w:vAlign w:val="center"/>
          </w:tcPr>
          <w:p w14:paraId="49E2DB86" w14:textId="77777777" w:rsidR="00454A29" w:rsidRDefault="00454A29">
            <w:pPr>
              <w:pStyle w:val="ConsPlusNormal"/>
              <w:jc w:val="center"/>
            </w:pPr>
            <w:r>
              <w:t>х</w:t>
            </w:r>
          </w:p>
        </w:tc>
      </w:tr>
      <w:tr w:rsidR="00454A29" w14:paraId="0868C0B6" w14:textId="77777777">
        <w:tc>
          <w:tcPr>
            <w:tcW w:w="964" w:type="dxa"/>
            <w:vMerge w:val="restart"/>
            <w:vAlign w:val="center"/>
          </w:tcPr>
          <w:p w14:paraId="3BDF3882" w14:textId="77777777" w:rsidR="00454A29" w:rsidRDefault="00454A29">
            <w:pPr>
              <w:pStyle w:val="ConsPlusNormal"/>
              <w:jc w:val="center"/>
            </w:pPr>
            <w:r>
              <w:t>11.2.3.</w:t>
            </w:r>
          </w:p>
        </w:tc>
        <w:tc>
          <w:tcPr>
            <w:tcW w:w="2154" w:type="dxa"/>
            <w:vMerge w:val="restart"/>
            <w:tcBorders>
              <w:top w:val="nil"/>
              <w:bottom w:val="nil"/>
            </w:tcBorders>
            <w:vAlign w:val="center"/>
          </w:tcPr>
          <w:p w14:paraId="7D87A86B" w14:textId="77777777" w:rsidR="00454A29" w:rsidRDefault="00454A29">
            <w:pPr>
              <w:pStyle w:val="ConsPlusNormal"/>
            </w:pPr>
          </w:p>
        </w:tc>
        <w:tc>
          <w:tcPr>
            <w:tcW w:w="2154" w:type="dxa"/>
            <w:vMerge w:val="restart"/>
            <w:tcBorders>
              <w:top w:val="nil"/>
              <w:bottom w:val="nil"/>
            </w:tcBorders>
            <w:vAlign w:val="center"/>
          </w:tcPr>
          <w:p w14:paraId="5854FEDD" w14:textId="77777777" w:rsidR="00454A29" w:rsidRDefault="00454A29">
            <w:pPr>
              <w:pStyle w:val="ConsPlusNormal"/>
            </w:pPr>
          </w:p>
        </w:tc>
        <w:tc>
          <w:tcPr>
            <w:tcW w:w="2665" w:type="dxa"/>
            <w:vMerge/>
          </w:tcPr>
          <w:p w14:paraId="4FC25700" w14:textId="77777777" w:rsidR="00454A29" w:rsidRDefault="00454A29"/>
        </w:tc>
        <w:tc>
          <w:tcPr>
            <w:tcW w:w="2665" w:type="dxa"/>
            <w:vMerge w:val="restart"/>
            <w:tcBorders>
              <w:top w:val="nil"/>
              <w:bottom w:val="nil"/>
            </w:tcBorders>
            <w:vAlign w:val="center"/>
          </w:tcPr>
          <w:p w14:paraId="6D90785C" w14:textId="77777777" w:rsidR="00454A29" w:rsidRDefault="00454A29">
            <w:pPr>
              <w:pStyle w:val="ConsPlusNormal"/>
            </w:pPr>
          </w:p>
        </w:tc>
        <w:tc>
          <w:tcPr>
            <w:tcW w:w="1928" w:type="dxa"/>
            <w:vMerge w:val="restart"/>
            <w:vAlign w:val="center"/>
          </w:tcPr>
          <w:p w14:paraId="5A6647B3" w14:textId="77777777" w:rsidR="00454A29" w:rsidRDefault="00454A29">
            <w:pPr>
              <w:pStyle w:val="ConsPlusNormal"/>
              <w:jc w:val="center"/>
            </w:pPr>
            <w:r>
              <w:t>ГО "город Якутск"</w:t>
            </w:r>
          </w:p>
        </w:tc>
        <w:tc>
          <w:tcPr>
            <w:tcW w:w="1644" w:type="dxa"/>
            <w:vMerge w:val="restart"/>
            <w:vAlign w:val="center"/>
          </w:tcPr>
          <w:p w14:paraId="20D9759F" w14:textId="77777777" w:rsidR="00454A29" w:rsidRDefault="00454A29">
            <w:pPr>
              <w:pStyle w:val="ConsPlusNormal"/>
              <w:jc w:val="center"/>
            </w:pPr>
            <w:r>
              <w:t>г. Якутск</w:t>
            </w:r>
          </w:p>
        </w:tc>
        <w:tc>
          <w:tcPr>
            <w:tcW w:w="2041" w:type="dxa"/>
            <w:vMerge w:val="restart"/>
            <w:vAlign w:val="center"/>
          </w:tcPr>
          <w:p w14:paraId="51821533" w14:textId="77777777" w:rsidR="00454A29" w:rsidRDefault="00454A29">
            <w:pPr>
              <w:pStyle w:val="ConsPlusNormal"/>
              <w:jc w:val="center"/>
            </w:pPr>
            <w:r>
              <w:t>Строительство детского сада на 240 мест в квартале "Новопортовской"</w:t>
            </w:r>
          </w:p>
        </w:tc>
        <w:tc>
          <w:tcPr>
            <w:tcW w:w="2098" w:type="dxa"/>
            <w:vAlign w:val="center"/>
          </w:tcPr>
          <w:p w14:paraId="06742776" w14:textId="77777777" w:rsidR="00454A29" w:rsidRDefault="00454A29">
            <w:pPr>
              <w:pStyle w:val="ConsPlusNormal"/>
              <w:jc w:val="center"/>
            </w:pPr>
            <w:r>
              <w:t>Итого</w:t>
            </w:r>
          </w:p>
        </w:tc>
        <w:tc>
          <w:tcPr>
            <w:tcW w:w="1814" w:type="dxa"/>
            <w:vAlign w:val="center"/>
          </w:tcPr>
          <w:p w14:paraId="311A9CDB" w14:textId="77777777" w:rsidR="00454A29" w:rsidRDefault="00454A29">
            <w:pPr>
              <w:pStyle w:val="ConsPlusNormal"/>
              <w:jc w:val="center"/>
            </w:pPr>
            <w:r>
              <w:t>34 451,95</w:t>
            </w:r>
          </w:p>
        </w:tc>
        <w:tc>
          <w:tcPr>
            <w:tcW w:w="1701" w:type="dxa"/>
            <w:vAlign w:val="center"/>
          </w:tcPr>
          <w:p w14:paraId="65003FDE" w14:textId="77777777" w:rsidR="00454A29" w:rsidRDefault="00454A29">
            <w:pPr>
              <w:pStyle w:val="ConsPlusNormal"/>
              <w:jc w:val="center"/>
            </w:pPr>
            <w:r>
              <w:t>285 991,99</w:t>
            </w:r>
          </w:p>
        </w:tc>
        <w:tc>
          <w:tcPr>
            <w:tcW w:w="1701" w:type="dxa"/>
            <w:vAlign w:val="center"/>
          </w:tcPr>
          <w:p w14:paraId="559F1E55" w14:textId="77777777" w:rsidR="00454A29" w:rsidRDefault="00454A29">
            <w:pPr>
              <w:pStyle w:val="ConsPlusNormal"/>
              <w:jc w:val="center"/>
            </w:pPr>
            <w:r>
              <w:t>0,00</w:t>
            </w:r>
          </w:p>
        </w:tc>
        <w:tc>
          <w:tcPr>
            <w:tcW w:w="1701" w:type="dxa"/>
            <w:vAlign w:val="center"/>
          </w:tcPr>
          <w:p w14:paraId="545B984A" w14:textId="77777777" w:rsidR="00454A29" w:rsidRDefault="00454A29">
            <w:pPr>
              <w:pStyle w:val="ConsPlusNormal"/>
              <w:jc w:val="center"/>
            </w:pPr>
            <w:r>
              <w:t>х</w:t>
            </w:r>
          </w:p>
        </w:tc>
        <w:tc>
          <w:tcPr>
            <w:tcW w:w="1701" w:type="dxa"/>
            <w:vAlign w:val="center"/>
          </w:tcPr>
          <w:p w14:paraId="58EE40EC" w14:textId="77777777" w:rsidR="00454A29" w:rsidRDefault="00454A29">
            <w:pPr>
              <w:pStyle w:val="ConsPlusNormal"/>
              <w:jc w:val="center"/>
            </w:pPr>
            <w:r>
              <w:t>х</w:t>
            </w:r>
          </w:p>
        </w:tc>
        <w:tc>
          <w:tcPr>
            <w:tcW w:w="1701" w:type="dxa"/>
            <w:vAlign w:val="center"/>
          </w:tcPr>
          <w:p w14:paraId="473D891B" w14:textId="77777777" w:rsidR="00454A29" w:rsidRDefault="00454A29">
            <w:pPr>
              <w:pStyle w:val="ConsPlusNormal"/>
              <w:jc w:val="center"/>
            </w:pPr>
            <w:r>
              <w:t>х</w:t>
            </w:r>
          </w:p>
        </w:tc>
        <w:tc>
          <w:tcPr>
            <w:tcW w:w="1701" w:type="dxa"/>
            <w:vAlign w:val="center"/>
          </w:tcPr>
          <w:p w14:paraId="1EC1B5D0" w14:textId="77777777" w:rsidR="00454A29" w:rsidRDefault="00454A29">
            <w:pPr>
              <w:pStyle w:val="ConsPlusNormal"/>
              <w:jc w:val="center"/>
            </w:pPr>
            <w:r>
              <w:t>х</w:t>
            </w:r>
          </w:p>
        </w:tc>
      </w:tr>
      <w:tr w:rsidR="00454A29" w14:paraId="3A96B12C" w14:textId="77777777">
        <w:tc>
          <w:tcPr>
            <w:tcW w:w="964" w:type="dxa"/>
            <w:vMerge/>
          </w:tcPr>
          <w:p w14:paraId="35B5B8EB" w14:textId="77777777" w:rsidR="00454A29" w:rsidRDefault="00454A29"/>
        </w:tc>
        <w:tc>
          <w:tcPr>
            <w:tcW w:w="2154" w:type="dxa"/>
            <w:vMerge/>
            <w:tcBorders>
              <w:top w:val="nil"/>
              <w:bottom w:val="nil"/>
            </w:tcBorders>
          </w:tcPr>
          <w:p w14:paraId="1783EF0F" w14:textId="77777777" w:rsidR="00454A29" w:rsidRDefault="00454A29"/>
        </w:tc>
        <w:tc>
          <w:tcPr>
            <w:tcW w:w="2154" w:type="dxa"/>
            <w:vMerge/>
            <w:tcBorders>
              <w:top w:val="nil"/>
              <w:bottom w:val="nil"/>
            </w:tcBorders>
          </w:tcPr>
          <w:p w14:paraId="3B76C434" w14:textId="77777777" w:rsidR="00454A29" w:rsidRDefault="00454A29"/>
        </w:tc>
        <w:tc>
          <w:tcPr>
            <w:tcW w:w="2665" w:type="dxa"/>
            <w:vMerge/>
          </w:tcPr>
          <w:p w14:paraId="5651C9BE" w14:textId="77777777" w:rsidR="00454A29" w:rsidRDefault="00454A29"/>
        </w:tc>
        <w:tc>
          <w:tcPr>
            <w:tcW w:w="2665" w:type="dxa"/>
            <w:vMerge/>
            <w:tcBorders>
              <w:top w:val="nil"/>
              <w:bottom w:val="nil"/>
            </w:tcBorders>
          </w:tcPr>
          <w:p w14:paraId="1AB56979" w14:textId="77777777" w:rsidR="00454A29" w:rsidRDefault="00454A29"/>
        </w:tc>
        <w:tc>
          <w:tcPr>
            <w:tcW w:w="1928" w:type="dxa"/>
            <w:vMerge/>
          </w:tcPr>
          <w:p w14:paraId="3C9C0C91" w14:textId="77777777" w:rsidR="00454A29" w:rsidRDefault="00454A29"/>
        </w:tc>
        <w:tc>
          <w:tcPr>
            <w:tcW w:w="1644" w:type="dxa"/>
            <w:vMerge/>
          </w:tcPr>
          <w:p w14:paraId="499AE6B3" w14:textId="77777777" w:rsidR="00454A29" w:rsidRDefault="00454A29"/>
        </w:tc>
        <w:tc>
          <w:tcPr>
            <w:tcW w:w="2041" w:type="dxa"/>
            <w:vMerge/>
          </w:tcPr>
          <w:p w14:paraId="56913A91" w14:textId="77777777" w:rsidR="00454A29" w:rsidRDefault="00454A29"/>
        </w:tc>
        <w:tc>
          <w:tcPr>
            <w:tcW w:w="2098" w:type="dxa"/>
            <w:vAlign w:val="center"/>
          </w:tcPr>
          <w:p w14:paraId="1C80A8D7"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0EDA039F" w14:textId="77777777" w:rsidR="00454A29" w:rsidRDefault="00454A29">
            <w:pPr>
              <w:pStyle w:val="ConsPlusNormal"/>
              <w:jc w:val="center"/>
            </w:pPr>
            <w:r>
              <w:t>344,52</w:t>
            </w:r>
          </w:p>
        </w:tc>
        <w:tc>
          <w:tcPr>
            <w:tcW w:w="1701" w:type="dxa"/>
            <w:vAlign w:val="center"/>
          </w:tcPr>
          <w:p w14:paraId="5CC99120" w14:textId="77777777" w:rsidR="00454A29" w:rsidRDefault="00454A29">
            <w:pPr>
              <w:pStyle w:val="ConsPlusNormal"/>
              <w:jc w:val="center"/>
            </w:pPr>
            <w:r>
              <w:t>2 859,92</w:t>
            </w:r>
          </w:p>
        </w:tc>
        <w:tc>
          <w:tcPr>
            <w:tcW w:w="1701" w:type="dxa"/>
            <w:vAlign w:val="center"/>
          </w:tcPr>
          <w:p w14:paraId="3BD15277" w14:textId="77777777" w:rsidR="00454A29" w:rsidRDefault="00454A29">
            <w:pPr>
              <w:pStyle w:val="ConsPlusNormal"/>
              <w:jc w:val="center"/>
            </w:pPr>
            <w:r>
              <w:t>0,00</w:t>
            </w:r>
          </w:p>
        </w:tc>
        <w:tc>
          <w:tcPr>
            <w:tcW w:w="1701" w:type="dxa"/>
            <w:vAlign w:val="center"/>
          </w:tcPr>
          <w:p w14:paraId="685570E6" w14:textId="77777777" w:rsidR="00454A29" w:rsidRDefault="00454A29">
            <w:pPr>
              <w:pStyle w:val="ConsPlusNormal"/>
              <w:jc w:val="center"/>
            </w:pPr>
            <w:r>
              <w:t>х</w:t>
            </w:r>
          </w:p>
        </w:tc>
        <w:tc>
          <w:tcPr>
            <w:tcW w:w="1701" w:type="dxa"/>
            <w:vAlign w:val="center"/>
          </w:tcPr>
          <w:p w14:paraId="30D9274F" w14:textId="77777777" w:rsidR="00454A29" w:rsidRDefault="00454A29">
            <w:pPr>
              <w:pStyle w:val="ConsPlusNormal"/>
              <w:jc w:val="center"/>
            </w:pPr>
            <w:r>
              <w:t>х</w:t>
            </w:r>
          </w:p>
        </w:tc>
        <w:tc>
          <w:tcPr>
            <w:tcW w:w="1701" w:type="dxa"/>
            <w:vAlign w:val="center"/>
          </w:tcPr>
          <w:p w14:paraId="15C5CFED" w14:textId="77777777" w:rsidR="00454A29" w:rsidRDefault="00454A29">
            <w:pPr>
              <w:pStyle w:val="ConsPlusNormal"/>
              <w:jc w:val="center"/>
            </w:pPr>
            <w:r>
              <w:t>х</w:t>
            </w:r>
          </w:p>
        </w:tc>
        <w:tc>
          <w:tcPr>
            <w:tcW w:w="1701" w:type="dxa"/>
            <w:vAlign w:val="center"/>
          </w:tcPr>
          <w:p w14:paraId="60C682D9" w14:textId="77777777" w:rsidR="00454A29" w:rsidRDefault="00454A29">
            <w:pPr>
              <w:pStyle w:val="ConsPlusNormal"/>
              <w:jc w:val="center"/>
            </w:pPr>
            <w:r>
              <w:t>х</w:t>
            </w:r>
          </w:p>
        </w:tc>
      </w:tr>
      <w:tr w:rsidR="00454A29" w14:paraId="13E22ED7" w14:textId="77777777">
        <w:tc>
          <w:tcPr>
            <w:tcW w:w="964" w:type="dxa"/>
            <w:vMerge/>
          </w:tcPr>
          <w:p w14:paraId="4217C5DE" w14:textId="77777777" w:rsidR="00454A29" w:rsidRDefault="00454A29"/>
        </w:tc>
        <w:tc>
          <w:tcPr>
            <w:tcW w:w="2154" w:type="dxa"/>
            <w:vMerge/>
            <w:tcBorders>
              <w:top w:val="nil"/>
              <w:bottom w:val="nil"/>
            </w:tcBorders>
          </w:tcPr>
          <w:p w14:paraId="250EAA2B" w14:textId="77777777" w:rsidR="00454A29" w:rsidRDefault="00454A29"/>
        </w:tc>
        <w:tc>
          <w:tcPr>
            <w:tcW w:w="2154" w:type="dxa"/>
            <w:vMerge/>
            <w:tcBorders>
              <w:top w:val="nil"/>
              <w:bottom w:val="nil"/>
            </w:tcBorders>
          </w:tcPr>
          <w:p w14:paraId="3EA30944" w14:textId="77777777" w:rsidR="00454A29" w:rsidRDefault="00454A29"/>
        </w:tc>
        <w:tc>
          <w:tcPr>
            <w:tcW w:w="2665" w:type="dxa"/>
            <w:vMerge/>
          </w:tcPr>
          <w:p w14:paraId="0FA740C9" w14:textId="77777777" w:rsidR="00454A29" w:rsidRDefault="00454A29"/>
        </w:tc>
        <w:tc>
          <w:tcPr>
            <w:tcW w:w="2665" w:type="dxa"/>
            <w:vMerge/>
            <w:tcBorders>
              <w:top w:val="nil"/>
              <w:bottom w:val="nil"/>
            </w:tcBorders>
          </w:tcPr>
          <w:p w14:paraId="1E6D12A6" w14:textId="77777777" w:rsidR="00454A29" w:rsidRDefault="00454A29"/>
        </w:tc>
        <w:tc>
          <w:tcPr>
            <w:tcW w:w="1928" w:type="dxa"/>
            <w:vMerge/>
          </w:tcPr>
          <w:p w14:paraId="5971238C" w14:textId="77777777" w:rsidR="00454A29" w:rsidRDefault="00454A29"/>
        </w:tc>
        <w:tc>
          <w:tcPr>
            <w:tcW w:w="1644" w:type="dxa"/>
            <w:vMerge/>
          </w:tcPr>
          <w:p w14:paraId="646DA95E" w14:textId="77777777" w:rsidR="00454A29" w:rsidRDefault="00454A29"/>
        </w:tc>
        <w:tc>
          <w:tcPr>
            <w:tcW w:w="2041" w:type="dxa"/>
            <w:vMerge/>
          </w:tcPr>
          <w:p w14:paraId="5E07707C" w14:textId="77777777" w:rsidR="00454A29" w:rsidRDefault="00454A29"/>
        </w:tc>
        <w:tc>
          <w:tcPr>
            <w:tcW w:w="2098" w:type="dxa"/>
            <w:vAlign w:val="center"/>
          </w:tcPr>
          <w:p w14:paraId="5E73301E" w14:textId="77777777" w:rsidR="00454A29" w:rsidRDefault="00454A29">
            <w:pPr>
              <w:pStyle w:val="ConsPlusNormal"/>
              <w:jc w:val="center"/>
            </w:pPr>
            <w:r>
              <w:t>Федеральный бюджет</w:t>
            </w:r>
          </w:p>
        </w:tc>
        <w:tc>
          <w:tcPr>
            <w:tcW w:w="1814" w:type="dxa"/>
            <w:vAlign w:val="center"/>
          </w:tcPr>
          <w:p w14:paraId="0409DE65" w14:textId="77777777" w:rsidR="00454A29" w:rsidRDefault="00454A29">
            <w:pPr>
              <w:pStyle w:val="ConsPlusNormal"/>
              <w:jc w:val="center"/>
            </w:pPr>
            <w:r>
              <w:t>34 107,43</w:t>
            </w:r>
          </w:p>
        </w:tc>
        <w:tc>
          <w:tcPr>
            <w:tcW w:w="1701" w:type="dxa"/>
            <w:vAlign w:val="center"/>
          </w:tcPr>
          <w:p w14:paraId="09A586F6" w14:textId="77777777" w:rsidR="00454A29" w:rsidRDefault="00454A29">
            <w:pPr>
              <w:pStyle w:val="ConsPlusNormal"/>
              <w:jc w:val="center"/>
            </w:pPr>
            <w:r>
              <w:t>283 132,07</w:t>
            </w:r>
          </w:p>
        </w:tc>
        <w:tc>
          <w:tcPr>
            <w:tcW w:w="1701" w:type="dxa"/>
            <w:vAlign w:val="center"/>
          </w:tcPr>
          <w:p w14:paraId="2E373CAC" w14:textId="77777777" w:rsidR="00454A29" w:rsidRDefault="00454A29">
            <w:pPr>
              <w:pStyle w:val="ConsPlusNormal"/>
              <w:jc w:val="center"/>
            </w:pPr>
            <w:r>
              <w:t>0,00</w:t>
            </w:r>
          </w:p>
        </w:tc>
        <w:tc>
          <w:tcPr>
            <w:tcW w:w="1701" w:type="dxa"/>
            <w:vAlign w:val="center"/>
          </w:tcPr>
          <w:p w14:paraId="181F59E5" w14:textId="77777777" w:rsidR="00454A29" w:rsidRDefault="00454A29">
            <w:pPr>
              <w:pStyle w:val="ConsPlusNormal"/>
              <w:jc w:val="center"/>
            </w:pPr>
            <w:r>
              <w:t>х</w:t>
            </w:r>
          </w:p>
        </w:tc>
        <w:tc>
          <w:tcPr>
            <w:tcW w:w="1701" w:type="dxa"/>
            <w:vAlign w:val="center"/>
          </w:tcPr>
          <w:p w14:paraId="05C85DA4" w14:textId="77777777" w:rsidR="00454A29" w:rsidRDefault="00454A29">
            <w:pPr>
              <w:pStyle w:val="ConsPlusNormal"/>
              <w:jc w:val="center"/>
            </w:pPr>
            <w:r>
              <w:t>х</w:t>
            </w:r>
          </w:p>
        </w:tc>
        <w:tc>
          <w:tcPr>
            <w:tcW w:w="1701" w:type="dxa"/>
            <w:vAlign w:val="center"/>
          </w:tcPr>
          <w:p w14:paraId="72BD1FF0" w14:textId="77777777" w:rsidR="00454A29" w:rsidRDefault="00454A29">
            <w:pPr>
              <w:pStyle w:val="ConsPlusNormal"/>
              <w:jc w:val="center"/>
            </w:pPr>
            <w:r>
              <w:t>х</w:t>
            </w:r>
          </w:p>
        </w:tc>
        <w:tc>
          <w:tcPr>
            <w:tcW w:w="1701" w:type="dxa"/>
            <w:vAlign w:val="center"/>
          </w:tcPr>
          <w:p w14:paraId="5C7F1F57" w14:textId="77777777" w:rsidR="00454A29" w:rsidRDefault="00454A29">
            <w:pPr>
              <w:pStyle w:val="ConsPlusNormal"/>
              <w:jc w:val="center"/>
            </w:pPr>
            <w:r>
              <w:t>х</w:t>
            </w:r>
          </w:p>
        </w:tc>
      </w:tr>
      <w:tr w:rsidR="00454A29" w14:paraId="1B3F5FD5" w14:textId="77777777">
        <w:tc>
          <w:tcPr>
            <w:tcW w:w="964" w:type="dxa"/>
            <w:vMerge/>
          </w:tcPr>
          <w:p w14:paraId="672BA699" w14:textId="77777777" w:rsidR="00454A29" w:rsidRDefault="00454A29"/>
        </w:tc>
        <w:tc>
          <w:tcPr>
            <w:tcW w:w="2154" w:type="dxa"/>
            <w:vMerge/>
            <w:tcBorders>
              <w:top w:val="nil"/>
              <w:bottom w:val="nil"/>
            </w:tcBorders>
          </w:tcPr>
          <w:p w14:paraId="10A33A24" w14:textId="77777777" w:rsidR="00454A29" w:rsidRDefault="00454A29"/>
        </w:tc>
        <w:tc>
          <w:tcPr>
            <w:tcW w:w="2154" w:type="dxa"/>
            <w:vMerge/>
            <w:tcBorders>
              <w:top w:val="nil"/>
              <w:bottom w:val="nil"/>
            </w:tcBorders>
          </w:tcPr>
          <w:p w14:paraId="60FA2289" w14:textId="77777777" w:rsidR="00454A29" w:rsidRDefault="00454A29"/>
        </w:tc>
        <w:tc>
          <w:tcPr>
            <w:tcW w:w="2665" w:type="dxa"/>
            <w:vMerge/>
          </w:tcPr>
          <w:p w14:paraId="770BC918" w14:textId="77777777" w:rsidR="00454A29" w:rsidRDefault="00454A29"/>
        </w:tc>
        <w:tc>
          <w:tcPr>
            <w:tcW w:w="2665" w:type="dxa"/>
            <w:vMerge/>
            <w:tcBorders>
              <w:top w:val="nil"/>
              <w:bottom w:val="nil"/>
            </w:tcBorders>
          </w:tcPr>
          <w:p w14:paraId="1A2E8A11" w14:textId="77777777" w:rsidR="00454A29" w:rsidRDefault="00454A29"/>
        </w:tc>
        <w:tc>
          <w:tcPr>
            <w:tcW w:w="1928" w:type="dxa"/>
            <w:vMerge/>
          </w:tcPr>
          <w:p w14:paraId="06737AD5" w14:textId="77777777" w:rsidR="00454A29" w:rsidRDefault="00454A29"/>
        </w:tc>
        <w:tc>
          <w:tcPr>
            <w:tcW w:w="1644" w:type="dxa"/>
            <w:vMerge/>
          </w:tcPr>
          <w:p w14:paraId="173BE9E4" w14:textId="77777777" w:rsidR="00454A29" w:rsidRDefault="00454A29"/>
        </w:tc>
        <w:tc>
          <w:tcPr>
            <w:tcW w:w="2041" w:type="dxa"/>
            <w:vMerge/>
          </w:tcPr>
          <w:p w14:paraId="70887F41" w14:textId="77777777" w:rsidR="00454A29" w:rsidRDefault="00454A29"/>
        </w:tc>
        <w:tc>
          <w:tcPr>
            <w:tcW w:w="2098" w:type="dxa"/>
            <w:vAlign w:val="center"/>
          </w:tcPr>
          <w:p w14:paraId="3F86DFFE" w14:textId="77777777" w:rsidR="00454A29" w:rsidRDefault="00454A29">
            <w:pPr>
              <w:pStyle w:val="ConsPlusNormal"/>
              <w:jc w:val="center"/>
            </w:pPr>
            <w:r>
              <w:t>Местные бюджеты</w:t>
            </w:r>
          </w:p>
        </w:tc>
        <w:tc>
          <w:tcPr>
            <w:tcW w:w="1814" w:type="dxa"/>
            <w:vAlign w:val="center"/>
          </w:tcPr>
          <w:p w14:paraId="344BE505" w14:textId="77777777" w:rsidR="00454A29" w:rsidRDefault="00454A29">
            <w:pPr>
              <w:pStyle w:val="ConsPlusNormal"/>
              <w:jc w:val="center"/>
            </w:pPr>
            <w:r>
              <w:t>х</w:t>
            </w:r>
          </w:p>
        </w:tc>
        <w:tc>
          <w:tcPr>
            <w:tcW w:w="1701" w:type="dxa"/>
            <w:vAlign w:val="center"/>
          </w:tcPr>
          <w:p w14:paraId="5E9DD12C" w14:textId="77777777" w:rsidR="00454A29" w:rsidRDefault="00454A29">
            <w:pPr>
              <w:pStyle w:val="ConsPlusNormal"/>
              <w:jc w:val="center"/>
            </w:pPr>
            <w:r>
              <w:t>0,00</w:t>
            </w:r>
          </w:p>
        </w:tc>
        <w:tc>
          <w:tcPr>
            <w:tcW w:w="1701" w:type="dxa"/>
            <w:vAlign w:val="center"/>
          </w:tcPr>
          <w:p w14:paraId="676E7573" w14:textId="77777777" w:rsidR="00454A29" w:rsidRDefault="00454A29">
            <w:pPr>
              <w:pStyle w:val="ConsPlusNormal"/>
              <w:jc w:val="center"/>
            </w:pPr>
            <w:r>
              <w:t>0,00</w:t>
            </w:r>
          </w:p>
        </w:tc>
        <w:tc>
          <w:tcPr>
            <w:tcW w:w="1701" w:type="dxa"/>
            <w:vAlign w:val="center"/>
          </w:tcPr>
          <w:p w14:paraId="139CAF45" w14:textId="77777777" w:rsidR="00454A29" w:rsidRDefault="00454A29">
            <w:pPr>
              <w:pStyle w:val="ConsPlusNormal"/>
              <w:jc w:val="center"/>
            </w:pPr>
            <w:r>
              <w:t>х</w:t>
            </w:r>
          </w:p>
        </w:tc>
        <w:tc>
          <w:tcPr>
            <w:tcW w:w="1701" w:type="dxa"/>
            <w:vAlign w:val="center"/>
          </w:tcPr>
          <w:p w14:paraId="7CFCB285" w14:textId="77777777" w:rsidR="00454A29" w:rsidRDefault="00454A29">
            <w:pPr>
              <w:pStyle w:val="ConsPlusNormal"/>
              <w:jc w:val="center"/>
            </w:pPr>
            <w:r>
              <w:t>х</w:t>
            </w:r>
          </w:p>
        </w:tc>
        <w:tc>
          <w:tcPr>
            <w:tcW w:w="1701" w:type="dxa"/>
            <w:vAlign w:val="center"/>
          </w:tcPr>
          <w:p w14:paraId="05598AF6" w14:textId="77777777" w:rsidR="00454A29" w:rsidRDefault="00454A29">
            <w:pPr>
              <w:pStyle w:val="ConsPlusNormal"/>
              <w:jc w:val="center"/>
            </w:pPr>
            <w:r>
              <w:t>х</w:t>
            </w:r>
          </w:p>
        </w:tc>
        <w:tc>
          <w:tcPr>
            <w:tcW w:w="1701" w:type="dxa"/>
            <w:vAlign w:val="center"/>
          </w:tcPr>
          <w:p w14:paraId="5734AF8C" w14:textId="77777777" w:rsidR="00454A29" w:rsidRDefault="00454A29">
            <w:pPr>
              <w:pStyle w:val="ConsPlusNormal"/>
              <w:jc w:val="center"/>
            </w:pPr>
            <w:r>
              <w:t>х</w:t>
            </w:r>
          </w:p>
        </w:tc>
      </w:tr>
      <w:tr w:rsidR="00454A29" w14:paraId="69573242" w14:textId="77777777">
        <w:tc>
          <w:tcPr>
            <w:tcW w:w="964" w:type="dxa"/>
            <w:vMerge/>
          </w:tcPr>
          <w:p w14:paraId="694C3D47" w14:textId="77777777" w:rsidR="00454A29" w:rsidRDefault="00454A29"/>
        </w:tc>
        <w:tc>
          <w:tcPr>
            <w:tcW w:w="2154" w:type="dxa"/>
            <w:vMerge/>
            <w:tcBorders>
              <w:top w:val="nil"/>
              <w:bottom w:val="nil"/>
            </w:tcBorders>
          </w:tcPr>
          <w:p w14:paraId="2CD7B0E6" w14:textId="77777777" w:rsidR="00454A29" w:rsidRDefault="00454A29"/>
        </w:tc>
        <w:tc>
          <w:tcPr>
            <w:tcW w:w="2154" w:type="dxa"/>
            <w:vMerge/>
            <w:tcBorders>
              <w:top w:val="nil"/>
              <w:bottom w:val="nil"/>
            </w:tcBorders>
          </w:tcPr>
          <w:p w14:paraId="69AA34CE" w14:textId="77777777" w:rsidR="00454A29" w:rsidRDefault="00454A29"/>
        </w:tc>
        <w:tc>
          <w:tcPr>
            <w:tcW w:w="2665" w:type="dxa"/>
            <w:vMerge/>
          </w:tcPr>
          <w:p w14:paraId="41B8A717" w14:textId="77777777" w:rsidR="00454A29" w:rsidRDefault="00454A29"/>
        </w:tc>
        <w:tc>
          <w:tcPr>
            <w:tcW w:w="2665" w:type="dxa"/>
            <w:vMerge/>
            <w:tcBorders>
              <w:top w:val="nil"/>
              <w:bottom w:val="nil"/>
            </w:tcBorders>
          </w:tcPr>
          <w:p w14:paraId="63EEF88B" w14:textId="77777777" w:rsidR="00454A29" w:rsidRDefault="00454A29"/>
        </w:tc>
        <w:tc>
          <w:tcPr>
            <w:tcW w:w="1928" w:type="dxa"/>
            <w:vMerge/>
          </w:tcPr>
          <w:p w14:paraId="61C1C882" w14:textId="77777777" w:rsidR="00454A29" w:rsidRDefault="00454A29"/>
        </w:tc>
        <w:tc>
          <w:tcPr>
            <w:tcW w:w="1644" w:type="dxa"/>
            <w:vMerge/>
          </w:tcPr>
          <w:p w14:paraId="6235FF29" w14:textId="77777777" w:rsidR="00454A29" w:rsidRDefault="00454A29"/>
        </w:tc>
        <w:tc>
          <w:tcPr>
            <w:tcW w:w="2041" w:type="dxa"/>
            <w:vMerge/>
          </w:tcPr>
          <w:p w14:paraId="4C8AC33A" w14:textId="77777777" w:rsidR="00454A29" w:rsidRDefault="00454A29"/>
        </w:tc>
        <w:tc>
          <w:tcPr>
            <w:tcW w:w="2098" w:type="dxa"/>
            <w:vAlign w:val="center"/>
          </w:tcPr>
          <w:p w14:paraId="0270612A" w14:textId="77777777" w:rsidR="00454A29" w:rsidRDefault="00454A29">
            <w:pPr>
              <w:pStyle w:val="ConsPlusNormal"/>
              <w:jc w:val="center"/>
            </w:pPr>
            <w:r>
              <w:t>Внебюджетные средства</w:t>
            </w:r>
          </w:p>
        </w:tc>
        <w:tc>
          <w:tcPr>
            <w:tcW w:w="1814" w:type="dxa"/>
            <w:vAlign w:val="center"/>
          </w:tcPr>
          <w:p w14:paraId="2C4C3A9C" w14:textId="77777777" w:rsidR="00454A29" w:rsidRDefault="00454A29">
            <w:pPr>
              <w:pStyle w:val="ConsPlusNormal"/>
              <w:jc w:val="center"/>
            </w:pPr>
            <w:r>
              <w:t>х</w:t>
            </w:r>
          </w:p>
        </w:tc>
        <w:tc>
          <w:tcPr>
            <w:tcW w:w="1701" w:type="dxa"/>
            <w:vAlign w:val="center"/>
          </w:tcPr>
          <w:p w14:paraId="03714EEA" w14:textId="77777777" w:rsidR="00454A29" w:rsidRDefault="00454A29">
            <w:pPr>
              <w:pStyle w:val="ConsPlusNormal"/>
              <w:jc w:val="center"/>
            </w:pPr>
            <w:r>
              <w:t>0,00</w:t>
            </w:r>
          </w:p>
        </w:tc>
        <w:tc>
          <w:tcPr>
            <w:tcW w:w="1701" w:type="dxa"/>
            <w:vAlign w:val="center"/>
          </w:tcPr>
          <w:p w14:paraId="2CED2221" w14:textId="77777777" w:rsidR="00454A29" w:rsidRDefault="00454A29">
            <w:pPr>
              <w:pStyle w:val="ConsPlusNormal"/>
              <w:jc w:val="center"/>
            </w:pPr>
            <w:r>
              <w:t>0,00</w:t>
            </w:r>
          </w:p>
        </w:tc>
        <w:tc>
          <w:tcPr>
            <w:tcW w:w="1701" w:type="dxa"/>
            <w:vAlign w:val="center"/>
          </w:tcPr>
          <w:p w14:paraId="20430B88" w14:textId="77777777" w:rsidR="00454A29" w:rsidRDefault="00454A29">
            <w:pPr>
              <w:pStyle w:val="ConsPlusNormal"/>
              <w:jc w:val="center"/>
            </w:pPr>
            <w:r>
              <w:t>х</w:t>
            </w:r>
          </w:p>
        </w:tc>
        <w:tc>
          <w:tcPr>
            <w:tcW w:w="1701" w:type="dxa"/>
            <w:vAlign w:val="center"/>
          </w:tcPr>
          <w:p w14:paraId="471E1515" w14:textId="77777777" w:rsidR="00454A29" w:rsidRDefault="00454A29">
            <w:pPr>
              <w:pStyle w:val="ConsPlusNormal"/>
              <w:jc w:val="center"/>
            </w:pPr>
            <w:r>
              <w:t>х</w:t>
            </w:r>
          </w:p>
        </w:tc>
        <w:tc>
          <w:tcPr>
            <w:tcW w:w="1701" w:type="dxa"/>
            <w:vAlign w:val="center"/>
          </w:tcPr>
          <w:p w14:paraId="681B94B4" w14:textId="77777777" w:rsidR="00454A29" w:rsidRDefault="00454A29">
            <w:pPr>
              <w:pStyle w:val="ConsPlusNormal"/>
              <w:jc w:val="center"/>
            </w:pPr>
            <w:r>
              <w:t>х</w:t>
            </w:r>
          </w:p>
        </w:tc>
        <w:tc>
          <w:tcPr>
            <w:tcW w:w="1701" w:type="dxa"/>
            <w:vAlign w:val="center"/>
          </w:tcPr>
          <w:p w14:paraId="0524A193" w14:textId="77777777" w:rsidR="00454A29" w:rsidRDefault="00454A29">
            <w:pPr>
              <w:pStyle w:val="ConsPlusNormal"/>
              <w:jc w:val="center"/>
            </w:pPr>
            <w:r>
              <w:t>х</w:t>
            </w:r>
          </w:p>
        </w:tc>
      </w:tr>
      <w:tr w:rsidR="00454A29" w14:paraId="4EF49E55" w14:textId="77777777">
        <w:tc>
          <w:tcPr>
            <w:tcW w:w="964" w:type="dxa"/>
            <w:vMerge w:val="restart"/>
            <w:vAlign w:val="center"/>
          </w:tcPr>
          <w:p w14:paraId="512FEE1C" w14:textId="77777777" w:rsidR="00454A29" w:rsidRDefault="00454A29">
            <w:pPr>
              <w:pStyle w:val="ConsPlusNormal"/>
              <w:jc w:val="center"/>
            </w:pPr>
            <w:r>
              <w:t>11.2.4.</w:t>
            </w:r>
          </w:p>
        </w:tc>
        <w:tc>
          <w:tcPr>
            <w:tcW w:w="2154" w:type="dxa"/>
            <w:vMerge w:val="restart"/>
            <w:tcBorders>
              <w:top w:val="nil"/>
              <w:bottom w:val="nil"/>
            </w:tcBorders>
            <w:vAlign w:val="center"/>
          </w:tcPr>
          <w:p w14:paraId="36CE83BC" w14:textId="77777777" w:rsidR="00454A29" w:rsidRDefault="00454A29">
            <w:pPr>
              <w:pStyle w:val="ConsPlusNormal"/>
            </w:pPr>
          </w:p>
        </w:tc>
        <w:tc>
          <w:tcPr>
            <w:tcW w:w="2154" w:type="dxa"/>
            <w:vMerge w:val="restart"/>
            <w:tcBorders>
              <w:top w:val="nil"/>
              <w:bottom w:val="nil"/>
            </w:tcBorders>
            <w:vAlign w:val="center"/>
          </w:tcPr>
          <w:p w14:paraId="2BA09BCA" w14:textId="77777777" w:rsidR="00454A29" w:rsidRDefault="00454A29">
            <w:pPr>
              <w:pStyle w:val="ConsPlusNormal"/>
            </w:pPr>
          </w:p>
        </w:tc>
        <w:tc>
          <w:tcPr>
            <w:tcW w:w="2665" w:type="dxa"/>
            <w:vMerge/>
          </w:tcPr>
          <w:p w14:paraId="4B855BB7" w14:textId="77777777" w:rsidR="00454A29" w:rsidRDefault="00454A29"/>
        </w:tc>
        <w:tc>
          <w:tcPr>
            <w:tcW w:w="2665" w:type="dxa"/>
            <w:vMerge w:val="restart"/>
            <w:tcBorders>
              <w:top w:val="nil"/>
              <w:bottom w:val="nil"/>
            </w:tcBorders>
            <w:vAlign w:val="center"/>
          </w:tcPr>
          <w:p w14:paraId="561C5252" w14:textId="77777777" w:rsidR="00454A29" w:rsidRDefault="00454A29">
            <w:pPr>
              <w:pStyle w:val="ConsPlusNormal"/>
            </w:pPr>
          </w:p>
        </w:tc>
        <w:tc>
          <w:tcPr>
            <w:tcW w:w="1928" w:type="dxa"/>
            <w:vMerge w:val="restart"/>
            <w:vAlign w:val="center"/>
          </w:tcPr>
          <w:p w14:paraId="178F01A3" w14:textId="77777777" w:rsidR="00454A29" w:rsidRDefault="00454A29">
            <w:pPr>
              <w:pStyle w:val="ConsPlusNormal"/>
              <w:jc w:val="center"/>
            </w:pPr>
            <w:r>
              <w:t>МР "Сунтарский улус (район)"</w:t>
            </w:r>
          </w:p>
        </w:tc>
        <w:tc>
          <w:tcPr>
            <w:tcW w:w="1644" w:type="dxa"/>
            <w:vMerge w:val="restart"/>
            <w:vAlign w:val="center"/>
          </w:tcPr>
          <w:p w14:paraId="643E88A1" w14:textId="77777777" w:rsidR="00454A29" w:rsidRDefault="00454A29">
            <w:pPr>
              <w:pStyle w:val="ConsPlusNormal"/>
              <w:jc w:val="center"/>
            </w:pPr>
            <w:r>
              <w:t>с. Сунтар</w:t>
            </w:r>
          </w:p>
        </w:tc>
        <w:tc>
          <w:tcPr>
            <w:tcW w:w="2041" w:type="dxa"/>
            <w:vMerge w:val="restart"/>
            <w:vAlign w:val="center"/>
          </w:tcPr>
          <w:p w14:paraId="4E0C6E17" w14:textId="77777777" w:rsidR="00454A29" w:rsidRDefault="00454A29">
            <w:pPr>
              <w:pStyle w:val="ConsPlusNormal"/>
              <w:jc w:val="center"/>
            </w:pPr>
            <w:r>
              <w:t xml:space="preserve">Строительство детского сада на </w:t>
            </w:r>
            <w:r>
              <w:lastRenderedPageBreak/>
              <w:t>240 мест</w:t>
            </w:r>
          </w:p>
        </w:tc>
        <w:tc>
          <w:tcPr>
            <w:tcW w:w="2098" w:type="dxa"/>
            <w:vAlign w:val="center"/>
          </w:tcPr>
          <w:p w14:paraId="4DE84DE2" w14:textId="77777777" w:rsidR="00454A29" w:rsidRDefault="00454A29">
            <w:pPr>
              <w:pStyle w:val="ConsPlusNormal"/>
              <w:jc w:val="center"/>
            </w:pPr>
            <w:r>
              <w:lastRenderedPageBreak/>
              <w:t>Итого</w:t>
            </w:r>
          </w:p>
        </w:tc>
        <w:tc>
          <w:tcPr>
            <w:tcW w:w="1814" w:type="dxa"/>
            <w:vAlign w:val="center"/>
          </w:tcPr>
          <w:p w14:paraId="6400B5A9" w14:textId="77777777" w:rsidR="00454A29" w:rsidRDefault="00454A29">
            <w:pPr>
              <w:pStyle w:val="ConsPlusNormal"/>
              <w:jc w:val="center"/>
            </w:pPr>
            <w:r>
              <w:t>121 886,84</w:t>
            </w:r>
          </w:p>
        </w:tc>
        <w:tc>
          <w:tcPr>
            <w:tcW w:w="1701" w:type="dxa"/>
            <w:vAlign w:val="center"/>
          </w:tcPr>
          <w:p w14:paraId="0A45F714" w14:textId="77777777" w:rsidR="00454A29" w:rsidRDefault="00454A29">
            <w:pPr>
              <w:pStyle w:val="ConsPlusNormal"/>
              <w:jc w:val="center"/>
            </w:pPr>
            <w:r>
              <w:t>0,00</w:t>
            </w:r>
          </w:p>
        </w:tc>
        <w:tc>
          <w:tcPr>
            <w:tcW w:w="1701" w:type="dxa"/>
            <w:vAlign w:val="center"/>
          </w:tcPr>
          <w:p w14:paraId="39247636" w14:textId="77777777" w:rsidR="00454A29" w:rsidRDefault="00454A29">
            <w:pPr>
              <w:pStyle w:val="ConsPlusNormal"/>
              <w:jc w:val="center"/>
            </w:pPr>
            <w:r>
              <w:t>х</w:t>
            </w:r>
          </w:p>
        </w:tc>
        <w:tc>
          <w:tcPr>
            <w:tcW w:w="1701" w:type="dxa"/>
            <w:vAlign w:val="center"/>
          </w:tcPr>
          <w:p w14:paraId="46D7B515" w14:textId="77777777" w:rsidR="00454A29" w:rsidRDefault="00454A29">
            <w:pPr>
              <w:pStyle w:val="ConsPlusNormal"/>
              <w:jc w:val="center"/>
            </w:pPr>
            <w:r>
              <w:t>х</w:t>
            </w:r>
          </w:p>
        </w:tc>
        <w:tc>
          <w:tcPr>
            <w:tcW w:w="1701" w:type="dxa"/>
            <w:vAlign w:val="center"/>
          </w:tcPr>
          <w:p w14:paraId="5C4ABAB2" w14:textId="77777777" w:rsidR="00454A29" w:rsidRDefault="00454A29">
            <w:pPr>
              <w:pStyle w:val="ConsPlusNormal"/>
              <w:jc w:val="center"/>
            </w:pPr>
            <w:r>
              <w:t>х</w:t>
            </w:r>
          </w:p>
        </w:tc>
        <w:tc>
          <w:tcPr>
            <w:tcW w:w="1701" w:type="dxa"/>
            <w:vAlign w:val="center"/>
          </w:tcPr>
          <w:p w14:paraId="39E93739" w14:textId="77777777" w:rsidR="00454A29" w:rsidRDefault="00454A29">
            <w:pPr>
              <w:pStyle w:val="ConsPlusNormal"/>
              <w:jc w:val="center"/>
            </w:pPr>
            <w:r>
              <w:t>х</w:t>
            </w:r>
          </w:p>
        </w:tc>
        <w:tc>
          <w:tcPr>
            <w:tcW w:w="1701" w:type="dxa"/>
            <w:vAlign w:val="center"/>
          </w:tcPr>
          <w:p w14:paraId="42F86983" w14:textId="77777777" w:rsidR="00454A29" w:rsidRDefault="00454A29">
            <w:pPr>
              <w:pStyle w:val="ConsPlusNormal"/>
              <w:jc w:val="center"/>
            </w:pPr>
            <w:r>
              <w:t>х</w:t>
            </w:r>
          </w:p>
        </w:tc>
      </w:tr>
      <w:tr w:rsidR="00454A29" w14:paraId="222023C8" w14:textId="77777777">
        <w:tc>
          <w:tcPr>
            <w:tcW w:w="964" w:type="dxa"/>
            <w:vMerge/>
          </w:tcPr>
          <w:p w14:paraId="196AF142" w14:textId="77777777" w:rsidR="00454A29" w:rsidRDefault="00454A29"/>
        </w:tc>
        <w:tc>
          <w:tcPr>
            <w:tcW w:w="2154" w:type="dxa"/>
            <w:vMerge/>
            <w:tcBorders>
              <w:top w:val="nil"/>
              <w:bottom w:val="nil"/>
            </w:tcBorders>
          </w:tcPr>
          <w:p w14:paraId="36B6244E" w14:textId="77777777" w:rsidR="00454A29" w:rsidRDefault="00454A29"/>
        </w:tc>
        <w:tc>
          <w:tcPr>
            <w:tcW w:w="2154" w:type="dxa"/>
            <w:vMerge/>
            <w:tcBorders>
              <w:top w:val="nil"/>
              <w:bottom w:val="nil"/>
            </w:tcBorders>
          </w:tcPr>
          <w:p w14:paraId="049B8813" w14:textId="77777777" w:rsidR="00454A29" w:rsidRDefault="00454A29"/>
        </w:tc>
        <w:tc>
          <w:tcPr>
            <w:tcW w:w="2665" w:type="dxa"/>
            <w:vMerge/>
          </w:tcPr>
          <w:p w14:paraId="5DBFFC2B" w14:textId="77777777" w:rsidR="00454A29" w:rsidRDefault="00454A29"/>
        </w:tc>
        <w:tc>
          <w:tcPr>
            <w:tcW w:w="2665" w:type="dxa"/>
            <w:vMerge/>
            <w:tcBorders>
              <w:top w:val="nil"/>
              <w:bottom w:val="nil"/>
            </w:tcBorders>
          </w:tcPr>
          <w:p w14:paraId="2939F176" w14:textId="77777777" w:rsidR="00454A29" w:rsidRDefault="00454A29"/>
        </w:tc>
        <w:tc>
          <w:tcPr>
            <w:tcW w:w="1928" w:type="dxa"/>
            <w:vMerge/>
          </w:tcPr>
          <w:p w14:paraId="2EF10EAA" w14:textId="77777777" w:rsidR="00454A29" w:rsidRDefault="00454A29"/>
        </w:tc>
        <w:tc>
          <w:tcPr>
            <w:tcW w:w="1644" w:type="dxa"/>
            <w:vMerge/>
          </w:tcPr>
          <w:p w14:paraId="70CC5E94" w14:textId="77777777" w:rsidR="00454A29" w:rsidRDefault="00454A29"/>
        </w:tc>
        <w:tc>
          <w:tcPr>
            <w:tcW w:w="2041" w:type="dxa"/>
            <w:vMerge/>
          </w:tcPr>
          <w:p w14:paraId="6B555743" w14:textId="77777777" w:rsidR="00454A29" w:rsidRDefault="00454A29"/>
        </w:tc>
        <w:tc>
          <w:tcPr>
            <w:tcW w:w="2098" w:type="dxa"/>
            <w:vAlign w:val="center"/>
          </w:tcPr>
          <w:p w14:paraId="44019D26" w14:textId="77777777" w:rsidR="00454A29" w:rsidRDefault="00454A29">
            <w:pPr>
              <w:pStyle w:val="ConsPlusNormal"/>
              <w:jc w:val="center"/>
            </w:pPr>
            <w:r>
              <w:t xml:space="preserve">Государственный </w:t>
            </w:r>
            <w:r>
              <w:lastRenderedPageBreak/>
              <w:t>бюджет Республики Саха (Якутия)</w:t>
            </w:r>
          </w:p>
        </w:tc>
        <w:tc>
          <w:tcPr>
            <w:tcW w:w="1814" w:type="dxa"/>
            <w:vAlign w:val="center"/>
          </w:tcPr>
          <w:p w14:paraId="0CF6A5BB" w14:textId="77777777" w:rsidR="00454A29" w:rsidRDefault="00454A29">
            <w:pPr>
              <w:pStyle w:val="ConsPlusNormal"/>
              <w:jc w:val="center"/>
            </w:pPr>
            <w:r>
              <w:lastRenderedPageBreak/>
              <w:t>0,00</w:t>
            </w:r>
          </w:p>
        </w:tc>
        <w:tc>
          <w:tcPr>
            <w:tcW w:w="1701" w:type="dxa"/>
            <w:vAlign w:val="center"/>
          </w:tcPr>
          <w:p w14:paraId="6D40B220" w14:textId="77777777" w:rsidR="00454A29" w:rsidRDefault="00454A29">
            <w:pPr>
              <w:pStyle w:val="ConsPlusNormal"/>
              <w:jc w:val="center"/>
            </w:pPr>
            <w:r>
              <w:t>0,00</w:t>
            </w:r>
          </w:p>
        </w:tc>
        <w:tc>
          <w:tcPr>
            <w:tcW w:w="1701" w:type="dxa"/>
            <w:vAlign w:val="center"/>
          </w:tcPr>
          <w:p w14:paraId="65FE627E" w14:textId="77777777" w:rsidR="00454A29" w:rsidRDefault="00454A29">
            <w:pPr>
              <w:pStyle w:val="ConsPlusNormal"/>
              <w:jc w:val="center"/>
            </w:pPr>
            <w:r>
              <w:t>х</w:t>
            </w:r>
          </w:p>
        </w:tc>
        <w:tc>
          <w:tcPr>
            <w:tcW w:w="1701" w:type="dxa"/>
            <w:vAlign w:val="center"/>
          </w:tcPr>
          <w:p w14:paraId="6B157920" w14:textId="77777777" w:rsidR="00454A29" w:rsidRDefault="00454A29">
            <w:pPr>
              <w:pStyle w:val="ConsPlusNormal"/>
              <w:jc w:val="center"/>
            </w:pPr>
            <w:r>
              <w:t>х</w:t>
            </w:r>
          </w:p>
        </w:tc>
        <w:tc>
          <w:tcPr>
            <w:tcW w:w="1701" w:type="dxa"/>
            <w:vAlign w:val="center"/>
          </w:tcPr>
          <w:p w14:paraId="31D4BC68" w14:textId="77777777" w:rsidR="00454A29" w:rsidRDefault="00454A29">
            <w:pPr>
              <w:pStyle w:val="ConsPlusNormal"/>
              <w:jc w:val="center"/>
            </w:pPr>
            <w:r>
              <w:t>х</w:t>
            </w:r>
          </w:p>
        </w:tc>
        <w:tc>
          <w:tcPr>
            <w:tcW w:w="1701" w:type="dxa"/>
            <w:vAlign w:val="center"/>
          </w:tcPr>
          <w:p w14:paraId="494CBE51" w14:textId="77777777" w:rsidR="00454A29" w:rsidRDefault="00454A29">
            <w:pPr>
              <w:pStyle w:val="ConsPlusNormal"/>
              <w:jc w:val="center"/>
            </w:pPr>
            <w:r>
              <w:t>х</w:t>
            </w:r>
          </w:p>
        </w:tc>
        <w:tc>
          <w:tcPr>
            <w:tcW w:w="1701" w:type="dxa"/>
            <w:vAlign w:val="center"/>
          </w:tcPr>
          <w:p w14:paraId="202E0FC8" w14:textId="77777777" w:rsidR="00454A29" w:rsidRDefault="00454A29">
            <w:pPr>
              <w:pStyle w:val="ConsPlusNormal"/>
              <w:jc w:val="center"/>
            </w:pPr>
            <w:r>
              <w:t>х</w:t>
            </w:r>
          </w:p>
        </w:tc>
      </w:tr>
      <w:tr w:rsidR="00454A29" w14:paraId="04EA0CA4" w14:textId="77777777">
        <w:tc>
          <w:tcPr>
            <w:tcW w:w="964" w:type="dxa"/>
            <w:vMerge/>
          </w:tcPr>
          <w:p w14:paraId="46096501" w14:textId="77777777" w:rsidR="00454A29" w:rsidRDefault="00454A29"/>
        </w:tc>
        <w:tc>
          <w:tcPr>
            <w:tcW w:w="2154" w:type="dxa"/>
            <w:vMerge/>
            <w:tcBorders>
              <w:top w:val="nil"/>
              <w:bottom w:val="nil"/>
            </w:tcBorders>
          </w:tcPr>
          <w:p w14:paraId="7174BDCA" w14:textId="77777777" w:rsidR="00454A29" w:rsidRDefault="00454A29"/>
        </w:tc>
        <w:tc>
          <w:tcPr>
            <w:tcW w:w="2154" w:type="dxa"/>
            <w:vMerge/>
            <w:tcBorders>
              <w:top w:val="nil"/>
              <w:bottom w:val="nil"/>
            </w:tcBorders>
          </w:tcPr>
          <w:p w14:paraId="26A1D3D6" w14:textId="77777777" w:rsidR="00454A29" w:rsidRDefault="00454A29"/>
        </w:tc>
        <w:tc>
          <w:tcPr>
            <w:tcW w:w="2665" w:type="dxa"/>
            <w:vMerge/>
          </w:tcPr>
          <w:p w14:paraId="2948907C" w14:textId="77777777" w:rsidR="00454A29" w:rsidRDefault="00454A29"/>
        </w:tc>
        <w:tc>
          <w:tcPr>
            <w:tcW w:w="2665" w:type="dxa"/>
            <w:vMerge/>
            <w:tcBorders>
              <w:top w:val="nil"/>
              <w:bottom w:val="nil"/>
            </w:tcBorders>
          </w:tcPr>
          <w:p w14:paraId="5FDBB36C" w14:textId="77777777" w:rsidR="00454A29" w:rsidRDefault="00454A29"/>
        </w:tc>
        <w:tc>
          <w:tcPr>
            <w:tcW w:w="1928" w:type="dxa"/>
            <w:vMerge/>
          </w:tcPr>
          <w:p w14:paraId="0A7F0FED" w14:textId="77777777" w:rsidR="00454A29" w:rsidRDefault="00454A29"/>
        </w:tc>
        <w:tc>
          <w:tcPr>
            <w:tcW w:w="1644" w:type="dxa"/>
            <w:vMerge/>
          </w:tcPr>
          <w:p w14:paraId="4792BAD5" w14:textId="77777777" w:rsidR="00454A29" w:rsidRDefault="00454A29"/>
        </w:tc>
        <w:tc>
          <w:tcPr>
            <w:tcW w:w="2041" w:type="dxa"/>
            <w:vMerge/>
          </w:tcPr>
          <w:p w14:paraId="63165F02" w14:textId="77777777" w:rsidR="00454A29" w:rsidRDefault="00454A29"/>
        </w:tc>
        <w:tc>
          <w:tcPr>
            <w:tcW w:w="2098" w:type="dxa"/>
            <w:vAlign w:val="center"/>
          </w:tcPr>
          <w:p w14:paraId="6C47C390" w14:textId="77777777" w:rsidR="00454A29" w:rsidRDefault="00454A29">
            <w:pPr>
              <w:pStyle w:val="ConsPlusNormal"/>
              <w:jc w:val="center"/>
            </w:pPr>
            <w:r>
              <w:t>Федеральный бюджет</w:t>
            </w:r>
          </w:p>
        </w:tc>
        <w:tc>
          <w:tcPr>
            <w:tcW w:w="1814" w:type="dxa"/>
            <w:vAlign w:val="center"/>
          </w:tcPr>
          <w:p w14:paraId="18266479" w14:textId="77777777" w:rsidR="00454A29" w:rsidRDefault="00454A29">
            <w:pPr>
              <w:pStyle w:val="ConsPlusNormal"/>
              <w:jc w:val="center"/>
            </w:pPr>
            <w:r>
              <w:t>120 655,78</w:t>
            </w:r>
          </w:p>
        </w:tc>
        <w:tc>
          <w:tcPr>
            <w:tcW w:w="1701" w:type="dxa"/>
            <w:vAlign w:val="center"/>
          </w:tcPr>
          <w:p w14:paraId="13E944DC" w14:textId="77777777" w:rsidR="00454A29" w:rsidRDefault="00454A29">
            <w:pPr>
              <w:pStyle w:val="ConsPlusNormal"/>
              <w:jc w:val="center"/>
            </w:pPr>
            <w:r>
              <w:t>0,00</w:t>
            </w:r>
          </w:p>
        </w:tc>
        <w:tc>
          <w:tcPr>
            <w:tcW w:w="1701" w:type="dxa"/>
            <w:vAlign w:val="center"/>
          </w:tcPr>
          <w:p w14:paraId="770369A9" w14:textId="77777777" w:rsidR="00454A29" w:rsidRDefault="00454A29">
            <w:pPr>
              <w:pStyle w:val="ConsPlusNormal"/>
              <w:jc w:val="center"/>
            </w:pPr>
            <w:r>
              <w:t>х</w:t>
            </w:r>
          </w:p>
        </w:tc>
        <w:tc>
          <w:tcPr>
            <w:tcW w:w="1701" w:type="dxa"/>
            <w:vAlign w:val="center"/>
          </w:tcPr>
          <w:p w14:paraId="58F96C02" w14:textId="77777777" w:rsidR="00454A29" w:rsidRDefault="00454A29">
            <w:pPr>
              <w:pStyle w:val="ConsPlusNormal"/>
              <w:jc w:val="center"/>
            </w:pPr>
            <w:r>
              <w:t>х</w:t>
            </w:r>
          </w:p>
        </w:tc>
        <w:tc>
          <w:tcPr>
            <w:tcW w:w="1701" w:type="dxa"/>
            <w:vAlign w:val="center"/>
          </w:tcPr>
          <w:p w14:paraId="73B16D0D" w14:textId="77777777" w:rsidR="00454A29" w:rsidRDefault="00454A29">
            <w:pPr>
              <w:pStyle w:val="ConsPlusNormal"/>
              <w:jc w:val="center"/>
            </w:pPr>
            <w:r>
              <w:t>х</w:t>
            </w:r>
          </w:p>
        </w:tc>
        <w:tc>
          <w:tcPr>
            <w:tcW w:w="1701" w:type="dxa"/>
            <w:vAlign w:val="center"/>
          </w:tcPr>
          <w:p w14:paraId="78B1943D" w14:textId="77777777" w:rsidR="00454A29" w:rsidRDefault="00454A29">
            <w:pPr>
              <w:pStyle w:val="ConsPlusNormal"/>
              <w:jc w:val="center"/>
            </w:pPr>
            <w:r>
              <w:t>х</w:t>
            </w:r>
          </w:p>
        </w:tc>
        <w:tc>
          <w:tcPr>
            <w:tcW w:w="1701" w:type="dxa"/>
            <w:vAlign w:val="center"/>
          </w:tcPr>
          <w:p w14:paraId="4F90E690" w14:textId="77777777" w:rsidR="00454A29" w:rsidRDefault="00454A29">
            <w:pPr>
              <w:pStyle w:val="ConsPlusNormal"/>
              <w:jc w:val="center"/>
            </w:pPr>
            <w:r>
              <w:t>х</w:t>
            </w:r>
          </w:p>
        </w:tc>
      </w:tr>
      <w:tr w:rsidR="00454A29" w14:paraId="259987E5" w14:textId="77777777">
        <w:tc>
          <w:tcPr>
            <w:tcW w:w="964" w:type="dxa"/>
            <w:vMerge/>
          </w:tcPr>
          <w:p w14:paraId="21F39964" w14:textId="77777777" w:rsidR="00454A29" w:rsidRDefault="00454A29"/>
        </w:tc>
        <w:tc>
          <w:tcPr>
            <w:tcW w:w="2154" w:type="dxa"/>
            <w:vMerge/>
            <w:tcBorders>
              <w:top w:val="nil"/>
              <w:bottom w:val="nil"/>
            </w:tcBorders>
          </w:tcPr>
          <w:p w14:paraId="19505272" w14:textId="77777777" w:rsidR="00454A29" w:rsidRDefault="00454A29"/>
        </w:tc>
        <w:tc>
          <w:tcPr>
            <w:tcW w:w="2154" w:type="dxa"/>
            <w:vMerge/>
            <w:tcBorders>
              <w:top w:val="nil"/>
              <w:bottom w:val="nil"/>
            </w:tcBorders>
          </w:tcPr>
          <w:p w14:paraId="39778CF9" w14:textId="77777777" w:rsidR="00454A29" w:rsidRDefault="00454A29"/>
        </w:tc>
        <w:tc>
          <w:tcPr>
            <w:tcW w:w="2665" w:type="dxa"/>
            <w:vMerge/>
          </w:tcPr>
          <w:p w14:paraId="3A67F0B8" w14:textId="77777777" w:rsidR="00454A29" w:rsidRDefault="00454A29"/>
        </w:tc>
        <w:tc>
          <w:tcPr>
            <w:tcW w:w="2665" w:type="dxa"/>
            <w:vMerge/>
            <w:tcBorders>
              <w:top w:val="nil"/>
              <w:bottom w:val="nil"/>
            </w:tcBorders>
          </w:tcPr>
          <w:p w14:paraId="408A8887" w14:textId="77777777" w:rsidR="00454A29" w:rsidRDefault="00454A29"/>
        </w:tc>
        <w:tc>
          <w:tcPr>
            <w:tcW w:w="1928" w:type="dxa"/>
            <w:vMerge/>
          </w:tcPr>
          <w:p w14:paraId="1DA47A0A" w14:textId="77777777" w:rsidR="00454A29" w:rsidRDefault="00454A29"/>
        </w:tc>
        <w:tc>
          <w:tcPr>
            <w:tcW w:w="1644" w:type="dxa"/>
            <w:vMerge/>
          </w:tcPr>
          <w:p w14:paraId="49EA80B0" w14:textId="77777777" w:rsidR="00454A29" w:rsidRDefault="00454A29"/>
        </w:tc>
        <w:tc>
          <w:tcPr>
            <w:tcW w:w="2041" w:type="dxa"/>
            <w:vMerge/>
          </w:tcPr>
          <w:p w14:paraId="4457BC79" w14:textId="77777777" w:rsidR="00454A29" w:rsidRDefault="00454A29"/>
        </w:tc>
        <w:tc>
          <w:tcPr>
            <w:tcW w:w="2098" w:type="dxa"/>
            <w:vAlign w:val="center"/>
          </w:tcPr>
          <w:p w14:paraId="74E6544E" w14:textId="77777777" w:rsidR="00454A29" w:rsidRDefault="00454A29">
            <w:pPr>
              <w:pStyle w:val="ConsPlusNormal"/>
              <w:jc w:val="center"/>
            </w:pPr>
            <w:r>
              <w:t>Местные бюджеты</w:t>
            </w:r>
          </w:p>
        </w:tc>
        <w:tc>
          <w:tcPr>
            <w:tcW w:w="1814" w:type="dxa"/>
            <w:vAlign w:val="center"/>
          </w:tcPr>
          <w:p w14:paraId="433D392F" w14:textId="77777777" w:rsidR="00454A29" w:rsidRDefault="00454A29">
            <w:pPr>
              <w:pStyle w:val="ConsPlusNormal"/>
              <w:jc w:val="center"/>
            </w:pPr>
            <w:r>
              <w:t>1 231,06</w:t>
            </w:r>
          </w:p>
        </w:tc>
        <w:tc>
          <w:tcPr>
            <w:tcW w:w="1701" w:type="dxa"/>
            <w:vAlign w:val="center"/>
          </w:tcPr>
          <w:p w14:paraId="1EC79BDD" w14:textId="77777777" w:rsidR="00454A29" w:rsidRDefault="00454A29">
            <w:pPr>
              <w:pStyle w:val="ConsPlusNormal"/>
              <w:jc w:val="center"/>
            </w:pPr>
            <w:r>
              <w:t>0,00</w:t>
            </w:r>
          </w:p>
        </w:tc>
        <w:tc>
          <w:tcPr>
            <w:tcW w:w="1701" w:type="dxa"/>
            <w:vAlign w:val="center"/>
          </w:tcPr>
          <w:p w14:paraId="6AB33451" w14:textId="77777777" w:rsidR="00454A29" w:rsidRDefault="00454A29">
            <w:pPr>
              <w:pStyle w:val="ConsPlusNormal"/>
              <w:jc w:val="center"/>
            </w:pPr>
            <w:r>
              <w:t>х</w:t>
            </w:r>
          </w:p>
        </w:tc>
        <w:tc>
          <w:tcPr>
            <w:tcW w:w="1701" w:type="dxa"/>
            <w:vAlign w:val="center"/>
          </w:tcPr>
          <w:p w14:paraId="77EAE8C1" w14:textId="77777777" w:rsidR="00454A29" w:rsidRDefault="00454A29">
            <w:pPr>
              <w:pStyle w:val="ConsPlusNormal"/>
              <w:jc w:val="center"/>
            </w:pPr>
            <w:r>
              <w:t>х</w:t>
            </w:r>
          </w:p>
        </w:tc>
        <w:tc>
          <w:tcPr>
            <w:tcW w:w="1701" w:type="dxa"/>
            <w:vAlign w:val="center"/>
          </w:tcPr>
          <w:p w14:paraId="09F03272" w14:textId="77777777" w:rsidR="00454A29" w:rsidRDefault="00454A29">
            <w:pPr>
              <w:pStyle w:val="ConsPlusNormal"/>
              <w:jc w:val="center"/>
            </w:pPr>
            <w:r>
              <w:t>х</w:t>
            </w:r>
          </w:p>
        </w:tc>
        <w:tc>
          <w:tcPr>
            <w:tcW w:w="1701" w:type="dxa"/>
            <w:vAlign w:val="center"/>
          </w:tcPr>
          <w:p w14:paraId="5ECBFC7B" w14:textId="77777777" w:rsidR="00454A29" w:rsidRDefault="00454A29">
            <w:pPr>
              <w:pStyle w:val="ConsPlusNormal"/>
              <w:jc w:val="center"/>
            </w:pPr>
            <w:r>
              <w:t>х</w:t>
            </w:r>
          </w:p>
        </w:tc>
        <w:tc>
          <w:tcPr>
            <w:tcW w:w="1701" w:type="dxa"/>
            <w:vAlign w:val="center"/>
          </w:tcPr>
          <w:p w14:paraId="52A1D5F2" w14:textId="77777777" w:rsidR="00454A29" w:rsidRDefault="00454A29">
            <w:pPr>
              <w:pStyle w:val="ConsPlusNormal"/>
              <w:jc w:val="center"/>
            </w:pPr>
            <w:r>
              <w:t>х</w:t>
            </w:r>
          </w:p>
        </w:tc>
      </w:tr>
      <w:tr w:rsidR="00454A29" w14:paraId="4B944F1F" w14:textId="77777777">
        <w:tc>
          <w:tcPr>
            <w:tcW w:w="964" w:type="dxa"/>
            <w:vMerge/>
          </w:tcPr>
          <w:p w14:paraId="0DFF3403" w14:textId="77777777" w:rsidR="00454A29" w:rsidRDefault="00454A29"/>
        </w:tc>
        <w:tc>
          <w:tcPr>
            <w:tcW w:w="2154" w:type="dxa"/>
            <w:vMerge/>
            <w:tcBorders>
              <w:top w:val="nil"/>
              <w:bottom w:val="nil"/>
            </w:tcBorders>
          </w:tcPr>
          <w:p w14:paraId="127B0613" w14:textId="77777777" w:rsidR="00454A29" w:rsidRDefault="00454A29"/>
        </w:tc>
        <w:tc>
          <w:tcPr>
            <w:tcW w:w="2154" w:type="dxa"/>
            <w:vMerge/>
            <w:tcBorders>
              <w:top w:val="nil"/>
              <w:bottom w:val="nil"/>
            </w:tcBorders>
          </w:tcPr>
          <w:p w14:paraId="14A4B61C" w14:textId="77777777" w:rsidR="00454A29" w:rsidRDefault="00454A29"/>
        </w:tc>
        <w:tc>
          <w:tcPr>
            <w:tcW w:w="2665" w:type="dxa"/>
            <w:vMerge/>
          </w:tcPr>
          <w:p w14:paraId="0DEB1449" w14:textId="77777777" w:rsidR="00454A29" w:rsidRDefault="00454A29"/>
        </w:tc>
        <w:tc>
          <w:tcPr>
            <w:tcW w:w="2665" w:type="dxa"/>
            <w:vMerge/>
            <w:tcBorders>
              <w:top w:val="nil"/>
              <w:bottom w:val="nil"/>
            </w:tcBorders>
          </w:tcPr>
          <w:p w14:paraId="0E75EC45" w14:textId="77777777" w:rsidR="00454A29" w:rsidRDefault="00454A29"/>
        </w:tc>
        <w:tc>
          <w:tcPr>
            <w:tcW w:w="1928" w:type="dxa"/>
            <w:vMerge/>
          </w:tcPr>
          <w:p w14:paraId="5CF5CBEF" w14:textId="77777777" w:rsidR="00454A29" w:rsidRDefault="00454A29"/>
        </w:tc>
        <w:tc>
          <w:tcPr>
            <w:tcW w:w="1644" w:type="dxa"/>
            <w:vMerge/>
          </w:tcPr>
          <w:p w14:paraId="5C9D8ADB" w14:textId="77777777" w:rsidR="00454A29" w:rsidRDefault="00454A29"/>
        </w:tc>
        <w:tc>
          <w:tcPr>
            <w:tcW w:w="2041" w:type="dxa"/>
            <w:vMerge/>
          </w:tcPr>
          <w:p w14:paraId="22E4D724" w14:textId="77777777" w:rsidR="00454A29" w:rsidRDefault="00454A29"/>
        </w:tc>
        <w:tc>
          <w:tcPr>
            <w:tcW w:w="2098" w:type="dxa"/>
            <w:vAlign w:val="center"/>
          </w:tcPr>
          <w:p w14:paraId="401E42EA" w14:textId="77777777" w:rsidR="00454A29" w:rsidRDefault="00454A29">
            <w:pPr>
              <w:pStyle w:val="ConsPlusNormal"/>
              <w:jc w:val="center"/>
            </w:pPr>
            <w:r>
              <w:t>Внебюджетные средства</w:t>
            </w:r>
          </w:p>
        </w:tc>
        <w:tc>
          <w:tcPr>
            <w:tcW w:w="1814" w:type="dxa"/>
            <w:vAlign w:val="center"/>
          </w:tcPr>
          <w:p w14:paraId="63F9E5BE" w14:textId="77777777" w:rsidR="00454A29" w:rsidRDefault="00454A29">
            <w:pPr>
              <w:pStyle w:val="ConsPlusNormal"/>
              <w:jc w:val="center"/>
            </w:pPr>
            <w:r>
              <w:t>0,00</w:t>
            </w:r>
          </w:p>
        </w:tc>
        <w:tc>
          <w:tcPr>
            <w:tcW w:w="1701" w:type="dxa"/>
            <w:vAlign w:val="center"/>
          </w:tcPr>
          <w:p w14:paraId="04EFA8F5" w14:textId="77777777" w:rsidR="00454A29" w:rsidRDefault="00454A29">
            <w:pPr>
              <w:pStyle w:val="ConsPlusNormal"/>
              <w:jc w:val="center"/>
            </w:pPr>
            <w:r>
              <w:t>0,00</w:t>
            </w:r>
          </w:p>
        </w:tc>
        <w:tc>
          <w:tcPr>
            <w:tcW w:w="1701" w:type="dxa"/>
            <w:vAlign w:val="center"/>
          </w:tcPr>
          <w:p w14:paraId="793166F0" w14:textId="77777777" w:rsidR="00454A29" w:rsidRDefault="00454A29">
            <w:pPr>
              <w:pStyle w:val="ConsPlusNormal"/>
              <w:jc w:val="center"/>
            </w:pPr>
            <w:r>
              <w:t>х</w:t>
            </w:r>
          </w:p>
        </w:tc>
        <w:tc>
          <w:tcPr>
            <w:tcW w:w="1701" w:type="dxa"/>
            <w:vAlign w:val="center"/>
          </w:tcPr>
          <w:p w14:paraId="7746FE45" w14:textId="77777777" w:rsidR="00454A29" w:rsidRDefault="00454A29">
            <w:pPr>
              <w:pStyle w:val="ConsPlusNormal"/>
              <w:jc w:val="center"/>
            </w:pPr>
            <w:r>
              <w:t>х</w:t>
            </w:r>
          </w:p>
        </w:tc>
        <w:tc>
          <w:tcPr>
            <w:tcW w:w="1701" w:type="dxa"/>
            <w:vAlign w:val="center"/>
          </w:tcPr>
          <w:p w14:paraId="79958B48" w14:textId="77777777" w:rsidR="00454A29" w:rsidRDefault="00454A29">
            <w:pPr>
              <w:pStyle w:val="ConsPlusNormal"/>
              <w:jc w:val="center"/>
            </w:pPr>
            <w:r>
              <w:t>х</w:t>
            </w:r>
          </w:p>
        </w:tc>
        <w:tc>
          <w:tcPr>
            <w:tcW w:w="1701" w:type="dxa"/>
            <w:vAlign w:val="center"/>
          </w:tcPr>
          <w:p w14:paraId="790D50D9" w14:textId="77777777" w:rsidR="00454A29" w:rsidRDefault="00454A29">
            <w:pPr>
              <w:pStyle w:val="ConsPlusNormal"/>
              <w:jc w:val="center"/>
            </w:pPr>
            <w:r>
              <w:t>х</w:t>
            </w:r>
          </w:p>
        </w:tc>
        <w:tc>
          <w:tcPr>
            <w:tcW w:w="1701" w:type="dxa"/>
            <w:vAlign w:val="center"/>
          </w:tcPr>
          <w:p w14:paraId="0EE3933D" w14:textId="77777777" w:rsidR="00454A29" w:rsidRDefault="00454A29">
            <w:pPr>
              <w:pStyle w:val="ConsPlusNormal"/>
              <w:jc w:val="center"/>
            </w:pPr>
            <w:r>
              <w:t>х</w:t>
            </w:r>
          </w:p>
        </w:tc>
      </w:tr>
      <w:tr w:rsidR="00454A29" w14:paraId="5C37D8E7" w14:textId="77777777">
        <w:tc>
          <w:tcPr>
            <w:tcW w:w="964" w:type="dxa"/>
            <w:vMerge w:val="restart"/>
            <w:vAlign w:val="center"/>
          </w:tcPr>
          <w:p w14:paraId="13AC2870" w14:textId="77777777" w:rsidR="00454A29" w:rsidRDefault="00454A29">
            <w:pPr>
              <w:pStyle w:val="ConsPlusNormal"/>
              <w:jc w:val="center"/>
            </w:pPr>
            <w:r>
              <w:t>11.2.5.</w:t>
            </w:r>
          </w:p>
        </w:tc>
        <w:tc>
          <w:tcPr>
            <w:tcW w:w="2154" w:type="dxa"/>
            <w:vMerge w:val="restart"/>
            <w:tcBorders>
              <w:top w:val="nil"/>
              <w:bottom w:val="nil"/>
            </w:tcBorders>
            <w:vAlign w:val="center"/>
          </w:tcPr>
          <w:p w14:paraId="4E9811CD" w14:textId="77777777" w:rsidR="00454A29" w:rsidRDefault="00454A29">
            <w:pPr>
              <w:pStyle w:val="ConsPlusNormal"/>
            </w:pPr>
          </w:p>
        </w:tc>
        <w:tc>
          <w:tcPr>
            <w:tcW w:w="2154" w:type="dxa"/>
            <w:vMerge w:val="restart"/>
            <w:tcBorders>
              <w:top w:val="nil"/>
              <w:bottom w:val="nil"/>
            </w:tcBorders>
            <w:vAlign w:val="center"/>
          </w:tcPr>
          <w:p w14:paraId="3AEFB965" w14:textId="77777777" w:rsidR="00454A29" w:rsidRDefault="00454A29">
            <w:pPr>
              <w:pStyle w:val="ConsPlusNormal"/>
            </w:pPr>
          </w:p>
        </w:tc>
        <w:tc>
          <w:tcPr>
            <w:tcW w:w="2665" w:type="dxa"/>
            <w:vMerge/>
          </w:tcPr>
          <w:p w14:paraId="19A81BF4" w14:textId="77777777" w:rsidR="00454A29" w:rsidRDefault="00454A29"/>
        </w:tc>
        <w:tc>
          <w:tcPr>
            <w:tcW w:w="2665" w:type="dxa"/>
            <w:vMerge w:val="restart"/>
            <w:tcBorders>
              <w:top w:val="nil"/>
              <w:bottom w:val="nil"/>
            </w:tcBorders>
            <w:vAlign w:val="center"/>
          </w:tcPr>
          <w:p w14:paraId="61452552" w14:textId="77777777" w:rsidR="00454A29" w:rsidRDefault="00454A29">
            <w:pPr>
              <w:pStyle w:val="ConsPlusNormal"/>
            </w:pPr>
          </w:p>
        </w:tc>
        <w:tc>
          <w:tcPr>
            <w:tcW w:w="1928" w:type="dxa"/>
            <w:vMerge w:val="restart"/>
            <w:vAlign w:val="center"/>
          </w:tcPr>
          <w:p w14:paraId="34B5B825" w14:textId="77777777" w:rsidR="00454A29" w:rsidRDefault="00454A29">
            <w:pPr>
              <w:pStyle w:val="ConsPlusNormal"/>
              <w:jc w:val="center"/>
            </w:pPr>
            <w:r>
              <w:t>МР "Нюрбинский район"</w:t>
            </w:r>
          </w:p>
        </w:tc>
        <w:tc>
          <w:tcPr>
            <w:tcW w:w="1644" w:type="dxa"/>
            <w:vMerge w:val="restart"/>
            <w:vAlign w:val="center"/>
          </w:tcPr>
          <w:p w14:paraId="3A6638DC" w14:textId="77777777" w:rsidR="00454A29" w:rsidRDefault="00454A29">
            <w:pPr>
              <w:pStyle w:val="ConsPlusNormal"/>
              <w:jc w:val="center"/>
            </w:pPr>
            <w:r>
              <w:t>г. Нюрба</w:t>
            </w:r>
          </w:p>
        </w:tc>
        <w:tc>
          <w:tcPr>
            <w:tcW w:w="2041" w:type="dxa"/>
            <w:vMerge w:val="restart"/>
            <w:vAlign w:val="center"/>
          </w:tcPr>
          <w:p w14:paraId="7EA02C74" w14:textId="77777777" w:rsidR="00454A29" w:rsidRDefault="00454A29">
            <w:pPr>
              <w:pStyle w:val="ConsPlusNormal"/>
              <w:jc w:val="center"/>
            </w:pPr>
            <w:r>
              <w:t>Строительство детского сада на 280 мест</w:t>
            </w:r>
          </w:p>
        </w:tc>
        <w:tc>
          <w:tcPr>
            <w:tcW w:w="2098" w:type="dxa"/>
            <w:vAlign w:val="center"/>
          </w:tcPr>
          <w:p w14:paraId="61D66ADB" w14:textId="77777777" w:rsidR="00454A29" w:rsidRDefault="00454A29">
            <w:pPr>
              <w:pStyle w:val="ConsPlusNormal"/>
              <w:jc w:val="center"/>
            </w:pPr>
            <w:r>
              <w:t>Итого</w:t>
            </w:r>
          </w:p>
        </w:tc>
        <w:tc>
          <w:tcPr>
            <w:tcW w:w="1814" w:type="dxa"/>
            <w:vAlign w:val="center"/>
          </w:tcPr>
          <w:p w14:paraId="79CE3231" w14:textId="77777777" w:rsidR="00454A29" w:rsidRDefault="00454A29">
            <w:pPr>
              <w:pStyle w:val="ConsPlusNormal"/>
              <w:jc w:val="center"/>
            </w:pPr>
            <w:r>
              <w:t>205 025,97</w:t>
            </w:r>
          </w:p>
        </w:tc>
        <w:tc>
          <w:tcPr>
            <w:tcW w:w="1701" w:type="dxa"/>
            <w:vAlign w:val="center"/>
          </w:tcPr>
          <w:p w14:paraId="76686B72" w14:textId="77777777" w:rsidR="00454A29" w:rsidRDefault="00454A29">
            <w:pPr>
              <w:pStyle w:val="ConsPlusNormal"/>
              <w:jc w:val="center"/>
            </w:pPr>
            <w:r>
              <w:t>0,00</w:t>
            </w:r>
          </w:p>
        </w:tc>
        <w:tc>
          <w:tcPr>
            <w:tcW w:w="1701" w:type="dxa"/>
            <w:vAlign w:val="center"/>
          </w:tcPr>
          <w:p w14:paraId="1EEEF91D" w14:textId="77777777" w:rsidR="00454A29" w:rsidRDefault="00454A29">
            <w:pPr>
              <w:pStyle w:val="ConsPlusNormal"/>
              <w:jc w:val="center"/>
            </w:pPr>
            <w:r>
              <w:t>х</w:t>
            </w:r>
          </w:p>
        </w:tc>
        <w:tc>
          <w:tcPr>
            <w:tcW w:w="1701" w:type="dxa"/>
            <w:vAlign w:val="center"/>
          </w:tcPr>
          <w:p w14:paraId="50D79B63" w14:textId="77777777" w:rsidR="00454A29" w:rsidRDefault="00454A29">
            <w:pPr>
              <w:pStyle w:val="ConsPlusNormal"/>
              <w:jc w:val="center"/>
            </w:pPr>
            <w:r>
              <w:t>х</w:t>
            </w:r>
          </w:p>
        </w:tc>
        <w:tc>
          <w:tcPr>
            <w:tcW w:w="1701" w:type="dxa"/>
            <w:vAlign w:val="center"/>
          </w:tcPr>
          <w:p w14:paraId="7A70F43C" w14:textId="77777777" w:rsidR="00454A29" w:rsidRDefault="00454A29">
            <w:pPr>
              <w:pStyle w:val="ConsPlusNormal"/>
              <w:jc w:val="center"/>
            </w:pPr>
            <w:r>
              <w:t>х</w:t>
            </w:r>
          </w:p>
        </w:tc>
        <w:tc>
          <w:tcPr>
            <w:tcW w:w="1701" w:type="dxa"/>
            <w:vAlign w:val="center"/>
          </w:tcPr>
          <w:p w14:paraId="5A56A8BE" w14:textId="77777777" w:rsidR="00454A29" w:rsidRDefault="00454A29">
            <w:pPr>
              <w:pStyle w:val="ConsPlusNormal"/>
              <w:jc w:val="center"/>
            </w:pPr>
            <w:r>
              <w:t>х</w:t>
            </w:r>
          </w:p>
        </w:tc>
        <w:tc>
          <w:tcPr>
            <w:tcW w:w="1701" w:type="dxa"/>
            <w:vAlign w:val="center"/>
          </w:tcPr>
          <w:p w14:paraId="4994601B" w14:textId="77777777" w:rsidR="00454A29" w:rsidRDefault="00454A29">
            <w:pPr>
              <w:pStyle w:val="ConsPlusNormal"/>
              <w:jc w:val="center"/>
            </w:pPr>
            <w:r>
              <w:t>х</w:t>
            </w:r>
          </w:p>
        </w:tc>
      </w:tr>
      <w:tr w:rsidR="00454A29" w14:paraId="2DF73EB4" w14:textId="77777777">
        <w:tc>
          <w:tcPr>
            <w:tcW w:w="964" w:type="dxa"/>
            <w:vMerge/>
          </w:tcPr>
          <w:p w14:paraId="658901BD" w14:textId="77777777" w:rsidR="00454A29" w:rsidRDefault="00454A29"/>
        </w:tc>
        <w:tc>
          <w:tcPr>
            <w:tcW w:w="2154" w:type="dxa"/>
            <w:vMerge/>
            <w:tcBorders>
              <w:top w:val="nil"/>
              <w:bottom w:val="nil"/>
            </w:tcBorders>
          </w:tcPr>
          <w:p w14:paraId="5414981C" w14:textId="77777777" w:rsidR="00454A29" w:rsidRDefault="00454A29"/>
        </w:tc>
        <w:tc>
          <w:tcPr>
            <w:tcW w:w="2154" w:type="dxa"/>
            <w:vMerge/>
            <w:tcBorders>
              <w:top w:val="nil"/>
              <w:bottom w:val="nil"/>
            </w:tcBorders>
          </w:tcPr>
          <w:p w14:paraId="351C4BF4" w14:textId="77777777" w:rsidR="00454A29" w:rsidRDefault="00454A29"/>
        </w:tc>
        <w:tc>
          <w:tcPr>
            <w:tcW w:w="2665" w:type="dxa"/>
            <w:vMerge/>
          </w:tcPr>
          <w:p w14:paraId="199AAB0E" w14:textId="77777777" w:rsidR="00454A29" w:rsidRDefault="00454A29"/>
        </w:tc>
        <w:tc>
          <w:tcPr>
            <w:tcW w:w="2665" w:type="dxa"/>
            <w:vMerge/>
            <w:tcBorders>
              <w:top w:val="nil"/>
              <w:bottom w:val="nil"/>
            </w:tcBorders>
          </w:tcPr>
          <w:p w14:paraId="5DA102A3" w14:textId="77777777" w:rsidR="00454A29" w:rsidRDefault="00454A29"/>
        </w:tc>
        <w:tc>
          <w:tcPr>
            <w:tcW w:w="1928" w:type="dxa"/>
            <w:vMerge/>
          </w:tcPr>
          <w:p w14:paraId="04EF1D28" w14:textId="77777777" w:rsidR="00454A29" w:rsidRDefault="00454A29"/>
        </w:tc>
        <w:tc>
          <w:tcPr>
            <w:tcW w:w="1644" w:type="dxa"/>
            <w:vMerge/>
          </w:tcPr>
          <w:p w14:paraId="643E3742" w14:textId="77777777" w:rsidR="00454A29" w:rsidRDefault="00454A29"/>
        </w:tc>
        <w:tc>
          <w:tcPr>
            <w:tcW w:w="2041" w:type="dxa"/>
            <w:vMerge/>
          </w:tcPr>
          <w:p w14:paraId="41DAD3DD" w14:textId="77777777" w:rsidR="00454A29" w:rsidRDefault="00454A29"/>
        </w:tc>
        <w:tc>
          <w:tcPr>
            <w:tcW w:w="2098" w:type="dxa"/>
            <w:vAlign w:val="center"/>
          </w:tcPr>
          <w:p w14:paraId="02FEACEA"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7F3C487F" w14:textId="77777777" w:rsidR="00454A29" w:rsidRDefault="00454A29">
            <w:pPr>
              <w:pStyle w:val="ConsPlusNormal"/>
              <w:jc w:val="center"/>
            </w:pPr>
            <w:r>
              <w:t>2 029,76</w:t>
            </w:r>
          </w:p>
        </w:tc>
        <w:tc>
          <w:tcPr>
            <w:tcW w:w="1701" w:type="dxa"/>
            <w:vAlign w:val="center"/>
          </w:tcPr>
          <w:p w14:paraId="46B638E2" w14:textId="77777777" w:rsidR="00454A29" w:rsidRDefault="00454A29">
            <w:pPr>
              <w:pStyle w:val="ConsPlusNormal"/>
              <w:jc w:val="center"/>
            </w:pPr>
            <w:r>
              <w:t>0,00</w:t>
            </w:r>
          </w:p>
        </w:tc>
        <w:tc>
          <w:tcPr>
            <w:tcW w:w="1701" w:type="dxa"/>
            <w:vAlign w:val="center"/>
          </w:tcPr>
          <w:p w14:paraId="57B11389" w14:textId="77777777" w:rsidR="00454A29" w:rsidRDefault="00454A29">
            <w:pPr>
              <w:pStyle w:val="ConsPlusNormal"/>
              <w:jc w:val="center"/>
            </w:pPr>
            <w:r>
              <w:t>х</w:t>
            </w:r>
          </w:p>
        </w:tc>
        <w:tc>
          <w:tcPr>
            <w:tcW w:w="1701" w:type="dxa"/>
            <w:vAlign w:val="center"/>
          </w:tcPr>
          <w:p w14:paraId="3F475C04" w14:textId="77777777" w:rsidR="00454A29" w:rsidRDefault="00454A29">
            <w:pPr>
              <w:pStyle w:val="ConsPlusNormal"/>
              <w:jc w:val="center"/>
            </w:pPr>
            <w:r>
              <w:t>х</w:t>
            </w:r>
          </w:p>
        </w:tc>
        <w:tc>
          <w:tcPr>
            <w:tcW w:w="1701" w:type="dxa"/>
            <w:vAlign w:val="center"/>
          </w:tcPr>
          <w:p w14:paraId="2FA1D8DA" w14:textId="77777777" w:rsidR="00454A29" w:rsidRDefault="00454A29">
            <w:pPr>
              <w:pStyle w:val="ConsPlusNormal"/>
              <w:jc w:val="center"/>
            </w:pPr>
            <w:r>
              <w:t>х</w:t>
            </w:r>
          </w:p>
        </w:tc>
        <w:tc>
          <w:tcPr>
            <w:tcW w:w="1701" w:type="dxa"/>
            <w:vAlign w:val="center"/>
          </w:tcPr>
          <w:p w14:paraId="6F08DD0A" w14:textId="77777777" w:rsidR="00454A29" w:rsidRDefault="00454A29">
            <w:pPr>
              <w:pStyle w:val="ConsPlusNormal"/>
              <w:jc w:val="center"/>
            </w:pPr>
            <w:r>
              <w:t>х</w:t>
            </w:r>
          </w:p>
        </w:tc>
        <w:tc>
          <w:tcPr>
            <w:tcW w:w="1701" w:type="dxa"/>
            <w:vAlign w:val="center"/>
          </w:tcPr>
          <w:p w14:paraId="4214AB2A" w14:textId="77777777" w:rsidR="00454A29" w:rsidRDefault="00454A29">
            <w:pPr>
              <w:pStyle w:val="ConsPlusNormal"/>
              <w:jc w:val="center"/>
            </w:pPr>
            <w:r>
              <w:t>х</w:t>
            </w:r>
          </w:p>
        </w:tc>
      </w:tr>
      <w:tr w:rsidR="00454A29" w14:paraId="1F01A538" w14:textId="77777777">
        <w:tc>
          <w:tcPr>
            <w:tcW w:w="964" w:type="dxa"/>
            <w:vMerge/>
          </w:tcPr>
          <w:p w14:paraId="012D4E12" w14:textId="77777777" w:rsidR="00454A29" w:rsidRDefault="00454A29"/>
        </w:tc>
        <w:tc>
          <w:tcPr>
            <w:tcW w:w="2154" w:type="dxa"/>
            <w:vMerge/>
            <w:tcBorders>
              <w:top w:val="nil"/>
              <w:bottom w:val="nil"/>
            </w:tcBorders>
          </w:tcPr>
          <w:p w14:paraId="4218B160" w14:textId="77777777" w:rsidR="00454A29" w:rsidRDefault="00454A29"/>
        </w:tc>
        <w:tc>
          <w:tcPr>
            <w:tcW w:w="2154" w:type="dxa"/>
            <w:vMerge/>
            <w:tcBorders>
              <w:top w:val="nil"/>
              <w:bottom w:val="nil"/>
            </w:tcBorders>
          </w:tcPr>
          <w:p w14:paraId="4859897D" w14:textId="77777777" w:rsidR="00454A29" w:rsidRDefault="00454A29"/>
        </w:tc>
        <w:tc>
          <w:tcPr>
            <w:tcW w:w="2665" w:type="dxa"/>
            <w:vMerge/>
          </w:tcPr>
          <w:p w14:paraId="2DFC6F01" w14:textId="77777777" w:rsidR="00454A29" w:rsidRDefault="00454A29"/>
        </w:tc>
        <w:tc>
          <w:tcPr>
            <w:tcW w:w="2665" w:type="dxa"/>
            <w:vMerge/>
            <w:tcBorders>
              <w:top w:val="nil"/>
              <w:bottom w:val="nil"/>
            </w:tcBorders>
          </w:tcPr>
          <w:p w14:paraId="483B5719" w14:textId="77777777" w:rsidR="00454A29" w:rsidRDefault="00454A29"/>
        </w:tc>
        <w:tc>
          <w:tcPr>
            <w:tcW w:w="1928" w:type="dxa"/>
            <w:vMerge/>
          </w:tcPr>
          <w:p w14:paraId="27893CD7" w14:textId="77777777" w:rsidR="00454A29" w:rsidRDefault="00454A29"/>
        </w:tc>
        <w:tc>
          <w:tcPr>
            <w:tcW w:w="1644" w:type="dxa"/>
            <w:vMerge/>
          </w:tcPr>
          <w:p w14:paraId="56EFC704" w14:textId="77777777" w:rsidR="00454A29" w:rsidRDefault="00454A29"/>
        </w:tc>
        <w:tc>
          <w:tcPr>
            <w:tcW w:w="2041" w:type="dxa"/>
            <w:vMerge/>
          </w:tcPr>
          <w:p w14:paraId="47B2C629" w14:textId="77777777" w:rsidR="00454A29" w:rsidRDefault="00454A29"/>
        </w:tc>
        <w:tc>
          <w:tcPr>
            <w:tcW w:w="2098" w:type="dxa"/>
            <w:vAlign w:val="center"/>
          </w:tcPr>
          <w:p w14:paraId="3068E757" w14:textId="77777777" w:rsidR="00454A29" w:rsidRDefault="00454A29">
            <w:pPr>
              <w:pStyle w:val="ConsPlusNormal"/>
              <w:jc w:val="center"/>
            </w:pPr>
            <w:r>
              <w:t>Федеральный бюджет</w:t>
            </w:r>
          </w:p>
        </w:tc>
        <w:tc>
          <w:tcPr>
            <w:tcW w:w="1814" w:type="dxa"/>
            <w:vAlign w:val="center"/>
          </w:tcPr>
          <w:p w14:paraId="437FC348" w14:textId="77777777" w:rsidR="00454A29" w:rsidRDefault="00454A29">
            <w:pPr>
              <w:pStyle w:val="ConsPlusNormal"/>
              <w:jc w:val="center"/>
            </w:pPr>
            <w:r>
              <w:t>200 945,95</w:t>
            </w:r>
          </w:p>
        </w:tc>
        <w:tc>
          <w:tcPr>
            <w:tcW w:w="1701" w:type="dxa"/>
            <w:vAlign w:val="center"/>
          </w:tcPr>
          <w:p w14:paraId="1773705C" w14:textId="77777777" w:rsidR="00454A29" w:rsidRDefault="00454A29">
            <w:pPr>
              <w:pStyle w:val="ConsPlusNormal"/>
              <w:jc w:val="center"/>
            </w:pPr>
            <w:r>
              <w:t>0,00</w:t>
            </w:r>
          </w:p>
        </w:tc>
        <w:tc>
          <w:tcPr>
            <w:tcW w:w="1701" w:type="dxa"/>
            <w:vAlign w:val="center"/>
          </w:tcPr>
          <w:p w14:paraId="42AA2CAC" w14:textId="77777777" w:rsidR="00454A29" w:rsidRDefault="00454A29">
            <w:pPr>
              <w:pStyle w:val="ConsPlusNormal"/>
              <w:jc w:val="center"/>
            </w:pPr>
            <w:r>
              <w:t>х</w:t>
            </w:r>
          </w:p>
        </w:tc>
        <w:tc>
          <w:tcPr>
            <w:tcW w:w="1701" w:type="dxa"/>
            <w:vAlign w:val="center"/>
          </w:tcPr>
          <w:p w14:paraId="1580A59E" w14:textId="77777777" w:rsidR="00454A29" w:rsidRDefault="00454A29">
            <w:pPr>
              <w:pStyle w:val="ConsPlusNormal"/>
              <w:jc w:val="center"/>
            </w:pPr>
            <w:r>
              <w:t>х</w:t>
            </w:r>
          </w:p>
        </w:tc>
        <w:tc>
          <w:tcPr>
            <w:tcW w:w="1701" w:type="dxa"/>
            <w:vAlign w:val="center"/>
          </w:tcPr>
          <w:p w14:paraId="035E5DCB" w14:textId="77777777" w:rsidR="00454A29" w:rsidRDefault="00454A29">
            <w:pPr>
              <w:pStyle w:val="ConsPlusNormal"/>
              <w:jc w:val="center"/>
            </w:pPr>
            <w:r>
              <w:t>х</w:t>
            </w:r>
          </w:p>
        </w:tc>
        <w:tc>
          <w:tcPr>
            <w:tcW w:w="1701" w:type="dxa"/>
            <w:vAlign w:val="center"/>
          </w:tcPr>
          <w:p w14:paraId="5640DB7C" w14:textId="77777777" w:rsidR="00454A29" w:rsidRDefault="00454A29">
            <w:pPr>
              <w:pStyle w:val="ConsPlusNormal"/>
              <w:jc w:val="center"/>
            </w:pPr>
            <w:r>
              <w:t>х</w:t>
            </w:r>
          </w:p>
        </w:tc>
        <w:tc>
          <w:tcPr>
            <w:tcW w:w="1701" w:type="dxa"/>
            <w:vAlign w:val="center"/>
          </w:tcPr>
          <w:p w14:paraId="1130FA5E" w14:textId="77777777" w:rsidR="00454A29" w:rsidRDefault="00454A29">
            <w:pPr>
              <w:pStyle w:val="ConsPlusNormal"/>
              <w:jc w:val="center"/>
            </w:pPr>
            <w:r>
              <w:t>х</w:t>
            </w:r>
          </w:p>
        </w:tc>
      </w:tr>
      <w:tr w:rsidR="00454A29" w14:paraId="1AF2B3BC" w14:textId="77777777">
        <w:tc>
          <w:tcPr>
            <w:tcW w:w="964" w:type="dxa"/>
            <w:vMerge/>
          </w:tcPr>
          <w:p w14:paraId="1D2C0A3F" w14:textId="77777777" w:rsidR="00454A29" w:rsidRDefault="00454A29"/>
        </w:tc>
        <w:tc>
          <w:tcPr>
            <w:tcW w:w="2154" w:type="dxa"/>
            <w:vMerge/>
            <w:tcBorders>
              <w:top w:val="nil"/>
              <w:bottom w:val="nil"/>
            </w:tcBorders>
          </w:tcPr>
          <w:p w14:paraId="3D91CF81" w14:textId="77777777" w:rsidR="00454A29" w:rsidRDefault="00454A29"/>
        </w:tc>
        <w:tc>
          <w:tcPr>
            <w:tcW w:w="2154" w:type="dxa"/>
            <w:vMerge/>
            <w:tcBorders>
              <w:top w:val="nil"/>
              <w:bottom w:val="nil"/>
            </w:tcBorders>
          </w:tcPr>
          <w:p w14:paraId="1DD25FAF" w14:textId="77777777" w:rsidR="00454A29" w:rsidRDefault="00454A29"/>
        </w:tc>
        <w:tc>
          <w:tcPr>
            <w:tcW w:w="2665" w:type="dxa"/>
            <w:vMerge/>
          </w:tcPr>
          <w:p w14:paraId="2AAD6B8E" w14:textId="77777777" w:rsidR="00454A29" w:rsidRDefault="00454A29"/>
        </w:tc>
        <w:tc>
          <w:tcPr>
            <w:tcW w:w="2665" w:type="dxa"/>
            <w:vMerge/>
            <w:tcBorders>
              <w:top w:val="nil"/>
              <w:bottom w:val="nil"/>
            </w:tcBorders>
          </w:tcPr>
          <w:p w14:paraId="5A03FC27" w14:textId="77777777" w:rsidR="00454A29" w:rsidRDefault="00454A29"/>
        </w:tc>
        <w:tc>
          <w:tcPr>
            <w:tcW w:w="1928" w:type="dxa"/>
            <w:vMerge/>
          </w:tcPr>
          <w:p w14:paraId="65ED4EA4" w14:textId="77777777" w:rsidR="00454A29" w:rsidRDefault="00454A29"/>
        </w:tc>
        <w:tc>
          <w:tcPr>
            <w:tcW w:w="1644" w:type="dxa"/>
            <w:vMerge/>
          </w:tcPr>
          <w:p w14:paraId="5BEEC7B0" w14:textId="77777777" w:rsidR="00454A29" w:rsidRDefault="00454A29"/>
        </w:tc>
        <w:tc>
          <w:tcPr>
            <w:tcW w:w="2041" w:type="dxa"/>
            <w:vMerge/>
          </w:tcPr>
          <w:p w14:paraId="726F8A2B" w14:textId="77777777" w:rsidR="00454A29" w:rsidRDefault="00454A29"/>
        </w:tc>
        <w:tc>
          <w:tcPr>
            <w:tcW w:w="2098" w:type="dxa"/>
            <w:vAlign w:val="center"/>
          </w:tcPr>
          <w:p w14:paraId="3C148EA7" w14:textId="77777777" w:rsidR="00454A29" w:rsidRDefault="00454A29">
            <w:pPr>
              <w:pStyle w:val="ConsPlusNormal"/>
              <w:jc w:val="center"/>
            </w:pPr>
            <w:r>
              <w:t>Местные бюджеты</w:t>
            </w:r>
          </w:p>
        </w:tc>
        <w:tc>
          <w:tcPr>
            <w:tcW w:w="1814" w:type="dxa"/>
            <w:vAlign w:val="center"/>
          </w:tcPr>
          <w:p w14:paraId="7BB18065" w14:textId="77777777" w:rsidR="00454A29" w:rsidRDefault="00454A29">
            <w:pPr>
              <w:pStyle w:val="ConsPlusNormal"/>
              <w:jc w:val="center"/>
            </w:pPr>
            <w:r>
              <w:t>2 050,26</w:t>
            </w:r>
          </w:p>
        </w:tc>
        <w:tc>
          <w:tcPr>
            <w:tcW w:w="1701" w:type="dxa"/>
            <w:vAlign w:val="center"/>
          </w:tcPr>
          <w:p w14:paraId="639799D3" w14:textId="77777777" w:rsidR="00454A29" w:rsidRDefault="00454A29">
            <w:pPr>
              <w:pStyle w:val="ConsPlusNormal"/>
              <w:jc w:val="center"/>
            </w:pPr>
            <w:r>
              <w:t>0,00</w:t>
            </w:r>
          </w:p>
        </w:tc>
        <w:tc>
          <w:tcPr>
            <w:tcW w:w="1701" w:type="dxa"/>
            <w:vAlign w:val="center"/>
          </w:tcPr>
          <w:p w14:paraId="49F52CA9" w14:textId="77777777" w:rsidR="00454A29" w:rsidRDefault="00454A29">
            <w:pPr>
              <w:pStyle w:val="ConsPlusNormal"/>
              <w:jc w:val="center"/>
            </w:pPr>
            <w:r>
              <w:t>х</w:t>
            </w:r>
          </w:p>
        </w:tc>
        <w:tc>
          <w:tcPr>
            <w:tcW w:w="1701" w:type="dxa"/>
            <w:vAlign w:val="center"/>
          </w:tcPr>
          <w:p w14:paraId="5DBF36A5" w14:textId="77777777" w:rsidR="00454A29" w:rsidRDefault="00454A29">
            <w:pPr>
              <w:pStyle w:val="ConsPlusNormal"/>
              <w:jc w:val="center"/>
            </w:pPr>
            <w:r>
              <w:t>х</w:t>
            </w:r>
          </w:p>
        </w:tc>
        <w:tc>
          <w:tcPr>
            <w:tcW w:w="1701" w:type="dxa"/>
            <w:vAlign w:val="center"/>
          </w:tcPr>
          <w:p w14:paraId="0BA03D53" w14:textId="77777777" w:rsidR="00454A29" w:rsidRDefault="00454A29">
            <w:pPr>
              <w:pStyle w:val="ConsPlusNormal"/>
              <w:jc w:val="center"/>
            </w:pPr>
            <w:r>
              <w:t>х</w:t>
            </w:r>
          </w:p>
        </w:tc>
        <w:tc>
          <w:tcPr>
            <w:tcW w:w="1701" w:type="dxa"/>
            <w:vAlign w:val="center"/>
          </w:tcPr>
          <w:p w14:paraId="1D5D436A" w14:textId="77777777" w:rsidR="00454A29" w:rsidRDefault="00454A29">
            <w:pPr>
              <w:pStyle w:val="ConsPlusNormal"/>
              <w:jc w:val="center"/>
            </w:pPr>
            <w:r>
              <w:t>х</w:t>
            </w:r>
          </w:p>
        </w:tc>
        <w:tc>
          <w:tcPr>
            <w:tcW w:w="1701" w:type="dxa"/>
            <w:vAlign w:val="center"/>
          </w:tcPr>
          <w:p w14:paraId="1DEFFE12" w14:textId="77777777" w:rsidR="00454A29" w:rsidRDefault="00454A29">
            <w:pPr>
              <w:pStyle w:val="ConsPlusNormal"/>
              <w:jc w:val="center"/>
            </w:pPr>
            <w:r>
              <w:t>х</w:t>
            </w:r>
          </w:p>
        </w:tc>
      </w:tr>
      <w:tr w:rsidR="00454A29" w14:paraId="40E55743" w14:textId="77777777">
        <w:tc>
          <w:tcPr>
            <w:tcW w:w="964" w:type="dxa"/>
            <w:vMerge/>
          </w:tcPr>
          <w:p w14:paraId="6BE5F9CD" w14:textId="77777777" w:rsidR="00454A29" w:rsidRDefault="00454A29"/>
        </w:tc>
        <w:tc>
          <w:tcPr>
            <w:tcW w:w="2154" w:type="dxa"/>
            <w:vMerge/>
            <w:tcBorders>
              <w:top w:val="nil"/>
              <w:bottom w:val="nil"/>
            </w:tcBorders>
          </w:tcPr>
          <w:p w14:paraId="70AD2AC0" w14:textId="77777777" w:rsidR="00454A29" w:rsidRDefault="00454A29"/>
        </w:tc>
        <w:tc>
          <w:tcPr>
            <w:tcW w:w="2154" w:type="dxa"/>
            <w:vMerge/>
            <w:tcBorders>
              <w:top w:val="nil"/>
              <w:bottom w:val="nil"/>
            </w:tcBorders>
          </w:tcPr>
          <w:p w14:paraId="3E4DFC90" w14:textId="77777777" w:rsidR="00454A29" w:rsidRDefault="00454A29"/>
        </w:tc>
        <w:tc>
          <w:tcPr>
            <w:tcW w:w="2665" w:type="dxa"/>
            <w:vMerge/>
          </w:tcPr>
          <w:p w14:paraId="50DF010B" w14:textId="77777777" w:rsidR="00454A29" w:rsidRDefault="00454A29"/>
        </w:tc>
        <w:tc>
          <w:tcPr>
            <w:tcW w:w="2665" w:type="dxa"/>
            <w:vMerge/>
            <w:tcBorders>
              <w:top w:val="nil"/>
              <w:bottom w:val="nil"/>
            </w:tcBorders>
          </w:tcPr>
          <w:p w14:paraId="1637EFF2" w14:textId="77777777" w:rsidR="00454A29" w:rsidRDefault="00454A29"/>
        </w:tc>
        <w:tc>
          <w:tcPr>
            <w:tcW w:w="1928" w:type="dxa"/>
            <w:vMerge/>
          </w:tcPr>
          <w:p w14:paraId="7AFCCE6F" w14:textId="77777777" w:rsidR="00454A29" w:rsidRDefault="00454A29"/>
        </w:tc>
        <w:tc>
          <w:tcPr>
            <w:tcW w:w="1644" w:type="dxa"/>
            <w:vMerge/>
          </w:tcPr>
          <w:p w14:paraId="4F886904" w14:textId="77777777" w:rsidR="00454A29" w:rsidRDefault="00454A29"/>
        </w:tc>
        <w:tc>
          <w:tcPr>
            <w:tcW w:w="2041" w:type="dxa"/>
            <w:vMerge/>
          </w:tcPr>
          <w:p w14:paraId="3F319F7C" w14:textId="77777777" w:rsidR="00454A29" w:rsidRDefault="00454A29"/>
        </w:tc>
        <w:tc>
          <w:tcPr>
            <w:tcW w:w="2098" w:type="dxa"/>
            <w:vAlign w:val="center"/>
          </w:tcPr>
          <w:p w14:paraId="6DC03A80" w14:textId="77777777" w:rsidR="00454A29" w:rsidRDefault="00454A29">
            <w:pPr>
              <w:pStyle w:val="ConsPlusNormal"/>
              <w:jc w:val="center"/>
            </w:pPr>
            <w:r>
              <w:t>Внебюджетные средства</w:t>
            </w:r>
          </w:p>
        </w:tc>
        <w:tc>
          <w:tcPr>
            <w:tcW w:w="1814" w:type="dxa"/>
            <w:vAlign w:val="center"/>
          </w:tcPr>
          <w:p w14:paraId="02913445" w14:textId="77777777" w:rsidR="00454A29" w:rsidRDefault="00454A29">
            <w:pPr>
              <w:pStyle w:val="ConsPlusNormal"/>
              <w:jc w:val="center"/>
            </w:pPr>
            <w:r>
              <w:t>0,00</w:t>
            </w:r>
          </w:p>
        </w:tc>
        <w:tc>
          <w:tcPr>
            <w:tcW w:w="1701" w:type="dxa"/>
            <w:vAlign w:val="center"/>
          </w:tcPr>
          <w:p w14:paraId="178EE09C" w14:textId="77777777" w:rsidR="00454A29" w:rsidRDefault="00454A29">
            <w:pPr>
              <w:pStyle w:val="ConsPlusNormal"/>
              <w:jc w:val="center"/>
            </w:pPr>
            <w:r>
              <w:t>0,00</w:t>
            </w:r>
          </w:p>
        </w:tc>
        <w:tc>
          <w:tcPr>
            <w:tcW w:w="1701" w:type="dxa"/>
            <w:vAlign w:val="center"/>
          </w:tcPr>
          <w:p w14:paraId="5F4B7439" w14:textId="77777777" w:rsidR="00454A29" w:rsidRDefault="00454A29">
            <w:pPr>
              <w:pStyle w:val="ConsPlusNormal"/>
              <w:jc w:val="center"/>
            </w:pPr>
            <w:r>
              <w:t>х</w:t>
            </w:r>
          </w:p>
        </w:tc>
        <w:tc>
          <w:tcPr>
            <w:tcW w:w="1701" w:type="dxa"/>
            <w:vAlign w:val="center"/>
          </w:tcPr>
          <w:p w14:paraId="6CB69E59" w14:textId="77777777" w:rsidR="00454A29" w:rsidRDefault="00454A29">
            <w:pPr>
              <w:pStyle w:val="ConsPlusNormal"/>
              <w:jc w:val="center"/>
            </w:pPr>
            <w:r>
              <w:t>х</w:t>
            </w:r>
          </w:p>
        </w:tc>
        <w:tc>
          <w:tcPr>
            <w:tcW w:w="1701" w:type="dxa"/>
            <w:vAlign w:val="center"/>
          </w:tcPr>
          <w:p w14:paraId="34E5AEE6" w14:textId="77777777" w:rsidR="00454A29" w:rsidRDefault="00454A29">
            <w:pPr>
              <w:pStyle w:val="ConsPlusNormal"/>
              <w:jc w:val="center"/>
            </w:pPr>
            <w:r>
              <w:t>х</w:t>
            </w:r>
          </w:p>
        </w:tc>
        <w:tc>
          <w:tcPr>
            <w:tcW w:w="1701" w:type="dxa"/>
            <w:vAlign w:val="center"/>
          </w:tcPr>
          <w:p w14:paraId="6A737D0D" w14:textId="77777777" w:rsidR="00454A29" w:rsidRDefault="00454A29">
            <w:pPr>
              <w:pStyle w:val="ConsPlusNormal"/>
              <w:jc w:val="center"/>
            </w:pPr>
            <w:r>
              <w:t>х</w:t>
            </w:r>
          </w:p>
        </w:tc>
        <w:tc>
          <w:tcPr>
            <w:tcW w:w="1701" w:type="dxa"/>
            <w:vAlign w:val="center"/>
          </w:tcPr>
          <w:p w14:paraId="6B915135" w14:textId="77777777" w:rsidR="00454A29" w:rsidRDefault="00454A29">
            <w:pPr>
              <w:pStyle w:val="ConsPlusNormal"/>
              <w:jc w:val="center"/>
            </w:pPr>
            <w:r>
              <w:t>х</w:t>
            </w:r>
          </w:p>
        </w:tc>
      </w:tr>
      <w:tr w:rsidR="00454A29" w14:paraId="60E6D85E" w14:textId="77777777">
        <w:tc>
          <w:tcPr>
            <w:tcW w:w="964" w:type="dxa"/>
            <w:vMerge w:val="restart"/>
            <w:vAlign w:val="center"/>
          </w:tcPr>
          <w:p w14:paraId="39518CAB" w14:textId="77777777" w:rsidR="00454A29" w:rsidRDefault="00454A29">
            <w:pPr>
              <w:pStyle w:val="ConsPlusNormal"/>
              <w:jc w:val="center"/>
            </w:pPr>
            <w:r>
              <w:t>11.2.6.</w:t>
            </w:r>
          </w:p>
        </w:tc>
        <w:tc>
          <w:tcPr>
            <w:tcW w:w="2154" w:type="dxa"/>
            <w:vMerge w:val="restart"/>
            <w:tcBorders>
              <w:top w:val="nil"/>
              <w:bottom w:val="nil"/>
            </w:tcBorders>
            <w:vAlign w:val="center"/>
          </w:tcPr>
          <w:p w14:paraId="088E421C" w14:textId="77777777" w:rsidR="00454A29" w:rsidRDefault="00454A29">
            <w:pPr>
              <w:pStyle w:val="ConsPlusNormal"/>
            </w:pPr>
          </w:p>
        </w:tc>
        <w:tc>
          <w:tcPr>
            <w:tcW w:w="2154" w:type="dxa"/>
            <w:vMerge w:val="restart"/>
            <w:tcBorders>
              <w:top w:val="nil"/>
              <w:bottom w:val="nil"/>
            </w:tcBorders>
            <w:vAlign w:val="center"/>
          </w:tcPr>
          <w:p w14:paraId="548AD24F" w14:textId="77777777" w:rsidR="00454A29" w:rsidRDefault="00454A29">
            <w:pPr>
              <w:pStyle w:val="ConsPlusNormal"/>
            </w:pPr>
          </w:p>
        </w:tc>
        <w:tc>
          <w:tcPr>
            <w:tcW w:w="2665" w:type="dxa"/>
            <w:vMerge/>
          </w:tcPr>
          <w:p w14:paraId="6CB30BFE" w14:textId="77777777" w:rsidR="00454A29" w:rsidRDefault="00454A29"/>
        </w:tc>
        <w:tc>
          <w:tcPr>
            <w:tcW w:w="2665" w:type="dxa"/>
            <w:vMerge w:val="restart"/>
            <w:tcBorders>
              <w:top w:val="nil"/>
              <w:bottom w:val="nil"/>
            </w:tcBorders>
            <w:vAlign w:val="center"/>
          </w:tcPr>
          <w:p w14:paraId="2BE013AC" w14:textId="77777777" w:rsidR="00454A29" w:rsidRDefault="00454A29">
            <w:pPr>
              <w:pStyle w:val="ConsPlusNormal"/>
            </w:pPr>
          </w:p>
        </w:tc>
        <w:tc>
          <w:tcPr>
            <w:tcW w:w="1928" w:type="dxa"/>
            <w:vMerge w:val="restart"/>
            <w:vAlign w:val="center"/>
          </w:tcPr>
          <w:p w14:paraId="4E5F85D3" w14:textId="77777777" w:rsidR="00454A29" w:rsidRDefault="00454A29">
            <w:pPr>
              <w:pStyle w:val="ConsPlusNormal"/>
              <w:jc w:val="center"/>
            </w:pPr>
            <w:r>
              <w:t>ГО "город Якутск"</w:t>
            </w:r>
          </w:p>
        </w:tc>
        <w:tc>
          <w:tcPr>
            <w:tcW w:w="1644" w:type="dxa"/>
            <w:vMerge w:val="restart"/>
            <w:vAlign w:val="center"/>
          </w:tcPr>
          <w:p w14:paraId="419DCF69" w14:textId="77777777" w:rsidR="00454A29" w:rsidRDefault="00454A29">
            <w:pPr>
              <w:pStyle w:val="ConsPlusNormal"/>
              <w:jc w:val="center"/>
            </w:pPr>
            <w:r>
              <w:t>г. Якутск</w:t>
            </w:r>
          </w:p>
        </w:tc>
        <w:tc>
          <w:tcPr>
            <w:tcW w:w="2041" w:type="dxa"/>
            <w:vMerge w:val="restart"/>
            <w:vAlign w:val="center"/>
          </w:tcPr>
          <w:p w14:paraId="5E2ACE3A" w14:textId="77777777" w:rsidR="00454A29" w:rsidRDefault="00454A29">
            <w:pPr>
              <w:pStyle w:val="ConsPlusNormal"/>
              <w:jc w:val="center"/>
            </w:pPr>
            <w:r>
              <w:t>Строительство детского сада на 315 мест в 68 квартале</w:t>
            </w:r>
          </w:p>
        </w:tc>
        <w:tc>
          <w:tcPr>
            <w:tcW w:w="2098" w:type="dxa"/>
            <w:vAlign w:val="center"/>
          </w:tcPr>
          <w:p w14:paraId="2B36742B" w14:textId="77777777" w:rsidR="00454A29" w:rsidRDefault="00454A29">
            <w:pPr>
              <w:pStyle w:val="ConsPlusNormal"/>
              <w:jc w:val="center"/>
            </w:pPr>
            <w:r>
              <w:t>Итого</w:t>
            </w:r>
          </w:p>
        </w:tc>
        <w:tc>
          <w:tcPr>
            <w:tcW w:w="1814" w:type="dxa"/>
            <w:vAlign w:val="center"/>
          </w:tcPr>
          <w:p w14:paraId="63135B14" w14:textId="77777777" w:rsidR="00454A29" w:rsidRDefault="00454A29">
            <w:pPr>
              <w:pStyle w:val="ConsPlusNormal"/>
              <w:jc w:val="center"/>
            </w:pPr>
            <w:r>
              <w:t>х</w:t>
            </w:r>
          </w:p>
        </w:tc>
        <w:tc>
          <w:tcPr>
            <w:tcW w:w="1701" w:type="dxa"/>
            <w:vAlign w:val="center"/>
          </w:tcPr>
          <w:p w14:paraId="7899F6B6" w14:textId="77777777" w:rsidR="00454A29" w:rsidRDefault="00454A29">
            <w:pPr>
              <w:pStyle w:val="ConsPlusNormal"/>
              <w:jc w:val="center"/>
            </w:pPr>
            <w:r>
              <w:t>370 703,06</w:t>
            </w:r>
          </w:p>
        </w:tc>
        <w:tc>
          <w:tcPr>
            <w:tcW w:w="1701" w:type="dxa"/>
            <w:vAlign w:val="center"/>
          </w:tcPr>
          <w:p w14:paraId="459AAC43" w14:textId="77777777" w:rsidR="00454A29" w:rsidRDefault="00454A29">
            <w:pPr>
              <w:pStyle w:val="ConsPlusNormal"/>
              <w:jc w:val="center"/>
            </w:pPr>
            <w:r>
              <w:t>0,00</w:t>
            </w:r>
          </w:p>
        </w:tc>
        <w:tc>
          <w:tcPr>
            <w:tcW w:w="1701" w:type="dxa"/>
            <w:vAlign w:val="center"/>
          </w:tcPr>
          <w:p w14:paraId="59CF61D3" w14:textId="77777777" w:rsidR="00454A29" w:rsidRDefault="00454A29">
            <w:pPr>
              <w:pStyle w:val="ConsPlusNormal"/>
              <w:jc w:val="center"/>
            </w:pPr>
            <w:r>
              <w:t>х</w:t>
            </w:r>
          </w:p>
        </w:tc>
        <w:tc>
          <w:tcPr>
            <w:tcW w:w="1701" w:type="dxa"/>
            <w:vAlign w:val="center"/>
          </w:tcPr>
          <w:p w14:paraId="03E8D38B" w14:textId="77777777" w:rsidR="00454A29" w:rsidRDefault="00454A29">
            <w:pPr>
              <w:pStyle w:val="ConsPlusNormal"/>
              <w:jc w:val="center"/>
            </w:pPr>
            <w:r>
              <w:t>х</w:t>
            </w:r>
          </w:p>
        </w:tc>
        <w:tc>
          <w:tcPr>
            <w:tcW w:w="1701" w:type="dxa"/>
            <w:vAlign w:val="center"/>
          </w:tcPr>
          <w:p w14:paraId="16082097" w14:textId="77777777" w:rsidR="00454A29" w:rsidRDefault="00454A29">
            <w:pPr>
              <w:pStyle w:val="ConsPlusNormal"/>
              <w:jc w:val="center"/>
            </w:pPr>
            <w:r>
              <w:t>х</w:t>
            </w:r>
          </w:p>
        </w:tc>
        <w:tc>
          <w:tcPr>
            <w:tcW w:w="1701" w:type="dxa"/>
            <w:vAlign w:val="center"/>
          </w:tcPr>
          <w:p w14:paraId="50D6F0F5" w14:textId="77777777" w:rsidR="00454A29" w:rsidRDefault="00454A29">
            <w:pPr>
              <w:pStyle w:val="ConsPlusNormal"/>
              <w:jc w:val="center"/>
            </w:pPr>
            <w:r>
              <w:t>х</w:t>
            </w:r>
          </w:p>
        </w:tc>
      </w:tr>
      <w:tr w:rsidR="00454A29" w14:paraId="667EEE0E" w14:textId="77777777">
        <w:tc>
          <w:tcPr>
            <w:tcW w:w="964" w:type="dxa"/>
            <w:vMerge/>
          </w:tcPr>
          <w:p w14:paraId="13078789" w14:textId="77777777" w:rsidR="00454A29" w:rsidRDefault="00454A29"/>
        </w:tc>
        <w:tc>
          <w:tcPr>
            <w:tcW w:w="2154" w:type="dxa"/>
            <w:vMerge/>
            <w:tcBorders>
              <w:top w:val="nil"/>
              <w:bottom w:val="nil"/>
            </w:tcBorders>
          </w:tcPr>
          <w:p w14:paraId="22E75023" w14:textId="77777777" w:rsidR="00454A29" w:rsidRDefault="00454A29"/>
        </w:tc>
        <w:tc>
          <w:tcPr>
            <w:tcW w:w="2154" w:type="dxa"/>
            <w:vMerge/>
            <w:tcBorders>
              <w:top w:val="nil"/>
              <w:bottom w:val="nil"/>
            </w:tcBorders>
          </w:tcPr>
          <w:p w14:paraId="1EFA1F7D" w14:textId="77777777" w:rsidR="00454A29" w:rsidRDefault="00454A29"/>
        </w:tc>
        <w:tc>
          <w:tcPr>
            <w:tcW w:w="2665" w:type="dxa"/>
            <w:vMerge/>
          </w:tcPr>
          <w:p w14:paraId="7C96D0E7" w14:textId="77777777" w:rsidR="00454A29" w:rsidRDefault="00454A29"/>
        </w:tc>
        <w:tc>
          <w:tcPr>
            <w:tcW w:w="2665" w:type="dxa"/>
            <w:vMerge/>
            <w:tcBorders>
              <w:top w:val="nil"/>
              <w:bottom w:val="nil"/>
            </w:tcBorders>
          </w:tcPr>
          <w:p w14:paraId="40D92D99" w14:textId="77777777" w:rsidR="00454A29" w:rsidRDefault="00454A29"/>
        </w:tc>
        <w:tc>
          <w:tcPr>
            <w:tcW w:w="1928" w:type="dxa"/>
            <w:vMerge/>
          </w:tcPr>
          <w:p w14:paraId="66B70DD6" w14:textId="77777777" w:rsidR="00454A29" w:rsidRDefault="00454A29"/>
        </w:tc>
        <w:tc>
          <w:tcPr>
            <w:tcW w:w="1644" w:type="dxa"/>
            <w:vMerge/>
          </w:tcPr>
          <w:p w14:paraId="179AC0FB" w14:textId="77777777" w:rsidR="00454A29" w:rsidRDefault="00454A29"/>
        </w:tc>
        <w:tc>
          <w:tcPr>
            <w:tcW w:w="2041" w:type="dxa"/>
            <w:vMerge/>
          </w:tcPr>
          <w:p w14:paraId="26EA28CA" w14:textId="77777777" w:rsidR="00454A29" w:rsidRDefault="00454A29"/>
        </w:tc>
        <w:tc>
          <w:tcPr>
            <w:tcW w:w="2098" w:type="dxa"/>
            <w:vAlign w:val="center"/>
          </w:tcPr>
          <w:p w14:paraId="002B8B6D"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190975C" w14:textId="77777777" w:rsidR="00454A29" w:rsidRDefault="00454A29">
            <w:pPr>
              <w:pStyle w:val="ConsPlusNormal"/>
              <w:jc w:val="center"/>
            </w:pPr>
            <w:r>
              <w:t>х</w:t>
            </w:r>
          </w:p>
        </w:tc>
        <w:tc>
          <w:tcPr>
            <w:tcW w:w="1701" w:type="dxa"/>
            <w:vAlign w:val="center"/>
          </w:tcPr>
          <w:p w14:paraId="430B7831" w14:textId="77777777" w:rsidR="00454A29" w:rsidRDefault="00454A29">
            <w:pPr>
              <w:pStyle w:val="ConsPlusNormal"/>
              <w:jc w:val="center"/>
            </w:pPr>
            <w:r>
              <w:t>3 669,96</w:t>
            </w:r>
          </w:p>
        </w:tc>
        <w:tc>
          <w:tcPr>
            <w:tcW w:w="1701" w:type="dxa"/>
            <w:vAlign w:val="center"/>
          </w:tcPr>
          <w:p w14:paraId="2A0EDAE0" w14:textId="77777777" w:rsidR="00454A29" w:rsidRDefault="00454A29">
            <w:pPr>
              <w:pStyle w:val="ConsPlusNormal"/>
              <w:jc w:val="center"/>
            </w:pPr>
            <w:r>
              <w:t>0,00</w:t>
            </w:r>
          </w:p>
        </w:tc>
        <w:tc>
          <w:tcPr>
            <w:tcW w:w="1701" w:type="dxa"/>
            <w:vAlign w:val="center"/>
          </w:tcPr>
          <w:p w14:paraId="16EF8C82" w14:textId="77777777" w:rsidR="00454A29" w:rsidRDefault="00454A29">
            <w:pPr>
              <w:pStyle w:val="ConsPlusNormal"/>
              <w:jc w:val="center"/>
            </w:pPr>
            <w:r>
              <w:t>х</w:t>
            </w:r>
          </w:p>
        </w:tc>
        <w:tc>
          <w:tcPr>
            <w:tcW w:w="1701" w:type="dxa"/>
            <w:vAlign w:val="center"/>
          </w:tcPr>
          <w:p w14:paraId="7EEE157D" w14:textId="77777777" w:rsidR="00454A29" w:rsidRDefault="00454A29">
            <w:pPr>
              <w:pStyle w:val="ConsPlusNormal"/>
              <w:jc w:val="center"/>
            </w:pPr>
            <w:r>
              <w:t>х</w:t>
            </w:r>
          </w:p>
        </w:tc>
        <w:tc>
          <w:tcPr>
            <w:tcW w:w="1701" w:type="dxa"/>
            <w:vAlign w:val="center"/>
          </w:tcPr>
          <w:p w14:paraId="0EBB5A71" w14:textId="77777777" w:rsidR="00454A29" w:rsidRDefault="00454A29">
            <w:pPr>
              <w:pStyle w:val="ConsPlusNormal"/>
              <w:jc w:val="center"/>
            </w:pPr>
            <w:r>
              <w:t>х</w:t>
            </w:r>
          </w:p>
        </w:tc>
        <w:tc>
          <w:tcPr>
            <w:tcW w:w="1701" w:type="dxa"/>
            <w:vAlign w:val="center"/>
          </w:tcPr>
          <w:p w14:paraId="4489689B" w14:textId="77777777" w:rsidR="00454A29" w:rsidRDefault="00454A29">
            <w:pPr>
              <w:pStyle w:val="ConsPlusNormal"/>
              <w:jc w:val="center"/>
            </w:pPr>
            <w:r>
              <w:t>х</w:t>
            </w:r>
          </w:p>
        </w:tc>
      </w:tr>
      <w:tr w:rsidR="00454A29" w14:paraId="2EFD26EB" w14:textId="77777777">
        <w:tc>
          <w:tcPr>
            <w:tcW w:w="964" w:type="dxa"/>
            <w:vMerge/>
          </w:tcPr>
          <w:p w14:paraId="2E7F7092" w14:textId="77777777" w:rsidR="00454A29" w:rsidRDefault="00454A29"/>
        </w:tc>
        <w:tc>
          <w:tcPr>
            <w:tcW w:w="2154" w:type="dxa"/>
            <w:vMerge/>
            <w:tcBorders>
              <w:top w:val="nil"/>
              <w:bottom w:val="nil"/>
            </w:tcBorders>
          </w:tcPr>
          <w:p w14:paraId="6A0E5093" w14:textId="77777777" w:rsidR="00454A29" w:rsidRDefault="00454A29"/>
        </w:tc>
        <w:tc>
          <w:tcPr>
            <w:tcW w:w="2154" w:type="dxa"/>
            <w:vMerge/>
            <w:tcBorders>
              <w:top w:val="nil"/>
              <w:bottom w:val="nil"/>
            </w:tcBorders>
          </w:tcPr>
          <w:p w14:paraId="423618CE" w14:textId="77777777" w:rsidR="00454A29" w:rsidRDefault="00454A29"/>
        </w:tc>
        <w:tc>
          <w:tcPr>
            <w:tcW w:w="2665" w:type="dxa"/>
            <w:vMerge/>
          </w:tcPr>
          <w:p w14:paraId="306264EA" w14:textId="77777777" w:rsidR="00454A29" w:rsidRDefault="00454A29"/>
        </w:tc>
        <w:tc>
          <w:tcPr>
            <w:tcW w:w="2665" w:type="dxa"/>
            <w:vMerge/>
            <w:tcBorders>
              <w:top w:val="nil"/>
              <w:bottom w:val="nil"/>
            </w:tcBorders>
          </w:tcPr>
          <w:p w14:paraId="49C622D3" w14:textId="77777777" w:rsidR="00454A29" w:rsidRDefault="00454A29"/>
        </w:tc>
        <w:tc>
          <w:tcPr>
            <w:tcW w:w="1928" w:type="dxa"/>
            <w:vMerge/>
          </w:tcPr>
          <w:p w14:paraId="5132CCDF" w14:textId="77777777" w:rsidR="00454A29" w:rsidRDefault="00454A29"/>
        </w:tc>
        <w:tc>
          <w:tcPr>
            <w:tcW w:w="1644" w:type="dxa"/>
            <w:vMerge/>
          </w:tcPr>
          <w:p w14:paraId="24EA6726" w14:textId="77777777" w:rsidR="00454A29" w:rsidRDefault="00454A29"/>
        </w:tc>
        <w:tc>
          <w:tcPr>
            <w:tcW w:w="2041" w:type="dxa"/>
            <w:vMerge/>
          </w:tcPr>
          <w:p w14:paraId="4F83D201" w14:textId="77777777" w:rsidR="00454A29" w:rsidRDefault="00454A29"/>
        </w:tc>
        <w:tc>
          <w:tcPr>
            <w:tcW w:w="2098" w:type="dxa"/>
            <w:vAlign w:val="center"/>
          </w:tcPr>
          <w:p w14:paraId="0F1C48DB" w14:textId="77777777" w:rsidR="00454A29" w:rsidRDefault="00454A29">
            <w:pPr>
              <w:pStyle w:val="ConsPlusNormal"/>
              <w:jc w:val="center"/>
            </w:pPr>
            <w:r>
              <w:t>Федеральный бюджет</w:t>
            </w:r>
          </w:p>
        </w:tc>
        <w:tc>
          <w:tcPr>
            <w:tcW w:w="1814" w:type="dxa"/>
            <w:vAlign w:val="center"/>
          </w:tcPr>
          <w:p w14:paraId="4B23C0E4" w14:textId="77777777" w:rsidR="00454A29" w:rsidRDefault="00454A29">
            <w:pPr>
              <w:pStyle w:val="ConsPlusNormal"/>
              <w:jc w:val="center"/>
            </w:pPr>
            <w:r>
              <w:t>х</w:t>
            </w:r>
          </w:p>
        </w:tc>
        <w:tc>
          <w:tcPr>
            <w:tcW w:w="1701" w:type="dxa"/>
            <w:vAlign w:val="center"/>
          </w:tcPr>
          <w:p w14:paraId="35ABC1AC" w14:textId="77777777" w:rsidR="00454A29" w:rsidRDefault="00454A29">
            <w:pPr>
              <w:pStyle w:val="ConsPlusNormal"/>
              <w:jc w:val="center"/>
            </w:pPr>
            <w:r>
              <w:t>363 326,07</w:t>
            </w:r>
          </w:p>
        </w:tc>
        <w:tc>
          <w:tcPr>
            <w:tcW w:w="1701" w:type="dxa"/>
            <w:vAlign w:val="center"/>
          </w:tcPr>
          <w:p w14:paraId="1931AAF8" w14:textId="77777777" w:rsidR="00454A29" w:rsidRDefault="00454A29">
            <w:pPr>
              <w:pStyle w:val="ConsPlusNormal"/>
              <w:jc w:val="center"/>
            </w:pPr>
            <w:r>
              <w:t>0,00</w:t>
            </w:r>
          </w:p>
        </w:tc>
        <w:tc>
          <w:tcPr>
            <w:tcW w:w="1701" w:type="dxa"/>
            <w:vAlign w:val="center"/>
          </w:tcPr>
          <w:p w14:paraId="2178AA83" w14:textId="77777777" w:rsidR="00454A29" w:rsidRDefault="00454A29">
            <w:pPr>
              <w:pStyle w:val="ConsPlusNormal"/>
              <w:jc w:val="center"/>
            </w:pPr>
            <w:r>
              <w:t>х</w:t>
            </w:r>
          </w:p>
        </w:tc>
        <w:tc>
          <w:tcPr>
            <w:tcW w:w="1701" w:type="dxa"/>
            <w:vAlign w:val="center"/>
          </w:tcPr>
          <w:p w14:paraId="2D3222D5" w14:textId="77777777" w:rsidR="00454A29" w:rsidRDefault="00454A29">
            <w:pPr>
              <w:pStyle w:val="ConsPlusNormal"/>
              <w:jc w:val="center"/>
            </w:pPr>
            <w:r>
              <w:t>х</w:t>
            </w:r>
          </w:p>
        </w:tc>
        <w:tc>
          <w:tcPr>
            <w:tcW w:w="1701" w:type="dxa"/>
            <w:vAlign w:val="center"/>
          </w:tcPr>
          <w:p w14:paraId="776F048A" w14:textId="77777777" w:rsidR="00454A29" w:rsidRDefault="00454A29">
            <w:pPr>
              <w:pStyle w:val="ConsPlusNormal"/>
              <w:jc w:val="center"/>
            </w:pPr>
            <w:r>
              <w:t>х</w:t>
            </w:r>
          </w:p>
        </w:tc>
        <w:tc>
          <w:tcPr>
            <w:tcW w:w="1701" w:type="dxa"/>
            <w:vAlign w:val="center"/>
          </w:tcPr>
          <w:p w14:paraId="790E270D" w14:textId="77777777" w:rsidR="00454A29" w:rsidRDefault="00454A29">
            <w:pPr>
              <w:pStyle w:val="ConsPlusNormal"/>
              <w:jc w:val="center"/>
            </w:pPr>
            <w:r>
              <w:t>х</w:t>
            </w:r>
          </w:p>
        </w:tc>
      </w:tr>
      <w:tr w:rsidR="00454A29" w14:paraId="54EACD47" w14:textId="77777777">
        <w:tc>
          <w:tcPr>
            <w:tcW w:w="964" w:type="dxa"/>
            <w:vMerge/>
          </w:tcPr>
          <w:p w14:paraId="40CACF53" w14:textId="77777777" w:rsidR="00454A29" w:rsidRDefault="00454A29"/>
        </w:tc>
        <w:tc>
          <w:tcPr>
            <w:tcW w:w="2154" w:type="dxa"/>
            <w:vMerge/>
            <w:tcBorders>
              <w:top w:val="nil"/>
              <w:bottom w:val="nil"/>
            </w:tcBorders>
          </w:tcPr>
          <w:p w14:paraId="3F8087B5" w14:textId="77777777" w:rsidR="00454A29" w:rsidRDefault="00454A29"/>
        </w:tc>
        <w:tc>
          <w:tcPr>
            <w:tcW w:w="2154" w:type="dxa"/>
            <w:vMerge/>
            <w:tcBorders>
              <w:top w:val="nil"/>
              <w:bottom w:val="nil"/>
            </w:tcBorders>
          </w:tcPr>
          <w:p w14:paraId="40E2FB74" w14:textId="77777777" w:rsidR="00454A29" w:rsidRDefault="00454A29"/>
        </w:tc>
        <w:tc>
          <w:tcPr>
            <w:tcW w:w="2665" w:type="dxa"/>
            <w:vMerge/>
          </w:tcPr>
          <w:p w14:paraId="5ED55CAB" w14:textId="77777777" w:rsidR="00454A29" w:rsidRDefault="00454A29"/>
        </w:tc>
        <w:tc>
          <w:tcPr>
            <w:tcW w:w="2665" w:type="dxa"/>
            <w:vMerge/>
            <w:tcBorders>
              <w:top w:val="nil"/>
              <w:bottom w:val="nil"/>
            </w:tcBorders>
          </w:tcPr>
          <w:p w14:paraId="3A50E98F" w14:textId="77777777" w:rsidR="00454A29" w:rsidRDefault="00454A29"/>
        </w:tc>
        <w:tc>
          <w:tcPr>
            <w:tcW w:w="1928" w:type="dxa"/>
            <w:vMerge/>
          </w:tcPr>
          <w:p w14:paraId="4D1CD9D5" w14:textId="77777777" w:rsidR="00454A29" w:rsidRDefault="00454A29"/>
        </w:tc>
        <w:tc>
          <w:tcPr>
            <w:tcW w:w="1644" w:type="dxa"/>
            <w:vMerge/>
          </w:tcPr>
          <w:p w14:paraId="66DD93C6" w14:textId="77777777" w:rsidR="00454A29" w:rsidRDefault="00454A29"/>
        </w:tc>
        <w:tc>
          <w:tcPr>
            <w:tcW w:w="2041" w:type="dxa"/>
            <w:vMerge/>
          </w:tcPr>
          <w:p w14:paraId="5D7AF323" w14:textId="77777777" w:rsidR="00454A29" w:rsidRDefault="00454A29"/>
        </w:tc>
        <w:tc>
          <w:tcPr>
            <w:tcW w:w="2098" w:type="dxa"/>
            <w:vAlign w:val="center"/>
          </w:tcPr>
          <w:p w14:paraId="50CE683F" w14:textId="77777777" w:rsidR="00454A29" w:rsidRDefault="00454A29">
            <w:pPr>
              <w:pStyle w:val="ConsPlusNormal"/>
              <w:jc w:val="center"/>
            </w:pPr>
            <w:r>
              <w:t>Местные бюджеты</w:t>
            </w:r>
          </w:p>
        </w:tc>
        <w:tc>
          <w:tcPr>
            <w:tcW w:w="1814" w:type="dxa"/>
            <w:vAlign w:val="center"/>
          </w:tcPr>
          <w:p w14:paraId="19820D42" w14:textId="77777777" w:rsidR="00454A29" w:rsidRDefault="00454A29">
            <w:pPr>
              <w:pStyle w:val="ConsPlusNormal"/>
              <w:jc w:val="center"/>
            </w:pPr>
            <w:r>
              <w:t>х</w:t>
            </w:r>
          </w:p>
        </w:tc>
        <w:tc>
          <w:tcPr>
            <w:tcW w:w="1701" w:type="dxa"/>
            <w:vAlign w:val="center"/>
          </w:tcPr>
          <w:p w14:paraId="2D4364AF" w14:textId="77777777" w:rsidR="00454A29" w:rsidRDefault="00454A29">
            <w:pPr>
              <w:pStyle w:val="ConsPlusNormal"/>
              <w:jc w:val="center"/>
            </w:pPr>
            <w:r>
              <w:t>3 707,03</w:t>
            </w:r>
          </w:p>
        </w:tc>
        <w:tc>
          <w:tcPr>
            <w:tcW w:w="1701" w:type="dxa"/>
            <w:vAlign w:val="center"/>
          </w:tcPr>
          <w:p w14:paraId="0D7A60E6" w14:textId="77777777" w:rsidR="00454A29" w:rsidRDefault="00454A29">
            <w:pPr>
              <w:pStyle w:val="ConsPlusNormal"/>
              <w:jc w:val="center"/>
            </w:pPr>
            <w:r>
              <w:t>0,00</w:t>
            </w:r>
          </w:p>
        </w:tc>
        <w:tc>
          <w:tcPr>
            <w:tcW w:w="1701" w:type="dxa"/>
            <w:vAlign w:val="center"/>
          </w:tcPr>
          <w:p w14:paraId="2AE40A6F" w14:textId="77777777" w:rsidR="00454A29" w:rsidRDefault="00454A29">
            <w:pPr>
              <w:pStyle w:val="ConsPlusNormal"/>
              <w:jc w:val="center"/>
            </w:pPr>
            <w:r>
              <w:t>х</w:t>
            </w:r>
          </w:p>
        </w:tc>
        <w:tc>
          <w:tcPr>
            <w:tcW w:w="1701" w:type="dxa"/>
            <w:vAlign w:val="center"/>
          </w:tcPr>
          <w:p w14:paraId="0971049E" w14:textId="77777777" w:rsidR="00454A29" w:rsidRDefault="00454A29">
            <w:pPr>
              <w:pStyle w:val="ConsPlusNormal"/>
              <w:jc w:val="center"/>
            </w:pPr>
            <w:r>
              <w:t>х</w:t>
            </w:r>
          </w:p>
        </w:tc>
        <w:tc>
          <w:tcPr>
            <w:tcW w:w="1701" w:type="dxa"/>
            <w:vAlign w:val="center"/>
          </w:tcPr>
          <w:p w14:paraId="4FCACF07" w14:textId="77777777" w:rsidR="00454A29" w:rsidRDefault="00454A29">
            <w:pPr>
              <w:pStyle w:val="ConsPlusNormal"/>
              <w:jc w:val="center"/>
            </w:pPr>
            <w:r>
              <w:t>х</w:t>
            </w:r>
          </w:p>
        </w:tc>
        <w:tc>
          <w:tcPr>
            <w:tcW w:w="1701" w:type="dxa"/>
            <w:vAlign w:val="center"/>
          </w:tcPr>
          <w:p w14:paraId="32753123" w14:textId="77777777" w:rsidR="00454A29" w:rsidRDefault="00454A29">
            <w:pPr>
              <w:pStyle w:val="ConsPlusNormal"/>
              <w:jc w:val="center"/>
            </w:pPr>
            <w:r>
              <w:t>х</w:t>
            </w:r>
          </w:p>
        </w:tc>
      </w:tr>
      <w:tr w:rsidR="00454A29" w14:paraId="000537C3" w14:textId="77777777">
        <w:tc>
          <w:tcPr>
            <w:tcW w:w="964" w:type="dxa"/>
            <w:vMerge/>
          </w:tcPr>
          <w:p w14:paraId="4ED1F429" w14:textId="77777777" w:rsidR="00454A29" w:rsidRDefault="00454A29"/>
        </w:tc>
        <w:tc>
          <w:tcPr>
            <w:tcW w:w="2154" w:type="dxa"/>
            <w:vMerge/>
            <w:tcBorders>
              <w:top w:val="nil"/>
              <w:bottom w:val="nil"/>
            </w:tcBorders>
          </w:tcPr>
          <w:p w14:paraId="67909ACA" w14:textId="77777777" w:rsidR="00454A29" w:rsidRDefault="00454A29"/>
        </w:tc>
        <w:tc>
          <w:tcPr>
            <w:tcW w:w="2154" w:type="dxa"/>
            <w:vMerge/>
            <w:tcBorders>
              <w:top w:val="nil"/>
              <w:bottom w:val="nil"/>
            </w:tcBorders>
          </w:tcPr>
          <w:p w14:paraId="318F25AE" w14:textId="77777777" w:rsidR="00454A29" w:rsidRDefault="00454A29"/>
        </w:tc>
        <w:tc>
          <w:tcPr>
            <w:tcW w:w="2665" w:type="dxa"/>
            <w:vMerge/>
          </w:tcPr>
          <w:p w14:paraId="5BA54612" w14:textId="77777777" w:rsidR="00454A29" w:rsidRDefault="00454A29"/>
        </w:tc>
        <w:tc>
          <w:tcPr>
            <w:tcW w:w="2665" w:type="dxa"/>
            <w:vMerge/>
            <w:tcBorders>
              <w:top w:val="nil"/>
              <w:bottom w:val="nil"/>
            </w:tcBorders>
          </w:tcPr>
          <w:p w14:paraId="6E7E13C7" w14:textId="77777777" w:rsidR="00454A29" w:rsidRDefault="00454A29"/>
        </w:tc>
        <w:tc>
          <w:tcPr>
            <w:tcW w:w="1928" w:type="dxa"/>
            <w:vMerge/>
          </w:tcPr>
          <w:p w14:paraId="75C9A111" w14:textId="77777777" w:rsidR="00454A29" w:rsidRDefault="00454A29"/>
        </w:tc>
        <w:tc>
          <w:tcPr>
            <w:tcW w:w="1644" w:type="dxa"/>
            <w:vMerge/>
          </w:tcPr>
          <w:p w14:paraId="5334F90B" w14:textId="77777777" w:rsidR="00454A29" w:rsidRDefault="00454A29"/>
        </w:tc>
        <w:tc>
          <w:tcPr>
            <w:tcW w:w="2041" w:type="dxa"/>
            <w:vMerge/>
          </w:tcPr>
          <w:p w14:paraId="3242FC2E" w14:textId="77777777" w:rsidR="00454A29" w:rsidRDefault="00454A29"/>
        </w:tc>
        <w:tc>
          <w:tcPr>
            <w:tcW w:w="2098" w:type="dxa"/>
            <w:vAlign w:val="center"/>
          </w:tcPr>
          <w:p w14:paraId="4ED13ABD" w14:textId="77777777" w:rsidR="00454A29" w:rsidRDefault="00454A29">
            <w:pPr>
              <w:pStyle w:val="ConsPlusNormal"/>
              <w:jc w:val="center"/>
            </w:pPr>
            <w:r>
              <w:t>Внебюджетные средства</w:t>
            </w:r>
          </w:p>
        </w:tc>
        <w:tc>
          <w:tcPr>
            <w:tcW w:w="1814" w:type="dxa"/>
            <w:vAlign w:val="center"/>
          </w:tcPr>
          <w:p w14:paraId="4BC7502F" w14:textId="77777777" w:rsidR="00454A29" w:rsidRDefault="00454A29">
            <w:pPr>
              <w:pStyle w:val="ConsPlusNormal"/>
              <w:jc w:val="center"/>
            </w:pPr>
            <w:r>
              <w:t>х</w:t>
            </w:r>
          </w:p>
        </w:tc>
        <w:tc>
          <w:tcPr>
            <w:tcW w:w="1701" w:type="dxa"/>
            <w:vAlign w:val="center"/>
          </w:tcPr>
          <w:p w14:paraId="385BE7A7" w14:textId="77777777" w:rsidR="00454A29" w:rsidRDefault="00454A29">
            <w:pPr>
              <w:pStyle w:val="ConsPlusNormal"/>
              <w:jc w:val="center"/>
            </w:pPr>
            <w:r>
              <w:t>х</w:t>
            </w:r>
          </w:p>
        </w:tc>
        <w:tc>
          <w:tcPr>
            <w:tcW w:w="1701" w:type="dxa"/>
            <w:vAlign w:val="center"/>
          </w:tcPr>
          <w:p w14:paraId="38D2BD92" w14:textId="77777777" w:rsidR="00454A29" w:rsidRDefault="00454A29">
            <w:pPr>
              <w:pStyle w:val="ConsPlusNormal"/>
              <w:jc w:val="center"/>
            </w:pPr>
            <w:r>
              <w:t>0,00</w:t>
            </w:r>
          </w:p>
        </w:tc>
        <w:tc>
          <w:tcPr>
            <w:tcW w:w="1701" w:type="dxa"/>
            <w:vAlign w:val="center"/>
          </w:tcPr>
          <w:p w14:paraId="07BF63F5" w14:textId="77777777" w:rsidR="00454A29" w:rsidRDefault="00454A29">
            <w:pPr>
              <w:pStyle w:val="ConsPlusNormal"/>
              <w:jc w:val="center"/>
            </w:pPr>
            <w:r>
              <w:t>х</w:t>
            </w:r>
          </w:p>
        </w:tc>
        <w:tc>
          <w:tcPr>
            <w:tcW w:w="1701" w:type="dxa"/>
            <w:vAlign w:val="center"/>
          </w:tcPr>
          <w:p w14:paraId="546A6048" w14:textId="77777777" w:rsidR="00454A29" w:rsidRDefault="00454A29">
            <w:pPr>
              <w:pStyle w:val="ConsPlusNormal"/>
              <w:jc w:val="center"/>
            </w:pPr>
            <w:r>
              <w:t>х</w:t>
            </w:r>
          </w:p>
        </w:tc>
        <w:tc>
          <w:tcPr>
            <w:tcW w:w="1701" w:type="dxa"/>
            <w:vAlign w:val="center"/>
          </w:tcPr>
          <w:p w14:paraId="0FFC7F6E" w14:textId="77777777" w:rsidR="00454A29" w:rsidRDefault="00454A29">
            <w:pPr>
              <w:pStyle w:val="ConsPlusNormal"/>
              <w:jc w:val="center"/>
            </w:pPr>
            <w:r>
              <w:t>х</w:t>
            </w:r>
          </w:p>
        </w:tc>
        <w:tc>
          <w:tcPr>
            <w:tcW w:w="1701" w:type="dxa"/>
            <w:vAlign w:val="center"/>
          </w:tcPr>
          <w:p w14:paraId="64B14732" w14:textId="77777777" w:rsidR="00454A29" w:rsidRDefault="00454A29">
            <w:pPr>
              <w:pStyle w:val="ConsPlusNormal"/>
              <w:jc w:val="center"/>
            </w:pPr>
            <w:r>
              <w:t>х</w:t>
            </w:r>
          </w:p>
        </w:tc>
      </w:tr>
      <w:tr w:rsidR="00454A29" w14:paraId="07064E11" w14:textId="77777777">
        <w:tc>
          <w:tcPr>
            <w:tcW w:w="964" w:type="dxa"/>
            <w:vMerge w:val="restart"/>
            <w:vAlign w:val="center"/>
          </w:tcPr>
          <w:p w14:paraId="6338EB36" w14:textId="77777777" w:rsidR="00454A29" w:rsidRDefault="00454A29">
            <w:pPr>
              <w:pStyle w:val="ConsPlusNormal"/>
              <w:jc w:val="center"/>
            </w:pPr>
            <w:r>
              <w:t>11.2.7.</w:t>
            </w:r>
          </w:p>
        </w:tc>
        <w:tc>
          <w:tcPr>
            <w:tcW w:w="2154" w:type="dxa"/>
            <w:vMerge w:val="restart"/>
            <w:tcBorders>
              <w:top w:val="nil"/>
              <w:bottom w:val="nil"/>
            </w:tcBorders>
            <w:vAlign w:val="center"/>
          </w:tcPr>
          <w:p w14:paraId="19A45960" w14:textId="77777777" w:rsidR="00454A29" w:rsidRDefault="00454A29">
            <w:pPr>
              <w:pStyle w:val="ConsPlusNormal"/>
            </w:pPr>
          </w:p>
        </w:tc>
        <w:tc>
          <w:tcPr>
            <w:tcW w:w="2154" w:type="dxa"/>
            <w:vMerge w:val="restart"/>
            <w:tcBorders>
              <w:top w:val="nil"/>
              <w:bottom w:val="nil"/>
            </w:tcBorders>
            <w:vAlign w:val="center"/>
          </w:tcPr>
          <w:p w14:paraId="510588A6" w14:textId="77777777" w:rsidR="00454A29" w:rsidRDefault="00454A29">
            <w:pPr>
              <w:pStyle w:val="ConsPlusNormal"/>
            </w:pPr>
          </w:p>
        </w:tc>
        <w:tc>
          <w:tcPr>
            <w:tcW w:w="2665" w:type="dxa"/>
            <w:vMerge/>
          </w:tcPr>
          <w:p w14:paraId="5C581ACD" w14:textId="77777777" w:rsidR="00454A29" w:rsidRDefault="00454A29"/>
        </w:tc>
        <w:tc>
          <w:tcPr>
            <w:tcW w:w="2665" w:type="dxa"/>
            <w:vMerge w:val="restart"/>
            <w:tcBorders>
              <w:top w:val="nil"/>
              <w:bottom w:val="nil"/>
            </w:tcBorders>
            <w:vAlign w:val="center"/>
          </w:tcPr>
          <w:p w14:paraId="3B0903CA" w14:textId="77777777" w:rsidR="00454A29" w:rsidRDefault="00454A29">
            <w:pPr>
              <w:pStyle w:val="ConsPlusNormal"/>
            </w:pPr>
          </w:p>
        </w:tc>
        <w:tc>
          <w:tcPr>
            <w:tcW w:w="1928" w:type="dxa"/>
            <w:vMerge w:val="restart"/>
            <w:vAlign w:val="center"/>
          </w:tcPr>
          <w:p w14:paraId="63E323A3" w14:textId="77777777" w:rsidR="00454A29" w:rsidRDefault="00454A29">
            <w:pPr>
              <w:pStyle w:val="ConsPlusNormal"/>
              <w:jc w:val="center"/>
            </w:pPr>
            <w:r>
              <w:t>МР "Чурапчинский улус (район)"</w:t>
            </w:r>
          </w:p>
        </w:tc>
        <w:tc>
          <w:tcPr>
            <w:tcW w:w="1644" w:type="dxa"/>
            <w:vMerge w:val="restart"/>
            <w:vAlign w:val="center"/>
          </w:tcPr>
          <w:p w14:paraId="1BDB1A74" w14:textId="77777777" w:rsidR="00454A29" w:rsidRDefault="00454A29">
            <w:pPr>
              <w:pStyle w:val="ConsPlusNormal"/>
              <w:jc w:val="center"/>
            </w:pPr>
            <w:r>
              <w:t>с. Телей-Диринг</w:t>
            </w:r>
          </w:p>
        </w:tc>
        <w:tc>
          <w:tcPr>
            <w:tcW w:w="2041" w:type="dxa"/>
            <w:vMerge w:val="restart"/>
            <w:vAlign w:val="center"/>
          </w:tcPr>
          <w:p w14:paraId="3F929FBE" w14:textId="77777777" w:rsidR="00454A29" w:rsidRDefault="00454A29">
            <w:pPr>
              <w:pStyle w:val="ConsPlusNormal"/>
              <w:jc w:val="center"/>
            </w:pPr>
            <w:r>
              <w:t>Приобретение детского сада на 75 мест</w:t>
            </w:r>
          </w:p>
        </w:tc>
        <w:tc>
          <w:tcPr>
            <w:tcW w:w="2098" w:type="dxa"/>
            <w:vAlign w:val="center"/>
          </w:tcPr>
          <w:p w14:paraId="7707206D" w14:textId="77777777" w:rsidR="00454A29" w:rsidRDefault="00454A29">
            <w:pPr>
              <w:pStyle w:val="ConsPlusNormal"/>
              <w:jc w:val="center"/>
            </w:pPr>
            <w:r>
              <w:t>Итого</w:t>
            </w:r>
          </w:p>
        </w:tc>
        <w:tc>
          <w:tcPr>
            <w:tcW w:w="1814" w:type="dxa"/>
            <w:vAlign w:val="center"/>
          </w:tcPr>
          <w:p w14:paraId="6773DEB8" w14:textId="77777777" w:rsidR="00454A29" w:rsidRDefault="00454A29">
            <w:pPr>
              <w:pStyle w:val="ConsPlusNormal"/>
              <w:jc w:val="center"/>
            </w:pPr>
            <w:r>
              <w:t>х</w:t>
            </w:r>
          </w:p>
        </w:tc>
        <w:tc>
          <w:tcPr>
            <w:tcW w:w="1701" w:type="dxa"/>
            <w:vAlign w:val="center"/>
          </w:tcPr>
          <w:p w14:paraId="6334330D" w14:textId="77777777" w:rsidR="00454A29" w:rsidRDefault="00454A29">
            <w:pPr>
              <w:pStyle w:val="ConsPlusNormal"/>
              <w:jc w:val="center"/>
            </w:pPr>
            <w:r>
              <w:t>х</w:t>
            </w:r>
          </w:p>
        </w:tc>
        <w:tc>
          <w:tcPr>
            <w:tcW w:w="1701" w:type="dxa"/>
            <w:vAlign w:val="center"/>
          </w:tcPr>
          <w:p w14:paraId="64975D60" w14:textId="77777777" w:rsidR="00454A29" w:rsidRDefault="00454A29">
            <w:pPr>
              <w:pStyle w:val="ConsPlusNormal"/>
              <w:jc w:val="center"/>
            </w:pPr>
            <w:r>
              <w:t>х</w:t>
            </w:r>
          </w:p>
        </w:tc>
        <w:tc>
          <w:tcPr>
            <w:tcW w:w="1701" w:type="dxa"/>
            <w:vAlign w:val="center"/>
          </w:tcPr>
          <w:p w14:paraId="1DE61C0C" w14:textId="77777777" w:rsidR="00454A29" w:rsidRDefault="00454A29">
            <w:pPr>
              <w:pStyle w:val="ConsPlusNormal"/>
              <w:jc w:val="center"/>
            </w:pPr>
            <w:r>
              <w:t>х</w:t>
            </w:r>
          </w:p>
        </w:tc>
        <w:tc>
          <w:tcPr>
            <w:tcW w:w="1701" w:type="dxa"/>
            <w:vAlign w:val="center"/>
          </w:tcPr>
          <w:p w14:paraId="1FCEA89E" w14:textId="77777777" w:rsidR="00454A29" w:rsidRDefault="00454A29">
            <w:pPr>
              <w:pStyle w:val="ConsPlusNormal"/>
              <w:jc w:val="center"/>
            </w:pPr>
            <w:r>
              <w:t>х</w:t>
            </w:r>
          </w:p>
        </w:tc>
        <w:tc>
          <w:tcPr>
            <w:tcW w:w="1701" w:type="dxa"/>
            <w:vAlign w:val="center"/>
          </w:tcPr>
          <w:p w14:paraId="562767F9" w14:textId="77777777" w:rsidR="00454A29" w:rsidRDefault="00454A29">
            <w:pPr>
              <w:pStyle w:val="ConsPlusNormal"/>
              <w:jc w:val="center"/>
            </w:pPr>
            <w:r>
              <w:t>х</w:t>
            </w:r>
          </w:p>
        </w:tc>
        <w:tc>
          <w:tcPr>
            <w:tcW w:w="1701" w:type="dxa"/>
            <w:vAlign w:val="center"/>
          </w:tcPr>
          <w:p w14:paraId="40CCAC99" w14:textId="77777777" w:rsidR="00454A29" w:rsidRDefault="00454A29">
            <w:pPr>
              <w:pStyle w:val="ConsPlusNormal"/>
              <w:jc w:val="center"/>
            </w:pPr>
            <w:r>
              <w:t>х</w:t>
            </w:r>
          </w:p>
        </w:tc>
      </w:tr>
      <w:tr w:rsidR="00454A29" w14:paraId="70DF2093" w14:textId="77777777">
        <w:tc>
          <w:tcPr>
            <w:tcW w:w="964" w:type="dxa"/>
            <w:vMerge/>
          </w:tcPr>
          <w:p w14:paraId="17ED858B" w14:textId="77777777" w:rsidR="00454A29" w:rsidRDefault="00454A29"/>
        </w:tc>
        <w:tc>
          <w:tcPr>
            <w:tcW w:w="2154" w:type="dxa"/>
            <w:vMerge/>
            <w:tcBorders>
              <w:top w:val="nil"/>
              <w:bottom w:val="nil"/>
            </w:tcBorders>
          </w:tcPr>
          <w:p w14:paraId="0E28F526" w14:textId="77777777" w:rsidR="00454A29" w:rsidRDefault="00454A29"/>
        </w:tc>
        <w:tc>
          <w:tcPr>
            <w:tcW w:w="2154" w:type="dxa"/>
            <w:vMerge/>
            <w:tcBorders>
              <w:top w:val="nil"/>
              <w:bottom w:val="nil"/>
            </w:tcBorders>
          </w:tcPr>
          <w:p w14:paraId="54516980" w14:textId="77777777" w:rsidR="00454A29" w:rsidRDefault="00454A29"/>
        </w:tc>
        <w:tc>
          <w:tcPr>
            <w:tcW w:w="2665" w:type="dxa"/>
            <w:vMerge/>
          </w:tcPr>
          <w:p w14:paraId="52494444" w14:textId="77777777" w:rsidR="00454A29" w:rsidRDefault="00454A29"/>
        </w:tc>
        <w:tc>
          <w:tcPr>
            <w:tcW w:w="2665" w:type="dxa"/>
            <w:vMerge/>
            <w:tcBorders>
              <w:top w:val="nil"/>
              <w:bottom w:val="nil"/>
            </w:tcBorders>
          </w:tcPr>
          <w:p w14:paraId="5FCCCCB4" w14:textId="77777777" w:rsidR="00454A29" w:rsidRDefault="00454A29"/>
        </w:tc>
        <w:tc>
          <w:tcPr>
            <w:tcW w:w="1928" w:type="dxa"/>
            <w:vMerge/>
          </w:tcPr>
          <w:p w14:paraId="4ED5F3BA" w14:textId="77777777" w:rsidR="00454A29" w:rsidRDefault="00454A29"/>
        </w:tc>
        <w:tc>
          <w:tcPr>
            <w:tcW w:w="1644" w:type="dxa"/>
            <w:vMerge/>
          </w:tcPr>
          <w:p w14:paraId="00F3F45A" w14:textId="77777777" w:rsidR="00454A29" w:rsidRDefault="00454A29"/>
        </w:tc>
        <w:tc>
          <w:tcPr>
            <w:tcW w:w="2041" w:type="dxa"/>
            <w:vMerge/>
          </w:tcPr>
          <w:p w14:paraId="29F1C2A4" w14:textId="77777777" w:rsidR="00454A29" w:rsidRDefault="00454A29"/>
        </w:tc>
        <w:tc>
          <w:tcPr>
            <w:tcW w:w="2098" w:type="dxa"/>
            <w:vAlign w:val="center"/>
          </w:tcPr>
          <w:p w14:paraId="3AC4CBEC"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2ACFE082" w14:textId="77777777" w:rsidR="00454A29" w:rsidRDefault="00454A29">
            <w:pPr>
              <w:pStyle w:val="ConsPlusNormal"/>
              <w:jc w:val="center"/>
            </w:pPr>
            <w:r>
              <w:t>х</w:t>
            </w:r>
          </w:p>
        </w:tc>
        <w:tc>
          <w:tcPr>
            <w:tcW w:w="1701" w:type="dxa"/>
            <w:vAlign w:val="center"/>
          </w:tcPr>
          <w:p w14:paraId="03E4AD34" w14:textId="77777777" w:rsidR="00454A29" w:rsidRDefault="00454A29">
            <w:pPr>
              <w:pStyle w:val="ConsPlusNormal"/>
              <w:jc w:val="center"/>
            </w:pPr>
            <w:r>
              <w:t>х</w:t>
            </w:r>
          </w:p>
        </w:tc>
        <w:tc>
          <w:tcPr>
            <w:tcW w:w="1701" w:type="dxa"/>
            <w:vAlign w:val="center"/>
          </w:tcPr>
          <w:p w14:paraId="76D54C6C" w14:textId="77777777" w:rsidR="00454A29" w:rsidRDefault="00454A29">
            <w:pPr>
              <w:pStyle w:val="ConsPlusNormal"/>
              <w:jc w:val="center"/>
            </w:pPr>
            <w:r>
              <w:t>х</w:t>
            </w:r>
          </w:p>
        </w:tc>
        <w:tc>
          <w:tcPr>
            <w:tcW w:w="1701" w:type="dxa"/>
            <w:vAlign w:val="center"/>
          </w:tcPr>
          <w:p w14:paraId="6FE1D5B3" w14:textId="77777777" w:rsidR="00454A29" w:rsidRDefault="00454A29">
            <w:pPr>
              <w:pStyle w:val="ConsPlusNormal"/>
              <w:jc w:val="center"/>
            </w:pPr>
            <w:r>
              <w:t>х</w:t>
            </w:r>
          </w:p>
        </w:tc>
        <w:tc>
          <w:tcPr>
            <w:tcW w:w="1701" w:type="dxa"/>
            <w:vAlign w:val="center"/>
          </w:tcPr>
          <w:p w14:paraId="45D027A4" w14:textId="77777777" w:rsidR="00454A29" w:rsidRDefault="00454A29">
            <w:pPr>
              <w:pStyle w:val="ConsPlusNormal"/>
              <w:jc w:val="center"/>
            </w:pPr>
            <w:r>
              <w:t>х</w:t>
            </w:r>
          </w:p>
        </w:tc>
        <w:tc>
          <w:tcPr>
            <w:tcW w:w="1701" w:type="dxa"/>
            <w:vAlign w:val="center"/>
          </w:tcPr>
          <w:p w14:paraId="5D8DA2E8" w14:textId="77777777" w:rsidR="00454A29" w:rsidRDefault="00454A29">
            <w:pPr>
              <w:pStyle w:val="ConsPlusNormal"/>
              <w:jc w:val="center"/>
            </w:pPr>
            <w:r>
              <w:t>х</w:t>
            </w:r>
          </w:p>
        </w:tc>
        <w:tc>
          <w:tcPr>
            <w:tcW w:w="1701" w:type="dxa"/>
            <w:vAlign w:val="center"/>
          </w:tcPr>
          <w:p w14:paraId="1DAF8071" w14:textId="77777777" w:rsidR="00454A29" w:rsidRDefault="00454A29">
            <w:pPr>
              <w:pStyle w:val="ConsPlusNormal"/>
              <w:jc w:val="center"/>
            </w:pPr>
            <w:r>
              <w:t>х</w:t>
            </w:r>
          </w:p>
        </w:tc>
      </w:tr>
      <w:tr w:rsidR="00454A29" w14:paraId="2E539A89" w14:textId="77777777">
        <w:tc>
          <w:tcPr>
            <w:tcW w:w="964" w:type="dxa"/>
            <w:vMerge/>
          </w:tcPr>
          <w:p w14:paraId="3AF1AA14" w14:textId="77777777" w:rsidR="00454A29" w:rsidRDefault="00454A29"/>
        </w:tc>
        <w:tc>
          <w:tcPr>
            <w:tcW w:w="2154" w:type="dxa"/>
            <w:vMerge/>
            <w:tcBorders>
              <w:top w:val="nil"/>
              <w:bottom w:val="nil"/>
            </w:tcBorders>
          </w:tcPr>
          <w:p w14:paraId="641692B6" w14:textId="77777777" w:rsidR="00454A29" w:rsidRDefault="00454A29"/>
        </w:tc>
        <w:tc>
          <w:tcPr>
            <w:tcW w:w="2154" w:type="dxa"/>
            <w:vMerge/>
            <w:tcBorders>
              <w:top w:val="nil"/>
              <w:bottom w:val="nil"/>
            </w:tcBorders>
          </w:tcPr>
          <w:p w14:paraId="51073AF7" w14:textId="77777777" w:rsidR="00454A29" w:rsidRDefault="00454A29"/>
        </w:tc>
        <w:tc>
          <w:tcPr>
            <w:tcW w:w="2665" w:type="dxa"/>
            <w:vMerge/>
          </w:tcPr>
          <w:p w14:paraId="1D6DF052" w14:textId="77777777" w:rsidR="00454A29" w:rsidRDefault="00454A29"/>
        </w:tc>
        <w:tc>
          <w:tcPr>
            <w:tcW w:w="2665" w:type="dxa"/>
            <w:vMerge/>
            <w:tcBorders>
              <w:top w:val="nil"/>
              <w:bottom w:val="nil"/>
            </w:tcBorders>
          </w:tcPr>
          <w:p w14:paraId="1DA9446C" w14:textId="77777777" w:rsidR="00454A29" w:rsidRDefault="00454A29"/>
        </w:tc>
        <w:tc>
          <w:tcPr>
            <w:tcW w:w="1928" w:type="dxa"/>
            <w:vMerge/>
          </w:tcPr>
          <w:p w14:paraId="01B2936B" w14:textId="77777777" w:rsidR="00454A29" w:rsidRDefault="00454A29"/>
        </w:tc>
        <w:tc>
          <w:tcPr>
            <w:tcW w:w="1644" w:type="dxa"/>
            <w:vMerge/>
          </w:tcPr>
          <w:p w14:paraId="3ACE1B7B" w14:textId="77777777" w:rsidR="00454A29" w:rsidRDefault="00454A29"/>
        </w:tc>
        <w:tc>
          <w:tcPr>
            <w:tcW w:w="2041" w:type="dxa"/>
            <w:vMerge/>
          </w:tcPr>
          <w:p w14:paraId="10010C97" w14:textId="77777777" w:rsidR="00454A29" w:rsidRDefault="00454A29"/>
        </w:tc>
        <w:tc>
          <w:tcPr>
            <w:tcW w:w="2098" w:type="dxa"/>
            <w:vAlign w:val="center"/>
          </w:tcPr>
          <w:p w14:paraId="134CAB3D" w14:textId="77777777" w:rsidR="00454A29" w:rsidRDefault="00454A29">
            <w:pPr>
              <w:pStyle w:val="ConsPlusNormal"/>
              <w:jc w:val="center"/>
            </w:pPr>
            <w:r>
              <w:t>Федеральный бюджет</w:t>
            </w:r>
          </w:p>
        </w:tc>
        <w:tc>
          <w:tcPr>
            <w:tcW w:w="1814" w:type="dxa"/>
            <w:vAlign w:val="center"/>
          </w:tcPr>
          <w:p w14:paraId="7F520757" w14:textId="77777777" w:rsidR="00454A29" w:rsidRDefault="00454A29">
            <w:pPr>
              <w:pStyle w:val="ConsPlusNormal"/>
              <w:jc w:val="center"/>
            </w:pPr>
            <w:r>
              <w:t>х</w:t>
            </w:r>
          </w:p>
        </w:tc>
        <w:tc>
          <w:tcPr>
            <w:tcW w:w="1701" w:type="dxa"/>
            <w:vAlign w:val="center"/>
          </w:tcPr>
          <w:p w14:paraId="08F0A00D" w14:textId="77777777" w:rsidR="00454A29" w:rsidRDefault="00454A29">
            <w:pPr>
              <w:pStyle w:val="ConsPlusNormal"/>
              <w:jc w:val="center"/>
            </w:pPr>
            <w:r>
              <w:t>х</w:t>
            </w:r>
          </w:p>
        </w:tc>
        <w:tc>
          <w:tcPr>
            <w:tcW w:w="1701" w:type="dxa"/>
            <w:vAlign w:val="center"/>
          </w:tcPr>
          <w:p w14:paraId="1238C78D" w14:textId="77777777" w:rsidR="00454A29" w:rsidRDefault="00454A29">
            <w:pPr>
              <w:pStyle w:val="ConsPlusNormal"/>
              <w:jc w:val="center"/>
            </w:pPr>
            <w:r>
              <w:t>х</w:t>
            </w:r>
          </w:p>
        </w:tc>
        <w:tc>
          <w:tcPr>
            <w:tcW w:w="1701" w:type="dxa"/>
            <w:vAlign w:val="center"/>
          </w:tcPr>
          <w:p w14:paraId="274C21E0" w14:textId="77777777" w:rsidR="00454A29" w:rsidRDefault="00454A29">
            <w:pPr>
              <w:pStyle w:val="ConsPlusNormal"/>
              <w:jc w:val="center"/>
            </w:pPr>
            <w:r>
              <w:t>х</w:t>
            </w:r>
          </w:p>
        </w:tc>
        <w:tc>
          <w:tcPr>
            <w:tcW w:w="1701" w:type="dxa"/>
            <w:vAlign w:val="center"/>
          </w:tcPr>
          <w:p w14:paraId="2EBC43F3" w14:textId="77777777" w:rsidR="00454A29" w:rsidRDefault="00454A29">
            <w:pPr>
              <w:pStyle w:val="ConsPlusNormal"/>
              <w:jc w:val="center"/>
            </w:pPr>
            <w:r>
              <w:t>х</w:t>
            </w:r>
          </w:p>
        </w:tc>
        <w:tc>
          <w:tcPr>
            <w:tcW w:w="1701" w:type="dxa"/>
            <w:vAlign w:val="center"/>
          </w:tcPr>
          <w:p w14:paraId="07879640" w14:textId="77777777" w:rsidR="00454A29" w:rsidRDefault="00454A29">
            <w:pPr>
              <w:pStyle w:val="ConsPlusNormal"/>
              <w:jc w:val="center"/>
            </w:pPr>
            <w:r>
              <w:t>х</w:t>
            </w:r>
          </w:p>
        </w:tc>
        <w:tc>
          <w:tcPr>
            <w:tcW w:w="1701" w:type="dxa"/>
            <w:vAlign w:val="center"/>
          </w:tcPr>
          <w:p w14:paraId="779BC7F9" w14:textId="77777777" w:rsidR="00454A29" w:rsidRDefault="00454A29">
            <w:pPr>
              <w:pStyle w:val="ConsPlusNormal"/>
              <w:jc w:val="center"/>
            </w:pPr>
            <w:r>
              <w:t>х</w:t>
            </w:r>
          </w:p>
        </w:tc>
      </w:tr>
      <w:tr w:rsidR="00454A29" w14:paraId="5D510268" w14:textId="77777777">
        <w:tc>
          <w:tcPr>
            <w:tcW w:w="964" w:type="dxa"/>
            <w:vMerge/>
          </w:tcPr>
          <w:p w14:paraId="585C5601" w14:textId="77777777" w:rsidR="00454A29" w:rsidRDefault="00454A29"/>
        </w:tc>
        <w:tc>
          <w:tcPr>
            <w:tcW w:w="2154" w:type="dxa"/>
            <w:vMerge/>
            <w:tcBorders>
              <w:top w:val="nil"/>
              <w:bottom w:val="nil"/>
            </w:tcBorders>
          </w:tcPr>
          <w:p w14:paraId="695C5534" w14:textId="77777777" w:rsidR="00454A29" w:rsidRDefault="00454A29"/>
        </w:tc>
        <w:tc>
          <w:tcPr>
            <w:tcW w:w="2154" w:type="dxa"/>
            <w:vMerge/>
            <w:tcBorders>
              <w:top w:val="nil"/>
              <w:bottom w:val="nil"/>
            </w:tcBorders>
          </w:tcPr>
          <w:p w14:paraId="163D9ADD" w14:textId="77777777" w:rsidR="00454A29" w:rsidRDefault="00454A29"/>
        </w:tc>
        <w:tc>
          <w:tcPr>
            <w:tcW w:w="2665" w:type="dxa"/>
            <w:vMerge/>
          </w:tcPr>
          <w:p w14:paraId="546AC422" w14:textId="77777777" w:rsidR="00454A29" w:rsidRDefault="00454A29"/>
        </w:tc>
        <w:tc>
          <w:tcPr>
            <w:tcW w:w="2665" w:type="dxa"/>
            <w:vMerge/>
            <w:tcBorders>
              <w:top w:val="nil"/>
              <w:bottom w:val="nil"/>
            </w:tcBorders>
          </w:tcPr>
          <w:p w14:paraId="1EF340DE" w14:textId="77777777" w:rsidR="00454A29" w:rsidRDefault="00454A29"/>
        </w:tc>
        <w:tc>
          <w:tcPr>
            <w:tcW w:w="1928" w:type="dxa"/>
            <w:vMerge/>
          </w:tcPr>
          <w:p w14:paraId="750C496E" w14:textId="77777777" w:rsidR="00454A29" w:rsidRDefault="00454A29"/>
        </w:tc>
        <w:tc>
          <w:tcPr>
            <w:tcW w:w="1644" w:type="dxa"/>
            <w:vMerge/>
          </w:tcPr>
          <w:p w14:paraId="7369F76B" w14:textId="77777777" w:rsidR="00454A29" w:rsidRDefault="00454A29"/>
        </w:tc>
        <w:tc>
          <w:tcPr>
            <w:tcW w:w="2041" w:type="dxa"/>
            <w:vMerge/>
          </w:tcPr>
          <w:p w14:paraId="4345CAD1" w14:textId="77777777" w:rsidR="00454A29" w:rsidRDefault="00454A29"/>
        </w:tc>
        <w:tc>
          <w:tcPr>
            <w:tcW w:w="2098" w:type="dxa"/>
            <w:vAlign w:val="center"/>
          </w:tcPr>
          <w:p w14:paraId="67829302" w14:textId="77777777" w:rsidR="00454A29" w:rsidRDefault="00454A29">
            <w:pPr>
              <w:pStyle w:val="ConsPlusNormal"/>
              <w:jc w:val="center"/>
            </w:pPr>
            <w:r>
              <w:t>Местные бюджеты</w:t>
            </w:r>
          </w:p>
        </w:tc>
        <w:tc>
          <w:tcPr>
            <w:tcW w:w="1814" w:type="dxa"/>
            <w:vAlign w:val="center"/>
          </w:tcPr>
          <w:p w14:paraId="174EA0D3" w14:textId="77777777" w:rsidR="00454A29" w:rsidRDefault="00454A29">
            <w:pPr>
              <w:pStyle w:val="ConsPlusNormal"/>
              <w:jc w:val="center"/>
            </w:pPr>
            <w:r>
              <w:t>х</w:t>
            </w:r>
          </w:p>
        </w:tc>
        <w:tc>
          <w:tcPr>
            <w:tcW w:w="1701" w:type="dxa"/>
            <w:vAlign w:val="center"/>
          </w:tcPr>
          <w:p w14:paraId="3E7C841C" w14:textId="77777777" w:rsidR="00454A29" w:rsidRDefault="00454A29">
            <w:pPr>
              <w:pStyle w:val="ConsPlusNormal"/>
              <w:jc w:val="center"/>
            </w:pPr>
            <w:r>
              <w:t>х</w:t>
            </w:r>
          </w:p>
        </w:tc>
        <w:tc>
          <w:tcPr>
            <w:tcW w:w="1701" w:type="dxa"/>
            <w:vAlign w:val="center"/>
          </w:tcPr>
          <w:p w14:paraId="49E50E9F" w14:textId="77777777" w:rsidR="00454A29" w:rsidRDefault="00454A29">
            <w:pPr>
              <w:pStyle w:val="ConsPlusNormal"/>
              <w:jc w:val="center"/>
            </w:pPr>
            <w:r>
              <w:t>х</w:t>
            </w:r>
          </w:p>
        </w:tc>
        <w:tc>
          <w:tcPr>
            <w:tcW w:w="1701" w:type="dxa"/>
            <w:vAlign w:val="center"/>
          </w:tcPr>
          <w:p w14:paraId="736ECB8A" w14:textId="77777777" w:rsidR="00454A29" w:rsidRDefault="00454A29">
            <w:pPr>
              <w:pStyle w:val="ConsPlusNormal"/>
              <w:jc w:val="center"/>
            </w:pPr>
            <w:r>
              <w:t>х</w:t>
            </w:r>
          </w:p>
        </w:tc>
        <w:tc>
          <w:tcPr>
            <w:tcW w:w="1701" w:type="dxa"/>
            <w:vAlign w:val="center"/>
          </w:tcPr>
          <w:p w14:paraId="7C836EE8" w14:textId="77777777" w:rsidR="00454A29" w:rsidRDefault="00454A29">
            <w:pPr>
              <w:pStyle w:val="ConsPlusNormal"/>
              <w:jc w:val="center"/>
            </w:pPr>
            <w:r>
              <w:t>х</w:t>
            </w:r>
          </w:p>
        </w:tc>
        <w:tc>
          <w:tcPr>
            <w:tcW w:w="1701" w:type="dxa"/>
            <w:vAlign w:val="center"/>
          </w:tcPr>
          <w:p w14:paraId="5942AB32" w14:textId="77777777" w:rsidR="00454A29" w:rsidRDefault="00454A29">
            <w:pPr>
              <w:pStyle w:val="ConsPlusNormal"/>
              <w:jc w:val="center"/>
            </w:pPr>
            <w:r>
              <w:t>х</w:t>
            </w:r>
          </w:p>
        </w:tc>
        <w:tc>
          <w:tcPr>
            <w:tcW w:w="1701" w:type="dxa"/>
            <w:vAlign w:val="center"/>
          </w:tcPr>
          <w:p w14:paraId="6DAE932C" w14:textId="77777777" w:rsidR="00454A29" w:rsidRDefault="00454A29">
            <w:pPr>
              <w:pStyle w:val="ConsPlusNormal"/>
              <w:jc w:val="center"/>
            </w:pPr>
            <w:r>
              <w:t>х</w:t>
            </w:r>
          </w:p>
        </w:tc>
      </w:tr>
      <w:tr w:rsidR="00454A29" w14:paraId="373F5308" w14:textId="77777777">
        <w:tc>
          <w:tcPr>
            <w:tcW w:w="964" w:type="dxa"/>
            <w:vMerge/>
          </w:tcPr>
          <w:p w14:paraId="07D640B4" w14:textId="77777777" w:rsidR="00454A29" w:rsidRDefault="00454A29"/>
        </w:tc>
        <w:tc>
          <w:tcPr>
            <w:tcW w:w="2154" w:type="dxa"/>
            <w:vMerge/>
            <w:tcBorders>
              <w:top w:val="nil"/>
              <w:bottom w:val="nil"/>
            </w:tcBorders>
          </w:tcPr>
          <w:p w14:paraId="417CE29A" w14:textId="77777777" w:rsidR="00454A29" w:rsidRDefault="00454A29"/>
        </w:tc>
        <w:tc>
          <w:tcPr>
            <w:tcW w:w="2154" w:type="dxa"/>
            <w:vMerge/>
            <w:tcBorders>
              <w:top w:val="nil"/>
              <w:bottom w:val="nil"/>
            </w:tcBorders>
          </w:tcPr>
          <w:p w14:paraId="6F0E0409" w14:textId="77777777" w:rsidR="00454A29" w:rsidRDefault="00454A29"/>
        </w:tc>
        <w:tc>
          <w:tcPr>
            <w:tcW w:w="2665" w:type="dxa"/>
            <w:vMerge/>
          </w:tcPr>
          <w:p w14:paraId="07BDC229" w14:textId="77777777" w:rsidR="00454A29" w:rsidRDefault="00454A29"/>
        </w:tc>
        <w:tc>
          <w:tcPr>
            <w:tcW w:w="2665" w:type="dxa"/>
            <w:vMerge/>
            <w:tcBorders>
              <w:top w:val="nil"/>
              <w:bottom w:val="nil"/>
            </w:tcBorders>
          </w:tcPr>
          <w:p w14:paraId="15CE6029" w14:textId="77777777" w:rsidR="00454A29" w:rsidRDefault="00454A29"/>
        </w:tc>
        <w:tc>
          <w:tcPr>
            <w:tcW w:w="1928" w:type="dxa"/>
            <w:vMerge/>
          </w:tcPr>
          <w:p w14:paraId="294BC064" w14:textId="77777777" w:rsidR="00454A29" w:rsidRDefault="00454A29"/>
        </w:tc>
        <w:tc>
          <w:tcPr>
            <w:tcW w:w="1644" w:type="dxa"/>
            <w:vMerge/>
          </w:tcPr>
          <w:p w14:paraId="5A207858" w14:textId="77777777" w:rsidR="00454A29" w:rsidRDefault="00454A29"/>
        </w:tc>
        <w:tc>
          <w:tcPr>
            <w:tcW w:w="2041" w:type="dxa"/>
            <w:vMerge/>
          </w:tcPr>
          <w:p w14:paraId="2AB5B4C4" w14:textId="77777777" w:rsidR="00454A29" w:rsidRDefault="00454A29"/>
        </w:tc>
        <w:tc>
          <w:tcPr>
            <w:tcW w:w="2098" w:type="dxa"/>
            <w:vAlign w:val="center"/>
          </w:tcPr>
          <w:p w14:paraId="17E49328" w14:textId="77777777" w:rsidR="00454A29" w:rsidRDefault="00454A29">
            <w:pPr>
              <w:pStyle w:val="ConsPlusNormal"/>
              <w:jc w:val="center"/>
            </w:pPr>
            <w:r>
              <w:t>Внебюджетные средства</w:t>
            </w:r>
          </w:p>
        </w:tc>
        <w:tc>
          <w:tcPr>
            <w:tcW w:w="1814" w:type="dxa"/>
            <w:vAlign w:val="center"/>
          </w:tcPr>
          <w:p w14:paraId="36EE11BD" w14:textId="77777777" w:rsidR="00454A29" w:rsidRDefault="00454A29">
            <w:pPr>
              <w:pStyle w:val="ConsPlusNormal"/>
              <w:jc w:val="center"/>
            </w:pPr>
            <w:r>
              <w:t>х</w:t>
            </w:r>
          </w:p>
        </w:tc>
        <w:tc>
          <w:tcPr>
            <w:tcW w:w="1701" w:type="dxa"/>
            <w:vAlign w:val="center"/>
          </w:tcPr>
          <w:p w14:paraId="662B5FF1" w14:textId="77777777" w:rsidR="00454A29" w:rsidRDefault="00454A29">
            <w:pPr>
              <w:pStyle w:val="ConsPlusNormal"/>
              <w:jc w:val="center"/>
            </w:pPr>
            <w:r>
              <w:t>х</w:t>
            </w:r>
          </w:p>
        </w:tc>
        <w:tc>
          <w:tcPr>
            <w:tcW w:w="1701" w:type="dxa"/>
            <w:vAlign w:val="center"/>
          </w:tcPr>
          <w:p w14:paraId="290C8A0D" w14:textId="77777777" w:rsidR="00454A29" w:rsidRDefault="00454A29">
            <w:pPr>
              <w:pStyle w:val="ConsPlusNormal"/>
              <w:jc w:val="center"/>
            </w:pPr>
            <w:r>
              <w:t>х</w:t>
            </w:r>
          </w:p>
        </w:tc>
        <w:tc>
          <w:tcPr>
            <w:tcW w:w="1701" w:type="dxa"/>
            <w:vAlign w:val="center"/>
          </w:tcPr>
          <w:p w14:paraId="6118E4F8" w14:textId="77777777" w:rsidR="00454A29" w:rsidRDefault="00454A29">
            <w:pPr>
              <w:pStyle w:val="ConsPlusNormal"/>
              <w:jc w:val="center"/>
            </w:pPr>
            <w:r>
              <w:t>х</w:t>
            </w:r>
          </w:p>
        </w:tc>
        <w:tc>
          <w:tcPr>
            <w:tcW w:w="1701" w:type="dxa"/>
            <w:vAlign w:val="center"/>
          </w:tcPr>
          <w:p w14:paraId="1314EC8B" w14:textId="77777777" w:rsidR="00454A29" w:rsidRDefault="00454A29">
            <w:pPr>
              <w:pStyle w:val="ConsPlusNormal"/>
              <w:jc w:val="center"/>
            </w:pPr>
            <w:r>
              <w:t>х</w:t>
            </w:r>
          </w:p>
        </w:tc>
        <w:tc>
          <w:tcPr>
            <w:tcW w:w="1701" w:type="dxa"/>
            <w:vAlign w:val="center"/>
          </w:tcPr>
          <w:p w14:paraId="24C339EF" w14:textId="77777777" w:rsidR="00454A29" w:rsidRDefault="00454A29">
            <w:pPr>
              <w:pStyle w:val="ConsPlusNormal"/>
              <w:jc w:val="center"/>
            </w:pPr>
            <w:r>
              <w:t>х</w:t>
            </w:r>
          </w:p>
        </w:tc>
        <w:tc>
          <w:tcPr>
            <w:tcW w:w="1701" w:type="dxa"/>
            <w:vAlign w:val="center"/>
          </w:tcPr>
          <w:p w14:paraId="70924A75" w14:textId="77777777" w:rsidR="00454A29" w:rsidRDefault="00454A29">
            <w:pPr>
              <w:pStyle w:val="ConsPlusNormal"/>
              <w:jc w:val="center"/>
            </w:pPr>
            <w:r>
              <w:t>х</w:t>
            </w:r>
          </w:p>
        </w:tc>
      </w:tr>
      <w:tr w:rsidR="00454A29" w14:paraId="544F1981" w14:textId="77777777">
        <w:tc>
          <w:tcPr>
            <w:tcW w:w="964" w:type="dxa"/>
            <w:vMerge w:val="restart"/>
            <w:vAlign w:val="center"/>
          </w:tcPr>
          <w:p w14:paraId="13611C5F" w14:textId="77777777" w:rsidR="00454A29" w:rsidRDefault="00454A29">
            <w:pPr>
              <w:pStyle w:val="ConsPlusNormal"/>
              <w:jc w:val="center"/>
            </w:pPr>
            <w:r>
              <w:t>11.2.8.</w:t>
            </w:r>
          </w:p>
        </w:tc>
        <w:tc>
          <w:tcPr>
            <w:tcW w:w="2154" w:type="dxa"/>
            <w:vMerge w:val="restart"/>
            <w:tcBorders>
              <w:top w:val="nil"/>
            </w:tcBorders>
            <w:vAlign w:val="center"/>
          </w:tcPr>
          <w:p w14:paraId="0F8A2069" w14:textId="77777777" w:rsidR="00454A29" w:rsidRDefault="00454A29">
            <w:pPr>
              <w:pStyle w:val="ConsPlusNormal"/>
            </w:pPr>
          </w:p>
        </w:tc>
        <w:tc>
          <w:tcPr>
            <w:tcW w:w="2154" w:type="dxa"/>
            <w:vMerge w:val="restart"/>
            <w:tcBorders>
              <w:top w:val="nil"/>
            </w:tcBorders>
            <w:vAlign w:val="center"/>
          </w:tcPr>
          <w:p w14:paraId="410A22F4" w14:textId="77777777" w:rsidR="00454A29" w:rsidRDefault="00454A29">
            <w:pPr>
              <w:pStyle w:val="ConsPlusNormal"/>
            </w:pPr>
          </w:p>
        </w:tc>
        <w:tc>
          <w:tcPr>
            <w:tcW w:w="2665" w:type="dxa"/>
            <w:vMerge/>
          </w:tcPr>
          <w:p w14:paraId="3CEBB711" w14:textId="77777777" w:rsidR="00454A29" w:rsidRDefault="00454A29"/>
        </w:tc>
        <w:tc>
          <w:tcPr>
            <w:tcW w:w="2665" w:type="dxa"/>
            <w:vMerge w:val="restart"/>
            <w:tcBorders>
              <w:top w:val="nil"/>
            </w:tcBorders>
            <w:vAlign w:val="center"/>
          </w:tcPr>
          <w:p w14:paraId="39DAEB81" w14:textId="77777777" w:rsidR="00454A29" w:rsidRDefault="00454A29">
            <w:pPr>
              <w:pStyle w:val="ConsPlusNormal"/>
            </w:pPr>
          </w:p>
        </w:tc>
        <w:tc>
          <w:tcPr>
            <w:tcW w:w="1928" w:type="dxa"/>
            <w:vMerge w:val="restart"/>
            <w:vAlign w:val="center"/>
          </w:tcPr>
          <w:p w14:paraId="1E899606" w14:textId="77777777" w:rsidR="00454A29" w:rsidRDefault="00454A29">
            <w:pPr>
              <w:pStyle w:val="ConsPlusNormal"/>
              <w:jc w:val="center"/>
            </w:pPr>
            <w:r>
              <w:t>МР "Чурапчинский улус (район)"</w:t>
            </w:r>
          </w:p>
        </w:tc>
        <w:tc>
          <w:tcPr>
            <w:tcW w:w="1644" w:type="dxa"/>
            <w:vMerge w:val="restart"/>
            <w:vAlign w:val="center"/>
          </w:tcPr>
          <w:p w14:paraId="1F4D15B6" w14:textId="77777777" w:rsidR="00454A29" w:rsidRDefault="00454A29">
            <w:pPr>
              <w:pStyle w:val="ConsPlusNormal"/>
              <w:jc w:val="center"/>
            </w:pPr>
            <w:r>
              <w:t>с. Чурапча</w:t>
            </w:r>
          </w:p>
        </w:tc>
        <w:tc>
          <w:tcPr>
            <w:tcW w:w="2041" w:type="dxa"/>
            <w:vMerge w:val="restart"/>
            <w:vAlign w:val="center"/>
          </w:tcPr>
          <w:p w14:paraId="6B469D10" w14:textId="77777777" w:rsidR="00454A29" w:rsidRDefault="00454A29">
            <w:pPr>
              <w:pStyle w:val="ConsPlusNormal"/>
              <w:jc w:val="center"/>
            </w:pPr>
            <w:r>
              <w:t>Приобретение детского сада на 98 мест</w:t>
            </w:r>
          </w:p>
        </w:tc>
        <w:tc>
          <w:tcPr>
            <w:tcW w:w="2098" w:type="dxa"/>
            <w:vAlign w:val="center"/>
          </w:tcPr>
          <w:p w14:paraId="0F0466A0" w14:textId="77777777" w:rsidR="00454A29" w:rsidRDefault="00454A29">
            <w:pPr>
              <w:pStyle w:val="ConsPlusNormal"/>
              <w:jc w:val="center"/>
            </w:pPr>
            <w:r>
              <w:t>Итого</w:t>
            </w:r>
          </w:p>
        </w:tc>
        <w:tc>
          <w:tcPr>
            <w:tcW w:w="1814" w:type="dxa"/>
            <w:vAlign w:val="center"/>
          </w:tcPr>
          <w:p w14:paraId="36E1CCAF" w14:textId="77777777" w:rsidR="00454A29" w:rsidRDefault="00454A29">
            <w:pPr>
              <w:pStyle w:val="ConsPlusNormal"/>
              <w:jc w:val="center"/>
            </w:pPr>
            <w:r>
              <w:t>х</w:t>
            </w:r>
          </w:p>
        </w:tc>
        <w:tc>
          <w:tcPr>
            <w:tcW w:w="1701" w:type="dxa"/>
            <w:vAlign w:val="center"/>
          </w:tcPr>
          <w:p w14:paraId="0F763722" w14:textId="77777777" w:rsidR="00454A29" w:rsidRDefault="00454A29">
            <w:pPr>
              <w:pStyle w:val="ConsPlusNormal"/>
              <w:jc w:val="center"/>
            </w:pPr>
            <w:r>
              <w:t>х</w:t>
            </w:r>
          </w:p>
        </w:tc>
        <w:tc>
          <w:tcPr>
            <w:tcW w:w="1701" w:type="dxa"/>
            <w:vAlign w:val="center"/>
          </w:tcPr>
          <w:p w14:paraId="452DD9DC" w14:textId="77777777" w:rsidR="00454A29" w:rsidRDefault="00454A29">
            <w:pPr>
              <w:pStyle w:val="ConsPlusNormal"/>
              <w:jc w:val="center"/>
            </w:pPr>
            <w:r>
              <w:t>х</w:t>
            </w:r>
          </w:p>
        </w:tc>
        <w:tc>
          <w:tcPr>
            <w:tcW w:w="1701" w:type="dxa"/>
            <w:vAlign w:val="center"/>
          </w:tcPr>
          <w:p w14:paraId="0B0BA3D8" w14:textId="77777777" w:rsidR="00454A29" w:rsidRDefault="00454A29">
            <w:pPr>
              <w:pStyle w:val="ConsPlusNormal"/>
              <w:jc w:val="center"/>
            </w:pPr>
            <w:r>
              <w:t>х</w:t>
            </w:r>
          </w:p>
        </w:tc>
        <w:tc>
          <w:tcPr>
            <w:tcW w:w="1701" w:type="dxa"/>
            <w:vAlign w:val="center"/>
          </w:tcPr>
          <w:p w14:paraId="58993D8E" w14:textId="77777777" w:rsidR="00454A29" w:rsidRDefault="00454A29">
            <w:pPr>
              <w:pStyle w:val="ConsPlusNormal"/>
              <w:jc w:val="center"/>
            </w:pPr>
            <w:r>
              <w:t>х</w:t>
            </w:r>
          </w:p>
        </w:tc>
        <w:tc>
          <w:tcPr>
            <w:tcW w:w="1701" w:type="dxa"/>
            <w:vAlign w:val="center"/>
          </w:tcPr>
          <w:p w14:paraId="09DB513F" w14:textId="77777777" w:rsidR="00454A29" w:rsidRDefault="00454A29">
            <w:pPr>
              <w:pStyle w:val="ConsPlusNormal"/>
              <w:jc w:val="center"/>
            </w:pPr>
            <w:r>
              <w:t>х</w:t>
            </w:r>
          </w:p>
        </w:tc>
        <w:tc>
          <w:tcPr>
            <w:tcW w:w="1701" w:type="dxa"/>
            <w:vAlign w:val="center"/>
          </w:tcPr>
          <w:p w14:paraId="3DC89D80" w14:textId="77777777" w:rsidR="00454A29" w:rsidRDefault="00454A29">
            <w:pPr>
              <w:pStyle w:val="ConsPlusNormal"/>
              <w:jc w:val="center"/>
            </w:pPr>
            <w:r>
              <w:t>х</w:t>
            </w:r>
          </w:p>
        </w:tc>
      </w:tr>
      <w:tr w:rsidR="00454A29" w14:paraId="6DDD4C7A" w14:textId="77777777">
        <w:tc>
          <w:tcPr>
            <w:tcW w:w="964" w:type="dxa"/>
            <w:vMerge/>
          </w:tcPr>
          <w:p w14:paraId="79925A2D" w14:textId="77777777" w:rsidR="00454A29" w:rsidRDefault="00454A29"/>
        </w:tc>
        <w:tc>
          <w:tcPr>
            <w:tcW w:w="2154" w:type="dxa"/>
            <w:vMerge/>
            <w:tcBorders>
              <w:top w:val="nil"/>
            </w:tcBorders>
          </w:tcPr>
          <w:p w14:paraId="7E9A7B43" w14:textId="77777777" w:rsidR="00454A29" w:rsidRDefault="00454A29"/>
        </w:tc>
        <w:tc>
          <w:tcPr>
            <w:tcW w:w="2154" w:type="dxa"/>
            <w:vMerge/>
            <w:tcBorders>
              <w:top w:val="nil"/>
            </w:tcBorders>
          </w:tcPr>
          <w:p w14:paraId="0777B08E" w14:textId="77777777" w:rsidR="00454A29" w:rsidRDefault="00454A29"/>
        </w:tc>
        <w:tc>
          <w:tcPr>
            <w:tcW w:w="2665" w:type="dxa"/>
            <w:vMerge/>
          </w:tcPr>
          <w:p w14:paraId="15BCEAC4" w14:textId="77777777" w:rsidR="00454A29" w:rsidRDefault="00454A29"/>
        </w:tc>
        <w:tc>
          <w:tcPr>
            <w:tcW w:w="2665" w:type="dxa"/>
            <w:vMerge/>
            <w:tcBorders>
              <w:top w:val="nil"/>
            </w:tcBorders>
          </w:tcPr>
          <w:p w14:paraId="0B871701" w14:textId="77777777" w:rsidR="00454A29" w:rsidRDefault="00454A29"/>
        </w:tc>
        <w:tc>
          <w:tcPr>
            <w:tcW w:w="1928" w:type="dxa"/>
            <w:vMerge/>
          </w:tcPr>
          <w:p w14:paraId="588A44DF" w14:textId="77777777" w:rsidR="00454A29" w:rsidRDefault="00454A29"/>
        </w:tc>
        <w:tc>
          <w:tcPr>
            <w:tcW w:w="1644" w:type="dxa"/>
            <w:vMerge/>
          </w:tcPr>
          <w:p w14:paraId="4B81121A" w14:textId="77777777" w:rsidR="00454A29" w:rsidRDefault="00454A29"/>
        </w:tc>
        <w:tc>
          <w:tcPr>
            <w:tcW w:w="2041" w:type="dxa"/>
            <w:vMerge/>
          </w:tcPr>
          <w:p w14:paraId="31A04949" w14:textId="77777777" w:rsidR="00454A29" w:rsidRDefault="00454A29"/>
        </w:tc>
        <w:tc>
          <w:tcPr>
            <w:tcW w:w="2098" w:type="dxa"/>
            <w:vAlign w:val="center"/>
          </w:tcPr>
          <w:p w14:paraId="6D284730" w14:textId="77777777" w:rsidR="00454A29" w:rsidRDefault="00454A29">
            <w:pPr>
              <w:pStyle w:val="ConsPlusNormal"/>
              <w:jc w:val="center"/>
            </w:pPr>
            <w:r>
              <w:t>Государственный бюджет Республики Саха (Якутия)</w:t>
            </w:r>
          </w:p>
        </w:tc>
        <w:tc>
          <w:tcPr>
            <w:tcW w:w="1814" w:type="dxa"/>
            <w:vAlign w:val="center"/>
          </w:tcPr>
          <w:p w14:paraId="3D3FFC31" w14:textId="77777777" w:rsidR="00454A29" w:rsidRDefault="00454A29">
            <w:pPr>
              <w:pStyle w:val="ConsPlusNormal"/>
              <w:jc w:val="center"/>
            </w:pPr>
            <w:r>
              <w:t>х</w:t>
            </w:r>
          </w:p>
        </w:tc>
        <w:tc>
          <w:tcPr>
            <w:tcW w:w="1701" w:type="dxa"/>
            <w:vAlign w:val="center"/>
          </w:tcPr>
          <w:p w14:paraId="5ABAB219" w14:textId="77777777" w:rsidR="00454A29" w:rsidRDefault="00454A29">
            <w:pPr>
              <w:pStyle w:val="ConsPlusNormal"/>
              <w:jc w:val="center"/>
            </w:pPr>
            <w:r>
              <w:t>х</w:t>
            </w:r>
          </w:p>
        </w:tc>
        <w:tc>
          <w:tcPr>
            <w:tcW w:w="1701" w:type="dxa"/>
            <w:vAlign w:val="center"/>
          </w:tcPr>
          <w:p w14:paraId="474F622B" w14:textId="77777777" w:rsidR="00454A29" w:rsidRDefault="00454A29">
            <w:pPr>
              <w:pStyle w:val="ConsPlusNormal"/>
              <w:jc w:val="center"/>
            </w:pPr>
            <w:r>
              <w:t>х</w:t>
            </w:r>
          </w:p>
        </w:tc>
        <w:tc>
          <w:tcPr>
            <w:tcW w:w="1701" w:type="dxa"/>
            <w:vAlign w:val="center"/>
          </w:tcPr>
          <w:p w14:paraId="4B75D37A" w14:textId="77777777" w:rsidR="00454A29" w:rsidRDefault="00454A29">
            <w:pPr>
              <w:pStyle w:val="ConsPlusNormal"/>
              <w:jc w:val="center"/>
            </w:pPr>
            <w:r>
              <w:t>х</w:t>
            </w:r>
          </w:p>
        </w:tc>
        <w:tc>
          <w:tcPr>
            <w:tcW w:w="1701" w:type="dxa"/>
            <w:vAlign w:val="center"/>
          </w:tcPr>
          <w:p w14:paraId="023ED095" w14:textId="77777777" w:rsidR="00454A29" w:rsidRDefault="00454A29">
            <w:pPr>
              <w:pStyle w:val="ConsPlusNormal"/>
              <w:jc w:val="center"/>
            </w:pPr>
            <w:r>
              <w:t>х</w:t>
            </w:r>
          </w:p>
        </w:tc>
        <w:tc>
          <w:tcPr>
            <w:tcW w:w="1701" w:type="dxa"/>
            <w:vAlign w:val="center"/>
          </w:tcPr>
          <w:p w14:paraId="3ED48EC3" w14:textId="77777777" w:rsidR="00454A29" w:rsidRDefault="00454A29">
            <w:pPr>
              <w:pStyle w:val="ConsPlusNormal"/>
              <w:jc w:val="center"/>
            </w:pPr>
            <w:r>
              <w:t>х</w:t>
            </w:r>
          </w:p>
        </w:tc>
        <w:tc>
          <w:tcPr>
            <w:tcW w:w="1701" w:type="dxa"/>
            <w:vAlign w:val="center"/>
          </w:tcPr>
          <w:p w14:paraId="7B75B63D" w14:textId="77777777" w:rsidR="00454A29" w:rsidRDefault="00454A29">
            <w:pPr>
              <w:pStyle w:val="ConsPlusNormal"/>
              <w:jc w:val="center"/>
            </w:pPr>
            <w:r>
              <w:t>х</w:t>
            </w:r>
          </w:p>
        </w:tc>
      </w:tr>
      <w:tr w:rsidR="00454A29" w14:paraId="655C0DBE" w14:textId="77777777">
        <w:tc>
          <w:tcPr>
            <w:tcW w:w="964" w:type="dxa"/>
            <w:vMerge/>
          </w:tcPr>
          <w:p w14:paraId="5DCBCA25" w14:textId="77777777" w:rsidR="00454A29" w:rsidRDefault="00454A29"/>
        </w:tc>
        <w:tc>
          <w:tcPr>
            <w:tcW w:w="2154" w:type="dxa"/>
            <w:vMerge/>
            <w:tcBorders>
              <w:top w:val="nil"/>
            </w:tcBorders>
          </w:tcPr>
          <w:p w14:paraId="6E16E7F2" w14:textId="77777777" w:rsidR="00454A29" w:rsidRDefault="00454A29"/>
        </w:tc>
        <w:tc>
          <w:tcPr>
            <w:tcW w:w="2154" w:type="dxa"/>
            <w:vMerge/>
            <w:tcBorders>
              <w:top w:val="nil"/>
            </w:tcBorders>
          </w:tcPr>
          <w:p w14:paraId="7FCD2E70" w14:textId="77777777" w:rsidR="00454A29" w:rsidRDefault="00454A29"/>
        </w:tc>
        <w:tc>
          <w:tcPr>
            <w:tcW w:w="2665" w:type="dxa"/>
            <w:vMerge/>
          </w:tcPr>
          <w:p w14:paraId="7D7B84E1" w14:textId="77777777" w:rsidR="00454A29" w:rsidRDefault="00454A29"/>
        </w:tc>
        <w:tc>
          <w:tcPr>
            <w:tcW w:w="2665" w:type="dxa"/>
            <w:vMerge/>
            <w:tcBorders>
              <w:top w:val="nil"/>
            </w:tcBorders>
          </w:tcPr>
          <w:p w14:paraId="06A5B83C" w14:textId="77777777" w:rsidR="00454A29" w:rsidRDefault="00454A29"/>
        </w:tc>
        <w:tc>
          <w:tcPr>
            <w:tcW w:w="1928" w:type="dxa"/>
            <w:vMerge/>
          </w:tcPr>
          <w:p w14:paraId="1E997917" w14:textId="77777777" w:rsidR="00454A29" w:rsidRDefault="00454A29"/>
        </w:tc>
        <w:tc>
          <w:tcPr>
            <w:tcW w:w="1644" w:type="dxa"/>
            <w:vMerge/>
          </w:tcPr>
          <w:p w14:paraId="00C7300A" w14:textId="77777777" w:rsidR="00454A29" w:rsidRDefault="00454A29"/>
        </w:tc>
        <w:tc>
          <w:tcPr>
            <w:tcW w:w="2041" w:type="dxa"/>
            <w:vMerge/>
          </w:tcPr>
          <w:p w14:paraId="748AAA73" w14:textId="77777777" w:rsidR="00454A29" w:rsidRDefault="00454A29"/>
        </w:tc>
        <w:tc>
          <w:tcPr>
            <w:tcW w:w="2098" w:type="dxa"/>
            <w:vAlign w:val="center"/>
          </w:tcPr>
          <w:p w14:paraId="06B9EE2D" w14:textId="77777777" w:rsidR="00454A29" w:rsidRDefault="00454A29">
            <w:pPr>
              <w:pStyle w:val="ConsPlusNormal"/>
              <w:jc w:val="center"/>
            </w:pPr>
            <w:r>
              <w:t>Федеральный бюджет</w:t>
            </w:r>
          </w:p>
        </w:tc>
        <w:tc>
          <w:tcPr>
            <w:tcW w:w="1814" w:type="dxa"/>
            <w:vAlign w:val="center"/>
          </w:tcPr>
          <w:p w14:paraId="25F2DEAF" w14:textId="77777777" w:rsidR="00454A29" w:rsidRDefault="00454A29">
            <w:pPr>
              <w:pStyle w:val="ConsPlusNormal"/>
              <w:jc w:val="center"/>
            </w:pPr>
            <w:r>
              <w:t>х</w:t>
            </w:r>
          </w:p>
        </w:tc>
        <w:tc>
          <w:tcPr>
            <w:tcW w:w="1701" w:type="dxa"/>
            <w:vAlign w:val="center"/>
          </w:tcPr>
          <w:p w14:paraId="7155AB19" w14:textId="77777777" w:rsidR="00454A29" w:rsidRDefault="00454A29">
            <w:pPr>
              <w:pStyle w:val="ConsPlusNormal"/>
              <w:jc w:val="center"/>
            </w:pPr>
            <w:r>
              <w:t>х</w:t>
            </w:r>
          </w:p>
        </w:tc>
        <w:tc>
          <w:tcPr>
            <w:tcW w:w="1701" w:type="dxa"/>
            <w:vAlign w:val="center"/>
          </w:tcPr>
          <w:p w14:paraId="7E91E1E1" w14:textId="77777777" w:rsidR="00454A29" w:rsidRDefault="00454A29">
            <w:pPr>
              <w:pStyle w:val="ConsPlusNormal"/>
              <w:jc w:val="center"/>
            </w:pPr>
            <w:r>
              <w:t>х</w:t>
            </w:r>
          </w:p>
        </w:tc>
        <w:tc>
          <w:tcPr>
            <w:tcW w:w="1701" w:type="dxa"/>
            <w:vAlign w:val="center"/>
          </w:tcPr>
          <w:p w14:paraId="3D93620F" w14:textId="77777777" w:rsidR="00454A29" w:rsidRDefault="00454A29">
            <w:pPr>
              <w:pStyle w:val="ConsPlusNormal"/>
              <w:jc w:val="center"/>
            </w:pPr>
            <w:r>
              <w:t>х</w:t>
            </w:r>
          </w:p>
        </w:tc>
        <w:tc>
          <w:tcPr>
            <w:tcW w:w="1701" w:type="dxa"/>
            <w:vAlign w:val="center"/>
          </w:tcPr>
          <w:p w14:paraId="5A25B3E3" w14:textId="77777777" w:rsidR="00454A29" w:rsidRDefault="00454A29">
            <w:pPr>
              <w:pStyle w:val="ConsPlusNormal"/>
              <w:jc w:val="center"/>
            </w:pPr>
            <w:r>
              <w:t>х</w:t>
            </w:r>
          </w:p>
        </w:tc>
        <w:tc>
          <w:tcPr>
            <w:tcW w:w="1701" w:type="dxa"/>
            <w:vAlign w:val="center"/>
          </w:tcPr>
          <w:p w14:paraId="7372EE84" w14:textId="77777777" w:rsidR="00454A29" w:rsidRDefault="00454A29">
            <w:pPr>
              <w:pStyle w:val="ConsPlusNormal"/>
              <w:jc w:val="center"/>
            </w:pPr>
            <w:r>
              <w:t>х</w:t>
            </w:r>
          </w:p>
        </w:tc>
        <w:tc>
          <w:tcPr>
            <w:tcW w:w="1701" w:type="dxa"/>
            <w:vAlign w:val="center"/>
          </w:tcPr>
          <w:p w14:paraId="1B35431A" w14:textId="77777777" w:rsidR="00454A29" w:rsidRDefault="00454A29">
            <w:pPr>
              <w:pStyle w:val="ConsPlusNormal"/>
              <w:jc w:val="center"/>
            </w:pPr>
            <w:r>
              <w:t>х</w:t>
            </w:r>
          </w:p>
        </w:tc>
      </w:tr>
      <w:tr w:rsidR="00454A29" w14:paraId="79702DE0" w14:textId="77777777">
        <w:tc>
          <w:tcPr>
            <w:tcW w:w="964" w:type="dxa"/>
            <w:vMerge/>
          </w:tcPr>
          <w:p w14:paraId="17880EF0" w14:textId="77777777" w:rsidR="00454A29" w:rsidRDefault="00454A29"/>
        </w:tc>
        <w:tc>
          <w:tcPr>
            <w:tcW w:w="2154" w:type="dxa"/>
            <w:vMerge/>
            <w:tcBorders>
              <w:top w:val="nil"/>
            </w:tcBorders>
          </w:tcPr>
          <w:p w14:paraId="59B1C9A7" w14:textId="77777777" w:rsidR="00454A29" w:rsidRDefault="00454A29"/>
        </w:tc>
        <w:tc>
          <w:tcPr>
            <w:tcW w:w="2154" w:type="dxa"/>
            <w:vMerge/>
            <w:tcBorders>
              <w:top w:val="nil"/>
            </w:tcBorders>
          </w:tcPr>
          <w:p w14:paraId="1491FBEA" w14:textId="77777777" w:rsidR="00454A29" w:rsidRDefault="00454A29"/>
        </w:tc>
        <w:tc>
          <w:tcPr>
            <w:tcW w:w="2665" w:type="dxa"/>
            <w:vMerge/>
          </w:tcPr>
          <w:p w14:paraId="3F79F73B" w14:textId="77777777" w:rsidR="00454A29" w:rsidRDefault="00454A29"/>
        </w:tc>
        <w:tc>
          <w:tcPr>
            <w:tcW w:w="2665" w:type="dxa"/>
            <w:vMerge/>
            <w:tcBorders>
              <w:top w:val="nil"/>
            </w:tcBorders>
          </w:tcPr>
          <w:p w14:paraId="450E6741" w14:textId="77777777" w:rsidR="00454A29" w:rsidRDefault="00454A29"/>
        </w:tc>
        <w:tc>
          <w:tcPr>
            <w:tcW w:w="1928" w:type="dxa"/>
            <w:vMerge/>
          </w:tcPr>
          <w:p w14:paraId="549BF3C4" w14:textId="77777777" w:rsidR="00454A29" w:rsidRDefault="00454A29"/>
        </w:tc>
        <w:tc>
          <w:tcPr>
            <w:tcW w:w="1644" w:type="dxa"/>
            <w:vMerge/>
          </w:tcPr>
          <w:p w14:paraId="7DE38728" w14:textId="77777777" w:rsidR="00454A29" w:rsidRDefault="00454A29"/>
        </w:tc>
        <w:tc>
          <w:tcPr>
            <w:tcW w:w="2041" w:type="dxa"/>
            <w:vMerge/>
          </w:tcPr>
          <w:p w14:paraId="1CC50B62" w14:textId="77777777" w:rsidR="00454A29" w:rsidRDefault="00454A29"/>
        </w:tc>
        <w:tc>
          <w:tcPr>
            <w:tcW w:w="2098" w:type="dxa"/>
            <w:vAlign w:val="center"/>
          </w:tcPr>
          <w:p w14:paraId="4E528033" w14:textId="77777777" w:rsidR="00454A29" w:rsidRDefault="00454A29">
            <w:pPr>
              <w:pStyle w:val="ConsPlusNormal"/>
              <w:jc w:val="center"/>
            </w:pPr>
            <w:r>
              <w:t>Местные бюджеты</w:t>
            </w:r>
          </w:p>
        </w:tc>
        <w:tc>
          <w:tcPr>
            <w:tcW w:w="1814" w:type="dxa"/>
            <w:vAlign w:val="center"/>
          </w:tcPr>
          <w:p w14:paraId="4E0CF6F3" w14:textId="77777777" w:rsidR="00454A29" w:rsidRDefault="00454A29">
            <w:pPr>
              <w:pStyle w:val="ConsPlusNormal"/>
              <w:jc w:val="center"/>
            </w:pPr>
            <w:r>
              <w:t>х</w:t>
            </w:r>
          </w:p>
        </w:tc>
        <w:tc>
          <w:tcPr>
            <w:tcW w:w="1701" w:type="dxa"/>
            <w:vAlign w:val="center"/>
          </w:tcPr>
          <w:p w14:paraId="626A9A9F" w14:textId="77777777" w:rsidR="00454A29" w:rsidRDefault="00454A29">
            <w:pPr>
              <w:pStyle w:val="ConsPlusNormal"/>
              <w:jc w:val="center"/>
            </w:pPr>
            <w:r>
              <w:t>х</w:t>
            </w:r>
          </w:p>
        </w:tc>
        <w:tc>
          <w:tcPr>
            <w:tcW w:w="1701" w:type="dxa"/>
            <w:vAlign w:val="center"/>
          </w:tcPr>
          <w:p w14:paraId="2EBAB781" w14:textId="77777777" w:rsidR="00454A29" w:rsidRDefault="00454A29">
            <w:pPr>
              <w:pStyle w:val="ConsPlusNormal"/>
              <w:jc w:val="center"/>
            </w:pPr>
            <w:r>
              <w:t>х</w:t>
            </w:r>
          </w:p>
        </w:tc>
        <w:tc>
          <w:tcPr>
            <w:tcW w:w="1701" w:type="dxa"/>
            <w:vAlign w:val="center"/>
          </w:tcPr>
          <w:p w14:paraId="4C1E9F5D" w14:textId="77777777" w:rsidR="00454A29" w:rsidRDefault="00454A29">
            <w:pPr>
              <w:pStyle w:val="ConsPlusNormal"/>
              <w:jc w:val="center"/>
            </w:pPr>
            <w:r>
              <w:t>х</w:t>
            </w:r>
          </w:p>
        </w:tc>
        <w:tc>
          <w:tcPr>
            <w:tcW w:w="1701" w:type="dxa"/>
            <w:vAlign w:val="center"/>
          </w:tcPr>
          <w:p w14:paraId="4DD481E9" w14:textId="77777777" w:rsidR="00454A29" w:rsidRDefault="00454A29">
            <w:pPr>
              <w:pStyle w:val="ConsPlusNormal"/>
              <w:jc w:val="center"/>
            </w:pPr>
            <w:r>
              <w:t>х</w:t>
            </w:r>
          </w:p>
        </w:tc>
        <w:tc>
          <w:tcPr>
            <w:tcW w:w="1701" w:type="dxa"/>
            <w:vAlign w:val="center"/>
          </w:tcPr>
          <w:p w14:paraId="6C889A4A" w14:textId="77777777" w:rsidR="00454A29" w:rsidRDefault="00454A29">
            <w:pPr>
              <w:pStyle w:val="ConsPlusNormal"/>
              <w:jc w:val="center"/>
            </w:pPr>
            <w:r>
              <w:t>х</w:t>
            </w:r>
          </w:p>
        </w:tc>
        <w:tc>
          <w:tcPr>
            <w:tcW w:w="1701" w:type="dxa"/>
            <w:vAlign w:val="center"/>
          </w:tcPr>
          <w:p w14:paraId="4F93F022" w14:textId="77777777" w:rsidR="00454A29" w:rsidRDefault="00454A29">
            <w:pPr>
              <w:pStyle w:val="ConsPlusNormal"/>
              <w:jc w:val="center"/>
            </w:pPr>
            <w:r>
              <w:t>х</w:t>
            </w:r>
          </w:p>
        </w:tc>
      </w:tr>
      <w:tr w:rsidR="00454A29" w14:paraId="1E364378" w14:textId="77777777">
        <w:tc>
          <w:tcPr>
            <w:tcW w:w="964" w:type="dxa"/>
            <w:vMerge/>
          </w:tcPr>
          <w:p w14:paraId="5F9CEF4C" w14:textId="77777777" w:rsidR="00454A29" w:rsidRDefault="00454A29"/>
        </w:tc>
        <w:tc>
          <w:tcPr>
            <w:tcW w:w="2154" w:type="dxa"/>
            <w:vMerge/>
            <w:tcBorders>
              <w:top w:val="nil"/>
            </w:tcBorders>
          </w:tcPr>
          <w:p w14:paraId="22951971" w14:textId="77777777" w:rsidR="00454A29" w:rsidRDefault="00454A29"/>
        </w:tc>
        <w:tc>
          <w:tcPr>
            <w:tcW w:w="2154" w:type="dxa"/>
            <w:vMerge/>
            <w:tcBorders>
              <w:top w:val="nil"/>
            </w:tcBorders>
          </w:tcPr>
          <w:p w14:paraId="4CFDCDEE" w14:textId="77777777" w:rsidR="00454A29" w:rsidRDefault="00454A29"/>
        </w:tc>
        <w:tc>
          <w:tcPr>
            <w:tcW w:w="2665" w:type="dxa"/>
            <w:vMerge/>
          </w:tcPr>
          <w:p w14:paraId="3FD2010C" w14:textId="77777777" w:rsidR="00454A29" w:rsidRDefault="00454A29"/>
        </w:tc>
        <w:tc>
          <w:tcPr>
            <w:tcW w:w="2665" w:type="dxa"/>
            <w:vMerge/>
            <w:tcBorders>
              <w:top w:val="nil"/>
            </w:tcBorders>
          </w:tcPr>
          <w:p w14:paraId="767EFE2D" w14:textId="77777777" w:rsidR="00454A29" w:rsidRDefault="00454A29"/>
        </w:tc>
        <w:tc>
          <w:tcPr>
            <w:tcW w:w="1928" w:type="dxa"/>
            <w:vMerge/>
          </w:tcPr>
          <w:p w14:paraId="00E9F5DE" w14:textId="77777777" w:rsidR="00454A29" w:rsidRDefault="00454A29"/>
        </w:tc>
        <w:tc>
          <w:tcPr>
            <w:tcW w:w="1644" w:type="dxa"/>
            <w:vMerge/>
          </w:tcPr>
          <w:p w14:paraId="2A8A0052" w14:textId="77777777" w:rsidR="00454A29" w:rsidRDefault="00454A29"/>
        </w:tc>
        <w:tc>
          <w:tcPr>
            <w:tcW w:w="2041" w:type="dxa"/>
            <w:vMerge/>
          </w:tcPr>
          <w:p w14:paraId="0B3B05E3" w14:textId="77777777" w:rsidR="00454A29" w:rsidRDefault="00454A29"/>
        </w:tc>
        <w:tc>
          <w:tcPr>
            <w:tcW w:w="2098" w:type="dxa"/>
            <w:vAlign w:val="center"/>
          </w:tcPr>
          <w:p w14:paraId="725D8800" w14:textId="77777777" w:rsidR="00454A29" w:rsidRDefault="00454A29">
            <w:pPr>
              <w:pStyle w:val="ConsPlusNormal"/>
              <w:jc w:val="center"/>
            </w:pPr>
            <w:r>
              <w:t>Внебюджетные средства</w:t>
            </w:r>
          </w:p>
        </w:tc>
        <w:tc>
          <w:tcPr>
            <w:tcW w:w="1814" w:type="dxa"/>
            <w:vAlign w:val="center"/>
          </w:tcPr>
          <w:p w14:paraId="093768D8" w14:textId="77777777" w:rsidR="00454A29" w:rsidRDefault="00454A29">
            <w:pPr>
              <w:pStyle w:val="ConsPlusNormal"/>
              <w:jc w:val="center"/>
            </w:pPr>
            <w:r>
              <w:t>х</w:t>
            </w:r>
          </w:p>
        </w:tc>
        <w:tc>
          <w:tcPr>
            <w:tcW w:w="1701" w:type="dxa"/>
            <w:vAlign w:val="center"/>
          </w:tcPr>
          <w:p w14:paraId="2DBDD381" w14:textId="77777777" w:rsidR="00454A29" w:rsidRDefault="00454A29">
            <w:pPr>
              <w:pStyle w:val="ConsPlusNormal"/>
              <w:jc w:val="center"/>
            </w:pPr>
            <w:r>
              <w:t>х</w:t>
            </w:r>
          </w:p>
        </w:tc>
        <w:tc>
          <w:tcPr>
            <w:tcW w:w="1701" w:type="dxa"/>
            <w:vAlign w:val="center"/>
          </w:tcPr>
          <w:p w14:paraId="6667B5B5" w14:textId="77777777" w:rsidR="00454A29" w:rsidRDefault="00454A29">
            <w:pPr>
              <w:pStyle w:val="ConsPlusNormal"/>
              <w:jc w:val="center"/>
            </w:pPr>
            <w:r>
              <w:t>х</w:t>
            </w:r>
          </w:p>
        </w:tc>
        <w:tc>
          <w:tcPr>
            <w:tcW w:w="1701" w:type="dxa"/>
            <w:vAlign w:val="center"/>
          </w:tcPr>
          <w:p w14:paraId="33B2C349" w14:textId="77777777" w:rsidR="00454A29" w:rsidRDefault="00454A29">
            <w:pPr>
              <w:pStyle w:val="ConsPlusNormal"/>
              <w:jc w:val="center"/>
            </w:pPr>
            <w:r>
              <w:t>х</w:t>
            </w:r>
          </w:p>
        </w:tc>
        <w:tc>
          <w:tcPr>
            <w:tcW w:w="1701" w:type="dxa"/>
            <w:vAlign w:val="center"/>
          </w:tcPr>
          <w:p w14:paraId="6BFA9BE3" w14:textId="77777777" w:rsidR="00454A29" w:rsidRDefault="00454A29">
            <w:pPr>
              <w:pStyle w:val="ConsPlusNormal"/>
              <w:jc w:val="center"/>
            </w:pPr>
            <w:r>
              <w:t>х</w:t>
            </w:r>
          </w:p>
        </w:tc>
        <w:tc>
          <w:tcPr>
            <w:tcW w:w="1701" w:type="dxa"/>
            <w:vAlign w:val="center"/>
          </w:tcPr>
          <w:p w14:paraId="083B418A" w14:textId="77777777" w:rsidR="00454A29" w:rsidRDefault="00454A29">
            <w:pPr>
              <w:pStyle w:val="ConsPlusNormal"/>
              <w:jc w:val="center"/>
            </w:pPr>
            <w:r>
              <w:t>х</w:t>
            </w:r>
          </w:p>
        </w:tc>
        <w:tc>
          <w:tcPr>
            <w:tcW w:w="1701" w:type="dxa"/>
            <w:vAlign w:val="center"/>
          </w:tcPr>
          <w:p w14:paraId="644DF82A" w14:textId="77777777" w:rsidR="00454A29" w:rsidRDefault="00454A29">
            <w:pPr>
              <w:pStyle w:val="ConsPlusNormal"/>
              <w:jc w:val="center"/>
            </w:pPr>
            <w:r>
              <w:t>х</w:t>
            </w:r>
          </w:p>
        </w:tc>
      </w:tr>
    </w:tbl>
    <w:p w14:paraId="22C70EC3" w14:textId="77777777" w:rsidR="00454A29" w:rsidRDefault="00454A29">
      <w:pPr>
        <w:sectPr w:rsidR="00454A29">
          <w:pgSz w:w="16838" w:h="11905" w:orient="landscape"/>
          <w:pgMar w:top="1701" w:right="1134" w:bottom="850" w:left="1134" w:header="0" w:footer="0" w:gutter="0"/>
          <w:cols w:space="720"/>
        </w:sectPr>
      </w:pPr>
    </w:p>
    <w:p w14:paraId="498E2335" w14:textId="77777777" w:rsidR="00454A29" w:rsidRDefault="00454A29">
      <w:pPr>
        <w:pStyle w:val="ConsPlusNormal"/>
      </w:pPr>
    </w:p>
    <w:p w14:paraId="6CE99652" w14:textId="77777777" w:rsidR="00454A29" w:rsidRDefault="00454A29">
      <w:pPr>
        <w:pStyle w:val="ConsPlusNormal"/>
      </w:pPr>
    </w:p>
    <w:p w14:paraId="5838C179" w14:textId="77777777" w:rsidR="00454A29" w:rsidRDefault="00454A29">
      <w:pPr>
        <w:pStyle w:val="ConsPlusNormal"/>
      </w:pPr>
    </w:p>
    <w:p w14:paraId="14631833" w14:textId="77777777" w:rsidR="00454A29" w:rsidRDefault="00454A29">
      <w:pPr>
        <w:pStyle w:val="ConsPlusNormal"/>
      </w:pPr>
    </w:p>
    <w:p w14:paraId="38A41CD1" w14:textId="77777777" w:rsidR="00454A29" w:rsidRDefault="00454A29">
      <w:pPr>
        <w:pStyle w:val="ConsPlusNormal"/>
      </w:pPr>
    </w:p>
    <w:p w14:paraId="0AF251ED" w14:textId="77777777" w:rsidR="00454A29" w:rsidRDefault="00454A29">
      <w:pPr>
        <w:pStyle w:val="ConsPlusNormal"/>
        <w:jc w:val="right"/>
        <w:outlineLvl w:val="1"/>
      </w:pPr>
      <w:r>
        <w:t>Приложение N 5</w:t>
      </w:r>
    </w:p>
    <w:p w14:paraId="0D3D95F7" w14:textId="77777777" w:rsidR="00454A29" w:rsidRDefault="00454A29">
      <w:pPr>
        <w:pStyle w:val="ConsPlusNormal"/>
        <w:jc w:val="right"/>
      </w:pPr>
      <w:r>
        <w:t>к государственной программе</w:t>
      </w:r>
    </w:p>
    <w:p w14:paraId="0EAEE64C" w14:textId="77777777" w:rsidR="00454A29" w:rsidRDefault="00454A29">
      <w:pPr>
        <w:pStyle w:val="ConsPlusNormal"/>
        <w:jc w:val="right"/>
      </w:pPr>
      <w:r>
        <w:t>Республики Саха (Якутия)</w:t>
      </w:r>
    </w:p>
    <w:p w14:paraId="66C5A29C" w14:textId="77777777" w:rsidR="00454A29" w:rsidRDefault="00454A29">
      <w:pPr>
        <w:pStyle w:val="ConsPlusNormal"/>
        <w:jc w:val="right"/>
      </w:pPr>
      <w:r>
        <w:t>"Развитие образования</w:t>
      </w:r>
    </w:p>
    <w:p w14:paraId="46FC32EF" w14:textId="77777777" w:rsidR="00454A29" w:rsidRDefault="00454A29">
      <w:pPr>
        <w:pStyle w:val="ConsPlusNormal"/>
        <w:jc w:val="right"/>
      </w:pPr>
      <w:r>
        <w:t>Республики Саха (Якутия)</w:t>
      </w:r>
    </w:p>
    <w:p w14:paraId="543AC2C1" w14:textId="77777777" w:rsidR="00454A29" w:rsidRDefault="00454A29">
      <w:pPr>
        <w:pStyle w:val="ConsPlusNormal"/>
        <w:jc w:val="right"/>
      </w:pPr>
      <w:r>
        <w:t>на 2020 - 2024 годы и на плановый</w:t>
      </w:r>
    </w:p>
    <w:p w14:paraId="6D4E4E56" w14:textId="77777777" w:rsidR="00454A29" w:rsidRDefault="00454A29">
      <w:pPr>
        <w:pStyle w:val="ConsPlusNormal"/>
        <w:jc w:val="right"/>
      </w:pPr>
      <w:r>
        <w:t>период до 2026 года"</w:t>
      </w:r>
    </w:p>
    <w:p w14:paraId="70202C7B" w14:textId="77777777" w:rsidR="00454A29" w:rsidRDefault="00454A29">
      <w:pPr>
        <w:pStyle w:val="ConsPlusNormal"/>
      </w:pPr>
    </w:p>
    <w:p w14:paraId="1D57529D" w14:textId="77777777" w:rsidR="00454A29" w:rsidRDefault="00454A29">
      <w:pPr>
        <w:pStyle w:val="ConsPlusTitle"/>
        <w:jc w:val="center"/>
      </w:pPr>
      <w:bookmarkStart w:id="6" w:name="P32014"/>
      <w:bookmarkEnd w:id="6"/>
      <w:r>
        <w:t>НАПРАВЛЕНИЯ И ПАРАМЕТРЫ</w:t>
      </w:r>
    </w:p>
    <w:p w14:paraId="3A09021D" w14:textId="77777777" w:rsidR="00454A29" w:rsidRDefault="00454A29">
      <w:pPr>
        <w:pStyle w:val="ConsPlusTitle"/>
        <w:jc w:val="center"/>
      </w:pPr>
      <w:r>
        <w:t>РЕАЛИЗАЦИИ АРКТИЧЕСКОГО РАЗДЕЛА ГОСУДАРСТВЕННОЙ ПРОГРАММЫ</w:t>
      </w:r>
    </w:p>
    <w:p w14:paraId="06A2EB67" w14:textId="77777777" w:rsidR="00454A29" w:rsidRDefault="00454A29">
      <w:pPr>
        <w:pStyle w:val="ConsPlusTitle"/>
        <w:jc w:val="center"/>
      </w:pPr>
      <w:r>
        <w:t>РЕСПУБЛИКИ САХА (ЯКУТИЯ) "РАЗВИТИЕ ОБРАЗОВАНИЯ</w:t>
      </w:r>
    </w:p>
    <w:p w14:paraId="332D923B" w14:textId="77777777" w:rsidR="00454A29" w:rsidRDefault="00454A29">
      <w:pPr>
        <w:pStyle w:val="ConsPlusTitle"/>
        <w:jc w:val="center"/>
      </w:pPr>
      <w:r>
        <w:t>РЕСПУБЛИКИ САХА (ЯКУТИЯ) НА 2020 - 2024 ГОДЫ</w:t>
      </w:r>
    </w:p>
    <w:p w14:paraId="764FA3AB" w14:textId="77777777" w:rsidR="00454A29" w:rsidRDefault="00454A29">
      <w:pPr>
        <w:pStyle w:val="ConsPlusTitle"/>
        <w:jc w:val="center"/>
      </w:pPr>
      <w:r>
        <w:t>И НА ПЛАНОВЫЙ ПЕРИОД ДО 2026 ГОДА"</w:t>
      </w:r>
    </w:p>
    <w:p w14:paraId="6846C6D6"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2268"/>
        <w:gridCol w:w="2665"/>
        <w:gridCol w:w="3061"/>
        <w:gridCol w:w="1247"/>
        <w:gridCol w:w="1247"/>
        <w:gridCol w:w="1247"/>
        <w:gridCol w:w="1247"/>
        <w:gridCol w:w="1247"/>
        <w:gridCol w:w="2041"/>
        <w:gridCol w:w="2778"/>
        <w:gridCol w:w="1304"/>
        <w:gridCol w:w="960"/>
        <w:gridCol w:w="960"/>
        <w:gridCol w:w="960"/>
        <w:gridCol w:w="960"/>
        <w:gridCol w:w="960"/>
      </w:tblGrid>
      <w:tr w:rsidR="00454A29" w14:paraId="0B6E58BB" w14:textId="77777777">
        <w:tc>
          <w:tcPr>
            <w:tcW w:w="640" w:type="dxa"/>
            <w:vMerge w:val="restart"/>
            <w:vAlign w:val="center"/>
          </w:tcPr>
          <w:p w14:paraId="7E46F959" w14:textId="77777777" w:rsidR="00454A29" w:rsidRDefault="00454A29">
            <w:pPr>
              <w:pStyle w:val="ConsPlusNormal"/>
              <w:jc w:val="center"/>
            </w:pPr>
            <w:r>
              <w:t>N</w:t>
            </w:r>
          </w:p>
        </w:tc>
        <w:tc>
          <w:tcPr>
            <w:tcW w:w="2268" w:type="dxa"/>
            <w:vMerge w:val="restart"/>
            <w:vAlign w:val="center"/>
          </w:tcPr>
          <w:p w14:paraId="03D8C3F8" w14:textId="77777777" w:rsidR="00454A29" w:rsidRDefault="00454A29">
            <w:pPr>
              <w:pStyle w:val="ConsPlusNormal"/>
              <w:jc w:val="center"/>
            </w:pPr>
            <w:r>
              <w:t>Статус</w:t>
            </w:r>
          </w:p>
        </w:tc>
        <w:tc>
          <w:tcPr>
            <w:tcW w:w="2665" w:type="dxa"/>
            <w:vMerge w:val="restart"/>
            <w:vAlign w:val="center"/>
          </w:tcPr>
          <w:p w14:paraId="2DE2C5A8" w14:textId="77777777" w:rsidR="00454A29" w:rsidRDefault="00454A29">
            <w:pPr>
              <w:pStyle w:val="ConsPlusNormal"/>
              <w:jc w:val="center"/>
            </w:pPr>
            <w:r>
              <w:t>Наименование государственной программы, мероприятия</w:t>
            </w:r>
          </w:p>
        </w:tc>
        <w:tc>
          <w:tcPr>
            <w:tcW w:w="3061" w:type="dxa"/>
            <w:vMerge w:val="restart"/>
            <w:vAlign w:val="center"/>
          </w:tcPr>
          <w:p w14:paraId="6FC57939" w14:textId="77777777" w:rsidR="00454A29" w:rsidRDefault="00454A29">
            <w:pPr>
              <w:pStyle w:val="ConsPlusNormal"/>
              <w:jc w:val="center"/>
            </w:pPr>
            <w:r>
              <w:t>Источник финансового обеспечения, тыс. руб.</w:t>
            </w:r>
          </w:p>
        </w:tc>
        <w:tc>
          <w:tcPr>
            <w:tcW w:w="6235" w:type="dxa"/>
            <w:gridSpan w:val="5"/>
            <w:vMerge w:val="restart"/>
            <w:vAlign w:val="center"/>
          </w:tcPr>
          <w:p w14:paraId="05C86C95" w14:textId="77777777" w:rsidR="00454A29" w:rsidRDefault="00454A29">
            <w:pPr>
              <w:pStyle w:val="ConsPlusNormal"/>
              <w:jc w:val="center"/>
            </w:pPr>
            <w:r>
              <w:t>Объем расходов</w:t>
            </w:r>
          </w:p>
        </w:tc>
        <w:tc>
          <w:tcPr>
            <w:tcW w:w="2041" w:type="dxa"/>
            <w:vMerge w:val="restart"/>
            <w:vAlign w:val="center"/>
          </w:tcPr>
          <w:p w14:paraId="74FA40C1" w14:textId="77777777" w:rsidR="00454A29" w:rsidRDefault="00454A29">
            <w:pPr>
              <w:pStyle w:val="ConsPlusNormal"/>
              <w:jc w:val="center"/>
            </w:pPr>
            <w:r>
              <w:t>Ответственный исполнитель, соисполнитель, участник</w:t>
            </w:r>
          </w:p>
        </w:tc>
        <w:tc>
          <w:tcPr>
            <w:tcW w:w="8882" w:type="dxa"/>
            <w:gridSpan w:val="7"/>
            <w:vAlign w:val="center"/>
          </w:tcPr>
          <w:p w14:paraId="3F9327E5" w14:textId="77777777" w:rsidR="00454A29" w:rsidRDefault="00454A29">
            <w:pPr>
              <w:pStyle w:val="ConsPlusNormal"/>
              <w:jc w:val="center"/>
            </w:pPr>
            <w:r>
              <w:t>Индикаторы</w:t>
            </w:r>
          </w:p>
        </w:tc>
      </w:tr>
      <w:tr w:rsidR="00454A29" w14:paraId="0B68F6A0" w14:textId="77777777">
        <w:trPr>
          <w:trHeight w:val="450"/>
        </w:trPr>
        <w:tc>
          <w:tcPr>
            <w:tcW w:w="640" w:type="dxa"/>
            <w:vMerge/>
          </w:tcPr>
          <w:p w14:paraId="234EBDED" w14:textId="77777777" w:rsidR="00454A29" w:rsidRDefault="00454A29"/>
        </w:tc>
        <w:tc>
          <w:tcPr>
            <w:tcW w:w="2268" w:type="dxa"/>
            <w:vMerge/>
          </w:tcPr>
          <w:p w14:paraId="1ED8E539" w14:textId="77777777" w:rsidR="00454A29" w:rsidRDefault="00454A29"/>
        </w:tc>
        <w:tc>
          <w:tcPr>
            <w:tcW w:w="2665" w:type="dxa"/>
            <w:vMerge/>
          </w:tcPr>
          <w:p w14:paraId="01DE710F" w14:textId="77777777" w:rsidR="00454A29" w:rsidRDefault="00454A29"/>
        </w:tc>
        <w:tc>
          <w:tcPr>
            <w:tcW w:w="3061" w:type="dxa"/>
            <w:vMerge/>
          </w:tcPr>
          <w:p w14:paraId="4DA40C83" w14:textId="77777777" w:rsidR="00454A29" w:rsidRDefault="00454A29"/>
        </w:tc>
        <w:tc>
          <w:tcPr>
            <w:tcW w:w="6235" w:type="dxa"/>
            <w:gridSpan w:val="5"/>
            <w:vMerge/>
          </w:tcPr>
          <w:p w14:paraId="2980E30C" w14:textId="77777777" w:rsidR="00454A29" w:rsidRDefault="00454A29"/>
        </w:tc>
        <w:tc>
          <w:tcPr>
            <w:tcW w:w="2041" w:type="dxa"/>
            <w:vMerge/>
          </w:tcPr>
          <w:p w14:paraId="50930B97" w14:textId="77777777" w:rsidR="00454A29" w:rsidRDefault="00454A29"/>
        </w:tc>
        <w:tc>
          <w:tcPr>
            <w:tcW w:w="2778" w:type="dxa"/>
            <w:vMerge w:val="restart"/>
            <w:vAlign w:val="center"/>
          </w:tcPr>
          <w:p w14:paraId="34307D98" w14:textId="77777777" w:rsidR="00454A29" w:rsidRDefault="00454A29">
            <w:pPr>
              <w:pStyle w:val="ConsPlusNormal"/>
              <w:jc w:val="center"/>
            </w:pPr>
            <w:r>
              <w:t>Наименование</w:t>
            </w:r>
          </w:p>
        </w:tc>
        <w:tc>
          <w:tcPr>
            <w:tcW w:w="1304" w:type="dxa"/>
            <w:vMerge w:val="restart"/>
            <w:vAlign w:val="center"/>
          </w:tcPr>
          <w:p w14:paraId="434EEC9C" w14:textId="77777777" w:rsidR="00454A29" w:rsidRDefault="00454A29">
            <w:pPr>
              <w:pStyle w:val="ConsPlusNormal"/>
              <w:jc w:val="center"/>
            </w:pPr>
            <w:r>
              <w:t>Единица измерения</w:t>
            </w:r>
          </w:p>
        </w:tc>
        <w:tc>
          <w:tcPr>
            <w:tcW w:w="4800" w:type="dxa"/>
            <w:gridSpan w:val="5"/>
            <w:vMerge w:val="restart"/>
            <w:vAlign w:val="center"/>
          </w:tcPr>
          <w:p w14:paraId="45D805F2" w14:textId="77777777" w:rsidR="00454A29" w:rsidRDefault="00454A29">
            <w:pPr>
              <w:pStyle w:val="ConsPlusNormal"/>
              <w:jc w:val="center"/>
            </w:pPr>
            <w:r>
              <w:t>в том числе по годам:</w:t>
            </w:r>
          </w:p>
        </w:tc>
      </w:tr>
      <w:tr w:rsidR="00454A29" w14:paraId="29E5FD7E" w14:textId="77777777">
        <w:trPr>
          <w:trHeight w:val="450"/>
        </w:trPr>
        <w:tc>
          <w:tcPr>
            <w:tcW w:w="640" w:type="dxa"/>
            <w:vMerge/>
          </w:tcPr>
          <w:p w14:paraId="54CA0634" w14:textId="77777777" w:rsidR="00454A29" w:rsidRDefault="00454A29"/>
        </w:tc>
        <w:tc>
          <w:tcPr>
            <w:tcW w:w="2268" w:type="dxa"/>
            <w:vMerge/>
          </w:tcPr>
          <w:p w14:paraId="655CEDED" w14:textId="77777777" w:rsidR="00454A29" w:rsidRDefault="00454A29"/>
        </w:tc>
        <w:tc>
          <w:tcPr>
            <w:tcW w:w="2665" w:type="dxa"/>
            <w:vMerge/>
          </w:tcPr>
          <w:p w14:paraId="392092A9" w14:textId="77777777" w:rsidR="00454A29" w:rsidRDefault="00454A29"/>
        </w:tc>
        <w:tc>
          <w:tcPr>
            <w:tcW w:w="3061" w:type="dxa"/>
            <w:vMerge/>
          </w:tcPr>
          <w:p w14:paraId="31A73703" w14:textId="77777777" w:rsidR="00454A29" w:rsidRDefault="00454A29"/>
        </w:tc>
        <w:tc>
          <w:tcPr>
            <w:tcW w:w="1247" w:type="dxa"/>
            <w:vMerge w:val="restart"/>
            <w:vAlign w:val="center"/>
          </w:tcPr>
          <w:p w14:paraId="76F62ADB" w14:textId="77777777" w:rsidR="00454A29" w:rsidRDefault="00454A29">
            <w:pPr>
              <w:pStyle w:val="ConsPlusNormal"/>
              <w:jc w:val="center"/>
            </w:pPr>
            <w:r>
              <w:t>2020</w:t>
            </w:r>
          </w:p>
        </w:tc>
        <w:tc>
          <w:tcPr>
            <w:tcW w:w="1247" w:type="dxa"/>
            <w:vMerge w:val="restart"/>
            <w:vAlign w:val="center"/>
          </w:tcPr>
          <w:p w14:paraId="5CD6F94F" w14:textId="77777777" w:rsidR="00454A29" w:rsidRDefault="00454A29">
            <w:pPr>
              <w:pStyle w:val="ConsPlusNormal"/>
              <w:jc w:val="center"/>
            </w:pPr>
            <w:r>
              <w:t>2021</w:t>
            </w:r>
          </w:p>
        </w:tc>
        <w:tc>
          <w:tcPr>
            <w:tcW w:w="1247" w:type="dxa"/>
            <w:vMerge w:val="restart"/>
            <w:vAlign w:val="center"/>
          </w:tcPr>
          <w:p w14:paraId="3E273F50" w14:textId="77777777" w:rsidR="00454A29" w:rsidRDefault="00454A29">
            <w:pPr>
              <w:pStyle w:val="ConsPlusNormal"/>
              <w:jc w:val="center"/>
            </w:pPr>
            <w:r>
              <w:t>2022</w:t>
            </w:r>
          </w:p>
        </w:tc>
        <w:tc>
          <w:tcPr>
            <w:tcW w:w="1247" w:type="dxa"/>
            <w:vMerge w:val="restart"/>
            <w:vAlign w:val="center"/>
          </w:tcPr>
          <w:p w14:paraId="02B4C452" w14:textId="77777777" w:rsidR="00454A29" w:rsidRDefault="00454A29">
            <w:pPr>
              <w:pStyle w:val="ConsPlusNormal"/>
              <w:jc w:val="center"/>
            </w:pPr>
            <w:r>
              <w:t>2023</w:t>
            </w:r>
          </w:p>
        </w:tc>
        <w:tc>
          <w:tcPr>
            <w:tcW w:w="1247" w:type="dxa"/>
            <w:vMerge w:val="restart"/>
            <w:vAlign w:val="center"/>
          </w:tcPr>
          <w:p w14:paraId="6BDC329C" w14:textId="77777777" w:rsidR="00454A29" w:rsidRDefault="00454A29">
            <w:pPr>
              <w:pStyle w:val="ConsPlusNormal"/>
              <w:jc w:val="center"/>
            </w:pPr>
            <w:r>
              <w:t>2024</w:t>
            </w:r>
          </w:p>
        </w:tc>
        <w:tc>
          <w:tcPr>
            <w:tcW w:w="2041" w:type="dxa"/>
            <w:vMerge/>
          </w:tcPr>
          <w:p w14:paraId="798E8D0C" w14:textId="77777777" w:rsidR="00454A29" w:rsidRDefault="00454A29"/>
        </w:tc>
        <w:tc>
          <w:tcPr>
            <w:tcW w:w="2778" w:type="dxa"/>
            <w:vMerge/>
          </w:tcPr>
          <w:p w14:paraId="6CC5F85F" w14:textId="77777777" w:rsidR="00454A29" w:rsidRDefault="00454A29"/>
        </w:tc>
        <w:tc>
          <w:tcPr>
            <w:tcW w:w="1304" w:type="dxa"/>
            <w:vMerge/>
          </w:tcPr>
          <w:p w14:paraId="01D64DD3" w14:textId="77777777" w:rsidR="00454A29" w:rsidRDefault="00454A29"/>
        </w:tc>
        <w:tc>
          <w:tcPr>
            <w:tcW w:w="4800" w:type="dxa"/>
            <w:gridSpan w:val="5"/>
            <w:vMerge/>
          </w:tcPr>
          <w:p w14:paraId="15744E21" w14:textId="77777777" w:rsidR="00454A29" w:rsidRDefault="00454A29"/>
        </w:tc>
      </w:tr>
      <w:tr w:rsidR="00454A29" w14:paraId="09E77557" w14:textId="77777777">
        <w:tc>
          <w:tcPr>
            <w:tcW w:w="640" w:type="dxa"/>
            <w:vMerge/>
          </w:tcPr>
          <w:p w14:paraId="773A8969" w14:textId="77777777" w:rsidR="00454A29" w:rsidRDefault="00454A29"/>
        </w:tc>
        <w:tc>
          <w:tcPr>
            <w:tcW w:w="2268" w:type="dxa"/>
            <w:vMerge/>
          </w:tcPr>
          <w:p w14:paraId="1BB67BA8" w14:textId="77777777" w:rsidR="00454A29" w:rsidRDefault="00454A29"/>
        </w:tc>
        <w:tc>
          <w:tcPr>
            <w:tcW w:w="2665" w:type="dxa"/>
            <w:vMerge/>
          </w:tcPr>
          <w:p w14:paraId="42B28EE8" w14:textId="77777777" w:rsidR="00454A29" w:rsidRDefault="00454A29"/>
        </w:tc>
        <w:tc>
          <w:tcPr>
            <w:tcW w:w="3061" w:type="dxa"/>
            <w:vMerge/>
          </w:tcPr>
          <w:p w14:paraId="572140EF" w14:textId="77777777" w:rsidR="00454A29" w:rsidRDefault="00454A29"/>
        </w:tc>
        <w:tc>
          <w:tcPr>
            <w:tcW w:w="1247" w:type="dxa"/>
            <w:vMerge/>
          </w:tcPr>
          <w:p w14:paraId="31C4E4D2" w14:textId="77777777" w:rsidR="00454A29" w:rsidRDefault="00454A29"/>
        </w:tc>
        <w:tc>
          <w:tcPr>
            <w:tcW w:w="1247" w:type="dxa"/>
            <w:vMerge/>
          </w:tcPr>
          <w:p w14:paraId="698B1784" w14:textId="77777777" w:rsidR="00454A29" w:rsidRDefault="00454A29"/>
        </w:tc>
        <w:tc>
          <w:tcPr>
            <w:tcW w:w="1247" w:type="dxa"/>
            <w:vMerge/>
          </w:tcPr>
          <w:p w14:paraId="18120AE2" w14:textId="77777777" w:rsidR="00454A29" w:rsidRDefault="00454A29"/>
        </w:tc>
        <w:tc>
          <w:tcPr>
            <w:tcW w:w="1247" w:type="dxa"/>
            <w:vMerge/>
          </w:tcPr>
          <w:p w14:paraId="0738311C" w14:textId="77777777" w:rsidR="00454A29" w:rsidRDefault="00454A29"/>
        </w:tc>
        <w:tc>
          <w:tcPr>
            <w:tcW w:w="1247" w:type="dxa"/>
            <w:vMerge/>
          </w:tcPr>
          <w:p w14:paraId="11C0AAB5" w14:textId="77777777" w:rsidR="00454A29" w:rsidRDefault="00454A29"/>
        </w:tc>
        <w:tc>
          <w:tcPr>
            <w:tcW w:w="2041" w:type="dxa"/>
            <w:vMerge/>
          </w:tcPr>
          <w:p w14:paraId="2761A9B0" w14:textId="77777777" w:rsidR="00454A29" w:rsidRDefault="00454A29"/>
        </w:tc>
        <w:tc>
          <w:tcPr>
            <w:tcW w:w="2778" w:type="dxa"/>
            <w:vMerge/>
          </w:tcPr>
          <w:p w14:paraId="68B786CC" w14:textId="77777777" w:rsidR="00454A29" w:rsidRDefault="00454A29"/>
        </w:tc>
        <w:tc>
          <w:tcPr>
            <w:tcW w:w="1304" w:type="dxa"/>
            <w:vMerge/>
          </w:tcPr>
          <w:p w14:paraId="63BB3359" w14:textId="77777777" w:rsidR="00454A29" w:rsidRDefault="00454A29"/>
        </w:tc>
        <w:tc>
          <w:tcPr>
            <w:tcW w:w="960" w:type="dxa"/>
            <w:vAlign w:val="center"/>
          </w:tcPr>
          <w:p w14:paraId="1FADC51C" w14:textId="77777777" w:rsidR="00454A29" w:rsidRDefault="00454A29">
            <w:pPr>
              <w:pStyle w:val="ConsPlusNormal"/>
              <w:jc w:val="center"/>
            </w:pPr>
            <w:r>
              <w:t>2020</w:t>
            </w:r>
          </w:p>
        </w:tc>
        <w:tc>
          <w:tcPr>
            <w:tcW w:w="960" w:type="dxa"/>
            <w:vAlign w:val="center"/>
          </w:tcPr>
          <w:p w14:paraId="686F8C99" w14:textId="77777777" w:rsidR="00454A29" w:rsidRDefault="00454A29">
            <w:pPr>
              <w:pStyle w:val="ConsPlusNormal"/>
              <w:jc w:val="center"/>
            </w:pPr>
            <w:r>
              <w:t>2021</w:t>
            </w:r>
          </w:p>
        </w:tc>
        <w:tc>
          <w:tcPr>
            <w:tcW w:w="960" w:type="dxa"/>
            <w:vAlign w:val="center"/>
          </w:tcPr>
          <w:p w14:paraId="1A71CA16" w14:textId="77777777" w:rsidR="00454A29" w:rsidRDefault="00454A29">
            <w:pPr>
              <w:pStyle w:val="ConsPlusNormal"/>
              <w:jc w:val="center"/>
            </w:pPr>
            <w:r>
              <w:t>2022</w:t>
            </w:r>
          </w:p>
        </w:tc>
        <w:tc>
          <w:tcPr>
            <w:tcW w:w="960" w:type="dxa"/>
            <w:vAlign w:val="center"/>
          </w:tcPr>
          <w:p w14:paraId="1A62752D" w14:textId="77777777" w:rsidR="00454A29" w:rsidRDefault="00454A29">
            <w:pPr>
              <w:pStyle w:val="ConsPlusNormal"/>
              <w:jc w:val="center"/>
            </w:pPr>
            <w:r>
              <w:t>2023</w:t>
            </w:r>
          </w:p>
        </w:tc>
        <w:tc>
          <w:tcPr>
            <w:tcW w:w="960" w:type="dxa"/>
            <w:vAlign w:val="center"/>
          </w:tcPr>
          <w:p w14:paraId="4E360841" w14:textId="77777777" w:rsidR="00454A29" w:rsidRDefault="00454A29">
            <w:pPr>
              <w:pStyle w:val="ConsPlusNormal"/>
              <w:jc w:val="center"/>
            </w:pPr>
            <w:r>
              <w:t>2024</w:t>
            </w:r>
          </w:p>
        </w:tc>
      </w:tr>
      <w:tr w:rsidR="00454A29" w14:paraId="4CBE740D" w14:textId="77777777">
        <w:tc>
          <w:tcPr>
            <w:tcW w:w="640" w:type="dxa"/>
            <w:vMerge/>
          </w:tcPr>
          <w:p w14:paraId="0F8D4846" w14:textId="77777777" w:rsidR="00454A29" w:rsidRDefault="00454A29"/>
        </w:tc>
        <w:tc>
          <w:tcPr>
            <w:tcW w:w="2268" w:type="dxa"/>
            <w:vMerge/>
          </w:tcPr>
          <w:p w14:paraId="3A1A6BB7" w14:textId="77777777" w:rsidR="00454A29" w:rsidRDefault="00454A29"/>
        </w:tc>
        <w:tc>
          <w:tcPr>
            <w:tcW w:w="2665" w:type="dxa"/>
            <w:vMerge/>
          </w:tcPr>
          <w:p w14:paraId="22A30D7F" w14:textId="77777777" w:rsidR="00454A29" w:rsidRDefault="00454A29"/>
        </w:tc>
        <w:tc>
          <w:tcPr>
            <w:tcW w:w="3061" w:type="dxa"/>
            <w:vMerge/>
          </w:tcPr>
          <w:p w14:paraId="64497596" w14:textId="77777777" w:rsidR="00454A29" w:rsidRDefault="00454A29"/>
        </w:tc>
        <w:tc>
          <w:tcPr>
            <w:tcW w:w="1247" w:type="dxa"/>
            <w:vMerge/>
          </w:tcPr>
          <w:p w14:paraId="7130DB06" w14:textId="77777777" w:rsidR="00454A29" w:rsidRDefault="00454A29"/>
        </w:tc>
        <w:tc>
          <w:tcPr>
            <w:tcW w:w="1247" w:type="dxa"/>
            <w:vMerge/>
          </w:tcPr>
          <w:p w14:paraId="7A4F65B8" w14:textId="77777777" w:rsidR="00454A29" w:rsidRDefault="00454A29"/>
        </w:tc>
        <w:tc>
          <w:tcPr>
            <w:tcW w:w="1247" w:type="dxa"/>
            <w:vMerge/>
          </w:tcPr>
          <w:p w14:paraId="52FE3D74" w14:textId="77777777" w:rsidR="00454A29" w:rsidRDefault="00454A29"/>
        </w:tc>
        <w:tc>
          <w:tcPr>
            <w:tcW w:w="1247" w:type="dxa"/>
            <w:vMerge/>
          </w:tcPr>
          <w:p w14:paraId="7E885D7C" w14:textId="77777777" w:rsidR="00454A29" w:rsidRDefault="00454A29"/>
        </w:tc>
        <w:tc>
          <w:tcPr>
            <w:tcW w:w="1247" w:type="dxa"/>
            <w:vMerge/>
          </w:tcPr>
          <w:p w14:paraId="50774FCA" w14:textId="77777777" w:rsidR="00454A29" w:rsidRDefault="00454A29"/>
        </w:tc>
        <w:tc>
          <w:tcPr>
            <w:tcW w:w="2041" w:type="dxa"/>
            <w:vMerge/>
          </w:tcPr>
          <w:p w14:paraId="0C3CC809" w14:textId="77777777" w:rsidR="00454A29" w:rsidRDefault="00454A29"/>
        </w:tc>
        <w:tc>
          <w:tcPr>
            <w:tcW w:w="2778" w:type="dxa"/>
            <w:vMerge/>
          </w:tcPr>
          <w:p w14:paraId="12D2B7F8" w14:textId="77777777" w:rsidR="00454A29" w:rsidRDefault="00454A29"/>
        </w:tc>
        <w:tc>
          <w:tcPr>
            <w:tcW w:w="1304" w:type="dxa"/>
            <w:vMerge/>
          </w:tcPr>
          <w:p w14:paraId="38E86F80" w14:textId="77777777" w:rsidR="00454A29" w:rsidRDefault="00454A29"/>
        </w:tc>
        <w:tc>
          <w:tcPr>
            <w:tcW w:w="4800" w:type="dxa"/>
            <w:gridSpan w:val="5"/>
            <w:vAlign w:val="center"/>
          </w:tcPr>
          <w:p w14:paraId="480A4323" w14:textId="77777777" w:rsidR="00454A29" w:rsidRDefault="00454A29">
            <w:pPr>
              <w:pStyle w:val="ConsPlusNormal"/>
            </w:pPr>
          </w:p>
        </w:tc>
      </w:tr>
      <w:tr w:rsidR="00454A29" w14:paraId="626D6D93" w14:textId="77777777">
        <w:tc>
          <w:tcPr>
            <w:tcW w:w="640" w:type="dxa"/>
            <w:vMerge w:val="restart"/>
            <w:vAlign w:val="center"/>
          </w:tcPr>
          <w:p w14:paraId="4176E480" w14:textId="77777777" w:rsidR="00454A29" w:rsidRDefault="00454A29">
            <w:pPr>
              <w:pStyle w:val="ConsPlusNormal"/>
            </w:pPr>
          </w:p>
        </w:tc>
        <w:tc>
          <w:tcPr>
            <w:tcW w:w="2268" w:type="dxa"/>
            <w:vMerge w:val="restart"/>
            <w:vAlign w:val="center"/>
          </w:tcPr>
          <w:p w14:paraId="0928CACF" w14:textId="77777777" w:rsidR="00454A29" w:rsidRDefault="00454A29">
            <w:pPr>
              <w:pStyle w:val="ConsPlusNormal"/>
              <w:jc w:val="center"/>
            </w:pPr>
            <w:r>
              <w:t>Арктический раздел государственной программы РС(Я) &lt;*&gt;</w:t>
            </w:r>
          </w:p>
        </w:tc>
        <w:tc>
          <w:tcPr>
            <w:tcW w:w="2665" w:type="dxa"/>
            <w:vMerge w:val="restart"/>
            <w:vAlign w:val="center"/>
          </w:tcPr>
          <w:p w14:paraId="7CF92589" w14:textId="77777777" w:rsidR="00454A29" w:rsidRDefault="00454A29">
            <w:pPr>
              <w:pStyle w:val="ConsPlusNormal"/>
              <w:jc w:val="center"/>
            </w:pPr>
            <w:r>
              <w:t xml:space="preserve">Государственная программа Республики Саха (Якутия) "Развитие образования Республики </w:t>
            </w:r>
            <w:r>
              <w:lastRenderedPageBreak/>
              <w:t>Саха (Якутия) на 2020 - 2024 годы и на плановый период до 2026 года"</w:t>
            </w:r>
          </w:p>
        </w:tc>
        <w:tc>
          <w:tcPr>
            <w:tcW w:w="3061" w:type="dxa"/>
            <w:vAlign w:val="center"/>
          </w:tcPr>
          <w:p w14:paraId="7D21FDC4" w14:textId="77777777" w:rsidR="00454A29" w:rsidRDefault="00454A29">
            <w:pPr>
              <w:pStyle w:val="ConsPlusNormal"/>
            </w:pPr>
            <w:r>
              <w:lastRenderedPageBreak/>
              <w:t>Всего</w:t>
            </w:r>
          </w:p>
        </w:tc>
        <w:tc>
          <w:tcPr>
            <w:tcW w:w="1247" w:type="dxa"/>
            <w:vAlign w:val="center"/>
          </w:tcPr>
          <w:p w14:paraId="1C1131EE" w14:textId="77777777" w:rsidR="00454A29" w:rsidRDefault="00454A29">
            <w:pPr>
              <w:pStyle w:val="ConsPlusNormal"/>
              <w:jc w:val="right"/>
            </w:pPr>
            <w:r>
              <w:t>195 716,6</w:t>
            </w:r>
          </w:p>
        </w:tc>
        <w:tc>
          <w:tcPr>
            <w:tcW w:w="1247" w:type="dxa"/>
            <w:vAlign w:val="center"/>
          </w:tcPr>
          <w:p w14:paraId="5AB53653" w14:textId="77777777" w:rsidR="00454A29" w:rsidRDefault="00454A29">
            <w:pPr>
              <w:pStyle w:val="ConsPlusNormal"/>
              <w:jc w:val="right"/>
            </w:pPr>
            <w:r>
              <w:t>350 142,4</w:t>
            </w:r>
          </w:p>
        </w:tc>
        <w:tc>
          <w:tcPr>
            <w:tcW w:w="1247" w:type="dxa"/>
            <w:vAlign w:val="center"/>
          </w:tcPr>
          <w:p w14:paraId="74F1F733" w14:textId="77777777" w:rsidR="00454A29" w:rsidRDefault="00454A29">
            <w:pPr>
              <w:pStyle w:val="ConsPlusNormal"/>
              <w:jc w:val="right"/>
            </w:pPr>
            <w:r>
              <w:t>3 500,0</w:t>
            </w:r>
          </w:p>
        </w:tc>
        <w:tc>
          <w:tcPr>
            <w:tcW w:w="1247" w:type="dxa"/>
            <w:vAlign w:val="center"/>
          </w:tcPr>
          <w:p w14:paraId="01A552B2" w14:textId="77777777" w:rsidR="00454A29" w:rsidRDefault="00454A29">
            <w:pPr>
              <w:pStyle w:val="ConsPlusNormal"/>
              <w:jc w:val="right"/>
            </w:pPr>
            <w:r>
              <w:t>3 500,0</w:t>
            </w:r>
          </w:p>
        </w:tc>
        <w:tc>
          <w:tcPr>
            <w:tcW w:w="1247" w:type="dxa"/>
            <w:vAlign w:val="center"/>
          </w:tcPr>
          <w:p w14:paraId="3E62312F" w14:textId="77777777" w:rsidR="00454A29" w:rsidRDefault="00454A29">
            <w:pPr>
              <w:pStyle w:val="ConsPlusNormal"/>
              <w:jc w:val="right"/>
            </w:pPr>
            <w:r>
              <w:t>3 500,0</w:t>
            </w:r>
          </w:p>
        </w:tc>
        <w:tc>
          <w:tcPr>
            <w:tcW w:w="2041" w:type="dxa"/>
            <w:vMerge w:val="restart"/>
            <w:vAlign w:val="center"/>
          </w:tcPr>
          <w:p w14:paraId="5805AC98" w14:textId="77777777" w:rsidR="00454A29" w:rsidRDefault="00454A29">
            <w:pPr>
              <w:pStyle w:val="ConsPlusNormal"/>
            </w:pPr>
          </w:p>
        </w:tc>
        <w:tc>
          <w:tcPr>
            <w:tcW w:w="8882" w:type="dxa"/>
            <w:gridSpan w:val="7"/>
            <w:vMerge w:val="restart"/>
            <w:vAlign w:val="center"/>
          </w:tcPr>
          <w:p w14:paraId="6CBB2453" w14:textId="77777777" w:rsidR="00454A29" w:rsidRDefault="00454A29">
            <w:pPr>
              <w:pStyle w:val="ConsPlusNormal"/>
            </w:pPr>
          </w:p>
        </w:tc>
      </w:tr>
      <w:tr w:rsidR="00454A29" w14:paraId="385AD030" w14:textId="77777777">
        <w:tc>
          <w:tcPr>
            <w:tcW w:w="640" w:type="dxa"/>
            <w:vMerge/>
          </w:tcPr>
          <w:p w14:paraId="1B11901F" w14:textId="77777777" w:rsidR="00454A29" w:rsidRDefault="00454A29"/>
        </w:tc>
        <w:tc>
          <w:tcPr>
            <w:tcW w:w="2268" w:type="dxa"/>
            <w:vMerge/>
          </w:tcPr>
          <w:p w14:paraId="0BD2C870" w14:textId="77777777" w:rsidR="00454A29" w:rsidRDefault="00454A29"/>
        </w:tc>
        <w:tc>
          <w:tcPr>
            <w:tcW w:w="2665" w:type="dxa"/>
            <w:vMerge/>
          </w:tcPr>
          <w:p w14:paraId="306015A1" w14:textId="77777777" w:rsidR="00454A29" w:rsidRDefault="00454A29"/>
        </w:tc>
        <w:tc>
          <w:tcPr>
            <w:tcW w:w="3061" w:type="dxa"/>
            <w:vAlign w:val="center"/>
          </w:tcPr>
          <w:p w14:paraId="712A8A04" w14:textId="77777777" w:rsidR="00454A29" w:rsidRDefault="00454A29">
            <w:pPr>
              <w:pStyle w:val="ConsPlusNormal"/>
            </w:pPr>
            <w:r>
              <w:t>федеральный бюджет</w:t>
            </w:r>
          </w:p>
        </w:tc>
        <w:tc>
          <w:tcPr>
            <w:tcW w:w="1247" w:type="dxa"/>
            <w:vAlign w:val="center"/>
          </w:tcPr>
          <w:p w14:paraId="07FDB511" w14:textId="77777777" w:rsidR="00454A29" w:rsidRDefault="00454A29">
            <w:pPr>
              <w:pStyle w:val="ConsPlusNormal"/>
              <w:jc w:val="right"/>
            </w:pPr>
            <w:r>
              <w:t>0,0</w:t>
            </w:r>
          </w:p>
        </w:tc>
        <w:tc>
          <w:tcPr>
            <w:tcW w:w="1247" w:type="dxa"/>
            <w:vAlign w:val="center"/>
          </w:tcPr>
          <w:p w14:paraId="2B17F929" w14:textId="77777777" w:rsidR="00454A29" w:rsidRDefault="00454A29">
            <w:pPr>
              <w:pStyle w:val="ConsPlusNormal"/>
              <w:jc w:val="right"/>
            </w:pPr>
            <w:r>
              <w:t>0,0</w:t>
            </w:r>
          </w:p>
        </w:tc>
        <w:tc>
          <w:tcPr>
            <w:tcW w:w="1247" w:type="dxa"/>
            <w:vAlign w:val="center"/>
          </w:tcPr>
          <w:p w14:paraId="51BE6546" w14:textId="77777777" w:rsidR="00454A29" w:rsidRDefault="00454A29">
            <w:pPr>
              <w:pStyle w:val="ConsPlusNormal"/>
              <w:jc w:val="right"/>
            </w:pPr>
            <w:r>
              <w:t>0,0</w:t>
            </w:r>
          </w:p>
        </w:tc>
        <w:tc>
          <w:tcPr>
            <w:tcW w:w="1247" w:type="dxa"/>
            <w:vAlign w:val="center"/>
          </w:tcPr>
          <w:p w14:paraId="103FFDEF" w14:textId="77777777" w:rsidR="00454A29" w:rsidRDefault="00454A29">
            <w:pPr>
              <w:pStyle w:val="ConsPlusNormal"/>
              <w:jc w:val="right"/>
            </w:pPr>
            <w:r>
              <w:t>0,0</w:t>
            </w:r>
          </w:p>
        </w:tc>
        <w:tc>
          <w:tcPr>
            <w:tcW w:w="1247" w:type="dxa"/>
            <w:vAlign w:val="center"/>
          </w:tcPr>
          <w:p w14:paraId="01FD6297" w14:textId="77777777" w:rsidR="00454A29" w:rsidRDefault="00454A29">
            <w:pPr>
              <w:pStyle w:val="ConsPlusNormal"/>
              <w:jc w:val="right"/>
            </w:pPr>
            <w:r>
              <w:t>0,0</w:t>
            </w:r>
          </w:p>
        </w:tc>
        <w:tc>
          <w:tcPr>
            <w:tcW w:w="2041" w:type="dxa"/>
            <w:vMerge/>
          </w:tcPr>
          <w:p w14:paraId="70BBE723" w14:textId="77777777" w:rsidR="00454A29" w:rsidRDefault="00454A29"/>
        </w:tc>
        <w:tc>
          <w:tcPr>
            <w:tcW w:w="8882" w:type="dxa"/>
            <w:gridSpan w:val="7"/>
            <w:vMerge/>
          </w:tcPr>
          <w:p w14:paraId="739F10F7" w14:textId="77777777" w:rsidR="00454A29" w:rsidRDefault="00454A29"/>
        </w:tc>
      </w:tr>
      <w:tr w:rsidR="00454A29" w14:paraId="54C2F405" w14:textId="77777777">
        <w:tc>
          <w:tcPr>
            <w:tcW w:w="640" w:type="dxa"/>
            <w:vMerge/>
          </w:tcPr>
          <w:p w14:paraId="0EF1900A" w14:textId="77777777" w:rsidR="00454A29" w:rsidRDefault="00454A29"/>
        </w:tc>
        <w:tc>
          <w:tcPr>
            <w:tcW w:w="2268" w:type="dxa"/>
            <w:vMerge/>
          </w:tcPr>
          <w:p w14:paraId="642F97DD" w14:textId="77777777" w:rsidR="00454A29" w:rsidRDefault="00454A29"/>
        </w:tc>
        <w:tc>
          <w:tcPr>
            <w:tcW w:w="2665" w:type="dxa"/>
            <w:vMerge/>
          </w:tcPr>
          <w:p w14:paraId="10E1D706" w14:textId="77777777" w:rsidR="00454A29" w:rsidRDefault="00454A29"/>
        </w:tc>
        <w:tc>
          <w:tcPr>
            <w:tcW w:w="3061" w:type="dxa"/>
            <w:vAlign w:val="center"/>
          </w:tcPr>
          <w:p w14:paraId="4302BD92" w14:textId="77777777" w:rsidR="00454A29" w:rsidRDefault="00454A29">
            <w:pPr>
              <w:pStyle w:val="ConsPlusNormal"/>
            </w:pPr>
            <w:r>
              <w:t xml:space="preserve">государственный бюджет </w:t>
            </w:r>
            <w:r>
              <w:lastRenderedPageBreak/>
              <w:t>РС(Я)</w:t>
            </w:r>
          </w:p>
        </w:tc>
        <w:tc>
          <w:tcPr>
            <w:tcW w:w="1247" w:type="dxa"/>
            <w:vAlign w:val="center"/>
          </w:tcPr>
          <w:p w14:paraId="5B2F7350" w14:textId="77777777" w:rsidR="00454A29" w:rsidRDefault="00454A29">
            <w:pPr>
              <w:pStyle w:val="ConsPlusNormal"/>
              <w:jc w:val="right"/>
            </w:pPr>
            <w:r>
              <w:lastRenderedPageBreak/>
              <w:t>195 716,6</w:t>
            </w:r>
          </w:p>
        </w:tc>
        <w:tc>
          <w:tcPr>
            <w:tcW w:w="1247" w:type="dxa"/>
            <w:vAlign w:val="center"/>
          </w:tcPr>
          <w:p w14:paraId="4667A5C5" w14:textId="77777777" w:rsidR="00454A29" w:rsidRDefault="00454A29">
            <w:pPr>
              <w:pStyle w:val="ConsPlusNormal"/>
              <w:jc w:val="right"/>
            </w:pPr>
            <w:r>
              <w:t>350 142,4</w:t>
            </w:r>
          </w:p>
        </w:tc>
        <w:tc>
          <w:tcPr>
            <w:tcW w:w="1247" w:type="dxa"/>
            <w:vAlign w:val="center"/>
          </w:tcPr>
          <w:p w14:paraId="114F4B04" w14:textId="77777777" w:rsidR="00454A29" w:rsidRDefault="00454A29">
            <w:pPr>
              <w:pStyle w:val="ConsPlusNormal"/>
              <w:jc w:val="right"/>
            </w:pPr>
            <w:r>
              <w:t>3 500,0</w:t>
            </w:r>
          </w:p>
        </w:tc>
        <w:tc>
          <w:tcPr>
            <w:tcW w:w="1247" w:type="dxa"/>
            <w:vAlign w:val="center"/>
          </w:tcPr>
          <w:p w14:paraId="29FD80C4" w14:textId="77777777" w:rsidR="00454A29" w:rsidRDefault="00454A29">
            <w:pPr>
              <w:pStyle w:val="ConsPlusNormal"/>
              <w:jc w:val="right"/>
            </w:pPr>
            <w:r>
              <w:t>3 500,0</w:t>
            </w:r>
          </w:p>
        </w:tc>
        <w:tc>
          <w:tcPr>
            <w:tcW w:w="1247" w:type="dxa"/>
            <w:vAlign w:val="center"/>
          </w:tcPr>
          <w:p w14:paraId="7D41AE66" w14:textId="77777777" w:rsidR="00454A29" w:rsidRDefault="00454A29">
            <w:pPr>
              <w:pStyle w:val="ConsPlusNormal"/>
              <w:jc w:val="right"/>
            </w:pPr>
            <w:r>
              <w:t>3 500,0</w:t>
            </w:r>
          </w:p>
        </w:tc>
        <w:tc>
          <w:tcPr>
            <w:tcW w:w="2041" w:type="dxa"/>
            <w:vMerge/>
          </w:tcPr>
          <w:p w14:paraId="5BCC7F08" w14:textId="77777777" w:rsidR="00454A29" w:rsidRDefault="00454A29"/>
        </w:tc>
        <w:tc>
          <w:tcPr>
            <w:tcW w:w="8882" w:type="dxa"/>
            <w:gridSpan w:val="7"/>
            <w:vMerge/>
          </w:tcPr>
          <w:p w14:paraId="4F323909" w14:textId="77777777" w:rsidR="00454A29" w:rsidRDefault="00454A29"/>
        </w:tc>
      </w:tr>
      <w:tr w:rsidR="00454A29" w14:paraId="6A37D3BF" w14:textId="77777777">
        <w:tc>
          <w:tcPr>
            <w:tcW w:w="640" w:type="dxa"/>
            <w:vMerge/>
          </w:tcPr>
          <w:p w14:paraId="56185748" w14:textId="77777777" w:rsidR="00454A29" w:rsidRDefault="00454A29"/>
        </w:tc>
        <w:tc>
          <w:tcPr>
            <w:tcW w:w="2268" w:type="dxa"/>
            <w:vMerge/>
          </w:tcPr>
          <w:p w14:paraId="7ED93B78" w14:textId="77777777" w:rsidR="00454A29" w:rsidRDefault="00454A29"/>
        </w:tc>
        <w:tc>
          <w:tcPr>
            <w:tcW w:w="2665" w:type="dxa"/>
            <w:vMerge/>
          </w:tcPr>
          <w:p w14:paraId="6ECB7462" w14:textId="77777777" w:rsidR="00454A29" w:rsidRDefault="00454A29"/>
        </w:tc>
        <w:tc>
          <w:tcPr>
            <w:tcW w:w="3061" w:type="dxa"/>
            <w:vAlign w:val="center"/>
          </w:tcPr>
          <w:p w14:paraId="0E3CD54E" w14:textId="77777777" w:rsidR="00454A29" w:rsidRDefault="00454A29">
            <w:pPr>
              <w:pStyle w:val="ConsPlusNormal"/>
            </w:pPr>
            <w:r>
              <w:t>бюджеты МО</w:t>
            </w:r>
          </w:p>
        </w:tc>
        <w:tc>
          <w:tcPr>
            <w:tcW w:w="1247" w:type="dxa"/>
            <w:vAlign w:val="center"/>
          </w:tcPr>
          <w:p w14:paraId="4ECFD4FF" w14:textId="77777777" w:rsidR="00454A29" w:rsidRDefault="00454A29">
            <w:pPr>
              <w:pStyle w:val="ConsPlusNormal"/>
              <w:jc w:val="right"/>
            </w:pPr>
            <w:r>
              <w:t>0,0</w:t>
            </w:r>
          </w:p>
        </w:tc>
        <w:tc>
          <w:tcPr>
            <w:tcW w:w="1247" w:type="dxa"/>
            <w:vAlign w:val="center"/>
          </w:tcPr>
          <w:p w14:paraId="162B154E" w14:textId="77777777" w:rsidR="00454A29" w:rsidRDefault="00454A29">
            <w:pPr>
              <w:pStyle w:val="ConsPlusNormal"/>
              <w:jc w:val="right"/>
            </w:pPr>
            <w:r>
              <w:t>0,0</w:t>
            </w:r>
          </w:p>
        </w:tc>
        <w:tc>
          <w:tcPr>
            <w:tcW w:w="1247" w:type="dxa"/>
            <w:vAlign w:val="center"/>
          </w:tcPr>
          <w:p w14:paraId="0DDCFC93" w14:textId="77777777" w:rsidR="00454A29" w:rsidRDefault="00454A29">
            <w:pPr>
              <w:pStyle w:val="ConsPlusNormal"/>
              <w:jc w:val="right"/>
            </w:pPr>
            <w:r>
              <w:t>0,0</w:t>
            </w:r>
          </w:p>
        </w:tc>
        <w:tc>
          <w:tcPr>
            <w:tcW w:w="1247" w:type="dxa"/>
            <w:vAlign w:val="center"/>
          </w:tcPr>
          <w:p w14:paraId="71D23F75" w14:textId="77777777" w:rsidR="00454A29" w:rsidRDefault="00454A29">
            <w:pPr>
              <w:pStyle w:val="ConsPlusNormal"/>
              <w:jc w:val="right"/>
            </w:pPr>
            <w:r>
              <w:t>0,0</w:t>
            </w:r>
          </w:p>
        </w:tc>
        <w:tc>
          <w:tcPr>
            <w:tcW w:w="1247" w:type="dxa"/>
            <w:vAlign w:val="center"/>
          </w:tcPr>
          <w:p w14:paraId="29D96437" w14:textId="77777777" w:rsidR="00454A29" w:rsidRDefault="00454A29">
            <w:pPr>
              <w:pStyle w:val="ConsPlusNormal"/>
              <w:jc w:val="right"/>
            </w:pPr>
            <w:r>
              <w:t>0,0</w:t>
            </w:r>
          </w:p>
        </w:tc>
        <w:tc>
          <w:tcPr>
            <w:tcW w:w="2041" w:type="dxa"/>
            <w:vMerge/>
          </w:tcPr>
          <w:p w14:paraId="13E65D70" w14:textId="77777777" w:rsidR="00454A29" w:rsidRDefault="00454A29"/>
        </w:tc>
        <w:tc>
          <w:tcPr>
            <w:tcW w:w="8882" w:type="dxa"/>
            <w:gridSpan w:val="7"/>
            <w:vMerge/>
          </w:tcPr>
          <w:p w14:paraId="079B41CC" w14:textId="77777777" w:rsidR="00454A29" w:rsidRDefault="00454A29"/>
        </w:tc>
      </w:tr>
      <w:tr w:rsidR="00454A29" w14:paraId="679EF0C7" w14:textId="77777777">
        <w:tc>
          <w:tcPr>
            <w:tcW w:w="640" w:type="dxa"/>
            <w:vMerge/>
          </w:tcPr>
          <w:p w14:paraId="7AC33FC4" w14:textId="77777777" w:rsidR="00454A29" w:rsidRDefault="00454A29"/>
        </w:tc>
        <w:tc>
          <w:tcPr>
            <w:tcW w:w="2268" w:type="dxa"/>
            <w:vMerge/>
          </w:tcPr>
          <w:p w14:paraId="2F724C4C" w14:textId="77777777" w:rsidR="00454A29" w:rsidRDefault="00454A29"/>
        </w:tc>
        <w:tc>
          <w:tcPr>
            <w:tcW w:w="2665" w:type="dxa"/>
            <w:vMerge/>
          </w:tcPr>
          <w:p w14:paraId="4EE5D075" w14:textId="77777777" w:rsidR="00454A29" w:rsidRDefault="00454A29"/>
        </w:tc>
        <w:tc>
          <w:tcPr>
            <w:tcW w:w="3061" w:type="dxa"/>
            <w:vAlign w:val="center"/>
          </w:tcPr>
          <w:p w14:paraId="617AF1F7" w14:textId="77777777" w:rsidR="00454A29" w:rsidRDefault="00454A29">
            <w:pPr>
              <w:pStyle w:val="ConsPlusNormal"/>
            </w:pPr>
            <w:r>
              <w:t>внебюджетные источники</w:t>
            </w:r>
          </w:p>
        </w:tc>
        <w:tc>
          <w:tcPr>
            <w:tcW w:w="1247" w:type="dxa"/>
            <w:vAlign w:val="center"/>
          </w:tcPr>
          <w:p w14:paraId="44A18C4A" w14:textId="77777777" w:rsidR="00454A29" w:rsidRDefault="00454A29">
            <w:pPr>
              <w:pStyle w:val="ConsPlusNormal"/>
              <w:jc w:val="right"/>
            </w:pPr>
            <w:r>
              <w:t>0,0</w:t>
            </w:r>
          </w:p>
        </w:tc>
        <w:tc>
          <w:tcPr>
            <w:tcW w:w="1247" w:type="dxa"/>
            <w:vAlign w:val="center"/>
          </w:tcPr>
          <w:p w14:paraId="048FBA85" w14:textId="77777777" w:rsidR="00454A29" w:rsidRDefault="00454A29">
            <w:pPr>
              <w:pStyle w:val="ConsPlusNormal"/>
              <w:jc w:val="right"/>
            </w:pPr>
            <w:r>
              <w:t>0,0</w:t>
            </w:r>
          </w:p>
        </w:tc>
        <w:tc>
          <w:tcPr>
            <w:tcW w:w="1247" w:type="dxa"/>
            <w:vAlign w:val="center"/>
          </w:tcPr>
          <w:p w14:paraId="18F3264F" w14:textId="77777777" w:rsidR="00454A29" w:rsidRDefault="00454A29">
            <w:pPr>
              <w:pStyle w:val="ConsPlusNormal"/>
              <w:jc w:val="right"/>
            </w:pPr>
            <w:r>
              <w:t>0,0</w:t>
            </w:r>
          </w:p>
        </w:tc>
        <w:tc>
          <w:tcPr>
            <w:tcW w:w="1247" w:type="dxa"/>
            <w:vAlign w:val="center"/>
          </w:tcPr>
          <w:p w14:paraId="43115BB2" w14:textId="77777777" w:rsidR="00454A29" w:rsidRDefault="00454A29">
            <w:pPr>
              <w:pStyle w:val="ConsPlusNormal"/>
              <w:jc w:val="right"/>
            </w:pPr>
            <w:r>
              <w:t>0,0</w:t>
            </w:r>
          </w:p>
        </w:tc>
        <w:tc>
          <w:tcPr>
            <w:tcW w:w="1247" w:type="dxa"/>
            <w:vAlign w:val="center"/>
          </w:tcPr>
          <w:p w14:paraId="0BF7A1F2" w14:textId="77777777" w:rsidR="00454A29" w:rsidRDefault="00454A29">
            <w:pPr>
              <w:pStyle w:val="ConsPlusNormal"/>
              <w:jc w:val="right"/>
            </w:pPr>
            <w:r>
              <w:t>0,0</w:t>
            </w:r>
          </w:p>
        </w:tc>
        <w:tc>
          <w:tcPr>
            <w:tcW w:w="2041" w:type="dxa"/>
            <w:vMerge/>
          </w:tcPr>
          <w:p w14:paraId="360C7211" w14:textId="77777777" w:rsidR="00454A29" w:rsidRDefault="00454A29"/>
        </w:tc>
        <w:tc>
          <w:tcPr>
            <w:tcW w:w="8882" w:type="dxa"/>
            <w:gridSpan w:val="7"/>
            <w:vMerge/>
          </w:tcPr>
          <w:p w14:paraId="1680D603" w14:textId="77777777" w:rsidR="00454A29" w:rsidRDefault="00454A29"/>
        </w:tc>
      </w:tr>
      <w:tr w:rsidR="00454A29" w14:paraId="68B6E304" w14:textId="77777777">
        <w:tc>
          <w:tcPr>
            <w:tcW w:w="640" w:type="dxa"/>
            <w:vMerge w:val="restart"/>
            <w:vAlign w:val="center"/>
          </w:tcPr>
          <w:p w14:paraId="5787EB44" w14:textId="77777777" w:rsidR="00454A29" w:rsidRDefault="00454A29">
            <w:pPr>
              <w:pStyle w:val="ConsPlusNormal"/>
              <w:jc w:val="center"/>
            </w:pPr>
            <w:r>
              <w:t>1</w:t>
            </w:r>
          </w:p>
        </w:tc>
        <w:tc>
          <w:tcPr>
            <w:tcW w:w="2268" w:type="dxa"/>
            <w:vMerge w:val="restart"/>
            <w:vAlign w:val="center"/>
          </w:tcPr>
          <w:p w14:paraId="14597BE7" w14:textId="77777777" w:rsidR="00454A29" w:rsidRDefault="00454A29">
            <w:pPr>
              <w:pStyle w:val="ConsPlusNormal"/>
              <w:jc w:val="center"/>
            </w:pPr>
            <w:r>
              <w:t>Подпрограмма 8</w:t>
            </w:r>
          </w:p>
        </w:tc>
        <w:tc>
          <w:tcPr>
            <w:tcW w:w="2665" w:type="dxa"/>
            <w:vMerge w:val="restart"/>
            <w:vAlign w:val="center"/>
          </w:tcPr>
          <w:p w14:paraId="47F30B7C" w14:textId="77777777" w:rsidR="00454A29" w:rsidRDefault="00454A29">
            <w:pPr>
              <w:pStyle w:val="ConsPlusNormal"/>
              <w:jc w:val="center"/>
            </w:pPr>
            <w:r>
              <w:t>Дети Арктики и Севера</w:t>
            </w:r>
          </w:p>
        </w:tc>
        <w:tc>
          <w:tcPr>
            <w:tcW w:w="3061" w:type="dxa"/>
            <w:vAlign w:val="center"/>
          </w:tcPr>
          <w:p w14:paraId="520C6139" w14:textId="77777777" w:rsidR="00454A29" w:rsidRDefault="00454A29">
            <w:pPr>
              <w:pStyle w:val="ConsPlusNormal"/>
            </w:pPr>
            <w:r>
              <w:t>Всего:</w:t>
            </w:r>
          </w:p>
        </w:tc>
        <w:tc>
          <w:tcPr>
            <w:tcW w:w="1247" w:type="dxa"/>
            <w:vAlign w:val="center"/>
          </w:tcPr>
          <w:p w14:paraId="3FFAA4FE" w14:textId="77777777" w:rsidR="00454A29" w:rsidRDefault="00454A29">
            <w:pPr>
              <w:pStyle w:val="ConsPlusNormal"/>
              <w:jc w:val="right"/>
            </w:pPr>
            <w:r>
              <w:t>3 500,0</w:t>
            </w:r>
          </w:p>
        </w:tc>
        <w:tc>
          <w:tcPr>
            <w:tcW w:w="1247" w:type="dxa"/>
            <w:vAlign w:val="center"/>
          </w:tcPr>
          <w:p w14:paraId="0D988396" w14:textId="77777777" w:rsidR="00454A29" w:rsidRDefault="00454A29">
            <w:pPr>
              <w:pStyle w:val="ConsPlusNormal"/>
              <w:jc w:val="right"/>
            </w:pPr>
            <w:r>
              <w:t>3 500,0</w:t>
            </w:r>
          </w:p>
        </w:tc>
        <w:tc>
          <w:tcPr>
            <w:tcW w:w="1247" w:type="dxa"/>
            <w:vAlign w:val="center"/>
          </w:tcPr>
          <w:p w14:paraId="2EFCC6C4" w14:textId="77777777" w:rsidR="00454A29" w:rsidRDefault="00454A29">
            <w:pPr>
              <w:pStyle w:val="ConsPlusNormal"/>
              <w:jc w:val="right"/>
            </w:pPr>
            <w:r>
              <w:t>3 500,0</w:t>
            </w:r>
          </w:p>
        </w:tc>
        <w:tc>
          <w:tcPr>
            <w:tcW w:w="1247" w:type="dxa"/>
            <w:vAlign w:val="center"/>
          </w:tcPr>
          <w:p w14:paraId="32622CAA" w14:textId="77777777" w:rsidR="00454A29" w:rsidRDefault="00454A29">
            <w:pPr>
              <w:pStyle w:val="ConsPlusNormal"/>
              <w:jc w:val="right"/>
            </w:pPr>
            <w:r>
              <w:t>3 500,0</w:t>
            </w:r>
          </w:p>
        </w:tc>
        <w:tc>
          <w:tcPr>
            <w:tcW w:w="1247" w:type="dxa"/>
            <w:vAlign w:val="center"/>
          </w:tcPr>
          <w:p w14:paraId="7B5838F7" w14:textId="77777777" w:rsidR="00454A29" w:rsidRDefault="00454A29">
            <w:pPr>
              <w:pStyle w:val="ConsPlusNormal"/>
              <w:jc w:val="right"/>
            </w:pPr>
            <w:r>
              <w:t>3 500,0</w:t>
            </w:r>
          </w:p>
        </w:tc>
        <w:tc>
          <w:tcPr>
            <w:tcW w:w="2041" w:type="dxa"/>
            <w:vMerge w:val="restart"/>
            <w:vAlign w:val="center"/>
          </w:tcPr>
          <w:p w14:paraId="028E5950" w14:textId="77777777" w:rsidR="00454A29" w:rsidRDefault="00454A29">
            <w:pPr>
              <w:pStyle w:val="ConsPlusNormal"/>
              <w:jc w:val="center"/>
            </w:pPr>
            <w:r>
              <w:t>Министерство образования и науки Республики Саха (Якутия)</w:t>
            </w:r>
          </w:p>
        </w:tc>
        <w:tc>
          <w:tcPr>
            <w:tcW w:w="2778" w:type="dxa"/>
            <w:vMerge w:val="restart"/>
            <w:vAlign w:val="center"/>
          </w:tcPr>
          <w:p w14:paraId="2A051606" w14:textId="77777777" w:rsidR="00454A29" w:rsidRDefault="00454A29">
            <w:pPr>
              <w:pStyle w:val="ConsPlusNormal"/>
              <w:jc w:val="center"/>
            </w:pPr>
            <w:r>
              <w:t>Количество кочевых образовательных организаций, которым созданы условия современной образовательной среды</w:t>
            </w:r>
          </w:p>
        </w:tc>
        <w:tc>
          <w:tcPr>
            <w:tcW w:w="1304" w:type="dxa"/>
            <w:vMerge w:val="restart"/>
            <w:vAlign w:val="center"/>
          </w:tcPr>
          <w:p w14:paraId="202AB45C" w14:textId="77777777" w:rsidR="00454A29" w:rsidRDefault="00454A29">
            <w:pPr>
              <w:pStyle w:val="ConsPlusNormal"/>
              <w:jc w:val="center"/>
            </w:pPr>
            <w:r>
              <w:t>ед.</w:t>
            </w:r>
          </w:p>
        </w:tc>
        <w:tc>
          <w:tcPr>
            <w:tcW w:w="960" w:type="dxa"/>
            <w:vMerge w:val="restart"/>
            <w:vAlign w:val="center"/>
          </w:tcPr>
          <w:p w14:paraId="2155DF2D" w14:textId="77777777" w:rsidR="00454A29" w:rsidRDefault="00454A29">
            <w:pPr>
              <w:pStyle w:val="ConsPlusNormal"/>
              <w:jc w:val="center"/>
            </w:pPr>
            <w:r>
              <w:t>0</w:t>
            </w:r>
          </w:p>
        </w:tc>
        <w:tc>
          <w:tcPr>
            <w:tcW w:w="960" w:type="dxa"/>
            <w:vMerge w:val="restart"/>
            <w:vAlign w:val="center"/>
          </w:tcPr>
          <w:p w14:paraId="765F8C33" w14:textId="77777777" w:rsidR="00454A29" w:rsidRDefault="00454A29">
            <w:pPr>
              <w:pStyle w:val="ConsPlusNormal"/>
              <w:jc w:val="center"/>
            </w:pPr>
            <w:r>
              <w:t>0</w:t>
            </w:r>
          </w:p>
        </w:tc>
        <w:tc>
          <w:tcPr>
            <w:tcW w:w="960" w:type="dxa"/>
            <w:vMerge w:val="restart"/>
            <w:vAlign w:val="center"/>
          </w:tcPr>
          <w:p w14:paraId="4A926BF9" w14:textId="77777777" w:rsidR="00454A29" w:rsidRDefault="00454A29">
            <w:pPr>
              <w:pStyle w:val="ConsPlusNormal"/>
              <w:jc w:val="center"/>
            </w:pPr>
            <w:r>
              <w:t>1</w:t>
            </w:r>
          </w:p>
        </w:tc>
        <w:tc>
          <w:tcPr>
            <w:tcW w:w="960" w:type="dxa"/>
            <w:vMerge w:val="restart"/>
            <w:vAlign w:val="center"/>
          </w:tcPr>
          <w:p w14:paraId="6E451B93" w14:textId="77777777" w:rsidR="00454A29" w:rsidRDefault="00454A29">
            <w:pPr>
              <w:pStyle w:val="ConsPlusNormal"/>
              <w:jc w:val="center"/>
            </w:pPr>
            <w:r>
              <w:t>2</w:t>
            </w:r>
          </w:p>
        </w:tc>
        <w:tc>
          <w:tcPr>
            <w:tcW w:w="960" w:type="dxa"/>
            <w:vMerge w:val="restart"/>
            <w:vAlign w:val="center"/>
          </w:tcPr>
          <w:p w14:paraId="6C3FDAB9" w14:textId="77777777" w:rsidR="00454A29" w:rsidRDefault="00454A29">
            <w:pPr>
              <w:pStyle w:val="ConsPlusNormal"/>
              <w:jc w:val="center"/>
            </w:pPr>
            <w:r>
              <w:t>3</w:t>
            </w:r>
          </w:p>
        </w:tc>
      </w:tr>
      <w:tr w:rsidR="00454A29" w14:paraId="4067A7F6" w14:textId="77777777">
        <w:tc>
          <w:tcPr>
            <w:tcW w:w="640" w:type="dxa"/>
            <w:vMerge/>
          </w:tcPr>
          <w:p w14:paraId="4B2FFB60" w14:textId="77777777" w:rsidR="00454A29" w:rsidRDefault="00454A29"/>
        </w:tc>
        <w:tc>
          <w:tcPr>
            <w:tcW w:w="2268" w:type="dxa"/>
            <w:vMerge/>
          </w:tcPr>
          <w:p w14:paraId="0ACB736F" w14:textId="77777777" w:rsidR="00454A29" w:rsidRDefault="00454A29"/>
        </w:tc>
        <w:tc>
          <w:tcPr>
            <w:tcW w:w="2665" w:type="dxa"/>
            <w:vMerge/>
          </w:tcPr>
          <w:p w14:paraId="3A182FD5" w14:textId="77777777" w:rsidR="00454A29" w:rsidRDefault="00454A29"/>
        </w:tc>
        <w:tc>
          <w:tcPr>
            <w:tcW w:w="3061" w:type="dxa"/>
            <w:vAlign w:val="center"/>
          </w:tcPr>
          <w:p w14:paraId="4CEFD54C" w14:textId="77777777" w:rsidR="00454A29" w:rsidRDefault="00454A29">
            <w:pPr>
              <w:pStyle w:val="ConsPlusNormal"/>
            </w:pPr>
            <w:r>
              <w:t>федеральный бюджет</w:t>
            </w:r>
          </w:p>
        </w:tc>
        <w:tc>
          <w:tcPr>
            <w:tcW w:w="1247" w:type="dxa"/>
            <w:vAlign w:val="center"/>
          </w:tcPr>
          <w:p w14:paraId="27D69310" w14:textId="77777777" w:rsidR="00454A29" w:rsidRDefault="00454A29">
            <w:pPr>
              <w:pStyle w:val="ConsPlusNormal"/>
              <w:jc w:val="right"/>
            </w:pPr>
            <w:r>
              <w:t>0,0</w:t>
            </w:r>
          </w:p>
        </w:tc>
        <w:tc>
          <w:tcPr>
            <w:tcW w:w="1247" w:type="dxa"/>
            <w:vAlign w:val="center"/>
          </w:tcPr>
          <w:p w14:paraId="6DD4871B" w14:textId="77777777" w:rsidR="00454A29" w:rsidRDefault="00454A29">
            <w:pPr>
              <w:pStyle w:val="ConsPlusNormal"/>
              <w:jc w:val="right"/>
            </w:pPr>
            <w:r>
              <w:t>0,0</w:t>
            </w:r>
          </w:p>
        </w:tc>
        <w:tc>
          <w:tcPr>
            <w:tcW w:w="1247" w:type="dxa"/>
            <w:vAlign w:val="center"/>
          </w:tcPr>
          <w:p w14:paraId="0D4FFCCA" w14:textId="77777777" w:rsidR="00454A29" w:rsidRDefault="00454A29">
            <w:pPr>
              <w:pStyle w:val="ConsPlusNormal"/>
              <w:jc w:val="right"/>
            </w:pPr>
            <w:r>
              <w:t>0,0</w:t>
            </w:r>
          </w:p>
        </w:tc>
        <w:tc>
          <w:tcPr>
            <w:tcW w:w="1247" w:type="dxa"/>
            <w:vAlign w:val="center"/>
          </w:tcPr>
          <w:p w14:paraId="50A18D1A" w14:textId="77777777" w:rsidR="00454A29" w:rsidRDefault="00454A29">
            <w:pPr>
              <w:pStyle w:val="ConsPlusNormal"/>
              <w:jc w:val="right"/>
            </w:pPr>
            <w:r>
              <w:t>0,0</w:t>
            </w:r>
          </w:p>
        </w:tc>
        <w:tc>
          <w:tcPr>
            <w:tcW w:w="1247" w:type="dxa"/>
            <w:vAlign w:val="center"/>
          </w:tcPr>
          <w:p w14:paraId="60AEEF5E" w14:textId="77777777" w:rsidR="00454A29" w:rsidRDefault="00454A29">
            <w:pPr>
              <w:pStyle w:val="ConsPlusNormal"/>
              <w:jc w:val="right"/>
            </w:pPr>
            <w:r>
              <w:t>0,0</w:t>
            </w:r>
          </w:p>
        </w:tc>
        <w:tc>
          <w:tcPr>
            <w:tcW w:w="2041" w:type="dxa"/>
            <w:vMerge/>
          </w:tcPr>
          <w:p w14:paraId="3221C995" w14:textId="77777777" w:rsidR="00454A29" w:rsidRDefault="00454A29"/>
        </w:tc>
        <w:tc>
          <w:tcPr>
            <w:tcW w:w="2778" w:type="dxa"/>
            <w:vMerge/>
          </w:tcPr>
          <w:p w14:paraId="553F2A33" w14:textId="77777777" w:rsidR="00454A29" w:rsidRDefault="00454A29"/>
        </w:tc>
        <w:tc>
          <w:tcPr>
            <w:tcW w:w="1304" w:type="dxa"/>
            <w:vMerge/>
          </w:tcPr>
          <w:p w14:paraId="7342D4E5" w14:textId="77777777" w:rsidR="00454A29" w:rsidRDefault="00454A29"/>
        </w:tc>
        <w:tc>
          <w:tcPr>
            <w:tcW w:w="960" w:type="dxa"/>
            <w:vMerge/>
          </w:tcPr>
          <w:p w14:paraId="65EE4462" w14:textId="77777777" w:rsidR="00454A29" w:rsidRDefault="00454A29"/>
        </w:tc>
        <w:tc>
          <w:tcPr>
            <w:tcW w:w="960" w:type="dxa"/>
            <w:vMerge/>
          </w:tcPr>
          <w:p w14:paraId="00C252B9" w14:textId="77777777" w:rsidR="00454A29" w:rsidRDefault="00454A29"/>
        </w:tc>
        <w:tc>
          <w:tcPr>
            <w:tcW w:w="960" w:type="dxa"/>
            <w:vMerge/>
          </w:tcPr>
          <w:p w14:paraId="39EC44FF" w14:textId="77777777" w:rsidR="00454A29" w:rsidRDefault="00454A29"/>
        </w:tc>
        <w:tc>
          <w:tcPr>
            <w:tcW w:w="960" w:type="dxa"/>
            <w:vMerge/>
          </w:tcPr>
          <w:p w14:paraId="381FB08C" w14:textId="77777777" w:rsidR="00454A29" w:rsidRDefault="00454A29"/>
        </w:tc>
        <w:tc>
          <w:tcPr>
            <w:tcW w:w="960" w:type="dxa"/>
            <w:vMerge/>
          </w:tcPr>
          <w:p w14:paraId="32C4BBDC" w14:textId="77777777" w:rsidR="00454A29" w:rsidRDefault="00454A29"/>
        </w:tc>
      </w:tr>
      <w:tr w:rsidR="00454A29" w14:paraId="18BD2239" w14:textId="77777777">
        <w:tc>
          <w:tcPr>
            <w:tcW w:w="640" w:type="dxa"/>
            <w:vMerge/>
          </w:tcPr>
          <w:p w14:paraId="63A35551" w14:textId="77777777" w:rsidR="00454A29" w:rsidRDefault="00454A29"/>
        </w:tc>
        <w:tc>
          <w:tcPr>
            <w:tcW w:w="2268" w:type="dxa"/>
            <w:vMerge/>
          </w:tcPr>
          <w:p w14:paraId="0C0CF32C" w14:textId="77777777" w:rsidR="00454A29" w:rsidRDefault="00454A29"/>
        </w:tc>
        <w:tc>
          <w:tcPr>
            <w:tcW w:w="2665" w:type="dxa"/>
            <w:vMerge/>
          </w:tcPr>
          <w:p w14:paraId="67D9A44A" w14:textId="77777777" w:rsidR="00454A29" w:rsidRDefault="00454A29"/>
        </w:tc>
        <w:tc>
          <w:tcPr>
            <w:tcW w:w="3061" w:type="dxa"/>
            <w:vAlign w:val="center"/>
          </w:tcPr>
          <w:p w14:paraId="2380ABC3" w14:textId="77777777" w:rsidR="00454A29" w:rsidRDefault="00454A29">
            <w:pPr>
              <w:pStyle w:val="ConsPlusNormal"/>
            </w:pPr>
            <w:r>
              <w:t>Государственный бюджет Республики Саха (Якутия)</w:t>
            </w:r>
          </w:p>
        </w:tc>
        <w:tc>
          <w:tcPr>
            <w:tcW w:w="1247" w:type="dxa"/>
            <w:vAlign w:val="center"/>
          </w:tcPr>
          <w:p w14:paraId="1A4A1B81" w14:textId="77777777" w:rsidR="00454A29" w:rsidRDefault="00454A29">
            <w:pPr>
              <w:pStyle w:val="ConsPlusNormal"/>
              <w:jc w:val="right"/>
            </w:pPr>
            <w:r>
              <w:t>3 500,0</w:t>
            </w:r>
          </w:p>
        </w:tc>
        <w:tc>
          <w:tcPr>
            <w:tcW w:w="1247" w:type="dxa"/>
            <w:vAlign w:val="center"/>
          </w:tcPr>
          <w:p w14:paraId="280DD82A" w14:textId="77777777" w:rsidR="00454A29" w:rsidRDefault="00454A29">
            <w:pPr>
              <w:pStyle w:val="ConsPlusNormal"/>
              <w:jc w:val="right"/>
            </w:pPr>
            <w:r>
              <w:t>3 500,0</w:t>
            </w:r>
          </w:p>
        </w:tc>
        <w:tc>
          <w:tcPr>
            <w:tcW w:w="1247" w:type="dxa"/>
            <w:vAlign w:val="center"/>
          </w:tcPr>
          <w:p w14:paraId="362A94DB" w14:textId="77777777" w:rsidR="00454A29" w:rsidRDefault="00454A29">
            <w:pPr>
              <w:pStyle w:val="ConsPlusNormal"/>
              <w:jc w:val="right"/>
            </w:pPr>
            <w:r>
              <w:t>3 500,0</w:t>
            </w:r>
          </w:p>
        </w:tc>
        <w:tc>
          <w:tcPr>
            <w:tcW w:w="1247" w:type="dxa"/>
            <w:vAlign w:val="center"/>
          </w:tcPr>
          <w:p w14:paraId="1A9D67FB" w14:textId="77777777" w:rsidR="00454A29" w:rsidRDefault="00454A29">
            <w:pPr>
              <w:pStyle w:val="ConsPlusNormal"/>
              <w:jc w:val="right"/>
            </w:pPr>
            <w:r>
              <w:t>3 500,0</w:t>
            </w:r>
          </w:p>
        </w:tc>
        <w:tc>
          <w:tcPr>
            <w:tcW w:w="1247" w:type="dxa"/>
            <w:vAlign w:val="center"/>
          </w:tcPr>
          <w:p w14:paraId="23AADA88" w14:textId="77777777" w:rsidR="00454A29" w:rsidRDefault="00454A29">
            <w:pPr>
              <w:pStyle w:val="ConsPlusNormal"/>
              <w:jc w:val="right"/>
            </w:pPr>
            <w:r>
              <w:t>3 500,0</w:t>
            </w:r>
          </w:p>
        </w:tc>
        <w:tc>
          <w:tcPr>
            <w:tcW w:w="2041" w:type="dxa"/>
            <w:vMerge/>
          </w:tcPr>
          <w:p w14:paraId="6C8E5EC8" w14:textId="77777777" w:rsidR="00454A29" w:rsidRDefault="00454A29"/>
        </w:tc>
        <w:tc>
          <w:tcPr>
            <w:tcW w:w="2778" w:type="dxa"/>
            <w:vMerge/>
          </w:tcPr>
          <w:p w14:paraId="2CD71485" w14:textId="77777777" w:rsidR="00454A29" w:rsidRDefault="00454A29"/>
        </w:tc>
        <w:tc>
          <w:tcPr>
            <w:tcW w:w="1304" w:type="dxa"/>
            <w:vMerge/>
          </w:tcPr>
          <w:p w14:paraId="523B0184" w14:textId="77777777" w:rsidR="00454A29" w:rsidRDefault="00454A29"/>
        </w:tc>
        <w:tc>
          <w:tcPr>
            <w:tcW w:w="960" w:type="dxa"/>
            <w:vMerge/>
          </w:tcPr>
          <w:p w14:paraId="3CB5FE91" w14:textId="77777777" w:rsidR="00454A29" w:rsidRDefault="00454A29"/>
        </w:tc>
        <w:tc>
          <w:tcPr>
            <w:tcW w:w="960" w:type="dxa"/>
            <w:vMerge/>
          </w:tcPr>
          <w:p w14:paraId="2CF3E3CF" w14:textId="77777777" w:rsidR="00454A29" w:rsidRDefault="00454A29"/>
        </w:tc>
        <w:tc>
          <w:tcPr>
            <w:tcW w:w="960" w:type="dxa"/>
            <w:vMerge/>
          </w:tcPr>
          <w:p w14:paraId="23773B97" w14:textId="77777777" w:rsidR="00454A29" w:rsidRDefault="00454A29"/>
        </w:tc>
        <w:tc>
          <w:tcPr>
            <w:tcW w:w="960" w:type="dxa"/>
            <w:vMerge/>
          </w:tcPr>
          <w:p w14:paraId="3035DCF5" w14:textId="77777777" w:rsidR="00454A29" w:rsidRDefault="00454A29"/>
        </w:tc>
        <w:tc>
          <w:tcPr>
            <w:tcW w:w="960" w:type="dxa"/>
            <w:vMerge/>
          </w:tcPr>
          <w:p w14:paraId="1D6A7953" w14:textId="77777777" w:rsidR="00454A29" w:rsidRDefault="00454A29"/>
        </w:tc>
      </w:tr>
      <w:tr w:rsidR="00454A29" w14:paraId="2530FC68" w14:textId="77777777">
        <w:tc>
          <w:tcPr>
            <w:tcW w:w="640" w:type="dxa"/>
            <w:vMerge/>
          </w:tcPr>
          <w:p w14:paraId="2AD6999C" w14:textId="77777777" w:rsidR="00454A29" w:rsidRDefault="00454A29"/>
        </w:tc>
        <w:tc>
          <w:tcPr>
            <w:tcW w:w="2268" w:type="dxa"/>
            <w:vMerge/>
          </w:tcPr>
          <w:p w14:paraId="05CFB24B" w14:textId="77777777" w:rsidR="00454A29" w:rsidRDefault="00454A29"/>
        </w:tc>
        <w:tc>
          <w:tcPr>
            <w:tcW w:w="2665" w:type="dxa"/>
            <w:vMerge/>
          </w:tcPr>
          <w:p w14:paraId="0BF798B4" w14:textId="77777777" w:rsidR="00454A29" w:rsidRDefault="00454A29"/>
        </w:tc>
        <w:tc>
          <w:tcPr>
            <w:tcW w:w="3061" w:type="dxa"/>
            <w:vAlign w:val="center"/>
          </w:tcPr>
          <w:p w14:paraId="34A9E05F" w14:textId="77777777" w:rsidR="00454A29" w:rsidRDefault="00454A29">
            <w:pPr>
              <w:pStyle w:val="ConsPlusNormal"/>
            </w:pPr>
            <w:r>
              <w:t>Местные бюджеты</w:t>
            </w:r>
          </w:p>
        </w:tc>
        <w:tc>
          <w:tcPr>
            <w:tcW w:w="1247" w:type="dxa"/>
            <w:vAlign w:val="center"/>
          </w:tcPr>
          <w:p w14:paraId="74117214" w14:textId="77777777" w:rsidR="00454A29" w:rsidRDefault="00454A29">
            <w:pPr>
              <w:pStyle w:val="ConsPlusNormal"/>
              <w:jc w:val="right"/>
            </w:pPr>
            <w:r>
              <w:t>0,0</w:t>
            </w:r>
          </w:p>
        </w:tc>
        <w:tc>
          <w:tcPr>
            <w:tcW w:w="1247" w:type="dxa"/>
            <w:vAlign w:val="center"/>
          </w:tcPr>
          <w:p w14:paraId="5C5253BD" w14:textId="77777777" w:rsidR="00454A29" w:rsidRDefault="00454A29">
            <w:pPr>
              <w:pStyle w:val="ConsPlusNormal"/>
              <w:jc w:val="right"/>
            </w:pPr>
            <w:r>
              <w:t>0,0</w:t>
            </w:r>
          </w:p>
        </w:tc>
        <w:tc>
          <w:tcPr>
            <w:tcW w:w="1247" w:type="dxa"/>
            <w:vAlign w:val="center"/>
          </w:tcPr>
          <w:p w14:paraId="5D6357D8" w14:textId="77777777" w:rsidR="00454A29" w:rsidRDefault="00454A29">
            <w:pPr>
              <w:pStyle w:val="ConsPlusNormal"/>
              <w:jc w:val="right"/>
            </w:pPr>
            <w:r>
              <w:t>0,0</w:t>
            </w:r>
          </w:p>
        </w:tc>
        <w:tc>
          <w:tcPr>
            <w:tcW w:w="1247" w:type="dxa"/>
            <w:vAlign w:val="center"/>
          </w:tcPr>
          <w:p w14:paraId="472DDFAC" w14:textId="77777777" w:rsidR="00454A29" w:rsidRDefault="00454A29">
            <w:pPr>
              <w:pStyle w:val="ConsPlusNormal"/>
              <w:jc w:val="right"/>
            </w:pPr>
            <w:r>
              <w:t>0,0</w:t>
            </w:r>
          </w:p>
        </w:tc>
        <w:tc>
          <w:tcPr>
            <w:tcW w:w="1247" w:type="dxa"/>
            <w:vAlign w:val="center"/>
          </w:tcPr>
          <w:p w14:paraId="45EA9A08" w14:textId="77777777" w:rsidR="00454A29" w:rsidRDefault="00454A29">
            <w:pPr>
              <w:pStyle w:val="ConsPlusNormal"/>
              <w:jc w:val="right"/>
            </w:pPr>
            <w:r>
              <w:t>0,0</w:t>
            </w:r>
          </w:p>
        </w:tc>
        <w:tc>
          <w:tcPr>
            <w:tcW w:w="2041" w:type="dxa"/>
            <w:vMerge/>
          </w:tcPr>
          <w:p w14:paraId="542408DC" w14:textId="77777777" w:rsidR="00454A29" w:rsidRDefault="00454A29"/>
        </w:tc>
        <w:tc>
          <w:tcPr>
            <w:tcW w:w="2778" w:type="dxa"/>
            <w:vMerge w:val="restart"/>
            <w:vAlign w:val="center"/>
          </w:tcPr>
          <w:p w14:paraId="0574C59A" w14:textId="77777777" w:rsidR="00454A29" w:rsidRDefault="00454A29">
            <w:pPr>
              <w:pStyle w:val="ConsPlusNormal"/>
              <w:jc w:val="center"/>
            </w:pPr>
            <w:r>
              <w:t>Количество детей, изучающих языки коренных малочисленных народов Севера</w:t>
            </w:r>
          </w:p>
        </w:tc>
        <w:tc>
          <w:tcPr>
            <w:tcW w:w="1304" w:type="dxa"/>
            <w:vMerge w:val="restart"/>
            <w:vAlign w:val="center"/>
          </w:tcPr>
          <w:p w14:paraId="6BCD6B13" w14:textId="77777777" w:rsidR="00454A29" w:rsidRDefault="00454A29">
            <w:pPr>
              <w:pStyle w:val="ConsPlusNormal"/>
              <w:jc w:val="center"/>
            </w:pPr>
            <w:r>
              <w:t>чел.</w:t>
            </w:r>
          </w:p>
        </w:tc>
        <w:tc>
          <w:tcPr>
            <w:tcW w:w="960" w:type="dxa"/>
            <w:vMerge w:val="restart"/>
            <w:vAlign w:val="center"/>
          </w:tcPr>
          <w:p w14:paraId="4291B8B4" w14:textId="77777777" w:rsidR="00454A29" w:rsidRDefault="00454A29">
            <w:pPr>
              <w:pStyle w:val="ConsPlusNormal"/>
              <w:jc w:val="center"/>
            </w:pPr>
            <w:r>
              <w:t>3000</w:t>
            </w:r>
          </w:p>
        </w:tc>
        <w:tc>
          <w:tcPr>
            <w:tcW w:w="960" w:type="dxa"/>
            <w:vMerge w:val="restart"/>
            <w:vAlign w:val="center"/>
          </w:tcPr>
          <w:p w14:paraId="6B67B485" w14:textId="77777777" w:rsidR="00454A29" w:rsidRDefault="00454A29">
            <w:pPr>
              <w:pStyle w:val="ConsPlusNormal"/>
              <w:jc w:val="center"/>
            </w:pPr>
            <w:r>
              <w:t>3000</w:t>
            </w:r>
          </w:p>
        </w:tc>
        <w:tc>
          <w:tcPr>
            <w:tcW w:w="960" w:type="dxa"/>
            <w:vMerge w:val="restart"/>
            <w:vAlign w:val="center"/>
          </w:tcPr>
          <w:p w14:paraId="04853813" w14:textId="77777777" w:rsidR="00454A29" w:rsidRDefault="00454A29">
            <w:pPr>
              <w:pStyle w:val="ConsPlusNormal"/>
              <w:jc w:val="center"/>
            </w:pPr>
            <w:r>
              <w:t>3000</w:t>
            </w:r>
          </w:p>
        </w:tc>
        <w:tc>
          <w:tcPr>
            <w:tcW w:w="960" w:type="dxa"/>
            <w:vMerge w:val="restart"/>
            <w:vAlign w:val="center"/>
          </w:tcPr>
          <w:p w14:paraId="05C4D7CB" w14:textId="77777777" w:rsidR="00454A29" w:rsidRDefault="00454A29">
            <w:pPr>
              <w:pStyle w:val="ConsPlusNormal"/>
              <w:jc w:val="center"/>
            </w:pPr>
            <w:r>
              <w:t>3010</w:t>
            </w:r>
          </w:p>
        </w:tc>
        <w:tc>
          <w:tcPr>
            <w:tcW w:w="960" w:type="dxa"/>
            <w:vMerge w:val="restart"/>
            <w:vAlign w:val="center"/>
          </w:tcPr>
          <w:p w14:paraId="6B9744A2" w14:textId="77777777" w:rsidR="00454A29" w:rsidRDefault="00454A29">
            <w:pPr>
              <w:pStyle w:val="ConsPlusNormal"/>
              <w:jc w:val="center"/>
            </w:pPr>
            <w:r>
              <w:t>3020</w:t>
            </w:r>
          </w:p>
        </w:tc>
      </w:tr>
      <w:tr w:rsidR="00454A29" w14:paraId="332D154E" w14:textId="77777777">
        <w:tc>
          <w:tcPr>
            <w:tcW w:w="640" w:type="dxa"/>
            <w:vMerge/>
          </w:tcPr>
          <w:p w14:paraId="634FD781" w14:textId="77777777" w:rsidR="00454A29" w:rsidRDefault="00454A29"/>
        </w:tc>
        <w:tc>
          <w:tcPr>
            <w:tcW w:w="2268" w:type="dxa"/>
            <w:vMerge/>
          </w:tcPr>
          <w:p w14:paraId="090B52C6" w14:textId="77777777" w:rsidR="00454A29" w:rsidRDefault="00454A29"/>
        </w:tc>
        <w:tc>
          <w:tcPr>
            <w:tcW w:w="2665" w:type="dxa"/>
            <w:vMerge/>
          </w:tcPr>
          <w:p w14:paraId="1273206B" w14:textId="77777777" w:rsidR="00454A29" w:rsidRDefault="00454A29"/>
        </w:tc>
        <w:tc>
          <w:tcPr>
            <w:tcW w:w="3061" w:type="dxa"/>
            <w:vAlign w:val="center"/>
          </w:tcPr>
          <w:p w14:paraId="65AF5BF8" w14:textId="77777777" w:rsidR="00454A29" w:rsidRDefault="00454A29">
            <w:pPr>
              <w:pStyle w:val="ConsPlusNormal"/>
            </w:pPr>
            <w:r>
              <w:t>Внебюджетные источники</w:t>
            </w:r>
          </w:p>
        </w:tc>
        <w:tc>
          <w:tcPr>
            <w:tcW w:w="1247" w:type="dxa"/>
            <w:vAlign w:val="center"/>
          </w:tcPr>
          <w:p w14:paraId="136834A7" w14:textId="77777777" w:rsidR="00454A29" w:rsidRDefault="00454A29">
            <w:pPr>
              <w:pStyle w:val="ConsPlusNormal"/>
              <w:jc w:val="right"/>
            </w:pPr>
            <w:r>
              <w:t>0,0</w:t>
            </w:r>
          </w:p>
        </w:tc>
        <w:tc>
          <w:tcPr>
            <w:tcW w:w="1247" w:type="dxa"/>
            <w:vAlign w:val="center"/>
          </w:tcPr>
          <w:p w14:paraId="1FB8B24D" w14:textId="77777777" w:rsidR="00454A29" w:rsidRDefault="00454A29">
            <w:pPr>
              <w:pStyle w:val="ConsPlusNormal"/>
              <w:jc w:val="right"/>
            </w:pPr>
            <w:r>
              <w:t>0,0</w:t>
            </w:r>
          </w:p>
        </w:tc>
        <w:tc>
          <w:tcPr>
            <w:tcW w:w="1247" w:type="dxa"/>
            <w:vAlign w:val="center"/>
          </w:tcPr>
          <w:p w14:paraId="0B9D0054" w14:textId="77777777" w:rsidR="00454A29" w:rsidRDefault="00454A29">
            <w:pPr>
              <w:pStyle w:val="ConsPlusNormal"/>
              <w:jc w:val="right"/>
            </w:pPr>
            <w:r>
              <w:t>0,0</w:t>
            </w:r>
          </w:p>
        </w:tc>
        <w:tc>
          <w:tcPr>
            <w:tcW w:w="1247" w:type="dxa"/>
            <w:vAlign w:val="center"/>
          </w:tcPr>
          <w:p w14:paraId="21224D84" w14:textId="77777777" w:rsidR="00454A29" w:rsidRDefault="00454A29">
            <w:pPr>
              <w:pStyle w:val="ConsPlusNormal"/>
              <w:jc w:val="right"/>
            </w:pPr>
            <w:r>
              <w:t>0,0</w:t>
            </w:r>
          </w:p>
        </w:tc>
        <w:tc>
          <w:tcPr>
            <w:tcW w:w="1247" w:type="dxa"/>
            <w:vAlign w:val="center"/>
          </w:tcPr>
          <w:p w14:paraId="3C0480DE" w14:textId="77777777" w:rsidR="00454A29" w:rsidRDefault="00454A29">
            <w:pPr>
              <w:pStyle w:val="ConsPlusNormal"/>
              <w:jc w:val="right"/>
            </w:pPr>
            <w:r>
              <w:t>0,0</w:t>
            </w:r>
          </w:p>
        </w:tc>
        <w:tc>
          <w:tcPr>
            <w:tcW w:w="2041" w:type="dxa"/>
            <w:vMerge/>
          </w:tcPr>
          <w:p w14:paraId="13D09C2B" w14:textId="77777777" w:rsidR="00454A29" w:rsidRDefault="00454A29"/>
        </w:tc>
        <w:tc>
          <w:tcPr>
            <w:tcW w:w="2778" w:type="dxa"/>
            <w:vMerge/>
          </w:tcPr>
          <w:p w14:paraId="4503D717" w14:textId="77777777" w:rsidR="00454A29" w:rsidRDefault="00454A29"/>
        </w:tc>
        <w:tc>
          <w:tcPr>
            <w:tcW w:w="1304" w:type="dxa"/>
            <w:vMerge/>
          </w:tcPr>
          <w:p w14:paraId="3F5F7368" w14:textId="77777777" w:rsidR="00454A29" w:rsidRDefault="00454A29"/>
        </w:tc>
        <w:tc>
          <w:tcPr>
            <w:tcW w:w="960" w:type="dxa"/>
            <w:vMerge/>
          </w:tcPr>
          <w:p w14:paraId="4BDB45C1" w14:textId="77777777" w:rsidR="00454A29" w:rsidRDefault="00454A29"/>
        </w:tc>
        <w:tc>
          <w:tcPr>
            <w:tcW w:w="960" w:type="dxa"/>
            <w:vMerge/>
          </w:tcPr>
          <w:p w14:paraId="360FE950" w14:textId="77777777" w:rsidR="00454A29" w:rsidRDefault="00454A29"/>
        </w:tc>
        <w:tc>
          <w:tcPr>
            <w:tcW w:w="960" w:type="dxa"/>
            <w:vMerge/>
          </w:tcPr>
          <w:p w14:paraId="1B7660A1" w14:textId="77777777" w:rsidR="00454A29" w:rsidRDefault="00454A29"/>
        </w:tc>
        <w:tc>
          <w:tcPr>
            <w:tcW w:w="960" w:type="dxa"/>
            <w:vMerge/>
          </w:tcPr>
          <w:p w14:paraId="2765CDAB" w14:textId="77777777" w:rsidR="00454A29" w:rsidRDefault="00454A29"/>
        </w:tc>
        <w:tc>
          <w:tcPr>
            <w:tcW w:w="960" w:type="dxa"/>
            <w:vMerge/>
          </w:tcPr>
          <w:p w14:paraId="078FD00C" w14:textId="77777777" w:rsidR="00454A29" w:rsidRDefault="00454A29"/>
        </w:tc>
      </w:tr>
      <w:tr w:rsidR="00454A29" w14:paraId="37E931A2" w14:textId="77777777">
        <w:tc>
          <w:tcPr>
            <w:tcW w:w="640" w:type="dxa"/>
            <w:vMerge w:val="restart"/>
            <w:vAlign w:val="center"/>
          </w:tcPr>
          <w:p w14:paraId="63972CF9" w14:textId="77777777" w:rsidR="00454A29" w:rsidRDefault="00454A29">
            <w:pPr>
              <w:pStyle w:val="ConsPlusNormal"/>
              <w:jc w:val="center"/>
            </w:pPr>
            <w:r>
              <w:t>2</w:t>
            </w:r>
          </w:p>
        </w:tc>
        <w:tc>
          <w:tcPr>
            <w:tcW w:w="2268" w:type="dxa"/>
            <w:vMerge w:val="restart"/>
            <w:vAlign w:val="center"/>
          </w:tcPr>
          <w:p w14:paraId="39A52BEB" w14:textId="77777777" w:rsidR="00454A29" w:rsidRDefault="00454A29">
            <w:pPr>
              <w:pStyle w:val="ConsPlusNormal"/>
              <w:jc w:val="center"/>
            </w:pPr>
            <w:r>
              <w:t>Основное мероприятие 8.2.</w:t>
            </w:r>
          </w:p>
        </w:tc>
        <w:tc>
          <w:tcPr>
            <w:tcW w:w="2665" w:type="dxa"/>
            <w:vMerge w:val="restart"/>
            <w:vAlign w:val="center"/>
          </w:tcPr>
          <w:p w14:paraId="10929996" w14:textId="77777777" w:rsidR="00454A29" w:rsidRDefault="00454A29">
            <w:pPr>
              <w:pStyle w:val="ConsPlusNormal"/>
              <w:jc w:val="center"/>
            </w:pPr>
            <w:r>
              <w:t>Внедрение образовательной инициативы "Арктическое образование"</w:t>
            </w:r>
          </w:p>
        </w:tc>
        <w:tc>
          <w:tcPr>
            <w:tcW w:w="3061" w:type="dxa"/>
            <w:vAlign w:val="center"/>
          </w:tcPr>
          <w:p w14:paraId="631AC058" w14:textId="77777777" w:rsidR="00454A29" w:rsidRDefault="00454A29">
            <w:pPr>
              <w:pStyle w:val="ConsPlusNormal"/>
            </w:pPr>
            <w:r>
              <w:t>Всего:</w:t>
            </w:r>
          </w:p>
        </w:tc>
        <w:tc>
          <w:tcPr>
            <w:tcW w:w="1247" w:type="dxa"/>
            <w:vAlign w:val="center"/>
          </w:tcPr>
          <w:p w14:paraId="1451DA4C" w14:textId="77777777" w:rsidR="00454A29" w:rsidRDefault="00454A29">
            <w:pPr>
              <w:pStyle w:val="ConsPlusNormal"/>
              <w:jc w:val="right"/>
            </w:pPr>
            <w:r>
              <w:t>3 500,0</w:t>
            </w:r>
          </w:p>
        </w:tc>
        <w:tc>
          <w:tcPr>
            <w:tcW w:w="1247" w:type="dxa"/>
            <w:vAlign w:val="center"/>
          </w:tcPr>
          <w:p w14:paraId="23303F6C" w14:textId="77777777" w:rsidR="00454A29" w:rsidRDefault="00454A29">
            <w:pPr>
              <w:pStyle w:val="ConsPlusNormal"/>
              <w:jc w:val="right"/>
            </w:pPr>
            <w:r>
              <w:t>3 500,0</w:t>
            </w:r>
          </w:p>
        </w:tc>
        <w:tc>
          <w:tcPr>
            <w:tcW w:w="1247" w:type="dxa"/>
            <w:vAlign w:val="center"/>
          </w:tcPr>
          <w:p w14:paraId="0CFDD35A" w14:textId="77777777" w:rsidR="00454A29" w:rsidRDefault="00454A29">
            <w:pPr>
              <w:pStyle w:val="ConsPlusNormal"/>
              <w:jc w:val="right"/>
            </w:pPr>
            <w:r>
              <w:t>3 500,0</w:t>
            </w:r>
          </w:p>
        </w:tc>
        <w:tc>
          <w:tcPr>
            <w:tcW w:w="1247" w:type="dxa"/>
            <w:vAlign w:val="center"/>
          </w:tcPr>
          <w:p w14:paraId="00A1D142" w14:textId="77777777" w:rsidR="00454A29" w:rsidRDefault="00454A29">
            <w:pPr>
              <w:pStyle w:val="ConsPlusNormal"/>
              <w:jc w:val="right"/>
            </w:pPr>
            <w:r>
              <w:t>3 500,0</w:t>
            </w:r>
          </w:p>
        </w:tc>
        <w:tc>
          <w:tcPr>
            <w:tcW w:w="1247" w:type="dxa"/>
            <w:vAlign w:val="center"/>
          </w:tcPr>
          <w:p w14:paraId="5AE56EDF" w14:textId="77777777" w:rsidR="00454A29" w:rsidRDefault="00454A29">
            <w:pPr>
              <w:pStyle w:val="ConsPlusNormal"/>
              <w:jc w:val="right"/>
            </w:pPr>
            <w:r>
              <w:t>3 500,0</w:t>
            </w:r>
          </w:p>
        </w:tc>
        <w:tc>
          <w:tcPr>
            <w:tcW w:w="2041" w:type="dxa"/>
            <w:vMerge w:val="restart"/>
            <w:vAlign w:val="center"/>
          </w:tcPr>
          <w:p w14:paraId="2EDB4D10" w14:textId="77777777" w:rsidR="00454A29" w:rsidRDefault="00454A29">
            <w:pPr>
              <w:pStyle w:val="ConsPlusNormal"/>
              <w:jc w:val="center"/>
            </w:pPr>
            <w:r>
              <w:t>Министерство образования и науки Республики Саха (Якутия)</w:t>
            </w:r>
          </w:p>
        </w:tc>
        <w:tc>
          <w:tcPr>
            <w:tcW w:w="2778" w:type="dxa"/>
            <w:vMerge w:val="restart"/>
            <w:vAlign w:val="center"/>
          </w:tcPr>
          <w:p w14:paraId="2E281AE8" w14:textId="77777777" w:rsidR="00454A29" w:rsidRDefault="00454A29">
            <w:pPr>
              <w:pStyle w:val="ConsPlusNormal"/>
              <w:jc w:val="center"/>
            </w:pPr>
            <w:r>
              <w:t>Количество учителей Арктики, повысивших квалификацию и распространивших передовой педагогический опыт</w:t>
            </w:r>
          </w:p>
        </w:tc>
        <w:tc>
          <w:tcPr>
            <w:tcW w:w="1304" w:type="dxa"/>
            <w:vMerge w:val="restart"/>
            <w:vAlign w:val="center"/>
          </w:tcPr>
          <w:p w14:paraId="539D03AE" w14:textId="77777777" w:rsidR="00454A29" w:rsidRDefault="00454A29">
            <w:pPr>
              <w:pStyle w:val="ConsPlusNormal"/>
              <w:jc w:val="center"/>
            </w:pPr>
            <w:r>
              <w:t>чел.</w:t>
            </w:r>
          </w:p>
        </w:tc>
        <w:tc>
          <w:tcPr>
            <w:tcW w:w="960" w:type="dxa"/>
            <w:vMerge w:val="restart"/>
            <w:vAlign w:val="center"/>
          </w:tcPr>
          <w:p w14:paraId="49A31C67" w14:textId="77777777" w:rsidR="00454A29" w:rsidRDefault="00454A29">
            <w:pPr>
              <w:pStyle w:val="ConsPlusNormal"/>
              <w:jc w:val="center"/>
            </w:pPr>
            <w:r>
              <w:t>30</w:t>
            </w:r>
          </w:p>
        </w:tc>
        <w:tc>
          <w:tcPr>
            <w:tcW w:w="960" w:type="dxa"/>
            <w:vMerge w:val="restart"/>
            <w:vAlign w:val="center"/>
          </w:tcPr>
          <w:p w14:paraId="11856E5E" w14:textId="77777777" w:rsidR="00454A29" w:rsidRDefault="00454A29">
            <w:pPr>
              <w:pStyle w:val="ConsPlusNormal"/>
              <w:jc w:val="center"/>
            </w:pPr>
            <w:r>
              <w:t>30</w:t>
            </w:r>
          </w:p>
        </w:tc>
        <w:tc>
          <w:tcPr>
            <w:tcW w:w="960" w:type="dxa"/>
            <w:vMerge w:val="restart"/>
            <w:vAlign w:val="center"/>
          </w:tcPr>
          <w:p w14:paraId="46E7C28C" w14:textId="77777777" w:rsidR="00454A29" w:rsidRDefault="00454A29">
            <w:pPr>
              <w:pStyle w:val="ConsPlusNormal"/>
              <w:jc w:val="center"/>
            </w:pPr>
            <w:r>
              <w:t>60</w:t>
            </w:r>
          </w:p>
        </w:tc>
        <w:tc>
          <w:tcPr>
            <w:tcW w:w="960" w:type="dxa"/>
            <w:vMerge w:val="restart"/>
            <w:vAlign w:val="center"/>
          </w:tcPr>
          <w:p w14:paraId="441F49C1" w14:textId="77777777" w:rsidR="00454A29" w:rsidRDefault="00454A29">
            <w:pPr>
              <w:pStyle w:val="ConsPlusNormal"/>
              <w:jc w:val="center"/>
            </w:pPr>
            <w:r>
              <w:t>90</w:t>
            </w:r>
          </w:p>
        </w:tc>
        <w:tc>
          <w:tcPr>
            <w:tcW w:w="960" w:type="dxa"/>
            <w:vMerge w:val="restart"/>
            <w:vAlign w:val="center"/>
          </w:tcPr>
          <w:p w14:paraId="7F5D433B" w14:textId="77777777" w:rsidR="00454A29" w:rsidRDefault="00454A29">
            <w:pPr>
              <w:pStyle w:val="ConsPlusNormal"/>
              <w:jc w:val="center"/>
            </w:pPr>
            <w:r>
              <w:t>120</w:t>
            </w:r>
          </w:p>
        </w:tc>
      </w:tr>
      <w:tr w:rsidR="00454A29" w14:paraId="5EEAC0B4" w14:textId="77777777">
        <w:tc>
          <w:tcPr>
            <w:tcW w:w="640" w:type="dxa"/>
            <w:vMerge/>
          </w:tcPr>
          <w:p w14:paraId="0821EFCB" w14:textId="77777777" w:rsidR="00454A29" w:rsidRDefault="00454A29"/>
        </w:tc>
        <w:tc>
          <w:tcPr>
            <w:tcW w:w="2268" w:type="dxa"/>
            <w:vMerge/>
          </w:tcPr>
          <w:p w14:paraId="18F8ED5B" w14:textId="77777777" w:rsidR="00454A29" w:rsidRDefault="00454A29"/>
        </w:tc>
        <w:tc>
          <w:tcPr>
            <w:tcW w:w="2665" w:type="dxa"/>
            <w:vMerge/>
          </w:tcPr>
          <w:p w14:paraId="20B66ECA" w14:textId="77777777" w:rsidR="00454A29" w:rsidRDefault="00454A29"/>
        </w:tc>
        <w:tc>
          <w:tcPr>
            <w:tcW w:w="3061" w:type="dxa"/>
            <w:vAlign w:val="center"/>
          </w:tcPr>
          <w:p w14:paraId="11C4EDBD" w14:textId="77777777" w:rsidR="00454A29" w:rsidRDefault="00454A29">
            <w:pPr>
              <w:pStyle w:val="ConsPlusNormal"/>
            </w:pPr>
            <w:r>
              <w:t>Федеральный бюджет</w:t>
            </w:r>
          </w:p>
        </w:tc>
        <w:tc>
          <w:tcPr>
            <w:tcW w:w="1247" w:type="dxa"/>
            <w:vAlign w:val="center"/>
          </w:tcPr>
          <w:p w14:paraId="4AE12189" w14:textId="77777777" w:rsidR="00454A29" w:rsidRDefault="00454A29">
            <w:pPr>
              <w:pStyle w:val="ConsPlusNormal"/>
              <w:jc w:val="right"/>
            </w:pPr>
            <w:r>
              <w:t>0,0</w:t>
            </w:r>
          </w:p>
        </w:tc>
        <w:tc>
          <w:tcPr>
            <w:tcW w:w="1247" w:type="dxa"/>
            <w:vAlign w:val="center"/>
          </w:tcPr>
          <w:p w14:paraId="39D04F40" w14:textId="77777777" w:rsidR="00454A29" w:rsidRDefault="00454A29">
            <w:pPr>
              <w:pStyle w:val="ConsPlusNormal"/>
              <w:jc w:val="right"/>
            </w:pPr>
            <w:r>
              <w:t>0,0</w:t>
            </w:r>
          </w:p>
        </w:tc>
        <w:tc>
          <w:tcPr>
            <w:tcW w:w="1247" w:type="dxa"/>
            <w:vAlign w:val="center"/>
          </w:tcPr>
          <w:p w14:paraId="077D12DC" w14:textId="77777777" w:rsidR="00454A29" w:rsidRDefault="00454A29">
            <w:pPr>
              <w:pStyle w:val="ConsPlusNormal"/>
              <w:jc w:val="right"/>
            </w:pPr>
            <w:r>
              <w:t>0,0</w:t>
            </w:r>
          </w:p>
        </w:tc>
        <w:tc>
          <w:tcPr>
            <w:tcW w:w="1247" w:type="dxa"/>
            <w:vAlign w:val="center"/>
          </w:tcPr>
          <w:p w14:paraId="644935C5" w14:textId="77777777" w:rsidR="00454A29" w:rsidRDefault="00454A29">
            <w:pPr>
              <w:pStyle w:val="ConsPlusNormal"/>
              <w:jc w:val="right"/>
            </w:pPr>
            <w:r>
              <w:t>0,0</w:t>
            </w:r>
          </w:p>
        </w:tc>
        <w:tc>
          <w:tcPr>
            <w:tcW w:w="1247" w:type="dxa"/>
            <w:vAlign w:val="center"/>
          </w:tcPr>
          <w:p w14:paraId="67A0BB14" w14:textId="77777777" w:rsidR="00454A29" w:rsidRDefault="00454A29">
            <w:pPr>
              <w:pStyle w:val="ConsPlusNormal"/>
              <w:jc w:val="right"/>
            </w:pPr>
            <w:r>
              <w:t>0,0</w:t>
            </w:r>
          </w:p>
        </w:tc>
        <w:tc>
          <w:tcPr>
            <w:tcW w:w="2041" w:type="dxa"/>
            <w:vMerge/>
          </w:tcPr>
          <w:p w14:paraId="1C35D96A" w14:textId="77777777" w:rsidR="00454A29" w:rsidRDefault="00454A29"/>
        </w:tc>
        <w:tc>
          <w:tcPr>
            <w:tcW w:w="2778" w:type="dxa"/>
            <w:vMerge/>
          </w:tcPr>
          <w:p w14:paraId="58E2879B" w14:textId="77777777" w:rsidR="00454A29" w:rsidRDefault="00454A29"/>
        </w:tc>
        <w:tc>
          <w:tcPr>
            <w:tcW w:w="1304" w:type="dxa"/>
            <w:vMerge/>
          </w:tcPr>
          <w:p w14:paraId="057925D2" w14:textId="77777777" w:rsidR="00454A29" w:rsidRDefault="00454A29"/>
        </w:tc>
        <w:tc>
          <w:tcPr>
            <w:tcW w:w="960" w:type="dxa"/>
            <w:vMerge/>
          </w:tcPr>
          <w:p w14:paraId="13AC9AF8" w14:textId="77777777" w:rsidR="00454A29" w:rsidRDefault="00454A29"/>
        </w:tc>
        <w:tc>
          <w:tcPr>
            <w:tcW w:w="960" w:type="dxa"/>
            <w:vMerge/>
          </w:tcPr>
          <w:p w14:paraId="5FC1DFFA" w14:textId="77777777" w:rsidR="00454A29" w:rsidRDefault="00454A29"/>
        </w:tc>
        <w:tc>
          <w:tcPr>
            <w:tcW w:w="960" w:type="dxa"/>
            <w:vMerge/>
          </w:tcPr>
          <w:p w14:paraId="2BBA6964" w14:textId="77777777" w:rsidR="00454A29" w:rsidRDefault="00454A29"/>
        </w:tc>
        <w:tc>
          <w:tcPr>
            <w:tcW w:w="960" w:type="dxa"/>
            <w:vMerge/>
          </w:tcPr>
          <w:p w14:paraId="2969E690" w14:textId="77777777" w:rsidR="00454A29" w:rsidRDefault="00454A29"/>
        </w:tc>
        <w:tc>
          <w:tcPr>
            <w:tcW w:w="960" w:type="dxa"/>
            <w:vMerge/>
          </w:tcPr>
          <w:p w14:paraId="5EBEF5DB" w14:textId="77777777" w:rsidR="00454A29" w:rsidRDefault="00454A29"/>
        </w:tc>
      </w:tr>
      <w:tr w:rsidR="00454A29" w14:paraId="6876AFDD" w14:textId="77777777">
        <w:tc>
          <w:tcPr>
            <w:tcW w:w="640" w:type="dxa"/>
            <w:vMerge/>
          </w:tcPr>
          <w:p w14:paraId="6EEF93AD" w14:textId="77777777" w:rsidR="00454A29" w:rsidRDefault="00454A29"/>
        </w:tc>
        <w:tc>
          <w:tcPr>
            <w:tcW w:w="2268" w:type="dxa"/>
            <w:vMerge/>
          </w:tcPr>
          <w:p w14:paraId="78014F54" w14:textId="77777777" w:rsidR="00454A29" w:rsidRDefault="00454A29"/>
        </w:tc>
        <w:tc>
          <w:tcPr>
            <w:tcW w:w="2665" w:type="dxa"/>
            <w:vMerge/>
          </w:tcPr>
          <w:p w14:paraId="654D308A" w14:textId="77777777" w:rsidR="00454A29" w:rsidRDefault="00454A29"/>
        </w:tc>
        <w:tc>
          <w:tcPr>
            <w:tcW w:w="3061" w:type="dxa"/>
            <w:vAlign w:val="center"/>
          </w:tcPr>
          <w:p w14:paraId="5D4C150B" w14:textId="77777777" w:rsidR="00454A29" w:rsidRDefault="00454A29">
            <w:pPr>
              <w:pStyle w:val="ConsPlusNormal"/>
            </w:pPr>
            <w:r>
              <w:t>Государственный бюджет Республики Саха (Якутия)</w:t>
            </w:r>
          </w:p>
        </w:tc>
        <w:tc>
          <w:tcPr>
            <w:tcW w:w="1247" w:type="dxa"/>
            <w:vAlign w:val="center"/>
          </w:tcPr>
          <w:p w14:paraId="4AD02AF3" w14:textId="77777777" w:rsidR="00454A29" w:rsidRDefault="00454A29">
            <w:pPr>
              <w:pStyle w:val="ConsPlusNormal"/>
              <w:jc w:val="right"/>
            </w:pPr>
            <w:r>
              <w:t>3 500,0</w:t>
            </w:r>
          </w:p>
        </w:tc>
        <w:tc>
          <w:tcPr>
            <w:tcW w:w="1247" w:type="dxa"/>
            <w:vAlign w:val="center"/>
          </w:tcPr>
          <w:p w14:paraId="2F0C91F5" w14:textId="77777777" w:rsidR="00454A29" w:rsidRDefault="00454A29">
            <w:pPr>
              <w:pStyle w:val="ConsPlusNormal"/>
              <w:jc w:val="right"/>
            </w:pPr>
            <w:r>
              <w:t>3 500,0</w:t>
            </w:r>
          </w:p>
        </w:tc>
        <w:tc>
          <w:tcPr>
            <w:tcW w:w="1247" w:type="dxa"/>
            <w:vAlign w:val="center"/>
          </w:tcPr>
          <w:p w14:paraId="10482A24" w14:textId="77777777" w:rsidR="00454A29" w:rsidRDefault="00454A29">
            <w:pPr>
              <w:pStyle w:val="ConsPlusNormal"/>
              <w:jc w:val="right"/>
            </w:pPr>
            <w:r>
              <w:t>3 500,0</w:t>
            </w:r>
          </w:p>
        </w:tc>
        <w:tc>
          <w:tcPr>
            <w:tcW w:w="1247" w:type="dxa"/>
            <w:vAlign w:val="center"/>
          </w:tcPr>
          <w:p w14:paraId="3B855B27" w14:textId="77777777" w:rsidR="00454A29" w:rsidRDefault="00454A29">
            <w:pPr>
              <w:pStyle w:val="ConsPlusNormal"/>
              <w:jc w:val="right"/>
            </w:pPr>
            <w:r>
              <w:t>3 500,0</w:t>
            </w:r>
          </w:p>
        </w:tc>
        <w:tc>
          <w:tcPr>
            <w:tcW w:w="1247" w:type="dxa"/>
            <w:vAlign w:val="center"/>
          </w:tcPr>
          <w:p w14:paraId="0606CA3A" w14:textId="77777777" w:rsidR="00454A29" w:rsidRDefault="00454A29">
            <w:pPr>
              <w:pStyle w:val="ConsPlusNormal"/>
              <w:jc w:val="right"/>
            </w:pPr>
            <w:r>
              <w:t>3 500,0</w:t>
            </w:r>
          </w:p>
        </w:tc>
        <w:tc>
          <w:tcPr>
            <w:tcW w:w="2041" w:type="dxa"/>
            <w:vMerge/>
          </w:tcPr>
          <w:p w14:paraId="4D88CB7E" w14:textId="77777777" w:rsidR="00454A29" w:rsidRDefault="00454A29"/>
        </w:tc>
        <w:tc>
          <w:tcPr>
            <w:tcW w:w="2778" w:type="dxa"/>
            <w:vMerge/>
          </w:tcPr>
          <w:p w14:paraId="13F37200" w14:textId="77777777" w:rsidR="00454A29" w:rsidRDefault="00454A29"/>
        </w:tc>
        <w:tc>
          <w:tcPr>
            <w:tcW w:w="1304" w:type="dxa"/>
            <w:vMerge/>
          </w:tcPr>
          <w:p w14:paraId="7D691993" w14:textId="77777777" w:rsidR="00454A29" w:rsidRDefault="00454A29"/>
        </w:tc>
        <w:tc>
          <w:tcPr>
            <w:tcW w:w="960" w:type="dxa"/>
            <w:vMerge/>
          </w:tcPr>
          <w:p w14:paraId="440729B8" w14:textId="77777777" w:rsidR="00454A29" w:rsidRDefault="00454A29"/>
        </w:tc>
        <w:tc>
          <w:tcPr>
            <w:tcW w:w="960" w:type="dxa"/>
            <w:vMerge/>
          </w:tcPr>
          <w:p w14:paraId="61D8417F" w14:textId="77777777" w:rsidR="00454A29" w:rsidRDefault="00454A29"/>
        </w:tc>
        <w:tc>
          <w:tcPr>
            <w:tcW w:w="960" w:type="dxa"/>
            <w:vMerge/>
          </w:tcPr>
          <w:p w14:paraId="4055942E" w14:textId="77777777" w:rsidR="00454A29" w:rsidRDefault="00454A29"/>
        </w:tc>
        <w:tc>
          <w:tcPr>
            <w:tcW w:w="960" w:type="dxa"/>
            <w:vMerge/>
          </w:tcPr>
          <w:p w14:paraId="2E2289E5" w14:textId="77777777" w:rsidR="00454A29" w:rsidRDefault="00454A29"/>
        </w:tc>
        <w:tc>
          <w:tcPr>
            <w:tcW w:w="960" w:type="dxa"/>
            <w:vMerge/>
          </w:tcPr>
          <w:p w14:paraId="7E10E038" w14:textId="77777777" w:rsidR="00454A29" w:rsidRDefault="00454A29"/>
        </w:tc>
      </w:tr>
      <w:tr w:rsidR="00454A29" w14:paraId="55214BDE" w14:textId="77777777">
        <w:tc>
          <w:tcPr>
            <w:tcW w:w="640" w:type="dxa"/>
            <w:vMerge/>
          </w:tcPr>
          <w:p w14:paraId="2C45A44D" w14:textId="77777777" w:rsidR="00454A29" w:rsidRDefault="00454A29"/>
        </w:tc>
        <w:tc>
          <w:tcPr>
            <w:tcW w:w="2268" w:type="dxa"/>
            <w:vMerge/>
          </w:tcPr>
          <w:p w14:paraId="06BCF0D9" w14:textId="77777777" w:rsidR="00454A29" w:rsidRDefault="00454A29"/>
        </w:tc>
        <w:tc>
          <w:tcPr>
            <w:tcW w:w="2665" w:type="dxa"/>
            <w:vMerge/>
          </w:tcPr>
          <w:p w14:paraId="19706444" w14:textId="77777777" w:rsidR="00454A29" w:rsidRDefault="00454A29"/>
        </w:tc>
        <w:tc>
          <w:tcPr>
            <w:tcW w:w="3061" w:type="dxa"/>
            <w:vAlign w:val="center"/>
          </w:tcPr>
          <w:p w14:paraId="07C3375C" w14:textId="77777777" w:rsidR="00454A29" w:rsidRDefault="00454A29">
            <w:pPr>
              <w:pStyle w:val="ConsPlusNormal"/>
            </w:pPr>
            <w:r>
              <w:t>Местные бюджеты</w:t>
            </w:r>
          </w:p>
        </w:tc>
        <w:tc>
          <w:tcPr>
            <w:tcW w:w="1247" w:type="dxa"/>
            <w:vAlign w:val="center"/>
          </w:tcPr>
          <w:p w14:paraId="672F6FCE" w14:textId="77777777" w:rsidR="00454A29" w:rsidRDefault="00454A29">
            <w:pPr>
              <w:pStyle w:val="ConsPlusNormal"/>
              <w:jc w:val="right"/>
            </w:pPr>
            <w:r>
              <w:t>0,0</w:t>
            </w:r>
          </w:p>
        </w:tc>
        <w:tc>
          <w:tcPr>
            <w:tcW w:w="1247" w:type="dxa"/>
            <w:vAlign w:val="center"/>
          </w:tcPr>
          <w:p w14:paraId="21E11232" w14:textId="77777777" w:rsidR="00454A29" w:rsidRDefault="00454A29">
            <w:pPr>
              <w:pStyle w:val="ConsPlusNormal"/>
              <w:jc w:val="right"/>
            </w:pPr>
            <w:r>
              <w:t>0,0</w:t>
            </w:r>
          </w:p>
        </w:tc>
        <w:tc>
          <w:tcPr>
            <w:tcW w:w="1247" w:type="dxa"/>
            <w:vAlign w:val="center"/>
          </w:tcPr>
          <w:p w14:paraId="5283D244" w14:textId="77777777" w:rsidR="00454A29" w:rsidRDefault="00454A29">
            <w:pPr>
              <w:pStyle w:val="ConsPlusNormal"/>
              <w:jc w:val="right"/>
            </w:pPr>
            <w:r>
              <w:t>0,0</w:t>
            </w:r>
          </w:p>
        </w:tc>
        <w:tc>
          <w:tcPr>
            <w:tcW w:w="1247" w:type="dxa"/>
            <w:vAlign w:val="center"/>
          </w:tcPr>
          <w:p w14:paraId="26266D32" w14:textId="77777777" w:rsidR="00454A29" w:rsidRDefault="00454A29">
            <w:pPr>
              <w:pStyle w:val="ConsPlusNormal"/>
              <w:jc w:val="right"/>
            </w:pPr>
            <w:r>
              <w:t>0,0</w:t>
            </w:r>
          </w:p>
        </w:tc>
        <w:tc>
          <w:tcPr>
            <w:tcW w:w="1247" w:type="dxa"/>
            <w:vAlign w:val="center"/>
          </w:tcPr>
          <w:p w14:paraId="2B37DF9F" w14:textId="77777777" w:rsidR="00454A29" w:rsidRDefault="00454A29">
            <w:pPr>
              <w:pStyle w:val="ConsPlusNormal"/>
              <w:jc w:val="right"/>
            </w:pPr>
            <w:r>
              <w:t>0,0</w:t>
            </w:r>
          </w:p>
        </w:tc>
        <w:tc>
          <w:tcPr>
            <w:tcW w:w="2041" w:type="dxa"/>
            <w:vMerge/>
          </w:tcPr>
          <w:p w14:paraId="198AA30B" w14:textId="77777777" w:rsidR="00454A29" w:rsidRDefault="00454A29"/>
        </w:tc>
        <w:tc>
          <w:tcPr>
            <w:tcW w:w="2778" w:type="dxa"/>
            <w:vMerge/>
          </w:tcPr>
          <w:p w14:paraId="769D8D06" w14:textId="77777777" w:rsidR="00454A29" w:rsidRDefault="00454A29"/>
        </w:tc>
        <w:tc>
          <w:tcPr>
            <w:tcW w:w="1304" w:type="dxa"/>
            <w:vMerge/>
          </w:tcPr>
          <w:p w14:paraId="15380995" w14:textId="77777777" w:rsidR="00454A29" w:rsidRDefault="00454A29"/>
        </w:tc>
        <w:tc>
          <w:tcPr>
            <w:tcW w:w="960" w:type="dxa"/>
            <w:vMerge/>
          </w:tcPr>
          <w:p w14:paraId="21D449E9" w14:textId="77777777" w:rsidR="00454A29" w:rsidRDefault="00454A29"/>
        </w:tc>
        <w:tc>
          <w:tcPr>
            <w:tcW w:w="960" w:type="dxa"/>
            <w:vMerge/>
          </w:tcPr>
          <w:p w14:paraId="68242CA2" w14:textId="77777777" w:rsidR="00454A29" w:rsidRDefault="00454A29"/>
        </w:tc>
        <w:tc>
          <w:tcPr>
            <w:tcW w:w="960" w:type="dxa"/>
            <w:vMerge/>
          </w:tcPr>
          <w:p w14:paraId="4ED13D82" w14:textId="77777777" w:rsidR="00454A29" w:rsidRDefault="00454A29"/>
        </w:tc>
        <w:tc>
          <w:tcPr>
            <w:tcW w:w="960" w:type="dxa"/>
            <w:vMerge/>
          </w:tcPr>
          <w:p w14:paraId="4C318B54" w14:textId="77777777" w:rsidR="00454A29" w:rsidRDefault="00454A29"/>
        </w:tc>
        <w:tc>
          <w:tcPr>
            <w:tcW w:w="960" w:type="dxa"/>
            <w:vMerge/>
          </w:tcPr>
          <w:p w14:paraId="23BAECF6" w14:textId="77777777" w:rsidR="00454A29" w:rsidRDefault="00454A29"/>
        </w:tc>
      </w:tr>
      <w:tr w:rsidR="00454A29" w14:paraId="5E31FFEA" w14:textId="77777777">
        <w:tc>
          <w:tcPr>
            <w:tcW w:w="640" w:type="dxa"/>
            <w:vMerge/>
          </w:tcPr>
          <w:p w14:paraId="79686DD2" w14:textId="77777777" w:rsidR="00454A29" w:rsidRDefault="00454A29"/>
        </w:tc>
        <w:tc>
          <w:tcPr>
            <w:tcW w:w="2268" w:type="dxa"/>
            <w:vMerge/>
          </w:tcPr>
          <w:p w14:paraId="3649F9E4" w14:textId="77777777" w:rsidR="00454A29" w:rsidRDefault="00454A29"/>
        </w:tc>
        <w:tc>
          <w:tcPr>
            <w:tcW w:w="2665" w:type="dxa"/>
            <w:vMerge/>
          </w:tcPr>
          <w:p w14:paraId="4F04692F" w14:textId="77777777" w:rsidR="00454A29" w:rsidRDefault="00454A29"/>
        </w:tc>
        <w:tc>
          <w:tcPr>
            <w:tcW w:w="3061" w:type="dxa"/>
            <w:vAlign w:val="center"/>
          </w:tcPr>
          <w:p w14:paraId="7744033E" w14:textId="77777777" w:rsidR="00454A29" w:rsidRDefault="00454A29">
            <w:pPr>
              <w:pStyle w:val="ConsPlusNormal"/>
            </w:pPr>
            <w:r>
              <w:t>Внебюджетные источники</w:t>
            </w:r>
          </w:p>
        </w:tc>
        <w:tc>
          <w:tcPr>
            <w:tcW w:w="1247" w:type="dxa"/>
            <w:vAlign w:val="center"/>
          </w:tcPr>
          <w:p w14:paraId="073D5332" w14:textId="77777777" w:rsidR="00454A29" w:rsidRDefault="00454A29">
            <w:pPr>
              <w:pStyle w:val="ConsPlusNormal"/>
              <w:jc w:val="right"/>
            </w:pPr>
            <w:r>
              <w:t>0,0</w:t>
            </w:r>
          </w:p>
        </w:tc>
        <w:tc>
          <w:tcPr>
            <w:tcW w:w="1247" w:type="dxa"/>
            <w:vAlign w:val="center"/>
          </w:tcPr>
          <w:p w14:paraId="56AD4768" w14:textId="77777777" w:rsidR="00454A29" w:rsidRDefault="00454A29">
            <w:pPr>
              <w:pStyle w:val="ConsPlusNormal"/>
              <w:jc w:val="right"/>
            </w:pPr>
            <w:r>
              <w:t>0,0</w:t>
            </w:r>
          </w:p>
        </w:tc>
        <w:tc>
          <w:tcPr>
            <w:tcW w:w="1247" w:type="dxa"/>
            <w:vAlign w:val="center"/>
          </w:tcPr>
          <w:p w14:paraId="50993AFF" w14:textId="77777777" w:rsidR="00454A29" w:rsidRDefault="00454A29">
            <w:pPr>
              <w:pStyle w:val="ConsPlusNormal"/>
              <w:jc w:val="right"/>
            </w:pPr>
            <w:r>
              <w:t>0,0</w:t>
            </w:r>
          </w:p>
        </w:tc>
        <w:tc>
          <w:tcPr>
            <w:tcW w:w="1247" w:type="dxa"/>
            <w:vAlign w:val="center"/>
          </w:tcPr>
          <w:p w14:paraId="217916CA" w14:textId="77777777" w:rsidR="00454A29" w:rsidRDefault="00454A29">
            <w:pPr>
              <w:pStyle w:val="ConsPlusNormal"/>
              <w:jc w:val="right"/>
            </w:pPr>
            <w:r>
              <w:t>0,0</w:t>
            </w:r>
          </w:p>
        </w:tc>
        <w:tc>
          <w:tcPr>
            <w:tcW w:w="1247" w:type="dxa"/>
            <w:vAlign w:val="center"/>
          </w:tcPr>
          <w:p w14:paraId="3D6C082B" w14:textId="77777777" w:rsidR="00454A29" w:rsidRDefault="00454A29">
            <w:pPr>
              <w:pStyle w:val="ConsPlusNormal"/>
              <w:jc w:val="right"/>
            </w:pPr>
            <w:r>
              <w:t>0,0</w:t>
            </w:r>
          </w:p>
        </w:tc>
        <w:tc>
          <w:tcPr>
            <w:tcW w:w="2041" w:type="dxa"/>
            <w:vMerge/>
          </w:tcPr>
          <w:p w14:paraId="748229B7" w14:textId="77777777" w:rsidR="00454A29" w:rsidRDefault="00454A29"/>
        </w:tc>
        <w:tc>
          <w:tcPr>
            <w:tcW w:w="2778" w:type="dxa"/>
            <w:vMerge/>
          </w:tcPr>
          <w:p w14:paraId="4087585A" w14:textId="77777777" w:rsidR="00454A29" w:rsidRDefault="00454A29"/>
        </w:tc>
        <w:tc>
          <w:tcPr>
            <w:tcW w:w="1304" w:type="dxa"/>
            <w:vMerge/>
          </w:tcPr>
          <w:p w14:paraId="23554CBD" w14:textId="77777777" w:rsidR="00454A29" w:rsidRDefault="00454A29"/>
        </w:tc>
        <w:tc>
          <w:tcPr>
            <w:tcW w:w="960" w:type="dxa"/>
            <w:vMerge/>
          </w:tcPr>
          <w:p w14:paraId="1A6DB28C" w14:textId="77777777" w:rsidR="00454A29" w:rsidRDefault="00454A29"/>
        </w:tc>
        <w:tc>
          <w:tcPr>
            <w:tcW w:w="960" w:type="dxa"/>
            <w:vMerge/>
          </w:tcPr>
          <w:p w14:paraId="7D676E10" w14:textId="77777777" w:rsidR="00454A29" w:rsidRDefault="00454A29"/>
        </w:tc>
        <w:tc>
          <w:tcPr>
            <w:tcW w:w="960" w:type="dxa"/>
            <w:vMerge/>
          </w:tcPr>
          <w:p w14:paraId="03F6476A" w14:textId="77777777" w:rsidR="00454A29" w:rsidRDefault="00454A29"/>
        </w:tc>
        <w:tc>
          <w:tcPr>
            <w:tcW w:w="960" w:type="dxa"/>
            <w:vMerge/>
          </w:tcPr>
          <w:p w14:paraId="1A1E5AB1" w14:textId="77777777" w:rsidR="00454A29" w:rsidRDefault="00454A29"/>
        </w:tc>
        <w:tc>
          <w:tcPr>
            <w:tcW w:w="960" w:type="dxa"/>
            <w:vMerge/>
          </w:tcPr>
          <w:p w14:paraId="198A0016" w14:textId="77777777" w:rsidR="00454A29" w:rsidRDefault="00454A29"/>
        </w:tc>
      </w:tr>
      <w:tr w:rsidR="00454A29" w14:paraId="070C2519" w14:textId="77777777">
        <w:tc>
          <w:tcPr>
            <w:tcW w:w="640" w:type="dxa"/>
            <w:vMerge w:val="restart"/>
            <w:vAlign w:val="center"/>
          </w:tcPr>
          <w:p w14:paraId="3F33AF7D" w14:textId="77777777" w:rsidR="00454A29" w:rsidRDefault="00454A29">
            <w:pPr>
              <w:pStyle w:val="ConsPlusNormal"/>
              <w:jc w:val="center"/>
            </w:pPr>
            <w:r>
              <w:t>3</w:t>
            </w:r>
          </w:p>
        </w:tc>
        <w:tc>
          <w:tcPr>
            <w:tcW w:w="2268" w:type="dxa"/>
            <w:vMerge w:val="restart"/>
            <w:vAlign w:val="center"/>
          </w:tcPr>
          <w:p w14:paraId="3CE03570" w14:textId="77777777" w:rsidR="00454A29" w:rsidRDefault="00454A29">
            <w:pPr>
              <w:pStyle w:val="ConsPlusNormal"/>
              <w:jc w:val="center"/>
            </w:pPr>
            <w:r>
              <w:t>Мероприятие 8.2.2.</w:t>
            </w:r>
          </w:p>
        </w:tc>
        <w:tc>
          <w:tcPr>
            <w:tcW w:w="2665" w:type="dxa"/>
            <w:vMerge w:val="restart"/>
            <w:vAlign w:val="center"/>
          </w:tcPr>
          <w:p w14:paraId="006EDA2A" w14:textId="77777777" w:rsidR="00454A29" w:rsidRDefault="00454A29">
            <w:pPr>
              <w:pStyle w:val="ConsPlusNormal"/>
              <w:jc w:val="center"/>
            </w:pPr>
            <w:r>
              <w:t>Профессиональное совершенствование педагогов Арктики</w:t>
            </w:r>
          </w:p>
        </w:tc>
        <w:tc>
          <w:tcPr>
            <w:tcW w:w="3061" w:type="dxa"/>
            <w:vAlign w:val="center"/>
          </w:tcPr>
          <w:p w14:paraId="37B433E2" w14:textId="77777777" w:rsidR="00454A29" w:rsidRDefault="00454A29">
            <w:pPr>
              <w:pStyle w:val="ConsPlusNormal"/>
            </w:pPr>
            <w:r>
              <w:t>Всего:</w:t>
            </w:r>
          </w:p>
        </w:tc>
        <w:tc>
          <w:tcPr>
            <w:tcW w:w="1247" w:type="dxa"/>
            <w:vAlign w:val="center"/>
          </w:tcPr>
          <w:p w14:paraId="1737288A" w14:textId="77777777" w:rsidR="00454A29" w:rsidRDefault="00454A29">
            <w:pPr>
              <w:pStyle w:val="ConsPlusNormal"/>
              <w:jc w:val="right"/>
            </w:pPr>
            <w:r>
              <w:t>3 500,0</w:t>
            </w:r>
          </w:p>
        </w:tc>
        <w:tc>
          <w:tcPr>
            <w:tcW w:w="1247" w:type="dxa"/>
            <w:vAlign w:val="center"/>
          </w:tcPr>
          <w:p w14:paraId="3A1B075B" w14:textId="77777777" w:rsidR="00454A29" w:rsidRDefault="00454A29">
            <w:pPr>
              <w:pStyle w:val="ConsPlusNormal"/>
              <w:jc w:val="right"/>
            </w:pPr>
            <w:r>
              <w:t>3 500,0</w:t>
            </w:r>
          </w:p>
        </w:tc>
        <w:tc>
          <w:tcPr>
            <w:tcW w:w="1247" w:type="dxa"/>
            <w:vAlign w:val="center"/>
          </w:tcPr>
          <w:p w14:paraId="39F60401" w14:textId="77777777" w:rsidR="00454A29" w:rsidRDefault="00454A29">
            <w:pPr>
              <w:pStyle w:val="ConsPlusNormal"/>
              <w:jc w:val="right"/>
            </w:pPr>
            <w:r>
              <w:t>3 500,0</w:t>
            </w:r>
          </w:p>
        </w:tc>
        <w:tc>
          <w:tcPr>
            <w:tcW w:w="1247" w:type="dxa"/>
            <w:vAlign w:val="center"/>
          </w:tcPr>
          <w:p w14:paraId="2E045AF4" w14:textId="77777777" w:rsidR="00454A29" w:rsidRDefault="00454A29">
            <w:pPr>
              <w:pStyle w:val="ConsPlusNormal"/>
              <w:jc w:val="right"/>
            </w:pPr>
            <w:r>
              <w:t>3 500,0</w:t>
            </w:r>
          </w:p>
        </w:tc>
        <w:tc>
          <w:tcPr>
            <w:tcW w:w="1247" w:type="dxa"/>
            <w:vAlign w:val="center"/>
          </w:tcPr>
          <w:p w14:paraId="78220C24" w14:textId="77777777" w:rsidR="00454A29" w:rsidRDefault="00454A29">
            <w:pPr>
              <w:pStyle w:val="ConsPlusNormal"/>
              <w:jc w:val="right"/>
            </w:pPr>
            <w:r>
              <w:t>3 500,0</w:t>
            </w:r>
          </w:p>
        </w:tc>
        <w:tc>
          <w:tcPr>
            <w:tcW w:w="2041" w:type="dxa"/>
            <w:vMerge w:val="restart"/>
            <w:vAlign w:val="center"/>
          </w:tcPr>
          <w:p w14:paraId="4D38C88C" w14:textId="77777777" w:rsidR="00454A29" w:rsidRDefault="00454A29">
            <w:pPr>
              <w:pStyle w:val="ConsPlusNormal"/>
              <w:jc w:val="center"/>
            </w:pPr>
            <w:r>
              <w:t>Министерство образования и науки Республики Саха (Якутия)</w:t>
            </w:r>
          </w:p>
        </w:tc>
        <w:tc>
          <w:tcPr>
            <w:tcW w:w="2778" w:type="dxa"/>
            <w:vMerge w:val="restart"/>
            <w:vAlign w:val="center"/>
          </w:tcPr>
          <w:p w14:paraId="16728C49" w14:textId="77777777" w:rsidR="00454A29" w:rsidRDefault="00454A29">
            <w:pPr>
              <w:pStyle w:val="ConsPlusNormal"/>
              <w:jc w:val="center"/>
            </w:pPr>
            <w:r>
              <w:t xml:space="preserve">Количество учителей Арктики, повысивших квалификацию и распространивших передовой педагогический </w:t>
            </w:r>
            <w:r>
              <w:lastRenderedPageBreak/>
              <w:t>опыт</w:t>
            </w:r>
          </w:p>
        </w:tc>
        <w:tc>
          <w:tcPr>
            <w:tcW w:w="1304" w:type="dxa"/>
            <w:vMerge w:val="restart"/>
            <w:vAlign w:val="center"/>
          </w:tcPr>
          <w:p w14:paraId="437C95CD" w14:textId="77777777" w:rsidR="00454A29" w:rsidRDefault="00454A29">
            <w:pPr>
              <w:pStyle w:val="ConsPlusNormal"/>
              <w:jc w:val="center"/>
            </w:pPr>
            <w:r>
              <w:lastRenderedPageBreak/>
              <w:t>чел.</w:t>
            </w:r>
          </w:p>
        </w:tc>
        <w:tc>
          <w:tcPr>
            <w:tcW w:w="960" w:type="dxa"/>
            <w:vMerge w:val="restart"/>
            <w:vAlign w:val="center"/>
          </w:tcPr>
          <w:p w14:paraId="1D8BA5AD" w14:textId="77777777" w:rsidR="00454A29" w:rsidRDefault="00454A29">
            <w:pPr>
              <w:pStyle w:val="ConsPlusNormal"/>
              <w:jc w:val="center"/>
            </w:pPr>
            <w:r>
              <w:t>30</w:t>
            </w:r>
          </w:p>
        </w:tc>
        <w:tc>
          <w:tcPr>
            <w:tcW w:w="960" w:type="dxa"/>
            <w:vMerge w:val="restart"/>
            <w:vAlign w:val="center"/>
          </w:tcPr>
          <w:p w14:paraId="115FAD46" w14:textId="77777777" w:rsidR="00454A29" w:rsidRDefault="00454A29">
            <w:pPr>
              <w:pStyle w:val="ConsPlusNormal"/>
              <w:jc w:val="center"/>
            </w:pPr>
            <w:r>
              <w:t>30</w:t>
            </w:r>
          </w:p>
        </w:tc>
        <w:tc>
          <w:tcPr>
            <w:tcW w:w="960" w:type="dxa"/>
            <w:vMerge w:val="restart"/>
            <w:vAlign w:val="center"/>
          </w:tcPr>
          <w:p w14:paraId="1E871E97" w14:textId="77777777" w:rsidR="00454A29" w:rsidRDefault="00454A29">
            <w:pPr>
              <w:pStyle w:val="ConsPlusNormal"/>
              <w:jc w:val="center"/>
            </w:pPr>
            <w:r>
              <w:t>60</w:t>
            </w:r>
          </w:p>
        </w:tc>
        <w:tc>
          <w:tcPr>
            <w:tcW w:w="960" w:type="dxa"/>
            <w:vMerge w:val="restart"/>
            <w:vAlign w:val="center"/>
          </w:tcPr>
          <w:p w14:paraId="40AD3742" w14:textId="77777777" w:rsidR="00454A29" w:rsidRDefault="00454A29">
            <w:pPr>
              <w:pStyle w:val="ConsPlusNormal"/>
              <w:jc w:val="center"/>
            </w:pPr>
            <w:r>
              <w:t>90</w:t>
            </w:r>
          </w:p>
        </w:tc>
        <w:tc>
          <w:tcPr>
            <w:tcW w:w="960" w:type="dxa"/>
            <w:vMerge w:val="restart"/>
            <w:vAlign w:val="center"/>
          </w:tcPr>
          <w:p w14:paraId="502DC5DA" w14:textId="77777777" w:rsidR="00454A29" w:rsidRDefault="00454A29">
            <w:pPr>
              <w:pStyle w:val="ConsPlusNormal"/>
              <w:jc w:val="center"/>
            </w:pPr>
            <w:r>
              <w:t>120</w:t>
            </w:r>
          </w:p>
        </w:tc>
      </w:tr>
      <w:tr w:rsidR="00454A29" w14:paraId="1015CC59" w14:textId="77777777">
        <w:tc>
          <w:tcPr>
            <w:tcW w:w="640" w:type="dxa"/>
            <w:vMerge/>
          </w:tcPr>
          <w:p w14:paraId="77F7EEF2" w14:textId="77777777" w:rsidR="00454A29" w:rsidRDefault="00454A29"/>
        </w:tc>
        <w:tc>
          <w:tcPr>
            <w:tcW w:w="2268" w:type="dxa"/>
            <w:vMerge/>
          </w:tcPr>
          <w:p w14:paraId="7D96A2F6" w14:textId="77777777" w:rsidR="00454A29" w:rsidRDefault="00454A29"/>
        </w:tc>
        <w:tc>
          <w:tcPr>
            <w:tcW w:w="2665" w:type="dxa"/>
            <w:vMerge/>
          </w:tcPr>
          <w:p w14:paraId="16F6AAAF" w14:textId="77777777" w:rsidR="00454A29" w:rsidRDefault="00454A29"/>
        </w:tc>
        <w:tc>
          <w:tcPr>
            <w:tcW w:w="3061" w:type="dxa"/>
            <w:vAlign w:val="center"/>
          </w:tcPr>
          <w:p w14:paraId="0FFEC408" w14:textId="77777777" w:rsidR="00454A29" w:rsidRDefault="00454A29">
            <w:pPr>
              <w:pStyle w:val="ConsPlusNormal"/>
            </w:pPr>
            <w:r>
              <w:t>Федеральный бюджет</w:t>
            </w:r>
          </w:p>
        </w:tc>
        <w:tc>
          <w:tcPr>
            <w:tcW w:w="1247" w:type="dxa"/>
            <w:vAlign w:val="center"/>
          </w:tcPr>
          <w:p w14:paraId="3BB3332F" w14:textId="77777777" w:rsidR="00454A29" w:rsidRDefault="00454A29">
            <w:pPr>
              <w:pStyle w:val="ConsPlusNormal"/>
              <w:jc w:val="right"/>
            </w:pPr>
            <w:r>
              <w:t>0,0</w:t>
            </w:r>
          </w:p>
        </w:tc>
        <w:tc>
          <w:tcPr>
            <w:tcW w:w="1247" w:type="dxa"/>
            <w:vAlign w:val="center"/>
          </w:tcPr>
          <w:p w14:paraId="64BF6877" w14:textId="77777777" w:rsidR="00454A29" w:rsidRDefault="00454A29">
            <w:pPr>
              <w:pStyle w:val="ConsPlusNormal"/>
              <w:jc w:val="right"/>
            </w:pPr>
            <w:r>
              <w:t>0,0</w:t>
            </w:r>
          </w:p>
        </w:tc>
        <w:tc>
          <w:tcPr>
            <w:tcW w:w="1247" w:type="dxa"/>
            <w:vAlign w:val="center"/>
          </w:tcPr>
          <w:p w14:paraId="1E1787A2" w14:textId="77777777" w:rsidR="00454A29" w:rsidRDefault="00454A29">
            <w:pPr>
              <w:pStyle w:val="ConsPlusNormal"/>
              <w:jc w:val="right"/>
            </w:pPr>
            <w:r>
              <w:t>0,0</w:t>
            </w:r>
          </w:p>
        </w:tc>
        <w:tc>
          <w:tcPr>
            <w:tcW w:w="1247" w:type="dxa"/>
            <w:vAlign w:val="center"/>
          </w:tcPr>
          <w:p w14:paraId="07BB02A2" w14:textId="77777777" w:rsidR="00454A29" w:rsidRDefault="00454A29">
            <w:pPr>
              <w:pStyle w:val="ConsPlusNormal"/>
              <w:jc w:val="right"/>
            </w:pPr>
            <w:r>
              <w:t>0,0</w:t>
            </w:r>
          </w:p>
        </w:tc>
        <w:tc>
          <w:tcPr>
            <w:tcW w:w="1247" w:type="dxa"/>
            <w:vAlign w:val="center"/>
          </w:tcPr>
          <w:p w14:paraId="2C60BDD8" w14:textId="77777777" w:rsidR="00454A29" w:rsidRDefault="00454A29">
            <w:pPr>
              <w:pStyle w:val="ConsPlusNormal"/>
              <w:jc w:val="right"/>
            </w:pPr>
            <w:r>
              <w:t>0,0</w:t>
            </w:r>
          </w:p>
        </w:tc>
        <w:tc>
          <w:tcPr>
            <w:tcW w:w="2041" w:type="dxa"/>
            <w:vMerge/>
          </w:tcPr>
          <w:p w14:paraId="165FDBC4" w14:textId="77777777" w:rsidR="00454A29" w:rsidRDefault="00454A29"/>
        </w:tc>
        <w:tc>
          <w:tcPr>
            <w:tcW w:w="2778" w:type="dxa"/>
            <w:vMerge/>
          </w:tcPr>
          <w:p w14:paraId="767EAEF0" w14:textId="77777777" w:rsidR="00454A29" w:rsidRDefault="00454A29"/>
        </w:tc>
        <w:tc>
          <w:tcPr>
            <w:tcW w:w="1304" w:type="dxa"/>
            <w:vMerge/>
          </w:tcPr>
          <w:p w14:paraId="750A2AFD" w14:textId="77777777" w:rsidR="00454A29" w:rsidRDefault="00454A29"/>
        </w:tc>
        <w:tc>
          <w:tcPr>
            <w:tcW w:w="960" w:type="dxa"/>
            <w:vMerge/>
          </w:tcPr>
          <w:p w14:paraId="22202B37" w14:textId="77777777" w:rsidR="00454A29" w:rsidRDefault="00454A29"/>
        </w:tc>
        <w:tc>
          <w:tcPr>
            <w:tcW w:w="960" w:type="dxa"/>
            <w:vMerge/>
          </w:tcPr>
          <w:p w14:paraId="4726A7D5" w14:textId="77777777" w:rsidR="00454A29" w:rsidRDefault="00454A29"/>
        </w:tc>
        <w:tc>
          <w:tcPr>
            <w:tcW w:w="960" w:type="dxa"/>
            <w:vMerge/>
          </w:tcPr>
          <w:p w14:paraId="310181D4" w14:textId="77777777" w:rsidR="00454A29" w:rsidRDefault="00454A29"/>
        </w:tc>
        <w:tc>
          <w:tcPr>
            <w:tcW w:w="960" w:type="dxa"/>
            <w:vMerge/>
          </w:tcPr>
          <w:p w14:paraId="21DE67A0" w14:textId="77777777" w:rsidR="00454A29" w:rsidRDefault="00454A29"/>
        </w:tc>
        <w:tc>
          <w:tcPr>
            <w:tcW w:w="960" w:type="dxa"/>
            <w:vMerge/>
          </w:tcPr>
          <w:p w14:paraId="6C3A3525" w14:textId="77777777" w:rsidR="00454A29" w:rsidRDefault="00454A29"/>
        </w:tc>
      </w:tr>
      <w:tr w:rsidR="00454A29" w14:paraId="27E83A41" w14:textId="77777777">
        <w:tc>
          <w:tcPr>
            <w:tcW w:w="640" w:type="dxa"/>
            <w:vMerge/>
          </w:tcPr>
          <w:p w14:paraId="2F4D2835" w14:textId="77777777" w:rsidR="00454A29" w:rsidRDefault="00454A29"/>
        </w:tc>
        <w:tc>
          <w:tcPr>
            <w:tcW w:w="2268" w:type="dxa"/>
            <w:vMerge/>
          </w:tcPr>
          <w:p w14:paraId="3E0C43BC" w14:textId="77777777" w:rsidR="00454A29" w:rsidRDefault="00454A29"/>
        </w:tc>
        <w:tc>
          <w:tcPr>
            <w:tcW w:w="2665" w:type="dxa"/>
            <w:vMerge/>
          </w:tcPr>
          <w:p w14:paraId="778F4BE6" w14:textId="77777777" w:rsidR="00454A29" w:rsidRDefault="00454A29"/>
        </w:tc>
        <w:tc>
          <w:tcPr>
            <w:tcW w:w="3061" w:type="dxa"/>
            <w:vAlign w:val="center"/>
          </w:tcPr>
          <w:p w14:paraId="4F5FB722" w14:textId="77777777" w:rsidR="00454A29" w:rsidRDefault="00454A29">
            <w:pPr>
              <w:pStyle w:val="ConsPlusNormal"/>
            </w:pPr>
            <w:r>
              <w:t>Государственный бюджет Республики Саха (Якутия)</w:t>
            </w:r>
          </w:p>
        </w:tc>
        <w:tc>
          <w:tcPr>
            <w:tcW w:w="1247" w:type="dxa"/>
            <w:vAlign w:val="center"/>
          </w:tcPr>
          <w:p w14:paraId="26016181" w14:textId="77777777" w:rsidR="00454A29" w:rsidRDefault="00454A29">
            <w:pPr>
              <w:pStyle w:val="ConsPlusNormal"/>
              <w:jc w:val="right"/>
            </w:pPr>
            <w:r>
              <w:t>3 500,0</w:t>
            </w:r>
          </w:p>
        </w:tc>
        <w:tc>
          <w:tcPr>
            <w:tcW w:w="1247" w:type="dxa"/>
            <w:vAlign w:val="center"/>
          </w:tcPr>
          <w:p w14:paraId="1E0656A6" w14:textId="77777777" w:rsidR="00454A29" w:rsidRDefault="00454A29">
            <w:pPr>
              <w:pStyle w:val="ConsPlusNormal"/>
              <w:jc w:val="right"/>
            </w:pPr>
            <w:r>
              <w:t>3 500,0</w:t>
            </w:r>
          </w:p>
        </w:tc>
        <w:tc>
          <w:tcPr>
            <w:tcW w:w="1247" w:type="dxa"/>
            <w:vAlign w:val="center"/>
          </w:tcPr>
          <w:p w14:paraId="7436EE66" w14:textId="77777777" w:rsidR="00454A29" w:rsidRDefault="00454A29">
            <w:pPr>
              <w:pStyle w:val="ConsPlusNormal"/>
              <w:jc w:val="right"/>
            </w:pPr>
            <w:r>
              <w:t>3 500,0</w:t>
            </w:r>
          </w:p>
        </w:tc>
        <w:tc>
          <w:tcPr>
            <w:tcW w:w="1247" w:type="dxa"/>
            <w:vAlign w:val="center"/>
          </w:tcPr>
          <w:p w14:paraId="7A64C5EC" w14:textId="77777777" w:rsidR="00454A29" w:rsidRDefault="00454A29">
            <w:pPr>
              <w:pStyle w:val="ConsPlusNormal"/>
              <w:jc w:val="right"/>
            </w:pPr>
            <w:r>
              <w:t>3 500,0</w:t>
            </w:r>
          </w:p>
        </w:tc>
        <w:tc>
          <w:tcPr>
            <w:tcW w:w="1247" w:type="dxa"/>
            <w:vAlign w:val="center"/>
          </w:tcPr>
          <w:p w14:paraId="0709ED24" w14:textId="77777777" w:rsidR="00454A29" w:rsidRDefault="00454A29">
            <w:pPr>
              <w:pStyle w:val="ConsPlusNormal"/>
              <w:jc w:val="right"/>
            </w:pPr>
            <w:r>
              <w:t>3 500,0</w:t>
            </w:r>
          </w:p>
        </w:tc>
        <w:tc>
          <w:tcPr>
            <w:tcW w:w="2041" w:type="dxa"/>
            <w:vMerge/>
          </w:tcPr>
          <w:p w14:paraId="22DB420A" w14:textId="77777777" w:rsidR="00454A29" w:rsidRDefault="00454A29"/>
        </w:tc>
        <w:tc>
          <w:tcPr>
            <w:tcW w:w="2778" w:type="dxa"/>
            <w:vMerge/>
          </w:tcPr>
          <w:p w14:paraId="508149CE" w14:textId="77777777" w:rsidR="00454A29" w:rsidRDefault="00454A29"/>
        </w:tc>
        <w:tc>
          <w:tcPr>
            <w:tcW w:w="1304" w:type="dxa"/>
            <w:vMerge/>
          </w:tcPr>
          <w:p w14:paraId="0AF94B51" w14:textId="77777777" w:rsidR="00454A29" w:rsidRDefault="00454A29"/>
        </w:tc>
        <w:tc>
          <w:tcPr>
            <w:tcW w:w="960" w:type="dxa"/>
            <w:vMerge/>
          </w:tcPr>
          <w:p w14:paraId="18CB0FFC" w14:textId="77777777" w:rsidR="00454A29" w:rsidRDefault="00454A29"/>
        </w:tc>
        <w:tc>
          <w:tcPr>
            <w:tcW w:w="960" w:type="dxa"/>
            <w:vMerge/>
          </w:tcPr>
          <w:p w14:paraId="4130FACF" w14:textId="77777777" w:rsidR="00454A29" w:rsidRDefault="00454A29"/>
        </w:tc>
        <w:tc>
          <w:tcPr>
            <w:tcW w:w="960" w:type="dxa"/>
            <w:vMerge/>
          </w:tcPr>
          <w:p w14:paraId="0F129CE3" w14:textId="77777777" w:rsidR="00454A29" w:rsidRDefault="00454A29"/>
        </w:tc>
        <w:tc>
          <w:tcPr>
            <w:tcW w:w="960" w:type="dxa"/>
            <w:vMerge/>
          </w:tcPr>
          <w:p w14:paraId="58196118" w14:textId="77777777" w:rsidR="00454A29" w:rsidRDefault="00454A29"/>
        </w:tc>
        <w:tc>
          <w:tcPr>
            <w:tcW w:w="960" w:type="dxa"/>
            <w:vMerge/>
          </w:tcPr>
          <w:p w14:paraId="60AEAB23" w14:textId="77777777" w:rsidR="00454A29" w:rsidRDefault="00454A29"/>
        </w:tc>
      </w:tr>
      <w:tr w:rsidR="00454A29" w14:paraId="65D2DD5F" w14:textId="77777777">
        <w:tc>
          <w:tcPr>
            <w:tcW w:w="640" w:type="dxa"/>
            <w:vMerge/>
          </w:tcPr>
          <w:p w14:paraId="130F8F9B" w14:textId="77777777" w:rsidR="00454A29" w:rsidRDefault="00454A29"/>
        </w:tc>
        <w:tc>
          <w:tcPr>
            <w:tcW w:w="2268" w:type="dxa"/>
            <w:vMerge/>
          </w:tcPr>
          <w:p w14:paraId="5704E56E" w14:textId="77777777" w:rsidR="00454A29" w:rsidRDefault="00454A29"/>
        </w:tc>
        <w:tc>
          <w:tcPr>
            <w:tcW w:w="2665" w:type="dxa"/>
            <w:vMerge/>
          </w:tcPr>
          <w:p w14:paraId="71E288AC" w14:textId="77777777" w:rsidR="00454A29" w:rsidRDefault="00454A29"/>
        </w:tc>
        <w:tc>
          <w:tcPr>
            <w:tcW w:w="3061" w:type="dxa"/>
            <w:vAlign w:val="center"/>
          </w:tcPr>
          <w:p w14:paraId="1AA214EA" w14:textId="77777777" w:rsidR="00454A29" w:rsidRDefault="00454A29">
            <w:pPr>
              <w:pStyle w:val="ConsPlusNormal"/>
            </w:pPr>
            <w:r>
              <w:t>Местные бюджеты</w:t>
            </w:r>
          </w:p>
        </w:tc>
        <w:tc>
          <w:tcPr>
            <w:tcW w:w="1247" w:type="dxa"/>
            <w:vAlign w:val="center"/>
          </w:tcPr>
          <w:p w14:paraId="5709142C" w14:textId="77777777" w:rsidR="00454A29" w:rsidRDefault="00454A29">
            <w:pPr>
              <w:pStyle w:val="ConsPlusNormal"/>
              <w:jc w:val="right"/>
            </w:pPr>
            <w:r>
              <w:t>0,0</w:t>
            </w:r>
          </w:p>
        </w:tc>
        <w:tc>
          <w:tcPr>
            <w:tcW w:w="1247" w:type="dxa"/>
            <w:vAlign w:val="center"/>
          </w:tcPr>
          <w:p w14:paraId="1257BA8C" w14:textId="77777777" w:rsidR="00454A29" w:rsidRDefault="00454A29">
            <w:pPr>
              <w:pStyle w:val="ConsPlusNormal"/>
              <w:jc w:val="right"/>
            </w:pPr>
            <w:r>
              <w:t>0,0</w:t>
            </w:r>
          </w:p>
        </w:tc>
        <w:tc>
          <w:tcPr>
            <w:tcW w:w="1247" w:type="dxa"/>
            <w:vAlign w:val="center"/>
          </w:tcPr>
          <w:p w14:paraId="4A9C492D" w14:textId="77777777" w:rsidR="00454A29" w:rsidRDefault="00454A29">
            <w:pPr>
              <w:pStyle w:val="ConsPlusNormal"/>
              <w:jc w:val="right"/>
            </w:pPr>
            <w:r>
              <w:t>0,0</w:t>
            </w:r>
          </w:p>
        </w:tc>
        <w:tc>
          <w:tcPr>
            <w:tcW w:w="1247" w:type="dxa"/>
            <w:vAlign w:val="center"/>
          </w:tcPr>
          <w:p w14:paraId="68B025A7" w14:textId="77777777" w:rsidR="00454A29" w:rsidRDefault="00454A29">
            <w:pPr>
              <w:pStyle w:val="ConsPlusNormal"/>
              <w:jc w:val="right"/>
            </w:pPr>
            <w:r>
              <w:t>0,0</w:t>
            </w:r>
          </w:p>
        </w:tc>
        <w:tc>
          <w:tcPr>
            <w:tcW w:w="1247" w:type="dxa"/>
            <w:vAlign w:val="center"/>
          </w:tcPr>
          <w:p w14:paraId="48A15D7F" w14:textId="77777777" w:rsidR="00454A29" w:rsidRDefault="00454A29">
            <w:pPr>
              <w:pStyle w:val="ConsPlusNormal"/>
              <w:jc w:val="right"/>
            </w:pPr>
            <w:r>
              <w:t>0,0</w:t>
            </w:r>
          </w:p>
        </w:tc>
        <w:tc>
          <w:tcPr>
            <w:tcW w:w="2041" w:type="dxa"/>
            <w:vMerge/>
          </w:tcPr>
          <w:p w14:paraId="718CA534" w14:textId="77777777" w:rsidR="00454A29" w:rsidRDefault="00454A29"/>
        </w:tc>
        <w:tc>
          <w:tcPr>
            <w:tcW w:w="2778" w:type="dxa"/>
            <w:vMerge/>
          </w:tcPr>
          <w:p w14:paraId="3BAAB473" w14:textId="77777777" w:rsidR="00454A29" w:rsidRDefault="00454A29"/>
        </w:tc>
        <w:tc>
          <w:tcPr>
            <w:tcW w:w="1304" w:type="dxa"/>
            <w:vMerge/>
          </w:tcPr>
          <w:p w14:paraId="1ED983A9" w14:textId="77777777" w:rsidR="00454A29" w:rsidRDefault="00454A29"/>
        </w:tc>
        <w:tc>
          <w:tcPr>
            <w:tcW w:w="960" w:type="dxa"/>
            <w:vMerge/>
          </w:tcPr>
          <w:p w14:paraId="199CA2BE" w14:textId="77777777" w:rsidR="00454A29" w:rsidRDefault="00454A29"/>
        </w:tc>
        <w:tc>
          <w:tcPr>
            <w:tcW w:w="960" w:type="dxa"/>
            <w:vMerge/>
          </w:tcPr>
          <w:p w14:paraId="291C1D47" w14:textId="77777777" w:rsidR="00454A29" w:rsidRDefault="00454A29"/>
        </w:tc>
        <w:tc>
          <w:tcPr>
            <w:tcW w:w="960" w:type="dxa"/>
            <w:vMerge/>
          </w:tcPr>
          <w:p w14:paraId="369C06DC" w14:textId="77777777" w:rsidR="00454A29" w:rsidRDefault="00454A29"/>
        </w:tc>
        <w:tc>
          <w:tcPr>
            <w:tcW w:w="960" w:type="dxa"/>
            <w:vMerge/>
          </w:tcPr>
          <w:p w14:paraId="1ABFE623" w14:textId="77777777" w:rsidR="00454A29" w:rsidRDefault="00454A29"/>
        </w:tc>
        <w:tc>
          <w:tcPr>
            <w:tcW w:w="960" w:type="dxa"/>
            <w:vMerge/>
          </w:tcPr>
          <w:p w14:paraId="4EEC99BE" w14:textId="77777777" w:rsidR="00454A29" w:rsidRDefault="00454A29"/>
        </w:tc>
      </w:tr>
      <w:tr w:rsidR="00454A29" w14:paraId="5852C687" w14:textId="77777777">
        <w:tc>
          <w:tcPr>
            <w:tcW w:w="640" w:type="dxa"/>
            <w:vMerge/>
          </w:tcPr>
          <w:p w14:paraId="65836D10" w14:textId="77777777" w:rsidR="00454A29" w:rsidRDefault="00454A29"/>
        </w:tc>
        <w:tc>
          <w:tcPr>
            <w:tcW w:w="2268" w:type="dxa"/>
            <w:vMerge/>
          </w:tcPr>
          <w:p w14:paraId="7DFBD9B2" w14:textId="77777777" w:rsidR="00454A29" w:rsidRDefault="00454A29"/>
        </w:tc>
        <w:tc>
          <w:tcPr>
            <w:tcW w:w="2665" w:type="dxa"/>
            <w:vMerge/>
          </w:tcPr>
          <w:p w14:paraId="41DB8E88" w14:textId="77777777" w:rsidR="00454A29" w:rsidRDefault="00454A29"/>
        </w:tc>
        <w:tc>
          <w:tcPr>
            <w:tcW w:w="3061" w:type="dxa"/>
            <w:vAlign w:val="center"/>
          </w:tcPr>
          <w:p w14:paraId="1EF7BD77" w14:textId="77777777" w:rsidR="00454A29" w:rsidRDefault="00454A29">
            <w:pPr>
              <w:pStyle w:val="ConsPlusNormal"/>
            </w:pPr>
            <w:r>
              <w:t>Внебюджетные источники</w:t>
            </w:r>
          </w:p>
        </w:tc>
        <w:tc>
          <w:tcPr>
            <w:tcW w:w="1247" w:type="dxa"/>
            <w:vAlign w:val="center"/>
          </w:tcPr>
          <w:p w14:paraId="212C51B4" w14:textId="77777777" w:rsidR="00454A29" w:rsidRDefault="00454A29">
            <w:pPr>
              <w:pStyle w:val="ConsPlusNormal"/>
              <w:jc w:val="right"/>
            </w:pPr>
            <w:r>
              <w:t>0,0</w:t>
            </w:r>
          </w:p>
        </w:tc>
        <w:tc>
          <w:tcPr>
            <w:tcW w:w="1247" w:type="dxa"/>
            <w:vAlign w:val="center"/>
          </w:tcPr>
          <w:p w14:paraId="3C472734" w14:textId="77777777" w:rsidR="00454A29" w:rsidRDefault="00454A29">
            <w:pPr>
              <w:pStyle w:val="ConsPlusNormal"/>
              <w:jc w:val="right"/>
            </w:pPr>
            <w:r>
              <w:t>0,0</w:t>
            </w:r>
          </w:p>
        </w:tc>
        <w:tc>
          <w:tcPr>
            <w:tcW w:w="1247" w:type="dxa"/>
            <w:vAlign w:val="center"/>
          </w:tcPr>
          <w:p w14:paraId="10B7D44E" w14:textId="77777777" w:rsidR="00454A29" w:rsidRDefault="00454A29">
            <w:pPr>
              <w:pStyle w:val="ConsPlusNormal"/>
              <w:jc w:val="right"/>
            </w:pPr>
            <w:r>
              <w:t>0,0</w:t>
            </w:r>
          </w:p>
        </w:tc>
        <w:tc>
          <w:tcPr>
            <w:tcW w:w="1247" w:type="dxa"/>
            <w:vAlign w:val="center"/>
          </w:tcPr>
          <w:p w14:paraId="775862B7" w14:textId="77777777" w:rsidR="00454A29" w:rsidRDefault="00454A29">
            <w:pPr>
              <w:pStyle w:val="ConsPlusNormal"/>
              <w:jc w:val="right"/>
            </w:pPr>
            <w:r>
              <w:t>0,0</w:t>
            </w:r>
          </w:p>
        </w:tc>
        <w:tc>
          <w:tcPr>
            <w:tcW w:w="1247" w:type="dxa"/>
            <w:vAlign w:val="center"/>
          </w:tcPr>
          <w:p w14:paraId="14CFF108" w14:textId="77777777" w:rsidR="00454A29" w:rsidRDefault="00454A29">
            <w:pPr>
              <w:pStyle w:val="ConsPlusNormal"/>
              <w:jc w:val="right"/>
            </w:pPr>
            <w:r>
              <w:t>0,0</w:t>
            </w:r>
          </w:p>
        </w:tc>
        <w:tc>
          <w:tcPr>
            <w:tcW w:w="2041" w:type="dxa"/>
            <w:vMerge/>
          </w:tcPr>
          <w:p w14:paraId="085E7EC6" w14:textId="77777777" w:rsidR="00454A29" w:rsidRDefault="00454A29"/>
        </w:tc>
        <w:tc>
          <w:tcPr>
            <w:tcW w:w="2778" w:type="dxa"/>
            <w:vMerge/>
          </w:tcPr>
          <w:p w14:paraId="2C32349E" w14:textId="77777777" w:rsidR="00454A29" w:rsidRDefault="00454A29"/>
        </w:tc>
        <w:tc>
          <w:tcPr>
            <w:tcW w:w="1304" w:type="dxa"/>
            <w:vMerge/>
          </w:tcPr>
          <w:p w14:paraId="1D195E34" w14:textId="77777777" w:rsidR="00454A29" w:rsidRDefault="00454A29"/>
        </w:tc>
        <w:tc>
          <w:tcPr>
            <w:tcW w:w="960" w:type="dxa"/>
            <w:vMerge/>
          </w:tcPr>
          <w:p w14:paraId="713FAB55" w14:textId="77777777" w:rsidR="00454A29" w:rsidRDefault="00454A29"/>
        </w:tc>
        <w:tc>
          <w:tcPr>
            <w:tcW w:w="960" w:type="dxa"/>
            <w:vMerge/>
          </w:tcPr>
          <w:p w14:paraId="329CCFCB" w14:textId="77777777" w:rsidR="00454A29" w:rsidRDefault="00454A29"/>
        </w:tc>
        <w:tc>
          <w:tcPr>
            <w:tcW w:w="960" w:type="dxa"/>
            <w:vMerge/>
          </w:tcPr>
          <w:p w14:paraId="44DC7896" w14:textId="77777777" w:rsidR="00454A29" w:rsidRDefault="00454A29"/>
        </w:tc>
        <w:tc>
          <w:tcPr>
            <w:tcW w:w="960" w:type="dxa"/>
            <w:vMerge/>
          </w:tcPr>
          <w:p w14:paraId="590AE42A" w14:textId="77777777" w:rsidR="00454A29" w:rsidRDefault="00454A29"/>
        </w:tc>
        <w:tc>
          <w:tcPr>
            <w:tcW w:w="960" w:type="dxa"/>
            <w:vMerge/>
          </w:tcPr>
          <w:p w14:paraId="11DFF8A7" w14:textId="77777777" w:rsidR="00454A29" w:rsidRDefault="00454A29"/>
        </w:tc>
      </w:tr>
      <w:tr w:rsidR="00454A29" w14:paraId="1155CBE0" w14:textId="77777777">
        <w:tc>
          <w:tcPr>
            <w:tcW w:w="640" w:type="dxa"/>
            <w:vMerge w:val="restart"/>
            <w:vAlign w:val="center"/>
          </w:tcPr>
          <w:p w14:paraId="7A971B28" w14:textId="77777777" w:rsidR="00454A29" w:rsidRDefault="00454A29">
            <w:pPr>
              <w:pStyle w:val="ConsPlusNormal"/>
              <w:jc w:val="center"/>
            </w:pPr>
            <w:r>
              <w:t>4</w:t>
            </w:r>
          </w:p>
        </w:tc>
        <w:tc>
          <w:tcPr>
            <w:tcW w:w="2268" w:type="dxa"/>
            <w:vMerge w:val="restart"/>
            <w:vAlign w:val="center"/>
          </w:tcPr>
          <w:p w14:paraId="11F9BFE0" w14:textId="77777777" w:rsidR="00454A29" w:rsidRDefault="00454A29">
            <w:pPr>
              <w:pStyle w:val="ConsPlusNormal"/>
              <w:jc w:val="center"/>
            </w:pPr>
            <w:r>
              <w:t>Подпрограмма 9</w:t>
            </w:r>
          </w:p>
        </w:tc>
        <w:tc>
          <w:tcPr>
            <w:tcW w:w="2665" w:type="dxa"/>
            <w:vMerge w:val="restart"/>
            <w:vAlign w:val="center"/>
          </w:tcPr>
          <w:p w14:paraId="3542AF0B" w14:textId="77777777" w:rsidR="00454A29" w:rsidRDefault="00454A29">
            <w:pPr>
              <w:pStyle w:val="ConsPlusNormal"/>
              <w:jc w:val="center"/>
            </w:pPr>
            <w:r>
              <w:t>Строительство, приобретение и реконструкция объектов общего образования</w:t>
            </w:r>
          </w:p>
        </w:tc>
        <w:tc>
          <w:tcPr>
            <w:tcW w:w="3061" w:type="dxa"/>
            <w:vAlign w:val="center"/>
          </w:tcPr>
          <w:p w14:paraId="5A421B73" w14:textId="77777777" w:rsidR="00454A29" w:rsidRDefault="00454A29">
            <w:pPr>
              <w:pStyle w:val="ConsPlusNormal"/>
            </w:pPr>
            <w:r>
              <w:t>Всего:</w:t>
            </w:r>
          </w:p>
        </w:tc>
        <w:tc>
          <w:tcPr>
            <w:tcW w:w="1247" w:type="dxa"/>
            <w:vAlign w:val="center"/>
          </w:tcPr>
          <w:p w14:paraId="3523FE8B" w14:textId="77777777" w:rsidR="00454A29" w:rsidRDefault="00454A29">
            <w:pPr>
              <w:pStyle w:val="ConsPlusNormal"/>
              <w:jc w:val="right"/>
            </w:pPr>
            <w:r>
              <w:t>192 216,6</w:t>
            </w:r>
          </w:p>
        </w:tc>
        <w:tc>
          <w:tcPr>
            <w:tcW w:w="1247" w:type="dxa"/>
            <w:vAlign w:val="center"/>
          </w:tcPr>
          <w:p w14:paraId="40E8E653" w14:textId="77777777" w:rsidR="00454A29" w:rsidRDefault="00454A29">
            <w:pPr>
              <w:pStyle w:val="ConsPlusNormal"/>
              <w:jc w:val="right"/>
            </w:pPr>
            <w:r>
              <w:t>346 642,4</w:t>
            </w:r>
          </w:p>
        </w:tc>
        <w:tc>
          <w:tcPr>
            <w:tcW w:w="1247" w:type="dxa"/>
            <w:vAlign w:val="center"/>
          </w:tcPr>
          <w:p w14:paraId="41D8D119" w14:textId="77777777" w:rsidR="00454A29" w:rsidRDefault="00454A29">
            <w:pPr>
              <w:pStyle w:val="ConsPlusNormal"/>
              <w:jc w:val="right"/>
            </w:pPr>
            <w:r>
              <w:t>0,0</w:t>
            </w:r>
          </w:p>
        </w:tc>
        <w:tc>
          <w:tcPr>
            <w:tcW w:w="1247" w:type="dxa"/>
            <w:vAlign w:val="center"/>
          </w:tcPr>
          <w:p w14:paraId="35DA88D8" w14:textId="77777777" w:rsidR="00454A29" w:rsidRDefault="00454A29">
            <w:pPr>
              <w:pStyle w:val="ConsPlusNormal"/>
              <w:jc w:val="right"/>
            </w:pPr>
            <w:r>
              <w:t>0,0</w:t>
            </w:r>
          </w:p>
        </w:tc>
        <w:tc>
          <w:tcPr>
            <w:tcW w:w="1247" w:type="dxa"/>
            <w:vAlign w:val="center"/>
          </w:tcPr>
          <w:p w14:paraId="1BC09B5D" w14:textId="77777777" w:rsidR="00454A29" w:rsidRDefault="00454A29">
            <w:pPr>
              <w:pStyle w:val="ConsPlusNormal"/>
              <w:jc w:val="right"/>
            </w:pPr>
            <w:r>
              <w:t>0,0</w:t>
            </w:r>
          </w:p>
        </w:tc>
        <w:tc>
          <w:tcPr>
            <w:tcW w:w="2041" w:type="dxa"/>
            <w:vMerge w:val="restart"/>
            <w:vAlign w:val="center"/>
          </w:tcPr>
          <w:p w14:paraId="471510E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2778" w:type="dxa"/>
            <w:vMerge w:val="restart"/>
            <w:vAlign w:val="center"/>
          </w:tcPr>
          <w:p w14:paraId="0E36711F" w14:textId="77777777" w:rsidR="00454A29" w:rsidRDefault="00454A29">
            <w:pPr>
              <w:pStyle w:val="ConsPlusNormal"/>
              <w:jc w:val="center"/>
            </w:pPr>
            <w:r>
              <w:t>Число новых мест в общеобразовательных организациях, вводимых путем строительства, приобретения и реконструкции</w:t>
            </w:r>
          </w:p>
        </w:tc>
        <w:tc>
          <w:tcPr>
            <w:tcW w:w="1304" w:type="dxa"/>
            <w:vMerge w:val="restart"/>
            <w:vAlign w:val="center"/>
          </w:tcPr>
          <w:p w14:paraId="599E67C2" w14:textId="77777777" w:rsidR="00454A29" w:rsidRDefault="00454A29">
            <w:pPr>
              <w:pStyle w:val="ConsPlusNormal"/>
              <w:jc w:val="center"/>
            </w:pPr>
            <w:r>
              <w:t>ед.</w:t>
            </w:r>
          </w:p>
        </w:tc>
        <w:tc>
          <w:tcPr>
            <w:tcW w:w="960" w:type="dxa"/>
            <w:vMerge w:val="restart"/>
            <w:vAlign w:val="center"/>
          </w:tcPr>
          <w:p w14:paraId="2CFF71D7" w14:textId="77777777" w:rsidR="00454A29" w:rsidRDefault="00454A29">
            <w:pPr>
              <w:pStyle w:val="ConsPlusNormal"/>
              <w:jc w:val="center"/>
            </w:pPr>
            <w:r>
              <w:t>0</w:t>
            </w:r>
          </w:p>
        </w:tc>
        <w:tc>
          <w:tcPr>
            <w:tcW w:w="960" w:type="dxa"/>
            <w:vMerge w:val="restart"/>
            <w:vAlign w:val="center"/>
          </w:tcPr>
          <w:p w14:paraId="5EBF2251" w14:textId="77777777" w:rsidR="00454A29" w:rsidRDefault="00454A29">
            <w:pPr>
              <w:pStyle w:val="ConsPlusNormal"/>
              <w:jc w:val="center"/>
            </w:pPr>
            <w:r>
              <w:t>275</w:t>
            </w:r>
          </w:p>
        </w:tc>
        <w:tc>
          <w:tcPr>
            <w:tcW w:w="960" w:type="dxa"/>
            <w:vMerge w:val="restart"/>
            <w:vAlign w:val="center"/>
          </w:tcPr>
          <w:p w14:paraId="659455C4" w14:textId="77777777" w:rsidR="00454A29" w:rsidRDefault="00454A29">
            <w:pPr>
              <w:pStyle w:val="ConsPlusNormal"/>
              <w:jc w:val="center"/>
            </w:pPr>
            <w:r>
              <w:t>80</w:t>
            </w:r>
          </w:p>
        </w:tc>
        <w:tc>
          <w:tcPr>
            <w:tcW w:w="960" w:type="dxa"/>
            <w:vMerge w:val="restart"/>
            <w:vAlign w:val="center"/>
          </w:tcPr>
          <w:p w14:paraId="06AB1FF7" w14:textId="77777777" w:rsidR="00454A29" w:rsidRDefault="00454A29">
            <w:pPr>
              <w:pStyle w:val="ConsPlusNormal"/>
              <w:jc w:val="center"/>
            </w:pPr>
            <w:r>
              <w:t>0</w:t>
            </w:r>
          </w:p>
        </w:tc>
        <w:tc>
          <w:tcPr>
            <w:tcW w:w="960" w:type="dxa"/>
            <w:vMerge w:val="restart"/>
            <w:vAlign w:val="center"/>
          </w:tcPr>
          <w:p w14:paraId="6DF5FF73" w14:textId="77777777" w:rsidR="00454A29" w:rsidRDefault="00454A29">
            <w:pPr>
              <w:pStyle w:val="ConsPlusNormal"/>
              <w:jc w:val="center"/>
            </w:pPr>
            <w:r>
              <w:t>0</w:t>
            </w:r>
          </w:p>
        </w:tc>
      </w:tr>
      <w:tr w:rsidR="00454A29" w14:paraId="49E6C163" w14:textId="77777777">
        <w:tc>
          <w:tcPr>
            <w:tcW w:w="640" w:type="dxa"/>
            <w:vMerge/>
          </w:tcPr>
          <w:p w14:paraId="237B15D6" w14:textId="77777777" w:rsidR="00454A29" w:rsidRDefault="00454A29"/>
        </w:tc>
        <w:tc>
          <w:tcPr>
            <w:tcW w:w="2268" w:type="dxa"/>
            <w:vMerge/>
          </w:tcPr>
          <w:p w14:paraId="440174D4" w14:textId="77777777" w:rsidR="00454A29" w:rsidRDefault="00454A29"/>
        </w:tc>
        <w:tc>
          <w:tcPr>
            <w:tcW w:w="2665" w:type="dxa"/>
            <w:vMerge/>
          </w:tcPr>
          <w:p w14:paraId="06EBCACD" w14:textId="77777777" w:rsidR="00454A29" w:rsidRDefault="00454A29"/>
        </w:tc>
        <w:tc>
          <w:tcPr>
            <w:tcW w:w="3061" w:type="dxa"/>
            <w:vAlign w:val="center"/>
          </w:tcPr>
          <w:p w14:paraId="1ECFCF86" w14:textId="77777777" w:rsidR="00454A29" w:rsidRDefault="00454A29">
            <w:pPr>
              <w:pStyle w:val="ConsPlusNormal"/>
            </w:pPr>
            <w:r>
              <w:t>Федеральный бюджет</w:t>
            </w:r>
          </w:p>
        </w:tc>
        <w:tc>
          <w:tcPr>
            <w:tcW w:w="1247" w:type="dxa"/>
            <w:vAlign w:val="center"/>
          </w:tcPr>
          <w:p w14:paraId="2559123C" w14:textId="77777777" w:rsidR="00454A29" w:rsidRDefault="00454A29">
            <w:pPr>
              <w:pStyle w:val="ConsPlusNormal"/>
              <w:jc w:val="right"/>
            </w:pPr>
            <w:r>
              <w:t>0,0</w:t>
            </w:r>
          </w:p>
        </w:tc>
        <w:tc>
          <w:tcPr>
            <w:tcW w:w="1247" w:type="dxa"/>
            <w:vAlign w:val="center"/>
          </w:tcPr>
          <w:p w14:paraId="651D575E" w14:textId="77777777" w:rsidR="00454A29" w:rsidRDefault="00454A29">
            <w:pPr>
              <w:pStyle w:val="ConsPlusNormal"/>
              <w:jc w:val="right"/>
            </w:pPr>
            <w:r>
              <w:t>0,0</w:t>
            </w:r>
          </w:p>
        </w:tc>
        <w:tc>
          <w:tcPr>
            <w:tcW w:w="1247" w:type="dxa"/>
            <w:vAlign w:val="center"/>
          </w:tcPr>
          <w:p w14:paraId="31ADAD9B" w14:textId="77777777" w:rsidR="00454A29" w:rsidRDefault="00454A29">
            <w:pPr>
              <w:pStyle w:val="ConsPlusNormal"/>
              <w:jc w:val="right"/>
            </w:pPr>
            <w:r>
              <w:t>0,0</w:t>
            </w:r>
          </w:p>
        </w:tc>
        <w:tc>
          <w:tcPr>
            <w:tcW w:w="1247" w:type="dxa"/>
            <w:vAlign w:val="center"/>
          </w:tcPr>
          <w:p w14:paraId="6EE9E1D5" w14:textId="77777777" w:rsidR="00454A29" w:rsidRDefault="00454A29">
            <w:pPr>
              <w:pStyle w:val="ConsPlusNormal"/>
              <w:jc w:val="right"/>
            </w:pPr>
            <w:r>
              <w:t>0,0</w:t>
            </w:r>
          </w:p>
        </w:tc>
        <w:tc>
          <w:tcPr>
            <w:tcW w:w="1247" w:type="dxa"/>
            <w:vAlign w:val="center"/>
          </w:tcPr>
          <w:p w14:paraId="1D899002" w14:textId="77777777" w:rsidR="00454A29" w:rsidRDefault="00454A29">
            <w:pPr>
              <w:pStyle w:val="ConsPlusNormal"/>
              <w:jc w:val="right"/>
            </w:pPr>
            <w:r>
              <w:t>0,0</w:t>
            </w:r>
          </w:p>
        </w:tc>
        <w:tc>
          <w:tcPr>
            <w:tcW w:w="2041" w:type="dxa"/>
            <w:vMerge/>
          </w:tcPr>
          <w:p w14:paraId="4166584B" w14:textId="77777777" w:rsidR="00454A29" w:rsidRDefault="00454A29"/>
        </w:tc>
        <w:tc>
          <w:tcPr>
            <w:tcW w:w="2778" w:type="dxa"/>
            <w:vMerge/>
          </w:tcPr>
          <w:p w14:paraId="0E561E99" w14:textId="77777777" w:rsidR="00454A29" w:rsidRDefault="00454A29"/>
        </w:tc>
        <w:tc>
          <w:tcPr>
            <w:tcW w:w="1304" w:type="dxa"/>
            <w:vMerge/>
          </w:tcPr>
          <w:p w14:paraId="18E095E5" w14:textId="77777777" w:rsidR="00454A29" w:rsidRDefault="00454A29"/>
        </w:tc>
        <w:tc>
          <w:tcPr>
            <w:tcW w:w="960" w:type="dxa"/>
            <w:vMerge/>
          </w:tcPr>
          <w:p w14:paraId="7AE34283" w14:textId="77777777" w:rsidR="00454A29" w:rsidRDefault="00454A29"/>
        </w:tc>
        <w:tc>
          <w:tcPr>
            <w:tcW w:w="960" w:type="dxa"/>
            <w:vMerge/>
          </w:tcPr>
          <w:p w14:paraId="7B7B9100" w14:textId="77777777" w:rsidR="00454A29" w:rsidRDefault="00454A29"/>
        </w:tc>
        <w:tc>
          <w:tcPr>
            <w:tcW w:w="960" w:type="dxa"/>
            <w:vMerge/>
          </w:tcPr>
          <w:p w14:paraId="4E769F1E" w14:textId="77777777" w:rsidR="00454A29" w:rsidRDefault="00454A29"/>
        </w:tc>
        <w:tc>
          <w:tcPr>
            <w:tcW w:w="960" w:type="dxa"/>
            <w:vMerge/>
          </w:tcPr>
          <w:p w14:paraId="37C30DF4" w14:textId="77777777" w:rsidR="00454A29" w:rsidRDefault="00454A29"/>
        </w:tc>
        <w:tc>
          <w:tcPr>
            <w:tcW w:w="960" w:type="dxa"/>
            <w:vMerge/>
          </w:tcPr>
          <w:p w14:paraId="50FB0B21" w14:textId="77777777" w:rsidR="00454A29" w:rsidRDefault="00454A29"/>
        </w:tc>
      </w:tr>
      <w:tr w:rsidR="00454A29" w14:paraId="34C13A52" w14:textId="77777777">
        <w:tc>
          <w:tcPr>
            <w:tcW w:w="640" w:type="dxa"/>
            <w:vMerge/>
          </w:tcPr>
          <w:p w14:paraId="3495C8FC" w14:textId="77777777" w:rsidR="00454A29" w:rsidRDefault="00454A29"/>
        </w:tc>
        <w:tc>
          <w:tcPr>
            <w:tcW w:w="2268" w:type="dxa"/>
            <w:vMerge/>
          </w:tcPr>
          <w:p w14:paraId="714C331A" w14:textId="77777777" w:rsidR="00454A29" w:rsidRDefault="00454A29"/>
        </w:tc>
        <w:tc>
          <w:tcPr>
            <w:tcW w:w="2665" w:type="dxa"/>
            <w:vMerge/>
          </w:tcPr>
          <w:p w14:paraId="13515832" w14:textId="77777777" w:rsidR="00454A29" w:rsidRDefault="00454A29"/>
        </w:tc>
        <w:tc>
          <w:tcPr>
            <w:tcW w:w="3061" w:type="dxa"/>
            <w:vAlign w:val="center"/>
          </w:tcPr>
          <w:p w14:paraId="32B1316F" w14:textId="77777777" w:rsidR="00454A29" w:rsidRDefault="00454A29">
            <w:pPr>
              <w:pStyle w:val="ConsPlusNormal"/>
            </w:pPr>
            <w:r>
              <w:t>Государственный бюджет Республики Саха (Якутия)</w:t>
            </w:r>
          </w:p>
        </w:tc>
        <w:tc>
          <w:tcPr>
            <w:tcW w:w="1247" w:type="dxa"/>
            <w:vAlign w:val="center"/>
          </w:tcPr>
          <w:p w14:paraId="52C23CCD" w14:textId="77777777" w:rsidR="00454A29" w:rsidRDefault="00454A29">
            <w:pPr>
              <w:pStyle w:val="ConsPlusNormal"/>
              <w:jc w:val="right"/>
            </w:pPr>
            <w:r>
              <w:t>192 216,6</w:t>
            </w:r>
          </w:p>
        </w:tc>
        <w:tc>
          <w:tcPr>
            <w:tcW w:w="1247" w:type="dxa"/>
            <w:vAlign w:val="center"/>
          </w:tcPr>
          <w:p w14:paraId="00A35746" w14:textId="77777777" w:rsidR="00454A29" w:rsidRDefault="00454A29">
            <w:pPr>
              <w:pStyle w:val="ConsPlusNormal"/>
              <w:jc w:val="right"/>
            </w:pPr>
            <w:r>
              <w:t>346 642,4</w:t>
            </w:r>
          </w:p>
        </w:tc>
        <w:tc>
          <w:tcPr>
            <w:tcW w:w="1247" w:type="dxa"/>
            <w:vAlign w:val="center"/>
          </w:tcPr>
          <w:p w14:paraId="1557C0E5" w14:textId="77777777" w:rsidR="00454A29" w:rsidRDefault="00454A29">
            <w:pPr>
              <w:pStyle w:val="ConsPlusNormal"/>
              <w:jc w:val="right"/>
            </w:pPr>
            <w:r>
              <w:t>0,0</w:t>
            </w:r>
          </w:p>
        </w:tc>
        <w:tc>
          <w:tcPr>
            <w:tcW w:w="1247" w:type="dxa"/>
            <w:vAlign w:val="center"/>
          </w:tcPr>
          <w:p w14:paraId="628FC7F7" w14:textId="77777777" w:rsidR="00454A29" w:rsidRDefault="00454A29">
            <w:pPr>
              <w:pStyle w:val="ConsPlusNormal"/>
              <w:jc w:val="right"/>
            </w:pPr>
            <w:r>
              <w:t>0,0</w:t>
            </w:r>
          </w:p>
        </w:tc>
        <w:tc>
          <w:tcPr>
            <w:tcW w:w="1247" w:type="dxa"/>
            <w:vAlign w:val="center"/>
          </w:tcPr>
          <w:p w14:paraId="40F72B9B" w14:textId="77777777" w:rsidR="00454A29" w:rsidRDefault="00454A29">
            <w:pPr>
              <w:pStyle w:val="ConsPlusNormal"/>
              <w:jc w:val="right"/>
            </w:pPr>
            <w:r>
              <w:t>0,0</w:t>
            </w:r>
          </w:p>
        </w:tc>
        <w:tc>
          <w:tcPr>
            <w:tcW w:w="2041" w:type="dxa"/>
            <w:vMerge/>
          </w:tcPr>
          <w:p w14:paraId="6550A56F" w14:textId="77777777" w:rsidR="00454A29" w:rsidRDefault="00454A29"/>
        </w:tc>
        <w:tc>
          <w:tcPr>
            <w:tcW w:w="2778" w:type="dxa"/>
            <w:vMerge/>
          </w:tcPr>
          <w:p w14:paraId="61E78224" w14:textId="77777777" w:rsidR="00454A29" w:rsidRDefault="00454A29"/>
        </w:tc>
        <w:tc>
          <w:tcPr>
            <w:tcW w:w="1304" w:type="dxa"/>
            <w:vMerge/>
          </w:tcPr>
          <w:p w14:paraId="097891B9" w14:textId="77777777" w:rsidR="00454A29" w:rsidRDefault="00454A29"/>
        </w:tc>
        <w:tc>
          <w:tcPr>
            <w:tcW w:w="960" w:type="dxa"/>
            <w:vMerge/>
          </w:tcPr>
          <w:p w14:paraId="717B163C" w14:textId="77777777" w:rsidR="00454A29" w:rsidRDefault="00454A29"/>
        </w:tc>
        <w:tc>
          <w:tcPr>
            <w:tcW w:w="960" w:type="dxa"/>
            <w:vMerge/>
          </w:tcPr>
          <w:p w14:paraId="1A10E633" w14:textId="77777777" w:rsidR="00454A29" w:rsidRDefault="00454A29"/>
        </w:tc>
        <w:tc>
          <w:tcPr>
            <w:tcW w:w="960" w:type="dxa"/>
            <w:vMerge/>
          </w:tcPr>
          <w:p w14:paraId="155BE34F" w14:textId="77777777" w:rsidR="00454A29" w:rsidRDefault="00454A29"/>
        </w:tc>
        <w:tc>
          <w:tcPr>
            <w:tcW w:w="960" w:type="dxa"/>
            <w:vMerge/>
          </w:tcPr>
          <w:p w14:paraId="012C0AB2" w14:textId="77777777" w:rsidR="00454A29" w:rsidRDefault="00454A29"/>
        </w:tc>
        <w:tc>
          <w:tcPr>
            <w:tcW w:w="960" w:type="dxa"/>
            <w:vMerge/>
          </w:tcPr>
          <w:p w14:paraId="11A2FC99" w14:textId="77777777" w:rsidR="00454A29" w:rsidRDefault="00454A29"/>
        </w:tc>
      </w:tr>
      <w:tr w:rsidR="00454A29" w14:paraId="5C909176" w14:textId="77777777">
        <w:tc>
          <w:tcPr>
            <w:tcW w:w="640" w:type="dxa"/>
            <w:vMerge/>
          </w:tcPr>
          <w:p w14:paraId="73E73EBB" w14:textId="77777777" w:rsidR="00454A29" w:rsidRDefault="00454A29"/>
        </w:tc>
        <w:tc>
          <w:tcPr>
            <w:tcW w:w="2268" w:type="dxa"/>
            <w:vMerge/>
          </w:tcPr>
          <w:p w14:paraId="095E7373" w14:textId="77777777" w:rsidR="00454A29" w:rsidRDefault="00454A29"/>
        </w:tc>
        <w:tc>
          <w:tcPr>
            <w:tcW w:w="2665" w:type="dxa"/>
            <w:vMerge/>
          </w:tcPr>
          <w:p w14:paraId="077FC70A" w14:textId="77777777" w:rsidR="00454A29" w:rsidRDefault="00454A29"/>
        </w:tc>
        <w:tc>
          <w:tcPr>
            <w:tcW w:w="3061" w:type="dxa"/>
            <w:vAlign w:val="center"/>
          </w:tcPr>
          <w:p w14:paraId="4C039051" w14:textId="77777777" w:rsidR="00454A29" w:rsidRDefault="00454A29">
            <w:pPr>
              <w:pStyle w:val="ConsPlusNormal"/>
            </w:pPr>
            <w:r>
              <w:t>Местные бюджеты</w:t>
            </w:r>
          </w:p>
        </w:tc>
        <w:tc>
          <w:tcPr>
            <w:tcW w:w="1247" w:type="dxa"/>
            <w:vAlign w:val="center"/>
          </w:tcPr>
          <w:p w14:paraId="3FC44A6B" w14:textId="77777777" w:rsidR="00454A29" w:rsidRDefault="00454A29">
            <w:pPr>
              <w:pStyle w:val="ConsPlusNormal"/>
              <w:jc w:val="right"/>
            </w:pPr>
            <w:r>
              <w:t>0,0</w:t>
            </w:r>
          </w:p>
        </w:tc>
        <w:tc>
          <w:tcPr>
            <w:tcW w:w="1247" w:type="dxa"/>
            <w:vAlign w:val="center"/>
          </w:tcPr>
          <w:p w14:paraId="6867C04A" w14:textId="77777777" w:rsidR="00454A29" w:rsidRDefault="00454A29">
            <w:pPr>
              <w:pStyle w:val="ConsPlusNormal"/>
              <w:jc w:val="right"/>
            </w:pPr>
            <w:r>
              <w:t>0,0</w:t>
            </w:r>
          </w:p>
        </w:tc>
        <w:tc>
          <w:tcPr>
            <w:tcW w:w="1247" w:type="dxa"/>
            <w:vAlign w:val="center"/>
          </w:tcPr>
          <w:p w14:paraId="6F48B36B" w14:textId="77777777" w:rsidR="00454A29" w:rsidRDefault="00454A29">
            <w:pPr>
              <w:pStyle w:val="ConsPlusNormal"/>
              <w:jc w:val="right"/>
            </w:pPr>
            <w:r>
              <w:t>0,0</w:t>
            </w:r>
          </w:p>
        </w:tc>
        <w:tc>
          <w:tcPr>
            <w:tcW w:w="1247" w:type="dxa"/>
            <w:vAlign w:val="center"/>
          </w:tcPr>
          <w:p w14:paraId="5317F639" w14:textId="77777777" w:rsidR="00454A29" w:rsidRDefault="00454A29">
            <w:pPr>
              <w:pStyle w:val="ConsPlusNormal"/>
              <w:jc w:val="right"/>
            </w:pPr>
            <w:r>
              <w:t>0,0</w:t>
            </w:r>
          </w:p>
        </w:tc>
        <w:tc>
          <w:tcPr>
            <w:tcW w:w="1247" w:type="dxa"/>
            <w:vAlign w:val="center"/>
          </w:tcPr>
          <w:p w14:paraId="594DC757" w14:textId="77777777" w:rsidR="00454A29" w:rsidRDefault="00454A29">
            <w:pPr>
              <w:pStyle w:val="ConsPlusNormal"/>
              <w:jc w:val="right"/>
            </w:pPr>
            <w:r>
              <w:t>0,0</w:t>
            </w:r>
          </w:p>
        </w:tc>
        <w:tc>
          <w:tcPr>
            <w:tcW w:w="2041" w:type="dxa"/>
            <w:vMerge/>
          </w:tcPr>
          <w:p w14:paraId="17E53E42" w14:textId="77777777" w:rsidR="00454A29" w:rsidRDefault="00454A29"/>
        </w:tc>
        <w:tc>
          <w:tcPr>
            <w:tcW w:w="2778" w:type="dxa"/>
            <w:vMerge/>
          </w:tcPr>
          <w:p w14:paraId="509221CC" w14:textId="77777777" w:rsidR="00454A29" w:rsidRDefault="00454A29"/>
        </w:tc>
        <w:tc>
          <w:tcPr>
            <w:tcW w:w="1304" w:type="dxa"/>
            <w:vMerge/>
          </w:tcPr>
          <w:p w14:paraId="11277551" w14:textId="77777777" w:rsidR="00454A29" w:rsidRDefault="00454A29"/>
        </w:tc>
        <w:tc>
          <w:tcPr>
            <w:tcW w:w="960" w:type="dxa"/>
            <w:vMerge/>
          </w:tcPr>
          <w:p w14:paraId="31CC4E9D" w14:textId="77777777" w:rsidR="00454A29" w:rsidRDefault="00454A29"/>
        </w:tc>
        <w:tc>
          <w:tcPr>
            <w:tcW w:w="960" w:type="dxa"/>
            <w:vMerge/>
          </w:tcPr>
          <w:p w14:paraId="05F09AA1" w14:textId="77777777" w:rsidR="00454A29" w:rsidRDefault="00454A29"/>
        </w:tc>
        <w:tc>
          <w:tcPr>
            <w:tcW w:w="960" w:type="dxa"/>
            <w:vMerge/>
          </w:tcPr>
          <w:p w14:paraId="7A68D1CD" w14:textId="77777777" w:rsidR="00454A29" w:rsidRDefault="00454A29"/>
        </w:tc>
        <w:tc>
          <w:tcPr>
            <w:tcW w:w="960" w:type="dxa"/>
            <w:vMerge/>
          </w:tcPr>
          <w:p w14:paraId="224591F9" w14:textId="77777777" w:rsidR="00454A29" w:rsidRDefault="00454A29"/>
        </w:tc>
        <w:tc>
          <w:tcPr>
            <w:tcW w:w="960" w:type="dxa"/>
            <w:vMerge/>
          </w:tcPr>
          <w:p w14:paraId="61FDB188" w14:textId="77777777" w:rsidR="00454A29" w:rsidRDefault="00454A29"/>
        </w:tc>
      </w:tr>
      <w:tr w:rsidR="00454A29" w14:paraId="715A9D84" w14:textId="77777777">
        <w:tc>
          <w:tcPr>
            <w:tcW w:w="640" w:type="dxa"/>
            <w:vMerge/>
          </w:tcPr>
          <w:p w14:paraId="31293AA7" w14:textId="77777777" w:rsidR="00454A29" w:rsidRDefault="00454A29"/>
        </w:tc>
        <w:tc>
          <w:tcPr>
            <w:tcW w:w="2268" w:type="dxa"/>
            <w:vMerge/>
          </w:tcPr>
          <w:p w14:paraId="15BBE9E5" w14:textId="77777777" w:rsidR="00454A29" w:rsidRDefault="00454A29"/>
        </w:tc>
        <w:tc>
          <w:tcPr>
            <w:tcW w:w="2665" w:type="dxa"/>
            <w:vMerge/>
          </w:tcPr>
          <w:p w14:paraId="6508A5C5" w14:textId="77777777" w:rsidR="00454A29" w:rsidRDefault="00454A29"/>
        </w:tc>
        <w:tc>
          <w:tcPr>
            <w:tcW w:w="3061" w:type="dxa"/>
            <w:vAlign w:val="center"/>
          </w:tcPr>
          <w:p w14:paraId="17CC5D85" w14:textId="77777777" w:rsidR="00454A29" w:rsidRDefault="00454A29">
            <w:pPr>
              <w:pStyle w:val="ConsPlusNormal"/>
            </w:pPr>
            <w:r>
              <w:t>Внебюджетные источники</w:t>
            </w:r>
          </w:p>
        </w:tc>
        <w:tc>
          <w:tcPr>
            <w:tcW w:w="1247" w:type="dxa"/>
            <w:vAlign w:val="center"/>
          </w:tcPr>
          <w:p w14:paraId="162C80D3" w14:textId="77777777" w:rsidR="00454A29" w:rsidRDefault="00454A29">
            <w:pPr>
              <w:pStyle w:val="ConsPlusNormal"/>
              <w:jc w:val="right"/>
            </w:pPr>
            <w:r>
              <w:t>0,0</w:t>
            </w:r>
          </w:p>
        </w:tc>
        <w:tc>
          <w:tcPr>
            <w:tcW w:w="1247" w:type="dxa"/>
            <w:vAlign w:val="center"/>
          </w:tcPr>
          <w:p w14:paraId="4456D965" w14:textId="77777777" w:rsidR="00454A29" w:rsidRDefault="00454A29">
            <w:pPr>
              <w:pStyle w:val="ConsPlusNormal"/>
              <w:jc w:val="right"/>
            </w:pPr>
            <w:r>
              <w:t>0,0</w:t>
            </w:r>
          </w:p>
        </w:tc>
        <w:tc>
          <w:tcPr>
            <w:tcW w:w="1247" w:type="dxa"/>
            <w:vAlign w:val="center"/>
          </w:tcPr>
          <w:p w14:paraId="52DEE11D" w14:textId="77777777" w:rsidR="00454A29" w:rsidRDefault="00454A29">
            <w:pPr>
              <w:pStyle w:val="ConsPlusNormal"/>
              <w:jc w:val="right"/>
            </w:pPr>
            <w:r>
              <w:t>0,0</w:t>
            </w:r>
          </w:p>
        </w:tc>
        <w:tc>
          <w:tcPr>
            <w:tcW w:w="1247" w:type="dxa"/>
            <w:vAlign w:val="center"/>
          </w:tcPr>
          <w:p w14:paraId="4B6F052E" w14:textId="77777777" w:rsidR="00454A29" w:rsidRDefault="00454A29">
            <w:pPr>
              <w:pStyle w:val="ConsPlusNormal"/>
              <w:jc w:val="right"/>
            </w:pPr>
            <w:r>
              <w:t>0,0</w:t>
            </w:r>
          </w:p>
        </w:tc>
        <w:tc>
          <w:tcPr>
            <w:tcW w:w="1247" w:type="dxa"/>
            <w:vAlign w:val="center"/>
          </w:tcPr>
          <w:p w14:paraId="7D2681E9" w14:textId="77777777" w:rsidR="00454A29" w:rsidRDefault="00454A29">
            <w:pPr>
              <w:pStyle w:val="ConsPlusNormal"/>
              <w:jc w:val="right"/>
            </w:pPr>
            <w:r>
              <w:t>0,0</w:t>
            </w:r>
          </w:p>
        </w:tc>
        <w:tc>
          <w:tcPr>
            <w:tcW w:w="2041" w:type="dxa"/>
            <w:vMerge/>
          </w:tcPr>
          <w:p w14:paraId="4952BD6E" w14:textId="77777777" w:rsidR="00454A29" w:rsidRDefault="00454A29"/>
        </w:tc>
        <w:tc>
          <w:tcPr>
            <w:tcW w:w="2778" w:type="dxa"/>
            <w:vMerge/>
          </w:tcPr>
          <w:p w14:paraId="063A137C" w14:textId="77777777" w:rsidR="00454A29" w:rsidRDefault="00454A29"/>
        </w:tc>
        <w:tc>
          <w:tcPr>
            <w:tcW w:w="1304" w:type="dxa"/>
            <w:vMerge/>
          </w:tcPr>
          <w:p w14:paraId="7D0A2C72" w14:textId="77777777" w:rsidR="00454A29" w:rsidRDefault="00454A29"/>
        </w:tc>
        <w:tc>
          <w:tcPr>
            <w:tcW w:w="960" w:type="dxa"/>
            <w:vMerge/>
          </w:tcPr>
          <w:p w14:paraId="0A581EA8" w14:textId="77777777" w:rsidR="00454A29" w:rsidRDefault="00454A29"/>
        </w:tc>
        <w:tc>
          <w:tcPr>
            <w:tcW w:w="960" w:type="dxa"/>
            <w:vMerge/>
          </w:tcPr>
          <w:p w14:paraId="719CD5A4" w14:textId="77777777" w:rsidR="00454A29" w:rsidRDefault="00454A29"/>
        </w:tc>
        <w:tc>
          <w:tcPr>
            <w:tcW w:w="960" w:type="dxa"/>
            <w:vMerge/>
          </w:tcPr>
          <w:p w14:paraId="28BCE0C7" w14:textId="77777777" w:rsidR="00454A29" w:rsidRDefault="00454A29"/>
        </w:tc>
        <w:tc>
          <w:tcPr>
            <w:tcW w:w="960" w:type="dxa"/>
            <w:vMerge/>
          </w:tcPr>
          <w:p w14:paraId="7107F0DB" w14:textId="77777777" w:rsidR="00454A29" w:rsidRDefault="00454A29"/>
        </w:tc>
        <w:tc>
          <w:tcPr>
            <w:tcW w:w="960" w:type="dxa"/>
            <w:vMerge/>
          </w:tcPr>
          <w:p w14:paraId="58AFF519" w14:textId="77777777" w:rsidR="00454A29" w:rsidRDefault="00454A29"/>
        </w:tc>
      </w:tr>
      <w:tr w:rsidR="00454A29" w14:paraId="24534129" w14:textId="77777777">
        <w:tc>
          <w:tcPr>
            <w:tcW w:w="640" w:type="dxa"/>
            <w:vMerge w:val="restart"/>
            <w:vAlign w:val="center"/>
          </w:tcPr>
          <w:p w14:paraId="3C59BE33" w14:textId="77777777" w:rsidR="00454A29" w:rsidRDefault="00454A29">
            <w:pPr>
              <w:pStyle w:val="ConsPlusNormal"/>
              <w:jc w:val="center"/>
            </w:pPr>
            <w:r>
              <w:t>5</w:t>
            </w:r>
          </w:p>
        </w:tc>
        <w:tc>
          <w:tcPr>
            <w:tcW w:w="2268" w:type="dxa"/>
            <w:vMerge w:val="restart"/>
            <w:vAlign w:val="center"/>
          </w:tcPr>
          <w:p w14:paraId="59E27E12" w14:textId="77777777" w:rsidR="00454A29" w:rsidRDefault="00454A29">
            <w:pPr>
              <w:pStyle w:val="ConsPlusNormal"/>
              <w:jc w:val="center"/>
            </w:pPr>
            <w:r>
              <w:t>Основное мероприятие 9.1.</w:t>
            </w:r>
          </w:p>
        </w:tc>
        <w:tc>
          <w:tcPr>
            <w:tcW w:w="2665" w:type="dxa"/>
            <w:vMerge w:val="restart"/>
            <w:vAlign w:val="center"/>
          </w:tcPr>
          <w:p w14:paraId="610B66AF" w14:textId="77777777" w:rsidR="00454A29" w:rsidRDefault="00454A29">
            <w:pPr>
              <w:pStyle w:val="ConsPlusNormal"/>
              <w:jc w:val="center"/>
            </w:pPr>
            <w:r>
              <w:t>Строительство, приобретение и реконструкция объектов общего образования</w:t>
            </w:r>
          </w:p>
        </w:tc>
        <w:tc>
          <w:tcPr>
            <w:tcW w:w="3061" w:type="dxa"/>
            <w:vAlign w:val="center"/>
          </w:tcPr>
          <w:p w14:paraId="0D6F21DE" w14:textId="77777777" w:rsidR="00454A29" w:rsidRDefault="00454A29">
            <w:pPr>
              <w:pStyle w:val="ConsPlusNormal"/>
            </w:pPr>
            <w:r>
              <w:t>Всего:</w:t>
            </w:r>
          </w:p>
        </w:tc>
        <w:tc>
          <w:tcPr>
            <w:tcW w:w="1247" w:type="dxa"/>
            <w:vAlign w:val="center"/>
          </w:tcPr>
          <w:p w14:paraId="7B72F067" w14:textId="77777777" w:rsidR="00454A29" w:rsidRDefault="00454A29">
            <w:pPr>
              <w:pStyle w:val="ConsPlusNormal"/>
              <w:jc w:val="right"/>
            </w:pPr>
            <w:r>
              <w:t>192 216,6</w:t>
            </w:r>
          </w:p>
        </w:tc>
        <w:tc>
          <w:tcPr>
            <w:tcW w:w="1247" w:type="dxa"/>
            <w:vAlign w:val="center"/>
          </w:tcPr>
          <w:p w14:paraId="037D8673" w14:textId="77777777" w:rsidR="00454A29" w:rsidRDefault="00454A29">
            <w:pPr>
              <w:pStyle w:val="ConsPlusNormal"/>
              <w:jc w:val="right"/>
            </w:pPr>
            <w:r>
              <w:t>346 642,4</w:t>
            </w:r>
          </w:p>
        </w:tc>
        <w:tc>
          <w:tcPr>
            <w:tcW w:w="1247" w:type="dxa"/>
            <w:vAlign w:val="center"/>
          </w:tcPr>
          <w:p w14:paraId="019B93F7" w14:textId="77777777" w:rsidR="00454A29" w:rsidRDefault="00454A29">
            <w:pPr>
              <w:pStyle w:val="ConsPlusNormal"/>
              <w:jc w:val="right"/>
            </w:pPr>
            <w:r>
              <w:t>0,0</w:t>
            </w:r>
          </w:p>
        </w:tc>
        <w:tc>
          <w:tcPr>
            <w:tcW w:w="1247" w:type="dxa"/>
            <w:vAlign w:val="center"/>
          </w:tcPr>
          <w:p w14:paraId="48882852" w14:textId="77777777" w:rsidR="00454A29" w:rsidRDefault="00454A29">
            <w:pPr>
              <w:pStyle w:val="ConsPlusNormal"/>
              <w:jc w:val="right"/>
            </w:pPr>
            <w:r>
              <w:t>0,0</w:t>
            </w:r>
          </w:p>
        </w:tc>
        <w:tc>
          <w:tcPr>
            <w:tcW w:w="1247" w:type="dxa"/>
            <w:vAlign w:val="center"/>
          </w:tcPr>
          <w:p w14:paraId="2A7FB778" w14:textId="77777777" w:rsidR="00454A29" w:rsidRDefault="00454A29">
            <w:pPr>
              <w:pStyle w:val="ConsPlusNormal"/>
              <w:jc w:val="right"/>
            </w:pPr>
            <w:r>
              <w:t>0,0</w:t>
            </w:r>
          </w:p>
        </w:tc>
        <w:tc>
          <w:tcPr>
            <w:tcW w:w="2041" w:type="dxa"/>
            <w:vMerge w:val="restart"/>
            <w:vAlign w:val="center"/>
          </w:tcPr>
          <w:p w14:paraId="00AE4832"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2778" w:type="dxa"/>
            <w:vMerge w:val="restart"/>
            <w:vAlign w:val="center"/>
          </w:tcPr>
          <w:p w14:paraId="39145239" w14:textId="77777777" w:rsidR="00454A29" w:rsidRDefault="00454A29">
            <w:pPr>
              <w:pStyle w:val="ConsPlusNormal"/>
              <w:jc w:val="center"/>
            </w:pPr>
            <w:r>
              <w:t>Число новых мест в общеобразовательных организациях, вводимых путем строительства, приобретения и реконструкции</w:t>
            </w:r>
          </w:p>
        </w:tc>
        <w:tc>
          <w:tcPr>
            <w:tcW w:w="1304" w:type="dxa"/>
            <w:vMerge w:val="restart"/>
            <w:vAlign w:val="center"/>
          </w:tcPr>
          <w:p w14:paraId="5BA3270E" w14:textId="77777777" w:rsidR="00454A29" w:rsidRDefault="00454A29">
            <w:pPr>
              <w:pStyle w:val="ConsPlusNormal"/>
              <w:jc w:val="center"/>
            </w:pPr>
            <w:r>
              <w:t>ед.</w:t>
            </w:r>
          </w:p>
        </w:tc>
        <w:tc>
          <w:tcPr>
            <w:tcW w:w="960" w:type="dxa"/>
            <w:vMerge w:val="restart"/>
            <w:vAlign w:val="center"/>
          </w:tcPr>
          <w:p w14:paraId="1D1E1AEE" w14:textId="77777777" w:rsidR="00454A29" w:rsidRDefault="00454A29">
            <w:pPr>
              <w:pStyle w:val="ConsPlusNormal"/>
              <w:jc w:val="center"/>
            </w:pPr>
            <w:r>
              <w:t>0</w:t>
            </w:r>
          </w:p>
        </w:tc>
        <w:tc>
          <w:tcPr>
            <w:tcW w:w="960" w:type="dxa"/>
            <w:vMerge w:val="restart"/>
            <w:vAlign w:val="center"/>
          </w:tcPr>
          <w:p w14:paraId="26FBE3F2" w14:textId="77777777" w:rsidR="00454A29" w:rsidRDefault="00454A29">
            <w:pPr>
              <w:pStyle w:val="ConsPlusNormal"/>
              <w:jc w:val="center"/>
            </w:pPr>
            <w:r>
              <w:t>275</w:t>
            </w:r>
          </w:p>
        </w:tc>
        <w:tc>
          <w:tcPr>
            <w:tcW w:w="960" w:type="dxa"/>
            <w:vMerge w:val="restart"/>
            <w:vAlign w:val="center"/>
          </w:tcPr>
          <w:p w14:paraId="28647955" w14:textId="77777777" w:rsidR="00454A29" w:rsidRDefault="00454A29">
            <w:pPr>
              <w:pStyle w:val="ConsPlusNormal"/>
              <w:jc w:val="center"/>
            </w:pPr>
            <w:r>
              <w:t>80</w:t>
            </w:r>
          </w:p>
        </w:tc>
        <w:tc>
          <w:tcPr>
            <w:tcW w:w="960" w:type="dxa"/>
            <w:vMerge w:val="restart"/>
            <w:vAlign w:val="center"/>
          </w:tcPr>
          <w:p w14:paraId="318F711F" w14:textId="77777777" w:rsidR="00454A29" w:rsidRDefault="00454A29">
            <w:pPr>
              <w:pStyle w:val="ConsPlusNormal"/>
              <w:jc w:val="center"/>
            </w:pPr>
            <w:r>
              <w:t>0</w:t>
            </w:r>
          </w:p>
        </w:tc>
        <w:tc>
          <w:tcPr>
            <w:tcW w:w="960" w:type="dxa"/>
            <w:vMerge w:val="restart"/>
            <w:vAlign w:val="center"/>
          </w:tcPr>
          <w:p w14:paraId="66F3716D" w14:textId="77777777" w:rsidR="00454A29" w:rsidRDefault="00454A29">
            <w:pPr>
              <w:pStyle w:val="ConsPlusNormal"/>
              <w:jc w:val="center"/>
            </w:pPr>
            <w:r>
              <w:t>0</w:t>
            </w:r>
          </w:p>
        </w:tc>
      </w:tr>
      <w:tr w:rsidR="00454A29" w14:paraId="4281632F" w14:textId="77777777">
        <w:tc>
          <w:tcPr>
            <w:tcW w:w="640" w:type="dxa"/>
            <w:vMerge/>
          </w:tcPr>
          <w:p w14:paraId="28F77E37" w14:textId="77777777" w:rsidR="00454A29" w:rsidRDefault="00454A29"/>
        </w:tc>
        <w:tc>
          <w:tcPr>
            <w:tcW w:w="2268" w:type="dxa"/>
            <w:vMerge/>
          </w:tcPr>
          <w:p w14:paraId="39B1BFEC" w14:textId="77777777" w:rsidR="00454A29" w:rsidRDefault="00454A29"/>
        </w:tc>
        <w:tc>
          <w:tcPr>
            <w:tcW w:w="2665" w:type="dxa"/>
            <w:vMerge/>
          </w:tcPr>
          <w:p w14:paraId="731CA68F" w14:textId="77777777" w:rsidR="00454A29" w:rsidRDefault="00454A29"/>
        </w:tc>
        <w:tc>
          <w:tcPr>
            <w:tcW w:w="3061" w:type="dxa"/>
            <w:vAlign w:val="center"/>
          </w:tcPr>
          <w:p w14:paraId="2D2EB662" w14:textId="77777777" w:rsidR="00454A29" w:rsidRDefault="00454A29">
            <w:pPr>
              <w:pStyle w:val="ConsPlusNormal"/>
            </w:pPr>
            <w:r>
              <w:t>Федеральный бюджет</w:t>
            </w:r>
          </w:p>
        </w:tc>
        <w:tc>
          <w:tcPr>
            <w:tcW w:w="1247" w:type="dxa"/>
            <w:vAlign w:val="center"/>
          </w:tcPr>
          <w:p w14:paraId="74179FF2" w14:textId="77777777" w:rsidR="00454A29" w:rsidRDefault="00454A29">
            <w:pPr>
              <w:pStyle w:val="ConsPlusNormal"/>
              <w:jc w:val="right"/>
            </w:pPr>
            <w:r>
              <w:t>0,0</w:t>
            </w:r>
          </w:p>
        </w:tc>
        <w:tc>
          <w:tcPr>
            <w:tcW w:w="1247" w:type="dxa"/>
            <w:vAlign w:val="center"/>
          </w:tcPr>
          <w:p w14:paraId="495FF8A8" w14:textId="77777777" w:rsidR="00454A29" w:rsidRDefault="00454A29">
            <w:pPr>
              <w:pStyle w:val="ConsPlusNormal"/>
              <w:jc w:val="right"/>
            </w:pPr>
            <w:r>
              <w:t>0,0</w:t>
            </w:r>
          </w:p>
        </w:tc>
        <w:tc>
          <w:tcPr>
            <w:tcW w:w="1247" w:type="dxa"/>
            <w:vAlign w:val="center"/>
          </w:tcPr>
          <w:p w14:paraId="01D314AF" w14:textId="77777777" w:rsidR="00454A29" w:rsidRDefault="00454A29">
            <w:pPr>
              <w:pStyle w:val="ConsPlusNormal"/>
              <w:jc w:val="right"/>
            </w:pPr>
            <w:r>
              <w:t>0,0</w:t>
            </w:r>
          </w:p>
        </w:tc>
        <w:tc>
          <w:tcPr>
            <w:tcW w:w="1247" w:type="dxa"/>
            <w:vAlign w:val="center"/>
          </w:tcPr>
          <w:p w14:paraId="19CD3446" w14:textId="77777777" w:rsidR="00454A29" w:rsidRDefault="00454A29">
            <w:pPr>
              <w:pStyle w:val="ConsPlusNormal"/>
              <w:jc w:val="right"/>
            </w:pPr>
            <w:r>
              <w:t>0,0</w:t>
            </w:r>
          </w:p>
        </w:tc>
        <w:tc>
          <w:tcPr>
            <w:tcW w:w="1247" w:type="dxa"/>
            <w:vAlign w:val="center"/>
          </w:tcPr>
          <w:p w14:paraId="705B2BD5" w14:textId="77777777" w:rsidR="00454A29" w:rsidRDefault="00454A29">
            <w:pPr>
              <w:pStyle w:val="ConsPlusNormal"/>
              <w:jc w:val="right"/>
            </w:pPr>
            <w:r>
              <w:t>0,0</w:t>
            </w:r>
          </w:p>
        </w:tc>
        <w:tc>
          <w:tcPr>
            <w:tcW w:w="2041" w:type="dxa"/>
            <w:vMerge/>
          </w:tcPr>
          <w:p w14:paraId="74AD8961" w14:textId="77777777" w:rsidR="00454A29" w:rsidRDefault="00454A29"/>
        </w:tc>
        <w:tc>
          <w:tcPr>
            <w:tcW w:w="2778" w:type="dxa"/>
            <w:vMerge/>
          </w:tcPr>
          <w:p w14:paraId="407C49F2" w14:textId="77777777" w:rsidR="00454A29" w:rsidRDefault="00454A29"/>
        </w:tc>
        <w:tc>
          <w:tcPr>
            <w:tcW w:w="1304" w:type="dxa"/>
            <w:vMerge/>
          </w:tcPr>
          <w:p w14:paraId="7B2D9E8E" w14:textId="77777777" w:rsidR="00454A29" w:rsidRDefault="00454A29"/>
        </w:tc>
        <w:tc>
          <w:tcPr>
            <w:tcW w:w="960" w:type="dxa"/>
            <w:vMerge/>
          </w:tcPr>
          <w:p w14:paraId="20289F08" w14:textId="77777777" w:rsidR="00454A29" w:rsidRDefault="00454A29"/>
        </w:tc>
        <w:tc>
          <w:tcPr>
            <w:tcW w:w="960" w:type="dxa"/>
            <w:vMerge/>
          </w:tcPr>
          <w:p w14:paraId="5169A9AE" w14:textId="77777777" w:rsidR="00454A29" w:rsidRDefault="00454A29"/>
        </w:tc>
        <w:tc>
          <w:tcPr>
            <w:tcW w:w="960" w:type="dxa"/>
            <w:vMerge/>
          </w:tcPr>
          <w:p w14:paraId="5D9F65C1" w14:textId="77777777" w:rsidR="00454A29" w:rsidRDefault="00454A29"/>
        </w:tc>
        <w:tc>
          <w:tcPr>
            <w:tcW w:w="960" w:type="dxa"/>
            <w:vMerge/>
          </w:tcPr>
          <w:p w14:paraId="470F8C62" w14:textId="77777777" w:rsidR="00454A29" w:rsidRDefault="00454A29"/>
        </w:tc>
        <w:tc>
          <w:tcPr>
            <w:tcW w:w="960" w:type="dxa"/>
            <w:vMerge/>
          </w:tcPr>
          <w:p w14:paraId="3A895B53" w14:textId="77777777" w:rsidR="00454A29" w:rsidRDefault="00454A29"/>
        </w:tc>
      </w:tr>
      <w:tr w:rsidR="00454A29" w14:paraId="7310D4D7" w14:textId="77777777">
        <w:tc>
          <w:tcPr>
            <w:tcW w:w="640" w:type="dxa"/>
            <w:vMerge/>
          </w:tcPr>
          <w:p w14:paraId="78C6C85B" w14:textId="77777777" w:rsidR="00454A29" w:rsidRDefault="00454A29"/>
        </w:tc>
        <w:tc>
          <w:tcPr>
            <w:tcW w:w="2268" w:type="dxa"/>
            <w:vMerge/>
          </w:tcPr>
          <w:p w14:paraId="7D01336E" w14:textId="77777777" w:rsidR="00454A29" w:rsidRDefault="00454A29"/>
        </w:tc>
        <w:tc>
          <w:tcPr>
            <w:tcW w:w="2665" w:type="dxa"/>
            <w:vMerge/>
          </w:tcPr>
          <w:p w14:paraId="321F0437" w14:textId="77777777" w:rsidR="00454A29" w:rsidRDefault="00454A29"/>
        </w:tc>
        <w:tc>
          <w:tcPr>
            <w:tcW w:w="3061" w:type="dxa"/>
            <w:vAlign w:val="center"/>
          </w:tcPr>
          <w:p w14:paraId="6AF17231" w14:textId="77777777" w:rsidR="00454A29" w:rsidRDefault="00454A29">
            <w:pPr>
              <w:pStyle w:val="ConsPlusNormal"/>
            </w:pPr>
            <w:r>
              <w:t>Государственный бюджет Республики Саха (Якутия)</w:t>
            </w:r>
          </w:p>
        </w:tc>
        <w:tc>
          <w:tcPr>
            <w:tcW w:w="1247" w:type="dxa"/>
            <w:vAlign w:val="center"/>
          </w:tcPr>
          <w:p w14:paraId="4BB6B531" w14:textId="77777777" w:rsidR="00454A29" w:rsidRDefault="00454A29">
            <w:pPr>
              <w:pStyle w:val="ConsPlusNormal"/>
              <w:jc w:val="right"/>
            </w:pPr>
            <w:r>
              <w:t>192 216,6</w:t>
            </w:r>
          </w:p>
        </w:tc>
        <w:tc>
          <w:tcPr>
            <w:tcW w:w="1247" w:type="dxa"/>
            <w:vAlign w:val="center"/>
          </w:tcPr>
          <w:p w14:paraId="3B51E827" w14:textId="77777777" w:rsidR="00454A29" w:rsidRDefault="00454A29">
            <w:pPr>
              <w:pStyle w:val="ConsPlusNormal"/>
              <w:jc w:val="right"/>
            </w:pPr>
            <w:r>
              <w:t>346 642,4</w:t>
            </w:r>
          </w:p>
        </w:tc>
        <w:tc>
          <w:tcPr>
            <w:tcW w:w="1247" w:type="dxa"/>
            <w:vAlign w:val="center"/>
          </w:tcPr>
          <w:p w14:paraId="5043E15B" w14:textId="77777777" w:rsidR="00454A29" w:rsidRDefault="00454A29">
            <w:pPr>
              <w:pStyle w:val="ConsPlusNormal"/>
              <w:jc w:val="right"/>
            </w:pPr>
            <w:r>
              <w:t>0,0</w:t>
            </w:r>
          </w:p>
        </w:tc>
        <w:tc>
          <w:tcPr>
            <w:tcW w:w="1247" w:type="dxa"/>
            <w:vAlign w:val="center"/>
          </w:tcPr>
          <w:p w14:paraId="57293AF2" w14:textId="77777777" w:rsidR="00454A29" w:rsidRDefault="00454A29">
            <w:pPr>
              <w:pStyle w:val="ConsPlusNormal"/>
              <w:jc w:val="right"/>
            </w:pPr>
            <w:r>
              <w:t>0,0</w:t>
            </w:r>
          </w:p>
        </w:tc>
        <w:tc>
          <w:tcPr>
            <w:tcW w:w="1247" w:type="dxa"/>
            <w:vAlign w:val="center"/>
          </w:tcPr>
          <w:p w14:paraId="63C73C6A" w14:textId="77777777" w:rsidR="00454A29" w:rsidRDefault="00454A29">
            <w:pPr>
              <w:pStyle w:val="ConsPlusNormal"/>
              <w:jc w:val="right"/>
            </w:pPr>
            <w:r>
              <w:t>0,0</w:t>
            </w:r>
          </w:p>
        </w:tc>
        <w:tc>
          <w:tcPr>
            <w:tcW w:w="2041" w:type="dxa"/>
            <w:vMerge/>
          </w:tcPr>
          <w:p w14:paraId="6D659AED" w14:textId="77777777" w:rsidR="00454A29" w:rsidRDefault="00454A29"/>
        </w:tc>
        <w:tc>
          <w:tcPr>
            <w:tcW w:w="2778" w:type="dxa"/>
            <w:vMerge/>
          </w:tcPr>
          <w:p w14:paraId="6DF56FEE" w14:textId="77777777" w:rsidR="00454A29" w:rsidRDefault="00454A29"/>
        </w:tc>
        <w:tc>
          <w:tcPr>
            <w:tcW w:w="1304" w:type="dxa"/>
            <w:vMerge/>
          </w:tcPr>
          <w:p w14:paraId="7BD3E4C9" w14:textId="77777777" w:rsidR="00454A29" w:rsidRDefault="00454A29"/>
        </w:tc>
        <w:tc>
          <w:tcPr>
            <w:tcW w:w="960" w:type="dxa"/>
            <w:vMerge/>
          </w:tcPr>
          <w:p w14:paraId="0AFCDF72" w14:textId="77777777" w:rsidR="00454A29" w:rsidRDefault="00454A29"/>
        </w:tc>
        <w:tc>
          <w:tcPr>
            <w:tcW w:w="960" w:type="dxa"/>
            <w:vMerge/>
          </w:tcPr>
          <w:p w14:paraId="2214C599" w14:textId="77777777" w:rsidR="00454A29" w:rsidRDefault="00454A29"/>
        </w:tc>
        <w:tc>
          <w:tcPr>
            <w:tcW w:w="960" w:type="dxa"/>
            <w:vMerge/>
          </w:tcPr>
          <w:p w14:paraId="11ED465E" w14:textId="77777777" w:rsidR="00454A29" w:rsidRDefault="00454A29"/>
        </w:tc>
        <w:tc>
          <w:tcPr>
            <w:tcW w:w="960" w:type="dxa"/>
            <w:vMerge/>
          </w:tcPr>
          <w:p w14:paraId="56B13813" w14:textId="77777777" w:rsidR="00454A29" w:rsidRDefault="00454A29"/>
        </w:tc>
        <w:tc>
          <w:tcPr>
            <w:tcW w:w="960" w:type="dxa"/>
            <w:vMerge/>
          </w:tcPr>
          <w:p w14:paraId="67C10605" w14:textId="77777777" w:rsidR="00454A29" w:rsidRDefault="00454A29"/>
        </w:tc>
      </w:tr>
      <w:tr w:rsidR="00454A29" w14:paraId="01381045" w14:textId="77777777">
        <w:tc>
          <w:tcPr>
            <w:tcW w:w="640" w:type="dxa"/>
            <w:vMerge/>
          </w:tcPr>
          <w:p w14:paraId="67C232F1" w14:textId="77777777" w:rsidR="00454A29" w:rsidRDefault="00454A29"/>
        </w:tc>
        <w:tc>
          <w:tcPr>
            <w:tcW w:w="2268" w:type="dxa"/>
            <w:vMerge/>
          </w:tcPr>
          <w:p w14:paraId="202924B0" w14:textId="77777777" w:rsidR="00454A29" w:rsidRDefault="00454A29"/>
        </w:tc>
        <w:tc>
          <w:tcPr>
            <w:tcW w:w="2665" w:type="dxa"/>
            <w:vMerge/>
          </w:tcPr>
          <w:p w14:paraId="6571454F" w14:textId="77777777" w:rsidR="00454A29" w:rsidRDefault="00454A29"/>
        </w:tc>
        <w:tc>
          <w:tcPr>
            <w:tcW w:w="3061" w:type="dxa"/>
            <w:vAlign w:val="center"/>
          </w:tcPr>
          <w:p w14:paraId="457CCB94" w14:textId="77777777" w:rsidR="00454A29" w:rsidRDefault="00454A29">
            <w:pPr>
              <w:pStyle w:val="ConsPlusNormal"/>
            </w:pPr>
            <w:r>
              <w:t>Местные бюджеты</w:t>
            </w:r>
          </w:p>
        </w:tc>
        <w:tc>
          <w:tcPr>
            <w:tcW w:w="1247" w:type="dxa"/>
            <w:vAlign w:val="center"/>
          </w:tcPr>
          <w:p w14:paraId="5F9ACB79" w14:textId="77777777" w:rsidR="00454A29" w:rsidRDefault="00454A29">
            <w:pPr>
              <w:pStyle w:val="ConsPlusNormal"/>
              <w:jc w:val="right"/>
            </w:pPr>
            <w:r>
              <w:t>0,0</w:t>
            </w:r>
          </w:p>
        </w:tc>
        <w:tc>
          <w:tcPr>
            <w:tcW w:w="1247" w:type="dxa"/>
            <w:vAlign w:val="center"/>
          </w:tcPr>
          <w:p w14:paraId="507CD193" w14:textId="77777777" w:rsidR="00454A29" w:rsidRDefault="00454A29">
            <w:pPr>
              <w:pStyle w:val="ConsPlusNormal"/>
              <w:jc w:val="right"/>
            </w:pPr>
            <w:r>
              <w:t>0,0</w:t>
            </w:r>
          </w:p>
        </w:tc>
        <w:tc>
          <w:tcPr>
            <w:tcW w:w="1247" w:type="dxa"/>
            <w:vAlign w:val="center"/>
          </w:tcPr>
          <w:p w14:paraId="5F80CE77" w14:textId="77777777" w:rsidR="00454A29" w:rsidRDefault="00454A29">
            <w:pPr>
              <w:pStyle w:val="ConsPlusNormal"/>
              <w:jc w:val="right"/>
            </w:pPr>
            <w:r>
              <w:t>0,0</w:t>
            </w:r>
          </w:p>
        </w:tc>
        <w:tc>
          <w:tcPr>
            <w:tcW w:w="1247" w:type="dxa"/>
            <w:vAlign w:val="center"/>
          </w:tcPr>
          <w:p w14:paraId="6B7D91CE" w14:textId="77777777" w:rsidR="00454A29" w:rsidRDefault="00454A29">
            <w:pPr>
              <w:pStyle w:val="ConsPlusNormal"/>
              <w:jc w:val="right"/>
            </w:pPr>
            <w:r>
              <w:t>0,0</w:t>
            </w:r>
          </w:p>
        </w:tc>
        <w:tc>
          <w:tcPr>
            <w:tcW w:w="1247" w:type="dxa"/>
            <w:vAlign w:val="center"/>
          </w:tcPr>
          <w:p w14:paraId="4B4F7F3A" w14:textId="77777777" w:rsidR="00454A29" w:rsidRDefault="00454A29">
            <w:pPr>
              <w:pStyle w:val="ConsPlusNormal"/>
              <w:jc w:val="right"/>
            </w:pPr>
            <w:r>
              <w:t>0,0</w:t>
            </w:r>
          </w:p>
        </w:tc>
        <w:tc>
          <w:tcPr>
            <w:tcW w:w="2041" w:type="dxa"/>
            <w:vMerge/>
          </w:tcPr>
          <w:p w14:paraId="43D0A36B" w14:textId="77777777" w:rsidR="00454A29" w:rsidRDefault="00454A29"/>
        </w:tc>
        <w:tc>
          <w:tcPr>
            <w:tcW w:w="2778" w:type="dxa"/>
            <w:vMerge/>
          </w:tcPr>
          <w:p w14:paraId="361A276C" w14:textId="77777777" w:rsidR="00454A29" w:rsidRDefault="00454A29"/>
        </w:tc>
        <w:tc>
          <w:tcPr>
            <w:tcW w:w="1304" w:type="dxa"/>
            <w:vMerge/>
          </w:tcPr>
          <w:p w14:paraId="24673520" w14:textId="77777777" w:rsidR="00454A29" w:rsidRDefault="00454A29"/>
        </w:tc>
        <w:tc>
          <w:tcPr>
            <w:tcW w:w="960" w:type="dxa"/>
            <w:vMerge/>
          </w:tcPr>
          <w:p w14:paraId="266DCCC4" w14:textId="77777777" w:rsidR="00454A29" w:rsidRDefault="00454A29"/>
        </w:tc>
        <w:tc>
          <w:tcPr>
            <w:tcW w:w="960" w:type="dxa"/>
            <w:vMerge/>
          </w:tcPr>
          <w:p w14:paraId="5D554142" w14:textId="77777777" w:rsidR="00454A29" w:rsidRDefault="00454A29"/>
        </w:tc>
        <w:tc>
          <w:tcPr>
            <w:tcW w:w="960" w:type="dxa"/>
            <w:vMerge/>
          </w:tcPr>
          <w:p w14:paraId="2AB57AD0" w14:textId="77777777" w:rsidR="00454A29" w:rsidRDefault="00454A29"/>
        </w:tc>
        <w:tc>
          <w:tcPr>
            <w:tcW w:w="960" w:type="dxa"/>
            <w:vMerge/>
          </w:tcPr>
          <w:p w14:paraId="0F353E61" w14:textId="77777777" w:rsidR="00454A29" w:rsidRDefault="00454A29"/>
        </w:tc>
        <w:tc>
          <w:tcPr>
            <w:tcW w:w="960" w:type="dxa"/>
            <w:vMerge/>
          </w:tcPr>
          <w:p w14:paraId="08A6C74A" w14:textId="77777777" w:rsidR="00454A29" w:rsidRDefault="00454A29"/>
        </w:tc>
      </w:tr>
      <w:tr w:rsidR="00454A29" w14:paraId="0CC04DFA" w14:textId="77777777">
        <w:tc>
          <w:tcPr>
            <w:tcW w:w="640" w:type="dxa"/>
            <w:vMerge/>
          </w:tcPr>
          <w:p w14:paraId="5ED4C4E3" w14:textId="77777777" w:rsidR="00454A29" w:rsidRDefault="00454A29"/>
        </w:tc>
        <w:tc>
          <w:tcPr>
            <w:tcW w:w="2268" w:type="dxa"/>
            <w:vMerge/>
          </w:tcPr>
          <w:p w14:paraId="23921D8C" w14:textId="77777777" w:rsidR="00454A29" w:rsidRDefault="00454A29"/>
        </w:tc>
        <w:tc>
          <w:tcPr>
            <w:tcW w:w="2665" w:type="dxa"/>
            <w:vMerge/>
          </w:tcPr>
          <w:p w14:paraId="37844413" w14:textId="77777777" w:rsidR="00454A29" w:rsidRDefault="00454A29"/>
        </w:tc>
        <w:tc>
          <w:tcPr>
            <w:tcW w:w="3061" w:type="dxa"/>
            <w:vAlign w:val="center"/>
          </w:tcPr>
          <w:p w14:paraId="683459ED" w14:textId="77777777" w:rsidR="00454A29" w:rsidRDefault="00454A29">
            <w:pPr>
              <w:pStyle w:val="ConsPlusNormal"/>
            </w:pPr>
            <w:r>
              <w:t>Внебюджетные источники</w:t>
            </w:r>
          </w:p>
        </w:tc>
        <w:tc>
          <w:tcPr>
            <w:tcW w:w="1247" w:type="dxa"/>
            <w:vAlign w:val="center"/>
          </w:tcPr>
          <w:p w14:paraId="3B6ACED0" w14:textId="77777777" w:rsidR="00454A29" w:rsidRDefault="00454A29">
            <w:pPr>
              <w:pStyle w:val="ConsPlusNormal"/>
              <w:jc w:val="right"/>
            </w:pPr>
            <w:r>
              <w:t>0,0</w:t>
            </w:r>
          </w:p>
        </w:tc>
        <w:tc>
          <w:tcPr>
            <w:tcW w:w="1247" w:type="dxa"/>
            <w:vAlign w:val="center"/>
          </w:tcPr>
          <w:p w14:paraId="0B8CC2C1" w14:textId="77777777" w:rsidR="00454A29" w:rsidRDefault="00454A29">
            <w:pPr>
              <w:pStyle w:val="ConsPlusNormal"/>
              <w:jc w:val="right"/>
            </w:pPr>
            <w:r>
              <w:t>0,0</w:t>
            </w:r>
          </w:p>
        </w:tc>
        <w:tc>
          <w:tcPr>
            <w:tcW w:w="1247" w:type="dxa"/>
            <w:vAlign w:val="center"/>
          </w:tcPr>
          <w:p w14:paraId="32181AA4" w14:textId="77777777" w:rsidR="00454A29" w:rsidRDefault="00454A29">
            <w:pPr>
              <w:pStyle w:val="ConsPlusNormal"/>
              <w:jc w:val="right"/>
            </w:pPr>
            <w:r>
              <w:t>0,0</w:t>
            </w:r>
          </w:p>
        </w:tc>
        <w:tc>
          <w:tcPr>
            <w:tcW w:w="1247" w:type="dxa"/>
            <w:vAlign w:val="center"/>
          </w:tcPr>
          <w:p w14:paraId="61C2C5B7" w14:textId="77777777" w:rsidR="00454A29" w:rsidRDefault="00454A29">
            <w:pPr>
              <w:pStyle w:val="ConsPlusNormal"/>
              <w:jc w:val="right"/>
            </w:pPr>
            <w:r>
              <w:t>0,0</w:t>
            </w:r>
          </w:p>
        </w:tc>
        <w:tc>
          <w:tcPr>
            <w:tcW w:w="1247" w:type="dxa"/>
            <w:vAlign w:val="center"/>
          </w:tcPr>
          <w:p w14:paraId="0827E9E8" w14:textId="77777777" w:rsidR="00454A29" w:rsidRDefault="00454A29">
            <w:pPr>
              <w:pStyle w:val="ConsPlusNormal"/>
              <w:jc w:val="right"/>
            </w:pPr>
            <w:r>
              <w:t>0,0</w:t>
            </w:r>
          </w:p>
        </w:tc>
        <w:tc>
          <w:tcPr>
            <w:tcW w:w="2041" w:type="dxa"/>
            <w:vMerge/>
          </w:tcPr>
          <w:p w14:paraId="7E451662" w14:textId="77777777" w:rsidR="00454A29" w:rsidRDefault="00454A29"/>
        </w:tc>
        <w:tc>
          <w:tcPr>
            <w:tcW w:w="2778" w:type="dxa"/>
            <w:vMerge/>
          </w:tcPr>
          <w:p w14:paraId="3B78BB24" w14:textId="77777777" w:rsidR="00454A29" w:rsidRDefault="00454A29"/>
        </w:tc>
        <w:tc>
          <w:tcPr>
            <w:tcW w:w="1304" w:type="dxa"/>
            <w:vMerge/>
          </w:tcPr>
          <w:p w14:paraId="21B03291" w14:textId="77777777" w:rsidR="00454A29" w:rsidRDefault="00454A29"/>
        </w:tc>
        <w:tc>
          <w:tcPr>
            <w:tcW w:w="960" w:type="dxa"/>
            <w:vMerge/>
          </w:tcPr>
          <w:p w14:paraId="7F909A05" w14:textId="77777777" w:rsidR="00454A29" w:rsidRDefault="00454A29"/>
        </w:tc>
        <w:tc>
          <w:tcPr>
            <w:tcW w:w="960" w:type="dxa"/>
            <w:vMerge/>
          </w:tcPr>
          <w:p w14:paraId="6971BE9B" w14:textId="77777777" w:rsidR="00454A29" w:rsidRDefault="00454A29"/>
        </w:tc>
        <w:tc>
          <w:tcPr>
            <w:tcW w:w="960" w:type="dxa"/>
            <w:vMerge/>
          </w:tcPr>
          <w:p w14:paraId="4BAA25D6" w14:textId="77777777" w:rsidR="00454A29" w:rsidRDefault="00454A29"/>
        </w:tc>
        <w:tc>
          <w:tcPr>
            <w:tcW w:w="960" w:type="dxa"/>
            <w:vMerge/>
          </w:tcPr>
          <w:p w14:paraId="597A614D" w14:textId="77777777" w:rsidR="00454A29" w:rsidRDefault="00454A29"/>
        </w:tc>
        <w:tc>
          <w:tcPr>
            <w:tcW w:w="960" w:type="dxa"/>
            <w:vMerge/>
          </w:tcPr>
          <w:p w14:paraId="46F3A9A7" w14:textId="77777777" w:rsidR="00454A29" w:rsidRDefault="00454A29"/>
        </w:tc>
      </w:tr>
      <w:tr w:rsidR="00454A29" w14:paraId="4EF2868E" w14:textId="77777777">
        <w:tc>
          <w:tcPr>
            <w:tcW w:w="640" w:type="dxa"/>
            <w:vMerge w:val="restart"/>
            <w:vAlign w:val="center"/>
          </w:tcPr>
          <w:p w14:paraId="487C2F49" w14:textId="77777777" w:rsidR="00454A29" w:rsidRDefault="00454A29">
            <w:pPr>
              <w:pStyle w:val="ConsPlusNormal"/>
              <w:jc w:val="center"/>
            </w:pPr>
            <w:r>
              <w:t>6</w:t>
            </w:r>
          </w:p>
        </w:tc>
        <w:tc>
          <w:tcPr>
            <w:tcW w:w="2268" w:type="dxa"/>
            <w:vMerge w:val="restart"/>
            <w:vAlign w:val="center"/>
          </w:tcPr>
          <w:p w14:paraId="5F2ED796" w14:textId="77777777" w:rsidR="00454A29" w:rsidRDefault="00454A29">
            <w:pPr>
              <w:pStyle w:val="ConsPlusNormal"/>
              <w:jc w:val="center"/>
            </w:pPr>
            <w:r>
              <w:t>Мероприятие 9.1.1.</w:t>
            </w:r>
          </w:p>
        </w:tc>
        <w:tc>
          <w:tcPr>
            <w:tcW w:w="2665" w:type="dxa"/>
            <w:vMerge w:val="restart"/>
            <w:vAlign w:val="center"/>
          </w:tcPr>
          <w:p w14:paraId="23118E0E" w14:textId="77777777" w:rsidR="00454A29" w:rsidRDefault="00454A29">
            <w:pPr>
              <w:pStyle w:val="ConsPlusNormal"/>
              <w:jc w:val="center"/>
            </w:pPr>
            <w:r>
              <w:t>Строительство, приобретение и реконструкция объектов общего образования</w:t>
            </w:r>
          </w:p>
        </w:tc>
        <w:tc>
          <w:tcPr>
            <w:tcW w:w="3061" w:type="dxa"/>
            <w:vAlign w:val="center"/>
          </w:tcPr>
          <w:p w14:paraId="73836C86" w14:textId="77777777" w:rsidR="00454A29" w:rsidRDefault="00454A29">
            <w:pPr>
              <w:pStyle w:val="ConsPlusNormal"/>
            </w:pPr>
            <w:r>
              <w:t>Всего:</w:t>
            </w:r>
          </w:p>
        </w:tc>
        <w:tc>
          <w:tcPr>
            <w:tcW w:w="1247" w:type="dxa"/>
            <w:vAlign w:val="center"/>
          </w:tcPr>
          <w:p w14:paraId="13E74EC9" w14:textId="77777777" w:rsidR="00454A29" w:rsidRDefault="00454A29">
            <w:pPr>
              <w:pStyle w:val="ConsPlusNormal"/>
              <w:jc w:val="right"/>
            </w:pPr>
            <w:r>
              <w:t>192 216,6</w:t>
            </w:r>
          </w:p>
        </w:tc>
        <w:tc>
          <w:tcPr>
            <w:tcW w:w="1247" w:type="dxa"/>
            <w:vAlign w:val="center"/>
          </w:tcPr>
          <w:p w14:paraId="2BC64379" w14:textId="77777777" w:rsidR="00454A29" w:rsidRDefault="00454A29">
            <w:pPr>
              <w:pStyle w:val="ConsPlusNormal"/>
              <w:jc w:val="right"/>
            </w:pPr>
            <w:r>
              <w:t>346 642,4</w:t>
            </w:r>
          </w:p>
        </w:tc>
        <w:tc>
          <w:tcPr>
            <w:tcW w:w="1247" w:type="dxa"/>
            <w:vAlign w:val="center"/>
          </w:tcPr>
          <w:p w14:paraId="70173340" w14:textId="77777777" w:rsidR="00454A29" w:rsidRDefault="00454A29">
            <w:pPr>
              <w:pStyle w:val="ConsPlusNormal"/>
              <w:jc w:val="right"/>
            </w:pPr>
            <w:r>
              <w:t>0,0</w:t>
            </w:r>
          </w:p>
        </w:tc>
        <w:tc>
          <w:tcPr>
            <w:tcW w:w="1247" w:type="dxa"/>
            <w:vAlign w:val="center"/>
          </w:tcPr>
          <w:p w14:paraId="4516043A" w14:textId="77777777" w:rsidR="00454A29" w:rsidRDefault="00454A29">
            <w:pPr>
              <w:pStyle w:val="ConsPlusNormal"/>
              <w:jc w:val="right"/>
            </w:pPr>
            <w:r>
              <w:t>0,0</w:t>
            </w:r>
          </w:p>
        </w:tc>
        <w:tc>
          <w:tcPr>
            <w:tcW w:w="1247" w:type="dxa"/>
            <w:vAlign w:val="center"/>
          </w:tcPr>
          <w:p w14:paraId="78AD0726" w14:textId="77777777" w:rsidR="00454A29" w:rsidRDefault="00454A29">
            <w:pPr>
              <w:pStyle w:val="ConsPlusNormal"/>
              <w:jc w:val="right"/>
            </w:pPr>
            <w:r>
              <w:t>0,0</w:t>
            </w:r>
          </w:p>
        </w:tc>
        <w:tc>
          <w:tcPr>
            <w:tcW w:w="2041" w:type="dxa"/>
            <w:vMerge w:val="restart"/>
            <w:vAlign w:val="center"/>
          </w:tcPr>
          <w:p w14:paraId="20F83418"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2778" w:type="dxa"/>
            <w:vMerge w:val="restart"/>
            <w:vAlign w:val="center"/>
          </w:tcPr>
          <w:p w14:paraId="6CF336C9" w14:textId="77777777" w:rsidR="00454A29" w:rsidRDefault="00454A29">
            <w:pPr>
              <w:pStyle w:val="ConsPlusNormal"/>
              <w:jc w:val="center"/>
            </w:pPr>
            <w:r>
              <w:t>Число новых мест в общеобразовательных организациях, вводимых путем строительства, приобретения и реконструкции</w:t>
            </w:r>
          </w:p>
        </w:tc>
        <w:tc>
          <w:tcPr>
            <w:tcW w:w="1304" w:type="dxa"/>
            <w:vMerge w:val="restart"/>
            <w:vAlign w:val="center"/>
          </w:tcPr>
          <w:p w14:paraId="4989B474" w14:textId="77777777" w:rsidR="00454A29" w:rsidRDefault="00454A29">
            <w:pPr>
              <w:pStyle w:val="ConsPlusNormal"/>
              <w:jc w:val="center"/>
            </w:pPr>
            <w:r>
              <w:t>ед.</w:t>
            </w:r>
          </w:p>
        </w:tc>
        <w:tc>
          <w:tcPr>
            <w:tcW w:w="960" w:type="dxa"/>
            <w:vMerge w:val="restart"/>
            <w:vAlign w:val="center"/>
          </w:tcPr>
          <w:p w14:paraId="42DCB4A9" w14:textId="77777777" w:rsidR="00454A29" w:rsidRDefault="00454A29">
            <w:pPr>
              <w:pStyle w:val="ConsPlusNormal"/>
              <w:jc w:val="center"/>
            </w:pPr>
            <w:r>
              <w:t>0</w:t>
            </w:r>
          </w:p>
        </w:tc>
        <w:tc>
          <w:tcPr>
            <w:tcW w:w="960" w:type="dxa"/>
            <w:vMerge w:val="restart"/>
            <w:vAlign w:val="center"/>
          </w:tcPr>
          <w:p w14:paraId="280B8E2A" w14:textId="77777777" w:rsidR="00454A29" w:rsidRDefault="00454A29">
            <w:pPr>
              <w:pStyle w:val="ConsPlusNormal"/>
              <w:jc w:val="center"/>
            </w:pPr>
            <w:r>
              <w:t>275</w:t>
            </w:r>
          </w:p>
        </w:tc>
        <w:tc>
          <w:tcPr>
            <w:tcW w:w="960" w:type="dxa"/>
            <w:vMerge w:val="restart"/>
            <w:vAlign w:val="center"/>
          </w:tcPr>
          <w:p w14:paraId="5E59A1C5" w14:textId="77777777" w:rsidR="00454A29" w:rsidRDefault="00454A29">
            <w:pPr>
              <w:pStyle w:val="ConsPlusNormal"/>
              <w:jc w:val="center"/>
            </w:pPr>
            <w:r>
              <w:t>80</w:t>
            </w:r>
          </w:p>
        </w:tc>
        <w:tc>
          <w:tcPr>
            <w:tcW w:w="960" w:type="dxa"/>
            <w:vMerge w:val="restart"/>
            <w:vAlign w:val="center"/>
          </w:tcPr>
          <w:p w14:paraId="2F9FEB78" w14:textId="77777777" w:rsidR="00454A29" w:rsidRDefault="00454A29">
            <w:pPr>
              <w:pStyle w:val="ConsPlusNormal"/>
              <w:jc w:val="center"/>
            </w:pPr>
            <w:r>
              <w:t>0</w:t>
            </w:r>
          </w:p>
        </w:tc>
        <w:tc>
          <w:tcPr>
            <w:tcW w:w="960" w:type="dxa"/>
            <w:vMerge w:val="restart"/>
            <w:vAlign w:val="center"/>
          </w:tcPr>
          <w:p w14:paraId="25191976" w14:textId="77777777" w:rsidR="00454A29" w:rsidRDefault="00454A29">
            <w:pPr>
              <w:pStyle w:val="ConsPlusNormal"/>
              <w:jc w:val="center"/>
            </w:pPr>
            <w:r>
              <w:t>0</w:t>
            </w:r>
          </w:p>
        </w:tc>
      </w:tr>
      <w:tr w:rsidR="00454A29" w14:paraId="3F8373AF" w14:textId="77777777">
        <w:tc>
          <w:tcPr>
            <w:tcW w:w="640" w:type="dxa"/>
            <w:vMerge/>
          </w:tcPr>
          <w:p w14:paraId="4920C263" w14:textId="77777777" w:rsidR="00454A29" w:rsidRDefault="00454A29"/>
        </w:tc>
        <w:tc>
          <w:tcPr>
            <w:tcW w:w="2268" w:type="dxa"/>
            <w:vMerge/>
          </w:tcPr>
          <w:p w14:paraId="08CE30C7" w14:textId="77777777" w:rsidR="00454A29" w:rsidRDefault="00454A29"/>
        </w:tc>
        <w:tc>
          <w:tcPr>
            <w:tcW w:w="2665" w:type="dxa"/>
            <w:vMerge/>
          </w:tcPr>
          <w:p w14:paraId="6931E97A" w14:textId="77777777" w:rsidR="00454A29" w:rsidRDefault="00454A29"/>
        </w:tc>
        <w:tc>
          <w:tcPr>
            <w:tcW w:w="3061" w:type="dxa"/>
            <w:vAlign w:val="center"/>
          </w:tcPr>
          <w:p w14:paraId="3AD6ED73" w14:textId="77777777" w:rsidR="00454A29" w:rsidRDefault="00454A29">
            <w:pPr>
              <w:pStyle w:val="ConsPlusNormal"/>
            </w:pPr>
            <w:r>
              <w:t>Федеральный бюджет</w:t>
            </w:r>
          </w:p>
        </w:tc>
        <w:tc>
          <w:tcPr>
            <w:tcW w:w="1247" w:type="dxa"/>
            <w:vAlign w:val="center"/>
          </w:tcPr>
          <w:p w14:paraId="62601F7B" w14:textId="77777777" w:rsidR="00454A29" w:rsidRDefault="00454A29">
            <w:pPr>
              <w:pStyle w:val="ConsPlusNormal"/>
              <w:jc w:val="right"/>
            </w:pPr>
            <w:r>
              <w:t>0,0</w:t>
            </w:r>
          </w:p>
        </w:tc>
        <w:tc>
          <w:tcPr>
            <w:tcW w:w="1247" w:type="dxa"/>
            <w:vAlign w:val="center"/>
          </w:tcPr>
          <w:p w14:paraId="1CA48F32" w14:textId="77777777" w:rsidR="00454A29" w:rsidRDefault="00454A29">
            <w:pPr>
              <w:pStyle w:val="ConsPlusNormal"/>
              <w:jc w:val="right"/>
            </w:pPr>
            <w:r>
              <w:t>0,0</w:t>
            </w:r>
          </w:p>
        </w:tc>
        <w:tc>
          <w:tcPr>
            <w:tcW w:w="1247" w:type="dxa"/>
            <w:vAlign w:val="center"/>
          </w:tcPr>
          <w:p w14:paraId="70163F03" w14:textId="77777777" w:rsidR="00454A29" w:rsidRDefault="00454A29">
            <w:pPr>
              <w:pStyle w:val="ConsPlusNormal"/>
              <w:jc w:val="right"/>
            </w:pPr>
            <w:r>
              <w:t>0,0</w:t>
            </w:r>
          </w:p>
        </w:tc>
        <w:tc>
          <w:tcPr>
            <w:tcW w:w="1247" w:type="dxa"/>
            <w:vAlign w:val="center"/>
          </w:tcPr>
          <w:p w14:paraId="207C4BBB" w14:textId="77777777" w:rsidR="00454A29" w:rsidRDefault="00454A29">
            <w:pPr>
              <w:pStyle w:val="ConsPlusNormal"/>
              <w:jc w:val="right"/>
            </w:pPr>
            <w:r>
              <w:t>0,0</w:t>
            </w:r>
          </w:p>
        </w:tc>
        <w:tc>
          <w:tcPr>
            <w:tcW w:w="1247" w:type="dxa"/>
            <w:vAlign w:val="center"/>
          </w:tcPr>
          <w:p w14:paraId="5B71FF4D" w14:textId="77777777" w:rsidR="00454A29" w:rsidRDefault="00454A29">
            <w:pPr>
              <w:pStyle w:val="ConsPlusNormal"/>
              <w:jc w:val="right"/>
            </w:pPr>
            <w:r>
              <w:t>0,0</w:t>
            </w:r>
          </w:p>
        </w:tc>
        <w:tc>
          <w:tcPr>
            <w:tcW w:w="2041" w:type="dxa"/>
            <w:vMerge/>
          </w:tcPr>
          <w:p w14:paraId="3F5C19EB" w14:textId="77777777" w:rsidR="00454A29" w:rsidRDefault="00454A29"/>
        </w:tc>
        <w:tc>
          <w:tcPr>
            <w:tcW w:w="2778" w:type="dxa"/>
            <w:vMerge/>
          </w:tcPr>
          <w:p w14:paraId="4B5B2A42" w14:textId="77777777" w:rsidR="00454A29" w:rsidRDefault="00454A29"/>
        </w:tc>
        <w:tc>
          <w:tcPr>
            <w:tcW w:w="1304" w:type="dxa"/>
            <w:vMerge/>
          </w:tcPr>
          <w:p w14:paraId="0370F04F" w14:textId="77777777" w:rsidR="00454A29" w:rsidRDefault="00454A29"/>
        </w:tc>
        <w:tc>
          <w:tcPr>
            <w:tcW w:w="960" w:type="dxa"/>
            <w:vMerge/>
          </w:tcPr>
          <w:p w14:paraId="1EBFC15F" w14:textId="77777777" w:rsidR="00454A29" w:rsidRDefault="00454A29"/>
        </w:tc>
        <w:tc>
          <w:tcPr>
            <w:tcW w:w="960" w:type="dxa"/>
            <w:vMerge/>
          </w:tcPr>
          <w:p w14:paraId="3D6A159B" w14:textId="77777777" w:rsidR="00454A29" w:rsidRDefault="00454A29"/>
        </w:tc>
        <w:tc>
          <w:tcPr>
            <w:tcW w:w="960" w:type="dxa"/>
            <w:vMerge/>
          </w:tcPr>
          <w:p w14:paraId="29CBA8B6" w14:textId="77777777" w:rsidR="00454A29" w:rsidRDefault="00454A29"/>
        </w:tc>
        <w:tc>
          <w:tcPr>
            <w:tcW w:w="960" w:type="dxa"/>
            <w:vMerge/>
          </w:tcPr>
          <w:p w14:paraId="051419F3" w14:textId="77777777" w:rsidR="00454A29" w:rsidRDefault="00454A29"/>
        </w:tc>
        <w:tc>
          <w:tcPr>
            <w:tcW w:w="960" w:type="dxa"/>
            <w:vMerge/>
          </w:tcPr>
          <w:p w14:paraId="6F342BDB" w14:textId="77777777" w:rsidR="00454A29" w:rsidRDefault="00454A29"/>
        </w:tc>
      </w:tr>
      <w:tr w:rsidR="00454A29" w14:paraId="1216EE9E" w14:textId="77777777">
        <w:tc>
          <w:tcPr>
            <w:tcW w:w="640" w:type="dxa"/>
            <w:vMerge/>
          </w:tcPr>
          <w:p w14:paraId="30F9D59E" w14:textId="77777777" w:rsidR="00454A29" w:rsidRDefault="00454A29"/>
        </w:tc>
        <w:tc>
          <w:tcPr>
            <w:tcW w:w="2268" w:type="dxa"/>
            <w:vMerge/>
          </w:tcPr>
          <w:p w14:paraId="7B84EE74" w14:textId="77777777" w:rsidR="00454A29" w:rsidRDefault="00454A29"/>
        </w:tc>
        <w:tc>
          <w:tcPr>
            <w:tcW w:w="2665" w:type="dxa"/>
            <w:vMerge/>
          </w:tcPr>
          <w:p w14:paraId="35BCD319" w14:textId="77777777" w:rsidR="00454A29" w:rsidRDefault="00454A29"/>
        </w:tc>
        <w:tc>
          <w:tcPr>
            <w:tcW w:w="3061" w:type="dxa"/>
            <w:vAlign w:val="center"/>
          </w:tcPr>
          <w:p w14:paraId="27FB42C5" w14:textId="77777777" w:rsidR="00454A29" w:rsidRDefault="00454A29">
            <w:pPr>
              <w:pStyle w:val="ConsPlusNormal"/>
            </w:pPr>
            <w:r>
              <w:t>Государственный бюджет Республики Саха (Якутия)</w:t>
            </w:r>
          </w:p>
        </w:tc>
        <w:tc>
          <w:tcPr>
            <w:tcW w:w="1247" w:type="dxa"/>
            <w:vAlign w:val="center"/>
          </w:tcPr>
          <w:p w14:paraId="6D3D4D7D" w14:textId="77777777" w:rsidR="00454A29" w:rsidRDefault="00454A29">
            <w:pPr>
              <w:pStyle w:val="ConsPlusNormal"/>
              <w:jc w:val="right"/>
            </w:pPr>
            <w:r>
              <w:t>192 216,6</w:t>
            </w:r>
          </w:p>
        </w:tc>
        <w:tc>
          <w:tcPr>
            <w:tcW w:w="1247" w:type="dxa"/>
            <w:vAlign w:val="center"/>
          </w:tcPr>
          <w:p w14:paraId="63D2B104" w14:textId="77777777" w:rsidR="00454A29" w:rsidRDefault="00454A29">
            <w:pPr>
              <w:pStyle w:val="ConsPlusNormal"/>
              <w:jc w:val="right"/>
            </w:pPr>
            <w:r>
              <w:t>346 642,4</w:t>
            </w:r>
          </w:p>
        </w:tc>
        <w:tc>
          <w:tcPr>
            <w:tcW w:w="1247" w:type="dxa"/>
            <w:vAlign w:val="center"/>
          </w:tcPr>
          <w:p w14:paraId="24DDC2FE" w14:textId="77777777" w:rsidR="00454A29" w:rsidRDefault="00454A29">
            <w:pPr>
              <w:pStyle w:val="ConsPlusNormal"/>
              <w:jc w:val="right"/>
            </w:pPr>
            <w:r>
              <w:t>0,0</w:t>
            </w:r>
          </w:p>
        </w:tc>
        <w:tc>
          <w:tcPr>
            <w:tcW w:w="1247" w:type="dxa"/>
            <w:vAlign w:val="center"/>
          </w:tcPr>
          <w:p w14:paraId="6A8E4A43" w14:textId="77777777" w:rsidR="00454A29" w:rsidRDefault="00454A29">
            <w:pPr>
              <w:pStyle w:val="ConsPlusNormal"/>
              <w:jc w:val="right"/>
            </w:pPr>
            <w:r>
              <w:t>0,0</w:t>
            </w:r>
          </w:p>
        </w:tc>
        <w:tc>
          <w:tcPr>
            <w:tcW w:w="1247" w:type="dxa"/>
            <w:vAlign w:val="center"/>
          </w:tcPr>
          <w:p w14:paraId="6FC3CAD2" w14:textId="77777777" w:rsidR="00454A29" w:rsidRDefault="00454A29">
            <w:pPr>
              <w:pStyle w:val="ConsPlusNormal"/>
              <w:jc w:val="right"/>
            </w:pPr>
            <w:r>
              <w:t>0,0</w:t>
            </w:r>
          </w:p>
        </w:tc>
        <w:tc>
          <w:tcPr>
            <w:tcW w:w="2041" w:type="dxa"/>
            <w:vMerge/>
          </w:tcPr>
          <w:p w14:paraId="4548DC5D" w14:textId="77777777" w:rsidR="00454A29" w:rsidRDefault="00454A29"/>
        </w:tc>
        <w:tc>
          <w:tcPr>
            <w:tcW w:w="2778" w:type="dxa"/>
            <w:vMerge/>
          </w:tcPr>
          <w:p w14:paraId="173AC237" w14:textId="77777777" w:rsidR="00454A29" w:rsidRDefault="00454A29"/>
        </w:tc>
        <w:tc>
          <w:tcPr>
            <w:tcW w:w="1304" w:type="dxa"/>
            <w:vMerge/>
          </w:tcPr>
          <w:p w14:paraId="44397712" w14:textId="77777777" w:rsidR="00454A29" w:rsidRDefault="00454A29"/>
        </w:tc>
        <w:tc>
          <w:tcPr>
            <w:tcW w:w="960" w:type="dxa"/>
            <w:vMerge/>
          </w:tcPr>
          <w:p w14:paraId="6B99C521" w14:textId="77777777" w:rsidR="00454A29" w:rsidRDefault="00454A29"/>
        </w:tc>
        <w:tc>
          <w:tcPr>
            <w:tcW w:w="960" w:type="dxa"/>
            <w:vMerge/>
          </w:tcPr>
          <w:p w14:paraId="052C69CB" w14:textId="77777777" w:rsidR="00454A29" w:rsidRDefault="00454A29"/>
        </w:tc>
        <w:tc>
          <w:tcPr>
            <w:tcW w:w="960" w:type="dxa"/>
            <w:vMerge/>
          </w:tcPr>
          <w:p w14:paraId="13E34C51" w14:textId="77777777" w:rsidR="00454A29" w:rsidRDefault="00454A29"/>
        </w:tc>
        <w:tc>
          <w:tcPr>
            <w:tcW w:w="960" w:type="dxa"/>
            <w:vMerge/>
          </w:tcPr>
          <w:p w14:paraId="11F3826A" w14:textId="77777777" w:rsidR="00454A29" w:rsidRDefault="00454A29"/>
        </w:tc>
        <w:tc>
          <w:tcPr>
            <w:tcW w:w="960" w:type="dxa"/>
            <w:vMerge/>
          </w:tcPr>
          <w:p w14:paraId="45DEDED2" w14:textId="77777777" w:rsidR="00454A29" w:rsidRDefault="00454A29"/>
        </w:tc>
      </w:tr>
      <w:tr w:rsidR="00454A29" w14:paraId="0FD3FE35" w14:textId="77777777">
        <w:tc>
          <w:tcPr>
            <w:tcW w:w="640" w:type="dxa"/>
            <w:vMerge/>
          </w:tcPr>
          <w:p w14:paraId="14CCCC16" w14:textId="77777777" w:rsidR="00454A29" w:rsidRDefault="00454A29"/>
        </w:tc>
        <w:tc>
          <w:tcPr>
            <w:tcW w:w="2268" w:type="dxa"/>
            <w:vMerge/>
          </w:tcPr>
          <w:p w14:paraId="0FBE33AC" w14:textId="77777777" w:rsidR="00454A29" w:rsidRDefault="00454A29"/>
        </w:tc>
        <w:tc>
          <w:tcPr>
            <w:tcW w:w="2665" w:type="dxa"/>
            <w:vMerge/>
          </w:tcPr>
          <w:p w14:paraId="0ED1127F" w14:textId="77777777" w:rsidR="00454A29" w:rsidRDefault="00454A29"/>
        </w:tc>
        <w:tc>
          <w:tcPr>
            <w:tcW w:w="3061" w:type="dxa"/>
            <w:vAlign w:val="center"/>
          </w:tcPr>
          <w:p w14:paraId="05BF50C8" w14:textId="77777777" w:rsidR="00454A29" w:rsidRDefault="00454A29">
            <w:pPr>
              <w:pStyle w:val="ConsPlusNormal"/>
            </w:pPr>
            <w:r>
              <w:t>Местные бюджеты</w:t>
            </w:r>
          </w:p>
        </w:tc>
        <w:tc>
          <w:tcPr>
            <w:tcW w:w="1247" w:type="dxa"/>
            <w:vAlign w:val="center"/>
          </w:tcPr>
          <w:p w14:paraId="178AB671" w14:textId="77777777" w:rsidR="00454A29" w:rsidRDefault="00454A29">
            <w:pPr>
              <w:pStyle w:val="ConsPlusNormal"/>
              <w:jc w:val="right"/>
            </w:pPr>
            <w:r>
              <w:t>0,0</w:t>
            </w:r>
          </w:p>
        </w:tc>
        <w:tc>
          <w:tcPr>
            <w:tcW w:w="1247" w:type="dxa"/>
            <w:vAlign w:val="center"/>
          </w:tcPr>
          <w:p w14:paraId="3F85BFDA" w14:textId="77777777" w:rsidR="00454A29" w:rsidRDefault="00454A29">
            <w:pPr>
              <w:pStyle w:val="ConsPlusNormal"/>
              <w:jc w:val="right"/>
            </w:pPr>
            <w:r>
              <w:t>0,0</w:t>
            </w:r>
          </w:p>
        </w:tc>
        <w:tc>
          <w:tcPr>
            <w:tcW w:w="1247" w:type="dxa"/>
            <w:vAlign w:val="center"/>
          </w:tcPr>
          <w:p w14:paraId="091DEDE2" w14:textId="77777777" w:rsidR="00454A29" w:rsidRDefault="00454A29">
            <w:pPr>
              <w:pStyle w:val="ConsPlusNormal"/>
              <w:jc w:val="right"/>
            </w:pPr>
            <w:r>
              <w:t>0,0</w:t>
            </w:r>
          </w:p>
        </w:tc>
        <w:tc>
          <w:tcPr>
            <w:tcW w:w="1247" w:type="dxa"/>
            <w:vAlign w:val="center"/>
          </w:tcPr>
          <w:p w14:paraId="5C3BA8DA" w14:textId="77777777" w:rsidR="00454A29" w:rsidRDefault="00454A29">
            <w:pPr>
              <w:pStyle w:val="ConsPlusNormal"/>
              <w:jc w:val="right"/>
            </w:pPr>
            <w:r>
              <w:t>0,0</w:t>
            </w:r>
          </w:p>
        </w:tc>
        <w:tc>
          <w:tcPr>
            <w:tcW w:w="1247" w:type="dxa"/>
            <w:vAlign w:val="center"/>
          </w:tcPr>
          <w:p w14:paraId="77C9A469" w14:textId="77777777" w:rsidR="00454A29" w:rsidRDefault="00454A29">
            <w:pPr>
              <w:pStyle w:val="ConsPlusNormal"/>
              <w:jc w:val="right"/>
            </w:pPr>
            <w:r>
              <w:t>0,0</w:t>
            </w:r>
          </w:p>
        </w:tc>
        <w:tc>
          <w:tcPr>
            <w:tcW w:w="2041" w:type="dxa"/>
            <w:vMerge/>
          </w:tcPr>
          <w:p w14:paraId="0DB53B98" w14:textId="77777777" w:rsidR="00454A29" w:rsidRDefault="00454A29"/>
        </w:tc>
        <w:tc>
          <w:tcPr>
            <w:tcW w:w="2778" w:type="dxa"/>
            <w:vMerge/>
          </w:tcPr>
          <w:p w14:paraId="7CBBFBF9" w14:textId="77777777" w:rsidR="00454A29" w:rsidRDefault="00454A29"/>
        </w:tc>
        <w:tc>
          <w:tcPr>
            <w:tcW w:w="1304" w:type="dxa"/>
            <w:vMerge/>
          </w:tcPr>
          <w:p w14:paraId="52BE83C8" w14:textId="77777777" w:rsidR="00454A29" w:rsidRDefault="00454A29"/>
        </w:tc>
        <w:tc>
          <w:tcPr>
            <w:tcW w:w="960" w:type="dxa"/>
            <w:vMerge/>
          </w:tcPr>
          <w:p w14:paraId="71D2611A" w14:textId="77777777" w:rsidR="00454A29" w:rsidRDefault="00454A29"/>
        </w:tc>
        <w:tc>
          <w:tcPr>
            <w:tcW w:w="960" w:type="dxa"/>
            <w:vMerge/>
          </w:tcPr>
          <w:p w14:paraId="2EE40D4B" w14:textId="77777777" w:rsidR="00454A29" w:rsidRDefault="00454A29"/>
        </w:tc>
        <w:tc>
          <w:tcPr>
            <w:tcW w:w="960" w:type="dxa"/>
            <w:vMerge/>
          </w:tcPr>
          <w:p w14:paraId="7DDED0FB" w14:textId="77777777" w:rsidR="00454A29" w:rsidRDefault="00454A29"/>
        </w:tc>
        <w:tc>
          <w:tcPr>
            <w:tcW w:w="960" w:type="dxa"/>
            <w:vMerge/>
          </w:tcPr>
          <w:p w14:paraId="68042C1C" w14:textId="77777777" w:rsidR="00454A29" w:rsidRDefault="00454A29"/>
        </w:tc>
        <w:tc>
          <w:tcPr>
            <w:tcW w:w="960" w:type="dxa"/>
            <w:vMerge/>
          </w:tcPr>
          <w:p w14:paraId="031D22FD" w14:textId="77777777" w:rsidR="00454A29" w:rsidRDefault="00454A29"/>
        </w:tc>
      </w:tr>
      <w:tr w:rsidR="00454A29" w14:paraId="311615CC" w14:textId="77777777">
        <w:tc>
          <w:tcPr>
            <w:tcW w:w="640" w:type="dxa"/>
            <w:vMerge/>
          </w:tcPr>
          <w:p w14:paraId="52CBF6DF" w14:textId="77777777" w:rsidR="00454A29" w:rsidRDefault="00454A29"/>
        </w:tc>
        <w:tc>
          <w:tcPr>
            <w:tcW w:w="2268" w:type="dxa"/>
            <w:vMerge/>
          </w:tcPr>
          <w:p w14:paraId="75CA9BA8" w14:textId="77777777" w:rsidR="00454A29" w:rsidRDefault="00454A29"/>
        </w:tc>
        <w:tc>
          <w:tcPr>
            <w:tcW w:w="2665" w:type="dxa"/>
            <w:vMerge/>
          </w:tcPr>
          <w:p w14:paraId="78C26348" w14:textId="77777777" w:rsidR="00454A29" w:rsidRDefault="00454A29"/>
        </w:tc>
        <w:tc>
          <w:tcPr>
            <w:tcW w:w="3061" w:type="dxa"/>
            <w:vAlign w:val="center"/>
          </w:tcPr>
          <w:p w14:paraId="5467A6AF" w14:textId="77777777" w:rsidR="00454A29" w:rsidRDefault="00454A29">
            <w:pPr>
              <w:pStyle w:val="ConsPlusNormal"/>
            </w:pPr>
            <w:r>
              <w:t>Внебюджетные источники</w:t>
            </w:r>
          </w:p>
        </w:tc>
        <w:tc>
          <w:tcPr>
            <w:tcW w:w="1247" w:type="dxa"/>
            <w:vAlign w:val="center"/>
          </w:tcPr>
          <w:p w14:paraId="27726636" w14:textId="77777777" w:rsidR="00454A29" w:rsidRDefault="00454A29">
            <w:pPr>
              <w:pStyle w:val="ConsPlusNormal"/>
              <w:jc w:val="right"/>
            </w:pPr>
            <w:r>
              <w:t>0,0</w:t>
            </w:r>
          </w:p>
        </w:tc>
        <w:tc>
          <w:tcPr>
            <w:tcW w:w="1247" w:type="dxa"/>
            <w:vAlign w:val="center"/>
          </w:tcPr>
          <w:p w14:paraId="6AC7E8E7" w14:textId="77777777" w:rsidR="00454A29" w:rsidRDefault="00454A29">
            <w:pPr>
              <w:pStyle w:val="ConsPlusNormal"/>
              <w:jc w:val="right"/>
            </w:pPr>
            <w:r>
              <w:t>0,0</w:t>
            </w:r>
          </w:p>
        </w:tc>
        <w:tc>
          <w:tcPr>
            <w:tcW w:w="1247" w:type="dxa"/>
            <w:vAlign w:val="center"/>
          </w:tcPr>
          <w:p w14:paraId="123EC41B" w14:textId="77777777" w:rsidR="00454A29" w:rsidRDefault="00454A29">
            <w:pPr>
              <w:pStyle w:val="ConsPlusNormal"/>
              <w:jc w:val="right"/>
            </w:pPr>
            <w:r>
              <w:t>0,0</w:t>
            </w:r>
          </w:p>
        </w:tc>
        <w:tc>
          <w:tcPr>
            <w:tcW w:w="1247" w:type="dxa"/>
            <w:vAlign w:val="center"/>
          </w:tcPr>
          <w:p w14:paraId="0CF5FFBA" w14:textId="77777777" w:rsidR="00454A29" w:rsidRDefault="00454A29">
            <w:pPr>
              <w:pStyle w:val="ConsPlusNormal"/>
              <w:jc w:val="right"/>
            </w:pPr>
            <w:r>
              <w:t>0,0</w:t>
            </w:r>
          </w:p>
        </w:tc>
        <w:tc>
          <w:tcPr>
            <w:tcW w:w="1247" w:type="dxa"/>
            <w:vAlign w:val="center"/>
          </w:tcPr>
          <w:p w14:paraId="546033B9" w14:textId="77777777" w:rsidR="00454A29" w:rsidRDefault="00454A29">
            <w:pPr>
              <w:pStyle w:val="ConsPlusNormal"/>
              <w:jc w:val="right"/>
            </w:pPr>
            <w:r>
              <w:t>0,0</w:t>
            </w:r>
          </w:p>
        </w:tc>
        <w:tc>
          <w:tcPr>
            <w:tcW w:w="2041" w:type="dxa"/>
            <w:vMerge/>
          </w:tcPr>
          <w:p w14:paraId="09AD200B" w14:textId="77777777" w:rsidR="00454A29" w:rsidRDefault="00454A29"/>
        </w:tc>
        <w:tc>
          <w:tcPr>
            <w:tcW w:w="2778" w:type="dxa"/>
            <w:vMerge/>
          </w:tcPr>
          <w:p w14:paraId="51B305AF" w14:textId="77777777" w:rsidR="00454A29" w:rsidRDefault="00454A29"/>
        </w:tc>
        <w:tc>
          <w:tcPr>
            <w:tcW w:w="1304" w:type="dxa"/>
            <w:vMerge/>
          </w:tcPr>
          <w:p w14:paraId="5BEDF38C" w14:textId="77777777" w:rsidR="00454A29" w:rsidRDefault="00454A29"/>
        </w:tc>
        <w:tc>
          <w:tcPr>
            <w:tcW w:w="960" w:type="dxa"/>
            <w:vMerge/>
          </w:tcPr>
          <w:p w14:paraId="52A52E0E" w14:textId="77777777" w:rsidR="00454A29" w:rsidRDefault="00454A29"/>
        </w:tc>
        <w:tc>
          <w:tcPr>
            <w:tcW w:w="960" w:type="dxa"/>
            <w:vMerge/>
          </w:tcPr>
          <w:p w14:paraId="25E4B404" w14:textId="77777777" w:rsidR="00454A29" w:rsidRDefault="00454A29"/>
        </w:tc>
        <w:tc>
          <w:tcPr>
            <w:tcW w:w="960" w:type="dxa"/>
            <w:vMerge/>
          </w:tcPr>
          <w:p w14:paraId="51DACAA1" w14:textId="77777777" w:rsidR="00454A29" w:rsidRDefault="00454A29"/>
        </w:tc>
        <w:tc>
          <w:tcPr>
            <w:tcW w:w="960" w:type="dxa"/>
            <w:vMerge/>
          </w:tcPr>
          <w:p w14:paraId="519C5FC6" w14:textId="77777777" w:rsidR="00454A29" w:rsidRDefault="00454A29"/>
        </w:tc>
        <w:tc>
          <w:tcPr>
            <w:tcW w:w="960" w:type="dxa"/>
            <w:vMerge/>
          </w:tcPr>
          <w:p w14:paraId="77130E3C" w14:textId="77777777" w:rsidR="00454A29" w:rsidRDefault="00454A29"/>
        </w:tc>
      </w:tr>
      <w:tr w:rsidR="00454A29" w14:paraId="5A1EDECC" w14:textId="77777777">
        <w:tc>
          <w:tcPr>
            <w:tcW w:w="640" w:type="dxa"/>
            <w:vMerge w:val="restart"/>
            <w:vAlign w:val="center"/>
          </w:tcPr>
          <w:p w14:paraId="374F12A5" w14:textId="77777777" w:rsidR="00454A29" w:rsidRDefault="00454A29">
            <w:pPr>
              <w:pStyle w:val="ConsPlusNormal"/>
              <w:jc w:val="center"/>
            </w:pPr>
            <w:r>
              <w:lastRenderedPageBreak/>
              <w:t>7</w:t>
            </w:r>
          </w:p>
        </w:tc>
        <w:tc>
          <w:tcPr>
            <w:tcW w:w="2268" w:type="dxa"/>
            <w:vMerge/>
          </w:tcPr>
          <w:p w14:paraId="6F8B0E1E" w14:textId="77777777" w:rsidR="00454A29" w:rsidRDefault="00454A29"/>
        </w:tc>
        <w:tc>
          <w:tcPr>
            <w:tcW w:w="2665" w:type="dxa"/>
            <w:vMerge w:val="restart"/>
            <w:vAlign w:val="center"/>
          </w:tcPr>
          <w:p w14:paraId="44A98E5B" w14:textId="77777777" w:rsidR="00454A29" w:rsidRDefault="00454A29">
            <w:pPr>
              <w:pStyle w:val="ConsPlusNormal"/>
              <w:jc w:val="center"/>
            </w:pPr>
            <w:r>
              <w:t>Школа на 275 учащихся в п. Чокурдах Аллаиховского улуса</w:t>
            </w:r>
          </w:p>
        </w:tc>
        <w:tc>
          <w:tcPr>
            <w:tcW w:w="3061" w:type="dxa"/>
            <w:vAlign w:val="center"/>
          </w:tcPr>
          <w:p w14:paraId="37C723D5" w14:textId="77777777" w:rsidR="00454A29" w:rsidRDefault="00454A29">
            <w:pPr>
              <w:pStyle w:val="ConsPlusNormal"/>
            </w:pPr>
            <w:r>
              <w:t>Всего:</w:t>
            </w:r>
          </w:p>
        </w:tc>
        <w:tc>
          <w:tcPr>
            <w:tcW w:w="1247" w:type="dxa"/>
            <w:vAlign w:val="center"/>
          </w:tcPr>
          <w:p w14:paraId="6DB675FF" w14:textId="77777777" w:rsidR="00454A29" w:rsidRDefault="00454A29">
            <w:pPr>
              <w:pStyle w:val="ConsPlusNormal"/>
              <w:jc w:val="right"/>
            </w:pPr>
            <w:r>
              <w:t>100 216,6</w:t>
            </w:r>
          </w:p>
        </w:tc>
        <w:tc>
          <w:tcPr>
            <w:tcW w:w="1247" w:type="dxa"/>
            <w:vAlign w:val="center"/>
          </w:tcPr>
          <w:p w14:paraId="0BD9ACC1" w14:textId="77777777" w:rsidR="00454A29" w:rsidRDefault="00454A29">
            <w:pPr>
              <w:pStyle w:val="ConsPlusNormal"/>
              <w:jc w:val="right"/>
            </w:pPr>
            <w:r>
              <w:t>346 642,4</w:t>
            </w:r>
          </w:p>
        </w:tc>
        <w:tc>
          <w:tcPr>
            <w:tcW w:w="1247" w:type="dxa"/>
            <w:vAlign w:val="center"/>
          </w:tcPr>
          <w:p w14:paraId="38C517FE" w14:textId="77777777" w:rsidR="00454A29" w:rsidRDefault="00454A29">
            <w:pPr>
              <w:pStyle w:val="ConsPlusNormal"/>
              <w:jc w:val="right"/>
            </w:pPr>
            <w:r>
              <w:t>0,0</w:t>
            </w:r>
          </w:p>
        </w:tc>
        <w:tc>
          <w:tcPr>
            <w:tcW w:w="1247" w:type="dxa"/>
            <w:vAlign w:val="center"/>
          </w:tcPr>
          <w:p w14:paraId="7C3647BB" w14:textId="77777777" w:rsidR="00454A29" w:rsidRDefault="00454A29">
            <w:pPr>
              <w:pStyle w:val="ConsPlusNormal"/>
              <w:jc w:val="right"/>
            </w:pPr>
            <w:r>
              <w:t>0,0</w:t>
            </w:r>
          </w:p>
        </w:tc>
        <w:tc>
          <w:tcPr>
            <w:tcW w:w="1247" w:type="dxa"/>
            <w:vAlign w:val="center"/>
          </w:tcPr>
          <w:p w14:paraId="496AD6AE" w14:textId="77777777" w:rsidR="00454A29" w:rsidRDefault="00454A29">
            <w:pPr>
              <w:pStyle w:val="ConsPlusNormal"/>
              <w:jc w:val="right"/>
            </w:pPr>
            <w:r>
              <w:t>0,0</w:t>
            </w:r>
          </w:p>
        </w:tc>
        <w:tc>
          <w:tcPr>
            <w:tcW w:w="2041" w:type="dxa"/>
            <w:vMerge w:val="restart"/>
            <w:vAlign w:val="center"/>
          </w:tcPr>
          <w:p w14:paraId="22BAB3E5"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2778" w:type="dxa"/>
            <w:vMerge w:val="restart"/>
            <w:vAlign w:val="center"/>
          </w:tcPr>
          <w:p w14:paraId="6F941422" w14:textId="77777777" w:rsidR="00454A29" w:rsidRDefault="00454A29">
            <w:pPr>
              <w:pStyle w:val="ConsPlusNormal"/>
              <w:jc w:val="center"/>
            </w:pPr>
            <w:r>
              <w:t>Число новых мест в общеобразовательных организациях, вводимых путем строительства, приобретения и реконструкции</w:t>
            </w:r>
          </w:p>
        </w:tc>
        <w:tc>
          <w:tcPr>
            <w:tcW w:w="1304" w:type="dxa"/>
            <w:vMerge w:val="restart"/>
            <w:vAlign w:val="center"/>
          </w:tcPr>
          <w:p w14:paraId="1ED5422E" w14:textId="77777777" w:rsidR="00454A29" w:rsidRDefault="00454A29">
            <w:pPr>
              <w:pStyle w:val="ConsPlusNormal"/>
              <w:jc w:val="center"/>
            </w:pPr>
            <w:r>
              <w:t>ед.</w:t>
            </w:r>
          </w:p>
        </w:tc>
        <w:tc>
          <w:tcPr>
            <w:tcW w:w="960" w:type="dxa"/>
            <w:vMerge w:val="restart"/>
            <w:vAlign w:val="center"/>
          </w:tcPr>
          <w:p w14:paraId="7658B2DA" w14:textId="77777777" w:rsidR="00454A29" w:rsidRDefault="00454A29">
            <w:pPr>
              <w:pStyle w:val="ConsPlusNormal"/>
              <w:jc w:val="center"/>
            </w:pPr>
            <w:r>
              <w:t>0</w:t>
            </w:r>
          </w:p>
        </w:tc>
        <w:tc>
          <w:tcPr>
            <w:tcW w:w="960" w:type="dxa"/>
            <w:vMerge w:val="restart"/>
            <w:vAlign w:val="center"/>
          </w:tcPr>
          <w:p w14:paraId="43D254B9" w14:textId="77777777" w:rsidR="00454A29" w:rsidRDefault="00454A29">
            <w:pPr>
              <w:pStyle w:val="ConsPlusNormal"/>
              <w:jc w:val="center"/>
            </w:pPr>
            <w:r>
              <w:t>275</w:t>
            </w:r>
          </w:p>
        </w:tc>
        <w:tc>
          <w:tcPr>
            <w:tcW w:w="960" w:type="dxa"/>
            <w:vMerge w:val="restart"/>
            <w:vAlign w:val="center"/>
          </w:tcPr>
          <w:p w14:paraId="77091D0A" w14:textId="77777777" w:rsidR="00454A29" w:rsidRDefault="00454A29">
            <w:pPr>
              <w:pStyle w:val="ConsPlusNormal"/>
              <w:jc w:val="center"/>
            </w:pPr>
            <w:r>
              <w:t>0</w:t>
            </w:r>
          </w:p>
        </w:tc>
        <w:tc>
          <w:tcPr>
            <w:tcW w:w="960" w:type="dxa"/>
            <w:vMerge w:val="restart"/>
            <w:vAlign w:val="center"/>
          </w:tcPr>
          <w:p w14:paraId="33ABEEB0" w14:textId="77777777" w:rsidR="00454A29" w:rsidRDefault="00454A29">
            <w:pPr>
              <w:pStyle w:val="ConsPlusNormal"/>
              <w:jc w:val="center"/>
            </w:pPr>
            <w:r>
              <w:t>0</w:t>
            </w:r>
          </w:p>
        </w:tc>
        <w:tc>
          <w:tcPr>
            <w:tcW w:w="960" w:type="dxa"/>
            <w:vMerge w:val="restart"/>
            <w:vAlign w:val="center"/>
          </w:tcPr>
          <w:p w14:paraId="65F098B2" w14:textId="77777777" w:rsidR="00454A29" w:rsidRDefault="00454A29">
            <w:pPr>
              <w:pStyle w:val="ConsPlusNormal"/>
              <w:jc w:val="center"/>
            </w:pPr>
            <w:r>
              <w:t>0</w:t>
            </w:r>
          </w:p>
        </w:tc>
      </w:tr>
      <w:tr w:rsidR="00454A29" w14:paraId="1F257A83" w14:textId="77777777">
        <w:tc>
          <w:tcPr>
            <w:tcW w:w="640" w:type="dxa"/>
            <w:vMerge/>
          </w:tcPr>
          <w:p w14:paraId="6D5614CB" w14:textId="77777777" w:rsidR="00454A29" w:rsidRDefault="00454A29"/>
        </w:tc>
        <w:tc>
          <w:tcPr>
            <w:tcW w:w="2268" w:type="dxa"/>
            <w:vMerge/>
          </w:tcPr>
          <w:p w14:paraId="1A68A40A" w14:textId="77777777" w:rsidR="00454A29" w:rsidRDefault="00454A29"/>
        </w:tc>
        <w:tc>
          <w:tcPr>
            <w:tcW w:w="2665" w:type="dxa"/>
            <w:vMerge/>
          </w:tcPr>
          <w:p w14:paraId="3B69C383" w14:textId="77777777" w:rsidR="00454A29" w:rsidRDefault="00454A29"/>
        </w:tc>
        <w:tc>
          <w:tcPr>
            <w:tcW w:w="3061" w:type="dxa"/>
            <w:vAlign w:val="center"/>
          </w:tcPr>
          <w:p w14:paraId="637E550D" w14:textId="77777777" w:rsidR="00454A29" w:rsidRDefault="00454A29">
            <w:pPr>
              <w:pStyle w:val="ConsPlusNormal"/>
            </w:pPr>
            <w:r>
              <w:t>Федеральный бюджет</w:t>
            </w:r>
          </w:p>
        </w:tc>
        <w:tc>
          <w:tcPr>
            <w:tcW w:w="1247" w:type="dxa"/>
            <w:vAlign w:val="center"/>
          </w:tcPr>
          <w:p w14:paraId="0091B31C" w14:textId="77777777" w:rsidR="00454A29" w:rsidRDefault="00454A29">
            <w:pPr>
              <w:pStyle w:val="ConsPlusNormal"/>
              <w:jc w:val="right"/>
            </w:pPr>
            <w:r>
              <w:t>0,0</w:t>
            </w:r>
          </w:p>
        </w:tc>
        <w:tc>
          <w:tcPr>
            <w:tcW w:w="1247" w:type="dxa"/>
            <w:vAlign w:val="center"/>
          </w:tcPr>
          <w:p w14:paraId="7090F569" w14:textId="77777777" w:rsidR="00454A29" w:rsidRDefault="00454A29">
            <w:pPr>
              <w:pStyle w:val="ConsPlusNormal"/>
              <w:jc w:val="right"/>
            </w:pPr>
            <w:r>
              <w:t>0,0</w:t>
            </w:r>
          </w:p>
        </w:tc>
        <w:tc>
          <w:tcPr>
            <w:tcW w:w="1247" w:type="dxa"/>
            <w:vAlign w:val="center"/>
          </w:tcPr>
          <w:p w14:paraId="0423BEDA" w14:textId="77777777" w:rsidR="00454A29" w:rsidRDefault="00454A29">
            <w:pPr>
              <w:pStyle w:val="ConsPlusNormal"/>
              <w:jc w:val="right"/>
            </w:pPr>
            <w:r>
              <w:t>0,0</w:t>
            </w:r>
          </w:p>
        </w:tc>
        <w:tc>
          <w:tcPr>
            <w:tcW w:w="1247" w:type="dxa"/>
            <w:vAlign w:val="center"/>
          </w:tcPr>
          <w:p w14:paraId="6A5D5A07" w14:textId="77777777" w:rsidR="00454A29" w:rsidRDefault="00454A29">
            <w:pPr>
              <w:pStyle w:val="ConsPlusNormal"/>
              <w:jc w:val="right"/>
            </w:pPr>
            <w:r>
              <w:t>0,0</w:t>
            </w:r>
          </w:p>
        </w:tc>
        <w:tc>
          <w:tcPr>
            <w:tcW w:w="1247" w:type="dxa"/>
            <w:vAlign w:val="center"/>
          </w:tcPr>
          <w:p w14:paraId="1A53BE86" w14:textId="77777777" w:rsidR="00454A29" w:rsidRDefault="00454A29">
            <w:pPr>
              <w:pStyle w:val="ConsPlusNormal"/>
              <w:jc w:val="right"/>
            </w:pPr>
            <w:r>
              <w:t>0,0</w:t>
            </w:r>
          </w:p>
        </w:tc>
        <w:tc>
          <w:tcPr>
            <w:tcW w:w="2041" w:type="dxa"/>
            <w:vMerge/>
          </w:tcPr>
          <w:p w14:paraId="19C0D773" w14:textId="77777777" w:rsidR="00454A29" w:rsidRDefault="00454A29"/>
        </w:tc>
        <w:tc>
          <w:tcPr>
            <w:tcW w:w="2778" w:type="dxa"/>
            <w:vMerge/>
          </w:tcPr>
          <w:p w14:paraId="1616162B" w14:textId="77777777" w:rsidR="00454A29" w:rsidRDefault="00454A29"/>
        </w:tc>
        <w:tc>
          <w:tcPr>
            <w:tcW w:w="1304" w:type="dxa"/>
            <w:vMerge/>
          </w:tcPr>
          <w:p w14:paraId="685D3CB8" w14:textId="77777777" w:rsidR="00454A29" w:rsidRDefault="00454A29"/>
        </w:tc>
        <w:tc>
          <w:tcPr>
            <w:tcW w:w="960" w:type="dxa"/>
            <w:vMerge/>
          </w:tcPr>
          <w:p w14:paraId="5BEF5B86" w14:textId="77777777" w:rsidR="00454A29" w:rsidRDefault="00454A29"/>
        </w:tc>
        <w:tc>
          <w:tcPr>
            <w:tcW w:w="960" w:type="dxa"/>
            <w:vMerge/>
          </w:tcPr>
          <w:p w14:paraId="0897071D" w14:textId="77777777" w:rsidR="00454A29" w:rsidRDefault="00454A29"/>
        </w:tc>
        <w:tc>
          <w:tcPr>
            <w:tcW w:w="960" w:type="dxa"/>
            <w:vMerge/>
          </w:tcPr>
          <w:p w14:paraId="24F89870" w14:textId="77777777" w:rsidR="00454A29" w:rsidRDefault="00454A29"/>
        </w:tc>
        <w:tc>
          <w:tcPr>
            <w:tcW w:w="960" w:type="dxa"/>
            <w:vMerge/>
          </w:tcPr>
          <w:p w14:paraId="6FFCBD4D" w14:textId="77777777" w:rsidR="00454A29" w:rsidRDefault="00454A29"/>
        </w:tc>
        <w:tc>
          <w:tcPr>
            <w:tcW w:w="960" w:type="dxa"/>
            <w:vMerge/>
          </w:tcPr>
          <w:p w14:paraId="4DF73127" w14:textId="77777777" w:rsidR="00454A29" w:rsidRDefault="00454A29"/>
        </w:tc>
      </w:tr>
      <w:tr w:rsidR="00454A29" w14:paraId="67EC512C" w14:textId="77777777">
        <w:tc>
          <w:tcPr>
            <w:tcW w:w="640" w:type="dxa"/>
            <w:vMerge/>
          </w:tcPr>
          <w:p w14:paraId="7BD9C928" w14:textId="77777777" w:rsidR="00454A29" w:rsidRDefault="00454A29"/>
        </w:tc>
        <w:tc>
          <w:tcPr>
            <w:tcW w:w="2268" w:type="dxa"/>
            <w:vMerge/>
          </w:tcPr>
          <w:p w14:paraId="6D06EE00" w14:textId="77777777" w:rsidR="00454A29" w:rsidRDefault="00454A29"/>
        </w:tc>
        <w:tc>
          <w:tcPr>
            <w:tcW w:w="2665" w:type="dxa"/>
            <w:vMerge/>
          </w:tcPr>
          <w:p w14:paraId="3DE57A8C" w14:textId="77777777" w:rsidR="00454A29" w:rsidRDefault="00454A29"/>
        </w:tc>
        <w:tc>
          <w:tcPr>
            <w:tcW w:w="3061" w:type="dxa"/>
            <w:vAlign w:val="center"/>
          </w:tcPr>
          <w:p w14:paraId="279B3323" w14:textId="77777777" w:rsidR="00454A29" w:rsidRDefault="00454A29">
            <w:pPr>
              <w:pStyle w:val="ConsPlusNormal"/>
            </w:pPr>
            <w:r>
              <w:t>Государственный бюджет Республики Саха (Якутия)</w:t>
            </w:r>
          </w:p>
        </w:tc>
        <w:tc>
          <w:tcPr>
            <w:tcW w:w="1247" w:type="dxa"/>
            <w:vAlign w:val="center"/>
          </w:tcPr>
          <w:p w14:paraId="08059D3C" w14:textId="77777777" w:rsidR="00454A29" w:rsidRDefault="00454A29">
            <w:pPr>
              <w:pStyle w:val="ConsPlusNormal"/>
              <w:jc w:val="right"/>
            </w:pPr>
            <w:r>
              <w:t>100 216,6</w:t>
            </w:r>
          </w:p>
        </w:tc>
        <w:tc>
          <w:tcPr>
            <w:tcW w:w="1247" w:type="dxa"/>
            <w:vAlign w:val="center"/>
          </w:tcPr>
          <w:p w14:paraId="5A6DC044" w14:textId="77777777" w:rsidR="00454A29" w:rsidRDefault="00454A29">
            <w:pPr>
              <w:pStyle w:val="ConsPlusNormal"/>
              <w:jc w:val="right"/>
            </w:pPr>
            <w:r>
              <w:t>346 642,4</w:t>
            </w:r>
          </w:p>
        </w:tc>
        <w:tc>
          <w:tcPr>
            <w:tcW w:w="1247" w:type="dxa"/>
            <w:vAlign w:val="center"/>
          </w:tcPr>
          <w:p w14:paraId="3F75D6C1" w14:textId="77777777" w:rsidR="00454A29" w:rsidRDefault="00454A29">
            <w:pPr>
              <w:pStyle w:val="ConsPlusNormal"/>
              <w:jc w:val="right"/>
            </w:pPr>
            <w:r>
              <w:t>0,0</w:t>
            </w:r>
          </w:p>
        </w:tc>
        <w:tc>
          <w:tcPr>
            <w:tcW w:w="1247" w:type="dxa"/>
            <w:vAlign w:val="center"/>
          </w:tcPr>
          <w:p w14:paraId="26BC9317" w14:textId="77777777" w:rsidR="00454A29" w:rsidRDefault="00454A29">
            <w:pPr>
              <w:pStyle w:val="ConsPlusNormal"/>
              <w:jc w:val="right"/>
            </w:pPr>
            <w:r>
              <w:t>0,0</w:t>
            </w:r>
          </w:p>
        </w:tc>
        <w:tc>
          <w:tcPr>
            <w:tcW w:w="1247" w:type="dxa"/>
            <w:vAlign w:val="center"/>
          </w:tcPr>
          <w:p w14:paraId="2B639F31" w14:textId="77777777" w:rsidR="00454A29" w:rsidRDefault="00454A29">
            <w:pPr>
              <w:pStyle w:val="ConsPlusNormal"/>
              <w:jc w:val="right"/>
            </w:pPr>
            <w:r>
              <w:t>0,0</w:t>
            </w:r>
          </w:p>
        </w:tc>
        <w:tc>
          <w:tcPr>
            <w:tcW w:w="2041" w:type="dxa"/>
            <w:vMerge/>
          </w:tcPr>
          <w:p w14:paraId="27DED95E" w14:textId="77777777" w:rsidR="00454A29" w:rsidRDefault="00454A29"/>
        </w:tc>
        <w:tc>
          <w:tcPr>
            <w:tcW w:w="2778" w:type="dxa"/>
            <w:vMerge/>
          </w:tcPr>
          <w:p w14:paraId="2B45B853" w14:textId="77777777" w:rsidR="00454A29" w:rsidRDefault="00454A29"/>
        </w:tc>
        <w:tc>
          <w:tcPr>
            <w:tcW w:w="1304" w:type="dxa"/>
            <w:vMerge/>
          </w:tcPr>
          <w:p w14:paraId="2CBD2571" w14:textId="77777777" w:rsidR="00454A29" w:rsidRDefault="00454A29"/>
        </w:tc>
        <w:tc>
          <w:tcPr>
            <w:tcW w:w="960" w:type="dxa"/>
            <w:vMerge/>
          </w:tcPr>
          <w:p w14:paraId="6F5218FE" w14:textId="77777777" w:rsidR="00454A29" w:rsidRDefault="00454A29"/>
        </w:tc>
        <w:tc>
          <w:tcPr>
            <w:tcW w:w="960" w:type="dxa"/>
            <w:vMerge/>
          </w:tcPr>
          <w:p w14:paraId="3B95CA46" w14:textId="77777777" w:rsidR="00454A29" w:rsidRDefault="00454A29"/>
        </w:tc>
        <w:tc>
          <w:tcPr>
            <w:tcW w:w="960" w:type="dxa"/>
            <w:vMerge/>
          </w:tcPr>
          <w:p w14:paraId="7C7DBEF6" w14:textId="77777777" w:rsidR="00454A29" w:rsidRDefault="00454A29"/>
        </w:tc>
        <w:tc>
          <w:tcPr>
            <w:tcW w:w="960" w:type="dxa"/>
            <w:vMerge/>
          </w:tcPr>
          <w:p w14:paraId="7F13D3E8" w14:textId="77777777" w:rsidR="00454A29" w:rsidRDefault="00454A29"/>
        </w:tc>
        <w:tc>
          <w:tcPr>
            <w:tcW w:w="960" w:type="dxa"/>
            <w:vMerge/>
          </w:tcPr>
          <w:p w14:paraId="36B564E4" w14:textId="77777777" w:rsidR="00454A29" w:rsidRDefault="00454A29"/>
        </w:tc>
      </w:tr>
      <w:tr w:rsidR="00454A29" w14:paraId="0F032CF4" w14:textId="77777777">
        <w:tc>
          <w:tcPr>
            <w:tcW w:w="640" w:type="dxa"/>
            <w:vMerge/>
          </w:tcPr>
          <w:p w14:paraId="6FF2F6B9" w14:textId="77777777" w:rsidR="00454A29" w:rsidRDefault="00454A29"/>
        </w:tc>
        <w:tc>
          <w:tcPr>
            <w:tcW w:w="2268" w:type="dxa"/>
            <w:vMerge/>
          </w:tcPr>
          <w:p w14:paraId="56F00D11" w14:textId="77777777" w:rsidR="00454A29" w:rsidRDefault="00454A29"/>
        </w:tc>
        <w:tc>
          <w:tcPr>
            <w:tcW w:w="2665" w:type="dxa"/>
            <w:vMerge/>
          </w:tcPr>
          <w:p w14:paraId="52323ABD" w14:textId="77777777" w:rsidR="00454A29" w:rsidRDefault="00454A29"/>
        </w:tc>
        <w:tc>
          <w:tcPr>
            <w:tcW w:w="3061" w:type="dxa"/>
            <w:vAlign w:val="center"/>
          </w:tcPr>
          <w:p w14:paraId="6C043E46" w14:textId="77777777" w:rsidR="00454A29" w:rsidRDefault="00454A29">
            <w:pPr>
              <w:pStyle w:val="ConsPlusNormal"/>
            </w:pPr>
            <w:r>
              <w:t>Местные бюджеты</w:t>
            </w:r>
          </w:p>
        </w:tc>
        <w:tc>
          <w:tcPr>
            <w:tcW w:w="1247" w:type="dxa"/>
            <w:vAlign w:val="center"/>
          </w:tcPr>
          <w:p w14:paraId="79D5E68E" w14:textId="77777777" w:rsidR="00454A29" w:rsidRDefault="00454A29">
            <w:pPr>
              <w:pStyle w:val="ConsPlusNormal"/>
              <w:jc w:val="right"/>
            </w:pPr>
            <w:r>
              <w:t>0,0</w:t>
            </w:r>
          </w:p>
        </w:tc>
        <w:tc>
          <w:tcPr>
            <w:tcW w:w="1247" w:type="dxa"/>
            <w:vAlign w:val="center"/>
          </w:tcPr>
          <w:p w14:paraId="1DFAE1C7" w14:textId="77777777" w:rsidR="00454A29" w:rsidRDefault="00454A29">
            <w:pPr>
              <w:pStyle w:val="ConsPlusNormal"/>
              <w:jc w:val="right"/>
            </w:pPr>
            <w:r>
              <w:t>0,0</w:t>
            </w:r>
          </w:p>
        </w:tc>
        <w:tc>
          <w:tcPr>
            <w:tcW w:w="1247" w:type="dxa"/>
            <w:vAlign w:val="center"/>
          </w:tcPr>
          <w:p w14:paraId="3CB46370" w14:textId="77777777" w:rsidR="00454A29" w:rsidRDefault="00454A29">
            <w:pPr>
              <w:pStyle w:val="ConsPlusNormal"/>
              <w:jc w:val="right"/>
            </w:pPr>
            <w:r>
              <w:t>0,0</w:t>
            </w:r>
          </w:p>
        </w:tc>
        <w:tc>
          <w:tcPr>
            <w:tcW w:w="1247" w:type="dxa"/>
            <w:vAlign w:val="center"/>
          </w:tcPr>
          <w:p w14:paraId="6F5798D9" w14:textId="77777777" w:rsidR="00454A29" w:rsidRDefault="00454A29">
            <w:pPr>
              <w:pStyle w:val="ConsPlusNormal"/>
              <w:jc w:val="right"/>
            </w:pPr>
            <w:r>
              <w:t>0,0</w:t>
            </w:r>
          </w:p>
        </w:tc>
        <w:tc>
          <w:tcPr>
            <w:tcW w:w="1247" w:type="dxa"/>
            <w:vAlign w:val="center"/>
          </w:tcPr>
          <w:p w14:paraId="0E8FC2E2" w14:textId="77777777" w:rsidR="00454A29" w:rsidRDefault="00454A29">
            <w:pPr>
              <w:pStyle w:val="ConsPlusNormal"/>
              <w:jc w:val="right"/>
            </w:pPr>
            <w:r>
              <w:t>0,0</w:t>
            </w:r>
          </w:p>
        </w:tc>
        <w:tc>
          <w:tcPr>
            <w:tcW w:w="2041" w:type="dxa"/>
            <w:vMerge/>
          </w:tcPr>
          <w:p w14:paraId="3C3409EE" w14:textId="77777777" w:rsidR="00454A29" w:rsidRDefault="00454A29"/>
        </w:tc>
        <w:tc>
          <w:tcPr>
            <w:tcW w:w="2778" w:type="dxa"/>
            <w:vMerge/>
          </w:tcPr>
          <w:p w14:paraId="336DC149" w14:textId="77777777" w:rsidR="00454A29" w:rsidRDefault="00454A29"/>
        </w:tc>
        <w:tc>
          <w:tcPr>
            <w:tcW w:w="1304" w:type="dxa"/>
            <w:vMerge/>
          </w:tcPr>
          <w:p w14:paraId="149CCE7C" w14:textId="77777777" w:rsidR="00454A29" w:rsidRDefault="00454A29"/>
        </w:tc>
        <w:tc>
          <w:tcPr>
            <w:tcW w:w="960" w:type="dxa"/>
            <w:vMerge/>
          </w:tcPr>
          <w:p w14:paraId="5EAA3107" w14:textId="77777777" w:rsidR="00454A29" w:rsidRDefault="00454A29"/>
        </w:tc>
        <w:tc>
          <w:tcPr>
            <w:tcW w:w="960" w:type="dxa"/>
            <w:vMerge/>
          </w:tcPr>
          <w:p w14:paraId="4227CC69" w14:textId="77777777" w:rsidR="00454A29" w:rsidRDefault="00454A29"/>
        </w:tc>
        <w:tc>
          <w:tcPr>
            <w:tcW w:w="960" w:type="dxa"/>
            <w:vMerge/>
          </w:tcPr>
          <w:p w14:paraId="0BD99D15" w14:textId="77777777" w:rsidR="00454A29" w:rsidRDefault="00454A29"/>
        </w:tc>
        <w:tc>
          <w:tcPr>
            <w:tcW w:w="960" w:type="dxa"/>
            <w:vMerge/>
          </w:tcPr>
          <w:p w14:paraId="366BE64D" w14:textId="77777777" w:rsidR="00454A29" w:rsidRDefault="00454A29"/>
        </w:tc>
        <w:tc>
          <w:tcPr>
            <w:tcW w:w="960" w:type="dxa"/>
            <w:vMerge/>
          </w:tcPr>
          <w:p w14:paraId="646EF03C" w14:textId="77777777" w:rsidR="00454A29" w:rsidRDefault="00454A29"/>
        </w:tc>
      </w:tr>
      <w:tr w:rsidR="00454A29" w14:paraId="293EE98D" w14:textId="77777777">
        <w:tc>
          <w:tcPr>
            <w:tcW w:w="640" w:type="dxa"/>
            <w:vMerge/>
          </w:tcPr>
          <w:p w14:paraId="07E0497C" w14:textId="77777777" w:rsidR="00454A29" w:rsidRDefault="00454A29"/>
        </w:tc>
        <w:tc>
          <w:tcPr>
            <w:tcW w:w="2268" w:type="dxa"/>
            <w:vMerge/>
          </w:tcPr>
          <w:p w14:paraId="426FE068" w14:textId="77777777" w:rsidR="00454A29" w:rsidRDefault="00454A29"/>
        </w:tc>
        <w:tc>
          <w:tcPr>
            <w:tcW w:w="2665" w:type="dxa"/>
            <w:vMerge/>
          </w:tcPr>
          <w:p w14:paraId="5900BEC3" w14:textId="77777777" w:rsidR="00454A29" w:rsidRDefault="00454A29"/>
        </w:tc>
        <w:tc>
          <w:tcPr>
            <w:tcW w:w="3061" w:type="dxa"/>
            <w:vAlign w:val="center"/>
          </w:tcPr>
          <w:p w14:paraId="0CA31589" w14:textId="77777777" w:rsidR="00454A29" w:rsidRDefault="00454A29">
            <w:pPr>
              <w:pStyle w:val="ConsPlusNormal"/>
            </w:pPr>
            <w:r>
              <w:t>Внебюджетные источники</w:t>
            </w:r>
          </w:p>
        </w:tc>
        <w:tc>
          <w:tcPr>
            <w:tcW w:w="1247" w:type="dxa"/>
            <w:vAlign w:val="center"/>
          </w:tcPr>
          <w:p w14:paraId="677DE250" w14:textId="77777777" w:rsidR="00454A29" w:rsidRDefault="00454A29">
            <w:pPr>
              <w:pStyle w:val="ConsPlusNormal"/>
              <w:jc w:val="right"/>
            </w:pPr>
            <w:r>
              <w:t>0,0</w:t>
            </w:r>
          </w:p>
        </w:tc>
        <w:tc>
          <w:tcPr>
            <w:tcW w:w="1247" w:type="dxa"/>
            <w:vAlign w:val="center"/>
          </w:tcPr>
          <w:p w14:paraId="63600415" w14:textId="77777777" w:rsidR="00454A29" w:rsidRDefault="00454A29">
            <w:pPr>
              <w:pStyle w:val="ConsPlusNormal"/>
              <w:jc w:val="right"/>
            </w:pPr>
            <w:r>
              <w:t>0,0</w:t>
            </w:r>
          </w:p>
        </w:tc>
        <w:tc>
          <w:tcPr>
            <w:tcW w:w="1247" w:type="dxa"/>
            <w:vAlign w:val="center"/>
          </w:tcPr>
          <w:p w14:paraId="75897E7B" w14:textId="77777777" w:rsidR="00454A29" w:rsidRDefault="00454A29">
            <w:pPr>
              <w:pStyle w:val="ConsPlusNormal"/>
              <w:jc w:val="right"/>
            </w:pPr>
            <w:r>
              <w:t>0,0</w:t>
            </w:r>
          </w:p>
        </w:tc>
        <w:tc>
          <w:tcPr>
            <w:tcW w:w="1247" w:type="dxa"/>
            <w:vAlign w:val="center"/>
          </w:tcPr>
          <w:p w14:paraId="36C62141" w14:textId="77777777" w:rsidR="00454A29" w:rsidRDefault="00454A29">
            <w:pPr>
              <w:pStyle w:val="ConsPlusNormal"/>
              <w:jc w:val="right"/>
            </w:pPr>
            <w:r>
              <w:t>0,0</w:t>
            </w:r>
          </w:p>
        </w:tc>
        <w:tc>
          <w:tcPr>
            <w:tcW w:w="1247" w:type="dxa"/>
            <w:vAlign w:val="center"/>
          </w:tcPr>
          <w:p w14:paraId="69F69C18" w14:textId="77777777" w:rsidR="00454A29" w:rsidRDefault="00454A29">
            <w:pPr>
              <w:pStyle w:val="ConsPlusNormal"/>
              <w:jc w:val="right"/>
            </w:pPr>
            <w:r>
              <w:t>0,0</w:t>
            </w:r>
          </w:p>
        </w:tc>
        <w:tc>
          <w:tcPr>
            <w:tcW w:w="2041" w:type="dxa"/>
            <w:vMerge/>
          </w:tcPr>
          <w:p w14:paraId="34CF2A9F" w14:textId="77777777" w:rsidR="00454A29" w:rsidRDefault="00454A29"/>
        </w:tc>
        <w:tc>
          <w:tcPr>
            <w:tcW w:w="2778" w:type="dxa"/>
            <w:vMerge/>
          </w:tcPr>
          <w:p w14:paraId="0AA2F0CE" w14:textId="77777777" w:rsidR="00454A29" w:rsidRDefault="00454A29"/>
        </w:tc>
        <w:tc>
          <w:tcPr>
            <w:tcW w:w="1304" w:type="dxa"/>
            <w:vMerge/>
          </w:tcPr>
          <w:p w14:paraId="27FCB68D" w14:textId="77777777" w:rsidR="00454A29" w:rsidRDefault="00454A29"/>
        </w:tc>
        <w:tc>
          <w:tcPr>
            <w:tcW w:w="960" w:type="dxa"/>
            <w:vMerge/>
          </w:tcPr>
          <w:p w14:paraId="24F3FD0A" w14:textId="77777777" w:rsidR="00454A29" w:rsidRDefault="00454A29"/>
        </w:tc>
        <w:tc>
          <w:tcPr>
            <w:tcW w:w="960" w:type="dxa"/>
            <w:vMerge/>
          </w:tcPr>
          <w:p w14:paraId="3F3F3CDA" w14:textId="77777777" w:rsidR="00454A29" w:rsidRDefault="00454A29"/>
        </w:tc>
        <w:tc>
          <w:tcPr>
            <w:tcW w:w="960" w:type="dxa"/>
            <w:vMerge/>
          </w:tcPr>
          <w:p w14:paraId="780E5753" w14:textId="77777777" w:rsidR="00454A29" w:rsidRDefault="00454A29"/>
        </w:tc>
        <w:tc>
          <w:tcPr>
            <w:tcW w:w="960" w:type="dxa"/>
            <w:vMerge/>
          </w:tcPr>
          <w:p w14:paraId="59390D14" w14:textId="77777777" w:rsidR="00454A29" w:rsidRDefault="00454A29"/>
        </w:tc>
        <w:tc>
          <w:tcPr>
            <w:tcW w:w="960" w:type="dxa"/>
            <w:vMerge/>
          </w:tcPr>
          <w:p w14:paraId="7CB790E7" w14:textId="77777777" w:rsidR="00454A29" w:rsidRDefault="00454A29"/>
        </w:tc>
      </w:tr>
      <w:tr w:rsidR="00454A29" w14:paraId="69EDCD9C" w14:textId="77777777">
        <w:tc>
          <w:tcPr>
            <w:tcW w:w="640" w:type="dxa"/>
            <w:vMerge w:val="restart"/>
            <w:vAlign w:val="center"/>
          </w:tcPr>
          <w:p w14:paraId="6D9294F8" w14:textId="77777777" w:rsidR="00454A29" w:rsidRDefault="00454A29">
            <w:pPr>
              <w:pStyle w:val="ConsPlusNormal"/>
              <w:jc w:val="center"/>
            </w:pPr>
            <w:r>
              <w:t>8</w:t>
            </w:r>
          </w:p>
        </w:tc>
        <w:tc>
          <w:tcPr>
            <w:tcW w:w="2268" w:type="dxa"/>
            <w:vMerge/>
          </w:tcPr>
          <w:p w14:paraId="2B69EAA0" w14:textId="77777777" w:rsidR="00454A29" w:rsidRDefault="00454A29"/>
        </w:tc>
        <w:tc>
          <w:tcPr>
            <w:tcW w:w="2665" w:type="dxa"/>
            <w:vMerge w:val="restart"/>
            <w:vAlign w:val="center"/>
          </w:tcPr>
          <w:p w14:paraId="195AD1C5" w14:textId="77777777" w:rsidR="00454A29" w:rsidRDefault="00454A29">
            <w:pPr>
              <w:pStyle w:val="ConsPlusNormal"/>
              <w:jc w:val="center"/>
            </w:pPr>
            <w:r>
              <w:t>Школа на 80 учащихся в с. Аргахтах</w:t>
            </w:r>
          </w:p>
        </w:tc>
        <w:tc>
          <w:tcPr>
            <w:tcW w:w="3061" w:type="dxa"/>
            <w:vAlign w:val="center"/>
          </w:tcPr>
          <w:p w14:paraId="4C2E3DA5" w14:textId="77777777" w:rsidR="00454A29" w:rsidRDefault="00454A29">
            <w:pPr>
              <w:pStyle w:val="ConsPlusNormal"/>
            </w:pPr>
            <w:r>
              <w:t>Всего:</w:t>
            </w:r>
          </w:p>
        </w:tc>
        <w:tc>
          <w:tcPr>
            <w:tcW w:w="1247" w:type="dxa"/>
            <w:vAlign w:val="center"/>
          </w:tcPr>
          <w:p w14:paraId="24FFBCEF" w14:textId="77777777" w:rsidR="00454A29" w:rsidRDefault="00454A29">
            <w:pPr>
              <w:pStyle w:val="ConsPlusNormal"/>
              <w:jc w:val="right"/>
            </w:pPr>
            <w:r>
              <w:t>92 000,0</w:t>
            </w:r>
          </w:p>
        </w:tc>
        <w:tc>
          <w:tcPr>
            <w:tcW w:w="1247" w:type="dxa"/>
            <w:vAlign w:val="center"/>
          </w:tcPr>
          <w:p w14:paraId="01FFD613" w14:textId="77777777" w:rsidR="00454A29" w:rsidRDefault="00454A29">
            <w:pPr>
              <w:pStyle w:val="ConsPlusNormal"/>
            </w:pPr>
          </w:p>
        </w:tc>
        <w:tc>
          <w:tcPr>
            <w:tcW w:w="1247" w:type="dxa"/>
            <w:vAlign w:val="center"/>
          </w:tcPr>
          <w:p w14:paraId="4EC441B0" w14:textId="77777777" w:rsidR="00454A29" w:rsidRDefault="00454A29">
            <w:pPr>
              <w:pStyle w:val="ConsPlusNormal"/>
            </w:pPr>
          </w:p>
        </w:tc>
        <w:tc>
          <w:tcPr>
            <w:tcW w:w="1247" w:type="dxa"/>
            <w:vAlign w:val="center"/>
          </w:tcPr>
          <w:p w14:paraId="5A18CBEA" w14:textId="77777777" w:rsidR="00454A29" w:rsidRDefault="00454A29">
            <w:pPr>
              <w:pStyle w:val="ConsPlusNormal"/>
            </w:pPr>
          </w:p>
        </w:tc>
        <w:tc>
          <w:tcPr>
            <w:tcW w:w="1247" w:type="dxa"/>
            <w:vAlign w:val="center"/>
          </w:tcPr>
          <w:p w14:paraId="0453ABB9" w14:textId="77777777" w:rsidR="00454A29" w:rsidRDefault="00454A29">
            <w:pPr>
              <w:pStyle w:val="ConsPlusNormal"/>
            </w:pPr>
          </w:p>
        </w:tc>
        <w:tc>
          <w:tcPr>
            <w:tcW w:w="2041" w:type="dxa"/>
            <w:vMerge w:val="restart"/>
            <w:vAlign w:val="center"/>
          </w:tcPr>
          <w:p w14:paraId="18EF9846" w14:textId="77777777" w:rsidR="00454A29" w:rsidRDefault="00454A29">
            <w:pPr>
              <w:pStyle w:val="ConsPlusNormal"/>
              <w:jc w:val="center"/>
            </w:pPr>
            <w:r>
              <w:t>Минстрой РС(Я), ГКУ "Служба государственного заказчика Республики Саха (Якутия)"</w:t>
            </w:r>
          </w:p>
        </w:tc>
        <w:tc>
          <w:tcPr>
            <w:tcW w:w="2778" w:type="dxa"/>
            <w:vMerge w:val="restart"/>
            <w:vAlign w:val="center"/>
          </w:tcPr>
          <w:p w14:paraId="3AB17485" w14:textId="77777777" w:rsidR="00454A29" w:rsidRDefault="00454A29">
            <w:pPr>
              <w:pStyle w:val="ConsPlusNormal"/>
              <w:jc w:val="center"/>
            </w:pPr>
            <w:r>
              <w:t>Число новых мест в общеобразовательных организациях, вводимых путем строительства, приобретения и реконструкции</w:t>
            </w:r>
          </w:p>
        </w:tc>
        <w:tc>
          <w:tcPr>
            <w:tcW w:w="1304" w:type="dxa"/>
            <w:vMerge w:val="restart"/>
            <w:vAlign w:val="center"/>
          </w:tcPr>
          <w:p w14:paraId="44CFE9E8" w14:textId="77777777" w:rsidR="00454A29" w:rsidRDefault="00454A29">
            <w:pPr>
              <w:pStyle w:val="ConsPlusNormal"/>
              <w:jc w:val="center"/>
            </w:pPr>
            <w:r>
              <w:t>ед.</w:t>
            </w:r>
          </w:p>
        </w:tc>
        <w:tc>
          <w:tcPr>
            <w:tcW w:w="960" w:type="dxa"/>
            <w:vMerge w:val="restart"/>
            <w:vAlign w:val="center"/>
          </w:tcPr>
          <w:p w14:paraId="774D5014" w14:textId="77777777" w:rsidR="00454A29" w:rsidRDefault="00454A29">
            <w:pPr>
              <w:pStyle w:val="ConsPlusNormal"/>
              <w:jc w:val="center"/>
            </w:pPr>
            <w:r>
              <w:t>0</w:t>
            </w:r>
          </w:p>
        </w:tc>
        <w:tc>
          <w:tcPr>
            <w:tcW w:w="960" w:type="dxa"/>
            <w:vMerge w:val="restart"/>
            <w:vAlign w:val="center"/>
          </w:tcPr>
          <w:p w14:paraId="6C06178F" w14:textId="77777777" w:rsidR="00454A29" w:rsidRDefault="00454A29">
            <w:pPr>
              <w:pStyle w:val="ConsPlusNormal"/>
              <w:jc w:val="center"/>
            </w:pPr>
            <w:r>
              <w:t>0</w:t>
            </w:r>
          </w:p>
        </w:tc>
        <w:tc>
          <w:tcPr>
            <w:tcW w:w="960" w:type="dxa"/>
            <w:vMerge w:val="restart"/>
            <w:vAlign w:val="center"/>
          </w:tcPr>
          <w:p w14:paraId="40C2B260" w14:textId="77777777" w:rsidR="00454A29" w:rsidRDefault="00454A29">
            <w:pPr>
              <w:pStyle w:val="ConsPlusNormal"/>
              <w:jc w:val="center"/>
            </w:pPr>
            <w:r>
              <w:t>80</w:t>
            </w:r>
          </w:p>
        </w:tc>
        <w:tc>
          <w:tcPr>
            <w:tcW w:w="960" w:type="dxa"/>
            <w:vMerge w:val="restart"/>
            <w:vAlign w:val="center"/>
          </w:tcPr>
          <w:p w14:paraId="0841D63C" w14:textId="77777777" w:rsidR="00454A29" w:rsidRDefault="00454A29">
            <w:pPr>
              <w:pStyle w:val="ConsPlusNormal"/>
              <w:jc w:val="center"/>
            </w:pPr>
            <w:r>
              <w:t>0</w:t>
            </w:r>
          </w:p>
        </w:tc>
        <w:tc>
          <w:tcPr>
            <w:tcW w:w="960" w:type="dxa"/>
            <w:vMerge w:val="restart"/>
            <w:vAlign w:val="center"/>
          </w:tcPr>
          <w:p w14:paraId="60C4689A" w14:textId="77777777" w:rsidR="00454A29" w:rsidRDefault="00454A29">
            <w:pPr>
              <w:pStyle w:val="ConsPlusNormal"/>
              <w:jc w:val="center"/>
            </w:pPr>
            <w:r>
              <w:t>0</w:t>
            </w:r>
          </w:p>
        </w:tc>
      </w:tr>
      <w:tr w:rsidR="00454A29" w14:paraId="5D20C913" w14:textId="77777777">
        <w:tc>
          <w:tcPr>
            <w:tcW w:w="640" w:type="dxa"/>
            <w:vMerge/>
          </w:tcPr>
          <w:p w14:paraId="62F5C890" w14:textId="77777777" w:rsidR="00454A29" w:rsidRDefault="00454A29"/>
        </w:tc>
        <w:tc>
          <w:tcPr>
            <w:tcW w:w="2268" w:type="dxa"/>
            <w:vMerge/>
          </w:tcPr>
          <w:p w14:paraId="0A1C35ED" w14:textId="77777777" w:rsidR="00454A29" w:rsidRDefault="00454A29"/>
        </w:tc>
        <w:tc>
          <w:tcPr>
            <w:tcW w:w="2665" w:type="dxa"/>
            <w:vMerge/>
          </w:tcPr>
          <w:p w14:paraId="774D7101" w14:textId="77777777" w:rsidR="00454A29" w:rsidRDefault="00454A29"/>
        </w:tc>
        <w:tc>
          <w:tcPr>
            <w:tcW w:w="3061" w:type="dxa"/>
            <w:vAlign w:val="center"/>
          </w:tcPr>
          <w:p w14:paraId="70F51E22" w14:textId="77777777" w:rsidR="00454A29" w:rsidRDefault="00454A29">
            <w:pPr>
              <w:pStyle w:val="ConsPlusNormal"/>
            </w:pPr>
            <w:r>
              <w:t>Федеральный бюджет</w:t>
            </w:r>
          </w:p>
        </w:tc>
        <w:tc>
          <w:tcPr>
            <w:tcW w:w="1247" w:type="dxa"/>
            <w:vAlign w:val="center"/>
          </w:tcPr>
          <w:p w14:paraId="0691F86A" w14:textId="77777777" w:rsidR="00454A29" w:rsidRDefault="00454A29">
            <w:pPr>
              <w:pStyle w:val="ConsPlusNormal"/>
              <w:jc w:val="right"/>
            </w:pPr>
            <w:r>
              <w:t>0,0</w:t>
            </w:r>
          </w:p>
        </w:tc>
        <w:tc>
          <w:tcPr>
            <w:tcW w:w="1247" w:type="dxa"/>
            <w:vAlign w:val="center"/>
          </w:tcPr>
          <w:p w14:paraId="28F3A9F0" w14:textId="77777777" w:rsidR="00454A29" w:rsidRDefault="00454A29">
            <w:pPr>
              <w:pStyle w:val="ConsPlusNormal"/>
              <w:jc w:val="right"/>
            </w:pPr>
            <w:r>
              <w:t>0,0</w:t>
            </w:r>
          </w:p>
        </w:tc>
        <w:tc>
          <w:tcPr>
            <w:tcW w:w="1247" w:type="dxa"/>
            <w:vAlign w:val="center"/>
          </w:tcPr>
          <w:p w14:paraId="26CB3534" w14:textId="77777777" w:rsidR="00454A29" w:rsidRDefault="00454A29">
            <w:pPr>
              <w:pStyle w:val="ConsPlusNormal"/>
              <w:jc w:val="right"/>
            </w:pPr>
            <w:r>
              <w:t>0,0</w:t>
            </w:r>
          </w:p>
        </w:tc>
        <w:tc>
          <w:tcPr>
            <w:tcW w:w="1247" w:type="dxa"/>
            <w:vAlign w:val="center"/>
          </w:tcPr>
          <w:p w14:paraId="5CC4DDA3" w14:textId="77777777" w:rsidR="00454A29" w:rsidRDefault="00454A29">
            <w:pPr>
              <w:pStyle w:val="ConsPlusNormal"/>
              <w:jc w:val="right"/>
            </w:pPr>
            <w:r>
              <w:t>0,0</w:t>
            </w:r>
          </w:p>
        </w:tc>
        <w:tc>
          <w:tcPr>
            <w:tcW w:w="1247" w:type="dxa"/>
            <w:vAlign w:val="center"/>
          </w:tcPr>
          <w:p w14:paraId="07779694" w14:textId="77777777" w:rsidR="00454A29" w:rsidRDefault="00454A29">
            <w:pPr>
              <w:pStyle w:val="ConsPlusNormal"/>
              <w:jc w:val="right"/>
            </w:pPr>
            <w:r>
              <w:t>0,0</w:t>
            </w:r>
          </w:p>
        </w:tc>
        <w:tc>
          <w:tcPr>
            <w:tcW w:w="2041" w:type="dxa"/>
            <w:vMerge/>
          </w:tcPr>
          <w:p w14:paraId="11D84F82" w14:textId="77777777" w:rsidR="00454A29" w:rsidRDefault="00454A29"/>
        </w:tc>
        <w:tc>
          <w:tcPr>
            <w:tcW w:w="2778" w:type="dxa"/>
            <w:vMerge/>
          </w:tcPr>
          <w:p w14:paraId="326EFA5B" w14:textId="77777777" w:rsidR="00454A29" w:rsidRDefault="00454A29"/>
        </w:tc>
        <w:tc>
          <w:tcPr>
            <w:tcW w:w="1304" w:type="dxa"/>
            <w:vMerge/>
          </w:tcPr>
          <w:p w14:paraId="66873D83" w14:textId="77777777" w:rsidR="00454A29" w:rsidRDefault="00454A29"/>
        </w:tc>
        <w:tc>
          <w:tcPr>
            <w:tcW w:w="960" w:type="dxa"/>
            <w:vMerge/>
          </w:tcPr>
          <w:p w14:paraId="6D4FBD3A" w14:textId="77777777" w:rsidR="00454A29" w:rsidRDefault="00454A29"/>
        </w:tc>
        <w:tc>
          <w:tcPr>
            <w:tcW w:w="960" w:type="dxa"/>
            <w:vMerge/>
          </w:tcPr>
          <w:p w14:paraId="271B56D4" w14:textId="77777777" w:rsidR="00454A29" w:rsidRDefault="00454A29"/>
        </w:tc>
        <w:tc>
          <w:tcPr>
            <w:tcW w:w="960" w:type="dxa"/>
            <w:vMerge/>
          </w:tcPr>
          <w:p w14:paraId="5EDEC720" w14:textId="77777777" w:rsidR="00454A29" w:rsidRDefault="00454A29"/>
        </w:tc>
        <w:tc>
          <w:tcPr>
            <w:tcW w:w="960" w:type="dxa"/>
            <w:vMerge/>
          </w:tcPr>
          <w:p w14:paraId="2389F4BD" w14:textId="77777777" w:rsidR="00454A29" w:rsidRDefault="00454A29"/>
        </w:tc>
        <w:tc>
          <w:tcPr>
            <w:tcW w:w="960" w:type="dxa"/>
            <w:vMerge/>
          </w:tcPr>
          <w:p w14:paraId="7E7EAF87" w14:textId="77777777" w:rsidR="00454A29" w:rsidRDefault="00454A29"/>
        </w:tc>
      </w:tr>
      <w:tr w:rsidR="00454A29" w14:paraId="43687857" w14:textId="77777777">
        <w:tc>
          <w:tcPr>
            <w:tcW w:w="640" w:type="dxa"/>
            <w:vMerge/>
          </w:tcPr>
          <w:p w14:paraId="4DCEC1A2" w14:textId="77777777" w:rsidR="00454A29" w:rsidRDefault="00454A29"/>
        </w:tc>
        <w:tc>
          <w:tcPr>
            <w:tcW w:w="2268" w:type="dxa"/>
            <w:vMerge/>
          </w:tcPr>
          <w:p w14:paraId="0FE734A1" w14:textId="77777777" w:rsidR="00454A29" w:rsidRDefault="00454A29"/>
        </w:tc>
        <w:tc>
          <w:tcPr>
            <w:tcW w:w="2665" w:type="dxa"/>
            <w:vMerge/>
          </w:tcPr>
          <w:p w14:paraId="33DAB09F" w14:textId="77777777" w:rsidR="00454A29" w:rsidRDefault="00454A29"/>
        </w:tc>
        <w:tc>
          <w:tcPr>
            <w:tcW w:w="3061" w:type="dxa"/>
            <w:vAlign w:val="center"/>
          </w:tcPr>
          <w:p w14:paraId="67B69D13" w14:textId="77777777" w:rsidR="00454A29" w:rsidRDefault="00454A29">
            <w:pPr>
              <w:pStyle w:val="ConsPlusNormal"/>
            </w:pPr>
            <w:r>
              <w:t>Государственный бюджет Республики Саха (Якутия)</w:t>
            </w:r>
          </w:p>
        </w:tc>
        <w:tc>
          <w:tcPr>
            <w:tcW w:w="1247" w:type="dxa"/>
            <w:vAlign w:val="center"/>
          </w:tcPr>
          <w:p w14:paraId="63B4CF85" w14:textId="77777777" w:rsidR="00454A29" w:rsidRDefault="00454A29">
            <w:pPr>
              <w:pStyle w:val="ConsPlusNormal"/>
              <w:jc w:val="right"/>
            </w:pPr>
            <w:r>
              <w:t>92 000,0</w:t>
            </w:r>
          </w:p>
        </w:tc>
        <w:tc>
          <w:tcPr>
            <w:tcW w:w="1247" w:type="dxa"/>
            <w:vAlign w:val="center"/>
          </w:tcPr>
          <w:p w14:paraId="2A8A178E" w14:textId="77777777" w:rsidR="00454A29" w:rsidRDefault="00454A29">
            <w:pPr>
              <w:pStyle w:val="ConsPlusNormal"/>
              <w:jc w:val="right"/>
            </w:pPr>
            <w:r>
              <w:t>0,0</w:t>
            </w:r>
          </w:p>
        </w:tc>
        <w:tc>
          <w:tcPr>
            <w:tcW w:w="1247" w:type="dxa"/>
            <w:vAlign w:val="center"/>
          </w:tcPr>
          <w:p w14:paraId="0EB66E31" w14:textId="77777777" w:rsidR="00454A29" w:rsidRDefault="00454A29">
            <w:pPr>
              <w:pStyle w:val="ConsPlusNormal"/>
              <w:jc w:val="right"/>
            </w:pPr>
            <w:r>
              <w:t>0,0</w:t>
            </w:r>
          </w:p>
        </w:tc>
        <w:tc>
          <w:tcPr>
            <w:tcW w:w="1247" w:type="dxa"/>
            <w:vAlign w:val="center"/>
          </w:tcPr>
          <w:p w14:paraId="07AE0BD8" w14:textId="77777777" w:rsidR="00454A29" w:rsidRDefault="00454A29">
            <w:pPr>
              <w:pStyle w:val="ConsPlusNormal"/>
              <w:jc w:val="right"/>
            </w:pPr>
            <w:r>
              <w:t>0,0</w:t>
            </w:r>
          </w:p>
        </w:tc>
        <w:tc>
          <w:tcPr>
            <w:tcW w:w="1247" w:type="dxa"/>
            <w:vAlign w:val="center"/>
          </w:tcPr>
          <w:p w14:paraId="3B09203B" w14:textId="77777777" w:rsidR="00454A29" w:rsidRDefault="00454A29">
            <w:pPr>
              <w:pStyle w:val="ConsPlusNormal"/>
              <w:jc w:val="right"/>
            </w:pPr>
            <w:r>
              <w:t>0,0</w:t>
            </w:r>
          </w:p>
        </w:tc>
        <w:tc>
          <w:tcPr>
            <w:tcW w:w="2041" w:type="dxa"/>
            <w:vMerge/>
          </w:tcPr>
          <w:p w14:paraId="68264B34" w14:textId="77777777" w:rsidR="00454A29" w:rsidRDefault="00454A29"/>
        </w:tc>
        <w:tc>
          <w:tcPr>
            <w:tcW w:w="2778" w:type="dxa"/>
            <w:vMerge/>
          </w:tcPr>
          <w:p w14:paraId="201FE694" w14:textId="77777777" w:rsidR="00454A29" w:rsidRDefault="00454A29"/>
        </w:tc>
        <w:tc>
          <w:tcPr>
            <w:tcW w:w="1304" w:type="dxa"/>
            <w:vMerge/>
          </w:tcPr>
          <w:p w14:paraId="02DD89B2" w14:textId="77777777" w:rsidR="00454A29" w:rsidRDefault="00454A29"/>
        </w:tc>
        <w:tc>
          <w:tcPr>
            <w:tcW w:w="960" w:type="dxa"/>
            <w:vMerge/>
          </w:tcPr>
          <w:p w14:paraId="07F8218C" w14:textId="77777777" w:rsidR="00454A29" w:rsidRDefault="00454A29"/>
        </w:tc>
        <w:tc>
          <w:tcPr>
            <w:tcW w:w="960" w:type="dxa"/>
            <w:vMerge/>
          </w:tcPr>
          <w:p w14:paraId="552BADF5" w14:textId="77777777" w:rsidR="00454A29" w:rsidRDefault="00454A29"/>
        </w:tc>
        <w:tc>
          <w:tcPr>
            <w:tcW w:w="960" w:type="dxa"/>
            <w:vMerge/>
          </w:tcPr>
          <w:p w14:paraId="07BD8663" w14:textId="77777777" w:rsidR="00454A29" w:rsidRDefault="00454A29"/>
        </w:tc>
        <w:tc>
          <w:tcPr>
            <w:tcW w:w="960" w:type="dxa"/>
            <w:vMerge/>
          </w:tcPr>
          <w:p w14:paraId="0CD927DC" w14:textId="77777777" w:rsidR="00454A29" w:rsidRDefault="00454A29"/>
        </w:tc>
        <w:tc>
          <w:tcPr>
            <w:tcW w:w="960" w:type="dxa"/>
            <w:vMerge/>
          </w:tcPr>
          <w:p w14:paraId="01DAD6A0" w14:textId="77777777" w:rsidR="00454A29" w:rsidRDefault="00454A29"/>
        </w:tc>
      </w:tr>
      <w:tr w:rsidR="00454A29" w14:paraId="12412083" w14:textId="77777777">
        <w:tc>
          <w:tcPr>
            <w:tcW w:w="640" w:type="dxa"/>
            <w:vMerge/>
          </w:tcPr>
          <w:p w14:paraId="19DD6EA3" w14:textId="77777777" w:rsidR="00454A29" w:rsidRDefault="00454A29"/>
        </w:tc>
        <w:tc>
          <w:tcPr>
            <w:tcW w:w="2268" w:type="dxa"/>
            <w:vMerge/>
          </w:tcPr>
          <w:p w14:paraId="5EEA2334" w14:textId="77777777" w:rsidR="00454A29" w:rsidRDefault="00454A29"/>
        </w:tc>
        <w:tc>
          <w:tcPr>
            <w:tcW w:w="2665" w:type="dxa"/>
            <w:vMerge/>
          </w:tcPr>
          <w:p w14:paraId="57556060" w14:textId="77777777" w:rsidR="00454A29" w:rsidRDefault="00454A29"/>
        </w:tc>
        <w:tc>
          <w:tcPr>
            <w:tcW w:w="3061" w:type="dxa"/>
            <w:vAlign w:val="center"/>
          </w:tcPr>
          <w:p w14:paraId="015F1E97" w14:textId="77777777" w:rsidR="00454A29" w:rsidRDefault="00454A29">
            <w:pPr>
              <w:pStyle w:val="ConsPlusNormal"/>
            </w:pPr>
            <w:r>
              <w:t>Местные бюджеты</w:t>
            </w:r>
          </w:p>
        </w:tc>
        <w:tc>
          <w:tcPr>
            <w:tcW w:w="1247" w:type="dxa"/>
            <w:vAlign w:val="center"/>
          </w:tcPr>
          <w:p w14:paraId="392546EB" w14:textId="77777777" w:rsidR="00454A29" w:rsidRDefault="00454A29">
            <w:pPr>
              <w:pStyle w:val="ConsPlusNormal"/>
              <w:jc w:val="right"/>
            </w:pPr>
            <w:r>
              <w:t>0,0</w:t>
            </w:r>
          </w:p>
        </w:tc>
        <w:tc>
          <w:tcPr>
            <w:tcW w:w="1247" w:type="dxa"/>
            <w:vAlign w:val="center"/>
          </w:tcPr>
          <w:p w14:paraId="661E8AD3" w14:textId="77777777" w:rsidR="00454A29" w:rsidRDefault="00454A29">
            <w:pPr>
              <w:pStyle w:val="ConsPlusNormal"/>
              <w:jc w:val="right"/>
            </w:pPr>
            <w:r>
              <w:t>0,0</w:t>
            </w:r>
          </w:p>
        </w:tc>
        <w:tc>
          <w:tcPr>
            <w:tcW w:w="1247" w:type="dxa"/>
            <w:vAlign w:val="center"/>
          </w:tcPr>
          <w:p w14:paraId="3CC0A3B5" w14:textId="77777777" w:rsidR="00454A29" w:rsidRDefault="00454A29">
            <w:pPr>
              <w:pStyle w:val="ConsPlusNormal"/>
              <w:jc w:val="right"/>
            </w:pPr>
            <w:r>
              <w:t>0,0</w:t>
            </w:r>
          </w:p>
        </w:tc>
        <w:tc>
          <w:tcPr>
            <w:tcW w:w="1247" w:type="dxa"/>
            <w:vAlign w:val="center"/>
          </w:tcPr>
          <w:p w14:paraId="4555358A" w14:textId="77777777" w:rsidR="00454A29" w:rsidRDefault="00454A29">
            <w:pPr>
              <w:pStyle w:val="ConsPlusNormal"/>
              <w:jc w:val="right"/>
            </w:pPr>
            <w:r>
              <w:t>0,0</w:t>
            </w:r>
          </w:p>
        </w:tc>
        <w:tc>
          <w:tcPr>
            <w:tcW w:w="1247" w:type="dxa"/>
            <w:vAlign w:val="center"/>
          </w:tcPr>
          <w:p w14:paraId="70F3C05A" w14:textId="77777777" w:rsidR="00454A29" w:rsidRDefault="00454A29">
            <w:pPr>
              <w:pStyle w:val="ConsPlusNormal"/>
              <w:jc w:val="right"/>
            </w:pPr>
            <w:r>
              <w:t>0,0</w:t>
            </w:r>
          </w:p>
        </w:tc>
        <w:tc>
          <w:tcPr>
            <w:tcW w:w="2041" w:type="dxa"/>
            <w:vMerge/>
          </w:tcPr>
          <w:p w14:paraId="52273900" w14:textId="77777777" w:rsidR="00454A29" w:rsidRDefault="00454A29"/>
        </w:tc>
        <w:tc>
          <w:tcPr>
            <w:tcW w:w="2778" w:type="dxa"/>
            <w:vMerge/>
          </w:tcPr>
          <w:p w14:paraId="45C29C07" w14:textId="77777777" w:rsidR="00454A29" w:rsidRDefault="00454A29"/>
        </w:tc>
        <w:tc>
          <w:tcPr>
            <w:tcW w:w="1304" w:type="dxa"/>
            <w:vMerge/>
          </w:tcPr>
          <w:p w14:paraId="55E88904" w14:textId="77777777" w:rsidR="00454A29" w:rsidRDefault="00454A29"/>
        </w:tc>
        <w:tc>
          <w:tcPr>
            <w:tcW w:w="960" w:type="dxa"/>
            <w:vMerge/>
          </w:tcPr>
          <w:p w14:paraId="54DD3B70" w14:textId="77777777" w:rsidR="00454A29" w:rsidRDefault="00454A29"/>
        </w:tc>
        <w:tc>
          <w:tcPr>
            <w:tcW w:w="960" w:type="dxa"/>
            <w:vMerge/>
          </w:tcPr>
          <w:p w14:paraId="463E217C" w14:textId="77777777" w:rsidR="00454A29" w:rsidRDefault="00454A29"/>
        </w:tc>
        <w:tc>
          <w:tcPr>
            <w:tcW w:w="960" w:type="dxa"/>
            <w:vMerge/>
          </w:tcPr>
          <w:p w14:paraId="58977E2B" w14:textId="77777777" w:rsidR="00454A29" w:rsidRDefault="00454A29"/>
        </w:tc>
        <w:tc>
          <w:tcPr>
            <w:tcW w:w="960" w:type="dxa"/>
            <w:vMerge/>
          </w:tcPr>
          <w:p w14:paraId="46D01595" w14:textId="77777777" w:rsidR="00454A29" w:rsidRDefault="00454A29"/>
        </w:tc>
        <w:tc>
          <w:tcPr>
            <w:tcW w:w="960" w:type="dxa"/>
            <w:vMerge/>
          </w:tcPr>
          <w:p w14:paraId="37D8C66D" w14:textId="77777777" w:rsidR="00454A29" w:rsidRDefault="00454A29"/>
        </w:tc>
      </w:tr>
      <w:tr w:rsidR="00454A29" w14:paraId="37129E42" w14:textId="77777777">
        <w:tc>
          <w:tcPr>
            <w:tcW w:w="640" w:type="dxa"/>
            <w:vMerge/>
          </w:tcPr>
          <w:p w14:paraId="6788FE0E" w14:textId="77777777" w:rsidR="00454A29" w:rsidRDefault="00454A29"/>
        </w:tc>
        <w:tc>
          <w:tcPr>
            <w:tcW w:w="2268" w:type="dxa"/>
            <w:vMerge/>
          </w:tcPr>
          <w:p w14:paraId="0D874F55" w14:textId="77777777" w:rsidR="00454A29" w:rsidRDefault="00454A29"/>
        </w:tc>
        <w:tc>
          <w:tcPr>
            <w:tcW w:w="2665" w:type="dxa"/>
            <w:vMerge/>
          </w:tcPr>
          <w:p w14:paraId="1AFB271B" w14:textId="77777777" w:rsidR="00454A29" w:rsidRDefault="00454A29"/>
        </w:tc>
        <w:tc>
          <w:tcPr>
            <w:tcW w:w="3061" w:type="dxa"/>
            <w:vAlign w:val="center"/>
          </w:tcPr>
          <w:p w14:paraId="3017E544" w14:textId="77777777" w:rsidR="00454A29" w:rsidRDefault="00454A29">
            <w:pPr>
              <w:pStyle w:val="ConsPlusNormal"/>
            </w:pPr>
            <w:r>
              <w:t>Внебюджетные источники</w:t>
            </w:r>
          </w:p>
        </w:tc>
        <w:tc>
          <w:tcPr>
            <w:tcW w:w="1247" w:type="dxa"/>
            <w:vAlign w:val="center"/>
          </w:tcPr>
          <w:p w14:paraId="1FC32CDC" w14:textId="77777777" w:rsidR="00454A29" w:rsidRDefault="00454A29">
            <w:pPr>
              <w:pStyle w:val="ConsPlusNormal"/>
              <w:jc w:val="right"/>
            </w:pPr>
            <w:r>
              <w:t>0,0</w:t>
            </w:r>
          </w:p>
        </w:tc>
        <w:tc>
          <w:tcPr>
            <w:tcW w:w="1247" w:type="dxa"/>
            <w:vAlign w:val="center"/>
          </w:tcPr>
          <w:p w14:paraId="1D9CAE85" w14:textId="77777777" w:rsidR="00454A29" w:rsidRDefault="00454A29">
            <w:pPr>
              <w:pStyle w:val="ConsPlusNormal"/>
              <w:jc w:val="right"/>
            </w:pPr>
            <w:r>
              <w:t>0,0</w:t>
            </w:r>
          </w:p>
        </w:tc>
        <w:tc>
          <w:tcPr>
            <w:tcW w:w="1247" w:type="dxa"/>
            <w:vAlign w:val="center"/>
          </w:tcPr>
          <w:p w14:paraId="1EDFD971" w14:textId="77777777" w:rsidR="00454A29" w:rsidRDefault="00454A29">
            <w:pPr>
              <w:pStyle w:val="ConsPlusNormal"/>
              <w:jc w:val="right"/>
            </w:pPr>
            <w:r>
              <w:t>0,0</w:t>
            </w:r>
          </w:p>
        </w:tc>
        <w:tc>
          <w:tcPr>
            <w:tcW w:w="1247" w:type="dxa"/>
            <w:vAlign w:val="center"/>
          </w:tcPr>
          <w:p w14:paraId="0CA59594" w14:textId="77777777" w:rsidR="00454A29" w:rsidRDefault="00454A29">
            <w:pPr>
              <w:pStyle w:val="ConsPlusNormal"/>
              <w:jc w:val="right"/>
            </w:pPr>
            <w:r>
              <w:t>0,0</w:t>
            </w:r>
          </w:p>
        </w:tc>
        <w:tc>
          <w:tcPr>
            <w:tcW w:w="1247" w:type="dxa"/>
            <w:vAlign w:val="center"/>
          </w:tcPr>
          <w:p w14:paraId="4767F3DB" w14:textId="77777777" w:rsidR="00454A29" w:rsidRDefault="00454A29">
            <w:pPr>
              <w:pStyle w:val="ConsPlusNormal"/>
              <w:jc w:val="right"/>
            </w:pPr>
            <w:r>
              <w:t>0,0</w:t>
            </w:r>
          </w:p>
        </w:tc>
        <w:tc>
          <w:tcPr>
            <w:tcW w:w="2041" w:type="dxa"/>
            <w:vMerge/>
          </w:tcPr>
          <w:p w14:paraId="7A02EF06" w14:textId="77777777" w:rsidR="00454A29" w:rsidRDefault="00454A29"/>
        </w:tc>
        <w:tc>
          <w:tcPr>
            <w:tcW w:w="2778" w:type="dxa"/>
            <w:vMerge/>
          </w:tcPr>
          <w:p w14:paraId="5D98AA8B" w14:textId="77777777" w:rsidR="00454A29" w:rsidRDefault="00454A29"/>
        </w:tc>
        <w:tc>
          <w:tcPr>
            <w:tcW w:w="1304" w:type="dxa"/>
            <w:vMerge/>
          </w:tcPr>
          <w:p w14:paraId="44D38FF4" w14:textId="77777777" w:rsidR="00454A29" w:rsidRDefault="00454A29"/>
        </w:tc>
        <w:tc>
          <w:tcPr>
            <w:tcW w:w="960" w:type="dxa"/>
            <w:vMerge/>
          </w:tcPr>
          <w:p w14:paraId="03466E58" w14:textId="77777777" w:rsidR="00454A29" w:rsidRDefault="00454A29"/>
        </w:tc>
        <w:tc>
          <w:tcPr>
            <w:tcW w:w="960" w:type="dxa"/>
            <w:vMerge/>
          </w:tcPr>
          <w:p w14:paraId="4003CC42" w14:textId="77777777" w:rsidR="00454A29" w:rsidRDefault="00454A29"/>
        </w:tc>
        <w:tc>
          <w:tcPr>
            <w:tcW w:w="960" w:type="dxa"/>
            <w:vMerge/>
          </w:tcPr>
          <w:p w14:paraId="6CBFD2D9" w14:textId="77777777" w:rsidR="00454A29" w:rsidRDefault="00454A29"/>
        </w:tc>
        <w:tc>
          <w:tcPr>
            <w:tcW w:w="960" w:type="dxa"/>
            <w:vMerge/>
          </w:tcPr>
          <w:p w14:paraId="1608BBA1" w14:textId="77777777" w:rsidR="00454A29" w:rsidRDefault="00454A29"/>
        </w:tc>
        <w:tc>
          <w:tcPr>
            <w:tcW w:w="960" w:type="dxa"/>
            <w:vMerge/>
          </w:tcPr>
          <w:p w14:paraId="6812DF6F" w14:textId="77777777" w:rsidR="00454A29" w:rsidRDefault="00454A29"/>
        </w:tc>
      </w:tr>
    </w:tbl>
    <w:p w14:paraId="604E2A42" w14:textId="77777777" w:rsidR="00454A29" w:rsidRDefault="00454A29">
      <w:pPr>
        <w:sectPr w:rsidR="00454A29">
          <w:pgSz w:w="16838" w:h="11905" w:orient="landscape"/>
          <w:pgMar w:top="1701" w:right="1134" w:bottom="850" w:left="1134" w:header="0" w:footer="0" w:gutter="0"/>
          <w:cols w:space="720"/>
        </w:sectPr>
      </w:pPr>
    </w:p>
    <w:p w14:paraId="31B80F7A" w14:textId="77777777" w:rsidR="00454A29" w:rsidRDefault="00454A29">
      <w:pPr>
        <w:pStyle w:val="ConsPlusNormal"/>
      </w:pPr>
    </w:p>
    <w:p w14:paraId="7D368B91" w14:textId="77777777" w:rsidR="00454A29" w:rsidRDefault="00454A29">
      <w:pPr>
        <w:pStyle w:val="ConsPlusNormal"/>
      </w:pPr>
    </w:p>
    <w:p w14:paraId="3095281F" w14:textId="77777777" w:rsidR="00454A29" w:rsidRDefault="00454A29">
      <w:pPr>
        <w:pStyle w:val="ConsPlusNormal"/>
      </w:pPr>
    </w:p>
    <w:p w14:paraId="6530FD35" w14:textId="77777777" w:rsidR="00454A29" w:rsidRDefault="00454A29">
      <w:pPr>
        <w:pStyle w:val="ConsPlusNormal"/>
      </w:pPr>
    </w:p>
    <w:p w14:paraId="236ED331" w14:textId="77777777" w:rsidR="00454A29" w:rsidRDefault="00454A29">
      <w:pPr>
        <w:pStyle w:val="ConsPlusNormal"/>
      </w:pPr>
    </w:p>
    <w:p w14:paraId="6DA8B8B8" w14:textId="77777777" w:rsidR="00454A29" w:rsidRDefault="00454A29">
      <w:pPr>
        <w:pStyle w:val="ConsPlusNormal"/>
        <w:jc w:val="right"/>
        <w:outlineLvl w:val="1"/>
      </w:pPr>
      <w:r>
        <w:t>Приложение N 6</w:t>
      </w:r>
    </w:p>
    <w:p w14:paraId="7CC35457" w14:textId="77777777" w:rsidR="00454A29" w:rsidRDefault="00454A29">
      <w:pPr>
        <w:pStyle w:val="ConsPlusNormal"/>
        <w:jc w:val="right"/>
      </w:pPr>
      <w:r>
        <w:t>к государственной программе</w:t>
      </w:r>
    </w:p>
    <w:p w14:paraId="6C878437" w14:textId="77777777" w:rsidR="00454A29" w:rsidRDefault="00454A29">
      <w:pPr>
        <w:pStyle w:val="ConsPlusNormal"/>
        <w:jc w:val="right"/>
      </w:pPr>
      <w:r>
        <w:t>Республики Саха (Якутия)</w:t>
      </w:r>
    </w:p>
    <w:p w14:paraId="25E82080" w14:textId="77777777" w:rsidR="00454A29" w:rsidRDefault="00454A29">
      <w:pPr>
        <w:pStyle w:val="ConsPlusNormal"/>
        <w:jc w:val="right"/>
      </w:pPr>
      <w:r>
        <w:t>"Развитие образования</w:t>
      </w:r>
    </w:p>
    <w:p w14:paraId="5533A557" w14:textId="77777777" w:rsidR="00454A29" w:rsidRDefault="00454A29">
      <w:pPr>
        <w:pStyle w:val="ConsPlusNormal"/>
        <w:jc w:val="right"/>
      </w:pPr>
      <w:r>
        <w:t>Республики Саха (Якутия)</w:t>
      </w:r>
    </w:p>
    <w:p w14:paraId="395AE873" w14:textId="77777777" w:rsidR="00454A29" w:rsidRDefault="00454A29">
      <w:pPr>
        <w:pStyle w:val="ConsPlusNormal"/>
        <w:jc w:val="right"/>
      </w:pPr>
      <w:r>
        <w:t>на 2020 - 2024 годы и на плановый</w:t>
      </w:r>
    </w:p>
    <w:p w14:paraId="6F94688E" w14:textId="77777777" w:rsidR="00454A29" w:rsidRDefault="00454A29">
      <w:pPr>
        <w:pStyle w:val="ConsPlusNormal"/>
        <w:jc w:val="right"/>
      </w:pPr>
      <w:r>
        <w:t>период до 2026 года"</w:t>
      </w:r>
    </w:p>
    <w:p w14:paraId="2B7BF531" w14:textId="77777777" w:rsidR="00454A29" w:rsidRDefault="00454A29">
      <w:pPr>
        <w:pStyle w:val="ConsPlusNormal"/>
      </w:pPr>
    </w:p>
    <w:p w14:paraId="4D7A17F7" w14:textId="77777777" w:rsidR="00454A29" w:rsidRDefault="00454A29">
      <w:pPr>
        <w:pStyle w:val="ConsPlusTitle"/>
        <w:jc w:val="center"/>
      </w:pPr>
      <w:bookmarkStart w:id="7" w:name="P32422"/>
      <w:bookmarkEnd w:id="7"/>
      <w:r>
        <w:t>ПОРЯДОК</w:t>
      </w:r>
    </w:p>
    <w:p w14:paraId="5FF63D4A" w14:textId="77777777" w:rsidR="00454A29" w:rsidRDefault="00454A29">
      <w:pPr>
        <w:pStyle w:val="ConsPlusTitle"/>
        <w:jc w:val="center"/>
      </w:pPr>
      <w:r>
        <w:t>ПРЕДОСТАВЛЕНИЯ И РАСПРЕДЕЛЕНИЯ ОРГАНАМ МЕСТНОГО</w:t>
      </w:r>
    </w:p>
    <w:p w14:paraId="049A2291" w14:textId="77777777" w:rsidR="00454A29" w:rsidRDefault="00454A29">
      <w:pPr>
        <w:pStyle w:val="ConsPlusTitle"/>
        <w:jc w:val="center"/>
      </w:pPr>
      <w:r>
        <w:t>САМОУПРАВЛЕНИЯ МУНИЦИПАЛЬНЫХ РАЙОНОВ И ГОРОДСКИХ ОКРУГОВ</w:t>
      </w:r>
    </w:p>
    <w:p w14:paraId="282CD09F" w14:textId="77777777" w:rsidR="00454A29" w:rsidRDefault="00454A29">
      <w:pPr>
        <w:pStyle w:val="ConsPlusTitle"/>
        <w:jc w:val="center"/>
      </w:pPr>
      <w:r>
        <w:t>РЕСПУБЛИКИ САХА (ЯКУТИЯ) СУБСИДИИ НА ОРГАНИЗАЦИЮ ОТДЫХА</w:t>
      </w:r>
    </w:p>
    <w:p w14:paraId="5A4C233A" w14:textId="77777777" w:rsidR="00454A29" w:rsidRDefault="00454A29">
      <w:pPr>
        <w:pStyle w:val="ConsPlusTitle"/>
        <w:jc w:val="center"/>
      </w:pPr>
      <w:r>
        <w:t>ДЕТЕЙ В КАНИКУЛЯРНОЕ ВРЕМЯ</w:t>
      </w:r>
    </w:p>
    <w:p w14:paraId="35F03C24" w14:textId="77777777" w:rsidR="00454A29" w:rsidRDefault="00454A29">
      <w:pPr>
        <w:pStyle w:val="ConsPlusNormal"/>
      </w:pPr>
    </w:p>
    <w:p w14:paraId="5C400346" w14:textId="77777777" w:rsidR="00454A29" w:rsidRDefault="00454A29">
      <w:pPr>
        <w:pStyle w:val="ConsPlusTitle"/>
        <w:jc w:val="center"/>
        <w:outlineLvl w:val="2"/>
      </w:pPr>
      <w:r>
        <w:t>I. Общие положения</w:t>
      </w:r>
    </w:p>
    <w:p w14:paraId="1ECA783D" w14:textId="77777777" w:rsidR="00454A29" w:rsidRDefault="00454A29">
      <w:pPr>
        <w:pStyle w:val="ConsPlusNormal"/>
      </w:pPr>
    </w:p>
    <w:p w14:paraId="58736D89" w14:textId="77777777" w:rsidR="00454A29" w:rsidRDefault="00454A29">
      <w:pPr>
        <w:pStyle w:val="ConsPlusNormal"/>
        <w:ind w:firstLine="540"/>
        <w:jc w:val="both"/>
      </w:pPr>
      <w:r>
        <w:t xml:space="preserve">1.1. Порядок предоставления и распределения органам местного самоуправления муниципальных районов и городских округов Республики Саха (Якутия) субсидии на организацию отдыха детей в каникулярное время (далее - Порядок) разработан в соответствии со </w:t>
      </w:r>
      <w:hyperlink r:id="rId23" w:history="1">
        <w:r>
          <w:rPr>
            <w:color w:val="0000FF"/>
          </w:rPr>
          <w:t>статьей 139</w:t>
        </w:r>
      </w:hyperlink>
      <w:r>
        <w:t xml:space="preserve"> Бюджетного кодекса Российской Федерации.</w:t>
      </w:r>
    </w:p>
    <w:p w14:paraId="5F3E1582" w14:textId="77777777" w:rsidR="00454A29" w:rsidRDefault="00454A29">
      <w:pPr>
        <w:pStyle w:val="ConsPlusNormal"/>
        <w:spacing w:before="220"/>
        <w:ind w:firstLine="540"/>
        <w:jc w:val="both"/>
      </w:pPr>
      <w:r>
        <w:t>1.2. Порядок устанавливает цели и условия предоставления и распределения субсидий местным бюджетам из государственного бюджета Республики Саха (Якутия), критерии отбора органов местного самоуправления муниципальных районов и городских округов Республики Саха (Якутия) и распределение субсидий между органами местного самоуправления муниципальных районов и городских округов Республики Саха (Якутия), направляемых на организацию отдыха детей в каникулярное время.</w:t>
      </w:r>
    </w:p>
    <w:p w14:paraId="6BCBF5EA" w14:textId="77777777" w:rsidR="00454A29" w:rsidRDefault="00454A29">
      <w:pPr>
        <w:pStyle w:val="ConsPlusNormal"/>
        <w:spacing w:before="220"/>
        <w:ind w:firstLine="540"/>
        <w:jc w:val="both"/>
      </w:pPr>
      <w:r>
        <w:t>1.3. Критериями отбора органов местного самоуправления муниципальных районов и городских округов Республики Саха (Якутия) для предоставления субсидий являются:</w:t>
      </w:r>
    </w:p>
    <w:p w14:paraId="0AA5FC1C" w14:textId="77777777" w:rsidR="00454A29" w:rsidRDefault="00454A29">
      <w:pPr>
        <w:pStyle w:val="ConsPlusNormal"/>
        <w:spacing w:before="220"/>
        <w:ind w:firstLine="540"/>
        <w:jc w:val="both"/>
      </w:pPr>
      <w:r>
        <w:t>1) наличие детей школьного возраста от 6 лет 6 месяцев до 18 лет, в том числе детей, находящихся в трудной жизненной ситуации:</w:t>
      </w:r>
    </w:p>
    <w:p w14:paraId="1CC57971" w14:textId="77777777" w:rsidR="00454A29" w:rsidRDefault="00454A29">
      <w:pPr>
        <w:pStyle w:val="ConsPlusNormal"/>
        <w:spacing w:before="220"/>
        <w:ind w:firstLine="540"/>
        <w:jc w:val="both"/>
      </w:pPr>
      <w:r>
        <w:t>детей, оставшихся без попечения родителей;</w:t>
      </w:r>
    </w:p>
    <w:p w14:paraId="5ED0B186" w14:textId="77777777" w:rsidR="00454A29" w:rsidRDefault="00454A29">
      <w:pPr>
        <w:pStyle w:val="ConsPlusNormal"/>
        <w:spacing w:before="220"/>
        <w:ind w:firstLine="540"/>
        <w:jc w:val="both"/>
      </w:pPr>
      <w:r>
        <w:t>детей-инвалидов;</w:t>
      </w:r>
    </w:p>
    <w:p w14:paraId="07375AD8" w14:textId="77777777" w:rsidR="00454A29" w:rsidRDefault="00454A29">
      <w:pPr>
        <w:pStyle w:val="ConsPlusNormal"/>
        <w:spacing w:before="220"/>
        <w:ind w:firstLine="540"/>
        <w:jc w:val="both"/>
      </w:pPr>
      <w:r>
        <w:t>детей с ограниченными возможностями здоровья, то есть имеющих недостатки в физическом и (или) психическом развитии;</w:t>
      </w:r>
    </w:p>
    <w:p w14:paraId="71A4B8ED" w14:textId="77777777" w:rsidR="00454A29" w:rsidRDefault="00454A29">
      <w:pPr>
        <w:pStyle w:val="ConsPlusNormal"/>
        <w:spacing w:before="220"/>
        <w:ind w:firstLine="540"/>
        <w:jc w:val="both"/>
      </w:pPr>
      <w:r>
        <w:t>детей - жертв вооруженных и межнациональных конфликтов, экологических и техногенных катастроф, стихийных бедствий;</w:t>
      </w:r>
    </w:p>
    <w:p w14:paraId="57575F99" w14:textId="77777777" w:rsidR="00454A29" w:rsidRDefault="00454A29">
      <w:pPr>
        <w:pStyle w:val="ConsPlusNormal"/>
        <w:spacing w:before="220"/>
        <w:ind w:firstLine="540"/>
        <w:jc w:val="both"/>
      </w:pPr>
      <w:r>
        <w:t>детей из семей беженцев и вынужденных переселенцев;</w:t>
      </w:r>
    </w:p>
    <w:p w14:paraId="4DFB4207" w14:textId="77777777" w:rsidR="00454A29" w:rsidRDefault="00454A29">
      <w:pPr>
        <w:pStyle w:val="ConsPlusNormal"/>
        <w:spacing w:before="220"/>
        <w:ind w:firstLine="540"/>
        <w:jc w:val="both"/>
      </w:pPr>
      <w:r>
        <w:t>детей, оказавшихся в экстремальных условиях;</w:t>
      </w:r>
    </w:p>
    <w:p w14:paraId="3B20F164" w14:textId="77777777" w:rsidR="00454A29" w:rsidRDefault="00454A29">
      <w:pPr>
        <w:pStyle w:val="ConsPlusNormal"/>
        <w:spacing w:before="220"/>
        <w:ind w:firstLine="540"/>
        <w:jc w:val="both"/>
      </w:pPr>
      <w:r>
        <w:t>детей - жертв насилия;</w:t>
      </w:r>
    </w:p>
    <w:p w14:paraId="79D963EA" w14:textId="77777777" w:rsidR="00454A29" w:rsidRDefault="00454A29">
      <w:pPr>
        <w:pStyle w:val="ConsPlusNormal"/>
        <w:spacing w:before="220"/>
        <w:ind w:firstLine="540"/>
        <w:jc w:val="both"/>
      </w:pPr>
      <w:r>
        <w:t>детей, состоящих на профилактическом учете в органах внутренних дел;</w:t>
      </w:r>
    </w:p>
    <w:p w14:paraId="23DAF900" w14:textId="77777777" w:rsidR="00454A29" w:rsidRDefault="00454A29">
      <w:pPr>
        <w:pStyle w:val="ConsPlusNormal"/>
        <w:spacing w:before="220"/>
        <w:ind w:firstLine="540"/>
        <w:jc w:val="both"/>
      </w:pPr>
      <w:r>
        <w:lastRenderedPageBreak/>
        <w:t>детей, освобожденных из учреждений уголовно-исполнительной системы и вернувшихся из специальных учебно-воспитательных учреждений закрытого типа;</w:t>
      </w:r>
    </w:p>
    <w:p w14:paraId="228F4B8B" w14:textId="77777777" w:rsidR="00454A29" w:rsidRDefault="00454A29">
      <w:pPr>
        <w:pStyle w:val="ConsPlusNormal"/>
        <w:spacing w:before="220"/>
        <w:ind w:firstLine="540"/>
        <w:jc w:val="both"/>
      </w:pPr>
      <w:r>
        <w:t>детей, находящихся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14:paraId="6E51E577" w14:textId="77777777" w:rsidR="00454A29" w:rsidRDefault="00454A29">
      <w:pPr>
        <w:pStyle w:val="ConsPlusNormal"/>
        <w:spacing w:before="220"/>
        <w:ind w:firstLine="540"/>
        <w:jc w:val="both"/>
      </w:pPr>
      <w:r>
        <w:t>детей, проживающих в малоимущих семьях;</w:t>
      </w:r>
    </w:p>
    <w:p w14:paraId="56DCFB7E" w14:textId="77777777" w:rsidR="00454A29" w:rsidRDefault="00454A29">
      <w:pPr>
        <w:pStyle w:val="ConsPlusNormal"/>
        <w:spacing w:before="220"/>
        <w:ind w:firstLine="540"/>
        <w:jc w:val="both"/>
      </w:pPr>
      <w:r>
        <w:t>детей с отклонениями в поведении;</w:t>
      </w:r>
    </w:p>
    <w:p w14:paraId="76A8F4F3" w14:textId="77777777" w:rsidR="00454A29" w:rsidRDefault="00454A29">
      <w:pPr>
        <w:pStyle w:val="ConsPlusNormal"/>
        <w:spacing w:before="220"/>
        <w:ind w:firstLine="540"/>
        <w:jc w:val="both"/>
      </w:pPr>
      <w: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4ACA08DC" w14:textId="77777777" w:rsidR="00454A29" w:rsidRDefault="00454A29">
      <w:pPr>
        <w:pStyle w:val="ConsPlusNormal"/>
        <w:spacing w:before="220"/>
        <w:ind w:firstLine="540"/>
        <w:jc w:val="both"/>
      </w:pPr>
      <w:r>
        <w:t>2) наличие нормативных правовых актов органов местного самоуправления муниципальных районов и городских округов Республики Саха (Якутия), предусматривающих выполнение муниципальным районом, городским округом основных целевых показателей эффективности использования субсидий;</w:t>
      </w:r>
    </w:p>
    <w:p w14:paraId="43C2C00E" w14:textId="77777777" w:rsidR="00454A29" w:rsidRDefault="00454A29">
      <w:pPr>
        <w:pStyle w:val="ConsPlusNormal"/>
        <w:spacing w:before="220"/>
        <w:ind w:firstLine="540"/>
        <w:jc w:val="both"/>
      </w:pPr>
      <w:r>
        <w:t>3) наличие нормативных правовых актов органов местного самоуправления муниципальных районов и городских округов Республики Саха (Якутия), подтверждающих полное обеспечение в местных бюджетах на организацию отдыха детей в каникулярное время на текущий финансовый год расходов на фонд оплаты труда, оплату коммунальных услуг, оплату перевозки детей, выезжающих к местам работы родителей в оленеводческие стада в летнее время, и социальных выплат.</w:t>
      </w:r>
    </w:p>
    <w:p w14:paraId="214EB4A7" w14:textId="77777777" w:rsidR="00454A29" w:rsidRDefault="00454A29">
      <w:pPr>
        <w:pStyle w:val="ConsPlusNormal"/>
        <w:spacing w:before="220"/>
        <w:ind w:firstLine="540"/>
        <w:jc w:val="both"/>
      </w:pPr>
      <w:r>
        <w:t>1.4. Для получения субсидии на очередной финансовый год органы местного самоуправления муниципального района, городского округа Республики Саха (Якутия) представляют в Министерство образования и науки Республики Саха (Якутия) до 1 октября текущего года следующие документы:</w:t>
      </w:r>
    </w:p>
    <w:p w14:paraId="63751CCB" w14:textId="77777777" w:rsidR="00454A29" w:rsidRDefault="00454A29">
      <w:pPr>
        <w:pStyle w:val="ConsPlusNormal"/>
        <w:spacing w:before="220"/>
        <w:ind w:firstLine="540"/>
        <w:jc w:val="both"/>
      </w:pPr>
      <w:r>
        <w:t>1) справку о количестве детей школьного возраста от 6 лет 6 месяцев до 18 лет в соответствии с данными Территориального органа Федеральной службы государственной статистики по Республике Саха (Якутия) на отчетный календарный год;</w:t>
      </w:r>
    </w:p>
    <w:p w14:paraId="1EDE8572" w14:textId="77777777" w:rsidR="00454A29" w:rsidRDefault="00454A29">
      <w:pPr>
        <w:pStyle w:val="ConsPlusNormal"/>
        <w:spacing w:before="220"/>
        <w:ind w:firstLine="540"/>
        <w:jc w:val="both"/>
      </w:pPr>
      <w:r>
        <w:t>2) справку о количестве детей школьного возраста от 6 лет 6 месяцев до 18 лет, находящихся в трудной жизненной ситуации, в соответствии с данными районных управлений социальной защиты населения и районных комиссий по делам несовершеннолетних и защите их прав;</w:t>
      </w:r>
    </w:p>
    <w:p w14:paraId="59B216E4" w14:textId="77777777" w:rsidR="00454A29" w:rsidRDefault="00454A29">
      <w:pPr>
        <w:pStyle w:val="ConsPlusNormal"/>
        <w:spacing w:before="220"/>
        <w:ind w:firstLine="540"/>
        <w:jc w:val="both"/>
      </w:pPr>
      <w:r>
        <w:t>3) выписку из нормативного правового акта органа местного самоуправления муниципального района или городского округа Республики Саха (Якутия), предусматривающего выполнение муниципальным районом, городским округом основных целевых показателей эффективности использования субсидий;</w:t>
      </w:r>
    </w:p>
    <w:p w14:paraId="202516AD" w14:textId="77777777" w:rsidR="00454A29" w:rsidRDefault="00454A29">
      <w:pPr>
        <w:pStyle w:val="ConsPlusNormal"/>
        <w:spacing w:before="220"/>
        <w:ind w:firstLine="540"/>
        <w:jc w:val="both"/>
      </w:pPr>
      <w:r>
        <w:t>4) обязательство органа местного самоуправления муниципального района или городского округа Республики Саха (Якутия) по установлению муниципальными программами и иными муниципальными правовыми актами органов местного самоуправления соответствующих значений показателей результативности предоставления субсидий на реализацию мероприятий по организации отдыха детей в каникулярное время, определенных соглашением о предоставлении субсидии местному бюджету из государственного бюджета Республики Саха (Якутия) на организацию отдыха детей в каникулярное время.</w:t>
      </w:r>
    </w:p>
    <w:p w14:paraId="49E3A943" w14:textId="77777777" w:rsidR="00454A29" w:rsidRDefault="00454A29">
      <w:pPr>
        <w:pStyle w:val="ConsPlusNormal"/>
        <w:spacing w:before="220"/>
        <w:ind w:firstLine="540"/>
        <w:jc w:val="both"/>
      </w:pPr>
      <w:r>
        <w:t xml:space="preserve">1.5. Органы местного самоуправления муниципального района и городского округа Республики Саха (Якутия) несут ответственность за достоверность представляемых документов в </w:t>
      </w:r>
      <w:r>
        <w:lastRenderedPageBreak/>
        <w:t>соответствии с действующим законодательством.</w:t>
      </w:r>
    </w:p>
    <w:p w14:paraId="3DE154F1" w14:textId="77777777" w:rsidR="00454A29" w:rsidRDefault="00454A29">
      <w:pPr>
        <w:pStyle w:val="ConsPlusNormal"/>
        <w:spacing w:before="220"/>
        <w:ind w:firstLine="540"/>
        <w:jc w:val="both"/>
      </w:pPr>
      <w:r>
        <w:t>1.6. Комиссия по рассмотрению заявок на получение субсидий органами местного самоуправления муниципальных районов и городских округов Республики Саха (Якутия), созданная Министерством образования и науки Республики Саха (Якутия), в течение 5 рабочих дней с момента регистрации заявки рассматривает представленные документы и принимает решение о соответствии муниципального района или городского округа Республики Саха (Якутия) критериям отбора для предоставления субсидии либо о несоответствии критериям, утверждаемое приказом Министерства образования и науки Республики Саха (Якутия).</w:t>
      </w:r>
    </w:p>
    <w:p w14:paraId="08848715" w14:textId="77777777" w:rsidR="00454A29" w:rsidRDefault="00454A29">
      <w:pPr>
        <w:pStyle w:val="ConsPlusNormal"/>
        <w:spacing w:before="220"/>
        <w:ind w:firstLine="540"/>
        <w:jc w:val="both"/>
      </w:pPr>
      <w:r>
        <w:t>1.7. Основаниями для отказа муниципальному району или городскому округу Республики Саха (Якутия) в предоставлении субсидии являются:</w:t>
      </w:r>
    </w:p>
    <w:p w14:paraId="5F3EE8D3" w14:textId="77777777" w:rsidR="00454A29" w:rsidRDefault="00454A29">
      <w:pPr>
        <w:pStyle w:val="ConsPlusNormal"/>
        <w:spacing w:before="220"/>
        <w:ind w:firstLine="540"/>
        <w:jc w:val="both"/>
      </w:pPr>
      <w:r>
        <w:t xml:space="preserve">а) несоответствие условиям предоставления субсидии, указанным в </w:t>
      </w:r>
      <w:hyperlink w:anchor="P32519" w:history="1">
        <w:r>
          <w:rPr>
            <w:color w:val="0000FF"/>
          </w:rPr>
          <w:t>пункте 2.5</w:t>
        </w:r>
      </w:hyperlink>
      <w:r>
        <w:t xml:space="preserve"> настоящего Порядка;</w:t>
      </w:r>
    </w:p>
    <w:p w14:paraId="0B76C956" w14:textId="77777777" w:rsidR="00454A29" w:rsidRDefault="00454A29">
      <w:pPr>
        <w:pStyle w:val="ConsPlusNormal"/>
        <w:spacing w:before="220"/>
        <w:ind w:firstLine="540"/>
        <w:jc w:val="both"/>
      </w:pPr>
      <w:r>
        <w:t>б) несоответствие критериям;</w:t>
      </w:r>
    </w:p>
    <w:p w14:paraId="6716A42F" w14:textId="77777777" w:rsidR="00454A29" w:rsidRDefault="00454A29">
      <w:pPr>
        <w:pStyle w:val="ConsPlusNormal"/>
        <w:spacing w:before="220"/>
        <w:ind w:firstLine="540"/>
        <w:jc w:val="both"/>
      </w:pPr>
      <w:r>
        <w:t>в) неполнота документов в составе заявки.</w:t>
      </w:r>
    </w:p>
    <w:p w14:paraId="6AA584E6" w14:textId="77777777" w:rsidR="00454A29" w:rsidRDefault="00454A29">
      <w:pPr>
        <w:pStyle w:val="ConsPlusNormal"/>
        <w:spacing w:before="220"/>
        <w:ind w:firstLine="540"/>
        <w:jc w:val="both"/>
      </w:pPr>
      <w:r>
        <w:t>В случае принятия решения о несоответствии критериям или неполноте документов в составе заявки для предоставления субсидии Министерство образования и науки Республики Саха (Якутия) со дня принятия такого решения возвращает муниципальному району или городскому округу документы с письменным указанием причин возврата.</w:t>
      </w:r>
    </w:p>
    <w:p w14:paraId="6AE865FC" w14:textId="77777777" w:rsidR="00454A29" w:rsidRDefault="00454A29">
      <w:pPr>
        <w:pStyle w:val="ConsPlusNormal"/>
        <w:spacing w:before="220"/>
        <w:ind w:firstLine="540"/>
        <w:jc w:val="both"/>
      </w:pPr>
      <w:r>
        <w:t>В течение 15 рабочих дней со дня получения решения о несоответствии критериям или неполноте документов в составе заявки муниципальный район или городской округ имеет право повторно подать документы на предоставление субсидии в случае устранения выявленных несоответствий.</w:t>
      </w:r>
    </w:p>
    <w:p w14:paraId="709D6D1B" w14:textId="77777777" w:rsidR="00454A29" w:rsidRDefault="00454A29">
      <w:pPr>
        <w:pStyle w:val="ConsPlusNormal"/>
      </w:pPr>
    </w:p>
    <w:p w14:paraId="626F88B0" w14:textId="77777777" w:rsidR="00454A29" w:rsidRDefault="00454A29">
      <w:pPr>
        <w:pStyle w:val="ConsPlusTitle"/>
        <w:jc w:val="center"/>
        <w:outlineLvl w:val="2"/>
      </w:pPr>
      <w:r>
        <w:t>II. Цели и условия предоставления, расходования</w:t>
      </w:r>
    </w:p>
    <w:p w14:paraId="6BDBA6B8" w14:textId="77777777" w:rsidR="00454A29" w:rsidRDefault="00454A29">
      <w:pPr>
        <w:pStyle w:val="ConsPlusTitle"/>
        <w:jc w:val="center"/>
      </w:pPr>
      <w:r>
        <w:t>и распределения субсидий и их распределение между органами</w:t>
      </w:r>
    </w:p>
    <w:p w14:paraId="6497D86D" w14:textId="77777777" w:rsidR="00454A29" w:rsidRDefault="00454A29">
      <w:pPr>
        <w:pStyle w:val="ConsPlusTitle"/>
        <w:jc w:val="center"/>
      </w:pPr>
      <w:r>
        <w:t>местного самоуправления муниципальных районов и городских</w:t>
      </w:r>
    </w:p>
    <w:p w14:paraId="3056C9E8" w14:textId="77777777" w:rsidR="00454A29" w:rsidRDefault="00454A29">
      <w:pPr>
        <w:pStyle w:val="ConsPlusTitle"/>
        <w:jc w:val="center"/>
      </w:pPr>
      <w:r>
        <w:t>округов Республики Саха (Якутия)</w:t>
      </w:r>
    </w:p>
    <w:p w14:paraId="0C8C89DF" w14:textId="77777777" w:rsidR="00454A29" w:rsidRDefault="00454A29">
      <w:pPr>
        <w:pStyle w:val="ConsPlusNormal"/>
      </w:pPr>
    </w:p>
    <w:p w14:paraId="0691F985" w14:textId="77777777" w:rsidR="00454A29" w:rsidRDefault="00454A29">
      <w:pPr>
        <w:pStyle w:val="ConsPlusNormal"/>
        <w:ind w:firstLine="540"/>
        <w:jc w:val="both"/>
      </w:pPr>
      <w:r>
        <w:t>2.1. Субсидии предоставляются на софинансирование мероприятий по организации и обеспечению отдыха детей, обучающихся в образовательных организациях с 6 лет 6 месяцев и до 18 лет, в том числе детей, находящихся в трудной жизненной ситуации, в каникулярное время:</w:t>
      </w:r>
    </w:p>
    <w:p w14:paraId="291E1E10"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45"/>
        <w:gridCol w:w="2125"/>
        <w:gridCol w:w="2324"/>
      </w:tblGrid>
      <w:tr w:rsidR="00454A29" w14:paraId="7EAD7CDC" w14:textId="77777777">
        <w:tc>
          <w:tcPr>
            <w:tcW w:w="2778" w:type="dxa"/>
            <w:vAlign w:val="center"/>
          </w:tcPr>
          <w:p w14:paraId="03740EE1" w14:textId="77777777" w:rsidR="00454A29" w:rsidRDefault="00454A29">
            <w:pPr>
              <w:pStyle w:val="ConsPlusNormal"/>
              <w:jc w:val="center"/>
            </w:pPr>
            <w:r>
              <w:t>Направления расходов</w:t>
            </w:r>
          </w:p>
        </w:tc>
        <w:tc>
          <w:tcPr>
            <w:tcW w:w="1845" w:type="dxa"/>
            <w:vAlign w:val="center"/>
          </w:tcPr>
          <w:p w14:paraId="166B70A8" w14:textId="77777777" w:rsidR="00454A29" w:rsidRDefault="00454A29">
            <w:pPr>
              <w:pStyle w:val="ConsPlusNormal"/>
              <w:jc w:val="center"/>
            </w:pPr>
            <w:r>
              <w:t>Категория получателей</w:t>
            </w:r>
          </w:p>
        </w:tc>
        <w:tc>
          <w:tcPr>
            <w:tcW w:w="2125" w:type="dxa"/>
            <w:vAlign w:val="center"/>
          </w:tcPr>
          <w:p w14:paraId="32CDA93C" w14:textId="77777777" w:rsidR="00454A29" w:rsidRDefault="00454A29">
            <w:pPr>
              <w:pStyle w:val="ConsPlusNormal"/>
              <w:jc w:val="center"/>
            </w:pPr>
            <w:r>
              <w:t>Виды организаций</w:t>
            </w:r>
          </w:p>
        </w:tc>
        <w:tc>
          <w:tcPr>
            <w:tcW w:w="2324" w:type="dxa"/>
            <w:vAlign w:val="center"/>
          </w:tcPr>
          <w:p w14:paraId="16E23239" w14:textId="77777777" w:rsidR="00454A29" w:rsidRDefault="00454A29">
            <w:pPr>
              <w:pStyle w:val="ConsPlusNormal"/>
              <w:jc w:val="center"/>
            </w:pPr>
            <w:r>
              <w:t>Сроки пребывания</w:t>
            </w:r>
          </w:p>
        </w:tc>
      </w:tr>
      <w:tr w:rsidR="00454A29" w14:paraId="5032AF19" w14:textId="77777777">
        <w:tc>
          <w:tcPr>
            <w:tcW w:w="2778" w:type="dxa"/>
          </w:tcPr>
          <w:p w14:paraId="609C010D" w14:textId="77777777" w:rsidR="00454A29" w:rsidRDefault="00454A29">
            <w:pPr>
              <w:pStyle w:val="ConsPlusNormal"/>
              <w:jc w:val="both"/>
            </w:pPr>
            <w:r>
              <w:t>1. Компенсация стоимости путевок: 100% средней стоимости путевки из расчета 653 рублей на ребенка в сутки</w:t>
            </w:r>
          </w:p>
        </w:tc>
        <w:tc>
          <w:tcPr>
            <w:tcW w:w="1845" w:type="dxa"/>
          </w:tcPr>
          <w:p w14:paraId="5BE136BF" w14:textId="77777777" w:rsidR="00454A29" w:rsidRDefault="00454A29">
            <w:pPr>
              <w:pStyle w:val="ConsPlusNormal"/>
              <w:jc w:val="center"/>
            </w:pPr>
            <w:r>
              <w:t>Обучающиеся с 6 лет 6 месяцев до 18 лет</w:t>
            </w:r>
          </w:p>
        </w:tc>
        <w:tc>
          <w:tcPr>
            <w:tcW w:w="2125" w:type="dxa"/>
          </w:tcPr>
          <w:p w14:paraId="69FE3439" w14:textId="77777777" w:rsidR="00454A29" w:rsidRDefault="00454A29">
            <w:pPr>
              <w:pStyle w:val="ConsPlusNormal"/>
            </w:pPr>
            <w:r>
              <w:t>Загородные стационарные оздоровительные лагеря</w:t>
            </w:r>
          </w:p>
        </w:tc>
        <w:tc>
          <w:tcPr>
            <w:tcW w:w="2324" w:type="dxa"/>
          </w:tcPr>
          <w:p w14:paraId="58264BB1" w14:textId="77777777" w:rsidR="00454A29" w:rsidRDefault="00454A29">
            <w:pPr>
              <w:pStyle w:val="ConsPlusNormal"/>
              <w:jc w:val="center"/>
            </w:pPr>
            <w:r>
              <w:t xml:space="preserve">В соответствии с санитарно-эпидемиологическими нормами и правилами, утвержденными на основании Федерального </w:t>
            </w:r>
            <w:hyperlink r:id="rId24" w:history="1">
              <w:r>
                <w:rPr>
                  <w:color w:val="0000FF"/>
                </w:rPr>
                <w:t>закона</w:t>
              </w:r>
            </w:hyperlink>
            <w:r>
              <w:t xml:space="preserve"> от 30 марта 1999 г. N 52-ФЗ "О санитарно - эпидемиологическом благополучии населения"</w:t>
            </w:r>
          </w:p>
        </w:tc>
      </w:tr>
      <w:tr w:rsidR="00454A29" w14:paraId="258ECAEA" w14:textId="77777777">
        <w:tc>
          <w:tcPr>
            <w:tcW w:w="2778" w:type="dxa"/>
          </w:tcPr>
          <w:p w14:paraId="43743E34" w14:textId="77777777" w:rsidR="00454A29" w:rsidRDefault="00454A29">
            <w:pPr>
              <w:pStyle w:val="ConsPlusNormal"/>
              <w:jc w:val="both"/>
            </w:pPr>
            <w:r>
              <w:lastRenderedPageBreak/>
              <w:t>2. Оплата минимальной стоимости набора продуктов питания в день, за исключением лагерей с круглосуточным пребыванием детей:</w:t>
            </w:r>
          </w:p>
          <w:p w14:paraId="5D832ED9" w14:textId="77777777" w:rsidR="00454A29" w:rsidRDefault="00454A29">
            <w:pPr>
              <w:pStyle w:val="ConsPlusNormal"/>
              <w:jc w:val="both"/>
            </w:pPr>
            <w:r>
              <w:t>до Полярного круга - 195 рублей;</w:t>
            </w:r>
          </w:p>
          <w:p w14:paraId="0CA9327F" w14:textId="77777777" w:rsidR="00454A29" w:rsidRDefault="00454A29">
            <w:pPr>
              <w:pStyle w:val="ConsPlusNormal"/>
              <w:jc w:val="both"/>
            </w:pPr>
            <w:r>
              <w:t>за Полярным кругом - 293 рублей</w:t>
            </w:r>
          </w:p>
        </w:tc>
        <w:tc>
          <w:tcPr>
            <w:tcW w:w="1845" w:type="dxa"/>
          </w:tcPr>
          <w:p w14:paraId="5202E8AF" w14:textId="77777777" w:rsidR="00454A29" w:rsidRDefault="00454A29">
            <w:pPr>
              <w:pStyle w:val="ConsPlusNormal"/>
              <w:jc w:val="center"/>
            </w:pPr>
            <w:r>
              <w:t>Обучающиеся с 6 лет 6 месяцев до 18 лет</w:t>
            </w:r>
          </w:p>
        </w:tc>
        <w:tc>
          <w:tcPr>
            <w:tcW w:w="2125" w:type="dxa"/>
          </w:tcPr>
          <w:p w14:paraId="54A56467" w14:textId="77777777" w:rsidR="00454A29" w:rsidRDefault="00454A29">
            <w:pPr>
              <w:pStyle w:val="ConsPlusNormal"/>
            </w:pPr>
            <w:r>
              <w:t>1. Оздоровительные лагеря с дневным пребыванием детей.</w:t>
            </w:r>
          </w:p>
          <w:p w14:paraId="6809B3A9" w14:textId="77777777" w:rsidR="00454A29" w:rsidRDefault="00454A29">
            <w:pPr>
              <w:pStyle w:val="ConsPlusNormal"/>
            </w:pPr>
            <w:r>
              <w:t>2. Лагеря труда</w:t>
            </w:r>
          </w:p>
          <w:p w14:paraId="573E37FB" w14:textId="77777777" w:rsidR="00454A29" w:rsidRDefault="00454A29">
            <w:pPr>
              <w:pStyle w:val="ConsPlusNormal"/>
            </w:pPr>
            <w:r>
              <w:t>и отдыха с дневным пребыванием детей.</w:t>
            </w:r>
          </w:p>
          <w:p w14:paraId="08F66D02" w14:textId="77777777" w:rsidR="00454A29" w:rsidRDefault="00454A29">
            <w:pPr>
              <w:pStyle w:val="ConsPlusNormal"/>
            </w:pPr>
            <w:r>
              <w:t>3. Детские трудовые бригады с дневным пребыванием детей</w:t>
            </w:r>
          </w:p>
        </w:tc>
        <w:tc>
          <w:tcPr>
            <w:tcW w:w="2324" w:type="dxa"/>
          </w:tcPr>
          <w:p w14:paraId="70C08A84" w14:textId="77777777" w:rsidR="00454A29" w:rsidRDefault="00454A29">
            <w:pPr>
              <w:pStyle w:val="ConsPlusNormal"/>
              <w:jc w:val="center"/>
            </w:pPr>
            <w:r>
              <w:t xml:space="preserve">В соответствии с санитарно-эпидемиологическими нормами и правилами, утвержденными на основании Федерального </w:t>
            </w:r>
            <w:hyperlink r:id="rId25" w:history="1">
              <w:r>
                <w:rPr>
                  <w:color w:val="0000FF"/>
                </w:rPr>
                <w:t>закона</w:t>
              </w:r>
            </w:hyperlink>
            <w:r>
              <w:t xml:space="preserve"> от 30 марта 1999 г. N 52-ФЗ "О санитарно-эпидемиологическом благополучии населения"</w:t>
            </w:r>
          </w:p>
        </w:tc>
      </w:tr>
      <w:tr w:rsidR="00454A29" w14:paraId="3381A3DE" w14:textId="77777777">
        <w:tc>
          <w:tcPr>
            <w:tcW w:w="2778" w:type="dxa"/>
          </w:tcPr>
          <w:p w14:paraId="720B2847" w14:textId="77777777" w:rsidR="00454A29" w:rsidRDefault="00454A29">
            <w:pPr>
              <w:pStyle w:val="ConsPlusNormal"/>
              <w:jc w:val="both"/>
            </w:pPr>
            <w:r>
              <w:t xml:space="preserve">3. Оплата минимальной стоимости набора продуктов питания в день лагерей с круглосуточным пребыванием детей определяется в размере 336 рублей с учетом натуральных норм обеспеченности питанием и в соответствии с </w:t>
            </w:r>
            <w:hyperlink r:id="rId26" w:history="1">
              <w:r>
                <w:rPr>
                  <w:color w:val="0000FF"/>
                </w:rPr>
                <w:t>СанПиН 2.4.4.3155-13</w:t>
              </w:r>
            </w:hyperlink>
            <w:r>
              <w:t>:</w:t>
            </w:r>
          </w:p>
          <w:p w14:paraId="3115319E" w14:textId="77777777" w:rsidR="00454A29" w:rsidRDefault="00454A29">
            <w:pPr>
              <w:pStyle w:val="ConsPlusNormal"/>
              <w:jc w:val="both"/>
            </w:pPr>
            <w:r>
              <w:t>до Полярного круга - 336 рублей;</w:t>
            </w:r>
          </w:p>
          <w:p w14:paraId="151D3DC3" w14:textId="77777777" w:rsidR="00454A29" w:rsidRDefault="00454A29">
            <w:pPr>
              <w:pStyle w:val="ConsPlusNormal"/>
              <w:jc w:val="both"/>
            </w:pPr>
            <w:r>
              <w:t>за Полярным кругом - 363 рубля</w:t>
            </w:r>
          </w:p>
        </w:tc>
        <w:tc>
          <w:tcPr>
            <w:tcW w:w="1845" w:type="dxa"/>
          </w:tcPr>
          <w:p w14:paraId="1DD720A2" w14:textId="77777777" w:rsidR="00454A29" w:rsidRDefault="00454A29">
            <w:pPr>
              <w:pStyle w:val="ConsPlusNormal"/>
              <w:jc w:val="center"/>
            </w:pPr>
            <w:r>
              <w:t>Обучающиеся с 6 лет 6 месяцев до 18 лет</w:t>
            </w:r>
          </w:p>
        </w:tc>
        <w:tc>
          <w:tcPr>
            <w:tcW w:w="2125" w:type="dxa"/>
          </w:tcPr>
          <w:p w14:paraId="610BA291" w14:textId="77777777" w:rsidR="00454A29" w:rsidRDefault="00454A29">
            <w:pPr>
              <w:pStyle w:val="ConsPlusNormal"/>
            </w:pPr>
            <w:r>
              <w:t>1. Палаточные лагеря.</w:t>
            </w:r>
          </w:p>
          <w:p w14:paraId="16688BF7" w14:textId="77777777" w:rsidR="00454A29" w:rsidRDefault="00454A29">
            <w:pPr>
              <w:pStyle w:val="ConsPlusNormal"/>
            </w:pPr>
            <w:r>
              <w:t>2. Лагеря труда и отдыха.</w:t>
            </w:r>
          </w:p>
          <w:p w14:paraId="43CE3CCD" w14:textId="77777777" w:rsidR="00454A29" w:rsidRDefault="00454A29">
            <w:pPr>
              <w:pStyle w:val="ConsPlusNormal"/>
            </w:pPr>
            <w:r>
              <w:t>3. Детские трудовые бригады</w:t>
            </w:r>
          </w:p>
        </w:tc>
        <w:tc>
          <w:tcPr>
            <w:tcW w:w="2324" w:type="dxa"/>
          </w:tcPr>
          <w:p w14:paraId="59FF558B" w14:textId="77777777" w:rsidR="00454A29" w:rsidRDefault="00454A29">
            <w:pPr>
              <w:pStyle w:val="ConsPlusNormal"/>
              <w:jc w:val="center"/>
            </w:pPr>
            <w:r>
              <w:t xml:space="preserve">В соответствии с санитарно-эпидемиологическими нормами и правилами, утвержденными на основании Федерального </w:t>
            </w:r>
            <w:hyperlink r:id="rId27" w:history="1">
              <w:r>
                <w:rPr>
                  <w:color w:val="0000FF"/>
                </w:rPr>
                <w:t>закона</w:t>
              </w:r>
            </w:hyperlink>
            <w:r>
              <w:t xml:space="preserve"> от 30 марта 1999 г. N 52-ФЗ "О санитарно-эпидемиологическом благополучии населения"</w:t>
            </w:r>
          </w:p>
        </w:tc>
      </w:tr>
      <w:tr w:rsidR="00454A29" w14:paraId="75CD4DFC" w14:textId="77777777">
        <w:tc>
          <w:tcPr>
            <w:tcW w:w="2778" w:type="dxa"/>
          </w:tcPr>
          <w:p w14:paraId="0F78447B" w14:textId="77777777" w:rsidR="00454A29" w:rsidRDefault="00454A29">
            <w:pPr>
              <w:pStyle w:val="ConsPlusNormal"/>
              <w:jc w:val="both"/>
            </w:pPr>
            <w:r>
              <w:t>4. 15% от общего объема субсидии направляется на оплату труда педагогических работников оздоровительных учреждений и оплату услуги на медицинское обслуживание</w:t>
            </w:r>
          </w:p>
        </w:tc>
        <w:tc>
          <w:tcPr>
            <w:tcW w:w="1845" w:type="dxa"/>
          </w:tcPr>
          <w:p w14:paraId="13E7EB71" w14:textId="77777777" w:rsidR="00454A29" w:rsidRDefault="00454A29">
            <w:pPr>
              <w:pStyle w:val="ConsPlusNormal"/>
              <w:jc w:val="center"/>
            </w:pPr>
            <w:r>
              <w:t>Педагоги - воспитатели, педагоги - психологи, вожатые, медицинские работники</w:t>
            </w:r>
          </w:p>
        </w:tc>
        <w:tc>
          <w:tcPr>
            <w:tcW w:w="2125" w:type="dxa"/>
          </w:tcPr>
          <w:p w14:paraId="43400FD7" w14:textId="77777777" w:rsidR="00454A29" w:rsidRDefault="00454A29">
            <w:pPr>
              <w:pStyle w:val="ConsPlusNormal"/>
            </w:pPr>
            <w:r>
              <w:t>1. Оздоровительные лагеря с дневным пребыванием детей.</w:t>
            </w:r>
          </w:p>
          <w:p w14:paraId="0BAC7104" w14:textId="77777777" w:rsidR="00454A29" w:rsidRDefault="00454A29">
            <w:pPr>
              <w:pStyle w:val="ConsPlusNormal"/>
            </w:pPr>
            <w:r>
              <w:t>2. Палаточные лагеря.</w:t>
            </w:r>
          </w:p>
          <w:p w14:paraId="71786BFC" w14:textId="77777777" w:rsidR="00454A29" w:rsidRDefault="00454A29">
            <w:pPr>
              <w:pStyle w:val="ConsPlusNormal"/>
            </w:pPr>
            <w:r>
              <w:t>3. Лагеря труда и отдыха.</w:t>
            </w:r>
          </w:p>
          <w:p w14:paraId="33D391F7" w14:textId="77777777" w:rsidR="00454A29" w:rsidRDefault="00454A29">
            <w:pPr>
              <w:pStyle w:val="ConsPlusNormal"/>
            </w:pPr>
            <w:r>
              <w:t>4. Детские трудовые бригады</w:t>
            </w:r>
          </w:p>
        </w:tc>
        <w:tc>
          <w:tcPr>
            <w:tcW w:w="2324" w:type="dxa"/>
          </w:tcPr>
          <w:p w14:paraId="56938E77" w14:textId="77777777" w:rsidR="00454A29" w:rsidRDefault="00454A29">
            <w:pPr>
              <w:pStyle w:val="ConsPlusNormal"/>
              <w:jc w:val="center"/>
            </w:pPr>
            <w:r>
              <w:t>В период организации отдыха детей в каникулярное время</w:t>
            </w:r>
          </w:p>
        </w:tc>
      </w:tr>
      <w:tr w:rsidR="00454A29" w14:paraId="5A2F88BD" w14:textId="77777777">
        <w:tc>
          <w:tcPr>
            <w:tcW w:w="2778" w:type="dxa"/>
          </w:tcPr>
          <w:p w14:paraId="6035A5D2" w14:textId="77777777" w:rsidR="00454A29" w:rsidRDefault="00454A29">
            <w:pPr>
              <w:pStyle w:val="ConsPlusNormal"/>
              <w:jc w:val="both"/>
            </w:pPr>
            <w:r>
              <w:t>5. Оплата проезда детей из районов от места проживания до места отдыха и оздоровления</w:t>
            </w:r>
          </w:p>
        </w:tc>
        <w:tc>
          <w:tcPr>
            <w:tcW w:w="1845" w:type="dxa"/>
          </w:tcPr>
          <w:p w14:paraId="05274B13" w14:textId="77777777" w:rsidR="00454A29" w:rsidRDefault="00454A29">
            <w:pPr>
              <w:pStyle w:val="ConsPlusNormal"/>
              <w:jc w:val="center"/>
            </w:pPr>
            <w:r>
              <w:t>Обучающиеся с 6 лет 6 месяцев до 18 лет</w:t>
            </w:r>
          </w:p>
        </w:tc>
        <w:tc>
          <w:tcPr>
            <w:tcW w:w="2125" w:type="dxa"/>
          </w:tcPr>
          <w:p w14:paraId="4F77CCF3" w14:textId="77777777" w:rsidR="00454A29" w:rsidRDefault="00454A29">
            <w:pPr>
              <w:pStyle w:val="ConsPlusNormal"/>
            </w:pPr>
            <w:r>
              <w:t>Загородные стационарные и санаторно-оздоровительные лагеря</w:t>
            </w:r>
          </w:p>
        </w:tc>
        <w:tc>
          <w:tcPr>
            <w:tcW w:w="2324" w:type="dxa"/>
          </w:tcPr>
          <w:p w14:paraId="41FE7732" w14:textId="77777777" w:rsidR="00454A29" w:rsidRDefault="00454A29">
            <w:pPr>
              <w:pStyle w:val="ConsPlusNormal"/>
              <w:jc w:val="center"/>
            </w:pPr>
            <w:r>
              <w:t>В период организации отдыха детей в каникулярное время</w:t>
            </w:r>
          </w:p>
        </w:tc>
      </w:tr>
      <w:tr w:rsidR="00454A29" w14:paraId="6F9D5139" w14:textId="77777777">
        <w:tc>
          <w:tcPr>
            <w:tcW w:w="2778" w:type="dxa"/>
          </w:tcPr>
          <w:p w14:paraId="6C9D90C0" w14:textId="77777777" w:rsidR="00454A29" w:rsidRDefault="00454A29">
            <w:pPr>
              <w:pStyle w:val="ConsPlusNormal"/>
              <w:jc w:val="both"/>
            </w:pPr>
            <w:r>
              <w:t xml:space="preserve">6. Оплата минимальной стоимости набора продуктов питания в день походов детей определяется в размере 336 рублей с учетом натуральных норм обеспеченности питанием и в соответствии с </w:t>
            </w:r>
            <w:hyperlink r:id="rId28" w:history="1">
              <w:r>
                <w:rPr>
                  <w:color w:val="0000FF"/>
                </w:rPr>
                <w:t xml:space="preserve">СанПиН </w:t>
              </w:r>
              <w:r>
                <w:rPr>
                  <w:color w:val="0000FF"/>
                </w:rPr>
                <w:lastRenderedPageBreak/>
                <w:t>2.4.4.3155-13</w:t>
              </w:r>
            </w:hyperlink>
            <w:r>
              <w:t>:</w:t>
            </w:r>
          </w:p>
          <w:p w14:paraId="73C70AA3" w14:textId="77777777" w:rsidR="00454A29" w:rsidRDefault="00454A29">
            <w:pPr>
              <w:pStyle w:val="ConsPlusNormal"/>
              <w:jc w:val="both"/>
            </w:pPr>
            <w:r>
              <w:t>до Полярного круга - 336 рублей;</w:t>
            </w:r>
          </w:p>
          <w:p w14:paraId="35EFF6D7" w14:textId="77777777" w:rsidR="00454A29" w:rsidRDefault="00454A29">
            <w:pPr>
              <w:pStyle w:val="ConsPlusNormal"/>
              <w:jc w:val="both"/>
            </w:pPr>
            <w:r>
              <w:t>за Полярным кругом - 363 рубля</w:t>
            </w:r>
          </w:p>
        </w:tc>
        <w:tc>
          <w:tcPr>
            <w:tcW w:w="1845" w:type="dxa"/>
          </w:tcPr>
          <w:p w14:paraId="51DD7809" w14:textId="77777777" w:rsidR="00454A29" w:rsidRDefault="00454A29">
            <w:pPr>
              <w:pStyle w:val="ConsPlusNormal"/>
              <w:jc w:val="center"/>
            </w:pPr>
            <w:r>
              <w:lastRenderedPageBreak/>
              <w:t>Обучающиеся с 6 лет 6 месяцев до 18 лет</w:t>
            </w:r>
          </w:p>
        </w:tc>
        <w:tc>
          <w:tcPr>
            <w:tcW w:w="2125" w:type="dxa"/>
          </w:tcPr>
          <w:p w14:paraId="3852DA9F" w14:textId="77777777" w:rsidR="00454A29" w:rsidRDefault="00454A29">
            <w:pPr>
              <w:pStyle w:val="ConsPlusNormal"/>
            </w:pPr>
            <w:r>
              <w:t>Туристские комплексы Республики Саха (Якутия), туристские базы</w:t>
            </w:r>
          </w:p>
        </w:tc>
        <w:tc>
          <w:tcPr>
            <w:tcW w:w="2324" w:type="dxa"/>
          </w:tcPr>
          <w:p w14:paraId="5D99C812" w14:textId="77777777" w:rsidR="00454A29" w:rsidRDefault="00454A29">
            <w:pPr>
              <w:pStyle w:val="ConsPlusNormal"/>
              <w:jc w:val="center"/>
            </w:pPr>
            <w:r>
              <w:t xml:space="preserve">В соответствии с санитарно-эпидемиологическими нормами и правилами, утвержденными на основании Федерального </w:t>
            </w:r>
            <w:hyperlink r:id="rId29" w:history="1">
              <w:r>
                <w:rPr>
                  <w:color w:val="0000FF"/>
                </w:rPr>
                <w:t>закона</w:t>
              </w:r>
            </w:hyperlink>
            <w:r>
              <w:t xml:space="preserve"> от 30 марта 1999 г. N 52-ФЗ "О санитарно-</w:t>
            </w:r>
            <w:r>
              <w:lastRenderedPageBreak/>
              <w:t>эпидемиологическом благополучии населения"; приказом Министерства образования РФ от 13 июля 1992 г. N 293 "Об утверждении нормативных документов по туристско-краеведческой деятельности"</w:t>
            </w:r>
          </w:p>
        </w:tc>
      </w:tr>
    </w:tbl>
    <w:p w14:paraId="0141ED20" w14:textId="77777777" w:rsidR="00454A29" w:rsidRDefault="00454A29">
      <w:pPr>
        <w:pStyle w:val="ConsPlusNormal"/>
      </w:pPr>
    </w:p>
    <w:p w14:paraId="59328A03" w14:textId="77777777" w:rsidR="00454A29" w:rsidRDefault="00454A29">
      <w:pPr>
        <w:pStyle w:val="ConsPlusNormal"/>
        <w:ind w:firstLine="540"/>
        <w:jc w:val="both"/>
      </w:pPr>
      <w:r>
        <w:t>2.2. Стоимость одного дня пребывания в организациях отдыха детей подлежит ежегодной индексации с учетом Прогноза социально-экономического развития Республики Саха (Якутия).</w:t>
      </w:r>
    </w:p>
    <w:p w14:paraId="02E58770" w14:textId="77777777" w:rsidR="00454A29" w:rsidRDefault="00454A29">
      <w:pPr>
        <w:pStyle w:val="ConsPlusNormal"/>
        <w:spacing w:before="220"/>
        <w:ind w:firstLine="540"/>
        <w:jc w:val="both"/>
      </w:pPr>
      <w:r>
        <w:t>2.3. Использование субсидий на организацию отдыха детей обучающихся осуществляется:</w:t>
      </w:r>
    </w:p>
    <w:p w14:paraId="3A89734F" w14:textId="77777777" w:rsidR="00454A29" w:rsidRDefault="00454A29">
      <w:pPr>
        <w:pStyle w:val="ConsPlusNormal"/>
        <w:spacing w:before="220"/>
        <w:ind w:firstLine="540"/>
        <w:jc w:val="both"/>
      </w:pPr>
      <w:r>
        <w:t>по казенным учреждениям через увеличение бюджетных ассигнований и лимитов бюджетных обязательств;</w:t>
      </w:r>
    </w:p>
    <w:p w14:paraId="46196A34" w14:textId="77777777" w:rsidR="00454A29" w:rsidRDefault="00454A29">
      <w:pPr>
        <w:pStyle w:val="ConsPlusNormal"/>
        <w:spacing w:before="220"/>
        <w:ind w:firstLine="540"/>
        <w:jc w:val="both"/>
      </w:pPr>
      <w:r>
        <w:t xml:space="preserve">по бюджетным и автономным учреждениям в виде субсидии на иные цели в соответствии с абзацем вторым </w:t>
      </w:r>
      <w:hyperlink r:id="rId30" w:history="1">
        <w:r>
          <w:rPr>
            <w:color w:val="0000FF"/>
          </w:rPr>
          <w:t>части 1 статьи 78.1</w:t>
        </w:r>
      </w:hyperlink>
      <w:r>
        <w:t xml:space="preserve"> Бюджетного кодекса Российской Федерации;</w:t>
      </w:r>
    </w:p>
    <w:p w14:paraId="580C28D4" w14:textId="77777777" w:rsidR="00454A29" w:rsidRDefault="00454A29">
      <w:pPr>
        <w:pStyle w:val="ConsPlusNormal"/>
        <w:spacing w:before="220"/>
        <w:ind w:firstLine="540"/>
        <w:jc w:val="both"/>
      </w:pPr>
      <w:r>
        <w:t>в виде компенсации фактических расходов родителям (законным представителям), работодателю за приобретенные путевки (курсовки) в стационарных оздоровительных учреждениях.</w:t>
      </w:r>
    </w:p>
    <w:p w14:paraId="658721FB" w14:textId="77777777" w:rsidR="00454A29" w:rsidRDefault="00454A29">
      <w:pPr>
        <w:pStyle w:val="ConsPlusNormal"/>
        <w:spacing w:before="220"/>
        <w:ind w:firstLine="540"/>
        <w:jc w:val="both"/>
      </w:pPr>
      <w:r>
        <w:t>2.4. Орган местного самоуправления муниципальных районов и городских округов Республики Саха (Якутия) ежегодно до 15 февраля представляет в Министерство образования и науки Республики Саха (Якутия) на текущий финансовый год сведения по расходам местного бюджета, предусмотренным на организацию отдыха детей в каникулярное время (с отражением бюджетной классификации подразделов, целевой статьи, вида расходов).</w:t>
      </w:r>
    </w:p>
    <w:p w14:paraId="0C2F99A4" w14:textId="77777777" w:rsidR="00454A29" w:rsidRDefault="00454A29">
      <w:pPr>
        <w:pStyle w:val="ConsPlusNormal"/>
        <w:spacing w:before="220"/>
        <w:ind w:firstLine="540"/>
        <w:jc w:val="both"/>
      </w:pPr>
      <w:bookmarkStart w:id="8" w:name="P32519"/>
      <w:bookmarkEnd w:id="8"/>
      <w:r>
        <w:t>2.5. Субсидии предоставляются муниципальным образованиям на основании соглашения о предоставлении субсидии в соответствии с типовой формой, утвержденной Министерством финансов Республики Саха (Якутия).</w:t>
      </w:r>
    </w:p>
    <w:p w14:paraId="1925DAEF" w14:textId="77777777" w:rsidR="00454A29" w:rsidRDefault="00454A29">
      <w:pPr>
        <w:pStyle w:val="ConsPlusNormal"/>
        <w:spacing w:before="220"/>
        <w:ind w:firstLine="540"/>
        <w:jc w:val="both"/>
      </w:pPr>
      <w:r>
        <w:t>Проекты соглашений о предоставлении субсидий подлежат опубликованию до 1 марта текущего финансового года на официальных сайтах главных распорядителей бюджетных средств в информационно-телекоммуникационной сети Интернет.</w:t>
      </w:r>
    </w:p>
    <w:p w14:paraId="5C4CB8B2" w14:textId="77777777" w:rsidR="00454A29" w:rsidRDefault="00454A29">
      <w:pPr>
        <w:pStyle w:val="ConsPlusNormal"/>
        <w:spacing w:before="220"/>
        <w:ind w:firstLine="540"/>
        <w:jc w:val="both"/>
      </w:pPr>
      <w:r>
        <w:t>Условиями предоставления субсидий органам местного самоуправления муниципальных районов и городских округов Республики Саха (Якутия) являются:</w:t>
      </w:r>
    </w:p>
    <w:p w14:paraId="06567583" w14:textId="77777777" w:rsidR="00454A29" w:rsidRDefault="00454A29">
      <w:pPr>
        <w:pStyle w:val="ConsPlusNormal"/>
        <w:spacing w:before="220"/>
        <w:ind w:firstLine="540"/>
        <w:jc w:val="both"/>
      </w:pPr>
      <w:r>
        <w:t>а)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w:t>
      </w:r>
    </w:p>
    <w:p w14:paraId="3DE6C4D5" w14:textId="77777777" w:rsidR="00454A29" w:rsidRDefault="00454A29">
      <w:pPr>
        <w:pStyle w:val="ConsPlusNormal"/>
        <w:spacing w:before="220"/>
        <w:ind w:firstLine="540"/>
        <w:jc w:val="both"/>
      </w:pPr>
      <w:r>
        <w:t xml:space="preserve">б) наличие соглашения с Министерством образования и науки Республики Саха (Якутия) о предоставлении и распределении из государственного бюджета Республики Саха (Якутия) субсидии бюджету муниципального района (городского округа), предусматривающего обязательства муниципального района (городского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w:t>
      </w:r>
      <w:r>
        <w:lastRenderedPageBreak/>
        <w:t>формой;</w:t>
      </w:r>
    </w:p>
    <w:p w14:paraId="5919F997" w14:textId="77777777" w:rsidR="00454A29" w:rsidRDefault="00454A29">
      <w:pPr>
        <w:pStyle w:val="ConsPlusNormal"/>
        <w:spacing w:before="220"/>
        <w:ind w:firstLine="540"/>
        <w:jc w:val="both"/>
      </w:pPr>
      <w:r>
        <w:t>в) обязательство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 определенных соглашением;</w:t>
      </w:r>
    </w:p>
    <w:p w14:paraId="54890A5E" w14:textId="77777777" w:rsidR="00454A29" w:rsidRDefault="00454A29">
      <w:pPr>
        <w:pStyle w:val="ConsPlusNormal"/>
        <w:spacing w:before="220"/>
        <w:ind w:firstLine="540"/>
        <w:jc w:val="both"/>
      </w:pPr>
      <w:r>
        <w:t xml:space="preserve">г) наличие муниципальных правовых актов, устанавливающих расходные обязательства муниципальных образований по вопросам местного значения и иным вопросам, которые в соответствии с Федеральным </w:t>
      </w:r>
      <w:hyperlink r:id="rId3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вправе решать органы местного самоуправления и на исполнение которых предоставляются субсидии.</w:t>
      </w:r>
    </w:p>
    <w:p w14:paraId="285FA34C" w14:textId="77777777" w:rsidR="00454A29" w:rsidRDefault="00454A29">
      <w:pPr>
        <w:pStyle w:val="ConsPlusNormal"/>
        <w:spacing w:before="220"/>
        <w:ind w:firstLine="540"/>
        <w:jc w:val="both"/>
      </w:pPr>
      <w:r>
        <w:t>2.6. В целях контроля за эффективностью использования органами местного самоуправления муниципальных районов и городских округов Республики Саха (Якутия) субсидий устанавливаются следующие показатели эффективности использования субсидий:</w:t>
      </w:r>
    </w:p>
    <w:p w14:paraId="78086AB4" w14:textId="77777777" w:rsidR="00454A29" w:rsidRDefault="00454A29">
      <w:pPr>
        <w:pStyle w:val="ConsPlusNormal"/>
        <w:spacing w:before="220"/>
        <w:ind w:firstLine="540"/>
        <w:jc w:val="both"/>
      </w:pPr>
      <w:r>
        <w:t>доля детей, направленных в организации отдыха детей в каникулярное время, от общего числа детей школьного возраста муниципального района и городского округа.</w:t>
      </w:r>
    </w:p>
    <w:p w14:paraId="75F28242" w14:textId="77777777" w:rsidR="00454A29" w:rsidRDefault="00454A29">
      <w:pPr>
        <w:pStyle w:val="ConsPlusNormal"/>
        <w:spacing w:before="220"/>
        <w:ind w:firstLine="540"/>
        <w:jc w:val="both"/>
      </w:pPr>
      <w:r>
        <w:t>Оценка эффективности использования субсидий осуществляется ежегодно Министерством образования и науки Республики Саха (Якутия) на основании отчетов органов местного самоуправления муниципальных районов и городских округов Республики Саха (Якутия) о достижении значений целевых показателей эффективности использования субсидий, установленных соглашением, заключенным между органом местного самоуправления муниципальных районов и городских округов Республики Саха (Якутия) и Министерством образования и науки Республики Саха (Якутия) (далее по тексту - соглашение), представляемых не позднее 20 февраля очередного финансового года.</w:t>
      </w:r>
    </w:p>
    <w:p w14:paraId="737C1C61" w14:textId="77777777" w:rsidR="00454A29" w:rsidRDefault="00454A29">
      <w:pPr>
        <w:pStyle w:val="ConsPlusNormal"/>
        <w:spacing w:before="220"/>
        <w:ind w:firstLine="540"/>
        <w:jc w:val="both"/>
      </w:pPr>
      <w:r>
        <w:t>2.7.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Саха (Якутия), а также в случае существенного (более чем на 20%) сокращения размера субсидии.</w:t>
      </w:r>
    </w:p>
    <w:p w14:paraId="7B599F8F" w14:textId="77777777" w:rsidR="00454A29" w:rsidRDefault="00454A29">
      <w:pPr>
        <w:pStyle w:val="ConsPlusNormal"/>
        <w:spacing w:before="220"/>
        <w:ind w:firstLine="540"/>
        <w:jc w:val="both"/>
      </w:pPr>
      <w:r>
        <w:t>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 либо изменении нормативных затрат.</w:t>
      </w:r>
    </w:p>
    <w:p w14:paraId="384B2790" w14:textId="77777777" w:rsidR="00454A29" w:rsidRDefault="00454A29">
      <w:pPr>
        <w:pStyle w:val="ConsPlusNormal"/>
        <w:spacing w:before="220"/>
        <w:ind w:firstLine="540"/>
        <w:jc w:val="both"/>
      </w:pPr>
      <w:r>
        <w:t>Изменение нормативных затрат, определяемых в соответствии с настоящим Порядком, в течение срока выполнения государственного задания осуществляется (при необходимости) в случаях, предусмотренных нормативными правовыми актами Республики Саха (Якутия) (включая внесение изменений в указанные нормативные правовые акты).</w:t>
      </w:r>
    </w:p>
    <w:p w14:paraId="36398778" w14:textId="77777777" w:rsidR="00454A29" w:rsidRDefault="00454A29">
      <w:pPr>
        <w:pStyle w:val="ConsPlusNormal"/>
        <w:spacing w:before="220"/>
        <w:ind w:firstLine="540"/>
        <w:jc w:val="both"/>
      </w:pPr>
      <w:r>
        <w:t>Объем субсидии может быть увеличен в течение срока выполнения государственного задания в случае:</w:t>
      </w:r>
    </w:p>
    <w:p w14:paraId="580EDD5C" w14:textId="77777777" w:rsidR="00454A29" w:rsidRDefault="00454A29">
      <w:pPr>
        <w:pStyle w:val="ConsPlusNormal"/>
        <w:spacing w:before="220"/>
        <w:ind w:firstLine="540"/>
        <w:jc w:val="both"/>
      </w:pPr>
      <w:r>
        <w:t>изменения законодательства о налогах и сборах;</w:t>
      </w:r>
    </w:p>
    <w:p w14:paraId="4D4EF94C" w14:textId="77777777" w:rsidR="00454A29" w:rsidRDefault="00454A29">
      <w:pPr>
        <w:pStyle w:val="ConsPlusNormal"/>
        <w:spacing w:before="220"/>
        <w:ind w:firstLine="540"/>
        <w:jc w:val="both"/>
      </w:pPr>
      <w:r>
        <w:t>отмены ранее установленных налоговых льгот;</w:t>
      </w:r>
    </w:p>
    <w:p w14:paraId="69BEC182" w14:textId="77777777" w:rsidR="00454A29" w:rsidRDefault="00454A29">
      <w:pPr>
        <w:pStyle w:val="ConsPlusNormal"/>
        <w:spacing w:before="220"/>
        <w:ind w:firstLine="540"/>
        <w:jc w:val="both"/>
      </w:pPr>
      <w:r>
        <w:t>переоценки кадастровой стоимости имущества и прочих изменениях имущественной базы.</w:t>
      </w:r>
    </w:p>
    <w:p w14:paraId="56127D74" w14:textId="77777777" w:rsidR="00454A29" w:rsidRDefault="00454A29">
      <w:pPr>
        <w:pStyle w:val="ConsPlusNormal"/>
        <w:spacing w:before="220"/>
        <w:ind w:firstLine="540"/>
        <w:jc w:val="both"/>
      </w:pPr>
      <w:r>
        <w:t xml:space="preserve">2.8. Реестр соглашений формируется Министерством образования и науки Республики Саха (Якутия) в порядке, установленном Министерством финансов Республики Саха (Якутия) в течение </w:t>
      </w:r>
      <w:r>
        <w:lastRenderedPageBreak/>
        <w:t>трех дней со дня заключения соглашений с муниципальными образованиями о предоставлении субсидий.</w:t>
      </w:r>
    </w:p>
    <w:p w14:paraId="1E63B431" w14:textId="77777777" w:rsidR="00454A29" w:rsidRDefault="00454A29">
      <w:pPr>
        <w:pStyle w:val="ConsPlusNormal"/>
        <w:spacing w:before="220"/>
        <w:ind w:firstLine="540"/>
        <w:jc w:val="both"/>
      </w:pPr>
      <w:r>
        <w:t>В реестр соглашений включаются сведения о целевом назначении и наименовании субсидий, объемах субсидий, кодах бюджетной классификации Российской Федерации, объемах бюджетных ассигнований, направляемых на финансирование расходных обязательств, софинансирование которых осуществляется за счет субсидий, уровне софинансирования расходного обязательства муниципального образования из государственного бюджета Республики Саха (Якутия), количестве муниципальных образований, которым предусмотрено предоставление субсидий и с которыми заключены соглашения, а также реквизиты соглашений.</w:t>
      </w:r>
    </w:p>
    <w:p w14:paraId="72048899" w14:textId="77777777" w:rsidR="00454A29" w:rsidRDefault="00454A29">
      <w:pPr>
        <w:pStyle w:val="ConsPlusNormal"/>
        <w:spacing w:before="220"/>
        <w:ind w:firstLine="540"/>
        <w:jc w:val="both"/>
      </w:pPr>
      <w:r>
        <w:t>2.9. В случае, если муниципальным образованиям по состоянию на 30 сентября текущего финансового года допущены нарушения обязательств, предусмотренных соглашением,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ноября года текущего финансового года предоставления субсидии (Vвозврата) в соответствии с ведомственным актом Министерства образования и науки Республики Саха (Якутия), рассчитывается по формуле:</w:t>
      </w:r>
    </w:p>
    <w:p w14:paraId="32F95CC1" w14:textId="77777777" w:rsidR="00454A29" w:rsidRDefault="00454A29">
      <w:pPr>
        <w:pStyle w:val="ConsPlusNormal"/>
      </w:pPr>
    </w:p>
    <w:p w14:paraId="236825AB" w14:textId="77777777" w:rsidR="00454A29" w:rsidRDefault="00454A29">
      <w:pPr>
        <w:pStyle w:val="ConsPlusNormal"/>
        <w:jc w:val="center"/>
      </w:pPr>
      <w:r>
        <w:t>Vвозврата = (Vсубсидии * k * m / n) * 0,1,</w:t>
      </w:r>
    </w:p>
    <w:p w14:paraId="6D79C485" w14:textId="77777777" w:rsidR="00454A29" w:rsidRDefault="00454A29">
      <w:pPr>
        <w:pStyle w:val="ConsPlusNormal"/>
      </w:pPr>
    </w:p>
    <w:p w14:paraId="73751361" w14:textId="77777777" w:rsidR="00454A29" w:rsidRDefault="00454A29">
      <w:pPr>
        <w:pStyle w:val="ConsPlusNormal"/>
        <w:ind w:firstLine="540"/>
        <w:jc w:val="both"/>
      </w:pPr>
      <w:r>
        <w:t>где</w:t>
      </w:r>
    </w:p>
    <w:p w14:paraId="6D75742F" w14:textId="77777777" w:rsidR="00454A29" w:rsidRDefault="00454A29">
      <w:pPr>
        <w:pStyle w:val="ConsPlusNormal"/>
        <w:spacing w:before="220"/>
        <w:ind w:firstLine="540"/>
        <w:jc w:val="both"/>
      </w:pPr>
      <w:r>
        <w:t>Vсубсидии - размер субсидии, предоставленной местному бюджету в отчетном финансовом году;</w:t>
      </w:r>
    </w:p>
    <w:p w14:paraId="4DF72A55" w14:textId="77777777" w:rsidR="00454A29" w:rsidRDefault="00454A29">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1E1FD114" w14:textId="77777777" w:rsidR="00454A29" w:rsidRDefault="00454A29">
      <w:pPr>
        <w:pStyle w:val="ConsPlusNormal"/>
        <w:spacing w:before="220"/>
        <w:ind w:firstLine="540"/>
        <w:jc w:val="both"/>
      </w:pPr>
      <w:r>
        <w:t>n - общее количество показателей результативности использования субсидии;</w:t>
      </w:r>
    </w:p>
    <w:p w14:paraId="45A4A9B5" w14:textId="77777777" w:rsidR="00454A29" w:rsidRDefault="00454A29">
      <w:pPr>
        <w:pStyle w:val="ConsPlusNormal"/>
        <w:spacing w:before="220"/>
        <w:ind w:firstLine="540"/>
        <w:jc w:val="both"/>
      </w:pPr>
      <w:r>
        <w:t>k - коэффициент возврата субсидии.</w:t>
      </w:r>
    </w:p>
    <w:p w14:paraId="590F5C7E" w14:textId="77777777" w:rsidR="00454A29" w:rsidRDefault="00454A29">
      <w:pPr>
        <w:pStyle w:val="ConsPlusNormal"/>
        <w:spacing w:before="220"/>
        <w:ind w:firstLine="540"/>
        <w:jc w:val="both"/>
      </w:pPr>
      <w:r>
        <w:t>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14:paraId="3D5C4283" w14:textId="77777777" w:rsidR="00454A29" w:rsidRDefault="00454A29">
      <w:pPr>
        <w:pStyle w:val="ConsPlusNormal"/>
        <w:spacing w:before="220"/>
        <w:ind w:firstLine="540"/>
        <w:jc w:val="both"/>
      </w:pPr>
      <w:r>
        <w:t>Коэффициент возврата субсидии рассчитывается по формуле:</w:t>
      </w:r>
    </w:p>
    <w:p w14:paraId="17707548" w14:textId="77777777" w:rsidR="00454A29" w:rsidRDefault="00454A29">
      <w:pPr>
        <w:pStyle w:val="ConsPlusNormal"/>
      </w:pPr>
    </w:p>
    <w:p w14:paraId="50500EE4" w14:textId="77777777" w:rsidR="00454A29" w:rsidRDefault="00454A29">
      <w:pPr>
        <w:pStyle w:val="ConsPlusNormal"/>
        <w:jc w:val="center"/>
      </w:pPr>
      <w:r w:rsidRPr="005D7449">
        <w:rPr>
          <w:position w:val="-11"/>
        </w:rPr>
        <w:pict w14:anchorId="2E4516DA">
          <v:shape id="_x0000_i1025" style="width:69.35pt;height:21.95pt" coordsize="" o:spt="100" adj="0,,0" path="" filled="f" stroked="f">
            <v:stroke joinstyle="miter"/>
            <v:imagedata r:id="rId32" o:title="base_23801_77601_32768"/>
            <v:formulas/>
            <v:path o:connecttype="segments"/>
          </v:shape>
        </w:pict>
      </w:r>
      <w:r>
        <w:t>,</w:t>
      </w:r>
    </w:p>
    <w:p w14:paraId="2A582276" w14:textId="77777777" w:rsidR="00454A29" w:rsidRDefault="00454A29">
      <w:pPr>
        <w:pStyle w:val="ConsPlusNormal"/>
      </w:pPr>
    </w:p>
    <w:p w14:paraId="122ED659" w14:textId="77777777" w:rsidR="00454A29" w:rsidRDefault="00454A29">
      <w:pPr>
        <w:pStyle w:val="ConsPlusNormal"/>
        <w:ind w:firstLine="540"/>
        <w:jc w:val="both"/>
      </w:pPr>
      <w:r>
        <w:t>где</w:t>
      </w:r>
    </w:p>
    <w:p w14:paraId="29E1C0C4" w14:textId="77777777" w:rsidR="00454A29" w:rsidRDefault="00454A29">
      <w:pPr>
        <w:pStyle w:val="ConsPlusNormal"/>
        <w:spacing w:before="220"/>
        <w:ind w:firstLine="540"/>
        <w:jc w:val="both"/>
      </w:pPr>
      <w:r>
        <w:t>Di - индекс, отражающий уровень недостижения i-го показателя результативности использования субсидии.</w:t>
      </w:r>
    </w:p>
    <w:p w14:paraId="54ACEE07" w14:textId="77777777" w:rsidR="00454A29" w:rsidRDefault="00454A29">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w:t>
      </w:r>
      <w:r>
        <w:lastRenderedPageBreak/>
        <w:t>субсидии.</w:t>
      </w:r>
    </w:p>
    <w:p w14:paraId="09345FAF" w14:textId="77777777" w:rsidR="00454A29" w:rsidRDefault="00454A29">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14:paraId="39476795" w14:textId="77777777" w:rsidR="00454A29" w:rsidRDefault="00454A29">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035DA303" w14:textId="77777777" w:rsidR="00454A29" w:rsidRDefault="00454A29">
      <w:pPr>
        <w:pStyle w:val="ConsPlusNormal"/>
      </w:pPr>
    </w:p>
    <w:p w14:paraId="3A436270" w14:textId="77777777" w:rsidR="00454A29" w:rsidRDefault="00454A29">
      <w:pPr>
        <w:pStyle w:val="ConsPlusNormal"/>
        <w:jc w:val="center"/>
      </w:pPr>
      <w:r>
        <w:t>Di = 1 - Ti / Si,</w:t>
      </w:r>
    </w:p>
    <w:p w14:paraId="46242CF1" w14:textId="77777777" w:rsidR="00454A29" w:rsidRDefault="00454A29">
      <w:pPr>
        <w:pStyle w:val="ConsPlusNormal"/>
      </w:pPr>
    </w:p>
    <w:p w14:paraId="74DCF39D" w14:textId="77777777" w:rsidR="00454A29" w:rsidRDefault="00454A29">
      <w:pPr>
        <w:pStyle w:val="ConsPlusNormal"/>
        <w:ind w:firstLine="540"/>
        <w:jc w:val="both"/>
      </w:pPr>
      <w:r>
        <w:t>где</w:t>
      </w:r>
    </w:p>
    <w:p w14:paraId="5B7AB49C" w14:textId="77777777" w:rsidR="00454A29" w:rsidRDefault="00454A29">
      <w:pPr>
        <w:pStyle w:val="ConsPlusNormal"/>
        <w:spacing w:before="220"/>
        <w:ind w:firstLine="540"/>
        <w:jc w:val="both"/>
      </w:pPr>
      <w:r>
        <w:t>Ti - фактически достигнутое значение i-го показателя результативности использования субсидии на отчетную дату;</w:t>
      </w:r>
    </w:p>
    <w:p w14:paraId="0D6FB824" w14:textId="77777777" w:rsidR="00454A29" w:rsidRDefault="00454A29">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14:paraId="11F7ED09" w14:textId="77777777" w:rsidR="00454A29" w:rsidRDefault="00454A29">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6F4D2F55" w14:textId="77777777" w:rsidR="00454A29" w:rsidRDefault="00454A29">
      <w:pPr>
        <w:pStyle w:val="ConsPlusNormal"/>
      </w:pPr>
    </w:p>
    <w:p w14:paraId="7F1DD180" w14:textId="77777777" w:rsidR="00454A29" w:rsidRDefault="00454A29">
      <w:pPr>
        <w:pStyle w:val="ConsPlusNormal"/>
        <w:jc w:val="center"/>
      </w:pPr>
      <w:r>
        <w:t>Di = 1 - Si / Ti</w:t>
      </w:r>
    </w:p>
    <w:p w14:paraId="35FB24FF" w14:textId="77777777" w:rsidR="00454A29" w:rsidRDefault="00454A29">
      <w:pPr>
        <w:pStyle w:val="ConsPlusNormal"/>
      </w:pPr>
    </w:p>
    <w:p w14:paraId="7EC70A19" w14:textId="77777777" w:rsidR="00454A29" w:rsidRDefault="00454A29">
      <w:pPr>
        <w:pStyle w:val="ConsPlusNormal"/>
        <w:ind w:firstLine="540"/>
        <w:jc w:val="both"/>
      </w:pPr>
      <w:bookmarkStart w:id="9" w:name="P32567"/>
      <w:bookmarkEnd w:id="9"/>
      <w:r>
        <w:t xml:space="preserve">2.10. Основанием для освобождения муниципального образования от применения мер ответственности, предусмотренных </w:t>
      </w:r>
      <w:hyperlink w:anchor="P32571" w:history="1">
        <w:r>
          <w:rPr>
            <w:color w:val="0000FF"/>
          </w:rPr>
          <w:t>пунктом 2.11</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34DB5B84" w14:textId="77777777" w:rsidR="00454A29" w:rsidRDefault="00454A29">
      <w:pPr>
        <w:pStyle w:val="ConsPlusNormal"/>
        <w:spacing w:before="220"/>
        <w:ind w:firstLine="540"/>
        <w:jc w:val="both"/>
      </w:pPr>
      <w:r>
        <w:t>Министерство образования и науки Республики Саха (Якутия) при наличии основания, предусмотренного абзацем первым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5E52A94C" w14:textId="77777777" w:rsidR="00454A29" w:rsidRDefault="00454A29">
      <w:pPr>
        <w:pStyle w:val="ConsPlusNormal"/>
        <w:spacing w:before="220"/>
        <w:ind w:firstLine="540"/>
        <w:jc w:val="both"/>
      </w:pPr>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образования и науки Республики Саха (Якутия) муниципальным образованием, допустившим нарушение соответствующих обязательств, до 30 апреля года, следующего за годом предоставления субсидии, и не позднее 15 мая года, следующего за годом предоставления субсидии.</w:t>
      </w:r>
    </w:p>
    <w:p w14:paraId="2435BA5A" w14:textId="77777777" w:rsidR="00454A29" w:rsidRDefault="00454A29">
      <w:pPr>
        <w:pStyle w:val="ConsPlusNormal"/>
        <w:spacing w:before="220"/>
        <w:ind w:firstLine="540"/>
        <w:jc w:val="both"/>
      </w:pPr>
      <w:r>
        <w:t>Министерство образования и науки Республики Саха (Якутия) издает ведомственный акт об освобождении муниципального образования от применения мер ответственности, предусмотренных пунктом 2.11 настоящего Порядка.</w:t>
      </w:r>
    </w:p>
    <w:p w14:paraId="3C3ADE32" w14:textId="77777777" w:rsidR="00454A29" w:rsidRDefault="00454A29">
      <w:pPr>
        <w:pStyle w:val="ConsPlusNormal"/>
        <w:spacing w:before="220"/>
        <w:ind w:firstLine="540"/>
        <w:jc w:val="both"/>
      </w:pPr>
      <w:bookmarkStart w:id="10" w:name="P32571"/>
      <w:bookmarkEnd w:id="10"/>
      <w:r>
        <w:t xml:space="preserve">2.11. В случае отсутствия оснований для освобождения муниципального образования от применения мер ответственности, предусмотренных </w:t>
      </w:r>
      <w:hyperlink w:anchor="P32567" w:history="1">
        <w:r>
          <w:rPr>
            <w:color w:val="0000FF"/>
          </w:rPr>
          <w:t>пунктом 2.10</w:t>
        </w:r>
      </w:hyperlink>
      <w:r>
        <w:t xml:space="preserve"> настоящего Порядка, Министерство образования и науки Республики Саха (Якутия)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пунктом 2.11 настоящего Порядка.</w:t>
      </w:r>
    </w:p>
    <w:p w14:paraId="396AF34A" w14:textId="77777777" w:rsidR="00454A29" w:rsidRDefault="00454A29">
      <w:pPr>
        <w:pStyle w:val="ConsPlusNormal"/>
        <w:spacing w:before="220"/>
        <w:ind w:firstLine="540"/>
        <w:jc w:val="both"/>
      </w:pPr>
      <w:r>
        <w:t xml:space="preserve">2.12. Оценка эффективности использования субсидии осуществляется Министерством образования и науки Республики Саха (Якутия) на основании сравнения планируемых в соответствии с соглашением и достигнутых значений показателя результативности использования </w:t>
      </w:r>
      <w:r>
        <w:lastRenderedPageBreak/>
        <w:t>субсидии в конце летней оздоровительной кампании до 31 октября отчетного года муниципальными образованиями и городскими округами.</w:t>
      </w:r>
    </w:p>
    <w:p w14:paraId="57043087" w14:textId="77777777" w:rsidR="00454A29" w:rsidRDefault="00454A29">
      <w:pPr>
        <w:pStyle w:val="ConsPlusNormal"/>
        <w:spacing w:before="220"/>
        <w:ind w:firstLine="540"/>
        <w:jc w:val="both"/>
      </w:pPr>
      <w:r>
        <w:t>2.13. При формировании параметров проектов государственных программ Республики Саха (Якутия) Министерством образования и науки Республики Саха (Якутия) учитывается отчет о достижении значений показателей результативности использования субсидий в сравнении с предшествующим годом муниципальными образованиями муниципальных районов и городских округов Республики Саха (Якутия).</w:t>
      </w:r>
    </w:p>
    <w:p w14:paraId="56C6924B" w14:textId="77777777" w:rsidR="00454A29" w:rsidRDefault="00454A29">
      <w:pPr>
        <w:pStyle w:val="ConsPlusNormal"/>
        <w:spacing w:before="220"/>
        <w:ind w:firstLine="540"/>
        <w:jc w:val="both"/>
      </w:pPr>
      <w:r>
        <w:t xml:space="preserve">2.14. В случае отсутствия на 1 апреля текущего финансового года заключенного соглашения бюджетные ассигнования на предоставление субсидий, предусмотренных Министерству образования и науки Республики Саха (Якутия), подлежат уменьшению в связи с образованием экономии по использованию бюджетных ассигнований путем внесения изменений в сводную бюджетную роспись государственного бюджета Республики Саха (Якутия) в соответствии со </w:t>
      </w:r>
      <w:hyperlink r:id="rId33" w:history="1">
        <w:r>
          <w:rPr>
            <w:color w:val="0000FF"/>
          </w:rPr>
          <w:t>статьей 58.1</w:t>
        </w:r>
      </w:hyperlink>
      <w:r>
        <w:t xml:space="preserve"> Закона Республики Саха (Якутия) от 5 февраля 2014 г. 1280-З N 111-V "О бюджетном устройстве и бюджетном процессе в Республике Саха (Якутия)".</w:t>
      </w:r>
    </w:p>
    <w:p w14:paraId="1AE72CA0" w14:textId="77777777" w:rsidR="00454A29" w:rsidRDefault="00454A29">
      <w:pPr>
        <w:pStyle w:val="ConsPlusNormal"/>
        <w:spacing w:before="220"/>
        <w:ind w:firstLine="540"/>
        <w:jc w:val="both"/>
      </w:pPr>
      <w:r>
        <w:t xml:space="preserve">2.15. Бюджетные средства, образовавшиеся в результате экономии (в том числе по итогам проведения муниципальными образованиями конкурсных процедур в соответствии с Федеральным </w:t>
      </w:r>
      <w:hyperlink r:id="rId3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Федеральным </w:t>
      </w:r>
      <w:hyperlink r:id="rId35" w:history="1">
        <w:r>
          <w:rPr>
            <w:color w:val="0000FF"/>
          </w:rPr>
          <w:t>законом</w:t>
        </w:r>
      </w:hyperlink>
      <w:r>
        <w:t xml:space="preserve"> от 18 июля 2011 г. N 223-ФЗ "О закупках товаров, работ, услуг отдельными видами юридических лиц"),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14:paraId="31A7C6C0" w14:textId="77777777" w:rsidR="00454A29" w:rsidRDefault="00454A29">
      <w:pPr>
        <w:pStyle w:val="ConsPlusNormal"/>
      </w:pPr>
    </w:p>
    <w:p w14:paraId="0C807850" w14:textId="77777777" w:rsidR="00454A29" w:rsidRDefault="00454A29">
      <w:pPr>
        <w:pStyle w:val="ConsPlusTitle"/>
        <w:jc w:val="center"/>
        <w:outlineLvl w:val="2"/>
      </w:pPr>
      <w:r>
        <w:t>III. Правила распределения субсидии</w:t>
      </w:r>
    </w:p>
    <w:p w14:paraId="37945042" w14:textId="77777777" w:rsidR="00454A29" w:rsidRDefault="00454A29">
      <w:pPr>
        <w:pStyle w:val="ConsPlusNormal"/>
      </w:pPr>
    </w:p>
    <w:p w14:paraId="4FD7BA7C" w14:textId="77777777" w:rsidR="00454A29" w:rsidRDefault="00454A29">
      <w:pPr>
        <w:pStyle w:val="ConsPlusNormal"/>
        <w:ind w:firstLine="540"/>
        <w:jc w:val="both"/>
      </w:pPr>
      <w:r>
        <w:t>3.1. Итоги распределения субсидий по методике их расчета устанавливаются приказом Министерства образования и науки Республики Саха (Якутия) до 1 ноября текущего года и являются основанием для формирования приложения к закону Республики Саха (Якутия) о государственном бюджете Республики Саха (Якутия).</w:t>
      </w:r>
    </w:p>
    <w:p w14:paraId="2219FDF7" w14:textId="77777777" w:rsidR="00454A29" w:rsidRDefault="00454A29">
      <w:pPr>
        <w:pStyle w:val="ConsPlusNormal"/>
        <w:spacing w:before="220"/>
        <w:ind w:firstLine="540"/>
        <w:jc w:val="both"/>
      </w:pPr>
      <w:r>
        <w:t>Распределение субсидий между муниципальными районами и городскими округами Республики Саха (Якутия) утверждается законом Республики Саха (Якутия) о государственном бюджете Республики Саха (Якутия).</w:t>
      </w:r>
    </w:p>
    <w:p w14:paraId="5A30BB2E" w14:textId="77777777" w:rsidR="00454A29" w:rsidRDefault="00454A29">
      <w:pPr>
        <w:pStyle w:val="ConsPlusNormal"/>
        <w:spacing w:before="220"/>
        <w:ind w:firstLine="540"/>
        <w:jc w:val="both"/>
      </w:pPr>
      <w:r>
        <w:t>3.2. Размер субсидии местному бюджету определяется по формуле:</w:t>
      </w:r>
    </w:p>
    <w:p w14:paraId="1A89B45F" w14:textId="77777777" w:rsidR="00454A29" w:rsidRDefault="00454A29">
      <w:pPr>
        <w:pStyle w:val="ConsPlusNormal"/>
      </w:pPr>
    </w:p>
    <w:p w14:paraId="2FD96021" w14:textId="77777777" w:rsidR="00454A29" w:rsidRDefault="00454A29">
      <w:pPr>
        <w:pStyle w:val="ConsPlusNormal"/>
        <w:jc w:val="center"/>
      </w:pPr>
      <w:r w:rsidRPr="005D7449">
        <w:rPr>
          <w:position w:val="-27"/>
        </w:rPr>
        <w:pict w14:anchorId="2B8A8210">
          <v:shape id="_x0000_i1026" style="width:164.2pt;height:38.65pt" coordsize="" o:spt="100" adj="0,,0" path="" filled="f" stroked="f">
            <v:stroke joinstyle="miter"/>
            <v:imagedata r:id="rId36" o:title="base_23801_77601_32769"/>
            <v:formulas/>
            <v:path o:connecttype="segments"/>
          </v:shape>
        </w:pict>
      </w:r>
    </w:p>
    <w:p w14:paraId="41498DA2" w14:textId="77777777" w:rsidR="00454A29" w:rsidRDefault="00454A29">
      <w:pPr>
        <w:pStyle w:val="ConsPlusNormal"/>
      </w:pPr>
    </w:p>
    <w:p w14:paraId="3DCB49CE" w14:textId="77777777" w:rsidR="00454A29" w:rsidRDefault="00454A29">
      <w:pPr>
        <w:pStyle w:val="ConsPlusNormal"/>
        <w:ind w:firstLine="540"/>
        <w:jc w:val="both"/>
      </w:pPr>
      <w:r>
        <w:t>где:</w:t>
      </w:r>
    </w:p>
    <w:p w14:paraId="3ADB4864" w14:textId="77777777" w:rsidR="00454A29" w:rsidRDefault="00454A29">
      <w:pPr>
        <w:pStyle w:val="ConsPlusNormal"/>
        <w:spacing w:before="220"/>
        <w:ind w:firstLine="540"/>
        <w:jc w:val="both"/>
      </w:pPr>
      <w:r>
        <w:t>SUM - сумма;</w:t>
      </w:r>
    </w:p>
    <w:p w14:paraId="0974F508" w14:textId="77777777" w:rsidR="00454A29" w:rsidRDefault="00454A29">
      <w:pPr>
        <w:pStyle w:val="ConsPlusNormal"/>
        <w:spacing w:before="220"/>
        <w:ind w:firstLine="540"/>
        <w:jc w:val="both"/>
      </w:pPr>
      <w:r>
        <w:t>Cimo - объем субсидий конкретному муниципальному району и городскому округу;</w:t>
      </w:r>
    </w:p>
    <w:p w14:paraId="66E8D912" w14:textId="77777777" w:rsidR="00454A29" w:rsidRDefault="00454A29">
      <w:pPr>
        <w:pStyle w:val="ConsPlusNormal"/>
        <w:spacing w:before="220"/>
        <w:ind w:firstLine="540"/>
        <w:jc w:val="both"/>
      </w:pPr>
      <w:r>
        <w:t>Como - общий объем субсидий, предусмотренный Министерству образования и науки Республики Саха (Якутия) в государственном бюджете Республики Саха (Якутия) в соответствующем финансовом году для предоставления органам местного самоуправления муниципальных районов и городских округов Республики Саха (Якутия) на организацию отдыха детей, в том числе детей, находящихся в трудной жизненной ситуации, в каникулярное время;</w:t>
      </w:r>
    </w:p>
    <w:p w14:paraId="0DDC64FA" w14:textId="77777777" w:rsidR="00454A29" w:rsidRDefault="00454A29">
      <w:pPr>
        <w:pStyle w:val="ConsPlusNormal"/>
        <w:spacing w:before="220"/>
        <w:ind w:firstLine="540"/>
        <w:jc w:val="both"/>
      </w:pPr>
      <w:r>
        <w:lastRenderedPageBreak/>
        <w:t>Дimo - количество детей в муниципальном районе и городском округе;</w:t>
      </w:r>
    </w:p>
    <w:p w14:paraId="5B1A91B3" w14:textId="77777777" w:rsidR="00454A29" w:rsidRDefault="00454A29">
      <w:pPr>
        <w:pStyle w:val="ConsPlusNormal"/>
        <w:spacing w:before="220"/>
        <w:ind w:firstLine="540"/>
        <w:jc w:val="both"/>
      </w:pPr>
      <w:r>
        <w:t>ki - коэффициент изменения объема расходов, установленный:</w:t>
      </w:r>
    </w:p>
    <w:p w14:paraId="255479CA" w14:textId="77777777" w:rsidR="00454A29" w:rsidRDefault="00454A29">
      <w:pPr>
        <w:pStyle w:val="ConsPlusNormal"/>
        <w:spacing w:before="220"/>
        <w:ind w:firstLine="540"/>
        <w:jc w:val="both"/>
      </w:pPr>
      <w:r>
        <w:t>в размере 1,08 в улусах (районах) - в Абыйском, Аллаиховском, Булунском, Верхнеколымском, Верхоянском, Жиганском, Момском, Нижнеколымском, Оймяконском, Среднеколымском, Усть-Янском, Эвено-Бытантайском;</w:t>
      </w:r>
    </w:p>
    <w:p w14:paraId="34D0F43A" w14:textId="77777777" w:rsidR="00454A29" w:rsidRDefault="00454A29">
      <w:pPr>
        <w:pStyle w:val="ConsPlusNormal"/>
        <w:spacing w:before="220"/>
        <w:ind w:firstLine="540"/>
        <w:jc w:val="both"/>
      </w:pPr>
      <w:r>
        <w:t>в размере 0,92 в улусах (районах) - в Амгинском, Горном, Кобяйском, Мегино-Кангаласском, Намском, Олекминском, Таттинском, Томпонском, Усть-Алданском, Усть-Майском, Хангаласском, Чурапчинском;</w:t>
      </w:r>
    </w:p>
    <w:p w14:paraId="4F36379A" w14:textId="77777777" w:rsidR="00454A29" w:rsidRDefault="00454A29">
      <w:pPr>
        <w:pStyle w:val="ConsPlusNormal"/>
        <w:spacing w:before="220"/>
        <w:ind w:firstLine="540"/>
        <w:jc w:val="both"/>
      </w:pPr>
      <w:r>
        <w:t>в размере 0,5 в улусах (районах) - в Анабарском, Алданском, Верхневилюйском, Вилюйском, Ленском, Мирнинском, Нерюнгринском, Нюрбинском, Оленекском, Сунтарском, городе Якутске, Жатае.</w:t>
      </w:r>
    </w:p>
    <w:p w14:paraId="6DFFE350" w14:textId="77777777" w:rsidR="00454A29" w:rsidRDefault="00454A29">
      <w:pPr>
        <w:pStyle w:val="ConsPlusNormal"/>
        <w:spacing w:before="220"/>
        <w:ind w:firstLine="540"/>
        <w:jc w:val="both"/>
      </w:pPr>
      <w:r>
        <w:t>3.3. Субсидии предоставляются в соответствии со сводной бюджетной росписью государственного бюджета Республики Саха (Якутия) в пределах лимитов бюджетных обязательств, утвержденных в установленном порядке Министерству образования и науки Республики Саха (Якутия).</w:t>
      </w:r>
    </w:p>
    <w:p w14:paraId="0CC06223" w14:textId="77777777" w:rsidR="00454A29" w:rsidRDefault="00454A29">
      <w:pPr>
        <w:pStyle w:val="ConsPlusNormal"/>
        <w:spacing w:before="220"/>
        <w:ind w:firstLine="540"/>
        <w:jc w:val="both"/>
      </w:pPr>
      <w:r>
        <w:t>3.4. Субсидии перечисляются на лицевые счета муниципальных районов (городских округов), открытые в Управлении Федерального казначейства по Республике Саха (Якутия), в соответствии с графиком перечисления субсидии, установленным соглашением.</w:t>
      </w:r>
    </w:p>
    <w:p w14:paraId="4B8185BF" w14:textId="77777777" w:rsidR="00454A29" w:rsidRDefault="00454A29">
      <w:pPr>
        <w:pStyle w:val="ConsPlusNormal"/>
        <w:spacing w:before="220"/>
        <w:ind w:firstLine="540"/>
        <w:jc w:val="both"/>
      </w:pPr>
      <w:r>
        <w:t xml:space="preserve">3.5. Органы местного самоуправления муниципальных районов и городских округов Республики Саха (Якутия) представляют в Министерство образования и науки Республики Саха (Якутия) ежеквартально не позднее 5 числа месяца, следующего за отчетным кварталом, </w:t>
      </w:r>
      <w:hyperlink w:anchor="P32620" w:history="1">
        <w:r>
          <w:rPr>
            <w:color w:val="0000FF"/>
          </w:rPr>
          <w:t>отчеты</w:t>
        </w:r>
      </w:hyperlink>
      <w:r>
        <w:t xml:space="preserve"> об использовании средств субсидии на организацию отдыха детей в каникулярное время по форме согласно приложению к настоящему Порядку.</w:t>
      </w:r>
    </w:p>
    <w:p w14:paraId="42F4D098" w14:textId="77777777" w:rsidR="00454A29" w:rsidRDefault="00454A29">
      <w:pPr>
        <w:pStyle w:val="ConsPlusNormal"/>
        <w:spacing w:before="220"/>
        <w:ind w:firstLine="540"/>
        <w:jc w:val="both"/>
      </w:pPr>
      <w:r>
        <w:t>3.6. Субсидия подлежит сокращению и возврату в доход государственного бюджета Республики Саха (Якутия) в объеме невыполненных плановых показателей результативности.</w:t>
      </w:r>
    </w:p>
    <w:p w14:paraId="44F339C0" w14:textId="77777777" w:rsidR="00454A29" w:rsidRDefault="00454A29">
      <w:pPr>
        <w:pStyle w:val="ConsPlusNormal"/>
        <w:spacing w:before="220"/>
        <w:ind w:firstLine="540"/>
        <w:jc w:val="both"/>
      </w:pPr>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14:paraId="41FB4F1F" w14:textId="77777777" w:rsidR="00454A29" w:rsidRDefault="00454A29">
      <w:pPr>
        <w:pStyle w:val="ConsPlusNormal"/>
        <w:spacing w:before="220"/>
        <w:ind w:firstLine="540"/>
        <w:jc w:val="both"/>
      </w:pPr>
      <w:r>
        <w:t>3.7.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61171FF7" w14:textId="77777777" w:rsidR="00454A29" w:rsidRDefault="00454A29">
      <w:pPr>
        <w:pStyle w:val="ConsPlusNormal"/>
        <w:spacing w:before="220"/>
        <w:ind w:firstLine="540"/>
        <w:jc w:val="both"/>
      </w:pPr>
      <w:r>
        <w:t>Порядок принятия решения о наличии (об отсутствии) потребности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14:paraId="4F32406A" w14:textId="77777777" w:rsidR="00454A29" w:rsidRDefault="00454A29">
      <w:pPr>
        <w:pStyle w:val="ConsPlusNormal"/>
        <w:spacing w:before="220"/>
        <w:ind w:firstLine="540"/>
        <w:jc w:val="both"/>
      </w:pPr>
      <w:r>
        <w:t>3.8. Субсидии в случае их использования не по целевому назначению взыскиваются в доход государственного бюджета Республики Саха (Якутия) в порядке, установленном бюджетным законодательством Российской Федерации.</w:t>
      </w:r>
    </w:p>
    <w:p w14:paraId="55DDFBBF" w14:textId="77777777" w:rsidR="00454A29" w:rsidRDefault="00454A29">
      <w:pPr>
        <w:pStyle w:val="ConsPlusNormal"/>
        <w:spacing w:before="220"/>
        <w:ind w:firstLine="540"/>
        <w:jc w:val="both"/>
      </w:pPr>
      <w:r>
        <w:t xml:space="preserve">3.9. Контроль за целевым использованием субсидий муниципальными образованиями и за </w:t>
      </w:r>
      <w:r>
        <w:lastRenderedPageBreak/>
        <w:t>соблюдением муниципальными образованиями условий предоставления субсидий осуществляется Министерством образования и науки Республики Саха (Якутия) и органами государственного финансового контроля Республики Саха (Якутия).</w:t>
      </w:r>
    </w:p>
    <w:p w14:paraId="400FB50A" w14:textId="77777777" w:rsidR="00454A29" w:rsidRDefault="00454A29">
      <w:pPr>
        <w:pStyle w:val="ConsPlusNormal"/>
        <w:spacing w:before="220"/>
        <w:ind w:firstLine="540"/>
        <w:jc w:val="both"/>
      </w:pPr>
      <w:r>
        <w:t>3.10. Ответственность за недостоверность сведений, представляемых Министерству образования и науки Республики Саха (Якутия),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главу муниципального образования.</w:t>
      </w:r>
    </w:p>
    <w:p w14:paraId="35A114A1" w14:textId="77777777" w:rsidR="00454A29" w:rsidRDefault="00454A29">
      <w:pPr>
        <w:pStyle w:val="ConsPlusNormal"/>
        <w:spacing w:before="220"/>
        <w:ind w:firstLine="540"/>
        <w:jc w:val="both"/>
      </w:pPr>
      <w:r>
        <w:t>3.11. Контроль за соблюдением условий предоставления субсидий осуществляется Министерством образования и науки Республики Саха (Якутия).</w:t>
      </w:r>
    </w:p>
    <w:p w14:paraId="7FA12FB6" w14:textId="77777777" w:rsidR="00454A29" w:rsidRDefault="00454A29">
      <w:pPr>
        <w:pStyle w:val="ConsPlusNormal"/>
      </w:pPr>
    </w:p>
    <w:p w14:paraId="65B06767" w14:textId="77777777" w:rsidR="00454A29" w:rsidRDefault="00454A29">
      <w:pPr>
        <w:pStyle w:val="ConsPlusNormal"/>
      </w:pPr>
    </w:p>
    <w:p w14:paraId="3B7BD839" w14:textId="77777777" w:rsidR="00454A29" w:rsidRDefault="00454A29">
      <w:pPr>
        <w:pStyle w:val="ConsPlusNormal"/>
      </w:pPr>
    </w:p>
    <w:p w14:paraId="1922DB93" w14:textId="77777777" w:rsidR="00454A29" w:rsidRDefault="00454A29">
      <w:pPr>
        <w:pStyle w:val="ConsPlusNormal"/>
      </w:pPr>
    </w:p>
    <w:p w14:paraId="694E5A36" w14:textId="77777777" w:rsidR="00454A29" w:rsidRDefault="00454A29">
      <w:pPr>
        <w:pStyle w:val="ConsPlusNormal"/>
      </w:pPr>
    </w:p>
    <w:p w14:paraId="7DE7B237" w14:textId="77777777" w:rsidR="00454A29" w:rsidRDefault="00454A29">
      <w:pPr>
        <w:pStyle w:val="ConsPlusNormal"/>
        <w:jc w:val="right"/>
        <w:outlineLvl w:val="2"/>
      </w:pPr>
      <w:r>
        <w:t>Приложение</w:t>
      </w:r>
    </w:p>
    <w:p w14:paraId="3CACD7B3" w14:textId="77777777" w:rsidR="00454A29" w:rsidRDefault="00454A29">
      <w:pPr>
        <w:pStyle w:val="ConsPlusNormal"/>
        <w:jc w:val="right"/>
      </w:pPr>
      <w:r>
        <w:t>к Порядку</w:t>
      </w:r>
    </w:p>
    <w:p w14:paraId="4DDBC146" w14:textId="77777777" w:rsidR="00454A29" w:rsidRDefault="00454A29">
      <w:pPr>
        <w:pStyle w:val="ConsPlusNormal"/>
        <w:jc w:val="right"/>
      </w:pPr>
      <w:r>
        <w:t>предоставления и распределения</w:t>
      </w:r>
    </w:p>
    <w:p w14:paraId="02926CB4" w14:textId="77777777" w:rsidR="00454A29" w:rsidRDefault="00454A29">
      <w:pPr>
        <w:pStyle w:val="ConsPlusNormal"/>
        <w:jc w:val="right"/>
      </w:pPr>
      <w:r>
        <w:t>органам местного самоуправления</w:t>
      </w:r>
    </w:p>
    <w:p w14:paraId="4660F9CD" w14:textId="77777777" w:rsidR="00454A29" w:rsidRDefault="00454A29">
      <w:pPr>
        <w:pStyle w:val="ConsPlusNormal"/>
        <w:jc w:val="right"/>
      </w:pPr>
      <w:r>
        <w:t>муниципальных районов</w:t>
      </w:r>
    </w:p>
    <w:p w14:paraId="115C0119" w14:textId="77777777" w:rsidR="00454A29" w:rsidRDefault="00454A29">
      <w:pPr>
        <w:pStyle w:val="ConsPlusNormal"/>
        <w:jc w:val="right"/>
      </w:pPr>
      <w:r>
        <w:t>и городских округов</w:t>
      </w:r>
    </w:p>
    <w:p w14:paraId="11A2DB79" w14:textId="77777777" w:rsidR="00454A29" w:rsidRDefault="00454A29">
      <w:pPr>
        <w:pStyle w:val="ConsPlusNormal"/>
        <w:jc w:val="right"/>
      </w:pPr>
      <w:r>
        <w:t>Республики Саха (Якутия)</w:t>
      </w:r>
    </w:p>
    <w:p w14:paraId="2FCA7E0F" w14:textId="77777777" w:rsidR="00454A29" w:rsidRDefault="00454A29">
      <w:pPr>
        <w:pStyle w:val="ConsPlusNormal"/>
        <w:jc w:val="right"/>
      </w:pPr>
      <w:r>
        <w:t>субсидии на организацию отдыха</w:t>
      </w:r>
    </w:p>
    <w:p w14:paraId="0652DBC5" w14:textId="77777777" w:rsidR="00454A29" w:rsidRDefault="00454A29">
      <w:pPr>
        <w:pStyle w:val="ConsPlusNormal"/>
        <w:jc w:val="right"/>
      </w:pPr>
      <w:r>
        <w:t>детей в каникулярное время</w:t>
      </w:r>
    </w:p>
    <w:p w14:paraId="33C5D1A2" w14:textId="77777777" w:rsidR="00454A29" w:rsidRDefault="00454A29">
      <w:pPr>
        <w:pStyle w:val="ConsPlusNormal"/>
      </w:pPr>
    </w:p>
    <w:p w14:paraId="47080F1D" w14:textId="77777777" w:rsidR="00454A29" w:rsidRDefault="00454A29">
      <w:pPr>
        <w:sectPr w:rsidR="00454A29">
          <w:pgSz w:w="11905" w:h="16838"/>
          <w:pgMar w:top="1134" w:right="850" w:bottom="1134" w:left="1701" w:header="0" w:footer="0" w:gutter="0"/>
          <w:cols w:space="72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850"/>
        <w:gridCol w:w="1304"/>
        <w:gridCol w:w="850"/>
        <w:gridCol w:w="1304"/>
        <w:gridCol w:w="850"/>
        <w:gridCol w:w="1304"/>
        <w:gridCol w:w="850"/>
        <w:gridCol w:w="1304"/>
        <w:gridCol w:w="1304"/>
        <w:gridCol w:w="850"/>
        <w:gridCol w:w="1304"/>
        <w:gridCol w:w="850"/>
        <w:gridCol w:w="1304"/>
        <w:gridCol w:w="850"/>
        <w:gridCol w:w="1304"/>
        <w:gridCol w:w="850"/>
        <w:gridCol w:w="1304"/>
        <w:gridCol w:w="1304"/>
      </w:tblGrid>
      <w:tr w:rsidR="00454A29" w14:paraId="545D30CA" w14:textId="77777777">
        <w:tc>
          <w:tcPr>
            <w:tcW w:w="21994" w:type="dxa"/>
            <w:gridSpan w:val="19"/>
            <w:tcBorders>
              <w:top w:val="nil"/>
              <w:left w:val="nil"/>
              <w:bottom w:val="nil"/>
              <w:right w:val="nil"/>
            </w:tcBorders>
          </w:tcPr>
          <w:p w14:paraId="1B38AE85" w14:textId="77777777" w:rsidR="00454A29" w:rsidRDefault="00454A29">
            <w:pPr>
              <w:pStyle w:val="ConsPlusNormal"/>
              <w:jc w:val="center"/>
            </w:pPr>
            <w:bookmarkStart w:id="11" w:name="P32620"/>
            <w:bookmarkEnd w:id="11"/>
            <w:r>
              <w:lastRenderedPageBreak/>
              <w:t>ОТЧЕТ</w:t>
            </w:r>
          </w:p>
          <w:p w14:paraId="688BD5C4" w14:textId="77777777" w:rsidR="00454A29" w:rsidRDefault="00454A29">
            <w:pPr>
              <w:pStyle w:val="ConsPlusNormal"/>
              <w:jc w:val="center"/>
            </w:pPr>
            <w:r>
              <w:t>__________________________________________________________</w:t>
            </w:r>
          </w:p>
          <w:p w14:paraId="5794BBE9" w14:textId="77777777" w:rsidR="00454A29" w:rsidRDefault="00454A29">
            <w:pPr>
              <w:pStyle w:val="ConsPlusNormal"/>
              <w:jc w:val="center"/>
            </w:pPr>
            <w:r>
              <w:t>(наименование муниципального района или городского округа)</w:t>
            </w:r>
          </w:p>
          <w:p w14:paraId="7FF9AF36" w14:textId="77777777" w:rsidR="00454A29" w:rsidRDefault="00454A29">
            <w:pPr>
              <w:pStyle w:val="ConsPlusNormal"/>
            </w:pPr>
          </w:p>
          <w:p w14:paraId="28C39518" w14:textId="77777777" w:rsidR="00454A29" w:rsidRDefault="00454A29">
            <w:pPr>
              <w:pStyle w:val="ConsPlusNormal"/>
              <w:jc w:val="center"/>
            </w:pPr>
            <w:r>
              <w:t>об использовании средств субсидии на организацию отдыха</w:t>
            </w:r>
          </w:p>
          <w:p w14:paraId="723B718A" w14:textId="77777777" w:rsidR="00454A29" w:rsidRDefault="00454A29">
            <w:pPr>
              <w:pStyle w:val="ConsPlusNormal"/>
              <w:jc w:val="center"/>
            </w:pPr>
            <w:r>
              <w:t>детей в каникулярное время за 20__ год</w:t>
            </w:r>
          </w:p>
          <w:p w14:paraId="6D7FA155" w14:textId="77777777" w:rsidR="00454A29" w:rsidRDefault="00454A29">
            <w:pPr>
              <w:pStyle w:val="ConsPlusNormal"/>
              <w:jc w:val="center"/>
            </w:pPr>
            <w:r>
              <w:t>по состоянию на "____" ________________ 20__ г.</w:t>
            </w:r>
          </w:p>
        </w:tc>
      </w:tr>
      <w:tr w:rsidR="00454A29" w14:paraId="3B7B3DCB" w14:textId="77777777">
        <w:tc>
          <w:tcPr>
            <w:tcW w:w="21994" w:type="dxa"/>
            <w:gridSpan w:val="19"/>
            <w:tcBorders>
              <w:top w:val="nil"/>
              <w:left w:val="nil"/>
              <w:right w:val="nil"/>
            </w:tcBorders>
          </w:tcPr>
          <w:p w14:paraId="1625996A" w14:textId="77777777" w:rsidR="00454A29" w:rsidRDefault="00454A29">
            <w:pPr>
              <w:pStyle w:val="ConsPlusNormal"/>
            </w:pPr>
          </w:p>
        </w:tc>
      </w:tr>
      <w:tr w:rsidR="00454A29" w14:paraId="3B610B0E" w14:textId="77777777">
        <w:tblPrEx>
          <w:tblBorders>
            <w:left w:val="single" w:sz="4" w:space="0" w:color="auto"/>
            <w:right w:val="single" w:sz="4" w:space="0" w:color="auto"/>
            <w:insideH w:val="single" w:sz="4" w:space="0" w:color="auto"/>
          </w:tblBorders>
        </w:tblPrEx>
        <w:tc>
          <w:tcPr>
            <w:tcW w:w="2154" w:type="dxa"/>
            <w:vAlign w:val="center"/>
          </w:tcPr>
          <w:p w14:paraId="01FE56C3" w14:textId="77777777" w:rsidR="00454A29" w:rsidRDefault="00454A29">
            <w:pPr>
              <w:pStyle w:val="ConsPlusNormal"/>
              <w:jc w:val="center"/>
            </w:pPr>
            <w:r>
              <w:t>Показатели</w:t>
            </w:r>
          </w:p>
        </w:tc>
        <w:tc>
          <w:tcPr>
            <w:tcW w:w="9920" w:type="dxa"/>
            <w:gridSpan w:val="9"/>
            <w:vAlign w:val="center"/>
          </w:tcPr>
          <w:p w14:paraId="15532B4B" w14:textId="77777777" w:rsidR="00454A29" w:rsidRDefault="00454A29">
            <w:pPr>
              <w:pStyle w:val="ConsPlusNormal"/>
              <w:jc w:val="center"/>
            </w:pPr>
            <w:r>
              <w:t>За счет субсидий из государственного бюджета Республики Саха (Якутия)</w:t>
            </w:r>
          </w:p>
        </w:tc>
        <w:tc>
          <w:tcPr>
            <w:tcW w:w="9920" w:type="dxa"/>
            <w:gridSpan w:val="9"/>
            <w:vAlign w:val="center"/>
          </w:tcPr>
          <w:p w14:paraId="32B0956B" w14:textId="77777777" w:rsidR="00454A29" w:rsidRDefault="00454A29">
            <w:pPr>
              <w:pStyle w:val="ConsPlusNormal"/>
              <w:jc w:val="center"/>
            </w:pPr>
            <w:r>
              <w:t>Из средств местного бюджета</w:t>
            </w:r>
          </w:p>
        </w:tc>
      </w:tr>
      <w:tr w:rsidR="00454A29" w14:paraId="7676AB87" w14:textId="77777777">
        <w:tblPrEx>
          <w:tblBorders>
            <w:left w:val="single" w:sz="4" w:space="0" w:color="auto"/>
            <w:right w:val="single" w:sz="4" w:space="0" w:color="auto"/>
            <w:insideH w:val="single" w:sz="4" w:space="0" w:color="auto"/>
          </w:tblBorders>
        </w:tblPrEx>
        <w:tc>
          <w:tcPr>
            <w:tcW w:w="2154" w:type="dxa"/>
            <w:vAlign w:val="center"/>
          </w:tcPr>
          <w:p w14:paraId="14F1E21E" w14:textId="77777777" w:rsidR="00454A29" w:rsidRDefault="00454A29">
            <w:pPr>
              <w:pStyle w:val="ConsPlusNormal"/>
            </w:pPr>
          </w:p>
        </w:tc>
        <w:tc>
          <w:tcPr>
            <w:tcW w:w="2154" w:type="dxa"/>
            <w:gridSpan w:val="2"/>
            <w:vAlign w:val="center"/>
          </w:tcPr>
          <w:p w14:paraId="1E7C5E0F" w14:textId="77777777" w:rsidR="00454A29" w:rsidRDefault="00454A29">
            <w:pPr>
              <w:pStyle w:val="ConsPlusNormal"/>
              <w:jc w:val="center"/>
            </w:pPr>
            <w:r>
              <w:t>План охвата</w:t>
            </w:r>
          </w:p>
        </w:tc>
        <w:tc>
          <w:tcPr>
            <w:tcW w:w="2154" w:type="dxa"/>
            <w:gridSpan w:val="2"/>
            <w:vAlign w:val="center"/>
          </w:tcPr>
          <w:p w14:paraId="24313207" w14:textId="77777777" w:rsidR="00454A29" w:rsidRDefault="00454A29">
            <w:pPr>
              <w:pStyle w:val="ConsPlusNormal"/>
              <w:jc w:val="center"/>
            </w:pPr>
            <w:r>
              <w:t>План финансирования (в тыс. руб.)</w:t>
            </w:r>
          </w:p>
        </w:tc>
        <w:tc>
          <w:tcPr>
            <w:tcW w:w="2154" w:type="dxa"/>
            <w:gridSpan w:val="2"/>
            <w:vAlign w:val="center"/>
          </w:tcPr>
          <w:p w14:paraId="0E590273" w14:textId="77777777" w:rsidR="00454A29" w:rsidRDefault="00454A29">
            <w:pPr>
              <w:pStyle w:val="ConsPlusNormal"/>
              <w:jc w:val="center"/>
            </w:pPr>
            <w:r>
              <w:t>Фактический охват</w:t>
            </w:r>
          </w:p>
        </w:tc>
        <w:tc>
          <w:tcPr>
            <w:tcW w:w="2154" w:type="dxa"/>
            <w:gridSpan w:val="2"/>
            <w:vAlign w:val="center"/>
          </w:tcPr>
          <w:p w14:paraId="07BFA955" w14:textId="77777777" w:rsidR="00454A29" w:rsidRDefault="00454A29">
            <w:pPr>
              <w:pStyle w:val="ConsPlusNormal"/>
              <w:jc w:val="center"/>
            </w:pPr>
            <w:r>
              <w:t>Фактическое расходование (в тыс. руб.)</w:t>
            </w:r>
          </w:p>
        </w:tc>
        <w:tc>
          <w:tcPr>
            <w:tcW w:w="1304" w:type="dxa"/>
            <w:vMerge w:val="restart"/>
            <w:vAlign w:val="center"/>
          </w:tcPr>
          <w:p w14:paraId="5ECFD427" w14:textId="77777777" w:rsidR="00454A29" w:rsidRDefault="00454A29">
            <w:pPr>
              <w:pStyle w:val="ConsPlusNormal"/>
              <w:jc w:val="center"/>
            </w:pPr>
            <w:r>
              <w:t>Остаток на отчетный период (в тыс. руб.)</w:t>
            </w:r>
          </w:p>
        </w:tc>
        <w:tc>
          <w:tcPr>
            <w:tcW w:w="2154" w:type="dxa"/>
            <w:gridSpan w:val="2"/>
            <w:vAlign w:val="center"/>
          </w:tcPr>
          <w:p w14:paraId="660AD7CC" w14:textId="77777777" w:rsidR="00454A29" w:rsidRDefault="00454A29">
            <w:pPr>
              <w:pStyle w:val="ConsPlusNormal"/>
              <w:jc w:val="center"/>
            </w:pPr>
            <w:r>
              <w:t>План охвата</w:t>
            </w:r>
          </w:p>
        </w:tc>
        <w:tc>
          <w:tcPr>
            <w:tcW w:w="2154" w:type="dxa"/>
            <w:gridSpan w:val="2"/>
            <w:vAlign w:val="center"/>
          </w:tcPr>
          <w:p w14:paraId="4905A212" w14:textId="77777777" w:rsidR="00454A29" w:rsidRDefault="00454A29">
            <w:pPr>
              <w:pStyle w:val="ConsPlusNormal"/>
              <w:jc w:val="center"/>
            </w:pPr>
            <w:r>
              <w:t>План финансирования (в тыс. руб.)</w:t>
            </w:r>
          </w:p>
        </w:tc>
        <w:tc>
          <w:tcPr>
            <w:tcW w:w="2154" w:type="dxa"/>
            <w:gridSpan w:val="2"/>
            <w:vAlign w:val="center"/>
          </w:tcPr>
          <w:p w14:paraId="78277B21" w14:textId="77777777" w:rsidR="00454A29" w:rsidRDefault="00454A29">
            <w:pPr>
              <w:pStyle w:val="ConsPlusNormal"/>
              <w:jc w:val="center"/>
            </w:pPr>
            <w:r>
              <w:t>Фактический охват</w:t>
            </w:r>
          </w:p>
        </w:tc>
        <w:tc>
          <w:tcPr>
            <w:tcW w:w="2154" w:type="dxa"/>
            <w:gridSpan w:val="2"/>
            <w:vAlign w:val="center"/>
          </w:tcPr>
          <w:p w14:paraId="1DABA517" w14:textId="77777777" w:rsidR="00454A29" w:rsidRDefault="00454A29">
            <w:pPr>
              <w:pStyle w:val="ConsPlusNormal"/>
              <w:jc w:val="center"/>
            </w:pPr>
            <w:r>
              <w:t>Фактическое расходование (в тыс. руб.)</w:t>
            </w:r>
          </w:p>
        </w:tc>
        <w:tc>
          <w:tcPr>
            <w:tcW w:w="1304" w:type="dxa"/>
            <w:vMerge w:val="restart"/>
            <w:vAlign w:val="center"/>
          </w:tcPr>
          <w:p w14:paraId="5CE91FD2" w14:textId="77777777" w:rsidR="00454A29" w:rsidRDefault="00454A29">
            <w:pPr>
              <w:pStyle w:val="ConsPlusNormal"/>
              <w:jc w:val="center"/>
            </w:pPr>
            <w:r>
              <w:t>Остаток на отчетный период (в тыс. руб.)</w:t>
            </w:r>
          </w:p>
        </w:tc>
      </w:tr>
      <w:tr w:rsidR="00454A29" w14:paraId="2D9CFD9A" w14:textId="77777777">
        <w:tblPrEx>
          <w:tblBorders>
            <w:left w:val="single" w:sz="4" w:space="0" w:color="auto"/>
            <w:right w:val="single" w:sz="4" w:space="0" w:color="auto"/>
            <w:insideH w:val="single" w:sz="4" w:space="0" w:color="auto"/>
          </w:tblBorders>
        </w:tblPrEx>
        <w:tc>
          <w:tcPr>
            <w:tcW w:w="2154" w:type="dxa"/>
            <w:vAlign w:val="center"/>
          </w:tcPr>
          <w:p w14:paraId="419F5DFE" w14:textId="77777777" w:rsidR="00454A29" w:rsidRDefault="00454A29">
            <w:pPr>
              <w:pStyle w:val="ConsPlusNormal"/>
            </w:pPr>
          </w:p>
        </w:tc>
        <w:tc>
          <w:tcPr>
            <w:tcW w:w="850" w:type="dxa"/>
            <w:vAlign w:val="center"/>
          </w:tcPr>
          <w:p w14:paraId="19E5AE2B" w14:textId="77777777" w:rsidR="00454A29" w:rsidRDefault="00454A29">
            <w:pPr>
              <w:pStyle w:val="ConsPlusNormal"/>
              <w:jc w:val="center"/>
            </w:pPr>
            <w:r>
              <w:t>Всего детей</w:t>
            </w:r>
          </w:p>
        </w:tc>
        <w:tc>
          <w:tcPr>
            <w:tcW w:w="1304" w:type="dxa"/>
            <w:vAlign w:val="center"/>
          </w:tcPr>
          <w:p w14:paraId="1B5779BF" w14:textId="77777777" w:rsidR="00454A29" w:rsidRDefault="00454A29">
            <w:pPr>
              <w:pStyle w:val="ConsPlusNormal"/>
              <w:jc w:val="center"/>
            </w:pPr>
            <w:r>
              <w:t>из них дети, находящиеся в трудной жизненной ситуации</w:t>
            </w:r>
          </w:p>
        </w:tc>
        <w:tc>
          <w:tcPr>
            <w:tcW w:w="850" w:type="dxa"/>
            <w:vAlign w:val="center"/>
          </w:tcPr>
          <w:p w14:paraId="05E64ADD" w14:textId="77777777" w:rsidR="00454A29" w:rsidRDefault="00454A29">
            <w:pPr>
              <w:pStyle w:val="ConsPlusNormal"/>
              <w:jc w:val="center"/>
            </w:pPr>
            <w:r>
              <w:t>Всего</w:t>
            </w:r>
          </w:p>
        </w:tc>
        <w:tc>
          <w:tcPr>
            <w:tcW w:w="1304" w:type="dxa"/>
            <w:vAlign w:val="center"/>
          </w:tcPr>
          <w:p w14:paraId="6ED2B5C8" w14:textId="77777777" w:rsidR="00454A29" w:rsidRDefault="00454A29">
            <w:pPr>
              <w:pStyle w:val="ConsPlusNormal"/>
              <w:jc w:val="center"/>
            </w:pPr>
            <w:r>
              <w:t>из них дети, находящиеся в трудной жизненной ситуации</w:t>
            </w:r>
          </w:p>
        </w:tc>
        <w:tc>
          <w:tcPr>
            <w:tcW w:w="850" w:type="dxa"/>
            <w:vAlign w:val="center"/>
          </w:tcPr>
          <w:p w14:paraId="2494AE06" w14:textId="77777777" w:rsidR="00454A29" w:rsidRDefault="00454A29">
            <w:pPr>
              <w:pStyle w:val="ConsPlusNormal"/>
              <w:jc w:val="center"/>
            </w:pPr>
            <w:r>
              <w:t>детей</w:t>
            </w:r>
          </w:p>
        </w:tc>
        <w:tc>
          <w:tcPr>
            <w:tcW w:w="1304" w:type="dxa"/>
            <w:vAlign w:val="center"/>
          </w:tcPr>
          <w:p w14:paraId="76E4D319" w14:textId="77777777" w:rsidR="00454A29" w:rsidRDefault="00454A29">
            <w:pPr>
              <w:pStyle w:val="ConsPlusNormal"/>
              <w:jc w:val="center"/>
            </w:pPr>
            <w:r>
              <w:t>из них дети, находящиеся в трудной жизненной ситуации</w:t>
            </w:r>
          </w:p>
        </w:tc>
        <w:tc>
          <w:tcPr>
            <w:tcW w:w="850" w:type="dxa"/>
            <w:vAlign w:val="center"/>
          </w:tcPr>
          <w:p w14:paraId="43836BC1" w14:textId="77777777" w:rsidR="00454A29" w:rsidRDefault="00454A29">
            <w:pPr>
              <w:pStyle w:val="ConsPlusNormal"/>
              <w:jc w:val="center"/>
            </w:pPr>
            <w:r>
              <w:t>Всего</w:t>
            </w:r>
          </w:p>
        </w:tc>
        <w:tc>
          <w:tcPr>
            <w:tcW w:w="1304" w:type="dxa"/>
            <w:vAlign w:val="center"/>
          </w:tcPr>
          <w:p w14:paraId="23C9A6C1" w14:textId="77777777" w:rsidR="00454A29" w:rsidRDefault="00454A29">
            <w:pPr>
              <w:pStyle w:val="ConsPlusNormal"/>
              <w:jc w:val="center"/>
            </w:pPr>
            <w:r>
              <w:t>из них дети, находящиеся в трудной жизненной ситуации</w:t>
            </w:r>
          </w:p>
        </w:tc>
        <w:tc>
          <w:tcPr>
            <w:tcW w:w="1304" w:type="dxa"/>
            <w:vMerge/>
          </w:tcPr>
          <w:p w14:paraId="0A0EF336" w14:textId="77777777" w:rsidR="00454A29" w:rsidRDefault="00454A29"/>
        </w:tc>
        <w:tc>
          <w:tcPr>
            <w:tcW w:w="850" w:type="dxa"/>
            <w:vAlign w:val="center"/>
          </w:tcPr>
          <w:p w14:paraId="7A9521D3" w14:textId="77777777" w:rsidR="00454A29" w:rsidRDefault="00454A29">
            <w:pPr>
              <w:pStyle w:val="ConsPlusNormal"/>
              <w:jc w:val="center"/>
            </w:pPr>
            <w:r>
              <w:t>Всего детей</w:t>
            </w:r>
          </w:p>
        </w:tc>
        <w:tc>
          <w:tcPr>
            <w:tcW w:w="1304" w:type="dxa"/>
            <w:vAlign w:val="center"/>
          </w:tcPr>
          <w:p w14:paraId="463F993B" w14:textId="77777777" w:rsidR="00454A29" w:rsidRDefault="00454A29">
            <w:pPr>
              <w:pStyle w:val="ConsPlusNormal"/>
              <w:jc w:val="center"/>
            </w:pPr>
            <w:r>
              <w:t>из них дети, находящиеся в трудной жизненной ситуации</w:t>
            </w:r>
          </w:p>
        </w:tc>
        <w:tc>
          <w:tcPr>
            <w:tcW w:w="850" w:type="dxa"/>
            <w:vAlign w:val="center"/>
          </w:tcPr>
          <w:p w14:paraId="10E656C3" w14:textId="77777777" w:rsidR="00454A29" w:rsidRDefault="00454A29">
            <w:pPr>
              <w:pStyle w:val="ConsPlusNormal"/>
              <w:jc w:val="center"/>
            </w:pPr>
            <w:r>
              <w:t>Всего</w:t>
            </w:r>
          </w:p>
        </w:tc>
        <w:tc>
          <w:tcPr>
            <w:tcW w:w="1304" w:type="dxa"/>
            <w:vAlign w:val="center"/>
          </w:tcPr>
          <w:p w14:paraId="6F9B20A6" w14:textId="77777777" w:rsidR="00454A29" w:rsidRDefault="00454A29">
            <w:pPr>
              <w:pStyle w:val="ConsPlusNormal"/>
              <w:jc w:val="center"/>
            </w:pPr>
            <w:r>
              <w:t>из них дети, находящиеся в трудной жизненной ситуации</w:t>
            </w:r>
          </w:p>
        </w:tc>
        <w:tc>
          <w:tcPr>
            <w:tcW w:w="850" w:type="dxa"/>
            <w:vAlign w:val="center"/>
          </w:tcPr>
          <w:p w14:paraId="2D4067C8" w14:textId="77777777" w:rsidR="00454A29" w:rsidRDefault="00454A29">
            <w:pPr>
              <w:pStyle w:val="ConsPlusNormal"/>
              <w:jc w:val="center"/>
            </w:pPr>
            <w:r>
              <w:t>детей</w:t>
            </w:r>
          </w:p>
        </w:tc>
        <w:tc>
          <w:tcPr>
            <w:tcW w:w="1304" w:type="dxa"/>
            <w:vAlign w:val="center"/>
          </w:tcPr>
          <w:p w14:paraId="1ADA37A7" w14:textId="77777777" w:rsidR="00454A29" w:rsidRDefault="00454A29">
            <w:pPr>
              <w:pStyle w:val="ConsPlusNormal"/>
              <w:jc w:val="center"/>
            </w:pPr>
            <w:r>
              <w:t>из них дети, находящиеся в трудной жизненной ситуации</w:t>
            </w:r>
          </w:p>
        </w:tc>
        <w:tc>
          <w:tcPr>
            <w:tcW w:w="850" w:type="dxa"/>
            <w:vAlign w:val="center"/>
          </w:tcPr>
          <w:p w14:paraId="4095CCE5" w14:textId="77777777" w:rsidR="00454A29" w:rsidRDefault="00454A29">
            <w:pPr>
              <w:pStyle w:val="ConsPlusNormal"/>
              <w:jc w:val="center"/>
            </w:pPr>
            <w:r>
              <w:t>Всего</w:t>
            </w:r>
          </w:p>
        </w:tc>
        <w:tc>
          <w:tcPr>
            <w:tcW w:w="1304" w:type="dxa"/>
            <w:vAlign w:val="center"/>
          </w:tcPr>
          <w:p w14:paraId="4DE2551E" w14:textId="77777777" w:rsidR="00454A29" w:rsidRDefault="00454A29">
            <w:pPr>
              <w:pStyle w:val="ConsPlusNormal"/>
              <w:jc w:val="center"/>
            </w:pPr>
            <w:r>
              <w:t>из них дети, находящиеся в трудной жизненной ситуации</w:t>
            </w:r>
          </w:p>
        </w:tc>
        <w:tc>
          <w:tcPr>
            <w:tcW w:w="1304" w:type="dxa"/>
            <w:vMerge/>
          </w:tcPr>
          <w:p w14:paraId="7EE83743" w14:textId="77777777" w:rsidR="00454A29" w:rsidRDefault="00454A29"/>
        </w:tc>
      </w:tr>
      <w:tr w:rsidR="00454A29" w14:paraId="620A1274" w14:textId="77777777">
        <w:tblPrEx>
          <w:tblBorders>
            <w:left w:val="single" w:sz="4" w:space="0" w:color="auto"/>
            <w:right w:val="single" w:sz="4" w:space="0" w:color="auto"/>
            <w:insideH w:val="single" w:sz="4" w:space="0" w:color="auto"/>
          </w:tblBorders>
        </w:tblPrEx>
        <w:tc>
          <w:tcPr>
            <w:tcW w:w="2154" w:type="dxa"/>
            <w:vAlign w:val="center"/>
          </w:tcPr>
          <w:p w14:paraId="7AB9C4F3" w14:textId="77777777" w:rsidR="00454A29" w:rsidRDefault="00454A29">
            <w:pPr>
              <w:pStyle w:val="ConsPlusNormal"/>
              <w:jc w:val="center"/>
            </w:pPr>
            <w:r>
              <w:t>гр. 1</w:t>
            </w:r>
          </w:p>
        </w:tc>
        <w:tc>
          <w:tcPr>
            <w:tcW w:w="850" w:type="dxa"/>
            <w:vAlign w:val="center"/>
          </w:tcPr>
          <w:p w14:paraId="43C58D79" w14:textId="77777777" w:rsidR="00454A29" w:rsidRDefault="00454A29">
            <w:pPr>
              <w:pStyle w:val="ConsPlusNormal"/>
              <w:jc w:val="center"/>
            </w:pPr>
            <w:r>
              <w:t>гр. 2</w:t>
            </w:r>
          </w:p>
        </w:tc>
        <w:tc>
          <w:tcPr>
            <w:tcW w:w="1304" w:type="dxa"/>
            <w:vAlign w:val="center"/>
          </w:tcPr>
          <w:p w14:paraId="0CD123B7" w14:textId="77777777" w:rsidR="00454A29" w:rsidRDefault="00454A29">
            <w:pPr>
              <w:pStyle w:val="ConsPlusNormal"/>
              <w:jc w:val="center"/>
            </w:pPr>
            <w:r>
              <w:t>гр. 3</w:t>
            </w:r>
          </w:p>
        </w:tc>
        <w:tc>
          <w:tcPr>
            <w:tcW w:w="850" w:type="dxa"/>
            <w:vAlign w:val="center"/>
          </w:tcPr>
          <w:p w14:paraId="4E53E544" w14:textId="77777777" w:rsidR="00454A29" w:rsidRDefault="00454A29">
            <w:pPr>
              <w:pStyle w:val="ConsPlusNormal"/>
              <w:jc w:val="center"/>
            </w:pPr>
            <w:r>
              <w:t>гр. 4</w:t>
            </w:r>
          </w:p>
        </w:tc>
        <w:tc>
          <w:tcPr>
            <w:tcW w:w="1304" w:type="dxa"/>
            <w:vAlign w:val="center"/>
          </w:tcPr>
          <w:p w14:paraId="038F4DFB" w14:textId="77777777" w:rsidR="00454A29" w:rsidRDefault="00454A29">
            <w:pPr>
              <w:pStyle w:val="ConsPlusNormal"/>
              <w:jc w:val="center"/>
            </w:pPr>
            <w:r>
              <w:t>гр. 5</w:t>
            </w:r>
          </w:p>
        </w:tc>
        <w:tc>
          <w:tcPr>
            <w:tcW w:w="850" w:type="dxa"/>
            <w:vAlign w:val="center"/>
          </w:tcPr>
          <w:p w14:paraId="2BAF355B" w14:textId="77777777" w:rsidR="00454A29" w:rsidRDefault="00454A29">
            <w:pPr>
              <w:pStyle w:val="ConsPlusNormal"/>
              <w:jc w:val="center"/>
            </w:pPr>
            <w:r>
              <w:t>гр. 6</w:t>
            </w:r>
          </w:p>
        </w:tc>
        <w:tc>
          <w:tcPr>
            <w:tcW w:w="1304" w:type="dxa"/>
            <w:vAlign w:val="center"/>
          </w:tcPr>
          <w:p w14:paraId="7B9EAD1C" w14:textId="77777777" w:rsidR="00454A29" w:rsidRDefault="00454A29">
            <w:pPr>
              <w:pStyle w:val="ConsPlusNormal"/>
              <w:jc w:val="center"/>
            </w:pPr>
            <w:r>
              <w:t>гр. 7</w:t>
            </w:r>
          </w:p>
        </w:tc>
        <w:tc>
          <w:tcPr>
            <w:tcW w:w="850" w:type="dxa"/>
            <w:vAlign w:val="center"/>
          </w:tcPr>
          <w:p w14:paraId="11640F33" w14:textId="77777777" w:rsidR="00454A29" w:rsidRDefault="00454A29">
            <w:pPr>
              <w:pStyle w:val="ConsPlusNormal"/>
              <w:jc w:val="center"/>
            </w:pPr>
            <w:r>
              <w:t>гр. 8</w:t>
            </w:r>
          </w:p>
        </w:tc>
        <w:tc>
          <w:tcPr>
            <w:tcW w:w="1304" w:type="dxa"/>
            <w:vAlign w:val="center"/>
          </w:tcPr>
          <w:p w14:paraId="46A7CD1A" w14:textId="77777777" w:rsidR="00454A29" w:rsidRDefault="00454A29">
            <w:pPr>
              <w:pStyle w:val="ConsPlusNormal"/>
              <w:jc w:val="center"/>
            </w:pPr>
            <w:r>
              <w:t>гр. 9</w:t>
            </w:r>
          </w:p>
        </w:tc>
        <w:tc>
          <w:tcPr>
            <w:tcW w:w="1304" w:type="dxa"/>
            <w:vAlign w:val="center"/>
          </w:tcPr>
          <w:p w14:paraId="2E74336A" w14:textId="77777777" w:rsidR="00454A29" w:rsidRDefault="00454A29">
            <w:pPr>
              <w:pStyle w:val="ConsPlusNormal"/>
              <w:jc w:val="center"/>
            </w:pPr>
            <w:r>
              <w:t>гр. 10</w:t>
            </w:r>
          </w:p>
        </w:tc>
        <w:tc>
          <w:tcPr>
            <w:tcW w:w="850" w:type="dxa"/>
            <w:vAlign w:val="center"/>
          </w:tcPr>
          <w:p w14:paraId="3AE54299" w14:textId="77777777" w:rsidR="00454A29" w:rsidRDefault="00454A29">
            <w:pPr>
              <w:pStyle w:val="ConsPlusNormal"/>
              <w:jc w:val="center"/>
            </w:pPr>
            <w:r>
              <w:t>гр. 11</w:t>
            </w:r>
          </w:p>
        </w:tc>
        <w:tc>
          <w:tcPr>
            <w:tcW w:w="1304" w:type="dxa"/>
            <w:vAlign w:val="center"/>
          </w:tcPr>
          <w:p w14:paraId="0838C04D" w14:textId="77777777" w:rsidR="00454A29" w:rsidRDefault="00454A29">
            <w:pPr>
              <w:pStyle w:val="ConsPlusNormal"/>
              <w:jc w:val="center"/>
            </w:pPr>
            <w:r>
              <w:t>гр. 12</w:t>
            </w:r>
          </w:p>
        </w:tc>
        <w:tc>
          <w:tcPr>
            <w:tcW w:w="850" w:type="dxa"/>
            <w:vAlign w:val="center"/>
          </w:tcPr>
          <w:p w14:paraId="0435FFDA" w14:textId="77777777" w:rsidR="00454A29" w:rsidRDefault="00454A29">
            <w:pPr>
              <w:pStyle w:val="ConsPlusNormal"/>
              <w:jc w:val="center"/>
            </w:pPr>
            <w:r>
              <w:t>гр. 13</w:t>
            </w:r>
          </w:p>
        </w:tc>
        <w:tc>
          <w:tcPr>
            <w:tcW w:w="1304" w:type="dxa"/>
            <w:vAlign w:val="center"/>
          </w:tcPr>
          <w:p w14:paraId="26A4F250" w14:textId="77777777" w:rsidR="00454A29" w:rsidRDefault="00454A29">
            <w:pPr>
              <w:pStyle w:val="ConsPlusNormal"/>
              <w:jc w:val="center"/>
            </w:pPr>
            <w:r>
              <w:t>гр. 14</w:t>
            </w:r>
          </w:p>
        </w:tc>
        <w:tc>
          <w:tcPr>
            <w:tcW w:w="850" w:type="dxa"/>
            <w:vAlign w:val="center"/>
          </w:tcPr>
          <w:p w14:paraId="20F0AFAC" w14:textId="77777777" w:rsidR="00454A29" w:rsidRDefault="00454A29">
            <w:pPr>
              <w:pStyle w:val="ConsPlusNormal"/>
              <w:jc w:val="center"/>
            </w:pPr>
            <w:r>
              <w:t>гр. 15</w:t>
            </w:r>
          </w:p>
        </w:tc>
        <w:tc>
          <w:tcPr>
            <w:tcW w:w="1304" w:type="dxa"/>
            <w:vAlign w:val="center"/>
          </w:tcPr>
          <w:p w14:paraId="4C900D56" w14:textId="77777777" w:rsidR="00454A29" w:rsidRDefault="00454A29">
            <w:pPr>
              <w:pStyle w:val="ConsPlusNormal"/>
              <w:jc w:val="center"/>
            </w:pPr>
            <w:r>
              <w:t>гр. 16</w:t>
            </w:r>
          </w:p>
        </w:tc>
        <w:tc>
          <w:tcPr>
            <w:tcW w:w="850" w:type="dxa"/>
            <w:vAlign w:val="center"/>
          </w:tcPr>
          <w:p w14:paraId="4D5C6A64" w14:textId="77777777" w:rsidR="00454A29" w:rsidRDefault="00454A29">
            <w:pPr>
              <w:pStyle w:val="ConsPlusNormal"/>
              <w:jc w:val="center"/>
            </w:pPr>
            <w:r>
              <w:t>гр. 17</w:t>
            </w:r>
          </w:p>
        </w:tc>
        <w:tc>
          <w:tcPr>
            <w:tcW w:w="1304" w:type="dxa"/>
            <w:vAlign w:val="center"/>
          </w:tcPr>
          <w:p w14:paraId="6D6A6979" w14:textId="77777777" w:rsidR="00454A29" w:rsidRDefault="00454A29">
            <w:pPr>
              <w:pStyle w:val="ConsPlusNormal"/>
              <w:jc w:val="center"/>
            </w:pPr>
            <w:r>
              <w:t>гр. 18</w:t>
            </w:r>
          </w:p>
        </w:tc>
        <w:tc>
          <w:tcPr>
            <w:tcW w:w="1304" w:type="dxa"/>
            <w:vAlign w:val="center"/>
          </w:tcPr>
          <w:p w14:paraId="265D3D6C" w14:textId="77777777" w:rsidR="00454A29" w:rsidRDefault="00454A29">
            <w:pPr>
              <w:pStyle w:val="ConsPlusNormal"/>
              <w:jc w:val="center"/>
            </w:pPr>
            <w:r>
              <w:t>гр. 19</w:t>
            </w:r>
          </w:p>
        </w:tc>
      </w:tr>
      <w:tr w:rsidR="00454A29" w14:paraId="2E07CAB9" w14:textId="77777777">
        <w:tblPrEx>
          <w:tblBorders>
            <w:left w:val="single" w:sz="4" w:space="0" w:color="auto"/>
            <w:right w:val="single" w:sz="4" w:space="0" w:color="auto"/>
            <w:insideH w:val="single" w:sz="4" w:space="0" w:color="auto"/>
          </w:tblBorders>
        </w:tblPrEx>
        <w:tc>
          <w:tcPr>
            <w:tcW w:w="2154" w:type="dxa"/>
          </w:tcPr>
          <w:p w14:paraId="3772CB27" w14:textId="77777777" w:rsidR="00454A29" w:rsidRDefault="00454A29">
            <w:pPr>
              <w:pStyle w:val="ConsPlusNormal"/>
            </w:pPr>
            <w:r>
              <w:t>ИТОГО:</w:t>
            </w:r>
          </w:p>
        </w:tc>
        <w:tc>
          <w:tcPr>
            <w:tcW w:w="850" w:type="dxa"/>
          </w:tcPr>
          <w:p w14:paraId="49E856EF" w14:textId="77777777" w:rsidR="00454A29" w:rsidRDefault="00454A29">
            <w:pPr>
              <w:pStyle w:val="ConsPlusNormal"/>
            </w:pPr>
          </w:p>
        </w:tc>
        <w:tc>
          <w:tcPr>
            <w:tcW w:w="1304" w:type="dxa"/>
          </w:tcPr>
          <w:p w14:paraId="715BD867" w14:textId="77777777" w:rsidR="00454A29" w:rsidRDefault="00454A29">
            <w:pPr>
              <w:pStyle w:val="ConsPlusNormal"/>
            </w:pPr>
          </w:p>
        </w:tc>
        <w:tc>
          <w:tcPr>
            <w:tcW w:w="850" w:type="dxa"/>
          </w:tcPr>
          <w:p w14:paraId="6B89CF7E" w14:textId="77777777" w:rsidR="00454A29" w:rsidRDefault="00454A29">
            <w:pPr>
              <w:pStyle w:val="ConsPlusNormal"/>
            </w:pPr>
          </w:p>
        </w:tc>
        <w:tc>
          <w:tcPr>
            <w:tcW w:w="1304" w:type="dxa"/>
          </w:tcPr>
          <w:p w14:paraId="20E9FA27" w14:textId="77777777" w:rsidR="00454A29" w:rsidRDefault="00454A29">
            <w:pPr>
              <w:pStyle w:val="ConsPlusNormal"/>
            </w:pPr>
          </w:p>
        </w:tc>
        <w:tc>
          <w:tcPr>
            <w:tcW w:w="850" w:type="dxa"/>
          </w:tcPr>
          <w:p w14:paraId="4B2E7ADE" w14:textId="77777777" w:rsidR="00454A29" w:rsidRDefault="00454A29">
            <w:pPr>
              <w:pStyle w:val="ConsPlusNormal"/>
            </w:pPr>
          </w:p>
        </w:tc>
        <w:tc>
          <w:tcPr>
            <w:tcW w:w="1304" w:type="dxa"/>
          </w:tcPr>
          <w:p w14:paraId="512C622D" w14:textId="77777777" w:rsidR="00454A29" w:rsidRDefault="00454A29">
            <w:pPr>
              <w:pStyle w:val="ConsPlusNormal"/>
            </w:pPr>
          </w:p>
        </w:tc>
        <w:tc>
          <w:tcPr>
            <w:tcW w:w="850" w:type="dxa"/>
          </w:tcPr>
          <w:p w14:paraId="2EBF35C9" w14:textId="77777777" w:rsidR="00454A29" w:rsidRDefault="00454A29">
            <w:pPr>
              <w:pStyle w:val="ConsPlusNormal"/>
            </w:pPr>
          </w:p>
        </w:tc>
        <w:tc>
          <w:tcPr>
            <w:tcW w:w="1304" w:type="dxa"/>
          </w:tcPr>
          <w:p w14:paraId="787F26E6" w14:textId="77777777" w:rsidR="00454A29" w:rsidRDefault="00454A29">
            <w:pPr>
              <w:pStyle w:val="ConsPlusNormal"/>
            </w:pPr>
          </w:p>
        </w:tc>
        <w:tc>
          <w:tcPr>
            <w:tcW w:w="1304" w:type="dxa"/>
          </w:tcPr>
          <w:p w14:paraId="41043F50" w14:textId="77777777" w:rsidR="00454A29" w:rsidRDefault="00454A29">
            <w:pPr>
              <w:pStyle w:val="ConsPlusNormal"/>
            </w:pPr>
          </w:p>
        </w:tc>
        <w:tc>
          <w:tcPr>
            <w:tcW w:w="850" w:type="dxa"/>
          </w:tcPr>
          <w:p w14:paraId="5AFDC058" w14:textId="77777777" w:rsidR="00454A29" w:rsidRDefault="00454A29">
            <w:pPr>
              <w:pStyle w:val="ConsPlusNormal"/>
            </w:pPr>
          </w:p>
        </w:tc>
        <w:tc>
          <w:tcPr>
            <w:tcW w:w="1304" w:type="dxa"/>
          </w:tcPr>
          <w:p w14:paraId="53C8D978" w14:textId="77777777" w:rsidR="00454A29" w:rsidRDefault="00454A29">
            <w:pPr>
              <w:pStyle w:val="ConsPlusNormal"/>
            </w:pPr>
          </w:p>
        </w:tc>
        <w:tc>
          <w:tcPr>
            <w:tcW w:w="850" w:type="dxa"/>
          </w:tcPr>
          <w:p w14:paraId="5B4BA0D7" w14:textId="77777777" w:rsidR="00454A29" w:rsidRDefault="00454A29">
            <w:pPr>
              <w:pStyle w:val="ConsPlusNormal"/>
            </w:pPr>
          </w:p>
        </w:tc>
        <w:tc>
          <w:tcPr>
            <w:tcW w:w="1304" w:type="dxa"/>
          </w:tcPr>
          <w:p w14:paraId="7F66468C" w14:textId="77777777" w:rsidR="00454A29" w:rsidRDefault="00454A29">
            <w:pPr>
              <w:pStyle w:val="ConsPlusNormal"/>
            </w:pPr>
          </w:p>
        </w:tc>
        <w:tc>
          <w:tcPr>
            <w:tcW w:w="850" w:type="dxa"/>
          </w:tcPr>
          <w:p w14:paraId="11AD5F06" w14:textId="77777777" w:rsidR="00454A29" w:rsidRDefault="00454A29">
            <w:pPr>
              <w:pStyle w:val="ConsPlusNormal"/>
            </w:pPr>
          </w:p>
        </w:tc>
        <w:tc>
          <w:tcPr>
            <w:tcW w:w="1304" w:type="dxa"/>
          </w:tcPr>
          <w:p w14:paraId="43232DE4" w14:textId="77777777" w:rsidR="00454A29" w:rsidRDefault="00454A29">
            <w:pPr>
              <w:pStyle w:val="ConsPlusNormal"/>
            </w:pPr>
          </w:p>
        </w:tc>
        <w:tc>
          <w:tcPr>
            <w:tcW w:w="850" w:type="dxa"/>
          </w:tcPr>
          <w:p w14:paraId="37A44CF5" w14:textId="77777777" w:rsidR="00454A29" w:rsidRDefault="00454A29">
            <w:pPr>
              <w:pStyle w:val="ConsPlusNormal"/>
            </w:pPr>
          </w:p>
        </w:tc>
        <w:tc>
          <w:tcPr>
            <w:tcW w:w="1304" w:type="dxa"/>
          </w:tcPr>
          <w:p w14:paraId="352937A2" w14:textId="77777777" w:rsidR="00454A29" w:rsidRDefault="00454A29">
            <w:pPr>
              <w:pStyle w:val="ConsPlusNormal"/>
            </w:pPr>
          </w:p>
        </w:tc>
        <w:tc>
          <w:tcPr>
            <w:tcW w:w="1304" w:type="dxa"/>
          </w:tcPr>
          <w:p w14:paraId="09481985" w14:textId="77777777" w:rsidR="00454A29" w:rsidRDefault="00454A29">
            <w:pPr>
              <w:pStyle w:val="ConsPlusNormal"/>
            </w:pPr>
          </w:p>
        </w:tc>
      </w:tr>
      <w:tr w:rsidR="00454A29" w14:paraId="710F7569" w14:textId="77777777">
        <w:tblPrEx>
          <w:tblBorders>
            <w:left w:val="single" w:sz="4" w:space="0" w:color="auto"/>
            <w:right w:val="single" w:sz="4" w:space="0" w:color="auto"/>
            <w:insideH w:val="single" w:sz="4" w:space="0" w:color="auto"/>
          </w:tblBorders>
        </w:tblPrEx>
        <w:tc>
          <w:tcPr>
            <w:tcW w:w="2154" w:type="dxa"/>
          </w:tcPr>
          <w:p w14:paraId="7BF8F904" w14:textId="77777777" w:rsidR="00454A29" w:rsidRDefault="00454A29">
            <w:pPr>
              <w:pStyle w:val="ConsPlusNormal"/>
            </w:pPr>
            <w:r>
              <w:t>Загородные стационарные оздоровительные лагеря</w:t>
            </w:r>
          </w:p>
        </w:tc>
        <w:tc>
          <w:tcPr>
            <w:tcW w:w="850" w:type="dxa"/>
          </w:tcPr>
          <w:p w14:paraId="1975F82E" w14:textId="77777777" w:rsidR="00454A29" w:rsidRDefault="00454A29">
            <w:pPr>
              <w:pStyle w:val="ConsPlusNormal"/>
            </w:pPr>
          </w:p>
        </w:tc>
        <w:tc>
          <w:tcPr>
            <w:tcW w:w="1304" w:type="dxa"/>
          </w:tcPr>
          <w:p w14:paraId="5DBEBB93" w14:textId="77777777" w:rsidR="00454A29" w:rsidRDefault="00454A29">
            <w:pPr>
              <w:pStyle w:val="ConsPlusNormal"/>
            </w:pPr>
          </w:p>
        </w:tc>
        <w:tc>
          <w:tcPr>
            <w:tcW w:w="850" w:type="dxa"/>
          </w:tcPr>
          <w:p w14:paraId="792EDF73" w14:textId="77777777" w:rsidR="00454A29" w:rsidRDefault="00454A29">
            <w:pPr>
              <w:pStyle w:val="ConsPlusNormal"/>
            </w:pPr>
          </w:p>
        </w:tc>
        <w:tc>
          <w:tcPr>
            <w:tcW w:w="1304" w:type="dxa"/>
          </w:tcPr>
          <w:p w14:paraId="163F31F2" w14:textId="77777777" w:rsidR="00454A29" w:rsidRDefault="00454A29">
            <w:pPr>
              <w:pStyle w:val="ConsPlusNormal"/>
            </w:pPr>
          </w:p>
        </w:tc>
        <w:tc>
          <w:tcPr>
            <w:tcW w:w="850" w:type="dxa"/>
          </w:tcPr>
          <w:p w14:paraId="116BCB70" w14:textId="77777777" w:rsidR="00454A29" w:rsidRDefault="00454A29">
            <w:pPr>
              <w:pStyle w:val="ConsPlusNormal"/>
            </w:pPr>
          </w:p>
        </w:tc>
        <w:tc>
          <w:tcPr>
            <w:tcW w:w="1304" w:type="dxa"/>
          </w:tcPr>
          <w:p w14:paraId="6F6835D7" w14:textId="77777777" w:rsidR="00454A29" w:rsidRDefault="00454A29">
            <w:pPr>
              <w:pStyle w:val="ConsPlusNormal"/>
            </w:pPr>
          </w:p>
        </w:tc>
        <w:tc>
          <w:tcPr>
            <w:tcW w:w="850" w:type="dxa"/>
          </w:tcPr>
          <w:p w14:paraId="0BE6751E" w14:textId="77777777" w:rsidR="00454A29" w:rsidRDefault="00454A29">
            <w:pPr>
              <w:pStyle w:val="ConsPlusNormal"/>
            </w:pPr>
          </w:p>
        </w:tc>
        <w:tc>
          <w:tcPr>
            <w:tcW w:w="1304" w:type="dxa"/>
          </w:tcPr>
          <w:p w14:paraId="2327A4B1" w14:textId="77777777" w:rsidR="00454A29" w:rsidRDefault="00454A29">
            <w:pPr>
              <w:pStyle w:val="ConsPlusNormal"/>
            </w:pPr>
          </w:p>
        </w:tc>
        <w:tc>
          <w:tcPr>
            <w:tcW w:w="1304" w:type="dxa"/>
          </w:tcPr>
          <w:p w14:paraId="42E5D4E5" w14:textId="77777777" w:rsidR="00454A29" w:rsidRDefault="00454A29">
            <w:pPr>
              <w:pStyle w:val="ConsPlusNormal"/>
            </w:pPr>
          </w:p>
        </w:tc>
        <w:tc>
          <w:tcPr>
            <w:tcW w:w="850" w:type="dxa"/>
          </w:tcPr>
          <w:p w14:paraId="062530AF" w14:textId="77777777" w:rsidR="00454A29" w:rsidRDefault="00454A29">
            <w:pPr>
              <w:pStyle w:val="ConsPlusNormal"/>
            </w:pPr>
          </w:p>
        </w:tc>
        <w:tc>
          <w:tcPr>
            <w:tcW w:w="1304" w:type="dxa"/>
          </w:tcPr>
          <w:p w14:paraId="5BC954BB" w14:textId="77777777" w:rsidR="00454A29" w:rsidRDefault="00454A29">
            <w:pPr>
              <w:pStyle w:val="ConsPlusNormal"/>
            </w:pPr>
          </w:p>
        </w:tc>
        <w:tc>
          <w:tcPr>
            <w:tcW w:w="850" w:type="dxa"/>
          </w:tcPr>
          <w:p w14:paraId="55C47BC0" w14:textId="77777777" w:rsidR="00454A29" w:rsidRDefault="00454A29">
            <w:pPr>
              <w:pStyle w:val="ConsPlusNormal"/>
            </w:pPr>
          </w:p>
        </w:tc>
        <w:tc>
          <w:tcPr>
            <w:tcW w:w="1304" w:type="dxa"/>
          </w:tcPr>
          <w:p w14:paraId="6DCC4B37" w14:textId="77777777" w:rsidR="00454A29" w:rsidRDefault="00454A29">
            <w:pPr>
              <w:pStyle w:val="ConsPlusNormal"/>
            </w:pPr>
          </w:p>
        </w:tc>
        <w:tc>
          <w:tcPr>
            <w:tcW w:w="850" w:type="dxa"/>
          </w:tcPr>
          <w:p w14:paraId="516E6E59" w14:textId="77777777" w:rsidR="00454A29" w:rsidRDefault="00454A29">
            <w:pPr>
              <w:pStyle w:val="ConsPlusNormal"/>
            </w:pPr>
          </w:p>
        </w:tc>
        <w:tc>
          <w:tcPr>
            <w:tcW w:w="1304" w:type="dxa"/>
          </w:tcPr>
          <w:p w14:paraId="148C1F6E" w14:textId="77777777" w:rsidR="00454A29" w:rsidRDefault="00454A29">
            <w:pPr>
              <w:pStyle w:val="ConsPlusNormal"/>
            </w:pPr>
          </w:p>
        </w:tc>
        <w:tc>
          <w:tcPr>
            <w:tcW w:w="850" w:type="dxa"/>
          </w:tcPr>
          <w:p w14:paraId="5E9E834B" w14:textId="77777777" w:rsidR="00454A29" w:rsidRDefault="00454A29">
            <w:pPr>
              <w:pStyle w:val="ConsPlusNormal"/>
            </w:pPr>
          </w:p>
        </w:tc>
        <w:tc>
          <w:tcPr>
            <w:tcW w:w="1304" w:type="dxa"/>
          </w:tcPr>
          <w:p w14:paraId="021FC744" w14:textId="77777777" w:rsidR="00454A29" w:rsidRDefault="00454A29">
            <w:pPr>
              <w:pStyle w:val="ConsPlusNormal"/>
            </w:pPr>
          </w:p>
        </w:tc>
        <w:tc>
          <w:tcPr>
            <w:tcW w:w="1304" w:type="dxa"/>
          </w:tcPr>
          <w:p w14:paraId="182C2837" w14:textId="77777777" w:rsidR="00454A29" w:rsidRDefault="00454A29">
            <w:pPr>
              <w:pStyle w:val="ConsPlusNormal"/>
            </w:pPr>
          </w:p>
        </w:tc>
      </w:tr>
      <w:tr w:rsidR="00454A29" w14:paraId="1166822D" w14:textId="77777777">
        <w:tblPrEx>
          <w:tblBorders>
            <w:left w:val="single" w:sz="4" w:space="0" w:color="auto"/>
            <w:right w:val="single" w:sz="4" w:space="0" w:color="auto"/>
            <w:insideH w:val="single" w:sz="4" w:space="0" w:color="auto"/>
          </w:tblBorders>
        </w:tblPrEx>
        <w:tc>
          <w:tcPr>
            <w:tcW w:w="2154" w:type="dxa"/>
          </w:tcPr>
          <w:p w14:paraId="79182D29" w14:textId="77777777" w:rsidR="00454A29" w:rsidRDefault="00454A29">
            <w:pPr>
              <w:pStyle w:val="ConsPlusNormal"/>
            </w:pPr>
            <w:r>
              <w:t>Лагерь N 1</w:t>
            </w:r>
          </w:p>
        </w:tc>
        <w:tc>
          <w:tcPr>
            <w:tcW w:w="850" w:type="dxa"/>
          </w:tcPr>
          <w:p w14:paraId="2F896D04" w14:textId="77777777" w:rsidR="00454A29" w:rsidRDefault="00454A29">
            <w:pPr>
              <w:pStyle w:val="ConsPlusNormal"/>
            </w:pPr>
          </w:p>
        </w:tc>
        <w:tc>
          <w:tcPr>
            <w:tcW w:w="1304" w:type="dxa"/>
          </w:tcPr>
          <w:p w14:paraId="4627F451" w14:textId="77777777" w:rsidR="00454A29" w:rsidRDefault="00454A29">
            <w:pPr>
              <w:pStyle w:val="ConsPlusNormal"/>
            </w:pPr>
          </w:p>
        </w:tc>
        <w:tc>
          <w:tcPr>
            <w:tcW w:w="850" w:type="dxa"/>
          </w:tcPr>
          <w:p w14:paraId="05D4944E" w14:textId="77777777" w:rsidR="00454A29" w:rsidRDefault="00454A29">
            <w:pPr>
              <w:pStyle w:val="ConsPlusNormal"/>
            </w:pPr>
          </w:p>
        </w:tc>
        <w:tc>
          <w:tcPr>
            <w:tcW w:w="1304" w:type="dxa"/>
          </w:tcPr>
          <w:p w14:paraId="474A35C0" w14:textId="77777777" w:rsidR="00454A29" w:rsidRDefault="00454A29">
            <w:pPr>
              <w:pStyle w:val="ConsPlusNormal"/>
            </w:pPr>
          </w:p>
        </w:tc>
        <w:tc>
          <w:tcPr>
            <w:tcW w:w="850" w:type="dxa"/>
          </w:tcPr>
          <w:p w14:paraId="04FCD02F" w14:textId="77777777" w:rsidR="00454A29" w:rsidRDefault="00454A29">
            <w:pPr>
              <w:pStyle w:val="ConsPlusNormal"/>
            </w:pPr>
          </w:p>
        </w:tc>
        <w:tc>
          <w:tcPr>
            <w:tcW w:w="1304" w:type="dxa"/>
          </w:tcPr>
          <w:p w14:paraId="71CB4ED9" w14:textId="77777777" w:rsidR="00454A29" w:rsidRDefault="00454A29">
            <w:pPr>
              <w:pStyle w:val="ConsPlusNormal"/>
            </w:pPr>
          </w:p>
        </w:tc>
        <w:tc>
          <w:tcPr>
            <w:tcW w:w="850" w:type="dxa"/>
          </w:tcPr>
          <w:p w14:paraId="1F9CC861" w14:textId="77777777" w:rsidR="00454A29" w:rsidRDefault="00454A29">
            <w:pPr>
              <w:pStyle w:val="ConsPlusNormal"/>
            </w:pPr>
          </w:p>
        </w:tc>
        <w:tc>
          <w:tcPr>
            <w:tcW w:w="1304" w:type="dxa"/>
          </w:tcPr>
          <w:p w14:paraId="5CBFFA4B" w14:textId="77777777" w:rsidR="00454A29" w:rsidRDefault="00454A29">
            <w:pPr>
              <w:pStyle w:val="ConsPlusNormal"/>
            </w:pPr>
          </w:p>
        </w:tc>
        <w:tc>
          <w:tcPr>
            <w:tcW w:w="1304" w:type="dxa"/>
          </w:tcPr>
          <w:p w14:paraId="4BF1ECE8" w14:textId="77777777" w:rsidR="00454A29" w:rsidRDefault="00454A29">
            <w:pPr>
              <w:pStyle w:val="ConsPlusNormal"/>
            </w:pPr>
          </w:p>
        </w:tc>
        <w:tc>
          <w:tcPr>
            <w:tcW w:w="850" w:type="dxa"/>
          </w:tcPr>
          <w:p w14:paraId="1B1A5C12" w14:textId="77777777" w:rsidR="00454A29" w:rsidRDefault="00454A29">
            <w:pPr>
              <w:pStyle w:val="ConsPlusNormal"/>
            </w:pPr>
          </w:p>
        </w:tc>
        <w:tc>
          <w:tcPr>
            <w:tcW w:w="1304" w:type="dxa"/>
          </w:tcPr>
          <w:p w14:paraId="5D4AE592" w14:textId="77777777" w:rsidR="00454A29" w:rsidRDefault="00454A29">
            <w:pPr>
              <w:pStyle w:val="ConsPlusNormal"/>
            </w:pPr>
          </w:p>
        </w:tc>
        <w:tc>
          <w:tcPr>
            <w:tcW w:w="850" w:type="dxa"/>
          </w:tcPr>
          <w:p w14:paraId="1D55F360" w14:textId="77777777" w:rsidR="00454A29" w:rsidRDefault="00454A29">
            <w:pPr>
              <w:pStyle w:val="ConsPlusNormal"/>
            </w:pPr>
          </w:p>
        </w:tc>
        <w:tc>
          <w:tcPr>
            <w:tcW w:w="1304" w:type="dxa"/>
          </w:tcPr>
          <w:p w14:paraId="05665B7B" w14:textId="77777777" w:rsidR="00454A29" w:rsidRDefault="00454A29">
            <w:pPr>
              <w:pStyle w:val="ConsPlusNormal"/>
            </w:pPr>
          </w:p>
        </w:tc>
        <w:tc>
          <w:tcPr>
            <w:tcW w:w="850" w:type="dxa"/>
          </w:tcPr>
          <w:p w14:paraId="42D03A9A" w14:textId="77777777" w:rsidR="00454A29" w:rsidRDefault="00454A29">
            <w:pPr>
              <w:pStyle w:val="ConsPlusNormal"/>
            </w:pPr>
          </w:p>
        </w:tc>
        <w:tc>
          <w:tcPr>
            <w:tcW w:w="1304" w:type="dxa"/>
          </w:tcPr>
          <w:p w14:paraId="4964F345" w14:textId="77777777" w:rsidR="00454A29" w:rsidRDefault="00454A29">
            <w:pPr>
              <w:pStyle w:val="ConsPlusNormal"/>
            </w:pPr>
          </w:p>
        </w:tc>
        <w:tc>
          <w:tcPr>
            <w:tcW w:w="850" w:type="dxa"/>
          </w:tcPr>
          <w:p w14:paraId="40D5894A" w14:textId="77777777" w:rsidR="00454A29" w:rsidRDefault="00454A29">
            <w:pPr>
              <w:pStyle w:val="ConsPlusNormal"/>
            </w:pPr>
          </w:p>
        </w:tc>
        <w:tc>
          <w:tcPr>
            <w:tcW w:w="1304" w:type="dxa"/>
          </w:tcPr>
          <w:p w14:paraId="5B00B2F3" w14:textId="77777777" w:rsidR="00454A29" w:rsidRDefault="00454A29">
            <w:pPr>
              <w:pStyle w:val="ConsPlusNormal"/>
            </w:pPr>
          </w:p>
        </w:tc>
        <w:tc>
          <w:tcPr>
            <w:tcW w:w="1304" w:type="dxa"/>
          </w:tcPr>
          <w:p w14:paraId="44DDF0AA" w14:textId="77777777" w:rsidR="00454A29" w:rsidRDefault="00454A29">
            <w:pPr>
              <w:pStyle w:val="ConsPlusNormal"/>
            </w:pPr>
          </w:p>
        </w:tc>
      </w:tr>
      <w:tr w:rsidR="00454A29" w14:paraId="5858265E" w14:textId="77777777">
        <w:tblPrEx>
          <w:tblBorders>
            <w:left w:val="single" w:sz="4" w:space="0" w:color="auto"/>
            <w:right w:val="single" w:sz="4" w:space="0" w:color="auto"/>
            <w:insideH w:val="single" w:sz="4" w:space="0" w:color="auto"/>
          </w:tblBorders>
        </w:tblPrEx>
        <w:tc>
          <w:tcPr>
            <w:tcW w:w="2154" w:type="dxa"/>
          </w:tcPr>
          <w:p w14:paraId="249CB8B7" w14:textId="77777777" w:rsidR="00454A29" w:rsidRDefault="00454A29">
            <w:pPr>
              <w:pStyle w:val="ConsPlusNormal"/>
            </w:pPr>
            <w:r>
              <w:t>Лагерь N 2</w:t>
            </w:r>
          </w:p>
        </w:tc>
        <w:tc>
          <w:tcPr>
            <w:tcW w:w="850" w:type="dxa"/>
          </w:tcPr>
          <w:p w14:paraId="2B66F915" w14:textId="77777777" w:rsidR="00454A29" w:rsidRDefault="00454A29">
            <w:pPr>
              <w:pStyle w:val="ConsPlusNormal"/>
            </w:pPr>
          </w:p>
        </w:tc>
        <w:tc>
          <w:tcPr>
            <w:tcW w:w="1304" w:type="dxa"/>
          </w:tcPr>
          <w:p w14:paraId="286E61BD" w14:textId="77777777" w:rsidR="00454A29" w:rsidRDefault="00454A29">
            <w:pPr>
              <w:pStyle w:val="ConsPlusNormal"/>
            </w:pPr>
          </w:p>
        </w:tc>
        <w:tc>
          <w:tcPr>
            <w:tcW w:w="850" w:type="dxa"/>
          </w:tcPr>
          <w:p w14:paraId="2DA85199" w14:textId="77777777" w:rsidR="00454A29" w:rsidRDefault="00454A29">
            <w:pPr>
              <w:pStyle w:val="ConsPlusNormal"/>
            </w:pPr>
          </w:p>
        </w:tc>
        <w:tc>
          <w:tcPr>
            <w:tcW w:w="1304" w:type="dxa"/>
          </w:tcPr>
          <w:p w14:paraId="2D4F2E6E" w14:textId="77777777" w:rsidR="00454A29" w:rsidRDefault="00454A29">
            <w:pPr>
              <w:pStyle w:val="ConsPlusNormal"/>
            </w:pPr>
          </w:p>
        </w:tc>
        <w:tc>
          <w:tcPr>
            <w:tcW w:w="850" w:type="dxa"/>
          </w:tcPr>
          <w:p w14:paraId="51B4EF40" w14:textId="77777777" w:rsidR="00454A29" w:rsidRDefault="00454A29">
            <w:pPr>
              <w:pStyle w:val="ConsPlusNormal"/>
            </w:pPr>
          </w:p>
        </w:tc>
        <w:tc>
          <w:tcPr>
            <w:tcW w:w="1304" w:type="dxa"/>
          </w:tcPr>
          <w:p w14:paraId="254B5A6B" w14:textId="77777777" w:rsidR="00454A29" w:rsidRDefault="00454A29">
            <w:pPr>
              <w:pStyle w:val="ConsPlusNormal"/>
            </w:pPr>
          </w:p>
        </w:tc>
        <w:tc>
          <w:tcPr>
            <w:tcW w:w="850" w:type="dxa"/>
          </w:tcPr>
          <w:p w14:paraId="56D8917D" w14:textId="77777777" w:rsidR="00454A29" w:rsidRDefault="00454A29">
            <w:pPr>
              <w:pStyle w:val="ConsPlusNormal"/>
            </w:pPr>
          </w:p>
        </w:tc>
        <w:tc>
          <w:tcPr>
            <w:tcW w:w="1304" w:type="dxa"/>
          </w:tcPr>
          <w:p w14:paraId="4D524159" w14:textId="77777777" w:rsidR="00454A29" w:rsidRDefault="00454A29">
            <w:pPr>
              <w:pStyle w:val="ConsPlusNormal"/>
            </w:pPr>
          </w:p>
        </w:tc>
        <w:tc>
          <w:tcPr>
            <w:tcW w:w="1304" w:type="dxa"/>
          </w:tcPr>
          <w:p w14:paraId="67A1E479" w14:textId="77777777" w:rsidR="00454A29" w:rsidRDefault="00454A29">
            <w:pPr>
              <w:pStyle w:val="ConsPlusNormal"/>
            </w:pPr>
          </w:p>
        </w:tc>
        <w:tc>
          <w:tcPr>
            <w:tcW w:w="850" w:type="dxa"/>
          </w:tcPr>
          <w:p w14:paraId="48C6DA70" w14:textId="77777777" w:rsidR="00454A29" w:rsidRDefault="00454A29">
            <w:pPr>
              <w:pStyle w:val="ConsPlusNormal"/>
            </w:pPr>
          </w:p>
        </w:tc>
        <w:tc>
          <w:tcPr>
            <w:tcW w:w="1304" w:type="dxa"/>
          </w:tcPr>
          <w:p w14:paraId="0FB6C46C" w14:textId="77777777" w:rsidR="00454A29" w:rsidRDefault="00454A29">
            <w:pPr>
              <w:pStyle w:val="ConsPlusNormal"/>
            </w:pPr>
          </w:p>
        </w:tc>
        <w:tc>
          <w:tcPr>
            <w:tcW w:w="850" w:type="dxa"/>
          </w:tcPr>
          <w:p w14:paraId="719A0C84" w14:textId="77777777" w:rsidR="00454A29" w:rsidRDefault="00454A29">
            <w:pPr>
              <w:pStyle w:val="ConsPlusNormal"/>
            </w:pPr>
          </w:p>
        </w:tc>
        <w:tc>
          <w:tcPr>
            <w:tcW w:w="1304" w:type="dxa"/>
          </w:tcPr>
          <w:p w14:paraId="3DDF2761" w14:textId="77777777" w:rsidR="00454A29" w:rsidRDefault="00454A29">
            <w:pPr>
              <w:pStyle w:val="ConsPlusNormal"/>
            </w:pPr>
          </w:p>
        </w:tc>
        <w:tc>
          <w:tcPr>
            <w:tcW w:w="850" w:type="dxa"/>
          </w:tcPr>
          <w:p w14:paraId="34F67ECB" w14:textId="77777777" w:rsidR="00454A29" w:rsidRDefault="00454A29">
            <w:pPr>
              <w:pStyle w:val="ConsPlusNormal"/>
            </w:pPr>
          </w:p>
        </w:tc>
        <w:tc>
          <w:tcPr>
            <w:tcW w:w="1304" w:type="dxa"/>
          </w:tcPr>
          <w:p w14:paraId="6F6B0151" w14:textId="77777777" w:rsidR="00454A29" w:rsidRDefault="00454A29">
            <w:pPr>
              <w:pStyle w:val="ConsPlusNormal"/>
            </w:pPr>
          </w:p>
        </w:tc>
        <w:tc>
          <w:tcPr>
            <w:tcW w:w="850" w:type="dxa"/>
          </w:tcPr>
          <w:p w14:paraId="771E7CE1" w14:textId="77777777" w:rsidR="00454A29" w:rsidRDefault="00454A29">
            <w:pPr>
              <w:pStyle w:val="ConsPlusNormal"/>
            </w:pPr>
          </w:p>
        </w:tc>
        <w:tc>
          <w:tcPr>
            <w:tcW w:w="1304" w:type="dxa"/>
          </w:tcPr>
          <w:p w14:paraId="67A9B8B3" w14:textId="77777777" w:rsidR="00454A29" w:rsidRDefault="00454A29">
            <w:pPr>
              <w:pStyle w:val="ConsPlusNormal"/>
            </w:pPr>
          </w:p>
        </w:tc>
        <w:tc>
          <w:tcPr>
            <w:tcW w:w="1304" w:type="dxa"/>
          </w:tcPr>
          <w:p w14:paraId="751F99B2" w14:textId="77777777" w:rsidR="00454A29" w:rsidRDefault="00454A29">
            <w:pPr>
              <w:pStyle w:val="ConsPlusNormal"/>
            </w:pPr>
          </w:p>
        </w:tc>
      </w:tr>
      <w:tr w:rsidR="00454A29" w14:paraId="42FDE7EC" w14:textId="77777777">
        <w:tblPrEx>
          <w:tblBorders>
            <w:left w:val="single" w:sz="4" w:space="0" w:color="auto"/>
            <w:right w:val="single" w:sz="4" w:space="0" w:color="auto"/>
            <w:insideH w:val="single" w:sz="4" w:space="0" w:color="auto"/>
          </w:tblBorders>
        </w:tblPrEx>
        <w:tc>
          <w:tcPr>
            <w:tcW w:w="2154" w:type="dxa"/>
          </w:tcPr>
          <w:p w14:paraId="48C4C2C8" w14:textId="77777777" w:rsidR="00454A29" w:rsidRDefault="00454A29">
            <w:pPr>
              <w:pStyle w:val="ConsPlusNormal"/>
            </w:pPr>
            <w:r>
              <w:t>Лагерь N 3</w:t>
            </w:r>
          </w:p>
        </w:tc>
        <w:tc>
          <w:tcPr>
            <w:tcW w:w="850" w:type="dxa"/>
          </w:tcPr>
          <w:p w14:paraId="3F715C4E" w14:textId="77777777" w:rsidR="00454A29" w:rsidRDefault="00454A29">
            <w:pPr>
              <w:pStyle w:val="ConsPlusNormal"/>
            </w:pPr>
          </w:p>
        </w:tc>
        <w:tc>
          <w:tcPr>
            <w:tcW w:w="1304" w:type="dxa"/>
          </w:tcPr>
          <w:p w14:paraId="7AEEFA84" w14:textId="77777777" w:rsidR="00454A29" w:rsidRDefault="00454A29">
            <w:pPr>
              <w:pStyle w:val="ConsPlusNormal"/>
            </w:pPr>
          </w:p>
        </w:tc>
        <w:tc>
          <w:tcPr>
            <w:tcW w:w="850" w:type="dxa"/>
          </w:tcPr>
          <w:p w14:paraId="3D0DA685" w14:textId="77777777" w:rsidR="00454A29" w:rsidRDefault="00454A29">
            <w:pPr>
              <w:pStyle w:val="ConsPlusNormal"/>
            </w:pPr>
          </w:p>
        </w:tc>
        <w:tc>
          <w:tcPr>
            <w:tcW w:w="1304" w:type="dxa"/>
          </w:tcPr>
          <w:p w14:paraId="4FBA0CDD" w14:textId="77777777" w:rsidR="00454A29" w:rsidRDefault="00454A29">
            <w:pPr>
              <w:pStyle w:val="ConsPlusNormal"/>
            </w:pPr>
          </w:p>
        </w:tc>
        <w:tc>
          <w:tcPr>
            <w:tcW w:w="850" w:type="dxa"/>
          </w:tcPr>
          <w:p w14:paraId="2F8C5E3E" w14:textId="77777777" w:rsidR="00454A29" w:rsidRDefault="00454A29">
            <w:pPr>
              <w:pStyle w:val="ConsPlusNormal"/>
            </w:pPr>
          </w:p>
        </w:tc>
        <w:tc>
          <w:tcPr>
            <w:tcW w:w="1304" w:type="dxa"/>
          </w:tcPr>
          <w:p w14:paraId="37082FD7" w14:textId="77777777" w:rsidR="00454A29" w:rsidRDefault="00454A29">
            <w:pPr>
              <w:pStyle w:val="ConsPlusNormal"/>
            </w:pPr>
          </w:p>
        </w:tc>
        <w:tc>
          <w:tcPr>
            <w:tcW w:w="850" w:type="dxa"/>
          </w:tcPr>
          <w:p w14:paraId="5020113D" w14:textId="77777777" w:rsidR="00454A29" w:rsidRDefault="00454A29">
            <w:pPr>
              <w:pStyle w:val="ConsPlusNormal"/>
            </w:pPr>
          </w:p>
        </w:tc>
        <w:tc>
          <w:tcPr>
            <w:tcW w:w="1304" w:type="dxa"/>
          </w:tcPr>
          <w:p w14:paraId="79422B98" w14:textId="77777777" w:rsidR="00454A29" w:rsidRDefault="00454A29">
            <w:pPr>
              <w:pStyle w:val="ConsPlusNormal"/>
            </w:pPr>
          </w:p>
        </w:tc>
        <w:tc>
          <w:tcPr>
            <w:tcW w:w="1304" w:type="dxa"/>
          </w:tcPr>
          <w:p w14:paraId="7A8F6FA2" w14:textId="77777777" w:rsidR="00454A29" w:rsidRDefault="00454A29">
            <w:pPr>
              <w:pStyle w:val="ConsPlusNormal"/>
            </w:pPr>
          </w:p>
        </w:tc>
        <w:tc>
          <w:tcPr>
            <w:tcW w:w="850" w:type="dxa"/>
          </w:tcPr>
          <w:p w14:paraId="6BBA9F26" w14:textId="77777777" w:rsidR="00454A29" w:rsidRDefault="00454A29">
            <w:pPr>
              <w:pStyle w:val="ConsPlusNormal"/>
            </w:pPr>
          </w:p>
        </w:tc>
        <w:tc>
          <w:tcPr>
            <w:tcW w:w="1304" w:type="dxa"/>
          </w:tcPr>
          <w:p w14:paraId="71785409" w14:textId="77777777" w:rsidR="00454A29" w:rsidRDefault="00454A29">
            <w:pPr>
              <w:pStyle w:val="ConsPlusNormal"/>
            </w:pPr>
          </w:p>
        </w:tc>
        <w:tc>
          <w:tcPr>
            <w:tcW w:w="850" w:type="dxa"/>
          </w:tcPr>
          <w:p w14:paraId="303CD861" w14:textId="77777777" w:rsidR="00454A29" w:rsidRDefault="00454A29">
            <w:pPr>
              <w:pStyle w:val="ConsPlusNormal"/>
            </w:pPr>
          </w:p>
        </w:tc>
        <w:tc>
          <w:tcPr>
            <w:tcW w:w="1304" w:type="dxa"/>
          </w:tcPr>
          <w:p w14:paraId="2945C580" w14:textId="77777777" w:rsidR="00454A29" w:rsidRDefault="00454A29">
            <w:pPr>
              <w:pStyle w:val="ConsPlusNormal"/>
            </w:pPr>
          </w:p>
        </w:tc>
        <w:tc>
          <w:tcPr>
            <w:tcW w:w="850" w:type="dxa"/>
          </w:tcPr>
          <w:p w14:paraId="74B6852E" w14:textId="77777777" w:rsidR="00454A29" w:rsidRDefault="00454A29">
            <w:pPr>
              <w:pStyle w:val="ConsPlusNormal"/>
            </w:pPr>
          </w:p>
        </w:tc>
        <w:tc>
          <w:tcPr>
            <w:tcW w:w="1304" w:type="dxa"/>
          </w:tcPr>
          <w:p w14:paraId="19203312" w14:textId="77777777" w:rsidR="00454A29" w:rsidRDefault="00454A29">
            <w:pPr>
              <w:pStyle w:val="ConsPlusNormal"/>
            </w:pPr>
          </w:p>
        </w:tc>
        <w:tc>
          <w:tcPr>
            <w:tcW w:w="850" w:type="dxa"/>
          </w:tcPr>
          <w:p w14:paraId="0353E8AC" w14:textId="77777777" w:rsidR="00454A29" w:rsidRDefault="00454A29">
            <w:pPr>
              <w:pStyle w:val="ConsPlusNormal"/>
            </w:pPr>
          </w:p>
        </w:tc>
        <w:tc>
          <w:tcPr>
            <w:tcW w:w="1304" w:type="dxa"/>
          </w:tcPr>
          <w:p w14:paraId="4511CBA0" w14:textId="77777777" w:rsidR="00454A29" w:rsidRDefault="00454A29">
            <w:pPr>
              <w:pStyle w:val="ConsPlusNormal"/>
            </w:pPr>
          </w:p>
        </w:tc>
        <w:tc>
          <w:tcPr>
            <w:tcW w:w="1304" w:type="dxa"/>
          </w:tcPr>
          <w:p w14:paraId="56BD9B5B" w14:textId="77777777" w:rsidR="00454A29" w:rsidRDefault="00454A29">
            <w:pPr>
              <w:pStyle w:val="ConsPlusNormal"/>
            </w:pPr>
          </w:p>
        </w:tc>
      </w:tr>
      <w:tr w:rsidR="00454A29" w14:paraId="6EDADB1F" w14:textId="77777777">
        <w:tblPrEx>
          <w:tblBorders>
            <w:left w:val="single" w:sz="4" w:space="0" w:color="auto"/>
            <w:right w:val="single" w:sz="4" w:space="0" w:color="auto"/>
            <w:insideH w:val="single" w:sz="4" w:space="0" w:color="auto"/>
          </w:tblBorders>
        </w:tblPrEx>
        <w:tc>
          <w:tcPr>
            <w:tcW w:w="2154" w:type="dxa"/>
          </w:tcPr>
          <w:p w14:paraId="21B717DC" w14:textId="77777777" w:rsidR="00454A29" w:rsidRDefault="00454A29">
            <w:pPr>
              <w:pStyle w:val="ConsPlusNormal"/>
            </w:pPr>
            <w:r>
              <w:lastRenderedPageBreak/>
              <w:t>Оздоровительный лагерь с дневным пребыванием</w:t>
            </w:r>
          </w:p>
        </w:tc>
        <w:tc>
          <w:tcPr>
            <w:tcW w:w="850" w:type="dxa"/>
          </w:tcPr>
          <w:p w14:paraId="081B2592" w14:textId="77777777" w:rsidR="00454A29" w:rsidRDefault="00454A29">
            <w:pPr>
              <w:pStyle w:val="ConsPlusNormal"/>
            </w:pPr>
          </w:p>
        </w:tc>
        <w:tc>
          <w:tcPr>
            <w:tcW w:w="1304" w:type="dxa"/>
          </w:tcPr>
          <w:p w14:paraId="147D12EE" w14:textId="77777777" w:rsidR="00454A29" w:rsidRDefault="00454A29">
            <w:pPr>
              <w:pStyle w:val="ConsPlusNormal"/>
            </w:pPr>
          </w:p>
        </w:tc>
        <w:tc>
          <w:tcPr>
            <w:tcW w:w="850" w:type="dxa"/>
          </w:tcPr>
          <w:p w14:paraId="1D4BF37A" w14:textId="77777777" w:rsidR="00454A29" w:rsidRDefault="00454A29">
            <w:pPr>
              <w:pStyle w:val="ConsPlusNormal"/>
            </w:pPr>
          </w:p>
        </w:tc>
        <w:tc>
          <w:tcPr>
            <w:tcW w:w="1304" w:type="dxa"/>
          </w:tcPr>
          <w:p w14:paraId="05C85FF2" w14:textId="77777777" w:rsidR="00454A29" w:rsidRDefault="00454A29">
            <w:pPr>
              <w:pStyle w:val="ConsPlusNormal"/>
            </w:pPr>
          </w:p>
        </w:tc>
        <w:tc>
          <w:tcPr>
            <w:tcW w:w="850" w:type="dxa"/>
          </w:tcPr>
          <w:p w14:paraId="73158B78" w14:textId="77777777" w:rsidR="00454A29" w:rsidRDefault="00454A29">
            <w:pPr>
              <w:pStyle w:val="ConsPlusNormal"/>
            </w:pPr>
          </w:p>
        </w:tc>
        <w:tc>
          <w:tcPr>
            <w:tcW w:w="1304" w:type="dxa"/>
          </w:tcPr>
          <w:p w14:paraId="1C948284" w14:textId="77777777" w:rsidR="00454A29" w:rsidRDefault="00454A29">
            <w:pPr>
              <w:pStyle w:val="ConsPlusNormal"/>
            </w:pPr>
          </w:p>
        </w:tc>
        <w:tc>
          <w:tcPr>
            <w:tcW w:w="850" w:type="dxa"/>
          </w:tcPr>
          <w:p w14:paraId="085FC89D" w14:textId="77777777" w:rsidR="00454A29" w:rsidRDefault="00454A29">
            <w:pPr>
              <w:pStyle w:val="ConsPlusNormal"/>
            </w:pPr>
          </w:p>
        </w:tc>
        <w:tc>
          <w:tcPr>
            <w:tcW w:w="1304" w:type="dxa"/>
          </w:tcPr>
          <w:p w14:paraId="5D9FED86" w14:textId="77777777" w:rsidR="00454A29" w:rsidRDefault="00454A29">
            <w:pPr>
              <w:pStyle w:val="ConsPlusNormal"/>
            </w:pPr>
          </w:p>
        </w:tc>
        <w:tc>
          <w:tcPr>
            <w:tcW w:w="1304" w:type="dxa"/>
          </w:tcPr>
          <w:p w14:paraId="5B681A40" w14:textId="77777777" w:rsidR="00454A29" w:rsidRDefault="00454A29">
            <w:pPr>
              <w:pStyle w:val="ConsPlusNormal"/>
            </w:pPr>
          </w:p>
        </w:tc>
        <w:tc>
          <w:tcPr>
            <w:tcW w:w="850" w:type="dxa"/>
          </w:tcPr>
          <w:p w14:paraId="43C3EAA8" w14:textId="77777777" w:rsidR="00454A29" w:rsidRDefault="00454A29">
            <w:pPr>
              <w:pStyle w:val="ConsPlusNormal"/>
            </w:pPr>
          </w:p>
        </w:tc>
        <w:tc>
          <w:tcPr>
            <w:tcW w:w="1304" w:type="dxa"/>
          </w:tcPr>
          <w:p w14:paraId="4E0E0DF7" w14:textId="77777777" w:rsidR="00454A29" w:rsidRDefault="00454A29">
            <w:pPr>
              <w:pStyle w:val="ConsPlusNormal"/>
            </w:pPr>
          </w:p>
        </w:tc>
        <w:tc>
          <w:tcPr>
            <w:tcW w:w="850" w:type="dxa"/>
          </w:tcPr>
          <w:p w14:paraId="0C3A9BE5" w14:textId="77777777" w:rsidR="00454A29" w:rsidRDefault="00454A29">
            <w:pPr>
              <w:pStyle w:val="ConsPlusNormal"/>
            </w:pPr>
          </w:p>
        </w:tc>
        <w:tc>
          <w:tcPr>
            <w:tcW w:w="1304" w:type="dxa"/>
          </w:tcPr>
          <w:p w14:paraId="3F7B4787" w14:textId="77777777" w:rsidR="00454A29" w:rsidRDefault="00454A29">
            <w:pPr>
              <w:pStyle w:val="ConsPlusNormal"/>
            </w:pPr>
          </w:p>
        </w:tc>
        <w:tc>
          <w:tcPr>
            <w:tcW w:w="850" w:type="dxa"/>
          </w:tcPr>
          <w:p w14:paraId="7773EDBE" w14:textId="77777777" w:rsidR="00454A29" w:rsidRDefault="00454A29">
            <w:pPr>
              <w:pStyle w:val="ConsPlusNormal"/>
            </w:pPr>
          </w:p>
        </w:tc>
        <w:tc>
          <w:tcPr>
            <w:tcW w:w="1304" w:type="dxa"/>
          </w:tcPr>
          <w:p w14:paraId="35747AD9" w14:textId="77777777" w:rsidR="00454A29" w:rsidRDefault="00454A29">
            <w:pPr>
              <w:pStyle w:val="ConsPlusNormal"/>
            </w:pPr>
          </w:p>
        </w:tc>
        <w:tc>
          <w:tcPr>
            <w:tcW w:w="850" w:type="dxa"/>
          </w:tcPr>
          <w:p w14:paraId="5099B52B" w14:textId="77777777" w:rsidR="00454A29" w:rsidRDefault="00454A29">
            <w:pPr>
              <w:pStyle w:val="ConsPlusNormal"/>
            </w:pPr>
          </w:p>
        </w:tc>
        <w:tc>
          <w:tcPr>
            <w:tcW w:w="1304" w:type="dxa"/>
          </w:tcPr>
          <w:p w14:paraId="33C80066" w14:textId="77777777" w:rsidR="00454A29" w:rsidRDefault="00454A29">
            <w:pPr>
              <w:pStyle w:val="ConsPlusNormal"/>
            </w:pPr>
          </w:p>
        </w:tc>
        <w:tc>
          <w:tcPr>
            <w:tcW w:w="1304" w:type="dxa"/>
          </w:tcPr>
          <w:p w14:paraId="1AC4115D" w14:textId="77777777" w:rsidR="00454A29" w:rsidRDefault="00454A29">
            <w:pPr>
              <w:pStyle w:val="ConsPlusNormal"/>
            </w:pPr>
          </w:p>
        </w:tc>
      </w:tr>
      <w:tr w:rsidR="00454A29" w14:paraId="6D9056C6" w14:textId="77777777">
        <w:tblPrEx>
          <w:tblBorders>
            <w:left w:val="single" w:sz="4" w:space="0" w:color="auto"/>
            <w:right w:val="single" w:sz="4" w:space="0" w:color="auto"/>
            <w:insideH w:val="single" w:sz="4" w:space="0" w:color="auto"/>
          </w:tblBorders>
        </w:tblPrEx>
        <w:tc>
          <w:tcPr>
            <w:tcW w:w="2154" w:type="dxa"/>
          </w:tcPr>
          <w:p w14:paraId="5D153942" w14:textId="77777777" w:rsidR="00454A29" w:rsidRDefault="00454A29">
            <w:pPr>
              <w:pStyle w:val="ConsPlusNormal"/>
            </w:pPr>
            <w:r>
              <w:t>Лагерь N 1</w:t>
            </w:r>
          </w:p>
        </w:tc>
        <w:tc>
          <w:tcPr>
            <w:tcW w:w="850" w:type="dxa"/>
          </w:tcPr>
          <w:p w14:paraId="124282B4" w14:textId="77777777" w:rsidR="00454A29" w:rsidRDefault="00454A29">
            <w:pPr>
              <w:pStyle w:val="ConsPlusNormal"/>
            </w:pPr>
          </w:p>
        </w:tc>
        <w:tc>
          <w:tcPr>
            <w:tcW w:w="1304" w:type="dxa"/>
          </w:tcPr>
          <w:p w14:paraId="1C9CF22F" w14:textId="77777777" w:rsidR="00454A29" w:rsidRDefault="00454A29">
            <w:pPr>
              <w:pStyle w:val="ConsPlusNormal"/>
            </w:pPr>
          </w:p>
        </w:tc>
        <w:tc>
          <w:tcPr>
            <w:tcW w:w="850" w:type="dxa"/>
          </w:tcPr>
          <w:p w14:paraId="4C03B0CB" w14:textId="77777777" w:rsidR="00454A29" w:rsidRDefault="00454A29">
            <w:pPr>
              <w:pStyle w:val="ConsPlusNormal"/>
            </w:pPr>
          </w:p>
        </w:tc>
        <w:tc>
          <w:tcPr>
            <w:tcW w:w="1304" w:type="dxa"/>
          </w:tcPr>
          <w:p w14:paraId="44A22CAB" w14:textId="77777777" w:rsidR="00454A29" w:rsidRDefault="00454A29">
            <w:pPr>
              <w:pStyle w:val="ConsPlusNormal"/>
            </w:pPr>
          </w:p>
        </w:tc>
        <w:tc>
          <w:tcPr>
            <w:tcW w:w="850" w:type="dxa"/>
          </w:tcPr>
          <w:p w14:paraId="1C987C8E" w14:textId="77777777" w:rsidR="00454A29" w:rsidRDefault="00454A29">
            <w:pPr>
              <w:pStyle w:val="ConsPlusNormal"/>
            </w:pPr>
          </w:p>
        </w:tc>
        <w:tc>
          <w:tcPr>
            <w:tcW w:w="1304" w:type="dxa"/>
          </w:tcPr>
          <w:p w14:paraId="20EF24A9" w14:textId="77777777" w:rsidR="00454A29" w:rsidRDefault="00454A29">
            <w:pPr>
              <w:pStyle w:val="ConsPlusNormal"/>
            </w:pPr>
          </w:p>
        </w:tc>
        <w:tc>
          <w:tcPr>
            <w:tcW w:w="850" w:type="dxa"/>
          </w:tcPr>
          <w:p w14:paraId="115E2F67" w14:textId="77777777" w:rsidR="00454A29" w:rsidRDefault="00454A29">
            <w:pPr>
              <w:pStyle w:val="ConsPlusNormal"/>
            </w:pPr>
          </w:p>
        </w:tc>
        <w:tc>
          <w:tcPr>
            <w:tcW w:w="1304" w:type="dxa"/>
          </w:tcPr>
          <w:p w14:paraId="654D4B3F" w14:textId="77777777" w:rsidR="00454A29" w:rsidRDefault="00454A29">
            <w:pPr>
              <w:pStyle w:val="ConsPlusNormal"/>
            </w:pPr>
          </w:p>
        </w:tc>
        <w:tc>
          <w:tcPr>
            <w:tcW w:w="1304" w:type="dxa"/>
          </w:tcPr>
          <w:p w14:paraId="614C9F01" w14:textId="77777777" w:rsidR="00454A29" w:rsidRDefault="00454A29">
            <w:pPr>
              <w:pStyle w:val="ConsPlusNormal"/>
            </w:pPr>
          </w:p>
        </w:tc>
        <w:tc>
          <w:tcPr>
            <w:tcW w:w="850" w:type="dxa"/>
          </w:tcPr>
          <w:p w14:paraId="537CD183" w14:textId="77777777" w:rsidR="00454A29" w:rsidRDefault="00454A29">
            <w:pPr>
              <w:pStyle w:val="ConsPlusNormal"/>
            </w:pPr>
          </w:p>
        </w:tc>
        <w:tc>
          <w:tcPr>
            <w:tcW w:w="1304" w:type="dxa"/>
          </w:tcPr>
          <w:p w14:paraId="767E7ADC" w14:textId="77777777" w:rsidR="00454A29" w:rsidRDefault="00454A29">
            <w:pPr>
              <w:pStyle w:val="ConsPlusNormal"/>
            </w:pPr>
          </w:p>
        </w:tc>
        <w:tc>
          <w:tcPr>
            <w:tcW w:w="850" w:type="dxa"/>
          </w:tcPr>
          <w:p w14:paraId="6D3C35D1" w14:textId="77777777" w:rsidR="00454A29" w:rsidRDefault="00454A29">
            <w:pPr>
              <w:pStyle w:val="ConsPlusNormal"/>
            </w:pPr>
          </w:p>
        </w:tc>
        <w:tc>
          <w:tcPr>
            <w:tcW w:w="1304" w:type="dxa"/>
          </w:tcPr>
          <w:p w14:paraId="39E98258" w14:textId="77777777" w:rsidR="00454A29" w:rsidRDefault="00454A29">
            <w:pPr>
              <w:pStyle w:val="ConsPlusNormal"/>
            </w:pPr>
          </w:p>
        </w:tc>
        <w:tc>
          <w:tcPr>
            <w:tcW w:w="850" w:type="dxa"/>
          </w:tcPr>
          <w:p w14:paraId="4E3A47B4" w14:textId="77777777" w:rsidR="00454A29" w:rsidRDefault="00454A29">
            <w:pPr>
              <w:pStyle w:val="ConsPlusNormal"/>
            </w:pPr>
          </w:p>
        </w:tc>
        <w:tc>
          <w:tcPr>
            <w:tcW w:w="1304" w:type="dxa"/>
          </w:tcPr>
          <w:p w14:paraId="2CDDA726" w14:textId="77777777" w:rsidR="00454A29" w:rsidRDefault="00454A29">
            <w:pPr>
              <w:pStyle w:val="ConsPlusNormal"/>
            </w:pPr>
          </w:p>
        </w:tc>
        <w:tc>
          <w:tcPr>
            <w:tcW w:w="850" w:type="dxa"/>
          </w:tcPr>
          <w:p w14:paraId="4E621FB7" w14:textId="77777777" w:rsidR="00454A29" w:rsidRDefault="00454A29">
            <w:pPr>
              <w:pStyle w:val="ConsPlusNormal"/>
            </w:pPr>
          </w:p>
        </w:tc>
        <w:tc>
          <w:tcPr>
            <w:tcW w:w="1304" w:type="dxa"/>
          </w:tcPr>
          <w:p w14:paraId="25679130" w14:textId="77777777" w:rsidR="00454A29" w:rsidRDefault="00454A29">
            <w:pPr>
              <w:pStyle w:val="ConsPlusNormal"/>
            </w:pPr>
          </w:p>
        </w:tc>
        <w:tc>
          <w:tcPr>
            <w:tcW w:w="1304" w:type="dxa"/>
          </w:tcPr>
          <w:p w14:paraId="1139B2E3" w14:textId="77777777" w:rsidR="00454A29" w:rsidRDefault="00454A29">
            <w:pPr>
              <w:pStyle w:val="ConsPlusNormal"/>
            </w:pPr>
          </w:p>
        </w:tc>
      </w:tr>
      <w:tr w:rsidR="00454A29" w14:paraId="06D182DB" w14:textId="77777777">
        <w:tblPrEx>
          <w:tblBorders>
            <w:left w:val="single" w:sz="4" w:space="0" w:color="auto"/>
            <w:right w:val="single" w:sz="4" w:space="0" w:color="auto"/>
            <w:insideH w:val="single" w:sz="4" w:space="0" w:color="auto"/>
          </w:tblBorders>
        </w:tblPrEx>
        <w:tc>
          <w:tcPr>
            <w:tcW w:w="2154" w:type="dxa"/>
          </w:tcPr>
          <w:p w14:paraId="555DDF7E" w14:textId="77777777" w:rsidR="00454A29" w:rsidRDefault="00454A29">
            <w:pPr>
              <w:pStyle w:val="ConsPlusNormal"/>
            </w:pPr>
            <w:r>
              <w:t>Лагерь N 2</w:t>
            </w:r>
          </w:p>
        </w:tc>
        <w:tc>
          <w:tcPr>
            <w:tcW w:w="850" w:type="dxa"/>
          </w:tcPr>
          <w:p w14:paraId="0D53BE77" w14:textId="77777777" w:rsidR="00454A29" w:rsidRDefault="00454A29">
            <w:pPr>
              <w:pStyle w:val="ConsPlusNormal"/>
            </w:pPr>
          </w:p>
        </w:tc>
        <w:tc>
          <w:tcPr>
            <w:tcW w:w="1304" w:type="dxa"/>
          </w:tcPr>
          <w:p w14:paraId="60BE9EF7" w14:textId="77777777" w:rsidR="00454A29" w:rsidRDefault="00454A29">
            <w:pPr>
              <w:pStyle w:val="ConsPlusNormal"/>
            </w:pPr>
          </w:p>
        </w:tc>
        <w:tc>
          <w:tcPr>
            <w:tcW w:w="850" w:type="dxa"/>
          </w:tcPr>
          <w:p w14:paraId="0BE54B5E" w14:textId="77777777" w:rsidR="00454A29" w:rsidRDefault="00454A29">
            <w:pPr>
              <w:pStyle w:val="ConsPlusNormal"/>
            </w:pPr>
          </w:p>
        </w:tc>
        <w:tc>
          <w:tcPr>
            <w:tcW w:w="1304" w:type="dxa"/>
          </w:tcPr>
          <w:p w14:paraId="7688FC42" w14:textId="77777777" w:rsidR="00454A29" w:rsidRDefault="00454A29">
            <w:pPr>
              <w:pStyle w:val="ConsPlusNormal"/>
            </w:pPr>
          </w:p>
        </w:tc>
        <w:tc>
          <w:tcPr>
            <w:tcW w:w="850" w:type="dxa"/>
          </w:tcPr>
          <w:p w14:paraId="00426924" w14:textId="77777777" w:rsidR="00454A29" w:rsidRDefault="00454A29">
            <w:pPr>
              <w:pStyle w:val="ConsPlusNormal"/>
            </w:pPr>
          </w:p>
        </w:tc>
        <w:tc>
          <w:tcPr>
            <w:tcW w:w="1304" w:type="dxa"/>
          </w:tcPr>
          <w:p w14:paraId="0EC8329E" w14:textId="77777777" w:rsidR="00454A29" w:rsidRDefault="00454A29">
            <w:pPr>
              <w:pStyle w:val="ConsPlusNormal"/>
            </w:pPr>
          </w:p>
        </w:tc>
        <w:tc>
          <w:tcPr>
            <w:tcW w:w="850" w:type="dxa"/>
          </w:tcPr>
          <w:p w14:paraId="314A9524" w14:textId="77777777" w:rsidR="00454A29" w:rsidRDefault="00454A29">
            <w:pPr>
              <w:pStyle w:val="ConsPlusNormal"/>
            </w:pPr>
          </w:p>
        </w:tc>
        <w:tc>
          <w:tcPr>
            <w:tcW w:w="1304" w:type="dxa"/>
          </w:tcPr>
          <w:p w14:paraId="154861B3" w14:textId="77777777" w:rsidR="00454A29" w:rsidRDefault="00454A29">
            <w:pPr>
              <w:pStyle w:val="ConsPlusNormal"/>
            </w:pPr>
          </w:p>
        </w:tc>
        <w:tc>
          <w:tcPr>
            <w:tcW w:w="1304" w:type="dxa"/>
          </w:tcPr>
          <w:p w14:paraId="14D8D0FE" w14:textId="77777777" w:rsidR="00454A29" w:rsidRDefault="00454A29">
            <w:pPr>
              <w:pStyle w:val="ConsPlusNormal"/>
            </w:pPr>
          </w:p>
        </w:tc>
        <w:tc>
          <w:tcPr>
            <w:tcW w:w="850" w:type="dxa"/>
          </w:tcPr>
          <w:p w14:paraId="5CD66641" w14:textId="77777777" w:rsidR="00454A29" w:rsidRDefault="00454A29">
            <w:pPr>
              <w:pStyle w:val="ConsPlusNormal"/>
            </w:pPr>
          </w:p>
        </w:tc>
        <w:tc>
          <w:tcPr>
            <w:tcW w:w="1304" w:type="dxa"/>
          </w:tcPr>
          <w:p w14:paraId="281DBE7B" w14:textId="77777777" w:rsidR="00454A29" w:rsidRDefault="00454A29">
            <w:pPr>
              <w:pStyle w:val="ConsPlusNormal"/>
            </w:pPr>
          </w:p>
        </w:tc>
        <w:tc>
          <w:tcPr>
            <w:tcW w:w="850" w:type="dxa"/>
          </w:tcPr>
          <w:p w14:paraId="1821399F" w14:textId="77777777" w:rsidR="00454A29" w:rsidRDefault="00454A29">
            <w:pPr>
              <w:pStyle w:val="ConsPlusNormal"/>
            </w:pPr>
          </w:p>
        </w:tc>
        <w:tc>
          <w:tcPr>
            <w:tcW w:w="1304" w:type="dxa"/>
          </w:tcPr>
          <w:p w14:paraId="4DAC406F" w14:textId="77777777" w:rsidR="00454A29" w:rsidRDefault="00454A29">
            <w:pPr>
              <w:pStyle w:val="ConsPlusNormal"/>
            </w:pPr>
          </w:p>
        </w:tc>
        <w:tc>
          <w:tcPr>
            <w:tcW w:w="850" w:type="dxa"/>
          </w:tcPr>
          <w:p w14:paraId="6430BA96" w14:textId="77777777" w:rsidR="00454A29" w:rsidRDefault="00454A29">
            <w:pPr>
              <w:pStyle w:val="ConsPlusNormal"/>
            </w:pPr>
          </w:p>
        </w:tc>
        <w:tc>
          <w:tcPr>
            <w:tcW w:w="1304" w:type="dxa"/>
          </w:tcPr>
          <w:p w14:paraId="3C730BA5" w14:textId="77777777" w:rsidR="00454A29" w:rsidRDefault="00454A29">
            <w:pPr>
              <w:pStyle w:val="ConsPlusNormal"/>
            </w:pPr>
          </w:p>
        </w:tc>
        <w:tc>
          <w:tcPr>
            <w:tcW w:w="850" w:type="dxa"/>
          </w:tcPr>
          <w:p w14:paraId="24929C26" w14:textId="77777777" w:rsidR="00454A29" w:rsidRDefault="00454A29">
            <w:pPr>
              <w:pStyle w:val="ConsPlusNormal"/>
            </w:pPr>
          </w:p>
        </w:tc>
        <w:tc>
          <w:tcPr>
            <w:tcW w:w="1304" w:type="dxa"/>
          </w:tcPr>
          <w:p w14:paraId="277D242A" w14:textId="77777777" w:rsidR="00454A29" w:rsidRDefault="00454A29">
            <w:pPr>
              <w:pStyle w:val="ConsPlusNormal"/>
            </w:pPr>
          </w:p>
        </w:tc>
        <w:tc>
          <w:tcPr>
            <w:tcW w:w="1304" w:type="dxa"/>
          </w:tcPr>
          <w:p w14:paraId="06E1283E" w14:textId="77777777" w:rsidR="00454A29" w:rsidRDefault="00454A29">
            <w:pPr>
              <w:pStyle w:val="ConsPlusNormal"/>
            </w:pPr>
          </w:p>
        </w:tc>
      </w:tr>
      <w:tr w:rsidR="00454A29" w14:paraId="2F5BFB32" w14:textId="77777777">
        <w:tblPrEx>
          <w:tblBorders>
            <w:left w:val="single" w:sz="4" w:space="0" w:color="auto"/>
            <w:right w:val="single" w:sz="4" w:space="0" w:color="auto"/>
            <w:insideH w:val="single" w:sz="4" w:space="0" w:color="auto"/>
          </w:tblBorders>
        </w:tblPrEx>
        <w:tc>
          <w:tcPr>
            <w:tcW w:w="2154" w:type="dxa"/>
          </w:tcPr>
          <w:p w14:paraId="2E95C51B" w14:textId="77777777" w:rsidR="00454A29" w:rsidRDefault="00454A29">
            <w:pPr>
              <w:pStyle w:val="ConsPlusNormal"/>
            </w:pPr>
            <w:r>
              <w:t>Лагерь N 3</w:t>
            </w:r>
          </w:p>
        </w:tc>
        <w:tc>
          <w:tcPr>
            <w:tcW w:w="850" w:type="dxa"/>
          </w:tcPr>
          <w:p w14:paraId="42B76377" w14:textId="77777777" w:rsidR="00454A29" w:rsidRDefault="00454A29">
            <w:pPr>
              <w:pStyle w:val="ConsPlusNormal"/>
            </w:pPr>
          </w:p>
        </w:tc>
        <w:tc>
          <w:tcPr>
            <w:tcW w:w="1304" w:type="dxa"/>
          </w:tcPr>
          <w:p w14:paraId="106FB116" w14:textId="77777777" w:rsidR="00454A29" w:rsidRDefault="00454A29">
            <w:pPr>
              <w:pStyle w:val="ConsPlusNormal"/>
            </w:pPr>
          </w:p>
        </w:tc>
        <w:tc>
          <w:tcPr>
            <w:tcW w:w="850" w:type="dxa"/>
          </w:tcPr>
          <w:p w14:paraId="27E95F34" w14:textId="77777777" w:rsidR="00454A29" w:rsidRDefault="00454A29">
            <w:pPr>
              <w:pStyle w:val="ConsPlusNormal"/>
            </w:pPr>
          </w:p>
        </w:tc>
        <w:tc>
          <w:tcPr>
            <w:tcW w:w="1304" w:type="dxa"/>
          </w:tcPr>
          <w:p w14:paraId="3EF608EF" w14:textId="77777777" w:rsidR="00454A29" w:rsidRDefault="00454A29">
            <w:pPr>
              <w:pStyle w:val="ConsPlusNormal"/>
            </w:pPr>
          </w:p>
        </w:tc>
        <w:tc>
          <w:tcPr>
            <w:tcW w:w="850" w:type="dxa"/>
          </w:tcPr>
          <w:p w14:paraId="7FC197C1" w14:textId="77777777" w:rsidR="00454A29" w:rsidRDefault="00454A29">
            <w:pPr>
              <w:pStyle w:val="ConsPlusNormal"/>
            </w:pPr>
          </w:p>
        </w:tc>
        <w:tc>
          <w:tcPr>
            <w:tcW w:w="1304" w:type="dxa"/>
          </w:tcPr>
          <w:p w14:paraId="40E7CCA3" w14:textId="77777777" w:rsidR="00454A29" w:rsidRDefault="00454A29">
            <w:pPr>
              <w:pStyle w:val="ConsPlusNormal"/>
            </w:pPr>
          </w:p>
        </w:tc>
        <w:tc>
          <w:tcPr>
            <w:tcW w:w="850" w:type="dxa"/>
          </w:tcPr>
          <w:p w14:paraId="17A25711" w14:textId="77777777" w:rsidR="00454A29" w:rsidRDefault="00454A29">
            <w:pPr>
              <w:pStyle w:val="ConsPlusNormal"/>
            </w:pPr>
          </w:p>
        </w:tc>
        <w:tc>
          <w:tcPr>
            <w:tcW w:w="1304" w:type="dxa"/>
          </w:tcPr>
          <w:p w14:paraId="49F2F673" w14:textId="77777777" w:rsidR="00454A29" w:rsidRDefault="00454A29">
            <w:pPr>
              <w:pStyle w:val="ConsPlusNormal"/>
            </w:pPr>
          </w:p>
        </w:tc>
        <w:tc>
          <w:tcPr>
            <w:tcW w:w="1304" w:type="dxa"/>
          </w:tcPr>
          <w:p w14:paraId="08E57A5D" w14:textId="77777777" w:rsidR="00454A29" w:rsidRDefault="00454A29">
            <w:pPr>
              <w:pStyle w:val="ConsPlusNormal"/>
            </w:pPr>
          </w:p>
        </w:tc>
        <w:tc>
          <w:tcPr>
            <w:tcW w:w="850" w:type="dxa"/>
          </w:tcPr>
          <w:p w14:paraId="6693FA6E" w14:textId="77777777" w:rsidR="00454A29" w:rsidRDefault="00454A29">
            <w:pPr>
              <w:pStyle w:val="ConsPlusNormal"/>
            </w:pPr>
          </w:p>
        </w:tc>
        <w:tc>
          <w:tcPr>
            <w:tcW w:w="1304" w:type="dxa"/>
          </w:tcPr>
          <w:p w14:paraId="55FB3416" w14:textId="77777777" w:rsidR="00454A29" w:rsidRDefault="00454A29">
            <w:pPr>
              <w:pStyle w:val="ConsPlusNormal"/>
            </w:pPr>
          </w:p>
        </w:tc>
        <w:tc>
          <w:tcPr>
            <w:tcW w:w="850" w:type="dxa"/>
          </w:tcPr>
          <w:p w14:paraId="210A1FF0" w14:textId="77777777" w:rsidR="00454A29" w:rsidRDefault="00454A29">
            <w:pPr>
              <w:pStyle w:val="ConsPlusNormal"/>
            </w:pPr>
          </w:p>
        </w:tc>
        <w:tc>
          <w:tcPr>
            <w:tcW w:w="1304" w:type="dxa"/>
          </w:tcPr>
          <w:p w14:paraId="1C77FBE7" w14:textId="77777777" w:rsidR="00454A29" w:rsidRDefault="00454A29">
            <w:pPr>
              <w:pStyle w:val="ConsPlusNormal"/>
            </w:pPr>
          </w:p>
        </w:tc>
        <w:tc>
          <w:tcPr>
            <w:tcW w:w="850" w:type="dxa"/>
          </w:tcPr>
          <w:p w14:paraId="42078BDC" w14:textId="77777777" w:rsidR="00454A29" w:rsidRDefault="00454A29">
            <w:pPr>
              <w:pStyle w:val="ConsPlusNormal"/>
            </w:pPr>
          </w:p>
        </w:tc>
        <w:tc>
          <w:tcPr>
            <w:tcW w:w="1304" w:type="dxa"/>
          </w:tcPr>
          <w:p w14:paraId="368D4094" w14:textId="77777777" w:rsidR="00454A29" w:rsidRDefault="00454A29">
            <w:pPr>
              <w:pStyle w:val="ConsPlusNormal"/>
            </w:pPr>
          </w:p>
        </w:tc>
        <w:tc>
          <w:tcPr>
            <w:tcW w:w="850" w:type="dxa"/>
          </w:tcPr>
          <w:p w14:paraId="63F33672" w14:textId="77777777" w:rsidR="00454A29" w:rsidRDefault="00454A29">
            <w:pPr>
              <w:pStyle w:val="ConsPlusNormal"/>
            </w:pPr>
          </w:p>
        </w:tc>
        <w:tc>
          <w:tcPr>
            <w:tcW w:w="1304" w:type="dxa"/>
          </w:tcPr>
          <w:p w14:paraId="047C949A" w14:textId="77777777" w:rsidR="00454A29" w:rsidRDefault="00454A29">
            <w:pPr>
              <w:pStyle w:val="ConsPlusNormal"/>
            </w:pPr>
          </w:p>
        </w:tc>
        <w:tc>
          <w:tcPr>
            <w:tcW w:w="1304" w:type="dxa"/>
          </w:tcPr>
          <w:p w14:paraId="3A5D7B9D" w14:textId="77777777" w:rsidR="00454A29" w:rsidRDefault="00454A29">
            <w:pPr>
              <w:pStyle w:val="ConsPlusNormal"/>
            </w:pPr>
          </w:p>
        </w:tc>
      </w:tr>
      <w:tr w:rsidR="00454A29" w14:paraId="10DDC78E" w14:textId="77777777">
        <w:tblPrEx>
          <w:tblBorders>
            <w:left w:val="single" w:sz="4" w:space="0" w:color="auto"/>
            <w:right w:val="single" w:sz="4" w:space="0" w:color="auto"/>
            <w:insideH w:val="single" w:sz="4" w:space="0" w:color="auto"/>
          </w:tblBorders>
        </w:tblPrEx>
        <w:tc>
          <w:tcPr>
            <w:tcW w:w="2154" w:type="dxa"/>
          </w:tcPr>
          <w:p w14:paraId="76C079BD" w14:textId="77777777" w:rsidR="00454A29" w:rsidRDefault="00454A29">
            <w:pPr>
              <w:pStyle w:val="ConsPlusNormal"/>
            </w:pPr>
            <w:r>
              <w:t>Лагерь труда и отдыха</w:t>
            </w:r>
          </w:p>
        </w:tc>
        <w:tc>
          <w:tcPr>
            <w:tcW w:w="850" w:type="dxa"/>
          </w:tcPr>
          <w:p w14:paraId="510B39ED" w14:textId="77777777" w:rsidR="00454A29" w:rsidRDefault="00454A29">
            <w:pPr>
              <w:pStyle w:val="ConsPlusNormal"/>
            </w:pPr>
          </w:p>
        </w:tc>
        <w:tc>
          <w:tcPr>
            <w:tcW w:w="1304" w:type="dxa"/>
          </w:tcPr>
          <w:p w14:paraId="36BA1316" w14:textId="77777777" w:rsidR="00454A29" w:rsidRDefault="00454A29">
            <w:pPr>
              <w:pStyle w:val="ConsPlusNormal"/>
            </w:pPr>
          </w:p>
        </w:tc>
        <w:tc>
          <w:tcPr>
            <w:tcW w:w="850" w:type="dxa"/>
          </w:tcPr>
          <w:p w14:paraId="1B7B129A" w14:textId="77777777" w:rsidR="00454A29" w:rsidRDefault="00454A29">
            <w:pPr>
              <w:pStyle w:val="ConsPlusNormal"/>
            </w:pPr>
          </w:p>
        </w:tc>
        <w:tc>
          <w:tcPr>
            <w:tcW w:w="1304" w:type="dxa"/>
          </w:tcPr>
          <w:p w14:paraId="5B856F17" w14:textId="77777777" w:rsidR="00454A29" w:rsidRDefault="00454A29">
            <w:pPr>
              <w:pStyle w:val="ConsPlusNormal"/>
            </w:pPr>
          </w:p>
        </w:tc>
        <w:tc>
          <w:tcPr>
            <w:tcW w:w="850" w:type="dxa"/>
          </w:tcPr>
          <w:p w14:paraId="2903BAB2" w14:textId="77777777" w:rsidR="00454A29" w:rsidRDefault="00454A29">
            <w:pPr>
              <w:pStyle w:val="ConsPlusNormal"/>
            </w:pPr>
          </w:p>
        </w:tc>
        <w:tc>
          <w:tcPr>
            <w:tcW w:w="1304" w:type="dxa"/>
          </w:tcPr>
          <w:p w14:paraId="0F1E0360" w14:textId="77777777" w:rsidR="00454A29" w:rsidRDefault="00454A29">
            <w:pPr>
              <w:pStyle w:val="ConsPlusNormal"/>
            </w:pPr>
          </w:p>
        </w:tc>
        <w:tc>
          <w:tcPr>
            <w:tcW w:w="850" w:type="dxa"/>
          </w:tcPr>
          <w:p w14:paraId="0D744302" w14:textId="77777777" w:rsidR="00454A29" w:rsidRDefault="00454A29">
            <w:pPr>
              <w:pStyle w:val="ConsPlusNormal"/>
            </w:pPr>
          </w:p>
        </w:tc>
        <w:tc>
          <w:tcPr>
            <w:tcW w:w="1304" w:type="dxa"/>
          </w:tcPr>
          <w:p w14:paraId="403B61FE" w14:textId="77777777" w:rsidR="00454A29" w:rsidRDefault="00454A29">
            <w:pPr>
              <w:pStyle w:val="ConsPlusNormal"/>
            </w:pPr>
          </w:p>
        </w:tc>
        <w:tc>
          <w:tcPr>
            <w:tcW w:w="1304" w:type="dxa"/>
          </w:tcPr>
          <w:p w14:paraId="412B24F1" w14:textId="77777777" w:rsidR="00454A29" w:rsidRDefault="00454A29">
            <w:pPr>
              <w:pStyle w:val="ConsPlusNormal"/>
            </w:pPr>
          </w:p>
        </w:tc>
        <w:tc>
          <w:tcPr>
            <w:tcW w:w="850" w:type="dxa"/>
          </w:tcPr>
          <w:p w14:paraId="2F34F8F5" w14:textId="77777777" w:rsidR="00454A29" w:rsidRDefault="00454A29">
            <w:pPr>
              <w:pStyle w:val="ConsPlusNormal"/>
            </w:pPr>
          </w:p>
        </w:tc>
        <w:tc>
          <w:tcPr>
            <w:tcW w:w="1304" w:type="dxa"/>
          </w:tcPr>
          <w:p w14:paraId="1E3FACD1" w14:textId="77777777" w:rsidR="00454A29" w:rsidRDefault="00454A29">
            <w:pPr>
              <w:pStyle w:val="ConsPlusNormal"/>
            </w:pPr>
          </w:p>
        </w:tc>
        <w:tc>
          <w:tcPr>
            <w:tcW w:w="850" w:type="dxa"/>
          </w:tcPr>
          <w:p w14:paraId="0BD5914A" w14:textId="77777777" w:rsidR="00454A29" w:rsidRDefault="00454A29">
            <w:pPr>
              <w:pStyle w:val="ConsPlusNormal"/>
            </w:pPr>
          </w:p>
        </w:tc>
        <w:tc>
          <w:tcPr>
            <w:tcW w:w="1304" w:type="dxa"/>
          </w:tcPr>
          <w:p w14:paraId="1B3382AD" w14:textId="77777777" w:rsidR="00454A29" w:rsidRDefault="00454A29">
            <w:pPr>
              <w:pStyle w:val="ConsPlusNormal"/>
            </w:pPr>
          </w:p>
        </w:tc>
        <w:tc>
          <w:tcPr>
            <w:tcW w:w="850" w:type="dxa"/>
          </w:tcPr>
          <w:p w14:paraId="2228E291" w14:textId="77777777" w:rsidR="00454A29" w:rsidRDefault="00454A29">
            <w:pPr>
              <w:pStyle w:val="ConsPlusNormal"/>
            </w:pPr>
          </w:p>
        </w:tc>
        <w:tc>
          <w:tcPr>
            <w:tcW w:w="1304" w:type="dxa"/>
          </w:tcPr>
          <w:p w14:paraId="1588A59A" w14:textId="77777777" w:rsidR="00454A29" w:rsidRDefault="00454A29">
            <w:pPr>
              <w:pStyle w:val="ConsPlusNormal"/>
            </w:pPr>
          </w:p>
        </w:tc>
        <w:tc>
          <w:tcPr>
            <w:tcW w:w="850" w:type="dxa"/>
          </w:tcPr>
          <w:p w14:paraId="3645BF04" w14:textId="77777777" w:rsidR="00454A29" w:rsidRDefault="00454A29">
            <w:pPr>
              <w:pStyle w:val="ConsPlusNormal"/>
            </w:pPr>
          </w:p>
        </w:tc>
        <w:tc>
          <w:tcPr>
            <w:tcW w:w="1304" w:type="dxa"/>
          </w:tcPr>
          <w:p w14:paraId="2CBDCD87" w14:textId="77777777" w:rsidR="00454A29" w:rsidRDefault="00454A29">
            <w:pPr>
              <w:pStyle w:val="ConsPlusNormal"/>
            </w:pPr>
          </w:p>
        </w:tc>
        <w:tc>
          <w:tcPr>
            <w:tcW w:w="1304" w:type="dxa"/>
          </w:tcPr>
          <w:p w14:paraId="08827C0E" w14:textId="77777777" w:rsidR="00454A29" w:rsidRDefault="00454A29">
            <w:pPr>
              <w:pStyle w:val="ConsPlusNormal"/>
            </w:pPr>
          </w:p>
        </w:tc>
      </w:tr>
      <w:tr w:rsidR="00454A29" w14:paraId="4C02B0CF" w14:textId="77777777">
        <w:tblPrEx>
          <w:tblBorders>
            <w:left w:val="single" w:sz="4" w:space="0" w:color="auto"/>
            <w:right w:val="single" w:sz="4" w:space="0" w:color="auto"/>
            <w:insideH w:val="single" w:sz="4" w:space="0" w:color="auto"/>
          </w:tblBorders>
        </w:tblPrEx>
        <w:tc>
          <w:tcPr>
            <w:tcW w:w="2154" w:type="dxa"/>
          </w:tcPr>
          <w:p w14:paraId="273D5B58" w14:textId="77777777" w:rsidR="00454A29" w:rsidRDefault="00454A29">
            <w:pPr>
              <w:pStyle w:val="ConsPlusNormal"/>
            </w:pPr>
            <w:r>
              <w:t>Лагерь N 1</w:t>
            </w:r>
          </w:p>
        </w:tc>
        <w:tc>
          <w:tcPr>
            <w:tcW w:w="850" w:type="dxa"/>
          </w:tcPr>
          <w:p w14:paraId="77E600C1" w14:textId="77777777" w:rsidR="00454A29" w:rsidRDefault="00454A29">
            <w:pPr>
              <w:pStyle w:val="ConsPlusNormal"/>
            </w:pPr>
          </w:p>
        </w:tc>
        <w:tc>
          <w:tcPr>
            <w:tcW w:w="1304" w:type="dxa"/>
          </w:tcPr>
          <w:p w14:paraId="4DB7D862" w14:textId="77777777" w:rsidR="00454A29" w:rsidRDefault="00454A29">
            <w:pPr>
              <w:pStyle w:val="ConsPlusNormal"/>
            </w:pPr>
          </w:p>
        </w:tc>
        <w:tc>
          <w:tcPr>
            <w:tcW w:w="850" w:type="dxa"/>
          </w:tcPr>
          <w:p w14:paraId="20F51393" w14:textId="77777777" w:rsidR="00454A29" w:rsidRDefault="00454A29">
            <w:pPr>
              <w:pStyle w:val="ConsPlusNormal"/>
            </w:pPr>
          </w:p>
        </w:tc>
        <w:tc>
          <w:tcPr>
            <w:tcW w:w="1304" w:type="dxa"/>
          </w:tcPr>
          <w:p w14:paraId="74FCBE6C" w14:textId="77777777" w:rsidR="00454A29" w:rsidRDefault="00454A29">
            <w:pPr>
              <w:pStyle w:val="ConsPlusNormal"/>
            </w:pPr>
          </w:p>
        </w:tc>
        <w:tc>
          <w:tcPr>
            <w:tcW w:w="850" w:type="dxa"/>
          </w:tcPr>
          <w:p w14:paraId="1F223524" w14:textId="77777777" w:rsidR="00454A29" w:rsidRDefault="00454A29">
            <w:pPr>
              <w:pStyle w:val="ConsPlusNormal"/>
            </w:pPr>
          </w:p>
        </w:tc>
        <w:tc>
          <w:tcPr>
            <w:tcW w:w="1304" w:type="dxa"/>
          </w:tcPr>
          <w:p w14:paraId="7E5D5BF3" w14:textId="77777777" w:rsidR="00454A29" w:rsidRDefault="00454A29">
            <w:pPr>
              <w:pStyle w:val="ConsPlusNormal"/>
            </w:pPr>
          </w:p>
        </w:tc>
        <w:tc>
          <w:tcPr>
            <w:tcW w:w="850" w:type="dxa"/>
          </w:tcPr>
          <w:p w14:paraId="5E9D6A1E" w14:textId="77777777" w:rsidR="00454A29" w:rsidRDefault="00454A29">
            <w:pPr>
              <w:pStyle w:val="ConsPlusNormal"/>
            </w:pPr>
          </w:p>
        </w:tc>
        <w:tc>
          <w:tcPr>
            <w:tcW w:w="1304" w:type="dxa"/>
          </w:tcPr>
          <w:p w14:paraId="57FCF004" w14:textId="77777777" w:rsidR="00454A29" w:rsidRDefault="00454A29">
            <w:pPr>
              <w:pStyle w:val="ConsPlusNormal"/>
            </w:pPr>
          </w:p>
        </w:tc>
        <w:tc>
          <w:tcPr>
            <w:tcW w:w="1304" w:type="dxa"/>
          </w:tcPr>
          <w:p w14:paraId="1D90B19B" w14:textId="77777777" w:rsidR="00454A29" w:rsidRDefault="00454A29">
            <w:pPr>
              <w:pStyle w:val="ConsPlusNormal"/>
            </w:pPr>
          </w:p>
        </w:tc>
        <w:tc>
          <w:tcPr>
            <w:tcW w:w="850" w:type="dxa"/>
          </w:tcPr>
          <w:p w14:paraId="52FA4D37" w14:textId="77777777" w:rsidR="00454A29" w:rsidRDefault="00454A29">
            <w:pPr>
              <w:pStyle w:val="ConsPlusNormal"/>
            </w:pPr>
          </w:p>
        </w:tc>
        <w:tc>
          <w:tcPr>
            <w:tcW w:w="1304" w:type="dxa"/>
          </w:tcPr>
          <w:p w14:paraId="677122E0" w14:textId="77777777" w:rsidR="00454A29" w:rsidRDefault="00454A29">
            <w:pPr>
              <w:pStyle w:val="ConsPlusNormal"/>
            </w:pPr>
          </w:p>
        </w:tc>
        <w:tc>
          <w:tcPr>
            <w:tcW w:w="850" w:type="dxa"/>
          </w:tcPr>
          <w:p w14:paraId="7A53DACA" w14:textId="77777777" w:rsidR="00454A29" w:rsidRDefault="00454A29">
            <w:pPr>
              <w:pStyle w:val="ConsPlusNormal"/>
            </w:pPr>
          </w:p>
        </w:tc>
        <w:tc>
          <w:tcPr>
            <w:tcW w:w="1304" w:type="dxa"/>
          </w:tcPr>
          <w:p w14:paraId="7DFD7B67" w14:textId="77777777" w:rsidR="00454A29" w:rsidRDefault="00454A29">
            <w:pPr>
              <w:pStyle w:val="ConsPlusNormal"/>
            </w:pPr>
          </w:p>
        </w:tc>
        <w:tc>
          <w:tcPr>
            <w:tcW w:w="850" w:type="dxa"/>
          </w:tcPr>
          <w:p w14:paraId="007420B9" w14:textId="77777777" w:rsidR="00454A29" w:rsidRDefault="00454A29">
            <w:pPr>
              <w:pStyle w:val="ConsPlusNormal"/>
            </w:pPr>
          </w:p>
        </w:tc>
        <w:tc>
          <w:tcPr>
            <w:tcW w:w="1304" w:type="dxa"/>
          </w:tcPr>
          <w:p w14:paraId="021807E4" w14:textId="77777777" w:rsidR="00454A29" w:rsidRDefault="00454A29">
            <w:pPr>
              <w:pStyle w:val="ConsPlusNormal"/>
            </w:pPr>
          </w:p>
        </w:tc>
        <w:tc>
          <w:tcPr>
            <w:tcW w:w="850" w:type="dxa"/>
          </w:tcPr>
          <w:p w14:paraId="6EF36F86" w14:textId="77777777" w:rsidR="00454A29" w:rsidRDefault="00454A29">
            <w:pPr>
              <w:pStyle w:val="ConsPlusNormal"/>
            </w:pPr>
          </w:p>
        </w:tc>
        <w:tc>
          <w:tcPr>
            <w:tcW w:w="1304" w:type="dxa"/>
          </w:tcPr>
          <w:p w14:paraId="0C0A47C7" w14:textId="77777777" w:rsidR="00454A29" w:rsidRDefault="00454A29">
            <w:pPr>
              <w:pStyle w:val="ConsPlusNormal"/>
            </w:pPr>
          </w:p>
        </w:tc>
        <w:tc>
          <w:tcPr>
            <w:tcW w:w="1304" w:type="dxa"/>
          </w:tcPr>
          <w:p w14:paraId="01704B3A" w14:textId="77777777" w:rsidR="00454A29" w:rsidRDefault="00454A29">
            <w:pPr>
              <w:pStyle w:val="ConsPlusNormal"/>
            </w:pPr>
          </w:p>
        </w:tc>
      </w:tr>
      <w:tr w:rsidR="00454A29" w14:paraId="20C20010" w14:textId="77777777">
        <w:tblPrEx>
          <w:tblBorders>
            <w:left w:val="single" w:sz="4" w:space="0" w:color="auto"/>
            <w:right w:val="single" w:sz="4" w:space="0" w:color="auto"/>
            <w:insideH w:val="single" w:sz="4" w:space="0" w:color="auto"/>
          </w:tblBorders>
        </w:tblPrEx>
        <w:tc>
          <w:tcPr>
            <w:tcW w:w="2154" w:type="dxa"/>
          </w:tcPr>
          <w:p w14:paraId="1E45CCA5" w14:textId="77777777" w:rsidR="00454A29" w:rsidRDefault="00454A29">
            <w:pPr>
              <w:pStyle w:val="ConsPlusNormal"/>
            </w:pPr>
            <w:r>
              <w:t>Лагерь N 2</w:t>
            </w:r>
          </w:p>
        </w:tc>
        <w:tc>
          <w:tcPr>
            <w:tcW w:w="850" w:type="dxa"/>
          </w:tcPr>
          <w:p w14:paraId="76C893E7" w14:textId="77777777" w:rsidR="00454A29" w:rsidRDefault="00454A29">
            <w:pPr>
              <w:pStyle w:val="ConsPlusNormal"/>
            </w:pPr>
          </w:p>
        </w:tc>
        <w:tc>
          <w:tcPr>
            <w:tcW w:w="1304" w:type="dxa"/>
          </w:tcPr>
          <w:p w14:paraId="07DF0D71" w14:textId="77777777" w:rsidR="00454A29" w:rsidRDefault="00454A29">
            <w:pPr>
              <w:pStyle w:val="ConsPlusNormal"/>
            </w:pPr>
          </w:p>
        </w:tc>
        <w:tc>
          <w:tcPr>
            <w:tcW w:w="850" w:type="dxa"/>
          </w:tcPr>
          <w:p w14:paraId="131359BB" w14:textId="77777777" w:rsidR="00454A29" w:rsidRDefault="00454A29">
            <w:pPr>
              <w:pStyle w:val="ConsPlusNormal"/>
            </w:pPr>
          </w:p>
        </w:tc>
        <w:tc>
          <w:tcPr>
            <w:tcW w:w="1304" w:type="dxa"/>
          </w:tcPr>
          <w:p w14:paraId="68661ED1" w14:textId="77777777" w:rsidR="00454A29" w:rsidRDefault="00454A29">
            <w:pPr>
              <w:pStyle w:val="ConsPlusNormal"/>
            </w:pPr>
          </w:p>
        </w:tc>
        <w:tc>
          <w:tcPr>
            <w:tcW w:w="850" w:type="dxa"/>
          </w:tcPr>
          <w:p w14:paraId="30B9277F" w14:textId="77777777" w:rsidR="00454A29" w:rsidRDefault="00454A29">
            <w:pPr>
              <w:pStyle w:val="ConsPlusNormal"/>
            </w:pPr>
          </w:p>
        </w:tc>
        <w:tc>
          <w:tcPr>
            <w:tcW w:w="1304" w:type="dxa"/>
          </w:tcPr>
          <w:p w14:paraId="4A2CF85F" w14:textId="77777777" w:rsidR="00454A29" w:rsidRDefault="00454A29">
            <w:pPr>
              <w:pStyle w:val="ConsPlusNormal"/>
            </w:pPr>
          </w:p>
        </w:tc>
        <w:tc>
          <w:tcPr>
            <w:tcW w:w="850" w:type="dxa"/>
          </w:tcPr>
          <w:p w14:paraId="3A41280F" w14:textId="77777777" w:rsidR="00454A29" w:rsidRDefault="00454A29">
            <w:pPr>
              <w:pStyle w:val="ConsPlusNormal"/>
            </w:pPr>
          </w:p>
        </w:tc>
        <w:tc>
          <w:tcPr>
            <w:tcW w:w="1304" w:type="dxa"/>
          </w:tcPr>
          <w:p w14:paraId="70AA8F3A" w14:textId="77777777" w:rsidR="00454A29" w:rsidRDefault="00454A29">
            <w:pPr>
              <w:pStyle w:val="ConsPlusNormal"/>
            </w:pPr>
          </w:p>
        </w:tc>
        <w:tc>
          <w:tcPr>
            <w:tcW w:w="1304" w:type="dxa"/>
          </w:tcPr>
          <w:p w14:paraId="5A45A4B9" w14:textId="77777777" w:rsidR="00454A29" w:rsidRDefault="00454A29">
            <w:pPr>
              <w:pStyle w:val="ConsPlusNormal"/>
            </w:pPr>
          </w:p>
        </w:tc>
        <w:tc>
          <w:tcPr>
            <w:tcW w:w="850" w:type="dxa"/>
          </w:tcPr>
          <w:p w14:paraId="3CCD2267" w14:textId="77777777" w:rsidR="00454A29" w:rsidRDefault="00454A29">
            <w:pPr>
              <w:pStyle w:val="ConsPlusNormal"/>
            </w:pPr>
          </w:p>
        </w:tc>
        <w:tc>
          <w:tcPr>
            <w:tcW w:w="1304" w:type="dxa"/>
          </w:tcPr>
          <w:p w14:paraId="24AD910D" w14:textId="77777777" w:rsidR="00454A29" w:rsidRDefault="00454A29">
            <w:pPr>
              <w:pStyle w:val="ConsPlusNormal"/>
            </w:pPr>
          </w:p>
        </w:tc>
        <w:tc>
          <w:tcPr>
            <w:tcW w:w="850" w:type="dxa"/>
          </w:tcPr>
          <w:p w14:paraId="31A26C13" w14:textId="77777777" w:rsidR="00454A29" w:rsidRDefault="00454A29">
            <w:pPr>
              <w:pStyle w:val="ConsPlusNormal"/>
            </w:pPr>
          </w:p>
        </w:tc>
        <w:tc>
          <w:tcPr>
            <w:tcW w:w="1304" w:type="dxa"/>
          </w:tcPr>
          <w:p w14:paraId="3F18F243" w14:textId="77777777" w:rsidR="00454A29" w:rsidRDefault="00454A29">
            <w:pPr>
              <w:pStyle w:val="ConsPlusNormal"/>
            </w:pPr>
          </w:p>
        </w:tc>
        <w:tc>
          <w:tcPr>
            <w:tcW w:w="850" w:type="dxa"/>
          </w:tcPr>
          <w:p w14:paraId="3B12DA9E" w14:textId="77777777" w:rsidR="00454A29" w:rsidRDefault="00454A29">
            <w:pPr>
              <w:pStyle w:val="ConsPlusNormal"/>
            </w:pPr>
          </w:p>
        </w:tc>
        <w:tc>
          <w:tcPr>
            <w:tcW w:w="1304" w:type="dxa"/>
          </w:tcPr>
          <w:p w14:paraId="5D59B6EA" w14:textId="77777777" w:rsidR="00454A29" w:rsidRDefault="00454A29">
            <w:pPr>
              <w:pStyle w:val="ConsPlusNormal"/>
            </w:pPr>
          </w:p>
        </w:tc>
        <w:tc>
          <w:tcPr>
            <w:tcW w:w="850" w:type="dxa"/>
          </w:tcPr>
          <w:p w14:paraId="55CB0ED7" w14:textId="77777777" w:rsidR="00454A29" w:rsidRDefault="00454A29">
            <w:pPr>
              <w:pStyle w:val="ConsPlusNormal"/>
            </w:pPr>
          </w:p>
        </w:tc>
        <w:tc>
          <w:tcPr>
            <w:tcW w:w="1304" w:type="dxa"/>
          </w:tcPr>
          <w:p w14:paraId="6A053428" w14:textId="77777777" w:rsidR="00454A29" w:rsidRDefault="00454A29">
            <w:pPr>
              <w:pStyle w:val="ConsPlusNormal"/>
            </w:pPr>
          </w:p>
        </w:tc>
        <w:tc>
          <w:tcPr>
            <w:tcW w:w="1304" w:type="dxa"/>
          </w:tcPr>
          <w:p w14:paraId="64AECB81" w14:textId="77777777" w:rsidR="00454A29" w:rsidRDefault="00454A29">
            <w:pPr>
              <w:pStyle w:val="ConsPlusNormal"/>
            </w:pPr>
          </w:p>
        </w:tc>
      </w:tr>
      <w:tr w:rsidR="00454A29" w14:paraId="2A4B8FD2" w14:textId="77777777">
        <w:tblPrEx>
          <w:tblBorders>
            <w:left w:val="single" w:sz="4" w:space="0" w:color="auto"/>
            <w:right w:val="single" w:sz="4" w:space="0" w:color="auto"/>
            <w:insideH w:val="single" w:sz="4" w:space="0" w:color="auto"/>
          </w:tblBorders>
        </w:tblPrEx>
        <w:tc>
          <w:tcPr>
            <w:tcW w:w="2154" w:type="dxa"/>
          </w:tcPr>
          <w:p w14:paraId="4D892461" w14:textId="77777777" w:rsidR="00454A29" w:rsidRDefault="00454A29">
            <w:pPr>
              <w:pStyle w:val="ConsPlusNormal"/>
            </w:pPr>
            <w:r>
              <w:t>Лагерь N 3</w:t>
            </w:r>
          </w:p>
        </w:tc>
        <w:tc>
          <w:tcPr>
            <w:tcW w:w="850" w:type="dxa"/>
          </w:tcPr>
          <w:p w14:paraId="21456A6B" w14:textId="77777777" w:rsidR="00454A29" w:rsidRDefault="00454A29">
            <w:pPr>
              <w:pStyle w:val="ConsPlusNormal"/>
            </w:pPr>
          </w:p>
        </w:tc>
        <w:tc>
          <w:tcPr>
            <w:tcW w:w="1304" w:type="dxa"/>
          </w:tcPr>
          <w:p w14:paraId="7F1041CA" w14:textId="77777777" w:rsidR="00454A29" w:rsidRDefault="00454A29">
            <w:pPr>
              <w:pStyle w:val="ConsPlusNormal"/>
            </w:pPr>
          </w:p>
        </w:tc>
        <w:tc>
          <w:tcPr>
            <w:tcW w:w="850" w:type="dxa"/>
          </w:tcPr>
          <w:p w14:paraId="2DB8E80E" w14:textId="77777777" w:rsidR="00454A29" w:rsidRDefault="00454A29">
            <w:pPr>
              <w:pStyle w:val="ConsPlusNormal"/>
            </w:pPr>
          </w:p>
        </w:tc>
        <w:tc>
          <w:tcPr>
            <w:tcW w:w="1304" w:type="dxa"/>
          </w:tcPr>
          <w:p w14:paraId="29AB3CBA" w14:textId="77777777" w:rsidR="00454A29" w:rsidRDefault="00454A29">
            <w:pPr>
              <w:pStyle w:val="ConsPlusNormal"/>
            </w:pPr>
          </w:p>
        </w:tc>
        <w:tc>
          <w:tcPr>
            <w:tcW w:w="850" w:type="dxa"/>
          </w:tcPr>
          <w:p w14:paraId="294564AB" w14:textId="77777777" w:rsidR="00454A29" w:rsidRDefault="00454A29">
            <w:pPr>
              <w:pStyle w:val="ConsPlusNormal"/>
            </w:pPr>
          </w:p>
        </w:tc>
        <w:tc>
          <w:tcPr>
            <w:tcW w:w="1304" w:type="dxa"/>
          </w:tcPr>
          <w:p w14:paraId="6633B754" w14:textId="77777777" w:rsidR="00454A29" w:rsidRDefault="00454A29">
            <w:pPr>
              <w:pStyle w:val="ConsPlusNormal"/>
            </w:pPr>
          </w:p>
        </w:tc>
        <w:tc>
          <w:tcPr>
            <w:tcW w:w="850" w:type="dxa"/>
          </w:tcPr>
          <w:p w14:paraId="690D0F18" w14:textId="77777777" w:rsidR="00454A29" w:rsidRDefault="00454A29">
            <w:pPr>
              <w:pStyle w:val="ConsPlusNormal"/>
            </w:pPr>
          </w:p>
        </w:tc>
        <w:tc>
          <w:tcPr>
            <w:tcW w:w="1304" w:type="dxa"/>
          </w:tcPr>
          <w:p w14:paraId="3508F60B" w14:textId="77777777" w:rsidR="00454A29" w:rsidRDefault="00454A29">
            <w:pPr>
              <w:pStyle w:val="ConsPlusNormal"/>
            </w:pPr>
          </w:p>
        </w:tc>
        <w:tc>
          <w:tcPr>
            <w:tcW w:w="1304" w:type="dxa"/>
          </w:tcPr>
          <w:p w14:paraId="33D3D42C" w14:textId="77777777" w:rsidR="00454A29" w:rsidRDefault="00454A29">
            <w:pPr>
              <w:pStyle w:val="ConsPlusNormal"/>
            </w:pPr>
          </w:p>
        </w:tc>
        <w:tc>
          <w:tcPr>
            <w:tcW w:w="850" w:type="dxa"/>
          </w:tcPr>
          <w:p w14:paraId="607F5D18" w14:textId="77777777" w:rsidR="00454A29" w:rsidRDefault="00454A29">
            <w:pPr>
              <w:pStyle w:val="ConsPlusNormal"/>
            </w:pPr>
          </w:p>
        </w:tc>
        <w:tc>
          <w:tcPr>
            <w:tcW w:w="1304" w:type="dxa"/>
          </w:tcPr>
          <w:p w14:paraId="11235C01" w14:textId="77777777" w:rsidR="00454A29" w:rsidRDefault="00454A29">
            <w:pPr>
              <w:pStyle w:val="ConsPlusNormal"/>
            </w:pPr>
          </w:p>
        </w:tc>
        <w:tc>
          <w:tcPr>
            <w:tcW w:w="850" w:type="dxa"/>
          </w:tcPr>
          <w:p w14:paraId="148D56A0" w14:textId="77777777" w:rsidR="00454A29" w:rsidRDefault="00454A29">
            <w:pPr>
              <w:pStyle w:val="ConsPlusNormal"/>
            </w:pPr>
          </w:p>
        </w:tc>
        <w:tc>
          <w:tcPr>
            <w:tcW w:w="1304" w:type="dxa"/>
          </w:tcPr>
          <w:p w14:paraId="0D40FDD0" w14:textId="77777777" w:rsidR="00454A29" w:rsidRDefault="00454A29">
            <w:pPr>
              <w:pStyle w:val="ConsPlusNormal"/>
            </w:pPr>
          </w:p>
        </w:tc>
        <w:tc>
          <w:tcPr>
            <w:tcW w:w="850" w:type="dxa"/>
          </w:tcPr>
          <w:p w14:paraId="1155C532" w14:textId="77777777" w:rsidR="00454A29" w:rsidRDefault="00454A29">
            <w:pPr>
              <w:pStyle w:val="ConsPlusNormal"/>
            </w:pPr>
          </w:p>
        </w:tc>
        <w:tc>
          <w:tcPr>
            <w:tcW w:w="1304" w:type="dxa"/>
          </w:tcPr>
          <w:p w14:paraId="227ABE39" w14:textId="77777777" w:rsidR="00454A29" w:rsidRDefault="00454A29">
            <w:pPr>
              <w:pStyle w:val="ConsPlusNormal"/>
            </w:pPr>
          </w:p>
        </w:tc>
        <w:tc>
          <w:tcPr>
            <w:tcW w:w="850" w:type="dxa"/>
          </w:tcPr>
          <w:p w14:paraId="59E046E1" w14:textId="77777777" w:rsidR="00454A29" w:rsidRDefault="00454A29">
            <w:pPr>
              <w:pStyle w:val="ConsPlusNormal"/>
            </w:pPr>
          </w:p>
        </w:tc>
        <w:tc>
          <w:tcPr>
            <w:tcW w:w="1304" w:type="dxa"/>
          </w:tcPr>
          <w:p w14:paraId="0C0C0C18" w14:textId="77777777" w:rsidR="00454A29" w:rsidRDefault="00454A29">
            <w:pPr>
              <w:pStyle w:val="ConsPlusNormal"/>
            </w:pPr>
          </w:p>
        </w:tc>
        <w:tc>
          <w:tcPr>
            <w:tcW w:w="1304" w:type="dxa"/>
          </w:tcPr>
          <w:p w14:paraId="4538ACD7" w14:textId="77777777" w:rsidR="00454A29" w:rsidRDefault="00454A29">
            <w:pPr>
              <w:pStyle w:val="ConsPlusNormal"/>
            </w:pPr>
          </w:p>
        </w:tc>
      </w:tr>
      <w:tr w:rsidR="00454A29" w14:paraId="2647DFE4" w14:textId="77777777">
        <w:tblPrEx>
          <w:tblBorders>
            <w:left w:val="single" w:sz="4" w:space="0" w:color="auto"/>
            <w:right w:val="single" w:sz="4" w:space="0" w:color="auto"/>
            <w:insideH w:val="single" w:sz="4" w:space="0" w:color="auto"/>
          </w:tblBorders>
        </w:tblPrEx>
        <w:tc>
          <w:tcPr>
            <w:tcW w:w="2154" w:type="dxa"/>
          </w:tcPr>
          <w:p w14:paraId="2FD92B5B" w14:textId="77777777" w:rsidR="00454A29" w:rsidRDefault="00454A29">
            <w:pPr>
              <w:pStyle w:val="ConsPlusNormal"/>
            </w:pPr>
            <w:r>
              <w:t>Палаточные лагеря</w:t>
            </w:r>
          </w:p>
        </w:tc>
        <w:tc>
          <w:tcPr>
            <w:tcW w:w="850" w:type="dxa"/>
          </w:tcPr>
          <w:p w14:paraId="39610126" w14:textId="77777777" w:rsidR="00454A29" w:rsidRDefault="00454A29">
            <w:pPr>
              <w:pStyle w:val="ConsPlusNormal"/>
            </w:pPr>
          </w:p>
        </w:tc>
        <w:tc>
          <w:tcPr>
            <w:tcW w:w="1304" w:type="dxa"/>
          </w:tcPr>
          <w:p w14:paraId="5975E665" w14:textId="77777777" w:rsidR="00454A29" w:rsidRDefault="00454A29">
            <w:pPr>
              <w:pStyle w:val="ConsPlusNormal"/>
            </w:pPr>
          </w:p>
        </w:tc>
        <w:tc>
          <w:tcPr>
            <w:tcW w:w="850" w:type="dxa"/>
          </w:tcPr>
          <w:p w14:paraId="1B14977F" w14:textId="77777777" w:rsidR="00454A29" w:rsidRDefault="00454A29">
            <w:pPr>
              <w:pStyle w:val="ConsPlusNormal"/>
            </w:pPr>
          </w:p>
        </w:tc>
        <w:tc>
          <w:tcPr>
            <w:tcW w:w="1304" w:type="dxa"/>
          </w:tcPr>
          <w:p w14:paraId="00049EB5" w14:textId="77777777" w:rsidR="00454A29" w:rsidRDefault="00454A29">
            <w:pPr>
              <w:pStyle w:val="ConsPlusNormal"/>
            </w:pPr>
          </w:p>
        </w:tc>
        <w:tc>
          <w:tcPr>
            <w:tcW w:w="850" w:type="dxa"/>
          </w:tcPr>
          <w:p w14:paraId="4C4948BD" w14:textId="77777777" w:rsidR="00454A29" w:rsidRDefault="00454A29">
            <w:pPr>
              <w:pStyle w:val="ConsPlusNormal"/>
            </w:pPr>
          </w:p>
        </w:tc>
        <w:tc>
          <w:tcPr>
            <w:tcW w:w="1304" w:type="dxa"/>
          </w:tcPr>
          <w:p w14:paraId="32786356" w14:textId="77777777" w:rsidR="00454A29" w:rsidRDefault="00454A29">
            <w:pPr>
              <w:pStyle w:val="ConsPlusNormal"/>
            </w:pPr>
          </w:p>
        </w:tc>
        <w:tc>
          <w:tcPr>
            <w:tcW w:w="850" w:type="dxa"/>
          </w:tcPr>
          <w:p w14:paraId="4F87B86D" w14:textId="77777777" w:rsidR="00454A29" w:rsidRDefault="00454A29">
            <w:pPr>
              <w:pStyle w:val="ConsPlusNormal"/>
            </w:pPr>
          </w:p>
        </w:tc>
        <w:tc>
          <w:tcPr>
            <w:tcW w:w="1304" w:type="dxa"/>
          </w:tcPr>
          <w:p w14:paraId="24BB13CD" w14:textId="77777777" w:rsidR="00454A29" w:rsidRDefault="00454A29">
            <w:pPr>
              <w:pStyle w:val="ConsPlusNormal"/>
            </w:pPr>
          </w:p>
        </w:tc>
        <w:tc>
          <w:tcPr>
            <w:tcW w:w="1304" w:type="dxa"/>
          </w:tcPr>
          <w:p w14:paraId="37F37005" w14:textId="77777777" w:rsidR="00454A29" w:rsidRDefault="00454A29">
            <w:pPr>
              <w:pStyle w:val="ConsPlusNormal"/>
            </w:pPr>
          </w:p>
        </w:tc>
        <w:tc>
          <w:tcPr>
            <w:tcW w:w="850" w:type="dxa"/>
          </w:tcPr>
          <w:p w14:paraId="111D53C6" w14:textId="77777777" w:rsidR="00454A29" w:rsidRDefault="00454A29">
            <w:pPr>
              <w:pStyle w:val="ConsPlusNormal"/>
            </w:pPr>
          </w:p>
        </w:tc>
        <w:tc>
          <w:tcPr>
            <w:tcW w:w="1304" w:type="dxa"/>
          </w:tcPr>
          <w:p w14:paraId="2D23923F" w14:textId="77777777" w:rsidR="00454A29" w:rsidRDefault="00454A29">
            <w:pPr>
              <w:pStyle w:val="ConsPlusNormal"/>
            </w:pPr>
          </w:p>
        </w:tc>
        <w:tc>
          <w:tcPr>
            <w:tcW w:w="850" w:type="dxa"/>
          </w:tcPr>
          <w:p w14:paraId="48AE4105" w14:textId="77777777" w:rsidR="00454A29" w:rsidRDefault="00454A29">
            <w:pPr>
              <w:pStyle w:val="ConsPlusNormal"/>
            </w:pPr>
          </w:p>
        </w:tc>
        <w:tc>
          <w:tcPr>
            <w:tcW w:w="1304" w:type="dxa"/>
          </w:tcPr>
          <w:p w14:paraId="60013741" w14:textId="77777777" w:rsidR="00454A29" w:rsidRDefault="00454A29">
            <w:pPr>
              <w:pStyle w:val="ConsPlusNormal"/>
            </w:pPr>
          </w:p>
        </w:tc>
        <w:tc>
          <w:tcPr>
            <w:tcW w:w="850" w:type="dxa"/>
          </w:tcPr>
          <w:p w14:paraId="29B19BAC" w14:textId="77777777" w:rsidR="00454A29" w:rsidRDefault="00454A29">
            <w:pPr>
              <w:pStyle w:val="ConsPlusNormal"/>
            </w:pPr>
          </w:p>
        </w:tc>
        <w:tc>
          <w:tcPr>
            <w:tcW w:w="1304" w:type="dxa"/>
          </w:tcPr>
          <w:p w14:paraId="1DADCDE8" w14:textId="77777777" w:rsidR="00454A29" w:rsidRDefault="00454A29">
            <w:pPr>
              <w:pStyle w:val="ConsPlusNormal"/>
            </w:pPr>
          </w:p>
        </w:tc>
        <w:tc>
          <w:tcPr>
            <w:tcW w:w="850" w:type="dxa"/>
          </w:tcPr>
          <w:p w14:paraId="2FC10E81" w14:textId="77777777" w:rsidR="00454A29" w:rsidRDefault="00454A29">
            <w:pPr>
              <w:pStyle w:val="ConsPlusNormal"/>
            </w:pPr>
          </w:p>
        </w:tc>
        <w:tc>
          <w:tcPr>
            <w:tcW w:w="1304" w:type="dxa"/>
          </w:tcPr>
          <w:p w14:paraId="1C5640CF" w14:textId="77777777" w:rsidR="00454A29" w:rsidRDefault="00454A29">
            <w:pPr>
              <w:pStyle w:val="ConsPlusNormal"/>
            </w:pPr>
          </w:p>
        </w:tc>
        <w:tc>
          <w:tcPr>
            <w:tcW w:w="1304" w:type="dxa"/>
          </w:tcPr>
          <w:p w14:paraId="340105CA" w14:textId="77777777" w:rsidR="00454A29" w:rsidRDefault="00454A29">
            <w:pPr>
              <w:pStyle w:val="ConsPlusNormal"/>
            </w:pPr>
          </w:p>
        </w:tc>
      </w:tr>
      <w:tr w:rsidR="00454A29" w14:paraId="22D9DF6C" w14:textId="77777777">
        <w:tblPrEx>
          <w:tblBorders>
            <w:left w:val="single" w:sz="4" w:space="0" w:color="auto"/>
            <w:right w:val="single" w:sz="4" w:space="0" w:color="auto"/>
            <w:insideH w:val="single" w:sz="4" w:space="0" w:color="auto"/>
          </w:tblBorders>
        </w:tblPrEx>
        <w:tc>
          <w:tcPr>
            <w:tcW w:w="2154" w:type="dxa"/>
          </w:tcPr>
          <w:p w14:paraId="2E64E893" w14:textId="77777777" w:rsidR="00454A29" w:rsidRDefault="00454A29">
            <w:pPr>
              <w:pStyle w:val="ConsPlusNormal"/>
            </w:pPr>
            <w:r>
              <w:t>Лагерь N 1</w:t>
            </w:r>
          </w:p>
        </w:tc>
        <w:tc>
          <w:tcPr>
            <w:tcW w:w="850" w:type="dxa"/>
          </w:tcPr>
          <w:p w14:paraId="703B1276" w14:textId="77777777" w:rsidR="00454A29" w:rsidRDefault="00454A29">
            <w:pPr>
              <w:pStyle w:val="ConsPlusNormal"/>
            </w:pPr>
          </w:p>
        </w:tc>
        <w:tc>
          <w:tcPr>
            <w:tcW w:w="1304" w:type="dxa"/>
          </w:tcPr>
          <w:p w14:paraId="25402883" w14:textId="77777777" w:rsidR="00454A29" w:rsidRDefault="00454A29">
            <w:pPr>
              <w:pStyle w:val="ConsPlusNormal"/>
            </w:pPr>
          </w:p>
        </w:tc>
        <w:tc>
          <w:tcPr>
            <w:tcW w:w="850" w:type="dxa"/>
          </w:tcPr>
          <w:p w14:paraId="295EF5F2" w14:textId="77777777" w:rsidR="00454A29" w:rsidRDefault="00454A29">
            <w:pPr>
              <w:pStyle w:val="ConsPlusNormal"/>
            </w:pPr>
          </w:p>
        </w:tc>
        <w:tc>
          <w:tcPr>
            <w:tcW w:w="1304" w:type="dxa"/>
          </w:tcPr>
          <w:p w14:paraId="3B0DFBE9" w14:textId="77777777" w:rsidR="00454A29" w:rsidRDefault="00454A29">
            <w:pPr>
              <w:pStyle w:val="ConsPlusNormal"/>
            </w:pPr>
          </w:p>
        </w:tc>
        <w:tc>
          <w:tcPr>
            <w:tcW w:w="850" w:type="dxa"/>
          </w:tcPr>
          <w:p w14:paraId="2285FFEC" w14:textId="77777777" w:rsidR="00454A29" w:rsidRDefault="00454A29">
            <w:pPr>
              <w:pStyle w:val="ConsPlusNormal"/>
            </w:pPr>
          </w:p>
        </w:tc>
        <w:tc>
          <w:tcPr>
            <w:tcW w:w="1304" w:type="dxa"/>
          </w:tcPr>
          <w:p w14:paraId="09B7D841" w14:textId="77777777" w:rsidR="00454A29" w:rsidRDefault="00454A29">
            <w:pPr>
              <w:pStyle w:val="ConsPlusNormal"/>
            </w:pPr>
          </w:p>
        </w:tc>
        <w:tc>
          <w:tcPr>
            <w:tcW w:w="850" w:type="dxa"/>
          </w:tcPr>
          <w:p w14:paraId="6CEFEF15" w14:textId="77777777" w:rsidR="00454A29" w:rsidRDefault="00454A29">
            <w:pPr>
              <w:pStyle w:val="ConsPlusNormal"/>
            </w:pPr>
          </w:p>
        </w:tc>
        <w:tc>
          <w:tcPr>
            <w:tcW w:w="1304" w:type="dxa"/>
          </w:tcPr>
          <w:p w14:paraId="4BB3DEAE" w14:textId="77777777" w:rsidR="00454A29" w:rsidRDefault="00454A29">
            <w:pPr>
              <w:pStyle w:val="ConsPlusNormal"/>
            </w:pPr>
          </w:p>
        </w:tc>
        <w:tc>
          <w:tcPr>
            <w:tcW w:w="1304" w:type="dxa"/>
          </w:tcPr>
          <w:p w14:paraId="4E72A256" w14:textId="77777777" w:rsidR="00454A29" w:rsidRDefault="00454A29">
            <w:pPr>
              <w:pStyle w:val="ConsPlusNormal"/>
            </w:pPr>
          </w:p>
        </w:tc>
        <w:tc>
          <w:tcPr>
            <w:tcW w:w="850" w:type="dxa"/>
          </w:tcPr>
          <w:p w14:paraId="1ECA9104" w14:textId="77777777" w:rsidR="00454A29" w:rsidRDefault="00454A29">
            <w:pPr>
              <w:pStyle w:val="ConsPlusNormal"/>
            </w:pPr>
          </w:p>
        </w:tc>
        <w:tc>
          <w:tcPr>
            <w:tcW w:w="1304" w:type="dxa"/>
          </w:tcPr>
          <w:p w14:paraId="5C29FCC6" w14:textId="77777777" w:rsidR="00454A29" w:rsidRDefault="00454A29">
            <w:pPr>
              <w:pStyle w:val="ConsPlusNormal"/>
            </w:pPr>
          </w:p>
        </w:tc>
        <w:tc>
          <w:tcPr>
            <w:tcW w:w="850" w:type="dxa"/>
          </w:tcPr>
          <w:p w14:paraId="51D32C38" w14:textId="77777777" w:rsidR="00454A29" w:rsidRDefault="00454A29">
            <w:pPr>
              <w:pStyle w:val="ConsPlusNormal"/>
            </w:pPr>
          </w:p>
        </w:tc>
        <w:tc>
          <w:tcPr>
            <w:tcW w:w="1304" w:type="dxa"/>
          </w:tcPr>
          <w:p w14:paraId="2D543696" w14:textId="77777777" w:rsidR="00454A29" w:rsidRDefault="00454A29">
            <w:pPr>
              <w:pStyle w:val="ConsPlusNormal"/>
            </w:pPr>
          </w:p>
        </w:tc>
        <w:tc>
          <w:tcPr>
            <w:tcW w:w="850" w:type="dxa"/>
          </w:tcPr>
          <w:p w14:paraId="12BEF4F5" w14:textId="77777777" w:rsidR="00454A29" w:rsidRDefault="00454A29">
            <w:pPr>
              <w:pStyle w:val="ConsPlusNormal"/>
            </w:pPr>
          </w:p>
        </w:tc>
        <w:tc>
          <w:tcPr>
            <w:tcW w:w="1304" w:type="dxa"/>
          </w:tcPr>
          <w:p w14:paraId="42C81406" w14:textId="77777777" w:rsidR="00454A29" w:rsidRDefault="00454A29">
            <w:pPr>
              <w:pStyle w:val="ConsPlusNormal"/>
            </w:pPr>
          </w:p>
        </w:tc>
        <w:tc>
          <w:tcPr>
            <w:tcW w:w="850" w:type="dxa"/>
          </w:tcPr>
          <w:p w14:paraId="10B50CCA" w14:textId="77777777" w:rsidR="00454A29" w:rsidRDefault="00454A29">
            <w:pPr>
              <w:pStyle w:val="ConsPlusNormal"/>
            </w:pPr>
          </w:p>
        </w:tc>
        <w:tc>
          <w:tcPr>
            <w:tcW w:w="1304" w:type="dxa"/>
          </w:tcPr>
          <w:p w14:paraId="0CB8565C" w14:textId="77777777" w:rsidR="00454A29" w:rsidRDefault="00454A29">
            <w:pPr>
              <w:pStyle w:val="ConsPlusNormal"/>
            </w:pPr>
          </w:p>
        </w:tc>
        <w:tc>
          <w:tcPr>
            <w:tcW w:w="1304" w:type="dxa"/>
          </w:tcPr>
          <w:p w14:paraId="16D5CB03" w14:textId="77777777" w:rsidR="00454A29" w:rsidRDefault="00454A29">
            <w:pPr>
              <w:pStyle w:val="ConsPlusNormal"/>
            </w:pPr>
          </w:p>
        </w:tc>
      </w:tr>
      <w:tr w:rsidR="00454A29" w14:paraId="5AEC0FBB" w14:textId="77777777">
        <w:tblPrEx>
          <w:tblBorders>
            <w:left w:val="single" w:sz="4" w:space="0" w:color="auto"/>
            <w:right w:val="single" w:sz="4" w:space="0" w:color="auto"/>
            <w:insideH w:val="single" w:sz="4" w:space="0" w:color="auto"/>
          </w:tblBorders>
        </w:tblPrEx>
        <w:tc>
          <w:tcPr>
            <w:tcW w:w="2154" w:type="dxa"/>
          </w:tcPr>
          <w:p w14:paraId="1B5D07F4" w14:textId="77777777" w:rsidR="00454A29" w:rsidRDefault="00454A29">
            <w:pPr>
              <w:pStyle w:val="ConsPlusNormal"/>
            </w:pPr>
            <w:r>
              <w:t>Лагерь N 2</w:t>
            </w:r>
          </w:p>
        </w:tc>
        <w:tc>
          <w:tcPr>
            <w:tcW w:w="850" w:type="dxa"/>
          </w:tcPr>
          <w:p w14:paraId="5B06EDB0" w14:textId="77777777" w:rsidR="00454A29" w:rsidRDefault="00454A29">
            <w:pPr>
              <w:pStyle w:val="ConsPlusNormal"/>
            </w:pPr>
          </w:p>
        </w:tc>
        <w:tc>
          <w:tcPr>
            <w:tcW w:w="1304" w:type="dxa"/>
          </w:tcPr>
          <w:p w14:paraId="33D94ECE" w14:textId="77777777" w:rsidR="00454A29" w:rsidRDefault="00454A29">
            <w:pPr>
              <w:pStyle w:val="ConsPlusNormal"/>
            </w:pPr>
          </w:p>
        </w:tc>
        <w:tc>
          <w:tcPr>
            <w:tcW w:w="850" w:type="dxa"/>
          </w:tcPr>
          <w:p w14:paraId="32B114D2" w14:textId="77777777" w:rsidR="00454A29" w:rsidRDefault="00454A29">
            <w:pPr>
              <w:pStyle w:val="ConsPlusNormal"/>
            </w:pPr>
          </w:p>
        </w:tc>
        <w:tc>
          <w:tcPr>
            <w:tcW w:w="1304" w:type="dxa"/>
          </w:tcPr>
          <w:p w14:paraId="4E7889EA" w14:textId="77777777" w:rsidR="00454A29" w:rsidRDefault="00454A29">
            <w:pPr>
              <w:pStyle w:val="ConsPlusNormal"/>
            </w:pPr>
          </w:p>
        </w:tc>
        <w:tc>
          <w:tcPr>
            <w:tcW w:w="850" w:type="dxa"/>
          </w:tcPr>
          <w:p w14:paraId="014FB6BF" w14:textId="77777777" w:rsidR="00454A29" w:rsidRDefault="00454A29">
            <w:pPr>
              <w:pStyle w:val="ConsPlusNormal"/>
            </w:pPr>
          </w:p>
        </w:tc>
        <w:tc>
          <w:tcPr>
            <w:tcW w:w="1304" w:type="dxa"/>
          </w:tcPr>
          <w:p w14:paraId="6A225D9B" w14:textId="77777777" w:rsidR="00454A29" w:rsidRDefault="00454A29">
            <w:pPr>
              <w:pStyle w:val="ConsPlusNormal"/>
            </w:pPr>
          </w:p>
        </w:tc>
        <w:tc>
          <w:tcPr>
            <w:tcW w:w="850" w:type="dxa"/>
          </w:tcPr>
          <w:p w14:paraId="436DE132" w14:textId="77777777" w:rsidR="00454A29" w:rsidRDefault="00454A29">
            <w:pPr>
              <w:pStyle w:val="ConsPlusNormal"/>
            </w:pPr>
          </w:p>
        </w:tc>
        <w:tc>
          <w:tcPr>
            <w:tcW w:w="1304" w:type="dxa"/>
          </w:tcPr>
          <w:p w14:paraId="696510F4" w14:textId="77777777" w:rsidR="00454A29" w:rsidRDefault="00454A29">
            <w:pPr>
              <w:pStyle w:val="ConsPlusNormal"/>
            </w:pPr>
          </w:p>
        </w:tc>
        <w:tc>
          <w:tcPr>
            <w:tcW w:w="1304" w:type="dxa"/>
          </w:tcPr>
          <w:p w14:paraId="65486004" w14:textId="77777777" w:rsidR="00454A29" w:rsidRDefault="00454A29">
            <w:pPr>
              <w:pStyle w:val="ConsPlusNormal"/>
            </w:pPr>
          </w:p>
        </w:tc>
        <w:tc>
          <w:tcPr>
            <w:tcW w:w="850" w:type="dxa"/>
          </w:tcPr>
          <w:p w14:paraId="24987191" w14:textId="77777777" w:rsidR="00454A29" w:rsidRDefault="00454A29">
            <w:pPr>
              <w:pStyle w:val="ConsPlusNormal"/>
            </w:pPr>
          </w:p>
        </w:tc>
        <w:tc>
          <w:tcPr>
            <w:tcW w:w="1304" w:type="dxa"/>
          </w:tcPr>
          <w:p w14:paraId="074981AD" w14:textId="77777777" w:rsidR="00454A29" w:rsidRDefault="00454A29">
            <w:pPr>
              <w:pStyle w:val="ConsPlusNormal"/>
            </w:pPr>
          </w:p>
        </w:tc>
        <w:tc>
          <w:tcPr>
            <w:tcW w:w="850" w:type="dxa"/>
          </w:tcPr>
          <w:p w14:paraId="2A006D97" w14:textId="77777777" w:rsidR="00454A29" w:rsidRDefault="00454A29">
            <w:pPr>
              <w:pStyle w:val="ConsPlusNormal"/>
            </w:pPr>
          </w:p>
        </w:tc>
        <w:tc>
          <w:tcPr>
            <w:tcW w:w="1304" w:type="dxa"/>
          </w:tcPr>
          <w:p w14:paraId="6D7905FB" w14:textId="77777777" w:rsidR="00454A29" w:rsidRDefault="00454A29">
            <w:pPr>
              <w:pStyle w:val="ConsPlusNormal"/>
            </w:pPr>
          </w:p>
        </w:tc>
        <w:tc>
          <w:tcPr>
            <w:tcW w:w="850" w:type="dxa"/>
          </w:tcPr>
          <w:p w14:paraId="56E75D00" w14:textId="77777777" w:rsidR="00454A29" w:rsidRDefault="00454A29">
            <w:pPr>
              <w:pStyle w:val="ConsPlusNormal"/>
            </w:pPr>
          </w:p>
        </w:tc>
        <w:tc>
          <w:tcPr>
            <w:tcW w:w="1304" w:type="dxa"/>
          </w:tcPr>
          <w:p w14:paraId="04E7BBB8" w14:textId="77777777" w:rsidR="00454A29" w:rsidRDefault="00454A29">
            <w:pPr>
              <w:pStyle w:val="ConsPlusNormal"/>
            </w:pPr>
          </w:p>
        </w:tc>
        <w:tc>
          <w:tcPr>
            <w:tcW w:w="850" w:type="dxa"/>
          </w:tcPr>
          <w:p w14:paraId="491938D7" w14:textId="77777777" w:rsidR="00454A29" w:rsidRDefault="00454A29">
            <w:pPr>
              <w:pStyle w:val="ConsPlusNormal"/>
            </w:pPr>
          </w:p>
        </w:tc>
        <w:tc>
          <w:tcPr>
            <w:tcW w:w="1304" w:type="dxa"/>
          </w:tcPr>
          <w:p w14:paraId="67A67661" w14:textId="77777777" w:rsidR="00454A29" w:rsidRDefault="00454A29">
            <w:pPr>
              <w:pStyle w:val="ConsPlusNormal"/>
            </w:pPr>
          </w:p>
        </w:tc>
        <w:tc>
          <w:tcPr>
            <w:tcW w:w="1304" w:type="dxa"/>
          </w:tcPr>
          <w:p w14:paraId="7818651D" w14:textId="77777777" w:rsidR="00454A29" w:rsidRDefault="00454A29">
            <w:pPr>
              <w:pStyle w:val="ConsPlusNormal"/>
            </w:pPr>
          </w:p>
        </w:tc>
      </w:tr>
      <w:tr w:rsidR="00454A29" w14:paraId="1EFA6EE1" w14:textId="77777777">
        <w:tblPrEx>
          <w:tblBorders>
            <w:left w:val="single" w:sz="4" w:space="0" w:color="auto"/>
            <w:right w:val="single" w:sz="4" w:space="0" w:color="auto"/>
            <w:insideH w:val="single" w:sz="4" w:space="0" w:color="auto"/>
          </w:tblBorders>
        </w:tblPrEx>
        <w:tc>
          <w:tcPr>
            <w:tcW w:w="2154" w:type="dxa"/>
          </w:tcPr>
          <w:p w14:paraId="2D245F10" w14:textId="77777777" w:rsidR="00454A29" w:rsidRDefault="00454A29">
            <w:pPr>
              <w:pStyle w:val="ConsPlusNormal"/>
            </w:pPr>
            <w:r>
              <w:t>Лагерь N 3</w:t>
            </w:r>
          </w:p>
        </w:tc>
        <w:tc>
          <w:tcPr>
            <w:tcW w:w="850" w:type="dxa"/>
          </w:tcPr>
          <w:p w14:paraId="675FB264" w14:textId="77777777" w:rsidR="00454A29" w:rsidRDefault="00454A29">
            <w:pPr>
              <w:pStyle w:val="ConsPlusNormal"/>
            </w:pPr>
          </w:p>
        </w:tc>
        <w:tc>
          <w:tcPr>
            <w:tcW w:w="1304" w:type="dxa"/>
          </w:tcPr>
          <w:p w14:paraId="5D4B8E67" w14:textId="77777777" w:rsidR="00454A29" w:rsidRDefault="00454A29">
            <w:pPr>
              <w:pStyle w:val="ConsPlusNormal"/>
            </w:pPr>
          </w:p>
        </w:tc>
        <w:tc>
          <w:tcPr>
            <w:tcW w:w="850" w:type="dxa"/>
          </w:tcPr>
          <w:p w14:paraId="36A2EAB9" w14:textId="77777777" w:rsidR="00454A29" w:rsidRDefault="00454A29">
            <w:pPr>
              <w:pStyle w:val="ConsPlusNormal"/>
            </w:pPr>
          </w:p>
        </w:tc>
        <w:tc>
          <w:tcPr>
            <w:tcW w:w="1304" w:type="dxa"/>
          </w:tcPr>
          <w:p w14:paraId="231384DD" w14:textId="77777777" w:rsidR="00454A29" w:rsidRDefault="00454A29">
            <w:pPr>
              <w:pStyle w:val="ConsPlusNormal"/>
            </w:pPr>
          </w:p>
        </w:tc>
        <w:tc>
          <w:tcPr>
            <w:tcW w:w="850" w:type="dxa"/>
          </w:tcPr>
          <w:p w14:paraId="3EDCDAF7" w14:textId="77777777" w:rsidR="00454A29" w:rsidRDefault="00454A29">
            <w:pPr>
              <w:pStyle w:val="ConsPlusNormal"/>
            </w:pPr>
          </w:p>
        </w:tc>
        <w:tc>
          <w:tcPr>
            <w:tcW w:w="1304" w:type="dxa"/>
          </w:tcPr>
          <w:p w14:paraId="39C916EA" w14:textId="77777777" w:rsidR="00454A29" w:rsidRDefault="00454A29">
            <w:pPr>
              <w:pStyle w:val="ConsPlusNormal"/>
            </w:pPr>
          </w:p>
        </w:tc>
        <w:tc>
          <w:tcPr>
            <w:tcW w:w="850" w:type="dxa"/>
          </w:tcPr>
          <w:p w14:paraId="7280D909" w14:textId="77777777" w:rsidR="00454A29" w:rsidRDefault="00454A29">
            <w:pPr>
              <w:pStyle w:val="ConsPlusNormal"/>
            </w:pPr>
          </w:p>
        </w:tc>
        <w:tc>
          <w:tcPr>
            <w:tcW w:w="1304" w:type="dxa"/>
          </w:tcPr>
          <w:p w14:paraId="541319CA" w14:textId="77777777" w:rsidR="00454A29" w:rsidRDefault="00454A29">
            <w:pPr>
              <w:pStyle w:val="ConsPlusNormal"/>
            </w:pPr>
          </w:p>
        </w:tc>
        <w:tc>
          <w:tcPr>
            <w:tcW w:w="1304" w:type="dxa"/>
          </w:tcPr>
          <w:p w14:paraId="7BD14D65" w14:textId="77777777" w:rsidR="00454A29" w:rsidRDefault="00454A29">
            <w:pPr>
              <w:pStyle w:val="ConsPlusNormal"/>
            </w:pPr>
          </w:p>
        </w:tc>
        <w:tc>
          <w:tcPr>
            <w:tcW w:w="850" w:type="dxa"/>
          </w:tcPr>
          <w:p w14:paraId="279314ED" w14:textId="77777777" w:rsidR="00454A29" w:rsidRDefault="00454A29">
            <w:pPr>
              <w:pStyle w:val="ConsPlusNormal"/>
            </w:pPr>
          </w:p>
        </w:tc>
        <w:tc>
          <w:tcPr>
            <w:tcW w:w="1304" w:type="dxa"/>
          </w:tcPr>
          <w:p w14:paraId="50969E0A" w14:textId="77777777" w:rsidR="00454A29" w:rsidRDefault="00454A29">
            <w:pPr>
              <w:pStyle w:val="ConsPlusNormal"/>
            </w:pPr>
          </w:p>
        </w:tc>
        <w:tc>
          <w:tcPr>
            <w:tcW w:w="850" w:type="dxa"/>
          </w:tcPr>
          <w:p w14:paraId="3D39CC96" w14:textId="77777777" w:rsidR="00454A29" w:rsidRDefault="00454A29">
            <w:pPr>
              <w:pStyle w:val="ConsPlusNormal"/>
            </w:pPr>
          </w:p>
        </w:tc>
        <w:tc>
          <w:tcPr>
            <w:tcW w:w="1304" w:type="dxa"/>
          </w:tcPr>
          <w:p w14:paraId="6D6A5FFF" w14:textId="77777777" w:rsidR="00454A29" w:rsidRDefault="00454A29">
            <w:pPr>
              <w:pStyle w:val="ConsPlusNormal"/>
            </w:pPr>
          </w:p>
        </w:tc>
        <w:tc>
          <w:tcPr>
            <w:tcW w:w="850" w:type="dxa"/>
          </w:tcPr>
          <w:p w14:paraId="24F19ABF" w14:textId="77777777" w:rsidR="00454A29" w:rsidRDefault="00454A29">
            <w:pPr>
              <w:pStyle w:val="ConsPlusNormal"/>
            </w:pPr>
          </w:p>
        </w:tc>
        <w:tc>
          <w:tcPr>
            <w:tcW w:w="1304" w:type="dxa"/>
          </w:tcPr>
          <w:p w14:paraId="63CA5472" w14:textId="77777777" w:rsidR="00454A29" w:rsidRDefault="00454A29">
            <w:pPr>
              <w:pStyle w:val="ConsPlusNormal"/>
            </w:pPr>
          </w:p>
        </w:tc>
        <w:tc>
          <w:tcPr>
            <w:tcW w:w="850" w:type="dxa"/>
          </w:tcPr>
          <w:p w14:paraId="6416890E" w14:textId="77777777" w:rsidR="00454A29" w:rsidRDefault="00454A29">
            <w:pPr>
              <w:pStyle w:val="ConsPlusNormal"/>
            </w:pPr>
          </w:p>
        </w:tc>
        <w:tc>
          <w:tcPr>
            <w:tcW w:w="1304" w:type="dxa"/>
          </w:tcPr>
          <w:p w14:paraId="4F94D0A7" w14:textId="77777777" w:rsidR="00454A29" w:rsidRDefault="00454A29">
            <w:pPr>
              <w:pStyle w:val="ConsPlusNormal"/>
            </w:pPr>
          </w:p>
        </w:tc>
        <w:tc>
          <w:tcPr>
            <w:tcW w:w="1304" w:type="dxa"/>
          </w:tcPr>
          <w:p w14:paraId="1B156618" w14:textId="77777777" w:rsidR="00454A29" w:rsidRDefault="00454A29">
            <w:pPr>
              <w:pStyle w:val="ConsPlusNormal"/>
            </w:pPr>
          </w:p>
        </w:tc>
      </w:tr>
      <w:tr w:rsidR="00454A29" w14:paraId="3174CB52" w14:textId="77777777">
        <w:tblPrEx>
          <w:tblBorders>
            <w:left w:val="single" w:sz="4" w:space="0" w:color="auto"/>
            <w:right w:val="single" w:sz="4" w:space="0" w:color="auto"/>
            <w:insideH w:val="single" w:sz="4" w:space="0" w:color="auto"/>
          </w:tblBorders>
        </w:tblPrEx>
        <w:tc>
          <w:tcPr>
            <w:tcW w:w="2154" w:type="dxa"/>
          </w:tcPr>
          <w:p w14:paraId="087C5E25" w14:textId="77777777" w:rsidR="00454A29" w:rsidRDefault="00454A29">
            <w:pPr>
              <w:pStyle w:val="ConsPlusNormal"/>
            </w:pPr>
            <w:r>
              <w:t>Оплата проезда детей</w:t>
            </w:r>
          </w:p>
        </w:tc>
        <w:tc>
          <w:tcPr>
            <w:tcW w:w="850" w:type="dxa"/>
          </w:tcPr>
          <w:p w14:paraId="263471F5" w14:textId="77777777" w:rsidR="00454A29" w:rsidRDefault="00454A29">
            <w:pPr>
              <w:pStyle w:val="ConsPlusNormal"/>
            </w:pPr>
          </w:p>
        </w:tc>
        <w:tc>
          <w:tcPr>
            <w:tcW w:w="1304" w:type="dxa"/>
          </w:tcPr>
          <w:p w14:paraId="4504868A" w14:textId="77777777" w:rsidR="00454A29" w:rsidRDefault="00454A29">
            <w:pPr>
              <w:pStyle w:val="ConsPlusNormal"/>
            </w:pPr>
          </w:p>
        </w:tc>
        <w:tc>
          <w:tcPr>
            <w:tcW w:w="850" w:type="dxa"/>
          </w:tcPr>
          <w:p w14:paraId="59AA415C" w14:textId="77777777" w:rsidR="00454A29" w:rsidRDefault="00454A29">
            <w:pPr>
              <w:pStyle w:val="ConsPlusNormal"/>
            </w:pPr>
          </w:p>
        </w:tc>
        <w:tc>
          <w:tcPr>
            <w:tcW w:w="1304" w:type="dxa"/>
          </w:tcPr>
          <w:p w14:paraId="739A4F78" w14:textId="77777777" w:rsidR="00454A29" w:rsidRDefault="00454A29">
            <w:pPr>
              <w:pStyle w:val="ConsPlusNormal"/>
            </w:pPr>
          </w:p>
        </w:tc>
        <w:tc>
          <w:tcPr>
            <w:tcW w:w="850" w:type="dxa"/>
          </w:tcPr>
          <w:p w14:paraId="01E7A1C3" w14:textId="77777777" w:rsidR="00454A29" w:rsidRDefault="00454A29">
            <w:pPr>
              <w:pStyle w:val="ConsPlusNormal"/>
            </w:pPr>
          </w:p>
        </w:tc>
        <w:tc>
          <w:tcPr>
            <w:tcW w:w="1304" w:type="dxa"/>
          </w:tcPr>
          <w:p w14:paraId="2E35705C" w14:textId="77777777" w:rsidR="00454A29" w:rsidRDefault="00454A29">
            <w:pPr>
              <w:pStyle w:val="ConsPlusNormal"/>
            </w:pPr>
          </w:p>
        </w:tc>
        <w:tc>
          <w:tcPr>
            <w:tcW w:w="850" w:type="dxa"/>
          </w:tcPr>
          <w:p w14:paraId="53244DF1" w14:textId="77777777" w:rsidR="00454A29" w:rsidRDefault="00454A29">
            <w:pPr>
              <w:pStyle w:val="ConsPlusNormal"/>
            </w:pPr>
          </w:p>
        </w:tc>
        <w:tc>
          <w:tcPr>
            <w:tcW w:w="1304" w:type="dxa"/>
          </w:tcPr>
          <w:p w14:paraId="32CF0333" w14:textId="77777777" w:rsidR="00454A29" w:rsidRDefault="00454A29">
            <w:pPr>
              <w:pStyle w:val="ConsPlusNormal"/>
            </w:pPr>
          </w:p>
        </w:tc>
        <w:tc>
          <w:tcPr>
            <w:tcW w:w="1304" w:type="dxa"/>
          </w:tcPr>
          <w:p w14:paraId="4ABA7D8A" w14:textId="77777777" w:rsidR="00454A29" w:rsidRDefault="00454A29">
            <w:pPr>
              <w:pStyle w:val="ConsPlusNormal"/>
            </w:pPr>
          </w:p>
        </w:tc>
        <w:tc>
          <w:tcPr>
            <w:tcW w:w="850" w:type="dxa"/>
          </w:tcPr>
          <w:p w14:paraId="6F6EF1F1" w14:textId="77777777" w:rsidR="00454A29" w:rsidRDefault="00454A29">
            <w:pPr>
              <w:pStyle w:val="ConsPlusNormal"/>
            </w:pPr>
          </w:p>
        </w:tc>
        <w:tc>
          <w:tcPr>
            <w:tcW w:w="1304" w:type="dxa"/>
          </w:tcPr>
          <w:p w14:paraId="0E44B073" w14:textId="77777777" w:rsidR="00454A29" w:rsidRDefault="00454A29">
            <w:pPr>
              <w:pStyle w:val="ConsPlusNormal"/>
            </w:pPr>
          </w:p>
        </w:tc>
        <w:tc>
          <w:tcPr>
            <w:tcW w:w="850" w:type="dxa"/>
          </w:tcPr>
          <w:p w14:paraId="7C31F607" w14:textId="77777777" w:rsidR="00454A29" w:rsidRDefault="00454A29">
            <w:pPr>
              <w:pStyle w:val="ConsPlusNormal"/>
            </w:pPr>
          </w:p>
        </w:tc>
        <w:tc>
          <w:tcPr>
            <w:tcW w:w="1304" w:type="dxa"/>
          </w:tcPr>
          <w:p w14:paraId="23B86AF9" w14:textId="77777777" w:rsidR="00454A29" w:rsidRDefault="00454A29">
            <w:pPr>
              <w:pStyle w:val="ConsPlusNormal"/>
            </w:pPr>
          </w:p>
        </w:tc>
        <w:tc>
          <w:tcPr>
            <w:tcW w:w="850" w:type="dxa"/>
          </w:tcPr>
          <w:p w14:paraId="74EC92D1" w14:textId="77777777" w:rsidR="00454A29" w:rsidRDefault="00454A29">
            <w:pPr>
              <w:pStyle w:val="ConsPlusNormal"/>
            </w:pPr>
          </w:p>
        </w:tc>
        <w:tc>
          <w:tcPr>
            <w:tcW w:w="1304" w:type="dxa"/>
          </w:tcPr>
          <w:p w14:paraId="32C95D41" w14:textId="77777777" w:rsidR="00454A29" w:rsidRDefault="00454A29">
            <w:pPr>
              <w:pStyle w:val="ConsPlusNormal"/>
            </w:pPr>
          </w:p>
        </w:tc>
        <w:tc>
          <w:tcPr>
            <w:tcW w:w="850" w:type="dxa"/>
          </w:tcPr>
          <w:p w14:paraId="720B4DDE" w14:textId="77777777" w:rsidR="00454A29" w:rsidRDefault="00454A29">
            <w:pPr>
              <w:pStyle w:val="ConsPlusNormal"/>
            </w:pPr>
          </w:p>
        </w:tc>
        <w:tc>
          <w:tcPr>
            <w:tcW w:w="1304" w:type="dxa"/>
          </w:tcPr>
          <w:p w14:paraId="36B733E3" w14:textId="77777777" w:rsidR="00454A29" w:rsidRDefault="00454A29">
            <w:pPr>
              <w:pStyle w:val="ConsPlusNormal"/>
            </w:pPr>
          </w:p>
        </w:tc>
        <w:tc>
          <w:tcPr>
            <w:tcW w:w="1304" w:type="dxa"/>
          </w:tcPr>
          <w:p w14:paraId="2D4E5738" w14:textId="77777777" w:rsidR="00454A29" w:rsidRDefault="00454A29">
            <w:pPr>
              <w:pStyle w:val="ConsPlusNormal"/>
            </w:pPr>
          </w:p>
        </w:tc>
      </w:tr>
      <w:tr w:rsidR="00454A29" w14:paraId="197534C1" w14:textId="77777777">
        <w:tblPrEx>
          <w:tblBorders>
            <w:left w:val="single" w:sz="4" w:space="0" w:color="auto"/>
            <w:right w:val="single" w:sz="4" w:space="0" w:color="auto"/>
            <w:insideH w:val="single" w:sz="4" w:space="0" w:color="auto"/>
          </w:tblBorders>
        </w:tblPrEx>
        <w:tc>
          <w:tcPr>
            <w:tcW w:w="2154" w:type="dxa"/>
          </w:tcPr>
          <w:p w14:paraId="68A8E9AB" w14:textId="77777777" w:rsidR="00454A29" w:rsidRDefault="00454A29">
            <w:pPr>
              <w:pStyle w:val="ConsPlusNormal"/>
            </w:pPr>
            <w:r>
              <w:t>На оплату труда педагогов и услуги по медобслуживанию</w:t>
            </w:r>
          </w:p>
        </w:tc>
        <w:tc>
          <w:tcPr>
            <w:tcW w:w="850" w:type="dxa"/>
          </w:tcPr>
          <w:p w14:paraId="33194001" w14:textId="77777777" w:rsidR="00454A29" w:rsidRDefault="00454A29">
            <w:pPr>
              <w:pStyle w:val="ConsPlusNormal"/>
            </w:pPr>
          </w:p>
        </w:tc>
        <w:tc>
          <w:tcPr>
            <w:tcW w:w="1304" w:type="dxa"/>
          </w:tcPr>
          <w:p w14:paraId="6AB93C01" w14:textId="77777777" w:rsidR="00454A29" w:rsidRDefault="00454A29">
            <w:pPr>
              <w:pStyle w:val="ConsPlusNormal"/>
            </w:pPr>
          </w:p>
        </w:tc>
        <w:tc>
          <w:tcPr>
            <w:tcW w:w="850" w:type="dxa"/>
          </w:tcPr>
          <w:p w14:paraId="5F3FE3CE" w14:textId="77777777" w:rsidR="00454A29" w:rsidRDefault="00454A29">
            <w:pPr>
              <w:pStyle w:val="ConsPlusNormal"/>
            </w:pPr>
          </w:p>
        </w:tc>
        <w:tc>
          <w:tcPr>
            <w:tcW w:w="1304" w:type="dxa"/>
          </w:tcPr>
          <w:p w14:paraId="31132FD3" w14:textId="77777777" w:rsidR="00454A29" w:rsidRDefault="00454A29">
            <w:pPr>
              <w:pStyle w:val="ConsPlusNormal"/>
            </w:pPr>
          </w:p>
        </w:tc>
        <w:tc>
          <w:tcPr>
            <w:tcW w:w="850" w:type="dxa"/>
          </w:tcPr>
          <w:p w14:paraId="481E9143" w14:textId="77777777" w:rsidR="00454A29" w:rsidRDefault="00454A29">
            <w:pPr>
              <w:pStyle w:val="ConsPlusNormal"/>
            </w:pPr>
          </w:p>
        </w:tc>
        <w:tc>
          <w:tcPr>
            <w:tcW w:w="1304" w:type="dxa"/>
          </w:tcPr>
          <w:p w14:paraId="57B7887C" w14:textId="77777777" w:rsidR="00454A29" w:rsidRDefault="00454A29">
            <w:pPr>
              <w:pStyle w:val="ConsPlusNormal"/>
            </w:pPr>
          </w:p>
        </w:tc>
        <w:tc>
          <w:tcPr>
            <w:tcW w:w="850" w:type="dxa"/>
          </w:tcPr>
          <w:p w14:paraId="36FBF263" w14:textId="77777777" w:rsidR="00454A29" w:rsidRDefault="00454A29">
            <w:pPr>
              <w:pStyle w:val="ConsPlusNormal"/>
            </w:pPr>
          </w:p>
        </w:tc>
        <w:tc>
          <w:tcPr>
            <w:tcW w:w="1304" w:type="dxa"/>
          </w:tcPr>
          <w:p w14:paraId="7A8E84AC" w14:textId="77777777" w:rsidR="00454A29" w:rsidRDefault="00454A29">
            <w:pPr>
              <w:pStyle w:val="ConsPlusNormal"/>
            </w:pPr>
          </w:p>
        </w:tc>
        <w:tc>
          <w:tcPr>
            <w:tcW w:w="1304" w:type="dxa"/>
          </w:tcPr>
          <w:p w14:paraId="4884A9FA" w14:textId="77777777" w:rsidR="00454A29" w:rsidRDefault="00454A29">
            <w:pPr>
              <w:pStyle w:val="ConsPlusNormal"/>
            </w:pPr>
          </w:p>
        </w:tc>
        <w:tc>
          <w:tcPr>
            <w:tcW w:w="850" w:type="dxa"/>
          </w:tcPr>
          <w:p w14:paraId="2479C073" w14:textId="77777777" w:rsidR="00454A29" w:rsidRDefault="00454A29">
            <w:pPr>
              <w:pStyle w:val="ConsPlusNormal"/>
            </w:pPr>
          </w:p>
        </w:tc>
        <w:tc>
          <w:tcPr>
            <w:tcW w:w="1304" w:type="dxa"/>
          </w:tcPr>
          <w:p w14:paraId="6DD8D371" w14:textId="77777777" w:rsidR="00454A29" w:rsidRDefault="00454A29">
            <w:pPr>
              <w:pStyle w:val="ConsPlusNormal"/>
            </w:pPr>
          </w:p>
        </w:tc>
        <w:tc>
          <w:tcPr>
            <w:tcW w:w="850" w:type="dxa"/>
          </w:tcPr>
          <w:p w14:paraId="323483D2" w14:textId="77777777" w:rsidR="00454A29" w:rsidRDefault="00454A29">
            <w:pPr>
              <w:pStyle w:val="ConsPlusNormal"/>
            </w:pPr>
          </w:p>
        </w:tc>
        <w:tc>
          <w:tcPr>
            <w:tcW w:w="1304" w:type="dxa"/>
          </w:tcPr>
          <w:p w14:paraId="23B1ED2D" w14:textId="77777777" w:rsidR="00454A29" w:rsidRDefault="00454A29">
            <w:pPr>
              <w:pStyle w:val="ConsPlusNormal"/>
            </w:pPr>
          </w:p>
        </w:tc>
        <w:tc>
          <w:tcPr>
            <w:tcW w:w="850" w:type="dxa"/>
          </w:tcPr>
          <w:p w14:paraId="7BE4A1AC" w14:textId="77777777" w:rsidR="00454A29" w:rsidRDefault="00454A29">
            <w:pPr>
              <w:pStyle w:val="ConsPlusNormal"/>
            </w:pPr>
          </w:p>
        </w:tc>
        <w:tc>
          <w:tcPr>
            <w:tcW w:w="1304" w:type="dxa"/>
          </w:tcPr>
          <w:p w14:paraId="0D1B4AE2" w14:textId="77777777" w:rsidR="00454A29" w:rsidRDefault="00454A29">
            <w:pPr>
              <w:pStyle w:val="ConsPlusNormal"/>
            </w:pPr>
          </w:p>
        </w:tc>
        <w:tc>
          <w:tcPr>
            <w:tcW w:w="850" w:type="dxa"/>
          </w:tcPr>
          <w:p w14:paraId="6B147C44" w14:textId="77777777" w:rsidR="00454A29" w:rsidRDefault="00454A29">
            <w:pPr>
              <w:pStyle w:val="ConsPlusNormal"/>
            </w:pPr>
          </w:p>
        </w:tc>
        <w:tc>
          <w:tcPr>
            <w:tcW w:w="1304" w:type="dxa"/>
          </w:tcPr>
          <w:p w14:paraId="0BF03770" w14:textId="77777777" w:rsidR="00454A29" w:rsidRDefault="00454A29">
            <w:pPr>
              <w:pStyle w:val="ConsPlusNormal"/>
            </w:pPr>
          </w:p>
        </w:tc>
        <w:tc>
          <w:tcPr>
            <w:tcW w:w="1304" w:type="dxa"/>
          </w:tcPr>
          <w:p w14:paraId="198B8B8C" w14:textId="77777777" w:rsidR="00454A29" w:rsidRDefault="00454A29">
            <w:pPr>
              <w:pStyle w:val="ConsPlusNormal"/>
            </w:pPr>
          </w:p>
        </w:tc>
      </w:tr>
    </w:tbl>
    <w:p w14:paraId="4075A11C" w14:textId="77777777" w:rsidR="00454A29" w:rsidRDefault="00454A29">
      <w:pPr>
        <w:sectPr w:rsidR="00454A29">
          <w:pgSz w:w="16838" w:h="11905" w:orient="landscape"/>
          <w:pgMar w:top="1701" w:right="1134" w:bottom="850" w:left="1134" w:header="0" w:footer="0" w:gutter="0"/>
          <w:cols w:space="720"/>
        </w:sectPr>
      </w:pPr>
    </w:p>
    <w:p w14:paraId="7BB29692" w14:textId="77777777" w:rsidR="00454A29" w:rsidRDefault="00454A2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381"/>
        <w:gridCol w:w="680"/>
        <w:gridCol w:w="2989"/>
      </w:tblGrid>
      <w:tr w:rsidR="00454A29" w14:paraId="14E69F0E" w14:textId="77777777">
        <w:tc>
          <w:tcPr>
            <w:tcW w:w="2835" w:type="dxa"/>
            <w:tcBorders>
              <w:top w:val="nil"/>
              <w:left w:val="nil"/>
              <w:bottom w:val="nil"/>
              <w:right w:val="nil"/>
            </w:tcBorders>
          </w:tcPr>
          <w:p w14:paraId="0D47525B" w14:textId="77777777" w:rsidR="00454A29" w:rsidRDefault="00454A29">
            <w:pPr>
              <w:pStyle w:val="ConsPlusNormal"/>
            </w:pPr>
            <w:r>
              <w:t>Глава</w:t>
            </w:r>
          </w:p>
        </w:tc>
        <w:tc>
          <w:tcPr>
            <w:tcW w:w="2381" w:type="dxa"/>
            <w:tcBorders>
              <w:top w:val="nil"/>
              <w:left w:val="nil"/>
              <w:bottom w:val="single" w:sz="4" w:space="0" w:color="auto"/>
              <w:right w:val="nil"/>
            </w:tcBorders>
          </w:tcPr>
          <w:p w14:paraId="042F3585" w14:textId="77777777" w:rsidR="00454A29" w:rsidRDefault="00454A29">
            <w:pPr>
              <w:pStyle w:val="ConsPlusNormal"/>
            </w:pPr>
          </w:p>
        </w:tc>
        <w:tc>
          <w:tcPr>
            <w:tcW w:w="680" w:type="dxa"/>
            <w:tcBorders>
              <w:top w:val="nil"/>
              <w:left w:val="nil"/>
              <w:bottom w:val="nil"/>
              <w:right w:val="nil"/>
            </w:tcBorders>
          </w:tcPr>
          <w:p w14:paraId="2224D53B" w14:textId="77777777" w:rsidR="00454A29" w:rsidRDefault="00454A29">
            <w:pPr>
              <w:pStyle w:val="ConsPlusNormal"/>
            </w:pPr>
          </w:p>
        </w:tc>
        <w:tc>
          <w:tcPr>
            <w:tcW w:w="2989" w:type="dxa"/>
            <w:tcBorders>
              <w:top w:val="nil"/>
              <w:left w:val="nil"/>
              <w:bottom w:val="single" w:sz="4" w:space="0" w:color="auto"/>
              <w:right w:val="nil"/>
            </w:tcBorders>
          </w:tcPr>
          <w:p w14:paraId="7A150ED3" w14:textId="77777777" w:rsidR="00454A29" w:rsidRDefault="00454A29">
            <w:pPr>
              <w:pStyle w:val="ConsPlusNormal"/>
            </w:pPr>
          </w:p>
        </w:tc>
      </w:tr>
      <w:tr w:rsidR="00454A29" w14:paraId="3BEDDDA1" w14:textId="77777777">
        <w:tc>
          <w:tcPr>
            <w:tcW w:w="2835" w:type="dxa"/>
            <w:tcBorders>
              <w:top w:val="nil"/>
              <w:left w:val="nil"/>
              <w:bottom w:val="nil"/>
              <w:right w:val="nil"/>
            </w:tcBorders>
          </w:tcPr>
          <w:p w14:paraId="6E708CDD" w14:textId="77777777" w:rsidR="00454A29" w:rsidRDefault="00454A29">
            <w:pPr>
              <w:pStyle w:val="ConsPlusNormal"/>
              <w:jc w:val="right"/>
            </w:pPr>
            <w:r>
              <w:t>М.П.</w:t>
            </w:r>
          </w:p>
        </w:tc>
        <w:tc>
          <w:tcPr>
            <w:tcW w:w="2381" w:type="dxa"/>
            <w:tcBorders>
              <w:top w:val="single" w:sz="4" w:space="0" w:color="auto"/>
              <w:left w:val="nil"/>
              <w:bottom w:val="nil"/>
              <w:right w:val="nil"/>
            </w:tcBorders>
          </w:tcPr>
          <w:p w14:paraId="6ED8DDA3" w14:textId="77777777" w:rsidR="00454A29" w:rsidRDefault="00454A29">
            <w:pPr>
              <w:pStyle w:val="ConsPlusNormal"/>
              <w:jc w:val="center"/>
            </w:pPr>
            <w:r>
              <w:t>(личная подпись)</w:t>
            </w:r>
          </w:p>
        </w:tc>
        <w:tc>
          <w:tcPr>
            <w:tcW w:w="680" w:type="dxa"/>
            <w:tcBorders>
              <w:top w:val="nil"/>
              <w:left w:val="nil"/>
              <w:bottom w:val="nil"/>
              <w:right w:val="nil"/>
            </w:tcBorders>
          </w:tcPr>
          <w:p w14:paraId="10BBB107" w14:textId="77777777" w:rsidR="00454A29" w:rsidRDefault="00454A29">
            <w:pPr>
              <w:pStyle w:val="ConsPlusNormal"/>
            </w:pPr>
          </w:p>
        </w:tc>
        <w:tc>
          <w:tcPr>
            <w:tcW w:w="2989" w:type="dxa"/>
            <w:tcBorders>
              <w:top w:val="single" w:sz="4" w:space="0" w:color="auto"/>
              <w:left w:val="nil"/>
              <w:bottom w:val="nil"/>
              <w:right w:val="nil"/>
            </w:tcBorders>
          </w:tcPr>
          <w:p w14:paraId="0B8301EF" w14:textId="77777777" w:rsidR="00454A29" w:rsidRDefault="00454A29">
            <w:pPr>
              <w:pStyle w:val="ConsPlusNormal"/>
              <w:jc w:val="center"/>
            </w:pPr>
            <w:r>
              <w:t>(инициалы, фамилия)</w:t>
            </w:r>
          </w:p>
        </w:tc>
      </w:tr>
      <w:tr w:rsidR="00454A29" w14:paraId="00E906B1" w14:textId="77777777">
        <w:tc>
          <w:tcPr>
            <w:tcW w:w="8885" w:type="dxa"/>
            <w:gridSpan w:val="4"/>
            <w:tcBorders>
              <w:top w:val="nil"/>
              <w:left w:val="nil"/>
              <w:bottom w:val="nil"/>
              <w:right w:val="nil"/>
            </w:tcBorders>
          </w:tcPr>
          <w:p w14:paraId="2F5C3EFC" w14:textId="77777777" w:rsidR="00454A29" w:rsidRDefault="00454A29">
            <w:pPr>
              <w:pStyle w:val="ConsPlusNormal"/>
            </w:pPr>
          </w:p>
        </w:tc>
      </w:tr>
      <w:tr w:rsidR="00454A29" w14:paraId="69B2D0AB" w14:textId="77777777">
        <w:tc>
          <w:tcPr>
            <w:tcW w:w="2835" w:type="dxa"/>
            <w:tcBorders>
              <w:top w:val="nil"/>
              <w:left w:val="nil"/>
              <w:bottom w:val="nil"/>
              <w:right w:val="nil"/>
            </w:tcBorders>
          </w:tcPr>
          <w:p w14:paraId="06B2702C" w14:textId="77777777" w:rsidR="00454A29" w:rsidRDefault="00454A29">
            <w:pPr>
              <w:pStyle w:val="ConsPlusNormal"/>
            </w:pPr>
            <w:r>
              <w:t>Исполнитель</w:t>
            </w:r>
          </w:p>
        </w:tc>
        <w:tc>
          <w:tcPr>
            <w:tcW w:w="2381" w:type="dxa"/>
            <w:tcBorders>
              <w:top w:val="nil"/>
              <w:left w:val="nil"/>
              <w:bottom w:val="single" w:sz="4" w:space="0" w:color="auto"/>
              <w:right w:val="nil"/>
            </w:tcBorders>
          </w:tcPr>
          <w:p w14:paraId="0686007C" w14:textId="77777777" w:rsidR="00454A29" w:rsidRDefault="00454A29">
            <w:pPr>
              <w:pStyle w:val="ConsPlusNormal"/>
            </w:pPr>
          </w:p>
        </w:tc>
        <w:tc>
          <w:tcPr>
            <w:tcW w:w="680" w:type="dxa"/>
            <w:tcBorders>
              <w:top w:val="nil"/>
              <w:left w:val="nil"/>
              <w:bottom w:val="nil"/>
              <w:right w:val="nil"/>
            </w:tcBorders>
          </w:tcPr>
          <w:p w14:paraId="5DCD5260" w14:textId="77777777" w:rsidR="00454A29" w:rsidRDefault="00454A29">
            <w:pPr>
              <w:pStyle w:val="ConsPlusNormal"/>
            </w:pPr>
          </w:p>
        </w:tc>
        <w:tc>
          <w:tcPr>
            <w:tcW w:w="2989" w:type="dxa"/>
            <w:tcBorders>
              <w:top w:val="nil"/>
              <w:left w:val="nil"/>
              <w:bottom w:val="single" w:sz="4" w:space="0" w:color="auto"/>
              <w:right w:val="nil"/>
            </w:tcBorders>
          </w:tcPr>
          <w:p w14:paraId="28DE0D59" w14:textId="77777777" w:rsidR="00454A29" w:rsidRDefault="00454A29">
            <w:pPr>
              <w:pStyle w:val="ConsPlusNormal"/>
            </w:pPr>
          </w:p>
        </w:tc>
      </w:tr>
      <w:tr w:rsidR="00454A29" w14:paraId="4882AC55" w14:textId="77777777">
        <w:tc>
          <w:tcPr>
            <w:tcW w:w="2835" w:type="dxa"/>
            <w:tcBorders>
              <w:top w:val="nil"/>
              <w:left w:val="nil"/>
              <w:bottom w:val="nil"/>
              <w:right w:val="nil"/>
            </w:tcBorders>
          </w:tcPr>
          <w:p w14:paraId="0BFC18F3" w14:textId="77777777" w:rsidR="00454A29" w:rsidRDefault="00454A29">
            <w:pPr>
              <w:pStyle w:val="ConsPlusNormal"/>
            </w:pPr>
          </w:p>
        </w:tc>
        <w:tc>
          <w:tcPr>
            <w:tcW w:w="2381" w:type="dxa"/>
            <w:tcBorders>
              <w:top w:val="single" w:sz="4" w:space="0" w:color="auto"/>
              <w:left w:val="nil"/>
              <w:bottom w:val="nil"/>
              <w:right w:val="nil"/>
            </w:tcBorders>
          </w:tcPr>
          <w:p w14:paraId="6155DA2C" w14:textId="77777777" w:rsidR="00454A29" w:rsidRDefault="00454A29">
            <w:pPr>
              <w:pStyle w:val="ConsPlusNormal"/>
              <w:jc w:val="center"/>
            </w:pPr>
            <w:r>
              <w:t>(личная подпись)</w:t>
            </w:r>
          </w:p>
        </w:tc>
        <w:tc>
          <w:tcPr>
            <w:tcW w:w="680" w:type="dxa"/>
            <w:tcBorders>
              <w:top w:val="nil"/>
              <w:left w:val="nil"/>
              <w:bottom w:val="nil"/>
              <w:right w:val="nil"/>
            </w:tcBorders>
          </w:tcPr>
          <w:p w14:paraId="359FB728" w14:textId="77777777" w:rsidR="00454A29" w:rsidRDefault="00454A29">
            <w:pPr>
              <w:pStyle w:val="ConsPlusNormal"/>
            </w:pPr>
          </w:p>
        </w:tc>
        <w:tc>
          <w:tcPr>
            <w:tcW w:w="2989" w:type="dxa"/>
            <w:tcBorders>
              <w:top w:val="single" w:sz="4" w:space="0" w:color="auto"/>
              <w:left w:val="nil"/>
              <w:bottom w:val="nil"/>
              <w:right w:val="nil"/>
            </w:tcBorders>
          </w:tcPr>
          <w:p w14:paraId="4B4245F5" w14:textId="77777777" w:rsidR="00454A29" w:rsidRDefault="00454A29">
            <w:pPr>
              <w:pStyle w:val="ConsPlusNormal"/>
              <w:jc w:val="center"/>
            </w:pPr>
            <w:r>
              <w:t>(инициалы, фамилия)</w:t>
            </w:r>
          </w:p>
        </w:tc>
      </w:tr>
      <w:tr w:rsidR="00454A29" w14:paraId="7C8C0028" w14:textId="77777777">
        <w:tc>
          <w:tcPr>
            <w:tcW w:w="8885" w:type="dxa"/>
            <w:gridSpan w:val="4"/>
            <w:tcBorders>
              <w:top w:val="nil"/>
              <w:left w:val="nil"/>
              <w:bottom w:val="nil"/>
              <w:right w:val="nil"/>
            </w:tcBorders>
          </w:tcPr>
          <w:p w14:paraId="581A1B09" w14:textId="77777777" w:rsidR="00454A29" w:rsidRDefault="00454A29">
            <w:pPr>
              <w:pStyle w:val="ConsPlusNormal"/>
            </w:pPr>
          </w:p>
        </w:tc>
      </w:tr>
      <w:tr w:rsidR="00454A29" w14:paraId="2D2BAD5C" w14:textId="77777777">
        <w:tc>
          <w:tcPr>
            <w:tcW w:w="2835" w:type="dxa"/>
            <w:tcBorders>
              <w:top w:val="nil"/>
              <w:left w:val="nil"/>
              <w:bottom w:val="nil"/>
              <w:right w:val="nil"/>
            </w:tcBorders>
          </w:tcPr>
          <w:p w14:paraId="21EF0135" w14:textId="77777777" w:rsidR="00454A29" w:rsidRDefault="00454A29">
            <w:pPr>
              <w:pStyle w:val="ConsPlusNormal"/>
            </w:pPr>
            <w:r>
              <w:t>Контактный номер</w:t>
            </w:r>
          </w:p>
        </w:tc>
        <w:tc>
          <w:tcPr>
            <w:tcW w:w="2381" w:type="dxa"/>
            <w:tcBorders>
              <w:top w:val="nil"/>
              <w:left w:val="nil"/>
              <w:bottom w:val="single" w:sz="4" w:space="0" w:color="auto"/>
              <w:right w:val="nil"/>
            </w:tcBorders>
          </w:tcPr>
          <w:p w14:paraId="690E1FB3" w14:textId="77777777" w:rsidR="00454A29" w:rsidRDefault="00454A29">
            <w:pPr>
              <w:pStyle w:val="ConsPlusNormal"/>
            </w:pPr>
          </w:p>
        </w:tc>
        <w:tc>
          <w:tcPr>
            <w:tcW w:w="680" w:type="dxa"/>
            <w:tcBorders>
              <w:top w:val="nil"/>
              <w:left w:val="nil"/>
              <w:bottom w:val="nil"/>
              <w:right w:val="nil"/>
            </w:tcBorders>
          </w:tcPr>
          <w:p w14:paraId="5DE300E0" w14:textId="77777777" w:rsidR="00454A29" w:rsidRDefault="00454A29">
            <w:pPr>
              <w:pStyle w:val="ConsPlusNormal"/>
            </w:pPr>
          </w:p>
        </w:tc>
        <w:tc>
          <w:tcPr>
            <w:tcW w:w="2989" w:type="dxa"/>
            <w:tcBorders>
              <w:top w:val="nil"/>
              <w:left w:val="nil"/>
              <w:bottom w:val="nil"/>
              <w:right w:val="nil"/>
            </w:tcBorders>
          </w:tcPr>
          <w:p w14:paraId="68A56BF6" w14:textId="77777777" w:rsidR="00454A29" w:rsidRDefault="00454A29">
            <w:pPr>
              <w:pStyle w:val="ConsPlusNormal"/>
            </w:pPr>
          </w:p>
        </w:tc>
      </w:tr>
    </w:tbl>
    <w:p w14:paraId="7FA678F6" w14:textId="77777777" w:rsidR="00454A29" w:rsidRDefault="00454A29">
      <w:pPr>
        <w:pStyle w:val="ConsPlusNormal"/>
      </w:pPr>
    </w:p>
    <w:p w14:paraId="307B6DB4" w14:textId="77777777" w:rsidR="00454A29" w:rsidRDefault="00454A29">
      <w:pPr>
        <w:pStyle w:val="ConsPlusNormal"/>
      </w:pPr>
    </w:p>
    <w:p w14:paraId="0A2C6172" w14:textId="77777777" w:rsidR="00454A29" w:rsidRDefault="00454A29">
      <w:pPr>
        <w:pStyle w:val="ConsPlusNormal"/>
      </w:pPr>
    </w:p>
    <w:p w14:paraId="63A2F7BA" w14:textId="77777777" w:rsidR="00454A29" w:rsidRDefault="00454A29">
      <w:pPr>
        <w:pStyle w:val="ConsPlusNormal"/>
      </w:pPr>
    </w:p>
    <w:p w14:paraId="7E0685F0" w14:textId="77777777" w:rsidR="00454A29" w:rsidRDefault="00454A29">
      <w:pPr>
        <w:pStyle w:val="ConsPlusNormal"/>
      </w:pPr>
    </w:p>
    <w:p w14:paraId="5B4D538E" w14:textId="77777777" w:rsidR="00454A29" w:rsidRDefault="00454A29">
      <w:pPr>
        <w:pStyle w:val="ConsPlusNormal"/>
        <w:jc w:val="right"/>
        <w:outlineLvl w:val="1"/>
      </w:pPr>
      <w:r>
        <w:t>Приложение N 7</w:t>
      </w:r>
    </w:p>
    <w:p w14:paraId="408B42BB" w14:textId="77777777" w:rsidR="00454A29" w:rsidRDefault="00454A29">
      <w:pPr>
        <w:pStyle w:val="ConsPlusNormal"/>
        <w:jc w:val="right"/>
      </w:pPr>
      <w:r>
        <w:t>к государственной программе</w:t>
      </w:r>
    </w:p>
    <w:p w14:paraId="398BD919" w14:textId="77777777" w:rsidR="00454A29" w:rsidRDefault="00454A29">
      <w:pPr>
        <w:pStyle w:val="ConsPlusNormal"/>
        <w:jc w:val="right"/>
      </w:pPr>
      <w:r>
        <w:t>Республики Саха (Якутия)</w:t>
      </w:r>
    </w:p>
    <w:p w14:paraId="451473C4" w14:textId="77777777" w:rsidR="00454A29" w:rsidRDefault="00454A29">
      <w:pPr>
        <w:pStyle w:val="ConsPlusNormal"/>
        <w:jc w:val="right"/>
      </w:pPr>
      <w:r>
        <w:t>"Развитие образования</w:t>
      </w:r>
    </w:p>
    <w:p w14:paraId="3CA9FE52" w14:textId="77777777" w:rsidR="00454A29" w:rsidRDefault="00454A29">
      <w:pPr>
        <w:pStyle w:val="ConsPlusNormal"/>
        <w:jc w:val="right"/>
      </w:pPr>
      <w:r>
        <w:t>Республики Саха (Якутия)</w:t>
      </w:r>
    </w:p>
    <w:p w14:paraId="608E5AA4" w14:textId="77777777" w:rsidR="00454A29" w:rsidRDefault="00454A29">
      <w:pPr>
        <w:pStyle w:val="ConsPlusNormal"/>
        <w:jc w:val="right"/>
      </w:pPr>
      <w:r>
        <w:t>на 2020 - 2024 годы и на плановый</w:t>
      </w:r>
    </w:p>
    <w:p w14:paraId="50383106" w14:textId="77777777" w:rsidR="00454A29" w:rsidRDefault="00454A29">
      <w:pPr>
        <w:pStyle w:val="ConsPlusNormal"/>
        <w:jc w:val="right"/>
      </w:pPr>
      <w:r>
        <w:t>период до 2026 года"</w:t>
      </w:r>
    </w:p>
    <w:p w14:paraId="16BD9F27" w14:textId="77777777" w:rsidR="00454A29" w:rsidRDefault="00454A29">
      <w:pPr>
        <w:pStyle w:val="ConsPlusNormal"/>
      </w:pPr>
    </w:p>
    <w:p w14:paraId="038F6B32" w14:textId="77777777" w:rsidR="00454A29" w:rsidRDefault="00454A29">
      <w:pPr>
        <w:pStyle w:val="ConsPlusTitle"/>
        <w:jc w:val="center"/>
      </w:pPr>
      <w:bookmarkStart w:id="12" w:name="P33075"/>
      <w:bookmarkEnd w:id="12"/>
      <w:r>
        <w:t>ПОРЯДОК</w:t>
      </w:r>
    </w:p>
    <w:p w14:paraId="30101057" w14:textId="77777777" w:rsidR="00454A29" w:rsidRDefault="00454A29">
      <w:pPr>
        <w:pStyle w:val="ConsPlusTitle"/>
        <w:jc w:val="center"/>
      </w:pPr>
      <w:r>
        <w:t>ПРЕДОСТАВЛЕНИЯ И РАСПРЕДЕЛЕНИЯ СУБСИДИЙ НА ВОССТАНОВЛЕНИЕ</w:t>
      </w:r>
    </w:p>
    <w:p w14:paraId="734FB5C4" w14:textId="77777777" w:rsidR="00454A29" w:rsidRDefault="00454A29">
      <w:pPr>
        <w:pStyle w:val="ConsPlusTitle"/>
        <w:jc w:val="center"/>
      </w:pPr>
      <w:r>
        <w:t>И УКРЕПЛЕНИЕ МАТЕРИАЛЬНО-ТЕХНИЧЕСКОЙ БАЗЫ ОРГАНИЗАЦИЙ ОТДЫХА</w:t>
      </w:r>
    </w:p>
    <w:p w14:paraId="53FD0A13" w14:textId="77777777" w:rsidR="00454A29" w:rsidRDefault="00454A29">
      <w:pPr>
        <w:pStyle w:val="ConsPlusTitle"/>
        <w:jc w:val="center"/>
      </w:pPr>
      <w:r>
        <w:t>ДЕТЕЙ ОРГАНАМ МЕСТНОГО САМОУПРАВЛЕНИЯ МУНИЦИПАЛЬНЫХ РАЙОНОВ</w:t>
      </w:r>
    </w:p>
    <w:p w14:paraId="2D786E12" w14:textId="77777777" w:rsidR="00454A29" w:rsidRDefault="00454A29">
      <w:pPr>
        <w:pStyle w:val="ConsPlusTitle"/>
        <w:jc w:val="center"/>
      </w:pPr>
      <w:r>
        <w:t>И ГОРОДСКИХ ОКРУГОВ РЕСПУБЛИКИ САХА (ЯКУТИЯ)</w:t>
      </w:r>
    </w:p>
    <w:p w14:paraId="002362FD" w14:textId="77777777" w:rsidR="00454A29" w:rsidRDefault="00454A29">
      <w:pPr>
        <w:pStyle w:val="ConsPlusNormal"/>
      </w:pPr>
    </w:p>
    <w:p w14:paraId="68992B18" w14:textId="77777777" w:rsidR="00454A29" w:rsidRDefault="00454A29">
      <w:pPr>
        <w:pStyle w:val="ConsPlusTitle"/>
        <w:jc w:val="center"/>
        <w:outlineLvl w:val="2"/>
      </w:pPr>
      <w:r>
        <w:t>I. Общие положения</w:t>
      </w:r>
    </w:p>
    <w:p w14:paraId="571737D9" w14:textId="77777777" w:rsidR="00454A29" w:rsidRDefault="00454A29">
      <w:pPr>
        <w:pStyle w:val="ConsPlusNormal"/>
      </w:pPr>
    </w:p>
    <w:p w14:paraId="30C658EC" w14:textId="77777777" w:rsidR="00454A29" w:rsidRDefault="00454A29">
      <w:pPr>
        <w:pStyle w:val="ConsPlusNormal"/>
        <w:ind w:firstLine="540"/>
        <w:jc w:val="both"/>
      </w:pPr>
      <w:r>
        <w:t xml:space="preserve">1.1. Порядок предоставления и распределения субсидий на восстановление и укрепление материально-технической базы организаций отдыха детей органам местного самоуправления муниципальных районов и городских округов Республики Саха (Якутия) (далее - Порядок) разработан в соответствии со </w:t>
      </w:r>
      <w:hyperlink r:id="rId37" w:history="1">
        <w:r>
          <w:rPr>
            <w:color w:val="0000FF"/>
          </w:rPr>
          <w:t>статьей 139</w:t>
        </w:r>
      </w:hyperlink>
      <w:r>
        <w:t xml:space="preserve"> Бюджетного кодекса Российской Федерации.</w:t>
      </w:r>
    </w:p>
    <w:p w14:paraId="444E2E73" w14:textId="77777777" w:rsidR="00454A29" w:rsidRDefault="00454A29">
      <w:pPr>
        <w:pStyle w:val="ConsPlusNormal"/>
        <w:spacing w:before="220"/>
        <w:ind w:firstLine="540"/>
        <w:jc w:val="both"/>
      </w:pPr>
      <w:r>
        <w:t>1.2. Порядок устанавливает цели и условия предоставления и распределения субсидий органам местного самоуправления муниципальных районов и городских округов Республики Саха (Якутия) из государственного бюджета Республики Саха (Якутия), критерии отбора органов местного самоуправления муниципальных районов и городских округов Республики Саха (Якутия) и их распределение между органами местного самоуправления муниципальных районов и городских округов Республики Саха (Якутия), направляемых на восстановление и укрепление материально-технической базы организаций отдыха детей.</w:t>
      </w:r>
    </w:p>
    <w:p w14:paraId="0658CE05" w14:textId="77777777" w:rsidR="00454A29" w:rsidRDefault="00454A29">
      <w:pPr>
        <w:pStyle w:val="ConsPlusNormal"/>
        <w:spacing w:before="220"/>
        <w:ind w:firstLine="540"/>
        <w:jc w:val="both"/>
      </w:pPr>
      <w:r>
        <w:t>1.3. Для получения субсидии на очередной финансовый год органы местного самоуправления муниципального района, городского округа Республики Саха (Якутия) представляют в Министерство образования и науки Республики Саха (Якутия) до 1 октября текущего года следующие документы:</w:t>
      </w:r>
    </w:p>
    <w:p w14:paraId="17E439EF" w14:textId="77777777" w:rsidR="00454A29" w:rsidRDefault="00454A29">
      <w:pPr>
        <w:pStyle w:val="ConsPlusNormal"/>
        <w:spacing w:before="220"/>
        <w:ind w:firstLine="540"/>
        <w:jc w:val="both"/>
      </w:pPr>
      <w:r>
        <w:t xml:space="preserve">1) справку о количестве детей школьного возраста от 6 лет 6 месяцев до 18 лет в соответствии с данными территориального органа Федеральной службы государственной статистики по </w:t>
      </w:r>
      <w:r>
        <w:lastRenderedPageBreak/>
        <w:t>Республике Саха (Якутия) на отчетный календарный год;</w:t>
      </w:r>
    </w:p>
    <w:p w14:paraId="298F4E6E" w14:textId="77777777" w:rsidR="00454A29" w:rsidRDefault="00454A29">
      <w:pPr>
        <w:pStyle w:val="ConsPlusNormal"/>
        <w:spacing w:before="220"/>
        <w:ind w:firstLine="540"/>
        <w:jc w:val="both"/>
      </w:pPr>
      <w:r>
        <w:t>2) заключение межведомственной комиссии по приемке объектов отдыха и оздоровления детей о наличии потребности в проведении ремонтно-восстановительных работ и укреплении материально-технической базы организации отдыха детей;</w:t>
      </w:r>
    </w:p>
    <w:p w14:paraId="79C0AC2C" w14:textId="77777777" w:rsidR="00454A29" w:rsidRDefault="00454A29">
      <w:pPr>
        <w:pStyle w:val="ConsPlusNormal"/>
        <w:spacing w:before="220"/>
        <w:ind w:firstLine="540"/>
        <w:jc w:val="both"/>
      </w:pPr>
      <w:r>
        <w:t>3) выписку из нормативного правового акта органа местного самоуправления муниципального района или городского округа Республики Саха (Якутия), регламентирующего вопросы укрепления материально-технической базы организаций отдыха детей;</w:t>
      </w:r>
    </w:p>
    <w:p w14:paraId="6F9A087F" w14:textId="77777777" w:rsidR="00454A29" w:rsidRDefault="00454A29">
      <w:pPr>
        <w:pStyle w:val="ConsPlusNormal"/>
        <w:spacing w:before="220"/>
        <w:ind w:firstLine="540"/>
        <w:jc w:val="both"/>
      </w:pPr>
      <w:r>
        <w:t>4) обязательство органа местного самоуправления муниципального района или городского округа Республики Саха (Якутия) по установлению муниципальными программами и иными муниципальными правовыми актами органов местного самоуправления соответствующих значений показателей результативности предоставления субсидий на реализацию мероприятий по организации отдыха детей в каникулярное время, определенных соглашением о предоставлении субсидии местному бюджету из государственного бюджета Республики Саха (Якутия) на восстановление и укрепление материально-технической базы организаций отдыха детей.</w:t>
      </w:r>
    </w:p>
    <w:p w14:paraId="0344DB5D" w14:textId="77777777" w:rsidR="00454A29" w:rsidRDefault="00454A29">
      <w:pPr>
        <w:pStyle w:val="ConsPlusNormal"/>
        <w:spacing w:before="220"/>
        <w:ind w:firstLine="540"/>
        <w:jc w:val="both"/>
      </w:pPr>
      <w:r>
        <w:t>1.4. Органы местного самоуправления муниципального района и городского округа Республики Саха (Якутия) несут ответственность за достоверность представляемых документов в соответствии с действующим законодательством.</w:t>
      </w:r>
    </w:p>
    <w:p w14:paraId="03A02F91" w14:textId="77777777" w:rsidR="00454A29" w:rsidRDefault="00454A29">
      <w:pPr>
        <w:pStyle w:val="ConsPlusNormal"/>
        <w:spacing w:before="220"/>
        <w:ind w:firstLine="540"/>
        <w:jc w:val="both"/>
      </w:pPr>
      <w:r>
        <w:t>1.5. Комиссия по рассмотрению заявок на получение субсидий органами местного самоуправления муниципальных районов и городских округов Республики Саха (Якутия), созданная Министерством образования и науки Республики Саха (Якутия), в течение 5 рабочих дней с момента регистрации заявки рассматривает представленные документы и принимает решение о соответствии муниципального района или городского округа Республики Саха (Якутия) критериям отбора для предоставления субсидии либо о несоответствии критериям, утверждаемое приказом Министерства образования и науки Республики Саха (Якутия).</w:t>
      </w:r>
    </w:p>
    <w:p w14:paraId="334D8AAC" w14:textId="77777777" w:rsidR="00454A29" w:rsidRDefault="00454A29">
      <w:pPr>
        <w:pStyle w:val="ConsPlusNormal"/>
        <w:spacing w:before="220"/>
        <w:ind w:firstLine="540"/>
        <w:jc w:val="both"/>
      </w:pPr>
      <w:r>
        <w:t>1.6. Основаниями для отказа муниципальному району или городскому округу Республики Саха (Якутия) в предоставлении субсидии являются:</w:t>
      </w:r>
    </w:p>
    <w:p w14:paraId="40CDAD69" w14:textId="77777777" w:rsidR="00454A29" w:rsidRDefault="00454A29">
      <w:pPr>
        <w:pStyle w:val="ConsPlusNormal"/>
        <w:spacing w:before="220"/>
        <w:ind w:firstLine="540"/>
        <w:jc w:val="both"/>
      </w:pPr>
      <w:r>
        <w:t xml:space="preserve">а) несоответствие условиям предоставления субсидии, указанным в </w:t>
      </w:r>
      <w:hyperlink w:anchor="P33109" w:history="1">
        <w:r>
          <w:rPr>
            <w:color w:val="0000FF"/>
          </w:rPr>
          <w:t>пункте 2.4</w:t>
        </w:r>
      </w:hyperlink>
      <w:r>
        <w:t xml:space="preserve"> настоящего Порядка;</w:t>
      </w:r>
    </w:p>
    <w:p w14:paraId="2D8263EF" w14:textId="77777777" w:rsidR="00454A29" w:rsidRDefault="00454A29">
      <w:pPr>
        <w:pStyle w:val="ConsPlusNormal"/>
        <w:spacing w:before="220"/>
        <w:ind w:firstLine="540"/>
        <w:jc w:val="both"/>
      </w:pPr>
      <w:r>
        <w:t>б) несоответствие критериям;</w:t>
      </w:r>
    </w:p>
    <w:p w14:paraId="7E408E41" w14:textId="77777777" w:rsidR="00454A29" w:rsidRDefault="00454A29">
      <w:pPr>
        <w:pStyle w:val="ConsPlusNormal"/>
        <w:spacing w:before="220"/>
        <w:ind w:firstLine="540"/>
        <w:jc w:val="both"/>
      </w:pPr>
      <w:r>
        <w:t>в) неполнота документов в составе заявки.</w:t>
      </w:r>
    </w:p>
    <w:p w14:paraId="0D9E49EE" w14:textId="77777777" w:rsidR="00454A29" w:rsidRDefault="00454A29">
      <w:pPr>
        <w:pStyle w:val="ConsPlusNormal"/>
        <w:spacing w:before="220"/>
        <w:ind w:firstLine="540"/>
        <w:jc w:val="both"/>
      </w:pPr>
      <w:r>
        <w:t>В случае принятия решения о несоответствии критериям или неполноте документов в составе заявки для предоставления субсидии Министерство образования и науки Республики Саха (Якутия) со дня принятия такого решения возвращает муниципальному району или городскому округу документы с письменным указанием причин возврата.</w:t>
      </w:r>
    </w:p>
    <w:p w14:paraId="0C86DBBF" w14:textId="77777777" w:rsidR="00454A29" w:rsidRDefault="00454A29">
      <w:pPr>
        <w:pStyle w:val="ConsPlusNormal"/>
        <w:spacing w:before="220"/>
        <w:ind w:firstLine="540"/>
        <w:jc w:val="both"/>
      </w:pPr>
      <w:r>
        <w:t>В течение 15 рабочих дней со дня получения решения о несоответствии критериям или неполноте документов в составе заявки муниципальный район или городской округ имеет право повторно подать документы на предоставление субсидии в случае устранения выявленных несоответствий.</w:t>
      </w:r>
    </w:p>
    <w:p w14:paraId="2CA8EF47" w14:textId="77777777" w:rsidR="00454A29" w:rsidRDefault="00454A29">
      <w:pPr>
        <w:pStyle w:val="ConsPlusNormal"/>
      </w:pPr>
    </w:p>
    <w:p w14:paraId="67F035CE" w14:textId="77777777" w:rsidR="00454A29" w:rsidRDefault="00454A29">
      <w:pPr>
        <w:pStyle w:val="ConsPlusTitle"/>
        <w:jc w:val="center"/>
        <w:outlineLvl w:val="2"/>
      </w:pPr>
      <w:r>
        <w:t>II. Цели, критерии и условия предоставления субсидий</w:t>
      </w:r>
    </w:p>
    <w:p w14:paraId="054D16D3" w14:textId="77777777" w:rsidR="00454A29" w:rsidRDefault="00454A29">
      <w:pPr>
        <w:pStyle w:val="ConsPlusNormal"/>
      </w:pPr>
    </w:p>
    <w:p w14:paraId="79716135" w14:textId="77777777" w:rsidR="00454A29" w:rsidRDefault="00454A29">
      <w:pPr>
        <w:pStyle w:val="ConsPlusNormal"/>
        <w:ind w:firstLine="540"/>
        <w:jc w:val="both"/>
      </w:pPr>
      <w:r>
        <w:t>2.1. Целью предоставления субсидий является софинансирование расходов органов местного самоуправления муниципальных районов и городских округов Республики Саха (Якутия) из государственного бюджета Республики Саха (Якутия) на восстановление и укрепление материально-технической базы организаций отдыха детей.</w:t>
      </w:r>
    </w:p>
    <w:p w14:paraId="0DAB362D" w14:textId="77777777" w:rsidR="00454A29" w:rsidRDefault="00454A29">
      <w:pPr>
        <w:pStyle w:val="ConsPlusNormal"/>
        <w:spacing w:before="220"/>
        <w:ind w:firstLine="540"/>
        <w:jc w:val="both"/>
      </w:pPr>
      <w:r>
        <w:lastRenderedPageBreak/>
        <w:t>2.2. Субсидии выделяются муниципальным районам и городским округам Министерством образования и науки Республики Саха (Якутия).</w:t>
      </w:r>
    </w:p>
    <w:p w14:paraId="7C4A2300" w14:textId="77777777" w:rsidR="00454A29" w:rsidRDefault="00454A29">
      <w:pPr>
        <w:pStyle w:val="ConsPlusNormal"/>
        <w:spacing w:before="220"/>
        <w:ind w:firstLine="540"/>
        <w:jc w:val="both"/>
      </w:pPr>
      <w:r>
        <w:t>2.3. Критериями отбора органов местного самоуправления муниципальных районов и городских округов Республики Саха (Якутия) для предоставления субсидий являются:</w:t>
      </w:r>
    </w:p>
    <w:p w14:paraId="432DC238" w14:textId="77777777" w:rsidR="00454A29" w:rsidRDefault="00454A29">
      <w:pPr>
        <w:pStyle w:val="ConsPlusNormal"/>
        <w:spacing w:before="220"/>
        <w:ind w:firstLine="540"/>
        <w:jc w:val="both"/>
      </w:pPr>
      <w:r>
        <w:t>1) наличие детей школьного возраста от 6 лет 6 месяцев до 18 лет;</w:t>
      </w:r>
    </w:p>
    <w:p w14:paraId="4D80A4B3" w14:textId="77777777" w:rsidR="00454A29" w:rsidRDefault="00454A29">
      <w:pPr>
        <w:pStyle w:val="ConsPlusNormal"/>
        <w:spacing w:before="220"/>
        <w:ind w:firstLine="540"/>
        <w:jc w:val="both"/>
      </w:pPr>
      <w:r>
        <w:t>2) наличие потребности в проведении ремонтно-восстановительных работ и укреплении материально-технической базы организаций отдыха детей;</w:t>
      </w:r>
    </w:p>
    <w:p w14:paraId="5B3B565F" w14:textId="77777777" w:rsidR="00454A29" w:rsidRDefault="00454A29">
      <w:pPr>
        <w:pStyle w:val="ConsPlusNormal"/>
        <w:spacing w:before="220"/>
        <w:ind w:firstLine="540"/>
        <w:jc w:val="both"/>
      </w:pPr>
      <w:r>
        <w:t>3) наличие нормативных правовых актов органов местного самоуправления муниципальных образований Республики Саха (Якутия), регламентирующих вопросы укрепления материально-технической базы организаций отдыха детей;</w:t>
      </w:r>
    </w:p>
    <w:p w14:paraId="0E6D5135" w14:textId="77777777" w:rsidR="00454A29" w:rsidRDefault="00454A29">
      <w:pPr>
        <w:pStyle w:val="ConsPlusNormal"/>
        <w:spacing w:before="220"/>
        <w:ind w:firstLine="540"/>
        <w:jc w:val="both"/>
      </w:pPr>
      <w:r>
        <w:t>4) наличие в местных бюджетах ассигнований на реализацию утвержденного плана мероприятий по проведению ремонтно-восстановительных работ и по укреплению материально-технической базы организаций отдыха детей в размере не ниже 10% от объема предоставляемых из государственного бюджета Республики Саха (Якутия) субсидий;</w:t>
      </w:r>
    </w:p>
    <w:p w14:paraId="12D117CD" w14:textId="77777777" w:rsidR="00454A29" w:rsidRDefault="00454A29">
      <w:pPr>
        <w:pStyle w:val="ConsPlusNormal"/>
        <w:spacing w:before="220"/>
        <w:ind w:firstLine="540"/>
        <w:jc w:val="both"/>
      </w:pPr>
      <w:r>
        <w:t>5) наличие нормативных правовых актов органов местного самоуправления муниципальных районов и городских округов Республики Саха (Якутия), подтверждающих полное обеспечение в местных бюджетах на текущий финансовый год расходов на фонд оплаты труда, оплату коммунальных услуг и социальных выплат.</w:t>
      </w:r>
    </w:p>
    <w:p w14:paraId="7A8ADA20" w14:textId="77777777" w:rsidR="00454A29" w:rsidRDefault="00454A29">
      <w:pPr>
        <w:pStyle w:val="ConsPlusNormal"/>
        <w:spacing w:before="220"/>
        <w:ind w:firstLine="540"/>
        <w:jc w:val="both"/>
      </w:pPr>
      <w:bookmarkStart w:id="13" w:name="P33109"/>
      <w:bookmarkEnd w:id="13"/>
      <w:r>
        <w:t>2.4. Субсидии предоставляются при условии:</w:t>
      </w:r>
    </w:p>
    <w:p w14:paraId="3BDF08D8" w14:textId="77777777" w:rsidR="00454A29" w:rsidRDefault="00454A29">
      <w:pPr>
        <w:pStyle w:val="ConsPlusNormal"/>
        <w:spacing w:before="220"/>
        <w:ind w:firstLine="540"/>
        <w:jc w:val="both"/>
      </w:pPr>
      <w:r>
        <w:t>1)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w:t>
      </w:r>
    </w:p>
    <w:p w14:paraId="76630CD3" w14:textId="77777777" w:rsidR="00454A29" w:rsidRDefault="00454A29">
      <w:pPr>
        <w:pStyle w:val="ConsPlusNormal"/>
        <w:spacing w:before="220"/>
        <w:ind w:firstLine="540"/>
        <w:jc w:val="both"/>
      </w:pPr>
      <w:r>
        <w:t>2) наличие соглашения с Министерством образования и науки Республики Саха (Якутия) о предоставлении и распределении из государственного бюджета Республики Саха (Якутия) субсидии бюджету муниципального района (городского округа), предусматривающего обязательства муниципального района (городского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w:t>
      </w:r>
    </w:p>
    <w:p w14:paraId="50EFE9FF" w14:textId="77777777" w:rsidR="00454A29" w:rsidRDefault="00454A29">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Саха (Якутия), а также в случае существенного (более чем на 20 процентов) сокращения размера субсидии.</w:t>
      </w:r>
    </w:p>
    <w:p w14:paraId="1EF0B27B" w14:textId="77777777" w:rsidR="00454A29" w:rsidRDefault="00454A29">
      <w:pPr>
        <w:pStyle w:val="ConsPlusNormal"/>
        <w:spacing w:before="220"/>
        <w:ind w:firstLine="540"/>
        <w:jc w:val="both"/>
      </w:pPr>
      <w:r>
        <w:t>2.5. Реестр соглашений формируется Министерством образования и науки Республики Саха (Якутия) в порядке, установленном Министерством финансов Республики Саха (Якутия) в течение трех дней со дня заключения соглашений с муниципальными образованиями о предоставлении субсидий.</w:t>
      </w:r>
    </w:p>
    <w:p w14:paraId="12FBE02B" w14:textId="77777777" w:rsidR="00454A29" w:rsidRDefault="00454A29">
      <w:pPr>
        <w:pStyle w:val="ConsPlusNormal"/>
        <w:spacing w:before="220"/>
        <w:ind w:firstLine="540"/>
        <w:jc w:val="both"/>
      </w:pPr>
      <w:r>
        <w:t xml:space="preserve">В реестр соглашений включаются сведения о целевом назначении и наименовании субсидий, объемах субсидий, кодах бюджетной классификации Российской Федерации, объемах бюджетных ассигнований, направляемых на финансирование расходных обязательств, софинансирование которых осуществляется за счет субсидий, уровне софинансирования расходного обязательства </w:t>
      </w:r>
      <w:r>
        <w:lastRenderedPageBreak/>
        <w:t>муниципального образования из государственного бюджета Республики Саха (Якутия), количестве муниципальных образований, которым предусмотрено предоставление субсидий и с которыми заключены соглашения, а также реквизиты соглашений.</w:t>
      </w:r>
    </w:p>
    <w:p w14:paraId="63D39009" w14:textId="77777777" w:rsidR="00454A29" w:rsidRDefault="00454A29">
      <w:pPr>
        <w:pStyle w:val="ConsPlusNormal"/>
        <w:spacing w:before="220"/>
        <w:ind w:firstLine="540"/>
        <w:jc w:val="both"/>
      </w:pPr>
      <w:bookmarkStart w:id="14" w:name="P33115"/>
      <w:bookmarkEnd w:id="14"/>
      <w:r>
        <w:t>2.6.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w:t>
      </w:r>
      <w:r>
        <w:rPr>
          <w:vertAlign w:val="subscript"/>
        </w:rPr>
        <w:t>возврата)</w:t>
      </w:r>
      <w:r>
        <w:t xml:space="preserve"> в соответствии с ведомственным актом Министерства образования и науки Республики Саха (Якутия), рассчитывается по формуле:</w:t>
      </w:r>
    </w:p>
    <w:p w14:paraId="46498EDF" w14:textId="77777777" w:rsidR="00454A29" w:rsidRDefault="00454A29">
      <w:pPr>
        <w:pStyle w:val="ConsPlusNormal"/>
      </w:pPr>
    </w:p>
    <w:p w14:paraId="0EFAE68B" w14:textId="77777777" w:rsidR="00454A29" w:rsidRDefault="00454A29">
      <w:pPr>
        <w:pStyle w:val="ConsPlusNormal"/>
        <w:jc w:val="center"/>
      </w:pPr>
      <w:r>
        <w:t>V</w:t>
      </w:r>
      <w:r>
        <w:rPr>
          <w:vertAlign w:val="subscript"/>
        </w:rPr>
        <w:t>возврата</w:t>
      </w:r>
      <w:r>
        <w:t xml:space="preserve"> = (V</w:t>
      </w:r>
      <w:r>
        <w:rPr>
          <w:vertAlign w:val="subscript"/>
        </w:rPr>
        <w:t>субсидии</w:t>
      </w:r>
      <w:r>
        <w:t xml:space="preserve"> * k * m / n) * 0,1,</w:t>
      </w:r>
    </w:p>
    <w:p w14:paraId="4A6B1AB1" w14:textId="77777777" w:rsidR="00454A29" w:rsidRDefault="00454A29">
      <w:pPr>
        <w:pStyle w:val="ConsPlusNormal"/>
      </w:pPr>
    </w:p>
    <w:p w14:paraId="09EBDAFC" w14:textId="77777777" w:rsidR="00454A29" w:rsidRDefault="00454A29">
      <w:pPr>
        <w:pStyle w:val="ConsPlusNormal"/>
        <w:ind w:firstLine="540"/>
        <w:jc w:val="both"/>
      </w:pPr>
      <w:r>
        <w:t>где</w:t>
      </w:r>
    </w:p>
    <w:p w14:paraId="383CB17E" w14:textId="77777777" w:rsidR="00454A29" w:rsidRDefault="00454A29">
      <w:pPr>
        <w:pStyle w:val="ConsPlusNormal"/>
        <w:spacing w:before="220"/>
        <w:ind w:firstLine="540"/>
        <w:jc w:val="both"/>
      </w:pPr>
      <w:r>
        <w:t>V</w:t>
      </w:r>
      <w:r>
        <w:rPr>
          <w:vertAlign w:val="subscript"/>
        </w:rPr>
        <w:t>субсидии</w:t>
      </w:r>
      <w:r>
        <w:t xml:space="preserve"> - размер субсидии, предоставленной местному бюджету в отчетном финансовом году;</w:t>
      </w:r>
    </w:p>
    <w:p w14:paraId="0B71EE3E" w14:textId="77777777" w:rsidR="00454A29" w:rsidRDefault="00454A29">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2CCD6E3B" w14:textId="77777777" w:rsidR="00454A29" w:rsidRDefault="00454A29">
      <w:pPr>
        <w:pStyle w:val="ConsPlusNormal"/>
        <w:spacing w:before="220"/>
        <w:ind w:firstLine="540"/>
        <w:jc w:val="both"/>
      </w:pPr>
      <w:r>
        <w:t>n - общее количество показателей результативности использования субсидии;</w:t>
      </w:r>
    </w:p>
    <w:p w14:paraId="600A9FA1" w14:textId="77777777" w:rsidR="00454A29" w:rsidRDefault="00454A29">
      <w:pPr>
        <w:pStyle w:val="ConsPlusNormal"/>
        <w:spacing w:before="220"/>
        <w:ind w:firstLine="540"/>
        <w:jc w:val="both"/>
      </w:pPr>
      <w:r>
        <w:t>k - коэффициент возврата субсидии.</w:t>
      </w:r>
    </w:p>
    <w:p w14:paraId="129AC74C" w14:textId="77777777" w:rsidR="00454A29" w:rsidRDefault="00454A29">
      <w:pPr>
        <w:pStyle w:val="ConsPlusNormal"/>
        <w:spacing w:before="220"/>
        <w:ind w:firstLine="540"/>
        <w:jc w:val="both"/>
      </w:pPr>
      <w:r>
        <w:t>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vertAlign w:val="subscript"/>
        </w:rPr>
        <w:t>субсидии),</w:t>
      </w:r>
      <w: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14:paraId="56DC5FFC" w14:textId="77777777" w:rsidR="00454A29" w:rsidRDefault="00454A29">
      <w:pPr>
        <w:pStyle w:val="ConsPlusNormal"/>
        <w:spacing w:before="220"/>
        <w:ind w:firstLine="540"/>
        <w:jc w:val="both"/>
      </w:pPr>
      <w:r>
        <w:t>Коэффициент возврата субсидии рассчитывается по формуле:</w:t>
      </w:r>
    </w:p>
    <w:p w14:paraId="5F5B3B49" w14:textId="77777777" w:rsidR="00454A29" w:rsidRDefault="00454A29">
      <w:pPr>
        <w:pStyle w:val="ConsPlusNormal"/>
      </w:pPr>
    </w:p>
    <w:p w14:paraId="49FE3935" w14:textId="77777777" w:rsidR="00454A29" w:rsidRDefault="00454A29">
      <w:pPr>
        <w:pStyle w:val="ConsPlusNormal"/>
        <w:jc w:val="center"/>
      </w:pPr>
      <w:r w:rsidRPr="005D7449">
        <w:rPr>
          <w:position w:val="-11"/>
        </w:rPr>
        <w:pict w14:anchorId="7BAC639F">
          <v:shape id="_x0000_i1027" style="width:69.35pt;height:21.95pt" coordsize="" o:spt="100" adj="0,,0" path="" filled="f" stroked="f">
            <v:stroke joinstyle="miter"/>
            <v:imagedata r:id="rId32" o:title="base_23801_77601_32770"/>
            <v:formulas/>
            <v:path o:connecttype="segments"/>
          </v:shape>
        </w:pict>
      </w:r>
      <w:r>
        <w:t>,</w:t>
      </w:r>
    </w:p>
    <w:p w14:paraId="38E5905A" w14:textId="77777777" w:rsidR="00454A29" w:rsidRDefault="00454A29">
      <w:pPr>
        <w:pStyle w:val="ConsPlusNormal"/>
      </w:pPr>
    </w:p>
    <w:p w14:paraId="59DFAE53" w14:textId="77777777" w:rsidR="00454A29" w:rsidRDefault="00454A29">
      <w:pPr>
        <w:pStyle w:val="ConsPlusNormal"/>
        <w:ind w:firstLine="540"/>
        <w:jc w:val="both"/>
      </w:pPr>
      <w:r>
        <w:t>где</w:t>
      </w:r>
    </w:p>
    <w:p w14:paraId="752F99FD" w14:textId="77777777" w:rsidR="00454A29" w:rsidRDefault="00454A29">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14:paraId="3E337812" w14:textId="77777777" w:rsidR="00454A29" w:rsidRDefault="00454A29">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57921970" w14:textId="77777777" w:rsidR="00454A29" w:rsidRDefault="00454A29">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14:paraId="1AE6C1CB" w14:textId="77777777" w:rsidR="00454A29" w:rsidRDefault="00454A29">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21A55600" w14:textId="77777777" w:rsidR="00454A29" w:rsidRDefault="00454A29">
      <w:pPr>
        <w:pStyle w:val="ConsPlusNormal"/>
      </w:pPr>
    </w:p>
    <w:p w14:paraId="5EE0FBE4" w14:textId="77777777" w:rsidR="00454A29" w:rsidRDefault="00454A29">
      <w:pPr>
        <w:pStyle w:val="ConsPlusNormal"/>
        <w:jc w:val="center"/>
      </w:pPr>
      <w:r>
        <w:t>D</w:t>
      </w:r>
      <w:r>
        <w:rPr>
          <w:vertAlign w:val="subscript"/>
        </w:rPr>
        <w:t>i</w:t>
      </w:r>
      <w:r>
        <w:t xml:space="preserve"> = 1 - T</w:t>
      </w:r>
      <w:r>
        <w:rPr>
          <w:vertAlign w:val="subscript"/>
        </w:rPr>
        <w:t>i</w:t>
      </w:r>
      <w:r>
        <w:t xml:space="preserve"> / S</w:t>
      </w:r>
      <w:r>
        <w:rPr>
          <w:vertAlign w:val="subscript"/>
        </w:rPr>
        <w:t>i,</w:t>
      </w:r>
    </w:p>
    <w:p w14:paraId="782C3503" w14:textId="77777777" w:rsidR="00454A29" w:rsidRDefault="00454A29">
      <w:pPr>
        <w:pStyle w:val="ConsPlusNormal"/>
      </w:pPr>
    </w:p>
    <w:p w14:paraId="52FAB677" w14:textId="77777777" w:rsidR="00454A29" w:rsidRDefault="00454A29">
      <w:pPr>
        <w:pStyle w:val="ConsPlusNormal"/>
        <w:ind w:firstLine="540"/>
        <w:jc w:val="both"/>
      </w:pPr>
      <w:r>
        <w:t>где</w:t>
      </w:r>
    </w:p>
    <w:p w14:paraId="7736CF2A" w14:textId="77777777" w:rsidR="00454A29" w:rsidRDefault="00454A29">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14:paraId="0CB67998" w14:textId="77777777" w:rsidR="00454A29" w:rsidRDefault="00454A29">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14:paraId="4F636F18" w14:textId="77777777" w:rsidR="00454A29" w:rsidRDefault="00454A29">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34A9D25F" w14:textId="77777777" w:rsidR="00454A29" w:rsidRDefault="00454A29">
      <w:pPr>
        <w:pStyle w:val="ConsPlusNormal"/>
      </w:pPr>
    </w:p>
    <w:p w14:paraId="71F85A81" w14:textId="77777777" w:rsidR="00454A29" w:rsidRDefault="00454A29">
      <w:pPr>
        <w:pStyle w:val="ConsPlusNormal"/>
        <w:jc w:val="center"/>
      </w:pPr>
      <w:r>
        <w:t>D</w:t>
      </w:r>
      <w:r>
        <w:rPr>
          <w:vertAlign w:val="subscript"/>
        </w:rPr>
        <w:t>i</w:t>
      </w:r>
      <w:r>
        <w:t xml:space="preserve"> = 1 - S</w:t>
      </w:r>
      <w:r>
        <w:rPr>
          <w:vertAlign w:val="subscript"/>
        </w:rPr>
        <w:t>i</w:t>
      </w:r>
      <w:r>
        <w:t xml:space="preserve"> / T</w:t>
      </w:r>
      <w:r>
        <w:rPr>
          <w:vertAlign w:val="subscript"/>
        </w:rPr>
        <w:t>i</w:t>
      </w:r>
    </w:p>
    <w:p w14:paraId="5FB4F874" w14:textId="77777777" w:rsidR="00454A29" w:rsidRDefault="00454A29">
      <w:pPr>
        <w:pStyle w:val="ConsPlusNormal"/>
      </w:pPr>
    </w:p>
    <w:p w14:paraId="3CAC6211" w14:textId="77777777" w:rsidR="00454A29" w:rsidRDefault="00454A29">
      <w:pPr>
        <w:pStyle w:val="ConsPlusNormal"/>
        <w:ind w:firstLine="540"/>
        <w:jc w:val="both"/>
      </w:pPr>
      <w:r>
        <w:t xml:space="preserve">2.7. Основанием для освобождения муниципального образования от применения мер ответственности, предусмотренных </w:t>
      </w:r>
      <w:hyperlink w:anchor="P33115" w:history="1">
        <w:r>
          <w:rPr>
            <w:color w:val="0000FF"/>
          </w:rPr>
          <w:t>пунктом 2.6</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3C3AFD8B" w14:textId="77777777" w:rsidR="00454A29" w:rsidRDefault="00454A29">
      <w:pPr>
        <w:pStyle w:val="ConsPlusNormal"/>
        <w:spacing w:before="220"/>
        <w:ind w:firstLine="540"/>
        <w:jc w:val="both"/>
      </w:pPr>
      <w:r>
        <w:t>Министерство образования и науки Республики Саха (Якутия) при наличии основания, предусмотренного абзацем первым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3E1D8F65" w14:textId="77777777" w:rsidR="00454A29" w:rsidRDefault="00454A29">
      <w:pPr>
        <w:pStyle w:val="ConsPlusNormal"/>
        <w:spacing w:before="220"/>
        <w:ind w:firstLine="540"/>
        <w:jc w:val="both"/>
      </w:pPr>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образования и науки Республики Саха (Якутия) муниципальным образованием, допустившим нарушение соответствующих обязательств, до 30 апреля года, следующего за годом предоставления субсидии, и не позднее 15 мая года, следующего за годом предоставления субсидии, Министерство образования и науки Республики Саха (Якутия) издает ведомственный акт об освобождении муниципального образования от применения мер ответственности, предусмотренных пунктом 2.6 настоящего Порядка.</w:t>
      </w:r>
    </w:p>
    <w:p w14:paraId="0F12DDA0" w14:textId="77777777" w:rsidR="00454A29" w:rsidRDefault="00454A29">
      <w:pPr>
        <w:pStyle w:val="ConsPlusNormal"/>
        <w:spacing w:before="220"/>
        <w:ind w:firstLine="540"/>
        <w:jc w:val="both"/>
      </w:pPr>
      <w:r>
        <w:t xml:space="preserve">2.8. В случае отсутствия оснований для освобождения муниципального образования от применения мер ответственности, предусмотренных </w:t>
      </w:r>
      <w:hyperlink w:anchor="P33115" w:history="1">
        <w:r>
          <w:rPr>
            <w:color w:val="0000FF"/>
          </w:rPr>
          <w:t>пунктом 2.6</w:t>
        </w:r>
      </w:hyperlink>
      <w:r>
        <w:t xml:space="preserve"> настоящего Порядка, Министерство образования и науки Республики Саха (Якутия)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пунктом 2.6 настоящего Порядка.</w:t>
      </w:r>
    </w:p>
    <w:p w14:paraId="61CD04FC" w14:textId="77777777" w:rsidR="00454A29" w:rsidRDefault="00454A29">
      <w:pPr>
        <w:pStyle w:val="ConsPlusNormal"/>
        <w:spacing w:before="220"/>
        <w:ind w:firstLine="540"/>
        <w:jc w:val="both"/>
      </w:pPr>
      <w:r>
        <w:t>2.9. Министерство образования и науки Республики Саха (Якутия) осуществляют мониторинг предоставления субсидий, достижения значений показателей результативности использования субсидий муниципальным образованием.</w:t>
      </w:r>
    </w:p>
    <w:p w14:paraId="11452ACA" w14:textId="77777777" w:rsidR="00454A29" w:rsidRDefault="00454A29">
      <w:pPr>
        <w:pStyle w:val="ConsPlusNormal"/>
        <w:spacing w:before="220"/>
        <w:ind w:firstLine="540"/>
        <w:jc w:val="both"/>
      </w:pPr>
      <w:r>
        <w:t xml:space="preserve">2.10. В случае отсутствия на 1 апреля текущего финансового года заключенного соглашения бюджетные ассигнования на предоставление субсидий, предусмотренных Министерству образования и науки Республики Саха (Якутия), подлежат уменьшению в связи с образованием экономии по использованию бюджетных ассигнований путем внесения изменений в сводную бюджетную роспись государственного бюджета Республики Саха (Якутия) в соответствии со </w:t>
      </w:r>
      <w:hyperlink r:id="rId38" w:history="1">
        <w:r>
          <w:rPr>
            <w:color w:val="0000FF"/>
          </w:rPr>
          <w:t>статьей 58.1</w:t>
        </w:r>
      </w:hyperlink>
      <w:r>
        <w:t xml:space="preserve"> Закона Республики Саха (Якутия) от 5 февраля 2014 г. 1280-З N 111-V "О бюджетном устройстве и бюджетном процессе в Республике Саха (Якутия)".</w:t>
      </w:r>
    </w:p>
    <w:p w14:paraId="258748CC" w14:textId="77777777" w:rsidR="00454A29" w:rsidRDefault="00454A29">
      <w:pPr>
        <w:pStyle w:val="ConsPlusNormal"/>
        <w:spacing w:before="220"/>
        <w:ind w:firstLine="540"/>
        <w:jc w:val="both"/>
      </w:pPr>
      <w:r>
        <w:lastRenderedPageBreak/>
        <w:t xml:space="preserve">2.11. Бюджетные средства, образовавшиеся в результате экономии (в том числе по итогам проведения муниципальными образованиями конкурсных процедур в соответствии с Федеральным </w:t>
      </w:r>
      <w:hyperlink r:id="rId3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14:paraId="5200838A" w14:textId="77777777" w:rsidR="00454A29" w:rsidRDefault="00454A29">
      <w:pPr>
        <w:pStyle w:val="ConsPlusNormal"/>
        <w:spacing w:before="220"/>
        <w:ind w:firstLine="540"/>
        <w:jc w:val="both"/>
      </w:pPr>
      <w:r>
        <w:t>2.12. Ответственность за недостоверность сведений, представляемых Министерству образования и науки Республики Саха (Якутия),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муниципальные образования.</w:t>
      </w:r>
    </w:p>
    <w:p w14:paraId="78C31F45" w14:textId="77777777" w:rsidR="00454A29" w:rsidRDefault="00454A29">
      <w:pPr>
        <w:pStyle w:val="ConsPlusNormal"/>
        <w:spacing w:before="220"/>
        <w:ind w:firstLine="540"/>
        <w:jc w:val="both"/>
      </w:pPr>
      <w:r>
        <w:t>2.13. Ответственность за несвоевременное предоставление Министерством образования и науки Республики Саха (Якутия) сведений о достижении значений показателей результативности использования субсидий муниципальными образованиями в Министерство финансов Республики Саха (Якутия), возлагается на должностных лиц Министерства образования и науки Республики Саха (Якутия) в соответствии с законодательством Российской Федерации о государственной службе.</w:t>
      </w:r>
    </w:p>
    <w:p w14:paraId="7093879C" w14:textId="77777777" w:rsidR="00454A29" w:rsidRDefault="00454A29">
      <w:pPr>
        <w:pStyle w:val="ConsPlusNormal"/>
        <w:spacing w:before="220"/>
        <w:ind w:firstLine="540"/>
        <w:jc w:val="both"/>
      </w:pPr>
      <w:r>
        <w:t>2.14. Ответственность за отбор муниципальных образований, претендующих на получение субсидий, распределение субсидий и перечисление средств государственного бюджета в соответствии с условиями соглашения на предоставление субсидий возлагается на Министерство образования и науки Республики Саха (Якутия).</w:t>
      </w:r>
    </w:p>
    <w:p w14:paraId="66C65B17" w14:textId="77777777" w:rsidR="00454A29" w:rsidRDefault="00454A29">
      <w:pPr>
        <w:pStyle w:val="ConsPlusNormal"/>
      </w:pPr>
    </w:p>
    <w:p w14:paraId="62A15F17" w14:textId="77777777" w:rsidR="00454A29" w:rsidRDefault="00454A29">
      <w:pPr>
        <w:pStyle w:val="ConsPlusTitle"/>
        <w:jc w:val="center"/>
        <w:outlineLvl w:val="2"/>
      </w:pPr>
      <w:r>
        <w:t>III. Правила расчета объема субсидий</w:t>
      </w:r>
    </w:p>
    <w:p w14:paraId="63C9D81C" w14:textId="77777777" w:rsidR="00454A29" w:rsidRDefault="00454A29">
      <w:pPr>
        <w:pStyle w:val="ConsPlusNormal"/>
      </w:pPr>
    </w:p>
    <w:p w14:paraId="51749372" w14:textId="77777777" w:rsidR="00454A29" w:rsidRDefault="00454A29">
      <w:pPr>
        <w:pStyle w:val="ConsPlusNormal"/>
        <w:ind w:firstLine="540"/>
        <w:jc w:val="both"/>
      </w:pPr>
      <w:r>
        <w:t>3.1. Итоги распределения субсидий по методике их расчета устанавливаются приказом Министерства образования и науки Республики Саха (Якутия) до 1 ноября текущего года и являются основанием для формирования приложения к закону Республики Саха (Якутия) о государственном бюджете Республики Саха (Якутия).</w:t>
      </w:r>
    </w:p>
    <w:p w14:paraId="00495E20" w14:textId="77777777" w:rsidR="00454A29" w:rsidRDefault="00454A29">
      <w:pPr>
        <w:pStyle w:val="ConsPlusNormal"/>
        <w:spacing w:before="220"/>
        <w:ind w:firstLine="540"/>
        <w:jc w:val="both"/>
      </w:pPr>
      <w:r>
        <w:t>Распределение субсидий между муниципальными районами и городскими округами Республики Саха (Якутия) утверждается законом Республики Саха (Якутия) о государственном бюджете Республики Саха (Якутия).</w:t>
      </w:r>
    </w:p>
    <w:p w14:paraId="19AC9FB5" w14:textId="77777777" w:rsidR="00454A29" w:rsidRDefault="00454A29">
      <w:pPr>
        <w:pStyle w:val="ConsPlusNormal"/>
        <w:spacing w:before="220"/>
        <w:ind w:firstLine="540"/>
        <w:jc w:val="both"/>
      </w:pPr>
      <w:r>
        <w:t>3.2. Общий объем субсидии на восстановление и укрепление базы организаций отдыха детей - объем средств, предусмотренный в программе "Развитие образования Республики Саха (Якутия) на 2020 - 2024 годы и на плановый период до 2026 года" на данные цели на текущий финансовый год.</w:t>
      </w:r>
    </w:p>
    <w:p w14:paraId="0E77B16F" w14:textId="77777777" w:rsidR="00454A29" w:rsidRDefault="00454A29">
      <w:pPr>
        <w:pStyle w:val="ConsPlusNormal"/>
        <w:spacing w:before="220"/>
        <w:ind w:firstLine="540"/>
        <w:jc w:val="both"/>
      </w:pPr>
      <w:r>
        <w:t>3.3. Объем субсидий муниципальных районов и городских округов на софинансирование расходов, связанных с восстановлением и укреплением базы организаций отдыха детей, определяется по формуле:</w:t>
      </w:r>
    </w:p>
    <w:p w14:paraId="20DEA688" w14:textId="77777777" w:rsidR="00454A29" w:rsidRDefault="00454A29">
      <w:pPr>
        <w:pStyle w:val="ConsPlusNormal"/>
      </w:pPr>
    </w:p>
    <w:p w14:paraId="18A765B7" w14:textId="77777777" w:rsidR="00454A29" w:rsidRDefault="00454A29">
      <w:pPr>
        <w:pStyle w:val="ConsPlusNormal"/>
        <w:jc w:val="center"/>
      </w:pPr>
      <w:r>
        <w:t>Ci = Pi - Vi,</w:t>
      </w:r>
    </w:p>
    <w:p w14:paraId="68F5CCE8" w14:textId="77777777" w:rsidR="00454A29" w:rsidRDefault="00454A29">
      <w:pPr>
        <w:pStyle w:val="ConsPlusNormal"/>
      </w:pPr>
    </w:p>
    <w:p w14:paraId="38C2DFA9" w14:textId="77777777" w:rsidR="00454A29" w:rsidRDefault="00454A29">
      <w:pPr>
        <w:pStyle w:val="ConsPlusNormal"/>
        <w:ind w:firstLine="540"/>
        <w:jc w:val="both"/>
      </w:pPr>
      <w:r>
        <w:t>где</w:t>
      </w:r>
    </w:p>
    <w:p w14:paraId="270B2825" w14:textId="77777777" w:rsidR="00454A29" w:rsidRDefault="00454A29">
      <w:pPr>
        <w:pStyle w:val="ConsPlusNormal"/>
        <w:spacing w:before="220"/>
        <w:ind w:firstLine="540"/>
        <w:jc w:val="both"/>
      </w:pPr>
      <w:r>
        <w:t>i - муниципальный район или городской округ;</w:t>
      </w:r>
    </w:p>
    <w:p w14:paraId="720FCD6F" w14:textId="77777777" w:rsidR="00454A29" w:rsidRDefault="00454A29">
      <w:pPr>
        <w:pStyle w:val="ConsPlusNormal"/>
        <w:spacing w:before="220"/>
        <w:ind w:firstLine="540"/>
        <w:jc w:val="both"/>
      </w:pPr>
      <w:r>
        <w:t>Ci - объем субсидий i-му муниципальному району или городскому округу;</w:t>
      </w:r>
    </w:p>
    <w:p w14:paraId="63490BCA" w14:textId="77777777" w:rsidR="00454A29" w:rsidRDefault="00454A29">
      <w:pPr>
        <w:pStyle w:val="ConsPlusNormal"/>
        <w:spacing w:before="220"/>
        <w:ind w:firstLine="540"/>
        <w:jc w:val="both"/>
      </w:pPr>
      <w:r>
        <w:t>Pi - сметная стоимость, подтвержденная проектно-сметной документацией;</w:t>
      </w:r>
    </w:p>
    <w:p w14:paraId="045636F4" w14:textId="77777777" w:rsidR="00454A29" w:rsidRDefault="00454A29">
      <w:pPr>
        <w:pStyle w:val="ConsPlusNormal"/>
        <w:spacing w:before="220"/>
        <w:ind w:firstLine="540"/>
        <w:jc w:val="both"/>
      </w:pPr>
      <w:r>
        <w:t xml:space="preserve">Vi - объем средств в местном бюджете на восстановление и укрепление базы организаций </w:t>
      </w:r>
      <w:r>
        <w:lastRenderedPageBreak/>
        <w:t>отдыха детей.</w:t>
      </w:r>
    </w:p>
    <w:p w14:paraId="7A86D7B3" w14:textId="77777777" w:rsidR="00454A29" w:rsidRDefault="00454A29">
      <w:pPr>
        <w:pStyle w:val="ConsPlusNormal"/>
      </w:pPr>
    </w:p>
    <w:p w14:paraId="220DDC8C" w14:textId="77777777" w:rsidR="00454A29" w:rsidRDefault="00454A29">
      <w:pPr>
        <w:pStyle w:val="ConsPlusTitle"/>
        <w:jc w:val="center"/>
        <w:outlineLvl w:val="2"/>
      </w:pPr>
      <w:r>
        <w:t>IV. Правила распределения субсидий</w:t>
      </w:r>
    </w:p>
    <w:p w14:paraId="08D2BDB4" w14:textId="77777777" w:rsidR="00454A29" w:rsidRDefault="00454A29">
      <w:pPr>
        <w:pStyle w:val="ConsPlusNormal"/>
      </w:pPr>
    </w:p>
    <w:p w14:paraId="17C469E0" w14:textId="77777777" w:rsidR="00454A29" w:rsidRDefault="00454A29">
      <w:pPr>
        <w:pStyle w:val="ConsPlusNormal"/>
        <w:ind w:firstLine="540"/>
        <w:jc w:val="both"/>
      </w:pPr>
      <w:r>
        <w:t>4.1. Субсидии предоставляются муниципальным образованиям на основании соглашения о предоставлении субсидии в соответствии с типовой формой утвержденной Министерством финансов Республики Саха (Якутия).</w:t>
      </w:r>
    </w:p>
    <w:p w14:paraId="651E74CA" w14:textId="77777777" w:rsidR="00454A29" w:rsidRDefault="00454A29">
      <w:pPr>
        <w:pStyle w:val="ConsPlusNormal"/>
        <w:spacing w:before="220"/>
        <w:ind w:firstLine="540"/>
        <w:jc w:val="both"/>
      </w:pPr>
      <w:r>
        <w:t>4.2. Размер субсидий местному бюджету на проведение капитального ремонта и реконструкции, укрепление материально-технической базы организаций отдыха детей определяется на основе следующих критериев:</w:t>
      </w:r>
    </w:p>
    <w:p w14:paraId="5C734EFC" w14:textId="77777777" w:rsidR="00454A29" w:rsidRDefault="00454A29">
      <w:pPr>
        <w:pStyle w:val="ConsPlusNormal"/>
        <w:spacing w:before="220"/>
        <w:ind w:firstLine="540"/>
        <w:jc w:val="both"/>
      </w:pPr>
      <w:r>
        <w:t>а) износ здания более 60%;</w:t>
      </w:r>
    </w:p>
    <w:p w14:paraId="4EA9FF13" w14:textId="77777777" w:rsidR="00454A29" w:rsidRDefault="00454A29">
      <w:pPr>
        <w:pStyle w:val="ConsPlusNormal"/>
        <w:spacing w:before="220"/>
        <w:ind w:firstLine="540"/>
        <w:jc w:val="both"/>
      </w:pPr>
      <w:r>
        <w:t>б) наличие акта о проведении и реализации плана капитального ремонта объекта (составляется руководителем организации отдыха муниципального образования);</w:t>
      </w:r>
    </w:p>
    <w:p w14:paraId="6AAB5A76" w14:textId="77777777" w:rsidR="00454A29" w:rsidRDefault="00454A29">
      <w:pPr>
        <w:pStyle w:val="ConsPlusNormal"/>
        <w:spacing w:before="220"/>
        <w:ind w:firstLine="540"/>
        <w:jc w:val="both"/>
      </w:pPr>
      <w:r>
        <w:t>в) наличие сметы на капитальный ремонт.</w:t>
      </w:r>
    </w:p>
    <w:p w14:paraId="4ABA438C" w14:textId="77777777" w:rsidR="00454A29" w:rsidRDefault="00454A29">
      <w:pPr>
        <w:pStyle w:val="ConsPlusNormal"/>
        <w:spacing w:before="220"/>
        <w:ind w:firstLine="540"/>
        <w:jc w:val="both"/>
      </w:pPr>
      <w:r>
        <w:t xml:space="preserve">4.3. Субсидии используются на проведение капитального ремонта, реконструкции и восстановительных работ для учреждений отдыха и оздоровления в соответствии с Федеральным </w:t>
      </w:r>
      <w:hyperlink r:id="rId4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66BE342A" w14:textId="77777777" w:rsidR="00454A29" w:rsidRDefault="00454A29">
      <w:pPr>
        <w:pStyle w:val="ConsPlusNormal"/>
        <w:spacing w:before="220"/>
        <w:ind w:firstLine="540"/>
        <w:jc w:val="both"/>
      </w:pPr>
      <w:r>
        <w:t>по казенным учреждениям через увеличение бюджетных ассигнований и лимитов бюджетных обязательств;</w:t>
      </w:r>
    </w:p>
    <w:p w14:paraId="29E41516" w14:textId="77777777" w:rsidR="00454A29" w:rsidRDefault="00454A29">
      <w:pPr>
        <w:pStyle w:val="ConsPlusNormal"/>
        <w:spacing w:before="220"/>
        <w:ind w:firstLine="540"/>
        <w:jc w:val="both"/>
      </w:pPr>
      <w:r>
        <w:t>по бюджетным и автономным учреждениям в виде субсидии на иные цели.</w:t>
      </w:r>
    </w:p>
    <w:p w14:paraId="2E09C110" w14:textId="77777777" w:rsidR="00454A29" w:rsidRDefault="00454A29">
      <w:pPr>
        <w:pStyle w:val="ConsPlusNormal"/>
        <w:spacing w:before="220"/>
        <w:ind w:firstLine="540"/>
        <w:jc w:val="both"/>
      </w:pPr>
      <w:r>
        <w:t>4.4. Министерство образования и науки Республики Саха (Якутия) и органы местного самоуправления муниципальных районов и городских округов Республики Саха (Якутия) заключают соглашения о предоставлении субсидии из государственного бюджета Республики Саха (Якутия) местному бюджету на проведение ремонтно-восстановительных работ и на укрепление материально-технической базы организаций отдыха детей.</w:t>
      </w:r>
    </w:p>
    <w:p w14:paraId="47405502" w14:textId="77777777" w:rsidR="00454A29" w:rsidRDefault="00454A29">
      <w:pPr>
        <w:pStyle w:val="ConsPlusNormal"/>
        <w:spacing w:before="220"/>
        <w:ind w:firstLine="540"/>
        <w:jc w:val="both"/>
      </w:pPr>
      <w:r>
        <w:t>4.5. Субсидии из государственного бюджета Республики Саха (Якутия) направляются местному бюджету на проведение ремонтно-восстановительных работ и на укрепление материально-технической базы организаций отдыха детей Министерством образования и науки Республики Саха (Якутия).</w:t>
      </w:r>
    </w:p>
    <w:p w14:paraId="0A0A1189" w14:textId="77777777" w:rsidR="00454A29" w:rsidRDefault="00454A29">
      <w:pPr>
        <w:pStyle w:val="ConsPlusNormal"/>
        <w:spacing w:before="220"/>
        <w:ind w:firstLine="540"/>
        <w:jc w:val="both"/>
      </w:pPr>
      <w:r>
        <w:t>4.6. В случае, если муниципальным образованиям по состоянию на 31 декабря текущего финансового года допущены нарушения обязательств, предусмотренных соглашением,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w:t>
      </w:r>
    </w:p>
    <w:p w14:paraId="3F4F6626" w14:textId="77777777" w:rsidR="00454A29" w:rsidRDefault="00454A29">
      <w:pPr>
        <w:pStyle w:val="ConsPlusNormal"/>
        <w:spacing w:before="220"/>
        <w:ind w:firstLine="540"/>
        <w:jc w:val="both"/>
      </w:pPr>
      <w:r>
        <w:t>4.7. В целях оценки эффективности использования субсидий органами местного самоуправления муниципальных районов и городских округов Республики Саха (Якутия) устанавливаются следующие показатели:</w:t>
      </w:r>
    </w:p>
    <w:p w14:paraId="640E8E2E" w14:textId="77777777" w:rsidR="00454A29" w:rsidRDefault="00454A29">
      <w:pPr>
        <w:pStyle w:val="ConsPlusNormal"/>
        <w:spacing w:before="220"/>
        <w:ind w:firstLine="540"/>
        <w:jc w:val="both"/>
      </w:pPr>
      <w:r>
        <w:t>а) доля муниципальных организаций отдыха детей, здания которых находятся в аварийном состоянии или требуют капитального ремонта, в общей численности муниципальных организаций отдыха детей;</w:t>
      </w:r>
    </w:p>
    <w:p w14:paraId="1D715467" w14:textId="77777777" w:rsidR="00454A29" w:rsidRDefault="00454A29">
      <w:pPr>
        <w:pStyle w:val="ConsPlusNormal"/>
        <w:spacing w:before="220"/>
        <w:ind w:firstLine="540"/>
        <w:jc w:val="both"/>
      </w:pPr>
      <w:r>
        <w:lastRenderedPageBreak/>
        <w:t>б) процент выполнения графика выполнения работ на объектах капитального строительства.</w:t>
      </w:r>
    </w:p>
    <w:p w14:paraId="1FBFB728" w14:textId="77777777" w:rsidR="00454A29" w:rsidRDefault="00454A29">
      <w:pPr>
        <w:pStyle w:val="ConsPlusNormal"/>
      </w:pPr>
    </w:p>
    <w:p w14:paraId="18E234CD" w14:textId="77777777" w:rsidR="00454A29" w:rsidRDefault="00454A29">
      <w:pPr>
        <w:pStyle w:val="ConsPlusTitle"/>
        <w:jc w:val="center"/>
        <w:outlineLvl w:val="2"/>
      </w:pPr>
      <w:r>
        <w:t>V. Правила расходования средств</w:t>
      </w:r>
    </w:p>
    <w:p w14:paraId="391069F3" w14:textId="77777777" w:rsidR="00454A29" w:rsidRDefault="00454A29">
      <w:pPr>
        <w:pStyle w:val="ConsPlusNormal"/>
      </w:pPr>
    </w:p>
    <w:p w14:paraId="45BD6213" w14:textId="77777777" w:rsidR="00454A29" w:rsidRDefault="00454A29">
      <w:pPr>
        <w:pStyle w:val="ConsPlusNormal"/>
        <w:ind w:firstLine="540"/>
        <w:jc w:val="both"/>
      </w:pPr>
      <w:r>
        <w:t>5.1. Учет операций по использованию субсидий из государственного бюджета Республики Саха (Якутия), выделяемых на проведение ремонтно-восстановительных работ и на укрепление материально-технической базы организаций отдыха детей, осуществляется в установленном порядке на лицевые счета получателей средств местных бюджетов, открытые в финансовых органах муниципальных образований Республики Саха (Якутия).</w:t>
      </w:r>
    </w:p>
    <w:p w14:paraId="0D6841BB" w14:textId="77777777" w:rsidR="00454A29" w:rsidRDefault="00454A29">
      <w:pPr>
        <w:pStyle w:val="ConsPlusNormal"/>
        <w:spacing w:before="220"/>
        <w:ind w:firstLine="540"/>
        <w:jc w:val="both"/>
      </w:pPr>
      <w:r>
        <w:t>5.2. Выделяемые субсидии носят целевой характер, используются в текущем году и не подлежат направлению на иные цели.</w:t>
      </w:r>
    </w:p>
    <w:p w14:paraId="73AE59B4" w14:textId="77777777" w:rsidR="00454A29" w:rsidRDefault="00454A29">
      <w:pPr>
        <w:pStyle w:val="ConsPlusNormal"/>
        <w:spacing w:before="220"/>
        <w:ind w:firstLine="540"/>
        <w:jc w:val="both"/>
      </w:pPr>
      <w:r>
        <w:t xml:space="preserve">5.3. Возврат и использование остатков субсидий после завершения финансового года осуществляется в соответствии с </w:t>
      </w:r>
      <w:hyperlink r:id="rId41" w:history="1">
        <w:r>
          <w:rPr>
            <w:color w:val="0000FF"/>
          </w:rPr>
          <w:t>пунктом 5 статьи 242</w:t>
        </w:r>
      </w:hyperlink>
      <w:r>
        <w:t xml:space="preserve"> Бюджетного кодекса Российской Федерации.</w:t>
      </w:r>
    </w:p>
    <w:p w14:paraId="02B44621" w14:textId="77777777" w:rsidR="00454A29" w:rsidRDefault="00454A29">
      <w:pPr>
        <w:pStyle w:val="ConsPlusNormal"/>
        <w:spacing w:before="220"/>
        <w:ind w:firstLine="540"/>
        <w:jc w:val="both"/>
      </w:pPr>
      <w:r>
        <w:t>Порядок принятия решения о наличии (об отсутствии) потребности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14:paraId="58F31DA7" w14:textId="77777777" w:rsidR="00454A29" w:rsidRDefault="00454A29">
      <w:pPr>
        <w:pStyle w:val="ConsPlusNormal"/>
        <w:spacing w:before="220"/>
        <w:ind w:firstLine="540"/>
        <w:jc w:val="both"/>
      </w:pPr>
      <w:r>
        <w:t xml:space="preserve">5.4. Органы местного самоуправления муниципальных районов и городских округов Республики Саха (Якутия) представляют в Министерство образования и науки Республики Саха (Якутия) ежеквартально не позднее 5 числа месяца, следующего за отчетным кварталом текущего года, </w:t>
      </w:r>
      <w:hyperlink w:anchor="P33214" w:history="1">
        <w:r>
          <w:rPr>
            <w:color w:val="0000FF"/>
          </w:rPr>
          <w:t>отчет</w:t>
        </w:r>
      </w:hyperlink>
      <w:r>
        <w:t xml:space="preserve"> по использованию субсидии на восстановление и укрепление материально-технической базы организаций отдыха детей согласно приложению к настоящему Порядку.</w:t>
      </w:r>
    </w:p>
    <w:p w14:paraId="01C57C52" w14:textId="77777777" w:rsidR="00454A29" w:rsidRDefault="00454A29">
      <w:pPr>
        <w:pStyle w:val="ConsPlusNormal"/>
        <w:spacing w:before="220"/>
        <w:ind w:firstLine="540"/>
        <w:jc w:val="both"/>
      </w:pPr>
      <w:r>
        <w:t>5.5.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103F0872" w14:textId="77777777" w:rsidR="00454A29" w:rsidRDefault="00454A29">
      <w:pPr>
        <w:pStyle w:val="ConsPlusNormal"/>
        <w:spacing w:before="220"/>
        <w:ind w:firstLine="540"/>
        <w:jc w:val="both"/>
      </w:pPr>
      <w:r>
        <w:t>5.6. В случае использования выделяемых субсидий не по целевому назначению соответствующие средства взыскиваются в государственный бюджет Республики Саха (Якутия) в порядке, установленном законодательством Российской Федерации.</w:t>
      </w:r>
    </w:p>
    <w:p w14:paraId="5D33A8CC" w14:textId="77777777" w:rsidR="00454A29" w:rsidRDefault="00454A29">
      <w:pPr>
        <w:pStyle w:val="ConsPlusNormal"/>
        <w:spacing w:before="220"/>
        <w:ind w:firstLine="540"/>
        <w:jc w:val="both"/>
      </w:pPr>
      <w:r>
        <w:t>5.7. Контроль за целевым использованием субсидий муниципальными образованиями и соблюдением муниципальными образованиями условий предоставления субсидий осуществляется Министерством образования и науки Республики Саха (Якутия) и органами государственного финансового контроля Республики Саха (Якутия).</w:t>
      </w:r>
    </w:p>
    <w:p w14:paraId="21DF9179" w14:textId="77777777" w:rsidR="00454A29" w:rsidRDefault="00454A29">
      <w:pPr>
        <w:pStyle w:val="ConsPlusNormal"/>
        <w:spacing w:before="220"/>
        <w:ind w:firstLine="540"/>
        <w:jc w:val="both"/>
      </w:pPr>
      <w:r>
        <w:t>5.8. Ответственность за недостоверность сведений, представляемых Министерству образования и науки Республики Саха (Якутия),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главу муниципального образования.</w:t>
      </w:r>
    </w:p>
    <w:p w14:paraId="18DC8FFF" w14:textId="77777777" w:rsidR="00454A29" w:rsidRDefault="00454A29">
      <w:pPr>
        <w:pStyle w:val="ConsPlusNormal"/>
        <w:spacing w:before="220"/>
        <w:ind w:firstLine="540"/>
        <w:jc w:val="both"/>
      </w:pPr>
      <w:r>
        <w:t>5.9. Контроль за соблюдением органами местного самоуправления муниципальных районов и городских округов Республики Саха (Якутия) условий предоставления субсидий осуществляется Министерством образования и науки Республики Саха (Якутия) и органами государственного финансового контроля.</w:t>
      </w:r>
    </w:p>
    <w:p w14:paraId="608CF696" w14:textId="77777777" w:rsidR="00454A29" w:rsidRDefault="00454A29">
      <w:pPr>
        <w:pStyle w:val="ConsPlusNormal"/>
      </w:pPr>
    </w:p>
    <w:p w14:paraId="1ADCC73D" w14:textId="77777777" w:rsidR="00454A29" w:rsidRDefault="00454A29">
      <w:pPr>
        <w:pStyle w:val="ConsPlusNormal"/>
      </w:pPr>
    </w:p>
    <w:p w14:paraId="22D43479" w14:textId="77777777" w:rsidR="00454A29" w:rsidRDefault="00454A29">
      <w:pPr>
        <w:pStyle w:val="ConsPlusNormal"/>
      </w:pPr>
    </w:p>
    <w:p w14:paraId="41EDBA1B" w14:textId="77777777" w:rsidR="00454A29" w:rsidRDefault="00454A29">
      <w:pPr>
        <w:pStyle w:val="ConsPlusNormal"/>
      </w:pPr>
    </w:p>
    <w:p w14:paraId="580987D5" w14:textId="77777777" w:rsidR="00454A29" w:rsidRDefault="00454A29">
      <w:pPr>
        <w:pStyle w:val="ConsPlusNormal"/>
      </w:pPr>
    </w:p>
    <w:p w14:paraId="00ACD10C" w14:textId="77777777" w:rsidR="00454A29" w:rsidRDefault="00454A29">
      <w:pPr>
        <w:pStyle w:val="ConsPlusNormal"/>
        <w:jc w:val="right"/>
        <w:outlineLvl w:val="2"/>
      </w:pPr>
      <w:r>
        <w:t>Приложение</w:t>
      </w:r>
    </w:p>
    <w:p w14:paraId="00DC6499" w14:textId="77777777" w:rsidR="00454A29" w:rsidRDefault="00454A29">
      <w:pPr>
        <w:pStyle w:val="ConsPlusNormal"/>
        <w:jc w:val="right"/>
      </w:pPr>
      <w:r>
        <w:t>к Порядку</w:t>
      </w:r>
    </w:p>
    <w:p w14:paraId="220BEDA5" w14:textId="77777777" w:rsidR="00454A29" w:rsidRDefault="00454A29">
      <w:pPr>
        <w:pStyle w:val="ConsPlusNormal"/>
        <w:jc w:val="right"/>
      </w:pPr>
      <w:r>
        <w:t>предоставления и распределения субсидий</w:t>
      </w:r>
    </w:p>
    <w:p w14:paraId="3EA88A6D" w14:textId="77777777" w:rsidR="00454A29" w:rsidRDefault="00454A29">
      <w:pPr>
        <w:pStyle w:val="ConsPlusNormal"/>
        <w:jc w:val="right"/>
      </w:pPr>
      <w:r>
        <w:t>на восстановление и укрепление</w:t>
      </w:r>
    </w:p>
    <w:p w14:paraId="62D33A9F" w14:textId="77777777" w:rsidR="00454A29" w:rsidRDefault="00454A29">
      <w:pPr>
        <w:pStyle w:val="ConsPlusNormal"/>
        <w:jc w:val="right"/>
      </w:pPr>
      <w:r>
        <w:t>материально-технической базы</w:t>
      </w:r>
    </w:p>
    <w:p w14:paraId="5C7CBEC6" w14:textId="77777777" w:rsidR="00454A29" w:rsidRDefault="00454A29">
      <w:pPr>
        <w:pStyle w:val="ConsPlusNormal"/>
        <w:jc w:val="right"/>
      </w:pPr>
      <w:r>
        <w:t>организаций отдыха детей органам</w:t>
      </w:r>
    </w:p>
    <w:p w14:paraId="38AFAA0A" w14:textId="77777777" w:rsidR="00454A29" w:rsidRDefault="00454A29">
      <w:pPr>
        <w:pStyle w:val="ConsPlusNormal"/>
        <w:jc w:val="right"/>
      </w:pPr>
      <w:r>
        <w:t>местного самоуправления муниципальных</w:t>
      </w:r>
    </w:p>
    <w:p w14:paraId="461B21FE" w14:textId="77777777" w:rsidR="00454A29" w:rsidRDefault="00454A29">
      <w:pPr>
        <w:pStyle w:val="ConsPlusNormal"/>
        <w:jc w:val="right"/>
      </w:pPr>
      <w:r>
        <w:t>районов и городских округов</w:t>
      </w:r>
    </w:p>
    <w:p w14:paraId="19F3D761" w14:textId="77777777" w:rsidR="00454A29" w:rsidRDefault="00454A29">
      <w:pPr>
        <w:pStyle w:val="ConsPlusNormal"/>
        <w:jc w:val="right"/>
      </w:pPr>
      <w:r>
        <w:t>Республики Саха (Якутия)</w:t>
      </w:r>
    </w:p>
    <w:p w14:paraId="3A9A705E" w14:textId="77777777" w:rsidR="00454A29" w:rsidRDefault="00454A29">
      <w:pPr>
        <w:pStyle w:val="ConsPlusNormal"/>
      </w:pPr>
    </w:p>
    <w:p w14:paraId="51D58E9A" w14:textId="77777777" w:rsidR="00454A29" w:rsidRDefault="00454A29">
      <w:pPr>
        <w:sectPr w:rsidR="00454A29">
          <w:pgSz w:w="11905" w:h="16838"/>
          <w:pgMar w:top="1134" w:right="850" w:bottom="1134" w:left="1701" w:header="0" w:footer="0" w:gutter="0"/>
          <w:cols w:space="72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770"/>
        <w:gridCol w:w="1304"/>
        <w:gridCol w:w="770"/>
        <w:gridCol w:w="770"/>
        <w:gridCol w:w="771"/>
        <w:gridCol w:w="794"/>
        <w:gridCol w:w="908"/>
        <w:gridCol w:w="907"/>
        <w:gridCol w:w="1191"/>
        <w:gridCol w:w="1247"/>
        <w:gridCol w:w="1417"/>
        <w:gridCol w:w="1701"/>
        <w:gridCol w:w="1077"/>
        <w:gridCol w:w="794"/>
        <w:gridCol w:w="794"/>
        <w:gridCol w:w="794"/>
        <w:gridCol w:w="794"/>
      </w:tblGrid>
      <w:tr w:rsidR="00454A29" w14:paraId="2DD95CFE" w14:textId="77777777">
        <w:tc>
          <w:tcPr>
            <w:tcW w:w="19071" w:type="dxa"/>
            <w:gridSpan w:val="19"/>
            <w:tcBorders>
              <w:top w:val="nil"/>
              <w:left w:val="nil"/>
              <w:bottom w:val="nil"/>
              <w:right w:val="nil"/>
            </w:tcBorders>
          </w:tcPr>
          <w:p w14:paraId="08CC9C97" w14:textId="77777777" w:rsidR="00454A29" w:rsidRDefault="00454A29">
            <w:pPr>
              <w:pStyle w:val="ConsPlusNormal"/>
              <w:jc w:val="center"/>
            </w:pPr>
            <w:bookmarkStart w:id="15" w:name="P33214"/>
            <w:bookmarkEnd w:id="15"/>
            <w:r>
              <w:lastRenderedPageBreak/>
              <w:t>ОТЧЕТ</w:t>
            </w:r>
          </w:p>
          <w:p w14:paraId="2C9FFCE3" w14:textId="77777777" w:rsidR="00454A29" w:rsidRDefault="00454A29">
            <w:pPr>
              <w:pStyle w:val="ConsPlusNormal"/>
              <w:jc w:val="center"/>
            </w:pPr>
            <w:r>
              <w:t>___________________________________________________________</w:t>
            </w:r>
          </w:p>
          <w:p w14:paraId="10B55481" w14:textId="77777777" w:rsidR="00454A29" w:rsidRDefault="00454A29">
            <w:pPr>
              <w:pStyle w:val="ConsPlusNormal"/>
              <w:jc w:val="center"/>
            </w:pPr>
            <w:r>
              <w:t>(наименование муниципального района или городского округа)</w:t>
            </w:r>
          </w:p>
          <w:p w14:paraId="177789A5" w14:textId="77777777" w:rsidR="00454A29" w:rsidRDefault="00454A29">
            <w:pPr>
              <w:pStyle w:val="ConsPlusNormal"/>
            </w:pPr>
          </w:p>
          <w:p w14:paraId="5FE83BEE" w14:textId="77777777" w:rsidR="00454A29" w:rsidRDefault="00454A29">
            <w:pPr>
              <w:pStyle w:val="ConsPlusNormal"/>
              <w:jc w:val="center"/>
            </w:pPr>
            <w:r>
              <w:t>об использовании средств субсидии на восстановление</w:t>
            </w:r>
          </w:p>
          <w:p w14:paraId="6B50141E" w14:textId="77777777" w:rsidR="00454A29" w:rsidRDefault="00454A29">
            <w:pPr>
              <w:pStyle w:val="ConsPlusNormal"/>
              <w:jc w:val="center"/>
            </w:pPr>
            <w:r>
              <w:t>и укрепление материально-технической базы организаций</w:t>
            </w:r>
          </w:p>
          <w:p w14:paraId="7A20A9FF" w14:textId="77777777" w:rsidR="00454A29" w:rsidRDefault="00454A29">
            <w:pPr>
              <w:pStyle w:val="ConsPlusNormal"/>
              <w:jc w:val="center"/>
            </w:pPr>
            <w:r>
              <w:t>отдыха детей</w:t>
            </w:r>
          </w:p>
          <w:p w14:paraId="52269971" w14:textId="77777777" w:rsidR="00454A29" w:rsidRDefault="00454A29">
            <w:pPr>
              <w:pStyle w:val="ConsPlusNormal"/>
              <w:jc w:val="center"/>
            </w:pPr>
            <w:r>
              <w:t>по состоянию на "___" __________ 201__ г.</w:t>
            </w:r>
          </w:p>
        </w:tc>
      </w:tr>
      <w:tr w:rsidR="00454A29" w14:paraId="259FA234" w14:textId="77777777">
        <w:tc>
          <w:tcPr>
            <w:tcW w:w="19071" w:type="dxa"/>
            <w:gridSpan w:val="19"/>
            <w:tcBorders>
              <w:top w:val="nil"/>
              <w:left w:val="nil"/>
              <w:right w:val="nil"/>
            </w:tcBorders>
          </w:tcPr>
          <w:p w14:paraId="06D1470E" w14:textId="77777777" w:rsidR="00454A29" w:rsidRDefault="00454A29">
            <w:pPr>
              <w:pStyle w:val="ConsPlusNormal"/>
            </w:pPr>
          </w:p>
        </w:tc>
      </w:tr>
      <w:tr w:rsidR="00454A29" w14:paraId="58C38347" w14:textId="77777777">
        <w:tblPrEx>
          <w:tblBorders>
            <w:left w:val="single" w:sz="4" w:space="0" w:color="auto"/>
            <w:right w:val="single" w:sz="4" w:space="0" w:color="auto"/>
            <w:insideH w:val="single" w:sz="4" w:space="0" w:color="auto"/>
          </w:tblBorders>
        </w:tblPrEx>
        <w:tc>
          <w:tcPr>
            <w:tcW w:w="567" w:type="dxa"/>
            <w:vMerge w:val="restart"/>
            <w:vAlign w:val="center"/>
          </w:tcPr>
          <w:p w14:paraId="781E6E9E" w14:textId="77777777" w:rsidR="00454A29" w:rsidRDefault="00454A29">
            <w:pPr>
              <w:pStyle w:val="ConsPlusNormal"/>
              <w:jc w:val="center"/>
            </w:pPr>
            <w:r>
              <w:t>N</w:t>
            </w:r>
          </w:p>
        </w:tc>
        <w:tc>
          <w:tcPr>
            <w:tcW w:w="1701" w:type="dxa"/>
            <w:vMerge w:val="restart"/>
            <w:vAlign w:val="center"/>
          </w:tcPr>
          <w:p w14:paraId="42869969" w14:textId="77777777" w:rsidR="00454A29" w:rsidRDefault="00454A29">
            <w:pPr>
              <w:pStyle w:val="ConsPlusNormal"/>
              <w:jc w:val="center"/>
            </w:pPr>
            <w:r>
              <w:t>Наименование объектов</w:t>
            </w:r>
          </w:p>
        </w:tc>
        <w:tc>
          <w:tcPr>
            <w:tcW w:w="770" w:type="dxa"/>
            <w:vMerge w:val="restart"/>
            <w:vAlign w:val="center"/>
          </w:tcPr>
          <w:p w14:paraId="40B82E48" w14:textId="77777777" w:rsidR="00454A29" w:rsidRDefault="00454A29">
            <w:pPr>
              <w:pStyle w:val="ConsPlusNormal"/>
              <w:jc w:val="center"/>
            </w:pPr>
            <w:r>
              <w:t>Виды работ</w:t>
            </w:r>
          </w:p>
        </w:tc>
        <w:tc>
          <w:tcPr>
            <w:tcW w:w="1304" w:type="dxa"/>
            <w:vMerge w:val="restart"/>
            <w:vAlign w:val="center"/>
          </w:tcPr>
          <w:p w14:paraId="74D45187" w14:textId="77777777" w:rsidR="00454A29" w:rsidRDefault="00454A29">
            <w:pPr>
              <w:pStyle w:val="ConsPlusNormal"/>
              <w:jc w:val="center"/>
            </w:pPr>
            <w:r>
              <w:t>Сметная стоимость</w:t>
            </w:r>
          </w:p>
        </w:tc>
        <w:tc>
          <w:tcPr>
            <w:tcW w:w="3105" w:type="dxa"/>
            <w:gridSpan w:val="4"/>
            <w:vAlign w:val="center"/>
          </w:tcPr>
          <w:p w14:paraId="10488BED" w14:textId="77777777" w:rsidR="00454A29" w:rsidRDefault="00454A29">
            <w:pPr>
              <w:pStyle w:val="ConsPlusNormal"/>
              <w:jc w:val="center"/>
            </w:pPr>
            <w:r>
              <w:t>Предусмотрено (тыс. рублей)</w:t>
            </w:r>
          </w:p>
        </w:tc>
        <w:tc>
          <w:tcPr>
            <w:tcW w:w="1815" w:type="dxa"/>
            <w:gridSpan w:val="2"/>
            <w:vAlign w:val="center"/>
          </w:tcPr>
          <w:p w14:paraId="4A2CBB85" w14:textId="77777777" w:rsidR="00454A29" w:rsidRDefault="00454A29">
            <w:pPr>
              <w:pStyle w:val="ConsPlusNormal"/>
              <w:jc w:val="center"/>
            </w:pPr>
            <w:r>
              <w:t>Дата проведения торгов</w:t>
            </w:r>
          </w:p>
        </w:tc>
        <w:tc>
          <w:tcPr>
            <w:tcW w:w="1191" w:type="dxa"/>
            <w:vMerge w:val="restart"/>
            <w:vAlign w:val="center"/>
          </w:tcPr>
          <w:p w14:paraId="3122AE8A" w14:textId="77777777" w:rsidR="00454A29" w:rsidRDefault="00454A29">
            <w:pPr>
              <w:pStyle w:val="ConsPlusNormal"/>
              <w:jc w:val="center"/>
            </w:pPr>
            <w:r>
              <w:t>Сумма договора</w:t>
            </w:r>
          </w:p>
        </w:tc>
        <w:tc>
          <w:tcPr>
            <w:tcW w:w="1247" w:type="dxa"/>
            <w:vMerge w:val="restart"/>
            <w:vAlign w:val="center"/>
          </w:tcPr>
          <w:p w14:paraId="1A8EBA14" w14:textId="77777777" w:rsidR="00454A29" w:rsidRDefault="00454A29">
            <w:pPr>
              <w:pStyle w:val="ConsPlusNormal"/>
              <w:jc w:val="center"/>
            </w:pPr>
            <w:r>
              <w:t>Дата подписания договора</w:t>
            </w:r>
          </w:p>
        </w:tc>
        <w:tc>
          <w:tcPr>
            <w:tcW w:w="1417" w:type="dxa"/>
            <w:vMerge w:val="restart"/>
            <w:vAlign w:val="center"/>
          </w:tcPr>
          <w:p w14:paraId="708551DA" w14:textId="77777777" w:rsidR="00454A29" w:rsidRDefault="00454A29">
            <w:pPr>
              <w:pStyle w:val="ConsPlusNormal"/>
              <w:jc w:val="center"/>
            </w:pPr>
            <w:r>
              <w:t>Сроки проведения работ (начало, окончание работ)</w:t>
            </w:r>
          </w:p>
        </w:tc>
        <w:tc>
          <w:tcPr>
            <w:tcW w:w="1701" w:type="dxa"/>
            <w:vMerge w:val="restart"/>
            <w:vAlign w:val="center"/>
          </w:tcPr>
          <w:p w14:paraId="45A20810" w14:textId="77777777" w:rsidR="00454A29" w:rsidRDefault="00454A29">
            <w:pPr>
              <w:pStyle w:val="ConsPlusNormal"/>
              <w:jc w:val="center"/>
            </w:pPr>
            <w:r>
              <w:t>Наименование подрядной организации</w:t>
            </w:r>
          </w:p>
        </w:tc>
        <w:tc>
          <w:tcPr>
            <w:tcW w:w="1077" w:type="dxa"/>
            <w:vAlign w:val="center"/>
          </w:tcPr>
          <w:p w14:paraId="741C2EFE" w14:textId="77777777" w:rsidR="00454A29" w:rsidRDefault="00454A29">
            <w:pPr>
              <w:pStyle w:val="ConsPlusNormal"/>
              <w:jc w:val="center"/>
            </w:pPr>
            <w:r>
              <w:t>Освоено средств (тыс. рублей)</w:t>
            </w:r>
          </w:p>
        </w:tc>
        <w:tc>
          <w:tcPr>
            <w:tcW w:w="3176" w:type="dxa"/>
            <w:gridSpan w:val="4"/>
            <w:vAlign w:val="center"/>
          </w:tcPr>
          <w:p w14:paraId="7843B6AA" w14:textId="77777777" w:rsidR="00454A29" w:rsidRDefault="00454A29">
            <w:pPr>
              <w:pStyle w:val="ConsPlusNormal"/>
              <w:jc w:val="center"/>
            </w:pPr>
            <w:r>
              <w:t>% освоения</w:t>
            </w:r>
          </w:p>
        </w:tc>
      </w:tr>
      <w:tr w:rsidR="00454A29" w14:paraId="6DAC1722" w14:textId="77777777">
        <w:tblPrEx>
          <w:tblBorders>
            <w:left w:val="single" w:sz="4" w:space="0" w:color="auto"/>
            <w:right w:val="single" w:sz="4" w:space="0" w:color="auto"/>
            <w:insideH w:val="single" w:sz="4" w:space="0" w:color="auto"/>
          </w:tblBorders>
        </w:tblPrEx>
        <w:tc>
          <w:tcPr>
            <w:tcW w:w="567" w:type="dxa"/>
            <w:vMerge/>
          </w:tcPr>
          <w:p w14:paraId="5F902DCE" w14:textId="77777777" w:rsidR="00454A29" w:rsidRDefault="00454A29"/>
        </w:tc>
        <w:tc>
          <w:tcPr>
            <w:tcW w:w="1701" w:type="dxa"/>
            <w:vMerge/>
          </w:tcPr>
          <w:p w14:paraId="393A3112" w14:textId="77777777" w:rsidR="00454A29" w:rsidRDefault="00454A29"/>
        </w:tc>
        <w:tc>
          <w:tcPr>
            <w:tcW w:w="770" w:type="dxa"/>
            <w:vMerge/>
          </w:tcPr>
          <w:p w14:paraId="08795556" w14:textId="77777777" w:rsidR="00454A29" w:rsidRDefault="00454A29"/>
        </w:tc>
        <w:tc>
          <w:tcPr>
            <w:tcW w:w="1304" w:type="dxa"/>
            <w:vMerge/>
          </w:tcPr>
          <w:p w14:paraId="31CB76E5" w14:textId="77777777" w:rsidR="00454A29" w:rsidRDefault="00454A29"/>
        </w:tc>
        <w:tc>
          <w:tcPr>
            <w:tcW w:w="770" w:type="dxa"/>
            <w:vAlign w:val="center"/>
          </w:tcPr>
          <w:p w14:paraId="659D00F0" w14:textId="77777777" w:rsidR="00454A29" w:rsidRDefault="00454A29">
            <w:pPr>
              <w:pStyle w:val="ConsPlusNormal"/>
              <w:jc w:val="center"/>
            </w:pPr>
            <w:r>
              <w:t>всего</w:t>
            </w:r>
          </w:p>
        </w:tc>
        <w:tc>
          <w:tcPr>
            <w:tcW w:w="770" w:type="dxa"/>
            <w:vAlign w:val="center"/>
          </w:tcPr>
          <w:p w14:paraId="5339D78B" w14:textId="77777777" w:rsidR="00454A29" w:rsidRDefault="00454A29">
            <w:pPr>
              <w:pStyle w:val="ConsPlusNormal"/>
              <w:jc w:val="center"/>
            </w:pPr>
            <w:r>
              <w:t>ФБ</w:t>
            </w:r>
          </w:p>
        </w:tc>
        <w:tc>
          <w:tcPr>
            <w:tcW w:w="771" w:type="dxa"/>
            <w:vAlign w:val="center"/>
          </w:tcPr>
          <w:p w14:paraId="6D0EDFF6" w14:textId="77777777" w:rsidR="00454A29" w:rsidRDefault="00454A29">
            <w:pPr>
              <w:pStyle w:val="ConsPlusNormal"/>
              <w:jc w:val="center"/>
            </w:pPr>
            <w:r>
              <w:t>РБ</w:t>
            </w:r>
          </w:p>
        </w:tc>
        <w:tc>
          <w:tcPr>
            <w:tcW w:w="794" w:type="dxa"/>
            <w:vAlign w:val="center"/>
          </w:tcPr>
          <w:p w14:paraId="6EB2D2DB" w14:textId="77777777" w:rsidR="00454A29" w:rsidRDefault="00454A29">
            <w:pPr>
              <w:pStyle w:val="ConsPlusNormal"/>
              <w:jc w:val="center"/>
            </w:pPr>
            <w:r>
              <w:t>МБ</w:t>
            </w:r>
          </w:p>
        </w:tc>
        <w:tc>
          <w:tcPr>
            <w:tcW w:w="908" w:type="dxa"/>
            <w:vAlign w:val="center"/>
          </w:tcPr>
          <w:p w14:paraId="5D500A60" w14:textId="77777777" w:rsidR="00454A29" w:rsidRDefault="00454A29">
            <w:pPr>
              <w:pStyle w:val="ConsPlusNormal"/>
              <w:jc w:val="center"/>
            </w:pPr>
            <w:r>
              <w:t>начало</w:t>
            </w:r>
          </w:p>
        </w:tc>
        <w:tc>
          <w:tcPr>
            <w:tcW w:w="907" w:type="dxa"/>
            <w:vAlign w:val="center"/>
          </w:tcPr>
          <w:p w14:paraId="62AAF797" w14:textId="77777777" w:rsidR="00454A29" w:rsidRDefault="00454A29">
            <w:pPr>
              <w:pStyle w:val="ConsPlusNormal"/>
              <w:jc w:val="center"/>
            </w:pPr>
            <w:r>
              <w:t>конец</w:t>
            </w:r>
          </w:p>
        </w:tc>
        <w:tc>
          <w:tcPr>
            <w:tcW w:w="1191" w:type="dxa"/>
            <w:vMerge/>
          </w:tcPr>
          <w:p w14:paraId="53E93937" w14:textId="77777777" w:rsidR="00454A29" w:rsidRDefault="00454A29"/>
        </w:tc>
        <w:tc>
          <w:tcPr>
            <w:tcW w:w="1247" w:type="dxa"/>
            <w:vMerge/>
          </w:tcPr>
          <w:p w14:paraId="3544D942" w14:textId="77777777" w:rsidR="00454A29" w:rsidRDefault="00454A29"/>
        </w:tc>
        <w:tc>
          <w:tcPr>
            <w:tcW w:w="1417" w:type="dxa"/>
            <w:vMerge/>
          </w:tcPr>
          <w:p w14:paraId="2D4F907F" w14:textId="77777777" w:rsidR="00454A29" w:rsidRDefault="00454A29"/>
        </w:tc>
        <w:tc>
          <w:tcPr>
            <w:tcW w:w="1701" w:type="dxa"/>
            <w:vMerge/>
          </w:tcPr>
          <w:p w14:paraId="6067119B" w14:textId="77777777" w:rsidR="00454A29" w:rsidRDefault="00454A29"/>
        </w:tc>
        <w:tc>
          <w:tcPr>
            <w:tcW w:w="1077" w:type="dxa"/>
            <w:vAlign w:val="center"/>
          </w:tcPr>
          <w:p w14:paraId="6D1B4D5C" w14:textId="77777777" w:rsidR="00454A29" w:rsidRDefault="00454A29">
            <w:pPr>
              <w:pStyle w:val="ConsPlusNormal"/>
              <w:jc w:val="center"/>
            </w:pPr>
            <w:r>
              <w:t>всего</w:t>
            </w:r>
          </w:p>
        </w:tc>
        <w:tc>
          <w:tcPr>
            <w:tcW w:w="794" w:type="dxa"/>
            <w:vAlign w:val="center"/>
          </w:tcPr>
          <w:p w14:paraId="4B73AB65" w14:textId="77777777" w:rsidR="00454A29" w:rsidRDefault="00454A29">
            <w:pPr>
              <w:pStyle w:val="ConsPlusNormal"/>
              <w:jc w:val="center"/>
            </w:pPr>
            <w:r>
              <w:t>ФБ</w:t>
            </w:r>
          </w:p>
        </w:tc>
        <w:tc>
          <w:tcPr>
            <w:tcW w:w="794" w:type="dxa"/>
            <w:vAlign w:val="center"/>
          </w:tcPr>
          <w:p w14:paraId="2F832DF7" w14:textId="77777777" w:rsidR="00454A29" w:rsidRDefault="00454A29">
            <w:pPr>
              <w:pStyle w:val="ConsPlusNormal"/>
              <w:jc w:val="center"/>
            </w:pPr>
            <w:r>
              <w:t>РБ</w:t>
            </w:r>
          </w:p>
        </w:tc>
        <w:tc>
          <w:tcPr>
            <w:tcW w:w="794" w:type="dxa"/>
            <w:vAlign w:val="center"/>
          </w:tcPr>
          <w:p w14:paraId="56872243" w14:textId="77777777" w:rsidR="00454A29" w:rsidRDefault="00454A29">
            <w:pPr>
              <w:pStyle w:val="ConsPlusNormal"/>
              <w:jc w:val="center"/>
            </w:pPr>
            <w:r>
              <w:t>МБ</w:t>
            </w:r>
          </w:p>
        </w:tc>
        <w:tc>
          <w:tcPr>
            <w:tcW w:w="794" w:type="dxa"/>
          </w:tcPr>
          <w:p w14:paraId="193A53C3" w14:textId="77777777" w:rsidR="00454A29" w:rsidRDefault="00454A29">
            <w:pPr>
              <w:pStyle w:val="ConsPlusNormal"/>
            </w:pPr>
          </w:p>
        </w:tc>
      </w:tr>
      <w:tr w:rsidR="00454A29" w14:paraId="478256CA" w14:textId="77777777">
        <w:tblPrEx>
          <w:tblBorders>
            <w:left w:val="single" w:sz="4" w:space="0" w:color="auto"/>
            <w:right w:val="single" w:sz="4" w:space="0" w:color="auto"/>
            <w:insideH w:val="single" w:sz="4" w:space="0" w:color="auto"/>
          </w:tblBorders>
        </w:tblPrEx>
        <w:tc>
          <w:tcPr>
            <w:tcW w:w="567" w:type="dxa"/>
            <w:vAlign w:val="center"/>
          </w:tcPr>
          <w:p w14:paraId="7E007580" w14:textId="77777777" w:rsidR="00454A29" w:rsidRDefault="00454A29">
            <w:pPr>
              <w:pStyle w:val="ConsPlusNormal"/>
            </w:pPr>
          </w:p>
        </w:tc>
        <w:tc>
          <w:tcPr>
            <w:tcW w:w="1701" w:type="dxa"/>
            <w:vAlign w:val="center"/>
          </w:tcPr>
          <w:p w14:paraId="72A89CF8" w14:textId="77777777" w:rsidR="00454A29" w:rsidRDefault="00454A29">
            <w:pPr>
              <w:pStyle w:val="ConsPlusNormal"/>
            </w:pPr>
          </w:p>
        </w:tc>
        <w:tc>
          <w:tcPr>
            <w:tcW w:w="770" w:type="dxa"/>
            <w:vAlign w:val="center"/>
          </w:tcPr>
          <w:p w14:paraId="499ABE78" w14:textId="77777777" w:rsidR="00454A29" w:rsidRDefault="00454A29">
            <w:pPr>
              <w:pStyle w:val="ConsPlusNormal"/>
            </w:pPr>
          </w:p>
        </w:tc>
        <w:tc>
          <w:tcPr>
            <w:tcW w:w="1304" w:type="dxa"/>
            <w:vAlign w:val="center"/>
          </w:tcPr>
          <w:p w14:paraId="5089DC7B" w14:textId="77777777" w:rsidR="00454A29" w:rsidRDefault="00454A29">
            <w:pPr>
              <w:pStyle w:val="ConsPlusNormal"/>
            </w:pPr>
          </w:p>
        </w:tc>
        <w:tc>
          <w:tcPr>
            <w:tcW w:w="770" w:type="dxa"/>
            <w:vAlign w:val="center"/>
          </w:tcPr>
          <w:p w14:paraId="53DC412F" w14:textId="77777777" w:rsidR="00454A29" w:rsidRDefault="00454A29">
            <w:pPr>
              <w:pStyle w:val="ConsPlusNormal"/>
            </w:pPr>
          </w:p>
        </w:tc>
        <w:tc>
          <w:tcPr>
            <w:tcW w:w="770" w:type="dxa"/>
            <w:vAlign w:val="center"/>
          </w:tcPr>
          <w:p w14:paraId="43BD947F" w14:textId="77777777" w:rsidR="00454A29" w:rsidRDefault="00454A29">
            <w:pPr>
              <w:pStyle w:val="ConsPlusNormal"/>
            </w:pPr>
          </w:p>
        </w:tc>
        <w:tc>
          <w:tcPr>
            <w:tcW w:w="771" w:type="dxa"/>
            <w:vAlign w:val="center"/>
          </w:tcPr>
          <w:p w14:paraId="5AF69F9B" w14:textId="77777777" w:rsidR="00454A29" w:rsidRDefault="00454A29">
            <w:pPr>
              <w:pStyle w:val="ConsPlusNormal"/>
            </w:pPr>
          </w:p>
        </w:tc>
        <w:tc>
          <w:tcPr>
            <w:tcW w:w="794" w:type="dxa"/>
            <w:vAlign w:val="center"/>
          </w:tcPr>
          <w:p w14:paraId="4255E47C" w14:textId="77777777" w:rsidR="00454A29" w:rsidRDefault="00454A29">
            <w:pPr>
              <w:pStyle w:val="ConsPlusNormal"/>
            </w:pPr>
          </w:p>
        </w:tc>
        <w:tc>
          <w:tcPr>
            <w:tcW w:w="908" w:type="dxa"/>
            <w:vAlign w:val="center"/>
          </w:tcPr>
          <w:p w14:paraId="742B4774" w14:textId="77777777" w:rsidR="00454A29" w:rsidRDefault="00454A29">
            <w:pPr>
              <w:pStyle w:val="ConsPlusNormal"/>
            </w:pPr>
          </w:p>
        </w:tc>
        <w:tc>
          <w:tcPr>
            <w:tcW w:w="907" w:type="dxa"/>
            <w:vAlign w:val="center"/>
          </w:tcPr>
          <w:p w14:paraId="3B612840" w14:textId="77777777" w:rsidR="00454A29" w:rsidRDefault="00454A29">
            <w:pPr>
              <w:pStyle w:val="ConsPlusNormal"/>
            </w:pPr>
          </w:p>
        </w:tc>
        <w:tc>
          <w:tcPr>
            <w:tcW w:w="1191" w:type="dxa"/>
            <w:vAlign w:val="center"/>
          </w:tcPr>
          <w:p w14:paraId="1951E383" w14:textId="77777777" w:rsidR="00454A29" w:rsidRDefault="00454A29">
            <w:pPr>
              <w:pStyle w:val="ConsPlusNormal"/>
            </w:pPr>
          </w:p>
        </w:tc>
        <w:tc>
          <w:tcPr>
            <w:tcW w:w="1247" w:type="dxa"/>
            <w:vAlign w:val="center"/>
          </w:tcPr>
          <w:p w14:paraId="7591DE45" w14:textId="77777777" w:rsidR="00454A29" w:rsidRDefault="00454A29">
            <w:pPr>
              <w:pStyle w:val="ConsPlusNormal"/>
            </w:pPr>
          </w:p>
        </w:tc>
        <w:tc>
          <w:tcPr>
            <w:tcW w:w="1417" w:type="dxa"/>
            <w:vAlign w:val="center"/>
          </w:tcPr>
          <w:p w14:paraId="7808FA6B" w14:textId="77777777" w:rsidR="00454A29" w:rsidRDefault="00454A29">
            <w:pPr>
              <w:pStyle w:val="ConsPlusNormal"/>
            </w:pPr>
          </w:p>
        </w:tc>
        <w:tc>
          <w:tcPr>
            <w:tcW w:w="1701" w:type="dxa"/>
            <w:vAlign w:val="center"/>
          </w:tcPr>
          <w:p w14:paraId="0B7BD6BB" w14:textId="77777777" w:rsidR="00454A29" w:rsidRDefault="00454A29">
            <w:pPr>
              <w:pStyle w:val="ConsPlusNormal"/>
            </w:pPr>
          </w:p>
        </w:tc>
        <w:tc>
          <w:tcPr>
            <w:tcW w:w="1077" w:type="dxa"/>
            <w:vAlign w:val="bottom"/>
          </w:tcPr>
          <w:p w14:paraId="28E98127" w14:textId="77777777" w:rsidR="00454A29" w:rsidRDefault="00454A29">
            <w:pPr>
              <w:pStyle w:val="ConsPlusNormal"/>
            </w:pPr>
          </w:p>
        </w:tc>
        <w:tc>
          <w:tcPr>
            <w:tcW w:w="794" w:type="dxa"/>
            <w:vAlign w:val="bottom"/>
          </w:tcPr>
          <w:p w14:paraId="210C7802" w14:textId="77777777" w:rsidR="00454A29" w:rsidRDefault="00454A29">
            <w:pPr>
              <w:pStyle w:val="ConsPlusNormal"/>
            </w:pPr>
          </w:p>
        </w:tc>
        <w:tc>
          <w:tcPr>
            <w:tcW w:w="794" w:type="dxa"/>
            <w:vAlign w:val="bottom"/>
          </w:tcPr>
          <w:p w14:paraId="76649919" w14:textId="77777777" w:rsidR="00454A29" w:rsidRDefault="00454A29">
            <w:pPr>
              <w:pStyle w:val="ConsPlusNormal"/>
            </w:pPr>
          </w:p>
        </w:tc>
        <w:tc>
          <w:tcPr>
            <w:tcW w:w="794" w:type="dxa"/>
            <w:vAlign w:val="bottom"/>
          </w:tcPr>
          <w:p w14:paraId="0C525304" w14:textId="77777777" w:rsidR="00454A29" w:rsidRDefault="00454A29">
            <w:pPr>
              <w:pStyle w:val="ConsPlusNormal"/>
            </w:pPr>
          </w:p>
        </w:tc>
        <w:tc>
          <w:tcPr>
            <w:tcW w:w="794" w:type="dxa"/>
          </w:tcPr>
          <w:p w14:paraId="4D47688A" w14:textId="77777777" w:rsidR="00454A29" w:rsidRDefault="00454A29">
            <w:pPr>
              <w:pStyle w:val="ConsPlusNormal"/>
            </w:pPr>
          </w:p>
        </w:tc>
      </w:tr>
    </w:tbl>
    <w:p w14:paraId="6E48695C"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302"/>
        <w:gridCol w:w="3118"/>
        <w:gridCol w:w="3061"/>
      </w:tblGrid>
      <w:tr w:rsidR="00454A29" w14:paraId="145582E2" w14:textId="77777777">
        <w:tc>
          <w:tcPr>
            <w:tcW w:w="567" w:type="dxa"/>
            <w:vMerge w:val="restart"/>
            <w:vAlign w:val="center"/>
          </w:tcPr>
          <w:p w14:paraId="6AFED06D" w14:textId="77777777" w:rsidR="00454A29" w:rsidRDefault="00454A29">
            <w:pPr>
              <w:pStyle w:val="ConsPlusNormal"/>
              <w:jc w:val="center"/>
            </w:pPr>
            <w:r>
              <w:t>N</w:t>
            </w:r>
          </w:p>
        </w:tc>
        <w:tc>
          <w:tcPr>
            <w:tcW w:w="12302" w:type="dxa"/>
            <w:vMerge w:val="restart"/>
            <w:vAlign w:val="center"/>
          </w:tcPr>
          <w:p w14:paraId="4C8ED5EA" w14:textId="77777777" w:rsidR="00454A29" w:rsidRDefault="00454A29">
            <w:pPr>
              <w:pStyle w:val="ConsPlusNormal"/>
              <w:jc w:val="center"/>
            </w:pPr>
            <w:r>
              <w:t>Наименование показателя эффективности использования субсидии</w:t>
            </w:r>
          </w:p>
        </w:tc>
        <w:tc>
          <w:tcPr>
            <w:tcW w:w="6179" w:type="dxa"/>
            <w:gridSpan w:val="2"/>
            <w:vAlign w:val="center"/>
          </w:tcPr>
          <w:p w14:paraId="1EB156A4" w14:textId="77777777" w:rsidR="00454A29" w:rsidRDefault="00454A29">
            <w:pPr>
              <w:pStyle w:val="ConsPlusNormal"/>
              <w:jc w:val="center"/>
            </w:pPr>
            <w:r>
              <w:t>Значение показателя</w:t>
            </w:r>
          </w:p>
        </w:tc>
      </w:tr>
      <w:tr w:rsidR="00454A29" w14:paraId="482FB6A0" w14:textId="77777777">
        <w:tc>
          <w:tcPr>
            <w:tcW w:w="567" w:type="dxa"/>
            <w:vMerge/>
          </w:tcPr>
          <w:p w14:paraId="2F8ADF82" w14:textId="77777777" w:rsidR="00454A29" w:rsidRDefault="00454A29"/>
        </w:tc>
        <w:tc>
          <w:tcPr>
            <w:tcW w:w="12302" w:type="dxa"/>
            <w:vMerge/>
          </w:tcPr>
          <w:p w14:paraId="7DAD5C09" w14:textId="77777777" w:rsidR="00454A29" w:rsidRDefault="00454A29"/>
        </w:tc>
        <w:tc>
          <w:tcPr>
            <w:tcW w:w="3118" w:type="dxa"/>
            <w:vAlign w:val="center"/>
          </w:tcPr>
          <w:p w14:paraId="7EB0AEFD" w14:textId="77777777" w:rsidR="00454A29" w:rsidRDefault="00454A29">
            <w:pPr>
              <w:pStyle w:val="ConsPlusNormal"/>
              <w:jc w:val="center"/>
            </w:pPr>
            <w:r>
              <w:t>на начало года</w:t>
            </w:r>
          </w:p>
        </w:tc>
        <w:tc>
          <w:tcPr>
            <w:tcW w:w="3061" w:type="dxa"/>
            <w:vAlign w:val="center"/>
          </w:tcPr>
          <w:p w14:paraId="5B362B80" w14:textId="77777777" w:rsidR="00454A29" w:rsidRDefault="00454A29">
            <w:pPr>
              <w:pStyle w:val="ConsPlusNormal"/>
              <w:jc w:val="center"/>
            </w:pPr>
            <w:r>
              <w:t>на отчетную дату</w:t>
            </w:r>
          </w:p>
        </w:tc>
      </w:tr>
      <w:tr w:rsidR="00454A29" w14:paraId="35FD1576" w14:textId="77777777">
        <w:tc>
          <w:tcPr>
            <w:tcW w:w="567" w:type="dxa"/>
            <w:vAlign w:val="center"/>
          </w:tcPr>
          <w:p w14:paraId="697DEBE5" w14:textId="77777777" w:rsidR="00454A29" w:rsidRDefault="00454A29">
            <w:pPr>
              <w:pStyle w:val="ConsPlusNormal"/>
              <w:jc w:val="center"/>
            </w:pPr>
            <w:r>
              <w:t>1</w:t>
            </w:r>
          </w:p>
        </w:tc>
        <w:tc>
          <w:tcPr>
            <w:tcW w:w="12302" w:type="dxa"/>
            <w:vAlign w:val="center"/>
          </w:tcPr>
          <w:p w14:paraId="1ECF8CE1" w14:textId="77777777" w:rsidR="00454A29" w:rsidRDefault="00454A29">
            <w:pPr>
              <w:pStyle w:val="ConsPlusNormal"/>
            </w:pPr>
            <w:r>
              <w:t>Доля муниципальных организаций отдыха детей, здания которых находятся в аварийном состоянии или требуют капитального ремонта, в общей численности муниципальных организаций отдыха детей</w:t>
            </w:r>
          </w:p>
        </w:tc>
        <w:tc>
          <w:tcPr>
            <w:tcW w:w="3118" w:type="dxa"/>
            <w:vAlign w:val="center"/>
          </w:tcPr>
          <w:p w14:paraId="1B5C61AB" w14:textId="77777777" w:rsidR="00454A29" w:rsidRDefault="00454A29">
            <w:pPr>
              <w:pStyle w:val="ConsPlusNormal"/>
            </w:pPr>
          </w:p>
        </w:tc>
        <w:tc>
          <w:tcPr>
            <w:tcW w:w="3061" w:type="dxa"/>
            <w:vAlign w:val="center"/>
          </w:tcPr>
          <w:p w14:paraId="421B8D00" w14:textId="77777777" w:rsidR="00454A29" w:rsidRDefault="00454A29">
            <w:pPr>
              <w:pStyle w:val="ConsPlusNormal"/>
            </w:pPr>
          </w:p>
        </w:tc>
      </w:tr>
      <w:tr w:rsidR="00454A29" w14:paraId="7D996FC5" w14:textId="77777777">
        <w:tc>
          <w:tcPr>
            <w:tcW w:w="567" w:type="dxa"/>
            <w:vAlign w:val="center"/>
          </w:tcPr>
          <w:p w14:paraId="492D2F40" w14:textId="77777777" w:rsidR="00454A29" w:rsidRDefault="00454A29">
            <w:pPr>
              <w:pStyle w:val="ConsPlusNormal"/>
              <w:jc w:val="center"/>
            </w:pPr>
            <w:r>
              <w:t>2</w:t>
            </w:r>
          </w:p>
        </w:tc>
        <w:tc>
          <w:tcPr>
            <w:tcW w:w="12302" w:type="dxa"/>
            <w:vAlign w:val="center"/>
          </w:tcPr>
          <w:p w14:paraId="657A8CDB" w14:textId="77777777" w:rsidR="00454A29" w:rsidRDefault="00454A29">
            <w:pPr>
              <w:pStyle w:val="ConsPlusNormal"/>
            </w:pPr>
            <w:r>
              <w:t>Процент выполнения графика выполнения работ на объектах капитального строительства</w:t>
            </w:r>
          </w:p>
        </w:tc>
        <w:tc>
          <w:tcPr>
            <w:tcW w:w="3118" w:type="dxa"/>
            <w:vAlign w:val="center"/>
          </w:tcPr>
          <w:p w14:paraId="297A88E6" w14:textId="77777777" w:rsidR="00454A29" w:rsidRDefault="00454A29">
            <w:pPr>
              <w:pStyle w:val="ConsPlusNormal"/>
              <w:jc w:val="center"/>
            </w:pPr>
            <w:r>
              <w:t>х</w:t>
            </w:r>
          </w:p>
        </w:tc>
        <w:tc>
          <w:tcPr>
            <w:tcW w:w="3061" w:type="dxa"/>
            <w:vAlign w:val="center"/>
          </w:tcPr>
          <w:p w14:paraId="5CE2A323" w14:textId="77777777" w:rsidR="00454A29" w:rsidRDefault="00454A29">
            <w:pPr>
              <w:pStyle w:val="ConsPlusNormal"/>
            </w:pPr>
          </w:p>
        </w:tc>
      </w:tr>
    </w:tbl>
    <w:p w14:paraId="0261D4A7" w14:textId="77777777" w:rsidR="00454A29" w:rsidRDefault="00454A2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4252"/>
        <w:gridCol w:w="4479"/>
      </w:tblGrid>
      <w:tr w:rsidR="00454A29" w14:paraId="7A749D66" w14:textId="77777777">
        <w:tc>
          <w:tcPr>
            <w:tcW w:w="1644" w:type="dxa"/>
            <w:tcBorders>
              <w:top w:val="nil"/>
              <w:left w:val="nil"/>
              <w:bottom w:val="nil"/>
              <w:right w:val="nil"/>
            </w:tcBorders>
          </w:tcPr>
          <w:p w14:paraId="7E27B659" w14:textId="77777777" w:rsidR="00454A29" w:rsidRDefault="00454A29">
            <w:pPr>
              <w:pStyle w:val="ConsPlusNormal"/>
              <w:jc w:val="both"/>
            </w:pPr>
            <w:r>
              <w:t>Глава</w:t>
            </w:r>
          </w:p>
        </w:tc>
        <w:tc>
          <w:tcPr>
            <w:tcW w:w="4252" w:type="dxa"/>
            <w:tcBorders>
              <w:top w:val="nil"/>
              <w:left w:val="nil"/>
              <w:bottom w:val="nil"/>
              <w:right w:val="nil"/>
            </w:tcBorders>
          </w:tcPr>
          <w:p w14:paraId="548B7091" w14:textId="77777777" w:rsidR="00454A29" w:rsidRDefault="00454A29">
            <w:pPr>
              <w:pStyle w:val="ConsPlusNormal"/>
              <w:jc w:val="both"/>
            </w:pPr>
            <w:r>
              <w:t>_______________ ______________</w:t>
            </w:r>
          </w:p>
        </w:tc>
        <w:tc>
          <w:tcPr>
            <w:tcW w:w="4479" w:type="dxa"/>
            <w:tcBorders>
              <w:top w:val="nil"/>
              <w:left w:val="nil"/>
              <w:bottom w:val="nil"/>
              <w:right w:val="nil"/>
            </w:tcBorders>
          </w:tcPr>
          <w:p w14:paraId="046A3B61" w14:textId="77777777" w:rsidR="00454A29" w:rsidRDefault="00454A29">
            <w:pPr>
              <w:pStyle w:val="ConsPlusNormal"/>
              <w:jc w:val="both"/>
            </w:pPr>
            <w:r>
              <w:t>(личная подпись) (инициалы, фамилия)</w:t>
            </w:r>
          </w:p>
        </w:tc>
      </w:tr>
      <w:tr w:rsidR="00454A29" w14:paraId="06839752" w14:textId="77777777">
        <w:tc>
          <w:tcPr>
            <w:tcW w:w="1644" w:type="dxa"/>
            <w:tcBorders>
              <w:top w:val="nil"/>
              <w:left w:val="nil"/>
              <w:bottom w:val="nil"/>
              <w:right w:val="nil"/>
            </w:tcBorders>
          </w:tcPr>
          <w:p w14:paraId="66C755DA" w14:textId="77777777" w:rsidR="00454A29" w:rsidRDefault="00454A29">
            <w:pPr>
              <w:pStyle w:val="ConsPlusNormal"/>
              <w:jc w:val="right"/>
            </w:pPr>
            <w:r>
              <w:t>М.П.</w:t>
            </w:r>
          </w:p>
        </w:tc>
        <w:tc>
          <w:tcPr>
            <w:tcW w:w="8731" w:type="dxa"/>
            <w:gridSpan w:val="2"/>
            <w:tcBorders>
              <w:top w:val="nil"/>
              <w:left w:val="nil"/>
              <w:bottom w:val="nil"/>
              <w:right w:val="nil"/>
            </w:tcBorders>
          </w:tcPr>
          <w:p w14:paraId="08357985" w14:textId="77777777" w:rsidR="00454A29" w:rsidRDefault="00454A29">
            <w:pPr>
              <w:pStyle w:val="ConsPlusNormal"/>
            </w:pPr>
          </w:p>
        </w:tc>
      </w:tr>
      <w:tr w:rsidR="00454A29" w14:paraId="58B40683" w14:textId="77777777">
        <w:tc>
          <w:tcPr>
            <w:tcW w:w="1644" w:type="dxa"/>
            <w:tcBorders>
              <w:top w:val="nil"/>
              <w:left w:val="nil"/>
              <w:bottom w:val="nil"/>
              <w:right w:val="nil"/>
            </w:tcBorders>
          </w:tcPr>
          <w:p w14:paraId="0150DA84" w14:textId="77777777" w:rsidR="00454A29" w:rsidRDefault="00454A29">
            <w:pPr>
              <w:pStyle w:val="ConsPlusNormal"/>
              <w:jc w:val="both"/>
            </w:pPr>
            <w:r>
              <w:t>Исполнитель</w:t>
            </w:r>
          </w:p>
        </w:tc>
        <w:tc>
          <w:tcPr>
            <w:tcW w:w="4252" w:type="dxa"/>
            <w:tcBorders>
              <w:top w:val="nil"/>
              <w:left w:val="nil"/>
              <w:bottom w:val="nil"/>
              <w:right w:val="nil"/>
            </w:tcBorders>
          </w:tcPr>
          <w:p w14:paraId="15DBB680" w14:textId="77777777" w:rsidR="00454A29" w:rsidRDefault="00454A29">
            <w:pPr>
              <w:pStyle w:val="ConsPlusNormal"/>
              <w:jc w:val="both"/>
            </w:pPr>
            <w:r>
              <w:t>_______________ ______________</w:t>
            </w:r>
          </w:p>
        </w:tc>
        <w:tc>
          <w:tcPr>
            <w:tcW w:w="4479" w:type="dxa"/>
            <w:tcBorders>
              <w:top w:val="nil"/>
              <w:left w:val="nil"/>
              <w:bottom w:val="nil"/>
              <w:right w:val="nil"/>
            </w:tcBorders>
          </w:tcPr>
          <w:p w14:paraId="28F4F6FD" w14:textId="77777777" w:rsidR="00454A29" w:rsidRDefault="00454A29">
            <w:pPr>
              <w:pStyle w:val="ConsPlusNormal"/>
              <w:jc w:val="both"/>
            </w:pPr>
            <w:r>
              <w:t>(личная подпись) (инициалы, фамилия)</w:t>
            </w:r>
          </w:p>
        </w:tc>
      </w:tr>
    </w:tbl>
    <w:p w14:paraId="0D6AB36F" w14:textId="77777777" w:rsidR="00454A29" w:rsidRDefault="00454A29">
      <w:pPr>
        <w:sectPr w:rsidR="00454A29">
          <w:pgSz w:w="16838" w:h="11905" w:orient="landscape"/>
          <w:pgMar w:top="1701" w:right="1134" w:bottom="850" w:left="1134" w:header="0" w:footer="0" w:gutter="0"/>
          <w:cols w:space="720"/>
        </w:sectPr>
      </w:pPr>
    </w:p>
    <w:p w14:paraId="51727168" w14:textId="77777777" w:rsidR="00454A29" w:rsidRDefault="00454A29">
      <w:pPr>
        <w:pStyle w:val="ConsPlusNormal"/>
      </w:pPr>
    </w:p>
    <w:p w14:paraId="2E757295" w14:textId="77777777" w:rsidR="00454A29" w:rsidRDefault="00454A29">
      <w:pPr>
        <w:pStyle w:val="ConsPlusNormal"/>
      </w:pPr>
    </w:p>
    <w:p w14:paraId="6AB982C3" w14:textId="77777777" w:rsidR="00454A29" w:rsidRDefault="00454A29">
      <w:pPr>
        <w:pStyle w:val="ConsPlusNormal"/>
      </w:pPr>
    </w:p>
    <w:p w14:paraId="69DA5B5D" w14:textId="77777777" w:rsidR="00454A29" w:rsidRDefault="00454A29">
      <w:pPr>
        <w:pStyle w:val="ConsPlusNormal"/>
      </w:pPr>
    </w:p>
    <w:p w14:paraId="78EFE788" w14:textId="77777777" w:rsidR="00454A29" w:rsidRDefault="00454A29">
      <w:pPr>
        <w:pStyle w:val="ConsPlusNormal"/>
      </w:pPr>
    </w:p>
    <w:p w14:paraId="26924A10" w14:textId="77777777" w:rsidR="00454A29" w:rsidRDefault="00454A29">
      <w:pPr>
        <w:pStyle w:val="ConsPlusNormal"/>
        <w:jc w:val="right"/>
        <w:outlineLvl w:val="1"/>
      </w:pPr>
      <w:r>
        <w:t>Приложение N 8</w:t>
      </w:r>
    </w:p>
    <w:p w14:paraId="553012D1" w14:textId="77777777" w:rsidR="00454A29" w:rsidRDefault="00454A29">
      <w:pPr>
        <w:pStyle w:val="ConsPlusNormal"/>
        <w:jc w:val="right"/>
      </w:pPr>
      <w:r>
        <w:t>к государственной программе</w:t>
      </w:r>
    </w:p>
    <w:p w14:paraId="304EAEF3" w14:textId="77777777" w:rsidR="00454A29" w:rsidRDefault="00454A29">
      <w:pPr>
        <w:pStyle w:val="ConsPlusNormal"/>
        <w:jc w:val="right"/>
      </w:pPr>
      <w:r>
        <w:t>Республики Саха (Якутия)</w:t>
      </w:r>
    </w:p>
    <w:p w14:paraId="559A5DA5" w14:textId="77777777" w:rsidR="00454A29" w:rsidRDefault="00454A29">
      <w:pPr>
        <w:pStyle w:val="ConsPlusNormal"/>
        <w:jc w:val="right"/>
      </w:pPr>
      <w:r>
        <w:t>"Развитие образования</w:t>
      </w:r>
    </w:p>
    <w:p w14:paraId="1E0753B7" w14:textId="77777777" w:rsidR="00454A29" w:rsidRDefault="00454A29">
      <w:pPr>
        <w:pStyle w:val="ConsPlusNormal"/>
        <w:jc w:val="right"/>
      </w:pPr>
      <w:r>
        <w:t>Республики Саха (Якутия)</w:t>
      </w:r>
    </w:p>
    <w:p w14:paraId="1A2365FB" w14:textId="77777777" w:rsidR="00454A29" w:rsidRDefault="00454A29">
      <w:pPr>
        <w:pStyle w:val="ConsPlusNormal"/>
        <w:jc w:val="right"/>
      </w:pPr>
      <w:r>
        <w:t>на 2020 - 2024 годы и на плановый</w:t>
      </w:r>
    </w:p>
    <w:p w14:paraId="5B0C0122" w14:textId="77777777" w:rsidR="00454A29" w:rsidRDefault="00454A29">
      <w:pPr>
        <w:pStyle w:val="ConsPlusNormal"/>
        <w:jc w:val="right"/>
      </w:pPr>
      <w:r>
        <w:t>период до 2026 года"</w:t>
      </w:r>
    </w:p>
    <w:p w14:paraId="769462F8" w14:textId="77777777" w:rsidR="00454A29" w:rsidRDefault="00454A29">
      <w:pPr>
        <w:pStyle w:val="ConsPlusNormal"/>
      </w:pPr>
    </w:p>
    <w:p w14:paraId="35A5BA55" w14:textId="77777777" w:rsidR="00454A29" w:rsidRDefault="00454A29">
      <w:pPr>
        <w:pStyle w:val="ConsPlusTitle"/>
        <w:jc w:val="center"/>
      </w:pPr>
      <w:bookmarkStart w:id="16" w:name="P33301"/>
      <w:bookmarkEnd w:id="16"/>
      <w:r>
        <w:t>ПОРЯДОК</w:t>
      </w:r>
    </w:p>
    <w:p w14:paraId="31EA1AA2" w14:textId="77777777" w:rsidR="00454A29" w:rsidRDefault="00454A29">
      <w:pPr>
        <w:pStyle w:val="ConsPlusTitle"/>
        <w:jc w:val="center"/>
      </w:pPr>
      <w:r>
        <w:t>ПРЕДОСТАВЛЕНИЯ И РАСПРЕДЕЛЕНИЯ СУБСИДИЙ ИЗ ГОСУДАРСТВЕННОГО</w:t>
      </w:r>
    </w:p>
    <w:p w14:paraId="7D0C84D3" w14:textId="77777777" w:rsidR="00454A29" w:rsidRDefault="00454A29">
      <w:pPr>
        <w:pStyle w:val="ConsPlusTitle"/>
        <w:jc w:val="center"/>
      </w:pPr>
      <w:r>
        <w:t>БЮДЖЕТА РЕСПУБЛИКИ САХА (ЯКУТИЯ) МЕСТНЫМ БЮДЖЕТАМ</w:t>
      </w:r>
    </w:p>
    <w:p w14:paraId="645099E5" w14:textId="77777777" w:rsidR="00454A29" w:rsidRDefault="00454A29">
      <w:pPr>
        <w:pStyle w:val="ConsPlusTitle"/>
        <w:jc w:val="center"/>
      </w:pPr>
      <w:r>
        <w:t>НА РЕАЛИЗАЦИЮ МЕРОПРИЯТИЙ ПО БЛАГОУСТРОЙСТВУ ЗДАНИЙ</w:t>
      </w:r>
    </w:p>
    <w:p w14:paraId="032CE127" w14:textId="77777777" w:rsidR="00454A29" w:rsidRDefault="00454A29">
      <w:pPr>
        <w:pStyle w:val="ConsPlusTitle"/>
        <w:jc w:val="center"/>
      </w:pPr>
      <w:r>
        <w:t>МУНИЦИПАЛЬНЫХ ОБЩЕОБРАЗОВАТЕЛЬНЫХ ОРГАНИЗАЦИЙ В ЦЕЛЯХ</w:t>
      </w:r>
    </w:p>
    <w:p w14:paraId="6BC64B6A" w14:textId="77777777" w:rsidR="00454A29" w:rsidRDefault="00454A29">
      <w:pPr>
        <w:pStyle w:val="ConsPlusTitle"/>
        <w:jc w:val="center"/>
      </w:pPr>
      <w:r>
        <w:t>СОБЛЮДЕНИЯ ТРЕБОВАНИЙ К ВОЗДУШНО-ТЕПЛОВОМУ РЕЖИМУ,</w:t>
      </w:r>
    </w:p>
    <w:p w14:paraId="31480ED5" w14:textId="77777777" w:rsidR="00454A29" w:rsidRDefault="00454A29">
      <w:pPr>
        <w:pStyle w:val="ConsPlusTitle"/>
        <w:jc w:val="center"/>
      </w:pPr>
      <w:r>
        <w:t>ВОДОСНАБЖЕНИЮ И КАНАЛИЗАЦИИ</w:t>
      </w:r>
    </w:p>
    <w:p w14:paraId="346DCC62" w14:textId="77777777" w:rsidR="00454A29" w:rsidRDefault="00454A29">
      <w:pPr>
        <w:pStyle w:val="ConsPlusNormal"/>
      </w:pPr>
    </w:p>
    <w:p w14:paraId="73469E9F" w14:textId="77777777" w:rsidR="00454A29" w:rsidRDefault="00454A29">
      <w:pPr>
        <w:pStyle w:val="ConsPlusTitle"/>
        <w:jc w:val="center"/>
        <w:outlineLvl w:val="2"/>
      </w:pPr>
      <w:r>
        <w:t>I. Общие положения</w:t>
      </w:r>
    </w:p>
    <w:p w14:paraId="77401D7D" w14:textId="77777777" w:rsidR="00454A29" w:rsidRDefault="00454A29">
      <w:pPr>
        <w:pStyle w:val="ConsPlusNormal"/>
      </w:pPr>
    </w:p>
    <w:p w14:paraId="71B83B9E" w14:textId="77777777" w:rsidR="00454A29" w:rsidRDefault="00454A29">
      <w:pPr>
        <w:pStyle w:val="ConsPlusNormal"/>
        <w:ind w:firstLine="540"/>
        <w:jc w:val="both"/>
      </w:pPr>
      <w:r>
        <w:t xml:space="preserve">1.1. Порядок предоставления и распределения субсидий из государственного бюджета Республики Саха (Якутия) местным бюджетам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(далее - Порядок) разработан в соответствии со </w:t>
      </w:r>
      <w:hyperlink r:id="rId42" w:history="1">
        <w:r>
          <w:rPr>
            <w:color w:val="0000FF"/>
          </w:rPr>
          <w:t>статьей 139</w:t>
        </w:r>
      </w:hyperlink>
      <w:r>
        <w:t xml:space="preserve"> Бюджетного кодекса Российской Федерации.</w:t>
      </w:r>
    </w:p>
    <w:p w14:paraId="43D41C4D" w14:textId="77777777" w:rsidR="00454A29" w:rsidRDefault="00454A29">
      <w:pPr>
        <w:pStyle w:val="ConsPlusNormal"/>
        <w:spacing w:before="220"/>
        <w:ind w:firstLine="540"/>
        <w:jc w:val="both"/>
      </w:pPr>
      <w:r>
        <w:t>Порядок устанавливает цели и условия предоставления субсидий из государственного бюджета Республики Саха (Якутия) местным бюджетам на реализацию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(далее - реализация мероприятий по благоустройству), и принципы их распределения между муниципальными районами и городскими округами Республики Саха (Якутия) (далее - муниципальные образования).</w:t>
      </w:r>
    </w:p>
    <w:p w14:paraId="3B4E9236" w14:textId="77777777" w:rsidR="00454A29" w:rsidRDefault="00454A29">
      <w:pPr>
        <w:pStyle w:val="ConsPlusNormal"/>
        <w:spacing w:before="220"/>
        <w:ind w:firstLine="540"/>
        <w:jc w:val="both"/>
      </w:pPr>
      <w:bookmarkStart w:id="17" w:name="P33313"/>
      <w:bookmarkEnd w:id="17"/>
      <w:r>
        <w:t>1.2. Субсидии на реализацию мероприятий по благоустройству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14:paraId="504BEC18" w14:textId="77777777" w:rsidR="00454A29" w:rsidRDefault="00454A29">
      <w:pPr>
        <w:pStyle w:val="ConsPlusNormal"/>
        <w:spacing w:before="220"/>
        <w:ind w:firstLine="540"/>
        <w:jc w:val="both"/>
      </w:pPr>
      <w:r>
        <w:t>1.3. Субсидии предоставляются в пределах лимитов бюджетных обязательств, доведенных до Министерства образования и науки Республики Саха (Якутия) (далее - Министерство) как получателя средств федерального бюджета на предоставление субсидий на цели, предусмотренные пунктом 1.2 настоящего Порядка.</w:t>
      </w:r>
    </w:p>
    <w:p w14:paraId="0BAD43B1" w14:textId="77777777" w:rsidR="00454A29" w:rsidRDefault="00454A29">
      <w:pPr>
        <w:pStyle w:val="ConsPlusNormal"/>
      </w:pPr>
    </w:p>
    <w:p w14:paraId="110A9128" w14:textId="77777777" w:rsidR="00454A29" w:rsidRDefault="00454A29">
      <w:pPr>
        <w:pStyle w:val="ConsPlusTitle"/>
        <w:jc w:val="center"/>
        <w:outlineLvl w:val="2"/>
      </w:pPr>
      <w:r>
        <w:t>II. Цель, условия предоставления субсидий, критерии отбора</w:t>
      </w:r>
    </w:p>
    <w:p w14:paraId="5D6F5351" w14:textId="77777777" w:rsidR="00454A29" w:rsidRDefault="00454A29">
      <w:pPr>
        <w:pStyle w:val="ConsPlusTitle"/>
        <w:jc w:val="center"/>
      </w:pPr>
      <w:r>
        <w:t>муниципальных образований для предоставления субсидий</w:t>
      </w:r>
    </w:p>
    <w:p w14:paraId="12DC3594" w14:textId="77777777" w:rsidR="00454A29" w:rsidRDefault="00454A29">
      <w:pPr>
        <w:pStyle w:val="ConsPlusNormal"/>
      </w:pPr>
    </w:p>
    <w:p w14:paraId="25001881" w14:textId="77777777" w:rsidR="00454A29" w:rsidRDefault="00454A29">
      <w:pPr>
        <w:pStyle w:val="ConsPlusNormal"/>
        <w:ind w:firstLine="540"/>
        <w:jc w:val="both"/>
      </w:pPr>
      <w:r>
        <w:t>2.1. Условиями предоставления субсидии на реализацию мероприятий по благоустройству, являются:</w:t>
      </w:r>
    </w:p>
    <w:p w14:paraId="0FB8C703" w14:textId="77777777" w:rsidR="00454A29" w:rsidRDefault="00454A29">
      <w:pPr>
        <w:pStyle w:val="ConsPlusNormal"/>
        <w:spacing w:before="220"/>
        <w:ind w:firstLine="540"/>
        <w:jc w:val="both"/>
      </w:pPr>
      <w:r>
        <w:t xml:space="preserve">1) наличие соответствующего соглашения, заключенного между Министерством и муниципальным образованием, о предоставлении из государственного бюджета Республики Саха (Якутия) субсидий на реализацию мероприятий по благоустройству (далее - Соглашение) и </w:t>
      </w:r>
      <w:r>
        <w:lastRenderedPageBreak/>
        <w:t>ответственности за неисполнение предусмотренных соглашением обязательств;</w:t>
      </w:r>
    </w:p>
    <w:p w14:paraId="3EB76FC5" w14:textId="77777777" w:rsidR="00454A29" w:rsidRDefault="00454A29">
      <w:pPr>
        <w:pStyle w:val="ConsPlusNormal"/>
        <w:spacing w:before="220"/>
        <w:ind w:firstLine="540"/>
        <w:jc w:val="both"/>
      </w:pPr>
      <w:r>
        <w:t>2) наличие нормативного правового акта муниципального образования, устанавливающего расходные обязательства по финансированию мероприятий по благоустройству, указанных в Соглашении;</w:t>
      </w:r>
    </w:p>
    <w:p w14:paraId="1E479C74" w14:textId="77777777" w:rsidR="00454A29" w:rsidRDefault="00454A29">
      <w:pPr>
        <w:pStyle w:val="ConsPlusNormal"/>
        <w:spacing w:before="220"/>
        <w:ind w:firstLine="540"/>
        <w:jc w:val="both"/>
      </w:pPr>
      <w:r>
        <w:t>3) наличие в бюджете муниципального образования бюджетных ассигнований на исполнение расходных обязательств по финансированию мероприятий по благоустройству, указанных в Соглашении;</w:t>
      </w:r>
    </w:p>
    <w:p w14:paraId="3C49D759" w14:textId="77777777" w:rsidR="00454A29" w:rsidRDefault="00454A29">
      <w:pPr>
        <w:pStyle w:val="ConsPlusNormal"/>
        <w:spacing w:before="220"/>
        <w:ind w:firstLine="540"/>
        <w:jc w:val="both"/>
      </w:pPr>
      <w:r>
        <w:t xml:space="preserve">4) наличие муниципальной программы, утверждающей перечень мероприятий, указанных в </w:t>
      </w:r>
      <w:hyperlink w:anchor="P33313" w:history="1">
        <w:r>
          <w:rPr>
            <w:color w:val="0000FF"/>
          </w:rPr>
          <w:t>пункте 1.2</w:t>
        </w:r>
      </w:hyperlink>
      <w:r>
        <w:t xml:space="preserve"> настоящего Порядка, в целях софинансирования которых предоставляется субсидия, в соответствии с требованиями нормативных правовых актов Республики Саха (Якутия).</w:t>
      </w:r>
    </w:p>
    <w:p w14:paraId="77D73690" w14:textId="77777777" w:rsidR="00454A29" w:rsidRDefault="00454A29">
      <w:pPr>
        <w:pStyle w:val="ConsPlusNormal"/>
        <w:spacing w:before="220"/>
        <w:ind w:firstLine="540"/>
        <w:jc w:val="both"/>
      </w:pPr>
      <w:r>
        <w:t>При этом перечень мероприятий должен включать мероприятия, обеспечивающие доведение до 100% числа зданий муниципальных общеобразовательных организаций, в которых соблюдены требования к воздушно-тепловому режиму, водоснабжению и канализации.</w:t>
      </w:r>
    </w:p>
    <w:p w14:paraId="16552C39" w14:textId="77777777" w:rsidR="00454A29" w:rsidRDefault="00454A29">
      <w:pPr>
        <w:pStyle w:val="ConsPlusNormal"/>
        <w:spacing w:before="220"/>
        <w:ind w:firstLine="540"/>
        <w:jc w:val="both"/>
      </w:pPr>
      <w:r>
        <w:t>2.2. Критериями отбора муниципальных образований для предоставления субсидии на реализацию мероприятий по благоустройству, являются:</w:t>
      </w:r>
    </w:p>
    <w:p w14:paraId="5C8E4E90" w14:textId="77777777" w:rsidR="00454A29" w:rsidRDefault="00454A29">
      <w:pPr>
        <w:pStyle w:val="ConsPlusNormal"/>
        <w:spacing w:before="220"/>
        <w:ind w:firstLine="540"/>
        <w:jc w:val="both"/>
      </w:pPr>
      <w:r>
        <w:t>а) подтверждение наличия средств на реализацию программы по благоустройству муниципальных общеобразовательных организаций в целях соблюдения требований к воздушно-тепловому режиму, водоснабжению и канализации, а также проведения капитального ремонта зданий муниципальных общеобразовательных организаций;</w:t>
      </w:r>
    </w:p>
    <w:p w14:paraId="5A68CB91" w14:textId="77777777" w:rsidR="00454A29" w:rsidRDefault="00454A29">
      <w:pPr>
        <w:pStyle w:val="ConsPlusNormal"/>
        <w:spacing w:before="220"/>
        <w:ind w:firstLine="540"/>
        <w:jc w:val="both"/>
      </w:pPr>
      <w:r>
        <w:t>б) наличие зданий и сооружений муниципальных общеобразовательных организаций, нуждающихся в приведении в соответствие с требованиями к воздушно-тепловому режиму, водоснабжению и канализации, и/или зданий и сооружений муниципальных общеобразовательных организаций с наибольшей степенью физического износа, требующих проведения капитального ремонта;</w:t>
      </w:r>
    </w:p>
    <w:p w14:paraId="0156710A" w14:textId="77777777" w:rsidR="00454A29" w:rsidRDefault="00454A29">
      <w:pPr>
        <w:pStyle w:val="ConsPlusNormal"/>
        <w:spacing w:before="220"/>
        <w:ind w:firstLine="540"/>
        <w:jc w:val="both"/>
      </w:pPr>
      <w:r>
        <w:t>в) обеспечение соответствия значений показателей, установленных программами муниципальных образований, значениям показателей результативности предоставления субсидий, установленным соглашениями (договорами) о софинансировании программных мероприятий;</w:t>
      </w:r>
    </w:p>
    <w:p w14:paraId="6C3B4DAB" w14:textId="77777777" w:rsidR="00454A29" w:rsidRDefault="00454A29">
      <w:pPr>
        <w:pStyle w:val="ConsPlusNormal"/>
        <w:spacing w:before="220"/>
        <w:ind w:firstLine="540"/>
        <w:jc w:val="both"/>
      </w:pPr>
      <w:r>
        <w:t>г) обязательство завершить работы, выполняемые в рамках мероприятий по благоустройству муниципальных общеобразовательных организаций в целях соблюдения требований к воздушно-тепловому режиму, водоснабжению и канализации, а также проведению капитального ремонта зданий государственных и муниципальных общеобразовательных организаций, до 31 декабря года, в котором получена субсидия.</w:t>
      </w:r>
    </w:p>
    <w:p w14:paraId="3A1F8C70" w14:textId="77777777" w:rsidR="00454A29" w:rsidRDefault="00454A29">
      <w:pPr>
        <w:pStyle w:val="ConsPlusNormal"/>
        <w:spacing w:before="220"/>
        <w:ind w:firstLine="540"/>
        <w:jc w:val="both"/>
      </w:pPr>
      <w:r>
        <w:t>2.3. При оценке заявок муниципальных образований приоритет имеют следующие показатели:</w:t>
      </w:r>
    </w:p>
    <w:p w14:paraId="675B78AE" w14:textId="77777777" w:rsidR="00454A29" w:rsidRDefault="00454A29">
      <w:pPr>
        <w:pStyle w:val="ConsPlusNormal"/>
        <w:spacing w:before="220"/>
        <w:ind w:firstLine="540"/>
        <w:jc w:val="both"/>
      </w:pPr>
      <w:r>
        <w:t xml:space="preserve">а) наибольшее количество обучающихся в общеобразовательных организациях согласно федеральному статистическому наблюдению </w:t>
      </w:r>
      <w:hyperlink r:id="rId43" w:history="1">
        <w:r>
          <w:rPr>
            <w:color w:val="0000FF"/>
          </w:rPr>
          <w:t>(форма N ОО-1)</w:t>
        </w:r>
      </w:hyperlink>
      <w:r>
        <w:t>;</w:t>
      </w:r>
    </w:p>
    <w:p w14:paraId="3B319CCE" w14:textId="77777777" w:rsidR="00454A29" w:rsidRDefault="00454A29">
      <w:pPr>
        <w:pStyle w:val="ConsPlusNormal"/>
        <w:spacing w:before="220"/>
        <w:ind w:firstLine="540"/>
        <w:jc w:val="both"/>
      </w:pPr>
      <w:r>
        <w:t>б) наибольший уровень износа объекта образования;</w:t>
      </w:r>
    </w:p>
    <w:p w14:paraId="79594C65" w14:textId="77777777" w:rsidR="00454A29" w:rsidRDefault="00454A29">
      <w:pPr>
        <w:pStyle w:val="ConsPlusNormal"/>
        <w:spacing w:before="220"/>
        <w:ind w:firstLine="540"/>
        <w:jc w:val="both"/>
      </w:pPr>
      <w:r>
        <w:t>в) объекты, находящиеся в зоне чрезвычайной ситуации;</w:t>
      </w:r>
    </w:p>
    <w:p w14:paraId="71D4BC6B" w14:textId="77777777" w:rsidR="00454A29" w:rsidRDefault="00454A29">
      <w:pPr>
        <w:pStyle w:val="ConsPlusNormal"/>
        <w:spacing w:before="220"/>
        <w:ind w:firstLine="540"/>
        <w:jc w:val="both"/>
      </w:pPr>
      <w:r>
        <w:t>г) объекты, требующие проведение восстановительных работ после последствий весеннего паводка.</w:t>
      </w:r>
    </w:p>
    <w:p w14:paraId="094D4D49" w14:textId="77777777" w:rsidR="00454A29" w:rsidRDefault="00454A29">
      <w:pPr>
        <w:pStyle w:val="ConsPlusNormal"/>
        <w:spacing w:before="220"/>
        <w:ind w:firstLine="540"/>
        <w:jc w:val="both"/>
      </w:pPr>
      <w:r>
        <w:t>2.4. При прочих равных условиях учитывается дата подачи заявки.</w:t>
      </w:r>
    </w:p>
    <w:p w14:paraId="759A9919" w14:textId="77777777" w:rsidR="00454A29" w:rsidRDefault="00454A29">
      <w:pPr>
        <w:pStyle w:val="ConsPlusNormal"/>
      </w:pPr>
    </w:p>
    <w:p w14:paraId="46F03B09" w14:textId="77777777" w:rsidR="00454A29" w:rsidRDefault="00454A29">
      <w:pPr>
        <w:pStyle w:val="ConsPlusTitle"/>
        <w:jc w:val="center"/>
        <w:outlineLvl w:val="2"/>
      </w:pPr>
      <w:r>
        <w:t>III. Порядок отбора муниципальных образований</w:t>
      </w:r>
    </w:p>
    <w:p w14:paraId="091591ED" w14:textId="77777777" w:rsidR="00454A29" w:rsidRDefault="00454A29">
      <w:pPr>
        <w:pStyle w:val="ConsPlusNormal"/>
      </w:pPr>
    </w:p>
    <w:p w14:paraId="1B8BF9C8" w14:textId="77777777" w:rsidR="00454A29" w:rsidRDefault="00454A29">
      <w:pPr>
        <w:pStyle w:val="ConsPlusNormal"/>
        <w:ind w:firstLine="540"/>
        <w:jc w:val="both"/>
      </w:pPr>
      <w:r>
        <w:t xml:space="preserve">3.1. Отбор муниципальных образований для предоставления субсидий из государственного бюджета Республики Саха (Якутия) местным бюджетам на софинансирование мероприятий, указанных в </w:t>
      </w:r>
      <w:hyperlink w:anchor="P33313" w:history="1">
        <w:r>
          <w:rPr>
            <w:color w:val="0000FF"/>
          </w:rPr>
          <w:t>пункте 1.2</w:t>
        </w:r>
      </w:hyperlink>
      <w:r>
        <w:t xml:space="preserve"> настоящего Порядка (далее - Отбор), проводится конкурсной комиссией, создаваемой Министерством (далее - Комиссия).</w:t>
      </w:r>
    </w:p>
    <w:p w14:paraId="63FA2879" w14:textId="77777777" w:rsidR="00454A29" w:rsidRDefault="00454A29">
      <w:pPr>
        <w:pStyle w:val="ConsPlusNormal"/>
        <w:spacing w:before="220"/>
        <w:ind w:firstLine="540"/>
        <w:jc w:val="both"/>
      </w:pPr>
      <w:r>
        <w:t>3.2. Организационно-техническое и информационно-аналитическое обеспечение проведения Отбора осуществляет подведомственная Министерству организация, уполномоченная Министерством (далее - уполномоченная организация).</w:t>
      </w:r>
    </w:p>
    <w:p w14:paraId="0EEF9A5A" w14:textId="77777777" w:rsidR="00454A29" w:rsidRDefault="00454A29">
      <w:pPr>
        <w:pStyle w:val="ConsPlusNormal"/>
        <w:spacing w:before="220"/>
        <w:ind w:firstLine="540"/>
        <w:jc w:val="both"/>
      </w:pPr>
      <w:r>
        <w:t>3.3. Министерство размещает объявление о проведении Отбора на официальном сайте Министерства в информационно-телекоммуникационной сети Интернет (далее - Сайт) не позднее чем за 10 рабочих дней до даты начала приема заявок муниципальных образований на участие в Отборе (далее - Заявка).</w:t>
      </w:r>
    </w:p>
    <w:p w14:paraId="190133DB" w14:textId="77777777" w:rsidR="00454A29" w:rsidRDefault="00454A29">
      <w:pPr>
        <w:pStyle w:val="ConsPlusNormal"/>
        <w:spacing w:before="220"/>
        <w:ind w:firstLine="540"/>
        <w:jc w:val="both"/>
      </w:pPr>
      <w:r>
        <w:t>3.4. Объявление о проведении Отбора должно содержать следующие сведения:</w:t>
      </w:r>
    </w:p>
    <w:p w14:paraId="5E2F2522" w14:textId="77777777" w:rsidR="00454A29" w:rsidRDefault="00454A29">
      <w:pPr>
        <w:pStyle w:val="ConsPlusNormal"/>
        <w:spacing w:before="220"/>
        <w:ind w:firstLine="540"/>
        <w:jc w:val="both"/>
      </w:pPr>
      <w:r>
        <w:t>наименование Отбора;</w:t>
      </w:r>
    </w:p>
    <w:p w14:paraId="51B07B9E" w14:textId="77777777" w:rsidR="00454A29" w:rsidRDefault="00454A29">
      <w:pPr>
        <w:pStyle w:val="ConsPlusNormal"/>
        <w:spacing w:before="220"/>
        <w:ind w:firstLine="540"/>
        <w:jc w:val="both"/>
      </w:pPr>
      <w:r>
        <w:t>место, дату и время приема Заявок;</w:t>
      </w:r>
    </w:p>
    <w:p w14:paraId="7A83364F" w14:textId="77777777" w:rsidR="00454A29" w:rsidRDefault="00454A29">
      <w:pPr>
        <w:pStyle w:val="ConsPlusNormal"/>
        <w:spacing w:before="220"/>
        <w:ind w:firstLine="540"/>
        <w:jc w:val="both"/>
      </w:pPr>
      <w:r>
        <w:t>образец Заявки;</w:t>
      </w:r>
    </w:p>
    <w:p w14:paraId="16C773B5" w14:textId="77777777" w:rsidR="00454A29" w:rsidRDefault="00454A29">
      <w:pPr>
        <w:pStyle w:val="ConsPlusNormal"/>
        <w:spacing w:before="220"/>
        <w:ind w:firstLine="540"/>
        <w:jc w:val="both"/>
      </w:pPr>
      <w:r>
        <w:t>состав Заявки;</w:t>
      </w:r>
    </w:p>
    <w:p w14:paraId="7CAE95BB" w14:textId="77777777" w:rsidR="00454A29" w:rsidRDefault="00454A29">
      <w:pPr>
        <w:pStyle w:val="ConsPlusNormal"/>
        <w:spacing w:before="220"/>
        <w:ind w:firstLine="540"/>
        <w:jc w:val="both"/>
      </w:pPr>
      <w:r>
        <w:t>порядок и критерии Отбора;</w:t>
      </w:r>
    </w:p>
    <w:p w14:paraId="50B322DD" w14:textId="77777777" w:rsidR="00454A29" w:rsidRDefault="00454A29">
      <w:pPr>
        <w:pStyle w:val="ConsPlusNormal"/>
        <w:spacing w:before="220"/>
        <w:ind w:firstLine="540"/>
        <w:jc w:val="both"/>
      </w:pPr>
      <w:r>
        <w:t>порядок и сроки рассмотрения Заявок;</w:t>
      </w:r>
    </w:p>
    <w:p w14:paraId="034D62EA" w14:textId="77777777" w:rsidR="00454A29" w:rsidRDefault="00454A29">
      <w:pPr>
        <w:pStyle w:val="ConsPlusNormal"/>
        <w:spacing w:before="220"/>
        <w:ind w:firstLine="540"/>
        <w:jc w:val="both"/>
      </w:pPr>
      <w:r>
        <w:t>порядок и сроки объявления результатов Отбора;</w:t>
      </w:r>
    </w:p>
    <w:p w14:paraId="4AD84A54" w14:textId="77777777" w:rsidR="00454A29" w:rsidRDefault="00454A29">
      <w:pPr>
        <w:pStyle w:val="ConsPlusNormal"/>
        <w:spacing w:before="220"/>
        <w:ind w:firstLine="540"/>
        <w:jc w:val="both"/>
      </w:pPr>
      <w:r>
        <w:t>контактную информацию (телефон, адрес электронной почты) должностных лиц Министерства, ответственных за проведение Отбора, и ответственных лиц уполномоченной организации.</w:t>
      </w:r>
    </w:p>
    <w:p w14:paraId="66A84F82" w14:textId="77777777" w:rsidR="00454A29" w:rsidRDefault="00454A29">
      <w:pPr>
        <w:pStyle w:val="ConsPlusNormal"/>
        <w:spacing w:before="220"/>
        <w:ind w:firstLine="540"/>
        <w:jc w:val="both"/>
      </w:pPr>
      <w:r>
        <w:t>3.5. Муниципальное образование Республики Саха (Якутия) представляет уполномоченной организации Заявку в соответствии со сроком представления Заявки, указанным в объявлении об Отборе. Заявка представляется в течение 15 рабочих дней со дня начала приема Заявок.</w:t>
      </w:r>
    </w:p>
    <w:p w14:paraId="61FF1AA5" w14:textId="77777777" w:rsidR="00454A29" w:rsidRDefault="00454A29">
      <w:pPr>
        <w:pStyle w:val="ConsPlusNormal"/>
        <w:spacing w:before="220"/>
        <w:ind w:firstLine="540"/>
        <w:jc w:val="both"/>
      </w:pPr>
      <w:r>
        <w:t>3.6. В составе Заявки муниципальное образование представляет:</w:t>
      </w:r>
    </w:p>
    <w:p w14:paraId="12AE25C7" w14:textId="77777777" w:rsidR="00454A29" w:rsidRDefault="00454A29">
      <w:pPr>
        <w:pStyle w:val="ConsPlusNormal"/>
        <w:spacing w:before="220"/>
        <w:ind w:firstLine="540"/>
        <w:jc w:val="both"/>
      </w:pPr>
      <w:r>
        <w:t>1) муниципальную программу, направленную на достижение цели государственной программы Республики Саха (Якутия) "Развитие образования Республики Саха (Якутия) на 2020 - 2024 годы и на плановый период до 2026 года";</w:t>
      </w:r>
    </w:p>
    <w:p w14:paraId="3DEC041B" w14:textId="77777777" w:rsidR="00454A29" w:rsidRDefault="00454A29">
      <w:pPr>
        <w:pStyle w:val="ConsPlusNormal"/>
        <w:spacing w:before="220"/>
        <w:ind w:firstLine="540"/>
        <w:jc w:val="both"/>
      </w:pPr>
      <w:r>
        <w:t>2) утвержденную проектно-сметную документацию либо локальную смету в зависимости от требований, предъявляемых к видам предстоящих работ;</w:t>
      </w:r>
    </w:p>
    <w:p w14:paraId="22665E38" w14:textId="77777777" w:rsidR="00454A29" w:rsidRDefault="00454A29">
      <w:pPr>
        <w:pStyle w:val="ConsPlusNormal"/>
        <w:spacing w:before="220"/>
        <w:ind w:firstLine="540"/>
        <w:jc w:val="both"/>
      </w:pPr>
      <w:r>
        <w:t>3) выписку из бюджета муниципального образования о наличии в бюджете муниципального образования на текущий финансовый год бюджетных ассигнований на исполнение расходного обязательства, софинансирование которого осуществляется из государственного бюджета Республики Саха (Якутия);</w:t>
      </w:r>
    </w:p>
    <w:p w14:paraId="4C395F16" w14:textId="77777777" w:rsidR="00454A29" w:rsidRDefault="00454A29">
      <w:pPr>
        <w:pStyle w:val="ConsPlusNormal"/>
        <w:spacing w:before="220"/>
        <w:ind w:firstLine="540"/>
        <w:jc w:val="both"/>
      </w:pPr>
      <w:r>
        <w:t>4) заключение надзорных органов о необходимости проведения капитального ремонта;</w:t>
      </w:r>
    </w:p>
    <w:p w14:paraId="5001B98A" w14:textId="77777777" w:rsidR="00454A29" w:rsidRDefault="00454A29">
      <w:pPr>
        <w:pStyle w:val="ConsPlusNormal"/>
        <w:spacing w:before="220"/>
        <w:ind w:firstLine="540"/>
        <w:jc w:val="both"/>
      </w:pPr>
      <w:r>
        <w:lastRenderedPageBreak/>
        <w:t>5) акт обследования здания комиссией, созданной муниципальным образованием.</w:t>
      </w:r>
    </w:p>
    <w:p w14:paraId="6D37C835" w14:textId="77777777" w:rsidR="00454A29" w:rsidRDefault="00454A29">
      <w:pPr>
        <w:pStyle w:val="ConsPlusNormal"/>
        <w:spacing w:before="220"/>
        <w:ind w:firstLine="540"/>
        <w:jc w:val="both"/>
      </w:pPr>
      <w:r>
        <w:t>3.7. Прием и регистрация Заявок осуществляется уполномоченной организацией.</w:t>
      </w:r>
    </w:p>
    <w:p w14:paraId="10089ABC" w14:textId="77777777" w:rsidR="00454A29" w:rsidRDefault="00454A29">
      <w:pPr>
        <w:pStyle w:val="ConsPlusNormal"/>
        <w:spacing w:before="220"/>
        <w:ind w:firstLine="540"/>
        <w:jc w:val="both"/>
      </w:pPr>
      <w:r>
        <w:t>3.8. Уполномоченная организация регистрирует представленные Заявки в день их поступления, проверяет правильность оформления и комплектность Заявок в соответствии с требованиями, установленными настоящим Порядком.</w:t>
      </w:r>
    </w:p>
    <w:p w14:paraId="3524CCFA" w14:textId="77777777" w:rsidR="00454A29" w:rsidRDefault="00454A29">
      <w:pPr>
        <w:pStyle w:val="ConsPlusNormal"/>
        <w:spacing w:before="220"/>
        <w:ind w:firstLine="540"/>
        <w:jc w:val="both"/>
      </w:pPr>
      <w:r>
        <w:t>3.9. В случае непредставления Заявки в полном комплекте в срок, установленный для представления Заявок, указанная Заявка не допускается Комиссией к участию в Отборе.</w:t>
      </w:r>
    </w:p>
    <w:p w14:paraId="5FD872E0" w14:textId="77777777" w:rsidR="00454A29" w:rsidRDefault="00454A29">
      <w:pPr>
        <w:pStyle w:val="ConsPlusNormal"/>
        <w:spacing w:before="220"/>
        <w:ind w:firstLine="540"/>
        <w:jc w:val="both"/>
      </w:pPr>
      <w:r>
        <w:t>3.10. В случае представления Заявки по истечении установленного срока, Заявка не принимается.</w:t>
      </w:r>
    </w:p>
    <w:p w14:paraId="0DBBF656" w14:textId="77777777" w:rsidR="00454A29" w:rsidRDefault="00454A29">
      <w:pPr>
        <w:pStyle w:val="ConsPlusNormal"/>
        <w:spacing w:before="220"/>
        <w:ind w:firstLine="540"/>
        <w:jc w:val="both"/>
      </w:pPr>
      <w:r>
        <w:t>3.11. Муниципальное образование вправе отозвать Заявку, направив в уполномоченную организацию соответствующее письменное уведомление.</w:t>
      </w:r>
    </w:p>
    <w:p w14:paraId="7EE5F77D" w14:textId="77777777" w:rsidR="00454A29" w:rsidRDefault="00454A29">
      <w:pPr>
        <w:pStyle w:val="ConsPlusNormal"/>
        <w:spacing w:before="220"/>
        <w:ind w:firstLine="540"/>
        <w:jc w:val="both"/>
      </w:pPr>
      <w:r>
        <w:t>3.12. Заявка считается отозванной со дня поступления в уполномоченную организацию письменного уведомления, но не позднее даты окончания рассмотрения Заявок.</w:t>
      </w:r>
    </w:p>
    <w:p w14:paraId="575463BB" w14:textId="77777777" w:rsidR="00454A29" w:rsidRDefault="00454A29">
      <w:pPr>
        <w:pStyle w:val="ConsPlusNormal"/>
        <w:spacing w:before="220"/>
        <w:ind w:firstLine="540"/>
        <w:jc w:val="both"/>
      </w:pPr>
      <w:r>
        <w:t>3.13. Заявки, допущенные Комиссией к участию в Отборе, муниципальным образованиям не возвращаются.</w:t>
      </w:r>
    </w:p>
    <w:p w14:paraId="5B82D75F" w14:textId="77777777" w:rsidR="00454A29" w:rsidRDefault="00454A29">
      <w:pPr>
        <w:pStyle w:val="ConsPlusNormal"/>
        <w:spacing w:before="220"/>
        <w:ind w:firstLine="540"/>
        <w:jc w:val="both"/>
      </w:pPr>
      <w:r>
        <w:t>3.14. В случае принятия в соответствии с законодательством Российской Федерации решения о переносе даты окончания приема Заявок Министерство информирует в течение 3 рабочих дней со дня принятия соответствующего решения муниципальные образования, Заявки которых поступили в Министерство.</w:t>
      </w:r>
    </w:p>
    <w:p w14:paraId="458D3A91" w14:textId="77777777" w:rsidR="00454A29" w:rsidRDefault="00454A29">
      <w:pPr>
        <w:pStyle w:val="ConsPlusNormal"/>
        <w:spacing w:before="220"/>
        <w:ind w:firstLine="540"/>
        <w:jc w:val="both"/>
      </w:pPr>
      <w:r>
        <w:t>3.15. Министерство размещает объявление о продлении срока Отбора на Сайте не позднее 3 рабочих дней со дня принятия соответствующего решения.</w:t>
      </w:r>
    </w:p>
    <w:p w14:paraId="560CAB76" w14:textId="77777777" w:rsidR="00454A29" w:rsidRDefault="00454A29">
      <w:pPr>
        <w:pStyle w:val="ConsPlusNormal"/>
        <w:spacing w:before="220"/>
        <w:ind w:firstLine="540"/>
        <w:jc w:val="both"/>
      </w:pPr>
      <w:r>
        <w:t>Срок продления Отбора должен составлять не менее 5 рабочих дней.</w:t>
      </w:r>
    </w:p>
    <w:p w14:paraId="3F1A9F17" w14:textId="77777777" w:rsidR="00454A29" w:rsidRDefault="00454A29">
      <w:pPr>
        <w:pStyle w:val="ConsPlusNormal"/>
        <w:spacing w:before="220"/>
        <w:ind w:firstLine="540"/>
        <w:jc w:val="both"/>
      </w:pPr>
      <w:r>
        <w:t>3.16. Комиссия в рамках проведения Отбора в течение 10 рабочих дней с момента окончания срока приема Заявок документов осуществляет:</w:t>
      </w:r>
    </w:p>
    <w:p w14:paraId="7B560B4C" w14:textId="77777777" w:rsidR="00454A29" w:rsidRDefault="00454A29">
      <w:pPr>
        <w:pStyle w:val="ConsPlusNormal"/>
        <w:spacing w:before="220"/>
        <w:ind w:firstLine="540"/>
        <w:jc w:val="both"/>
      </w:pPr>
      <w:r>
        <w:t>рассмотрение и допуск к участию в Отборе представленных Заявок;</w:t>
      </w:r>
    </w:p>
    <w:p w14:paraId="2EFC4990" w14:textId="77777777" w:rsidR="00454A29" w:rsidRDefault="00454A29">
      <w:pPr>
        <w:pStyle w:val="ConsPlusNormal"/>
        <w:spacing w:before="220"/>
        <w:ind w:firstLine="540"/>
        <w:jc w:val="both"/>
      </w:pPr>
      <w:r>
        <w:t>оценку представленных Заявок на предмет соответствия требованиям, установленным настоящим Порядком;</w:t>
      </w:r>
    </w:p>
    <w:p w14:paraId="1F9EE2F8" w14:textId="77777777" w:rsidR="00454A29" w:rsidRDefault="00454A29">
      <w:pPr>
        <w:pStyle w:val="ConsPlusNormal"/>
        <w:spacing w:before="220"/>
        <w:ind w:firstLine="540"/>
        <w:jc w:val="both"/>
      </w:pPr>
      <w:r>
        <w:t>определение муниципальных образований для предоставления субсидии;</w:t>
      </w:r>
    </w:p>
    <w:p w14:paraId="2D760CC7" w14:textId="77777777" w:rsidR="00454A29" w:rsidRDefault="00454A29">
      <w:pPr>
        <w:pStyle w:val="ConsPlusNormal"/>
        <w:spacing w:before="220"/>
        <w:ind w:firstLine="540"/>
        <w:jc w:val="both"/>
      </w:pPr>
      <w:r>
        <w:t>определение объемов субсидий муниципальным образованиям в соответствии с настоящим Порядком;</w:t>
      </w:r>
    </w:p>
    <w:p w14:paraId="24D4E91D" w14:textId="77777777" w:rsidR="00454A29" w:rsidRDefault="00454A29">
      <w:pPr>
        <w:pStyle w:val="ConsPlusNormal"/>
        <w:spacing w:before="220"/>
        <w:ind w:firstLine="540"/>
        <w:jc w:val="both"/>
      </w:pPr>
      <w:r>
        <w:t>оформление протокола по результатам рассмотрения Заявок Комиссией (далее - протокол заседания Комиссии).</w:t>
      </w:r>
    </w:p>
    <w:p w14:paraId="16FFC791" w14:textId="77777777" w:rsidR="00454A29" w:rsidRDefault="00454A29">
      <w:pPr>
        <w:pStyle w:val="ConsPlusNormal"/>
      </w:pPr>
    </w:p>
    <w:p w14:paraId="6D97CAD5" w14:textId="77777777" w:rsidR="00454A29" w:rsidRDefault="00454A29">
      <w:pPr>
        <w:pStyle w:val="ConsPlusTitle"/>
        <w:jc w:val="center"/>
        <w:outlineLvl w:val="2"/>
      </w:pPr>
      <w:r>
        <w:t>IV. Распределение субсидий между</w:t>
      </w:r>
    </w:p>
    <w:p w14:paraId="734D4051" w14:textId="77777777" w:rsidR="00454A29" w:rsidRDefault="00454A29">
      <w:pPr>
        <w:pStyle w:val="ConsPlusTitle"/>
        <w:jc w:val="center"/>
      </w:pPr>
      <w:r>
        <w:t>муниципальными образованиями</w:t>
      </w:r>
    </w:p>
    <w:p w14:paraId="75A955D7" w14:textId="77777777" w:rsidR="00454A29" w:rsidRDefault="00454A29">
      <w:pPr>
        <w:pStyle w:val="ConsPlusNormal"/>
      </w:pPr>
    </w:p>
    <w:p w14:paraId="7C4F0107" w14:textId="77777777" w:rsidR="00454A29" w:rsidRDefault="00454A29">
      <w:pPr>
        <w:pStyle w:val="ConsPlusNormal"/>
        <w:ind w:firstLine="540"/>
        <w:jc w:val="both"/>
      </w:pPr>
      <w:r>
        <w:t>4.1. Министерство не позднее трех рабочих дней после подписания протокола заседания Комиссии:</w:t>
      </w:r>
    </w:p>
    <w:p w14:paraId="7DE76758" w14:textId="77777777" w:rsidR="00454A29" w:rsidRDefault="00454A29">
      <w:pPr>
        <w:pStyle w:val="ConsPlusNormal"/>
        <w:spacing w:before="220"/>
        <w:ind w:firstLine="540"/>
        <w:jc w:val="both"/>
      </w:pPr>
      <w:r>
        <w:t>размещает протокол заседания Комиссии на Сайте;</w:t>
      </w:r>
    </w:p>
    <w:p w14:paraId="31749A46" w14:textId="77777777" w:rsidR="00454A29" w:rsidRDefault="00454A29">
      <w:pPr>
        <w:pStyle w:val="ConsPlusNormal"/>
        <w:spacing w:before="220"/>
        <w:ind w:firstLine="540"/>
        <w:jc w:val="both"/>
      </w:pPr>
      <w:r>
        <w:lastRenderedPageBreak/>
        <w:t>утверждает приказом распределение субсидии;</w:t>
      </w:r>
    </w:p>
    <w:p w14:paraId="614F3A48" w14:textId="77777777" w:rsidR="00454A29" w:rsidRDefault="00454A29">
      <w:pPr>
        <w:pStyle w:val="ConsPlusNormal"/>
        <w:spacing w:before="220"/>
        <w:ind w:firstLine="540"/>
        <w:jc w:val="both"/>
      </w:pPr>
      <w:r>
        <w:t>письменно уведомляет муниципальные образования о результатах Отбора;</w:t>
      </w:r>
    </w:p>
    <w:p w14:paraId="377BC79B" w14:textId="77777777" w:rsidR="00454A29" w:rsidRDefault="00454A29">
      <w:pPr>
        <w:pStyle w:val="ConsPlusNormal"/>
        <w:spacing w:before="220"/>
        <w:ind w:firstLine="540"/>
        <w:jc w:val="both"/>
      </w:pPr>
      <w:r>
        <w:t>разрабатывает проект нормативного правового акта о распределении субсидий из государственного бюджета местным бюджетам Республики Саха (Якутия) и вносит его в Правительство Республики Саха (Якутия) в установленном порядке.</w:t>
      </w:r>
    </w:p>
    <w:p w14:paraId="22A54AEB" w14:textId="77777777" w:rsidR="00454A29" w:rsidRDefault="00454A29">
      <w:pPr>
        <w:pStyle w:val="ConsPlusNormal"/>
        <w:spacing w:before="220"/>
        <w:ind w:firstLine="540"/>
        <w:jc w:val="both"/>
      </w:pPr>
      <w:r>
        <w:t>4.2. Предоставление субсидии по итогам Отбора осуществляется на основании Соглашения о предоставлении субсидии, заключаемого Министерством с муниципальным образованием.</w:t>
      </w:r>
    </w:p>
    <w:p w14:paraId="3A37E965" w14:textId="77777777" w:rsidR="00454A29" w:rsidRDefault="00454A29">
      <w:pPr>
        <w:pStyle w:val="ConsPlusNormal"/>
        <w:spacing w:before="220"/>
        <w:ind w:firstLine="540"/>
        <w:jc w:val="both"/>
      </w:pPr>
      <w:r>
        <w:t>4.3. Форма Соглашения утверждается Министерством в соответствии с типовой формой соглашения, утвержденной нормативным правовым актом Правительства Российской Федерации.</w:t>
      </w:r>
    </w:p>
    <w:p w14:paraId="0E01A13C" w14:textId="77777777" w:rsidR="00454A29" w:rsidRDefault="00454A29">
      <w:pPr>
        <w:pStyle w:val="ConsPlusNormal"/>
        <w:spacing w:before="220"/>
        <w:ind w:firstLine="540"/>
        <w:jc w:val="both"/>
      </w:pPr>
      <w:r>
        <w:t>4.4.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Саха (Якутия), а также в случае существенного (более чем на 20%) сокращения размера субсидии.</w:t>
      </w:r>
    </w:p>
    <w:p w14:paraId="6F933098" w14:textId="77777777" w:rsidR="00454A29" w:rsidRDefault="00454A29">
      <w:pPr>
        <w:pStyle w:val="ConsPlusNormal"/>
        <w:spacing w:before="220"/>
        <w:ind w:firstLine="540"/>
        <w:jc w:val="both"/>
      </w:pPr>
      <w:r>
        <w:t>4.5. Объем субсидий на реализацию мероприятий по благоустройству, определяется по формуле:</w:t>
      </w:r>
    </w:p>
    <w:p w14:paraId="7CBC2117" w14:textId="77777777" w:rsidR="00454A29" w:rsidRDefault="00454A29">
      <w:pPr>
        <w:pStyle w:val="ConsPlusNormal"/>
      </w:pPr>
    </w:p>
    <w:p w14:paraId="584E6285" w14:textId="77777777" w:rsidR="00454A29" w:rsidRDefault="00454A29">
      <w:pPr>
        <w:pStyle w:val="ConsPlusNormal"/>
        <w:jc w:val="center"/>
      </w:pPr>
      <w:r>
        <w:t>Ci = Pi - Vi,</w:t>
      </w:r>
    </w:p>
    <w:p w14:paraId="52266933" w14:textId="77777777" w:rsidR="00454A29" w:rsidRDefault="00454A29">
      <w:pPr>
        <w:pStyle w:val="ConsPlusNormal"/>
      </w:pPr>
    </w:p>
    <w:p w14:paraId="269E9E0C" w14:textId="77777777" w:rsidR="00454A29" w:rsidRDefault="00454A29">
      <w:pPr>
        <w:pStyle w:val="ConsPlusNormal"/>
        <w:ind w:firstLine="540"/>
        <w:jc w:val="both"/>
      </w:pPr>
      <w:r>
        <w:t>где:</w:t>
      </w:r>
    </w:p>
    <w:p w14:paraId="2E220801" w14:textId="77777777" w:rsidR="00454A29" w:rsidRDefault="00454A29">
      <w:pPr>
        <w:pStyle w:val="ConsPlusNormal"/>
        <w:spacing w:before="220"/>
        <w:ind w:firstLine="540"/>
        <w:jc w:val="both"/>
      </w:pPr>
      <w:r>
        <w:t>i - муниципальное образование;</w:t>
      </w:r>
    </w:p>
    <w:p w14:paraId="6A99D970" w14:textId="77777777" w:rsidR="00454A29" w:rsidRDefault="00454A29">
      <w:pPr>
        <w:pStyle w:val="ConsPlusNormal"/>
        <w:spacing w:before="220"/>
        <w:ind w:firstLine="540"/>
        <w:jc w:val="both"/>
      </w:pPr>
      <w:r>
        <w:t>Ci - объем субсидий i-му муниципальному образованию на реализацию мероприятий по благоустройству;</w:t>
      </w:r>
    </w:p>
    <w:p w14:paraId="2B379E0B" w14:textId="77777777" w:rsidR="00454A29" w:rsidRDefault="00454A29">
      <w:pPr>
        <w:pStyle w:val="ConsPlusNormal"/>
        <w:spacing w:before="220"/>
        <w:ind w:firstLine="540"/>
        <w:jc w:val="both"/>
      </w:pPr>
      <w:r>
        <w:t>Pi - сметная стоимость проведения капитального ремонта объектов образования i-го муниципального образования, подтвержденная проектно-сметной документацией либо локальной сметой в зависимости от требований, предъявляемых к видам предстоящих работ;</w:t>
      </w:r>
    </w:p>
    <w:p w14:paraId="0FB6C53F" w14:textId="77777777" w:rsidR="00454A29" w:rsidRDefault="00454A29">
      <w:pPr>
        <w:pStyle w:val="ConsPlusNormal"/>
        <w:spacing w:before="220"/>
        <w:ind w:firstLine="540"/>
        <w:jc w:val="both"/>
      </w:pPr>
      <w:r>
        <w:t>Vi - объем средств в местном бюджете на реализацию мероприятий по благоустройству.</w:t>
      </w:r>
    </w:p>
    <w:p w14:paraId="71B9ACAB" w14:textId="77777777" w:rsidR="00454A29" w:rsidRDefault="00454A29">
      <w:pPr>
        <w:pStyle w:val="ConsPlusNormal"/>
      </w:pPr>
    </w:p>
    <w:p w14:paraId="7B221175" w14:textId="77777777" w:rsidR="00454A29" w:rsidRDefault="00454A29">
      <w:pPr>
        <w:pStyle w:val="ConsPlusTitle"/>
        <w:jc w:val="center"/>
        <w:outlineLvl w:val="2"/>
      </w:pPr>
      <w:r>
        <w:t>V. Порядок оценки эффективности использования субсидий,</w:t>
      </w:r>
    </w:p>
    <w:p w14:paraId="6504A0B9" w14:textId="77777777" w:rsidR="00454A29" w:rsidRDefault="00454A29">
      <w:pPr>
        <w:pStyle w:val="ConsPlusTitle"/>
        <w:jc w:val="center"/>
      </w:pPr>
      <w:r>
        <w:t>а также перечень показателей результативности</w:t>
      </w:r>
    </w:p>
    <w:p w14:paraId="7D96D6B5" w14:textId="77777777" w:rsidR="00454A29" w:rsidRDefault="00454A29">
      <w:pPr>
        <w:pStyle w:val="ConsPlusTitle"/>
        <w:jc w:val="center"/>
      </w:pPr>
      <w:r>
        <w:t>использования субсидий</w:t>
      </w:r>
    </w:p>
    <w:p w14:paraId="1EB7E779" w14:textId="77777777" w:rsidR="00454A29" w:rsidRDefault="00454A29">
      <w:pPr>
        <w:pStyle w:val="ConsPlusNormal"/>
      </w:pPr>
    </w:p>
    <w:p w14:paraId="1037E168" w14:textId="77777777" w:rsidR="00454A29" w:rsidRDefault="00454A29">
      <w:pPr>
        <w:pStyle w:val="ConsPlusNormal"/>
        <w:ind w:firstLine="540"/>
        <w:jc w:val="both"/>
      </w:pPr>
      <w:r>
        <w:t>5.1. Оценка эффективности использования субсидии осуществляется Министерством на основании сравнения планируемых и достигнутых значений показателя результативности использования субсидии муниципальными образованиями.</w:t>
      </w:r>
    </w:p>
    <w:p w14:paraId="4ACEFB18" w14:textId="77777777" w:rsidR="00454A29" w:rsidRDefault="00454A29">
      <w:pPr>
        <w:pStyle w:val="ConsPlusNormal"/>
        <w:spacing w:before="220"/>
        <w:ind w:firstLine="540"/>
        <w:jc w:val="both"/>
      </w:pPr>
      <w:r>
        <w:t>5.2. Муниципальные образования - получатели субсидий обеспечивают достижение следующих показателей результативности использования субсидии:</w:t>
      </w:r>
    </w:p>
    <w:p w14:paraId="018396EC" w14:textId="77777777" w:rsidR="00454A29" w:rsidRDefault="00454A29">
      <w:pPr>
        <w:pStyle w:val="ConsPlusNormal"/>
        <w:spacing w:before="220"/>
        <w:ind w:firstLine="540"/>
        <w:jc w:val="both"/>
      </w:pPr>
      <w:r>
        <w:t>доля муниципальных общеобразовательных организаций, в которых соблюдены требования к воздушно-тепловому режиму, водоснабжению и канализации;</w:t>
      </w:r>
    </w:p>
    <w:p w14:paraId="30418EFD" w14:textId="77777777" w:rsidR="00454A29" w:rsidRDefault="00454A29">
      <w:pPr>
        <w:pStyle w:val="ConsPlusNormal"/>
        <w:spacing w:before="220"/>
        <w:ind w:firstLine="540"/>
        <w:jc w:val="both"/>
      </w:pPr>
      <w:r>
        <w:t>процент выполнения графика работ по капитальному ремонту.</w:t>
      </w:r>
    </w:p>
    <w:p w14:paraId="5E173CAD" w14:textId="77777777" w:rsidR="00454A29" w:rsidRDefault="00454A29">
      <w:pPr>
        <w:pStyle w:val="ConsPlusNormal"/>
        <w:spacing w:before="220"/>
        <w:ind w:firstLine="540"/>
        <w:jc w:val="both"/>
      </w:pPr>
      <w:r>
        <w:lastRenderedPageBreak/>
        <w:t>5.3. Значения показателей результативности использования субсидии устанавливаются Министерством в соглашениях с муниципальными образованиями о предоставлении субсидий.</w:t>
      </w:r>
    </w:p>
    <w:p w14:paraId="3C7FAA1A" w14:textId="77777777" w:rsidR="00454A29" w:rsidRDefault="00454A29">
      <w:pPr>
        <w:pStyle w:val="ConsPlusNormal"/>
      </w:pPr>
    </w:p>
    <w:p w14:paraId="08AD8329" w14:textId="77777777" w:rsidR="00454A29" w:rsidRDefault="00454A29">
      <w:pPr>
        <w:pStyle w:val="ConsPlusTitle"/>
        <w:jc w:val="center"/>
        <w:outlineLvl w:val="2"/>
      </w:pPr>
      <w:r>
        <w:t>VI. Сроки и порядок представления отчетности</w:t>
      </w:r>
    </w:p>
    <w:p w14:paraId="038D7BF6" w14:textId="77777777" w:rsidR="00454A29" w:rsidRDefault="00454A29">
      <w:pPr>
        <w:pStyle w:val="ConsPlusTitle"/>
        <w:jc w:val="center"/>
      </w:pPr>
      <w:r>
        <w:t>об исполнении условий предоставления субсидий</w:t>
      </w:r>
    </w:p>
    <w:p w14:paraId="65D94B74" w14:textId="77777777" w:rsidR="00454A29" w:rsidRDefault="00454A29">
      <w:pPr>
        <w:pStyle w:val="ConsPlusNormal"/>
      </w:pPr>
    </w:p>
    <w:p w14:paraId="5C309F18" w14:textId="77777777" w:rsidR="00454A29" w:rsidRDefault="00454A29">
      <w:pPr>
        <w:pStyle w:val="ConsPlusNormal"/>
        <w:ind w:firstLine="540"/>
        <w:jc w:val="both"/>
      </w:pPr>
      <w:r>
        <w:t>6.1. Муниципальные образования ежеквартально, до 10-го числа месяца, следующего за отчетным месяцем, представляют Министерству отчет об осуществлении расходов местных бюджетов, источником финансового обеспечения которых является субсидия, и о достигнутых значениях показателей результативности предоставления субсидии по формам согласно приложению (не приводится (не предоставлено)) к настоящему Порядку.</w:t>
      </w:r>
    </w:p>
    <w:p w14:paraId="50544285" w14:textId="77777777" w:rsidR="00454A29" w:rsidRDefault="00454A29">
      <w:pPr>
        <w:pStyle w:val="ConsPlusNormal"/>
      </w:pPr>
    </w:p>
    <w:p w14:paraId="4B88CA3F" w14:textId="77777777" w:rsidR="00454A29" w:rsidRDefault="00454A29">
      <w:pPr>
        <w:pStyle w:val="ConsPlusTitle"/>
        <w:jc w:val="center"/>
        <w:outlineLvl w:val="2"/>
      </w:pPr>
      <w:r>
        <w:t>VII. Основания и порядок применения мер финансовой</w:t>
      </w:r>
    </w:p>
    <w:p w14:paraId="59C3BC3C" w14:textId="77777777" w:rsidR="00454A29" w:rsidRDefault="00454A29">
      <w:pPr>
        <w:pStyle w:val="ConsPlusTitle"/>
        <w:jc w:val="center"/>
      </w:pPr>
      <w:r>
        <w:t>ответственности муниципального образования при невыполнении</w:t>
      </w:r>
    </w:p>
    <w:p w14:paraId="45193279" w14:textId="77777777" w:rsidR="00454A29" w:rsidRDefault="00454A29">
      <w:pPr>
        <w:pStyle w:val="ConsPlusTitle"/>
        <w:jc w:val="center"/>
      </w:pPr>
      <w:r>
        <w:t>условий соглашения, в том числе порядок и предельный объем</w:t>
      </w:r>
    </w:p>
    <w:p w14:paraId="72B21C47" w14:textId="77777777" w:rsidR="00454A29" w:rsidRDefault="00454A29">
      <w:pPr>
        <w:pStyle w:val="ConsPlusTitle"/>
        <w:jc w:val="center"/>
      </w:pPr>
      <w:r>
        <w:t>сокращения и перераспределения субсидий в случае</w:t>
      </w:r>
    </w:p>
    <w:p w14:paraId="35F3C535" w14:textId="77777777" w:rsidR="00454A29" w:rsidRDefault="00454A29">
      <w:pPr>
        <w:pStyle w:val="ConsPlusTitle"/>
        <w:jc w:val="center"/>
      </w:pPr>
      <w:r>
        <w:t>невыполнения муниципальными образованиями условий</w:t>
      </w:r>
    </w:p>
    <w:p w14:paraId="63E14E01" w14:textId="77777777" w:rsidR="00454A29" w:rsidRDefault="00454A29">
      <w:pPr>
        <w:pStyle w:val="ConsPlusTitle"/>
        <w:jc w:val="center"/>
      </w:pPr>
      <w:r>
        <w:t>предоставления субсидий и обязательств по целевому</w:t>
      </w:r>
    </w:p>
    <w:p w14:paraId="557A6EB4" w14:textId="77777777" w:rsidR="00454A29" w:rsidRDefault="00454A29">
      <w:pPr>
        <w:pStyle w:val="ConsPlusTitle"/>
        <w:jc w:val="center"/>
      </w:pPr>
      <w:r>
        <w:t>и эффективному использованию субсидий</w:t>
      </w:r>
    </w:p>
    <w:p w14:paraId="54F5D046" w14:textId="77777777" w:rsidR="00454A29" w:rsidRDefault="00454A29">
      <w:pPr>
        <w:pStyle w:val="ConsPlusNormal"/>
      </w:pPr>
    </w:p>
    <w:p w14:paraId="7543E1F2" w14:textId="77777777" w:rsidR="00454A29" w:rsidRDefault="00454A29">
      <w:pPr>
        <w:pStyle w:val="ConsPlusNormal"/>
        <w:ind w:firstLine="540"/>
        <w:jc w:val="both"/>
      </w:pPr>
      <w:bookmarkStart w:id="18" w:name="P33419"/>
      <w:bookmarkEnd w:id="18"/>
      <w:r>
        <w:t>7.1.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w:t>
      </w:r>
      <w:r>
        <w:rPr>
          <w:vertAlign w:val="subscript"/>
        </w:rPr>
        <w:t>возврата)</w:t>
      </w:r>
      <w:r>
        <w:t xml:space="preserve"> в соответствии с приказом Министерства, рассчитывается по формуле:</w:t>
      </w:r>
    </w:p>
    <w:p w14:paraId="483FFCEC" w14:textId="77777777" w:rsidR="00454A29" w:rsidRDefault="00454A29">
      <w:pPr>
        <w:pStyle w:val="ConsPlusNormal"/>
      </w:pPr>
    </w:p>
    <w:p w14:paraId="59D6B4E3" w14:textId="77777777" w:rsidR="00454A29" w:rsidRDefault="00454A29">
      <w:pPr>
        <w:pStyle w:val="ConsPlusNormal"/>
        <w:jc w:val="center"/>
      </w:pPr>
      <w:r>
        <w:t>V</w:t>
      </w:r>
      <w:r>
        <w:rPr>
          <w:vertAlign w:val="subscript"/>
        </w:rPr>
        <w:t>возврата</w:t>
      </w:r>
      <w:r>
        <w:t xml:space="preserve"> = (V</w:t>
      </w:r>
      <w:r>
        <w:rPr>
          <w:vertAlign w:val="subscript"/>
        </w:rPr>
        <w:t>субсидии</w:t>
      </w:r>
      <w:r>
        <w:t xml:space="preserve"> * k * m / n) * 0,1,</w:t>
      </w:r>
    </w:p>
    <w:p w14:paraId="1CE6496D" w14:textId="77777777" w:rsidR="00454A29" w:rsidRDefault="00454A29">
      <w:pPr>
        <w:pStyle w:val="ConsPlusNormal"/>
      </w:pPr>
    </w:p>
    <w:p w14:paraId="499B8FB9" w14:textId="77777777" w:rsidR="00454A29" w:rsidRDefault="00454A29">
      <w:pPr>
        <w:pStyle w:val="ConsPlusNormal"/>
        <w:ind w:firstLine="540"/>
        <w:jc w:val="both"/>
      </w:pPr>
      <w:r>
        <w:t>где</w:t>
      </w:r>
    </w:p>
    <w:p w14:paraId="6FE57DBA" w14:textId="77777777" w:rsidR="00454A29" w:rsidRDefault="00454A29">
      <w:pPr>
        <w:pStyle w:val="ConsPlusNormal"/>
        <w:spacing w:before="220"/>
        <w:ind w:firstLine="540"/>
        <w:jc w:val="both"/>
      </w:pPr>
      <w:r>
        <w:t>V</w:t>
      </w:r>
      <w:r>
        <w:rPr>
          <w:vertAlign w:val="subscript"/>
        </w:rPr>
        <w:t>субсидии</w:t>
      </w:r>
      <w:r>
        <w:t xml:space="preserve"> - размер субсидии, предоставленной местному бюджету в отчетном финансовом году;</w:t>
      </w:r>
    </w:p>
    <w:p w14:paraId="52153A63" w14:textId="77777777" w:rsidR="00454A29" w:rsidRDefault="00454A29">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136DBE83" w14:textId="77777777" w:rsidR="00454A29" w:rsidRDefault="00454A29">
      <w:pPr>
        <w:pStyle w:val="ConsPlusNormal"/>
        <w:spacing w:before="220"/>
        <w:ind w:firstLine="540"/>
        <w:jc w:val="both"/>
      </w:pPr>
      <w:r>
        <w:t>n - общее количество показателей результативности использования субсидии;</w:t>
      </w:r>
    </w:p>
    <w:p w14:paraId="74325332" w14:textId="77777777" w:rsidR="00454A29" w:rsidRDefault="00454A29">
      <w:pPr>
        <w:pStyle w:val="ConsPlusNormal"/>
        <w:spacing w:before="220"/>
        <w:ind w:firstLine="540"/>
        <w:jc w:val="both"/>
      </w:pPr>
      <w:r>
        <w:t>k - коэффициент возврата субсидии.</w:t>
      </w:r>
    </w:p>
    <w:p w14:paraId="49AE9A6D" w14:textId="77777777" w:rsidR="00454A29" w:rsidRDefault="00454A29">
      <w:pPr>
        <w:pStyle w:val="ConsPlusNormal"/>
        <w:spacing w:before="220"/>
        <w:ind w:firstLine="540"/>
        <w:jc w:val="both"/>
      </w:pPr>
      <w:r>
        <w:t>7.2. 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vertAlign w:val="subscript"/>
        </w:rPr>
        <w:t>субсидии),</w:t>
      </w:r>
      <w: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14:paraId="4A672BC7" w14:textId="77777777" w:rsidR="00454A29" w:rsidRDefault="00454A29">
      <w:pPr>
        <w:pStyle w:val="ConsPlusNormal"/>
        <w:spacing w:before="220"/>
        <w:ind w:firstLine="540"/>
        <w:jc w:val="both"/>
      </w:pPr>
      <w:r>
        <w:t>7.2.1. Коэффициент возврата субсидии рассчитывается по формуле:</w:t>
      </w:r>
    </w:p>
    <w:p w14:paraId="73074582" w14:textId="77777777" w:rsidR="00454A29" w:rsidRDefault="00454A29">
      <w:pPr>
        <w:pStyle w:val="ConsPlusNormal"/>
      </w:pPr>
    </w:p>
    <w:p w14:paraId="790292B8" w14:textId="77777777" w:rsidR="00454A29" w:rsidRDefault="00454A29">
      <w:pPr>
        <w:pStyle w:val="ConsPlusNormal"/>
        <w:jc w:val="center"/>
      </w:pPr>
      <w:r w:rsidRPr="005D7449">
        <w:rPr>
          <w:position w:val="-11"/>
        </w:rPr>
        <w:pict w14:anchorId="1F76B35D">
          <v:shape id="_x0000_i1028" style="width:69.35pt;height:21.95pt" coordsize="" o:spt="100" adj="0,,0" path="" filled="f" stroked="f">
            <v:stroke joinstyle="miter"/>
            <v:imagedata r:id="rId44" o:title="base_23801_77601_32771"/>
            <v:formulas/>
            <v:path o:connecttype="segments"/>
          </v:shape>
        </w:pict>
      </w:r>
      <w:r>
        <w:t>,</w:t>
      </w:r>
    </w:p>
    <w:p w14:paraId="72C39ED7" w14:textId="77777777" w:rsidR="00454A29" w:rsidRDefault="00454A29">
      <w:pPr>
        <w:pStyle w:val="ConsPlusNormal"/>
      </w:pPr>
    </w:p>
    <w:p w14:paraId="55B1A400" w14:textId="77777777" w:rsidR="00454A29" w:rsidRDefault="00454A29">
      <w:pPr>
        <w:pStyle w:val="ConsPlusNormal"/>
        <w:ind w:firstLine="540"/>
        <w:jc w:val="both"/>
      </w:pPr>
      <w:r>
        <w:t>где:</w:t>
      </w:r>
    </w:p>
    <w:p w14:paraId="1AED849F" w14:textId="77777777" w:rsidR="00454A29" w:rsidRDefault="00454A29">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14:paraId="25057B77" w14:textId="77777777" w:rsidR="00454A29" w:rsidRDefault="00454A29">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5E5E4471" w14:textId="77777777" w:rsidR="00454A29" w:rsidRDefault="00454A29">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14:paraId="61749670" w14:textId="77777777" w:rsidR="00454A29" w:rsidRDefault="00454A29">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50BC3C66" w14:textId="77777777" w:rsidR="00454A29" w:rsidRDefault="00454A29">
      <w:pPr>
        <w:pStyle w:val="ConsPlusNormal"/>
      </w:pPr>
    </w:p>
    <w:p w14:paraId="6065FC9B" w14:textId="77777777" w:rsidR="00454A29" w:rsidRDefault="00454A29">
      <w:pPr>
        <w:pStyle w:val="ConsPlusNormal"/>
        <w:jc w:val="center"/>
      </w:pPr>
      <w:r>
        <w:t>D</w:t>
      </w:r>
      <w:r>
        <w:rPr>
          <w:vertAlign w:val="subscript"/>
        </w:rPr>
        <w:t>i</w:t>
      </w:r>
      <w:r>
        <w:t xml:space="preserve"> = 1 - T</w:t>
      </w:r>
      <w:r>
        <w:rPr>
          <w:vertAlign w:val="subscript"/>
        </w:rPr>
        <w:t>i</w:t>
      </w:r>
      <w:r>
        <w:t xml:space="preserve"> / S</w:t>
      </w:r>
      <w:r>
        <w:rPr>
          <w:vertAlign w:val="subscript"/>
        </w:rPr>
        <w:t>i,</w:t>
      </w:r>
    </w:p>
    <w:p w14:paraId="4398A132" w14:textId="77777777" w:rsidR="00454A29" w:rsidRDefault="00454A29">
      <w:pPr>
        <w:pStyle w:val="ConsPlusNormal"/>
      </w:pPr>
    </w:p>
    <w:p w14:paraId="516CE1AA" w14:textId="77777777" w:rsidR="00454A29" w:rsidRDefault="00454A29">
      <w:pPr>
        <w:pStyle w:val="ConsPlusNormal"/>
        <w:ind w:firstLine="540"/>
        <w:jc w:val="both"/>
      </w:pPr>
      <w:r>
        <w:t>где:</w:t>
      </w:r>
    </w:p>
    <w:p w14:paraId="591A232E" w14:textId="77777777" w:rsidR="00454A29" w:rsidRDefault="00454A29">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14:paraId="5AC46F2E" w14:textId="77777777" w:rsidR="00454A29" w:rsidRDefault="00454A29">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14:paraId="3CEA1EE3" w14:textId="77777777" w:rsidR="00454A29" w:rsidRDefault="00454A29">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7CAFC8DF" w14:textId="77777777" w:rsidR="00454A29" w:rsidRDefault="00454A29">
      <w:pPr>
        <w:pStyle w:val="ConsPlusNormal"/>
      </w:pPr>
    </w:p>
    <w:p w14:paraId="7EBA0E1E" w14:textId="77777777" w:rsidR="00454A29" w:rsidRDefault="00454A29">
      <w:pPr>
        <w:pStyle w:val="ConsPlusNormal"/>
        <w:jc w:val="center"/>
      </w:pPr>
      <w:r>
        <w:t>D</w:t>
      </w:r>
      <w:r>
        <w:rPr>
          <w:vertAlign w:val="subscript"/>
        </w:rPr>
        <w:t>i</w:t>
      </w:r>
      <w:r>
        <w:t xml:space="preserve"> = 1 - S</w:t>
      </w:r>
      <w:r>
        <w:rPr>
          <w:vertAlign w:val="subscript"/>
        </w:rPr>
        <w:t>i</w:t>
      </w:r>
      <w:r>
        <w:t xml:space="preserve"> / T</w:t>
      </w:r>
      <w:r>
        <w:rPr>
          <w:vertAlign w:val="subscript"/>
        </w:rPr>
        <w:t>i</w:t>
      </w:r>
    </w:p>
    <w:p w14:paraId="42BC7F86" w14:textId="77777777" w:rsidR="00454A29" w:rsidRDefault="00454A29">
      <w:pPr>
        <w:pStyle w:val="ConsPlusNormal"/>
      </w:pPr>
    </w:p>
    <w:p w14:paraId="5474FD70" w14:textId="77777777" w:rsidR="00454A29" w:rsidRDefault="00454A29">
      <w:pPr>
        <w:pStyle w:val="ConsPlusNormal"/>
        <w:ind w:firstLine="540"/>
        <w:jc w:val="both"/>
      </w:pPr>
      <w:r>
        <w:t xml:space="preserve">7.3. Основанием для освобождения муниципальных образований от применения мер ответственности, предусмотренных </w:t>
      </w:r>
      <w:hyperlink w:anchor="P33419" w:history="1">
        <w:r>
          <w:rPr>
            <w:color w:val="0000FF"/>
          </w:rPr>
          <w:t>пунктом 7.1</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272B8FA6" w14:textId="77777777" w:rsidR="00454A29" w:rsidRDefault="00454A29">
      <w:pPr>
        <w:pStyle w:val="ConsPlusNormal"/>
        <w:spacing w:before="220"/>
        <w:ind w:firstLine="540"/>
        <w:jc w:val="both"/>
      </w:pPr>
      <w:r>
        <w:t>7.4. Министерство при наличии основания, предусмотренного пунктом 7.3 настоящего Порядка,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4D32A49A" w14:textId="77777777" w:rsidR="00454A29" w:rsidRDefault="00454A29">
      <w:pPr>
        <w:pStyle w:val="ConsPlusNormal"/>
        <w:spacing w:before="220"/>
        <w:ind w:firstLine="540"/>
        <w:jc w:val="both"/>
      </w:pPr>
      <w:r>
        <w:t xml:space="preserve">7.5. 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Документы представляются Министерству муниципальным образованием до 30 апреля года, следующего за годом предоставления субсидии. Министерство не позднее 15 мая года, следующего за годом предоставления субсидии, издает ведомственный акт об освобождении органов местного самоуправления от применения мер ответственности, предусмотренных </w:t>
      </w:r>
      <w:hyperlink w:anchor="P33419" w:history="1">
        <w:r>
          <w:rPr>
            <w:color w:val="0000FF"/>
          </w:rPr>
          <w:t>пунктом 7.1</w:t>
        </w:r>
      </w:hyperlink>
      <w:r>
        <w:t xml:space="preserve"> настоящего Порядка.</w:t>
      </w:r>
    </w:p>
    <w:p w14:paraId="2AE184DC" w14:textId="77777777" w:rsidR="00454A29" w:rsidRDefault="00454A29">
      <w:pPr>
        <w:pStyle w:val="ConsPlusNormal"/>
        <w:spacing w:before="220"/>
        <w:ind w:firstLine="540"/>
        <w:jc w:val="both"/>
      </w:pPr>
      <w:r>
        <w:t>7.6. В случае отсутствия оснований для освобождения муниципального образования от применения мер ответственности, предусмотренных пунктом 7.1 настоящего Порядка, Министерство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пунктом 7.1 настоящего Порядка.</w:t>
      </w:r>
    </w:p>
    <w:p w14:paraId="28B2A864" w14:textId="77777777" w:rsidR="00454A29" w:rsidRDefault="00454A29">
      <w:pPr>
        <w:pStyle w:val="ConsPlusNormal"/>
      </w:pPr>
    </w:p>
    <w:p w14:paraId="68F2CE35" w14:textId="77777777" w:rsidR="00454A29" w:rsidRDefault="00454A29">
      <w:pPr>
        <w:pStyle w:val="ConsPlusTitle"/>
        <w:jc w:val="center"/>
        <w:outlineLvl w:val="2"/>
      </w:pPr>
      <w:r>
        <w:t>VIII. Возврат и использование остатков субсидий</w:t>
      </w:r>
    </w:p>
    <w:p w14:paraId="45DDA4D7" w14:textId="77777777" w:rsidR="00454A29" w:rsidRDefault="00454A29">
      <w:pPr>
        <w:pStyle w:val="ConsPlusNormal"/>
      </w:pPr>
    </w:p>
    <w:p w14:paraId="6309A0EC" w14:textId="77777777" w:rsidR="00454A29" w:rsidRDefault="00454A29">
      <w:pPr>
        <w:pStyle w:val="ConsPlusNormal"/>
        <w:ind w:firstLine="540"/>
        <w:jc w:val="both"/>
      </w:pPr>
      <w:r>
        <w:t>8.1.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036F6F41" w14:textId="77777777" w:rsidR="00454A29" w:rsidRDefault="00454A29">
      <w:pPr>
        <w:pStyle w:val="ConsPlusNormal"/>
        <w:spacing w:before="220"/>
        <w:ind w:firstLine="540"/>
        <w:jc w:val="both"/>
      </w:pPr>
      <w:r>
        <w:t xml:space="preserve">8.2. Принятие решения о наличии потребности (остатков)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Порядком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 утвержденным </w:t>
      </w:r>
      <w:hyperlink r:id="rId45" w:history="1">
        <w:r>
          <w:rPr>
            <w:color w:val="0000FF"/>
          </w:rPr>
          <w:t>постановлением</w:t>
        </w:r>
      </w:hyperlink>
      <w:r>
        <w:t xml:space="preserve"> Правительства Республики Саха (Якутия) от 17 января 2017 г. N 10.</w:t>
      </w:r>
    </w:p>
    <w:p w14:paraId="650BCB35" w14:textId="77777777" w:rsidR="00454A29" w:rsidRDefault="00454A29">
      <w:pPr>
        <w:pStyle w:val="ConsPlusNormal"/>
        <w:spacing w:before="220"/>
        <w:ind w:firstLine="540"/>
        <w:jc w:val="both"/>
      </w:pPr>
      <w:r>
        <w:t>8.3. 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14:paraId="107F8BBF" w14:textId="77777777" w:rsidR="00454A29" w:rsidRDefault="00454A29">
      <w:pPr>
        <w:pStyle w:val="ConsPlusNormal"/>
        <w:spacing w:before="220"/>
        <w:ind w:firstLine="540"/>
        <w:jc w:val="both"/>
      </w:pPr>
      <w:r>
        <w:t xml:space="preserve">8.4. Бюджетные средства, образовавшиеся в результате экономии (в том числе по итогам проведения муниципальными образованиями конкурсных процедур в соответствии с Федеральным </w:t>
      </w:r>
      <w:hyperlink r:id="rId4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14:paraId="0820C98D" w14:textId="77777777" w:rsidR="00454A29" w:rsidRDefault="00454A29">
      <w:pPr>
        <w:pStyle w:val="ConsPlusNormal"/>
        <w:spacing w:before="220"/>
        <w:ind w:firstLine="540"/>
        <w:jc w:val="both"/>
      </w:pPr>
      <w:r>
        <w:t xml:space="preserve">8.5. В случае нецелевого использования субсидии и (или) нарушения муниципальным образованием условий ее предоставления, в том числе невозврата средств в государственный бюджет Республики Саха (Якутия) в соответствии с </w:t>
      </w:r>
      <w:hyperlink w:anchor="P33419" w:history="1">
        <w:r>
          <w:rPr>
            <w:color w:val="0000FF"/>
          </w:rPr>
          <w:t>пунктом 7.1</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14:paraId="6CE0CB4F" w14:textId="77777777" w:rsidR="00454A29" w:rsidRDefault="00454A29">
      <w:pPr>
        <w:pStyle w:val="ConsPlusNormal"/>
        <w:spacing w:before="220"/>
        <w:ind w:firstLine="540"/>
        <w:jc w:val="both"/>
      </w:pPr>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14:paraId="06E49289" w14:textId="77777777" w:rsidR="00454A29" w:rsidRDefault="00454A29">
      <w:pPr>
        <w:pStyle w:val="ConsPlusNormal"/>
        <w:spacing w:before="220"/>
        <w:ind w:firstLine="540"/>
        <w:jc w:val="both"/>
      </w:pPr>
      <w:r>
        <w:t>8.6. Контроль за целевым использованием субсидий муниципальными образованиями и за соблюдением муниципальными образованиями условий предоставления субсидий осуществляется Министерством и органами внутреннего государственного финансового контроля Республики Саха (Якутия).</w:t>
      </w:r>
    </w:p>
    <w:p w14:paraId="09D63690" w14:textId="77777777" w:rsidR="00454A29" w:rsidRDefault="00454A29">
      <w:pPr>
        <w:pStyle w:val="ConsPlusNormal"/>
      </w:pPr>
    </w:p>
    <w:p w14:paraId="79F7ECE7" w14:textId="77777777" w:rsidR="00454A29" w:rsidRDefault="00454A29">
      <w:pPr>
        <w:pStyle w:val="ConsPlusNormal"/>
      </w:pPr>
    </w:p>
    <w:p w14:paraId="37485BC5" w14:textId="77777777" w:rsidR="00454A29" w:rsidRDefault="00454A29">
      <w:pPr>
        <w:pStyle w:val="ConsPlusNormal"/>
      </w:pPr>
    </w:p>
    <w:p w14:paraId="6DF56629" w14:textId="77777777" w:rsidR="00454A29" w:rsidRDefault="00454A29">
      <w:pPr>
        <w:pStyle w:val="ConsPlusNormal"/>
      </w:pPr>
    </w:p>
    <w:p w14:paraId="7A5D2BAD" w14:textId="77777777" w:rsidR="00454A29" w:rsidRDefault="00454A29">
      <w:pPr>
        <w:pStyle w:val="ConsPlusNormal"/>
      </w:pPr>
    </w:p>
    <w:p w14:paraId="6361848E" w14:textId="77777777" w:rsidR="00454A29" w:rsidRDefault="00454A29">
      <w:pPr>
        <w:pStyle w:val="ConsPlusNormal"/>
        <w:jc w:val="right"/>
        <w:outlineLvl w:val="1"/>
      </w:pPr>
      <w:r>
        <w:lastRenderedPageBreak/>
        <w:t>Приложение N 9</w:t>
      </w:r>
    </w:p>
    <w:p w14:paraId="2F272D67" w14:textId="77777777" w:rsidR="00454A29" w:rsidRDefault="00454A29">
      <w:pPr>
        <w:pStyle w:val="ConsPlusNormal"/>
        <w:jc w:val="right"/>
      </w:pPr>
      <w:r>
        <w:t>к государственной программе</w:t>
      </w:r>
    </w:p>
    <w:p w14:paraId="0D059EE3" w14:textId="77777777" w:rsidR="00454A29" w:rsidRDefault="00454A29">
      <w:pPr>
        <w:pStyle w:val="ConsPlusNormal"/>
        <w:jc w:val="right"/>
      </w:pPr>
      <w:r>
        <w:t>Республики Саха (Якутия)</w:t>
      </w:r>
    </w:p>
    <w:p w14:paraId="2BAD3578" w14:textId="77777777" w:rsidR="00454A29" w:rsidRDefault="00454A29">
      <w:pPr>
        <w:pStyle w:val="ConsPlusNormal"/>
        <w:jc w:val="right"/>
      </w:pPr>
      <w:r>
        <w:t>"Развитие образования</w:t>
      </w:r>
    </w:p>
    <w:p w14:paraId="2EE90F9E" w14:textId="77777777" w:rsidR="00454A29" w:rsidRDefault="00454A29">
      <w:pPr>
        <w:pStyle w:val="ConsPlusNormal"/>
        <w:jc w:val="right"/>
      </w:pPr>
      <w:r>
        <w:t>Республики Саха (Якутия)</w:t>
      </w:r>
    </w:p>
    <w:p w14:paraId="3E08DDC4" w14:textId="77777777" w:rsidR="00454A29" w:rsidRDefault="00454A29">
      <w:pPr>
        <w:pStyle w:val="ConsPlusNormal"/>
        <w:jc w:val="right"/>
      </w:pPr>
      <w:r>
        <w:t>на 2020 - 2024 годы и на плановый</w:t>
      </w:r>
    </w:p>
    <w:p w14:paraId="753078F9" w14:textId="77777777" w:rsidR="00454A29" w:rsidRDefault="00454A29">
      <w:pPr>
        <w:pStyle w:val="ConsPlusNormal"/>
        <w:jc w:val="right"/>
      </w:pPr>
      <w:r>
        <w:t>период до 2026 года"</w:t>
      </w:r>
    </w:p>
    <w:p w14:paraId="5F9DE151" w14:textId="77777777" w:rsidR="00454A29" w:rsidRDefault="00454A29">
      <w:pPr>
        <w:pStyle w:val="ConsPlusNormal"/>
      </w:pPr>
    </w:p>
    <w:p w14:paraId="46D9B9D1" w14:textId="77777777" w:rsidR="00454A29" w:rsidRDefault="00454A29">
      <w:pPr>
        <w:pStyle w:val="ConsPlusTitle"/>
        <w:jc w:val="center"/>
      </w:pPr>
      <w:bookmarkStart w:id="19" w:name="P33475"/>
      <w:bookmarkEnd w:id="19"/>
      <w:r>
        <w:t>ПОРЯДОК</w:t>
      </w:r>
    </w:p>
    <w:p w14:paraId="29BA5527" w14:textId="77777777" w:rsidR="00454A29" w:rsidRDefault="00454A29">
      <w:pPr>
        <w:pStyle w:val="ConsPlusTitle"/>
        <w:jc w:val="center"/>
      </w:pPr>
      <w:r>
        <w:t>ПРЕДОСТАВЛЕНИЯ И РАСПРЕДЕЛЕНИЯ СУБСИДИЙ ИЗ ГОСУДАРСТВЕННОГО</w:t>
      </w:r>
    </w:p>
    <w:p w14:paraId="6C6184EB" w14:textId="77777777" w:rsidR="00454A29" w:rsidRDefault="00454A29">
      <w:pPr>
        <w:pStyle w:val="ConsPlusTitle"/>
        <w:jc w:val="center"/>
      </w:pPr>
      <w:r>
        <w:t>БЮДЖЕТА РЕСПУБЛИКИ САХА (ЯКУТИЯ) МЕСТНЫМ БЮДЖЕТАМ</w:t>
      </w:r>
    </w:p>
    <w:p w14:paraId="74351DB5" w14:textId="77777777" w:rsidR="00454A29" w:rsidRDefault="00454A29">
      <w:pPr>
        <w:pStyle w:val="ConsPlusTitle"/>
        <w:jc w:val="center"/>
      </w:pPr>
      <w:r>
        <w:t>НА СОЗДАНИЕ ДОПОЛНИТЕЛЬНЫХ МЕСТ (ГРУПП) ДЛЯ ДЕТЕЙ В ВОЗРАСТЕ</w:t>
      </w:r>
    </w:p>
    <w:p w14:paraId="34C1B026" w14:textId="77777777" w:rsidR="00454A29" w:rsidRDefault="00454A29">
      <w:pPr>
        <w:pStyle w:val="ConsPlusTitle"/>
        <w:jc w:val="center"/>
      </w:pPr>
      <w:r>
        <w:t>ОТ 1,5 ДО 3 ЛЕТ ЛЮБОЙ НАПРАВЛЕННОСТИ В ОРГАНИЗАЦИЯХ,</w:t>
      </w:r>
    </w:p>
    <w:p w14:paraId="058F8457" w14:textId="77777777" w:rsidR="00454A29" w:rsidRDefault="00454A29">
      <w:pPr>
        <w:pStyle w:val="ConsPlusTitle"/>
        <w:jc w:val="center"/>
      </w:pPr>
      <w:r>
        <w:t>ОСУЩЕСТВЛЯЮЩИХ ОБРАЗОВАТЕЛЬНУЮ ДЕЯТЕЛЬНОСТЬ (ЗА ИСКЛЮЧЕНИЕМ</w:t>
      </w:r>
    </w:p>
    <w:p w14:paraId="6DD4AB9C" w14:textId="77777777" w:rsidR="00454A29" w:rsidRDefault="00454A29">
      <w:pPr>
        <w:pStyle w:val="ConsPlusTitle"/>
        <w:jc w:val="center"/>
      </w:pPr>
      <w:r>
        <w:t>ГОСУДАРСТВЕННЫХ И МУНИЦИПАЛЬНЫХ), И У ИНДИВИДУАЛЬНЫХ</w:t>
      </w:r>
    </w:p>
    <w:p w14:paraId="12C86DBF" w14:textId="77777777" w:rsidR="00454A29" w:rsidRDefault="00454A29">
      <w:pPr>
        <w:pStyle w:val="ConsPlusTitle"/>
        <w:jc w:val="center"/>
      </w:pPr>
      <w:r>
        <w:t>ПРЕДПРИНИМАТЕЛЕЙ, ОСУЩЕСТВЛЯЮЩИХ ОБРАЗОВАТЕЛЬНУЮ</w:t>
      </w:r>
    </w:p>
    <w:p w14:paraId="2E26E56C" w14:textId="77777777" w:rsidR="00454A29" w:rsidRDefault="00454A29">
      <w:pPr>
        <w:pStyle w:val="ConsPlusTitle"/>
        <w:jc w:val="center"/>
      </w:pPr>
      <w:r>
        <w:t>ДЕЯТЕЛЬНОСТЬ ПО ОБРАЗОВАТЕЛЬНЫМ ПРОГРАММАМ ДОШКОЛЬНОГО</w:t>
      </w:r>
    </w:p>
    <w:p w14:paraId="253C1A15" w14:textId="77777777" w:rsidR="00454A29" w:rsidRDefault="00454A29">
      <w:pPr>
        <w:pStyle w:val="ConsPlusTitle"/>
        <w:jc w:val="center"/>
      </w:pPr>
      <w:r>
        <w:t>ОБРАЗОВАНИЯ, В ТОМ ЧИСЛЕ АДАПТИРОВАННЫМ,</w:t>
      </w:r>
    </w:p>
    <w:p w14:paraId="0DC153CD" w14:textId="77777777" w:rsidR="00454A29" w:rsidRDefault="00454A29">
      <w:pPr>
        <w:pStyle w:val="ConsPlusTitle"/>
        <w:jc w:val="center"/>
      </w:pPr>
      <w:r>
        <w:t>И ПРИСМОТР И УХОД ЗА ДЕТЬМИ</w:t>
      </w:r>
    </w:p>
    <w:p w14:paraId="4CB88D7A" w14:textId="77777777" w:rsidR="00454A29" w:rsidRDefault="00454A29">
      <w:pPr>
        <w:pStyle w:val="ConsPlusNormal"/>
      </w:pPr>
    </w:p>
    <w:p w14:paraId="5F186F63" w14:textId="77777777" w:rsidR="00454A29" w:rsidRDefault="00454A29">
      <w:pPr>
        <w:pStyle w:val="ConsPlusTitle"/>
        <w:jc w:val="center"/>
        <w:outlineLvl w:val="2"/>
      </w:pPr>
      <w:r>
        <w:t>I. Общие положения</w:t>
      </w:r>
    </w:p>
    <w:p w14:paraId="477622A6" w14:textId="77777777" w:rsidR="00454A29" w:rsidRDefault="00454A29">
      <w:pPr>
        <w:pStyle w:val="ConsPlusNormal"/>
      </w:pPr>
    </w:p>
    <w:p w14:paraId="1A1C138C" w14:textId="77777777" w:rsidR="00454A29" w:rsidRDefault="00454A29">
      <w:pPr>
        <w:pStyle w:val="ConsPlusNormal"/>
        <w:ind w:firstLine="540"/>
        <w:jc w:val="both"/>
      </w:pPr>
      <w:r>
        <w:t xml:space="preserve">1.1. Порядок предоставления и распределения субсидий из государственного бюджета Республики Саха (Якутия) местным бюджетам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Порядок) разработан в соответствии со </w:t>
      </w:r>
      <w:hyperlink r:id="rId47" w:history="1">
        <w:r>
          <w:rPr>
            <w:color w:val="0000FF"/>
          </w:rPr>
          <w:t>статьей 139</w:t>
        </w:r>
      </w:hyperlink>
      <w:r>
        <w:t xml:space="preserve"> Бюджетного кодекса Российской Федерации.</w:t>
      </w:r>
    </w:p>
    <w:p w14:paraId="4226A226" w14:textId="77777777" w:rsidR="00454A29" w:rsidRDefault="00454A29">
      <w:pPr>
        <w:pStyle w:val="ConsPlusNormal"/>
        <w:spacing w:before="220"/>
        <w:ind w:firstLine="540"/>
        <w:jc w:val="both"/>
      </w:pPr>
      <w:bookmarkStart w:id="20" w:name="P33490"/>
      <w:bookmarkEnd w:id="20"/>
      <w:r>
        <w:t>1.2. Настоящий Порядок устанавливают цели, условия и порядок предоставления и распределения субсидии местным бюджетам из государственного бюджета Республики Саха (Якутия) в целях финансирования мероприятий,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связанных с реализацией мероприятий по созданию дополнительных мест (групп) для детей в возрасте от 1,5 до 3 лет любой направленности (далее - дошкольные группы)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частные дошкольные организации).</w:t>
      </w:r>
    </w:p>
    <w:p w14:paraId="5F275FCC" w14:textId="77777777" w:rsidR="00454A29" w:rsidRDefault="00454A29">
      <w:pPr>
        <w:pStyle w:val="ConsPlusNormal"/>
        <w:spacing w:before="220"/>
        <w:ind w:firstLine="540"/>
        <w:jc w:val="both"/>
      </w:pPr>
      <w:r>
        <w:t>1.3. Субсидии предоставляются муниципальным районам и городским округам Республики Саха (Якутия) (далее - муниципальные образования) в пределах объемов финансовых средств из федерального бюджета, предоставляемых государственному бюджету Республики Саха (Якутия) на реализацию мероприятий по созданию в субъектах Российской Федерации дополнительных мест (групп)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предусмотренных в установленном порядке Министерству образования и науки Республики Саха (Якутия).</w:t>
      </w:r>
    </w:p>
    <w:p w14:paraId="049306B4" w14:textId="77777777" w:rsidR="00454A29" w:rsidRDefault="00454A29">
      <w:pPr>
        <w:pStyle w:val="ConsPlusNormal"/>
        <w:spacing w:before="220"/>
        <w:ind w:firstLine="540"/>
        <w:jc w:val="both"/>
      </w:pPr>
      <w:r>
        <w:lastRenderedPageBreak/>
        <w:t>1.4. Главным распорядителем бюджетных средств в отношении субсидии из государственного бюджета Республики Саха (Якутия) является Министерство образования и науки Республики Саха (Якутия) (далее - Министерство).</w:t>
      </w:r>
    </w:p>
    <w:p w14:paraId="1774E8F5" w14:textId="77777777" w:rsidR="00454A29" w:rsidRDefault="00454A29">
      <w:pPr>
        <w:pStyle w:val="ConsPlusNormal"/>
      </w:pPr>
    </w:p>
    <w:p w14:paraId="7B19B001" w14:textId="77777777" w:rsidR="00454A29" w:rsidRDefault="00454A29">
      <w:pPr>
        <w:pStyle w:val="ConsPlusTitle"/>
        <w:jc w:val="center"/>
        <w:outlineLvl w:val="2"/>
      </w:pPr>
      <w:bookmarkStart w:id="21" w:name="P33494"/>
      <w:bookmarkEnd w:id="21"/>
      <w:r>
        <w:t>II. Условия предоставления субсидии, критерии отбора</w:t>
      </w:r>
    </w:p>
    <w:p w14:paraId="23820EA0" w14:textId="77777777" w:rsidR="00454A29" w:rsidRDefault="00454A29">
      <w:pPr>
        <w:pStyle w:val="ConsPlusTitle"/>
        <w:jc w:val="center"/>
      </w:pPr>
      <w:r>
        <w:t>муниципальных образований для предоставления субсидий</w:t>
      </w:r>
    </w:p>
    <w:p w14:paraId="4F77D821" w14:textId="77777777" w:rsidR="00454A29" w:rsidRDefault="00454A29">
      <w:pPr>
        <w:pStyle w:val="ConsPlusNormal"/>
      </w:pPr>
    </w:p>
    <w:p w14:paraId="43AB592F" w14:textId="77777777" w:rsidR="00454A29" w:rsidRDefault="00454A29">
      <w:pPr>
        <w:pStyle w:val="ConsPlusNormal"/>
        <w:ind w:firstLine="540"/>
        <w:jc w:val="both"/>
      </w:pPr>
      <w:bookmarkStart w:id="22" w:name="P33497"/>
      <w:bookmarkEnd w:id="22"/>
      <w:r>
        <w:t>2.1. Условиями предоставления субсидии из государственного бюджета Республики Саха (Якутия) муниципальным образованиям являются:</w:t>
      </w:r>
    </w:p>
    <w:p w14:paraId="1F8928D5" w14:textId="77777777" w:rsidR="00454A29" w:rsidRDefault="00454A29">
      <w:pPr>
        <w:pStyle w:val="ConsPlusNormal"/>
        <w:spacing w:before="220"/>
        <w:ind w:firstLine="540"/>
        <w:jc w:val="both"/>
      </w:pPr>
      <w:r>
        <w:t>1)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w:t>
      </w:r>
    </w:p>
    <w:p w14:paraId="6BF0352A" w14:textId="77777777" w:rsidR="00454A29" w:rsidRDefault="00454A29">
      <w:pPr>
        <w:pStyle w:val="ConsPlusNormal"/>
        <w:spacing w:before="220"/>
        <w:ind w:firstLine="540"/>
        <w:jc w:val="both"/>
      </w:pPr>
      <w:r>
        <w:t>2) наличие соглашения с Министерством о предоставлении и распределении из государственного бюджета Республики Саха (Якутия) субсидии бюджету муниципального района (городского округа), предусматривающего обязательства муниципального района (городского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w:t>
      </w:r>
    </w:p>
    <w:p w14:paraId="79347887" w14:textId="77777777" w:rsidR="00454A29" w:rsidRDefault="00454A29">
      <w:pPr>
        <w:pStyle w:val="ConsPlusNormal"/>
        <w:spacing w:before="220"/>
        <w:ind w:firstLine="540"/>
        <w:jc w:val="both"/>
      </w:pPr>
      <w:r>
        <w:t xml:space="preserve">3) наличие в муниципальном образовании утвержденной муниципальной программы, включающей в себя, в том числе одно или несколько мероприятий, предусмотренных </w:t>
      </w:r>
      <w:hyperlink w:anchor="P33490" w:history="1">
        <w:r>
          <w:rPr>
            <w:color w:val="0000FF"/>
          </w:rPr>
          <w:t>пунктом 1.2</w:t>
        </w:r>
      </w:hyperlink>
      <w:r>
        <w:t xml:space="preserve"> настоящего Порядка, в целях финансового обеспечения которых предоставляются субсидии;</w:t>
      </w:r>
    </w:p>
    <w:p w14:paraId="6D00BF03" w14:textId="77777777" w:rsidR="00454A29" w:rsidRDefault="00454A29">
      <w:pPr>
        <w:pStyle w:val="ConsPlusNormal"/>
        <w:spacing w:before="220"/>
        <w:ind w:firstLine="540"/>
        <w:jc w:val="both"/>
      </w:pPr>
      <w:r>
        <w:t>4) наличие в муниципальной программе мероприятий, направленных на содействие развитию субъектов малого и среднего предпринимательства, осуществляющих присмотр и уход за детьми дошкольного возраста;</w:t>
      </w:r>
    </w:p>
    <w:p w14:paraId="50ACCC8D" w14:textId="77777777" w:rsidR="00454A29" w:rsidRDefault="00454A29">
      <w:pPr>
        <w:pStyle w:val="ConsPlusNormal"/>
        <w:spacing w:before="220"/>
        <w:ind w:firstLine="540"/>
        <w:jc w:val="both"/>
      </w:pPr>
      <w:r>
        <w:t>5) заключение соглашения о предоставлении субсидии;</w:t>
      </w:r>
    </w:p>
    <w:p w14:paraId="10301DCF" w14:textId="77777777" w:rsidR="00454A29" w:rsidRDefault="00454A29">
      <w:pPr>
        <w:pStyle w:val="ConsPlusNormal"/>
        <w:spacing w:before="220"/>
        <w:ind w:firstLine="540"/>
        <w:jc w:val="both"/>
      </w:pPr>
      <w:r>
        <w:t>6) осуществление комплектования дошкольных групп в негосударственных организациях;</w:t>
      </w:r>
    </w:p>
    <w:p w14:paraId="20F446D9" w14:textId="77777777" w:rsidR="00454A29" w:rsidRDefault="00454A29">
      <w:pPr>
        <w:pStyle w:val="ConsPlusNormal"/>
        <w:spacing w:before="220"/>
        <w:ind w:firstLine="540"/>
        <w:jc w:val="both"/>
      </w:pPr>
      <w:r>
        <w:t>7) обеспечение выравнивания родительской платы за содержание ребенка в дошкольных негосударственных организациях в пределах родительской платы муниципального уровня;</w:t>
      </w:r>
    </w:p>
    <w:p w14:paraId="564EB298" w14:textId="77777777" w:rsidR="00454A29" w:rsidRDefault="00454A29">
      <w:pPr>
        <w:pStyle w:val="ConsPlusNormal"/>
        <w:spacing w:before="220"/>
        <w:ind w:firstLine="540"/>
        <w:jc w:val="both"/>
      </w:pPr>
      <w:r>
        <w:t>8) обеспечение функционирования созданных дошкольных групп в дошкольных негосударственных организациях в течение действия федерального проекта "Содействие занятости женщин - создание условий дошкольного образования для детей в возрасте до трех лет".</w:t>
      </w:r>
    </w:p>
    <w:p w14:paraId="2426612A" w14:textId="77777777" w:rsidR="00454A29" w:rsidRDefault="00454A29">
      <w:pPr>
        <w:pStyle w:val="ConsPlusNormal"/>
        <w:spacing w:before="220"/>
        <w:ind w:firstLine="540"/>
        <w:jc w:val="both"/>
      </w:pPr>
      <w:r>
        <w:t>2.2. Критериями отбора для предоставления субсидий являются:</w:t>
      </w:r>
    </w:p>
    <w:p w14:paraId="6F6A49F8" w14:textId="77777777" w:rsidR="00454A29" w:rsidRDefault="00454A29">
      <w:pPr>
        <w:pStyle w:val="ConsPlusNormal"/>
        <w:spacing w:before="220"/>
        <w:ind w:firstLine="540"/>
        <w:jc w:val="both"/>
      </w:pPr>
      <w:r>
        <w:t>а) наличие с учетом демографического прогноза потребности муниципального образования в обеспечении местами в дошкольных организациях детей в возрасте от 1,5 до 3 лет;</w:t>
      </w:r>
    </w:p>
    <w:p w14:paraId="5BA49465" w14:textId="77777777" w:rsidR="00454A29" w:rsidRDefault="00454A29">
      <w:pPr>
        <w:pStyle w:val="ConsPlusNormal"/>
        <w:spacing w:before="220"/>
        <w:ind w:firstLine="540"/>
        <w:jc w:val="both"/>
      </w:pPr>
      <w:r>
        <w:t>б) наличие в муниципальном образовании субъектов малого и среднего предпринимательства, осуществляющих присмотр и уход за детьми дошкольного возраста.</w:t>
      </w:r>
    </w:p>
    <w:p w14:paraId="53DDD6B5" w14:textId="77777777" w:rsidR="00454A29" w:rsidRDefault="00454A29">
      <w:pPr>
        <w:pStyle w:val="ConsPlusNormal"/>
        <w:spacing w:before="220"/>
        <w:ind w:firstLine="540"/>
        <w:jc w:val="both"/>
      </w:pPr>
      <w:r>
        <w:t>2.3. При оценке Заявок муниципальных образований приоритет имеют следующие показатели:</w:t>
      </w:r>
    </w:p>
    <w:p w14:paraId="0082CCCD" w14:textId="77777777" w:rsidR="00454A29" w:rsidRDefault="00454A29">
      <w:pPr>
        <w:pStyle w:val="ConsPlusNormal"/>
        <w:spacing w:before="220"/>
        <w:ind w:firstLine="540"/>
        <w:jc w:val="both"/>
      </w:pPr>
      <w:r>
        <w:t>наибольшая потребность в обеспечении местами детей в возрасте от 1,5 месяцев до 3 лет в дошкольных организациях;</w:t>
      </w:r>
    </w:p>
    <w:p w14:paraId="34F78F4B" w14:textId="77777777" w:rsidR="00454A29" w:rsidRDefault="00454A29">
      <w:pPr>
        <w:pStyle w:val="ConsPlusNormal"/>
        <w:spacing w:before="220"/>
        <w:ind w:firstLine="540"/>
        <w:jc w:val="both"/>
      </w:pPr>
      <w:r>
        <w:t>наибольшее количество дополнительно создаваемых мест при наименьшей стоимости одного создаваемого места в дошкольных организациях.</w:t>
      </w:r>
    </w:p>
    <w:p w14:paraId="1840FA47" w14:textId="77777777" w:rsidR="00454A29" w:rsidRDefault="00454A29">
      <w:pPr>
        <w:pStyle w:val="ConsPlusNormal"/>
        <w:spacing w:before="220"/>
        <w:ind w:firstLine="540"/>
        <w:jc w:val="both"/>
      </w:pPr>
      <w:r>
        <w:lastRenderedPageBreak/>
        <w:t>2.4. При прочих равных условиях учитывается дата подачи Заявки.</w:t>
      </w:r>
    </w:p>
    <w:p w14:paraId="0FCE4675" w14:textId="77777777" w:rsidR="00454A29" w:rsidRDefault="00454A29">
      <w:pPr>
        <w:pStyle w:val="ConsPlusNormal"/>
      </w:pPr>
    </w:p>
    <w:p w14:paraId="7771AB5D" w14:textId="77777777" w:rsidR="00454A29" w:rsidRDefault="00454A29">
      <w:pPr>
        <w:pStyle w:val="ConsPlusTitle"/>
        <w:jc w:val="center"/>
        <w:outlineLvl w:val="2"/>
      </w:pPr>
      <w:r>
        <w:t>III. Порядок отбора муниципальных образований</w:t>
      </w:r>
    </w:p>
    <w:p w14:paraId="5EC80176" w14:textId="77777777" w:rsidR="00454A29" w:rsidRDefault="00454A29">
      <w:pPr>
        <w:pStyle w:val="ConsPlusNormal"/>
      </w:pPr>
    </w:p>
    <w:p w14:paraId="39ECF90A" w14:textId="77777777" w:rsidR="00454A29" w:rsidRDefault="00454A29">
      <w:pPr>
        <w:pStyle w:val="ConsPlusNormal"/>
        <w:ind w:firstLine="540"/>
        <w:jc w:val="both"/>
      </w:pPr>
      <w:r>
        <w:t>3.1. Для определения потребности муниципальных образований в средствах субсидии и готовности создавать новые места для детей в возрасте от 1,5 до 3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Министерство направляет соответствующее извещение о проведении отбора муниципальным образованиям (далее - Извещение) и размещает его на своем официальном сайте в информационно-телекоммуникационной сети "Интернет" (далее - Сайт) не позднее чем за 10 рабочих дней до даты начала приема заявок муниципальных образований.</w:t>
      </w:r>
    </w:p>
    <w:p w14:paraId="531AC10F" w14:textId="77777777" w:rsidR="00454A29" w:rsidRDefault="00454A29">
      <w:pPr>
        <w:pStyle w:val="ConsPlusNormal"/>
        <w:spacing w:before="220"/>
        <w:ind w:firstLine="540"/>
        <w:jc w:val="both"/>
      </w:pPr>
      <w:r>
        <w:t>3.2. Извещение должно содержать следующие сведения:</w:t>
      </w:r>
    </w:p>
    <w:p w14:paraId="446D40C7" w14:textId="77777777" w:rsidR="00454A29" w:rsidRDefault="00454A29">
      <w:pPr>
        <w:pStyle w:val="ConsPlusNormal"/>
        <w:spacing w:before="220"/>
        <w:ind w:firstLine="540"/>
        <w:jc w:val="both"/>
      </w:pPr>
      <w:r>
        <w:t>место, дату и время приема заявок;</w:t>
      </w:r>
    </w:p>
    <w:p w14:paraId="2E5AF473" w14:textId="77777777" w:rsidR="00454A29" w:rsidRDefault="00454A29">
      <w:pPr>
        <w:pStyle w:val="ConsPlusNormal"/>
        <w:spacing w:before="220"/>
        <w:ind w:firstLine="540"/>
        <w:jc w:val="both"/>
      </w:pPr>
      <w:r>
        <w:t>образец заявки;</w:t>
      </w:r>
    </w:p>
    <w:p w14:paraId="7260B7AA" w14:textId="77777777" w:rsidR="00454A29" w:rsidRDefault="00454A29">
      <w:pPr>
        <w:pStyle w:val="ConsPlusNormal"/>
        <w:spacing w:before="220"/>
        <w:ind w:firstLine="540"/>
        <w:jc w:val="both"/>
      </w:pPr>
      <w:r>
        <w:t>состав заявки;</w:t>
      </w:r>
    </w:p>
    <w:p w14:paraId="0372F770" w14:textId="77777777" w:rsidR="00454A29" w:rsidRDefault="00454A29">
      <w:pPr>
        <w:pStyle w:val="ConsPlusNormal"/>
        <w:spacing w:before="220"/>
        <w:ind w:firstLine="540"/>
        <w:jc w:val="both"/>
      </w:pPr>
      <w:r>
        <w:t>порядок и сроки рассмотрения заявок;</w:t>
      </w:r>
    </w:p>
    <w:p w14:paraId="6C8B2EC5" w14:textId="77777777" w:rsidR="00454A29" w:rsidRDefault="00454A29">
      <w:pPr>
        <w:pStyle w:val="ConsPlusNormal"/>
        <w:spacing w:before="220"/>
        <w:ind w:firstLine="540"/>
        <w:jc w:val="both"/>
      </w:pPr>
      <w:r>
        <w:t>порядок и сроки объявления результатов отбора;</w:t>
      </w:r>
    </w:p>
    <w:p w14:paraId="328E266A" w14:textId="77777777" w:rsidR="00454A29" w:rsidRDefault="00454A29">
      <w:pPr>
        <w:pStyle w:val="ConsPlusNormal"/>
        <w:spacing w:before="220"/>
        <w:ind w:firstLine="540"/>
        <w:jc w:val="both"/>
      </w:pPr>
      <w:r>
        <w:t>контактную информацию (телефон, адрес электронной почты) должностных лиц, ответственных за прием заявок.</w:t>
      </w:r>
    </w:p>
    <w:p w14:paraId="12648B40" w14:textId="77777777" w:rsidR="00454A29" w:rsidRDefault="00454A29">
      <w:pPr>
        <w:pStyle w:val="ConsPlusNormal"/>
        <w:spacing w:before="220"/>
        <w:ind w:firstLine="540"/>
        <w:jc w:val="both"/>
      </w:pPr>
      <w:r>
        <w:t>3.3. Для получения субсидии муниципальные образования представляют в Министерство заявку на участие в отборе для предоставления субсидии (далее - Заявка).</w:t>
      </w:r>
    </w:p>
    <w:p w14:paraId="363EC874" w14:textId="77777777" w:rsidR="00454A29" w:rsidRDefault="00454A29">
      <w:pPr>
        <w:pStyle w:val="ConsPlusNormal"/>
        <w:spacing w:before="220"/>
        <w:ind w:firstLine="540"/>
        <w:jc w:val="both"/>
      </w:pPr>
      <w:r>
        <w:t xml:space="preserve">3.4. Отбор муниципальных образований для предоставления субсидий муниципальным образованиям на финансирование мероприятий, указанных в </w:t>
      </w:r>
      <w:hyperlink w:anchor="P33490" w:history="1">
        <w:r>
          <w:rPr>
            <w:color w:val="0000FF"/>
          </w:rPr>
          <w:t>пункте 1.2</w:t>
        </w:r>
      </w:hyperlink>
      <w:r>
        <w:t xml:space="preserve"> настоящего Порядка (далее - Отбор), проводится конкурсной комиссией, создаваемой Министерством (далее - Комиссия).</w:t>
      </w:r>
    </w:p>
    <w:p w14:paraId="219CD871" w14:textId="77777777" w:rsidR="00454A29" w:rsidRDefault="00454A29">
      <w:pPr>
        <w:pStyle w:val="ConsPlusNormal"/>
        <w:spacing w:before="220"/>
        <w:ind w:firstLine="540"/>
        <w:jc w:val="both"/>
      </w:pPr>
      <w:r>
        <w:t>3.5. Организационно-техническое и информационное обеспечение проведения Отбора осуществляет уполномоченная Министерством подведомственная ему организация (далее - уполномоченная организация).</w:t>
      </w:r>
    </w:p>
    <w:p w14:paraId="192839C6" w14:textId="77777777" w:rsidR="00454A29" w:rsidRDefault="00454A29">
      <w:pPr>
        <w:pStyle w:val="ConsPlusNormal"/>
        <w:spacing w:before="220"/>
        <w:ind w:firstLine="540"/>
        <w:jc w:val="both"/>
      </w:pPr>
      <w:r>
        <w:t>3.6. Муниципальные образования представляют в уполномоченную организацию Заявку в соответствии со сроком представления Заявки, указанным в Извещении.</w:t>
      </w:r>
    </w:p>
    <w:p w14:paraId="373D28C9" w14:textId="77777777" w:rsidR="00454A29" w:rsidRDefault="00454A29">
      <w:pPr>
        <w:pStyle w:val="ConsPlusNormal"/>
        <w:spacing w:before="220"/>
        <w:ind w:firstLine="540"/>
        <w:jc w:val="both"/>
      </w:pPr>
      <w:r>
        <w:t>3.7. В составе Заявки муниципальное образование предоставляет:</w:t>
      </w:r>
    </w:p>
    <w:p w14:paraId="40528847" w14:textId="77777777" w:rsidR="00454A29" w:rsidRDefault="00454A29">
      <w:pPr>
        <w:pStyle w:val="ConsPlusNormal"/>
        <w:spacing w:before="220"/>
        <w:ind w:firstLine="540"/>
        <w:jc w:val="both"/>
      </w:pPr>
      <w:r>
        <w:t xml:space="preserve">а) заверенную в установленном порядке копию нормативно-правового акта муниципального образования, включающую в себя одно или несколько мероприятий, предусмотренных </w:t>
      </w:r>
      <w:hyperlink w:anchor="P33494" w:history="1">
        <w:r>
          <w:rPr>
            <w:color w:val="0000FF"/>
          </w:rPr>
          <w:t>пунктом 2</w:t>
        </w:r>
      </w:hyperlink>
      <w:r>
        <w:t xml:space="preserve"> настоящего Порядка;</w:t>
      </w:r>
    </w:p>
    <w:p w14:paraId="3942DCCB" w14:textId="77777777" w:rsidR="00454A29" w:rsidRDefault="00454A29">
      <w:pPr>
        <w:pStyle w:val="ConsPlusNormal"/>
        <w:spacing w:before="220"/>
        <w:ind w:firstLine="540"/>
        <w:jc w:val="both"/>
      </w:pPr>
      <w:r>
        <w:t>б) сведения о наличии в муниципальном образовании очередности детей в возрасте от 1,5 до 3 лет;</w:t>
      </w:r>
    </w:p>
    <w:p w14:paraId="551D18C8" w14:textId="77777777" w:rsidR="00454A29" w:rsidRDefault="00454A29">
      <w:pPr>
        <w:pStyle w:val="ConsPlusNormal"/>
        <w:spacing w:before="220"/>
        <w:ind w:firstLine="540"/>
        <w:jc w:val="both"/>
      </w:pPr>
      <w:r>
        <w:t>в) сведения о наличии в муниципальном образовании субъектов малого и среднего предпринимательства, осуществляющих уход и присмотр за детьми дошкольного возраста;</w:t>
      </w:r>
    </w:p>
    <w:p w14:paraId="584CA3F8" w14:textId="77777777" w:rsidR="00454A29" w:rsidRDefault="00454A29">
      <w:pPr>
        <w:pStyle w:val="ConsPlusNormal"/>
        <w:spacing w:before="220"/>
        <w:ind w:firstLine="540"/>
        <w:jc w:val="both"/>
      </w:pPr>
      <w:r>
        <w:t xml:space="preserve">г) сведения о наличии в муниципальном образовании утвержденного плана мероприятий (дорожной карты), обеспечивающего достижение к 2021 году 100% доступности дошкольного </w:t>
      </w:r>
      <w:r>
        <w:lastRenderedPageBreak/>
        <w:t>образования для детей в возрасте от 1,5 до 3 лет.</w:t>
      </w:r>
    </w:p>
    <w:p w14:paraId="0F3B4FD7" w14:textId="77777777" w:rsidR="00454A29" w:rsidRDefault="00454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4A29" w14:paraId="478882D7" w14:textId="77777777">
        <w:trPr>
          <w:jc w:val="center"/>
        </w:trPr>
        <w:tc>
          <w:tcPr>
            <w:tcW w:w="9294" w:type="dxa"/>
            <w:tcBorders>
              <w:top w:val="nil"/>
              <w:left w:val="single" w:sz="24" w:space="0" w:color="CED3F1"/>
              <w:bottom w:val="nil"/>
              <w:right w:val="single" w:sz="24" w:space="0" w:color="F4F3F8"/>
            </w:tcBorders>
            <w:shd w:val="clear" w:color="auto" w:fill="F4F3F8"/>
          </w:tcPr>
          <w:p w14:paraId="7172B069" w14:textId="77777777" w:rsidR="00454A29" w:rsidRDefault="00454A29">
            <w:pPr>
              <w:pStyle w:val="ConsPlusNormal"/>
              <w:jc w:val="both"/>
            </w:pPr>
            <w:r>
              <w:rPr>
                <w:color w:val="392C69"/>
              </w:rPr>
              <w:t>КонсультантПлюс: примечание.</w:t>
            </w:r>
          </w:p>
          <w:p w14:paraId="57E6AD05" w14:textId="77777777" w:rsidR="00454A29" w:rsidRDefault="00454A29">
            <w:pPr>
              <w:pStyle w:val="ConsPlusNormal"/>
              <w:jc w:val="both"/>
            </w:pPr>
            <w:r>
              <w:rPr>
                <w:color w:val="392C69"/>
              </w:rPr>
              <w:t>В официальном тексте документа, видимо, допущена опечатка: пункт 6.6 в данном порядке отсутствует.</w:t>
            </w:r>
          </w:p>
        </w:tc>
      </w:tr>
    </w:tbl>
    <w:p w14:paraId="5B104CC4" w14:textId="77777777" w:rsidR="00454A29" w:rsidRDefault="00454A29">
      <w:pPr>
        <w:pStyle w:val="ConsPlusNormal"/>
        <w:spacing w:before="280"/>
        <w:ind w:firstLine="540"/>
        <w:jc w:val="both"/>
      </w:pPr>
      <w:r>
        <w:t>3.8. Уполномоченная организация регистрирует представленные Заявки в день их поступления, проверяет правильность оформления и комплектность Заявок в соответствии с пунктом 6.6 настоящего Порядка.</w:t>
      </w:r>
    </w:p>
    <w:p w14:paraId="1B5DF32A" w14:textId="77777777" w:rsidR="00454A29" w:rsidRDefault="00454A29">
      <w:pPr>
        <w:pStyle w:val="ConsPlusNormal"/>
        <w:spacing w:before="220"/>
        <w:ind w:firstLine="540"/>
        <w:jc w:val="both"/>
      </w:pPr>
      <w:r>
        <w:t>3.9. В случае представления Заявки, не соответствующей требованиям пункта 6.6, указанная Заявка не допускается Комиссией к участию в Отборе.</w:t>
      </w:r>
    </w:p>
    <w:p w14:paraId="7E4664AD" w14:textId="77777777" w:rsidR="00454A29" w:rsidRDefault="00454A29">
      <w:pPr>
        <w:pStyle w:val="ConsPlusNormal"/>
        <w:spacing w:before="220"/>
        <w:ind w:firstLine="540"/>
        <w:jc w:val="both"/>
      </w:pPr>
      <w:r>
        <w:t>3.10. В случае представления Заявки по истечении установленного срока, указанная Заявка не допускается Комиссией к участию в Отборе.</w:t>
      </w:r>
    </w:p>
    <w:p w14:paraId="6D91398E" w14:textId="77777777" w:rsidR="00454A29" w:rsidRDefault="00454A29">
      <w:pPr>
        <w:pStyle w:val="ConsPlusNormal"/>
        <w:spacing w:before="220"/>
        <w:ind w:firstLine="540"/>
        <w:jc w:val="both"/>
      </w:pPr>
      <w:r>
        <w:t>3.11. Муниципальные образования вправе отозвать Заявку, направив в уполномоченную организацию соответствующее письменное уведомление.</w:t>
      </w:r>
    </w:p>
    <w:p w14:paraId="7759EE66" w14:textId="77777777" w:rsidR="00454A29" w:rsidRDefault="00454A29">
      <w:pPr>
        <w:pStyle w:val="ConsPlusNormal"/>
        <w:spacing w:before="220"/>
        <w:ind w:firstLine="540"/>
        <w:jc w:val="both"/>
      </w:pPr>
      <w:r>
        <w:t>3.12. Заявка считается отозванной со дня поступления в уполномоченную организацию письменного уведомления, но не позднее даты окончания рассмотрения Заявок.</w:t>
      </w:r>
    </w:p>
    <w:p w14:paraId="501BBBF6" w14:textId="77777777" w:rsidR="00454A29" w:rsidRDefault="00454A29">
      <w:pPr>
        <w:pStyle w:val="ConsPlusNormal"/>
        <w:spacing w:before="220"/>
        <w:ind w:firstLine="540"/>
        <w:jc w:val="both"/>
      </w:pPr>
      <w:r>
        <w:t>3.13. Заявки, допущенные Комиссией к участию в Отборе, муниципальным образованиям не возвращаются.</w:t>
      </w:r>
    </w:p>
    <w:p w14:paraId="53069E6A" w14:textId="77777777" w:rsidR="00454A29" w:rsidRDefault="00454A29">
      <w:pPr>
        <w:pStyle w:val="ConsPlusNormal"/>
        <w:spacing w:before="220"/>
        <w:ind w:firstLine="540"/>
        <w:jc w:val="both"/>
      </w:pPr>
      <w:r>
        <w:t>3.14. В случае принятия решения о переносе даты окончания приема Заявок Министерство размещает объявление о продлении срока Извещения на Сайте, не позднее 3 рабочих дней со дня принятия соответствующего решения.</w:t>
      </w:r>
    </w:p>
    <w:p w14:paraId="3FF81E60" w14:textId="77777777" w:rsidR="00454A29" w:rsidRDefault="00454A29">
      <w:pPr>
        <w:pStyle w:val="ConsPlusNormal"/>
        <w:spacing w:before="220"/>
        <w:ind w:firstLine="540"/>
        <w:jc w:val="both"/>
      </w:pPr>
      <w:r>
        <w:t>3.15. Комиссия в рамках проведения Отбора в течение 15 рабочих дней с момента окончания срока приема Заявок осуществляет:</w:t>
      </w:r>
    </w:p>
    <w:p w14:paraId="2CB228DC" w14:textId="77777777" w:rsidR="00454A29" w:rsidRDefault="00454A29">
      <w:pPr>
        <w:pStyle w:val="ConsPlusNormal"/>
        <w:spacing w:before="220"/>
        <w:ind w:firstLine="540"/>
        <w:jc w:val="both"/>
      </w:pPr>
      <w:r>
        <w:t>рассмотрение и допуск к участию в Отборе представленных Заявок;</w:t>
      </w:r>
    </w:p>
    <w:p w14:paraId="49D64D8C" w14:textId="77777777" w:rsidR="00454A29" w:rsidRDefault="00454A29">
      <w:pPr>
        <w:pStyle w:val="ConsPlusNormal"/>
        <w:spacing w:before="220"/>
        <w:ind w:firstLine="540"/>
        <w:jc w:val="both"/>
      </w:pPr>
      <w:r>
        <w:t>оценку представленных Заявок на предмет соответствия требованиям, установленным настоящим Порядком;</w:t>
      </w:r>
    </w:p>
    <w:p w14:paraId="3D69D498" w14:textId="77777777" w:rsidR="00454A29" w:rsidRDefault="00454A29">
      <w:pPr>
        <w:pStyle w:val="ConsPlusNormal"/>
        <w:spacing w:before="220"/>
        <w:ind w:firstLine="540"/>
        <w:jc w:val="both"/>
      </w:pPr>
      <w:r>
        <w:t>определение муниципальных образований для предоставления субсидии;</w:t>
      </w:r>
    </w:p>
    <w:p w14:paraId="200D91CE" w14:textId="77777777" w:rsidR="00454A29" w:rsidRDefault="00454A29">
      <w:pPr>
        <w:pStyle w:val="ConsPlusNormal"/>
        <w:spacing w:before="220"/>
        <w:ind w:firstLine="540"/>
        <w:jc w:val="both"/>
      </w:pPr>
      <w:r>
        <w:t>определение объемов субсидий муниципальным образованиям в соответствии с настоящим Порядком;</w:t>
      </w:r>
    </w:p>
    <w:p w14:paraId="439F435C" w14:textId="77777777" w:rsidR="00454A29" w:rsidRDefault="00454A29">
      <w:pPr>
        <w:pStyle w:val="ConsPlusNormal"/>
        <w:spacing w:before="220"/>
        <w:ind w:firstLine="540"/>
        <w:jc w:val="both"/>
      </w:pPr>
      <w:r>
        <w:t>оформление протокола по результатам рассмотрения Заявок Комиссией (далее - протокол заседания Комиссии);</w:t>
      </w:r>
    </w:p>
    <w:p w14:paraId="4FE7EAC0" w14:textId="77777777" w:rsidR="00454A29" w:rsidRDefault="00454A29">
      <w:pPr>
        <w:pStyle w:val="ConsPlusNormal"/>
        <w:spacing w:before="220"/>
        <w:ind w:firstLine="540"/>
        <w:jc w:val="both"/>
      </w:pPr>
      <w:r>
        <w:t>размещение протокола заседания Комиссии на Сайте;</w:t>
      </w:r>
    </w:p>
    <w:p w14:paraId="0F25A8C9" w14:textId="77777777" w:rsidR="00454A29" w:rsidRDefault="00454A29">
      <w:pPr>
        <w:pStyle w:val="ConsPlusNormal"/>
      </w:pPr>
    </w:p>
    <w:p w14:paraId="32C8E31D" w14:textId="77777777" w:rsidR="00454A29" w:rsidRDefault="00454A29">
      <w:pPr>
        <w:pStyle w:val="ConsPlusTitle"/>
        <w:jc w:val="center"/>
        <w:outlineLvl w:val="2"/>
      </w:pPr>
      <w:r>
        <w:t>IV. Распределение субсидий</w:t>
      </w:r>
    </w:p>
    <w:p w14:paraId="5FBD9CEF" w14:textId="77777777" w:rsidR="00454A29" w:rsidRDefault="00454A29">
      <w:pPr>
        <w:pStyle w:val="ConsPlusTitle"/>
        <w:jc w:val="center"/>
      </w:pPr>
      <w:r>
        <w:t>между муниципальными образованиями</w:t>
      </w:r>
    </w:p>
    <w:p w14:paraId="083A6F05" w14:textId="77777777" w:rsidR="00454A29" w:rsidRDefault="00454A29">
      <w:pPr>
        <w:pStyle w:val="ConsPlusNormal"/>
      </w:pPr>
    </w:p>
    <w:p w14:paraId="44C1BF66" w14:textId="77777777" w:rsidR="00454A29" w:rsidRDefault="00454A29">
      <w:pPr>
        <w:pStyle w:val="ConsPlusNormal"/>
        <w:ind w:firstLine="540"/>
        <w:jc w:val="both"/>
      </w:pPr>
      <w:r>
        <w:t>4.1. Главный распорядитель бюджетных средств не позднее трех рабочих дней после подписания протокола заседания Комиссии:</w:t>
      </w:r>
    </w:p>
    <w:p w14:paraId="57D888D1" w14:textId="77777777" w:rsidR="00454A29" w:rsidRDefault="00454A29">
      <w:pPr>
        <w:pStyle w:val="ConsPlusNormal"/>
        <w:spacing w:before="220"/>
        <w:ind w:firstLine="540"/>
        <w:jc w:val="both"/>
      </w:pPr>
      <w:r>
        <w:t>утверждает приказом распределение субсидии;</w:t>
      </w:r>
    </w:p>
    <w:p w14:paraId="29058ED2" w14:textId="77777777" w:rsidR="00454A29" w:rsidRDefault="00454A29">
      <w:pPr>
        <w:pStyle w:val="ConsPlusNormal"/>
        <w:spacing w:before="220"/>
        <w:ind w:firstLine="540"/>
        <w:jc w:val="both"/>
      </w:pPr>
      <w:r>
        <w:lastRenderedPageBreak/>
        <w:t>разрабатывает проект постановления Правительства Республики Саха (Якутия) о распределении субсидий из государственного бюджета местным бюджетам Республики Саха (Якутия) и вносит его в Правительство Республики Саха (Якутия) в установленном порядке.</w:t>
      </w:r>
    </w:p>
    <w:p w14:paraId="5544E069" w14:textId="77777777" w:rsidR="00454A29" w:rsidRDefault="00454A29">
      <w:pPr>
        <w:pStyle w:val="ConsPlusNormal"/>
        <w:spacing w:before="220"/>
        <w:ind w:firstLine="540"/>
        <w:jc w:val="both"/>
      </w:pPr>
      <w:r>
        <w:t>4.2. Предоставление субсидий по итогам Отбора осуществляется на основании соглашения о предоставлении субсидии, заключаемого главным распорядителем бюджетных средств с муниципальным образованием (далее - соглашение).</w:t>
      </w:r>
    </w:p>
    <w:p w14:paraId="4E61F8FB" w14:textId="77777777" w:rsidR="00454A29" w:rsidRDefault="00454A29">
      <w:pPr>
        <w:pStyle w:val="ConsPlusNormal"/>
        <w:spacing w:before="220"/>
        <w:ind w:firstLine="540"/>
        <w:jc w:val="both"/>
      </w:pPr>
      <w:r>
        <w:t>Форма соглашения утверждается главным распорядителем бюджетных средств в соответствии с типовой формой соглашения, утверждаемой Министерством финансов Республики Саха (Якутия).</w:t>
      </w:r>
    </w:p>
    <w:p w14:paraId="1F99910C" w14:textId="77777777" w:rsidR="00454A29" w:rsidRDefault="00454A29">
      <w:pPr>
        <w:pStyle w:val="ConsPlusNormal"/>
        <w:spacing w:before="220"/>
        <w:ind w:firstLine="540"/>
        <w:jc w:val="both"/>
      </w:pPr>
      <w:r>
        <w:t xml:space="preserve">4.3. При заключении соглашения муниципальное образование представляет главному распорядителю бюджетных средств отчет об исполнении условий предоставления субсидий, предусмотренных </w:t>
      </w:r>
      <w:hyperlink w:anchor="P33497" w:history="1">
        <w:r>
          <w:rPr>
            <w:color w:val="0000FF"/>
          </w:rPr>
          <w:t>пунктом 2.1</w:t>
        </w:r>
      </w:hyperlink>
      <w:r>
        <w:t xml:space="preserve"> настоящего Порядка.</w:t>
      </w:r>
    </w:p>
    <w:p w14:paraId="615E475C" w14:textId="77777777" w:rsidR="00454A29" w:rsidRDefault="00454A29">
      <w:pPr>
        <w:pStyle w:val="ConsPlusNormal"/>
        <w:spacing w:before="220"/>
        <w:ind w:firstLine="540"/>
        <w:jc w:val="both"/>
      </w:pPr>
      <w:r>
        <w:t>4.4. Соглашение, заключаемое в соответствии с настоящим Порядком, должно содержать:</w:t>
      </w:r>
    </w:p>
    <w:p w14:paraId="78E471A1" w14:textId="77777777" w:rsidR="00454A29" w:rsidRDefault="00454A29">
      <w:pPr>
        <w:pStyle w:val="ConsPlusNormal"/>
        <w:spacing w:before="220"/>
        <w:ind w:firstLine="540"/>
        <w:jc w:val="both"/>
      </w:pPr>
      <w:r>
        <w:t>а) размер субсидии, порядок, условия и сроки ее перечисления в бюджет муниципального образования;</w:t>
      </w:r>
    </w:p>
    <w:p w14:paraId="6EE82C31" w14:textId="77777777" w:rsidR="00454A29" w:rsidRDefault="00454A29">
      <w:pPr>
        <w:pStyle w:val="ConsPlusNormal"/>
        <w:spacing w:before="220"/>
        <w:ind w:firstLine="540"/>
        <w:jc w:val="both"/>
      </w:pPr>
      <w:r>
        <w:t xml:space="preserve">б) значение показателя результативности использования субсидии, предусмотренного </w:t>
      </w:r>
      <w:hyperlink w:anchor="P33578" w:history="1">
        <w:r>
          <w:rPr>
            <w:color w:val="0000FF"/>
          </w:rPr>
          <w:t>пунктом 5.1</w:t>
        </w:r>
      </w:hyperlink>
      <w:r>
        <w:t xml:space="preserve"> настоящего Порядка, который должен соответствовать значению целевых показателей (индикаторов) государственной программы Республики Саха (Якутия), и обязательства муниципального образования по его достижению;</w:t>
      </w:r>
    </w:p>
    <w:p w14:paraId="5BF433A2" w14:textId="77777777" w:rsidR="00454A29" w:rsidRDefault="00454A29">
      <w:pPr>
        <w:pStyle w:val="ConsPlusNormal"/>
        <w:spacing w:before="220"/>
        <w:ind w:firstLine="540"/>
        <w:jc w:val="both"/>
      </w:pPr>
      <w:r>
        <w:t>в) порядок и сроки представления отчетности об осуществлении расходов бюджета муниципального образования, а также о достижении значения показателя результативности использования субсидии;</w:t>
      </w:r>
    </w:p>
    <w:p w14:paraId="426DB3FB" w14:textId="77777777" w:rsidR="00454A29" w:rsidRDefault="00454A29">
      <w:pPr>
        <w:pStyle w:val="ConsPlusNormal"/>
        <w:spacing w:before="220"/>
        <w:ind w:firstLine="540"/>
        <w:jc w:val="both"/>
      </w:pPr>
      <w:r>
        <w:t>г) порядок осуществления контроля за выполнением муниципальным образованием обязательств, предусмотренных соглашением;</w:t>
      </w:r>
    </w:p>
    <w:p w14:paraId="059E6DC4" w14:textId="77777777" w:rsidR="00454A29" w:rsidRDefault="00454A29">
      <w:pPr>
        <w:pStyle w:val="ConsPlusNormal"/>
        <w:spacing w:before="220"/>
        <w:ind w:firstLine="540"/>
        <w:jc w:val="both"/>
      </w:pPr>
      <w:r>
        <w:t>д) последствия недостижения муниципальным образованием установленных значений показателей результативности использования субсидии;</w:t>
      </w:r>
    </w:p>
    <w:p w14:paraId="29E5B9EB" w14:textId="77777777" w:rsidR="00454A29" w:rsidRDefault="00454A29">
      <w:pPr>
        <w:pStyle w:val="ConsPlusNormal"/>
        <w:spacing w:before="220"/>
        <w:ind w:firstLine="540"/>
        <w:jc w:val="both"/>
      </w:pPr>
      <w:r>
        <w:t xml:space="preserve">е) обязательство муниципального образования направлять субсидию на финансовое обеспечение мероприятий по созданию дополнительных мест для детей в возрасте от 1,5 до 3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реализуемых в соответствии с </w:t>
      </w:r>
      <w:hyperlink w:anchor="P33490" w:history="1">
        <w:r>
          <w:rPr>
            <w:color w:val="0000FF"/>
          </w:rPr>
          <w:t>пунктом 1.2</w:t>
        </w:r>
      </w:hyperlink>
      <w:r>
        <w:t xml:space="preserve"> настоящего Порядка;</w:t>
      </w:r>
    </w:p>
    <w:p w14:paraId="6D1A2B4F" w14:textId="77777777" w:rsidR="00454A29" w:rsidRDefault="00454A29">
      <w:pPr>
        <w:pStyle w:val="ConsPlusNormal"/>
        <w:spacing w:before="220"/>
        <w:ind w:firstLine="540"/>
        <w:jc w:val="both"/>
      </w:pPr>
      <w:r>
        <w:t>ж) сроки и порядок представления отчетности об осуществлении расходов,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по созданию дополнительных мест;</w:t>
      </w:r>
    </w:p>
    <w:p w14:paraId="1FFC65B8" w14:textId="77777777" w:rsidR="00454A29" w:rsidRDefault="00454A29">
      <w:pPr>
        <w:pStyle w:val="ConsPlusNormal"/>
        <w:spacing w:before="220"/>
        <w:ind w:firstLine="540"/>
        <w:jc w:val="both"/>
      </w:pPr>
      <w:r>
        <w:t>з) ответственность сторон за нарушение условий соглашения;</w:t>
      </w:r>
    </w:p>
    <w:p w14:paraId="30D70C9A" w14:textId="77777777" w:rsidR="00454A29" w:rsidRDefault="00454A29">
      <w:pPr>
        <w:pStyle w:val="ConsPlusNormal"/>
        <w:spacing w:before="220"/>
        <w:ind w:firstLine="540"/>
        <w:jc w:val="both"/>
      </w:pPr>
      <w:r>
        <w:t>и) условие о вступлении в силу соглашения.</w:t>
      </w:r>
    </w:p>
    <w:p w14:paraId="450B31BB" w14:textId="77777777" w:rsidR="00454A29" w:rsidRDefault="00454A29">
      <w:pPr>
        <w:pStyle w:val="ConsPlusNormal"/>
        <w:spacing w:before="220"/>
        <w:ind w:firstLine="540"/>
        <w:jc w:val="both"/>
      </w:pPr>
      <w:r>
        <w:t xml:space="preserve">4.5.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w:t>
      </w:r>
      <w:r>
        <w:lastRenderedPageBreak/>
        <w:t>непреодолимой силы, изменения значений целевых показателей и индикаторов государственной программы Республики Саха (Якутия) "Развитие образования Республики Саха (Якутия) на 2020 - 2024 годы и на плановый период до 2026 года", а также в случае существенного (более чем на 20%) сокращения размера субсидии.</w:t>
      </w:r>
    </w:p>
    <w:p w14:paraId="597FBF34" w14:textId="77777777" w:rsidR="00454A29" w:rsidRDefault="00454A29">
      <w:pPr>
        <w:pStyle w:val="ConsPlusNormal"/>
        <w:spacing w:before="220"/>
        <w:ind w:firstLine="540"/>
        <w:jc w:val="both"/>
      </w:pPr>
      <w:r>
        <w:t>Допускается внесение в соглашение изменений, предусматривающих увеличение значений показателей результативности использования субсидии, без увеличения размера субсидии.</w:t>
      </w:r>
    </w:p>
    <w:p w14:paraId="14D719CA" w14:textId="77777777" w:rsidR="00454A29" w:rsidRDefault="00454A29">
      <w:pPr>
        <w:pStyle w:val="ConsPlusNormal"/>
        <w:spacing w:before="220"/>
        <w:ind w:firstLine="540"/>
        <w:jc w:val="both"/>
      </w:pPr>
      <w:r>
        <w:t>4.6. Перечисление средств субсидии в бюджет муниципального образования осуществляется на основании Заявки муниципального образования о перечислении субсидии, предоставляемой главному распорядителю бюджетных средств. В такой Заявке указываются необходимый объем средств в пределах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при формировании прогноза кассовых выплат по расходам государственного бюджета, необходимого для составления в установленном порядке кассового плана исполнения государственного бюджета.</w:t>
      </w:r>
    </w:p>
    <w:p w14:paraId="1B052371" w14:textId="77777777" w:rsidR="00454A29" w:rsidRDefault="00454A29">
      <w:pPr>
        <w:pStyle w:val="ConsPlusNormal"/>
        <w:spacing w:before="220"/>
        <w:ind w:firstLine="540"/>
        <w:jc w:val="both"/>
      </w:pPr>
      <w:r>
        <w:t>4.7. Перечисление субсидии осуществляется в установленном порядке на счета, открытые в территориальном органе Федерального казначейства.</w:t>
      </w:r>
    </w:p>
    <w:p w14:paraId="2F2D5D59" w14:textId="77777777" w:rsidR="00454A29" w:rsidRDefault="00454A29">
      <w:pPr>
        <w:pStyle w:val="ConsPlusNormal"/>
      </w:pPr>
    </w:p>
    <w:p w14:paraId="7A62FB1E" w14:textId="77777777" w:rsidR="00454A29" w:rsidRDefault="00454A29">
      <w:pPr>
        <w:pStyle w:val="ConsPlusTitle"/>
        <w:jc w:val="center"/>
        <w:outlineLvl w:val="2"/>
      </w:pPr>
      <w:r>
        <w:t>V. Порядок оценки эффективности использования субсидий,</w:t>
      </w:r>
    </w:p>
    <w:p w14:paraId="42489B4B" w14:textId="77777777" w:rsidR="00454A29" w:rsidRDefault="00454A29">
      <w:pPr>
        <w:pStyle w:val="ConsPlusTitle"/>
        <w:jc w:val="center"/>
      </w:pPr>
      <w:r>
        <w:t>а также перечень показателей результативности</w:t>
      </w:r>
    </w:p>
    <w:p w14:paraId="767A6D93" w14:textId="77777777" w:rsidR="00454A29" w:rsidRDefault="00454A29">
      <w:pPr>
        <w:pStyle w:val="ConsPlusTitle"/>
        <w:jc w:val="center"/>
      </w:pPr>
      <w:r>
        <w:t>использования субсидий</w:t>
      </w:r>
    </w:p>
    <w:p w14:paraId="51CA9EBB" w14:textId="77777777" w:rsidR="00454A29" w:rsidRDefault="00454A29">
      <w:pPr>
        <w:pStyle w:val="ConsPlusNormal"/>
      </w:pPr>
    </w:p>
    <w:p w14:paraId="65384F5D" w14:textId="77777777" w:rsidR="00454A29" w:rsidRDefault="00454A29">
      <w:pPr>
        <w:pStyle w:val="ConsPlusNormal"/>
        <w:ind w:firstLine="540"/>
        <w:jc w:val="both"/>
      </w:pPr>
      <w:bookmarkStart w:id="23" w:name="P33578"/>
      <w:bookmarkEnd w:id="23"/>
      <w:r>
        <w:t>5.1. Оценка эффективности использования субсидии осуществляется Министерством путем сравнения планируемых значений показателя результативности использования субсидии муниципальным образованием и достигнутого значения показателей:</w:t>
      </w:r>
    </w:p>
    <w:p w14:paraId="3C497E0C" w14:textId="77777777" w:rsidR="00454A29" w:rsidRDefault="00454A29">
      <w:pPr>
        <w:pStyle w:val="ConsPlusNormal"/>
        <w:spacing w:before="220"/>
        <w:ind w:firstLine="540"/>
        <w:jc w:val="both"/>
      </w:pPr>
      <w:r>
        <w:t>- количество созданных дошкольных групп в дошкольных негосударственных организациях за счет субсидии;</w:t>
      </w:r>
    </w:p>
    <w:p w14:paraId="6A757556" w14:textId="77777777" w:rsidR="00454A29" w:rsidRDefault="00454A29">
      <w:pPr>
        <w:pStyle w:val="ConsPlusNormal"/>
        <w:spacing w:before="220"/>
        <w:ind w:firstLine="540"/>
        <w:jc w:val="both"/>
      </w:pPr>
      <w:r>
        <w:t>- количество мест в созданных дошкольных группах в дошкольных негосударственных организациях за счет субсидии;</w:t>
      </w:r>
    </w:p>
    <w:p w14:paraId="3723626C" w14:textId="77777777" w:rsidR="00454A29" w:rsidRDefault="00454A29">
      <w:pPr>
        <w:pStyle w:val="ConsPlusNormal"/>
      </w:pPr>
    </w:p>
    <w:p w14:paraId="63839E93" w14:textId="77777777" w:rsidR="00454A29" w:rsidRDefault="00454A29">
      <w:pPr>
        <w:pStyle w:val="ConsPlusTitle"/>
        <w:jc w:val="center"/>
        <w:outlineLvl w:val="2"/>
      </w:pPr>
      <w:r>
        <w:t>VI. Сроки и порядок представления отчетности</w:t>
      </w:r>
    </w:p>
    <w:p w14:paraId="4B676955" w14:textId="77777777" w:rsidR="00454A29" w:rsidRDefault="00454A29">
      <w:pPr>
        <w:pStyle w:val="ConsPlusTitle"/>
        <w:jc w:val="center"/>
      </w:pPr>
      <w:r>
        <w:t>об исполнении условий предоставления субсидий</w:t>
      </w:r>
    </w:p>
    <w:p w14:paraId="5940CC5A" w14:textId="77777777" w:rsidR="00454A29" w:rsidRDefault="00454A29">
      <w:pPr>
        <w:pStyle w:val="ConsPlusNormal"/>
      </w:pPr>
    </w:p>
    <w:p w14:paraId="25EC76CF" w14:textId="77777777" w:rsidR="00454A29" w:rsidRDefault="00454A29">
      <w:pPr>
        <w:pStyle w:val="ConsPlusNormal"/>
        <w:ind w:firstLine="540"/>
        <w:jc w:val="both"/>
      </w:pPr>
      <w:r>
        <w:t>6.1. Муниципальные образования ежемесячно, до 10 числа месяца, следующего за отчетным месяцем, представляют главному распорядителю бюджетных средств отчет об осуществлении расходов местных бюджетов, источником финансового обеспечения которых является государственный бюджет Республики Саха (Якутия), и о достигнутых значениях показателей результативности предоставления бюджетных средств.</w:t>
      </w:r>
    </w:p>
    <w:p w14:paraId="7B969C11" w14:textId="77777777" w:rsidR="00454A29" w:rsidRDefault="00454A29">
      <w:pPr>
        <w:pStyle w:val="ConsPlusNormal"/>
        <w:spacing w:before="220"/>
        <w:ind w:firstLine="540"/>
        <w:jc w:val="both"/>
      </w:pPr>
      <w:r>
        <w:t>6.2. Форма отчета утверждается главным распорядителем бюджетных средств.</w:t>
      </w:r>
    </w:p>
    <w:p w14:paraId="5BEE3335" w14:textId="77777777" w:rsidR="00454A29" w:rsidRDefault="00454A29">
      <w:pPr>
        <w:pStyle w:val="ConsPlusNormal"/>
      </w:pPr>
    </w:p>
    <w:p w14:paraId="5C2F5BFB" w14:textId="77777777" w:rsidR="00454A29" w:rsidRDefault="00454A29">
      <w:pPr>
        <w:pStyle w:val="ConsPlusTitle"/>
        <w:jc w:val="center"/>
        <w:outlineLvl w:val="2"/>
      </w:pPr>
      <w:r>
        <w:t>VII. Перечисление субсидий, контроль, возврат</w:t>
      </w:r>
    </w:p>
    <w:p w14:paraId="1FE8A352" w14:textId="77777777" w:rsidR="00454A29" w:rsidRDefault="00454A29">
      <w:pPr>
        <w:pStyle w:val="ConsPlusTitle"/>
        <w:jc w:val="center"/>
      </w:pPr>
      <w:r>
        <w:t>и использование остатков субсидий</w:t>
      </w:r>
    </w:p>
    <w:p w14:paraId="3ACE5349" w14:textId="77777777" w:rsidR="00454A29" w:rsidRDefault="00454A29">
      <w:pPr>
        <w:pStyle w:val="ConsPlusNormal"/>
      </w:pPr>
    </w:p>
    <w:p w14:paraId="185DF0D6" w14:textId="77777777" w:rsidR="00454A29" w:rsidRDefault="00454A29">
      <w:pPr>
        <w:pStyle w:val="ConsPlusNormal"/>
        <w:ind w:firstLine="540"/>
        <w:jc w:val="both"/>
      </w:pPr>
      <w:r>
        <w:t>7.1. Субсидия предоставляется бюджету муниципального образования сроком на один финансовый год.</w:t>
      </w:r>
    </w:p>
    <w:p w14:paraId="66ED08FF" w14:textId="77777777" w:rsidR="00454A29" w:rsidRDefault="00454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4A29" w14:paraId="1C3C7B3A" w14:textId="77777777">
        <w:trPr>
          <w:jc w:val="center"/>
        </w:trPr>
        <w:tc>
          <w:tcPr>
            <w:tcW w:w="9294" w:type="dxa"/>
            <w:tcBorders>
              <w:top w:val="nil"/>
              <w:left w:val="single" w:sz="24" w:space="0" w:color="CED3F1"/>
              <w:bottom w:val="nil"/>
              <w:right w:val="single" w:sz="24" w:space="0" w:color="F4F3F8"/>
            </w:tcBorders>
            <w:shd w:val="clear" w:color="auto" w:fill="F4F3F8"/>
          </w:tcPr>
          <w:p w14:paraId="2E7F14E0" w14:textId="77777777" w:rsidR="00454A29" w:rsidRDefault="00454A29">
            <w:pPr>
              <w:pStyle w:val="ConsPlusNormal"/>
              <w:jc w:val="both"/>
            </w:pPr>
            <w:r>
              <w:rPr>
                <w:color w:val="392C69"/>
              </w:rPr>
              <w:t>КонсультантПлюс: примечание.</w:t>
            </w:r>
          </w:p>
          <w:p w14:paraId="5C50A0FA" w14:textId="77777777" w:rsidR="00454A29" w:rsidRDefault="00454A29">
            <w:pPr>
              <w:pStyle w:val="ConsPlusNormal"/>
              <w:jc w:val="both"/>
            </w:pPr>
            <w:r>
              <w:rPr>
                <w:color w:val="392C69"/>
              </w:rPr>
              <w:t xml:space="preserve">В официальном тексте документа, видимо, допущена опечатка: пункт 11 в данном порядке </w:t>
            </w:r>
            <w:r>
              <w:rPr>
                <w:color w:val="392C69"/>
              </w:rPr>
              <w:lastRenderedPageBreak/>
              <w:t>отсутствует.</w:t>
            </w:r>
          </w:p>
        </w:tc>
      </w:tr>
    </w:tbl>
    <w:p w14:paraId="575022D5" w14:textId="77777777" w:rsidR="00454A29" w:rsidRDefault="00454A29">
      <w:pPr>
        <w:pStyle w:val="ConsPlusNormal"/>
        <w:spacing w:before="280"/>
        <w:ind w:firstLine="540"/>
        <w:jc w:val="both"/>
      </w:pPr>
      <w:bookmarkStart w:id="24" w:name="P33594"/>
      <w:bookmarkEnd w:id="24"/>
      <w:r>
        <w:lastRenderedPageBreak/>
        <w:t>7.2. В случае если муниципальным образованием по состоянию на 31 декабря следующего года предоставления субсидии допущены нарушения обязательств по достижению показателей результативности использования субсидии, предусмотренных соглашением в соответствии с пунктом 11 настоящего Порядка, и до первой даты представления отчетности о достижении значений показателей результативности использования субсидии в соответствии с соглашением в следующем году предоставления субсидии, указанные нарушения не устранены, объем средств, подлежащий возврату из бюджета муниципального образования в государственный бюджет до 1 июня года следующего года предоставления субсидии (V</w:t>
      </w:r>
      <w:r>
        <w:rPr>
          <w:vertAlign w:val="subscript"/>
        </w:rPr>
        <w:t>возврата)</w:t>
      </w:r>
      <w:r>
        <w:t>, рассчитывается по формуле:</w:t>
      </w:r>
    </w:p>
    <w:p w14:paraId="38551926" w14:textId="77777777" w:rsidR="00454A29" w:rsidRDefault="00454A29">
      <w:pPr>
        <w:pStyle w:val="ConsPlusNormal"/>
      </w:pPr>
    </w:p>
    <w:p w14:paraId="33B2A37E" w14:textId="77777777" w:rsidR="00454A29" w:rsidRDefault="00454A29">
      <w:pPr>
        <w:pStyle w:val="ConsPlusNormal"/>
        <w:jc w:val="center"/>
      </w:pPr>
      <w:r>
        <w:t>V</w:t>
      </w:r>
      <w:r>
        <w:rPr>
          <w:vertAlign w:val="subscript"/>
        </w:rPr>
        <w:t>возврата</w:t>
      </w:r>
      <w:r>
        <w:t xml:space="preserve"> = (V</w:t>
      </w:r>
      <w:r>
        <w:rPr>
          <w:vertAlign w:val="subscript"/>
        </w:rPr>
        <w:t>субсидий</w:t>
      </w:r>
      <w:r>
        <w:t xml:space="preserve"> x k x m / n) x 0,1,</w:t>
      </w:r>
    </w:p>
    <w:p w14:paraId="6736E6B2" w14:textId="77777777" w:rsidR="00454A29" w:rsidRDefault="00454A29">
      <w:pPr>
        <w:pStyle w:val="ConsPlusNormal"/>
      </w:pPr>
    </w:p>
    <w:p w14:paraId="403D3745" w14:textId="77777777" w:rsidR="00454A29" w:rsidRDefault="00454A29">
      <w:pPr>
        <w:pStyle w:val="ConsPlusNormal"/>
        <w:ind w:firstLine="540"/>
        <w:jc w:val="both"/>
      </w:pPr>
      <w:r>
        <w:t>где:</w:t>
      </w:r>
    </w:p>
    <w:p w14:paraId="077E2E88" w14:textId="77777777" w:rsidR="00454A29" w:rsidRDefault="00454A29">
      <w:pPr>
        <w:pStyle w:val="ConsPlusNormal"/>
        <w:spacing w:before="220"/>
        <w:ind w:firstLine="540"/>
        <w:jc w:val="both"/>
      </w:pPr>
      <w:r>
        <w:t>V</w:t>
      </w:r>
      <w:r>
        <w:rPr>
          <w:vertAlign w:val="subscript"/>
        </w:rPr>
        <w:t>субсидий</w:t>
      </w:r>
      <w:r>
        <w:t xml:space="preserve"> - размер субсидии, предоставленной бюджету муниципального образования в отчетном финансовом году;</w:t>
      </w:r>
    </w:p>
    <w:p w14:paraId="0ECBD06E" w14:textId="77777777" w:rsidR="00454A29" w:rsidRDefault="00454A29">
      <w:pPr>
        <w:pStyle w:val="ConsPlusNormal"/>
        <w:spacing w:before="220"/>
        <w:ind w:firstLine="540"/>
        <w:jc w:val="both"/>
      </w:pPr>
      <w:r>
        <w:t>k - коэффициент возврата субсидии;</w:t>
      </w:r>
    </w:p>
    <w:p w14:paraId="3C07C834" w14:textId="77777777" w:rsidR="00454A29" w:rsidRDefault="00454A29">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11984E3B" w14:textId="77777777" w:rsidR="00454A29" w:rsidRDefault="00454A29">
      <w:pPr>
        <w:pStyle w:val="ConsPlusNormal"/>
        <w:spacing w:before="220"/>
        <w:ind w:firstLine="540"/>
        <w:jc w:val="both"/>
      </w:pPr>
      <w:r>
        <w:t>n - общее количество показателей результативности использования субсидии.</w:t>
      </w:r>
    </w:p>
    <w:p w14:paraId="1AFDF106" w14:textId="77777777" w:rsidR="00454A29" w:rsidRDefault="00454A29">
      <w:pPr>
        <w:pStyle w:val="ConsPlusNormal"/>
        <w:spacing w:before="220"/>
        <w:ind w:firstLine="540"/>
        <w:jc w:val="both"/>
      </w:pPr>
      <w:r>
        <w:t>7.3. Коэффициент возврата субсидии (k) определяется по формуле:</w:t>
      </w:r>
    </w:p>
    <w:p w14:paraId="1B142084" w14:textId="77777777" w:rsidR="00454A29" w:rsidRDefault="00454A29">
      <w:pPr>
        <w:pStyle w:val="ConsPlusNormal"/>
      </w:pPr>
    </w:p>
    <w:p w14:paraId="6E30174E" w14:textId="77777777" w:rsidR="00454A29" w:rsidRDefault="00454A29">
      <w:pPr>
        <w:pStyle w:val="ConsPlusNormal"/>
        <w:jc w:val="center"/>
      </w:pPr>
      <w:r>
        <w:t>k = SUM D</w:t>
      </w:r>
      <w:r>
        <w:rPr>
          <w:vertAlign w:val="subscript"/>
        </w:rPr>
        <w:t>i</w:t>
      </w:r>
      <w:r>
        <w:t xml:space="preserve"> / m,</w:t>
      </w:r>
    </w:p>
    <w:p w14:paraId="45FB03BF" w14:textId="77777777" w:rsidR="00454A29" w:rsidRDefault="00454A29">
      <w:pPr>
        <w:pStyle w:val="ConsPlusNormal"/>
      </w:pPr>
    </w:p>
    <w:p w14:paraId="49CB8C54" w14:textId="77777777" w:rsidR="00454A29" w:rsidRDefault="00454A29">
      <w:pPr>
        <w:pStyle w:val="ConsPlusNormal"/>
        <w:ind w:firstLine="540"/>
        <w:jc w:val="both"/>
      </w:pPr>
      <w:r>
        <w:t>где:</w:t>
      </w:r>
    </w:p>
    <w:p w14:paraId="20D35978" w14:textId="77777777" w:rsidR="00454A29" w:rsidRDefault="00454A29">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14:paraId="671C1A19" w14:textId="77777777" w:rsidR="00454A29" w:rsidRDefault="00454A29">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3C221231" w14:textId="77777777" w:rsidR="00454A29" w:rsidRDefault="00454A29">
      <w:pPr>
        <w:pStyle w:val="ConsPlusNormal"/>
        <w:spacing w:before="220"/>
        <w:ind w:firstLine="540"/>
        <w:jc w:val="both"/>
      </w:pPr>
      <w:r>
        <w:t>7.4. Индекс, отражающий уровень недостижения i-го показателя результативности использования субсидии (D</w:t>
      </w:r>
      <w:r>
        <w:rPr>
          <w:vertAlign w:val="subscript"/>
        </w:rPr>
        <w:t>i),</w:t>
      </w:r>
      <w:r>
        <w:t xml:space="preserve"> определяется:</w:t>
      </w:r>
    </w:p>
    <w:p w14:paraId="0220A4DE" w14:textId="77777777" w:rsidR="00454A29" w:rsidRDefault="00454A29">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39617B91" w14:textId="77777777" w:rsidR="00454A29" w:rsidRDefault="00454A29">
      <w:pPr>
        <w:pStyle w:val="ConsPlusNormal"/>
      </w:pPr>
    </w:p>
    <w:p w14:paraId="6BCE35E1" w14:textId="77777777" w:rsidR="00454A29" w:rsidRDefault="00454A29">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14:paraId="60F5DF2A" w14:textId="77777777" w:rsidR="00454A29" w:rsidRDefault="00454A29">
      <w:pPr>
        <w:pStyle w:val="ConsPlusNormal"/>
      </w:pPr>
    </w:p>
    <w:p w14:paraId="537F33C9" w14:textId="77777777" w:rsidR="00454A29" w:rsidRDefault="00454A29">
      <w:pPr>
        <w:pStyle w:val="ConsPlusNormal"/>
        <w:ind w:firstLine="540"/>
        <w:jc w:val="both"/>
      </w:pPr>
      <w:r>
        <w:t>где:</w:t>
      </w:r>
    </w:p>
    <w:p w14:paraId="51F28494" w14:textId="77777777" w:rsidR="00454A29" w:rsidRDefault="00454A29">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14:paraId="5FD50472" w14:textId="77777777" w:rsidR="00454A29" w:rsidRDefault="00454A29">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14:paraId="0A186BB9" w14:textId="77777777" w:rsidR="00454A29" w:rsidRDefault="00454A29">
      <w:pPr>
        <w:pStyle w:val="ConsPlusNormal"/>
        <w:spacing w:before="220"/>
        <w:ind w:firstLine="540"/>
        <w:jc w:val="both"/>
      </w:pPr>
      <w:r>
        <w:lastRenderedPageBreak/>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65E957AB" w14:textId="77777777" w:rsidR="00454A29" w:rsidRDefault="00454A29">
      <w:pPr>
        <w:pStyle w:val="ConsPlusNormal"/>
      </w:pPr>
    </w:p>
    <w:p w14:paraId="43D5358E" w14:textId="77777777" w:rsidR="00454A29" w:rsidRDefault="00454A29">
      <w:pPr>
        <w:pStyle w:val="ConsPlusNormal"/>
        <w:jc w:val="center"/>
      </w:pPr>
      <w:r>
        <w:t>D</w:t>
      </w:r>
      <w:r>
        <w:rPr>
          <w:vertAlign w:val="subscript"/>
        </w:rPr>
        <w:t>i</w:t>
      </w:r>
      <w:r>
        <w:t xml:space="preserve"> = 1 - S</w:t>
      </w:r>
      <w:r>
        <w:rPr>
          <w:vertAlign w:val="subscript"/>
        </w:rPr>
        <w:t>i</w:t>
      </w:r>
      <w:r>
        <w:t xml:space="preserve"> / T</w:t>
      </w:r>
      <w:r>
        <w:rPr>
          <w:vertAlign w:val="subscript"/>
        </w:rPr>
        <w:t>i,</w:t>
      </w:r>
    </w:p>
    <w:p w14:paraId="65745AC8" w14:textId="77777777" w:rsidR="00454A29" w:rsidRDefault="00454A29">
      <w:pPr>
        <w:pStyle w:val="ConsPlusNormal"/>
      </w:pPr>
    </w:p>
    <w:p w14:paraId="3BCB8E76" w14:textId="77777777" w:rsidR="00454A29" w:rsidRDefault="00454A29">
      <w:pPr>
        <w:pStyle w:val="ConsPlusNormal"/>
        <w:ind w:firstLine="540"/>
        <w:jc w:val="both"/>
      </w:pPr>
      <w:r>
        <w:t xml:space="preserve">7.5. Основанием для освобождения муниципальных образований от применения мер ответственности, предусмотренных </w:t>
      </w:r>
      <w:hyperlink w:anchor="P33594" w:history="1">
        <w:r>
          <w:rPr>
            <w:color w:val="0000FF"/>
          </w:rPr>
          <w:t>пунктом 7.2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0B251C9D" w14:textId="77777777" w:rsidR="00454A29" w:rsidRDefault="00454A29">
      <w:pPr>
        <w:pStyle w:val="ConsPlusNormal"/>
        <w:spacing w:before="220"/>
        <w:ind w:firstLine="540"/>
        <w:jc w:val="both"/>
      </w:pPr>
      <w:r>
        <w:t>7.6. Главный распорядитель бюджетных средств при наличии основания, предусмотренного пунктом 7.5 настоящего Порядка,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29C75B0C" w14:textId="77777777" w:rsidR="00454A29" w:rsidRDefault="00454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4A29" w14:paraId="1885A523" w14:textId="77777777">
        <w:trPr>
          <w:jc w:val="center"/>
        </w:trPr>
        <w:tc>
          <w:tcPr>
            <w:tcW w:w="9294" w:type="dxa"/>
            <w:tcBorders>
              <w:top w:val="nil"/>
              <w:left w:val="single" w:sz="24" w:space="0" w:color="CED3F1"/>
              <w:bottom w:val="nil"/>
              <w:right w:val="single" w:sz="24" w:space="0" w:color="F4F3F8"/>
            </w:tcBorders>
            <w:shd w:val="clear" w:color="auto" w:fill="F4F3F8"/>
          </w:tcPr>
          <w:p w14:paraId="5FFCB50C" w14:textId="77777777" w:rsidR="00454A29" w:rsidRDefault="00454A29">
            <w:pPr>
              <w:pStyle w:val="ConsPlusNormal"/>
              <w:jc w:val="both"/>
            </w:pPr>
            <w:r>
              <w:rPr>
                <w:color w:val="392C69"/>
              </w:rPr>
              <w:t>КонсультантПлюс: примечание.</w:t>
            </w:r>
          </w:p>
          <w:p w14:paraId="7CBA7774" w14:textId="77777777" w:rsidR="00454A29" w:rsidRDefault="00454A29">
            <w:pPr>
              <w:pStyle w:val="ConsPlusNormal"/>
              <w:jc w:val="both"/>
            </w:pPr>
            <w:r>
              <w:rPr>
                <w:color w:val="392C69"/>
              </w:rPr>
              <w:t>В официальном тексте документа, видимо, допущена опечатка: пункт 18 в данном порядке отсутствует.</w:t>
            </w:r>
          </w:p>
        </w:tc>
      </w:tr>
    </w:tbl>
    <w:p w14:paraId="5A1CFD44" w14:textId="77777777" w:rsidR="00454A29" w:rsidRDefault="00454A29">
      <w:pPr>
        <w:pStyle w:val="ConsPlusNormal"/>
        <w:spacing w:before="280"/>
        <w:ind w:firstLine="540"/>
        <w:jc w:val="both"/>
      </w:pPr>
      <w:r>
        <w:t>7.7. 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Документы представляются главному распорядителю бюджетных средств муниципальным образованием до 30 апреля года, следующего за годом предоставления субсидии. Главный распорядитель бюджетных средств не позднее 15 мая года, следующего за годом предоставления субсидии, издает ведомственный акт об освобождении органов местного самоуправления от применения мер ответственности, предусмотренных пунктом 18 настоящего Порядка.</w:t>
      </w:r>
    </w:p>
    <w:p w14:paraId="252CF378" w14:textId="77777777" w:rsidR="00454A29" w:rsidRDefault="00454A29">
      <w:pPr>
        <w:pStyle w:val="ConsPlusNormal"/>
        <w:spacing w:before="220"/>
        <w:ind w:firstLine="540"/>
        <w:jc w:val="both"/>
      </w:pPr>
      <w:r>
        <w:t xml:space="preserve">7.8. В случае отсутствия оснований для освобождения муниципального образования от применения мер ответственности, предусмотренных </w:t>
      </w:r>
      <w:hyperlink w:anchor="P33594" w:history="1">
        <w:r>
          <w:rPr>
            <w:color w:val="0000FF"/>
          </w:rPr>
          <w:t>пунктом 7.2</w:t>
        </w:r>
      </w:hyperlink>
      <w:r>
        <w:t xml:space="preserve"> настоящего Порядка, главный распорядитель бюджетных средств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пунктом 18 настоящего Порядка.</w:t>
      </w:r>
    </w:p>
    <w:p w14:paraId="48850D4C" w14:textId="77777777" w:rsidR="00454A29" w:rsidRDefault="00454A29">
      <w:pPr>
        <w:pStyle w:val="ConsPlusNormal"/>
        <w:spacing w:before="220"/>
        <w:ind w:firstLine="540"/>
        <w:jc w:val="both"/>
      </w:pPr>
      <w:r>
        <w:t>7.9. Субсидии в случае нарушения муниципальными образованиями условий их предоставления подлежат возврату в государственный бюджет в соответствии с бюджетным законодательством Российской Федерации.</w:t>
      </w:r>
    </w:p>
    <w:p w14:paraId="335BFA1F" w14:textId="77777777" w:rsidR="00454A29" w:rsidRDefault="00454A29">
      <w:pPr>
        <w:pStyle w:val="ConsPlusNormal"/>
        <w:spacing w:before="220"/>
        <w:ind w:firstLine="540"/>
        <w:jc w:val="both"/>
      </w:pPr>
      <w:r>
        <w:t>В случае невозврата муниципальным образованием субсидий в государственный бюджет, к нему применяются бюджетные меры принуждения, предусмотренные бюджетным законодательством Российской Федерации.</w:t>
      </w:r>
    </w:p>
    <w:p w14:paraId="6A97451C" w14:textId="77777777" w:rsidR="00454A29" w:rsidRDefault="00454A29">
      <w:pPr>
        <w:pStyle w:val="ConsPlusNormal"/>
        <w:spacing w:before="220"/>
        <w:ind w:firstLine="540"/>
        <w:jc w:val="both"/>
      </w:pPr>
      <w:r>
        <w:t>7.10. Ответственность за достоверность представляемых главному распорядителю бюджетных средств сведений и соблюдение условий, установленных настоящим Порядком и соглашением, возлагается на муниципальные образования.</w:t>
      </w:r>
    </w:p>
    <w:p w14:paraId="484338CF" w14:textId="77777777" w:rsidR="00454A29" w:rsidRDefault="00454A29">
      <w:pPr>
        <w:pStyle w:val="ConsPlusNormal"/>
        <w:spacing w:before="220"/>
        <w:ind w:firstLine="540"/>
        <w:jc w:val="both"/>
      </w:pPr>
      <w:r>
        <w:t>7.11.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55E73DC8" w14:textId="77777777" w:rsidR="00454A29" w:rsidRDefault="00454A29">
      <w:pPr>
        <w:pStyle w:val="ConsPlusNormal"/>
        <w:spacing w:before="220"/>
        <w:ind w:firstLine="540"/>
        <w:jc w:val="both"/>
      </w:pPr>
      <w:r>
        <w:t xml:space="preserve">В случае если неиспользованный остаток субсидий не перечислен в доход государственного </w:t>
      </w:r>
      <w:r>
        <w:lastRenderedPageBreak/>
        <w:t>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14:paraId="233A00AB" w14:textId="77777777" w:rsidR="00454A29" w:rsidRDefault="00454A29">
      <w:pPr>
        <w:pStyle w:val="ConsPlusNormal"/>
        <w:spacing w:before="220"/>
        <w:ind w:firstLine="540"/>
        <w:jc w:val="both"/>
      </w:pPr>
      <w:r>
        <w:t>7.12. Контроль за целевым использованием субсидий и за соблюдением муниципальными образованиями условий предоставления субсидии осуществляется главным распорядителем бюджетных средств и органами внутреннего государственного финансового контроля Республики Саха (Якутия).</w:t>
      </w:r>
    </w:p>
    <w:p w14:paraId="03385FE4" w14:textId="77777777" w:rsidR="00454A29" w:rsidRDefault="00454A29">
      <w:pPr>
        <w:pStyle w:val="ConsPlusNormal"/>
      </w:pPr>
    </w:p>
    <w:p w14:paraId="24C3510C" w14:textId="77777777" w:rsidR="00454A29" w:rsidRDefault="00454A29">
      <w:pPr>
        <w:pStyle w:val="ConsPlusNormal"/>
      </w:pPr>
    </w:p>
    <w:p w14:paraId="7408FB12" w14:textId="77777777" w:rsidR="00454A29" w:rsidRDefault="00454A29">
      <w:pPr>
        <w:pStyle w:val="ConsPlusNormal"/>
      </w:pPr>
    </w:p>
    <w:p w14:paraId="1794DDD9" w14:textId="77777777" w:rsidR="00454A29" w:rsidRDefault="00454A29">
      <w:pPr>
        <w:pStyle w:val="ConsPlusNormal"/>
      </w:pPr>
    </w:p>
    <w:p w14:paraId="450F8E7F" w14:textId="77777777" w:rsidR="00454A29" w:rsidRDefault="00454A29">
      <w:pPr>
        <w:pStyle w:val="ConsPlusNormal"/>
      </w:pPr>
    </w:p>
    <w:p w14:paraId="00DA6E9D" w14:textId="77777777" w:rsidR="00454A29" w:rsidRDefault="00454A29">
      <w:pPr>
        <w:pStyle w:val="ConsPlusNormal"/>
        <w:jc w:val="right"/>
        <w:outlineLvl w:val="1"/>
      </w:pPr>
      <w:r>
        <w:t>Приложение N 10</w:t>
      </w:r>
    </w:p>
    <w:p w14:paraId="56D233A8" w14:textId="77777777" w:rsidR="00454A29" w:rsidRDefault="00454A29">
      <w:pPr>
        <w:pStyle w:val="ConsPlusNormal"/>
        <w:jc w:val="right"/>
      </w:pPr>
      <w:r>
        <w:t>к государственной программе</w:t>
      </w:r>
    </w:p>
    <w:p w14:paraId="59149DD4" w14:textId="77777777" w:rsidR="00454A29" w:rsidRDefault="00454A29">
      <w:pPr>
        <w:pStyle w:val="ConsPlusNormal"/>
        <w:jc w:val="right"/>
      </w:pPr>
      <w:r>
        <w:t>Республики Саха (Якутия)</w:t>
      </w:r>
    </w:p>
    <w:p w14:paraId="06F7C59B" w14:textId="77777777" w:rsidR="00454A29" w:rsidRDefault="00454A29">
      <w:pPr>
        <w:pStyle w:val="ConsPlusNormal"/>
        <w:jc w:val="right"/>
      </w:pPr>
      <w:r>
        <w:t>"Развитие образования</w:t>
      </w:r>
    </w:p>
    <w:p w14:paraId="6A647AE3" w14:textId="77777777" w:rsidR="00454A29" w:rsidRDefault="00454A29">
      <w:pPr>
        <w:pStyle w:val="ConsPlusNormal"/>
        <w:jc w:val="right"/>
      </w:pPr>
      <w:r>
        <w:t>Республики Саха (Якутия)</w:t>
      </w:r>
    </w:p>
    <w:p w14:paraId="2BCB3D6B" w14:textId="77777777" w:rsidR="00454A29" w:rsidRDefault="00454A29">
      <w:pPr>
        <w:pStyle w:val="ConsPlusNormal"/>
        <w:jc w:val="right"/>
      </w:pPr>
      <w:r>
        <w:t>на 2020 - 2024 годы и на плановый</w:t>
      </w:r>
    </w:p>
    <w:p w14:paraId="2EFFFB61" w14:textId="77777777" w:rsidR="00454A29" w:rsidRDefault="00454A29">
      <w:pPr>
        <w:pStyle w:val="ConsPlusNormal"/>
        <w:jc w:val="right"/>
      </w:pPr>
      <w:r>
        <w:t>период до 2026 года"</w:t>
      </w:r>
    </w:p>
    <w:p w14:paraId="2D5B72FC" w14:textId="77777777" w:rsidR="00454A29" w:rsidRDefault="00454A29">
      <w:pPr>
        <w:pStyle w:val="ConsPlusNormal"/>
      </w:pPr>
    </w:p>
    <w:p w14:paraId="2856F09C" w14:textId="77777777" w:rsidR="00454A29" w:rsidRDefault="00454A29">
      <w:pPr>
        <w:pStyle w:val="ConsPlusTitle"/>
        <w:jc w:val="center"/>
      </w:pPr>
      <w:bookmarkStart w:id="25" w:name="P33647"/>
      <w:bookmarkEnd w:id="25"/>
      <w:r>
        <w:t>ПОРЯДОК</w:t>
      </w:r>
    </w:p>
    <w:p w14:paraId="2A5959F4" w14:textId="77777777" w:rsidR="00454A29" w:rsidRDefault="00454A29">
      <w:pPr>
        <w:pStyle w:val="ConsPlusTitle"/>
        <w:jc w:val="center"/>
      </w:pPr>
      <w:r>
        <w:t>ПРЕДОСТАВЛЕНИЯ И РАСПРЕДЕЛЕНИЯ СУБСИДИЙ ИЗ ГОСУДАРСТВЕННОГО</w:t>
      </w:r>
    </w:p>
    <w:p w14:paraId="40DCB1D8" w14:textId="77777777" w:rsidR="00454A29" w:rsidRDefault="00454A29">
      <w:pPr>
        <w:pStyle w:val="ConsPlusTitle"/>
        <w:jc w:val="center"/>
      </w:pPr>
      <w:r>
        <w:t>БЮДЖЕТА РЕСПУБЛИКИ САХА (ЯКУТИЯ) МЕСТНЫМ БЮДЖЕТАМ В ЦЕЛЯХ</w:t>
      </w:r>
    </w:p>
    <w:p w14:paraId="6D9F7AE4" w14:textId="77777777" w:rsidR="00454A29" w:rsidRDefault="00454A29">
      <w:pPr>
        <w:pStyle w:val="ConsPlusTitle"/>
        <w:jc w:val="center"/>
      </w:pPr>
      <w:r>
        <w:t>СОФИНАНСИРОВАНИЯ МЕРОПРИЯТИЙ, НАПРАВЛЕННЫХ НА СОДЕЙСТВИЕ</w:t>
      </w:r>
    </w:p>
    <w:p w14:paraId="1A3A6B5A" w14:textId="77777777" w:rsidR="00454A29" w:rsidRDefault="00454A29">
      <w:pPr>
        <w:pStyle w:val="ConsPlusTitle"/>
        <w:jc w:val="center"/>
      </w:pPr>
      <w:r>
        <w:t>РАЗВИТИЮ СУБЪЕКТОВ МАЛОГО И СРЕДНЕГО ПРЕДПРИНИМАТЕЛЬСТВА,</w:t>
      </w:r>
    </w:p>
    <w:p w14:paraId="4E350C2C" w14:textId="77777777" w:rsidR="00454A29" w:rsidRDefault="00454A29">
      <w:pPr>
        <w:pStyle w:val="ConsPlusTitle"/>
        <w:jc w:val="center"/>
      </w:pPr>
      <w:r>
        <w:t>ОСУЩЕСТВЛЯЮЩИХ ПРИСМОТР И УХОД ЗА ДЕТЬМИ</w:t>
      </w:r>
    </w:p>
    <w:p w14:paraId="6420E1D4" w14:textId="77777777" w:rsidR="00454A29" w:rsidRDefault="00454A29">
      <w:pPr>
        <w:pStyle w:val="ConsPlusTitle"/>
        <w:jc w:val="center"/>
      </w:pPr>
      <w:r>
        <w:t>ДОШКОЛЬНОГО ВОЗРАСТА</w:t>
      </w:r>
    </w:p>
    <w:p w14:paraId="5C8466CB" w14:textId="77777777" w:rsidR="00454A29" w:rsidRDefault="00454A29">
      <w:pPr>
        <w:pStyle w:val="ConsPlusNormal"/>
      </w:pPr>
    </w:p>
    <w:p w14:paraId="5E685F59" w14:textId="77777777" w:rsidR="00454A29" w:rsidRDefault="00454A29">
      <w:pPr>
        <w:pStyle w:val="ConsPlusTitle"/>
        <w:jc w:val="center"/>
        <w:outlineLvl w:val="2"/>
      </w:pPr>
      <w:r>
        <w:t>I. Общие положения</w:t>
      </w:r>
    </w:p>
    <w:p w14:paraId="651EBEDC" w14:textId="77777777" w:rsidR="00454A29" w:rsidRDefault="00454A29">
      <w:pPr>
        <w:pStyle w:val="ConsPlusNormal"/>
      </w:pPr>
    </w:p>
    <w:p w14:paraId="678CDC7B" w14:textId="77777777" w:rsidR="00454A29" w:rsidRDefault="00454A29">
      <w:pPr>
        <w:pStyle w:val="ConsPlusNormal"/>
        <w:ind w:firstLine="540"/>
        <w:jc w:val="both"/>
      </w:pPr>
      <w:bookmarkStart w:id="26" w:name="P33657"/>
      <w:bookmarkEnd w:id="26"/>
      <w:r>
        <w:t xml:space="preserve">1.1. Порядок предоставления и распределения субсидий из государственного бюджета Республики Саха (Якутия) местным бюджетам в целях софинансирования мероприятий, направленных на содействие развитию субъектов малого и среднего предпринимательства, осуществляющих присмотр и уход за детьми дошкольного (далее - Порядок) разработан в соответствии со </w:t>
      </w:r>
      <w:hyperlink r:id="rId48" w:history="1">
        <w:r>
          <w:rPr>
            <w:color w:val="0000FF"/>
          </w:rPr>
          <w:t>статьей 139</w:t>
        </w:r>
      </w:hyperlink>
      <w:r>
        <w:t xml:space="preserve"> Бюджетного кодекса Российской Федерации, Федеральным </w:t>
      </w:r>
      <w:hyperlink r:id="rId4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14:paraId="21F33D5E" w14:textId="77777777" w:rsidR="00454A29" w:rsidRDefault="00454A29">
      <w:pPr>
        <w:pStyle w:val="ConsPlusNormal"/>
        <w:spacing w:before="220"/>
        <w:ind w:firstLine="540"/>
        <w:jc w:val="both"/>
      </w:pPr>
      <w:r>
        <w:t>1.2. Настоящий Порядок определяют цели и условия предоставления и распределения субсидий из государственного бюджета Республики Саха (Якутия) местным бюджетам в целях софинансирования мероприятий, направленных на содействие развитию субъектов малого и среднего предпринимательства, осуществляющих присмотр и уход за детьми дошкольного возраста (далее - субсидия), критерии отбора муниципальных образований и принципы распределения субсидий.</w:t>
      </w:r>
    </w:p>
    <w:p w14:paraId="0B85FB18" w14:textId="77777777" w:rsidR="00454A29" w:rsidRDefault="00454A29">
      <w:pPr>
        <w:pStyle w:val="ConsPlusNormal"/>
        <w:spacing w:before="220"/>
        <w:ind w:firstLine="540"/>
        <w:jc w:val="both"/>
      </w:pPr>
      <w:r>
        <w:t>1.3. Субсидия предоставляется местным бюджетам муниципальных районов и городских округов (далее - муниципальные образования)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год и лимитов бюджетных обязательств, утвержденных Министерству образования и науки Республики Саха (Якутия).</w:t>
      </w:r>
    </w:p>
    <w:p w14:paraId="2DFE872F" w14:textId="77777777" w:rsidR="00454A29" w:rsidRDefault="00454A29">
      <w:pPr>
        <w:pStyle w:val="ConsPlusNormal"/>
        <w:spacing w:before="220"/>
        <w:ind w:firstLine="540"/>
        <w:jc w:val="both"/>
      </w:pPr>
      <w:r>
        <w:t xml:space="preserve">1.4. Главным распорядителем бюджетных средств в отношении субсидий из государственного бюджета Республики Саха (Якутия), указанных в </w:t>
      </w:r>
      <w:hyperlink w:anchor="P33657" w:history="1">
        <w:r>
          <w:rPr>
            <w:color w:val="0000FF"/>
          </w:rPr>
          <w:t>пункте 1.1</w:t>
        </w:r>
      </w:hyperlink>
      <w:r>
        <w:t xml:space="preserve"> настоящего Порядка, </w:t>
      </w:r>
      <w:r>
        <w:lastRenderedPageBreak/>
        <w:t>является Министерство образования и науки Республики Саха (Якутия) (далее - Министерство).</w:t>
      </w:r>
    </w:p>
    <w:p w14:paraId="1894EA26" w14:textId="77777777" w:rsidR="00454A29" w:rsidRDefault="00454A29">
      <w:pPr>
        <w:pStyle w:val="ConsPlusNormal"/>
      </w:pPr>
    </w:p>
    <w:p w14:paraId="23E75FA4" w14:textId="77777777" w:rsidR="00454A29" w:rsidRDefault="00454A29">
      <w:pPr>
        <w:pStyle w:val="ConsPlusTitle"/>
        <w:jc w:val="center"/>
        <w:outlineLvl w:val="2"/>
      </w:pPr>
      <w:r>
        <w:t>II. Цели и условия предоставления и распределения субсидии</w:t>
      </w:r>
    </w:p>
    <w:p w14:paraId="7E4CD404" w14:textId="77777777" w:rsidR="00454A29" w:rsidRDefault="00454A29">
      <w:pPr>
        <w:pStyle w:val="ConsPlusNormal"/>
      </w:pPr>
    </w:p>
    <w:p w14:paraId="646E9B8E" w14:textId="77777777" w:rsidR="00454A29" w:rsidRDefault="00454A29">
      <w:pPr>
        <w:pStyle w:val="ConsPlusNormal"/>
        <w:ind w:firstLine="540"/>
        <w:jc w:val="both"/>
      </w:pPr>
      <w:r>
        <w:t>2.1. Субсидия предоставляется в целях софинансирования мероприятий, направленных на содействие развитию субъектов малого и среднего предпринимательства, осуществляющих присмотр и уход за детьми дошкольного возраста.</w:t>
      </w:r>
    </w:p>
    <w:p w14:paraId="02528B67" w14:textId="77777777" w:rsidR="00454A29" w:rsidRDefault="00454A29">
      <w:pPr>
        <w:pStyle w:val="ConsPlusNormal"/>
        <w:spacing w:before="220"/>
        <w:ind w:firstLine="540"/>
        <w:jc w:val="both"/>
      </w:pPr>
      <w:r>
        <w:t>В случае отсутствия у субъекта малого и среднего предпринимательства лицензии на осуществление образовательной деятельности по образовательным программам дошкольного образования, необходимо обеспечить получение дошкольного образования в дошкольной образовательной организации в режиме кратковременного пребывания на основе трехстороннего договора между:</w:t>
      </w:r>
    </w:p>
    <w:p w14:paraId="33BAA8B7" w14:textId="77777777" w:rsidR="00454A29" w:rsidRDefault="00454A29">
      <w:pPr>
        <w:pStyle w:val="ConsPlusNormal"/>
        <w:spacing w:before="220"/>
        <w:ind w:firstLine="540"/>
        <w:jc w:val="both"/>
      </w:pPr>
      <w:r>
        <w:t>1) дошкольной образовательной организацией, которая осуществляет дошкольное образование,</w:t>
      </w:r>
    </w:p>
    <w:p w14:paraId="1AE73419" w14:textId="77777777" w:rsidR="00454A29" w:rsidRDefault="00454A29">
      <w:pPr>
        <w:pStyle w:val="ConsPlusNormal"/>
        <w:spacing w:before="220"/>
        <w:ind w:firstLine="540"/>
        <w:jc w:val="both"/>
      </w:pPr>
      <w:r>
        <w:t>2) предпринимателем, который обеспечивает присмотр и уход за детьми в течение рабочего дня родителей,</w:t>
      </w:r>
    </w:p>
    <w:p w14:paraId="32C675BB" w14:textId="77777777" w:rsidR="00454A29" w:rsidRDefault="00454A29">
      <w:pPr>
        <w:pStyle w:val="ConsPlusNormal"/>
        <w:spacing w:before="220"/>
        <w:ind w:firstLine="540"/>
        <w:jc w:val="both"/>
      </w:pPr>
      <w:r>
        <w:t>3) родителями (законными представителями), которые оплачивают услуги по присмотру и уходу за ребенком.</w:t>
      </w:r>
    </w:p>
    <w:p w14:paraId="029F47D3" w14:textId="77777777" w:rsidR="00454A29" w:rsidRDefault="00454A29">
      <w:pPr>
        <w:pStyle w:val="ConsPlusNormal"/>
        <w:spacing w:before="220"/>
        <w:ind w:firstLine="540"/>
        <w:jc w:val="both"/>
      </w:pPr>
      <w:r>
        <w:t>В трехстороннем договоре должно быть предусмотрено условие об определении платы, взимаемой с родителей или законных представителей за присмотр и уход за детьми, обучающимися в частной образовательной организации, размер которой не превышает 200% от платы, взимаемой с родителей или законных представителей за присмотр и уход за ребенком, установленной в конкретном муниципальном районе или городском округе, а также о согласии родителей (законных представителей) на выход из муниципальной очереди или изменении статуса в такой очереди на "перевод в другое учреждение".</w:t>
      </w:r>
    </w:p>
    <w:p w14:paraId="339328AB" w14:textId="77777777" w:rsidR="00454A29" w:rsidRDefault="00454A29">
      <w:pPr>
        <w:pStyle w:val="ConsPlusNormal"/>
        <w:spacing w:before="220"/>
        <w:ind w:firstLine="540"/>
        <w:jc w:val="both"/>
      </w:pPr>
      <w:bookmarkStart w:id="27" w:name="P33670"/>
      <w:bookmarkEnd w:id="27"/>
      <w:r>
        <w:t>2.2. Условиями предоставления субсидии из государственного бюджета Республики Саха (Якутия) муниципальным образованиям являются:</w:t>
      </w:r>
    </w:p>
    <w:p w14:paraId="2F8BF8BF" w14:textId="77777777" w:rsidR="00454A29" w:rsidRDefault="00454A29">
      <w:pPr>
        <w:pStyle w:val="ConsPlusNormal"/>
        <w:spacing w:before="220"/>
        <w:ind w:firstLine="540"/>
        <w:jc w:val="both"/>
      </w:pPr>
      <w:r>
        <w:t>1)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которого предоставляется субсидия;</w:t>
      </w:r>
    </w:p>
    <w:p w14:paraId="27D292F3" w14:textId="77777777" w:rsidR="00454A29" w:rsidRDefault="00454A29">
      <w:pPr>
        <w:pStyle w:val="ConsPlusNormal"/>
        <w:spacing w:before="220"/>
        <w:ind w:firstLine="540"/>
        <w:jc w:val="both"/>
      </w:pPr>
      <w:r>
        <w:t>2) наличие соглашения с Министерством о предоставлении и распределении из государственного бюджета Республики Саха (Якутия) субсидии бюджету муниципального района (городского округа), предусматривающего обязательства муниципального района (городского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w:t>
      </w:r>
    </w:p>
    <w:p w14:paraId="545C4CC4" w14:textId="77777777" w:rsidR="00454A29" w:rsidRDefault="00454A29">
      <w:pPr>
        <w:pStyle w:val="ConsPlusNormal"/>
        <w:spacing w:before="220"/>
        <w:ind w:firstLine="540"/>
        <w:jc w:val="both"/>
      </w:pPr>
      <w:r>
        <w:t>3) наличие в муниципальной программе мероприятий, направленных на содействие развитию субъектов малого и среднего предпринимательства, осуществляющих присмотр и уход за детьми дошкольного возраста, на финансирование которых предоставляется субсидия;</w:t>
      </w:r>
    </w:p>
    <w:p w14:paraId="73F9E8E5" w14:textId="77777777" w:rsidR="00454A29" w:rsidRDefault="00454A29">
      <w:pPr>
        <w:pStyle w:val="ConsPlusNormal"/>
        <w:spacing w:before="220"/>
        <w:ind w:firstLine="540"/>
        <w:jc w:val="both"/>
      </w:pPr>
      <w:r>
        <w:t>4) наличие в местных бюджетах бюджетных ассигнований на реализацию мероприятий, направленных на содействие развитию субъектов малого и среднего предпринимательства, осуществляющих присмотр и уход за детьми дошкольного возраста, не ниже предельного уровня, утверждаемого ежегодно Правительством Республики Саха (Якутия), от объема предоставляемой из государственного бюджета Республики Саха (Якутия) субсидии;</w:t>
      </w:r>
    </w:p>
    <w:p w14:paraId="55689665" w14:textId="77777777" w:rsidR="00454A29" w:rsidRDefault="00454A29">
      <w:pPr>
        <w:pStyle w:val="ConsPlusNormal"/>
        <w:spacing w:before="220"/>
        <w:ind w:firstLine="540"/>
        <w:jc w:val="both"/>
      </w:pPr>
      <w:r>
        <w:t xml:space="preserve">5) обязательство муниципальных образований по установлению в муниципальной программе </w:t>
      </w:r>
      <w:r>
        <w:lastRenderedPageBreak/>
        <w:t>значений показателей оценки эффективности использования субсидии, определенных Соглашением;</w:t>
      </w:r>
    </w:p>
    <w:p w14:paraId="285E8E9D" w14:textId="77777777" w:rsidR="00454A29" w:rsidRDefault="00454A29">
      <w:pPr>
        <w:pStyle w:val="ConsPlusNormal"/>
        <w:spacing w:before="220"/>
        <w:ind w:firstLine="540"/>
        <w:jc w:val="both"/>
      </w:pPr>
      <w:r>
        <w:t>6) наличие субъектов малого и среднего предпринимательства, осуществляющих присмотр и уход за детьми дошкольного возраста на территории муниципального образования.</w:t>
      </w:r>
    </w:p>
    <w:p w14:paraId="4E91E26B" w14:textId="77777777" w:rsidR="00454A29" w:rsidRDefault="00454A29">
      <w:pPr>
        <w:pStyle w:val="ConsPlusNormal"/>
        <w:spacing w:before="220"/>
        <w:ind w:firstLine="540"/>
        <w:jc w:val="both"/>
      </w:pPr>
      <w:r>
        <w:t>2.3. Основаниями для отказа муниципальному району или городскому округу Республики Саха (Якутия) в предоставлении субсидии являются:</w:t>
      </w:r>
    </w:p>
    <w:p w14:paraId="4DA8045A" w14:textId="77777777" w:rsidR="00454A29" w:rsidRDefault="00454A29">
      <w:pPr>
        <w:pStyle w:val="ConsPlusNormal"/>
        <w:spacing w:before="220"/>
        <w:ind w:firstLine="540"/>
        <w:jc w:val="both"/>
      </w:pPr>
      <w:r>
        <w:t xml:space="preserve">а) несоответствие условиям предоставления субсидии, указанным в </w:t>
      </w:r>
      <w:hyperlink w:anchor="P33670" w:history="1">
        <w:r>
          <w:rPr>
            <w:color w:val="0000FF"/>
          </w:rPr>
          <w:t>пункте 2.2</w:t>
        </w:r>
      </w:hyperlink>
      <w:r>
        <w:t xml:space="preserve"> настоящего Порядка;</w:t>
      </w:r>
    </w:p>
    <w:p w14:paraId="41BBD699" w14:textId="77777777" w:rsidR="00454A29" w:rsidRDefault="00454A29">
      <w:pPr>
        <w:pStyle w:val="ConsPlusNormal"/>
        <w:spacing w:before="220"/>
        <w:ind w:firstLine="540"/>
        <w:jc w:val="both"/>
      </w:pPr>
      <w:r>
        <w:t>б) несоответствие критериям;</w:t>
      </w:r>
    </w:p>
    <w:p w14:paraId="5E24869E" w14:textId="77777777" w:rsidR="00454A29" w:rsidRDefault="00454A29">
      <w:pPr>
        <w:pStyle w:val="ConsPlusNormal"/>
        <w:spacing w:before="220"/>
        <w:ind w:firstLine="540"/>
        <w:jc w:val="both"/>
      </w:pPr>
      <w:r>
        <w:t>в) неполнота документов в составе заявки.</w:t>
      </w:r>
    </w:p>
    <w:p w14:paraId="3A4D4FD6" w14:textId="77777777" w:rsidR="00454A29" w:rsidRDefault="00454A29">
      <w:pPr>
        <w:pStyle w:val="ConsPlusNormal"/>
        <w:spacing w:before="220"/>
        <w:ind w:firstLine="540"/>
        <w:jc w:val="both"/>
      </w:pPr>
      <w:r>
        <w:t>2.4. Субсидии предоставляются муниципальным образованиям на основании соглашения о предоставлении субсидии. Форма соглашения утверждается Приказом Министерства в соответствии с типовой формой, утвержденной Приказом Министерством финансов Республики Саха (Якутия). Соглашение должно содержать:</w:t>
      </w:r>
    </w:p>
    <w:p w14:paraId="42FCA8EC" w14:textId="77777777" w:rsidR="00454A29" w:rsidRDefault="00454A29">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местного бюджета на реализацию соответствующих расходных обязательств. Уровень софинансирования, выраженный в процентах от объема бюджетных ассигнований, не может быть установлен выше предельного уровня софинансирования расходных обязательств муниципальных образований из государственного бюджета Республики Саха (Якутия), утверждаемого ежегодно Правительством Республики Саха (Якутия);</w:t>
      </w:r>
    </w:p>
    <w:p w14:paraId="71E939F3" w14:textId="77777777" w:rsidR="00454A29" w:rsidRDefault="00454A29">
      <w:pPr>
        <w:pStyle w:val="ConsPlusNormal"/>
        <w:spacing w:before="220"/>
        <w:ind w:firstLine="540"/>
        <w:jc w:val="both"/>
      </w:pPr>
      <w: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Республики Саха (Якутия) "Развитие образования Республики Саха (Якутия) на 2020 - 2024 годы и на плановый период до 2026 года", и обязательства муниципального образования по их достижению;</w:t>
      </w:r>
    </w:p>
    <w:p w14:paraId="1B6125C7" w14:textId="77777777" w:rsidR="00454A29" w:rsidRDefault="00454A29">
      <w:pPr>
        <w:pStyle w:val="ConsPlusNormal"/>
        <w:spacing w:before="220"/>
        <w:ind w:firstLine="540"/>
        <w:jc w:val="both"/>
      </w:pPr>
      <w:r>
        <w:t>в) обязательство муниципальных образований по выполнению установленных требований к повышению качества и доступности предоставляемых муниципальных услуг - в отношении субсидий, предоставляемых на софинансирование расходных обязательств по оказанию муниципальных услуг;</w:t>
      </w:r>
    </w:p>
    <w:p w14:paraId="78F2F890" w14:textId="77777777" w:rsidR="00454A29" w:rsidRDefault="00454A29">
      <w:pPr>
        <w:pStyle w:val="ConsPlusNormal"/>
        <w:spacing w:before="220"/>
        <w:ind w:firstLine="540"/>
        <w:jc w:val="both"/>
      </w:pPr>
      <w:r>
        <w:t>г) наличие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14:paraId="1C36B223" w14:textId="77777777" w:rsidR="00454A29" w:rsidRDefault="00454A29">
      <w:pPr>
        <w:pStyle w:val="ConsPlusNormal"/>
        <w:spacing w:before="220"/>
        <w:ind w:firstLine="540"/>
        <w:jc w:val="both"/>
      </w:pPr>
      <w:r>
        <w:t>д)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субсидий;</w:t>
      </w:r>
    </w:p>
    <w:p w14:paraId="795CAC12" w14:textId="77777777" w:rsidR="00454A29" w:rsidRDefault="00454A29">
      <w:pPr>
        <w:pStyle w:val="ConsPlusNormal"/>
        <w:spacing w:before="220"/>
        <w:ind w:firstLine="540"/>
        <w:jc w:val="both"/>
      </w:pPr>
      <w:r>
        <w:t>е) сроки и порядок представления отчетности об осуществлении расходов бюджета муниципального образования и о достижении значений показателей результативности использования субсидий;</w:t>
      </w:r>
    </w:p>
    <w:p w14:paraId="73423A0E" w14:textId="77777777" w:rsidR="00454A29" w:rsidRDefault="00454A29">
      <w:pPr>
        <w:pStyle w:val="ConsPlusNormal"/>
        <w:spacing w:before="220"/>
        <w:ind w:firstLine="540"/>
        <w:jc w:val="both"/>
      </w:pPr>
      <w:r>
        <w:t>ж) порядок осуществления контроля за выполнением муниципальным образованием обязательств, предусмотренных соглашением;</w:t>
      </w:r>
    </w:p>
    <w:p w14:paraId="4EBA0D51" w14:textId="77777777" w:rsidR="00454A29" w:rsidRDefault="00454A29">
      <w:pPr>
        <w:pStyle w:val="ConsPlusNormal"/>
        <w:spacing w:before="220"/>
        <w:ind w:firstLine="540"/>
        <w:jc w:val="both"/>
      </w:pPr>
      <w:r>
        <w:t>з) ответственность и последствия за предоставление неполных и недостоверных данных (сведений);</w:t>
      </w:r>
    </w:p>
    <w:p w14:paraId="529DBB5C" w14:textId="77777777" w:rsidR="00454A29" w:rsidRDefault="00454A29">
      <w:pPr>
        <w:pStyle w:val="ConsPlusNormal"/>
        <w:spacing w:before="220"/>
        <w:ind w:firstLine="540"/>
        <w:jc w:val="both"/>
      </w:pPr>
      <w:r>
        <w:lastRenderedPageBreak/>
        <w:t>и) ответственность сторон за нарушение условий соглашения;</w:t>
      </w:r>
    </w:p>
    <w:p w14:paraId="08299796" w14:textId="77777777" w:rsidR="00454A29" w:rsidRDefault="00454A29">
      <w:pPr>
        <w:pStyle w:val="ConsPlusNormal"/>
        <w:spacing w:before="220"/>
        <w:ind w:firstLine="540"/>
        <w:jc w:val="both"/>
      </w:pPr>
      <w:r>
        <w:t>к) условие о вступлении в силу соглашения.</w:t>
      </w:r>
    </w:p>
    <w:p w14:paraId="3EA8FCD4" w14:textId="77777777" w:rsidR="00454A29" w:rsidRDefault="00454A29">
      <w:pPr>
        <w:pStyle w:val="ConsPlusNormal"/>
        <w:spacing w:before="220"/>
        <w:ind w:firstLine="540"/>
        <w:jc w:val="both"/>
      </w:pPr>
      <w:r>
        <w:t>Проекты соглашений о предоставлении субсидий подлежат опубликованию до 1 марта текущего финансового года на официальном сайте Министерства в информационно-телекоммуникационной сети Интернет.</w:t>
      </w:r>
    </w:p>
    <w:p w14:paraId="73F838B7" w14:textId="77777777" w:rsidR="00454A29" w:rsidRDefault="00454A29">
      <w:pPr>
        <w:pStyle w:val="ConsPlusNormal"/>
        <w:spacing w:before="220"/>
        <w:ind w:firstLine="540"/>
        <w:jc w:val="both"/>
      </w:pPr>
      <w:r>
        <w:t>2.5. Оценка эффективности использования субсидии производится Министерством на основании показателей результативности, установленных в Соглашениях:</w:t>
      </w:r>
    </w:p>
    <w:p w14:paraId="14A4AD4F" w14:textId="77777777" w:rsidR="00454A29" w:rsidRDefault="00454A29">
      <w:pPr>
        <w:pStyle w:val="ConsPlusNormal"/>
        <w:spacing w:before="220"/>
        <w:ind w:firstLine="540"/>
        <w:jc w:val="both"/>
      </w:pPr>
      <w:r>
        <w:t>исполнение плана создания дополнительных мест в дошкольные образовательные организации в целях обеспечения достижения в 2021 году 100% доступности дошкольного образования для детей в возрасте от 3 до 7 лет - 100%;</w:t>
      </w:r>
    </w:p>
    <w:p w14:paraId="0C9967AD" w14:textId="77777777" w:rsidR="00454A29" w:rsidRDefault="00454A29">
      <w:pPr>
        <w:pStyle w:val="ConsPlusNormal"/>
        <w:spacing w:before="220"/>
        <w:ind w:firstLine="540"/>
        <w:jc w:val="both"/>
      </w:pPr>
      <w:r>
        <w:t>установление платы, взимаемой с родителей или законных представителей за присмотр и уход за детьми, обучающимся в частной дошкольной организации, не превышающей 200% от платы, взимаемой с родителей или законных представителей за присмотр и уход за детьми, обучающимся в муниципальной дошкольной образовательной организации - 100%;</w:t>
      </w:r>
    </w:p>
    <w:p w14:paraId="742AFF42" w14:textId="77777777" w:rsidR="00454A29" w:rsidRDefault="00454A29">
      <w:pPr>
        <w:pStyle w:val="ConsPlusNormal"/>
        <w:spacing w:before="220"/>
        <w:ind w:firstLine="540"/>
        <w:jc w:val="both"/>
      </w:pPr>
      <w:r>
        <w:t>содержание в актуальном состоянии Портала образовательных услуг Республики Саха (Якутия) в части полноты информации об охвате детей дошкольным образованием и очередности в дошкольные образовательные организации, в том числе в статусе "перевод в другое учреждение" - 100%.</w:t>
      </w:r>
    </w:p>
    <w:p w14:paraId="308F75A6" w14:textId="77777777" w:rsidR="00454A29" w:rsidRDefault="00454A29">
      <w:pPr>
        <w:pStyle w:val="ConsPlusNormal"/>
      </w:pPr>
    </w:p>
    <w:p w14:paraId="0AA11FB9" w14:textId="77777777" w:rsidR="00454A29" w:rsidRDefault="00454A29">
      <w:pPr>
        <w:pStyle w:val="ConsPlusTitle"/>
        <w:jc w:val="center"/>
        <w:outlineLvl w:val="2"/>
      </w:pPr>
      <w:r>
        <w:t>III. Порядок рассмотрения заявок на предоставление субсидии</w:t>
      </w:r>
    </w:p>
    <w:p w14:paraId="624ABB72" w14:textId="77777777" w:rsidR="00454A29" w:rsidRDefault="00454A29">
      <w:pPr>
        <w:pStyle w:val="ConsPlusNormal"/>
      </w:pPr>
    </w:p>
    <w:p w14:paraId="6805E9F1" w14:textId="77777777" w:rsidR="00454A29" w:rsidRDefault="00454A29">
      <w:pPr>
        <w:pStyle w:val="ConsPlusNormal"/>
        <w:ind w:firstLine="540"/>
        <w:jc w:val="both"/>
      </w:pPr>
      <w:r>
        <w:t>3.1. Извещение о проведении отбора муниципальных образований для предоставления субсидии утверждается приказом Министерства, и не позднее двух рабочих дней с момента утверждения приказ размещается на официальном сайте Министерства. Срок приема заявок на участие в отборе получателей субсидий не может быть менее 10 рабочих дней, при этом прием заявок на участие в отборе начинается с рабочего дня, следующего за днем размещения извещения на официальном сайте Министерства.</w:t>
      </w:r>
    </w:p>
    <w:p w14:paraId="45ECA11C" w14:textId="77777777" w:rsidR="00454A29" w:rsidRDefault="00454A29">
      <w:pPr>
        <w:pStyle w:val="ConsPlusNormal"/>
        <w:spacing w:before="220"/>
        <w:ind w:firstLine="540"/>
        <w:jc w:val="both"/>
      </w:pPr>
      <w:r>
        <w:t>3.2. В извещении о проведении отбора муниципальных образований для предоставления субсидии содержится:</w:t>
      </w:r>
    </w:p>
    <w:p w14:paraId="21ED91DB" w14:textId="77777777" w:rsidR="00454A29" w:rsidRDefault="00454A29">
      <w:pPr>
        <w:pStyle w:val="ConsPlusNormal"/>
        <w:spacing w:before="220"/>
        <w:ind w:firstLine="540"/>
        <w:jc w:val="both"/>
      </w:pPr>
      <w:r>
        <w:t>а) полное наименование Министерства и его почтовый адрес;</w:t>
      </w:r>
    </w:p>
    <w:p w14:paraId="32013A81" w14:textId="77777777" w:rsidR="00454A29" w:rsidRDefault="00454A29">
      <w:pPr>
        <w:pStyle w:val="ConsPlusNormal"/>
        <w:spacing w:before="220"/>
        <w:ind w:firstLine="540"/>
        <w:jc w:val="both"/>
      </w:pPr>
      <w:r>
        <w:t>б) полное наименование субсидии;</w:t>
      </w:r>
    </w:p>
    <w:p w14:paraId="742E2653" w14:textId="77777777" w:rsidR="00454A29" w:rsidRDefault="00454A29">
      <w:pPr>
        <w:pStyle w:val="ConsPlusNormal"/>
        <w:spacing w:before="220"/>
        <w:ind w:firstLine="540"/>
        <w:jc w:val="both"/>
      </w:pPr>
      <w:r>
        <w:t>в) информация о периоде, на который будет выделена субсидия;</w:t>
      </w:r>
    </w:p>
    <w:p w14:paraId="29813896" w14:textId="77777777" w:rsidR="00454A29" w:rsidRDefault="00454A29">
      <w:pPr>
        <w:pStyle w:val="ConsPlusNormal"/>
        <w:spacing w:before="220"/>
        <w:ind w:firstLine="540"/>
        <w:jc w:val="both"/>
      </w:pPr>
      <w:r>
        <w:t>г) условия предоставления субсидии;</w:t>
      </w:r>
    </w:p>
    <w:p w14:paraId="5D64A4D6" w14:textId="77777777" w:rsidR="00454A29" w:rsidRDefault="00454A29">
      <w:pPr>
        <w:pStyle w:val="ConsPlusNormal"/>
        <w:spacing w:before="220"/>
        <w:ind w:firstLine="540"/>
        <w:jc w:val="both"/>
      </w:pPr>
      <w:r>
        <w:t>д) форма заявки на участие в отборе;</w:t>
      </w:r>
    </w:p>
    <w:p w14:paraId="7914977B" w14:textId="77777777" w:rsidR="00454A29" w:rsidRDefault="00454A29">
      <w:pPr>
        <w:pStyle w:val="ConsPlusNormal"/>
        <w:spacing w:before="220"/>
        <w:ind w:firstLine="540"/>
        <w:jc w:val="both"/>
      </w:pPr>
      <w:r>
        <w:t>е) место, сроки и время приема заявок;</w:t>
      </w:r>
    </w:p>
    <w:p w14:paraId="26043F8C" w14:textId="77777777" w:rsidR="00454A29" w:rsidRDefault="00454A29">
      <w:pPr>
        <w:pStyle w:val="ConsPlusNormal"/>
        <w:spacing w:before="220"/>
        <w:ind w:firstLine="540"/>
        <w:jc w:val="both"/>
      </w:pPr>
      <w:r>
        <w:t>ж) критерии отбора муниципальных образований для предоставления субсидии.</w:t>
      </w:r>
    </w:p>
    <w:p w14:paraId="0C06AD10" w14:textId="77777777" w:rsidR="00454A29" w:rsidRDefault="00454A29">
      <w:pPr>
        <w:pStyle w:val="ConsPlusNormal"/>
        <w:spacing w:before="220"/>
        <w:ind w:firstLine="540"/>
        <w:jc w:val="both"/>
      </w:pPr>
      <w:r>
        <w:t>3.3. Заявка на участие в отборе для предоставления субсидии подписывается главой муниципального образования. В случае, если заявка на участие в отборе подписана лицом, не являющимся главой муниципального образования, к заявке прилагаются документы, подтверждающие полномочия на подписание заявки на участие в отборе.</w:t>
      </w:r>
    </w:p>
    <w:p w14:paraId="7729F20F" w14:textId="77777777" w:rsidR="00454A29" w:rsidRDefault="00454A29">
      <w:pPr>
        <w:pStyle w:val="ConsPlusNormal"/>
        <w:spacing w:before="220"/>
        <w:ind w:firstLine="540"/>
        <w:jc w:val="both"/>
      </w:pPr>
      <w:r>
        <w:t>3.4. К заявке прилагаются следующие документы:</w:t>
      </w:r>
    </w:p>
    <w:p w14:paraId="1F3832F2" w14:textId="77777777" w:rsidR="00454A29" w:rsidRDefault="00454A29">
      <w:pPr>
        <w:pStyle w:val="ConsPlusNormal"/>
        <w:spacing w:before="220"/>
        <w:ind w:firstLine="540"/>
        <w:jc w:val="both"/>
      </w:pPr>
      <w:r>
        <w:lastRenderedPageBreak/>
        <w:t>а) копия плана создания дополнительных мест в дошкольные образовательные организации в целях обеспечения достижения к 2021 году 100% доступности дошкольного образования для детей в возрасте от 3 до 7 лет;</w:t>
      </w:r>
    </w:p>
    <w:p w14:paraId="4A072D61" w14:textId="77777777" w:rsidR="00454A29" w:rsidRDefault="00454A29">
      <w:pPr>
        <w:pStyle w:val="ConsPlusNormal"/>
        <w:spacing w:before="220"/>
        <w:ind w:firstLine="540"/>
        <w:jc w:val="both"/>
      </w:pPr>
      <w:r>
        <w:t>б) копии документов, подтверждающих наличие субъектов малого и среднего предпринимательства, осуществляющих присмотр и уход за детьми дошкольного возраста, в том числе имеющих лицензию на осуществление образовательной деятельности по образовательным программам дошкольного образования в муниципальном образовании;</w:t>
      </w:r>
    </w:p>
    <w:p w14:paraId="1064B650" w14:textId="77777777" w:rsidR="00454A29" w:rsidRDefault="00454A29">
      <w:pPr>
        <w:pStyle w:val="ConsPlusNormal"/>
        <w:spacing w:before="220"/>
        <w:ind w:firstLine="540"/>
        <w:jc w:val="both"/>
      </w:pPr>
      <w:r>
        <w:t>в) заверенная в установленном законодательством порядке выписка из решения о бюджете (сводной бюджетной росписи местного бюджета) о размере средств в местном бюджете на софинансирование мероприятий;</w:t>
      </w:r>
    </w:p>
    <w:p w14:paraId="02B2C6E6" w14:textId="77777777" w:rsidR="00454A29" w:rsidRDefault="00454A29">
      <w:pPr>
        <w:pStyle w:val="ConsPlusNormal"/>
        <w:spacing w:before="220"/>
        <w:ind w:firstLine="540"/>
        <w:jc w:val="both"/>
      </w:pPr>
      <w:r>
        <w:t>г) обязательство муниципального образования по установлению в муниципальной программе значений показателей оценки эффективности использования субсидии;</w:t>
      </w:r>
    </w:p>
    <w:p w14:paraId="1F852300" w14:textId="77777777" w:rsidR="00454A29" w:rsidRDefault="00454A29">
      <w:pPr>
        <w:pStyle w:val="ConsPlusNormal"/>
        <w:spacing w:before="220"/>
        <w:ind w:firstLine="540"/>
        <w:jc w:val="both"/>
      </w:pPr>
      <w:r>
        <w:t>д) выписка из муниципальной программы с мероприятиями, направленными на содействие развитию субъектов малого и среднего предпринимательства, осуществляющих присмотр и уход за детьми дошкольного возраста, на финансирование которых предоставляется субсидия;</w:t>
      </w:r>
    </w:p>
    <w:p w14:paraId="519C6861" w14:textId="77777777" w:rsidR="00454A29" w:rsidRDefault="00454A29">
      <w:pPr>
        <w:pStyle w:val="ConsPlusNormal"/>
        <w:spacing w:before="220"/>
        <w:ind w:firstLine="540"/>
        <w:jc w:val="both"/>
      </w:pPr>
      <w:r>
        <w:t>е) документ, подтверждающий наличие в муниципальном образовании очередности детей в возрасте от 3 до 7 лет в дошкольные образовательные организации.</w:t>
      </w:r>
    </w:p>
    <w:p w14:paraId="785D369D" w14:textId="77777777" w:rsidR="00454A29" w:rsidRDefault="00454A29">
      <w:pPr>
        <w:pStyle w:val="ConsPlusNormal"/>
        <w:spacing w:before="220"/>
        <w:ind w:firstLine="540"/>
        <w:jc w:val="both"/>
      </w:pPr>
      <w:r>
        <w:t>Документы, представляемые в Министерство для получения субсидии, должны быть пронумерованы и прошнурованы, заверены главой муниципального образования с указанием фамилии, инициалов, должности и даты.</w:t>
      </w:r>
    </w:p>
    <w:p w14:paraId="2B051C06" w14:textId="77777777" w:rsidR="00454A29" w:rsidRDefault="00454A29">
      <w:pPr>
        <w:pStyle w:val="ConsPlusNormal"/>
        <w:spacing w:before="220"/>
        <w:ind w:firstLine="540"/>
        <w:jc w:val="both"/>
      </w:pPr>
      <w:r>
        <w:t>3.5. Глава муниципального образования несет ответственность за достоверность представляемых документов в соответствии с действующим законодательством.</w:t>
      </w:r>
    </w:p>
    <w:p w14:paraId="7E10D6BC" w14:textId="77777777" w:rsidR="00454A29" w:rsidRDefault="00454A29">
      <w:pPr>
        <w:pStyle w:val="ConsPlusNormal"/>
        <w:spacing w:before="220"/>
        <w:ind w:firstLine="540"/>
        <w:jc w:val="both"/>
      </w:pPr>
      <w:r>
        <w:t>3.6. Для рассмотрения заявок Министерство создает комиссию, которая в течение 10 рабочих дней со дня окончания приема заявок рассматривает представленные документы. По итогам рассмотрения комиссия Министерства принимает решение о предоставлении субсидии либо об отказе в предоставлении субсидии.</w:t>
      </w:r>
    </w:p>
    <w:p w14:paraId="670AF237" w14:textId="77777777" w:rsidR="00454A29" w:rsidRDefault="00454A29">
      <w:pPr>
        <w:pStyle w:val="ConsPlusNormal"/>
        <w:spacing w:before="220"/>
        <w:ind w:firstLine="540"/>
        <w:jc w:val="both"/>
      </w:pPr>
      <w:r>
        <w:t>Итоги рассмотрения заявок оформляются протоколом заседания комиссии Министерства и в течение 3 рабочих дней после его принятия утверждаются приказом Министерства, который размещается на официальном сайте Министерства. В случае принятия решения об отказе в предоставлении субсидии в протоколе комиссии должны быть указаны причины отказа.</w:t>
      </w:r>
    </w:p>
    <w:p w14:paraId="29FB1501" w14:textId="77777777" w:rsidR="00454A29" w:rsidRDefault="00454A29">
      <w:pPr>
        <w:pStyle w:val="ConsPlusNormal"/>
        <w:spacing w:before="220"/>
        <w:ind w:firstLine="540"/>
        <w:jc w:val="both"/>
      </w:pPr>
      <w:r>
        <w:t>3.7. Критериями отбора муниципальных образований для получения субсидии являются:</w:t>
      </w:r>
    </w:p>
    <w:p w14:paraId="206185DB" w14:textId="77777777" w:rsidR="00454A29" w:rsidRDefault="00454A29">
      <w:pPr>
        <w:pStyle w:val="ConsPlusNormal"/>
        <w:spacing w:before="220"/>
        <w:ind w:firstLine="540"/>
        <w:jc w:val="both"/>
      </w:pPr>
      <w:r>
        <w:t>а) наличие в муниципальном образовании субъектов малого и среднего предпринимательства, осуществляющих присмотр и уход за детьми дошкольного возраста;</w:t>
      </w:r>
    </w:p>
    <w:p w14:paraId="5858E8C4" w14:textId="77777777" w:rsidR="00454A29" w:rsidRDefault="00454A29">
      <w:pPr>
        <w:pStyle w:val="ConsPlusNormal"/>
        <w:spacing w:before="220"/>
        <w:ind w:firstLine="540"/>
        <w:jc w:val="both"/>
      </w:pPr>
      <w:r>
        <w:t>б) наличие в муниципальном образовании очередности детей в возрасте от 3 до 7 лет в дошкольные образовательные организации;</w:t>
      </w:r>
    </w:p>
    <w:p w14:paraId="65E6889C" w14:textId="77777777" w:rsidR="00454A29" w:rsidRDefault="00454A29">
      <w:pPr>
        <w:pStyle w:val="ConsPlusNormal"/>
        <w:spacing w:before="220"/>
        <w:ind w:firstLine="540"/>
        <w:jc w:val="both"/>
      </w:pPr>
      <w:r>
        <w:t>в) наличие в муниципальном образовании утвержденного плана, обеспечивающего достижение к 2021 году 100% доступности дошкольного образования для детей в возрасте от 3 до 7 лет;</w:t>
      </w:r>
    </w:p>
    <w:p w14:paraId="5813A79B" w14:textId="77777777" w:rsidR="00454A29" w:rsidRDefault="00454A29">
      <w:pPr>
        <w:pStyle w:val="ConsPlusNormal"/>
        <w:spacing w:before="220"/>
        <w:ind w:firstLine="540"/>
        <w:jc w:val="both"/>
      </w:pPr>
      <w:r>
        <w:t>г) наличие в местных бюджетах на текущий финансовый год расходов на фонд оплаты труда, на оплату коммунальных услуг и социальных выплат;</w:t>
      </w:r>
    </w:p>
    <w:p w14:paraId="0511C479" w14:textId="77777777" w:rsidR="00454A29" w:rsidRDefault="00454A29">
      <w:pPr>
        <w:pStyle w:val="ConsPlusNormal"/>
        <w:spacing w:before="220"/>
        <w:ind w:firstLine="540"/>
        <w:jc w:val="both"/>
      </w:pPr>
      <w:r>
        <w:t xml:space="preserve">3.8. Размер субсидии в отношении каждого муниципального образования рассчитывается </w:t>
      </w:r>
      <w:r>
        <w:lastRenderedPageBreak/>
        <w:t>исходя из объема софинансирования средств за счет государственного бюджета Республики Саха (Якутия) расходного обязательства муниципального образования по формуле:</w:t>
      </w:r>
    </w:p>
    <w:p w14:paraId="15AAFD4C" w14:textId="77777777" w:rsidR="00454A29" w:rsidRDefault="00454A29">
      <w:pPr>
        <w:pStyle w:val="ConsPlusNormal"/>
      </w:pPr>
    </w:p>
    <w:p w14:paraId="5BC40DF2" w14:textId="77777777" w:rsidR="00454A29" w:rsidRDefault="00454A29">
      <w:pPr>
        <w:pStyle w:val="ConsPlusNormal"/>
        <w:jc w:val="center"/>
      </w:pPr>
      <w:r>
        <w:t>С = (НПУi x Чн x Км) - Vi,</w:t>
      </w:r>
    </w:p>
    <w:p w14:paraId="0B57E5BE" w14:textId="77777777" w:rsidR="00454A29" w:rsidRDefault="00454A29">
      <w:pPr>
        <w:pStyle w:val="ConsPlusNormal"/>
      </w:pPr>
    </w:p>
    <w:p w14:paraId="461561EB" w14:textId="77777777" w:rsidR="00454A29" w:rsidRDefault="00454A29">
      <w:pPr>
        <w:pStyle w:val="ConsPlusNormal"/>
        <w:ind w:firstLine="540"/>
        <w:jc w:val="both"/>
      </w:pPr>
      <w:r>
        <w:t>где:</w:t>
      </w:r>
    </w:p>
    <w:p w14:paraId="3D5A618B" w14:textId="77777777" w:rsidR="00454A29" w:rsidRDefault="00454A29">
      <w:pPr>
        <w:pStyle w:val="ConsPlusNormal"/>
        <w:spacing w:before="220"/>
        <w:ind w:firstLine="540"/>
        <w:jc w:val="both"/>
      </w:pPr>
      <w:r>
        <w:t>С - размер субсидии;</w:t>
      </w:r>
    </w:p>
    <w:p w14:paraId="4F5CDDEC" w14:textId="77777777" w:rsidR="00454A29" w:rsidRDefault="00454A29">
      <w:pPr>
        <w:pStyle w:val="ConsPlusNormal"/>
        <w:spacing w:before="220"/>
        <w:ind w:firstLine="540"/>
        <w:jc w:val="both"/>
      </w:pPr>
      <w:r>
        <w:t>НПУi - норматив по присмотру и уходу за детьми дошкольного возраста на территории Республики Саха (Якутия);</w:t>
      </w:r>
    </w:p>
    <w:p w14:paraId="38BA8B10" w14:textId="77777777" w:rsidR="00454A29" w:rsidRDefault="00454A29">
      <w:pPr>
        <w:pStyle w:val="ConsPlusNormal"/>
        <w:spacing w:before="220"/>
        <w:ind w:firstLine="540"/>
        <w:jc w:val="both"/>
      </w:pPr>
      <w:r>
        <w:t>Чн - численность детей в возрасте от 3 до 7 лет, получающих услуги по присмотру и уходу;</w:t>
      </w:r>
    </w:p>
    <w:p w14:paraId="6775C6F7" w14:textId="77777777" w:rsidR="00454A29" w:rsidRDefault="00454A29">
      <w:pPr>
        <w:pStyle w:val="ConsPlusNormal"/>
        <w:spacing w:before="220"/>
        <w:ind w:firstLine="540"/>
        <w:jc w:val="both"/>
      </w:pPr>
      <w:r>
        <w:t>Км - количество месяцев получения услуги;</w:t>
      </w:r>
    </w:p>
    <w:p w14:paraId="2C5EEFFC" w14:textId="77777777" w:rsidR="00454A29" w:rsidRDefault="00454A29">
      <w:pPr>
        <w:pStyle w:val="ConsPlusNormal"/>
        <w:spacing w:before="220"/>
        <w:ind w:firstLine="540"/>
        <w:jc w:val="both"/>
      </w:pPr>
      <w:r>
        <w:t>Vi - объем средств в местном бюджете на софинансирование расходного обязательства муниципального образования.</w:t>
      </w:r>
    </w:p>
    <w:p w14:paraId="512972DC" w14:textId="77777777" w:rsidR="00454A29" w:rsidRDefault="00454A29">
      <w:pPr>
        <w:pStyle w:val="ConsPlusNormal"/>
        <w:spacing w:before="220"/>
        <w:ind w:firstLine="540"/>
        <w:jc w:val="both"/>
      </w:pPr>
      <w:r>
        <w:t>Норматив на присмотр и уход для городской и сельской местности составляет 59 784,0 рубля на 1 ребенка в год. Норматив на присмотр и уход для арктических и северных улусов составляет 81 598,0 рублей на 1 ребенка в год. В норматив на присмотр и уход включены расходы на питание детей и коммунальные расходы.</w:t>
      </w:r>
    </w:p>
    <w:p w14:paraId="3E28335F" w14:textId="77777777" w:rsidR="00454A29" w:rsidRDefault="00454A29">
      <w:pPr>
        <w:pStyle w:val="ConsPlusNormal"/>
        <w:spacing w:before="220"/>
        <w:ind w:firstLine="540"/>
        <w:jc w:val="both"/>
      </w:pPr>
      <w:r>
        <w:t>3.9. Изменение планового размера субсидии оформляется дополнительным соглашением к Соглашению и производится в случаях:</w:t>
      </w:r>
    </w:p>
    <w:p w14:paraId="274787FF" w14:textId="77777777" w:rsidR="00454A29" w:rsidRDefault="00454A29">
      <w:pPr>
        <w:pStyle w:val="ConsPlusNormal"/>
        <w:spacing w:before="220"/>
        <w:ind w:firstLine="540"/>
        <w:jc w:val="both"/>
      </w:pPr>
      <w:r>
        <w:t>а) изменения количества воспитанников в возрасте от 3 до 7 лет;</w:t>
      </w:r>
    </w:p>
    <w:p w14:paraId="7E391C39" w14:textId="77777777" w:rsidR="00454A29" w:rsidRDefault="00454A29">
      <w:pPr>
        <w:pStyle w:val="ConsPlusNormal"/>
        <w:spacing w:before="220"/>
        <w:ind w:firstLine="540"/>
        <w:jc w:val="both"/>
      </w:pPr>
      <w:r>
        <w:t>б) изменения в течение текущего финансового года норматива по присмотру и уходу за детьми дошкольного возраста на территории Республики Саха (Якутия).</w:t>
      </w:r>
    </w:p>
    <w:p w14:paraId="6FFCA7B2" w14:textId="77777777" w:rsidR="00454A29" w:rsidRDefault="00454A29">
      <w:pPr>
        <w:pStyle w:val="ConsPlusNormal"/>
      </w:pPr>
    </w:p>
    <w:p w14:paraId="4ABA5492" w14:textId="77777777" w:rsidR="00454A29" w:rsidRDefault="00454A29">
      <w:pPr>
        <w:pStyle w:val="ConsPlusTitle"/>
        <w:jc w:val="center"/>
        <w:outlineLvl w:val="2"/>
      </w:pPr>
      <w:r>
        <w:t>IV. Перечисление субсидий, контроль, возврат</w:t>
      </w:r>
    </w:p>
    <w:p w14:paraId="694B3715" w14:textId="77777777" w:rsidR="00454A29" w:rsidRDefault="00454A29">
      <w:pPr>
        <w:pStyle w:val="ConsPlusTitle"/>
        <w:jc w:val="center"/>
      </w:pPr>
      <w:r>
        <w:t>и использование остатков субсидий</w:t>
      </w:r>
    </w:p>
    <w:p w14:paraId="058D1CDD" w14:textId="77777777" w:rsidR="00454A29" w:rsidRDefault="00454A29">
      <w:pPr>
        <w:pStyle w:val="ConsPlusNormal"/>
      </w:pPr>
    </w:p>
    <w:p w14:paraId="119903E8" w14:textId="77777777" w:rsidR="00454A29" w:rsidRDefault="00454A29">
      <w:pPr>
        <w:pStyle w:val="ConsPlusNormal"/>
        <w:ind w:firstLine="540"/>
        <w:jc w:val="both"/>
      </w:pPr>
      <w:r>
        <w:t>4.1. В течение 5 рабочих дней со дня принятия решения о предоставлении субсидий из государственного бюджета Республики Саха (Якутия) местным бюджетам Министерство оформляет проекты Соглашений о предоставлении субсидии и направляет их муниципальным образованиям.</w:t>
      </w:r>
    </w:p>
    <w:p w14:paraId="3637A8E8" w14:textId="77777777" w:rsidR="00454A29" w:rsidRDefault="00454A29">
      <w:pPr>
        <w:pStyle w:val="ConsPlusNormal"/>
        <w:spacing w:before="220"/>
        <w:ind w:firstLine="540"/>
        <w:jc w:val="both"/>
      </w:pPr>
      <w:r>
        <w:t>4.2. Соглашения о предоставлении субсидии подписываются сторонами в течение 10 рабочих дней с момента направления Министерством проектов Соглашений муниципальным образованиям.</w:t>
      </w:r>
    </w:p>
    <w:p w14:paraId="1057AD04" w14:textId="77777777" w:rsidR="00454A29" w:rsidRDefault="00454A29">
      <w:pPr>
        <w:pStyle w:val="ConsPlusNormal"/>
        <w:spacing w:before="220"/>
        <w:ind w:firstLine="540"/>
        <w:jc w:val="both"/>
      </w:pPr>
      <w:r>
        <w:t>4.3. Перечисление субсидий, возврат и использование остатков субсидий осуществляется в порядке, установленном бюджетным законодательством Российской Федерации и Республики Саха (Якутия).</w:t>
      </w:r>
    </w:p>
    <w:p w14:paraId="0E95390A" w14:textId="77777777" w:rsidR="00454A29" w:rsidRDefault="00454A29">
      <w:pPr>
        <w:pStyle w:val="ConsPlusNormal"/>
        <w:spacing w:before="220"/>
        <w:ind w:firstLine="540"/>
        <w:jc w:val="both"/>
      </w:pPr>
      <w:r>
        <w:t>4.4.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14:paraId="0DB9EC28" w14:textId="77777777" w:rsidR="00454A29" w:rsidRDefault="00454A29">
      <w:pPr>
        <w:pStyle w:val="ConsPlusNormal"/>
        <w:spacing w:before="220"/>
        <w:ind w:firstLine="540"/>
        <w:jc w:val="both"/>
      </w:pPr>
      <w:r>
        <w:t xml:space="preserve">4.5. В случае если размер бюджетных ассигнований, предусмотренных в бюджете муниципального образования на цели, указанные в Порядке, не соответствует установленному для муниципального образования уровню софинансирования из государственного бюджета Республики Саха (Якутия), то размер субсидии подлежит сокращению до соответствующего уровня софинансирования, а высвобождающиеся средства перераспределяются (при наличии </w:t>
      </w:r>
      <w:r>
        <w:lastRenderedPageBreak/>
        <w:t>потребности) между другими муниципальными образованиями, имеющими право на получение субсидии в соответствии с настоящим Порядком.</w:t>
      </w:r>
    </w:p>
    <w:p w14:paraId="30A584DD" w14:textId="77777777" w:rsidR="00454A29" w:rsidRDefault="00454A29">
      <w:pPr>
        <w:pStyle w:val="ConsPlusNormal"/>
        <w:spacing w:before="220"/>
        <w:ind w:firstLine="540"/>
        <w:jc w:val="both"/>
      </w:pPr>
      <w:r>
        <w:t>4.6. Администрация муниципального образования ежемесячно, до 10 числа месяца, следующего за отчетным месяцем, представляет в Министерство отчет об осуществлении расходов местных бюджетов, источником финансового обеспечения которых является субсидия, и о достигнутых значениях показателей результативности предоставления субсидии по формам, утвержденным приказом Министерства.</w:t>
      </w:r>
    </w:p>
    <w:p w14:paraId="58E6CCF4" w14:textId="77777777" w:rsidR="00454A29" w:rsidRDefault="00454A29">
      <w:pPr>
        <w:pStyle w:val="ConsPlusNormal"/>
        <w:spacing w:before="220"/>
        <w:ind w:firstLine="540"/>
        <w:jc w:val="both"/>
      </w:pPr>
      <w:bookmarkStart w:id="28" w:name="P33750"/>
      <w:bookmarkEnd w:id="28"/>
      <w:r>
        <w:t>4.7.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до 1 июня года, следующего за годом предоставления субсидии (Vвозврата) в соответствии с приказом Министерства, рассчитывается по формуле:</w:t>
      </w:r>
    </w:p>
    <w:p w14:paraId="29518F19" w14:textId="77777777" w:rsidR="00454A29" w:rsidRDefault="00454A29">
      <w:pPr>
        <w:pStyle w:val="ConsPlusNormal"/>
      </w:pPr>
    </w:p>
    <w:p w14:paraId="38EB7F7C" w14:textId="77777777" w:rsidR="00454A29" w:rsidRDefault="00454A29">
      <w:pPr>
        <w:pStyle w:val="ConsPlusNormal"/>
        <w:jc w:val="center"/>
      </w:pPr>
      <w:r>
        <w:t>Vвозврата = (Vсубсидии * k * m / n) * 0,1,</w:t>
      </w:r>
    </w:p>
    <w:p w14:paraId="3D8683E0" w14:textId="77777777" w:rsidR="00454A29" w:rsidRDefault="00454A29">
      <w:pPr>
        <w:pStyle w:val="ConsPlusNormal"/>
      </w:pPr>
    </w:p>
    <w:p w14:paraId="6C7DFB51" w14:textId="77777777" w:rsidR="00454A29" w:rsidRDefault="00454A29">
      <w:pPr>
        <w:pStyle w:val="ConsPlusNormal"/>
        <w:ind w:firstLine="540"/>
        <w:jc w:val="both"/>
      </w:pPr>
      <w:r>
        <w:t>где</w:t>
      </w:r>
    </w:p>
    <w:p w14:paraId="381F558D" w14:textId="77777777" w:rsidR="00454A29" w:rsidRDefault="00454A29">
      <w:pPr>
        <w:pStyle w:val="ConsPlusNormal"/>
        <w:spacing w:before="220"/>
        <w:ind w:firstLine="540"/>
        <w:jc w:val="both"/>
      </w:pPr>
      <w:r>
        <w:t>Vсубсидии - размер субсидии, предоставленной местному бюджету в отчетном финансовом году;</w:t>
      </w:r>
    </w:p>
    <w:p w14:paraId="2521D745" w14:textId="77777777" w:rsidR="00454A29" w:rsidRDefault="00454A29">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1E4C2BC3" w14:textId="77777777" w:rsidR="00454A29" w:rsidRDefault="00454A29">
      <w:pPr>
        <w:pStyle w:val="ConsPlusNormal"/>
        <w:spacing w:before="220"/>
        <w:ind w:firstLine="540"/>
        <w:jc w:val="both"/>
      </w:pPr>
      <w:r>
        <w:t>n - общее количество показателей результативности использования субсидии;</w:t>
      </w:r>
    </w:p>
    <w:p w14:paraId="6B37AC6E" w14:textId="77777777" w:rsidR="00454A29" w:rsidRDefault="00454A29">
      <w:pPr>
        <w:pStyle w:val="ConsPlusNormal"/>
        <w:spacing w:before="220"/>
        <w:ind w:firstLine="540"/>
        <w:jc w:val="both"/>
      </w:pPr>
      <w:r>
        <w:t>k - коэффициент возврата субсидии.</w:t>
      </w:r>
    </w:p>
    <w:p w14:paraId="51DEFAEF" w14:textId="77777777" w:rsidR="00454A29" w:rsidRDefault="00454A29">
      <w:pPr>
        <w:pStyle w:val="ConsPlusNormal"/>
        <w:spacing w:before="220"/>
        <w:ind w:firstLine="540"/>
        <w:jc w:val="both"/>
      </w:pPr>
      <w:r>
        <w:t>4.7.1. 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14:paraId="724D9024" w14:textId="77777777" w:rsidR="00454A29" w:rsidRDefault="00454A29">
      <w:pPr>
        <w:pStyle w:val="ConsPlusNormal"/>
        <w:spacing w:before="220"/>
        <w:ind w:firstLine="540"/>
        <w:jc w:val="both"/>
      </w:pPr>
      <w:r>
        <w:t>4.7.2. Коэффициент возврата субсидии рассчитывается по формуле:</w:t>
      </w:r>
    </w:p>
    <w:p w14:paraId="249FB5CF" w14:textId="77777777" w:rsidR="00454A29" w:rsidRDefault="00454A29">
      <w:pPr>
        <w:pStyle w:val="ConsPlusNormal"/>
      </w:pPr>
    </w:p>
    <w:p w14:paraId="1E0E7C13" w14:textId="77777777" w:rsidR="00454A29" w:rsidRDefault="00454A29">
      <w:pPr>
        <w:pStyle w:val="ConsPlusNormal"/>
        <w:jc w:val="center"/>
      </w:pPr>
      <w:r w:rsidRPr="005D7449">
        <w:rPr>
          <w:position w:val="-11"/>
        </w:rPr>
        <w:pict w14:anchorId="27CBC024">
          <v:shape id="_x0000_i1029" style="width:68.5pt;height:21.95pt" coordsize="" o:spt="100" adj="0,,0" path="" filled="f" stroked="f">
            <v:stroke joinstyle="miter"/>
            <v:imagedata r:id="rId50" o:title="base_23801_77601_32772"/>
            <v:formulas/>
            <v:path o:connecttype="segments"/>
          </v:shape>
        </w:pict>
      </w:r>
      <w:r>
        <w:t>,</w:t>
      </w:r>
    </w:p>
    <w:p w14:paraId="2CBAAF62" w14:textId="77777777" w:rsidR="00454A29" w:rsidRDefault="00454A29">
      <w:pPr>
        <w:pStyle w:val="ConsPlusNormal"/>
      </w:pPr>
    </w:p>
    <w:p w14:paraId="10E70B36" w14:textId="77777777" w:rsidR="00454A29" w:rsidRDefault="00454A29">
      <w:pPr>
        <w:pStyle w:val="ConsPlusNormal"/>
        <w:ind w:firstLine="540"/>
        <w:jc w:val="both"/>
      </w:pPr>
      <w:r>
        <w:t>где:</w:t>
      </w:r>
    </w:p>
    <w:p w14:paraId="0AA5CA79" w14:textId="77777777" w:rsidR="00454A29" w:rsidRDefault="00454A29">
      <w:pPr>
        <w:pStyle w:val="ConsPlusNormal"/>
        <w:spacing w:before="220"/>
        <w:ind w:firstLine="540"/>
        <w:jc w:val="both"/>
      </w:pPr>
      <w:r>
        <w:t>Di - индекс, отражающий уровень недостижения i-го показателя результативности использования субсидии.</w:t>
      </w:r>
    </w:p>
    <w:p w14:paraId="15552BBF" w14:textId="77777777" w:rsidR="00454A29" w:rsidRDefault="00454A29">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7F7C032B" w14:textId="77777777" w:rsidR="00454A29" w:rsidRDefault="00454A29">
      <w:pPr>
        <w:pStyle w:val="ConsPlusNormal"/>
        <w:spacing w:before="220"/>
        <w:ind w:firstLine="540"/>
        <w:jc w:val="both"/>
      </w:pPr>
      <w:r>
        <w:t xml:space="preserve">Индекс, отражающий уровень недостижения i-го показателя результативности </w:t>
      </w:r>
      <w:r>
        <w:lastRenderedPageBreak/>
        <w:t>использования субсидии, определяется:</w:t>
      </w:r>
    </w:p>
    <w:p w14:paraId="53927F15" w14:textId="77777777" w:rsidR="00454A29" w:rsidRDefault="00454A29">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36222936" w14:textId="77777777" w:rsidR="00454A29" w:rsidRDefault="00454A29">
      <w:pPr>
        <w:pStyle w:val="ConsPlusNormal"/>
      </w:pPr>
    </w:p>
    <w:p w14:paraId="5793DBA0" w14:textId="77777777" w:rsidR="00454A29" w:rsidRDefault="00454A29">
      <w:pPr>
        <w:pStyle w:val="ConsPlusNormal"/>
        <w:jc w:val="center"/>
      </w:pPr>
      <w:r>
        <w:t>Di = 1 - Ti / Si,</w:t>
      </w:r>
    </w:p>
    <w:p w14:paraId="5E5D6F40" w14:textId="77777777" w:rsidR="00454A29" w:rsidRDefault="00454A29">
      <w:pPr>
        <w:pStyle w:val="ConsPlusNormal"/>
      </w:pPr>
    </w:p>
    <w:p w14:paraId="4181DA31" w14:textId="77777777" w:rsidR="00454A29" w:rsidRDefault="00454A29">
      <w:pPr>
        <w:pStyle w:val="ConsPlusNormal"/>
        <w:ind w:firstLine="540"/>
        <w:jc w:val="both"/>
      </w:pPr>
      <w:r>
        <w:t>где:</w:t>
      </w:r>
    </w:p>
    <w:p w14:paraId="2D9C71E1" w14:textId="77777777" w:rsidR="00454A29" w:rsidRDefault="00454A29">
      <w:pPr>
        <w:pStyle w:val="ConsPlusNormal"/>
        <w:spacing w:before="220"/>
        <w:ind w:firstLine="540"/>
        <w:jc w:val="both"/>
      </w:pPr>
      <w:r>
        <w:t>Ti - фактически достигнутое значение i-го показателя результативности использования субсидии на отчетную дату;</w:t>
      </w:r>
    </w:p>
    <w:p w14:paraId="65C983AD" w14:textId="77777777" w:rsidR="00454A29" w:rsidRDefault="00454A29">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14:paraId="7ECD73DD" w14:textId="77777777" w:rsidR="00454A29" w:rsidRDefault="00454A29">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2AE2D455" w14:textId="77777777" w:rsidR="00454A29" w:rsidRDefault="00454A29">
      <w:pPr>
        <w:pStyle w:val="ConsPlusNormal"/>
      </w:pPr>
    </w:p>
    <w:p w14:paraId="5AF87BD9" w14:textId="77777777" w:rsidR="00454A29" w:rsidRDefault="00454A29">
      <w:pPr>
        <w:pStyle w:val="ConsPlusNormal"/>
        <w:jc w:val="center"/>
      </w:pPr>
      <w:r>
        <w:t>Di = 1 - Si / Ti</w:t>
      </w:r>
    </w:p>
    <w:p w14:paraId="09B40BCD" w14:textId="77777777" w:rsidR="00454A29" w:rsidRDefault="00454A29">
      <w:pPr>
        <w:pStyle w:val="ConsPlusNormal"/>
      </w:pPr>
    </w:p>
    <w:p w14:paraId="5B357463" w14:textId="77777777" w:rsidR="00454A29" w:rsidRDefault="00454A29">
      <w:pPr>
        <w:pStyle w:val="ConsPlusNormal"/>
        <w:ind w:firstLine="540"/>
        <w:jc w:val="both"/>
      </w:pPr>
      <w:r>
        <w:t xml:space="preserve">4.7.3. Основанием для освобождения муниципальных образований от применения мер ответственности, предусмотренных </w:t>
      </w:r>
      <w:hyperlink w:anchor="P33750" w:history="1">
        <w:r>
          <w:rPr>
            <w:color w:val="0000FF"/>
          </w:rPr>
          <w:t>пунктом 4.7</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2CBEEDA8" w14:textId="77777777" w:rsidR="00454A29" w:rsidRDefault="00454A29">
      <w:pPr>
        <w:pStyle w:val="ConsPlusNormal"/>
        <w:spacing w:before="220"/>
        <w:ind w:firstLine="540"/>
        <w:jc w:val="both"/>
      </w:pPr>
      <w:r>
        <w:t>4.7.4. Министерство при наличии основания, предусмотренного пунктом 4.7.3 настоящего Порядка,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33B00AE4" w14:textId="77777777" w:rsidR="00454A29" w:rsidRDefault="00454A29">
      <w:pPr>
        <w:pStyle w:val="ConsPlusNormal"/>
        <w:spacing w:before="220"/>
        <w:ind w:firstLine="540"/>
        <w:jc w:val="both"/>
      </w:pPr>
      <w:r>
        <w:t xml:space="preserve">4.7.5. 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Документы представляются Министерству муниципальным образованием до 30 апреля года, следующего за годом предоставления субсидии. Министерство не позднее 15 мая года, следующего за годом предоставления субсидии, издает ведомственный акт об освобождении органов местного самоуправления от применения мер ответственности, предусмотренных </w:t>
      </w:r>
      <w:hyperlink w:anchor="P33750" w:history="1">
        <w:r>
          <w:rPr>
            <w:color w:val="0000FF"/>
          </w:rPr>
          <w:t>пунктом 4.7</w:t>
        </w:r>
      </w:hyperlink>
      <w:r>
        <w:t xml:space="preserve"> настоящих Правил.</w:t>
      </w:r>
    </w:p>
    <w:p w14:paraId="039EA3E6" w14:textId="77777777" w:rsidR="00454A29" w:rsidRDefault="00454A29">
      <w:pPr>
        <w:pStyle w:val="ConsPlusNormal"/>
        <w:spacing w:before="220"/>
        <w:ind w:firstLine="540"/>
        <w:jc w:val="both"/>
      </w:pPr>
      <w:r>
        <w:t>4.7.6. В случае отсутствия оснований для освобождения муниципального образования от применения мер ответственности, предусмотренных пунктом 4.7 настоящего Порядка, Министерство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пунктом 4.7 настоящих Правил.</w:t>
      </w:r>
    </w:p>
    <w:p w14:paraId="78026493" w14:textId="77777777" w:rsidR="00454A29" w:rsidRDefault="00454A29">
      <w:pPr>
        <w:pStyle w:val="ConsPlusNormal"/>
        <w:spacing w:before="220"/>
        <w:ind w:firstLine="540"/>
        <w:jc w:val="both"/>
      </w:pPr>
      <w:r>
        <w:t>4.8. Предельный объем сокращения субсидии равен 100% от объема субсидии, предусмотренного бюджету муниципального образования.</w:t>
      </w:r>
    </w:p>
    <w:p w14:paraId="0ED95A2F" w14:textId="77777777" w:rsidR="00454A29" w:rsidRDefault="00454A29">
      <w:pPr>
        <w:pStyle w:val="ConsPlusNormal"/>
        <w:spacing w:before="220"/>
        <w:ind w:firstLine="540"/>
        <w:jc w:val="both"/>
      </w:pPr>
      <w:r>
        <w:t>4.9. Высвобождающиеся средства перераспределяются между другими муниципальными образованиями (при наличии потребности) в случае соблюдения условий предоставления и распределения субсидии.</w:t>
      </w:r>
    </w:p>
    <w:p w14:paraId="43657D70" w14:textId="77777777" w:rsidR="00454A29" w:rsidRDefault="00454A29">
      <w:pPr>
        <w:pStyle w:val="ConsPlusNormal"/>
        <w:spacing w:before="220"/>
        <w:ind w:firstLine="540"/>
        <w:jc w:val="both"/>
      </w:pPr>
      <w:r>
        <w:t>4.10. Решения о приостановлении перечисления (сокращения объема) субсидий бюджету муниципального образования не принимаются, если условия предоставления субсидии были не выполнены в силу обстоятельств непреодолимой силы.</w:t>
      </w:r>
    </w:p>
    <w:p w14:paraId="278A0CA7" w14:textId="77777777" w:rsidR="00454A29" w:rsidRDefault="00454A29">
      <w:pPr>
        <w:pStyle w:val="ConsPlusNormal"/>
        <w:spacing w:before="220"/>
        <w:ind w:firstLine="540"/>
        <w:jc w:val="both"/>
      </w:pPr>
      <w:r>
        <w:lastRenderedPageBreak/>
        <w:t>4.11.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 и Республики Саха (Якутия).</w:t>
      </w:r>
    </w:p>
    <w:p w14:paraId="761429C6" w14:textId="77777777" w:rsidR="00454A29" w:rsidRDefault="00454A29">
      <w:pPr>
        <w:pStyle w:val="ConsPlusNormal"/>
        <w:spacing w:before="220"/>
        <w:ind w:firstLine="540"/>
        <w:jc w:val="both"/>
      </w:pPr>
      <w:r>
        <w:t>4.12. Контроль за целевым использованием субсидий муниципальными образованиями и соблюдением муниципальными образованиями условий предоставления субсидий осуществляется Министерством и органами государственного финансового контроля Республики Саха (Якутия).</w:t>
      </w:r>
    </w:p>
    <w:p w14:paraId="7E93793A" w14:textId="77777777" w:rsidR="00454A29" w:rsidRDefault="00454A29">
      <w:pPr>
        <w:pStyle w:val="ConsPlusNormal"/>
        <w:spacing w:before="220"/>
        <w:ind w:firstLine="540"/>
        <w:jc w:val="both"/>
      </w:pPr>
      <w:r>
        <w:t>4.13.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главу муниципального образования.</w:t>
      </w:r>
    </w:p>
    <w:p w14:paraId="7A9EA046" w14:textId="77777777" w:rsidR="00454A29" w:rsidRDefault="00454A29">
      <w:pPr>
        <w:pStyle w:val="ConsPlusNormal"/>
        <w:spacing w:before="220"/>
        <w:ind w:firstLine="540"/>
        <w:jc w:val="both"/>
      </w:pPr>
      <w:r>
        <w:t>4.14.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3277A786" w14:textId="77777777" w:rsidR="00454A29" w:rsidRDefault="00454A29">
      <w:pPr>
        <w:pStyle w:val="ConsPlusNormal"/>
        <w:spacing w:before="220"/>
        <w:ind w:firstLine="540"/>
        <w:jc w:val="both"/>
      </w:pPr>
      <w:r>
        <w:t xml:space="preserve">Принятие решения о наличии потребности (остатков)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Порядком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 утвержденным </w:t>
      </w:r>
      <w:hyperlink r:id="rId51" w:history="1">
        <w:r>
          <w:rPr>
            <w:color w:val="0000FF"/>
          </w:rPr>
          <w:t>постановлением</w:t>
        </w:r>
      </w:hyperlink>
      <w:r>
        <w:t xml:space="preserve"> Правительства Республики Саха (Якутия) от 17 января 2017 г. N 10.</w:t>
      </w:r>
    </w:p>
    <w:p w14:paraId="33629087" w14:textId="77777777" w:rsidR="00454A29" w:rsidRDefault="00454A29">
      <w:pPr>
        <w:pStyle w:val="ConsPlusNormal"/>
        <w:spacing w:before="220"/>
        <w:ind w:firstLine="540"/>
        <w:jc w:val="both"/>
      </w:pPr>
      <w:r>
        <w:t>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14:paraId="674F6481" w14:textId="77777777" w:rsidR="00454A29" w:rsidRDefault="00454A29">
      <w:pPr>
        <w:pStyle w:val="ConsPlusNormal"/>
        <w:spacing w:before="220"/>
        <w:ind w:firstLine="540"/>
        <w:jc w:val="both"/>
      </w:pPr>
      <w:r>
        <w:t xml:space="preserve">4.15. Бюджетные средства, образовавшиеся в результате экономии (в том числе по итогам проведения органами местного самоуправления муниципальных образований конкурсных процедур в соответствии с Федеральным </w:t>
      </w:r>
      <w:hyperlink r:id="rId5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14:paraId="6BCFA46B" w14:textId="77777777" w:rsidR="00454A29" w:rsidRDefault="00454A29">
      <w:pPr>
        <w:pStyle w:val="ConsPlusNormal"/>
        <w:spacing w:before="220"/>
        <w:ind w:firstLine="540"/>
        <w:jc w:val="both"/>
      </w:pPr>
      <w:r>
        <w:t>4.16. Ответственность за отбор муниципальных образований, претендующих на получение субсидий, распределение субсидий и перечисление средств государственного бюджета в соответствии с условиями соглашения на предоставление субсидий возлагается на Министерство.</w:t>
      </w:r>
    </w:p>
    <w:p w14:paraId="17E38ADE" w14:textId="77777777" w:rsidR="00454A29" w:rsidRDefault="00454A29">
      <w:pPr>
        <w:pStyle w:val="ConsPlusNormal"/>
      </w:pPr>
    </w:p>
    <w:p w14:paraId="0F533301" w14:textId="77777777" w:rsidR="00454A29" w:rsidRDefault="00454A29">
      <w:pPr>
        <w:pStyle w:val="ConsPlusNormal"/>
      </w:pPr>
    </w:p>
    <w:p w14:paraId="05D8645D" w14:textId="77777777" w:rsidR="00454A29" w:rsidRDefault="00454A29">
      <w:pPr>
        <w:pStyle w:val="ConsPlusNormal"/>
      </w:pPr>
    </w:p>
    <w:p w14:paraId="598F03B3" w14:textId="77777777" w:rsidR="00454A29" w:rsidRDefault="00454A29">
      <w:pPr>
        <w:pStyle w:val="ConsPlusNormal"/>
      </w:pPr>
    </w:p>
    <w:p w14:paraId="5E8DC18B" w14:textId="77777777" w:rsidR="00454A29" w:rsidRDefault="00454A29">
      <w:pPr>
        <w:pStyle w:val="ConsPlusNormal"/>
      </w:pPr>
    </w:p>
    <w:p w14:paraId="7F46D153" w14:textId="77777777" w:rsidR="00454A29" w:rsidRDefault="00454A29">
      <w:pPr>
        <w:pStyle w:val="ConsPlusNormal"/>
        <w:jc w:val="right"/>
        <w:outlineLvl w:val="1"/>
      </w:pPr>
      <w:r>
        <w:lastRenderedPageBreak/>
        <w:t>Приложение N 11</w:t>
      </w:r>
    </w:p>
    <w:p w14:paraId="5AD96991" w14:textId="77777777" w:rsidR="00454A29" w:rsidRDefault="00454A29">
      <w:pPr>
        <w:pStyle w:val="ConsPlusNormal"/>
        <w:jc w:val="right"/>
      </w:pPr>
      <w:r>
        <w:t>к государственной программе</w:t>
      </w:r>
    </w:p>
    <w:p w14:paraId="61B3C8CC" w14:textId="77777777" w:rsidR="00454A29" w:rsidRDefault="00454A29">
      <w:pPr>
        <w:pStyle w:val="ConsPlusNormal"/>
        <w:jc w:val="right"/>
      </w:pPr>
      <w:r>
        <w:t>Республики Саха (Якутия)</w:t>
      </w:r>
    </w:p>
    <w:p w14:paraId="492B343E" w14:textId="77777777" w:rsidR="00454A29" w:rsidRDefault="00454A29">
      <w:pPr>
        <w:pStyle w:val="ConsPlusNormal"/>
        <w:jc w:val="right"/>
      </w:pPr>
      <w:r>
        <w:t>"Развитие образования</w:t>
      </w:r>
    </w:p>
    <w:p w14:paraId="19800B36" w14:textId="77777777" w:rsidR="00454A29" w:rsidRDefault="00454A29">
      <w:pPr>
        <w:pStyle w:val="ConsPlusNormal"/>
        <w:jc w:val="right"/>
      </w:pPr>
      <w:r>
        <w:t>Республики Саха (Якутия)</w:t>
      </w:r>
    </w:p>
    <w:p w14:paraId="603AE48A" w14:textId="77777777" w:rsidR="00454A29" w:rsidRDefault="00454A29">
      <w:pPr>
        <w:pStyle w:val="ConsPlusNormal"/>
        <w:jc w:val="right"/>
      </w:pPr>
      <w:r>
        <w:t>на 2020 - 2024 годы и на плановый</w:t>
      </w:r>
    </w:p>
    <w:p w14:paraId="4E5E7EBD" w14:textId="77777777" w:rsidR="00454A29" w:rsidRDefault="00454A29">
      <w:pPr>
        <w:pStyle w:val="ConsPlusNormal"/>
        <w:jc w:val="right"/>
      </w:pPr>
      <w:r>
        <w:t>период до 2026 года"</w:t>
      </w:r>
    </w:p>
    <w:p w14:paraId="1A30F520" w14:textId="77777777" w:rsidR="00454A29" w:rsidRDefault="00454A29">
      <w:pPr>
        <w:pStyle w:val="ConsPlusNormal"/>
      </w:pPr>
    </w:p>
    <w:p w14:paraId="633885A5" w14:textId="77777777" w:rsidR="00454A29" w:rsidRDefault="00454A29">
      <w:pPr>
        <w:pStyle w:val="ConsPlusTitle"/>
        <w:jc w:val="center"/>
      </w:pPr>
      <w:bookmarkStart w:id="29" w:name="P33807"/>
      <w:bookmarkEnd w:id="29"/>
      <w:r>
        <w:t>ПОРЯДОК</w:t>
      </w:r>
    </w:p>
    <w:p w14:paraId="0A6BED8D" w14:textId="77777777" w:rsidR="00454A29" w:rsidRDefault="00454A29">
      <w:pPr>
        <w:pStyle w:val="ConsPlusTitle"/>
        <w:jc w:val="center"/>
      </w:pPr>
      <w:r>
        <w:t>ПРЕДОСТАВЛЕНИЯ И РАСПРЕДЕЛЕНИЯ СУБСИДИЙ ИЗ ГОСУДАРСТВЕННОГО</w:t>
      </w:r>
    </w:p>
    <w:p w14:paraId="6984EF32" w14:textId="77777777" w:rsidR="00454A29" w:rsidRDefault="00454A29">
      <w:pPr>
        <w:pStyle w:val="ConsPlusTitle"/>
        <w:jc w:val="center"/>
      </w:pPr>
      <w:r>
        <w:t>БЮДЖЕТА РЕСПУБЛИКИ САХА (ЯКУТИЯ) МЕСТНЫМ БЮДЖЕТАМ</w:t>
      </w:r>
    </w:p>
    <w:p w14:paraId="2BD93B1D" w14:textId="77777777" w:rsidR="00454A29" w:rsidRDefault="00454A29">
      <w:pPr>
        <w:pStyle w:val="ConsPlusTitle"/>
        <w:jc w:val="center"/>
      </w:pPr>
      <w:r>
        <w:t>ИЗ ГОСУДАРСТВЕННОГО БЮДЖЕТА РЕСПУБЛИКИ САХА (ЯКУТИЯ)</w:t>
      </w:r>
    </w:p>
    <w:p w14:paraId="47BD9B3B" w14:textId="77777777" w:rsidR="00454A29" w:rsidRDefault="00454A29">
      <w:pPr>
        <w:pStyle w:val="ConsPlusTitle"/>
        <w:jc w:val="center"/>
      </w:pPr>
      <w:r>
        <w:t>НА ОСУЩЕСТВЛЕНИЕ КАПИТАЛЬНОГО РЕМОНТА ОБЪЕКТОВ ОБРАЗОВАНИЯ,</w:t>
      </w:r>
    </w:p>
    <w:p w14:paraId="4FF8FC27" w14:textId="77777777" w:rsidR="00454A29" w:rsidRDefault="00454A29">
      <w:pPr>
        <w:pStyle w:val="ConsPlusTitle"/>
        <w:jc w:val="center"/>
      </w:pPr>
      <w:r>
        <w:t>НАХОДЯЩИХСЯ В МУНИЦИПАЛЬНОЙ СОБСТВЕННОСТИ</w:t>
      </w:r>
    </w:p>
    <w:p w14:paraId="1DEE3638" w14:textId="77777777" w:rsidR="00454A29" w:rsidRDefault="00454A29">
      <w:pPr>
        <w:pStyle w:val="ConsPlusNormal"/>
      </w:pPr>
    </w:p>
    <w:p w14:paraId="56A2B1D9" w14:textId="77777777" w:rsidR="00454A29" w:rsidRDefault="00454A29">
      <w:pPr>
        <w:pStyle w:val="ConsPlusTitle"/>
        <w:jc w:val="center"/>
        <w:outlineLvl w:val="2"/>
      </w:pPr>
      <w:r>
        <w:t>I. Общие положения</w:t>
      </w:r>
    </w:p>
    <w:p w14:paraId="3A8DB1D1" w14:textId="77777777" w:rsidR="00454A29" w:rsidRDefault="00454A29">
      <w:pPr>
        <w:pStyle w:val="ConsPlusNormal"/>
      </w:pPr>
    </w:p>
    <w:p w14:paraId="68EB6C8D" w14:textId="77777777" w:rsidR="00454A29" w:rsidRDefault="00454A29">
      <w:pPr>
        <w:pStyle w:val="ConsPlusNormal"/>
        <w:ind w:firstLine="540"/>
        <w:jc w:val="both"/>
      </w:pPr>
      <w:r>
        <w:t>1.1. Настоящий Порядок устанавливает цели и условия предоставления субсидий из государственного бюджета Республики Саха (Якутия) местным бюджетам на осуществление капитального ремонта объектов образования, находящихся в муниципальной собственности, и принципы их распределения между муниципальными районами и городскими округами Республики Саха (Якутия) (далее - муниципальные образования).</w:t>
      </w:r>
    </w:p>
    <w:p w14:paraId="2AB03DF5" w14:textId="77777777" w:rsidR="00454A29" w:rsidRDefault="00454A29">
      <w:pPr>
        <w:pStyle w:val="ConsPlusNormal"/>
        <w:spacing w:before="220"/>
        <w:ind w:firstLine="540"/>
        <w:jc w:val="both"/>
      </w:pPr>
      <w:r>
        <w:t>1.2. Субсидии на осуществление капитального ремонта объектов образования, находящихся в муниципальной собственности (далее -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14:paraId="4645A696" w14:textId="77777777" w:rsidR="00454A29" w:rsidRDefault="00454A29">
      <w:pPr>
        <w:pStyle w:val="ConsPlusNormal"/>
        <w:spacing w:before="220"/>
        <w:ind w:firstLine="540"/>
        <w:jc w:val="both"/>
      </w:pPr>
      <w:r>
        <w:t>1.3. Субсидии предоставляются в пределах субсидий из государственного бюджета, предусмотренных в установленном порядке Министерству образования и науки Республики Саха (Якутия) (далее - Министерство) на осуществление капитального ремонта объектов образования Законом Республики Саха (Якутия) о государственном бюджете Республики Саха (Якутия) на соответствующий год и лимитом бюджетных обязательств.</w:t>
      </w:r>
    </w:p>
    <w:p w14:paraId="7914A660" w14:textId="77777777" w:rsidR="00454A29" w:rsidRDefault="00454A29">
      <w:pPr>
        <w:pStyle w:val="ConsPlusNormal"/>
      </w:pPr>
    </w:p>
    <w:p w14:paraId="283FA192" w14:textId="77777777" w:rsidR="00454A29" w:rsidRDefault="00454A29">
      <w:pPr>
        <w:pStyle w:val="ConsPlusTitle"/>
        <w:jc w:val="center"/>
        <w:outlineLvl w:val="2"/>
      </w:pPr>
      <w:bookmarkStart w:id="30" w:name="P33820"/>
      <w:bookmarkEnd w:id="30"/>
      <w:r>
        <w:t>II. Цель, условия предоставления субсидий, критерии отбора</w:t>
      </w:r>
    </w:p>
    <w:p w14:paraId="2C2618B6" w14:textId="77777777" w:rsidR="00454A29" w:rsidRDefault="00454A29">
      <w:pPr>
        <w:pStyle w:val="ConsPlusTitle"/>
        <w:jc w:val="center"/>
      </w:pPr>
      <w:r>
        <w:t>муниципальных образований для предоставления субсидий</w:t>
      </w:r>
    </w:p>
    <w:p w14:paraId="4C8EBA36" w14:textId="77777777" w:rsidR="00454A29" w:rsidRDefault="00454A29">
      <w:pPr>
        <w:pStyle w:val="ConsPlusNormal"/>
      </w:pPr>
    </w:p>
    <w:p w14:paraId="1A8A7705" w14:textId="77777777" w:rsidR="00454A29" w:rsidRDefault="00454A29">
      <w:pPr>
        <w:pStyle w:val="ConsPlusNormal"/>
        <w:ind w:firstLine="540"/>
        <w:jc w:val="both"/>
      </w:pPr>
      <w:bookmarkStart w:id="31" w:name="P33823"/>
      <w:bookmarkEnd w:id="31"/>
      <w:r>
        <w:t>2.1. Субсидии предоставляются в целях софинансирования расходных обязательств муниципальных образований Республики Саха (Якутия), возникающих при реализации муниципальных программ на проведение капитального ремонта объектов образования, находящихся в муниципальной собственности.</w:t>
      </w:r>
    </w:p>
    <w:p w14:paraId="4D04C6A5" w14:textId="77777777" w:rsidR="00454A29" w:rsidRDefault="00454A29">
      <w:pPr>
        <w:pStyle w:val="ConsPlusNormal"/>
        <w:spacing w:before="220"/>
        <w:ind w:firstLine="540"/>
        <w:jc w:val="both"/>
      </w:pPr>
      <w:bookmarkStart w:id="32" w:name="P33824"/>
      <w:bookmarkEnd w:id="32"/>
      <w:r>
        <w:t>2.2. Условиями предоставления субсидий на осуществление капитального ремонта объектов образования, находящихся в муниципальной собственности, являются:</w:t>
      </w:r>
    </w:p>
    <w:p w14:paraId="4B457AE3" w14:textId="77777777" w:rsidR="00454A29" w:rsidRDefault="00454A29">
      <w:pPr>
        <w:pStyle w:val="ConsPlusNormal"/>
        <w:spacing w:before="220"/>
        <w:ind w:firstLine="540"/>
        <w:jc w:val="both"/>
      </w:pPr>
      <w:r>
        <w:t>а) наличие соответствующего соглашения, заключенного между Министерством и муниципальным образованием, о предоставлении из государственного бюджета Республики Саха (Якутия) субсидий на осуществление капитального ремонта объектов образования, находящихся в муниципальной собственности (далее - Соглашение), и ответственность за неисполнение предусмотренных указанным соглашением обязательств;</w:t>
      </w:r>
    </w:p>
    <w:p w14:paraId="4388333A" w14:textId="77777777" w:rsidR="00454A29" w:rsidRDefault="00454A29">
      <w:pPr>
        <w:pStyle w:val="ConsPlusNormal"/>
        <w:spacing w:before="220"/>
        <w:ind w:firstLine="540"/>
        <w:jc w:val="both"/>
      </w:pPr>
      <w:r>
        <w:t>б) наличие нормативного правового акта муниципального образования, устанавливающего расходные обязательства по финансированию капитального ремонта в объемах, указанных в Соглашении;</w:t>
      </w:r>
    </w:p>
    <w:p w14:paraId="5B220CF6" w14:textId="77777777" w:rsidR="00454A29" w:rsidRDefault="00454A29">
      <w:pPr>
        <w:pStyle w:val="ConsPlusNormal"/>
        <w:spacing w:before="220"/>
        <w:ind w:firstLine="540"/>
        <w:jc w:val="both"/>
      </w:pPr>
      <w:r>
        <w:lastRenderedPageBreak/>
        <w:t>в) наличие в бюджете муниципального образования в текущем финансовом году бюджетных ассигнований на исполнение расходных обязательств по финансированию объектов капитального ремонта в объемах, указанных в Соглашении;</w:t>
      </w:r>
    </w:p>
    <w:p w14:paraId="445831DA" w14:textId="77777777" w:rsidR="00454A29" w:rsidRDefault="00454A29">
      <w:pPr>
        <w:pStyle w:val="ConsPlusNormal"/>
        <w:spacing w:before="220"/>
        <w:ind w:firstLine="540"/>
        <w:jc w:val="both"/>
      </w:pPr>
      <w:r>
        <w:t>г) наличие утвержденной проектно-сметной документации либо локальной сметы в зависимости от требований, предъявляемых к видам предстоящих работ на объекты муниципальной собственности, включенных в программу капитального ремонта, на софинансирование которых предоставляются субсидии;</w:t>
      </w:r>
    </w:p>
    <w:p w14:paraId="067D5509" w14:textId="77777777" w:rsidR="00454A29" w:rsidRDefault="00454A29">
      <w:pPr>
        <w:pStyle w:val="ConsPlusNormal"/>
        <w:spacing w:before="220"/>
        <w:ind w:firstLine="540"/>
        <w:jc w:val="both"/>
      </w:pPr>
      <w:r>
        <w:t>д) наличие муниципальной программы, направленной на достижение цели государственной программы Республики Саха (Якутия) "Развитие образования Республики Саха (Якутия) на 2020 - 2024 годы и на плановый период до 2026 года".</w:t>
      </w:r>
    </w:p>
    <w:p w14:paraId="1133EFC6" w14:textId="77777777" w:rsidR="00454A29" w:rsidRDefault="00454A29">
      <w:pPr>
        <w:pStyle w:val="ConsPlusNormal"/>
        <w:spacing w:before="220"/>
        <w:ind w:firstLine="540"/>
        <w:jc w:val="both"/>
      </w:pPr>
      <w:r>
        <w:t>2.3. Критериями отбора муниципальных образований для предоставления субсидии на осуществление капитального ремонта объектов образования, находящихся в муниципальной собственности, являются:</w:t>
      </w:r>
    </w:p>
    <w:p w14:paraId="10822692" w14:textId="77777777" w:rsidR="00454A29" w:rsidRDefault="00454A29">
      <w:pPr>
        <w:pStyle w:val="ConsPlusNormal"/>
        <w:spacing w:before="220"/>
        <w:ind w:firstLine="540"/>
        <w:jc w:val="both"/>
      </w:pPr>
      <w:r>
        <w:t>а) наличие заключения надзорных органов о необходимости проведения капитального ремонта;</w:t>
      </w:r>
    </w:p>
    <w:p w14:paraId="6C0E65E2" w14:textId="77777777" w:rsidR="00454A29" w:rsidRDefault="00454A29">
      <w:pPr>
        <w:pStyle w:val="ConsPlusNormal"/>
        <w:spacing w:before="220"/>
        <w:ind w:firstLine="540"/>
        <w:jc w:val="both"/>
      </w:pPr>
      <w:r>
        <w:t>б) наличие в муниципальном образовании зданий общеобразовательных организаций, находящихся в аварийном состоянии и (или) требующих капитального ремонта, и (или) не имеющих санитарно-гигиенических помещений, требующих перевода на новые места в соответствии с современными условиями обучения и (или) сменности обучения в общеобразовательных организациях;</w:t>
      </w:r>
    </w:p>
    <w:p w14:paraId="7F678DCD" w14:textId="77777777" w:rsidR="00454A29" w:rsidRDefault="00454A29">
      <w:pPr>
        <w:pStyle w:val="ConsPlusNormal"/>
        <w:spacing w:before="220"/>
        <w:ind w:firstLine="540"/>
        <w:jc w:val="both"/>
      </w:pPr>
      <w:r>
        <w:t xml:space="preserve">в) наличие муниципальной программы, предусматривающей мероприятия, указанные в </w:t>
      </w:r>
      <w:hyperlink w:anchor="P33823" w:history="1">
        <w:r>
          <w:rPr>
            <w:color w:val="0000FF"/>
          </w:rPr>
          <w:t>пункте 2.1</w:t>
        </w:r>
      </w:hyperlink>
      <w:r>
        <w:t xml:space="preserve"> настоящего Порядка.</w:t>
      </w:r>
    </w:p>
    <w:p w14:paraId="42B7F7AB" w14:textId="77777777" w:rsidR="00454A29" w:rsidRDefault="00454A29">
      <w:pPr>
        <w:pStyle w:val="ConsPlusNormal"/>
        <w:spacing w:before="220"/>
        <w:ind w:firstLine="540"/>
        <w:jc w:val="both"/>
      </w:pPr>
      <w:r>
        <w:t>2.4. При оценке заявок муниципальных образований приоритет имеют следующие показатели:</w:t>
      </w:r>
    </w:p>
    <w:p w14:paraId="26A54140" w14:textId="77777777" w:rsidR="00454A29" w:rsidRDefault="00454A29">
      <w:pPr>
        <w:pStyle w:val="ConsPlusNormal"/>
        <w:spacing w:before="220"/>
        <w:ind w:firstLine="540"/>
        <w:jc w:val="both"/>
      </w:pPr>
      <w:r>
        <w:t xml:space="preserve">а) наибольшее количество обучающихся в общеобразовательных организациях согласно федеральному статистическому наблюдению </w:t>
      </w:r>
      <w:hyperlink r:id="rId53" w:history="1">
        <w:r>
          <w:rPr>
            <w:color w:val="0000FF"/>
          </w:rPr>
          <w:t>формы N ОО-1</w:t>
        </w:r>
      </w:hyperlink>
      <w:r>
        <w:t>;</w:t>
      </w:r>
    </w:p>
    <w:p w14:paraId="2CC4FDD5" w14:textId="77777777" w:rsidR="00454A29" w:rsidRDefault="00454A29">
      <w:pPr>
        <w:pStyle w:val="ConsPlusNormal"/>
        <w:spacing w:before="220"/>
        <w:ind w:firstLine="540"/>
        <w:jc w:val="both"/>
      </w:pPr>
      <w:r>
        <w:t>б) наибольший уровень износа объекта образования;</w:t>
      </w:r>
    </w:p>
    <w:p w14:paraId="1C4A9618" w14:textId="77777777" w:rsidR="00454A29" w:rsidRDefault="00454A29">
      <w:pPr>
        <w:pStyle w:val="ConsPlusNormal"/>
        <w:spacing w:before="220"/>
        <w:ind w:firstLine="540"/>
        <w:jc w:val="both"/>
      </w:pPr>
      <w:r>
        <w:t>в) объекты, находящиеся в зоне чрезвычайной ситуации;</w:t>
      </w:r>
    </w:p>
    <w:p w14:paraId="746CD5A8" w14:textId="77777777" w:rsidR="00454A29" w:rsidRDefault="00454A29">
      <w:pPr>
        <w:pStyle w:val="ConsPlusNormal"/>
        <w:spacing w:before="220"/>
        <w:ind w:firstLine="540"/>
        <w:jc w:val="both"/>
      </w:pPr>
      <w:r>
        <w:t>г) объекты, требующие проведение восстановительных работ после последствий весеннего паводка.</w:t>
      </w:r>
    </w:p>
    <w:p w14:paraId="0E4D7E0D" w14:textId="77777777" w:rsidR="00454A29" w:rsidRDefault="00454A29">
      <w:pPr>
        <w:pStyle w:val="ConsPlusNormal"/>
        <w:spacing w:before="220"/>
        <w:ind w:firstLine="540"/>
        <w:jc w:val="both"/>
      </w:pPr>
      <w:r>
        <w:t>2.5. При прочих равных условиях учитывается дата подачи Заявки.</w:t>
      </w:r>
    </w:p>
    <w:p w14:paraId="4DE9817A" w14:textId="77777777" w:rsidR="00454A29" w:rsidRDefault="00454A29">
      <w:pPr>
        <w:pStyle w:val="ConsPlusNormal"/>
        <w:spacing w:before="220"/>
        <w:ind w:firstLine="540"/>
        <w:jc w:val="both"/>
      </w:pPr>
      <w:r>
        <w:t>2.6. Основаниями для отказа муниципальному району или городскому округу Республики Саха (Якутия) в предоставлении субсидии являются:</w:t>
      </w:r>
    </w:p>
    <w:p w14:paraId="12190D79" w14:textId="77777777" w:rsidR="00454A29" w:rsidRDefault="00454A29">
      <w:pPr>
        <w:pStyle w:val="ConsPlusNormal"/>
        <w:spacing w:before="220"/>
        <w:ind w:firstLine="540"/>
        <w:jc w:val="both"/>
      </w:pPr>
      <w:r>
        <w:t xml:space="preserve">а) несоответствие условиям предоставления субсидии, указанным в </w:t>
      </w:r>
      <w:hyperlink w:anchor="P33824" w:history="1">
        <w:r>
          <w:rPr>
            <w:color w:val="0000FF"/>
          </w:rPr>
          <w:t>пункте 2.2</w:t>
        </w:r>
      </w:hyperlink>
      <w:r>
        <w:t xml:space="preserve"> настоящего Порядка;</w:t>
      </w:r>
    </w:p>
    <w:p w14:paraId="6626A0DD" w14:textId="77777777" w:rsidR="00454A29" w:rsidRDefault="00454A29">
      <w:pPr>
        <w:pStyle w:val="ConsPlusNormal"/>
        <w:spacing w:before="220"/>
        <w:ind w:firstLine="540"/>
        <w:jc w:val="both"/>
      </w:pPr>
      <w:r>
        <w:t>б) несоответствие критериям;</w:t>
      </w:r>
    </w:p>
    <w:p w14:paraId="72F62A2E" w14:textId="77777777" w:rsidR="00454A29" w:rsidRDefault="00454A29">
      <w:pPr>
        <w:pStyle w:val="ConsPlusNormal"/>
        <w:spacing w:before="220"/>
        <w:ind w:firstLine="540"/>
        <w:jc w:val="both"/>
      </w:pPr>
      <w:r>
        <w:t>в) неполнота документов в составе заявки.</w:t>
      </w:r>
    </w:p>
    <w:p w14:paraId="68BD1621" w14:textId="77777777" w:rsidR="00454A29" w:rsidRDefault="00454A29">
      <w:pPr>
        <w:pStyle w:val="ConsPlusNormal"/>
      </w:pPr>
    </w:p>
    <w:p w14:paraId="3906CDB9" w14:textId="77777777" w:rsidR="00454A29" w:rsidRDefault="00454A29">
      <w:pPr>
        <w:pStyle w:val="ConsPlusTitle"/>
        <w:jc w:val="center"/>
        <w:outlineLvl w:val="2"/>
      </w:pPr>
      <w:r>
        <w:t>III. Порядок отбора муниципальных образований</w:t>
      </w:r>
    </w:p>
    <w:p w14:paraId="550F14F6" w14:textId="77777777" w:rsidR="00454A29" w:rsidRDefault="00454A29">
      <w:pPr>
        <w:pStyle w:val="ConsPlusNormal"/>
      </w:pPr>
    </w:p>
    <w:p w14:paraId="3EA40AA4" w14:textId="77777777" w:rsidR="00454A29" w:rsidRDefault="00454A29">
      <w:pPr>
        <w:pStyle w:val="ConsPlusNormal"/>
        <w:ind w:firstLine="540"/>
        <w:jc w:val="both"/>
      </w:pPr>
      <w:r>
        <w:t xml:space="preserve">3.1. Отбор муниципальных образований для предоставления субсидий из государственного </w:t>
      </w:r>
      <w:r>
        <w:lastRenderedPageBreak/>
        <w:t xml:space="preserve">бюджета Республики Саха (Якутия) местным бюджетам на софинансирование мероприятий, указанных в </w:t>
      </w:r>
      <w:hyperlink w:anchor="P33820" w:history="1">
        <w:r>
          <w:rPr>
            <w:color w:val="0000FF"/>
          </w:rPr>
          <w:t>разделе 2</w:t>
        </w:r>
      </w:hyperlink>
      <w:r>
        <w:t xml:space="preserve"> настоящего Порядка (далее - Отбор), проводится конкурсной комиссией, создаваемой Министерством (далее - Комиссия).</w:t>
      </w:r>
    </w:p>
    <w:p w14:paraId="36391749" w14:textId="77777777" w:rsidR="00454A29" w:rsidRDefault="00454A29">
      <w:pPr>
        <w:pStyle w:val="ConsPlusNormal"/>
        <w:spacing w:before="220"/>
        <w:ind w:firstLine="540"/>
        <w:jc w:val="both"/>
      </w:pPr>
      <w:r>
        <w:t>3.2. Организационно-техническое и информационно-аналитическое обеспечение проведения Отбора осуществляет подведомственная Министерству организация, уполномоченная Министерством (далее - уполномоченная организация).</w:t>
      </w:r>
    </w:p>
    <w:p w14:paraId="473F1FF7" w14:textId="77777777" w:rsidR="00454A29" w:rsidRDefault="00454A29">
      <w:pPr>
        <w:pStyle w:val="ConsPlusNormal"/>
        <w:spacing w:before="220"/>
        <w:ind w:firstLine="540"/>
        <w:jc w:val="both"/>
      </w:pPr>
      <w:r>
        <w:t>3.3. Министерство размещает объявление о проведении Отбора на официальном сайте Министерства в информационно-телекоммуникационной сети Интернет (далее - Сайт) не позднее, чем за 10 рабочих дней до даты начала приема заявок муниципальных образований на участие в Отборе (далее - Заявка).</w:t>
      </w:r>
    </w:p>
    <w:p w14:paraId="5BBA1567" w14:textId="77777777" w:rsidR="00454A29" w:rsidRDefault="00454A29">
      <w:pPr>
        <w:pStyle w:val="ConsPlusNormal"/>
        <w:spacing w:before="220"/>
        <w:ind w:firstLine="540"/>
        <w:jc w:val="both"/>
      </w:pPr>
      <w:r>
        <w:t>3.4. Объявление о проведении Отбора должно содержать следующие сведения:</w:t>
      </w:r>
    </w:p>
    <w:p w14:paraId="0CD405FC" w14:textId="77777777" w:rsidR="00454A29" w:rsidRDefault="00454A29">
      <w:pPr>
        <w:pStyle w:val="ConsPlusNormal"/>
        <w:spacing w:before="220"/>
        <w:ind w:firstLine="540"/>
        <w:jc w:val="both"/>
      </w:pPr>
      <w:r>
        <w:t>наименование Отбора;</w:t>
      </w:r>
    </w:p>
    <w:p w14:paraId="3CF647CC" w14:textId="77777777" w:rsidR="00454A29" w:rsidRDefault="00454A29">
      <w:pPr>
        <w:pStyle w:val="ConsPlusNormal"/>
        <w:spacing w:before="220"/>
        <w:ind w:firstLine="540"/>
        <w:jc w:val="both"/>
      </w:pPr>
      <w:r>
        <w:t>место, дату и время приема Заявок;</w:t>
      </w:r>
    </w:p>
    <w:p w14:paraId="4F2D403D" w14:textId="77777777" w:rsidR="00454A29" w:rsidRDefault="00454A29">
      <w:pPr>
        <w:pStyle w:val="ConsPlusNormal"/>
        <w:spacing w:before="220"/>
        <w:ind w:firstLine="540"/>
        <w:jc w:val="both"/>
      </w:pPr>
      <w:r>
        <w:t>образец Заявки;</w:t>
      </w:r>
    </w:p>
    <w:p w14:paraId="160649EA" w14:textId="77777777" w:rsidR="00454A29" w:rsidRDefault="00454A29">
      <w:pPr>
        <w:pStyle w:val="ConsPlusNormal"/>
        <w:spacing w:before="220"/>
        <w:ind w:firstLine="540"/>
        <w:jc w:val="both"/>
      </w:pPr>
      <w:r>
        <w:t>состав Заявки;</w:t>
      </w:r>
    </w:p>
    <w:p w14:paraId="0A4E631D" w14:textId="77777777" w:rsidR="00454A29" w:rsidRDefault="00454A29">
      <w:pPr>
        <w:pStyle w:val="ConsPlusNormal"/>
        <w:spacing w:before="220"/>
        <w:ind w:firstLine="540"/>
        <w:jc w:val="both"/>
      </w:pPr>
      <w:r>
        <w:t>порядок и критерии Отбора;</w:t>
      </w:r>
    </w:p>
    <w:p w14:paraId="7C3CFF7C" w14:textId="77777777" w:rsidR="00454A29" w:rsidRDefault="00454A29">
      <w:pPr>
        <w:pStyle w:val="ConsPlusNormal"/>
        <w:spacing w:before="220"/>
        <w:ind w:firstLine="540"/>
        <w:jc w:val="both"/>
      </w:pPr>
      <w:r>
        <w:t>порядок и сроки рассмотрения Заявок;</w:t>
      </w:r>
    </w:p>
    <w:p w14:paraId="4B2241D7" w14:textId="77777777" w:rsidR="00454A29" w:rsidRDefault="00454A29">
      <w:pPr>
        <w:pStyle w:val="ConsPlusNormal"/>
        <w:spacing w:before="220"/>
        <w:ind w:firstLine="540"/>
        <w:jc w:val="both"/>
      </w:pPr>
      <w:r>
        <w:t>порядок и сроки объявления результатов Отбора;</w:t>
      </w:r>
    </w:p>
    <w:p w14:paraId="7C44B071" w14:textId="77777777" w:rsidR="00454A29" w:rsidRDefault="00454A29">
      <w:pPr>
        <w:pStyle w:val="ConsPlusNormal"/>
        <w:spacing w:before="220"/>
        <w:ind w:firstLine="540"/>
        <w:jc w:val="both"/>
      </w:pPr>
      <w:r>
        <w:t>контактную информацию (телефон, адрес электронной почты) должностных лиц Министерства, ответственных за проведение Отбора, и ответственных лиц уполномоченной организации.</w:t>
      </w:r>
    </w:p>
    <w:p w14:paraId="7231C8FF" w14:textId="77777777" w:rsidR="00454A29" w:rsidRDefault="00454A29">
      <w:pPr>
        <w:pStyle w:val="ConsPlusNormal"/>
        <w:spacing w:before="220"/>
        <w:ind w:firstLine="540"/>
        <w:jc w:val="both"/>
      </w:pPr>
      <w:r>
        <w:t>3.5. Муниципальное образование Республики Саха (Якутия) представляет уполномоченной организации Заявку в соответствии со сроком представления Заявки, указанным в объявлении об Отборе. Заявка представляется в течение 14 рабочих дней со дня начала приема Заявок.</w:t>
      </w:r>
    </w:p>
    <w:p w14:paraId="7AF8D8D7" w14:textId="77777777" w:rsidR="00454A29" w:rsidRDefault="00454A29">
      <w:pPr>
        <w:pStyle w:val="ConsPlusNormal"/>
        <w:spacing w:before="220"/>
        <w:ind w:firstLine="540"/>
        <w:jc w:val="both"/>
      </w:pPr>
      <w:r>
        <w:t>3.6. В составе Заявки муниципальное образование представляет:</w:t>
      </w:r>
    </w:p>
    <w:p w14:paraId="37A3BA33" w14:textId="77777777" w:rsidR="00454A29" w:rsidRDefault="00454A29">
      <w:pPr>
        <w:pStyle w:val="ConsPlusNormal"/>
        <w:spacing w:before="220"/>
        <w:ind w:firstLine="540"/>
        <w:jc w:val="both"/>
      </w:pPr>
      <w:r>
        <w:t>муниципальную программу, направленную на достижение цели государственной программы Республики Саха (Якутия) "Развитие образования Республики Саха (Якутия) на 2020 - 2024 годы и на плановый период до 2026 года";</w:t>
      </w:r>
    </w:p>
    <w:p w14:paraId="1F2B0761" w14:textId="77777777" w:rsidR="00454A29" w:rsidRDefault="00454A29">
      <w:pPr>
        <w:pStyle w:val="ConsPlusNormal"/>
        <w:spacing w:before="220"/>
        <w:ind w:firstLine="540"/>
        <w:jc w:val="both"/>
      </w:pPr>
      <w:r>
        <w:t>утвержденную проектно-сметную документацию либо локальную смету в зависимости от требований, предъявляемых к видам предстоящих работ;</w:t>
      </w:r>
    </w:p>
    <w:p w14:paraId="50C6C757" w14:textId="77777777" w:rsidR="00454A29" w:rsidRDefault="00454A29">
      <w:pPr>
        <w:pStyle w:val="ConsPlusNormal"/>
        <w:spacing w:before="220"/>
        <w:ind w:firstLine="540"/>
        <w:jc w:val="both"/>
      </w:pPr>
      <w:r>
        <w:t>выписку из бюджета муниципального образования о наличии в бюджете муниципального образования на текущий финансовый год бюджетных ассигнований на исполнение расходного обязательства, софинансирование которого осуществляется из государственного бюджета Республики Саха (Якутия), или гарантийное письмо;</w:t>
      </w:r>
    </w:p>
    <w:p w14:paraId="74DA29CC" w14:textId="77777777" w:rsidR="00454A29" w:rsidRDefault="00454A29">
      <w:pPr>
        <w:pStyle w:val="ConsPlusNormal"/>
        <w:spacing w:before="220"/>
        <w:ind w:firstLine="540"/>
        <w:jc w:val="both"/>
      </w:pPr>
      <w:r>
        <w:t>заключение надзорных органов о необходимости проведения капитального ремонта;</w:t>
      </w:r>
    </w:p>
    <w:p w14:paraId="7082651A" w14:textId="77777777" w:rsidR="00454A29" w:rsidRDefault="00454A29">
      <w:pPr>
        <w:pStyle w:val="ConsPlusNormal"/>
        <w:spacing w:before="220"/>
        <w:ind w:firstLine="540"/>
        <w:jc w:val="both"/>
      </w:pPr>
      <w:r>
        <w:t>акт обследования здания комиссией, созданной муниципальным образованием.</w:t>
      </w:r>
    </w:p>
    <w:p w14:paraId="556D8929" w14:textId="77777777" w:rsidR="00454A29" w:rsidRDefault="00454A29">
      <w:pPr>
        <w:pStyle w:val="ConsPlusNormal"/>
        <w:spacing w:before="220"/>
        <w:ind w:firstLine="540"/>
        <w:jc w:val="both"/>
      </w:pPr>
      <w:r>
        <w:t>3.7. Прием и регистрация Заявок осуществляется уполномоченной организацией.</w:t>
      </w:r>
    </w:p>
    <w:p w14:paraId="6633C754" w14:textId="77777777" w:rsidR="00454A29" w:rsidRDefault="00454A29">
      <w:pPr>
        <w:pStyle w:val="ConsPlusNormal"/>
        <w:spacing w:before="220"/>
        <w:ind w:firstLine="540"/>
        <w:jc w:val="both"/>
      </w:pPr>
      <w:r>
        <w:lastRenderedPageBreak/>
        <w:t>3.8. Уполномоченная организация регистрирует представленные Заявки в день их поступления, проверяет правильность оформления и комплектность Заявок в соответствии с требованиями, установленными настоящим Порядком.</w:t>
      </w:r>
    </w:p>
    <w:p w14:paraId="6B72CEC2" w14:textId="77777777" w:rsidR="00454A29" w:rsidRDefault="00454A29">
      <w:pPr>
        <w:pStyle w:val="ConsPlusNormal"/>
        <w:spacing w:before="220"/>
        <w:ind w:firstLine="540"/>
        <w:jc w:val="both"/>
      </w:pPr>
      <w:r>
        <w:t>3.9. В случае непредставления Заявки в полном комплекте в срок, установленный для представления Заявок, указанная Заявка не допускается Комиссией к участию в Отборе.</w:t>
      </w:r>
    </w:p>
    <w:p w14:paraId="2E72E23D" w14:textId="77777777" w:rsidR="00454A29" w:rsidRDefault="00454A29">
      <w:pPr>
        <w:pStyle w:val="ConsPlusNormal"/>
        <w:spacing w:before="220"/>
        <w:ind w:firstLine="540"/>
        <w:jc w:val="both"/>
      </w:pPr>
      <w:r>
        <w:t>3.10. В случае представления Заявки по истечении установленного срока, Заявка не принимается.</w:t>
      </w:r>
    </w:p>
    <w:p w14:paraId="085DF815" w14:textId="77777777" w:rsidR="00454A29" w:rsidRDefault="00454A29">
      <w:pPr>
        <w:pStyle w:val="ConsPlusNormal"/>
        <w:spacing w:before="220"/>
        <w:ind w:firstLine="540"/>
        <w:jc w:val="both"/>
      </w:pPr>
      <w:r>
        <w:t>3.11. Муниципальное образование вправе отозвать Заявку, направив в уполномоченную организацию соответствующее письменное уведомление.</w:t>
      </w:r>
    </w:p>
    <w:p w14:paraId="180300C4" w14:textId="77777777" w:rsidR="00454A29" w:rsidRDefault="00454A29">
      <w:pPr>
        <w:pStyle w:val="ConsPlusNormal"/>
        <w:spacing w:before="220"/>
        <w:ind w:firstLine="540"/>
        <w:jc w:val="both"/>
      </w:pPr>
      <w:r>
        <w:t>3.12. Заявка считается отозванной со дня поступления в уполномоченную организацию письменного уведомления, но не позднее даты окончания рассмотрения Заявок.</w:t>
      </w:r>
    </w:p>
    <w:p w14:paraId="46412F74" w14:textId="77777777" w:rsidR="00454A29" w:rsidRDefault="00454A29">
      <w:pPr>
        <w:pStyle w:val="ConsPlusNormal"/>
        <w:spacing w:before="220"/>
        <w:ind w:firstLine="540"/>
        <w:jc w:val="both"/>
      </w:pPr>
      <w:r>
        <w:t>3.13. Заявки, допущенные Комиссией к участию в Отборе, муниципальным образованиям не возвращаются.</w:t>
      </w:r>
    </w:p>
    <w:p w14:paraId="4DC63D39" w14:textId="77777777" w:rsidR="00454A29" w:rsidRDefault="00454A29">
      <w:pPr>
        <w:pStyle w:val="ConsPlusNormal"/>
        <w:spacing w:before="220"/>
        <w:ind w:firstLine="540"/>
        <w:jc w:val="both"/>
      </w:pPr>
      <w:r>
        <w:t>3.14. В случае принятия в соответствии с законодательством Российской Федерации решения о переносе даты окончания приема Заявок Министерство информирует в течение 3 рабочих дней со дня принятия соответствующего решения муниципальные образования, Заявки которых поступили в Министерство.</w:t>
      </w:r>
    </w:p>
    <w:p w14:paraId="49278381" w14:textId="77777777" w:rsidR="00454A29" w:rsidRDefault="00454A29">
      <w:pPr>
        <w:pStyle w:val="ConsPlusNormal"/>
        <w:spacing w:before="220"/>
        <w:ind w:firstLine="540"/>
        <w:jc w:val="both"/>
      </w:pPr>
      <w:r>
        <w:t>3.15. Министерство размещает объявление о продлении срока Отбора на Сайте не позднее 3 рабочих дней со дня принятия соответствующего решения.</w:t>
      </w:r>
    </w:p>
    <w:p w14:paraId="0BECD6DD" w14:textId="77777777" w:rsidR="00454A29" w:rsidRDefault="00454A29">
      <w:pPr>
        <w:pStyle w:val="ConsPlusNormal"/>
        <w:spacing w:before="220"/>
        <w:ind w:firstLine="540"/>
        <w:jc w:val="both"/>
      </w:pPr>
      <w:r>
        <w:t>Срок продления Отбора должен составлять не менее 5 рабочих дней.</w:t>
      </w:r>
    </w:p>
    <w:p w14:paraId="17FB9E73" w14:textId="77777777" w:rsidR="00454A29" w:rsidRDefault="00454A29">
      <w:pPr>
        <w:pStyle w:val="ConsPlusNormal"/>
        <w:spacing w:before="220"/>
        <w:ind w:firstLine="540"/>
        <w:jc w:val="both"/>
      </w:pPr>
      <w:r>
        <w:t>3.16. Комиссия в рамках проведения Отбора в течение 10 рабочих дней с момента окончания срока приема Заявок документов осуществляет:</w:t>
      </w:r>
    </w:p>
    <w:p w14:paraId="2AFA642A" w14:textId="77777777" w:rsidR="00454A29" w:rsidRDefault="00454A29">
      <w:pPr>
        <w:pStyle w:val="ConsPlusNormal"/>
        <w:spacing w:before="220"/>
        <w:ind w:firstLine="540"/>
        <w:jc w:val="both"/>
      </w:pPr>
      <w:r>
        <w:t>рассмотрение и допуск к участию в Отборе представленных Заявок;</w:t>
      </w:r>
    </w:p>
    <w:p w14:paraId="62E1768C" w14:textId="77777777" w:rsidR="00454A29" w:rsidRDefault="00454A29">
      <w:pPr>
        <w:pStyle w:val="ConsPlusNormal"/>
        <w:spacing w:before="220"/>
        <w:ind w:firstLine="540"/>
        <w:jc w:val="both"/>
      </w:pPr>
      <w:r>
        <w:t>оценку представленных Заявок на предмет соответствия требованиям, установленным настоящим Порядком;</w:t>
      </w:r>
    </w:p>
    <w:p w14:paraId="7E8DCA26" w14:textId="77777777" w:rsidR="00454A29" w:rsidRDefault="00454A29">
      <w:pPr>
        <w:pStyle w:val="ConsPlusNormal"/>
        <w:spacing w:before="220"/>
        <w:ind w:firstLine="540"/>
        <w:jc w:val="both"/>
      </w:pPr>
      <w:r>
        <w:t>определение муниципальных образований для предоставления субсидии;</w:t>
      </w:r>
    </w:p>
    <w:p w14:paraId="20910639" w14:textId="77777777" w:rsidR="00454A29" w:rsidRDefault="00454A29">
      <w:pPr>
        <w:pStyle w:val="ConsPlusNormal"/>
        <w:spacing w:before="220"/>
        <w:ind w:firstLine="540"/>
        <w:jc w:val="both"/>
      </w:pPr>
      <w:r>
        <w:t>определение объемов субсидий муниципальным образованиям в соответствии с настоящим Порядком;</w:t>
      </w:r>
    </w:p>
    <w:p w14:paraId="76A87A44" w14:textId="77777777" w:rsidR="00454A29" w:rsidRDefault="00454A29">
      <w:pPr>
        <w:pStyle w:val="ConsPlusNormal"/>
        <w:spacing w:before="220"/>
        <w:ind w:firstLine="540"/>
        <w:jc w:val="both"/>
      </w:pPr>
      <w:r>
        <w:t>оформление протокола по результатам рассмотрения Заявок Комиссией (далее - протокол заседания Комиссии).</w:t>
      </w:r>
    </w:p>
    <w:p w14:paraId="3867806F" w14:textId="77777777" w:rsidR="00454A29" w:rsidRDefault="00454A29">
      <w:pPr>
        <w:pStyle w:val="ConsPlusNormal"/>
      </w:pPr>
    </w:p>
    <w:p w14:paraId="75B6F45E" w14:textId="77777777" w:rsidR="00454A29" w:rsidRDefault="00454A29">
      <w:pPr>
        <w:pStyle w:val="ConsPlusTitle"/>
        <w:jc w:val="center"/>
        <w:outlineLvl w:val="2"/>
      </w:pPr>
      <w:r>
        <w:t>IV. Распределение субсидий</w:t>
      </w:r>
    </w:p>
    <w:p w14:paraId="06C9B662" w14:textId="77777777" w:rsidR="00454A29" w:rsidRDefault="00454A29">
      <w:pPr>
        <w:pStyle w:val="ConsPlusTitle"/>
        <w:jc w:val="center"/>
      </w:pPr>
      <w:r>
        <w:t>между муниципальными образованиями</w:t>
      </w:r>
    </w:p>
    <w:p w14:paraId="03668760" w14:textId="77777777" w:rsidR="00454A29" w:rsidRDefault="00454A29">
      <w:pPr>
        <w:pStyle w:val="ConsPlusNormal"/>
      </w:pPr>
    </w:p>
    <w:p w14:paraId="0F642314" w14:textId="77777777" w:rsidR="00454A29" w:rsidRDefault="00454A29">
      <w:pPr>
        <w:pStyle w:val="ConsPlusNormal"/>
        <w:ind w:firstLine="540"/>
        <w:jc w:val="both"/>
      </w:pPr>
      <w:r>
        <w:t>4.1. Министерство не позднее трех рабочих дней после подписания протокола заседания Комиссии:</w:t>
      </w:r>
    </w:p>
    <w:p w14:paraId="0FA26865" w14:textId="77777777" w:rsidR="00454A29" w:rsidRDefault="00454A29">
      <w:pPr>
        <w:pStyle w:val="ConsPlusNormal"/>
        <w:spacing w:before="220"/>
        <w:ind w:firstLine="540"/>
        <w:jc w:val="both"/>
      </w:pPr>
      <w:r>
        <w:t>размещает протокол заседания Комиссии на сайте;</w:t>
      </w:r>
    </w:p>
    <w:p w14:paraId="648BB205" w14:textId="77777777" w:rsidR="00454A29" w:rsidRDefault="00454A29">
      <w:pPr>
        <w:pStyle w:val="ConsPlusNormal"/>
        <w:spacing w:before="220"/>
        <w:ind w:firstLine="540"/>
        <w:jc w:val="both"/>
      </w:pPr>
      <w:r>
        <w:t>утверждает приказом распределение субсидии;</w:t>
      </w:r>
    </w:p>
    <w:p w14:paraId="5E396705" w14:textId="77777777" w:rsidR="00454A29" w:rsidRDefault="00454A29">
      <w:pPr>
        <w:pStyle w:val="ConsPlusNormal"/>
        <w:spacing w:before="220"/>
        <w:ind w:firstLine="540"/>
        <w:jc w:val="both"/>
      </w:pPr>
      <w:r>
        <w:t>уведомляет письменно муниципальные образования о результатах Отбора;</w:t>
      </w:r>
    </w:p>
    <w:p w14:paraId="5B3218A9" w14:textId="77777777" w:rsidR="00454A29" w:rsidRDefault="00454A29">
      <w:pPr>
        <w:pStyle w:val="ConsPlusNormal"/>
        <w:spacing w:before="220"/>
        <w:ind w:firstLine="540"/>
        <w:jc w:val="both"/>
      </w:pPr>
      <w:r>
        <w:lastRenderedPageBreak/>
        <w:t>разрабатывает проект постановления Правительства Республики Саха (Якутия) о распределении субсидий из государственного бюджета местным бюджетам Республики Саха (Якутия) вносит его в Правительство Республики Саха (Якутия) в установленном порядке.</w:t>
      </w:r>
    </w:p>
    <w:p w14:paraId="2BE8F02D" w14:textId="77777777" w:rsidR="00454A29" w:rsidRDefault="00454A29">
      <w:pPr>
        <w:pStyle w:val="ConsPlusNormal"/>
        <w:spacing w:before="220"/>
        <w:ind w:firstLine="540"/>
        <w:jc w:val="both"/>
      </w:pPr>
      <w:r>
        <w:t>4.2. Предоставление субсидии по итогам Отбора осуществляется на основании Соглашения о предоставлении субсидии, заключаемого Министерством с муниципальным образованием.</w:t>
      </w:r>
    </w:p>
    <w:p w14:paraId="2252AD97" w14:textId="77777777" w:rsidR="00454A29" w:rsidRDefault="00454A29">
      <w:pPr>
        <w:pStyle w:val="ConsPlusNormal"/>
        <w:spacing w:before="220"/>
        <w:ind w:firstLine="540"/>
        <w:jc w:val="both"/>
      </w:pPr>
      <w:r>
        <w:t>4.3. Форма Соглашения утверждается Министерством в соответствии с типовой формой соглашения, утверждаемой приказом Министерства финансов Республики Саха (Якутия).</w:t>
      </w:r>
    </w:p>
    <w:p w14:paraId="58DA3905" w14:textId="77777777" w:rsidR="00454A29" w:rsidRDefault="00454A29">
      <w:pPr>
        <w:pStyle w:val="ConsPlusNormal"/>
        <w:spacing w:before="220"/>
        <w:ind w:firstLine="540"/>
        <w:jc w:val="both"/>
      </w:pPr>
      <w:r>
        <w:t>4.4. Проекты Соглашений подлежат опубликованию до 1 марта текущего финансового года на официальном сайте Министерства в информационно-телекоммуникационной сети Интернет.</w:t>
      </w:r>
    </w:p>
    <w:p w14:paraId="46CA5360" w14:textId="77777777" w:rsidR="00454A29" w:rsidRDefault="00454A29">
      <w:pPr>
        <w:pStyle w:val="ConsPlusNormal"/>
        <w:spacing w:before="220"/>
        <w:ind w:firstLine="540"/>
        <w:jc w:val="both"/>
      </w:pPr>
      <w:r>
        <w:t>4.5.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Саха (Якутия), а также в случае существенного (более чем на 20 процентов) сокращения размера субсидии.</w:t>
      </w:r>
    </w:p>
    <w:p w14:paraId="5AED6C8E" w14:textId="77777777" w:rsidR="00454A29" w:rsidRDefault="00454A29">
      <w:pPr>
        <w:pStyle w:val="ConsPlusNormal"/>
        <w:spacing w:before="220"/>
        <w:ind w:firstLine="540"/>
        <w:jc w:val="both"/>
      </w:pPr>
      <w:r>
        <w:t>4.6. Реестр Соглашений формируется Министерством в порядке, установленном Министерством финансов Республики Саха (Якутия) в течение трех дней со дня заключения Соглашений.</w:t>
      </w:r>
    </w:p>
    <w:p w14:paraId="616A65E4" w14:textId="77777777" w:rsidR="00454A29" w:rsidRDefault="00454A29">
      <w:pPr>
        <w:pStyle w:val="ConsPlusNormal"/>
        <w:spacing w:before="220"/>
        <w:ind w:firstLine="540"/>
        <w:jc w:val="both"/>
      </w:pPr>
      <w:r>
        <w:t>4.7. Объем субсидий на осуществление капитального ремонта объектов образования, находящихся в муниципальной собственности, определяется по формуле:</w:t>
      </w:r>
    </w:p>
    <w:p w14:paraId="49D3C1A8" w14:textId="77777777" w:rsidR="00454A29" w:rsidRDefault="00454A29">
      <w:pPr>
        <w:pStyle w:val="ConsPlusNormal"/>
      </w:pPr>
    </w:p>
    <w:p w14:paraId="5BB91E19" w14:textId="77777777" w:rsidR="00454A29" w:rsidRDefault="00454A29">
      <w:pPr>
        <w:pStyle w:val="ConsPlusNormal"/>
        <w:jc w:val="center"/>
      </w:pPr>
      <w:r>
        <w:t>Ci = Pi - Vi, где:</w:t>
      </w:r>
    </w:p>
    <w:p w14:paraId="67C49DA4" w14:textId="77777777" w:rsidR="00454A29" w:rsidRDefault="00454A29">
      <w:pPr>
        <w:pStyle w:val="ConsPlusNormal"/>
      </w:pPr>
    </w:p>
    <w:p w14:paraId="7CE08061" w14:textId="77777777" w:rsidR="00454A29" w:rsidRDefault="00454A29">
      <w:pPr>
        <w:pStyle w:val="ConsPlusNormal"/>
        <w:ind w:firstLine="540"/>
        <w:jc w:val="both"/>
      </w:pPr>
      <w:r>
        <w:t>i - муниципальное образование;</w:t>
      </w:r>
    </w:p>
    <w:p w14:paraId="4BAA0758" w14:textId="77777777" w:rsidR="00454A29" w:rsidRDefault="00454A29">
      <w:pPr>
        <w:pStyle w:val="ConsPlusNormal"/>
        <w:spacing w:before="220"/>
        <w:ind w:firstLine="540"/>
        <w:jc w:val="both"/>
      </w:pPr>
      <w:r>
        <w:t>Ci - объем субсидий i-му муниципальному образованию на осуществление капитального ремонта объектов образования;</w:t>
      </w:r>
    </w:p>
    <w:p w14:paraId="54E8896B" w14:textId="77777777" w:rsidR="00454A29" w:rsidRDefault="00454A29">
      <w:pPr>
        <w:pStyle w:val="ConsPlusNormal"/>
        <w:spacing w:before="220"/>
        <w:ind w:firstLine="540"/>
        <w:jc w:val="both"/>
      </w:pPr>
      <w:r>
        <w:t>Pi - сметная стоимость проведения капитального ремонта объектов образования i-го муниципального образования, подтвержденная проектно-сметной документацией либо локальной сметой в зависимости от требований, предъявляемых к видам предстоящих работ;</w:t>
      </w:r>
    </w:p>
    <w:p w14:paraId="77ECAE87" w14:textId="77777777" w:rsidR="00454A29" w:rsidRDefault="00454A29">
      <w:pPr>
        <w:pStyle w:val="ConsPlusNormal"/>
        <w:spacing w:before="220"/>
        <w:ind w:firstLine="540"/>
        <w:jc w:val="both"/>
      </w:pPr>
      <w:r>
        <w:t>Vi - объем средств в местном бюджете на осуществление капитального ремонта объектов образования.</w:t>
      </w:r>
    </w:p>
    <w:p w14:paraId="4DF05705" w14:textId="77777777" w:rsidR="00454A29" w:rsidRDefault="00454A29">
      <w:pPr>
        <w:pStyle w:val="ConsPlusNormal"/>
      </w:pPr>
    </w:p>
    <w:p w14:paraId="18473CE6" w14:textId="77777777" w:rsidR="00454A29" w:rsidRDefault="00454A29">
      <w:pPr>
        <w:pStyle w:val="ConsPlusTitle"/>
        <w:jc w:val="center"/>
        <w:outlineLvl w:val="2"/>
      </w:pPr>
      <w:r>
        <w:t>V. Порядок оценки эффективности использования субсидий,</w:t>
      </w:r>
    </w:p>
    <w:p w14:paraId="7FF81479" w14:textId="77777777" w:rsidR="00454A29" w:rsidRDefault="00454A29">
      <w:pPr>
        <w:pStyle w:val="ConsPlusTitle"/>
        <w:jc w:val="center"/>
      </w:pPr>
      <w:r>
        <w:t>а также перечень показателей результативности</w:t>
      </w:r>
    </w:p>
    <w:p w14:paraId="6B366CC0" w14:textId="77777777" w:rsidR="00454A29" w:rsidRDefault="00454A29">
      <w:pPr>
        <w:pStyle w:val="ConsPlusTitle"/>
        <w:jc w:val="center"/>
      </w:pPr>
      <w:r>
        <w:t>использования субсидий</w:t>
      </w:r>
    </w:p>
    <w:p w14:paraId="21F6F943" w14:textId="77777777" w:rsidR="00454A29" w:rsidRDefault="00454A29">
      <w:pPr>
        <w:pStyle w:val="ConsPlusNormal"/>
      </w:pPr>
    </w:p>
    <w:p w14:paraId="1AC54E64" w14:textId="77777777" w:rsidR="00454A29" w:rsidRDefault="00454A29">
      <w:pPr>
        <w:pStyle w:val="ConsPlusNormal"/>
        <w:ind w:firstLine="540"/>
        <w:jc w:val="both"/>
      </w:pPr>
      <w:r>
        <w:t>5.1. Оценка эффективности использования субсидии осуществляется Министерством на основании сравнения планируемых и достигнутых значений показателя результативности использования субсидии муниципальными образованиями.</w:t>
      </w:r>
    </w:p>
    <w:p w14:paraId="1E5D1E02" w14:textId="77777777" w:rsidR="00454A29" w:rsidRDefault="00454A29">
      <w:pPr>
        <w:pStyle w:val="ConsPlusNormal"/>
        <w:spacing w:before="220"/>
        <w:ind w:firstLine="540"/>
        <w:jc w:val="both"/>
      </w:pPr>
      <w:r>
        <w:t>5.2. Муниципальные образования - получатели субсидий обеспечивают достижение следующих показателей результативности использования субсидии:</w:t>
      </w:r>
    </w:p>
    <w:p w14:paraId="7554F7BC" w14:textId="77777777" w:rsidR="00454A29" w:rsidRDefault="00454A29">
      <w:pPr>
        <w:pStyle w:val="ConsPlusNormal"/>
        <w:spacing w:before="220"/>
        <w:ind w:firstLine="540"/>
        <w:jc w:val="both"/>
      </w:pPr>
      <w:r>
        <w:t>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14:paraId="57B0CC4D" w14:textId="77777777" w:rsidR="00454A29" w:rsidRDefault="00454A29">
      <w:pPr>
        <w:pStyle w:val="ConsPlusNormal"/>
        <w:spacing w:before="220"/>
        <w:ind w:firstLine="540"/>
        <w:jc w:val="both"/>
      </w:pPr>
      <w:r>
        <w:lastRenderedPageBreak/>
        <w:t>процент выполнения графика работ по капитальному ремонту.</w:t>
      </w:r>
    </w:p>
    <w:p w14:paraId="349A7A1E" w14:textId="77777777" w:rsidR="00454A29" w:rsidRDefault="00454A29">
      <w:pPr>
        <w:pStyle w:val="ConsPlusNormal"/>
        <w:spacing w:before="220"/>
        <w:ind w:firstLine="540"/>
        <w:jc w:val="both"/>
      </w:pPr>
      <w:r>
        <w:t>5.3. Значения показателей результативности использования субсидии устанавливаются Министерством в соглашениях с муниципальными образованиями о предоставлении субсидий.</w:t>
      </w:r>
    </w:p>
    <w:p w14:paraId="254BAA11" w14:textId="77777777" w:rsidR="00454A29" w:rsidRDefault="00454A29">
      <w:pPr>
        <w:pStyle w:val="ConsPlusNormal"/>
      </w:pPr>
    </w:p>
    <w:p w14:paraId="62C8077E" w14:textId="77777777" w:rsidR="00454A29" w:rsidRDefault="00454A29">
      <w:pPr>
        <w:pStyle w:val="ConsPlusTitle"/>
        <w:jc w:val="center"/>
        <w:outlineLvl w:val="2"/>
      </w:pPr>
      <w:r>
        <w:t>VI. Сроки и порядок представления отчетности</w:t>
      </w:r>
    </w:p>
    <w:p w14:paraId="2ED46B41" w14:textId="77777777" w:rsidR="00454A29" w:rsidRDefault="00454A29">
      <w:pPr>
        <w:pStyle w:val="ConsPlusTitle"/>
        <w:jc w:val="center"/>
      </w:pPr>
      <w:r>
        <w:t>об исполнении условий предоставления субсидий</w:t>
      </w:r>
    </w:p>
    <w:p w14:paraId="26236778" w14:textId="77777777" w:rsidR="00454A29" w:rsidRDefault="00454A29">
      <w:pPr>
        <w:pStyle w:val="ConsPlusNormal"/>
      </w:pPr>
    </w:p>
    <w:p w14:paraId="37452BAE" w14:textId="77777777" w:rsidR="00454A29" w:rsidRDefault="00454A29">
      <w:pPr>
        <w:pStyle w:val="ConsPlusNormal"/>
        <w:ind w:firstLine="540"/>
        <w:jc w:val="both"/>
      </w:pPr>
      <w:r>
        <w:t xml:space="preserve">Муниципальные образования ежемесячно, до 10-го числа месяца, следующего за отчетным месяцем, представляют Министерству </w:t>
      </w:r>
      <w:hyperlink w:anchor="P33985" w:history="1">
        <w:r>
          <w:rPr>
            <w:color w:val="0000FF"/>
          </w:rPr>
          <w:t>отчет</w:t>
        </w:r>
      </w:hyperlink>
      <w:r>
        <w:t xml:space="preserve"> об осуществлении расходов местных бюджетов, источником финансового обеспечения которых является субсидия, и о достигнутых значениях показателей результативности предоставления субсидии по формам согласно приложению к настоящему Порядку.</w:t>
      </w:r>
    </w:p>
    <w:p w14:paraId="73A977D1" w14:textId="77777777" w:rsidR="00454A29" w:rsidRDefault="00454A29">
      <w:pPr>
        <w:pStyle w:val="ConsPlusNormal"/>
      </w:pPr>
    </w:p>
    <w:p w14:paraId="47668350" w14:textId="77777777" w:rsidR="00454A29" w:rsidRDefault="00454A29">
      <w:pPr>
        <w:pStyle w:val="ConsPlusTitle"/>
        <w:jc w:val="center"/>
        <w:outlineLvl w:val="2"/>
      </w:pPr>
      <w:r>
        <w:t>VII. Основания и порядок применения мер финансовой</w:t>
      </w:r>
    </w:p>
    <w:p w14:paraId="42C86D9A" w14:textId="77777777" w:rsidR="00454A29" w:rsidRDefault="00454A29">
      <w:pPr>
        <w:pStyle w:val="ConsPlusTitle"/>
        <w:jc w:val="center"/>
      </w:pPr>
      <w:r>
        <w:t>ответственности муниципального образования при невыполнении</w:t>
      </w:r>
    </w:p>
    <w:p w14:paraId="1E21891C" w14:textId="77777777" w:rsidR="00454A29" w:rsidRDefault="00454A29">
      <w:pPr>
        <w:pStyle w:val="ConsPlusTitle"/>
        <w:jc w:val="center"/>
      </w:pPr>
      <w:r>
        <w:t>условий соглашения, в том числе порядок и предельный</w:t>
      </w:r>
    </w:p>
    <w:p w14:paraId="0795BAB0" w14:textId="77777777" w:rsidR="00454A29" w:rsidRDefault="00454A29">
      <w:pPr>
        <w:pStyle w:val="ConsPlusTitle"/>
        <w:jc w:val="center"/>
      </w:pPr>
      <w:r>
        <w:t>объем сокращения и перераспределения субсидий в случае</w:t>
      </w:r>
    </w:p>
    <w:p w14:paraId="1627984E" w14:textId="77777777" w:rsidR="00454A29" w:rsidRDefault="00454A29">
      <w:pPr>
        <w:pStyle w:val="ConsPlusTitle"/>
        <w:jc w:val="center"/>
      </w:pPr>
      <w:r>
        <w:t>невыполнения муниципальными образованиями условий</w:t>
      </w:r>
    </w:p>
    <w:p w14:paraId="080A9BD1" w14:textId="77777777" w:rsidR="00454A29" w:rsidRDefault="00454A29">
      <w:pPr>
        <w:pStyle w:val="ConsPlusTitle"/>
        <w:jc w:val="center"/>
      </w:pPr>
      <w:r>
        <w:t>предоставления субсидий и обязательств по целевому</w:t>
      </w:r>
    </w:p>
    <w:p w14:paraId="1A084C3D" w14:textId="77777777" w:rsidR="00454A29" w:rsidRDefault="00454A29">
      <w:pPr>
        <w:pStyle w:val="ConsPlusTitle"/>
        <w:jc w:val="center"/>
      </w:pPr>
      <w:r>
        <w:t>и эффективному использованию субсидий</w:t>
      </w:r>
    </w:p>
    <w:p w14:paraId="4B617330" w14:textId="77777777" w:rsidR="00454A29" w:rsidRDefault="00454A29">
      <w:pPr>
        <w:pStyle w:val="ConsPlusNormal"/>
      </w:pPr>
    </w:p>
    <w:p w14:paraId="748CC6A9" w14:textId="77777777" w:rsidR="00454A29" w:rsidRDefault="00454A29">
      <w:pPr>
        <w:pStyle w:val="ConsPlusNormal"/>
        <w:ind w:firstLine="540"/>
        <w:jc w:val="both"/>
      </w:pPr>
      <w:bookmarkStart w:id="33" w:name="P33928"/>
      <w:bookmarkEnd w:id="33"/>
      <w:r>
        <w:t>7.1.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w:t>
      </w:r>
      <w:r>
        <w:rPr>
          <w:vertAlign w:val="subscript"/>
        </w:rPr>
        <w:t>возврата)</w:t>
      </w:r>
      <w:r>
        <w:t xml:space="preserve"> в соответствии с приказом Министерства, рассчитывается по формуле:</w:t>
      </w:r>
    </w:p>
    <w:p w14:paraId="57AE3382" w14:textId="77777777" w:rsidR="00454A29" w:rsidRDefault="00454A29">
      <w:pPr>
        <w:pStyle w:val="ConsPlusNormal"/>
      </w:pPr>
    </w:p>
    <w:p w14:paraId="50FAF4A4" w14:textId="77777777" w:rsidR="00454A29" w:rsidRDefault="00454A29">
      <w:pPr>
        <w:pStyle w:val="ConsPlusNormal"/>
        <w:jc w:val="center"/>
      </w:pPr>
      <w:r>
        <w:t>V</w:t>
      </w:r>
      <w:r>
        <w:rPr>
          <w:vertAlign w:val="subscript"/>
        </w:rPr>
        <w:t>возврата</w:t>
      </w:r>
      <w:r>
        <w:t xml:space="preserve"> = (V</w:t>
      </w:r>
      <w:r>
        <w:rPr>
          <w:vertAlign w:val="subscript"/>
        </w:rPr>
        <w:t>субсидии</w:t>
      </w:r>
      <w:r>
        <w:t xml:space="preserve"> * k * m / n) * 0,1, где</w:t>
      </w:r>
    </w:p>
    <w:p w14:paraId="46881F6E" w14:textId="77777777" w:rsidR="00454A29" w:rsidRDefault="00454A29">
      <w:pPr>
        <w:pStyle w:val="ConsPlusNormal"/>
      </w:pPr>
    </w:p>
    <w:p w14:paraId="6F2A8F5B" w14:textId="77777777" w:rsidR="00454A29" w:rsidRDefault="00454A29">
      <w:pPr>
        <w:pStyle w:val="ConsPlusNormal"/>
        <w:ind w:firstLine="540"/>
        <w:jc w:val="both"/>
      </w:pPr>
      <w:r>
        <w:t>V</w:t>
      </w:r>
      <w:r>
        <w:rPr>
          <w:vertAlign w:val="subscript"/>
        </w:rPr>
        <w:t>субсидии</w:t>
      </w:r>
      <w:r>
        <w:t xml:space="preserve"> - размер субсидии, предоставленной местному бюджету в отчетном финансовом году;</w:t>
      </w:r>
    </w:p>
    <w:p w14:paraId="4ECA9270" w14:textId="77777777" w:rsidR="00454A29" w:rsidRDefault="00454A29">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4C60C09B" w14:textId="77777777" w:rsidR="00454A29" w:rsidRDefault="00454A29">
      <w:pPr>
        <w:pStyle w:val="ConsPlusNormal"/>
        <w:spacing w:before="220"/>
        <w:ind w:firstLine="540"/>
        <w:jc w:val="both"/>
      </w:pPr>
      <w:r>
        <w:t>n - общее количество показателей результативности использования субсидии;</w:t>
      </w:r>
    </w:p>
    <w:p w14:paraId="36C9E60E" w14:textId="77777777" w:rsidR="00454A29" w:rsidRDefault="00454A29">
      <w:pPr>
        <w:pStyle w:val="ConsPlusNormal"/>
        <w:spacing w:before="220"/>
        <w:ind w:firstLine="540"/>
        <w:jc w:val="both"/>
      </w:pPr>
      <w:r>
        <w:t>k - коэффициент возврата субсидии.</w:t>
      </w:r>
    </w:p>
    <w:p w14:paraId="7A8B8890" w14:textId="77777777" w:rsidR="00454A29" w:rsidRDefault="00454A29">
      <w:pPr>
        <w:pStyle w:val="ConsPlusNormal"/>
        <w:spacing w:before="220"/>
        <w:ind w:firstLine="540"/>
        <w:jc w:val="both"/>
      </w:pPr>
      <w:r>
        <w:t>7.2. 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vertAlign w:val="subscript"/>
        </w:rPr>
        <w:t>субсидии),</w:t>
      </w:r>
      <w: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14:paraId="56030894" w14:textId="77777777" w:rsidR="00454A29" w:rsidRDefault="00454A29">
      <w:pPr>
        <w:pStyle w:val="ConsPlusNormal"/>
        <w:spacing w:before="220"/>
        <w:ind w:firstLine="540"/>
        <w:jc w:val="both"/>
      </w:pPr>
      <w:r>
        <w:t>7.2.1. Коэффициент возврата субсидии рассчитывается по формуле:</w:t>
      </w:r>
    </w:p>
    <w:p w14:paraId="4D6CF0CE" w14:textId="77777777" w:rsidR="00454A29" w:rsidRDefault="00454A29">
      <w:pPr>
        <w:pStyle w:val="ConsPlusNormal"/>
      </w:pPr>
    </w:p>
    <w:p w14:paraId="675EDCE9" w14:textId="77777777" w:rsidR="00454A29" w:rsidRDefault="00454A29">
      <w:pPr>
        <w:pStyle w:val="ConsPlusNormal"/>
        <w:jc w:val="center"/>
      </w:pPr>
      <w:r w:rsidRPr="005D7449">
        <w:rPr>
          <w:position w:val="-11"/>
        </w:rPr>
        <w:pict w14:anchorId="4E96F83F">
          <v:shape id="_x0000_i1030" style="width:69.35pt;height:21.95pt" coordsize="" o:spt="100" adj="0,,0" path="" filled="f" stroked="f">
            <v:stroke joinstyle="miter"/>
            <v:imagedata r:id="rId32" o:title="base_23801_77601_32773"/>
            <v:formulas/>
            <v:path o:connecttype="segments"/>
          </v:shape>
        </w:pict>
      </w:r>
      <w:r>
        <w:t>, где:</w:t>
      </w:r>
    </w:p>
    <w:p w14:paraId="3D4DBAD3" w14:textId="77777777" w:rsidR="00454A29" w:rsidRDefault="00454A29">
      <w:pPr>
        <w:pStyle w:val="ConsPlusNormal"/>
      </w:pPr>
    </w:p>
    <w:p w14:paraId="6A0504DF" w14:textId="77777777" w:rsidR="00454A29" w:rsidRDefault="00454A29">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14:paraId="5D98BF25" w14:textId="77777777" w:rsidR="00454A29" w:rsidRDefault="00454A29">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47E9CA01" w14:textId="77777777" w:rsidR="00454A29" w:rsidRDefault="00454A29">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14:paraId="6EF760DA" w14:textId="77777777" w:rsidR="00454A29" w:rsidRDefault="00454A29">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234B78E4" w14:textId="77777777" w:rsidR="00454A29" w:rsidRDefault="00454A29">
      <w:pPr>
        <w:pStyle w:val="ConsPlusNormal"/>
      </w:pPr>
    </w:p>
    <w:p w14:paraId="216999AC" w14:textId="77777777" w:rsidR="00454A29" w:rsidRDefault="00454A29">
      <w:pPr>
        <w:pStyle w:val="ConsPlusNormal"/>
        <w:jc w:val="center"/>
      </w:pPr>
      <w:r>
        <w:t>D</w:t>
      </w:r>
      <w:r>
        <w:rPr>
          <w:vertAlign w:val="subscript"/>
        </w:rPr>
        <w:t>i</w:t>
      </w:r>
      <w:r>
        <w:t xml:space="preserve"> = 1 - T</w:t>
      </w:r>
      <w:r>
        <w:rPr>
          <w:vertAlign w:val="subscript"/>
        </w:rPr>
        <w:t>i</w:t>
      </w:r>
      <w:r>
        <w:t xml:space="preserve"> / S</w:t>
      </w:r>
      <w:r>
        <w:rPr>
          <w:vertAlign w:val="subscript"/>
        </w:rPr>
        <w:t>i,</w:t>
      </w:r>
      <w:r>
        <w:t xml:space="preserve"> где:</w:t>
      </w:r>
    </w:p>
    <w:p w14:paraId="6B3922F7" w14:textId="77777777" w:rsidR="00454A29" w:rsidRDefault="00454A29">
      <w:pPr>
        <w:pStyle w:val="ConsPlusNormal"/>
      </w:pPr>
    </w:p>
    <w:p w14:paraId="09FF4283" w14:textId="77777777" w:rsidR="00454A29" w:rsidRDefault="00454A29">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14:paraId="20A75AE8" w14:textId="77777777" w:rsidR="00454A29" w:rsidRDefault="00454A29">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14:paraId="4F573C6A" w14:textId="77777777" w:rsidR="00454A29" w:rsidRDefault="00454A29">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60B588F2" w14:textId="77777777" w:rsidR="00454A29" w:rsidRDefault="00454A29">
      <w:pPr>
        <w:pStyle w:val="ConsPlusNormal"/>
      </w:pPr>
    </w:p>
    <w:p w14:paraId="2F538EF8" w14:textId="77777777" w:rsidR="00454A29" w:rsidRDefault="00454A29">
      <w:pPr>
        <w:pStyle w:val="ConsPlusNormal"/>
        <w:jc w:val="center"/>
      </w:pPr>
      <w:r>
        <w:t>D</w:t>
      </w:r>
      <w:r>
        <w:rPr>
          <w:vertAlign w:val="subscript"/>
        </w:rPr>
        <w:t>i</w:t>
      </w:r>
      <w:r>
        <w:t xml:space="preserve"> = 1 - S</w:t>
      </w:r>
      <w:r>
        <w:rPr>
          <w:vertAlign w:val="subscript"/>
        </w:rPr>
        <w:t>i</w:t>
      </w:r>
      <w:r>
        <w:t xml:space="preserve"> / T</w:t>
      </w:r>
      <w:r>
        <w:rPr>
          <w:vertAlign w:val="subscript"/>
        </w:rPr>
        <w:t>i</w:t>
      </w:r>
    </w:p>
    <w:p w14:paraId="33A09EE1" w14:textId="77777777" w:rsidR="00454A29" w:rsidRDefault="00454A29">
      <w:pPr>
        <w:pStyle w:val="ConsPlusNormal"/>
      </w:pPr>
    </w:p>
    <w:p w14:paraId="33FBEEF6" w14:textId="77777777" w:rsidR="00454A29" w:rsidRDefault="00454A29">
      <w:pPr>
        <w:pStyle w:val="ConsPlusNormal"/>
        <w:ind w:firstLine="540"/>
        <w:jc w:val="both"/>
      </w:pPr>
      <w:r>
        <w:t xml:space="preserve">7.3. Основанием для освобождения муниципальных образований от применения мер ответственности, предусмотренных </w:t>
      </w:r>
      <w:hyperlink w:anchor="P33928" w:history="1">
        <w:r>
          <w:rPr>
            <w:color w:val="0000FF"/>
          </w:rPr>
          <w:t>пунктом 7.1</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630B294F" w14:textId="77777777" w:rsidR="00454A29" w:rsidRDefault="00454A29">
      <w:pPr>
        <w:pStyle w:val="ConsPlusNormal"/>
        <w:spacing w:before="220"/>
        <w:ind w:firstLine="540"/>
        <w:jc w:val="both"/>
      </w:pPr>
      <w:r>
        <w:t>7.4. Министерство при наличии основания, предусмотренного пунктом 7.3 настоящего Порядка,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3E3CA2A7" w14:textId="77777777" w:rsidR="00454A29" w:rsidRDefault="00454A29">
      <w:pPr>
        <w:pStyle w:val="ConsPlusNormal"/>
        <w:spacing w:before="220"/>
        <w:ind w:firstLine="540"/>
        <w:jc w:val="both"/>
      </w:pPr>
      <w:r>
        <w:t xml:space="preserve">7.5. 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Документы представляются Министерству муниципальным образованием до 30 апреля года, следующего за годом предоставления субсидии. Министерство не позднее 15 мая года, следующего за годом предоставления субсидии, издает ведомственный акт об освобождении органов местного самоуправления от применения мер ответственности, предусмотренных </w:t>
      </w:r>
      <w:hyperlink w:anchor="P33928" w:history="1">
        <w:r>
          <w:rPr>
            <w:color w:val="0000FF"/>
          </w:rPr>
          <w:t>пунктом 7.1</w:t>
        </w:r>
      </w:hyperlink>
      <w:r>
        <w:t xml:space="preserve"> настоящего Порядка.</w:t>
      </w:r>
    </w:p>
    <w:p w14:paraId="3738AA2C" w14:textId="77777777" w:rsidR="00454A29" w:rsidRDefault="00454A29">
      <w:pPr>
        <w:pStyle w:val="ConsPlusNormal"/>
        <w:spacing w:before="220"/>
        <w:ind w:firstLine="540"/>
        <w:jc w:val="both"/>
      </w:pPr>
      <w:r>
        <w:t>7.6. В случае отсутствия оснований для освобождения муниципального образования от применения мер ответственности, предусмотренных пунктом 7.1 настоящего Порядка, Министерство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пунктом 7.1 настоящего Порядка.</w:t>
      </w:r>
    </w:p>
    <w:p w14:paraId="13E53B18" w14:textId="77777777" w:rsidR="00454A29" w:rsidRDefault="00454A29">
      <w:pPr>
        <w:pStyle w:val="ConsPlusNormal"/>
      </w:pPr>
    </w:p>
    <w:p w14:paraId="5C18CAC7" w14:textId="77777777" w:rsidR="00454A29" w:rsidRDefault="00454A29">
      <w:pPr>
        <w:pStyle w:val="ConsPlusTitle"/>
        <w:jc w:val="center"/>
        <w:outlineLvl w:val="2"/>
      </w:pPr>
      <w:r>
        <w:t>VIII. Возврат и использование остатков субсидий</w:t>
      </w:r>
    </w:p>
    <w:p w14:paraId="3E2823F0" w14:textId="77777777" w:rsidR="00454A29" w:rsidRDefault="00454A29">
      <w:pPr>
        <w:pStyle w:val="ConsPlusNormal"/>
      </w:pPr>
    </w:p>
    <w:p w14:paraId="24F77A64" w14:textId="77777777" w:rsidR="00454A29" w:rsidRDefault="00454A29">
      <w:pPr>
        <w:pStyle w:val="ConsPlusNormal"/>
        <w:ind w:firstLine="540"/>
        <w:jc w:val="both"/>
      </w:pPr>
      <w:r>
        <w:lastRenderedPageBreak/>
        <w:t>8.1.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451F1DC1" w14:textId="77777777" w:rsidR="00454A29" w:rsidRDefault="00454A29">
      <w:pPr>
        <w:pStyle w:val="ConsPlusNormal"/>
        <w:spacing w:before="220"/>
        <w:ind w:firstLine="540"/>
        <w:jc w:val="both"/>
      </w:pPr>
      <w:r>
        <w:t xml:space="preserve">8.2. Принятие решения о наличии потребности (остатков)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Порядком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 утвержденным </w:t>
      </w:r>
      <w:hyperlink r:id="rId54" w:history="1">
        <w:r>
          <w:rPr>
            <w:color w:val="0000FF"/>
          </w:rPr>
          <w:t>постановлением</w:t>
        </w:r>
      </w:hyperlink>
      <w:r>
        <w:t xml:space="preserve"> Правительства Республики Саха (Якутия) от 17 января 2017 г. N 10.</w:t>
      </w:r>
    </w:p>
    <w:p w14:paraId="55C53D45" w14:textId="77777777" w:rsidR="00454A29" w:rsidRDefault="00454A29">
      <w:pPr>
        <w:pStyle w:val="ConsPlusNormal"/>
        <w:spacing w:before="220"/>
        <w:ind w:firstLine="540"/>
        <w:jc w:val="both"/>
      </w:pPr>
      <w:r>
        <w:t>8.3. 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14:paraId="0ACC56D6" w14:textId="77777777" w:rsidR="00454A29" w:rsidRDefault="00454A29">
      <w:pPr>
        <w:pStyle w:val="ConsPlusNormal"/>
        <w:spacing w:before="220"/>
        <w:ind w:firstLine="540"/>
        <w:jc w:val="both"/>
      </w:pPr>
      <w:r>
        <w:t xml:space="preserve">8.4. Бюджетные средства, образовавшиеся в результате экономии (в том числе по итогам проведения муниципальными образованиями конкурсных процедур в соответствии с Федеральным </w:t>
      </w:r>
      <w:hyperlink r:id="rId5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14:paraId="5C2C1041" w14:textId="77777777" w:rsidR="00454A29" w:rsidRDefault="00454A29">
      <w:pPr>
        <w:pStyle w:val="ConsPlusNormal"/>
        <w:spacing w:before="220"/>
        <w:ind w:firstLine="540"/>
        <w:jc w:val="both"/>
      </w:pPr>
      <w:r>
        <w:t xml:space="preserve">8.5. В случае нецелевого использования субсидии и (или) нарушения муниципальным образованием условий ее предоставления, в том числе невозврата средств в государственный бюджет Республики Саха (Якутия) в соответствии с </w:t>
      </w:r>
      <w:hyperlink w:anchor="P33928" w:history="1">
        <w:r>
          <w:rPr>
            <w:color w:val="0000FF"/>
          </w:rPr>
          <w:t>пунктом 7.1</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14:paraId="21787684" w14:textId="77777777" w:rsidR="00454A29" w:rsidRDefault="00454A29">
      <w:pPr>
        <w:pStyle w:val="ConsPlusNormal"/>
        <w:spacing w:before="220"/>
        <w:ind w:firstLine="540"/>
        <w:jc w:val="both"/>
      </w:pPr>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14:paraId="256764D2" w14:textId="77777777" w:rsidR="00454A29" w:rsidRDefault="00454A29">
      <w:pPr>
        <w:pStyle w:val="ConsPlusNormal"/>
        <w:spacing w:before="220"/>
        <w:ind w:firstLine="540"/>
        <w:jc w:val="both"/>
      </w:pPr>
      <w:r>
        <w:t>8.6. Контроль за целевым использованием субсидий муниципальными образованиями и за соблюдением муниципальными образованиями условий предоставления субсидий осуществляется Министерством и органами внутреннего государственного финансового контроля Республики Саха (Якутия).</w:t>
      </w:r>
    </w:p>
    <w:p w14:paraId="0A938EFB" w14:textId="77777777" w:rsidR="00454A29" w:rsidRDefault="00454A29">
      <w:pPr>
        <w:pStyle w:val="ConsPlusNormal"/>
      </w:pPr>
    </w:p>
    <w:p w14:paraId="59E0D99F" w14:textId="77777777" w:rsidR="00454A29" w:rsidRDefault="00454A29">
      <w:pPr>
        <w:pStyle w:val="ConsPlusNormal"/>
      </w:pPr>
    </w:p>
    <w:p w14:paraId="22098992" w14:textId="77777777" w:rsidR="00454A29" w:rsidRDefault="00454A29">
      <w:pPr>
        <w:pStyle w:val="ConsPlusNormal"/>
      </w:pPr>
    </w:p>
    <w:p w14:paraId="62EF7397" w14:textId="77777777" w:rsidR="00454A29" w:rsidRDefault="00454A29">
      <w:pPr>
        <w:pStyle w:val="ConsPlusNormal"/>
      </w:pPr>
    </w:p>
    <w:p w14:paraId="1732419F" w14:textId="77777777" w:rsidR="00454A29" w:rsidRDefault="00454A29">
      <w:pPr>
        <w:pStyle w:val="ConsPlusNormal"/>
      </w:pPr>
    </w:p>
    <w:p w14:paraId="7E0C3B76" w14:textId="77777777" w:rsidR="00454A29" w:rsidRDefault="00454A29">
      <w:pPr>
        <w:pStyle w:val="ConsPlusNormal"/>
        <w:jc w:val="right"/>
        <w:outlineLvl w:val="2"/>
      </w:pPr>
      <w:r>
        <w:t>Приложение</w:t>
      </w:r>
    </w:p>
    <w:p w14:paraId="365221BE" w14:textId="77777777" w:rsidR="00454A29" w:rsidRDefault="00454A29">
      <w:pPr>
        <w:pStyle w:val="ConsPlusNormal"/>
        <w:jc w:val="right"/>
      </w:pPr>
      <w:r>
        <w:t>к Порядку</w:t>
      </w:r>
    </w:p>
    <w:p w14:paraId="07E543E1" w14:textId="77777777" w:rsidR="00454A29" w:rsidRDefault="00454A29">
      <w:pPr>
        <w:pStyle w:val="ConsPlusNormal"/>
        <w:jc w:val="right"/>
      </w:pPr>
      <w:r>
        <w:t>предоставления и распределения</w:t>
      </w:r>
    </w:p>
    <w:p w14:paraId="0169B7A7" w14:textId="77777777" w:rsidR="00454A29" w:rsidRDefault="00454A29">
      <w:pPr>
        <w:pStyle w:val="ConsPlusNormal"/>
        <w:jc w:val="right"/>
      </w:pPr>
      <w:r>
        <w:lastRenderedPageBreak/>
        <w:t>субсидий из государственного бюджета</w:t>
      </w:r>
    </w:p>
    <w:p w14:paraId="4FB73BE3" w14:textId="77777777" w:rsidR="00454A29" w:rsidRDefault="00454A29">
      <w:pPr>
        <w:pStyle w:val="ConsPlusNormal"/>
        <w:jc w:val="right"/>
      </w:pPr>
      <w:r>
        <w:t>Республики Саха (Якутия)</w:t>
      </w:r>
    </w:p>
    <w:p w14:paraId="4381527A" w14:textId="77777777" w:rsidR="00454A29" w:rsidRDefault="00454A29">
      <w:pPr>
        <w:pStyle w:val="ConsPlusNormal"/>
        <w:jc w:val="right"/>
      </w:pPr>
      <w:r>
        <w:t>местным бюджетам на осуществление</w:t>
      </w:r>
    </w:p>
    <w:p w14:paraId="5345DD8C" w14:textId="77777777" w:rsidR="00454A29" w:rsidRDefault="00454A29">
      <w:pPr>
        <w:pStyle w:val="ConsPlusNormal"/>
        <w:jc w:val="right"/>
      </w:pPr>
      <w:r>
        <w:t>капитального ремонта объектов</w:t>
      </w:r>
    </w:p>
    <w:p w14:paraId="3A512BC9" w14:textId="77777777" w:rsidR="00454A29" w:rsidRDefault="00454A29">
      <w:pPr>
        <w:pStyle w:val="ConsPlusNormal"/>
        <w:jc w:val="right"/>
      </w:pPr>
      <w:r>
        <w:t>образования, находящихся</w:t>
      </w:r>
    </w:p>
    <w:p w14:paraId="57099563" w14:textId="77777777" w:rsidR="00454A29" w:rsidRDefault="00454A29">
      <w:pPr>
        <w:pStyle w:val="ConsPlusNormal"/>
        <w:jc w:val="right"/>
      </w:pPr>
      <w:r>
        <w:t>в муниципальной собственности</w:t>
      </w:r>
    </w:p>
    <w:p w14:paraId="25B4C8DD" w14:textId="77777777" w:rsidR="00454A29" w:rsidRDefault="00454A29">
      <w:pPr>
        <w:pStyle w:val="ConsPlusNormal"/>
      </w:pPr>
    </w:p>
    <w:p w14:paraId="238A8E38" w14:textId="77777777" w:rsidR="00454A29" w:rsidRDefault="00454A29">
      <w:pPr>
        <w:pStyle w:val="ConsPlusNormal"/>
        <w:jc w:val="right"/>
        <w:outlineLvl w:val="3"/>
      </w:pPr>
      <w:r>
        <w:t>Форма</w:t>
      </w:r>
    </w:p>
    <w:p w14:paraId="157EBC35" w14:textId="77777777" w:rsidR="00454A29" w:rsidRDefault="00454A29">
      <w:pPr>
        <w:pStyle w:val="ConsPlusNormal"/>
      </w:pPr>
    </w:p>
    <w:p w14:paraId="3A070A22" w14:textId="77777777" w:rsidR="00454A29" w:rsidRDefault="00454A29">
      <w:pPr>
        <w:sectPr w:rsidR="00454A29">
          <w:pgSz w:w="11905" w:h="16838"/>
          <w:pgMar w:top="1134" w:right="850" w:bottom="1134" w:left="1701" w:header="0" w:footer="0" w:gutter="0"/>
          <w:cols w:space="72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794"/>
        <w:gridCol w:w="1276"/>
        <w:gridCol w:w="794"/>
        <w:gridCol w:w="794"/>
        <w:gridCol w:w="794"/>
        <w:gridCol w:w="907"/>
        <w:gridCol w:w="907"/>
        <w:gridCol w:w="1191"/>
        <w:gridCol w:w="1417"/>
        <w:gridCol w:w="1417"/>
        <w:gridCol w:w="1701"/>
        <w:gridCol w:w="794"/>
        <w:gridCol w:w="794"/>
        <w:gridCol w:w="794"/>
        <w:gridCol w:w="794"/>
      </w:tblGrid>
      <w:tr w:rsidR="00454A29" w14:paraId="6725DFE6" w14:textId="77777777">
        <w:tc>
          <w:tcPr>
            <w:tcW w:w="17436" w:type="dxa"/>
            <w:gridSpan w:val="17"/>
            <w:tcBorders>
              <w:top w:val="nil"/>
              <w:left w:val="nil"/>
              <w:bottom w:val="nil"/>
              <w:right w:val="nil"/>
            </w:tcBorders>
          </w:tcPr>
          <w:p w14:paraId="3B1C7BC4" w14:textId="77777777" w:rsidR="00454A29" w:rsidRDefault="00454A29">
            <w:pPr>
              <w:pStyle w:val="ConsPlusNormal"/>
              <w:jc w:val="center"/>
            </w:pPr>
            <w:bookmarkStart w:id="34" w:name="P33985"/>
            <w:bookmarkEnd w:id="34"/>
            <w:r>
              <w:lastRenderedPageBreak/>
              <w:t>ОТЧЕТ</w:t>
            </w:r>
          </w:p>
          <w:p w14:paraId="4EC4D7A2" w14:textId="77777777" w:rsidR="00454A29" w:rsidRDefault="00454A29">
            <w:pPr>
              <w:pStyle w:val="ConsPlusNormal"/>
              <w:jc w:val="center"/>
            </w:pPr>
            <w:r>
              <w:t>____________________________________________________________</w:t>
            </w:r>
          </w:p>
          <w:p w14:paraId="70913BFD" w14:textId="77777777" w:rsidR="00454A29" w:rsidRDefault="00454A29">
            <w:pPr>
              <w:pStyle w:val="ConsPlusNormal"/>
              <w:jc w:val="center"/>
            </w:pPr>
            <w:r>
              <w:t>(наименование муниципального образования)</w:t>
            </w:r>
          </w:p>
          <w:p w14:paraId="0EB74675" w14:textId="77777777" w:rsidR="00454A29" w:rsidRDefault="00454A29">
            <w:pPr>
              <w:pStyle w:val="ConsPlusNormal"/>
            </w:pPr>
          </w:p>
          <w:p w14:paraId="2816BF90" w14:textId="77777777" w:rsidR="00454A29" w:rsidRDefault="00454A29">
            <w:pPr>
              <w:pStyle w:val="ConsPlusNormal"/>
              <w:jc w:val="center"/>
            </w:pPr>
            <w:r>
              <w:t>об использовании средств субсидии на осуществление</w:t>
            </w:r>
          </w:p>
          <w:p w14:paraId="0BBFAE9D" w14:textId="77777777" w:rsidR="00454A29" w:rsidRDefault="00454A29">
            <w:pPr>
              <w:pStyle w:val="ConsPlusNormal"/>
              <w:jc w:val="center"/>
            </w:pPr>
            <w:r>
              <w:t>капитального ремонта объектов образования</w:t>
            </w:r>
          </w:p>
          <w:p w14:paraId="539A7275" w14:textId="77777777" w:rsidR="00454A29" w:rsidRDefault="00454A29">
            <w:pPr>
              <w:pStyle w:val="ConsPlusNormal"/>
              <w:jc w:val="center"/>
            </w:pPr>
            <w:r>
              <w:t>по состоянию на "___" __________ 20__ г.</w:t>
            </w:r>
          </w:p>
        </w:tc>
      </w:tr>
      <w:tr w:rsidR="00454A29" w14:paraId="55D0EB6E" w14:textId="77777777">
        <w:tc>
          <w:tcPr>
            <w:tcW w:w="17436" w:type="dxa"/>
            <w:gridSpan w:val="17"/>
            <w:tcBorders>
              <w:top w:val="nil"/>
              <w:left w:val="nil"/>
              <w:right w:val="nil"/>
            </w:tcBorders>
          </w:tcPr>
          <w:p w14:paraId="330B5BE3" w14:textId="77777777" w:rsidR="00454A29" w:rsidRDefault="00454A29">
            <w:pPr>
              <w:pStyle w:val="ConsPlusNormal"/>
            </w:pPr>
          </w:p>
        </w:tc>
      </w:tr>
      <w:tr w:rsidR="00454A29" w14:paraId="796F3DCE" w14:textId="77777777">
        <w:tblPrEx>
          <w:tblBorders>
            <w:left w:val="single" w:sz="4" w:space="0" w:color="auto"/>
            <w:right w:val="single" w:sz="4" w:space="0" w:color="auto"/>
            <w:insideH w:val="single" w:sz="4" w:space="0" w:color="auto"/>
          </w:tblBorders>
        </w:tblPrEx>
        <w:tc>
          <w:tcPr>
            <w:tcW w:w="567" w:type="dxa"/>
            <w:vMerge w:val="restart"/>
            <w:vAlign w:val="center"/>
          </w:tcPr>
          <w:p w14:paraId="4AE4BE3E" w14:textId="77777777" w:rsidR="00454A29" w:rsidRDefault="00454A29">
            <w:pPr>
              <w:pStyle w:val="ConsPlusNormal"/>
              <w:jc w:val="center"/>
            </w:pPr>
            <w:r>
              <w:t>N п/п</w:t>
            </w:r>
          </w:p>
        </w:tc>
        <w:tc>
          <w:tcPr>
            <w:tcW w:w="1701" w:type="dxa"/>
            <w:vMerge w:val="restart"/>
            <w:vAlign w:val="center"/>
          </w:tcPr>
          <w:p w14:paraId="44631DD9" w14:textId="77777777" w:rsidR="00454A29" w:rsidRDefault="00454A29">
            <w:pPr>
              <w:pStyle w:val="ConsPlusNormal"/>
              <w:jc w:val="center"/>
            </w:pPr>
            <w:r>
              <w:t>Наименование объектов</w:t>
            </w:r>
          </w:p>
        </w:tc>
        <w:tc>
          <w:tcPr>
            <w:tcW w:w="794" w:type="dxa"/>
            <w:vMerge w:val="restart"/>
            <w:vAlign w:val="center"/>
          </w:tcPr>
          <w:p w14:paraId="297CF90E" w14:textId="77777777" w:rsidR="00454A29" w:rsidRDefault="00454A29">
            <w:pPr>
              <w:pStyle w:val="ConsPlusNormal"/>
              <w:jc w:val="center"/>
            </w:pPr>
            <w:r>
              <w:t>Виды работ</w:t>
            </w:r>
          </w:p>
        </w:tc>
        <w:tc>
          <w:tcPr>
            <w:tcW w:w="1276" w:type="dxa"/>
            <w:vMerge w:val="restart"/>
            <w:vAlign w:val="center"/>
          </w:tcPr>
          <w:p w14:paraId="3A6B6527" w14:textId="77777777" w:rsidR="00454A29" w:rsidRDefault="00454A29">
            <w:pPr>
              <w:pStyle w:val="ConsPlusNormal"/>
              <w:jc w:val="center"/>
            </w:pPr>
            <w:r>
              <w:t>Сметная стоимость</w:t>
            </w:r>
          </w:p>
        </w:tc>
        <w:tc>
          <w:tcPr>
            <w:tcW w:w="2382" w:type="dxa"/>
            <w:gridSpan w:val="3"/>
            <w:vAlign w:val="center"/>
          </w:tcPr>
          <w:p w14:paraId="4514658E" w14:textId="77777777" w:rsidR="00454A29" w:rsidRDefault="00454A29">
            <w:pPr>
              <w:pStyle w:val="ConsPlusNormal"/>
              <w:jc w:val="center"/>
            </w:pPr>
            <w:r>
              <w:t>Предусмотрено (тыс. рублей)</w:t>
            </w:r>
          </w:p>
        </w:tc>
        <w:tc>
          <w:tcPr>
            <w:tcW w:w="1814" w:type="dxa"/>
            <w:gridSpan w:val="2"/>
            <w:vAlign w:val="center"/>
          </w:tcPr>
          <w:p w14:paraId="3A88D101" w14:textId="77777777" w:rsidR="00454A29" w:rsidRDefault="00454A29">
            <w:pPr>
              <w:pStyle w:val="ConsPlusNormal"/>
              <w:jc w:val="center"/>
            </w:pPr>
            <w:r>
              <w:t>Дата проведения торгов</w:t>
            </w:r>
          </w:p>
        </w:tc>
        <w:tc>
          <w:tcPr>
            <w:tcW w:w="1191" w:type="dxa"/>
            <w:vMerge w:val="restart"/>
            <w:vAlign w:val="center"/>
          </w:tcPr>
          <w:p w14:paraId="2DC6D3BA" w14:textId="77777777" w:rsidR="00454A29" w:rsidRDefault="00454A29">
            <w:pPr>
              <w:pStyle w:val="ConsPlusNormal"/>
              <w:jc w:val="center"/>
            </w:pPr>
            <w:r>
              <w:t>Сумма договора</w:t>
            </w:r>
          </w:p>
        </w:tc>
        <w:tc>
          <w:tcPr>
            <w:tcW w:w="1417" w:type="dxa"/>
            <w:vMerge w:val="restart"/>
            <w:vAlign w:val="center"/>
          </w:tcPr>
          <w:p w14:paraId="3FB56189" w14:textId="77777777" w:rsidR="00454A29" w:rsidRDefault="00454A29">
            <w:pPr>
              <w:pStyle w:val="ConsPlusNormal"/>
              <w:jc w:val="center"/>
            </w:pPr>
            <w:r>
              <w:t>Дата подписания договора</w:t>
            </w:r>
          </w:p>
        </w:tc>
        <w:tc>
          <w:tcPr>
            <w:tcW w:w="1417" w:type="dxa"/>
            <w:vMerge w:val="restart"/>
            <w:vAlign w:val="center"/>
          </w:tcPr>
          <w:p w14:paraId="2C6B8BE1" w14:textId="77777777" w:rsidR="00454A29" w:rsidRDefault="00454A29">
            <w:pPr>
              <w:pStyle w:val="ConsPlusNormal"/>
              <w:jc w:val="center"/>
            </w:pPr>
            <w:r>
              <w:t>Сроки проведения работ (начало, окончание работ)</w:t>
            </w:r>
          </w:p>
        </w:tc>
        <w:tc>
          <w:tcPr>
            <w:tcW w:w="1701" w:type="dxa"/>
            <w:vMerge w:val="restart"/>
            <w:vAlign w:val="center"/>
          </w:tcPr>
          <w:p w14:paraId="34E1F8AD" w14:textId="77777777" w:rsidR="00454A29" w:rsidRDefault="00454A29">
            <w:pPr>
              <w:pStyle w:val="ConsPlusNormal"/>
              <w:jc w:val="center"/>
            </w:pPr>
            <w:r>
              <w:t>Наименование подрядной организации</w:t>
            </w:r>
          </w:p>
        </w:tc>
        <w:tc>
          <w:tcPr>
            <w:tcW w:w="2382" w:type="dxa"/>
            <w:gridSpan w:val="3"/>
            <w:vAlign w:val="center"/>
          </w:tcPr>
          <w:p w14:paraId="5C0DD8B1" w14:textId="77777777" w:rsidR="00454A29" w:rsidRDefault="00454A29">
            <w:pPr>
              <w:pStyle w:val="ConsPlusNormal"/>
              <w:jc w:val="center"/>
            </w:pPr>
            <w:r>
              <w:t>Освоено средств (тыс. рублей)</w:t>
            </w:r>
          </w:p>
        </w:tc>
        <w:tc>
          <w:tcPr>
            <w:tcW w:w="794" w:type="dxa"/>
            <w:vMerge w:val="restart"/>
            <w:vAlign w:val="center"/>
          </w:tcPr>
          <w:p w14:paraId="1A3EE1F5" w14:textId="77777777" w:rsidR="00454A29" w:rsidRDefault="00454A29">
            <w:pPr>
              <w:pStyle w:val="ConsPlusNormal"/>
              <w:jc w:val="center"/>
            </w:pPr>
            <w:r>
              <w:t>% освоения</w:t>
            </w:r>
          </w:p>
        </w:tc>
      </w:tr>
      <w:tr w:rsidR="00454A29" w14:paraId="0359B285" w14:textId="77777777">
        <w:tblPrEx>
          <w:tblBorders>
            <w:left w:val="single" w:sz="4" w:space="0" w:color="auto"/>
            <w:right w:val="single" w:sz="4" w:space="0" w:color="auto"/>
            <w:insideH w:val="single" w:sz="4" w:space="0" w:color="auto"/>
          </w:tblBorders>
        </w:tblPrEx>
        <w:tc>
          <w:tcPr>
            <w:tcW w:w="567" w:type="dxa"/>
            <w:vMerge/>
          </w:tcPr>
          <w:p w14:paraId="3BA304D1" w14:textId="77777777" w:rsidR="00454A29" w:rsidRDefault="00454A29"/>
        </w:tc>
        <w:tc>
          <w:tcPr>
            <w:tcW w:w="1701" w:type="dxa"/>
            <w:vMerge/>
          </w:tcPr>
          <w:p w14:paraId="77FC9EDD" w14:textId="77777777" w:rsidR="00454A29" w:rsidRDefault="00454A29"/>
        </w:tc>
        <w:tc>
          <w:tcPr>
            <w:tcW w:w="794" w:type="dxa"/>
            <w:vMerge/>
          </w:tcPr>
          <w:p w14:paraId="3167756E" w14:textId="77777777" w:rsidR="00454A29" w:rsidRDefault="00454A29"/>
        </w:tc>
        <w:tc>
          <w:tcPr>
            <w:tcW w:w="1276" w:type="dxa"/>
            <w:vMerge/>
          </w:tcPr>
          <w:p w14:paraId="6910BB39" w14:textId="77777777" w:rsidR="00454A29" w:rsidRDefault="00454A29"/>
        </w:tc>
        <w:tc>
          <w:tcPr>
            <w:tcW w:w="794" w:type="dxa"/>
            <w:vAlign w:val="center"/>
          </w:tcPr>
          <w:p w14:paraId="41EB77BD" w14:textId="77777777" w:rsidR="00454A29" w:rsidRDefault="00454A29">
            <w:pPr>
              <w:pStyle w:val="ConsPlusNormal"/>
              <w:jc w:val="center"/>
            </w:pPr>
            <w:r>
              <w:t>Всего</w:t>
            </w:r>
          </w:p>
        </w:tc>
        <w:tc>
          <w:tcPr>
            <w:tcW w:w="794" w:type="dxa"/>
            <w:vAlign w:val="center"/>
          </w:tcPr>
          <w:p w14:paraId="015D5512" w14:textId="77777777" w:rsidR="00454A29" w:rsidRDefault="00454A29">
            <w:pPr>
              <w:pStyle w:val="ConsPlusNormal"/>
              <w:jc w:val="center"/>
            </w:pPr>
            <w:r>
              <w:t>РБ</w:t>
            </w:r>
          </w:p>
        </w:tc>
        <w:tc>
          <w:tcPr>
            <w:tcW w:w="794" w:type="dxa"/>
            <w:vAlign w:val="center"/>
          </w:tcPr>
          <w:p w14:paraId="74954AFC" w14:textId="77777777" w:rsidR="00454A29" w:rsidRDefault="00454A29">
            <w:pPr>
              <w:pStyle w:val="ConsPlusNormal"/>
              <w:jc w:val="center"/>
            </w:pPr>
            <w:r>
              <w:t>МБ</w:t>
            </w:r>
          </w:p>
        </w:tc>
        <w:tc>
          <w:tcPr>
            <w:tcW w:w="907" w:type="dxa"/>
            <w:vAlign w:val="center"/>
          </w:tcPr>
          <w:p w14:paraId="1E6A8F46" w14:textId="77777777" w:rsidR="00454A29" w:rsidRDefault="00454A29">
            <w:pPr>
              <w:pStyle w:val="ConsPlusNormal"/>
              <w:jc w:val="center"/>
            </w:pPr>
            <w:r>
              <w:t>Начало</w:t>
            </w:r>
          </w:p>
        </w:tc>
        <w:tc>
          <w:tcPr>
            <w:tcW w:w="907" w:type="dxa"/>
            <w:vAlign w:val="center"/>
          </w:tcPr>
          <w:p w14:paraId="79073AD5" w14:textId="77777777" w:rsidR="00454A29" w:rsidRDefault="00454A29">
            <w:pPr>
              <w:pStyle w:val="ConsPlusNormal"/>
              <w:jc w:val="center"/>
            </w:pPr>
            <w:r>
              <w:t>Конец</w:t>
            </w:r>
          </w:p>
        </w:tc>
        <w:tc>
          <w:tcPr>
            <w:tcW w:w="1191" w:type="dxa"/>
            <w:vMerge/>
          </w:tcPr>
          <w:p w14:paraId="2568E562" w14:textId="77777777" w:rsidR="00454A29" w:rsidRDefault="00454A29"/>
        </w:tc>
        <w:tc>
          <w:tcPr>
            <w:tcW w:w="1417" w:type="dxa"/>
            <w:vMerge/>
          </w:tcPr>
          <w:p w14:paraId="44349893" w14:textId="77777777" w:rsidR="00454A29" w:rsidRDefault="00454A29"/>
        </w:tc>
        <w:tc>
          <w:tcPr>
            <w:tcW w:w="1417" w:type="dxa"/>
            <w:vMerge/>
          </w:tcPr>
          <w:p w14:paraId="30CE0D2E" w14:textId="77777777" w:rsidR="00454A29" w:rsidRDefault="00454A29"/>
        </w:tc>
        <w:tc>
          <w:tcPr>
            <w:tcW w:w="1701" w:type="dxa"/>
            <w:vMerge/>
          </w:tcPr>
          <w:p w14:paraId="6BDC6604" w14:textId="77777777" w:rsidR="00454A29" w:rsidRDefault="00454A29"/>
        </w:tc>
        <w:tc>
          <w:tcPr>
            <w:tcW w:w="794" w:type="dxa"/>
            <w:vAlign w:val="center"/>
          </w:tcPr>
          <w:p w14:paraId="01428C29" w14:textId="77777777" w:rsidR="00454A29" w:rsidRDefault="00454A29">
            <w:pPr>
              <w:pStyle w:val="ConsPlusNormal"/>
              <w:jc w:val="center"/>
            </w:pPr>
            <w:r>
              <w:t>Всего</w:t>
            </w:r>
          </w:p>
        </w:tc>
        <w:tc>
          <w:tcPr>
            <w:tcW w:w="794" w:type="dxa"/>
            <w:vAlign w:val="center"/>
          </w:tcPr>
          <w:p w14:paraId="7107B92A" w14:textId="77777777" w:rsidR="00454A29" w:rsidRDefault="00454A29">
            <w:pPr>
              <w:pStyle w:val="ConsPlusNormal"/>
              <w:jc w:val="center"/>
            </w:pPr>
            <w:r>
              <w:t>РБ</w:t>
            </w:r>
          </w:p>
        </w:tc>
        <w:tc>
          <w:tcPr>
            <w:tcW w:w="794" w:type="dxa"/>
            <w:vAlign w:val="center"/>
          </w:tcPr>
          <w:p w14:paraId="505769E8" w14:textId="77777777" w:rsidR="00454A29" w:rsidRDefault="00454A29">
            <w:pPr>
              <w:pStyle w:val="ConsPlusNormal"/>
              <w:jc w:val="center"/>
            </w:pPr>
            <w:r>
              <w:t>МБ</w:t>
            </w:r>
          </w:p>
        </w:tc>
        <w:tc>
          <w:tcPr>
            <w:tcW w:w="794" w:type="dxa"/>
            <w:vMerge/>
          </w:tcPr>
          <w:p w14:paraId="4486D301" w14:textId="77777777" w:rsidR="00454A29" w:rsidRDefault="00454A29"/>
        </w:tc>
      </w:tr>
      <w:tr w:rsidR="00454A29" w14:paraId="6AE22C42" w14:textId="77777777">
        <w:tblPrEx>
          <w:tblBorders>
            <w:left w:val="single" w:sz="4" w:space="0" w:color="auto"/>
            <w:right w:val="single" w:sz="4" w:space="0" w:color="auto"/>
            <w:insideH w:val="single" w:sz="4" w:space="0" w:color="auto"/>
          </w:tblBorders>
        </w:tblPrEx>
        <w:tc>
          <w:tcPr>
            <w:tcW w:w="567" w:type="dxa"/>
            <w:vAlign w:val="center"/>
          </w:tcPr>
          <w:p w14:paraId="23225409" w14:textId="77777777" w:rsidR="00454A29" w:rsidRDefault="00454A29">
            <w:pPr>
              <w:pStyle w:val="ConsPlusNormal"/>
            </w:pPr>
          </w:p>
        </w:tc>
        <w:tc>
          <w:tcPr>
            <w:tcW w:w="1701" w:type="dxa"/>
            <w:vAlign w:val="center"/>
          </w:tcPr>
          <w:p w14:paraId="76FEAE30" w14:textId="77777777" w:rsidR="00454A29" w:rsidRDefault="00454A29">
            <w:pPr>
              <w:pStyle w:val="ConsPlusNormal"/>
            </w:pPr>
          </w:p>
        </w:tc>
        <w:tc>
          <w:tcPr>
            <w:tcW w:w="794" w:type="dxa"/>
            <w:vAlign w:val="center"/>
          </w:tcPr>
          <w:p w14:paraId="236D6E3C" w14:textId="77777777" w:rsidR="00454A29" w:rsidRDefault="00454A29">
            <w:pPr>
              <w:pStyle w:val="ConsPlusNormal"/>
            </w:pPr>
          </w:p>
        </w:tc>
        <w:tc>
          <w:tcPr>
            <w:tcW w:w="1276" w:type="dxa"/>
            <w:vAlign w:val="center"/>
          </w:tcPr>
          <w:p w14:paraId="382AC4F2" w14:textId="77777777" w:rsidR="00454A29" w:rsidRDefault="00454A29">
            <w:pPr>
              <w:pStyle w:val="ConsPlusNormal"/>
            </w:pPr>
          </w:p>
        </w:tc>
        <w:tc>
          <w:tcPr>
            <w:tcW w:w="794" w:type="dxa"/>
            <w:vAlign w:val="center"/>
          </w:tcPr>
          <w:p w14:paraId="5BD246E3" w14:textId="77777777" w:rsidR="00454A29" w:rsidRDefault="00454A29">
            <w:pPr>
              <w:pStyle w:val="ConsPlusNormal"/>
            </w:pPr>
          </w:p>
        </w:tc>
        <w:tc>
          <w:tcPr>
            <w:tcW w:w="794" w:type="dxa"/>
            <w:vAlign w:val="center"/>
          </w:tcPr>
          <w:p w14:paraId="2CF65D8A" w14:textId="77777777" w:rsidR="00454A29" w:rsidRDefault="00454A29">
            <w:pPr>
              <w:pStyle w:val="ConsPlusNormal"/>
            </w:pPr>
          </w:p>
        </w:tc>
        <w:tc>
          <w:tcPr>
            <w:tcW w:w="794" w:type="dxa"/>
            <w:vAlign w:val="center"/>
          </w:tcPr>
          <w:p w14:paraId="026F4044" w14:textId="77777777" w:rsidR="00454A29" w:rsidRDefault="00454A29">
            <w:pPr>
              <w:pStyle w:val="ConsPlusNormal"/>
            </w:pPr>
          </w:p>
        </w:tc>
        <w:tc>
          <w:tcPr>
            <w:tcW w:w="907" w:type="dxa"/>
            <w:vAlign w:val="center"/>
          </w:tcPr>
          <w:p w14:paraId="01012EF9" w14:textId="77777777" w:rsidR="00454A29" w:rsidRDefault="00454A29">
            <w:pPr>
              <w:pStyle w:val="ConsPlusNormal"/>
            </w:pPr>
          </w:p>
        </w:tc>
        <w:tc>
          <w:tcPr>
            <w:tcW w:w="907" w:type="dxa"/>
            <w:vAlign w:val="center"/>
          </w:tcPr>
          <w:p w14:paraId="2573B7C4" w14:textId="77777777" w:rsidR="00454A29" w:rsidRDefault="00454A29">
            <w:pPr>
              <w:pStyle w:val="ConsPlusNormal"/>
            </w:pPr>
          </w:p>
        </w:tc>
        <w:tc>
          <w:tcPr>
            <w:tcW w:w="1191" w:type="dxa"/>
            <w:vAlign w:val="center"/>
          </w:tcPr>
          <w:p w14:paraId="635D923E" w14:textId="77777777" w:rsidR="00454A29" w:rsidRDefault="00454A29">
            <w:pPr>
              <w:pStyle w:val="ConsPlusNormal"/>
            </w:pPr>
          </w:p>
        </w:tc>
        <w:tc>
          <w:tcPr>
            <w:tcW w:w="1417" w:type="dxa"/>
            <w:vAlign w:val="center"/>
          </w:tcPr>
          <w:p w14:paraId="17C03C7D" w14:textId="77777777" w:rsidR="00454A29" w:rsidRDefault="00454A29">
            <w:pPr>
              <w:pStyle w:val="ConsPlusNormal"/>
            </w:pPr>
          </w:p>
        </w:tc>
        <w:tc>
          <w:tcPr>
            <w:tcW w:w="1417" w:type="dxa"/>
            <w:vAlign w:val="center"/>
          </w:tcPr>
          <w:p w14:paraId="44DD4F0B" w14:textId="77777777" w:rsidR="00454A29" w:rsidRDefault="00454A29">
            <w:pPr>
              <w:pStyle w:val="ConsPlusNormal"/>
            </w:pPr>
          </w:p>
        </w:tc>
        <w:tc>
          <w:tcPr>
            <w:tcW w:w="1701" w:type="dxa"/>
            <w:vAlign w:val="center"/>
          </w:tcPr>
          <w:p w14:paraId="792E2558" w14:textId="77777777" w:rsidR="00454A29" w:rsidRDefault="00454A29">
            <w:pPr>
              <w:pStyle w:val="ConsPlusNormal"/>
            </w:pPr>
          </w:p>
        </w:tc>
        <w:tc>
          <w:tcPr>
            <w:tcW w:w="794" w:type="dxa"/>
            <w:vAlign w:val="bottom"/>
          </w:tcPr>
          <w:p w14:paraId="7A5BA4B1" w14:textId="77777777" w:rsidR="00454A29" w:rsidRDefault="00454A29">
            <w:pPr>
              <w:pStyle w:val="ConsPlusNormal"/>
            </w:pPr>
          </w:p>
        </w:tc>
        <w:tc>
          <w:tcPr>
            <w:tcW w:w="794" w:type="dxa"/>
            <w:vAlign w:val="bottom"/>
          </w:tcPr>
          <w:p w14:paraId="28CA00BB" w14:textId="77777777" w:rsidR="00454A29" w:rsidRDefault="00454A29">
            <w:pPr>
              <w:pStyle w:val="ConsPlusNormal"/>
            </w:pPr>
          </w:p>
        </w:tc>
        <w:tc>
          <w:tcPr>
            <w:tcW w:w="794" w:type="dxa"/>
            <w:vAlign w:val="bottom"/>
          </w:tcPr>
          <w:p w14:paraId="688AC519" w14:textId="77777777" w:rsidR="00454A29" w:rsidRDefault="00454A29">
            <w:pPr>
              <w:pStyle w:val="ConsPlusNormal"/>
            </w:pPr>
          </w:p>
        </w:tc>
        <w:tc>
          <w:tcPr>
            <w:tcW w:w="794" w:type="dxa"/>
          </w:tcPr>
          <w:p w14:paraId="2EB82EA5" w14:textId="77777777" w:rsidR="00454A29" w:rsidRDefault="00454A29">
            <w:pPr>
              <w:pStyle w:val="ConsPlusNormal"/>
            </w:pPr>
          </w:p>
        </w:tc>
      </w:tr>
    </w:tbl>
    <w:p w14:paraId="01C8C249" w14:textId="77777777" w:rsidR="00454A29" w:rsidRDefault="00454A29">
      <w:pPr>
        <w:sectPr w:rsidR="00454A29">
          <w:pgSz w:w="16838" w:h="11905" w:orient="landscape"/>
          <w:pgMar w:top="1701" w:right="1134" w:bottom="850" w:left="1134" w:header="0" w:footer="0" w:gutter="0"/>
          <w:cols w:space="720"/>
        </w:sectPr>
      </w:pPr>
    </w:p>
    <w:p w14:paraId="0DD229FD" w14:textId="77777777" w:rsidR="00454A29" w:rsidRDefault="00454A29">
      <w:pPr>
        <w:pStyle w:val="ConsPlusNormal"/>
      </w:pPr>
    </w:p>
    <w:p w14:paraId="52A17C9E" w14:textId="77777777" w:rsidR="00454A29" w:rsidRDefault="00454A29">
      <w:pPr>
        <w:pStyle w:val="ConsPlusNormal"/>
      </w:pPr>
    </w:p>
    <w:p w14:paraId="1836A29A" w14:textId="77777777" w:rsidR="00454A29" w:rsidRDefault="00454A29">
      <w:pPr>
        <w:pStyle w:val="ConsPlusNormal"/>
      </w:pPr>
    </w:p>
    <w:p w14:paraId="0308A253" w14:textId="77777777" w:rsidR="00454A29" w:rsidRDefault="00454A29">
      <w:pPr>
        <w:pStyle w:val="ConsPlusNormal"/>
        <w:jc w:val="right"/>
        <w:outlineLvl w:val="3"/>
      </w:pPr>
      <w:r>
        <w:t>Форма</w:t>
      </w:r>
    </w:p>
    <w:p w14:paraId="7D47FC5A" w14:textId="77777777" w:rsidR="00454A29" w:rsidRDefault="00454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556"/>
        <w:gridCol w:w="1474"/>
        <w:gridCol w:w="1474"/>
      </w:tblGrid>
      <w:tr w:rsidR="00454A29" w14:paraId="4988D54D" w14:textId="77777777">
        <w:tc>
          <w:tcPr>
            <w:tcW w:w="567" w:type="dxa"/>
            <w:vMerge w:val="restart"/>
            <w:vAlign w:val="center"/>
          </w:tcPr>
          <w:p w14:paraId="4DA8FD5C" w14:textId="77777777" w:rsidR="00454A29" w:rsidRDefault="00454A29">
            <w:pPr>
              <w:pStyle w:val="ConsPlusNormal"/>
              <w:jc w:val="center"/>
            </w:pPr>
            <w:r>
              <w:t>N п/п</w:t>
            </w:r>
          </w:p>
        </w:tc>
        <w:tc>
          <w:tcPr>
            <w:tcW w:w="5556" w:type="dxa"/>
            <w:vMerge w:val="restart"/>
            <w:vAlign w:val="center"/>
          </w:tcPr>
          <w:p w14:paraId="670C9C25" w14:textId="77777777" w:rsidR="00454A29" w:rsidRDefault="00454A29">
            <w:pPr>
              <w:pStyle w:val="ConsPlusNormal"/>
              <w:jc w:val="center"/>
            </w:pPr>
            <w:r>
              <w:t>Наименование показателя эффективности использования субсидии</w:t>
            </w:r>
          </w:p>
        </w:tc>
        <w:tc>
          <w:tcPr>
            <w:tcW w:w="2948" w:type="dxa"/>
            <w:gridSpan w:val="2"/>
            <w:vAlign w:val="center"/>
          </w:tcPr>
          <w:p w14:paraId="69CF1C98" w14:textId="77777777" w:rsidR="00454A29" w:rsidRDefault="00454A29">
            <w:pPr>
              <w:pStyle w:val="ConsPlusNormal"/>
              <w:jc w:val="center"/>
            </w:pPr>
            <w:r>
              <w:t>Значение показателя</w:t>
            </w:r>
          </w:p>
        </w:tc>
      </w:tr>
      <w:tr w:rsidR="00454A29" w14:paraId="32BB8F9A" w14:textId="77777777">
        <w:tc>
          <w:tcPr>
            <w:tcW w:w="567" w:type="dxa"/>
            <w:vMerge/>
          </w:tcPr>
          <w:p w14:paraId="216BBBE6" w14:textId="77777777" w:rsidR="00454A29" w:rsidRDefault="00454A29"/>
        </w:tc>
        <w:tc>
          <w:tcPr>
            <w:tcW w:w="5556" w:type="dxa"/>
            <w:vMerge/>
          </w:tcPr>
          <w:p w14:paraId="3D1420A0" w14:textId="77777777" w:rsidR="00454A29" w:rsidRDefault="00454A29"/>
        </w:tc>
        <w:tc>
          <w:tcPr>
            <w:tcW w:w="1474" w:type="dxa"/>
            <w:vAlign w:val="center"/>
          </w:tcPr>
          <w:p w14:paraId="48346B32" w14:textId="77777777" w:rsidR="00454A29" w:rsidRDefault="00454A29">
            <w:pPr>
              <w:pStyle w:val="ConsPlusNormal"/>
              <w:jc w:val="center"/>
            </w:pPr>
            <w:r>
              <w:t>на начало года</w:t>
            </w:r>
          </w:p>
        </w:tc>
        <w:tc>
          <w:tcPr>
            <w:tcW w:w="1474" w:type="dxa"/>
            <w:vAlign w:val="center"/>
          </w:tcPr>
          <w:p w14:paraId="1E014B89" w14:textId="77777777" w:rsidR="00454A29" w:rsidRDefault="00454A29">
            <w:pPr>
              <w:pStyle w:val="ConsPlusNormal"/>
              <w:jc w:val="center"/>
            </w:pPr>
            <w:r>
              <w:t>на отчетную дату</w:t>
            </w:r>
          </w:p>
        </w:tc>
      </w:tr>
      <w:tr w:rsidR="00454A29" w14:paraId="325CE1AA" w14:textId="77777777">
        <w:tc>
          <w:tcPr>
            <w:tcW w:w="567" w:type="dxa"/>
            <w:vAlign w:val="center"/>
          </w:tcPr>
          <w:p w14:paraId="6080CFB3" w14:textId="77777777" w:rsidR="00454A29" w:rsidRDefault="00454A29">
            <w:pPr>
              <w:pStyle w:val="ConsPlusNormal"/>
              <w:jc w:val="center"/>
            </w:pPr>
            <w:r>
              <w:t>1</w:t>
            </w:r>
          </w:p>
        </w:tc>
        <w:tc>
          <w:tcPr>
            <w:tcW w:w="5556" w:type="dxa"/>
            <w:vAlign w:val="center"/>
          </w:tcPr>
          <w:p w14:paraId="48ACEE2D" w14:textId="77777777" w:rsidR="00454A29" w:rsidRDefault="00454A29">
            <w:pPr>
              <w:pStyle w:val="ConsPlusNormal"/>
            </w:pPr>
            <w:r>
              <w:t>Доля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tc>
        <w:tc>
          <w:tcPr>
            <w:tcW w:w="1474" w:type="dxa"/>
            <w:vAlign w:val="center"/>
          </w:tcPr>
          <w:p w14:paraId="2D3A209F" w14:textId="77777777" w:rsidR="00454A29" w:rsidRDefault="00454A29">
            <w:pPr>
              <w:pStyle w:val="ConsPlusNormal"/>
            </w:pPr>
          </w:p>
        </w:tc>
        <w:tc>
          <w:tcPr>
            <w:tcW w:w="1474" w:type="dxa"/>
            <w:vAlign w:val="center"/>
          </w:tcPr>
          <w:p w14:paraId="2A02394C" w14:textId="77777777" w:rsidR="00454A29" w:rsidRDefault="00454A29">
            <w:pPr>
              <w:pStyle w:val="ConsPlusNormal"/>
            </w:pPr>
          </w:p>
        </w:tc>
      </w:tr>
      <w:tr w:rsidR="00454A29" w14:paraId="6324526D" w14:textId="77777777">
        <w:tc>
          <w:tcPr>
            <w:tcW w:w="567" w:type="dxa"/>
            <w:vAlign w:val="center"/>
          </w:tcPr>
          <w:p w14:paraId="304A146B" w14:textId="77777777" w:rsidR="00454A29" w:rsidRDefault="00454A29">
            <w:pPr>
              <w:pStyle w:val="ConsPlusNormal"/>
              <w:jc w:val="center"/>
            </w:pPr>
            <w:r>
              <w:t>2</w:t>
            </w:r>
          </w:p>
        </w:tc>
        <w:tc>
          <w:tcPr>
            <w:tcW w:w="5556" w:type="dxa"/>
            <w:vAlign w:val="center"/>
          </w:tcPr>
          <w:p w14:paraId="24FE28A9" w14:textId="77777777" w:rsidR="00454A29" w:rsidRDefault="00454A29">
            <w:pPr>
              <w:pStyle w:val="ConsPlusNormal"/>
            </w:pPr>
            <w:r>
              <w:t>Процент соблюдения графика выполнения работ по капитальному ремонту</w:t>
            </w:r>
          </w:p>
        </w:tc>
        <w:tc>
          <w:tcPr>
            <w:tcW w:w="1474" w:type="dxa"/>
            <w:vAlign w:val="center"/>
          </w:tcPr>
          <w:p w14:paraId="456AA26D" w14:textId="77777777" w:rsidR="00454A29" w:rsidRDefault="00454A29">
            <w:pPr>
              <w:pStyle w:val="ConsPlusNormal"/>
              <w:jc w:val="center"/>
            </w:pPr>
            <w:r>
              <w:t>х</w:t>
            </w:r>
          </w:p>
        </w:tc>
        <w:tc>
          <w:tcPr>
            <w:tcW w:w="1474" w:type="dxa"/>
            <w:vAlign w:val="center"/>
          </w:tcPr>
          <w:p w14:paraId="26E610EE" w14:textId="77777777" w:rsidR="00454A29" w:rsidRDefault="00454A29">
            <w:pPr>
              <w:pStyle w:val="ConsPlusNormal"/>
            </w:pPr>
          </w:p>
        </w:tc>
      </w:tr>
    </w:tbl>
    <w:p w14:paraId="037B02E2" w14:textId="77777777" w:rsidR="00454A29" w:rsidRDefault="00454A29">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2"/>
        <w:gridCol w:w="3402"/>
      </w:tblGrid>
      <w:tr w:rsidR="00454A29" w14:paraId="1B4003C8" w14:textId="77777777">
        <w:tc>
          <w:tcPr>
            <w:tcW w:w="2268" w:type="dxa"/>
            <w:tcBorders>
              <w:top w:val="nil"/>
              <w:left w:val="nil"/>
              <w:bottom w:val="nil"/>
              <w:right w:val="nil"/>
            </w:tcBorders>
          </w:tcPr>
          <w:p w14:paraId="212A3F11" w14:textId="77777777" w:rsidR="00454A29" w:rsidRDefault="00454A29">
            <w:pPr>
              <w:pStyle w:val="ConsPlusNormal"/>
              <w:jc w:val="both"/>
            </w:pPr>
            <w:r>
              <w:t>Глава</w:t>
            </w:r>
          </w:p>
        </w:tc>
        <w:tc>
          <w:tcPr>
            <w:tcW w:w="3402" w:type="dxa"/>
            <w:tcBorders>
              <w:top w:val="nil"/>
              <w:left w:val="nil"/>
              <w:bottom w:val="single" w:sz="4" w:space="0" w:color="auto"/>
              <w:right w:val="nil"/>
            </w:tcBorders>
          </w:tcPr>
          <w:p w14:paraId="6CC23408" w14:textId="77777777" w:rsidR="00454A29" w:rsidRDefault="00454A29">
            <w:pPr>
              <w:pStyle w:val="ConsPlusNormal"/>
            </w:pPr>
          </w:p>
        </w:tc>
        <w:tc>
          <w:tcPr>
            <w:tcW w:w="3402" w:type="dxa"/>
            <w:tcBorders>
              <w:top w:val="nil"/>
              <w:left w:val="nil"/>
              <w:bottom w:val="single" w:sz="4" w:space="0" w:color="auto"/>
              <w:right w:val="nil"/>
            </w:tcBorders>
          </w:tcPr>
          <w:p w14:paraId="71531455" w14:textId="77777777" w:rsidR="00454A29" w:rsidRDefault="00454A29">
            <w:pPr>
              <w:pStyle w:val="ConsPlusNormal"/>
            </w:pPr>
          </w:p>
        </w:tc>
      </w:tr>
      <w:tr w:rsidR="00454A29" w14:paraId="370F5455" w14:textId="77777777">
        <w:tblPrEx>
          <w:tblBorders>
            <w:insideH w:val="none" w:sz="0" w:space="0" w:color="auto"/>
          </w:tblBorders>
        </w:tblPrEx>
        <w:tc>
          <w:tcPr>
            <w:tcW w:w="2268" w:type="dxa"/>
            <w:tcBorders>
              <w:top w:val="nil"/>
              <w:left w:val="nil"/>
              <w:bottom w:val="nil"/>
              <w:right w:val="nil"/>
            </w:tcBorders>
          </w:tcPr>
          <w:p w14:paraId="01DDCFB9" w14:textId="77777777" w:rsidR="00454A29" w:rsidRDefault="00454A29">
            <w:pPr>
              <w:pStyle w:val="ConsPlusNormal"/>
            </w:pPr>
          </w:p>
        </w:tc>
        <w:tc>
          <w:tcPr>
            <w:tcW w:w="3402" w:type="dxa"/>
            <w:tcBorders>
              <w:top w:val="single" w:sz="4" w:space="0" w:color="auto"/>
              <w:left w:val="nil"/>
              <w:bottom w:val="nil"/>
              <w:right w:val="nil"/>
            </w:tcBorders>
          </w:tcPr>
          <w:p w14:paraId="3576AB4C" w14:textId="77777777" w:rsidR="00454A29" w:rsidRDefault="00454A29">
            <w:pPr>
              <w:pStyle w:val="ConsPlusNormal"/>
              <w:jc w:val="center"/>
            </w:pPr>
            <w:r>
              <w:t>(личная подпись)</w:t>
            </w:r>
          </w:p>
        </w:tc>
        <w:tc>
          <w:tcPr>
            <w:tcW w:w="3402" w:type="dxa"/>
            <w:tcBorders>
              <w:top w:val="single" w:sz="4" w:space="0" w:color="auto"/>
              <w:left w:val="nil"/>
              <w:bottom w:val="nil"/>
              <w:right w:val="nil"/>
            </w:tcBorders>
          </w:tcPr>
          <w:p w14:paraId="24965A34" w14:textId="77777777" w:rsidR="00454A29" w:rsidRDefault="00454A29">
            <w:pPr>
              <w:pStyle w:val="ConsPlusNormal"/>
              <w:jc w:val="center"/>
            </w:pPr>
            <w:r>
              <w:t>(инициалы, фамилия)</w:t>
            </w:r>
          </w:p>
        </w:tc>
      </w:tr>
      <w:tr w:rsidR="00454A29" w14:paraId="3BD2FEC4" w14:textId="77777777">
        <w:tblPrEx>
          <w:tblBorders>
            <w:insideH w:val="none" w:sz="0" w:space="0" w:color="auto"/>
          </w:tblBorders>
        </w:tblPrEx>
        <w:tc>
          <w:tcPr>
            <w:tcW w:w="2268" w:type="dxa"/>
            <w:tcBorders>
              <w:top w:val="nil"/>
              <w:left w:val="nil"/>
              <w:bottom w:val="nil"/>
              <w:right w:val="nil"/>
            </w:tcBorders>
          </w:tcPr>
          <w:p w14:paraId="622319BE" w14:textId="77777777" w:rsidR="00454A29" w:rsidRDefault="00454A29">
            <w:pPr>
              <w:pStyle w:val="ConsPlusNormal"/>
              <w:jc w:val="right"/>
            </w:pPr>
            <w:r>
              <w:t>М.П.</w:t>
            </w:r>
          </w:p>
        </w:tc>
        <w:tc>
          <w:tcPr>
            <w:tcW w:w="6804" w:type="dxa"/>
            <w:gridSpan w:val="2"/>
            <w:tcBorders>
              <w:top w:val="nil"/>
              <w:left w:val="nil"/>
              <w:bottom w:val="nil"/>
              <w:right w:val="nil"/>
            </w:tcBorders>
          </w:tcPr>
          <w:p w14:paraId="779F7832" w14:textId="77777777" w:rsidR="00454A29" w:rsidRDefault="00454A29">
            <w:pPr>
              <w:pStyle w:val="ConsPlusNormal"/>
            </w:pPr>
          </w:p>
        </w:tc>
      </w:tr>
      <w:tr w:rsidR="00454A29" w14:paraId="08806249" w14:textId="77777777">
        <w:tblPrEx>
          <w:tblBorders>
            <w:insideH w:val="none" w:sz="0" w:space="0" w:color="auto"/>
          </w:tblBorders>
        </w:tblPrEx>
        <w:tc>
          <w:tcPr>
            <w:tcW w:w="2268" w:type="dxa"/>
            <w:tcBorders>
              <w:top w:val="nil"/>
              <w:left w:val="nil"/>
              <w:bottom w:val="nil"/>
              <w:right w:val="nil"/>
            </w:tcBorders>
          </w:tcPr>
          <w:p w14:paraId="28846E8F" w14:textId="77777777" w:rsidR="00454A29" w:rsidRDefault="00454A29">
            <w:pPr>
              <w:pStyle w:val="ConsPlusNormal"/>
              <w:jc w:val="both"/>
            </w:pPr>
            <w:r>
              <w:t>Исполнитель</w:t>
            </w:r>
          </w:p>
        </w:tc>
        <w:tc>
          <w:tcPr>
            <w:tcW w:w="3402" w:type="dxa"/>
            <w:tcBorders>
              <w:top w:val="nil"/>
              <w:left w:val="nil"/>
              <w:bottom w:val="single" w:sz="4" w:space="0" w:color="auto"/>
              <w:right w:val="nil"/>
            </w:tcBorders>
          </w:tcPr>
          <w:p w14:paraId="7B92371E" w14:textId="77777777" w:rsidR="00454A29" w:rsidRDefault="00454A29">
            <w:pPr>
              <w:pStyle w:val="ConsPlusNormal"/>
            </w:pPr>
          </w:p>
        </w:tc>
        <w:tc>
          <w:tcPr>
            <w:tcW w:w="3402" w:type="dxa"/>
            <w:tcBorders>
              <w:top w:val="nil"/>
              <w:left w:val="nil"/>
              <w:bottom w:val="single" w:sz="4" w:space="0" w:color="auto"/>
              <w:right w:val="nil"/>
            </w:tcBorders>
          </w:tcPr>
          <w:p w14:paraId="33596B91" w14:textId="77777777" w:rsidR="00454A29" w:rsidRDefault="00454A29">
            <w:pPr>
              <w:pStyle w:val="ConsPlusNormal"/>
            </w:pPr>
          </w:p>
        </w:tc>
      </w:tr>
      <w:tr w:rsidR="00454A29" w14:paraId="5DAB3A98" w14:textId="77777777">
        <w:tc>
          <w:tcPr>
            <w:tcW w:w="2268" w:type="dxa"/>
            <w:tcBorders>
              <w:top w:val="nil"/>
              <w:left w:val="nil"/>
              <w:bottom w:val="nil"/>
              <w:right w:val="nil"/>
            </w:tcBorders>
          </w:tcPr>
          <w:p w14:paraId="40473E5F" w14:textId="77777777" w:rsidR="00454A29" w:rsidRDefault="00454A29">
            <w:pPr>
              <w:pStyle w:val="ConsPlusNormal"/>
            </w:pPr>
          </w:p>
        </w:tc>
        <w:tc>
          <w:tcPr>
            <w:tcW w:w="3402" w:type="dxa"/>
            <w:tcBorders>
              <w:top w:val="single" w:sz="4" w:space="0" w:color="auto"/>
              <w:left w:val="nil"/>
              <w:bottom w:val="nil"/>
              <w:right w:val="nil"/>
            </w:tcBorders>
          </w:tcPr>
          <w:p w14:paraId="083090AA" w14:textId="77777777" w:rsidR="00454A29" w:rsidRDefault="00454A29">
            <w:pPr>
              <w:pStyle w:val="ConsPlusNormal"/>
              <w:jc w:val="center"/>
            </w:pPr>
            <w:r>
              <w:t>(личная подпись)</w:t>
            </w:r>
          </w:p>
        </w:tc>
        <w:tc>
          <w:tcPr>
            <w:tcW w:w="3402" w:type="dxa"/>
            <w:tcBorders>
              <w:top w:val="single" w:sz="4" w:space="0" w:color="auto"/>
              <w:left w:val="nil"/>
              <w:bottom w:val="nil"/>
              <w:right w:val="nil"/>
            </w:tcBorders>
          </w:tcPr>
          <w:p w14:paraId="4A2A8E8B" w14:textId="77777777" w:rsidR="00454A29" w:rsidRDefault="00454A29">
            <w:pPr>
              <w:pStyle w:val="ConsPlusNormal"/>
              <w:jc w:val="center"/>
            </w:pPr>
            <w:r>
              <w:t>(инициалы, фамилия)</w:t>
            </w:r>
          </w:p>
        </w:tc>
      </w:tr>
    </w:tbl>
    <w:p w14:paraId="0CF3B9BB" w14:textId="77777777" w:rsidR="00454A29" w:rsidRDefault="00454A29">
      <w:pPr>
        <w:pStyle w:val="ConsPlusNormal"/>
      </w:pPr>
    </w:p>
    <w:p w14:paraId="7D28EC9C" w14:textId="77777777" w:rsidR="00454A29" w:rsidRDefault="00454A29">
      <w:pPr>
        <w:pStyle w:val="ConsPlusNormal"/>
      </w:pPr>
    </w:p>
    <w:p w14:paraId="260A06EC" w14:textId="77777777" w:rsidR="00454A29" w:rsidRDefault="00454A29">
      <w:pPr>
        <w:pStyle w:val="ConsPlusNormal"/>
      </w:pPr>
    </w:p>
    <w:p w14:paraId="69B85516" w14:textId="77777777" w:rsidR="00454A29" w:rsidRDefault="00454A29">
      <w:pPr>
        <w:pStyle w:val="ConsPlusNormal"/>
      </w:pPr>
    </w:p>
    <w:p w14:paraId="5FA52686" w14:textId="77777777" w:rsidR="00454A29" w:rsidRDefault="00454A29">
      <w:pPr>
        <w:pStyle w:val="ConsPlusNormal"/>
      </w:pPr>
    </w:p>
    <w:p w14:paraId="5DC3D458" w14:textId="77777777" w:rsidR="00454A29" w:rsidRDefault="00454A29">
      <w:pPr>
        <w:pStyle w:val="ConsPlusNormal"/>
        <w:jc w:val="right"/>
        <w:outlineLvl w:val="1"/>
      </w:pPr>
      <w:r>
        <w:t>Приложение N 12</w:t>
      </w:r>
    </w:p>
    <w:p w14:paraId="3CB622DD" w14:textId="77777777" w:rsidR="00454A29" w:rsidRDefault="00454A29">
      <w:pPr>
        <w:pStyle w:val="ConsPlusNormal"/>
        <w:jc w:val="right"/>
      </w:pPr>
      <w:r>
        <w:t>к государственной программе</w:t>
      </w:r>
    </w:p>
    <w:p w14:paraId="32644B88" w14:textId="77777777" w:rsidR="00454A29" w:rsidRDefault="00454A29">
      <w:pPr>
        <w:pStyle w:val="ConsPlusNormal"/>
        <w:jc w:val="right"/>
      </w:pPr>
      <w:r>
        <w:t>Республики Саха (Якутия)</w:t>
      </w:r>
    </w:p>
    <w:p w14:paraId="4CB272AD" w14:textId="77777777" w:rsidR="00454A29" w:rsidRDefault="00454A29">
      <w:pPr>
        <w:pStyle w:val="ConsPlusNormal"/>
        <w:jc w:val="right"/>
      </w:pPr>
      <w:r>
        <w:t>"Развитие образования</w:t>
      </w:r>
    </w:p>
    <w:p w14:paraId="74E6419E" w14:textId="77777777" w:rsidR="00454A29" w:rsidRDefault="00454A29">
      <w:pPr>
        <w:pStyle w:val="ConsPlusNormal"/>
        <w:jc w:val="right"/>
      </w:pPr>
      <w:r>
        <w:t>Республики Саха (Якутия)</w:t>
      </w:r>
    </w:p>
    <w:p w14:paraId="40704462" w14:textId="77777777" w:rsidR="00454A29" w:rsidRDefault="00454A29">
      <w:pPr>
        <w:pStyle w:val="ConsPlusNormal"/>
        <w:jc w:val="right"/>
      </w:pPr>
      <w:r>
        <w:t>на 2020 - 2024 годы и на плановый</w:t>
      </w:r>
    </w:p>
    <w:p w14:paraId="2DFC325A" w14:textId="77777777" w:rsidR="00454A29" w:rsidRDefault="00454A29">
      <w:pPr>
        <w:pStyle w:val="ConsPlusNormal"/>
        <w:jc w:val="right"/>
      </w:pPr>
      <w:r>
        <w:t>период до 2026 года"</w:t>
      </w:r>
    </w:p>
    <w:p w14:paraId="3F247CDD" w14:textId="77777777" w:rsidR="00454A29" w:rsidRDefault="00454A29">
      <w:pPr>
        <w:pStyle w:val="ConsPlusNormal"/>
      </w:pPr>
    </w:p>
    <w:p w14:paraId="75D6FFC6" w14:textId="77777777" w:rsidR="00454A29" w:rsidRDefault="00454A29">
      <w:pPr>
        <w:pStyle w:val="ConsPlusTitle"/>
        <w:jc w:val="center"/>
      </w:pPr>
      <w:bookmarkStart w:id="35" w:name="P34076"/>
      <w:bookmarkEnd w:id="35"/>
      <w:r>
        <w:t>ПОРЯДОК</w:t>
      </w:r>
    </w:p>
    <w:p w14:paraId="541F58CC" w14:textId="77777777" w:rsidR="00454A29" w:rsidRDefault="00454A29">
      <w:pPr>
        <w:pStyle w:val="ConsPlusTitle"/>
        <w:jc w:val="center"/>
      </w:pPr>
      <w:r>
        <w:t>ПРЕДОСТАВЛЕНИЯ И РАСПРЕДЕЛЕНИЯ СУБСИДИЙ ИЗ ГОСУДАРСТВЕННОГО</w:t>
      </w:r>
    </w:p>
    <w:p w14:paraId="519E6C57" w14:textId="77777777" w:rsidR="00454A29" w:rsidRDefault="00454A29">
      <w:pPr>
        <w:pStyle w:val="ConsPlusTitle"/>
        <w:jc w:val="center"/>
      </w:pPr>
      <w:r>
        <w:t>БЮДЖЕТА РЕСПУБЛИКИ САХА (ЯКУТИЯ) МЕСТНЫМ БЮДЖЕТАМ</w:t>
      </w:r>
    </w:p>
    <w:p w14:paraId="45AF2477" w14:textId="77777777" w:rsidR="00454A29" w:rsidRDefault="00454A29">
      <w:pPr>
        <w:pStyle w:val="ConsPlusTitle"/>
        <w:jc w:val="center"/>
      </w:pPr>
      <w:r>
        <w:t>НА РЕАЛИЗАЦИЮ ПОДПРОГРАММЫ "СОДЕЙСТВИЕ СОЗДАНИЮ НОВЫХ МЕСТ</w:t>
      </w:r>
    </w:p>
    <w:p w14:paraId="6B16C16B" w14:textId="77777777" w:rsidR="00454A29" w:rsidRDefault="00454A29">
      <w:pPr>
        <w:pStyle w:val="ConsPlusTitle"/>
        <w:jc w:val="center"/>
      </w:pPr>
      <w:r>
        <w:t>В ОБЩЕОБРАЗОВАТЕЛЬНЫХ ОРГАНИЗАЦИЯХ РЕСПУБЛИКИ САХА (ЯКУТИЯ)"</w:t>
      </w:r>
    </w:p>
    <w:p w14:paraId="63071E0E" w14:textId="77777777" w:rsidR="00454A29" w:rsidRDefault="00454A29">
      <w:pPr>
        <w:pStyle w:val="ConsPlusTitle"/>
        <w:jc w:val="center"/>
      </w:pPr>
      <w:r>
        <w:t>ГОСУДАРСТВЕННОЙ ПРОГРАММЫ РЕСПУБЛИКИ САХА (ЯКУТИЯ) "РАЗВИТИЕ</w:t>
      </w:r>
    </w:p>
    <w:p w14:paraId="2318E66A" w14:textId="77777777" w:rsidR="00454A29" w:rsidRDefault="00454A29">
      <w:pPr>
        <w:pStyle w:val="ConsPlusTitle"/>
        <w:jc w:val="center"/>
      </w:pPr>
      <w:r>
        <w:t>ОБРАЗОВАНИЯ РЕСПУБЛИКИ САХА (ЯКУТИЯ) НА 2020 - 2024 ГОДЫ</w:t>
      </w:r>
    </w:p>
    <w:p w14:paraId="0D4C367F" w14:textId="77777777" w:rsidR="00454A29" w:rsidRDefault="00454A29">
      <w:pPr>
        <w:pStyle w:val="ConsPlusTitle"/>
        <w:jc w:val="center"/>
      </w:pPr>
      <w:r>
        <w:t>И НА ПЛАНОВЫЙ ПЕРИОД ДО 2026 ГОДА"</w:t>
      </w:r>
    </w:p>
    <w:p w14:paraId="3FD34C47" w14:textId="77777777" w:rsidR="00454A29" w:rsidRDefault="00454A29">
      <w:pPr>
        <w:pStyle w:val="ConsPlusNormal"/>
      </w:pPr>
    </w:p>
    <w:p w14:paraId="282204BB" w14:textId="77777777" w:rsidR="00454A29" w:rsidRDefault="00454A29">
      <w:pPr>
        <w:pStyle w:val="ConsPlusNormal"/>
        <w:ind w:firstLine="540"/>
        <w:jc w:val="both"/>
      </w:pPr>
      <w:r>
        <w:t xml:space="preserve">1. Настоящий Порядок устанавливает порядок, цели и условия предоставления и распределения субсидий из государственного бюджета Республики Саха (Якутия) местным бюджетам на софинансирование расходов, возникающих при реализации подпрограммы "Содействие созданию новых мест в общеобразовательных организациях Республики Саха </w:t>
      </w:r>
      <w:r>
        <w:lastRenderedPageBreak/>
        <w:t>(Якутия)" государственной программы Республики Саха (Якутия) "Развитие образования Республики Саха (Якутия) на 2020 - 2024 годы и на плановый период до 2026 года", мероприятия которого направлены на создание новых мест в общеобразовательных организациях в соответствии с прогнозируемой потребностью и современными условиями обучения.</w:t>
      </w:r>
    </w:p>
    <w:p w14:paraId="3C1C319B" w14:textId="77777777" w:rsidR="00454A29" w:rsidRDefault="00454A29">
      <w:pPr>
        <w:pStyle w:val="ConsPlusNormal"/>
        <w:spacing w:before="220"/>
        <w:ind w:firstLine="540"/>
        <w:jc w:val="both"/>
      </w:pPr>
      <w:bookmarkStart w:id="36" w:name="P34086"/>
      <w:bookmarkEnd w:id="36"/>
      <w:r>
        <w:t>2. Субсидии предоставляются в целях софинансирования расходных обязательств муниципальных районов и городских округов Республики Саха (Якутия) (далее - муниципальные образования), возникающих при реализации муниципальных программ (далее - Программа), которые включают в себя одно или несколько из следующих мероприятий:</w:t>
      </w:r>
    </w:p>
    <w:p w14:paraId="20A7DF94" w14:textId="77777777" w:rsidR="00454A29" w:rsidRDefault="00454A29">
      <w:pPr>
        <w:pStyle w:val="ConsPlusNormal"/>
        <w:spacing w:before="220"/>
        <w:ind w:firstLine="540"/>
        <w:jc w:val="both"/>
      </w:pPr>
      <w:r>
        <w:t>а) модернизация инфраструктуры общего образования (проведение капитального ремонта, реконструкция, строительство зданий (пристрой к зданиям) общеобразовательных организаций, возврат в систему общего образования зданий, используемых не по назначению, приобретение (выкуп) зданий для размещения общеобразовательных организаций, приобретение (выкуп) строящихся объектов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14:paraId="6338E331" w14:textId="77777777" w:rsidR="00454A29" w:rsidRDefault="00454A29">
      <w:pPr>
        <w:pStyle w:val="ConsPlusNormal"/>
        <w:spacing w:before="220"/>
        <w:ind w:firstLine="540"/>
        <w:jc w:val="both"/>
      </w:pPr>
      <w: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14:paraId="1870B202" w14:textId="77777777" w:rsidR="00454A29" w:rsidRDefault="00454A29">
      <w:pPr>
        <w:pStyle w:val="ConsPlusNormal"/>
        <w:spacing w:before="220"/>
        <w:ind w:firstLine="540"/>
        <w:jc w:val="both"/>
      </w:pPr>
      <w:r>
        <w:t>в) поддержка развития негосударственного сектора общего образования.</w:t>
      </w:r>
    </w:p>
    <w:p w14:paraId="3669BD16" w14:textId="77777777" w:rsidR="00454A29" w:rsidRDefault="00454A29">
      <w:pPr>
        <w:pStyle w:val="ConsPlusNormal"/>
        <w:spacing w:before="220"/>
        <w:ind w:firstLine="540"/>
        <w:jc w:val="both"/>
      </w:pPr>
      <w:r>
        <w:t xml:space="preserve">3. Субсидия предоставляется в пределах объемов финансовых средств из федерального бюджета, предоставляемых государственному бюджету Республики Саха (Якутия) на реализацию мероприятий по содействию созданию новых мест в общеобразовательных организациях, бюджетных ассигнований, предусмотренных законом Республики Саха (Якутия) о государственном бюджете Республики Саха (Якутия) на соответствующий год, и лимитов бюджетных обязательств, предусмотренных в установленном порядке Министерству образования и науки Республики Саха (Якутия) на осуществление капитального ремонта, приобретение (выкуп) зданий для размещения общеобразовательных организаций, возврата в систему общего образования зданий, используемых не по назначению,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Министерству строительства Республики Саха (Якутия) на реконструкцию, строительство зданий (пристрой к зданиям) образовательных организаций и приобретение (выкуп) строящихся объектов общеобразовательных организаций (далее по соответствующим мероприятиям - главный распорядитель бюджетных средств) на цели, указанные в </w:t>
      </w:r>
      <w:hyperlink w:anchor="P34086" w:history="1">
        <w:r>
          <w:rPr>
            <w:color w:val="0000FF"/>
          </w:rPr>
          <w:t>пункте 2</w:t>
        </w:r>
      </w:hyperlink>
      <w:r>
        <w:t xml:space="preserve"> настоящего Порядка, на основании Соглашений.</w:t>
      </w:r>
    </w:p>
    <w:p w14:paraId="1187BDFA" w14:textId="77777777" w:rsidR="00454A29" w:rsidRDefault="00454A29">
      <w:pPr>
        <w:pStyle w:val="ConsPlusNormal"/>
        <w:spacing w:before="220"/>
        <w:ind w:firstLine="540"/>
        <w:jc w:val="both"/>
      </w:pPr>
      <w:r>
        <w:t>4. Субсидии предоставляются муниципальным образованиям, заявки которых прошли отбор в установленном порядке.</w:t>
      </w:r>
    </w:p>
    <w:p w14:paraId="1F8FD027" w14:textId="77777777" w:rsidR="00454A29" w:rsidRDefault="00454A29">
      <w:pPr>
        <w:pStyle w:val="ConsPlusNormal"/>
        <w:spacing w:before="220"/>
        <w:ind w:firstLine="540"/>
        <w:jc w:val="both"/>
      </w:pPr>
      <w:r>
        <w:t>4.1. Для участия в отборе для предоставления субсидии муниципальное образование представляет Министерству образования и науки Республики Саха (Якутия) заявку на участие в отборе (далее - заявка).</w:t>
      </w:r>
    </w:p>
    <w:p w14:paraId="6B3121B6" w14:textId="77777777" w:rsidR="00454A29" w:rsidRDefault="00454A29">
      <w:pPr>
        <w:pStyle w:val="ConsPlusNormal"/>
        <w:spacing w:before="220"/>
        <w:ind w:firstLine="540"/>
        <w:jc w:val="both"/>
      </w:pPr>
      <w:r>
        <w:t xml:space="preserve">Отбор муниципальных образований для предоставления субсидий из государственного бюджета Республики Саха (Якутия) муниципальным образованиям на софинансирование </w:t>
      </w:r>
      <w:r>
        <w:lastRenderedPageBreak/>
        <w:t xml:space="preserve">мероприятий, указанных в </w:t>
      </w:r>
      <w:hyperlink w:anchor="P34086" w:history="1">
        <w:r>
          <w:rPr>
            <w:color w:val="0000FF"/>
          </w:rPr>
          <w:t>пункте 2</w:t>
        </w:r>
      </w:hyperlink>
      <w:r>
        <w:t xml:space="preserve"> настоящего Порядка (далее - Отбор), проводится конкурсной комиссией, создаваемой Министерством образования и науки Республики Саха (Якутия) (далее - Комиссия).</w:t>
      </w:r>
    </w:p>
    <w:p w14:paraId="56E73023" w14:textId="77777777" w:rsidR="00454A29" w:rsidRDefault="00454A29">
      <w:pPr>
        <w:pStyle w:val="ConsPlusNormal"/>
        <w:spacing w:before="220"/>
        <w:ind w:firstLine="540"/>
        <w:jc w:val="both"/>
      </w:pPr>
      <w:r>
        <w:t>4.2. Организационно-техническое и информационно-аналитическое обеспечение проведения Отбора осуществляет уполномоченная Министерством образования и науки Республики Саха (Якутия) организация (далее - уполномоченная организация).</w:t>
      </w:r>
    </w:p>
    <w:p w14:paraId="7E2E93A4" w14:textId="77777777" w:rsidR="00454A29" w:rsidRDefault="00454A29">
      <w:pPr>
        <w:pStyle w:val="ConsPlusNormal"/>
        <w:spacing w:before="220"/>
        <w:ind w:firstLine="540"/>
        <w:jc w:val="both"/>
      </w:pPr>
      <w:r>
        <w:t>4.3. Министерство образования и науки Республики Саха (Якутия) размещает объявление о проведении Отбора на официальном сайте Министерства образования и науки Республики Саха (Якутия) в информационно-телекоммуникационной сети "Интернет" (далее - Сайт) не позднее чем за 10 рабочих дней до даты начала приема заявок муниципальных образований на участие в Отборе (далее - Заявка).</w:t>
      </w:r>
    </w:p>
    <w:p w14:paraId="5BE2EE1E" w14:textId="77777777" w:rsidR="00454A29" w:rsidRDefault="00454A29">
      <w:pPr>
        <w:pStyle w:val="ConsPlusNormal"/>
        <w:spacing w:before="220"/>
        <w:ind w:firstLine="540"/>
        <w:jc w:val="both"/>
      </w:pPr>
      <w:r>
        <w:t>4.4. Объявление о проведении Отбора должно содержать следующие сведения:</w:t>
      </w:r>
    </w:p>
    <w:p w14:paraId="2BD5D256" w14:textId="77777777" w:rsidR="00454A29" w:rsidRDefault="00454A29">
      <w:pPr>
        <w:pStyle w:val="ConsPlusNormal"/>
        <w:spacing w:before="220"/>
        <w:ind w:firstLine="540"/>
        <w:jc w:val="both"/>
      </w:pPr>
      <w:r>
        <w:t>наименование Отбора;</w:t>
      </w:r>
    </w:p>
    <w:p w14:paraId="44F2F420" w14:textId="77777777" w:rsidR="00454A29" w:rsidRDefault="00454A29">
      <w:pPr>
        <w:pStyle w:val="ConsPlusNormal"/>
        <w:spacing w:before="220"/>
        <w:ind w:firstLine="540"/>
        <w:jc w:val="both"/>
      </w:pPr>
      <w:r>
        <w:t>место, дату и время приема Заявок;</w:t>
      </w:r>
    </w:p>
    <w:p w14:paraId="378C4305" w14:textId="77777777" w:rsidR="00454A29" w:rsidRDefault="00454A29">
      <w:pPr>
        <w:pStyle w:val="ConsPlusNormal"/>
        <w:spacing w:before="220"/>
        <w:ind w:firstLine="540"/>
        <w:jc w:val="both"/>
      </w:pPr>
      <w:r>
        <w:t>образец Заявки;</w:t>
      </w:r>
    </w:p>
    <w:p w14:paraId="1AF3F707" w14:textId="77777777" w:rsidR="00454A29" w:rsidRDefault="00454A29">
      <w:pPr>
        <w:pStyle w:val="ConsPlusNormal"/>
        <w:spacing w:before="220"/>
        <w:ind w:firstLine="540"/>
        <w:jc w:val="both"/>
      </w:pPr>
      <w:r>
        <w:t>состав Заявки;</w:t>
      </w:r>
    </w:p>
    <w:p w14:paraId="1C5883B7" w14:textId="77777777" w:rsidR="00454A29" w:rsidRDefault="00454A29">
      <w:pPr>
        <w:pStyle w:val="ConsPlusNormal"/>
        <w:spacing w:before="220"/>
        <w:ind w:firstLine="540"/>
        <w:jc w:val="both"/>
      </w:pPr>
      <w:r>
        <w:t>порядок и критерии Отбора;</w:t>
      </w:r>
    </w:p>
    <w:p w14:paraId="0AC1B17D" w14:textId="77777777" w:rsidR="00454A29" w:rsidRDefault="00454A29">
      <w:pPr>
        <w:pStyle w:val="ConsPlusNormal"/>
        <w:spacing w:before="220"/>
        <w:ind w:firstLine="540"/>
        <w:jc w:val="both"/>
      </w:pPr>
      <w:r>
        <w:t>порядок и сроки рассмотрения Заявок;</w:t>
      </w:r>
    </w:p>
    <w:p w14:paraId="43C2D01E" w14:textId="77777777" w:rsidR="00454A29" w:rsidRDefault="00454A29">
      <w:pPr>
        <w:pStyle w:val="ConsPlusNormal"/>
        <w:spacing w:before="220"/>
        <w:ind w:firstLine="540"/>
        <w:jc w:val="both"/>
      </w:pPr>
      <w:r>
        <w:t>порядок и сроки объявления результатов Отбора;</w:t>
      </w:r>
    </w:p>
    <w:p w14:paraId="23B6E239" w14:textId="77777777" w:rsidR="00454A29" w:rsidRDefault="00454A29">
      <w:pPr>
        <w:pStyle w:val="ConsPlusNormal"/>
        <w:spacing w:before="220"/>
        <w:ind w:firstLine="540"/>
        <w:jc w:val="both"/>
      </w:pPr>
      <w:r>
        <w:t>контактную информацию (телефон, адрес электронной почты) должностных лиц, ответственных за проведение Отбора.</w:t>
      </w:r>
    </w:p>
    <w:p w14:paraId="3A115796" w14:textId="77777777" w:rsidR="00454A29" w:rsidRDefault="00454A29">
      <w:pPr>
        <w:pStyle w:val="ConsPlusNormal"/>
        <w:spacing w:before="220"/>
        <w:ind w:firstLine="540"/>
        <w:jc w:val="both"/>
      </w:pPr>
      <w:r>
        <w:t>4.5. Муниципальные образования представляют Министерству образования и науки Республики Саха (Якутия) Заявку в соответствии со сроком представления Заявки, указанным в объявлении об Отборе. Заявка предоставляется муниципальным образованием в течение 14 рабочих дней со дня начала приема Заявок.</w:t>
      </w:r>
    </w:p>
    <w:p w14:paraId="4659D5C8" w14:textId="77777777" w:rsidR="00454A29" w:rsidRDefault="00454A29">
      <w:pPr>
        <w:pStyle w:val="ConsPlusNormal"/>
        <w:spacing w:before="220"/>
        <w:ind w:firstLine="540"/>
        <w:jc w:val="both"/>
      </w:pPr>
      <w:r>
        <w:t>4.6. В составе Заявки муниципальное образование предоставляет:</w:t>
      </w:r>
    </w:p>
    <w:p w14:paraId="7F6B2DA6" w14:textId="77777777" w:rsidR="00454A29" w:rsidRDefault="00454A29">
      <w:pPr>
        <w:pStyle w:val="ConsPlusNormal"/>
        <w:spacing w:before="220"/>
        <w:ind w:firstLine="540"/>
        <w:jc w:val="both"/>
      </w:pPr>
      <w:r>
        <w:t xml:space="preserve">а) заверенную в установленном порядке копию нормативно-правового акта муниципального образования, включающую в себя одно или несколько мероприятий, предусмотренных </w:t>
      </w:r>
      <w:hyperlink w:anchor="P34086" w:history="1">
        <w:r>
          <w:rPr>
            <w:color w:val="0000FF"/>
          </w:rPr>
          <w:t>пунктом 2</w:t>
        </w:r>
      </w:hyperlink>
      <w:r>
        <w:t xml:space="preserve"> настоящего Порядка;</w:t>
      </w:r>
    </w:p>
    <w:p w14:paraId="4DC32AE5" w14:textId="77777777" w:rsidR="00454A29" w:rsidRDefault="00454A29">
      <w:pPr>
        <w:pStyle w:val="ConsPlusNormal"/>
        <w:spacing w:before="220"/>
        <w:ind w:firstLine="540"/>
        <w:jc w:val="both"/>
      </w:pPr>
      <w:r>
        <w:t>б) выписку из бюджета муниципального образования о наличии в бюджете муниципального образования на текущий финансовый год бюджетных ассигнований на исполнение расходного обязательства, софинансирование которого осуществляется из государственного бюджета Республики Саха (Якутия), или гарантийное письмо;</w:t>
      </w:r>
    </w:p>
    <w:p w14:paraId="53517B1E" w14:textId="77777777" w:rsidR="00454A29" w:rsidRDefault="00454A29">
      <w:pPr>
        <w:pStyle w:val="ConsPlusNormal"/>
        <w:spacing w:before="220"/>
        <w:ind w:firstLine="540"/>
        <w:jc w:val="both"/>
      </w:pPr>
      <w:r>
        <w:t>в) письменное обязательство муниципального образования в текущем финансовом году:</w:t>
      </w:r>
    </w:p>
    <w:p w14:paraId="77ED0543" w14:textId="77777777" w:rsidR="00454A29" w:rsidRDefault="00454A29">
      <w:pPr>
        <w:pStyle w:val="ConsPlusNormal"/>
        <w:spacing w:before="220"/>
        <w:ind w:firstLine="540"/>
        <w:jc w:val="both"/>
      </w:pPr>
      <w:r>
        <w:t xml:space="preserve">обеспечить создание новых мест в общеобразовательных организациях в количестве, соответствующем прогнозируемой потребности, а также в соответствии с современными условиями обучения, включая их оснащение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строительными и противопожарными нормами, федеральными государственными </w:t>
      </w:r>
      <w:r>
        <w:lastRenderedPageBreak/>
        <w:t>образовательными стандартами общего образования, а также с учетом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новых мест в общеобразовательных организациях;</w:t>
      </w:r>
    </w:p>
    <w:p w14:paraId="5AEFD399" w14:textId="77777777" w:rsidR="00454A29" w:rsidRDefault="00454A29">
      <w:pPr>
        <w:pStyle w:val="ConsPlusNormal"/>
        <w:spacing w:before="220"/>
        <w:ind w:firstLine="540"/>
        <w:jc w:val="both"/>
      </w:pPr>
      <w:r>
        <w:t xml:space="preserve">направлять субсидию на софинансирование затрат местного бюджета на мероприятия, предусмотренные </w:t>
      </w:r>
      <w:hyperlink w:anchor="P34086" w:history="1">
        <w:r>
          <w:rPr>
            <w:color w:val="0000FF"/>
          </w:rPr>
          <w:t>пунктом 2</w:t>
        </w:r>
      </w:hyperlink>
      <w:r>
        <w:t xml:space="preserve"> настоящего Порядка;</w:t>
      </w:r>
    </w:p>
    <w:p w14:paraId="3D9582F4" w14:textId="77777777" w:rsidR="00454A29" w:rsidRDefault="00454A29">
      <w:pPr>
        <w:pStyle w:val="ConsPlusNormal"/>
        <w:spacing w:before="220"/>
        <w:ind w:firstLine="540"/>
        <w:jc w:val="both"/>
      </w:pPr>
      <w:r>
        <w:t>при осуществлении строительства здания (пристроя к зданию) либо приобретения (выкупа) строящихся объектов образовательной организации использовать применение экономически эффективной проектной документации, а в случае отсутствия такой документации - типовой проектной документации из соответствующих реестров Министерства строительства и жилищно-коммунального хозяйства Российской Федерации;</w:t>
      </w:r>
    </w:p>
    <w:p w14:paraId="2BCD9379" w14:textId="77777777" w:rsidR="00454A29" w:rsidRDefault="00454A29">
      <w:pPr>
        <w:pStyle w:val="ConsPlusNormal"/>
        <w:spacing w:before="220"/>
        <w:ind w:firstLine="540"/>
        <w:jc w:val="both"/>
      </w:pPr>
      <w:r>
        <w:t>г) сведения о наличии утвержденного плана, обеспечивающего достижение к 2025 году 100-процентной ликвидации второй смены в школе и переход обучающихся в новые школы из зданий школ с износом 50 процентов и выше, предусматривающего мероприятия, указанные в пункте 2 настоящего Порядка;</w:t>
      </w:r>
    </w:p>
    <w:p w14:paraId="089F51B7" w14:textId="77777777" w:rsidR="00454A29" w:rsidRDefault="00454A29">
      <w:pPr>
        <w:pStyle w:val="ConsPlusNormal"/>
        <w:spacing w:before="220"/>
        <w:ind w:firstLine="540"/>
        <w:jc w:val="both"/>
      </w:pPr>
      <w:bookmarkStart w:id="37" w:name="P34114"/>
      <w:bookmarkEnd w:id="37"/>
      <w:r>
        <w:t>д) наличие документов, подтверждающих объемы необходимых расходов по мероприятиям:</w:t>
      </w:r>
    </w:p>
    <w:p w14:paraId="630E9B44" w14:textId="77777777" w:rsidR="00454A29" w:rsidRDefault="00454A29">
      <w:pPr>
        <w:pStyle w:val="ConsPlusNormal"/>
        <w:spacing w:before="220"/>
        <w:ind w:firstLine="540"/>
        <w:jc w:val="both"/>
      </w:pPr>
      <w:r>
        <w:t>при строительстве, реконструкции зданий (пристроя к зданиям) и приобретении (выкупе) строящихся объектов:</w:t>
      </w:r>
    </w:p>
    <w:p w14:paraId="42676BFA" w14:textId="77777777" w:rsidR="00454A29" w:rsidRDefault="00454A29">
      <w:pPr>
        <w:pStyle w:val="ConsPlusNormal"/>
        <w:spacing w:before="220"/>
        <w:ind w:firstLine="540"/>
        <w:jc w:val="both"/>
      </w:pPr>
      <w:r>
        <w:t>экономически эффективная проектная документация повторного использования с положительным заключением государственной экспертизы, в случае отсутствия такой документации - типовая проектная документация из соответствующих реестров Министерства строительства и жилищно-коммунального хозяйства Российской Федерации;</w:t>
      </w:r>
    </w:p>
    <w:p w14:paraId="14A61B5B" w14:textId="77777777" w:rsidR="00454A29" w:rsidRDefault="00454A29">
      <w:pPr>
        <w:pStyle w:val="ConsPlusNormal"/>
        <w:spacing w:before="220"/>
        <w:ind w:firstLine="540"/>
        <w:jc w:val="both"/>
      </w:pPr>
      <w:r>
        <w:t>подтверждение наличия земельного участка, выделенного в установленном порядке под строительство образовательных организаций и объектов инженерной инфраструктуры, в соответствии с утвержденными документами территориального планирования (схем территориального планирования, генеральных планов муниципальных образований), правилами землепользования и застройки территорий, проектами планировки и межевания территорий, находящегося вне зоны регулярного подтопления паводковыми водами и вне обременений в использовании: земельных и иных имущественных споров, ареста (запрещения к использованию);</w:t>
      </w:r>
    </w:p>
    <w:p w14:paraId="43743B1D" w14:textId="77777777" w:rsidR="00454A29" w:rsidRDefault="00454A29">
      <w:pPr>
        <w:pStyle w:val="ConsPlusNormal"/>
        <w:spacing w:before="220"/>
        <w:ind w:firstLine="540"/>
        <w:jc w:val="both"/>
      </w:pPr>
      <w:r>
        <w:t>при приобретении зданий (помещений):</w:t>
      </w:r>
    </w:p>
    <w:p w14:paraId="5D0CA532" w14:textId="77777777" w:rsidR="00454A29" w:rsidRDefault="00454A29">
      <w:pPr>
        <w:pStyle w:val="ConsPlusNormal"/>
        <w:spacing w:before="220"/>
        <w:ind w:firstLine="540"/>
        <w:jc w:val="both"/>
      </w:pPr>
      <w:r>
        <w:t>отчет об оценке объекта недвижимого имущества, соответствующий требованиям законодательства Российской Федерации;</w:t>
      </w:r>
    </w:p>
    <w:p w14:paraId="492A4AF3" w14:textId="77777777" w:rsidR="00454A29" w:rsidRDefault="00454A29">
      <w:pPr>
        <w:pStyle w:val="ConsPlusNormal"/>
        <w:spacing w:before="220"/>
        <w:ind w:firstLine="540"/>
        <w:jc w:val="both"/>
      </w:pPr>
      <w:r>
        <w:t>заключение по обследованию технического состояния объекта с установленной категорией (ограниченно работоспособное техническое состояние, аварийное) составленное специализированной организацией, имеющей свидетельство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768A39AB" w14:textId="77777777" w:rsidR="00454A29" w:rsidRDefault="00454A29">
      <w:pPr>
        <w:pStyle w:val="ConsPlusNormal"/>
        <w:spacing w:before="220"/>
        <w:ind w:firstLine="540"/>
        <w:jc w:val="both"/>
      </w:pPr>
      <w:r>
        <w:t>при капитальном ремонте объекта:</w:t>
      </w:r>
    </w:p>
    <w:p w14:paraId="2FD35CD1" w14:textId="77777777" w:rsidR="00454A29" w:rsidRDefault="00454A29">
      <w:pPr>
        <w:pStyle w:val="ConsPlusNormal"/>
        <w:spacing w:before="220"/>
        <w:ind w:firstLine="540"/>
        <w:jc w:val="both"/>
      </w:pPr>
      <w:r>
        <w:t>технический паспорт объекта;</w:t>
      </w:r>
    </w:p>
    <w:p w14:paraId="5A9C95F7" w14:textId="77777777" w:rsidR="00454A29" w:rsidRDefault="00454A29">
      <w:pPr>
        <w:pStyle w:val="ConsPlusNormal"/>
        <w:spacing w:before="220"/>
        <w:ind w:firstLine="540"/>
        <w:jc w:val="both"/>
      </w:pPr>
      <w:r>
        <w:t>локальная и объектная смета в базовом и текущем уровне цен с положительным заключением государственной экспертизы;</w:t>
      </w:r>
    </w:p>
    <w:p w14:paraId="44320EFB" w14:textId="77777777" w:rsidR="00454A29" w:rsidRDefault="00454A29">
      <w:pPr>
        <w:pStyle w:val="ConsPlusNormal"/>
        <w:spacing w:before="220"/>
        <w:ind w:firstLine="540"/>
        <w:jc w:val="both"/>
      </w:pPr>
      <w:r>
        <w:lastRenderedPageBreak/>
        <w:t>заключение по обследованию технического состояния объекта с установленной категорией (ограниченно работоспособное техническое состояние, аварийное) составленное специализированной организацией, имеющей свидетельство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F757C63" w14:textId="77777777" w:rsidR="00454A29" w:rsidRDefault="00454A29">
      <w:pPr>
        <w:pStyle w:val="ConsPlusNormal"/>
        <w:spacing w:before="220"/>
        <w:ind w:firstLine="540"/>
        <w:jc w:val="both"/>
      </w:pPr>
      <w:r>
        <w:t>при возврате в систему общего образования зданий, используемых не по назначению:</w:t>
      </w:r>
    </w:p>
    <w:p w14:paraId="6931CD8F" w14:textId="77777777" w:rsidR="00454A29" w:rsidRDefault="00454A29">
      <w:pPr>
        <w:pStyle w:val="ConsPlusNormal"/>
        <w:spacing w:before="220"/>
        <w:ind w:firstLine="540"/>
        <w:jc w:val="both"/>
      </w:pPr>
      <w:r>
        <w:t>правоустанавливающие документы на объект;</w:t>
      </w:r>
    </w:p>
    <w:p w14:paraId="36A7E0DC" w14:textId="77777777" w:rsidR="00454A29" w:rsidRDefault="00454A29">
      <w:pPr>
        <w:pStyle w:val="ConsPlusNormal"/>
        <w:spacing w:before="220"/>
        <w:ind w:firstLine="540"/>
        <w:jc w:val="both"/>
      </w:pPr>
      <w:r>
        <w:t>технический паспорт;</w:t>
      </w:r>
    </w:p>
    <w:p w14:paraId="616A1FB4" w14:textId="77777777" w:rsidR="00454A29" w:rsidRDefault="00454A29">
      <w:pPr>
        <w:pStyle w:val="ConsPlusNormal"/>
        <w:spacing w:before="220"/>
        <w:ind w:firstLine="540"/>
        <w:jc w:val="both"/>
      </w:pPr>
      <w:r>
        <w:t>локальную и объектную смету в базовом и текущем уровне цен с положительным заключением о проверке достоверности определения (экспертизы) сметной стоимости;</w:t>
      </w:r>
    </w:p>
    <w:p w14:paraId="3F4F16AE" w14:textId="77777777" w:rsidR="00454A29" w:rsidRDefault="00454A29">
      <w:pPr>
        <w:pStyle w:val="ConsPlusNormal"/>
        <w:spacing w:before="220"/>
        <w:ind w:firstLine="540"/>
        <w:jc w:val="both"/>
      </w:pPr>
      <w:r>
        <w:t>заключение по обследованию технического состояния объекта с установленной категорией (ограниченно работоспособное техническое состояние, аварийное), составленное специализированной организацией, имеющей свидетельство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5825E654" w14:textId="77777777" w:rsidR="00454A29" w:rsidRDefault="00454A29">
      <w:pPr>
        <w:pStyle w:val="ConsPlusNormal"/>
        <w:spacing w:before="220"/>
        <w:ind w:firstLine="540"/>
        <w:jc w:val="both"/>
      </w:pPr>
      <w:r>
        <w:t>4.7. Прием и регистрация Заявок осуществляется уполномоченной организацией.</w:t>
      </w:r>
    </w:p>
    <w:p w14:paraId="41020B8B" w14:textId="77777777" w:rsidR="00454A29" w:rsidRDefault="00454A29">
      <w:pPr>
        <w:pStyle w:val="ConsPlusNormal"/>
        <w:spacing w:before="220"/>
        <w:ind w:firstLine="540"/>
        <w:jc w:val="both"/>
      </w:pPr>
      <w:r>
        <w:t>4.8. Уполномоченная организация регистрирует представленные Заявки в день их поступления, проверяет правильность оформления и комплектность Заявок в соответствии с требованиями, установленными настоящим Порядком.</w:t>
      </w:r>
    </w:p>
    <w:p w14:paraId="0681A3F9" w14:textId="77777777" w:rsidR="00454A29" w:rsidRDefault="00454A29">
      <w:pPr>
        <w:pStyle w:val="ConsPlusNormal"/>
        <w:spacing w:before="220"/>
        <w:ind w:firstLine="540"/>
        <w:jc w:val="both"/>
      </w:pPr>
      <w:r>
        <w:t>4.9. В случае непредставления Заявки в полном комплекте в срок, установленный для представления Заявок, указанная Заявка не допускается Комиссией к участию в Отборе.</w:t>
      </w:r>
    </w:p>
    <w:p w14:paraId="367C3E15" w14:textId="77777777" w:rsidR="00454A29" w:rsidRDefault="00454A29">
      <w:pPr>
        <w:pStyle w:val="ConsPlusNormal"/>
        <w:spacing w:before="220"/>
        <w:ind w:firstLine="540"/>
        <w:jc w:val="both"/>
      </w:pPr>
      <w:r>
        <w:t>4.10. В случае представления Заявки по истечении срока, установленного для представления Заявок, указанная Заявка не допускается Комиссией к участию в Отборе.</w:t>
      </w:r>
    </w:p>
    <w:p w14:paraId="57666F10" w14:textId="77777777" w:rsidR="00454A29" w:rsidRDefault="00454A29">
      <w:pPr>
        <w:pStyle w:val="ConsPlusNormal"/>
        <w:spacing w:before="220"/>
        <w:ind w:firstLine="540"/>
        <w:jc w:val="both"/>
      </w:pPr>
      <w:r>
        <w:t>4.11. Муниципальное образование вправе отозвать Заявку, направив в уполномоченную организацию соответствующее письменное уведомление.</w:t>
      </w:r>
    </w:p>
    <w:p w14:paraId="0FBFA4F0" w14:textId="77777777" w:rsidR="00454A29" w:rsidRDefault="00454A29">
      <w:pPr>
        <w:pStyle w:val="ConsPlusNormal"/>
        <w:spacing w:before="220"/>
        <w:ind w:firstLine="540"/>
        <w:jc w:val="both"/>
      </w:pPr>
      <w:r>
        <w:t>4.12. Заявка считается отозванной со дня поступления в уполномоченную организацию письменного уведомления, но не позднее даты окончания рассмотрения Заявок.</w:t>
      </w:r>
    </w:p>
    <w:p w14:paraId="462742C9" w14:textId="77777777" w:rsidR="00454A29" w:rsidRDefault="00454A29">
      <w:pPr>
        <w:pStyle w:val="ConsPlusNormal"/>
        <w:spacing w:before="220"/>
        <w:ind w:firstLine="540"/>
        <w:jc w:val="both"/>
      </w:pPr>
      <w:r>
        <w:t>4.13. Заявки, допущенные Комиссией к участию в Отборе, муниципальным образованиям не возвращаются.</w:t>
      </w:r>
    </w:p>
    <w:p w14:paraId="6B39EA50" w14:textId="77777777" w:rsidR="00454A29" w:rsidRDefault="00454A29">
      <w:pPr>
        <w:pStyle w:val="ConsPlusNormal"/>
        <w:spacing w:before="220"/>
        <w:ind w:firstLine="540"/>
        <w:jc w:val="both"/>
      </w:pPr>
      <w:r>
        <w:t>4.14. В случае принятия решения о переносе даты окончания приема Заявок Министерство образования и науки Республики Саха (Якутия) размещает объявление о продлении срока Отбора на Сайте не позднее 3 рабочих дней со дня принятия соответствующего решения.</w:t>
      </w:r>
    </w:p>
    <w:p w14:paraId="27DF0257" w14:textId="77777777" w:rsidR="00454A29" w:rsidRDefault="00454A29">
      <w:pPr>
        <w:pStyle w:val="ConsPlusNormal"/>
        <w:spacing w:before="220"/>
        <w:ind w:firstLine="540"/>
        <w:jc w:val="both"/>
      </w:pPr>
      <w:r>
        <w:t>Срок продления Отбора должен составлять не менее 5 рабочих дней.</w:t>
      </w:r>
    </w:p>
    <w:p w14:paraId="31698013" w14:textId="77777777" w:rsidR="00454A29" w:rsidRDefault="00454A29">
      <w:pPr>
        <w:pStyle w:val="ConsPlusNormal"/>
        <w:spacing w:before="220"/>
        <w:ind w:firstLine="540"/>
        <w:jc w:val="both"/>
      </w:pPr>
      <w:r>
        <w:t>4.15. Комиссия в рамках проведения Отбора в течение 15 рабочих дней с момента окончания срока приема Заявок осуществляет:</w:t>
      </w:r>
    </w:p>
    <w:p w14:paraId="376322C8" w14:textId="77777777" w:rsidR="00454A29" w:rsidRDefault="00454A29">
      <w:pPr>
        <w:pStyle w:val="ConsPlusNormal"/>
        <w:spacing w:before="220"/>
        <w:ind w:firstLine="540"/>
        <w:jc w:val="both"/>
      </w:pPr>
      <w:r>
        <w:t>рассмотрение и допуск к участию в Отборе представленных Заявок;</w:t>
      </w:r>
    </w:p>
    <w:p w14:paraId="713A303D" w14:textId="77777777" w:rsidR="00454A29" w:rsidRDefault="00454A29">
      <w:pPr>
        <w:pStyle w:val="ConsPlusNormal"/>
        <w:spacing w:before="220"/>
        <w:ind w:firstLine="540"/>
        <w:jc w:val="both"/>
      </w:pPr>
      <w:r>
        <w:t>оценку представленных Заявок на предмет соответствия требованиям, установленным настоящим Порядком;</w:t>
      </w:r>
    </w:p>
    <w:p w14:paraId="60598F57" w14:textId="77777777" w:rsidR="00454A29" w:rsidRDefault="00454A29">
      <w:pPr>
        <w:pStyle w:val="ConsPlusNormal"/>
        <w:spacing w:before="220"/>
        <w:ind w:firstLine="540"/>
        <w:jc w:val="both"/>
      </w:pPr>
      <w:r>
        <w:lastRenderedPageBreak/>
        <w:t>определение муниципальных образований для предоставления субсидии;</w:t>
      </w:r>
    </w:p>
    <w:p w14:paraId="66DCEE1F" w14:textId="77777777" w:rsidR="00454A29" w:rsidRDefault="00454A29">
      <w:pPr>
        <w:pStyle w:val="ConsPlusNormal"/>
        <w:spacing w:before="220"/>
        <w:ind w:firstLine="540"/>
        <w:jc w:val="both"/>
      </w:pPr>
      <w:r>
        <w:t>определение объемов субсидий муниципальным образованиям в соответствии с настоящим Порядком;</w:t>
      </w:r>
    </w:p>
    <w:p w14:paraId="44A7FC38" w14:textId="77777777" w:rsidR="00454A29" w:rsidRDefault="00454A29">
      <w:pPr>
        <w:pStyle w:val="ConsPlusNormal"/>
        <w:spacing w:before="220"/>
        <w:ind w:firstLine="540"/>
        <w:jc w:val="both"/>
      </w:pPr>
      <w:r>
        <w:t>оформление протокола по результатам рассмотрения Заявок Комиссией (далее - протокол заседания Комиссии);</w:t>
      </w:r>
    </w:p>
    <w:p w14:paraId="7B83CBD4" w14:textId="77777777" w:rsidR="00454A29" w:rsidRDefault="00454A29">
      <w:pPr>
        <w:pStyle w:val="ConsPlusNormal"/>
        <w:spacing w:before="220"/>
        <w:ind w:firstLine="540"/>
        <w:jc w:val="both"/>
      </w:pPr>
      <w:r>
        <w:t>размещение протокола заседания Комиссии на Сайте;</w:t>
      </w:r>
    </w:p>
    <w:p w14:paraId="0A2F7BE8" w14:textId="77777777" w:rsidR="00454A29" w:rsidRDefault="00454A29">
      <w:pPr>
        <w:pStyle w:val="ConsPlusNormal"/>
        <w:spacing w:before="220"/>
        <w:ind w:firstLine="540"/>
        <w:jc w:val="both"/>
      </w:pPr>
      <w:r>
        <w:t>направление протокола заседания Комиссии главному распорядителю бюджетных средств.</w:t>
      </w:r>
    </w:p>
    <w:p w14:paraId="5AB1185F" w14:textId="77777777" w:rsidR="00454A29" w:rsidRDefault="00454A29">
      <w:pPr>
        <w:pStyle w:val="ConsPlusNormal"/>
        <w:spacing w:before="220"/>
        <w:ind w:firstLine="540"/>
        <w:jc w:val="both"/>
      </w:pPr>
      <w:r>
        <w:t>5. Критериями отбора для предоставления субсидии являются:</w:t>
      </w:r>
    </w:p>
    <w:p w14:paraId="5700CAFA" w14:textId="77777777" w:rsidR="00454A29" w:rsidRDefault="00454A29">
      <w:pPr>
        <w:pStyle w:val="ConsPlusNormal"/>
        <w:spacing w:before="220"/>
        <w:ind w:firstLine="540"/>
        <w:jc w:val="both"/>
      </w:pPr>
      <w:r>
        <w:t>а) наличие с учетом демографического прогноза потребности муниципального образования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14:paraId="5477CA30" w14:textId="77777777" w:rsidR="00454A29" w:rsidRDefault="00454A29">
      <w:pPr>
        <w:pStyle w:val="ConsPlusNormal"/>
        <w:spacing w:before="220"/>
        <w:ind w:firstLine="540"/>
        <w:jc w:val="both"/>
      </w:pPr>
      <w:r>
        <w:t>б) наличие в муниципальном образовании зданий общеобразовательных организаций, находящихся в аварийном состоянии, и (или) требующих капитального ремонта, и (или) не имеющих санитарно-гигиенических помещений, требующих перевода на новые места в соответствии с современными условиями обучения, и (или) сменности обучения в общеобразовательных организациях;</w:t>
      </w:r>
    </w:p>
    <w:p w14:paraId="12946676" w14:textId="77777777" w:rsidR="00454A29" w:rsidRDefault="00454A29">
      <w:pPr>
        <w:pStyle w:val="ConsPlusNormal"/>
        <w:spacing w:before="220"/>
        <w:ind w:firstLine="540"/>
        <w:jc w:val="both"/>
      </w:pPr>
      <w:r>
        <w:t xml:space="preserve">в) наличие муниципальной программы, предусматривающей мероприятия, указанные в </w:t>
      </w:r>
      <w:hyperlink w:anchor="P34086" w:history="1">
        <w:r>
          <w:rPr>
            <w:color w:val="0000FF"/>
          </w:rPr>
          <w:t>пункте 2</w:t>
        </w:r>
      </w:hyperlink>
      <w:r>
        <w:t xml:space="preserve"> настоящего Порядка;</w:t>
      </w:r>
    </w:p>
    <w:p w14:paraId="622B7A3B" w14:textId="77777777" w:rsidR="00454A29" w:rsidRDefault="00454A29">
      <w:pPr>
        <w:pStyle w:val="ConsPlusNormal"/>
        <w:spacing w:before="220"/>
        <w:ind w:firstLine="540"/>
        <w:jc w:val="both"/>
      </w:pPr>
      <w:bookmarkStart w:id="38" w:name="P34151"/>
      <w:bookmarkEnd w:id="38"/>
      <w:r>
        <w:t>г) наличие обязательства муниципального образования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новых мест в общеобразовательных организациях Республики Саха (Якутия).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образования и науки Российской Федерации.</w:t>
      </w:r>
    </w:p>
    <w:p w14:paraId="38FD2092" w14:textId="77777777" w:rsidR="00454A29" w:rsidRDefault="00454A29">
      <w:pPr>
        <w:pStyle w:val="ConsPlusNormal"/>
        <w:spacing w:before="220"/>
        <w:ind w:firstLine="540"/>
        <w:jc w:val="both"/>
      </w:pPr>
      <w:r>
        <w:t>При оценке заявок муниципальных образований приоритет имеют следующие показатели:</w:t>
      </w:r>
    </w:p>
    <w:p w14:paraId="61D75389" w14:textId="77777777" w:rsidR="00454A29" w:rsidRDefault="00454A29">
      <w:pPr>
        <w:pStyle w:val="ConsPlusNormal"/>
        <w:spacing w:before="220"/>
        <w:ind w:firstLine="540"/>
        <w:jc w:val="both"/>
      </w:pPr>
      <w:r>
        <w:t>наибольшая потребность в обеспечении местами обучающихся общеобразовательных организаций в одну смену;</w:t>
      </w:r>
    </w:p>
    <w:p w14:paraId="1CAC8816" w14:textId="77777777" w:rsidR="00454A29" w:rsidRDefault="00454A29">
      <w:pPr>
        <w:pStyle w:val="ConsPlusNormal"/>
        <w:spacing w:before="220"/>
        <w:ind w:firstLine="540"/>
        <w:jc w:val="both"/>
      </w:pPr>
      <w:r>
        <w:t>наибольшее количество дополнительно создаваемых мест при наименьшей стоимости одного создаваемого места в общеобразовательных организациях.</w:t>
      </w:r>
    </w:p>
    <w:p w14:paraId="21ED7B40" w14:textId="77777777" w:rsidR="00454A29" w:rsidRDefault="00454A29">
      <w:pPr>
        <w:pStyle w:val="ConsPlusNormal"/>
        <w:spacing w:before="220"/>
        <w:ind w:firstLine="540"/>
        <w:jc w:val="both"/>
      </w:pPr>
      <w:r>
        <w:t>При прочих равных условиях учитывается дата подачи Заявки.</w:t>
      </w:r>
    </w:p>
    <w:p w14:paraId="2E9E1620" w14:textId="77777777" w:rsidR="00454A29" w:rsidRDefault="00454A29">
      <w:pPr>
        <w:pStyle w:val="ConsPlusNormal"/>
        <w:spacing w:before="220"/>
        <w:ind w:firstLine="540"/>
        <w:jc w:val="both"/>
      </w:pPr>
      <w:bookmarkStart w:id="39" w:name="P34156"/>
      <w:bookmarkEnd w:id="39"/>
      <w:r>
        <w:t>6. Условиями предоставления и расходования субсидий являются:</w:t>
      </w:r>
    </w:p>
    <w:p w14:paraId="01C3953B" w14:textId="77777777" w:rsidR="00454A29" w:rsidRDefault="00454A29">
      <w:pPr>
        <w:pStyle w:val="ConsPlusNormal"/>
        <w:spacing w:before="220"/>
        <w:ind w:firstLine="540"/>
        <w:jc w:val="both"/>
      </w:pPr>
      <w:r>
        <w:t>а)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которого предоставляется субсидия;</w:t>
      </w:r>
    </w:p>
    <w:p w14:paraId="4740B679" w14:textId="77777777" w:rsidR="00454A29" w:rsidRDefault="00454A29">
      <w:pPr>
        <w:pStyle w:val="ConsPlusNormal"/>
        <w:spacing w:before="220"/>
        <w:ind w:firstLine="540"/>
        <w:jc w:val="both"/>
      </w:pPr>
      <w:r>
        <w:t xml:space="preserve">б) наличие соглашения с Министерством о предоставлении и распределении из </w:t>
      </w:r>
      <w:r>
        <w:lastRenderedPageBreak/>
        <w:t>государственного бюджета Республики Саха (Якутия) субсидии бюджету муниципального района (городского округа), предусматривающего обязательства муниципального района (городского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w:t>
      </w:r>
    </w:p>
    <w:p w14:paraId="18A52916" w14:textId="77777777" w:rsidR="00454A29" w:rsidRDefault="00454A29">
      <w:pPr>
        <w:pStyle w:val="ConsPlusNormal"/>
        <w:spacing w:before="220"/>
        <w:ind w:firstLine="540"/>
        <w:jc w:val="both"/>
      </w:pPr>
      <w:r>
        <w:t xml:space="preserve">в) наличие в муниципальных образованиях утвержденного плана, обеспечивающего достижение к 2025 году 100-процентной ликвидации второй смены в школе и переход обучающихся в новые школы из зданий школ с износом 50 процентов и выше, предусматривающего мероприятия, указанные в </w:t>
      </w:r>
      <w:hyperlink w:anchor="P34086" w:history="1">
        <w:r>
          <w:rPr>
            <w:color w:val="0000FF"/>
          </w:rPr>
          <w:t>пункте 2</w:t>
        </w:r>
      </w:hyperlink>
      <w:r>
        <w:t xml:space="preserve"> настоящего Порядка;</w:t>
      </w:r>
    </w:p>
    <w:p w14:paraId="1325F568" w14:textId="77777777" w:rsidR="00454A29" w:rsidRDefault="00454A29">
      <w:pPr>
        <w:pStyle w:val="ConsPlusNormal"/>
        <w:spacing w:before="220"/>
        <w:ind w:firstLine="540"/>
        <w:jc w:val="both"/>
      </w:pPr>
      <w:r>
        <w:t xml:space="preserve">г) наличие документов, подтверждающих объемы необходимых расходов по мероприятиям, указанные в </w:t>
      </w:r>
      <w:hyperlink w:anchor="P34114" w:history="1">
        <w:r>
          <w:rPr>
            <w:color w:val="0000FF"/>
          </w:rPr>
          <w:t>подпункте "д" пункта 4.6</w:t>
        </w:r>
      </w:hyperlink>
      <w:r>
        <w:t>;</w:t>
      </w:r>
    </w:p>
    <w:p w14:paraId="3244440A" w14:textId="77777777" w:rsidR="00454A29" w:rsidRDefault="00454A29">
      <w:pPr>
        <w:pStyle w:val="ConsPlusNormal"/>
        <w:spacing w:before="220"/>
        <w:ind w:firstLine="540"/>
        <w:jc w:val="both"/>
      </w:pPr>
      <w:r>
        <w:t>д) наличие в муниципальных образованиях специалистов, осуществляющих строительный контроль, либо предоставление заверенной в установленном порядке копии договора о привлечении физического или юридического лица для проведения строительного контроля в целях проверки соответствия выполняемых работ требованиям технических регламентов.</w:t>
      </w:r>
    </w:p>
    <w:p w14:paraId="7FF30261" w14:textId="77777777" w:rsidR="00454A29" w:rsidRDefault="00454A29">
      <w:pPr>
        <w:pStyle w:val="ConsPlusNormal"/>
        <w:spacing w:before="220"/>
        <w:ind w:firstLine="540"/>
        <w:jc w:val="both"/>
      </w:pPr>
      <w:r>
        <w:t>7. Главный распорядитель бюджетных средств не позднее трех рабочих дней после подписания протокола заседания Комиссии:</w:t>
      </w:r>
    </w:p>
    <w:p w14:paraId="28AF3FC5" w14:textId="77777777" w:rsidR="00454A29" w:rsidRDefault="00454A29">
      <w:pPr>
        <w:pStyle w:val="ConsPlusNormal"/>
        <w:spacing w:before="220"/>
        <w:ind w:firstLine="540"/>
        <w:jc w:val="both"/>
      </w:pPr>
      <w:r>
        <w:t>утверждает приказом распределение субсидии;</w:t>
      </w:r>
    </w:p>
    <w:p w14:paraId="662E3E35" w14:textId="77777777" w:rsidR="00454A29" w:rsidRDefault="00454A29">
      <w:pPr>
        <w:pStyle w:val="ConsPlusNormal"/>
        <w:spacing w:before="220"/>
        <w:ind w:firstLine="540"/>
        <w:jc w:val="both"/>
      </w:pPr>
      <w:r>
        <w:t>разрабатывает проект постановления Правительства Республики Саха (Якутия) о распределении субсидий из государственного бюджета местным бюджетам Республики Саха (Якутия) и вносит его в Правительство Республики Саха (Якутия) в установленном порядке или направляет объектное распределение субсидий в Министерство экономики Республики Саха (Якутия) для включения в Инвестиционную программу Республики Саха (Якутия).</w:t>
      </w:r>
    </w:p>
    <w:p w14:paraId="171568B3" w14:textId="77777777" w:rsidR="00454A29" w:rsidRDefault="00454A29">
      <w:pPr>
        <w:pStyle w:val="ConsPlusNormal"/>
        <w:spacing w:before="220"/>
        <w:ind w:firstLine="540"/>
        <w:jc w:val="both"/>
      </w:pPr>
      <w:r>
        <w:t>8. Предоставление субсидий по итогам Отбора осуществляется на основании соглашения о предоставлении субсидии, заключаемого главным распорядителем бюджетных средств с муниципальным образованием (далее - соглашение).</w:t>
      </w:r>
    </w:p>
    <w:p w14:paraId="2B5E4EA8" w14:textId="77777777" w:rsidR="00454A29" w:rsidRDefault="00454A29">
      <w:pPr>
        <w:pStyle w:val="ConsPlusNormal"/>
        <w:spacing w:before="220"/>
        <w:ind w:firstLine="540"/>
        <w:jc w:val="both"/>
      </w:pPr>
      <w:r>
        <w:t>Форма соглашения утверждается главным распорядителем бюджетных средств в соответствии с типовой формой соглашения, утверждаемой Министерством финансов Республики Саха (Якутия).</w:t>
      </w:r>
    </w:p>
    <w:p w14:paraId="5BFC3C46" w14:textId="77777777" w:rsidR="00454A29" w:rsidRDefault="00454A29">
      <w:pPr>
        <w:pStyle w:val="ConsPlusNormal"/>
        <w:spacing w:before="220"/>
        <w:ind w:firstLine="540"/>
        <w:jc w:val="both"/>
      </w:pPr>
      <w:r>
        <w:t xml:space="preserve">9. При заключении соглашения муниципальное образование представляет главному распорядителю бюджетных средств отчет об исполнении условий предоставления субсидий, предусмотренных </w:t>
      </w:r>
      <w:hyperlink w:anchor="P34156" w:history="1">
        <w:r>
          <w:rPr>
            <w:color w:val="0000FF"/>
          </w:rPr>
          <w:t>пунктом 6</w:t>
        </w:r>
      </w:hyperlink>
      <w:r>
        <w:t xml:space="preserve"> настоящего Порядка.</w:t>
      </w:r>
    </w:p>
    <w:p w14:paraId="76A140F0" w14:textId="77777777" w:rsidR="00454A29" w:rsidRDefault="00454A29">
      <w:pPr>
        <w:pStyle w:val="ConsPlusNormal"/>
        <w:spacing w:before="220"/>
        <w:ind w:firstLine="540"/>
        <w:jc w:val="both"/>
      </w:pPr>
      <w:r>
        <w:t>10. В соглашении содержатся следующие положения:</w:t>
      </w:r>
    </w:p>
    <w:p w14:paraId="23452C87" w14:textId="77777777" w:rsidR="00454A29" w:rsidRDefault="00454A29">
      <w:pPr>
        <w:pStyle w:val="ConsPlusNormal"/>
        <w:spacing w:before="220"/>
        <w:ind w:firstLine="540"/>
        <w:jc w:val="both"/>
      </w:pPr>
      <w:r>
        <w:t>а) размер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реализацию соответствующих расходных обязательств;</w:t>
      </w:r>
    </w:p>
    <w:p w14:paraId="2FC9FBE7" w14:textId="77777777" w:rsidR="00454A29" w:rsidRDefault="00454A29">
      <w:pPr>
        <w:pStyle w:val="ConsPlusNormal"/>
        <w:spacing w:before="220"/>
        <w:ind w:firstLine="540"/>
        <w:jc w:val="both"/>
      </w:pPr>
      <w:bookmarkStart w:id="40" w:name="P34170"/>
      <w:bookmarkEnd w:id="40"/>
      <w:r>
        <w:t xml:space="preserve">б) значение показателя результативности использования субсидии, предусмотренного </w:t>
      </w:r>
      <w:hyperlink w:anchor="P34251" w:history="1">
        <w:r>
          <w:rPr>
            <w:color w:val="0000FF"/>
          </w:rPr>
          <w:t>пунктом 22</w:t>
        </w:r>
      </w:hyperlink>
      <w:r>
        <w:t xml:space="preserve"> настоящего Порядка, который должен соответствовать значению целевого показателя Программы, и обязательства муниципального образования по его достижению;</w:t>
      </w:r>
    </w:p>
    <w:p w14:paraId="72D1A3FB" w14:textId="77777777" w:rsidR="00454A29" w:rsidRDefault="00454A29">
      <w:pPr>
        <w:pStyle w:val="ConsPlusNormal"/>
        <w:spacing w:before="220"/>
        <w:ind w:firstLine="540"/>
        <w:jc w:val="both"/>
      </w:pPr>
      <w:r>
        <w:t>в)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 или гарантийное письмо;</w:t>
      </w:r>
    </w:p>
    <w:p w14:paraId="6F8CD6EE" w14:textId="77777777" w:rsidR="00454A29" w:rsidRDefault="00454A29">
      <w:pPr>
        <w:pStyle w:val="ConsPlusNormal"/>
        <w:spacing w:before="220"/>
        <w:ind w:firstLine="540"/>
        <w:jc w:val="both"/>
      </w:pPr>
      <w:r>
        <w:lastRenderedPageBreak/>
        <w:t>г) порядок и сроки представления отчетности об осуществлении расходов бюджета муниципального образования, а также о достижении значения показателя результативности использования субсидии;</w:t>
      </w:r>
    </w:p>
    <w:p w14:paraId="091E6751" w14:textId="77777777" w:rsidR="00454A29" w:rsidRDefault="00454A29">
      <w:pPr>
        <w:pStyle w:val="ConsPlusNormal"/>
        <w:spacing w:before="220"/>
        <w:ind w:firstLine="540"/>
        <w:jc w:val="both"/>
      </w:pPr>
      <w:r>
        <w:t>д) порядок осуществления контроля за выполнением муниципальным образованием обязательств, предусмотренных соглашением;</w:t>
      </w:r>
    </w:p>
    <w:p w14:paraId="6E6E55D4" w14:textId="77777777" w:rsidR="00454A29" w:rsidRDefault="00454A29">
      <w:pPr>
        <w:pStyle w:val="ConsPlusNormal"/>
        <w:spacing w:before="220"/>
        <w:ind w:firstLine="540"/>
        <w:jc w:val="both"/>
      </w:pPr>
      <w:r>
        <w:t>е) последствия недостижения муниципальным образованием установленных значений показателей результативности использования субсидии;</w:t>
      </w:r>
    </w:p>
    <w:p w14:paraId="19DFAA31" w14:textId="77777777" w:rsidR="00454A29" w:rsidRDefault="00454A29">
      <w:pPr>
        <w:pStyle w:val="ConsPlusNormal"/>
        <w:spacing w:before="220"/>
        <w:ind w:firstLine="540"/>
        <w:jc w:val="both"/>
      </w:pPr>
      <w:r>
        <w:t>ж) обязательство муниципального образования использовать в целях осуществления строительства и (или) приобретения (выкупа) зданий (пристроя к зданию) общеобразовательных организаций экономически эффективную проектную документацию повторного использования (при наличии такой документации), в случае отсутствия такой документации - типовую проектную документацию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w:t>
      </w:r>
    </w:p>
    <w:p w14:paraId="3490DD2A" w14:textId="77777777" w:rsidR="00454A29" w:rsidRDefault="00454A29">
      <w:pPr>
        <w:pStyle w:val="ConsPlusNormal"/>
        <w:spacing w:before="220"/>
        <w:ind w:firstLine="540"/>
        <w:jc w:val="both"/>
      </w:pPr>
      <w:r>
        <w:t xml:space="preserve">з) обязательство муниципального образования обеспечить создание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(пристроя к зданию) в соответствии с заявкой и прогнозируемой потребностью, предусмотренной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перечнем, указанным в </w:t>
      </w:r>
      <w:hyperlink w:anchor="P34151" w:history="1">
        <w:r>
          <w:rPr>
            <w:color w:val="0000FF"/>
          </w:rPr>
          <w:t>подпункте "г" пункта 5</w:t>
        </w:r>
      </w:hyperlink>
      <w:r>
        <w:t xml:space="preserve"> настоящего Порядка;</w:t>
      </w:r>
    </w:p>
    <w:p w14:paraId="3481530C" w14:textId="77777777" w:rsidR="00454A29" w:rsidRDefault="00454A29">
      <w:pPr>
        <w:pStyle w:val="ConsPlusNormal"/>
        <w:spacing w:before="220"/>
        <w:ind w:firstLine="540"/>
        <w:jc w:val="both"/>
      </w:pPr>
      <w:r>
        <w:t>и) обязательство муниципального образования направлять субсидию на проведение строительства, приобретение (выкуп), капитальный ремонт или реконструкцию не менее одного здания (пристроя к зданию) общеобразовательной организации в рамках Программы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14:paraId="605BD570" w14:textId="77777777" w:rsidR="00454A29" w:rsidRDefault="00454A29">
      <w:pPr>
        <w:pStyle w:val="ConsPlusNormal"/>
        <w:spacing w:before="220"/>
        <w:ind w:firstLine="540"/>
        <w:jc w:val="both"/>
      </w:pPr>
      <w:r>
        <w:t>к) обязательство муниципальных образований не направлять субсидию на строительство либо приобретение (выкуп) зданий (пристроя к зданию) общеобразовательных организаций, финансовое обеспечение которых осуществляется за счет иных средств государственного бюджета;</w:t>
      </w:r>
    </w:p>
    <w:p w14:paraId="3E1820F9" w14:textId="77777777" w:rsidR="00454A29" w:rsidRDefault="00454A29">
      <w:pPr>
        <w:pStyle w:val="ConsPlusNormal"/>
        <w:spacing w:before="220"/>
        <w:ind w:firstLine="540"/>
        <w:jc w:val="both"/>
      </w:pPr>
      <w:r>
        <w:t>л) ответственность сторон за нарушение условий соглашения;</w:t>
      </w:r>
    </w:p>
    <w:p w14:paraId="3EB5D0E4" w14:textId="77777777" w:rsidR="00454A29" w:rsidRDefault="00454A29">
      <w:pPr>
        <w:pStyle w:val="ConsPlusNormal"/>
        <w:spacing w:before="220"/>
        <w:ind w:firstLine="540"/>
        <w:jc w:val="both"/>
      </w:pPr>
      <w:r>
        <w:t>м) условие о вступлении в силу соглашения.</w:t>
      </w:r>
    </w:p>
    <w:p w14:paraId="601B8BE6" w14:textId="77777777" w:rsidR="00454A29" w:rsidRDefault="00454A29">
      <w:pPr>
        <w:pStyle w:val="ConsPlusNormal"/>
        <w:spacing w:before="220"/>
        <w:ind w:firstLine="540"/>
        <w:jc w:val="both"/>
      </w:pPr>
      <w:r>
        <w:t>11.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Саха (Якутия), а также в случае существенного (более чем на 20 процентов) сокращения размера субсидии.</w:t>
      </w:r>
    </w:p>
    <w:p w14:paraId="1BD2E4ED" w14:textId="77777777" w:rsidR="00454A29" w:rsidRDefault="00454A29">
      <w:pPr>
        <w:pStyle w:val="ConsPlusNormal"/>
        <w:spacing w:before="220"/>
        <w:ind w:firstLine="540"/>
        <w:jc w:val="both"/>
      </w:pPr>
      <w:r>
        <w:t>Допускается внесение в соглашение изменений, предусматривающих увеличение значения показателя результативности использования субсидии, без увеличения размера субсидии.</w:t>
      </w:r>
    </w:p>
    <w:p w14:paraId="04A520EF" w14:textId="77777777" w:rsidR="00454A29" w:rsidRDefault="00454A29">
      <w:pPr>
        <w:pStyle w:val="ConsPlusNormal"/>
        <w:spacing w:before="220"/>
        <w:ind w:firstLine="540"/>
        <w:jc w:val="both"/>
      </w:pPr>
      <w:r>
        <w:t>12. Методика распределения субсидий местным бюджетам.</w:t>
      </w:r>
    </w:p>
    <w:p w14:paraId="4DED1337" w14:textId="77777777" w:rsidR="00454A29" w:rsidRDefault="00454A29">
      <w:pPr>
        <w:pStyle w:val="ConsPlusNormal"/>
        <w:spacing w:before="220"/>
        <w:ind w:firstLine="540"/>
        <w:jc w:val="both"/>
      </w:pPr>
      <w:r>
        <w:lastRenderedPageBreak/>
        <w:t>Объем субсидии муниципальному образованию на софинансирование расходов, связанных со строительством здания и пристроя к зданиям общеобразовательных организаций, реконструкцией и приобретением (выкупом) зданий и сооружений, определяется по формуле:</w:t>
      </w:r>
    </w:p>
    <w:p w14:paraId="1B070D22" w14:textId="77777777" w:rsidR="00454A29" w:rsidRDefault="00454A29">
      <w:pPr>
        <w:pStyle w:val="ConsPlusNormal"/>
      </w:pPr>
    </w:p>
    <w:p w14:paraId="788F9742" w14:textId="77777777" w:rsidR="00454A29" w:rsidRDefault="00454A29">
      <w:pPr>
        <w:pStyle w:val="ConsPlusNormal"/>
        <w:jc w:val="center"/>
      </w:pPr>
      <w:r>
        <w:t>Сi = Pi - Vi, где:</w:t>
      </w:r>
    </w:p>
    <w:p w14:paraId="37AAAAE0" w14:textId="77777777" w:rsidR="00454A29" w:rsidRDefault="00454A29">
      <w:pPr>
        <w:pStyle w:val="ConsPlusNormal"/>
      </w:pPr>
    </w:p>
    <w:p w14:paraId="296A1C6F" w14:textId="77777777" w:rsidR="00454A29" w:rsidRDefault="00454A29">
      <w:pPr>
        <w:pStyle w:val="ConsPlusNormal"/>
        <w:ind w:firstLine="540"/>
        <w:jc w:val="both"/>
      </w:pPr>
      <w:r>
        <w:t>Сi - объем субсидии i-му муниципальному району (городскому округу); образованию;</w:t>
      </w:r>
    </w:p>
    <w:p w14:paraId="66D1859F" w14:textId="77777777" w:rsidR="00454A29" w:rsidRDefault="00454A29">
      <w:pPr>
        <w:pStyle w:val="ConsPlusNormal"/>
        <w:spacing w:before="220"/>
        <w:ind w:firstLine="540"/>
        <w:jc w:val="both"/>
      </w:pPr>
      <w:r>
        <w:t>Pi - стоимость объекта, определяемая по отчету об оценке в случае приобретения здания и по сметной стоимости в случае строительства и реконструкции, подтвержденной положительным заключением государственной экспертизы;</w:t>
      </w:r>
    </w:p>
    <w:p w14:paraId="0F00008D" w14:textId="77777777" w:rsidR="00454A29" w:rsidRDefault="00454A29">
      <w:pPr>
        <w:pStyle w:val="ConsPlusNormal"/>
        <w:spacing w:before="220"/>
        <w:ind w:firstLine="540"/>
        <w:jc w:val="both"/>
      </w:pPr>
      <w:r>
        <w:t>Vi - объем средств в местном бюджете на строительство либо приобретение или реконструкцию объекта.</w:t>
      </w:r>
    </w:p>
    <w:p w14:paraId="0E21E842" w14:textId="77777777" w:rsidR="00454A29" w:rsidRDefault="00454A29">
      <w:pPr>
        <w:pStyle w:val="ConsPlusNormal"/>
        <w:spacing w:before="220"/>
        <w:ind w:firstLine="540"/>
        <w:jc w:val="both"/>
      </w:pPr>
      <w:bookmarkStart w:id="41" w:name="P34191"/>
      <w:bookmarkEnd w:id="41"/>
      <w:r>
        <w:t>13. Объем субсидии муниципальному образованию на софинансирование расходов, связанных с проведением капитального ремонта, возвратом в систему общего образования зданий, используемых не по назначению, приобретением (выкупом) помещений, арендой зданий и помещений, в том числе оснащением новых мест в общеобразовательных организациях средствами обучения и воспитания, определяется по формуле:</w:t>
      </w:r>
    </w:p>
    <w:p w14:paraId="45D7E6F2" w14:textId="77777777" w:rsidR="00454A29" w:rsidRDefault="00454A29">
      <w:pPr>
        <w:pStyle w:val="ConsPlusNormal"/>
      </w:pPr>
    </w:p>
    <w:p w14:paraId="06C3A9E2" w14:textId="77777777" w:rsidR="00454A29" w:rsidRDefault="00454A29">
      <w:pPr>
        <w:pStyle w:val="ConsPlusNormal"/>
        <w:jc w:val="center"/>
      </w:pPr>
      <w:r>
        <w:t>С = См + СО, где:</w:t>
      </w:r>
    </w:p>
    <w:p w14:paraId="1B590005" w14:textId="77777777" w:rsidR="00454A29" w:rsidRDefault="00454A29">
      <w:pPr>
        <w:pStyle w:val="ConsPlusNormal"/>
      </w:pPr>
    </w:p>
    <w:p w14:paraId="40628D25" w14:textId="77777777" w:rsidR="00454A29" w:rsidRDefault="00454A29">
      <w:pPr>
        <w:pStyle w:val="ConsPlusNormal"/>
        <w:jc w:val="center"/>
      </w:pPr>
      <w:r>
        <w:t>См = З * (1 - (М - Мmin) / (Ммах - Мmin) * К</w:t>
      </w:r>
    </w:p>
    <w:p w14:paraId="1FCD894E" w14:textId="77777777" w:rsidR="00454A29" w:rsidRDefault="00454A29">
      <w:pPr>
        <w:pStyle w:val="ConsPlusNormal"/>
      </w:pPr>
    </w:p>
    <w:p w14:paraId="2B19260A" w14:textId="77777777" w:rsidR="00454A29" w:rsidRDefault="00454A29">
      <w:pPr>
        <w:pStyle w:val="ConsPlusNormal"/>
        <w:jc w:val="center"/>
      </w:pPr>
      <w:r w:rsidRPr="005D7449">
        <w:rPr>
          <w:position w:val="-11"/>
        </w:rPr>
        <w:pict w14:anchorId="10BE7A8E">
          <v:shape id="_x0000_i1031" style="width:225.65pt;height:21.95pt" coordsize="" o:spt="100" adj="0,,0" path="" filled="f" stroked="f">
            <v:stroke joinstyle="miter"/>
            <v:imagedata r:id="rId56" o:title="base_23801_77601_32774"/>
            <v:formulas/>
            <v:path o:connecttype="segments"/>
          </v:shape>
        </w:pict>
      </w:r>
    </w:p>
    <w:p w14:paraId="7ED52A04" w14:textId="77777777" w:rsidR="00454A29" w:rsidRDefault="00454A29">
      <w:pPr>
        <w:pStyle w:val="ConsPlusNormal"/>
      </w:pPr>
    </w:p>
    <w:p w14:paraId="52B9DA3B" w14:textId="77777777" w:rsidR="00454A29" w:rsidRDefault="00454A29">
      <w:pPr>
        <w:pStyle w:val="ConsPlusNormal"/>
        <w:ind w:firstLine="540"/>
        <w:jc w:val="both"/>
      </w:pPr>
      <w:r>
        <w:t>С - общий объем субсидии по объекту муниципального образования;</w:t>
      </w:r>
    </w:p>
    <w:p w14:paraId="3EF5F029" w14:textId="77777777" w:rsidR="00454A29" w:rsidRDefault="00454A29">
      <w:pPr>
        <w:pStyle w:val="ConsPlusNormal"/>
        <w:spacing w:before="220"/>
        <w:ind w:firstLine="540"/>
        <w:jc w:val="both"/>
      </w:pPr>
      <w:r>
        <w:t>См - объем субсидии по объекту образования с учетом стоимости одного места обучающегося по заявке муниципального образования;</w:t>
      </w:r>
    </w:p>
    <w:p w14:paraId="7C0B2FDB" w14:textId="77777777" w:rsidR="00454A29" w:rsidRDefault="00454A29">
      <w:pPr>
        <w:pStyle w:val="ConsPlusNormal"/>
        <w:spacing w:before="220"/>
        <w:ind w:firstLine="540"/>
        <w:jc w:val="both"/>
      </w:pPr>
      <w:r>
        <w:t>СО - объем субсидии по объекту муниципального образования при распределении остатка средств федеральной субсидии;</w:t>
      </w:r>
    </w:p>
    <w:p w14:paraId="5437D207" w14:textId="77777777" w:rsidR="00454A29" w:rsidRDefault="00454A29">
      <w:pPr>
        <w:pStyle w:val="ConsPlusNormal"/>
        <w:spacing w:before="220"/>
        <w:ind w:firstLine="540"/>
        <w:jc w:val="both"/>
      </w:pPr>
      <w:r>
        <w:t>З - стоимость объекта по заявке муниципального образования;</w:t>
      </w:r>
    </w:p>
    <w:p w14:paraId="7C813EEA" w14:textId="77777777" w:rsidR="00454A29" w:rsidRDefault="00454A29">
      <w:pPr>
        <w:pStyle w:val="ConsPlusNormal"/>
        <w:spacing w:before="220"/>
        <w:ind w:firstLine="540"/>
        <w:jc w:val="both"/>
      </w:pPr>
      <w:r>
        <w:t>М - стоимость одного места обучающегося по заявке муниципального образования;</w:t>
      </w:r>
    </w:p>
    <w:p w14:paraId="05579830" w14:textId="77777777" w:rsidR="00454A29" w:rsidRDefault="00454A29">
      <w:pPr>
        <w:pStyle w:val="ConsPlusNormal"/>
        <w:spacing w:before="220"/>
        <w:ind w:firstLine="540"/>
        <w:jc w:val="both"/>
      </w:pPr>
      <w:r>
        <w:t>Мmin - минимальная стоимость одного места объекта по заявке муниципального образования;</w:t>
      </w:r>
    </w:p>
    <w:p w14:paraId="0C76229C" w14:textId="77777777" w:rsidR="00454A29" w:rsidRDefault="00454A29">
      <w:pPr>
        <w:pStyle w:val="ConsPlusNormal"/>
        <w:spacing w:before="220"/>
        <w:ind w:firstLine="540"/>
        <w:jc w:val="both"/>
      </w:pPr>
      <w:r>
        <w:t>Ммах - максимальная стоимость одного места объекта заявке муниципального образования;</w:t>
      </w:r>
    </w:p>
    <w:p w14:paraId="2B1A84DA" w14:textId="77777777" w:rsidR="00454A29" w:rsidRDefault="00454A29">
      <w:pPr>
        <w:pStyle w:val="ConsPlusNormal"/>
        <w:spacing w:before="220"/>
        <w:ind w:firstLine="540"/>
        <w:jc w:val="both"/>
      </w:pPr>
      <w:r>
        <w:t>Ф - средства федеральной субсидии;</w:t>
      </w:r>
    </w:p>
    <w:p w14:paraId="3367724B" w14:textId="77777777" w:rsidR="00454A29" w:rsidRDefault="00454A29">
      <w:pPr>
        <w:pStyle w:val="ConsPlusNormal"/>
        <w:spacing w:before="220"/>
        <w:ind w:firstLine="540"/>
        <w:jc w:val="both"/>
      </w:pPr>
      <w:r w:rsidRPr="005D7449">
        <w:rPr>
          <w:position w:val="-11"/>
        </w:rPr>
        <w:pict w14:anchorId="7670621D">
          <v:shape id="_x0000_i1032" style="width:36.9pt;height:21.95pt" coordsize="" o:spt="100" adj="0,,0" path="" filled="f" stroked="f">
            <v:stroke joinstyle="miter"/>
            <v:imagedata r:id="rId57" o:title="base_23801_77601_32775"/>
            <v:formulas/>
            <v:path o:connecttype="segments"/>
          </v:shape>
        </w:pict>
      </w:r>
      <w:r>
        <w:t xml:space="preserve"> - объем субсидий муниципальным образованиям, распределенной с учетом стоимости одного места обучающегося;</w:t>
      </w:r>
    </w:p>
    <w:p w14:paraId="22986B95" w14:textId="77777777" w:rsidR="00454A29" w:rsidRDefault="00454A29">
      <w:pPr>
        <w:pStyle w:val="ConsPlusNormal"/>
        <w:spacing w:before="220"/>
        <w:ind w:firstLine="540"/>
        <w:jc w:val="both"/>
      </w:pPr>
      <w:r w:rsidRPr="005D7449">
        <w:rPr>
          <w:position w:val="-11"/>
        </w:rPr>
        <w:pict w14:anchorId="5070EC25">
          <v:shape id="_x0000_i1033" style="width:27.2pt;height:21.95pt" coordsize="" o:spt="100" adj="0,,0" path="" filled="f" stroked="f">
            <v:stroke joinstyle="miter"/>
            <v:imagedata r:id="rId58" o:title="base_23801_77601_32776"/>
            <v:formulas/>
            <v:path o:connecttype="segments"/>
          </v:shape>
        </w:pict>
      </w:r>
      <w:r>
        <w:t xml:space="preserve"> - общая сумма заявок муниципальных образований;</w:t>
      </w:r>
    </w:p>
    <w:p w14:paraId="4C63FFC8" w14:textId="77777777" w:rsidR="00454A29" w:rsidRDefault="00454A29">
      <w:pPr>
        <w:pStyle w:val="ConsPlusNormal"/>
        <w:spacing w:before="220"/>
        <w:ind w:firstLine="540"/>
        <w:jc w:val="both"/>
      </w:pPr>
      <w:r>
        <w:t xml:space="preserve">К = 0,4 - коэффициент, определяющий долю удовлетворения заявки в зависимости от стоимости одного места обучающегося по заявке муниципального образования. При применении коэффициента доля удовлетворения заявки в зависимости от стоимости одного места </w:t>
      </w:r>
      <w:r>
        <w:lastRenderedPageBreak/>
        <w:t>обучающегося варьируется от 100% до 60%.</w:t>
      </w:r>
    </w:p>
    <w:p w14:paraId="33586E87" w14:textId="77777777" w:rsidR="00454A29" w:rsidRDefault="00454A29">
      <w:pPr>
        <w:pStyle w:val="ConsPlusNormal"/>
        <w:spacing w:before="220"/>
        <w:ind w:firstLine="540"/>
        <w:jc w:val="both"/>
      </w:pPr>
      <w:bookmarkStart w:id="42" w:name="P34210"/>
      <w:bookmarkEnd w:id="42"/>
      <w:r>
        <w:t>14.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местном бюджете соответствующего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значений показателей результативности использования субсидии.</w:t>
      </w:r>
    </w:p>
    <w:p w14:paraId="629506D6" w14:textId="77777777" w:rsidR="00454A29" w:rsidRDefault="00454A29">
      <w:pPr>
        <w:pStyle w:val="ConsPlusNormal"/>
        <w:spacing w:before="220"/>
        <w:ind w:firstLine="540"/>
        <w:jc w:val="both"/>
      </w:pPr>
      <w:r>
        <w:t>Предельный уровень софинансирования расходных обязательств муниципальных образований из государственного бюджета Республики Саха (Якутия) на очередной финансовый год ежегодно утверждается распоряжением Правительства Республики Саха (Якутия).</w:t>
      </w:r>
    </w:p>
    <w:p w14:paraId="0A3418C3" w14:textId="77777777" w:rsidR="00454A29" w:rsidRDefault="00454A29">
      <w:pPr>
        <w:pStyle w:val="ConsPlusNormal"/>
        <w:spacing w:before="220"/>
        <w:ind w:firstLine="540"/>
        <w:jc w:val="both"/>
      </w:pPr>
      <w:r>
        <w:t>14.1. При предоставлении иных межбюджетных трансфертов из федерального бюджета предельный уровень софинансирования расходных обязательств муниципальных образований из государственного бюджета Республики Саха (Якутия) определяется исходя из необходимости достижения значений показателей результативности расходов бюджета муниципального образования, в целях финансового обеспечения которых предоставляется иной межбюджетный трансферт.</w:t>
      </w:r>
    </w:p>
    <w:p w14:paraId="0BA69C3A" w14:textId="77777777" w:rsidR="00454A29" w:rsidRDefault="00454A29">
      <w:pPr>
        <w:pStyle w:val="ConsPlusNormal"/>
        <w:spacing w:before="220"/>
        <w:ind w:firstLine="540"/>
        <w:jc w:val="both"/>
      </w:pPr>
      <w:r>
        <w:t xml:space="preserve">14.2. В случае если размер бюджетных ассигнований, предусмотренных в бюджете муниципальных образований на мероприятия, указанные в </w:t>
      </w:r>
      <w:hyperlink w:anchor="P34086" w:history="1">
        <w:r>
          <w:rPr>
            <w:color w:val="0000FF"/>
          </w:rPr>
          <w:t>пункте 2</w:t>
        </w:r>
      </w:hyperlink>
      <w:r>
        <w:t xml:space="preserve"> настоящего Порядка, не соответствует установленному для органов муниципальных образований уровню софинансирования, указанному в </w:t>
      </w:r>
      <w:hyperlink w:anchor="P34191" w:history="1">
        <w:r>
          <w:rPr>
            <w:color w:val="0000FF"/>
          </w:rPr>
          <w:t>пункте 13</w:t>
        </w:r>
      </w:hyperlink>
      <w:r>
        <w:t xml:space="preserve"> настоящего Порядка, то размер субсидии подлежит сокращению до соответствующего уровня софинансирования.</w:t>
      </w:r>
    </w:p>
    <w:p w14:paraId="11C41711" w14:textId="77777777" w:rsidR="00454A29" w:rsidRDefault="00454A29">
      <w:pPr>
        <w:pStyle w:val="ConsPlusNormal"/>
        <w:spacing w:before="220"/>
        <w:ind w:firstLine="540"/>
        <w:jc w:val="both"/>
      </w:pPr>
      <w:r>
        <w:t>14.3. Объем бюджетных ассигнований, предусмотренных в бюджете муниципального образования на софинансирование расходов на реализацию Программ, может быть увеличен муниципальным образованием, что не влечет за собой обязательств по увеличению размера предоставляемой субсидии.</w:t>
      </w:r>
    </w:p>
    <w:p w14:paraId="2AB5B148" w14:textId="77777777" w:rsidR="00454A29" w:rsidRDefault="00454A29">
      <w:pPr>
        <w:pStyle w:val="ConsPlusNormal"/>
        <w:spacing w:before="220"/>
        <w:ind w:firstLine="540"/>
        <w:jc w:val="both"/>
      </w:pPr>
      <w:r>
        <w:t xml:space="preserve">15. Предельный уровень софинансирования расходного обязательства муниципального образования, выраженный в процентах объема указанного расходного обязательства, устанавливается в соответствии с </w:t>
      </w:r>
      <w:hyperlink w:anchor="P34210" w:history="1">
        <w:r>
          <w:rPr>
            <w:color w:val="0000FF"/>
          </w:rPr>
          <w:t>пунктом 14</w:t>
        </w:r>
      </w:hyperlink>
      <w:r>
        <w:t xml:space="preserve"> настоящего Порядка.</w:t>
      </w:r>
    </w:p>
    <w:p w14:paraId="175EE349" w14:textId="77777777" w:rsidR="00454A29" w:rsidRDefault="00454A29">
      <w:pPr>
        <w:pStyle w:val="ConsPlusNormal"/>
        <w:spacing w:before="220"/>
        <w:ind w:firstLine="540"/>
        <w:jc w:val="both"/>
      </w:pPr>
      <w:r>
        <w:t>16. Перечисление средств субсидии в бюджет муниципального образования осуществляется на основании заявки муниципального образования о перечислении субсидии, предоставляемой главному распорядителю бюджетных средств. В такой заявке указываются необходимый объем средств в пределах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при формировании прогноза кассовых выплат по расходам государственного бюджета, необходимого для составления в установленном порядке кассового плана исполнения государственного бюджета.</w:t>
      </w:r>
    </w:p>
    <w:p w14:paraId="2E422FFA" w14:textId="77777777" w:rsidR="00454A29" w:rsidRDefault="00454A29">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w:t>
      </w:r>
    </w:p>
    <w:p w14:paraId="3C375619" w14:textId="77777777" w:rsidR="00454A29" w:rsidRDefault="00454A29">
      <w:pPr>
        <w:pStyle w:val="ConsPlusNormal"/>
        <w:spacing w:before="220"/>
        <w:ind w:firstLine="540"/>
        <w:jc w:val="both"/>
      </w:pPr>
      <w:r>
        <w:t>18. В случае если в текущем финансовом году муниципальными образованиями не достигнуты установленные соглашением значения показателей результативности предоставления субсидии, а также в случае невыполнения муниципальным образованием расходного обязательства, на исполнение которого предоставляется субсидия, и (или) в случае отсутствия потребности в субсидии в утвержденном на соответствующий финансовый год размере, размер субсидии подлежит сокращению.</w:t>
      </w:r>
    </w:p>
    <w:p w14:paraId="31EED37A" w14:textId="77777777" w:rsidR="00454A29" w:rsidRDefault="00454A29">
      <w:pPr>
        <w:pStyle w:val="ConsPlusNormal"/>
        <w:spacing w:before="220"/>
        <w:ind w:firstLine="540"/>
        <w:jc w:val="both"/>
      </w:pPr>
      <w:r>
        <w:t xml:space="preserve">19. Высвобождающиеся средства в случаях, указанных в пунктах 14.2 и 18 настоящего </w:t>
      </w:r>
      <w:r>
        <w:lastRenderedPageBreak/>
        <w:t>Порядка,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p w14:paraId="3233B35B" w14:textId="77777777" w:rsidR="00454A29" w:rsidRDefault="00454A29">
      <w:pPr>
        <w:pStyle w:val="ConsPlusNormal"/>
        <w:spacing w:before="220"/>
        <w:ind w:firstLine="540"/>
        <w:jc w:val="both"/>
      </w:pPr>
      <w: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34170" w:history="1">
        <w:r>
          <w:rPr>
            <w:color w:val="0000FF"/>
          </w:rPr>
          <w:t>подпунктом б) пункта 10</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субсидии подлежит сокращению.</w:t>
      </w:r>
    </w:p>
    <w:p w14:paraId="04748134" w14:textId="77777777" w:rsidR="00454A29" w:rsidRDefault="00454A29">
      <w:pPr>
        <w:pStyle w:val="ConsPlusNormal"/>
        <w:spacing w:before="220"/>
        <w:ind w:firstLine="540"/>
        <w:jc w:val="both"/>
      </w:pPr>
      <w:r>
        <w:t>Объем средств, подлежащий возврату из бюджета муниципального образования в государственный бюджет до 1 июня года следующего года предоставления субсидии (V</w:t>
      </w:r>
      <w:r>
        <w:rPr>
          <w:vertAlign w:val="subscript"/>
        </w:rPr>
        <w:t>возврата)</w:t>
      </w:r>
      <w:r>
        <w:t>, рассчитывается по формуле:</w:t>
      </w:r>
    </w:p>
    <w:p w14:paraId="048D64E3" w14:textId="77777777" w:rsidR="00454A29" w:rsidRDefault="00454A29">
      <w:pPr>
        <w:pStyle w:val="ConsPlusNormal"/>
      </w:pPr>
    </w:p>
    <w:p w14:paraId="3F640665" w14:textId="77777777" w:rsidR="00454A29" w:rsidRDefault="00454A29">
      <w:pPr>
        <w:pStyle w:val="ConsPlusNormal"/>
        <w:jc w:val="center"/>
      </w:pPr>
      <w:r>
        <w:t>V</w:t>
      </w:r>
      <w:r>
        <w:rPr>
          <w:vertAlign w:val="subscript"/>
        </w:rPr>
        <w:t>возврата</w:t>
      </w:r>
      <w:r>
        <w:t xml:space="preserve"> = (V</w:t>
      </w:r>
      <w:r>
        <w:rPr>
          <w:vertAlign w:val="subscript"/>
        </w:rPr>
        <w:t>субсидий</w:t>
      </w:r>
      <w:r>
        <w:t xml:space="preserve"> x k x m / n) x 0,1,</w:t>
      </w:r>
    </w:p>
    <w:p w14:paraId="7B5637CA" w14:textId="77777777" w:rsidR="00454A29" w:rsidRDefault="00454A29">
      <w:pPr>
        <w:pStyle w:val="ConsPlusNormal"/>
      </w:pPr>
    </w:p>
    <w:p w14:paraId="35A73E30" w14:textId="77777777" w:rsidR="00454A29" w:rsidRDefault="00454A29">
      <w:pPr>
        <w:pStyle w:val="ConsPlusNormal"/>
        <w:ind w:firstLine="540"/>
        <w:jc w:val="both"/>
      </w:pPr>
      <w:r>
        <w:t>где:</w:t>
      </w:r>
    </w:p>
    <w:p w14:paraId="6C099060" w14:textId="77777777" w:rsidR="00454A29" w:rsidRDefault="00454A29">
      <w:pPr>
        <w:pStyle w:val="ConsPlusNormal"/>
        <w:spacing w:before="220"/>
        <w:ind w:firstLine="540"/>
        <w:jc w:val="both"/>
      </w:pPr>
      <w:r>
        <w:t>V</w:t>
      </w:r>
      <w:r>
        <w:rPr>
          <w:vertAlign w:val="subscript"/>
        </w:rPr>
        <w:t>субсидий</w:t>
      </w:r>
      <w:r>
        <w:t xml:space="preserve"> - размер субсидии, предоставленной бюджету муниципального образования в отчетном финансовом году;</w:t>
      </w:r>
    </w:p>
    <w:p w14:paraId="45F4A404" w14:textId="77777777" w:rsidR="00454A29" w:rsidRDefault="00454A29">
      <w:pPr>
        <w:pStyle w:val="ConsPlusNormal"/>
        <w:spacing w:before="220"/>
        <w:ind w:firstLine="540"/>
        <w:jc w:val="both"/>
      </w:pPr>
      <w:r>
        <w:t>k - коэффициент возврата субсидии;</w:t>
      </w:r>
    </w:p>
    <w:p w14:paraId="55451215" w14:textId="77777777" w:rsidR="00454A29" w:rsidRDefault="00454A29">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55D3874B" w14:textId="77777777" w:rsidR="00454A29" w:rsidRDefault="00454A29">
      <w:pPr>
        <w:pStyle w:val="ConsPlusNormal"/>
        <w:spacing w:before="220"/>
        <w:ind w:firstLine="540"/>
        <w:jc w:val="both"/>
      </w:pPr>
      <w:r>
        <w:t>n - общее количество показателей результативности использования субсидии.</w:t>
      </w:r>
    </w:p>
    <w:p w14:paraId="2EFA3604" w14:textId="77777777" w:rsidR="00454A29" w:rsidRDefault="00454A29">
      <w:pPr>
        <w:pStyle w:val="ConsPlusNormal"/>
        <w:spacing w:before="220"/>
        <w:ind w:firstLine="540"/>
        <w:jc w:val="both"/>
      </w:pPr>
      <w:r>
        <w:t>Коэффициент возврата субсидии (k) определяется по формуле:</w:t>
      </w:r>
    </w:p>
    <w:p w14:paraId="4FF71543" w14:textId="77777777" w:rsidR="00454A29" w:rsidRDefault="00454A29">
      <w:pPr>
        <w:pStyle w:val="ConsPlusNormal"/>
      </w:pPr>
    </w:p>
    <w:p w14:paraId="54F79510" w14:textId="77777777" w:rsidR="00454A29" w:rsidRDefault="00454A29">
      <w:pPr>
        <w:pStyle w:val="ConsPlusNormal"/>
        <w:jc w:val="center"/>
      </w:pPr>
      <w:r>
        <w:t>k = SUM D</w:t>
      </w:r>
      <w:r>
        <w:rPr>
          <w:vertAlign w:val="subscript"/>
        </w:rPr>
        <w:t>i</w:t>
      </w:r>
      <w:r>
        <w:t xml:space="preserve"> / m,</w:t>
      </w:r>
    </w:p>
    <w:p w14:paraId="391E6BF7" w14:textId="77777777" w:rsidR="00454A29" w:rsidRDefault="00454A29">
      <w:pPr>
        <w:pStyle w:val="ConsPlusNormal"/>
      </w:pPr>
    </w:p>
    <w:p w14:paraId="5F20C4CF" w14:textId="77777777" w:rsidR="00454A29" w:rsidRDefault="00454A29">
      <w:pPr>
        <w:pStyle w:val="ConsPlusNormal"/>
        <w:ind w:firstLine="540"/>
        <w:jc w:val="both"/>
      </w:pPr>
      <w:r>
        <w:t>где:</w:t>
      </w:r>
    </w:p>
    <w:p w14:paraId="072B307D" w14:textId="77777777" w:rsidR="00454A29" w:rsidRDefault="00454A29">
      <w:pPr>
        <w:pStyle w:val="ConsPlusNormal"/>
        <w:spacing w:before="220"/>
        <w:ind w:firstLine="540"/>
        <w:jc w:val="both"/>
      </w:pPr>
      <w:r>
        <w:t>Di - индекс, отражающий уровень недостижения i-го показателя результативности использования субсидии.</w:t>
      </w:r>
    </w:p>
    <w:p w14:paraId="1EEFE57B" w14:textId="77777777" w:rsidR="00454A29" w:rsidRDefault="00454A29">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744370C1" w14:textId="77777777" w:rsidR="00454A29" w:rsidRDefault="00454A29">
      <w:pPr>
        <w:pStyle w:val="ConsPlusNormal"/>
        <w:spacing w:before="220"/>
        <w:ind w:firstLine="540"/>
        <w:jc w:val="both"/>
      </w:pPr>
      <w:r>
        <w:t>Индекс, отражающий уровень недостижения i-го показателя результативности использования субсидии (Di), определяется:</w:t>
      </w:r>
    </w:p>
    <w:p w14:paraId="5A498A7B" w14:textId="77777777" w:rsidR="00454A29" w:rsidRDefault="00454A29">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52527FF4" w14:textId="77777777" w:rsidR="00454A29" w:rsidRDefault="00454A29">
      <w:pPr>
        <w:pStyle w:val="ConsPlusNormal"/>
      </w:pPr>
    </w:p>
    <w:p w14:paraId="4203835D" w14:textId="77777777" w:rsidR="00454A29" w:rsidRDefault="00454A29">
      <w:pPr>
        <w:pStyle w:val="ConsPlusNormal"/>
        <w:jc w:val="center"/>
      </w:pPr>
      <w:r>
        <w:t>D</w:t>
      </w:r>
      <w:r>
        <w:rPr>
          <w:vertAlign w:val="subscript"/>
        </w:rPr>
        <w:t>i</w:t>
      </w:r>
      <w:r>
        <w:t xml:space="preserve"> = 1 - T</w:t>
      </w:r>
      <w:r>
        <w:rPr>
          <w:vertAlign w:val="subscript"/>
        </w:rPr>
        <w:t>i</w:t>
      </w:r>
      <w:r>
        <w:t xml:space="preserve"> / S</w:t>
      </w:r>
      <w:r>
        <w:rPr>
          <w:vertAlign w:val="subscript"/>
        </w:rPr>
        <w:t>i,</w:t>
      </w:r>
    </w:p>
    <w:p w14:paraId="1BD36AD1" w14:textId="77777777" w:rsidR="00454A29" w:rsidRDefault="00454A29">
      <w:pPr>
        <w:pStyle w:val="ConsPlusNormal"/>
      </w:pPr>
    </w:p>
    <w:p w14:paraId="18B59A36" w14:textId="77777777" w:rsidR="00454A29" w:rsidRDefault="00454A29">
      <w:pPr>
        <w:pStyle w:val="ConsPlusNormal"/>
        <w:ind w:firstLine="540"/>
        <w:jc w:val="both"/>
      </w:pPr>
      <w:r>
        <w:t>где:</w:t>
      </w:r>
    </w:p>
    <w:p w14:paraId="09E9CBA2" w14:textId="77777777" w:rsidR="00454A29" w:rsidRDefault="00454A29">
      <w:pPr>
        <w:pStyle w:val="ConsPlusNormal"/>
        <w:spacing w:before="220"/>
        <w:ind w:firstLine="540"/>
        <w:jc w:val="both"/>
      </w:pPr>
      <w:r>
        <w:t>Ti - фактически достигнутое значение i-го показателя результативности использования субсидии на отчетную дату;</w:t>
      </w:r>
    </w:p>
    <w:p w14:paraId="6935BA4D" w14:textId="77777777" w:rsidR="00454A29" w:rsidRDefault="00454A29">
      <w:pPr>
        <w:pStyle w:val="ConsPlusNormal"/>
        <w:spacing w:before="220"/>
        <w:ind w:firstLine="540"/>
        <w:jc w:val="both"/>
      </w:pPr>
      <w:r>
        <w:lastRenderedPageBreak/>
        <w:t>Si - плановое значение i-го показателя результативности использования субсидии, установленное соглашением;</w:t>
      </w:r>
    </w:p>
    <w:p w14:paraId="4D38FB81" w14:textId="77777777" w:rsidR="00454A29" w:rsidRDefault="00454A29">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1E157468" w14:textId="77777777" w:rsidR="00454A29" w:rsidRDefault="00454A29">
      <w:pPr>
        <w:pStyle w:val="ConsPlusNormal"/>
      </w:pPr>
    </w:p>
    <w:p w14:paraId="381F8CE1" w14:textId="77777777" w:rsidR="00454A29" w:rsidRDefault="00454A29">
      <w:pPr>
        <w:pStyle w:val="ConsPlusNormal"/>
        <w:jc w:val="center"/>
      </w:pPr>
      <w:r>
        <w:t>D</w:t>
      </w:r>
      <w:r>
        <w:rPr>
          <w:vertAlign w:val="subscript"/>
        </w:rPr>
        <w:t>i</w:t>
      </w:r>
      <w:r>
        <w:t xml:space="preserve"> = 1 - S</w:t>
      </w:r>
      <w:r>
        <w:rPr>
          <w:vertAlign w:val="subscript"/>
        </w:rPr>
        <w:t>i</w:t>
      </w:r>
      <w:r>
        <w:t xml:space="preserve"> / T</w:t>
      </w:r>
      <w:r>
        <w:rPr>
          <w:vertAlign w:val="subscript"/>
        </w:rPr>
        <w:t>i,</w:t>
      </w:r>
    </w:p>
    <w:p w14:paraId="2D6C5813" w14:textId="77777777" w:rsidR="00454A29" w:rsidRDefault="00454A29">
      <w:pPr>
        <w:pStyle w:val="ConsPlusNormal"/>
      </w:pPr>
    </w:p>
    <w:p w14:paraId="307B9D8E" w14:textId="77777777" w:rsidR="00454A29" w:rsidRDefault="00454A29">
      <w:pPr>
        <w:pStyle w:val="ConsPlusNormal"/>
        <w:ind w:firstLine="540"/>
        <w:jc w:val="both"/>
      </w:pPr>
      <w:r>
        <w:t>Основанием для освобождения муниципальных образований от применения мер ответственности, предусмотренных абзацем первым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соглашением.</w:t>
      </w:r>
    </w:p>
    <w:p w14:paraId="11582376" w14:textId="77777777" w:rsidR="00454A29" w:rsidRDefault="00454A29">
      <w:pPr>
        <w:pStyle w:val="ConsPlusNormal"/>
        <w:spacing w:before="220"/>
        <w:ind w:firstLine="540"/>
        <w:jc w:val="both"/>
      </w:pPr>
      <w:r>
        <w:t>21. Операции по кассовым расходам бюджетов муниципальных образований,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законом.</w:t>
      </w:r>
    </w:p>
    <w:p w14:paraId="7D55154B" w14:textId="77777777" w:rsidR="00454A29" w:rsidRDefault="00454A29">
      <w:pPr>
        <w:pStyle w:val="ConsPlusNormal"/>
        <w:spacing w:before="220"/>
        <w:ind w:firstLine="540"/>
        <w:jc w:val="both"/>
      </w:pPr>
      <w:bookmarkStart w:id="43" w:name="P34251"/>
      <w:bookmarkEnd w:id="43"/>
      <w:r>
        <w:t>22. Оценка эффективности использования субсидии, источником финансового обеспечения которых является субсидия, осуществляется главным распорядителем бюджетных средств на основании сравнения планируемых и достигнутых значений показателя результативности использования субсидии муниципальным образованием, касающегося количества новых мест в общеобразовательных организациях муниципальных образований, введенных путем реализации муниципальных программ в рамках софинансирования за счет средств государственного бюджета.</w:t>
      </w:r>
    </w:p>
    <w:p w14:paraId="441EDDA0" w14:textId="77777777" w:rsidR="00454A29" w:rsidRDefault="00454A29">
      <w:pPr>
        <w:pStyle w:val="ConsPlusNormal"/>
        <w:spacing w:before="220"/>
        <w:ind w:firstLine="540"/>
        <w:jc w:val="both"/>
      </w:pPr>
      <w:r>
        <w:t>Оценка эффективности осуществления расходов производится на основании следующих показателей результативности использования субсидий:</w:t>
      </w:r>
    </w:p>
    <w:p w14:paraId="6F2914DF" w14:textId="77777777" w:rsidR="00454A29" w:rsidRDefault="00454A29">
      <w:pPr>
        <w:pStyle w:val="ConsPlusNormal"/>
        <w:spacing w:before="220"/>
        <w:ind w:firstLine="540"/>
        <w:jc w:val="both"/>
      </w:pPr>
      <w:r>
        <w:t>а) удельный вес численности обучающихся, занимающихся в первую смену, в общей численности обучающихся общеобразовательных организаций;</w:t>
      </w:r>
    </w:p>
    <w:p w14:paraId="16128F5F" w14:textId="77777777" w:rsidR="00454A29" w:rsidRDefault="00454A29">
      <w:pPr>
        <w:pStyle w:val="ConsPlusNormal"/>
        <w:spacing w:before="220"/>
        <w:ind w:firstLine="540"/>
        <w:jc w:val="both"/>
      </w:pPr>
      <w:r>
        <w:t>б) количество новых мест в общеобразовательных организациях Республики Саха (Якутия), из них количество созданных мест в построенном, приобретенном (выкупленном), реконструированном и отремонтированном здании общеобразовательной организации.</w:t>
      </w:r>
    </w:p>
    <w:p w14:paraId="6112F9C4" w14:textId="77777777" w:rsidR="00454A29" w:rsidRDefault="00454A29">
      <w:pPr>
        <w:pStyle w:val="ConsPlusNormal"/>
        <w:spacing w:before="220"/>
        <w:ind w:firstLine="540"/>
        <w:jc w:val="both"/>
      </w:pPr>
      <w:r>
        <w:t>23.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3004AE45" w14:textId="77777777" w:rsidR="00454A29" w:rsidRDefault="00454A29">
      <w:pPr>
        <w:pStyle w:val="ConsPlusNormal"/>
        <w:spacing w:before="220"/>
        <w:ind w:firstLine="540"/>
        <w:jc w:val="both"/>
      </w:pPr>
      <w:r>
        <w:t>24. В случае нецелевого использования субсидии и (или) нарушения муниципальным образованием условий ее предоставления, установленных настоящим Порядком и соглашением, в том числе невозврата муниципальным образованием средств в государственный бюджет, к нему применяются бюджетные меры принуждения, предусмотренные бюджетным законодательством Российской Федерации.</w:t>
      </w:r>
    </w:p>
    <w:p w14:paraId="3E9E4D48" w14:textId="77777777" w:rsidR="00454A29" w:rsidRDefault="00454A29">
      <w:pPr>
        <w:pStyle w:val="ConsPlusNormal"/>
        <w:spacing w:before="220"/>
        <w:ind w:firstLine="540"/>
        <w:jc w:val="both"/>
      </w:pPr>
      <w:r>
        <w:t>25. Ответственность за достоверность представляемых главному распорядителю бюджетных средств сведений и соблюдение условий, установленных настоящими Правилами и соглашением, возлагается на муниципальные образования.</w:t>
      </w:r>
    </w:p>
    <w:p w14:paraId="5A07902E" w14:textId="77777777" w:rsidR="00454A29" w:rsidRDefault="00454A29">
      <w:pPr>
        <w:pStyle w:val="ConsPlusNormal"/>
        <w:spacing w:before="220"/>
        <w:ind w:firstLine="540"/>
        <w:jc w:val="both"/>
      </w:pPr>
      <w:r>
        <w:t>26. Контроль за соблюдением муниципальными образованиями условий предоставления субсидий, установленных настоящим Порядком и соглашениями, осуществляется главным распорядителем бюджетных средств и органами внутреннего государственного финансового контроля Республики Саха (Якутия).</w:t>
      </w:r>
    </w:p>
    <w:p w14:paraId="6F332A6C" w14:textId="77777777" w:rsidR="00454A29" w:rsidRDefault="00454A29">
      <w:pPr>
        <w:pStyle w:val="ConsPlusNormal"/>
      </w:pPr>
    </w:p>
    <w:p w14:paraId="18EF58CA" w14:textId="77777777" w:rsidR="00454A29" w:rsidRDefault="00454A29">
      <w:pPr>
        <w:pStyle w:val="ConsPlusNormal"/>
      </w:pPr>
    </w:p>
    <w:p w14:paraId="312DF20F" w14:textId="77777777" w:rsidR="00454A29" w:rsidRDefault="00454A29">
      <w:pPr>
        <w:pStyle w:val="ConsPlusNormal"/>
      </w:pPr>
    </w:p>
    <w:p w14:paraId="4AABF786" w14:textId="77777777" w:rsidR="00454A29" w:rsidRDefault="00454A29">
      <w:pPr>
        <w:pStyle w:val="ConsPlusNormal"/>
      </w:pPr>
    </w:p>
    <w:p w14:paraId="4243B3DC" w14:textId="77777777" w:rsidR="00454A29" w:rsidRDefault="00454A29">
      <w:pPr>
        <w:pStyle w:val="ConsPlusNormal"/>
      </w:pPr>
    </w:p>
    <w:p w14:paraId="3A57D324" w14:textId="77777777" w:rsidR="00454A29" w:rsidRDefault="00454A29">
      <w:pPr>
        <w:pStyle w:val="ConsPlusNormal"/>
        <w:jc w:val="right"/>
        <w:outlineLvl w:val="1"/>
      </w:pPr>
      <w:r>
        <w:t>Приложение N 13</w:t>
      </w:r>
    </w:p>
    <w:p w14:paraId="564BEC36" w14:textId="77777777" w:rsidR="00454A29" w:rsidRDefault="00454A29">
      <w:pPr>
        <w:pStyle w:val="ConsPlusNormal"/>
        <w:jc w:val="right"/>
      </w:pPr>
      <w:r>
        <w:t>к государственной программе</w:t>
      </w:r>
    </w:p>
    <w:p w14:paraId="39B1AF2E" w14:textId="77777777" w:rsidR="00454A29" w:rsidRDefault="00454A29">
      <w:pPr>
        <w:pStyle w:val="ConsPlusNormal"/>
        <w:jc w:val="right"/>
      </w:pPr>
      <w:r>
        <w:t>Республики Саха (Якутия)</w:t>
      </w:r>
    </w:p>
    <w:p w14:paraId="709A5033" w14:textId="77777777" w:rsidR="00454A29" w:rsidRDefault="00454A29">
      <w:pPr>
        <w:pStyle w:val="ConsPlusNormal"/>
        <w:jc w:val="right"/>
      </w:pPr>
      <w:r>
        <w:t>"Развитие образования</w:t>
      </w:r>
    </w:p>
    <w:p w14:paraId="6B03A238" w14:textId="77777777" w:rsidR="00454A29" w:rsidRDefault="00454A29">
      <w:pPr>
        <w:pStyle w:val="ConsPlusNormal"/>
        <w:jc w:val="right"/>
      </w:pPr>
      <w:r>
        <w:t>Республики Саха (Якутия)</w:t>
      </w:r>
    </w:p>
    <w:p w14:paraId="05733B8E" w14:textId="77777777" w:rsidR="00454A29" w:rsidRDefault="00454A29">
      <w:pPr>
        <w:pStyle w:val="ConsPlusNormal"/>
        <w:jc w:val="right"/>
      </w:pPr>
      <w:r>
        <w:t>на 2020 - 2024 годы и на плановый</w:t>
      </w:r>
    </w:p>
    <w:p w14:paraId="30C057C8" w14:textId="77777777" w:rsidR="00454A29" w:rsidRDefault="00454A29">
      <w:pPr>
        <w:pStyle w:val="ConsPlusNormal"/>
        <w:jc w:val="right"/>
      </w:pPr>
      <w:r>
        <w:t>период до 2026 года"</w:t>
      </w:r>
    </w:p>
    <w:p w14:paraId="5DF4590A" w14:textId="77777777" w:rsidR="00454A29" w:rsidRDefault="00454A29">
      <w:pPr>
        <w:pStyle w:val="ConsPlusNormal"/>
      </w:pPr>
    </w:p>
    <w:p w14:paraId="0208B61E" w14:textId="77777777" w:rsidR="00454A29" w:rsidRDefault="00454A29">
      <w:pPr>
        <w:pStyle w:val="ConsPlusTitle"/>
        <w:jc w:val="center"/>
      </w:pPr>
      <w:bookmarkStart w:id="44" w:name="P34272"/>
      <w:bookmarkEnd w:id="44"/>
      <w:r>
        <w:t>ПОРЯДОК</w:t>
      </w:r>
    </w:p>
    <w:p w14:paraId="233F5C71" w14:textId="77777777" w:rsidR="00454A29" w:rsidRDefault="00454A29">
      <w:pPr>
        <w:pStyle w:val="ConsPlusTitle"/>
        <w:jc w:val="center"/>
      </w:pPr>
      <w:r>
        <w:t>ПРЕДОСТАВЛЕНИЯ И РАСПРЕДЕЛЕНИЯ СУБСИДИЙ ИЗ ГОСУДАРСТВЕННОГО</w:t>
      </w:r>
    </w:p>
    <w:p w14:paraId="50CA0FBA" w14:textId="77777777" w:rsidR="00454A29" w:rsidRDefault="00454A29">
      <w:pPr>
        <w:pStyle w:val="ConsPlusTitle"/>
        <w:jc w:val="center"/>
      </w:pPr>
      <w:r>
        <w:t>БЮДЖЕТА РЕСПУБЛИКИ САХА (ЯКУТИЯ) МЕСТНЫМ БЮДЖЕТАМ</w:t>
      </w:r>
    </w:p>
    <w:p w14:paraId="72CA37A5" w14:textId="77777777" w:rsidR="00454A29" w:rsidRDefault="00454A29">
      <w:pPr>
        <w:pStyle w:val="ConsPlusTitle"/>
        <w:jc w:val="center"/>
      </w:pPr>
      <w:r>
        <w:t>НА СОЗДАНИЕ В ОБЩЕОБРАЗОВАТЕЛЬНЫХ ОРГАНИЗАЦИЯХ,</w:t>
      </w:r>
    </w:p>
    <w:p w14:paraId="52C5B66B" w14:textId="77777777" w:rsidR="00454A29" w:rsidRDefault="00454A29">
      <w:pPr>
        <w:pStyle w:val="ConsPlusTitle"/>
        <w:jc w:val="center"/>
      </w:pPr>
      <w:r>
        <w:t>РАСПОЛОЖЕННЫХ В СЕЛЬСКОЙ МЕСТНОСТИ И МАЛЫХ ГОРОДАХ,</w:t>
      </w:r>
    </w:p>
    <w:p w14:paraId="05F3FBEB" w14:textId="77777777" w:rsidR="00454A29" w:rsidRDefault="00454A29">
      <w:pPr>
        <w:pStyle w:val="ConsPlusTitle"/>
        <w:jc w:val="center"/>
      </w:pPr>
      <w:r>
        <w:t>УСЛОВИЙ ДЛЯ ЗАНЯТИЙ ФИЗИЧЕСКОЙ КУЛЬТУРОЙ И СПОРТОМ</w:t>
      </w:r>
    </w:p>
    <w:p w14:paraId="7C142010" w14:textId="77777777" w:rsidR="00454A29" w:rsidRDefault="00454A29">
      <w:pPr>
        <w:pStyle w:val="ConsPlusTitle"/>
        <w:jc w:val="center"/>
      </w:pPr>
      <w:r>
        <w:t>В 2020 - 2022 ГОДАХ В РАМКАХ РЕАЛИЗАЦИИ ФЕДЕРАЛЬНОГО ПРОЕКТА</w:t>
      </w:r>
    </w:p>
    <w:p w14:paraId="2B1F00C5" w14:textId="77777777" w:rsidR="00454A29" w:rsidRDefault="00454A29">
      <w:pPr>
        <w:pStyle w:val="ConsPlusTitle"/>
        <w:jc w:val="center"/>
      </w:pPr>
      <w:r>
        <w:t>"УСПЕХ КАЖДОГО РЕБЕНКА" НАЦИОНАЛЬНОГО ПРОЕКТА "ОБРАЗОВАНИЕ"</w:t>
      </w:r>
    </w:p>
    <w:p w14:paraId="5F6D6240" w14:textId="77777777" w:rsidR="00454A29" w:rsidRDefault="00454A29">
      <w:pPr>
        <w:pStyle w:val="ConsPlusNormal"/>
      </w:pPr>
    </w:p>
    <w:p w14:paraId="025F258B" w14:textId="77777777" w:rsidR="00454A29" w:rsidRDefault="00454A29">
      <w:pPr>
        <w:pStyle w:val="ConsPlusNormal"/>
        <w:ind w:firstLine="540"/>
        <w:jc w:val="both"/>
      </w:pPr>
      <w:r>
        <w:t>1. Настоящий Порядок устанавливает цель, условия, критерии отбора муниципальных образований для предоставления и распределения из государственного бюджета Республики Саха (Якутия) субсидий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2020 - 2022 годах в рамках реализации федерального проекта "Успех каждого ребенка" национального проекта "Образование" (далее - субсидия).</w:t>
      </w:r>
    </w:p>
    <w:p w14:paraId="172FF561" w14:textId="77777777" w:rsidR="00454A29" w:rsidRDefault="00454A29">
      <w:pPr>
        <w:pStyle w:val="ConsPlusNormal"/>
        <w:spacing w:before="220"/>
        <w:ind w:firstLine="540"/>
        <w:jc w:val="both"/>
      </w:pPr>
      <w:bookmarkStart w:id="45" w:name="P34282"/>
      <w:bookmarkEnd w:id="45"/>
      <w:r>
        <w:t>2. Под сельской местностью понимаются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w:t>
      </w:r>
    </w:p>
    <w:p w14:paraId="25E54057" w14:textId="77777777" w:rsidR="00454A29" w:rsidRDefault="00454A29">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14:paraId="66E219A0" w14:textId="77777777" w:rsidR="00454A29" w:rsidRDefault="00454A29">
      <w:pPr>
        <w:pStyle w:val="ConsPlusNormal"/>
        <w:spacing w:before="220"/>
        <w:ind w:firstLine="540"/>
        <w:jc w:val="both"/>
      </w:pPr>
      <w:r>
        <w:t>3. Субсидии не могут быть направлены на мероприятия, проводимые в общеобразовательных организациях, в которых ранее созданы условия для занятия физической культурой и спортом за счет средств субсидии из государственного бюджета Республики Саха (Якутия) субсидий местным бюджетам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начиная с 2014 года.</w:t>
      </w:r>
    </w:p>
    <w:p w14:paraId="0AFE0F08" w14:textId="77777777" w:rsidR="00454A29" w:rsidRDefault="00454A29">
      <w:pPr>
        <w:pStyle w:val="ConsPlusNormal"/>
        <w:spacing w:before="220"/>
        <w:ind w:firstLine="540"/>
        <w:jc w:val="both"/>
      </w:pPr>
      <w:bookmarkStart w:id="46" w:name="P34285"/>
      <w:bookmarkEnd w:id="46"/>
      <w:r>
        <w:t>4. Субсидии предоставляются в целях софинансирования расходных обязательств органов местного самоуправления муниципального района (далее - муниципальное образование) по следующим направлениям:</w:t>
      </w:r>
    </w:p>
    <w:p w14:paraId="4F935BB4" w14:textId="77777777" w:rsidR="00454A29" w:rsidRDefault="00454A29">
      <w:pPr>
        <w:pStyle w:val="ConsPlusNormal"/>
        <w:spacing w:before="220"/>
        <w:ind w:firstLine="540"/>
        <w:jc w:val="both"/>
      </w:pPr>
      <w:r>
        <w:t>а) на ремонт спортивного зала;</w:t>
      </w:r>
    </w:p>
    <w:p w14:paraId="6331F243" w14:textId="77777777" w:rsidR="00454A29" w:rsidRDefault="00454A29">
      <w:pPr>
        <w:pStyle w:val="ConsPlusNormal"/>
        <w:spacing w:before="220"/>
        <w:ind w:firstLine="540"/>
        <w:jc w:val="both"/>
      </w:pPr>
      <w:r>
        <w:t>б) на перепрофилирование имеющейся аудитории под спортивный зал для занятий физической культурой и спортом.</w:t>
      </w:r>
    </w:p>
    <w:p w14:paraId="0E27E76F" w14:textId="77777777" w:rsidR="00454A29" w:rsidRDefault="00454A29">
      <w:pPr>
        <w:pStyle w:val="ConsPlusNormal"/>
        <w:spacing w:before="220"/>
        <w:ind w:firstLine="540"/>
        <w:jc w:val="both"/>
      </w:pPr>
      <w:bookmarkStart w:id="47" w:name="P34288"/>
      <w:bookmarkEnd w:id="47"/>
      <w:r>
        <w:t>5. Условиями предоставления субсидий являются:</w:t>
      </w:r>
    </w:p>
    <w:p w14:paraId="2BE640CD" w14:textId="77777777" w:rsidR="00454A29" w:rsidRDefault="00454A29">
      <w:pPr>
        <w:pStyle w:val="ConsPlusNormal"/>
        <w:spacing w:before="220"/>
        <w:ind w:firstLine="540"/>
        <w:jc w:val="both"/>
      </w:pPr>
      <w:r>
        <w:lastRenderedPageBreak/>
        <w:t>а)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которого предоставляется субсидия;</w:t>
      </w:r>
    </w:p>
    <w:p w14:paraId="3B50CA25" w14:textId="77777777" w:rsidR="00454A29" w:rsidRDefault="00454A29">
      <w:pPr>
        <w:pStyle w:val="ConsPlusNormal"/>
        <w:spacing w:before="220"/>
        <w:ind w:firstLine="540"/>
        <w:jc w:val="both"/>
      </w:pPr>
      <w:r>
        <w:t>б) наличие соглашения с Министерством образования и науки Республики Саха (Якутия) о предоставлении и распределении из государственного бюджета Республики Саха (Якутия) субсидии бюджету муниципального района (городского округа), предусматривающего обязательства муниципального района (городского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14:paraId="2567C6D5" w14:textId="77777777" w:rsidR="00454A29" w:rsidRDefault="00454A29">
      <w:pPr>
        <w:pStyle w:val="ConsPlusNormal"/>
        <w:spacing w:before="220"/>
        <w:ind w:firstLine="540"/>
        <w:jc w:val="both"/>
      </w:pPr>
      <w:r>
        <w:t>в) наличие в муниципальном образовании утвержденного комплекса мероприятий по ремонту спортивного зала или перепрофилированию имеющейся аудитории под спортивный зал для занятий физической культурой и спортом.</w:t>
      </w:r>
    </w:p>
    <w:p w14:paraId="1943A79B" w14:textId="77777777" w:rsidR="00454A29" w:rsidRDefault="00454A29">
      <w:pPr>
        <w:pStyle w:val="ConsPlusNormal"/>
        <w:spacing w:before="220"/>
        <w:ind w:firstLine="540"/>
        <w:jc w:val="both"/>
      </w:pPr>
      <w:r>
        <w:t>6. Критериями отбора муниципальных образований для предоставления субсидии являются:</w:t>
      </w:r>
    </w:p>
    <w:p w14:paraId="5381B10F" w14:textId="77777777" w:rsidR="00454A29" w:rsidRDefault="00454A29">
      <w:pPr>
        <w:pStyle w:val="ConsPlusNormal"/>
        <w:spacing w:before="220"/>
        <w:ind w:firstLine="540"/>
        <w:jc w:val="both"/>
      </w:pPr>
      <w:r>
        <w:t>а) наличие общеобразовательной организации в сельской местности и малых городах;</w:t>
      </w:r>
    </w:p>
    <w:p w14:paraId="31727ECA" w14:textId="77777777" w:rsidR="00454A29" w:rsidRDefault="00454A29">
      <w:pPr>
        <w:pStyle w:val="ConsPlusNormal"/>
        <w:spacing w:before="220"/>
        <w:ind w:firstLine="540"/>
        <w:jc w:val="both"/>
      </w:pPr>
      <w:r>
        <w:t>б) наличие потребности в ремонте спортивного зала или перепрофилировании имеющейся аудитории под спортивный зал для занятий физической культурой и спортом;</w:t>
      </w:r>
    </w:p>
    <w:p w14:paraId="1076EC45" w14:textId="77777777" w:rsidR="00454A29" w:rsidRDefault="00454A29">
      <w:pPr>
        <w:pStyle w:val="ConsPlusNormal"/>
        <w:spacing w:before="220"/>
        <w:ind w:firstLine="540"/>
        <w:jc w:val="both"/>
      </w:pPr>
      <w:r>
        <w:t>в) наличие решения муниципального образования (учредителя общеобразовательной организации) о проведении ремонта спортивного зала или перепрофилировании имеющейся аудитории для занятий физической культурой и спортом в общеобразовательных организациях;</w:t>
      </w:r>
    </w:p>
    <w:p w14:paraId="3D52C139" w14:textId="77777777" w:rsidR="00454A29" w:rsidRDefault="00454A29">
      <w:pPr>
        <w:pStyle w:val="ConsPlusNormal"/>
        <w:spacing w:before="220"/>
        <w:ind w:firstLine="540"/>
        <w:jc w:val="both"/>
      </w:pPr>
      <w:r>
        <w:t xml:space="preserve">г) наличие проектно-сметной документации в соответствии с </w:t>
      </w:r>
      <w:hyperlink r:id="rId59" w:history="1">
        <w:r>
          <w:rPr>
            <w:color w:val="0000FF"/>
          </w:rPr>
          <w:t>Методикой</w:t>
        </w:r>
      </w:hyperlink>
      <w:r>
        <w:t xml:space="preserve"> определения стоимости строительной продукции на территории Российской Федерации, утвержденной постановлением Государственного комитета Российской Федерации по строительству и жилищно-коммунальному комплексу от 5 марта 2004 г. N 15/1, согласованная главой муниципального образования;</w:t>
      </w:r>
    </w:p>
    <w:p w14:paraId="2ACB7D5A" w14:textId="77777777" w:rsidR="00454A29" w:rsidRDefault="00454A29">
      <w:pPr>
        <w:pStyle w:val="ConsPlusNormal"/>
        <w:spacing w:before="220"/>
        <w:ind w:firstLine="540"/>
        <w:jc w:val="both"/>
      </w:pPr>
      <w:r>
        <w:t>д) наличие обязательства муниципального образования об обеспечении освоения средств субсидии федерального бюджета и государственного бюджета Республики Саха (Якутия) в соответствии с графиком перечисления субсидии из федерального бюджета бюджету Республики Саха (Якутия) на софинансирование расходов, возникающих при реализации государственной программы Республики Саха (Якутия) на реализацию мероприятий по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2020 - 2022 годах в рамках реализации федерального проекта "Успех каждого ребенка" национального проекта "Образование".</w:t>
      </w:r>
    </w:p>
    <w:p w14:paraId="5B94B0C6" w14:textId="77777777" w:rsidR="00454A29" w:rsidRDefault="00454A29">
      <w:pPr>
        <w:pStyle w:val="ConsPlusNormal"/>
        <w:spacing w:before="220"/>
        <w:ind w:firstLine="540"/>
        <w:jc w:val="both"/>
      </w:pPr>
      <w:r>
        <w:t xml:space="preserve">7. Субсидия предоставляется в пределах субсидий из федерального бюджета, предоставляемых государственному бюджету Республики Саха (Якутия) на реализацию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2020 - 2022 годах в рамках реализации федерального проекта "Успех каждого ребенка" национального проекта "Образование", бюджетных ассигнований, предусмотренных законом Республики Саха (Якутия) о государственном бюджете Республики Саха (Якутия) на соответствующий год и лимитом бюджетных обязательств, утвержденных Министерству на цели, указанные в </w:t>
      </w:r>
      <w:hyperlink w:anchor="P34282" w:history="1">
        <w:r>
          <w:rPr>
            <w:color w:val="0000FF"/>
          </w:rPr>
          <w:t>пункте 2</w:t>
        </w:r>
      </w:hyperlink>
      <w:r>
        <w:t xml:space="preserve"> настоящего Порядка.</w:t>
      </w:r>
    </w:p>
    <w:p w14:paraId="724E75EA" w14:textId="77777777" w:rsidR="00454A29" w:rsidRDefault="00454A29">
      <w:pPr>
        <w:pStyle w:val="ConsPlusNormal"/>
        <w:spacing w:before="220"/>
        <w:ind w:firstLine="540"/>
        <w:jc w:val="both"/>
      </w:pPr>
      <w:r>
        <w:t>8. Соглашение между Министерством и муниципальными образованиями Республики Саха (Якутия) должно содержать следующие положения:</w:t>
      </w:r>
    </w:p>
    <w:p w14:paraId="470E97FB" w14:textId="77777777" w:rsidR="00454A29" w:rsidRDefault="00454A29">
      <w:pPr>
        <w:pStyle w:val="ConsPlusNormal"/>
        <w:spacing w:before="220"/>
        <w:ind w:firstLine="540"/>
        <w:jc w:val="both"/>
      </w:pPr>
      <w:r>
        <w:t>а) размер предоставляемых субсидий;</w:t>
      </w:r>
    </w:p>
    <w:p w14:paraId="15E94955" w14:textId="77777777" w:rsidR="00454A29" w:rsidRDefault="00454A29">
      <w:pPr>
        <w:pStyle w:val="ConsPlusNormal"/>
        <w:spacing w:before="220"/>
        <w:ind w:firstLine="540"/>
        <w:jc w:val="both"/>
      </w:pPr>
      <w:r>
        <w:lastRenderedPageBreak/>
        <w:t>б) условия предоставления и расходования субсидий;</w:t>
      </w:r>
    </w:p>
    <w:p w14:paraId="31AF10DB" w14:textId="77777777" w:rsidR="00454A29" w:rsidRDefault="00454A29">
      <w:pPr>
        <w:pStyle w:val="ConsPlusNormal"/>
        <w:spacing w:before="220"/>
        <w:ind w:firstLine="540"/>
        <w:jc w:val="both"/>
      </w:pPr>
      <w:r>
        <w:t>в) уровень софинансирования расходного обязательства муниципального образования за счет субсидии;</w:t>
      </w:r>
    </w:p>
    <w:p w14:paraId="24266645" w14:textId="77777777" w:rsidR="00454A29" w:rsidRDefault="00454A29">
      <w:pPr>
        <w:pStyle w:val="ConsPlusNormal"/>
        <w:spacing w:before="220"/>
        <w:ind w:firstLine="540"/>
        <w:jc w:val="both"/>
      </w:pPr>
      <w:r>
        <w:t>г) уровень финансового обеспечения соответствующего расходного обязательства муниципального образования за счет средств местного бюджета;</w:t>
      </w:r>
    </w:p>
    <w:p w14:paraId="702E2E32" w14:textId="77777777" w:rsidR="00454A29" w:rsidRDefault="00454A29">
      <w:pPr>
        <w:pStyle w:val="ConsPlusNormal"/>
        <w:spacing w:before="220"/>
        <w:ind w:firstLine="540"/>
        <w:jc w:val="both"/>
      </w:pPr>
      <w:r>
        <w:t>д) график перечисления субсидий;</w:t>
      </w:r>
    </w:p>
    <w:p w14:paraId="36AF18CB" w14:textId="77777777" w:rsidR="00454A29" w:rsidRDefault="00454A29">
      <w:pPr>
        <w:pStyle w:val="ConsPlusNormal"/>
        <w:spacing w:before="220"/>
        <w:ind w:firstLine="540"/>
        <w:jc w:val="both"/>
      </w:pPr>
      <w:r>
        <w:t>е) значения показателей результативности предоставления субсидий (индикаторы);</w:t>
      </w:r>
    </w:p>
    <w:p w14:paraId="7656FB7C" w14:textId="77777777" w:rsidR="00454A29" w:rsidRDefault="00454A29">
      <w:pPr>
        <w:pStyle w:val="ConsPlusNormal"/>
        <w:spacing w:before="220"/>
        <w:ind w:firstLine="540"/>
        <w:jc w:val="both"/>
      </w:pPr>
      <w:r>
        <w:t>ж) сроки и формы представления отчетности об осуществлении расходов местного бюджета, источником финансового обеспечения которых являются субсидии;</w:t>
      </w:r>
    </w:p>
    <w:p w14:paraId="01FAB8CA" w14:textId="77777777" w:rsidR="00454A29" w:rsidRDefault="00454A29">
      <w:pPr>
        <w:pStyle w:val="ConsPlusNormal"/>
        <w:spacing w:before="220"/>
        <w:ind w:firstLine="540"/>
        <w:jc w:val="both"/>
      </w:pPr>
      <w:r>
        <w:t>з) об осуществлении Министерством и органами государственного финансового контроля по Республике Саха (Якутия) контроля за соблюдением муниципальными образованиями условий предоставления субсидий;</w:t>
      </w:r>
    </w:p>
    <w:p w14:paraId="0A8FD0DD" w14:textId="77777777" w:rsidR="00454A29" w:rsidRDefault="00454A29">
      <w:pPr>
        <w:pStyle w:val="ConsPlusNormal"/>
        <w:spacing w:before="220"/>
        <w:ind w:firstLine="540"/>
        <w:jc w:val="both"/>
      </w:pPr>
      <w:r>
        <w:t>и) ответственность за недостижение установленных значений показателей результативности предоставления субсидий.</w:t>
      </w:r>
    </w:p>
    <w:p w14:paraId="4A4C5999" w14:textId="77777777" w:rsidR="00454A29" w:rsidRDefault="00454A29">
      <w:pPr>
        <w:pStyle w:val="ConsPlusNormal"/>
        <w:spacing w:before="220"/>
        <w:ind w:firstLine="540"/>
        <w:jc w:val="both"/>
      </w:pPr>
      <w:r>
        <w:t>9. Оценка эффективности расходов, источником финансового обеспечения которых является субсидия, и соблюдения условий ее предоставления осуществляется Министерством на основании сравнения планируемых и достигнутых значений следующих показателей результативности предоставления субсидии:</w:t>
      </w:r>
    </w:p>
    <w:p w14:paraId="6E160C99" w14:textId="77777777" w:rsidR="00454A29" w:rsidRDefault="00454A29">
      <w:pPr>
        <w:pStyle w:val="ConsPlusNormal"/>
        <w:spacing w:before="220"/>
        <w:ind w:firstLine="540"/>
        <w:jc w:val="both"/>
      </w:pPr>
      <w:r>
        <w:t>а) количество общеобразовательных организаций, в которых отремонтированы спортивные залы;</w:t>
      </w:r>
    </w:p>
    <w:p w14:paraId="5EEE4C2E" w14:textId="77777777" w:rsidR="00454A29" w:rsidRDefault="00454A29">
      <w:pPr>
        <w:pStyle w:val="ConsPlusNormal"/>
        <w:spacing w:before="220"/>
        <w:ind w:firstLine="540"/>
        <w:jc w:val="both"/>
      </w:pPr>
      <w:r>
        <w:t>б) количество общеобразовательных организаций, в которых имеющиеся аудитории перепрофилированы под спортивные залы для занятия физической культурой и спортом;</w:t>
      </w:r>
    </w:p>
    <w:p w14:paraId="76ED71A0" w14:textId="77777777" w:rsidR="00454A29" w:rsidRDefault="00454A29">
      <w:pPr>
        <w:pStyle w:val="ConsPlusNormal"/>
        <w:spacing w:before="220"/>
        <w:ind w:firstLine="540"/>
        <w:jc w:val="both"/>
      </w:pPr>
      <w:r>
        <w:t>в)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14:paraId="0E2CFD11" w14:textId="77777777" w:rsidR="00454A29" w:rsidRDefault="00454A29">
      <w:pPr>
        <w:pStyle w:val="ConsPlusNormal"/>
        <w:spacing w:before="220"/>
        <w:ind w:firstLine="540"/>
        <w:jc w:val="both"/>
      </w:pPr>
      <w:bookmarkStart w:id="48" w:name="P34313"/>
      <w:bookmarkEnd w:id="48"/>
      <w:r>
        <w:t xml:space="preserve">10. Размер бюджетных ассигнований, предусмотренных в бюджете муниципального образования на цели, указанные в </w:t>
      </w:r>
      <w:hyperlink w:anchor="P34282" w:history="1">
        <w:r>
          <w:rPr>
            <w:color w:val="0000FF"/>
          </w:rPr>
          <w:t>пункте 2</w:t>
        </w:r>
      </w:hyperlink>
      <w:r>
        <w:t xml:space="preserve"> настоящего Порядка, может быть увеличен в одностороннем порядке, что не влечет за собой обязательств по увеличению размера предоставляемой субсидии из государственного бюджета Республики Саха (Якутия).</w:t>
      </w:r>
    </w:p>
    <w:p w14:paraId="6EF5250D" w14:textId="77777777" w:rsidR="00454A29" w:rsidRDefault="00454A29">
      <w:pPr>
        <w:pStyle w:val="ConsPlusNormal"/>
        <w:spacing w:before="220"/>
        <w:ind w:firstLine="540"/>
        <w:jc w:val="both"/>
      </w:pPr>
      <w:r>
        <w:t>11. Извещение о проведении отбора муниципальных образований для предоставления субсидии утверждается приказом Министерства, и не позднее двух рабочих дней с момента утверждения приказ размещается на официальном сайте: minobrnauki.sakha.gov.ru. Прием заявок на участие в отборе начинается с рабочего дня, следующего за днем размещения извещения на официальном сайте Министерства.</w:t>
      </w:r>
    </w:p>
    <w:p w14:paraId="4D9B668C" w14:textId="77777777" w:rsidR="00454A29" w:rsidRDefault="00454A29">
      <w:pPr>
        <w:pStyle w:val="ConsPlusNormal"/>
        <w:spacing w:before="220"/>
        <w:ind w:firstLine="540"/>
        <w:jc w:val="both"/>
      </w:pPr>
      <w:r>
        <w:t>12. Муниципальное образование в течение тридцати дней после размещения извещения представляет в Министерство заявки о перечислении субсидии, за подписью главы муниципального образования с приложением следующих документов:</w:t>
      </w:r>
    </w:p>
    <w:p w14:paraId="5DB9E864" w14:textId="77777777" w:rsidR="00454A29" w:rsidRDefault="00454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4A29" w14:paraId="1C1B5082" w14:textId="77777777">
        <w:trPr>
          <w:jc w:val="center"/>
        </w:trPr>
        <w:tc>
          <w:tcPr>
            <w:tcW w:w="9294" w:type="dxa"/>
            <w:tcBorders>
              <w:top w:val="nil"/>
              <w:left w:val="single" w:sz="24" w:space="0" w:color="CED3F1"/>
              <w:bottom w:val="nil"/>
              <w:right w:val="single" w:sz="24" w:space="0" w:color="F4F3F8"/>
            </w:tcBorders>
            <w:shd w:val="clear" w:color="auto" w:fill="F4F3F8"/>
          </w:tcPr>
          <w:p w14:paraId="401534DF" w14:textId="77777777" w:rsidR="00454A29" w:rsidRDefault="00454A29">
            <w:pPr>
              <w:pStyle w:val="ConsPlusNormal"/>
              <w:jc w:val="both"/>
            </w:pPr>
            <w:r>
              <w:rPr>
                <w:color w:val="392C69"/>
              </w:rPr>
              <w:t>КонсультантПлюс: примечание.</w:t>
            </w:r>
          </w:p>
          <w:p w14:paraId="089A221C" w14:textId="77777777" w:rsidR="00454A29" w:rsidRDefault="00454A29">
            <w:pPr>
              <w:pStyle w:val="ConsPlusNormal"/>
              <w:jc w:val="both"/>
            </w:pPr>
            <w:r>
              <w:rPr>
                <w:color w:val="392C69"/>
              </w:rPr>
              <w:t>В официальном тексте документа, видимо, допущена опечатка: пункт 2.2 в данном порядке отсутствует.</w:t>
            </w:r>
          </w:p>
        </w:tc>
      </w:tr>
    </w:tbl>
    <w:p w14:paraId="5EEC57E0" w14:textId="77777777" w:rsidR="00454A29" w:rsidRDefault="00454A29">
      <w:pPr>
        <w:pStyle w:val="ConsPlusNormal"/>
        <w:spacing w:before="280"/>
        <w:ind w:firstLine="540"/>
        <w:jc w:val="both"/>
      </w:pPr>
      <w:r>
        <w:lastRenderedPageBreak/>
        <w:t>а) нормативный правовой акт муниципального образования об утверждении плана мероприятий, указанных в подпункте "в" пункта 2.2 настоящего Порядка;</w:t>
      </w:r>
    </w:p>
    <w:p w14:paraId="2BF4259C" w14:textId="77777777" w:rsidR="00454A29" w:rsidRDefault="00454A29">
      <w:pPr>
        <w:pStyle w:val="ConsPlusNormal"/>
        <w:spacing w:before="220"/>
        <w:ind w:firstLine="540"/>
        <w:jc w:val="both"/>
      </w:pPr>
      <w:r>
        <w:t>б) копия решения органа местного самоуправления о проведении ремонта спортивного зала или перепрофилировании имеющейся аудитории для занятий физической культурой и спортом;</w:t>
      </w:r>
    </w:p>
    <w:p w14:paraId="5053A777" w14:textId="77777777" w:rsidR="00454A29" w:rsidRDefault="00454A29">
      <w:pPr>
        <w:pStyle w:val="ConsPlusNormal"/>
        <w:spacing w:before="220"/>
        <w:ind w:firstLine="540"/>
        <w:jc w:val="both"/>
      </w:pPr>
      <w:r>
        <w:t>в) копия проектно-сметной документации с заключением экспертизы о достоверности сметной стоимости ремонта спортивных залов или перепрофилирования имеющейся аудитории под спортивный зал, согласованную главой муниципального образования;</w:t>
      </w:r>
    </w:p>
    <w:p w14:paraId="344C593F" w14:textId="77777777" w:rsidR="00454A29" w:rsidRDefault="00454A29">
      <w:pPr>
        <w:pStyle w:val="ConsPlusNormal"/>
        <w:spacing w:before="220"/>
        <w:ind w:firstLine="540"/>
        <w:jc w:val="both"/>
      </w:pPr>
      <w:r>
        <w:t>г) выписка из бюджета муниципального образования, подтверждающую объем финансового обеспечения расходных обязательств муниципального образования;</w:t>
      </w:r>
    </w:p>
    <w:p w14:paraId="700897A2" w14:textId="77777777" w:rsidR="00454A29" w:rsidRDefault="00454A29">
      <w:pPr>
        <w:pStyle w:val="ConsPlusNormal"/>
        <w:spacing w:before="220"/>
        <w:ind w:firstLine="540"/>
        <w:jc w:val="both"/>
      </w:pPr>
      <w:r>
        <w:t>д) акт обследования технического состояния объекта;</w:t>
      </w:r>
    </w:p>
    <w:p w14:paraId="14AE0236" w14:textId="77777777" w:rsidR="00454A29" w:rsidRDefault="00454A29">
      <w:pPr>
        <w:pStyle w:val="ConsPlusNormal"/>
        <w:spacing w:before="220"/>
        <w:ind w:firstLine="540"/>
        <w:jc w:val="both"/>
      </w:pPr>
      <w:r>
        <w:t>е) технический паспорт объекта;</w:t>
      </w:r>
    </w:p>
    <w:p w14:paraId="72979BDE" w14:textId="77777777" w:rsidR="00454A29" w:rsidRDefault="00454A29">
      <w:pPr>
        <w:pStyle w:val="ConsPlusNormal"/>
        <w:spacing w:before="220"/>
        <w:ind w:firstLine="540"/>
        <w:jc w:val="both"/>
      </w:pPr>
      <w:r>
        <w:t>ж) дефектная ведомость;</w:t>
      </w:r>
    </w:p>
    <w:p w14:paraId="3D439413" w14:textId="77777777" w:rsidR="00454A29" w:rsidRDefault="00454A29">
      <w:pPr>
        <w:pStyle w:val="ConsPlusNormal"/>
        <w:spacing w:before="220"/>
        <w:ind w:firstLine="540"/>
        <w:jc w:val="both"/>
      </w:pPr>
      <w:r>
        <w:t>з) правоустанавливающие документы на объект;</w:t>
      </w:r>
    </w:p>
    <w:p w14:paraId="649483A1" w14:textId="77777777" w:rsidR="00454A29" w:rsidRDefault="00454A29">
      <w:pPr>
        <w:pStyle w:val="ConsPlusNormal"/>
        <w:spacing w:before="220"/>
        <w:ind w:firstLine="540"/>
        <w:jc w:val="both"/>
      </w:pPr>
      <w:r>
        <w:t>и) сведения о специалистах, осуществляющих контроль, в целях проверки соответствия выполняемых работ и предоставления отчетности об осуществлении расходов, источником финансового обеспечения которых является субсидия.</w:t>
      </w:r>
    </w:p>
    <w:p w14:paraId="308A9274" w14:textId="77777777" w:rsidR="00454A29" w:rsidRDefault="00454A29">
      <w:pPr>
        <w:pStyle w:val="ConsPlusNormal"/>
        <w:spacing w:before="220"/>
        <w:ind w:firstLine="540"/>
        <w:jc w:val="both"/>
      </w:pPr>
      <w:r>
        <w:t>Документы, представляемые в Министерство для получения субсидии, должны быть пронумерованы и прошнурованы, заверены главой муниципального образования с указанием фамилии, инициалов, должности и даты.</w:t>
      </w:r>
    </w:p>
    <w:p w14:paraId="4F21333F" w14:textId="77777777" w:rsidR="00454A29" w:rsidRDefault="00454A29">
      <w:pPr>
        <w:pStyle w:val="ConsPlusNormal"/>
        <w:spacing w:before="220"/>
        <w:ind w:firstLine="540"/>
        <w:jc w:val="both"/>
      </w:pPr>
      <w:r>
        <w:t>13. Для рассмотрения заявок Министерство создает комиссию, которая в течение 7 рабочих дней со дня окончания приема заявок рассматривает предоставленные документы на соответствие условиям предоставления субсидии и критериям отбора. Решение комиссии принимается большинством голосов членов комиссии и оформляется протоколом. По итогам рассмотрения заявок в течение 3 рабочих дней после оформления протокола комиссии Министерство принимает решение о предоставлении субсидии либо об отказе в предоставлении субсидии путем издания приказа, который размещается на официальном сайте Министерства. В случае принятия решения об отказе в предоставлении субсидии в приказе указывается причина отказа.</w:t>
      </w:r>
    </w:p>
    <w:p w14:paraId="47B7E030" w14:textId="77777777" w:rsidR="00454A29" w:rsidRDefault="00454A29">
      <w:pPr>
        <w:pStyle w:val="ConsPlusNormal"/>
        <w:spacing w:before="220"/>
        <w:ind w:firstLine="540"/>
        <w:jc w:val="both"/>
      </w:pPr>
      <w:r>
        <w:t xml:space="preserve">Заявка муниципального образования не подлежит рассмотрению в случае отсутствия документов, указанных в </w:t>
      </w:r>
      <w:hyperlink w:anchor="P34313" w:history="1">
        <w:r>
          <w:rPr>
            <w:color w:val="0000FF"/>
          </w:rPr>
          <w:t>пункте 10</w:t>
        </w:r>
      </w:hyperlink>
      <w:r>
        <w:t xml:space="preserve"> настоящего Порядка.</w:t>
      </w:r>
    </w:p>
    <w:p w14:paraId="74206548" w14:textId="77777777" w:rsidR="00454A29" w:rsidRDefault="00454A29">
      <w:pPr>
        <w:pStyle w:val="ConsPlusNormal"/>
        <w:spacing w:before="220"/>
        <w:ind w:firstLine="540"/>
        <w:jc w:val="both"/>
      </w:pPr>
      <w:r>
        <w:t>14. Основаниями для отказа в предоставлении субсидии являются:</w:t>
      </w:r>
    </w:p>
    <w:p w14:paraId="19DA5ED0" w14:textId="77777777" w:rsidR="00454A29" w:rsidRDefault="00454A29">
      <w:pPr>
        <w:pStyle w:val="ConsPlusNormal"/>
        <w:spacing w:before="220"/>
        <w:ind w:firstLine="540"/>
        <w:jc w:val="both"/>
      </w:pPr>
      <w:r>
        <w:t xml:space="preserve">а) несоответствие условиям предоставления субсидии, указанным в </w:t>
      </w:r>
      <w:hyperlink w:anchor="P34288" w:history="1">
        <w:r>
          <w:rPr>
            <w:color w:val="0000FF"/>
          </w:rPr>
          <w:t>пункте 5</w:t>
        </w:r>
      </w:hyperlink>
      <w:r>
        <w:t xml:space="preserve"> настоящего Порядка;</w:t>
      </w:r>
    </w:p>
    <w:p w14:paraId="69741B84" w14:textId="77777777" w:rsidR="00454A29" w:rsidRDefault="00454A29">
      <w:pPr>
        <w:pStyle w:val="ConsPlusNormal"/>
        <w:spacing w:before="220"/>
        <w:ind w:firstLine="540"/>
        <w:jc w:val="both"/>
      </w:pPr>
      <w:r>
        <w:t xml:space="preserve">б) несоответствие критериям отбора, указанным в </w:t>
      </w:r>
      <w:hyperlink w:anchor="P34285" w:history="1">
        <w:r>
          <w:rPr>
            <w:color w:val="0000FF"/>
          </w:rPr>
          <w:t>пункте 4</w:t>
        </w:r>
      </w:hyperlink>
      <w:r>
        <w:t xml:space="preserve"> настоящего Порядка;</w:t>
      </w:r>
    </w:p>
    <w:p w14:paraId="26507B82" w14:textId="77777777" w:rsidR="00454A29" w:rsidRDefault="00454A29">
      <w:pPr>
        <w:pStyle w:val="ConsPlusNormal"/>
        <w:spacing w:before="220"/>
        <w:ind w:firstLine="540"/>
        <w:jc w:val="both"/>
      </w:pPr>
      <w:r>
        <w:t>в) несоответствие заявки требованиям, установленным пунктом 10 настоящего Порядка;</w:t>
      </w:r>
    </w:p>
    <w:p w14:paraId="789EFAEC" w14:textId="77777777" w:rsidR="00454A29" w:rsidRDefault="00454A29">
      <w:pPr>
        <w:pStyle w:val="ConsPlusNormal"/>
        <w:spacing w:before="220"/>
        <w:ind w:firstLine="540"/>
        <w:jc w:val="both"/>
      </w:pPr>
      <w:r>
        <w:t>г) предоставление заявки после окончания установленного срока приема заявок.</w:t>
      </w:r>
    </w:p>
    <w:p w14:paraId="060D21A1" w14:textId="77777777" w:rsidR="00454A29" w:rsidRDefault="00454A29">
      <w:pPr>
        <w:pStyle w:val="ConsPlusNormal"/>
      </w:pPr>
    </w:p>
    <w:p w14:paraId="40CFD490" w14:textId="77777777" w:rsidR="00454A29" w:rsidRDefault="00454A29">
      <w:pPr>
        <w:pStyle w:val="ConsPlusNormal"/>
        <w:ind w:firstLine="540"/>
        <w:jc w:val="both"/>
      </w:pPr>
      <w:r>
        <w:t>15. Размер субсидии на создание в общеобразовательных организациях, условий для занятия физической культурой и спортом определяется по формуле:</w:t>
      </w:r>
    </w:p>
    <w:p w14:paraId="001A5F33" w14:textId="77777777" w:rsidR="00454A29" w:rsidRDefault="00454A29">
      <w:pPr>
        <w:pStyle w:val="ConsPlusNormal"/>
      </w:pPr>
    </w:p>
    <w:p w14:paraId="0EC2D490" w14:textId="77777777" w:rsidR="00454A29" w:rsidRDefault="00454A29">
      <w:pPr>
        <w:pStyle w:val="ConsPlusNormal"/>
        <w:jc w:val="center"/>
      </w:pPr>
      <w:r>
        <w:t>C = P</w:t>
      </w:r>
      <w:r>
        <w:rPr>
          <w:vertAlign w:val="subscript"/>
        </w:rPr>
        <w:t>i</w:t>
      </w:r>
      <w:r>
        <w:t xml:space="preserve"> - V</w:t>
      </w:r>
      <w:r>
        <w:rPr>
          <w:vertAlign w:val="subscript"/>
        </w:rPr>
        <w:t>i</w:t>
      </w:r>
      <w:r>
        <w:t>,</w:t>
      </w:r>
    </w:p>
    <w:p w14:paraId="63615228" w14:textId="77777777" w:rsidR="00454A29" w:rsidRDefault="00454A29">
      <w:pPr>
        <w:pStyle w:val="ConsPlusNormal"/>
      </w:pPr>
    </w:p>
    <w:p w14:paraId="2799B96E" w14:textId="77777777" w:rsidR="00454A29" w:rsidRDefault="00454A29">
      <w:pPr>
        <w:pStyle w:val="ConsPlusNormal"/>
        <w:ind w:firstLine="540"/>
        <w:jc w:val="both"/>
      </w:pPr>
      <w:r>
        <w:lastRenderedPageBreak/>
        <w:t>где:</w:t>
      </w:r>
    </w:p>
    <w:p w14:paraId="4F6B8867" w14:textId="77777777" w:rsidR="00454A29" w:rsidRDefault="00454A29">
      <w:pPr>
        <w:pStyle w:val="ConsPlusNormal"/>
        <w:spacing w:before="220"/>
        <w:ind w:firstLine="540"/>
        <w:jc w:val="both"/>
      </w:pPr>
      <w:r>
        <w:t>C - объем субсидии муниципальному району;</w:t>
      </w:r>
    </w:p>
    <w:p w14:paraId="6B5CB048" w14:textId="77777777" w:rsidR="00454A29" w:rsidRDefault="00454A29">
      <w:pPr>
        <w:pStyle w:val="ConsPlusNormal"/>
        <w:spacing w:before="220"/>
        <w:ind w:firstLine="540"/>
        <w:jc w:val="both"/>
      </w:pPr>
      <w:r>
        <w:t>P</w:t>
      </w:r>
      <w:r>
        <w:rPr>
          <w:vertAlign w:val="subscript"/>
        </w:rPr>
        <w:t>i</w:t>
      </w:r>
      <w:r>
        <w:t xml:space="preserve"> - сметная стоимость, подтвержденная проектно-сметной документацией (стоимость оборудования) на создание в общеобразовательных организациях, условий для занятия физической культурой и спортом;</w:t>
      </w:r>
    </w:p>
    <w:p w14:paraId="5DE3A454" w14:textId="77777777" w:rsidR="00454A29" w:rsidRDefault="00454A29">
      <w:pPr>
        <w:pStyle w:val="ConsPlusNormal"/>
        <w:spacing w:before="220"/>
        <w:ind w:firstLine="540"/>
        <w:jc w:val="both"/>
      </w:pPr>
      <w:r>
        <w:t>V</w:t>
      </w:r>
      <w:r>
        <w:rPr>
          <w:vertAlign w:val="subscript"/>
        </w:rPr>
        <w:t>i</w:t>
      </w:r>
      <w:r>
        <w:t xml:space="preserve"> - объем финансирования из средств местного бюджета на создание в общеобразовательных организациях, условий для занятия физической культурой и спортом (не менее 10% от объема субсидии).</w:t>
      </w:r>
    </w:p>
    <w:p w14:paraId="01241332" w14:textId="77777777" w:rsidR="00454A29" w:rsidRDefault="00454A29">
      <w:pPr>
        <w:pStyle w:val="ConsPlusNormal"/>
        <w:spacing w:before="220"/>
        <w:ind w:firstLine="540"/>
        <w:jc w:val="both"/>
      </w:pPr>
      <w:r>
        <w:t>16. Методика определяет порядок предоставления и распределения субсидий из государственного бюджета Республики Саха (Якутия) между муниципальными образованиями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14:paraId="60010F1F" w14:textId="77777777" w:rsidR="00454A29" w:rsidRDefault="00454A29">
      <w:pPr>
        <w:pStyle w:val="ConsPlusNormal"/>
        <w:spacing w:before="220"/>
        <w:ind w:firstLine="540"/>
        <w:jc w:val="both"/>
      </w:pPr>
      <w:r>
        <w:t>Размер выделяемой субсидий определяется исходя из возможностей государственного бюджета Республики Саха (Якутия) по следующей формуле:</w:t>
      </w:r>
    </w:p>
    <w:p w14:paraId="23AE0DAD" w14:textId="77777777" w:rsidR="00454A29" w:rsidRDefault="00454A29">
      <w:pPr>
        <w:pStyle w:val="ConsPlusNormal"/>
      </w:pPr>
    </w:p>
    <w:p w14:paraId="674F7CFD" w14:textId="77777777" w:rsidR="00454A29" w:rsidRDefault="00454A29">
      <w:pPr>
        <w:pStyle w:val="ConsPlusNormal"/>
        <w:jc w:val="center"/>
      </w:pPr>
      <w:r w:rsidRPr="005D7449">
        <w:rPr>
          <w:position w:val="-27"/>
        </w:rPr>
        <w:pict w14:anchorId="172019CA">
          <v:shape id="_x0000_i1034" style="width:158.05pt;height:38.65pt" coordsize="" o:spt="100" adj="0,,0" path="" filled="f" stroked="f">
            <v:stroke joinstyle="miter"/>
            <v:imagedata r:id="rId60" o:title="base_23801_77601_32777"/>
            <v:formulas/>
            <v:path o:connecttype="segments"/>
          </v:shape>
        </w:pict>
      </w:r>
      <w:r>
        <w:t>,</w:t>
      </w:r>
    </w:p>
    <w:p w14:paraId="6F7AD943" w14:textId="77777777" w:rsidR="00454A29" w:rsidRDefault="00454A29">
      <w:pPr>
        <w:pStyle w:val="ConsPlusNormal"/>
      </w:pPr>
    </w:p>
    <w:p w14:paraId="56EDD9FF" w14:textId="77777777" w:rsidR="00454A29" w:rsidRDefault="00454A29">
      <w:pPr>
        <w:pStyle w:val="ConsPlusNormal"/>
        <w:ind w:firstLine="540"/>
        <w:jc w:val="both"/>
      </w:pPr>
      <w:r>
        <w:t>где:</w:t>
      </w:r>
    </w:p>
    <w:p w14:paraId="7DD0F2CF" w14:textId="77777777" w:rsidR="00454A29" w:rsidRDefault="00454A29">
      <w:pPr>
        <w:pStyle w:val="ConsPlusNormal"/>
        <w:spacing w:before="220"/>
        <w:ind w:firstLine="540"/>
        <w:jc w:val="both"/>
      </w:pPr>
      <w:r>
        <w:t>Cp - размер субсидий, выделяемой муниципальным образованиям Республики Саха (Якутия);</w:t>
      </w:r>
    </w:p>
    <w:p w14:paraId="53FFF3F9" w14:textId="77777777" w:rsidR="00454A29" w:rsidRDefault="00454A29">
      <w:pPr>
        <w:pStyle w:val="ConsPlusNormal"/>
        <w:spacing w:before="220"/>
        <w:ind w:firstLine="540"/>
        <w:jc w:val="both"/>
      </w:pPr>
      <w:r>
        <w:t>Ci - объем субсидии муниципальному району;</w:t>
      </w:r>
    </w:p>
    <w:p w14:paraId="1D3F6C34" w14:textId="77777777" w:rsidR="00454A29" w:rsidRDefault="00454A29">
      <w:pPr>
        <w:pStyle w:val="ConsPlusNormal"/>
        <w:spacing w:before="220"/>
        <w:ind w:firstLine="540"/>
        <w:jc w:val="both"/>
      </w:pPr>
      <w:r>
        <w:t>Co - общий объем субсидий для распределения между муниципальными образованиями;</w:t>
      </w:r>
    </w:p>
    <w:p w14:paraId="2526CB14" w14:textId="77777777" w:rsidR="00454A29" w:rsidRDefault="00454A29">
      <w:pPr>
        <w:pStyle w:val="ConsPlusNormal"/>
        <w:spacing w:before="220"/>
        <w:ind w:firstLine="540"/>
        <w:jc w:val="both"/>
      </w:pPr>
      <w:r w:rsidRPr="005D7449">
        <w:rPr>
          <w:position w:val="-11"/>
        </w:rPr>
        <w:pict w14:anchorId="458A25C3">
          <v:shape id="_x0000_i1035" style="width:72.9pt;height:21.95pt" coordsize="" o:spt="100" adj="0,,0" path="" filled="f" stroked="f">
            <v:stroke joinstyle="miter"/>
            <v:imagedata r:id="rId61" o:title="base_23801_77601_32778"/>
            <v:formulas/>
            <v:path o:connecttype="segments"/>
          </v:shape>
        </w:pict>
      </w:r>
      <w:r>
        <w:t xml:space="preserve"> - сумма субсидий муниципальных образований.</w:t>
      </w:r>
    </w:p>
    <w:p w14:paraId="5C497CFB" w14:textId="77777777" w:rsidR="00454A29" w:rsidRDefault="00454A29">
      <w:pPr>
        <w:pStyle w:val="ConsPlusNormal"/>
        <w:spacing w:before="220"/>
        <w:ind w:firstLine="540"/>
        <w:jc w:val="both"/>
      </w:pPr>
      <w:bookmarkStart w:id="49" w:name="P34354"/>
      <w:bookmarkEnd w:id="49"/>
      <w:r>
        <w:t>17. Распределение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утверждается постановлением Правительства Республики Саха (Якутия).</w:t>
      </w:r>
    </w:p>
    <w:p w14:paraId="0A4C844D" w14:textId="77777777" w:rsidR="00454A29" w:rsidRDefault="00454A29">
      <w:pPr>
        <w:pStyle w:val="ConsPlusNormal"/>
        <w:spacing w:before="220"/>
        <w:ind w:firstLine="540"/>
        <w:jc w:val="both"/>
      </w:pPr>
      <w:r>
        <w:t>18. Администрация муниципального образования ежемесячно, до 15-го числа месяца, следующего за отчетным месяцем, представляет в Министерство образования и науки Республики Саха (Якутия) отчет об осуществлении расходов местных бюджетов, источником финансового обеспечения которых является субсидия, и о достигнутых значениях показателей результативности предоставления субсидии по форме, утвержденной Министерством.</w:t>
      </w:r>
    </w:p>
    <w:p w14:paraId="347C2CA7" w14:textId="77777777" w:rsidR="00454A29" w:rsidRDefault="00454A29">
      <w:pPr>
        <w:pStyle w:val="ConsPlusNormal"/>
        <w:spacing w:before="220"/>
        <w:ind w:firstLine="540"/>
        <w:jc w:val="both"/>
      </w:pPr>
      <w:r>
        <w:t>19. В случае, если в отчетном финансовом году муниципальным образованием не достигнуты установленные Соглашением значения показателей результативности предоставления субсидии, а также в случае невыполнения муниципальным образованием расходного обязательства, на исполнение которого предоставляется субсидия, и (или) в случае отсутствия потребности в субсидии в утвержденном на соответствующий финансовый год размере, размер субсидии подлежит сокращению. Предложения по сокращению размера субсидии вносятся в Министерство финансов Республики Саха (Якутия) в установленном порядке Министерством.</w:t>
      </w:r>
    </w:p>
    <w:p w14:paraId="1AC9E2BB" w14:textId="77777777" w:rsidR="00454A29" w:rsidRDefault="00454A29">
      <w:pPr>
        <w:pStyle w:val="ConsPlusNormal"/>
        <w:spacing w:before="220"/>
        <w:ind w:firstLine="540"/>
        <w:jc w:val="both"/>
      </w:pPr>
      <w:r>
        <w:t xml:space="preserve">20. Возврат и использование остатков субсидий после завершения финансового года осуществляется в соответствии с </w:t>
      </w:r>
      <w:hyperlink r:id="rId62" w:history="1">
        <w:r>
          <w:rPr>
            <w:color w:val="0000FF"/>
          </w:rPr>
          <w:t>пунктом 5 статьи 242</w:t>
        </w:r>
      </w:hyperlink>
      <w:r>
        <w:t xml:space="preserve"> Бюджетного кодекса Российской Федерации.</w:t>
      </w:r>
    </w:p>
    <w:p w14:paraId="4E0BCE2A" w14:textId="77777777" w:rsidR="00454A29" w:rsidRDefault="00454A29">
      <w:pPr>
        <w:pStyle w:val="ConsPlusNormal"/>
        <w:spacing w:before="220"/>
        <w:ind w:firstLine="540"/>
        <w:jc w:val="both"/>
      </w:pPr>
      <w:r>
        <w:t xml:space="preserve">Порядок принятия решения о наличии (об отсутствии) потребности в межбюджетных </w:t>
      </w:r>
      <w:r>
        <w:lastRenderedPageBreak/>
        <w:t>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14:paraId="35F0FDDF" w14:textId="77777777" w:rsidR="00454A29" w:rsidRDefault="00454A29">
      <w:pPr>
        <w:pStyle w:val="ConsPlusNormal"/>
        <w:spacing w:before="220"/>
        <w:ind w:firstLine="540"/>
        <w:jc w:val="both"/>
      </w:pPr>
      <w:r>
        <w:t>21.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w:t>
      </w:r>
    </w:p>
    <w:p w14:paraId="79481AF7" w14:textId="77777777" w:rsidR="00454A29" w:rsidRDefault="00454A29">
      <w:pPr>
        <w:pStyle w:val="ConsPlusNormal"/>
        <w:spacing w:before="220"/>
        <w:ind w:firstLine="540"/>
        <w:jc w:val="both"/>
      </w:pPr>
      <w:r>
        <w:t>22. Контроль за соблюдением муниципальными образованиями условий предоставления субсидий осуществляется Министерством и органами государственного финансового контроля по Республике Саха (Якутия).</w:t>
      </w:r>
    </w:p>
    <w:p w14:paraId="5E3F7675" w14:textId="77777777" w:rsidR="00454A29" w:rsidRDefault="00454A29">
      <w:pPr>
        <w:pStyle w:val="ConsPlusNormal"/>
        <w:spacing w:before="220"/>
        <w:ind w:firstLine="540"/>
        <w:jc w:val="both"/>
      </w:pPr>
      <w:r>
        <w:t>23. При выявлении нарушения условий предоставления субсидий Министерство направляет в срок до 5 рабочих дней в адрес получателя субсидии, нарушившего условия предоставления субсидии, уведомление с предложением о добровольном возврате средств, при этом срок для возврата составляет один месяц со дня получения данного письма получателем субсидии.</w:t>
      </w:r>
    </w:p>
    <w:p w14:paraId="43B042BE" w14:textId="77777777" w:rsidR="00454A29" w:rsidRDefault="00454A29">
      <w:pPr>
        <w:pStyle w:val="ConsPlusNormal"/>
        <w:spacing w:before="220"/>
        <w:ind w:firstLine="540"/>
        <w:jc w:val="both"/>
      </w:pPr>
      <w:r>
        <w:t>При неосуществлении получателем субсидии возврата в установленный срок Министерство принимает меры по взысканию сумм субсидии с получателя субсидии.</w:t>
      </w:r>
    </w:p>
    <w:p w14:paraId="5BFD3D80" w14:textId="77777777" w:rsidR="00454A29" w:rsidRDefault="00454A29">
      <w:pPr>
        <w:pStyle w:val="ConsPlusNormal"/>
        <w:spacing w:before="220"/>
        <w:ind w:firstLine="540"/>
        <w:jc w:val="both"/>
      </w:pPr>
      <w:r>
        <w:t xml:space="preserve">24. В случаях, указанных в </w:t>
      </w:r>
      <w:hyperlink w:anchor="P34354" w:history="1">
        <w:r>
          <w:rPr>
            <w:color w:val="0000FF"/>
          </w:rPr>
          <w:t>пункте 17</w:t>
        </w:r>
      </w:hyperlink>
      <w:r>
        <w:t xml:space="preserve"> настоящего Порядка, субсидия перераспределяется (при наличии потребности) между другими муниципальными образованиями, имеющими право на получение субсидии в соответствии с настоящим Порядком и обеспечивающими необходимое увеличение объема расходных обязательств муниципального образования с учетом уровня софинансирования в течение 2 недель с момента сокращения размера субсидии.</w:t>
      </w:r>
    </w:p>
    <w:p w14:paraId="1D2D4679" w14:textId="77777777" w:rsidR="00454A29" w:rsidRDefault="00454A29">
      <w:pPr>
        <w:pStyle w:val="ConsPlusNormal"/>
        <w:spacing w:before="220"/>
        <w:ind w:firstLine="540"/>
        <w:jc w:val="both"/>
      </w:pPr>
      <w:r>
        <w:t>25.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несут органы местного самоуправления.</w:t>
      </w:r>
    </w:p>
    <w:p w14:paraId="6CF543CE" w14:textId="77777777" w:rsidR="00454A29" w:rsidRDefault="00454A29">
      <w:pPr>
        <w:pStyle w:val="ConsPlusNormal"/>
      </w:pPr>
    </w:p>
    <w:p w14:paraId="18372A5A" w14:textId="77777777" w:rsidR="00454A29" w:rsidRDefault="00454A29">
      <w:pPr>
        <w:pStyle w:val="ConsPlusNormal"/>
      </w:pPr>
    </w:p>
    <w:p w14:paraId="1760838F" w14:textId="77777777" w:rsidR="00454A29" w:rsidRDefault="00454A29">
      <w:pPr>
        <w:pStyle w:val="ConsPlusNormal"/>
      </w:pPr>
    </w:p>
    <w:p w14:paraId="6CA3B5A6" w14:textId="77777777" w:rsidR="00454A29" w:rsidRDefault="00454A29">
      <w:pPr>
        <w:pStyle w:val="ConsPlusNormal"/>
      </w:pPr>
    </w:p>
    <w:p w14:paraId="5F7CA40E" w14:textId="77777777" w:rsidR="00454A29" w:rsidRDefault="00454A29">
      <w:pPr>
        <w:pStyle w:val="ConsPlusNormal"/>
      </w:pPr>
    </w:p>
    <w:p w14:paraId="4BAE8593" w14:textId="77777777" w:rsidR="00454A29" w:rsidRDefault="00454A29">
      <w:pPr>
        <w:pStyle w:val="ConsPlusNormal"/>
        <w:jc w:val="right"/>
        <w:outlineLvl w:val="1"/>
      </w:pPr>
      <w:r>
        <w:t>Приложение N 14</w:t>
      </w:r>
    </w:p>
    <w:p w14:paraId="0147461A" w14:textId="77777777" w:rsidR="00454A29" w:rsidRDefault="00454A29">
      <w:pPr>
        <w:pStyle w:val="ConsPlusNormal"/>
        <w:jc w:val="right"/>
      </w:pPr>
      <w:r>
        <w:t>к государственной программе</w:t>
      </w:r>
    </w:p>
    <w:p w14:paraId="265903ED" w14:textId="77777777" w:rsidR="00454A29" w:rsidRDefault="00454A29">
      <w:pPr>
        <w:pStyle w:val="ConsPlusNormal"/>
        <w:jc w:val="right"/>
      </w:pPr>
      <w:r>
        <w:t>Республики Саха (Якутия)</w:t>
      </w:r>
    </w:p>
    <w:p w14:paraId="3FF86295" w14:textId="77777777" w:rsidR="00454A29" w:rsidRDefault="00454A29">
      <w:pPr>
        <w:pStyle w:val="ConsPlusNormal"/>
        <w:jc w:val="right"/>
      </w:pPr>
      <w:r>
        <w:t>"Развитие образования</w:t>
      </w:r>
    </w:p>
    <w:p w14:paraId="36EAB80C" w14:textId="77777777" w:rsidR="00454A29" w:rsidRDefault="00454A29">
      <w:pPr>
        <w:pStyle w:val="ConsPlusNormal"/>
        <w:jc w:val="right"/>
      </w:pPr>
      <w:r>
        <w:t>Республики Саха (Якутия)</w:t>
      </w:r>
    </w:p>
    <w:p w14:paraId="65A37248" w14:textId="77777777" w:rsidR="00454A29" w:rsidRDefault="00454A29">
      <w:pPr>
        <w:pStyle w:val="ConsPlusNormal"/>
        <w:jc w:val="right"/>
      </w:pPr>
      <w:r>
        <w:t>на 2020 - 2024 годы и на плановый</w:t>
      </w:r>
    </w:p>
    <w:p w14:paraId="4A6430C3" w14:textId="77777777" w:rsidR="00454A29" w:rsidRDefault="00454A29">
      <w:pPr>
        <w:pStyle w:val="ConsPlusNormal"/>
        <w:jc w:val="right"/>
      </w:pPr>
      <w:r>
        <w:t>период до 2026 года"</w:t>
      </w:r>
    </w:p>
    <w:p w14:paraId="00AF854E" w14:textId="77777777" w:rsidR="00454A29" w:rsidRDefault="00454A29">
      <w:pPr>
        <w:pStyle w:val="ConsPlusNormal"/>
      </w:pPr>
    </w:p>
    <w:p w14:paraId="6899BA5B" w14:textId="77777777" w:rsidR="00454A29" w:rsidRDefault="00454A29">
      <w:pPr>
        <w:pStyle w:val="ConsPlusTitle"/>
        <w:jc w:val="center"/>
      </w:pPr>
      <w:bookmarkStart w:id="50" w:name="P34378"/>
      <w:bookmarkEnd w:id="50"/>
      <w:r>
        <w:t>ПОРЯДОК</w:t>
      </w:r>
    </w:p>
    <w:p w14:paraId="6C8F17AA" w14:textId="77777777" w:rsidR="00454A29" w:rsidRDefault="00454A29">
      <w:pPr>
        <w:pStyle w:val="ConsPlusTitle"/>
        <w:jc w:val="center"/>
      </w:pPr>
      <w:r>
        <w:t>ПРЕДОСТАВЛЕНИЯ И РАСПРЕДЕЛЕНИЯ СУБСИДИЙ ИЗ ГОСУДАРСТВЕННОГО</w:t>
      </w:r>
    </w:p>
    <w:p w14:paraId="488BBB8F" w14:textId="77777777" w:rsidR="00454A29" w:rsidRDefault="00454A29">
      <w:pPr>
        <w:pStyle w:val="ConsPlusTitle"/>
        <w:jc w:val="center"/>
      </w:pPr>
      <w:r>
        <w:t>БЮДЖЕТА РЕСПУБЛИКИ САХА (ЯКУТИЯ) МЕСТНЫМ БЮДЖЕТАМ</w:t>
      </w:r>
    </w:p>
    <w:p w14:paraId="33A73EE2" w14:textId="77777777" w:rsidR="00454A29" w:rsidRDefault="00454A29">
      <w:pPr>
        <w:pStyle w:val="ConsPlusTitle"/>
        <w:jc w:val="center"/>
      </w:pPr>
      <w:r>
        <w:t>НА СОЗДАНИЕ ДОПОЛНИТЕЛЬНЫХ МЕСТ ДЛЯ ДЕТЕЙ В ВОЗРАСТЕ</w:t>
      </w:r>
    </w:p>
    <w:p w14:paraId="32242717" w14:textId="77777777" w:rsidR="00454A29" w:rsidRDefault="00454A29">
      <w:pPr>
        <w:pStyle w:val="ConsPlusTitle"/>
        <w:jc w:val="center"/>
      </w:pPr>
      <w:r>
        <w:t>ОТ 1,5 ЛЕТ ДО 3 ЛЕТ В ОБРАЗОВАТЕЛЬНЫХ ОРГАНИЗАЦИЯХ,</w:t>
      </w:r>
    </w:p>
    <w:p w14:paraId="2FFC5FAB" w14:textId="77777777" w:rsidR="00454A29" w:rsidRDefault="00454A29">
      <w:pPr>
        <w:pStyle w:val="ConsPlusTitle"/>
        <w:jc w:val="center"/>
      </w:pPr>
      <w:r>
        <w:t>ОСУЩЕСТВЛЯЮЩИХ ОБРАЗОВАТЕЛЬНУЮ ДЕЯТЕЛЬНОСТЬ</w:t>
      </w:r>
    </w:p>
    <w:p w14:paraId="7FEEF371" w14:textId="77777777" w:rsidR="00454A29" w:rsidRDefault="00454A29">
      <w:pPr>
        <w:pStyle w:val="ConsPlusTitle"/>
        <w:jc w:val="center"/>
      </w:pPr>
      <w:r>
        <w:t>ПО ОБРАЗОВАТЕЛЬНЫМ ПРОГРАММАМ ДОШКОЛЬНОГО ОБРАЗОВАНИЯ</w:t>
      </w:r>
    </w:p>
    <w:p w14:paraId="0CFE2B78" w14:textId="77777777" w:rsidR="00454A29" w:rsidRDefault="00454A29">
      <w:pPr>
        <w:pStyle w:val="ConsPlusNormal"/>
      </w:pPr>
    </w:p>
    <w:p w14:paraId="0DD63FFD" w14:textId="77777777" w:rsidR="00454A29" w:rsidRDefault="00454A29">
      <w:pPr>
        <w:pStyle w:val="ConsPlusNormal"/>
        <w:ind w:firstLine="540"/>
        <w:jc w:val="both"/>
      </w:pPr>
      <w:r>
        <w:t xml:space="preserve">1. Настоящий Порядок устанавливает цели, условия и порядок предоставления и распределения субсидий из государственного бюджета бюджетам муниципальных образований </w:t>
      </w:r>
      <w:r>
        <w:lastRenderedPageBreak/>
        <w:t>Республики Саха (Якутия) на софинансирование расходных обязательств, возникающих при реализации государственных программ Республики Саха (Якутия) (региональных проектов,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 связанных с реализацией мероприятий по созданию в Республике Саха (Якутия)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программы Республики Саха (Якутия) "Развитие образования Республики Саха (Якутия) на 2020 - 2024 годы и на плановый период до 2026 года" (далее соответственно - государственные программы, государственные проекты, субсидии).</w:t>
      </w:r>
    </w:p>
    <w:p w14:paraId="6F617286" w14:textId="77777777" w:rsidR="00454A29" w:rsidRDefault="00454A29">
      <w:pPr>
        <w:pStyle w:val="ConsPlusNormal"/>
        <w:spacing w:before="220"/>
        <w:ind w:firstLine="540"/>
        <w:jc w:val="both"/>
      </w:pPr>
      <w:bookmarkStart w:id="51" w:name="P34387"/>
      <w:bookmarkEnd w:id="51"/>
      <w:r>
        <w:t>2. Субсидии предоставляются в целях реализации государственных программ (государственных проектов), которые включают в себя мероприятия по модернизации инфраструктуры дошкольного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субсидий из государственного бюджета местным бюджетам на оказание финансовой поддержки выполнения органами местного самоуправления полномочий по вопросам местного значения в рамках реализации государственной программы (государственного проекта).</w:t>
      </w:r>
    </w:p>
    <w:p w14:paraId="08735F91" w14:textId="77777777" w:rsidR="00454A29" w:rsidRDefault="00454A2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образования и науки Республики Саха (Якутия) (далее - Министерство) как получателя средств федерального бюджета на цели, указанные в </w:t>
      </w:r>
      <w:hyperlink w:anchor="P34387" w:history="1">
        <w:r>
          <w:rPr>
            <w:color w:val="0000FF"/>
          </w:rPr>
          <w:t>пункте 2</w:t>
        </w:r>
      </w:hyperlink>
      <w:r>
        <w:t xml:space="preserve"> настоящего Порядка.</w:t>
      </w:r>
    </w:p>
    <w:p w14:paraId="4D25EBE8" w14:textId="77777777" w:rsidR="00454A29" w:rsidRDefault="00454A29">
      <w:pPr>
        <w:pStyle w:val="ConsPlusNormal"/>
        <w:spacing w:before="220"/>
        <w:ind w:firstLine="540"/>
        <w:jc w:val="both"/>
      </w:pPr>
      <w:r>
        <w:t>4. Для определения потребности муниципальных образований Республики Саха (Якутия) (далее - муниципальные образования) в субсидии и готовности создавать дополнительные места для детей в возрасте от 1,5 до 3 лет в дошкольных организациях Министерство направляет запрос в муниципальные образования.</w:t>
      </w:r>
    </w:p>
    <w:p w14:paraId="42D7FFE5" w14:textId="77777777" w:rsidR="00454A29" w:rsidRDefault="00454A29">
      <w:pPr>
        <w:pStyle w:val="ConsPlusNormal"/>
        <w:spacing w:before="220"/>
        <w:ind w:firstLine="540"/>
        <w:jc w:val="both"/>
      </w:pPr>
      <w:r>
        <w:t>Муниципальные образования формируют и направляют в Министерство перечни предлагаемых к софинансированию из государственного бюджета объектов по созданию дополнительных мест для детей в возрасте от 1,5 до 3 лет в дошкольных организациях (далее - объекты).</w:t>
      </w:r>
    </w:p>
    <w:p w14:paraId="7380BB25" w14:textId="77777777" w:rsidR="00454A29" w:rsidRDefault="00454A29">
      <w:pPr>
        <w:pStyle w:val="ConsPlusNormal"/>
        <w:spacing w:before="220"/>
        <w:ind w:firstLine="540"/>
        <w:jc w:val="both"/>
      </w:pPr>
      <w:r>
        <w:t xml:space="preserve">4.1. Отбор муниципальных образований для предоставления субсидий муниципальным образованиям на софинансирование мероприятий, указанных в </w:t>
      </w:r>
      <w:hyperlink w:anchor="P34387" w:history="1">
        <w:r>
          <w:rPr>
            <w:color w:val="0000FF"/>
          </w:rPr>
          <w:t>пункте 2</w:t>
        </w:r>
      </w:hyperlink>
      <w:r>
        <w:t xml:space="preserve"> настоящего Порядка (далее - Отбор), проводится конкурсной комиссией, создаваемой Министерством (далее - Комиссия).</w:t>
      </w:r>
    </w:p>
    <w:p w14:paraId="2C987B2B" w14:textId="77777777" w:rsidR="00454A29" w:rsidRDefault="00454A29">
      <w:pPr>
        <w:pStyle w:val="ConsPlusNormal"/>
        <w:spacing w:before="220"/>
        <w:ind w:firstLine="540"/>
        <w:jc w:val="both"/>
      </w:pPr>
      <w:r>
        <w:t>4.2. Организационно-техническое и информационное обеспечение проведения Отбора осуществляет уполномоченная Министерством подведомственная ему организация (далее - уполномоченная организация).</w:t>
      </w:r>
    </w:p>
    <w:p w14:paraId="70B9FCDB" w14:textId="77777777" w:rsidR="00454A29" w:rsidRDefault="00454A29">
      <w:pPr>
        <w:pStyle w:val="ConsPlusNormal"/>
        <w:spacing w:before="220"/>
        <w:ind w:firstLine="540"/>
        <w:jc w:val="both"/>
      </w:pPr>
      <w:r>
        <w:t>4.3. Муниципальные образования представляют в уполномоченную организацию Заявку в соответствии со сроком представления Заявки, указанным в запросе.</w:t>
      </w:r>
    </w:p>
    <w:p w14:paraId="2A264E67" w14:textId="77777777" w:rsidR="00454A29" w:rsidRDefault="00454A29">
      <w:pPr>
        <w:pStyle w:val="ConsPlusNormal"/>
        <w:spacing w:before="220"/>
        <w:ind w:firstLine="540"/>
        <w:jc w:val="both"/>
      </w:pPr>
      <w:bookmarkStart w:id="52" w:name="P34394"/>
      <w:bookmarkEnd w:id="52"/>
      <w:r>
        <w:t>4.4. В составе Заявки муниципальное образование предоставляет:</w:t>
      </w:r>
    </w:p>
    <w:p w14:paraId="1A9A8E2D" w14:textId="77777777" w:rsidR="00454A29" w:rsidRDefault="00454A29">
      <w:pPr>
        <w:pStyle w:val="ConsPlusNormal"/>
        <w:spacing w:before="220"/>
        <w:ind w:firstLine="540"/>
        <w:jc w:val="both"/>
      </w:pPr>
      <w:r>
        <w:t xml:space="preserve">а) заверенную в установленном порядке копию нормативно-правового акта муниципального образования, включающую в себя одно или несколько мероприятий, предусмотренных </w:t>
      </w:r>
      <w:hyperlink w:anchor="P34387" w:history="1">
        <w:r>
          <w:rPr>
            <w:color w:val="0000FF"/>
          </w:rPr>
          <w:t>пунктом 2</w:t>
        </w:r>
      </w:hyperlink>
      <w:r>
        <w:t xml:space="preserve"> настоящего Порядка;</w:t>
      </w:r>
    </w:p>
    <w:p w14:paraId="364D1623" w14:textId="77777777" w:rsidR="00454A29" w:rsidRDefault="00454A29">
      <w:pPr>
        <w:pStyle w:val="ConsPlusNormal"/>
        <w:spacing w:before="220"/>
        <w:ind w:firstLine="540"/>
        <w:jc w:val="both"/>
      </w:pPr>
      <w:r>
        <w:lastRenderedPageBreak/>
        <w:t>б) выписку из сводной бюджетной росписи местного бюджета о наличии в бюджете муниципального образования на текущий финансовый год бюджетных ассигнований на исполнение расходного обязательства, софинансирование которого осуществляется из государственного бюджета Республики Саха (Якутия);</w:t>
      </w:r>
    </w:p>
    <w:p w14:paraId="4657029F" w14:textId="77777777" w:rsidR="00454A29" w:rsidRDefault="00454A29">
      <w:pPr>
        <w:pStyle w:val="ConsPlusNormal"/>
        <w:spacing w:before="220"/>
        <w:ind w:firstLine="540"/>
        <w:jc w:val="both"/>
      </w:pPr>
      <w:r>
        <w:t>в) письменное обязательство муниципального образования:</w:t>
      </w:r>
    </w:p>
    <w:p w14:paraId="130C79A9" w14:textId="77777777" w:rsidR="00454A29" w:rsidRDefault="00454A29">
      <w:pPr>
        <w:pStyle w:val="ConsPlusNormal"/>
        <w:spacing w:before="220"/>
        <w:ind w:firstLine="540"/>
        <w:jc w:val="both"/>
      </w:pPr>
      <w:r>
        <w:t xml:space="preserve">направление субсидии на финансовое обеспечение мероприятий по созданию дополнительных мест для детей в возрасте от 1,5 до 3 лет в дошкольных организациях, реализуемых в соответствии с </w:t>
      </w:r>
      <w:hyperlink w:anchor="P34387" w:history="1">
        <w:r>
          <w:rPr>
            <w:color w:val="0000FF"/>
          </w:rPr>
          <w:t>пунктом 2</w:t>
        </w:r>
      </w:hyperlink>
      <w:r>
        <w:t xml:space="preserve"> настоящего Порядка;</w:t>
      </w:r>
    </w:p>
    <w:p w14:paraId="60A41173" w14:textId="77777777" w:rsidR="00454A29" w:rsidRDefault="00454A29">
      <w:pPr>
        <w:pStyle w:val="ConsPlusNormal"/>
        <w:spacing w:before="220"/>
        <w:ind w:firstLine="540"/>
        <w:jc w:val="both"/>
      </w:pPr>
      <w:r>
        <w:t>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исполнения обязательств по концессионным соглашениям в период действия соглашения за счет средств местного бюджета;</w:t>
      </w:r>
    </w:p>
    <w:p w14:paraId="113E4671" w14:textId="77777777" w:rsidR="00454A29" w:rsidRDefault="00454A29">
      <w:pPr>
        <w:pStyle w:val="ConsPlusNormal"/>
        <w:spacing w:before="220"/>
        <w:ind w:firstLine="540"/>
        <w:jc w:val="both"/>
      </w:pPr>
      <w:r>
        <w:t>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местного бюджета, источником софинансирования которых является субсидия.</w:t>
      </w:r>
    </w:p>
    <w:p w14:paraId="1D21127A" w14:textId="77777777" w:rsidR="00454A29" w:rsidRDefault="00454A29">
      <w:pPr>
        <w:pStyle w:val="ConsPlusNormal"/>
        <w:spacing w:before="220"/>
        <w:ind w:firstLine="540"/>
        <w:jc w:val="both"/>
      </w:pPr>
      <w:r>
        <w:t>г) документы, подтверждающие объемы необходимых расходов по мероприятиям:</w:t>
      </w:r>
    </w:p>
    <w:p w14:paraId="18CE995B" w14:textId="77777777" w:rsidR="00454A29" w:rsidRDefault="00454A29">
      <w:pPr>
        <w:pStyle w:val="ConsPlusNormal"/>
        <w:spacing w:before="220"/>
        <w:ind w:firstLine="540"/>
        <w:jc w:val="both"/>
      </w:pPr>
      <w:r>
        <w:t>при строительстве зданий (пристройки к зданию) и приобретении (выкупе) строящихся объектов и помещений:</w:t>
      </w:r>
    </w:p>
    <w:p w14:paraId="48DDF307" w14:textId="77777777" w:rsidR="00454A29" w:rsidRDefault="00454A29">
      <w:pPr>
        <w:pStyle w:val="ConsPlusNormal"/>
        <w:spacing w:before="220"/>
        <w:ind w:firstLine="540"/>
        <w:jc w:val="both"/>
      </w:pPr>
      <w:r>
        <w:t>проектная документация, разработанная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w:t>
      </w:r>
    </w:p>
    <w:p w14:paraId="05C12B83" w14:textId="77777777" w:rsidR="00454A29" w:rsidRDefault="00454A29">
      <w:pPr>
        <w:pStyle w:val="ConsPlusNormal"/>
        <w:spacing w:before="220"/>
        <w:ind w:firstLine="540"/>
        <w:jc w:val="both"/>
      </w:pPr>
      <w:r>
        <w:t>подтверждение наличия земельного участка, выделенного в установленном порядке под строительство образовательных организаций и объектов инженерной инфраструктуры, в соответствии с утвержденными документами территориального планирования (схем территориального планирования, генеральных планов муниципальных образований), правилами землепользования и застройки территорий, проектами планировки и межевания территорий, находящегося вне зоны регулярного подтопления паводковыми водами и вне обременений в использовании: земельных и иных имущественных споров, ареста (запрещения к использованию);</w:t>
      </w:r>
    </w:p>
    <w:p w14:paraId="5EAEFD81" w14:textId="77777777" w:rsidR="00454A29" w:rsidRDefault="00454A29">
      <w:pPr>
        <w:pStyle w:val="ConsPlusNormal"/>
        <w:spacing w:before="220"/>
        <w:ind w:firstLine="540"/>
        <w:jc w:val="both"/>
      </w:pPr>
      <w:r>
        <w:t>при приобретении (выкупе) зданий (пристройки к зданию) и помещений:</w:t>
      </w:r>
    </w:p>
    <w:p w14:paraId="7A40318D" w14:textId="77777777" w:rsidR="00454A29" w:rsidRDefault="00454A29">
      <w:pPr>
        <w:pStyle w:val="ConsPlusNormal"/>
        <w:spacing w:before="220"/>
        <w:ind w:firstLine="540"/>
        <w:jc w:val="both"/>
      </w:pPr>
      <w:r>
        <w:t>отчет об оценке объекта недвижимого имущества, соответствующий требованиям законодательства Российской Федерации;</w:t>
      </w:r>
    </w:p>
    <w:p w14:paraId="0BB9D973" w14:textId="77777777" w:rsidR="00454A29" w:rsidRDefault="00454A29">
      <w:pPr>
        <w:pStyle w:val="ConsPlusNormal"/>
        <w:spacing w:before="220"/>
        <w:ind w:firstLine="540"/>
        <w:jc w:val="both"/>
      </w:pPr>
      <w:r>
        <w:t>заключение по обследованию технического состояния объекта с установленной категорией (ограниченно работоспособное техническое состояние, аварийное) составленное специализированной организацией, имеющей свидетельство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73D7C18E" w14:textId="77777777" w:rsidR="00454A29" w:rsidRDefault="00454A29">
      <w:pPr>
        <w:pStyle w:val="ConsPlusNormal"/>
        <w:spacing w:before="220"/>
        <w:ind w:firstLine="540"/>
        <w:jc w:val="both"/>
      </w:pPr>
      <w:r>
        <w:t xml:space="preserve">4.5. Уполномоченная организация регистрирует представленные Заявки в день их поступления, проверяет правильность оформления и комплектность Заявок в соответствии с </w:t>
      </w:r>
      <w:hyperlink w:anchor="P34394" w:history="1">
        <w:r>
          <w:rPr>
            <w:color w:val="0000FF"/>
          </w:rPr>
          <w:t>пунктом 4.4</w:t>
        </w:r>
      </w:hyperlink>
      <w:r>
        <w:t xml:space="preserve"> настоящего Порядка.</w:t>
      </w:r>
    </w:p>
    <w:p w14:paraId="372947F1" w14:textId="77777777" w:rsidR="00454A29" w:rsidRDefault="00454A29">
      <w:pPr>
        <w:pStyle w:val="ConsPlusNormal"/>
        <w:spacing w:before="220"/>
        <w:ind w:firstLine="540"/>
        <w:jc w:val="both"/>
      </w:pPr>
      <w:r>
        <w:t>4.6. В случае представления Заявки, не соответствующей требованиям пункта 4.4, указанная Заявка не допускается Комиссией к участию в Отборе.</w:t>
      </w:r>
    </w:p>
    <w:p w14:paraId="45B9BCFF" w14:textId="77777777" w:rsidR="00454A29" w:rsidRDefault="00454A29">
      <w:pPr>
        <w:pStyle w:val="ConsPlusNormal"/>
        <w:spacing w:before="220"/>
        <w:ind w:firstLine="540"/>
        <w:jc w:val="both"/>
      </w:pPr>
      <w:r>
        <w:t>4.7. В случае представления Заявки по истечении установленного срока, указанная Заявка не допускается Комиссией к участию в Отборе.</w:t>
      </w:r>
    </w:p>
    <w:p w14:paraId="01945151" w14:textId="77777777" w:rsidR="00454A29" w:rsidRDefault="00454A29">
      <w:pPr>
        <w:pStyle w:val="ConsPlusNormal"/>
        <w:spacing w:before="220"/>
        <w:ind w:firstLine="540"/>
        <w:jc w:val="both"/>
      </w:pPr>
      <w:r>
        <w:t>4.8. Муниципальные образования вправе отозвать Заявку, направив в уполномоченную организацию соответствующее письменное уведомление.</w:t>
      </w:r>
    </w:p>
    <w:p w14:paraId="32003943" w14:textId="77777777" w:rsidR="00454A29" w:rsidRDefault="00454A29">
      <w:pPr>
        <w:pStyle w:val="ConsPlusNormal"/>
        <w:spacing w:before="220"/>
        <w:ind w:firstLine="540"/>
        <w:jc w:val="both"/>
      </w:pPr>
      <w:r>
        <w:t>4.9. Заявка считается отозванной со дня поступления в уполномоченную организацию письменного уведомления, но не позднее даты окончания рассмотрения Заявок.</w:t>
      </w:r>
    </w:p>
    <w:p w14:paraId="4DA198F4" w14:textId="77777777" w:rsidR="00454A29" w:rsidRDefault="00454A29">
      <w:pPr>
        <w:pStyle w:val="ConsPlusNormal"/>
        <w:spacing w:before="220"/>
        <w:ind w:firstLine="540"/>
        <w:jc w:val="both"/>
      </w:pPr>
      <w:r>
        <w:t>4.10. Заявки, допущенные Комиссией к участию в Отборе, муниципальным образованиям не возвращаются.</w:t>
      </w:r>
    </w:p>
    <w:p w14:paraId="4B75B746" w14:textId="77777777" w:rsidR="00454A29" w:rsidRDefault="00454A29">
      <w:pPr>
        <w:pStyle w:val="ConsPlusNormal"/>
        <w:spacing w:before="220"/>
        <w:ind w:firstLine="540"/>
        <w:jc w:val="both"/>
      </w:pPr>
      <w:r>
        <w:t>4.11. В случае принятия решения о переносе даты окончания приема Заявок Министерство размещает объявление о продлении срока запроса на Сайте, не позднее 3 рабочих дней со дня принятия соответствующего решения.</w:t>
      </w:r>
    </w:p>
    <w:p w14:paraId="7E04C680" w14:textId="77777777" w:rsidR="00454A29" w:rsidRDefault="00454A29">
      <w:pPr>
        <w:pStyle w:val="ConsPlusNormal"/>
        <w:spacing w:before="220"/>
        <w:ind w:firstLine="540"/>
        <w:jc w:val="both"/>
      </w:pPr>
      <w:r>
        <w:t>4.12. Комиссия в рамках проведения Отбора в течение 15 рабочих дней с момента окончания срока приема Заявок осуществляет:</w:t>
      </w:r>
    </w:p>
    <w:p w14:paraId="1840270C" w14:textId="77777777" w:rsidR="00454A29" w:rsidRDefault="00454A29">
      <w:pPr>
        <w:pStyle w:val="ConsPlusNormal"/>
        <w:spacing w:before="220"/>
        <w:ind w:firstLine="540"/>
        <w:jc w:val="both"/>
      </w:pPr>
      <w:r>
        <w:t>рассмотрение и допуск к участию в Отборе представленных Заявок;</w:t>
      </w:r>
    </w:p>
    <w:p w14:paraId="7026A54A" w14:textId="77777777" w:rsidR="00454A29" w:rsidRDefault="00454A29">
      <w:pPr>
        <w:pStyle w:val="ConsPlusNormal"/>
        <w:spacing w:before="220"/>
        <w:ind w:firstLine="540"/>
        <w:jc w:val="both"/>
      </w:pPr>
      <w:r>
        <w:t>оценку представленных Заявок на предмет соответствия требованиям, установленным настоящим Порядком;</w:t>
      </w:r>
    </w:p>
    <w:p w14:paraId="159FEEFD" w14:textId="77777777" w:rsidR="00454A29" w:rsidRDefault="00454A29">
      <w:pPr>
        <w:pStyle w:val="ConsPlusNormal"/>
        <w:spacing w:before="220"/>
        <w:ind w:firstLine="540"/>
        <w:jc w:val="both"/>
      </w:pPr>
      <w:r>
        <w:t>определение муниципальных образований для предоставления субсидии;</w:t>
      </w:r>
    </w:p>
    <w:p w14:paraId="33A010FD" w14:textId="77777777" w:rsidR="00454A29" w:rsidRDefault="00454A29">
      <w:pPr>
        <w:pStyle w:val="ConsPlusNormal"/>
        <w:spacing w:before="220"/>
        <w:ind w:firstLine="540"/>
        <w:jc w:val="both"/>
      </w:pPr>
      <w:r>
        <w:t>определение объемов субсидий муниципальным образованиям в соответствии с настоящим Порядком;</w:t>
      </w:r>
    </w:p>
    <w:p w14:paraId="1EB892C7" w14:textId="77777777" w:rsidR="00454A29" w:rsidRDefault="00454A29">
      <w:pPr>
        <w:pStyle w:val="ConsPlusNormal"/>
        <w:spacing w:before="220"/>
        <w:ind w:firstLine="540"/>
        <w:jc w:val="both"/>
      </w:pPr>
      <w:r>
        <w:t>оформление протокола по результатам рассмотрения Заявок Комиссией (далее - протокол заседания Комиссии);</w:t>
      </w:r>
    </w:p>
    <w:p w14:paraId="29E3A01B" w14:textId="77777777" w:rsidR="00454A29" w:rsidRDefault="00454A29">
      <w:pPr>
        <w:pStyle w:val="ConsPlusNormal"/>
        <w:spacing w:before="220"/>
        <w:ind w:firstLine="540"/>
        <w:jc w:val="both"/>
      </w:pPr>
      <w:r>
        <w:t>размещение протокола заседания Комиссии на Сайте;</w:t>
      </w:r>
    </w:p>
    <w:p w14:paraId="1C81EE0C" w14:textId="77777777" w:rsidR="00454A29" w:rsidRDefault="00454A29">
      <w:pPr>
        <w:pStyle w:val="ConsPlusNormal"/>
        <w:spacing w:before="220"/>
        <w:ind w:firstLine="540"/>
        <w:jc w:val="both"/>
      </w:pPr>
      <w:r>
        <w:t>направление протокола заседания Комиссии главному распорядителю бюджетных средств.</w:t>
      </w:r>
    </w:p>
    <w:p w14:paraId="3F960BB7" w14:textId="77777777" w:rsidR="00454A29" w:rsidRDefault="00454A29">
      <w:pPr>
        <w:pStyle w:val="ConsPlusNormal"/>
        <w:spacing w:before="220"/>
        <w:ind w:firstLine="540"/>
        <w:jc w:val="both"/>
      </w:pPr>
      <w:r>
        <w:t>При оценке Заявок муниципальных образований приоритет имеют следующие показатели:</w:t>
      </w:r>
    </w:p>
    <w:p w14:paraId="7A4C3EA6" w14:textId="77777777" w:rsidR="00454A29" w:rsidRDefault="00454A29">
      <w:pPr>
        <w:pStyle w:val="ConsPlusNormal"/>
        <w:spacing w:before="220"/>
        <w:ind w:firstLine="540"/>
        <w:jc w:val="both"/>
      </w:pPr>
      <w:r>
        <w:t>наибольшая потребность в обеспечении местами детей в возрасте от 1,5 лет до 3 лет в дошкольных организациях;</w:t>
      </w:r>
    </w:p>
    <w:p w14:paraId="5A0C57F8" w14:textId="77777777" w:rsidR="00454A29" w:rsidRDefault="00454A29">
      <w:pPr>
        <w:pStyle w:val="ConsPlusNormal"/>
        <w:spacing w:before="220"/>
        <w:ind w:firstLine="540"/>
        <w:jc w:val="both"/>
      </w:pPr>
      <w:r>
        <w:t>наибольшее количество дополнительно создаваемых мест при наименьшей стоимости одного создаваемого места в дошкольных организациях.</w:t>
      </w:r>
    </w:p>
    <w:p w14:paraId="2697B410" w14:textId="77777777" w:rsidR="00454A29" w:rsidRDefault="00454A29">
      <w:pPr>
        <w:pStyle w:val="ConsPlusNormal"/>
        <w:spacing w:before="220"/>
        <w:ind w:firstLine="540"/>
        <w:jc w:val="both"/>
      </w:pPr>
      <w:r>
        <w:t>При прочих равных условиях учитывается дата подачи Заявки.</w:t>
      </w:r>
    </w:p>
    <w:p w14:paraId="24E3A407" w14:textId="77777777" w:rsidR="00454A29" w:rsidRDefault="00454A29">
      <w:pPr>
        <w:pStyle w:val="ConsPlusNormal"/>
        <w:spacing w:before="220"/>
        <w:ind w:firstLine="540"/>
        <w:jc w:val="both"/>
      </w:pPr>
      <w:r>
        <w:t>5. Критерием отбора муниципальных образований для предоставления субсидии является наличие (с учетом демографического прогноза) потребности муниципального образования в создании дополнительных мест для детей в возрасте от 1,5 до 3 лет в дошкольных организациях.</w:t>
      </w:r>
    </w:p>
    <w:p w14:paraId="4C186EB1" w14:textId="77777777" w:rsidR="00454A29" w:rsidRDefault="00454A29">
      <w:pPr>
        <w:pStyle w:val="ConsPlusNormal"/>
        <w:spacing w:before="220"/>
        <w:ind w:firstLine="540"/>
        <w:jc w:val="both"/>
      </w:pPr>
      <w:bookmarkStart w:id="53" w:name="P34428"/>
      <w:bookmarkEnd w:id="53"/>
      <w:r>
        <w:t>6. Условиями предоставления субсидии являются:</w:t>
      </w:r>
    </w:p>
    <w:p w14:paraId="605B6772" w14:textId="77777777" w:rsidR="00454A29" w:rsidRDefault="00454A29">
      <w:pPr>
        <w:pStyle w:val="ConsPlusNormal"/>
        <w:spacing w:before="220"/>
        <w:ind w:firstLine="540"/>
        <w:jc w:val="both"/>
      </w:pPr>
      <w:r>
        <w:t xml:space="preserve">а) наличие в бюджете муниципального образования бюджетных ассигнований на исполнение </w:t>
      </w:r>
      <w:r>
        <w:lastRenderedPageBreak/>
        <w:t>расходных обязательств муниципального образования, в целях софинансирования которого предоставляется субсидия;</w:t>
      </w:r>
    </w:p>
    <w:p w14:paraId="2D9C76E1" w14:textId="77777777" w:rsidR="00454A29" w:rsidRDefault="00454A29">
      <w:pPr>
        <w:pStyle w:val="ConsPlusNormal"/>
        <w:spacing w:before="220"/>
        <w:ind w:firstLine="540"/>
        <w:jc w:val="both"/>
      </w:pPr>
      <w:r>
        <w:t>б) наличие соглашения с Министерством о предоставлении и распределении из государственного бюджета Республики Саха (Якутия) субсидии бюджету муниципального района (городского округа), предусматривающего обязательства муниципального района (городского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w:t>
      </w:r>
    </w:p>
    <w:p w14:paraId="66894FE1" w14:textId="77777777" w:rsidR="00454A29" w:rsidRDefault="00454A29">
      <w:pPr>
        <w:pStyle w:val="ConsPlusNormal"/>
        <w:spacing w:before="220"/>
        <w:ind w:firstLine="540"/>
        <w:jc w:val="both"/>
      </w:pPr>
      <w:r>
        <w:t xml:space="preserve">в) наличие в муниципальном образовании утвержденной муниципальной программы (муниципального проекта), включающей в себя одно или несколько мероприятий, предусмотренных </w:t>
      </w:r>
      <w:hyperlink w:anchor="P34387" w:history="1">
        <w:r>
          <w:rPr>
            <w:color w:val="0000FF"/>
          </w:rPr>
          <w:t>пунктом 2</w:t>
        </w:r>
      </w:hyperlink>
      <w:r>
        <w:t xml:space="preserve"> настоящего Порядка;</w:t>
      </w:r>
    </w:p>
    <w:p w14:paraId="3CCA6925" w14:textId="77777777" w:rsidR="00454A29" w:rsidRDefault="00454A29">
      <w:pPr>
        <w:pStyle w:val="ConsPlusNormal"/>
        <w:spacing w:before="220"/>
        <w:ind w:firstLine="540"/>
        <w:jc w:val="both"/>
      </w:pPr>
      <w:r>
        <w:t>7. Соглашение заключается между Министерством и муниципальным образованием в соответствии.</w:t>
      </w:r>
    </w:p>
    <w:p w14:paraId="3C307454" w14:textId="77777777" w:rsidR="00454A29" w:rsidRDefault="00454A29">
      <w:pPr>
        <w:pStyle w:val="ConsPlusNormal"/>
        <w:spacing w:before="220"/>
        <w:ind w:firstLine="540"/>
        <w:jc w:val="both"/>
      </w:pPr>
      <w:r>
        <w:t>8. Форма Соглашения утверждается Министерством в соответствии с типовой формой соглашения, утвержденной нормативным правовым актом Правительства Российской Федерации.</w:t>
      </w:r>
    </w:p>
    <w:p w14:paraId="29EB83B9" w14:textId="77777777" w:rsidR="00454A29" w:rsidRDefault="00454A29">
      <w:pPr>
        <w:pStyle w:val="ConsPlusNormal"/>
        <w:spacing w:before="220"/>
        <w:ind w:firstLine="540"/>
        <w:jc w:val="both"/>
      </w:pPr>
      <w:r>
        <w:t xml:space="preserve">9. При заключении соглашения муниципальное образование представляет главному распорядителю бюджетных средств отчет об исполнении условий предоставления субсидий, предусмотренных </w:t>
      </w:r>
      <w:hyperlink w:anchor="P34428" w:history="1">
        <w:r>
          <w:rPr>
            <w:color w:val="0000FF"/>
          </w:rPr>
          <w:t>пунктом 6</w:t>
        </w:r>
      </w:hyperlink>
      <w:r>
        <w:t xml:space="preserve"> настоящего Порядка.</w:t>
      </w:r>
    </w:p>
    <w:p w14:paraId="4B291571" w14:textId="77777777" w:rsidR="00454A29" w:rsidRDefault="00454A29">
      <w:pPr>
        <w:pStyle w:val="ConsPlusNormal"/>
        <w:spacing w:before="220"/>
        <w:ind w:firstLine="540"/>
        <w:jc w:val="both"/>
      </w:pPr>
      <w:bookmarkStart w:id="54" w:name="P34435"/>
      <w:bookmarkEnd w:id="54"/>
      <w:r>
        <w:t>10. Соглашение, заключаемое в соответствии с настоящим Порядком, должно содержать:</w:t>
      </w:r>
    </w:p>
    <w:p w14:paraId="0228639A" w14:textId="77777777" w:rsidR="00454A29" w:rsidRDefault="00454A29">
      <w:pPr>
        <w:pStyle w:val="ConsPlusNormal"/>
        <w:spacing w:before="220"/>
        <w:ind w:firstLine="540"/>
        <w:jc w:val="both"/>
      </w:pPr>
      <w:r>
        <w:t>а) размер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реализацию соответствующих расходных обязательств;</w:t>
      </w:r>
    </w:p>
    <w:p w14:paraId="6281AC5D" w14:textId="77777777" w:rsidR="00454A29" w:rsidRDefault="00454A29">
      <w:pPr>
        <w:pStyle w:val="ConsPlusNormal"/>
        <w:spacing w:before="220"/>
        <w:ind w:firstLine="540"/>
        <w:jc w:val="both"/>
      </w:pPr>
      <w:r>
        <w:t xml:space="preserve">б) значение показателя результативности использования субсидии, предусмотренного </w:t>
      </w:r>
      <w:hyperlink w:anchor="P34512" w:history="1">
        <w:r>
          <w:rPr>
            <w:color w:val="0000FF"/>
          </w:rPr>
          <w:t>пунктом 24</w:t>
        </w:r>
      </w:hyperlink>
      <w:r>
        <w:t xml:space="preserve"> настоящего Порядка, который должен соответствовать значению целевых показателей (индикаторов) государственной программы Республики Саха (Якутия), и обязательства муниципального образования по его достижению;</w:t>
      </w:r>
    </w:p>
    <w:p w14:paraId="23BE4614" w14:textId="77777777" w:rsidR="00454A29" w:rsidRDefault="00454A29">
      <w:pPr>
        <w:pStyle w:val="ConsPlusNormal"/>
        <w:spacing w:before="220"/>
        <w:ind w:firstLine="540"/>
        <w:jc w:val="both"/>
      </w:pPr>
      <w:r>
        <w:t>в)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предоставляются субсидии;</w:t>
      </w:r>
    </w:p>
    <w:p w14:paraId="55933306" w14:textId="77777777" w:rsidR="00454A29" w:rsidRDefault="00454A29">
      <w:pPr>
        <w:pStyle w:val="ConsPlusNormal"/>
        <w:spacing w:before="220"/>
        <w:ind w:firstLine="540"/>
        <w:jc w:val="both"/>
      </w:pPr>
      <w:r>
        <w:t>г) порядок и сроки представления отчетности об осуществлении расходов бюджета муниципального образования, а также о достижении значения показателя результативности использования субсидии;</w:t>
      </w:r>
    </w:p>
    <w:p w14:paraId="0B194B25" w14:textId="77777777" w:rsidR="00454A29" w:rsidRDefault="00454A29">
      <w:pPr>
        <w:pStyle w:val="ConsPlusNormal"/>
        <w:spacing w:before="220"/>
        <w:ind w:firstLine="540"/>
        <w:jc w:val="both"/>
      </w:pPr>
      <w:r>
        <w:t>д) порядок осуществления контроля за выполнением муниципальным образованием обязательств, предусмотренных соглашением;</w:t>
      </w:r>
    </w:p>
    <w:p w14:paraId="64647560" w14:textId="77777777" w:rsidR="00454A29" w:rsidRDefault="00454A29">
      <w:pPr>
        <w:pStyle w:val="ConsPlusNormal"/>
        <w:spacing w:before="220"/>
        <w:ind w:firstLine="540"/>
        <w:jc w:val="both"/>
      </w:pPr>
      <w:r>
        <w:t>е) последствия недостижения муниципальным образованием установленных значений показателей результативности использования субсидии;</w:t>
      </w:r>
    </w:p>
    <w:p w14:paraId="7CF7C0C8" w14:textId="77777777" w:rsidR="00454A29" w:rsidRDefault="00454A29">
      <w:pPr>
        <w:pStyle w:val="ConsPlusNormal"/>
        <w:spacing w:before="220"/>
        <w:ind w:firstLine="540"/>
        <w:jc w:val="both"/>
      </w:pPr>
      <w:r>
        <w:t>ж) обязательство муниципального образования использовать в целях осуществления строительства зданий (пристройки к зданию), приобретения (выкупа) зданий (пристройки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местного бюджета, источником софинансирования которых является субсидия;</w:t>
      </w:r>
    </w:p>
    <w:p w14:paraId="47ABC1DA" w14:textId="77777777" w:rsidR="00454A29" w:rsidRDefault="00454A29">
      <w:pPr>
        <w:pStyle w:val="ConsPlusNormal"/>
        <w:spacing w:before="220"/>
        <w:ind w:firstLine="540"/>
        <w:jc w:val="both"/>
      </w:pPr>
      <w:r>
        <w:lastRenderedPageBreak/>
        <w:t>з) обязательство муниципального образования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исполнения обязательств по концессионным соглашениям в период действия соглашения за счет средств местного бюджета;</w:t>
      </w:r>
    </w:p>
    <w:p w14:paraId="23389227" w14:textId="77777777" w:rsidR="00454A29" w:rsidRDefault="00454A29">
      <w:pPr>
        <w:pStyle w:val="ConsPlusNormal"/>
        <w:spacing w:before="220"/>
        <w:ind w:firstLine="540"/>
        <w:jc w:val="both"/>
      </w:pPr>
      <w:r>
        <w:t xml:space="preserve">и) обязательство муниципального образования направлять субсидию на финансовое обеспечение мероприятий по созданию дополнительных мест для детей в возрасте от 1,5 дет до 3 лет в дошкольных организациях, реализуемых в соответствии с </w:t>
      </w:r>
      <w:hyperlink w:anchor="P34387" w:history="1">
        <w:r>
          <w:rPr>
            <w:color w:val="0000FF"/>
          </w:rPr>
          <w:t>пунктом 2</w:t>
        </w:r>
      </w:hyperlink>
      <w:r>
        <w:t xml:space="preserve"> настоящего Порядка;</w:t>
      </w:r>
    </w:p>
    <w:p w14:paraId="4C4BA05C" w14:textId="77777777" w:rsidR="00454A29" w:rsidRDefault="00454A29">
      <w:pPr>
        <w:pStyle w:val="ConsPlusNormal"/>
        <w:spacing w:before="220"/>
        <w:ind w:firstLine="540"/>
        <w:jc w:val="both"/>
      </w:pPr>
      <w:r>
        <w:t>к) обязательство муниципальных образований не направлять субсидию на строительство зданий (пристройки к зданию), приобретение (выкуп) зданий (пристройки к зданию) и помещений дошкольных организаций, финансовое обеспечение которых осуществляется за счет иных средств государственного бюджета;</w:t>
      </w:r>
    </w:p>
    <w:p w14:paraId="0C53BA20" w14:textId="77777777" w:rsidR="00454A29" w:rsidRDefault="00454A29">
      <w:pPr>
        <w:pStyle w:val="ConsPlusNormal"/>
        <w:spacing w:before="220"/>
        <w:ind w:firstLine="540"/>
        <w:jc w:val="both"/>
      </w:pPr>
      <w:r>
        <w:t>л) перечень объектов капитального строительства и (или) объектов недвижимого имущества и обязательства муниципального образования по соблюдению графика выполнения мероприятий по строительству зданий (пристройки к зданию) дошкольных организаций в пределах установленной стоимости строительства здания (пристройки к зданию) или стоимости приобретения (выкупа) зданий (пристройки к зданию) и помещений дошкольных организаций;</w:t>
      </w:r>
    </w:p>
    <w:p w14:paraId="031802CB" w14:textId="77777777" w:rsidR="00454A29" w:rsidRDefault="00454A29">
      <w:pPr>
        <w:pStyle w:val="ConsPlusNormal"/>
        <w:spacing w:before="220"/>
        <w:ind w:firstLine="540"/>
        <w:jc w:val="both"/>
      </w:pPr>
      <w:r>
        <w:t>м) обязательство о подготовке строительной площадки (снос, перенос зданий, сооружений, переселение граждан из жилых домов, подпадающих под зону строительства, компенсация стоимости сносимых зданий, сооружений) за счет средств местного бюджета или внебюджетных источников;</w:t>
      </w:r>
    </w:p>
    <w:p w14:paraId="4B2FDCD1" w14:textId="77777777" w:rsidR="00454A29" w:rsidRDefault="00454A29">
      <w:pPr>
        <w:pStyle w:val="ConsPlusNormal"/>
        <w:spacing w:before="220"/>
        <w:ind w:firstLine="540"/>
        <w:jc w:val="both"/>
      </w:pPr>
      <w:r>
        <w:t>н) обязательство (при строительстве новых объектов на других земельных участках (площадках) с условием замены существующих зданий) об обеспечении в месячный срок после ввода объекта в эксплуатацию приватизации или сноса старых зданий, сооружений за счет средств местного бюджета или внебюджетных источников;</w:t>
      </w:r>
    </w:p>
    <w:p w14:paraId="06372B2D" w14:textId="77777777" w:rsidR="00454A29" w:rsidRDefault="00454A29">
      <w:pPr>
        <w:pStyle w:val="ConsPlusNormal"/>
        <w:spacing w:before="220"/>
        <w:ind w:firstLine="540"/>
        <w:jc w:val="both"/>
      </w:pPr>
      <w:r>
        <w:t>о) в случае предоставления субсидии в целях софинансирования расходного обязательства муниципального образования, предусматривающего реализацию более одного мероприятия (капитальные вложения в несколько объектов капитального строительства (объектов недвижимого имущества), значения показателей результативности предоставления субсидии устанавливаются по каждому мероприятию (объекту капитального строительства (объекту недвижимого имущества));</w:t>
      </w:r>
    </w:p>
    <w:p w14:paraId="0D802163" w14:textId="77777777" w:rsidR="00454A29" w:rsidRDefault="00454A29">
      <w:pPr>
        <w:pStyle w:val="ConsPlusNormal"/>
        <w:spacing w:before="220"/>
        <w:ind w:firstLine="540"/>
        <w:jc w:val="both"/>
      </w:pPr>
      <w:r>
        <w:t>п)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строительству здания (пристройки к зданию) или стоимости приобретения (выкупа) зданий (пристройки к зданию) и помещений дошкольных организаций;</w:t>
      </w:r>
    </w:p>
    <w:p w14:paraId="078D83BF" w14:textId="77777777" w:rsidR="00454A29" w:rsidRDefault="00454A29">
      <w:pPr>
        <w:pStyle w:val="ConsPlusNormal"/>
        <w:spacing w:before="220"/>
        <w:ind w:firstLine="540"/>
        <w:jc w:val="both"/>
      </w:pPr>
      <w:r>
        <w:t>р) последствия несоблюдения графика выполнения мероприятий по строительству здания (пристройки к зданию) или стоимости приобретения (выкупа) зданий (пристройки к зданию) и помещений дошкольных организаций;</w:t>
      </w:r>
    </w:p>
    <w:p w14:paraId="5B03F361" w14:textId="77777777" w:rsidR="00454A29" w:rsidRDefault="00454A29">
      <w:pPr>
        <w:pStyle w:val="ConsPlusNormal"/>
        <w:spacing w:before="220"/>
        <w:ind w:firstLine="540"/>
        <w:jc w:val="both"/>
      </w:pPr>
      <w:r>
        <w:t>с) обязательство муниципального образования в случае направления субсидии на создание дополнительных мест для детей в возрасте от 1,5 лет до 3 лет путем строительства зданий (пристройки к зданию) привлечь для осуществления функции строительного контроля ГКУ "Служба государственного заказчика Республики Саха (Якутия)";</w:t>
      </w:r>
    </w:p>
    <w:p w14:paraId="419CA488" w14:textId="77777777" w:rsidR="00454A29" w:rsidRDefault="00454A29">
      <w:pPr>
        <w:pStyle w:val="ConsPlusNormal"/>
        <w:spacing w:before="220"/>
        <w:ind w:firstLine="540"/>
        <w:jc w:val="both"/>
      </w:pPr>
      <w:r>
        <w:t>т) ответственность сторон за нарушение условий соглашения;</w:t>
      </w:r>
    </w:p>
    <w:p w14:paraId="3160DC82" w14:textId="77777777" w:rsidR="00454A29" w:rsidRDefault="00454A29">
      <w:pPr>
        <w:pStyle w:val="ConsPlusNormal"/>
        <w:spacing w:before="220"/>
        <w:ind w:firstLine="540"/>
        <w:jc w:val="both"/>
      </w:pPr>
      <w:r>
        <w:lastRenderedPageBreak/>
        <w:t>у) условие о вступлении в силу соглашения.</w:t>
      </w:r>
    </w:p>
    <w:p w14:paraId="6BF83EAA" w14:textId="77777777" w:rsidR="00454A29" w:rsidRDefault="00454A29">
      <w:pPr>
        <w:pStyle w:val="ConsPlusNormal"/>
        <w:spacing w:before="220"/>
        <w:ind w:firstLine="540"/>
        <w:jc w:val="both"/>
      </w:pPr>
      <w:r>
        <w:t xml:space="preserve">11. Допускается внесение в соглашение изменений, предусматривающих увеличение значения показателя результативности использования субсидии, указанного в </w:t>
      </w:r>
      <w:hyperlink w:anchor="P34512" w:history="1">
        <w:r>
          <w:rPr>
            <w:color w:val="0000FF"/>
          </w:rPr>
          <w:t>пункте 24</w:t>
        </w:r>
      </w:hyperlink>
      <w:r>
        <w:t xml:space="preserve"> настоящих Правил, без увеличения размера субсидии.</w:t>
      </w:r>
    </w:p>
    <w:p w14:paraId="2D88FEFD" w14:textId="77777777" w:rsidR="00454A29" w:rsidRDefault="00454A29">
      <w:pPr>
        <w:pStyle w:val="ConsPlusNormal"/>
        <w:spacing w:before="220"/>
        <w:ind w:firstLine="540"/>
        <w:jc w:val="both"/>
      </w:pPr>
      <w:r>
        <w:t>В случае изменения размера субсидии допускается внесение в соглашение изменений, предусматривающих корректировку промежуточного значения показателя результативности использования субсидий, не влекущих ухудшения конечных результатов реализации национальных проектов и (или) федеральных проектов.</w:t>
      </w:r>
    </w:p>
    <w:p w14:paraId="7BAAF3DE" w14:textId="77777777" w:rsidR="00454A29" w:rsidRDefault="00454A29">
      <w:pPr>
        <w:pStyle w:val="ConsPlusNormal"/>
        <w:spacing w:before="220"/>
        <w:ind w:firstLine="540"/>
        <w:jc w:val="both"/>
      </w:pPr>
      <w:r>
        <w:t>12.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14:paraId="685A822F" w14:textId="77777777" w:rsidR="00454A29" w:rsidRDefault="00454A29">
      <w:pPr>
        <w:pStyle w:val="ConsPlusNormal"/>
        <w:spacing w:before="220"/>
        <w:ind w:firstLine="540"/>
        <w:jc w:val="both"/>
      </w:pPr>
      <w:r>
        <w:t>13. Расчет размера субсидии, предоставляемой i-му местному бюджету, производится в 2 этапа.</w:t>
      </w:r>
    </w:p>
    <w:p w14:paraId="73412CB2" w14:textId="77777777" w:rsidR="00454A29" w:rsidRDefault="00454A29">
      <w:pPr>
        <w:pStyle w:val="ConsPlusNormal"/>
        <w:spacing w:before="220"/>
        <w:ind w:firstLine="540"/>
        <w:jc w:val="both"/>
      </w:pPr>
      <w:r>
        <w:t>14. На I этапе расчета размера субсидии осуществляется предварительный расчет размера субсидии, предоставляемой i-му местному бюджету (S</w:t>
      </w:r>
      <w:r>
        <w:rPr>
          <w:vertAlign w:val="subscript"/>
        </w:rPr>
        <w:t>i</w:t>
      </w:r>
      <w:r>
        <w:t>), по формуле:</w:t>
      </w:r>
    </w:p>
    <w:p w14:paraId="265CB0E3" w14:textId="77777777" w:rsidR="00454A29" w:rsidRDefault="00454A29">
      <w:pPr>
        <w:pStyle w:val="ConsPlusNormal"/>
      </w:pPr>
    </w:p>
    <w:p w14:paraId="4CFAB0A2" w14:textId="77777777" w:rsidR="00454A29" w:rsidRDefault="00454A29">
      <w:pPr>
        <w:pStyle w:val="ConsPlusNormal"/>
        <w:jc w:val="center"/>
      </w:pPr>
      <w:r w:rsidRPr="005D7449">
        <w:rPr>
          <w:position w:val="-57"/>
        </w:rPr>
        <w:pict w14:anchorId="5FD77956">
          <v:shape id="_x0000_i1036" style="width:214.25pt;height:68.5pt" coordsize="" o:spt="100" adj="0,,0" path="" filled="f" stroked="f">
            <v:stroke joinstyle="miter"/>
            <v:imagedata r:id="rId63" o:title="base_23801_77601_32779"/>
            <v:formulas/>
            <v:path o:connecttype="segments"/>
          </v:shape>
        </w:pict>
      </w:r>
      <w:r>
        <w:t>,</w:t>
      </w:r>
    </w:p>
    <w:p w14:paraId="48570B38" w14:textId="77777777" w:rsidR="00454A29" w:rsidRDefault="00454A29">
      <w:pPr>
        <w:pStyle w:val="ConsPlusNormal"/>
      </w:pPr>
    </w:p>
    <w:p w14:paraId="4E56516A" w14:textId="77777777" w:rsidR="00454A29" w:rsidRDefault="00454A29">
      <w:pPr>
        <w:pStyle w:val="ConsPlusNormal"/>
        <w:ind w:firstLine="540"/>
        <w:jc w:val="both"/>
      </w:pPr>
      <w:r>
        <w:t>где:</w:t>
      </w:r>
    </w:p>
    <w:p w14:paraId="607E22D4" w14:textId="77777777" w:rsidR="00454A29" w:rsidRDefault="00454A29">
      <w:pPr>
        <w:pStyle w:val="ConsPlusNormal"/>
        <w:spacing w:before="220"/>
        <w:ind w:firstLine="540"/>
        <w:jc w:val="both"/>
      </w:pPr>
      <w:r>
        <w:t>S - общий размер субсидии;</w:t>
      </w:r>
    </w:p>
    <w:p w14:paraId="620AF841" w14:textId="77777777" w:rsidR="00454A29" w:rsidRDefault="00454A29">
      <w:pPr>
        <w:pStyle w:val="ConsPlusNormal"/>
        <w:spacing w:before="220"/>
        <w:ind w:firstLine="540"/>
        <w:jc w:val="both"/>
      </w:pPr>
      <w:r>
        <w:t>D</w:t>
      </w:r>
      <w:r>
        <w:rPr>
          <w:vertAlign w:val="subscript"/>
        </w:rPr>
        <w:t>i</w:t>
      </w:r>
      <w:r>
        <w:t xml:space="preserve"> - численность детей в возрасте до 3 лет в i-м муниципальном образовании по данным Федеральной службы государственной статистики о возрастно-половом составе населения за последний отчетный год;</w:t>
      </w:r>
    </w:p>
    <w:p w14:paraId="59E2BC44" w14:textId="77777777" w:rsidR="00454A29" w:rsidRDefault="00454A29">
      <w:pPr>
        <w:pStyle w:val="ConsPlusNormal"/>
        <w:spacing w:before="220"/>
        <w:ind w:firstLine="540"/>
        <w:jc w:val="both"/>
      </w:pPr>
      <w:r>
        <w:t>O</w:t>
      </w:r>
      <w:r>
        <w:rPr>
          <w:vertAlign w:val="subscript"/>
        </w:rPr>
        <w:t>i</w:t>
      </w:r>
      <w:r>
        <w:t xml:space="preserve"> - численность детей в возрасте от 1,5 до 3 лет, не обеспеченных местом за последний отчетный год в соответствии с показателем D</w:t>
      </w:r>
      <w:r>
        <w:rPr>
          <w:vertAlign w:val="subscript"/>
        </w:rPr>
        <w:t>i</w:t>
      </w:r>
      <w:r>
        <w:t>, желающих получить место в муниципальной дошкольной организации, в i-м муниципальном образовании по данным федерального сегмента системы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14:paraId="6A5D50B2" w14:textId="77777777" w:rsidR="00454A29" w:rsidRDefault="00454A29">
      <w:pPr>
        <w:pStyle w:val="ConsPlusNormal"/>
        <w:spacing w:before="220"/>
        <w:ind w:firstLine="540"/>
        <w:jc w:val="both"/>
      </w:pPr>
      <w:r>
        <w:t>Y</w:t>
      </w:r>
      <w:r>
        <w:rPr>
          <w:vertAlign w:val="subscript"/>
        </w:rPr>
        <w:t>i</w:t>
      </w:r>
      <w:r>
        <w:t xml:space="preserve"> - предельный уровень софинансирования из государственного бюджета расходного обязательства i-го муниципального образования, связанного с реализацией муниципальным образованием региональной программы (регионального проекта) в части мероприятий по созданию дополнительных мест для детей в возрасте от 1,5 до 3 лет в дошкольных организациях, утвержденный Правительством Республики Саха (Якутия);</w:t>
      </w:r>
    </w:p>
    <w:p w14:paraId="18EDAE42" w14:textId="77777777" w:rsidR="00454A29" w:rsidRDefault="00454A29">
      <w:pPr>
        <w:pStyle w:val="ConsPlusNormal"/>
        <w:spacing w:before="220"/>
        <w:ind w:firstLine="540"/>
        <w:jc w:val="both"/>
      </w:pPr>
      <w:r>
        <w:t>n - число муниципальных образований - получателей субсидии.</w:t>
      </w:r>
    </w:p>
    <w:p w14:paraId="7142DB89" w14:textId="77777777" w:rsidR="00454A29" w:rsidRDefault="00454A29">
      <w:pPr>
        <w:pStyle w:val="ConsPlusNormal"/>
        <w:spacing w:before="220"/>
        <w:ind w:firstLine="540"/>
        <w:jc w:val="both"/>
      </w:pPr>
      <w:r>
        <w:t>При этом предварительно рассчитанный размер субсидии не может быть менее 42,675 млн. рублей. Муниципальным образованиям, для которых предварительно рассчитанный размер субсидии окажется менее 42,675 млн. рублей, устанавливается размер субсидии, равный 42,675 млн. рублей.</w:t>
      </w:r>
    </w:p>
    <w:p w14:paraId="2CED1480" w14:textId="77777777" w:rsidR="00454A29" w:rsidRDefault="00454A29">
      <w:pPr>
        <w:pStyle w:val="ConsPlusNormal"/>
        <w:spacing w:before="220"/>
        <w:ind w:firstLine="540"/>
        <w:jc w:val="both"/>
      </w:pPr>
      <w:bookmarkStart w:id="55" w:name="P34470"/>
      <w:bookmarkEnd w:id="55"/>
      <w:r>
        <w:t xml:space="preserve">15. На II этапе расчета размера субсидии Министерством осуществляется расчет размера </w:t>
      </w:r>
      <w:r>
        <w:lastRenderedPageBreak/>
        <w:t xml:space="preserve">субсидии, предоставляемой бюджету i-го муниципального образования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34485" w:history="1">
        <w:r>
          <w:rPr>
            <w:color w:val="0000FF"/>
          </w:rPr>
          <w:t>пунктом 18</w:t>
        </w:r>
      </w:hyperlink>
      <w:r>
        <w:t xml:space="preserve"> настоящего Порядка, в пределах предварительного размера субсидии, рассчитанного на I этапе, путем расчета размера субсидии в отношении каждого объекта, заявленного муниципальными образованиями к софинансированию из государственного бюджета (S</w:t>
      </w:r>
      <w:r>
        <w:rPr>
          <w:vertAlign w:val="subscript"/>
        </w:rPr>
        <w:t>i2</w:t>
      </w:r>
      <w:r>
        <w:t>), по формуле:</w:t>
      </w:r>
    </w:p>
    <w:p w14:paraId="1E38448D" w14:textId="77777777" w:rsidR="00454A29" w:rsidRDefault="00454A29">
      <w:pPr>
        <w:pStyle w:val="ConsPlusNormal"/>
      </w:pPr>
    </w:p>
    <w:p w14:paraId="6FAA84BA" w14:textId="77777777" w:rsidR="00454A29" w:rsidRDefault="00454A29">
      <w:pPr>
        <w:pStyle w:val="ConsPlusNormal"/>
        <w:jc w:val="center"/>
      </w:pPr>
      <w:r w:rsidRPr="005D7449">
        <w:rPr>
          <w:position w:val="-11"/>
        </w:rPr>
        <w:pict w14:anchorId="6856CDBA">
          <v:shape id="_x0000_i1037" style="width:194.95pt;height:21.95pt" coordsize="" o:spt="100" adj="0,,0" path="" filled="f" stroked="f">
            <v:stroke joinstyle="miter"/>
            <v:imagedata r:id="rId64" o:title="base_23801_77601_32780"/>
            <v:formulas/>
            <v:path o:connecttype="segments"/>
          </v:shape>
        </w:pict>
      </w:r>
      <w:r>
        <w:t>,</w:t>
      </w:r>
    </w:p>
    <w:p w14:paraId="7BB2B38D" w14:textId="77777777" w:rsidR="00454A29" w:rsidRDefault="00454A29">
      <w:pPr>
        <w:pStyle w:val="ConsPlusNormal"/>
      </w:pPr>
    </w:p>
    <w:p w14:paraId="119F1C4A" w14:textId="77777777" w:rsidR="00454A29" w:rsidRDefault="00454A29">
      <w:pPr>
        <w:pStyle w:val="ConsPlusNormal"/>
        <w:ind w:firstLine="540"/>
        <w:jc w:val="both"/>
      </w:pPr>
      <w:r>
        <w:t>где:</w:t>
      </w:r>
    </w:p>
    <w:p w14:paraId="200D044C" w14:textId="77777777" w:rsidR="00454A29" w:rsidRDefault="00454A29">
      <w:pPr>
        <w:pStyle w:val="ConsPlusNormal"/>
        <w:spacing w:before="220"/>
        <w:ind w:firstLine="540"/>
        <w:jc w:val="both"/>
      </w:pPr>
      <w:r>
        <w:t>М</w:t>
      </w:r>
      <w:r>
        <w:rPr>
          <w:vertAlign w:val="subscript"/>
        </w:rPr>
        <w:t>ij</w:t>
      </w:r>
      <w:r>
        <w:t xml:space="preserve"> - число мест в дошкольных организациях j-го объекта i-го муниципального образования;</w:t>
      </w:r>
    </w:p>
    <w:p w14:paraId="2E6AA10A" w14:textId="77777777" w:rsidR="00454A29" w:rsidRDefault="00454A29">
      <w:pPr>
        <w:pStyle w:val="ConsPlusNormal"/>
        <w:spacing w:before="220"/>
        <w:ind w:firstLine="540"/>
        <w:jc w:val="both"/>
      </w:pPr>
      <w:r>
        <w:t>НЦС</w:t>
      </w:r>
      <w:r>
        <w:rPr>
          <w:vertAlign w:val="subscript"/>
        </w:rPr>
        <w:t>ij</w:t>
      </w:r>
      <w: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14:paraId="4BB0D6C5" w14:textId="77777777" w:rsidR="00454A29" w:rsidRDefault="00454A29">
      <w:pPr>
        <w:pStyle w:val="ConsPlusNormal"/>
        <w:spacing w:before="220"/>
        <w:ind w:firstLine="540"/>
        <w:jc w:val="both"/>
      </w:pPr>
      <w:r>
        <w:t>Y</w:t>
      </w:r>
      <w:r>
        <w:rPr>
          <w:vertAlign w:val="subscript"/>
        </w:rPr>
        <w:t>i</w:t>
      </w:r>
      <w:r>
        <w:t xml:space="preserve"> - предельный уровень софинансирования из государственного бюджета расходного обязательства i-го муниципального образования;</w:t>
      </w:r>
    </w:p>
    <w:p w14:paraId="5A2C311C" w14:textId="77777777" w:rsidR="00454A29" w:rsidRDefault="00454A29">
      <w:pPr>
        <w:pStyle w:val="ConsPlusNormal"/>
        <w:spacing w:before="220"/>
        <w:ind w:firstLine="540"/>
        <w:jc w:val="both"/>
      </w:pPr>
      <w:r>
        <w:t>НДС - налог на добавленную стоимость.</w:t>
      </w:r>
    </w:p>
    <w:p w14:paraId="6C64EE70" w14:textId="77777777" w:rsidR="00454A29" w:rsidRDefault="00454A29">
      <w:pPr>
        <w:pStyle w:val="ConsPlusNormal"/>
        <w:spacing w:before="220"/>
        <w:ind w:firstLine="540"/>
        <w:jc w:val="both"/>
      </w:pPr>
      <w:bookmarkStart w:id="56" w:name="P34479"/>
      <w:bookmarkEnd w:id="56"/>
      <w:r>
        <w:t xml:space="preserve">16. В случае если по результатам расчета размера субсидии, произведенного на II этапе расчета размера субсидии, образовался нераспределенный остаток субсидии, этот остаток перераспределяется (в порядке убывания) между муниципальными образованиями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34485" w:history="1">
        <w:r>
          <w:rPr>
            <w:color w:val="0000FF"/>
          </w:rPr>
          <w:t>пунктом 18</w:t>
        </w:r>
      </w:hyperlink>
      <w:r>
        <w:t xml:space="preserve"> настоящего Порядка, путем расчета размера субсидии для одного объекта i-го муниципального образования, в отношении которого производился расчет размера субсидии на II этапе, предоставляемой бюджету i-го муниципального образования, согласно информации о приоритетности объектов, представленной муниципальными образованиями в Министерство.</w:t>
      </w:r>
    </w:p>
    <w:p w14:paraId="771C34C5" w14:textId="77777777" w:rsidR="00454A29" w:rsidRDefault="00454A29">
      <w:pPr>
        <w:pStyle w:val="ConsPlusNormal"/>
        <w:spacing w:before="220"/>
        <w:ind w:firstLine="540"/>
        <w:jc w:val="both"/>
      </w:pPr>
      <w:r>
        <w:t>При наличии нераспределенного остатка субсидии после указанного перераспределения субсидии расчет размера субсидий в отношении 2-го и последующих объектов производится в указанном порядке.</w:t>
      </w:r>
    </w:p>
    <w:p w14:paraId="102173F6" w14:textId="77777777" w:rsidR="00454A29" w:rsidRDefault="00454A29">
      <w:pPr>
        <w:pStyle w:val="ConsPlusNormal"/>
        <w:spacing w:before="220"/>
        <w:ind w:firstLine="540"/>
        <w:jc w:val="both"/>
      </w:pPr>
      <w:bookmarkStart w:id="57" w:name="P34481"/>
      <w:bookmarkEnd w:id="57"/>
      <w:r>
        <w:t>17. Нераспределенный остаток субсидии (S</w:t>
      </w:r>
      <w:r>
        <w:rPr>
          <w:vertAlign w:val="subscript"/>
        </w:rPr>
        <w:t>opr</w:t>
      </w:r>
      <w:r>
        <w:t>) определяется по формуле:</w:t>
      </w:r>
    </w:p>
    <w:p w14:paraId="6E6A6AB9" w14:textId="77777777" w:rsidR="00454A29" w:rsidRDefault="00454A29">
      <w:pPr>
        <w:pStyle w:val="ConsPlusNormal"/>
      </w:pPr>
    </w:p>
    <w:p w14:paraId="038D2A8E" w14:textId="77777777" w:rsidR="00454A29" w:rsidRDefault="00454A29">
      <w:pPr>
        <w:pStyle w:val="ConsPlusNormal"/>
        <w:jc w:val="center"/>
      </w:pPr>
      <w:r w:rsidRPr="005D7449">
        <w:rPr>
          <w:position w:val="-11"/>
        </w:rPr>
        <w:pict w14:anchorId="651F5194">
          <v:shape id="_x0000_i1038" style="width:83.4pt;height:21.95pt" coordsize="" o:spt="100" adj="0,,0" path="" filled="f" stroked="f">
            <v:stroke joinstyle="miter"/>
            <v:imagedata r:id="rId65" o:title="base_23801_77601_32781"/>
            <v:formulas/>
            <v:path o:connecttype="segments"/>
          </v:shape>
        </w:pict>
      </w:r>
    </w:p>
    <w:p w14:paraId="59A63A10" w14:textId="77777777" w:rsidR="00454A29" w:rsidRDefault="00454A29">
      <w:pPr>
        <w:pStyle w:val="ConsPlusNormal"/>
      </w:pPr>
    </w:p>
    <w:p w14:paraId="590E65A8" w14:textId="77777777" w:rsidR="00454A29" w:rsidRDefault="00454A29">
      <w:pPr>
        <w:pStyle w:val="ConsPlusNormal"/>
        <w:ind w:firstLine="540"/>
        <w:jc w:val="both"/>
      </w:pPr>
      <w:bookmarkStart w:id="58" w:name="P34485"/>
      <w:bookmarkEnd w:id="58"/>
      <w:r>
        <w:t>18. Коэффициент потребности в создании дополнительных мест для детей в возрасте от 1,5 до 3 лет в дошкольных организациях i-го муниципального образования на плановый период (K</w:t>
      </w:r>
      <w:r>
        <w:rPr>
          <w:vertAlign w:val="subscript"/>
        </w:rPr>
        <w:t>i</w:t>
      </w:r>
      <w:r>
        <w:t>) применяется для рейтингования муниципальных образований в порядке убывания и рассчитывается по формуле:</w:t>
      </w:r>
    </w:p>
    <w:p w14:paraId="185EC2D0" w14:textId="77777777" w:rsidR="00454A29" w:rsidRDefault="00454A29">
      <w:pPr>
        <w:pStyle w:val="ConsPlusNormal"/>
      </w:pPr>
    </w:p>
    <w:p w14:paraId="066464CE" w14:textId="77777777" w:rsidR="00454A29" w:rsidRDefault="00454A29">
      <w:pPr>
        <w:pStyle w:val="ConsPlusNormal"/>
        <w:jc w:val="center"/>
      </w:pPr>
      <w:r w:rsidRPr="005D7449">
        <w:rPr>
          <w:position w:val="-31"/>
        </w:rPr>
        <w:pict w14:anchorId="7D898203">
          <v:shape id="_x0000_i1039" style="width:155.4pt;height:42.15pt" coordsize="" o:spt="100" adj="0,,0" path="" filled="f" stroked="f">
            <v:stroke joinstyle="miter"/>
            <v:imagedata r:id="rId66" o:title="base_23801_77601_32782"/>
            <v:formulas/>
            <v:path o:connecttype="segments"/>
          </v:shape>
        </w:pict>
      </w:r>
    </w:p>
    <w:p w14:paraId="547BF200" w14:textId="77777777" w:rsidR="00454A29" w:rsidRDefault="00454A29">
      <w:pPr>
        <w:pStyle w:val="ConsPlusNormal"/>
      </w:pPr>
    </w:p>
    <w:p w14:paraId="31FFC890" w14:textId="77777777" w:rsidR="00454A29" w:rsidRDefault="00454A29">
      <w:pPr>
        <w:pStyle w:val="ConsPlusNormal"/>
        <w:ind w:firstLine="540"/>
        <w:jc w:val="both"/>
      </w:pPr>
      <w:r>
        <w:t xml:space="preserve">19. В случае если остаток нераспределенной субсидии, определенный в соответствии с </w:t>
      </w:r>
      <w:hyperlink w:anchor="P34481" w:history="1">
        <w:r>
          <w:rPr>
            <w:color w:val="0000FF"/>
          </w:rPr>
          <w:t>пунктом 17</w:t>
        </w:r>
      </w:hyperlink>
      <w:r>
        <w:t xml:space="preserve"> настоящих Правил, меньше стоимости строительства зданий (пристроек к зданию), приобретения (выкупа) зданий (пристроек к зданию) и помещений дошкольной организации </w:t>
      </w:r>
      <w:r>
        <w:lastRenderedPageBreak/>
        <w:t xml:space="preserve">объекта, отобранного после II этапа расчета размера субсидии, размер субсидии, предоставляемой бюджету i-го муниципального образования на создание объектов с дополнительными местами для детей в возрасте от 1,5 до 3 лет в дошкольных организациях, рассчитанный в соответствии с </w:t>
      </w:r>
      <w:hyperlink w:anchor="P34470" w:history="1">
        <w:r>
          <w:rPr>
            <w:color w:val="0000FF"/>
          </w:rPr>
          <w:t>пунктами 15</w:t>
        </w:r>
      </w:hyperlink>
      <w:r>
        <w:t xml:space="preserve"> и </w:t>
      </w:r>
      <w:hyperlink w:anchor="P34479" w:history="1">
        <w:r>
          <w:rPr>
            <w:color w:val="0000FF"/>
          </w:rPr>
          <w:t>16</w:t>
        </w:r>
      </w:hyperlink>
      <w:r>
        <w:t xml:space="preserve"> (за исключением муниципальных образований, для которых предварительный размер субсидии на I этапе расчета размера субсидии установлен в минимальном размере), уменьшается до скорректированного размера субсидии (</w:t>
      </w:r>
      <w:r w:rsidRPr="005D7449">
        <w:rPr>
          <w:position w:val="-9"/>
        </w:rPr>
        <w:pict w14:anchorId="1F4DB8D5">
          <v:shape id="_x0000_i1040" style="width:25.45pt;height:21.05pt" coordsize="" o:spt="100" adj="0,,0" path="" filled="f" stroked="f">
            <v:stroke joinstyle="miter"/>
            <v:imagedata r:id="rId67" o:title="base_23801_77601_32783"/>
            <v:formulas/>
            <v:path o:connecttype="segments"/>
          </v:shape>
        </w:pict>
      </w:r>
      <w:r>
        <w:t>), который определяется по формуле:</w:t>
      </w:r>
    </w:p>
    <w:p w14:paraId="3CBDF8A1" w14:textId="77777777" w:rsidR="00454A29" w:rsidRDefault="00454A29">
      <w:pPr>
        <w:pStyle w:val="ConsPlusNormal"/>
      </w:pPr>
    </w:p>
    <w:p w14:paraId="5EF81ACB" w14:textId="77777777" w:rsidR="00454A29" w:rsidRDefault="00454A29">
      <w:pPr>
        <w:pStyle w:val="ConsPlusNormal"/>
        <w:jc w:val="center"/>
      </w:pPr>
      <w:r w:rsidRPr="005D7449">
        <w:rPr>
          <w:position w:val="-9"/>
        </w:rPr>
        <w:pict w14:anchorId="03B89415">
          <v:shape id="_x0000_i1041" style="width:79.9pt;height:21.05pt" coordsize="" o:spt="100" adj="0,,0" path="" filled="f" stroked="f">
            <v:stroke joinstyle="miter"/>
            <v:imagedata r:id="rId68" o:title="base_23801_77601_32784"/>
            <v:formulas/>
            <v:path o:connecttype="segments"/>
          </v:shape>
        </w:pict>
      </w:r>
      <w:r>
        <w:t>,</w:t>
      </w:r>
    </w:p>
    <w:p w14:paraId="6F28C392" w14:textId="77777777" w:rsidR="00454A29" w:rsidRDefault="00454A29">
      <w:pPr>
        <w:pStyle w:val="ConsPlusNormal"/>
      </w:pPr>
    </w:p>
    <w:p w14:paraId="09E3B27A" w14:textId="77777777" w:rsidR="00454A29" w:rsidRDefault="00454A29">
      <w:pPr>
        <w:pStyle w:val="ConsPlusNormal"/>
        <w:ind w:firstLine="540"/>
        <w:jc w:val="both"/>
      </w:pPr>
      <w:r>
        <w:t>где Kk - корректирующий коэффициент размера субсидии.</w:t>
      </w:r>
    </w:p>
    <w:p w14:paraId="7F429E4D" w14:textId="77777777" w:rsidR="00454A29" w:rsidRDefault="00454A29">
      <w:pPr>
        <w:pStyle w:val="ConsPlusNormal"/>
        <w:spacing w:before="220"/>
        <w:ind w:firstLine="540"/>
        <w:jc w:val="both"/>
      </w:pPr>
      <w:r>
        <w:t>20. Корректирующий коэффициент размера субсидии (Kk) определяется по формуле:</w:t>
      </w:r>
    </w:p>
    <w:p w14:paraId="39BFE1B7" w14:textId="77777777" w:rsidR="00454A29" w:rsidRDefault="00454A29">
      <w:pPr>
        <w:pStyle w:val="ConsPlusNormal"/>
      </w:pPr>
    </w:p>
    <w:p w14:paraId="1142F922" w14:textId="77777777" w:rsidR="00454A29" w:rsidRDefault="00454A29">
      <w:pPr>
        <w:pStyle w:val="ConsPlusNormal"/>
        <w:jc w:val="center"/>
      </w:pPr>
      <w:r w:rsidRPr="005D7449">
        <w:rPr>
          <w:position w:val="-27"/>
        </w:rPr>
        <w:pict w14:anchorId="5B158ECB">
          <v:shape id="_x0000_i1042" style="width:81.65pt;height:38.65pt" coordsize="" o:spt="100" adj="0,,0" path="" filled="f" stroked="f">
            <v:stroke joinstyle="miter"/>
            <v:imagedata r:id="rId69" o:title="base_23801_77601_32785"/>
            <v:formulas/>
            <v:path o:connecttype="segments"/>
          </v:shape>
        </w:pict>
      </w:r>
      <w:r>
        <w:t>,</w:t>
      </w:r>
    </w:p>
    <w:p w14:paraId="515C440C" w14:textId="77777777" w:rsidR="00454A29" w:rsidRDefault="00454A29">
      <w:pPr>
        <w:pStyle w:val="ConsPlusNormal"/>
      </w:pPr>
    </w:p>
    <w:p w14:paraId="5BAB7120" w14:textId="77777777" w:rsidR="00454A29" w:rsidRDefault="00454A29">
      <w:pPr>
        <w:pStyle w:val="ConsPlusNormal"/>
        <w:ind w:firstLine="540"/>
        <w:jc w:val="both"/>
      </w:pPr>
      <w:r>
        <w:t xml:space="preserve">где </w:t>
      </w:r>
      <w:r w:rsidRPr="005D7449">
        <w:rPr>
          <w:position w:val="-8"/>
        </w:rPr>
        <w:pict w14:anchorId="6513DF2E">
          <v:shape id="_x0000_i1043" style="width:16.7pt;height:19.3pt" coordsize="" o:spt="100" adj="0,,0" path="" filled="f" stroked="f">
            <v:stroke joinstyle="miter"/>
            <v:imagedata r:id="rId70" o:title="base_23801_77601_32786"/>
            <v:formulas/>
            <v:path o:connecttype="segments"/>
          </v:shape>
        </w:pict>
      </w:r>
      <w:r>
        <w:t xml:space="preserve"> - расчетный размер субсидии, превышающий общий размер субсидии, предусмотренной в федеральном бюджете, образовавшийся при выполнении расчетов в соответствии с </w:t>
      </w:r>
      <w:hyperlink w:anchor="P34481" w:history="1">
        <w:r>
          <w:rPr>
            <w:color w:val="0000FF"/>
          </w:rPr>
          <w:t>пунктом 17</w:t>
        </w:r>
      </w:hyperlink>
      <w:r>
        <w:t xml:space="preserve"> настоящего Порядка.</w:t>
      </w:r>
    </w:p>
    <w:p w14:paraId="5B1FC0A0" w14:textId="77777777" w:rsidR="00454A29" w:rsidRDefault="00454A29">
      <w:pPr>
        <w:pStyle w:val="ConsPlusNormal"/>
        <w:spacing w:before="220"/>
        <w:ind w:firstLine="540"/>
        <w:jc w:val="both"/>
      </w:pPr>
      <w:r>
        <w:t>21. Субсидия, от которой муниципальное образование отказалось полностью или частично, подлежит распределению между муниципальными образованиями, которые выразили готовность к освоению перераспределенных средств на условиях, предусмотренных настоящим Порядком.</w:t>
      </w:r>
    </w:p>
    <w:p w14:paraId="6C2D9875" w14:textId="77777777" w:rsidR="00454A29" w:rsidRDefault="00454A29">
      <w:pPr>
        <w:pStyle w:val="ConsPlusNormal"/>
        <w:spacing w:before="220"/>
        <w:ind w:firstLine="540"/>
        <w:jc w:val="both"/>
      </w:pPr>
      <w:r>
        <w:t>22. Субсидия предоставляется сроком на 3 финансовых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государственного бюджета мероприятий по строительству, приобретению (выкупу) объектов.</w:t>
      </w:r>
    </w:p>
    <w:p w14:paraId="2C3EB4A5" w14:textId="77777777" w:rsidR="00454A29" w:rsidRDefault="00454A29">
      <w:pPr>
        <w:pStyle w:val="ConsPlusNormal"/>
        <w:spacing w:before="220"/>
        <w:ind w:firstLine="540"/>
        <w:jc w:val="both"/>
      </w:pPr>
      <w:r>
        <w:t xml:space="preserve">Министерством период финансирования заявленных муниципальными образованиями мероприятий, предусмотренных </w:t>
      </w:r>
      <w:hyperlink w:anchor="P34387" w:history="1">
        <w:r>
          <w:rPr>
            <w:color w:val="0000FF"/>
          </w:rPr>
          <w:t>пунктом 2</w:t>
        </w:r>
      </w:hyperlink>
      <w:r>
        <w:t xml:space="preserve"> настоящего Порядка, может быть определен самостоятельно исходя из соблюдения принципов бюджетной системы Российской Федерации, установленных </w:t>
      </w:r>
      <w:hyperlink r:id="rId71" w:history="1">
        <w:r>
          <w:rPr>
            <w:color w:val="0000FF"/>
          </w:rPr>
          <w:t>главой 5</w:t>
        </w:r>
      </w:hyperlink>
      <w:r>
        <w:t xml:space="preserve"> Бюджетного кодекса Российской Федерации, и в соответствии с полномочиями главного распорядителя бюджетных средств, установленными </w:t>
      </w:r>
      <w:hyperlink r:id="rId72" w:history="1">
        <w:r>
          <w:rPr>
            <w:color w:val="0000FF"/>
          </w:rPr>
          <w:t>статьей 158</w:t>
        </w:r>
      </w:hyperlink>
      <w:r>
        <w:t xml:space="preserve"> Бюджетного кодекса Российской Федерации.</w:t>
      </w:r>
    </w:p>
    <w:p w14:paraId="7CA4E665" w14:textId="77777777" w:rsidR="00454A29" w:rsidRDefault="00454A29">
      <w:pPr>
        <w:pStyle w:val="ConsPlusNormal"/>
        <w:spacing w:before="220"/>
        <w:ind w:firstLine="540"/>
        <w:jc w:val="both"/>
      </w:pPr>
      <w:r>
        <w:t>При распределении субсидий между муниципальными образованиями размер субсидии, предоставляемой бюджету i-го муниципального образования в финансовом году, не может превышать размер средств, предусмотренных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государственного бюджета.</w:t>
      </w:r>
    </w:p>
    <w:p w14:paraId="5D27A355" w14:textId="77777777" w:rsidR="00454A29" w:rsidRDefault="00454A29">
      <w:pPr>
        <w:pStyle w:val="ConsPlusNormal"/>
        <w:spacing w:before="220"/>
        <w:ind w:firstLine="540"/>
        <w:jc w:val="both"/>
      </w:pPr>
      <w:bookmarkStart w:id="59" w:name="P34503"/>
      <w:bookmarkEnd w:id="59"/>
      <w:r>
        <w:t xml:space="preserve">23. В случае если муниципальным образованием по состоянию на 31 декабря следующего года предоставления субсидии допущены нарушения обязательств по достижению показателей результативности использования субсидии, предусмотренных соглашением в соответствии с </w:t>
      </w:r>
      <w:hyperlink w:anchor="P34435" w:history="1">
        <w:r>
          <w:rPr>
            <w:color w:val="0000FF"/>
          </w:rPr>
          <w:t>пунктом 10</w:t>
        </w:r>
      </w:hyperlink>
      <w:r>
        <w:t xml:space="preserve"> настоящего Порядка, и до первой даты представления отчетности о достижении значений показателей результативности использования субсидии в соответствии с соглашением в следующем году предоставления субсидии, указанные нарушения не устранены, объем средств, подлежащий возврату из бюджета муниципального образования в государственный бюджет до 1 июня года следующего года предоставления субсидии (V</w:t>
      </w:r>
      <w:r>
        <w:rPr>
          <w:vertAlign w:val="subscript"/>
        </w:rPr>
        <w:t>возврата</w:t>
      </w:r>
      <w:r>
        <w:t>), рассчитывается по формуле:</w:t>
      </w:r>
    </w:p>
    <w:p w14:paraId="54B1CA6C" w14:textId="77777777" w:rsidR="00454A29" w:rsidRDefault="00454A29">
      <w:pPr>
        <w:pStyle w:val="ConsPlusNormal"/>
      </w:pPr>
    </w:p>
    <w:p w14:paraId="43AF6335" w14:textId="77777777" w:rsidR="00454A29" w:rsidRDefault="00454A29">
      <w:pPr>
        <w:pStyle w:val="ConsPlusNormal"/>
        <w:jc w:val="center"/>
      </w:pPr>
      <w:r>
        <w:t>V</w:t>
      </w:r>
      <w:r>
        <w:rPr>
          <w:vertAlign w:val="subscript"/>
        </w:rPr>
        <w:t>возврата</w:t>
      </w:r>
      <w:r>
        <w:t xml:space="preserve"> = (V</w:t>
      </w:r>
      <w:r>
        <w:rPr>
          <w:vertAlign w:val="subscript"/>
        </w:rPr>
        <w:t>субсидий</w:t>
      </w:r>
      <w:r>
        <w:t xml:space="preserve"> x k x m / n) x 0,1,</w:t>
      </w:r>
    </w:p>
    <w:p w14:paraId="3A7DB727" w14:textId="77777777" w:rsidR="00454A29" w:rsidRDefault="00454A29">
      <w:pPr>
        <w:pStyle w:val="ConsPlusNormal"/>
      </w:pPr>
    </w:p>
    <w:p w14:paraId="03E83747" w14:textId="77777777" w:rsidR="00454A29" w:rsidRDefault="00454A29">
      <w:pPr>
        <w:pStyle w:val="ConsPlusNormal"/>
        <w:ind w:firstLine="540"/>
        <w:jc w:val="both"/>
      </w:pPr>
      <w:r>
        <w:t>где:</w:t>
      </w:r>
    </w:p>
    <w:p w14:paraId="7E9D45AD" w14:textId="77777777" w:rsidR="00454A29" w:rsidRDefault="00454A29">
      <w:pPr>
        <w:pStyle w:val="ConsPlusNormal"/>
        <w:spacing w:before="220"/>
        <w:ind w:firstLine="540"/>
        <w:jc w:val="both"/>
      </w:pPr>
      <w:r>
        <w:t>V</w:t>
      </w:r>
      <w:r>
        <w:rPr>
          <w:vertAlign w:val="subscript"/>
        </w:rPr>
        <w:t>субсидий</w:t>
      </w:r>
      <w:r>
        <w:t xml:space="preserve"> - размер субсидии, предоставленной бюджету муниципального образования в отчетном финансовом году;</w:t>
      </w:r>
    </w:p>
    <w:p w14:paraId="72870876" w14:textId="77777777" w:rsidR="00454A29" w:rsidRDefault="00454A29">
      <w:pPr>
        <w:pStyle w:val="ConsPlusNormal"/>
        <w:spacing w:before="220"/>
        <w:ind w:firstLine="540"/>
        <w:jc w:val="both"/>
      </w:pPr>
      <w:r>
        <w:t>k - коэффициент возврата субсидии;</w:t>
      </w:r>
    </w:p>
    <w:p w14:paraId="415C9891" w14:textId="77777777" w:rsidR="00454A29" w:rsidRDefault="00454A29">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1855DCB4" w14:textId="77777777" w:rsidR="00454A29" w:rsidRDefault="00454A29">
      <w:pPr>
        <w:pStyle w:val="ConsPlusNormal"/>
        <w:spacing w:before="220"/>
        <w:ind w:firstLine="540"/>
        <w:jc w:val="both"/>
      </w:pPr>
      <w:r>
        <w:t>n - общее количество показателей результативности использования субсидии.</w:t>
      </w:r>
    </w:p>
    <w:p w14:paraId="310099B1" w14:textId="77777777" w:rsidR="00454A29" w:rsidRDefault="00454A29">
      <w:pPr>
        <w:pStyle w:val="ConsPlusNormal"/>
        <w:spacing w:before="220"/>
        <w:ind w:firstLine="540"/>
        <w:jc w:val="both"/>
      </w:pPr>
      <w:bookmarkStart w:id="60" w:name="P34512"/>
      <w:bookmarkEnd w:id="60"/>
      <w:r>
        <w:t>24. Коэффициент возврата субсидии (k) определяется по формуле:</w:t>
      </w:r>
    </w:p>
    <w:p w14:paraId="7F14ECE5" w14:textId="77777777" w:rsidR="00454A29" w:rsidRDefault="00454A29">
      <w:pPr>
        <w:pStyle w:val="ConsPlusNormal"/>
      </w:pPr>
    </w:p>
    <w:p w14:paraId="60D105F9" w14:textId="77777777" w:rsidR="00454A29" w:rsidRPr="00454A29" w:rsidRDefault="00454A29">
      <w:pPr>
        <w:pStyle w:val="ConsPlusNormal"/>
        <w:jc w:val="center"/>
        <w:rPr>
          <w:lang w:val="en-US"/>
        </w:rPr>
      </w:pPr>
      <w:r w:rsidRPr="00454A29">
        <w:rPr>
          <w:lang w:val="en-US"/>
        </w:rPr>
        <w:t>k = SUM D</w:t>
      </w:r>
      <w:r w:rsidRPr="00454A29">
        <w:rPr>
          <w:vertAlign w:val="subscript"/>
          <w:lang w:val="en-US"/>
        </w:rPr>
        <w:t>i</w:t>
      </w:r>
      <w:r w:rsidRPr="00454A29">
        <w:rPr>
          <w:lang w:val="en-US"/>
        </w:rPr>
        <w:t xml:space="preserve"> / m,</w:t>
      </w:r>
    </w:p>
    <w:p w14:paraId="4DDF1A2A" w14:textId="77777777" w:rsidR="00454A29" w:rsidRPr="00454A29" w:rsidRDefault="00454A29">
      <w:pPr>
        <w:pStyle w:val="ConsPlusNormal"/>
        <w:rPr>
          <w:lang w:val="en-US"/>
        </w:rPr>
      </w:pPr>
    </w:p>
    <w:p w14:paraId="02FBAF01" w14:textId="77777777" w:rsidR="00454A29" w:rsidRPr="00454A29" w:rsidRDefault="00454A29">
      <w:pPr>
        <w:pStyle w:val="ConsPlusNormal"/>
        <w:ind w:firstLine="540"/>
        <w:jc w:val="both"/>
        <w:rPr>
          <w:lang w:val="en-US"/>
        </w:rPr>
      </w:pPr>
      <w:r>
        <w:t>где</w:t>
      </w:r>
      <w:r w:rsidRPr="00454A29">
        <w:rPr>
          <w:lang w:val="en-US"/>
        </w:rPr>
        <w:t>:</w:t>
      </w:r>
    </w:p>
    <w:p w14:paraId="0C756281" w14:textId="77777777" w:rsidR="00454A29" w:rsidRDefault="00454A29">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14:paraId="0E5097A1" w14:textId="77777777" w:rsidR="00454A29" w:rsidRDefault="00454A29">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44D5BEC4" w14:textId="77777777" w:rsidR="00454A29" w:rsidRDefault="00454A29">
      <w:pPr>
        <w:pStyle w:val="ConsPlusNormal"/>
        <w:spacing w:before="220"/>
        <w:ind w:firstLine="540"/>
        <w:jc w:val="both"/>
      </w:pPr>
      <w:r>
        <w:t>25. Индекс, отражающий уровень недостижения i-го показателя результативности использования субсидии (D</w:t>
      </w:r>
      <w:r>
        <w:rPr>
          <w:vertAlign w:val="subscript"/>
        </w:rPr>
        <w:t>i</w:t>
      </w:r>
      <w:r>
        <w:t>), определяется:</w:t>
      </w:r>
    </w:p>
    <w:p w14:paraId="57043424" w14:textId="77777777" w:rsidR="00454A29" w:rsidRDefault="00454A29">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57511D72" w14:textId="77777777" w:rsidR="00454A29" w:rsidRDefault="00454A29">
      <w:pPr>
        <w:pStyle w:val="ConsPlusNormal"/>
      </w:pPr>
    </w:p>
    <w:p w14:paraId="5DE38C7B" w14:textId="77777777" w:rsidR="00454A29" w:rsidRDefault="00454A29">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14:paraId="7D91445D" w14:textId="77777777" w:rsidR="00454A29" w:rsidRDefault="00454A29">
      <w:pPr>
        <w:pStyle w:val="ConsPlusNormal"/>
      </w:pPr>
    </w:p>
    <w:p w14:paraId="48F8A363" w14:textId="77777777" w:rsidR="00454A29" w:rsidRDefault="00454A29">
      <w:pPr>
        <w:pStyle w:val="ConsPlusNormal"/>
        <w:ind w:firstLine="540"/>
        <w:jc w:val="both"/>
      </w:pPr>
      <w:r>
        <w:t>где:</w:t>
      </w:r>
    </w:p>
    <w:p w14:paraId="05A0F3B2" w14:textId="77777777" w:rsidR="00454A29" w:rsidRDefault="00454A29">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14:paraId="0AB1A844" w14:textId="77777777" w:rsidR="00454A29" w:rsidRDefault="00454A29">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14:paraId="5C90FFCF" w14:textId="77777777" w:rsidR="00454A29" w:rsidRDefault="00454A29">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41B29080" w14:textId="77777777" w:rsidR="00454A29" w:rsidRDefault="00454A29">
      <w:pPr>
        <w:pStyle w:val="ConsPlusNormal"/>
      </w:pPr>
    </w:p>
    <w:p w14:paraId="7A5E5257" w14:textId="77777777" w:rsidR="00454A29" w:rsidRDefault="00454A29">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14:paraId="0F89DDA0" w14:textId="77777777" w:rsidR="00454A29" w:rsidRDefault="00454A29">
      <w:pPr>
        <w:pStyle w:val="ConsPlusNormal"/>
      </w:pPr>
    </w:p>
    <w:p w14:paraId="37080D15" w14:textId="77777777" w:rsidR="00454A29" w:rsidRDefault="00454A29">
      <w:pPr>
        <w:pStyle w:val="ConsPlusNormal"/>
        <w:ind w:firstLine="540"/>
        <w:jc w:val="both"/>
      </w:pPr>
      <w:r>
        <w:t xml:space="preserve">26. Основанием для освобождения муниципальных образований от применения мер ответственности, предусмотренных </w:t>
      </w:r>
      <w:hyperlink w:anchor="P34503" w:history="1">
        <w:r>
          <w:rPr>
            <w:color w:val="0000FF"/>
          </w:rPr>
          <w:t>пунктом 23</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4AEA9CD2" w14:textId="77777777" w:rsidR="00454A29" w:rsidRDefault="00454A29">
      <w:pPr>
        <w:pStyle w:val="ConsPlusNormal"/>
        <w:spacing w:before="220"/>
        <w:ind w:firstLine="540"/>
        <w:jc w:val="both"/>
      </w:pPr>
      <w:r>
        <w:lastRenderedPageBreak/>
        <w:t>27. Главный распорядитель бюджетных средств при наличии основания, предусмотренного пунктом 26 настоящего Порядка,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258EF4FD" w14:textId="77777777" w:rsidR="00454A29" w:rsidRDefault="00454A29">
      <w:pPr>
        <w:pStyle w:val="ConsPlusNormal"/>
        <w:spacing w:before="220"/>
        <w:ind w:firstLine="540"/>
        <w:jc w:val="both"/>
      </w:pPr>
      <w:r>
        <w:t xml:space="preserve">28. 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Документы представляются главному распорядителю бюджетных средств муниципальным образованием до 30 апреля года, следующего за годом предоставления субсидии. Главный распорядитель бюджетных средств не позднее 15 мая года, следующего за годом предоставления субсидии, издает ведомственный акт об освобождении органов местного самоуправления от применения мер ответственности, предусмотренных </w:t>
      </w:r>
      <w:hyperlink w:anchor="P34503" w:history="1">
        <w:r>
          <w:rPr>
            <w:color w:val="0000FF"/>
          </w:rPr>
          <w:t>пунктом 23</w:t>
        </w:r>
      </w:hyperlink>
      <w:r>
        <w:t xml:space="preserve"> настоящего Порядка.</w:t>
      </w:r>
    </w:p>
    <w:p w14:paraId="7859596F" w14:textId="77777777" w:rsidR="00454A29" w:rsidRDefault="00454A29">
      <w:pPr>
        <w:pStyle w:val="ConsPlusNormal"/>
        <w:spacing w:before="220"/>
        <w:ind w:firstLine="540"/>
        <w:jc w:val="both"/>
      </w:pPr>
      <w:r>
        <w:t xml:space="preserve">29. В случае отсутствия оснований для освобождения муниципального образования от применения мер ответственности, предусмотренных пунктом 23 настоящего Порядка, главный распорядитель бюджетных средств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w:t>
      </w:r>
      <w:hyperlink w:anchor="P34503" w:history="1">
        <w:r>
          <w:rPr>
            <w:color w:val="0000FF"/>
          </w:rPr>
          <w:t>пунктом 23</w:t>
        </w:r>
      </w:hyperlink>
      <w:r>
        <w:t xml:space="preserve"> настоящего Порядка.</w:t>
      </w:r>
    </w:p>
    <w:p w14:paraId="16C8FB20" w14:textId="77777777" w:rsidR="00454A29" w:rsidRDefault="00454A29">
      <w:pPr>
        <w:pStyle w:val="ConsPlusNormal"/>
        <w:spacing w:before="220"/>
        <w:ind w:firstLine="540"/>
        <w:jc w:val="both"/>
      </w:pPr>
      <w:r>
        <w:t>30. Субсидии в случае нарушения муниципальными образованиями условий их предоставления подлежат возврату в государственный бюджет в соответствии с бюджетным законодательством Российской Федерации.</w:t>
      </w:r>
    </w:p>
    <w:p w14:paraId="3756C195" w14:textId="77777777" w:rsidR="00454A29" w:rsidRDefault="00454A29">
      <w:pPr>
        <w:pStyle w:val="ConsPlusNormal"/>
        <w:spacing w:before="220"/>
        <w:ind w:firstLine="540"/>
        <w:jc w:val="both"/>
      </w:pPr>
      <w:r>
        <w:t>В случае невозврата муниципальным образованием субсидий в государственный бюджет, к нему применяются бюджетные меры принуждения, предусмотренные бюджетным законодательством Российской Федерации.</w:t>
      </w:r>
    </w:p>
    <w:p w14:paraId="164D4B7F" w14:textId="77777777" w:rsidR="00454A29" w:rsidRDefault="00454A29">
      <w:pPr>
        <w:pStyle w:val="ConsPlusNormal"/>
        <w:spacing w:before="220"/>
        <w:ind w:firstLine="540"/>
        <w:jc w:val="both"/>
      </w:pPr>
      <w:bookmarkStart w:id="61" w:name="P34537"/>
      <w:bookmarkEnd w:id="61"/>
      <w:r>
        <w:t xml:space="preserve">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34435" w:history="1">
        <w:r>
          <w:rPr>
            <w:color w:val="0000FF"/>
          </w:rPr>
          <w:t>пунктом 10</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строительству зданий (пристройки к зданию) или приобретению (выкупу) зданий (пристройки к зданию) дошкольных организаций,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государственного бюджета Республики Саха (Якутия) в срок до 1 июня года, следующего за годом предоставления субсидии.</w:t>
      </w:r>
    </w:p>
    <w:p w14:paraId="2E55FCDD" w14:textId="77777777" w:rsidR="00454A29" w:rsidRDefault="00454A29">
      <w:pPr>
        <w:pStyle w:val="ConsPlusNormal"/>
        <w:spacing w:before="220"/>
        <w:ind w:firstLine="540"/>
        <w:jc w:val="both"/>
      </w:pPr>
      <w:r>
        <w:t xml:space="preserve">32. В случае одновременного нарушения муниципальным образованием обязательств по соблюдению графика выполнения мероприятий по строительству зданий (пристройки к зданию) или приобретению (выкупу) зданий (пристройки к зданию) дошкольных организаций в пределах установленной стоимости строительства или стоимости приобретения объектов, а также достижению значений показателей результативности предоставления субсидий, возврату подлежит объем средств, соответствующий размеру субсидии на софинансирование капитальных вложений в объекты муниципальной собственности в соответствии с </w:t>
      </w:r>
      <w:hyperlink w:anchor="P34537" w:history="1">
        <w:r>
          <w:rPr>
            <w:color w:val="0000FF"/>
          </w:rPr>
          <w:t>пунктом 31</w:t>
        </w:r>
      </w:hyperlink>
      <w:r>
        <w:t xml:space="preserve"> настоящего Порядка.</w:t>
      </w:r>
    </w:p>
    <w:p w14:paraId="33D266D4" w14:textId="77777777" w:rsidR="00454A29" w:rsidRDefault="00454A29">
      <w:pPr>
        <w:pStyle w:val="ConsPlusNormal"/>
        <w:spacing w:before="220"/>
        <w:ind w:firstLine="540"/>
        <w:jc w:val="both"/>
      </w:pPr>
      <w:r>
        <w:t xml:space="preserve">Меры ответственности к муниципальным образованиям, установленные пунктом 31 настоящего Порядка, не применяются к муниципальным образованиям в случае неисполнения условий соглашения по финансированию мероприятий со стороны государственного заказчика - </w:t>
      </w:r>
      <w:r>
        <w:lastRenderedPageBreak/>
        <w:t>финансирование менее 50% от размера предоставляемой субсидии местным бюджетам из государственного бюджета Республики Саха (Якутия) в текущем финансовом году.</w:t>
      </w:r>
    </w:p>
    <w:p w14:paraId="29BFA3DD" w14:textId="77777777" w:rsidR="00454A29" w:rsidRDefault="00454A29">
      <w:pPr>
        <w:pStyle w:val="ConsPlusNormal"/>
        <w:spacing w:before="220"/>
        <w:ind w:firstLine="540"/>
        <w:jc w:val="both"/>
      </w:pPr>
      <w:r>
        <w:t>33. Ответственность за достоверность представляемых главному распорядителю бюджетных средств сведений и соблюдение условий, установленных настоящим Порядком и соглашением, возлагается на муниципальные образования.</w:t>
      </w:r>
    </w:p>
    <w:p w14:paraId="37FE2EC0" w14:textId="77777777" w:rsidR="00454A29" w:rsidRDefault="00454A29">
      <w:pPr>
        <w:pStyle w:val="ConsPlusNormal"/>
        <w:spacing w:before="220"/>
        <w:ind w:firstLine="540"/>
        <w:jc w:val="both"/>
      </w:pPr>
      <w:r>
        <w:t xml:space="preserve">34. Бюджетные средства, образовавшиеся в результате экономии (в том числе по итогам проведения органами местного самоуправления муниципальных образований конкурсных процедур в соответствии с Федеральным </w:t>
      </w:r>
      <w:hyperlink r:id="rId7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14:paraId="2D5450F2" w14:textId="77777777" w:rsidR="00454A29" w:rsidRDefault="00454A29">
      <w:pPr>
        <w:pStyle w:val="ConsPlusNormal"/>
        <w:spacing w:before="220"/>
        <w:ind w:firstLine="540"/>
        <w:jc w:val="both"/>
      </w:pPr>
      <w:r>
        <w:t>35.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16B21B8C" w14:textId="77777777" w:rsidR="00454A29" w:rsidRDefault="00454A29">
      <w:pPr>
        <w:pStyle w:val="ConsPlusNormal"/>
        <w:spacing w:before="220"/>
        <w:ind w:firstLine="540"/>
        <w:jc w:val="both"/>
      </w:pPr>
      <w:r>
        <w:t xml:space="preserve">Принятие решения о наличии потребности (остатков)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Порядком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 утвержденным </w:t>
      </w:r>
      <w:hyperlink r:id="rId74" w:history="1">
        <w:r>
          <w:rPr>
            <w:color w:val="0000FF"/>
          </w:rPr>
          <w:t>постановлением</w:t>
        </w:r>
      </w:hyperlink>
      <w:r>
        <w:t xml:space="preserve"> Правительства Республики Саха (Якутия) от 17 января 2017 г. N 10.</w:t>
      </w:r>
    </w:p>
    <w:p w14:paraId="49D79636" w14:textId="77777777" w:rsidR="00454A29" w:rsidRDefault="00454A29">
      <w:pPr>
        <w:pStyle w:val="ConsPlusNormal"/>
        <w:spacing w:before="220"/>
        <w:ind w:firstLine="540"/>
        <w:jc w:val="both"/>
      </w:pPr>
      <w:r>
        <w:t>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14:paraId="6EAA72FA" w14:textId="77777777" w:rsidR="00454A29" w:rsidRDefault="00454A29">
      <w:pPr>
        <w:pStyle w:val="ConsPlusNormal"/>
        <w:spacing w:before="220"/>
        <w:ind w:firstLine="540"/>
        <w:jc w:val="both"/>
      </w:pPr>
      <w:r>
        <w:t>36. Контроль за целевым использованием субсидий и за соблюдением муниципальными образованиями условий предоставления субсидии осуществляется главным распорядителем бюджетных средств и органами внутреннего государственного финансового контроля Республики Саха (Якутия).</w:t>
      </w:r>
    </w:p>
    <w:p w14:paraId="1C09C71A" w14:textId="77777777" w:rsidR="00454A29" w:rsidRDefault="00454A29">
      <w:pPr>
        <w:pStyle w:val="ConsPlusNormal"/>
      </w:pPr>
    </w:p>
    <w:p w14:paraId="3E27E1AC" w14:textId="77777777" w:rsidR="00454A29" w:rsidRDefault="00454A29">
      <w:pPr>
        <w:pStyle w:val="ConsPlusNormal"/>
      </w:pPr>
    </w:p>
    <w:p w14:paraId="1B096A4A" w14:textId="77777777" w:rsidR="00454A29" w:rsidRDefault="00454A29">
      <w:pPr>
        <w:pStyle w:val="ConsPlusNormal"/>
      </w:pPr>
    </w:p>
    <w:p w14:paraId="533F5473" w14:textId="77777777" w:rsidR="00454A29" w:rsidRDefault="00454A29">
      <w:pPr>
        <w:pStyle w:val="ConsPlusNormal"/>
      </w:pPr>
    </w:p>
    <w:p w14:paraId="3F97A920" w14:textId="77777777" w:rsidR="00454A29" w:rsidRDefault="00454A29">
      <w:pPr>
        <w:pStyle w:val="ConsPlusNormal"/>
      </w:pPr>
    </w:p>
    <w:p w14:paraId="3840194D" w14:textId="77777777" w:rsidR="00454A29" w:rsidRDefault="00454A29">
      <w:pPr>
        <w:pStyle w:val="ConsPlusNormal"/>
        <w:jc w:val="right"/>
        <w:outlineLvl w:val="1"/>
      </w:pPr>
      <w:r>
        <w:t>Приложение N 15</w:t>
      </w:r>
    </w:p>
    <w:p w14:paraId="0E176F4D" w14:textId="77777777" w:rsidR="00454A29" w:rsidRDefault="00454A29">
      <w:pPr>
        <w:pStyle w:val="ConsPlusNormal"/>
        <w:jc w:val="right"/>
      </w:pPr>
      <w:r>
        <w:t>к государственной программе</w:t>
      </w:r>
    </w:p>
    <w:p w14:paraId="341585A9" w14:textId="77777777" w:rsidR="00454A29" w:rsidRDefault="00454A29">
      <w:pPr>
        <w:pStyle w:val="ConsPlusNormal"/>
        <w:jc w:val="right"/>
      </w:pPr>
      <w:r>
        <w:t>Республики Саха (Якутия)</w:t>
      </w:r>
    </w:p>
    <w:p w14:paraId="38B57013" w14:textId="77777777" w:rsidR="00454A29" w:rsidRDefault="00454A29">
      <w:pPr>
        <w:pStyle w:val="ConsPlusNormal"/>
        <w:jc w:val="right"/>
      </w:pPr>
      <w:r>
        <w:t>"Развитие образования</w:t>
      </w:r>
    </w:p>
    <w:p w14:paraId="23994DEA" w14:textId="77777777" w:rsidR="00454A29" w:rsidRDefault="00454A29">
      <w:pPr>
        <w:pStyle w:val="ConsPlusNormal"/>
        <w:jc w:val="right"/>
      </w:pPr>
      <w:r>
        <w:t>Республики Саха (Якутия)</w:t>
      </w:r>
    </w:p>
    <w:p w14:paraId="4B4EC8A6" w14:textId="77777777" w:rsidR="00454A29" w:rsidRDefault="00454A29">
      <w:pPr>
        <w:pStyle w:val="ConsPlusNormal"/>
        <w:jc w:val="right"/>
      </w:pPr>
      <w:r>
        <w:t>на 2020 - 2024 годы и на плановый</w:t>
      </w:r>
    </w:p>
    <w:p w14:paraId="28745C73" w14:textId="77777777" w:rsidR="00454A29" w:rsidRDefault="00454A29">
      <w:pPr>
        <w:pStyle w:val="ConsPlusNormal"/>
        <w:jc w:val="right"/>
      </w:pPr>
      <w:r>
        <w:lastRenderedPageBreak/>
        <w:t>период до 2026 года"</w:t>
      </w:r>
    </w:p>
    <w:p w14:paraId="130B80F2" w14:textId="77777777" w:rsidR="00454A29" w:rsidRDefault="00454A29">
      <w:pPr>
        <w:pStyle w:val="ConsPlusNormal"/>
      </w:pPr>
    </w:p>
    <w:p w14:paraId="3B5E7D3C" w14:textId="77777777" w:rsidR="00454A29" w:rsidRDefault="00454A29">
      <w:pPr>
        <w:pStyle w:val="ConsPlusTitle"/>
        <w:jc w:val="center"/>
      </w:pPr>
      <w:bookmarkStart w:id="62" w:name="P34559"/>
      <w:bookmarkEnd w:id="62"/>
      <w:r>
        <w:t>ПОРЯДОК</w:t>
      </w:r>
    </w:p>
    <w:p w14:paraId="32F73EEA" w14:textId="77777777" w:rsidR="00454A29" w:rsidRDefault="00454A29">
      <w:pPr>
        <w:pStyle w:val="ConsPlusTitle"/>
        <w:jc w:val="center"/>
      </w:pPr>
      <w:r>
        <w:t>ПРЕДОСТАВЛЕНИЯ СУБСИДИИ МЕСТНЫМ БЮДЖЕТАМ НА РЕАЛИЗАЦИЮ</w:t>
      </w:r>
    </w:p>
    <w:p w14:paraId="523561DC" w14:textId="77777777" w:rsidR="00454A29" w:rsidRDefault="00454A29">
      <w:pPr>
        <w:pStyle w:val="ConsPlusTitle"/>
        <w:jc w:val="center"/>
      </w:pPr>
      <w:r>
        <w:t>ИНВЕСТИЦИОННЫХ ПРОЕКТОВ МУНИЦИПАЛЬНО-ЧАСТНОГО ПАРТНЕРСТВА</w:t>
      </w:r>
    </w:p>
    <w:p w14:paraId="64F8205E" w14:textId="77777777" w:rsidR="00454A29" w:rsidRDefault="00454A29">
      <w:pPr>
        <w:pStyle w:val="ConsPlusTitle"/>
        <w:jc w:val="center"/>
      </w:pPr>
      <w:r>
        <w:t>РЕСПУБЛИКИ САХА (ЯКУТИЯ)</w:t>
      </w:r>
    </w:p>
    <w:p w14:paraId="1DFEA21F" w14:textId="77777777" w:rsidR="00454A29" w:rsidRDefault="00454A29">
      <w:pPr>
        <w:pStyle w:val="ConsPlusNormal"/>
      </w:pPr>
    </w:p>
    <w:p w14:paraId="4C9E4F49" w14:textId="77777777" w:rsidR="00454A29" w:rsidRDefault="00454A29">
      <w:pPr>
        <w:pStyle w:val="ConsPlusTitle"/>
        <w:jc w:val="center"/>
        <w:outlineLvl w:val="2"/>
      </w:pPr>
      <w:r>
        <w:t>I. Общие положения</w:t>
      </w:r>
    </w:p>
    <w:p w14:paraId="70547D0E" w14:textId="77777777" w:rsidR="00454A29" w:rsidRDefault="00454A29">
      <w:pPr>
        <w:pStyle w:val="ConsPlusNormal"/>
      </w:pPr>
    </w:p>
    <w:p w14:paraId="744E849C" w14:textId="77777777" w:rsidR="00454A29" w:rsidRDefault="00454A29">
      <w:pPr>
        <w:pStyle w:val="ConsPlusNormal"/>
        <w:ind w:firstLine="540"/>
        <w:jc w:val="both"/>
      </w:pPr>
      <w:r>
        <w:t xml:space="preserve">1.1. Порядок предоставления субсидии местным бюджетам на реализацию инвестиционных проектов муниципально-частного партнерства Республики Саха (Якутия) (далее - Порядок) разработан в соответствии с Бюджетным </w:t>
      </w:r>
      <w:hyperlink r:id="rId75" w:history="1">
        <w:r>
          <w:rPr>
            <w:color w:val="0000FF"/>
          </w:rPr>
          <w:t>кодексом</w:t>
        </w:r>
      </w:hyperlink>
      <w:r>
        <w:t xml:space="preserve"> Российской Федерации, Федеральным </w:t>
      </w:r>
      <w:hyperlink r:id="rId76" w:history="1">
        <w:r>
          <w:rPr>
            <w:color w:val="0000FF"/>
          </w:rPr>
          <w:t>законом</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Закон о ГЧП).</w:t>
      </w:r>
    </w:p>
    <w:p w14:paraId="03423EB3" w14:textId="77777777" w:rsidR="00454A29" w:rsidRDefault="00454A29">
      <w:pPr>
        <w:pStyle w:val="ConsPlusNormal"/>
        <w:spacing w:before="220"/>
        <w:ind w:firstLine="540"/>
        <w:jc w:val="both"/>
      </w:pPr>
      <w:r>
        <w:t>1.2. Порядок устанавливает цель, условия, критерии отбора по предоставлению и расходованию субсидии местным бюджетам на софинансирование расходных обязательств на реализацию инвестиционных проектов муниципально-частного партнерства Республики Саха (Якутия) (далее - проекты МЧП).</w:t>
      </w:r>
    </w:p>
    <w:p w14:paraId="1F6C0D68" w14:textId="77777777" w:rsidR="00454A29" w:rsidRDefault="00454A29">
      <w:pPr>
        <w:pStyle w:val="ConsPlusNormal"/>
        <w:spacing w:before="220"/>
        <w:ind w:firstLine="540"/>
        <w:jc w:val="both"/>
      </w:pPr>
      <w:r>
        <w:t>1.3. Под проектами МЧП в Порядке понимаются проекты, реализуемые совместно публичным партнером в лице муниципального района или городского округа и частным партнером на принципах государственно-частного партнерства в соответствии с Законом о ГЧП.</w:t>
      </w:r>
    </w:p>
    <w:p w14:paraId="0F4B00FD" w14:textId="77777777" w:rsidR="00454A29" w:rsidRDefault="00454A29">
      <w:pPr>
        <w:pStyle w:val="ConsPlusNormal"/>
        <w:spacing w:before="220"/>
        <w:ind w:firstLine="540"/>
        <w:jc w:val="both"/>
      </w:pPr>
      <w:r>
        <w:t>1.4. Субсидии предоставляются местным бюджетам муниципальных районов и городских округов Республики Саха (Якутия) (далее - муниципальные образования) в пределах бюджетных ассигнований, предусмотренных на эти цели законом Республики Саха (Якутия) о государственном бюджете Республики Саха (Якутия) на соответствующий период.</w:t>
      </w:r>
    </w:p>
    <w:p w14:paraId="4B71A8D9" w14:textId="77777777" w:rsidR="00454A29" w:rsidRDefault="00454A29">
      <w:pPr>
        <w:pStyle w:val="ConsPlusNormal"/>
        <w:spacing w:before="220"/>
        <w:ind w:firstLine="540"/>
        <w:jc w:val="both"/>
      </w:pPr>
      <w:r>
        <w:t>1.5. Источниками субсидии являются средства государственного бюджета Республики Саха (Якутия), предоставляемые в качестве межбюджетных трансфертов на реализацию проектов МЧП на территории муниципальных образований Республики Саха (Якутия), а также средства, поступившие из федерального бюджета средств и от государственных корпораций (компаний), акционерных обществ и иных публично-правовых компаний, на реализацию соглашений о МЧП.</w:t>
      </w:r>
    </w:p>
    <w:p w14:paraId="62677CD9" w14:textId="77777777" w:rsidR="00454A29" w:rsidRDefault="00454A29">
      <w:pPr>
        <w:pStyle w:val="ConsPlusNormal"/>
      </w:pPr>
    </w:p>
    <w:p w14:paraId="372D7FE0" w14:textId="77777777" w:rsidR="00454A29" w:rsidRDefault="00454A29">
      <w:pPr>
        <w:pStyle w:val="ConsPlusTitle"/>
        <w:jc w:val="center"/>
        <w:outlineLvl w:val="2"/>
      </w:pPr>
      <w:r>
        <w:t>II. Цели, условия предоставления и расходования</w:t>
      </w:r>
    </w:p>
    <w:p w14:paraId="678F958E" w14:textId="77777777" w:rsidR="00454A29" w:rsidRDefault="00454A29">
      <w:pPr>
        <w:pStyle w:val="ConsPlusTitle"/>
        <w:jc w:val="center"/>
      </w:pPr>
      <w:r>
        <w:t>субсидии, критерии отбора</w:t>
      </w:r>
    </w:p>
    <w:p w14:paraId="0A6958FB" w14:textId="77777777" w:rsidR="00454A29" w:rsidRDefault="00454A29">
      <w:pPr>
        <w:pStyle w:val="ConsPlusNormal"/>
      </w:pPr>
    </w:p>
    <w:p w14:paraId="06875A59" w14:textId="77777777" w:rsidR="00454A29" w:rsidRDefault="00454A29">
      <w:pPr>
        <w:pStyle w:val="ConsPlusNormal"/>
        <w:ind w:firstLine="540"/>
        <w:jc w:val="both"/>
      </w:pPr>
      <w:r>
        <w:t>2.1. Субсидии предоставляются в целях софинансирования расходных обязательств, возникающих при реализации инвестиционных проектов МЧП по объектам образования.</w:t>
      </w:r>
    </w:p>
    <w:p w14:paraId="11A1AE8C" w14:textId="77777777" w:rsidR="00454A29" w:rsidRDefault="00454A29">
      <w:pPr>
        <w:pStyle w:val="ConsPlusNormal"/>
        <w:spacing w:before="220"/>
        <w:ind w:firstLine="540"/>
        <w:jc w:val="both"/>
      </w:pPr>
      <w:bookmarkStart w:id="63" w:name="P34576"/>
      <w:bookmarkEnd w:id="63"/>
      <w:r>
        <w:t>2.2. Условиями предоставления и расходования субсидии являются:</w:t>
      </w:r>
    </w:p>
    <w:p w14:paraId="02B1FCC4" w14:textId="77777777" w:rsidR="00454A29" w:rsidRDefault="00454A29">
      <w:pPr>
        <w:pStyle w:val="ConsPlusNormal"/>
        <w:spacing w:before="220"/>
        <w:ind w:firstLine="540"/>
        <w:jc w:val="both"/>
      </w:pPr>
      <w:r>
        <w:t>а) наличие соглашения о МЧП, заключенного муниципальным образованием в соответствии с Законом о ГЧП и ответственность за неисполнение предусмотренных соглашением обязательств;</w:t>
      </w:r>
    </w:p>
    <w:p w14:paraId="013A9EC2" w14:textId="77777777" w:rsidR="00454A29" w:rsidRDefault="00454A29">
      <w:pPr>
        <w:pStyle w:val="ConsPlusNormal"/>
        <w:spacing w:before="220"/>
        <w:ind w:firstLine="540"/>
        <w:jc w:val="both"/>
      </w:pPr>
      <w:r>
        <w:t>б) наличие выписки из решения органа местного самоуправления о бюджете об объемах бюджетных ассигнований на реализацию соглашения о МЧП;</w:t>
      </w:r>
    </w:p>
    <w:p w14:paraId="40E92AC2" w14:textId="77777777" w:rsidR="00454A29" w:rsidRDefault="00454A29">
      <w:pPr>
        <w:pStyle w:val="ConsPlusNormal"/>
        <w:spacing w:before="220"/>
        <w:ind w:firstLine="540"/>
        <w:jc w:val="both"/>
      </w:pPr>
      <w:r>
        <w:t>в) наличие муниципальной программы (подпрограммы) или иных правовых актов органов местного самоуправления о реализации проекта МЧП;</w:t>
      </w:r>
    </w:p>
    <w:p w14:paraId="4C1A1A61" w14:textId="77777777" w:rsidR="00454A29" w:rsidRDefault="00454A29">
      <w:pPr>
        <w:pStyle w:val="ConsPlusNormal"/>
        <w:spacing w:before="220"/>
        <w:ind w:firstLine="540"/>
        <w:jc w:val="both"/>
      </w:pPr>
      <w:r>
        <w:t>г) наличие решения органа местного самоуправления о реализации проекта МЧП;</w:t>
      </w:r>
    </w:p>
    <w:p w14:paraId="2072D408" w14:textId="77777777" w:rsidR="00454A29" w:rsidRDefault="00454A29">
      <w:pPr>
        <w:pStyle w:val="ConsPlusNormal"/>
        <w:spacing w:before="220"/>
        <w:ind w:firstLine="540"/>
        <w:jc w:val="both"/>
      </w:pPr>
      <w:r>
        <w:t xml:space="preserve">д) наличие заключения органа государственной власти Республики Саха (Якутия), </w:t>
      </w:r>
      <w:r>
        <w:lastRenderedPageBreak/>
        <w:t>уполномоченного на реализацию государственной политики в сфере ГЧП, (далее - Уполномоченный орган) о проведении оценки эффективности и определения сравнительного преимущества проекта МЧП;</w:t>
      </w:r>
    </w:p>
    <w:p w14:paraId="703CF3BF" w14:textId="77777777" w:rsidR="00454A29" w:rsidRDefault="00454A29">
      <w:pPr>
        <w:pStyle w:val="ConsPlusNormal"/>
        <w:spacing w:before="220"/>
        <w:ind w:firstLine="540"/>
        <w:jc w:val="both"/>
      </w:pPr>
      <w:r>
        <w:t>е) подтверждение полного обеспечения в местных бюджетах на текущий финансовый год расходов на фонд оплаты труда, на оплату коммунальных услуг и социальных выплат.</w:t>
      </w:r>
    </w:p>
    <w:p w14:paraId="6D5FD31B" w14:textId="77777777" w:rsidR="00454A29" w:rsidRDefault="00454A29">
      <w:pPr>
        <w:pStyle w:val="ConsPlusNormal"/>
        <w:spacing w:before="220"/>
        <w:ind w:firstLine="540"/>
        <w:jc w:val="both"/>
      </w:pPr>
      <w:bookmarkStart w:id="64" w:name="P34583"/>
      <w:bookmarkEnd w:id="64"/>
      <w:r>
        <w:t xml:space="preserve">2.3. Критерием отбора муниципального образования для предоставления субсидии является наличие объекта МЧП в Инвестиционной </w:t>
      </w:r>
      <w:hyperlink r:id="rId77" w:history="1">
        <w:r>
          <w:rPr>
            <w:color w:val="0000FF"/>
          </w:rPr>
          <w:t>программе</w:t>
        </w:r>
      </w:hyperlink>
      <w:r>
        <w:t xml:space="preserve"> Республики Саха (Якутия) в соответствии с </w:t>
      </w:r>
      <w:hyperlink r:id="rId78" w:history="1">
        <w:r>
          <w:rPr>
            <w:color w:val="0000FF"/>
          </w:rPr>
          <w:t>пунктами 3.2</w:t>
        </w:r>
      </w:hyperlink>
      <w:r>
        <w:t xml:space="preserve"> и </w:t>
      </w:r>
      <w:hyperlink r:id="rId79" w:history="1">
        <w:r>
          <w:rPr>
            <w:color w:val="0000FF"/>
          </w:rPr>
          <w:t>3.3</w:t>
        </w:r>
      </w:hyperlink>
      <w:r>
        <w:t xml:space="preserve"> Правил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22 декабря 2017 г. N 407.</w:t>
      </w:r>
    </w:p>
    <w:p w14:paraId="1032A23B" w14:textId="77777777" w:rsidR="00454A29" w:rsidRDefault="00454A29">
      <w:pPr>
        <w:pStyle w:val="ConsPlusNormal"/>
        <w:spacing w:before="220"/>
        <w:ind w:firstLine="540"/>
        <w:jc w:val="both"/>
      </w:pPr>
      <w:bookmarkStart w:id="65" w:name="P34584"/>
      <w:bookmarkEnd w:id="65"/>
      <w:r>
        <w:t xml:space="preserve">2.4. Предельный уровень софинансирования расходного обязательства муниципальных районов из государственного бюджета Республики Саха (Якутия) определяется в соответствии с </w:t>
      </w:r>
      <w:hyperlink r:id="rId80" w:history="1">
        <w:r>
          <w:rPr>
            <w:color w:val="0000FF"/>
          </w:rPr>
          <w:t>пунктом 2.13</w:t>
        </w:r>
      </w:hyperlink>
      <w:r>
        <w:t xml:space="preserve"> Правил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22 декабря 2017 г. N 407, и ежегодно утверждается распоряжением Правительства Республики Саха (Якутия) на очередной финансовый год.</w:t>
      </w:r>
    </w:p>
    <w:p w14:paraId="018668CF" w14:textId="77777777" w:rsidR="00454A29" w:rsidRDefault="00454A29">
      <w:pPr>
        <w:pStyle w:val="ConsPlusNormal"/>
      </w:pPr>
    </w:p>
    <w:p w14:paraId="1C6F8998" w14:textId="77777777" w:rsidR="00454A29" w:rsidRDefault="00454A29">
      <w:pPr>
        <w:pStyle w:val="ConsPlusTitle"/>
        <w:jc w:val="center"/>
        <w:outlineLvl w:val="2"/>
      </w:pPr>
      <w:r>
        <w:t>III. Расчет и распределении субсидии, контроль,</w:t>
      </w:r>
    </w:p>
    <w:p w14:paraId="7DFE4F21" w14:textId="77777777" w:rsidR="00454A29" w:rsidRDefault="00454A29">
      <w:pPr>
        <w:pStyle w:val="ConsPlusTitle"/>
        <w:jc w:val="center"/>
      </w:pPr>
      <w:r>
        <w:t>возврат и использование остатков субсидии</w:t>
      </w:r>
    </w:p>
    <w:p w14:paraId="202E9233" w14:textId="77777777" w:rsidR="00454A29" w:rsidRDefault="00454A29">
      <w:pPr>
        <w:pStyle w:val="ConsPlusNormal"/>
      </w:pPr>
    </w:p>
    <w:p w14:paraId="35AB6B4C" w14:textId="77777777" w:rsidR="00454A29" w:rsidRDefault="00454A29">
      <w:pPr>
        <w:pStyle w:val="ConsPlusNormal"/>
        <w:ind w:firstLine="540"/>
        <w:jc w:val="both"/>
      </w:pPr>
      <w:r>
        <w:t>3.1. Распределение субсидий между муниципальными образованиями устанавливается приказом Уполномоченного органа и утверждается:</w:t>
      </w:r>
    </w:p>
    <w:p w14:paraId="0C400201" w14:textId="77777777" w:rsidR="00454A29" w:rsidRDefault="00454A29">
      <w:pPr>
        <w:pStyle w:val="ConsPlusNormal"/>
        <w:spacing w:before="220"/>
        <w:ind w:firstLine="540"/>
        <w:jc w:val="both"/>
      </w:pPr>
      <w:r>
        <w:t>до 2020 года - Инвестиционной программой Республики Саха (Якутия) в соответствии с порядком формирования и реализации Инвестиционной программы Республики Саха (Якутия);</w:t>
      </w:r>
    </w:p>
    <w:p w14:paraId="0E99871B" w14:textId="77777777" w:rsidR="00454A29" w:rsidRDefault="00454A29">
      <w:pPr>
        <w:pStyle w:val="ConsPlusNormal"/>
        <w:spacing w:before="220"/>
        <w:ind w:firstLine="540"/>
        <w:jc w:val="both"/>
      </w:pPr>
      <w:r>
        <w:t>с 2020 года - законом Республики Саха (Якутия) о государственном бюджете Республики Саха (Якутия) в виде приложения.</w:t>
      </w:r>
    </w:p>
    <w:p w14:paraId="32E0C6C4" w14:textId="77777777" w:rsidR="00454A29" w:rsidRDefault="00454A29">
      <w:pPr>
        <w:pStyle w:val="ConsPlusNormal"/>
        <w:spacing w:before="220"/>
        <w:ind w:firstLine="540"/>
        <w:jc w:val="both"/>
      </w:pPr>
      <w:r>
        <w:t>3.2. Распределение субсидий местным бюджетам из государственного бюджета Республики Саха (Якутия) между муниципальными образованиями утверждается законом Республики Саха (Якутия) о государственном бюджете на очередной финансовый год и плановый период.</w:t>
      </w:r>
    </w:p>
    <w:p w14:paraId="74360A44" w14:textId="77777777" w:rsidR="00454A29" w:rsidRDefault="00454A29">
      <w:pPr>
        <w:pStyle w:val="ConsPlusNormal"/>
        <w:spacing w:before="220"/>
        <w:ind w:firstLine="540"/>
        <w:jc w:val="both"/>
      </w:pPr>
      <w:r>
        <w:t>Форма соглашения утверждается приказом Уполномоченного органа в соответствии с типовой формой соглашения, утверждаемой Министерством финансов Республики Саха (Якутия).</w:t>
      </w:r>
    </w:p>
    <w:p w14:paraId="5834D454" w14:textId="77777777" w:rsidR="00454A29" w:rsidRDefault="00454A29">
      <w:pPr>
        <w:pStyle w:val="ConsPlusNormal"/>
        <w:spacing w:before="220"/>
        <w:ind w:firstLine="540"/>
        <w:jc w:val="both"/>
      </w:pPr>
      <w:r>
        <w:t xml:space="preserve">3.3. Муниципальное образование, отвечающее условиям предоставления субсидии, установленным </w:t>
      </w:r>
      <w:hyperlink w:anchor="P34576" w:history="1">
        <w:r>
          <w:rPr>
            <w:color w:val="0000FF"/>
          </w:rPr>
          <w:t>пунктом 2.2</w:t>
        </w:r>
      </w:hyperlink>
      <w:r>
        <w:t xml:space="preserve"> Порядка, направляет Уполномоченному органу </w:t>
      </w:r>
      <w:hyperlink w:anchor="P34669" w:history="1">
        <w:r>
          <w:rPr>
            <w:color w:val="0000FF"/>
          </w:rPr>
          <w:t>заявку</w:t>
        </w:r>
      </w:hyperlink>
      <w:r>
        <w:t xml:space="preserve"> на заключение соглашения о предоставлении субсидии из государственного бюджета Республики Саха (Якутия) согласно приложению N 1 к Порядку.</w:t>
      </w:r>
    </w:p>
    <w:p w14:paraId="7DC27DA4" w14:textId="77777777" w:rsidR="00454A29" w:rsidRDefault="00454A29">
      <w:pPr>
        <w:pStyle w:val="ConsPlusNormal"/>
        <w:spacing w:before="220"/>
        <w:ind w:firstLine="540"/>
        <w:jc w:val="both"/>
      </w:pPr>
      <w:r>
        <w:t>3.4. Уполномоченный орган в течение 5 рабочих дней рассматривает заявку на заключение соглашения.</w:t>
      </w:r>
    </w:p>
    <w:p w14:paraId="295B08B2" w14:textId="77777777" w:rsidR="00454A29" w:rsidRDefault="00454A29">
      <w:pPr>
        <w:pStyle w:val="ConsPlusNormal"/>
        <w:spacing w:before="220"/>
        <w:ind w:firstLine="540"/>
        <w:jc w:val="both"/>
      </w:pPr>
      <w:r>
        <w:t>3.5. Основаниями для отказа являются:</w:t>
      </w:r>
    </w:p>
    <w:p w14:paraId="246961EB" w14:textId="77777777" w:rsidR="00454A29" w:rsidRDefault="00454A29">
      <w:pPr>
        <w:pStyle w:val="ConsPlusNormal"/>
        <w:spacing w:before="220"/>
        <w:ind w:firstLine="540"/>
        <w:jc w:val="both"/>
      </w:pPr>
      <w:r>
        <w:t xml:space="preserve">а) несоответствие условиям предоставления и расходования субсидии, установленным </w:t>
      </w:r>
      <w:hyperlink w:anchor="P34576" w:history="1">
        <w:r>
          <w:rPr>
            <w:color w:val="0000FF"/>
          </w:rPr>
          <w:t>пунктом 2.2</w:t>
        </w:r>
      </w:hyperlink>
      <w:r>
        <w:t>. Порядка;</w:t>
      </w:r>
    </w:p>
    <w:p w14:paraId="79DE3242" w14:textId="77777777" w:rsidR="00454A29" w:rsidRDefault="00454A29">
      <w:pPr>
        <w:pStyle w:val="ConsPlusNormal"/>
        <w:spacing w:before="220"/>
        <w:ind w:firstLine="540"/>
        <w:jc w:val="both"/>
      </w:pPr>
      <w:r>
        <w:t xml:space="preserve">б) несоответствие критерию отбора, установленного </w:t>
      </w:r>
      <w:hyperlink w:anchor="P34583" w:history="1">
        <w:r>
          <w:rPr>
            <w:color w:val="0000FF"/>
          </w:rPr>
          <w:t>пунктом 2.3</w:t>
        </w:r>
      </w:hyperlink>
      <w:r>
        <w:t>. Порядка.</w:t>
      </w:r>
    </w:p>
    <w:p w14:paraId="5C3B0F87" w14:textId="77777777" w:rsidR="00454A29" w:rsidRDefault="00454A29">
      <w:pPr>
        <w:pStyle w:val="ConsPlusNormal"/>
        <w:spacing w:before="220"/>
        <w:ind w:firstLine="540"/>
        <w:jc w:val="both"/>
      </w:pPr>
      <w:r>
        <w:t>3.6. Соглашение, заключаемое в соответствии с настоящим Порядком, должно содержать:</w:t>
      </w:r>
    </w:p>
    <w:p w14:paraId="60CF8A21" w14:textId="77777777" w:rsidR="00454A29" w:rsidRDefault="00454A29">
      <w:pPr>
        <w:pStyle w:val="ConsPlusNormal"/>
        <w:spacing w:before="220"/>
        <w:ind w:firstLine="540"/>
        <w:jc w:val="both"/>
      </w:pPr>
      <w:r>
        <w:lastRenderedPageBreak/>
        <w:t>а) размер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реализацию соответствующих расходных обязательств;</w:t>
      </w:r>
    </w:p>
    <w:p w14:paraId="14F2F6E6" w14:textId="77777777" w:rsidR="00454A29" w:rsidRDefault="00454A29">
      <w:pPr>
        <w:pStyle w:val="ConsPlusNormal"/>
        <w:spacing w:before="220"/>
        <w:ind w:firstLine="540"/>
        <w:jc w:val="both"/>
      </w:pPr>
      <w:r>
        <w:t>б) значение показателя результативности использования субсидии:</w:t>
      </w:r>
    </w:p>
    <w:p w14:paraId="47F6800A" w14:textId="77777777" w:rsidR="00454A29" w:rsidRDefault="00454A29">
      <w:pPr>
        <w:pStyle w:val="ConsPlusNormal"/>
        <w:spacing w:before="220"/>
        <w:ind w:firstLine="540"/>
        <w:jc w:val="both"/>
      </w:pPr>
      <w:r>
        <w:t>выполнение условий и обязательств по соглашению о муниципально-частном партнерстве.</w:t>
      </w:r>
    </w:p>
    <w:p w14:paraId="569AD919" w14:textId="77777777" w:rsidR="00454A29" w:rsidRDefault="00454A29">
      <w:pPr>
        <w:pStyle w:val="ConsPlusNormal"/>
        <w:spacing w:before="220"/>
        <w:ind w:firstLine="540"/>
        <w:jc w:val="both"/>
      </w:pPr>
      <w:r>
        <w:t>в)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предоставляются субсидии;</w:t>
      </w:r>
    </w:p>
    <w:p w14:paraId="0D876947" w14:textId="77777777" w:rsidR="00454A29" w:rsidRDefault="00454A29">
      <w:pPr>
        <w:pStyle w:val="ConsPlusNormal"/>
        <w:spacing w:before="220"/>
        <w:ind w:firstLine="540"/>
        <w:jc w:val="both"/>
      </w:pPr>
      <w:r>
        <w:t>г) порядок и сроки представления отчетности об осуществлении расходов бюджета муниципального образования, а также о достижении значения показателя результативности использования субсидии;</w:t>
      </w:r>
    </w:p>
    <w:p w14:paraId="1EDE906D" w14:textId="77777777" w:rsidR="00454A29" w:rsidRDefault="00454A29">
      <w:pPr>
        <w:pStyle w:val="ConsPlusNormal"/>
        <w:spacing w:before="220"/>
        <w:ind w:firstLine="540"/>
        <w:jc w:val="both"/>
      </w:pPr>
      <w:r>
        <w:t>д) порядок осуществления контроля за выполнением муниципальным образованием обязательств, предусмотренных соглашением;</w:t>
      </w:r>
    </w:p>
    <w:p w14:paraId="5B5771F3" w14:textId="77777777" w:rsidR="00454A29" w:rsidRDefault="00454A29">
      <w:pPr>
        <w:pStyle w:val="ConsPlusNormal"/>
        <w:spacing w:before="220"/>
        <w:ind w:firstLine="540"/>
        <w:jc w:val="both"/>
      </w:pPr>
      <w:r>
        <w:t>е) последствия недостижения муниципальным образованием установленных значений показателей результативности использования субсидии;</w:t>
      </w:r>
    </w:p>
    <w:p w14:paraId="44BB54A3" w14:textId="77777777" w:rsidR="00454A29" w:rsidRDefault="00454A29">
      <w:pPr>
        <w:pStyle w:val="ConsPlusNormal"/>
        <w:spacing w:before="220"/>
        <w:ind w:firstLine="540"/>
        <w:jc w:val="both"/>
      </w:pPr>
      <w:r>
        <w:t>ж)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14:paraId="61AAD77D" w14:textId="77777777" w:rsidR="00454A29" w:rsidRDefault="00454A29">
      <w:pPr>
        <w:pStyle w:val="ConsPlusNormal"/>
        <w:spacing w:before="220"/>
        <w:ind w:firstLine="540"/>
        <w:jc w:val="both"/>
      </w:pPr>
      <w:r>
        <w:t>з) ответственность и последствия за предоставление неполных и недостоверных данных (сведений);</w:t>
      </w:r>
    </w:p>
    <w:p w14:paraId="7219D449" w14:textId="77777777" w:rsidR="00454A29" w:rsidRDefault="00454A29">
      <w:pPr>
        <w:pStyle w:val="ConsPlusNormal"/>
        <w:spacing w:before="220"/>
        <w:ind w:firstLine="540"/>
        <w:jc w:val="both"/>
      </w:pPr>
      <w:r>
        <w:t>и) ответственность сторон за нарушение условий соглашения;</w:t>
      </w:r>
    </w:p>
    <w:p w14:paraId="63F1FAB7" w14:textId="77777777" w:rsidR="00454A29" w:rsidRDefault="00454A29">
      <w:pPr>
        <w:pStyle w:val="ConsPlusNormal"/>
        <w:spacing w:before="220"/>
        <w:ind w:firstLine="540"/>
        <w:jc w:val="both"/>
      </w:pPr>
      <w:r>
        <w:t>к) условие о вступлении в силу соглашения.</w:t>
      </w:r>
    </w:p>
    <w:p w14:paraId="552C249B" w14:textId="77777777" w:rsidR="00454A29" w:rsidRDefault="00454A29">
      <w:pPr>
        <w:pStyle w:val="ConsPlusNormal"/>
        <w:spacing w:before="220"/>
        <w:ind w:firstLine="540"/>
        <w:jc w:val="both"/>
      </w:pPr>
      <w:bookmarkStart w:id="66" w:name="P34611"/>
      <w:bookmarkEnd w:id="66"/>
      <w:r>
        <w:t>3.7. Сроки и порядок перечисления субсидий, предоставления муниципальным образованием отчета об использовании субсидии и о достижении значений показателей результативности определяются условиями соглашения.</w:t>
      </w:r>
    </w:p>
    <w:p w14:paraId="19853E41" w14:textId="77777777" w:rsidR="00454A29" w:rsidRDefault="00454A29">
      <w:pPr>
        <w:pStyle w:val="ConsPlusNormal"/>
        <w:spacing w:before="220"/>
        <w:ind w:firstLine="540"/>
        <w:jc w:val="both"/>
      </w:pPr>
      <w:r>
        <w:t>3.8. Размер субсидии определяется по формуле:</w:t>
      </w:r>
    </w:p>
    <w:p w14:paraId="27B20554" w14:textId="77777777" w:rsidR="00454A29" w:rsidRDefault="00454A29">
      <w:pPr>
        <w:pStyle w:val="ConsPlusNormal"/>
      </w:pPr>
    </w:p>
    <w:p w14:paraId="73832674" w14:textId="77777777" w:rsidR="00454A29" w:rsidRDefault="00454A29">
      <w:pPr>
        <w:pStyle w:val="ConsPlusNormal"/>
        <w:jc w:val="center"/>
      </w:pPr>
      <w:r>
        <w:t>V &lt;= PP * Y</w:t>
      </w:r>
    </w:p>
    <w:p w14:paraId="09672029" w14:textId="77777777" w:rsidR="00454A29" w:rsidRDefault="00454A29">
      <w:pPr>
        <w:pStyle w:val="ConsPlusNormal"/>
      </w:pPr>
    </w:p>
    <w:p w14:paraId="54498DA6" w14:textId="77777777" w:rsidR="00454A29" w:rsidRDefault="00454A29">
      <w:pPr>
        <w:pStyle w:val="ConsPlusNormal"/>
        <w:ind w:firstLine="540"/>
        <w:jc w:val="both"/>
      </w:pPr>
      <w:r>
        <w:t>где:</w:t>
      </w:r>
    </w:p>
    <w:p w14:paraId="24CC0175" w14:textId="77777777" w:rsidR="00454A29" w:rsidRDefault="00454A29">
      <w:pPr>
        <w:pStyle w:val="ConsPlusNormal"/>
        <w:spacing w:before="220"/>
        <w:ind w:firstLine="540"/>
        <w:jc w:val="both"/>
      </w:pPr>
      <w:r>
        <w:t>V - субсидия из государственного бюджета Республики Саха (Якутия) бюджету муниципального образования на реализацию проекта МЧП;</w:t>
      </w:r>
    </w:p>
    <w:p w14:paraId="4160AB6A" w14:textId="77777777" w:rsidR="00454A29" w:rsidRDefault="00454A29">
      <w:pPr>
        <w:pStyle w:val="ConsPlusNormal"/>
        <w:spacing w:before="220"/>
        <w:ind w:firstLine="540"/>
        <w:jc w:val="both"/>
      </w:pPr>
      <w:r>
        <w:t>PP - плата Публичного партнера в соответствии с условиями соглашения о МЧП;</w:t>
      </w:r>
    </w:p>
    <w:p w14:paraId="349CC70B" w14:textId="77777777" w:rsidR="00454A29" w:rsidRDefault="00454A29">
      <w:pPr>
        <w:pStyle w:val="ConsPlusNormal"/>
        <w:spacing w:before="220"/>
        <w:ind w:firstLine="540"/>
        <w:jc w:val="both"/>
      </w:pPr>
      <w:r>
        <w:t>Y - коэффициент софинансирования за счет средств государственного бюджета в соответствии с распоряжением Правительства Республики Саха (Якутия).</w:t>
      </w:r>
    </w:p>
    <w:p w14:paraId="7D8CBA0C" w14:textId="77777777" w:rsidR="00454A29" w:rsidRDefault="00454A29">
      <w:pPr>
        <w:pStyle w:val="ConsPlusNormal"/>
        <w:spacing w:before="220"/>
        <w:ind w:firstLine="540"/>
        <w:jc w:val="both"/>
      </w:pPr>
      <w:r>
        <w:t xml:space="preserve">3.9. В случае если размер бюджетных ассигнований, предусмотренных в бюджете муниципального образования, на цели, указанные в Порядке, не соответствует установленному для муниципального образования уровню софинансирования из государственного бюджета Республики Саха (Якутия) в соответствии с условиями </w:t>
      </w:r>
      <w:hyperlink w:anchor="P34584" w:history="1">
        <w:r>
          <w:rPr>
            <w:color w:val="0000FF"/>
          </w:rPr>
          <w:t>пункта 2.4</w:t>
        </w:r>
      </w:hyperlink>
      <w:r>
        <w:t>. Порядка, то размер субсидии подлежит сокращению до соответствующего уровня софинансирования.</w:t>
      </w:r>
    </w:p>
    <w:p w14:paraId="1ACA6263" w14:textId="77777777" w:rsidR="00454A29" w:rsidRDefault="00454A29">
      <w:pPr>
        <w:pStyle w:val="ConsPlusNormal"/>
        <w:spacing w:before="220"/>
        <w:ind w:firstLine="540"/>
        <w:jc w:val="both"/>
      </w:pPr>
      <w:bookmarkStart w:id="67" w:name="P34621"/>
      <w:bookmarkEnd w:id="67"/>
      <w:r>
        <w:lastRenderedPageBreak/>
        <w:t xml:space="preserve">3.10. При наличии высвобожденных средств, возникающих в случае, установленном </w:t>
      </w:r>
      <w:hyperlink w:anchor="P34611" w:history="1">
        <w:r>
          <w:rPr>
            <w:color w:val="0000FF"/>
          </w:rPr>
          <w:t>пунктом 3.7</w:t>
        </w:r>
      </w:hyperlink>
      <w:r>
        <w:t xml:space="preserve"> Порядка, высвобожденные средства сохраняются в Инвестиционном фонде Республики Саха (Якутия).</w:t>
      </w:r>
    </w:p>
    <w:p w14:paraId="612D2589" w14:textId="77777777" w:rsidR="00454A29" w:rsidRDefault="00454A29">
      <w:pPr>
        <w:pStyle w:val="ConsPlusNormal"/>
        <w:spacing w:before="220"/>
        <w:ind w:firstLine="540"/>
        <w:jc w:val="both"/>
      </w:pPr>
      <w:r>
        <w:t>3.11. Орган местного самоуправления с момента получения субсидии ежеквартально до 10-го числа месяца, следующего за отчетным кварталом, представляет в Уполномоченный орган отчет об осуществлении расходов местного бюджета, источником финансового обеспечения которых является субсидия, и о достигнутых значениях показателей результативности использования субсидии по формам, утвержденным соглашением.</w:t>
      </w:r>
    </w:p>
    <w:p w14:paraId="1C05F41B" w14:textId="77777777" w:rsidR="00454A29" w:rsidRDefault="00454A29">
      <w:pPr>
        <w:pStyle w:val="ConsPlusNormal"/>
        <w:spacing w:before="220"/>
        <w:ind w:firstLine="540"/>
        <w:jc w:val="both"/>
      </w:pPr>
      <w:r>
        <w:t>3.12. В случае если муниципальным образованием по состоянию на 31 декабря текущего финансового года не достигнуты значения показателей результативности использования субсидии, установленные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w:t>
      </w:r>
      <w:r>
        <w:rPr>
          <w:vertAlign w:val="subscript"/>
        </w:rPr>
        <w:t>возврата</w:t>
      </w:r>
      <w:r>
        <w:t>) в соответствии с ведомственным актом Министерства, рассчитывается по формуле:</w:t>
      </w:r>
    </w:p>
    <w:p w14:paraId="2B726289" w14:textId="77777777" w:rsidR="00454A29" w:rsidRDefault="00454A29">
      <w:pPr>
        <w:pStyle w:val="ConsPlusNormal"/>
      </w:pPr>
    </w:p>
    <w:p w14:paraId="5E3AFA7C" w14:textId="77777777" w:rsidR="00454A29" w:rsidRDefault="00454A29">
      <w:pPr>
        <w:pStyle w:val="ConsPlusNormal"/>
        <w:jc w:val="center"/>
      </w:pPr>
      <w:r>
        <w:t>V</w:t>
      </w:r>
      <w:r>
        <w:rPr>
          <w:vertAlign w:val="subscript"/>
        </w:rPr>
        <w:t>возврата</w:t>
      </w:r>
      <w:r>
        <w:t xml:space="preserve"> = (V</w:t>
      </w:r>
      <w:r>
        <w:rPr>
          <w:vertAlign w:val="subscript"/>
        </w:rPr>
        <w:t>субсидии</w:t>
      </w:r>
      <w:r>
        <w:t xml:space="preserve"> * k * m / n) * 0,1,</w:t>
      </w:r>
    </w:p>
    <w:p w14:paraId="17A84349" w14:textId="77777777" w:rsidR="00454A29" w:rsidRDefault="00454A29">
      <w:pPr>
        <w:pStyle w:val="ConsPlusNormal"/>
      </w:pPr>
    </w:p>
    <w:p w14:paraId="2D2A1200" w14:textId="77777777" w:rsidR="00454A29" w:rsidRDefault="00454A29">
      <w:pPr>
        <w:pStyle w:val="ConsPlusNormal"/>
        <w:ind w:firstLine="540"/>
        <w:jc w:val="both"/>
      </w:pPr>
      <w:r>
        <w:t>где:</w:t>
      </w:r>
    </w:p>
    <w:p w14:paraId="4201529B" w14:textId="77777777" w:rsidR="00454A29" w:rsidRDefault="00454A29">
      <w:pPr>
        <w:pStyle w:val="ConsPlusNormal"/>
        <w:spacing w:before="220"/>
        <w:ind w:firstLine="540"/>
        <w:jc w:val="both"/>
      </w:pPr>
      <w:r>
        <w:t>V</w:t>
      </w:r>
      <w:r>
        <w:rPr>
          <w:vertAlign w:val="subscript"/>
        </w:rPr>
        <w:t>субсидии</w:t>
      </w:r>
      <w:r>
        <w:t xml:space="preserve"> - размер субсидии, предоставленной местному бюджету в отчетном финансовом году;</w:t>
      </w:r>
    </w:p>
    <w:p w14:paraId="47CADE86" w14:textId="77777777" w:rsidR="00454A29" w:rsidRDefault="00454A29">
      <w:pPr>
        <w:pStyle w:val="ConsPlusNormal"/>
        <w:spacing w:before="220"/>
        <w:ind w:firstLine="540"/>
        <w:jc w:val="both"/>
      </w:pPr>
      <w:r>
        <w:t>k - коэффициент возврата субсидии;</w:t>
      </w:r>
    </w:p>
    <w:p w14:paraId="4CC788D4" w14:textId="77777777" w:rsidR="00454A29" w:rsidRDefault="00454A29">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1DD9182A" w14:textId="77777777" w:rsidR="00454A29" w:rsidRDefault="00454A29">
      <w:pPr>
        <w:pStyle w:val="ConsPlusNormal"/>
        <w:spacing w:before="220"/>
        <w:ind w:firstLine="540"/>
        <w:jc w:val="both"/>
      </w:pPr>
      <w:r>
        <w:t>n - общее количество показателей результативности использования субсидии.</w:t>
      </w:r>
    </w:p>
    <w:p w14:paraId="2C80D35C" w14:textId="77777777" w:rsidR="00454A29" w:rsidRDefault="00454A29">
      <w:pPr>
        <w:pStyle w:val="ConsPlusNormal"/>
        <w:spacing w:before="220"/>
        <w:ind w:firstLine="540"/>
        <w:jc w:val="both"/>
      </w:pPr>
      <w:r>
        <w:t>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14:paraId="65392A90" w14:textId="77777777" w:rsidR="00454A29" w:rsidRDefault="00454A29">
      <w:pPr>
        <w:pStyle w:val="ConsPlusNormal"/>
        <w:spacing w:before="220"/>
        <w:ind w:firstLine="540"/>
        <w:jc w:val="both"/>
      </w:pPr>
      <w:r>
        <w:t>Коэффициент возврата субсидии рассчитывается по формуле:</w:t>
      </w:r>
    </w:p>
    <w:p w14:paraId="5D22D4B7" w14:textId="77777777" w:rsidR="00454A29" w:rsidRDefault="00454A29">
      <w:pPr>
        <w:pStyle w:val="ConsPlusNormal"/>
      </w:pPr>
    </w:p>
    <w:p w14:paraId="1C475ABB" w14:textId="77777777" w:rsidR="00454A29" w:rsidRDefault="00454A29">
      <w:pPr>
        <w:pStyle w:val="ConsPlusNormal"/>
        <w:jc w:val="center"/>
      </w:pPr>
      <w:r>
        <w:t>k = D</w:t>
      </w:r>
      <w:r>
        <w:rPr>
          <w:vertAlign w:val="subscript"/>
        </w:rPr>
        <w:t>i</w:t>
      </w:r>
      <w:r>
        <w:t xml:space="preserve"> / m,</w:t>
      </w:r>
    </w:p>
    <w:p w14:paraId="78708123" w14:textId="77777777" w:rsidR="00454A29" w:rsidRDefault="00454A29">
      <w:pPr>
        <w:pStyle w:val="ConsPlusNormal"/>
      </w:pPr>
    </w:p>
    <w:p w14:paraId="0F170751" w14:textId="77777777" w:rsidR="00454A29" w:rsidRDefault="00454A29">
      <w:pPr>
        <w:pStyle w:val="ConsPlusNormal"/>
        <w:ind w:firstLine="540"/>
        <w:jc w:val="both"/>
      </w:pPr>
      <w:r>
        <w:t>где:</w:t>
      </w:r>
    </w:p>
    <w:p w14:paraId="01805B9D" w14:textId="77777777" w:rsidR="00454A29" w:rsidRDefault="00454A29">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14:paraId="34473774" w14:textId="77777777" w:rsidR="00454A29" w:rsidRDefault="00454A29">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2B27376F" w14:textId="77777777" w:rsidR="00454A29" w:rsidRDefault="00454A29">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14:paraId="1A865795" w14:textId="77777777" w:rsidR="00454A29" w:rsidRDefault="00454A29">
      <w:pPr>
        <w:pStyle w:val="ConsPlusNormal"/>
        <w:spacing w:before="220"/>
        <w:ind w:firstLine="540"/>
        <w:jc w:val="both"/>
      </w:pPr>
      <w:r>
        <w:lastRenderedPageBreak/>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14:paraId="2EDABE71" w14:textId="77777777" w:rsidR="00454A29" w:rsidRDefault="00454A29">
      <w:pPr>
        <w:pStyle w:val="ConsPlusNormal"/>
      </w:pPr>
    </w:p>
    <w:p w14:paraId="18C8C5F0" w14:textId="77777777" w:rsidR="00454A29" w:rsidRDefault="00454A29">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14:paraId="695E51F4" w14:textId="77777777" w:rsidR="00454A29" w:rsidRDefault="00454A29">
      <w:pPr>
        <w:pStyle w:val="ConsPlusNormal"/>
      </w:pPr>
    </w:p>
    <w:p w14:paraId="627AE3F4" w14:textId="77777777" w:rsidR="00454A29" w:rsidRDefault="00454A29">
      <w:pPr>
        <w:pStyle w:val="ConsPlusNormal"/>
        <w:ind w:firstLine="540"/>
        <w:jc w:val="both"/>
      </w:pPr>
      <w:r>
        <w:t>где:</w:t>
      </w:r>
    </w:p>
    <w:p w14:paraId="1F87F5CA" w14:textId="77777777" w:rsidR="00454A29" w:rsidRDefault="00454A29">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14:paraId="3DECFA4F" w14:textId="77777777" w:rsidR="00454A29" w:rsidRDefault="00454A29">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14:paraId="474B7DD1" w14:textId="77777777" w:rsidR="00454A29" w:rsidRDefault="00454A29">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14:paraId="3626A1F4" w14:textId="77777777" w:rsidR="00454A29" w:rsidRDefault="00454A29">
      <w:pPr>
        <w:pStyle w:val="ConsPlusNormal"/>
      </w:pPr>
    </w:p>
    <w:p w14:paraId="031FDE1E" w14:textId="77777777" w:rsidR="00454A29" w:rsidRDefault="00454A29">
      <w:pPr>
        <w:pStyle w:val="ConsPlusNormal"/>
        <w:jc w:val="center"/>
      </w:pPr>
      <w:r>
        <w:t>D</w:t>
      </w:r>
      <w:r>
        <w:rPr>
          <w:vertAlign w:val="subscript"/>
        </w:rPr>
        <w:t>i</w:t>
      </w:r>
      <w:r>
        <w:t xml:space="preserve"> = 1 - S</w:t>
      </w:r>
      <w:r>
        <w:rPr>
          <w:vertAlign w:val="subscript"/>
        </w:rPr>
        <w:t>i</w:t>
      </w:r>
      <w:r>
        <w:t xml:space="preserve"> / T</w:t>
      </w:r>
      <w:r>
        <w:rPr>
          <w:vertAlign w:val="subscript"/>
        </w:rPr>
        <w:t>i</w:t>
      </w:r>
    </w:p>
    <w:p w14:paraId="7898DB85" w14:textId="77777777" w:rsidR="00454A29" w:rsidRDefault="00454A29">
      <w:pPr>
        <w:pStyle w:val="ConsPlusNormal"/>
      </w:pPr>
    </w:p>
    <w:p w14:paraId="1B2A671F" w14:textId="77777777" w:rsidR="00454A29" w:rsidRDefault="00454A29">
      <w:pPr>
        <w:pStyle w:val="ConsPlusNormal"/>
        <w:ind w:firstLine="540"/>
        <w:jc w:val="both"/>
      </w:pPr>
      <w:r>
        <w:t xml:space="preserve">3.13. Основанием для освобождения муниципальных образований от применения мер ответственности, предусмотренных </w:t>
      </w:r>
      <w:hyperlink w:anchor="P34621" w:history="1">
        <w:r>
          <w:rPr>
            <w:color w:val="0000FF"/>
          </w:rPr>
          <w:t>пунктом 3.10</w:t>
        </w:r>
      </w:hyperlink>
      <w:r>
        <w:t xml:space="preserve">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44C2C6BC" w14:textId="77777777" w:rsidR="00454A29" w:rsidRDefault="00454A29">
      <w:pPr>
        <w:pStyle w:val="ConsPlusNormal"/>
        <w:spacing w:before="220"/>
        <w:ind w:firstLine="540"/>
        <w:jc w:val="both"/>
      </w:pPr>
      <w:r>
        <w:t>Уполномоченный орган при наличии основания, предусмотренного абзацем первым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7F4EF628" w14:textId="77777777" w:rsidR="00454A29" w:rsidRDefault="00454A29">
      <w:pPr>
        <w:pStyle w:val="ConsPlusNormal"/>
        <w:spacing w:before="220"/>
        <w:ind w:firstLine="540"/>
        <w:jc w:val="both"/>
      </w:pPr>
      <w: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Уполномоченному органу муниципальным образованием, допустившим нарушение соответствующих обязательств, до 30 апреля года, следующего за годом предоставления субсидии, и не позднее 15 мая года, следующего за годом предоставления субсидии, Уполномоченный орган издает приказ об освобождении муниципального образования от применения мер ответственности, предусмотренных </w:t>
      </w:r>
      <w:hyperlink w:anchor="P34621" w:history="1">
        <w:r>
          <w:rPr>
            <w:color w:val="0000FF"/>
          </w:rPr>
          <w:t>пунктом 3.10</w:t>
        </w:r>
      </w:hyperlink>
      <w:r>
        <w:t xml:space="preserve"> Порядка.</w:t>
      </w:r>
    </w:p>
    <w:p w14:paraId="134650E6" w14:textId="77777777" w:rsidR="00454A29" w:rsidRDefault="00454A29">
      <w:pPr>
        <w:pStyle w:val="ConsPlusNormal"/>
        <w:spacing w:before="220"/>
        <w:ind w:firstLine="540"/>
        <w:jc w:val="both"/>
      </w:pPr>
      <w:r>
        <w:t>3.14.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0B9A3E7B" w14:textId="77777777" w:rsidR="00454A29" w:rsidRDefault="00454A29">
      <w:pPr>
        <w:pStyle w:val="ConsPlusNormal"/>
      </w:pPr>
    </w:p>
    <w:p w14:paraId="375BADA1" w14:textId="77777777" w:rsidR="00454A29" w:rsidRDefault="00454A29">
      <w:pPr>
        <w:pStyle w:val="ConsPlusNormal"/>
      </w:pPr>
    </w:p>
    <w:p w14:paraId="5320D520" w14:textId="77777777" w:rsidR="00454A29" w:rsidRDefault="00454A29">
      <w:pPr>
        <w:pStyle w:val="ConsPlusNormal"/>
      </w:pPr>
    </w:p>
    <w:p w14:paraId="2D9D0C16" w14:textId="77777777" w:rsidR="00454A29" w:rsidRDefault="00454A29">
      <w:pPr>
        <w:pStyle w:val="ConsPlusNormal"/>
      </w:pPr>
    </w:p>
    <w:p w14:paraId="7CE56B33" w14:textId="77777777" w:rsidR="00454A29" w:rsidRDefault="00454A29">
      <w:pPr>
        <w:pStyle w:val="ConsPlusNormal"/>
      </w:pPr>
    </w:p>
    <w:p w14:paraId="084E811C" w14:textId="77777777" w:rsidR="00454A29" w:rsidRDefault="00454A29">
      <w:pPr>
        <w:pStyle w:val="ConsPlusNormal"/>
        <w:jc w:val="right"/>
        <w:outlineLvl w:val="2"/>
      </w:pPr>
      <w:r>
        <w:t>Приложение N 1</w:t>
      </w:r>
    </w:p>
    <w:p w14:paraId="46BBD322" w14:textId="77777777" w:rsidR="00454A29" w:rsidRDefault="00454A29">
      <w:pPr>
        <w:pStyle w:val="ConsPlusNormal"/>
        <w:jc w:val="right"/>
      </w:pPr>
      <w:r>
        <w:t>к Порядку</w:t>
      </w:r>
    </w:p>
    <w:p w14:paraId="2E9F8F87" w14:textId="77777777" w:rsidR="00454A29" w:rsidRDefault="00454A29">
      <w:pPr>
        <w:pStyle w:val="ConsPlusNormal"/>
        <w:jc w:val="right"/>
      </w:pPr>
      <w:r>
        <w:t>предоставления субсидии местным</w:t>
      </w:r>
    </w:p>
    <w:p w14:paraId="3A51EF28" w14:textId="77777777" w:rsidR="00454A29" w:rsidRDefault="00454A29">
      <w:pPr>
        <w:pStyle w:val="ConsPlusNormal"/>
        <w:jc w:val="right"/>
      </w:pPr>
      <w:r>
        <w:t>бюджетам на реализацию</w:t>
      </w:r>
    </w:p>
    <w:p w14:paraId="7450A573" w14:textId="77777777" w:rsidR="00454A29" w:rsidRDefault="00454A29">
      <w:pPr>
        <w:pStyle w:val="ConsPlusNormal"/>
        <w:jc w:val="right"/>
      </w:pPr>
      <w:r>
        <w:t>инвестиционных проектов</w:t>
      </w:r>
    </w:p>
    <w:p w14:paraId="54E81766" w14:textId="77777777" w:rsidR="00454A29" w:rsidRDefault="00454A29">
      <w:pPr>
        <w:pStyle w:val="ConsPlusNormal"/>
        <w:jc w:val="right"/>
      </w:pPr>
      <w:r>
        <w:t>муниципально-частного партнерства</w:t>
      </w:r>
    </w:p>
    <w:p w14:paraId="66D6902D" w14:textId="77777777" w:rsidR="00454A29" w:rsidRDefault="00454A29">
      <w:pPr>
        <w:pStyle w:val="ConsPlusNormal"/>
        <w:jc w:val="right"/>
      </w:pPr>
      <w:r>
        <w:t>Республики Саха (Якутия)</w:t>
      </w:r>
    </w:p>
    <w:p w14:paraId="5065EC4F" w14:textId="77777777" w:rsidR="00454A29" w:rsidRDefault="00454A29">
      <w:pPr>
        <w:pStyle w:val="ConsPlusNormal"/>
      </w:pPr>
    </w:p>
    <w:p w14:paraId="712763FE" w14:textId="77777777" w:rsidR="00454A29" w:rsidRDefault="00454A29">
      <w:pPr>
        <w:sectPr w:rsidR="00454A29">
          <w:pgSz w:w="11905" w:h="16838"/>
          <w:pgMar w:top="1134" w:right="850" w:bottom="1134" w:left="1701" w:header="0" w:footer="0" w:gutter="0"/>
          <w:cols w:space="720"/>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71"/>
        <w:gridCol w:w="1871"/>
        <w:gridCol w:w="1871"/>
        <w:gridCol w:w="1871"/>
        <w:gridCol w:w="1928"/>
        <w:gridCol w:w="1871"/>
      </w:tblGrid>
      <w:tr w:rsidR="00454A29" w14:paraId="3EAFA97E" w14:textId="77777777">
        <w:tc>
          <w:tcPr>
            <w:tcW w:w="13154" w:type="dxa"/>
            <w:gridSpan w:val="7"/>
            <w:tcBorders>
              <w:top w:val="nil"/>
              <w:left w:val="nil"/>
              <w:bottom w:val="nil"/>
              <w:right w:val="nil"/>
            </w:tcBorders>
          </w:tcPr>
          <w:p w14:paraId="0F340A8D" w14:textId="77777777" w:rsidR="00454A29" w:rsidRDefault="00454A29">
            <w:pPr>
              <w:pStyle w:val="ConsPlusNormal"/>
              <w:jc w:val="center"/>
            </w:pPr>
            <w:bookmarkStart w:id="68" w:name="P34669"/>
            <w:bookmarkEnd w:id="68"/>
            <w:r>
              <w:lastRenderedPageBreak/>
              <w:t>ЗАЯВКА</w:t>
            </w:r>
          </w:p>
          <w:p w14:paraId="5A857FB0" w14:textId="77777777" w:rsidR="00454A29" w:rsidRDefault="00454A29">
            <w:pPr>
              <w:pStyle w:val="ConsPlusNormal"/>
              <w:jc w:val="center"/>
            </w:pPr>
            <w:r>
              <w:t>на заключение соглашения о предоставлении</w:t>
            </w:r>
          </w:p>
          <w:p w14:paraId="4E80732E" w14:textId="77777777" w:rsidR="00454A29" w:rsidRDefault="00454A29">
            <w:pPr>
              <w:pStyle w:val="ConsPlusNormal"/>
              <w:jc w:val="center"/>
            </w:pPr>
            <w:r>
              <w:t>из государственного бюджета Республики Саха (Якутия)</w:t>
            </w:r>
          </w:p>
          <w:p w14:paraId="30CF894C" w14:textId="77777777" w:rsidR="00454A29" w:rsidRDefault="00454A29">
            <w:pPr>
              <w:pStyle w:val="ConsPlusNormal"/>
              <w:jc w:val="center"/>
            </w:pPr>
            <w:r>
              <w:t>бюджету муниципального образования</w:t>
            </w:r>
          </w:p>
          <w:p w14:paraId="24D2FD6E" w14:textId="77777777" w:rsidR="00454A29" w:rsidRDefault="00454A29">
            <w:pPr>
              <w:pStyle w:val="ConsPlusNormal"/>
              <w:jc w:val="center"/>
            </w:pPr>
            <w:r>
              <w:t>______________________________________________</w:t>
            </w:r>
          </w:p>
          <w:p w14:paraId="4D51301D" w14:textId="77777777" w:rsidR="00454A29" w:rsidRDefault="00454A29">
            <w:pPr>
              <w:pStyle w:val="ConsPlusNormal"/>
              <w:jc w:val="center"/>
            </w:pPr>
            <w:r>
              <w:t>(наименование муниципального образования)</w:t>
            </w:r>
          </w:p>
        </w:tc>
      </w:tr>
      <w:tr w:rsidR="00454A29" w14:paraId="2A5D35DD" w14:textId="77777777">
        <w:tc>
          <w:tcPr>
            <w:tcW w:w="13154" w:type="dxa"/>
            <w:gridSpan w:val="7"/>
            <w:tcBorders>
              <w:top w:val="nil"/>
              <w:left w:val="nil"/>
              <w:bottom w:val="nil"/>
              <w:right w:val="nil"/>
            </w:tcBorders>
          </w:tcPr>
          <w:p w14:paraId="74062242" w14:textId="77777777" w:rsidR="00454A29" w:rsidRDefault="00454A29">
            <w:pPr>
              <w:pStyle w:val="ConsPlusNormal"/>
            </w:pPr>
          </w:p>
        </w:tc>
      </w:tr>
      <w:tr w:rsidR="00454A29" w14:paraId="69BC6B20" w14:textId="77777777">
        <w:tc>
          <w:tcPr>
            <w:tcW w:w="13154" w:type="dxa"/>
            <w:gridSpan w:val="7"/>
            <w:tcBorders>
              <w:top w:val="nil"/>
              <w:left w:val="nil"/>
              <w:right w:val="nil"/>
            </w:tcBorders>
          </w:tcPr>
          <w:p w14:paraId="54E82ABD" w14:textId="77777777" w:rsidR="00454A29" w:rsidRDefault="00454A29">
            <w:pPr>
              <w:pStyle w:val="ConsPlusNormal"/>
              <w:jc w:val="right"/>
            </w:pPr>
            <w:r>
              <w:t>(в рублях и копейках)</w:t>
            </w:r>
          </w:p>
        </w:tc>
      </w:tr>
      <w:tr w:rsidR="00454A29" w14:paraId="0CF3F507" w14:textId="77777777">
        <w:tblPrEx>
          <w:tblBorders>
            <w:left w:val="single" w:sz="4" w:space="0" w:color="auto"/>
            <w:right w:val="single" w:sz="4" w:space="0" w:color="auto"/>
            <w:insideH w:val="single" w:sz="4" w:space="0" w:color="auto"/>
          </w:tblBorders>
        </w:tblPrEx>
        <w:tc>
          <w:tcPr>
            <w:tcW w:w="1871" w:type="dxa"/>
            <w:vAlign w:val="center"/>
          </w:tcPr>
          <w:p w14:paraId="7C669BFD" w14:textId="77777777" w:rsidR="00454A29" w:rsidRDefault="00454A29">
            <w:pPr>
              <w:pStyle w:val="ConsPlusNormal"/>
              <w:jc w:val="center"/>
            </w:pPr>
            <w:r>
              <w:t>Номер соглашения о муниципально-частном партнерстве</w:t>
            </w:r>
          </w:p>
        </w:tc>
        <w:tc>
          <w:tcPr>
            <w:tcW w:w="1871" w:type="dxa"/>
            <w:vAlign w:val="center"/>
          </w:tcPr>
          <w:p w14:paraId="077B324C" w14:textId="77777777" w:rsidR="00454A29" w:rsidRDefault="00454A29">
            <w:pPr>
              <w:pStyle w:val="ConsPlusNormal"/>
              <w:jc w:val="center"/>
            </w:pPr>
            <w:r>
              <w:t>Дата заключения соглашения о муниципально-частном партнерстве</w:t>
            </w:r>
          </w:p>
        </w:tc>
        <w:tc>
          <w:tcPr>
            <w:tcW w:w="1871" w:type="dxa"/>
            <w:vAlign w:val="center"/>
          </w:tcPr>
          <w:p w14:paraId="1C454AFA" w14:textId="77777777" w:rsidR="00454A29" w:rsidRDefault="00454A29">
            <w:pPr>
              <w:pStyle w:val="ConsPlusNormal"/>
              <w:jc w:val="center"/>
            </w:pPr>
            <w:r>
              <w:t>Наименование и стоимость объекта соглашения о муниципально-частном партнерстве</w:t>
            </w:r>
          </w:p>
        </w:tc>
        <w:tc>
          <w:tcPr>
            <w:tcW w:w="1871" w:type="dxa"/>
            <w:vAlign w:val="center"/>
          </w:tcPr>
          <w:p w14:paraId="295A2998" w14:textId="77777777" w:rsidR="00454A29" w:rsidRDefault="00454A29">
            <w:pPr>
              <w:pStyle w:val="ConsPlusNormal"/>
              <w:jc w:val="center"/>
            </w:pPr>
            <w:r>
              <w:t>Объем выплат публичного партнера в соответствии с условиями соглашения о МЧП</w:t>
            </w:r>
          </w:p>
        </w:tc>
        <w:tc>
          <w:tcPr>
            <w:tcW w:w="1871" w:type="dxa"/>
            <w:vAlign w:val="center"/>
          </w:tcPr>
          <w:p w14:paraId="02FA7EB8" w14:textId="77777777" w:rsidR="00454A29" w:rsidRDefault="00454A29">
            <w:pPr>
              <w:pStyle w:val="ConsPlusNormal"/>
              <w:jc w:val="center"/>
            </w:pPr>
            <w:r>
              <w:t>Утверждено бюджетных назначений на текущий год за счет средств</w:t>
            </w:r>
          </w:p>
        </w:tc>
        <w:tc>
          <w:tcPr>
            <w:tcW w:w="1928" w:type="dxa"/>
            <w:vAlign w:val="center"/>
          </w:tcPr>
          <w:p w14:paraId="5EDC0BCB" w14:textId="77777777" w:rsidR="00454A29" w:rsidRDefault="00454A29">
            <w:pPr>
              <w:pStyle w:val="ConsPlusNormal"/>
              <w:jc w:val="center"/>
            </w:pPr>
            <w:r>
              <w:t>Утверждено бюджетных назначений на текущий год за счет средств муниципального образования</w:t>
            </w:r>
          </w:p>
        </w:tc>
        <w:tc>
          <w:tcPr>
            <w:tcW w:w="1871" w:type="dxa"/>
            <w:vAlign w:val="center"/>
          </w:tcPr>
          <w:p w14:paraId="3ABD585F" w14:textId="77777777" w:rsidR="00454A29" w:rsidRDefault="00454A29">
            <w:pPr>
              <w:pStyle w:val="ConsPlusNormal"/>
              <w:jc w:val="center"/>
            </w:pPr>
            <w:r>
              <w:t>Сумма софинансирования за счет средств государственного бюджета Республики Саха (Якутия)</w:t>
            </w:r>
          </w:p>
        </w:tc>
      </w:tr>
      <w:tr w:rsidR="00454A29" w14:paraId="3B92A390" w14:textId="77777777">
        <w:tblPrEx>
          <w:tblBorders>
            <w:left w:val="single" w:sz="4" w:space="0" w:color="auto"/>
            <w:right w:val="single" w:sz="4" w:space="0" w:color="auto"/>
            <w:insideH w:val="single" w:sz="4" w:space="0" w:color="auto"/>
          </w:tblBorders>
        </w:tblPrEx>
        <w:tc>
          <w:tcPr>
            <w:tcW w:w="1871" w:type="dxa"/>
          </w:tcPr>
          <w:p w14:paraId="060BD015" w14:textId="77777777" w:rsidR="00454A29" w:rsidRDefault="00454A29">
            <w:pPr>
              <w:pStyle w:val="ConsPlusNormal"/>
            </w:pPr>
          </w:p>
        </w:tc>
        <w:tc>
          <w:tcPr>
            <w:tcW w:w="1871" w:type="dxa"/>
          </w:tcPr>
          <w:p w14:paraId="0E3A747F" w14:textId="77777777" w:rsidR="00454A29" w:rsidRDefault="00454A29">
            <w:pPr>
              <w:pStyle w:val="ConsPlusNormal"/>
            </w:pPr>
          </w:p>
        </w:tc>
        <w:tc>
          <w:tcPr>
            <w:tcW w:w="1871" w:type="dxa"/>
          </w:tcPr>
          <w:p w14:paraId="7393EED2" w14:textId="77777777" w:rsidR="00454A29" w:rsidRDefault="00454A29">
            <w:pPr>
              <w:pStyle w:val="ConsPlusNormal"/>
            </w:pPr>
          </w:p>
        </w:tc>
        <w:tc>
          <w:tcPr>
            <w:tcW w:w="1871" w:type="dxa"/>
          </w:tcPr>
          <w:p w14:paraId="0D3DE175" w14:textId="77777777" w:rsidR="00454A29" w:rsidRDefault="00454A29">
            <w:pPr>
              <w:pStyle w:val="ConsPlusNormal"/>
            </w:pPr>
          </w:p>
        </w:tc>
        <w:tc>
          <w:tcPr>
            <w:tcW w:w="1871" w:type="dxa"/>
          </w:tcPr>
          <w:p w14:paraId="19FF0007" w14:textId="77777777" w:rsidR="00454A29" w:rsidRDefault="00454A29">
            <w:pPr>
              <w:pStyle w:val="ConsPlusNormal"/>
            </w:pPr>
          </w:p>
        </w:tc>
        <w:tc>
          <w:tcPr>
            <w:tcW w:w="1928" w:type="dxa"/>
          </w:tcPr>
          <w:p w14:paraId="66B0BAB2" w14:textId="77777777" w:rsidR="00454A29" w:rsidRDefault="00454A29">
            <w:pPr>
              <w:pStyle w:val="ConsPlusNormal"/>
            </w:pPr>
          </w:p>
        </w:tc>
        <w:tc>
          <w:tcPr>
            <w:tcW w:w="1871" w:type="dxa"/>
          </w:tcPr>
          <w:p w14:paraId="24F73AAC" w14:textId="77777777" w:rsidR="00454A29" w:rsidRDefault="00454A29">
            <w:pPr>
              <w:pStyle w:val="ConsPlusNormal"/>
            </w:pPr>
          </w:p>
        </w:tc>
      </w:tr>
    </w:tbl>
    <w:p w14:paraId="0399A54E" w14:textId="77777777" w:rsidR="00454A29" w:rsidRDefault="00454A29">
      <w:pPr>
        <w:pStyle w:val="ConsPlusNormal"/>
      </w:pPr>
    </w:p>
    <w:p w14:paraId="38675A95" w14:textId="77777777" w:rsidR="00454A29" w:rsidRDefault="00454A29">
      <w:pPr>
        <w:pStyle w:val="ConsPlusNormal"/>
        <w:jc w:val="right"/>
      </w:pPr>
      <w:r>
        <w:t>Подпись, расшифровка подписи, дата</w:t>
      </w:r>
    </w:p>
    <w:p w14:paraId="700AD746" w14:textId="77777777" w:rsidR="00454A29" w:rsidRDefault="00454A29">
      <w:pPr>
        <w:pStyle w:val="ConsPlusNormal"/>
      </w:pPr>
    </w:p>
    <w:p w14:paraId="6AF18DC4" w14:textId="77777777" w:rsidR="00454A29" w:rsidRDefault="00454A29">
      <w:pPr>
        <w:pStyle w:val="ConsPlusNormal"/>
        <w:jc w:val="right"/>
      </w:pPr>
      <w:r>
        <w:t>Приложение: копия соглашения о</w:t>
      </w:r>
    </w:p>
    <w:p w14:paraId="4FD8836D" w14:textId="77777777" w:rsidR="00454A29" w:rsidRDefault="00454A29">
      <w:pPr>
        <w:pStyle w:val="ConsPlusNormal"/>
        <w:jc w:val="right"/>
      </w:pPr>
      <w:r>
        <w:t>муниципально-частном партнерстве</w:t>
      </w:r>
    </w:p>
    <w:p w14:paraId="4036C3BD" w14:textId="77777777" w:rsidR="00454A29" w:rsidRDefault="00454A29">
      <w:pPr>
        <w:pStyle w:val="ConsPlusNormal"/>
      </w:pPr>
    </w:p>
    <w:p w14:paraId="10000D05" w14:textId="77777777" w:rsidR="00454A29" w:rsidRDefault="00454A29">
      <w:pPr>
        <w:pStyle w:val="ConsPlusNormal"/>
      </w:pPr>
    </w:p>
    <w:p w14:paraId="6D0026BF" w14:textId="77777777" w:rsidR="00454A29" w:rsidRDefault="00454A29">
      <w:pPr>
        <w:pStyle w:val="ConsPlusNormal"/>
        <w:pBdr>
          <w:top w:val="single" w:sz="6" w:space="0" w:color="auto"/>
        </w:pBdr>
        <w:spacing w:before="100" w:after="100"/>
        <w:jc w:val="both"/>
        <w:rPr>
          <w:sz w:val="2"/>
          <w:szCs w:val="2"/>
        </w:rPr>
      </w:pPr>
    </w:p>
    <w:p w14:paraId="39DB547D" w14:textId="77777777" w:rsidR="00BC21C5" w:rsidRDefault="00BC21C5"/>
    <w:sectPr w:rsidR="00BC21C5" w:rsidSect="005D744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29"/>
    <w:rsid w:val="00454A29"/>
    <w:rsid w:val="00BC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F274"/>
  <w15:chartTrackingRefBased/>
  <w15:docId w15:val="{84D00875-29ED-4830-8012-B88A028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A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A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A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A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A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A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A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A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46C15CAB3EE5D3A2E6A19A4D6387D152893F985B68CE89D7A845F6609FA702801FE7CF9BA8FA9B2318C5FD568B5E7OBD0H" TargetMode="External"/><Relationship Id="rId18" Type="http://schemas.openxmlformats.org/officeDocument/2006/relationships/hyperlink" Target="consultantplus://offline/ref=E6446C15CAB3EE5D3A2E6A19A4D6387D152893F985B28BE995278E573F05F877275EE969B0EE82A8B62E8D569F3BF1B0BD9CC52209F448B8C63CO3D4H" TargetMode="External"/><Relationship Id="rId26" Type="http://schemas.openxmlformats.org/officeDocument/2006/relationships/hyperlink" Target="consultantplus://offline/ref=FA4E4FEF9A356FDDE6F98F42F2B6917C48F4810DBC8F2C7190C938D3F4718E3E77316E71F4FB6954D574F3DE4DCB7D5F1CEE2E5147AE6546P7D1H" TargetMode="External"/><Relationship Id="rId39" Type="http://schemas.openxmlformats.org/officeDocument/2006/relationships/hyperlink" Target="consultantplus://offline/ref=FA4E4FEF9A356FDDE6F98F42F2B6917C49F1860DB18F2C7190C938D3F4718E3E6531367DF5FF7755D461A58F0BP9DEH" TargetMode="External"/><Relationship Id="rId21" Type="http://schemas.openxmlformats.org/officeDocument/2006/relationships/hyperlink" Target="consultantplus://offline/ref=E6446C15CAB3EE5D3A2E6A0FB7BA64741F27CEFC85B785BAC225DF023100F0276F4EA72CBDEF82A9BF24D80C8F3FB8E4B483C13E17F456B8OCD6H" TargetMode="External"/><Relationship Id="rId34" Type="http://schemas.openxmlformats.org/officeDocument/2006/relationships/hyperlink" Target="consultantplus://offline/ref=FA4E4FEF9A356FDDE6F98F42F2B6917C49F1860DB18F2C7190C938D3F4718E3E6531367DF5FF7755D461A58F0BP9DEH" TargetMode="External"/><Relationship Id="rId42" Type="http://schemas.openxmlformats.org/officeDocument/2006/relationships/hyperlink" Target="consultantplus://offline/ref=FA4E4FEF9A356FDDE6F98F42F2B6917C49F78307BC872C7190C938D3F4718E3E77316E72F5F86B5E822EE3DA049F744018F2305159AEP6D5H" TargetMode="External"/><Relationship Id="rId47" Type="http://schemas.openxmlformats.org/officeDocument/2006/relationships/hyperlink" Target="consultantplus://offline/ref=FA4E4FEF9A356FDDE6F98F42F2B6917C49F78307BC872C7190C938D3F4718E3E77316E72F5F86B5E822EE3DA049F744018F2305159AEP6D5H" TargetMode="External"/><Relationship Id="rId50" Type="http://schemas.openxmlformats.org/officeDocument/2006/relationships/image" Target="media/image4.wmf"/><Relationship Id="rId55" Type="http://schemas.openxmlformats.org/officeDocument/2006/relationships/hyperlink" Target="consultantplus://offline/ref=FA4E4FEF9A356FDDE6F98F42F2B6917C49F1860DB18F2C7190C938D3F4718E3E6531367DF5FF7755D461A58F0BP9DEH" TargetMode="External"/><Relationship Id="rId63" Type="http://schemas.openxmlformats.org/officeDocument/2006/relationships/image" Target="media/image10.wmf"/><Relationship Id="rId68" Type="http://schemas.openxmlformats.org/officeDocument/2006/relationships/image" Target="media/image15.wmf"/><Relationship Id="rId76" Type="http://schemas.openxmlformats.org/officeDocument/2006/relationships/hyperlink" Target="consultantplus://offline/ref=FA4E4FEF9A356FDDE6F98F42F2B6917C49F6840FBF8F2C7190C938D3F4718E3E6531367DF5FF7755D461A58F0BP9DEH" TargetMode="External"/><Relationship Id="rId7" Type="http://schemas.openxmlformats.org/officeDocument/2006/relationships/hyperlink" Target="consultantplus://offline/ref=E6446C15CAB3EE5D3A2E6A19A4D6387D152893F985B589EF967A845F6609FA702801FE7CF9BA8FA9B2318C5FD568B5E7OBD0H" TargetMode="External"/><Relationship Id="rId71" Type="http://schemas.openxmlformats.org/officeDocument/2006/relationships/hyperlink" Target="consultantplus://offline/ref=FA4E4FEF9A356FDDE6F98F42F2B6917C49F78307BC872C7190C938D3F4718E3E77316E71F4FB6853DE74F3DE4DCB7D5F1CEE2E5147AE6546P7D1H" TargetMode="External"/><Relationship Id="rId2" Type="http://schemas.openxmlformats.org/officeDocument/2006/relationships/settings" Target="settings.xml"/><Relationship Id="rId16" Type="http://schemas.openxmlformats.org/officeDocument/2006/relationships/hyperlink" Target="consultantplus://offline/ref=E6446C15CAB3EE5D3A2E6A19A4D6387D152893F985B089EC9B7A845F6609FA702801FE7CF9BA8FA9B2318C5FD568B5E7OBD0H" TargetMode="External"/><Relationship Id="rId29" Type="http://schemas.openxmlformats.org/officeDocument/2006/relationships/hyperlink" Target="consultantplus://offline/ref=FA4E4FEF9A356FDDE6F98F42F2B6917C49F6840FBB882C7190C938D3F4718E3E6531367DF5FF7755D461A58F0BP9DEH" TargetMode="External"/><Relationship Id="rId11" Type="http://schemas.openxmlformats.org/officeDocument/2006/relationships/hyperlink" Target="consultantplus://offline/ref=E6446C15CAB3EE5D3A2E6A19A4D6387D152893F985B186EA9B7A845F6609FA702801FE7CF9BA8FA9B2318C5FD568B5E7OBD0H" TargetMode="External"/><Relationship Id="rId24" Type="http://schemas.openxmlformats.org/officeDocument/2006/relationships/hyperlink" Target="consultantplus://offline/ref=FA4E4FEF9A356FDDE6F98F42F2B6917C49F6840FBB882C7190C938D3F4718E3E6531367DF5FF7755D461A58F0BP9DEH" TargetMode="External"/><Relationship Id="rId32" Type="http://schemas.openxmlformats.org/officeDocument/2006/relationships/image" Target="media/image1.wmf"/><Relationship Id="rId37" Type="http://schemas.openxmlformats.org/officeDocument/2006/relationships/hyperlink" Target="consultantplus://offline/ref=FA4E4FEF9A356FDDE6F98F42F2B6917C49F78307BC872C7190C938D3F4718E3E77316E72F5F86B5E822EE3DA049F744018F2305159AEP6D5H" TargetMode="External"/><Relationship Id="rId40" Type="http://schemas.openxmlformats.org/officeDocument/2006/relationships/hyperlink" Target="consultantplus://offline/ref=FA4E4FEF9A356FDDE6F98F42F2B6917C49F1860DB18F2C7190C938D3F4718E3E6531367DF5FF7755D461A58F0BP9DEH" TargetMode="External"/><Relationship Id="rId45" Type="http://schemas.openxmlformats.org/officeDocument/2006/relationships/hyperlink" Target="consultantplus://offline/ref=FA4E4FEF9A356FDDE6F98F54E1DACD7543FEDA03BF8D2525CC96638EA3788469307E3721B0AE6454D261A78D179C705CP1D8H" TargetMode="External"/><Relationship Id="rId53" Type="http://schemas.openxmlformats.org/officeDocument/2006/relationships/hyperlink" Target="consultantplus://offline/ref=FA4E4FEF9A356FDDE6F98F42F2B6917C49F68608B08B2C7190C938D3F4718E3E77316E71F4FB6954D574F3DE4DCB7D5F1CEE2E5147AE6546P7D1H" TargetMode="External"/><Relationship Id="rId58" Type="http://schemas.openxmlformats.org/officeDocument/2006/relationships/image" Target="media/image7.wmf"/><Relationship Id="rId66" Type="http://schemas.openxmlformats.org/officeDocument/2006/relationships/image" Target="media/image13.wmf"/><Relationship Id="rId74" Type="http://schemas.openxmlformats.org/officeDocument/2006/relationships/hyperlink" Target="consultantplus://offline/ref=FA4E4FEF9A356FDDE6F98F54E1DACD7543FEDA03BF8D2525CC96638EA3788469307E3721B0AE6454D261A78D179C705CP1D8H" TargetMode="External"/><Relationship Id="rId79" Type="http://schemas.openxmlformats.org/officeDocument/2006/relationships/hyperlink" Target="consultantplus://offline/ref=FA4E4FEF9A356FDDE6F98F54E1DACD7543FEDA03BE8C2421C996638EA3788469307E3733B0F66855D67EA48E02CA211A4DFD2F5747AC675A73EFC7PDD0H" TargetMode="External"/><Relationship Id="rId5" Type="http://schemas.openxmlformats.org/officeDocument/2006/relationships/hyperlink" Target="consultantplus://offline/ref=E6446C15CAB3EE5D3A2E6A19A4D6387D152893F985B48AEF9F7A845F6609FA702801FE6EF9E283A8B6298459C03EE4A1E590C03817F654A4C43E36O6D1H" TargetMode="External"/><Relationship Id="rId61" Type="http://schemas.openxmlformats.org/officeDocument/2006/relationships/image" Target="media/image9.wmf"/><Relationship Id="rId82" Type="http://schemas.openxmlformats.org/officeDocument/2006/relationships/theme" Target="theme/theme1.xml"/><Relationship Id="rId10" Type="http://schemas.openxmlformats.org/officeDocument/2006/relationships/hyperlink" Target="consultantplus://offline/ref=E6446C15CAB3EE5D3A2E6A19A4D6387D152893F985B28EEC987A845F6609FA702801FE7CF9BA8FA9B2318C5FD568B5E7OBD0H" TargetMode="External"/><Relationship Id="rId19" Type="http://schemas.openxmlformats.org/officeDocument/2006/relationships/hyperlink" Target="consultantplus://offline/ref=E6446C15CAB3EE5D3A2E6A0FB7BA64741F27CFF487BB85BAC225DF023100F0276F4EA72CB8E889FCE76BD950CA6EABE5B283C33C0BOFD6H" TargetMode="External"/><Relationship Id="rId31" Type="http://schemas.openxmlformats.org/officeDocument/2006/relationships/hyperlink" Target="consultantplus://offline/ref=FA4E4FEF9A356FDDE6F98F42F2B6917C49F1860EBA882C7190C938D3F4718E3E6531367DF5FF7755D461A58F0BP9DEH" TargetMode="External"/><Relationship Id="rId44" Type="http://schemas.openxmlformats.org/officeDocument/2006/relationships/image" Target="media/image3.wmf"/><Relationship Id="rId52" Type="http://schemas.openxmlformats.org/officeDocument/2006/relationships/hyperlink" Target="consultantplus://offline/ref=FA4E4FEF9A356FDDE6F98F42F2B6917C49F1860DB18F2C7190C938D3F4718E3E6531367DF5FF7755D461A58F0BP9DEH" TargetMode="External"/><Relationship Id="rId60" Type="http://schemas.openxmlformats.org/officeDocument/2006/relationships/image" Target="media/image8.wmf"/><Relationship Id="rId65" Type="http://schemas.openxmlformats.org/officeDocument/2006/relationships/image" Target="media/image12.wmf"/><Relationship Id="rId73" Type="http://schemas.openxmlformats.org/officeDocument/2006/relationships/hyperlink" Target="consultantplus://offline/ref=FA4E4FEF9A356FDDE6F98F42F2B6917C49F1860DB18F2C7190C938D3F4718E3E6531367DF5FF7755D461A58F0BP9DEH" TargetMode="External"/><Relationship Id="rId78" Type="http://schemas.openxmlformats.org/officeDocument/2006/relationships/hyperlink" Target="consultantplus://offline/ref=FA4E4FEF9A356FDDE6F98F54E1DACD7543FEDA03BE8C2421C996638EA3788469307E3733B0F66855D67EA58902CA211A4DFD2F5747AC675A73EFC7PDD0H" TargetMode="External"/><Relationship Id="rId81" Type="http://schemas.openxmlformats.org/officeDocument/2006/relationships/fontTable" Target="fontTable.xml"/><Relationship Id="rId4" Type="http://schemas.openxmlformats.org/officeDocument/2006/relationships/hyperlink" Target="consultantplus://offline/ref=E6446C15CAB3EE5D3A2E6A0FB7BA64741F21CAFD87BB85BAC225DF023100F0276F4EA72CBDEC80A0B624D80C8F3FB8E4B483C13E17F456B8OCD6H" TargetMode="External"/><Relationship Id="rId9" Type="http://schemas.openxmlformats.org/officeDocument/2006/relationships/hyperlink" Target="consultantplus://offline/ref=E6446C15CAB3EE5D3A2E6A19A4D6387D152893F984BA86ED987A845F6609FA702801FE7CF9BA8FA9B2318C5FD568B5E7OBD0H" TargetMode="External"/><Relationship Id="rId14" Type="http://schemas.openxmlformats.org/officeDocument/2006/relationships/hyperlink" Target="consultantplus://offline/ref=E6446C15CAB3EE5D3A2E6A19A4D6387D152893F985B589ED967A845F6609FA702801FE7CF9BA8FA9B2318C5FD568B5E7OBD0H" TargetMode="External"/><Relationship Id="rId22" Type="http://schemas.openxmlformats.org/officeDocument/2006/relationships/hyperlink" Target="consultantplus://offline/ref=E6446C15CAB3EE5D3A2E6A19A4D6387D152893F985B18DEC997A845F6609FA702801FE7CF9BA8FA9B2318C5FD568B5E7OBD0H" TargetMode="External"/><Relationship Id="rId27" Type="http://schemas.openxmlformats.org/officeDocument/2006/relationships/hyperlink" Target="consultantplus://offline/ref=FA4E4FEF9A356FDDE6F98F42F2B6917C49F6840FBB882C7190C938D3F4718E3E6531367DF5FF7755D461A58F0BP9DEH" TargetMode="External"/><Relationship Id="rId30" Type="http://schemas.openxmlformats.org/officeDocument/2006/relationships/hyperlink" Target="consultantplus://offline/ref=FA4E4FEF9A356FDDE6F98F42F2B6917C49F78307BC872C7190C938D3F4718E3E77316E71F4F86856D274F3DE4DCB7D5F1CEE2E5147AE6546P7D1H" TargetMode="External"/><Relationship Id="rId35" Type="http://schemas.openxmlformats.org/officeDocument/2006/relationships/hyperlink" Target="consultantplus://offline/ref=FA4E4FEF9A356FDDE6F98F42F2B6917C49F68409B18A2C7190C938D3F4718E3E6531367DF5FF7755D461A58F0BP9DEH" TargetMode="External"/><Relationship Id="rId43" Type="http://schemas.openxmlformats.org/officeDocument/2006/relationships/hyperlink" Target="consultantplus://offline/ref=FA4E4FEF9A356FDDE6F98F42F2B6917C49F68608B08B2C7190C938D3F4718E3E77316E71F4FB6954D574F3DE4DCB7D5F1CEE2E5147AE6546P7D1H" TargetMode="External"/><Relationship Id="rId48" Type="http://schemas.openxmlformats.org/officeDocument/2006/relationships/hyperlink" Target="consultantplus://offline/ref=FA4E4FEF9A356FDDE6F98F42F2B6917C49F78307BC872C7190C938D3F4718E3E77316E72F5F86B5E822EE3DA049F744018F2305159AEP6D5H" TargetMode="External"/><Relationship Id="rId56" Type="http://schemas.openxmlformats.org/officeDocument/2006/relationships/image" Target="media/image5.wmf"/><Relationship Id="rId64" Type="http://schemas.openxmlformats.org/officeDocument/2006/relationships/image" Target="media/image11.wmf"/><Relationship Id="rId69" Type="http://schemas.openxmlformats.org/officeDocument/2006/relationships/image" Target="media/image16.wmf"/><Relationship Id="rId77" Type="http://schemas.openxmlformats.org/officeDocument/2006/relationships/hyperlink" Target="consultantplus://offline/ref=FA4E4FEF9A356FDDE6F98F54E1DACD7543FEDA03BE892024CD96638EA3788469307E3733B0F66855D67FA68D02CA211A4DFD2F5747AC675A73EFC7PDD0H" TargetMode="External"/><Relationship Id="rId8" Type="http://schemas.openxmlformats.org/officeDocument/2006/relationships/hyperlink" Target="consultantplus://offline/ref=E6446C15CAB3EE5D3A2E6A19A4D6387D152893F984B48BE4967A845F6609FA702801FE7CF9BA8FA9B2318C5FD568B5E7OBD0H" TargetMode="External"/><Relationship Id="rId51" Type="http://schemas.openxmlformats.org/officeDocument/2006/relationships/hyperlink" Target="consultantplus://offline/ref=FA4E4FEF9A356FDDE6F98F54E1DACD7543FEDA03BF8D2525CC96638EA3788469307E3721B0AE6454D261A78D179C705CP1D8H" TargetMode="External"/><Relationship Id="rId72" Type="http://schemas.openxmlformats.org/officeDocument/2006/relationships/hyperlink" Target="consultantplus://offline/ref=FA4E4FEF9A356FDDE6F98F42F2B6917C49F78307BC872C7190C938D3F4718E3E77316E72F7F9695E822EE3DA049F744018F2305159AEP6D5H" TargetMode="External"/><Relationship Id="rId80" Type="http://schemas.openxmlformats.org/officeDocument/2006/relationships/hyperlink" Target="consultantplus://offline/ref=FA4E4FEF9A356FDDE6F98F54E1DACD7543FEDA03BE8C2421C996638EA3788469307E3733B0F66855D67FA18A02CA211A4DFD2F5747AC675A73EFC7PDD0H" TargetMode="External"/><Relationship Id="rId3" Type="http://schemas.openxmlformats.org/officeDocument/2006/relationships/webSettings" Target="webSettings.xml"/><Relationship Id="rId12" Type="http://schemas.openxmlformats.org/officeDocument/2006/relationships/hyperlink" Target="consultantplus://offline/ref=E6446C15CAB3EE5D3A2E6A19A4D6387D152893F985B78FED987A845F6609FA702801FE7CF9BA8FA9B2318C5FD568B5E7OBD0H" TargetMode="External"/><Relationship Id="rId17" Type="http://schemas.openxmlformats.org/officeDocument/2006/relationships/hyperlink" Target="consultantplus://offline/ref=E6446C15CAB3EE5D3A2E6A19A4D6387D152893F984B78DE8997A845F6609FA702801FE7CF9BA8FA9B2318C5FD568B5E7OBD0H" TargetMode="External"/><Relationship Id="rId25" Type="http://schemas.openxmlformats.org/officeDocument/2006/relationships/hyperlink" Target="consultantplus://offline/ref=FA4E4FEF9A356FDDE6F98F42F2B6917C49F6840FBB882C7190C938D3F4718E3E6531367DF5FF7755D461A58F0BP9DEH" TargetMode="External"/><Relationship Id="rId33" Type="http://schemas.openxmlformats.org/officeDocument/2006/relationships/hyperlink" Target="consultantplus://offline/ref=FA4E4FEF9A356FDDE6F98F54E1DACD7543FEDA03BE882324CD96638EA3788469307E3733B0F66855D678AE8D02CA211A4DFD2F5747AC675A73EFC7PDD0H" TargetMode="External"/><Relationship Id="rId38" Type="http://schemas.openxmlformats.org/officeDocument/2006/relationships/hyperlink" Target="consultantplus://offline/ref=FA4E4FEF9A356FDDE6F98F54E1DACD7543FEDA03BE882324CD96638EA3788469307E3733B0F66855D678AE8D02CA211A4DFD2F5747AC675A73EFC7PDD0H" TargetMode="External"/><Relationship Id="rId46" Type="http://schemas.openxmlformats.org/officeDocument/2006/relationships/hyperlink" Target="consultantplus://offline/ref=FA4E4FEF9A356FDDE6F98F42F2B6917C49F1860DB18F2C7190C938D3F4718E3E6531367DF5FF7755D461A58F0BP9DEH" TargetMode="External"/><Relationship Id="rId59" Type="http://schemas.openxmlformats.org/officeDocument/2006/relationships/hyperlink" Target="consultantplus://offline/ref=FA4E4FEF9A356FDDE6F98F42F2B6917C4BF3800ABC872C7190C938D3F4718E3E77316E71F4FB6955D074F3DE4DCB7D5F1CEE2E5147AE6546P7D1H" TargetMode="External"/><Relationship Id="rId67" Type="http://schemas.openxmlformats.org/officeDocument/2006/relationships/image" Target="media/image14.wmf"/><Relationship Id="rId20" Type="http://schemas.openxmlformats.org/officeDocument/2006/relationships/hyperlink" Target="consultantplus://offline/ref=E6446C15CAB3EE5D3A2E6A19A4D6387D152893F985B486EC9F7A845F6609FA702801FE6EF9E283A8B62F885CC03EE4A1E590C03817F654A4C43E36O6D1H" TargetMode="External"/><Relationship Id="rId41" Type="http://schemas.openxmlformats.org/officeDocument/2006/relationships/hyperlink" Target="consultantplus://offline/ref=FA4E4FEF9A356FDDE6F98F42F2B6917C49F78307BC872C7190C938D3F4718E3E77316E74F2F96F5E822EE3DA049F744018F2305159AEP6D5H" TargetMode="External"/><Relationship Id="rId54" Type="http://schemas.openxmlformats.org/officeDocument/2006/relationships/hyperlink" Target="consultantplus://offline/ref=FA4E4FEF9A356FDDE6F98F54E1DACD7543FEDA03BF8D2525CC96638EA3788469307E3721B0AE6454D261A78D179C705CP1D8H" TargetMode="External"/><Relationship Id="rId62" Type="http://schemas.openxmlformats.org/officeDocument/2006/relationships/hyperlink" Target="consultantplus://offline/ref=FA4E4FEF9A356FDDE6F98F42F2B6917C49F78307BC872C7190C938D3F4718E3E77316E74F2F96F5E822EE3DA049F744018F2305159AEP6D5H" TargetMode="External"/><Relationship Id="rId70" Type="http://schemas.openxmlformats.org/officeDocument/2006/relationships/image" Target="media/image17.wmf"/><Relationship Id="rId75" Type="http://schemas.openxmlformats.org/officeDocument/2006/relationships/hyperlink" Target="consultantplus://offline/ref=FA4E4FEF9A356FDDE6F98F42F2B6917C49F78307BC872C7190C938D3F4718E3E6531367DF5FF7755D461A58F0BP9DEH" TargetMode="External"/><Relationship Id="rId1" Type="http://schemas.openxmlformats.org/officeDocument/2006/relationships/styles" Target="styles.xml"/><Relationship Id="rId6" Type="http://schemas.openxmlformats.org/officeDocument/2006/relationships/hyperlink" Target="consultantplus://offline/ref=E6446C15CAB3EE5D3A2E6A19A4D6387D152893F985B486ED9B7A845F6609FA702801FE6EF9E283A8B62F885AC03EE4A1E590C03817F654A4C43E36O6D1H" TargetMode="External"/><Relationship Id="rId15" Type="http://schemas.openxmlformats.org/officeDocument/2006/relationships/hyperlink" Target="consultantplus://offline/ref=E6446C15CAB3EE5D3A2E6A19A4D6387D152893F985B48FE8967A845F6609FA702801FE7CF9BA8FA9B2318C5FD568B5E7OBD0H" TargetMode="External"/><Relationship Id="rId23" Type="http://schemas.openxmlformats.org/officeDocument/2006/relationships/hyperlink" Target="consultantplus://offline/ref=FA4E4FEF9A356FDDE6F98F42F2B6917C49F78307BC872C7190C938D3F4718E3E77316E72F5F86B5E822EE3DA049F744018F2305159AEP6D5H" TargetMode="External"/><Relationship Id="rId28" Type="http://schemas.openxmlformats.org/officeDocument/2006/relationships/hyperlink" Target="consultantplus://offline/ref=FA4E4FEF9A356FDDE6F98F42F2B6917C48F4810DBC8F2C7190C938D3F4718E3E77316E71F4FB6954D574F3DE4DCB7D5F1CEE2E5147AE6546P7D1H" TargetMode="External"/><Relationship Id="rId36" Type="http://schemas.openxmlformats.org/officeDocument/2006/relationships/image" Target="media/image2.wmf"/><Relationship Id="rId49" Type="http://schemas.openxmlformats.org/officeDocument/2006/relationships/hyperlink" Target="consultantplus://offline/ref=FA4E4FEF9A356FDDE6F98F42F2B6917C49F1860EBA882C7190C938D3F4718E3E6531367DF5FF7755D461A58F0BP9DEH" TargetMode="External"/><Relationship Id="rId57"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438</Pages>
  <Words>101217</Words>
  <Characters>576940</Characters>
  <Application>Microsoft Office Word</Application>
  <DocSecurity>0</DocSecurity>
  <Lines>4807</Lines>
  <Paragraphs>1353</Paragraphs>
  <ScaleCrop>false</ScaleCrop>
  <Company/>
  <LinksUpToDate>false</LinksUpToDate>
  <CharactersWithSpaces>676804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Нач</dc:creator>
  <cp:keywords/>
  <dc:description/>
  <cp:lastModifiedBy>МО Нач</cp:lastModifiedBy>
  <cp:revision>1</cp:revision>
  <dcterms:created xsi:type="dcterms:W3CDTF">2020-02-14T07:03:00Z</dcterms:created>
  <dcterms:modified xsi:type="dcterms:W3CDTF">2020-02-14T07:04:00Z</dcterms:modified>
</cp:coreProperties>
</file>